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F5" w:rsidRPr="003A1174" w:rsidRDefault="007516F5" w:rsidP="00940D7F">
      <w:pPr>
        <w:pStyle w:val="Ttulo1"/>
        <w:rPr>
          <w:rFonts w:ascii="Garamond" w:hAnsi="Garamond"/>
          <w:szCs w:val="24"/>
        </w:rPr>
      </w:pPr>
      <w:bookmarkStart w:id="0" w:name="_GoBack"/>
      <w:bookmarkEnd w:id="0"/>
    </w:p>
    <w:p w:rsidR="007516F5" w:rsidRPr="003A1174" w:rsidRDefault="007516F5" w:rsidP="008719D4">
      <w:pPr>
        <w:spacing w:line="240" w:lineRule="auto"/>
        <w:ind w:firstLine="708"/>
        <w:jc w:val="center"/>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7516F5" w:rsidRPr="003A1174" w:rsidRDefault="007516F5" w:rsidP="008719D4">
      <w:pPr>
        <w:spacing w:line="240" w:lineRule="auto"/>
        <w:ind w:firstLine="708"/>
        <w:jc w:val="both"/>
        <w:rPr>
          <w:rFonts w:ascii="Garamond" w:hAnsi="Garamond" w:cs="Arial"/>
          <w:sz w:val="24"/>
          <w:szCs w:val="24"/>
        </w:rPr>
      </w:pPr>
    </w:p>
    <w:p w:rsidR="00CA39B2" w:rsidRPr="002732BE" w:rsidRDefault="002732BE" w:rsidP="007B3401">
      <w:pPr>
        <w:spacing w:line="240" w:lineRule="auto"/>
        <w:ind w:firstLine="708"/>
        <w:jc w:val="center"/>
        <w:rPr>
          <w:rFonts w:ascii="Garamond" w:hAnsi="Garamond" w:cs="Arial"/>
          <w:b/>
          <w:color w:val="548DD4" w:themeColor="text2" w:themeTint="99"/>
          <w:sz w:val="44"/>
          <w:szCs w:val="44"/>
        </w:rPr>
      </w:pPr>
      <w:r>
        <w:rPr>
          <w:rFonts w:ascii="Garamond" w:hAnsi="Garamond" w:cs="Arial"/>
          <w:b/>
          <w:color w:val="548DD4" w:themeColor="text2" w:themeTint="99"/>
          <w:sz w:val="44"/>
          <w:szCs w:val="44"/>
        </w:rPr>
        <w:t xml:space="preserve">PROCEDIMENTOS A </w:t>
      </w:r>
      <w:r w:rsidR="00943AA8">
        <w:rPr>
          <w:rFonts w:ascii="Garamond" w:hAnsi="Garamond" w:cs="Arial"/>
          <w:b/>
          <w:color w:val="548DD4" w:themeColor="text2" w:themeTint="99"/>
          <w:sz w:val="44"/>
          <w:szCs w:val="44"/>
        </w:rPr>
        <w:t xml:space="preserve">ADOTAR </w:t>
      </w:r>
      <w:r w:rsidR="007B3401">
        <w:rPr>
          <w:rFonts w:ascii="Garamond" w:hAnsi="Garamond" w:cs="Arial"/>
          <w:b/>
          <w:color w:val="548DD4" w:themeColor="text2" w:themeTint="99"/>
          <w:sz w:val="44"/>
          <w:szCs w:val="44"/>
        </w:rPr>
        <w:t xml:space="preserve">NO </w:t>
      </w:r>
      <w:r w:rsidR="00886D6A" w:rsidRPr="002732BE">
        <w:rPr>
          <w:rFonts w:ascii="Garamond" w:hAnsi="Garamond" w:cs="Arial"/>
          <w:b/>
          <w:color w:val="548DD4" w:themeColor="text2" w:themeTint="99"/>
          <w:sz w:val="44"/>
          <w:szCs w:val="44"/>
        </w:rPr>
        <w:t>ACESSO</w:t>
      </w:r>
      <w:r w:rsidR="00CA39B2" w:rsidRPr="002732BE">
        <w:rPr>
          <w:rFonts w:ascii="Garamond" w:hAnsi="Garamond" w:cs="Arial"/>
          <w:b/>
          <w:color w:val="548DD4" w:themeColor="text2" w:themeTint="99"/>
          <w:sz w:val="44"/>
          <w:szCs w:val="44"/>
        </w:rPr>
        <w:t xml:space="preserve"> </w:t>
      </w:r>
      <w:r w:rsidR="004C1496" w:rsidRPr="002732BE">
        <w:rPr>
          <w:rFonts w:ascii="Garamond" w:hAnsi="Garamond" w:cs="Arial"/>
          <w:b/>
          <w:color w:val="548DD4" w:themeColor="text2" w:themeTint="99"/>
          <w:sz w:val="44"/>
          <w:szCs w:val="44"/>
        </w:rPr>
        <w:t xml:space="preserve">À </w:t>
      </w:r>
      <w:r w:rsidR="00FC1F7F" w:rsidRPr="002732BE">
        <w:rPr>
          <w:rFonts w:ascii="Garamond" w:hAnsi="Garamond" w:cs="Arial"/>
          <w:b/>
          <w:color w:val="548DD4" w:themeColor="text2" w:themeTint="99"/>
          <w:sz w:val="44"/>
          <w:szCs w:val="44"/>
        </w:rPr>
        <w:t>JUSTIÇA</w:t>
      </w:r>
      <w:r w:rsidR="004C1496" w:rsidRPr="002732BE">
        <w:rPr>
          <w:rFonts w:ascii="Garamond" w:hAnsi="Garamond" w:cs="Arial"/>
          <w:b/>
          <w:color w:val="548DD4" w:themeColor="text2" w:themeTint="99"/>
          <w:sz w:val="44"/>
          <w:szCs w:val="44"/>
        </w:rPr>
        <w:t xml:space="preserve"> E </w:t>
      </w:r>
      <w:r w:rsidR="00943AA8">
        <w:rPr>
          <w:rFonts w:ascii="Garamond" w:hAnsi="Garamond" w:cs="Arial"/>
          <w:b/>
          <w:color w:val="548DD4" w:themeColor="text2" w:themeTint="99"/>
          <w:sz w:val="44"/>
          <w:szCs w:val="44"/>
        </w:rPr>
        <w:t>À TUTELA</w:t>
      </w:r>
      <w:r w:rsidR="00AD222F">
        <w:rPr>
          <w:rFonts w:ascii="Garamond" w:hAnsi="Garamond" w:cs="Arial"/>
          <w:b/>
          <w:color w:val="548DD4" w:themeColor="text2" w:themeTint="99"/>
          <w:sz w:val="44"/>
          <w:szCs w:val="44"/>
        </w:rPr>
        <w:t xml:space="preserve"> </w:t>
      </w:r>
      <w:r w:rsidR="00943AA8">
        <w:rPr>
          <w:rFonts w:ascii="Garamond" w:hAnsi="Garamond" w:cs="Arial"/>
          <w:b/>
          <w:color w:val="548DD4" w:themeColor="text2" w:themeTint="99"/>
          <w:sz w:val="44"/>
          <w:szCs w:val="44"/>
        </w:rPr>
        <w:t>JUDICIAL</w:t>
      </w:r>
      <w:r w:rsidR="00CA0AAC">
        <w:rPr>
          <w:rFonts w:ascii="Garamond" w:hAnsi="Garamond" w:cs="Arial"/>
          <w:b/>
          <w:color w:val="548DD4" w:themeColor="text2" w:themeTint="99"/>
          <w:sz w:val="44"/>
          <w:szCs w:val="44"/>
        </w:rPr>
        <w:t xml:space="preserve"> EFETIVA </w:t>
      </w:r>
      <w:r w:rsidR="00943AA8">
        <w:rPr>
          <w:rFonts w:ascii="Garamond" w:hAnsi="Garamond" w:cs="Arial"/>
          <w:b/>
          <w:color w:val="548DD4" w:themeColor="text2" w:themeTint="99"/>
          <w:sz w:val="44"/>
          <w:szCs w:val="44"/>
        </w:rPr>
        <w:t>DAS</w:t>
      </w:r>
      <w:r w:rsidR="00CA39B2" w:rsidRPr="002732BE">
        <w:rPr>
          <w:rFonts w:ascii="Garamond" w:hAnsi="Garamond" w:cs="Arial"/>
          <w:b/>
          <w:color w:val="548DD4" w:themeColor="text2" w:themeTint="99"/>
          <w:sz w:val="44"/>
          <w:szCs w:val="44"/>
        </w:rPr>
        <w:t xml:space="preserve"> </w:t>
      </w:r>
      <w:r w:rsidR="00054EE0" w:rsidRPr="002732BE">
        <w:rPr>
          <w:rFonts w:ascii="Garamond" w:hAnsi="Garamond" w:cs="Arial"/>
          <w:b/>
          <w:color w:val="548DD4" w:themeColor="text2" w:themeTint="99"/>
          <w:sz w:val="44"/>
          <w:szCs w:val="44"/>
        </w:rPr>
        <w:t>MULHERES</w:t>
      </w:r>
      <w:r w:rsidR="00CA39B2" w:rsidRPr="002732BE">
        <w:rPr>
          <w:rFonts w:ascii="Garamond" w:hAnsi="Garamond" w:cs="Arial"/>
          <w:b/>
          <w:color w:val="548DD4" w:themeColor="text2" w:themeTint="99"/>
          <w:sz w:val="44"/>
          <w:szCs w:val="44"/>
        </w:rPr>
        <w:t xml:space="preserve"> </w:t>
      </w:r>
      <w:r w:rsidR="003F012B" w:rsidRPr="002732BE">
        <w:rPr>
          <w:rFonts w:ascii="Garamond" w:hAnsi="Garamond" w:cs="Arial"/>
          <w:b/>
          <w:color w:val="548DD4" w:themeColor="text2" w:themeTint="99"/>
          <w:sz w:val="44"/>
          <w:szCs w:val="44"/>
        </w:rPr>
        <w:t>VÍTIMA</w:t>
      </w:r>
      <w:r w:rsidR="004C1496" w:rsidRPr="002732BE">
        <w:rPr>
          <w:rFonts w:ascii="Garamond" w:hAnsi="Garamond" w:cs="Arial"/>
          <w:b/>
          <w:color w:val="548DD4" w:themeColor="text2" w:themeTint="99"/>
          <w:sz w:val="44"/>
          <w:szCs w:val="44"/>
        </w:rPr>
        <w:t>S D</w:t>
      </w:r>
      <w:r>
        <w:rPr>
          <w:rFonts w:ascii="Garamond" w:hAnsi="Garamond" w:cs="Arial"/>
          <w:b/>
          <w:color w:val="548DD4" w:themeColor="text2" w:themeTint="99"/>
          <w:sz w:val="44"/>
          <w:szCs w:val="44"/>
        </w:rPr>
        <w:t>E</w:t>
      </w:r>
      <w:r w:rsidR="00CA39B2" w:rsidRPr="002732BE">
        <w:rPr>
          <w:rFonts w:ascii="Garamond" w:hAnsi="Garamond" w:cs="Arial"/>
          <w:b/>
          <w:color w:val="548DD4" w:themeColor="text2" w:themeTint="99"/>
          <w:sz w:val="44"/>
          <w:szCs w:val="44"/>
        </w:rPr>
        <w:t xml:space="preserve"> </w:t>
      </w:r>
      <w:r w:rsidR="00CA0AAC">
        <w:rPr>
          <w:rFonts w:ascii="Garamond" w:hAnsi="Garamond" w:cs="Arial"/>
          <w:b/>
          <w:color w:val="548DD4" w:themeColor="text2" w:themeTint="99"/>
          <w:sz w:val="44"/>
          <w:szCs w:val="44"/>
        </w:rPr>
        <w:t>V</w:t>
      </w:r>
      <w:r w:rsidR="000350B1" w:rsidRPr="002732BE">
        <w:rPr>
          <w:rFonts w:ascii="Garamond" w:hAnsi="Garamond" w:cs="Arial"/>
          <w:b/>
          <w:color w:val="548DD4" w:themeColor="text2" w:themeTint="99"/>
          <w:sz w:val="44"/>
          <w:szCs w:val="44"/>
        </w:rPr>
        <w:t>IOLÊNCIA</w:t>
      </w:r>
      <w:r w:rsidR="00CA0AAC">
        <w:rPr>
          <w:rFonts w:ascii="Garamond" w:hAnsi="Garamond" w:cs="Arial"/>
          <w:b/>
          <w:color w:val="548DD4" w:themeColor="text2" w:themeTint="99"/>
          <w:sz w:val="44"/>
          <w:szCs w:val="44"/>
        </w:rPr>
        <w:t xml:space="preserve"> DOMÉSTICA</w:t>
      </w:r>
      <w:r w:rsidR="00CA39B2" w:rsidRPr="002732BE">
        <w:rPr>
          <w:rFonts w:ascii="Garamond" w:hAnsi="Garamond" w:cs="Arial"/>
          <w:b/>
          <w:color w:val="548DD4" w:themeColor="text2" w:themeTint="99"/>
          <w:sz w:val="44"/>
          <w:szCs w:val="44"/>
        </w:rPr>
        <w:t>:</w:t>
      </w:r>
      <w:r w:rsidR="00943AA8">
        <w:rPr>
          <w:rFonts w:ascii="Garamond" w:hAnsi="Garamond" w:cs="Arial"/>
          <w:b/>
          <w:color w:val="548DD4" w:themeColor="text2" w:themeTint="99"/>
          <w:sz w:val="44"/>
          <w:szCs w:val="44"/>
        </w:rPr>
        <w:t xml:space="preserve"> </w:t>
      </w:r>
      <w:r>
        <w:rPr>
          <w:rFonts w:ascii="Garamond" w:hAnsi="Garamond" w:cs="Arial"/>
          <w:b/>
          <w:color w:val="548DD4" w:themeColor="text2" w:themeTint="99"/>
          <w:sz w:val="44"/>
          <w:szCs w:val="44"/>
        </w:rPr>
        <w:t>OBJETIVOS</w:t>
      </w:r>
      <w:r w:rsidR="00B47E50" w:rsidRPr="002732BE">
        <w:rPr>
          <w:rFonts w:ascii="Garamond" w:hAnsi="Garamond" w:cs="Arial"/>
          <w:b/>
          <w:color w:val="548DD4" w:themeColor="text2" w:themeTint="99"/>
          <w:sz w:val="44"/>
          <w:szCs w:val="44"/>
        </w:rPr>
        <w:t>,</w:t>
      </w:r>
      <w:r w:rsidR="00CA39B2" w:rsidRPr="002732BE">
        <w:rPr>
          <w:rFonts w:ascii="Garamond" w:hAnsi="Garamond" w:cs="Arial"/>
          <w:b/>
          <w:color w:val="548DD4" w:themeColor="text2" w:themeTint="99"/>
          <w:sz w:val="44"/>
          <w:szCs w:val="44"/>
        </w:rPr>
        <w:t xml:space="preserve"> </w:t>
      </w:r>
      <w:r w:rsidR="005D38DC" w:rsidRPr="002732BE">
        <w:rPr>
          <w:rFonts w:ascii="Garamond" w:hAnsi="Garamond" w:cs="Arial"/>
          <w:b/>
          <w:color w:val="548DD4" w:themeColor="text2" w:themeTint="99"/>
          <w:sz w:val="44"/>
          <w:szCs w:val="44"/>
        </w:rPr>
        <w:t>LIMITAÇÕES</w:t>
      </w:r>
      <w:r w:rsidR="004C1496" w:rsidRPr="002732BE">
        <w:rPr>
          <w:rFonts w:ascii="Garamond" w:hAnsi="Garamond" w:cs="Arial"/>
          <w:b/>
          <w:color w:val="548DD4" w:themeColor="text2" w:themeTint="99"/>
          <w:sz w:val="44"/>
          <w:szCs w:val="44"/>
        </w:rPr>
        <w:t xml:space="preserve"> E</w:t>
      </w:r>
      <w:r w:rsidR="00CA39B2" w:rsidRPr="002732BE">
        <w:rPr>
          <w:rFonts w:ascii="Garamond" w:hAnsi="Garamond" w:cs="Arial"/>
          <w:b/>
          <w:color w:val="548DD4" w:themeColor="text2" w:themeTint="99"/>
          <w:sz w:val="44"/>
          <w:szCs w:val="44"/>
        </w:rPr>
        <w:t xml:space="preserve"> </w:t>
      </w:r>
      <w:r w:rsidR="005D38DC" w:rsidRPr="002732BE">
        <w:rPr>
          <w:rFonts w:ascii="Garamond" w:hAnsi="Garamond" w:cs="Arial"/>
          <w:b/>
          <w:color w:val="548DD4" w:themeColor="text2" w:themeTint="99"/>
          <w:sz w:val="44"/>
          <w:szCs w:val="44"/>
        </w:rPr>
        <w:t>PROPOSTAS</w:t>
      </w:r>
    </w:p>
    <w:p w:rsidR="007D7B08" w:rsidRPr="003A1174" w:rsidRDefault="007D7B08" w:rsidP="008719D4">
      <w:pPr>
        <w:spacing w:line="240" w:lineRule="auto"/>
        <w:ind w:firstLine="708"/>
        <w:jc w:val="center"/>
        <w:rPr>
          <w:rFonts w:ascii="Garamond" w:hAnsi="Garamond" w:cs="Arial"/>
          <w:b/>
          <w:sz w:val="24"/>
          <w:szCs w:val="24"/>
        </w:rPr>
      </w:pPr>
    </w:p>
    <w:p w:rsidR="007D7B08" w:rsidRPr="003A1174" w:rsidRDefault="007D7B08" w:rsidP="008719D4">
      <w:pPr>
        <w:spacing w:line="240" w:lineRule="auto"/>
        <w:ind w:firstLine="708"/>
        <w:jc w:val="center"/>
        <w:rPr>
          <w:rFonts w:ascii="Garamond" w:hAnsi="Garamond" w:cs="Arial"/>
          <w:b/>
          <w:sz w:val="24"/>
          <w:szCs w:val="24"/>
        </w:rPr>
      </w:pPr>
    </w:p>
    <w:p w:rsidR="007D7B08" w:rsidRPr="003A1174" w:rsidRDefault="007D7B08"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23D2E" w:rsidRPr="003A1174" w:rsidRDefault="00123D2E" w:rsidP="008719D4">
      <w:pPr>
        <w:spacing w:line="240" w:lineRule="auto"/>
        <w:ind w:firstLine="708"/>
        <w:jc w:val="center"/>
        <w:rPr>
          <w:rFonts w:ascii="Garamond" w:hAnsi="Garamond" w:cs="Arial"/>
          <w:b/>
          <w:sz w:val="24"/>
          <w:szCs w:val="24"/>
        </w:rPr>
      </w:pPr>
    </w:p>
    <w:p w:rsidR="001D4C39" w:rsidRPr="003A1174" w:rsidRDefault="001D4C39" w:rsidP="008719D4">
      <w:pPr>
        <w:spacing w:line="240" w:lineRule="auto"/>
        <w:ind w:firstLine="708"/>
        <w:jc w:val="center"/>
        <w:rPr>
          <w:rFonts w:ascii="Garamond" w:hAnsi="Garamond" w:cs="Arial"/>
          <w:b/>
          <w:sz w:val="24"/>
          <w:szCs w:val="24"/>
        </w:rPr>
      </w:pPr>
    </w:p>
    <w:p w:rsidR="001D4C39" w:rsidRPr="003A1174" w:rsidRDefault="001D4C39" w:rsidP="008719D4">
      <w:pPr>
        <w:spacing w:line="240" w:lineRule="auto"/>
        <w:ind w:firstLine="708"/>
        <w:jc w:val="center"/>
        <w:rPr>
          <w:rFonts w:ascii="Garamond" w:hAnsi="Garamond" w:cs="Arial"/>
          <w:b/>
          <w:sz w:val="24"/>
          <w:szCs w:val="24"/>
        </w:rPr>
      </w:pPr>
    </w:p>
    <w:p w:rsidR="007D7B08" w:rsidRPr="003A1174" w:rsidRDefault="00123D2E" w:rsidP="008719D4">
      <w:pPr>
        <w:spacing w:line="240" w:lineRule="auto"/>
        <w:ind w:firstLine="708"/>
        <w:jc w:val="both"/>
        <w:rPr>
          <w:rFonts w:ascii="Garamond" w:hAnsi="Garamond" w:cs="Arial"/>
          <w:b/>
          <w:sz w:val="24"/>
          <w:szCs w:val="24"/>
        </w:rPr>
      </w:pPr>
      <w:r w:rsidRPr="003A1174">
        <w:rPr>
          <w:rFonts w:ascii="Garamond" w:hAnsi="Garamond" w:cs="Arial"/>
          <w:b/>
          <w:noProof/>
          <w:sz w:val="24"/>
          <w:szCs w:val="24"/>
          <w:lang w:val="es-PE" w:eastAsia="es-PE"/>
        </w:rPr>
        <w:lastRenderedPageBreak/>
        <w:drawing>
          <wp:inline distT="0" distB="0" distL="0" distR="0" wp14:anchorId="1F5ED368" wp14:editId="13E1126D">
            <wp:extent cx="56007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990600"/>
                    </a:xfrm>
                    <a:prstGeom prst="rect">
                      <a:avLst/>
                    </a:prstGeom>
                    <a:noFill/>
                    <a:ln>
                      <a:noFill/>
                    </a:ln>
                  </pic:spPr>
                </pic:pic>
              </a:graphicData>
            </a:graphic>
          </wp:inline>
        </w:drawing>
      </w:r>
    </w:p>
    <w:p w:rsidR="001D4C39" w:rsidRPr="003A1174" w:rsidRDefault="001D4C39" w:rsidP="008719D4">
      <w:pPr>
        <w:spacing w:line="240" w:lineRule="auto"/>
        <w:rPr>
          <w:rFonts w:ascii="Garamond" w:eastAsia="Times New Roman" w:hAnsi="Garamond" w:cs="Arial"/>
          <w:b/>
          <w:bCs/>
          <w:sz w:val="24"/>
          <w:szCs w:val="24"/>
          <w:bdr w:val="none" w:sz="0" w:space="0" w:color="auto" w:frame="1"/>
        </w:rPr>
      </w:pPr>
    </w:p>
    <w:p w:rsidR="009B55EE" w:rsidRPr="003A1174" w:rsidRDefault="009B55EE" w:rsidP="008719D4">
      <w:pPr>
        <w:spacing w:line="240" w:lineRule="auto"/>
        <w:rPr>
          <w:rFonts w:ascii="Garamond" w:eastAsia="Times New Roman" w:hAnsi="Garamond" w:cs="Arial"/>
          <w:b/>
          <w:bCs/>
          <w:sz w:val="24"/>
          <w:szCs w:val="24"/>
          <w:bdr w:val="none" w:sz="0" w:space="0" w:color="auto" w:frame="1"/>
        </w:rPr>
      </w:pPr>
    </w:p>
    <w:p w:rsidR="009B55EE" w:rsidRPr="003A1174" w:rsidRDefault="009B55EE" w:rsidP="008719D4">
      <w:pPr>
        <w:spacing w:line="240" w:lineRule="auto"/>
        <w:rPr>
          <w:rFonts w:ascii="Garamond" w:eastAsia="Times New Roman" w:hAnsi="Garamond" w:cs="Arial"/>
          <w:b/>
          <w:bCs/>
          <w:sz w:val="24"/>
          <w:szCs w:val="24"/>
          <w:bdr w:val="none" w:sz="0" w:space="0" w:color="auto" w:frame="1"/>
        </w:rPr>
      </w:pPr>
    </w:p>
    <w:p w:rsidR="002B21B7" w:rsidRPr="003A1174" w:rsidRDefault="004C1496" w:rsidP="008719D4">
      <w:pPr>
        <w:spacing w:line="240" w:lineRule="auto"/>
        <w:rPr>
          <w:rFonts w:ascii="Garamond" w:eastAsia="Times New Roman" w:hAnsi="Garamond" w:cs="Arial"/>
          <w:b/>
          <w:bCs/>
          <w:sz w:val="24"/>
          <w:szCs w:val="24"/>
          <w:bdr w:val="none" w:sz="0" w:space="0" w:color="auto" w:frame="1"/>
        </w:rPr>
      </w:pPr>
      <w:r w:rsidRPr="003A1174">
        <w:rPr>
          <w:rFonts w:ascii="Garamond" w:eastAsia="Times New Roman" w:hAnsi="Garamond" w:cs="Arial"/>
          <w:b/>
          <w:bCs/>
          <w:sz w:val="24"/>
          <w:szCs w:val="24"/>
          <w:bdr w:val="none" w:sz="0" w:space="0" w:color="auto" w:frame="1"/>
        </w:rPr>
        <w:t>Conselho</w:t>
      </w:r>
      <w:r w:rsidR="002B21B7" w:rsidRPr="003A1174">
        <w:rPr>
          <w:rFonts w:ascii="Garamond" w:eastAsia="Times New Roman" w:hAnsi="Garamond" w:cs="Arial"/>
          <w:b/>
          <w:bCs/>
          <w:sz w:val="24"/>
          <w:szCs w:val="24"/>
          <w:bdr w:val="none" w:sz="0" w:space="0" w:color="auto" w:frame="1"/>
        </w:rPr>
        <w:t xml:space="preserve"> </w:t>
      </w:r>
      <w:r w:rsidRPr="003A1174">
        <w:rPr>
          <w:rFonts w:ascii="Garamond" w:eastAsia="Times New Roman" w:hAnsi="Garamond" w:cs="Arial"/>
          <w:b/>
          <w:bCs/>
          <w:sz w:val="24"/>
          <w:szCs w:val="24"/>
          <w:bdr w:val="none" w:sz="0" w:space="0" w:color="auto" w:frame="1"/>
        </w:rPr>
        <w:t>Reitor d</w:t>
      </w:r>
      <w:r w:rsidR="002B21B7" w:rsidRPr="003A1174">
        <w:rPr>
          <w:rFonts w:ascii="Garamond" w:eastAsia="Times New Roman" w:hAnsi="Garamond" w:cs="Arial"/>
          <w:b/>
          <w:bCs/>
          <w:sz w:val="24"/>
          <w:szCs w:val="24"/>
          <w:bdr w:val="none" w:sz="0" w:space="0" w:color="auto" w:frame="1"/>
        </w:rPr>
        <w:t xml:space="preserve">a </w:t>
      </w:r>
      <w:r w:rsidR="00C30647" w:rsidRPr="003A1174">
        <w:rPr>
          <w:rFonts w:ascii="Garamond" w:eastAsia="Times New Roman" w:hAnsi="Garamond" w:cs="Arial"/>
          <w:b/>
          <w:bCs/>
          <w:sz w:val="24"/>
          <w:szCs w:val="24"/>
          <w:bdr w:val="none" w:sz="0" w:space="0" w:color="auto" w:frame="1"/>
        </w:rPr>
        <w:t>Federação</w:t>
      </w:r>
      <w:r w:rsidR="002B21B7" w:rsidRPr="003A1174">
        <w:rPr>
          <w:rFonts w:ascii="Garamond" w:eastAsia="Times New Roman" w:hAnsi="Garamond" w:cs="Arial"/>
          <w:b/>
          <w:bCs/>
          <w:sz w:val="24"/>
          <w:szCs w:val="24"/>
          <w:bdr w:val="none" w:sz="0" w:space="0" w:color="auto" w:frame="1"/>
        </w:rPr>
        <w:t xml:space="preserve"> Iberoamericana de Ombudsman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B21B7" w:rsidRPr="003A1174" w:rsidTr="002B21B7">
        <w:tc>
          <w:tcPr>
            <w:tcW w:w="4489" w:type="dxa"/>
          </w:tcPr>
          <w:p w:rsidR="002B21B7" w:rsidRPr="003A1174" w:rsidRDefault="002B21B7" w:rsidP="008719D4">
            <w:pPr>
              <w:rPr>
                <w:rFonts w:ascii="Garamond" w:eastAsia="Times New Roman" w:hAnsi="Garamond" w:cs="Arial"/>
                <w:sz w:val="24"/>
                <w:szCs w:val="24"/>
              </w:rPr>
            </w:pPr>
            <w:r w:rsidRPr="003A1174">
              <w:rPr>
                <w:rFonts w:ascii="Garamond" w:eastAsia="Times New Roman" w:hAnsi="Garamond" w:cs="Arial"/>
                <w:b/>
                <w:bCs/>
                <w:sz w:val="24"/>
                <w:szCs w:val="24"/>
                <w:bdr w:val="none" w:sz="0" w:space="0" w:color="auto" w:frame="1"/>
              </w:rPr>
              <w:t>Presidente</w:t>
            </w:r>
          </w:p>
          <w:p w:rsidR="002B21B7" w:rsidRPr="003A1174" w:rsidRDefault="002B21B7" w:rsidP="008719D4">
            <w:pPr>
              <w:rPr>
                <w:rFonts w:ascii="Garamond" w:eastAsia="Times New Roman" w:hAnsi="Garamond" w:cs="Arial"/>
                <w:sz w:val="24"/>
                <w:szCs w:val="24"/>
                <w:bdr w:val="none" w:sz="0" w:space="0" w:color="auto" w:frame="1"/>
              </w:rPr>
            </w:pPr>
            <w:r w:rsidRPr="003A1174">
              <w:rPr>
                <w:rFonts w:ascii="Garamond" w:eastAsia="Times New Roman" w:hAnsi="Garamond" w:cs="Arial"/>
                <w:sz w:val="24"/>
                <w:szCs w:val="24"/>
              </w:rPr>
              <w:t>Sr. </w:t>
            </w:r>
            <w:r w:rsidR="008F2153">
              <w:rPr>
                <w:rFonts w:ascii="Garamond" w:eastAsia="Times New Roman" w:hAnsi="Garamond" w:cs="Arial"/>
                <w:sz w:val="24"/>
                <w:szCs w:val="24"/>
              </w:rPr>
              <w:t xml:space="preserve"> </w:t>
            </w:r>
            <w:r w:rsidRPr="003A1174">
              <w:rPr>
                <w:rFonts w:ascii="Garamond" w:eastAsia="Times New Roman" w:hAnsi="Garamond" w:cs="Arial"/>
                <w:sz w:val="24"/>
                <w:szCs w:val="24"/>
                <w:bdr w:val="none" w:sz="0" w:space="0" w:color="auto" w:frame="1"/>
              </w:rPr>
              <w:t xml:space="preserve">Manuel María Páez Monges, </w:t>
            </w:r>
            <w:r w:rsidR="004C1496" w:rsidRPr="003A1174">
              <w:rPr>
                <w:rFonts w:ascii="Garamond" w:eastAsia="Times New Roman" w:hAnsi="Garamond" w:cs="Arial"/>
                <w:sz w:val="24"/>
                <w:szCs w:val="24"/>
                <w:bdr w:val="none" w:sz="0" w:space="0" w:color="auto" w:frame="1"/>
              </w:rPr>
              <w:t>Provedor de Justiça da República do</w:t>
            </w:r>
            <w:r w:rsidRPr="003A1174">
              <w:rPr>
                <w:rFonts w:ascii="Garamond" w:eastAsia="Times New Roman" w:hAnsi="Garamond" w:cs="Arial"/>
                <w:sz w:val="24"/>
                <w:szCs w:val="24"/>
                <w:bdr w:val="none" w:sz="0" w:space="0" w:color="auto" w:frame="1"/>
              </w:rPr>
              <w:t xml:space="preserve"> </w:t>
            </w:r>
            <w:r w:rsidR="00C30647" w:rsidRPr="003A1174">
              <w:rPr>
                <w:rFonts w:ascii="Garamond" w:eastAsia="Times New Roman" w:hAnsi="Garamond" w:cs="Arial"/>
                <w:sz w:val="24"/>
                <w:szCs w:val="24"/>
                <w:bdr w:val="none" w:sz="0" w:space="0" w:color="auto" w:frame="1"/>
              </w:rPr>
              <w:t>Paraguai</w:t>
            </w:r>
          </w:p>
          <w:p w:rsidR="002B21B7" w:rsidRPr="003A1174" w:rsidRDefault="002B21B7" w:rsidP="008719D4">
            <w:pPr>
              <w:rPr>
                <w:rFonts w:ascii="Garamond" w:eastAsia="Times New Roman" w:hAnsi="Garamond" w:cs="Arial"/>
                <w:sz w:val="24"/>
                <w:szCs w:val="24"/>
                <w:bdr w:val="none" w:sz="0" w:space="0" w:color="auto" w:frame="1"/>
              </w:rPr>
            </w:pPr>
          </w:p>
          <w:p w:rsidR="002B21B7" w:rsidRPr="003A1174" w:rsidRDefault="00C04CA4" w:rsidP="008719D4">
            <w:pPr>
              <w:rPr>
                <w:rFonts w:ascii="Garamond" w:eastAsia="Times New Roman" w:hAnsi="Garamond" w:cs="Arial"/>
                <w:sz w:val="24"/>
                <w:szCs w:val="24"/>
              </w:rPr>
            </w:pPr>
            <w:r w:rsidRPr="003A1174">
              <w:rPr>
                <w:rFonts w:ascii="Garamond" w:eastAsia="Times New Roman" w:hAnsi="Garamond" w:cs="Arial"/>
                <w:b/>
                <w:bCs/>
                <w:sz w:val="24"/>
                <w:szCs w:val="24"/>
                <w:bdr w:val="none" w:sz="0" w:space="0" w:color="auto" w:frame="1"/>
              </w:rPr>
              <w:t>Vice-</w:t>
            </w:r>
            <w:r w:rsidR="008F2153">
              <w:rPr>
                <w:rFonts w:ascii="Garamond" w:eastAsia="Times New Roman" w:hAnsi="Garamond" w:cs="Arial"/>
                <w:b/>
                <w:bCs/>
                <w:sz w:val="24"/>
                <w:szCs w:val="24"/>
                <w:bdr w:val="none" w:sz="0" w:space="0" w:color="auto" w:frame="1"/>
              </w:rPr>
              <w:t>P</w:t>
            </w:r>
            <w:r w:rsidRPr="003A1174">
              <w:rPr>
                <w:rFonts w:ascii="Garamond" w:eastAsia="Times New Roman" w:hAnsi="Garamond" w:cs="Arial"/>
                <w:b/>
                <w:bCs/>
                <w:sz w:val="24"/>
                <w:szCs w:val="24"/>
                <w:bdr w:val="none" w:sz="0" w:space="0" w:color="auto" w:frame="1"/>
              </w:rPr>
              <w:t>resident</w:t>
            </w:r>
            <w:r w:rsidR="008F2153">
              <w:rPr>
                <w:rFonts w:ascii="Garamond" w:eastAsia="Times New Roman" w:hAnsi="Garamond" w:cs="Arial"/>
                <w:b/>
                <w:bCs/>
                <w:sz w:val="24"/>
                <w:szCs w:val="24"/>
                <w:bdr w:val="none" w:sz="0" w:space="0" w:color="auto" w:frame="1"/>
              </w:rPr>
              <w:t>e</w:t>
            </w:r>
            <w:r w:rsidR="002B21B7" w:rsidRPr="003A1174">
              <w:rPr>
                <w:rFonts w:ascii="Garamond" w:eastAsia="Times New Roman" w:hAnsi="Garamond" w:cs="Arial"/>
                <w:b/>
                <w:bCs/>
                <w:sz w:val="24"/>
                <w:szCs w:val="24"/>
                <w:bdr w:val="none" w:sz="0" w:space="0" w:color="auto" w:frame="1"/>
              </w:rPr>
              <w:t xml:space="preserve"> </w:t>
            </w:r>
            <w:r w:rsidR="008F2153">
              <w:rPr>
                <w:rFonts w:ascii="Garamond" w:eastAsia="Times New Roman" w:hAnsi="Garamond" w:cs="Arial"/>
                <w:b/>
                <w:bCs/>
                <w:sz w:val="24"/>
                <w:szCs w:val="24"/>
                <w:bdr w:val="none" w:sz="0" w:space="0" w:color="auto" w:frame="1"/>
              </w:rPr>
              <w:t>(</w:t>
            </w:r>
            <w:r w:rsidR="004C1496" w:rsidRPr="003A1174">
              <w:rPr>
                <w:rFonts w:ascii="Garamond" w:eastAsia="Times New Roman" w:hAnsi="Garamond" w:cs="Arial"/>
                <w:b/>
                <w:bCs/>
                <w:sz w:val="24"/>
                <w:szCs w:val="24"/>
                <w:bdr w:val="none" w:sz="0" w:space="0" w:color="auto" w:frame="1"/>
              </w:rPr>
              <w:t>Primeira</w:t>
            </w:r>
            <w:r w:rsidR="008F2153">
              <w:rPr>
                <w:rFonts w:ascii="Garamond" w:eastAsia="Times New Roman" w:hAnsi="Garamond" w:cs="Arial"/>
                <w:b/>
                <w:bCs/>
                <w:sz w:val="24"/>
                <w:szCs w:val="24"/>
                <w:bdr w:val="none" w:sz="0" w:space="0" w:color="auto" w:frame="1"/>
              </w:rPr>
              <w:t>)</w:t>
            </w:r>
          </w:p>
          <w:p w:rsidR="002B21B7" w:rsidRPr="003A1174" w:rsidRDefault="002B21B7" w:rsidP="008719D4">
            <w:pPr>
              <w:rPr>
                <w:rFonts w:ascii="Garamond" w:eastAsia="Times New Roman" w:hAnsi="Garamond" w:cs="Arial"/>
                <w:b/>
                <w:bCs/>
                <w:sz w:val="24"/>
                <w:szCs w:val="24"/>
                <w:bdr w:val="none" w:sz="0" w:space="0" w:color="auto" w:frame="1"/>
              </w:rPr>
            </w:pPr>
            <w:r w:rsidRPr="003A1174">
              <w:rPr>
                <w:rFonts w:ascii="Garamond" w:eastAsia="Times New Roman" w:hAnsi="Garamond" w:cs="Arial"/>
                <w:sz w:val="24"/>
                <w:szCs w:val="24"/>
                <w:bdr w:val="none" w:sz="0" w:space="0" w:color="auto" w:frame="1"/>
              </w:rPr>
              <w:t xml:space="preserve">Lic. Lilia Herrera Mow, </w:t>
            </w:r>
            <w:r w:rsidR="004C1496" w:rsidRPr="003A1174">
              <w:rPr>
                <w:rFonts w:ascii="Garamond" w:eastAsia="Times New Roman" w:hAnsi="Garamond" w:cs="Arial"/>
                <w:sz w:val="24"/>
                <w:szCs w:val="24"/>
                <w:bdr w:val="none" w:sz="0" w:space="0" w:color="auto" w:frame="1"/>
              </w:rPr>
              <w:t>Provedora de Justiça da República do</w:t>
            </w:r>
            <w:r w:rsidRPr="003A1174">
              <w:rPr>
                <w:rFonts w:ascii="Garamond" w:eastAsia="Times New Roman" w:hAnsi="Garamond" w:cs="Arial"/>
                <w:sz w:val="24"/>
                <w:szCs w:val="24"/>
                <w:bdr w:val="none" w:sz="0" w:space="0" w:color="auto" w:frame="1"/>
              </w:rPr>
              <w:t xml:space="preserve"> Panamá </w:t>
            </w:r>
          </w:p>
          <w:p w:rsidR="002B21B7" w:rsidRPr="003A1174" w:rsidRDefault="002B21B7" w:rsidP="008719D4">
            <w:pPr>
              <w:rPr>
                <w:rFonts w:ascii="Garamond" w:eastAsia="Times New Roman" w:hAnsi="Garamond" w:cs="Arial"/>
                <w:b/>
                <w:bCs/>
                <w:sz w:val="24"/>
                <w:szCs w:val="24"/>
                <w:bdr w:val="none" w:sz="0" w:space="0" w:color="auto" w:frame="1"/>
              </w:rPr>
            </w:pPr>
          </w:p>
          <w:p w:rsidR="002B21B7" w:rsidRPr="003A1174" w:rsidRDefault="00C04CA4" w:rsidP="008719D4">
            <w:pPr>
              <w:rPr>
                <w:rFonts w:ascii="Garamond" w:eastAsia="Times New Roman" w:hAnsi="Garamond" w:cs="Arial"/>
                <w:sz w:val="24"/>
                <w:szCs w:val="24"/>
              </w:rPr>
            </w:pPr>
            <w:r w:rsidRPr="003A1174">
              <w:rPr>
                <w:rFonts w:ascii="Garamond" w:eastAsia="Times New Roman" w:hAnsi="Garamond" w:cs="Arial"/>
                <w:b/>
                <w:bCs/>
                <w:sz w:val="24"/>
                <w:szCs w:val="24"/>
                <w:bdr w:val="none" w:sz="0" w:space="0" w:color="auto" w:frame="1"/>
              </w:rPr>
              <w:t>Vice-</w:t>
            </w:r>
            <w:r w:rsidR="008F2153">
              <w:rPr>
                <w:rFonts w:ascii="Garamond" w:eastAsia="Times New Roman" w:hAnsi="Garamond" w:cs="Arial"/>
                <w:b/>
                <w:bCs/>
                <w:sz w:val="24"/>
                <w:szCs w:val="24"/>
                <w:bdr w:val="none" w:sz="0" w:space="0" w:color="auto" w:frame="1"/>
              </w:rPr>
              <w:t>P</w:t>
            </w:r>
            <w:r w:rsidRPr="003A1174">
              <w:rPr>
                <w:rFonts w:ascii="Garamond" w:eastAsia="Times New Roman" w:hAnsi="Garamond" w:cs="Arial"/>
                <w:b/>
                <w:bCs/>
                <w:sz w:val="24"/>
                <w:szCs w:val="24"/>
                <w:bdr w:val="none" w:sz="0" w:space="0" w:color="auto" w:frame="1"/>
              </w:rPr>
              <w:t>residente</w:t>
            </w:r>
            <w:r w:rsidR="002B21B7" w:rsidRPr="003A1174">
              <w:rPr>
                <w:rFonts w:ascii="Garamond" w:eastAsia="Times New Roman" w:hAnsi="Garamond" w:cs="Arial"/>
                <w:b/>
                <w:bCs/>
                <w:sz w:val="24"/>
                <w:szCs w:val="24"/>
                <w:bdr w:val="none" w:sz="0" w:space="0" w:color="auto" w:frame="1"/>
              </w:rPr>
              <w:t xml:space="preserve"> </w:t>
            </w:r>
            <w:r w:rsidR="008F2153">
              <w:rPr>
                <w:rFonts w:ascii="Garamond" w:eastAsia="Times New Roman" w:hAnsi="Garamond" w:cs="Arial"/>
                <w:b/>
                <w:bCs/>
                <w:sz w:val="24"/>
                <w:szCs w:val="24"/>
                <w:bdr w:val="none" w:sz="0" w:space="0" w:color="auto" w:frame="1"/>
              </w:rPr>
              <w:t>(</w:t>
            </w:r>
            <w:r w:rsidR="002B21B7" w:rsidRPr="003A1174">
              <w:rPr>
                <w:rFonts w:ascii="Garamond" w:eastAsia="Times New Roman" w:hAnsi="Garamond" w:cs="Arial"/>
                <w:b/>
                <w:bCs/>
                <w:sz w:val="24"/>
                <w:szCs w:val="24"/>
                <w:bdr w:val="none" w:sz="0" w:space="0" w:color="auto" w:frame="1"/>
              </w:rPr>
              <w:t>Segundo</w:t>
            </w:r>
            <w:r w:rsidR="008F2153">
              <w:rPr>
                <w:rFonts w:ascii="Garamond" w:eastAsia="Times New Roman" w:hAnsi="Garamond" w:cs="Arial"/>
                <w:b/>
                <w:bCs/>
                <w:sz w:val="24"/>
                <w:szCs w:val="24"/>
                <w:bdr w:val="none" w:sz="0" w:space="0" w:color="auto" w:frame="1"/>
              </w:rPr>
              <w:t>)</w:t>
            </w:r>
          </w:p>
          <w:p w:rsidR="002B21B7" w:rsidRPr="003A1174" w:rsidRDefault="002B21B7" w:rsidP="008F2153">
            <w:pPr>
              <w:rPr>
                <w:rFonts w:ascii="Garamond" w:hAnsi="Garamond" w:cs="Arial"/>
                <w:sz w:val="24"/>
                <w:szCs w:val="24"/>
              </w:rPr>
            </w:pPr>
            <w:r w:rsidRPr="003A1174">
              <w:rPr>
                <w:rFonts w:ascii="Garamond" w:eastAsia="Times New Roman" w:hAnsi="Garamond" w:cs="Arial"/>
                <w:sz w:val="24"/>
                <w:szCs w:val="24"/>
                <w:bdr w:val="none" w:sz="0" w:space="0" w:color="auto" w:frame="1"/>
              </w:rPr>
              <w:t>D</w:t>
            </w:r>
            <w:r w:rsidR="008F2153">
              <w:rPr>
                <w:rFonts w:ascii="Garamond" w:eastAsia="Times New Roman" w:hAnsi="Garamond" w:cs="Arial"/>
                <w:sz w:val="24"/>
                <w:szCs w:val="24"/>
                <w:bdr w:val="none" w:sz="0" w:space="0" w:color="auto" w:frame="1"/>
              </w:rPr>
              <w:t>outo</w:t>
            </w:r>
            <w:r w:rsidRPr="003A1174">
              <w:rPr>
                <w:rFonts w:ascii="Garamond" w:eastAsia="Times New Roman" w:hAnsi="Garamond" w:cs="Arial"/>
                <w:sz w:val="24"/>
                <w:szCs w:val="24"/>
                <w:bdr w:val="none" w:sz="0" w:space="0" w:color="auto" w:frame="1"/>
              </w:rPr>
              <w:t xml:space="preserve">r Rolando Villena Villegas, </w:t>
            </w:r>
            <w:r w:rsidR="004C1496" w:rsidRPr="003A1174">
              <w:rPr>
                <w:rFonts w:ascii="Garamond" w:eastAsia="Times New Roman" w:hAnsi="Garamond" w:cs="Arial"/>
                <w:sz w:val="24"/>
                <w:szCs w:val="24"/>
                <w:bdr w:val="none" w:sz="0" w:space="0" w:color="auto" w:frame="1"/>
              </w:rPr>
              <w:t>Provedor de Justiça</w:t>
            </w:r>
            <w:r w:rsidRPr="003A1174">
              <w:rPr>
                <w:rFonts w:ascii="Garamond" w:eastAsia="Times New Roman" w:hAnsi="Garamond" w:cs="Arial"/>
                <w:sz w:val="24"/>
                <w:szCs w:val="24"/>
                <w:bdr w:val="none" w:sz="0" w:space="0" w:color="auto" w:frame="1"/>
              </w:rPr>
              <w:t xml:space="preserve"> d</w:t>
            </w:r>
            <w:r w:rsidR="00C04CA4" w:rsidRPr="003A1174">
              <w:rPr>
                <w:rFonts w:ascii="Garamond" w:eastAsia="Times New Roman" w:hAnsi="Garamond" w:cs="Arial"/>
                <w:sz w:val="24"/>
                <w:szCs w:val="24"/>
                <w:bdr w:val="none" w:sz="0" w:space="0" w:color="auto" w:frame="1"/>
              </w:rPr>
              <w:t>o</w:t>
            </w:r>
            <w:r w:rsidRPr="003A1174">
              <w:rPr>
                <w:rFonts w:ascii="Garamond" w:eastAsia="Times New Roman" w:hAnsi="Garamond" w:cs="Arial"/>
                <w:sz w:val="24"/>
                <w:szCs w:val="24"/>
                <w:bdr w:val="none" w:sz="0" w:space="0" w:color="auto" w:frame="1"/>
              </w:rPr>
              <w:t xml:space="preserve"> Estado Plur</w:t>
            </w:r>
            <w:r w:rsidR="00C04CA4" w:rsidRPr="003A1174">
              <w:rPr>
                <w:rFonts w:ascii="Garamond" w:eastAsia="Times New Roman" w:hAnsi="Garamond" w:cs="Arial"/>
                <w:sz w:val="24"/>
                <w:szCs w:val="24"/>
                <w:bdr w:val="none" w:sz="0" w:space="0" w:color="auto" w:frame="1"/>
              </w:rPr>
              <w:t>inacional da</w:t>
            </w:r>
            <w:r w:rsidRPr="003A1174">
              <w:rPr>
                <w:rFonts w:ascii="Garamond" w:eastAsia="Times New Roman" w:hAnsi="Garamond" w:cs="Arial"/>
                <w:sz w:val="24"/>
                <w:szCs w:val="24"/>
                <w:bdr w:val="none" w:sz="0" w:space="0" w:color="auto" w:frame="1"/>
              </w:rPr>
              <w:t xml:space="preserve"> </w:t>
            </w:r>
            <w:r w:rsidR="00C30647" w:rsidRPr="003A1174">
              <w:rPr>
                <w:rFonts w:ascii="Garamond" w:eastAsia="Times New Roman" w:hAnsi="Garamond" w:cs="Arial"/>
                <w:sz w:val="24"/>
                <w:szCs w:val="24"/>
                <w:bdr w:val="none" w:sz="0" w:space="0" w:color="auto" w:frame="1"/>
              </w:rPr>
              <w:t>Bolívia</w:t>
            </w:r>
          </w:p>
        </w:tc>
        <w:tc>
          <w:tcPr>
            <w:tcW w:w="4489" w:type="dxa"/>
          </w:tcPr>
          <w:p w:rsidR="002B21B7" w:rsidRPr="003A1174" w:rsidRDefault="00C04CA4" w:rsidP="008719D4">
            <w:pPr>
              <w:rPr>
                <w:rFonts w:ascii="Garamond" w:eastAsia="Times New Roman" w:hAnsi="Garamond" w:cs="Arial"/>
                <w:sz w:val="24"/>
                <w:szCs w:val="24"/>
                <w:lang w:val="pt-BR"/>
              </w:rPr>
            </w:pPr>
            <w:r w:rsidRPr="003A1174">
              <w:rPr>
                <w:rFonts w:ascii="Garamond" w:eastAsia="Times New Roman" w:hAnsi="Garamond" w:cs="Arial"/>
                <w:b/>
                <w:bCs/>
                <w:sz w:val="24"/>
                <w:szCs w:val="24"/>
                <w:bdr w:val="none" w:sz="0" w:space="0" w:color="auto" w:frame="1"/>
                <w:lang w:val="pt-BR"/>
              </w:rPr>
              <w:t>Vice-</w:t>
            </w:r>
            <w:r w:rsidR="008F2153">
              <w:rPr>
                <w:rFonts w:ascii="Garamond" w:eastAsia="Times New Roman" w:hAnsi="Garamond" w:cs="Arial"/>
                <w:b/>
                <w:bCs/>
                <w:sz w:val="24"/>
                <w:szCs w:val="24"/>
                <w:bdr w:val="none" w:sz="0" w:space="0" w:color="auto" w:frame="1"/>
                <w:lang w:val="pt-BR"/>
              </w:rPr>
              <w:t>P</w:t>
            </w:r>
            <w:r w:rsidRPr="003A1174">
              <w:rPr>
                <w:rFonts w:ascii="Garamond" w:eastAsia="Times New Roman" w:hAnsi="Garamond" w:cs="Arial"/>
                <w:b/>
                <w:bCs/>
                <w:sz w:val="24"/>
                <w:szCs w:val="24"/>
                <w:bdr w:val="none" w:sz="0" w:space="0" w:color="auto" w:frame="1"/>
                <w:lang w:val="pt-BR"/>
              </w:rPr>
              <w:t>residente</w:t>
            </w:r>
            <w:r w:rsidR="002B21B7" w:rsidRPr="003A1174">
              <w:rPr>
                <w:rFonts w:ascii="Garamond" w:eastAsia="Times New Roman" w:hAnsi="Garamond" w:cs="Arial"/>
                <w:b/>
                <w:bCs/>
                <w:sz w:val="24"/>
                <w:szCs w:val="24"/>
                <w:bdr w:val="none" w:sz="0" w:space="0" w:color="auto" w:frame="1"/>
                <w:lang w:val="pt-BR"/>
              </w:rPr>
              <w:t xml:space="preserve"> </w:t>
            </w:r>
            <w:r w:rsidR="008F2153">
              <w:rPr>
                <w:rFonts w:ascii="Garamond" w:eastAsia="Times New Roman" w:hAnsi="Garamond" w:cs="Arial"/>
                <w:b/>
                <w:bCs/>
                <w:sz w:val="24"/>
                <w:szCs w:val="24"/>
                <w:bdr w:val="none" w:sz="0" w:space="0" w:color="auto" w:frame="1"/>
                <w:lang w:val="pt-BR"/>
              </w:rPr>
              <w:t>(</w:t>
            </w:r>
            <w:r w:rsidR="00661ADB" w:rsidRPr="003A1174">
              <w:rPr>
                <w:rFonts w:ascii="Garamond" w:eastAsia="Times New Roman" w:hAnsi="Garamond" w:cs="Arial"/>
                <w:b/>
                <w:bCs/>
                <w:sz w:val="24"/>
                <w:szCs w:val="24"/>
                <w:bdr w:val="none" w:sz="0" w:space="0" w:color="auto" w:frame="1"/>
                <w:lang w:val="pt-BR"/>
              </w:rPr>
              <w:t>Terceiro</w:t>
            </w:r>
            <w:r w:rsidR="008F2153">
              <w:rPr>
                <w:rFonts w:ascii="Garamond" w:eastAsia="Times New Roman" w:hAnsi="Garamond" w:cs="Arial"/>
                <w:b/>
                <w:bCs/>
                <w:sz w:val="24"/>
                <w:szCs w:val="24"/>
                <w:bdr w:val="none" w:sz="0" w:space="0" w:color="auto" w:frame="1"/>
                <w:lang w:val="pt-BR"/>
              </w:rPr>
              <w:t>)</w:t>
            </w:r>
          </w:p>
          <w:p w:rsidR="002B21B7" w:rsidRPr="003A1174" w:rsidRDefault="002B21B7" w:rsidP="008719D4">
            <w:pPr>
              <w:rPr>
                <w:rFonts w:ascii="Garamond" w:eastAsia="Times New Roman" w:hAnsi="Garamond" w:cs="Arial"/>
                <w:sz w:val="24"/>
                <w:szCs w:val="24"/>
                <w:bdr w:val="none" w:sz="0" w:space="0" w:color="auto" w:frame="1"/>
                <w:lang w:val="pt-BR"/>
              </w:rPr>
            </w:pPr>
            <w:r w:rsidRPr="003A1174">
              <w:rPr>
                <w:rFonts w:ascii="Garamond" w:eastAsia="Times New Roman" w:hAnsi="Garamond" w:cs="Arial"/>
                <w:sz w:val="24"/>
                <w:szCs w:val="24"/>
                <w:bdr w:val="none" w:sz="0" w:space="0" w:color="auto" w:frame="1"/>
                <w:lang w:val="pt-BR"/>
              </w:rPr>
              <w:t>D</w:t>
            </w:r>
            <w:r w:rsidR="008F2153">
              <w:rPr>
                <w:rFonts w:ascii="Garamond" w:eastAsia="Times New Roman" w:hAnsi="Garamond" w:cs="Arial"/>
                <w:sz w:val="24"/>
                <w:szCs w:val="24"/>
                <w:bdr w:val="none" w:sz="0" w:space="0" w:color="auto" w:frame="1"/>
                <w:lang w:val="pt-BR"/>
              </w:rPr>
              <w:t>outo</w:t>
            </w:r>
            <w:r w:rsidRPr="003A1174">
              <w:rPr>
                <w:rFonts w:ascii="Garamond" w:eastAsia="Times New Roman" w:hAnsi="Garamond" w:cs="Arial"/>
                <w:sz w:val="24"/>
                <w:szCs w:val="24"/>
                <w:bdr w:val="none" w:sz="0" w:space="0" w:color="auto" w:frame="1"/>
                <w:lang w:val="pt-BR"/>
              </w:rPr>
              <w:t>r José de Faria Costa, Provedor de Justiça de Portugal</w:t>
            </w:r>
          </w:p>
          <w:p w:rsidR="002B21B7" w:rsidRPr="003A1174" w:rsidRDefault="002B21B7" w:rsidP="008719D4">
            <w:pPr>
              <w:rPr>
                <w:rFonts w:ascii="Garamond" w:eastAsia="Times New Roman" w:hAnsi="Garamond" w:cs="Arial"/>
                <w:b/>
                <w:bCs/>
                <w:sz w:val="24"/>
                <w:szCs w:val="24"/>
                <w:bdr w:val="none" w:sz="0" w:space="0" w:color="auto" w:frame="1"/>
                <w:lang w:val="pt-BR"/>
              </w:rPr>
            </w:pPr>
          </w:p>
          <w:p w:rsidR="002B21B7" w:rsidRPr="003A1174" w:rsidRDefault="00C04CA4" w:rsidP="008719D4">
            <w:pPr>
              <w:rPr>
                <w:rFonts w:ascii="Garamond" w:eastAsia="Times New Roman" w:hAnsi="Garamond" w:cs="Arial"/>
                <w:b/>
                <w:bCs/>
                <w:sz w:val="24"/>
                <w:szCs w:val="24"/>
                <w:bdr w:val="none" w:sz="0" w:space="0" w:color="auto" w:frame="1"/>
                <w:lang w:val="pt-BR"/>
              </w:rPr>
            </w:pPr>
            <w:r w:rsidRPr="003A1174">
              <w:rPr>
                <w:rFonts w:ascii="Garamond" w:eastAsia="Times New Roman" w:hAnsi="Garamond" w:cs="Arial"/>
                <w:b/>
                <w:bCs/>
                <w:sz w:val="24"/>
                <w:szCs w:val="24"/>
                <w:bdr w:val="none" w:sz="0" w:space="0" w:color="auto" w:frame="1"/>
                <w:lang w:val="pt-BR"/>
              </w:rPr>
              <w:t>Vice-</w:t>
            </w:r>
            <w:r w:rsidR="008F2153">
              <w:rPr>
                <w:rFonts w:ascii="Garamond" w:eastAsia="Times New Roman" w:hAnsi="Garamond" w:cs="Arial"/>
                <w:b/>
                <w:bCs/>
                <w:sz w:val="24"/>
                <w:szCs w:val="24"/>
                <w:bdr w:val="none" w:sz="0" w:space="0" w:color="auto" w:frame="1"/>
                <w:lang w:val="pt-BR"/>
              </w:rPr>
              <w:t>P</w:t>
            </w:r>
            <w:r w:rsidRPr="003A1174">
              <w:rPr>
                <w:rFonts w:ascii="Garamond" w:eastAsia="Times New Roman" w:hAnsi="Garamond" w:cs="Arial"/>
                <w:b/>
                <w:bCs/>
                <w:sz w:val="24"/>
                <w:szCs w:val="24"/>
                <w:bdr w:val="none" w:sz="0" w:space="0" w:color="auto" w:frame="1"/>
                <w:lang w:val="pt-BR"/>
              </w:rPr>
              <w:t>residente</w:t>
            </w:r>
            <w:r w:rsidR="002B1FE4" w:rsidRPr="003A1174">
              <w:rPr>
                <w:rFonts w:ascii="Garamond" w:eastAsia="Times New Roman" w:hAnsi="Garamond" w:cs="Arial"/>
                <w:b/>
                <w:bCs/>
                <w:sz w:val="24"/>
                <w:szCs w:val="24"/>
                <w:bdr w:val="none" w:sz="0" w:space="0" w:color="auto" w:frame="1"/>
                <w:lang w:val="pt-BR"/>
              </w:rPr>
              <w:t xml:space="preserve"> </w:t>
            </w:r>
            <w:r w:rsidR="008F2153">
              <w:rPr>
                <w:rFonts w:ascii="Garamond" w:eastAsia="Times New Roman" w:hAnsi="Garamond" w:cs="Arial"/>
                <w:b/>
                <w:bCs/>
                <w:sz w:val="24"/>
                <w:szCs w:val="24"/>
                <w:bdr w:val="none" w:sz="0" w:space="0" w:color="auto" w:frame="1"/>
                <w:lang w:val="pt-BR"/>
              </w:rPr>
              <w:t>(</w:t>
            </w:r>
            <w:r w:rsidR="002B1FE4" w:rsidRPr="003A1174">
              <w:rPr>
                <w:rFonts w:ascii="Garamond" w:eastAsia="Times New Roman" w:hAnsi="Garamond" w:cs="Arial"/>
                <w:b/>
                <w:bCs/>
                <w:sz w:val="24"/>
                <w:szCs w:val="24"/>
                <w:bdr w:val="none" w:sz="0" w:space="0" w:color="auto" w:frame="1"/>
                <w:lang w:val="pt-BR"/>
              </w:rPr>
              <w:t>Q</w:t>
            </w:r>
            <w:r w:rsidR="002B21B7" w:rsidRPr="003A1174">
              <w:rPr>
                <w:rFonts w:ascii="Garamond" w:eastAsia="Times New Roman" w:hAnsi="Garamond" w:cs="Arial"/>
                <w:b/>
                <w:bCs/>
                <w:sz w:val="24"/>
                <w:szCs w:val="24"/>
                <w:bdr w:val="none" w:sz="0" w:space="0" w:color="auto" w:frame="1"/>
                <w:lang w:val="pt-BR"/>
              </w:rPr>
              <w:t>uarto</w:t>
            </w:r>
            <w:r w:rsidR="008F2153">
              <w:rPr>
                <w:rFonts w:ascii="Garamond" w:eastAsia="Times New Roman" w:hAnsi="Garamond" w:cs="Arial"/>
                <w:b/>
                <w:bCs/>
                <w:sz w:val="24"/>
                <w:szCs w:val="24"/>
                <w:bdr w:val="none" w:sz="0" w:space="0" w:color="auto" w:frame="1"/>
                <w:lang w:val="pt-BR"/>
              </w:rPr>
              <w:t>)</w:t>
            </w:r>
            <w:r w:rsidR="002B21B7" w:rsidRPr="003A1174">
              <w:rPr>
                <w:rFonts w:ascii="Garamond" w:eastAsia="Times New Roman" w:hAnsi="Garamond" w:cs="Arial"/>
                <w:b/>
                <w:bCs/>
                <w:sz w:val="24"/>
                <w:szCs w:val="24"/>
                <w:bdr w:val="none" w:sz="0" w:space="0" w:color="auto" w:frame="1"/>
                <w:lang w:val="pt-BR"/>
              </w:rPr>
              <w:t xml:space="preserve"> </w:t>
            </w:r>
          </w:p>
          <w:p w:rsidR="002B21B7" w:rsidRPr="003A1174" w:rsidRDefault="002B21B7" w:rsidP="008719D4">
            <w:pPr>
              <w:rPr>
                <w:rFonts w:ascii="Garamond" w:eastAsia="Times New Roman" w:hAnsi="Garamond" w:cs="Arial"/>
                <w:sz w:val="24"/>
                <w:szCs w:val="24"/>
                <w:lang w:val="pt-BR"/>
              </w:rPr>
            </w:pPr>
            <w:r w:rsidRPr="003A1174">
              <w:rPr>
                <w:rFonts w:ascii="Garamond" w:eastAsia="Times New Roman" w:hAnsi="Garamond" w:cs="Arial"/>
                <w:sz w:val="24"/>
                <w:szCs w:val="24"/>
                <w:lang w:val="pt-BR"/>
              </w:rPr>
              <w:t>Lic. Luis Raúl</w:t>
            </w:r>
            <w:r w:rsidR="00C04CA4" w:rsidRPr="003A1174">
              <w:rPr>
                <w:rFonts w:ascii="Garamond" w:eastAsia="Times New Roman" w:hAnsi="Garamond" w:cs="Arial"/>
                <w:sz w:val="24"/>
                <w:szCs w:val="24"/>
                <w:lang w:val="pt-BR"/>
              </w:rPr>
              <w:t xml:space="preserve"> González Pérez, Presidente d</w:t>
            </w:r>
            <w:r w:rsidRPr="003A1174">
              <w:rPr>
                <w:rFonts w:ascii="Garamond" w:eastAsia="Times New Roman" w:hAnsi="Garamond" w:cs="Arial"/>
                <w:sz w:val="24"/>
                <w:szCs w:val="24"/>
                <w:lang w:val="pt-BR"/>
              </w:rPr>
              <w:t xml:space="preserve">a </w:t>
            </w:r>
            <w:r w:rsidR="00FC1F7F" w:rsidRPr="003A1174">
              <w:rPr>
                <w:rFonts w:ascii="Garamond" w:eastAsia="Times New Roman" w:hAnsi="Garamond" w:cs="Arial"/>
                <w:sz w:val="24"/>
                <w:szCs w:val="24"/>
                <w:lang w:val="pt-BR"/>
              </w:rPr>
              <w:t>Comissão</w:t>
            </w:r>
            <w:r w:rsidRPr="003A1174">
              <w:rPr>
                <w:rFonts w:ascii="Garamond" w:eastAsia="Times New Roman" w:hAnsi="Garamond" w:cs="Arial"/>
                <w:sz w:val="24"/>
                <w:szCs w:val="24"/>
                <w:lang w:val="pt-BR"/>
              </w:rPr>
              <w:t xml:space="preserve"> Nacional dos </w:t>
            </w:r>
            <w:r w:rsidR="00886D6A" w:rsidRPr="003A1174">
              <w:rPr>
                <w:rFonts w:ascii="Garamond" w:eastAsia="Times New Roman" w:hAnsi="Garamond" w:cs="Arial"/>
                <w:sz w:val="24"/>
                <w:szCs w:val="24"/>
                <w:lang w:val="pt-BR"/>
              </w:rPr>
              <w:t>Direito</w:t>
            </w:r>
            <w:r w:rsidR="00C04CA4" w:rsidRPr="003A1174">
              <w:rPr>
                <w:rFonts w:ascii="Garamond" w:eastAsia="Times New Roman" w:hAnsi="Garamond" w:cs="Arial"/>
                <w:sz w:val="24"/>
                <w:szCs w:val="24"/>
                <w:lang w:val="pt-BR"/>
              </w:rPr>
              <w:t>s Humanos do</w:t>
            </w:r>
            <w:r w:rsidRPr="003A1174">
              <w:rPr>
                <w:rFonts w:ascii="Garamond" w:eastAsia="Times New Roman" w:hAnsi="Garamond" w:cs="Arial"/>
                <w:sz w:val="24"/>
                <w:szCs w:val="24"/>
                <w:lang w:val="pt-BR"/>
              </w:rPr>
              <w:t xml:space="preserve"> México</w:t>
            </w:r>
          </w:p>
          <w:p w:rsidR="002B21B7" w:rsidRPr="003A1174" w:rsidRDefault="002B21B7" w:rsidP="008719D4">
            <w:pPr>
              <w:rPr>
                <w:rFonts w:ascii="Garamond" w:eastAsia="Times New Roman" w:hAnsi="Garamond" w:cs="Arial"/>
                <w:sz w:val="24"/>
                <w:szCs w:val="24"/>
                <w:lang w:val="pt-BR"/>
              </w:rPr>
            </w:pPr>
          </w:p>
          <w:p w:rsidR="002B21B7" w:rsidRPr="003A1174" w:rsidRDefault="00C04CA4" w:rsidP="008719D4">
            <w:pPr>
              <w:rPr>
                <w:rFonts w:ascii="Garamond" w:eastAsia="Times New Roman" w:hAnsi="Garamond" w:cs="Arial"/>
                <w:sz w:val="24"/>
                <w:szCs w:val="24"/>
                <w:lang w:val="pt-BR"/>
              </w:rPr>
            </w:pPr>
            <w:r w:rsidRPr="003A1174">
              <w:rPr>
                <w:rFonts w:ascii="Garamond" w:eastAsia="Times New Roman" w:hAnsi="Garamond" w:cs="Arial"/>
                <w:b/>
                <w:bCs/>
                <w:sz w:val="24"/>
                <w:szCs w:val="24"/>
                <w:bdr w:val="none" w:sz="0" w:space="0" w:color="auto" w:frame="1"/>
                <w:lang w:val="pt-BR"/>
              </w:rPr>
              <w:t>Vice-</w:t>
            </w:r>
            <w:r w:rsidR="008F2153">
              <w:rPr>
                <w:rFonts w:ascii="Garamond" w:eastAsia="Times New Roman" w:hAnsi="Garamond" w:cs="Arial"/>
                <w:b/>
                <w:bCs/>
                <w:sz w:val="24"/>
                <w:szCs w:val="24"/>
                <w:bdr w:val="none" w:sz="0" w:space="0" w:color="auto" w:frame="1"/>
                <w:lang w:val="pt-BR"/>
              </w:rPr>
              <w:t>P</w:t>
            </w:r>
            <w:r w:rsidRPr="003A1174">
              <w:rPr>
                <w:rFonts w:ascii="Garamond" w:eastAsia="Times New Roman" w:hAnsi="Garamond" w:cs="Arial"/>
                <w:b/>
                <w:bCs/>
                <w:sz w:val="24"/>
                <w:szCs w:val="24"/>
                <w:bdr w:val="none" w:sz="0" w:space="0" w:color="auto" w:frame="1"/>
                <w:lang w:val="pt-BR"/>
              </w:rPr>
              <w:t>residente</w:t>
            </w:r>
            <w:r w:rsidR="002B21B7" w:rsidRPr="003A1174">
              <w:rPr>
                <w:rFonts w:ascii="Garamond" w:eastAsia="Times New Roman" w:hAnsi="Garamond" w:cs="Arial"/>
                <w:b/>
                <w:bCs/>
                <w:sz w:val="24"/>
                <w:szCs w:val="24"/>
                <w:bdr w:val="none" w:sz="0" w:space="0" w:color="auto" w:frame="1"/>
                <w:lang w:val="pt-BR"/>
              </w:rPr>
              <w:t xml:space="preserve"> </w:t>
            </w:r>
            <w:r w:rsidR="008F2153">
              <w:rPr>
                <w:rFonts w:ascii="Garamond" w:eastAsia="Times New Roman" w:hAnsi="Garamond" w:cs="Arial"/>
                <w:b/>
                <w:bCs/>
                <w:sz w:val="24"/>
                <w:szCs w:val="24"/>
                <w:bdr w:val="none" w:sz="0" w:space="0" w:color="auto" w:frame="1"/>
                <w:lang w:val="pt-BR"/>
              </w:rPr>
              <w:t>(</w:t>
            </w:r>
            <w:r w:rsidR="002B21B7" w:rsidRPr="003A1174">
              <w:rPr>
                <w:rFonts w:ascii="Garamond" w:eastAsia="Times New Roman" w:hAnsi="Garamond" w:cs="Arial"/>
                <w:b/>
                <w:bCs/>
                <w:sz w:val="24"/>
                <w:szCs w:val="24"/>
                <w:bdr w:val="none" w:sz="0" w:space="0" w:color="auto" w:frame="1"/>
                <w:lang w:val="pt-BR"/>
              </w:rPr>
              <w:t>Quinto</w:t>
            </w:r>
            <w:r w:rsidR="008F2153">
              <w:rPr>
                <w:rFonts w:ascii="Garamond" w:eastAsia="Times New Roman" w:hAnsi="Garamond" w:cs="Arial"/>
                <w:b/>
                <w:bCs/>
                <w:sz w:val="24"/>
                <w:szCs w:val="24"/>
                <w:bdr w:val="none" w:sz="0" w:space="0" w:color="auto" w:frame="1"/>
                <w:lang w:val="pt-BR"/>
              </w:rPr>
              <w:t>)</w:t>
            </w:r>
          </w:p>
          <w:p w:rsidR="002B21B7" w:rsidRPr="003A1174" w:rsidRDefault="008F2153" w:rsidP="008719D4">
            <w:pPr>
              <w:rPr>
                <w:rFonts w:ascii="Garamond" w:eastAsia="Times New Roman" w:hAnsi="Garamond" w:cs="Arial"/>
                <w:sz w:val="24"/>
                <w:szCs w:val="24"/>
              </w:rPr>
            </w:pPr>
            <w:r>
              <w:rPr>
                <w:rFonts w:ascii="Garamond" w:eastAsia="Times New Roman" w:hAnsi="Garamond" w:cs="Arial"/>
                <w:sz w:val="24"/>
                <w:szCs w:val="24"/>
              </w:rPr>
              <w:t>Doutor</w:t>
            </w:r>
            <w:r w:rsidR="002B21B7" w:rsidRPr="003A1174">
              <w:rPr>
                <w:rFonts w:ascii="Garamond" w:eastAsia="Times New Roman" w:hAnsi="Garamond" w:cs="Arial"/>
                <w:sz w:val="24"/>
                <w:szCs w:val="24"/>
              </w:rPr>
              <w:t xml:space="preserve"> Juan José</w:t>
            </w:r>
            <w:r w:rsidR="00C04CA4" w:rsidRPr="003A1174">
              <w:rPr>
                <w:rFonts w:ascii="Garamond" w:eastAsia="Times New Roman" w:hAnsi="Garamond" w:cs="Arial"/>
                <w:sz w:val="24"/>
                <w:szCs w:val="24"/>
              </w:rPr>
              <w:t xml:space="preserve"> Ríos Estavillo, Presidente d</w:t>
            </w:r>
            <w:r w:rsidR="002B21B7" w:rsidRPr="003A1174">
              <w:rPr>
                <w:rFonts w:ascii="Garamond" w:eastAsia="Times New Roman" w:hAnsi="Garamond" w:cs="Arial"/>
                <w:sz w:val="24"/>
                <w:szCs w:val="24"/>
              </w:rPr>
              <w:t xml:space="preserve">a </w:t>
            </w:r>
            <w:r w:rsidR="00FC1F7F" w:rsidRPr="003A1174">
              <w:rPr>
                <w:rFonts w:ascii="Garamond" w:eastAsia="Times New Roman" w:hAnsi="Garamond" w:cs="Arial"/>
                <w:sz w:val="24"/>
                <w:szCs w:val="24"/>
              </w:rPr>
              <w:t>Comissão</w:t>
            </w:r>
            <w:r w:rsidR="00C04CA4" w:rsidRPr="003A1174">
              <w:rPr>
                <w:rFonts w:ascii="Garamond" w:eastAsia="Times New Roman" w:hAnsi="Garamond" w:cs="Arial"/>
                <w:sz w:val="24"/>
                <w:szCs w:val="24"/>
              </w:rPr>
              <w:t xml:space="preserve"> Estatal d</w:t>
            </w:r>
            <w:r w:rsidR="002B21B7" w:rsidRPr="003A1174">
              <w:rPr>
                <w:rFonts w:ascii="Garamond" w:eastAsia="Times New Roman" w:hAnsi="Garamond" w:cs="Arial"/>
                <w:sz w:val="24"/>
                <w:szCs w:val="24"/>
              </w:rPr>
              <w:t xml:space="preserve">os </w:t>
            </w:r>
            <w:r w:rsidR="00886D6A" w:rsidRPr="003A1174">
              <w:rPr>
                <w:rFonts w:ascii="Garamond" w:eastAsia="Times New Roman" w:hAnsi="Garamond" w:cs="Arial"/>
                <w:sz w:val="24"/>
                <w:szCs w:val="24"/>
              </w:rPr>
              <w:t>Direito</w:t>
            </w:r>
            <w:r w:rsidR="002B21B7" w:rsidRPr="003A1174">
              <w:rPr>
                <w:rFonts w:ascii="Garamond" w:eastAsia="Times New Roman" w:hAnsi="Garamond" w:cs="Arial"/>
                <w:sz w:val="24"/>
                <w:szCs w:val="24"/>
              </w:rPr>
              <w:t>s Humanos de Sinaloa</w:t>
            </w:r>
          </w:p>
          <w:p w:rsidR="002B21B7" w:rsidRPr="003A1174" w:rsidRDefault="002B21B7" w:rsidP="008719D4">
            <w:pPr>
              <w:rPr>
                <w:rFonts w:ascii="Garamond" w:hAnsi="Garamond" w:cs="Arial"/>
                <w:sz w:val="24"/>
                <w:szCs w:val="24"/>
              </w:rPr>
            </w:pPr>
          </w:p>
        </w:tc>
      </w:tr>
    </w:tbl>
    <w:p w:rsidR="002B21B7" w:rsidRPr="003A1174" w:rsidRDefault="002B21B7" w:rsidP="008719D4">
      <w:pPr>
        <w:spacing w:after="0" w:line="240" w:lineRule="auto"/>
        <w:jc w:val="both"/>
        <w:rPr>
          <w:rFonts w:ascii="Garamond" w:eastAsia="Times New Roman" w:hAnsi="Garamond" w:cs="Arial"/>
          <w:color w:val="000000"/>
          <w:sz w:val="24"/>
          <w:szCs w:val="24"/>
          <w:shd w:val="clear" w:color="auto" w:fill="FFFFFF"/>
          <w:lang w:eastAsia="es-CO"/>
        </w:rPr>
      </w:pPr>
    </w:p>
    <w:p w:rsidR="002B21B7" w:rsidRPr="003A1174" w:rsidRDefault="00DE5AF4" w:rsidP="008719D4">
      <w:pPr>
        <w:spacing w:after="0" w:line="240" w:lineRule="auto"/>
        <w:jc w:val="both"/>
        <w:rPr>
          <w:rFonts w:ascii="Garamond" w:eastAsia="Times New Roman" w:hAnsi="Garamond" w:cs="Arial"/>
          <w:color w:val="000000"/>
          <w:sz w:val="24"/>
          <w:szCs w:val="24"/>
          <w:shd w:val="clear" w:color="auto" w:fill="FFFFFF"/>
          <w:lang w:eastAsia="es-CO"/>
        </w:rPr>
      </w:pPr>
      <w:r w:rsidRPr="003A1174">
        <w:rPr>
          <w:rFonts w:ascii="Garamond" w:eastAsia="Times New Roman" w:hAnsi="Garamond" w:cs="Arial"/>
          <w:color w:val="000000"/>
          <w:sz w:val="24"/>
          <w:szCs w:val="24"/>
          <w:shd w:val="clear" w:color="auto" w:fill="FFFFFF"/>
          <w:lang w:eastAsia="es-CO"/>
        </w:rPr>
        <w:t xml:space="preserve">A </w:t>
      </w:r>
      <w:r w:rsidR="002B21B7" w:rsidRPr="003A1174">
        <w:rPr>
          <w:rFonts w:ascii="Garamond" w:eastAsia="Times New Roman" w:hAnsi="Garamond" w:cs="Arial"/>
          <w:color w:val="000000"/>
          <w:sz w:val="24"/>
          <w:szCs w:val="24"/>
          <w:shd w:val="clear" w:color="auto" w:fill="FFFFFF"/>
          <w:lang w:eastAsia="es-CO"/>
        </w:rPr>
        <w:t>elabora</w:t>
      </w:r>
      <w:r w:rsidRPr="003A1174">
        <w:rPr>
          <w:rFonts w:ascii="Garamond" w:eastAsia="Times New Roman" w:hAnsi="Garamond" w:cs="Arial"/>
          <w:color w:val="000000"/>
          <w:sz w:val="24"/>
          <w:szCs w:val="24"/>
          <w:shd w:val="clear" w:color="auto" w:fill="FFFFFF"/>
          <w:lang w:eastAsia="es-CO"/>
        </w:rPr>
        <w:t>ção d</w:t>
      </w:r>
      <w:r w:rsidR="002732BE">
        <w:rPr>
          <w:rFonts w:ascii="Garamond" w:eastAsia="Times New Roman" w:hAnsi="Garamond" w:cs="Arial"/>
          <w:color w:val="000000"/>
          <w:sz w:val="24"/>
          <w:szCs w:val="24"/>
          <w:shd w:val="clear" w:color="auto" w:fill="FFFFFF"/>
          <w:lang w:eastAsia="es-CO"/>
        </w:rPr>
        <w:t>este</w:t>
      </w:r>
      <w:r w:rsidRPr="003A1174">
        <w:rPr>
          <w:rFonts w:ascii="Garamond" w:eastAsia="Times New Roman" w:hAnsi="Garamond" w:cs="Arial"/>
          <w:color w:val="000000"/>
          <w:sz w:val="24"/>
          <w:szCs w:val="24"/>
          <w:shd w:val="clear" w:color="auto" w:fill="FFFFFF"/>
          <w:lang w:eastAsia="es-CO"/>
        </w:rPr>
        <w:t xml:space="preserve"> </w:t>
      </w:r>
      <w:r w:rsidR="002B21B7" w:rsidRPr="003A1174">
        <w:rPr>
          <w:rFonts w:ascii="Garamond" w:eastAsia="Times New Roman" w:hAnsi="Garamond" w:cs="Arial"/>
          <w:color w:val="000000"/>
          <w:sz w:val="24"/>
          <w:szCs w:val="24"/>
          <w:shd w:val="clear" w:color="auto" w:fill="FFFFFF"/>
          <w:lang w:eastAsia="es-CO"/>
        </w:rPr>
        <w:t xml:space="preserve">documento </w:t>
      </w:r>
      <w:r w:rsidRPr="003A1174">
        <w:rPr>
          <w:rFonts w:ascii="Garamond" w:eastAsia="Times New Roman" w:hAnsi="Garamond" w:cs="Arial"/>
          <w:color w:val="000000"/>
          <w:sz w:val="24"/>
          <w:szCs w:val="24"/>
          <w:shd w:val="clear" w:color="auto" w:fill="FFFFFF"/>
          <w:lang w:eastAsia="es-CO"/>
        </w:rPr>
        <w:t>foi possível</w:t>
      </w:r>
      <w:r w:rsidR="002B21B7" w:rsidRPr="003A1174">
        <w:rPr>
          <w:rFonts w:ascii="Garamond" w:eastAsia="Times New Roman" w:hAnsi="Garamond" w:cs="Arial"/>
          <w:color w:val="000000"/>
          <w:sz w:val="24"/>
          <w:szCs w:val="24"/>
          <w:shd w:val="clear" w:color="auto" w:fill="FFFFFF"/>
          <w:lang w:eastAsia="es-CO"/>
        </w:rPr>
        <w:t xml:space="preserve"> </w:t>
      </w:r>
      <w:r w:rsidR="002C7510" w:rsidRPr="003A1174">
        <w:rPr>
          <w:rFonts w:ascii="Garamond" w:eastAsia="Times New Roman" w:hAnsi="Garamond" w:cs="Arial"/>
          <w:color w:val="000000"/>
          <w:sz w:val="24"/>
          <w:szCs w:val="24"/>
          <w:shd w:val="clear" w:color="auto" w:fill="FFFFFF"/>
          <w:lang w:eastAsia="es-CO"/>
        </w:rPr>
        <w:t>graças</w:t>
      </w:r>
      <w:r w:rsidR="002B21B7" w:rsidRPr="003A1174">
        <w:rPr>
          <w:rFonts w:ascii="Garamond" w:eastAsia="Times New Roman" w:hAnsi="Garamond" w:cs="Arial"/>
          <w:color w:val="000000"/>
          <w:sz w:val="24"/>
          <w:szCs w:val="24"/>
          <w:shd w:val="clear" w:color="auto" w:fill="FFFFFF"/>
          <w:lang w:eastAsia="es-CO"/>
        </w:rPr>
        <w:t xml:space="preserve"> </w:t>
      </w:r>
      <w:r w:rsidR="004C1496" w:rsidRPr="003A1174">
        <w:rPr>
          <w:rFonts w:ascii="Garamond" w:eastAsia="Times New Roman" w:hAnsi="Garamond" w:cs="Arial"/>
          <w:color w:val="000000"/>
          <w:sz w:val="24"/>
          <w:szCs w:val="24"/>
          <w:shd w:val="clear" w:color="auto" w:fill="FFFFFF"/>
          <w:lang w:eastAsia="es-CO"/>
        </w:rPr>
        <w:t xml:space="preserve">à </w:t>
      </w:r>
      <w:r w:rsidR="00C30647" w:rsidRPr="003A1174">
        <w:rPr>
          <w:rFonts w:ascii="Garamond" w:eastAsia="Times New Roman" w:hAnsi="Garamond" w:cs="Arial"/>
          <w:color w:val="000000"/>
          <w:sz w:val="24"/>
          <w:szCs w:val="24"/>
          <w:shd w:val="clear" w:color="auto" w:fill="FFFFFF"/>
          <w:lang w:eastAsia="es-CO"/>
        </w:rPr>
        <w:t>assessoria</w:t>
      </w:r>
      <w:r w:rsidR="004C1496" w:rsidRPr="003A1174">
        <w:rPr>
          <w:rFonts w:ascii="Garamond" w:eastAsia="Times New Roman" w:hAnsi="Garamond" w:cs="Arial"/>
          <w:color w:val="000000"/>
          <w:sz w:val="24"/>
          <w:szCs w:val="24"/>
          <w:shd w:val="clear" w:color="auto" w:fill="FFFFFF"/>
          <w:lang w:eastAsia="es-CO"/>
        </w:rPr>
        <w:t xml:space="preserve"> técnica e</w:t>
      </w:r>
      <w:r w:rsidR="002B21B7" w:rsidRPr="003A1174">
        <w:rPr>
          <w:rFonts w:ascii="Garamond" w:eastAsia="Times New Roman" w:hAnsi="Garamond" w:cs="Arial"/>
          <w:color w:val="000000"/>
          <w:sz w:val="24"/>
          <w:szCs w:val="24"/>
          <w:shd w:val="clear" w:color="auto" w:fill="FFFFFF"/>
          <w:lang w:eastAsia="es-CO"/>
        </w:rPr>
        <w:t xml:space="preserve"> </w:t>
      </w:r>
      <w:r w:rsidR="003F012B" w:rsidRPr="003A1174">
        <w:rPr>
          <w:rFonts w:ascii="Garamond" w:eastAsia="Times New Roman" w:hAnsi="Garamond" w:cs="Arial"/>
          <w:color w:val="000000"/>
          <w:sz w:val="24"/>
          <w:szCs w:val="24"/>
          <w:shd w:val="clear" w:color="auto" w:fill="FFFFFF"/>
          <w:lang w:eastAsia="es-CO"/>
        </w:rPr>
        <w:t>acompanhamento</w:t>
      </w:r>
      <w:r w:rsidR="002B21B7" w:rsidRPr="003A1174">
        <w:rPr>
          <w:rFonts w:ascii="Garamond" w:eastAsia="Times New Roman" w:hAnsi="Garamond" w:cs="Arial"/>
          <w:color w:val="000000"/>
          <w:sz w:val="24"/>
          <w:szCs w:val="24"/>
          <w:shd w:val="clear" w:color="auto" w:fill="FFFFFF"/>
          <w:lang w:eastAsia="es-CO"/>
        </w:rPr>
        <w:t xml:space="preserve"> da </w:t>
      </w:r>
      <w:r w:rsidR="00C30647" w:rsidRPr="003A1174">
        <w:rPr>
          <w:rFonts w:ascii="Garamond" w:eastAsia="Times New Roman" w:hAnsi="Garamond" w:cs="Arial"/>
          <w:color w:val="000000"/>
          <w:sz w:val="24"/>
          <w:szCs w:val="24"/>
          <w:shd w:val="clear" w:color="auto" w:fill="FFFFFF"/>
          <w:lang w:eastAsia="es-CO"/>
        </w:rPr>
        <w:t>Cooperação</w:t>
      </w:r>
      <w:r w:rsidR="002B21B7" w:rsidRPr="003A1174">
        <w:rPr>
          <w:rFonts w:ascii="Garamond" w:eastAsia="Times New Roman" w:hAnsi="Garamond" w:cs="Arial"/>
          <w:color w:val="000000"/>
          <w:sz w:val="24"/>
          <w:szCs w:val="24"/>
          <w:shd w:val="clear" w:color="auto" w:fill="FFFFFF"/>
          <w:lang w:eastAsia="es-CO"/>
        </w:rPr>
        <w:t xml:space="preserve"> </w:t>
      </w:r>
      <w:r w:rsidR="00C30647" w:rsidRPr="003A1174">
        <w:rPr>
          <w:rFonts w:ascii="Garamond" w:eastAsia="Times New Roman" w:hAnsi="Garamond" w:cs="Arial"/>
          <w:color w:val="000000"/>
          <w:sz w:val="24"/>
          <w:szCs w:val="24"/>
          <w:shd w:val="clear" w:color="auto" w:fill="FFFFFF"/>
          <w:lang w:eastAsia="es-CO"/>
        </w:rPr>
        <w:t>Alemã</w:t>
      </w:r>
      <w:r w:rsidR="002B21B7" w:rsidRPr="003A1174">
        <w:rPr>
          <w:rFonts w:ascii="Garamond" w:eastAsia="Times New Roman" w:hAnsi="Garamond" w:cs="Arial"/>
          <w:color w:val="000000"/>
          <w:sz w:val="24"/>
          <w:szCs w:val="24"/>
          <w:shd w:val="clear" w:color="auto" w:fill="FFFFFF"/>
          <w:lang w:eastAsia="es-CO"/>
        </w:rPr>
        <w:t>, implementada p</w:t>
      </w:r>
      <w:r w:rsidR="004C1496" w:rsidRPr="003A1174">
        <w:rPr>
          <w:rFonts w:ascii="Garamond" w:eastAsia="Times New Roman" w:hAnsi="Garamond" w:cs="Arial"/>
          <w:color w:val="000000"/>
          <w:sz w:val="24"/>
          <w:szCs w:val="24"/>
          <w:shd w:val="clear" w:color="auto" w:fill="FFFFFF"/>
          <w:lang w:eastAsia="es-CO"/>
        </w:rPr>
        <w:t>e</w:t>
      </w:r>
      <w:r w:rsidR="002B21B7" w:rsidRPr="003A1174">
        <w:rPr>
          <w:rFonts w:ascii="Garamond" w:eastAsia="Times New Roman" w:hAnsi="Garamond" w:cs="Arial"/>
          <w:color w:val="000000"/>
          <w:sz w:val="24"/>
          <w:szCs w:val="24"/>
          <w:shd w:val="clear" w:color="auto" w:fill="FFFFFF"/>
          <w:lang w:eastAsia="es-CO"/>
        </w:rPr>
        <w:t>la GIZ, através d</w:t>
      </w:r>
      <w:r w:rsidR="004C1496" w:rsidRPr="003A1174">
        <w:rPr>
          <w:rFonts w:ascii="Garamond" w:eastAsia="Times New Roman" w:hAnsi="Garamond" w:cs="Arial"/>
          <w:color w:val="000000"/>
          <w:sz w:val="24"/>
          <w:szCs w:val="24"/>
          <w:shd w:val="clear" w:color="auto" w:fill="FFFFFF"/>
          <w:lang w:eastAsia="es-CO"/>
        </w:rPr>
        <w:t>o</w:t>
      </w:r>
      <w:r w:rsidR="002B21B7" w:rsidRPr="003A1174">
        <w:rPr>
          <w:rFonts w:ascii="Garamond" w:eastAsia="Times New Roman" w:hAnsi="Garamond" w:cs="Arial"/>
          <w:color w:val="000000"/>
          <w:sz w:val="24"/>
          <w:szCs w:val="24"/>
          <w:shd w:val="clear" w:color="auto" w:fill="FFFFFF"/>
          <w:lang w:eastAsia="es-CO"/>
        </w:rPr>
        <w:t xml:space="preserve"> </w:t>
      </w:r>
      <w:r w:rsidR="00C30647" w:rsidRPr="003A1174">
        <w:rPr>
          <w:rFonts w:ascii="Garamond" w:eastAsia="Times New Roman" w:hAnsi="Garamond" w:cs="Arial"/>
          <w:color w:val="000000"/>
          <w:sz w:val="24"/>
          <w:szCs w:val="24"/>
          <w:shd w:val="clear" w:color="auto" w:fill="FFFFFF"/>
          <w:lang w:eastAsia="es-CO"/>
        </w:rPr>
        <w:t>Projeto</w:t>
      </w:r>
      <w:r w:rsidR="002B21B7" w:rsidRPr="003A1174">
        <w:rPr>
          <w:rFonts w:ascii="Garamond" w:eastAsia="Times New Roman" w:hAnsi="Garamond" w:cs="Arial"/>
          <w:color w:val="000000"/>
          <w:sz w:val="24"/>
          <w:szCs w:val="24"/>
          <w:shd w:val="clear" w:color="auto" w:fill="FFFFFF"/>
          <w:lang w:eastAsia="es-CO"/>
        </w:rPr>
        <w:t xml:space="preserve"> de Fo</w:t>
      </w:r>
      <w:r w:rsidR="00C04CA4" w:rsidRPr="003A1174">
        <w:rPr>
          <w:rFonts w:ascii="Garamond" w:eastAsia="Times New Roman" w:hAnsi="Garamond" w:cs="Arial"/>
          <w:color w:val="000000"/>
          <w:sz w:val="24"/>
          <w:szCs w:val="24"/>
          <w:shd w:val="clear" w:color="auto" w:fill="FFFFFF"/>
          <w:lang w:eastAsia="es-CO"/>
        </w:rPr>
        <w:t>rtalecimento d</w:t>
      </w:r>
      <w:r w:rsidR="002B21B7" w:rsidRPr="003A1174">
        <w:rPr>
          <w:rFonts w:ascii="Garamond" w:eastAsia="Times New Roman" w:hAnsi="Garamond" w:cs="Arial"/>
          <w:color w:val="000000"/>
          <w:sz w:val="24"/>
          <w:szCs w:val="24"/>
          <w:shd w:val="clear" w:color="auto" w:fill="FFFFFF"/>
          <w:lang w:eastAsia="es-CO"/>
        </w:rPr>
        <w:t xml:space="preserve">a </w:t>
      </w:r>
      <w:r w:rsidR="00C30647" w:rsidRPr="003A1174">
        <w:rPr>
          <w:rFonts w:ascii="Garamond" w:eastAsia="Times New Roman" w:hAnsi="Garamond" w:cs="Arial"/>
          <w:color w:val="000000"/>
          <w:sz w:val="24"/>
          <w:szCs w:val="24"/>
          <w:shd w:val="clear" w:color="auto" w:fill="FFFFFF"/>
          <w:lang w:eastAsia="es-CO"/>
        </w:rPr>
        <w:t>Federação</w:t>
      </w:r>
      <w:r w:rsidR="002B21B7" w:rsidRPr="003A1174">
        <w:rPr>
          <w:rFonts w:ascii="Garamond" w:eastAsia="Times New Roman" w:hAnsi="Garamond" w:cs="Arial"/>
          <w:color w:val="000000"/>
          <w:sz w:val="24"/>
          <w:szCs w:val="24"/>
          <w:shd w:val="clear" w:color="auto" w:fill="FFFFFF"/>
          <w:lang w:eastAsia="es-CO"/>
        </w:rPr>
        <w:t xml:space="preserve"> Iberoamericana de Ombudsman – PROFIO.</w:t>
      </w:r>
    </w:p>
    <w:p w:rsidR="007D3BC4" w:rsidRPr="003A1174" w:rsidRDefault="007D3BC4" w:rsidP="008719D4">
      <w:pPr>
        <w:tabs>
          <w:tab w:val="left" w:pos="708"/>
        </w:tabs>
        <w:suppressAutoHyphens/>
        <w:spacing w:after="0" w:line="240" w:lineRule="auto"/>
        <w:jc w:val="both"/>
        <w:rPr>
          <w:rFonts w:ascii="Garamond" w:eastAsia="SimSun" w:hAnsi="Garamond"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939B6" w:rsidRPr="003A1174" w:rsidTr="003939B6">
        <w:tc>
          <w:tcPr>
            <w:tcW w:w="4489" w:type="dxa"/>
          </w:tcPr>
          <w:p w:rsidR="003939B6" w:rsidRPr="003A1174" w:rsidRDefault="00C30647" w:rsidP="008719D4">
            <w:pPr>
              <w:tabs>
                <w:tab w:val="left" w:pos="708"/>
                <w:tab w:val="left" w:pos="3544"/>
              </w:tabs>
              <w:suppressAutoHyphens/>
              <w:spacing w:before="240"/>
              <w:jc w:val="both"/>
              <w:rPr>
                <w:rFonts w:ascii="Garamond" w:hAnsi="Garamond" w:cs="Arial"/>
                <w:b/>
                <w:sz w:val="24"/>
                <w:szCs w:val="24"/>
              </w:rPr>
            </w:pPr>
            <w:r w:rsidRPr="003A1174">
              <w:rPr>
                <w:rFonts w:ascii="Garamond" w:hAnsi="Garamond" w:cs="Arial"/>
                <w:b/>
                <w:sz w:val="24"/>
                <w:szCs w:val="24"/>
              </w:rPr>
              <w:t>Equipa</w:t>
            </w:r>
            <w:r w:rsidR="003939B6" w:rsidRPr="003A1174">
              <w:rPr>
                <w:rFonts w:ascii="Garamond" w:hAnsi="Garamond" w:cs="Arial"/>
                <w:b/>
                <w:sz w:val="24"/>
                <w:szCs w:val="24"/>
              </w:rPr>
              <w:t xml:space="preserve"> de </w:t>
            </w:r>
            <w:r w:rsidRPr="003A1174">
              <w:rPr>
                <w:rFonts w:ascii="Garamond" w:hAnsi="Garamond" w:cs="Arial"/>
                <w:b/>
                <w:sz w:val="24"/>
                <w:szCs w:val="24"/>
              </w:rPr>
              <w:t>redação</w:t>
            </w:r>
          </w:p>
          <w:p w:rsidR="003939B6" w:rsidRPr="003A1174" w:rsidRDefault="003939B6" w:rsidP="008719D4">
            <w:pPr>
              <w:pStyle w:val="Textosinformato"/>
              <w:tabs>
                <w:tab w:val="left" w:pos="3544"/>
              </w:tabs>
              <w:rPr>
                <w:rFonts w:ascii="Garamond" w:hAnsi="Garamond" w:cs="Arial"/>
                <w:sz w:val="24"/>
                <w:szCs w:val="24"/>
              </w:rPr>
            </w:pPr>
            <w:r w:rsidRPr="003A1174">
              <w:rPr>
                <w:rFonts w:ascii="Garamond" w:hAnsi="Garamond" w:cs="Arial"/>
                <w:sz w:val="24"/>
                <w:szCs w:val="24"/>
              </w:rPr>
              <w:t>Gabriela Moffson</w:t>
            </w:r>
          </w:p>
          <w:p w:rsidR="003939B6" w:rsidRPr="003A1174" w:rsidRDefault="003F012B" w:rsidP="008719D4">
            <w:pPr>
              <w:tabs>
                <w:tab w:val="left" w:pos="3544"/>
              </w:tabs>
              <w:rPr>
                <w:rFonts w:ascii="Garamond" w:hAnsi="Garamond" w:cs="Arial"/>
                <w:sz w:val="24"/>
                <w:szCs w:val="24"/>
              </w:rPr>
            </w:pPr>
            <w:r w:rsidRPr="003A1174">
              <w:rPr>
                <w:rFonts w:ascii="Garamond" w:hAnsi="Garamond" w:cs="Arial"/>
                <w:sz w:val="24"/>
                <w:szCs w:val="24"/>
              </w:rPr>
              <w:t>Coordenadora</w:t>
            </w:r>
            <w:r w:rsidR="002732BE">
              <w:rPr>
                <w:rFonts w:ascii="Garamond" w:hAnsi="Garamond" w:cs="Arial"/>
                <w:sz w:val="24"/>
                <w:szCs w:val="24"/>
              </w:rPr>
              <w:t>-</w:t>
            </w:r>
            <w:r w:rsidR="00077461" w:rsidRPr="003A1174">
              <w:rPr>
                <w:rFonts w:ascii="Garamond" w:hAnsi="Garamond" w:cs="Arial"/>
                <w:sz w:val="24"/>
                <w:szCs w:val="24"/>
              </w:rPr>
              <w:t>Geral</w:t>
            </w:r>
            <w:r w:rsidR="004C1496" w:rsidRPr="003A1174">
              <w:rPr>
                <w:rFonts w:ascii="Garamond" w:hAnsi="Garamond" w:cs="Arial"/>
                <w:sz w:val="24"/>
                <w:szCs w:val="24"/>
              </w:rPr>
              <w:t xml:space="preserve"> d</w:t>
            </w:r>
            <w:r w:rsidR="003939B6" w:rsidRPr="003A1174">
              <w:rPr>
                <w:rFonts w:ascii="Garamond" w:hAnsi="Garamond" w:cs="Arial"/>
                <w:sz w:val="24"/>
                <w:szCs w:val="24"/>
              </w:rPr>
              <w:t xml:space="preserve">a </w:t>
            </w:r>
            <w:r w:rsidR="002C7510" w:rsidRPr="003A1174">
              <w:rPr>
                <w:rFonts w:ascii="Garamond" w:hAnsi="Garamond" w:cs="Arial"/>
                <w:sz w:val="24"/>
                <w:szCs w:val="24"/>
              </w:rPr>
              <w:t>Rede</w:t>
            </w:r>
            <w:r w:rsidR="003939B6" w:rsidRPr="003A1174">
              <w:rPr>
                <w:rFonts w:ascii="Garamond" w:hAnsi="Garamond" w:cs="Arial"/>
                <w:sz w:val="24"/>
                <w:szCs w:val="24"/>
              </w:rPr>
              <w:t xml:space="preserve"> de </w:t>
            </w:r>
            <w:r w:rsidR="00054EE0" w:rsidRPr="003A1174">
              <w:rPr>
                <w:rFonts w:ascii="Garamond" w:hAnsi="Garamond" w:cs="Arial"/>
                <w:sz w:val="24"/>
                <w:szCs w:val="24"/>
              </w:rPr>
              <w:t>Mulheres</w:t>
            </w:r>
            <w:r w:rsidR="00C04CA4" w:rsidRPr="003A1174">
              <w:rPr>
                <w:rFonts w:ascii="Garamond" w:hAnsi="Garamond" w:cs="Arial"/>
                <w:sz w:val="24"/>
                <w:szCs w:val="24"/>
              </w:rPr>
              <w:t xml:space="preserve"> da FIO e</w:t>
            </w:r>
            <w:r w:rsidR="003939B6" w:rsidRPr="003A1174">
              <w:rPr>
                <w:rFonts w:ascii="Garamond" w:hAnsi="Garamond" w:cs="Arial"/>
                <w:sz w:val="24"/>
                <w:szCs w:val="24"/>
              </w:rPr>
              <w:t xml:space="preserve"> </w:t>
            </w:r>
            <w:r w:rsidR="00FC1F7F" w:rsidRPr="003A1174">
              <w:rPr>
                <w:rFonts w:ascii="Garamond" w:hAnsi="Garamond" w:cs="Arial"/>
                <w:sz w:val="24"/>
                <w:szCs w:val="24"/>
              </w:rPr>
              <w:t>Diretora</w:t>
            </w:r>
            <w:r w:rsidR="003939B6" w:rsidRPr="003A1174">
              <w:rPr>
                <w:rFonts w:ascii="Garamond" w:hAnsi="Garamond" w:cs="Arial"/>
                <w:sz w:val="24"/>
                <w:szCs w:val="24"/>
              </w:rPr>
              <w:t xml:space="preserve"> de </w:t>
            </w:r>
            <w:r w:rsidR="00C04CA4" w:rsidRPr="003A1174">
              <w:rPr>
                <w:rFonts w:ascii="Garamond" w:hAnsi="Garamond" w:cs="Arial"/>
                <w:sz w:val="24"/>
                <w:szCs w:val="24"/>
              </w:rPr>
              <w:t>Relações</w:t>
            </w:r>
            <w:r w:rsidR="003939B6" w:rsidRPr="003A1174">
              <w:rPr>
                <w:rFonts w:ascii="Garamond" w:hAnsi="Garamond" w:cs="Arial"/>
                <w:sz w:val="24"/>
                <w:szCs w:val="24"/>
              </w:rPr>
              <w:t xml:space="preserve"> </w:t>
            </w:r>
            <w:r w:rsidR="00C04CA4" w:rsidRPr="003A1174">
              <w:rPr>
                <w:rFonts w:ascii="Garamond" w:hAnsi="Garamond" w:cs="Arial"/>
                <w:sz w:val="24"/>
                <w:szCs w:val="24"/>
              </w:rPr>
              <w:t>Institucionais</w:t>
            </w:r>
          </w:p>
          <w:p w:rsidR="003939B6" w:rsidRPr="003A1174" w:rsidRDefault="00C04CA4" w:rsidP="008719D4">
            <w:pPr>
              <w:pStyle w:val="Textosinformato"/>
              <w:tabs>
                <w:tab w:val="left" w:pos="3544"/>
              </w:tabs>
              <w:rPr>
                <w:rFonts w:ascii="Garamond" w:hAnsi="Garamond" w:cs="Arial"/>
                <w:sz w:val="24"/>
                <w:szCs w:val="24"/>
              </w:rPr>
            </w:pPr>
            <w:r w:rsidRPr="003A1174">
              <w:rPr>
                <w:rFonts w:ascii="Garamond" w:hAnsi="Garamond" w:cs="Arial"/>
                <w:sz w:val="24"/>
                <w:szCs w:val="24"/>
              </w:rPr>
              <w:t>Provedoria de Justiça d</w:t>
            </w:r>
            <w:r w:rsidR="00800D59" w:rsidRPr="003A1174">
              <w:rPr>
                <w:rFonts w:ascii="Garamond" w:hAnsi="Garamond" w:cs="Arial"/>
                <w:sz w:val="24"/>
                <w:szCs w:val="24"/>
              </w:rPr>
              <w:t>a Ci</w:t>
            </w:r>
            <w:r w:rsidR="003939B6" w:rsidRPr="003A1174">
              <w:rPr>
                <w:rFonts w:ascii="Garamond" w:hAnsi="Garamond" w:cs="Arial"/>
                <w:sz w:val="24"/>
                <w:szCs w:val="24"/>
              </w:rPr>
              <w:t>dad</w:t>
            </w:r>
            <w:r w:rsidR="00800D59" w:rsidRPr="003A1174">
              <w:rPr>
                <w:rFonts w:ascii="Garamond" w:hAnsi="Garamond" w:cs="Arial"/>
                <w:sz w:val="24"/>
                <w:szCs w:val="24"/>
              </w:rPr>
              <w:t>e</w:t>
            </w:r>
            <w:r w:rsidR="003939B6" w:rsidRPr="003A1174">
              <w:rPr>
                <w:rFonts w:ascii="Garamond" w:hAnsi="Garamond" w:cs="Arial"/>
                <w:sz w:val="24"/>
                <w:szCs w:val="24"/>
              </w:rPr>
              <w:t xml:space="preserve"> Autónoma de Buenos Aires</w:t>
            </w:r>
          </w:p>
          <w:p w:rsidR="003939B6" w:rsidRPr="003A1174" w:rsidRDefault="003939B6" w:rsidP="008719D4">
            <w:pPr>
              <w:tabs>
                <w:tab w:val="left" w:pos="708"/>
                <w:tab w:val="left" w:pos="3544"/>
              </w:tabs>
              <w:suppressAutoHyphens/>
              <w:jc w:val="both"/>
              <w:rPr>
                <w:rFonts w:ascii="Garamond" w:eastAsia="SimSun" w:hAnsi="Garamond" w:cs="Arial"/>
                <w:b/>
                <w:sz w:val="24"/>
                <w:szCs w:val="24"/>
              </w:rPr>
            </w:pPr>
          </w:p>
          <w:p w:rsidR="003939B6" w:rsidRPr="003A1174" w:rsidRDefault="003939B6" w:rsidP="008719D4">
            <w:pPr>
              <w:tabs>
                <w:tab w:val="left" w:pos="708"/>
                <w:tab w:val="left" w:pos="3544"/>
              </w:tabs>
              <w:suppressAutoHyphens/>
              <w:jc w:val="both"/>
              <w:rPr>
                <w:rFonts w:ascii="Garamond" w:hAnsi="Garamond" w:cs="Arial"/>
                <w:sz w:val="24"/>
                <w:szCs w:val="24"/>
              </w:rPr>
            </w:pPr>
            <w:r w:rsidRPr="003A1174">
              <w:rPr>
                <w:rFonts w:ascii="Garamond" w:hAnsi="Garamond" w:cs="Arial"/>
                <w:sz w:val="24"/>
                <w:szCs w:val="24"/>
              </w:rPr>
              <w:t>Carolina Garcés Peralta</w:t>
            </w:r>
          </w:p>
          <w:p w:rsidR="003939B6" w:rsidRPr="003A1174" w:rsidRDefault="00C04CA4" w:rsidP="008719D4">
            <w:pPr>
              <w:tabs>
                <w:tab w:val="left" w:pos="708"/>
                <w:tab w:val="left" w:pos="3544"/>
              </w:tabs>
              <w:suppressAutoHyphens/>
              <w:jc w:val="both"/>
              <w:rPr>
                <w:rFonts w:ascii="Garamond" w:hAnsi="Garamond" w:cs="Arial"/>
                <w:sz w:val="24"/>
                <w:szCs w:val="24"/>
              </w:rPr>
            </w:pPr>
            <w:r w:rsidRPr="003A1174">
              <w:rPr>
                <w:rFonts w:ascii="Garamond" w:hAnsi="Garamond" w:cs="Arial"/>
                <w:sz w:val="24"/>
                <w:szCs w:val="24"/>
              </w:rPr>
              <w:t xml:space="preserve">Adjunta para </w:t>
            </w:r>
            <w:r w:rsidR="003939B6" w:rsidRPr="003A1174">
              <w:rPr>
                <w:rFonts w:ascii="Garamond" w:hAnsi="Garamond" w:cs="Arial"/>
                <w:sz w:val="24"/>
                <w:szCs w:val="24"/>
              </w:rPr>
              <w:t xml:space="preserve">os </w:t>
            </w:r>
            <w:r w:rsidR="00886D6A" w:rsidRPr="003A1174">
              <w:rPr>
                <w:rFonts w:ascii="Garamond" w:hAnsi="Garamond" w:cs="Arial"/>
                <w:sz w:val="24"/>
                <w:szCs w:val="24"/>
              </w:rPr>
              <w:t>Direito</w:t>
            </w:r>
            <w:r w:rsidR="003939B6" w:rsidRPr="003A1174">
              <w:rPr>
                <w:rFonts w:ascii="Garamond" w:hAnsi="Garamond" w:cs="Arial"/>
                <w:sz w:val="24"/>
                <w:szCs w:val="24"/>
              </w:rPr>
              <w:t xml:space="preserve">s da </w:t>
            </w:r>
            <w:r w:rsidR="00AF192F" w:rsidRPr="003A1174">
              <w:rPr>
                <w:rFonts w:ascii="Garamond" w:hAnsi="Garamond" w:cs="Arial"/>
                <w:sz w:val="24"/>
                <w:szCs w:val="24"/>
              </w:rPr>
              <w:t>Mulher</w:t>
            </w:r>
          </w:p>
          <w:p w:rsidR="003939B6" w:rsidRPr="003A1174" w:rsidRDefault="00C04CA4" w:rsidP="008719D4">
            <w:pPr>
              <w:tabs>
                <w:tab w:val="left" w:pos="708"/>
                <w:tab w:val="left" w:pos="3544"/>
              </w:tabs>
              <w:suppressAutoHyphens/>
              <w:jc w:val="both"/>
              <w:rPr>
                <w:rFonts w:ascii="Garamond" w:hAnsi="Garamond" w:cs="Arial"/>
                <w:sz w:val="24"/>
                <w:szCs w:val="24"/>
              </w:rPr>
            </w:pPr>
            <w:r w:rsidRPr="003A1174">
              <w:rPr>
                <w:rFonts w:ascii="Garamond" w:hAnsi="Garamond" w:cs="Arial"/>
                <w:sz w:val="24"/>
                <w:szCs w:val="24"/>
              </w:rPr>
              <w:t>Provedoria de Justiça</w:t>
            </w:r>
            <w:r w:rsidR="003939B6" w:rsidRPr="003A1174">
              <w:rPr>
                <w:rFonts w:ascii="Garamond" w:hAnsi="Garamond" w:cs="Arial"/>
                <w:sz w:val="24"/>
                <w:szCs w:val="24"/>
              </w:rPr>
              <w:t xml:space="preserve"> d</w:t>
            </w:r>
            <w:r w:rsidRPr="003A1174">
              <w:rPr>
                <w:rFonts w:ascii="Garamond" w:hAnsi="Garamond" w:cs="Arial"/>
                <w:sz w:val="24"/>
                <w:szCs w:val="24"/>
              </w:rPr>
              <w:t>o</w:t>
            </w:r>
            <w:r w:rsidR="003939B6" w:rsidRPr="003A1174">
              <w:rPr>
                <w:rFonts w:ascii="Garamond" w:hAnsi="Garamond" w:cs="Arial"/>
                <w:sz w:val="24"/>
                <w:szCs w:val="24"/>
              </w:rPr>
              <w:t xml:space="preserve"> </w:t>
            </w:r>
            <w:r w:rsidR="00C30647" w:rsidRPr="003A1174">
              <w:rPr>
                <w:rFonts w:ascii="Garamond" w:hAnsi="Garamond" w:cs="Arial"/>
                <w:sz w:val="24"/>
                <w:szCs w:val="24"/>
              </w:rPr>
              <w:t>Peru</w:t>
            </w:r>
            <w:r w:rsidR="003939B6" w:rsidRPr="003A1174">
              <w:rPr>
                <w:rFonts w:ascii="Garamond" w:hAnsi="Garamond" w:cs="Arial"/>
                <w:sz w:val="24"/>
                <w:szCs w:val="24"/>
              </w:rPr>
              <w:t xml:space="preserve"> </w:t>
            </w:r>
          </w:p>
          <w:p w:rsidR="003939B6" w:rsidRPr="003A1174" w:rsidRDefault="003939B6" w:rsidP="008719D4">
            <w:pPr>
              <w:tabs>
                <w:tab w:val="left" w:pos="708"/>
                <w:tab w:val="left" w:pos="3544"/>
              </w:tabs>
              <w:suppressAutoHyphens/>
              <w:jc w:val="both"/>
              <w:rPr>
                <w:rFonts w:ascii="Garamond" w:eastAsia="SimSun" w:hAnsi="Garamond" w:cs="Arial"/>
                <w:b/>
                <w:sz w:val="24"/>
                <w:szCs w:val="24"/>
              </w:rPr>
            </w:pPr>
          </w:p>
          <w:p w:rsidR="003939B6" w:rsidRPr="003A1174" w:rsidRDefault="003939B6" w:rsidP="008719D4">
            <w:pPr>
              <w:tabs>
                <w:tab w:val="left" w:pos="708"/>
                <w:tab w:val="left" w:pos="3544"/>
              </w:tabs>
              <w:suppressAutoHyphens/>
              <w:jc w:val="both"/>
              <w:rPr>
                <w:rFonts w:ascii="Garamond" w:eastAsia="SimSun" w:hAnsi="Garamond" w:cs="Arial"/>
                <w:b/>
                <w:sz w:val="24"/>
                <w:szCs w:val="24"/>
              </w:rPr>
            </w:pPr>
            <w:r w:rsidRPr="003A1174">
              <w:rPr>
                <w:rFonts w:ascii="Garamond" w:eastAsia="SimSun" w:hAnsi="Garamond" w:cs="Arial"/>
                <w:b/>
                <w:sz w:val="24"/>
                <w:szCs w:val="24"/>
              </w:rPr>
              <w:t xml:space="preserve">Colaboradores </w:t>
            </w:r>
          </w:p>
          <w:p w:rsidR="003939B6" w:rsidRPr="003A1174" w:rsidRDefault="00C04CA4" w:rsidP="008719D4">
            <w:pPr>
              <w:tabs>
                <w:tab w:val="left" w:pos="3544"/>
              </w:tabs>
              <w:jc w:val="both"/>
              <w:rPr>
                <w:rFonts w:ascii="Garamond" w:hAnsi="Garamond" w:cs="Arial"/>
                <w:bCs/>
                <w:sz w:val="24"/>
                <w:szCs w:val="24"/>
              </w:rPr>
            </w:pPr>
            <w:r w:rsidRPr="003A1174">
              <w:rPr>
                <w:rFonts w:ascii="Garamond" w:hAnsi="Garamond" w:cs="Arial"/>
                <w:bCs/>
                <w:sz w:val="24"/>
                <w:szCs w:val="24"/>
              </w:rPr>
              <w:t>Provedoria de Justiça</w:t>
            </w:r>
            <w:r w:rsidR="002B1FE4" w:rsidRPr="003A1174">
              <w:rPr>
                <w:rFonts w:ascii="Garamond" w:hAnsi="Garamond" w:cs="Arial"/>
                <w:bCs/>
                <w:sz w:val="24"/>
                <w:szCs w:val="24"/>
              </w:rPr>
              <w:t xml:space="preserve"> d</w:t>
            </w:r>
            <w:r w:rsidR="003939B6" w:rsidRPr="003A1174">
              <w:rPr>
                <w:rFonts w:ascii="Garamond" w:hAnsi="Garamond" w:cs="Arial"/>
                <w:bCs/>
                <w:sz w:val="24"/>
                <w:szCs w:val="24"/>
              </w:rPr>
              <w:t>a Argentina</w:t>
            </w:r>
          </w:p>
          <w:p w:rsidR="003939B6" w:rsidRPr="003A1174" w:rsidRDefault="00C04CA4" w:rsidP="008719D4">
            <w:pPr>
              <w:tabs>
                <w:tab w:val="left" w:pos="708"/>
                <w:tab w:val="left" w:pos="3544"/>
              </w:tabs>
              <w:suppressAutoHyphens/>
              <w:jc w:val="both"/>
              <w:rPr>
                <w:rFonts w:ascii="Garamond" w:eastAsia="SimSun" w:hAnsi="Garamond" w:cs="Arial"/>
                <w:sz w:val="24"/>
                <w:szCs w:val="24"/>
              </w:rPr>
            </w:pPr>
            <w:r w:rsidRPr="003A1174">
              <w:rPr>
                <w:rFonts w:ascii="Garamond" w:hAnsi="Garamond" w:cs="Arial"/>
                <w:sz w:val="24"/>
                <w:szCs w:val="24"/>
              </w:rPr>
              <w:t>Provedoria de Justiça do</w:t>
            </w:r>
            <w:r w:rsidR="002B1FE4" w:rsidRPr="003A1174">
              <w:rPr>
                <w:rFonts w:ascii="Garamond" w:hAnsi="Garamond" w:cs="Arial"/>
                <w:sz w:val="24"/>
                <w:szCs w:val="24"/>
              </w:rPr>
              <w:t xml:space="preserve"> Estado Plurinacional </w:t>
            </w:r>
            <w:r w:rsidR="002B1FE4" w:rsidRPr="003A1174">
              <w:rPr>
                <w:rFonts w:ascii="Garamond" w:hAnsi="Garamond" w:cs="Arial"/>
                <w:sz w:val="24"/>
                <w:szCs w:val="24"/>
              </w:rPr>
              <w:lastRenderedPageBreak/>
              <w:t>da</w:t>
            </w:r>
            <w:r w:rsidR="003939B6" w:rsidRPr="003A1174">
              <w:rPr>
                <w:rFonts w:ascii="Garamond" w:hAnsi="Garamond" w:cs="Arial"/>
                <w:sz w:val="24"/>
                <w:szCs w:val="24"/>
              </w:rPr>
              <w:t xml:space="preserve"> </w:t>
            </w:r>
            <w:r w:rsidR="00C30647" w:rsidRPr="003A1174">
              <w:rPr>
                <w:rFonts w:ascii="Garamond" w:hAnsi="Garamond" w:cs="Arial"/>
                <w:sz w:val="24"/>
                <w:szCs w:val="24"/>
              </w:rPr>
              <w:t>Bolívia</w:t>
            </w:r>
          </w:p>
          <w:p w:rsidR="003939B6" w:rsidRPr="003A1174" w:rsidRDefault="00C04CA4" w:rsidP="008719D4">
            <w:pPr>
              <w:tabs>
                <w:tab w:val="left" w:pos="3544"/>
              </w:tabs>
              <w:jc w:val="both"/>
              <w:rPr>
                <w:rFonts w:ascii="Garamond" w:hAnsi="Garamond" w:cs="Arial"/>
                <w:bCs/>
                <w:sz w:val="24"/>
                <w:szCs w:val="24"/>
              </w:rPr>
            </w:pPr>
            <w:r w:rsidRPr="003A1174">
              <w:rPr>
                <w:rFonts w:ascii="Garamond" w:hAnsi="Garamond" w:cs="Arial"/>
                <w:bCs/>
                <w:sz w:val="24"/>
                <w:szCs w:val="24"/>
              </w:rPr>
              <w:t>Provedoria de Justiça d</w:t>
            </w:r>
            <w:r w:rsidR="003939B6" w:rsidRPr="003A1174">
              <w:rPr>
                <w:rFonts w:ascii="Garamond" w:hAnsi="Garamond" w:cs="Arial"/>
                <w:bCs/>
                <w:sz w:val="24"/>
                <w:szCs w:val="24"/>
              </w:rPr>
              <w:t xml:space="preserve">a República de </w:t>
            </w:r>
            <w:r w:rsidR="0017447A" w:rsidRPr="003A1174">
              <w:rPr>
                <w:rFonts w:ascii="Garamond" w:hAnsi="Garamond" w:cs="Arial"/>
                <w:bCs/>
                <w:sz w:val="24"/>
                <w:szCs w:val="24"/>
              </w:rPr>
              <w:t>Colômbia</w:t>
            </w:r>
          </w:p>
          <w:p w:rsidR="003939B6" w:rsidRPr="003A1174" w:rsidRDefault="003939B6" w:rsidP="008719D4">
            <w:pPr>
              <w:pStyle w:val="Ttulo6"/>
              <w:spacing w:before="0"/>
              <w:outlineLvl w:val="5"/>
              <w:rPr>
                <w:rFonts w:ascii="Garamond" w:hAnsi="Garamond" w:cs="Arial"/>
                <w:b/>
                <w:sz w:val="24"/>
                <w:szCs w:val="24"/>
              </w:rPr>
            </w:pPr>
          </w:p>
        </w:tc>
        <w:tc>
          <w:tcPr>
            <w:tcW w:w="4489" w:type="dxa"/>
          </w:tcPr>
          <w:p w:rsidR="003939B6" w:rsidRPr="003A1174" w:rsidRDefault="003939B6" w:rsidP="008719D4">
            <w:pPr>
              <w:jc w:val="both"/>
              <w:rPr>
                <w:rFonts w:ascii="Garamond" w:eastAsia="SimSun" w:hAnsi="Garamond" w:cs="Arial"/>
                <w:sz w:val="24"/>
                <w:szCs w:val="24"/>
              </w:rPr>
            </w:pPr>
          </w:p>
          <w:p w:rsidR="003939B6" w:rsidRPr="003A1174" w:rsidRDefault="00C04CA4" w:rsidP="008719D4">
            <w:pPr>
              <w:ind w:left="473" w:right="257"/>
              <w:jc w:val="both"/>
              <w:rPr>
                <w:rFonts w:ascii="Garamond" w:hAnsi="Garamond" w:cs="Arial"/>
                <w:bCs/>
                <w:sz w:val="24"/>
                <w:szCs w:val="24"/>
              </w:rPr>
            </w:pPr>
            <w:r w:rsidRPr="003A1174">
              <w:rPr>
                <w:rFonts w:ascii="Garamond" w:hAnsi="Garamond" w:cs="Arial"/>
                <w:bCs/>
                <w:sz w:val="24"/>
                <w:szCs w:val="24"/>
              </w:rPr>
              <w:t>Provedor</w:t>
            </w:r>
            <w:r w:rsidR="00800D59" w:rsidRPr="003A1174">
              <w:rPr>
                <w:rFonts w:ascii="Garamond" w:hAnsi="Garamond" w:cs="Arial"/>
                <w:bCs/>
                <w:sz w:val="24"/>
                <w:szCs w:val="24"/>
              </w:rPr>
              <w:t xml:space="preserve">ia </w:t>
            </w:r>
            <w:r w:rsidR="003939B6" w:rsidRPr="003A1174">
              <w:rPr>
                <w:rFonts w:ascii="Garamond" w:hAnsi="Garamond" w:cs="Arial"/>
                <w:bCs/>
                <w:sz w:val="24"/>
                <w:szCs w:val="24"/>
              </w:rPr>
              <w:t>d</w:t>
            </w:r>
            <w:r w:rsidR="00800D59" w:rsidRPr="003A1174">
              <w:rPr>
                <w:rFonts w:ascii="Garamond" w:hAnsi="Garamond" w:cs="Arial"/>
                <w:bCs/>
                <w:sz w:val="24"/>
                <w:szCs w:val="24"/>
              </w:rPr>
              <w:t>os Habitantes da República da</w:t>
            </w:r>
            <w:r w:rsidR="003939B6" w:rsidRPr="003A1174">
              <w:rPr>
                <w:rFonts w:ascii="Garamond" w:hAnsi="Garamond" w:cs="Arial"/>
                <w:bCs/>
                <w:sz w:val="24"/>
                <w:szCs w:val="24"/>
              </w:rPr>
              <w:t xml:space="preserve"> Costa Rica</w:t>
            </w:r>
          </w:p>
          <w:p w:rsidR="003939B6" w:rsidRPr="003A1174" w:rsidRDefault="00800D59" w:rsidP="008719D4">
            <w:pPr>
              <w:ind w:left="473" w:right="257"/>
              <w:rPr>
                <w:rFonts w:ascii="Garamond" w:eastAsia="SimSun" w:hAnsi="Garamond" w:cs="Arial"/>
                <w:sz w:val="24"/>
                <w:szCs w:val="24"/>
              </w:rPr>
            </w:pPr>
            <w:r w:rsidRPr="003A1174">
              <w:rPr>
                <w:rFonts w:ascii="Garamond" w:hAnsi="Garamond" w:cs="Arial"/>
                <w:bCs/>
                <w:sz w:val="24"/>
                <w:szCs w:val="24"/>
              </w:rPr>
              <w:t xml:space="preserve">Procuradoria para </w:t>
            </w:r>
            <w:r w:rsidR="003939B6" w:rsidRPr="003A1174">
              <w:rPr>
                <w:rFonts w:ascii="Garamond" w:hAnsi="Garamond" w:cs="Arial"/>
                <w:bCs/>
                <w:sz w:val="24"/>
                <w:szCs w:val="24"/>
              </w:rPr>
              <w:t xml:space="preserve">a </w:t>
            </w:r>
            <w:r w:rsidR="002C7510" w:rsidRPr="003A1174">
              <w:rPr>
                <w:rFonts w:ascii="Garamond" w:hAnsi="Garamond" w:cs="Arial"/>
                <w:bCs/>
                <w:sz w:val="24"/>
                <w:szCs w:val="24"/>
              </w:rPr>
              <w:t>Defesa</w:t>
            </w:r>
            <w:r w:rsidR="003939B6" w:rsidRPr="003A1174">
              <w:rPr>
                <w:rFonts w:ascii="Garamond" w:hAnsi="Garamond" w:cs="Arial"/>
                <w:bCs/>
                <w:sz w:val="24"/>
                <w:szCs w:val="24"/>
              </w:rPr>
              <w:t xml:space="preserve"> dos </w:t>
            </w:r>
            <w:r w:rsidR="00886D6A" w:rsidRPr="003A1174">
              <w:rPr>
                <w:rFonts w:ascii="Garamond" w:hAnsi="Garamond" w:cs="Arial"/>
                <w:bCs/>
                <w:sz w:val="24"/>
                <w:szCs w:val="24"/>
              </w:rPr>
              <w:t>Direito</w:t>
            </w:r>
            <w:r w:rsidR="003939B6" w:rsidRPr="003A1174">
              <w:rPr>
                <w:rFonts w:ascii="Garamond" w:hAnsi="Garamond" w:cs="Arial"/>
                <w:bCs/>
                <w:sz w:val="24"/>
                <w:szCs w:val="24"/>
              </w:rPr>
              <w:t xml:space="preserve">s Humanos de </w:t>
            </w:r>
            <w:r w:rsidR="003939B6" w:rsidRPr="003A1174">
              <w:rPr>
                <w:rFonts w:ascii="Garamond" w:eastAsia="SimSun" w:hAnsi="Garamond" w:cs="Arial"/>
                <w:sz w:val="24"/>
                <w:szCs w:val="24"/>
              </w:rPr>
              <w:t xml:space="preserve">El Salvador </w:t>
            </w:r>
          </w:p>
          <w:p w:rsidR="003939B6" w:rsidRPr="002732BE" w:rsidRDefault="004C1496" w:rsidP="008719D4">
            <w:pPr>
              <w:pStyle w:val="Ttulo6"/>
              <w:spacing w:before="0"/>
              <w:ind w:left="473" w:right="257"/>
              <w:outlineLvl w:val="5"/>
              <w:rPr>
                <w:rFonts w:ascii="Garamond" w:hAnsi="Garamond" w:cs="Arial"/>
                <w:i w:val="0"/>
                <w:color w:val="auto"/>
                <w:sz w:val="24"/>
                <w:szCs w:val="24"/>
              </w:rPr>
            </w:pPr>
            <w:r w:rsidRPr="002732BE">
              <w:rPr>
                <w:rFonts w:ascii="Garamond" w:hAnsi="Garamond" w:cs="Arial"/>
                <w:i w:val="0"/>
                <w:color w:val="auto"/>
                <w:sz w:val="24"/>
                <w:szCs w:val="24"/>
              </w:rPr>
              <w:t>Provedor de Justiça</w:t>
            </w:r>
            <w:r w:rsidR="003939B6" w:rsidRPr="002732BE">
              <w:rPr>
                <w:rFonts w:ascii="Garamond" w:hAnsi="Garamond" w:cs="Arial"/>
                <w:i w:val="0"/>
                <w:color w:val="auto"/>
                <w:sz w:val="24"/>
                <w:szCs w:val="24"/>
              </w:rPr>
              <w:t xml:space="preserve"> de </w:t>
            </w:r>
            <w:r w:rsidR="0017447A" w:rsidRPr="002732BE">
              <w:rPr>
                <w:rFonts w:ascii="Garamond" w:hAnsi="Garamond" w:cs="Arial"/>
                <w:i w:val="0"/>
                <w:color w:val="auto"/>
                <w:sz w:val="24"/>
                <w:szCs w:val="24"/>
              </w:rPr>
              <w:t>Espanha</w:t>
            </w:r>
          </w:p>
          <w:p w:rsidR="003939B6" w:rsidRPr="003A1174" w:rsidRDefault="00FC1F7F" w:rsidP="008719D4">
            <w:pPr>
              <w:ind w:left="473" w:right="257"/>
              <w:jc w:val="both"/>
              <w:rPr>
                <w:rFonts w:ascii="Garamond" w:hAnsi="Garamond" w:cs="Arial"/>
                <w:bCs/>
                <w:sz w:val="24"/>
                <w:szCs w:val="24"/>
              </w:rPr>
            </w:pPr>
            <w:r w:rsidRPr="003A1174">
              <w:rPr>
                <w:rFonts w:ascii="Garamond" w:eastAsia="SimSun" w:hAnsi="Garamond" w:cs="Arial"/>
                <w:sz w:val="24"/>
                <w:szCs w:val="24"/>
              </w:rPr>
              <w:t>Comissão</w:t>
            </w:r>
            <w:r w:rsidR="003939B6" w:rsidRPr="003A1174">
              <w:rPr>
                <w:rFonts w:ascii="Garamond" w:eastAsia="SimSun" w:hAnsi="Garamond" w:cs="Arial"/>
                <w:sz w:val="24"/>
                <w:szCs w:val="24"/>
              </w:rPr>
              <w:t xml:space="preserve"> </w:t>
            </w:r>
            <w:r w:rsidR="00800D59" w:rsidRPr="003A1174">
              <w:rPr>
                <w:rFonts w:ascii="Garamond" w:hAnsi="Garamond" w:cs="Arial"/>
                <w:bCs/>
                <w:sz w:val="24"/>
                <w:szCs w:val="24"/>
              </w:rPr>
              <w:t>Nacional d</w:t>
            </w:r>
            <w:r w:rsidR="003939B6" w:rsidRPr="003A1174">
              <w:rPr>
                <w:rFonts w:ascii="Garamond" w:hAnsi="Garamond" w:cs="Arial"/>
                <w:bCs/>
                <w:sz w:val="24"/>
                <w:szCs w:val="24"/>
              </w:rPr>
              <w:t xml:space="preserve">os </w:t>
            </w:r>
            <w:r w:rsidR="00886D6A" w:rsidRPr="003A1174">
              <w:rPr>
                <w:rFonts w:ascii="Garamond" w:hAnsi="Garamond" w:cs="Arial"/>
                <w:bCs/>
                <w:sz w:val="24"/>
                <w:szCs w:val="24"/>
              </w:rPr>
              <w:t>Direito</w:t>
            </w:r>
            <w:r w:rsidR="00800D59" w:rsidRPr="003A1174">
              <w:rPr>
                <w:rFonts w:ascii="Garamond" w:hAnsi="Garamond" w:cs="Arial"/>
                <w:bCs/>
                <w:sz w:val="24"/>
                <w:szCs w:val="24"/>
              </w:rPr>
              <w:t>s Humanos das</w:t>
            </w:r>
            <w:r w:rsidR="003939B6" w:rsidRPr="003A1174">
              <w:rPr>
                <w:rFonts w:ascii="Garamond" w:hAnsi="Garamond" w:cs="Arial"/>
                <w:bCs/>
                <w:sz w:val="24"/>
                <w:szCs w:val="24"/>
              </w:rPr>
              <w:t xml:space="preserve"> Honduras</w:t>
            </w:r>
          </w:p>
          <w:p w:rsidR="003939B6" w:rsidRPr="003A1174" w:rsidRDefault="00FC1F7F" w:rsidP="008719D4">
            <w:pPr>
              <w:tabs>
                <w:tab w:val="left" w:pos="708"/>
              </w:tabs>
              <w:suppressAutoHyphens/>
              <w:ind w:left="473" w:right="257"/>
              <w:jc w:val="both"/>
              <w:rPr>
                <w:rFonts w:ascii="Garamond" w:eastAsia="SimSun" w:hAnsi="Garamond" w:cs="Arial"/>
                <w:sz w:val="24"/>
                <w:szCs w:val="24"/>
              </w:rPr>
            </w:pPr>
            <w:r w:rsidRPr="003A1174">
              <w:rPr>
                <w:rFonts w:ascii="Garamond" w:hAnsi="Garamond" w:cs="Arial"/>
                <w:bCs/>
                <w:sz w:val="24"/>
                <w:szCs w:val="24"/>
              </w:rPr>
              <w:t>Comissão</w:t>
            </w:r>
            <w:r w:rsidR="003939B6" w:rsidRPr="003A1174">
              <w:rPr>
                <w:rFonts w:ascii="Garamond" w:hAnsi="Garamond" w:cs="Arial"/>
                <w:bCs/>
                <w:sz w:val="24"/>
                <w:szCs w:val="24"/>
              </w:rPr>
              <w:t xml:space="preserve"> Nacional de </w:t>
            </w:r>
            <w:r w:rsidR="00886D6A" w:rsidRPr="003A1174">
              <w:rPr>
                <w:rFonts w:ascii="Garamond" w:hAnsi="Garamond" w:cs="Arial"/>
                <w:bCs/>
                <w:sz w:val="24"/>
                <w:szCs w:val="24"/>
              </w:rPr>
              <w:t>Direito</w:t>
            </w:r>
            <w:r w:rsidR="003939B6" w:rsidRPr="003A1174">
              <w:rPr>
                <w:rFonts w:ascii="Garamond" w:hAnsi="Garamond" w:cs="Arial"/>
                <w:bCs/>
                <w:sz w:val="24"/>
                <w:szCs w:val="24"/>
              </w:rPr>
              <w:t>s Humanos</w:t>
            </w:r>
            <w:r w:rsidR="003939B6" w:rsidRPr="003A1174">
              <w:rPr>
                <w:rFonts w:ascii="Garamond" w:eastAsia="SimSun" w:hAnsi="Garamond" w:cs="Arial"/>
                <w:sz w:val="24"/>
                <w:szCs w:val="24"/>
              </w:rPr>
              <w:t xml:space="preserve"> d</w:t>
            </w:r>
            <w:r w:rsidR="00800D59" w:rsidRPr="003A1174">
              <w:rPr>
                <w:rFonts w:ascii="Garamond" w:eastAsia="SimSun" w:hAnsi="Garamond" w:cs="Arial"/>
                <w:sz w:val="24"/>
                <w:szCs w:val="24"/>
              </w:rPr>
              <w:t>o</w:t>
            </w:r>
            <w:r w:rsidR="003939B6" w:rsidRPr="003A1174">
              <w:rPr>
                <w:rFonts w:ascii="Garamond" w:eastAsia="SimSun" w:hAnsi="Garamond" w:cs="Arial"/>
                <w:sz w:val="24"/>
                <w:szCs w:val="24"/>
              </w:rPr>
              <w:t xml:space="preserve"> México </w:t>
            </w:r>
          </w:p>
          <w:p w:rsidR="003939B6" w:rsidRPr="003A1174" w:rsidRDefault="00C04CA4" w:rsidP="008719D4">
            <w:pPr>
              <w:ind w:left="473" w:right="257"/>
              <w:jc w:val="both"/>
              <w:rPr>
                <w:rFonts w:ascii="Garamond" w:hAnsi="Garamond" w:cs="Arial"/>
                <w:bCs/>
                <w:sz w:val="24"/>
                <w:szCs w:val="24"/>
              </w:rPr>
            </w:pPr>
            <w:r w:rsidRPr="003A1174">
              <w:rPr>
                <w:rFonts w:ascii="Garamond" w:hAnsi="Garamond" w:cs="Arial"/>
                <w:bCs/>
                <w:sz w:val="24"/>
                <w:szCs w:val="24"/>
              </w:rPr>
              <w:t>Provedoria de Justiça</w:t>
            </w:r>
            <w:r w:rsidR="00800D59" w:rsidRPr="003A1174">
              <w:rPr>
                <w:rFonts w:ascii="Garamond" w:hAnsi="Garamond" w:cs="Arial"/>
                <w:bCs/>
                <w:sz w:val="24"/>
                <w:szCs w:val="24"/>
              </w:rPr>
              <w:t xml:space="preserve"> d</w:t>
            </w:r>
            <w:r w:rsidR="003939B6" w:rsidRPr="003A1174">
              <w:rPr>
                <w:rFonts w:ascii="Garamond" w:hAnsi="Garamond" w:cs="Arial"/>
                <w:bCs/>
                <w:sz w:val="24"/>
                <w:szCs w:val="24"/>
              </w:rPr>
              <w:t>a República d</w:t>
            </w:r>
            <w:r w:rsidR="00800D59" w:rsidRPr="003A1174">
              <w:rPr>
                <w:rFonts w:ascii="Garamond" w:hAnsi="Garamond" w:cs="Arial"/>
                <w:bCs/>
                <w:sz w:val="24"/>
                <w:szCs w:val="24"/>
              </w:rPr>
              <w:t>o</w:t>
            </w:r>
            <w:r w:rsidR="003939B6" w:rsidRPr="003A1174">
              <w:rPr>
                <w:rFonts w:ascii="Garamond" w:hAnsi="Garamond" w:cs="Arial"/>
                <w:bCs/>
                <w:sz w:val="24"/>
                <w:szCs w:val="24"/>
              </w:rPr>
              <w:t xml:space="preserve"> </w:t>
            </w:r>
            <w:r w:rsidR="00C30647" w:rsidRPr="003A1174">
              <w:rPr>
                <w:rFonts w:ascii="Garamond" w:hAnsi="Garamond" w:cs="Arial"/>
                <w:bCs/>
                <w:sz w:val="24"/>
                <w:szCs w:val="24"/>
              </w:rPr>
              <w:t>Paraguai</w:t>
            </w:r>
          </w:p>
          <w:p w:rsidR="003939B6" w:rsidRPr="003A1174" w:rsidRDefault="00C04CA4" w:rsidP="008719D4">
            <w:pPr>
              <w:tabs>
                <w:tab w:val="left" w:pos="708"/>
              </w:tabs>
              <w:suppressAutoHyphens/>
              <w:ind w:left="473" w:right="257"/>
              <w:jc w:val="both"/>
              <w:rPr>
                <w:rFonts w:ascii="Garamond" w:eastAsia="SimSun" w:hAnsi="Garamond" w:cs="Arial"/>
                <w:sz w:val="24"/>
                <w:szCs w:val="24"/>
              </w:rPr>
            </w:pPr>
            <w:r w:rsidRPr="003A1174">
              <w:rPr>
                <w:rFonts w:ascii="Garamond" w:eastAsia="SimSun" w:hAnsi="Garamond" w:cs="Arial"/>
                <w:sz w:val="24"/>
                <w:szCs w:val="24"/>
              </w:rPr>
              <w:t>Provedoria de Justiça</w:t>
            </w:r>
            <w:r w:rsidR="00800D59" w:rsidRPr="003A1174">
              <w:rPr>
                <w:rFonts w:ascii="Garamond" w:eastAsia="SimSun" w:hAnsi="Garamond" w:cs="Arial"/>
                <w:sz w:val="24"/>
                <w:szCs w:val="24"/>
              </w:rPr>
              <w:t xml:space="preserve"> do</w:t>
            </w:r>
            <w:r w:rsidR="003939B6" w:rsidRPr="003A1174">
              <w:rPr>
                <w:rFonts w:ascii="Garamond" w:eastAsia="SimSun" w:hAnsi="Garamond" w:cs="Arial"/>
                <w:sz w:val="24"/>
                <w:szCs w:val="24"/>
              </w:rPr>
              <w:t xml:space="preserve"> </w:t>
            </w:r>
            <w:r w:rsidR="00C30647" w:rsidRPr="003A1174">
              <w:rPr>
                <w:rFonts w:ascii="Garamond" w:eastAsia="SimSun" w:hAnsi="Garamond" w:cs="Arial"/>
                <w:sz w:val="24"/>
                <w:szCs w:val="24"/>
              </w:rPr>
              <w:t>Peru</w:t>
            </w:r>
            <w:r w:rsidR="003939B6" w:rsidRPr="003A1174">
              <w:rPr>
                <w:rFonts w:ascii="Garamond" w:eastAsia="SimSun" w:hAnsi="Garamond" w:cs="Arial"/>
                <w:sz w:val="24"/>
                <w:szCs w:val="24"/>
              </w:rPr>
              <w:t xml:space="preserve"> </w:t>
            </w:r>
          </w:p>
          <w:p w:rsidR="003939B6" w:rsidRPr="003A1174" w:rsidRDefault="003939B6" w:rsidP="008719D4">
            <w:pPr>
              <w:ind w:left="473" w:right="257"/>
              <w:jc w:val="both"/>
              <w:rPr>
                <w:rFonts w:ascii="Garamond" w:hAnsi="Garamond" w:cs="Arial"/>
                <w:bCs/>
                <w:sz w:val="24"/>
                <w:szCs w:val="24"/>
              </w:rPr>
            </w:pPr>
            <w:r w:rsidRPr="003A1174">
              <w:rPr>
                <w:rFonts w:ascii="Garamond" w:eastAsia="SimSun" w:hAnsi="Garamond" w:cs="Arial"/>
                <w:sz w:val="24"/>
                <w:szCs w:val="24"/>
              </w:rPr>
              <w:t>Procurad</w:t>
            </w:r>
            <w:r w:rsidR="00800D59" w:rsidRPr="003A1174">
              <w:rPr>
                <w:rFonts w:ascii="Garamond" w:eastAsia="SimSun" w:hAnsi="Garamond" w:cs="Arial"/>
                <w:sz w:val="24"/>
                <w:szCs w:val="24"/>
              </w:rPr>
              <w:t>ori</w:t>
            </w:r>
            <w:r w:rsidRPr="003A1174">
              <w:rPr>
                <w:rFonts w:ascii="Garamond" w:eastAsia="SimSun" w:hAnsi="Garamond" w:cs="Arial"/>
                <w:sz w:val="24"/>
                <w:szCs w:val="24"/>
              </w:rPr>
              <w:t xml:space="preserve">a </w:t>
            </w:r>
            <w:r w:rsidRPr="003A1174">
              <w:rPr>
                <w:rFonts w:ascii="Garamond" w:hAnsi="Garamond" w:cs="Arial"/>
                <w:bCs/>
                <w:sz w:val="24"/>
                <w:szCs w:val="24"/>
              </w:rPr>
              <w:t>d</w:t>
            </w:r>
            <w:r w:rsidR="00800D59" w:rsidRPr="003A1174">
              <w:rPr>
                <w:rFonts w:ascii="Garamond" w:hAnsi="Garamond" w:cs="Arial"/>
                <w:bCs/>
                <w:sz w:val="24"/>
                <w:szCs w:val="24"/>
              </w:rPr>
              <w:t>o Ci</w:t>
            </w:r>
            <w:r w:rsidRPr="003A1174">
              <w:rPr>
                <w:rFonts w:ascii="Garamond" w:hAnsi="Garamond" w:cs="Arial"/>
                <w:bCs/>
                <w:sz w:val="24"/>
                <w:szCs w:val="24"/>
              </w:rPr>
              <w:t>dad</w:t>
            </w:r>
            <w:r w:rsidR="00800D59" w:rsidRPr="003A1174">
              <w:rPr>
                <w:rFonts w:ascii="Garamond" w:hAnsi="Garamond" w:cs="Arial"/>
                <w:bCs/>
                <w:sz w:val="24"/>
                <w:szCs w:val="24"/>
              </w:rPr>
              <w:t xml:space="preserve">ão do </w:t>
            </w:r>
            <w:r w:rsidRPr="003A1174">
              <w:rPr>
                <w:rFonts w:ascii="Garamond" w:hAnsi="Garamond" w:cs="Arial"/>
                <w:bCs/>
                <w:sz w:val="24"/>
                <w:szCs w:val="24"/>
              </w:rPr>
              <w:t xml:space="preserve">Estado </w:t>
            </w:r>
            <w:r w:rsidR="00AF192F" w:rsidRPr="003A1174">
              <w:rPr>
                <w:rFonts w:ascii="Garamond" w:hAnsi="Garamond" w:cs="Arial"/>
                <w:bCs/>
                <w:sz w:val="24"/>
                <w:szCs w:val="24"/>
              </w:rPr>
              <w:t>Livre</w:t>
            </w:r>
            <w:r w:rsidR="00800D59" w:rsidRPr="003A1174">
              <w:rPr>
                <w:rFonts w:ascii="Garamond" w:hAnsi="Garamond" w:cs="Arial"/>
                <w:bCs/>
                <w:sz w:val="24"/>
                <w:szCs w:val="24"/>
              </w:rPr>
              <w:t xml:space="preserve"> e</w:t>
            </w:r>
            <w:r w:rsidRPr="003A1174">
              <w:rPr>
                <w:rFonts w:ascii="Garamond" w:hAnsi="Garamond" w:cs="Arial"/>
                <w:bCs/>
                <w:sz w:val="24"/>
                <w:szCs w:val="24"/>
              </w:rPr>
              <w:t xml:space="preserve"> </w:t>
            </w:r>
            <w:r w:rsidR="00800D59" w:rsidRPr="003A1174">
              <w:rPr>
                <w:rFonts w:ascii="Garamond" w:hAnsi="Garamond" w:cs="Arial"/>
                <w:bCs/>
                <w:sz w:val="24"/>
                <w:szCs w:val="24"/>
              </w:rPr>
              <w:t>Associado</w:t>
            </w:r>
            <w:r w:rsidRPr="003A1174">
              <w:rPr>
                <w:rFonts w:ascii="Garamond" w:hAnsi="Garamond" w:cs="Arial"/>
                <w:bCs/>
                <w:sz w:val="24"/>
                <w:szCs w:val="24"/>
              </w:rPr>
              <w:t xml:space="preserve"> de </w:t>
            </w:r>
            <w:r w:rsidR="0017447A" w:rsidRPr="003A1174">
              <w:rPr>
                <w:rFonts w:ascii="Garamond" w:hAnsi="Garamond" w:cs="Arial"/>
                <w:bCs/>
                <w:sz w:val="24"/>
                <w:szCs w:val="24"/>
              </w:rPr>
              <w:t>Porto</w:t>
            </w:r>
            <w:r w:rsidRPr="003A1174">
              <w:rPr>
                <w:rFonts w:ascii="Garamond" w:hAnsi="Garamond" w:cs="Arial"/>
                <w:bCs/>
                <w:sz w:val="24"/>
                <w:szCs w:val="24"/>
              </w:rPr>
              <w:t xml:space="preserve"> Rico</w:t>
            </w:r>
          </w:p>
          <w:p w:rsidR="003939B6" w:rsidRPr="003A1174" w:rsidRDefault="00800D59" w:rsidP="008719D4">
            <w:pPr>
              <w:ind w:left="473" w:right="257"/>
              <w:jc w:val="both"/>
              <w:rPr>
                <w:rFonts w:ascii="Garamond" w:hAnsi="Garamond" w:cs="Arial"/>
                <w:bCs/>
                <w:sz w:val="24"/>
                <w:szCs w:val="24"/>
              </w:rPr>
            </w:pPr>
            <w:r w:rsidRPr="003A1174">
              <w:rPr>
                <w:rFonts w:ascii="Garamond" w:hAnsi="Garamond" w:cs="Arial"/>
                <w:bCs/>
                <w:sz w:val="24"/>
                <w:szCs w:val="24"/>
              </w:rPr>
              <w:lastRenderedPageBreak/>
              <w:t>Instituição</w:t>
            </w:r>
            <w:r w:rsidR="003939B6" w:rsidRPr="003A1174">
              <w:rPr>
                <w:rFonts w:ascii="Garamond" w:hAnsi="Garamond" w:cs="Arial"/>
                <w:bCs/>
                <w:sz w:val="24"/>
                <w:szCs w:val="24"/>
              </w:rPr>
              <w:t xml:space="preserve"> Nacional de </w:t>
            </w:r>
            <w:r w:rsidR="00886D6A" w:rsidRPr="003A1174">
              <w:rPr>
                <w:rFonts w:ascii="Garamond" w:hAnsi="Garamond" w:cs="Arial"/>
                <w:bCs/>
                <w:sz w:val="24"/>
                <w:szCs w:val="24"/>
              </w:rPr>
              <w:t>Direito</w:t>
            </w:r>
            <w:r w:rsidRPr="003A1174">
              <w:rPr>
                <w:rFonts w:ascii="Garamond" w:hAnsi="Garamond" w:cs="Arial"/>
                <w:bCs/>
                <w:sz w:val="24"/>
                <w:szCs w:val="24"/>
              </w:rPr>
              <w:t>s Humanos e</w:t>
            </w:r>
            <w:r w:rsidR="003939B6" w:rsidRPr="003A1174">
              <w:rPr>
                <w:rFonts w:ascii="Garamond" w:hAnsi="Garamond" w:cs="Arial"/>
                <w:bCs/>
                <w:sz w:val="24"/>
                <w:szCs w:val="24"/>
              </w:rPr>
              <w:t xml:space="preserve"> </w:t>
            </w:r>
            <w:r w:rsidR="00C04CA4" w:rsidRPr="003A1174">
              <w:rPr>
                <w:rFonts w:ascii="Garamond" w:hAnsi="Garamond" w:cs="Arial"/>
                <w:bCs/>
                <w:sz w:val="24"/>
                <w:szCs w:val="24"/>
              </w:rPr>
              <w:t>Provedoria de Justiça</w:t>
            </w:r>
            <w:r w:rsidR="003939B6" w:rsidRPr="003A1174">
              <w:rPr>
                <w:rFonts w:ascii="Garamond" w:hAnsi="Garamond" w:cs="Arial"/>
                <w:bCs/>
                <w:sz w:val="24"/>
                <w:szCs w:val="24"/>
              </w:rPr>
              <w:t xml:space="preserve"> d</w:t>
            </w:r>
            <w:r w:rsidRPr="003A1174">
              <w:rPr>
                <w:rFonts w:ascii="Garamond" w:hAnsi="Garamond" w:cs="Arial"/>
                <w:bCs/>
                <w:sz w:val="24"/>
                <w:szCs w:val="24"/>
              </w:rPr>
              <w:t>o</w:t>
            </w:r>
            <w:r w:rsidR="003939B6" w:rsidRPr="003A1174">
              <w:rPr>
                <w:rFonts w:ascii="Garamond" w:hAnsi="Garamond" w:cs="Arial"/>
                <w:bCs/>
                <w:sz w:val="24"/>
                <w:szCs w:val="24"/>
              </w:rPr>
              <w:t xml:space="preserve"> </w:t>
            </w:r>
            <w:r w:rsidR="00C30647" w:rsidRPr="003A1174">
              <w:rPr>
                <w:rFonts w:ascii="Garamond" w:hAnsi="Garamond" w:cs="Arial"/>
                <w:bCs/>
                <w:sz w:val="24"/>
                <w:szCs w:val="24"/>
              </w:rPr>
              <w:t>Uruguai</w:t>
            </w:r>
          </w:p>
          <w:p w:rsidR="003939B6" w:rsidRPr="003A1174" w:rsidRDefault="00C04CA4" w:rsidP="008719D4">
            <w:pPr>
              <w:tabs>
                <w:tab w:val="left" w:pos="708"/>
              </w:tabs>
              <w:suppressAutoHyphens/>
              <w:ind w:left="473" w:right="257"/>
              <w:jc w:val="both"/>
              <w:rPr>
                <w:rFonts w:ascii="Garamond" w:eastAsia="SimSun" w:hAnsi="Garamond" w:cs="Arial"/>
                <w:sz w:val="24"/>
                <w:szCs w:val="24"/>
              </w:rPr>
            </w:pPr>
            <w:r w:rsidRPr="003A1174">
              <w:rPr>
                <w:rFonts w:ascii="Garamond" w:eastAsia="SimSun" w:hAnsi="Garamond" w:cs="Arial"/>
                <w:sz w:val="24"/>
                <w:szCs w:val="24"/>
              </w:rPr>
              <w:t>Provedoria de Justiça</w:t>
            </w:r>
            <w:r w:rsidR="00800D59" w:rsidRPr="003A1174">
              <w:rPr>
                <w:rFonts w:ascii="Garamond" w:eastAsia="SimSun" w:hAnsi="Garamond" w:cs="Arial"/>
                <w:sz w:val="24"/>
                <w:szCs w:val="24"/>
              </w:rPr>
              <w:t xml:space="preserve"> da</w:t>
            </w:r>
            <w:r w:rsidR="003939B6" w:rsidRPr="003A1174">
              <w:rPr>
                <w:rFonts w:ascii="Garamond" w:eastAsia="SimSun" w:hAnsi="Garamond" w:cs="Arial"/>
                <w:sz w:val="24"/>
                <w:szCs w:val="24"/>
              </w:rPr>
              <w:t xml:space="preserve"> Venezuela </w:t>
            </w:r>
          </w:p>
          <w:p w:rsidR="003939B6" w:rsidRPr="003A1174" w:rsidRDefault="003939B6" w:rsidP="008719D4">
            <w:pPr>
              <w:tabs>
                <w:tab w:val="left" w:pos="708"/>
              </w:tabs>
              <w:suppressAutoHyphens/>
              <w:jc w:val="both"/>
              <w:rPr>
                <w:rFonts w:ascii="Garamond" w:hAnsi="Garamond" w:cs="Arial"/>
                <w:b/>
                <w:sz w:val="24"/>
                <w:szCs w:val="24"/>
              </w:rPr>
            </w:pPr>
          </w:p>
        </w:tc>
      </w:tr>
    </w:tbl>
    <w:p w:rsidR="002B21B7" w:rsidRPr="003A1174" w:rsidRDefault="002B21B7" w:rsidP="008719D4">
      <w:pPr>
        <w:tabs>
          <w:tab w:val="left" w:pos="708"/>
        </w:tabs>
        <w:suppressAutoHyphens/>
        <w:spacing w:after="0" w:line="240" w:lineRule="auto"/>
        <w:jc w:val="both"/>
        <w:rPr>
          <w:rFonts w:ascii="Garamond" w:eastAsia="SimSun" w:hAnsi="Garamond" w:cs="Arial"/>
          <w:b/>
          <w:sz w:val="24"/>
          <w:szCs w:val="24"/>
        </w:rPr>
      </w:pPr>
      <w:r w:rsidRPr="003A1174">
        <w:rPr>
          <w:rFonts w:ascii="Garamond" w:eastAsia="SimSun" w:hAnsi="Garamond" w:cs="Arial"/>
          <w:b/>
          <w:sz w:val="24"/>
          <w:szCs w:val="24"/>
        </w:rPr>
        <w:lastRenderedPageBreak/>
        <w:t>E</w:t>
      </w:r>
      <w:r w:rsidR="00800D59" w:rsidRPr="003A1174">
        <w:rPr>
          <w:rFonts w:ascii="Garamond" w:eastAsia="SimSun" w:hAnsi="Garamond" w:cs="Arial"/>
          <w:b/>
          <w:sz w:val="24"/>
          <w:szCs w:val="24"/>
        </w:rPr>
        <w:t xml:space="preserve">specialista </w:t>
      </w:r>
      <w:r w:rsidR="00FC1F7F" w:rsidRPr="003A1174">
        <w:rPr>
          <w:rFonts w:ascii="Garamond" w:eastAsia="SimSun" w:hAnsi="Garamond" w:cs="Arial"/>
          <w:b/>
          <w:sz w:val="24"/>
          <w:szCs w:val="24"/>
        </w:rPr>
        <w:t>responsável</w:t>
      </w:r>
      <w:r w:rsidR="007D3BC4" w:rsidRPr="003A1174">
        <w:rPr>
          <w:rFonts w:ascii="Garamond" w:eastAsia="SimSun" w:hAnsi="Garamond" w:cs="Arial"/>
          <w:b/>
          <w:sz w:val="24"/>
          <w:szCs w:val="24"/>
        </w:rPr>
        <w:t xml:space="preserve"> </w:t>
      </w:r>
      <w:r w:rsidR="00800D59" w:rsidRPr="003A1174">
        <w:rPr>
          <w:rFonts w:ascii="Garamond" w:eastAsia="SimSun" w:hAnsi="Garamond" w:cs="Arial"/>
          <w:b/>
          <w:sz w:val="24"/>
          <w:szCs w:val="24"/>
        </w:rPr>
        <w:t>pela sistematização</w:t>
      </w:r>
    </w:p>
    <w:p w:rsidR="007D3BC4" w:rsidRPr="003A1174" w:rsidRDefault="003939B6" w:rsidP="008719D4">
      <w:pPr>
        <w:spacing w:after="0" w:line="240" w:lineRule="auto"/>
        <w:rPr>
          <w:rFonts w:ascii="Garamond" w:hAnsi="Garamond" w:cs="Arial"/>
          <w:sz w:val="24"/>
          <w:szCs w:val="24"/>
        </w:rPr>
      </w:pPr>
      <w:r w:rsidRPr="003A1174">
        <w:rPr>
          <w:rFonts w:ascii="Garamond" w:hAnsi="Garamond" w:cs="Arial"/>
          <w:sz w:val="24"/>
          <w:szCs w:val="24"/>
        </w:rPr>
        <w:t>José</w:t>
      </w:r>
      <w:r w:rsidR="007D3BC4" w:rsidRPr="003A1174">
        <w:rPr>
          <w:rFonts w:ascii="Garamond" w:hAnsi="Garamond" w:cs="Arial"/>
          <w:sz w:val="24"/>
          <w:szCs w:val="24"/>
        </w:rPr>
        <w:t xml:space="preserve"> Hugo R</w:t>
      </w:r>
      <w:r w:rsidRPr="003A1174">
        <w:rPr>
          <w:rFonts w:ascii="Garamond" w:hAnsi="Garamond" w:cs="Arial"/>
          <w:sz w:val="24"/>
          <w:szCs w:val="24"/>
        </w:rPr>
        <w:t>odríguez Brignardello</w:t>
      </w:r>
    </w:p>
    <w:p w:rsidR="003939B6" w:rsidRPr="003A1174" w:rsidRDefault="003939B6" w:rsidP="008719D4">
      <w:pPr>
        <w:tabs>
          <w:tab w:val="left" w:pos="6311"/>
        </w:tabs>
        <w:spacing w:after="0" w:line="240" w:lineRule="auto"/>
        <w:rPr>
          <w:rFonts w:ascii="Garamond" w:hAnsi="Garamond" w:cs="Arial"/>
          <w:b/>
          <w:sz w:val="24"/>
          <w:szCs w:val="24"/>
        </w:rPr>
      </w:pPr>
    </w:p>
    <w:p w:rsidR="002B21B7" w:rsidRPr="003A1174" w:rsidRDefault="00FC1F7F" w:rsidP="008719D4">
      <w:pPr>
        <w:tabs>
          <w:tab w:val="left" w:pos="6311"/>
        </w:tabs>
        <w:spacing w:after="0" w:line="240" w:lineRule="auto"/>
        <w:rPr>
          <w:rFonts w:ascii="Garamond" w:hAnsi="Garamond" w:cs="Arial"/>
          <w:b/>
          <w:sz w:val="24"/>
          <w:szCs w:val="24"/>
        </w:rPr>
      </w:pPr>
      <w:r w:rsidRPr="003A1174">
        <w:rPr>
          <w:rFonts w:ascii="Garamond" w:hAnsi="Garamond" w:cs="Arial"/>
          <w:b/>
          <w:sz w:val="24"/>
          <w:szCs w:val="24"/>
        </w:rPr>
        <w:t>Supervisão</w:t>
      </w:r>
      <w:r w:rsidR="002B21B7" w:rsidRPr="003A1174">
        <w:rPr>
          <w:rFonts w:ascii="Garamond" w:hAnsi="Garamond" w:cs="Arial"/>
          <w:b/>
          <w:sz w:val="24"/>
          <w:szCs w:val="24"/>
        </w:rPr>
        <w:t xml:space="preserve"> de </w:t>
      </w:r>
      <w:r w:rsidRPr="003A1174">
        <w:rPr>
          <w:rFonts w:ascii="Garamond" w:hAnsi="Garamond" w:cs="Arial"/>
          <w:b/>
          <w:sz w:val="24"/>
          <w:szCs w:val="24"/>
        </w:rPr>
        <w:t>conteúdo</w:t>
      </w:r>
      <w:r w:rsidR="002B21B7" w:rsidRPr="003A1174">
        <w:rPr>
          <w:rFonts w:ascii="Garamond" w:hAnsi="Garamond" w:cs="Arial"/>
          <w:b/>
          <w:sz w:val="24"/>
          <w:szCs w:val="24"/>
        </w:rPr>
        <w:t xml:space="preserve"> PROFIO- GIZ </w:t>
      </w:r>
    </w:p>
    <w:p w:rsidR="002B21B7" w:rsidRPr="003A1174" w:rsidRDefault="002B21B7" w:rsidP="008719D4">
      <w:pPr>
        <w:tabs>
          <w:tab w:val="left" w:pos="2177"/>
        </w:tabs>
        <w:spacing w:after="0" w:line="240" w:lineRule="auto"/>
        <w:rPr>
          <w:rFonts w:ascii="Garamond" w:hAnsi="Garamond" w:cs="Arial"/>
          <w:sz w:val="24"/>
          <w:szCs w:val="24"/>
        </w:rPr>
      </w:pPr>
      <w:r w:rsidRPr="003A1174">
        <w:rPr>
          <w:rFonts w:ascii="Garamond" w:hAnsi="Garamond" w:cs="Arial"/>
          <w:sz w:val="24"/>
          <w:szCs w:val="24"/>
        </w:rPr>
        <w:t>Nadezhda Vásquez Cucho</w:t>
      </w:r>
    </w:p>
    <w:p w:rsidR="002B21B7" w:rsidRPr="003A1174" w:rsidRDefault="00FC1F7F" w:rsidP="008719D4">
      <w:pPr>
        <w:tabs>
          <w:tab w:val="left" w:pos="2177"/>
        </w:tabs>
        <w:spacing w:after="0" w:line="240" w:lineRule="auto"/>
        <w:rPr>
          <w:rFonts w:ascii="Garamond" w:hAnsi="Garamond" w:cs="Arial"/>
          <w:sz w:val="24"/>
          <w:szCs w:val="24"/>
        </w:rPr>
      </w:pPr>
      <w:r w:rsidRPr="003A1174">
        <w:rPr>
          <w:rFonts w:ascii="Garamond" w:hAnsi="Garamond" w:cs="Arial"/>
          <w:sz w:val="24"/>
          <w:szCs w:val="24"/>
        </w:rPr>
        <w:t>Assessora</w:t>
      </w:r>
      <w:r w:rsidR="002B21B7" w:rsidRPr="003A1174">
        <w:rPr>
          <w:rFonts w:ascii="Garamond" w:hAnsi="Garamond" w:cs="Arial"/>
          <w:sz w:val="24"/>
          <w:szCs w:val="24"/>
        </w:rPr>
        <w:t xml:space="preserve"> </w:t>
      </w:r>
      <w:r w:rsidRPr="003A1174">
        <w:rPr>
          <w:rFonts w:ascii="Garamond" w:hAnsi="Garamond" w:cs="Arial"/>
          <w:sz w:val="24"/>
          <w:szCs w:val="24"/>
        </w:rPr>
        <w:t xml:space="preserve">de </w:t>
      </w:r>
      <w:r w:rsidR="00886D6A" w:rsidRPr="003A1174">
        <w:rPr>
          <w:rFonts w:ascii="Garamond" w:hAnsi="Garamond" w:cs="Arial"/>
          <w:sz w:val="24"/>
          <w:szCs w:val="24"/>
        </w:rPr>
        <w:t>Direito</w:t>
      </w:r>
      <w:r w:rsidR="002B21B7" w:rsidRPr="003A1174">
        <w:rPr>
          <w:rFonts w:ascii="Garamond" w:hAnsi="Garamond" w:cs="Arial"/>
          <w:sz w:val="24"/>
          <w:szCs w:val="24"/>
        </w:rPr>
        <w:t>s Humanos PROFIO-GIZ</w:t>
      </w:r>
    </w:p>
    <w:p w:rsidR="002B21B7" w:rsidRPr="003A1174" w:rsidRDefault="002B21B7" w:rsidP="008719D4">
      <w:pPr>
        <w:spacing w:after="0" w:line="240" w:lineRule="auto"/>
        <w:jc w:val="both"/>
        <w:rPr>
          <w:rFonts w:ascii="Garamond" w:eastAsia="Times New Roman" w:hAnsi="Garamond" w:cs="Arial"/>
          <w:sz w:val="24"/>
          <w:szCs w:val="24"/>
        </w:rPr>
      </w:pPr>
    </w:p>
    <w:p w:rsidR="002B21B7" w:rsidRPr="003A1174" w:rsidRDefault="00FC1F7F" w:rsidP="008719D4">
      <w:pPr>
        <w:spacing w:after="0" w:line="240" w:lineRule="auto"/>
        <w:jc w:val="both"/>
        <w:rPr>
          <w:rFonts w:ascii="Garamond" w:eastAsia="Times New Roman" w:hAnsi="Garamond" w:cs="Arial"/>
          <w:b/>
          <w:color w:val="000000"/>
          <w:sz w:val="24"/>
          <w:szCs w:val="24"/>
          <w:shd w:val="clear" w:color="auto" w:fill="FFFFFF"/>
          <w:lang w:eastAsia="es-CO"/>
        </w:rPr>
      </w:pPr>
      <w:r w:rsidRPr="003A1174">
        <w:rPr>
          <w:rFonts w:ascii="Garamond" w:eastAsia="Times New Roman" w:hAnsi="Garamond" w:cs="Arial"/>
          <w:b/>
          <w:color w:val="000000"/>
          <w:sz w:val="24"/>
          <w:szCs w:val="24"/>
          <w:shd w:val="clear" w:color="auto" w:fill="FFFFFF"/>
          <w:lang w:eastAsia="es-CO"/>
        </w:rPr>
        <w:t>Responsável</w:t>
      </w:r>
      <w:r w:rsidR="002B21B7" w:rsidRPr="003A1174">
        <w:rPr>
          <w:rFonts w:ascii="Garamond" w:eastAsia="Times New Roman" w:hAnsi="Garamond" w:cs="Arial"/>
          <w:b/>
          <w:color w:val="000000"/>
          <w:sz w:val="24"/>
          <w:szCs w:val="24"/>
          <w:shd w:val="clear" w:color="auto" w:fill="FFFFFF"/>
          <w:lang w:eastAsia="es-CO"/>
        </w:rPr>
        <w:t xml:space="preserve"> </w:t>
      </w:r>
      <w:r w:rsidRPr="003A1174">
        <w:rPr>
          <w:rFonts w:ascii="Garamond" w:eastAsia="Times New Roman" w:hAnsi="Garamond" w:cs="Arial"/>
          <w:b/>
          <w:color w:val="000000"/>
          <w:sz w:val="24"/>
          <w:szCs w:val="24"/>
          <w:shd w:val="clear" w:color="auto" w:fill="FFFFFF"/>
          <w:lang w:eastAsia="es-CO"/>
        </w:rPr>
        <w:t>pela contribuição</w:t>
      </w:r>
      <w:r w:rsidR="002B21B7" w:rsidRPr="003A1174">
        <w:rPr>
          <w:rFonts w:ascii="Garamond" w:eastAsia="Times New Roman" w:hAnsi="Garamond" w:cs="Arial"/>
          <w:b/>
          <w:color w:val="000000"/>
          <w:sz w:val="24"/>
          <w:szCs w:val="24"/>
          <w:shd w:val="clear" w:color="auto" w:fill="FFFFFF"/>
          <w:lang w:eastAsia="es-CO"/>
        </w:rPr>
        <w:t xml:space="preserve"> de PROFIO-GIZ </w:t>
      </w:r>
    </w:p>
    <w:p w:rsidR="002B21B7" w:rsidRPr="003A1174" w:rsidRDefault="002B21B7" w:rsidP="008719D4">
      <w:pPr>
        <w:spacing w:after="0" w:line="240" w:lineRule="auto"/>
        <w:jc w:val="both"/>
        <w:rPr>
          <w:rFonts w:ascii="Garamond" w:eastAsia="Times New Roman" w:hAnsi="Garamond" w:cs="Arial"/>
          <w:color w:val="000000"/>
          <w:sz w:val="24"/>
          <w:szCs w:val="24"/>
          <w:shd w:val="clear" w:color="auto" w:fill="FFFFFF"/>
          <w:lang w:eastAsia="es-CO"/>
        </w:rPr>
      </w:pPr>
      <w:r w:rsidRPr="003A1174">
        <w:rPr>
          <w:rFonts w:ascii="Garamond" w:eastAsia="Times New Roman" w:hAnsi="Garamond" w:cs="Arial"/>
          <w:color w:val="000000"/>
          <w:sz w:val="24"/>
          <w:szCs w:val="24"/>
          <w:shd w:val="clear" w:color="auto" w:fill="FFFFFF"/>
          <w:lang w:eastAsia="es-CO"/>
        </w:rPr>
        <w:t>Julia Unger</w:t>
      </w:r>
    </w:p>
    <w:p w:rsidR="002B21B7" w:rsidRPr="003A1174" w:rsidRDefault="00FC1F7F" w:rsidP="008719D4">
      <w:pPr>
        <w:spacing w:after="0" w:line="240" w:lineRule="auto"/>
        <w:jc w:val="both"/>
        <w:rPr>
          <w:rFonts w:ascii="Garamond" w:eastAsia="Times New Roman" w:hAnsi="Garamond" w:cs="Arial"/>
          <w:b/>
          <w:color w:val="000000"/>
          <w:sz w:val="24"/>
          <w:szCs w:val="24"/>
          <w:shd w:val="clear" w:color="auto" w:fill="FFFFFF"/>
          <w:lang w:eastAsia="es-CO"/>
        </w:rPr>
      </w:pPr>
      <w:r w:rsidRPr="003A1174">
        <w:rPr>
          <w:rFonts w:ascii="Garamond" w:eastAsia="Times New Roman" w:hAnsi="Garamond" w:cs="Arial"/>
          <w:color w:val="000000"/>
          <w:sz w:val="24"/>
          <w:szCs w:val="24"/>
          <w:shd w:val="clear" w:color="auto" w:fill="FFFFFF"/>
          <w:lang w:eastAsia="es-CO"/>
        </w:rPr>
        <w:t>Diretora</w:t>
      </w:r>
      <w:r w:rsidR="002B21B7" w:rsidRPr="003A1174">
        <w:rPr>
          <w:rFonts w:ascii="Garamond" w:eastAsia="Times New Roman" w:hAnsi="Garamond" w:cs="Arial"/>
          <w:color w:val="000000"/>
          <w:sz w:val="24"/>
          <w:szCs w:val="24"/>
          <w:shd w:val="clear" w:color="auto" w:fill="FFFFFF"/>
          <w:lang w:eastAsia="es-CO"/>
        </w:rPr>
        <w:t xml:space="preserve"> PROFIO-GIZ </w:t>
      </w:r>
    </w:p>
    <w:p w:rsidR="002B21B7" w:rsidRPr="003A1174" w:rsidRDefault="002B21B7" w:rsidP="008719D4">
      <w:pPr>
        <w:tabs>
          <w:tab w:val="left" w:pos="2177"/>
        </w:tabs>
        <w:spacing w:after="0" w:line="240" w:lineRule="auto"/>
        <w:rPr>
          <w:rFonts w:ascii="Garamond" w:hAnsi="Garamond" w:cs="Arial"/>
          <w:sz w:val="24"/>
          <w:szCs w:val="24"/>
        </w:rPr>
      </w:pPr>
    </w:p>
    <w:p w:rsidR="002B21B7" w:rsidRPr="003A1174" w:rsidRDefault="00FC1F7F" w:rsidP="008719D4">
      <w:pPr>
        <w:spacing w:after="0" w:line="240" w:lineRule="auto"/>
        <w:rPr>
          <w:rFonts w:ascii="Garamond" w:eastAsia="Times New Roman" w:hAnsi="Garamond" w:cs="Arial"/>
          <w:color w:val="000000"/>
          <w:sz w:val="24"/>
          <w:szCs w:val="24"/>
          <w:shd w:val="clear" w:color="auto" w:fill="FFFFFF"/>
          <w:lang w:eastAsia="es-CO"/>
        </w:rPr>
      </w:pPr>
      <w:r w:rsidRPr="003A1174">
        <w:rPr>
          <w:rFonts w:ascii="Garamond" w:eastAsia="Times New Roman" w:hAnsi="Garamond" w:cs="Arial"/>
          <w:color w:val="000000"/>
          <w:sz w:val="24"/>
          <w:szCs w:val="24"/>
          <w:shd w:val="clear" w:color="auto" w:fill="FFFFFF"/>
          <w:lang w:eastAsia="es-CO"/>
        </w:rPr>
        <w:t>Autoriza-s</w:t>
      </w:r>
      <w:r w:rsidR="002B21B7" w:rsidRPr="003A1174">
        <w:rPr>
          <w:rFonts w:ascii="Garamond" w:eastAsia="Times New Roman" w:hAnsi="Garamond" w:cs="Arial"/>
          <w:color w:val="000000"/>
          <w:sz w:val="24"/>
          <w:szCs w:val="24"/>
          <w:shd w:val="clear" w:color="auto" w:fill="FFFFFF"/>
          <w:lang w:eastAsia="es-CO"/>
        </w:rPr>
        <w:t xml:space="preserve">e a </w:t>
      </w:r>
      <w:r w:rsidRPr="003A1174">
        <w:rPr>
          <w:rFonts w:ascii="Garamond" w:eastAsia="Times New Roman" w:hAnsi="Garamond" w:cs="Arial"/>
          <w:color w:val="000000"/>
          <w:sz w:val="24"/>
          <w:szCs w:val="24"/>
          <w:shd w:val="clear" w:color="auto" w:fill="FFFFFF"/>
          <w:lang w:eastAsia="es-CO"/>
        </w:rPr>
        <w:t>reprodução</w:t>
      </w:r>
      <w:r w:rsidR="002B21B7" w:rsidRPr="003A1174">
        <w:rPr>
          <w:rFonts w:ascii="Garamond" w:eastAsia="Times New Roman" w:hAnsi="Garamond" w:cs="Arial"/>
          <w:color w:val="000000"/>
          <w:sz w:val="24"/>
          <w:szCs w:val="24"/>
          <w:shd w:val="clear" w:color="auto" w:fill="FFFFFF"/>
          <w:lang w:eastAsia="es-CO"/>
        </w:rPr>
        <w:t xml:space="preserve"> total o</w:t>
      </w:r>
      <w:r w:rsidRPr="003A1174">
        <w:rPr>
          <w:rFonts w:ascii="Garamond" w:eastAsia="Times New Roman" w:hAnsi="Garamond" w:cs="Arial"/>
          <w:color w:val="000000"/>
          <w:sz w:val="24"/>
          <w:szCs w:val="24"/>
          <w:shd w:val="clear" w:color="auto" w:fill="FFFFFF"/>
          <w:lang w:eastAsia="es-CO"/>
        </w:rPr>
        <w:t>u parcial d</w:t>
      </w:r>
      <w:r w:rsidR="002B21B7" w:rsidRPr="003A1174">
        <w:rPr>
          <w:rFonts w:ascii="Garamond" w:eastAsia="Times New Roman" w:hAnsi="Garamond" w:cs="Arial"/>
          <w:color w:val="000000"/>
          <w:sz w:val="24"/>
          <w:szCs w:val="24"/>
          <w:shd w:val="clear" w:color="auto" w:fill="FFFFFF"/>
          <w:lang w:eastAsia="es-CO"/>
        </w:rPr>
        <w:t xml:space="preserve">esta </w:t>
      </w:r>
      <w:r w:rsidRPr="003A1174">
        <w:rPr>
          <w:rFonts w:ascii="Garamond" w:eastAsia="Times New Roman" w:hAnsi="Garamond" w:cs="Arial"/>
          <w:color w:val="000000"/>
          <w:sz w:val="24"/>
          <w:szCs w:val="24"/>
          <w:shd w:val="clear" w:color="auto" w:fill="FFFFFF"/>
          <w:lang w:eastAsia="es-CO"/>
        </w:rPr>
        <w:t>publicação</w:t>
      </w:r>
      <w:r w:rsidR="002B21B7" w:rsidRPr="003A1174">
        <w:rPr>
          <w:rFonts w:ascii="Garamond" w:eastAsia="Times New Roman" w:hAnsi="Garamond" w:cs="Arial"/>
          <w:color w:val="000000"/>
          <w:sz w:val="24"/>
          <w:szCs w:val="24"/>
          <w:shd w:val="clear" w:color="auto" w:fill="FFFFFF"/>
          <w:lang w:eastAsia="es-CO"/>
        </w:rPr>
        <w:t xml:space="preserve"> </w:t>
      </w:r>
      <w:r w:rsidRPr="003A1174">
        <w:rPr>
          <w:rFonts w:ascii="Garamond" w:eastAsia="Times New Roman" w:hAnsi="Garamond" w:cs="Arial"/>
          <w:color w:val="000000"/>
          <w:sz w:val="24"/>
          <w:szCs w:val="24"/>
          <w:shd w:val="clear" w:color="auto" w:fill="FFFFFF"/>
          <w:lang w:eastAsia="es-CO"/>
        </w:rPr>
        <w:t xml:space="preserve">desde que se cite </w:t>
      </w:r>
      <w:r w:rsidR="002B21B7" w:rsidRPr="003A1174">
        <w:rPr>
          <w:rFonts w:ascii="Garamond" w:eastAsia="Times New Roman" w:hAnsi="Garamond" w:cs="Arial"/>
          <w:color w:val="000000"/>
          <w:sz w:val="24"/>
          <w:szCs w:val="24"/>
          <w:shd w:val="clear" w:color="auto" w:fill="FFFFFF"/>
          <w:lang w:eastAsia="es-CO"/>
        </w:rPr>
        <w:t xml:space="preserve">a </w:t>
      </w:r>
      <w:r w:rsidRPr="003A1174">
        <w:rPr>
          <w:rFonts w:ascii="Garamond" w:eastAsia="Times New Roman" w:hAnsi="Garamond" w:cs="Arial"/>
          <w:color w:val="000000"/>
          <w:sz w:val="24"/>
          <w:szCs w:val="24"/>
          <w:shd w:val="clear" w:color="auto" w:fill="FFFFFF"/>
          <w:lang w:eastAsia="es-CO"/>
        </w:rPr>
        <w:t>fonte</w:t>
      </w:r>
      <w:r w:rsidR="002B21B7" w:rsidRPr="003A1174">
        <w:rPr>
          <w:rFonts w:ascii="Garamond" w:eastAsia="Times New Roman" w:hAnsi="Garamond" w:cs="Arial"/>
          <w:color w:val="000000"/>
          <w:sz w:val="24"/>
          <w:szCs w:val="24"/>
          <w:shd w:val="clear" w:color="auto" w:fill="FFFFFF"/>
          <w:lang w:eastAsia="es-CO"/>
        </w:rPr>
        <w:t>.</w:t>
      </w:r>
    </w:p>
    <w:p w:rsidR="002B21B7" w:rsidRPr="003A1174" w:rsidRDefault="002B21B7" w:rsidP="008719D4">
      <w:pPr>
        <w:spacing w:after="0" w:line="240" w:lineRule="auto"/>
        <w:rPr>
          <w:rFonts w:ascii="Garamond" w:eastAsia="Times New Roman" w:hAnsi="Garamond" w:cs="Arial"/>
          <w:i/>
          <w:color w:val="000000"/>
          <w:sz w:val="24"/>
          <w:szCs w:val="24"/>
          <w:shd w:val="clear" w:color="auto" w:fill="FFFFFF"/>
          <w:lang w:val="es-ES" w:eastAsia="es-CO"/>
        </w:rPr>
      </w:pPr>
      <w:r w:rsidRPr="003A1174">
        <w:rPr>
          <w:rFonts w:ascii="Garamond" w:hAnsi="Garamond" w:cs="Arial"/>
          <w:b/>
          <w:i/>
          <w:sz w:val="24"/>
          <w:szCs w:val="24"/>
          <w:lang w:val="es-ES"/>
        </w:rPr>
        <w:t>©</w:t>
      </w:r>
      <w:r w:rsidRPr="003A1174">
        <w:rPr>
          <w:rFonts w:ascii="Garamond" w:eastAsia="Times New Roman" w:hAnsi="Garamond" w:cs="Arial"/>
          <w:i/>
          <w:color w:val="000000"/>
          <w:sz w:val="24"/>
          <w:szCs w:val="24"/>
          <w:shd w:val="clear" w:color="auto" w:fill="FFFFFF"/>
          <w:lang w:val="es-ES" w:eastAsia="es-CO"/>
        </w:rPr>
        <w:t xml:space="preserve">La Defensoría de los Habitantes </w:t>
      </w:r>
    </w:p>
    <w:p w:rsidR="002B21B7" w:rsidRPr="003A1174" w:rsidRDefault="00BC2C17" w:rsidP="008719D4">
      <w:pPr>
        <w:spacing w:after="0" w:line="240" w:lineRule="auto"/>
        <w:rPr>
          <w:rFonts w:ascii="Garamond" w:eastAsia="Times New Roman" w:hAnsi="Garamond" w:cs="Arial"/>
          <w:color w:val="000000"/>
          <w:sz w:val="24"/>
          <w:szCs w:val="24"/>
          <w:shd w:val="clear" w:color="auto" w:fill="FFFFFF"/>
          <w:lang w:val="es-ES" w:eastAsia="es-CO"/>
        </w:rPr>
      </w:pPr>
      <w:hyperlink r:id="rId11" w:history="1">
        <w:r w:rsidR="002B21B7" w:rsidRPr="003A1174">
          <w:rPr>
            <w:rStyle w:val="Hipervnculo"/>
            <w:rFonts w:ascii="Garamond" w:hAnsi="Garamond" w:cs="Arial"/>
            <w:sz w:val="24"/>
            <w:szCs w:val="24"/>
            <w:shd w:val="clear" w:color="auto" w:fill="FFFFFF"/>
            <w:lang w:val="es-ES" w:eastAsia="es-CO"/>
          </w:rPr>
          <w:t>www.dhr.go.cr</w:t>
        </w:r>
      </w:hyperlink>
    </w:p>
    <w:p w:rsidR="00C10543" w:rsidRPr="003A1174" w:rsidRDefault="00C10543" w:rsidP="008719D4">
      <w:pPr>
        <w:tabs>
          <w:tab w:val="left" w:pos="2177"/>
        </w:tabs>
        <w:spacing w:after="0" w:line="240" w:lineRule="auto"/>
        <w:rPr>
          <w:rFonts w:ascii="Garamond" w:hAnsi="Garamond" w:cs="Arial"/>
          <w:b/>
          <w:sz w:val="24"/>
          <w:szCs w:val="24"/>
          <w:lang w:val="es-ES"/>
        </w:rPr>
      </w:pPr>
    </w:p>
    <w:p w:rsidR="002B21B7" w:rsidRPr="003A1174" w:rsidRDefault="002B21B7" w:rsidP="008719D4">
      <w:pPr>
        <w:tabs>
          <w:tab w:val="left" w:pos="2177"/>
        </w:tabs>
        <w:spacing w:after="0" w:line="240" w:lineRule="auto"/>
        <w:rPr>
          <w:rFonts w:ascii="Garamond" w:hAnsi="Garamond" w:cs="Arial"/>
          <w:sz w:val="24"/>
          <w:szCs w:val="24"/>
        </w:rPr>
      </w:pPr>
      <w:r w:rsidRPr="003A1174">
        <w:rPr>
          <w:rFonts w:ascii="Garamond" w:hAnsi="Garamond" w:cs="Arial"/>
          <w:b/>
          <w:sz w:val="24"/>
          <w:szCs w:val="24"/>
        </w:rPr>
        <w:t xml:space="preserve">© </w:t>
      </w:r>
      <w:r w:rsidR="00C30647" w:rsidRPr="003A1174">
        <w:rPr>
          <w:rFonts w:ascii="Garamond" w:hAnsi="Garamond" w:cs="Arial"/>
          <w:sz w:val="24"/>
          <w:szCs w:val="24"/>
        </w:rPr>
        <w:t>Federação</w:t>
      </w:r>
      <w:r w:rsidRPr="003A1174">
        <w:rPr>
          <w:rFonts w:ascii="Garamond" w:hAnsi="Garamond" w:cs="Arial"/>
          <w:sz w:val="24"/>
          <w:szCs w:val="24"/>
        </w:rPr>
        <w:t xml:space="preserve"> Iberoamericana de Ombudsman</w:t>
      </w:r>
    </w:p>
    <w:p w:rsidR="002B21B7" w:rsidRPr="003A1174" w:rsidRDefault="00BC2C17" w:rsidP="008719D4">
      <w:pPr>
        <w:spacing w:after="0" w:line="240" w:lineRule="auto"/>
        <w:rPr>
          <w:rFonts w:ascii="Garamond" w:hAnsi="Garamond" w:cs="Arial"/>
          <w:sz w:val="24"/>
          <w:szCs w:val="24"/>
        </w:rPr>
      </w:pPr>
      <w:hyperlink r:id="rId12" w:history="1">
        <w:r w:rsidR="002B21B7" w:rsidRPr="003A1174">
          <w:rPr>
            <w:rStyle w:val="Hipervnculo"/>
            <w:rFonts w:ascii="Garamond" w:hAnsi="Garamond" w:cs="Arial"/>
            <w:sz w:val="24"/>
            <w:szCs w:val="24"/>
          </w:rPr>
          <w:t>www.portalfio.org</w:t>
        </w:r>
      </w:hyperlink>
    </w:p>
    <w:p w:rsidR="002B21B7" w:rsidRPr="003A1174" w:rsidRDefault="002B21B7" w:rsidP="008719D4">
      <w:pPr>
        <w:spacing w:after="0" w:line="240" w:lineRule="auto"/>
        <w:rPr>
          <w:rFonts w:ascii="Garamond" w:eastAsia="Times New Roman" w:hAnsi="Garamond" w:cs="Arial"/>
          <w:color w:val="000000"/>
          <w:sz w:val="24"/>
          <w:szCs w:val="24"/>
          <w:shd w:val="clear" w:color="auto" w:fill="FFFFFF"/>
          <w:lang w:eastAsia="es-CO"/>
        </w:rPr>
      </w:pPr>
    </w:p>
    <w:p w:rsidR="002B21B7" w:rsidRPr="007B3401" w:rsidRDefault="002B21B7" w:rsidP="008719D4">
      <w:pPr>
        <w:spacing w:after="0" w:line="240" w:lineRule="auto"/>
        <w:rPr>
          <w:rFonts w:ascii="Garamond" w:hAnsi="Garamond" w:cs="Arial"/>
          <w:sz w:val="24"/>
          <w:szCs w:val="24"/>
        </w:rPr>
      </w:pPr>
      <w:r w:rsidRPr="007B3401">
        <w:rPr>
          <w:rFonts w:ascii="Garamond" w:hAnsi="Garamond" w:cs="Arial"/>
          <w:b/>
          <w:sz w:val="24"/>
          <w:szCs w:val="24"/>
        </w:rPr>
        <w:t xml:space="preserve">© </w:t>
      </w:r>
      <w:r w:rsidRPr="007B3401">
        <w:rPr>
          <w:rFonts w:ascii="Garamond" w:hAnsi="Garamond" w:cs="Arial"/>
          <w:sz w:val="24"/>
          <w:szCs w:val="24"/>
        </w:rPr>
        <w:t>Deutsche Gesellschaft für Internationale Zusammenarbeit (GIZ) GmbH</w:t>
      </w:r>
    </w:p>
    <w:p w:rsidR="002B21B7" w:rsidRPr="003A1174" w:rsidRDefault="00C30647" w:rsidP="008719D4">
      <w:pPr>
        <w:spacing w:after="0" w:line="240" w:lineRule="auto"/>
        <w:rPr>
          <w:rFonts w:ascii="Garamond" w:hAnsi="Garamond" w:cs="Arial"/>
          <w:sz w:val="24"/>
          <w:szCs w:val="24"/>
        </w:rPr>
      </w:pPr>
      <w:r w:rsidRPr="003A1174">
        <w:rPr>
          <w:rFonts w:ascii="Garamond" w:hAnsi="Garamond" w:cs="Arial"/>
          <w:sz w:val="24"/>
          <w:szCs w:val="24"/>
        </w:rPr>
        <w:t>Projeto</w:t>
      </w:r>
      <w:r w:rsidR="00800D59" w:rsidRPr="003A1174">
        <w:rPr>
          <w:rFonts w:ascii="Garamond" w:hAnsi="Garamond" w:cs="Arial"/>
          <w:sz w:val="24"/>
          <w:szCs w:val="24"/>
        </w:rPr>
        <w:t xml:space="preserve"> de Fortalecim</w:t>
      </w:r>
      <w:r w:rsidR="002B21B7" w:rsidRPr="003A1174">
        <w:rPr>
          <w:rFonts w:ascii="Garamond" w:hAnsi="Garamond" w:cs="Arial"/>
          <w:sz w:val="24"/>
          <w:szCs w:val="24"/>
        </w:rPr>
        <w:t xml:space="preserve">ento da </w:t>
      </w:r>
      <w:r w:rsidRPr="003A1174">
        <w:rPr>
          <w:rFonts w:ascii="Garamond" w:hAnsi="Garamond" w:cs="Arial"/>
          <w:sz w:val="24"/>
          <w:szCs w:val="24"/>
        </w:rPr>
        <w:t>Federação</w:t>
      </w:r>
      <w:r w:rsidR="002B21B7" w:rsidRPr="003A1174">
        <w:rPr>
          <w:rFonts w:ascii="Garamond" w:hAnsi="Garamond" w:cs="Arial"/>
          <w:sz w:val="24"/>
          <w:szCs w:val="24"/>
        </w:rPr>
        <w:t xml:space="preserve"> Iberoamericana de Ombudsman, </w:t>
      </w:r>
      <w:r w:rsidR="00800D59" w:rsidRPr="003A1174">
        <w:rPr>
          <w:rFonts w:ascii="Garamond" w:hAnsi="Garamond" w:cs="Arial"/>
          <w:sz w:val="24"/>
          <w:szCs w:val="24"/>
        </w:rPr>
        <w:t xml:space="preserve">a </w:t>
      </w:r>
      <w:r w:rsidR="002B21B7" w:rsidRPr="003A1174">
        <w:rPr>
          <w:rFonts w:ascii="Garamond" w:hAnsi="Garamond" w:cs="Arial"/>
          <w:sz w:val="24"/>
          <w:szCs w:val="24"/>
        </w:rPr>
        <w:t>cargo d</w:t>
      </w:r>
      <w:r w:rsidR="00800D59" w:rsidRPr="003A1174">
        <w:rPr>
          <w:rFonts w:ascii="Garamond" w:hAnsi="Garamond" w:cs="Arial"/>
          <w:sz w:val="24"/>
          <w:szCs w:val="24"/>
        </w:rPr>
        <w:t>o</w:t>
      </w:r>
      <w:r w:rsidR="002B21B7" w:rsidRPr="003A1174">
        <w:rPr>
          <w:rFonts w:ascii="Garamond" w:hAnsi="Garamond" w:cs="Arial"/>
          <w:sz w:val="24"/>
          <w:szCs w:val="24"/>
        </w:rPr>
        <w:t xml:space="preserve"> </w:t>
      </w:r>
      <w:r w:rsidR="00D77C19" w:rsidRPr="003A1174">
        <w:rPr>
          <w:rFonts w:ascii="Garamond" w:hAnsi="Garamond" w:cs="Arial"/>
          <w:sz w:val="24"/>
          <w:szCs w:val="24"/>
        </w:rPr>
        <w:t>Ministério</w:t>
      </w:r>
      <w:r w:rsidR="002B21B7" w:rsidRPr="003A1174">
        <w:rPr>
          <w:rFonts w:ascii="Garamond" w:hAnsi="Garamond" w:cs="Arial"/>
          <w:sz w:val="24"/>
          <w:szCs w:val="24"/>
        </w:rPr>
        <w:t xml:space="preserve"> Federal de </w:t>
      </w:r>
      <w:r w:rsidRPr="003A1174">
        <w:rPr>
          <w:rFonts w:ascii="Garamond" w:hAnsi="Garamond" w:cs="Arial"/>
          <w:sz w:val="24"/>
          <w:szCs w:val="24"/>
        </w:rPr>
        <w:t>Cooperação</w:t>
      </w:r>
      <w:r w:rsidR="002B21B7" w:rsidRPr="003A1174">
        <w:rPr>
          <w:rFonts w:ascii="Garamond" w:hAnsi="Garamond" w:cs="Arial"/>
          <w:sz w:val="24"/>
          <w:szCs w:val="24"/>
        </w:rPr>
        <w:t xml:space="preserve"> Económica </w:t>
      </w:r>
      <w:r w:rsidR="00800D59" w:rsidRPr="003A1174">
        <w:rPr>
          <w:rFonts w:ascii="Garamond" w:hAnsi="Garamond" w:cs="Arial"/>
          <w:sz w:val="24"/>
          <w:szCs w:val="24"/>
        </w:rPr>
        <w:t xml:space="preserve">e Desenvolvimento da </w:t>
      </w:r>
      <w:r w:rsidR="002B21B7" w:rsidRPr="003A1174">
        <w:rPr>
          <w:rFonts w:ascii="Garamond" w:hAnsi="Garamond" w:cs="Arial"/>
          <w:sz w:val="24"/>
          <w:szCs w:val="24"/>
        </w:rPr>
        <w:t>Alema</w:t>
      </w:r>
      <w:r w:rsidR="00800D59" w:rsidRPr="003A1174">
        <w:rPr>
          <w:rFonts w:ascii="Garamond" w:hAnsi="Garamond" w:cs="Arial"/>
          <w:sz w:val="24"/>
          <w:szCs w:val="24"/>
        </w:rPr>
        <w:t>nha</w:t>
      </w:r>
      <w:r w:rsidR="002B21B7" w:rsidRPr="003A1174">
        <w:rPr>
          <w:rFonts w:ascii="Garamond" w:hAnsi="Garamond" w:cs="Arial"/>
          <w:sz w:val="24"/>
          <w:szCs w:val="24"/>
        </w:rPr>
        <w:t xml:space="preserve"> (BMZ)</w:t>
      </w:r>
    </w:p>
    <w:p w:rsidR="00FD1017" w:rsidRPr="003A1174" w:rsidRDefault="00BC2C17" w:rsidP="008719D4">
      <w:pPr>
        <w:spacing w:line="240" w:lineRule="auto"/>
        <w:rPr>
          <w:rFonts w:ascii="Garamond" w:hAnsi="Garamond" w:cs="Arial"/>
          <w:sz w:val="24"/>
          <w:szCs w:val="24"/>
        </w:rPr>
      </w:pPr>
      <w:hyperlink r:id="rId13" w:history="1">
        <w:r w:rsidR="00FD1017" w:rsidRPr="003A1174">
          <w:rPr>
            <w:rStyle w:val="Hipervnculo"/>
            <w:rFonts w:ascii="Garamond" w:hAnsi="Garamond" w:cs="Arial"/>
            <w:sz w:val="24"/>
            <w:szCs w:val="24"/>
          </w:rPr>
          <w:t>www.profio.info</w:t>
        </w:r>
      </w:hyperlink>
    </w:p>
    <w:p w:rsidR="005D3C57" w:rsidRPr="003A1174" w:rsidRDefault="00800D59" w:rsidP="008719D4">
      <w:pPr>
        <w:spacing w:after="0" w:line="240" w:lineRule="auto"/>
        <w:rPr>
          <w:rFonts w:ascii="Garamond" w:hAnsi="Garamond" w:cs="Arial"/>
          <w:sz w:val="24"/>
          <w:szCs w:val="24"/>
        </w:rPr>
      </w:pPr>
      <w:r w:rsidRPr="003A1174">
        <w:rPr>
          <w:rFonts w:ascii="Garamond" w:hAnsi="Garamond" w:cs="Arial"/>
          <w:sz w:val="24"/>
          <w:szCs w:val="24"/>
        </w:rPr>
        <w:t>Depósito Legal N</w:t>
      </w:r>
      <w:r w:rsidR="00B16A0C">
        <w:rPr>
          <w:rFonts w:ascii="Garamond" w:hAnsi="Garamond" w:cs="Arial"/>
          <w:sz w:val="24"/>
          <w:szCs w:val="24"/>
        </w:rPr>
        <w:t>.</w:t>
      </w:r>
      <w:r w:rsidRPr="003A1174">
        <w:rPr>
          <w:rFonts w:ascii="Garamond" w:hAnsi="Garamond" w:cs="Arial"/>
          <w:sz w:val="24"/>
          <w:szCs w:val="24"/>
        </w:rPr>
        <w:t>°         n</w:t>
      </w:r>
      <w:r w:rsidR="005D3C57" w:rsidRPr="003A1174">
        <w:rPr>
          <w:rFonts w:ascii="Garamond" w:hAnsi="Garamond" w:cs="Arial"/>
          <w:sz w:val="24"/>
          <w:szCs w:val="24"/>
        </w:rPr>
        <w:t>a Biblioteca Nacional d</w:t>
      </w:r>
      <w:r w:rsidRPr="003A1174">
        <w:rPr>
          <w:rFonts w:ascii="Garamond" w:hAnsi="Garamond" w:cs="Arial"/>
          <w:sz w:val="24"/>
          <w:szCs w:val="24"/>
        </w:rPr>
        <w:t>o</w:t>
      </w:r>
      <w:r w:rsidR="005D3C57" w:rsidRPr="003A1174">
        <w:rPr>
          <w:rFonts w:ascii="Garamond" w:hAnsi="Garamond" w:cs="Arial"/>
          <w:sz w:val="24"/>
          <w:szCs w:val="24"/>
        </w:rPr>
        <w:t xml:space="preserve"> </w:t>
      </w:r>
      <w:r w:rsidR="00C30647" w:rsidRPr="003A1174">
        <w:rPr>
          <w:rFonts w:ascii="Garamond" w:hAnsi="Garamond" w:cs="Arial"/>
          <w:sz w:val="24"/>
          <w:szCs w:val="24"/>
        </w:rPr>
        <w:t>Peru</w:t>
      </w:r>
    </w:p>
    <w:p w:rsidR="005D3C57" w:rsidRPr="003A1174" w:rsidRDefault="00B16A0C" w:rsidP="008719D4">
      <w:pPr>
        <w:spacing w:after="0" w:line="240" w:lineRule="auto"/>
        <w:rPr>
          <w:rFonts w:ascii="Garamond" w:hAnsi="Garamond" w:cs="Arial"/>
          <w:sz w:val="24"/>
          <w:szCs w:val="24"/>
        </w:rPr>
      </w:pPr>
      <w:r>
        <w:rPr>
          <w:rFonts w:ascii="Garamond" w:hAnsi="Garamond" w:cs="Arial"/>
          <w:sz w:val="24"/>
          <w:szCs w:val="24"/>
        </w:rPr>
        <w:t>Revisão</w:t>
      </w:r>
      <w:r w:rsidR="005D3C57" w:rsidRPr="003A1174">
        <w:rPr>
          <w:rFonts w:ascii="Garamond" w:hAnsi="Garamond" w:cs="Arial"/>
          <w:sz w:val="24"/>
          <w:szCs w:val="24"/>
        </w:rPr>
        <w:t>: Annie Ordóñez</w:t>
      </w:r>
    </w:p>
    <w:p w:rsidR="002B21B7" w:rsidRPr="003A1174" w:rsidRDefault="002B21B7" w:rsidP="008719D4">
      <w:pPr>
        <w:spacing w:after="0" w:line="240" w:lineRule="auto"/>
        <w:rPr>
          <w:rFonts w:ascii="Garamond" w:hAnsi="Garamond" w:cs="Arial"/>
          <w:sz w:val="24"/>
          <w:szCs w:val="24"/>
        </w:rPr>
      </w:pPr>
      <w:r w:rsidRPr="003A1174">
        <w:rPr>
          <w:rFonts w:ascii="Garamond" w:hAnsi="Garamond" w:cs="Arial"/>
          <w:i/>
          <w:sz w:val="24"/>
          <w:szCs w:val="24"/>
        </w:rPr>
        <w:t>D</w:t>
      </w:r>
      <w:r w:rsidR="00800D59" w:rsidRPr="003A1174">
        <w:rPr>
          <w:rFonts w:ascii="Garamond" w:hAnsi="Garamond" w:cs="Arial"/>
          <w:i/>
          <w:sz w:val="24"/>
          <w:szCs w:val="24"/>
        </w:rPr>
        <w:t>esign</w:t>
      </w:r>
      <w:r w:rsidRPr="003A1174">
        <w:rPr>
          <w:rFonts w:ascii="Garamond" w:hAnsi="Garamond" w:cs="Arial"/>
          <w:sz w:val="24"/>
          <w:szCs w:val="24"/>
        </w:rPr>
        <w:t xml:space="preserve">, </w:t>
      </w:r>
      <w:r w:rsidR="002B1FE4" w:rsidRPr="003A1174">
        <w:rPr>
          <w:rFonts w:ascii="Garamond" w:hAnsi="Garamond" w:cs="Arial"/>
          <w:sz w:val="24"/>
          <w:szCs w:val="24"/>
        </w:rPr>
        <w:t xml:space="preserve">edição </w:t>
      </w:r>
      <w:r w:rsidR="00800D59" w:rsidRPr="003A1174">
        <w:rPr>
          <w:rFonts w:ascii="Garamond" w:hAnsi="Garamond" w:cs="Arial"/>
          <w:sz w:val="24"/>
          <w:szCs w:val="24"/>
        </w:rPr>
        <w:t>e impressão</w:t>
      </w:r>
      <w:r w:rsidRPr="003A1174">
        <w:rPr>
          <w:rFonts w:ascii="Garamond" w:hAnsi="Garamond" w:cs="Arial"/>
          <w:sz w:val="24"/>
          <w:szCs w:val="24"/>
        </w:rPr>
        <w:t xml:space="preserve">: </w:t>
      </w:r>
    </w:p>
    <w:p w:rsidR="003939B6" w:rsidRPr="003A1174" w:rsidRDefault="003939B6" w:rsidP="008719D4">
      <w:pPr>
        <w:spacing w:after="0" w:line="240" w:lineRule="auto"/>
        <w:rPr>
          <w:rFonts w:ascii="Garamond" w:hAnsi="Garamond" w:cs="Arial"/>
          <w:b/>
          <w:sz w:val="24"/>
          <w:szCs w:val="24"/>
        </w:rPr>
      </w:pPr>
    </w:p>
    <w:p w:rsidR="007D7B08" w:rsidRPr="003A1174" w:rsidRDefault="007D7B08" w:rsidP="008719D4">
      <w:pPr>
        <w:spacing w:line="240" w:lineRule="auto"/>
        <w:jc w:val="right"/>
        <w:rPr>
          <w:rFonts w:ascii="Garamond" w:hAnsi="Garamond" w:cs="Arial"/>
          <w:sz w:val="24"/>
          <w:szCs w:val="24"/>
        </w:rPr>
      </w:pPr>
    </w:p>
    <w:p w:rsidR="007D7B08" w:rsidRPr="003A1174" w:rsidRDefault="007D7B08" w:rsidP="008719D4">
      <w:pPr>
        <w:spacing w:line="240" w:lineRule="auto"/>
        <w:rPr>
          <w:rFonts w:ascii="Garamond" w:hAnsi="Garamond" w:cs="Arial"/>
          <w:sz w:val="24"/>
          <w:szCs w:val="24"/>
        </w:rPr>
      </w:pPr>
    </w:p>
    <w:p w:rsidR="007D7B08" w:rsidRPr="003A1174" w:rsidRDefault="007D7B08" w:rsidP="008719D4">
      <w:pPr>
        <w:spacing w:line="240" w:lineRule="auto"/>
        <w:rPr>
          <w:rFonts w:ascii="Garamond" w:hAnsi="Garamond" w:cs="Arial"/>
          <w:sz w:val="24"/>
          <w:szCs w:val="24"/>
        </w:rPr>
      </w:pPr>
    </w:p>
    <w:p w:rsidR="00D94770" w:rsidRPr="003A1174" w:rsidRDefault="007516F5" w:rsidP="00135A94">
      <w:pPr>
        <w:spacing w:line="240" w:lineRule="auto"/>
        <w:jc w:val="both"/>
        <w:rPr>
          <w:rFonts w:ascii="Garamond" w:hAnsi="Garamond"/>
          <w:sz w:val="24"/>
          <w:szCs w:val="24"/>
        </w:rPr>
      </w:pPr>
      <w:r w:rsidRPr="003A1174">
        <w:rPr>
          <w:rFonts w:ascii="Garamond" w:hAnsi="Garamond" w:cs="Arial"/>
          <w:sz w:val="24"/>
          <w:szCs w:val="24"/>
          <w:u w:val="single"/>
        </w:rPr>
        <w:br w:type="column"/>
      </w:r>
    </w:p>
    <w:sdt>
      <w:sdtPr>
        <w:rPr>
          <w:rFonts w:ascii="Garamond" w:eastAsia="MS Mincho" w:hAnsi="Garamond" w:cstheme="minorBidi"/>
          <w:b w:val="0"/>
          <w:bCs w:val="0"/>
          <w:i w:val="0"/>
          <w:iCs w:val="0"/>
          <w:color w:val="548DD4" w:themeColor="text2" w:themeTint="99"/>
          <w:sz w:val="24"/>
          <w:szCs w:val="24"/>
          <w:lang w:val="es-ES"/>
        </w:rPr>
        <w:id w:val="1073091488"/>
        <w:docPartObj>
          <w:docPartGallery w:val="Table of Contents"/>
          <w:docPartUnique/>
        </w:docPartObj>
      </w:sdtPr>
      <w:sdtEndPr>
        <w:rPr>
          <w:rFonts w:cs="Arial"/>
          <w:color w:val="auto"/>
        </w:rPr>
      </w:sdtEndPr>
      <w:sdtContent>
        <w:p w:rsidR="002D19B6" w:rsidRPr="003F4889" w:rsidRDefault="002D19B6" w:rsidP="008719D4">
          <w:pPr>
            <w:pStyle w:val="Ttulo4"/>
            <w:spacing w:line="240" w:lineRule="auto"/>
            <w:rPr>
              <w:rFonts w:ascii="Garamond" w:hAnsi="Garamond"/>
              <w:color w:val="548DD4" w:themeColor="text2" w:themeTint="99"/>
              <w:sz w:val="24"/>
              <w:szCs w:val="24"/>
            </w:rPr>
          </w:pPr>
          <w:r w:rsidRPr="003F4889">
            <w:rPr>
              <w:rFonts w:ascii="Garamond" w:eastAsia="MS Mincho" w:hAnsi="Garamond"/>
              <w:color w:val="548DD4" w:themeColor="text2" w:themeTint="99"/>
              <w:sz w:val="24"/>
              <w:szCs w:val="24"/>
            </w:rPr>
            <w:t>ÍNDICE</w:t>
          </w:r>
        </w:p>
        <w:p w:rsidR="00B16A0C" w:rsidRDefault="00DA6460">
          <w:pPr>
            <w:pStyle w:val="TDC1"/>
            <w:rPr>
              <w:rFonts w:eastAsiaTheme="minorEastAsia"/>
              <w:noProof/>
              <w:lang w:eastAsia="pt-PT"/>
            </w:rPr>
          </w:pPr>
          <w:r w:rsidRPr="003A1174">
            <w:rPr>
              <w:rFonts w:ascii="Garamond" w:hAnsi="Garamond"/>
              <w:noProof/>
              <w:sz w:val="24"/>
              <w:szCs w:val="24"/>
            </w:rPr>
            <w:fldChar w:fldCharType="begin"/>
          </w:r>
          <w:r w:rsidR="002D19B6" w:rsidRPr="003A1174">
            <w:rPr>
              <w:rFonts w:ascii="Garamond" w:hAnsi="Garamond"/>
              <w:sz w:val="24"/>
              <w:szCs w:val="24"/>
            </w:rPr>
            <w:instrText xml:space="preserve"> TOC \o "1-3" \h \z \u </w:instrText>
          </w:r>
          <w:r w:rsidRPr="003A1174">
            <w:rPr>
              <w:rFonts w:ascii="Garamond" w:hAnsi="Garamond"/>
              <w:noProof/>
              <w:sz w:val="24"/>
              <w:szCs w:val="24"/>
            </w:rPr>
            <w:fldChar w:fldCharType="separate"/>
          </w:r>
          <w:hyperlink w:anchor="_Toc421529688" w:history="1">
            <w:r w:rsidR="002A0E23">
              <w:rPr>
                <w:rStyle w:val="Hipervnculo"/>
                <w:rFonts w:ascii="Garamond" w:hAnsi="Garamond"/>
                <w:noProof/>
              </w:rPr>
              <w:t xml:space="preserve">PREÂMBULO </w:t>
            </w:r>
            <w:r w:rsidR="00497874">
              <w:rPr>
                <w:rStyle w:val="Hipervnculo"/>
                <w:rFonts w:ascii="Garamond" w:hAnsi="Garamond"/>
                <w:noProof/>
              </w:rPr>
              <w:t xml:space="preserve">– </w:t>
            </w:r>
            <w:r w:rsidR="00B16A0C" w:rsidRPr="00412724">
              <w:rPr>
                <w:rStyle w:val="Hipervnculo"/>
                <w:rFonts w:ascii="Garamond" w:hAnsi="Garamond"/>
                <w:noProof/>
              </w:rPr>
              <w:t>PRESID</w:t>
            </w:r>
            <w:r w:rsidR="002A0E23">
              <w:rPr>
                <w:rStyle w:val="Hipervnculo"/>
                <w:rFonts w:ascii="Garamond" w:hAnsi="Garamond"/>
                <w:noProof/>
              </w:rPr>
              <w:t>ENTE</w:t>
            </w:r>
            <w:r w:rsidR="00B16A0C" w:rsidRPr="00412724">
              <w:rPr>
                <w:rStyle w:val="Hipervnculo"/>
                <w:rFonts w:ascii="Garamond" w:hAnsi="Garamond"/>
                <w:noProof/>
              </w:rPr>
              <w:t xml:space="preserve"> DA FIO</w:t>
            </w:r>
            <w:r w:rsidR="00B16A0C">
              <w:rPr>
                <w:noProof/>
                <w:webHidden/>
              </w:rPr>
              <w:tab/>
            </w:r>
            <w:r w:rsidR="00B16A0C" w:rsidRPr="004A5276">
              <w:rPr>
                <w:rFonts w:ascii="Garamond" w:hAnsi="Garamond"/>
                <w:b/>
                <w:noProof/>
                <w:webHidden/>
              </w:rPr>
              <w:fldChar w:fldCharType="begin"/>
            </w:r>
            <w:r w:rsidR="00B16A0C" w:rsidRPr="004A5276">
              <w:rPr>
                <w:rFonts w:ascii="Garamond" w:hAnsi="Garamond"/>
                <w:b/>
                <w:noProof/>
                <w:webHidden/>
              </w:rPr>
              <w:instrText xml:space="preserve"> PAGEREF _Toc421529688 \h </w:instrText>
            </w:r>
            <w:r w:rsidR="00B16A0C" w:rsidRPr="004A5276">
              <w:rPr>
                <w:rFonts w:ascii="Garamond" w:hAnsi="Garamond"/>
                <w:b/>
                <w:noProof/>
                <w:webHidden/>
              </w:rPr>
            </w:r>
            <w:r w:rsidR="00B16A0C" w:rsidRPr="004A5276">
              <w:rPr>
                <w:rFonts w:ascii="Garamond" w:hAnsi="Garamond"/>
                <w:b/>
                <w:noProof/>
                <w:webHidden/>
              </w:rPr>
              <w:fldChar w:fldCharType="end"/>
            </w:r>
          </w:hyperlink>
          <w:r w:rsidR="00A50820">
            <w:rPr>
              <w:noProof/>
            </w:rPr>
            <w:t>7</w:t>
          </w:r>
        </w:p>
        <w:p w:rsidR="00B16A0C" w:rsidRDefault="00BC2C17">
          <w:pPr>
            <w:pStyle w:val="TDC1"/>
            <w:rPr>
              <w:rFonts w:eastAsiaTheme="minorEastAsia"/>
              <w:noProof/>
              <w:lang w:eastAsia="pt-PT"/>
            </w:rPr>
          </w:pPr>
          <w:hyperlink w:anchor="_Toc421529689" w:history="1">
            <w:r w:rsidR="00B16A0C" w:rsidRPr="00412724">
              <w:rPr>
                <w:rStyle w:val="Hipervnculo"/>
                <w:rFonts w:ascii="Garamond" w:hAnsi="Garamond" w:cs="Arial"/>
                <w:noProof/>
              </w:rPr>
              <w:t xml:space="preserve">APRESENTAÇÃO DA </w:t>
            </w:r>
            <w:r w:rsidR="00B16A0C" w:rsidRPr="00412724">
              <w:rPr>
                <w:rStyle w:val="Hipervnculo"/>
                <w:rFonts w:ascii="Garamond" w:hAnsi="Garamond" w:cs="Arial"/>
                <w:noProof/>
                <w:shd w:val="clear" w:color="auto" w:fill="FFFFFF"/>
              </w:rPr>
              <w:t>REDE DE PROVEDORIAS DE MULHERES</w:t>
            </w:r>
            <w:r w:rsidR="00B16A0C">
              <w:rPr>
                <w:noProof/>
                <w:webHidden/>
              </w:rPr>
              <w:tab/>
            </w:r>
            <w:r w:rsidR="00B16A0C">
              <w:rPr>
                <w:noProof/>
                <w:webHidden/>
              </w:rPr>
              <w:fldChar w:fldCharType="begin"/>
            </w:r>
            <w:r w:rsidR="00B16A0C">
              <w:rPr>
                <w:noProof/>
                <w:webHidden/>
              </w:rPr>
              <w:instrText xml:space="preserve"> PAGEREF _Toc421529689 \h </w:instrText>
            </w:r>
            <w:r w:rsidR="00B16A0C">
              <w:rPr>
                <w:noProof/>
                <w:webHidden/>
              </w:rPr>
            </w:r>
            <w:r w:rsidR="00B16A0C">
              <w:rPr>
                <w:noProof/>
                <w:webHidden/>
              </w:rPr>
              <w:fldChar w:fldCharType="separate"/>
            </w:r>
            <w:r w:rsidR="004A5276">
              <w:rPr>
                <w:noProof/>
                <w:webHidden/>
              </w:rPr>
              <w:t>8</w:t>
            </w:r>
            <w:r w:rsidR="00B16A0C">
              <w:rPr>
                <w:noProof/>
                <w:webHidden/>
              </w:rPr>
              <w:fldChar w:fldCharType="end"/>
            </w:r>
          </w:hyperlink>
        </w:p>
        <w:p w:rsidR="00B16A0C" w:rsidRDefault="00BC2C17" w:rsidP="002A0E23">
          <w:pPr>
            <w:pStyle w:val="TDC2"/>
            <w:ind w:left="142"/>
            <w:rPr>
              <w:rFonts w:eastAsiaTheme="minorEastAsia"/>
              <w:noProof/>
              <w:lang w:eastAsia="pt-PT"/>
            </w:rPr>
          </w:pPr>
          <w:hyperlink w:anchor="_Toc421529690" w:history="1">
            <w:r w:rsidR="00B16A0C" w:rsidRPr="00412724">
              <w:rPr>
                <w:rStyle w:val="Hipervnculo"/>
                <w:rFonts w:ascii="Garamond" w:hAnsi="Garamond"/>
                <w:noProof/>
              </w:rPr>
              <w:t>SIGLAS</w:t>
            </w:r>
            <w:r w:rsidR="00B16A0C">
              <w:rPr>
                <w:noProof/>
                <w:webHidden/>
              </w:rPr>
              <w:tab/>
            </w:r>
            <w:r w:rsidR="00B16A0C">
              <w:rPr>
                <w:noProof/>
                <w:webHidden/>
              </w:rPr>
              <w:fldChar w:fldCharType="begin"/>
            </w:r>
            <w:r w:rsidR="00B16A0C">
              <w:rPr>
                <w:noProof/>
                <w:webHidden/>
              </w:rPr>
              <w:instrText xml:space="preserve"> PAGEREF _Toc421529690 \h </w:instrText>
            </w:r>
            <w:r w:rsidR="00B16A0C">
              <w:rPr>
                <w:noProof/>
                <w:webHidden/>
              </w:rPr>
            </w:r>
            <w:r w:rsidR="00B16A0C">
              <w:rPr>
                <w:noProof/>
                <w:webHidden/>
              </w:rPr>
              <w:fldChar w:fldCharType="separate"/>
            </w:r>
            <w:r w:rsidR="004A5276">
              <w:rPr>
                <w:noProof/>
                <w:webHidden/>
              </w:rPr>
              <w:t>10</w:t>
            </w:r>
            <w:r w:rsidR="00B16A0C">
              <w:rPr>
                <w:noProof/>
                <w:webHidden/>
              </w:rPr>
              <w:fldChar w:fldCharType="end"/>
            </w:r>
          </w:hyperlink>
        </w:p>
        <w:p w:rsidR="00B16A0C" w:rsidRDefault="00BC2C17">
          <w:pPr>
            <w:pStyle w:val="TDC1"/>
            <w:rPr>
              <w:rFonts w:eastAsiaTheme="minorEastAsia"/>
              <w:noProof/>
              <w:lang w:eastAsia="pt-PT"/>
            </w:rPr>
          </w:pPr>
          <w:hyperlink w:anchor="_Toc421529691" w:history="1">
            <w:r w:rsidR="00B16A0C" w:rsidRPr="00412724">
              <w:rPr>
                <w:rStyle w:val="Hipervnculo"/>
                <w:rFonts w:ascii="Garamond" w:hAnsi="Garamond" w:cs="Arial"/>
                <w:noProof/>
              </w:rPr>
              <w:t>INTRODUÇÃO</w:t>
            </w:r>
            <w:r w:rsidR="002A0E23">
              <w:rPr>
                <w:rStyle w:val="Hipervnculo"/>
                <w:rFonts w:ascii="Garamond" w:hAnsi="Garamond" w:cs="Arial"/>
                <w:noProof/>
              </w:rPr>
              <w:t>..</w:t>
            </w:r>
            <w:r w:rsidR="00B16A0C">
              <w:rPr>
                <w:noProof/>
                <w:webHidden/>
              </w:rPr>
              <w:tab/>
            </w:r>
            <w:r w:rsidR="00A50820">
              <w:rPr>
                <w:noProof/>
                <w:webHidden/>
              </w:rPr>
              <w:t>…</w:t>
            </w:r>
            <w:r w:rsidR="00B16A0C">
              <w:rPr>
                <w:noProof/>
                <w:webHidden/>
              </w:rPr>
              <w:fldChar w:fldCharType="begin"/>
            </w:r>
            <w:r w:rsidR="00B16A0C">
              <w:rPr>
                <w:noProof/>
                <w:webHidden/>
              </w:rPr>
              <w:instrText xml:space="preserve"> PAGEREF _Toc421529691 \h </w:instrText>
            </w:r>
            <w:r w:rsidR="00B16A0C">
              <w:rPr>
                <w:noProof/>
                <w:webHidden/>
              </w:rPr>
            </w:r>
            <w:r w:rsidR="00B16A0C">
              <w:rPr>
                <w:noProof/>
                <w:webHidden/>
              </w:rPr>
              <w:fldChar w:fldCharType="separate"/>
            </w:r>
            <w:r w:rsidR="004A5276">
              <w:rPr>
                <w:noProof/>
                <w:webHidden/>
              </w:rPr>
              <w:t>11</w:t>
            </w:r>
            <w:r w:rsidR="00B16A0C">
              <w:rPr>
                <w:noProof/>
                <w:webHidden/>
              </w:rPr>
              <w:fldChar w:fldCharType="end"/>
            </w:r>
          </w:hyperlink>
        </w:p>
        <w:p w:rsidR="00B16A0C" w:rsidRDefault="00BC2C17">
          <w:pPr>
            <w:pStyle w:val="TDC1"/>
            <w:tabs>
              <w:tab w:val="left" w:pos="660"/>
            </w:tabs>
            <w:rPr>
              <w:rFonts w:eastAsiaTheme="minorEastAsia"/>
              <w:noProof/>
              <w:lang w:eastAsia="pt-PT"/>
            </w:rPr>
          </w:pPr>
          <w:hyperlink w:anchor="_Toc421529692" w:history="1">
            <w:r w:rsidR="00B16A0C" w:rsidRPr="00412724">
              <w:rPr>
                <w:rStyle w:val="Hipervnculo"/>
                <w:noProof/>
              </w:rPr>
              <w:t>1.</w:t>
            </w:r>
            <w:r w:rsidR="00B16A0C">
              <w:rPr>
                <w:rFonts w:eastAsiaTheme="minorEastAsia"/>
                <w:noProof/>
                <w:lang w:eastAsia="pt-PT"/>
              </w:rPr>
              <w:tab/>
            </w:r>
            <w:r w:rsidR="00B16A0C" w:rsidRPr="00412724">
              <w:rPr>
                <w:rStyle w:val="Hipervnculo"/>
                <w:rFonts w:ascii="Garamond" w:hAnsi="Garamond"/>
                <w:noProof/>
              </w:rPr>
              <w:t>QUADRO TEÓRICO</w:t>
            </w:r>
            <w:r w:rsidR="00B16A0C">
              <w:rPr>
                <w:noProof/>
                <w:webHidden/>
              </w:rPr>
              <w:tab/>
            </w:r>
            <w:r w:rsidR="00B16A0C">
              <w:rPr>
                <w:noProof/>
                <w:webHidden/>
              </w:rPr>
              <w:fldChar w:fldCharType="begin"/>
            </w:r>
            <w:r w:rsidR="00B16A0C">
              <w:rPr>
                <w:noProof/>
                <w:webHidden/>
              </w:rPr>
              <w:instrText xml:space="preserve"> PAGEREF _Toc421529692 \h </w:instrText>
            </w:r>
            <w:r w:rsidR="00B16A0C">
              <w:rPr>
                <w:noProof/>
                <w:webHidden/>
              </w:rPr>
            </w:r>
            <w:r w:rsidR="00B16A0C">
              <w:rPr>
                <w:noProof/>
                <w:webHidden/>
              </w:rPr>
              <w:fldChar w:fldCharType="separate"/>
            </w:r>
            <w:r w:rsidR="004A5276">
              <w:rPr>
                <w:noProof/>
                <w:webHidden/>
              </w:rPr>
              <w:t>13</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693" w:history="1">
            <w:r w:rsidR="00B16A0C" w:rsidRPr="00412724">
              <w:rPr>
                <w:rStyle w:val="Hipervnculo"/>
                <w:rFonts w:ascii="Garamond" w:hAnsi="Garamond"/>
                <w:noProof/>
                <w:lang w:val="es-VE"/>
              </w:rPr>
              <w:t>1.1.</w:t>
            </w:r>
            <w:r w:rsidR="00B16A0C">
              <w:rPr>
                <w:rFonts w:eastAsiaTheme="minorEastAsia"/>
                <w:noProof/>
                <w:lang w:eastAsia="pt-PT"/>
              </w:rPr>
              <w:tab/>
            </w:r>
            <w:r w:rsidR="00B16A0C" w:rsidRPr="00412724">
              <w:rPr>
                <w:rStyle w:val="Hipervnculo"/>
                <w:rFonts w:ascii="Garamond" w:hAnsi="Garamond"/>
                <w:noProof/>
              </w:rPr>
              <w:t>Principais instrumentos internacionais sobre direitos humanos das mulheres</w:t>
            </w:r>
            <w:r w:rsidR="00B16A0C">
              <w:rPr>
                <w:noProof/>
                <w:webHidden/>
              </w:rPr>
              <w:tab/>
            </w:r>
            <w:r w:rsidR="00B16A0C">
              <w:rPr>
                <w:noProof/>
                <w:webHidden/>
              </w:rPr>
              <w:fldChar w:fldCharType="begin"/>
            </w:r>
            <w:r w:rsidR="00B16A0C">
              <w:rPr>
                <w:noProof/>
                <w:webHidden/>
              </w:rPr>
              <w:instrText xml:space="preserve"> PAGEREF _Toc421529693 \h </w:instrText>
            </w:r>
            <w:r w:rsidR="00B16A0C">
              <w:rPr>
                <w:noProof/>
                <w:webHidden/>
              </w:rPr>
            </w:r>
            <w:r w:rsidR="00B16A0C">
              <w:rPr>
                <w:noProof/>
                <w:webHidden/>
              </w:rPr>
              <w:fldChar w:fldCharType="separate"/>
            </w:r>
            <w:r w:rsidR="004A5276">
              <w:rPr>
                <w:noProof/>
                <w:webHidden/>
              </w:rPr>
              <w:t>13</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694" w:history="1">
            <w:r w:rsidR="00B16A0C" w:rsidRPr="00412724">
              <w:rPr>
                <w:rStyle w:val="Hipervnculo"/>
                <w:rFonts w:ascii="Garamond" w:hAnsi="Garamond"/>
                <w:noProof/>
                <w:lang w:val="es-VE"/>
              </w:rPr>
              <w:t>1.2.</w:t>
            </w:r>
            <w:r w:rsidR="00B16A0C">
              <w:rPr>
                <w:rFonts w:eastAsiaTheme="minorEastAsia"/>
                <w:noProof/>
                <w:lang w:eastAsia="pt-PT"/>
              </w:rPr>
              <w:tab/>
            </w:r>
            <w:r w:rsidR="00B16A0C" w:rsidRPr="00412724">
              <w:rPr>
                <w:rStyle w:val="Hipervnculo"/>
                <w:rFonts w:ascii="Garamond" w:hAnsi="Garamond"/>
                <w:noProof/>
              </w:rPr>
              <w:t>A violência contra as mulheres na esfera familiar. A obrigação do Estado de garantir o direito das mulheres a uma vida livre de violência: definindo conceitos</w:t>
            </w:r>
            <w:r w:rsidR="00B16A0C">
              <w:rPr>
                <w:noProof/>
                <w:webHidden/>
              </w:rPr>
              <w:tab/>
            </w:r>
            <w:r w:rsidR="00B16A0C">
              <w:rPr>
                <w:noProof/>
                <w:webHidden/>
              </w:rPr>
              <w:fldChar w:fldCharType="begin"/>
            </w:r>
            <w:r w:rsidR="00B16A0C">
              <w:rPr>
                <w:noProof/>
                <w:webHidden/>
              </w:rPr>
              <w:instrText xml:space="preserve"> PAGEREF _Toc421529694 \h </w:instrText>
            </w:r>
            <w:r w:rsidR="00B16A0C">
              <w:rPr>
                <w:noProof/>
                <w:webHidden/>
              </w:rPr>
            </w:r>
            <w:r w:rsidR="00B16A0C">
              <w:rPr>
                <w:noProof/>
                <w:webHidden/>
              </w:rPr>
              <w:fldChar w:fldCharType="separate"/>
            </w:r>
            <w:r w:rsidR="004A5276">
              <w:rPr>
                <w:noProof/>
                <w:webHidden/>
              </w:rPr>
              <w:t>16</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695" w:history="1">
            <w:r w:rsidR="00B16A0C" w:rsidRPr="00412724">
              <w:rPr>
                <w:rStyle w:val="Hipervnculo"/>
                <w:rFonts w:ascii="Garamond" w:hAnsi="Garamond"/>
                <w:noProof/>
              </w:rPr>
              <w:t>1.3</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A Diligência Devida como dever do Estado no que se refere a garantir o direito das mulheres a uma vida livre de violência.</w:t>
            </w:r>
            <w:r w:rsidR="00B16A0C">
              <w:rPr>
                <w:noProof/>
                <w:webHidden/>
              </w:rPr>
              <w:tab/>
            </w:r>
            <w:r w:rsidR="00B16A0C">
              <w:rPr>
                <w:noProof/>
                <w:webHidden/>
              </w:rPr>
              <w:fldChar w:fldCharType="begin"/>
            </w:r>
            <w:r w:rsidR="00B16A0C">
              <w:rPr>
                <w:noProof/>
                <w:webHidden/>
              </w:rPr>
              <w:instrText xml:space="preserve"> PAGEREF _Toc421529695 \h </w:instrText>
            </w:r>
            <w:r w:rsidR="00B16A0C">
              <w:rPr>
                <w:noProof/>
                <w:webHidden/>
              </w:rPr>
            </w:r>
            <w:r w:rsidR="00B16A0C">
              <w:rPr>
                <w:noProof/>
                <w:webHidden/>
              </w:rPr>
              <w:fldChar w:fldCharType="separate"/>
            </w:r>
            <w:r w:rsidR="004A5276">
              <w:rPr>
                <w:noProof/>
                <w:webHidden/>
              </w:rPr>
              <w:t>19</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696" w:history="1">
            <w:r w:rsidR="00B16A0C" w:rsidRPr="00412724">
              <w:rPr>
                <w:rStyle w:val="Hipervnculo"/>
                <w:rFonts w:ascii="Garamond" w:hAnsi="Garamond"/>
                <w:noProof/>
              </w:rPr>
              <w:t>1.4</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O Acesso à Justiça como direito humano que garanta o direito das mulheres a uma vida livre de violência</w:t>
            </w:r>
            <w:r w:rsidR="00B16A0C">
              <w:rPr>
                <w:noProof/>
                <w:webHidden/>
              </w:rPr>
              <w:tab/>
            </w:r>
            <w:r w:rsidR="00B16A0C">
              <w:rPr>
                <w:noProof/>
                <w:webHidden/>
              </w:rPr>
              <w:fldChar w:fldCharType="begin"/>
            </w:r>
            <w:r w:rsidR="00B16A0C">
              <w:rPr>
                <w:noProof/>
                <w:webHidden/>
              </w:rPr>
              <w:instrText xml:space="preserve"> PAGEREF _Toc421529696 \h </w:instrText>
            </w:r>
            <w:r w:rsidR="00B16A0C">
              <w:rPr>
                <w:noProof/>
                <w:webHidden/>
              </w:rPr>
            </w:r>
            <w:r w:rsidR="00B16A0C">
              <w:rPr>
                <w:noProof/>
                <w:webHidden/>
              </w:rPr>
              <w:fldChar w:fldCharType="separate"/>
            </w:r>
            <w:r w:rsidR="004A5276">
              <w:rPr>
                <w:noProof/>
                <w:webHidden/>
              </w:rPr>
              <w:t>22</w:t>
            </w:r>
            <w:r w:rsidR="00B16A0C">
              <w:rPr>
                <w:noProof/>
                <w:webHidden/>
              </w:rPr>
              <w:fldChar w:fldCharType="end"/>
            </w:r>
          </w:hyperlink>
        </w:p>
        <w:p w:rsidR="00B16A0C" w:rsidRDefault="00BC2C17">
          <w:pPr>
            <w:pStyle w:val="TDC3"/>
            <w:tabs>
              <w:tab w:val="left" w:pos="1100"/>
            </w:tabs>
            <w:rPr>
              <w:rFonts w:eastAsiaTheme="minorEastAsia"/>
              <w:noProof/>
              <w:lang w:eastAsia="pt-PT"/>
            </w:rPr>
          </w:pPr>
          <w:hyperlink w:anchor="_Toc421529697" w:history="1">
            <w:r w:rsidR="00B16A0C" w:rsidRPr="00412724">
              <w:rPr>
                <w:rStyle w:val="Hipervnculo"/>
                <w:rFonts w:ascii="Garamond" w:hAnsi="Garamond" w:cs="Arial"/>
                <w:noProof/>
              </w:rPr>
              <w:t>1.4.1</w:t>
            </w:r>
            <w:r w:rsidR="00CA0AAC">
              <w:rPr>
                <w:rStyle w:val="Hipervnculo"/>
                <w:rFonts w:ascii="Garamond" w:hAnsi="Garamond" w:cs="Arial"/>
                <w:noProof/>
              </w:rPr>
              <w:t>.</w:t>
            </w:r>
            <w:r w:rsidR="00B16A0C" w:rsidRPr="00412724">
              <w:rPr>
                <w:rStyle w:val="Hipervnculo"/>
                <w:rFonts w:ascii="Garamond" w:hAnsi="Garamond" w:cs="Arial"/>
                <w:noProof/>
              </w:rPr>
              <w:t xml:space="preserve"> </w:t>
            </w:r>
            <w:r w:rsidR="00B16A0C">
              <w:rPr>
                <w:rFonts w:eastAsiaTheme="minorEastAsia"/>
                <w:noProof/>
                <w:lang w:eastAsia="pt-PT"/>
              </w:rPr>
              <w:tab/>
            </w:r>
            <w:r w:rsidR="00B16A0C" w:rsidRPr="00412724">
              <w:rPr>
                <w:rStyle w:val="Hipervnculo"/>
                <w:rFonts w:ascii="Garamond" w:hAnsi="Garamond" w:cs="Arial"/>
                <w:noProof/>
              </w:rPr>
              <w:t xml:space="preserve">O </w:t>
            </w:r>
            <w:r w:rsidR="00B16A0C" w:rsidRPr="00412724">
              <w:rPr>
                <w:rStyle w:val="Hipervnculo"/>
                <w:rFonts w:ascii="Garamond" w:hAnsi="Garamond"/>
                <w:noProof/>
              </w:rPr>
              <w:t>conceito de Acesso à Justiça</w:t>
            </w:r>
            <w:r w:rsidR="00B16A0C">
              <w:rPr>
                <w:noProof/>
                <w:webHidden/>
              </w:rPr>
              <w:tab/>
            </w:r>
            <w:r w:rsidR="00B16A0C">
              <w:rPr>
                <w:noProof/>
                <w:webHidden/>
              </w:rPr>
              <w:fldChar w:fldCharType="begin"/>
            </w:r>
            <w:r w:rsidR="00B16A0C">
              <w:rPr>
                <w:noProof/>
                <w:webHidden/>
              </w:rPr>
              <w:instrText xml:space="preserve"> PAGEREF _Toc421529697 \h </w:instrText>
            </w:r>
            <w:r w:rsidR="00B16A0C">
              <w:rPr>
                <w:noProof/>
                <w:webHidden/>
              </w:rPr>
            </w:r>
            <w:r w:rsidR="00B16A0C">
              <w:rPr>
                <w:noProof/>
                <w:webHidden/>
              </w:rPr>
              <w:fldChar w:fldCharType="separate"/>
            </w:r>
            <w:r w:rsidR="004A5276">
              <w:rPr>
                <w:noProof/>
                <w:webHidden/>
              </w:rPr>
              <w:t>24</w:t>
            </w:r>
            <w:r w:rsidR="00B16A0C">
              <w:rPr>
                <w:noProof/>
                <w:webHidden/>
              </w:rPr>
              <w:fldChar w:fldCharType="end"/>
            </w:r>
          </w:hyperlink>
        </w:p>
        <w:p w:rsidR="00B16A0C" w:rsidRDefault="00BC2C17">
          <w:pPr>
            <w:pStyle w:val="TDC3"/>
            <w:tabs>
              <w:tab w:val="left" w:pos="1100"/>
            </w:tabs>
            <w:rPr>
              <w:rFonts w:eastAsiaTheme="minorEastAsia"/>
              <w:noProof/>
              <w:lang w:eastAsia="pt-PT"/>
            </w:rPr>
          </w:pPr>
          <w:hyperlink w:anchor="_Toc421529698" w:history="1">
            <w:r w:rsidR="00B16A0C" w:rsidRPr="00412724">
              <w:rPr>
                <w:rStyle w:val="Hipervnculo"/>
                <w:rFonts w:ascii="Garamond" w:hAnsi="Garamond" w:cs="Arial"/>
                <w:noProof/>
              </w:rPr>
              <w:t>1.4.2</w:t>
            </w:r>
            <w:r w:rsidR="00CA0AAC">
              <w:rPr>
                <w:rStyle w:val="Hipervnculo"/>
                <w:rFonts w:ascii="Garamond" w:hAnsi="Garamond" w:cs="Arial"/>
                <w:noProof/>
              </w:rPr>
              <w:t>.</w:t>
            </w:r>
            <w:r w:rsidR="00B16A0C" w:rsidRPr="00412724">
              <w:rPr>
                <w:rStyle w:val="Hipervnculo"/>
                <w:rFonts w:ascii="Garamond" w:hAnsi="Garamond" w:cs="Arial"/>
                <w:noProof/>
              </w:rPr>
              <w:t xml:space="preserve"> </w:t>
            </w:r>
            <w:r w:rsidR="00B16A0C">
              <w:rPr>
                <w:rFonts w:eastAsiaTheme="minorEastAsia"/>
                <w:noProof/>
                <w:lang w:eastAsia="pt-PT"/>
              </w:rPr>
              <w:tab/>
            </w:r>
            <w:r w:rsidR="00B16A0C" w:rsidRPr="00412724">
              <w:rPr>
                <w:rStyle w:val="Hipervnculo"/>
                <w:rFonts w:ascii="Garamond" w:hAnsi="Garamond"/>
                <w:noProof/>
              </w:rPr>
              <w:t xml:space="preserve">Um traço significativo do direito ao Acesso à Justiça: o caráter de </w:t>
            </w:r>
            <w:r w:rsidR="00B16A0C" w:rsidRPr="00412724">
              <w:rPr>
                <w:rStyle w:val="Hipervnculo"/>
                <w:rFonts w:ascii="Garamond" w:hAnsi="Garamond"/>
                <w:i/>
                <w:noProof/>
              </w:rPr>
              <w:t>Ius Cogens</w:t>
            </w:r>
            <w:r w:rsidR="00B16A0C">
              <w:rPr>
                <w:noProof/>
                <w:webHidden/>
              </w:rPr>
              <w:tab/>
            </w:r>
            <w:r w:rsidR="00B16A0C">
              <w:rPr>
                <w:noProof/>
                <w:webHidden/>
              </w:rPr>
              <w:fldChar w:fldCharType="begin"/>
            </w:r>
            <w:r w:rsidR="00B16A0C">
              <w:rPr>
                <w:noProof/>
                <w:webHidden/>
              </w:rPr>
              <w:instrText xml:space="preserve"> PAGEREF _Toc421529698 \h </w:instrText>
            </w:r>
            <w:r w:rsidR="00B16A0C">
              <w:rPr>
                <w:noProof/>
                <w:webHidden/>
              </w:rPr>
            </w:r>
            <w:r w:rsidR="00B16A0C">
              <w:rPr>
                <w:noProof/>
                <w:webHidden/>
              </w:rPr>
              <w:fldChar w:fldCharType="separate"/>
            </w:r>
            <w:r w:rsidR="004A5276">
              <w:rPr>
                <w:noProof/>
                <w:webHidden/>
              </w:rPr>
              <w:t>25</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699" w:history="1">
            <w:r w:rsidR="00B16A0C" w:rsidRPr="00412724">
              <w:rPr>
                <w:rStyle w:val="Hipervnculo"/>
                <w:rFonts w:ascii="Garamond" w:hAnsi="Garamond"/>
                <w:noProof/>
              </w:rPr>
              <w:t>1.5</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O Controlo de Convencionalidade</w:t>
            </w:r>
            <w:r w:rsidR="00B16A0C">
              <w:rPr>
                <w:noProof/>
                <w:webHidden/>
              </w:rPr>
              <w:tab/>
            </w:r>
            <w:r w:rsidR="00B16A0C">
              <w:rPr>
                <w:noProof/>
                <w:webHidden/>
              </w:rPr>
              <w:fldChar w:fldCharType="begin"/>
            </w:r>
            <w:r w:rsidR="00B16A0C">
              <w:rPr>
                <w:noProof/>
                <w:webHidden/>
              </w:rPr>
              <w:instrText xml:space="preserve"> PAGEREF _Toc421529699 \h </w:instrText>
            </w:r>
            <w:r w:rsidR="00B16A0C">
              <w:rPr>
                <w:noProof/>
                <w:webHidden/>
              </w:rPr>
            </w:r>
            <w:r w:rsidR="00B16A0C">
              <w:rPr>
                <w:noProof/>
                <w:webHidden/>
              </w:rPr>
              <w:fldChar w:fldCharType="separate"/>
            </w:r>
            <w:r w:rsidR="004A5276">
              <w:rPr>
                <w:noProof/>
                <w:webHidden/>
              </w:rPr>
              <w:t>26</w:t>
            </w:r>
            <w:r w:rsidR="00B16A0C">
              <w:rPr>
                <w:noProof/>
                <w:webHidden/>
              </w:rPr>
              <w:fldChar w:fldCharType="end"/>
            </w:r>
          </w:hyperlink>
        </w:p>
        <w:p w:rsidR="00B16A0C" w:rsidRDefault="00BC2C17">
          <w:pPr>
            <w:pStyle w:val="TDC3"/>
            <w:rPr>
              <w:rFonts w:eastAsiaTheme="minorEastAsia"/>
              <w:noProof/>
              <w:lang w:eastAsia="pt-PT"/>
            </w:rPr>
          </w:pPr>
          <w:hyperlink w:anchor="_Toc421529700" w:history="1">
            <w:r w:rsidR="00B16A0C" w:rsidRPr="00412724">
              <w:rPr>
                <w:rStyle w:val="Hipervnculo"/>
                <w:rFonts w:ascii="Garamond" w:hAnsi="Garamond"/>
                <w:noProof/>
              </w:rPr>
              <w:t>1.5.1</w:t>
            </w:r>
            <w:r w:rsidR="00CA0AAC">
              <w:rPr>
                <w:rStyle w:val="Hipervnculo"/>
                <w:rFonts w:ascii="Garamond" w:hAnsi="Garamond"/>
                <w:noProof/>
              </w:rPr>
              <w:t>.</w:t>
            </w:r>
            <w:r w:rsidR="00B16A0C" w:rsidRPr="00412724">
              <w:rPr>
                <w:rStyle w:val="Hipervnculo"/>
                <w:rFonts w:ascii="Garamond" w:hAnsi="Garamond"/>
                <w:noProof/>
              </w:rPr>
              <w:t xml:space="preserve"> A </w:t>
            </w:r>
            <w:r w:rsidR="0044479C">
              <w:rPr>
                <w:rStyle w:val="Hipervnculo"/>
                <w:rFonts w:ascii="Garamond" w:hAnsi="Garamond"/>
                <w:noProof/>
              </w:rPr>
              <w:t>«</w:t>
            </w:r>
            <w:r w:rsidR="00B16A0C" w:rsidRPr="00412724">
              <w:rPr>
                <w:rStyle w:val="Hipervnculo"/>
                <w:rFonts w:ascii="Garamond" w:hAnsi="Garamond"/>
                <w:noProof/>
              </w:rPr>
              <w:t>edificação</w:t>
            </w:r>
            <w:r w:rsidR="0044479C">
              <w:rPr>
                <w:rStyle w:val="Hipervnculo"/>
                <w:rFonts w:ascii="Garamond" w:hAnsi="Garamond"/>
                <w:noProof/>
              </w:rPr>
              <w:t>»</w:t>
            </w:r>
            <w:r w:rsidR="00B16A0C" w:rsidRPr="00412724">
              <w:rPr>
                <w:rStyle w:val="Hipervnculo"/>
                <w:rFonts w:ascii="Garamond" w:hAnsi="Garamond"/>
                <w:noProof/>
              </w:rPr>
              <w:t xml:space="preserve"> jurisprudencial do Controlo de Convencionalidade</w:t>
            </w:r>
            <w:r w:rsidR="00B16A0C">
              <w:rPr>
                <w:noProof/>
                <w:webHidden/>
              </w:rPr>
              <w:tab/>
            </w:r>
            <w:r w:rsidR="00B16A0C">
              <w:rPr>
                <w:noProof/>
                <w:webHidden/>
              </w:rPr>
              <w:fldChar w:fldCharType="begin"/>
            </w:r>
            <w:r w:rsidR="00B16A0C">
              <w:rPr>
                <w:noProof/>
                <w:webHidden/>
              </w:rPr>
              <w:instrText xml:space="preserve"> PAGEREF _Toc421529700 \h </w:instrText>
            </w:r>
            <w:r w:rsidR="00B16A0C">
              <w:rPr>
                <w:noProof/>
                <w:webHidden/>
              </w:rPr>
            </w:r>
            <w:r w:rsidR="00B16A0C">
              <w:rPr>
                <w:noProof/>
                <w:webHidden/>
              </w:rPr>
              <w:fldChar w:fldCharType="separate"/>
            </w:r>
            <w:r w:rsidR="004A5276">
              <w:rPr>
                <w:noProof/>
                <w:webHidden/>
              </w:rPr>
              <w:t>28</w:t>
            </w:r>
            <w:r w:rsidR="00B16A0C">
              <w:rPr>
                <w:noProof/>
                <w:webHidden/>
              </w:rPr>
              <w:fldChar w:fldCharType="end"/>
            </w:r>
          </w:hyperlink>
        </w:p>
        <w:p w:rsidR="00B16A0C" w:rsidRDefault="00BC2C17">
          <w:pPr>
            <w:pStyle w:val="TDC3"/>
            <w:tabs>
              <w:tab w:val="left" w:pos="660"/>
            </w:tabs>
            <w:rPr>
              <w:rFonts w:eastAsiaTheme="minorEastAsia"/>
              <w:noProof/>
              <w:lang w:eastAsia="pt-PT"/>
            </w:rPr>
          </w:pPr>
          <w:hyperlink w:anchor="_Toc421529701" w:history="1">
            <w:r w:rsidR="00B16A0C" w:rsidRPr="00412724">
              <w:rPr>
                <w:rStyle w:val="Hipervnculo"/>
                <w:rFonts w:ascii="Garamond" w:hAnsi="Garamond" w:cs="Arial"/>
                <w:noProof/>
              </w:rPr>
              <w:t>a)</w:t>
            </w:r>
            <w:r w:rsidR="00B16A0C">
              <w:rPr>
                <w:rFonts w:eastAsiaTheme="minorEastAsia"/>
                <w:noProof/>
                <w:lang w:eastAsia="pt-PT"/>
              </w:rPr>
              <w:tab/>
            </w:r>
            <w:r w:rsidR="00B16A0C" w:rsidRPr="00412724">
              <w:rPr>
                <w:rStyle w:val="Hipervnculo"/>
                <w:rFonts w:ascii="Garamond" w:hAnsi="Garamond" w:cs="Arial"/>
                <w:noProof/>
              </w:rPr>
              <w:t>A Sentença num caso peruano sobre trabalhadores despedidos, e a participação do Juiz Sergio García Ramírez.</w:t>
            </w:r>
            <w:r w:rsidR="00B16A0C">
              <w:rPr>
                <w:noProof/>
                <w:webHidden/>
              </w:rPr>
              <w:tab/>
            </w:r>
            <w:r w:rsidR="00B16A0C">
              <w:rPr>
                <w:noProof/>
                <w:webHidden/>
              </w:rPr>
              <w:fldChar w:fldCharType="begin"/>
            </w:r>
            <w:r w:rsidR="00B16A0C">
              <w:rPr>
                <w:noProof/>
                <w:webHidden/>
              </w:rPr>
              <w:instrText xml:space="preserve"> PAGEREF _Toc421529701 \h </w:instrText>
            </w:r>
            <w:r w:rsidR="00B16A0C">
              <w:rPr>
                <w:noProof/>
                <w:webHidden/>
              </w:rPr>
            </w:r>
            <w:r w:rsidR="00B16A0C">
              <w:rPr>
                <w:noProof/>
                <w:webHidden/>
              </w:rPr>
              <w:fldChar w:fldCharType="separate"/>
            </w:r>
            <w:r w:rsidR="004A5276">
              <w:rPr>
                <w:noProof/>
                <w:webHidden/>
              </w:rPr>
              <w:t>29</w:t>
            </w:r>
            <w:r w:rsidR="00B16A0C">
              <w:rPr>
                <w:noProof/>
                <w:webHidden/>
              </w:rPr>
              <w:fldChar w:fldCharType="end"/>
            </w:r>
          </w:hyperlink>
        </w:p>
        <w:p w:rsidR="00B16A0C" w:rsidRDefault="00BC2C17">
          <w:pPr>
            <w:pStyle w:val="TDC3"/>
            <w:tabs>
              <w:tab w:val="left" w:pos="880"/>
            </w:tabs>
            <w:rPr>
              <w:rFonts w:eastAsiaTheme="minorEastAsia"/>
              <w:noProof/>
              <w:lang w:eastAsia="pt-PT"/>
            </w:rPr>
          </w:pPr>
          <w:hyperlink w:anchor="_Toc421529702" w:history="1">
            <w:r w:rsidR="00B16A0C" w:rsidRPr="00412724">
              <w:rPr>
                <w:rStyle w:val="Hipervnculo"/>
                <w:rFonts w:ascii="Garamond" w:hAnsi="Garamond" w:cs="Arial"/>
                <w:noProof/>
              </w:rPr>
              <w:t>b)</w:t>
            </w:r>
            <w:r w:rsidR="00B16A0C">
              <w:rPr>
                <w:rFonts w:eastAsiaTheme="minorEastAsia"/>
                <w:noProof/>
                <w:lang w:eastAsia="pt-PT"/>
              </w:rPr>
              <w:tab/>
            </w:r>
            <w:r w:rsidR="00B16A0C" w:rsidRPr="00412724">
              <w:rPr>
                <w:rStyle w:val="Hipervnculo"/>
                <w:rFonts w:ascii="Garamond" w:hAnsi="Garamond" w:cs="Arial"/>
                <w:noProof/>
              </w:rPr>
              <w:t xml:space="preserve">Um novo caso peruano e maiores avanços e precisões através do </w:t>
            </w:r>
            <w:r w:rsidR="00B16A0C" w:rsidRPr="00412724">
              <w:rPr>
                <w:rStyle w:val="Hipervnculo"/>
                <w:rFonts w:ascii="Garamond" w:hAnsi="Garamond" w:cs="Arial"/>
                <w:i/>
                <w:noProof/>
              </w:rPr>
              <w:t>voto</w:t>
            </w:r>
            <w:r w:rsidR="00B16A0C" w:rsidRPr="00412724">
              <w:rPr>
                <w:rStyle w:val="Hipervnculo"/>
                <w:rFonts w:ascii="Garamond" w:hAnsi="Garamond" w:cs="Arial"/>
                <w:noProof/>
              </w:rPr>
              <w:t xml:space="preserve"> </w:t>
            </w:r>
            <w:r w:rsidR="00B16A0C" w:rsidRPr="00412724">
              <w:rPr>
                <w:rStyle w:val="Hipervnculo"/>
                <w:rFonts w:ascii="Garamond" w:hAnsi="Garamond" w:cs="Arial"/>
                <w:i/>
                <w:noProof/>
              </w:rPr>
              <w:t>razonado</w:t>
            </w:r>
            <w:r w:rsidR="00B16A0C" w:rsidRPr="00412724">
              <w:rPr>
                <w:rStyle w:val="Hipervnculo"/>
                <w:rFonts w:ascii="Garamond" w:hAnsi="Garamond" w:cs="Arial"/>
                <w:noProof/>
              </w:rPr>
              <w:t xml:space="preserve"> de García Ramírez: a sentença no Caso La Cantuta</w:t>
            </w:r>
            <w:r w:rsidR="00B16A0C">
              <w:rPr>
                <w:noProof/>
                <w:webHidden/>
              </w:rPr>
              <w:tab/>
            </w:r>
            <w:r w:rsidR="00B16A0C">
              <w:rPr>
                <w:noProof/>
                <w:webHidden/>
              </w:rPr>
              <w:fldChar w:fldCharType="begin"/>
            </w:r>
            <w:r w:rsidR="00B16A0C">
              <w:rPr>
                <w:noProof/>
                <w:webHidden/>
              </w:rPr>
              <w:instrText xml:space="preserve"> PAGEREF _Toc421529702 \h </w:instrText>
            </w:r>
            <w:r w:rsidR="00B16A0C">
              <w:rPr>
                <w:noProof/>
                <w:webHidden/>
              </w:rPr>
            </w:r>
            <w:r w:rsidR="00B16A0C">
              <w:rPr>
                <w:noProof/>
                <w:webHidden/>
              </w:rPr>
              <w:fldChar w:fldCharType="separate"/>
            </w:r>
            <w:r w:rsidR="004A5276">
              <w:rPr>
                <w:noProof/>
                <w:webHidden/>
              </w:rPr>
              <w:t>30</w:t>
            </w:r>
            <w:r w:rsidR="00B16A0C">
              <w:rPr>
                <w:noProof/>
                <w:webHidden/>
              </w:rPr>
              <w:fldChar w:fldCharType="end"/>
            </w:r>
          </w:hyperlink>
        </w:p>
        <w:p w:rsidR="00B16A0C" w:rsidRDefault="00BC2C17">
          <w:pPr>
            <w:pStyle w:val="TDC3"/>
            <w:tabs>
              <w:tab w:val="left" w:pos="880"/>
            </w:tabs>
            <w:rPr>
              <w:rFonts w:eastAsiaTheme="minorEastAsia"/>
              <w:noProof/>
              <w:lang w:eastAsia="pt-PT"/>
            </w:rPr>
          </w:pPr>
          <w:hyperlink w:anchor="_Toc421529703" w:history="1">
            <w:r w:rsidR="00B16A0C" w:rsidRPr="00412724">
              <w:rPr>
                <w:rStyle w:val="Hipervnculo"/>
                <w:rFonts w:ascii="Garamond" w:hAnsi="Garamond" w:cs="Arial"/>
                <w:noProof/>
              </w:rPr>
              <w:t>c)</w:t>
            </w:r>
            <w:r w:rsidR="00B16A0C">
              <w:rPr>
                <w:rFonts w:eastAsiaTheme="minorEastAsia"/>
                <w:noProof/>
                <w:lang w:eastAsia="pt-PT"/>
              </w:rPr>
              <w:tab/>
            </w:r>
            <w:r w:rsidR="00B16A0C" w:rsidRPr="00412724">
              <w:rPr>
                <w:rStyle w:val="Hipervnculo"/>
                <w:rFonts w:ascii="Garamond" w:hAnsi="Garamond" w:cs="Arial"/>
                <w:noProof/>
              </w:rPr>
              <w:t>Uma postura corporativa relevante: a sentença unânime da Comissão no caso dos ecologistas mexicanos Cabrera e Montiel, como via para a sistematização dos avanços efetuados</w:t>
            </w:r>
            <w:r w:rsidR="00B16A0C">
              <w:rPr>
                <w:noProof/>
                <w:webHidden/>
              </w:rPr>
              <w:tab/>
            </w:r>
            <w:r w:rsidR="00B16A0C">
              <w:rPr>
                <w:noProof/>
                <w:webHidden/>
              </w:rPr>
              <w:fldChar w:fldCharType="begin"/>
            </w:r>
            <w:r w:rsidR="00B16A0C">
              <w:rPr>
                <w:noProof/>
                <w:webHidden/>
              </w:rPr>
              <w:instrText xml:space="preserve"> PAGEREF _Toc421529703 \h </w:instrText>
            </w:r>
            <w:r w:rsidR="00B16A0C">
              <w:rPr>
                <w:noProof/>
                <w:webHidden/>
              </w:rPr>
            </w:r>
            <w:r w:rsidR="00B16A0C">
              <w:rPr>
                <w:noProof/>
                <w:webHidden/>
              </w:rPr>
              <w:fldChar w:fldCharType="separate"/>
            </w:r>
            <w:r w:rsidR="004A5276">
              <w:rPr>
                <w:noProof/>
                <w:webHidden/>
              </w:rPr>
              <w:t>31</w:t>
            </w:r>
            <w:r w:rsidR="00B16A0C">
              <w:rPr>
                <w:noProof/>
                <w:webHidden/>
              </w:rPr>
              <w:fldChar w:fldCharType="end"/>
            </w:r>
          </w:hyperlink>
        </w:p>
        <w:p w:rsidR="00B16A0C" w:rsidRDefault="00BC2C17">
          <w:pPr>
            <w:pStyle w:val="TDC3"/>
            <w:tabs>
              <w:tab w:val="left" w:pos="880"/>
            </w:tabs>
            <w:rPr>
              <w:rFonts w:eastAsiaTheme="minorEastAsia"/>
              <w:noProof/>
              <w:lang w:eastAsia="pt-PT"/>
            </w:rPr>
          </w:pPr>
          <w:hyperlink w:anchor="_Toc421529704" w:history="1">
            <w:r w:rsidR="00B16A0C" w:rsidRPr="00412724">
              <w:rPr>
                <w:rStyle w:val="Hipervnculo"/>
                <w:rFonts w:ascii="Garamond" w:hAnsi="Garamond" w:cs="Arial"/>
                <w:noProof/>
              </w:rPr>
              <w:t>d)</w:t>
            </w:r>
            <w:r w:rsidR="00B16A0C">
              <w:rPr>
                <w:rFonts w:eastAsiaTheme="minorEastAsia"/>
                <w:noProof/>
                <w:lang w:eastAsia="pt-PT"/>
              </w:rPr>
              <w:tab/>
            </w:r>
            <w:r w:rsidR="00B16A0C" w:rsidRPr="00412724">
              <w:rPr>
                <w:rStyle w:val="Hipervnculo"/>
                <w:rFonts w:ascii="Garamond" w:hAnsi="Garamond" w:cs="Arial"/>
                <w:noProof/>
              </w:rPr>
              <w:t xml:space="preserve">Um passo ainda mais transcendente: a sentença no Caso Gelman </w:t>
            </w:r>
            <w:r w:rsidR="00B16A0C" w:rsidRPr="00412724">
              <w:rPr>
                <w:rStyle w:val="Hipervnculo"/>
                <w:rFonts w:ascii="Garamond" w:hAnsi="Garamond" w:cs="Arial"/>
                <w:i/>
                <w:noProof/>
              </w:rPr>
              <w:t>vs.</w:t>
            </w:r>
            <w:r w:rsidR="00B16A0C" w:rsidRPr="00412724">
              <w:rPr>
                <w:rStyle w:val="Hipervnculo"/>
                <w:rFonts w:ascii="Garamond" w:hAnsi="Garamond" w:cs="Arial"/>
                <w:noProof/>
              </w:rPr>
              <w:t xml:space="preserve"> Uruguai</w:t>
            </w:r>
            <w:r w:rsidR="00B16A0C">
              <w:rPr>
                <w:noProof/>
                <w:webHidden/>
              </w:rPr>
              <w:tab/>
            </w:r>
            <w:r w:rsidR="00B16A0C">
              <w:rPr>
                <w:noProof/>
                <w:webHidden/>
              </w:rPr>
              <w:fldChar w:fldCharType="begin"/>
            </w:r>
            <w:r w:rsidR="00B16A0C">
              <w:rPr>
                <w:noProof/>
                <w:webHidden/>
              </w:rPr>
              <w:instrText xml:space="preserve"> PAGEREF _Toc421529704 \h </w:instrText>
            </w:r>
            <w:r w:rsidR="00B16A0C">
              <w:rPr>
                <w:noProof/>
                <w:webHidden/>
              </w:rPr>
            </w:r>
            <w:r w:rsidR="00B16A0C">
              <w:rPr>
                <w:noProof/>
                <w:webHidden/>
              </w:rPr>
              <w:fldChar w:fldCharType="separate"/>
            </w:r>
            <w:r w:rsidR="004A5276">
              <w:rPr>
                <w:noProof/>
                <w:webHidden/>
              </w:rPr>
              <w:t>32</w:t>
            </w:r>
            <w:r w:rsidR="00B16A0C">
              <w:rPr>
                <w:noProof/>
                <w:webHidden/>
              </w:rPr>
              <w:fldChar w:fldCharType="end"/>
            </w:r>
          </w:hyperlink>
        </w:p>
        <w:p w:rsidR="00B16A0C" w:rsidRDefault="00BC2C17">
          <w:pPr>
            <w:pStyle w:val="TDC1"/>
            <w:tabs>
              <w:tab w:val="left" w:pos="660"/>
            </w:tabs>
            <w:rPr>
              <w:rFonts w:eastAsiaTheme="minorEastAsia"/>
              <w:noProof/>
              <w:lang w:eastAsia="pt-PT"/>
            </w:rPr>
          </w:pPr>
          <w:hyperlink w:anchor="_Toc421529705" w:history="1">
            <w:r w:rsidR="00B16A0C" w:rsidRPr="00412724">
              <w:rPr>
                <w:rStyle w:val="Hipervnculo"/>
                <w:noProof/>
              </w:rPr>
              <w:t>2.</w:t>
            </w:r>
            <w:r w:rsidR="00B16A0C">
              <w:rPr>
                <w:rFonts w:eastAsiaTheme="minorEastAsia"/>
                <w:noProof/>
                <w:lang w:eastAsia="pt-PT"/>
              </w:rPr>
              <w:tab/>
            </w:r>
            <w:r w:rsidR="00B16A0C" w:rsidRPr="00412724">
              <w:rPr>
                <w:rStyle w:val="Hipervnculo"/>
                <w:rFonts w:ascii="Garamond" w:hAnsi="Garamond"/>
                <w:noProof/>
              </w:rPr>
              <w:t>SISTEMATIZAÇÃO DE EXPERIÊNCIAS DE PAÍSES INTEGRANTES DA FIO (</w:t>
            </w:r>
            <w:r w:rsidR="00B16A0C" w:rsidRPr="00412724">
              <w:rPr>
                <w:rStyle w:val="Hipervnculo"/>
                <w:rFonts w:ascii="Garamond" w:hAnsi="Garamond" w:cs="Arial"/>
                <w:noProof/>
              </w:rPr>
              <w:t>novembro de 2013 a julho de 2014).</w:t>
            </w:r>
            <w:r w:rsidR="00B16A0C">
              <w:rPr>
                <w:noProof/>
                <w:webHidden/>
              </w:rPr>
              <w:tab/>
            </w:r>
            <w:r w:rsidR="00B16A0C">
              <w:rPr>
                <w:noProof/>
                <w:webHidden/>
              </w:rPr>
              <w:fldChar w:fldCharType="begin"/>
            </w:r>
            <w:r w:rsidR="00B16A0C">
              <w:rPr>
                <w:noProof/>
                <w:webHidden/>
              </w:rPr>
              <w:instrText xml:space="preserve"> PAGEREF _Toc421529705 \h </w:instrText>
            </w:r>
            <w:r w:rsidR="00B16A0C">
              <w:rPr>
                <w:noProof/>
                <w:webHidden/>
              </w:rPr>
            </w:r>
            <w:r w:rsidR="00B16A0C">
              <w:rPr>
                <w:noProof/>
                <w:webHidden/>
              </w:rPr>
              <w:fldChar w:fldCharType="separate"/>
            </w:r>
            <w:r w:rsidR="004A5276">
              <w:rPr>
                <w:noProof/>
                <w:webHidden/>
              </w:rPr>
              <w:t>35</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706" w:history="1">
            <w:r w:rsidR="00B16A0C" w:rsidRPr="00412724">
              <w:rPr>
                <w:rStyle w:val="Hipervnculo"/>
                <w:rFonts w:ascii="Garamond" w:hAnsi="Garamond"/>
                <w:noProof/>
              </w:rPr>
              <w:t>2.1</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Aspetos normativos relativos à violência contra as mulheres e o acesso à justiça</w:t>
            </w:r>
            <w:r w:rsidR="00B16A0C">
              <w:rPr>
                <w:noProof/>
                <w:webHidden/>
              </w:rPr>
              <w:tab/>
            </w:r>
            <w:r w:rsidR="00B16A0C">
              <w:rPr>
                <w:noProof/>
                <w:webHidden/>
              </w:rPr>
              <w:fldChar w:fldCharType="begin"/>
            </w:r>
            <w:r w:rsidR="00B16A0C">
              <w:rPr>
                <w:noProof/>
                <w:webHidden/>
              </w:rPr>
              <w:instrText xml:space="preserve"> PAGEREF _Toc421529706 \h </w:instrText>
            </w:r>
            <w:r w:rsidR="00B16A0C">
              <w:rPr>
                <w:noProof/>
                <w:webHidden/>
              </w:rPr>
            </w:r>
            <w:r w:rsidR="00B16A0C">
              <w:rPr>
                <w:noProof/>
                <w:webHidden/>
              </w:rPr>
              <w:fldChar w:fldCharType="separate"/>
            </w:r>
            <w:r w:rsidR="004A5276">
              <w:rPr>
                <w:noProof/>
                <w:webHidden/>
              </w:rPr>
              <w:t>35</w:t>
            </w:r>
            <w:r w:rsidR="00B16A0C">
              <w:rPr>
                <w:noProof/>
                <w:webHidden/>
              </w:rPr>
              <w:fldChar w:fldCharType="end"/>
            </w:r>
          </w:hyperlink>
        </w:p>
        <w:p w:rsidR="00B16A0C" w:rsidRDefault="00BC2C17">
          <w:pPr>
            <w:pStyle w:val="TDC2"/>
            <w:rPr>
              <w:rFonts w:eastAsiaTheme="minorEastAsia"/>
              <w:noProof/>
              <w:lang w:eastAsia="pt-PT"/>
            </w:rPr>
          </w:pPr>
          <w:hyperlink w:anchor="_Toc421529707" w:history="1">
            <w:r w:rsidR="00B16A0C" w:rsidRPr="00412724">
              <w:rPr>
                <w:rStyle w:val="Hipervnculo"/>
                <w:rFonts w:ascii="Garamond" w:hAnsi="Garamond"/>
                <w:noProof/>
              </w:rPr>
              <w:t>Argentina</w:t>
            </w:r>
            <w:r w:rsidR="00B16A0C">
              <w:rPr>
                <w:noProof/>
                <w:webHidden/>
              </w:rPr>
              <w:tab/>
            </w:r>
            <w:r w:rsidR="00B16A0C">
              <w:rPr>
                <w:noProof/>
                <w:webHidden/>
              </w:rPr>
              <w:fldChar w:fldCharType="begin"/>
            </w:r>
            <w:r w:rsidR="00B16A0C">
              <w:rPr>
                <w:noProof/>
                <w:webHidden/>
              </w:rPr>
              <w:instrText xml:space="preserve"> PAGEREF _Toc421529707 \h </w:instrText>
            </w:r>
            <w:r w:rsidR="00B16A0C">
              <w:rPr>
                <w:noProof/>
                <w:webHidden/>
              </w:rPr>
            </w:r>
            <w:r w:rsidR="00B16A0C">
              <w:rPr>
                <w:noProof/>
                <w:webHidden/>
              </w:rPr>
              <w:fldChar w:fldCharType="separate"/>
            </w:r>
            <w:r w:rsidR="004A5276">
              <w:rPr>
                <w:noProof/>
                <w:webHidden/>
              </w:rPr>
              <w:t>35</w:t>
            </w:r>
            <w:r w:rsidR="00B16A0C">
              <w:rPr>
                <w:noProof/>
                <w:webHidden/>
              </w:rPr>
              <w:fldChar w:fldCharType="end"/>
            </w:r>
          </w:hyperlink>
        </w:p>
        <w:p w:rsidR="00B16A0C" w:rsidRDefault="00BC2C17">
          <w:pPr>
            <w:pStyle w:val="TDC3"/>
            <w:rPr>
              <w:rFonts w:eastAsiaTheme="minorEastAsia"/>
              <w:noProof/>
              <w:lang w:eastAsia="pt-PT"/>
            </w:rPr>
          </w:pPr>
          <w:hyperlink w:anchor="_Toc421529708" w:history="1">
            <w:r w:rsidR="00B16A0C" w:rsidRPr="00412724">
              <w:rPr>
                <w:rStyle w:val="Hipervnculo"/>
                <w:rFonts w:ascii="Garamond" w:hAnsi="Garamond"/>
                <w:iCs/>
                <w:noProof/>
              </w:rPr>
              <w:t>Bolívia</w:t>
            </w:r>
            <w:r w:rsidR="00B16A0C">
              <w:rPr>
                <w:noProof/>
                <w:webHidden/>
              </w:rPr>
              <w:tab/>
            </w:r>
            <w:r w:rsidR="00B16A0C">
              <w:rPr>
                <w:noProof/>
                <w:webHidden/>
              </w:rPr>
              <w:fldChar w:fldCharType="begin"/>
            </w:r>
            <w:r w:rsidR="00B16A0C">
              <w:rPr>
                <w:noProof/>
                <w:webHidden/>
              </w:rPr>
              <w:instrText xml:space="preserve"> PAGEREF _Toc421529708 \h </w:instrText>
            </w:r>
            <w:r w:rsidR="00B16A0C">
              <w:rPr>
                <w:noProof/>
                <w:webHidden/>
              </w:rPr>
            </w:r>
            <w:r w:rsidR="00B16A0C">
              <w:rPr>
                <w:noProof/>
                <w:webHidden/>
              </w:rPr>
              <w:fldChar w:fldCharType="separate"/>
            </w:r>
            <w:r w:rsidR="004A5276">
              <w:rPr>
                <w:noProof/>
                <w:webHidden/>
              </w:rPr>
              <w:t>37</w:t>
            </w:r>
            <w:r w:rsidR="00B16A0C">
              <w:rPr>
                <w:noProof/>
                <w:webHidden/>
              </w:rPr>
              <w:fldChar w:fldCharType="end"/>
            </w:r>
          </w:hyperlink>
        </w:p>
        <w:p w:rsidR="00B16A0C" w:rsidRDefault="00BC2C17">
          <w:pPr>
            <w:pStyle w:val="TDC3"/>
            <w:rPr>
              <w:rFonts w:eastAsiaTheme="minorEastAsia"/>
              <w:noProof/>
              <w:lang w:eastAsia="pt-PT"/>
            </w:rPr>
          </w:pPr>
          <w:hyperlink w:anchor="_Toc421529709" w:history="1">
            <w:r w:rsidR="00B16A0C" w:rsidRPr="00412724">
              <w:rPr>
                <w:rStyle w:val="Hipervnculo"/>
                <w:rFonts w:ascii="Garamond" w:hAnsi="Garamond"/>
                <w:noProof/>
              </w:rPr>
              <w:t>Colômbia</w:t>
            </w:r>
            <w:r w:rsidR="00B16A0C">
              <w:rPr>
                <w:noProof/>
                <w:webHidden/>
              </w:rPr>
              <w:tab/>
            </w:r>
            <w:r w:rsidR="00B16A0C">
              <w:rPr>
                <w:noProof/>
                <w:webHidden/>
              </w:rPr>
              <w:fldChar w:fldCharType="begin"/>
            </w:r>
            <w:r w:rsidR="00B16A0C">
              <w:rPr>
                <w:noProof/>
                <w:webHidden/>
              </w:rPr>
              <w:instrText xml:space="preserve"> PAGEREF _Toc421529709 \h </w:instrText>
            </w:r>
            <w:r w:rsidR="00B16A0C">
              <w:rPr>
                <w:noProof/>
                <w:webHidden/>
              </w:rPr>
            </w:r>
            <w:r w:rsidR="00B16A0C">
              <w:rPr>
                <w:noProof/>
                <w:webHidden/>
              </w:rPr>
              <w:fldChar w:fldCharType="separate"/>
            </w:r>
            <w:r w:rsidR="004A5276">
              <w:rPr>
                <w:noProof/>
                <w:webHidden/>
              </w:rPr>
              <w:t>38</w:t>
            </w:r>
            <w:r w:rsidR="00B16A0C">
              <w:rPr>
                <w:noProof/>
                <w:webHidden/>
              </w:rPr>
              <w:fldChar w:fldCharType="end"/>
            </w:r>
          </w:hyperlink>
        </w:p>
        <w:p w:rsidR="00B16A0C" w:rsidRDefault="00BC2C17">
          <w:pPr>
            <w:pStyle w:val="TDC3"/>
            <w:rPr>
              <w:rFonts w:eastAsiaTheme="minorEastAsia"/>
              <w:noProof/>
              <w:lang w:eastAsia="pt-PT"/>
            </w:rPr>
          </w:pPr>
          <w:hyperlink w:anchor="_Toc421529710" w:history="1">
            <w:r w:rsidR="00B16A0C" w:rsidRPr="00412724">
              <w:rPr>
                <w:rStyle w:val="Hipervnculo"/>
                <w:rFonts w:ascii="Garamond" w:hAnsi="Garamond"/>
                <w:noProof/>
              </w:rPr>
              <w:t>Espanha</w:t>
            </w:r>
            <w:r w:rsidR="00B16A0C">
              <w:rPr>
                <w:noProof/>
                <w:webHidden/>
              </w:rPr>
              <w:tab/>
            </w:r>
            <w:r w:rsidR="00B16A0C">
              <w:rPr>
                <w:noProof/>
                <w:webHidden/>
              </w:rPr>
              <w:fldChar w:fldCharType="begin"/>
            </w:r>
            <w:r w:rsidR="00B16A0C">
              <w:rPr>
                <w:noProof/>
                <w:webHidden/>
              </w:rPr>
              <w:instrText xml:space="preserve"> PAGEREF _Toc421529710 \h </w:instrText>
            </w:r>
            <w:r w:rsidR="00B16A0C">
              <w:rPr>
                <w:noProof/>
                <w:webHidden/>
              </w:rPr>
            </w:r>
            <w:r w:rsidR="00B16A0C">
              <w:rPr>
                <w:noProof/>
                <w:webHidden/>
              </w:rPr>
              <w:fldChar w:fldCharType="separate"/>
            </w:r>
            <w:r w:rsidR="004A5276">
              <w:rPr>
                <w:noProof/>
                <w:webHidden/>
              </w:rPr>
              <w:t>42</w:t>
            </w:r>
            <w:r w:rsidR="00B16A0C">
              <w:rPr>
                <w:noProof/>
                <w:webHidden/>
              </w:rPr>
              <w:fldChar w:fldCharType="end"/>
            </w:r>
          </w:hyperlink>
        </w:p>
        <w:p w:rsidR="00B16A0C" w:rsidRDefault="00BC2C17">
          <w:pPr>
            <w:pStyle w:val="TDC3"/>
            <w:rPr>
              <w:rFonts w:eastAsiaTheme="minorEastAsia"/>
              <w:noProof/>
              <w:lang w:eastAsia="pt-PT"/>
            </w:rPr>
          </w:pPr>
          <w:hyperlink w:anchor="_Toc421529711" w:history="1">
            <w:r w:rsidR="00B16A0C" w:rsidRPr="00412724">
              <w:rPr>
                <w:rStyle w:val="Hipervnculo"/>
                <w:rFonts w:ascii="Garamond" w:hAnsi="Garamond"/>
                <w:noProof/>
              </w:rPr>
              <w:t>México</w:t>
            </w:r>
            <w:r w:rsidR="00B16A0C">
              <w:rPr>
                <w:noProof/>
                <w:webHidden/>
              </w:rPr>
              <w:tab/>
            </w:r>
            <w:r w:rsidR="00B16A0C">
              <w:rPr>
                <w:noProof/>
                <w:webHidden/>
              </w:rPr>
              <w:fldChar w:fldCharType="begin"/>
            </w:r>
            <w:r w:rsidR="00B16A0C">
              <w:rPr>
                <w:noProof/>
                <w:webHidden/>
              </w:rPr>
              <w:instrText xml:space="preserve"> PAGEREF _Toc421529711 \h </w:instrText>
            </w:r>
            <w:r w:rsidR="00B16A0C">
              <w:rPr>
                <w:noProof/>
                <w:webHidden/>
              </w:rPr>
            </w:r>
            <w:r w:rsidR="00B16A0C">
              <w:rPr>
                <w:noProof/>
                <w:webHidden/>
              </w:rPr>
              <w:fldChar w:fldCharType="separate"/>
            </w:r>
            <w:r w:rsidR="004A5276">
              <w:rPr>
                <w:noProof/>
                <w:webHidden/>
              </w:rPr>
              <w:t>46</w:t>
            </w:r>
            <w:r w:rsidR="00B16A0C">
              <w:rPr>
                <w:noProof/>
                <w:webHidden/>
              </w:rPr>
              <w:fldChar w:fldCharType="end"/>
            </w:r>
          </w:hyperlink>
        </w:p>
        <w:p w:rsidR="00B16A0C" w:rsidRDefault="00BC2C17">
          <w:pPr>
            <w:pStyle w:val="TDC3"/>
            <w:rPr>
              <w:rFonts w:eastAsiaTheme="minorEastAsia"/>
              <w:noProof/>
              <w:lang w:eastAsia="pt-PT"/>
            </w:rPr>
          </w:pPr>
          <w:hyperlink w:anchor="_Toc421529712" w:history="1">
            <w:r w:rsidR="00B16A0C" w:rsidRPr="00412724">
              <w:rPr>
                <w:rStyle w:val="Hipervnculo"/>
                <w:rFonts w:ascii="Garamond" w:hAnsi="Garamond"/>
                <w:noProof/>
              </w:rPr>
              <w:t>Paraguai</w:t>
            </w:r>
            <w:r w:rsidR="00B16A0C">
              <w:rPr>
                <w:noProof/>
                <w:webHidden/>
              </w:rPr>
              <w:tab/>
            </w:r>
            <w:r w:rsidR="00B16A0C">
              <w:rPr>
                <w:noProof/>
                <w:webHidden/>
              </w:rPr>
              <w:fldChar w:fldCharType="begin"/>
            </w:r>
            <w:r w:rsidR="00B16A0C">
              <w:rPr>
                <w:noProof/>
                <w:webHidden/>
              </w:rPr>
              <w:instrText xml:space="preserve"> PAGEREF _Toc421529712 \h </w:instrText>
            </w:r>
            <w:r w:rsidR="00B16A0C">
              <w:rPr>
                <w:noProof/>
                <w:webHidden/>
              </w:rPr>
            </w:r>
            <w:r w:rsidR="00B16A0C">
              <w:rPr>
                <w:noProof/>
                <w:webHidden/>
              </w:rPr>
              <w:fldChar w:fldCharType="separate"/>
            </w:r>
            <w:r w:rsidR="004A5276">
              <w:rPr>
                <w:noProof/>
                <w:webHidden/>
              </w:rPr>
              <w:t>52</w:t>
            </w:r>
            <w:r w:rsidR="00B16A0C">
              <w:rPr>
                <w:noProof/>
                <w:webHidden/>
              </w:rPr>
              <w:fldChar w:fldCharType="end"/>
            </w:r>
          </w:hyperlink>
        </w:p>
        <w:p w:rsidR="00B16A0C" w:rsidRDefault="00BC2C17">
          <w:pPr>
            <w:pStyle w:val="TDC3"/>
            <w:rPr>
              <w:rFonts w:eastAsiaTheme="minorEastAsia"/>
              <w:noProof/>
              <w:lang w:eastAsia="pt-PT"/>
            </w:rPr>
          </w:pPr>
          <w:hyperlink w:anchor="_Toc421529713" w:history="1">
            <w:r w:rsidR="00B16A0C" w:rsidRPr="00412724">
              <w:rPr>
                <w:rStyle w:val="Hipervnculo"/>
                <w:rFonts w:ascii="Garamond" w:hAnsi="Garamond"/>
                <w:noProof/>
              </w:rPr>
              <w:t>Peru</w:t>
            </w:r>
            <w:r w:rsidR="00B16A0C">
              <w:rPr>
                <w:noProof/>
                <w:webHidden/>
              </w:rPr>
              <w:tab/>
            </w:r>
            <w:r w:rsidR="00B16A0C">
              <w:rPr>
                <w:noProof/>
                <w:webHidden/>
              </w:rPr>
              <w:fldChar w:fldCharType="begin"/>
            </w:r>
            <w:r w:rsidR="00B16A0C">
              <w:rPr>
                <w:noProof/>
                <w:webHidden/>
              </w:rPr>
              <w:instrText xml:space="preserve"> PAGEREF _Toc421529713 \h </w:instrText>
            </w:r>
            <w:r w:rsidR="00B16A0C">
              <w:rPr>
                <w:noProof/>
                <w:webHidden/>
              </w:rPr>
            </w:r>
            <w:r w:rsidR="00B16A0C">
              <w:rPr>
                <w:noProof/>
                <w:webHidden/>
              </w:rPr>
              <w:fldChar w:fldCharType="separate"/>
            </w:r>
            <w:r w:rsidR="004A5276">
              <w:rPr>
                <w:noProof/>
                <w:webHidden/>
              </w:rPr>
              <w:t>52</w:t>
            </w:r>
            <w:r w:rsidR="00B16A0C">
              <w:rPr>
                <w:noProof/>
                <w:webHidden/>
              </w:rPr>
              <w:fldChar w:fldCharType="end"/>
            </w:r>
          </w:hyperlink>
        </w:p>
        <w:p w:rsidR="00B16A0C" w:rsidRDefault="00BC2C17">
          <w:pPr>
            <w:pStyle w:val="TDC3"/>
            <w:rPr>
              <w:rFonts w:eastAsiaTheme="minorEastAsia"/>
              <w:noProof/>
              <w:lang w:eastAsia="pt-PT"/>
            </w:rPr>
          </w:pPr>
          <w:hyperlink w:anchor="_Toc421529714" w:history="1">
            <w:r w:rsidR="00B16A0C" w:rsidRPr="00412724">
              <w:rPr>
                <w:rStyle w:val="Hipervnculo"/>
                <w:rFonts w:ascii="Garamond" w:hAnsi="Garamond"/>
                <w:noProof/>
              </w:rPr>
              <w:t>Porto Rico</w:t>
            </w:r>
            <w:r w:rsidR="00B16A0C">
              <w:rPr>
                <w:noProof/>
                <w:webHidden/>
              </w:rPr>
              <w:tab/>
            </w:r>
            <w:r w:rsidR="00B16A0C">
              <w:rPr>
                <w:noProof/>
                <w:webHidden/>
              </w:rPr>
              <w:fldChar w:fldCharType="begin"/>
            </w:r>
            <w:r w:rsidR="00B16A0C">
              <w:rPr>
                <w:noProof/>
                <w:webHidden/>
              </w:rPr>
              <w:instrText xml:space="preserve"> PAGEREF _Toc421529714 \h </w:instrText>
            </w:r>
            <w:r w:rsidR="00B16A0C">
              <w:rPr>
                <w:noProof/>
                <w:webHidden/>
              </w:rPr>
            </w:r>
            <w:r w:rsidR="00B16A0C">
              <w:rPr>
                <w:noProof/>
                <w:webHidden/>
              </w:rPr>
              <w:fldChar w:fldCharType="separate"/>
            </w:r>
            <w:r w:rsidR="004A5276">
              <w:rPr>
                <w:noProof/>
                <w:webHidden/>
              </w:rPr>
              <w:t>55</w:t>
            </w:r>
            <w:r w:rsidR="00B16A0C">
              <w:rPr>
                <w:noProof/>
                <w:webHidden/>
              </w:rPr>
              <w:fldChar w:fldCharType="end"/>
            </w:r>
          </w:hyperlink>
        </w:p>
        <w:p w:rsidR="00B16A0C" w:rsidRDefault="00BC2C17">
          <w:pPr>
            <w:pStyle w:val="TDC2"/>
            <w:rPr>
              <w:rFonts w:eastAsiaTheme="minorEastAsia"/>
              <w:noProof/>
              <w:lang w:eastAsia="pt-PT"/>
            </w:rPr>
          </w:pPr>
          <w:hyperlink w:anchor="_Toc421529715" w:history="1">
            <w:r w:rsidR="00B16A0C" w:rsidRPr="00412724">
              <w:rPr>
                <w:rStyle w:val="Hipervnculo"/>
                <w:rFonts w:ascii="Garamond" w:hAnsi="Garamond"/>
                <w:noProof/>
              </w:rPr>
              <w:t>Uruguai</w:t>
            </w:r>
            <w:r w:rsidR="00B16A0C">
              <w:rPr>
                <w:noProof/>
                <w:webHidden/>
              </w:rPr>
              <w:tab/>
            </w:r>
            <w:r w:rsidR="00B16A0C">
              <w:rPr>
                <w:noProof/>
                <w:webHidden/>
              </w:rPr>
              <w:fldChar w:fldCharType="begin"/>
            </w:r>
            <w:r w:rsidR="00B16A0C">
              <w:rPr>
                <w:noProof/>
                <w:webHidden/>
              </w:rPr>
              <w:instrText xml:space="preserve"> PAGEREF _Toc421529715 \h </w:instrText>
            </w:r>
            <w:r w:rsidR="00B16A0C">
              <w:rPr>
                <w:noProof/>
                <w:webHidden/>
              </w:rPr>
            </w:r>
            <w:r w:rsidR="00B16A0C">
              <w:rPr>
                <w:noProof/>
                <w:webHidden/>
              </w:rPr>
              <w:fldChar w:fldCharType="separate"/>
            </w:r>
            <w:r w:rsidR="004A5276">
              <w:rPr>
                <w:noProof/>
                <w:webHidden/>
              </w:rPr>
              <w:t>59</w:t>
            </w:r>
            <w:r w:rsidR="00B16A0C">
              <w:rPr>
                <w:noProof/>
                <w:webHidden/>
              </w:rPr>
              <w:fldChar w:fldCharType="end"/>
            </w:r>
          </w:hyperlink>
        </w:p>
        <w:p w:rsidR="00B16A0C" w:rsidRDefault="00BC2C17">
          <w:pPr>
            <w:pStyle w:val="TDC3"/>
            <w:rPr>
              <w:rFonts w:eastAsiaTheme="minorEastAsia"/>
              <w:noProof/>
              <w:lang w:eastAsia="pt-PT"/>
            </w:rPr>
          </w:pPr>
          <w:hyperlink w:anchor="_Toc421529716" w:history="1">
            <w:r w:rsidR="00B16A0C" w:rsidRPr="00412724">
              <w:rPr>
                <w:rStyle w:val="Hipervnculo"/>
                <w:rFonts w:ascii="Garamond" w:hAnsi="Garamond"/>
                <w:noProof/>
              </w:rPr>
              <w:t>Venezuela</w:t>
            </w:r>
            <w:r w:rsidR="00B16A0C">
              <w:rPr>
                <w:noProof/>
                <w:webHidden/>
              </w:rPr>
              <w:tab/>
            </w:r>
            <w:r w:rsidR="00B16A0C">
              <w:rPr>
                <w:noProof/>
                <w:webHidden/>
              </w:rPr>
              <w:fldChar w:fldCharType="begin"/>
            </w:r>
            <w:r w:rsidR="00B16A0C">
              <w:rPr>
                <w:noProof/>
                <w:webHidden/>
              </w:rPr>
              <w:instrText xml:space="preserve"> PAGEREF _Toc421529716 \h </w:instrText>
            </w:r>
            <w:r w:rsidR="00B16A0C">
              <w:rPr>
                <w:noProof/>
                <w:webHidden/>
              </w:rPr>
            </w:r>
            <w:r w:rsidR="00B16A0C">
              <w:rPr>
                <w:noProof/>
                <w:webHidden/>
              </w:rPr>
              <w:fldChar w:fldCharType="separate"/>
            </w:r>
            <w:r w:rsidR="004A5276">
              <w:rPr>
                <w:noProof/>
                <w:webHidden/>
              </w:rPr>
              <w:t>61</w:t>
            </w:r>
            <w:r w:rsidR="00B16A0C">
              <w:rPr>
                <w:noProof/>
                <w:webHidden/>
              </w:rPr>
              <w:fldChar w:fldCharType="end"/>
            </w:r>
          </w:hyperlink>
        </w:p>
        <w:p w:rsidR="00B16A0C" w:rsidRDefault="00BC2C17">
          <w:pPr>
            <w:pStyle w:val="TDC1"/>
            <w:rPr>
              <w:rFonts w:eastAsiaTheme="minorEastAsia"/>
              <w:noProof/>
              <w:lang w:eastAsia="pt-PT"/>
            </w:rPr>
          </w:pPr>
          <w:hyperlink w:anchor="_Toc421529717" w:history="1">
            <w:r w:rsidR="00B16A0C" w:rsidRPr="00412724">
              <w:rPr>
                <w:rStyle w:val="Hipervnculo"/>
                <w:rFonts w:ascii="Garamond" w:eastAsiaTheme="majorEastAsia" w:hAnsi="Garamond" w:cstheme="majorBidi"/>
                <w:noProof/>
              </w:rPr>
              <w:t>2.2</w:t>
            </w:r>
            <w:r w:rsidR="00CA0AAC">
              <w:rPr>
                <w:rStyle w:val="Hipervnculo"/>
                <w:rFonts w:ascii="Garamond" w:eastAsiaTheme="majorEastAsia" w:hAnsi="Garamond" w:cstheme="majorBidi"/>
                <w:noProof/>
              </w:rPr>
              <w:t>.</w:t>
            </w:r>
            <w:r w:rsidR="00B16A0C" w:rsidRPr="00412724">
              <w:rPr>
                <w:rStyle w:val="Hipervnculo"/>
                <w:rFonts w:ascii="Garamond" w:eastAsiaTheme="majorEastAsia" w:hAnsi="Garamond" w:cstheme="majorBidi"/>
                <w:noProof/>
              </w:rPr>
              <w:t xml:space="preserve"> Decisões jurisdicionais significativas</w:t>
            </w:r>
            <w:r w:rsidR="00B16A0C">
              <w:rPr>
                <w:noProof/>
                <w:webHidden/>
              </w:rPr>
              <w:tab/>
            </w:r>
            <w:r w:rsidR="00B16A0C">
              <w:rPr>
                <w:noProof/>
                <w:webHidden/>
              </w:rPr>
              <w:fldChar w:fldCharType="begin"/>
            </w:r>
            <w:r w:rsidR="00B16A0C">
              <w:rPr>
                <w:noProof/>
                <w:webHidden/>
              </w:rPr>
              <w:instrText xml:space="preserve"> PAGEREF _Toc421529717 \h </w:instrText>
            </w:r>
            <w:r w:rsidR="00B16A0C">
              <w:rPr>
                <w:noProof/>
                <w:webHidden/>
              </w:rPr>
            </w:r>
            <w:r w:rsidR="00B16A0C">
              <w:rPr>
                <w:noProof/>
                <w:webHidden/>
              </w:rPr>
              <w:fldChar w:fldCharType="separate"/>
            </w:r>
            <w:r w:rsidR="004A5276">
              <w:rPr>
                <w:noProof/>
                <w:webHidden/>
              </w:rPr>
              <w:t>63</w:t>
            </w:r>
            <w:r w:rsidR="00B16A0C">
              <w:rPr>
                <w:noProof/>
                <w:webHidden/>
              </w:rPr>
              <w:fldChar w:fldCharType="end"/>
            </w:r>
          </w:hyperlink>
        </w:p>
        <w:p w:rsidR="00B16A0C" w:rsidRDefault="00BC2C17">
          <w:pPr>
            <w:pStyle w:val="TDC3"/>
            <w:rPr>
              <w:rFonts w:eastAsiaTheme="minorEastAsia"/>
              <w:noProof/>
              <w:lang w:eastAsia="pt-PT"/>
            </w:rPr>
          </w:pPr>
          <w:hyperlink w:anchor="_Toc421529718" w:history="1">
            <w:r w:rsidR="00B16A0C" w:rsidRPr="00412724">
              <w:rPr>
                <w:rStyle w:val="Hipervnculo"/>
                <w:rFonts w:ascii="Garamond" w:hAnsi="Garamond"/>
                <w:noProof/>
              </w:rPr>
              <w:t>Argentina</w:t>
            </w:r>
            <w:r w:rsidR="00B16A0C">
              <w:rPr>
                <w:noProof/>
                <w:webHidden/>
              </w:rPr>
              <w:tab/>
            </w:r>
            <w:r w:rsidR="00B16A0C">
              <w:rPr>
                <w:noProof/>
                <w:webHidden/>
              </w:rPr>
              <w:fldChar w:fldCharType="begin"/>
            </w:r>
            <w:r w:rsidR="00B16A0C">
              <w:rPr>
                <w:noProof/>
                <w:webHidden/>
              </w:rPr>
              <w:instrText xml:space="preserve"> PAGEREF _Toc421529718 \h </w:instrText>
            </w:r>
            <w:r w:rsidR="00B16A0C">
              <w:rPr>
                <w:noProof/>
                <w:webHidden/>
              </w:rPr>
            </w:r>
            <w:r w:rsidR="00B16A0C">
              <w:rPr>
                <w:noProof/>
                <w:webHidden/>
              </w:rPr>
              <w:fldChar w:fldCharType="separate"/>
            </w:r>
            <w:r w:rsidR="004A5276">
              <w:rPr>
                <w:noProof/>
                <w:webHidden/>
              </w:rPr>
              <w:t>64</w:t>
            </w:r>
            <w:r w:rsidR="00B16A0C">
              <w:rPr>
                <w:noProof/>
                <w:webHidden/>
              </w:rPr>
              <w:fldChar w:fldCharType="end"/>
            </w:r>
          </w:hyperlink>
        </w:p>
        <w:p w:rsidR="00B16A0C" w:rsidRDefault="00BC2C17">
          <w:pPr>
            <w:pStyle w:val="TDC3"/>
            <w:rPr>
              <w:rFonts w:eastAsiaTheme="minorEastAsia"/>
              <w:noProof/>
              <w:lang w:eastAsia="pt-PT"/>
            </w:rPr>
          </w:pPr>
          <w:hyperlink w:anchor="_Toc421529719" w:history="1">
            <w:r w:rsidR="00B16A0C" w:rsidRPr="00412724">
              <w:rPr>
                <w:rStyle w:val="Hipervnculo"/>
                <w:rFonts w:ascii="Garamond" w:hAnsi="Garamond"/>
                <w:noProof/>
              </w:rPr>
              <w:t>Bolívia</w:t>
            </w:r>
            <w:r w:rsidR="00B16A0C">
              <w:rPr>
                <w:noProof/>
                <w:webHidden/>
              </w:rPr>
              <w:tab/>
            </w:r>
            <w:r w:rsidR="00B16A0C">
              <w:rPr>
                <w:noProof/>
                <w:webHidden/>
              </w:rPr>
              <w:fldChar w:fldCharType="begin"/>
            </w:r>
            <w:r w:rsidR="00B16A0C">
              <w:rPr>
                <w:noProof/>
                <w:webHidden/>
              </w:rPr>
              <w:instrText xml:space="preserve"> PAGEREF _Toc421529719 \h </w:instrText>
            </w:r>
            <w:r w:rsidR="00B16A0C">
              <w:rPr>
                <w:noProof/>
                <w:webHidden/>
              </w:rPr>
            </w:r>
            <w:r w:rsidR="00B16A0C">
              <w:rPr>
                <w:noProof/>
                <w:webHidden/>
              </w:rPr>
              <w:fldChar w:fldCharType="separate"/>
            </w:r>
            <w:r w:rsidR="004A5276">
              <w:rPr>
                <w:noProof/>
                <w:webHidden/>
              </w:rPr>
              <w:t>65</w:t>
            </w:r>
            <w:r w:rsidR="00B16A0C">
              <w:rPr>
                <w:noProof/>
                <w:webHidden/>
              </w:rPr>
              <w:fldChar w:fldCharType="end"/>
            </w:r>
          </w:hyperlink>
        </w:p>
        <w:p w:rsidR="00B16A0C" w:rsidRDefault="00BC2C17">
          <w:pPr>
            <w:pStyle w:val="TDC3"/>
            <w:rPr>
              <w:rFonts w:eastAsiaTheme="minorEastAsia"/>
              <w:noProof/>
              <w:lang w:eastAsia="pt-PT"/>
            </w:rPr>
          </w:pPr>
          <w:hyperlink w:anchor="_Toc421529720" w:history="1">
            <w:r w:rsidR="00B16A0C" w:rsidRPr="00412724">
              <w:rPr>
                <w:rStyle w:val="Hipervnculo"/>
                <w:rFonts w:ascii="Garamond" w:hAnsi="Garamond"/>
                <w:noProof/>
              </w:rPr>
              <w:t>Colômbia</w:t>
            </w:r>
            <w:r w:rsidR="00B16A0C">
              <w:rPr>
                <w:noProof/>
                <w:webHidden/>
              </w:rPr>
              <w:tab/>
            </w:r>
            <w:r w:rsidR="00B16A0C">
              <w:rPr>
                <w:noProof/>
                <w:webHidden/>
              </w:rPr>
              <w:fldChar w:fldCharType="begin"/>
            </w:r>
            <w:r w:rsidR="00B16A0C">
              <w:rPr>
                <w:noProof/>
                <w:webHidden/>
              </w:rPr>
              <w:instrText xml:space="preserve"> PAGEREF _Toc421529720 \h </w:instrText>
            </w:r>
            <w:r w:rsidR="00B16A0C">
              <w:rPr>
                <w:noProof/>
                <w:webHidden/>
              </w:rPr>
            </w:r>
            <w:r w:rsidR="00B16A0C">
              <w:rPr>
                <w:noProof/>
                <w:webHidden/>
              </w:rPr>
              <w:fldChar w:fldCharType="separate"/>
            </w:r>
            <w:r w:rsidR="004A5276">
              <w:rPr>
                <w:noProof/>
                <w:webHidden/>
              </w:rPr>
              <w:t>65</w:t>
            </w:r>
            <w:r w:rsidR="00B16A0C">
              <w:rPr>
                <w:noProof/>
                <w:webHidden/>
              </w:rPr>
              <w:fldChar w:fldCharType="end"/>
            </w:r>
          </w:hyperlink>
        </w:p>
        <w:p w:rsidR="00B16A0C" w:rsidRDefault="00BC2C17">
          <w:pPr>
            <w:pStyle w:val="TDC3"/>
            <w:rPr>
              <w:rFonts w:eastAsiaTheme="minorEastAsia"/>
              <w:noProof/>
              <w:lang w:eastAsia="pt-PT"/>
            </w:rPr>
          </w:pPr>
          <w:hyperlink w:anchor="_Toc421529721" w:history="1">
            <w:r w:rsidR="00B16A0C" w:rsidRPr="00412724">
              <w:rPr>
                <w:rStyle w:val="Hipervnculo"/>
                <w:rFonts w:ascii="Garamond" w:eastAsiaTheme="minorHAnsi" w:hAnsi="Garamond"/>
                <w:noProof/>
              </w:rPr>
              <w:t>Costa Rica</w:t>
            </w:r>
            <w:r w:rsidR="00B16A0C">
              <w:rPr>
                <w:noProof/>
                <w:webHidden/>
              </w:rPr>
              <w:tab/>
            </w:r>
            <w:r w:rsidR="00B16A0C">
              <w:rPr>
                <w:noProof/>
                <w:webHidden/>
              </w:rPr>
              <w:fldChar w:fldCharType="begin"/>
            </w:r>
            <w:r w:rsidR="00B16A0C">
              <w:rPr>
                <w:noProof/>
                <w:webHidden/>
              </w:rPr>
              <w:instrText xml:space="preserve"> PAGEREF _Toc421529721 \h </w:instrText>
            </w:r>
            <w:r w:rsidR="00B16A0C">
              <w:rPr>
                <w:noProof/>
                <w:webHidden/>
              </w:rPr>
            </w:r>
            <w:r w:rsidR="00B16A0C">
              <w:rPr>
                <w:noProof/>
                <w:webHidden/>
              </w:rPr>
              <w:fldChar w:fldCharType="separate"/>
            </w:r>
            <w:r w:rsidR="004A5276">
              <w:rPr>
                <w:noProof/>
                <w:webHidden/>
              </w:rPr>
              <w:t>65</w:t>
            </w:r>
            <w:r w:rsidR="00B16A0C">
              <w:rPr>
                <w:noProof/>
                <w:webHidden/>
              </w:rPr>
              <w:fldChar w:fldCharType="end"/>
            </w:r>
          </w:hyperlink>
        </w:p>
        <w:p w:rsidR="00B16A0C" w:rsidRDefault="00BC2C17">
          <w:pPr>
            <w:pStyle w:val="TDC3"/>
            <w:rPr>
              <w:rFonts w:eastAsiaTheme="minorEastAsia"/>
              <w:noProof/>
              <w:lang w:eastAsia="pt-PT"/>
            </w:rPr>
          </w:pPr>
          <w:hyperlink w:anchor="_Toc421529722" w:history="1">
            <w:r w:rsidR="00B16A0C" w:rsidRPr="00412724">
              <w:rPr>
                <w:rStyle w:val="Hipervnculo"/>
                <w:rFonts w:ascii="Garamond" w:hAnsi="Garamond"/>
                <w:noProof/>
              </w:rPr>
              <w:t>El Salvador</w:t>
            </w:r>
            <w:r w:rsidR="00B16A0C">
              <w:rPr>
                <w:noProof/>
                <w:webHidden/>
              </w:rPr>
              <w:tab/>
            </w:r>
            <w:r w:rsidR="00B16A0C">
              <w:rPr>
                <w:noProof/>
                <w:webHidden/>
              </w:rPr>
              <w:fldChar w:fldCharType="begin"/>
            </w:r>
            <w:r w:rsidR="00B16A0C">
              <w:rPr>
                <w:noProof/>
                <w:webHidden/>
              </w:rPr>
              <w:instrText xml:space="preserve"> PAGEREF _Toc421529722 \h </w:instrText>
            </w:r>
            <w:r w:rsidR="00B16A0C">
              <w:rPr>
                <w:noProof/>
                <w:webHidden/>
              </w:rPr>
            </w:r>
            <w:r w:rsidR="00B16A0C">
              <w:rPr>
                <w:noProof/>
                <w:webHidden/>
              </w:rPr>
              <w:fldChar w:fldCharType="separate"/>
            </w:r>
            <w:r w:rsidR="004A5276">
              <w:rPr>
                <w:noProof/>
                <w:webHidden/>
              </w:rPr>
              <w:t>66</w:t>
            </w:r>
            <w:r w:rsidR="00B16A0C">
              <w:rPr>
                <w:noProof/>
                <w:webHidden/>
              </w:rPr>
              <w:fldChar w:fldCharType="end"/>
            </w:r>
          </w:hyperlink>
        </w:p>
        <w:p w:rsidR="00B16A0C" w:rsidRDefault="00BC2C17">
          <w:pPr>
            <w:pStyle w:val="TDC3"/>
            <w:rPr>
              <w:rFonts w:eastAsiaTheme="minorEastAsia"/>
              <w:noProof/>
              <w:lang w:eastAsia="pt-PT"/>
            </w:rPr>
          </w:pPr>
          <w:hyperlink w:anchor="_Toc421529723" w:history="1">
            <w:r w:rsidR="00B16A0C" w:rsidRPr="00412724">
              <w:rPr>
                <w:rStyle w:val="Hipervnculo"/>
                <w:rFonts w:ascii="Garamond" w:hAnsi="Garamond"/>
                <w:noProof/>
              </w:rPr>
              <w:t>Honduras</w:t>
            </w:r>
            <w:r w:rsidR="00B16A0C">
              <w:rPr>
                <w:noProof/>
                <w:webHidden/>
              </w:rPr>
              <w:tab/>
            </w:r>
            <w:r w:rsidR="00B16A0C">
              <w:rPr>
                <w:noProof/>
                <w:webHidden/>
              </w:rPr>
              <w:fldChar w:fldCharType="begin"/>
            </w:r>
            <w:r w:rsidR="00B16A0C">
              <w:rPr>
                <w:noProof/>
                <w:webHidden/>
              </w:rPr>
              <w:instrText xml:space="preserve"> PAGEREF _Toc421529723 \h </w:instrText>
            </w:r>
            <w:r w:rsidR="00B16A0C">
              <w:rPr>
                <w:noProof/>
                <w:webHidden/>
              </w:rPr>
            </w:r>
            <w:r w:rsidR="00B16A0C">
              <w:rPr>
                <w:noProof/>
                <w:webHidden/>
              </w:rPr>
              <w:fldChar w:fldCharType="separate"/>
            </w:r>
            <w:r w:rsidR="004A5276">
              <w:rPr>
                <w:noProof/>
                <w:webHidden/>
              </w:rPr>
              <w:t>67</w:t>
            </w:r>
            <w:r w:rsidR="00B16A0C">
              <w:rPr>
                <w:noProof/>
                <w:webHidden/>
              </w:rPr>
              <w:fldChar w:fldCharType="end"/>
            </w:r>
          </w:hyperlink>
        </w:p>
        <w:p w:rsidR="00B16A0C" w:rsidRDefault="00BC2C17">
          <w:pPr>
            <w:pStyle w:val="TDC3"/>
            <w:rPr>
              <w:rFonts w:eastAsiaTheme="minorEastAsia"/>
              <w:noProof/>
              <w:lang w:eastAsia="pt-PT"/>
            </w:rPr>
          </w:pPr>
          <w:hyperlink w:anchor="_Toc421529724" w:history="1">
            <w:r w:rsidR="00B16A0C" w:rsidRPr="00412724">
              <w:rPr>
                <w:rStyle w:val="Hipervnculo"/>
                <w:rFonts w:ascii="Garamond" w:hAnsi="Garamond"/>
                <w:noProof/>
              </w:rPr>
              <w:t>México</w:t>
            </w:r>
            <w:r w:rsidR="00B16A0C">
              <w:rPr>
                <w:noProof/>
                <w:webHidden/>
              </w:rPr>
              <w:tab/>
            </w:r>
            <w:r w:rsidR="00B16A0C">
              <w:rPr>
                <w:noProof/>
                <w:webHidden/>
              </w:rPr>
              <w:fldChar w:fldCharType="begin"/>
            </w:r>
            <w:r w:rsidR="00B16A0C">
              <w:rPr>
                <w:noProof/>
                <w:webHidden/>
              </w:rPr>
              <w:instrText xml:space="preserve"> PAGEREF _Toc421529724 \h </w:instrText>
            </w:r>
            <w:r w:rsidR="00B16A0C">
              <w:rPr>
                <w:noProof/>
                <w:webHidden/>
              </w:rPr>
            </w:r>
            <w:r w:rsidR="00B16A0C">
              <w:rPr>
                <w:noProof/>
                <w:webHidden/>
              </w:rPr>
              <w:fldChar w:fldCharType="separate"/>
            </w:r>
            <w:r w:rsidR="004A5276">
              <w:rPr>
                <w:noProof/>
                <w:webHidden/>
              </w:rPr>
              <w:t>67</w:t>
            </w:r>
            <w:r w:rsidR="00B16A0C">
              <w:rPr>
                <w:noProof/>
                <w:webHidden/>
              </w:rPr>
              <w:fldChar w:fldCharType="end"/>
            </w:r>
          </w:hyperlink>
        </w:p>
        <w:p w:rsidR="00B16A0C" w:rsidRDefault="00BC2C17">
          <w:pPr>
            <w:pStyle w:val="TDC3"/>
            <w:rPr>
              <w:rFonts w:eastAsiaTheme="minorEastAsia"/>
              <w:noProof/>
              <w:lang w:eastAsia="pt-PT"/>
            </w:rPr>
          </w:pPr>
          <w:hyperlink w:anchor="_Toc421529725" w:history="1">
            <w:r w:rsidR="00B16A0C" w:rsidRPr="00412724">
              <w:rPr>
                <w:rStyle w:val="Hipervnculo"/>
                <w:rFonts w:ascii="Garamond" w:hAnsi="Garamond"/>
                <w:noProof/>
              </w:rPr>
              <w:t>Paraguai</w:t>
            </w:r>
            <w:r w:rsidR="00B16A0C">
              <w:rPr>
                <w:noProof/>
                <w:webHidden/>
              </w:rPr>
              <w:tab/>
            </w:r>
            <w:r w:rsidR="00B16A0C">
              <w:rPr>
                <w:noProof/>
                <w:webHidden/>
              </w:rPr>
              <w:fldChar w:fldCharType="begin"/>
            </w:r>
            <w:r w:rsidR="00B16A0C">
              <w:rPr>
                <w:noProof/>
                <w:webHidden/>
              </w:rPr>
              <w:instrText xml:space="preserve"> PAGEREF _Toc421529725 \h </w:instrText>
            </w:r>
            <w:r w:rsidR="00B16A0C">
              <w:rPr>
                <w:noProof/>
                <w:webHidden/>
              </w:rPr>
            </w:r>
            <w:r w:rsidR="00B16A0C">
              <w:rPr>
                <w:noProof/>
                <w:webHidden/>
              </w:rPr>
              <w:fldChar w:fldCharType="separate"/>
            </w:r>
            <w:r w:rsidR="004A5276">
              <w:rPr>
                <w:noProof/>
                <w:webHidden/>
              </w:rPr>
              <w:t>68</w:t>
            </w:r>
            <w:r w:rsidR="00B16A0C">
              <w:rPr>
                <w:noProof/>
                <w:webHidden/>
              </w:rPr>
              <w:fldChar w:fldCharType="end"/>
            </w:r>
          </w:hyperlink>
        </w:p>
        <w:p w:rsidR="00B16A0C" w:rsidRDefault="00BC2C17">
          <w:pPr>
            <w:pStyle w:val="TDC3"/>
            <w:rPr>
              <w:rFonts w:eastAsiaTheme="minorEastAsia"/>
              <w:noProof/>
              <w:lang w:eastAsia="pt-PT"/>
            </w:rPr>
          </w:pPr>
          <w:hyperlink w:anchor="_Toc421529726" w:history="1">
            <w:r w:rsidR="00B16A0C" w:rsidRPr="00412724">
              <w:rPr>
                <w:rStyle w:val="Hipervnculo"/>
                <w:rFonts w:ascii="Garamond" w:hAnsi="Garamond"/>
                <w:noProof/>
              </w:rPr>
              <w:t>Peru</w:t>
            </w:r>
            <w:r w:rsidR="00B16A0C">
              <w:rPr>
                <w:noProof/>
                <w:webHidden/>
              </w:rPr>
              <w:tab/>
            </w:r>
            <w:r w:rsidR="00B16A0C">
              <w:rPr>
                <w:noProof/>
                <w:webHidden/>
              </w:rPr>
              <w:fldChar w:fldCharType="begin"/>
            </w:r>
            <w:r w:rsidR="00B16A0C">
              <w:rPr>
                <w:noProof/>
                <w:webHidden/>
              </w:rPr>
              <w:instrText xml:space="preserve"> PAGEREF _Toc421529726 \h </w:instrText>
            </w:r>
            <w:r w:rsidR="00B16A0C">
              <w:rPr>
                <w:noProof/>
                <w:webHidden/>
              </w:rPr>
            </w:r>
            <w:r w:rsidR="00B16A0C">
              <w:rPr>
                <w:noProof/>
                <w:webHidden/>
              </w:rPr>
              <w:fldChar w:fldCharType="separate"/>
            </w:r>
            <w:r w:rsidR="004A5276">
              <w:rPr>
                <w:noProof/>
                <w:webHidden/>
              </w:rPr>
              <w:t>68</w:t>
            </w:r>
            <w:r w:rsidR="00B16A0C">
              <w:rPr>
                <w:noProof/>
                <w:webHidden/>
              </w:rPr>
              <w:fldChar w:fldCharType="end"/>
            </w:r>
          </w:hyperlink>
        </w:p>
        <w:p w:rsidR="00B16A0C" w:rsidRDefault="00BC2C17">
          <w:pPr>
            <w:pStyle w:val="TDC3"/>
            <w:rPr>
              <w:rFonts w:eastAsiaTheme="minorEastAsia"/>
              <w:noProof/>
              <w:lang w:eastAsia="pt-PT"/>
            </w:rPr>
          </w:pPr>
          <w:hyperlink w:anchor="_Toc421529727" w:history="1">
            <w:r w:rsidR="00B16A0C" w:rsidRPr="00412724">
              <w:rPr>
                <w:rStyle w:val="Hipervnculo"/>
                <w:rFonts w:ascii="Garamond" w:hAnsi="Garamond"/>
                <w:noProof/>
              </w:rPr>
              <w:t>Porto Rico</w:t>
            </w:r>
            <w:r w:rsidR="00B16A0C">
              <w:rPr>
                <w:noProof/>
                <w:webHidden/>
              </w:rPr>
              <w:tab/>
            </w:r>
            <w:r w:rsidR="00B16A0C">
              <w:rPr>
                <w:noProof/>
                <w:webHidden/>
              </w:rPr>
              <w:fldChar w:fldCharType="begin"/>
            </w:r>
            <w:r w:rsidR="00B16A0C">
              <w:rPr>
                <w:noProof/>
                <w:webHidden/>
              </w:rPr>
              <w:instrText xml:space="preserve"> PAGEREF _Toc421529727 \h </w:instrText>
            </w:r>
            <w:r w:rsidR="00B16A0C">
              <w:rPr>
                <w:noProof/>
                <w:webHidden/>
              </w:rPr>
            </w:r>
            <w:r w:rsidR="00B16A0C">
              <w:rPr>
                <w:noProof/>
                <w:webHidden/>
              </w:rPr>
              <w:fldChar w:fldCharType="separate"/>
            </w:r>
            <w:r w:rsidR="004A5276">
              <w:rPr>
                <w:noProof/>
                <w:webHidden/>
              </w:rPr>
              <w:t>68</w:t>
            </w:r>
            <w:r w:rsidR="00B16A0C">
              <w:rPr>
                <w:noProof/>
                <w:webHidden/>
              </w:rPr>
              <w:fldChar w:fldCharType="end"/>
            </w:r>
          </w:hyperlink>
        </w:p>
        <w:p w:rsidR="00B16A0C" w:rsidRDefault="00BC2C17">
          <w:pPr>
            <w:pStyle w:val="TDC3"/>
            <w:rPr>
              <w:rFonts w:eastAsiaTheme="minorEastAsia"/>
              <w:noProof/>
              <w:lang w:eastAsia="pt-PT"/>
            </w:rPr>
          </w:pPr>
          <w:hyperlink w:anchor="_Toc421529728" w:history="1">
            <w:r w:rsidR="00B16A0C" w:rsidRPr="00412724">
              <w:rPr>
                <w:rStyle w:val="Hipervnculo"/>
                <w:rFonts w:ascii="Garamond" w:hAnsi="Garamond"/>
                <w:noProof/>
              </w:rPr>
              <w:t>Uruguai</w:t>
            </w:r>
            <w:r w:rsidR="00B16A0C">
              <w:rPr>
                <w:noProof/>
                <w:webHidden/>
              </w:rPr>
              <w:tab/>
            </w:r>
            <w:r w:rsidR="00B16A0C">
              <w:rPr>
                <w:noProof/>
                <w:webHidden/>
              </w:rPr>
              <w:fldChar w:fldCharType="begin"/>
            </w:r>
            <w:r w:rsidR="00B16A0C">
              <w:rPr>
                <w:noProof/>
                <w:webHidden/>
              </w:rPr>
              <w:instrText xml:space="preserve"> PAGEREF _Toc421529728 \h </w:instrText>
            </w:r>
            <w:r w:rsidR="00B16A0C">
              <w:rPr>
                <w:noProof/>
                <w:webHidden/>
              </w:rPr>
            </w:r>
            <w:r w:rsidR="00B16A0C">
              <w:rPr>
                <w:noProof/>
                <w:webHidden/>
              </w:rPr>
              <w:fldChar w:fldCharType="separate"/>
            </w:r>
            <w:r w:rsidR="004A5276">
              <w:rPr>
                <w:noProof/>
                <w:webHidden/>
              </w:rPr>
              <w:t>69</w:t>
            </w:r>
            <w:r w:rsidR="00B16A0C">
              <w:rPr>
                <w:noProof/>
                <w:webHidden/>
              </w:rPr>
              <w:fldChar w:fldCharType="end"/>
            </w:r>
          </w:hyperlink>
        </w:p>
        <w:p w:rsidR="00B16A0C" w:rsidRDefault="00BC2C17">
          <w:pPr>
            <w:pStyle w:val="TDC3"/>
            <w:rPr>
              <w:rFonts w:eastAsiaTheme="minorEastAsia"/>
              <w:noProof/>
              <w:lang w:eastAsia="pt-PT"/>
            </w:rPr>
          </w:pPr>
          <w:hyperlink w:anchor="_Toc421529729" w:history="1">
            <w:r w:rsidR="00B16A0C" w:rsidRPr="00412724">
              <w:rPr>
                <w:rStyle w:val="Hipervnculo"/>
                <w:rFonts w:ascii="Garamond" w:hAnsi="Garamond"/>
                <w:noProof/>
              </w:rPr>
              <w:t>Venezuela</w:t>
            </w:r>
            <w:r w:rsidR="00B16A0C">
              <w:rPr>
                <w:noProof/>
                <w:webHidden/>
              </w:rPr>
              <w:tab/>
            </w:r>
            <w:r w:rsidR="00B16A0C">
              <w:rPr>
                <w:noProof/>
                <w:webHidden/>
              </w:rPr>
              <w:fldChar w:fldCharType="begin"/>
            </w:r>
            <w:r w:rsidR="00B16A0C">
              <w:rPr>
                <w:noProof/>
                <w:webHidden/>
              </w:rPr>
              <w:instrText xml:space="preserve"> PAGEREF _Toc421529729 \h </w:instrText>
            </w:r>
            <w:r w:rsidR="00B16A0C">
              <w:rPr>
                <w:noProof/>
                <w:webHidden/>
              </w:rPr>
            </w:r>
            <w:r w:rsidR="00B16A0C">
              <w:rPr>
                <w:noProof/>
                <w:webHidden/>
              </w:rPr>
              <w:fldChar w:fldCharType="separate"/>
            </w:r>
            <w:r w:rsidR="004A5276">
              <w:rPr>
                <w:noProof/>
                <w:webHidden/>
              </w:rPr>
              <w:t>69</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730" w:history="1">
            <w:r w:rsidR="00B16A0C" w:rsidRPr="00412724">
              <w:rPr>
                <w:rStyle w:val="Hipervnculo"/>
                <w:rFonts w:ascii="Garamond" w:hAnsi="Garamond"/>
                <w:noProof/>
              </w:rPr>
              <w:t>2.3</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Aspetos Institucionais</w:t>
            </w:r>
            <w:r w:rsidR="00B16A0C">
              <w:rPr>
                <w:noProof/>
                <w:webHidden/>
              </w:rPr>
              <w:tab/>
            </w:r>
            <w:r w:rsidR="00B16A0C">
              <w:rPr>
                <w:noProof/>
                <w:webHidden/>
              </w:rPr>
              <w:fldChar w:fldCharType="begin"/>
            </w:r>
            <w:r w:rsidR="00B16A0C">
              <w:rPr>
                <w:noProof/>
                <w:webHidden/>
              </w:rPr>
              <w:instrText xml:space="preserve"> PAGEREF _Toc421529730 \h </w:instrText>
            </w:r>
            <w:r w:rsidR="00B16A0C">
              <w:rPr>
                <w:noProof/>
                <w:webHidden/>
              </w:rPr>
            </w:r>
            <w:r w:rsidR="00B16A0C">
              <w:rPr>
                <w:noProof/>
                <w:webHidden/>
              </w:rPr>
              <w:fldChar w:fldCharType="separate"/>
            </w:r>
            <w:r w:rsidR="004A5276">
              <w:rPr>
                <w:noProof/>
                <w:webHidden/>
              </w:rPr>
              <w:t>69</w:t>
            </w:r>
            <w:r w:rsidR="00B16A0C">
              <w:rPr>
                <w:noProof/>
                <w:webHidden/>
              </w:rPr>
              <w:fldChar w:fldCharType="end"/>
            </w:r>
          </w:hyperlink>
        </w:p>
        <w:p w:rsidR="00B16A0C" w:rsidRDefault="00BC2C17">
          <w:pPr>
            <w:pStyle w:val="TDC3"/>
            <w:rPr>
              <w:rFonts w:eastAsiaTheme="minorEastAsia"/>
              <w:noProof/>
              <w:lang w:eastAsia="pt-PT"/>
            </w:rPr>
          </w:pPr>
          <w:hyperlink w:anchor="_Toc421529731" w:history="1">
            <w:r w:rsidR="00B16A0C" w:rsidRPr="00412724">
              <w:rPr>
                <w:rStyle w:val="Hipervnculo"/>
                <w:rFonts w:ascii="Garamond" w:hAnsi="Garamond"/>
                <w:noProof/>
              </w:rPr>
              <w:t>Argentina</w:t>
            </w:r>
            <w:r w:rsidR="00B16A0C">
              <w:rPr>
                <w:noProof/>
                <w:webHidden/>
              </w:rPr>
              <w:tab/>
            </w:r>
            <w:r w:rsidR="00B16A0C">
              <w:rPr>
                <w:noProof/>
                <w:webHidden/>
              </w:rPr>
              <w:fldChar w:fldCharType="begin"/>
            </w:r>
            <w:r w:rsidR="00B16A0C">
              <w:rPr>
                <w:noProof/>
                <w:webHidden/>
              </w:rPr>
              <w:instrText xml:space="preserve"> PAGEREF _Toc421529731 \h </w:instrText>
            </w:r>
            <w:r w:rsidR="00B16A0C">
              <w:rPr>
                <w:noProof/>
                <w:webHidden/>
              </w:rPr>
            </w:r>
            <w:r w:rsidR="00B16A0C">
              <w:rPr>
                <w:noProof/>
                <w:webHidden/>
              </w:rPr>
              <w:fldChar w:fldCharType="separate"/>
            </w:r>
            <w:r w:rsidR="004A5276">
              <w:rPr>
                <w:noProof/>
                <w:webHidden/>
              </w:rPr>
              <w:t>69</w:t>
            </w:r>
            <w:r w:rsidR="00B16A0C">
              <w:rPr>
                <w:noProof/>
                <w:webHidden/>
              </w:rPr>
              <w:fldChar w:fldCharType="end"/>
            </w:r>
          </w:hyperlink>
        </w:p>
        <w:p w:rsidR="00B16A0C" w:rsidRDefault="00BC2C17">
          <w:pPr>
            <w:pStyle w:val="TDC3"/>
            <w:rPr>
              <w:rFonts w:eastAsiaTheme="minorEastAsia"/>
              <w:noProof/>
              <w:lang w:eastAsia="pt-PT"/>
            </w:rPr>
          </w:pPr>
          <w:hyperlink w:anchor="_Toc421529732" w:history="1">
            <w:r w:rsidR="00B16A0C" w:rsidRPr="00412724">
              <w:rPr>
                <w:rStyle w:val="Hipervnculo"/>
                <w:rFonts w:ascii="Garamond" w:hAnsi="Garamond"/>
                <w:noProof/>
              </w:rPr>
              <w:t>Bolívia</w:t>
            </w:r>
            <w:r w:rsidR="00B16A0C">
              <w:rPr>
                <w:noProof/>
                <w:webHidden/>
              </w:rPr>
              <w:tab/>
            </w:r>
            <w:r w:rsidR="00B16A0C">
              <w:rPr>
                <w:noProof/>
                <w:webHidden/>
              </w:rPr>
              <w:fldChar w:fldCharType="begin"/>
            </w:r>
            <w:r w:rsidR="00B16A0C">
              <w:rPr>
                <w:noProof/>
                <w:webHidden/>
              </w:rPr>
              <w:instrText xml:space="preserve"> PAGEREF _Toc421529732 \h </w:instrText>
            </w:r>
            <w:r w:rsidR="00B16A0C">
              <w:rPr>
                <w:noProof/>
                <w:webHidden/>
              </w:rPr>
            </w:r>
            <w:r w:rsidR="00B16A0C">
              <w:rPr>
                <w:noProof/>
                <w:webHidden/>
              </w:rPr>
              <w:fldChar w:fldCharType="separate"/>
            </w:r>
            <w:r w:rsidR="004A5276">
              <w:rPr>
                <w:noProof/>
                <w:webHidden/>
              </w:rPr>
              <w:t>71</w:t>
            </w:r>
            <w:r w:rsidR="00B16A0C">
              <w:rPr>
                <w:noProof/>
                <w:webHidden/>
              </w:rPr>
              <w:fldChar w:fldCharType="end"/>
            </w:r>
          </w:hyperlink>
        </w:p>
        <w:p w:rsidR="00B16A0C" w:rsidRDefault="00BC2C17">
          <w:pPr>
            <w:pStyle w:val="TDC3"/>
            <w:rPr>
              <w:rFonts w:eastAsiaTheme="minorEastAsia"/>
              <w:noProof/>
              <w:lang w:eastAsia="pt-PT"/>
            </w:rPr>
          </w:pPr>
          <w:hyperlink w:anchor="_Toc421529733" w:history="1">
            <w:r w:rsidR="00B16A0C" w:rsidRPr="00412724">
              <w:rPr>
                <w:rStyle w:val="Hipervnculo"/>
                <w:rFonts w:ascii="Garamond" w:hAnsi="Garamond"/>
                <w:noProof/>
              </w:rPr>
              <w:t>Colômbia</w:t>
            </w:r>
            <w:r w:rsidR="00B16A0C">
              <w:rPr>
                <w:noProof/>
                <w:webHidden/>
              </w:rPr>
              <w:tab/>
            </w:r>
            <w:r w:rsidR="00B16A0C">
              <w:rPr>
                <w:noProof/>
                <w:webHidden/>
              </w:rPr>
              <w:fldChar w:fldCharType="begin"/>
            </w:r>
            <w:r w:rsidR="00B16A0C">
              <w:rPr>
                <w:noProof/>
                <w:webHidden/>
              </w:rPr>
              <w:instrText xml:space="preserve"> PAGEREF _Toc421529733 \h </w:instrText>
            </w:r>
            <w:r w:rsidR="00B16A0C">
              <w:rPr>
                <w:noProof/>
                <w:webHidden/>
              </w:rPr>
            </w:r>
            <w:r w:rsidR="00B16A0C">
              <w:rPr>
                <w:noProof/>
                <w:webHidden/>
              </w:rPr>
              <w:fldChar w:fldCharType="separate"/>
            </w:r>
            <w:r w:rsidR="004A5276">
              <w:rPr>
                <w:noProof/>
                <w:webHidden/>
              </w:rPr>
              <w:t>71</w:t>
            </w:r>
            <w:r w:rsidR="00B16A0C">
              <w:rPr>
                <w:noProof/>
                <w:webHidden/>
              </w:rPr>
              <w:fldChar w:fldCharType="end"/>
            </w:r>
          </w:hyperlink>
        </w:p>
        <w:p w:rsidR="00B16A0C" w:rsidRDefault="00BC2C17">
          <w:pPr>
            <w:pStyle w:val="TDC3"/>
            <w:rPr>
              <w:rFonts w:eastAsiaTheme="minorEastAsia"/>
              <w:noProof/>
              <w:lang w:eastAsia="pt-PT"/>
            </w:rPr>
          </w:pPr>
          <w:hyperlink w:anchor="_Toc421529734" w:history="1">
            <w:r w:rsidR="00B16A0C" w:rsidRPr="00412724">
              <w:rPr>
                <w:rStyle w:val="Hipervnculo"/>
                <w:rFonts w:ascii="Garamond" w:eastAsia="Calibri" w:hAnsi="Garamond"/>
                <w:noProof/>
              </w:rPr>
              <w:t>Costa Rica</w:t>
            </w:r>
            <w:r w:rsidR="00B16A0C">
              <w:rPr>
                <w:noProof/>
                <w:webHidden/>
              </w:rPr>
              <w:tab/>
            </w:r>
            <w:r w:rsidR="00B16A0C">
              <w:rPr>
                <w:noProof/>
                <w:webHidden/>
              </w:rPr>
              <w:fldChar w:fldCharType="begin"/>
            </w:r>
            <w:r w:rsidR="00B16A0C">
              <w:rPr>
                <w:noProof/>
                <w:webHidden/>
              </w:rPr>
              <w:instrText xml:space="preserve"> PAGEREF _Toc421529734 \h </w:instrText>
            </w:r>
            <w:r w:rsidR="00B16A0C">
              <w:rPr>
                <w:noProof/>
                <w:webHidden/>
              </w:rPr>
            </w:r>
            <w:r w:rsidR="00B16A0C">
              <w:rPr>
                <w:noProof/>
                <w:webHidden/>
              </w:rPr>
              <w:fldChar w:fldCharType="separate"/>
            </w:r>
            <w:r w:rsidR="004A5276">
              <w:rPr>
                <w:noProof/>
                <w:webHidden/>
              </w:rPr>
              <w:t>74</w:t>
            </w:r>
            <w:r w:rsidR="00B16A0C">
              <w:rPr>
                <w:noProof/>
                <w:webHidden/>
              </w:rPr>
              <w:fldChar w:fldCharType="end"/>
            </w:r>
          </w:hyperlink>
        </w:p>
        <w:p w:rsidR="00B16A0C" w:rsidRDefault="00BC2C17">
          <w:pPr>
            <w:pStyle w:val="TDC3"/>
            <w:rPr>
              <w:rFonts w:eastAsiaTheme="minorEastAsia"/>
              <w:noProof/>
              <w:lang w:eastAsia="pt-PT"/>
            </w:rPr>
          </w:pPr>
          <w:hyperlink w:anchor="_Toc421529735" w:history="1">
            <w:r w:rsidR="00B16A0C" w:rsidRPr="00412724">
              <w:rPr>
                <w:rStyle w:val="Hipervnculo"/>
                <w:rFonts w:ascii="Garamond" w:eastAsia="Calibri" w:hAnsi="Garamond"/>
                <w:noProof/>
              </w:rPr>
              <w:t>El Salvador</w:t>
            </w:r>
            <w:r w:rsidR="00B16A0C">
              <w:rPr>
                <w:noProof/>
                <w:webHidden/>
              </w:rPr>
              <w:tab/>
            </w:r>
            <w:r w:rsidR="00B16A0C">
              <w:rPr>
                <w:noProof/>
                <w:webHidden/>
              </w:rPr>
              <w:fldChar w:fldCharType="begin"/>
            </w:r>
            <w:r w:rsidR="00B16A0C">
              <w:rPr>
                <w:noProof/>
                <w:webHidden/>
              </w:rPr>
              <w:instrText xml:space="preserve"> PAGEREF _Toc421529735 \h </w:instrText>
            </w:r>
            <w:r w:rsidR="00B16A0C">
              <w:rPr>
                <w:noProof/>
                <w:webHidden/>
              </w:rPr>
            </w:r>
            <w:r w:rsidR="00B16A0C">
              <w:rPr>
                <w:noProof/>
                <w:webHidden/>
              </w:rPr>
              <w:fldChar w:fldCharType="separate"/>
            </w:r>
            <w:r w:rsidR="004A5276">
              <w:rPr>
                <w:noProof/>
                <w:webHidden/>
              </w:rPr>
              <w:t>74</w:t>
            </w:r>
            <w:r w:rsidR="00B16A0C">
              <w:rPr>
                <w:noProof/>
                <w:webHidden/>
              </w:rPr>
              <w:fldChar w:fldCharType="end"/>
            </w:r>
          </w:hyperlink>
        </w:p>
        <w:p w:rsidR="00B16A0C" w:rsidRDefault="00BC2C17">
          <w:pPr>
            <w:pStyle w:val="TDC3"/>
            <w:rPr>
              <w:rFonts w:eastAsiaTheme="minorEastAsia"/>
              <w:noProof/>
              <w:lang w:eastAsia="pt-PT"/>
            </w:rPr>
          </w:pPr>
          <w:hyperlink w:anchor="_Toc421529736" w:history="1">
            <w:r w:rsidR="00B16A0C" w:rsidRPr="00412724">
              <w:rPr>
                <w:rStyle w:val="Hipervnculo"/>
                <w:rFonts w:ascii="Garamond" w:eastAsiaTheme="minorHAnsi" w:hAnsi="Garamond"/>
                <w:noProof/>
              </w:rPr>
              <w:t>Honduras</w:t>
            </w:r>
            <w:r w:rsidR="00B16A0C">
              <w:rPr>
                <w:noProof/>
                <w:webHidden/>
              </w:rPr>
              <w:tab/>
            </w:r>
            <w:r w:rsidR="00B16A0C">
              <w:rPr>
                <w:noProof/>
                <w:webHidden/>
              </w:rPr>
              <w:fldChar w:fldCharType="begin"/>
            </w:r>
            <w:r w:rsidR="00B16A0C">
              <w:rPr>
                <w:noProof/>
                <w:webHidden/>
              </w:rPr>
              <w:instrText xml:space="preserve"> PAGEREF _Toc421529736 \h </w:instrText>
            </w:r>
            <w:r w:rsidR="00B16A0C">
              <w:rPr>
                <w:noProof/>
                <w:webHidden/>
              </w:rPr>
            </w:r>
            <w:r w:rsidR="00B16A0C">
              <w:rPr>
                <w:noProof/>
                <w:webHidden/>
              </w:rPr>
              <w:fldChar w:fldCharType="separate"/>
            </w:r>
            <w:r w:rsidR="004A5276">
              <w:rPr>
                <w:noProof/>
                <w:webHidden/>
              </w:rPr>
              <w:t>75</w:t>
            </w:r>
            <w:r w:rsidR="00B16A0C">
              <w:rPr>
                <w:noProof/>
                <w:webHidden/>
              </w:rPr>
              <w:fldChar w:fldCharType="end"/>
            </w:r>
          </w:hyperlink>
        </w:p>
        <w:p w:rsidR="00B16A0C" w:rsidRDefault="00BC2C17">
          <w:pPr>
            <w:pStyle w:val="TDC3"/>
            <w:rPr>
              <w:rFonts w:eastAsiaTheme="minorEastAsia"/>
              <w:noProof/>
              <w:lang w:eastAsia="pt-PT"/>
            </w:rPr>
          </w:pPr>
          <w:hyperlink w:anchor="_Toc421529737" w:history="1">
            <w:r w:rsidR="00B16A0C" w:rsidRPr="00412724">
              <w:rPr>
                <w:rStyle w:val="Hipervnculo"/>
                <w:rFonts w:ascii="Garamond" w:hAnsi="Garamond"/>
                <w:noProof/>
              </w:rPr>
              <w:t>México</w:t>
            </w:r>
            <w:r w:rsidR="00B16A0C">
              <w:rPr>
                <w:noProof/>
                <w:webHidden/>
              </w:rPr>
              <w:tab/>
            </w:r>
            <w:r w:rsidR="00B16A0C">
              <w:rPr>
                <w:noProof/>
                <w:webHidden/>
              </w:rPr>
              <w:fldChar w:fldCharType="begin"/>
            </w:r>
            <w:r w:rsidR="00B16A0C">
              <w:rPr>
                <w:noProof/>
                <w:webHidden/>
              </w:rPr>
              <w:instrText xml:space="preserve"> PAGEREF _Toc421529737 \h </w:instrText>
            </w:r>
            <w:r w:rsidR="00B16A0C">
              <w:rPr>
                <w:noProof/>
                <w:webHidden/>
              </w:rPr>
            </w:r>
            <w:r w:rsidR="00B16A0C">
              <w:rPr>
                <w:noProof/>
                <w:webHidden/>
              </w:rPr>
              <w:fldChar w:fldCharType="separate"/>
            </w:r>
            <w:r w:rsidR="004A5276">
              <w:rPr>
                <w:noProof/>
                <w:webHidden/>
              </w:rPr>
              <w:t>76</w:t>
            </w:r>
            <w:r w:rsidR="00B16A0C">
              <w:rPr>
                <w:noProof/>
                <w:webHidden/>
              </w:rPr>
              <w:fldChar w:fldCharType="end"/>
            </w:r>
          </w:hyperlink>
        </w:p>
        <w:p w:rsidR="00B16A0C" w:rsidRDefault="00BC2C17">
          <w:pPr>
            <w:pStyle w:val="TDC3"/>
            <w:rPr>
              <w:rFonts w:eastAsiaTheme="minorEastAsia"/>
              <w:noProof/>
              <w:lang w:eastAsia="pt-PT"/>
            </w:rPr>
          </w:pPr>
          <w:hyperlink w:anchor="_Toc421529738" w:history="1">
            <w:r w:rsidR="00B16A0C" w:rsidRPr="00412724">
              <w:rPr>
                <w:rStyle w:val="Hipervnculo"/>
                <w:rFonts w:ascii="Garamond" w:hAnsi="Garamond"/>
                <w:noProof/>
              </w:rPr>
              <w:t>Paraguai</w:t>
            </w:r>
            <w:r w:rsidR="00B16A0C">
              <w:rPr>
                <w:noProof/>
                <w:webHidden/>
              </w:rPr>
              <w:tab/>
            </w:r>
            <w:r w:rsidR="00B16A0C">
              <w:rPr>
                <w:noProof/>
                <w:webHidden/>
              </w:rPr>
              <w:fldChar w:fldCharType="begin"/>
            </w:r>
            <w:r w:rsidR="00B16A0C">
              <w:rPr>
                <w:noProof/>
                <w:webHidden/>
              </w:rPr>
              <w:instrText xml:space="preserve"> PAGEREF _Toc421529738 \h </w:instrText>
            </w:r>
            <w:r w:rsidR="00B16A0C">
              <w:rPr>
                <w:noProof/>
                <w:webHidden/>
              </w:rPr>
            </w:r>
            <w:r w:rsidR="00B16A0C">
              <w:rPr>
                <w:noProof/>
                <w:webHidden/>
              </w:rPr>
              <w:fldChar w:fldCharType="separate"/>
            </w:r>
            <w:r w:rsidR="004A5276">
              <w:rPr>
                <w:noProof/>
                <w:webHidden/>
              </w:rPr>
              <w:t>76</w:t>
            </w:r>
            <w:r w:rsidR="00B16A0C">
              <w:rPr>
                <w:noProof/>
                <w:webHidden/>
              </w:rPr>
              <w:fldChar w:fldCharType="end"/>
            </w:r>
          </w:hyperlink>
        </w:p>
        <w:p w:rsidR="00B16A0C" w:rsidRDefault="00BC2C17">
          <w:pPr>
            <w:pStyle w:val="TDC3"/>
            <w:rPr>
              <w:rFonts w:eastAsiaTheme="minorEastAsia"/>
              <w:noProof/>
              <w:lang w:eastAsia="pt-PT"/>
            </w:rPr>
          </w:pPr>
          <w:hyperlink w:anchor="_Toc421529739" w:history="1">
            <w:r w:rsidR="00B16A0C" w:rsidRPr="00412724">
              <w:rPr>
                <w:rStyle w:val="Hipervnculo"/>
                <w:rFonts w:ascii="Garamond" w:hAnsi="Garamond"/>
                <w:noProof/>
              </w:rPr>
              <w:t>Peru</w:t>
            </w:r>
            <w:r w:rsidR="00B16A0C">
              <w:rPr>
                <w:noProof/>
                <w:webHidden/>
              </w:rPr>
              <w:tab/>
            </w:r>
            <w:r w:rsidR="00B16A0C">
              <w:rPr>
                <w:noProof/>
                <w:webHidden/>
              </w:rPr>
              <w:fldChar w:fldCharType="begin"/>
            </w:r>
            <w:r w:rsidR="00B16A0C">
              <w:rPr>
                <w:noProof/>
                <w:webHidden/>
              </w:rPr>
              <w:instrText xml:space="preserve"> PAGEREF _Toc421529739 \h </w:instrText>
            </w:r>
            <w:r w:rsidR="00B16A0C">
              <w:rPr>
                <w:noProof/>
                <w:webHidden/>
              </w:rPr>
            </w:r>
            <w:r w:rsidR="00B16A0C">
              <w:rPr>
                <w:noProof/>
                <w:webHidden/>
              </w:rPr>
              <w:fldChar w:fldCharType="separate"/>
            </w:r>
            <w:r w:rsidR="004A5276">
              <w:rPr>
                <w:noProof/>
                <w:webHidden/>
              </w:rPr>
              <w:t>77</w:t>
            </w:r>
            <w:r w:rsidR="00B16A0C">
              <w:rPr>
                <w:noProof/>
                <w:webHidden/>
              </w:rPr>
              <w:fldChar w:fldCharType="end"/>
            </w:r>
          </w:hyperlink>
        </w:p>
        <w:p w:rsidR="00B16A0C" w:rsidRDefault="00BC2C17">
          <w:pPr>
            <w:pStyle w:val="TDC3"/>
            <w:rPr>
              <w:rFonts w:eastAsiaTheme="minorEastAsia"/>
              <w:noProof/>
              <w:lang w:eastAsia="pt-PT"/>
            </w:rPr>
          </w:pPr>
          <w:hyperlink w:anchor="_Toc421529740" w:history="1">
            <w:r w:rsidR="00B16A0C" w:rsidRPr="00412724">
              <w:rPr>
                <w:rStyle w:val="Hipervnculo"/>
                <w:rFonts w:ascii="Garamond" w:hAnsi="Garamond"/>
                <w:noProof/>
              </w:rPr>
              <w:t>Porto Rico</w:t>
            </w:r>
            <w:r w:rsidR="00B16A0C">
              <w:rPr>
                <w:noProof/>
                <w:webHidden/>
              </w:rPr>
              <w:tab/>
            </w:r>
            <w:r w:rsidR="00B16A0C">
              <w:rPr>
                <w:noProof/>
                <w:webHidden/>
              </w:rPr>
              <w:fldChar w:fldCharType="begin"/>
            </w:r>
            <w:r w:rsidR="00B16A0C">
              <w:rPr>
                <w:noProof/>
                <w:webHidden/>
              </w:rPr>
              <w:instrText xml:space="preserve"> PAGEREF _Toc421529740 \h </w:instrText>
            </w:r>
            <w:r w:rsidR="00B16A0C">
              <w:rPr>
                <w:noProof/>
                <w:webHidden/>
              </w:rPr>
            </w:r>
            <w:r w:rsidR="00B16A0C">
              <w:rPr>
                <w:noProof/>
                <w:webHidden/>
              </w:rPr>
              <w:fldChar w:fldCharType="separate"/>
            </w:r>
            <w:r w:rsidR="004A5276">
              <w:rPr>
                <w:noProof/>
                <w:webHidden/>
              </w:rPr>
              <w:t>78</w:t>
            </w:r>
            <w:r w:rsidR="00B16A0C">
              <w:rPr>
                <w:noProof/>
                <w:webHidden/>
              </w:rPr>
              <w:fldChar w:fldCharType="end"/>
            </w:r>
          </w:hyperlink>
        </w:p>
        <w:p w:rsidR="00B16A0C" w:rsidRDefault="00BC2C17">
          <w:pPr>
            <w:pStyle w:val="TDC3"/>
            <w:rPr>
              <w:rFonts w:eastAsiaTheme="minorEastAsia"/>
              <w:noProof/>
              <w:lang w:eastAsia="pt-PT"/>
            </w:rPr>
          </w:pPr>
          <w:hyperlink w:anchor="_Toc421529741" w:history="1">
            <w:r w:rsidR="00B16A0C" w:rsidRPr="00412724">
              <w:rPr>
                <w:rStyle w:val="Hipervnculo"/>
                <w:rFonts w:ascii="Garamond" w:hAnsi="Garamond" w:cs="Arial"/>
                <w:noProof/>
              </w:rPr>
              <w:t>Uruguai</w:t>
            </w:r>
            <w:r w:rsidR="00B16A0C">
              <w:rPr>
                <w:noProof/>
                <w:webHidden/>
              </w:rPr>
              <w:tab/>
            </w:r>
            <w:r w:rsidR="00B16A0C">
              <w:rPr>
                <w:noProof/>
                <w:webHidden/>
              </w:rPr>
              <w:fldChar w:fldCharType="begin"/>
            </w:r>
            <w:r w:rsidR="00B16A0C">
              <w:rPr>
                <w:noProof/>
                <w:webHidden/>
              </w:rPr>
              <w:instrText xml:space="preserve"> PAGEREF _Toc421529741 \h </w:instrText>
            </w:r>
            <w:r w:rsidR="00B16A0C">
              <w:rPr>
                <w:noProof/>
                <w:webHidden/>
              </w:rPr>
            </w:r>
            <w:r w:rsidR="00B16A0C">
              <w:rPr>
                <w:noProof/>
                <w:webHidden/>
              </w:rPr>
              <w:fldChar w:fldCharType="separate"/>
            </w:r>
            <w:r w:rsidR="004A5276">
              <w:rPr>
                <w:noProof/>
                <w:webHidden/>
              </w:rPr>
              <w:t>79</w:t>
            </w:r>
            <w:r w:rsidR="00B16A0C">
              <w:rPr>
                <w:noProof/>
                <w:webHidden/>
              </w:rPr>
              <w:fldChar w:fldCharType="end"/>
            </w:r>
          </w:hyperlink>
        </w:p>
        <w:p w:rsidR="00B16A0C" w:rsidRDefault="00BC2C17">
          <w:pPr>
            <w:pStyle w:val="TDC3"/>
            <w:rPr>
              <w:rFonts w:eastAsiaTheme="minorEastAsia"/>
              <w:noProof/>
              <w:lang w:eastAsia="pt-PT"/>
            </w:rPr>
          </w:pPr>
          <w:hyperlink w:anchor="_Toc421529742" w:history="1">
            <w:r w:rsidR="00B16A0C" w:rsidRPr="00412724">
              <w:rPr>
                <w:rStyle w:val="Hipervnculo"/>
                <w:rFonts w:ascii="Garamond" w:hAnsi="Garamond"/>
                <w:noProof/>
              </w:rPr>
              <w:t>Venezuela</w:t>
            </w:r>
            <w:r w:rsidR="00B16A0C">
              <w:rPr>
                <w:noProof/>
                <w:webHidden/>
              </w:rPr>
              <w:tab/>
            </w:r>
            <w:r w:rsidR="00B16A0C">
              <w:rPr>
                <w:noProof/>
                <w:webHidden/>
              </w:rPr>
              <w:fldChar w:fldCharType="begin"/>
            </w:r>
            <w:r w:rsidR="00B16A0C">
              <w:rPr>
                <w:noProof/>
                <w:webHidden/>
              </w:rPr>
              <w:instrText xml:space="preserve"> PAGEREF _Toc421529742 \h </w:instrText>
            </w:r>
            <w:r w:rsidR="00B16A0C">
              <w:rPr>
                <w:noProof/>
                <w:webHidden/>
              </w:rPr>
            </w:r>
            <w:r w:rsidR="00B16A0C">
              <w:rPr>
                <w:noProof/>
                <w:webHidden/>
              </w:rPr>
              <w:fldChar w:fldCharType="separate"/>
            </w:r>
            <w:r w:rsidR="004A5276">
              <w:rPr>
                <w:noProof/>
                <w:webHidden/>
              </w:rPr>
              <w:t>83</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743" w:history="1">
            <w:r w:rsidR="00B16A0C" w:rsidRPr="00412724">
              <w:rPr>
                <w:rStyle w:val="Hipervnculo"/>
                <w:rFonts w:ascii="Garamond" w:hAnsi="Garamond"/>
                <w:noProof/>
              </w:rPr>
              <w:t>2.4</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Medidas operativas relevantes que se realizaram</w:t>
            </w:r>
            <w:r w:rsidR="00B16A0C">
              <w:rPr>
                <w:noProof/>
                <w:webHidden/>
              </w:rPr>
              <w:tab/>
            </w:r>
            <w:r w:rsidR="00B16A0C">
              <w:rPr>
                <w:noProof/>
                <w:webHidden/>
              </w:rPr>
              <w:fldChar w:fldCharType="begin"/>
            </w:r>
            <w:r w:rsidR="00B16A0C">
              <w:rPr>
                <w:noProof/>
                <w:webHidden/>
              </w:rPr>
              <w:instrText xml:space="preserve"> PAGEREF _Toc421529743 \h </w:instrText>
            </w:r>
            <w:r w:rsidR="00B16A0C">
              <w:rPr>
                <w:noProof/>
                <w:webHidden/>
              </w:rPr>
            </w:r>
            <w:r w:rsidR="00B16A0C">
              <w:rPr>
                <w:noProof/>
                <w:webHidden/>
              </w:rPr>
              <w:fldChar w:fldCharType="separate"/>
            </w:r>
            <w:r w:rsidR="004A5276">
              <w:rPr>
                <w:noProof/>
                <w:webHidden/>
              </w:rPr>
              <w:t>85</w:t>
            </w:r>
            <w:r w:rsidR="00B16A0C">
              <w:rPr>
                <w:noProof/>
                <w:webHidden/>
              </w:rPr>
              <w:fldChar w:fldCharType="end"/>
            </w:r>
          </w:hyperlink>
        </w:p>
        <w:p w:rsidR="00B16A0C" w:rsidRDefault="00BC2C17">
          <w:pPr>
            <w:pStyle w:val="TDC3"/>
            <w:rPr>
              <w:rFonts w:eastAsiaTheme="minorEastAsia"/>
              <w:noProof/>
              <w:lang w:eastAsia="pt-PT"/>
            </w:rPr>
          </w:pPr>
          <w:hyperlink w:anchor="_Toc421529744" w:history="1">
            <w:r w:rsidR="00B16A0C" w:rsidRPr="00412724">
              <w:rPr>
                <w:rStyle w:val="Hipervnculo"/>
                <w:rFonts w:ascii="Garamond" w:hAnsi="Garamond"/>
                <w:noProof/>
              </w:rPr>
              <w:t>Argentina</w:t>
            </w:r>
            <w:r w:rsidR="00B16A0C">
              <w:rPr>
                <w:noProof/>
                <w:webHidden/>
              </w:rPr>
              <w:tab/>
            </w:r>
            <w:r w:rsidR="00B16A0C">
              <w:rPr>
                <w:noProof/>
                <w:webHidden/>
              </w:rPr>
              <w:fldChar w:fldCharType="begin"/>
            </w:r>
            <w:r w:rsidR="00B16A0C">
              <w:rPr>
                <w:noProof/>
                <w:webHidden/>
              </w:rPr>
              <w:instrText xml:space="preserve"> PAGEREF _Toc421529744 \h </w:instrText>
            </w:r>
            <w:r w:rsidR="00B16A0C">
              <w:rPr>
                <w:noProof/>
                <w:webHidden/>
              </w:rPr>
            </w:r>
            <w:r w:rsidR="00B16A0C">
              <w:rPr>
                <w:noProof/>
                <w:webHidden/>
              </w:rPr>
              <w:fldChar w:fldCharType="separate"/>
            </w:r>
            <w:r w:rsidR="004A5276">
              <w:rPr>
                <w:noProof/>
                <w:webHidden/>
              </w:rPr>
              <w:t>85</w:t>
            </w:r>
            <w:r w:rsidR="00B16A0C">
              <w:rPr>
                <w:noProof/>
                <w:webHidden/>
              </w:rPr>
              <w:fldChar w:fldCharType="end"/>
            </w:r>
          </w:hyperlink>
        </w:p>
        <w:p w:rsidR="00B16A0C" w:rsidRDefault="00BC2C17">
          <w:pPr>
            <w:pStyle w:val="TDC3"/>
            <w:rPr>
              <w:rFonts w:eastAsiaTheme="minorEastAsia"/>
              <w:noProof/>
              <w:lang w:eastAsia="pt-PT"/>
            </w:rPr>
          </w:pPr>
          <w:hyperlink w:anchor="_Toc421529745" w:history="1">
            <w:r w:rsidR="00B16A0C" w:rsidRPr="00412724">
              <w:rPr>
                <w:rStyle w:val="Hipervnculo"/>
                <w:rFonts w:ascii="Garamond" w:hAnsi="Garamond"/>
                <w:noProof/>
              </w:rPr>
              <w:t>Bolívia</w:t>
            </w:r>
            <w:r w:rsidR="00B16A0C">
              <w:rPr>
                <w:noProof/>
                <w:webHidden/>
              </w:rPr>
              <w:tab/>
            </w:r>
            <w:r w:rsidR="00B16A0C">
              <w:rPr>
                <w:noProof/>
                <w:webHidden/>
              </w:rPr>
              <w:fldChar w:fldCharType="begin"/>
            </w:r>
            <w:r w:rsidR="00B16A0C">
              <w:rPr>
                <w:noProof/>
                <w:webHidden/>
              </w:rPr>
              <w:instrText xml:space="preserve"> PAGEREF _Toc421529745 \h </w:instrText>
            </w:r>
            <w:r w:rsidR="00B16A0C">
              <w:rPr>
                <w:noProof/>
                <w:webHidden/>
              </w:rPr>
            </w:r>
            <w:r w:rsidR="00B16A0C">
              <w:rPr>
                <w:noProof/>
                <w:webHidden/>
              </w:rPr>
              <w:fldChar w:fldCharType="separate"/>
            </w:r>
            <w:r w:rsidR="004A5276">
              <w:rPr>
                <w:noProof/>
                <w:webHidden/>
              </w:rPr>
              <w:t>87</w:t>
            </w:r>
            <w:r w:rsidR="00B16A0C">
              <w:rPr>
                <w:noProof/>
                <w:webHidden/>
              </w:rPr>
              <w:fldChar w:fldCharType="end"/>
            </w:r>
          </w:hyperlink>
        </w:p>
        <w:p w:rsidR="00B16A0C" w:rsidRDefault="00BC2C17">
          <w:pPr>
            <w:pStyle w:val="TDC3"/>
            <w:rPr>
              <w:rFonts w:eastAsiaTheme="minorEastAsia"/>
              <w:noProof/>
              <w:lang w:eastAsia="pt-PT"/>
            </w:rPr>
          </w:pPr>
          <w:hyperlink w:anchor="_Toc421529746" w:history="1">
            <w:r w:rsidR="00B16A0C" w:rsidRPr="00412724">
              <w:rPr>
                <w:rStyle w:val="Hipervnculo"/>
                <w:rFonts w:ascii="Garamond" w:hAnsi="Garamond"/>
                <w:noProof/>
              </w:rPr>
              <w:t>Colômbia</w:t>
            </w:r>
            <w:r w:rsidR="00B16A0C">
              <w:rPr>
                <w:noProof/>
                <w:webHidden/>
              </w:rPr>
              <w:tab/>
            </w:r>
            <w:r w:rsidR="00B16A0C">
              <w:rPr>
                <w:noProof/>
                <w:webHidden/>
              </w:rPr>
              <w:fldChar w:fldCharType="begin"/>
            </w:r>
            <w:r w:rsidR="00B16A0C">
              <w:rPr>
                <w:noProof/>
                <w:webHidden/>
              </w:rPr>
              <w:instrText xml:space="preserve"> PAGEREF _Toc421529746 \h </w:instrText>
            </w:r>
            <w:r w:rsidR="00B16A0C">
              <w:rPr>
                <w:noProof/>
                <w:webHidden/>
              </w:rPr>
            </w:r>
            <w:r w:rsidR="00B16A0C">
              <w:rPr>
                <w:noProof/>
                <w:webHidden/>
              </w:rPr>
              <w:fldChar w:fldCharType="separate"/>
            </w:r>
            <w:r w:rsidR="004A5276">
              <w:rPr>
                <w:noProof/>
                <w:webHidden/>
              </w:rPr>
              <w:t>87</w:t>
            </w:r>
            <w:r w:rsidR="00B16A0C">
              <w:rPr>
                <w:noProof/>
                <w:webHidden/>
              </w:rPr>
              <w:fldChar w:fldCharType="end"/>
            </w:r>
          </w:hyperlink>
        </w:p>
        <w:p w:rsidR="00B16A0C" w:rsidRDefault="00BC2C17">
          <w:pPr>
            <w:pStyle w:val="TDC3"/>
            <w:rPr>
              <w:rFonts w:eastAsiaTheme="minorEastAsia"/>
              <w:noProof/>
              <w:lang w:eastAsia="pt-PT"/>
            </w:rPr>
          </w:pPr>
          <w:hyperlink w:anchor="_Toc421529747" w:history="1">
            <w:r w:rsidR="00B16A0C" w:rsidRPr="00412724">
              <w:rPr>
                <w:rStyle w:val="Hipervnculo"/>
                <w:rFonts w:ascii="Garamond" w:eastAsia="Calibri" w:hAnsi="Garamond"/>
                <w:noProof/>
              </w:rPr>
              <w:t xml:space="preserve">Costa </w:t>
            </w:r>
            <w:r w:rsidR="00AB0190">
              <w:rPr>
                <w:rStyle w:val="Hipervnculo"/>
                <w:rFonts w:ascii="Garamond" w:eastAsia="Calibri" w:hAnsi="Garamond"/>
                <w:noProof/>
              </w:rPr>
              <w:t>R</w:t>
            </w:r>
            <w:r w:rsidR="00B16A0C" w:rsidRPr="00412724">
              <w:rPr>
                <w:rStyle w:val="Hipervnculo"/>
                <w:rFonts w:ascii="Garamond" w:eastAsia="Calibri" w:hAnsi="Garamond"/>
                <w:noProof/>
              </w:rPr>
              <w:t>ica</w:t>
            </w:r>
            <w:r w:rsidR="00B16A0C">
              <w:rPr>
                <w:noProof/>
                <w:webHidden/>
              </w:rPr>
              <w:tab/>
            </w:r>
            <w:r w:rsidR="00B16A0C">
              <w:rPr>
                <w:noProof/>
                <w:webHidden/>
              </w:rPr>
              <w:fldChar w:fldCharType="begin"/>
            </w:r>
            <w:r w:rsidR="00B16A0C">
              <w:rPr>
                <w:noProof/>
                <w:webHidden/>
              </w:rPr>
              <w:instrText xml:space="preserve"> PAGEREF _Toc421529747 \h </w:instrText>
            </w:r>
            <w:r w:rsidR="00B16A0C">
              <w:rPr>
                <w:noProof/>
                <w:webHidden/>
              </w:rPr>
            </w:r>
            <w:r w:rsidR="00B16A0C">
              <w:rPr>
                <w:noProof/>
                <w:webHidden/>
              </w:rPr>
              <w:fldChar w:fldCharType="separate"/>
            </w:r>
            <w:r w:rsidR="004A5276">
              <w:rPr>
                <w:noProof/>
                <w:webHidden/>
              </w:rPr>
              <w:t>91</w:t>
            </w:r>
            <w:r w:rsidR="00B16A0C">
              <w:rPr>
                <w:noProof/>
                <w:webHidden/>
              </w:rPr>
              <w:fldChar w:fldCharType="end"/>
            </w:r>
          </w:hyperlink>
        </w:p>
        <w:p w:rsidR="00B16A0C" w:rsidRDefault="00BC2C17">
          <w:pPr>
            <w:pStyle w:val="TDC3"/>
            <w:rPr>
              <w:rFonts w:eastAsiaTheme="minorEastAsia"/>
              <w:noProof/>
              <w:lang w:eastAsia="pt-PT"/>
            </w:rPr>
          </w:pPr>
          <w:hyperlink w:anchor="_Toc421529748" w:history="1">
            <w:r w:rsidR="00B16A0C" w:rsidRPr="00412724">
              <w:rPr>
                <w:rStyle w:val="Hipervnculo"/>
                <w:rFonts w:ascii="Garamond" w:eastAsia="Calibri" w:hAnsi="Garamond"/>
                <w:noProof/>
              </w:rPr>
              <w:t>El Salvador</w:t>
            </w:r>
            <w:r w:rsidR="00B16A0C">
              <w:rPr>
                <w:noProof/>
                <w:webHidden/>
              </w:rPr>
              <w:tab/>
            </w:r>
            <w:r w:rsidR="00B16A0C">
              <w:rPr>
                <w:noProof/>
                <w:webHidden/>
              </w:rPr>
              <w:fldChar w:fldCharType="begin"/>
            </w:r>
            <w:r w:rsidR="00B16A0C">
              <w:rPr>
                <w:noProof/>
                <w:webHidden/>
              </w:rPr>
              <w:instrText xml:space="preserve"> PAGEREF _Toc421529748 \h </w:instrText>
            </w:r>
            <w:r w:rsidR="00B16A0C">
              <w:rPr>
                <w:noProof/>
                <w:webHidden/>
              </w:rPr>
            </w:r>
            <w:r w:rsidR="00B16A0C">
              <w:rPr>
                <w:noProof/>
                <w:webHidden/>
              </w:rPr>
              <w:fldChar w:fldCharType="separate"/>
            </w:r>
            <w:r w:rsidR="004A5276">
              <w:rPr>
                <w:noProof/>
                <w:webHidden/>
              </w:rPr>
              <w:t>91</w:t>
            </w:r>
            <w:r w:rsidR="00B16A0C">
              <w:rPr>
                <w:noProof/>
                <w:webHidden/>
              </w:rPr>
              <w:fldChar w:fldCharType="end"/>
            </w:r>
          </w:hyperlink>
        </w:p>
        <w:p w:rsidR="00B16A0C" w:rsidRDefault="00BC2C17">
          <w:pPr>
            <w:pStyle w:val="TDC3"/>
            <w:rPr>
              <w:rFonts w:eastAsiaTheme="minorEastAsia"/>
              <w:noProof/>
              <w:lang w:eastAsia="pt-PT"/>
            </w:rPr>
          </w:pPr>
          <w:hyperlink w:anchor="_Toc421529749" w:history="1">
            <w:r w:rsidR="00B16A0C" w:rsidRPr="00412724">
              <w:rPr>
                <w:rStyle w:val="Hipervnculo"/>
                <w:rFonts w:ascii="Garamond" w:hAnsi="Garamond"/>
                <w:noProof/>
              </w:rPr>
              <w:t>Espanha</w:t>
            </w:r>
            <w:r w:rsidR="00B16A0C">
              <w:rPr>
                <w:noProof/>
                <w:webHidden/>
              </w:rPr>
              <w:tab/>
            </w:r>
            <w:r w:rsidR="00B16A0C">
              <w:rPr>
                <w:noProof/>
                <w:webHidden/>
              </w:rPr>
              <w:fldChar w:fldCharType="begin"/>
            </w:r>
            <w:r w:rsidR="00B16A0C">
              <w:rPr>
                <w:noProof/>
                <w:webHidden/>
              </w:rPr>
              <w:instrText xml:space="preserve"> PAGEREF _Toc421529749 \h </w:instrText>
            </w:r>
            <w:r w:rsidR="00B16A0C">
              <w:rPr>
                <w:noProof/>
                <w:webHidden/>
              </w:rPr>
            </w:r>
            <w:r w:rsidR="00B16A0C">
              <w:rPr>
                <w:noProof/>
                <w:webHidden/>
              </w:rPr>
              <w:fldChar w:fldCharType="separate"/>
            </w:r>
            <w:r w:rsidR="004A5276">
              <w:rPr>
                <w:noProof/>
                <w:webHidden/>
              </w:rPr>
              <w:t>91</w:t>
            </w:r>
            <w:r w:rsidR="00B16A0C">
              <w:rPr>
                <w:noProof/>
                <w:webHidden/>
              </w:rPr>
              <w:fldChar w:fldCharType="end"/>
            </w:r>
          </w:hyperlink>
        </w:p>
        <w:p w:rsidR="00B16A0C" w:rsidRDefault="00BC2C17">
          <w:pPr>
            <w:pStyle w:val="TDC3"/>
            <w:rPr>
              <w:rFonts w:eastAsiaTheme="minorEastAsia"/>
              <w:noProof/>
              <w:lang w:eastAsia="pt-PT"/>
            </w:rPr>
          </w:pPr>
          <w:hyperlink w:anchor="_Toc421529750" w:history="1">
            <w:r w:rsidR="00B16A0C" w:rsidRPr="00412724">
              <w:rPr>
                <w:rStyle w:val="Hipervnculo"/>
                <w:rFonts w:ascii="Garamond" w:hAnsi="Garamond"/>
                <w:noProof/>
              </w:rPr>
              <w:t>Honduras</w:t>
            </w:r>
            <w:r w:rsidR="00B16A0C">
              <w:rPr>
                <w:noProof/>
                <w:webHidden/>
              </w:rPr>
              <w:tab/>
            </w:r>
            <w:r w:rsidR="00B16A0C">
              <w:rPr>
                <w:noProof/>
                <w:webHidden/>
              </w:rPr>
              <w:fldChar w:fldCharType="begin"/>
            </w:r>
            <w:r w:rsidR="00B16A0C">
              <w:rPr>
                <w:noProof/>
                <w:webHidden/>
              </w:rPr>
              <w:instrText xml:space="preserve"> PAGEREF _Toc421529750 \h </w:instrText>
            </w:r>
            <w:r w:rsidR="00B16A0C">
              <w:rPr>
                <w:noProof/>
                <w:webHidden/>
              </w:rPr>
            </w:r>
            <w:r w:rsidR="00B16A0C">
              <w:rPr>
                <w:noProof/>
                <w:webHidden/>
              </w:rPr>
              <w:fldChar w:fldCharType="separate"/>
            </w:r>
            <w:r w:rsidR="004A5276">
              <w:rPr>
                <w:noProof/>
                <w:webHidden/>
              </w:rPr>
              <w:t>92</w:t>
            </w:r>
            <w:r w:rsidR="00B16A0C">
              <w:rPr>
                <w:noProof/>
                <w:webHidden/>
              </w:rPr>
              <w:fldChar w:fldCharType="end"/>
            </w:r>
          </w:hyperlink>
        </w:p>
        <w:p w:rsidR="00B16A0C" w:rsidRDefault="00BC2C17">
          <w:pPr>
            <w:pStyle w:val="TDC3"/>
            <w:rPr>
              <w:rFonts w:eastAsiaTheme="minorEastAsia"/>
              <w:noProof/>
              <w:lang w:eastAsia="pt-PT"/>
            </w:rPr>
          </w:pPr>
          <w:hyperlink w:anchor="_Toc421529751" w:history="1">
            <w:r w:rsidR="00B16A0C" w:rsidRPr="00412724">
              <w:rPr>
                <w:rStyle w:val="Hipervnculo"/>
                <w:rFonts w:ascii="Garamond" w:hAnsi="Garamond"/>
                <w:noProof/>
              </w:rPr>
              <w:t>México</w:t>
            </w:r>
            <w:r w:rsidR="00B16A0C">
              <w:rPr>
                <w:noProof/>
                <w:webHidden/>
              </w:rPr>
              <w:tab/>
            </w:r>
            <w:r w:rsidR="00B16A0C">
              <w:rPr>
                <w:noProof/>
                <w:webHidden/>
              </w:rPr>
              <w:fldChar w:fldCharType="begin"/>
            </w:r>
            <w:r w:rsidR="00B16A0C">
              <w:rPr>
                <w:noProof/>
                <w:webHidden/>
              </w:rPr>
              <w:instrText xml:space="preserve"> PAGEREF _Toc421529751 \h </w:instrText>
            </w:r>
            <w:r w:rsidR="00B16A0C">
              <w:rPr>
                <w:noProof/>
                <w:webHidden/>
              </w:rPr>
            </w:r>
            <w:r w:rsidR="00B16A0C">
              <w:rPr>
                <w:noProof/>
                <w:webHidden/>
              </w:rPr>
              <w:fldChar w:fldCharType="separate"/>
            </w:r>
            <w:r w:rsidR="004A5276">
              <w:rPr>
                <w:noProof/>
                <w:webHidden/>
              </w:rPr>
              <w:t>93</w:t>
            </w:r>
            <w:r w:rsidR="00B16A0C">
              <w:rPr>
                <w:noProof/>
                <w:webHidden/>
              </w:rPr>
              <w:fldChar w:fldCharType="end"/>
            </w:r>
          </w:hyperlink>
        </w:p>
        <w:p w:rsidR="00B16A0C" w:rsidRDefault="00BC2C17">
          <w:pPr>
            <w:pStyle w:val="TDC3"/>
            <w:rPr>
              <w:rFonts w:eastAsiaTheme="minorEastAsia"/>
              <w:noProof/>
              <w:lang w:eastAsia="pt-PT"/>
            </w:rPr>
          </w:pPr>
          <w:hyperlink w:anchor="_Toc421529752" w:history="1">
            <w:r w:rsidR="00B16A0C" w:rsidRPr="00412724">
              <w:rPr>
                <w:rStyle w:val="Hipervnculo"/>
                <w:rFonts w:ascii="Garamond" w:hAnsi="Garamond"/>
                <w:noProof/>
              </w:rPr>
              <w:t>Paraguai</w:t>
            </w:r>
            <w:r w:rsidR="00B16A0C">
              <w:rPr>
                <w:noProof/>
                <w:webHidden/>
              </w:rPr>
              <w:tab/>
            </w:r>
            <w:r w:rsidR="00B16A0C">
              <w:rPr>
                <w:noProof/>
                <w:webHidden/>
              </w:rPr>
              <w:fldChar w:fldCharType="begin"/>
            </w:r>
            <w:r w:rsidR="00B16A0C">
              <w:rPr>
                <w:noProof/>
                <w:webHidden/>
              </w:rPr>
              <w:instrText xml:space="preserve"> PAGEREF _Toc421529752 \h </w:instrText>
            </w:r>
            <w:r w:rsidR="00B16A0C">
              <w:rPr>
                <w:noProof/>
                <w:webHidden/>
              </w:rPr>
            </w:r>
            <w:r w:rsidR="00B16A0C">
              <w:rPr>
                <w:noProof/>
                <w:webHidden/>
              </w:rPr>
              <w:fldChar w:fldCharType="separate"/>
            </w:r>
            <w:r w:rsidR="004A5276">
              <w:rPr>
                <w:noProof/>
                <w:webHidden/>
              </w:rPr>
              <w:t>97</w:t>
            </w:r>
            <w:r w:rsidR="00B16A0C">
              <w:rPr>
                <w:noProof/>
                <w:webHidden/>
              </w:rPr>
              <w:fldChar w:fldCharType="end"/>
            </w:r>
          </w:hyperlink>
        </w:p>
        <w:p w:rsidR="00B16A0C" w:rsidRDefault="00BC2C17">
          <w:pPr>
            <w:pStyle w:val="TDC3"/>
            <w:rPr>
              <w:rFonts w:eastAsiaTheme="minorEastAsia"/>
              <w:noProof/>
              <w:lang w:eastAsia="pt-PT"/>
            </w:rPr>
          </w:pPr>
          <w:hyperlink w:anchor="_Toc421529753" w:history="1">
            <w:r w:rsidR="00B16A0C" w:rsidRPr="00412724">
              <w:rPr>
                <w:rStyle w:val="Hipervnculo"/>
                <w:rFonts w:ascii="Garamond" w:hAnsi="Garamond"/>
                <w:noProof/>
              </w:rPr>
              <w:t>Peru</w:t>
            </w:r>
            <w:r w:rsidR="00B16A0C">
              <w:rPr>
                <w:noProof/>
                <w:webHidden/>
              </w:rPr>
              <w:tab/>
            </w:r>
            <w:r w:rsidR="00B16A0C">
              <w:rPr>
                <w:noProof/>
                <w:webHidden/>
              </w:rPr>
              <w:fldChar w:fldCharType="begin"/>
            </w:r>
            <w:r w:rsidR="00B16A0C">
              <w:rPr>
                <w:noProof/>
                <w:webHidden/>
              </w:rPr>
              <w:instrText xml:space="preserve"> PAGEREF _Toc421529753 \h </w:instrText>
            </w:r>
            <w:r w:rsidR="00B16A0C">
              <w:rPr>
                <w:noProof/>
                <w:webHidden/>
              </w:rPr>
            </w:r>
            <w:r w:rsidR="00B16A0C">
              <w:rPr>
                <w:noProof/>
                <w:webHidden/>
              </w:rPr>
              <w:fldChar w:fldCharType="separate"/>
            </w:r>
            <w:r w:rsidR="004A5276">
              <w:rPr>
                <w:noProof/>
                <w:webHidden/>
              </w:rPr>
              <w:t>98</w:t>
            </w:r>
            <w:r w:rsidR="00B16A0C">
              <w:rPr>
                <w:noProof/>
                <w:webHidden/>
              </w:rPr>
              <w:fldChar w:fldCharType="end"/>
            </w:r>
          </w:hyperlink>
        </w:p>
        <w:p w:rsidR="00B16A0C" w:rsidRDefault="00BC2C17">
          <w:pPr>
            <w:pStyle w:val="TDC3"/>
            <w:rPr>
              <w:rFonts w:eastAsiaTheme="minorEastAsia"/>
              <w:noProof/>
              <w:lang w:eastAsia="pt-PT"/>
            </w:rPr>
          </w:pPr>
          <w:hyperlink w:anchor="_Toc421529754" w:history="1">
            <w:r w:rsidR="00B16A0C" w:rsidRPr="00412724">
              <w:rPr>
                <w:rStyle w:val="Hipervnculo"/>
                <w:rFonts w:ascii="Garamond" w:hAnsi="Garamond"/>
                <w:noProof/>
              </w:rPr>
              <w:t>Porto Rico</w:t>
            </w:r>
            <w:r w:rsidR="00B16A0C">
              <w:rPr>
                <w:noProof/>
                <w:webHidden/>
              </w:rPr>
              <w:tab/>
            </w:r>
            <w:r w:rsidR="00B16A0C">
              <w:rPr>
                <w:noProof/>
                <w:webHidden/>
              </w:rPr>
              <w:fldChar w:fldCharType="begin"/>
            </w:r>
            <w:r w:rsidR="00B16A0C">
              <w:rPr>
                <w:noProof/>
                <w:webHidden/>
              </w:rPr>
              <w:instrText xml:space="preserve"> PAGEREF _Toc421529754 \h </w:instrText>
            </w:r>
            <w:r w:rsidR="00B16A0C">
              <w:rPr>
                <w:noProof/>
                <w:webHidden/>
              </w:rPr>
            </w:r>
            <w:r w:rsidR="00B16A0C">
              <w:rPr>
                <w:noProof/>
                <w:webHidden/>
              </w:rPr>
              <w:fldChar w:fldCharType="separate"/>
            </w:r>
            <w:r w:rsidR="004A5276">
              <w:rPr>
                <w:noProof/>
                <w:webHidden/>
              </w:rPr>
              <w:t>101</w:t>
            </w:r>
            <w:r w:rsidR="00B16A0C">
              <w:rPr>
                <w:noProof/>
                <w:webHidden/>
              </w:rPr>
              <w:fldChar w:fldCharType="end"/>
            </w:r>
          </w:hyperlink>
        </w:p>
        <w:p w:rsidR="00B16A0C" w:rsidRDefault="00BC2C17">
          <w:pPr>
            <w:pStyle w:val="TDC3"/>
            <w:rPr>
              <w:rFonts w:eastAsiaTheme="minorEastAsia"/>
              <w:noProof/>
              <w:lang w:eastAsia="pt-PT"/>
            </w:rPr>
          </w:pPr>
          <w:hyperlink w:anchor="_Toc421529755" w:history="1">
            <w:r w:rsidR="00B16A0C" w:rsidRPr="00412724">
              <w:rPr>
                <w:rStyle w:val="Hipervnculo"/>
                <w:rFonts w:ascii="Garamond" w:hAnsi="Garamond"/>
                <w:noProof/>
              </w:rPr>
              <w:t>Uruguai</w:t>
            </w:r>
            <w:r w:rsidR="00B16A0C">
              <w:rPr>
                <w:noProof/>
                <w:webHidden/>
              </w:rPr>
              <w:tab/>
            </w:r>
            <w:r w:rsidR="00B16A0C">
              <w:rPr>
                <w:noProof/>
                <w:webHidden/>
              </w:rPr>
              <w:fldChar w:fldCharType="begin"/>
            </w:r>
            <w:r w:rsidR="00B16A0C">
              <w:rPr>
                <w:noProof/>
                <w:webHidden/>
              </w:rPr>
              <w:instrText xml:space="preserve"> PAGEREF _Toc421529755 \h </w:instrText>
            </w:r>
            <w:r w:rsidR="00B16A0C">
              <w:rPr>
                <w:noProof/>
                <w:webHidden/>
              </w:rPr>
            </w:r>
            <w:r w:rsidR="00B16A0C">
              <w:rPr>
                <w:noProof/>
                <w:webHidden/>
              </w:rPr>
              <w:fldChar w:fldCharType="separate"/>
            </w:r>
            <w:r w:rsidR="004A5276">
              <w:rPr>
                <w:noProof/>
                <w:webHidden/>
              </w:rPr>
              <w:t>107</w:t>
            </w:r>
            <w:r w:rsidR="00B16A0C">
              <w:rPr>
                <w:noProof/>
                <w:webHidden/>
              </w:rPr>
              <w:fldChar w:fldCharType="end"/>
            </w:r>
          </w:hyperlink>
        </w:p>
        <w:p w:rsidR="00B16A0C" w:rsidRDefault="00BC2C17">
          <w:pPr>
            <w:pStyle w:val="TDC3"/>
            <w:rPr>
              <w:rFonts w:eastAsiaTheme="minorEastAsia"/>
              <w:noProof/>
              <w:lang w:eastAsia="pt-PT"/>
            </w:rPr>
          </w:pPr>
          <w:hyperlink w:anchor="_Toc421529756" w:history="1">
            <w:r w:rsidR="00B16A0C" w:rsidRPr="00412724">
              <w:rPr>
                <w:rStyle w:val="Hipervnculo"/>
                <w:rFonts w:ascii="Garamond" w:hAnsi="Garamond"/>
                <w:noProof/>
              </w:rPr>
              <w:t>Venezuela</w:t>
            </w:r>
            <w:r w:rsidR="00B16A0C">
              <w:rPr>
                <w:noProof/>
                <w:webHidden/>
              </w:rPr>
              <w:tab/>
            </w:r>
            <w:r w:rsidR="00B16A0C">
              <w:rPr>
                <w:noProof/>
                <w:webHidden/>
              </w:rPr>
              <w:fldChar w:fldCharType="begin"/>
            </w:r>
            <w:r w:rsidR="00B16A0C">
              <w:rPr>
                <w:noProof/>
                <w:webHidden/>
              </w:rPr>
              <w:instrText xml:space="preserve"> PAGEREF _Toc421529756 \h </w:instrText>
            </w:r>
            <w:r w:rsidR="00B16A0C">
              <w:rPr>
                <w:noProof/>
                <w:webHidden/>
              </w:rPr>
            </w:r>
            <w:r w:rsidR="00B16A0C">
              <w:rPr>
                <w:noProof/>
                <w:webHidden/>
              </w:rPr>
              <w:fldChar w:fldCharType="separate"/>
            </w:r>
            <w:r w:rsidR="004A5276">
              <w:rPr>
                <w:noProof/>
                <w:webHidden/>
              </w:rPr>
              <w:t>113</w:t>
            </w:r>
            <w:r w:rsidR="00B16A0C">
              <w:rPr>
                <w:noProof/>
                <w:webHidden/>
              </w:rPr>
              <w:fldChar w:fldCharType="end"/>
            </w:r>
          </w:hyperlink>
        </w:p>
        <w:p w:rsidR="00B16A0C" w:rsidRDefault="00BC2C17">
          <w:pPr>
            <w:pStyle w:val="TDC2"/>
            <w:tabs>
              <w:tab w:val="left" w:pos="880"/>
            </w:tabs>
            <w:rPr>
              <w:rFonts w:eastAsiaTheme="minorEastAsia"/>
              <w:noProof/>
              <w:lang w:eastAsia="pt-PT"/>
            </w:rPr>
          </w:pPr>
          <w:hyperlink w:anchor="_Toc421529757" w:history="1">
            <w:r w:rsidR="00B16A0C" w:rsidRPr="00412724">
              <w:rPr>
                <w:rStyle w:val="Hipervnculo"/>
                <w:rFonts w:ascii="Garamond" w:hAnsi="Garamond"/>
                <w:noProof/>
              </w:rPr>
              <w:t>2.5</w:t>
            </w:r>
            <w:r w:rsidR="00E84021">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Aspetos orçamentais</w:t>
            </w:r>
            <w:r w:rsidR="00B16A0C">
              <w:rPr>
                <w:noProof/>
                <w:webHidden/>
              </w:rPr>
              <w:tab/>
            </w:r>
            <w:r w:rsidR="00B16A0C">
              <w:rPr>
                <w:noProof/>
                <w:webHidden/>
              </w:rPr>
              <w:fldChar w:fldCharType="begin"/>
            </w:r>
            <w:r w:rsidR="00B16A0C">
              <w:rPr>
                <w:noProof/>
                <w:webHidden/>
              </w:rPr>
              <w:instrText xml:space="preserve"> PAGEREF _Toc421529757 \h </w:instrText>
            </w:r>
            <w:r w:rsidR="00B16A0C">
              <w:rPr>
                <w:noProof/>
                <w:webHidden/>
              </w:rPr>
            </w:r>
            <w:r w:rsidR="00B16A0C">
              <w:rPr>
                <w:noProof/>
                <w:webHidden/>
              </w:rPr>
              <w:fldChar w:fldCharType="separate"/>
            </w:r>
            <w:r w:rsidR="004A5276">
              <w:rPr>
                <w:noProof/>
                <w:webHidden/>
              </w:rPr>
              <w:t>115</w:t>
            </w:r>
            <w:r w:rsidR="00B16A0C">
              <w:rPr>
                <w:noProof/>
                <w:webHidden/>
              </w:rPr>
              <w:fldChar w:fldCharType="end"/>
            </w:r>
          </w:hyperlink>
        </w:p>
        <w:p w:rsidR="00B16A0C" w:rsidRDefault="00BC2C17">
          <w:pPr>
            <w:pStyle w:val="TDC3"/>
            <w:rPr>
              <w:rFonts w:eastAsiaTheme="minorEastAsia"/>
              <w:noProof/>
              <w:lang w:eastAsia="pt-PT"/>
            </w:rPr>
          </w:pPr>
          <w:hyperlink w:anchor="_Toc421529758" w:history="1">
            <w:r w:rsidR="00B16A0C" w:rsidRPr="00412724">
              <w:rPr>
                <w:rStyle w:val="Hipervnculo"/>
                <w:rFonts w:ascii="Garamond" w:hAnsi="Garamond"/>
                <w:noProof/>
              </w:rPr>
              <w:t>Argentina</w:t>
            </w:r>
            <w:r w:rsidR="00B16A0C">
              <w:rPr>
                <w:noProof/>
                <w:webHidden/>
              </w:rPr>
              <w:tab/>
            </w:r>
            <w:r w:rsidR="00B16A0C">
              <w:rPr>
                <w:noProof/>
                <w:webHidden/>
              </w:rPr>
              <w:fldChar w:fldCharType="begin"/>
            </w:r>
            <w:r w:rsidR="00B16A0C">
              <w:rPr>
                <w:noProof/>
                <w:webHidden/>
              </w:rPr>
              <w:instrText xml:space="preserve"> PAGEREF _Toc421529758 \h </w:instrText>
            </w:r>
            <w:r w:rsidR="00B16A0C">
              <w:rPr>
                <w:noProof/>
                <w:webHidden/>
              </w:rPr>
            </w:r>
            <w:r w:rsidR="00B16A0C">
              <w:rPr>
                <w:noProof/>
                <w:webHidden/>
              </w:rPr>
              <w:fldChar w:fldCharType="separate"/>
            </w:r>
            <w:r w:rsidR="004A5276">
              <w:rPr>
                <w:noProof/>
                <w:webHidden/>
              </w:rPr>
              <w:t>115</w:t>
            </w:r>
            <w:r w:rsidR="00B16A0C">
              <w:rPr>
                <w:noProof/>
                <w:webHidden/>
              </w:rPr>
              <w:fldChar w:fldCharType="end"/>
            </w:r>
          </w:hyperlink>
        </w:p>
        <w:p w:rsidR="00B16A0C" w:rsidRDefault="00BC2C17">
          <w:pPr>
            <w:pStyle w:val="TDC3"/>
            <w:rPr>
              <w:rFonts w:eastAsiaTheme="minorEastAsia"/>
              <w:noProof/>
              <w:lang w:eastAsia="pt-PT"/>
            </w:rPr>
          </w:pPr>
          <w:hyperlink w:anchor="_Toc421529759" w:history="1">
            <w:r w:rsidR="00B16A0C" w:rsidRPr="00412724">
              <w:rPr>
                <w:rStyle w:val="Hipervnculo"/>
                <w:rFonts w:ascii="Garamond" w:hAnsi="Garamond"/>
                <w:noProof/>
              </w:rPr>
              <w:t>Bolívia</w:t>
            </w:r>
            <w:r w:rsidR="00B16A0C">
              <w:rPr>
                <w:noProof/>
                <w:webHidden/>
              </w:rPr>
              <w:tab/>
            </w:r>
            <w:r w:rsidR="00B16A0C">
              <w:rPr>
                <w:noProof/>
                <w:webHidden/>
              </w:rPr>
              <w:fldChar w:fldCharType="begin"/>
            </w:r>
            <w:r w:rsidR="00B16A0C">
              <w:rPr>
                <w:noProof/>
                <w:webHidden/>
              </w:rPr>
              <w:instrText xml:space="preserve"> PAGEREF _Toc421529759 \h </w:instrText>
            </w:r>
            <w:r w:rsidR="00B16A0C">
              <w:rPr>
                <w:noProof/>
                <w:webHidden/>
              </w:rPr>
            </w:r>
            <w:r w:rsidR="00B16A0C">
              <w:rPr>
                <w:noProof/>
                <w:webHidden/>
              </w:rPr>
              <w:fldChar w:fldCharType="separate"/>
            </w:r>
            <w:r w:rsidR="004A5276">
              <w:rPr>
                <w:noProof/>
                <w:webHidden/>
              </w:rPr>
              <w:t>115</w:t>
            </w:r>
            <w:r w:rsidR="00B16A0C">
              <w:rPr>
                <w:noProof/>
                <w:webHidden/>
              </w:rPr>
              <w:fldChar w:fldCharType="end"/>
            </w:r>
          </w:hyperlink>
        </w:p>
        <w:p w:rsidR="00B16A0C" w:rsidRDefault="00BC2C17">
          <w:pPr>
            <w:pStyle w:val="TDC3"/>
            <w:rPr>
              <w:rFonts w:eastAsiaTheme="minorEastAsia"/>
              <w:noProof/>
              <w:lang w:eastAsia="pt-PT"/>
            </w:rPr>
          </w:pPr>
          <w:hyperlink w:anchor="_Toc421529760" w:history="1">
            <w:r w:rsidR="00B16A0C" w:rsidRPr="00412724">
              <w:rPr>
                <w:rStyle w:val="Hipervnculo"/>
                <w:rFonts w:ascii="Garamond" w:hAnsi="Garamond"/>
                <w:noProof/>
              </w:rPr>
              <w:t>Colômbia</w:t>
            </w:r>
            <w:r w:rsidR="00B16A0C">
              <w:rPr>
                <w:noProof/>
                <w:webHidden/>
              </w:rPr>
              <w:tab/>
            </w:r>
            <w:r w:rsidR="00B16A0C">
              <w:rPr>
                <w:noProof/>
                <w:webHidden/>
              </w:rPr>
              <w:fldChar w:fldCharType="begin"/>
            </w:r>
            <w:r w:rsidR="00B16A0C">
              <w:rPr>
                <w:noProof/>
                <w:webHidden/>
              </w:rPr>
              <w:instrText xml:space="preserve"> PAGEREF _Toc421529760 \h </w:instrText>
            </w:r>
            <w:r w:rsidR="00B16A0C">
              <w:rPr>
                <w:noProof/>
                <w:webHidden/>
              </w:rPr>
            </w:r>
            <w:r w:rsidR="00B16A0C">
              <w:rPr>
                <w:noProof/>
                <w:webHidden/>
              </w:rPr>
              <w:fldChar w:fldCharType="separate"/>
            </w:r>
            <w:r w:rsidR="004A5276">
              <w:rPr>
                <w:noProof/>
                <w:webHidden/>
              </w:rPr>
              <w:t>115</w:t>
            </w:r>
            <w:r w:rsidR="00B16A0C">
              <w:rPr>
                <w:noProof/>
                <w:webHidden/>
              </w:rPr>
              <w:fldChar w:fldCharType="end"/>
            </w:r>
          </w:hyperlink>
        </w:p>
        <w:p w:rsidR="00B16A0C" w:rsidRDefault="00BC2C17">
          <w:pPr>
            <w:pStyle w:val="TDC3"/>
            <w:rPr>
              <w:rFonts w:eastAsiaTheme="minorEastAsia"/>
              <w:noProof/>
              <w:lang w:eastAsia="pt-PT"/>
            </w:rPr>
          </w:pPr>
          <w:hyperlink w:anchor="_Toc421529761" w:history="1">
            <w:r w:rsidR="00B16A0C" w:rsidRPr="00412724">
              <w:rPr>
                <w:rStyle w:val="Hipervnculo"/>
                <w:rFonts w:ascii="Garamond" w:eastAsia="Calibri" w:hAnsi="Garamond"/>
                <w:noProof/>
              </w:rPr>
              <w:t>Costa Rica</w:t>
            </w:r>
            <w:r w:rsidR="00B16A0C">
              <w:rPr>
                <w:noProof/>
                <w:webHidden/>
              </w:rPr>
              <w:tab/>
            </w:r>
            <w:r w:rsidR="00B16A0C">
              <w:rPr>
                <w:noProof/>
                <w:webHidden/>
              </w:rPr>
              <w:fldChar w:fldCharType="begin"/>
            </w:r>
            <w:r w:rsidR="00B16A0C">
              <w:rPr>
                <w:noProof/>
                <w:webHidden/>
              </w:rPr>
              <w:instrText xml:space="preserve"> PAGEREF _Toc421529761 \h </w:instrText>
            </w:r>
            <w:r w:rsidR="00B16A0C">
              <w:rPr>
                <w:noProof/>
                <w:webHidden/>
              </w:rPr>
            </w:r>
            <w:r w:rsidR="00B16A0C">
              <w:rPr>
                <w:noProof/>
                <w:webHidden/>
              </w:rPr>
              <w:fldChar w:fldCharType="separate"/>
            </w:r>
            <w:r w:rsidR="004A5276">
              <w:rPr>
                <w:noProof/>
                <w:webHidden/>
              </w:rPr>
              <w:t>116</w:t>
            </w:r>
            <w:r w:rsidR="00B16A0C">
              <w:rPr>
                <w:noProof/>
                <w:webHidden/>
              </w:rPr>
              <w:fldChar w:fldCharType="end"/>
            </w:r>
          </w:hyperlink>
        </w:p>
        <w:p w:rsidR="00B16A0C" w:rsidRDefault="00BC2C17">
          <w:pPr>
            <w:pStyle w:val="TDC3"/>
            <w:rPr>
              <w:rFonts w:eastAsiaTheme="minorEastAsia"/>
              <w:noProof/>
              <w:lang w:eastAsia="pt-PT"/>
            </w:rPr>
          </w:pPr>
          <w:hyperlink w:anchor="_Toc421529762" w:history="1">
            <w:r w:rsidR="00B16A0C" w:rsidRPr="00412724">
              <w:rPr>
                <w:rStyle w:val="Hipervnculo"/>
                <w:rFonts w:ascii="Garamond" w:hAnsi="Garamond"/>
                <w:noProof/>
              </w:rPr>
              <w:t>El Salvador</w:t>
            </w:r>
            <w:r w:rsidR="00B16A0C">
              <w:rPr>
                <w:noProof/>
                <w:webHidden/>
              </w:rPr>
              <w:tab/>
            </w:r>
            <w:r w:rsidR="00B16A0C">
              <w:rPr>
                <w:noProof/>
                <w:webHidden/>
              </w:rPr>
              <w:fldChar w:fldCharType="begin"/>
            </w:r>
            <w:r w:rsidR="00B16A0C">
              <w:rPr>
                <w:noProof/>
                <w:webHidden/>
              </w:rPr>
              <w:instrText xml:space="preserve"> PAGEREF _Toc421529762 \h </w:instrText>
            </w:r>
            <w:r w:rsidR="00B16A0C">
              <w:rPr>
                <w:noProof/>
                <w:webHidden/>
              </w:rPr>
            </w:r>
            <w:r w:rsidR="00B16A0C">
              <w:rPr>
                <w:noProof/>
                <w:webHidden/>
              </w:rPr>
              <w:fldChar w:fldCharType="separate"/>
            </w:r>
            <w:r w:rsidR="004A5276">
              <w:rPr>
                <w:noProof/>
                <w:webHidden/>
              </w:rPr>
              <w:t>117</w:t>
            </w:r>
            <w:r w:rsidR="00B16A0C">
              <w:rPr>
                <w:noProof/>
                <w:webHidden/>
              </w:rPr>
              <w:fldChar w:fldCharType="end"/>
            </w:r>
          </w:hyperlink>
        </w:p>
        <w:p w:rsidR="00B16A0C" w:rsidRDefault="00BC2C17">
          <w:pPr>
            <w:pStyle w:val="TDC3"/>
            <w:rPr>
              <w:rFonts w:eastAsiaTheme="minorEastAsia"/>
              <w:noProof/>
              <w:lang w:eastAsia="pt-PT"/>
            </w:rPr>
          </w:pPr>
          <w:hyperlink w:anchor="_Toc421529763" w:history="1">
            <w:r w:rsidR="00B16A0C" w:rsidRPr="00412724">
              <w:rPr>
                <w:rStyle w:val="Hipervnculo"/>
                <w:rFonts w:ascii="Garamond" w:hAnsi="Garamond"/>
                <w:noProof/>
                <w:w w:val="92"/>
                <w:shd w:val="clear" w:color="auto" w:fill="FEFFFF"/>
                <w:lang w:eastAsia="es-CR" w:bidi="he-IL"/>
              </w:rPr>
              <w:t>Honduras</w:t>
            </w:r>
            <w:r w:rsidR="00B16A0C">
              <w:rPr>
                <w:noProof/>
                <w:webHidden/>
              </w:rPr>
              <w:tab/>
            </w:r>
            <w:r w:rsidR="00B16A0C">
              <w:rPr>
                <w:noProof/>
                <w:webHidden/>
              </w:rPr>
              <w:fldChar w:fldCharType="begin"/>
            </w:r>
            <w:r w:rsidR="00B16A0C">
              <w:rPr>
                <w:noProof/>
                <w:webHidden/>
              </w:rPr>
              <w:instrText xml:space="preserve"> PAGEREF _Toc421529763 \h </w:instrText>
            </w:r>
            <w:r w:rsidR="00B16A0C">
              <w:rPr>
                <w:noProof/>
                <w:webHidden/>
              </w:rPr>
            </w:r>
            <w:r w:rsidR="00B16A0C">
              <w:rPr>
                <w:noProof/>
                <w:webHidden/>
              </w:rPr>
              <w:fldChar w:fldCharType="separate"/>
            </w:r>
            <w:r w:rsidR="004A5276">
              <w:rPr>
                <w:noProof/>
                <w:webHidden/>
              </w:rPr>
              <w:t>117</w:t>
            </w:r>
            <w:r w:rsidR="00B16A0C">
              <w:rPr>
                <w:noProof/>
                <w:webHidden/>
              </w:rPr>
              <w:fldChar w:fldCharType="end"/>
            </w:r>
          </w:hyperlink>
        </w:p>
        <w:p w:rsidR="00B16A0C" w:rsidRDefault="00BC2C17">
          <w:pPr>
            <w:pStyle w:val="TDC2"/>
            <w:rPr>
              <w:rFonts w:eastAsiaTheme="minorEastAsia"/>
              <w:noProof/>
              <w:lang w:eastAsia="pt-PT"/>
            </w:rPr>
          </w:pPr>
          <w:hyperlink w:anchor="_Toc421529764" w:history="1">
            <w:r w:rsidR="00B16A0C" w:rsidRPr="00412724">
              <w:rPr>
                <w:rStyle w:val="Hipervnculo"/>
                <w:rFonts w:ascii="Garamond" w:hAnsi="Garamond"/>
                <w:noProof/>
              </w:rPr>
              <w:t>México</w:t>
            </w:r>
            <w:r w:rsidR="00B16A0C">
              <w:rPr>
                <w:noProof/>
                <w:webHidden/>
              </w:rPr>
              <w:tab/>
            </w:r>
            <w:r w:rsidR="00B16A0C">
              <w:rPr>
                <w:noProof/>
                <w:webHidden/>
              </w:rPr>
              <w:fldChar w:fldCharType="begin"/>
            </w:r>
            <w:r w:rsidR="00B16A0C">
              <w:rPr>
                <w:noProof/>
                <w:webHidden/>
              </w:rPr>
              <w:instrText xml:space="preserve"> PAGEREF _Toc421529764 \h </w:instrText>
            </w:r>
            <w:r w:rsidR="00B16A0C">
              <w:rPr>
                <w:noProof/>
                <w:webHidden/>
              </w:rPr>
            </w:r>
            <w:r w:rsidR="00B16A0C">
              <w:rPr>
                <w:noProof/>
                <w:webHidden/>
              </w:rPr>
              <w:fldChar w:fldCharType="separate"/>
            </w:r>
            <w:r w:rsidR="004A5276">
              <w:rPr>
                <w:noProof/>
                <w:webHidden/>
              </w:rPr>
              <w:t>117</w:t>
            </w:r>
            <w:r w:rsidR="00B16A0C">
              <w:rPr>
                <w:noProof/>
                <w:webHidden/>
              </w:rPr>
              <w:fldChar w:fldCharType="end"/>
            </w:r>
          </w:hyperlink>
        </w:p>
        <w:p w:rsidR="00B16A0C" w:rsidRDefault="00BC2C17">
          <w:pPr>
            <w:pStyle w:val="TDC3"/>
            <w:rPr>
              <w:rFonts w:eastAsiaTheme="minorEastAsia"/>
              <w:noProof/>
              <w:lang w:eastAsia="pt-PT"/>
            </w:rPr>
          </w:pPr>
          <w:hyperlink w:anchor="_Toc421529765" w:history="1">
            <w:r w:rsidR="00B16A0C" w:rsidRPr="00412724">
              <w:rPr>
                <w:rStyle w:val="Hipervnculo"/>
                <w:rFonts w:ascii="Garamond" w:hAnsi="Garamond"/>
                <w:noProof/>
              </w:rPr>
              <w:t>Paraguai</w:t>
            </w:r>
            <w:r w:rsidR="00B16A0C">
              <w:rPr>
                <w:noProof/>
                <w:webHidden/>
              </w:rPr>
              <w:tab/>
            </w:r>
            <w:r w:rsidR="00B16A0C">
              <w:rPr>
                <w:noProof/>
                <w:webHidden/>
              </w:rPr>
              <w:fldChar w:fldCharType="begin"/>
            </w:r>
            <w:r w:rsidR="00B16A0C">
              <w:rPr>
                <w:noProof/>
                <w:webHidden/>
              </w:rPr>
              <w:instrText xml:space="preserve"> PAGEREF _Toc421529765 \h </w:instrText>
            </w:r>
            <w:r w:rsidR="00B16A0C">
              <w:rPr>
                <w:noProof/>
                <w:webHidden/>
              </w:rPr>
            </w:r>
            <w:r w:rsidR="00B16A0C">
              <w:rPr>
                <w:noProof/>
                <w:webHidden/>
              </w:rPr>
              <w:fldChar w:fldCharType="separate"/>
            </w:r>
            <w:r w:rsidR="004A5276">
              <w:rPr>
                <w:noProof/>
                <w:webHidden/>
              </w:rPr>
              <w:t>118</w:t>
            </w:r>
            <w:r w:rsidR="00B16A0C">
              <w:rPr>
                <w:noProof/>
                <w:webHidden/>
              </w:rPr>
              <w:fldChar w:fldCharType="end"/>
            </w:r>
          </w:hyperlink>
        </w:p>
        <w:p w:rsidR="00B16A0C" w:rsidRDefault="00BC2C17">
          <w:pPr>
            <w:pStyle w:val="TDC3"/>
            <w:rPr>
              <w:rFonts w:eastAsiaTheme="minorEastAsia"/>
              <w:noProof/>
              <w:lang w:eastAsia="pt-PT"/>
            </w:rPr>
          </w:pPr>
          <w:hyperlink w:anchor="_Toc421529766" w:history="1">
            <w:r w:rsidR="00B16A0C" w:rsidRPr="00412724">
              <w:rPr>
                <w:rStyle w:val="Hipervnculo"/>
                <w:rFonts w:ascii="Garamond" w:hAnsi="Garamond"/>
                <w:noProof/>
              </w:rPr>
              <w:t>Peru</w:t>
            </w:r>
            <w:r w:rsidR="00B16A0C">
              <w:rPr>
                <w:noProof/>
                <w:webHidden/>
              </w:rPr>
              <w:tab/>
            </w:r>
            <w:r w:rsidR="00B16A0C">
              <w:rPr>
                <w:noProof/>
                <w:webHidden/>
              </w:rPr>
              <w:fldChar w:fldCharType="begin"/>
            </w:r>
            <w:r w:rsidR="00B16A0C">
              <w:rPr>
                <w:noProof/>
                <w:webHidden/>
              </w:rPr>
              <w:instrText xml:space="preserve"> PAGEREF _Toc421529766 \h </w:instrText>
            </w:r>
            <w:r w:rsidR="00B16A0C">
              <w:rPr>
                <w:noProof/>
                <w:webHidden/>
              </w:rPr>
            </w:r>
            <w:r w:rsidR="00B16A0C">
              <w:rPr>
                <w:noProof/>
                <w:webHidden/>
              </w:rPr>
              <w:fldChar w:fldCharType="separate"/>
            </w:r>
            <w:r w:rsidR="004A5276">
              <w:rPr>
                <w:noProof/>
                <w:webHidden/>
              </w:rPr>
              <w:t>118</w:t>
            </w:r>
            <w:r w:rsidR="00B16A0C">
              <w:rPr>
                <w:noProof/>
                <w:webHidden/>
              </w:rPr>
              <w:fldChar w:fldCharType="end"/>
            </w:r>
          </w:hyperlink>
        </w:p>
        <w:p w:rsidR="00B16A0C" w:rsidRDefault="00BC2C17">
          <w:pPr>
            <w:pStyle w:val="TDC3"/>
            <w:rPr>
              <w:rFonts w:eastAsiaTheme="minorEastAsia"/>
              <w:noProof/>
              <w:lang w:eastAsia="pt-PT"/>
            </w:rPr>
          </w:pPr>
          <w:hyperlink w:anchor="_Toc421529767" w:history="1">
            <w:r w:rsidR="00B16A0C" w:rsidRPr="00412724">
              <w:rPr>
                <w:rStyle w:val="Hipervnculo"/>
                <w:rFonts w:ascii="Garamond" w:hAnsi="Garamond"/>
                <w:noProof/>
              </w:rPr>
              <w:t>Porto Rico</w:t>
            </w:r>
            <w:r w:rsidR="00B16A0C">
              <w:rPr>
                <w:noProof/>
                <w:webHidden/>
              </w:rPr>
              <w:tab/>
            </w:r>
            <w:r w:rsidR="00B16A0C">
              <w:rPr>
                <w:noProof/>
                <w:webHidden/>
              </w:rPr>
              <w:fldChar w:fldCharType="begin"/>
            </w:r>
            <w:r w:rsidR="00B16A0C">
              <w:rPr>
                <w:noProof/>
                <w:webHidden/>
              </w:rPr>
              <w:instrText xml:space="preserve"> PAGEREF _Toc421529767 \h </w:instrText>
            </w:r>
            <w:r w:rsidR="00B16A0C">
              <w:rPr>
                <w:noProof/>
                <w:webHidden/>
              </w:rPr>
            </w:r>
            <w:r w:rsidR="00B16A0C">
              <w:rPr>
                <w:noProof/>
                <w:webHidden/>
              </w:rPr>
              <w:fldChar w:fldCharType="separate"/>
            </w:r>
            <w:r w:rsidR="004A5276">
              <w:rPr>
                <w:noProof/>
                <w:webHidden/>
              </w:rPr>
              <w:t>118</w:t>
            </w:r>
            <w:r w:rsidR="00B16A0C">
              <w:rPr>
                <w:noProof/>
                <w:webHidden/>
              </w:rPr>
              <w:fldChar w:fldCharType="end"/>
            </w:r>
          </w:hyperlink>
        </w:p>
        <w:p w:rsidR="00B16A0C" w:rsidRDefault="00BC2C17">
          <w:pPr>
            <w:pStyle w:val="TDC3"/>
            <w:rPr>
              <w:rFonts w:eastAsiaTheme="minorEastAsia"/>
              <w:noProof/>
              <w:lang w:eastAsia="pt-PT"/>
            </w:rPr>
          </w:pPr>
          <w:hyperlink w:anchor="_Toc421529768" w:history="1">
            <w:r w:rsidR="00B16A0C" w:rsidRPr="00412724">
              <w:rPr>
                <w:rStyle w:val="Hipervnculo"/>
                <w:rFonts w:ascii="Garamond" w:hAnsi="Garamond"/>
                <w:noProof/>
              </w:rPr>
              <w:t>Uruguai</w:t>
            </w:r>
            <w:r w:rsidR="00B16A0C">
              <w:rPr>
                <w:noProof/>
                <w:webHidden/>
              </w:rPr>
              <w:tab/>
            </w:r>
            <w:r w:rsidR="00B16A0C">
              <w:rPr>
                <w:noProof/>
                <w:webHidden/>
              </w:rPr>
              <w:fldChar w:fldCharType="begin"/>
            </w:r>
            <w:r w:rsidR="00B16A0C">
              <w:rPr>
                <w:noProof/>
                <w:webHidden/>
              </w:rPr>
              <w:instrText xml:space="preserve"> PAGEREF _Toc421529768 \h </w:instrText>
            </w:r>
            <w:r w:rsidR="00B16A0C">
              <w:rPr>
                <w:noProof/>
                <w:webHidden/>
              </w:rPr>
            </w:r>
            <w:r w:rsidR="00B16A0C">
              <w:rPr>
                <w:noProof/>
                <w:webHidden/>
              </w:rPr>
              <w:fldChar w:fldCharType="separate"/>
            </w:r>
            <w:r w:rsidR="004A5276">
              <w:rPr>
                <w:noProof/>
                <w:webHidden/>
              </w:rPr>
              <w:t>119</w:t>
            </w:r>
            <w:r w:rsidR="00B16A0C">
              <w:rPr>
                <w:noProof/>
                <w:webHidden/>
              </w:rPr>
              <w:fldChar w:fldCharType="end"/>
            </w:r>
          </w:hyperlink>
        </w:p>
        <w:p w:rsidR="00B16A0C" w:rsidRDefault="00BC2C17">
          <w:pPr>
            <w:pStyle w:val="TDC3"/>
            <w:rPr>
              <w:rFonts w:eastAsiaTheme="minorEastAsia"/>
              <w:noProof/>
              <w:lang w:eastAsia="pt-PT"/>
            </w:rPr>
          </w:pPr>
          <w:hyperlink w:anchor="_Toc421529769" w:history="1">
            <w:r w:rsidR="00B16A0C" w:rsidRPr="00412724">
              <w:rPr>
                <w:rStyle w:val="Hipervnculo"/>
                <w:rFonts w:ascii="Garamond" w:hAnsi="Garamond"/>
                <w:noProof/>
              </w:rPr>
              <w:t>Venezuela</w:t>
            </w:r>
            <w:r w:rsidR="00B16A0C">
              <w:rPr>
                <w:noProof/>
                <w:webHidden/>
              </w:rPr>
              <w:tab/>
            </w:r>
            <w:r w:rsidR="00B16A0C">
              <w:rPr>
                <w:noProof/>
                <w:webHidden/>
              </w:rPr>
              <w:fldChar w:fldCharType="begin"/>
            </w:r>
            <w:r w:rsidR="00B16A0C">
              <w:rPr>
                <w:noProof/>
                <w:webHidden/>
              </w:rPr>
              <w:instrText xml:space="preserve"> PAGEREF _Toc421529769 \h </w:instrText>
            </w:r>
            <w:r w:rsidR="00B16A0C">
              <w:rPr>
                <w:noProof/>
                <w:webHidden/>
              </w:rPr>
            </w:r>
            <w:r w:rsidR="00B16A0C">
              <w:rPr>
                <w:noProof/>
                <w:webHidden/>
              </w:rPr>
              <w:fldChar w:fldCharType="separate"/>
            </w:r>
            <w:r w:rsidR="004A5276">
              <w:rPr>
                <w:noProof/>
                <w:webHidden/>
              </w:rPr>
              <w:t>120</w:t>
            </w:r>
            <w:r w:rsidR="00B16A0C">
              <w:rPr>
                <w:noProof/>
                <w:webHidden/>
              </w:rPr>
              <w:fldChar w:fldCharType="end"/>
            </w:r>
          </w:hyperlink>
        </w:p>
        <w:p w:rsidR="00B16A0C" w:rsidRDefault="00BC2C17">
          <w:pPr>
            <w:pStyle w:val="TDC1"/>
            <w:tabs>
              <w:tab w:val="left" w:pos="660"/>
            </w:tabs>
            <w:rPr>
              <w:rFonts w:eastAsiaTheme="minorEastAsia"/>
              <w:noProof/>
              <w:lang w:eastAsia="pt-PT"/>
            </w:rPr>
          </w:pPr>
          <w:hyperlink w:anchor="_Toc421529770" w:history="1">
            <w:r w:rsidR="00B16A0C" w:rsidRPr="00412724">
              <w:rPr>
                <w:rStyle w:val="Hipervnculo"/>
                <w:rFonts w:ascii="Garamond" w:hAnsi="Garamond"/>
                <w:noProof/>
              </w:rPr>
              <w:t>3</w:t>
            </w:r>
            <w:r w:rsidR="00CA0AAC">
              <w:rPr>
                <w:rStyle w:val="Hipervnculo"/>
                <w:rFonts w:ascii="Garamond" w:hAnsi="Garamond"/>
                <w:noProof/>
              </w:rPr>
              <w:t>.</w:t>
            </w:r>
            <w:r w:rsidR="00B16A0C">
              <w:rPr>
                <w:rFonts w:eastAsiaTheme="minorEastAsia"/>
                <w:noProof/>
                <w:lang w:eastAsia="pt-PT"/>
              </w:rPr>
              <w:tab/>
            </w:r>
            <w:r w:rsidR="00B16A0C" w:rsidRPr="00412724">
              <w:rPr>
                <w:rStyle w:val="Hipervnculo"/>
                <w:rFonts w:ascii="Garamond" w:hAnsi="Garamond"/>
                <w:noProof/>
              </w:rPr>
              <w:t>CONCLUSÕES</w:t>
            </w:r>
            <w:r w:rsidR="00B16A0C">
              <w:rPr>
                <w:noProof/>
                <w:webHidden/>
              </w:rPr>
              <w:tab/>
            </w:r>
            <w:r w:rsidR="00B16A0C">
              <w:rPr>
                <w:noProof/>
                <w:webHidden/>
              </w:rPr>
              <w:fldChar w:fldCharType="begin"/>
            </w:r>
            <w:r w:rsidR="00B16A0C">
              <w:rPr>
                <w:noProof/>
                <w:webHidden/>
              </w:rPr>
              <w:instrText xml:space="preserve"> PAGEREF _Toc421529770 \h </w:instrText>
            </w:r>
            <w:r w:rsidR="00B16A0C">
              <w:rPr>
                <w:noProof/>
                <w:webHidden/>
              </w:rPr>
            </w:r>
            <w:r w:rsidR="00B16A0C">
              <w:rPr>
                <w:noProof/>
                <w:webHidden/>
              </w:rPr>
              <w:fldChar w:fldCharType="separate"/>
            </w:r>
            <w:r w:rsidR="004A5276">
              <w:rPr>
                <w:noProof/>
                <w:webHidden/>
              </w:rPr>
              <w:t>121</w:t>
            </w:r>
            <w:r w:rsidR="00B16A0C">
              <w:rPr>
                <w:noProof/>
                <w:webHidden/>
              </w:rPr>
              <w:fldChar w:fldCharType="end"/>
            </w:r>
          </w:hyperlink>
        </w:p>
        <w:p w:rsidR="00B16A0C" w:rsidRDefault="00D35D55">
          <w:pPr>
            <w:pStyle w:val="TDC1"/>
            <w:rPr>
              <w:rFonts w:eastAsiaTheme="minorEastAsia"/>
              <w:noProof/>
              <w:lang w:eastAsia="pt-PT"/>
            </w:rPr>
          </w:pPr>
          <w:r w:rsidRPr="003F4889">
            <w:rPr>
              <w:rFonts w:ascii="Garamond" w:hAnsi="Garamond"/>
            </w:rPr>
            <w:t>A</w:t>
          </w:r>
          <w:r w:rsidR="003F4889" w:rsidRPr="003F4889">
            <w:rPr>
              <w:rFonts w:ascii="Garamond" w:hAnsi="Garamond"/>
            </w:rPr>
            <w:t>NEXO</w:t>
          </w:r>
          <w:r w:rsidRPr="003F4889">
            <w:rPr>
              <w:rFonts w:ascii="Garamond" w:hAnsi="Garamond"/>
            </w:rPr>
            <w:t xml:space="preserve"> I</w:t>
          </w:r>
          <w:r>
            <w:t xml:space="preserve">: </w:t>
          </w:r>
          <w:hyperlink w:anchor="_Toc421529771" w:history="1">
            <w:r w:rsidR="00B16A0C" w:rsidRPr="00412724">
              <w:rPr>
                <w:rStyle w:val="Hipervnculo"/>
                <w:rFonts w:ascii="Garamond" w:hAnsi="Garamond"/>
                <w:noProof/>
              </w:rPr>
              <w:t>RELATÓRIO DA PROCURADORIA FEDERAL DOS DIREITOS DO CIDADÃO DO BRASIL</w:t>
            </w:r>
            <w:r w:rsidR="00B16A0C">
              <w:rPr>
                <w:noProof/>
                <w:webHidden/>
              </w:rPr>
              <w:tab/>
            </w:r>
            <w:r w:rsidR="00B16A0C">
              <w:rPr>
                <w:noProof/>
                <w:webHidden/>
              </w:rPr>
              <w:fldChar w:fldCharType="begin"/>
            </w:r>
            <w:r w:rsidR="00B16A0C">
              <w:rPr>
                <w:noProof/>
                <w:webHidden/>
              </w:rPr>
              <w:instrText xml:space="preserve"> PAGEREF _Toc421529771 \h </w:instrText>
            </w:r>
            <w:r w:rsidR="00B16A0C">
              <w:rPr>
                <w:noProof/>
                <w:webHidden/>
              </w:rPr>
            </w:r>
            <w:r w:rsidR="00B16A0C">
              <w:rPr>
                <w:noProof/>
                <w:webHidden/>
              </w:rPr>
              <w:fldChar w:fldCharType="separate"/>
            </w:r>
            <w:r w:rsidR="004A5276">
              <w:rPr>
                <w:noProof/>
                <w:webHidden/>
              </w:rPr>
              <w:t>125</w:t>
            </w:r>
            <w:r w:rsidR="00B16A0C">
              <w:rPr>
                <w:noProof/>
                <w:webHidden/>
              </w:rPr>
              <w:fldChar w:fldCharType="end"/>
            </w:r>
          </w:hyperlink>
        </w:p>
        <w:p w:rsidR="00B16A0C" w:rsidRDefault="00BC2C17">
          <w:pPr>
            <w:pStyle w:val="TDC1"/>
            <w:rPr>
              <w:rFonts w:eastAsiaTheme="minorEastAsia"/>
              <w:noProof/>
              <w:lang w:eastAsia="pt-PT"/>
            </w:rPr>
          </w:pPr>
          <w:hyperlink w:anchor="_Toc421529772" w:history="1">
            <w:r w:rsidR="00B16A0C" w:rsidRPr="00412724">
              <w:rPr>
                <w:rStyle w:val="Hipervnculo"/>
                <w:rFonts w:ascii="Garamond" w:hAnsi="Garamond"/>
                <w:noProof/>
              </w:rPr>
              <w:t>A</w:t>
            </w:r>
            <w:r w:rsidR="003F4889">
              <w:rPr>
                <w:rStyle w:val="Hipervnculo"/>
                <w:rFonts w:ascii="Garamond" w:hAnsi="Garamond"/>
                <w:noProof/>
              </w:rPr>
              <w:t>NEXO</w:t>
            </w:r>
            <w:r w:rsidR="00B16A0C" w:rsidRPr="00412724">
              <w:rPr>
                <w:rStyle w:val="Hipervnculo"/>
                <w:rFonts w:ascii="Garamond" w:hAnsi="Garamond"/>
                <w:noProof/>
              </w:rPr>
              <w:t xml:space="preserve"> II</w:t>
            </w:r>
            <w:r w:rsidR="00D35D55">
              <w:rPr>
                <w:rStyle w:val="Hipervnculo"/>
                <w:rFonts w:ascii="Garamond" w:hAnsi="Garamond"/>
                <w:noProof/>
              </w:rPr>
              <w:t>:</w:t>
            </w:r>
            <w:r w:rsidR="00B16A0C" w:rsidRPr="00412724">
              <w:rPr>
                <w:rStyle w:val="Hipervnculo"/>
                <w:rFonts w:ascii="Garamond" w:hAnsi="Garamond"/>
                <w:noProof/>
              </w:rPr>
              <w:t xml:space="preserve"> </w:t>
            </w:r>
            <w:r w:rsidR="00B16A0C" w:rsidRPr="00D35D55">
              <w:rPr>
                <w:rStyle w:val="Hipervnculo"/>
                <w:rFonts w:ascii="Garamond" w:hAnsi="Garamond"/>
                <w:caps/>
                <w:noProof/>
              </w:rPr>
              <w:t>Instrumentos internacionais de proteção da mulher</w:t>
            </w:r>
            <w:r w:rsidR="00B16A0C">
              <w:rPr>
                <w:noProof/>
                <w:webHidden/>
              </w:rPr>
              <w:tab/>
            </w:r>
            <w:r w:rsidR="00AB0190">
              <w:rPr>
                <w:noProof/>
                <w:webHidden/>
              </w:rPr>
              <w:t>137</w:t>
            </w:r>
            <w:r w:rsidR="00B16A0C">
              <w:rPr>
                <w:noProof/>
                <w:webHidden/>
              </w:rPr>
              <w:fldChar w:fldCharType="begin"/>
            </w:r>
            <w:r w:rsidR="00B16A0C">
              <w:rPr>
                <w:noProof/>
                <w:webHidden/>
              </w:rPr>
              <w:instrText xml:space="preserve"> PAGEREF _Toc421529772 \h </w:instrText>
            </w:r>
            <w:r w:rsidR="00B16A0C">
              <w:rPr>
                <w:noProof/>
                <w:webHidden/>
              </w:rPr>
            </w:r>
            <w:r w:rsidR="00B16A0C">
              <w:rPr>
                <w:noProof/>
                <w:webHidden/>
              </w:rPr>
              <w:fldChar w:fldCharType="separate"/>
            </w:r>
            <w:r w:rsidR="004A5276">
              <w:rPr>
                <w:b/>
                <w:bCs/>
                <w:noProof/>
                <w:webHidden/>
              </w:rPr>
              <w:t xml:space="preserve"> </w:t>
            </w:r>
            <w:r w:rsidR="00B16A0C">
              <w:rPr>
                <w:noProof/>
                <w:webHidden/>
              </w:rPr>
              <w:fldChar w:fldCharType="end"/>
            </w:r>
          </w:hyperlink>
        </w:p>
        <w:p w:rsidR="002D19B6" w:rsidRPr="003A1174" w:rsidRDefault="00DA6460" w:rsidP="008719D4">
          <w:pPr>
            <w:spacing w:line="240" w:lineRule="auto"/>
            <w:rPr>
              <w:rFonts w:ascii="Garamond" w:hAnsi="Garamond"/>
              <w:sz w:val="24"/>
              <w:szCs w:val="24"/>
            </w:rPr>
          </w:pPr>
          <w:r w:rsidRPr="003A1174">
            <w:rPr>
              <w:rFonts w:ascii="Garamond" w:hAnsi="Garamond" w:cs="Arial"/>
              <w:bCs/>
              <w:sz w:val="24"/>
              <w:szCs w:val="24"/>
              <w:lang w:val="es-ES"/>
            </w:rPr>
            <w:fldChar w:fldCharType="end"/>
          </w:r>
        </w:p>
      </w:sdtContent>
    </w:sdt>
    <w:p w:rsidR="00D94770" w:rsidRPr="003A1174" w:rsidRDefault="002D19B6" w:rsidP="008719D4">
      <w:pPr>
        <w:spacing w:line="240" w:lineRule="auto"/>
        <w:jc w:val="both"/>
        <w:rPr>
          <w:rFonts w:ascii="Garamond" w:hAnsi="Garamond" w:cs="Arial"/>
          <w:sz w:val="24"/>
          <w:szCs w:val="24"/>
        </w:rPr>
      </w:pPr>
      <w:r w:rsidRPr="003A1174" w:rsidDel="002D19B6">
        <w:rPr>
          <w:rFonts w:ascii="Garamond" w:hAnsi="Garamond"/>
          <w:noProof/>
          <w:sz w:val="24"/>
          <w:szCs w:val="24"/>
        </w:rPr>
        <w:t xml:space="preserve"> </w:t>
      </w:r>
    </w:p>
    <w:p w:rsidR="00FE0A64" w:rsidRPr="003F4889" w:rsidRDefault="00976723" w:rsidP="008719D4">
      <w:pPr>
        <w:pStyle w:val="Ttulo1"/>
        <w:rPr>
          <w:rFonts w:ascii="Garamond" w:hAnsi="Garamond"/>
          <w:color w:val="548DD4" w:themeColor="text2" w:themeTint="99"/>
          <w:szCs w:val="24"/>
          <w:lang w:val="pt-PT"/>
        </w:rPr>
      </w:pPr>
      <w:r w:rsidRPr="003A1174">
        <w:rPr>
          <w:rFonts w:ascii="Garamond" w:hAnsi="Garamond"/>
          <w:szCs w:val="24"/>
          <w:lang w:val="pt-PT"/>
        </w:rPr>
        <w:br w:type="column"/>
      </w:r>
      <w:r w:rsidR="00D81A95" w:rsidRPr="003F4889">
        <w:rPr>
          <w:rFonts w:ascii="Garamond" w:hAnsi="Garamond"/>
          <w:color w:val="548DD4" w:themeColor="text2" w:themeTint="99"/>
          <w:szCs w:val="24"/>
          <w:lang w:val="pt-PT"/>
        </w:rPr>
        <w:lastRenderedPageBreak/>
        <w:t xml:space="preserve"> PREÂMBULO</w:t>
      </w:r>
    </w:p>
    <w:p w:rsidR="00BA3CCE" w:rsidRPr="003A1174" w:rsidRDefault="00886D6A" w:rsidP="008719D4">
      <w:pPr>
        <w:spacing w:line="240" w:lineRule="auto"/>
        <w:jc w:val="both"/>
        <w:rPr>
          <w:rFonts w:ascii="Garamond" w:hAnsi="Garamond" w:cs="Arial"/>
          <w:sz w:val="24"/>
          <w:szCs w:val="24"/>
        </w:rPr>
      </w:pPr>
      <w:proofErr w:type="gramStart"/>
      <w:r w:rsidRPr="003A1174">
        <w:rPr>
          <w:rFonts w:ascii="Garamond" w:hAnsi="Garamond" w:cs="Arial"/>
          <w:sz w:val="24"/>
          <w:szCs w:val="24"/>
        </w:rPr>
        <w:t>A proteção</w:t>
      </w:r>
      <w:r w:rsidR="002C7510" w:rsidRPr="003A1174">
        <w:rPr>
          <w:rFonts w:ascii="Garamond" w:hAnsi="Garamond" w:cs="Arial"/>
          <w:sz w:val="24"/>
          <w:szCs w:val="24"/>
        </w:rPr>
        <w:t xml:space="preserve"> e</w:t>
      </w:r>
      <w:r w:rsidR="005D38DC" w:rsidRPr="003A1174">
        <w:rPr>
          <w:rFonts w:ascii="Garamond" w:hAnsi="Garamond" w:cs="Arial"/>
          <w:sz w:val="24"/>
          <w:szCs w:val="24"/>
        </w:rPr>
        <w:t xml:space="preserve"> </w:t>
      </w:r>
      <w:r w:rsidR="00DC5DA7" w:rsidRPr="003A1174">
        <w:rPr>
          <w:rFonts w:ascii="Garamond" w:hAnsi="Garamond" w:cs="Arial"/>
          <w:sz w:val="24"/>
          <w:szCs w:val="24"/>
        </w:rPr>
        <w:t>fortalecimento</w:t>
      </w:r>
      <w:r w:rsidR="005D38DC" w:rsidRPr="003A1174">
        <w:rPr>
          <w:rFonts w:ascii="Garamond" w:hAnsi="Garamond" w:cs="Arial"/>
          <w:sz w:val="24"/>
          <w:szCs w:val="24"/>
        </w:rPr>
        <w:t xml:space="preserve"> d</w:t>
      </w:r>
      <w:r w:rsidR="00FE0A64" w:rsidRPr="003A1174">
        <w:rPr>
          <w:rFonts w:ascii="Garamond" w:hAnsi="Garamond" w:cs="Arial"/>
          <w:sz w:val="24"/>
          <w:szCs w:val="24"/>
        </w:rPr>
        <w:t xml:space="preserve">os </w:t>
      </w:r>
      <w:r w:rsidRPr="003A1174">
        <w:rPr>
          <w:rFonts w:ascii="Garamond" w:hAnsi="Garamond" w:cs="Arial"/>
          <w:sz w:val="24"/>
          <w:szCs w:val="24"/>
        </w:rPr>
        <w:t>direito</w:t>
      </w:r>
      <w:r w:rsidR="005D38DC" w:rsidRPr="003A1174">
        <w:rPr>
          <w:rFonts w:ascii="Garamond" w:hAnsi="Garamond" w:cs="Arial"/>
          <w:sz w:val="24"/>
          <w:szCs w:val="24"/>
        </w:rPr>
        <w:t>s humanos d</w:t>
      </w:r>
      <w:r w:rsidR="00FE0A64" w:rsidRPr="003A1174">
        <w:rPr>
          <w:rFonts w:ascii="Garamond" w:hAnsi="Garamond" w:cs="Arial"/>
          <w:sz w:val="24"/>
          <w:szCs w:val="24"/>
        </w:rPr>
        <w:t xml:space="preserve">as </w:t>
      </w:r>
      <w:r w:rsidR="00054EE0" w:rsidRPr="003A1174">
        <w:rPr>
          <w:rFonts w:ascii="Garamond" w:hAnsi="Garamond" w:cs="Arial"/>
          <w:sz w:val="24"/>
          <w:szCs w:val="24"/>
        </w:rPr>
        <w:t>mulheres</w:t>
      </w:r>
      <w:r w:rsidR="00FE0A64" w:rsidRPr="003A1174">
        <w:rPr>
          <w:rFonts w:ascii="Garamond" w:hAnsi="Garamond" w:cs="Arial"/>
          <w:sz w:val="24"/>
          <w:szCs w:val="24"/>
        </w:rPr>
        <w:t xml:space="preserve"> </w:t>
      </w:r>
      <w:r w:rsidR="005D38DC" w:rsidRPr="003A1174">
        <w:rPr>
          <w:rFonts w:ascii="Garamond" w:hAnsi="Garamond" w:cs="Arial"/>
          <w:sz w:val="24"/>
          <w:szCs w:val="24"/>
        </w:rPr>
        <w:t>é</w:t>
      </w:r>
      <w:proofErr w:type="gramEnd"/>
      <w:r w:rsidR="0017447A" w:rsidRPr="003A1174">
        <w:rPr>
          <w:rFonts w:ascii="Garamond" w:hAnsi="Garamond" w:cs="Arial"/>
          <w:sz w:val="24"/>
          <w:szCs w:val="24"/>
        </w:rPr>
        <w:t>,</w:t>
      </w:r>
      <w:r w:rsidR="005D38DC" w:rsidRPr="003A1174">
        <w:rPr>
          <w:rFonts w:ascii="Garamond" w:hAnsi="Garamond" w:cs="Arial"/>
          <w:sz w:val="24"/>
          <w:szCs w:val="24"/>
        </w:rPr>
        <w:t xml:space="preserve"> e tem </w:t>
      </w:r>
      <w:r w:rsidR="00FE0A64" w:rsidRPr="003A1174">
        <w:rPr>
          <w:rFonts w:ascii="Garamond" w:hAnsi="Garamond" w:cs="Arial"/>
          <w:sz w:val="24"/>
          <w:szCs w:val="24"/>
        </w:rPr>
        <w:t>sido</w:t>
      </w:r>
      <w:r w:rsidR="0017447A" w:rsidRPr="003A1174">
        <w:rPr>
          <w:rFonts w:ascii="Garamond" w:hAnsi="Garamond" w:cs="Arial"/>
          <w:sz w:val="24"/>
          <w:szCs w:val="24"/>
        </w:rPr>
        <w:t>,</w:t>
      </w:r>
      <w:r w:rsidR="00FE0A64" w:rsidRPr="003A1174">
        <w:rPr>
          <w:rFonts w:ascii="Garamond" w:hAnsi="Garamond" w:cs="Arial"/>
          <w:sz w:val="24"/>
          <w:szCs w:val="24"/>
        </w:rPr>
        <w:t xml:space="preserve"> de gran</w:t>
      </w:r>
      <w:r w:rsidR="005D38DC" w:rsidRPr="003A1174">
        <w:rPr>
          <w:rFonts w:ascii="Garamond" w:hAnsi="Garamond" w:cs="Arial"/>
          <w:sz w:val="24"/>
          <w:szCs w:val="24"/>
        </w:rPr>
        <w:t>de</w:t>
      </w:r>
      <w:r w:rsidR="00FE0A64" w:rsidRPr="003A1174">
        <w:rPr>
          <w:rFonts w:ascii="Garamond" w:hAnsi="Garamond" w:cs="Arial"/>
          <w:sz w:val="24"/>
          <w:szCs w:val="24"/>
        </w:rPr>
        <w:t xml:space="preserve"> </w:t>
      </w:r>
      <w:r w:rsidR="005D38DC" w:rsidRPr="003A1174">
        <w:rPr>
          <w:rFonts w:ascii="Garamond" w:hAnsi="Garamond" w:cs="Arial"/>
          <w:sz w:val="24"/>
          <w:szCs w:val="24"/>
        </w:rPr>
        <w:t xml:space="preserve">importância para </w:t>
      </w:r>
      <w:r w:rsidR="00FE0A64" w:rsidRPr="003A1174">
        <w:rPr>
          <w:rFonts w:ascii="Garamond" w:hAnsi="Garamond" w:cs="Arial"/>
          <w:sz w:val="24"/>
          <w:szCs w:val="24"/>
        </w:rPr>
        <w:t xml:space="preserve">a </w:t>
      </w:r>
      <w:r w:rsidR="00C30647" w:rsidRPr="003A1174">
        <w:rPr>
          <w:rFonts w:ascii="Garamond" w:hAnsi="Garamond" w:cs="Arial"/>
          <w:sz w:val="24"/>
          <w:szCs w:val="24"/>
        </w:rPr>
        <w:t>Federação</w:t>
      </w:r>
      <w:r w:rsidR="00FE0A64" w:rsidRPr="003A1174">
        <w:rPr>
          <w:rFonts w:ascii="Garamond" w:hAnsi="Garamond" w:cs="Arial"/>
          <w:sz w:val="24"/>
          <w:szCs w:val="24"/>
        </w:rPr>
        <w:t xml:space="preserve"> Iberoamericana de Ombudsman (FIO). </w:t>
      </w:r>
      <w:r w:rsidR="002C7510" w:rsidRPr="003A1174">
        <w:rPr>
          <w:rFonts w:ascii="Garamond" w:hAnsi="Garamond" w:cs="Arial"/>
          <w:sz w:val="24"/>
          <w:szCs w:val="24"/>
        </w:rPr>
        <w:t>Por essa razão, no ano</w:t>
      </w:r>
      <w:r w:rsidR="00FE0A64" w:rsidRPr="003A1174">
        <w:rPr>
          <w:rFonts w:ascii="Garamond" w:hAnsi="Garamond" w:cs="Arial"/>
          <w:sz w:val="24"/>
          <w:szCs w:val="24"/>
        </w:rPr>
        <w:t xml:space="preserve"> 1996</w:t>
      </w:r>
      <w:r w:rsidR="00CF2EF4" w:rsidRPr="003A1174">
        <w:rPr>
          <w:rFonts w:ascii="Garamond" w:hAnsi="Garamond" w:cs="Arial"/>
          <w:sz w:val="24"/>
          <w:szCs w:val="24"/>
        </w:rPr>
        <w:t>,</w:t>
      </w:r>
      <w:r w:rsidR="00FE0A64" w:rsidRPr="003A1174">
        <w:rPr>
          <w:rFonts w:ascii="Garamond" w:hAnsi="Garamond" w:cs="Arial"/>
          <w:sz w:val="24"/>
          <w:szCs w:val="24"/>
        </w:rPr>
        <w:t xml:space="preserve"> </w:t>
      </w:r>
      <w:r w:rsidR="00D81A95">
        <w:rPr>
          <w:rFonts w:ascii="Garamond" w:hAnsi="Garamond" w:cs="Arial"/>
          <w:sz w:val="24"/>
          <w:szCs w:val="24"/>
        </w:rPr>
        <w:t xml:space="preserve">foi criada </w:t>
      </w:r>
      <w:r w:rsidR="00DC5DA7" w:rsidRPr="003A1174">
        <w:rPr>
          <w:rFonts w:ascii="Garamond" w:hAnsi="Garamond" w:cs="Arial"/>
          <w:sz w:val="24"/>
          <w:szCs w:val="24"/>
        </w:rPr>
        <w:t xml:space="preserve">a </w:t>
      </w:r>
      <w:r w:rsidR="002C7510" w:rsidRPr="003A1174">
        <w:rPr>
          <w:rFonts w:ascii="Garamond" w:hAnsi="Garamond" w:cs="Arial"/>
          <w:sz w:val="24"/>
          <w:szCs w:val="24"/>
        </w:rPr>
        <w:t>Rede</w:t>
      </w:r>
      <w:r w:rsidR="00FE0A64" w:rsidRPr="003A1174">
        <w:rPr>
          <w:rFonts w:ascii="Garamond" w:hAnsi="Garamond" w:cs="Arial"/>
          <w:sz w:val="24"/>
          <w:szCs w:val="24"/>
        </w:rPr>
        <w:t xml:space="preserve"> de </w:t>
      </w:r>
      <w:r w:rsidR="00DC5DA7" w:rsidRPr="003A1174">
        <w:rPr>
          <w:rFonts w:ascii="Garamond" w:hAnsi="Garamond" w:cs="Arial"/>
          <w:sz w:val="24"/>
          <w:szCs w:val="24"/>
        </w:rPr>
        <w:t>Provedorias</w:t>
      </w:r>
      <w:r w:rsidR="00FE0A64" w:rsidRPr="003A1174">
        <w:rPr>
          <w:rFonts w:ascii="Garamond" w:hAnsi="Garamond" w:cs="Arial"/>
          <w:sz w:val="24"/>
          <w:szCs w:val="24"/>
        </w:rPr>
        <w:t xml:space="preserve"> de </w:t>
      </w:r>
      <w:r w:rsidR="00054EE0" w:rsidRPr="003A1174">
        <w:rPr>
          <w:rFonts w:ascii="Garamond" w:hAnsi="Garamond" w:cs="Arial"/>
          <w:sz w:val="24"/>
          <w:szCs w:val="24"/>
        </w:rPr>
        <w:t>Mulheres</w:t>
      </w:r>
      <w:r w:rsidR="00FE0A64" w:rsidRPr="003A1174">
        <w:rPr>
          <w:rFonts w:ascii="Garamond" w:hAnsi="Garamond" w:cs="Arial"/>
          <w:sz w:val="24"/>
          <w:szCs w:val="24"/>
        </w:rPr>
        <w:t xml:space="preserve"> que </w:t>
      </w:r>
      <w:r w:rsidR="00D81A95">
        <w:rPr>
          <w:rFonts w:ascii="Garamond" w:hAnsi="Garamond" w:cs="Arial"/>
          <w:sz w:val="24"/>
          <w:szCs w:val="24"/>
        </w:rPr>
        <w:t>foi integrada na</w:t>
      </w:r>
      <w:r w:rsidR="00FE0A64" w:rsidRPr="003A1174">
        <w:rPr>
          <w:rFonts w:ascii="Garamond" w:hAnsi="Garamond" w:cs="Arial"/>
          <w:sz w:val="24"/>
          <w:szCs w:val="24"/>
        </w:rPr>
        <w:t xml:space="preserve"> FIO. </w:t>
      </w:r>
      <w:r w:rsidR="002C7510" w:rsidRPr="003A1174">
        <w:rPr>
          <w:rFonts w:ascii="Garamond" w:hAnsi="Garamond" w:cs="Arial"/>
          <w:sz w:val="24"/>
          <w:szCs w:val="24"/>
        </w:rPr>
        <w:t>A referida Rede</w:t>
      </w:r>
      <w:r w:rsidR="00FE0A64" w:rsidRPr="003A1174">
        <w:rPr>
          <w:rFonts w:ascii="Garamond" w:hAnsi="Garamond" w:cs="Arial"/>
          <w:sz w:val="24"/>
          <w:szCs w:val="24"/>
        </w:rPr>
        <w:t xml:space="preserve"> </w:t>
      </w:r>
      <w:r w:rsidR="00D81A95">
        <w:rPr>
          <w:rFonts w:ascii="Garamond" w:hAnsi="Garamond" w:cs="Arial"/>
          <w:sz w:val="24"/>
          <w:szCs w:val="24"/>
        </w:rPr>
        <w:t>foi criada,</w:t>
      </w:r>
      <w:r w:rsidR="002C7510" w:rsidRPr="003A1174">
        <w:rPr>
          <w:rFonts w:ascii="Garamond" w:hAnsi="Garamond" w:cs="Arial"/>
          <w:sz w:val="24"/>
          <w:szCs w:val="24"/>
        </w:rPr>
        <w:t xml:space="preserve"> </w:t>
      </w:r>
      <w:r w:rsidR="00FE0A64" w:rsidRPr="003A1174">
        <w:rPr>
          <w:rFonts w:ascii="Garamond" w:hAnsi="Garamond" w:cs="Arial"/>
          <w:sz w:val="24"/>
          <w:szCs w:val="24"/>
        </w:rPr>
        <w:t>principalmente, co</w:t>
      </w:r>
      <w:r w:rsidR="002C7510" w:rsidRPr="003A1174">
        <w:rPr>
          <w:rFonts w:ascii="Garamond" w:hAnsi="Garamond" w:cs="Arial"/>
          <w:sz w:val="24"/>
          <w:szCs w:val="24"/>
        </w:rPr>
        <w:t xml:space="preserve">m o intuito </w:t>
      </w:r>
      <w:r w:rsidR="00FE0A64" w:rsidRPr="003A1174">
        <w:rPr>
          <w:rFonts w:ascii="Garamond" w:hAnsi="Garamond" w:cs="Arial"/>
          <w:sz w:val="24"/>
          <w:szCs w:val="24"/>
        </w:rPr>
        <w:t xml:space="preserve">de consolidar, </w:t>
      </w:r>
      <w:r w:rsidR="002C7510" w:rsidRPr="003A1174">
        <w:rPr>
          <w:rFonts w:ascii="Garamond" w:hAnsi="Garamond" w:cs="Arial"/>
          <w:sz w:val="24"/>
          <w:szCs w:val="24"/>
        </w:rPr>
        <w:t>n</w:t>
      </w:r>
      <w:r w:rsidR="00FE0A64" w:rsidRPr="003A1174">
        <w:rPr>
          <w:rFonts w:ascii="Garamond" w:hAnsi="Garamond" w:cs="Arial"/>
          <w:sz w:val="24"/>
          <w:szCs w:val="24"/>
        </w:rPr>
        <w:t xml:space="preserve">a </w:t>
      </w:r>
      <w:r w:rsidR="0017447A" w:rsidRPr="003A1174">
        <w:rPr>
          <w:rFonts w:ascii="Garamond" w:hAnsi="Garamond" w:cs="Arial"/>
          <w:sz w:val="24"/>
          <w:szCs w:val="24"/>
        </w:rPr>
        <w:t>região</w:t>
      </w:r>
      <w:r w:rsidR="002C7510" w:rsidRPr="003A1174">
        <w:rPr>
          <w:rFonts w:ascii="Garamond" w:hAnsi="Garamond" w:cs="Arial"/>
          <w:sz w:val="24"/>
          <w:szCs w:val="24"/>
        </w:rPr>
        <w:t xml:space="preserve">, </w:t>
      </w:r>
      <w:r w:rsidR="00FE0A64" w:rsidRPr="003A1174">
        <w:rPr>
          <w:rFonts w:ascii="Garamond" w:hAnsi="Garamond" w:cs="Arial"/>
          <w:sz w:val="24"/>
          <w:szCs w:val="24"/>
        </w:rPr>
        <w:t xml:space="preserve">a </w:t>
      </w:r>
      <w:r w:rsidR="002C7510" w:rsidRPr="003A1174">
        <w:rPr>
          <w:rFonts w:ascii="Garamond" w:hAnsi="Garamond" w:cs="Arial"/>
          <w:sz w:val="24"/>
          <w:szCs w:val="24"/>
        </w:rPr>
        <w:t>defesa</w:t>
      </w:r>
      <w:r w:rsidR="00FE0A64" w:rsidRPr="003A1174">
        <w:rPr>
          <w:rFonts w:ascii="Garamond" w:hAnsi="Garamond" w:cs="Arial"/>
          <w:sz w:val="24"/>
          <w:szCs w:val="24"/>
        </w:rPr>
        <w:t xml:space="preserve">, </w:t>
      </w:r>
      <w:r w:rsidR="002F5CD1" w:rsidRPr="003A1174">
        <w:rPr>
          <w:rFonts w:ascii="Garamond" w:hAnsi="Garamond" w:cs="Arial"/>
          <w:sz w:val="24"/>
          <w:szCs w:val="24"/>
        </w:rPr>
        <w:t>promoção</w:t>
      </w:r>
      <w:r w:rsidR="002C7510" w:rsidRPr="003A1174">
        <w:rPr>
          <w:rFonts w:ascii="Garamond" w:hAnsi="Garamond" w:cs="Arial"/>
          <w:sz w:val="24"/>
          <w:szCs w:val="24"/>
        </w:rPr>
        <w:t xml:space="preserve"> e</w:t>
      </w:r>
      <w:r w:rsidR="00FE0A64" w:rsidRPr="003A1174">
        <w:rPr>
          <w:rFonts w:ascii="Garamond" w:hAnsi="Garamond" w:cs="Arial"/>
          <w:sz w:val="24"/>
          <w:szCs w:val="24"/>
        </w:rPr>
        <w:t xml:space="preserve"> </w:t>
      </w:r>
      <w:r w:rsidR="002C7510" w:rsidRPr="003A1174">
        <w:rPr>
          <w:rFonts w:ascii="Garamond" w:hAnsi="Garamond" w:cs="Arial"/>
          <w:sz w:val="24"/>
          <w:szCs w:val="24"/>
        </w:rPr>
        <w:t>difusão d</w:t>
      </w:r>
      <w:r w:rsidR="00FE0A64" w:rsidRPr="003A1174">
        <w:rPr>
          <w:rFonts w:ascii="Garamond" w:hAnsi="Garamond" w:cs="Arial"/>
          <w:sz w:val="24"/>
          <w:szCs w:val="24"/>
        </w:rPr>
        <w:t xml:space="preserve">os </w:t>
      </w:r>
      <w:r w:rsidRPr="003A1174">
        <w:rPr>
          <w:rFonts w:ascii="Garamond" w:hAnsi="Garamond" w:cs="Arial"/>
          <w:sz w:val="24"/>
          <w:szCs w:val="24"/>
        </w:rPr>
        <w:t>direito</w:t>
      </w:r>
      <w:r w:rsidR="002C7510" w:rsidRPr="003A1174">
        <w:rPr>
          <w:rFonts w:ascii="Garamond" w:hAnsi="Garamond" w:cs="Arial"/>
          <w:sz w:val="24"/>
          <w:szCs w:val="24"/>
        </w:rPr>
        <w:t>s humanos d</w:t>
      </w:r>
      <w:r w:rsidR="00FE0A64" w:rsidRPr="003A1174">
        <w:rPr>
          <w:rFonts w:ascii="Garamond" w:hAnsi="Garamond" w:cs="Arial"/>
          <w:sz w:val="24"/>
          <w:szCs w:val="24"/>
        </w:rPr>
        <w:t xml:space="preserve">as </w:t>
      </w:r>
      <w:r w:rsidR="00054EE0" w:rsidRPr="003A1174">
        <w:rPr>
          <w:rFonts w:ascii="Garamond" w:hAnsi="Garamond" w:cs="Arial"/>
          <w:sz w:val="24"/>
          <w:szCs w:val="24"/>
        </w:rPr>
        <w:t>mulheres</w:t>
      </w:r>
      <w:r w:rsidR="002C7510" w:rsidRPr="003A1174">
        <w:rPr>
          <w:rFonts w:ascii="Garamond" w:hAnsi="Garamond" w:cs="Arial"/>
          <w:sz w:val="24"/>
          <w:szCs w:val="24"/>
        </w:rPr>
        <w:t>, cri</w:t>
      </w:r>
      <w:r w:rsidR="00FE0A64" w:rsidRPr="003A1174">
        <w:rPr>
          <w:rFonts w:ascii="Garamond" w:hAnsi="Garamond" w:cs="Arial"/>
          <w:sz w:val="24"/>
          <w:szCs w:val="24"/>
        </w:rPr>
        <w:t xml:space="preserve">ar </w:t>
      </w:r>
      <w:r w:rsidR="002C7510" w:rsidRPr="003A1174">
        <w:rPr>
          <w:rFonts w:ascii="Garamond" w:hAnsi="Garamond" w:cs="Arial"/>
          <w:sz w:val="24"/>
          <w:szCs w:val="24"/>
        </w:rPr>
        <w:t>espaços</w:t>
      </w:r>
      <w:r w:rsidR="00FE0A64" w:rsidRPr="003A1174">
        <w:rPr>
          <w:rFonts w:ascii="Garamond" w:hAnsi="Garamond" w:cs="Arial"/>
          <w:sz w:val="24"/>
          <w:szCs w:val="24"/>
        </w:rPr>
        <w:t xml:space="preserve"> especializados </w:t>
      </w:r>
      <w:r w:rsidR="002C7510" w:rsidRPr="003A1174">
        <w:rPr>
          <w:rFonts w:ascii="Garamond" w:hAnsi="Garamond" w:cs="Arial"/>
          <w:sz w:val="24"/>
          <w:szCs w:val="24"/>
        </w:rPr>
        <w:t>n</w:t>
      </w:r>
      <w:r w:rsidR="00FE0A64" w:rsidRPr="003A1174">
        <w:rPr>
          <w:rFonts w:ascii="Garamond" w:hAnsi="Garamond" w:cs="Arial"/>
          <w:sz w:val="24"/>
          <w:szCs w:val="24"/>
        </w:rPr>
        <w:t xml:space="preserve">a </w:t>
      </w:r>
      <w:r w:rsidR="002C7510" w:rsidRPr="003A1174">
        <w:rPr>
          <w:rFonts w:ascii="Garamond" w:hAnsi="Garamond" w:cs="Arial"/>
          <w:sz w:val="24"/>
          <w:szCs w:val="24"/>
        </w:rPr>
        <w:t>defesa</w:t>
      </w:r>
      <w:r w:rsidR="00FE0A64" w:rsidRPr="003A1174">
        <w:rPr>
          <w:rFonts w:ascii="Garamond" w:hAnsi="Garamond" w:cs="Arial"/>
          <w:sz w:val="24"/>
          <w:szCs w:val="24"/>
        </w:rPr>
        <w:t xml:space="preserve"> des</w:t>
      </w:r>
      <w:r w:rsidR="002C7510" w:rsidRPr="003A1174">
        <w:rPr>
          <w:rFonts w:ascii="Garamond" w:hAnsi="Garamond" w:cs="Arial"/>
          <w:sz w:val="24"/>
          <w:szCs w:val="24"/>
        </w:rPr>
        <w:t>te</w:t>
      </w:r>
      <w:r w:rsidR="00FE0A64" w:rsidRPr="003A1174">
        <w:rPr>
          <w:rFonts w:ascii="Garamond" w:hAnsi="Garamond" w:cs="Arial"/>
          <w:sz w:val="24"/>
          <w:szCs w:val="24"/>
        </w:rPr>
        <w:t xml:space="preserve">s </w:t>
      </w:r>
      <w:r w:rsidRPr="003A1174">
        <w:rPr>
          <w:rFonts w:ascii="Garamond" w:hAnsi="Garamond" w:cs="Arial"/>
          <w:sz w:val="24"/>
          <w:szCs w:val="24"/>
        </w:rPr>
        <w:t>direito</w:t>
      </w:r>
      <w:r w:rsidR="00FE0A64" w:rsidRPr="003A1174">
        <w:rPr>
          <w:rFonts w:ascii="Garamond" w:hAnsi="Garamond" w:cs="Arial"/>
          <w:sz w:val="24"/>
          <w:szCs w:val="24"/>
        </w:rPr>
        <w:t xml:space="preserve">s </w:t>
      </w:r>
      <w:r w:rsidR="002C7510" w:rsidRPr="003A1174">
        <w:rPr>
          <w:rFonts w:ascii="Garamond" w:hAnsi="Garamond" w:cs="Arial"/>
          <w:sz w:val="24"/>
          <w:szCs w:val="24"/>
        </w:rPr>
        <w:t>n</w:t>
      </w:r>
      <w:r w:rsidR="00FE0A64" w:rsidRPr="003A1174">
        <w:rPr>
          <w:rFonts w:ascii="Garamond" w:hAnsi="Garamond" w:cs="Arial"/>
          <w:sz w:val="24"/>
          <w:szCs w:val="24"/>
        </w:rPr>
        <w:t xml:space="preserve">as </w:t>
      </w:r>
      <w:r w:rsidR="00DC5DA7" w:rsidRPr="003A1174">
        <w:rPr>
          <w:rFonts w:ascii="Garamond" w:hAnsi="Garamond" w:cs="Arial"/>
          <w:sz w:val="24"/>
          <w:szCs w:val="24"/>
        </w:rPr>
        <w:t>Provedorias</w:t>
      </w:r>
      <w:r w:rsidR="002C7510" w:rsidRPr="003A1174">
        <w:rPr>
          <w:rFonts w:ascii="Garamond" w:hAnsi="Garamond" w:cs="Arial"/>
          <w:sz w:val="24"/>
          <w:szCs w:val="24"/>
        </w:rPr>
        <w:t xml:space="preserve"> </w:t>
      </w:r>
      <w:r w:rsidR="00DC5DA7" w:rsidRPr="003A1174">
        <w:rPr>
          <w:rFonts w:ascii="Garamond" w:hAnsi="Garamond" w:cs="Arial"/>
          <w:sz w:val="24"/>
          <w:szCs w:val="24"/>
        </w:rPr>
        <w:t>de Justiça</w:t>
      </w:r>
      <w:r w:rsidR="002C7510" w:rsidRPr="003A1174">
        <w:rPr>
          <w:rFonts w:ascii="Garamond" w:hAnsi="Garamond" w:cs="Arial"/>
          <w:sz w:val="24"/>
          <w:szCs w:val="24"/>
        </w:rPr>
        <w:t xml:space="preserve">, </w:t>
      </w:r>
      <w:r w:rsidR="0096583F" w:rsidRPr="003A1174">
        <w:rPr>
          <w:rFonts w:ascii="Garamond" w:hAnsi="Garamond" w:cs="Arial"/>
          <w:sz w:val="24"/>
          <w:szCs w:val="24"/>
        </w:rPr>
        <w:t>Procuradoria</w:t>
      </w:r>
      <w:r w:rsidR="002C7510" w:rsidRPr="003A1174">
        <w:rPr>
          <w:rFonts w:ascii="Garamond" w:hAnsi="Garamond" w:cs="Arial"/>
          <w:sz w:val="24"/>
          <w:szCs w:val="24"/>
        </w:rPr>
        <w:t>s e</w:t>
      </w:r>
      <w:r w:rsidR="00FE0A64" w:rsidRPr="003A1174">
        <w:rPr>
          <w:rFonts w:ascii="Garamond" w:hAnsi="Garamond" w:cs="Arial"/>
          <w:sz w:val="24"/>
          <w:szCs w:val="24"/>
        </w:rPr>
        <w:t xml:space="preserve"> </w:t>
      </w:r>
      <w:r w:rsidR="002C7510" w:rsidRPr="003A1174">
        <w:rPr>
          <w:rFonts w:ascii="Garamond" w:hAnsi="Garamond" w:cs="Arial"/>
          <w:sz w:val="24"/>
          <w:szCs w:val="24"/>
        </w:rPr>
        <w:t>Comissões</w:t>
      </w:r>
      <w:r w:rsidR="00FE0A64" w:rsidRPr="003A1174">
        <w:rPr>
          <w:rFonts w:ascii="Garamond" w:hAnsi="Garamond" w:cs="Arial"/>
          <w:sz w:val="24"/>
          <w:szCs w:val="24"/>
        </w:rPr>
        <w:t xml:space="preserve"> de </w:t>
      </w:r>
      <w:r w:rsidRPr="003A1174">
        <w:rPr>
          <w:rFonts w:ascii="Garamond" w:hAnsi="Garamond" w:cs="Arial"/>
          <w:sz w:val="24"/>
          <w:szCs w:val="24"/>
        </w:rPr>
        <w:t>Direito</w:t>
      </w:r>
      <w:r w:rsidR="002C7510" w:rsidRPr="003A1174">
        <w:rPr>
          <w:rFonts w:ascii="Garamond" w:hAnsi="Garamond" w:cs="Arial"/>
          <w:sz w:val="24"/>
          <w:szCs w:val="24"/>
        </w:rPr>
        <w:t>s Humanos, e</w:t>
      </w:r>
      <w:r w:rsidR="00FE0A64" w:rsidRPr="003A1174">
        <w:rPr>
          <w:rFonts w:ascii="Garamond" w:hAnsi="Garamond" w:cs="Arial"/>
          <w:sz w:val="24"/>
          <w:szCs w:val="24"/>
        </w:rPr>
        <w:t xml:space="preserve"> facilitar </w:t>
      </w:r>
      <w:r w:rsidR="002C7510" w:rsidRPr="003A1174">
        <w:rPr>
          <w:rFonts w:ascii="Garamond" w:hAnsi="Garamond" w:cs="Arial"/>
          <w:sz w:val="24"/>
          <w:szCs w:val="24"/>
        </w:rPr>
        <w:t>o intercâmbio</w:t>
      </w:r>
      <w:r w:rsidR="00FE0A64" w:rsidRPr="003A1174">
        <w:rPr>
          <w:rFonts w:ascii="Garamond" w:hAnsi="Garamond" w:cs="Arial"/>
          <w:sz w:val="24"/>
          <w:szCs w:val="24"/>
        </w:rPr>
        <w:t xml:space="preserve"> de </w:t>
      </w:r>
      <w:r w:rsidR="0017447A" w:rsidRPr="003A1174">
        <w:rPr>
          <w:rFonts w:ascii="Garamond" w:hAnsi="Garamond" w:cs="Arial"/>
          <w:sz w:val="24"/>
          <w:szCs w:val="24"/>
        </w:rPr>
        <w:t>experiência</w:t>
      </w:r>
      <w:r w:rsidR="00FE0A64" w:rsidRPr="003A1174">
        <w:rPr>
          <w:rFonts w:ascii="Garamond" w:hAnsi="Garamond" w:cs="Arial"/>
          <w:sz w:val="24"/>
          <w:szCs w:val="24"/>
        </w:rPr>
        <w:t xml:space="preserve">s e </w:t>
      </w:r>
      <w:r w:rsidR="0017447A" w:rsidRPr="003A1174">
        <w:rPr>
          <w:rFonts w:ascii="Garamond" w:hAnsi="Garamond" w:cs="Arial"/>
          <w:sz w:val="24"/>
          <w:szCs w:val="24"/>
        </w:rPr>
        <w:t>informação</w:t>
      </w:r>
      <w:r w:rsidR="002C7510" w:rsidRPr="003A1174">
        <w:rPr>
          <w:rFonts w:ascii="Garamond" w:hAnsi="Garamond" w:cs="Arial"/>
          <w:sz w:val="24"/>
          <w:szCs w:val="24"/>
        </w:rPr>
        <w:t xml:space="preserve"> entre </w:t>
      </w:r>
      <w:r w:rsidR="00FE0A64" w:rsidRPr="003A1174">
        <w:rPr>
          <w:rFonts w:ascii="Garamond" w:hAnsi="Garamond" w:cs="Arial"/>
          <w:sz w:val="24"/>
          <w:szCs w:val="24"/>
        </w:rPr>
        <w:t>as di</w:t>
      </w:r>
      <w:r w:rsidR="002C7510" w:rsidRPr="003A1174">
        <w:rPr>
          <w:rFonts w:ascii="Garamond" w:hAnsi="Garamond" w:cs="Arial"/>
          <w:sz w:val="24"/>
          <w:szCs w:val="24"/>
        </w:rPr>
        <w:t>ferentes instituições</w:t>
      </w:r>
      <w:r w:rsidR="00FE0A64" w:rsidRPr="003A1174">
        <w:rPr>
          <w:rFonts w:ascii="Garamond" w:hAnsi="Garamond" w:cs="Arial"/>
          <w:sz w:val="24"/>
          <w:szCs w:val="24"/>
        </w:rPr>
        <w:t>.</w:t>
      </w:r>
    </w:p>
    <w:p w:rsidR="00FE0A64" w:rsidRPr="003A1174" w:rsidRDefault="00FE0A64" w:rsidP="008719D4">
      <w:pPr>
        <w:spacing w:line="240" w:lineRule="auto"/>
        <w:jc w:val="both"/>
        <w:rPr>
          <w:rFonts w:ascii="Garamond" w:hAnsi="Garamond" w:cs="Arial"/>
          <w:sz w:val="24"/>
          <w:szCs w:val="24"/>
        </w:rPr>
      </w:pPr>
      <w:r w:rsidRPr="003A1174">
        <w:rPr>
          <w:rFonts w:ascii="Garamond" w:hAnsi="Garamond" w:cs="Arial"/>
          <w:sz w:val="24"/>
          <w:szCs w:val="24"/>
        </w:rPr>
        <w:t>N</w:t>
      </w:r>
      <w:r w:rsidR="002C7510" w:rsidRPr="003A1174">
        <w:rPr>
          <w:rFonts w:ascii="Garamond" w:hAnsi="Garamond" w:cs="Arial"/>
          <w:sz w:val="24"/>
          <w:szCs w:val="24"/>
        </w:rPr>
        <w:t>ã</w:t>
      </w:r>
      <w:r w:rsidRPr="003A1174">
        <w:rPr>
          <w:rFonts w:ascii="Garamond" w:hAnsi="Garamond" w:cs="Arial"/>
          <w:sz w:val="24"/>
          <w:szCs w:val="24"/>
        </w:rPr>
        <w:t>o se p</w:t>
      </w:r>
      <w:r w:rsidR="002C7510" w:rsidRPr="003A1174">
        <w:rPr>
          <w:rFonts w:ascii="Garamond" w:hAnsi="Garamond" w:cs="Arial"/>
          <w:sz w:val="24"/>
          <w:szCs w:val="24"/>
        </w:rPr>
        <w:t>o</w:t>
      </w:r>
      <w:r w:rsidRPr="003A1174">
        <w:rPr>
          <w:rFonts w:ascii="Garamond" w:hAnsi="Garamond" w:cs="Arial"/>
          <w:sz w:val="24"/>
          <w:szCs w:val="24"/>
        </w:rPr>
        <w:t xml:space="preserve">de negar que se </w:t>
      </w:r>
      <w:r w:rsidR="002C7510" w:rsidRPr="003A1174">
        <w:rPr>
          <w:rFonts w:ascii="Garamond" w:hAnsi="Garamond" w:cs="Arial"/>
          <w:sz w:val="24"/>
          <w:szCs w:val="24"/>
        </w:rPr>
        <w:t xml:space="preserve">conseguiram </w:t>
      </w:r>
      <w:r w:rsidRPr="003A1174">
        <w:rPr>
          <w:rFonts w:ascii="Garamond" w:hAnsi="Garamond" w:cs="Arial"/>
          <w:sz w:val="24"/>
          <w:szCs w:val="24"/>
        </w:rPr>
        <w:t xml:space="preserve">importantes </w:t>
      </w:r>
      <w:r w:rsidR="00FC1F7F" w:rsidRPr="003A1174">
        <w:rPr>
          <w:rFonts w:ascii="Garamond" w:hAnsi="Garamond" w:cs="Arial"/>
          <w:sz w:val="24"/>
          <w:szCs w:val="24"/>
        </w:rPr>
        <w:t>avanços</w:t>
      </w:r>
      <w:r w:rsidR="00D81A95">
        <w:rPr>
          <w:rFonts w:ascii="Garamond" w:hAnsi="Garamond" w:cs="Arial"/>
          <w:sz w:val="24"/>
          <w:szCs w:val="24"/>
        </w:rPr>
        <w:t>,</w:t>
      </w:r>
      <w:r w:rsidRPr="003A1174">
        <w:rPr>
          <w:rFonts w:ascii="Garamond" w:hAnsi="Garamond" w:cs="Arial"/>
          <w:sz w:val="24"/>
          <w:szCs w:val="24"/>
        </w:rPr>
        <w:t xml:space="preserve"> </w:t>
      </w:r>
      <w:r w:rsidR="009B133A" w:rsidRPr="003A1174">
        <w:rPr>
          <w:rFonts w:ascii="Garamond" w:hAnsi="Garamond" w:cs="Arial"/>
          <w:sz w:val="24"/>
          <w:szCs w:val="24"/>
        </w:rPr>
        <w:t xml:space="preserve">relativamente </w:t>
      </w:r>
      <w:r w:rsidR="002C7510" w:rsidRPr="003A1174">
        <w:rPr>
          <w:rFonts w:ascii="Garamond" w:hAnsi="Garamond" w:cs="Arial"/>
          <w:sz w:val="24"/>
          <w:szCs w:val="24"/>
        </w:rPr>
        <w:t>à igualdade</w:t>
      </w:r>
      <w:r w:rsidRPr="003A1174">
        <w:rPr>
          <w:rFonts w:ascii="Garamond" w:hAnsi="Garamond" w:cs="Arial"/>
          <w:sz w:val="24"/>
          <w:szCs w:val="24"/>
        </w:rPr>
        <w:t xml:space="preserve"> de género</w:t>
      </w:r>
      <w:r w:rsidR="00D81A95">
        <w:rPr>
          <w:rFonts w:ascii="Garamond" w:hAnsi="Garamond" w:cs="Arial"/>
          <w:sz w:val="24"/>
          <w:szCs w:val="24"/>
        </w:rPr>
        <w:t>,</w:t>
      </w:r>
      <w:r w:rsidRPr="003A1174">
        <w:rPr>
          <w:rFonts w:ascii="Garamond" w:hAnsi="Garamond" w:cs="Arial"/>
          <w:sz w:val="24"/>
          <w:szCs w:val="24"/>
        </w:rPr>
        <w:t xml:space="preserve"> </w:t>
      </w:r>
      <w:r w:rsidR="002C7510" w:rsidRPr="003A1174">
        <w:rPr>
          <w:rFonts w:ascii="Garamond" w:hAnsi="Garamond" w:cs="Arial"/>
          <w:sz w:val="24"/>
          <w:szCs w:val="24"/>
        </w:rPr>
        <w:t>graças</w:t>
      </w:r>
      <w:r w:rsidRPr="003A1174">
        <w:rPr>
          <w:rFonts w:ascii="Garamond" w:hAnsi="Garamond" w:cs="Arial"/>
          <w:sz w:val="24"/>
          <w:szCs w:val="24"/>
        </w:rPr>
        <w:t xml:space="preserve"> </w:t>
      </w:r>
      <w:r w:rsidR="002C7510" w:rsidRPr="003A1174">
        <w:rPr>
          <w:rFonts w:ascii="Garamond" w:hAnsi="Garamond" w:cs="Arial"/>
          <w:sz w:val="24"/>
          <w:szCs w:val="24"/>
        </w:rPr>
        <w:t>à legislação específica, políticas e</w:t>
      </w:r>
      <w:r w:rsidRPr="003A1174">
        <w:rPr>
          <w:rFonts w:ascii="Garamond" w:hAnsi="Garamond" w:cs="Arial"/>
          <w:sz w:val="24"/>
          <w:szCs w:val="24"/>
        </w:rPr>
        <w:t xml:space="preserve"> </w:t>
      </w:r>
      <w:r w:rsidR="002C7510" w:rsidRPr="003A1174">
        <w:rPr>
          <w:rFonts w:ascii="Garamond" w:hAnsi="Garamond" w:cs="Arial"/>
          <w:sz w:val="24"/>
          <w:szCs w:val="24"/>
        </w:rPr>
        <w:t>ações</w:t>
      </w:r>
      <w:r w:rsidRPr="003A1174">
        <w:rPr>
          <w:rFonts w:ascii="Garamond" w:hAnsi="Garamond" w:cs="Arial"/>
          <w:sz w:val="24"/>
          <w:szCs w:val="24"/>
        </w:rPr>
        <w:t xml:space="preserve">, </w:t>
      </w:r>
      <w:r w:rsidR="002C7510" w:rsidRPr="003A1174">
        <w:rPr>
          <w:rFonts w:ascii="Garamond" w:hAnsi="Garamond" w:cs="Arial"/>
          <w:sz w:val="24"/>
          <w:szCs w:val="24"/>
        </w:rPr>
        <w:t xml:space="preserve">e à </w:t>
      </w:r>
      <w:r w:rsidR="0017447A" w:rsidRPr="003A1174">
        <w:rPr>
          <w:rFonts w:ascii="Garamond" w:hAnsi="Garamond" w:cs="Arial"/>
          <w:sz w:val="24"/>
          <w:szCs w:val="24"/>
        </w:rPr>
        <w:t>participação</w:t>
      </w:r>
      <w:r w:rsidRPr="003A1174">
        <w:rPr>
          <w:rFonts w:ascii="Garamond" w:hAnsi="Garamond" w:cs="Arial"/>
          <w:sz w:val="24"/>
          <w:szCs w:val="24"/>
        </w:rPr>
        <w:t xml:space="preserve"> </w:t>
      </w:r>
      <w:r w:rsidR="002C7510" w:rsidRPr="003A1174">
        <w:rPr>
          <w:rFonts w:ascii="Garamond" w:hAnsi="Garamond" w:cs="Arial"/>
          <w:sz w:val="24"/>
          <w:szCs w:val="24"/>
        </w:rPr>
        <w:t xml:space="preserve">e ao </w:t>
      </w:r>
      <w:r w:rsidR="0017447A" w:rsidRPr="003A1174">
        <w:rPr>
          <w:rFonts w:ascii="Garamond" w:hAnsi="Garamond" w:cs="Arial"/>
          <w:sz w:val="24"/>
          <w:szCs w:val="24"/>
        </w:rPr>
        <w:t>trabalho</w:t>
      </w:r>
      <w:r w:rsidRPr="003A1174">
        <w:rPr>
          <w:rFonts w:ascii="Garamond" w:hAnsi="Garamond" w:cs="Arial"/>
          <w:sz w:val="24"/>
          <w:szCs w:val="24"/>
        </w:rPr>
        <w:t xml:space="preserve"> </w:t>
      </w:r>
      <w:r w:rsidR="0017447A" w:rsidRPr="003A1174">
        <w:rPr>
          <w:rFonts w:ascii="Garamond" w:hAnsi="Garamond" w:cs="Arial"/>
          <w:sz w:val="24"/>
          <w:szCs w:val="24"/>
        </w:rPr>
        <w:t>diário</w:t>
      </w:r>
      <w:r w:rsidRPr="003A1174">
        <w:rPr>
          <w:rFonts w:ascii="Garamond" w:hAnsi="Garamond" w:cs="Arial"/>
          <w:sz w:val="24"/>
          <w:szCs w:val="24"/>
        </w:rPr>
        <w:t xml:space="preserve"> de redes de </w:t>
      </w:r>
      <w:r w:rsidR="00054EE0" w:rsidRPr="003A1174">
        <w:rPr>
          <w:rFonts w:ascii="Garamond" w:hAnsi="Garamond" w:cs="Arial"/>
          <w:sz w:val="24"/>
          <w:szCs w:val="24"/>
        </w:rPr>
        <w:t>mulheres</w:t>
      </w:r>
      <w:r w:rsidR="002C7510" w:rsidRPr="003A1174">
        <w:rPr>
          <w:rFonts w:ascii="Garamond" w:hAnsi="Garamond" w:cs="Arial"/>
          <w:sz w:val="24"/>
          <w:szCs w:val="24"/>
        </w:rPr>
        <w:t xml:space="preserve"> n</w:t>
      </w:r>
      <w:r w:rsidRPr="003A1174">
        <w:rPr>
          <w:rFonts w:ascii="Garamond" w:hAnsi="Garamond" w:cs="Arial"/>
          <w:sz w:val="24"/>
          <w:szCs w:val="24"/>
        </w:rPr>
        <w:t xml:space="preserve">a </w:t>
      </w:r>
      <w:r w:rsidR="002C7510" w:rsidRPr="003A1174">
        <w:rPr>
          <w:rFonts w:ascii="Garamond" w:hAnsi="Garamond" w:cs="Arial"/>
          <w:sz w:val="24"/>
          <w:szCs w:val="24"/>
        </w:rPr>
        <w:t>sociedade</w:t>
      </w:r>
      <w:r w:rsidRPr="003A1174">
        <w:rPr>
          <w:rFonts w:ascii="Garamond" w:hAnsi="Garamond" w:cs="Arial"/>
          <w:sz w:val="24"/>
          <w:szCs w:val="24"/>
        </w:rPr>
        <w:t xml:space="preserve"> civil. </w:t>
      </w:r>
      <w:r w:rsidR="002C7510" w:rsidRPr="003A1174">
        <w:rPr>
          <w:rFonts w:ascii="Garamond" w:hAnsi="Garamond" w:cs="Arial"/>
          <w:sz w:val="24"/>
          <w:szCs w:val="24"/>
        </w:rPr>
        <w:t xml:space="preserve">No entanto, </w:t>
      </w:r>
      <w:r w:rsidR="009B133A" w:rsidRPr="003A1174">
        <w:rPr>
          <w:rFonts w:ascii="Garamond" w:hAnsi="Garamond" w:cs="Arial"/>
          <w:sz w:val="24"/>
          <w:szCs w:val="24"/>
        </w:rPr>
        <w:t>é importante assinalar que</w:t>
      </w:r>
      <w:r w:rsidR="00D81A95">
        <w:rPr>
          <w:rFonts w:ascii="Garamond" w:hAnsi="Garamond" w:cs="Arial"/>
          <w:sz w:val="24"/>
          <w:szCs w:val="24"/>
        </w:rPr>
        <w:t>,</w:t>
      </w:r>
      <w:r w:rsidR="009B133A" w:rsidRPr="003A1174">
        <w:rPr>
          <w:rFonts w:ascii="Garamond" w:hAnsi="Garamond" w:cs="Arial"/>
          <w:sz w:val="24"/>
          <w:szCs w:val="24"/>
        </w:rPr>
        <w:t xml:space="preserve"> apesar de ter aumentado </w:t>
      </w:r>
      <w:r w:rsidR="00C269D8" w:rsidRPr="003A1174">
        <w:rPr>
          <w:rFonts w:ascii="Garamond" w:hAnsi="Garamond" w:cs="Arial"/>
          <w:sz w:val="24"/>
          <w:szCs w:val="24"/>
        </w:rPr>
        <w:t>o</w:t>
      </w:r>
      <w:r w:rsidRPr="003A1174">
        <w:rPr>
          <w:rFonts w:ascii="Garamond" w:hAnsi="Garamond" w:cs="Arial"/>
          <w:sz w:val="24"/>
          <w:szCs w:val="24"/>
        </w:rPr>
        <w:t xml:space="preserve"> número de </w:t>
      </w:r>
      <w:r w:rsidR="00054EE0" w:rsidRPr="003A1174">
        <w:rPr>
          <w:rFonts w:ascii="Garamond" w:hAnsi="Garamond" w:cs="Arial"/>
          <w:sz w:val="24"/>
          <w:szCs w:val="24"/>
        </w:rPr>
        <w:t>mulheres</w:t>
      </w:r>
      <w:r w:rsidR="00C269D8" w:rsidRPr="003A1174">
        <w:rPr>
          <w:rFonts w:ascii="Garamond" w:hAnsi="Garamond" w:cs="Arial"/>
          <w:sz w:val="24"/>
          <w:szCs w:val="24"/>
        </w:rPr>
        <w:t xml:space="preserve"> que melh</w:t>
      </w:r>
      <w:r w:rsidRPr="003A1174">
        <w:rPr>
          <w:rFonts w:ascii="Garamond" w:hAnsi="Garamond" w:cs="Arial"/>
          <w:sz w:val="24"/>
          <w:szCs w:val="24"/>
        </w:rPr>
        <w:t>orar</w:t>
      </w:r>
      <w:r w:rsidR="00C269D8" w:rsidRPr="003A1174">
        <w:rPr>
          <w:rFonts w:ascii="Garamond" w:hAnsi="Garamond" w:cs="Arial"/>
          <w:sz w:val="24"/>
          <w:szCs w:val="24"/>
        </w:rPr>
        <w:t xml:space="preserve">am o </w:t>
      </w:r>
      <w:r w:rsidR="009B133A" w:rsidRPr="003A1174">
        <w:rPr>
          <w:rFonts w:ascii="Garamond" w:hAnsi="Garamond" w:cs="Arial"/>
          <w:sz w:val="24"/>
          <w:szCs w:val="24"/>
        </w:rPr>
        <w:t xml:space="preserve">seu </w:t>
      </w:r>
      <w:r w:rsidR="00886D6A" w:rsidRPr="003A1174">
        <w:rPr>
          <w:rFonts w:ascii="Garamond" w:hAnsi="Garamond" w:cs="Arial"/>
          <w:sz w:val="24"/>
          <w:szCs w:val="24"/>
        </w:rPr>
        <w:t>acesso</w:t>
      </w:r>
      <w:r w:rsidR="009B133A" w:rsidRPr="003A1174">
        <w:rPr>
          <w:rFonts w:ascii="Garamond" w:hAnsi="Garamond" w:cs="Arial"/>
          <w:sz w:val="24"/>
          <w:szCs w:val="24"/>
        </w:rPr>
        <w:t xml:space="preserve"> e</w:t>
      </w:r>
      <w:r w:rsidRPr="003A1174">
        <w:rPr>
          <w:rFonts w:ascii="Garamond" w:hAnsi="Garamond" w:cs="Arial"/>
          <w:sz w:val="24"/>
          <w:szCs w:val="24"/>
        </w:rPr>
        <w:t xml:space="preserve"> </w:t>
      </w:r>
      <w:r w:rsidR="0017447A" w:rsidRPr="003A1174">
        <w:rPr>
          <w:rFonts w:ascii="Garamond" w:hAnsi="Garamond" w:cs="Arial"/>
          <w:sz w:val="24"/>
          <w:szCs w:val="24"/>
        </w:rPr>
        <w:t>nível</w:t>
      </w:r>
      <w:r w:rsidRPr="003A1174">
        <w:rPr>
          <w:rFonts w:ascii="Garamond" w:hAnsi="Garamond" w:cs="Arial"/>
          <w:sz w:val="24"/>
          <w:szCs w:val="24"/>
        </w:rPr>
        <w:t xml:space="preserve"> </w:t>
      </w:r>
      <w:r w:rsidR="00D81A95">
        <w:rPr>
          <w:rFonts w:ascii="Garamond" w:hAnsi="Garamond" w:cs="Arial"/>
          <w:sz w:val="24"/>
          <w:szCs w:val="24"/>
        </w:rPr>
        <w:t xml:space="preserve">de escolaridade, </w:t>
      </w:r>
      <w:r w:rsidR="009B133A" w:rsidRPr="003A1174">
        <w:rPr>
          <w:rFonts w:ascii="Garamond" w:hAnsi="Garamond" w:cs="Arial"/>
          <w:sz w:val="24"/>
          <w:szCs w:val="24"/>
        </w:rPr>
        <w:t xml:space="preserve">na entrada no </w:t>
      </w:r>
      <w:r w:rsidRPr="003A1174">
        <w:rPr>
          <w:rFonts w:ascii="Garamond" w:hAnsi="Garamond" w:cs="Arial"/>
          <w:sz w:val="24"/>
          <w:szCs w:val="24"/>
        </w:rPr>
        <w:t>mercado</w:t>
      </w:r>
      <w:r w:rsidR="009B133A" w:rsidRPr="003A1174">
        <w:rPr>
          <w:rFonts w:ascii="Garamond" w:hAnsi="Garamond" w:cs="Arial"/>
          <w:sz w:val="24"/>
          <w:szCs w:val="24"/>
        </w:rPr>
        <w:t xml:space="preserve"> de trabalho e na </w:t>
      </w:r>
      <w:r w:rsidR="0017447A" w:rsidRPr="003A1174">
        <w:rPr>
          <w:rFonts w:ascii="Garamond" w:hAnsi="Garamond" w:cs="Arial"/>
          <w:sz w:val="24"/>
          <w:szCs w:val="24"/>
        </w:rPr>
        <w:t>participação</w:t>
      </w:r>
      <w:r w:rsidR="00046E19" w:rsidRPr="003A1174">
        <w:rPr>
          <w:rFonts w:ascii="Garamond" w:hAnsi="Garamond" w:cs="Arial"/>
          <w:sz w:val="24"/>
          <w:szCs w:val="24"/>
        </w:rPr>
        <w:t xml:space="preserve"> política e</w:t>
      </w:r>
      <w:r w:rsidRPr="003A1174">
        <w:rPr>
          <w:rFonts w:ascii="Garamond" w:hAnsi="Garamond" w:cs="Arial"/>
          <w:sz w:val="24"/>
          <w:szCs w:val="24"/>
        </w:rPr>
        <w:t xml:space="preserve"> social, a</w:t>
      </w:r>
      <w:r w:rsidR="009B133A" w:rsidRPr="003A1174">
        <w:rPr>
          <w:rFonts w:ascii="Garamond" w:hAnsi="Garamond" w:cs="Arial"/>
          <w:sz w:val="24"/>
          <w:szCs w:val="24"/>
        </w:rPr>
        <w:t>s desigualdades ainda se mantêm no que</w:t>
      </w:r>
      <w:r w:rsidR="00D81A95">
        <w:rPr>
          <w:rFonts w:ascii="Garamond" w:hAnsi="Garamond" w:cs="Arial"/>
          <w:sz w:val="24"/>
          <w:szCs w:val="24"/>
        </w:rPr>
        <w:t xml:space="preserve"> respeita </w:t>
      </w:r>
      <w:r w:rsidR="009B133A" w:rsidRPr="003A1174">
        <w:rPr>
          <w:rFonts w:ascii="Garamond" w:hAnsi="Garamond" w:cs="Arial"/>
          <w:sz w:val="24"/>
          <w:szCs w:val="24"/>
        </w:rPr>
        <w:t xml:space="preserve">à </w:t>
      </w:r>
      <w:r w:rsidR="00CF2EF4" w:rsidRPr="003A1174">
        <w:rPr>
          <w:rFonts w:ascii="Garamond" w:hAnsi="Garamond" w:cs="Arial"/>
          <w:sz w:val="24"/>
          <w:szCs w:val="24"/>
        </w:rPr>
        <w:t xml:space="preserve">diferença </w:t>
      </w:r>
      <w:r w:rsidR="00046E19" w:rsidRPr="003A1174">
        <w:rPr>
          <w:rFonts w:ascii="Garamond" w:hAnsi="Garamond" w:cs="Arial"/>
          <w:sz w:val="24"/>
          <w:szCs w:val="24"/>
        </w:rPr>
        <w:t xml:space="preserve">salarial, </w:t>
      </w:r>
      <w:r w:rsidR="009B133A" w:rsidRPr="003A1174">
        <w:rPr>
          <w:rFonts w:ascii="Garamond" w:hAnsi="Garamond" w:cs="Arial"/>
          <w:sz w:val="24"/>
          <w:szCs w:val="24"/>
        </w:rPr>
        <w:t>à</w:t>
      </w:r>
      <w:r w:rsidRPr="003A1174">
        <w:rPr>
          <w:rFonts w:ascii="Garamond" w:hAnsi="Garamond" w:cs="Arial"/>
          <w:sz w:val="24"/>
          <w:szCs w:val="24"/>
        </w:rPr>
        <w:t xml:space="preserve">s oportunidades de </w:t>
      </w:r>
      <w:r w:rsidR="00046E19" w:rsidRPr="003A1174">
        <w:rPr>
          <w:rFonts w:ascii="Garamond" w:hAnsi="Garamond" w:cs="Arial"/>
          <w:sz w:val="24"/>
          <w:szCs w:val="24"/>
        </w:rPr>
        <w:t>emprego</w:t>
      </w:r>
      <w:r w:rsidR="009B133A" w:rsidRPr="003A1174">
        <w:rPr>
          <w:rFonts w:ascii="Garamond" w:hAnsi="Garamond" w:cs="Arial"/>
          <w:sz w:val="24"/>
          <w:szCs w:val="24"/>
        </w:rPr>
        <w:t xml:space="preserve">, à </w:t>
      </w:r>
      <w:r w:rsidR="0017447A" w:rsidRPr="003A1174">
        <w:rPr>
          <w:rFonts w:ascii="Garamond" w:hAnsi="Garamond" w:cs="Arial"/>
          <w:sz w:val="24"/>
          <w:szCs w:val="24"/>
        </w:rPr>
        <w:t>representação</w:t>
      </w:r>
      <w:r w:rsidRPr="003A1174">
        <w:rPr>
          <w:rFonts w:ascii="Garamond" w:hAnsi="Garamond" w:cs="Arial"/>
          <w:sz w:val="24"/>
          <w:szCs w:val="24"/>
        </w:rPr>
        <w:t xml:space="preserve"> </w:t>
      </w:r>
      <w:r w:rsidR="009B133A" w:rsidRPr="003A1174">
        <w:rPr>
          <w:rFonts w:ascii="Garamond" w:hAnsi="Garamond" w:cs="Arial"/>
          <w:sz w:val="24"/>
          <w:szCs w:val="24"/>
        </w:rPr>
        <w:t>no</w:t>
      </w:r>
      <w:r w:rsidRPr="003A1174">
        <w:rPr>
          <w:rFonts w:ascii="Garamond" w:hAnsi="Garamond" w:cs="Arial"/>
          <w:sz w:val="24"/>
          <w:szCs w:val="24"/>
        </w:rPr>
        <w:t xml:space="preserve">s </w:t>
      </w:r>
      <w:r w:rsidR="003F012B" w:rsidRPr="003A1174">
        <w:rPr>
          <w:rFonts w:ascii="Garamond" w:hAnsi="Garamond" w:cs="Arial"/>
          <w:sz w:val="24"/>
          <w:szCs w:val="24"/>
        </w:rPr>
        <w:t>órgão</w:t>
      </w:r>
      <w:r w:rsidRPr="003A1174">
        <w:rPr>
          <w:rFonts w:ascii="Garamond" w:hAnsi="Garamond" w:cs="Arial"/>
          <w:sz w:val="24"/>
          <w:szCs w:val="24"/>
        </w:rPr>
        <w:t xml:space="preserve">s políticos, entre </w:t>
      </w:r>
      <w:r w:rsidR="0017447A" w:rsidRPr="003A1174">
        <w:rPr>
          <w:rFonts w:ascii="Garamond" w:hAnsi="Garamond" w:cs="Arial"/>
          <w:sz w:val="24"/>
          <w:szCs w:val="24"/>
        </w:rPr>
        <w:t>outras</w:t>
      </w:r>
      <w:r w:rsidR="00A914A0">
        <w:rPr>
          <w:rFonts w:ascii="Garamond" w:hAnsi="Garamond" w:cs="Arial"/>
          <w:sz w:val="24"/>
          <w:szCs w:val="24"/>
        </w:rPr>
        <w:t>, bem</w:t>
      </w:r>
      <w:r w:rsidR="009B133A" w:rsidRPr="003A1174">
        <w:rPr>
          <w:rFonts w:ascii="Garamond" w:hAnsi="Garamond" w:cs="Arial"/>
          <w:sz w:val="24"/>
          <w:szCs w:val="24"/>
        </w:rPr>
        <w:t xml:space="preserve"> como</w:t>
      </w:r>
      <w:r w:rsidR="00A914A0">
        <w:rPr>
          <w:rFonts w:ascii="Garamond" w:hAnsi="Garamond" w:cs="Arial"/>
          <w:sz w:val="24"/>
          <w:szCs w:val="24"/>
        </w:rPr>
        <w:t>,</w:t>
      </w:r>
      <w:r w:rsidR="009B133A" w:rsidRPr="003A1174">
        <w:rPr>
          <w:rFonts w:ascii="Garamond" w:hAnsi="Garamond" w:cs="Arial"/>
          <w:sz w:val="24"/>
          <w:szCs w:val="24"/>
        </w:rPr>
        <w:t xml:space="preserve"> n</w:t>
      </w:r>
      <w:r w:rsidRPr="003A1174">
        <w:rPr>
          <w:rFonts w:ascii="Garamond" w:hAnsi="Garamond" w:cs="Arial"/>
          <w:sz w:val="24"/>
          <w:szCs w:val="24"/>
        </w:rPr>
        <w:t>a</w:t>
      </w:r>
      <w:r w:rsidR="00A914A0">
        <w:rPr>
          <w:rFonts w:ascii="Garamond" w:hAnsi="Garamond" w:cs="Arial"/>
          <w:sz w:val="24"/>
          <w:szCs w:val="24"/>
        </w:rPr>
        <w:t xml:space="preserve"> continuada </w:t>
      </w:r>
      <w:r w:rsidR="0017447A" w:rsidRPr="003A1174">
        <w:rPr>
          <w:rFonts w:ascii="Garamond" w:hAnsi="Garamond" w:cs="Arial"/>
          <w:sz w:val="24"/>
          <w:szCs w:val="24"/>
        </w:rPr>
        <w:t>discriminação</w:t>
      </w:r>
      <w:r w:rsidRPr="003A1174">
        <w:rPr>
          <w:rFonts w:ascii="Garamond" w:hAnsi="Garamond" w:cs="Arial"/>
          <w:sz w:val="24"/>
          <w:szCs w:val="24"/>
        </w:rPr>
        <w:t xml:space="preserve"> </w:t>
      </w:r>
      <w:r w:rsidR="00046E19" w:rsidRPr="003A1174">
        <w:rPr>
          <w:rFonts w:ascii="Garamond" w:hAnsi="Garamond" w:cs="Arial"/>
          <w:sz w:val="24"/>
          <w:szCs w:val="24"/>
        </w:rPr>
        <w:t xml:space="preserve">e </w:t>
      </w:r>
      <w:r w:rsidR="009B133A" w:rsidRPr="003A1174">
        <w:rPr>
          <w:rFonts w:ascii="Garamond" w:hAnsi="Garamond" w:cs="Arial"/>
          <w:sz w:val="24"/>
          <w:szCs w:val="24"/>
        </w:rPr>
        <w:t>n</w:t>
      </w:r>
      <w:r w:rsidR="00046E19" w:rsidRPr="003A1174">
        <w:rPr>
          <w:rFonts w:ascii="Garamond" w:hAnsi="Garamond" w:cs="Arial"/>
          <w:sz w:val="24"/>
          <w:szCs w:val="24"/>
        </w:rPr>
        <w:t>os comportamentos violent</w:t>
      </w:r>
      <w:r w:rsidR="00A914A0">
        <w:rPr>
          <w:rFonts w:ascii="Garamond" w:hAnsi="Garamond" w:cs="Arial"/>
          <w:sz w:val="24"/>
          <w:szCs w:val="24"/>
        </w:rPr>
        <w:t>o</w:t>
      </w:r>
      <w:r w:rsidR="00046E19" w:rsidRPr="003A1174">
        <w:rPr>
          <w:rFonts w:ascii="Garamond" w:hAnsi="Garamond" w:cs="Arial"/>
          <w:sz w:val="24"/>
          <w:szCs w:val="24"/>
        </w:rPr>
        <w:t>s contra el</w:t>
      </w:r>
      <w:r w:rsidRPr="003A1174">
        <w:rPr>
          <w:rFonts w:ascii="Garamond" w:hAnsi="Garamond" w:cs="Arial"/>
          <w:sz w:val="24"/>
          <w:szCs w:val="24"/>
        </w:rPr>
        <w:t>as, que se transmite</w:t>
      </w:r>
      <w:r w:rsidR="009B133A" w:rsidRPr="003A1174">
        <w:rPr>
          <w:rFonts w:ascii="Garamond" w:hAnsi="Garamond" w:cs="Arial"/>
          <w:sz w:val="24"/>
          <w:szCs w:val="24"/>
        </w:rPr>
        <w:t>m</w:t>
      </w:r>
      <w:r w:rsidRPr="003A1174">
        <w:rPr>
          <w:rFonts w:ascii="Garamond" w:hAnsi="Garamond" w:cs="Arial"/>
          <w:sz w:val="24"/>
          <w:szCs w:val="24"/>
        </w:rPr>
        <w:t xml:space="preserve"> de </w:t>
      </w:r>
      <w:r w:rsidR="0017447A" w:rsidRPr="003A1174">
        <w:rPr>
          <w:rFonts w:ascii="Garamond" w:hAnsi="Garamond" w:cs="Arial"/>
          <w:sz w:val="24"/>
          <w:szCs w:val="24"/>
        </w:rPr>
        <w:t>geração</w:t>
      </w:r>
      <w:r w:rsidRPr="003A1174">
        <w:rPr>
          <w:rFonts w:ascii="Garamond" w:hAnsi="Garamond" w:cs="Arial"/>
          <w:sz w:val="24"/>
          <w:szCs w:val="24"/>
        </w:rPr>
        <w:t xml:space="preserve"> e</w:t>
      </w:r>
      <w:r w:rsidR="0017447A" w:rsidRPr="003A1174">
        <w:rPr>
          <w:rFonts w:ascii="Garamond" w:hAnsi="Garamond" w:cs="Arial"/>
          <w:sz w:val="24"/>
          <w:szCs w:val="24"/>
        </w:rPr>
        <w:t>m</w:t>
      </w:r>
      <w:r w:rsidRPr="003A1174">
        <w:rPr>
          <w:rFonts w:ascii="Garamond" w:hAnsi="Garamond" w:cs="Arial"/>
          <w:sz w:val="24"/>
          <w:szCs w:val="24"/>
        </w:rPr>
        <w:t xml:space="preserve"> </w:t>
      </w:r>
      <w:r w:rsidR="0017447A" w:rsidRPr="003A1174">
        <w:rPr>
          <w:rFonts w:ascii="Garamond" w:hAnsi="Garamond" w:cs="Arial"/>
          <w:sz w:val="24"/>
          <w:szCs w:val="24"/>
        </w:rPr>
        <w:t>geração</w:t>
      </w:r>
      <w:r w:rsidR="00A914A0">
        <w:rPr>
          <w:rFonts w:ascii="Garamond" w:hAnsi="Garamond" w:cs="Arial"/>
          <w:sz w:val="24"/>
          <w:szCs w:val="24"/>
        </w:rPr>
        <w:t>,</w:t>
      </w:r>
      <w:r w:rsidR="0017447A" w:rsidRPr="003A1174">
        <w:rPr>
          <w:rFonts w:ascii="Garamond" w:hAnsi="Garamond" w:cs="Arial"/>
          <w:sz w:val="24"/>
          <w:szCs w:val="24"/>
        </w:rPr>
        <w:t xml:space="preserve"> e</w:t>
      </w:r>
      <w:r w:rsidRPr="003A1174">
        <w:rPr>
          <w:rFonts w:ascii="Garamond" w:hAnsi="Garamond" w:cs="Arial"/>
          <w:sz w:val="24"/>
          <w:szCs w:val="24"/>
        </w:rPr>
        <w:t xml:space="preserve"> que </w:t>
      </w:r>
      <w:r w:rsidR="0017447A" w:rsidRPr="003A1174">
        <w:rPr>
          <w:rFonts w:ascii="Garamond" w:hAnsi="Garamond" w:cs="Arial"/>
          <w:sz w:val="24"/>
          <w:szCs w:val="24"/>
        </w:rPr>
        <w:t>impedem</w:t>
      </w:r>
      <w:r w:rsidRPr="003A1174">
        <w:rPr>
          <w:rFonts w:ascii="Garamond" w:hAnsi="Garamond" w:cs="Arial"/>
          <w:sz w:val="24"/>
          <w:szCs w:val="24"/>
        </w:rPr>
        <w:t xml:space="preserve"> </w:t>
      </w:r>
      <w:r w:rsidR="00046E19" w:rsidRPr="003A1174">
        <w:rPr>
          <w:rFonts w:ascii="Garamond" w:hAnsi="Garamond" w:cs="Arial"/>
          <w:sz w:val="24"/>
          <w:szCs w:val="24"/>
        </w:rPr>
        <w:t xml:space="preserve">o </w:t>
      </w:r>
      <w:r w:rsidR="009B133A" w:rsidRPr="003A1174">
        <w:rPr>
          <w:rFonts w:ascii="Garamond" w:hAnsi="Garamond" w:cs="Arial"/>
          <w:sz w:val="24"/>
          <w:szCs w:val="24"/>
        </w:rPr>
        <w:t>desenvolvimento da</w:t>
      </w:r>
      <w:r w:rsidRPr="003A1174">
        <w:rPr>
          <w:rFonts w:ascii="Garamond" w:hAnsi="Garamond" w:cs="Arial"/>
          <w:sz w:val="24"/>
          <w:szCs w:val="24"/>
        </w:rPr>
        <w:t xml:space="preserve"> su</w:t>
      </w:r>
      <w:r w:rsidR="009B133A" w:rsidRPr="003A1174">
        <w:rPr>
          <w:rFonts w:ascii="Garamond" w:hAnsi="Garamond" w:cs="Arial"/>
          <w:sz w:val="24"/>
          <w:szCs w:val="24"/>
        </w:rPr>
        <w:t>a</w:t>
      </w:r>
      <w:r w:rsidRPr="003A1174">
        <w:rPr>
          <w:rFonts w:ascii="Garamond" w:hAnsi="Garamond" w:cs="Arial"/>
          <w:sz w:val="24"/>
          <w:szCs w:val="24"/>
        </w:rPr>
        <w:t xml:space="preserve"> </w:t>
      </w:r>
      <w:r w:rsidR="009B133A" w:rsidRPr="003A1174">
        <w:rPr>
          <w:rFonts w:ascii="Garamond" w:hAnsi="Garamond" w:cs="Arial"/>
          <w:sz w:val="24"/>
          <w:szCs w:val="24"/>
        </w:rPr>
        <w:t>autonomia económica, política, social e</w:t>
      </w:r>
      <w:r w:rsidRPr="003A1174">
        <w:rPr>
          <w:rFonts w:ascii="Garamond" w:hAnsi="Garamond" w:cs="Arial"/>
          <w:sz w:val="24"/>
          <w:szCs w:val="24"/>
        </w:rPr>
        <w:t xml:space="preserve"> física. </w:t>
      </w:r>
    </w:p>
    <w:p w:rsidR="00FE0A64" w:rsidRPr="003A1174" w:rsidRDefault="002C7510" w:rsidP="008719D4">
      <w:pPr>
        <w:spacing w:line="240" w:lineRule="auto"/>
        <w:jc w:val="both"/>
        <w:rPr>
          <w:rFonts w:ascii="Garamond" w:hAnsi="Garamond" w:cs="Arial"/>
          <w:sz w:val="24"/>
          <w:szCs w:val="24"/>
        </w:rPr>
      </w:pPr>
      <w:r w:rsidRPr="003A1174">
        <w:rPr>
          <w:rFonts w:ascii="Garamond" w:hAnsi="Garamond" w:cs="Arial"/>
          <w:sz w:val="24"/>
          <w:szCs w:val="24"/>
        </w:rPr>
        <w:t>Pera</w:t>
      </w:r>
      <w:r w:rsidR="00FE0A64" w:rsidRPr="003A1174">
        <w:rPr>
          <w:rFonts w:ascii="Garamond" w:hAnsi="Garamond" w:cs="Arial"/>
          <w:sz w:val="24"/>
          <w:szCs w:val="24"/>
        </w:rPr>
        <w:t xml:space="preserve">nte esta </w:t>
      </w:r>
      <w:r w:rsidRPr="003A1174">
        <w:rPr>
          <w:rFonts w:ascii="Garamond" w:hAnsi="Garamond" w:cs="Arial"/>
          <w:sz w:val="24"/>
          <w:szCs w:val="24"/>
        </w:rPr>
        <w:t>realidade</w:t>
      </w:r>
      <w:r w:rsidR="00FE0A64" w:rsidRPr="003A1174">
        <w:rPr>
          <w:rFonts w:ascii="Garamond" w:hAnsi="Garamond" w:cs="Arial"/>
          <w:sz w:val="24"/>
          <w:szCs w:val="24"/>
        </w:rPr>
        <w:t xml:space="preserve">, </w:t>
      </w:r>
      <w:r w:rsidRPr="003A1174">
        <w:rPr>
          <w:rFonts w:ascii="Garamond" w:hAnsi="Garamond" w:cs="Arial"/>
          <w:sz w:val="24"/>
          <w:szCs w:val="24"/>
        </w:rPr>
        <w:t>no</w:t>
      </w:r>
      <w:r w:rsidR="00FE0A64" w:rsidRPr="003A1174">
        <w:rPr>
          <w:rFonts w:ascii="Garamond" w:hAnsi="Garamond" w:cs="Arial"/>
          <w:sz w:val="24"/>
          <w:szCs w:val="24"/>
        </w:rPr>
        <w:t xml:space="preserve">s últimos </w:t>
      </w:r>
      <w:r w:rsidRPr="003A1174">
        <w:rPr>
          <w:rFonts w:ascii="Garamond" w:hAnsi="Garamond" w:cs="Arial"/>
          <w:sz w:val="24"/>
          <w:szCs w:val="24"/>
        </w:rPr>
        <w:t>anos</w:t>
      </w:r>
      <w:r w:rsidR="00A914A0">
        <w:rPr>
          <w:rFonts w:ascii="Garamond" w:hAnsi="Garamond" w:cs="Arial"/>
          <w:sz w:val="24"/>
          <w:szCs w:val="24"/>
        </w:rPr>
        <w:t>,</w:t>
      </w:r>
      <w:r w:rsidRPr="003A1174">
        <w:rPr>
          <w:rFonts w:ascii="Garamond" w:hAnsi="Garamond" w:cs="Arial"/>
          <w:sz w:val="24"/>
          <w:szCs w:val="24"/>
        </w:rPr>
        <w:t xml:space="preserve"> </w:t>
      </w:r>
      <w:r w:rsidR="00FE0A64" w:rsidRPr="003A1174">
        <w:rPr>
          <w:rFonts w:ascii="Garamond" w:hAnsi="Garamond" w:cs="Arial"/>
          <w:sz w:val="24"/>
          <w:szCs w:val="24"/>
        </w:rPr>
        <w:t xml:space="preserve">a </w:t>
      </w:r>
      <w:r w:rsidRPr="003A1174">
        <w:rPr>
          <w:rFonts w:ascii="Garamond" w:hAnsi="Garamond" w:cs="Arial"/>
          <w:sz w:val="24"/>
          <w:szCs w:val="24"/>
        </w:rPr>
        <w:t>Rede</w:t>
      </w:r>
      <w:r w:rsidR="00FE0A64" w:rsidRPr="003A1174">
        <w:rPr>
          <w:rFonts w:ascii="Garamond" w:hAnsi="Garamond" w:cs="Arial"/>
          <w:sz w:val="24"/>
          <w:szCs w:val="24"/>
        </w:rPr>
        <w:t xml:space="preserve"> </w:t>
      </w:r>
      <w:r w:rsidRPr="003A1174">
        <w:rPr>
          <w:rFonts w:ascii="Garamond" w:hAnsi="Garamond" w:cs="Arial"/>
          <w:sz w:val="24"/>
          <w:szCs w:val="24"/>
        </w:rPr>
        <w:t>focou-</w:t>
      </w:r>
      <w:r w:rsidR="00FE0A64" w:rsidRPr="003A1174">
        <w:rPr>
          <w:rFonts w:ascii="Garamond" w:hAnsi="Garamond" w:cs="Arial"/>
          <w:sz w:val="24"/>
          <w:szCs w:val="24"/>
        </w:rPr>
        <w:t xml:space="preserve">se </w:t>
      </w:r>
      <w:r w:rsidRPr="003A1174">
        <w:rPr>
          <w:rFonts w:ascii="Garamond" w:hAnsi="Garamond" w:cs="Arial"/>
          <w:sz w:val="24"/>
          <w:szCs w:val="24"/>
        </w:rPr>
        <w:t xml:space="preserve">na </w:t>
      </w:r>
      <w:r w:rsidR="0017447A" w:rsidRPr="003A1174">
        <w:rPr>
          <w:rFonts w:ascii="Garamond" w:hAnsi="Garamond" w:cs="Arial"/>
          <w:sz w:val="24"/>
          <w:szCs w:val="24"/>
        </w:rPr>
        <w:t>análise</w:t>
      </w:r>
      <w:r w:rsidR="00FE0A64" w:rsidRPr="003A1174">
        <w:rPr>
          <w:rFonts w:ascii="Garamond" w:hAnsi="Garamond" w:cs="Arial"/>
          <w:sz w:val="24"/>
          <w:szCs w:val="24"/>
        </w:rPr>
        <w:t xml:space="preserve"> de diferentes problemáticas que se</w:t>
      </w:r>
      <w:r w:rsidR="00DB1EB1" w:rsidRPr="003A1174">
        <w:rPr>
          <w:rFonts w:ascii="Garamond" w:hAnsi="Garamond" w:cs="Arial"/>
          <w:sz w:val="24"/>
          <w:szCs w:val="24"/>
        </w:rPr>
        <w:t xml:space="preserve"> veem refletidas </w:t>
      </w:r>
      <w:r w:rsidR="00FE0A64" w:rsidRPr="003A1174">
        <w:rPr>
          <w:rFonts w:ascii="Garamond" w:hAnsi="Garamond" w:cs="Arial"/>
          <w:sz w:val="24"/>
          <w:szCs w:val="24"/>
        </w:rPr>
        <w:t xml:space="preserve">nas </w:t>
      </w:r>
      <w:r w:rsidR="0017447A" w:rsidRPr="003A1174">
        <w:rPr>
          <w:rFonts w:ascii="Garamond" w:hAnsi="Garamond" w:cs="Arial"/>
          <w:sz w:val="24"/>
          <w:szCs w:val="24"/>
        </w:rPr>
        <w:t>Declarações</w:t>
      </w:r>
      <w:r w:rsidR="00FE0A64" w:rsidRPr="003A1174">
        <w:rPr>
          <w:rFonts w:ascii="Garamond" w:hAnsi="Garamond" w:cs="Arial"/>
          <w:sz w:val="24"/>
          <w:szCs w:val="24"/>
        </w:rPr>
        <w:t xml:space="preserve"> </w:t>
      </w:r>
      <w:r w:rsidR="0017447A" w:rsidRPr="003A1174">
        <w:rPr>
          <w:rFonts w:ascii="Garamond" w:hAnsi="Garamond" w:cs="Arial"/>
          <w:sz w:val="24"/>
          <w:szCs w:val="24"/>
        </w:rPr>
        <w:t>Anuais</w:t>
      </w:r>
      <w:r w:rsidR="00FE0A64" w:rsidRPr="003A1174">
        <w:rPr>
          <w:rFonts w:ascii="Garamond" w:hAnsi="Garamond" w:cs="Arial"/>
          <w:sz w:val="24"/>
          <w:szCs w:val="24"/>
        </w:rPr>
        <w:t xml:space="preserve">, a saber: </w:t>
      </w:r>
      <w:r w:rsidRPr="003A1174">
        <w:rPr>
          <w:rFonts w:ascii="Garamond" w:hAnsi="Garamond" w:cs="Arial"/>
          <w:sz w:val="24"/>
          <w:szCs w:val="24"/>
        </w:rPr>
        <w:t>Igualdade</w:t>
      </w:r>
      <w:r w:rsidR="00FE0A64" w:rsidRPr="003A1174">
        <w:rPr>
          <w:rFonts w:ascii="Garamond" w:hAnsi="Garamond" w:cs="Arial"/>
          <w:sz w:val="24"/>
          <w:szCs w:val="24"/>
        </w:rPr>
        <w:t xml:space="preserve"> </w:t>
      </w:r>
      <w:r w:rsidR="009B133A" w:rsidRPr="003A1174">
        <w:rPr>
          <w:rFonts w:ascii="Garamond" w:hAnsi="Garamond" w:cs="Arial"/>
          <w:sz w:val="24"/>
          <w:szCs w:val="24"/>
        </w:rPr>
        <w:t xml:space="preserve">e não </w:t>
      </w:r>
      <w:r w:rsidR="0017447A" w:rsidRPr="003A1174">
        <w:rPr>
          <w:rFonts w:ascii="Garamond" w:hAnsi="Garamond" w:cs="Arial"/>
          <w:sz w:val="24"/>
          <w:szCs w:val="24"/>
        </w:rPr>
        <w:t>Discriminação</w:t>
      </w:r>
      <w:r w:rsidR="00FE0A64" w:rsidRPr="003A1174">
        <w:rPr>
          <w:rFonts w:ascii="Garamond" w:hAnsi="Garamond" w:cs="Arial"/>
          <w:sz w:val="24"/>
          <w:szCs w:val="24"/>
        </w:rPr>
        <w:t xml:space="preserve">, </w:t>
      </w:r>
      <w:r w:rsidR="005C051C" w:rsidRPr="003A1174">
        <w:rPr>
          <w:rFonts w:ascii="Garamond" w:hAnsi="Garamond" w:cs="Arial"/>
          <w:sz w:val="24"/>
          <w:szCs w:val="24"/>
        </w:rPr>
        <w:t>Femicídio</w:t>
      </w:r>
      <w:r w:rsidR="00FE0A64" w:rsidRPr="003A1174">
        <w:rPr>
          <w:rFonts w:ascii="Garamond" w:hAnsi="Garamond" w:cs="Arial"/>
          <w:sz w:val="24"/>
          <w:szCs w:val="24"/>
        </w:rPr>
        <w:t>, Tr</w:t>
      </w:r>
      <w:r w:rsidR="00DB1EB1" w:rsidRPr="003A1174">
        <w:rPr>
          <w:rFonts w:ascii="Garamond" w:hAnsi="Garamond" w:cs="Arial"/>
          <w:sz w:val="24"/>
          <w:szCs w:val="24"/>
        </w:rPr>
        <w:t xml:space="preserve">áfico </w:t>
      </w:r>
      <w:r w:rsidR="00FE0A64" w:rsidRPr="003A1174">
        <w:rPr>
          <w:rFonts w:ascii="Garamond" w:hAnsi="Garamond" w:cs="Arial"/>
          <w:sz w:val="24"/>
          <w:szCs w:val="24"/>
        </w:rPr>
        <w:t xml:space="preserve">de </w:t>
      </w:r>
      <w:r w:rsidR="00054EE0" w:rsidRPr="003A1174">
        <w:rPr>
          <w:rFonts w:ascii="Garamond" w:hAnsi="Garamond" w:cs="Arial"/>
          <w:sz w:val="24"/>
          <w:szCs w:val="24"/>
        </w:rPr>
        <w:t>Mulheres</w:t>
      </w:r>
      <w:r w:rsidR="00FE0A64" w:rsidRPr="003A1174">
        <w:rPr>
          <w:rFonts w:ascii="Garamond" w:hAnsi="Garamond" w:cs="Arial"/>
          <w:sz w:val="24"/>
          <w:szCs w:val="24"/>
        </w:rPr>
        <w:t xml:space="preserve"> </w:t>
      </w:r>
      <w:r w:rsidR="009B133A" w:rsidRPr="003A1174">
        <w:rPr>
          <w:rFonts w:ascii="Garamond" w:hAnsi="Garamond" w:cs="Arial"/>
          <w:sz w:val="24"/>
          <w:szCs w:val="24"/>
        </w:rPr>
        <w:t>e Meninas com fin</w:t>
      </w:r>
      <w:r w:rsidR="00FE0A64" w:rsidRPr="003A1174">
        <w:rPr>
          <w:rFonts w:ascii="Garamond" w:hAnsi="Garamond" w:cs="Arial"/>
          <w:sz w:val="24"/>
          <w:szCs w:val="24"/>
        </w:rPr>
        <w:t xml:space="preserve">s de </w:t>
      </w:r>
      <w:r w:rsidR="0096583F" w:rsidRPr="003A1174">
        <w:rPr>
          <w:rFonts w:ascii="Garamond" w:hAnsi="Garamond" w:cs="Arial"/>
          <w:sz w:val="24"/>
          <w:szCs w:val="24"/>
        </w:rPr>
        <w:t>exploração sexual e</w:t>
      </w:r>
      <w:r w:rsidR="009B133A" w:rsidRPr="003A1174">
        <w:rPr>
          <w:rFonts w:ascii="Garamond" w:hAnsi="Garamond" w:cs="Arial"/>
          <w:sz w:val="24"/>
          <w:szCs w:val="24"/>
        </w:rPr>
        <w:t xml:space="preserve"> laboral, </w:t>
      </w:r>
      <w:r w:rsidR="00DB1EB1" w:rsidRPr="003A1174">
        <w:rPr>
          <w:rFonts w:ascii="Garamond" w:hAnsi="Garamond" w:cs="Arial"/>
          <w:sz w:val="24"/>
          <w:szCs w:val="24"/>
        </w:rPr>
        <w:t>Cidades seguras</w:t>
      </w:r>
      <w:r w:rsidR="009B133A" w:rsidRPr="003A1174">
        <w:rPr>
          <w:rFonts w:ascii="Garamond" w:hAnsi="Garamond" w:cs="Arial"/>
          <w:sz w:val="24"/>
          <w:szCs w:val="24"/>
        </w:rPr>
        <w:t xml:space="preserve"> para </w:t>
      </w:r>
      <w:r w:rsidR="00FE0A64" w:rsidRPr="003A1174">
        <w:rPr>
          <w:rFonts w:ascii="Garamond" w:hAnsi="Garamond" w:cs="Arial"/>
          <w:sz w:val="24"/>
          <w:szCs w:val="24"/>
        </w:rPr>
        <w:t xml:space="preserve">as </w:t>
      </w:r>
      <w:r w:rsidR="00054EE0" w:rsidRPr="003A1174">
        <w:rPr>
          <w:rFonts w:ascii="Garamond" w:hAnsi="Garamond" w:cs="Arial"/>
          <w:sz w:val="24"/>
          <w:szCs w:val="24"/>
        </w:rPr>
        <w:t>Mulheres</w:t>
      </w:r>
      <w:r w:rsidR="009B133A" w:rsidRPr="003A1174">
        <w:rPr>
          <w:rFonts w:ascii="Garamond" w:hAnsi="Garamond" w:cs="Arial"/>
          <w:sz w:val="24"/>
          <w:szCs w:val="24"/>
        </w:rPr>
        <w:t xml:space="preserve">, Contra </w:t>
      </w:r>
      <w:r w:rsidR="00FE0A64" w:rsidRPr="003A1174">
        <w:rPr>
          <w:rFonts w:ascii="Garamond" w:hAnsi="Garamond" w:cs="Arial"/>
          <w:sz w:val="24"/>
          <w:szCs w:val="24"/>
        </w:rPr>
        <w:t xml:space="preserve">as </w:t>
      </w:r>
      <w:r w:rsidR="000350B1" w:rsidRPr="003A1174">
        <w:rPr>
          <w:rFonts w:ascii="Garamond" w:hAnsi="Garamond" w:cs="Arial"/>
          <w:sz w:val="24"/>
          <w:szCs w:val="24"/>
        </w:rPr>
        <w:t>Violência</w:t>
      </w:r>
      <w:r w:rsidR="009B133A" w:rsidRPr="003A1174">
        <w:rPr>
          <w:rFonts w:ascii="Garamond" w:hAnsi="Garamond" w:cs="Arial"/>
          <w:sz w:val="24"/>
          <w:szCs w:val="24"/>
        </w:rPr>
        <w:t>s de Género e</w:t>
      </w:r>
      <w:r w:rsidR="00FE0A64" w:rsidRPr="003A1174">
        <w:rPr>
          <w:rFonts w:ascii="Garamond" w:hAnsi="Garamond" w:cs="Arial"/>
          <w:sz w:val="24"/>
          <w:szCs w:val="24"/>
        </w:rPr>
        <w:t xml:space="preserve"> </w:t>
      </w:r>
      <w:r w:rsidR="00054EE0" w:rsidRPr="003A1174">
        <w:rPr>
          <w:rFonts w:ascii="Garamond" w:hAnsi="Garamond" w:cs="Arial"/>
          <w:sz w:val="24"/>
          <w:szCs w:val="24"/>
        </w:rPr>
        <w:t>Mulheres</w:t>
      </w:r>
      <w:r w:rsidR="00FE0A64" w:rsidRPr="003A1174">
        <w:rPr>
          <w:rFonts w:ascii="Garamond" w:hAnsi="Garamond" w:cs="Arial"/>
          <w:sz w:val="24"/>
          <w:szCs w:val="24"/>
        </w:rPr>
        <w:t xml:space="preserve"> </w:t>
      </w:r>
      <w:r w:rsidR="009B133A" w:rsidRPr="003A1174">
        <w:rPr>
          <w:rFonts w:ascii="Garamond" w:hAnsi="Garamond" w:cs="Arial"/>
          <w:sz w:val="24"/>
          <w:szCs w:val="24"/>
        </w:rPr>
        <w:t>Rurais</w:t>
      </w:r>
      <w:r w:rsidR="00FE0A64" w:rsidRPr="003A1174">
        <w:rPr>
          <w:rFonts w:ascii="Garamond" w:hAnsi="Garamond" w:cs="Arial"/>
          <w:sz w:val="24"/>
          <w:szCs w:val="24"/>
        </w:rPr>
        <w:t xml:space="preserve">, entre </w:t>
      </w:r>
      <w:r w:rsidR="0017447A" w:rsidRPr="003A1174">
        <w:rPr>
          <w:rFonts w:ascii="Garamond" w:hAnsi="Garamond" w:cs="Arial"/>
          <w:sz w:val="24"/>
          <w:szCs w:val="24"/>
        </w:rPr>
        <w:t>outras</w:t>
      </w:r>
      <w:r w:rsidR="00FE0A64" w:rsidRPr="003A1174">
        <w:rPr>
          <w:rFonts w:ascii="Garamond" w:hAnsi="Garamond" w:cs="Arial"/>
          <w:sz w:val="24"/>
          <w:szCs w:val="24"/>
        </w:rPr>
        <w:t>.</w:t>
      </w:r>
    </w:p>
    <w:p w:rsidR="00FE0A64" w:rsidRPr="003A1174" w:rsidRDefault="00A914A0" w:rsidP="008719D4">
      <w:pPr>
        <w:spacing w:line="240" w:lineRule="auto"/>
        <w:jc w:val="both"/>
        <w:rPr>
          <w:rFonts w:ascii="Garamond" w:hAnsi="Garamond" w:cs="Arial"/>
          <w:sz w:val="24"/>
          <w:szCs w:val="24"/>
        </w:rPr>
      </w:pPr>
      <w:r>
        <w:rPr>
          <w:rFonts w:ascii="Garamond" w:hAnsi="Garamond" w:cs="Arial"/>
          <w:sz w:val="24"/>
          <w:szCs w:val="24"/>
        </w:rPr>
        <w:t>Desde 2013 a</w:t>
      </w:r>
      <w:r w:rsidR="00DB1EB1" w:rsidRPr="003A1174">
        <w:rPr>
          <w:rFonts w:ascii="Garamond" w:hAnsi="Garamond" w:cs="Arial"/>
          <w:sz w:val="24"/>
          <w:szCs w:val="24"/>
        </w:rPr>
        <w:t xml:space="preserve"> Rede centrou </w:t>
      </w:r>
      <w:r w:rsidR="009B133A" w:rsidRPr="003A1174">
        <w:rPr>
          <w:rFonts w:ascii="Garamond" w:hAnsi="Garamond" w:cs="Arial"/>
          <w:sz w:val="24"/>
          <w:szCs w:val="24"/>
        </w:rPr>
        <w:t xml:space="preserve">o seu </w:t>
      </w:r>
      <w:r w:rsidR="0017447A" w:rsidRPr="003A1174">
        <w:rPr>
          <w:rFonts w:ascii="Garamond" w:hAnsi="Garamond" w:cs="Arial"/>
          <w:sz w:val="24"/>
          <w:szCs w:val="24"/>
        </w:rPr>
        <w:t>trabalho</w:t>
      </w:r>
      <w:r w:rsidR="00DB1EB1" w:rsidRPr="003A1174">
        <w:rPr>
          <w:rFonts w:ascii="Garamond" w:hAnsi="Garamond" w:cs="Arial"/>
          <w:sz w:val="24"/>
          <w:szCs w:val="24"/>
        </w:rPr>
        <w:t xml:space="preserve">, </w:t>
      </w:r>
      <w:r w:rsidR="009B133A" w:rsidRPr="003A1174">
        <w:rPr>
          <w:rFonts w:ascii="Garamond" w:hAnsi="Garamond" w:cs="Arial"/>
          <w:sz w:val="24"/>
          <w:szCs w:val="24"/>
        </w:rPr>
        <w:t xml:space="preserve">na </w:t>
      </w:r>
      <w:r w:rsidR="00A04525" w:rsidRPr="003A1174">
        <w:rPr>
          <w:rFonts w:ascii="Garamond" w:hAnsi="Garamond" w:cs="Arial"/>
          <w:sz w:val="24"/>
          <w:szCs w:val="24"/>
        </w:rPr>
        <w:t>perspetiva</w:t>
      </w:r>
      <w:r w:rsidR="00FE0A64" w:rsidRPr="003A1174">
        <w:rPr>
          <w:rFonts w:ascii="Garamond" w:hAnsi="Garamond" w:cs="Arial"/>
          <w:sz w:val="24"/>
          <w:szCs w:val="24"/>
        </w:rPr>
        <w:t xml:space="preserve"> da </w:t>
      </w:r>
      <w:r w:rsidR="000350B1" w:rsidRPr="003A1174">
        <w:rPr>
          <w:rFonts w:ascii="Garamond" w:hAnsi="Garamond" w:cs="Arial"/>
          <w:sz w:val="24"/>
          <w:szCs w:val="24"/>
        </w:rPr>
        <w:t>violência</w:t>
      </w:r>
      <w:r w:rsidR="00FE0A64" w:rsidRPr="003A1174">
        <w:rPr>
          <w:rFonts w:ascii="Garamond" w:hAnsi="Garamond" w:cs="Arial"/>
          <w:sz w:val="24"/>
          <w:szCs w:val="24"/>
        </w:rPr>
        <w:t xml:space="preserve"> familiar, </w:t>
      </w:r>
      <w:r w:rsidR="009B133A" w:rsidRPr="003A1174">
        <w:rPr>
          <w:rFonts w:ascii="Garamond" w:hAnsi="Garamond" w:cs="Arial"/>
          <w:sz w:val="24"/>
          <w:szCs w:val="24"/>
        </w:rPr>
        <w:t>especificamente</w:t>
      </w:r>
      <w:r>
        <w:rPr>
          <w:rFonts w:ascii="Garamond" w:hAnsi="Garamond" w:cs="Arial"/>
          <w:sz w:val="24"/>
          <w:szCs w:val="24"/>
        </w:rPr>
        <w:t>,</w:t>
      </w:r>
      <w:r w:rsidR="00FE0A64" w:rsidRPr="003A1174">
        <w:rPr>
          <w:rFonts w:ascii="Garamond" w:hAnsi="Garamond" w:cs="Arial"/>
          <w:sz w:val="24"/>
          <w:szCs w:val="24"/>
        </w:rPr>
        <w:t xml:space="preserve"> </w:t>
      </w:r>
      <w:r w:rsidR="009B133A" w:rsidRPr="003A1174">
        <w:rPr>
          <w:rFonts w:ascii="Garamond" w:hAnsi="Garamond" w:cs="Arial"/>
          <w:sz w:val="24"/>
          <w:szCs w:val="24"/>
        </w:rPr>
        <w:t xml:space="preserve">no que toca ao </w:t>
      </w:r>
      <w:r w:rsidR="00886D6A" w:rsidRPr="003A1174">
        <w:rPr>
          <w:rFonts w:ascii="Garamond" w:hAnsi="Garamond" w:cs="Arial"/>
          <w:sz w:val="24"/>
          <w:szCs w:val="24"/>
        </w:rPr>
        <w:t>acesso</w:t>
      </w:r>
      <w:r w:rsidR="00FE0A64" w:rsidRPr="003A1174">
        <w:rPr>
          <w:rFonts w:ascii="Garamond" w:hAnsi="Garamond" w:cs="Arial"/>
          <w:sz w:val="24"/>
          <w:szCs w:val="24"/>
        </w:rPr>
        <w:t xml:space="preserve"> </w:t>
      </w:r>
      <w:r w:rsidR="009B133A" w:rsidRPr="003A1174">
        <w:rPr>
          <w:rFonts w:ascii="Garamond" w:hAnsi="Garamond" w:cs="Arial"/>
          <w:sz w:val="24"/>
          <w:szCs w:val="24"/>
        </w:rPr>
        <w:t xml:space="preserve">à </w:t>
      </w:r>
      <w:r w:rsidR="00FC1F7F" w:rsidRPr="003A1174">
        <w:rPr>
          <w:rFonts w:ascii="Garamond" w:hAnsi="Garamond" w:cs="Arial"/>
          <w:sz w:val="24"/>
          <w:szCs w:val="24"/>
        </w:rPr>
        <w:t>justiça</w:t>
      </w:r>
      <w:r w:rsidR="009B133A" w:rsidRPr="003A1174">
        <w:rPr>
          <w:rFonts w:ascii="Garamond" w:hAnsi="Garamond" w:cs="Arial"/>
          <w:sz w:val="24"/>
          <w:szCs w:val="24"/>
        </w:rPr>
        <w:t xml:space="preserve"> e</w:t>
      </w:r>
      <w:r w:rsidR="00FE0A64" w:rsidRPr="003A1174">
        <w:rPr>
          <w:rFonts w:ascii="Garamond" w:hAnsi="Garamond" w:cs="Arial"/>
          <w:sz w:val="24"/>
          <w:szCs w:val="24"/>
        </w:rPr>
        <w:t xml:space="preserve"> </w:t>
      </w:r>
      <w:r w:rsidR="00CF4C35" w:rsidRPr="003A1174">
        <w:rPr>
          <w:rFonts w:ascii="Garamond" w:hAnsi="Garamond" w:cs="Arial"/>
          <w:sz w:val="24"/>
          <w:szCs w:val="24"/>
        </w:rPr>
        <w:t>Diligência Devida</w:t>
      </w:r>
      <w:r w:rsidR="009B133A" w:rsidRPr="003A1174">
        <w:rPr>
          <w:rFonts w:ascii="Garamond" w:hAnsi="Garamond" w:cs="Arial"/>
          <w:sz w:val="24"/>
          <w:szCs w:val="24"/>
        </w:rPr>
        <w:t>, e</w:t>
      </w:r>
      <w:r w:rsidR="00DB1EB1" w:rsidRPr="003A1174">
        <w:rPr>
          <w:rFonts w:ascii="Garamond" w:hAnsi="Garamond" w:cs="Arial"/>
          <w:sz w:val="24"/>
          <w:szCs w:val="24"/>
        </w:rPr>
        <w:t xml:space="preserve"> realizaram </w:t>
      </w:r>
      <w:r w:rsidR="00FE0A64" w:rsidRPr="003A1174">
        <w:rPr>
          <w:rFonts w:ascii="Garamond" w:hAnsi="Garamond" w:cs="Arial"/>
          <w:sz w:val="24"/>
          <w:szCs w:val="24"/>
        </w:rPr>
        <w:t>u</w:t>
      </w:r>
      <w:r w:rsidR="0017447A" w:rsidRPr="003A1174">
        <w:rPr>
          <w:rFonts w:ascii="Garamond" w:hAnsi="Garamond" w:cs="Arial"/>
          <w:sz w:val="24"/>
          <w:szCs w:val="24"/>
        </w:rPr>
        <w:t>ma</w:t>
      </w:r>
      <w:r w:rsidR="00FE0A64" w:rsidRPr="003A1174">
        <w:rPr>
          <w:rFonts w:ascii="Garamond" w:hAnsi="Garamond" w:cs="Arial"/>
          <w:sz w:val="24"/>
          <w:szCs w:val="24"/>
        </w:rPr>
        <w:t xml:space="preserve"> </w:t>
      </w:r>
      <w:r w:rsidR="0017447A" w:rsidRPr="003A1174">
        <w:rPr>
          <w:rFonts w:ascii="Garamond" w:hAnsi="Garamond" w:cs="Arial"/>
          <w:sz w:val="24"/>
          <w:szCs w:val="24"/>
        </w:rPr>
        <w:t>análise</w:t>
      </w:r>
      <w:r w:rsidR="00FE0A64" w:rsidRPr="003A1174">
        <w:rPr>
          <w:rFonts w:ascii="Garamond" w:hAnsi="Garamond" w:cs="Arial"/>
          <w:sz w:val="24"/>
          <w:szCs w:val="24"/>
        </w:rPr>
        <w:t xml:space="preserve"> regional sobre </w:t>
      </w:r>
      <w:r w:rsidR="00EF40B0" w:rsidRPr="003A1174">
        <w:rPr>
          <w:rFonts w:ascii="Garamond" w:hAnsi="Garamond" w:cs="Arial"/>
          <w:sz w:val="24"/>
          <w:szCs w:val="24"/>
        </w:rPr>
        <w:t xml:space="preserve">a referida </w:t>
      </w:r>
      <w:r w:rsidR="00FE0A64" w:rsidRPr="003A1174">
        <w:rPr>
          <w:rFonts w:ascii="Garamond" w:hAnsi="Garamond" w:cs="Arial"/>
          <w:sz w:val="24"/>
          <w:szCs w:val="24"/>
        </w:rPr>
        <w:t xml:space="preserve">problemática que </w:t>
      </w:r>
      <w:r w:rsidR="00DB1EB1" w:rsidRPr="003A1174">
        <w:rPr>
          <w:rFonts w:ascii="Garamond" w:hAnsi="Garamond" w:cs="Arial"/>
          <w:sz w:val="24"/>
          <w:szCs w:val="24"/>
        </w:rPr>
        <w:t xml:space="preserve">consta </w:t>
      </w:r>
      <w:r w:rsidR="00FE0A64" w:rsidRPr="003A1174">
        <w:rPr>
          <w:rFonts w:ascii="Garamond" w:hAnsi="Garamond" w:cs="Arial"/>
          <w:sz w:val="24"/>
          <w:szCs w:val="24"/>
        </w:rPr>
        <w:t xml:space="preserve">na presente </w:t>
      </w:r>
      <w:r w:rsidR="00FC1F7F" w:rsidRPr="003A1174">
        <w:rPr>
          <w:rFonts w:ascii="Garamond" w:hAnsi="Garamond" w:cs="Arial"/>
          <w:sz w:val="24"/>
          <w:szCs w:val="24"/>
        </w:rPr>
        <w:t>publicação</w:t>
      </w:r>
      <w:r w:rsidR="00FE0A64" w:rsidRPr="003A1174">
        <w:rPr>
          <w:rFonts w:ascii="Garamond" w:hAnsi="Garamond" w:cs="Arial"/>
          <w:sz w:val="24"/>
          <w:szCs w:val="24"/>
        </w:rPr>
        <w:t xml:space="preserve">. </w:t>
      </w:r>
    </w:p>
    <w:p w:rsidR="00FE0A64" w:rsidRPr="003A1174" w:rsidRDefault="00EF40B0" w:rsidP="008719D4">
      <w:pPr>
        <w:spacing w:line="240" w:lineRule="auto"/>
        <w:jc w:val="both"/>
        <w:rPr>
          <w:rFonts w:ascii="Garamond" w:hAnsi="Garamond" w:cs="Arial"/>
          <w:sz w:val="24"/>
          <w:szCs w:val="24"/>
        </w:rPr>
      </w:pPr>
      <w:r w:rsidRPr="003A1174">
        <w:rPr>
          <w:rFonts w:ascii="Garamond" w:hAnsi="Garamond" w:cs="Arial"/>
          <w:sz w:val="24"/>
          <w:szCs w:val="24"/>
        </w:rPr>
        <w:t>Na</w:t>
      </w:r>
      <w:r w:rsidR="00FE0A64" w:rsidRPr="003A1174">
        <w:rPr>
          <w:rFonts w:ascii="Garamond" w:hAnsi="Garamond" w:cs="Arial"/>
          <w:sz w:val="24"/>
          <w:szCs w:val="24"/>
        </w:rPr>
        <w:t xml:space="preserve"> </w:t>
      </w:r>
      <w:r w:rsidR="00886D6A" w:rsidRPr="003A1174">
        <w:rPr>
          <w:rFonts w:ascii="Garamond" w:hAnsi="Garamond" w:cs="Arial"/>
          <w:sz w:val="24"/>
          <w:szCs w:val="24"/>
        </w:rPr>
        <w:t>investigação</w:t>
      </w:r>
      <w:r w:rsidR="00FE0A64" w:rsidRPr="003A1174">
        <w:rPr>
          <w:rFonts w:ascii="Garamond" w:hAnsi="Garamond" w:cs="Arial"/>
          <w:sz w:val="24"/>
          <w:szCs w:val="24"/>
        </w:rPr>
        <w:t xml:space="preserve"> encontrar</w:t>
      </w:r>
      <w:r w:rsidRPr="003A1174">
        <w:rPr>
          <w:rFonts w:ascii="Garamond" w:hAnsi="Garamond" w:cs="Arial"/>
          <w:sz w:val="24"/>
          <w:szCs w:val="24"/>
        </w:rPr>
        <w:t>-se-ão r</w:t>
      </w:r>
      <w:r w:rsidR="000866B6" w:rsidRPr="003A1174">
        <w:rPr>
          <w:rFonts w:ascii="Garamond" w:hAnsi="Garamond" w:cs="Arial"/>
          <w:sz w:val="24"/>
          <w:szCs w:val="24"/>
        </w:rPr>
        <w:t>eflexões</w:t>
      </w:r>
      <w:r w:rsidRPr="003A1174">
        <w:rPr>
          <w:rFonts w:ascii="Garamond" w:hAnsi="Garamond" w:cs="Arial"/>
          <w:sz w:val="24"/>
          <w:szCs w:val="24"/>
        </w:rPr>
        <w:t xml:space="preserve"> e</w:t>
      </w:r>
      <w:r w:rsidR="00FE0A64" w:rsidRPr="003A1174">
        <w:rPr>
          <w:rFonts w:ascii="Garamond" w:hAnsi="Garamond" w:cs="Arial"/>
          <w:sz w:val="24"/>
          <w:szCs w:val="24"/>
        </w:rPr>
        <w:t xml:space="preserve"> u</w:t>
      </w:r>
      <w:r w:rsidR="0017447A" w:rsidRPr="003A1174">
        <w:rPr>
          <w:rFonts w:ascii="Garamond" w:hAnsi="Garamond" w:cs="Arial"/>
          <w:sz w:val="24"/>
          <w:szCs w:val="24"/>
        </w:rPr>
        <w:t>ma</w:t>
      </w:r>
      <w:r w:rsidR="00FE0A64" w:rsidRPr="003A1174">
        <w:rPr>
          <w:rFonts w:ascii="Garamond" w:hAnsi="Garamond" w:cs="Arial"/>
          <w:sz w:val="24"/>
          <w:szCs w:val="24"/>
        </w:rPr>
        <w:t xml:space="preserve"> </w:t>
      </w:r>
      <w:r w:rsidR="0017447A" w:rsidRPr="003A1174">
        <w:rPr>
          <w:rFonts w:ascii="Garamond" w:hAnsi="Garamond" w:cs="Arial"/>
          <w:sz w:val="24"/>
          <w:szCs w:val="24"/>
        </w:rPr>
        <w:t>análise</w:t>
      </w:r>
      <w:r w:rsidR="00FE0A64" w:rsidRPr="003A1174">
        <w:rPr>
          <w:rFonts w:ascii="Garamond" w:hAnsi="Garamond" w:cs="Arial"/>
          <w:sz w:val="24"/>
          <w:szCs w:val="24"/>
        </w:rPr>
        <w:t xml:space="preserve"> concetual para </w:t>
      </w:r>
      <w:r w:rsidRPr="003A1174">
        <w:rPr>
          <w:rFonts w:ascii="Garamond" w:hAnsi="Garamond" w:cs="Arial"/>
          <w:sz w:val="24"/>
          <w:szCs w:val="24"/>
        </w:rPr>
        <w:t xml:space="preserve">se chegar a uma </w:t>
      </w:r>
      <w:r w:rsidR="00FE0A64" w:rsidRPr="003A1174">
        <w:rPr>
          <w:rFonts w:ascii="Garamond" w:hAnsi="Garamond" w:cs="Arial"/>
          <w:sz w:val="24"/>
          <w:szCs w:val="24"/>
        </w:rPr>
        <w:t>compre</w:t>
      </w:r>
      <w:r w:rsidRPr="003A1174">
        <w:rPr>
          <w:rFonts w:ascii="Garamond" w:hAnsi="Garamond" w:cs="Arial"/>
          <w:sz w:val="24"/>
          <w:szCs w:val="24"/>
        </w:rPr>
        <w:t>e</w:t>
      </w:r>
      <w:r w:rsidR="00FE0A64" w:rsidRPr="003A1174">
        <w:rPr>
          <w:rFonts w:ascii="Garamond" w:hAnsi="Garamond" w:cs="Arial"/>
          <w:sz w:val="24"/>
          <w:szCs w:val="24"/>
        </w:rPr>
        <w:t>ns</w:t>
      </w:r>
      <w:r w:rsidRPr="003A1174">
        <w:rPr>
          <w:rFonts w:ascii="Garamond" w:hAnsi="Garamond" w:cs="Arial"/>
          <w:sz w:val="24"/>
          <w:szCs w:val="24"/>
        </w:rPr>
        <w:t>ão</w:t>
      </w:r>
      <w:r w:rsidR="00DB1EB1" w:rsidRPr="003A1174">
        <w:rPr>
          <w:rFonts w:ascii="Garamond" w:hAnsi="Garamond" w:cs="Arial"/>
          <w:sz w:val="24"/>
          <w:szCs w:val="24"/>
        </w:rPr>
        <w:t xml:space="preserve"> clara </w:t>
      </w:r>
      <w:r w:rsidRPr="003A1174">
        <w:rPr>
          <w:rFonts w:ascii="Garamond" w:hAnsi="Garamond" w:cs="Arial"/>
          <w:sz w:val="24"/>
          <w:szCs w:val="24"/>
        </w:rPr>
        <w:t>d</w:t>
      </w:r>
      <w:r w:rsidR="00FE0A64" w:rsidRPr="003A1174">
        <w:rPr>
          <w:rFonts w:ascii="Garamond" w:hAnsi="Garamond" w:cs="Arial"/>
          <w:sz w:val="24"/>
          <w:szCs w:val="24"/>
        </w:rPr>
        <w:t xml:space="preserve">esta </w:t>
      </w:r>
      <w:r w:rsidR="0017447A" w:rsidRPr="003A1174">
        <w:rPr>
          <w:rFonts w:ascii="Garamond" w:hAnsi="Garamond" w:cs="Arial"/>
          <w:sz w:val="24"/>
          <w:szCs w:val="24"/>
        </w:rPr>
        <w:t>situação</w:t>
      </w:r>
      <w:r w:rsidR="00FE0A64" w:rsidRPr="003A1174">
        <w:rPr>
          <w:rFonts w:ascii="Garamond" w:hAnsi="Garamond" w:cs="Arial"/>
          <w:sz w:val="24"/>
          <w:szCs w:val="24"/>
        </w:rPr>
        <w:t>, que se dedu</w:t>
      </w:r>
      <w:r w:rsidRPr="003A1174">
        <w:rPr>
          <w:rFonts w:ascii="Garamond" w:hAnsi="Garamond" w:cs="Arial"/>
          <w:sz w:val="24"/>
          <w:szCs w:val="24"/>
        </w:rPr>
        <w:t>z d</w:t>
      </w:r>
      <w:r w:rsidR="00FE0A64" w:rsidRPr="003A1174">
        <w:rPr>
          <w:rFonts w:ascii="Garamond" w:hAnsi="Garamond" w:cs="Arial"/>
          <w:sz w:val="24"/>
          <w:szCs w:val="24"/>
        </w:rPr>
        <w:t xml:space="preserve">a </w:t>
      </w:r>
      <w:r w:rsidR="0017447A" w:rsidRPr="003A1174">
        <w:rPr>
          <w:rFonts w:ascii="Garamond" w:hAnsi="Garamond" w:cs="Arial"/>
          <w:sz w:val="24"/>
          <w:szCs w:val="24"/>
        </w:rPr>
        <w:t>informação</w:t>
      </w:r>
      <w:r w:rsidR="00FE0A64" w:rsidRPr="003A1174">
        <w:rPr>
          <w:rFonts w:ascii="Garamond" w:hAnsi="Garamond" w:cs="Arial"/>
          <w:sz w:val="24"/>
          <w:szCs w:val="24"/>
        </w:rPr>
        <w:t xml:space="preserve"> </w:t>
      </w:r>
      <w:r w:rsidRPr="003A1174">
        <w:rPr>
          <w:rFonts w:ascii="Garamond" w:hAnsi="Garamond" w:cs="Arial"/>
          <w:sz w:val="24"/>
          <w:szCs w:val="24"/>
        </w:rPr>
        <w:t>fornecida pe</w:t>
      </w:r>
      <w:r w:rsidR="00FE0A64" w:rsidRPr="003A1174">
        <w:rPr>
          <w:rFonts w:ascii="Garamond" w:hAnsi="Garamond" w:cs="Arial"/>
          <w:sz w:val="24"/>
          <w:szCs w:val="24"/>
        </w:rPr>
        <w:t xml:space="preserve">las </w:t>
      </w:r>
      <w:r w:rsidR="00DC5DA7" w:rsidRPr="003A1174">
        <w:rPr>
          <w:rFonts w:ascii="Garamond" w:hAnsi="Garamond" w:cs="Arial"/>
          <w:sz w:val="24"/>
          <w:szCs w:val="24"/>
        </w:rPr>
        <w:t>Provedorias</w:t>
      </w:r>
      <w:r w:rsidR="00FE0A64" w:rsidRPr="003A1174">
        <w:rPr>
          <w:rFonts w:ascii="Garamond" w:hAnsi="Garamond" w:cs="Arial"/>
          <w:sz w:val="24"/>
          <w:szCs w:val="24"/>
        </w:rPr>
        <w:t xml:space="preserve"> </w:t>
      </w:r>
      <w:r w:rsidR="00DC5DA7" w:rsidRPr="003A1174">
        <w:rPr>
          <w:rFonts w:ascii="Garamond" w:hAnsi="Garamond" w:cs="Arial"/>
          <w:sz w:val="24"/>
          <w:szCs w:val="24"/>
        </w:rPr>
        <w:t>de Justiça</w:t>
      </w:r>
      <w:r w:rsidRPr="003A1174">
        <w:rPr>
          <w:rFonts w:ascii="Garamond" w:hAnsi="Garamond" w:cs="Arial"/>
          <w:sz w:val="24"/>
          <w:szCs w:val="24"/>
        </w:rPr>
        <w:t xml:space="preserve"> que integram a FIO, e</w:t>
      </w:r>
      <w:r w:rsidR="00FE0A64" w:rsidRPr="003A1174">
        <w:rPr>
          <w:rFonts w:ascii="Garamond" w:hAnsi="Garamond" w:cs="Arial"/>
          <w:sz w:val="24"/>
          <w:szCs w:val="24"/>
        </w:rPr>
        <w:t xml:space="preserve"> que </w:t>
      </w:r>
      <w:r w:rsidR="00DB1EB1" w:rsidRPr="003A1174">
        <w:rPr>
          <w:rFonts w:ascii="Garamond" w:hAnsi="Garamond" w:cs="Arial"/>
          <w:sz w:val="24"/>
          <w:szCs w:val="24"/>
        </w:rPr>
        <w:t xml:space="preserve">relata as </w:t>
      </w:r>
      <w:r w:rsidR="0017447A" w:rsidRPr="003A1174">
        <w:rPr>
          <w:rFonts w:ascii="Garamond" w:hAnsi="Garamond" w:cs="Arial"/>
          <w:sz w:val="24"/>
          <w:szCs w:val="24"/>
        </w:rPr>
        <w:t>experiência</w:t>
      </w:r>
      <w:r w:rsidR="00DB1EB1" w:rsidRPr="003A1174">
        <w:rPr>
          <w:rFonts w:ascii="Garamond" w:hAnsi="Garamond" w:cs="Arial"/>
          <w:sz w:val="24"/>
          <w:szCs w:val="24"/>
        </w:rPr>
        <w:t>s</w:t>
      </w:r>
      <w:r w:rsidR="00FE0A64" w:rsidRPr="003A1174">
        <w:rPr>
          <w:rFonts w:ascii="Garamond" w:hAnsi="Garamond" w:cs="Arial"/>
          <w:sz w:val="24"/>
          <w:szCs w:val="24"/>
        </w:rPr>
        <w:t xml:space="preserve"> d</w:t>
      </w:r>
      <w:r w:rsidR="0017447A" w:rsidRPr="003A1174">
        <w:rPr>
          <w:rFonts w:ascii="Garamond" w:hAnsi="Garamond" w:cs="Arial"/>
          <w:sz w:val="24"/>
          <w:szCs w:val="24"/>
        </w:rPr>
        <w:t>a</w:t>
      </w:r>
      <w:r w:rsidR="00FE0A64" w:rsidRPr="003A1174">
        <w:rPr>
          <w:rFonts w:ascii="Garamond" w:hAnsi="Garamond" w:cs="Arial"/>
          <w:sz w:val="24"/>
          <w:szCs w:val="24"/>
        </w:rPr>
        <w:t xml:space="preserve"> Argentina, </w:t>
      </w:r>
      <w:r w:rsidR="00C30647" w:rsidRPr="003A1174">
        <w:rPr>
          <w:rFonts w:ascii="Garamond" w:hAnsi="Garamond" w:cs="Arial"/>
          <w:sz w:val="24"/>
          <w:szCs w:val="24"/>
        </w:rPr>
        <w:t>Bolívia</w:t>
      </w:r>
      <w:r w:rsidR="00FE0A64" w:rsidRPr="003A1174">
        <w:rPr>
          <w:rFonts w:ascii="Garamond" w:hAnsi="Garamond" w:cs="Arial"/>
          <w:sz w:val="24"/>
          <w:szCs w:val="24"/>
        </w:rPr>
        <w:t xml:space="preserve">, </w:t>
      </w:r>
      <w:r w:rsidR="0017447A" w:rsidRPr="003A1174">
        <w:rPr>
          <w:rFonts w:ascii="Garamond" w:hAnsi="Garamond" w:cs="Arial"/>
          <w:sz w:val="24"/>
          <w:szCs w:val="24"/>
        </w:rPr>
        <w:t>Colômbia</w:t>
      </w:r>
      <w:r w:rsidR="00FE0A64" w:rsidRPr="003A1174">
        <w:rPr>
          <w:rFonts w:ascii="Garamond" w:hAnsi="Garamond" w:cs="Arial"/>
          <w:sz w:val="24"/>
          <w:szCs w:val="24"/>
        </w:rPr>
        <w:t xml:space="preserve">, Costa Rica, El Salvador, Honduras, México, </w:t>
      </w:r>
      <w:r w:rsidR="00C30647" w:rsidRPr="003A1174">
        <w:rPr>
          <w:rFonts w:ascii="Garamond" w:hAnsi="Garamond" w:cs="Arial"/>
          <w:sz w:val="24"/>
          <w:szCs w:val="24"/>
        </w:rPr>
        <w:t>Paraguai</w:t>
      </w:r>
      <w:r w:rsidR="00FE0A64" w:rsidRPr="003A1174">
        <w:rPr>
          <w:rFonts w:ascii="Garamond" w:hAnsi="Garamond" w:cs="Arial"/>
          <w:sz w:val="24"/>
          <w:szCs w:val="24"/>
        </w:rPr>
        <w:t xml:space="preserve">, </w:t>
      </w:r>
      <w:r w:rsidR="00C30647" w:rsidRPr="003A1174">
        <w:rPr>
          <w:rFonts w:ascii="Garamond" w:hAnsi="Garamond" w:cs="Arial"/>
          <w:sz w:val="24"/>
          <w:szCs w:val="24"/>
        </w:rPr>
        <w:t>Peru</w:t>
      </w:r>
      <w:r w:rsidR="00FE0A64" w:rsidRPr="003A1174">
        <w:rPr>
          <w:rFonts w:ascii="Garamond" w:hAnsi="Garamond" w:cs="Arial"/>
          <w:sz w:val="24"/>
          <w:szCs w:val="24"/>
        </w:rPr>
        <w:t xml:space="preserve">, </w:t>
      </w:r>
      <w:r w:rsidR="0017447A" w:rsidRPr="003A1174">
        <w:rPr>
          <w:rFonts w:ascii="Garamond" w:hAnsi="Garamond" w:cs="Arial"/>
          <w:sz w:val="24"/>
          <w:szCs w:val="24"/>
        </w:rPr>
        <w:t xml:space="preserve">Porto Rico, </w:t>
      </w:r>
      <w:r w:rsidR="00C30647" w:rsidRPr="003A1174">
        <w:rPr>
          <w:rFonts w:ascii="Garamond" w:hAnsi="Garamond" w:cs="Arial"/>
          <w:sz w:val="24"/>
          <w:szCs w:val="24"/>
        </w:rPr>
        <w:t>Uruguai</w:t>
      </w:r>
      <w:r w:rsidR="0017447A" w:rsidRPr="003A1174">
        <w:rPr>
          <w:rFonts w:ascii="Garamond" w:hAnsi="Garamond" w:cs="Arial"/>
          <w:sz w:val="24"/>
          <w:szCs w:val="24"/>
        </w:rPr>
        <w:t>, Venezuela e</w:t>
      </w:r>
      <w:r w:rsidR="00FE0A64" w:rsidRPr="003A1174">
        <w:rPr>
          <w:rFonts w:ascii="Garamond" w:hAnsi="Garamond" w:cs="Arial"/>
          <w:sz w:val="24"/>
          <w:szCs w:val="24"/>
        </w:rPr>
        <w:t xml:space="preserve"> </w:t>
      </w:r>
      <w:r w:rsidR="0017447A" w:rsidRPr="003A1174">
        <w:rPr>
          <w:rFonts w:ascii="Garamond" w:hAnsi="Garamond" w:cs="Arial"/>
          <w:sz w:val="24"/>
          <w:szCs w:val="24"/>
        </w:rPr>
        <w:t>Espanha</w:t>
      </w:r>
      <w:r w:rsidR="00FE0A64" w:rsidRPr="003A1174">
        <w:rPr>
          <w:rFonts w:ascii="Garamond" w:hAnsi="Garamond" w:cs="Arial"/>
          <w:sz w:val="24"/>
          <w:szCs w:val="24"/>
        </w:rPr>
        <w:t>.</w:t>
      </w:r>
    </w:p>
    <w:p w:rsidR="00A1048A" w:rsidRPr="003A1174" w:rsidRDefault="001C2738" w:rsidP="008719D4">
      <w:pPr>
        <w:spacing w:line="240" w:lineRule="auto"/>
        <w:jc w:val="both"/>
        <w:rPr>
          <w:rFonts w:ascii="Garamond" w:hAnsi="Garamond" w:cs="Arial"/>
          <w:sz w:val="24"/>
          <w:szCs w:val="24"/>
        </w:rPr>
      </w:pPr>
      <w:r w:rsidRPr="003A1174">
        <w:rPr>
          <w:rFonts w:ascii="Garamond" w:hAnsi="Garamond" w:cs="Arial"/>
          <w:sz w:val="24"/>
          <w:szCs w:val="24"/>
        </w:rPr>
        <w:t xml:space="preserve">Certamente </w:t>
      </w:r>
      <w:r w:rsidR="00FE0A64" w:rsidRPr="003A1174">
        <w:rPr>
          <w:rFonts w:ascii="Garamond" w:hAnsi="Garamond" w:cs="Arial"/>
          <w:sz w:val="24"/>
          <w:szCs w:val="24"/>
        </w:rPr>
        <w:t xml:space="preserve">este </w:t>
      </w:r>
      <w:r w:rsidR="0017447A" w:rsidRPr="003A1174">
        <w:rPr>
          <w:rFonts w:ascii="Garamond" w:hAnsi="Garamond" w:cs="Arial"/>
          <w:sz w:val="24"/>
          <w:szCs w:val="24"/>
        </w:rPr>
        <w:t>trabalho</w:t>
      </w:r>
      <w:r w:rsidRPr="003A1174">
        <w:rPr>
          <w:rFonts w:ascii="Garamond" w:hAnsi="Garamond" w:cs="Arial"/>
          <w:sz w:val="24"/>
          <w:szCs w:val="24"/>
        </w:rPr>
        <w:t xml:space="preserve"> d</w:t>
      </w:r>
      <w:r w:rsidR="00FE0A64" w:rsidRPr="003A1174">
        <w:rPr>
          <w:rFonts w:ascii="Garamond" w:hAnsi="Garamond" w:cs="Arial"/>
          <w:sz w:val="24"/>
          <w:szCs w:val="24"/>
        </w:rPr>
        <w:t xml:space="preserve">a </w:t>
      </w:r>
      <w:r w:rsidR="002C7510" w:rsidRPr="003A1174">
        <w:rPr>
          <w:rFonts w:ascii="Garamond" w:hAnsi="Garamond" w:cs="Arial"/>
          <w:sz w:val="24"/>
          <w:szCs w:val="24"/>
        </w:rPr>
        <w:t>Rede</w:t>
      </w:r>
      <w:r w:rsidR="00FE0A64" w:rsidRPr="003A1174">
        <w:rPr>
          <w:rFonts w:ascii="Garamond" w:hAnsi="Garamond" w:cs="Arial"/>
          <w:sz w:val="24"/>
          <w:szCs w:val="24"/>
        </w:rPr>
        <w:t xml:space="preserve"> contribuirá </w:t>
      </w:r>
      <w:r w:rsidRPr="003A1174">
        <w:rPr>
          <w:rFonts w:ascii="Garamond" w:hAnsi="Garamond" w:cs="Arial"/>
          <w:sz w:val="24"/>
          <w:szCs w:val="24"/>
        </w:rPr>
        <w:t xml:space="preserve">para </w:t>
      </w:r>
      <w:r w:rsidR="00FE0A64" w:rsidRPr="003A1174">
        <w:rPr>
          <w:rFonts w:ascii="Garamond" w:hAnsi="Garamond" w:cs="Arial"/>
          <w:sz w:val="24"/>
          <w:szCs w:val="24"/>
        </w:rPr>
        <w:t>tomar</w:t>
      </w:r>
      <w:r w:rsidR="00DB1EB1" w:rsidRPr="003A1174">
        <w:rPr>
          <w:rFonts w:ascii="Garamond" w:hAnsi="Garamond" w:cs="Arial"/>
          <w:sz w:val="24"/>
          <w:szCs w:val="24"/>
        </w:rPr>
        <w:t>mos</w:t>
      </w:r>
      <w:r w:rsidR="00FE0A64" w:rsidRPr="003A1174">
        <w:rPr>
          <w:rFonts w:ascii="Garamond" w:hAnsi="Garamond" w:cs="Arial"/>
          <w:sz w:val="24"/>
          <w:szCs w:val="24"/>
        </w:rPr>
        <w:t xml:space="preserve"> </w:t>
      </w:r>
      <w:r w:rsidR="00BA3CCE" w:rsidRPr="003A1174">
        <w:rPr>
          <w:rFonts w:ascii="Garamond" w:hAnsi="Garamond" w:cs="Arial"/>
          <w:sz w:val="24"/>
          <w:szCs w:val="24"/>
        </w:rPr>
        <w:t>consciência</w:t>
      </w:r>
      <w:r w:rsidR="00FE0A64" w:rsidRPr="003A1174">
        <w:rPr>
          <w:rFonts w:ascii="Garamond" w:hAnsi="Garamond" w:cs="Arial"/>
          <w:sz w:val="24"/>
          <w:szCs w:val="24"/>
        </w:rPr>
        <w:t xml:space="preserve"> </w:t>
      </w:r>
      <w:r w:rsidR="00A914A0">
        <w:rPr>
          <w:rFonts w:ascii="Garamond" w:hAnsi="Garamond" w:cs="Arial"/>
          <w:sz w:val="24"/>
          <w:szCs w:val="24"/>
        </w:rPr>
        <w:t xml:space="preserve">do tipo de </w:t>
      </w:r>
      <w:r w:rsidRPr="003A1174">
        <w:rPr>
          <w:rFonts w:ascii="Garamond" w:hAnsi="Garamond" w:cs="Arial"/>
          <w:sz w:val="24"/>
          <w:szCs w:val="24"/>
        </w:rPr>
        <w:t xml:space="preserve">tratamento que </w:t>
      </w:r>
      <w:r w:rsidR="00FE0A64" w:rsidRPr="003A1174">
        <w:rPr>
          <w:rFonts w:ascii="Garamond" w:hAnsi="Garamond" w:cs="Arial"/>
          <w:sz w:val="24"/>
          <w:szCs w:val="24"/>
        </w:rPr>
        <w:t xml:space="preserve">a </w:t>
      </w:r>
      <w:r w:rsidR="00FC1F7F" w:rsidRPr="003A1174">
        <w:rPr>
          <w:rFonts w:ascii="Garamond" w:hAnsi="Garamond" w:cs="Arial"/>
          <w:sz w:val="24"/>
          <w:szCs w:val="24"/>
        </w:rPr>
        <w:t>Justiça</w:t>
      </w:r>
      <w:r w:rsidR="00FE0A64" w:rsidRPr="003A1174">
        <w:rPr>
          <w:rFonts w:ascii="Garamond" w:hAnsi="Garamond" w:cs="Arial"/>
          <w:sz w:val="24"/>
          <w:szCs w:val="24"/>
        </w:rPr>
        <w:t xml:space="preserve"> </w:t>
      </w:r>
      <w:r w:rsidRPr="003A1174">
        <w:rPr>
          <w:rFonts w:ascii="Garamond" w:hAnsi="Garamond" w:cs="Arial"/>
          <w:sz w:val="24"/>
          <w:szCs w:val="24"/>
        </w:rPr>
        <w:t xml:space="preserve">dá aos </w:t>
      </w:r>
      <w:r w:rsidR="00FE0A64" w:rsidRPr="003A1174">
        <w:rPr>
          <w:rFonts w:ascii="Garamond" w:hAnsi="Garamond" w:cs="Arial"/>
          <w:sz w:val="24"/>
          <w:szCs w:val="24"/>
        </w:rPr>
        <w:t xml:space="preserve">casos de </w:t>
      </w:r>
      <w:r w:rsidR="000350B1" w:rsidRPr="003A1174">
        <w:rPr>
          <w:rFonts w:ascii="Garamond" w:hAnsi="Garamond" w:cs="Arial"/>
          <w:sz w:val="24"/>
          <w:szCs w:val="24"/>
        </w:rPr>
        <w:t>violência</w:t>
      </w:r>
      <w:r w:rsidR="00FE0A64" w:rsidRPr="003A1174">
        <w:rPr>
          <w:rFonts w:ascii="Garamond" w:hAnsi="Garamond" w:cs="Arial"/>
          <w:sz w:val="24"/>
          <w:szCs w:val="24"/>
        </w:rPr>
        <w:t xml:space="preserve"> de género, por </w:t>
      </w:r>
      <w:r w:rsidRPr="003A1174">
        <w:rPr>
          <w:rFonts w:ascii="Garamond" w:hAnsi="Garamond" w:cs="Arial"/>
          <w:sz w:val="24"/>
          <w:szCs w:val="24"/>
        </w:rPr>
        <w:t>essa razão</w:t>
      </w:r>
      <w:r w:rsidR="00A914A0">
        <w:rPr>
          <w:rFonts w:ascii="Garamond" w:hAnsi="Garamond" w:cs="Arial"/>
          <w:sz w:val="24"/>
          <w:szCs w:val="24"/>
        </w:rPr>
        <w:t>,</w:t>
      </w:r>
      <w:r w:rsidR="00DB1EB1" w:rsidRPr="003A1174">
        <w:rPr>
          <w:rFonts w:ascii="Garamond" w:hAnsi="Garamond" w:cs="Arial"/>
          <w:sz w:val="24"/>
          <w:szCs w:val="24"/>
        </w:rPr>
        <w:t xml:space="preserve"> espero </w:t>
      </w:r>
      <w:r w:rsidR="00FE0A64" w:rsidRPr="003A1174">
        <w:rPr>
          <w:rFonts w:ascii="Garamond" w:hAnsi="Garamond" w:cs="Arial"/>
          <w:sz w:val="24"/>
          <w:szCs w:val="24"/>
        </w:rPr>
        <w:t xml:space="preserve">que se </w:t>
      </w:r>
      <w:r w:rsidRPr="003A1174">
        <w:rPr>
          <w:rFonts w:ascii="Garamond" w:hAnsi="Garamond" w:cs="Arial"/>
          <w:sz w:val="24"/>
          <w:szCs w:val="24"/>
        </w:rPr>
        <w:t xml:space="preserve">torne num </w:t>
      </w:r>
      <w:r w:rsidR="00FE0A64" w:rsidRPr="003A1174">
        <w:rPr>
          <w:rFonts w:ascii="Garamond" w:hAnsi="Garamond" w:cs="Arial"/>
          <w:sz w:val="24"/>
          <w:szCs w:val="24"/>
        </w:rPr>
        <w:t xml:space="preserve">instrumento que permita </w:t>
      </w:r>
      <w:r w:rsidR="00C30647" w:rsidRPr="003A1174">
        <w:rPr>
          <w:rFonts w:ascii="Garamond" w:hAnsi="Garamond" w:cs="Arial"/>
          <w:sz w:val="24"/>
          <w:szCs w:val="24"/>
        </w:rPr>
        <w:t>avançar</w:t>
      </w:r>
      <w:r w:rsidR="00FE0A64" w:rsidRPr="003A1174">
        <w:rPr>
          <w:rFonts w:ascii="Garamond" w:hAnsi="Garamond" w:cs="Arial"/>
          <w:sz w:val="24"/>
          <w:szCs w:val="24"/>
        </w:rPr>
        <w:t xml:space="preserve"> </w:t>
      </w:r>
      <w:r w:rsidRPr="003A1174">
        <w:rPr>
          <w:rFonts w:ascii="Garamond" w:hAnsi="Garamond" w:cs="Arial"/>
          <w:sz w:val="24"/>
          <w:szCs w:val="24"/>
        </w:rPr>
        <w:t>na luta</w:t>
      </w:r>
      <w:r w:rsidR="00FE0A64" w:rsidRPr="003A1174">
        <w:rPr>
          <w:rFonts w:ascii="Garamond" w:hAnsi="Garamond" w:cs="Arial"/>
          <w:sz w:val="24"/>
          <w:szCs w:val="24"/>
        </w:rPr>
        <w:t xml:space="preserve"> p</w:t>
      </w:r>
      <w:r w:rsidRPr="003A1174">
        <w:rPr>
          <w:rFonts w:ascii="Garamond" w:hAnsi="Garamond" w:cs="Arial"/>
          <w:sz w:val="24"/>
          <w:szCs w:val="24"/>
        </w:rPr>
        <w:t>e</w:t>
      </w:r>
      <w:r w:rsidR="00FE0A64" w:rsidRPr="003A1174">
        <w:rPr>
          <w:rFonts w:ascii="Garamond" w:hAnsi="Garamond" w:cs="Arial"/>
          <w:sz w:val="24"/>
          <w:szCs w:val="24"/>
        </w:rPr>
        <w:t xml:space="preserve">la </w:t>
      </w:r>
      <w:r w:rsidR="00C30647" w:rsidRPr="003A1174">
        <w:rPr>
          <w:rFonts w:ascii="Garamond" w:hAnsi="Garamond" w:cs="Arial"/>
          <w:sz w:val="24"/>
          <w:szCs w:val="24"/>
        </w:rPr>
        <w:t>erradicação</w:t>
      </w:r>
      <w:r w:rsidR="00FE0A64" w:rsidRPr="003A1174">
        <w:rPr>
          <w:rFonts w:ascii="Garamond" w:hAnsi="Garamond" w:cs="Arial"/>
          <w:sz w:val="24"/>
          <w:szCs w:val="24"/>
        </w:rPr>
        <w:t xml:space="preserve"> de todo </w:t>
      </w:r>
      <w:r w:rsidRPr="003A1174">
        <w:rPr>
          <w:rFonts w:ascii="Garamond" w:hAnsi="Garamond" w:cs="Arial"/>
          <w:sz w:val="24"/>
          <w:szCs w:val="24"/>
        </w:rPr>
        <w:t xml:space="preserve">o </w:t>
      </w:r>
      <w:r w:rsidR="00FE0A64" w:rsidRPr="003A1174">
        <w:rPr>
          <w:rFonts w:ascii="Garamond" w:hAnsi="Garamond" w:cs="Arial"/>
          <w:sz w:val="24"/>
          <w:szCs w:val="24"/>
        </w:rPr>
        <w:t xml:space="preserve">tipo de </w:t>
      </w:r>
      <w:r w:rsidR="000350B1" w:rsidRPr="003A1174">
        <w:rPr>
          <w:rFonts w:ascii="Garamond" w:hAnsi="Garamond" w:cs="Arial"/>
          <w:sz w:val="24"/>
          <w:szCs w:val="24"/>
        </w:rPr>
        <w:t>violência</w:t>
      </w:r>
      <w:r w:rsidR="00C30647" w:rsidRPr="003A1174">
        <w:rPr>
          <w:rFonts w:ascii="Garamond" w:hAnsi="Garamond" w:cs="Arial"/>
          <w:sz w:val="24"/>
          <w:szCs w:val="24"/>
        </w:rPr>
        <w:t xml:space="preserve">s contra </w:t>
      </w:r>
      <w:r w:rsidR="00FE0A64" w:rsidRPr="003A1174">
        <w:rPr>
          <w:rFonts w:ascii="Garamond" w:hAnsi="Garamond" w:cs="Arial"/>
          <w:sz w:val="24"/>
          <w:szCs w:val="24"/>
        </w:rPr>
        <w:t xml:space="preserve">as </w:t>
      </w:r>
      <w:r w:rsidR="00054EE0" w:rsidRPr="003A1174">
        <w:rPr>
          <w:rFonts w:ascii="Garamond" w:hAnsi="Garamond" w:cs="Arial"/>
          <w:sz w:val="24"/>
          <w:szCs w:val="24"/>
        </w:rPr>
        <w:t>mulheres</w:t>
      </w:r>
      <w:r w:rsidR="00FE0A64" w:rsidRPr="003A1174">
        <w:rPr>
          <w:rFonts w:ascii="Garamond" w:hAnsi="Garamond" w:cs="Arial"/>
          <w:sz w:val="24"/>
          <w:szCs w:val="24"/>
        </w:rPr>
        <w:t xml:space="preserve"> </w:t>
      </w:r>
      <w:r w:rsidRPr="003A1174">
        <w:rPr>
          <w:rFonts w:ascii="Garamond" w:hAnsi="Garamond" w:cs="Arial"/>
          <w:sz w:val="24"/>
          <w:szCs w:val="24"/>
        </w:rPr>
        <w:t>para conseguir</w:t>
      </w:r>
      <w:r w:rsidR="00DB1EB1" w:rsidRPr="003A1174">
        <w:rPr>
          <w:rFonts w:ascii="Garamond" w:hAnsi="Garamond" w:cs="Arial"/>
          <w:sz w:val="24"/>
          <w:szCs w:val="24"/>
        </w:rPr>
        <w:t>mos</w:t>
      </w:r>
      <w:r w:rsidRPr="003A1174">
        <w:rPr>
          <w:rFonts w:ascii="Garamond" w:hAnsi="Garamond" w:cs="Arial"/>
          <w:sz w:val="24"/>
          <w:szCs w:val="24"/>
        </w:rPr>
        <w:t xml:space="preserve"> </w:t>
      </w:r>
      <w:r w:rsidR="00FE0A64" w:rsidRPr="003A1174">
        <w:rPr>
          <w:rFonts w:ascii="Garamond" w:hAnsi="Garamond" w:cs="Arial"/>
          <w:sz w:val="24"/>
          <w:szCs w:val="24"/>
        </w:rPr>
        <w:t xml:space="preserve">a </w:t>
      </w:r>
      <w:r w:rsidRPr="003A1174">
        <w:rPr>
          <w:rFonts w:ascii="Garamond" w:hAnsi="Garamond" w:cs="Arial"/>
          <w:sz w:val="24"/>
          <w:szCs w:val="24"/>
        </w:rPr>
        <w:t>igualdade real</w:t>
      </w:r>
      <w:r w:rsidR="00FE0A64" w:rsidRPr="003A1174">
        <w:rPr>
          <w:rFonts w:ascii="Garamond" w:hAnsi="Garamond" w:cs="Arial"/>
          <w:sz w:val="24"/>
          <w:szCs w:val="24"/>
        </w:rPr>
        <w:t xml:space="preserve"> de oportunidades </w:t>
      </w:r>
      <w:r w:rsidRPr="003A1174">
        <w:rPr>
          <w:rFonts w:ascii="Garamond" w:hAnsi="Garamond" w:cs="Arial"/>
          <w:sz w:val="24"/>
          <w:szCs w:val="24"/>
        </w:rPr>
        <w:t xml:space="preserve">e de </w:t>
      </w:r>
      <w:r w:rsidR="00FE0A64" w:rsidRPr="003A1174">
        <w:rPr>
          <w:rFonts w:ascii="Garamond" w:hAnsi="Garamond" w:cs="Arial"/>
          <w:sz w:val="24"/>
          <w:szCs w:val="24"/>
        </w:rPr>
        <w:t>trat</w:t>
      </w:r>
      <w:r w:rsidR="00DB1EB1" w:rsidRPr="003A1174">
        <w:rPr>
          <w:rFonts w:ascii="Garamond" w:hAnsi="Garamond" w:cs="Arial"/>
          <w:sz w:val="24"/>
          <w:szCs w:val="24"/>
        </w:rPr>
        <w:t>ament</w:t>
      </w:r>
      <w:r w:rsidR="00FE0A64" w:rsidRPr="003A1174">
        <w:rPr>
          <w:rFonts w:ascii="Garamond" w:hAnsi="Garamond" w:cs="Arial"/>
          <w:sz w:val="24"/>
          <w:szCs w:val="24"/>
        </w:rPr>
        <w:t>o.</w:t>
      </w:r>
      <w:r w:rsidR="00A1048A" w:rsidRPr="003A1174" w:rsidDel="00A1048A">
        <w:rPr>
          <w:rFonts w:ascii="Garamond" w:hAnsi="Garamond" w:cs="Arial"/>
          <w:sz w:val="24"/>
          <w:szCs w:val="24"/>
        </w:rPr>
        <w:t xml:space="preserve"> </w:t>
      </w:r>
    </w:p>
    <w:p w:rsidR="00FE0A64" w:rsidRPr="003A1174" w:rsidRDefault="00FE0A64" w:rsidP="008719D4">
      <w:pPr>
        <w:spacing w:after="0" w:line="240" w:lineRule="auto"/>
        <w:rPr>
          <w:rFonts w:ascii="Garamond" w:hAnsi="Garamond" w:cs="Times New Roman"/>
          <w:b/>
          <w:color w:val="FF0000"/>
          <w:sz w:val="24"/>
          <w:szCs w:val="24"/>
        </w:rPr>
      </w:pPr>
      <w:r w:rsidRPr="003A1174">
        <w:rPr>
          <w:rFonts w:ascii="Garamond" w:hAnsi="Garamond" w:cs="Times New Roman"/>
          <w:b/>
          <w:sz w:val="24"/>
          <w:szCs w:val="24"/>
        </w:rPr>
        <w:t>Manuel María Páez Monges</w:t>
      </w:r>
    </w:p>
    <w:p w:rsidR="00FE0A64" w:rsidRPr="003A1174" w:rsidRDefault="004C1496" w:rsidP="008719D4">
      <w:pPr>
        <w:spacing w:after="0" w:line="240" w:lineRule="auto"/>
        <w:rPr>
          <w:rFonts w:ascii="Garamond" w:hAnsi="Garamond" w:cs="Times New Roman"/>
          <w:sz w:val="24"/>
          <w:szCs w:val="24"/>
        </w:rPr>
      </w:pPr>
      <w:r w:rsidRPr="003A1174">
        <w:rPr>
          <w:rFonts w:ascii="Garamond" w:hAnsi="Garamond" w:cs="Times New Roman"/>
          <w:sz w:val="24"/>
          <w:szCs w:val="24"/>
        </w:rPr>
        <w:t>Provedor de Justiça</w:t>
      </w:r>
      <w:r w:rsidR="00FE0A64" w:rsidRPr="003A1174">
        <w:rPr>
          <w:rFonts w:ascii="Garamond" w:hAnsi="Garamond" w:cs="Times New Roman"/>
          <w:sz w:val="24"/>
          <w:szCs w:val="24"/>
        </w:rPr>
        <w:t xml:space="preserve"> da República d</w:t>
      </w:r>
      <w:r w:rsidR="001C2738" w:rsidRPr="003A1174">
        <w:rPr>
          <w:rFonts w:ascii="Garamond" w:hAnsi="Garamond" w:cs="Times New Roman"/>
          <w:sz w:val="24"/>
          <w:szCs w:val="24"/>
        </w:rPr>
        <w:t xml:space="preserve">o </w:t>
      </w:r>
      <w:r w:rsidR="00C30647" w:rsidRPr="003A1174">
        <w:rPr>
          <w:rFonts w:ascii="Garamond" w:hAnsi="Garamond" w:cs="Times New Roman"/>
          <w:sz w:val="24"/>
          <w:szCs w:val="24"/>
        </w:rPr>
        <w:t>Paraguai</w:t>
      </w:r>
      <w:r w:rsidR="001C2738" w:rsidRPr="003A1174">
        <w:rPr>
          <w:rFonts w:ascii="Garamond" w:hAnsi="Garamond" w:cs="Times New Roman"/>
          <w:sz w:val="24"/>
          <w:szCs w:val="24"/>
        </w:rPr>
        <w:t xml:space="preserve"> e</w:t>
      </w:r>
      <w:r w:rsidR="00FE0A64" w:rsidRPr="003A1174">
        <w:rPr>
          <w:rFonts w:ascii="Garamond" w:hAnsi="Garamond" w:cs="Times New Roman"/>
          <w:sz w:val="24"/>
          <w:szCs w:val="24"/>
        </w:rPr>
        <w:t xml:space="preserve"> Presidente da</w:t>
      </w:r>
    </w:p>
    <w:p w:rsidR="00FE0A64" w:rsidRPr="003A1174" w:rsidRDefault="00C30647" w:rsidP="008719D4">
      <w:pPr>
        <w:spacing w:after="0" w:line="240" w:lineRule="auto"/>
        <w:rPr>
          <w:rFonts w:ascii="Garamond" w:hAnsi="Garamond"/>
          <w:sz w:val="24"/>
          <w:szCs w:val="24"/>
        </w:rPr>
      </w:pPr>
      <w:r w:rsidRPr="003A1174">
        <w:rPr>
          <w:rFonts w:ascii="Garamond" w:hAnsi="Garamond" w:cs="Times New Roman"/>
          <w:sz w:val="24"/>
          <w:szCs w:val="24"/>
        </w:rPr>
        <w:t>Federação</w:t>
      </w:r>
      <w:r w:rsidR="00FE0A64" w:rsidRPr="003A1174">
        <w:rPr>
          <w:rFonts w:ascii="Garamond" w:hAnsi="Garamond" w:cs="Times New Roman"/>
          <w:sz w:val="24"/>
          <w:szCs w:val="24"/>
        </w:rPr>
        <w:t xml:space="preserve"> Iberoamericana de Ombudsman</w:t>
      </w:r>
    </w:p>
    <w:p w:rsidR="00A24298" w:rsidRPr="003F4889" w:rsidRDefault="009956C7" w:rsidP="008719D4">
      <w:pPr>
        <w:pStyle w:val="Ttulo1"/>
        <w:rPr>
          <w:rFonts w:ascii="Garamond" w:hAnsi="Garamond" w:cs="Arial"/>
          <w:color w:val="548DD4" w:themeColor="text2" w:themeTint="99"/>
          <w:szCs w:val="24"/>
          <w:lang w:val="pt-PT"/>
        </w:rPr>
      </w:pPr>
      <w:r w:rsidRPr="003A1174">
        <w:rPr>
          <w:rFonts w:ascii="Garamond" w:hAnsi="Garamond" w:cs="Arial"/>
          <w:b w:val="0"/>
          <w:szCs w:val="24"/>
          <w:lang w:val="pt-PT"/>
        </w:rPr>
        <w:br w:type="column"/>
      </w:r>
      <w:bookmarkStart w:id="1" w:name="_Toc421529689"/>
      <w:r w:rsidR="005D38DC" w:rsidRPr="003F4889">
        <w:rPr>
          <w:rFonts w:ascii="Garamond" w:hAnsi="Garamond" w:cs="Arial"/>
          <w:color w:val="548DD4" w:themeColor="text2" w:themeTint="99"/>
          <w:szCs w:val="24"/>
          <w:lang w:val="pt-PT"/>
        </w:rPr>
        <w:lastRenderedPageBreak/>
        <w:t>APRESENTAÇÃO</w:t>
      </w:r>
      <w:r w:rsidR="00A1048A" w:rsidRPr="003F4889">
        <w:rPr>
          <w:rFonts w:ascii="Garamond" w:hAnsi="Garamond" w:cs="Arial"/>
          <w:color w:val="548DD4" w:themeColor="text2" w:themeTint="99"/>
          <w:szCs w:val="24"/>
          <w:lang w:val="pt-PT"/>
        </w:rPr>
        <w:t xml:space="preserve"> DA </w:t>
      </w:r>
      <w:r w:rsidR="002C7510" w:rsidRPr="003F4889">
        <w:rPr>
          <w:rFonts w:ascii="Garamond" w:hAnsi="Garamond" w:cs="Arial"/>
          <w:color w:val="548DD4" w:themeColor="text2" w:themeTint="99"/>
          <w:szCs w:val="24"/>
          <w:shd w:val="clear" w:color="auto" w:fill="FFFFFF"/>
          <w:lang w:val="pt-PT"/>
        </w:rPr>
        <w:t>REDE</w:t>
      </w:r>
      <w:r w:rsidR="00A1048A" w:rsidRPr="003F4889">
        <w:rPr>
          <w:rFonts w:ascii="Garamond" w:hAnsi="Garamond" w:cs="Arial"/>
          <w:color w:val="548DD4" w:themeColor="text2" w:themeTint="99"/>
          <w:szCs w:val="24"/>
          <w:shd w:val="clear" w:color="auto" w:fill="FFFFFF"/>
          <w:lang w:val="pt-PT"/>
        </w:rPr>
        <w:t xml:space="preserve"> DE </w:t>
      </w:r>
      <w:r w:rsidR="00DC5DA7" w:rsidRPr="003F4889">
        <w:rPr>
          <w:rFonts w:ascii="Garamond" w:hAnsi="Garamond" w:cs="Arial"/>
          <w:color w:val="548DD4" w:themeColor="text2" w:themeTint="99"/>
          <w:szCs w:val="24"/>
          <w:shd w:val="clear" w:color="auto" w:fill="FFFFFF"/>
          <w:lang w:val="pt-PT"/>
        </w:rPr>
        <w:t>PROVEDORIAS</w:t>
      </w:r>
      <w:r w:rsidR="00A1048A" w:rsidRPr="003F4889">
        <w:rPr>
          <w:rFonts w:ascii="Garamond" w:hAnsi="Garamond" w:cs="Arial"/>
          <w:color w:val="548DD4" w:themeColor="text2" w:themeTint="99"/>
          <w:szCs w:val="24"/>
          <w:shd w:val="clear" w:color="auto" w:fill="FFFFFF"/>
          <w:lang w:val="pt-PT"/>
        </w:rPr>
        <w:t xml:space="preserve"> DE </w:t>
      </w:r>
      <w:r w:rsidR="00054EE0" w:rsidRPr="003F4889">
        <w:rPr>
          <w:rFonts w:ascii="Garamond" w:hAnsi="Garamond" w:cs="Arial"/>
          <w:color w:val="548DD4" w:themeColor="text2" w:themeTint="99"/>
          <w:szCs w:val="24"/>
          <w:shd w:val="clear" w:color="auto" w:fill="FFFFFF"/>
          <w:lang w:val="pt-PT"/>
        </w:rPr>
        <w:t>MULHERES</w:t>
      </w:r>
      <w:bookmarkEnd w:id="1"/>
    </w:p>
    <w:p w:rsidR="00A1048A" w:rsidRPr="003A1174" w:rsidRDefault="002C7510" w:rsidP="008719D4">
      <w:pPr>
        <w:tabs>
          <w:tab w:val="left" w:pos="708"/>
        </w:tabs>
        <w:spacing w:line="240" w:lineRule="auto"/>
        <w:jc w:val="both"/>
        <w:rPr>
          <w:rFonts w:ascii="Garamond" w:hAnsi="Garamond" w:cs="Arial"/>
          <w:sz w:val="24"/>
          <w:szCs w:val="24"/>
          <w:shd w:val="clear" w:color="auto" w:fill="FFFFFF"/>
        </w:rPr>
      </w:pPr>
      <w:r w:rsidRPr="003A1174">
        <w:rPr>
          <w:rFonts w:ascii="Garamond" w:hAnsi="Garamond" w:cs="Arial"/>
          <w:sz w:val="24"/>
          <w:szCs w:val="24"/>
          <w:shd w:val="clear" w:color="auto" w:fill="FFFFFF"/>
        </w:rPr>
        <w:t>A Rede</w:t>
      </w:r>
      <w:r w:rsidR="00A1048A" w:rsidRPr="003A1174">
        <w:rPr>
          <w:rFonts w:ascii="Garamond" w:hAnsi="Garamond" w:cs="Arial"/>
          <w:sz w:val="24"/>
          <w:szCs w:val="24"/>
          <w:shd w:val="clear" w:color="auto" w:fill="FFFFFF"/>
        </w:rPr>
        <w:t xml:space="preserve"> de </w:t>
      </w:r>
      <w:r w:rsidR="00DC5DA7" w:rsidRPr="003A1174">
        <w:rPr>
          <w:rFonts w:ascii="Garamond" w:hAnsi="Garamond" w:cs="Arial"/>
          <w:sz w:val="24"/>
          <w:szCs w:val="24"/>
          <w:shd w:val="clear" w:color="auto" w:fill="FFFFFF"/>
        </w:rPr>
        <w:t>Provedorias</w:t>
      </w:r>
      <w:r w:rsidR="00A1048A" w:rsidRPr="003A1174">
        <w:rPr>
          <w:rFonts w:ascii="Garamond" w:hAnsi="Garamond" w:cs="Arial"/>
          <w:sz w:val="24"/>
          <w:szCs w:val="24"/>
          <w:shd w:val="clear" w:color="auto" w:fill="FFFFFF"/>
        </w:rPr>
        <w:t xml:space="preserve"> de </w:t>
      </w:r>
      <w:r w:rsidR="00054EE0" w:rsidRPr="003A1174">
        <w:rPr>
          <w:rFonts w:ascii="Garamond" w:hAnsi="Garamond" w:cs="Arial"/>
          <w:sz w:val="24"/>
          <w:szCs w:val="24"/>
          <w:shd w:val="clear" w:color="auto" w:fill="FFFFFF"/>
        </w:rPr>
        <w:t>Mulheres</w:t>
      </w:r>
      <w:r w:rsidR="00A1048A" w:rsidRPr="003A1174">
        <w:rPr>
          <w:rFonts w:ascii="Garamond" w:hAnsi="Garamond" w:cs="Arial"/>
          <w:sz w:val="24"/>
          <w:szCs w:val="24"/>
          <w:shd w:val="clear" w:color="auto" w:fill="FFFFFF"/>
        </w:rPr>
        <w:t xml:space="preserve"> da </w:t>
      </w:r>
      <w:r w:rsidR="00C30647" w:rsidRPr="003A1174">
        <w:rPr>
          <w:rFonts w:ascii="Garamond" w:hAnsi="Garamond" w:cs="Arial"/>
          <w:sz w:val="24"/>
          <w:szCs w:val="24"/>
          <w:shd w:val="clear" w:color="auto" w:fill="FFFFFF"/>
        </w:rPr>
        <w:t>Federação</w:t>
      </w:r>
      <w:r w:rsidRPr="003A1174">
        <w:rPr>
          <w:rFonts w:ascii="Garamond" w:hAnsi="Garamond" w:cs="Arial"/>
          <w:sz w:val="24"/>
          <w:szCs w:val="24"/>
          <w:shd w:val="clear" w:color="auto" w:fill="FFFFFF"/>
        </w:rPr>
        <w:t xml:space="preserve"> Iberoamericana de</w:t>
      </w:r>
      <w:r w:rsidR="00DB1EB1" w:rsidRPr="003A1174">
        <w:rPr>
          <w:rFonts w:ascii="Garamond" w:hAnsi="Garamond" w:cs="Arial"/>
          <w:sz w:val="24"/>
          <w:szCs w:val="24"/>
          <w:shd w:val="clear" w:color="auto" w:fill="FFFFFF"/>
        </w:rPr>
        <w:t xml:space="preserve"> Ombudsman (FIO)</w:t>
      </w:r>
      <w:r w:rsidR="00A1048A" w:rsidRPr="003A1174">
        <w:rPr>
          <w:rFonts w:ascii="Garamond" w:hAnsi="Garamond" w:cs="Arial"/>
          <w:sz w:val="24"/>
          <w:szCs w:val="24"/>
          <w:shd w:val="clear" w:color="auto" w:fill="FFFFFF"/>
        </w:rPr>
        <w:t xml:space="preserve"> f</w:t>
      </w:r>
      <w:r w:rsidRPr="003A1174">
        <w:rPr>
          <w:rFonts w:ascii="Garamond" w:hAnsi="Garamond" w:cs="Arial"/>
          <w:sz w:val="24"/>
          <w:szCs w:val="24"/>
          <w:shd w:val="clear" w:color="auto" w:fill="FFFFFF"/>
        </w:rPr>
        <w:t>oi criada</w:t>
      </w:r>
      <w:r w:rsidR="00A1048A"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no ano</w:t>
      </w:r>
      <w:r w:rsidR="00A1048A"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 xml:space="preserve">de </w:t>
      </w:r>
      <w:r w:rsidR="00A1048A" w:rsidRPr="003A1174">
        <w:rPr>
          <w:rFonts w:ascii="Garamond" w:hAnsi="Garamond" w:cs="Arial"/>
          <w:sz w:val="24"/>
          <w:szCs w:val="24"/>
          <w:shd w:val="clear" w:color="auto" w:fill="FFFFFF"/>
        </w:rPr>
        <w:t xml:space="preserve">1996 </w:t>
      </w:r>
      <w:r w:rsidRPr="003A1174">
        <w:rPr>
          <w:rFonts w:ascii="Garamond" w:hAnsi="Garamond" w:cs="Arial"/>
          <w:sz w:val="24"/>
          <w:szCs w:val="24"/>
          <w:shd w:val="clear" w:color="auto" w:fill="FFFFFF"/>
        </w:rPr>
        <w:t xml:space="preserve">e é </w:t>
      </w:r>
      <w:r w:rsidR="001A3E6E">
        <w:rPr>
          <w:rFonts w:ascii="Garamond" w:hAnsi="Garamond" w:cs="Arial"/>
          <w:sz w:val="24"/>
          <w:szCs w:val="24"/>
          <w:shd w:val="clear" w:color="auto" w:fill="FFFFFF"/>
        </w:rPr>
        <w:t xml:space="preserve">composta </w:t>
      </w:r>
      <w:r w:rsidR="00A1048A" w:rsidRPr="003A1174">
        <w:rPr>
          <w:rFonts w:ascii="Garamond" w:hAnsi="Garamond" w:cs="Arial"/>
          <w:sz w:val="24"/>
          <w:szCs w:val="24"/>
          <w:shd w:val="clear" w:color="auto" w:fill="FFFFFF"/>
        </w:rPr>
        <w:t xml:space="preserve">por representantes das </w:t>
      </w:r>
      <w:r w:rsidRPr="003A1174">
        <w:rPr>
          <w:rFonts w:ascii="Garamond" w:hAnsi="Garamond" w:cs="Arial"/>
          <w:sz w:val="24"/>
          <w:szCs w:val="24"/>
          <w:shd w:val="clear" w:color="auto" w:fill="FFFFFF"/>
        </w:rPr>
        <w:t>Instituições</w:t>
      </w:r>
      <w:r w:rsidR="00A1048A" w:rsidRPr="003A1174">
        <w:rPr>
          <w:rFonts w:ascii="Garamond" w:hAnsi="Garamond" w:cs="Arial"/>
          <w:sz w:val="24"/>
          <w:szCs w:val="24"/>
          <w:shd w:val="clear" w:color="auto" w:fill="FFFFFF"/>
        </w:rPr>
        <w:t xml:space="preserve"> de Ombudsman que </w:t>
      </w:r>
      <w:r w:rsidR="001C2738" w:rsidRPr="003A1174">
        <w:rPr>
          <w:rFonts w:ascii="Garamond" w:hAnsi="Garamond" w:cs="Arial"/>
          <w:sz w:val="24"/>
          <w:szCs w:val="24"/>
          <w:shd w:val="clear" w:color="auto" w:fill="FFFFFF"/>
        </w:rPr>
        <w:t xml:space="preserve">fazem parte desta </w:t>
      </w:r>
      <w:r w:rsidR="00C30647" w:rsidRPr="003A1174">
        <w:rPr>
          <w:rFonts w:ascii="Garamond" w:hAnsi="Garamond" w:cs="Arial"/>
          <w:sz w:val="24"/>
          <w:szCs w:val="24"/>
          <w:shd w:val="clear" w:color="auto" w:fill="FFFFFF"/>
        </w:rPr>
        <w:t>Federação</w:t>
      </w:r>
      <w:r w:rsidR="00A1048A" w:rsidRPr="003A1174">
        <w:rPr>
          <w:rFonts w:ascii="Garamond" w:hAnsi="Garamond" w:cs="Arial"/>
          <w:sz w:val="24"/>
          <w:szCs w:val="24"/>
          <w:shd w:val="clear" w:color="auto" w:fill="FFFFFF"/>
        </w:rPr>
        <w:t xml:space="preserve">. </w:t>
      </w:r>
      <w:r w:rsidR="00127EA3" w:rsidRPr="003A1174">
        <w:rPr>
          <w:rFonts w:ascii="Garamond" w:hAnsi="Garamond" w:cs="Arial"/>
          <w:sz w:val="24"/>
          <w:szCs w:val="24"/>
          <w:shd w:val="clear" w:color="auto" w:fill="FFFFFF"/>
        </w:rPr>
        <w:t xml:space="preserve">Foi </w:t>
      </w:r>
      <w:r w:rsidR="00A1048A" w:rsidRPr="003A1174">
        <w:rPr>
          <w:rFonts w:ascii="Garamond" w:hAnsi="Garamond" w:cs="Arial"/>
          <w:sz w:val="24"/>
          <w:szCs w:val="24"/>
          <w:shd w:val="clear" w:color="auto" w:fill="FFFFFF"/>
        </w:rPr>
        <w:t>incorporada como u</w:t>
      </w:r>
      <w:r w:rsidRPr="003A1174">
        <w:rPr>
          <w:rFonts w:ascii="Garamond" w:hAnsi="Garamond" w:cs="Arial"/>
          <w:sz w:val="24"/>
          <w:szCs w:val="24"/>
          <w:shd w:val="clear" w:color="auto" w:fill="FFFFFF"/>
        </w:rPr>
        <w:t>m</w:t>
      </w:r>
      <w:r w:rsidR="00A1048A"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órgão</w:t>
      </w:r>
      <w:r w:rsidR="00A1048A" w:rsidRPr="003A1174">
        <w:rPr>
          <w:rFonts w:ascii="Garamond" w:hAnsi="Garamond" w:cs="Arial"/>
          <w:sz w:val="24"/>
          <w:szCs w:val="24"/>
          <w:shd w:val="clear" w:color="auto" w:fill="FFFFFF"/>
        </w:rPr>
        <w:t xml:space="preserve"> da FIO desde </w:t>
      </w:r>
      <w:r w:rsidR="003F012B" w:rsidRPr="003A1174">
        <w:rPr>
          <w:rFonts w:ascii="Garamond" w:hAnsi="Garamond" w:cs="Arial"/>
          <w:sz w:val="24"/>
          <w:szCs w:val="24"/>
          <w:shd w:val="clear" w:color="auto" w:fill="FFFFFF"/>
        </w:rPr>
        <w:t>o Congresso</w:t>
      </w:r>
      <w:r w:rsidR="00A1048A" w:rsidRPr="003A1174">
        <w:rPr>
          <w:rFonts w:ascii="Garamond" w:hAnsi="Garamond" w:cs="Arial"/>
          <w:sz w:val="24"/>
          <w:szCs w:val="24"/>
          <w:shd w:val="clear" w:color="auto" w:fill="FFFFFF"/>
        </w:rPr>
        <w:t xml:space="preserve"> Anual de 1997, co</w:t>
      </w:r>
      <w:r w:rsidR="003F012B" w:rsidRPr="003A1174">
        <w:rPr>
          <w:rFonts w:ascii="Garamond" w:hAnsi="Garamond" w:cs="Arial"/>
          <w:sz w:val="24"/>
          <w:szCs w:val="24"/>
          <w:shd w:val="clear" w:color="auto" w:fill="FFFFFF"/>
        </w:rPr>
        <w:t xml:space="preserve">m </w:t>
      </w:r>
      <w:r w:rsidR="00A1048A" w:rsidRPr="003A1174">
        <w:rPr>
          <w:rFonts w:ascii="Garamond" w:hAnsi="Garamond" w:cs="Arial"/>
          <w:sz w:val="24"/>
          <w:szCs w:val="24"/>
          <w:shd w:val="clear" w:color="auto" w:fill="FFFFFF"/>
        </w:rPr>
        <w:t>a finalidad</w:t>
      </w:r>
      <w:r w:rsidR="003F012B" w:rsidRPr="003A1174">
        <w:rPr>
          <w:rFonts w:ascii="Garamond" w:hAnsi="Garamond" w:cs="Arial"/>
          <w:sz w:val="24"/>
          <w:szCs w:val="24"/>
          <w:shd w:val="clear" w:color="auto" w:fill="FFFFFF"/>
        </w:rPr>
        <w:t xml:space="preserve">e de consolidar </w:t>
      </w:r>
      <w:r w:rsidR="00A1048A" w:rsidRPr="003A1174">
        <w:rPr>
          <w:rFonts w:ascii="Garamond" w:hAnsi="Garamond" w:cs="Arial"/>
          <w:sz w:val="24"/>
          <w:szCs w:val="24"/>
          <w:shd w:val="clear" w:color="auto" w:fill="FFFFFF"/>
        </w:rPr>
        <w:t xml:space="preserve">a </w:t>
      </w:r>
      <w:r w:rsidRPr="003A1174">
        <w:rPr>
          <w:rFonts w:ascii="Garamond" w:hAnsi="Garamond" w:cs="Arial"/>
          <w:sz w:val="24"/>
          <w:szCs w:val="24"/>
          <w:shd w:val="clear" w:color="auto" w:fill="FFFFFF"/>
        </w:rPr>
        <w:t>defesa</w:t>
      </w:r>
      <w:r w:rsidR="003F012B" w:rsidRPr="003A1174">
        <w:rPr>
          <w:rFonts w:ascii="Garamond" w:hAnsi="Garamond" w:cs="Arial"/>
          <w:sz w:val="24"/>
          <w:szCs w:val="24"/>
          <w:shd w:val="clear" w:color="auto" w:fill="FFFFFF"/>
        </w:rPr>
        <w:t xml:space="preserve"> e</w:t>
      </w:r>
      <w:r w:rsidR="00A1048A" w:rsidRPr="003A1174">
        <w:rPr>
          <w:rFonts w:ascii="Garamond" w:hAnsi="Garamond" w:cs="Arial"/>
          <w:sz w:val="24"/>
          <w:szCs w:val="24"/>
          <w:shd w:val="clear" w:color="auto" w:fill="FFFFFF"/>
        </w:rPr>
        <w:t xml:space="preserve"> exigibilidad</w:t>
      </w:r>
      <w:r w:rsidR="003F012B" w:rsidRPr="003A1174">
        <w:rPr>
          <w:rFonts w:ascii="Garamond" w:hAnsi="Garamond" w:cs="Arial"/>
          <w:sz w:val="24"/>
          <w:szCs w:val="24"/>
          <w:shd w:val="clear" w:color="auto" w:fill="FFFFFF"/>
        </w:rPr>
        <w:t>e</w:t>
      </w:r>
      <w:r w:rsidR="00A1048A" w:rsidRPr="003A1174">
        <w:rPr>
          <w:rFonts w:ascii="Garamond" w:hAnsi="Garamond" w:cs="Arial"/>
          <w:sz w:val="24"/>
          <w:szCs w:val="24"/>
          <w:shd w:val="clear" w:color="auto" w:fill="FFFFFF"/>
        </w:rPr>
        <w:t xml:space="preserve"> dos </w:t>
      </w:r>
      <w:r w:rsidR="00886D6A" w:rsidRPr="003A1174">
        <w:rPr>
          <w:rFonts w:ascii="Garamond" w:hAnsi="Garamond" w:cs="Arial"/>
          <w:sz w:val="24"/>
          <w:szCs w:val="24"/>
          <w:shd w:val="clear" w:color="auto" w:fill="FFFFFF"/>
        </w:rPr>
        <w:t>direito</w:t>
      </w:r>
      <w:r w:rsidR="003F012B" w:rsidRPr="003A1174">
        <w:rPr>
          <w:rFonts w:ascii="Garamond" w:hAnsi="Garamond" w:cs="Arial"/>
          <w:sz w:val="24"/>
          <w:szCs w:val="24"/>
          <w:shd w:val="clear" w:color="auto" w:fill="FFFFFF"/>
        </w:rPr>
        <w:t>s humanos d</w:t>
      </w:r>
      <w:r w:rsidR="00A1048A" w:rsidRPr="003A1174">
        <w:rPr>
          <w:rFonts w:ascii="Garamond" w:hAnsi="Garamond" w:cs="Arial"/>
          <w:sz w:val="24"/>
          <w:szCs w:val="24"/>
          <w:shd w:val="clear" w:color="auto" w:fill="FFFFFF"/>
        </w:rPr>
        <w:t xml:space="preserve">as </w:t>
      </w:r>
      <w:r w:rsidR="00054EE0" w:rsidRPr="003A1174">
        <w:rPr>
          <w:rFonts w:ascii="Garamond" w:hAnsi="Garamond" w:cs="Arial"/>
          <w:sz w:val="24"/>
          <w:szCs w:val="24"/>
          <w:shd w:val="clear" w:color="auto" w:fill="FFFFFF"/>
        </w:rPr>
        <w:t>mulheres</w:t>
      </w:r>
      <w:r w:rsidR="00A1048A"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 xml:space="preserve">e raparigas, e de criar </w:t>
      </w:r>
      <w:r w:rsidRPr="003A1174">
        <w:rPr>
          <w:rFonts w:ascii="Garamond" w:hAnsi="Garamond" w:cs="Arial"/>
          <w:sz w:val="24"/>
          <w:szCs w:val="24"/>
          <w:shd w:val="clear" w:color="auto" w:fill="FFFFFF"/>
        </w:rPr>
        <w:t>espaços</w:t>
      </w:r>
      <w:r w:rsidR="00A1048A" w:rsidRPr="003A1174">
        <w:rPr>
          <w:rFonts w:ascii="Garamond" w:hAnsi="Garamond" w:cs="Arial"/>
          <w:sz w:val="24"/>
          <w:szCs w:val="24"/>
          <w:shd w:val="clear" w:color="auto" w:fill="FFFFFF"/>
        </w:rPr>
        <w:t xml:space="preserve"> especializados</w:t>
      </w:r>
      <w:r w:rsidR="001A3E6E">
        <w:rPr>
          <w:rFonts w:ascii="Garamond" w:hAnsi="Garamond" w:cs="Arial"/>
          <w:sz w:val="24"/>
          <w:szCs w:val="24"/>
          <w:shd w:val="clear" w:color="auto" w:fill="FFFFFF"/>
        </w:rPr>
        <w:t>, para</w:t>
      </w:r>
      <w:r w:rsidR="003F012B"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defesa</w:t>
      </w:r>
      <w:r w:rsidR="00A1048A" w:rsidRPr="003A1174">
        <w:rPr>
          <w:rFonts w:ascii="Garamond" w:hAnsi="Garamond" w:cs="Arial"/>
          <w:sz w:val="24"/>
          <w:szCs w:val="24"/>
          <w:shd w:val="clear" w:color="auto" w:fill="FFFFFF"/>
        </w:rPr>
        <w:t xml:space="preserve"> d</w:t>
      </w:r>
      <w:r w:rsidR="003F012B" w:rsidRPr="003A1174">
        <w:rPr>
          <w:rFonts w:ascii="Garamond" w:hAnsi="Garamond" w:cs="Arial"/>
          <w:sz w:val="24"/>
          <w:szCs w:val="24"/>
          <w:shd w:val="clear" w:color="auto" w:fill="FFFFFF"/>
        </w:rPr>
        <w:t xml:space="preserve">os referidos </w:t>
      </w:r>
      <w:r w:rsidR="00886D6A" w:rsidRPr="003A1174">
        <w:rPr>
          <w:rFonts w:ascii="Garamond" w:hAnsi="Garamond" w:cs="Arial"/>
          <w:sz w:val="24"/>
          <w:szCs w:val="24"/>
          <w:shd w:val="clear" w:color="auto" w:fill="FFFFFF"/>
        </w:rPr>
        <w:t>direito</w:t>
      </w:r>
      <w:r w:rsidR="00A1048A" w:rsidRPr="003A1174">
        <w:rPr>
          <w:rFonts w:ascii="Garamond" w:hAnsi="Garamond" w:cs="Arial"/>
          <w:sz w:val="24"/>
          <w:szCs w:val="24"/>
          <w:shd w:val="clear" w:color="auto" w:fill="FFFFFF"/>
        </w:rPr>
        <w:t>s</w:t>
      </w:r>
      <w:r w:rsidR="001A3E6E">
        <w:rPr>
          <w:rFonts w:ascii="Garamond" w:hAnsi="Garamond" w:cs="Arial"/>
          <w:sz w:val="24"/>
          <w:szCs w:val="24"/>
          <w:shd w:val="clear" w:color="auto" w:fill="FFFFFF"/>
        </w:rPr>
        <w:t>,</w:t>
      </w:r>
      <w:r w:rsidR="00A1048A"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n</w:t>
      </w:r>
      <w:r w:rsidR="00A1048A" w:rsidRPr="003A1174">
        <w:rPr>
          <w:rFonts w:ascii="Garamond" w:hAnsi="Garamond" w:cs="Arial"/>
          <w:sz w:val="24"/>
          <w:szCs w:val="24"/>
          <w:shd w:val="clear" w:color="auto" w:fill="FFFFFF"/>
        </w:rPr>
        <w:t xml:space="preserve">as </w:t>
      </w:r>
      <w:r w:rsidR="00DC5DA7" w:rsidRPr="003A1174">
        <w:rPr>
          <w:rFonts w:ascii="Garamond" w:hAnsi="Garamond" w:cs="Arial"/>
          <w:sz w:val="24"/>
          <w:szCs w:val="24"/>
          <w:shd w:val="clear" w:color="auto" w:fill="FFFFFF"/>
        </w:rPr>
        <w:t>Provedorias</w:t>
      </w:r>
      <w:r w:rsidR="003F012B" w:rsidRPr="003A1174">
        <w:rPr>
          <w:rFonts w:ascii="Garamond" w:hAnsi="Garamond" w:cs="Arial"/>
          <w:sz w:val="24"/>
          <w:szCs w:val="24"/>
          <w:shd w:val="clear" w:color="auto" w:fill="FFFFFF"/>
        </w:rPr>
        <w:t xml:space="preserve"> </w:t>
      </w:r>
      <w:r w:rsidR="00DC5DA7" w:rsidRPr="003A1174">
        <w:rPr>
          <w:rFonts w:ascii="Garamond" w:hAnsi="Garamond" w:cs="Arial"/>
          <w:sz w:val="24"/>
          <w:szCs w:val="24"/>
          <w:shd w:val="clear" w:color="auto" w:fill="FFFFFF"/>
        </w:rPr>
        <w:t>de Justiça</w:t>
      </w:r>
      <w:r w:rsidR="003F012B" w:rsidRPr="003A1174">
        <w:rPr>
          <w:rFonts w:ascii="Garamond" w:hAnsi="Garamond" w:cs="Arial"/>
          <w:sz w:val="24"/>
          <w:szCs w:val="24"/>
          <w:shd w:val="clear" w:color="auto" w:fill="FFFFFF"/>
        </w:rPr>
        <w:t xml:space="preserve">, </w:t>
      </w:r>
      <w:r w:rsidR="0096583F" w:rsidRPr="003A1174">
        <w:rPr>
          <w:rFonts w:ascii="Garamond" w:hAnsi="Garamond" w:cs="Arial"/>
          <w:sz w:val="24"/>
          <w:szCs w:val="24"/>
          <w:shd w:val="clear" w:color="auto" w:fill="FFFFFF"/>
        </w:rPr>
        <w:t>Procuradoria</w:t>
      </w:r>
      <w:r w:rsidR="003F012B" w:rsidRPr="003A1174">
        <w:rPr>
          <w:rFonts w:ascii="Garamond" w:hAnsi="Garamond" w:cs="Arial"/>
          <w:sz w:val="24"/>
          <w:szCs w:val="24"/>
          <w:shd w:val="clear" w:color="auto" w:fill="FFFFFF"/>
        </w:rPr>
        <w:t>s e</w:t>
      </w:r>
      <w:r w:rsidR="00A1048A"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Comissões</w:t>
      </w:r>
      <w:r w:rsidR="00A1048A" w:rsidRPr="003A1174">
        <w:rPr>
          <w:rFonts w:ascii="Garamond" w:hAnsi="Garamond" w:cs="Arial"/>
          <w:sz w:val="24"/>
          <w:szCs w:val="24"/>
          <w:shd w:val="clear" w:color="auto" w:fill="FFFFFF"/>
        </w:rPr>
        <w:t xml:space="preserve"> de </w:t>
      </w:r>
      <w:r w:rsidR="00886D6A" w:rsidRPr="003A1174">
        <w:rPr>
          <w:rFonts w:ascii="Garamond" w:hAnsi="Garamond" w:cs="Arial"/>
          <w:sz w:val="24"/>
          <w:szCs w:val="24"/>
          <w:shd w:val="clear" w:color="auto" w:fill="FFFFFF"/>
        </w:rPr>
        <w:t>Direito</w:t>
      </w:r>
      <w:r w:rsidR="00A1048A" w:rsidRPr="003A1174">
        <w:rPr>
          <w:rFonts w:ascii="Garamond" w:hAnsi="Garamond" w:cs="Arial"/>
          <w:sz w:val="24"/>
          <w:szCs w:val="24"/>
          <w:shd w:val="clear" w:color="auto" w:fill="FFFFFF"/>
        </w:rPr>
        <w:t xml:space="preserve">s Humanos da </w:t>
      </w:r>
      <w:r w:rsidR="0017447A" w:rsidRPr="003A1174">
        <w:rPr>
          <w:rFonts w:ascii="Garamond" w:hAnsi="Garamond" w:cs="Arial"/>
          <w:sz w:val="24"/>
          <w:szCs w:val="24"/>
          <w:shd w:val="clear" w:color="auto" w:fill="FFFFFF"/>
        </w:rPr>
        <w:t>região</w:t>
      </w:r>
      <w:r w:rsidR="00A1048A" w:rsidRPr="003A1174">
        <w:rPr>
          <w:rFonts w:ascii="Garamond" w:hAnsi="Garamond" w:cs="Arial"/>
          <w:sz w:val="24"/>
          <w:szCs w:val="24"/>
          <w:shd w:val="clear" w:color="auto" w:fill="FFFFFF"/>
        </w:rPr>
        <w:t xml:space="preserve">. </w:t>
      </w:r>
    </w:p>
    <w:p w:rsidR="00A1048A" w:rsidRPr="003A1174" w:rsidRDefault="00A1048A" w:rsidP="008719D4">
      <w:pPr>
        <w:tabs>
          <w:tab w:val="left" w:pos="708"/>
        </w:tabs>
        <w:spacing w:line="240" w:lineRule="auto"/>
        <w:jc w:val="both"/>
        <w:rPr>
          <w:rFonts w:ascii="Garamond" w:hAnsi="Garamond" w:cs="Arial"/>
          <w:sz w:val="24"/>
          <w:szCs w:val="24"/>
          <w:shd w:val="clear" w:color="auto" w:fill="FFFFFF"/>
        </w:rPr>
      </w:pPr>
      <w:r w:rsidRPr="003A1174">
        <w:rPr>
          <w:rFonts w:ascii="Garamond" w:hAnsi="Garamond" w:cs="Arial"/>
          <w:sz w:val="24"/>
          <w:szCs w:val="24"/>
          <w:shd w:val="clear" w:color="auto" w:fill="FFFFFF"/>
        </w:rPr>
        <w:t>A</w:t>
      </w:r>
      <w:r w:rsidR="003F012B" w:rsidRPr="003A1174">
        <w:rPr>
          <w:rFonts w:ascii="Garamond" w:hAnsi="Garamond" w:cs="Arial"/>
          <w:sz w:val="24"/>
          <w:szCs w:val="24"/>
          <w:shd w:val="clear" w:color="auto" w:fill="FFFFFF"/>
        </w:rPr>
        <w:t xml:space="preserve">o longo dos seus </w:t>
      </w:r>
      <w:r w:rsidRPr="003A1174">
        <w:rPr>
          <w:rFonts w:ascii="Garamond" w:hAnsi="Garamond" w:cs="Arial"/>
          <w:sz w:val="24"/>
          <w:szCs w:val="24"/>
          <w:shd w:val="clear" w:color="auto" w:fill="FFFFFF"/>
        </w:rPr>
        <w:t xml:space="preserve">19 de </w:t>
      </w:r>
      <w:r w:rsidR="002C7510" w:rsidRPr="003A1174">
        <w:rPr>
          <w:rFonts w:ascii="Garamond" w:hAnsi="Garamond" w:cs="Arial"/>
          <w:sz w:val="24"/>
          <w:szCs w:val="24"/>
          <w:shd w:val="clear" w:color="auto" w:fill="FFFFFF"/>
        </w:rPr>
        <w:t>ano</w:t>
      </w:r>
      <w:r w:rsidR="003F012B" w:rsidRPr="003A1174">
        <w:rPr>
          <w:rFonts w:ascii="Garamond" w:hAnsi="Garamond" w:cs="Arial"/>
          <w:sz w:val="24"/>
          <w:szCs w:val="24"/>
          <w:shd w:val="clear" w:color="auto" w:fill="FFFFFF"/>
        </w:rPr>
        <w:t>s de existência, a Rede</w:t>
      </w:r>
      <w:r w:rsidRPr="003A1174">
        <w:rPr>
          <w:rFonts w:ascii="Garamond" w:hAnsi="Garamond" w:cs="Arial"/>
          <w:sz w:val="24"/>
          <w:szCs w:val="24"/>
          <w:shd w:val="clear" w:color="auto" w:fill="FFFFFF"/>
        </w:rPr>
        <w:t xml:space="preserve"> </w:t>
      </w:r>
      <w:r w:rsidR="00127EA3" w:rsidRPr="003A1174">
        <w:rPr>
          <w:rFonts w:ascii="Garamond" w:hAnsi="Garamond" w:cs="Arial"/>
          <w:sz w:val="24"/>
          <w:szCs w:val="24"/>
          <w:shd w:val="clear" w:color="auto" w:fill="FFFFFF"/>
        </w:rPr>
        <w:t>procurou</w:t>
      </w:r>
      <w:r w:rsidR="00DB1EB1" w:rsidRPr="003A1174">
        <w:rPr>
          <w:rFonts w:ascii="Garamond" w:hAnsi="Garamond" w:cs="Arial"/>
          <w:sz w:val="24"/>
          <w:szCs w:val="24"/>
          <w:shd w:val="clear" w:color="auto" w:fill="FFFFFF"/>
        </w:rPr>
        <w:t>,</w:t>
      </w:r>
      <w:r w:rsidR="00127EA3"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permanentemente</w:t>
      </w:r>
      <w:r w:rsidR="00DB1EB1" w:rsidRPr="003A1174">
        <w:rPr>
          <w:rFonts w:ascii="Garamond" w:hAnsi="Garamond" w:cs="Arial"/>
          <w:sz w:val="24"/>
          <w:szCs w:val="24"/>
          <w:shd w:val="clear" w:color="auto" w:fill="FFFFFF"/>
        </w:rPr>
        <w:t>,</w:t>
      </w:r>
      <w:r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o intercâ</w:t>
      </w:r>
      <w:r w:rsidRPr="003A1174">
        <w:rPr>
          <w:rFonts w:ascii="Garamond" w:hAnsi="Garamond" w:cs="Arial"/>
          <w:sz w:val="24"/>
          <w:szCs w:val="24"/>
          <w:shd w:val="clear" w:color="auto" w:fill="FFFFFF"/>
        </w:rPr>
        <w:t xml:space="preserve">mbio de </w:t>
      </w:r>
      <w:r w:rsidR="0017447A" w:rsidRPr="003A1174">
        <w:rPr>
          <w:rFonts w:ascii="Garamond" w:hAnsi="Garamond" w:cs="Arial"/>
          <w:sz w:val="24"/>
          <w:szCs w:val="24"/>
          <w:shd w:val="clear" w:color="auto" w:fill="FFFFFF"/>
        </w:rPr>
        <w:t>experiência</w:t>
      </w:r>
      <w:r w:rsidRPr="003A1174">
        <w:rPr>
          <w:rFonts w:ascii="Garamond" w:hAnsi="Garamond" w:cs="Arial"/>
          <w:sz w:val="24"/>
          <w:szCs w:val="24"/>
          <w:shd w:val="clear" w:color="auto" w:fill="FFFFFF"/>
        </w:rPr>
        <w:t>s, as</w:t>
      </w:r>
      <w:r w:rsidR="00127EA3" w:rsidRPr="003A1174">
        <w:rPr>
          <w:rFonts w:ascii="Garamond" w:hAnsi="Garamond" w:cs="Arial"/>
          <w:sz w:val="24"/>
          <w:szCs w:val="24"/>
          <w:shd w:val="clear" w:color="auto" w:fill="FFFFFF"/>
        </w:rPr>
        <w:t xml:space="preserve">sim </w:t>
      </w:r>
      <w:r w:rsidRPr="003A1174">
        <w:rPr>
          <w:rFonts w:ascii="Garamond" w:hAnsi="Garamond" w:cs="Arial"/>
          <w:sz w:val="24"/>
          <w:szCs w:val="24"/>
          <w:shd w:val="clear" w:color="auto" w:fill="FFFFFF"/>
        </w:rPr>
        <w:t xml:space="preserve">como </w:t>
      </w:r>
      <w:r w:rsidR="001A3E6E">
        <w:rPr>
          <w:rFonts w:ascii="Garamond" w:hAnsi="Garamond" w:cs="Arial"/>
          <w:sz w:val="24"/>
          <w:szCs w:val="24"/>
          <w:shd w:val="clear" w:color="auto" w:fill="FFFFFF"/>
        </w:rPr>
        <w:t xml:space="preserve">melhorar </w:t>
      </w:r>
      <w:r w:rsidR="00127EA3" w:rsidRPr="003A1174">
        <w:rPr>
          <w:rFonts w:ascii="Garamond" w:hAnsi="Garamond" w:cs="Arial"/>
          <w:sz w:val="24"/>
          <w:szCs w:val="24"/>
          <w:shd w:val="clear" w:color="auto" w:fill="FFFFFF"/>
        </w:rPr>
        <w:t>e</w:t>
      </w:r>
      <w:r w:rsidR="001A3E6E">
        <w:rPr>
          <w:rFonts w:ascii="Garamond" w:hAnsi="Garamond" w:cs="Arial"/>
          <w:sz w:val="24"/>
          <w:szCs w:val="24"/>
          <w:shd w:val="clear" w:color="auto" w:fill="FFFFFF"/>
        </w:rPr>
        <w:t xml:space="preserve"> fortalecer o</w:t>
      </w:r>
      <w:r w:rsidR="00127EA3" w:rsidRPr="003A1174">
        <w:rPr>
          <w:rFonts w:ascii="Garamond" w:hAnsi="Garamond" w:cs="Arial"/>
          <w:sz w:val="24"/>
          <w:szCs w:val="24"/>
          <w:shd w:val="clear" w:color="auto" w:fill="FFFFFF"/>
        </w:rPr>
        <w:t xml:space="preserve"> </w:t>
      </w:r>
      <w:r w:rsidR="0017447A" w:rsidRPr="003A1174">
        <w:rPr>
          <w:rFonts w:ascii="Garamond" w:hAnsi="Garamond" w:cs="Arial"/>
          <w:sz w:val="24"/>
          <w:szCs w:val="24"/>
          <w:shd w:val="clear" w:color="auto" w:fill="FFFFFF"/>
        </w:rPr>
        <w:t>trabalho</w:t>
      </w:r>
      <w:r w:rsidRPr="003A1174">
        <w:rPr>
          <w:rFonts w:ascii="Garamond" w:hAnsi="Garamond" w:cs="Arial"/>
          <w:sz w:val="24"/>
          <w:szCs w:val="24"/>
          <w:shd w:val="clear" w:color="auto" w:fill="FFFFFF"/>
        </w:rPr>
        <w:t xml:space="preserve"> dentro das </w:t>
      </w:r>
      <w:r w:rsidR="003F012B" w:rsidRPr="003A1174">
        <w:rPr>
          <w:rFonts w:ascii="Garamond" w:hAnsi="Garamond" w:cs="Arial"/>
          <w:sz w:val="24"/>
          <w:szCs w:val="24"/>
          <w:shd w:val="clear" w:color="auto" w:fill="FFFFFF"/>
        </w:rPr>
        <w:t>próprias</w:t>
      </w:r>
      <w:r w:rsidRPr="003A1174">
        <w:rPr>
          <w:rFonts w:ascii="Garamond" w:hAnsi="Garamond" w:cs="Arial"/>
          <w:sz w:val="24"/>
          <w:szCs w:val="24"/>
          <w:shd w:val="clear" w:color="auto" w:fill="FFFFFF"/>
        </w:rPr>
        <w:t xml:space="preserve"> </w:t>
      </w:r>
      <w:r w:rsidR="00DC5DA7" w:rsidRPr="003A1174">
        <w:rPr>
          <w:rFonts w:ascii="Garamond" w:hAnsi="Garamond" w:cs="Arial"/>
          <w:sz w:val="24"/>
          <w:szCs w:val="24"/>
          <w:shd w:val="clear" w:color="auto" w:fill="FFFFFF"/>
        </w:rPr>
        <w:t>Provedorias</w:t>
      </w:r>
      <w:r w:rsidRPr="003A1174">
        <w:rPr>
          <w:rFonts w:ascii="Garamond" w:hAnsi="Garamond" w:cs="Arial"/>
          <w:sz w:val="24"/>
          <w:szCs w:val="24"/>
          <w:shd w:val="clear" w:color="auto" w:fill="FFFFFF"/>
        </w:rPr>
        <w:t xml:space="preserve"> </w:t>
      </w:r>
      <w:r w:rsidR="00DC5DA7" w:rsidRPr="003A1174">
        <w:rPr>
          <w:rFonts w:ascii="Garamond" w:hAnsi="Garamond" w:cs="Arial"/>
          <w:sz w:val="24"/>
          <w:szCs w:val="24"/>
          <w:shd w:val="clear" w:color="auto" w:fill="FFFFFF"/>
        </w:rPr>
        <w:t>de Justiça</w:t>
      </w:r>
      <w:r w:rsidR="001A3E6E">
        <w:rPr>
          <w:rFonts w:ascii="Garamond" w:hAnsi="Garamond" w:cs="Arial"/>
          <w:sz w:val="24"/>
          <w:szCs w:val="24"/>
          <w:shd w:val="clear" w:color="auto" w:fill="FFFFFF"/>
        </w:rPr>
        <w:t>,</w:t>
      </w:r>
      <w:r w:rsidRPr="003A1174">
        <w:rPr>
          <w:rFonts w:ascii="Garamond" w:hAnsi="Garamond" w:cs="Arial"/>
          <w:sz w:val="24"/>
          <w:szCs w:val="24"/>
          <w:shd w:val="clear" w:color="auto" w:fill="FFFFFF"/>
        </w:rPr>
        <w:t xml:space="preserve"> </w:t>
      </w:r>
      <w:r w:rsidR="00127EA3" w:rsidRPr="003A1174">
        <w:rPr>
          <w:rFonts w:ascii="Garamond" w:hAnsi="Garamond" w:cs="Arial"/>
          <w:sz w:val="24"/>
          <w:szCs w:val="24"/>
          <w:shd w:val="clear" w:color="auto" w:fill="FFFFFF"/>
        </w:rPr>
        <w:t xml:space="preserve">tentando </w:t>
      </w:r>
      <w:r w:rsidRPr="003A1174">
        <w:rPr>
          <w:rFonts w:ascii="Garamond" w:hAnsi="Garamond" w:cs="Arial"/>
          <w:sz w:val="24"/>
          <w:szCs w:val="24"/>
          <w:shd w:val="clear" w:color="auto" w:fill="FFFFFF"/>
        </w:rPr>
        <w:t>especialmente</w:t>
      </w:r>
      <w:r w:rsidR="001A3E6E">
        <w:rPr>
          <w:rFonts w:ascii="Garamond" w:hAnsi="Garamond" w:cs="Arial"/>
          <w:sz w:val="24"/>
          <w:szCs w:val="24"/>
          <w:shd w:val="clear" w:color="auto" w:fill="FFFFFF"/>
        </w:rPr>
        <w:t>,</w:t>
      </w:r>
      <w:r w:rsidRPr="003A1174">
        <w:rPr>
          <w:rFonts w:ascii="Garamond" w:hAnsi="Garamond" w:cs="Arial"/>
          <w:sz w:val="24"/>
          <w:szCs w:val="24"/>
          <w:shd w:val="clear" w:color="auto" w:fill="FFFFFF"/>
        </w:rPr>
        <w:t xml:space="preserve"> constituir</w:t>
      </w:r>
      <w:r w:rsidR="00127EA3" w:rsidRPr="003A1174">
        <w:rPr>
          <w:rFonts w:ascii="Garamond" w:hAnsi="Garamond" w:cs="Arial"/>
          <w:sz w:val="24"/>
          <w:szCs w:val="24"/>
          <w:shd w:val="clear" w:color="auto" w:fill="FFFFFF"/>
        </w:rPr>
        <w:t>-</w:t>
      </w:r>
      <w:r w:rsidRPr="003A1174">
        <w:rPr>
          <w:rFonts w:ascii="Garamond" w:hAnsi="Garamond" w:cs="Arial"/>
          <w:sz w:val="24"/>
          <w:szCs w:val="24"/>
          <w:shd w:val="clear" w:color="auto" w:fill="FFFFFF"/>
        </w:rPr>
        <w:t>se</w:t>
      </w:r>
      <w:r w:rsidR="00127EA3" w:rsidRPr="003A1174">
        <w:rPr>
          <w:rFonts w:ascii="Garamond" w:hAnsi="Garamond" w:cs="Arial"/>
          <w:sz w:val="24"/>
          <w:szCs w:val="24"/>
          <w:shd w:val="clear" w:color="auto" w:fill="FFFFFF"/>
        </w:rPr>
        <w:t xml:space="preserve"> </w:t>
      </w:r>
      <w:r w:rsidR="001A3E6E">
        <w:rPr>
          <w:rFonts w:ascii="Garamond" w:hAnsi="Garamond" w:cs="Arial"/>
          <w:sz w:val="24"/>
          <w:szCs w:val="24"/>
          <w:shd w:val="clear" w:color="auto" w:fill="FFFFFF"/>
        </w:rPr>
        <w:t xml:space="preserve">como um </w:t>
      </w:r>
      <w:r w:rsidRPr="003A1174">
        <w:rPr>
          <w:rFonts w:ascii="Garamond" w:hAnsi="Garamond" w:cs="Arial"/>
          <w:sz w:val="24"/>
          <w:szCs w:val="24"/>
          <w:shd w:val="clear" w:color="auto" w:fill="FFFFFF"/>
        </w:rPr>
        <w:t xml:space="preserve">instrumento que contribua </w:t>
      </w:r>
      <w:r w:rsidR="00127EA3" w:rsidRPr="003A1174">
        <w:rPr>
          <w:rFonts w:ascii="Garamond" w:hAnsi="Garamond" w:cs="Arial"/>
          <w:sz w:val="24"/>
          <w:szCs w:val="24"/>
          <w:shd w:val="clear" w:color="auto" w:fill="FFFFFF"/>
        </w:rPr>
        <w:t xml:space="preserve">para </w:t>
      </w:r>
      <w:r w:rsidRPr="003A1174">
        <w:rPr>
          <w:rFonts w:ascii="Garamond" w:hAnsi="Garamond" w:cs="Arial"/>
          <w:sz w:val="24"/>
          <w:szCs w:val="24"/>
          <w:shd w:val="clear" w:color="auto" w:fill="FFFFFF"/>
        </w:rPr>
        <w:t xml:space="preserve">propor </w:t>
      </w:r>
      <w:r w:rsidR="00127EA3" w:rsidRPr="003A1174">
        <w:rPr>
          <w:rFonts w:ascii="Garamond" w:hAnsi="Garamond" w:cs="Arial"/>
          <w:sz w:val="24"/>
          <w:szCs w:val="24"/>
          <w:shd w:val="clear" w:color="auto" w:fill="FFFFFF"/>
        </w:rPr>
        <w:t>as mudanças necessária</w:t>
      </w:r>
      <w:r w:rsidRPr="003A1174">
        <w:rPr>
          <w:rFonts w:ascii="Garamond" w:hAnsi="Garamond" w:cs="Arial"/>
          <w:sz w:val="24"/>
          <w:szCs w:val="24"/>
          <w:shd w:val="clear" w:color="auto" w:fill="FFFFFF"/>
        </w:rPr>
        <w:t xml:space="preserve">s e </w:t>
      </w:r>
      <w:r w:rsidR="001A3E6E">
        <w:rPr>
          <w:rFonts w:ascii="Garamond" w:hAnsi="Garamond" w:cs="Arial"/>
          <w:sz w:val="24"/>
          <w:szCs w:val="24"/>
          <w:shd w:val="clear" w:color="auto" w:fill="FFFFFF"/>
        </w:rPr>
        <w:t xml:space="preserve">influenciar as </w:t>
      </w:r>
      <w:r w:rsidRPr="003A1174">
        <w:rPr>
          <w:rFonts w:ascii="Garamond" w:hAnsi="Garamond" w:cs="Arial"/>
          <w:sz w:val="24"/>
          <w:szCs w:val="24"/>
          <w:shd w:val="clear" w:color="auto" w:fill="FFFFFF"/>
        </w:rPr>
        <w:t xml:space="preserve">políticas públicas, </w:t>
      </w:r>
      <w:r w:rsidR="001A3E6E">
        <w:rPr>
          <w:rFonts w:ascii="Garamond" w:hAnsi="Garamond" w:cs="Arial"/>
          <w:sz w:val="24"/>
          <w:szCs w:val="24"/>
          <w:shd w:val="clear" w:color="auto" w:fill="FFFFFF"/>
        </w:rPr>
        <w:t xml:space="preserve">no sentido </w:t>
      </w:r>
      <w:r w:rsidR="00127EA3" w:rsidRPr="003A1174">
        <w:rPr>
          <w:rFonts w:ascii="Garamond" w:hAnsi="Garamond" w:cs="Arial"/>
          <w:sz w:val="24"/>
          <w:szCs w:val="24"/>
          <w:shd w:val="clear" w:color="auto" w:fill="FFFFFF"/>
        </w:rPr>
        <w:t xml:space="preserve">de eliminar </w:t>
      </w:r>
      <w:r w:rsidRPr="003A1174">
        <w:rPr>
          <w:rFonts w:ascii="Garamond" w:hAnsi="Garamond" w:cs="Arial"/>
          <w:sz w:val="24"/>
          <w:szCs w:val="24"/>
          <w:shd w:val="clear" w:color="auto" w:fill="FFFFFF"/>
        </w:rPr>
        <w:t xml:space="preserve">os fatores de </w:t>
      </w:r>
      <w:r w:rsidR="003F012B" w:rsidRPr="003A1174">
        <w:rPr>
          <w:rFonts w:ascii="Garamond" w:hAnsi="Garamond" w:cs="Arial"/>
          <w:sz w:val="24"/>
          <w:szCs w:val="24"/>
          <w:shd w:val="clear" w:color="auto" w:fill="FFFFFF"/>
        </w:rPr>
        <w:t>exclusão</w:t>
      </w:r>
      <w:r w:rsidRPr="003A1174">
        <w:rPr>
          <w:rFonts w:ascii="Garamond" w:hAnsi="Garamond" w:cs="Arial"/>
          <w:sz w:val="24"/>
          <w:szCs w:val="24"/>
          <w:shd w:val="clear" w:color="auto" w:fill="FFFFFF"/>
        </w:rPr>
        <w:t xml:space="preserve"> que </w:t>
      </w:r>
      <w:r w:rsidR="003F012B" w:rsidRPr="003A1174">
        <w:rPr>
          <w:rFonts w:ascii="Garamond" w:hAnsi="Garamond" w:cs="Arial"/>
          <w:sz w:val="24"/>
          <w:szCs w:val="24"/>
          <w:shd w:val="clear" w:color="auto" w:fill="FFFFFF"/>
        </w:rPr>
        <w:t>afetam milhões</w:t>
      </w:r>
      <w:r w:rsidRPr="003A1174">
        <w:rPr>
          <w:rFonts w:ascii="Garamond" w:hAnsi="Garamond" w:cs="Arial"/>
          <w:sz w:val="24"/>
          <w:szCs w:val="24"/>
          <w:shd w:val="clear" w:color="auto" w:fill="FFFFFF"/>
        </w:rPr>
        <w:t xml:space="preserve"> de </w:t>
      </w:r>
      <w:r w:rsidR="00054EE0" w:rsidRPr="003A1174">
        <w:rPr>
          <w:rFonts w:ascii="Garamond" w:hAnsi="Garamond" w:cs="Arial"/>
          <w:sz w:val="24"/>
          <w:szCs w:val="24"/>
          <w:shd w:val="clear" w:color="auto" w:fill="FFFFFF"/>
        </w:rPr>
        <w:t>mulheres</w:t>
      </w:r>
      <w:r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n</w:t>
      </w:r>
      <w:r w:rsidRPr="003A1174">
        <w:rPr>
          <w:rFonts w:ascii="Garamond" w:hAnsi="Garamond" w:cs="Arial"/>
          <w:sz w:val="24"/>
          <w:szCs w:val="24"/>
          <w:shd w:val="clear" w:color="auto" w:fill="FFFFFF"/>
        </w:rPr>
        <w:t xml:space="preserve">a </w:t>
      </w:r>
      <w:r w:rsidR="0017447A" w:rsidRPr="003A1174">
        <w:rPr>
          <w:rFonts w:ascii="Garamond" w:hAnsi="Garamond" w:cs="Arial"/>
          <w:sz w:val="24"/>
          <w:szCs w:val="24"/>
          <w:shd w:val="clear" w:color="auto" w:fill="FFFFFF"/>
        </w:rPr>
        <w:t>região</w:t>
      </w:r>
      <w:r w:rsidRPr="003A1174">
        <w:rPr>
          <w:rFonts w:ascii="Garamond" w:hAnsi="Garamond" w:cs="Arial"/>
          <w:sz w:val="24"/>
          <w:szCs w:val="24"/>
          <w:shd w:val="clear" w:color="auto" w:fill="FFFFFF"/>
        </w:rPr>
        <w:t>.</w:t>
      </w:r>
    </w:p>
    <w:p w:rsidR="00A1048A" w:rsidRPr="003A1174" w:rsidRDefault="00A1048A" w:rsidP="008719D4">
      <w:pPr>
        <w:tabs>
          <w:tab w:val="left" w:pos="708"/>
        </w:tabs>
        <w:spacing w:line="240" w:lineRule="auto"/>
        <w:jc w:val="both"/>
        <w:rPr>
          <w:rFonts w:ascii="Garamond" w:hAnsi="Garamond" w:cs="Arial"/>
          <w:sz w:val="24"/>
          <w:szCs w:val="24"/>
        </w:rPr>
      </w:pPr>
      <w:r w:rsidRPr="003A1174">
        <w:rPr>
          <w:rFonts w:ascii="Garamond" w:hAnsi="Garamond" w:cs="Arial"/>
          <w:sz w:val="24"/>
          <w:szCs w:val="24"/>
          <w:shd w:val="clear" w:color="auto" w:fill="FFFFFF"/>
        </w:rPr>
        <w:t xml:space="preserve">Precisamente, </w:t>
      </w:r>
      <w:r w:rsidR="00127EA3" w:rsidRPr="003A1174">
        <w:rPr>
          <w:rFonts w:ascii="Garamond" w:hAnsi="Garamond" w:cs="Arial"/>
          <w:sz w:val="24"/>
          <w:szCs w:val="24"/>
          <w:shd w:val="clear" w:color="auto" w:fill="FFFFFF"/>
        </w:rPr>
        <w:t>n</w:t>
      </w:r>
      <w:r w:rsidRPr="003A1174">
        <w:rPr>
          <w:rFonts w:ascii="Garamond" w:hAnsi="Garamond" w:cs="Arial"/>
          <w:sz w:val="24"/>
          <w:szCs w:val="24"/>
          <w:shd w:val="clear" w:color="auto" w:fill="FFFFFF"/>
        </w:rPr>
        <w:t xml:space="preserve">este </w:t>
      </w:r>
      <w:r w:rsidR="00253B1D" w:rsidRPr="003A1174">
        <w:rPr>
          <w:rFonts w:ascii="Garamond" w:hAnsi="Garamond" w:cs="Arial"/>
          <w:sz w:val="24"/>
          <w:szCs w:val="24"/>
          <w:shd w:val="clear" w:color="auto" w:fill="FFFFFF"/>
        </w:rPr>
        <w:t>quadro</w:t>
      </w:r>
      <w:r w:rsidRPr="003A1174">
        <w:rPr>
          <w:rFonts w:ascii="Garamond" w:hAnsi="Garamond" w:cs="Arial"/>
          <w:sz w:val="24"/>
          <w:szCs w:val="24"/>
          <w:shd w:val="clear" w:color="auto" w:fill="FFFFFF"/>
        </w:rPr>
        <w:t xml:space="preserve"> de </w:t>
      </w:r>
      <w:r w:rsidR="0017447A" w:rsidRPr="003A1174">
        <w:rPr>
          <w:rFonts w:ascii="Garamond" w:hAnsi="Garamond" w:cs="Arial"/>
          <w:sz w:val="24"/>
          <w:szCs w:val="24"/>
          <w:shd w:val="clear" w:color="auto" w:fill="FFFFFF"/>
        </w:rPr>
        <w:t>trabalho</w:t>
      </w:r>
      <w:r w:rsidR="003F012B" w:rsidRPr="003A1174">
        <w:rPr>
          <w:rFonts w:ascii="Garamond" w:hAnsi="Garamond" w:cs="Arial"/>
          <w:sz w:val="24"/>
          <w:szCs w:val="24"/>
          <w:shd w:val="clear" w:color="auto" w:fill="FFFFFF"/>
        </w:rPr>
        <w:t xml:space="preserve"> regional, </w:t>
      </w:r>
      <w:r w:rsidRPr="003A1174">
        <w:rPr>
          <w:rFonts w:ascii="Garamond" w:hAnsi="Garamond" w:cs="Arial"/>
          <w:sz w:val="24"/>
          <w:szCs w:val="24"/>
          <w:shd w:val="clear" w:color="auto" w:fill="FFFFFF"/>
        </w:rPr>
        <w:t xml:space="preserve">a </w:t>
      </w:r>
      <w:r w:rsidR="002C7510" w:rsidRPr="003A1174">
        <w:rPr>
          <w:rFonts w:ascii="Garamond" w:hAnsi="Garamond" w:cs="Arial"/>
          <w:sz w:val="24"/>
          <w:szCs w:val="24"/>
          <w:shd w:val="clear" w:color="auto" w:fill="FFFFFF"/>
        </w:rPr>
        <w:t>Rede</w:t>
      </w:r>
      <w:r w:rsidR="003F012B" w:rsidRPr="003A1174">
        <w:rPr>
          <w:rFonts w:ascii="Garamond" w:hAnsi="Garamond" w:cs="Arial"/>
          <w:sz w:val="24"/>
          <w:szCs w:val="24"/>
          <w:shd w:val="clear" w:color="auto" w:fill="FFFFFF"/>
        </w:rPr>
        <w:t xml:space="preserve"> decide abordar uma problemática que cruza </w:t>
      </w:r>
      <w:r w:rsidRPr="003A1174">
        <w:rPr>
          <w:rFonts w:ascii="Garamond" w:hAnsi="Garamond" w:cs="Arial"/>
          <w:sz w:val="24"/>
          <w:szCs w:val="24"/>
          <w:shd w:val="clear" w:color="auto" w:fill="FFFFFF"/>
        </w:rPr>
        <w:t xml:space="preserve">as </w:t>
      </w:r>
      <w:r w:rsidR="003F012B" w:rsidRPr="003A1174">
        <w:rPr>
          <w:rFonts w:ascii="Garamond" w:hAnsi="Garamond" w:cs="Arial"/>
          <w:sz w:val="24"/>
          <w:szCs w:val="24"/>
        </w:rPr>
        <w:t>linhas</w:t>
      </w:r>
      <w:r w:rsidRPr="003A1174">
        <w:rPr>
          <w:rFonts w:ascii="Garamond" w:hAnsi="Garamond" w:cs="Arial"/>
          <w:sz w:val="24"/>
          <w:szCs w:val="24"/>
        </w:rPr>
        <w:t xml:space="preserve"> de </w:t>
      </w:r>
      <w:r w:rsidR="00077461" w:rsidRPr="003A1174">
        <w:rPr>
          <w:rFonts w:ascii="Garamond" w:hAnsi="Garamond" w:cs="Arial"/>
          <w:sz w:val="24"/>
          <w:szCs w:val="24"/>
        </w:rPr>
        <w:t>ação</w:t>
      </w:r>
      <w:r w:rsidR="003F012B" w:rsidRPr="003A1174">
        <w:rPr>
          <w:rFonts w:ascii="Garamond" w:hAnsi="Garamond" w:cs="Arial"/>
          <w:sz w:val="24"/>
          <w:szCs w:val="24"/>
        </w:rPr>
        <w:t xml:space="preserve"> d</w:t>
      </w:r>
      <w:r w:rsidRPr="003A1174">
        <w:rPr>
          <w:rFonts w:ascii="Garamond" w:hAnsi="Garamond" w:cs="Arial"/>
          <w:sz w:val="24"/>
          <w:szCs w:val="24"/>
        </w:rPr>
        <w:t xml:space="preserve">as </w:t>
      </w:r>
      <w:r w:rsidR="00DC5DA7" w:rsidRPr="003A1174">
        <w:rPr>
          <w:rFonts w:ascii="Garamond" w:hAnsi="Garamond" w:cs="Arial"/>
          <w:sz w:val="24"/>
          <w:szCs w:val="24"/>
        </w:rPr>
        <w:t>Provedorias</w:t>
      </w:r>
      <w:r w:rsidRPr="003A1174">
        <w:rPr>
          <w:rFonts w:ascii="Garamond" w:hAnsi="Garamond" w:cs="Arial"/>
          <w:sz w:val="24"/>
          <w:szCs w:val="24"/>
        </w:rPr>
        <w:t xml:space="preserve"> </w:t>
      </w:r>
      <w:r w:rsidR="00DC5DA7" w:rsidRPr="003A1174">
        <w:rPr>
          <w:rFonts w:ascii="Garamond" w:hAnsi="Garamond" w:cs="Arial"/>
          <w:sz w:val="24"/>
          <w:szCs w:val="24"/>
        </w:rPr>
        <w:t>de Justiça</w:t>
      </w:r>
      <w:r w:rsidRPr="003A1174">
        <w:rPr>
          <w:rFonts w:ascii="Garamond" w:hAnsi="Garamond" w:cs="Arial"/>
          <w:sz w:val="24"/>
          <w:szCs w:val="24"/>
        </w:rPr>
        <w:t xml:space="preserve">, </w:t>
      </w:r>
      <w:r w:rsidR="00127EA3" w:rsidRPr="003A1174">
        <w:rPr>
          <w:rFonts w:ascii="Garamond" w:hAnsi="Garamond" w:cs="Arial"/>
          <w:sz w:val="24"/>
          <w:szCs w:val="24"/>
        </w:rPr>
        <w:t xml:space="preserve">que é </w:t>
      </w:r>
      <w:r w:rsidRPr="003A1174">
        <w:rPr>
          <w:rFonts w:ascii="Garamond" w:hAnsi="Garamond" w:cs="Arial"/>
          <w:sz w:val="24"/>
          <w:szCs w:val="24"/>
        </w:rPr>
        <w:t xml:space="preserve">a </w:t>
      </w:r>
      <w:r w:rsidR="000350B1" w:rsidRPr="003A1174">
        <w:rPr>
          <w:rFonts w:ascii="Garamond" w:hAnsi="Garamond" w:cs="Arial"/>
          <w:sz w:val="24"/>
          <w:szCs w:val="24"/>
        </w:rPr>
        <w:t>violência</w:t>
      </w:r>
      <w:r w:rsidR="00127EA3" w:rsidRPr="003A1174">
        <w:rPr>
          <w:rFonts w:ascii="Garamond" w:hAnsi="Garamond" w:cs="Arial"/>
          <w:sz w:val="24"/>
          <w:szCs w:val="24"/>
        </w:rPr>
        <w:t xml:space="preserve"> de género </w:t>
      </w:r>
      <w:r w:rsidR="001A3E6E">
        <w:rPr>
          <w:rFonts w:ascii="Garamond" w:hAnsi="Garamond" w:cs="Arial"/>
          <w:sz w:val="24"/>
          <w:szCs w:val="24"/>
        </w:rPr>
        <w:t>na</w:t>
      </w:r>
      <w:r w:rsidRPr="003A1174">
        <w:rPr>
          <w:rFonts w:ascii="Garamond" w:hAnsi="Garamond" w:cs="Arial"/>
          <w:sz w:val="24"/>
          <w:szCs w:val="24"/>
        </w:rPr>
        <w:t xml:space="preserve"> </w:t>
      </w:r>
      <w:r w:rsidR="00D96FD0" w:rsidRPr="003A1174">
        <w:rPr>
          <w:rFonts w:ascii="Garamond" w:hAnsi="Garamond" w:cs="Arial"/>
          <w:sz w:val="24"/>
          <w:szCs w:val="24"/>
        </w:rPr>
        <w:t>perspetiva</w:t>
      </w:r>
      <w:r w:rsidRPr="003A1174">
        <w:rPr>
          <w:rFonts w:ascii="Garamond" w:hAnsi="Garamond" w:cs="Arial"/>
          <w:sz w:val="24"/>
          <w:szCs w:val="24"/>
        </w:rPr>
        <w:t xml:space="preserve"> d</w:t>
      </w:r>
      <w:r w:rsidR="00127EA3" w:rsidRPr="003A1174">
        <w:rPr>
          <w:rFonts w:ascii="Garamond" w:hAnsi="Garamond" w:cs="Arial"/>
          <w:sz w:val="24"/>
          <w:szCs w:val="24"/>
        </w:rPr>
        <w:t>o</w:t>
      </w:r>
      <w:r w:rsidRPr="003A1174">
        <w:rPr>
          <w:rFonts w:ascii="Garamond" w:hAnsi="Garamond" w:cs="Arial"/>
          <w:sz w:val="24"/>
          <w:szCs w:val="24"/>
        </w:rPr>
        <w:t xml:space="preserve"> </w:t>
      </w:r>
      <w:r w:rsidR="00886D6A" w:rsidRPr="003A1174">
        <w:rPr>
          <w:rFonts w:ascii="Garamond" w:hAnsi="Garamond" w:cs="Arial"/>
          <w:sz w:val="24"/>
          <w:szCs w:val="24"/>
        </w:rPr>
        <w:t>acesso</w:t>
      </w:r>
      <w:r w:rsidRPr="003A1174">
        <w:rPr>
          <w:rFonts w:ascii="Garamond" w:hAnsi="Garamond" w:cs="Arial"/>
          <w:sz w:val="24"/>
          <w:szCs w:val="24"/>
        </w:rPr>
        <w:t xml:space="preserve"> </w:t>
      </w:r>
      <w:r w:rsidR="00127EA3" w:rsidRPr="003A1174">
        <w:rPr>
          <w:rFonts w:ascii="Garamond" w:hAnsi="Garamond" w:cs="Arial"/>
          <w:sz w:val="24"/>
          <w:szCs w:val="24"/>
        </w:rPr>
        <w:t xml:space="preserve">à </w:t>
      </w:r>
      <w:r w:rsidR="00FC1F7F" w:rsidRPr="003A1174">
        <w:rPr>
          <w:rFonts w:ascii="Garamond" w:hAnsi="Garamond" w:cs="Arial"/>
          <w:sz w:val="24"/>
          <w:szCs w:val="24"/>
        </w:rPr>
        <w:t>justiça</w:t>
      </w:r>
      <w:r w:rsidRPr="003A1174">
        <w:rPr>
          <w:rFonts w:ascii="Garamond" w:hAnsi="Garamond" w:cs="Arial"/>
          <w:sz w:val="24"/>
          <w:szCs w:val="24"/>
        </w:rPr>
        <w:t>.</w:t>
      </w:r>
      <w:r w:rsidR="00DB1EB1" w:rsidRPr="003A1174">
        <w:rPr>
          <w:rFonts w:ascii="Garamond" w:hAnsi="Garamond" w:cs="Arial"/>
          <w:sz w:val="24"/>
          <w:szCs w:val="24"/>
        </w:rPr>
        <w:t xml:space="preserve"> Importa referir que, </w:t>
      </w:r>
      <w:r w:rsidR="004E3A1A" w:rsidRPr="003A1174">
        <w:rPr>
          <w:rFonts w:ascii="Garamond" w:hAnsi="Garamond" w:cs="Arial"/>
          <w:sz w:val="24"/>
          <w:szCs w:val="24"/>
        </w:rPr>
        <w:t xml:space="preserve">embora todas </w:t>
      </w:r>
      <w:r w:rsidRPr="003A1174">
        <w:rPr>
          <w:rFonts w:ascii="Garamond" w:hAnsi="Garamond" w:cs="Arial"/>
          <w:sz w:val="24"/>
          <w:szCs w:val="24"/>
        </w:rPr>
        <w:t xml:space="preserve">as </w:t>
      </w:r>
      <w:r w:rsidR="00054EE0" w:rsidRPr="003A1174">
        <w:rPr>
          <w:rFonts w:ascii="Garamond" w:hAnsi="Garamond" w:cs="Arial"/>
          <w:sz w:val="24"/>
          <w:szCs w:val="24"/>
        </w:rPr>
        <w:t>mulheres</w:t>
      </w:r>
      <w:r w:rsidR="004E3A1A" w:rsidRPr="003A1174">
        <w:rPr>
          <w:rFonts w:ascii="Garamond" w:hAnsi="Garamond" w:cs="Arial"/>
          <w:sz w:val="24"/>
          <w:szCs w:val="24"/>
        </w:rPr>
        <w:t xml:space="preserve"> sejam </w:t>
      </w:r>
      <w:r w:rsidR="003F012B" w:rsidRPr="003A1174">
        <w:rPr>
          <w:rFonts w:ascii="Garamond" w:hAnsi="Garamond" w:cs="Arial"/>
          <w:sz w:val="24"/>
          <w:szCs w:val="24"/>
        </w:rPr>
        <w:t>vítima</w:t>
      </w:r>
      <w:r w:rsidRPr="003A1174">
        <w:rPr>
          <w:rFonts w:ascii="Garamond" w:hAnsi="Garamond" w:cs="Arial"/>
          <w:sz w:val="24"/>
          <w:szCs w:val="24"/>
        </w:rPr>
        <w:t>s rea</w:t>
      </w:r>
      <w:r w:rsidR="005A1CD4" w:rsidRPr="003A1174">
        <w:rPr>
          <w:rFonts w:ascii="Garamond" w:hAnsi="Garamond" w:cs="Arial"/>
          <w:sz w:val="24"/>
          <w:szCs w:val="24"/>
        </w:rPr>
        <w:t>i</w:t>
      </w:r>
      <w:r w:rsidRPr="003A1174">
        <w:rPr>
          <w:rFonts w:ascii="Garamond" w:hAnsi="Garamond" w:cs="Arial"/>
          <w:sz w:val="24"/>
          <w:szCs w:val="24"/>
        </w:rPr>
        <w:t>s o</w:t>
      </w:r>
      <w:r w:rsidR="005A1CD4" w:rsidRPr="003A1174">
        <w:rPr>
          <w:rFonts w:ascii="Garamond" w:hAnsi="Garamond" w:cs="Arial"/>
          <w:sz w:val="24"/>
          <w:szCs w:val="24"/>
        </w:rPr>
        <w:t>u</w:t>
      </w:r>
      <w:r w:rsidRPr="003A1174">
        <w:rPr>
          <w:rFonts w:ascii="Garamond" w:hAnsi="Garamond" w:cs="Arial"/>
          <w:sz w:val="24"/>
          <w:szCs w:val="24"/>
        </w:rPr>
        <w:t xml:space="preserve"> </w:t>
      </w:r>
      <w:r w:rsidR="005A1CD4" w:rsidRPr="003A1174">
        <w:rPr>
          <w:rFonts w:ascii="Garamond" w:hAnsi="Garamond" w:cs="Arial"/>
          <w:sz w:val="24"/>
          <w:szCs w:val="24"/>
        </w:rPr>
        <w:t>potenciais</w:t>
      </w:r>
      <w:r w:rsidRPr="003A1174">
        <w:rPr>
          <w:rFonts w:ascii="Garamond" w:hAnsi="Garamond" w:cs="Arial"/>
          <w:sz w:val="24"/>
          <w:szCs w:val="24"/>
        </w:rPr>
        <w:t xml:space="preserve"> de </w:t>
      </w:r>
      <w:r w:rsidR="0017447A" w:rsidRPr="003A1174">
        <w:rPr>
          <w:rFonts w:ascii="Garamond" w:hAnsi="Garamond" w:cs="Arial"/>
          <w:sz w:val="24"/>
          <w:szCs w:val="24"/>
        </w:rPr>
        <w:t>discriminação</w:t>
      </w:r>
      <w:r w:rsidRPr="003A1174">
        <w:rPr>
          <w:rFonts w:ascii="Garamond" w:hAnsi="Garamond" w:cs="Arial"/>
          <w:sz w:val="24"/>
          <w:szCs w:val="24"/>
        </w:rPr>
        <w:t xml:space="preserve">, esta </w:t>
      </w:r>
      <w:r w:rsidR="004E3A1A" w:rsidRPr="003A1174">
        <w:rPr>
          <w:rFonts w:ascii="Garamond" w:hAnsi="Garamond" w:cs="Arial"/>
          <w:sz w:val="24"/>
          <w:szCs w:val="24"/>
        </w:rPr>
        <w:t>ideia</w:t>
      </w:r>
      <w:r w:rsidRPr="003A1174">
        <w:rPr>
          <w:rFonts w:ascii="Garamond" w:hAnsi="Garamond" w:cs="Arial"/>
          <w:sz w:val="24"/>
          <w:szCs w:val="24"/>
        </w:rPr>
        <w:t xml:space="preserve"> </w:t>
      </w:r>
      <w:r w:rsidR="00DB1EB1" w:rsidRPr="003A1174">
        <w:rPr>
          <w:rFonts w:ascii="Garamond" w:hAnsi="Garamond" w:cs="Arial"/>
          <w:sz w:val="24"/>
          <w:szCs w:val="24"/>
        </w:rPr>
        <w:t>incide</w:t>
      </w:r>
      <w:r w:rsidR="001A3E6E">
        <w:rPr>
          <w:rFonts w:ascii="Garamond" w:hAnsi="Garamond" w:cs="Arial"/>
          <w:sz w:val="24"/>
          <w:szCs w:val="24"/>
        </w:rPr>
        <w:t>,</w:t>
      </w:r>
      <w:r w:rsidR="00DB1EB1" w:rsidRPr="003A1174">
        <w:rPr>
          <w:rFonts w:ascii="Garamond" w:hAnsi="Garamond" w:cs="Arial"/>
          <w:sz w:val="24"/>
          <w:szCs w:val="24"/>
        </w:rPr>
        <w:t xml:space="preserve"> </w:t>
      </w:r>
      <w:r w:rsidR="004E3A1A" w:rsidRPr="003A1174">
        <w:rPr>
          <w:rFonts w:ascii="Garamond" w:hAnsi="Garamond" w:cs="Arial"/>
          <w:sz w:val="24"/>
          <w:szCs w:val="24"/>
        </w:rPr>
        <w:t>fundamentalmente</w:t>
      </w:r>
      <w:r w:rsidR="001A3E6E">
        <w:rPr>
          <w:rFonts w:ascii="Garamond" w:hAnsi="Garamond" w:cs="Arial"/>
          <w:sz w:val="24"/>
          <w:szCs w:val="24"/>
        </w:rPr>
        <w:t>,</w:t>
      </w:r>
      <w:r w:rsidR="004E3A1A" w:rsidRPr="003A1174">
        <w:rPr>
          <w:rFonts w:ascii="Garamond" w:hAnsi="Garamond" w:cs="Arial"/>
          <w:sz w:val="24"/>
          <w:szCs w:val="24"/>
        </w:rPr>
        <w:t xml:space="preserve"> </w:t>
      </w:r>
      <w:r w:rsidR="00DB1EB1" w:rsidRPr="003A1174">
        <w:rPr>
          <w:rFonts w:ascii="Garamond" w:hAnsi="Garamond" w:cs="Arial"/>
          <w:sz w:val="24"/>
          <w:szCs w:val="24"/>
        </w:rPr>
        <w:t>n</w:t>
      </w:r>
      <w:r w:rsidR="004E3A1A" w:rsidRPr="003A1174">
        <w:rPr>
          <w:rFonts w:ascii="Garamond" w:hAnsi="Garamond" w:cs="Arial"/>
          <w:sz w:val="24"/>
          <w:szCs w:val="24"/>
        </w:rPr>
        <w:t>aquel</w:t>
      </w:r>
      <w:r w:rsidRPr="003A1174">
        <w:rPr>
          <w:rFonts w:ascii="Garamond" w:hAnsi="Garamond" w:cs="Arial"/>
          <w:sz w:val="24"/>
          <w:szCs w:val="24"/>
        </w:rPr>
        <w:t xml:space="preserve">as que, dada </w:t>
      </w:r>
      <w:r w:rsidR="004E3A1A" w:rsidRPr="003A1174">
        <w:rPr>
          <w:rFonts w:ascii="Garamond" w:hAnsi="Garamond" w:cs="Arial"/>
          <w:sz w:val="24"/>
          <w:szCs w:val="24"/>
        </w:rPr>
        <w:t xml:space="preserve">a </w:t>
      </w:r>
      <w:r w:rsidRPr="003A1174">
        <w:rPr>
          <w:rFonts w:ascii="Garamond" w:hAnsi="Garamond" w:cs="Arial"/>
          <w:sz w:val="24"/>
          <w:szCs w:val="24"/>
        </w:rPr>
        <w:t>su</w:t>
      </w:r>
      <w:r w:rsidR="004E3A1A" w:rsidRPr="003A1174">
        <w:rPr>
          <w:rFonts w:ascii="Garamond" w:hAnsi="Garamond" w:cs="Arial"/>
          <w:sz w:val="24"/>
          <w:szCs w:val="24"/>
        </w:rPr>
        <w:t>a</w:t>
      </w:r>
      <w:r w:rsidRPr="003A1174">
        <w:rPr>
          <w:rFonts w:ascii="Garamond" w:hAnsi="Garamond" w:cs="Arial"/>
          <w:sz w:val="24"/>
          <w:szCs w:val="24"/>
        </w:rPr>
        <w:t xml:space="preserve"> </w:t>
      </w:r>
      <w:r w:rsidR="004E3A1A" w:rsidRPr="003A1174">
        <w:rPr>
          <w:rFonts w:ascii="Garamond" w:hAnsi="Garamond" w:cs="Arial"/>
          <w:sz w:val="24"/>
          <w:szCs w:val="24"/>
        </w:rPr>
        <w:t>condição</w:t>
      </w:r>
      <w:r w:rsidRPr="003A1174">
        <w:rPr>
          <w:rFonts w:ascii="Garamond" w:hAnsi="Garamond" w:cs="Arial"/>
          <w:sz w:val="24"/>
          <w:szCs w:val="24"/>
        </w:rPr>
        <w:t xml:space="preserve"> social, económica o</w:t>
      </w:r>
      <w:r w:rsidR="004E3A1A" w:rsidRPr="003A1174">
        <w:rPr>
          <w:rFonts w:ascii="Garamond" w:hAnsi="Garamond" w:cs="Arial"/>
          <w:sz w:val="24"/>
          <w:szCs w:val="24"/>
        </w:rPr>
        <w:t>u</w:t>
      </w:r>
      <w:r w:rsidRPr="003A1174">
        <w:rPr>
          <w:rFonts w:ascii="Garamond" w:hAnsi="Garamond" w:cs="Arial"/>
          <w:sz w:val="24"/>
          <w:szCs w:val="24"/>
        </w:rPr>
        <w:t xml:space="preserve"> étnica, se enc</w:t>
      </w:r>
      <w:r w:rsidR="004E3A1A" w:rsidRPr="003A1174">
        <w:rPr>
          <w:rFonts w:ascii="Garamond" w:hAnsi="Garamond" w:cs="Arial"/>
          <w:sz w:val="24"/>
          <w:szCs w:val="24"/>
        </w:rPr>
        <w:t>o</w:t>
      </w:r>
      <w:r w:rsidRPr="003A1174">
        <w:rPr>
          <w:rFonts w:ascii="Garamond" w:hAnsi="Garamond" w:cs="Arial"/>
          <w:sz w:val="24"/>
          <w:szCs w:val="24"/>
        </w:rPr>
        <w:t>ntr</w:t>
      </w:r>
      <w:r w:rsidR="001A3E6E">
        <w:rPr>
          <w:rFonts w:ascii="Garamond" w:hAnsi="Garamond" w:cs="Arial"/>
          <w:sz w:val="24"/>
          <w:szCs w:val="24"/>
        </w:rPr>
        <w:t>am</w:t>
      </w:r>
      <w:r w:rsidR="004E3A1A" w:rsidRPr="003A1174">
        <w:rPr>
          <w:rFonts w:ascii="Garamond" w:hAnsi="Garamond" w:cs="Arial"/>
          <w:sz w:val="24"/>
          <w:szCs w:val="24"/>
        </w:rPr>
        <w:t xml:space="preserve"> num</w:t>
      </w:r>
      <w:r w:rsidRPr="003A1174">
        <w:rPr>
          <w:rFonts w:ascii="Garamond" w:hAnsi="Garamond" w:cs="Arial"/>
          <w:sz w:val="24"/>
          <w:szCs w:val="24"/>
        </w:rPr>
        <w:t xml:space="preserve">a </w:t>
      </w:r>
      <w:r w:rsidR="0017447A" w:rsidRPr="003A1174">
        <w:rPr>
          <w:rFonts w:ascii="Garamond" w:hAnsi="Garamond" w:cs="Arial"/>
          <w:sz w:val="24"/>
          <w:szCs w:val="24"/>
        </w:rPr>
        <w:t>situação</w:t>
      </w:r>
      <w:r w:rsidRPr="003A1174">
        <w:rPr>
          <w:rFonts w:ascii="Garamond" w:hAnsi="Garamond" w:cs="Arial"/>
          <w:sz w:val="24"/>
          <w:szCs w:val="24"/>
        </w:rPr>
        <w:t xml:space="preserve"> especial de </w:t>
      </w:r>
      <w:r w:rsidR="004E3A1A" w:rsidRPr="003A1174">
        <w:rPr>
          <w:rFonts w:ascii="Garamond" w:hAnsi="Garamond" w:cs="Arial"/>
          <w:sz w:val="24"/>
          <w:szCs w:val="24"/>
        </w:rPr>
        <w:t>vulnerabilidade</w:t>
      </w:r>
      <w:r w:rsidRPr="003A1174">
        <w:rPr>
          <w:rFonts w:ascii="Garamond" w:hAnsi="Garamond" w:cs="Arial"/>
          <w:sz w:val="24"/>
          <w:szCs w:val="24"/>
        </w:rPr>
        <w:t xml:space="preserve">, </w:t>
      </w:r>
      <w:r w:rsidR="004E3A1A" w:rsidRPr="003A1174">
        <w:rPr>
          <w:rFonts w:ascii="Garamond" w:hAnsi="Garamond" w:cs="Arial"/>
          <w:sz w:val="24"/>
          <w:szCs w:val="24"/>
        </w:rPr>
        <w:t>razão</w:t>
      </w:r>
      <w:r w:rsidR="003F012B" w:rsidRPr="003A1174">
        <w:rPr>
          <w:rFonts w:ascii="Garamond" w:hAnsi="Garamond" w:cs="Arial"/>
          <w:sz w:val="24"/>
          <w:szCs w:val="24"/>
        </w:rPr>
        <w:t xml:space="preserve"> p</w:t>
      </w:r>
      <w:r w:rsidR="004E3A1A" w:rsidRPr="003A1174">
        <w:rPr>
          <w:rFonts w:ascii="Garamond" w:hAnsi="Garamond" w:cs="Arial"/>
          <w:sz w:val="24"/>
          <w:szCs w:val="24"/>
        </w:rPr>
        <w:t>ela q</w:t>
      </w:r>
      <w:r w:rsidR="003F012B" w:rsidRPr="003A1174">
        <w:rPr>
          <w:rFonts w:ascii="Garamond" w:hAnsi="Garamond" w:cs="Arial"/>
          <w:sz w:val="24"/>
          <w:szCs w:val="24"/>
        </w:rPr>
        <w:t>ual requere</w:t>
      </w:r>
      <w:r w:rsidR="004E3A1A" w:rsidRPr="003A1174">
        <w:rPr>
          <w:rFonts w:ascii="Garamond" w:hAnsi="Garamond" w:cs="Arial"/>
          <w:sz w:val="24"/>
          <w:szCs w:val="24"/>
        </w:rPr>
        <w:t xml:space="preserve">m uma </w:t>
      </w:r>
      <w:r w:rsidR="00886D6A" w:rsidRPr="003A1174">
        <w:rPr>
          <w:rFonts w:ascii="Garamond" w:hAnsi="Garamond" w:cs="Arial"/>
          <w:sz w:val="24"/>
          <w:szCs w:val="24"/>
        </w:rPr>
        <w:t>proteção</w:t>
      </w:r>
      <w:r w:rsidR="004E3A1A" w:rsidRPr="003A1174">
        <w:rPr>
          <w:rFonts w:ascii="Garamond" w:hAnsi="Garamond" w:cs="Arial"/>
          <w:sz w:val="24"/>
          <w:szCs w:val="24"/>
        </w:rPr>
        <w:t xml:space="preserve"> maior </w:t>
      </w:r>
      <w:r w:rsidRPr="003A1174">
        <w:rPr>
          <w:rFonts w:ascii="Garamond" w:hAnsi="Garamond" w:cs="Arial"/>
          <w:sz w:val="24"/>
          <w:szCs w:val="24"/>
        </w:rPr>
        <w:t>por parte d</w:t>
      </w:r>
      <w:r w:rsidR="003F012B" w:rsidRPr="003A1174">
        <w:rPr>
          <w:rFonts w:ascii="Garamond" w:hAnsi="Garamond" w:cs="Arial"/>
          <w:sz w:val="24"/>
          <w:szCs w:val="24"/>
        </w:rPr>
        <w:t>o</w:t>
      </w:r>
      <w:r w:rsidRPr="003A1174">
        <w:rPr>
          <w:rFonts w:ascii="Garamond" w:hAnsi="Garamond" w:cs="Arial"/>
          <w:sz w:val="24"/>
          <w:szCs w:val="24"/>
        </w:rPr>
        <w:t xml:space="preserve"> Estado.</w:t>
      </w:r>
    </w:p>
    <w:p w:rsidR="00A1048A" w:rsidRPr="003A1174" w:rsidRDefault="003F012B" w:rsidP="008719D4">
      <w:pPr>
        <w:tabs>
          <w:tab w:val="left" w:pos="708"/>
        </w:tabs>
        <w:spacing w:line="240" w:lineRule="auto"/>
        <w:jc w:val="both"/>
        <w:rPr>
          <w:rFonts w:ascii="Garamond" w:hAnsi="Garamond" w:cs="Arial"/>
          <w:sz w:val="24"/>
          <w:szCs w:val="24"/>
        </w:rPr>
      </w:pPr>
      <w:r w:rsidRPr="003A1174">
        <w:rPr>
          <w:rFonts w:ascii="Garamond" w:hAnsi="Garamond" w:cs="Arial"/>
          <w:sz w:val="24"/>
          <w:szCs w:val="24"/>
        </w:rPr>
        <w:t>A</w:t>
      </w:r>
      <w:r w:rsidR="00A1048A" w:rsidRPr="003A1174">
        <w:rPr>
          <w:rFonts w:ascii="Garamond" w:hAnsi="Garamond" w:cs="Arial"/>
          <w:sz w:val="24"/>
          <w:szCs w:val="24"/>
        </w:rPr>
        <w:t xml:space="preserve">s </w:t>
      </w:r>
      <w:r w:rsidR="00054EE0" w:rsidRPr="003A1174">
        <w:rPr>
          <w:rFonts w:ascii="Garamond" w:hAnsi="Garamond" w:cs="Arial"/>
          <w:sz w:val="24"/>
          <w:szCs w:val="24"/>
        </w:rPr>
        <w:t>mulheres</w:t>
      </w:r>
      <w:r w:rsidR="00A1048A" w:rsidRPr="003A1174">
        <w:rPr>
          <w:rFonts w:ascii="Garamond" w:hAnsi="Garamond" w:cs="Arial"/>
          <w:sz w:val="24"/>
          <w:szCs w:val="24"/>
        </w:rPr>
        <w:t xml:space="preserve"> t</w:t>
      </w:r>
      <w:r w:rsidR="004E3A1A" w:rsidRPr="003A1174">
        <w:rPr>
          <w:rFonts w:ascii="Garamond" w:hAnsi="Garamond" w:cs="Arial"/>
          <w:sz w:val="24"/>
          <w:szCs w:val="24"/>
        </w:rPr>
        <w:t xml:space="preserve">êm o </w:t>
      </w:r>
      <w:r w:rsidR="00886D6A" w:rsidRPr="003A1174">
        <w:rPr>
          <w:rFonts w:ascii="Garamond" w:hAnsi="Garamond" w:cs="Arial"/>
          <w:sz w:val="24"/>
          <w:szCs w:val="24"/>
        </w:rPr>
        <w:t>direito</w:t>
      </w:r>
      <w:r w:rsidR="00A1048A" w:rsidRPr="003A1174">
        <w:rPr>
          <w:rFonts w:ascii="Garamond" w:hAnsi="Garamond" w:cs="Arial"/>
          <w:sz w:val="24"/>
          <w:szCs w:val="24"/>
        </w:rPr>
        <w:t xml:space="preserve"> </w:t>
      </w:r>
      <w:r w:rsidR="004E3A1A" w:rsidRPr="003A1174">
        <w:rPr>
          <w:rFonts w:ascii="Garamond" w:hAnsi="Garamond" w:cs="Arial"/>
          <w:sz w:val="24"/>
          <w:szCs w:val="24"/>
        </w:rPr>
        <w:t xml:space="preserve">à garantia de uma </w:t>
      </w:r>
      <w:r w:rsidR="00A1048A" w:rsidRPr="003A1174">
        <w:rPr>
          <w:rFonts w:ascii="Garamond" w:hAnsi="Garamond" w:cs="Arial"/>
          <w:sz w:val="24"/>
          <w:szCs w:val="24"/>
        </w:rPr>
        <w:t xml:space="preserve">vida </w:t>
      </w:r>
      <w:r w:rsidR="001A3E6E">
        <w:rPr>
          <w:rFonts w:ascii="Garamond" w:hAnsi="Garamond" w:cs="Arial"/>
          <w:sz w:val="24"/>
          <w:szCs w:val="24"/>
        </w:rPr>
        <w:t xml:space="preserve">liberta </w:t>
      </w:r>
      <w:r w:rsidR="00A1048A" w:rsidRPr="003A1174">
        <w:rPr>
          <w:rFonts w:ascii="Garamond" w:hAnsi="Garamond" w:cs="Arial"/>
          <w:sz w:val="24"/>
          <w:szCs w:val="24"/>
        </w:rPr>
        <w:t xml:space="preserve">de </w:t>
      </w:r>
      <w:r w:rsidR="000350B1" w:rsidRPr="003A1174">
        <w:rPr>
          <w:rFonts w:ascii="Garamond" w:hAnsi="Garamond" w:cs="Arial"/>
          <w:sz w:val="24"/>
          <w:szCs w:val="24"/>
        </w:rPr>
        <w:t>violência</w:t>
      </w:r>
      <w:r w:rsidR="00A1048A" w:rsidRPr="003A1174">
        <w:rPr>
          <w:rFonts w:ascii="Garamond" w:hAnsi="Garamond" w:cs="Arial"/>
          <w:sz w:val="24"/>
          <w:szCs w:val="24"/>
        </w:rPr>
        <w:t xml:space="preserve"> </w:t>
      </w:r>
      <w:r w:rsidR="004E3A1A" w:rsidRPr="003A1174">
        <w:rPr>
          <w:rFonts w:ascii="Garamond" w:hAnsi="Garamond" w:cs="Arial"/>
          <w:sz w:val="24"/>
          <w:szCs w:val="24"/>
        </w:rPr>
        <w:t xml:space="preserve">nas suas </w:t>
      </w:r>
      <w:r w:rsidR="00A1048A" w:rsidRPr="003A1174">
        <w:rPr>
          <w:rFonts w:ascii="Garamond" w:hAnsi="Garamond" w:cs="Arial"/>
          <w:sz w:val="24"/>
          <w:szCs w:val="24"/>
        </w:rPr>
        <w:t xml:space="preserve">diversas </w:t>
      </w:r>
      <w:r w:rsidR="00C30647" w:rsidRPr="003A1174">
        <w:rPr>
          <w:rFonts w:ascii="Garamond" w:hAnsi="Garamond" w:cs="Arial"/>
          <w:sz w:val="24"/>
          <w:szCs w:val="24"/>
        </w:rPr>
        <w:t>manifestações</w:t>
      </w:r>
      <w:r w:rsidR="00A1048A" w:rsidRPr="003A1174">
        <w:rPr>
          <w:rFonts w:ascii="Garamond" w:hAnsi="Garamond" w:cs="Arial"/>
          <w:sz w:val="24"/>
          <w:szCs w:val="24"/>
        </w:rPr>
        <w:t xml:space="preserve">. </w:t>
      </w:r>
      <w:r w:rsidR="004E3A1A" w:rsidRPr="003A1174">
        <w:rPr>
          <w:rFonts w:ascii="Garamond" w:hAnsi="Garamond" w:cs="Arial"/>
          <w:sz w:val="24"/>
          <w:szCs w:val="24"/>
        </w:rPr>
        <w:t xml:space="preserve">Concretamente, no que respeita à </w:t>
      </w:r>
      <w:r w:rsidR="000350B1" w:rsidRPr="003A1174">
        <w:rPr>
          <w:rFonts w:ascii="Garamond" w:hAnsi="Garamond" w:cs="Arial"/>
          <w:sz w:val="24"/>
          <w:szCs w:val="24"/>
        </w:rPr>
        <w:t>violência</w:t>
      </w:r>
      <w:r w:rsidR="00A1048A" w:rsidRPr="003A1174">
        <w:rPr>
          <w:rFonts w:ascii="Garamond" w:hAnsi="Garamond" w:cs="Arial"/>
          <w:sz w:val="24"/>
          <w:szCs w:val="24"/>
        </w:rPr>
        <w:t xml:space="preserve"> intrafamiliar,</w:t>
      </w:r>
      <w:r w:rsidR="004E3A1A" w:rsidRPr="003A1174">
        <w:rPr>
          <w:rFonts w:ascii="Garamond" w:hAnsi="Garamond" w:cs="Arial"/>
          <w:sz w:val="24"/>
          <w:szCs w:val="24"/>
        </w:rPr>
        <w:t xml:space="preserve"> é </w:t>
      </w:r>
      <w:r w:rsidR="00C30647" w:rsidRPr="003A1174">
        <w:rPr>
          <w:rFonts w:ascii="Garamond" w:hAnsi="Garamond" w:cs="Arial"/>
          <w:sz w:val="24"/>
          <w:szCs w:val="24"/>
        </w:rPr>
        <w:t>necessário</w:t>
      </w:r>
      <w:r w:rsidR="00A1048A" w:rsidRPr="003A1174">
        <w:rPr>
          <w:rFonts w:ascii="Garamond" w:hAnsi="Garamond" w:cs="Arial"/>
          <w:sz w:val="24"/>
          <w:szCs w:val="24"/>
        </w:rPr>
        <w:t xml:space="preserve"> abordar </w:t>
      </w:r>
      <w:r w:rsidR="004E3A1A" w:rsidRPr="003A1174">
        <w:rPr>
          <w:rFonts w:ascii="Garamond" w:hAnsi="Garamond" w:cs="Arial"/>
          <w:sz w:val="24"/>
          <w:szCs w:val="24"/>
        </w:rPr>
        <w:t xml:space="preserve">o </w:t>
      </w:r>
      <w:r w:rsidR="00886D6A" w:rsidRPr="003A1174">
        <w:rPr>
          <w:rFonts w:ascii="Garamond" w:hAnsi="Garamond" w:cs="Arial"/>
          <w:sz w:val="24"/>
          <w:szCs w:val="24"/>
        </w:rPr>
        <w:t>acesso</w:t>
      </w:r>
      <w:r w:rsidR="00A1048A" w:rsidRPr="003A1174">
        <w:rPr>
          <w:rFonts w:ascii="Garamond" w:hAnsi="Garamond" w:cs="Arial"/>
          <w:sz w:val="24"/>
          <w:szCs w:val="24"/>
        </w:rPr>
        <w:t xml:space="preserve"> </w:t>
      </w:r>
      <w:r w:rsidR="004E3A1A" w:rsidRPr="003A1174">
        <w:rPr>
          <w:rFonts w:ascii="Garamond" w:hAnsi="Garamond" w:cs="Arial"/>
          <w:sz w:val="24"/>
          <w:szCs w:val="24"/>
        </w:rPr>
        <w:t>à J</w:t>
      </w:r>
      <w:r w:rsidR="00FC1F7F" w:rsidRPr="003A1174">
        <w:rPr>
          <w:rFonts w:ascii="Garamond" w:hAnsi="Garamond" w:cs="Arial"/>
          <w:sz w:val="24"/>
          <w:szCs w:val="24"/>
        </w:rPr>
        <w:t>ustiça</w:t>
      </w:r>
      <w:r w:rsidR="00A1048A" w:rsidRPr="003A1174">
        <w:rPr>
          <w:rFonts w:ascii="Garamond" w:hAnsi="Garamond" w:cs="Arial"/>
          <w:sz w:val="24"/>
          <w:szCs w:val="24"/>
        </w:rPr>
        <w:t xml:space="preserve"> </w:t>
      </w:r>
      <w:r w:rsidR="004E3A1A" w:rsidRPr="003A1174">
        <w:rPr>
          <w:rFonts w:ascii="Garamond" w:hAnsi="Garamond" w:cs="Arial"/>
          <w:sz w:val="24"/>
          <w:szCs w:val="24"/>
        </w:rPr>
        <w:t xml:space="preserve">perante </w:t>
      </w:r>
      <w:r w:rsidR="00A1048A" w:rsidRPr="003A1174">
        <w:rPr>
          <w:rFonts w:ascii="Garamond" w:hAnsi="Garamond" w:cs="Arial"/>
          <w:sz w:val="24"/>
          <w:szCs w:val="24"/>
        </w:rPr>
        <w:t xml:space="preserve">a </w:t>
      </w:r>
      <w:r w:rsidR="00C30647" w:rsidRPr="003A1174">
        <w:rPr>
          <w:rFonts w:ascii="Garamond" w:hAnsi="Garamond" w:cs="Arial"/>
          <w:sz w:val="24"/>
          <w:szCs w:val="24"/>
        </w:rPr>
        <w:t>persistência</w:t>
      </w:r>
      <w:r w:rsidR="00A1048A" w:rsidRPr="003A1174">
        <w:rPr>
          <w:rFonts w:ascii="Garamond" w:hAnsi="Garamond" w:cs="Arial"/>
          <w:sz w:val="24"/>
          <w:szCs w:val="24"/>
        </w:rPr>
        <w:t xml:space="preserve"> de </w:t>
      </w:r>
      <w:r w:rsidR="004E3A1A" w:rsidRPr="003A1174">
        <w:rPr>
          <w:rFonts w:ascii="Garamond" w:hAnsi="Garamond" w:cs="Arial"/>
          <w:sz w:val="24"/>
          <w:szCs w:val="24"/>
        </w:rPr>
        <w:t>séria</w:t>
      </w:r>
      <w:r w:rsidR="00A1048A" w:rsidRPr="003A1174">
        <w:rPr>
          <w:rFonts w:ascii="Garamond" w:hAnsi="Garamond" w:cs="Arial"/>
          <w:sz w:val="24"/>
          <w:szCs w:val="24"/>
        </w:rPr>
        <w:t xml:space="preserve">s </w:t>
      </w:r>
      <w:r w:rsidR="00C30647" w:rsidRPr="003A1174">
        <w:rPr>
          <w:rFonts w:ascii="Garamond" w:hAnsi="Garamond" w:cs="Arial"/>
          <w:sz w:val="24"/>
          <w:szCs w:val="24"/>
        </w:rPr>
        <w:t>dificuldade</w:t>
      </w:r>
      <w:r w:rsidR="00A1048A" w:rsidRPr="003A1174">
        <w:rPr>
          <w:rFonts w:ascii="Garamond" w:hAnsi="Garamond" w:cs="Arial"/>
          <w:sz w:val="24"/>
          <w:szCs w:val="24"/>
        </w:rPr>
        <w:t xml:space="preserve">s </w:t>
      </w:r>
      <w:r w:rsidR="004E3A1A" w:rsidRPr="003A1174">
        <w:rPr>
          <w:rFonts w:ascii="Garamond" w:hAnsi="Garamond" w:cs="Arial"/>
          <w:sz w:val="24"/>
          <w:szCs w:val="24"/>
        </w:rPr>
        <w:t>n</w:t>
      </w:r>
      <w:r w:rsidR="00A1048A" w:rsidRPr="003A1174">
        <w:rPr>
          <w:rFonts w:ascii="Garamond" w:hAnsi="Garamond" w:cs="Arial"/>
          <w:sz w:val="24"/>
          <w:szCs w:val="24"/>
        </w:rPr>
        <w:t xml:space="preserve">a </w:t>
      </w:r>
      <w:r w:rsidR="00886D6A" w:rsidRPr="003A1174">
        <w:rPr>
          <w:rFonts w:ascii="Garamond" w:hAnsi="Garamond" w:cs="Arial"/>
          <w:sz w:val="24"/>
          <w:szCs w:val="24"/>
        </w:rPr>
        <w:t>investigação</w:t>
      </w:r>
      <w:r w:rsidR="00A1048A" w:rsidRPr="003A1174">
        <w:rPr>
          <w:rFonts w:ascii="Garamond" w:hAnsi="Garamond" w:cs="Arial"/>
          <w:sz w:val="24"/>
          <w:szCs w:val="24"/>
        </w:rPr>
        <w:t xml:space="preserve">, </w:t>
      </w:r>
      <w:r w:rsidR="00C30647" w:rsidRPr="003A1174">
        <w:rPr>
          <w:rFonts w:ascii="Garamond" w:hAnsi="Garamond" w:cs="Arial"/>
          <w:sz w:val="24"/>
          <w:szCs w:val="24"/>
        </w:rPr>
        <w:t>processamento</w:t>
      </w:r>
      <w:r w:rsidR="00A1048A" w:rsidRPr="003A1174">
        <w:rPr>
          <w:rFonts w:ascii="Garamond" w:hAnsi="Garamond" w:cs="Arial"/>
          <w:sz w:val="24"/>
          <w:szCs w:val="24"/>
        </w:rPr>
        <w:t xml:space="preserve">, </w:t>
      </w:r>
      <w:r w:rsidR="00FC4727" w:rsidRPr="003A1174">
        <w:rPr>
          <w:rFonts w:ascii="Garamond" w:hAnsi="Garamond" w:cs="Arial"/>
          <w:sz w:val="24"/>
          <w:szCs w:val="24"/>
        </w:rPr>
        <w:t>punição</w:t>
      </w:r>
      <w:r w:rsidR="004E3A1A" w:rsidRPr="003A1174">
        <w:rPr>
          <w:rFonts w:ascii="Garamond" w:hAnsi="Garamond" w:cs="Arial"/>
          <w:sz w:val="24"/>
          <w:szCs w:val="24"/>
        </w:rPr>
        <w:t xml:space="preserve"> e</w:t>
      </w:r>
      <w:r w:rsidR="00A1048A" w:rsidRPr="003A1174">
        <w:rPr>
          <w:rFonts w:ascii="Garamond" w:hAnsi="Garamond" w:cs="Arial"/>
          <w:sz w:val="24"/>
          <w:szCs w:val="24"/>
        </w:rPr>
        <w:t xml:space="preserve"> </w:t>
      </w:r>
      <w:r w:rsidR="00AE3F78" w:rsidRPr="003A1174">
        <w:rPr>
          <w:rFonts w:ascii="Garamond" w:hAnsi="Garamond" w:cs="Arial"/>
          <w:sz w:val="24"/>
          <w:szCs w:val="24"/>
        </w:rPr>
        <w:t>compensação</w:t>
      </w:r>
      <w:r w:rsidR="004E3A1A" w:rsidRPr="003A1174">
        <w:rPr>
          <w:rFonts w:ascii="Garamond" w:hAnsi="Garamond" w:cs="Arial"/>
          <w:sz w:val="24"/>
          <w:szCs w:val="24"/>
        </w:rPr>
        <w:t xml:space="preserve"> d</w:t>
      </w:r>
      <w:r w:rsidR="00A1048A" w:rsidRPr="003A1174">
        <w:rPr>
          <w:rFonts w:ascii="Garamond" w:hAnsi="Garamond" w:cs="Arial"/>
          <w:sz w:val="24"/>
          <w:szCs w:val="24"/>
        </w:rPr>
        <w:t xml:space="preserve">os atos de </w:t>
      </w:r>
      <w:r w:rsidR="000350B1" w:rsidRPr="003A1174">
        <w:rPr>
          <w:rFonts w:ascii="Garamond" w:hAnsi="Garamond" w:cs="Arial"/>
          <w:sz w:val="24"/>
          <w:szCs w:val="24"/>
        </w:rPr>
        <w:t>violência</w:t>
      </w:r>
      <w:r w:rsidR="00A1048A" w:rsidRPr="003A1174">
        <w:rPr>
          <w:rFonts w:ascii="Garamond" w:hAnsi="Garamond" w:cs="Arial"/>
          <w:sz w:val="24"/>
          <w:szCs w:val="24"/>
        </w:rPr>
        <w:t xml:space="preserve"> familiar, </w:t>
      </w:r>
      <w:r w:rsidR="00C30647" w:rsidRPr="003A1174">
        <w:rPr>
          <w:rFonts w:ascii="Garamond" w:hAnsi="Garamond" w:cs="Arial"/>
          <w:sz w:val="24"/>
          <w:szCs w:val="24"/>
        </w:rPr>
        <w:t>muitos</w:t>
      </w:r>
      <w:r w:rsidR="00A1048A" w:rsidRPr="003A1174">
        <w:rPr>
          <w:rFonts w:ascii="Garamond" w:hAnsi="Garamond" w:cs="Arial"/>
          <w:sz w:val="24"/>
          <w:szCs w:val="24"/>
        </w:rPr>
        <w:t xml:space="preserve"> dos </w:t>
      </w:r>
      <w:r w:rsidR="00276DCA" w:rsidRPr="003A1174">
        <w:rPr>
          <w:rFonts w:ascii="Garamond" w:hAnsi="Garamond" w:cs="Arial"/>
          <w:sz w:val="24"/>
          <w:szCs w:val="24"/>
        </w:rPr>
        <w:t xml:space="preserve">quais </w:t>
      </w:r>
      <w:r w:rsidR="00A1048A" w:rsidRPr="003A1174">
        <w:rPr>
          <w:rFonts w:ascii="Garamond" w:hAnsi="Garamond" w:cs="Arial"/>
          <w:sz w:val="24"/>
          <w:szCs w:val="24"/>
        </w:rPr>
        <w:t>se perpet</w:t>
      </w:r>
      <w:r w:rsidR="00276DCA" w:rsidRPr="003A1174">
        <w:rPr>
          <w:rFonts w:ascii="Garamond" w:hAnsi="Garamond" w:cs="Arial"/>
          <w:sz w:val="24"/>
          <w:szCs w:val="24"/>
        </w:rPr>
        <w:t xml:space="preserve">uam </w:t>
      </w:r>
      <w:r w:rsidR="001A3E6E">
        <w:rPr>
          <w:rFonts w:ascii="Garamond" w:hAnsi="Garamond" w:cs="Arial"/>
          <w:sz w:val="24"/>
          <w:szCs w:val="24"/>
        </w:rPr>
        <w:t>impunes.</w:t>
      </w:r>
      <w:r w:rsidR="00D35D55">
        <w:rPr>
          <w:rFonts w:ascii="Garamond" w:hAnsi="Garamond" w:cs="Arial"/>
          <w:sz w:val="24"/>
          <w:szCs w:val="24"/>
        </w:rPr>
        <w:t xml:space="preserve"> </w:t>
      </w:r>
      <w:r w:rsidR="00DB1EB1" w:rsidRPr="003A1174">
        <w:rPr>
          <w:rFonts w:ascii="Garamond" w:hAnsi="Garamond" w:cs="Arial"/>
          <w:sz w:val="24"/>
          <w:szCs w:val="24"/>
        </w:rPr>
        <w:t xml:space="preserve">Tanto é assim </w:t>
      </w:r>
      <w:r w:rsidR="00276DCA" w:rsidRPr="003A1174">
        <w:rPr>
          <w:rFonts w:ascii="Garamond" w:hAnsi="Garamond" w:cs="Arial"/>
          <w:sz w:val="24"/>
          <w:szCs w:val="24"/>
        </w:rPr>
        <w:t>que</w:t>
      </w:r>
      <w:r w:rsidR="00DB1EB1" w:rsidRPr="003A1174">
        <w:rPr>
          <w:rFonts w:ascii="Garamond" w:hAnsi="Garamond" w:cs="Arial"/>
          <w:sz w:val="24"/>
          <w:szCs w:val="24"/>
        </w:rPr>
        <w:t>,</w:t>
      </w:r>
      <w:r w:rsidR="00276DCA" w:rsidRPr="003A1174">
        <w:rPr>
          <w:rFonts w:ascii="Garamond" w:hAnsi="Garamond" w:cs="Arial"/>
          <w:sz w:val="24"/>
          <w:szCs w:val="24"/>
        </w:rPr>
        <w:t xml:space="preserve"> durante </w:t>
      </w:r>
      <w:r w:rsidR="00A1048A" w:rsidRPr="003A1174">
        <w:rPr>
          <w:rFonts w:ascii="Garamond" w:hAnsi="Garamond" w:cs="Arial"/>
          <w:sz w:val="24"/>
          <w:szCs w:val="24"/>
        </w:rPr>
        <w:t xml:space="preserve">a </w:t>
      </w:r>
      <w:r w:rsidR="00A1048A" w:rsidRPr="001A3E6E">
        <w:rPr>
          <w:rFonts w:ascii="Garamond" w:hAnsi="Garamond" w:cs="Arial"/>
          <w:sz w:val="20"/>
          <w:szCs w:val="20"/>
        </w:rPr>
        <w:t>XVIII</w:t>
      </w:r>
      <w:r w:rsidR="00A1048A" w:rsidRPr="003A1174">
        <w:rPr>
          <w:rFonts w:ascii="Garamond" w:hAnsi="Garamond" w:cs="Arial"/>
          <w:sz w:val="24"/>
          <w:szCs w:val="24"/>
        </w:rPr>
        <w:t xml:space="preserve"> </w:t>
      </w:r>
      <w:r w:rsidR="00C30647" w:rsidRPr="003A1174">
        <w:rPr>
          <w:rFonts w:ascii="Garamond" w:hAnsi="Garamond" w:cs="Arial"/>
          <w:sz w:val="24"/>
          <w:szCs w:val="24"/>
        </w:rPr>
        <w:t>Assembleia</w:t>
      </w:r>
      <w:r w:rsidR="00276DCA" w:rsidRPr="003A1174">
        <w:rPr>
          <w:rFonts w:ascii="Garamond" w:hAnsi="Garamond" w:cs="Arial"/>
          <w:sz w:val="24"/>
          <w:szCs w:val="24"/>
        </w:rPr>
        <w:t xml:space="preserve"> Anual da FIO (2013), </w:t>
      </w:r>
      <w:r w:rsidR="00A1048A" w:rsidRPr="003A1174">
        <w:rPr>
          <w:rFonts w:ascii="Garamond" w:hAnsi="Garamond" w:cs="Arial"/>
          <w:sz w:val="24"/>
          <w:szCs w:val="24"/>
        </w:rPr>
        <w:t xml:space="preserve">a </w:t>
      </w:r>
      <w:r w:rsidR="002C7510" w:rsidRPr="003A1174">
        <w:rPr>
          <w:rFonts w:ascii="Garamond" w:hAnsi="Garamond" w:cs="Arial"/>
          <w:sz w:val="24"/>
          <w:szCs w:val="24"/>
        </w:rPr>
        <w:t>Rede</w:t>
      </w:r>
      <w:r w:rsidR="00A1048A" w:rsidRPr="003A1174">
        <w:rPr>
          <w:rFonts w:ascii="Garamond" w:hAnsi="Garamond" w:cs="Arial"/>
          <w:sz w:val="24"/>
          <w:szCs w:val="24"/>
        </w:rPr>
        <w:t xml:space="preserve"> </w:t>
      </w:r>
      <w:r w:rsidR="00276DCA" w:rsidRPr="003A1174">
        <w:rPr>
          <w:rFonts w:ascii="Garamond" w:hAnsi="Garamond" w:cs="Arial"/>
          <w:sz w:val="24"/>
          <w:szCs w:val="24"/>
        </w:rPr>
        <w:t>apresentou</w:t>
      </w:r>
      <w:r w:rsidR="00A1048A" w:rsidRPr="003A1174">
        <w:rPr>
          <w:rFonts w:ascii="Garamond" w:hAnsi="Garamond" w:cs="Arial"/>
          <w:sz w:val="24"/>
          <w:szCs w:val="24"/>
        </w:rPr>
        <w:t xml:space="preserve"> u</w:t>
      </w:r>
      <w:r w:rsidR="00276DCA" w:rsidRPr="003A1174">
        <w:rPr>
          <w:rFonts w:ascii="Garamond" w:hAnsi="Garamond" w:cs="Arial"/>
          <w:sz w:val="24"/>
          <w:szCs w:val="24"/>
        </w:rPr>
        <w:t>m</w:t>
      </w:r>
      <w:r w:rsidR="00A1048A" w:rsidRPr="003A1174">
        <w:rPr>
          <w:rFonts w:ascii="Garamond" w:hAnsi="Garamond" w:cs="Arial"/>
          <w:sz w:val="24"/>
          <w:szCs w:val="24"/>
        </w:rPr>
        <w:t xml:space="preserve"> breve diagnóstico </w:t>
      </w:r>
      <w:r w:rsidR="00276DCA" w:rsidRPr="003A1174">
        <w:rPr>
          <w:rFonts w:ascii="Garamond" w:hAnsi="Garamond" w:cs="Arial"/>
          <w:sz w:val="24"/>
          <w:szCs w:val="24"/>
        </w:rPr>
        <w:t>in</w:t>
      </w:r>
      <w:r w:rsidR="00A1048A" w:rsidRPr="003A1174">
        <w:rPr>
          <w:rFonts w:ascii="Garamond" w:hAnsi="Garamond" w:cs="Arial"/>
          <w:sz w:val="24"/>
          <w:szCs w:val="24"/>
        </w:rPr>
        <w:t xml:space="preserve">titulado </w:t>
      </w:r>
      <w:r w:rsidR="00505600" w:rsidRPr="00505600">
        <w:rPr>
          <w:rFonts w:ascii="Garamond" w:hAnsi="Garamond" w:cs="Arial"/>
          <w:sz w:val="24"/>
          <w:szCs w:val="24"/>
        </w:rPr>
        <w:t>«</w:t>
      </w:r>
      <w:r w:rsidR="00CF4C35" w:rsidRPr="00505600">
        <w:rPr>
          <w:rFonts w:ascii="Garamond" w:hAnsi="Garamond" w:cs="Arial"/>
          <w:sz w:val="24"/>
          <w:szCs w:val="24"/>
        </w:rPr>
        <w:t>Diligência Devida</w:t>
      </w:r>
      <w:r w:rsidR="00A1048A" w:rsidRPr="00505600">
        <w:rPr>
          <w:rFonts w:ascii="Garamond" w:hAnsi="Garamond" w:cs="Arial"/>
          <w:sz w:val="24"/>
          <w:szCs w:val="24"/>
        </w:rPr>
        <w:t xml:space="preserve"> </w:t>
      </w:r>
      <w:r w:rsidR="00276DCA" w:rsidRPr="00505600">
        <w:rPr>
          <w:rFonts w:ascii="Garamond" w:hAnsi="Garamond" w:cs="Arial"/>
          <w:sz w:val="24"/>
          <w:szCs w:val="24"/>
        </w:rPr>
        <w:t>e</w:t>
      </w:r>
      <w:r w:rsidR="00A1048A" w:rsidRPr="00505600">
        <w:rPr>
          <w:rFonts w:ascii="Garamond" w:hAnsi="Garamond" w:cs="Arial"/>
          <w:sz w:val="24"/>
          <w:szCs w:val="24"/>
        </w:rPr>
        <w:t xml:space="preserve"> </w:t>
      </w:r>
      <w:r w:rsidR="000350B1" w:rsidRPr="00505600">
        <w:rPr>
          <w:rFonts w:ascii="Garamond" w:hAnsi="Garamond" w:cs="Arial"/>
          <w:sz w:val="24"/>
          <w:szCs w:val="24"/>
        </w:rPr>
        <w:t>Violência</w:t>
      </w:r>
      <w:r w:rsidR="00276DCA" w:rsidRPr="00505600">
        <w:rPr>
          <w:rFonts w:ascii="Garamond" w:hAnsi="Garamond" w:cs="Arial"/>
          <w:sz w:val="24"/>
          <w:szCs w:val="24"/>
        </w:rPr>
        <w:t xml:space="preserve"> contra </w:t>
      </w:r>
      <w:r w:rsidR="00A1048A" w:rsidRPr="00505600">
        <w:rPr>
          <w:rFonts w:ascii="Garamond" w:hAnsi="Garamond" w:cs="Arial"/>
          <w:sz w:val="24"/>
          <w:szCs w:val="24"/>
        </w:rPr>
        <w:t xml:space="preserve">as </w:t>
      </w:r>
      <w:r w:rsidR="00054EE0" w:rsidRPr="00505600">
        <w:rPr>
          <w:rFonts w:ascii="Garamond" w:hAnsi="Garamond" w:cs="Arial"/>
          <w:sz w:val="24"/>
          <w:szCs w:val="24"/>
        </w:rPr>
        <w:t>mulheres</w:t>
      </w:r>
      <w:r w:rsidR="00505600" w:rsidRPr="00505600">
        <w:rPr>
          <w:rFonts w:ascii="Garamond" w:hAnsi="Garamond" w:cs="Arial"/>
          <w:sz w:val="24"/>
          <w:szCs w:val="24"/>
        </w:rPr>
        <w:t>»</w:t>
      </w:r>
      <w:r w:rsidR="00C30647" w:rsidRPr="00505600">
        <w:rPr>
          <w:rFonts w:ascii="Garamond" w:hAnsi="Garamond" w:cs="Arial"/>
          <w:sz w:val="24"/>
          <w:szCs w:val="24"/>
        </w:rPr>
        <w:t xml:space="preserve">, e </w:t>
      </w:r>
      <w:r w:rsidR="00A1048A" w:rsidRPr="00505600">
        <w:rPr>
          <w:rFonts w:ascii="Garamond" w:hAnsi="Garamond" w:cs="Arial"/>
          <w:sz w:val="24"/>
          <w:szCs w:val="24"/>
        </w:rPr>
        <w:t>emiti</w:t>
      </w:r>
      <w:r w:rsidR="00C30647" w:rsidRPr="00505600">
        <w:rPr>
          <w:rFonts w:ascii="Garamond" w:hAnsi="Garamond" w:cs="Arial"/>
          <w:sz w:val="24"/>
          <w:szCs w:val="24"/>
        </w:rPr>
        <w:t xml:space="preserve">u </w:t>
      </w:r>
      <w:r w:rsidR="00A1048A" w:rsidRPr="00505600">
        <w:rPr>
          <w:rFonts w:ascii="Garamond" w:hAnsi="Garamond" w:cs="Arial"/>
          <w:sz w:val="24"/>
          <w:szCs w:val="24"/>
        </w:rPr>
        <w:t xml:space="preserve">a </w:t>
      </w:r>
      <w:r w:rsidR="00C30647" w:rsidRPr="00505600">
        <w:rPr>
          <w:rFonts w:ascii="Garamond" w:hAnsi="Garamond" w:cs="Arial"/>
          <w:sz w:val="24"/>
          <w:szCs w:val="24"/>
        </w:rPr>
        <w:t>Declaração</w:t>
      </w:r>
      <w:r w:rsidR="00A1048A" w:rsidRPr="00505600">
        <w:rPr>
          <w:rFonts w:ascii="Garamond" w:hAnsi="Garamond" w:cs="Arial"/>
          <w:sz w:val="24"/>
          <w:szCs w:val="24"/>
        </w:rPr>
        <w:t xml:space="preserve"> </w:t>
      </w:r>
      <w:r w:rsidR="00505600" w:rsidRPr="00505600">
        <w:rPr>
          <w:rFonts w:ascii="Garamond" w:hAnsi="Garamond" w:cs="Arial"/>
          <w:sz w:val="24"/>
          <w:szCs w:val="24"/>
        </w:rPr>
        <w:t>«</w:t>
      </w:r>
      <w:r w:rsidR="00CF4C35" w:rsidRPr="00505600">
        <w:rPr>
          <w:rFonts w:ascii="Garamond" w:hAnsi="Garamond" w:cs="Arial"/>
          <w:sz w:val="24"/>
          <w:szCs w:val="24"/>
        </w:rPr>
        <w:t>Diligência Devida</w:t>
      </w:r>
      <w:r w:rsidR="00276DCA" w:rsidRPr="00505600">
        <w:rPr>
          <w:rFonts w:ascii="Garamond" w:hAnsi="Garamond" w:cs="Arial"/>
          <w:sz w:val="24"/>
          <w:szCs w:val="24"/>
        </w:rPr>
        <w:t xml:space="preserve"> e</w:t>
      </w:r>
      <w:r w:rsidR="00A1048A" w:rsidRPr="00505600">
        <w:rPr>
          <w:rFonts w:ascii="Garamond" w:hAnsi="Garamond" w:cs="Arial"/>
          <w:sz w:val="24"/>
          <w:szCs w:val="24"/>
        </w:rPr>
        <w:t xml:space="preserve"> </w:t>
      </w:r>
      <w:r w:rsidR="000350B1" w:rsidRPr="00505600">
        <w:rPr>
          <w:rFonts w:ascii="Garamond" w:hAnsi="Garamond" w:cs="Arial"/>
          <w:sz w:val="24"/>
          <w:szCs w:val="24"/>
        </w:rPr>
        <w:t>violência</w:t>
      </w:r>
      <w:r w:rsidR="00276DCA" w:rsidRPr="00505600">
        <w:rPr>
          <w:rFonts w:ascii="Garamond" w:hAnsi="Garamond" w:cs="Arial"/>
          <w:sz w:val="24"/>
          <w:szCs w:val="24"/>
        </w:rPr>
        <w:t xml:space="preserve"> contra </w:t>
      </w:r>
      <w:r w:rsidR="00A1048A" w:rsidRPr="00505600">
        <w:rPr>
          <w:rFonts w:ascii="Garamond" w:hAnsi="Garamond" w:cs="Arial"/>
          <w:sz w:val="24"/>
          <w:szCs w:val="24"/>
        </w:rPr>
        <w:t xml:space="preserve">as </w:t>
      </w:r>
      <w:r w:rsidR="00054EE0" w:rsidRPr="00505600">
        <w:rPr>
          <w:rFonts w:ascii="Garamond" w:hAnsi="Garamond" w:cs="Arial"/>
          <w:sz w:val="24"/>
          <w:szCs w:val="24"/>
        </w:rPr>
        <w:t>mulheres</w:t>
      </w:r>
      <w:r w:rsidR="00A1048A" w:rsidRPr="00505600">
        <w:rPr>
          <w:rFonts w:ascii="Garamond" w:hAnsi="Garamond" w:cs="Arial"/>
          <w:sz w:val="24"/>
          <w:szCs w:val="24"/>
        </w:rPr>
        <w:t xml:space="preserve">: </w:t>
      </w:r>
      <w:r w:rsidR="00276DCA" w:rsidRPr="00505600">
        <w:rPr>
          <w:rFonts w:ascii="Garamond" w:hAnsi="Garamond" w:cs="Arial"/>
          <w:sz w:val="24"/>
          <w:szCs w:val="24"/>
        </w:rPr>
        <w:t xml:space="preserve">na </w:t>
      </w:r>
      <w:r w:rsidR="00C14798">
        <w:rPr>
          <w:rFonts w:ascii="Garamond" w:hAnsi="Garamond" w:cs="Arial"/>
          <w:sz w:val="24"/>
          <w:szCs w:val="24"/>
        </w:rPr>
        <w:t>mira</w:t>
      </w:r>
      <w:r w:rsidR="00276DCA" w:rsidRPr="00505600">
        <w:rPr>
          <w:rFonts w:ascii="Garamond" w:hAnsi="Garamond" w:cs="Arial"/>
          <w:sz w:val="24"/>
          <w:szCs w:val="24"/>
        </w:rPr>
        <w:t xml:space="preserve"> de um acesso real à </w:t>
      </w:r>
      <w:r w:rsidR="00FC1F7F" w:rsidRPr="00505600">
        <w:rPr>
          <w:rFonts w:ascii="Garamond" w:hAnsi="Garamond" w:cs="Arial"/>
          <w:sz w:val="24"/>
          <w:szCs w:val="24"/>
        </w:rPr>
        <w:t>justiça</w:t>
      </w:r>
      <w:r w:rsidR="00505600" w:rsidRPr="00505600">
        <w:rPr>
          <w:rFonts w:ascii="Garamond" w:hAnsi="Garamond" w:cs="Arial"/>
          <w:sz w:val="24"/>
          <w:szCs w:val="24"/>
        </w:rPr>
        <w:t>»</w:t>
      </w:r>
      <w:r w:rsidR="00A1048A" w:rsidRPr="00505600">
        <w:rPr>
          <w:rFonts w:ascii="Garamond" w:hAnsi="Garamond" w:cs="Arial"/>
          <w:sz w:val="24"/>
          <w:szCs w:val="24"/>
        </w:rPr>
        <w:t>.</w:t>
      </w:r>
      <w:r w:rsidR="00A1048A" w:rsidRPr="003A1174">
        <w:rPr>
          <w:rFonts w:ascii="Garamond" w:hAnsi="Garamond" w:cs="Arial"/>
          <w:i/>
          <w:sz w:val="24"/>
          <w:szCs w:val="24"/>
        </w:rPr>
        <w:t xml:space="preserve"> </w:t>
      </w:r>
    </w:p>
    <w:p w:rsidR="00A1048A" w:rsidRPr="003A1174" w:rsidRDefault="003F012B" w:rsidP="008719D4">
      <w:pPr>
        <w:tabs>
          <w:tab w:val="left" w:pos="3544"/>
        </w:tabs>
        <w:spacing w:line="240" w:lineRule="auto"/>
        <w:jc w:val="both"/>
        <w:rPr>
          <w:rFonts w:ascii="Garamond" w:hAnsi="Garamond" w:cs="Arial"/>
          <w:sz w:val="24"/>
          <w:szCs w:val="24"/>
        </w:rPr>
      </w:pPr>
      <w:r w:rsidRPr="003A1174">
        <w:rPr>
          <w:rFonts w:ascii="Garamond" w:hAnsi="Garamond" w:cs="Arial"/>
          <w:sz w:val="24"/>
          <w:szCs w:val="24"/>
        </w:rPr>
        <w:t>A partir d</w:t>
      </w:r>
      <w:r w:rsidR="00A1048A" w:rsidRPr="003A1174">
        <w:rPr>
          <w:rFonts w:ascii="Garamond" w:hAnsi="Garamond" w:cs="Arial"/>
          <w:sz w:val="24"/>
          <w:szCs w:val="24"/>
        </w:rPr>
        <w:t xml:space="preserve">este </w:t>
      </w:r>
      <w:r w:rsidR="00276DCA" w:rsidRPr="003A1174">
        <w:rPr>
          <w:rFonts w:ascii="Garamond" w:hAnsi="Garamond" w:cs="Arial"/>
          <w:sz w:val="24"/>
          <w:szCs w:val="24"/>
        </w:rPr>
        <w:t>primeiro</w:t>
      </w:r>
      <w:r w:rsidR="00A1048A" w:rsidRPr="003A1174">
        <w:rPr>
          <w:rFonts w:ascii="Garamond" w:hAnsi="Garamond" w:cs="Arial"/>
          <w:sz w:val="24"/>
          <w:szCs w:val="24"/>
        </w:rPr>
        <w:t xml:space="preserve"> </w:t>
      </w:r>
      <w:r w:rsidR="00C30647" w:rsidRPr="003A1174">
        <w:rPr>
          <w:rFonts w:ascii="Garamond" w:hAnsi="Garamond" w:cs="Arial"/>
          <w:sz w:val="24"/>
          <w:szCs w:val="24"/>
        </w:rPr>
        <w:t>esforço</w:t>
      </w:r>
      <w:r w:rsidR="00A1048A" w:rsidRPr="003A1174">
        <w:rPr>
          <w:rFonts w:ascii="Garamond" w:hAnsi="Garamond" w:cs="Arial"/>
          <w:sz w:val="24"/>
          <w:szCs w:val="24"/>
        </w:rPr>
        <w:t>, consider</w:t>
      </w:r>
      <w:r w:rsidR="00C30647" w:rsidRPr="003A1174">
        <w:rPr>
          <w:rFonts w:ascii="Garamond" w:hAnsi="Garamond" w:cs="Arial"/>
          <w:sz w:val="24"/>
          <w:szCs w:val="24"/>
        </w:rPr>
        <w:t xml:space="preserve">ou </w:t>
      </w:r>
      <w:r w:rsidR="00A1048A" w:rsidRPr="003A1174">
        <w:rPr>
          <w:rFonts w:ascii="Garamond" w:hAnsi="Garamond" w:cs="Arial"/>
          <w:sz w:val="24"/>
          <w:szCs w:val="24"/>
        </w:rPr>
        <w:t xml:space="preserve">fundamental </w:t>
      </w:r>
      <w:r w:rsidR="00276DCA" w:rsidRPr="003A1174">
        <w:rPr>
          <w:rFonts w:ascii="Garamond" w:hAnsi="Garamond" w:cs="Arial"/>
          <w:sz w:val="24"/>
          <w:szCs w:val="24"/>
        </w:rPr>
        <w:t>continuar a a</w:t>
      </w:r>
      <w:r w:rsidR="00A1048A" w:rsidRPr="003A1174">
        <w:rPr>
          <w:rFonts w:ascii="Garamond" w:hAnsi="Garamond" w:cs="Arial"/>
          <w:sz w:val="24"/>
          <w:szCs w:val="24"/>
        </w:rPr>
        <w:t>profund</w:t>
      </w:r>
      <w:r w:rsidR="00276DCA" w:rsidRPr="003A1174">
        <w:rPr>
          <w:rFonts w:ascii="Garamond" w:hAnsi="Garamond" w:cs="Arial"/>
          <w:sz w:val="24"/>
          <w:szCs w:val="24"/>
        </w:rPr>
        <w:t xml:space="preserve">ar </w:t>
      </w:r>
      <w:r w:rsidR="00A1048A" w:rsidRPr="003A1174">
        <w:rPr>
          <w:rFonts w:ascii="Garamond" w:hAnsi="Garamond" w:cs="Arial"/>
          <w:sz w:val="24"/>
          <w:szCs w:val="24"/>
        </w:rPr>
        <w:t>este tema, p</w:t>
      </w:r>
      <w:r w:rsidR="00276DCA" w:rsidRPr="003A1174">
        <w:rPr>
          <w:rFonts w:ascii="Garamond" w:hAnsi="Garamond" w:cs="Arial"/>
          <w:sz w:val="24"/>
          <w:szCs w:val="24"/>
        </w:rPr>
        <w:t xml:space="preserve">elo que </w:t>
      </w:r>
      <w:r w:rsidR="00A1048A" w:rsidRPr="003A1174">
        <w:rPr>
          <w:rFonts w:ascii="Garamond" w:hAnsi="Garamond" w:cs="Arial"/>
          <w:sz w:val="24"/>
          <w:szCs w:val="24"/>
        </w:rPr>
        <w:t xml:space="preserve">a </w:t>
      </w:r>
      <w:r w:rsidR="002C7510" w:rsidRPr="003A1174">
        <w:rPr>
          <w:rFonts w:ascii="Garamond" w:hAnsi="Garamond" w:cs="Arial"/>
          <w:sz w:val="24"/>
          <w:szCs w:val="24"/>
        </w:rPr>
        <w:t>Rede</w:t>
      </w:r>
      <w:r w:rsidR="00A1048A" w:rsidRPr="003A1174">
        <w:rPr>
          <w:rFonts w:ascii="Garamond" w:hAnsi="Garamond" w:cs="Arial"/>
          <w:sz w:val="24"/>
          <w:szCs w:val="24"/>
        </w:rPr>
        <w:t xml:space="preserve"> empr</w:t>
      </w:r>
      <w:r w:rsidR="00276DCA" w:rsidRPr="003A1174">
        <w:rPr>
          <w:rFonts w:ascii="Garamond" w:hAnsi="Garamond" w:cs="Arial"/>
          <w:sz w:val="24"/>
          <w:szCs w:val="24"/>
        </w:rPr>
        <w:t>e</w:t>
      </w:r>
      <w:r w:rsidR="00A1048A" w:rsidRPr="003A1174">
        <w:rPr>
          <w:rFonts w:ascii="Garamond" w:hAnsi="Garamond" w:cs="Arial"/>
          <w:sz w:val="24"/>
          <w:szCs w:val="24"/>
        </w:rPr>
        <w:t>end</w:t>
      </w:r>
      <w:r w:rsidR="00276DCA" w:rsidRPr="003A1174">
        <w:rPr>
          <w:rFonts w:ascii="Garamond" w:hAnsi="Garamond" w:cs="Arial"/>
          <w:sz w:val="24"/>
          <w:szCs w:val="24"/>
        </w:rPr>
        <w:t xml:space="preserve">eu o desafio de </w:t>
      </w:r>
      <w:r w:rsidR="0000579E" w:rsidRPr="00D35D55">
        <w:rPr>
          <w:rFonts w:ascii="Garamond" w:hAnsi="Garamond" w:cs="Arial"/>
          <w:sz w:val="24"/>
          <w:szCs w:val="24"/>
        </w:rPr>
        <w:t xml:space="preserve">incluir </w:t>
      </w:r>
      <w:r w:rsidR="00A1048A" w:rsidRPr="00D35D55">
        <w:rPr>
          <w:rFonts w:ascii="Garamond" w:hAnsi="Garamond" w:cs="Arial"/>
          <w:sz w:val="24"/>
          <w:szCs w:val="24"/>
        </w:rPr>
        <w:t>a presente</w:t>
      </w:r>
      <w:r w:rsidR="00A1048A" w:rsidRPr="003A1174">
        <w:rPr>
          <w:rFonts w:ascii="Garamond" w:hAnsi="Garamond" w:cs="Arial"/>
          <w:sz w:val="24"/>
          <w:szCs w:val="24"/>
        </w:rPr>
        <w:t xml:space="preserve"> </w:t>
      </w:r>
      <w:r w:rsidR="00886D6A" w:rsidRPr="003A1174">
        <w:rPr>
          <w:rFonts w:ascii="Garamond" w:hAnsi="Garamond" w:cs="Arial"/>
          <w:sz w:val="24"/>
          <w:szCs w:val="24"/>
        </w:rPr>
        <w:t>investigação</w:t>
      </w:r>
      <w:r w:rsidR="00A1048A" w:rsidRPr="003A1174">
        <w:rPr>
          <w:rFonts w:ascii="Garamond" w:hAnsi="Garamond" w:cs="Arial"/>
          <w:sz w:val="24"/>
          <w:szCs w:val="24"/>
        </w:rPr>
        <w:t xml:space="preserve"> sobre </w:t>
      </w:r>
      <w:r w:rsidR="00276DCA" w:rsidRPr="003A1174">
        <w:rPr>
          <w:rFonts w:ascii="Garamond" w:hAnsi="Garamond" w:cs="Arial"/>
          <w:sz w:val="24"/>
          <w:szCs w:val="24"/>
        </w:rPr>
        <w:t xml:space="preserve">o </w:t>
      </w:r>
      <w:r w:rsidR="00886D6A" w:rsidRPr="003A1174">
        <w:rPr>
          <w:rFonts w:ascii="Garamond" w:hAnsi="Garamond" w:cs="Arial"/>
          <w:sz w:val="24"/>
          <w:szCs w:val="24"/>
        </w:rPr>
        <w:t>acesso</w:t>
      </w:r>
      <w:r w:rsidR="00A1048A" w:rsidRPr="003A1174">
        <w:rPr>
          <w:rFonts w:ascii="Garamond" w:hAnsi="Garamond" w:cs="Arial"/>
          <w:sz w:val="24"/>
          <w:szCs w:val="24"/>
        </w:rPr>
        <w:t xml:space="preserve"> das </w:t>
      </w:r>
      <w:r w:rsidR="00054EE0" w:rsidRPr="003A1174">
        <w:rPr>
          <w:rFonts w:ascii="Garamond" w:hAnsi="Garamond" w:cs="Arial"/>
          <w:sz w:val="24"/>
          <w:szCs w:val="24"/>
        </w:rPr>
        <w:t>mulheres</w:t>
      </w:r>
      <w:r w:rsidR="00A1048A" w:rsidRPr="003A1174">
        <w:rPr>
          <w:rFonts w:ascii="Garamond" w:hAnsi="Garamond" w:cs="Arial"/>
          <w:sz w:val="24"/>
          <w:szCs w:val="24"/>
        </w:rPr>
        <w:t xml:space="preserve"> a</w:t>
      </w:r>
      <w:r w:rsidR="00276DCA" w:rsidRPr="003A1174">
        <w:rPr>
          <w:rFonts w:ascii="Garamond" w:hAnsi="Garamond" w:cs="Arial"/>
          <w:sz w:val="24"/>
          <w:szCs w:val="24"/>
        </w:rPr>
        <w:t xml:space="preserve">o </w:t>
      </w:r>
      <w:r w:rsidR="00A1048A" w:rsidRPr="003A1174">
        <w:rPr>
          <w:rFonts w:ascii="Garamond" w:hAnsi="Garamond" w:cs="Arial"/>
          <w:sz w:val="24"/>
          <w:szCs w:val="24"/>
        </w:rPr>
        <w:t xml:space="preserve">sistema de </w:t>
      </w:r>
      <w:r w:rsidR="00FC1F7F" w:rsidRPr="003A1174">
        <w:rPr>
          <w:rFonts w:ascii="Garamond" w:hAnsi="Garamond" w:cs="Arial"/>
          <w:sz w:val="24"/>
          <w:szCs w:val="24"/>
        </w:rPr>
        <w:t>justiça</w:t>
      </w:r>
      <w:r w:rsidR="00A1048A" w:rsidRPr="003A1174">
        <w:rPr>
          <w:rFonts w:ascii="Garamond" w:hAnsi="Garamond" w:cs="Arial"/>
          <w:sz w:val="24"/>
          <w:szCs w:val="24"/>
        </w:rPr>
        <w:t xml:space="preserve">, </w:t>
      </w:r>
      <w:r w:rsidR="00276DCA" w:rsidRPr="003A1174">
        <w:rPr>
          <w:rFonts w:ascii="Garamond" w:hAnsi="Garamond" w:cs="Arial"/>
          <w:sz w:val="24"/>
          <w:szCs w:val="24"/>
        </w:rPr>
        <w:t>no quadro</w:t>
      </w:r>
      <w:r w:rsidR="00A1048A" w:rsidRPr="003A1174">
        <w:rPr>
          <w:rFonts w:ascii="Garamond" w:hAnsi="Garamond" w:cs="Arial"/>
          <w:sz w:val="24"/>
          <w:szCs w:val="24"/>
        </w:rPr>
        <w:t xml:space="preserve"> d</w:t>
      </w:r>
      <w:r w:rsidR="00276DCA" w:rsidRPr="003A1174">
        <w:rPr>
          <w:rFonts w:ascii="Garamond" w:hAnsi="Garamond" w:cs="Arial"/>
          <w:sz w:val="24"/>
          <w:szCs w:val="24"/>
        </w:rPr>
        <w:t>o</w:t>
      </w:r>
      <w:r w:rsidR="00A1048A" w:rsidRPr="003A1174">
        <w:rPr>
          <w:rFonts w:ascii="Garamond" w:hAnsi="Garamond" w:cs="Arial"/>
          <w:sz w:val="24"/>
          <w:szCs w:val="24"/>
        </w:rPr>
        <w:t xml:space="preserve"> </w:t>
      </w:r>
      <w:r w:rsidR="00276DCA" w:rsidRPr="003A1174">
        <w:rPr>
          <w:rFonts w:ascii="Garamond" w:hAnsi="Garamond" w:cs="Arial"/>
          <w:sz w:val="24"/>
          <w:szCs w:val="24"/>
        </w:rPr>
        <w:t>princípio</w:t>
      </w:r>
      <w:r w:rsidR="00A1048A" w:rsidRPr="003A1174">
        <w:rPr>
          <w:rFonts w:ascii="Garamond" w:hAnsi="Garamond" w:cs="Arial"/>
          <w:sz w:val="24"/>
          <w:szCs w:val="24"/>
        </w:rPr>
        <w:t xml:space="preserve"> da </w:t>
      </w:r>
      <w:r w:rsidR="00CF4C35" w:rsidRPr="003A1174">
        <w:rPr>
          <w:rFonts w:ascii="Garamond" w:hAnsi="Garamond" w:cs="Arial"/>
          <w:sz w:val="24"/>
          <w:szCs w:val="24"/>
        </w:rPr>
        <w:t>Diligência Devida</w:t>
      </w:r>
      <w:r w:rsidR="00A1048A" w:rsidRPr="003A1174">
        <w:rPr>
          <w:rFonts w:ascii="Garamond" w:hAnsi="Garamond" w:cs="Arial"/>
          <w:sz w:val="24"/>
          <w:szCs w:val="24"/>
        </w:rPr>
        <w:t xml:space="preserve">. </w:t>
      </w:r>
      <w:r w:rsidR="00276DCA" w:rsidRPr="003A1174">
        <w:rPr>
          <w:rFonts w:ascii="Garamond" w:hAnsi="Garamond" w:cs="Arial"/>
          <w:sz w:val="24"/>
          <w:szCs w:val="24"/>
        </w:rPr>
        <w:t xml:space="preserve">A </w:t>
      </w:r>
      <w:r w:rsidR="00A1048A" w:rsidRPr="003A1174">
        <w:rPr>
          <w:rFonts w:ascii="Garamond" w:hAnsi="Garamond" w:cs="Arial"/>
          <w:sz w:val="24"/>
          <w:szCs w:val="24"/>
        </w:rPr>
        <w:t>finalidad</w:t>
      </w:r>
      <w:r w:rsidR="00276DCA" w:rsidRPr="003A1174">
        <w:rPr>
          <w:rFonts w:ascii="Garamond" w:hAnsi="Garamond" w:cs="Arial"/>
          <w:sz w:val="24"/>
          <w:szCs w:val="24"/>
        </w:rPr>
        <w:t>e</w:t>
      </w:r>
      <w:r w:rsidR="00A1048A" w:rsidRPr="003A1174">
        <w:rPr>
          <w:rFonts w:ascii="Garamond" w:hAnsi="Garamond" w:cs="Arial"/>
          <w:sz w:val="24"/>
          <w:szCs w:val="24"/>
        </w:rPr>
        <w:t xml:space="preserve"> n</w:t>
      </w:r>
      <w:r w:rsidR="00276DCA" w:rsidRPr="003A1174">
        <w:rPr>
          <w:rFonts w:ascii="Garamond" w:hAnsi="Garamond" w:cs="Arial"/>
          <w:sz w:val="24"/>
          <w:szCs w:val="24"/>
        </w:rPr>
        <w:t>ã</w:t>
      </w:r>
      <w:r w:rsidR="00A1048A" w:rsidRPr="003A1174">
        <w:rPr>
          <w:rFonts w:ascii="Garamond" w:hAnsi="Garamond" w:cs="Arial"/>
          <w:sz w:val="24"/>
          <w:szCs w:val="24"/>
        </w:rPr>
        <w:t xml:space="preserve">o </w:t>
      </w:r>
      <w:r w:rsidR="00276DCA" w:rsidRPr="003A1174">
        <w:rPr>
          <w:rFonts w:ascii="Garamond" w:hAnsi="Garamond" w:cs="Arial"/>
          <w:sz w:val="24"/>
          <w:szCs w:val="24"/>
        </w:rPr>
        <w:t xml:space="preserve">é </w:t>
      </w:r>
      <w:r w:rsidR="00A1048A" w:rsidRPr="003A1174">
        <w:rPr>
          <w:rFonts w:ascii="Garamond" w:hAnsi="Garamond" w:cs="Arial"/>
          <w:sz w:val="24"/>
          <w:szCs w:val="24"/>
        </w:rPr>
        <w:t>o</w:t>
      </w:r>
      <w:r w:rsidR="00276DCA" w:rsidRPr="003A1174">
        <w:rPr>
          <w:rFonts w:ascii="Garamond" w:hAnsi="Garamond" w:cs="Arial"/>
          <w:sz w:val="24"/>
          <w:szCs w:val="24"/>
        </w:rPr>
        <w:t>u</w:t>
      </w:r>
      <w:r w:rsidR="00A1048A" w:rsidRPr="003A1174">
        <w:rPr>
          <w:rFonts w:ascii="Garamond" w:hAnsi="Garamond" w:cs="Arial"/>
          <w:sz w:val="24"/>
          <w:szCs w:val="24"/>
        </w:rPr>
        <w:t>tra</w:t>
      </w:r>
      <w:r w:rsidR="00276DCA" w:rsidRPr="003A1174">
        <w:rPr>
          <w:rFonts w:ascii="Garamond" w:hAnsi="Garamond" w:cs="Arial"/>
          <w:sz w:val="24"/>
          <w:szCs w:val="24"/>
        </w:rPr>
        <w:t xml:space="preserve"> senão</w:t>
      </w:r>
      <w:r w:rsidR="00C14798">
        <w:rPr>
          <w:rFonts w:ascii="Garamond" w:hAnsi="Garamond" w:cs="Arial"/>
          <w:sz w:val="24"/>
          <w:szCs w:val="24"/>
        </w:rPr>
        <w:t xml:space="preserve"> a de</w:t>
      </w:r>
      <w:r w:rsidR="00276DCA" w:rsidRPr="003A1174">
        <w:rPr>
          <w:rFonts w:ascii="Garamond" w:hAnsi="Garamond" w:cs="Arial"/>
          <w:sz w:val="24"/>
          <w:szCs w:val="24"/>
        </w:rPr>
        <w:t xml:space="preserve"> </w:t>
      </w:r>
      <w:r w:rsidR="00F66145" w:rsidRPr="003A1174">
        <w:rPr>
          <w:rFonts w:ascii="Garamond" w:hAnsi="Garamond" w:cs="Arial"/>
          <w:sz w:val="24"/>
          <w:szCs w:val="24"/>
        </w:rPr>
        <w:t>contribuir</w:t>
      </w:r>
      <w:r w:rsidR="00A1048A" w:rsidRPr="003A1174">
        <w:rPr>
          <w:rFonts w:ascii="Garamond" w:hAnsi="Garamond" w:cs="Arial"/>
          <w:sz w:val="24"/>
          <w:szCs w:val="24"/>
        </w:rPr>
        <w:t xml:space="preserve"> </w:t>
      </w:r>
      <w:r w:rsidR="00DB1EB1" w:rsidRPr="003A1174">
        <w:rPr>
          <w:rFonts w:ascii="Garamond" w:hAnsi="Garamond" w:cs="Arial"/>
          <w:sz w:val="24"/>
          <w:szCs w:val="24"/>
        </w:rPr>
        <w:t xml:space="preserve">para que se tome </w:t>
      </w:r>
      <w:r w:rsidR="00BA3CCE" w:rsidRPr="003A1174">
        <w:rPr>
          <w:rFonts w:ascii="Garamond" w:hAnsi="Garamond" w:cs="Arial"/>
          <w:sz w:val="24"/>
          <w:szCs w:val="24"/>
        </w:rPr>
        <w:t>consciência</w:t>
      </w:r>
      <w:r w:rsidR="00A1048A" w:rsidRPr="003A1174">
        <w:rPr>
          <w:rFonts w:ascii="Garamond" w:hAnsi="Garamond" w:cs="Arial"/>
          <w:sz w:val="24"/>
          <w:szCs w:val="24"/>
        </w:rPr>
        <w:t xml:space="preserve"> da </w:t>
      </w:r>
      <w:r w:rsidR="00C30647" w:rsidRPr="003A1174">
        <w:rPr>
          <w:rFonts w:ascii="Garamond" w:hAnsi="Garamond" w:cs="Arial"/>
          <w:sz w:val="24"/>
          <w:szCs w:val="24"/>
        </w:rPr>
        <w:t>persistência</w:t>
      </w:r>
      <w:r w:rsidR="00276DCA" w:rsidRPr="003A1174">
        <w:rPr>
          <w:rFonts w:ascii="Garamond" w:hAnsi="Garamond" w:cs="Arial"/>
          <w:sz w:val="24"/>
          <w:szCs w:val="24"/>
        </w:rPr>
        <w:t xml:space="preserve"> desta problemática e</w:t>
      </w:r>
      <w:r w:rsidR="00A1048A" w:rsidRPr="003A1174">
        <w:rPr>
          <w:rFonts w:ascii="Garamond" w:hAnsi="Garamond" w:cs="Arial"/>
          <w:sz w:val="24"/>
          <w:szCs w:val="24"/>
        </w:rPr>
        <w:t xml:space="preserve">, desta </w:t>
      </w:r>
      <w:r w:rsidR="00276DCA" w:rsidRPr="003A1174">
        <w:rPr>
          <w:rFonts w:ascii="Garamond" w:hAnsi="Garamond" w:cs="Arial"/>
          <w:sz w:val="24"/>
          <w:szCs w:val="24"/>
        </w:rPr>
        <w:t>forma</w:t>
      </w:r>
      <w:r w:rsidR="00A1048A" w:rsidRPr="003A1174">
        <w:rPr>
          <w:rFonts w:ascii="Garamond" w:hAnsi="Garamond" w:cs="Arial"/>
          <w:sz w:val="24"/>
          <w:szCs w:val="24"/>
        </w:rPr>
        <w:t xml:space="preserve">, contribuir </w:t>
      </w:r>
      <w:r w:rsidR="00276DCA" w:rsidRPr="003A1174">
        <w:rPr>
          <w:rFonts w:ascii="Garamond" w:hAnsi="Garamond" w:cs="Arial"/>
          <w:sz w:val="24"/>
          <w:szCs w:val="24"/>
        </w:rPr>
        <w:t>par</w:t>
      </w:r>
      <w:r w:rsidR="00A1048A" w:rsidRPr="003A1174">
        <w:rPr>
          <w:rFonts w:ascii="Garamond" w:hAnsi="Garamond" w:cs="Arial"/>
          <w:sz w:val="24"/>
          <w:szCs w:val="24"/>
        </w:rPr>
        <w:t>a que, e</w:t>
      </w:r>
      <w:r w:rsidR="00276DCA" w:rsidRPr="003A1174">
        <w:rPr>
          <w:rFonts w:ascii="Garamond" w:hAnsi="Garamond" w:cs="Arial"/>
          <w:sz w:val="24"/>
          <w:szCs w:val="24"/>
        </w:rPr>
        <w:t>m cada país d</w:t>
      </w:r>
      <w:r w:rsidR="00A1048A" w:rsidRPr="003A1174">
        <w:rPr>
          <w:rFonts w:ascii="Garamond" w:hAnsi="Garamond" w:cs="Arial"/>
          <w:sz w:val="24"/>
          <w:szCs w:val="24"/>
        </w:rPr>
        <w:t xml:space="preserve">a </w:t>
      </w:r>
      <w:r w:rsidR="0017447A" w:rsidRPr="003A1174">
        <w:rPr>
          <w:rFonts w:ascii="Garamond" w:hAnsi="Garamond" w:cs="Arial"/>
          <w:sz w:val="24"/>
          <w:szCs w:val="24"/>
        </w:rPr>
        <w:t>região</w:t>
      </w:r>
      <w:r w:rsidR="00276DCA" w:rsidRPr="003A1174">
        <w:rPr>
          <w:rFonts w:ascii="Garamond" w:hAnsi="Garamond" w:cs="Arial"/>
          <w:sz w:val="24"/>
          <w:szCs w:val="24"/>
        </w:rPr>
        <w:t xml:space="preserve">, </w:t>
      </w:r>
      <w:r w:rsidR="00A1048A" w:rsidRPr="003A1174">
        <w:rPr>
          <w:rFonts w:ascii="Garamond" w:hAnsi="Garamond" w:cs="Arial"/>
          <w:sz w:val="24"/>
          <w:szCs w:val="24"/>
        </w:rPr>
        <w:t xml:space="preserve">as </w:t>
      </w:r>
      <w:r w:rsidR="00054EE0" w:rsidRPr="003A1174">
        <w:rPr>
          <w:rFonts w:ascii="Garamond" w:hAnsi="Garamond" w:cs="Arial"/>
          <w:sz w:val="24"/>
          <w:szCs w:val="24"/>
        </w:rPr>
        <w:t>mulheres</w:t>
      </w:r>
      <w:r w:rsidR="00A1048A" w:rsidRPr="003A1174">
        <w:rPr>
          <w:rFonts w:ascii="Garamond" w:hAnsi="Garamond" w:cs="Arial"/>
          <w:sz w:val="24"/>
          <w:szCs w:val="24"/>
        </w:rPr>
        <w:t xml:space="preserve"> </w:t>
      </w:r>
      <w:r w:rsidRPr="003A1174">
        <w:rPr>
          <w:rFonts w:ascii="Garamond" w:hAnsi="Garamond" w:cs="Arial"/>
          <w:sz w:val="24"/>
          <w:szCs w:val="24"/>
        </w:rPr>
        <w:t>vítima</w:t>
      </w:r>
      <w:r w:rsidR="00A1048A" w:rsidRPr="003A1174">
        <w:rPr>
          <w:rFonts w:ascii="Garamond" w:hAnsi="Garamond" w:cs="Arial"/>
          <w:sz w:val="24"/>
          <w:szCs w:val="24"/>
        </w:rPr>
        <w:t xml:space="preserve">s de </w:t>
      </w:r>
      <w:r w:rsidR="000350B1" w:rsidRPr="003A1174">
        <w:rPr>
          <w:rFonts w:ascii="Garamond" w:hAnsi="Garamond" w:cs="Arial"/>
          <w:sz w:val="24"/>
          <w:szCs w:val="24"/>
        </w:rPr>
        <w:t>violência</w:t>
      </w:r>
      <w:r w:rsidR="00A1048A" w:rsidRPr="003A1174">
        <w:rPr>
          <w:rFonts w:ascii="Garamond" w:hAnsi="Garamond" w:cs="Arial"/>
          <w:sz w:val="24"/>
          <w:szCs w:val="24"/>
        </w:rPr>
        <w:t xml:space="preserve"> </w:t>
      </w:r>
      <w:r w:rsidR="00276DCA" w:rsidRPr="003A1174">
        <w:rPr>
          <w:rFonts w:ascii="Garamond" w:hAnsi="Garamond" w:cs="Arial"/>
          <w:sz w:val="24"/>
          <w:szCs w:val="24"/>
        </w:rPr>
        <w:t xml:space="preserve">consigam </w:t>
      </w:r>
      <w:r w:rsidR="00886D6A" w:rsidRPr="003A1174">
        <w:rPr>
          <w:rFonts w:ascii="Garamond" w:hAnsi="Garamond" w:cs="Arial"/>
          <w:sz w:val="24"/>
          <w:szCs w:val="24"/>
        </w:rPr>
        <w:t>proteção</w:t>
      </w:r>
      <w:r w:rsidR="00A1048A" w:rsidRPr="003A1174">
        <w:rPr>
          <w:rFonts w:ascii="Garamond" w:hAnsi="Garamond" w:cs="Arial"/>
          <w:sz w:val="24"/>
          <w:szCs w:val="24"/>
        </w:rPr>
        <w:t xml:space="preserve">, </w:t>
      </w:r>
      <w:r w:rsidR="00FC1F7F" w:rsidRPr="003A1174">
        <w:rPr>
          <w:rFonts w:ascii="Garamond" w:hAnsi="Garamond" w:cs="Arial"/>
          <w:sz w:val="24"/>
          <w:szCs w:val="24"/>
        </w:rPr>
        <w:t>justiça</w:t>
      </w:r>
      <w:r w:rsidR="00276DCA" w:rsidRPr="003A1174">
        <w:rPr>
          <w:rFonts w:ascii="Garamond" w:hAnsi="Garamond" w:cs="Arial"/>
          <w:sz w:val="24"/>
          <w:szCs w:val="24"/>
        </w:rPr>
        <w:t xml:space="preserve"> e</w:t>
      </w:r>
      <w:r w:rsidR="00A1048A" w:rsidRPr="003A1174">
        <w:rPr>
          <w:rFonts w:ascii="Garamond" w:hAnsi="Garamond" w:cs="Arial"/>
          <w:sz w:val="24"/>
          <w:szCs w:val="24"/>
        </w:rPr>
        <w:t xml:space="preserve"> </w:t>
      </w:r>
      <w:r w:rsidR="00AE3F78" w:rsidRPr="003A1174">
        <w:rPr>
          <w:rFonts w:ascii="Garamond" w:hAnsi="Garamond" w:cs="Arial"/>
          <w:sz w:val="24"/>
          <w:szCs w:val="24"/>
        </w:rPr>
        <w:t>compensação</w:t>
      </w:r>
      <w:r w:rsidR="00276DCA" w:rsidRPr="003A1174">
        <w:rPr>
          <w:rFonts w:ascii="Garamond" w:hAnsi="Garamond" w:cs="Arial"/>
          <w:sz w:val="24"/>
          <w:szCs w:val="24"/>
        </w:rPr>
        <w:t xml:space="preserve"> efetivas</w:t>
      </w:r>
      <w:r w:rsidR="00A1048A" w:rsidRPr="003A1174">
        <w:rPr>
          <w:rFonts w:ascii="Garamond" w:hAnsi="Garamond" w:cs="Arial"/>
          <w:sz w:val="24"/>
          <w:szCs w:val="24"/>
        </w:rPr>
        <w:t xml:space="preserve">. </w:t>
      </w:r>
    </w:p>
    <w:p w:rsidR="00A1048A" w:rsidRPr="003A1174" w:rsidRDefault="009F0311" w:rsidP="008719D4">
      <w:pPr>
        <w:tabs>
          <w:tab w:val="left" w:pos="3544"/>
        </w:tabs>
        <w:spacing w:line="240" w:lineRule="auto"/>
        <w:jc w:val="both"/>
        <w:rPr>
          <w:rFonts w:ascii="Garamond" w:hAnsi="Garamond" w:cs="Arial"/>
          <w:sz w:val="24"/>
          <w:szCs w:val="24"/>
        </w:rPr>
      </w:pPr>
      <w:r w:rsidRPr="003A1174">
        <w:rPr>
          <w:rFonts w:ascii="Garamond" w:hAnsi="Garamond" w:cs="Arial"/>
          <w:sz w:val="24"/>
          <w:szCs w:val="24"/>
        </w:rPr>
        <w:t>Vale a pena</w:t>
      </w:r>
      <w:r w:rsidR="00D35D55">
        <w:rPr>
          <w:rFonts w:ascii="Garamond" w:hAnsi="Garamond" w:cs="Arial"/>
          <w:sz w:val="24"/>
          <w:szCs w:val="24"/>
        </w:rPr>
        <w:t xml:space="preserve"> sublinhar,</w:t>
      </w:r>
      <w:r w:rsidR="00A1048A" w:rsidRPr="003A1174">
        <w:rPr>
          <w:rFonts w:ascii="Garamond" w:hAnsi="Garamond" w:cs="Arial"/>
          <w:sz w:val="24"/>
          <w:szCs w:val="24"/>
        </w:rPr>
        <w:t xml:space="preserve"> que este </w:t>
      </w:r>
      <w:r w:rsidR="009E3E55" w:rsidRPr="003A1174">
        <w:rPr>
          <w:rFonts w:ascii="Garamond" w:hAnsi="Garamond" w:cs="Arial"/>
          <w:sz w:val="24"/>
          <w:szCs w:val="24"/>
        </w:rPr>
        <w:t>relatório</w:t>
      </w:r>
      <w:r w:rsidR="00A1048A" w:rsidRPr="003A1174">
        <w:rPr>
          <w:rFonts w:ascii="Garamond" w:hAnsi="Garamond" w:cs="Arial"/>
          <w:sz w:val="24"/>
          <w:szCs w:val="24"/>
        </w:rPr>
        <w:t xml:space="preserve"> se bas</w:t>
      </w:r>
      <w:r w:rsidR="003F012B" w:rsidRPr="003A1174">
        <w:rPr>
          <w:rFonts w:ascii="Garamond" w:hAnsi="Garamond" w:cs="Arial"/>
          <w:sz w:val="24"/>
          <w:szCs w:val="24"/>
        </w:rPr>
        <w:t>ei</w:t>
      </w:r>
      <w:r w:rsidR="00A1048A" w:rsidRPr="003A1174">
        <w:rPr>
          <w:rFonts w:ascii="Garamond" w:hAnsi="Garamond" w:cs="Arial"/>
          <w:sz w:val="24"/>
          <w:szCs w:val="24"/>
        </w:rPr>
        <w:t xml:space="preserve">a </w:t>
      </w:r>
      <w:r w:rsidR="003F012B" w:rsidRPr="003A1174">
        <w:rPr>
          <w:rFonts w:ascii="Garamond" w:hAnsi="Garamond" w:cs="Arial"/>
          <w:sz w:val="24"/>
          <w:szCs w:val="24"/>
        </w:rPr>
        <w:t>n</w:t>
      </w:r>
      <w:r w:rsidR="00A1048A" w:rsidRPr="003A1174">
        <w:rPr>
          <w:rFonts w:ascii="Garamond" w:hAnsi="Garamond" w:cs="Arial"/>
          <w:sz w:val="24"/>
          <w:szCs w:val="24"/>
        </w:rPr>
        <w:t xml:space="preserve">os </w:t>
      </w:r>
      <w:r w:rsidR="003F012B" w:rsidRPr="003A1174">
        <w:rPr>
          <w:rFonts w:ascii="Garamond" w:hAnsi="Garamond" w:cs="Arial"/>
          <w:sz w:val="24"/>
          <w:szCs w:val="24"/>
        </w:rPr>
        <w:t>diversos</w:t>
      </w:r>
      <w:r w:rsidR="00835CD1" w:rsidRPr="003A1174">
        <w:rPr>
          <w:rFonts w:ascii="Garamond" w:hAnsi="Garamond" w:cs="Arial"/>
          <w:sz w:val="24"/>
          <w:szCs w:val="24"/>
        </w:rPr>
        <w:t xml:space="preserve"> elementos </w:t>
      </w:r>
      <w:r w:rsidR="003F012B" w:rsidRPr="003A1174">
        <w:rPr>
          <w:rFonts w:ascii="Garamond" w:hAnsi="Garamond" w:cs="Arial"/>
          <w:sz w:val="24"/>
          <w:szCs w:val="24"/>
        </w:rPr>
        <w:t xml:space="preserve">temáticos que </w:t>
      </w:r>
      <w:r w:rsidR="00A1048A" w:rsidRPr="003A1174">
        <w:rPr>
          <w:rFonts w:ascii="Garamond" w:hAnsi="Garamond" w:cs="Arial"/>
          <w:sz w:val="24"/>
          <w:szCs w:val="24"/>
        </w:rPr>
        <w:t xml:space="preserve">os </w:t>
      </w:r>
      <w:r w:rsidR="00C30647" w:rsidRPr="003A1174">
        <w:rPr>
          <w:rFonts w:ascii="Garamond" w:hAnsi="Garamond" w:cs="Arial"/>
          <w:sz w:val="24"/>
          <w:szCs w:val="24"/>
        </w:rPr>
        <w:t>próprio</w:t>
      </w:r>
      <w:r w:rsidR="00A1048A" w:rsidRPr="003A1174">
        <w:rPr>
          <w:rFonts w:ascii="Garamond" w:hAnsi="Garamond" w:cs="Arial"/>
          <w:sz w:val="24"/>
          <w:szCs w:val="24"/>
        </w:rPr>
        <w:t xml:space="preserve">s </w:t>
      </w:r>
      <w:r w:rsidR="00C30647" w:rsidRPr="003A1174">
        <w:rPr>
          <w:rFonts w:ascii="Garamond" w:hAnsi="Garamond" w:cs="Arial"/>
          <w:sz w:val="24"/>
          <w:szCs w:val="24"/>
        </w:rPr>
        <w:t>membro</w:t>
      </w:r>
      <w:r w:rsidR="003F012B" w:rsidRPr="003A1174">
        <w:rPr>
          <w:rFonts w:ascii="Garamond" w:hAnsi="Garamond" w:cs="Arial"/>
          <w:sz w:val="24"/>
          <w:szCs w:val="24"/>
        </w:rPr>
        <w:t xml:space="preserve">s </w:t>
      </w:r>
      <w:r w:rsidR="00276DCA" w:rsidRPr="003A1174">
        <w:rPr>
          <w:rFonts w:ascii="Garamond" w:hAnsi="Garamond" w:cs="Arial"/>
          <w:sz w:val="24"/>
          <w:szCs w:val="24"/>
        </w:rPr>
        <w:t>da Rede</w:t>
      </w:r>
      <w:r w:rsidR="00A1048A" w:rsidRPr="003A1174">
        <w:rPr>
          <w:rFonts w:ascii="Garamond" w:hAnsi="Garamond" w:cs="Arial"/>
          <w:sz w:val="24"/>
          <w:szCs w:val="24"/>
        </w:rPr>
        <w:t xml:space="preserve"> </w:t>
      </w:r>
      <w:r w:rsidR="00276DCA" w:rsidRPr="003A1174">
        <w:rPr>
          <w:rFonts w:ascii="Garamond" w:hAnsi="Garamond" w:cs="Arial"/>
          <w:sz w:val="24"/>
          <w:szCs w:val="24"/>
        </w:rPr>
        <w:t xml:space="preserve">criaram, e </w:t>
      </w:r>
      <w:r w:rsidR="00A1048A" w:rsidRPr="003A1174">
        <w:rPr>
          <w:rFonts w:ascii="Garamond" w:hAnsi="Garamond" w:cs="Arial"/>
          <w:sz w:val="24"/>
          <w:szCs w:val="24"/>
        </w:rPr>
        <w:t>que cont</w:t>
      </w:r>
      <w:r w:rsidR="00276DCA" w:rsidRPr="003A1174">
        <w:rPr>
          <w:rFonts w:ascii="Garamond" w:hAnsi="Garamond" w:cs="Arial"/>
          <w:sz w:val="24"/>
          <w:szCs w:val="24"/>
        </w:rPr>
        <w:t xml:space="preserve">ou com uma </w:t>
      </w:r>
      <w:r w:rsidR="00C30647" w:rsidRPr="003A1174">
        <w:rPr>
          <w:rFonts w:ascii="Garamond" w:hAnsi="Garamond" w:cs="Arial"/>
          <w:sz w:val="24"/>
          <w:szCs w:val="24"/>
        </w:rPr>
        <w:t>equipa</w:t>
      </w:r>
      <w:r w:rsidR="00A1048A" w:rsidRPr="003A1174">
        <w:rPr>
          <w:rFonts w:ascii="Garamond" w:hAnsi="Garamond" w:cs="Arial"/>
          <w:sz w:val="24"/>
          <w:szCs w:val="24"/>
        </w:rPr>
        <w:t xml:space="preserve"> de </w:t>
      </w:r>
      <w:r w:rsidR="00C30647" w:rsidRPr="003A1174">
        <w:rPr>
          <w:rFonts w:ascii="Garamond" w:hAnsi="Garamond" w:cs="Arial"/>
          <w:sz w:val="24"/>
          <w:szCs w:val="24"/>
        </w:rPr>
        <w:t>redação</w:t>
      </w:r>
      <w:r w:rsidR="00A1048A" w:rsidRPr="003A1174">
        <w:rPr>
          <w:rFonts w:ascii="Garamond" w:hAnsi="Garamond" w:cs="Arial"/>
          <w:sz w:val="24"/>
          <w:szCs w:val="24"/>
        </w:rPr>
        <w:t xml:space="preserve"> </w:t>
      </w:r>
      <w:r w:rsidR="00BA3CCE" w:rsidRPr="003A1174">
        <w:rPr>
          <w:rFonts w:ascii="Garamond" w:hAnsi="Garamond" w:cs="Arial"/>
          <w:sz w:val="24"/>
          <w:szCs w:val="24"/>
        </w:rPr>
        <w:t>constituída</w:t>
      </w:r>
      <w:r w:rsidR="00276DCA" w:rsidRPr="003A1174">
        <w:rPr>
          <w:rFonts w:ascii="Garamond" w:hAnsi="Garamond" w:cs="Arial"/>
          <w:sz w:val="24"/>
          <w:szCs w:val="24"/>
        </w:rPr>
        <w:t xml:space="preserve"> por </w:t>
      </w:r>
      <w:r w:rsidR="00A1048A" w:rsidRPr="003A1174">
        <w:rPr>
          <w:rFonts w:ascii="Garamond" w:hAnsi="Garamond" w:cs="Arial"/>
          <w:sz w:val="24"/>
          <w:szCs w:val="24"/>
        </w:rPr>
        <w:t xml:space="preserve">Carolina Garcés Peralta da </w:t>
      </w:r>
      <w:r w:rsidR="00C04CA4" w:rsidRPr="003A1174">
        <w:rPr>
          <w:rFonts w:ascii="Garamond" w:hAnsi="Garamond" w:cs="Arial"/>
          <w:sz w:val="24"/>
          <w:szCs w:val="24"/>
        </w:rPr>
        <w:t>Provedoria de Justiça</w:t>
      </w:r>
      <w:r w:rsidR="00A1048A" w:rsidRPr="003A1174">
        <w:rPr>
          <w:rFonts w:ascii="Garamond" w:hAnsi="Garamond" w:cs="Arial"/>
          <w:sz w:val="24"/>
          <w:szCs w:val="24"/>
        </w:rPr>
        <w:t xml:space="preserve"> d</w:t>
      </w:r>
      <w:r w:rsidR="00276DCA" w:rsidRPr="003A1174">
        <w:rPr>
          <w:rFonts w:ascii="Garamond" w:hAnsi="Garamond" w:cs="Arial"/>
          <w:sz w:val="24"/>
          <w:szCs w:val="24"/>
        </w:rPr>
        <w:t>o</w:t>
      </w:r>
      <w:r w:rsidR="00A1048A" w:rsidRPr="003A1174">
        <w:rPr>
          <w:rFonts w:ascii="Garamond" w:hAnsi="Garamond" w:cs="Arial"/>
          <w:sz w:val="24"/>
          <w:szCs w:val="24"/>
        </w:rPr>
        <w:t xml:space="preserve"> </w:t>
      </w:r>
      <w:r w:rsidR="00C30647" w:rsidRPr="003A1174">
        <w:rPr>
          <w:rFonts w:ascii="Garamond" w:hAnsi="Garamond" w:cs="Arial"/>
          <w:sz w:val="24"/>
          <w:szCs w:val="24"/>
        </w:rPr>
        <w:t>Peru</w:t>
      </w:r>
      <w:r w:rsidR="00276DCA" w:rsidRPr="003A1174">
        <w:rPr>
          <w:rFonts w:ascii="Garamond" w:hAnsi="Garamond" w:cs="Arial"/>
          <w:sz w:val="24"/>
          <w:szCs w:val="24"/>
        </w:rPr>
        <w:t xml:space="preserve"> e</w:t>
      </w:r>
      <w:r w:rsidR="00A1048A" w:rsidRPr="003A1174">
        <w:rPr>
          <w:rFonts w:ascii="Garamond" w:hAnsi="Garamond" w:cs="Arial"/>
          <w:sz w:val="24"/>
          <w:szCs w:val="24"/>
        </w:rPr>
        <w:t xml:space="preserve"> Gabriela Adriana Moffson da </w:t>
      </w:r>
      <w:r w:rsidR="00C04CA4" w:rsidRPr="003A1174">
        <w:rPr>
          <w:rFonts w:ascii="Garamond" w:hAnsi="Garamond" w:cs="Arial"/>
          <w:sz w:val="24"/>
          <w:szCs w:val="24"/>
        </w:rPr>
        <w:t>Provedoria de Justiça</w:t>
      </w:r>
      <w:r w:rsidR="00A1048A" w:rsidRPr="003A1174">
        <w:rPr>
          <w:rFonts w:ascii="Garamond" w:hAnsi="Garamond" w:cs="Arial"/>
          <w:sz w:val="24"/>
          <w:szCs w:val="24"/>
        </w:rPr>
        <w:t xml:space="preserve"> d</w:t>
      </w:r>
      <w:r w:rsidR="00276DCA" w:rsidRPr="003A1174">
        <w:rPr>
          <w:rFonts w:ascii="Garamond" w:hAnsi="Garamond" w:cs="Arial"/>
          <w:sz w:val="24"/>
          <w:szCs w:val="24"/>
        </w:rPr>
        <w:t>a Ci</w:t>
      </w:r>
      <w:r w:rsidR="00A1048A" w:rsidRPr="003A1174">
        <w:rPr>
          <w:rFonts w:ascii="Garamond" w:hAnsi="Garamond" w:cs="Arial"/>
          <w:sz w:val="24"/>
          <w:szCs w:val="24"/>
        </w:rPr>
        <w:t>dad</w:t>
      </w:r>
      <w:r w:rsidR="00276DCA" w:rsidRPr="003A1174">
        <w:rPr>
          <w:rFonts w:ascii="Garamond" w:hAnsi="Garamond" w:cs="Arial"/>
          <w:sz w:val="24"/>
          <w:szCs w:val="24"/>
        </w:rPr>
        <w:t>e</w:t>
      </w:r>
      <w:r w:rsidR="00A1048A" w:rsidRPr="003A1174">
        <w:rPr>
          <w:rFonts w:ascii="Garamond" w:hAnsi="Garamond" w:cs="Arial"/>
          <w:sz w:val="24"/>
          <w:szCs w:val="24"/>
        </w:rPr>
        <w:t xml:space="preserve"> Autónoma de Buenos Aires; as</w:t>
      </w:r>
      <w:r w:rsidR="00276DCA" w:rsidRPr="003A1174">
        <w:rPr>
          <w:rFonts w:ascii="Garamond" w:hAnsi="Garamond" w:cs="Arial"/>
          <w:sz w:val="24"/>
          <w:szCs w:val="24"/>
        </w:rPr>
        <w:t xml:space="preserve">sim </w:t>
      </w:r>
      <w:r w:rsidR="00A1048A" w:rsidRPr="003A1174">
        <w:rPr>
          <w:rFonts w:ascii="Garamond" w:hAnsi="Garamond" w:cs="Arial"/>
          <w:sz w:val="24"/>
          <w:szCs w:val="24"/>
        </w:rPr>
        <w:t>como, co</w:t>
      </w:r>
      <w:r w:rsidR="00276DCA" w:rsidRPr="003A1174">
        <w:rPr>
          <w:rFonts w:ascii="Garamond" w:hAnsi="Garamond" w:cs="Arial"/>
          <w:sz w:val="24"/>
          <w:szCs w:val="24"/>
        </w:rPr>
        <w:t xml:space="preserve">m </w:t>
      </w:r>
      <w:r w:rsidR="00A1048A" w:rsidRPr="003A1174">
        <w:rPr>
          <w:rFonts w:ascii="Garamond" w:hAnsi="Garamond" w:cs="Arial"/>
          <w:sz w:val="24"/>
          <w:szCs w:val="24"/>
        </w:rPr>
        <w:t xml:space="preserve">a </w:t>
      </w:r>
      <w:r w:rsidR="00CA633E" w:rsidRPr="003A1174">
        <w:rPr>
          <w:rFonts w:ascii="Garamond" w:hAnsi="Garamond" w:cs="Arial"/>
          <w:sz w:val="24"/>
          <w:szCs w:val="24"/>
        </w:rPr>
        <w:t>preciosa colaboração</w:t>
      </w:r>
      <w:r w:rsidR="00C14798">
        <w:rPr>
          <w:rFonts w:ascii="Garamond" w:hAnsi="Garamond" w:cs="Arial"/>
          <w:sz w:val="24"/>
          <w:szCs w:val="24"/>
        </w:rPr>
        <w:t>,</w:t>
      </w:r>
      <w:r w:rsidR="00A1048A" w:rsidRPr="003A1174">
        <w:rPr>
          <w:rFonts w:ascii="Garamond" w:hAnsi="Garamond" w:cs="Arial"/>
          <w:sz w:val="24"/>
          <w:szCs w:val="24"/>
        </w:rPr>
        <w:t xml:space="preserve"> </w:t>
      </w:r>
      <w:r w:rsidR="00CA633E" w:rsidRPr="003A1174">
        <w:rPr>
          <w:rFonts w:ascii="Garamond" w:hAnsi="Garamond" w:cs="Arial"/>
          <w:sz w:val="24"/>
          <w:szCs w:val="24"/>
        </w:rPr>
        <w:t>n</w:t>
      </w:r>
      <w:r w:rsidR="00A1048A" w:rsidRPr="003A1174">
        <w:rPr>
          <w:rFonts w:ascii="Garamond" w:hAnsi="Garamond" w:cs="Arial"/>
          <w:sz w:val="24"/>
          <w:szCs w:val="24"/>
        </w:rPr>
        <w:t xml:space="preserve">a </w:t>
      </w:r>
      <w:r w:rsidR="00800D59" w:rsidRPr="003A1174">
        <w:rPr>
          <w:rFonts w:ascii="Garamond" w:hAnsi="Garamond" w:cs="Arial"/>
          <w:sz w:val="24"/>
          <w:szCs w:val="24"/>
        </w:rPr>
        <w:t>sistematização</w:t>
      </w:r>
      <w:r w:rsidR="00A1048A" w:rsidRPr="003A1174">
        <w:rPr>
          <w:rFonts w:ascii="Garamond" w:hAnsi="Garamond" w:cs="Arial"/>
          <w:sz w:val="24"/>
          <w:szCs w:val="24"/>
        </w:rPr>
        <w:t xml:space="preserve"> da </w:t>
      </w:r>
      <w:r w:rsidR="0017447A" w:rsidRPr="003A1174">
        <w:rPr>
          <w:rFonts w:ascii="Garamond" w:hAnsi="Garamond" w:cs="Arial"/>
          <w:sz w:val="24"/>
          <w:szCs w:val="24"/>
        </w:rPr>
        <w:t>informação</w:t>
      </w:r>
      <w:r w:rsidR="00C14798">
        <w:rPr>
          <w:rFonts w:ascii="Garamond" w:hAnsi="Garamond" w:cs="Arial"/>
          <w:sz w:val="24"/>
          <w:szCs w:val="24"/>
        </w:rPr>
        <w:t>,</w:t>
      </w:r>
      <w:r w:rsidR="00A1048A" w:rsidRPr="003A1174">
        <w:rPr>
          <w:rFonts w:ascii="Garamond" w:hAnsi="Garamond" w:cs="Arial"/>
          <w:sz w:val="24"/>
          <w:szCs w:val="24"/>
        </w:rPr>
        <w:t xml:space="preserve"> d</w:t>
      </w:r>
      <w:r w:rsidR="00CA633E" w:rsidRPr="003A1174">
        <w:rPr>
          <w:rFonts w:ascii="Garamond" w:hAnsi="Garamond" w:cs="Arial"/>
          <w:sz w:val="24"/>
          <w:szCs w:val="24"/>
        </w:rPr>
        <w:t>o</w:t>
      </w:r>
      <w:r w:rsidR="00A1048A" w:rsidRPr="003A1174">
        <w:rPr>
          <w:rFonts w:ascii="Garamond" w:hAnsi="Garamond" w:cs="Arial"/>
          <w:sz w:val="24"/>
          <w:szCs w:val="24"/>
        </w:rPr>
        <w:t xml:space="preserve"> Dr. José Hugo Rodríguez Brignardello. </w:t>
      </w:r>
    </w:p>
    <w:p w:rsidR="00A1048A" w:rsidRPr="003A1174" w:rsidRDefault="003F012B" w:rsidP="008719D4">
      <w:pPr>
        <w:tabs>
          <w:tab w:val="left" w:pos="708"/>
        </w:tabs>
        <w:spacing w:line="240" w:lineRule="auto"/>
        <w:jc w:val="both"/>
        <w:rPr>
          <w:rFonts w:ascii="Garamond" w:hAnsi="Garamond" w:cs="Arial"/>
          <w:sz w:val="24"/>
          <w:szCs w:val="24"/>
          <w:shd w:val="clear" w:color="auto" w:fill="FFFFFF"/>
        </w:rPr>
      </w:pPr>
      <w:r w:rsidRPr="003A1174">
        <w:rPr>
          <w:rFonts w:ascii="Garamond" w:hAnsi="Garamond" w:cs="Arial"/>
          <w:sz w:val="24"/>
          <w:szCs w:val="24"/>
        </w:rPr>
        <w:t xml:space="preserve">Finalmente, agradecemos </w:t>
      </w:r>
      <w:r w:rsidR="00A1048A" w:rsidRPr="003A1174">
        <w:rPr>
          <w:rFonts w:ascii="Garamond" w:hAnsi="Garamond" w:cs="Arial"/>
          <w:sz w:val="24"/>
          <w:szCs w:val="24"/>
        </w:rPr>
        <w:t xml:space="preserve">a </w:t>
      </w:r>
      <w:r w:rsidR="00C30647" w:rsidRPr="003A1174">
        <w:rPr>
          <w:rFonts w:ascii="Garamond" w:hAnsi="Garamond" w:cs="Arial"/>
          <w:sz w:val="24"/>
          <w:szCs w:val="24"/>
        </w:rPr>
        <w:t>assessoria</w:t>
      </w:r>
      <w:r w:rsidRPr="003A1174">
        <w:rPr>
          <w:rFonts w:ascii="Garamond" w:hAnsi="Garamond" w:cs="Arial"/>
          <w:sz w:val="24"/>
          <w:szCs w:val="24"/>
        </w:rPr>
        <w:t xml:space="preserve"> técnica e</w:t>
      </w:r>
      <w:r w:rsidR="00A1048A" w:rsidRPr="003A1174">
        <w:rPr>
          <w:rFonts w:ascii="Garamond" w:hAnsi="Garamond" w:cs="Arial"/>
          <w:sz w:val="24"/>
          <w:szCs w:val="24"/>
        </w:rPr>
        <w:t xml:space="preserve"> </w:t>
      </w:r>
      <w:r w:rsidRPr="003A1174">
        <w:rPr>
          <w:rFonts w:ascii="Garamond" w:hAnsi="Garamond" w:cs="Arial"/>
          <w:sz w:val="24"/>
          <w:szCs w:val="24"/>
        </w:rPr>
        <w:t>acompanhamento d</w:t>
      </w:r>
      <w:r w:rsidR="00A1048A" w:rsidRPr="003A1174">
        <w:rPr>
          <w:rFonts w:ascii="Garamond" w:hAnsi="Garamond" w:cs="Arial"/>
          <w:sz w:val="24"/>
          <w:szCs w:val="24"/>
        </w:rPr>
        <w:t xml:space="preserve">a </w:t>
      </w:r>
      <w:r w:rsidR="00C30647" w:rsidRPr="003A1174">
        <w:rPr>
          <w:rFonts w:ascii="Garamond" w:hAnsi="Garamond" w:cs="Arial"/>
          <w:sz w:val="24"/>
          <w:szCs w:val="24"/>
        </w:rPr>
        <w:t>Cooperação</w:t>
      </w:r>
      <w:r w:rsidR="00A1048A" w:rsidRPr="003A1174">
        <w:rPr>
          <w:rFonts w:ascii="Garamond" w:hAnsi="Garamond" w:cs="Arial"/>
          <w:sz w:val="24"/>
          <w:szCs w:val="24"/>
        </w:rPr>
        <w:t xml:space="preserve"> </w:t>
      </w:r>
      <w:r w:rsidR="00C30647" w:rsidRPr="003A1174">
        <w:rPr>
          <w:rFonts w:ascii="Garamond" w:hAnsi="Garamond" w:cs="Arial"/>
          <w:sz w:val="24"/>
          <w:szCs w:val="24"/>
        </w:rPr>
        <w:t>Alemã</w:t>
      </w:r>
      <w:r w:rsidRPr="003A1174">
        <w:rPr>
          <w:rFonts w:ascii="Garamond" w:hAnsi="Garamond" w:cs="Arial"/>
          <w:sz w:val="24"/>
          <w:szCs w:val="24"/>
        </w:rPr>
        <w:t xml:space="preserve">, </w:t>
      </w:r>
      <w:proofErr w:type="gramStart"/>
      <w:r w:rsidRPr="003A1174">
        <w:rPr>
          <w:rFonts w:ascii="Garamond" w:hAnsi="Garamond" w:cs="Arial"/>
          <w:sz w:val="24"/>
          <w:szCs w:val="24"/>
        </w:rPr>
        <w:t>implementada</w:t>
      </w:r>
      <w:proofErr w:type="gramEnd"/>
      <w:r w:rsidRPr="003A1174">
        <w:rPr>
          <w:rFonts w:ascii="Garamond" w:hAnsi="Garamond" w:cs="Arial"/>
          <w:sz w:val="24"/>
          <w:szCs w:val="24"/>
        </w:rPr>
        <w:t xml:space="preserve"> por GIZ, a</w:t>
      </w:r>
      <w:r w:rsidR="00A1048A" w:rsidRPr="003A1174">
        <w:rPr>
          <w:rFonts w:ascii="Garamond" w:hAnsi="Garamond" w:cs="Arial"/>
          <w:sz w:val="24"/>
          <w:szCs w:val="24"/>
        </w:rPr>
        <w:t>través d</w:t>
      </w:r>
      <w:r w:rsidRPr="003A1174">
        <w:rPr>
          <w:rFonts w:ascii="Garamond" w:hAnsi="Garamond" w:cs="Arial"/>
          <w:sz w:val="24"/>
          <w:szCs w:val="24"/>
        </w:rPr>
        <w:t>o</w:t>
      </w:r>
      <w:r w:rsidR="00A1048A" w:rsidRPr="003A1174">
        <w:rPr>
          <w:rFonts w:ascii="Garamond" w:hAnsi="Garamond" w:cs="Arial"/>
          <w:sz w:val="24"/>
          <w:szCs w:val="24"/>
        </w:rPr>
        <w:t xml:space="preserve"> </w:t>
      </w:r>
      <w:r w:rsidR="00C30647" w:rsidRPr="003A1174">
        <w:rPr>
          <w:rFonts w:ascii="Garamond" w:hAnsi="Garamond" w:cs="Arial"/>
          <w:sz w:val="24"/>
          <w:szCs w:val="24"/>
        </w:rPr>
        <w:t>Projeto</w:t>
      </w:r>
      <w:r w:rsidRPr="003A1174">
        <w:rPr>
          <w:rFonts w:ascii="Garamond" w:hAnsi="Garamond" w:cs="Arial"/>
          <w:sz w:val="24"/>
          <w:szCs w:val="24"/>
        </w:rPr>
        <w:t xml:space="preserve"> de </w:t>
      </w:r>
      <w:r w:rsidR="00DC5DA7" w:rsidRPr="003A1174">
        <w:rPr>
          <w:rFonts w:ascii="Garamond" w:hAnsi="Garamond" w:cs="Arial"/>
          <w:sz w:val="24"/>
          <w:szCs w:val="24"/>
        </w:rPr>
        <w:t>Fortalecimento</w:t>
      </w:r>
      <w:r w:rsidRPr="003A1174">
        <w:rPr>
          <w:rFonts w:ascii="Garamond" w:hAnsi="Garamond" w:cs="Arial"/>
          <w:sz w:val="24"/>
          <w:szCs w:val="24"/>
        </w:rPr>
        <w:t xml:space="preserve"> d</w:t>
      </w:r>
      <w:r w:rsidR="00A1048A" w:rsidRPr="003A1174">
        <w:rPr>
          <w:rFonts w:ascii="Garamond" w:hAnsi="Garamond" w:cs="Arial"/>
          <w:sz w:val="24"/>
          <w:szCs w:val="24"/>
        </w:rPr>
        <w:t xml:space="preserve">a </w:t>
      </w:r>
      <w:r w:rsidR="00C30647" w:rsidRPr="003A1174">
        <w:rPr>
          <w:rFonts w:ascii="Garamond" w:hAnsi="Garamond" w:cs="Arial"/>
          <w:sz w:val="24"/>
          <w:szCs w:val="24"/>
        </w:rPr>
        <w:t>Federação</w:t>
      </w:r>
      <w:r w:rsidR="00A1048A" w:rsidRPr="003A1174">
        <w:rPr>
          <w:rFonts w:ascii="Garamond" w:hAnsi="Garamond" w:cs="Arial"/>
          <w:sz w:val="24"/>
          <w:szCs w:val="24"/>
        </w:rPr>
        <w:t xml:space="preserve"> </w:t>
      </w:r>
      <w:r w:rsidRPr="003A1174">
        <w:rPr>
          <w:rFonts w:ascii="Garamond" w:hAnsi="Garamond" w:cs="Arial"/>
          <w:sz w:val="24"/>
          <w:szCs w:val="24"/>
        </w:rPr>
        <w:t>Iberoamericana de</w:t>
      </w:r>
      <w:r w:rsidR="00A1048A" w:rsidRPr="003A1174">
        <w:rPr>
          <w:rFonts w:ascii="Garamond" w:hAnsi="Garamond" w:cs="Arial"/>
          <w:sz w:val="24"/>
          <w:szCs w:val="24"/>
        </w:rPr>
        <w:t xml:space="preserve"> Ombudsman (PROFIO) por contribuir </w:t>
      </w:r>
      <w:r w:rsidR="00CA633E" w:rsidRPr="003A1174">
        <w:rPr>
          <w:rFonts w:ascii="Garamond" w:hAnsi="Garamond" w:cs="Arial"/>
          <w:sz w:val="24"/>
          <w:szCs w:val="24"/>
        </w:rPr>
        <w:t>para a</w:t>
      </w:r>
      <w:r w:rsidR="00A1048A" w:rsidRPr="003A1174">
        <w:rPr>
          <w:rFonts w:ascii="Garamond" w:hAnsi="Garamond" w:cs="Arial"/>
          <w:sz w:val="24"/>
          <w:szCs w:val="24"/>
        </w:rPr>
        <w:t xml:space="preserve"> </w:t>
      </w:r>
      <w:r w:rsidR="00C30647" w:rsidRPr="003A1174">
        <w:rPr>
          <w:rFonts w:ascii="Garamond" w:hAnsi="Garamond" w:cs="Arial"/>
          <w:sz w:val="24"/>
          <w:szCs w:val="24"/>
        </w:rPr>
        <w:t>realização</w:t>
      </w:r>
      <w:r w:rsidR="00A1048A" w:rsidRPr="003A1174">
        <w:rPr>
          <w:rFonts w:ascii="Garamond" w:hAnsi="Garamond" w:cs="Arial"/>
          <w:sz w:val="24"/>
          <w:szCs w:val="24"/>
        </w:rPr>
        <w:t xml:space="preserve"> desta </w:t>
      </w:r>
      <w:r w:rsidR="00886D6A" w:rsidRPr="003A1174">
        <w:rPr>
          <w:rFonts w:ascii="Garamond" w:hAnsi="Garamond" w:cs="Arial"/>
          <w:sz w:val="24"/>
          <w:szCs w:val="24"/>
        </w:rPr>
        <w:t>investigação</w:t>
      </w:r>
      <w:r w:rsidR="00A1048A" w:rsidRPr="003A1174">
        <w:rPr>
          <w:rFonts w:ascii="Garamond" w:hAnsi="Garamond" w:cs="Arial"/>
          <w:sz w:val="24"/>
          <w:szCs w:val="24"/>
        </w:rPr>
        <w:t>.</w:t>
      </w:r>
    </w:p>
    <w:p w:rsidR="00A1048A" w:rsidRPr="003A1174" w:rsidRDefault="00A1048A" w:rsidP="008719D4">
      <w:pPr>
        <w:tabs>
          <w:tab w:val="left" w:pos="708"/>
        </w:tabs>
        <w:spacing w:line="240" w:lineRule="auto"/>
        <w:jc w:val="both"/>
        <w:rPr>
          <w:rFonts w:ascii="Garamond" w:hAnsi="Garamond" w:cs="Arial"/>
          <w:sz w:val="24"/>
          <w:szCs w:val="24"/>
          <w:shd w:val="clear" w:color="auto" w:fill="FFFFFF"/>
        </w:rPr>
      </w:pPr>
    </w:p>
    <w:p w:rsidR="00A1048A" w:rsidRPr="003A1174" w:rsidRDefault="00A1048A" w:rsidP="008719D4">
      <w:pPr>
        <w:tabs>
          <w:tab w:val="left" w:pos="708"/>
        </w:tabs>
        <w:spacing w:line="240" w:lineRule="auto"/>
        <w:jc w:val="both"/>
        <w:rPr>
          <w:rFonts w:ascii="Garamond" w:hAnsi="Garamond" w:cs="Arial"/>
          <w:sz w:val="24"/>
          <w:szCs w:val="24"/>
          <w:shd w:val="clear" w:color="auto" w:fill="FFFFFF"/>
        </w:rPr>
      </w:pPr>
    </w:p>
    <w:p w:rsidR="00A1048A" w:rsidRPr="003A1174" w:rsidRDefault="00A1048A" w:rsidP="008719D4">
      <w:pPr>
        <w:tabs>
          <w:tab w:val="left" w:pos="708"/>
        </w:tabs>
        <w:spacing w:line="240" w:lineRule="auto"/>
        <w:jc w:val="both"/>
        <w:rPr>
          <w:rFonts w:ascii="Garamond" w:hAnsi="Garamond" w:cs="Arial"/>
          <w:sz w:val="24"/>
          <w:szCs w:val="24"/>
          <w:shd w:val="clear" w:color="auto" w:fill="FFFFFF"/>
        </w:rPr>
      </w:pPr>
    </w:p>
    <w:p w:rsidR="00A1048A" w:rsidRPr="003A1174" w:rsidRDefault="00A1048A" w:rsidP="008719D4">
      <w:pPr>
        <w:tabs>
          <w:tab w:val="left" w:pos="708"/>
        </w:tabs>
        <w:spacing w:line="240" w:lineRule="auto"/>
        <w:jc w:val="both"/>
        <w:rPr>
          <w:rFonts w:ascii="Garamond" w:hAnsi="Garamond" w:cs="Arial"/>
          <w:sz w:val="24"/>
          <w:szCs w:val="24"/>
          <w:shd w:val="clear" w:color="auto" w:fill="FFFFFF"/>
        </w:rPr>
      </w:pPr>
    </w:p>
    <w:p w:rsidR="00A1048A" w:rsidRPr="003A1174" w:rsidRDefault="00A1048A" w:rsidP="008719D4">
      <w:pPr>
        <w:tabs>
          <w:tab w:val="left" w:pos="708"/>
        </w:tabs>
        <w:spacing w:after="0" w:line="240" w:lineRule="auto"/>
        <w:jc w:val="right"/>
        <w:rPr>
          <w:rFonts w:ascii="Garamond" w:hAnsi="Garamond" w:cs="Calibri"/>
          <w:sz w:val="24"/>
          <w:szCs w:val="24"/>
        </w:rPr>
      </w:pPr>
      <w:r w:rsidRPr="003A1174">
        <w:rPr>
          <w:rFonts w:ascii="Garamond" w:eastAsia="Arial" w:hAnsi="Garamond" w:cs="Arial"/>
          <w:sz w:val="24"/>
          <w:szCs w:val="24"/>
          <w:shd w:val="clear" w:color="auto" w:fill="FFFFFF"/>
        </w:rPr>
        <w:t xml:space="preserve">                                              </w:t>
      </w:r>
      <w:r w:rsidR="00C30647" w:rsidRPr="003A1174">
        <w:rPr>
          <w:rFonts w:ascii="Garamond" w:hAnsi="Garamond" w:cs="Arial"/>
          <w:sz w:val="24"/>
          <w:szCs w:val="24"/>
          <w:shd w:val="clear" w:color="auto" w:fill="FFFFFF"/>
        </w:rPr>
        <w:t>Equipa</w:t>
      </w:r>
      <w:r w:rsidR="003F012B" w:rsidRPr="003A1174">
        <w:rPr>
          <w:rFonts w:ascii="Garamond" w:hAnsi="Garamond" w:cs="Arial"/>
          <w:sz w:val="24"/>
          <w:szCs w:val="24"/>
          <w:shd w:val="clear" w:color="auto" w:fill="FFFFFF"/>
        </w:rPr>
        <w:t xml:space="preserve"> d</w:t>
      </w:r>
      <w:r w:rsidRPr="003A1174">
        <w:rPr>
          <w:rFonts w:ascii="Garamond" w:hAnsi="Garamond" w:cs="Arial"/>
          <w:sz w:val="24"/>
          <w:szCs w:val="24"/>
          <w:shd w:val="clear" w:color="auto" w:fill="FFFFFF"/>
        </w:rPr>
        <w:t xml:space="preserve">a </w:t>
      </w:r>
      <w:r w:rsidR="002C7510" w:rsidRPr="003A1174">
        <w:rPr>
          <w:rFonts w:ascii="Garamond" w:hAnsi="Garamond" w:cs="Arial"/>
          <w:sz w:val="24"/>
          <w:szCs w:val="24"/>
          <w:shd w:val="clear" w:color="auto" w:fill="FFFFFF"/>
        </w:rPr>
        <w:t>Rede</w:t>
      </w:r>
      <w:r w:rsidRPr="003A1174">
        <w:rPr>
          <w:rFonts w:ascii="Garamond" w:hAnsi="Garamond" w:cs="Arial"/>
          <w:sz w:val="24"/>
          <w:szCs w:val="24"/>
          <w:shd w:val="clear" w:color="auto" w:fill="FFFFFF"/>
        </w:rPr>
        <w:t xml:space="preserve"> de </w:t>
      </w:r>
      <w:r w:rsidR="00DC5DA7" w:rsidRPr="003A1174">
        <w:rPr>
          <w:rFonts w:ascii="Garamond" w:hAnsi="Garamond" w:cs="Arial"/>
          <w:sz w:val="24"/>
          <w:szCs w:val="24"/>
          <w:shd w:val="clear" w:color="auto" w:fill="FFFFFF"/>
        </w:rPr>
        <w:t>Provedorias</w:t>
      </w:r>
      <w:r w:rsidRPr="003A1174">
        <w:rPr>
          <w:rFonts w:ascii="Garamond" w:hAnsi="Garamond" w:cs="Arial"/>
          <w:sz w:val="24"/>
          <w:szCs w:val="24"/>
          <w:shd w:val="clear" w:color="auto" w:fill="FFFFFF"/>
        </w:rPr>
        <w:t xml:space="preserve"> </w:t>
      </w:r>
      <w:r w:rsidR="003F012B" w:rsidRPr="003A1174">
        <w:rPr>
          <w:rFonts w:ascii="Garamond" w:hAnsi="Garamond" w:cs="Arial"/>
          <w:sz w:val="24"/>
          <w:szCs w:val="24"/>
          <w:shd w:val="clear" w:color="auto" w:fill="FFFFFF"/>
        </w:rPr>
        <w:t>de Mulheres d</w:t>
      </w:r>
      <w:r w:rsidRPr="003A1174">
        <w:rPr>
          <w:rFonts w:ascii="Garamond" w:hAnsi="Garamond" w:cs="Arial"/>
          <w:sz w:val="24"/>
          <w:szCs w:val="24"/>
          <w:shd w:val="clear" w:color="auto" w:fill="FFFFFF"/>
        </w:rPr>
        <w:t>a FIO</w:t>
      </w:r>
    </w:p>
    <w:p w:rsidR="00A1048A" w:rsidRPr="003A1174" w:rsidRDefault="00A1048A" w:rsidP="008719D4">
      <w:pPr>
        <w:tabs>
          <w:tab w:val="left" w:pos="708"/>
        </w:tabs>
        <w:spacing w:after="0" w:line="240" w:lineRule="auto"/>
        <w:jc w:val="right"/>
        <w:rPr>
          <w:rFonts w:ascii="Garamond" w:hAnsi="Garamond" w:cs="Calibri"/>
          <w:sz w:val="24"/>
          <w:szCs w:val="24"/>
        </w:rPr>
      </w:pPr>
    </w:p>
    <w:p w:rsidR="00A1048A" w:rsidRPr="003A1174" w:rsidRDefault="003F012B" w:rsidP="008719D4">
      <w:pPr>
        <w:spacing w:after="0" w:line="240" w:lineRule="auto"/>
        <w:jc w:val="right"/>
        <w:rPr>
          <w:rFonts w:ascii="Garamond" w:hAnsi="Garamond" w:cs="Arial"/>
          <w:sz w:val="24"/>
          <w:szCs w:val="24"/>
        </w:rPr>
      </w:pPr>
      <w:r w:rsidRPr="003A1174">
        <w:rPr>
          <w:rFonts w:ascii="Garamond" w:hAnsi="Garamond" w:cs="Arial"/>
          <w:sz w:val="24"/>
          <w:szCs w:val="24"/>
        </w:rPr>
        <w:t>Coordenadora</w:t>
      </w:r>
      <w:r w:rsidR="00F8378A">
        <w:rPr>
          <w:rFonts w:ascii="Garamond" w:hAnsi="Garamond" w:cs="Arial"/>
          <w:sz w:val="24"/>
          <w:szCs w:val="24"/>
        </w:rPr>
        <w:t>-</w:t>
      </w:r>
      <w:r w:rsidR="00077461" w:rsidRPr="003A1174">
        <w:rPr>
          <w:rFonts w:ascii="Garamond" w:hAnsi="Garamond" w:cs="Arial"/>
          <w:sz w:val="24"/>
          <w:szCs w:val="24"/>
        </w:rPr>
        <w:t>Geral</w:t>
      </w:r>
      <w:r w:rsidR="00A1048A" w:rsidRPr="003A1174">
        <w:rPr>
          <w:rFonts w:ascii="Garamond" w:hAnsi="Garamond" w:cs="Arial"/>
          <w:sz w:val="24"/>
          <w:szCs w:val="24"/>
        </w:rPr>
        <w:t>, Gabriela Adriana Moffson</w:t>
      </w:r>
    </w:p>
    <w:p w:rsidR="00A1048A" w:rsidRPr="003A1174" w:rsidRDefault="003F012B" w:rsidP="008719D4">
      <w:pPr>
        <w:spacing w:after="0" w:line="240" w:lineRule="auto"/>
        <w:jc w:val="right"/>
        <w:rPr>
          <w:rFonts w:ascii="Garamond" w:hAnsi="Garamond" w:cs="Arial"/>
          <w:sz w:val="24"/>
          <w:szCs w:val="24"/>
        </w:rPr>
      </w:pPr>
      <w:r w:rsidRPr="003A1174">
        <w:rPr>
          <w:rFonts w:ascii="Garamond" w:hAnsi="Garamond" w:cs="Arial"/>
          <w:sz w:val="24"/>
          <w:szCs w:val="24"/>
        </w:rPr>
        <w:t>Coordenadora</w:t>
      </w:r>
      <w:r w:rsidR="00A1048A" w:rsidRPr="003A1174">
        <w:rPr>
          <w:rFonts w:ascii="Garamond" w:hAnsi="Garamond" w:cs="Arial"/>
          <w:sz w:val="24"/>
          <w:szCs w:val="24"/>
        </w:rPr>
        <w:t xml:space="preserve"> p</w:t>
      </w:r>
      <w:r w:rsidR="00CA633E" w:rsidRPr="003A1174">
        <w:rPr>
          <w:rFonts w:ascii="Garamond" w:hAnsi="Garamond" w:cs="Arial"/>
          <w:sz w:val="24"/>
          <w:szCs w:val="24"/>
        </w:rPr>
        <w:t>e</w:t>
      </w:r>
      <w:r w:rsidR="00A1048A" w:rsidRPr="003A1174">
        <w:rPr>
          <w:rFonts w:ascii="Garamond" w:hAnsi="Garamond" w:cs="Arial"/>
          <w:sz w:val="24"/>
          <w:szCs w:val="24"/>
        </w:rPr>
        <w:t xml:space="preserve">la </w:t>
      </w:r>
      <w:r w:rsidR="0017447A" w:rsidRPr="003A1174">
        <w:rPr>
          <w:rFonts w:ascii="Garamond" w:hAnsi="Garamond" w:cs="Arial"/>
          <w:sz w:val="24"/>
          <w:szCs w:val="24"/>
        </w:rPr>
        <w:t>Região</w:t>
      </w:r>
      <w:r w:rsidR="00A1048A" w:rsidRPr="003A1174">
        <w:rPr>
          <w:rFonts w:ascii="Garamond" w:hAnsi="Garamond" w:cs="Arial"/>
          <w:sz w:val="24"/>
          <w:szCs w:val="24"/>
        </w:rPr>
        <w:t xml:space="preserve"> Andina, Carolina Garcés Peralta</w:t>
      </w:r>
    </w:p>
    <w:p w:rsidR="00A1048A" w:rsidRPr="003A1174" w:rsidRDefault="003F012B" w:rsidP="008719D4">
      <w:pPr>
        <w:spacing w:after="0" w:line="240" w:lineRule="auto"/>
        <w:jc w:val="right"/>
        <w:rPr>
          <w:rFonts w:ascii="Garamond" w:hAnsi="Garamond" w:cs="Arial"/>
          <w:sz w:val="24"/>
          <w:szCs w:val="24"/>
        </w:rPr>
      </w:pPr>
      <w:r w:rsidRPr="003A1174">
        <w:rPr>
          <w:rFonts w:ascii="Garamond" w:hAnsi="Garamond" w:cs="Arial"/>
          <w:sz w:val="24"/>
          <w:szCs w:val="24"/>
        </w:rPr>
        <w:t>Coordenadora</w:t>
      </w:r>
      <w:r w:rsidR="00A1048A" w:rsidRPr="003A1174">
        <w:rPr>
          <w:rFonts w:ascii="Garamond" w:hAnsi="Garamond" w:cs="Arial"/>
          <w:sz w:val="24"/>
          <w:szCs w:val="24"/>
        </w:rPr>
        <w:t xml:space="preserve"> p</w:t>
      </w:r>
      <w:r w:rsidR="00CA633E" w:rsidRPr="003A1174">
        <w:rPr>
          <w:rFonts w:ascii="Garamond" w:hAnsi="Garamond" w:cs="Arial"/>
          <w:sz w:val="24"/>
          <w:szCs w:val="24"/>
        </w:rPr>
        <w:t>e</w:t>
      </w:r>
      <w:r w:rsidR="00A1048A" w:rsidRPr="003A1174">
        <w:rPr>
          <w:rFonts w:ascii="Garamond" w:hAnsi="Garamond" w:cs="Arial"/>
          <w:sz w:val="24"/>
          <w:szCs w:val="24"/>
        </w:rPr>
        <w:t xml:space="preserve">la </w:t>
      </w:r>
      <w:r w:rsidR="0017447A" w:rsidRPr="003A1174">
        <w:rPr>
          <w:rFonts w:ascii="Garamond" w:hAnsi="Garamond" w:cs="Arial"/>
          <w:sz w:val="24"/>
          <w:szCs w:val="24"/>
        </w:rPr>
        <w:t>Região</w:t>
      </w:r>
      <w:r w:rsidR="00A1048A" w:rsidRPr="003A1174">
        <w:rPr>
          <w:rFonts w:ascii="Garamond" w:hAnsi="Garamond" w:cs="Arial"/>
          <w:sz w:val="24"/>
          <w:szCs w:val="24"/>
        </w:rPr>
        <w:t xml:space="preserve"> de Con</w:t>
      </w:r>
      <w:r w:rsidR="00CA633E" w:rsidRPr="003A1174">
        <w:rPr>
          <w:rFonts w:ascii="Garamond" w:hAnsi="Garamond" w:cs="Arial"/>
          <w:sz w:val="24"/>
          <w:szCs w:val="24"/>
        </w:rPr>
        <w:t>e</w:t>
      </w:r>
      <w:r w:rsidR="00A1048A" w:rsidRPr="003A1174">
        <w:rPr>
          <w:rFonts w:ascii="Garamond" w:hAnsi="Garamond" w:cs="Arial"/>
          <w:sz w:val="24"/>
          <w:szCs w:val="24"/>
        </w:rPr>
        <w:t xml:space="preserve"> Su</w:t>
      </w:r>
      <w:r w:rsidR="00CA633E" w:rsidRPr="003A1174">
        <w:rPr>
          <w:rFonts w:ascii="Garamond" w:hAnsi="Garamond" w:cs="Arial"/>
          <w:sz w:val="24"/>
          <w:szCs w:val="24"/>
        </w:rPr>
        <w:t>l</w:t>
      </w:r>
      <w:r w:rsidR="00A1048A" w:rsidRPr="003A1174">
        <w:rPr>
          <w:rFonts w:ascii="Garamond" w:hAnsi="Garamond" w:cs="Arial"/>
          <w:sz w:val="24"/>
          <w:szCs w:val="24"/>
        </w:rPr>
        <w:t>, Elena Goiriena</w:t>
      </w:r>
    </w:p>
    <w:p w:rsidR="00A1048A" w:rsidRPr="003A1174" w:rsidRDefault="003F012B" w:rsidP="008719D4">
      <w:pPr>
        <w:spacing w:after="0" w:line="240" w:lineRule="auto"/>
        <w:jc w:val="right"/>
        <w:rPr>
          <w:rFonts w:ascii="Garamond" w:hAnsi="Garamond" w:cs="Arial"/>
          <w:sz w:val="24"/>
          <w:szCs w:val="24"/>
        </w:rPr>
      </w:pPr>
      <w:r w:rsidRPr="003A1174">
        <w:rPr>
          <w:rFonts w:ascii="Garamond" w:hAnsi="Garamond" w:cs="Arial"/>
          <w:sz w:val="24"/>
          <w:szCs w:val="24"/>
        </w:rPr>
        <w:t>Coordenadora</w:t>
      </w:r>
      <w:r w:rsidR="00A1048A" w:rsidRPr="003A1174">
        <w:rPr>
          <w:rFonts w:ascii="Garamond" w:hAnsi="Garamond" w:cs="Arial"/>
          <w:sz w:val="24"/>
          <w:szCs w:val="24"/>
        </w:rPr>
        <w:t xml:space="preserve"> p</w:t>
      </w:r>
      <w:r w:rsidR="00CA633E" w:rsidRPr="003A1174">
        <w:rPr>
          <w:rFonts w:ascii="Garamond" w:hAnsi="Garamond" w:cs="Arial"/>
          <w:sz w:val="24"/>
          <w:szCs w:val="24"/>
        </w:rPr>
        <w:t>e</w:t>
      </w:r>
      <w:r w:rsidR="00A1048A" w:rsidRPr="003A1174">
        <w:rPr>
          <w:rFonts w:ascii="Garamond" w:hAnsi="Garamond" w:cs="Arial"/>
          <w:sz w:val="24"/>
          <w:szCs w:val="24"/>
        </w:rPr>
        <w:t xml:space="preserve">la </w:t>
      </w:r>
      <w:r w:rsidR="0017447A" w:rsidRPr="003A1174">
        <w:rPr>
          <w:rFonts w:ascii="Garamond" w:hAnsi="Garamond" w:cs="Arial"/>
          <w:sz w:val="24"/>
          <w:szCs w:val="24"/>
        </w:rPr>
        <w:t>Região</w:t>
      </w:r>
      <w:r w:rsidR="00A1048A" w:rsidRPr="003A1174">
        <w:rPr>
          <w:rFonts w:ascii="Garamond" w:hAnsi="Garamond" w:cs="Arial"/>
          <w:sz w:val="24"/>
          <w:szCs w:val="24"/>
        </w:rPr>
        <w:t xml:space="preserve"> de </w:t>
      </w:r>
      <w:r w:rsidR="007342D9" w:rsidRPr="003A1174">
        <w:rPr>
          <w:rFonts w:ascii="Garamond" w:hAnsi="Garamond" w:cs="Arial"/>
          <w:sz w:val="24"/>
          <w:szCs w:val="24"/>
        </w:rPr>
        <w:t>América Central</w:t>
      </w:r>
      <w:r w:rsidR="00A1048A" w:rsidRPr="003A1174">
        <w:rPr>
          <w:rFonts w:ascii="Garamond" w:hAnsi="Garamond" w:cs="Arial"/>
          <w:sz w:val="24"/>
          <w:szCs w:val="24"/>
        </w:rPr>
        <w:t>, Rosalía Jovel</w:t>
      </w:r>
    </w:p>
    <w:p w:rsidR="00A1048A" w:rsidRPr="003A1174" w:rsidRDefault="003F012B" w:rsidP="008719D4">
      <w:pPr>
        <w:spacing w:after="0" w:line="240" w:lineRule="auto"/>
        <w:jc w:val="right"/>
        <w:rPr>
          <w:rFonts w:ascii="Garamond" w:hAnsi="Garamond" w:cs="Arial"/>
          <w:sz w:val="24"/>
          <w:szCs w:val="24"/>
        </w:rPr>
      </w:pPr>
      <w:r w:rsidRPr="003A1174">
        <w:rPr>
          <w:rFonts w:ascii="Garamond" w:hAnsi="Garamond" w:cs="Arial"/>
          <w:sz w:val="24"/>
          <w:szCs w:val="24"/>
        </w:rPr>
        <w:t>Coordenadora</w:t>
      </w:r>
      <w:r w:rsidR="00A1048A" w:rsidRPr="003A1174">
        <w:rPr>
          <w:rFonts w:ascii="Garamond" w:hAnsi="Garamond" w:cs="Arial"/>
          <w:sz w:val="24"/>
          <w:szCs w:val="24"/>
        </w:rPr>
        <w:t xml:space="preserve"> p</w:t>
      </w:r>
      <w:r w:rsidR="00CA633E" w:rsidRPr="003A1174">
        <w:rPr>
          <w:rFonts w:ascii="Garamond" w:hAnsi="Garamond" w:cs="Arial"/>
          <w:sz w:val="24"/>
          <w:szCs w:val="24"/>
        </w:rPr>
        <w:t>e</w:t>
      </w:r>
      <w:r w:rsidR="00A1048A" w:rsidRPr="003A1174">
        <w:rPr>
          <w:rFonts w:ascii="Garamond" w:hAnsi="Garamond" w:cs="Arial"/>
          <w:sz w:val="24"/>
          <w:szCs w:val="24"/>
        </w:rPr>
        <w:t xml:space="preserve">la </w:t>
      </w:r>
      <w:r w:rsidR="0017447A" w:rsidRPr="003A1174">
        <w:rPr>
          <w:rFonts w:ascii="Garamond" w:hAnsi="Garamond" w:cs="Arial"/>
          <w:sz w:val="24"/>
          <w:szCs w:val="24"/>
        </w:rPr>
        <w:t>Região</w:t>
      </w:r>
      <w:r w:rsidR="00CA633E" w:rsidRPr="003A1174">
        <w:rPr>
          <w:rFonts w:ascii="Garamond" w:hAnsi="Garamond" w:cs="Arial"/>
          <w:sz w:val="24"/>
          <w:szCs w:val="24"/>
        </w:rPr>
        <w:t xml:space="preserve"> da</w:t>
      </w:r>
      <w:r w:rsidR="00A1048A" w:rsidRPr="003A1174">
        <w:rPr>
          <w:rFonts w:ascii="Garamond" w:hAnsi="Garamond" w:cs="Arial"/>
          <w:sz w:val="24"/>
          <w:szCs w:val="24"/>
        </w:rPr>
        <w:t xml:space="preserve"> América d</w:t>
      </w:r>
      <w:r w:rsidR="00CA633E" w:rsidRPr="003A1174">
        <w:rPr>
          <w:rFonts w:ascii="Garamond" w:hAnsi="Garamond" w:cs="Arial"/>
          <w:sz w:val="24"/>
          <w:szCs w:val="24"/>
        </w:rPr>
        <w:t>o</w:t>
      </w:r>
      <w:r w:rsidR="00A1048A" w:rsidRPr="003A1174">
        <w:rPr>
          <w:rFonts w:ascii="Garamond" w:hAnsi="Garamond" w:cs="Arial"/>
          <w:sz w:val="24"/>
          <w:szCs w:val="24"/>
        </w:rPr>
        <w:t xml:space="preserve"> Norte, Daphne Espendez Santisteban</w:t>
      </w:r>
    </w:p>
    <w:p w:rsidR="00A1048A" w:rsidRPr="003A1174" w:rsidRDefault="003F012B" w:rsidP="008719D4">
      <w:pPr>
        <w:spacing w:after="0" w:line="240" w:lineRule="auto"/>
        <w:jc w:val="right"/>
        <w:rPr>
          <w:rFonts w:ascii="Garamond" w:hAnsi="Garamond"/>
          <w:sz w:val="24"/>
          <w:szCs w:val="24"/>
        </w:rPr>
      </w:pPr>
      <w:r w:rsidRPr="003A1174">
        <w:rPr>
          <w:rFonts w:ascii="Garamond" w:hAnsi="Garamond" w:cs="Arial"/>
          <w:sz w:val="24"/>
          <w:szCs w:val="24"/>
        </w:rPr>
        <w:t>Coordenadora</w:t>
      </w:r>
      <w:r w:rsidR="00A1048A" w:rsidRPr="003A1174">
        <w:rPr>
          <w:rFonts w:ascii="Garamond" w:hAnsi="Garamond" w:cs="Arial"/>
          <w:sz w:val="24"/>
          <w:szCs w:val="24"/>
        </w:rPr>
        <w:t xml:space="preserve"> p</w:t>
      </w:r>
      <w:r w:rsidR="00CA633E" w:rsidRPr="003A1174">
        <w:rPr>
          <w:rFonts w:ascii="Garamond" w:hAnsi="Garamond" w:cs="Arial"/>
          <w:sz w:val="24"/>
          <w:szCs w:val="24"/>
        </w:rPr>
        <w:t>e</w:t>
      </w:r>
      <w:r w:rsidR="00A1048A" w:rsidRPr="003A1174">
        <w:rPr>
          <w:rFonts w:ascii="Garamond" w:hAnsi="Garamond" w:cs="Arial"/>
          <w:sz w:val="24"/>
          <w:szCs w:val="24"/>
        </w:rPr>
        <w:t xml:space="preserve">la </w:t>
      </w:r>
      <w:r w:rsidR="0017447A" w:rsidRPr="003A1174">
        <w:rPr>
          <w:rFonts w:ascii="Garamond" w:hAnsi="Garamond" w:cs="Arial"/>
          <w:sz w:val="24"/>
          <w:szCs w:val="24"/>
        </w:rPr>
        <w:t>Região</w:t>
      </w:r>
      <w:r w:rsidR="00CA633E" w:rsidRPr="003A1174">
        <w:rPr>
          <w:rFonts w:ascii="Garamond" w:hAnsi="Garamond" w:cs="Arial"/>
          <w:sz w:val="24"/>
          <w:szCs w:val="24"/>
        </w:rPr>
        <w:t xml:space="preserve"> da</w:t>
      </w:r>
      <w:r w:rsidR="00A1048A" w:rsidRPr="003A1174">
        <w:rPr>
          <w:rFonts w:ascii="Garamond" w:hAnsi="Garamond" w:cs="Arial"/>
          <w:sz w:val="24"/>
          <w:szCs w:val="24"/>
        </w:rPr>
        <w:t xml:space="preserve"> Europa, Julia Hernández</w:t>
      </w:r>
    </w:p>
    <w:p w:rsidR="00A1048A" w:rsidRPr="003A1174" w:rsidRDefault="00A1048A" w:rsidP="008719D4">
      <w:pPr>
        <w:spacing w:line="240" w:lineRule="auto"/>
        <w:rPr>
          <w:rFonts w:ascii="Garamond" w:hAnsi="Garamond"/>
          <w:sz w:val="24"/>
          <w:szCs w:val="24"/>
        </w:rPr>
      </w:pPr>
    </w:p>
    <w:p w:rsidR="009C6A2A" w:rsidRPr="003A1174" w:rsidRDefault="009C6A2A" w:rsidP="008719D4">
      <w:pPr>
        <w:spacing w:after="0" w:line="240" w:lineRule="auto"/>
        <w:jc w:val="right"/>
        <w:rPr>
          <w:rFonts w:ascii="Garamond" w:hAnsi="Garamond" w:cs="Arial"/>
          <w:color w:val="000000"/>
          <w:sz w:val="24"/>
          <w:szCs w:val="24"/>
        </w:rPr>
      </w:pPr>
    </w:p>
    <w:p w:rsidR="00097D4A" w:rsidRPr="00D35D55" w:rsidRDefault="005C7695" w:rsidP="008719D4">
      <w:pPr>
        <w:pStyle w:val="Ttulo2"/>
        <w:rPr>
          <w:rFonts w:ascii="Garamond" w:hAnsi="Garamond"/>
          <w:color w:val="548DD4" w:themeColor="text2" w:themeTint="99"/>
          <w:sz w:val="24"/>
          <w:szCs w:val="24"/>
        </w:rPr>
      </w:pPr>
      <w:r w:rsidRPr="003A1174">
        <w:rPr>
          <w:rFonts w:ascii="Garamond" w:hAnsi="Garamond"/>
          <w:color w:val="000000"/>
          <w:sz w:val="24"/>
          <w:szCs w:val="24"/>
        </w:rPr>
        <w:br w:type="column"/>
      </w:r>
      <w:bookmarkStart w:id="2" w:name="_Toc421529690"/>
      <w:r w:rsidR="008F2153" w:rsidRPr="00D35D55">
        <w:rPr>
          <w:rFonts w:ascii="Garamond" w:hAnsi="Garamond"/>
          <w:color w:val="548DD4" w:themeColor="text2" w:themeTint="99"/>
          <w:sz w:val="24"/>
          <w:szCs w:val="24"/>
        </w:rPr>
        <w:lastRenderedPageBreak/>
        <w:t>SIGLAS</w:t>
      </w:r>
      <w:bookmarkEnd w:id="2"/>
    </w:p>
    <w:p w:rsidR="00097D4A" w:rsidRPr="003A1174" w:rsidRDefault="00097D4A" w:rsidP="008719D4">
      <w:pPr>
        <w:spacing w:line="240" w:lineRule="auto"/>
        <w:rPr>
          <w:rFonts w:ascii="Garamond" w:eastAsia="Calibri" w:hAnsi="Garamond" w:cs="Arial"/>
          <w:sz w:val="24"/>
          <w:szCs w:val="24"/>
        </w:rPr>
      </w:pPr>
      <w:r w:rsidRPr="003A1174">
        <w:rPr>
          <w:rFonts w:ascii="Garamond" w:eastAsia="Calibri" w:hAnsi="Garamond" w:cs="Arial"/>
          <w:sz w:val="24"/>
          <w:szCs w:val="24"/>
        </w:rPr>
        <w:t>Conven</w:t>
      </w:r>
      <w:r w:rsidR="00CA633E" w:rsidRPr="003A1174">
        <w:rPr>
          <w:rFonts w:ascii="Garamond" w:eastAsia="Calibri" w:hAnsi="Garamond" w:cs="Arial"/>
          <w:sz w:val="24"/>
          <w:szCs w:val="24"/>
        </w:rPr>
        <w:t xml:space="preserve">ção </w:t>
      </w:r>
      <w:r w:rsidRPr="003A1174">
        <w:rPr>
          <w:rFonts w:ascii="Garamond" w:eastAsia="Calibri" w:hAnsi="Garamond" w:cs="Arial"/>
          <w:sz w:val="24"/>
          <w:szCs w:val="24"/>
        </w:rPr>
        <w:t xml:space="preserve">Americana de </w:t>
      </w:r>
      <w:r w:rsidR="00886D6A" w:rsidRPr="003A1174">
        <w:rPr>
          <w:rFonts w:ascii="Garamond" w:eastAsia="Calibri" w:hAnsi="Garamond" w:cs="Arial"/>
          <w:sz w:val="24"/>
          <w:szCs w:val="24"/>
        </w:rPr>
        <w:t>Direito</w:t>
      </w:r>
      <w:r w:rsidRPr="003A1174">
        <w:rPr>
          <w:rFonts w:ascii="Garamond" w:eastAsia="Calibri" w:hAnsi="Garamond" w:cs="Arial"/>
          <w:sz w:val="24"/>
          <w:szCs w:val="24"/>
        </w:rPr>
        <w:t>s Humanos</w:t>
      </w:r>
      <w:r w:rsidRPr="003A1174">
        <w:rPr>
          <w:rFonts w:ascii="Garamond" w:eastAsia="Calibri" w:hAnsi="Garamond" w:cs="Arial"/>
          <w:sz w:val="24"/>
          <w:szCs w:val="24"/>
        </w:rPr>
        <w:tab/>
        <w:t>Conven</w:t>
      </w:r>
      <w:r w:rsidR="00CA633E" w:rsidRPr="003A1174">
        <w:rPr>
          <w:rFonts w:ascii="Garamond" w:eastAsia="Calibri" w:hAnsi="Garamond" w:cs="Arial"/>
          <w:sz w:val="24"/>
          <w:szCs w:val="24"/>
        </w:rPr>
        <w:t>ção</w:t>
      </w:r>
      <w:r w:rsidRPr="003A1174">
        <w:rPr>
          <w:rFonts w:ascii="Garamond" w:eastAsia="Calibri" w:hAnsi="Garamond" w:cs="Arial"/>
          <w:sz w:val="24"/>
          <w:szCs w:val="24"/>
        </w:rPr>
        <w:t xml:space="preserve"> Americana/CADH</w:t>
      </w:r>
    </w:p>
    <w:p w:rsidR="00097D4A" w:rsidRPr="003A1174" w:rsidRDefault="00EB3427" w:rsidP="008719D4">
      <w:pPr>
        <w:spacing w:line="240" w:lineRule="auto"/>
        <w:rPr>
          <w:rFonts w:ascii="Garamond" w:hAnsi="Garamond" w:cs="Arial"/>
          <w:sz w:val="24"/>
          <w:szCs w:val="24"/>
          <w:lang w:val="pt-BR"/>
        </w:rPr>
      </w:pPr>
      <w:r>
        <w:rPr>
          <w:rFonts w:ascii="Garamond" w:hAnsi="Garamond" w:cs="Arial"/>
          <w:sz w:val="24"/>
          <w:szCs w:val="24"/>
          <w:lang w:val="pt-BR"/>
        </w:rPr>
        <w:t>Tribunal</w:t>
      </w:r>
      <w:r w:rsidR="002A7FDD" w:rsidRPr="003A1174">
        <w:rPr>
          <w:rFonts w:ascii="Garamond" w:hAnsi="Garamond" w:cs="Arial"/>
          <w:sz w:val="24"/>
          <w:szCs w:val="24"/>
          <w:lang w:val="pt-BR"/>
        </w:rPr>
        <w:t xml:space="preserve"> </w:t>
      </w:r>
      <w:r w:rsidR="00097D4A" w:rsidRPr="003A1174">
        <w:rPr>
          <w:rFonts w:ascii="Garamond" w:hAnsi="Garamond" w:cs="Arial"/>
          <w:sz w:val="24"/>
          <w:szCs w:val="24"/>
          <w:lang w:val="pt-BR"/>
        </w:rPr>
        <w:t>Interamerican</w:t>
      </w:r>
      <w:r>
        <w:rPr>
          <w:rFonts w:ascii="Garamond" w:hAnsi="Garamond" w:cs="Arial"/>
          <w:sz w:val="24"/>
          <w:szCs w:val="24"/>
          <w:lang w:val="pt-BR"/>
        </w:rPr>
        <w:t>o</w:t>
      </w:r>
      <w:r w:rsidR="00097D4A" w:rsidRPr="003A1174">
        <w:rPr>
          <w:rFonts w:ascii="Garamond" w:hAnsi="Garamond" w:cs="Arial"/>
          <w:sz w:val="24"/>
          <w:szCs w:val="24"/>
          <w:lang w:val="pt-BR"/>
        </w:rPr>
        <w:t xml:space="preserve"> de </w:t>
      </w:r>
      <w:r w:rsidR="00886D6A" w:rsidRPr="003A1174">
        <w:rPr>
          <w:rFonts w:ascii="Garamond" w:hAnsi="Garamond" w:cs="Arial"/>
          <w:sz w:val="24"/>
          <w:szCs w:val="24"/>
          <w:lang w:val="pt-BR"/>
        </w:rPr>
        <w:t>Direito</w:t>
      </w:r>
      <w:r w:rsidR="00097D4A" w:rsidRPr="003A1174">
        <w:rPr>
          <w:rFonts w:ascii="Garamond" w:hAnsi="Garamond" w:cs="Arial"/>
          <w:sz w:val="24"/>
          <w:szCs w:val="24"/>
          <w:lang w:val="pt-BR"/>
        </w:rPr>
        <w:t xml:space="preserve">s Humanos </w:t>
      </w:r>
      <w:r w:rsidR="00097D4A" w:rsidRPr="003A1174">
        <w:rPr>
          <w:rFonts w:ascii="Garamond" w:hAnsi="Garamond" w:cs="Arial"/>
          <w:sz w:val="24"/>
          <w:szCs w:val="24"/>
          <w:lang w:val="pt-BR"/>
        </w:rPr>
        <w:tab/>
      </w:r>
      <w:r w:rsidR="002A7FDD" w:rsidRPr="003A1174">
        <w:rPr>
          <w:rFonts w:ascii="Garamond" w:hAnsi="Garamond" w:cs="Arial"/>
          <w:sz w:val="24"/>
          <w:szCs w:val="24"/>
          <w:lang w:val="pt-BR"/>
        </w:rPr>
        <w:t xml:space="preserve">           </w:t>
      </w:r>
      <w:r>
        <w:rPr>
          <w:rFonts w:ascii="Garamond" w:hAnsi="Garamond" w:cs="Arial"/>
          <w:sz w:val="24"/>
          <w:szCs w:val="24"/>
          <w:lang w:val="pt-BR"/>
        </w:rPr>
        <w:t>Tribunal</w:t>
      </w:r>
      <w:r w:rsidR="00097D4A" w:rsidRPr="003A1174">
        <w:rPr>
          <w:rFonts w:ascii="Garamond" w:hAnsi="Garamond" w:cs="Arial"/>
          <w:sz w:val="24"/>
          <w:szCs w:val="24"/>
          <w:lang w:val="pt-BR"/>
        </w:rPr>
        <w:t xml:space="preserve"> IDH/CtIDH</w:t>
      </w:r>
    </w:p>
    <w:p w:rsidR="00097D4A" w:rsidRPr="003A1174" w:rsidRDefault="00C30647" w:rsidP="008719D4">
      <w:pPr>
        <w:spacing w:line="240" w:lineRule="auto"/>
        <w:rPr>
          <w:rFonts w:ascii="Garamond" w:eastAsia="Calibri" w:hAnsi="Garamond" w:cs="Arial"/>
          <w:sz w:val="24"/>
          <w:szCs w:val="24"/>
        </w:rPr>
      </w:pPr>
      <w:r w:rsidRPr="003A1174">
        <w:rPr>
          <w:rFonts w:ascii="Garamond" w:eastAsia="Calibri" w:hAnsi="Garamond" w:cs="Arial"/>
          <w:sz w:val="24"/>
          <w:szCs w:val="24"/>
        </w:rPr>
        <w:t>Federação</w:t>
      </w:r>
      <w:r w:rsidR="00097D4A" w:rsidRPr="003A1174">
        <w:rPr>
          <w:rFonts w:ascii="Garamond" w:eastAsia="Calibri" w:hAnsi="Garamond" w:cs="Arial"/>
          <w:sz w:val="24"/>
          <w:szCs w:val="24"/>
        </w:rPr>
        <w:t xml:space="preserve"> Iberoamericana de Ombudsman </w:t>
      </w:r>
      <w:r w:rsidR="00097D4A" w:rsidRPr="003A1174">
        <w:rPr>
          <w:rFonts w:ascii="Garamond" w:eastAsia="Calibri" w:hAnsi="Garamond" w:cs="Arial"/>
          <w:sz w:val="24"/>
          <w:szCs w:val="24"/>
        </w:rPr>
        <w:tab/>
        <w:t>FIO</w:t>
      </w:r>
    </w:p>
    <w:p w:rsidR="00097D4A" w:rsidRPr="003A1174" w:rsidRDefault="00097D4A" w:rsidP="008719D4">
      <w:pPr>
        <w:spacing w:line="240" w:lineRule="auto"/>
        <w:rPr>
          <w:rFonts w:ascii="Garamond" w:hAnsi="Garamond" w:cs="Arial"/>
          <w:sz w:val="24"/>
          <w:szCs w:val="24"/>
        </w:rPr>
      </w:pPr>
      <w:r w:rsidRPr="003A1174">
        <w:rPr>
          <w:rFonts w:ascii="Garamond" w:hAnsi="Garamond" w:cs="Arial"/>
          <w:sz w:val="24"/>
          <w:szCs w:val="24"/>
        </w:rPr>
        <w:t xml:space="preserve">Tratados </w:t>
      </w:r>
      <w:r w:rsidR="00EF645F" w:rsidRPr="003A1174">
        <w:rPr>
          <w:rFonts w:ascii="Garamond" w:hAnsi="Garamond" w:cs="Arial"/>
          <w:sz w:val="24"/>
          <w:szCs w:val="24"/>
        </w:rPr>
        <w:t>Internacionais</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Pr="003A1174">
        <w:rPr>
          <w:rFonts w:ascii="Garamond" w:hAnsi="Garamond" w:cs="Arial"/>
          <w:sz w:val="24"/>
          <w:szCs w:val="24"/>
        </w:rPr>
        <w:tab/>
        <w:t>TIDHs</w:t>
      </w:r>
    </w:p>
    <w:p w:rsidR="007D7B08" w:rsidRPr="00D35D55" w:rsidRDefault="00097D4A" w:rsidP="008719D4">
      <w:pPr>
        <w:pStyle w:val="Ttulo1"/>
        <w:rPr>
          <w:rFonts w:ascii="Garamond" w:hAnsi="Garamond" w:cs="Arial"/>
          <w:color w:val="548DD4" w:themeColor="text2" w:themeTint="99"/>
          <w:szCs w:val="24"/>
          <w:lang w:val="pt-PT"/>
        </w:rPr>
      </w:pPr>
      <w:r w:rsidRPr="003A1174">
        <w:rPr>
          <w:rFonts w:ascii="Garamond" w:hAnsi="Garamond" w:cs="Arial"/>
          <w:color w:val="000000"/>
          <w:szCs w:val="24"/>
          <w:lang w:val="pt-PT"/>
        </w:rPr>
        <w:br w:type="column"/>
      </w:r>
      <w:bookmarkStart w:id="3" w:name="_Toc421529691"/>
      <w:r w:rsidR="000350B1" w:rsidRPr="00D35D55">
        <w:rPr>
          <w:rFonts w:ascii="Garamond" w:hAnsi="Garamond" w:cs="Arial"/>
          <w:color w:val="548DD4" w:themeColor="text2" w:themeTint="99"/>
          <w:szCs w:val="24"/>
          <w:lang w:val="pt-PT"/>
        </w:rPr>
        <w:lastRenderedPageBreak/>
        <w:t>INTRODUÇÃO</w:t>
      </w:r>
      <w:bookmarkEnd w:id="3"/>
      <w:r w:rsidR="00861B7C" w:rsidRPr="00D35D55">
        <w:rPr>
          <w:rFonts w:ascii="Garamond" w:hAnsi="Garamond" w:cs="Arial"/>
          <w:color w:val="548DD4" w:themeColor="text2" w:themeTint="99"/>
          <w:szCs w:val="24"/>
          <w:lang w:val="pt-PT"/>
        </w:rPr>
        <w:t xml:space="preserve"> </w:t>
      </w:r>
    </w:p>
    <w:p w:rsidR="00281928" w:rsidRPr="003A1174" w:rsidRDefault="00EF645F" w:rsidP="008719D4">
      <w:pPr>
        <w:tabs>
          <w:tab w:val="left" w:pos="708"/>
        </w:tabs>
        <w:suppressAutoHyphens/>
        <w:spacing w:line="240" w:lineRule="auto"/>
        <w:jc w:val="both"/>
        <w:rPr>
          <w:rFonts w:ascii="Garamond" w:eastAsia="SimSun" w:hAnsi="Garamond" w:cs="Arial"/>
          <w:color w:val="00000A"/>
          <w:sz w:val="24"/>
          <w:szCs w:val="24"/>
        </w:rPr>
      </w:pPr>
      <w:r w:rsidRPr="003A1174">
        <w:rPr>
          <w:rFonts w:ascii="Garamond" w:eastAsia="SimSun" w:hAnsi="Garamond" w:cs="Arial"/>
          <w:color w:val="00000A"/>
          <w:sz w:val="24"/>
          <w:szCs w:val="24"/>
        </w:rPr>
        <w:t>No p</w:t>
      </w:r>
      <w:r w:rsidR="001E7144" w:rsidRPr="003A1174">
        <w:rPr>
          <w:rFonts w:ascii="Garamond" w:eastAsia="SimSun" w:hAnsi="Garamond" w:cs="Arial"/>
          <w:color w:val="00000A"/>
          <w:sz w:val="24"/>
          <w:szCs w:val="24"/>
        </w:rPr>
        <w:t xml:space="preserve">resente documento </w:t>
      </w:r>
      <w:r w:rsidR="00117A6E" w:rsidRPr="003A1174">
        <w:rPr>
          <w:rFonts w:ascii="Garamond" w:eastAsia="SimSun" w:hAnsi="Garamond" w:cs="Arial"/>
          <w:color w:val="00000A"/>
          <w:sz w:val="24"/>
          <w:szCs w:val="24"/>
        </w:rPr>
        <w:t>propo</w:t>
      </w:r>
      <w:r w:rsidRPr="003A1174">
        <w:rPr>
          <w:rFonts w:ascii="Garamond" w:eastAsia="SimSun" w:hAnsi="Garamond" w:cs="Arial"/>
          <w:color w:val="00000A"/>
          <w:sz w:val="24"/>
          <w:szCs w:val="24"/>
        </w:rPr>
        <w:t xml:space="preserve">mo-nos </w:t>
      </w:r>
      <w:r w:rsidR="001E7144" w:rsidRPr="003A1174">
        <w:rPr>
          <w:rFonts w:ascii="Garamond" w:eastAsia="SimSun" w:hAnsi="Garamond" w:cs="Arial"/>
          <w:color w:val="00000A"/>
          <w:sz w:val="24"/>
          <w:szCs w:val="24"/>
        </w:rPr>
        <w:t>refle</w:t>
      </w:r>
      <w:r w:rsidRPr="003A1174">
        <w:rPr>
          <w:rFonts w:ascii="Garamond" w:eastAsia="SimSun" w:hAnsi="Garamond" w:cs="Arial"/>
          <w:color w:val="00000A"/>
          <w:sz w:val="24"/>
          <w:szCs w:val="24"/>
        </w:rPr>
        <w:t xml:space="preserve">tir </w:t>
      </w:r>
      <w:r w:rsidR="000350B1" w:rsidRPr="003A1174">
        <w:rPr>
          <w:rFonts w:ascii="Garamond" w:eastAsia="SimSun" w:hAnsi="Garamond" w:cs="Arial"/>
          <w:color w:val="00000A"/>
          <w:sz w:val="24"/>
          <w:szCs w:val="24"/>
        </w:rPr>
        <w:t>sobre u</w:t>
      </w:r>
      <w:r w:rsidRPr="003A1174">
        <w:rPr>
          <w:rFonts w:ascii="Garamond" w:eastAsia="SimSun" w:hAnsi="Garamond" w:cs="Arial"/>
          <w:color w:val="00000A"/>
          <w:sz w:val="24"/>
          <w:szCs w:val="24"/>
        </w:rPr>
        <w:t>m</w:t>
      </w:r>
      <w:r w:rsidR="000350B1" w:rsidRPr="003A1174">
        <w:rPr>
          <w:rFonts w:ascii="Garamond" w:eastAsia="SimSun" w:hAnsi="Garamond" w:cs="Arial"/>
          <w:color w:val="00000A"/>
          <w:sz w:val="24"/>
          <w:szCs w:val="24"/>
        </w:rPr>
        <w:t xml:space="preserve"> conjunto de temas e</w:t>
      </w:r>
      <w:r w:rsidR="001E7144" w:rsidRPr="003A1174">
        <w:rPr>
          <w:rFonts w:ascii="Garamond" w:eastAsia="SimSun" w:hAnsi="Garamond" w:cs="Arial"/>
          <w:color w:val="00000A"/>
          <w:sz w:val="24"/>
          <w:szCs w:val="24"/>
        </w:rPr>
        <w:t xml:space="preserve"> elementos e</w:t>
      </w:r>
      <w:r w:rsidRPr="003A1174">
        <w:rPr>
          <w:rFonts w:ascii="Garamond" w:eastAsia="SimSun" w:hAnsi="Garamond" w:cs="Arial"/>
          <w:color w:val="00000A"/>
          <w:sz w:val="24"/>
          <w:szCs w:val="24"/>
        </w:rPr>
        <w:t>m</w:t>
      </w:r>
      <w:r w:rsidR="001E7144" w:rsidRPr="003A1174">
        <w:rPr>
          <w:rFonts w:ascii="Garamond" w:eastAsia="SimSun" w:hAnsi="Garamond" w:cs="Arial"/>
          <w:color w:val="00000A"/>
          <w:sz w:val="24"/>
          <w:szCs w:val="24"/>
        </w:rPr>
        <w:t xml:space="preserve"> </w:t>
      </w:r>
      <w:r w:rsidRPr="003A1174">
        <w:rPr>
          <w:rFonts w:ascii="Garamond" w:eastAsia="SimSun" w:hAnsi="Garamond" w:cs="Arial"/>
          <w:color w:val="00000A"/>
          <w:sz w:val="24"/>
          <w:szCs w:val="24"/>
        </w:rPr>
        <w:t>matéria</w:t>
      </w:r>
      <w:r w:rsidR="001E7144" w:rsidRPr="003A1174">
        <w:rPr>
          <w:rFonts w:ascii="Garamond" w:eastAsia="SimSun" w:hAnsi="Garamond" w:cs="Arial"/>
          <w:color w:val="00000A"/>
          <w:sz w:val="24"/>
          <w:szCs w:val="24"/>
        </w:rPr>
        <w:t xml:space="preserve"> de </w:t>
      </w:r>
      <w:r w:rsidR="000350B1" w:rsidRPr="003A1174">
        <w:rPr>
          <w:rFonts w:ascii="Garamond" w:eastAsia="SimSun" w:hAnsi="Garamond" w:cs="Arial"/>
          <w:color w:val="00000A"/>
          <w:sz w:val="24"/>
          <w:szCs w:val="24"/>
        </w:rPr>
        <w:t>violência</w:t>
      </w:r>
      <w:r w:rsidR="001E7144" w:rsidRPr="003A1174">
        <w:rPr>
          <w:rFonts w:ascii="Garamond" w:eastAsia="SimSun" w:hAnsi="Garamond" w:cs="Arial"/>
          <w:color w:val="00000A"/>
          <w:sz w:val="24"/>
          <w:szCs w:val="24"/>
        </w:rPr>
        <w:t xml:space="preserve"> familiar que </w:t>
      </w:r>
      <w:r w:rsidR="00CA633E" w:rsidRPr="003A1174">
        <w:rPr>
          <w:rFonts w:ascii="Garamond" w:eastAsia="SimSun" w:hAnsi="Garamond" w:cs="Arial"/>
          <w:color w:val="00000A"/>
          <w:sz w:val="24"/>
          <w:szCs w:val="24"/>
        </w:rPr>
        <w:t xml:space="preserve">são </w:t>
      </w:r>
      <w:r w:rsidR="001E7144" w:rsidRPr="003A1174">
        <w:rPr>
          <w:rFonts w:ascii="Garamond" w:eastAsia="SimSun" w:hAnsi="Garamond" w:cs="Arial"/>
          <w:color w:val="00000A"/>
          <w:sz w:val="24"/>
          <w:szCs w:val="24"/>
        </w:rPr>
        <w:t xml:space="preserve">de especial </w:t>
      </w:r>
      <w:r w:rsidRPr="003A1174">
        <w:rPr>
          <w:rFonts w:ascii="Garamond" w:eastAsia="SimSun" w:hAnsi="Garamond" w:cs="Arial"/>
          <w:color w:val="00000A"/>
          <w:sz w:val="24"/>
          <w:szCs w:val="24"/>
        </w:rPr>
        <w:t>interesse</w:t>
      </w:r>
      <w:r w:rsidR="001E7144" w:rsidRPr="003A1174">
        <w:rPr>
          <w:rFonts w:ascii="Garamond" w:eastAsia="SimSun" w:hAnsi="Garamond" w:cs="Arial"/>
          <w:color w:val="00000A"/>
          <w:sz w:val="24"/>
          <w:szCs w:val="24"/>
        </w:rPr>
        <w:t xml:space="preserve"> para </w:t>
      </w:r>
      <w:r w:rsidRPr="003A1174">
        <w:rPr>
          <w:rFonts w:ascii="Garamond" w:eastAsia="SimSun" w:hAnsi="Garamond" w:cs="Arial"/>
          <w:color w:val="00000A"/>
          <w:sz w:val="24"/>
          <w:szCs w:val="24"/>
        </w:rPr>
        <w:t>o</w:t>
      </w:r>
      <w:r w:rsidR="001E7144" w:rsidRPr="003A1174">
        <w:rPr>
          <w:rFonts w:ascii="Garamond" w:eastAsia="SimSun" w:hAnsi="Garamond" w:cs="Arial"/>
          <w:color w:val="00000A"/>
          <w:sz w:val="24"/>
          <w:szCs w:val="24"/>
        </w:rPr>
        <w:t xml:space="preserve"> </w:t>
      </w:r>
      <w:r w:rsidR="0017447A" w:rsidRPr="003A1174">
        <w:rPr>
          <w:rFonts w:ascii="Garamond" w:eastAsia="SimSun" w:hAnsi="Garamond" w:cs="Arial"/>
          <w:color w:val="00000A"/>
          <w:sz w:val="24"/>
          <w:szCs w:val="24"/>
        </w:rPr>
        <w:t>trabalho</w:t>
      </w:r>
      <w:r w:rsidR="001E7144" w:rsidRPr="003A1174">
        <w:rPr>
          <w:rFonts w:ascii="Garamond" w:eastAsia="SimSun" w:hAnsi="Garamond" w:cs="Arial"/>
          <w:color w:val="00000A"/>
          <w:sz w:val="24"/>
          <w:szCs w:val="24"/>
        </w:rPr>
        <w:t xml:space="preserve"> da </w:t>
      </w:r>
      <w:r w:rsidR="002C7510" w:rsidRPr="003A1174">
        <w:rPr>
          <w:rFonts w:ascii="Garamond" w:eastAsia="SimSun" w:hAnsi="Garamond" w:cs="Arial"/>
          <w:color w:val="00000A"/>
          <w:sz w:val="24"/>
          <w:szCs w:val="24"/>
        </w:rPr>
        <w:t>Rede</w:t>
      </w:r>
      <w:r w:rsidR="001E7144" w:rsidRPr="003A1174">
        <w:rPr>
          <w:rFonts w:ascii="Garamond" w:eastAsia="SimSun" w:hAnsi="Garamond" w:cs="Arial"/>
          <w:color w:val="00000A"/>
          <w:sz w:val="24"/>
          <w:szCs w:val="24"/>
        </w:rPr>
        <w:t xml:space="preserve"> de </w:t>
      </w:r>
      <w:r w:rsidR="00054EE0" w:rsidRPr="003A1174">
        <w:rPr>
          <w:rFonts w:ascii="Garamond" w:eastAsia="SimSun" w:hAnsi="Garamond" w:cs="Arial"/>
          <w:color w:val="00000A"/>
          <w:sz w:val="24"/>
          <w:szCs w:val="24"/>
        </w:rPr>
        <w:t>Mulheres</w:t>
      </w:r>
      <w:r w:rsidR="00CA633E" w:rsidRPr="003A1174">
        <w:rPr>
          <w:rFonts w:ascii="Garamond" w:eastAsia="SimSun" w:hAnsi="Garamond" w:cs="Arial"/>
          <w:color w:val="00000A"/>
          <w:sz w:val="24"/>
          <w:szCs w:val="24"/>
        </w:rPr>
        <w:t xml:space="preserve"> d</w:t>
      </w:r>
      <w:r w:rsidR="001E7144" w:rsidRPr="003A1174">
        <w:rPr>
          <w:rFonts w:ascii="Garamond" w:eastAsia="SimSun" w:hAnsi="Garamond" w:cs="Arial"/>
          <w:color w:val="00000A"/>
          <w:sz w:val="24"/>
          <w:szCs w:val="24"/>
        </w:rPr>
        <w:t xml:space="preserve">a FIO </w:t>
      </w:r>
      <w:r w:rsidR="00CA633E" w:rsidRPr="003A1174">
        <w:rPr>
          <w:rFonts w:ascii="Garamond" w:eastAsia="SimSun" w:hAnsi="Garamond" w:cs="Arial"/>
          <w:color w:val="00000A"/>
          <w:sz w:val="24"/>
          <w:szCs w:val="24"/>
        </w:rPr>
        <w:t>e</w:t>
      </w:r>
      <w:r w:rsidR="001E7144" w:rsidRPr="003A1174">
        <w:rPr>
          <w:rFonts w:ascii="Garamond" w:eastAsia="SimSun" w:hAnsi="Garamond" w:cs="Arial"/>
          <w:color w:val="00000A"/>
          <w:sz w:val="24"/>
          <w:szCs w:val="24"/>
        </w:rPr>
        <w:t>, e</w:t>
      </w:r>
      <w:r w:rsidR="00CA633E" w:rsidRPr="003A1174">
        <w:rPr>
          <w:rFonts w:ascii="Garamond" w:eastAsia="SimSun" w:hAnsi="Garamond" w:cs="Arial"/>
          <w:color w:val="00000A"/>
          <w:sz w:val="24"/>
          <w:szCs w:val="24"/>
        </w:rPr>
        <w:t>m</w:t>
      </w:r>
      <w:r w:rsidR="001E7144" w:rsidRPr="003A1174">
        <w:rPr>
          <w:rFonts w:ascii="Garamond" w:eastAsia="SimSun" w:hAnsi="Garamond" w:cs="Arial"/>
          <w:color w:val="00000A"/>
          <w:sz w:val="24"/>
          <w:szCs w:val="24"/>
        </w:rPr>
        <w:t xml:space="preserve"> </w:t>
      </w:r>
      <w:r w:rsidR="00077461" w:rsidRPr="003A1174">
        <w:rPr>
          <w:rFonts w:ascii="Garamond" w:eastAsia="SimSun" w:hAnsi="Garamond" w:cs="Arial"/>
          <w:color w:val="00000A"/>
          <w:sz w:val="24"/>
          <w:szCs w:val="24"/>
        </w:rPr>
        <w:t>geral</w:t>
      </w:r>
      <w:r w:rsidR="00CA633E" w:rsidRPr="003A1174">
        <w:rPr>
          <w:rFonts w:ascii="Garamond" w:eastAsia="SimSun" w:hAnsi="Garamond" w:cs="Arial"/>
          <w:color w:val="00000A"/>
          <w:sz w:val="24"/>
          <w:szCs w:val="24"/>
        </w:rPr>
        <w:t xml:space="preserve">, para </w:t>
      </w:r>
      <w:r w:rsidR="001E7144" w:rsidRPr="003A1174">
        <w:rPr>
          <w:rFonts w:ascii="Garamond" w:eastAsia="SimSun" w:hAnsi="Garamond" w:cs="Arial"/>
          <w:color w:val="00000A"/>
          <w:sz w:val="24"/>
          <w:szCs w:val="24"/>
        </w:rPr>
        <w:t xml:space="preserve">a </w:t>
      </w:r>
      <w:r w:rsidR="002C7510" w:rsidRPr="003A1174">
        <w:rPr>
          <w:rFonts w:ascii="Garamond" w:eastAsia="SimSun" w:hAnsi="Garamond" w:cs="Arial"/>
          <w:color w:val="00000A"/>
          <w:sz w:val="24"/>
          <w:szCs w:val="24"/>
        </w:rPr>
        <w:t>defesa</w:t>
      </w:r>
      <w:r w:rsidR="00CA633E" w:rsidRPr="003A1174">
        <w:rPr>
          <w:rFonts w:ascii="Garamond" w:eastAsia="SimSun" w:hAnsi="Garamond" w:cs="Arial"/>
          <w:color w:val="00000A"/>
          <w:sz w:val="24"/>
          <w:szCs w:val="24"/>
        </w:rPr>
        <w:t xml:space="preserve"> e</w:t>
      </w:r>
      <w:r w:rsidR="001E7144" w:rsidRPr="003A1174">
        <w:rPr>
          <w:rFonts w:ascii="Garamond" w:eastAsia="SimSun" w:hAnsi="Garamond" w:cs="Arial"/>
          <w:color w:val="00000A"/>
          <w:sz w:val="24"/>
          <w:szCs w:val="24"/>
        </w:rPr>
        <w:t xml:space="preserve"> </w:t>
      </w:r>
      <w:r w:rsidR="002F5CD1" w:rsidRPr="003A1174">
        <w:rPr>
          <w:rFonts w:ascii="Garamond" w:eastAsia="SimSun" w:hAnsi="Garamond" w:cs="Arial"/>
          <w:color w:val="00000A"/>
          <w:sz w:val="24"/>
          <w:szCs w:val="24"/>
        </w:rPr>
        <w:t>promoção</w:t>
      </w:r>
      <w:r w:rsidR="00CA633E" w:rsidRPr="003A1174">
        <w:rPr>
          <w:rFonts w:ascii="Garamond" w:eastAsia="SimSun" w:hAnsi="Garamond" w:cs="Arial"/>
          <w:color w:val="00000A"/>
          <w:sz w:val="24"/>
          <w:szCs w:val="24"/>
        </w:rPr>
        <w:t xml:space="preserve"> d</w:t>
      </w:r>
      <w:r w:rsidR="001E7144" w:rsidRPr="003A1174">
        <w:rPr>
          <w:rFonts w:ascii="Garamond" w:eastAsia="SimSun" w:hAnsi="Garamond" w:cs="Arial"/>
          <w:color w:val="00000A"/>
          <w:sz w:val="24"/>
          <w:szCs w:val="24"/>
        </w:rPr>
        <w:t xml:space="preserve">os </w:t>
      </w:r>
      <w:r w:rsidR="00886D6A" w:rsidRPr="003A1174">
        <w:rPr>
          <w:rFonts w:ascii="Garamond" w:eastAsia="SimSun" w:hAnsi="Garamond" w:cs="Arial"/>
          <w:color w:val="00000A"/>
          <w:sz w:val="24"/>
          <w:szCs w:val="24"/>
        </w:rPr>
        <w:t>direito</w:t>
      </w:r>
      <w:r w:rsidR="001E7144" w:rsidRPr="003A1174">
        <w:rPr>
          <w:rFonts w:ascii="Garamond" w:eastAsia="SimSun" w:hAnsi="Garamond" w:cs="Arial"/>
          <w:color w:val="00000A"/>
          <w:sz w:val="24"/>
          <w:szCs w:val="24"/>
        </w:rPr>
        <w:t xml:space="preserve">s </w:t>
      </w:r>
      <w:r w:rsidR="00CA633E" w:rsidRPr="003A1174">
        <w:rPr>
          <w:rFonts w:ascii="Garamond" w:eastAsia="SimSun" w:hAnsi="Garamond" w:cs="Arial"/>
          <w:color w:val="00000A"/>
          <w:sz w:val="24"/>
          <w:szCs w:val="24"/>
        </w:rPr>
        <w:t>fundamentais</w:t>
      </w:r>
      <w:r w:rsidR="001E7144" w:rsidRPr="003A1174">
        <w:rPr>
          <w:rFonts w:ascii="Garamond" w:eastAsia="SimSun" w:hAnsi="Garamond" w:cs="Arial"/>
          <w:color w:val="00000A"/>
          <w:sz w:val="24"/>
          <w:szCs w:val="24"/>
        </w:rPr>
        <w:t xml:space="preserve"> das </w:t>
      </w:r>
      <w:r w:rsidR="00054EE0" w:rsidRPr="003A1174">
        <w:rPr>
          <w:rFonts w:ascii="Garamond" w:eastAsia="SimSun" w:hAnsi="Garamond" w:cs="Arial"/>
          <w:color w:val="00000A"/>
          <w:sz w:val="24"/>
          <w:szCs w:val="24"/>
        </w:rPr>
        <w:t>mulheres</w:t>
      </w:r>
      <w:r w:rsidR="00CA633E" w:rsidRPr="003A1174">
        <w:rPr>
          <w:rFonts w:ascii="Garamond" w:eastAsia="SimSun" w:hAnsi="Garamond" w:cs="Arial"/>
          <w:color w:val="00000A"/>
          <w:sz w:val="24"/>
          <w:szCs w:val="24"/>
        </w:rPr>
        <w:t xml:space="preserve"> a um</w:t>
      </w:r>
      <w:r w:rsidR="001E7144" w:rsidRPr="003A1174">
        <w:rPr>
          <w:rFonts w:ascii="Garamond" w:eastAsia="SimSun" w:hAnsi="Garamond" w:cs="Arial"/>
          <w:color w:val="00000A"/>
          <w:sz w:val="24"/>
          <w:szCs w:val="24"/>
        </w:rPr>
        <w:t xml:space="preserve">a vida </w:t>
      </w:r>
      <w:r w:rsidR="00AF192F" w:rsidRPr="003A1174">
        <w:rPr>
          <w:rFonts w:ascii="Garamond" w:eastAsia="SimSun" w:hAnsi="Garamond" w:cs="Arial"/>
          <w:color w:val="00000A"/>
          <w:sz w:val="24"/>
          <w:szCs w:val="24"/>
        </w:rPr>
        <w:t>livre</w:t>
      </w:r>
      <w:r w:rsidR="001E7144" w:rsidRPr="003A1174">
        <w:rPr>
          <w:rFonts w:ascii="Garamond" w:eastAsia="SimSun" w:hAnsi="Garamond" w:cs="Arial"/>
          <w:color w:val="00000A"/>
          <w:sz w:val="24"/>
          <w:szCs w:val="24"/>
        </w:rPr>
        <w:t xml:space="preserve"> de </w:t>
      </w:r>
      <w:r w:rsidR="000350B1" w:rsidRPr="003A1174">
        <w:rPr>
          <w:rFonts w:ascii="Garamond" w:eastAsia="SimSun" w:hAnsi="Garamond" w:cs="Arial"/>
          <w:color w:val="00000A"/>
          <w:sz w:val="24"/>
          <w:szCs w:val="24"/>
        </w:rPr>
        <w:t>violência</w:t>
      </w:r>
      <w:r w:rsidR="001E7144" w:rsidRPr="003A1174">
        <w:rPr>
          <w:rFonts w:ascii="Garamond" w:eastAsia="SimSun" w:hAnsi="Garamond" w:cs="Arial"/>
          <w:color w:val="00000A"/>
          <w:sz w:val="24"/>
          <w:szCs w:val="24"/>
        </w:rPr>
        <w:t xml:space="preserve">. </w:t>
      </w:r>
    </w:p>
    <w:p w:rsidR="00281928" w:rsidRPr="003A1174" w:rsidRDefault="00CA633E" w:rsidP="008719D4">
      <w:pPr>
        <w:tabs>
          <w:tab w:val="left" w:pos="708"/>
        </w:tabs>
        <w:suppressAutoHyphens/>
        <w:spacing w:line="240" w:lineRule="auto"/>
        <w:jc w:val="both"/>
        <w:rPr>
          <w:rFonts w:ascii="Garamond" w:eastAsia="SimSun" w:hAnsi="Garamond" w:cs="Arial"/>
          <w:color w:val="00000A"/>
          <w:sz w:val="24"/>
          <w:szCs w:val="24"/>
        </w:rPr>
      </w:pPr>
      <w:r w:rsidRPr="003A1174">
        <w:rPr>
          <w:rFonts w:ascii="Garamond" w:eastAsia="SimSun" w:hAnsi="Garamond" w:cs="Arial"/>
          <w:sz w:val="24"/>
          <w:szCs w:val="24"/>
        </w:rPr>
        <w:t xml:space="preserve">Nesse </w:t>
      </w:r>
      <w:r w:rsidR="007F07D8" w:rsidRPr="003A1174">
        <w:rPr>
          <w:rFonts w:ascii="Garamond" w:eastAsia="SimSun" w:hAnsi="Garamond" w:cs="Arial"/>
          <w:sz w:val="24"/>
          <w:szCs w:val="24"/>
        </w:rPr>
        <w:t>sentido</w:t>
      </w:r>
      <w:r w:rsidR="00117A6E" w:rsidRPr="003A1174">
        <w:rPr>
          <w:rFonts w:ascii="Garamond" w:eastAsia="SimSun" w:hAnsi="Garamond" w:cs="Arial"/>
          <w:sz w:val="24"/>
          <w:szCs w:val="24"/>
        </w:rPr>
        <w:t>,</w:t>
      </w:r>
      <w:r w:rsidR="007F07D8" w:rsidRPr="003A1174">
        <w:rPr>
          <w:rFonts w:ascii="Garamond" w:eastAsia="SimSun" w:hAnsi="Garamond" w:cs="Arial"/>
          <w:sz w:val="24"/>
          <w:szCs w:val="24"/>
        </w:rPr>
        <w:t xml:space="preserve"> consider</w:t>
      </w:r>
      <w:r w:rsidRPr="003A1174">
        <w:rPr>
          <w:rFonts w:ascii="Garamond" w:eastAsia="SimSun" w:hAnsi="Garamond" w:cs="Arial"/>
          <w:sz w:val="24"/>
          <w:szCs w:val="24"/>
        </w:rPr>
        <w:t xml:space="preserve">ou-se </w:t>
      </w:r>
      <w:r w:rsidR="000866B6" w:rsidRPr="003A1174">
        <w:rPr>
          <w:rFonts w:ascii="Garamond" w:eastAsia="SimSun" w:hAnsi="Garamond" w:cs="Arial"/>
          <w:sz w:val="24"/>
          <w:szCs w:val="24"/>
        </w:rPr>
        <w:t>indispensável</w:t>
      </w:r>
      <w:r w:rsidR="007F07D8" w:rsidRPr="003A1174">
        <w:rPr>
          <w:rFonts w:ascii="Garamond" w:eastAsia="SimSun" w:hAnsi="Garamond" w:cs="Arial"/>
          <w:sz w:val="24"/>
          <w:szCs w:val="24"/>
        </w:rPr>
        <w:t xml:space="preserve"> partir de u</w:t>
      </w:r>
      <w:r w:rsidR="000866B6" w:rsidRPr="003A1174">
        <w:rPr>
          <w:rFonts w:ascii="Garamond" w:eastAsia="SimSun" w:hAnsi="Garamond" w:cs="Arial"/>
          <w:sz w:val="24"/>
          <w:szCs w:val="24"/>
        </w:rPr>
        <w:t>ma</w:t>
      </w:r>
      <w:r w:rsidR="007F07D8" w:rsidRPr="003A1174">
        <w:rPr>
          <w:rFonts w:ascii="Garamond" w:eastAsia="SimSun" w:hAnsi="Garamond" w:cs="Arial"/>
          <w:sz w:val="24"/>
          <w:szCs w:val="24"/>
        </w:rPr>
        <w:t xml:space="preserve"> </w:t>
      </w:r>
      <w:r w:rsidR="0017447A" w:rsidRPr="003A1174">
        <w:rPr>
          <w:rFonts w:ascii="Garamond" w:eastAsia="SimSun" w:hAnsi="Garamond" w:cs="Arial"/>
          <w:sz w:val="24"/>
          <w:szCs w:val="24"/>
        </w:rPr>
        <w:t>análise</w:t>
      </w:r>
      <w:r w:rsidR="007F07D8" w:rsidRPr="003A1174">
        <w:rPr>
          <w:rFonts w:ascii="Garamond" w:eastAsia="SimSun" w:hAnsi="Garamond" w:cs="Arial"/>
          <w:sz w:val="24"/>
          <w:szCs w:val="24"/>
        </w:rPr>
        <w:t xml:space="preserve"> d</w:t>
      </w:r>
      <w:r w:rsidRPr="003A1174">
        <w:rPr>
          <w:rFonts w:ascii="Garamond" w:eastAsia="SimSun" w:hAnsi="Garamond" w:cs="Arial"/>
          <w:sz w:val="24"/>
          <w:szCs w:val="24"/>
        </w:rPr>
        <w:t xml:space="preserve">o </w:t>
      </w:r>
      <w:r w:rsidR="007F07D8" w:rsidRPr="003A1174">
        <w:rPr>
          <w:rFonts w:ascii="Garamond" w:eastAsia="SimSun" w:hAnsi="Garamond" w:cs="Arial"/>
          <w:sz w:val="24"/>
          <w:szCs w:val="24"/>
        </w:rPr>
        <w:t>p</w:t>
      </w:r>
      <w:r w:rsidRPr="003A1174">
        <w:rPr>
          <w:rFonts w:ascii="Garamond" w:eastAsia="SimSun" w:hAnsi="Garamond" w:cs="Arial"/>
          <w:sz w:val="24"/>
          <w:szCs w:val="24"/>
        </w:rPr>
        <w:t>o</w:t>
      </w:r>
      <w:r w:rsidR="007F07D8" w:rsidRPr="003A1174">
        <w:rPr>
          <w:rFonts w:ascii="Garamond" w:eastAsia="SimSun" w:hAnsi="Garamond" w:cs="Arial"/>
          <w:sz w:val="24"/>
          <w:szCs w:val="24"/>
        </w:rPr>
        <w:t xml:space="preserve">nto de vista conceptual para </w:t>
      </w:r>
      <w:r w:rsidR="00D35D55">
        <w:rPr>
          <w:rFonts w:ascii="Garamond" w:eastAsia="SimSun" w:hAnsi="Garamond" w:cs="Arial"/>
          <w:sz w:val="24"/>
          <w:szCs w:val="24"/>
        </w:rPr>
        <w:t>-</w:t>
      </w:r>
      <w:r w:rsidR="00835CD1" w:rsidRPr="003A1174">
        <w:rPr>
          <w:rFonts w:ascii="Garamond" w:eastAsia="SimSun" w:hAnsi="Garamond" w:cs="Arial"/>
          <w:sz w:val="24"/>
          <w:szCs w:val="24"/>
        </w:rPr>
        <w:t xml:space="preserve"> </w:t>
      </w:r>
      <w:r w:rsidR="000866B6" w:rsidRPr="003A1174">
        <w:rPr>
          <w:rFonts w:ascii="Garamond" w:eastAsia="SimSun" w:hAnsi="Garamond" w:cs="Arial"/>
          <w:sz w:val="24"/>
          <w:szCs w:val="24"/>
        </w:rPr>
        <w:t>a partir d</w:t>
      </w:r>
      <w:r w:rsidR="007F07D8" w:rsidRPr="003A1174">
        <w:rPr>
          <w:rFonts w:ascii="Garamond" w:eastAsia="SimSun" w:hAnsi="Garamond" w:cs="Arial"/>
          <w:sz w:val="24"/>
          <w:szCs w:val="24"/>
        </w:rPr>
        <w:t xml:space="preserve">este </w:t>
      </w:r>
      <w:r w:rsidR="00253B1D" w:rsidRPr="003A1174">
        <w:rPr>
          <w:rFonts w:ascii="Garamond" w:eastAsia="SimSun" w:hAnsi="Garamond" w:cs="Arial"/>
          <w:sz w:val="24"/>
          <w:szCs w:val="24"/>
        </w:rPr>
        <w:t>quadro</w:t>
      </w:r>
      <w:r w:rsidR="007F07D8" w:rsidRPr="003A1174">
        <w:rPr>
          <w:rFonts w:ascii="Garamond" w:eastAsia="SimSun" w:hAnsi="Garamond" w:cs="Arial"/>
          <w:sz w:val="24"/>
          <w:szCs w:val="24"/>
        </w:rPr>
        <w:t xml:space="preserve"> teórico</w:t>
      </w:r>
      <w:r w:rsidR="00835CD1" w:rsidRPr="003A1174">
        <w:rPr>
          <w:rFonts w:ascii="Garamond" w:eastAsia="SimSun" w:hAnsi="Garamond" w:cs="Arial"/>
          <w:sz w:val="24"/>
          <w:szCs w:val="24"/>
        </w:rPr>
        <w:t xml:space="preserve"> </w:t>
      </w:r>
      <w:r w:rsidR="00D35D55">
        <w:rPr>
          <w:rFonts w:ascii="Garamond" w:eastAsia="SimSun" w:hAnsi="Garamond" w:cs="Arial"/>
          <w:sz w:val="24"/>
          <w:szCs w:val="24"/>
        </w:rPr>
        <w:t>-</w:t>
      </w:r>
      <w:r w:rsidR="007F07D8" w:rsidRPr="003A1174">
        <w:rPr>
          <w:rFonts w:ascii="Garamond" w:eastAsia="SimSun" w:hAnsi="Garamond" w:cs="Arial"/>
          <w:sz w:val="24"/>
          <w:szCs w:val="24"/>
        </w:rPr>
        <w:t xml:space="preserve"> poder </w:t>
      </w:r>
      <w:r w:rsidR="000866B6" w:rsidRPr="003A1174">
        <w:rPr>
          <w:rFonts w:ascii="Garamond" w:eastAsia="SimSun" w:hAnsi="Garamond" w:cs="Arial"/>
          <w:sz w:val="24"/>
          <w:szCs w:val="24"/>
        </w:rPr>
        <w:t>compreender</w:t>
      </w:r>
      <w:r w:rsidR="007F07D8" w:rsidRPr="003A1174">
        <w:rPr>
          <w:rFonts w:ascii="Garamond" w:eastAsia="SimSun" w:hAnsi="Garamond" w:cs="Arial"/>
          <w:sz w:val="24"/>
          <w:szCs w:val="24"/>
        </w:rPr>
        <w:t xml:space="preserve"> </w:t>
      </w:r>
      <w:r w:rsidR="00835CD1" w:rsidRPr="003A1174">
        <w:rPr>
          <w:rFonts w:ascii="Garamond" w:eastAsia="SimSun" w:hAnsi="Garamond" w:cs="Arial"/>
          <w:sz w:val="24"/>
          <w:szCs w:val="24"/>
        </w:rPr>
        <w:t>rigorosamente</w:t>
      </w:r>
      <w:r w:rsidR="007F07D8" w:rsidRPr="003A1174">
        <w:rPr>
          <w:rFonts w:ascii="Garamond" w:eastAsia="SimSun" w:hAnsi="Garamond" w:cs="Arial"/>
          <w:sz w:val="24"/>
          <w:szCs w:val="24"/>
        </w:rPr>
        <w:t xml:space="preserve"> a </w:t>
      </w:r>
      <w:r w:rsidR="0017447A" w:rsidRPr="003A1174">
        <w:rPr>
          <w:rFonts w:ascii="Garamond" w:eastAsia="SimSun" w:hAnsi="Garamond" w:cs="Arial"/>
          <w:sz w:val="24"/>
          <w:szCs w:val="24"/>
        </w:rPr>
        <w:t>informação</w:t>
      </w:r>
      <w:r w:rsidR="007F07D8" w:rsidRPr="003A1174">
        <w:rPr>
          <w:rFonts w:ascii="Garamond" w:eastAsia="SimSun" w:hAnsi="Garamond" w:cs="Arial"/>
          <w:sz w:val="24"/>
          <w:szCs w:val="24"/>
        </w:rPr>
        <w:t xml:space="preserve"> </w:t>
      </w:r>
      <w:r w:rsidR="00973DDE" w:rsidRPr="003A1174">
        <w:rPr>
          <w:rFonts w:ascii="Garamond" w:eastAsia="SimSun" w:hAnsi="Garamond" w:cs="Arial"/>
          <w:sz w:val="24"/>
          <w:szCs w:val="24"/>
        </w:rPr>
        <w:t xml:space="preserve">fornecida </w:t>
      </w:r>
      <w:r w:rsidR="007F07D8" w:rsidRPr="003A1174">
        <w:rPr>
          <w:rFonts w:ascii="Garamond" w:eastAsia="SimSun" w:hAnsi="Garamond" w:cs="Arial"/>
          <w:sz w:val="24"/>
          <w:szCs w:val="24"/>
        </w:rPr>
        <w:t>p</w:t>
      </w:r>
      <w:r w:rsidR="00973DDE" w:rsidRPr="003A1174">
        <w:rPr>
          <w:rFonts w:ascii="Garamond" w:eastAsia="SimSun" w:hAnsi="Garamond" w:cs="Arial"/>
          <w:sz w:val="24"/>
          <w:szCs w:val="24"/>
        </w:rPr>
        <w:t>e</w:t>
      </w:r>
      <w:r w:rsidR="007F07D8" w:rsidRPr="003A1174">
        <w:rPr>
          <w:rFonts w:ascii="Garamond" w:eastAsia="SimSun" w:hAnsi="Garamond" w:cs="Arial"/>
          <w:sz w:val="24"/>
          <w:szCs w:val="24"/>
        </w:rPr>
        <w:t xml:space="preserve">las </w:t>
      </w:r>
      <w:r w:rsidR="00973DDE" w:rsidRPr="003A1174">
        <w:rPr>
          <w:rFonts w:ascii="Garamond" w:eastAsia="SimSun" w:hAnsi="Garamond" w:cs="Arial"/>
          <w:sz w:val="24"/>
          <w:szCs w:val="24"/>
        </w:rPr>
        <w:t xml:space="preserve">agências </w:t>
      </w:r>
      <w:r w:rsidR="00C444F4" w:rsidRPr="003A1174">
        <w:rPr>
          <w:rFonts w:ascii="Garamond" w:eastAsia="SimSun" w:hAnsi="Garamond" w:cs="Arial"/>
          <w:sz w:val="24"/>
          <w:szCs w:val="24"/>
        </w:rPr>
        <w:t xml:space="preserve">de </w:t>
      </w:r>
      <w:r w:rsidR="00281928" w:rsidRPr="003A1174">
        <w:rPr>
          <w:rFonts w:ascii="Garamond" w:hAnsi="Garamond" w:cs="Arial"/>
          <w:sz w:val="24"/>
          <w:szCs w:val="24"/>
        </w:rPr>
        <w:t xml:space="preserve">Ombudsman </w:t>
      </w:r>
      <w:r w:rsidR="000866B6" w:rsidRPr="003A1174">
        <w:rPr>
          <w:rFonts w:ascii="Garamond" w:eastAsia="SimSun" w:hAnsi="Garamond" w:cs="Arial"/>
          <w:sz w:val="24"/>
          <w:szCs w:val="24"/>
        </w:rPr>
        <w:t>integrantes d</w:t>
      </w:r>
      <w:r w:rsidR="007F07D8" w:rsidRPr="003A1174">
        <w:rPr>
          <w:rFonts w:ascii="Garamond" w:eastAsia="SimSun" w:hAnsi="Garamond" w:cs="Arial"/>
          <w:sz w:val="24"/>
          <w:szCs w:val="24"/>
        </w:rPr>
        <w:t>a FIO</w:t>
      </w:r>
      <w:r w:rsidR="00117A6E" w:rsidRPr="003A1174">
        <w:rPr>
          <w:rFonts w:ascii="Garamond" w:eastAsia="SimSun" w:hAnsi="Garamond" w:cs="Arial"/>
          <w:sz w:val="24"/>
          <w:szCs w:val="24"/>
        </w:rPr>
        <w:t>.</w:t>
      </w:r>
      <w:r w:rsidR="007F07D8" w:rsidRPr="003A1174">
        <w:rPr>
          <w:rFonts w:ascii="Garamond" w:eastAsia="SimSun" w:hAnsi="Garamond" w:cs="Arial"/>
          <w:sz w:val="24"/>
          <w:szCs w:val="24"/>
        </w:rPr>
        <w:t xml:space="preserve"> </w:t>
      </w:r>
      <w:r w:rsidR="00117A6E" w:rsidRPr="003A1174">
        <w:rPr>
          <w:rFonts w:ascii="Garamond" w:eastAsia="SimSun" w:hAnsi="Garamond" w:cs="Arial"/>
          <w:sz w:val="24"/>
          <w:szCs w:val="24"/>
        </w:rPr>
        <w:t xml:space="preserve">Para </w:t>
      </w:r>
      <w:r w:rsidR="00973DDE" w:rsidRPr="003A1174">
        <w:rPr>
          <w:rFonts w:ascii="Garamond" w:eastAsia="SimSun" w:hAnsi="Garamond" w:cs="Arial"/>
          <w:sz w:val="24"/>
          <w:szCs w:val="24"/>
        </w:rPr>
        <w:t>o efei</w:t>
      </w:r>
      <w:r w:rsidR="00117A6E" w:rsidRPr="003A1174">
        <w:rPr>
          <w:rFonts w:ascii="Garamond" w:eastAsia="SimSun" w:hAnsi="Garamond" w:cs="Arial"/>
          <w:sz w:val="24"/>
          <w:szCs w:val="24"/>
        </w:rPr>
        <w:t xml:space="preserve">to, esta </w:t>
      </w:r>
      <w:r w:rsidR="0017447A" w:rsidRPr="003A1174">
        <w:rPr>
          <w:rFonts w:ascii="Garamond" w:eastAsia="SimSun" w:hAnsi="Garamond" w:cs="Arial"/>
          <w:sz w:val="24"/>
          <w:szCs w:val="24"/>
        </w:rPr>
        <w:t>informação</w:t>
      </w:r>
      <w:r w:rsidR="007F07D8" w:rsidRPr="003A1174">
        <w:rPr>
          <w:rFonts w:ascii="Garamond" w:eastAsia="SimSun" w:hAnsi="Garamond" w:cs="Arial"/>
          <w:sz w:val="24"/>
          <w:szCs w:val="24"/>
        </w:rPr>
        <w:t xml:space="preserve"> </w:t>
      </w:r>
      <w:r w:rsidR="000866B6" w:rsidRPr="003A1174">
        <w:rPr>
          <w:rFonts w:ascii="Garamond" w:eastAsia="SimSun" w:hAnsi="Garamond" w:cs="Arial"/>
          <w:sz w:val="24"/>
          <w:szCs w:val="24"/>
        </w:rPr>
        <w:t xml:space="preserve">foi </w:t>
      </w:r>
      <w:r w:rsidR="007F07D8" w:rsidRPr="003A1174">
        <w:rPr>
          <w:rFonts w:ascii="Garamond" w:eastAsia="SimSun" w:hAnsi="Garamond" w:cs="Arial"/>
          <w:sz w:val="24"/>
          <w:szCs w:val="24"/>
        </w:rPr>
        <w:t>sistematizada a partir de u</w:t>
      </w:r>
      <w:r w:rsidR="00973DDE" w:rsidRPr="003A1174">
        <w:rPr>
          <w:rFonts w:ascii="Garamond" w:eastAsia="SimSun" w:hAnsi="Garamond" w:cs="Arial"/>
          <w:sz w:val="24"/>
          <w:szCs w:val="24"/>
        </w:rPr>
        <w:t>m</w:t>
      </w:r>
      <w:r w:rsidR="00835CD1" w:rsidRPr="003A1174">
        <w:rPr>
          <w:rFonts w:ascii="Garamond" w:eastAsia="SimSun" w:hAnsi="Garamond" w:cs="Arial"/>
          <w:sz w:val="24"/>
          <w:szCs w:val="24"/>
        </w:rPr>
        <w:t>a ordem temática</w:t>
      </w:r>
      <w:r w:rsidR="007F07D8" w:rsidRPr="003A1174">
        <w:rPr>
          <w:rFonts w:ascii="Garamond" w:eastAsia="SimSun" w:hAnsi="Garamond" w:cs="Arial"/>
          <w:sz w:val="24"/>
          <w:szCs w:val="24"/>
        </w:rPr>
        <w:t xml:space="preserve"> previamente</w:t>
      </w:r>
      <w:r w:rsidR="00835CD1" w:rsidRPr="003A1174">
        <w:rPr>
          <w:rFonts w:ascii="Garamond" w:eastAsia="SimSun" w:hAnsi="Garamond" w:cs="Arial"/>
          <w:sz w:val="24"/>
          <w:szCs w:val="24"/>
        </w:rPr>
        <w:t xml:space="preserve"> acordada </w:t>
      </w:r>
      <w:r w:rsidR="00973DDE" w:rsidRPr="003A1174">
        <w:rPr>
          <w:rFonts w:ascii="Garamond" w:eastAsia="SimSun" w:hAnsi="Garamond" w:cs="Arial"/>
          <w:sz w:val="24"/>
          <w:szCs w:val="24"/>
        </w:rPr>
        <w:t xml:space="preserve">e </w:t>
      </w:r>
      <w:r w:rsidR="00BA3CCE" w:rsidRPr="003A1174">
        <w:rPr>
          <w:rFonts w:ascii="Garamond" w:eastAsia="SimSun" w:hAnsi="Garamond" w:cs="Arial"/>
          <w:sz w:val="24"/>
          <w:szCs w:val="24"/>
        </w:rPr>
        <w:t>distribuída</w:t>
      </w:r>
      <w:r w:rsidR="007F07D8" w:rsidRPr="003A1174">
        <w:rPr>
          <w:rFonts w:ascii="Garamond" w:eastAsia="SimSun" w:hAnsi="Garamond" w:cs="Arial"/>
          <w:sz w:val="24"/>
          <w:szCs w:val="24"/>
        </w:rPr>
        <w:t xml:space="preserve">, que </w:t>
      </w:r>
      <w:r w:rsidR="00973DDE" w:rsidRPr="003A1174">
        <w:rPr>
          <w:rFonts w:ascii="Garamond" w:eastAsia="SimSun" w:hAnsi="Garamond" w:cs="Arial"/>
          <w:sz w:val="24"/>
          <w:szCs w:val="24"/>
        </w:rPr>
        <w:t>tentou</w:t>
      </w:r>
      <w:r w:rsidR="00835CD1" w:rsidRPr="003A1174">
        <w:rPr>
          <w:rFonts w:ascii="Garamond" w:eastAsia="SimSun" w:hAnsi="Garamond" w:cs="Arial"/>
          <w:sz w:val="24"/>
          <w:szCs w:val="24"/>
        </w:rPr>
        <w:t xml:space="preserve"> agregar </w:t>
      </w:r>
      <w:r w:rsidR="0017447A" w:rsidRPr="003A1174">
        <w:rPr>
          <w:rFonts w:ascii="Garamond" w:eastAsia="SimSun" w:hAnsi="Garamond" w:cs="Arial"/>
          <w:sz w:val="24"/>
          <w:szCs w:val="24"/>
        </w:rPr>
        <w:t>informação</w:t>
      </w:r>
      <w:r w:rsidR="007F07D8" w:rsidRPr="003A1174">
        <w:rPr>
          <w:rFonts w:ascii="Garamond" w:eastAsia="SimSun" w:hAnsi="Garamond" w:cs="Arial"/>
          <w:sz w:val="24"/>
          <w:szCs w:val="24"/>
        </w:rPr>
        <w:t xml:space="preserve"> e</w:t>
      </w:r>
      <w:r w:rsidR="00973DDE" w:rsidRPr="003A1174">
        <w:rPr>
          <w:rFonts w:ascii="Garamond" w:eastAsia="SimSun" w:hAnsi="Garamond" w:cs="Arial"/>
          <w:sz w:val="24"/>
          <w:szCs w:val="24"/>
        </w:rPr>
        <w:t>m</w:t>
      </w:r>
      <w:r w:rsidR="007F07D8" w:rsidRPr="003A1174">
        <w:rPr>
          <w:rFonts w:ascii="Garamond" w:eastAsia="SimSun" w:hAnsi="Garamond" w:cs="Arial"/>
          <w:sz w:val="24"/>
          <w:szCs w:val="24"/>
        </w:rPr>
        <w:t xml:space="preserve"> torno </w:t>
      </w:r>
      <w:r w:rsidR="00973DDE" w:rsidRPr="003A1174">
        <w:rPr>
          <w:rFonts w:ascii="Garamond" w:eastAsia="SimSun" w:hAnsi="Garamond" w:cs="Arial"/>
          <w:sz w:val="24"/>
          <w:szCs w:val="24"/>
        </w:rPr>
        <w:t>do assunto</w:t>
      </w:r>
      <w:r w:rsidR="007F07D8" w:rsidRPr="003A1174">
        <w:rPr>
          <w:rFonts w:ascii="Garamond" w:eastAsia="SimSun" w:hAnsi="Garamond" w:cs="Arial"/>
          <w:sz w:val="24"/>
          <w:szCs w:val="24"/>
        </w:rPr>
        <w:t xml:space="preserve"> </w:t>
      </w:r>
      <w:r w:rsidR="00973DDE" w:rsidRPr="003A1174">
        <w:rPr>
          <w:rFonts w:ascii="Garamond" w:eastAsia="SimSun" w:hAnsi="Garamond" w:cs="Arial"/>
          <w:sz w:val="24"/>
          <w:szCs w:val="24"/>
        </w:rPr>
        <w:t>chave</w:t>
      </w:r>
      <w:r w:rsidR="00835CD1" w:rsidRPr="003A1174">
        <w:rPr>
          <w:rFonts w:ascii="Garamond" w:eastAsia="SimSun" w:hAnsi="Garamond" w:cs="Arial"/>
          <w:sz w:val="24"/>
          <w:szCs w:val="24"/>
        </w:rPr>
        <w:t>, que é a</w:t>
      </w:r>
      <w:r w:rsidR="007F07D8" w:rsidRPr="003A1174">
        <w:rPr>
          <w:rFonts w:ascii="Garamond" w:eastAsia="SimSun" w:hAnsi="Garamond" w:cs="Arial"/>
          <w:sz w:val="24"/>
          <w:szCs w:val="24"/>
        </w:rPr>
        <w:t xml:space="preserve"> </w:t>
      </w:r>
      <w:r w:rsidR="000350B1" w:rsidRPr="003A1174">
        <w:rPr>
          <w:rFonts w:ascii="Garamond" w:eastAsia="SimSun" w:hAnsi="Garamond" w:cs="Arial"/>
          <w:i/>
          <w:sz w:val="24"/>
          <w:szCs w:val="24"/>
        </w:rPr>
        <w:t>violência</w:t>
      </w:r>
      <w:r w:rsidR="007F07D8" w:rsidRPr="003A1174">
        <w:rPr>
          <w:rFonts w:ascii="Garamond" w:eastAsia="SimSun" w:hAnsi="Garamond" w:cs="Arial"/>
          <w:i/>
          <w:sz w:val="24"/>
          <w:szCs w:val="24"/>
        </w:rPr>
        <w:t xml:space="preserve"> doméstica o</w:t>
      </w:r>
      <w:r w:rsidR="00973DDE" w:rsidRPr="003A1174">
        <w:rPr>
          <w:rFonts w:ascii="Garamond" w:eastAsia="SimSun" w:hAnsi="Garamond" w:cs="Arial"/>
          <w:i/>
          <w:sz w:val="24"/>
          <w:szCs w:val="24"/>
        </w:rPr>
        <w:t>u</w:t>
      </w:r>
      <w:r w:rsidR="007F07D8" w:rsidRPr="003A1174">
        <w:rPr>
          <w:rFonts w:ascii="Garamond" w:eastAsia="SimSun" w:hAnsi="Garamond" w:cs="Arial"/>
          <w:sz w:val="24"/>
          <w:szCs w:val="24"/>
        </w:rPr>
        <w:t xml:space="preserve"> </w:t>
      </w:r>
      <w:r w:rsidR="007F07D8" w:rsidRPr="003A1174">
        <w:rPr>
          <w:rFonts w:ascii="Garamond" w:eastAsia="SimSun" w:hAnsi="Garamond" w:cs="Arial"/>
          <w:i/>
          <w:sz w:val="24"/>
          <w:szCs w:val="24"/>
        </w:rPr>
        <w:t>intrafamiliar</w:t>
      </w:r>
      <w:r w:rsidR="007F07D8" w:rsidRPr="003A1174">
        <w:rPr>
          <w:rFonts w:ascii="Garamond" w:eastAsia="SimSun" w:hAnsi="Garamond" w:cs="Arial"/>
          <w:sz w:val="24"/>
          <w:szCs w:val="24"/>
        </w:rPr>
        <w:t xml:space="preserve"> que </w:t>
      </w:r>
      <w:r w:rsidR="00973DDE" w:rsidRPr="003A1174">
        <w:rPr>
          <w:rFonts w:ascii="Garamond" w:eastAsia="SimSun" w:hAnsi="Garamond" w:cs="Arial"/>
          <w:sz w:val="24"/>
          <w:szCs w:val="24"/>
        </w:rPr>
        <w:t>afe</w:t>
      </w:r>
      <w:r w:rsidR="00C444F4" w:rsidRPr="003A1174">
        <w:rPr>
          <w:rFonts w:ascii="Garamond" w:eastAsia="SimSun" w:hAnsi="Garamond" w:cs="Arial"/>
          <w:sz w:val="24"/>
          <w:szCs w:val="24"/>
        </w:rPr>
        <w:t xml:space="preserve">ta </w:t>
      </w:r>
      <w:r w:rsidR="007F07D8" w:rsidRPr="003A1174">
        <w:rPr>
          <w:rFonts w:ascii="Garamond" w:eastAsia="SimSun" w:hAnsi="Garamond" w:cs="Arial"/>
          <w:sz w:val="24"/>
          <w:szCs w:val="24"/>
        </w:rPr>
        <w:t xml:space="preserve">as </w:t>
      </w:r>
      <w:r w:rsidR="00054EE0" w:rsidRPr="003A1174">
        <w:rPr>
          <w:rFonts w:ascii="Garamond" w:eastAsia="SimSun" w:hAnsi="Garamond" w:cs="Arial"/>
          <w:sz w:val="24"/>
          <w:szCs w:val="24"/>
        </w:rPr>
        <w:t>mulheres</w:t>
      </w:r>
      <w:r w:rsidR="007F07D8" w:rsidRPr="003A1174">
        <w:rPr>
          <w:rFonts w:ascii="Garamond" w:eastAsia="SimSun" w:hAnsi="Garamond" w:cs="Arial"/>
          <w:sz w:val="24"/>
          <w:szCs w:val="24"/>
        </w:rPr>
        <w:t xml:space="preserve">, </w:t>
      </w:r>
      <w:r w:rsidR="00973DDE" w:rsidRPr="003A1174">
        <w:rPr>
          <w:rFonts w:ascii="Garamond" w:eastAsia="SimSun" w:hAnsi="Garamond" w:cs="Arial"/>
          <w:sz w:val="24"/>
          <w:szCs w:val="24"/>
        </w:rPr>
        <w:t xml:space="preserve">de acordo com o que se mostra na </w:t>
      </w:r>
      <w:r w:rsidR="0017447A" w:rsidRPr="003A1174">
        <w:rPr>
          <w:rFonts w:ascii="Garamond" w:eastAsia="SimSun" w:hAnsi="Garamond" w:cs="Arial"/>
          <w:sz w:val="24"/>
          <w:szCs w:val="24"/>
        </w:rPr>
        <w:t>experiência</w:t>
      </w:r>
      <w:r w:rsidR="007F07D8" w:rsidRPr="003A1174">
        <w:rPr>
          <w:rFonts w:ascii="Garamond" w:eastAsia="SimSun" w:hAnsi="Garamond" w:cs="Arial"/>
          <w:sz w:val="24"/>
          <w:szCs w:val="24"/>
        </w:rPr>
        <w:t xml:space="preserve"> de </w:t>
      </w:r>
      <w:r w:rsidR="00D01B8C" w:rsidRPr="003A1174">
        <w:rPr>
          <w:rFonts w:ascii="Garamond" w:eastAsia="SimSun" w:hAnsi="Garamond" w:cs="Arial"/>
          <w:sz w:val="24"/>
          <w:szCs w:val="24"/>
        </w:rPr>
        <w:t xml:space="preserve">13 países iberoamericanos: </w:t>
      </w:r>
      <w:r w:rsidR="007F07D8" w:rsidRPr="003A1174">
        <w:rPr>
          <w:rFonts w:ascii="Garamond" w:eastAsia="SimSun" w:hAnsi="Garamond" w:cs="Arial"/>
          <w:sz w:val="24"/>
          <w:szCs w:val="24"/>
        </w:rPr>
        <w:t xml:space="preserve">Argentina, </w:t>
      </w:r>
      <w:r w:rsidR="00C30647" w:rsidRPr="003A1174">
        <w:rPr>
          <w:rFonts w:ascii="Garamond" w:eastAsia="SimSun" w:hAnsi="Garamond" w:cs="Arial"/>
          <w:sz w:val="24"/>
          <w:szCs w:val="24"/>
        </w:rPr>
        <w:t>Bolívia</w:t>
      </w:r>
      <w:r w:rsidR="007F07D8" w:rsidRPr="003A1174">
        <w:rPr>
          <w:rFonts w:ascii="Garamond" w:eastAsia="SimSun" w:hAnsi="Garamond" w:cs="Arial"/>
          <w:sz w:val="24"/>
          <w:szCs w:val="24"/>
        </w:rPr>
        <w:t xml:space="preserve">, </w:t>
      </w:r>
      <w:r w:rsidR="0017447A" w:rsidRPr="003A1174">
        <w:rPr>
          <w:rFonts w:ascii="Garamond" w:eastAsia="SimSun" w:hAnsi="Garamond" w:cs="Arial"/>
          <w:sz w:val="24"/>
          <w:szCs w:val="24"/>
        </w:rPr>
        <w:t>Colômbia</w:t>
      </w:r>
      <w:r w:rsidR="007F07D8" w:rsidRPr="003A1174">
        <w:rPr>
          <w:rFonts w:ascii="Garamond" w:eastAsia="SimSun" w:hAnsi="Garamond" w:cs="Arial"/>
          <w:sz w:val="24"/>
          <w:szCs w:val="24"/>
        </w:rPr>
        <w:t xml:space="preserve">, </w:t>
      </w:r>
      <w:r w:rsidR="00C15385" w:rsidRPr="003A1174">
        <w:rPr>
          <w:rFonts w:ascii="Garamond" w:eastAsia="SimSun" w:hAnsi="Garamond" w:cs="Arial"/>
          <w:sz w:val="24"/>
          <w:szCs w:val="24"/>
        </w:rPr>
        <w:t xml:space="preserve">Costa Rica, El Salvador, </w:t>
      </w:r>
      <w:r w:rsidR="00F92EC2" w:rsidRPr="003A1174">
        <w:rPr>
          <w:rFonts w:ascii="Garamond" w:eastAsia="SimSun" w:hAnsi="Garamond" w:cs="Arial"/>
          <w:sz w:val="24"/>
          <w:szCs w:val="24"/>
        </w:rPr>
        <w:t xml:space="preserve">Honduras, </w:t>
      </w:r>
      <w:r w:rsidR="007F07D8" w:rsidRPr="003A1174">
        <w:rPr>
          <w:rFonts w:ascii="Garamond" w:eastAsia="SimSun" w:hAnsi="Garamond" w:cs="Arial"/>
          <w:sz w:val="24"/>
          <w:szCs w:val="24"/>
        </w:rPr>
        <w:t xml:space="preserve">México, </w:t>
      </w:r>
      <w:r w:rsidR="00C30647" w:rsidRPr="003A1174">
        <w:rPr>
          <w:rFonts w:ascii="Garamond" w:eastAsia="SimSun" w:hAnsi="Garamond" w:cs="Arial"/>
          <w:sz w:val="24"/>
          <w:szCs w:val="24"/>
        </w:rPr>
        <w:t>Paraguai</w:t>
      </w:r>
      <w:r w:rsidR="009B7DC1" w:rsidRPr="003A1174">
        <w:rPr>
          <w:rFonts w:ascii="Garamond" w:eastAsia="SimSun" w:hAnsi="Garamond" w:cs="Arial"/>
          <w:sz w:val="24"/>
          <w:szCs w:val="24"/>
        </w:rPr>
        <w:t xml:space="preserve">, </w:t>
      </w:r>
      <w:r w:rsidR="00C30647" w:rsidRPr="003A1174">
        <w:rPr>
          <w:rFonts w:ascii="Garamond" w:eastAsia="SimSun" w:hAnsi="Garamond" w:cs="Arial"/>
          <w:sz w:val="24"/>
          <w:szCs w:val="24"/>
        </w:rPr>
        <w:t>Peru</w:t>
      </w:r>
      <w:r w:rsidR="007F07D8" w:rsidRPr="003A1174">
        <w:rPr>
          <w:rFonts w:ascii="Garamond" w:eastAsia="SimSun" w:hAnsi="Garamond" w:cs="Arial"/>
          <w:sz w:val="24"/>
          <w:szCs w:val="24"/>
        </w:rPr>
        <w:t xml:space="preserve">, </w:t>
      </w:r>
      <w:r w:rsidR="0017447A" w:rsidRPr="003A1174">
        <w:rPr>
          <w:rFonts w:ascii="Garamond" w:eastAsia="SimSun" w:hAnsi="Garamond" w:cs="Arial"/>
          <w:sz w:val="24"/>
          <w:szCs w:val="24"/>
        </w:rPr>
        <w:t>Porto</w:t>
      </w:r>
      <w:r w:rsidR="007F07D8" w:rsidRPr="003A1174">
        <w:rPr>
          <w:rFonts w:ascii="Garamond" w:eastAsia="SimSun" w:hAnsi="Garamond" w:cs="Arial"/>
          <w:sz w:val="24"/>
          <w:szCs w:val="24"/>
        </w:rPr>
        <w:t xml:space="preserve"> Rico, </w:t>
      </w:r>
      <w:r w:rsidR="00C30647" w:rsidRPr="003A1174">
        <w:rPr>
          <w:rFonts w:ascii="Garamond" w:eastAsia="SimSun" w:hAnsi="Garamond" w:cs="Arial"/>
          <w:sz w:val="24"/>
          <w:szCs w:val="24"/>
        </w:rPr>
        <w:t>Uruguai</w:t>
      </w:r>
      <w:r w:rsidR="007F07D8" w:rsidRPr="003A1174">
        <w:rPr>
          <w:rFonts w:ascii="Garamond" w:eastAsia="SimSun" w:hAnsi="Garamond" w:cs="Arial"/>
          <w:sz w:val="24"/>
          <w:szCs w:val="24"/>
        </w:rPr>
        <w:t xml:space="preserve">, Venezuela </w:t>
      </w:r>
      <w:r w:rsidR="00973DDE" w:rsidRPr="003A1174">
        <w:rPr>
          <w:rFonts w:ascii="Garamond" w:eastAsia="SimSun" w:hAnsi="Garamond" w:cs="Arial"/>
          <w:sz w:val="24"/>
          <w:szCs w:val="24"/>
        </w:rPr>
        <w:t>e em algum</w:t>
      </w:r>
      <w:r w:rsidR="007F07D8" w:rsidRPr="003A1174">
        <w:rPr>
          <w:rFonts w:ascii="Garamond" w:eastAsia="SimSun" w:hAnsi="Garamond" w:cs="Arial"/>
          <w:sz w:val="24"/>
          <w:szCs w:val="24"/>
        </w:rPr>
        <w:t xml:space="preserve">a medida </w:t>
      </w:r>
      <w:r w:rsidR="0017447A" w:rsidRPr="003A1174">
        <w:rPr>
          <w:rFonts w:ascii="Garamond" w:eastAsia="SimSun" w:hAnsi="Garamond" w:cs="Arial"/>
          <w:sz w:val="24"/>
          <w:szCs w:val="24"/>
        </w:rPr>
        <w:t>Espanha</w:t>
      </w:r>
      <w:r w:rsidR="007F07D8" w:rsidRPr="003A1174">
        <w:rPr>
          <w:rFonts w:ascii="Garamond" w:eastAsia="SimSun" w:hAnsi="Garamond" w:cs="Arial"/>
          <w:sz w:val="24"/>
          <w:szCs w:val="24"/>
        </w:rPr>
        <w:t xml:space="preserve">. </w:t>
      </w:r>
      <w:r w:rsidR="00973DDE" w:rsidRPr="003A1174">
        <w:rPr>
          <w:rFonts w:ascii="Garamond" w:eastAsia="SimSun" w:hAnsi="Garamond" w:cs="Arial"/>
          <w:sz w:val="24"/>
          <w:szCs w:val="24"/>
        </w:rPr>
        <w:t xml:space="preserve">O </w:t>
      </w:r>
      <w:r w:rsidR="00281928" w:rsidRPr="003A1174">
        <w:rPr>
          <w:rFonts w:ascii="Garamond" w:hAnsi="Garamond" w:cs="Arial"/>
          <w:sz w:val="24"/>
          <w:szCs w:val="24"/>
        </w:rPr>
        <w:t xml:space="preserve">período de </w:t>
      </w:r>
      <w:r w:rsidR="003F012B" w:rsidRPr="003A1174">
        <w:rPr>
          <w:rFonts w:ascii="Garamond" w:hAnsi="Garamond" w:cs="Arial"/>
          <w:sz w:val="24"/>
          <w:szCs w:val="24"/>
        </w:rPr>
        <w:t>tempo</w:t>
      </w:r>
      <w:r w:rsidR="00281928" w:rsidRPr="003A1174">
        <w:rPr>
          <w:rFonts w:ascii="Garamond" w:hAnsi="Garamond" w:cs="Arial"/>
          <w:sz w:val="24"/>
          <w:szCs w:val="24"/>
        </w:rPr>
        <w:t xml:space="preserve"> </w:t>
      </w:r>
      <w:r w:rsidR="00EF645F" w:rsidRPr="003A1174">
        <w:rPr>
          <w:rFonts w:ascii="Garamond" w:hAnsi="Garamond" w:cs="Arial"/>
          <w:sz w:val="24"/>
          <w:szCs w:val="24"/>
        </w:rPr>
        <w:t>matéria</w:t>
      </w:r>
      <w:r w:rsidR="00281928" w:rsidRPr="003A1174">
        <w:rPr>
          <w:rFonts w:ascii="Garamond" w:hAnsi="Garamond" w:cs="Arial"/>
          <w:sz w:val="24"/>
          <w:szCs w:val="24"/>
        </w:rPr>
        <w:t xml:space="preserve"> da </w:t>
      </w:r>
      <w:r w:rsidR="00800D59" w:rsidRPr="003A1174">
        <w:rPr>
          <w:rFonts w:ascii="Garamond" w:hAnsi="Garamond" w:cs="Arial"/>
          <w:sz w:val="24"/>
          <w:szCs w:val="24"/>
        </w:rPr>
        <w:t>sistematização</w:t>
      </w:r>
      <w:r w:rsidR="00281928" w:rsidRPr="003A1174">
        <w:rPr>
          <w:rFonts w:ascii="Garamond" w:hAnsi="Garamond" w:cs="Arial"/>
          <w:sz w:val="24"/>
          <w:szCs w:val="24"/>
        </w:rPr>
        <w:t xml:space="preserve"> compr</w:t>
      </w:r>
      <w:r w:rsidR="00973DDE" w:rsidRPr="003A1174">
        <w:rPr>
          <w:rFonts w:ascii="Garamond" w:hAnsi="Garamond" w:cs="Arial"/>
          <w:sz w:val="24"/>
          <w:szCs w:val="24"/>
        </w:rPr>
        <w:t xml:space="preserve">eende </w:t>
      </w:r>
      <w:r w:rsidR="00281928" w:rsidRPr="003A1174">
        <w:rPr>
          <w:rFonts w:ascii="Garamond" w:hAnsi="Garamond" w:cs="Arial"/>
          <w:sz w:val="24"/>
          <w:szCs w:val="24"/>
        </w:rPr>
        <w:t xml:space="preserve">os </w:t>
      </w:r>
      <w:r w:rsidR="00FC1F7F" w:rsidRPr="003A1174">
        <w:rPr>
          <w:rFonts w:ascii="Garamond" w:hAnsi="Garamond" w:cs="Arial"/>
          <w:sz w:val="24"/>
          <w:szCs w:val="24"/>
        </w:rPr>
        <w:t>avanços</w:t>
      </w:r>
      <w:r w:rsidR="00281928" w:rsidRPr="003A1174">
        <w:rPr>
          <w:rFonts w:ascii="Garamond" w:hAnsi="Garamond" w:cs="Arial"/>
          <w:sz w:val="24"/>
          <w:szCs w:val="24"/>
        </w:rPr>
        <w:t xml:space="preserve"> o</w:t>
      </w:r>
      <w:r w:rsidR="00973DDE" w:rsidRPr="003A1174">
        <w:rPr>
          <w:rFonts w:ascii="Garamond" w:hAnsi="Garamond" w:cs="Arial"/>
          <w:sz w:val="24"/>
          <w:szCs w:val="24"/>
        </w:rPr>
        <w:t>u</w:t>
      </w:r>
      <w:r w:rsidR="00281928" w:rsidRPr="003A1174">
        <w:rPr>
          <w:rFonts w:ascii="Garamond" w:hAnsi="Garamond" w:cs="Arial"/>
          <w:sz w:val="24"/>
          <w:szCs w:val="24"/>
        </w:rPr>
        <w:t xml:space="preserve"> </w:t>
      </w:r>
      <w:r w:rsidR="005D38DC" w:rsidRPr="003A1174">
        <w:rPr>
          <w:rFonts w:ascii="Garamond" w:hAnsi="Garamond" w:cs="Arial"/>
          <w:sz w:val="24"/>
          <w:szCs w:val="24"/>
        </w:rPr>
        <w:t>limitações</w:t>
      </w:r>
      <w:r w:rsidR="00281928" w:rsidRPr="003A1174">
        <w:rPr>
          <w:rFonts w:ascii="Garamond" w:hAnsi="Garamond" w:cs="Arial"/>
          <w:sz w:val="24"/>
          <w:szCs w:val="24"/>
        </w:rPr>
        <w:t xml:space="preserve"> </w:t>
      </w:r>
      <w:r w:rsidR="00835CD1" w:rsidRPr="003A1174">
        <w:rPr>
          <w:rFonts w:ascii="Garamond" w:hAnsi="Garamond" w:cs="Arial"/>
          <w:sz w:val="24"/>
          <w:szCs w:val="24"/>
        </w:rPr>
        <w:t>a que tivemos acesso</w:t>
      </w:r>
      <w:r w:rsidR="00281928" w:rsidRPr="003A1174">
        <w:rPr>
          <w:rFonts w:ascii="Garamond" w:hAnsi="Garamond" w:cs="Arial"/>
          <w:sz w:val="24"/>
          <w:szCs w:val="24"/>
        </w:rPr>
        <w:t xml:space="preserve"> entre </w:t>
      </w:r>
      <w:r w:rsidR="009E3E55" w:rsidRPr="003A1174">
        <w:rPr>
          <w:rFonts w:ascii="Garamond" w:hAnsi="Garamond" w:cs="Arial"/>
          <w:sz w:val="24"/>
          <w:szCs w:val="24"/>
        </w:rPr>
        <w:t>novembro</w:t>
      </w:r>
      <w:r w:rsidR="00281928" w:rsidRPr="003A1174">
        <w:rPr>
          <w:rFonts w:ascii="Garamond" w:hAnsi="Garamond" w:cs="Arial"/>
          <w:sz w:val="24"/>
          <w:szCs w:val="24"/>
        </w:rPr>
        <w:t xml:space="preserve"> de 2013 </w:t>
      </w:r>
      <w:r w:rsidR="00973DDE" w:rsidRPr="003A1174">
        <w:rPr>
          <w:rFonts w:ascii="Garamond" w:hAnsi="Garamond" w:cs="Arial"/>
          <w:sz w:val="24"/>
          <w:szCs w:val="24"/>
        </w:rPr>
        <w:t xml:space="preserve">e </w:t>
      </w:r>
      <w:r w:rsidR="009E3E55" w:rsidRPr="003A1174">
        <w:rPr>
          <w:rFonts w:ascii="Garamond" w:hAnsi="Garamond" w:cs="Arial"/>
          <w:sz w:val="24"/>
          <w:szCs w:val="24"/>
        </w:rPr>
        <w:t>julho</w:t>
      </w:r>
      <w:r w:rsidR="00281928" w:rsidRPr="003A1174">
        <w:rPr>
          <w:rFonts w:ascii="Garamond" w:hAnsi="Garamond" w:cs="Arial"/>
          <w:sz w:val="24"/>
          <w:szCs w:val="24"/>
        </w:rPr>
        <w:t xml:space="preserve"> de 2014.</w:t>
      </w:r>
    </w:p>
    <w:p w:rsidR="007F07D8" w:rsidRPr="003A1174" w:rsidRDefault="007F07D8" w:rsidP="008719D4">
      <w:pPr>
        <w:tabs>
          <w:tab w:val="left" w:pos="708"/>
        </w:tabs>
        <w:suppressAutoHyphens/>
        <w:spacing w:line="240" w:lineRule="auto"/>
        <w:jc w:val="both"/>
        <w:rPr>
          <w:rFonts w:ascii="Garamond" w:eastAsia="SimSun" w:hAnsi="Garamond" w:cs="Arial"/>
          <w:sz w:val="24"/>
          <w:szCs w:val="24"/>
        </w:rPr>
      </w:pPr>
      <w:r w:rsidRPr="003A1174">
        <w:rPr>
          <w:rFonts w:ascii="Garamond" w:eastAsia="SimSun" w:hAnsi="Garamond" w:cs="Arial"/>
          <w:sz w:val="24"/>
          <w:szCs w:val="24"/>
        </w:rPr>
        <w:t>As</w:t>
      </w:r>
      <w:r w:rsidR="00973DDE" w:rsidRPr="003A1174">
        <w:rPr>
          <w:rFonts w:ascii="Garamond" w:eastAsia="SimSun" w:hAnsi="Garamond" w:cs="Arial"/>
          <w:sz w:val="24"/>
          <w:szCs w:val="24"/>
        </w:rPr>
        <w:t xml:space="preserve">sim, tanto </w:t>
      </w:r>
      <w:r w:rsidRPr="003A1174">
        <w:rPr>
          <w:rFonts w:ascii="Garamond" w:eastAsia="SimSun" w:hAnsi="Garamond" w:cs="Arial"/>
          <w:sz w:val="24"/>
          <w:szCs w:val="24"/>
        </w:rPr>
        <w:t xml:space="preserve">as </w:t>
      </w:r>
      <w:r w:rsidR="000866B6" w:rsidRPr="003A1174">
        <w:rPr>
          <w:rFonts w:ascii="Garamond" w:eastAsia="SimSun" w:hAnsi="Garamond" w:cs="Arial"/>
          <w:sz w:val="24"/>
          <w:szCs w:val="24"/>
        </w:rPr>
        <w:t>reflexões</w:t>
      </w:r>
      <w:r w:rsidRPr="003A1174">
        <w:rPr>
          <w:rFonts w:ascii="Garamond" w:eastAsia="SimSun" w:hAnsi="Garamond" w:cs="Arial"/>
          <w:sz w:val="24"/>
          <w:szCs w:val="24"/>
        </w:rPr>
        <w:t xml:space="preserve"> </w:t>
      </w:r>
      <w:r w:rsidR="00973DDE" w:rsidRPr="003A1174">
        <w:rPr>
          <w:rFonts w:ascii="Garamond" w:eastAsia="SimSun" w:hAnsi="Garamond" w:cs="Arial"/>
          <w:sz w:val="24"/>
          <w:szCs w:val="24"/>
        </w:rPr>
        <w:t xml:space="preserve">conceptuais como </w:t>
      </w:r>
      <w:r w:rsidRPr="003A1174">
        <w:rPr>
          <w:rFonts w:ascii="Garamond" w:eastAsia="SimSun" w:hAnsi="Garamond" w:cs="Arial"/>
          <w:sz w:val="24"/>
          <w:szCs w:val="24"/>
        </w:rPr>
        <w:t xml:space="preserve">o documentado </w:t>
      </w:r>
      <w:r w:rsidR="00276F71" w:rsidRPr="003A1174">
        <w:rPr>
          <w:rFonts w:ascii="Garamond" w:eastAsia="SimSun" w:hAnsi="Garamond" w:cs="Arial"/>
          <w:sz w:val="24"/>
          <w:szCs w:val="24"/>
        </w:rPr>
        <w:t>sobre</w:t>
      </w:r>
      <w:r w:rsidRPr="003A1174">
        <w:rPr>
          <w:rFonts w:ascii="Garamond" w:eastAsia="SimSun" w:hAnsi="Garamond" w:cs="Arial"/>
          <w:sz w:val="24"/>
          <w:szCs w:val="24"/>
        </w:rPr>
        <w:t xml:space="preserve"> </w:t>
      </w:r>
      <w:r w:rsidR="00973DDE" w:rsidRPr="003A1174">
        <w:rPr>
          <w:rFonts w:ascii="Garamond" w:eastAsia="SimSun" w:hAnsi="Garamond" w:cs="Arial"/>
          <w:sz w:val="24"/>
          <w:szCs w:val="24"/>
        </w:rPr>
        <w:t xml:space="preserve">os referidos </w:t>
      </w:r>
      <w:r w:rsidRPr="003A1174">
        <w:rPr>
          <w:rFonts w:ascii="Garamond" w:eastAsia="SimSun" w:hAnsi="Garamond" w:cs="Arial"/>
          <w:sz w:val="24"/>
          <w:szCs w:val="24"/>
        </w:rPr>
        <w:t xml:space="preserve">países aparece </w:t>
      </w:r>
      <w:r w:rsidR="00835CD1" w:rsidRPr="003A1174">
        <w:rPr>
          <w:rFonts w:ascii="Garamond" w:eastAsia="SimSun" w:hAnsi="Garamond" w:cs="Arial"/>
          <w:sz w:val="24"/>
          <w:szCs w:val="24"/>
        </w:rPr>
        <w:t>agrupado</w:t>
      </w:r>
      <w:r w:rsidRPr="003A1174">
        <w:rPr>
          <w:rFonts w:ascii="Garamond" w:eastAsia="SimSun" w:hAnsi="Garamond" w:cs="Arial"/>
          <w:sz w:val="24"/>
          <w:szCs w:val="24"/>
        </w:rPr>
        <w:t xml:space="preserve"> e</w:t>
      </w:r>
      <w:r w:rsidR="00661ADB" w:rsidRPr="003A1174">
        <w:rPr>
          <w:rFonts w:ascii="Garamond" w:eastAsia="SimSun" w:hAnsi="Garamond" w:cs="Arial"/>
          <w:sz w:val="24"/>
          <w:szCs w:val="24"/>
        </w:rPr>
        <w:t>m</w:t>
      </w:r>
      <w:r w:rsidRPr="003A1174">
        <w:rPr>
          <w:rFonts w:ascii="Garamond" w:eastAsia="SimSun" w:hAnsi="Garamond" w:cs="Arial"/>
          <w:sz w:val="24"/>
          <w:szCs w:val="24"/>
        </w:rPr>
        <w:t xml:space="preserve"> </w:t>
      </w:r>
      <w:r w:rsidR="000866B6" w:rsidRPr="003A1174">
        <w:rPr>
          <w:rFonts w:ascii="Garamond" w:eastAsia="SimSun" w:hAnsi="Garamond" w:cs="Arial"/>
          <w:sz w:val="24"/>
          <w:szCs w:val="24"/>
        </w:rPr>
        <w:t>três</w:t>
      </w:r>
      <w:r w:rsidRPr="003A1174">
        <w:rPr>
          <w:rFonts w:ascii="Garamond" w:eastAsia="SimSun" w:hAnsi="Garamond" w:cs="Arial"/>
          <w:sz w:val="24"/>
          <w:szCs w:val="24"/>
        </w:rPr>
        <w:t xml:space="preserve"> blo</w:t>
      </w:r>
      <w:r w:rsidR="00661ADB" w:rsidRPr="003A1174">
        <w:rPr>
          <w:rFonts w:ascii="Garamond" w:eastAsia="SimSun" w:hAnsi="Garamond" w:cs="Arial"/>
          <w:sz w:val="24"/>
          <w:szCs w:val="24"/>
        </w:rPr>
        <w:t>co</w:t>
      </w:r>
      <w:r w:rsidRPr="003A1174">
        <w:rPr>
          <w:rFonts w:ascii="Garamond" w:eastAsia="SimSun" w:hAnsi="Garamond" w:cs="Arial"/>
          <w:sz w:val="24"/>
          <w:szCs w:val="24"/>
        </w:rPr>
        <w:t>s</w:t>
      </w:r>
      <w:r w:rsidR="00276F71" w:rsidRPr="003A1174">
        <w:rPr>
          <w:rFonts w:ascii="Garamond" w:eastAsia="SimSun" w:hAnsi="Garamond" w:cs="Arial"/>
          <w:sz w:val="24"/>
          <w:szCs w:val="24"/>
        </w:rPr>
        <w:t>:</w:t>
      </w:r>
      <w:r w:rsidRPr="003A1174">
        <w:rPr>
          <w:rFonts w:ascii="Garamond" w:eastAsia="SimSun" w:hAnsi="Garamond" w:cs="Arial"/>
          <w:sz w:val="24"/>
          <w:szCs w:val="24"/>
        </w:rPr>
        <w:t xml:space="preserve"> u</w:t>
      </w:r>
      <w:r w:rsidR="00661ADB" w:rsidRPr="003A1174">
        <w:rPr>
          <w:rFonts w:ascii="Garamond" w:eastAsia="SimSun" w:hAnsi="Garamond" w:cs="Arial"/>
          <w:sz w:val="24"/>
          <w:szCs w:val="24"/>
        </w:rPr>
        <w:t xml:space="preserve">m </w:t>
      </w:r>
      <w:r w:rsidRPr="003A1174">
        <w:rPr>
          <w:rFonts w:ascii="Garamond" w:eastAsia="SimSun" w:hAnsi="Garamond" w:cs="Arial"/>
          <w:sz w:val="24"/>
          <w:szCs w:val="24"/>
        </w:rPr>
        <w:t>inicial</w:t>
      </w:r>
      <w:r w:rsidR="00835CD1" w:rsidRPr="003A1174">
        <w:rPr>
          <w:rFonts w:ascii="Garamond" w:eastAsia="SimSun" w:hAnsi="Garamond" w:cs="Arial"/>
          <w:sz w:val="24"/>
          <w:szCs w:val="24"/>
        </w:rPr>
        <w:t>,</w:t>
      </w:r>
      <w:r w:rsidRPr="003A1174">
        <w:rPr>
          <w:rFonts w:ascii="Garamond" w:eastAsia="SimSun" w:hAnsi="Garamond" w:cs="Arial"/>
          <w:sz w:val="24"/>
          <w:szCs w:val="24"/>
        </w:rPr>
        <w:t xml:space="preserve"> que constitu</w:t>
      </w:r>
      <w:r w:rsidR="00661ADB" w:rsidRPr="003A1174">
        <w:rPr>
          <w:rFonts w:ascii="Garamond" w:eastAsia="SimSun" w:hAnsi="Garamond" w:cs="Arial"/>
          <w:sz w:val="24"/>
          <w:szCs w:val="24"/>
        </w:rPr>
        <w:t xml:space="preserve">i o </w:t>
      </w:r>
      <w:r w:rsidR="00253B1D" w:rsidRPr="003A1174">
        <w:rPr>
          <w:rFonts w:ascii="Garamond" w:eastAsia="SimSun" w:hAnsi="Garamond" w:cs="Arial"/>
          <w:sz w:val="24"/>
          <w:szCs w:val="24"/>
        </w:rPr>
        <w:t>quadro</w:t>
      </w:r>
      <w:r w:rsidR="00276F71" w:rsidRPr="003A1174">
        <w:rPr>
          <w:rFonts w:ascii="Garamond" w:eastAsia="SimSun" w:hAnsi="Garamond" w:cs="Arial"/>
          <w:sz w:val="24"/>
          <w:szCs w:val="24"/>
        </w:rPr>
        <w:t xml:space="preserve"> teórico</w:t>
      </w:r>
      <w:r w:rsidRPr="003A1174">
        <w:rPr>
          <w:rFonts w:ascii="Garamond" w:eastAsia="SimSun" w:hAnsi="Garamond" w:cs="Arial"/>
          <w:sz w:val="24"/>
          <w:szCs w:val="24"/>
        </w:rPr>
        <w:t>, u</w:t>
      </w:r>
      <w:r w:rsidR="00661ADB" w:rsidRPr="003A1174">
        <w:rPr>
          <w:rFonts w:ascii="Garamond" w:eastAsia="SimSun" w:hAnsi="Garamond" w:cs="Arial"/>
          <w:sz w:val="24"/>
          <w:szCs w:val="24"/>
        </w:rPr>
        <w:t xml:space="preserve">m segundo que sistematiza </w:t>
      </w:r>
      <w:r w:rsidRPr="003A1174">
        <w:rPr>
          <w:rFonts w:ascii="Garamond" w:eastAsia="SimSun" w:hAnsi="Garamond" w:cs="Arial"/>
          <w:sz w:val="24"/>
          <w:szCs w:val="24"/>
        </w:rPr>
        <w:t xml:space="preserve">a </w:t>
      </w:r>
      <w:r w:rsidR="0017447A" w:rsidRPr="003A1174">
        <w:rPr>
          <w:rFonts w:ascii="Garamond" w:eastAsia="SimSun" w:hAnsi="Garamond" w:cs="Arial"/>
          <w:sz w:val="24"/>
          <w:szCs w:val="24"/>
        </w:rPr>
        <w:t>informação</w:t>
      </w:r>
      <w:r w:rsidR="00835CD1" w:rsidRPr="003A1174">
        <w:rPr>
          <w:rFonts w:ascii="Garamond" w:eastAsia="SimSun" w:hAnsi="Garamond" w:cs="Arial"/>
          <w:sz w:val="24"/>
          <w:szCs w:val="24"/>
        </w:rPr>
        <w:t xml:space="preserve"> recebida</w:t>
      </w:r>
      <w:r w:rsidR="00165CB5" w:rsidRPr="003A1174">
        <w:rPr>
          <w:rStyle w:val="Refdenotaalpie"/>
          <w:rFonts w:ascii="Garamond" w:hAnsi="Garamond" w:cs="Arial"/>
          <w:sz w:val="24"/>
          <w:szCs w:val="24"/>
        </w:rPr>
        <w:footnoteReference w:id="1"/>
      </w:r>
      <w:r w:rsidRPr="003A1174">
        <w:rPr>
          <w:rFonts w:ascii="Garamond" w:eastAsia="SimSun" w:hAnsi="Garamond" w:cs="Arial"/>
          <w:sz w:val="24"/>
          <w:szCs w:val="24"/>
        </w:rPr>
        <w:t xml:space="preserve">, </w:t>
      </w:r>
      <w:r w:rsidR="00661ADB" w:rsidRPr="003A1174">
        <w:rPr>
          <w:rFonts w:ascii="Garamond" w:eastAsia="SimSun" w:hAnsi="Garamond" w:cs="Arial"/>
          <w:sz w:val="24"/>
          <w:szCs w:val="24"/>
        </w:rPr>
        <w:t>e um terceiro</w:t>
      </w:r>
      <w:r w:rsidRPr="003A1174">
        <w:rPr>
          <w:rFonts w:ascii="Garamond" w:eastAsia="SimSun" w:hAnsi="Garamond" w:cs="Arial"/>
          <w:sz w:val="24"/>
          <w:szCs w:val="24"/>
        </w:rPr>
        <w:t xml:space="preserve"> que </w:t>
      </w:r>
      <w:r w:rsidR="00661ADB" w:rsidRPr="003A1174">
        <w:rPr>
          <w:rFonts w:ascii="Garamond" w:eastAsia="SimSun" w:hAnsi="Garamond" w:cs="Arial"/>
          <w:sz w:val="24"/>
          <w:szCs w:val="24"/>
        </w:rPr>
        <w:t xml:space="preserve">é o </w:t>
      </w:r>
      <w:r w:rsidRPr="003A1174">
        <w:rPr>
          <w:rFonts w:ascii="Garamond" w:eastAsia="SimSun" w:hAnsi="Garamond" w:cs="Arial"/>
          <w:sz w:val="24"/>
          <w:szCs w:val="24"/>
        </w:rPr>
        <w:t xml:space="preserve">das </w:t>
      </w:r>
      <w:r w:rsidR="00DC5DA7" w:rsidRPr="003A1174">
        <w:rPr>
          <w:rFonts w:ascii="Garamond" w:eastAsia="SimSun" w:hAnsi="Garamond" w:cs="Arial"/>
          <w:sz w:val="24"/>
          <w:szCs w:val="24"/>
        </w:rPr>
        <w:t>conclusões</w:t>
      </w:r>
      <w:r w:rsidR="00276F71" w:rsidRPr="003A1174">
        <w:rPr>
          <w:rFonts w:ascii="Garamond" w:eastAsia="SimSun" w:hAnsi="Garamond" w:cs="Arial"/>
          <w:sz w:val="24"/>
          <w:szCs w:val="24"/>
        </w:rPr>
        <w:t>,</w:t>
      </w:r>
      <w:r w:rsidRPr="003A1174">
        <w:rPr>
          <w:rFonts w:ascii="Garamond" w:eastAsia="SimSun" w:hAnsi="Garamond" w:cs="Arial"/>
          <w:sz w:val="24"/>
          <w:szCs w:val="24"/>
        </w:rPr>
        <w:t xml:space="preserve"> que inclu</w:t>
      </w:r>
      <w:r w:rsidR="00661ADB" w:rsidRPr="003A1174">
        <w:rPr>
          <w:rFonts w:ascii="Garamond" w:eastAsia="SimSun" w:hAnsi="Garamond" w:cs="Arial"/>
          <w:sz w:val="24"/>
          <w:szCs w:val="24"/>
        </w:rPr>
        <w:t xml:space="preserve">i </w:t>
      </w:r>
      <w:r w:rsidR="000350B1" w:rsidRPr="003A1174">
        <w:rPr>
          <w:rFonts w:ascii="Garamond" w:eastAsia="SimSun" w:hAnsi="Garamond" w:cs="Arial"/>
          <w:sz w:val="24"/>
          <w:szCs w:val="24"/>
        </w:rPr>
        <w:t>também</w:t>
      </w:r>
      <w:r w:rsidRPr="003A1174">
        <w:rPr>
          <w:rFonts w:ascii="Garamond" w:eastAsia="SimSun" w:hAnsi="Garamond" w:cs="Arial"/>
          <w:sz w:val="24"/>
          <w:szCs w:val="24"/>
        </w:rPr>
        <w:t xml:space="preserve"> u</w:t>
      </w:r>
      <w:r w:rsidR="00661ADB" w:rsidRPr="003A1174">
        <w:rPr>
          <w:rFonts w:ascii="Garamond" w:eastAsia="SimSun" w:hAnsi="Garamond" w:cs="Arial"/>
          <w:sz w:val="24"/>
          <w:szCs w:val="24"/>
        </w:rPr>
        <w:t>m</w:t>
      </w:r>
      <w:r w:rsidR="00835CD1" w:rsidRPr="003A1174">
        <w:rPr>
          <w:rFonts w:ascii="Garamond" w:eastAsia="SimSun" w:hAnsi="Garamond" w:cs="Arial"/>
          <w:sz w:val="24"/>
          <w:szCs w:val="24"/>
        </w:rPr>
        <w:t xml:space="preserve">a listagem </w:t>
      </w:r>
      <w:r w:rsidRPr="003A1174">
        <w:rPr>
          <w:rFonts w:ascii="Garamond" w:eastAsia="SimSun" w:hAnsi="Garamond" w:cs="Arial"/>
          <w:sz w:val="24"/>
          <w:szCs w:val="24"/>
        </w:rPr>
        <w:t xml:space="preserve">de </w:t>
      </w:r>
      <w:r w:rsidR="00661ADB" w:rsidRPr="003A1174">
        <w:rPr>
          <w:rFonts w:ascii="Garamond" w:eastAsia="SimSun" w:hAnsi="Garamond" w:cs="Arial"/>
          <w:sz w:val="24"/>
          <w:szCs w:val="24"/>
        </w:rPr>
        <w:t>boas</w:t>
      </w:r>
      <w:r w:rsidRPr="003A1174">
        <w:rPr>
          <w:rFonts w:ascii="Garamond" w:eastAsia="SimSun" w:hAnsi="Garamond" w:cs="Arial"/>
          <w:sz w:val="24"/>
          <w:szCs w:val="24"/>
        </w:rPr>
        <w:t xml:space="preserve"> </w:t>
      </w:r>
      <w:r w:rsidR="00661ADB" w:rsidRPr="003A1174">
        <w:rPr>
          <w:rFonts w:ascii="Garamond" w:eastAsia="SimSun" w:hAnsi="Garamond" w:cs="Arial"/>
          <w:sz w:val="24"/>
          <w:szCs w:val="24"/>
        </w:rPr>
        <w:t>prática</w:t>
      </w:r>
      <w:r w:rsidRPr="003A1174">
        <w:rPr>
          <w:rFonts w:ascii="Garamond" w:eastAsia="SimSun" w:hAnsi="Garamond" w:cs="Arial"/>
          <w:sz w:val="24"/>
          <w:szCs w:val="24"/>
        </w:rPr>
        <w:t xml:space="preserve">s a considerar. </w:t>
      </w:r>
    </w:p>
    <w:p w:rsidR="007F07D8" w:rsidRPr="003A1174" w:rsidRDefault="00835CD1" w:rsidP="008719D4">
      <w:pPr>
        <w:tabs>
          <w:tab w:val="left" w:pos="708"/>
        </w:tabs>
        <w:suppressAutoHyphens/>
        <w:spacing w:line="240" w:lineRule="auto"/>
        <w:jc w:val="both"/>
        <w:rPr>
          <w:rFonts w:ascii="Garamond" w:eastAsia="SimSun" w:hAnsi="Garamond" w:cs="Arial"/>
          <w:sz w:val="24"/>
          <w:szCs w:val="24"/>
        </w:rPr>
      </w:pPr>
      <w:r w:rsidRPr="003A1174">
        <w:rPr>
          <w:rFonts w:ascii="Garamond" w:eastAsia="SimSun" w:hAnsi="Garamond" w:cs="Arial"/>
          <w:sz w:val="24"/>
          <w:szCs w:val="24"/>
        </w:rPr>
        <w:t xml:space="preserve">No que se refere </w:t>
      </w:r>
      <w:r w:rsidR="00661ADB" w:rsidRPr="003A1174">
        <w:rPr>
          <w:rFonts w:ascii="Garamond" w:eastAsia="SimSun" w:hAnsi="Garamond" w:cs="Arial"/>
          <w:sz w:val="24"/>
          <w:szCs w:val="24"/>
        </w:rPr>
        <w:t>à</w:t>
      </w:r>
      <w:r w:rsidR="007F07D8" w:rsidRPr="003A1174">
        <w:rPr>
          <w:rFonts w:ascii="Garamond" w:eastAsia="SimSun" w:hAnsi="Garamond" w:cs="Arial"/>
          <w:sz w:val="24"/>
          <w:szCs w:val="24"/>
        </w:rPr>
        <w:t xml:space="preserve"> </w:t>
      </w:r>
      <w:r w:rsidR="00800D59" w:rsidRPr="003A1174">
        <w:rPr>
          <w:rFonts w:ascii="Garamond" w:eastAsia="SimSun" w:hAnsi="Garamond" w:cs="Arial"/>
          <w:sz w:val="24"/>
          <w:szCs w:val="24"/>
        </w:rPr>
        <w:t>sistematização</w:t>
      </w:r>
      <w:r w:rsidR="007F07D8" w:rsidRPr="003A1174">
        <w:rPr>
          <w:rFonts w:ascii="Garamond" w:eastAsia="SimSun" w:hAnsi="Garamond" w:cs="Arial"/>
          <w:sz w:val="24"/>
          <w:szCs w:val="24"/>
        </w:rPr>
        <w:t xml:space="preserve"> prop</w:t>
      </w:r>
      <w:r w:rsidR="000866B6" w:rsidRPr="003A1174">
        <w:rPr>
          <w:rFonts w:ascii="Garamond" w:eastAsia="SimSun" w:hAnsi="Garamond" w:cs="Arial"/>
          <w:sz w:val="24"/>
          <w:szCs w:val="24"/>
        </w:rPr>
        <w:t>r</w:t>
      </w:r>
      <w:r w:rsidR="007F07D8" w:rsidRPr="003A1174">
        <w:rPr>
          <w:rFonts w:ascii="Garamond" w:eastAsia="SimSun" w:hAnsi="Garamond" w:cs="Arial"/>
          <w:sz w:val="24"/>
          <w:szCs w:val="24"/>
        </w:rPr>
        <w:t>iamente di</w:t>
      </w:r>
      <w:r w:rsidR="00661ADB" w:rsidRPr="003A1174">
        <w:rPr>
          <w:rFonts w:ascii="Garamond" w:eastAsia="SimSun" w:hAnsi="Garamond" w:cs="Arial"/>
          <w:sz w:val="24"/>
          <w:szCs w:val="24"/>
        </w:rPr>
        <w:t>ta</w:t>
      </w:r>
      <w:r w:rsidR="007F07D8" w:rsidRPr="003A1174">
        <w:rPr>
          <w:rFonts w:ascii="Garamond" w:eastAsia="SimSun" w:hAnsi="Garamond" w:cs="Arial"/>
          <w:sz w:val="24"/>
          <w:szCs w:val="24"/>
        </w:rPr>
        <w:t xml:space="preserve">, por motivos de </w:t>
      </w:r>
      <w:r w:rsidR="00661ADB" w:rsidRPr="003A1174">
        <w:rPr>
          <w:rFonts w:ascii="Garamond" w:eastAsia="SimSun" w:hAnsi="Garamond" w:cs="Arial"/>
          <w:sz w:val="24"/>
          <w:szCs w:val="24"/>
        </w:rPr>
        <w:t>sequência e</w:t>
      </w:r>
      <w:r w:rsidR="007F07D8" w:rsidRPr="003A1174">
        <w:rPr>
          <w:rFonts w:ascii="Garamond" w:eastAsia="SimSun" w:hAnsi="Garamond" w:cs="Arial"/>
          <w:sz w:val="24"/>
          <w:szCs w:val="24"/>
        </w:rPr>
        <w:t xml:space="preserve"> método expositivo n</w:t>
      </w:r>
      <w:r w:rsidR="00661ADB" w:rsidRPr="003A1174">
        <w:rPr>
          <w:rFonts w:ascii="Garamond" w:eastAsia="SimSun" w:hAnsi="Garamond" w:cs="Arial"/>
          <w:sz w:val="24"/>
          <w:szCs w:val="24"/>
        </w:rPr>
        <w:t>ã</w:t>
      </w:r>
      <w:r w:rsidR="007F07D8" w:rsidRPr="003A1174">
        <w:rPr>
          <w:rFonts w:ascii="Garamond" w:eastAsia="SimSun" w:hAnsi="Garamond" w:cs="Arial"/>
          <w:sz w:val="24"/>
          <w:szCs w:val="24"/>
        </w:rPr>
        <w:t xml:space="preserve">o se </w:t>
      </w:r>
      <w:r w:rsidR="00661ADB" w:rsidRPr="003A1174">
        <w:rPr>
          <w:rFonts w:ascii="Garamond" w:eastAsia="SimSun" w:hAnsi="Garamond" w:cs="Arial"/>
          <w:sz w:val="24"/>
          <w:szCs w:val="24"/>
        </w:rPr>
        <w:t>efetuou uma transcrição i</w:t>
      </w:r>
      <w:r w:rsidR="007F07D8" w:rsidRPr="003A1174">
        <w:rPr>
          <w:rFonts w:ascii="Garamond" w:eastAsia="SimSun" w:hAnsi="Garamond" w:cs="Arial"/>
          <w:sz w:val="24"/>
          <w:szCs w:val="24"/>
        </w:rPr>
        <w:t>ntegra</w:t>
      </w:r>
      <w:r w:rsidR="00661ADB" w:rsidRPr="003A1174">
        <w:rPr>
          <w:rFonts w:ascii="Garamond" w:eastAsia="SimSun" w:hAnsi="Garamond" w:cs="Arial"/>
          <w:sz w:val="24"/>
          <w:szCs w:val="24"/>
        </w:rPr>
        <w:t>l</w:t>
      </w:r>
      <w:r w:rsidRPr="003A1174">
        <w:rPr>
          <w:rFonts w:ascii="Garamond" w:eastAsia="SimSun" w:hAnsi="Garamond" w:cs="Arial"/>
          <w:sz w:val="24"/>
          <w:szCs w:val="24"/>
        </w:rPr>
        <w:t xml:space="preserve"> de toda</w:t>
      </w:r>
      <w:r w:rsidR="007F07D8" w:rsidRPr="003A1174">
        <w:rPr>
          <w:rFonts w:ascii="Garamond" w:eastAsia="SimSun" w:hAnsi="Garamond" w:cs="Arial"/>
          <w:sz w:val="24"/>
          <w:szCs w:val="24"/>
        </w:rPr>
        <w:t xml:space="preserve">s </w:t>
      </w:r>
      <w:r w:rsidRPr="003A1174">
        <w:rPr>
          <w:rFonts w:ascii="Garamond" w:eastAsia="SimSun" w:hAnsi="Garamond" w:cs="Arial"/>
          <w:sz w:val="24"/>
          <w:szCs w:val="24"/>
        </w:rPr>
        <w:t xml:space="preserve">as apresentações </w:t>
      </w:r>
      <w:r w:rsidR="00661ADB" w:rsidRPr="003A1174">
        <w:rPr>
          <w:rFonts w:ascii="Garamond" w:eastAsia="SimSun" w:hAnsi="Garamond" w:cs="Arial"/>
          <w:sz w:val="24"/>
          <w:szCs w:val="24"/>
        </w:rPr>
        <w:t>e</w:t>
      </w:r>
      <w:r w:rsidR="007F07D8" w:rsidRPr="003A1174">
        <w:rPr>
          <w:rFonts w:ascii="Garamond" w:eastAsia="SimSun" w:hAnsi="Garamond" w:cs="Arial"/>
          <w:sz w:val="24"/>
          <w:szCs w:val="24"/>
        </w:rPr>
        <w:t xml:space="preserve"> </w:t>
      </w:r>
      <w:r w:rsidRPr="003A1174">
        <w:rPr>
          <w:rFonts w:ascii="Garamond" w:eastAsia="SimSun" w:hAnsi="Garamond" w:cs="Arial"/>
          <w:sz w:val="24"/>
          <w:szCs w:val="24"/>
        </w:rPr>
        <w:t>pormenores dos relatos fornecidos</w:t>
      </w:r>
      <w:r w:rsidR="00276F71" w:rsidRPr="003A1174">
        <w:rPr>
          <w:rFonts w:ascii="Garamond" w:eastAsia="SimSun" w:hAnsi="Garamond" w:cs="Arial"/>
          <w:sz w:val="24"/>
          <w:szCs w:val="24"/>
        </w:rPr>
        <w:t>,</w:t>
      </w:r>
      <w:r w:rsidR="007F07D8" w:rsidRPr="003A1174">
        <w:rPr>
          <w:rFonts w:ascii="Garamond" w:eastAsia="SimSun" w:hAnsi="Garamond" w:cs="Arial"/>
          <w:sz w:val="24"/>
          <w:szCs w:val="24"/>
        </w:rPr>
        <w:t xml:space="preserve"> </w:t>
      </w:r>
      <w:r w:rsidR="00661ADB" w:rsidRPr="003A1174">
        <w:rPr>
          <w:rFonts w:ascii="Garamond" w:eastAsia="SimSun" w:hAnsi="Garamond" w:cs="Arial"/>
          <w:sz w:val="24"/>
          <w:szCs w:val="24"/>
        </w:rPr>
        <w:t>mas apenas d</w:t>
      </w:r>
      <w:r w:rsidRPr="003A1174">
        <w:rPr>
          <w:rFonts w:ascii="Garamond" w:eastAsia="SimSun" w:hAnsi="Garamond" w:cs="Arial"/>
          <w:sz w:val="24"/>
          <w:szCs w:val="24"/>
        </w:rPr>
        <w:t>o</w:t>
      </w:r>
      <w:r w:rsidR="007F07D8" w:rsidRPr="003A1174">
        <w:rPr>
          <w:rFonts w:ascii="Garamond" w:eastAsia="SimSun" w:hAnsi="Garamond" w:cs="Arial"/>
          <w:sz w:val="24"/>
          <w:szCs w:val="24"/>
        </w:rPr>
        <w:t>s p</w:t>
      </w:r>
      <w:r w:rsidR="00661ADB" w:rsidRPr="003A1174">
        <w:rPr>
          <w:rFonts w:ascii="Garamond" w:eastAsia="SimSun" w:hAnsi="Garamond" w:cs="Arial"/>
          <w:sz w:val="24"/>
          <w:szCs w:val="24"/>
        </w:rPr>
        <w:t>o</w:t>
      </w:r>
      <w:r w:rsidR="007F07D8" w:rsidRPr="003A1174">
        <w:rPr>
          <w:rFonts w:ascii="Garamond" w:eastAsia="SimSun" w:hAnsi="Garamond" w:cs="Arial"/>
          <w:sz w:val="24"/>
          <w:szCs w:val="24"/>
        </w:rPr>
        <w:t xml:space="preserve">ntos </w:t>
      </w:r>
      <w:r w:rsidR="00661ADB" w:rsidRPr="003A1174">
        <w:rPr>
          <w:rFonts w:ascii="Garamond" w:eastAsia="SimSun" w:hAnsi="Garamond" w:cs="Arial"/>
          <w:sz w:val="24"/>
          <w:szCs w:val="24"/>
        </w:rPr>
        <w:t>próprios da</w:t>
      </w:r>
      <w:r w:rsidR="007F07D8" w:rsidRPr="003A1174">
        <w:rPr>
          <w:rFonts w:ascii="Garamond" w:eastAsia="SimSun" w:hAnsi="Garamond" w:cs="Arial"/>
          <w:sz w:val="24"/>
          <w:szCs w:val="24"/>
        </w:rPr>
        <w:t xml:space="preserve"> </w:t>
      </w:r>
      <w:r w:rsidR="00886D6A" w:rsidRPr="003A1174">
        <w:rPr>
          <w:rFonts w:ascii="Garamond" w:eastAsia="SimSun" w:hAnsi="Garamond" w:cs="Arial"/>
          <w:sz w:val="24"/>
          <w:szCs w:val="24"/>
        </w:rPr>
        <w:t>investigação</w:t>
      </w:r>
      <w:r w:rsidR="007F07D8" w:rsidRPr="003A1174">
        <w:rPr>
          <w:rFonts w:ascii="Garamond" w:eastAsia="SimSun" w:hAnsi="Garamond" w:cs="Arial"/>
          <w:sz w:val="24"/>
          <w:szCs w:val="24"/>
        </w:rPr>
        <w:t xml:space="preserve"> previamente </w:t>
      </w:r>
      <w:r w:rsidR="00661ADB" w:rsidRPr="003A1174">
        <w:rPr>
          <w:rFonts w:ascii="Garamond" w:eastAsia="SimSun" w:hAnsi="Garamond" w:cs="Arial"/>
          <w:sz w:val="24"/>
          <w:szCs w:val="24"/>
        </w:rPr>
        <w:t>estabelecido</w:t>
      </w:r>
      <w:r w:rsidR="007F07D8" w:rsidRPr="003A1174">
        <w:rPr>
          <w:rFonts w:ascii="Garamond" w:eastAsia="SimSun" w:hAnsi="Garamond" w:cs="Arial"/>
          <w:sz w:val="24"/>
          <w:szCs w:val="24"/>
        </w:rPr>
        <w:t>s.</w:t>
      </w:r>
      <w:r w:rsidR="00276F71" w:rsidRPr="003A1174">
        <w:rPr>
          <w:rFonts w:ascii="Garamond" w:eastAsia="SimSun" w:hAnsi="Garamond" w:cs="Arial"/>
          <w:sz w:val="24"/>
          <w:szCs w:val="24"/>
        </w:rPr>
        <w:t xml:space="preserve"> </w:t>
      </w:r>
      <w:r w:rsidRPr="003A1174">
        <w:rPr>
          <w:rFonts w:ascii="Garamond" w:eastAsia="SimSun" w:hAnsi="Garamond" w:cs="Arial"/>
          <w:sz w:val="24"/>
          <w:szCs w:val="24"/>
        </w:rPr>
        <w:t>Também se teve por objetivo transmitir tudo o que fosse essencial e relevante</w:t>
      </w:r>
      <w:r w:rsidR="007F07D8" w:rsidRPr="003A1174">
        <w:rPr>
          <w:rFonts w:ascii="Garamond" w:eastAsia="SimSun" w:hAnsi="Garamond" w:cs="Arial"/>
          <w:sz w:val="24"/>
          <w:szCs w:val="24"/>
        </w:rPr>
        <w:t xml:space="preserve"> da </w:t>
      </w:r>
      <w:r w:rsidR="0017447A" w:rsidRPr="003A1174">
        <w:rPr>
          <w:rFonts w:ascii="Garamond" w:eastAsia="SimSun" w:hAnsi="Garamond" w:cs="Arial"/>
          <w:sz w:val="24"/>
          <w:szCs w:val="24"/>
        </w:rPr>
        <w:t>informação</w:t>
      </w:r>
      <w:r w:rsidR="007F07D8" w:rsidRPr="003A1174">
        <w:rPr>
          <w:rFonts w:ascii="Garamond" w:eastAsia="SimSun" w:hAnsi="Garamond" w:cs="Arial"/>
          <w:sz w:val="24"/>
          <w:szCs w:val="24"/>
        </w:rPr>
        <w:t xml:space="preserve"> </w:t>
      </w:r>
      <w:r w:rsidRPr="003A1174">
        <w:rPr>
          <w:rFonts w:ascii="Garamond" w:eastAsia="SimSun" w:hAnsi="Garamond" w:cs="Arial"/>
          <w:sz w:val="24"/>
          <w:szCs w:val="24"/>
        </w:rPr>
        <w:t>proporcionada</w:t>
      </w:r>
      <w:r w:rsidR="007F07D8" w:rsidRPr="003A1174">
        <w:rPr>
          <w:rFonts w:ascii="Garamond" w:eastAsia="SimSun" w:hAnsi="Garamond" w:cs="Arial"/>
          <w:sz w:val="24"/>
          <w:szCs w:val="24"/>
        </w:rPr>
        <w:t xml:space="preserve">, </w:t>
      </w:r>
      <w:r w:rsidRPr="003A1174">
        <w:rPr>
          <w:rFonts w:ascii="Garamond" w:eastAsia="SimSun" w:hAnsi="Garamond" w:cs="Arial"/>
          <w:sz w:val="24"/>
          <w:szCs w:val="24"/>
        </w:rPr>
        <w:t xml:space="preserve">tentando </w:t>
      </w:r>
      <w:r w:rsidR="000350B1" w:rsidRPr="003A1174">
        <w:rPr>
          <w:rFonts w:ascii="Garamond" w:eastAsia="SimSun" w:hAnsi="Garamond" w:cs="Arial"/>
          <w:sz w:val="24"/>
          <w:szCs w:val="24"/>
        </w:rPr>
        <w:t>também</w:t>
      </w:r>
      <w:r w:rsidR="007F07D8" w:rsidRPr="003A1174">
        <w:rPr>
          <w:rFonts w:ascii="Garamond" w:eastAsia="SimSun" w:hAnsi="Garamond" w:cs="Arial"/>
          <w:sz w:val="24"/>
          <w:szCs w:val="24"/>
        </w:rPr>
        <w:t xml:space="preserve"> </w:t>
      </w:r>
      <w:r w:rsidR="00661ADB" w:rsidRPr="003A1174">
        <w:rPr>
          <w:rFonts w:ascii="Garamond" w:eastAsia="SimSun" w:hAnsi="Garamond" w:cs="Arial"/>
          <w:sz w:val="24"/>
          <w:szCs w:val="24"/>
        </w:rPr>
        <w:t xml:space="preserve">respeitar </w:t>
      </w:r>
      <w:r w:rsidR="007F07D8" w:rsidRPr="003A1174">
        <w:rPr>
          <w:rFonts w:ascii="Garamond" w:eastAsia="SimSun" w:hAnsi="Garamond" w:cs="Arial"/>
          <w:sz w:val="24"/>
          <w:szCs w:val="24"/>
        </w:rPr>
        <w:t xml:space="preserve">a </w:t>
      </w:r>
      <w:r w:rsidR="00C30647" w:rsidRPr="003A1174">
        <w:rPr>
          <w:rFonts w:ascii="Garamond" w:eastAsia="SimSun" w:hAnsi="Garamond" w:cs="Arial"/>
          <w:sz w:val="24"/>
          <w:szCs w:val="24"/>
        </w:rPr>
        <w:t>redação</w:t>
      </w:r>
      <w:r w:rsidR="00276F71" w:rsidRPr="003A1174">
        <w:rPr>
          <w:rFonts w:ascii="Garamond" w:eastAsia="SimSun" w:hAnsi="Garamond" w:cs="Arial"/>
          <w:sz w:val="24"/>
          <w:szCs w:val="24"/>
        </w:rPr>
        <w:t xml:space="preserve"> original</w:t>
      </w:r>
      <w:r w:rsidR="007F07D8" w:rsidRPr="003A1174">
        <w:rPr>
          <w:rFonts w:ascii="Garamond" w:eastAsia="SimSun" w:hAnsi="Garamond" w:cs="Arial"/>
          <w:sz w:val="24"/>
          <w:szCs w:val="24"/>
        </w:rPr>
        <w:t xml:space="preserve">. </w:t>
      </w:r>
      <w:r w:rsidR="00661ADB" w:rsidRPr="003A1174">
        <w:rPr>
          <w:rFonts w:ascii="Garamond" w:eastAsia="SimSun" w:hAnsi="Garamond" w:cs="Arial"/>
          <w:sz w:val="24"/>
          <w:szCs w:val="24"/>
        </w:rPr>
        <w:t>E</w:t>
      </w:r>
      <w:r w:rsidR="00276F71" w:rsidRPr="003A1174">
        <w:rPr>
          <w:rFonts w:ascii="Garamond" w:eastAsia="SimSun" w:hAnsi="Garamond" w:cs="Arial"/>
          <w:sz w:val="24"/>
          <w:szCs w:val="24"/>
        </w:rPr>
        <w:t>,</w:t>
      </w:r>
      <w:r w:rsidR="007F07D8" w:rsidRPr="003A1174">
        <w:rPr>
          <w:rFonts w:ascii="Garamond" w:eastAsia="SimSun" w:hAnsi="Garamond" w:cs="Arial"/>
          <w:sz w:val="24"/>
          <w:szCs w:val="24"/>
        </w:rPr>
        <w:t xml:space="preserve"> para </w:t>
      </w:r>
      <w:r w:rsidR="00863197" w:rsidRPr="003A1174">
        <w:rPr>
          <w:rFonts w:ascii="Garamond" w:eastAsia="SimSun" w:hAnsi="Garamond" w:cs="Arial"/>
          <w:sz w:val="24"/>
          <w:szCs w:val="24"/>
        </w:rPr>
        <w:t>efeitos de um</w:t>
      </w:r>
      <w:r w:rsidR="007F07D8" w:rsidRPr="003A1174">
        <w:rPr>
          <w:rFonts w:ascii="Garamond" w:eastAsia="SimSun" w:hAnsi="Garamond" w:cs="Arial"/>
          <w:sz w:val="24"/>
          <w:szCs w:val="24"/>
        </w:rPr>
        <w:t xml:space="preserve">a </w:t>
      </w:r>
      <w:r w:rsidR="00863197" w:rsidRPr="003A1174">
        <w:rPr>
          <w:rFonts w:ascii="Garamond" w:eastAsia="SimSun" w:hAnsi="Garamond" w:cs="Arial"/>
          <w:sz w:val="24"/>
          <w:szCs w:val="24"/>
        </w:rPr>
        <w:t>maior</w:t>
      </w:r>
      <w:r w:rsidR="007F07D8" w:rsidRPr="003A1174">
        <w:rPr>
          <w:rFonts w:ascii="Garamond" w:eastAsia="SimSun" w:hAnsi="Garamond" w:cs="Arial"/>
          <w:sz w:val="24"/>
          <w:szCs w:val="24"/>
        </w:rPr>
        <w:t xml:space="preserve"> fluidez </w:t>
      </w:r>
      <w:r w:rsidR="00863197" w:rsidRPr="003A1174">
        <w:rPr>
          <w:rFonts w:ascii="Garamond" w:eastAsia="SimSun" w:hAnsi="Garamond" w:cs="Arial"/>
          <w:sz w:val="24"/>
          <w:szCs w:val="24"/>
        </w:rPr>
        <w:t>na leitura</w:t>
      </w:r>
      <w:r w:rsidR="00276F71" w:rsidRPr="003A1174">
        <w:rPr>
          <w:rFonts w:ascii="Garamond" w:eastAsia="SimSun" w:hAnsi="Garamond" w:cs="Arial"/>
          <w:sz w:val="24"/>
          <w:szCs w:val="24"/>
        </w:rPr>
        <w:t>,</w:t>
      </w:r>
      <w:r w:rsidR="007F07D8" w:rsidRPr="003A1174">
        <w:rPr>
          <w:rFonts w:ascii="Garamond" w:eastAsia="SimSun" w:hAnsi="Garamond" w:cs="Arial"/>
          <w:sz w:val="24"/>
          <w:szCs w:val="24"/>
        </w:rPr>
        <w:t xml:space="preserve"> opt</w:t>
      </w:r>
      <w:r w:rsidR="00863197" w:rsidRPr="003A1174">
        <w:rPr>
          <w:rFonts w:ascii="Garamond" w:eastAsia="SimSun" w:hAnsi="Garamond" w:cs="Arial"/>
          <w:sz w:val="24"/>
          <w:szCs w:val="24"/>
        </w:rPr>
        <w:t xml:space="preserve">ou-se </w:t>
      </w:r>
      <w:r w:rsidR="007F07D8" w:rsidRPr="003A1174">
        <w:rPr>
          <w:rFonts w:ascii="Garamond" w:eastAsia="SimSun" w:hAnsi="Garamond" w:cs="Arial"/>
          <w:sz w:val="24"/>
          <w:szCs w:val="24"/>
        </w:rPr>
        <w:t xml:space="preserve">por </w:t>
      </w:r>
      <w:r w:rsidR="00863197" w:rsidRPr="003A1174">
        <w:rPr>
          <w:rFonts w:ascii="Garamond" w:eastAsia="SimSun" w:hAnsi="Garamond" w:cs="Arial"/>
          <w:sz w:val="24"/>
          <w:szCs w:val="24"/>
        </w:rPr>
        <w:t xml:space="preserve">assinalar </w:t>
      </w:r>
      <w:r w:rsidR="007F07D8" w:rsidRPr="003A1174">
        <w:rPr>
          <w:rFonts w:ascii="Garamond" w:eastAsia="SimSun" w:hAnsi="Garamond" w:cs="Arial"/>
          <w:sz w:val="24"/>
          <w:szCs w:val="24"/>
        </w:rPr>
        <w:t xml:space="preserve">entre </w:t>
      </w:r>
      <w:r w:rsidRPr="003A1174">
        <w:rPr>
          <w:rFonts w:ascii="Garamond" w:eastAsia="SimSun" w:hAnsi="Garamond" w:cs="Arial"/>
          <w:sz w:val="24"/>
          <w:szCs w:val="24"/>
        </w:rPr>
        <w:t>parênteses</w:t>
      </w:r>
      <w:r w:rsidR="007F07D8" w:rsidRPr="003A1174">
        <w:rPr>
          <w:rFonts w:ascii="Garamond" w:eastAsia="SimSun" w:hAnsi="Garamond" w:cs="Arial"/>
          <w:sz w:val="24"/>
          <w:szCs w:val="24"/>
        </w:rPr>
        <w:t xml:space="preserve"> </w:t>
      </w:r>
      <w:r w:rsidR="00D35D55">
        <w:rPr>
          <w:rFonts w:ascii="Garamond" w:eastAsia="SimSun" w:hAnsi="Garamond" w:cs="Arial"/>
          <w:sz w:val="24"/>
          <w:szCs w:val="24"/>
        </w:rPr>
        <w:t>-</w:t>
      </w:r>
      <w:r w:rsidR="00863197" w:rsidRPr="003A1174">
        <w:rPr>
          <w:rFonts w:ascii="Garamond" w:eastAsia="SimSun" w:hAnsi="Garamond" w:cs="Arial"/>
          <w:sz w:val="24"/>
          <w:szCs w:val="24"/>
        </w:rPr>
        <w:t xml:space="preserve"> quando</w:t>
      </w:r>
      <w:r w:rsidR="007F07D8" w:rsidRPr="003A1174">
        <w:rPr>
          <w:rFonts w:ascii="Garamond" w:eastAsia="SimSun" w:hAnsi="Garamond" w:cs="Arial"/>
          <w:sz w:val="24"/>
          <w:szCs w:val="24"/>
        </w:rPr>
        <w:t xml:space="preserve"> se </w:t>
      </w:r>
      <w:r w:rsidR="00863197" w:rsidRPr="003A1174">
        <w:rPr>
          <w:rFonts w:ascii="Garamond" w:eastAsia="SimSun" w:hAnsi="Garamond" w:cs="Arial"/>
          <w:sz w:val="24"/>
          <w:szCs w:val="24"/>
        </w:rPr>
        <w:t>c</w:t>
      </w:r>
      <w:r w:rsidR="00276F71" w:rsidRPr="003A1174">
        <w:rPr>
          <w:rFonts w:ascii="Garamond" w:eastAsia="SimSun" w:hAnsi="Garamond" w:cs="Arial"/>
          <w:sz w:val="24"/>
          <w:szCs w:val="24"/>
        </w:rPr>
        <w:t>onsider</w:t>
      </w:r>
      <w:r w:rsidR="00863197" w:rsidRPr="003A1174">
        <w:rPr>
          <w:rFonts w:ascii="Garamond" w:eastAsia="SimSun" w:hAnsi="Garamond" w:cs="Arial"/>
          <w:sz w:val="24"/>
          <w:szCs w:val="24"/>
        </w:rPr>
        <w:t xml:space="preserve">ou </w:t>
      </w:r>
      <w:r w:rsidR="00C30647" w:rsidRPr="003A1174">
        <w:rPr>
          <w:rFonts w:ascii="Garamond" w:eastAsia="SimSun" w:hAnsi="Garamond" w:cs="Arial"/>
          <w:sz w:val="24"/>
          <w:szCs w:val="24"/>
        </w:rPr>
        <w:t>necessário</w:t>
      </w:r>
      <w:r w:rsidR="00863197" w:rsidRPr="003A1174">
        <w:rPr>
          <w:rFonts w:ascii="Garamond" w:eastAsia="SimSun" w:hAnsi="Garamond" w:cs="Arial"/>
          <w:sz w:val="24"/>
          <w:szCs w:val="24"/>
        </w:rPr>
        <w:t xml:space="preserve"> </w:t>
      </w:r>
      <w:r w:rsidR="00D35D55">
        <w:rPr>
          <w:rFonts w:ascii="Garamond" w:eastAsia="SimSun" w:hAnsi="Garamond" w:cs="Arial"/>
          <w:sz w:val="24"/>
          <w:szCs w:val="24"/>
        </w:rPr>
        <w:t>-</w:t>
      </w:r>
      <w:r w:rsidR="00863197" w:rsidRPr="003A1174">
        <w:rPr>
          <w:rFonts w:ascii="Garamond" w:eastAsia="SimSun" w:hAnsi="Garamond" w:cs="Arial"/>
          <w:sz w:val="24"/>
          <w:szCs w:val="24"/>
        </w:rPr>
        <w:t xml:space="preserve"> </w:t>
      </w:r>
      <w:r w:rsidR="007F07D8" w:rsidRPr="003A1174">
        <w:rPr>
          <w:rFonts w:ascii="Garamond" w:eastAsia="SimSun" w:hAnsi="Garamond" w:cs="Arial"/>
          <w:sz w:val="24"/>
          <w:szCs w:val="24"/>
        </w:rPr>
        <w:t>os elementos temáticos que corresponde</w:t>
      </w:r>
      <w:r w:rsidR="00863197" w:rsidRPr="003A1174">
        <w:rPr>
          <w:rFonts w:ascii="Garamond" w:eastAsia="SimSun" w:hAnsi="Garamond" w:cs="Arial"/>
          <w:sz w:val="24"/>
          <w:szCs w:val="24"/>
        </w:rPr>
        <w:t xml:space="preserve">m ao </w:t>
      </w:r>
      <w:r w:rsidR="007F07D8" w:rsidRPr="003A1174">
        <w:rPr>
          <w:rFonts w:ascii="Garamond" w:eastAsia="SimSun" w:hAnsi="Garamond" w:cs="Arial"/>
          <w:sz w:val="24"/>
          <w:szCs w:val="24"/>
        </w:rPr>
        <w:t>respetivo</w:t>
      </w:r>
      <w:r w:rsidRPr="003A1174">
        <w:rPr>
          <w:rFonts w:ascii="Garamond" w:eastAsia="SimSun" w:hAnsi="Garamond" w:cs="Arial"/>
          <w:sz w:val="24"/>
          <w:szCs w:val="24"/>
        </w:rPr>
        <w:t xml:space="preserve"> excerto</w:t>
      </w:r>
      <w:r w:rsidR="007F07D8" w:rsidRPr="003A1174">
        <w:rPr>
          <w:rFonts w:ascii="Garamond" w:eastAsia="SimSun" w:hAnsi="Garamond" w:cs="Arial"/>
          <w:sz w:val="24"/>
          <w:szCs w:val="24"/>
        </w:rPr>
        <w:t xml:space="preserve"> d</w:t>
      </w:r>
      <w:r w:rsidR="00863197" w:rsidRPr="003A1174">
        <w:rPr>
          <w:rFonts w:ascii="Garamond" w:eastAsia="SimSun" w:hAnsi="Garamond" w:cs="Arial"/>
          <w:sz w:val="24"/>
          <w:szCs w:val="24"/>
        </w:rPr>
        <w:t xml:space="preserve">o </w:t>
      </w:r>
      <w:r w:rsidR="007F07D8" w:rsidRPr="003A1174">
        <w:rPr>
          <w:rFonts w:ascii="Garamond" w:eastAsia="SimSun" w:hAnsi="Garamond" w:cs="Arial"/>
          <w:sz w:val="24"/>
          <w:szCs w:val="24"/>
        </w:rPr>
        <w:t>re</w:t>
      </w:r>
      <w:r w:rsidRPr="003A1174">
        <w:rPr>
          <w:rFonts w:ascii="Garamond" w:eastAsia="SimSun" w:hAnsi="Garamond" w:cs="Arial"/>
          <w:sz w:val="24"/>
          <w:szCs w:val="24"/>
        </w:rPr>
        <w:t xml:space="preserve">latório </w:t>
      </w:r>
      <w:r w:rsidR="007F07D8" w:rsidRPr="003A1174">
        <w:rPr>
          <w:rFonts w:ascii="Garamond" w:eastAsia="SimSun" w:hAnsi="Garamond" w:cs="Arial"/>
          <w:sz w:val="24"/>
          <w:szCs w:val="24"/>
        </w:rPr>
        <w:t>de cada país.</w:t>
      </w:r>
    </w:p>
    <w:p w:rsidR="007F07D8" w:rsidRPr="003A1174" w:rsidRDefault="007F07D8" w:rsidP="008719D4">
      <w:pPr>
        <w:tabs>
          <w:tab w:val="left" w:pos="708"/>
        </w:tabs>
        <w:suppressAutoHyphens/>
        <w:spacing w:line="240" w:lineRule="auto"/>
        <w:jc w:val="both"/>
        <w:rPr>
          <w:rFonts w:ascii="Garamond" w:eastAsia="SimSun" w:hAnsi="Garamond" w:cs="Arial"/>
          <w:sz w:val="24"/>
          <w:szCs w:val="24"/>
        </w:rPr>
      </w:pPr>
      <w:r w:rsidRPr="003A1174">
        <w:rPr>
          <w:rFonts w:ascii="Garamond" w:eastAsia="SimSun" w:hAnsi="Garamond" w:cs="Arial"/>
          <w:sz w:val="24"/>
          <w:szCs w:val="24"/>
        </w:rPr>
        <w:t xml:space="preserve">Advertimos que por motivos de </w:t>
      </w:r>
      <w:r w:rsidR="0017447A" w:rsidRPr="003A1174">
        <w:rPr>
          <w:rFonts w:ascii="Garamond" w:eastAsia="SimSun" w:hAnsi="Garamond" w:cs="Arial"/>
          <w:sz w:val="24"/>
          <w:szCs w:val="24"/>
        </w:rPr>
        <w:t>trabalho</w:t>
      </w:r>
      <w:r w:rsidR="00863197" w:rsidRPr="003A1174">
        <w:rPr>
          <w:rFonts w:ascii="Garamond" w:eastAsia="SimSun" w:hAnsi="Garamond" w:cs="Arial"/>
          <w:sz w:val="24"/>
          <w:szCs w:val="24"/>
        </w:rPr>
        <w:t xml:space="preserve"> linguístico e</w:t>
      </w:r>
      <w:r w:rsidRPr="003A1174">
        <w:rPr>
          <w:rFonts w:ascii="Garamond" w:eastAsia="SimSun" w:hAnsi="Garamond" w:cs="Arial"/>
          <w:sz w:val="24"/>
          <w:szCs w:val="24"/>
        </w:rPr>
        <w:t xml:space="preserve"> </w:t>
      </w:r>
      <w:r w:rsidR="005D38DC" w:rsidRPr="003A1174">
        <w:rPr>
          <w:rFonts w:ascii="Garamond" w:eastAsia="SimSun" w:hAnsi="Garamond" w:cs="Arial"/>
          <w:sz w:val="24"/>
          <w:szCs w:val="24"/>
        </w:rPr>
        <w:t>limitações</w:t>
      </w:r>
      <w:r w:rsidRPr="003A1174">
        <w:rPr>
          <w:rFonts w:ascii="Garamond" w:eastAsia="SimSun" w:hAnsi="Garamond" w:cs="Arial"/>
          <w:sz w:val="24"/>
          <w:szCs w:val="24"/>
        </w:rPr>
        <w:t xml:space="preserve"> de </w:t>
      </w:r>
      <w:r w:rsidR="003F012B" w:rsidRPr="003A1174">
        <w:rPr>
          <w:rFonts w:ascii="Garamond" w:eastAsia="SimSun" w:hAnsi="Garamond" w:cs="Arial"/>
          <w:sz w:val="24"/>
          <w:szCs w:val="24"/>
        </w:rPr>
        <w:t>tempo</w:t>
      </w:r>
      <w:r w:rsidRPr="003A1174">
        <w:rPr>
          <w:rFonts w:ascii="Garamond" w:eastAsia="SimSun" w:hAnsi="Garamond" w:cs="Arial"/>
          <w:sz w:val="24"/>
          <w:szCs w:val="24"/>
        </w:rPr>
        <w:t>, n</w:t>
      </w:r>
      <w:r w:rsidR="00863197" w:rsidRPr="003A1174">
        <w:rPr>
          <w:rFonts w:ascii="Garamond" w:eastAsia="SimSun" w:hAnsi="Garamond" w:cs="Arial"/>
          <w:sz w:val="24"/>
          <w:szCs w:val="24"/>
        </w:rPr>
        <w:t>ã</w:t>
      </w:r>
      <w:r w:rsidRPr="003A1174">
        <w:rPr>
          <w:rFonts w:ascii="Garamond" w:eastAsia="SimSun" w:hAnsi="Garamond" w:cs="Arial"/>
          <w:sz w:val="24"/>
          <w:szCs w:val="24"/>
        </w:rPr>
        <w:t xml:space="preserve">o </w:t>
      </w:r>
      <w:r w:rsidR="00863197" w:rsidRPr="003A1174">
        <w:rPr>
          <w:rFonts w:ascii="Garamond" w:eastAsia="SimSun" w:hAnsi="Garamond" w:cs="Arial"/>
          <w:sz w:val="24"/>
          <w:szCs w:val="24"/>
        </w:rPr>
        <w:t xml:space="preserve">conseguimos </w:t>
      </w:r>
      <w:r w:rsidRPr="003A1174">
        <w:rPr>
          <w:rFonts w:ascii="Garamond" w:eastAsia="SimSun" w:hAnsi="Garamond" w:cs="Arial"/>
          <w:sz w:val="24"/>
          <w:szCs w:val="24"/>
        </w:rPr>
        <w:t>tradu</w:t>
      </w:r>
      <w:r w:rsidR="00863197" w:rsidRPr="003A1174">
        <w:rPr>
          <w:rFonts w:ascii="Garamond" w:eastAsia="SimSun" w:hAnsi="Garamond" w:cs="Arial"/>
          <w:sz w:val="24"/>
          <w:szCs w:val="24"/>
        </w:rPr>
        <w:t>z</w:t>
      </w:r>
      <w:r w:rsidRPr="003A1174">
        <w:rPr>
          <w:rFonts w:ascii="Garamond" w:eastAsia="SimSun" w:hAnsi="Garamond" w:cs="Arial"/>
          <w:sz w:val="24"/>
          <w:szCs w:val="24"/>
        </w:rPr>
        <w:t xml:space="preserve">ir </w:t>
      </w:r>
      <w:r w:rsidR="00863197" w:rsidRPr="003A1174">
        <w:rPr>
          <w:rFonts w:ascii="Garamond" w:eastAsia="SimSun" w:hAnsi="Garamond" w:cs="Arial"/>
          <w:sz w:val="24"/>
          <w:szCs w:val="24"/>
        </w:rPr>
        <w:t xml:space="preserve">o </w:t>
      </w:r>
      <w:r w:rsidR="00835CD1" w:rsidRPr="003A1174">
        <w:rPr>
          <w:rFonts w:ascii="Garamond" w:eastAsia="SimSun" w:hAnsi="Garamond" w:cs="Arial"/>
          <w:sz w:val="24"/>
          <w:szCs w:val="24"/>
        </w:rPr>
        <w:t xml:space="preserve">magnífico </w:t>
      </w:r>
      <w:r w:rsidR="009E3E55" w:rsidRPr="003A1174">
        <w:rPr>
          <w:rFonts w:ascii="Garamond" w:eastAsia="SimSun" w:hAnsi="Garamond" w:cs="Arial"/>
          <w:sz w:val="24"/>
          <w:szCs w:val="24"/>
        </w:rPr>
        <w:t>relatório</w:t>
      </w:r>
      <w:r w:rsidRPr="003A1174">
        <w:rPr>
          <w:rFonts w:ascii="Garamond" w:eastAsia="SimSun" w:hAnsi="Garamond" w:cs="Arial"/>
          <w:sz w:val="24"/>
          <w:szCs w:val="24"/>
        </w:rPr>
        <w:t xml:space="preserve"> sobre </w:t>
      </w:r>
      <w:r w:rsidR="00863197" w:rsidRPr="003A1174">
        <w:rPr>
          <w:rFonts w:ascii="Garamond" w:eastAsia="SimSun" w:hAnsi="Garamond" w:cs="Arial"/>
          <w:sz w:val="24"/>
          <w:szCs w:val="24"/>
        </w:rPr>
        <w:t xml:space="preserve">o </w:t>
      </w:r>
      <w:r w:rsidRPr="003A1174">
        <w:rPr>
          <w:rFonts w:ascii="Garamond" w:eastAsia="SimSun" w:hAnsi="Garamond" w:cs="Arial"/>
          <w:sz w:val="24"/>
          <w:szCs w:val="24"/>
        </w:rPr>
        <w:t>Brasil, n</w:t>
      </w:r>
      <w:r w:rsidR="00863197" w:rsidRPr="003A1174">
        <w:rPr>
          <w:rFonts w:ascii="Garamond" w:eastAsia="SimSun" w:hAnsi="Garamond" w:cs="Arial"/>
          <w:sz w:val="24"/>
          <w:szCs w:val="24"/>
        </w:rPr>
        <w:t>ã</w:t>
      </w:r>
      <w:r w:rsidRPr="003A1174">
        <w:rPr>
          <w:rFonts w:ascii="Garamond" w:eastAsia="SimSun" w:hAnsi="Garamond" w:cs="Arial"/>
          <w:sz w:val="24"/>
          <w:szCs w:val="24"/>
        </w:rPr>
        <w:t>o obstante</w:t>
      </w:r>
      <w:r w:rsidR="00835CD1" w:rsidRPr="003A1174">
        <w:rPr>
          <w:rFonts w:ascii="Garamond" w:eastAsia="SimSun" w:hAnsi="Garamond" w:cs="Arial"/>
          <w:sz w:val="24"/>
          <w:szCs w:val="24"/>
        </w:rPr>
        <w:t xml:space="preserve">, consideramos </w:t>
      </w:r>
      <w:r w:rsidR="000866B6" w:rsidRPr="003A1174">
        <w:rPr>
          <w:rFonts w:ascii="Garamond" w:eastAsia="SimSun" w:hAnsi="Garamond" w:cs="Arial"/>
          <w:sz w:val="24"/>
          <w:szCs w:val="24"/>
        </w:rPr>
        <w:t>indispensável</w:t>
      </w:r>
      <w:r w:rsidRPr="003A1174">
        <w:rPr>
          <w:rFonts w:ascii="Garamond" w:eastAsia="SimSun" w:hAnsi="Garamond" w:cs="Arial"/>
          <w:sz w:val="24"/>
          <w:szCs w:val="24"/>
        </w:rPr>
        <w:t xml:space="preserve"> incorpor</w:t>
      </w:r>
      <w:r w:rsidR="00835CD1" w:rsidRPr="003A1174">
        <w:rPr>
          <w:rFonts w:ascii="Garamond" w:eastAsia="SimSun" w:hAnsi="Garamond" w:cs="Arial"/>
          <w:sz w:val="24"/>
          <w:szCs w:val="24"/>
        </w:rPr>
        <w:t>á-</w:t>
      </w:r>
      <w:r w:rsidRPr="003A1174">
        <w:rPr>
          <w:rFonts w:ascii="Garamond" w:eastAsia="SimSun" w:hAnsi="Garamond" w:cs="Arial"/>
          <w:sz w:val="24"/>
          <w:szCs w:val="24"/>
        </w:rPr>
        <w:t xml:space="preserve">lo </w:t>
      </w:r>
      <w:r w:rsidR="00863197" w:rsidRPr="003A1174">
        <w:rPr>
          <w:rFonts w:ascii="Garamond" w:eastAsia="SimSun" w:hAnsi="Garamond" w:cs="Arial"/>
          <w:sz w:val="24"/>
          <w:szCs w:val="24"/>
        </w:rPr>
        <w:t xml:space="preserve">no </w:t>
      </w:r>
      <w:r w:rsidRPr="003A1174">
        <w:rPr>
          <w:rFonts w:ascii="Garamond" w:eastAsia="SimSun" w:hAnsi="Garamond" w:cs="Arial"/>
          <w:sz w:val="24"/>
          <w:szCs w:val="24"/>
        </w:rPr>
        <w:t xml:space="preserve">presente documento </w:t>
      </w:r>
      <w:r w:rsidR="00863197" w:rsidRPr="003A1174">
        <w:rPr>
          <w:rFonts w:ascii="Garamond" w:eastAsia="SimSun" w:hAnsi="Garamond" w:cs="Arial"/>
          <w:sz w:val="24"/>
          <w:szCs w:val="24"/>
        </w:rPr>
        <w:t xml:space="preserve">na </w:t>
      </w:r>
      <w:r w:rsidR="00835CD1" w:rsidRPr="003A1174">
        <w:rPr>
          <w:rFonts w:ascii="Garamond" w:eastAsia="SimSun" w:hAnsi="Garamond" w:cs="Arial"/>
          <w:sz w:val="24"/>
          <w:szCs w:val="24"/>
        </w:rPr>
        <w:t>íntegra</w:t>
      </w:r>
      <w:r w:rsidR="00863197" w:rsidRPr="003A1174">
        <w:rPr>
          <w:rFonts w:ascii="Garamond" w:eastAsia="SimSun" w:hAnsi="Garamond" w:cs="Arial"/>
          <w:sz w:val="24"/>
          <w:szCs w:val="24"/>
        </w:rPr>
        <w:t xml:space="preserve"> e como Anexo para</w:t>
      </w:r>
      <w:r w:rsidRPr="003A1174">
        <w:rPr>
          <w:rFonts w:ascii="Garamond" w:eastAsia="SimSun" w:hAnsi="Garamond" w:cs="Arial"/>
          <w:sz w:val="24"/>
          <w:szCs w:val="24"/>
        </w:rPr>
        <w:t xml:space="preserve"> </w:t>
      </w:r>
      <w:r w:rsidR="00863197" w:rsidRPr="003A1174">
        <w:rPr>
          <w:rFonts w:ascii="Garamond" w:eastAsia="SimSun" w:hAnsi="Garamond" w:cs="Arial"/>
          <w:sz w:val="24"/>
          <w:szCs w:val="24"/>
        </w:rPr>
        <w:t xml:space="preserve">a </w:t>
      </w:r>
      <w:r w:rsidRPr="003A1174">
        <w:rPr>
          <w:rFonts w:ascii="Garamond" w:eastAsia="SimSun" w:hAnsi="Garamond" w:cs="Arial"/>
          <w:sz w:val="24"/>
          <w:szCs w:val="24"/>
        </w:rPr>
        <w:t>su</w:t>
      </w:r>
      <w:r w:rsidR="00863197" w:rsidRPr="003A1174">
        <w:rPr>
          <w:rFonts w:ascii="Garamond" w:eastAsia="SimSun" w:hAnsi="Garamond" w:cs="Arial"/>
          <w:sz w:val="24"/>
          <w:szCs w:val="24"/>
        </w:rPr>
        <w:t>a</w:t>
      </w:r>
      <w:r w:rsidRPr="003A1174">
        <w:rPr>
          <w:rFonts w:ascii="Garamond" w:eastAsia="SimSun" w:hAnsi="Garamond" w:cs="Arial"/>
          <w:sz w:val="24"/>
          <w:szCs w:val="24"/>
        </w:rPr>
        <w:t xml:space="preserve"> de</w:t>
      </w:r>
      <w:r w:rsidR="00863197" w:rsidRPr="003A1174">
        <w:rPr>
          <w:rFonts w:ascii="Garamond" w:eastAsia="SimSun" w:hAnsi="Garamond" w:cs="Arial"/>
          <w:sz w:val="24"/>
          <w:szCs w:val="24"/>
        </w:rPr>
        <w:t>v</w:t>
      </w:r>
      <w:r w:rsidRPr="003A1174">
        <w:rPr>
          <w:rFonts w:ascii="Garamond" w:eastAsia="SimSun" w:hAnsi="Garamond" w:cs="Arial"/>
          <w:sz w:val="24"/>
          <w:szCs w:val="24"/>
        </w:rPr>
        <w:t xml:space="preserve">ida </w:t>
      </w:r>
      <w:r w:rsidR="00863197" w:rsidRPr="003A1174">
        <w:rPr>
          <w:rFonts w:ascii="Garamond" w:eastAsia="SimSun" w:hAnsi="Garamond" w:cs="Arial"/>
          <w:sz w:val="24"/>
          <w:szCs w:val="24"/>
        </w:rPr>
        <w:t>consideração</w:t>
      </w:r>
      <w:r w:rsidRPr="003A1174">
        <w:rPr>
          <w:rFonts w:ascii="Garamond" w:eastAsia="SimSun" w:hAnsi="Garamond" w:cs="Arial"/>
          <w:sz w:val="24"/>
          <w:szCs w:val="24"/>
        </w:rPr>
        <w:t xml:space="preserve"> </w:t>
      </w:r>
      <w:r w:rsidR="00863197" w:rsidRPr="003A1174">
        <w:rPr>
          <w:rFonts w:ascii="Garamond" w:eastAsia="SimSun" w:hAnsi="Garamond" w:cs="Arial"/>
          <w:sz w:val="24"/>
          <w:szCs w:val="24"/>
        </w:rPr>
        <w:t>quando</w:t>
      </w:r>
      <w:r w:rsidRPr="003A1174">
        <w:rPr>
          <w:rFonts w:ascii="Garamond" w:eastAsia="SimSun" w:hAnsi="Garamond" w:cs="Arial"/>
          <w:sz w:val="24"/>
          <w:szCs w:val="24"/>
        </w:rPr>
        <w:t xml:space="preserve"> es</w:t>
      </w:r>
      <w:r w:rsidR="00863197" w:rsidRPr="003A1174">
        <w:rPr>
          <w:rFonts w:ascii="Garamond" w:eastAsia="SimSun" w:hAnsi="Garamond" w:cs="Arial"/>
          <w:sz w:val="24"/>
          <w:szCs w:val="24"/>
        </w:rPr>
        <w:t>s</w:t>
      </w:r>
      <w:r w:rsidRPr="003A1174">
        <w:rPr>
          <w:rFonts w:ascii="Garamond" w:eastAsia="SimSun" w:hAnsi="Garamond" w:cs="Arial"/>
          <w:sz w:val="24"/>
          <w:szCs w:val="24"/>
        </w:rPr>
        <w:t>as limita</w:t>
      </w:r>
      <w:r w:rsidR="00863197" w:rsidRPr="003A1174">
        <w:rPr>
          <w:rFonts w:ascii="Garamond" w:eastAsia="SimSun" w:hAnsi="Garamond" w:cs="Arial"/>
          <w:sz w:val="24"/>
          <w:szCs w:val="24"/>
        </w:rPr>
        <w:t xml:space="preserve">ções deixem </w:t>
      </w:r>
      <w:r w:rsidRPr="003A1174">
        <w:rPr>
          <w:rFonts w:ascii="Garamond" w:eastAsia="SimSun" w:hAnsi="Garamond" w:cs="Arial"/>
          <w:sz w:val="24"/>
          <w:szCs w:val="24"/>
        </w:rPr>
        <w:t>de estar presentes.</w:t>
      </w:r>
    </w:p>
    <w:p w:rsidR="007F07D8" w:rsidRPr="003A1174" w:rsidRDefault="009F0311" w:rsidP="008719D4">
      <w:pPr>
        <w:autoSpaceDE w:val="0"/>
        <w:autoSpaceDN w:val="0"/>
        <w:adjustRightInd w:val="0"/>
        <w:spacing w:line="240" w:lineRule="auto"/>
        <w:jc w:val="both"/>
        <w:rPr>
          <w:rFonts w:ascii="Garamond" w:hAnsi="Garamond" w:cs="Arial"/>
          <w:sz w:val="24"/>
          <w:szCs w:val="24"/>
        </w:rPr>
      </w:pPr>
      <w:r w:rsidRPr="003A1174">
        <w:rPr>
          <w:rFonts w:ascii="Garamond" w:hAnsi="Garamond" w:cs="Arial"/>
          <w:sz w:val="24"/>
          <w:szCs w:val="24"/>
        </w:rPr>
        <w:t>Vale a pena mencionar</w:t>
      </w:r>
      <w:r w:rsidR="00863197" w:rsidRPr="003A1174">
        <w:rPr>
          <w:rFonts w:ascii="Garamond" w:hAnsi="Garamond" w:cs="Arial"/>
          <w:sz w:val="24"/>
          <w:szCs w:val="24"/>
        </w:rPr>
        <w:t xml:space="preserve"> que </w:t>
      </w:r>
      <w:r w:rsidR="003F012B" w:rsidRPr="003A1174">
        <w:rPr>
          <w:rFonts w:ascii="Garamond" w:hAnsi="Garamond" w:cs="Arial"/>
          <w:sz w:val="24"/>
          <w:szCs w:val="24"/>
        </w:rPr>
        <w:t>a finalidad</w:t>
      </w:r>
      <w:r w:rsidR="00863197" w:rsidRPr="003A1174">
        <w:rPr>
          <w:rFonts w:ascii="Garamond" w:hAnsi="Garamond" w:cs="Arial"/>
          <w:sz w:val="24"/>
          <w:szCs w:val="24"/>
        </w:rPr>
        <w:t>e</w:t>
      </w:r>
      <w:r w:rsidR="003F012B" w:rsidRPr="003A1174">
        <w:rPr>
          <w:rFonts w:ascii="Garamond" w:hAnsi="Garamond" w:cs="Arial"/>
          <w:sz w:val="24"/>
          <w:szCs w:val="24"/>
        </w:rPr>
        <w:t xml:space="preserve"> d</w:t>
      </w:r>
      <w:r w:rsidR="007F07D8" w:rsidRPr="003A1174">
        <w:rPr>
          <w:rFonts w:ascii="Garamond" w:hAnsi="Garamond" w:cs="Arial"/>
          <w:sz w:val="24"/>
          <w:szCs w:val="24"/>
        </w:rPr>
        <w:t xml:space="preserve">este </w:t>
      </w:r>
      <w:r w:rsidR="0017447A" w:rsidRPr="003A1174">
        <w:rPr>
          <w:rFonts w:ascii="Garamond" w:hAnsi="Garamond" w:cs="Arial"/>
          <w:sz w:val="24"/>
          <w:szCs w:val="24"/>
        </w:rPr>
        <w:t>trabalho</w:t>
      </w:r>
      <w:r w:rsidR="007F07D8" w:rsidRPr="003A1174">
        <w:rPr>
          <w:rFonts w:ascii="Garamond" w:hAnsi="Garamond" w:cs="Arial"/>
          <w:sz w:val="24"/>
          <w:szCs w:val="24"/>
        </w:rPr>
        <w:t xml:space="preserve"> da FIO n</w:t>
      </w:r>
      <w:r w:rsidR="003F012B" w:rsidRPr="003A1174">
        <w:rPr>
          <w:rFonts w:ascii="Garamond" w:hAnsi="Garamond" w:cs="Arial"/>
          <w:sz w:val="24"/>
          <w:szCs w:val="24"/>
        </w:rPr>
        <w:t>ã</w:t>
      </w:r>
      <w:r w:rsidR="007F07D8" w:rsidRPr="003A1174">
        <w:rPr>
          <w:rFonts w:ascii="Garamond" w:hAnsi="Garamond" w:cs="Arial"/>
          <w:sz w:val="24"/>
          <w:szCs w:val="24"/>
        </w:rPr>
        <w:t xml:space="preserve">o </w:t>
      </w:r>
      <w:r w:rsidR="00835CD1" w:rsidRPr="003A1174">
        <w:rPr>
          <w:rFonts w:ascii="Garamond" w:hAnsi="Garamond" w:cs="Arial"/>
          <w:sz w:val="24"/>
          <w:szCs w:val="24"/>
        </w:rPr>
        <w:t xml:space="preserve">é </w:t>
      </w:r>
      <w:r w:rsidR="002B6C5B" w:rsidRPr="003A1174">
        <w:rPr>
          <w:rFonts w:ascii="Garamond" w:hAnsi="Garamond" w:cs="Arial"/>
          <w:sz w:val="24"/>
          <w:szCs w:val="24"/>
        </w:rPr>
        <w:t>outra</w:t>
      </w:r>
      <w:r w:rsidR="007F07D8" w:rsidRPr="003A1174">
        <w:rPr>
          <w:rFonts w:ascii="Garamond" w:hAnsi="Garamond" w:cs="Arial"/>
          <w:sz w:val="24"/>
          <w:szCs w:val="24"/>
        </w:rPr>
        <w:t xml:space="preserve"> </w:t>
      </w:r>
      <w:r w:rsidR="00835CD1" w:rsidRPr="003A1174">
        <w:rPr>
          <w:rFonts w:ascii="Garamond" w:hAnsi="Garamond" w:cs="Arial"/>
          <w:sz w:val="24"/>
          <w:szCs w:val="24"/>
        </w:rPr>
        <w:t xml:space="preserve">senão </w:t>
      </w:r>
      <w:r w:rsidR="007F07D8" w:rsidRPr="003A1174">
        <w:rPr>
          <w:rFonts w:ascii="Garamond" w:hAnsi="Garamond" w:cs="Arial"/>
          <w:sz w:val="24"/>
          <w:szCs w:val="24"/>
        </w:rPr>
        <w:t xml:space="preserve">contribuir, </w:t>
      </w:r>
      <w:r w:rsidR="00863197" w:rsidRPr="003A1174">
        <w:rPr>
          <w:rFonts w:ascii="Garamond" w:hAnsi="Garamond" w:cs="Arial"/>
          <w:sz w:val="24"/>
          <w:szCs w:val="24"/>
        </w:rPr>
        <w:t xml:space="preserve">no </w:t>
      </w:r>
      <w:r w:rsidR="00835CD1" w:rsidRPr="003A1174">
        <w:rPr>
          <w:rFonts w:ascii="Garamond" w:hAnsi="Garamond" w:cs="Arial"/>
          <w:sz w:val="24"/>
          <w:szCs w:val="24"/>
        </w:rPr>
        <w:t xml:space="preserve">quadro do trabalho </w:t>
      </w:r>
      <w:r w:rsidR="00863197" w:rsidRPr="003A1174">
        <w:rPr>
          <w:rFonts w:ascii="Garamond" w:hAnsi="Garamond" w:cs="Arial"/>
          <w:sz w:val="24"/>
          <w:szCs w:val="24"/>
        </w:rPr>
        <w:t>e</w:t>
      </w:r>
      <w:r w:rsidR="007F07D8" w:rsidRPr="003A1174">
        <w:rPr>
          <w:rFonts w:ascii="Garamond" w:hAnsi="Garamond" w:cs="Arial"/>
          <w:sz w:val="24"/>
          <w:szCs w:val="24"/>
        </w:rPr>
        <w:t xml:space="preserve"> permanente compromis</w:t>
      </w:r>
      <w:r w:rsidR="00863197" w:rsidRPr="003A1174">
        <w:rPr>
          <w:rFonts w:ascii="Garamond" w:hAnsi="Garamond" w:cs="Arial"/>
          <w:sz w:val="24"/>
          <w:szCs w:val="24"/>
        </w:rPr>
        <w:t>s</w:t>
      </w:r>
      <w:r w:rsidR="007F07D8" w:rsidRPr="003A1174">
        <w:rPr>
          <w:rFonts w:ascii="Garamond" w:hAnsi="Garamond" w:cs="Arial"/>
          <w:sz w:val="24"/>
          <w:szCs w:val="24"/>
        </w:rPr>
        <w:t xml:space="preserve">o da </w:t>
      </w:r>
      <w:r w:rsidR="002C7510" w:rsidRPr="003A1174">
        <w:rPr>
          <w:rFonts w:ascii="Garamond" w:hAnsi="Garamond" w:cs="Arial"/>
          <w:sz w:val="24"/>
          <w:szCs w:val="24"/>
        </w:rPr>
        <w:t>Rede</w:t>
      </w:r>
      <w:r w:rsidR="007F07D8" w:rsidRPr="003A1174">
        <w:rPr>
          <w:rFonts w:ascii="Garamond" w:hAnsi="Garamond" w:cs="Arial"/>
          <w:sz w:val="24"/>
          <w:szCs w:val="24"/>
        </w:rPr>
        <w:t xml:space="preserve"> de </w:t>
      </w:r>
      <w:r w:rsidR="00054EE0" w:rsidRPr="003A1174">
        <w:rPr>
          <w:rFonts w:ascii="Garamond" w:hAnsi="Garamond" w:cs="Arial"/>
          <w:sz w:val="24"/>
          <w:szCs w:val="24"/>
        </w:rPr>
        <w:t>Mulheres</w:t>
      </w:r>
      <w:r w:rsidR="007F07D8" w:rsidRPr="003A1174">
        <w:rPr>
          <w:rFonts w:ascii="Garamond" w:hAnsi="Garamond" w:cs="Arial"/>
          <w:sz w:val="24"/>
          <w:szCs w:val="24"/>
        </w:rPr>
        <w:t xml:space="preserve">, </w:t>
      </w:r>
      <w:r w:rsidR="006C760C" w:rsidRPr="003A1174">
        <w:rPr>
          <w:rFonts w:ascii="Garamond" w:hAnsi="Garamond" w:cs="Arial"/>
          <w:sz w:val="24"/>
          <w:szCs w:val="24"/>
        </w:rPr>
        <w:t xml:space="preserve">para uma </w:t>
      </w:r>
      <w:r w:rsidR="007F07D8" w:rsidRPr="003A1174">
        <w:rPr>
          <w:rFonts w:ascii="Garamond" w:hAnsi="Garamond" w:cs="Arial"/>
          <w:sz w:val="24"/>
          <w:szCs w:val="24"/>
        </w:rPr>
        <w:t>toma</w:t>
      </w:r>
      <w:r w:rsidR="006C760C" w:rsidRPr="003A1174">
        <w:rPr>
          <w:rFonts w:ascii="Garamond" w:hAnsi="Garamond" w:cs="Arial"/>
          <w:sz w:val="24"/>
          <w:szCs w:val="24"/>
        </w:rPr>
        <w:t>da</w:t>
      </w:r>
      <w:r w:rsidR="007F07D8" w:rsidRPr="003A1174">
        <w:rPr>
          <w:rFonts w:ascii="Garamond" w:hAnsi="Garamond" w:cs="Arial"/>
          <w:sz w:val="24"/>
          <w:szCs w:val="24"/>
        </w:rPr>
        <w:t xml:space="preserve"> de </w:t>
      </w:r>
      <w:r w:rsidR="00BA3CCE" w:rsidRPr="003A1174">
        <w:rPr>
          <w:rFonts w:ascii="Garamond" w:hAnsi="Garamond" w:cs="Arial"/>
          <w:sz w:val="24"/>
          <w:szCs w:val="24"/>
        </w:rPr>
        <w:t>consciência</w:t>
      </w:r>
      <w:r w:rsidR="007F07D8" w:rsidRPr="003A1174">
        <w:rPr>
          <w:rFonts w:ascii="Garamond" w:hAnsi="Garamond" w:cs="Arial"/>
          <w:sz w:val="24"/>
          <w:szCs w:val="24"/>
        </w:rPr>
        <w:t xml:space="preserve"> </w:t>
      </w:r>
      <w:r w:rsidR="006C760C" w:rsidRPr="003A1174">
        <w:rPr>
          <w:rFonts w:ascii="Garamond" w:hAnsi="Garamond" w:cs="Arial"/>
          <w:sz w:val="24"/>
          <w:szCs w:val="24"/>
        </w:rPr>
        <w:t xml:space="preserve">real </w:t>
      </w:r>
      <w:r w:rsidR="007F07D8" w:rsidRPr="003A1174">
        <w:rPr>
          <w:rFonts w:ascii="Garamond" w:hAnsi="Garamond" w:cs="Arial"/>
          <w:sz w:val="24"/>
          <w:szCs w:val="24"/>
        </w:rPr>
        <w:t xml:space="preserve">sobre </w:t>
      </w:r>
      <w:r w:rsidR="006C760C" w:rsidRPr="003A1174">
        <w:rPr>
          <w:rFonts w:ascii="Garamond" w:hAnsi="Garamond" w:cs="Arial"/>
          <w:sz w:val="24"/>
          <w:szCs w:val="24"/>
        </w:rPr>
        <w:t xml:space="preserve">o </w:t>
      </w:r>
      <w:r w:rsidR="007F07D8" w:rsidRPr="003A1174">
        <w:rPr>
          <w:rFonts w:ascii="Garamond" w:hAnsi="Garamond" w:cs="Arial"/>
          <w:sz w:val="24"/>
          <w:szCs w:val="24"/>
        </w:rPr>
        <w:t xml:space="preserve">grave problema que </w:t>
      </w:r>
      <w:r w:rsidR="006C760C" w:rsidRPr="003A1174">
        <w:rPr>
          <w:rFonts w:ascii="Garamond" w:hAnsi="Garamond" w:cs="Arial"/>
          <w:sz w:val="24"/>
          <w:szCs w:val="24"/>
        </w:rPr>
        <w:t xml:space="preserve">os nossos Estados </w:t>
      </w:r>
      <w:r w:rsidR="007F07D8" w:rsidRPr="003A1174">
        <w:rPr>
          <w:rFonts w:ascii="Garamond" w:hAnsi="Garamond" w:cs="Arial"/>
          <w:sz w:val="24"/>
          <w:szCs w:val="24"/>
        </w:rPr>
        <w:t>contin</w:t>
      </w:r>
      <w:r w:rsidR="006C760C" w:rsidRPr="003A1174">
        <w:rPr>
          <w:rFonts w:ascii="Garamond" w:hAnsi="Garamond" w:cs="Arial"/>
          <w:sz w:val="24"/>
          <w:szCs w:val="24"/>
        </w:rPr>
        <w:t xml:space="preserve">uam a enfrentar para cumprirem com a sua </w:t>
      </w:r>
      <w:r w:rsidR="00AF192F" w:rsidRPr="003A1174">
        <w:rPr>
          <w:rFonts w:ascii="Garamond" w:hAnsi="Garamond" w:cs="Arial"/>
          <w:sz w:val="24"/>
          <w:szCs w:val="24"/>
        </w:rPr>
        <w:t>obrigação</w:t>
      </w:r>
      <w:r w:rsidR="007F07D8" w:rsidRPr="003A1174">
        <w:rPr>
          <w:rFonts w:ascii="Garamond" w:hAnsi="Garamond" w:cs="Arial"/>
          <w:sz w:val="24"/>
          <w:szCs w:val="24"/>
        </w:rPr>
        <w:t xml:space="preserve"> de </w:t>
      </w:r>
      <w:r w:rsidR="00AF192F" w:rsidRPr="003A1174">
        <w:rPr>
          <w:rFonts w:ascii="Garamond" w:hAnsi="Garamond" w:cs="Arial"/>
          <w:sz w:val="24"/>
          <w:szCs w:val="24"/>
        </w:rPr>
        <w:t>garantir</w:t>
      </w:r>
      <w:r w:rsidR="00835CD1" w:rsidRPr="003A1174">
        <w:rPr>
          <w:rFonts w:ascii="Garamond" w:hAnsi="Garamond" w:cs="Arial"/>
          <w:sz w:val="24"/>
          <w:szCs w:val="24"/>
        </w:rPr>
        <w:t>em</w:t>
      </w:r>
      <w:r w:rsidR="007F07D8" w:rsidRPr="003A1174">
        <w:rPr>
          <w:rFonts w:ascii="Garamond" w:hAnsi="Garamond" w:cs="Arial"/>
          <w:sz w:val="24"/>
          <w:szCs w:val="24"/>
        </w:rPr>
        <w:t xml:space="preserve"> </w:t>
      </w:r>
      <w:r w:rsidR="006C760C" w:rsidRPr="003A1174">
        <w:rPr>
          <w:rFonts w:ascii="Garamond" w:hAnsi="Garamond" w:cs="Arial"/>
          <w:sz w:val="24"/>
          <w:szCs w:val="24"/>
        </w:rPr>
        <w:t xml:space="preserve">o </w:t>
      </w:r>
      <w:r w:rsidR="00886D6A" w:rsidRPr="003A1174">
        <w:rPr>
          <w:rFonts w:ascii="Garamond" w:hAnsi="Garamond" w:cs="Arial"/>
          <w:sz w:val="24"/>
          <w:szCs w:val="24"/>
        </w:rPr>
        <w:t>direito</w:t>
      </w:r>
      <w:r w:rsidR="007F07D8" w:rsidRPr="003A1174">
        <w:rPr>
          <w:rFonts w:ascii="Garamond" w:hAnsi="Garamond" w:cs="Arial"/>
          <w:sz w:val="24"/>
          <w:szCs w:val="24"/>
        </w:rPr>
        <w:t xml:space="preserve"> das </w:t>
      </w:r>
      <w:r w:rsidR="00054EE0" w:rsidRPr="003A1174">
        <w:rPr>
          <w:rFonts w:ascii="Garamond" w:hAnsi="Garamond" w:cs="Arial"/>
          <w:sz w:val="24"/>
          <w:szCs w:val="24"/>
        </w:rPr>
        <w:t>mulheres</w:t>
      </w:r>
      <w:r w:rsidR="006C760C" w:rsidRPr="003A1174">
        <w:rPr>
          <w:rFonts w:ascii="Garamond" w:hAnsi="Garamond" w:cs="Arial"/>
          <w:sz w:val="24"/>
          <w:szCs w:val="24"/>
        </w:rPr>
        <w:t xml:space="preserve"> a um</w:t>
      </w:r>
      <w:r w:rsidR="007F07D8" w:rsidRPr="003A1174">
        <w:rPr>
          <w:rFonts w:ascii="Garamond" w:hAnsi="Garamond" w:cs="Arial"/>
          <w:sz w:val="24"/>
          <w:szCs w:val="24"/>
        </w:rPr>
        <w:t xml:space="preserve">a vida </w:t>
      </w:r>
      <w:r w:rsidR="00AF192F" w:rsidRPr="003A1174">
        <w:rPr>
          <w:rFonts w:ascii="Garamond" w:hAnsi="Garamond" w:cs="Arial"/>
          <w:sz w:val="24"/>
          <w:szCs w:val="24"/>
        </w:rPr>
        <w:t>livre</w:t>
      </w:r>
      <w:r w:rsidR="007F07D8" w:rsidRPr="003A1174">
        <w:rPr>
          <w:rFonts w:ascii="Garamond" w:hAnsi="Garamond" w:cs="Arial"/>
          <w:sz w:val="24"/>
          <w:szCs w:val="24"/>
        </w:rPr>
        <w:t xml:space="preserve"> de </w:t>
      </w:r>
      <w:r w:rsidR="000350B1" w:rsidRPr="003A1174">
        <w:rPr>
          <w:rFonts w:ascii="Garamond" w:hAnsi="Garamond" w:cs="Arial"/>
          <w:sz w:val="24"/>
          <w:szCs w:val="24"/>
        </w:rPr>
        <w:t>violência</w:t>
      </w:r>
      <w:r w:rsidR="007F07D8" w:rsidRPr="003A1174">
        <w:rPr>
          <w:rFonts w:ascii="Garamond" w:hAnsi="Garamond" w:cs="Arial"/>
          <w:sz w:val="24"/>
          <w:szCs w:val="24"/>
        </w:rPr>
        <w:t xml:space="preserve">, </w:t>
      </w:r>
      <w:r w:rsidR="006C760C" w:rsidRPr="003A1174">
        <w:rPr>
          <w:rFonts w:ascii="Garamond" w:hAnsi="Garamond" w:cs="Arial"/>
          <w:sz w:val="24"/>
          <w:szCs w:val="24"/>
        </w:rPr>
        <w:t xml:space="preserve">e sobre </w:t>
      </w:r>
      <w:r w:rsidR="007F07D8" w:rsidRPr="003A1174">
        <w:rPr>
          <w:rFonts w:ascii="Garamond" w:hAnsi="Garamond" w:cs="Arial"/>
          <w:sz w:val="24"/>
          <w:szCs w:val="24"/>
        </w:rPr>
        <w:t xml:space="preserve">a </w:t>
      </w:r>
      <w:r w:rsidR="006F7276" w:rsidRPr="003A1174">
        <w:rPr>
          <w:rFonts w:ascii="Garamond" w:hAnsi="Garamond" w:cs="Arial"/>
          <w:sz w:val="24"/>
          <w:szCs w:val="24"/>
        </w:rPr>
        <w:t>conseguinte</w:t>
      </w:r>
      <w:r w:rsidR="007F07D8" w:rsidRPr="003A1174">
        <w:rPr>
          <w:rFonts w:ascii="Garamond" w:hAnsi="Garamond" w:cs="Arial"/>
          <w:sz w:val="24"/>
          <w:szCs w:val="24"/>
        </w:rPr>
        <w:t xml:space="preserve"> </w:t>
      </w:r>
      <w:r w:rsidR="006C760C" w:rsidRPr="003A1174">
        <w:rPr>
          <w:rFonts w:ascii="Garamond" w:hAnsi="Garamond" w:cs="Arial"/>
          <w:sz w:val="24"/>
          <w:szCs w:val="24"/>
        </w:rPr>
        <w:t>urgência</w:t>
      </w:r>
      <w:r w:rsidR="007F07D8" w:rsidRPr="003A1174">
        <w:rPr>
          <w:rFonts w:ascii="Garamond" w:hAnsi="Garamond" w:cs="Arial"/>
          <w:sz w:val="24"/>
          <w:szCs w:val="24"/>
        </w:rPr>
        <w:t xml:space="preserve"> de </w:t>
      </w:r>
      <w:r w:rsidR="006C760C" w:rsidRPr="003A1174">
        <w:rPr>
          <w:rFonts w:ascii="Garamond" w:hAnsi="Garamond" w:cs="Arial"/>
          <w:sz w:val="24"/>
          <w:szCs w:val="24"/>
        </w:rPr>
        <w:t>adotar</w:t>
      </w:r>
      <w:r w:rsidR="007F07D8" w:rsidRPr="003A1174">
        <w:rPr>
          <w:rFonts w:ascii="Garamond" w:hAnsi="Garamond" w:cs="Arial"/>
          <w:sz w:val="24"/>
          <w:szCs w:val="24"/>
        </w:rPr>
        <w:t xml:space="preserve"> medidas que p</w:t>
      </w:r>
      <w:r w:rsidR="006C760C" w:rsidRPr="003A1174">
        <w:rPr>
          <w:rFonts w:ascii="Garamond" w:hAnsi="Garamond" w:cs="Arial"/>
          <w:sz w:val="24"/>
          <w:szCs w:val="24"/>
        </w:rPr>
        <w:t xml:space="preserve">ossam </w:t>
      </w:r>
      <w:r w:rsidR="007F07D8" w:rsidRPr="003A1174">
        <w:rPr>
          <w:rFonts w:ascii="Garamond" w:hAnsi="Garamond" w:cs="Arial"/>
          <w:sz w:val="24"/>
          <w:szCs w:val="24"/>
        </w:rPr>
        <w:t xml:space="preserve">contribuir </w:t>
      </w:r>
      <w:r w:rsidR="006C760C" w:rsidRPr="003A1174">
        <w:rPr>
          <w:rFonts w:ascii="Garamond" w:hAnsi="Garamond" w:cs="Arial"/>
          <w:sz w:val="24"/>
          <w:szCs w:val="24"/>
        </w:rPr>
        <w:t>par</w:t>
      </w:r>
      <w:r w:rsidR="007F07D8" w:rsidRPr="003A1174">
        <w:rPr>
          <w:rFonts w:ascii="Garamond" w:hAnsi="Garamond" w:cs="Arial"/>
          <w:sz w:val="24"/>
          <w:szCs w:val="24"/>
        </w:rPr>
        <w:t>a</w:t>
      </w:r>
      <w:r w:rsidR="007F07D8" w:rsidRPr="003A1174">
        <w:rPr>
          <w:rFonts w:ascii="Garamond" w:eastAsia="Arial Unicode MS" w:hAnsi="Garamond" w:cs="Arial"/>
          <w:sz w:val="24"/>
          <w:szCs w:val="24"/>
        </w:rPr>
        <w:t xml:space="preserve"> </w:t>
      </w:r>
      <w:r w:rsidR="009B7F25" w:rsidRPr="003A1174">
        <w:rPr>
          <w:rFonts w:ascii="Garamond" w:eastAsia="Arial Unicode MS" w:hAnsi="Garamond" w:cs="Arial"/>
          <w:sz w:val="24"/>
          <w:szCs w:val="24"/>
        </w:rPr>
        <w:t xml:space="preserve">que se </w:t>
      </w:r>
      <w:r w:rsidR="006C760C" w:rsidRPr="003A1174">
        <w:rPr>
          <w:rFonts w:ascii="Garamond" w:eastAsia="Arial Unicode MS" w:hAnsi="Garamond" w:cs="Arial"/>
          <w:sz w:val="24"/>
          <w:szCs w:val="24"/>
        </w:rPr>
        <w:t>cons</w:t>
      </w:r>
      <w:r w:rsidR="009B7F25" w:rsidRPr="003A1174">
        <w:rPr>
          <w:rFonts w:ascii="Garamond" w:eastAsia="Arial Unicode MS" w:hAnsi="Garamond" w:cs="Arial"/>
          <w:sz w:val="24"/>
          <w:szCs w:val="24"/>
        </w:rPr>
        <w:t xml:space="preserve">iga </w:t>
      </w:r>
      <w:r w:rsidR="006C760C" w:rsidRPr="003A1174">
        <w:rPr>
          <w:rFonts w:ascii="Garamond" w:eastAsia="Arial Unicode MS" w:hAnsi="Garamond" w:cs="Arial"/>
          <w:sz w:val="24"/>
          <w:szCs w:val="24"/>
        </w:rPr>
        <w:t xml:space="preserve">um avanço </w:t>
      </w:r>
      <w:r w:rsidR="00863197" w:rsidRPr="003A1174">
        <w:rPr>
          <w:rFonts w:ascii="Garamond" w:hAnsi="Garamond" w:cs="Arial"/>
          <w:sz w:val="24"/>
          <w:szCs w:val="24"/>
        </w:rPr>
        <w:t>maior</w:t>
      </w:r>
      <w:r w:rsidR="007F07D8" w:rsidRPr="003A1174">
        <w:rPr>
          <w:rFonts w:ascii="Garamond" w:hAnsi="Garamond" w:cs="Arial"/>
          <w:sz w:val="24"/>
          <w:szCs w:val="24"/>
        </w:rPr>
        <w:t xml:space="preserve"> </w:t>
      </w:r>
      <w:r w:rsidR="006C760C" w:rsidRPr="003A1174">
        <w:rPr>
          <w:rFonts w:ascii="Garamond" w:hAnsi="Garamond" w:cs="Arial"/>
          <w:sz w:val="24"/>
          <w:szCs w:val="24"/>
        </w:rPr>
        <w:t xml:space="preserve">na </w:t>
      </w:r>
      <w:r w:rsidR="007F07D8" w:rsidRPr="003A1174">
        <w:rPr>
          <w:rFonts w:ascii="Garamond" w:hAnsi="Garamond" w:cs="Arial"/>
          <w:sz w:val="24"/>
          <w:szCs w:val="24"/>
        </w:rPr>
        <w:t xml:space="preserve">real </w:t>
      </w:r>
      <w:r w:rsidR="006C760C" w:rsidRPr="003A1174">
        <w:rPr>
          <w:rFonts w:ascii="Garamond" w:hAnsi="Garamond" w:cs="Arial"/>
          <w:sz w:val="24"/>
          <w:szCs w:val="24"/>
        </w:rPr>
        <w:t>implementação</w:t>
      </w:r>
      <w:r w:rsidR="007F07D8" w:rsidRPr="003A1174">
        <w:rPr>
          <w:rFonts w:ascii="Garamond" w:hAnsi="Garamond" w:cs="Arial"/>
          <w:sz w:val="24"/>
          <w:szCs w:val="24"/>
        </w:rPr>
        <w:t xml:space="preserve"> de pol</w:t>
      </w:r>
      <w:r w:rsidR="006C760C" w:rsidRPr="003A1174">
        <w:rPr>
          <w:rFonts w:ascii="Garamond" w:hAnsi="Garamond" w:cs="Arial"/>
          <w:sz w:val="24"/>
          <w:szCs w:val="24"/>
        </w:rPr>
        <w:t xml:space="preserve">íticas públicas para erradicar </w:t>
      </w:r>
      <w:r w:rsidR="007F07D8" w:rsidRPr="003A1174">
        <w:rPr>
          <w:rFonts w:ascii="Garamond" w:hAnsi="Garamond" w:cs="Arial"/>
          <w:sz w:val="24"/>
          <w:szCs w:val="24"/>
        </w:rPr>
        <w:t xml:space="preserve">a </w:t>
      </w:r>
      <w:r w:rsidR="000350B1" w:rsidRPr="003A1174">
        <w:rPr>
          <w:rFonts w:ascii="Garamond" w:hAnsi="Garamond" w:cs="Arial"/>
          <w:sz w:val="24"/>
          <w:szCs w:val="24"/>
        </w:rPr>
        <w:t>violência</w:t>
      </w:r>
      <w:r w:rsidR="007F07D8" w:rsidRPr="003A1174">
        <w:rPr>
          <w:rFonts w:ascii="Garamond" w:hAnsi="Garamond" w:cs="Arial"/>
          <w:sz w:val="24"/>
          <w:szCs w:val="24"/>
        </w:rPr>
        <w:t xml:space="preserve"> familiar o</w:t>
      </w:r>
      <w:r w:rsidR="006C760C" w:rsidRPr="003A1174">
        <w:rPr>
          <w:rFonts w:ascii="Garamond" w:hAnsi="Garamond" w:cs="Arial"/>
          <w:sz w:val="24"/>
          <w:szCs w:val="24"/>
        </w:rPr>
        <w:t>u</w:t>
      </w:r>
      <w:r w:rsidR="007F07D8" w:rsidRPr="003A1174">
        <w:rPr>
          <w:rFonts w:ascii="Garamond" w:hAnsi="Garamond" w:cs="Arial"/>
          <w:sz w:val="24"/>
          <w:szCs w:val="24"/>
        </w:rPr>
        <w:t xml:space="preserve"> intrafamiliar.</w:t>
      </w:r>
    </w:p>
    <w:p w:rsidR="007F07D8" w:rsidRPr="003A1174" w:rsidRDefault="007F07D8" w:rsidP="008719D4">
      <w:pPr>
        <w:tabs>
          <w:tab w:val="left" w:pos="708"/>
        </w:tabs>
        <w:suppressAutoHyphens/>
        <w:spacing w:line="240" w:lineRule="auto"/>
        <w:jc w:val="both"/>
        <w:rPr>
          <w:rFonts w:ascii="Garamond" w:eastAsia="SimSun" w:hAnsi="Garamond" w:cs="Arial"/>
          <w:sz w:val="24"/>
          <w:szCs w:val="24"/>
        </w:rPr>
      </w:pPr>
      <w:r w:rsidRPr="003A1174">
        <w:rPr>
          <w:rFonts w:ascii="Garamond" w:eastAsia="SimSun" w:hAnsi="Garamond" w:cs="Arial"/>
          <w:sz w:val="24"/>
          <w:szCs w:val="24"/>
        </w:rPr>
        <w:lastRenderedPageBreak/>
        <w:t>Expres</w:t>
      </w:r>
      <w:r w:rsidR="006C760C" w:rsidRPr="003A1174">
        <w:rPr>
          <w:rFonts w:ascii="Garamond" w:eastAsia="SimSun" w:hAnsi="Garamond" w:cs="Arial"/>
          <w:sz w:val="24"/>
          <w:szCs w:val="24"/>
        </w:rPr>
        <w:t>s</w:t>
      </w:r>
      <w:r w:rsidRPr="003A1174">
        <w:rPr>
          <w:rFonts w:ascii="Garamond" w:eastAsia="SimSun" w:hAnsi="Garamond" w:cs="Arial"/>
          <w:sz w:val="24"/>
          <w:szCs w:val="24"/>
        </w:rPr>
        <w:t xml:space="preserve">amos </w:t>
      </w:r>
      <w:r w:rsidR="006C760C" w:rsidRPr="003A1174">
        <w:rPr>
          <w:rFonts w:ascii="Garamond" w:eastAsia="SimSun" w:hAnsi="Garamond" w:cs="Arial"/>
          <w:sz w:val="24"/>
          <w:szCs w:val="24"/>
        </w:rPr>
        <w:t xml:space="preserve">o </w:t>
      </w:r>
      <w:r w:rsidRPr="003A1174">
        <w:rPr>
          <w:rFonts w:ascii="Garamond" w:eastAsia="SimSun" w:hAnsi="Garamond" w:cs="Arial"/>
          <w:sz w:val="24"/>
          <w:szCs w:val="24"/>
        </w:rPr>
        <w:t>n</w:t>
      </w:r>
      <w:r w:rsidR="006C760C" w:rsidRPr="003A1174">
        <w:rPr>
          <w:rFonts w:ascii="Garamond" w:eastAsia="SimSun" w:hAnsi="Garamond" w:cs="Arial"/>
          <w:sz w:val="24"/>
          <w:szCs w:val="24"/>
        </w:rPr>
        <w:t xml:space="preserve">osso </w:t>
      </w:r>
      <w:r w:rsidRPr="003A1174">
        <w:rPr>
          <w:rFonts w:ascii="Garamond" w:eastAsia="SimSun" w:hAnsi="Garamond" w:cs="Arial"/>
          <w:sz w:val="24"/>
          <w:szCs w:val="24"/>
        </w:rPr>
        <w:t>dese</w:t>
      </w:r>
      <w:r w:rsidR="006C760C" w:rsidRPr="003A1174">
        <w:rPr>
          <w:rFonts w:ascii="Garamond" w:eastAsia="SimSun" w:hAnsi="Garamond" w:cs="Arial"/>
          <w:sz w:val="24"/>
          <w:szCs w:val="24"/>
        </w:rPr>
        <w:t>j</w:t>
      </w:r>
      <w:r w:rsidRPr="003A1174">
        <w:rPr>
          <w:rFonts w:ascii="Garamond" w:eastAsia="SimSun" w:hAnsi="Garamond" w:cs="Arial"/>
          <w:sz w:val="24"/>
          <w:szCs w:val="24"/>
        </w:rPr>
        <w:t xml:space="preserve">o de que </w:t>
      </w:r>
      <w:r w:rsidR="006C760C" w:rsidRPr="003A1174">
        <w:rPr>
          <w:rFonts w:ascii="Garamond" w:eastAsia="SimSun" w:hAnsi="Garamond" w:cs="Arial"/>
          <w:sz w:val="24"/>
          <w:szCs w:val="24"/>
        </w:rPr>
        <w:t xml:space="preserve">o </w:t>
      </w:r>
      <w:r w:rsidRPr="003A1174">
        <w:rPr>
          <w:rFonts w:ascii="Garamond" w:eastAsia="SimSun" w:hAnsi="Garamond" w:cs="Arial"/>
          <w:sz w:val="24"/>
          <w:szCs w:val="24"/>
        </w:rPr>
        <w:t xml:space="preserve">presente </w:t>
      </w:r>
      <w:r w:rsidR="0017447A" w:rsidRPr="003A1174">
        <w:rPr>
          <w:rFonts w:ascii="Garamond" w:eastAsia="SimSun" w:hAnsi="Garamond" w:cs="Arial"/>
          <w:sz w:val="24"/>
          <w:szCs w:val="24"/>
        </w:rPr>
        <w:t>trabalho</w:t>
      </w:r>
      <w:r w:rsidRPr="003A1174">
        <w:rPr>
          <w:rFonts w:ascii="Garamond" w:eastAsia="SimSun" w:hAnsi="Garamond" w:cs="Arial"/>
          <w:sz w:val="24"/>
          <w:szCs w:val="24"/>
        </w:rPr>
        <w:t xml:space="preserve"> </w:t>
      </w:r>
      <w:r w:rsidR="006C760C" w:rsidRPr="003A1174">
        <w:rPr>
          <w:rFonts w:ascii="Garamond" w:eastAsia="SimSun" w:hAnsi="Garamond" w:cs="Arial"/>
          <w:sz w:val="24"/>
          <w:szCs w:val="24"/>
        </w:rPr>
        <w:t xml:space="preserve">seja </w:t>
      </w:r>
      <w:r w:rsidRPr="003A1174">
        <w:rPr>
          <w:rFonts w:ascii="Garamond" w:eastAsia="SimSun" w:hAnsi="Garamond" w:cs="Arial"/>
          <w:sz w:val="24"/>
          <w:szCs w:val="24"/>
        </w:rPr>
        <w:t>de</w:t>
      </w:r>
      <w:r w:rsidR="00984D62" w:rsidRPr="003A1174">
        <w:rPr>
          <w:rFonts w:ascii="Garamond" w:eastAsia="SimSun" w:hAnsi="Garamond" w:cs="Arial"/>
          <w:sz w:val="24"/>
          <w:szCs w:val="24"/>
        </w:rPr>
        <w:t xml:space="preserve"> utilidad</w:t>
      </w:r>
      <w:r w:rsidR="006C760C" w:rsidRPr="003A1174">
        <w:rPr>
          <w:rFonts w:ascii="Garamond" w:eastAsia="SimSun" w:hAnsi="Garamond" w:cs="Arial"/>
          <w:sz w:val="24"/>
          <w:szCs w:val="24"/>
        </w:rPr>
        <w:t>e</w:t>
      </w:r>
      <w:r w:rsidR="00984D62" w:rsidRPr="003A1174">
        <w:rPr>
          <w:rFonts w:ascii="Garamond" w:eastAsia="SimSun" w:hAnsi="Garamond" w:cs="Arial"/>
          <w:sz w:val="24"/>
          <w:szCs w:val="24"/>
        </w:rPr>
        <w:t xml:space="preserve"> para </w:t>
      </w:r>
      <w:r w:rsidR="006C760C" w:rsidRPr="003A1174">
        <w:rPr>
          <w:rFonts w:ascii="Garamond" w:eastAsia="SimSun" w:hAnsi="Garamond" w:cs="Arial"/>
          <w:sz w:val="24"/>
          <w:szCs w:val="24"/>
        </w:rPr>
        <w:t>o</w:t>
      </w:r>
      <w:r w:rsidR="00984D62" w:rsidRPr="003A1174">
        <w:rPr>
          <w:rFonts w:ascii="Garamond" w:eastAsia="SimSun" w:hAnsi="Garamond" w:cs="Arial"/>
          <w:sz w:val="24"/>
          <w:szCs w:val="24"/>
        </w:rPr>
        <w:t xml:space="preserve"> </w:t>
      </w:r>
      <w:r w:rsidR="0017447A" w:rsidRPr="003A1174">
        <w:rPr>
          <w:rFonts w:ascii="Garamond" w:eastAsia="SimSun" w:hAnsi="Garamond" w:cs="Arial"/>
          <w:sz w:val="24"/>
          <w:szCs w:val="24"/>
        </w:rPr>
        <w:t>trabalho</w:t>
      </w:r>
      <w:r w:rsidR="006C760C" w:rsidRPr="003A1174">
        <w:rPr>
          <w:rFonts w:ascii="Garamond" w:eastAsia="SimSun" w:hAnsi="Garamond" w:cs="Arial"/>
          <w:sz w:val="24"/>
          <w:szCs w:val="24"/>
        </w:rPr>
        <w:t xml:space="preserve"> d</w:t>
      </w:r>
      <w:r w:rsidR="00984D62" w:rsidRPr="003A1174">
        <w:rPr>
          <w:rFonts w:ascii="Garamond" w:eastAsia="SimSun" w:hAnsi="Garamond" w:cs="Arial"/>
          <w:sz w:val="24"/>
          <w:szCs w:val="24"/>
        </w:rPr>
        <w:t xml:space="preserve">a </w:t>
      </w:r>
      <w:r w:rsidR="002C7510" w:rsidRPr="003A1174">
        <w:rPr>
          <w:rFonts w:ascii="Garamond" w:eastAsia="SimSun" w:hAnsi="Garamond" w:cs="Arial"/>
          <w:sz w:val="24"/>
          <w:szCs w:val="24"/>
        </w:rPr>
        <w:t>Rede</w:t>
      </w:r>
      <w:r w:rsidR="00984D62" w:rsidRPr="003A1174">
        <w:rPr>
          <w:rFonts w:ascii="Garamond" w:eastAsia="SimSun" w:hAnsi="Garamond" w:cs="Arial"/>
          <w:sz w:val="24"/>
          <w:szCs w:val="24"/>
        </w:rPr>
        <w:t xml:space="preserve"> de </w:t>
      </w:r>
      <w:r w:rsidR="00054EE0" w:rsidRPr="003A1174">
        <w:rPr>
          <w:rFonts w:ascii="Garamond" w:eastAsia="SimSun" w:hAnsi="Garamond" w:cs="Arial"/>
          <w:sz w:val="24"/>
          <w:szCs w:val="24"/>
        </w:rPr>
        <w:t>Mulheres</w:t>
      </w:r>
      <w:r w:rsidR="00984D62" w:rsidRPr="003A1174">
        <w:rPr>
          <w:rFonts w:ascii="Garamond" w:eastAsia="SimSun" w:hAnsi="Garamond" w:cs="Arial"/>
          <w:sz w:val="24"/>
          <w:szCs w:val="24"/>
        </w:rPr>
        <w:t xml:space="preserve"> da </w:t>
      </w:r>
      <w:r w:rsidR="006C760C" w:rsidRPr="003A1174">
        <w:rPr>
          <w:rFonts w:ascii="Garamond" w:eastAsia="SimSun" w:hAnsi="Garamond" w:cs="Arial"/>
          <w:sz w:val="24"/>
          <w:szCs w:val="24"/>
        </w:rPr>
        <w:t>FIO e</w:t>
      </w:r>
      <w:r w:rsidRPr="003A1174">
        <w:rPr>
          <w:rFonts w:ascii="Garamond" w:eastAsia="SimSun" w:hAnsi="Garamond" w:cs="Arial"/>
          <w:sz w:val="24"/>
          <w:szCs w:val="24"/>
        </w:rPr>
        <w:t xml:space="preserve"> para </w:t>
      </w:r>
      <w:r w:rsidR="00984D62" w:rsidRPr="003A1174">
        <w:rPr>
          <w:rFonts w:ascii="Garamond" w:eastAsia="SimSun" w:hAnsi="Garamond" w:cs="Arial"/>
          <w:sz w:val="24"/>
          <w:szCs w:val="24"/>
        </w:rPr>
        <w:t xml:space="preserve">a </w:t>
      </w:r>
      <w:r w:rsidR="00C30647" w:rsidRPr="003A1174">
        <w:rPr>
          <w:rFonts w:ascii="Garamond" w:eastAsia="SimSun" w:hAnsi="Garamond" w:cs="Arial"/>
          <w:sz w:val="24"/>
          <w:szCs w:val="24"/>
        </w:rPr>
        <w:t>federação</w:t>
      </w:r>
      <w:r w:rsidR="00984D62" w:rsidRPr="003A1174">
        <w:rPr>
          <w:rFonts w:ascii="Garamond" w:eastAsia="SimSun" w:hAnsi="Garamond" w:cs="Arial"/>
          <w:sz w:val="24"/>
          <w:szCs w:val="24"/>
        </w:rPr>
        <w:t xml:space="preserve"> </w:t>
      </w:r>
      <w:r w:rsidRPr="003A1174">
        <w:rPr>
          <w:rFonts w:ascii="Garamond" w:eastAsia="SimSun" w:hAnsi="Garamond" w:cs="Arial"/>
          <w:sz w:val="24"/>
          <w:szCs w:val="24"/>
        </w:rPr>
        <w:t>e</w:t>
      </w:r>
      <w:r w:rsidR="006C760C" w:rsidRPr="003A1174">
        <w:rPr>
          <w:rFonts w:ascii="Garamond" w:eastAsia="SimSun" w:hAnsi="Garamond" w:cs="Arial"/>
          <w:sz w:val="24"/>
          <w:szCs w:val="24"/>
        </w:rPr>
        <w:t>m</w:t>
      </w:r>
      <w:r w:rsidRPr="003A1174">
        <w:rPr>
          <w:rFonts w:ascii="Garamond" w:eastAsia="SimSun" w:hAnsi="Garamond" w:cs="Arial"/>
          <w:sz w:val="24"/>
          <w:szCs w:val="24"/>
        </w:rPr>
        <w:t xml:space="preserve"> </w:t>
      </w:r>
      <w:r w:rsidR="00077461" w:rsidRPr="003A1174">
        <w:rPr>
          <w:rFonts w:ascii="Garamond" w:eastAsia="SimSun" w:hAnsi="Garamond" w:cs="Arial"/>
          <w:sz w:val="24"/>
          <w:szCs w:val="24"/>
        </w:rPr>
        <w:t>geral</w:t>
      </w:r>
      <w:r w:rsidRPr="003A1174">
        <w:rPr>
          <w:rFonts w:ascii="Garamond" w:eastAsia="SimSun" w:hAnsi="Garamond" w:cs="Arial"/>
          <w:sz w:val="24"/>
          <w:szCs w:val="24"/>
        </w:rPr>
        <w:t xml:space="preserve">, </w:t>
      </w:r>
      <w:r w:rsidR="00276F71" w:rsidRPr="003A1174">
        <w:rPr>
          <w:rFonts w:ascii="Garamond" w:eastAsia="SimSun" w:hAnsi="Garamond" w:cs="Arial"/>
          <w:sz w:val="24"/>
          <w:szCs w:val="24"/>
        </w:rPr>
        <w:t>como</w:t>
      </w:r>
      <w:r w:rsidR="006C760C" w:rsidRPr="003A1174">
        <w:rPr>
          <w:rFonts w:ascii="Garamond" w:eastAsia="SimSun" w:hAnsi="Garamond" w:cs="Arial"/>
          <w:sz w:val="24"/>
          <w:szCs w:val="24"/>
        </w:rPr>
        <w:t xml:space="preserve"> instrumento de apoi</w:t>
      </w:r>
      <w:r w:rsidRPr="003A1174">
        <w:rPr>
          <w:rFonts w:ascii="Garamond" w:eastAsia="SimSun" w:hAnsi="Garamond" w:cs="Arial"/>
          <w:sz w:val="24"/>
          <w:szCs w:val="24"/>
        </w:rPr>
        <w:t xml:space="preserve">o </w:t>
      </w:r>
      <w:r w:rsidR="006C760C" w:rsidRPr="003A1174">
        <w:rPr>
          <w:rFonts w:ascii="Garamond" w:eastAsia="SimSun" w:hAnsi="Garamond" w:cs="Arial"/>
          <w:sz w:val="24"/>
          <w:szCs w:val="24"/>
        </w:rPr>
        <w:t xml:space="preserve">à tarefa </w:t>
      </w:r>
      <w:r w:rsidR="000866B6" w:rsidRPr="003A1174">
        <w:rPr>
          <w:rFonts w:ascii="Garamond" w:eastAsia="SimSun" w:hAnsi="Garamond" w:cs="Arial"/>
          <w:sz w:val="24"/>
          <w:szCs w:val="24"/>
        </w:rPr>
        <w:t>indispensável</w:t>
      </w:r>
      <w:r w:rsidRPr="003A1174">
        <w:rPr>
          <w:rFonts w:ascii="Garamond" w:eastAsia="SimSun" w:hAnsi="Garamond" w:cs="Arial"/>
          <w:sz w:val="24"/>
          <w:szCs w:val="24"/>
        </w:rPr>
        <w:t xml:space="preserve"> de </w:t>
      </w:r>
      <w:r w:rsidR="00C30647" w:rsidRPr="003A1174">
        <w:rPr>
          <w:rFonts w:ascii="Garamond" w:eastAsia="SimSun" w:hAnsi="Garamond" w:cs="Arial"/>
          <w:sz w:val="24"/>
          <w:szCs w:val="24"/>
        </w:rPr>
        <w:t>avançar</w:t>
      </w:r>
      <w:r w:rsidRPr="003A1174">
        <w:rPr>
          <w:rFonts w:ascii="Garamond" w:eastAsia="SimSun" w:hAnsi="Garamond" w:cs="Arial"/>
          <w:sz w:val="24"/>
          <w:szCs w:val="24"/>
        </w:rPr>
        <w:t xml:space="preserve"> </w:t>
      </w:r>
      <w:r w:rsidR="006C760C" w:rsidRPr="003A1174">
        <w:rPr>
          <w:rFonts w:ascii="Garamond" w:eastAsia="SimSun" w:hAnsi="Garamond" w:cs="Arial"/>
          <w:sz w:val="24"/>
          <w:szCs w:val="24"/>
        </w:rPr>
        <w:t xml:space="preserve">na </w:t>
      </w:r>
      <w:r w:rsidR="001C2738" w:rsidRPr="003A1174">
        <w:rPr>
          <w:rFonts w:ascii="Garamond" w:eastAsia="SimSun" w:hAnsi="Garamond" w:cs="Arial"/>
          <w:sz w:val="24"/>
          <w:szCs w:val="24"/>
        </w:rPr>
        <w:t>luta</w:t>
      </w:r>
      <w:r w:rsidRPr="003A1174">
        <w:rPr>
          <w:rFonts w:ascii="Garamond" w:eastAsia="SimSun" w:hAnsi="Garamond" w:cs="Arial"/>
          <w:sz w:val="24"/>
          <w:szCs w:val="24"/>
        </w:rPr>
        <w:t xml:space="preserve"> p</w:t>
      </w:r>
      <w:r w:rsidR="006C760C" w:rsidRPr="003A1174">
        <w:rPr>
          <w:rFonts w:ascii="Garamond" w:eastAsia="SimSun" w:hAnsi="Garamond" w:cs="Arial"/>
          <w:sz w:val="24"/>
          <w:szCs w:val="24"/>
        </w:rPr>
        <w:t>e</w:t>
      </w:r>
      <w:r w:rsidRPr="003A1174">
        <w:rPr>
          <w:rFonts w:ascii="Garamond" w:eastAsia="SimSun" w:hAnsi="Garamond" w:cs="Arial"/>
          <w:sz w:val="24"/>
          <w:szCs w:val="24"/>
        </w:rPr>
        <w:t xml:space="preserve">la </w:t>
      </w:r>
      <w:r w:rsidR="00C30647" w:rsidRPr="003A1174">
        <w:rPr>
          <w:rFonts w:ascii="Garamond" w:eastAsia="SimSun" w:hAnsi="Garamond" w:cs="Arial"/>
          <w:sz w:val="24"/>
          <w:szCs w:val="24"/>
        </w:rPr>
        <w:t>erradicação</w:t>
      </w:r>
      <w:r w:rsidRPr="003A1174">
        <w:rPr>
          <w:rFonts w:ascii="Garamond" w:eastAsia="SimSun" w:hAnsi="Garamond" w:cs="Arial"/>
          <w:sz w:val="24"/>
          <w:szCs w:val="24"/>
        </w:rPr>
        <w:t xml:space="preserve"> definitiva da </w:t>
      </w:r>
      <w:r w:rsidR="000350B1" w:rsidRPr="003A1174">
        <w:rPr>
          <w:rFonts w:ascii="Garamond" w:eastAsia="SimSun" w:hAnsi="Garamond" w:cs="Arial"/>
          <w:sz w:val="24"/>
          <w:szCs w:val="24"/>
        </w:rPr>
        <w:t>violência</w:t>
      </w:r>
      <w:r w:rsidR="006C760C" w:rsidRPr="003A1174">
        <w:rPr>
          <w:rFonts w:ascii="Garamond" w:eastAsia="SimSun" w:hAnsi="Garamond" w:cs="Arial"/>
          <w:sz w:val="24"/>
          <w:szCs w:val="24"/>
        </w:rPr>
        <w:t xml:space="preserve"> contra </w:t>
      </w:r>
      <w:r w:rsidRPr="003A1174">
        <w:rPr>
          <w:rFonts w:ascii="Garamond" w:eastAsia="SimSun" w:hAnsi="Garamond" w:cs="Arial"/>
          <w:sz w:val="24"/>
          <w:szCs w:val="24"/>
        </w:rPr>
        <w:t xml:space="preserve">as </w:t>
      </w:r>
      <w:r w:rsidR="00054EE0" w:rsidRPr="003A1174">
        <w:rPr>
          <w:rFonts w:ascii="Garamond" w:eastAsia="SimSun" w:hAnsi="Garamond" w:cs="Arial"/>
          <w:sz w:val="24"/>
          <w:szCs w:val="24"/>
        </w:rPr>
        <w:t>mulheres</w:t>
      </w:r>
      <w:r w:rsidRPr="003A1174">
        <w:rPr>
          <w:rFonts w:ascii="Garamond" w:eastAsia="SimSun" w:hAnsi="Garamond" w:cs="Arial"/>
          <w:sz w:val="24"/>
          <w:szCs w:val="24"/>
        </w:rPr>
        <w:t xml:space="preserve"> </w:t>
      </w:r>
      <w:r w:rsidR="006C760C" w:rsidRPr="003A1174">
        <w:rPr>
          <w:rFonts w:ascii="Garamond" w:eastAsia="SimSun" w:hAnsi="Garamond" w:cs="Arial"/>
          <w:sz w:val="24"/>
          <w:szCs w:val="24"/>
        </w:rPr>
        <w:t>e</w:t>
      </w:r>
      <w:r w:rsidRPr="003A1174">
        <w:rPr>
          <w:rFonts w:ascii="Garamond" w:eastAsia="SimSun" w:hAnsi="Garamond" w:cs="Arial"/>
          <w:sz w:val="24"/>
          <w:szCs w:val="24"/>
        </w:rPr>
        <w:t>, por</w:t>
      </w:r>
      <w:r w:rsidR="009B7F25" w:rsidRPr="003A1174">
        <w:rPr>
          <w:rFonts w:ascii="Garamond" w:eastAsia="SimSun" w:hAnsi="Garamond" w:cs="Arial"/>
          <w:sz w:val="24"/>
          <w:szCs w:val="24"/>
        </w:rPr>
        <w:t>tanto</w:t>
      </w:r>
      <w:r w:rsidRPr="003A1174">
        <w:rPr>
          <w:rFonts w:ascii="Garamond" w:eastAsia="SimSun" w:hAnsi="Garamond" w:cs="Arial"/>
          <w:sz w:val="24"/>
          <w:szCs w:val="24"/>
        </w:rPr>
        <w:t xml:space="preserve">, de </w:t>
      </w:r>
      <w:r w:rsidR="006C760C" w:rsidRPr="003A1174">
        <w:rPr>
          <w:rFonts w:ascii="Garamond" w:eastAsia="SimSun" w:hAnsi="Garamond" w:cs="Arial"/>
          <w:sz w:val="24"/>
          <w:szCs w:val="24"/>
        </w:rPr>
        <w:t>consolidação</w:t>
      </w:r>
      <w:r w:rsidRPr="003A1174">
        <w:rPr>
          <w:rFonts w:ascii="Garamond" w:eastAsia="SimSun" w:hAnsi="Garamond" w:cs="Arial"/>
          <w:sz w:val="24"/>
          <w:szCs w:val="24"/>
        </w:rPr>
        <w:t xml:space="preserve"> de Estados </w:t>
      </w:r>
      <w:r w:rsidR="006C760C" w:rsidRPr="003A1174">
        <w:rPr>
          <w:rFonts w:ascii="Garamond" w:eastAsia="SimSun" w:hAnsi="Garamond" w:cs="Arial"/>
          <w:sz w:val="24"/>
          <w:szCs w:val="24"/>
        </w:rPr>
        <w:t xml:space="preserve">onde todas </w:t>
      </w:r>
      <w:r w:rsidRPr="003A1174">
        <w:rPr>
          <w:rFonts w:ascii="Garamond" w:eastAsia="SimSun" w:hAnsi="Garamond" w:cs="Arial"/>
          <w:sz w:val="24"/>
          <w:szCs w:val="24"/>
        </w:rPr>
        <w:t xml:space="preserve">as </w:t>
      </w:r>
      <w:r w:rsidR="006C760C" w:rsidRPr="003A1174">
        <w:rPr>
          <w:rFonts w:ascii="Garamond" w:eastAsia="SimSun" w:hAnsi="Garamond" w:cs="Arial"/>
          <w:sz w:val="24"/>
          <w:szCs w:val="24"/>
        </w:rPr>
        <w:t>pessoas</w:t>
      </w:r>
      <w:r w:rsidR="00AC3351" w:rsidRPr="003A1174">
        <w:rPr>
          <w:rFonts w:ascii="Garamond" w:eastAsia="SimSun" w:hAnsi="Garamond" w:cs="Arial"/>
          <w:sz w:val="24"/>
          <w:szCs w:val="24"/>
        </w:rPr>
        <w:t>, independ</w:t>
      </w:r>
      <w:r w:rsidRPr="003A1174">
        <w:rPr>
          <w:rFonts w:ascii="Garamond" w:eastAsia="SimSun" w:hAnsi="Garamond" w:cs="Arial"/>
          <w:sz w:val="24"/>
          <w:szCs w:val="24"/>
        </w:rPr>
        <w:t xml:space="preserve">entemente de </w:t>
      </w:r>
      <w:r w:rsidR="00AC3351" w:rsidRPr="003A1174">
        <w:rPr>
          <w:rFonts w:ascii="Garamond" w:eastAsia="SimSun" w:hAnsi="Garamond" w:cs="Arial"/>
          <w:sz w:val="24"/>
          <w:szCs w:val="24"/>
        </w:rPr>
        <w:t>fatores</w:t>
      </w:r>
      <w:r w:rsidRPr="003A1174">
        <w:rPr>
          <w:rFonts w:ascii="Garamond" w:eastAsia="SimSun" w:hAnsi="Garamond" w:cs="Arial"/>
          <w:sz w:val="24"/>
          <w:szCs w:val="24"/>
        </w:rPr>
        <w:t xml:space="preserve"> como sexo, </w:t>
      </w:r>
      <w:r w:rsidR="00AC3351" w:rsidRPr="003A1174">
        <w:rPr>
          <w:rFonts w:ascii="Garamond" w:eastAsia="SimSun" w:hAnsi="Garamond" w:cs="Arial"/>
          <w:sz w:val="24"/>
          <w:szCs w:val="24"/>
        </w:rPr>
        <w:t>raça</w:t>
      </w:r>
      <w:r w:rsidRPr="003A1174">
        <w:rPr>
          <w:rFonts w:ascii="Garamond" w:eastAsia="SimSun" w:hAnsi="Garamond" w:cs="Arial"/>
          <w:sz w:val="24"/>
          <w:szCs w:val="24"/>
        </w:rPr>
        <w:t>, cultura o</w:t>
      </w:r>
      <w:r w:rsidR="00AC3351" w:rsidRPr="003A1174">
        <w:rPr>
          <w:rFonts w:ascii="Garamond" w:eastAsia="SimSun" w:hAnsi="Garamond" w:cs="Arial"/>
          <w:sz w:val="24"/>
          <w:szCs w:val="24"/>
        </w:rPr>
        <w:t>u</w:t>
      </w:r>
      <w:r w:rsidRPr="003A1174">
        <w:rPr>
          <w:rFonts w:ascii="Garamond" w:eastAsia="SimSun" w:hAnsi="Garamond" w:cs="Arial"/>
          <w:sz w:val="24"/>
          <w:szCs w:val="24"/>
        </w:rPr>
        <w:t xml:space="preserve"> </w:t>
      </w:r>
      <w:r w:rsidR="00AC3351" w:rsidRPr="003A1174">
        <w:rPr>
          <w:rFonts w:ascii="Garamond" w:eastAsia="SimSun" w:hAnsi="Garamond" w:cs="Arial"/>
          <w:sz w:val="24"/>
          <w:szCs w:val="24"/>
        </w:rPr>
        <w:t>condições</w:t>
      </w:r>
      <w:r w:rsidRPr="003A1174">
        <w:rPr>
          <w:rFonts w:ascii="Garamond" w:eastAsia="SimSun" w:hAnsi="Garamond" w:cs="Arial"/>
          <w:sz w:val="24"/>
          <w:szCs w:val="24"/>
        </w:rPr>
        <w:t xml:space="preserve"> económicas o</w:t>
      </w:r>
      <w:r w:rsidR="00AC3351" w:rsidRPr="003A1174">
        <w:rPr>
          <w:rFonts w:ascii="Garamond" w:eastAsia="SimSun" w:hAnsi="Garamond" w:cs="Arial"/>
          <w:sz w:val="24"/>
          <w:szCs w:val="24"/>
        </w:rPr>
        <w:t>u</w:t>
      </w:r>
      <w:r w:rsidRPr="003A1174">
        <w:rPr>
          <w:rFonts w:ascii="Garamond" w:eastAsia="SimSun" w:hAnsi="Garamond" w:cs="Arial"/>
          <w:sz w:val="24"/>
          <w:szCs w:val="24"/>
        </w:rPr>
        <w:t xml:space="preserve"> </w:t>
      </w:r>
      <w:r w:rsidR="003F012B" w:rsidRPr="003A1174">
        <w:rPr>
          <w:rFonts w:ascii="Garamond" w:eastAsia="SimSun" w:hAnsi="Garamond" w:cs="Arial"/>
          <w:sz w:val="24"/>
          <w:szCs w:val="24"/>
        </w:rPr>
        <w:t>sociais</w:t>
      </w:r>
      <w:r w:rsidRPr="003A1174">
        <w:rPr>
          <w:rFonts w:ascii="Garamond" w:eastAsia="SimSun" w:hAnsi="Garamond" w:cs="Arial"/>
          <w:sz w:val="24"/>
          <w:szCs w:val="24"/>
        </w:rPr>
        <w:t>, p</w:t>
      </w:r>
      <w:r w:rsidR="00AC3351" w:rsidRPr="003A1174">
        <w:rPr>
          <w:rFonts w:ascii="Garamond" w:eastAsia="SimSun" w:hAnsi="Garamond" w:cs="Arial"/>
          <w:sz w:val="24"/>
          <w:szCs w:val="24"/>
        </w:rPr>
        <w:t>ossam viver</w:t>
      </w:r>
      <w:r w:rsidRPr="003A1174">
        <w:rPr>
          <w:rFonts w:ascii="Garamond" w:eastAsia="SimSun" w:hAnsi="Garamond" w:cs="Arial"/>
          <w:sz w:val="24"/>
          <w:szCs w:val="24"/>
        </w:rPr>
        <w:t xml:space="preserve"> e</w:t>
      </w:r>
      <w:r w:rsidR="00AC3351" w:rsidRPr="003A1174">
        <w:rPr>
          <w:rFonts w:ascii="Garamond" w:eastAsia="SimSun" w:hAnsi="Garamond" w:cs="Arial"/>
          <w:sz w:val="24"/>
          <w:szCs w:val="24"/>
        </w:rPr>
        <w:t>m</w:t>
      </w:r>
      <w:r w:rsidRPr="003A1174">
        <w:rPr>
          <w:rFonts w:ascii="Garamond" w:eastAsia="SimSun" w:hAnsi="Garamond" w:cs="Arial"/>
          <w:sz w:val="24"/>
          <w:szCs w:val="24"/>
        </w:rPr>
        <w:t xml:space="preserve"> </w:t>
      </w:r>
      <w:r w:rsidR="00AC3351" w:rsidRPr="003A1174">
        <w:rPr>
          <w:rFonts w:ascii="Garamond" w:eastAsia="SimSun" w:hAnsi="Garamond" w:cs="Arial"/>
          <w:sz w:val="24"/>
          <w:szCs w:val="24"/>
        </w:rPr>
        <w:t>condições</w:t>
      </w:r>
      <w:r w:rsidRPr="003A1174">
        <w:rPr>
          <w:rFonts w:ascii="Garamond" w:eastAsia="SimSun" w:hAnsi="Garamond" w:cs="Arial"/>
          <w:sz w:val="24"/>
          <w:szCs w:val="24"/>
        </w:rPr>
        <w:t xml:space="preserve"> de </w:t>
      </w:r>
      <w:r w:rsidR="002C7510" w:rsidRPr="003A1174">
        <w:rPr>
          <w:rFonts w:ascii="Garamond" w:eastAsia="SimSun" w:hAnsi="Garamond" w:cs="Arial"/>
          <w:sz w:val="24"/>
          <w:szCs w:val="24"/>
        </w:rPr>
        <w:t>igualdade</w:t>
      </w:r>
      <w:r w:rsidR="00AC3351" w:rsidRPr="003A1174">
        <w:rPr>
          <w:rFonts w:ascii="Garamond" w:eastAsia="SimSun" w:hAnsi="Garamond" w:cs="Arial"/>
          <w:sz w:val="24"/>
          <w:szCs w:val="24"/>
        </w:rPr>
        <w:t xml:space="preserve"> e</w:t>
      </w:r>
      <w:r w:rsidRPr="003A1174">
        <w:rPr>
          <w:rFonts w:ascii="Garamond" w:eastAsia="SimSun" w:hAnsi="Garamond" w:cs="Arial"/>
          <w:sz w:val="24"/>
          <w:szCs w:val="24"/>
        </w:rPr>
        <w:t xml:space="preserve"> de </w:t>
      </w:r>
      <w:r w:rsidR="00AC3351" w:rsidRPr="003A1174">
        <w:rPr>
          <w:rFonts w:ascii="Garamond" w:eastAsia="SimSun" w:hAnsi="Garamond" w:cs="Arial"/>
          <w:sz w:val="24"/>
          <w:szCs w:val="24"/>
        </w:rPr>
        <w:t>dignidade reais</w:t>
      </w:r>
      <w:r w:rsidRPr="003A1174">
        <w:rPr>
          <w:rFonts w:ascii="Garamond" w:eastAsia="SimSun" w:hAnsi="Garamond" w:cs="Arial"/>
          <w:sz w:val="24"/>
          <w:szCs w:val="24"/>
        </w:rPr>
        <w:t>.</w:t>
      </w:r>
    </w:p>
    <w:p w:rsidR="00A24298" w:rsidRPr="003A1174" w:rsidRDefault="00A24298" w:rsidP="008719D4">
      <w:pPr>
        <w:pStyle w:val="Predeterminado"/>
        <w:spacing w:line="240" w:lineRule="auto"/>
        <w:jc w:val="both"/>
        <w:rPr>
          <w:rFonts w:ascii="Garamond" w:hAnsi="Garamond" w:cs="Arial"/>
          <w:color w:val="auto"/>
          <w:sz w:val="24"/>
          <w:szCs w:val="24"/>
          <w:lang w:val="pt-PT"/>
        </w:rPr>
      </w:pPr>
    </w:p>
    <w:p w:rsidR="001F0456" w:rsidRPr="003A1174" w:rsidRDefault="001F0456" w:rsidP="008719D4">
      <w:pPr>
        <w:pStyle w:val="Predeterminado"/>
        <w:spacing w:line="240" w:lineRule="auto"/>
        <w:jc w:val="both"/>
        <w:rPr>
          <w:rFonts w:ascii="Garamond" w:hAnsi="Garamond" w:cs="Arial"/>
          <w:color w:val="auto"/>
          <w:sz w:val="24"/>
          <w:szCs w:val="24"/>
          <w:lang w:val="pt-PT"/>
        </w:rPr>
      </w:pPr>
    </w:p>
    <w:p w:rsidR="00A132B3" w:rsidRPr="00D35D55" w:rsidRDefault="007516F5" w:rsidP="008719D4">
      <w:pPr>
        <w:pStyle w:val="Ttulo1"/>
        <w:numPr>
          <w:ilvl w:val="0"/>
          <w:numId w:val="21"/>
        </w:numPr>
        <w:rPr>
          <w:rFonts w:ascii="Garamond" w:hAnsi="Garamond"/>
          <w:color w:val="548DD4" w:themeColor="text2" w:themeTint="99"/>
          <w:szCs w:val="24"/>
        </w:rPr>
      </w:pPr>
      <w:r w:rsidRPr="003A1174">
        <w:rPr>
          <w:rFonts w:ascii="Garamond" w:hAnsi="Garamond"/>
          <w:b w:val="0"/>
          <w:szCs w:val="24"/>
          <w:lang w:val="pt-PT"/>
        </w:rPr>
        <w:br w:type="column"/>
      </w:r>
      <w:bookmarkStart w:id="4" w:name="_Toc421529692"/>
      <w:r w:rsidR="00253B1D" w:rsidRPr="00D35D55">
        <w:rPr>
          <w:rFonts w:ascii="Garamond" w:hAnsi="Garamond"/>
          <w:color w:val="548DD4" w:themeColor="text2" w:themeTint="99"/>
          <w:szCs w:val="24"/>
          <w:lang w:val="pt-PT"/>
        </w:rPr>
        <w:lastRenderedPageBreak/>
        <w:t>QUADRO</w:t>
      </w:r>
      <w:r w:rsidR="00D615CD" w:rsidRPr="00D35D55">
        <w:rPr>
          <w:rFonts w:ascii="Garamond" w:hAnsi="Garamond"/>
          <w:color w:val="548DD4" w:themeColor="text2" w:themeTint="99"/>
          <w:szCs w:val="24"/>
        </w:rPr>
        <w:t xml:space="preserve"> TEÓ</w:t>
      </w:r>
      <w:r w:rsidR="00A132B3" w:rsidRPr="00D35D55">
        <w:rPr>
          <w:rFonts w:ascii="Garamond" w:hAnsi="Garamond"/>
          <w:color w:val="548DD4" w:themeColor="text2" w:themeTint="99"/>
          <w:szCs w:val="24"/>
        </w:rPr>
        <w:t>RICO</w:t>
      </w:r>
      <w:bookmarkEnd w:id="4"/>
    </w:p>
    <w:p w:rsidR="007516F5" w:rsidRPr="003A1174" w:rsidRDefault="002F5CD1" w:rsidP="008719D4">
      <w:pPr>
        <w:pStyle w:val="Ttulo2"/>
        <w:numPr>
          <w:ilvl w:val="1"/>
          <w:numId w:val="21"/>
        </w:numPr>
        <w:rPr>
          <w:rFonts w:ascii="Garamond" w:hAnsi="Garamond"/>
          <w:sz w:val="24"/>
          <w:szCs w:val="24"/>
        </w:rPr>
      </w:pPr>
      <w:bookmarkStart w:id="5" w:name="_Toc421529693"/>
      <w:r w:rsidRPr="003A1174">
        <w:rPr>
          <w:rFonts w:ascii="Garamond" w:hAnsi="Garamond"/>
          <w:sz w:val="24"/>
          <w:szCs w:val="24"/>
        </w:rPr>
        <w:t>Principais</w:t>
      </w:r>
      <w:r w:rsidR="000C250F" w:rsidRPr="003A1174">
        <w:rPr>
          <w:rFonts w:ascii="Garamond" w:hAnsi="Garamond"/>
          <w:sz w:val="24"/>
          <w:szCs w:val="24"/>
        </w:rPr>
        <w:t xml:space="preserve"> instrumentos </w:t>
      </w:r>
      <w:r w:rsidR="00EF645F" w:rsidRPr="003A1174">
        <w:rPr>
          <w:rFonts w:ascii="Garamond" w:hAnsi="Garamond"/>
          <w:sz w:val="24"/>
          <w:szCs w:val="24"/>
        </w:rPr>
        <w:t>internacionais</w:t>
      </w:r>
      <w:r w:rsidR="00A132B3" w:rsidRPr="003A1174">
        <w:rPr>
          <w:rFonts w:ascii="Garamond" w:hAnsi="Garamond"/>
          <w:sz w:val="24"/>
          <w:szCs w:val="24"/>
        </w:rPr>
        <w:t xml:space="preserve"> </w:t>
      </w:r>
      <w:r w:rsidR="000C250F" w:rsidRPr="003A1174">
        <w:rPr>
          <w:rFonts w:ascii="Garamond" w:hAnsi="Garamond"/>
          <w:sz w:val="24"/>
          <w:szCs w:val="24"/>
        </w:rPr>
        <w:t xml:space="preserve">sobre </w:t>
      </w:r>
      <w:r w:rsidR="00886D6A" w:rsidRPr="003A1174">
        <w:rPr>
          <w:rFonts w:ascii="Garamond" w:hAnsi="Garamond"/>
          <w:sz w:val="24"/>
          <w:szCs w:val="24"/>
        </w:rPr>
        <w:t>direito</w:t>
      </w:r>
      <w:r w:rsidR="000C250F" w:rsidRPr="003A1174">
        <w:rPr>
          <w:rFonts w:ascii="Garamond" w:hAnsi="Garamond"/>
          <w:sz w:val="24"/>
          <w:szCs w:val="24"/>
        </w:rPr>
        <w:t>s h</w:t>
      </w:r>
      <w:r w:rsidR="00A132B3" w:rsidRPr="003A1174">
        <w:rPr>
          <w:rFonts w:ascii="Garamond" w:hAnsi="Garamond"/>
          <w:sz w:val="24"/>
          <w:szCs w:val="24"/>
        </w:rPr>
        <w:t>umanos</w:t>
      </w:r>
      <w:r w:rsidR="000C250F" w:rsidRPr="003A1174">
        <w:rPr>
          <w:rFonts w:ascii="Garamond" w:hAnsi="Garamond"/>
          <w:sz w:val="24"/>
          <w:szCs w:val="24"/>
        </w:rPr>
        <w:t xml:space="preserve"> das </w:t>
      </w:r>
      <w:r w:rsidR="00054EE0" w:rsidRPr="003A1174">
        <w:rPr>
          <w:rFonts w:ascii="Garamond" w:hAnsi="Garamond"/>
          <w:sz w:val="24"/>
          <w:szCs w:val="24"/>
        </w:rPr>
        <w:t>mulheres</w:t>
      </w:r>
      <w:bookmarkEnd w:id="5"/>
      <w:r w:rsidR="000C250F" w:rsidRPr="003A1174">
        <w:rPr>
          <w:rFonts w:ascii="Garamond" w:hAnsi="Garamond"/>
          <w:sz w:val="24"/>
          <w:szCs w:val="24"/>
        </w:rPr>
        <w:t xml:space="preserve"> </w:t>
      </w:r>
    </w:p>
    <w:p w:rsidR="00A132B3" w:rsidRPr="003A1174" w:rsidRDefault="003F012B"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O </w:t>
      </w:r>
      <w:r w:rsidR="00A132B3" w:rsidRPr="003A1174">
        <w:rPr>
          <w:rFonts w:ascii="Garamond" w:hAnsi="Garamond" w:cs="Arial"/>
          <w:sz w:val="24"/>
          <w:szCs w:val="24"/>
        </w:rPr>
        <w:t xml:space="preserve">presente </w:t>
      </w:r>
      <w:r w:rsidRPr="003A1174">
        <w:rPr>
          <w:rFonts w:ascii="Garamond" w:hAnsi="Garamond" w:cs="Arial"/>
          <w:sz w:val="24"/>
          <w:szCs w:val="24"/>
        </w:rPr>
        <w:t>estudo</w:t>
      </w:r>
      <w:r w:rsidR="00A132B3" w:rsidRPr="003A1174">
        <w:rPr>
          <w:rFonts w:ascii="Garamond" w:hAnsi="Garamond" w:cs="Arial"/>
          <w:sz w:val="24"/>
          <w:szCs w:val="24"/>
        </w:rPr>
        <w:t xml:space="preserve"> considera</w:t>
      </w:r>
      <w:r w:rsidR="00A065F8" w:rsidRPr="003A1174">
        <w:rPr>
          <w:rFonts w:ascii="Garamond" w:hAnsi="Garamond" w:cs="Arial"/>
          <w:sz w:val="24"/>
          <w:szCs w:val="24"/>
        </w:rPr>
        <w:t>,</w:t>
      </w:r>
      <w:r w:rsidR="00A132B3" w:rsidRPr="003A1174">
        <w:rPr>
          <w:rFonts w:ascii="Garamond" w:hAnsi="Garamond" w:cs="Arial"/>
          <w:sz w:val="24"/>
          <w:szCs w:val="24"/>
        </w:rPr>
        <w:t xml:space="preserve"> </w:t>
      </w:r>
      <w:r w:rsidR="00D96FD0" w:rsidRPr="003A1174">
        <w:rPr>
          <w:rFonts w:ascii="Garamond" w:hAnsi="Garamond" w:cs="Arial"/>
          <w:sz w:val="24"/>
          <w:szCs w:val="24"/>
        </w:rPr>
        <w:t>na sua perspetiva e</w:t>
      </w:r>
      <w:r w:rsidR="00A132B3" w:rsidRPr="003A1174">
        <w:rPr>
          <w:rFonts w:ascii="Garamond" w:hAnsi="Garamond" w:cs="Arial"/>
          <w:sz w:val="24"/>
          <w:szCs w:val="24"/>
        </w:rPr>
        <w:t xml:space="preserve"> </w:t>
      </w:r>
      <w:r w:rsidR="00D96FD0" w:rsidRPr="003A1174">
        <w:rPr>
          <w:rFonts w:ascii="Garamond" w:hAnsi="Garamond" w:cs="Arial"/>
          <w:sz w:val="24"/>
          <w:szCs w:val="24"/>
        </w:rPr>
        <w:t>racionalidade</w:t>
      </w:r>
      <w:r w:rsidR="00A065F8" w:rsidRPr="003A1174">
        <w:rPr>
          <w:rFonts w:ascii="Garamond" w:hAnsi="Garamond" w:cs="Arial"/>
          <w:sz w:val="24"/>
          <w:szCs w:val="24"/>
        </w:rPr>
        <w:t>,</w:t>
      </w:r>
      <w:r w:rsidR="00A132B3" w:rsidRPr="003A1174">
        <w:rPr>
          <w:rFonts w:ascii="Garamond" w:hAnsi="Garamond" w:cs="Arial"/>
          <w:sz w:val="24"/>
          <w:szCs w:val="24"/>
        </w:rPr>
        <w:t xml:space="preserve"> diversos componentes</w:t>
      </w:r>
      <w:r w:rsidR="00D15356" w:rsidRPr="003A1174">
        <w:rPr>
          <w:rFonts w:ascii="Garamond" w:hAnsi="Garamond" w:cs="Arial"/>
          <w:sz w:val="24"/>
          <w:szCs w:val="24"/>
        </w:rPr>
        <w:t xml:space="preserve">; </w:t>
      </w:r>
      <w:r w:rsidR="00D96FD0" w:rsidRPr="003A1174">
        <w:rPr>
          <w:rFonts w:ascii="Garamond" w:hAnsi="Garamond" w:cs="Arial"/>
          <w:sz w:val="24"/>
          <w:szCs w:val="24"/>
        </w:rPr>
        <w:t>o primeiro</w:t>
      </w:r>
      <w:r w:rsidR="00A132B3" w:rsidRPr="003A1174">
        <w:rPr>
          <w:rFonts w:ascii="Garamond" w:hAnsi="Garamond" w:cs="Arial"/>
          <w:sz w:val="24"/>
          <w:szCs w:val="24"/>
        </w:rPr>
        <w:t xml:space="preserve"> </w:t>
      </w:r>
      <w:r w:rsidR="00D96FD0" w:rsidRPr="003A1174">
        <w:rPr>
          <w:rFonts w:ascii="Garamond" w:hAnsi="Garamond" w:cs="Arial"/>
          <w:sz w:val="24"/>
          <w:szCs w:val="24"/>
        </w:rPr>
        <w:t>refere-se a</w:t>
      </w:r>
      <w:r w:rsidR="00A132B3" w:rsidRPr="003A1174">
        <w:rPr>
          <w:rFonts w:ascii="Garamond" w:hAnsi="Garamond" w:cs="Arial"/>
          <w:sz w:val="24"/>
          <w:szCs w:val="24"/>
        </w:rPr>
        <w:t xml:space="preserve">os instrumentos </w:t>
      </w:r>
      <w:r w:rsidR="00EF645F" w:rsidRPr="003A1174">
        <w:rPr>
          <w:rFonts w:ascii="Garamond" w:hAnsi="Garamond" w:cs="Arial"/>
          <w:sz w:val="24"/>
          <w:szCs w:val="24"/>
        </w:rPr>
        <w:t>internacionais</w:t>
      </w:r>
      <w:r w:rsidR="00D96FD0" w:rsidRPr="003A1174">
        <w:rPr>
          <w:rFonts w:ascii="Garamond" w:hAnsi="Garamond" w:cs="Arial"/>
          <w:sz w:val="24"/>
          <w:szCs w:val="24"/>
        </w:rPr>
        <w:t xml:space="preserve"> vinculantes, i</w:t>
      </w:r>
      <w:r w:rsidR="00A132B3" w:rsidRPr="003A1174">
        <w:rPr>
          <w:rFonts w:ascii="Garamond" w:hAnsi="Garamond" w:cs="Arial"/>
          <w:sz w:val="24"/>
          <w:szCs w:val="24"/>
        </w:rPr>
        <w:t xml:space="preserve">sto </w:t>
      </w:r>
      <w:r w:rsidR="00D96FD0" w:rsidRPr="003A1174">
        <w:rPr>
          <w:rFonts w:ascii="Garamond" w:hAnsi="Garamond" w:cs="Arial"/>
          <w:sz w:val="24"/>
          <w:szCs w:val="24"/>
        </w:rPr>
        <w:t>é</w:t>
      </w:r>
      <w:r w:rsidR="00A132B3" w:rsidRPr="003A1174">
        <w:rPr>
          <w:rFonts w:ascii="Garamond" w:hAnsi="Garamond" w:cs="Arial"/>
          <w:sz w:val="24"/>
          <w:szCs w:val="24"/>
        </w:rPr>
        <w:t xml:space="preserve">, de </w:t>
      </w:r>
      <w:r w:rsidR="00D96FD0" w:rsidRPr="003A1174">
        <w:rPr>
          <w:rFonts w:ascii="Garamond" w:hAnsi="Garamond" w:cs="Arial"/>
          <w:sz w:val="24"/>
          <w:szCs w:val="24"/>
        </w:rPr>
        <w:t>cumprimento obrigatório</w:t>
      </w:r>
      <w:r w:rsidR="00620CE8" w:rsidRPr="003A1174">
        <w:rPr>
          <w:rFonts w:ascii="Garamond" w:hAnsi="Garamond" w:cs="Arial"/>
          <w:sz w:val="24"/>
          <w:szCs w:val="24"/>
        </w:rPr>
        <w:t xml:space="preserve"> </w:t>
      </w:r>
      <w:r w:rsidR="00620CE8" w:rsidRPr="003A1174">
        <w:rPr>
          <w:rFonts w:ascii="Garamond" w:hAnsi="Garamond" w:cs="Arial"/>
          <w:color w:val="000000" w:themeColor="text1"/>
          <w:sz w:val="24"/>
          <w:szCs w:val="24"/>
        </w:rPr>
        <w:t xml:space="preserve">no </w:t>
      </w:r>
      <w:r w:rsidR="00A132B3" w:rsidRPr="003A1174">
        <w:rPr>
          <w:rFonts w:ascii="Garamond" w:hAnsi="Garamond" w:cs="Arial"/>
          <w:color w:val="000000" w:themeColor="text1"/>
          <w:sz w:val="24"/>
          <w:szCs w:val="24"/>
        </w:rPr>
        <w:t xml:space="preserve">interior </w:t>
      </w:r>
      <w:r w:rsidR="00A132B3" w:rsidRPr="003A1174">
        <w:rPr>
          <w:rFonts w:ascii="Garamond" w:hAnsi="Garamond" w:cs="Arial"/>
          <w:sz w:val="24"/>
          <w:szCs w:val="24"/>
        </w:rPr>
        <w:t>d</w:t>
      </w:r>
      <w:r w:rsidR="00D96FD0" w:rsidRPr="003A1174">
        <w:rPr>
          <w:rFonts w:ascii="Garamond" w:hAnsi="Garamond" w:cs="Arial"/>
          <w:sz w:val="24"/>
          <w:szCs w:val="24"/>
        </w:rPr>
        <w:t xml:space="preserve">os Estados que </w:t>
      </w:r>
      <w:r w:rsidR="00D15356" w:rsidRPr="003A1174">
        <w:rPr>
          <w:rFonts w:ascii="Garamond" w:hAnsi="Garamond" w:cs="Arial"/>
          <w:sz w:val="24"/>
          <w:szCs w:val="24"/>
        </w:rPr>
        <w:t>o</w:t>
      </w:r>
      <w:r w:rsidR="00A132B3" w:rsidRPr="003A1174">
        <w:rPr>
          <w:rFonts w:ascii="Garamond" w:hAnsi="Garamond" w:cs="Arial"/>
          <w:sz w:val="24"/>
          <w:szCs w:val="24"/>
        </w:rPr>
        <w:t xml:space="preserve">s </w:t>
      </w:r>
      <w:r w:rsidR="00D96FD0" w:rsidRPr="003A1174">
        <w:rPr>
          <w:rFonts w:ascii="Garamond" w:hAnsi="Garamond" w:cs="Arial"/>
          <w:sz w:val="24"/>
          <w:szCs w:val="24"/>
        </w:rPr>
        <w:t xml:space="preserve">assumiram </w:t>
      </w:r>
      <w:r w:rsidR="00A132B3" w:rsidRPr="003A1174">
        <w:rPr>
          <w:rFonts w:ascii="Garamond" w:hAnsi="Garamond" w:cs="Arial"/>
          <w:sz w:val="24"/>
          <w:szCs w:val="24"/>
        </w:rPr>
        <w:t xml:space="preserve">mediante </w:t>
      </w:r>
      <w:r w:rsidR="00D96FD0" w:rsidRPr="003A1174">
        <w:rPr>
          <w:rFonts w:ascii="Garamond" w:hAnsi="Garamond" w:cs="Arial"/>
          <w:sz w:val="24"/>
          <w:szCs w:val="24"/>
        </w:rPr>
        <w:t>ratificação</w:t>
      </w:r>
      <w:r w:rsidR="00A132B3" w:rsidRPr="003A1174">
        <w:rPr>
          <w:rFonts w:ascii="Garamond" w:hAnsi="Garamond" w:cs="Arial"/>
          <w:sz w:val="24"/>
          <w:szCs w:val="24"/>
        </w:rPr>
        <w:t xml:space="preserve"> o</w:t>
      </w:r>
      <w:r w:rsidR="00D96FD0" w:rsidRPr="003A1174">
        <w:rPr>
          <w:rFonts w:ascii="Garamond" w:hAnsi="Garamond" w:cs="Arial"/>
          <w:sz w:val="24"/>
          <w:szCs w:val="24"/>
        </w:rPr>
        <w:t>u</w:t>
      </w:r>
      <w:r w:rsidR="00A132B3" w:rsidRPr="003A1174">
        <w:rPr>
          <w:rFonts w:ascii="Garamond" w:hAnsi="Garamond" w:cs="Arial"/>
          <w:sz w:val="24"/>
          <w:szCs w:val="24"/>
        </w:rPr>
        <w:t xml:space="preserve"> </w:t>
      </w:r>
      <w:r w:rsidR="00D96FD0" w:rsidRPr="003A1174">
        <w:rPr>
          <w:rFonts w:ascii="Garamond" w:hAnsi="Garamond" w:cs="Arial"/>
          <w:sz w:val="24"/>
          <w:szCs w:val="24"/>
        </w:rPr>
        <w:t>aceitação</w:t>
      </w:r>
      <w:r w:rsidR="00A132B3" w:rsidRPr="003A1174">
        <w:rPr>
          <w:rFonts w:ascii="Garamond" w:hAnsi="Garamond" w:cs="Arial"/>
          <w:sz w:val="24"/>
          <w:szCs w:val="24"/>
        </w:rPr>
        <w:t xml:space="preserve"> formal </w:t>
      </w:r>
      <w:r w:rsidR="003B4D48">
        <w:rPr>
          <w:rFonts w:ascii="Garamond" w:hAnsi="Garamond" w:cs="Arial"/>
          <w:sz w:val="24"/>
          <w:szCs w:val="24"/>
        </w:rPr>
        <w:t>-</w:t>
      </w:r>
      <w:r w:rsidR="00D96FD0" w:rsidRPr="003A1174">
        <w:rPr>
          <w:rFonts w:ascii="Garamond" w:hAnsi="Garamond" w:cs="Arial"/>
          <w:sz w:val="24"/>
          <w:szCs w:val="24"/>
        </w:rPr>
        <w:t xml:space="preserve"> </w:t>
      </w:r>
      <w:r w:rsidR="00A132B3" w:rsidRPr="003A1174">
        <w:rPr>
          <w:rFonts w:ascii="Garamond" w:hAnsi="Garamond" w:cs="Arial"/>
          <w:sz w:val="24"/>
          <w:szCs w:val="24"/>
        </w:rPr>
        <w:t xml:space="preserve">salvo </w:t>
      </w:r>
      <w:r w:rsidR="00D96FD0" w:rsidRPr="003A1174">
        <w:rPr>
          <w:rFonts w:ascii="Garamond" w:hAnsi="Garamond" w:cs="Arial"/>
          <w:sz w:val="24"/>
          <w:szCs w:val="24"/>
        </w:rPr>
        <w:t xml:space="preserve">o </w:t>
      </w:r>
      <w:r w:rsidR="00A132B3" w:rsidRPr="003A1174">
        <w:rPr>
          <w:rFonts w:ascii="Garamond" w:hAnsi="Garamond" w:cs="Arial"/>
          <w:sz w:val="24"/>
          <w:szCs w:val="24"/>
        </w:rPr>
        <w:t xml:space="preserve">caso de </w:t>
      </w:r>
      <w:r w:rsidR="0017447A" w:rsidRPr="003A1174">
        <w:rPr>
          <w:rFonts w:ascii="Garamond" w:hAnsi="Garamond" w:cs="Arial"/>
          <w:sz w:val="24"/>
          <w:szCs w:val="24"/>
        </w:rPr>
        <w:t>Porto</w:t>
      </w:r>
      <w:r w:rsidR="00A132B3" w:rsidRPr="003A1174">
        <w:rPr>
          <w:rFonts w:ascii="Garamond" w:hAnsi="Garamond" w:cs="Arial"/>
          <w:sz w:val="24"/>
          <w:szCs w:val="24"/>
        </w:rPr>
        <w:t xml:space="preserve"> Rico, </w:t>
      </w:r>
      <w:r w:rsidR="00D96FD0" w:rsidRPr="003A1174">
        <w:rPr>
          <w:rFonts w:ascii="Garamond" w:hAnsi="Garamond" w:cs="Arial"/>
          <w:sz w:val="24"/>
          <w:szCs w:val="24"/>
        </w:rPr>
        <w:t xml:space="preserve">como depois se </w:t>
      </w:r>
      <w:r w:rsidR="00A132B3" w:rsidRPr="003A1174">
        <w:rPr>
          <w:rFonts w:ascii="Garamond" w:hAnsi="Garamond" w:cs="Arial"/>
          <w:sz w:val="24"/>
          <w:szCs w:val="24"/>
        </w:rPr>
        <w:t xml:space="preserve">verá </w:t>
      </w:r>
      <w:r w:rsidR="003B4D48">
        <w:rPr>
          <w:rFonts w:ascii="Garamond" w:hAnsi="Garamond" w:cs="Arial"/>
          <w:sz w:val="24"/>
          <w:szCs w:val="24"/>
        </w:rPr>
        <w:t>-</w:t>
      </w:r>
      <w:r w:rsidR="00A132B3" w:rsidRPr="003A1174">
        <w:rPr>
          <w:rFonts w:ascii="Garamond" w:hAnsi="Garamond" w:cs="Arial"/>
          <w:sz w:val="24"/>
          <w:szCs w:val="24"/>
        </w:rPr>
        <w:t>, como s</w:t>
      </w:r>
      <w:r w:rsidR="00D96FD0" w:rsidRPr="003A1174">
        <w:rPr>
          <w:rFonts w:ascii="Garamond" w:hAnsi="Garamond" w:cs="Arial"/>
          <w:sz w:val="24"/>
          <w:szCs w:val="24"/>
        </w:rPr>
        <w:t>ão</w:t>
      </w:r>
      <w:r w:rsidR="00A132B3" w:rsidRPr="003A1174">
        <w:rPr>
          <w:rFonts w:ascii="Garamond" w:hAnsi="Garamond" w:cs="Arial"/>
          <w:sz w:val="24"/>
          <w:szCs w:val="24"/>
        </w:rPr>
        <w:t xml:space="preserve"> determinados Tratados </w:t>
      </w:r>
      <w:r w:rsidR="00EF645F" w:rsidRPr="003A1174">
        <w:rPr>
          <w:rFonts w:ascii="Garamond" w:hAnsi="Garamond" w:cs="Arial"/>
          <w:sz w:val="24"/>
          <w:szCs w:val="24"/>
        </w:rPr>
        <w:t>Internacionais</w:t>
      </w:r>
      <w:r w:rsidR="00A132B3" w:rsidRPr="003A1174">
        <w:rPr>
          <w:rFonts w:ascii="Garamond" w:hAnsi="Garamond" w:cs="Arial"/>
          <w:sz w:val="24"/>
          <w:szCs w:val="24"/>
        </w:rPr>
        <w:t xml:space="preserve"> de </w:t>
      </w:r>
      <w:r w:rsidR="00886D6A" w:rsidRPr="003A1174">
        <w:rPr>
          <w:rFonts w:ascii="Garamond" w:hAnsi="Garamond" w:cs="Arial"/>
          <w:sz w:val="24"/>
          <w:szCs w:val="24"/>
        </w:rPr>
        <w:t>Direito</w:t>
      </w:r>
      <w:r w:rsidR="00A132B3" w:rsidRPr="003A1174">
        <w:rPr>
          <w:rFonts w:ascii="Garamond" w:hAnsi="Garamond" w:cs="Arial"/>
          <w:sz w:val="24"/>
          <w:szCs w:val="24"/>
        </w:rPr>
        <w:t>s Humanos</w:t>
      </w:r>
      <w:r w:rsidR="00D1697B" w:rsidRPr="003A1174">
        <w:rPr>
          <w:rStyle w:val="Refdenotaalpie"/>
          <w:rFonts w:ascii="Garamond" w:hAnsi="Garamond" w:cs="Arial"/>
          <w:b/>
          <w:sz w:val="24"/>
          <w:szCs w:val="24"/>
        </w:rPr>
        <w:footnoteReference w:id="2"/>
      </w:r>
      <w:r w:rsidR="00A132B3" w:rsidRPr="003A1174">
        <w:rPr>
          <w:rFonts w:ascii="Garamond" w:hAnsi="Garamond" w:cs="Arial"/>
          <w:sz w:val="24"/>
          <w:szCs w:val="24"/>
        </w:rPr>
        <w:t xml:space="preserve"> (</w:t>
      </w:r>
      <w:r w:rsidR="00D15356" w:rsidRPr="003A1174">
        <w:rPr>
          <w:rFonts w:ascii="Garamond" w:hAnsi="Garamond" w:cs="Arial"/>
          <w:sz w:val="24"/>
          <w:szCs w:val="24"/>
        </w:rPr>
        <w:t>aos qu</w:t>
      </w:r>
      <w:r w:rsidR="00B14AA6" w:rsidRPr="003A1174">
        <w:rPr>
          <w:rFonts w:ascii="Garamond" w:hAnsi="Garamond" w:cs="Arial"/>
          <w:sz w:val="24"/>
          <w:szCs w:val="24"/>
        </w:rPr>
        <w:t xml:space="preserve">ais nos iremos referir mais à frente com as </w:t>
      </w:r>
      <w:r w:rsidR="00A132B3" w:rsidRPr="003A1174">
        <w:rPr>
          <w:rFonts w:ascii="Garamond" w:hAnsi="Garamond" w:cs="Arial"/>
          <w:sz w:val="24"/>
          <w:szCs w:val="24"/>
        </w:rPr>
        <w:t xml:space="preserve">siglas TIDHs). </w:t>
      </w:r>
      <w:r w:rsidR="00B14AA6" w:rsidRPr="003A1174">
        <w:rPr>
          <w:rFonts w:ascii="Garamond" w:hAnsi="Garamond" w:cs="Arial"/>
          <w:sz w:val="24"/>
          <w:szCs w:val="24"/>
        </w:rPr>
        <w:t>R</w:t>
      </w:r>
      <w:r w:rsidR="00D15356" w:rsidRPr="003A1174">
        <w:rPr>
          <w:rFonts w:ascii="Garamond" w:hAnsi="Garamond" w:cs="Arial"/>
          <w:sz w:val="24"/>
          <w:szCs w:val="24"/>
        </w:rPr>
        <w:t>eferimo</w:t>
      </w:r>
      <w:r w:rsidR="00B14AA6" w:rsidRPr="003A1174">
        <w:rPr>
          <w:rFonts w:ascii="Garamond" w:hAnsi="Garamond" w:cs="Arial"/>
          <w:sz w:val="24"/>
          <w:szCs w:val="24"/>
        </w:rPr>
        <w:t>-no</w:t>
      </w:r>
      <w:r w:rsidR="00D15356" w:rsidRPr="003A1174">
        <w:rPr>
          <w:rFonts w:ascii="Garamond" w:hAnsi="Garamond" w:cs="Arial"/>
          <w:sz w:val="24"/>
          <w:szCs w:val="24"/>
        </w:rPr>
        <w:t xml:space="preserve">s </w:t>
      </w:r>
      <w:r w:rsidR="00B14AA6" w:rsidRPr="003A1174">
        <w:rPr>
          <w:rFonts w:ascii="Garamond" w:hAnsi="Garamond" w:cs="Arial"/>
          <w:sz w:val="24"/>
          <w:szCs w:val="24"/>
        </w:rPr>
        <w:t xml:space="preserve">à Convenção sobre </w:t>
      </w:r>
      <w:r w:rsidR="00A132B3" w:rsidRPr="003A1174">
        <w:rPr>
          <w:rFonts w:ascii="Garamond" w:hAnsi="Garamond" w:cs="Arial"/>
          <w:sz w:val="24"/>
          <w:szCs w:val="24"/>
        </w:rPr>
        <w:t xml:space="preserve">a </w:t>
      </w:r>
      <w:r w:rsidR="008E7A2A" w:rsidRPr="003A1174">
        <w:rPr>
          <w:rFonts w:ascii="Garamond" w:hAnsi="Garamond" w:cs="Arial"/>
          <w:sz w:val="24"/>
          <w:szCs w:val="24"/>
        </w:rPr>
        <w:t>Eliminação</w:t>
      </w:r>
      <w:r w:rsidRPr="003A1174">
        <w:rPr>
          <w:rFonts w:ascii="Garamond" w:hAnsi="Garamond" w:cs="Arial"/>
          <w:sz w:val="24"/>
          <w:szCs w:val="24"/>
        </w:rPr>
        <w:t xml:space="preserve"> de todas </w:t>
      </w:r>
      <w:r w:rsidR="00A132B3" w:rsidRPr="003A1174">
        <w:rPr>
          <w:rFonts w:ascii="Garamond" w:hAnsi="Garamond" w:cs="Arial"/>
          <w:sz w:val="24"/>
          <w:szCs w:val="24"/>
        </w:rPr>
        <w:t xml:space="preserve">as </w:t>
      </w:r>
      <w:r w:rsidR="00D15356" w:rsidRPr="003A1174">
        <w:rPr>
          <w:rFonts w:ascii="Garamond" w:hAnsi="Garamond" w:cs="Arial"/>
          <w:sz w:val="24"/>
          <w:szCs w:val="24"/>
        </w:rPr>
        <w:t>F</w:t>
      </w:r>
      <w:r w:rsidR="00A132B3" w:rsidRPr="003A1174">
        <w:rPr>
          <w:rFonts w:ascii="Garamond" w:hAnsi="Garamond" w:cs="Arial"/>
          <w:sz w:val="24"/>
          <w:szCs w:val="24"/>
        </w:rPr>
        <w:t xml:space="preserve">ormas de </w:t>
      </w:r>
      <w:r w:rsidR="0017447A" w:rsidRPr="003A1174">
        <w:rPr>
          <w:rFonts w:ascii="Garamond" w:hAnsi="Garamond" w:cs="Arial"/>
          <w:sz w:val="24"/>
          <w:szCs w:val="24"/>
        </w:rPr>
        <w:t>Discriminação</w:t>
      </w:r>
      <w:r w:rsidRPr="003A1174">
        <w:rPr>
          <w:rFonts w:ascii="Garamond" w:hAnsi="Garamond" w:cs="Arial"/>
          <w:sz w:val="24"/>
          <w:szCs w:val="24"/>
        </w:rPr>
        <w:t xml:space="preserve"> contra </w:t>
      </w:r>
      <w:r w:rsidR="00A132B3" w:rsidRPr="003A1174">
        <w:rPr>
          <w:rFonts w:ascii="Garamond" w:hAnsi="Garamond" w:cs="Arial"/>
          <w:sz w:val="24"/>
          <w:szCs w:val="24"/>
        </w:rPr>
        <w:t xml:space="preserve">a </w:t>
      </w:r>
      <w:r w:rsidR="00AF192F" w:rsidRPr="003A1174">
        <w:rPr>
          <w:rFonts w:ascii="Garamond" w:hAnsi="Garamond" w:cs="Arial"/>
          <w:sz w:val="24"/>
          <w:szCs w:val="24"/>
        </w:rPr>
        <w:t>Mulher</w:t>
      </w:r>
      <w:r w:rsidR="00B14AA6" w:rsidRPr="003A1174">
        <w:rPr>
          <w:rFonts w:ascii="Garamond" w:hAnsi="Garamond" w:cs="Arial"/>
          <w:sz w:val="24"/>
          <w:szCs w:val="24"/>
        </w:rPr>
        <w:t xml:space="preserve"> e</w:t>
      </w:r>
      <w:r w:rsidR="00D15356" w:rsidRPr="003A1174">
        <w:rPr>
          <w:rFonts w:ascii="Garamond" w:hAnsi="Garamond" w:cs="Arial"/>
          <w:sz w:val="24"/>
          <w:szCs w:val="24"/>
        </w:rPr>
        <w:t>,</w:t>
      </w:r>
      <w:r w:rsidR="00A132B3" w:rsidRPr="003A1174">
        <w:rPr>
          <w:rFonts w:ascii="Garamond" w:hAnsi="Garamond" w:cs="Arial"/>
          <w:sz w:val="24"/>
          <w:szCs w:val="24"/>
        </w:rPr>
        <w:t xml:space="preserve"> de modo especial</w:t>
      </w:r>
      <w:r w:rsidR="00D15356" w:rsidRPr="003A1174">
        <w:rPr>
          <w:rFonts w:ascii="Garamond" w:hAnsi="Garamond" w:cs="Arial"/>
          <w:sz w:val="24"/>
          <w:szCs w:val="24"/>
        </w:rPr>
        <w:t xml:space="preserve">, </w:t>
      </w:r>
      <w:r w:rsidR="00B14AA6" w:rsidRPr="003A1174">
        <w:rPr>
          <w:rFonts w:ascii="Garamond" w:hAnsi="Garamond" w:cs="Arial"/>
          <w:sz w:val="24"/>
          <w:szCs w:val="24"/>
        </w:rPr>
        <w:t>à Convenção</w:t>
      </w:r>
      <w:r w:rsidR="00A132B3" w:rsidRPr="003A1174">
        <w:rPr>
          <w:rFonts w:ascii="Garamond" w:hAnsi="Garamond" w:cs="Arial"/>
          <w:sz w:val="24"/>
          <w:szCs w:val="24"/>
        </w:rPr>
        <w:t xml:space="preserve"> Interamericana</w:t>
      </w:r>
      <w:r w:rsidR="00B14AA6" w:rsidRPr="003A1174">
        <w:rPr>
          <w:rFonts w:ascii="Garamond" w:hAnsi="Garamond" w:cs="Arial"/>
          <w:sz w:val="24"/>
          <w:szCs w:val="24"/>
        </w:rPr>
        <w:t xml:space="preserve"> para </w:t>
      </w:r>
      <w:r w:rsidR="003F493C" w:rsidRPr="003A1174">
        <w:rPr>
          <w:rFonts w:ascii="Garamond" w:hAnsi="Garamond" w:cs="Arial"/>
          <w:sz w:val="24"/>
          <w:szCs w:val="24"/>
        </w:rPr>
        <w:t>Prevenir, Punir e Erradicar</w:t>
      </w:r>
      <w:r w:rsidR="00B14AA6" w:rsidRPr="003A1174">
        <w:rPr>
          <w:rFonts w:ascii="Garamond" w:hAnsi="Garamond" w:cs="Arial"/>
          <w:sz w:val="24"/>
          <w:szCs w:val="24"/>
        </w:rPr>
        <w:t xml:space="preserve"> </w:t>
      </w:r>
      <w:r w:rsidR="00A132B3" w:rsidRPr="003A1174">
        <w:rPr>
          <w:rFonts w:ascii="Garamond" w:hAnsi="Garamond" w:cs="Arial"/>
          <w:sz w:val="24"/>
          <w:szCs w:val="24"/>
        </w:rPr>
        <w:t xml:space="preserve">a </w:t>
      </w:r>
      <w:r w:rsidR="000350B1" w:rsidRPr="003A1174">
        <w:rPr>
          <w:rFonts w:ascii="Garamond" w:hAnsi="Garamond" w:cs="Arial"/>
          <w:sz w:val="24"/>
          <w:szCs w:val="24"/>
        </w:rPr>
        <w:t>Violência</w:t>
      </w:r>
      <w:r w:rsidR="00B14AA6" w:rsidRPr="003A1174">
        <w:rPr>
          <w:rFonts w:ascii="Garamond" w:hAnsi="Garamond" w:cs="Arial"/>
          <w:sz w:val="24"/>
          <w:szCs w:val="24"/>
        </w:rPr>
        <w:t xml:space="preserve"> contra </w:t>
      </w:r>
      <w:r w:rsidR="00A132B3" w:rsidRPr="003A1174">
        <w:rPr>
          <w:rFonts w:ascii="Garamond" w:hAnsi="Garamond" w:cs="Arial"/>
          <w:sz w:val="24"/>
          <w:szCs w:val="24"/>
        </w:rPr>
        <w:t xml:space="preserve">a </w:t>
      </w:r>
      <w:r w:rsidR="00AF192F" w:rsidRPr="003A1174">
        <w:rPr>
          <w:rFonts w:ascii="Garamond" w:hAnsi="Garamond" w:cs="Arial"/>
          <w:sz w:val="24"/>
          <w:szCs w:val="24"/>
        </w:rPr>
        <w:t>Mulher</w:t>
      </w:r>
      <w:r w:rsidR="00C031E1" w:rsidRPr="003A1174">
        <w:rPr>
          <w:rFonts w:ascii="Garamond" w:hAnsi="Garamond" w:cs="Arial"/>
          <w:sz w:val="24"/>
          <w:szCs w:val="24"/>
        </w:rPr>
        <w:t xml:space="preserve">, </w:t>
      </w:r>
      <w:r w:rsidR="00F8378A">
        <w:rPr>
          <w:rFonts w:ascii="Garamond" w:hAnsi="Garamond" w:cs="Arial"/>
          <w:sz w:val="24"/>
          <w:szCs w:val="24"/>
        </w:rPr>
        <w:t>«</w:t>
      </w:r>
      <w:r w:rsidR="00B14AA6" w:rsidRPr="003A1174">
        <w:rPr>
          <w:rFonts w:ascii="Garamond" w:hAnsi="Garamond" w:cs="Arial"/>
          <w:sz w:val="24"/>
          <w:szCs w:val="24"/>
        </w:rPr>
        <w:t>Convenção</w:t>
      </w:r>
      <w:r w:rsidR="00A132B3" w:rsidRPr="003A1174">
        <w:rPr>
          <w:rFonts w:ascii="Garamond" w:hAnsi="Garamond" w:cs="Arial"/>
          <w:sz w:val="24"/>
          <w:szCs w:val="24"/>
        </w:rPr>
        <w:t xml:space="preserve"> de </w:t>
      </w:r>
      <w:r w:rsidR="00A132B3" w:rsidRPr="003A1174">
        <w:rPr>
          <w:rFonts w:ascii="Garamond" w:hAnsi="Garamond" w:cs="Arial"/>
          <w:i/>
          <w:sz w:val="24"/>
          <w:szCs w:val="24"/>
        </w:rPr>
        <w:t>Belém do Pará</w:t>
      </w:r>
      <w:r w:rsidR="00F8378A">
        <w:rPr>
          <w:rFonts w:ascii="Garamond" w:hAnsi="Garamond" w:cs="Arial"/>
          <w:i/>
          <w:sz w:val="24"/>
          <w:szCs w:val="24"/>
        </w:rPr>
        <w:t>»</w:t>
      </w:r>
      <w:r w:rsidR="00A132B3" w:rsidRPr="003A1174">
        <w:rPr>
          <w:rFonts w:ascii="Garamond" w:hAnsi="Garamond" w:cs="Arial"/>
          <w:sz w:val="24"/>
          <w:szCs w:val="24"/>
        </w:rPr>
        <w:t xml:space="preserve">. </w:t>
      </w:r>
      <w:r w:rsidR="00B14AA6" w:rsidRPr="003A1174">
        <w:rPr>
          <w:rFonts w:ascii="Garamond" w:hAnsi="Garamond" w:cs="Arial"/>
          <w:sz w:val="24"/>
          <w:szCs w:val="24"/>
        </w:rPr>
        <w:t>A</w:t>
      </w:r>
      <w:r w:rsidR="00A132B3" w:rsidRPr="003A1174">
        <w:rPr>
          <w:rFonts w:ascii="Garamond" w:hAnsi="Garamond" w:cs="Arial"/>
          <w:sz w:val="24"/>
          <w:szCs w:val="24"/>
        </w:rPr>
        <w:t xml:space="preserve">s </w:t>
      </w:r>
      <w:r w:rsidR="00B14AA6" w:rsidRPr="003A1174">
        <w:rPr>
          <w:rFonts w:ascii="Garamond" w:hAnsi="Garamond" w:cs="Arial"/>
          <w:sz w:val="24"/>
          <w:szCs w:val="24"/>
        </w:rPr>
        <w:t>disposições</w:t>
      </w:r>
      <w:r w:rsidR="00A132B3" w:rsidRPr="003A1174">
        <w:rPr>
          <w:rFonts w:ascii="Garamond" w:hAnsi="Garamond" w:cs="Arial"/>
          <w:sz w:val="24"/>
          <w:szCs w:val="24"/>
        </w:rPr>
        <w:t xml:space="preserve"> </w:t>
      </w:r>
      <w:r w:rsidR="00B14AA6" w:rsidRPr="003A1174">
        <w:rPr>
          <w:rFonts w:ascii="Garamond" w:hAnsi="Garamond" w:cs="Arial"/>
          <w:sz w:val="24"/>
          <w:szCs w:val="24"/>
        </w:rPr>
        <w:t>contidas</w:t>
      </w:r>
      <w:r w:rsidR="00A132B3" w:rsidRPr="003A1174">
        <w:rPr>
          <w:rFonts w:ascii="Garamond" w:hAnsi="Garamond" w:cs="Arial"/>
          <w:sz w:val="24"/>
          <w:szCs w:val="24"/>
        </w:rPr>
        <w:t xml:space="preserve"> </w:t>
      </w:r>
      <w:r w:rsidR="00B14AA6" w:rsidRPr="003A1174">
        <w:rPr>
          <w:rFonts w:ascii="Garamond" w:hAnsi="Garamond" w:cs="Arial"/>
          <w:sz w:val="24"/>
          <w:szCs w:val="24"/>
        </w:rPr>
        <w:t xml:space="preserve">nos referidos </w:t>
      </w:r>
      <w:r w:rsidR="00A132B3" w:rsidRPr="003A1174">
        <w:rPr>
          <w:rFonts w:ascii="Garamond" w:hAnsi="Garamond" w:cs="Arial"/>
          <w:sz w:val="24"/>
          <w:szCs w:val="24"/>
        </w:rPr>
        <w:t>instrumentos</w:t>
      </w:r>
      <w:r w:rsidR="00620CE8" w:rsidRPr="003A1174">
        <w:rPr>
          <w:rFonts w:ascii="Garamond" w:hAnsi="Garamond" w:cs="Arial"/>
          <w:sz w:val="24"/>
          <w:szCs w:val="24"/>
        </w:rPr>
        <w:t xml:space="preserve"> são </w:t>
      </w:r>
      <w:r w:rsidR="00A132B3" w:rsidRPr="003A1174">
        <w:rPr>
          <w:rFonts w:ascii="Garamond" w:hAnsi="Garamond" w:cs="Arial"/>
          <w:sz w:val="24"/>
          <w:szCs w:val="24"/>
        </w:rPr>
        <w:t xml:space="preserve">de </w:t>
      </w:r>
      <w:r w:rsidR="00B14AA6" w:rsidRPr="003A1174">
        <w:rPr>
          <w:rFonts w:ascii="Garamond" w:hAnsi="Garamond" w:cs="Arial"/>
          <w:sz w:val="24"/>
          <w:szCs w:val="24"/>
        </w:rPr>
        <w:t>aplicação e</w:t>
      </w:r>
      <w:r w:rsidR="00A132B3" w:rsidRPr="003A1174">
        <w:rPr>
          <w:rFonts w:ascii="Garamond" w:hAnsi="Garamond" w:cs="Arial"/>
          <w:sz w:val="24"/>
          <w:szCs w:val="24"/>
        </w:rPr>
        <w:t xml:space="preserve"> </w:t>
      </w:r>
      <w:r w:rsidR="00B14AA6" w:rsidRPr="003A1174">
        <w:rPr>
          <w:rFonts w:ascii="Garamond" w:hAnsi="Garamond" w:cs="Arial"/>
          <w:sz w:val="24"/>
          <w:szCs w:val="24"/>
        </w:rPr>
        <w:t>exigibilidade</w:t>
      </w:r>
      <w:r w:rsidR="00A132B3" w:rsidRPr="003A1174">
        <w:rPr>
          <w:rFonts w:ascii="Garamond" w:hAnsi="Garamond" w:cs="Arial"/>
          <w:sz w:val="24"/>
          <w:szCs w:val="24"/>
        </w:rPr>
        <w:t xml:space="preserve"> </w:t>
      </w:r>
      <w:r w:rsidR="00B14AA6" w:rsidRPr="003A1174">
        <w:rPr>
          <w:rFonts w:ascii="Garamond" w:hAnsi="Garamond" w:cs="Arial"/>
          <w:sz w:val="24"/>
          <w:szCs w:val="24"/>
        </w:rPr>
        <w:t>relativamente à problemática d</w:t>
      </w:r>
      <w:r w:rsidR="00A132B3" w:rsidRPr="003A1174">
        <w:rPr>
          <w:rFonts w:ascii="Garamond" w:hAnsi="Garamond" w:cs="Arial"/>
          <w:sz w:val="24"/>
          <w:szCs w:val="24"/>
        </w:rPr>
        <w:t xml:space="preserve">a </w:t>
      </w:r>
      <w:r w:rsidR="000350B1" w:rsidRPr="003A1174">
        <w:rPr>
          <w:rFonts w:ascii="Garamond" w:hAnsi="Garamond" w:cs="Arial"/>
          <w:sz w:val="24"/>
          <w:szCs w:val="24"/>
        </w:rPr>
        <w:t>violência</w:t>
      </w:r>
      <w:r w:rsidR="00B14AA6" w:rsidRPr="003A1174">
        <w:rPr>
          <w:rFonts w:ascii="Garamond" w:hAnsi="Garamond" w:cs="Arial"/>
          <w:sz w:val="24"/>
          <w:szCs w:val="24"/>
        </w:rPr>
        <w:t xml:space="preserve"> contra </w:t>
      </w:r>
      <w:r w:rsidR="00A132B3" w:rsidRPr="003A1174">
        <w:rPr>
          <w:rFonts w:ascii="Garamond" w:hAnsi="Garamond" w:cs="Arial"/>
          <w:sz w:val="24"/>
          <w:szCs w:val="24"/>
        </w:rPr>
        <w:t xml:space="preserve">as </w:t>
      </w:r>
      <w:r w:rsidR="00054EE0" w:rsidRPr="003A1174">
        <w:rPr>
          <w:rFonts w:ascii="Garamond" w:hAnsi="Garamond" w:cs="Arial"/>
          <w:sz w:val="24"/>
          <w:szCs w:val="24"/>
        </w:rPr>
        <w:t>mulheres</w:t>
      </w:r>
      <w:r w:rsidR="00A132B3" w:rsidRPr="003A1174">
        <w:rPr>
          <w:rFonts w:ascii="Garamond" w:hAnsi="Garamond" w:cs="Arial"/>
          <w:sz w:val="24"/>
          <w:szCs w:val="24"/>
        </w:rPr>
        <w:t xml:space="preserve">, </w:t>
      </w:r>
      <w:r w:rsidR="00D15356" w:rsidRPr="003A1174">
        <w:rPr>
          <w:rFonts w:ascii="Garamond" w:hAnsi="Garamond" w:cs="Arial"/>
          <w:sz w:val="24"/>
          <w:szCs w:val="24"/>
        </w:rPr>
        <w:t>especialmente</w:t>
      </w:r>
      <w:r w:rsidR="00B14AA6" w:rsidRPr="003A1174">
        <w:rPr>
          <w:rFonts w:ascii="Garamond" w:hAnsi="Garamond" w:cs="Arial"/>
          <w:sz w:val="24"/>
          <w:szCs w:val="24"/>
        </w:rPr>
        <w:t xml:space="preserve"> aquel</w:t>
      </w:r>
      <w:r w:rsidR="00A132B3" w:rsidRPr="003A1174">
        <w:rPr>
          <w:rFonts w:ascii="Garamond" w:hAnsi="Garamond" w:cs="Arial"/>
          <w:sz w:val="24"/>
          <w:szCs w:val="24"/>
        </w:rPr>
        <w:t xml:space="preserve">a suscitada </w:t>
      </w:r>
      <w:r w:rsidR="00B14AA6" w:rsidRPr="003A1174">
        <w:rPr>
          <w:rFonts w:ascii="Garamond" w:hAnsi="Garamond" w:cs="Arial"/>
          <w:sz w:val="24"/>
          <w:szCs w:val="24"/>
        </w:rPr>
        <w:t xml:space="preserve">no </w:t>
      </w:r>
      <w:r w:rsidR="00A132B3" w:rsidRPr="003A1174">
        <w:rPr>
          <w:rFonts w:ascii="Garamond" w:hAnsi="Garamond" w:cs="Arial"/>
          <w:sz w:val="24"/>
          <w:szCs w:val="24"/>
        </w:rPr>
        <w:t xml:space="preserve">plano intrafamiliar. </w:t>
      </w:r>
    </w:p>
    <w:p w:rsidR="00A132B3" w:rsidRPr="003A1174" w:rsidRDefault="00A132B3" w:rsidP="008719D4">
      <w:pPr>
        <w:spacing w:line="240" w:lineRule="auto"/>
        <w:jc w:val="both"/>
        <w:rPr>
          <w:rFonts w:ascii="Garamond" w:hAnsi="Garamond" w:cs="Arial"/>
          <w:sz w:val="24"/>
          <w:szCs w:val="24"/>
        </w:rPr>
      </w:pPr>
      <w:r w:rsidRPr="003A1174">
        <w:rPr>
          <w:rFonts w:ascii="Garamond" w:hAnsi="Garamond" w:cs="Arial"/>
          <w:sz w:val="24"/>
          <w:szCs w:val="24"/>
        </w:rPr>
        <w:t xml:space="preserve">Consideramos </w:t>
      </w:r>
      <w:r w:rsidR="00B14AA6" w:rsidRPr="003A1174">
        <w:rPr>
          <w:rFonts w:ascii="Garamond" w:hAnsi="Garamond" w:cs="Arial"/>
          <w:color w:val="000000" w:themeColor="text1"/>
          <w:sz w:val="24"/>
          <w:szCs w:val="24"/>
        </w:rPr>
        <w:t xml:space="preserve">apropriado </w:t>
      </w:r>
      <w:r w:rsidR="00B14AA6" w:rsidRPr="003A1174">
        <w:rPr>
          <w:rFonts w:ascii="Garamond" w:hAnsi="Garamond" w:cs="Arial"/>
          <w:sz w:val="24"/>
          <w:szCs w:val="24"/>
        </w:rPr>
        <w:t>recordar um</w:t>
      </w:r>
      <w:r w:rsidRPr="003A1174">
        <w:rPr>
          <w:rFonts w:ascii="Garamond" w:hAnsi="Garamond" w:cs="Arial"/>
          <w:sz w:val="24"/>
          <w:szCs w:val="24"/>
        </w:rPr>
        <w:t xml:space="preserve">a </w:t>
      </w:r>
      <w:r w:rsidR="008843FD" w:rsidRPr="003A1174">
        <w:rPr>
          <w:rFonts w:ascii="Garamond" w:hAnsi="Garamond" w:cs="Arial"/>
          <w:sz w:val="24"/>
          <w:szCs w:val="24"/>
        </w:rPr>
        <w:t>caraterística</w:t>
      </w:r>
      <w:r w:rsidRPr="003A1174">
        <w:rPr>
          <w:rFonts w:ascii="Garamond" w:hAnsi="Garamond" w:cs="Arial"/>
          <w:sz w:val="24"/>
          <w:szCs w:val="24"/>
        </w:rPr>
        <w:t xml:space="preserve"> </w:t>
      </w:r>
      <w:r w:rsidR="00B14AA6" w:rsidRPr="003A1174">
        <w:rPr>
          <w:rFonts w:ascii="Garamond" w:hAnsi="Garamond" w:cs="Arial"/>
          <w:sz w:val="24"/>
          <w:szCs w:val="24"/>
        </w:rPr>
        <w:t>própria</w:t>
      </w:r>
      <w:r w:rsidRPr="003A1174">
        <w:rPr>
          <w:rFonts w:ascii="Garamond" w:hAnsi="Garamond" w:cs="Arial"/>
          <w:sz w:val="24"/>
          <w:szCs w:val="24"/>
        </w:rPr>
        <w:t xml:space="preserve"> dos </w:t>
      </w:r>
      <w:r w:rsidR="00D15356" w:rsidRPr="003A1174">
        <w:rPr>
          <w:rFonts w:ascii="Garamond" w:hAnsi="Garamond" w:cs="Arial"/>
          <w:sz w:val="24"/>
          <w:szCs w:val="24"/>
        </w:rPr>
        <w:t>t</w:t>
      </w:r>
      <w:r w:rsidRPr="003A1174">
        <w:rPr>
          <w:rFonts w:ascii="Garamond" w:hAnsi="Garamond" w:cs="Arial"/>
          <w:sz w:val="24"/>
          <w:szCs w:val="24"/>
        </w:rPr>
        <w:t>ratados e</w:t>
      </w:r>
      <w:r w:rsidR="006F4B2C" w:rsidRPr="003A1174">
        <w:rPr>
          <w:rFonts w:ascii="Garamond" w:hAnsi="Garamond" w:cs="Arial"/>
          <w:sz w:val="24"/>
          <w:szCs w:val="24"/>
        </w:rPr>
        <w:t>m</w:t>
      </w:r>
      <w:r w:rsidRPr="003A1174">
        <w:rPr>
          <w:rFonts w:ascii="Garamond" w:hAnsi="Garamond" w:cs="Arial"/>
          <w:sz w:val="24"/>
          <w:szCs w:val="24"/>
        </w:rPr>
        <w:t xml:space="preserve"> </w:t>
      </w:r>
      <w:r w:rsidR="00077461" w:rsidRPr="003A1174">
        <w:rPr>
          <w:rFonts w:ascii="Garamond" w:hAnsi="Garamond" w:cs="Arial"/>
          <w:sz w:val="24"/>
          <w:szCs w:val="24"/>
        </w:rPr>
        <w:t>geral</w:t>
      </w:r>
      <w:r w:rsidRPr="003A1174">
        <w:rPr>
          <w:rFonts w:ascii="Garamond" w:hAnsi="Garamond" w:cs="Arial"/>
          <w:sz w:val="24"/>
          <w:szCs w:val="24"/>
        </w:rPr>
        <w:t>. A</w:t>
      </w:r>
      <w:r w:rsidR="006F4B2C" w:rsidRPr="003A1174">
        <w:rPr>
          <w:rFonts w:ascii="Garamond" w:hAnsi="Garamond" w:cs="Arial"/>
          <w:sz w:val="24"/>
          <w:szCs w:val="24"/>
        </w:rPr>
        <w:t xml:space="preserve"> esse respeito</w:t>
      </w:r>
      <w:r w:rsidR="00D15356" w:rsidRPr="003A1174">
        <w:rPr>
          <w:rFonts w:ascii="Garamond" w:hAnsi="Garamond" w:cs="Arial"/>
          <w:sz w:val="24"/>
          <w:szCs w:val="24"/>
        </w:rPr>
        <w:t>,</w:t>
      </w:r>
      <w:r w:rsidRPr="003A1174">
        <w:rPr>
          <w:rFonts w:ascii="Garamond" w:hAnsi="Garamond" w:cs="Arial"/>
          <w:sz w:val="24"/>
          <w:szCs w:val="24"/>
        </w:rPr>
        <w:t xml:space="preserve"> </w:t>
      </w:r>
      <w:r w:rsidR="006F4B2C" w:rsidRPr="003A1174">
        <w:rPr>
          <w:rFonts w:ascii="Garamond" w:hAnsi="Garamond" w:cs="Arial"/>
          <w:sz w:val="24"/>
          <w:szCs w:val="24"/>
        </w:rPr>
        <w:t xml:space="preserve">começamos por </w:t>
      </w:r>
      <w:r w:rsidRPr="003A1174">
        <w:rPr>
          <w:rFonts w:ascii="Garamond" w:hAnsi="Garamond" w:cs="Arial"/>
          <w:sz w:val="24"/>
          <w:szCs w:val="24"/>
        </w:rPr>
        <w:t>indica</w:t>
      </w:r>
      <w:r w:rsidR="006F4B2C" w:rsidRPr="003A1174">
        <w:rPr>
          <w:rFonts w:ascii="Garamond" w:hAnsi="Garamond" w:cs="Arial"/>
          <w:sz w:val="24"/>
          <w:szCs w:val="24"/>
        </w:rPr>
        <w:t xml:space="preserve">r que </w:t>
      </w:r>
      <w:r w:rsidRPr="003A1174">
        <w:rPr>
          <w:rFonts w:ascii="Garamond" w:hAnsi="Garamond" w:cs="Arial"/>
          <w:sz w:val="24"/>
          <w:szCs w:val="24"/>
        </w:rPr>
        <w:t xml:space="preserve">os </w:t>
      </w:r>
      <w:r w:rsidR="00D15356" w:rsidRPr="003A1174">
        <w:rPr>
          <w:rFonts w:ascii="Garamond" w:hAnsi="Garamond" w:cs="Arial"/>
          <w:sz w:val="24"/>
          <w:szCs w:val="24"/>
        </w:rPr>
        <w:t>t</w:t>
      </w:r>
      <w:r w:rsidRPr="003A1174">
        <w:rPr>
          <w:rFonts w:ascii="Garamond" w:hAnsi="Garamond" w:cs="Arial"/>
          <w:sz w:val="24"/>
          <w:szCs w:val="24"/>
        </w:rPr>
        <w:t xml:space="preserve">ratados </w:t>
      </w:r>
      <w:r w:rsidR="00EF645F" w:rsidRPr="003A1174">
        <w:rPr>
          <w:rFonts w:ascii="Garamond" w:hAnsi="Garamond" w:cs="Arial"/>
          <w:sz w:val="24"/>
          <w:szCs w:val="24"/>
        </w:rPr>
        <w:t>internacionais</w:t>
      </w:r>
      <w:r w:rsidRPr="003A1174">
        <w:rPr>
          <w:rFonts w:ascii="Garamond" w:hAnsi="Garamond" w:cs="Arial"/>
          <w:sz w:val="24"/>
          <w:szCs w:val="24"/>
        </w:rPr>
        <w:t>,</w:t>
      </w:r>
      <w:r w:rsidR="00A065F8" w:rsidRPr="003A1174">
        <w:rPr>
          <w:rFonts w:ascii="Garamond" w:hAnsi="Garamond" w:cs="Arial"/>
          <w:sz w:val="24"/>
          <w:szCs w:val="24"/>
        </w:rPr>
        <w:t xml:space="preserve"> digamos que </w:t>
      </w:r>
      <w:r w:rsidR="006F4B2C" w:rsidRPr="003A1174">
        <w:rPr>
          <w:rFonts w:ascii="Garamond" w:hAnsi="Garamond" w:cs="Arial"/>
          <w:sz w:val="24"/>
          <w:szCs w:val="24"/>
        </w:rPr>
        <w:t>comuns</w:t>
      </w:r>
      <w:r w:rsidRPr="003A1174">
        <w:rPr>
          <w:rFonts w:ascii="Garamond" w:hAnsi="Garamond" w:cs="Arial"/>
          <w:sz w:val="24"/>
          <w:szCs w:val="24"/>
        </w:rPr>
        <w:t xml:space="preserve"> o</w:t>
      </w:r>
      <w:r w:rsidR="006F4B2C" w:rsidRPr="003A1174">
        <w:rPr>
          <w:rFonts w:ascii="Garamond" w:hAnsi="Garamond" w:cs="Arial"/>
          <w:sz w:val="24"/>
          <w:szCs w:val="24"/>
        </w:rPr>
        <w:t>u</w:t>
      </w:r>
      <w:r w:rsidRPr="003A1174">
        <w:rPr>
          <w:rFonts w:ascii="Garamond" w:hAnsi="Garamond" w:cs="Arial"/>
          <w:sz w:val="24"/>
          <w:szCs w:val="24"/>
        </w:rPr>
        <w:t xml:space="preserve"> </w:t>
      </w:r>
      <w:r w:rsidR="006F4B2C" w:rsidRPr="003A1174">
        <w:rPr>
          <w:rFonts w:ascii="Garamond" w:hAnsi="Garamond" w:cs="Arial"/>
          <w:sz w:val="24"/>
          <w:szCs w:val="24"/>
        </w:rPr>
        <w:t>usuais (cuj</w:t>
      </w:r>
      <w:r w:rsidRPr="003A1174">
        <w:rPr>
          <w:rFonts w:ascii="Garamond" w:hAnsi="Garamond" w:cs="Arial"/>
          <w:sz w:val="24"/>
          <w:szCs w:val="24"/>
        </w:rPr>
        <w:t xml:space="preserve">a </w:t>
      </w:r>
      <w:r w:rsidR="00EF645F" w:rsidRPr="003A1174">
        <w:rPr>
          <w:rFonts w:ascii="Garamond" w:hAnsi="Garamond" w:cs="Arial"/>
          <w:sz w:val="24"/>
          <w:szCs w:val="24"/>
        </w:rPr>
        <w:t>matéria</w:t>
      </w:r>
      <w:r w:rsidRPr="003A1174">
        <w:rPr>
          <w:rFonts w:ascii="Garamond" w:hAnsi="Garamond" w:cs="Arial"/>
          <w:sz w:val="24"/>
          <w:szCs w:val="24"/>
        </w:rPr>
        <w:t xml:space="preserve"> p</w:t>
      </w:r>
      <w:r w:rsidR="006F4B2C" w:rsidRPr="003A1174">
        <w:rPr>
          <w:rFonts w:ascii="Garamond" w:hAnsi="Garamond" w:cs="Arial"/>
          <w:sz w:val="24"/>
          <w:szCs w:val="24"/>
        </w:rPr>
        <w:t>o</w:t>
      </w:r>
      <w:r w:rsidRPr="003A1174">
        <w:rPr>
          <w:rFonts w:ascii="Garamond" w:hAnsi="Garamond" w:cs="Arial"/>
          <w:sz w:val="24"/>
          <w:szCs w:val="24"/>
        </w:rPr>
        <w:t xml:space="preserve">de ser limítrofe, comercial, </w:t>
      </w:r>
      <w:r w:rsidR="00D15356" w:rsidRPr="003A1174">
        <w:rPr>
          <w:rFonts w:ascii="Garamond" w:hAnsi="Garamond" w:cs="Arial"/>
          <w:sz w:val="24"/>
          <w:szCs w:val="24"/>
        </w:rPr>
        <w:t xml:space="preserve">de </w:t>
      </w:r>
      <w:r w:rsidR="006F4B2C" w:rsidRPr="003A1174">
        <w:rPr>
          <w:rFonts w:ascii="Garamond" w:hAnsi="Garamond" w:cs="Arial"/>
          <w:sz w:val="24"/>
          <w:szCs w:val="24"/>
        </w:rPr>
        <w:t>navegação</w:t>
      </w:r>
      <w:r w:rsidRPr="003A1174">
        <w:rPr>
          <w:rFonts w:ascii="Garamond" w:hAnsi="Garamond" w:cs="Arial"/>
          <w:sz w:val="24"/>
          <w:szCs w:val="24"/>
        </w:rPr>
        <w:t xml:space="preserve"> marítima, </w:t>
      </w:r>
      <w:r w:rsidR="006F4B2C" w:rsidRPr="003A1174">
        <w:rPr>
          <w:rFonts w:ascii="Garamond" w:hAnsi="Garamond" w:cs="Arial"/>
          <w:sz w:val="24"/>
          <w:szCs w:val="24"/>
        </w:rPr>
        <w:t>integração</w:t>
      </w:r>
      <w:r w:rsidRPr="003A1174">
        <w:rPr>
          <w:rFonts w:ascii="Garamond" w:hAnsi="Garamond" w:cs="Arial"/>
          <w:sz w:val="24"/>
          <w:szCs w:val="24"/>
        </w:rPr>
        <w:t xml:space="preserve"> económica o</w:t>
      </w:r>
      <w:r w:rsidR="006F4B2C" w:rsidRPr="003A1174">
        <w:rPr>
          <w:rFonts w:ascii="Garamond" w:hAnsi="Garamond" w:cs="Arial"/>
          <w:sz w:val="24"/>
          <w:szCs w:val="24"/>
        </w:rPr>
        <w:t>u</w:t>
      </w:r>
      <w:r w:rsidRPr="003A1174">
        <w:rPr>
          <w:rFonts w:ascii="Garamond" w:hAnsi="Garamond" w:cs="Arial"/>
          <w:sz w:val="24"/>
          <w:szCs w:val="24"/>
        </w:rPr>
        <w:t xml:space="preserve"> militar, p</w:t>
      </w:r>
      <w:r w:rsidR="006F4B2C" w:rsidRPr="003A1174">
        <w:rPr>
          <w:rFonts w:ascii="Garamond" w:hAnsi="Garamond" w:cs="Arial"/>
          <w:sz w:val="24"/>
          <w:szCs w:val="24"/>
        </w:rPr>
        <w:t xml:space="preserve">ara </w:t>
      </w:r>
      <w:r w:rsidRPr="003A1174">
        <w:rPr>
          <w:rFonts w:ascii="Garamond" w:hAnsi="Garamond" w:cs="Arial"/>
          <w:sz w:val="24"/>
          <w:szCs w:val="24"/>
        </w:rPr>
        <w:t xml:space="preserve">mencionar </w:t>
      </w:r>
      <w:r w:rsidR="006F4B2C" w:rsidRPr="003A1174">
        <w:rPr>
          <w:rFonts w:ascii="Garamond" w:hAnsi="Garamond" w:cs="Arial"/>
          <w:sz w:val="24"/>
          <w:szCs w:val="24"/>
        </w:rPr>
        <w:t>alguns</w:t>
      </w:r>
      <w:r w:rsidRPr="003A1174">
        <w:rPr>
          <w:rFonts w:ascii="Garamond" w:hAnsi="Garamond" w:cs="Arial"/>
          <w:sz w:val="24"/>
          <w:szCs w:val="24"/>
        </w:rPr>
        <w:t xml:space="preserve"> </w:t>
      </w:r>
      <w:r w:rsidR="002F5CD1" w:rsidRPr="003A1174">
        <w:rPr>
          <w:rFonts w:ascii="Garamond" w:hAnsi="Garamond" w:cs="Arial"/>
          <w:sz w:val="24"/>
          <w:szCs w:val="24"/>
        </w:rPr>
        <w:t>exemplo</w:t>
      </w:r>
      <w:r w:rsidRPr="003A1174">
        <w:rPr>
          <w:rFonts w:ascii="Garamond" w:hAnsi="Garamond" w:cs="Arial"/>
          <w:sz w:val="24"/>
          <w:szCs w:val="24"/>
        </w:rPr>
        <w:t>s), s</w:t>
      </w:r>
      <w:r w:rsidR="006F4B2C" w:rsidRPr="003A1174">
        <w:rPr>
          <w:rFonts w:ascii="Garamond" w:hAnsi="Garamond" w:cs="Arial"/>
          <w:sz w:val="24"/>
          <w:szCs w:val="24"/>
        </w:rPr>
        <w:t>ão</w:t>
      </w:r>
      <w:r w:rsidRPr="003A1174">
        <w:rPr>
          <w:rFonts w:ascii="Garamond" w:hAnsi="Garamond" w:cs="Arial"/>
          <w:sz w:val="24"/>
          <w:szCs w:val="24"/>
        </w:rPr>
        <w:t xml:space="preserve"> </w:t>
      </w:r>
      <w:r w:rsidR="003F012B" w:rsidRPr="003A1174">
        <w:rPr>
          <w:rFonts w:ascii="Garamond" w:hAnsi="Garamond" w:cs="Arial"/>
          <w:sz w:val="24"/>
          <w:szCs w:val="24"/>
        </w:rPr>
        <w:t>acordo</w:t>
      </w:r>
      <w:r w:rsidR="006F4B2C" w:rsidRPr="003A1174">
        <w:rPr>
          <w:rFonts w:ascii="Garamond" w:hAnsi="Garamond" w:cs="Arial"/>
          <w:sz w:val="24"/>
          <w:szCs w:val="24"/>
        </w:rPr>
        <w:t xml:space="preserve">s que </w:t>
      </w:r>
      <w:r w:rsidRPr="003A1174">
        <w:rPr>
          <w:rFonts w:ascii="Garamond" w:hAnsi="Garamond" w:cs="Arial"/>
          <w:sz w:val="24"/>
          <w:szCs w:val="24"/>
        </w:rPr>
        <w:t xml:space="preserve">os Estados </w:t>
      </w:r>
      <w:r w:rsidR="006F4B2C" w:rsidRPr="003A1174">
        <w:rPr>
          <w:rFonts w:ascii="Garamond" w:hAnsi="Garamond" w:cs="Arial"/>
          <w:sz w:val="24"/>
          <w:szCs w:val="24"/>
        </w:rPr>
        <w:t>adotam</w:t>
      </w:r>
      <w:r w:rsidRPr="003A1174">
        <w:rPr>
          <w:rFonts w:ascii="Garamond" w:hAnsi="Garamond" w:cs="Arial"/>
          <w:sz w:val="24"/>
          <w:szCs w:val="24"/>
        </w:rPr>
        <w:t xml:space="preserve"> para </w:t>
      </w:r>
      <w:r w:rsidR="006F4B2C" w:rsidRPr="003A1174">
        <w:rPr>
          <w:rFonts w:ascii="Garamond" w:hAnsi="Garamond" w:cs="Arial"/>
          <w:sz w:val="24"/>
          <w:szCs w:val="24"/>
        </w:rPr>
        <w:t>o benefí</w:t>
      </w:r>
      <w:r w:rsidRPr="003A1174">
        <w:rPr>
          <w:rFonts w:ascii="Garamond" w:hAnsi="Garamond" w:cs="Arial"/>
          <w:sz w:val="24"/>
          <w:szCs w:val="24"/>
        </w:rPr>
        <w:t>cio o</w:t>
      </w:r>
      <w:r w:rsidR="006F4B2C" w:rsidRPr="003A1174">
        <w:rPr>
          <w:rFonts w:ascii="Garamond" w:hAnsi="Garamond" w:cs="Arial"/>
          <w:sz w:val="24"/>
          <w:szCs w:val="24"/>
        </w:rPr>
        <w:t>u</w:t>
      </w:r>
      <w:r w:rsidRPr="003A1174">
        <w:rPr>
          <w:rFonts w:ascii="Garamond" w:hAnsi="Garamond" w:cs="Arial"/>
          <w:sz w:val="24"/>
          <w:szCs w:val="24"/>
        </w:rPr>
        <w:t xml:space="preserve"> </w:t>
      </w:r>
      <w:r w:rsidR="00EF645F" w:rsidRPr="003A1174">
        <w:rPr>
          <w:rFonts w:ascii="Garamond" w:hAnsi="Garamond" w:cs="Arial"/>
          <w:sz w:val="24"/>
          <w:szCs w:val="24"/>
        </w:rPr>
        <w:t>interesse</w:t>
      </w:r>
      <w:r w:rsidR="006F4B2C" w:rsidRPr="003A1174">
        <w:rPr>
          <w:rFonts w:ascii="Garamond" w:hAnsi="Garamond" w:cs="Arial"/>
          <w:sz w:val="24"/>
          <w:szCs w:val="24"/>
        </w:rPr>
        <w:t xml:space="preserve"> mútuo d</w:t>
      </w:r>
      <w:r w:rsidRPr="003A1174">
        <w:rPr>
          <w:rFonts w:ascii="Garamond" w:hAnsi="Garamond" w:cs="Arial"/>
          <w:sz w:val="24"/>
          <w:szCs w:val="24"/>
        </w:rPr>
        <w:t xml:space="preserve">os </w:t>
      </w:r>
      <w:r w:rsidR="00C30647" w:rsidRPr="003A1174">
        <w:rPr>
          <w:rFonts w:ascii="Garamond" w:hAnsi="Garamond" w:cs="Arial"/>
          <w:sz w:val="24"/>
          <w:szCs w:val="24"/>
        </w:rPr>
        <w:t>próprio</w:t>
      </w:r>
      <w:r w:rsidRPr="003A1174">
        <w:rPr>
          <w:rFonts w:ascii="Garamond" w:hAnsi="Garamond" w:cs="Arial"/>
          <w:sz w:val="24"/>
          <w:szCs w:val="24"/>
        </w:rPr>
        <w:t>s</w:t>
      </w:r>
      <w:r w:rsidRPr="003A1174">
        <w:rPr>
          <w:rFonts w:ascii="Garamond" w:hAnsi="Garamond" w:cs="Arial"/>
          <w:i/>
          <w:sz w:val="24"/>
          <w:szCs w:val="24"/>
        </w:rPr>
        <w:t xml:space="preserve"> Estados contratantes</w:t>
      </w:r>
      <w:r w:rsidR="00D15356" w:rsidRPr="003A1174">
        <w:rPr>
          <w:rFonts w:ascii="Garamond" w:hAnsi="Garamond" w:cs="Arial"/>
          <w:i/>
          <w:sz w:val="24"/>
          <w:szCs w:val="24"/>
        </w:rPr>
        <w:t xml:space="preserve">, </w:t>
      </w:r>
      <w:r w:rsidR="006F4B2C" w:rsidRPr="003A1174">
        <w:rPr>
          <w:rFonts w:ascii="Garamond" w:hAnsi="Garamond" w:cs="Arial"/>
          <w:sz w:val="24"/>
          <w:szCs w:val="24"/>
        </w:rPr>
        <w:t>que d</w:t>
      </w:r>
      <w:r w:rsidR="00D15356" w:rsidRPr="003A1174">
        <w:rPr>
          <w:rFonts w:ascii="Garamond" w:hAnsi="Garamond" w:cs="Arial"/>
          <w:sz w:val="24"/>
          <w:szCs w:val="24"/>
        </w:rPr>
        <w:t>este modo</w:t>
      </w:r>
      <w:r w:rsidRPr="003A1174">
        <w:rPr>
          <w:rFonts w:ascii="Garamond" w:hAnsi="Garamond" w:cs="Arial"/>
          <w:sz w:val="24"/>
          <w:szCs w:val="24"/>
        </w:rPr>
        <w:t xml:space="preserve"> </w:t>
      </w:r>
      <w:r w:rsidR="006F4B2C" w:rsidRPr="003A1174">
        <w:rPr>
          <w:rFonts w:ascii="Garamond" w:hAnsi="Garamond" w:cs="Arial"/>
          <w:sz w:val="24"/>
          <w:szCs w:val="24"/>
        </w:rPr>
        <w:t xml:space="preserve">são </w:t>
      </w:r>
      <w:r w:rsidRPr="003A1174">
        <w:rPr>
          <w:rFonts w:ascii="Garamond" w:hAnsi="Garamond" w:cs="Arial"/>
          <w:sz w:val="24"/>
          <w:szCs w:val="24"/>
        </w:rPr>
        <w:t xml:space="preserve">os </w:t>
      </w:r>
      <w:r w:rsidR="006F4B2C" w:rsidRPr="003A1174">
        <w:rPr>
          <w:rFonts w:ascii="Garamond" w:hAnsi="Garamond" w:cs="Arial"/>
          <w:sz w:val="24"/>
          <w:szCs w:val="24"/>
        </w:rPr>
        <w:t>destinatários d</w:t>
      </w:r>
      <w:r w:rsidRPr="003A1174">
        <w:rPr>
          <w:rFonts w:ascii="Garamond" w:hAnsi="Garamond" w:cs="Arial"/>
          <w:sz w:val="24"/>
          <w:szCs w:val="24"/>
        </w:rPr>
        <w:t xml:space="preserve">os </w:t>
      </w:r>
      <w:r w:rsidR="003F012B" w:rsidRPr="003A1174">
        <w:rPr>
          <w:rFonts w:ascii="Garamond" w:hAnsi="Garamond" w:cs="Arial"/>
          <w:sz w:val="24"/>
          <w:szCs w:val="24"/>
        </w:rPr>
        <w:t>acordo</w:t>
      </w:r>
      <w:r w:rsidRPr="003A1174">
        <w:rPr>
          <w:rFonts w:ascii="Garamond" w:hAnsi="Garamond" w:cs="Arial"/>
          <w:sz w:val="24"/>
          <w:szCs w:val="24"/>
        </w:rPr>
        <w:t xml:space="preserve">s celebrados. </w:t>
      </w:r>
    </w:p>
    <w:p w:rsidR="00A132B3" w:rsidRPr="003A1174" w:rsidRDefault="00A132B3" w:rsidP="008719D4">
      <w:pPr>
        <w:spacing w:line="240" w:lineRule="auto"/>
        <w:jc w:val="both"/>
        <w:rPr>
          <w:rFonts w:ascii="Garamond" w:hAnsi="Garamond" w:cs="Arial"/>
          <w:sz w:val="24"/>
          <w:szCs w:val="24"/>
        </w:rPr>
      </w:pPr>
      <w:r w:rsidRPr="003A1174">
        <w:rPr>
          <w:rFonts w:ascii="Garamond" w:hAnsi="Garamond" w:cs="Arial"/>
          <w:sz w:val="24"/>
          <w:szCs w:val="24"/>
        </w:rPr>
        <w:t>A</w:t>
      </w:r>
      <w:r w:rsidR="00A065F8" w:rsidRPr="003A1174">
        <w:rPr>
          <w:rFonts w:ascii="Garamond" w:hAnsi="Garamond" w:cs="Arial"/>
          <w:sz w:val="24"/>
          <w:szCs w:val="24"/>
        </w:rPr>
        <w:t xml:space="preserve">o </w:t>
      </w:r>
      <w:r w:rsidR="006F4B2C" w:rsidRPr="003A1174">
        <w:rPr>
          <w:rFonts w:ascii="Garamond" w:hAnsi="Garamond" w:cs="Arial"/>
          <w:sz w:val="24"/>
          <w:szCs w:val="24"/>
        </w:rPr>
        <w:t>contrário deste</w:t>
      </w:r>
      <w:r w:rsidR="00D15356" w:rsidRPr="003A1174">
        <w:rPr>
          <w:rFonts w:ascii="Garamond" w:hAnsi="Garamond" w:cs="Arial"/>
          <w:sz w:val="24"/>
          <w:szCs w:val="24"/>
        </w:rPr>
        <w:t>s</w:t>
      </w:r>
      <w:r w:rsidR="006F4B2C" w:rsidRPr="003A1174">
        <w:rPr>
          <w:rFonts w:ascii="Garamond" w:hAnsi="Garamond" w:cs="Arial"/>
          <w:sz w:val="24"/>
          <w:szCs w:val="24"/>
        </w:rPr>
        <w:t xml:space="preserve">, </w:t>
      </w:r>
      <w:r w:rsidRPr="003A1174">
        <w:rPr>
          <w:rFonts w:ascii="Garamond" w:hAnsi="Garamond" w:cs="Arial"/>
          <w:sz w:val="24"/>
          <w:szCs w:val="24"/>
        </w:rPr>
        <w:t xml:space="preserve">os </w:t>
      </w:r>
      <w:r w:rsidR="00D15356" w:rsidRPr="003A1174">
        <w:rPr>
          <w:rFonts w:ascii="Garamond" w:hAnsi="Garamond" w:cs="Arial"/>
          <w:sz w:val="24"/>
          <w:szCs w:val="24"/>
        </w:rPr>
        <w:t xml:space="preserve">tratados </w:t>
      </w:r>
      <w:r w:rsidR="00EF645F" w:rsidRPr="003A1174">
        <w:rPr>
          <w:rFonts w:ascii="Garamond" w:hAnsi="Garamond" w:cs="Arial"/>
          <w:sz w:val="24"/>
          <w:szCs w:val="24"/>
        </w:rPr>
        <w:t>internacionais</w:t>
      </w:r>
      <w:r w:rsidR="00620CE8" w:rsidRPr="003A1174">
        <w:rPr>
          <w:rFonts w:ascii="Garamond" w:hAnsi="Garamond" w:cs="Arial"/>
          <w:sz w:val="24"/>
          <w:szCs w:val="24"/>
        </w:rPr>
        <w:t xml:space="preserve"> relativamente </w:t>
      </w:r>
      <w:r w:rsidR="00D15356" w:rsidRPr="003A1174">
        <w:rPr>
          <w:rFonts w:ascii="Garamond" w:hAnsi="Garamond" w:cs="Arial"/>
          <w:sz w:val="24"/>
          <w:szCs w:val="24"/>
        </w:rPr>
        <w:t>a</w:t>
      </w:r>
      <w:r w:rsidR="00620CE8" w:rsidRPr="003A1174">
        <w:rPr>
          <w:rFonts w:ascii="Garamond" w:hAnsi="Garamond" w:cs="Arial"/>
          <w:sz w:val="24"/>
          <w:szCs w:val="24"/>
        </w:rPr>
        <w:t>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006F4B2C" w:rsidRPr="003A1174">
        <w:rPr>
          <w:rFonts w:ascii="Garamond" w:hAnsi="Garamond" w:cs="Arial"/>
          <w:sz w:val="24"/>
          <w:szCs w:val="24"/>
        </w:rPr>
        <w:t xml:space="preserve">mesmo </w:t>
      </w:r>
      <w:r w:rsidR="00863197" w:rsidRPr="003A1174">
        <w:rPr>
          <w:rFonts w:ascii="Garamond" w:hAnsi="Garamond" w:cs="Arial"/>
          <w:sz w:val="24"/>
          <w:szCs w:val="24"/>
        </w:rPr>
        <w:t>quando</w:t>
      </w:r>
      <w:r w:rsidRPr="003A1174">
        <w:rPr>
          <w:rFonts w:ascii="Garamond" w:hAnsi="Garamond" w:cs="Arial"/>
          <w:sz w:val="24"/>
          <w:szCs w:val="24"/>
        </w:rPr>
        <w:t xml:space="preserve"> s</w:t>
      </w:r>
      <w:r w:rsidR="006F4B2C" w:rsidRPr="003A1174">
        <w:rPr>
          <w:rFonts w:ascii="Garamond" w:hAnsi="Garamond" w:cs="Arial"/>
          <w:sz w:val="24"/>
          <w:szCs w:val="24"/>
        </w:rPr>
        <w:t>ão</w:t>
      </w:r>
      <w:r w:rsidRPr="003A1174">
        <w:rPr>
          <w:rFonts w:ascii="Garamond" w:hAnsi="Garamond" w:cs="Arial"/>
          <w:sz w:val="24"/>
          <w:szCs w:val="24"/>
        </w:rPr>
        <w:t xml:space="preserve"> celebrados por Estados, t</w:t>
      </w:r>
      <w:r w:rsidR="006F4B2C" w:rsidRPr="003A1174">
        <w:rPr>
          <w:rFonts w:ascii="Garamond" w:hAnsi="Garamond" w:cs="Arial"/>
          <w:sz w:val="24"/>
          <w:szCs w:val="24"/>
        </w:rPr>
        <w:t xml:space="preserve">êm </w:t>
      </w:r>
      <w:r w:rsidRPr="003A1174">
        <w:rPr>
          <w:rFonts w:ascii="Garamond" w:hAnsi="Garamond" w:cs="Arial"/>
          <w:sz w:val="24"/>
          <w:szCs w:val="24"/>
        </w:rPr>
        <w:t xml:space="preserve">como objeto </w:t>
      </w:r>
      <w:r w:rsidR="006F4B2C" w:rsidRPr="003A1174">
        <w:rPr>
          <w:rFonts w:ascii="Garamond" w:hAnsi="Garamond" w:cs="Arial"/>
          <w:sz w:val="24"/>
          <w:szCs w:val="24"/>
        </w:rPr>
        <w:t>e</w:t>
      </w:r>
      <w:r w:rsidRPr="003A1174">
        <w:rPr>
          <w:rFonts w:ascii="Garamond" w:hAnsi="Garamond" w:cs="Arial"/>
          <w:sz w:val="24"/>
          <w:szCs w:val="24"/>
        </w:rPr>
        <w:t xml:space="preserve"> </w:t>
      </w:r>
      <w:r w:rsidR="006F4B2C" w:rsidRPr="003A1174">
        <w:rPr>
          <w:rFonts w:ascii="Garamond" w:hAnsi="Garamond" w:cs="Arial"/>
          <w:sz w:val="24"/>
          <w:szCs w:val="24"/>
        </w:rPr>
        <w:t>finalidade</w:t>
      </w:r>
      <w:r w:rsidRPr="003A1174">
        <w:rPr>
          <w:rFonts w:ascii="Garamond" w:hAnsi="Garamond" w:cs="Arial"/>
          <w:sz w:val="24"/>
          <w:szCs w:val="24"/>
        </w:rPr>
        <w:t xml:space="preserve"> </w:t>
      </w:r>
      <w:r w:rsidR="00661ADB" w:rsidRPr="003A1174">
        <w:rPr>
          <w:rFonts w:ascii="Garamond" w:hAnsi="Garamond" w:cs="Arial"/>
          <w:sz w:val="24"/>
          <w:szCs w:val="24"/>
        </w:rPr>
        <w:t>essencial</w:t>
      </w:r>
      <w:r w:rsidR="002F62B0" w:rsidRPr="003A1174">
        <w:rPr>
          <w:rFonts w:ascii="Garamond" w:hAnsi="Garamond" w:cs="Arial"/>
          <w:sz w:val="24"/>
          <w:szCs w:val="24"/>
        </w:rPr>
        <w:t xml:space="preserve"> </w:t>
      </w:r>
      <w:r w:rsidRPr="003A1174">
        <w:rPr>
          <w:rFonts w:ascii="Garamond" w:hAnsi="Garamond" w:cs="Arial"/>
          <w:sz w:val="24"/>
          <w:szCs w:val="24"/>
        </w:rPr>
        <w:t xml:space="preserve">a </w:t>
      </w:r>
      <w:r w:rsidR="00886D6A" w:rsidRPr="003A1174">
        <w:rPr>
          <w:rFonts w:ascii="Garamond" w:hAnsi="Garamond" w:cs="Arial"/>
          <w:sz w:val="24"/>
          <w:szCs w:val="24"/>
        </w:rPr>
        <w:t>proteção</w:t>
      </w:r>
      <w:r w:rsidR="002F62B0" w:rsidRPr="003A1174">
        <w:rPr>
          <w:rFonts w:ascii="Garamond" w:hAnsi="Garamond" w:cs="Arial"/>
          <w:sz w:val="24"/>
          <w:szCs w:val="24"/>
        </w:rPr>
        <w:t xml:space="preserve"> d</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w:t>
      </w:r>
      <w:r w:rsidR="00CA633E" w:rsidRPr="003A1174">
        <w:rPr>
          <w:rFonts w:ascii="Garamond" w:hAnsi="Garamond" w:cs="Arial"/>
          <w:sz w:val="24"/>
          <w:szCs w:val="24"/>
        </w:rPr>
        <w:t>fundamentais</w:t>
      </w:r>
      <w:r w:rsidR="002F62B0" w:rsidRPr="003A1174">
        <w:rPr>
          <w:rFonts w:ascii="Garamond" w:hAnsi="Garamond" w:cs="Arial"/>
          <w:sz w:val="24"/>
          <w:szCs w:val="24"/>
        </w:rPr>
        <w:t xml:space="preserve"> d</w:t>
      </w:r>
      <w:r w:rsidRPr="003A1174">
        <w:rPr>
          <w:rFonts w:ascii="Garamond" w:hAnsi="Garamond" w:cs="Arial"/>
          <w:sz w:val="24"/>
          <w:szCs w:val="24"/>
        </w:rPr>
        <w:t xml:space="preserve">as </w:t>
      </w:r>
      <w:r w:rsidR="006C760C" w:rsidRPr="003A1174">
        <w:rPr>
          <w:rFonts w:ascii="Garamond" w:hAnsi="Garamond" w:cs="Arial"/>
          <w:i/>
          <w:sz w:val="24"/>
          <w:szCs w:val="24"/>
        </w:rPr>
        <w:t>pessoas</w:t>
      </w:r>
      <w:r w:rsidRPr="003A1174">
        <w:rPr>
          <w:rFonts w:ascii="Garamond" w:hAnsi="Garamond" w:cs="Arial"/>
          <w:i/>
          <w:sz w:val="24"/>
          <w:szCs w:val="24"/>
        </w:rPr>
        <w:t xml:space="preserve"> humanas</w:t>
      </w:r>
      <w:r w:rsidRPr="003A1174">
        <w:rPr>
          <w:rFonts w:ascii="Garamond" w:hAnsi="Garamond" w:cs="Arial"/>
          <w:sz w:val="24"/>
          <w:szCs w:val="24"/>
        </w:rPr>
        <w:t xml:space="preserve"> </w:t>
      </w:r>
      <w:r w:rsidR="002F62B0" w:rsidRPr="003A1174">
        <w:rPr>
          <w:rFonts w:ascii="Garamond" w:hAnsi="Garamond" w:cs="Arial"/>
          <w:sz w:val="24"/>
          <w:szCs w:val="24"/>
        </w:rPr>
        <w:t>sujeita</w:t>
      </w:r>
      <w:r w:rsidRPr="003A1174">
        <w:rPr>
          <w:rFonts w:ascii="Garamond" w:hAnsi="Garamond" w:cs="Arial"/>
          <w:sz w:val="24"/>
          <w:szCs w:val="24"/>
        </w:rPr>
        <w:t xml:space="preserve">s </w:t>
      </w:r>
      <w:r w:rsidR="002F62B0" w:rsidRPr="003A1174">
        <w:rPr>
          <w:rFonts w:ascii="Garamond" w:hAnsi="Garamond" w:cs="Arial"/>
          <w:sz w:val="24"/>
          <w:szCs w:val="24"/>
        </w:rPr>
        <w:t>à sua autoridade</w:t>
      </w:r>
      <w:r w:rsidRPr="003A1174">
        <w:rPr>
          <w:rFonts w:ascii="Garamond" w:hAnsi="Garamond" w:cs="Arial"/>
          <w:sz w:val="24"/>
          <w:szCs w:val="24"/>
        </w:rPr>
        <w:t xml:space="preserve">, </w:t>
      </w:r>
      <w:r w:rsidR="00D15356" w:rsidRPr="003A1174">
        <w:rPr>
          <w:rFonts w:ascii="Garamond" w:hAnsi="Garamond" w:cs="Arial"/>
          <w:sz w:val="24"/>
          <w:szCs w:val="24"/>
        </w:rPr>
        <w:t>e</w:t>
      </w:r>
      <w:r w:rsidR="00A065F8" w:rsidRPr="003A1174">
        <w:rPr>
          <w:rFonts w:ascii="Garamond" w:hAnsi="Garamond" w:cs="Arial"/>
          <w:sz w:val="24"/>
          <w:szCs w:val="24"/>
        </w:rPr>
        <w:t xml:space="preserve">nquanto </w:t>
      </w:r>
      <w:r w:rsidR="002F62B0" w:rsidRPr="003A1174">
        <w:rPr>
          <w:rFonts w:ascii="Garamond" w:hAnsi="Garamond" w:cs="Arial"/>
          <w:sz w:val="24"/>
          <w:szCs w:val="24"/>
        </w:rPr>
        <w:t>destinatárias e beneficiá</w:t>
      </w:r>
      <w:r w:rsidRPr="003A1174">
        <w:rPr>
          <w:rFonts w:ascii="Garamond" w:hAnsi="Garamond" w:cs="Arial"/>
          <w:sz w:val="24"/>
          <w:szCs w:val="24"/>
        </w:rPr>
        <w:t xml:space="preserve">rias </w:t>
      </w:r>
      <w:r w:rsidR="002F5CD1" w:rsidRPr="003A1174">
        <w:rPr>
          <w:rFonts w:ascii="Garamond" w:hAnsi="Garamond" w:cs="Arial"/>
          <w:sz w:val="24"/>
          <w:szCs w:val="24"/>
        </w:rPr>
        <w:t>principais</w:t>
      </w:r>
      <w:r w:rsidR="002F62B0" w:rsidRPr="003A1174">
        <w:rPr>
          <w:rFonts w:ascii="Garamond" w:hAnsi="Garamond" w:cs="Arial"/>
          <w:sz w:val="24"/>
          <w:szCs w:val="24"/>
        </w:rPr>
        <w:t xml:space="preserve"> deste</w:t>
      </w:r>
      <w:r w:rsidR="00D15356" w:rsidRPr="003A1174">
        <w:rPr>
          <w:rFonts w:ascii="Garamond" w:hAnsi="Garamond" w:cs="Arial"/>
          <w:sz w:val="24"/>
          <w:szCs w:val="24"/>
        </w:rPr>
        <w:t>s</w:t>
      </w:r>
      <w:r w:rsidRPr="003A1174">
        <w:rPr>
          <w:rFonts w:ascii="Garamond" w:hAnsi="Garamond" w:cs="Arial"/>
          <w:sz w:val="24"/>
          <w:szCs w:val="24"/>
        </w:rPr>
        <w:t xml:space="preserve">, </w:t>
      </w:r>
      <w:r w:rsidR="00A065F8" w:rsidRPr="003A1174">
        <w:rPr>
          <w:rFonts w:ascii="Garamond" w:hAnsi="Garamond" w:cs="Arial"/>
          <w:sz w:val="24"/>
          <w:szCs w:val="24"/>
        </w:rPr>
        <w:t xml:space="preserve">sendo que, é perante essas </w:t>
      </w:r>
      <w:r w:rsidR="006C760C" w:rsidRPr="003A1174">
        <w:rPr>
          <w:rFonts w:ascii="Garamond" w:hAnsi="Garamond" w:cs="Arial"/>
          <w:sz w:val="24"/>
          <w:szCs w:val="24"/>
        </w:rPr>
        <w:t>pessoas</w:t>
      </w:r>
      <w:r w:rsidR="002F62B0" w:rsidRPr="003A1174">
        <w:rPr>
          <w:rFonts w:ascii="Garamond" w:hAnsi="Garamond" w:cs="Arial"/>
          <w:sz w:val="24"/>
          <w:szCs w:val="24"/>
        </w:rPr>
        <w:t xml:space="preserve"> que </w:t>
      </w:r>
      <w:r w:rsidRPr="003A1174">
        <w:rPr>
          <w:rFonts w:ascii="Garamond" w:hAnsi="Garamond" w:cs="Arial"/>
          <w:sz w:val="24"/>
          <w:szCs w:val="24"/>
        </w:rPr>
        <w:t xml:space="preserve">os respetivos Estados </w:t>
      </w:r>
      <w:r w:rsidR="002F62B0" w:rsidRPr="003A1174">
        <w:rPr>
          <w:rFonts w:ascii="Garamond" w:hAnsi="Garamond" w:cs="Arial"/>
          <w:sz w:val="24"/>
          <w:szCs w:val="24"/>
        </w:rPr>
        <w:t>assumem</w:t>
      </w:r>
      <w:r w:rsidRPr="003A1174">
        <w:rPr>
          <w:rFonts w:ascii="Garamond" w:hAnsi="Garamond" w:cs="Arial"/>
          <w:sz w:val="24"/>
          <w:szCs w:val="24"/>
        </w:rPr>
        <w:t xml:space="preserve"> </w:t>
      </w:r>
      <w:r w:rsidR="002F62B0" w:rsidRPr="003A1174">
        <w:rPr>
          <w:rFonts w:ascii="Garamond" w:hAnsi="Garamond" w:cs="Arial"/>
          <w:sz w:val="24"/>
          <w:szCs w:val="24"/>
        </w:rPr>
        <w:t xml:space="preserve">as </w:t>
      </w:r>
      <w:r w:rsidRPr="003A1174">
        <w:rPr>
          <w:rFonts w:ascii="Garamond" w:hAnsi="Garamond" w:cs="Arial"/>
          <w:sz w:val="24"/>
          <w:szCs w:val="24"/>
        </w:rPr>
        <w:t>su</w:t>
      </w:r>
      <w:r w:rsidR="002F62B0" w:rsidRPr="003A1174">
        <w:rPr>
          <w:rFonts w:ascii="Garamond" w:hAnsi="Garamond" w:cs="Arial"/>
          <w:sz w:val="24"/>
          <w:szCs w:val="24"/>
        </w:rPr>
        <w:t>a</w:t>
      </w:r>
      <w:r w:rsidRPr="003A1174">
        <w:rPr>
          <w:rFonts w:ascii="Garamond" w:hAnsi="Garamond" w:cs="Arial"/>
          <w:sz w:val="24"/>
          <w:szCs w:val="24"/>
        </w:rPr>
        <w:t xml:space="preserve">s </w:t>
      </w:r>
      <w:r w:rsidR="002F62B0" w:rsidRPr="003A1174">
        <w:rPr>
          <w:rFonts w:ascii="Garamond" w:hAnsi="Garamond" w:cs="Arial"/>
          <w:sz w:val="24"/>
          <w:szCs w:val="24"/>
        </w:rPr>
        <w:t>obrigações</w:t>
      </w:r>
      <w:r w:rsidRPr="003A1174">
        <w:rPr>
          <w:rFonts w:ascii="Garamond" w:hAnsi="Garamond" w:cs="Arial"/>
          <w:sz w:val="24"/>
          <w:szCs w:val="24"/>
        </w:rPr>
        <w:t xml:space="preserve"> </w:t>
      </w:r>
      <w:r w:rsidR="002F62B0" w:rsidRPr="003A1174">
        <w:rPr>
          <w:rFonts w:ascii="Garamond" w:hAnsi="Garamond" w:cs="Arial"/>
          <w:sz w:val="24"/>
          <w:szCs w:val="24"/>
        </w:rPr>
        <w:t>essenciais</w:t>
      </w:r>
      <w:r w:rsidRPr="003A1174">
        <w:rPr>
          <w:rFonts w:ascii="Garamond" w:hAnsi="Garamond" w:cs="Arial"/>
          <w:sz w:val="24"/>
          <w:szCs w:val="24"/>
        </w:rPr>
        <w:t xml:space="preserve">. </w:t>
      </w:r>
    </w:p>
    <w:p w:rsidR="00A132B3" w:rsidRPr="003A1174" w:rsidRDefault="002F62B0" w:rsidP="008719D4">
      <w:pPr>
        <w:spacing w:line="240" w:lineRule="auto"/>
        <w:jc w:val="both"/>
        <w:rPr>
          <w:rFonts w:ascii="Garamond" w:eastAsia="Calibri" w:hAnsi="Garamond" w:cs="Arial"/>
          <w:sz w:val="24"/>
          <w:szCs w:val="24"/>
        </w:rPr>
      </w:pPr>
      <w:r w:rsidRPr="003A1174">
        <w:rPr>
          <w:rFonts w:ascii="Garamond" w:hAnsi="Garamond" w:cs="Arial"/>
          <w:sz w:val="24"/>
          <w:szCs w:val="24"/>
        </w:rPr>
        <w:t>Deste modo</w:t>
      </w:r>
      <w:r w:rsidR="00EB3427">
        <w:rPr>
          <w:rFonts w:ascii="Garamond" w:hAnsi="Garamond" w:cs="Arial"/>
          <w:sz w:val="24"/>
          <w:szCs w:val="24"/>
        </w:rPr>
        <w:t>,</w:t>
      </w:r>
      <w:r w:rsidRPr="003A1174">
        <w:rPr>
          <w:rFonts w:ascii="Garamond" w:hAnsi="Garamond" w:cs="Arial"/>
          <w:sz w:val="24"/>
          <w:szCs w:val="24"/>
        </w:rPr>
        <w:t xml:space="preserve"> </w:t>
      </w:r>
      <w:r w:rsidR="00EB3427">
        <w:rPr>
          <w:rFonts w:ascii="Garamond" w:hAnsi="Garamond" w:cs="Arial"/>
          <w:sz w:val="24"/>
          <w:szCs w:val="24"/>
        </w:rPr>
        <w:t>o</w:t>
      </w:r>
      <w:r w:rsidR="00A132B3" w:rsidRPr="003A1174">
        <w:rPr>
          <w:rFonts w:ascii="Garamond" w:hAnsi="Garamond" w:cs="Arial"/>
          <w:sz w:val="24"/>
          <w:szCs w:val="24"/>
        </w:rPr>
        <w:t xml:space="preserve"> </w:t>
      </w:r>
      <w:r w:rsidR="00EB3427">
        <w:rPr>
          <w:rFonts w:ascii="Garamond" w:hAnsi="Garamond" w:cs="Arial"/>
          <w:sz w:val="24"/>
          <w:szCs w:val="24"/>
        </w:rPr>
        <w:t>Tribunal</w:t>
      </w:r>
      <w:r w:rsidR="002A7FDD" w:rsidRPr="003A1174">
        <w:rPr>
          <w:rFonts w:ascii="Garamond" w:hAnsi="Garamond" w:cs="Arial"/>
          <w:sz w:val="24"/>
          <w:szCs w:val="24"/>
        </w:rPr>
        <w:t xml:space="preserve"> </w:t>
      </w:r>
      <w:r w:rsidR="00A132B3" w:rsidRPr="003A1174">
        <w:rPr>
          <w:rFonts w:ascii="Garamond" w:hAnsi="Garamond" w:cs="Arial"/>
          <w:sz w:val="24"/>
          <w:szCs w:val="24"/>
        </w:rPr>
        <w:t>Interamerican</w:t>
      </w:r>
      <w:r w:rsidR="00EB3427">
        <w:rPr>
          <w:rFonts w:ascii="Garamond" w:hAnsi="Garamond" w:cs="Arial"/>
          <w:sz w:val="24"/>
          <w:szCs w:val="24"/>
        </w:rPr>
        <w:t>o</w:t>
      </w:r>
      <w:r w:rsidR="00A132B3" w:rsidRPr="003A1174">
        <w:rPr>
          <w:rFonts w:ascii="Garamond" w:hAnsi="Garamond" w:cs="Arial"/>
          <w:sz w:val="24"/>
          <w:szCs w:val="24"/>
        </w:rPr>
        <w:t xml:space="preserve"> de </w:t>
      </w:r>
      <w:r w:rsidR="00886D6A" w:rsidRPr="003A1174">
        <w:rPr>
          <w:rFonts w:ascii="Garamond" w:hAnsi="Garamond" w:cs="Arial"/>
          <w:sz w:val="24"/>
          <w:szCs w:val="24"/>
        </w:rPr>
        <w:t>Direito</w:t>
      </w:r>
      <w:r w:rsidR="00A132B3" w:rsidRPr="003A1174">
        <w:rPr>
          <w:rFonts w:ascii="Garamond" w:hAnsi="Garamond" w:cs="Arial"/>
          <w:sz w:val="24"/>
          <w:szCs w:val="24"/>
        </w:rPr>
        <w:t>s Humanos (</w:t>
      </w:r>
      <w:r w:rsidRPr="003A1174">
        <w:rPr>
          <w:rFonts w:ascii="Garamond" w:hAnsi="Garamond" w:cs="Arial"/>
          <w:sz w:val="24"/>
          <w:szCs w:val="24"/>
        </w:rPr>
        <w:t xml:space="preserve">adiante designada </w:t>
      </w:r>
      <w:proofErr w:type="gramStart"/>
      <w:r w:rsidR="00EB3427">
        <w:rPr>
          <w:rFonts w:ascii="Garamond" w:hAnsi="Garamond" w:cs="Arial"/>
          <w:sz w:val="24"/>
          <w:szCs w:val="24"/>
        </w:rPr>
        <w:t>t</w:t>
      </w:r>
      <w:r w:rsidR="00A132B3" w:rsidRPr="003A1174">
        <w:rPr>
          <w:rFonts w:ascii="Garamond" w:hAnsi="Garamond" w:cs="Arial"/>
          <w:sz w:val="24"/>
          <w:szCs w:val="24"/>
        </w:rPr>
        <w:t>IDH</w:t>
      </w:r>
      <w:proofErr w:type="gramEnd"/>
      <w:r w:rsidR="00A132B3" w:rsidRPr="003A1174">
        <w:rPr>
          <w:rFonts w:ascii="Garamond" w:hAnsi="Garamond" w:cs="Arial"/>
          <w:sz w:val="24"/>
          <w:szCs w:val="24"/>
        </w:rPr>
        <w:t>)</w:t>
      </w:r>
      <w:r w:rsidR="00D15356" w:rsidRPr="003A1174">
        <w:rPr>
          <w:rFonts w:ascii="Garamond" w:hAnsi="Garamond" w:cs="Arial"/>
          <w:sz w:val="24"/>
          <w:szCs w:val="24"/>
        </w:rPr>
        <w:t>,</w:t>
      </w:r>
      <w:r w:rsidRPr="003A1174">
        <w:rPr>
          <w:rFonts w:ascii="Garamond" w:hAnsi="Garamond"/>
          <w:sz w:val="24"/>
          <w:szCs w:val="24"/>
        </w:rPr>
        <w:t xml:space="preserve"> </w:t>
      </w:r>
      <w:r w:rsidRPr="003A1174">
        <w:rPr>
          <w:rFonts w:ascii="Garamond" w:hAnsi="Garamond" w:cs="Arial"/>
          <w:sz w:val="24"/>
          <w:szCs w:val="24"/>
        </w:rPr>
        <w:t>entendeu</w:t>
      </w:r>
      <w:r w:rsidR="00A132B3" w:rsidRPr="003A1174">
        <w:rPr>
          <w:rFonts w:ascii="Garamond" w:hAnsi="Garamond" w:cs="Arial"/>
          <w:sz w:val="24"/>
          <w:szCs w:val="24"/>
        </w:rPr>
        <w:t xml:space="preserve"> que</w:t>
      </w:r>
      <w:r w:rsidR="00EB3427">
        <w:rPr>
          <w:rFonts w:ascii="Garamond" w:hAnsi="Garamond" w:cs="Arial"/>
          <w:sz w:val="24"/>
          <w:szCs w:val="24"/>
        </w:rPr>
        <w:t>,</w:t>
      </w:r>
      <w:r w:rsidR="00A132B3" w:rsidRPr="003A1174">
        <w:rPr>
          <w:rFonts w:ascii="Garamond" w:hAnsi="Garamond" w:cs="Arial"/>
          <w:sz w:val="24"/>
          <w:szCs w:val="24"/>
        </w:rPr>
        <w:t xml:space="preserve"> </w:t>
      </w:r>
      <w:r w:rsidRPr="003A1174">
        <w:rPr>
          <w:rFonts w:ascii="Garamond" w:hAnsi="Garamond" w:cs="Arial"/>
          <w:sz w:val="24"/>
          <w:szCs w:val="24"/>
        </w:rPr>
        <w:t xml:space="preserve">assumindo </w:t>
      </w:r>
      <w:r w:rsidR="00A132B3" w:rsidRPr="003A1174">
        <w:rPr>
          <w:rFonts w:ascii="Garamond" w:hAnsi="Garamond" w:cs="Arial"/>
          <w:sz w:val="24"/>
          <w:szCs w:val="24"/>
        </w:rPr>
        <w:t xml:space="preserve">a postura da </w:t>
      </w:r>
      <w:r w:rsidR="00FC1F7F" w:rsidRPr="003A1174">
        <w:rPr>
          <w:rFonts w:ascii="Garamond" w:hAnsi="Garamond" w:cs="Arial"/>
          <w:sz w:val="24"/>
          <w:szCs w:val="24"/>
        </w:rPr>
        <w:t>Comissão</w:t>
      </w:r>
      <w:r w:rsidR="00A132B3" w:rsidRPr="003A1174">
        <w:rPr>
          <w:rFonts w:ascii="Garamond" w:hAnsi="Garamond" w:cs="Arial"/>
          <w:sz w:val="24"/>
          <w:szCs w:val="24"/>
        </w:rPr>
        <w:t xml:space="preserve"> </w:t>
      </w:r>
      <w:r w:rsidRPr="003A1174">
        <w:rPr>
          <w:rFonts w:ascii="Garamond" w:hAnsi="Garamond" w:cs="Arial"/>
          <w:sz w:val="24"/>
          <w:szCs w:val="24"/>
        </w:rPr>
        <w:t>Europeia</w:t>
      </w:r>
      <w:r w:rsidR="00A132B3"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w:t>
      </w:r>
      <w:r w:rsidR="00EB3427">
        <w:rPr>
          <w:rFonts w:ascii="Garamond" w:hAnsi="Garamond" w:cs="Arial"/>
          <w:sz w:val="24"/>
          <w:szCs w:val="24"/>
        </w:rPr>
        <w:t>,</w:t>
      </w:r>
      <w:r w:rsidRPr="003A1174">
        <w:rPr>
          <w:rFonts w:ascii="Garamond" w:hAnsi="Garamond" w:cs="Arial"/>
          <w:sz w:val="24"/>
          <w:szCs w:val="24"/>
        </w:rPr>
        <w:t xml:space="preserve"> sobre </w:t>
      </w:r>
      <w:r w:rsidR="00A132B3" w:rsidRPr="003A1174">
        <w:rPr>
          <w:rFonts w:ascii="Garamond" w:hAnsi="Garamond" w:cs="Arial"/>
          <w:sz w:val="24"/>
          <w:szCs w:val="24"/>
        </w:rPr>
        <w:t xml:space="preserve">a </w:t>
      </w:r>
      <w:r w:rsidR="00B14AA6" w:rsidRPr="003A1174">
        <w:rPr>
          <w:rFonts w:ascii="Garamond" w:hAnsi="Garamond" w:cs="Arial"/>
          <w:sz w:val="24"/>
          <w:szCs w:val="24"/>
        </w:rPr>
        <w:t>Convenção</w:t>
      </w:r>
      <w:r w:rsidR="00A132B3" w:rsidRPr="003A1174">
        <w:rPr>
          <w:rFonts w:ascii="Garamond" w:hAnsi="Garamond" w:cs="Arial"/>
          <w:sz w:val="24"/>
          <w:szCs w:val="24"/>
        </w:rPr>
        <w:t xml:space="preserve"> </w:t>
      </w:r>
      <w:r w:rsidRPr="003A1174">
        <w:rPr>
          <w:rFonts w:ascii="Garamond" w:hAnsi="Garamond" w:cs="Arial"/>
          <w:sz w:val="24"/>
          <w:szCs w:val="24"/>
        </w:rPr>
        <w:t xml:space="preserve">Europeia sobre </w:t>
      </w:r>
      <w:r w:rsidR="00A132B3" w:rsidRPr="003A1174">
        <w:rPr>
          <w:rFonts w:ascii="Garamond" w:hAnsi="Garamond" w:cs="Arial"/>
          <w:sz w:val="24"/>
          <w:szCs w:val="24"/>
        </w:rPr>
        <w:t xml:space="preserve">a </w:t>
      </w:r>
      <w:r w:rsidR="00EF645F" w:rsidRPr="003A1174">
        <w:rPr>
          <w:rFonts w:ascii="Garamond" w:hAnsi="Garamond" w:cs="Arial"/>
          <w:sz w:val="24"/>
          <w:szCs w:val="24"/>
        </w:rPr>
        <w:t>matéria</w:t>
      </w:r>
      <w:r w:rsidR="00A132B3" w:rsidRPr="003A1174">
        <w:rPr>
          <w:rFonts w:ascii="Garamond" w:hAnsi="Garamond" w:cs="Arial"/>
          <w:sz w:val="24"/>
          <w:szCs w:val="24"/>
        </w:rPr>
        <w:t>,</w:t>
      </w:r>
      <w:r w:rsidR="00620CE8" w:rsidRPr="003A1174">
        <w:rPr>
          <w:rFonts w:ascii="Garamond" w:hAnsi="Garamond" w:cs="Arial"/>
          <w:sz w:val="24"/>
          <w:szCs w:val="24"/>
        </w:rPr>
        <w:t xml:space="preserve"> afirmou </w:t>
      </w:r>
      <w:r w:rsidRPr="003A1174">
        <w:rPr>
          <w:rFonts w:ascii="Garamond" w:hAnsi="Garamond" w:cs="Arial"/>
          <w:sz w:val="24"/>
          <w:szCs w:val="24"/>
        </w:rPr>
        <w:t xml:space="preserve">que </w:t>
      </w:r>
      <w:r w:rsidR="00A132B3" w:rsidRPr="003A1174">
        <w:rPr>
          <w:rFonts w:ascii="Garamond" w:hAnsi="Garamond" w:cs="Arial"/>
          <w:sz w:val="24"/>
          <w:szCs w:val="24"/>
        </w:rPr>
        <w:t xml:space="preserve">as </w:t>
      </w:r>
      <w:r w:rsidRPr="003A1174">
        <w:rPr>
          <w:rFonts w:ascii="Garamond" w:hAnsi="Garamond" w:cs="Arial"/>
          <w:sz w:val="24"/>
          <w:szCs w:val="24"/>
        </w:rPr>
        <w:t>obrigações</w:t>
      </w:r>
      <w:r w:rsidR="00A132B3" w:rsidRPr="003A1174">
        <w:rPr>
          <w:rFonts w:ascii="Garamond" w:hAnsi="Garamond" w:cs="Arial"/>
          <w:sz w:val="24"/>
          <w:szCs w:val="24"/>
        </w:rPr>
        <w:t xml:space="preserve"> </w:t>
      </w:r>
      <w:r w:rsidRPr="003A1174">
        <w:rPr>
          <w:rFonts w:ascii="Garamond" w:hAnsi="Garamond" w:cs="Arial"/>
          <w:sz w:val="24"/>
          <w:szCs w:val="24"/>
        </w:rPr>
        <w:t>essenciais</w:t>
      </w:r>
      <w:r w:rsidR="00A132B3" w:rsidRPr="003A1174">
        <w:rPr>
          <w:rFonts w:ascii="Garamond" w:hAnsi="Garamond" w:cs="Arial"/>
          <w:sz w:val="24"/>
          <w:szCs w:val="24"/>
        </w:rPr>
        <w:t xml:space="preserve"> </w:t>
      </w:r>
      <w:r w:rsidR="00B14AA6" w:rsidRPr="003A1174">
        <w:rPr>
          <w:rFonts w:ascii="Garamond" w:hAnsi="Garamond" w:cs="Arial"/>
          <w:sz w:val="24"/>
          <w:szCs w:val="24"/>
        </w:rPr>
        <w:t>contidas</w:t>
      </w:r>
      <w:r w:rsidRPr="003A1174">
        <w:rPr>
          <w:rFonts w:ascii="Garamond" w:hAnsi="Garamond" w:cs="Arial"/>
          <w:sz w:val="24"/>
          <w:szCs w:val="24"/>
        </w:rPr>
        <w:t xml:space="preserve"> </w:t>
      </w:r>
      <w:r w:rsidR="00A132B3" w:rsidRPr="003A1174">
        <w:rPr>
          <w:rFonts w:ascii="Garamond" w:hAnsi="Garamond" w:cs="Arial"/>
          <w:sz w:val="24"/>
          <w:szCs w:val="24"/>
        </w:rPr>
        <w:t xml:space="preserve">nos TIDHs </w:t>
      </w:r>
      <w:r w:rsidRPr="003A1174">
        <w:rPr>
          <w:rFonts w:ascii="Garamond" w:hAnsi="Garamond" w:cs="Arial"/>
          <w:sz w:val="24"/>
          <w:szCs w:val="24"/>
        </w:rPr>
        <w:t xml:space="preserve">foram concebidas </w:t>
      </w:r>
      <w:r w:rsidRPr="003A1174">
        <w:rPr>
          <w:rFonts w:ascii="Garamond" w:eastAsia="Calibri" w:hAnsi="Garamond" w:cs="Arial"/>
          <w:sz w:val="24"/>
          <w:szCs w:val="24"/>
        </w:rPr>
        <w:t xml:space="preserve">para proteger </w:t>
      </w:r>
      <w:r w:rsidR="00A132B3" w:rsidRPr="003A1174">
        <w:rPr>
          <w:rFonts w:ascii="Garamond" w:eastAsia="Calibri" w:hAnsi="Garamond" w:cs="Arial"/>
          <w:sz w:val="24"/>
          <w:szCs w:val="24"/>
        </w:rPr>
        <w:t xml:space="preserve">os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 xml:space="preserve">s </w:t>
      </w:r>
      <w:r w:rsidR="00CA633E" w:rsidRPr="003A1174">
        <w:rPr>
          <w:rFonts w:ascii="Garamond" w:eastAsia="Calibri" w:hAnsi="Garamond" w:cs="Arial"/>
          <w:sz w:val="24"/>
          <w:szCs w:val="24"/>
        </w:rPr>
        <w:t>fundamentais</w:t>
      </w:r>
      <w:r w:rsidR="00A132B3" w:rsidRPr="003A1174">
        <w:rPr>
          <w:rFonts w:ascii="Garamond" w:eastAsia="Calibri" w:hAnsi="Garamond" w:cs="Arial"/>
          <w:sz w:val="24"/>
          <w:szCs w:val="24"/>
        </w:rPr>
        <w:t xml:space="preserve"> </w:t>
      </w:r>
      <w:r w:rsidR="00A132B3" w:rsidRPr="003A1174">
        <w:rPr>
          <w:rFonts w:ascii="Garamond" w:eastAsia="Calibri" w:hAnsi="Garamond" w:cs="Arial"/>
          <w:i/>
          <w:sz w:val="24"/>
          <w:szCs w:val="24"/>
        </w:rPr>
        <w:t>dos seres humanos</w:t>
      </w:r>
      <w:r w:rsidR="00A132B3" w:rsidRPr="003A1174">
        <w:rPr>
          <w:rFonts w:ascii="Garamond" w:eastAsia="Calibri" w:hAnsi="Garamond" w:cs="Arial"/>
          <w:sz w:val="24"/>
          <w:szCs w:val="24"/>
        </w:rPr>
        <w:t xml:space="preserve"> re</w:t>
      </w:r>
      <w:r w:rsidRPr="003A1174">
        <w:rPr>
          <w:rFonts w:ascii="Garamond" w:eastAsia="Calibri" w:hAnsi="Garamond" w:cs="Arial"/>
          <w:sz w:val="24"/>
          <w:szCs w:val="24"/>
        </w:rPr>
        <w:t>lativamente às violações</w:t>
      </w:r>
      <w:r w:rsidR="00A132B3" w:rsidRPr="003A1174">
        <w:rPr>
          <w:rFonts w:ascii="Garamond" w:eastAsia="Calibri" w:hAnsi="Garamond" w:cs="Arial"/>
          <w:sz w:val="24"/>
          <w:szCs w:val="24"/>
        </w:rPr>
        <w:t xml:space="preserve"> ocasionadas p</w:t>
      </w:r>
      <w:r w:rsidRPr="003A1174">
        <w:rPr>
          <w:rFonts w:ascii="Garamond" w:eastAsia="Calibri" w:hAnsi="Garamond" w:cs="Arial"/>
          <w:sz w:val="24"/>
          <w:szCs w:val="24"/>
        </w:rPr>
        <w:t>e</w:t>
      </w:r>
      <w:r w:rsidR="00A132B3" w:rsidRPr="003A1174">
        <w:rPr>
          <w:rFonts w:ascii="Garamond" w:eastAsia="Calibri" w:hAnsi="Garamond" w:cs="Arial"/>
          <w:sz w:val="24"/>
          <w:szCs w:val="24"/>
        </w:rPr>
        <w:t xml:space="preserve">los Estados. </w:t>
      </w:r>
      <w:r w:rsidR="00CB5DB2" w:rsidRPr="003A1174">
        <w:rPr>
          <w:rFonts w:ascii="Garamond" w:eastAsia="Calibri" w:hAnsi="Garamond" w:cs="Arial"/>
          <w:sz w:val="24"/>
          <w:szCs w:val="24"/>
        </w:rPr>
        <w:t>Uma postura s</w:t>
      </w:r>
      <w:r w:rsidR="00A132B3" w:rsidRPr="003A1174">
        <w:rPr>
          <w:rFonts w:ascii="Garamond" w:eastAsia="Calibri" w:hAnsi="Garamond" w:cs="Arial"/>
          <w:sz w:val="24"/>
          <w:szCs w:val="24"/>
        </w:rPr>
        <w:t xml:space="preserve">imilar </w:t>
      </w:r>
      <w:r w:rsidR="00CB5DB2" w:rsidRPr="003A1174">
        <w:rPr>
          <w:rFonts w:ascii="Garamond" w:eastAsia="Calibri" w:hAnsi="Garamond" w:cs="Arial"/>
          <w:sz w:val="24"/>
          <w:szCs w:val="24"/>
        </w:rPr>
        <w:t xml:space="preserve">assumiu </w:t>
      </w:r>
      <w:r w:rsidR="00EB3427">
        <w:rPr>
          <w:rFonts w:ascii="Garamond" w:eastAsia="Calibri" w:hAnsi="Garamond" w:cs="Arial"/>
          <w:sz w:val="24"/>
          <w:szCs w:val="24"/>
        </w:rPr>
        <w:t>o</w:t>
      </w:r>
      <w:r w:rsidR="00CB5DB2" w:rsidRPr="003A1174">
        <w:rPr>
          <w:rFonts w:ascii="Garamond" w:eastAsia="Calibri" w:hAnsi="Garamond" w:cs="Arial"/>
          <w:sz w:val="24"/>
          <w:szCs w:val="24"/>
        </w:rPr>
        <w:t xml:space="preserve"> </w:t>
      </w:r>
      <w:r w:rsidR="00EB3427">
        <w:rPr>
          <w:rFonts w:ascii="Garamond" w:eastAsia="Calibri" w:hAnsi="Garamond" w:cs="Arial"/>
          <w:sz w:val="24"/>
          <w:szCs w:val="24"/>
        </w:rPr>
        <w:t>Tribunal</w:t>
      </w:r>
      <w:r w:rsidR="00A132B3" w:rsidRPr="003A1174">
        <w:rPr>
          <w:rFonts w:ascii="Garamond" w:eastAsia="Calibri" w:hAnsi="Garamond" w:cs="Arial"/>
          <w:sz w:val="24"/>
          <w:szCs w:val="24"/>
        </w:rPr>
        <w:t xml:space="preserve"> Internacional de </w:t>
      </w:r>
      <w:r w:rsidR="00FC1F7F" w:rsidRPr="003A1174">
        <w:rPr>
          <w:rFonts w:ascii="Garamond" w:eastAsia="Calibri" w:hAnsi="Garamond" w:cs="Arial"/>
          <w:sz w:val="24"/>
          <w:szCs w:val="24"/>
        </w:rPr>
        <w:t>Justiça</w:t>
      </w:r>
      <w:r w:rsidR="00CB5DB2" w:rsidRPr="003A1174">
        <w:rPr>
          <w:rFonts w:ascii="Garamond" w:eastAsia="Calibri" w:hAnsi="Garamond" w:cs="Arial"/>
          <w:sz w:val="24"/>
          <w:szCs w:val="24"/>
        </w:rPr>
        <w:t xml:space="preserve"> d</w:t>
      </w:r>
      <w:r w:rsidR="00A132B3" w:rsidRPr="003A1174">
        <w:rPr>
          <w:rFonts w:ascii="Garamond" w:eastAsia="Calibri" w:hAnsi="Garamond" w:cs="Arial"/>
          <w:sz w:val="24"/>
          <w:szCs w:val="24"/>
        </w:rPr>
        <w:t xml:space="preserve">as </w:t>
      </w:r>
      <w:r w:rsidR="003F012B" w:rsidRPr="003A1174">
        <w:rPr>
          <w:rFonts w:ascii="Garamond" w:eastAsia="Calibri" w:hAnsi="Garamond" w:cs="Arial"/>
          <w:sz w:val="24"/>
          <w:szCs w:val="24"/>
        </w:rPr>
        <w:t>Nações</w:t>
      </w:r>
      <w:r w:rsidR="00A132B3" w:rsidRPr="003A1174">
        <w:rPr>
          <w:rFonts w:ascii="Garamond" w:eastAsia="Calibri" w:hAnsi="Garamond" w:cs="Arial"/>
          <w:sz w:val="24"/>
          <w:szCs w:val="24"/>
        </w:rPr>
        <w:t xml:space="preserve"> Unida</w:t>
      </w:r>
      <w:r w:rsidR="00CB5DB2" w:rsidRPr="003A1174">
        <w:rPr>
          <w:rFonts w:ascii="Garamond" w:eastAsia="Calibri" w:hAnsi="Garamond" w:cs="Arial"/>
          <w:sz w:val="24"/>
          <w:szCs w:val="24"/>
        </w:rPr>
        <w:t>s</w:t>
      </w:r>
      <w:r w:rsidR="004F1BD4" w:rsidRPr="003A1174">
        <w:rPr>
          <w:rFonts w:ascii="Garamond" w:eastAsia="Calibri" w:hAnsi="Garamond" w:cs="Arial"/>
          <w:sz w:val="24"/>
          <w:szCs w:val="24"/>
        </w:rPr>
        <w:t>.</w:t>
      </w:r>
      <w:r w:rsidR="00B615DA" w:rsidRPr="003A1174">
        <w:rPr>
          <w:rStyle w:val="Refdenotaalpie"/>
          <w:rFonts w:ascii="Garamond" w:hAnsi="Garamond" w:cs="Arial"/>
          <w:b/>
          <w:sz w:val="24"/>
          <w:szCs w:val="24"/>
        </w:rPr>
        <w:footnoteReference w:id="3"/>
      </w:r>
      <w:r w:rsidR="00A132B3" w:rsidRPr="003A1174">
        <w:rPr>
          <w:rFonts w:ascii="Garamond" w:eastAsia="Calibri" w:hAnsi="Garamond" w:cs="Arial"/>
          <w:sz w:val="24"/>
          <w:szCs w:val="24"/>
        </w:rPr>
        <w:t xml:space="preserve"> </w:t>
      </w:r>
      <w:r w:rsidR="00FC7031" w:rsidRPr="003A1174">
        <w:rPr>
          <w:rFonts w:ascii="Garamond" w:eastAsia="Calibri" w:hAnsi="Garamond" w:cs="Arial"/>
          <w:sz w:val="24"/>
          <w:szCs w:val="24"/>
        </w:rPr>
        <w:t xml:space="preserve">E </w:t>
      </w:r>
      <w:r w:rsidR="00CB5DB2" w:rsidRPr="003A1174">
        <w:rPr>
          <w:rFonts w:ascii="Garamond" w:eastAsia="Calibri" w:hAnsi="Garamond" w:cs="Arial"/>
          <w:sz w:val="24"/>
          <w:szCs w:val="24"/>
        </w:rPr>
        <w:t>o mesmo critério</w:t>
      </w:r>
      <w:r w:rsidR="00A132B3" w:rsidRPr="003A1174">
        <w:rPr>
          <w:rFonts w:ascii="Garamond" w:eastAsia="Calibri" w:hAnsi="Garamond" w:cs="Arial"/>
          <w:sz w:val="24"/>
          <w:szCs w:val="24"/>
        </w:rPr>
        <w:t xml:space="preserve"> </w:t>
      </w:r>
      <w:r w:rsidR="00CB5DB2" w:rsidRPr="003A1174">
        <w:rPr>
          <w:rFonts w:ascii="Garamond" w:eastAsia="Calibri" w:hAnsi="Garamond" w:cs="Arial"/>
          <w:sz w:val="24"/>
          <w:szCs w:val="24"/>
        </w:rPr>
        <w:t xml:space="preserve">é partilhado pela </w:t>
      </w:r>
      <w:r w:rsidR="00B14AA6" w:rsidRPr="003A1174">
        <w:rPr>
          <w:rFonts w:ascii="Garamond" w:eastAsia="Calibri" w:hAnsi="Garamond" w:cs="Arial"/>
          <w:sz w:val="24"/>
          <w:szCs w:val="24"/>
        </w:rPr>
        <w:t>Convenção</w:t>
      </w:r>
      <w:r w:rsidR="00A132B3" w:rsidRPr="003A1174">
        <w:rPr>
          <w:rFonts w:ascii="Garamond" w:eastAsia="Calibri" w:hAnsi="Garamond" w:cs="Arial"/>
          <w:sz w:val="24"/>
          <w:szCs w:val="24"/>
        </w:rPr>
        <w:t xml:space="preserve"> Americana de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s Humanos (</w:t>
      </w:r>
      <w:r w:rsidR="00B14AA6" w:rsidRPr="003A1174">
        <w:rPr>
          <w:rFonts w:ascii="Garamond" w:eastAsia="Calibri" w:hAnsi="Garamond" w:cs="Arial"/>
          <w:sz w:val="24"/>
          <w:szCs w:val="24"/>
        </w:rPr>
        <w:t>Convenção</w:t>
      </w:r>
      <w:r w:rsidR="00D267AE" w:rsidRPr="003A1174">
        <w:rPr>
          <w:rFonts w:ascii="Garamond" w:eastAsia="Calibri" w:hAnsi="Garamond" w:cs="Arial"/>
          <w:sz w:val="24"/>
          <w:szCs w:val="24"/>
        </w:rPr>
        <w:t xml:space="preserve"> Americana/</w:t>
      </w:r>
      <w:r w:rsidR="00A132B3" w:rsidRPr="003A1174">
        <w:rPr>
          <w:rFonts w:ascii="Garamond" w:eastAsia="Calibri" w:hAnsi="Garamond" w:cs="Arial"/>
          <w:sz w:val="24"/>
          <w:szCs w:val="24"/>
        </w:rPr>
        <w:t xml:space="preserve">CADH) </w:t>
      </w:r>
      <w:r w:rsidR="00863197" w:rsidRPr="003A1174">
        <w:rPr>
          <w:rFonts w:ascii="Garamond" w:eastAsia="Calibri" w:hAnsi="Garamond" w:cs="Arial"/>
          <w:sz w:val="24"/>
          <w:szCs w:val="24"/>
        </w:rPr>
        <w:t>quando</w:t>
      </w:r>
      <w:r w:rsidR="00A132B3" w:rsidRPr="003A1174">
        <w:rPr>
          <w:rFonts w:ascii="Garamond" w:eastAsia="Calibri" w:hAnsi="Garamond" w:cs="Arial"/>
          <w:sz w:val="24"/>
          <w:szCs w:val="24"/>
        </w:rPr>
        <w:t>, a</w:t>
      </w:r>
      <w:r w:rsidR="00CB5DB2" w:rsidRPr="003A1174">
        <w:rPr>
          <w:rFonts w:ascii="Garamond" w:eastAsia="Calibri" w:hAnsi="Garamond" w:cs="Arial"/>
          <w:sz w:val="24"/>
          <w:szCs w:val="24"/>
        </w:rPr>
        <w:t xml:space="preserve">inda empregando o vocábulo </w:t>
      </w:r>
      <w:r w:rsidR="00CB5DB2" w:rsidRPr="003A1174">
        <w:rPr>
          <w:rFonts w:ascii="Garamond" w:eastAsia="Calibri" w:hAnsi="Garamond" w:cs="Arial"/>
          <w:i/>
          <w:sz w:val="24"/>
          <w:szCs w:val="24"/>
        </w:rPr>
        <w:t>homem</w:t>
      </w:r>
      <w:r w:rsidR="00CB5DB2" w:rsidRPr="003A1174">
        <w:rPr>
          <w:rFonts w:ascii="Garamond" w:eastAsia="Calibri" w:hAnsi="Garamond" w:cs="Arial"/>
          <w:sz w:val="24"/>
          <w:szCs w:val="24"/>
        </w:rPr>
        <w:t xml:space="preserve">, </w:t>
      </w:r>
      <w:r w:rsidR="00A065F8" w:rsidRPr="003A1174">
        <w:rPr>
          <w:rFonts w:ascii="Garamond" w:eastAsia="Calibri" w:hAnsi="Garamond" w:cs="Arial"/>
          <w:sz w:val="24"/>
          <w:szCs w:val="24"/>
        </w:rPr>
        <w:t xml:space="preserve">torna clara a </w:t>
      </w:r>
      <w:r w:rsidR="00CB5DB2" w:rsidRPr="003A1174">
        <w:rPr>
          <w:rFonts w:ascii="Garamond" w:eastAsia="Calibri" w:hAnsi="Garamond" w:cs="Arial"/>
          <w:sz w:val="24"/>
          <w:szCs w:val="24"/>
        </w:rPr>
        <w:t xml:space="preserve">referência a todas </w:t>
      </w:r>
      <w:r w:rsidR="00A132B3" w:rsidRPr="003A1174">
        <w:rPr>
          <w:rFonts w:ascii="Garamond" w:eastAsia="Calibri" w:hAnsi="Garamond" w:cs="Arial"/>
          <w:sz w:val="24"/>
          <w:szCs w:val="24"/>
        </w:rPr>
        <w:t xml:space="preserve">as </w:t>
      </w:r>
      <w:r w:rsidR="006C760C" w:rsidRPr="003A1174">
        <w:rPr>
          <w:rFonts w:ascii="Garamond" w:eastAsia="Calibri" w:hAnsi="Garamond" w:cs="Arial"/>
          <w:sz w:val="24"/>
          <w:szCs w:val="24"/>
        </w:rPr>
        <w:t>pessoas</w:t>
      </w:r>
      <w:r w:rsidR="00A132B3" w:rsidRPr="003A1174">
        <w:rPr>
          <w:rFonts w:ascii="Garamond" w:eastAsia="Calibri" w:hAnsi="Garamond" w:cs="Arial"/>
          <w:sz w:val="24"/>
          <w:szCs w:val="24"/>
        </w:rPr>
        <w:t xml:space="preserve"> humanas </w:t>
      </w:r>
      <w:r w:rsidR="00CB5DB2" w:rsidRPr="003A1174">
        <w:rPr>
          <w:rFonts w:ascii="Garamond" w:eastAsia="Calibri" w:hAnsi="Garamond" w:cs="Arial"/>
          <w:sz w:val="24"/>
          <w:szCs w:val="24"/>
        </w:rPr>
        <w:t xml:space="preserve">no </w:t>
      </w:r>
      <w:r w:rsidR="00276DCA" w:rsidRPr="003A1174">
        <w:rPr>
          <w:rFonts w:ascii="Garamond" w:eastAsia="Calibri" w:hAnsi="Garamond" w:cs="Arial"/>
          <w:sz w:val="24"/>
          <w:szCs w:val="24"/>
        </w:rPr>
        <w:t>primeiro</w:t>
      </w:r>
      <w:r w:rsidR="00A132B3" w:rsidRPr="003A1174">
        <w:rPr>
          <w:rFonts w:ascii="Garamond" w:eastAsia="Calibri" w:hAnsi="Garamond" w:cs="Arial"/>
          <w:sz w:val="24"/>
          <w:szCs w:val="24"/>
        </w:rPr>
        <w:t xml:space="preserve"> </w:t>
      </w:r>
      <w:r w:rsidR="002E7FD5" w:rsidRPr="003A1174">
        <w:rPr>
          <w:rFonts w:ascii="Garamond" w:eastAsia="Calibri" w:hAnsi="Garamond" w:cs="Arial"/>
          <w:sz w:val="24"/>
          <w:szCs w:val="24"/>
        </w:rPr>
        <w:t>parágrafo</w:t>
      </w:r>
      <w:r w:rsidR="00A132B3" w:rsidRPr="003A1174">
        <w:rPr>
          <w:rFonts w:ascii="Garamond" w:eastAsia="Calibri" w:hAnsi="Garamond" w:cs="Arial"/>
          <w:sz w:val="24"/>
          <w:szCs w:val="24"/>
        </w:rPr>
        <w:t xml:space="preserve"> d</w:t>
      </w:r>
      <w:r w:rsidR="00CB5DB2" w:rsidRPr="003A1174">
        <w:rPr>
          <w:rFonts w:ascii="Garamond" w:eastAsia="Calibri" w:hAnsi="Garamond" w:cs="Arial"/>
          <w:sz w:val="24"/>
          <w:szCs w:val="24"/>
        </w:rPr>
        <w:t xml:space="preserve">o seu </w:t>
      </w:r>
      <w:r w:rsidR="00A132B3" w:rsidRPr="003A1174">
        <w:rPr>
          <w:rFonts w:ascii="Garamond" w:eastAsia="Calibri" w:hAnsi="Garamond" w:cs="Arial"/>
          <w:sz w:val="24"/>
          <w:szCs w:val="24"/>
        </w:rPr>
        <w:lastRenderedPageBreak/>
        <w:t>pre</w:t>
      </w:r>
      <w:r w:rsidR="00CB5DB2" w:rsidRPr="003A1174">
        <w:rPr>
          <w:rFonts w:ascii="Garamond" w:eastAsia="Calibri" w:hAnsi="Garamond" w:cs="Arial"/>
          <w:sz w:val="24"/>
          <w:szCs w:val="24"/>
        </w:rPr>
        <w:t>âm</w:t>
      </w:r>
      <w:r w:rsidR="00A132B3" w:rsidRPr="003A1174">
        <w:rPr>
          <w:rFonts w:ascii="Garamond" w:eastAsia="Calibri" w:hAnsi="Garamond" w:cs="Arial"/>
          <w:sz w:val="24"/>
          <w:szCs w:val="24"/>
        </w:rPr>
        <w:t xml:space="preserve">bulo, reafirmando </w:t>
      </w:r>
      <w:r w:rsidR="00CB5DB2" w:rsidRPr="003A1174">
        <w:rPr>
          <w:rFonts w:ascii="Garamond" w:eastAsia="Calibri" w:hAnsi="Garamond" w:cs="Arial"/>
          <w:sz w:val="24"/>
          <w:szCs w:val="24"/>
        </w:rPr>
        <w:t xml:space="preserve">o </w:t>
      </w:r>
      <w:r w:rsidR="00A132B3" w:rsidRPr="003A1174">
        <w:rPr>
          <w:rFonts w:ascii="Garamond" w:eastAsia="Calibri" w:hAnsi="Garamond" w:cs="Arial"/>
          <w:sz w:val="24"/>
          <w:szCs w:val="24"/>
        </w:rPr>
        <w:t>propósito de consolidar u</w:t>
      </w:r>
      <w:r w:rsidR="00CB5DB2" w:rsidRPr="003A1174">
        <w:rPr>
          <w:rFonts w:ascii="Garamond" w:eastAsia="Calibri" w:hAnsi="Garamond" w:cs="Arial"/>
          <w:sz w:val="24"/>
          <w:szCs w:val="24"/>
        </w:rPr>
        <w:t>m regim</w:t>
      </w:r>
      <w:r w:rsidR="00A065F8" w:rsidRPr="003A1174">
        <w:rPr>
          <w:rFonts w:ascii="Garamond" w:eastAsia="Calibri" w:hAnsi="Garamond" w:cs="Arial"/>
          <w:sz w:val="24"/>
          <w:szCs w:val="24"/>
        </w:rPr>
        <w:t>e</w:t>
      </w:r>
      <w:r w:rsidR="00A132B3" w:rsidRPr="003A1174">
        <w:rPr>
          <w:rFonts w:ascii="Garamond" w:eastAsia="Calibri" w:hAnsi="Garamond" w:cs="Arial"/>
          <w:sz w:val="24"/>
          <w:szCs w:val="24"/>
        </w:rPr>
        <w:t xml:space="preserve"> fundado </w:t>
      </w:r>
      <w:r w:rsidR="00CB5DB2" w:rsidRPr="003A1174">
        <w:rPr>
          <w:rFonts w:ascii="Garamond" w:eastAsia="Calibri" w:hAnsi="Garamond" w:cs="Arial"/>
          <w:sz w:val="24"/>
          <w:szCs w:val="24"/>
        </w:rPr>
        <w:t xml:space="preserve">no </w:t>
      </w:r>
      <w:r w:rsidR="00A132B3" w:rsidRPr="003A1174">
        <w:rPr>
          <w:rFonts w:ascii="Garamond" w:eastAsia="Calibri" w:hAnsi="Garamond" w:cs="Arial"/>
          <w:sz w:val="24"/>
          <w:szCs w:val="24"/>
        </w:rPr>
        <w:t>respe</w:t>
      </w:r>
      <w:r w:rsidR="00CB5DB2" w:rsidRPr="003A1174">
        <w:rPr>
          <w:rFonts w:ascii="Garamond" w:eastAsia="Calibri" w:hAnsi="Garamond" w:cs="Arial"/>
          <w:sz w:val="24"/>
          <w:szCs w:val="24"/>
        </w:rPr>
        <w:t>i</w:t>
      </w:r>
      <w:r w:rsidR="00A132B3" w:rsidRPr="003A1174">
        <w:rPr>
          <w:rFonts w:ascii="Garamond" w:eastAsia="Calibri" w:hAnsi="Garamond" w:cs="Arial"/>
          <w:sz w:val="24"/>
          <w:szCs w:val="24"/>
        </w:rPr>
        <w:t xml:space="preserve">to </w:t>
      </w:r>
      <w:r w:rsidR="00CB5DB2" w:rsidRPr="003A1174">
        <w:rPr>
          <w:rFonts w:ascii="Garamond" w:eastAsia="Calibri" w:hAnsi="Garamond" w:cs="Arial"/>
          <w:sz w:val="24"/>
          <w:szCs w:val="24"/>
        </w:rPr>
        <w:t xml:space="preserve">pelos </w:t>
      </w:r>
      <w:r w:rsidR="00A132B3" w:rsidRPr="003A1174">
        <w:rPr>
          <w:rFonts w:ascii="Garamond" w:eastAsia="Calibri" w:hAnsi="Garamond" w:cs="Arial"/>
          <w:sz w:val="24"/>
          <w:szCs w:val="24"/>
        </w:rPr>
        <w:t>s</w:t>
      </w:r>
      <w:r w:rsidR="00CB5DB2" w:rsidRPr="003A1174">
        <w:rPr>
          <w:rFonts w:ascii="Garamond" w:eastAsia="Calibri" w:hAnsi="Garamond" w:cs="Arial"/>
          <w:sz w:val="24"/>
          <w:szCs w:val="24"/>
        </w:rPr>
        <w:t>e</w:t>
      </w:r>
      <w:r w:rsidR="00A132B3" w:rsidRPr="003A1174">
        <w:rPr>
          <w:rFonts w:ascii="Garamond" w:eastAsia="Calibri" w:hAnsi="Garamond" w:cs="Arial"/>
          <w:sz w:val="24"/>
          <w:szCs w:val="24"/>
        </w:rPr>
        <w:t xml:space="preserve">us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 xml:space="preserve">s </w:t>
      </w:r>
      <w:r w:rsidRPr="003A1174">
        <w:rPr>
          <w:rFonts w:ascii="Garamond" w:eastAsia="Calibri" w:hAnsi="Garamond" w:cs="Arial"/>
          <w:sz w:val="24"/>
          <w:szCs w:val="24"/>
        </w:rPr>
        <w:t>essenciais</w:t>
      </w:r>
      <w:r w:rsidR="009072F1" w:rsidRPr="003A1174">
        <w:rPr>
          <w:rFonts w:ascii="Garamond" w:eastAsia="Calibri" w:hAnsi="Garamond" w:cs="Arial"/>
          <w:sz w:val="24"/>
          <w:szCs w:val="24"/>
        </w:rPr>
        <w:t>.</w:t>
      </w:r>
    </w:p>
    <w:p w:rsidR="00A132B3" w:rsidRPr="003A1174" w:rsidRDefault="007407BD" w:rsidP="008719D4">
      <w:pPr>
        <w:spacing w:line="240" w:lineRule="auto"/>
        <w:jc w:val="both"/>
        <w:rPr>
          <w:rFonts w:ascii="Garamond" w:eastAsia="Calibri" w:hAnsi="Garamond" w:cs="Arial"/>
          <w:sz w:val="24"/>
          <w:szCs w:val="24"/>
        </w:rPr>
      </w:pPr>
      <w:r w:rsidRPr="003A1174">
        <w:rPr>
          <w:rFonts w:ascii="Garamond" w:eastAsia="Calibri" w:hAnsi="Garamond" w:cs="Arial"/>
          <w:sz w:val="24"/>
          <w:szCs w:val="24"/>
        </w:rPr>
        <w:t>Estes</w:t>
      </w:r>
      <w:r w:rsidR="00A132B3" w:rsidRPr="003A1174">
        <w:rPr>
          <w:rFonts w:ascii="Garamond" w:eastAsia="Calibri" w:hAnsi="Garamond" w:cs="Arial"/>
          <w:sz w:val="24"/>
          <w:szCs w:val="24"/>
        </w:rPr>
        <w:t xml:space="preserve"> elementos </w:t>
      </w:r>
      <w:r w:rsidRPr="003A1174">
        <w:rPr>
          <w:rFonts w:ascii="Garamond" w:eastAsia="Calibri" w:hAnsi="Garamond" w:cs="Arial"/>
          <w:sz w:val="24"/>
          <w:szCs w:val="24"/>
        </w:rPr>
        <w:t xml:space="preserve">são </w:t>
      </w:r>
      <w:r w:rsidR="00A132B3" w:rsidRPr="003A1174">
        <w:rPr>
          <w:rFonts w:ascii="Garamond" w:eastAsia="Calibri" w:hAnsi="Garamond" w:cs="Arial"/>
          <w:sz w:val="24"/>
          <w:szCs w:val="24"/>
        </w:rPr>
        <w:t xml:space="preserve">de especial </w:t>
      </w:r>
      <w:r w:rsidR="005D38DC" w:rsidRPr="003A1174">
        <w:rPr>
          <w:rFonts w:ascii="Garamond" w:eastAsia="Calibri" w:hAnsi="Garamond" w:cs="Arial"/>
          <w:sz w:val="24"/>
          <w:szCs w:val="24"/>
        </w:rPr>
        <w:t>importância</w:t>
      </w:r>
      <w:r w:rsidR="00A132B3" w:rsidRPr="003A1174">
        <w:rPr>
          <w:rFonts w:ascii="Garamond" w:eastAsia="Calibri" w:hAnsi="Garamond" w:cs="Arial"/>
          <w:sz w:val="24"/>
          <w:szCs w:val="24"/>
        </w:rPr>
        <w:t xml:space="preserve">, </w:t>
      </w:r>
      <w:r w:rsidRPr="003A1174">
        <w:rPr>
          <w:rFonts w:ascii="Garamond" w:eastAsia="Calibri" w:hAnsi="Garamond" w:cs="Arial"/>
          <w:sz w:val="24"/>
          <w:szCs w:val="24"/>
        </w:rPr>
        <w:t xml:space="preserve">uma vez que em </w:t>
      </w:r>
      <w:r w:rsidR="00EF645F" w:rsidRPr="003A1174">
        <w:rPr>
          <w:rFonts w:ascii="Garamond" w:eastAsia="Calibri" w:hAnsi="Garamond" w:cs="Arial"/>
          <w:sz w:val="24"/>
          <w:szCs w:val="24"/>
        </w:rPr>
        <w:t>matéria</w:t>
      </w:r>
      <w:r w:rsidR="00A132B3" w:rsidRPr="003A1174">
        <w:rPr>
          <w:rFonts w:ascii="Garamond" w:eastAsia="Calibri" w:hAnsi="Garamond" w:cs="Arial"/>
          <w:sz w:val="24"/>
          <w:szCs w:val="24"/>
        </w:rPr>
        <w:t xml:space="preserve"> dos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 xml:space="preserve">s humanos internacionalmente </w:t>
      </w:r>
      <w:r w:rsidRPr="003A1174">
        <w:rPr>
          <w:rFonts w:ascii="Garamond" w:eastAsia="Calibri" w:hAnsi="Garamond" w:cs="Arial"/>
          <w:sz w:val="24"/>
          <w:szCs w:val="24"/>
        </w:rPr>
        <w:t>reconhecidos</w:t>
      </w:r>
      <w:r w:rsidR="00A132B3" w:rsidRPr="003A1174">
        <w:rPr>
          <w:rFonts w:ascii="Garamond" w:eastAsia="Calibri" w:hAnsi="Garamond" w:cs="Arial"/>
          <w:sz w:val="24"/>
          <w:szCs w:val="24"/>
        </w:rPr>
        <w:t xml:space="preserve"> n</w:t>
      </w:r>
      <w:r w:rsidRPr="003A1174">
        <w:rPr>
          <w:rFonts w:ascii="Garamond" w:eastAsia="Calibri" w:hAnsi="Garamond" w:cs="Arial"/>
          <w:sz w:val="24"/>
          <w:szCs w:val="24"/>
        </w:rPr>
        <w:t>ã</w:t>
      </w:r>
      <w:r w:rsidR="00A132B3" w:rsidRPr="003A1174">
        <w:rPr>
          <w:rFonts w:ascii="Garamond" w:eastAsia="Calibri" w:hAnsi="Garamond" w:cs="Arial"/>
          <w:sz w:val="24"/>
          <w:szCs w:val="24"/>
        </w:rPr>
        <w:t xml:space="preserve">o </w:t>
      </w:r>
      <w:r w:rsidRPr="003A1174">
        <w:rPr>
          <w:rFonts w:ascii="Garamond" w:eastAsia="Calibri" w:hAnsi="Garamond" w:cs="Arial"/>
          <w:sz w:val="24"/>
          <w:szCs w:val="24"/>
        </w:rPr>
        <w:t>prevalecem</w:t>
      </w:r>
      <w:r w:rsidR="00FC7031" w:rsidRPr="003A1174">
        <w:rPr>
          <w:rFonts w:ascii="Garamond" w:eastAsia="Calibri" w:hAnsi="Garamond" w:cs="Arial"/>
          <w:sz w:val="24"/>
          <w:szCs w:val="24"/>
        </w:rPr>
        <w:t xml:space="preserve"> </w:t>
      </w:r>
      <w:r w:rsidR="00A132B3" w:rsidRPr="003A1174">
        <w:rPr>
          <w:rFonts w:ascii="Garamond" w:eastAsia="Calibri" w:hAnsi="Garamond" w:cs="Arial"/>
          <w:sz w:val="24"/>
          <w:szCs w:val="24"/>
        </w:rPr>
        <w:t>os intere</w:t>
      </w:r>
      <w:r w:rsidRPr="003A1174">
        <w:rPr>
          <w:rFonts w:ascii="Garamond" w:eastAsia="Calibri" w:hAnsi="Garamond" w:cs="Arial"/>
          <w:sz w:val="24"/>
          <w:szCs w:val="24"/>
        </w:rPr>
        <w:t>sses e</w:t>
      </w:r>
      <w:r w:rsidR="00A132B3" w:rsidRPr="003A1174">
        <w:rPr>
          <w:rFonts w:ascii="Garamond" w:eastAsia="Calibri" w:hAnsi="Garamond" w:cs="Arial"/>
          <w:sz w:val="24"/>
          <w:szCs w:val="24"/>
        </w:rPr>
        <w:t xml:space="preserve"> ob</w:t>
      </w:r>
      <w:r w:rsidRPr="003A1174">
        <w:rPr>
          <w:rFonts w:ascii="Garamond" w:eastAsia="Calibri" w:hAnsi="Garamond" w:cs="Arial"/>
          <w:sz w:val="24"/>
          <w:szCs w:val="24"/>
        </w:rPr>
        <w:t>jetivos estatai</w:t>
      </w:r>
      <w:r w:rsidR="00A132B3" w:rsidRPr="003A1174">
        <w:rPr>
          <w:rFonts w:ascii="Garamond" w:eastAsia="Calibri" w:hAnsi="Garamond" w:cs="Arial"/>
          <w:sz w:val="24"/>
          <w:szCs w:val="24"/>
        </w:rPr>
        <w:t>s</w:t>
      </w:r>
      <w:r w:rsidR="00FC7031" w:rsidRPr="003A1174">
        <w:rPr>
          <w:rFonts w:ascii="Garamond" w:eastAsia="Calibri" w:hAnsi="Garamond" w:cs="Arial"/>
          <w:sz w:val="24"/>
          <w:szCs w:val="24"/>
        </w:rPr>
        <w:t>,</w:t>
      </w:r>
      <w:r w:rsidR="00A132B3" w:rsidRPr="003A1174">
        <w:rPr>
          <w:rFonts w:ascii="Garamond" w:eastAsia="Calibri" w:hAnsi="Garamond" w:cs="Arial"/>
          <w:sz w:val="24"/>
          <w:szCs w:val="24"/>
        </w:rPr>
        <w:t xml:space="preserve"> </w:t>
      </w:r>
      <w:r w:rsidRPr="003A1174">
        <w:rPr>
          <w:rFonts w:ascii="Garamond" w:eastAsia="Calibri" w:hAnsi="Garamond" w:cs="Arial"/>
          <w:sz w:val="24"/>
          <w:szCs w:val="24"/>
        </w:rPr>
        <w:t xml:space="preserve">mas sim, acima de tudo </w:t>
      </w:r>
      <w:r w:rsidR="00A132B3" w:rsidRPr="003A1174">
        <w:rPr>
          <w:rFonts w:ascii="Garamond" w:eastAsia="Calibri" w:hAnsi="Garamond" w:cs="Arial"/>
          <w:sz w:val="24"/>
          <w:szCs w:val="24"/>
        </w:rPr>
        <w:t xml:space="preserve">a </w:t>
      </w:r>
      <w:r w:rsidR="00886D6A" w:rsidRPr="003A1174">
        <w:rPr>
          <w:rFonts w:ascii="Garamond" w:eastAsia="Calibri" w:hAnsi="Garamond" w:cs="Arial"/>
          <w:sz w:val="24"/>
          <w:szCs w:val="24"/>
        </w:rPr>
        <w:t>proteção</w:t>
      </w:r>
      <w:r w:rsidRPr="003A1174">
        <w:rPr>
          <w:rFonts w:ascii="Garamond" w:eastAsia="Calibri" w:hAnsi="Garamond" w:cs="Arial"/>
          <w:sz w:val="24"/>
          <w:szCs w:val="24"/>
        </w:rPr>
        <w:t xml:space="preserve"> d</w:t>
      </w:r>
      <w:r w:rsidR="00A132B3" w:rsidRPr="003A1174">
        <w:rPr>
          <w:rFonts w:ascii="Garamond" w:eastAsia="Calibri" w:hAnsi="Garamond" w:cs="Arial"/>
          <w:sz w:val="24"/>
          <w:szCs w:val="24"/>
        </w:rPr>
        <w:t xml:space="preserve">os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 xml:space="preserve">s das </w:t>
      </w:r>
      <w:r w:rsidR="006C760C" w:rsidRPr="003A1174">
        <w:rPr>
          <w:rFonts w:ascii="Garamond" w:eastAsia="Calibri" w:hAnsi="Garamond" w:cs="Arial"/>
          <w:sz w:val="24"/>
          <w:szCs w:val="24"/>
        </w:rPr>
        <w:t>pessoas</w:t>
      </w:r>
      <w:r w:rsidR="00A132B3" w:rsidRPr="003A1174">
        <w:rPr>
          <w:rFonts w:ascii="Garamond" w:eastAsia="Calibri" w:hAnsi="Garamond" w:cs="Arial"/>
          <w:sz w:val="24"/>
          <w:szCs w:val="24"/>
        </w:rPr>
        <w:t>. D</w:t>
      </w:r>
      <w:r w:rsidRPr="003A1174">
        <w:rPr>
          <w:rFonts w:ascii="Garamond" w:eastAsia="Calibri" w:hAnsi="Garamond" w:cs="Arial"/>
          <w:sz w:val="24"/>
          <w:szCs w:val="24"/>
        </w:rPr>
        <w:t xml:space="preserve">aí que </w:t>
      </w:r>
      <w:r w:rsidR="00A132B3" w:rsidRPr="003A1174">
        <w:rPr>
          <w:rFonts w:ascii="Garamond" w:eastAsia="Calibri" w:hAnsi="Garamond" w:cs="Arial"/>
          <w:sz w:val="24"/>
          <w:szCs w:val="24"/>
        </w:rPr>
        <w:t xml:space="preserve">as </w:t>
      </w:r>
      <w:r w:rsidR="002F62B0" w:rsidRPr="003A1174">
        <w:rPr>
          <w:rFonts w:ascii="Garamond" w:eastAsia="Calibri" w:hAnsi="Garamond" w:cs="Arial"/>
          <w:sz w:val="24"/>
          <w:szCs w:val="24"/>
        </w:rPr>
        <w:t>obrigações</w:t>
      </w:r>
      <w:r w:rsidR="00A132B3" w:rsidRPr="003A1174">
        <w:rPr>
          <w:rFonts w:ascii="Garamond" w:eastAsia="Calibri" w:hAnsi="Garamond" w:cs="Arial"/>
          <w:sz w:val="24"/>
          <w:szCs w:val="24"/>
        </w:rPr>
        <w:t xml:space="preserve"> relativas a</w:t>
      </w:r>
      <w:r w:rsidRPr="003A1174">
        <w:rPr>
          <w:rFonts w:ascii="Garamond" w:eastAsia="Calibri" w:hAnsi="Garamond" w:cs="Arial"/>
          <w:sz w:val="24"/>
          <w:szCs w:val="24"/>
        </w:rPr>
        <w:t xml:space="preserve">os referidos </w:t>
      </w:r>
      <w:r w:rsidR="00886D6A" w:rsidRPr="003A1174">
        <w:rPr>
          <w:rFonts w:ascii="Garamond" w:eastAsia="Calibri" w:hAnsi="Garamond" w:cs="Arial"/>
          <w:sz w:val="24"/>
          <w:szCs w:val="24"/>
        </w:rPr>
        <w:t>direito</w:t>
      </w:r>
      <w:r w:rsidR="00A132B3" w:rsidRPr="003A1174">
        <w:rPr>
          <w:rFonts w:ascii="Garamond" w:eastAsia="Calibri" w:hAnsi="Garamond" w:cs="Arial"/>
          <w:sz w:val="24"/>
          <w:szCs w:val="24"/>
        </w:rPr>
        <w:t>s</w:t>
      </w:r>
      <w:r w:rsidRPr="003A1174">
        <w:rPr>
          <w:rFonts w:ascii="Garamond" w:eastAsia="Calibri" w:hAnsi="Garamond" w:cs="Arial"/>
          <w:sz w:val="24"/>
          <w:szCs w:val="24"/>
        </w:rPr>
        <w:t xml:space="preserve">, sobre </w:t>
      </w:r>
      <w:r w:rsidR="00FC7031" w:rsidRPr="003A1174">
        <w:rPr>
          <w:rFonts w:ascii="Garamond" w:eastAsia="Calibri" w:hAnsi="Garamond" w:cs="Arial"/>
          <w:sz w:val="24"/>
          <w:szCs w:val="24"/>
        </w:rPr>
        <w:t>a base d</w:t>
      </w:r>
      <w:r w:rsidR="00A132B3" w:rsidRPr="003A1174">
        <w:rPr>
          <w:rFonts w:ascii="Garamond" w:eastAsia="Calibri" w:hAnsi="Garamond" w:cs="Arial"/>
          <w:sz w:val="24"/>
          <w:szCs w:val="24"/>
        </w:rPr>
        <w:t>os TIDHs ratificados p</w:t>
      </w:r>
      <w:r w:rsidRPr="003A1174">
        <w:rPr>
          <w:rFonts w:ascii="Garamond" w:eastAsia="Calibri" w:hAnsi="Garamond" w:cs="Arial"/>
          <w:sz w:val="24"/>
          <w:szCs w:val="24"/>
        </w:rPr>
        <w:t>e</w:t>
      </w:r>
      <w:r w:rsidR="00A132B3" w:rsidRPr="003A1174">
        <w:rPr>
          <w:rFonts w:ascii="Garamond" w:eastAsia="Calibri" w:hAnsi="Garamond" w:cs="Arial"/>
          <w:sz w:val="24"/>
          <w:szCs w:val="24"/>
        </w:rPr>
        <w:t xml:space="preserve">los </w:t>
      </w:r>
      <w:r w:rsidRPr="003A1174">
        <w:rPr>
          <w:rFonts w:ascii="Garamond" w:eastAsia="Calibri" w:hAnsi="Garamond" w:cs="Arial"/>
          <w:sz w:val="24"/>
          <w:szCs w:val="24"/>
        </w:rPr>
        <w:t>respetivos</w:t>
      </w:r>
      <w:r w:rsidR="00A132B3" w:rsidRPr="003A1174">
        <w:rPr>
          <w:rFonts w:ascii="Garamond" w:eastAsia="Calibri" w:hAnsi="Garamond" w:cs="Arial"/>
          <w:sz w:val="24"/>
          <w:szCs w:val="24"/>
        </w:rPr>
        <w:t xml:space="preserve"> Estados, n</w:t>
      </w:r>
      <w:r w:rsidRPr="003A1174">
        <w:rPr>
          <w:rFonts w:ascii="Garamond" w:eastAsia="Calibri" w:hAnsi="Garamond" w:cs="Arial"/>
          <w:sz w:val="24"/>
          <w:szCs w:val="24"/>
        </w:rPr>
        <w:t>ã</w:t>
      </w:r>
      <w:r w:rsidR="00A132B3" w:rsidRPr="003A1174">
        <w:rPr>
          <w:rFonts w:ascii="Garamond" w:eastAsia="Calibri" w:hAnsi="Garamond" w:cs="Arial"/>
          <w:sz w:val="24"/>
          <w:szCs w:val="24"/>
        </w:rPr>
        <w:t xml:space="preserve">o </w:t>
      </w:r>
      <w:r w:rsidRPr="003A1174">
        <w:rPr>
          <w:rFonts w:ascii="Garamond" w:eastAsia="Calibri" w:hAnsi="Garamond" w:cs="Arial"/>
          <w:sz w:val="24"/>
          <w:szCs w:val="24"/>
        </w:rPr>
        <w:t>podem</w:t>
      </w:r>
      <w:r w:rsidR="00A132B3" w:rsidRPr="003A1174">
        <w:rPr>
          <w:rFonts w:ascii="Garamond" w:eastAsia="Calibri" w:hAnsi="Garamond" w:cs="Arial"/>
          <w:sz w:val="24"/>
          <w:szCs w:val="24"/>
        </w:rPr>
        <w:t xml:space="preserve"> ser </w:t>
      </w:r>
      <w:r w:rsidR="00A065F8" w:rsidRPr="003A1174">
        <w:rPr>
          <w:rFonts w:ascii="Garamond" w:eastAsia="Calibri" w:hAnsi="Garamond" w:cs="Arial"/>
          <w:sz w:val="24"/>
          <w:szCs w:val="24"/>
        </w:rPr>
        <w:t>contornadas</w:t>
      </w:r>
      <w:r w:rsidR="00A132B3" w:rsidRPr="003A1174">
        <w:rPr>
          <w:rFonts w:ascii="Garamond" w:eastAsia="Calibri" w:hAnsi="Garamond" w:cs="Arial"/>
          <w:sz w:val="24"/>
          <w:szCs w:val="24"/>
        </w:rPr>
        <w:t xml:space="preserve"> n</w:t>
      </w:r>
      <w:r w:rsidRPr="003A1174">
        <w:rPr>
          <w:rFonts w:ascii="Garamond" w:eastAsia="Calibri" w:hAnsi="Garamond" w:cs="Arial"/>
          <w:sz w:val="24"/>
          <w:szCs w:val="24"/>
        </w:rPr>
        <w:t>em</w:t>
      </w:r>
      <w:r w:rsidR="00A132B3" w:rsidRPr="003A1174">
        <w:rPr>
          <w:rFonts w:ascii="Garamond" w:eastAsia="Calibri" w:hAnsi="Garamond" w:cs="Arial"/>
          <w:sz w:val="24"/>
          <w:szCs w:val="24"/>
        </w:rPr>
        <w:t xml:space="preserve"> </w:t>
      </w:r>
      <w:r w:rsidR="00BA3CCE" w:rsidRPr="003A1174">
        <w:rPr>
          <w:rFonts w:ascii="Garamond" w:eastAsia="Calibri" w:hAnsi="Garamond" w:cs="Arial"/>
          <w:sz w:val="24"/>
          <w:szCs w:val="24"/>
        </w:rPr>
        <w:t>rejeitadas</w:t>
      </w:r>
      <w:r w:rsidRPr="003A1174">
        <w:rPr>
          <w:rFonts w:ascii="Garamond" w:eastAsia="Calibri" w:hAnsi="Garamond" w:cs="Arial"/>
          <w:sz w:val="24"/>
          <w:szCs w:val="24"/>
        </w:rPr>
        <w:t xml:space="preserve"> va</w:t>
      </w:r>
      <w:r w:rsidR="00A132B3" w:rsidRPr="003A1174">
        <w:rPr>
          <w:rFonts w:ascii="Garamond" w:eastAsia="Calibri" w:hAnsi="Garamond" w:cs="Arial"/>
          <w:sz w:val="24"/>
          <w:szCs w:val="24"/>
        </w:rPr>
        <w:t xml:space="preserve">lidamente </w:t>
      </w:r>
      <w:r w:rsidR="00A065F8" w:rsidRPr="003A1174">
        <w:rPr>
          <w:rFonts w:ascii="Garamond" w:eastAsia="Calibri" w:hAnsi="Garamond" w:cs="Arial"/>
          <w:sz w:val="24"/>
          <w:szCs w:val="24"/>
        </w:rPr>
        <w:t>alegando</w:t>
      </w:r>
      <w:r w:rsidR="00A132B3" w:rsidRPr="003A1174">
        <w:rPr>
          <w:rFonts w:ascii="Garamond" w:eastAsia="Calibri" w:hAnsi="Garamond" w:cs="Arial"/>
          <w:sz w:val="24"/>
          <w:szCs w:val="24"/>
        </w:rPr>
        <w:t xml:space="preserve"> </w:t>
      </w:r>
      <w:r w:rsidRPr="003A1174">
        <w:rPr>
          <w:rFonts w:ascii="Garamond" w:eastAsia="Calibri" w:hAnsi="Garamond" w:cs="Arial"/>
          <w:sz w:val="24"/>
          <w:szCs w:val="24"/>
        </w:rPr>
        <w:t>privilégio</w:t>
      </w:r>
      <w:r w:rsidR="00A132B3" w:rsidRPr="003A1174">
        <w:rPr>
          <w:rFonts w:ascii="Garamond" w:eastAsia="Calibri" w:hAnsi="Garamond" w:cs="Arial"/>
          <w:sz w:val="24"/>
          <w:szCs w:val="24"/>
        </w:rPr>
        <w:t xml:space="preserve">s de </w:t>
      </w:r>
      <w:r w:rsidRPr="003A1174">
        <w:rPr>
          <w:rFonts w:ascii="Garamond" w:eastAsia="Calibri" w:hAnsi="Garamond" w:cs="Arial"/>
          <w:sz w:val="24"/>
          <w:szCs w:val="24"/>
        </w:rPr>
        <w:t>soberania</w:t>
      </w:r>
      <w:r w:rsidR="00FC7031" w:rsidRPr="003A1174">
        <w:rPr>
          <w:rFonts w:ascii="Garamond" w:eastAsia="Calibri" w:hAnsi="Garamond" w:cs="Arial"/>
          <w:sz w:val="24"/>
          <w:szCs w:val="24"/>
        </w:rPr>
        <w:t>.</w:t>
      </w:r>
      <w:r w:rsidR="00B615DA" w:rsidRPr="003A1174">
        <w:rPr>
          <w:rStyle w:val="Refdenotaalpie"/>
          <w:rFonts w:ascii="Garamond" w:hAnsi="Garamond" w:cs="Arial"/>
          <w:b/>
          <w:sz w:val="24"/>
          <w:szCs w:val="24"/>
        </w:rPr>
        <w:footnoteReference w:id="4"/>
      </w:r>
    </w:p>
    <w:p w:rsidR="00A132B3" w:rsidRPr="003A1174" w:rsidRDefault="00A132B3"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Como se verá m</w:t>
      </w:r>
      <w:r w:rsidR="007407BD" w:rsidRPr="003A1174">
        <w:rPr>
          <w:rFonts w:ascii="Garamond" w:eastAsia="Calibri" w:hAnsi="Garamond" w:cs="Arial"/>
          <w:sz w:val="24"/>
          <w:szCs w:val="24"/>
        </w:rPr>
        <w:t>ai</w:t>
      </w:r>
      <w:r w:rsidRPr="003A1174">
        <w:rPr>
          <w:rFonts w:ascii="Garamond" w:eastAsia="Calibri" w:hAnsi="Garamond" w:cs="Arial"/>
          <w:sz w:val="24"/>
          <w:szCs w:val="24"/>
        </w:rPr>
        <w:t xml:space="preserve">s </w:t>
      </w:r>
      <w:r w:rsidR="007407BD" w:rsidRPr="003A1174">
        <w:rPr>
          <w:rFonts w:ascii="Garamond" w:eastAsia="Calibri" w:hAnsi="Garamond" w:cs="Arial"/>
          <w:sz w:val="24"/>
          <w:szCs w:val="24"/>
        </w:rPr>
        <w:t xml:space="preserve">à frente, isso deve </w:t>
      </w:r>
      <w:r w:rsidRPr="003A1174">
        <w:rPr>
          <w:rFonts w:ascii="Garamond" w:eastAsia="Calibri" w:hAnsi="Garamond" w:cs="Arial"/>
          <w:sz w:val="24"/>
          <w:szCs w:val="24"/>
        </w:rPr>
        <w:t>ge</w:t>
      </w:r>
      <w:r w:rsidR="007407BD" w:rsidRPr="003A1174">
        <w:rPr>
          <w:rFonts w:ascii="Garamond" w:eastAsia="Calibri" w:hAnsi="Garamond" w:cs="Arial"/>
          <w:sz w:val="24"/>
          <w:szCs w:val="24"/>
        </w:rPr>
        <w:t>rar um decidid</w:t>
      </w:r>
      <w:r w:rsidR="00A065F8" w:rsidRPr="003A1174">
        <w:rPr>
          <w:rFonts w:ascii="Garamond" w:eastAsia="Calibri" w:hAnsi="Garamond" w:cs="Arial"/>
          <w:sz w:val="24"/>
          <w:szCs w:val="24"/>
        </w:rPr>
        <w:t>o</w:t>
      </w:r>
      <w:r w:rsidR="007407BD" w:rsidRPr="003A1174">
        <w:rPr>
          <w:rFonts w:ascii="Garamond" w:eastAsia="Calibri" w:hAnsi="Garamond" w:cs="Arial"/>
          <w:sz w:val="24"/>
          <w:szCs w:val="24"/>
        </w:rPr>
        <w:t xml:space="preserve"> e contí</w:t>
      </w:r>
      <w:r w:rsidRPr="003A1174">
        <w:rPr>
          <w:rFonts w:ascii="Garamond" w:eastAsia="Calibri" w:hAnsi="Garamond" w:cs="Arial"/>
          <w:sz w:val="24"/>
          <w:szCs w:val="24"/>
        </w:rPr>
        <w:t>nu</w:t>
      </w:r>
      <w:r w:rsidR="00A065F8" w:rsidRPr="003A1174">
        <w:rPr>
          <w:rFonts w:ascii="Garamond" w:eastAsia="Calibri" w:hAnsi="Garamond" w:cs="Arial"/>
          <w:sz w:val="24"/>
          <w:szCs w:val="24"/>
        </w:rPr>
        <w:t>o</w:t>
      </w:r>
      <w:r w:rsidRPr="003A1174">
        <w:rPr>
          <w:rFonts w:ascii="Garamond" w:eastAsia="Calibri" w:hAnsi="Garamond" w:cs="Arial"/>
          <w:sz w:val="24"/>
          <w:szCs w:val="24"/>
        </w:rPr>
        <w:t xml:space="preserve"> </w:t>
      </w:r>
      <w:r w:rsidR="007C63D0" w:rsidRPr="003A1174">
        <w:rPr>
          <w:rFonts w:ascii="Garamond" w:eastAsia="Calibri" w:hAnsi="Garamond" w:cs="Arial"/>
          <w:sz w:val="24"/>
          <w:szCs w:val="24"/>
        </w:rPr>
        <w:t>comportamento</w:t>
      </w:r>
      <w:r w:rsidRPr="003A1174">
        <w:rPr>
          <w:rFonts w:ascii="Garamond" w:eastAsia="Calibri" w:hAnsi="Garamond" w:cs="Arial"/>
          <w:sz w:val="24"/>
          <w:szCs w:val="24"/>
        </w:rPr>
        <w:t xml:space="preserve"> dos Estados </w:t>
      </w:r>
      <w:r w:rsidR="007407BD" w:rsidRPr="003A1174">
        <w:rPr>
          <w:rFonts w:ascii="Garamond" w:eastAsia="Calibri" w:hAnsi="Garamond" w:cs="Arial"/>
          <w:sz w:val="24"/>
          <w:szCs w:val="24"/>
        </w:rPr>
        <w:t xml:space="preserve">perante </w:t>
      </w:r>
      <w:r w:rsidRPr="003A1174">
        <w:rPr>
          <w:rFonts w:ascii="Garamond" w:eastAsia="Calibri" w:hAnsi="Garamond" w:cs="Arial"/>
          <w:sz w:val="24"/>
          <w:szCs w:val="24"/>
        </w:rPr>
        <w:t xml:space="preserve">as </w:t>
      </w:r>
      <w:r w:rsidR="006C760C" w:rsidRPr="003A1174">
        <w:rPr>
          <w:rFonts w:ascii="Garamond" w:eastAsia="Calibri" w:hAnsi="Garamond" w:cs="Arial"/>
          <w:sz w:val="24"/>
          <w:szCs w:val="24"/>
        </w:rPr>
        <w:t>pessoas</w:t>
      </w:r>
      <w:r w:rsidRPr="003A1174">
        <w:rPr>
          <w:rFonts w:ascii="Garamond" w:eastAsia="Calibri" w:hAnsi="Garamond" w:cs="Arial"/>
          <w:sz w:val="24"/>
          <w:szCs w:val="24"/>
        </w:rPr>
        <w:t xml:space="preserve"> </w:t>
      </w:r>
      <w:r w:rsidR="002F62B0" w:rsidRPr="003A1174">
        <w:rPr>
          <w:rFonts w:ascii="Garamond" w:eastAsia="Calibri" w:hAnsi="Garamond" w:cs="Arial"/>
          <w:sz w:val="24"/>
          <w:szCs w:val="24"/>
        </w:rPr>
        <w:t>sujeita</w:t>
      </w:r>
      <w:r w:rsidRPr="003A1174">
        <w:rPr>
          <w:rFonts w:ascii="Garamond" w:eastAsia="Calibri" w:hAnsi="Garamond" w:cs="Arial"/>
          <w:sz w:val="24"/>
          <w:szCs w:val="24"/>
        </w:rPr>
        <w:t xml:space="preserve">s </w:t>
      </w:r>
      <w:r w:rsidR="00802ACC" w:rsidRPr="003A1174">
        <w:rPr>
          <w:rFonts w:ascii="Garamond" w:eastAsia="Calibri" w:hAnsi="Garamond" w:cs="Arial"/>
          <w:sz w:val="24"/>
          <w:szCs w:val="24"/>
        </w:rPr>
        <w:t xml:space="preserve">às </w:t>
      </w:r>
      <w:r w:rsidRPr="003A1174">
        <w:rPr>
          <w:rFonts w:ascii="Garamond" w:eastAsia="Calibri" w:hAnsi="Garamond" w:cs="Arial"/>
          <w:sz w:val="24"/>
          <w:szCs w:val="24"/>
        </w:rPr>
        <w:t>su</w:t>
      </w:r>
      <w:r w:rsidR="00802ACC" w:rsidRPr="003A1174">
        <w:rPr>
          <w:rFonts w:ascii="Garamond" w:eastAsia="Calibri" w:hAnsi="Garamond" w:cs="Arial"/>
          <w:sz w:val="24"/>
          <w:szCs w:val="24"/>
        </w:rPr>
        <w:t>a</w:t>
      </w:r>
      <w:r w:rsidRPr="003A1174">
        <w:rPr>
          <w:rFonts w:ascii="Garamond" w:eastAsia="Calibri" w:hAnsi="Garamond" w:cs="Arial"/>
          <w:sz w:val="24"/>
          <w:szCs w:val="24"/>
        </w:rPr>
        <w:t xml:space="preserve">s respetivas autoridades </w:t>
      </w:r>
      <w:r w:rsidR="00802ACC" w:rsidRPr="003A1174">
        <w:rPr>
          <w:rFonts w:ascii="Garamond" w:eastAsia="Calibri" w:hAnsi="Garamond" w:cs="Arial"/>
          <w:sz w:val="24"/>
          <w:szCs w:val="24"/>
        </w:rPr>
        <w:t xml:space="preserve">jurisdicionais, com o objetivo de conseguir que </w:t>
      </w:r>
      <w:r w:rsidRPr="003A1174">
        <w:rPr>
          <w:rFonts w:ascii="Garamond" w:eastAsia="Calibri" w:hAnsi="Garamond" w:cs="Arial"/>
          <w:sz w:val="24"/>
          <w:szCs w:val="24"/>
        </w:rPr>
        <w:t xml:space="preserve">os </w:t>
      </w:r>
      <w:r w:rsidR="00886D6A" w:rsidRPr="003A1174">
        <w:rPr>
          <w:rFonts w:ascii="Garamond" w:eastAsia="Calibri" w:hAnsi="Garamond" w:cs="Arial"/>
          <w:sz w:val="24"/>
          <w:szCs w:val="24"/>
        </w:rPr>
        <w:t>direito</w:t>
      </w:r>
      <w:r w:rsidRPr="003A1174">
        <w:rPr>
          <w:rFonts w:ascii="Garamond" w:eastAsia="Calibri" w:hAnsi="Garamond" w:cs="Arial"/>
          <w:sz w:val="24"/>
          <w:szCs w:val="24"/>
        </w:rPr>
        <w:t>s humanos alcance</w:t>
      </w:r>
      <w:r w:rsidR="00802ACC" w:rsidRPr="003A1174">
        <w:rPr>
          <w:rFonts w:ascii="Garamond" w:eastAsia="Calibri" w:hAnsi="Garamond" w:cs="Arial"/>
          <w:sz w:val="24"/>
          <w:szCs w:val="24"/>
        </w:rPr>
        <w:t>m</w:t>
      </w:r>
      <w:r w:rsidRPr="003A1174">
        <w:rPr>
          <w:rFonts w:ascii="Garamond" w:eastAsia="Calibri" w:hAnsi="Garamond" w:cs="Arial"/>
          <w:sz w:val="24"/>
          <w:szCs w:val="24"/>
        </w:rPr>
        <w:t xml:space="preserve"> </w:t>
      </w:r>
      <w:r w:rsidR="00D96FD0" w:rsidRPr="003A1174">
        <w:rPr>
          <w:rFonts w:ascii="Garamond" w:eastAsia="Calibri" w:hAnsi="Garamond" w:cs="Arial"/>
          <w:sz w:val="24"/>
          <w:szCs w:val="24"/>
        </w:rPr>
        <w:t>cumprimento</w:t>
      </w:r>
      <w:r w:rsidRPr="003A1174">
        <w:rPr>
          <w:rFonts w:ascii="Garamond" w:eastAsia="Calibri" w:hAnsi="Garamond" w:cs="Arial"/>
          <w:sz w:val="24"/>
          <w:szCs w:val="24"/>
        </w:rPr>
        <w:t xml:space="preserve"> </w:t>
      </w:r>
      <w:r w:rsidR="00802ACC" w:rsidRPr="003A1174">
        <w:rPr>
          <w:rFonts w:ascii="Garamond" w:eastAsia="Calibri" w:hAnsi="Garamond" w:cs="Arial"/>
          <w:sz w:val="24"/>
          <w:szCs w:val="24"/>
        </w:rPr>
        <w:t>efetivo</w:t>
      </w:r>
      <w:r w:rsidRPr="003A1174">
        <w:rPr>
          <w:rFonts w:ascii="Garamond" w:eastAsia="Calibri" w:hAnsi="Garamond" w:cs="Arial"/>
          <w:sz w:val="24"/>
          <w:szCs w:val="24"/>
        </w:rPr>
        <w:t xml:space="preserve"> </w:t>
      </w:r>
      <w:r w:rsidR="00802ACC" w:rsidRPr="003A1174">
        <w:rPr>
          <w:rFonts w:ascii="Garamond" w:eastAsia="Calibri" w:hAnsi="Garamond" w:cs="Arial"/>
          <w:sz w:val="24"/>
          <w:szCs w:val="24"/>
        </w:rPr>
        <w:t xml:space="preserve">no </w:t>
      </w:r>
      <w:r w:rsidR="00A065F8" w:rsidRPr="003A1174">
        <w:rPr>
          <w:rFonts w:ascii="Garamond" w:eastAsia="Calibri" w:hAnsi="Garamond" w:cs="Arial"/>
          <w:sz w:val="24"/>
          <w:szCs w:val="24"/>
        </w:rPr>
        <w:t xml:space="preserve">quadro </w:t>
      </w:r>
      <w:r w:rsidRPr="003A1174">
        <w:rPr>
          <w:rFonts w:ascii="Garamond" w:eastAsia="Calibri" w:hAnsi="Garamond" w:cs="Arial"/>
          <w:sz w:val="24"/>
          <w:szCs w:val="24"/>
        </w:rPr>
        <w:t>d</w:t>
      </w:r>
      <w:r w:rsidR="00802ACC" w:rsidRPr="003A1174">
        <w:rPr>
          <w:rFonts w:ascii="Garamond" w:eastAsia="Calibri" w:hAnsi="Garamond" w:cs="Arial"/>
          <w:sz w:val="24"/>
          <w:szCs w:val="24"/>
        </w:rPr>
        <w:t>o</w:t>
      </w:r>
      <w:r w:rsidRPr="003A1174">
        <w:rPr>
          <w:rFonts w:ascii="Garamond" w:eastAsia="Calibri" w:hAnsi="Garamond" w:cs="Arial"/>
          <w:sz w:val="24"/>
          <w:szCs w:val="24"/>
        </w:rPr>
        <w:t xml:space="preserve"> </w:t>
      </w:r>
      <w:r w:rsidR="00AF192F" w:rsidRPr="003A1174">
        <w:rPr>
          <w:rFonts w:ascii="Garamond" w:eastAsia="Calibri" w:hAnsi="Garamond" w:cs="Arial"/>
          <w:sz w:val="24"/>
          <w:szCs w:val="24"/>
        </w:rPr>
        <w:t>dever</w:t>
      </w:r>
      <w:r w:rsidRPr="003A1174">
        <w:rPr>
          <w:rFonts w:ascii="Garamond" w:eastAsia="Calibri" w:hAnsi="Garamond" w:cs="Arial"/>
          <w:sz w:val="24"/>
          <w:szCs w:val="24"/>
        </w:rPr>
        <w:t xml:space="preserve"> de </w:t>
      </w:r>
      <w:r w:rsidR="00A56F43" w:rsidRPr="003A1174">
        <w:rPr>
          <w:rFonts w:ascii="Garamond" w:eastAsia="Calibri" w:hAnsi="Garamond" w:cs="Arial"/>
          <w:sz w:val="24"/>
          <w:szCs w:val="24"/>
        </w:rPr>
        <w:t>garantia</w:t>
      </w:r>
      <w:r w:rsidRPr="003A1174">
        <w:rPr>
          <w:rFonts w:ascii="Garamond" w:eastAsia="Calibri" w:hAnsi="Garamond" w:cs="Arial"/>
          <w:sz w:val="24"/>
          <w:szCs w:val="24"/>
        </w:rPr>
        <w:t xml:space="preserve"> dos </w:t>
      </w:r>
      <w:r w:rsidR="00886D6A" w:rsidRPr="003A1174">
        <w:rPr>
          <w:rFonts w:ascii="Garamond" w:eastAsia="Calibri" w:hAnsi="Garamond" w:cs="Arial"/>
          <w:sz w:val="24"/>
          <w:szCs w:val="24"/>
        </w:rPr>
        <w:t>direito</w:t>
      </w:r>
      <w:r w:rsidRPr="003A1174">
        <w:rPr>
          <w:rFonts w:ascii="Garamond" w:eastAsia="Calibri" w:hAnsi="Garamond" w:cs="Arial"/>
          <w:sz w:val="24"/>
          <w:szCs w:val="24"/>
        </w:rPr>
        <w:t xml:space="preserve">s </w:t>
      </w:r>
      <w:r w:rsidR="00CA633E" w:rsidRPr="003A1174">
        <w:rPr>
          <w:rFonts w:ascii="Garamond" w:eastAsia="Calibri" w:hAnsi="Garamond" w:cs="Arial"/>
          <w:sz w:val="24"/>
          <w:szCs w:val="24"/>
        </w:rPr>
        <w:t>fundamentais</w:t>
      </w:r>
      <w:r w:rsidRPr="003A1174">
        <w:rPr>
          <w:rFonts w:ascii="Garamond" w:eastAsia="Calibri" w:hAnsi="Garamond" w:cs="Arial"/>
          <w:sz w:val="24"/>
          <w:szCs w:val="24"/>
        </w:rPr>
        <w:t xml:space="preserve"> </w:t>
      </w:r>
      <w:r w:rsidR="00661ADB" w:rsidRPr="003A1174">
        <w:rPr>
          <w:rFonts w:ascii="Garamond" w:eastAsia="Calibri" w:hAnsi="Garamond" w:cs="Arial"/>
          <w:sz w:val="24"/>
          <w:szCs w:val="24"/>
        </w:rPr>
        <w:t>estabelecido</w:t>
      </w:r>
      <w:r w:rsidRPr="003A1174">
        <w:rPr>
          <w:rFonts w:ascii="Garamond" w:eastAsia="Calibri" w:hAnsi="Garamond" w:cs="Arial"/>
          <w:sz w:val="24"/>
          <w:szCs w:val="24"/>
        </w:rPr>
        <w:t xml:space="preserve">s </w:t>
      </w:r>
      <w:r w:rsidR="00802ACC" w:rsidRPr="003A1174">
        <w:rPr>
          <w:rFonts w:ascii="Garamond" w:eastAsia="Calibri" w:hAnsi="Garamond" w:cs="Arial"/>
          <w:sz w:val="24"/>
          <w:szCs w:val="24"/>
        </w:rPr>
        <w:t xml:space="preserve">no </w:t>
      </w:r>
      <w:r w:rsidR="00383B3F" w:rsidRPr="003A1174">
        <w:rPr>
          <w:rFonts w:ascii="Garamond" w:eastAsia="Calibri" w:hAnsi="Garamond" w:cs="Arial"/>
          <w:sz w:val="24"/>
          <w:szCs w:val="24"/>
        </w:rPr>
        <w:t>Art.</w:t>
      </w:r>
      <w:r w:rsidR="00802ACC" w:rsidRPr="003A1174">
        <w:rPr>
          <w:rFonts w:ascii="Garamond" w:eastAsia="Calibri" w:hAnsi="Garamond" w:cs="Arial"/>
          <w:sz w:val="24"/>
          <w:szCs w:val="24"/>
        </w:rPr>
        <w:t xml:space="preserve"> </w:t>
      </w:r>
      <w:proofErr w:type="gramStart"/>
      <w:r w:rsidR="00802ACC" w:rsidRPr="003A1174">
        <w:rPr>
          <w:rFonts w:ascii="Garamond" w:eastAsia="Calibri" w:hAnsi="Garamond" w:cs="Arial"/>
          <w:sz w:val="24"/>
          <w:szCs w:val="24"/>
        </w:rPr>
        <w:t>1</w:t>
      </w:r>
      <w:r w:rsidR="0000579E">
        <w:rPr>
          <w:rFonts w:ascii="Garamond" w:eastAsia="Calibri" w:hAnsi="Garamond" w:cs="Arial"/>
          <w:sz w:val="24"/>
          <w:szCs w:val="24"/>
        </w:rPr>
        <w:t>.</w:t>
      </w:r>
      <w:proofErr w:type="gramEnd"/>
      <w:r w:rsidR="00802ACC" w:rsidRPr="003A1174">
        <w:rPr>
          <w:rFonts w:ascii="Garamond" w:eastAsia="Calibri" w:hAnsi="Garamond" w:cs="Arial"/>
          <w:sz w:val="24"/>
          <w:szCs w:val="24"/>
        </w:rPr>
        <w:t>° d</w:t>
      </w:r>
      <w:r w:rsidRPr="003A1174">
        <w:rPr>
          <w:rFonts w:ascii="Garamond" w:eastAsia="Calibri" w:hAnsi="Garamond" w:cs="Arial"/>
          <w:sz w:val="24"/>
          <w:szCs w:val="24"/>
        </w:rPr>
        <w:t>a CADH</w:t>
      </w:r>
      <w:r w:rsidR="00FC7031" w:rsidRPr="003A1174">
        <w:rPr>
          <w:rFonts w:ascii="Garamond" w:eastAsia="Calibri" w:hAnsi="Garamond" w:cs="Arial"/>
          <w:sz w:val="24"/>
          <w:szCs w:val="24"/>
        </w:rPr>
        <w:t>.</w:t>
      </w:r>
      <w:r w:rsidR="00B3124D" w:rsidRPr="003A1174">
        <w:rPr>
          <w:rFonts w:ascii="Garamond" w:eastAsia="Calibri" w:hAnsi="Garamond" w:cs="Arial"/>
          <w:sz w:val="24"/>
          <w:szCs w:val="24"/>
        </w:rPr>
        <w:t xml:space="preserve"> </w:t>
      </w:r>
      <w:r w:rsidR="00FC7031" w:rsidRPr="003A1174">
        <w:rPr>
          <w:rFonts w:ascii="Garamond" w:eastAsia="Calibri" w:hAnsi="Garamond" w:cs="Arial"/>
          <w:sz w:val="24"/>
          <w:szCs w:val="24"/>
        </w:rPr>
        <w:t>Al</w:t>
      </w:r>
      <w:r w:rsidR="00802ACC" w:rsidRPr="003A1174">
        <w:rPr>
          <w:rFonts w:ascii="Garamond" w:eastAsia="Calibri" w:hAnsi="Garamond" w:cs="Arial"/>
          <w:sz w:val="24"/>
          <w:szCs w:val="24"/>
        </w:rPr>
        <w:t xml:space="preserve">i </w:t>
      </w:r>
      <w:r w:rsidR="00FC7031" w:rsidRPr="003A1174">
        <w:rPr>
          <w:rFonts w:ascii="Garamond" w:eastAsia="Calibri" w:hAnsi="Garamond" w:cs="Arial"/>
          <w:sz w:val="24"/>
          <w:szCs w:val="24"/>
        </w:rPr>
        <w:t>se especifica que</w:t>
      </w:r>
      <w:r w:rsidR="00802ACC" w:rsidRPr="003A1174">
        <w:rPr>
          <w:rFonts w:ascii="Garamond" w:eastAsia="Calibri" w:hAnsi="Garamond" w:cs="Arial"/>
          <w:sz w:val="24"/>
          <w:szCs w:val="24"/>
        </w:rPr>
        <w:t xml:space="preserve"> </w:t>
      </w:r>
      <w:r w:rsidR="00B3124D" w:rsidRPr="003A1174">
        <w:rPr>
          <w:rFonts w:ascii="Garamond" w:eastAsia="Calibri" w:hAnsi="Garamond" w:cs="Arial"/>
          <w:sz w:val="24"/>
          <w:szCs w:val="24"/>
        </w:rPr>
        <w:t>os Estados n</w:t>
      </w:r>
      <w:r w:rsidR="00802ACC" w:rsidRPr="003A1174">
        <w:rPr>
          <w:rFonts w:ascii="Garamond" w:eastAsia="Calibri" w:hAnsi="Garamond" w:cs="Arial"/>
          <w:sz w:val="24"/>
          <w:szCs w:val="24"/>
        </w:rPr>
        <w:t>ã</w:t>
      </w:r>
      <w:r w:rsidR="00B3124D" w:rsidRPr="003A1174">
        <w:rPr>
          <w:rFonts w:ascii="Garamond" w:eastAsia="Calibri" w:hAnsi="Garamond" w:cs="Arial"/>
          <w:sz w:val="24"/>
          <w:szCs w:val="24"/>
        </w:rPr>
        <w:t>o s</w:t>
      </w:r>
      <w:r w:rsidR="00802ACC" w:rsidRPr="003A1174">
        <w:rPr>
          <w:rFonts w:ascii="Garamond" w:eastAsia="Calibri" w:hAnsi="Garamond" w:cs="Arial"/>
          <w:sz w:val="24"/>
          <w:szCs w:val="24"/>
        </w:rPr>
        <w:t xml:space="preserve">ó se devem abster </w:t>
      </w:r>
      <w:r w:rsidR="00802ACC" w:rsidRPr="003A1174">
        <w:rPr>
          <w:rFonts w:ascii="Garamond" w:hAnsi="Garamond" w:cs="Arial"/>
          <w:color w:val="000000"/>
          <w:sz w:val="24"/>
          <w:szCs w:val="24"/>
          <w:shd w:val="clear" w:color="auto" w:fill="FFFFFF"/>
        </w:rPr>
        <w:t xml:space="preserve">de violar </w:t>
      </w:r>
      <w:r w:rsidR="00B3124D" w:rsidRPr="003A1174">
        <w:rPr>
          <w:rFonts w:ascii="Garamond" w:hAnsi="Garamond" w:cs="Arial"/>
          <w:color w:val="000000"/>
          <w:sz w:val="24"/>
          <w:szCs w:val="24"/>
          <w:shd w:val="clear" w:color="auto" w:fill="FFFFFF"/>
        </w:rPr>
        <w:t xml:space="preserve">os </w:t>
      </w:r>
      <w:r w:rsidR="00886D6A" w:rsidRPr="003A1174">
        <w:rPr>
          <w:rFonts w:ascii="Garamond" w:hAnsi="Garamond" w:cs="Arial"/>
          <w:color w:val="000000"/>
          <w:sz w:val="24"/>
          <w:szCs w:val="24"/>
          <w:shd w:val="clear" w:color="auto" w:fill="FFFFFF"/>
        </w:rPr>
        <w:t>direito</w:t>
      </w:r>
      <w:r w:rsidR="00802ACC" w:rsidRPr="003A1174">
        <w:rPr>
          <w:rFonts w:ascii="Garamond" w:hAnsi="Garamond" w:cs="Arial"/>
          <w:color w:val="000000"/>
          <w:sz w:val="24"/>
          <w:szCs w:val="24"/>
          <w:shd w:val="clear" w:color="auto" w:fill="FFFFFF"/>
        </w:rPr>
        <w:t>s humanos d</w:t>
      </w:r>
      <w:r w:rsidR="00B3124D" w:rsidRPr="003A1174">
        <w:rPr>
          <w:rFonts w:ascii="Garamond" w:hAnsi="Garamond" w:cs="Arial"/>
          <w:color w:val="000000"/>
          <w:sz w:val="24"/>
          <w:szCs w:val="24"/>
          <w:shd w:val="clear" w:color="auto" w:fill="FFFFFF"/>
        </w:rPr>
        <w:t xml:space="preserve">as </w:t>
      </w:r>
      <w:r w:rsidR="006C760C" w:rsidRPr="003A1174">
        <w:rPr>
          <w:rFonts w:ascii="Garamond" w:hAnsi="Garamond" w:cs="Arial"/>
          <w:color w:val="000000"/>
          <w:sz w:val="24"/>
          <w:szCs w:val="24"/>
          <w:shd w:val="clear" w:color="auto" w:fill="FFFFFF"/>
        </w:rPr>
        <w:t>pessoas</w:t>
      </w:r>
      <w:r w:rsidR="00B3124D" w:rsidRPr="003A1174">
        <w:rPr>
          <w:rFonts w:ascii="Garamond" w:hAnsi="Garamond" w:cs="Arial"/>
          <w:color w:val="000000"/>
          <w:sz w:val="24"/>
          <w:szCs w:val="24"/>
          <w:shd w:val="clear" w:color="auto" w:fill="FFFFFF"/>
        </w:rPr>
        <w:t xml:space="preserve">, </w:t>
      </w:r>
      <w:r w:rsidR="00802ACC" w:rsidRPr="003A1174">
        <w:rPr>
          <w:rFonts w:ascii="Garamond" w:hAnsi="Garamond" w:cs="Arial"/>
          <w:color w:val="000000"/>
          <w:sz w:val="24"/>
          <w:szCs w:val="24"/>
          <w:shd w:val="clear" w:color="auto" w:fill="FFFFFF"/>
        </w:rPr>
        <w:t xml:space="preserve">mas </w:t>
      </w:r>
      <w:r w:rsidR="000350B1" w:rsidRPr="003A1174">
        <w:rPr>
          <w:rFonts w:ascii="Garamond" w:hAnsi="Garamond" w:cs="Arial"/>
          <w:color w:val="000000"/>
          <w:sz w:val="24"/>
          <w:szCs w:val="24"/>
          <w:shd w:val="clear" w:color="auto" w:fill="FFFFFF"/>
        </w:rPr>
        <w:t>também</w:t>
      </w:r>
      <w:r w:rsidR="00B3124D" w:rsidRPr="003A1174">
        <w:rPr>
          <w:rFonts w:ascii="Garamond" w:hAnsi="Garamond" w:cs="Arial"/>
          <w:color w:val="000000"/>
          <w:sz w:val="24"/>
          <w:szCs w:val="24"/>
          <w:shd w:val="clear" w:color="auto" w:fill="FFFFFF"/>
        </w:rPr>
        <w:t xml:space="preserve"> </w:t>
      </w:r>
      <w:r w:rsidR="00A065F8" w:rsidRPr="003A1174">
        <w:rPr>
          <w:rFonts w:ascii="Garamond" w:hAnsi="Garamond" w:cs="Arial"/>
          <w:color w:val="000000"/>
          <w:sz w:val="24"/>
          <w:szCs w:val="24"/>
          <w:shd w:val="clear" w:color="auto" w:fill="FFFFFF"/>
        </w:rPr>
        <w:t xml:space="preserve">devem </w:t>
      </w:r>
      <w:r w:rsidR="00802ACC" w:rsidRPr="003A1174">
        <w:rPr>
          <w:rFonts w:ascii="Garamond" w:hAnsi="Garamond" w:cs="Arial"/>
          <w:color w:val="000000"/>
          <w:sz w:val="24"/>
          <w:szCs w:val="24"/>
          <w:shd w:val="clear" w:color="auto" w:fill="FFFFFF"/>
        </w:rPr>
        <w:t>trabalhar</w:t>
      </w:r>
      <w:r w:rsidR="00B3124D" w:rsidRPr="003A1174">
        <w:rPr>
          <w:rFonts w:ascii="Garamond" w:hAnsi="Garamond" w:cs="Arial"/>
          <w:color w:val="000000"/>
          <w:sz w:val="24"/>
          <w:szCs w:val="24"/>
          <w:shd w:val="clear" w:color="auto" w:fill="FFFFFF"/>
        </w:rPr>
        <w:t xml:space="preserve"> </w:t>
      </w:r>
      <w:r w:rsidR="00802ACC" w:rsidRPr="003A1174">
        <w:rPr>
          <w:rFonts w:ascii="Garamond" w:hAnsi="Garamond" w:cs="Arial"/>
          <w:color w:val="000000"/>
          <w:sz w:val="24"/>
          <w:szCs w:val="24"/>
          <w:shd w:val="clear" w:color="auto" w:fill="FFFFFF"/>
        </w:rPr>
        <w:t>ativamente para promover e</w:t>
      </w:r>
      <w:r w:rsidR="00B3124D" w:rsidRPr="003A1174">
        <w:rPr>
          <w:rFonts w:ascii="Garamond" w:hAnsi="Garamond" w:cs="Arial"/>
          <w:color w:val="000000"/>
          <w:sz w:val="24"/>
          <w:szCs w:val="24"/>
          <w:shd w:val="clear" w:color="auto" w:fill="FFFFFF"/>
        </w:rPr>
        <w:t xml:space="preserve"> proteger es</w:t>
      </w:r>
      <w:r w:rsidR="00802ACC" w:rsidRPr="003A1174">
        <w:rPr>
          <w:rFonts w:ascii="Garamond" w:hAnsi="Garamond" w:cs="Arial"/>
          <w:color w:val="000000"/>
          <w:sz w:val="24"/>
          <w:szCs w:val="24"/>
          <w:shd w:val="clear" w:color="auto" w:fill="FFFFFF"/>
        </w:rPr>
        <w:t>se</w:t>
      </w:r>
      <w:r w:rsidR="00B3124D" w:rsidRPr="003A1174">
        <w:rPr>
          <w:rFonts w:ascii="Garamond" w:hAnsi="Garamond" w:cs="Arial"/>
          <w:color w:val="000000"/>
          <w:sz w:val="24"/>
          <w:szCs w:val="24"/>
          <w:shd w:val="clear" w:color="auto" w:fill="FFFFFF"/>
        </w:rPr>
        <w:t xml:space="preserve">s </w:t>
      </w:r>
      <w:r w:rsidR="00886D6A" w:rsidRPr="003A1174">
        <w:rPr>
          <w:rFonts w:ascii="Garamond" w:hAnsi="Garamond" w:cs="Arial"/>
          <w:color w:val="000000"/>
          <w:sz w:val="24"/>
          <w:szCs w:val="24"/>
          <w:shd w:val="clear" w:color="auto" w:fill="FFFFFF"/>
        </w:rPr>
        <w:t>direito</w:t>
      </w:r>
      <w:r w:rsidR="00B3124D" w:rsidRPr="003A1174">
        <w:rPr>
          <w:rFonts w:ascii="Garamond" w:hAnsi="Garamond" w:cs="Arial"/>
          <w:color w:val="000000"/>
          <w:sz w:val="24"/>
          <w:szCs w:val="24"/>
          <w:shd w:val="clear" w:color="auto" w:fill="FFFFFF"/>
        </w:rPr>
        <w:t>s.</w:t>
      </w:r>
    </w:p>
    <w:p w:rsidR="009D06D1" w:rsidRPr="003A1174" w:rsidRDefault="000C250F" w:rsidP="008719D4">
      <w:pPr>
        <w:spacing w:line="240" w:lineRule="auto"/>
        <w:jc w:val="both"/>
        <w:rPr>
          <w:rFonts w:ascii="Garamond" w:hAnsi="Garamond" w:cs="Arial"/>
          <w:sz w:val="24"/>
          <w:szCs w:val="24"/>
        </w:rPr>
      </w:pPr>
      <w:r w:rsidRPr="003A1174">
        <w:rPr>
          <w:rFonts w:ascii="Garamond" w:hAnsi="Garamond" w:cs="Arial"/>
          <w:sz w:val="24"/>
          <w:szCs w:val="24"/>
        </w:rPr>
        <w:t>Precisamente</w:t>
      </w:r>
      <w:r w:rsidRPr="003A1174">
        <w:rPr>
          <w:rFonts w:ascii="Garamond" w:hAnsi="Garamond" w:cs="Arial"/>
          <w:b/>
          <w:sz w:val="24"/>
          <w:szCs w:val="24"/>
        </w:rPr>
        <w:t xml:space="preserve"> </w:t>
      </w:r>
      <w:r w:rsidR="00CA0816" w:rsidRPr="003A1174">
        <w:rPr>
          <w:rFonts w:ascii="Garamond" w:hAnsi="Garamond" w:cs="Arial"/>
          <w:sz w:val="24"/>
          <w:szCs w:val="24"/>
        </w:rPr>
        <w:t xml:space="preserve">este </w:t>
      </w:r>
      <w:r w:rsidR="00AF192F" w:rsidRPr="003A1174">
        <w:rPr>
          <w:rFonts w:ascii="Garamond" w:hAnsi="Garamond" w:cs="Arial"/>
          <w:sz w:val="24"/>
          <w:szCs w:val="24"/>
        </w:rPr>
        <w:t>dever</w:t>
      </w:r>
      <w:r w:rsidR="00CA0816" w:rsidRPr="003A1174">
        <w:rPr>
          <w:rFonts w:ascii="Garamond" w:hAnsi="Garamond" w:cs="Arial"/>
          <w:sz w:val="24"/>
          <w:szCs w:val="24"/>
        </w:rPr>
        <w:t xml:space="preserve"> de </w:t>
      </w:r>
      <w:r w:rsidR="00A56F43" w:rsidRPr="003A1174">
        <w:rPr>
          <w:rFonts w:ascii="Garamond" w:hAnsi="Garamond" w:cs="Arial"/>
          <w:sz w:val="24"/>
          <w:szCs w:val="24"/>
        </w:rPr>
        <w:t>garantia</w:t>
      </w:r>
      <w:r w:rsidR="00CA0816" w:rsidRPr="003A1174">
        <w:rPr>
          <w:rFonts w:ascii="Garamond" w:hAnsi="Garamond" w:cs="Arial"/>
          <w:sz w:val="24"/>
          <w:szCs w:val="24"/>
        </w:rPr>
        <w:t xml:space="preserve"> estatal </w:t>
      </w:r>
      <w:r w:rsidR="009D06D1" w:rsidRPr="003A1174">
        <w:rPr>
          <w:rFonts w:ascii="Garamond" w:hAnsi="Garamond" w:cs="Arial"/>
          <w:sz w:val="24"/>
          <w:szCs w:val="24"/>
        </w:rPr>
        <w:t>que na</w:t>
      </w:r>
      <w:r w:rsidR="00802ACC" w:rsidRPr="003A1174">
        <w:rPr>
          <w:rFonts w:ascii="Garamond" w:hAnsi="Garamond" w:cs="Arial"/>
          <w:sz w:val="24"/>
          <w:szCs w:val="24"/>
        </w:rPr>
        <w:t>s</w:t>
      </w:r>
      <w:r w:rsidR="009D06D1" w:rsidRPr="003A1174">
        <w:rPr>
          <w:rFonts w:ascii="Garamond" w:hAnsi="Garamond" w:cs="Arial"/>
          <w:sz w:val="24"/>
          <w:szCs w:val="24"/>
        </w:rPr>
        <w:t xml:space="preserve">ce de diversos </w:t>
      </w:r>
      <w:r w:rsidR="00CA0816" w:rsidRPr="003A1174">
        <w:rPr>
          <w:rFonts w:ascii="Garamond" w:hAnsi="Garamond" w:cs="Arial"/>
          <w:sz w:val="24"/>
          <w:szCs w:val="24"/>
        </w:rPr>
        <w:t xml:space="preserve">instrumentos </w:t>
      </w:r>
      <w:r w:rsidR="00EF645F" w:rsidRPr="003A1174">
        <w:rPr>
          <w:rFonts w:ascii="Garamond" w:hAnsi="Garamond" w:cs="Arial"/>
          <w:sz w:val="24"/>
          <w:szCs w:val="24"/>
        </w:rPr>
        <w:t>internacionais</w:t>
      </w:r>
      <w:r w:rsidR="00984D62" w:rsidRPr="003A1174">
        <w:rPr>
          <w:rFonts w:ascii="Garamond" w:hAnsi="Garamond" w:cs="Arial"/>
          <w:sz w:val="24"/>
          <w:szCs w:val="24"/>
        </w:rPr>
        <w:t xml:space="preserve">, </w:t>
      </w:r>
      <w:r w:rsidR="00B3124D" w:rsidRPr="003A1174">
        <w:rPr>
          <w:rFonts w:ascii="Garamond" w:hAnsi="Garamond" w:cs="Arial"/>
          <w:sz w:val="24"/>
          <w:szCs w:val="24"/>
        </w:rPr>
        <w:t>c</w:t>
      </w:r>
      <w:r w:rsidR="00CA0816" w:rsidRPr="003A1174">
        <w:rPr>
          <w:rFonts w:ascii="Garamond" w:hAnsi="Garamond" w:cs="Arial"/>
          <w:sz w:val="24"/>
          <w:szCs w:val="24"/>
        </w:rPr>
        <w:t>onstitu</w:t>
      </w:r>
      <w:r w:rsidR="00802ACC" w:rsidRPr="003A1174">
        <w:rPr>
          <w:rFonts w:ascii="Garamond" w:hAnsi="Garamond" w:cs="Arial"/>
          <w:sz w:val="24"/>
          <w:szCs w:val="24"/>
        </w:rPr>
        <w:t xml:space="preserve">i </w:t>
      </w:r>
      <w:r w:rsidR="00A56F43" w:rsidRPr="003A1174">
        <w:rPr>
          <w:rFonts w:ascii="Garamond" w:hAnsi="Garamond" w:cs="Arial"/>
          <w:sz w:val="24"/>
          <w:szCs w:val="24"/>
        </w:rPr>
        <w:t>um</w:t>
      </w:r>
      <w:r w:rsidR="00DB4FC8" w:rsidRPr="003A1174">
        <w:rPr>
          <w:rFonts w:ascii="Garamond" w:hAnsi="Garamond" w:cs="Arial"/>
          <w:sz w:val="24"/>
          <w:szCs w:val="24"/>
        </w:rPr>
        <w:t xml:space="preserve">a plataforma de </w:t>
      </w:r>
      <w:r w:rsidR="00802ACC" w:rsidRPr="003A1174">
        <w:rPr>
          <w:rFonts w:ascii="Garamond" w:hAnsi="Garamond" w:cs="Arial"/>
          <w:sz w:val="24"/>
          <w:szCs w:val="24"/>
        </w:rPr>
        <w:t>exigência</w:t>
      </w:r>
      <w:r w:rsidR="00DB4FC8" w:rsidRPr="003A1174">
        <w:rPr>
          <w:rFonts w:ascii="Garamond" w:hAnsi="Garamond" w:cs="Arial"/>
          <w:sz w:val="24"/>
          <w:szCs w:val="24"/>
        </w:rPr>
        <w:t xml:space="preserve"> para </w:t>
      </w:r>
      <w:r w:rsidR="00A56F43" w:rsidRPr="003A1174">
        <w:rPr>
          <w:rFonts w:ascii="Garamond" w:hAnsi="Garamond" w:cs="Arial"/>
          <w:sz w:val="24"/>
          <w:szCs w:val="24"/>
        </w:rPr>
        <w:t xml:space="preserve">todas </w:t>
      </w:r>
      <w:r w:rsidR="00CA0816" w:rsidRPr="003A1174">
        <w:rPr>
          <w:rFonts w:ascii="Garamond" w:hAnsi="Garamond" w:cs="Arial"/>
          <w:sz w:val="24"/>
          <w:szCs w:val="24"/>
        </w:rPr>
        <w:t xml:space="preserve">as </w:t>
      </w:r>
      <w:r w:rsidR="00054EE0" w:rsidRPr="003A1174">
        <w:rPr>
          <w:rFonts w:ascii="Garamond" w:hAnsi="Garamond" w:cs="Arial"/>
          <w:sz w:val="24"/>
          <w:szCs w:val="24"/>
        </w:rPr>
        <w:t>mulheres</w:t>
      </w:r>
      <w:r w:rsidR="00DB4FC8" w:rsidRPr="003A1174">
        <w:rPr>
          <w:rFonts w:ascii="Garamond" w:hAnsi="Garamond" w:cs="Arial"/>
          <w:sz w:val="24"/>
          <w:szCs w:val="24"/>
        </w:rPr>
        <w:t xml:space="preserve">. </w:t>
      </w:r>
      <w:r w:rsidR="00802ACC" w:rsidRPr="003A1174">
        <w:rPr>
          <w:rFonts w:ascii="Garamond" w:hAnsi="Garamond" w:cs="Arial"/>
          <w:sz w:val="24"/>
          <w:szCs w:val="24"/>
        </w:rPr>
        <w:t>Exigência</w:t>
      </w:r>
      <w:r w:rsidR="00DB4FC8" w:rsidRPr="003A1174">
        <w:rPr>
          <w:rFonts w:ascii="Garamond" w:hAnsi="Garamond" w:cs="Arial"/>
          <w:sz w:val="24"/>
          <w:szCs w:val="24"/>
        </w:rPr>
        <w:t>s que parte</w:t>
      </w:r>
      <w:r w:rsidR="00802ACC" w:rsidRPr="003A1174">
        <w:rPr>
          <w:rFonts w:ascii="Garamond" w:hAnsi="Garamond" w:cs="Arial"/>
          <w:sz w:val="24"/>
          <w:szCs w:val="24"/>
        </w:rPr>
        <w:t>m</w:t>
      </w:r>
      <w:r w:rsidR="00DB4FC8" w:rsidRPr="003A1174">
        <w:rPr>
          <w:rFonts w:ascii="Garamond" w:hAnsi="Garamond" w:cs="Arial"/>
          <w:sz w:val="24"/>
          <w:szCs w:val="24"/>
        </w:rPr>
        <w:t xml:space="preserve"> d</w:t>
      </w:r>
      <w:r w:rsidR="00802ACC" w:rsidRPr="003A1174">
        <w:rPr>
          <w:rFonts w:ascii="Garamond" w:hAnsi="Garamond" w:cs="Arial"/>
          <w:sz w:val="24"/>
          <w:szCs w:val="24"/>
        </w:rPr>
        <w:t xml:space="preserve">o </w:t>
      </w:r>
      <w:r w:rsidR="00DB4FC8" w:rsidRPr="003A1174">
        <w:rPr>
          <w:rFonts w:ascii="Garamond" w:hAnsi="Garamond" w:cs="Arial"/>
          <w:sz w:val="24"/>
          <w:szCs w:val="24"/>
        </w:rPr>
        <w:t>respe</w:t>
      </w:r>
      <w:r w:rsidR="00802ACC" w:rsidRPr="003A1174">
        <w:rPr>
          <w:rFonts w:ascii="Garamond" w:hAnsi="Garamond" w:cs="Arial"/>
          <w:sz w:val="24"/>
          <w:szCs w:val="24"/>
        </w:rPr>
        <w:t>i</w:t>
      </w:r>
      <w:r w:rsidR="00DB4FC8" w:rsidRPr="003A1174">
        <w:rPr>
          <w:rFonts w:ascii="Garamond" w:hAnsi="Garamond" w:cs="Arial"/>
          <w:sz w:val="24"/>
          <w:szCs w:val="24"/>
        </w:rPr>
        <w:t xml:space="preserve">to </w:t>
      </w:r>
      <w:r w:rsidR="00802ACC" w:rsidRPr="003A1174">
        <w:rPr>
          <w:rFonts w:ascii="Garamond" w:hAnsi="Garamond" w:cs="Arial"/>
          <w:sz w:val="24"/>
          <w:szCs w:val="24"/>
        </w:rPr>
        <w:t xml:space="preserve">pelos seus </w:t>
      </w:r>
      <w:r w:rsidR="00886D6A" w:rsidRPr="003A1174">
        <w:rPr>
          <w:rFonts w:ascii="Garamond" w:hAnsi="Garamond" w:cs="Arial"/>
          <w:sz w:val="24"/>
          <w:szCs w:val="24"/>
        </w:rPr>
        <w:t>direito</w:t>
      </w:r>
      <w:r w:rsidR="00DB4FC8" w:rsidRPr="003A1174">
        <w:rPr>
          <w:rFonts w:ascii="Garamond" w:hAnsi="Garamond" w:cs="Arial"/>
          <w:sz w:val="24"/>
          <w:szCs w:val="24"/>
        </w:rPr>
        <w:t xml:space="preserve">s </w:t>
      </w:r>
      <w:r w:rsidR="00802ACC" w:rsidRPr="003A1174">
        <w:rPr>
          <w:rFonts w:ascii="Garamond" w:hAnsi="Garamond" w:cs="Arial"/>
          <w:sz w:val="24"/>
          <w:szCs w:val="24"/>
        </w:rPr>
        <w:t xml:space="preserve">até à </w:t>
      </w:r>
      <w:r w:rsidR="002F5CD1" w:rsidRPr="003A1174">
        <w:rPr>
          <w:rFonts w:ascii="Garamond" w:hAnsi="Garamond" w:cs="Arial"/>
          <w:sz w:val="24"/>
          <w:szCs w:val="24"/>
        </w:rPr>
        <w:t>promoção</w:t>
      </w:r>
      <w:r w:rsidR="00DB4FC8" w:rsidRPr="003A1174">
        <w:rPr>
          <w:rFonts w:ascii="Garamond" w:hAnsi="Garamond" w:cs="Arial"/>
          <w:sz w:val="24"/>
          <w:szCs w:val="24"/>
        </w:rPr>
        <w:t xml:space="preserve"> e </w:t>
      </w:r>
      <w:r w:rsidR="00A065F8" w:rsidRPr="003A1174">
        <w:rPr>
          <w:rFonts w:ascii="Garamond" w:hAnsi="Garamond" w:cs="Arial"/>
          <w:sz w:val="24"/>
          <w:szCs w:val="24"/>
        </w:rPr>
        <w:t>estímulo</w:t>
      </w:r>
      <w:r w:rsidR="00DB4FC8" w:rsidRPr="003A1174">
        <w:rPr>
          <w:rFonts w:ascii="Garamond" w:hAnsi="Garamond" w:cs="Arial"/>
          <w:sz w:val="24"/>
          <w:szCs w:val="24"/>
        </w:rPr>
        <w:t xml:space="preserve"> de </w:t>
      </w:r>
      <w:r w:rsidR="009D06D1" w:rsidRPr="003A1174">
        <w:rPr>
          <w:rFonts w:ascii="Garamond" w:hAnsi="Garamond" w:cs="Arial"/>
          <w:sz w:val="24"/>
          <w:szCs w:val="24"/>
        </w:rPr>
        <w:t>políticas públicas</w:t>
      </w:r>
      <w:r w:rsidR="00DB4FC8" w:rsidRPr="003A1174">
        <w:rPr>
          <w:rFonts w:ascii="Garamond" w:hAnsi="Garamond" w:cs="Arial"/>
          <w:sz w:val="24"/>
          <w:szCs w:val="24"/>
        </w:rPr>
        <w:t xml:space="preserve"> </w:t>
      </w:r>
      <w:r w:rsidR="00802ACC" w:rsidRPr="003A1174">
        <w:rPr>
          <w:rFonts w:ascii="Garamond" w:hAnsi="Garamond" w:cs="Arial"/>
          <w:sz w:val="24"/>
          <w:szCs w:val="24"/>
        </w:rPr>
        <w:t>e</w:t>
      </w:r>
      <w:r w:rsidR="009D06D1" w:rsidRPr="003A1174">
        <w:rPr>
          <w:rFonts w:ascii="Garamond" w:hAnsi="Garamond" w:cs="Arial"/>
          <w:sz w:val="24"/>
          <w:szCs w:val="24"/>
        </w:rPr>
        <w:t xml:space="preserve"> </w:t>
      </w:r>
      <w:r w:rsidR="00A56F43" w:rsidRPr="003A1174">
        <w:rPr>
          <w:rFonts w:ascii="Garamond" w:hAnsi="Garamond" w:cs="Arial"/>
          <w:sz w:val="24"/>
          <w:szCs w:val="24"/>
        </w:rPr>
        <w:t>estratégia</w:t>
      </w:r>
      <w:r w:rsidR="009D06D1" w:rsidRPr="003A1174">
        <w:rPr>
          <w:rFonts w:ascii="Garamond" w:hAnsi="Garamond" w:cs="Arial"/>
          <w:sz w:val="24"/>
          <w:szCs w:val="24"/>
        </w:rPr>
        <w:t xml:space="preserve">s </w:t>
      </w:r>
      <w:r w:rsidR="00A474B7" w:rsidRPr="003A1174">
        <w:rPr>
          <w:rFonts w:ascii="Garamond" w:hAnsi="Garamond" w:cs="Arial"/>
          <w:sz w:val="24"/>
          <w:szCs w:val="24"/>
        </w:rPr>
        <w:t>co</w:t>
      </w:r>
      <w:r w:rsidR="00802ACC" w:rsidRPr="003A1174">
        <w:rPr>
          <w:rFonts w:ascii="Garamond" w:hAnsi="Garamond" w:cs="Arial"/>
          <w:sz w:val="24"/>
          <w:szCs w:val="24"/>
        </w:rPr>
        <w:t>m</w:t>
      </w:r>
      <w:r w:rsidR="00A474B7" w:rsidRPr="003A1174">
        <w:rPr>
          <w:rFonts w:ascii="Garamond" w:hAnsi="Garamond" w:cs="Arial"/>
          <w:sz w:val="24"/>
          <w:szCs w:val="24"/>
        </w:rPr>
        <w:t xml:space="preserve"> </w:t>
      </w:r>
      <w:r w:rsidR="00D96FD0" w:rsidRPr="003A1174">
        <w:rPr>
          <w:rFonts w:ascii="Garamond" w:hAnsi="Garamond" w:cs="Arial"/>
          <w:sz w:val="24"/>
          <w:szCs w:val="24"/>
        </w:rPr>
        <w:t>perspetiva</w:t>
      </w:r>
      <w:r w:rsidR="00A474B7" w:rsidRPr="003A1174">
        <w:rPr>
          <w:rFonts w:ascii="Garamond" w:hAnsi="Garamond" w:cs="Arial"/>
          <w:sz w:val="24"/>
          <w:szCs w:val="24"/>
        </w:rPr>
        <w:t xml:space="preserve"> de género</w:t>
      </w:r>
      <w:r w:rsidR="00FC7031" w:rsidRPr="003A1174">
        <w:rPr>
          <w:rFonts w:ascii="Garamond" w:hAnsi="Garamond" w:cs="Arial"/>
          <w:sz w:val="24"/>
          <w:szCs w:val="24"/>
        </w:rPr>
        <w:t>,</w:t>
      </w:r>
      <w:r w:rsidR="00A474B7" w:rsidRPr="003A1174">
        <w:rPr>
          <w:rFonts w:ascii="Garamond" w:hAnsi="Garamond" w:cs="Arial"/>
          <w:sz w:val="24"/>
          <w:szCs w:val="24"/>
        </w:rPr>
        <w:t xml:space="preserve"> que </w:t>
      </w:r>
      <w:r w:rsidR="00DB4FC8" w:rsidRPr="003A1174">
        <w:rPr>
          <w:rFonts w:ascii="Garamond" w:hAnsi="Garamond" w:cs="Arial"/>
          <w:sz w:val="24"/>
          <w:szCs w:val="24"/>
        </w:rPr>
        <w:t>vele</w:t>
      </w:r>
      <w:r w:rsidR="00A065F8" w:rsidRPr="003A1174">
        <w:rPr>
          <w:rFonts w:ascii="Garamond" w:hAnsi="Garamond" w:cs="Arial"/>
          <w:sz w:val="24"/>
          <w:szCs w:val="24"/>
        </w:rPr>
        <w:t>m</w:t>
      </w:r>
      <w:r w:rsidR="009D06D1" w:rsidRPr="003A1174">
        <w:rPr>
          <w:rFonts w:ascii="Garamond" w:hAnsi="Garamond" w:cs="Arial"/>
          <w:sz w:val="24"/>
          <w:szCs w:val="24"/>
        </w:rPr>
        <w:t xml:space="preserve"> </w:t>
      </w:r>
      <w:r w:rsidR="00CA0816" w:rsidRPr="003A1174">
        <w:rPr>
          <w:rFonts w:ascii="Garamond" w:hAnsi="Garamond" w:cs="Arial"/>
          <w:sz w:val="24"/>
          <w:szCs w:val="24"/>
        </w:rPr>
        <w:t>p</w:t>
      </w:r>
      <w:r w:rsidR="00DB4FC8" w:rsidRPr="003A1174">
        <w:rPr>
          <w:rFonts w:ascii="Garamond" w:hAnsi="Garamond" w:cs="Arial"/>
          <w:sz w:val="24"/>
          <w:szCs w:val="24"/>
        </w:rPr>
        <w:t>el</w:t>
      </w:r>
      <w:r w:rsidR="00802ACC" w:rsidRPr="003A1174">
        <w:rPr>
          <w:rFonts w:ascii="Garamond" w:hAnsi="Garamond" w:cs="Arial"/>
          <w:sz w:val="24"/>
          <w:szCs w:val="24"/>
        </w:rPr>
        <w:t>o</w:t>
      </w:r>
      <w:r w:rsidR="00CA0816" w:rsidRPr="003A1174">
        <w:rPr>
          <w:rFonts w:ascii="Garamond" w:hAnsi="Garamond" w:cs="Arial"/>
          <w:sz w:val="24"/>
          <w:szCs w:val="24"/>
        </w:rPr>
        <w:t xml:space="preserve"> </w:t>
      </w:r>
      <w:r w:rsidR="009B133A" w:rsidRPr="003A1174">
        <w:rPr>
          <w:rFonts w:ascii="Garamond" w:hAnsi="Garamond" w:cs="Arial"/>
          <w:sz w:val="24"/>
          <w:szCs w:val="24"/>
        </w:rPr>
        <w:t>desenvolvimento</w:t>
      </w:r>
      <w:r w:rsidR="00DB4FC8" w:rsidRPr="003A1174">
        <w:rPr>
          <w:rFonts w:ascii="Garamond" w:hAnsi="Garamond" w:cs="Arial"/>
          <w:sz w:val="24"/>
          <w:szCs w:val="24"/>
        </w:rPr>
        <w:t xml:space="preserve"> da </w:t>
      </w:r>
      <w:r w:rsidR="00AF192F" w:rsidRPr="003A1174">
        <w:rPr>
          <w:rFonts w:ascii="Garamond" w:hAnsi="Garamond" w:cs="Arial"/>
          <w:sz w:val="24"/>
          <w:szCs w:val="24"/>
        </w:rPr>
        <w:t>mulher</w:t>
      </w:r>
      <w:r w:rsidR="00DB4FC8" w:rsidRPr="003A1174">
        <w:rPr>
          <w:rFonts w:ascii="Garamond" w:hAnsi="Garamond" w:cs="Arial"/>
          <w:sz w:val="24"/>
          <w:szCs w:val="24"/>
        </w:rPr>
        <w:t xml:space="preserve"> </w:t>
      </w:r>
      <w:r w:rsidR="00A27B1D" w:rsidRPr="003A1174">
        <w:rPr>
          <w:rFonts w:ascii="Garamond" w:hAnsi="Garamond" w:cs="Arial"/>
          <w:sz w:val="24"/>
          <w:szCs w:val="24"/>
        </w:rPr>
        <w:t>e</w:t>
      </w:r>
      <w:r w:rsidR="00802ACC" w:rsidRPr="003A1174">
        <w:rPr>
          <w:rFonts w:ascii="Garamond" w:hAnsi="Garamond" w:cs="Arial"/>
          <w:sz w:val="24"/>
          <w:szCs w:val="24"/>
        </w:rPr>
        <w:t>m</w:t>
      </w:r>
      <w:r w:rsidR="00A27B1D" w:rsidRPr="003A1174">
        <w:rPr>
          <w:rFonts w:ascii="Garamond" w:hAnsi="Garamond" w:cs="Arial"/>
          <w:sz w:val="24"/>
          <w:szCs w:val="24"/>
        </w:rPr>
        <w:t xml:space="preserve"> </w:t>
      </w:r>
      <w:r w:rsidR="00AC3351" w:rsidRPr="003A1174">
        <w:rPr>
          <w:rFonts w:ascii="Garamond" w:hAnsi="Garamond" w:cs="Arial"/>
          <w:sz w:val="24"/>
          <w:szCs w:val="24"/>
        </w:rPr>
        <w:t>condições</w:t>
      </w:r>
      <w:r w:rsidR="00A27B1D" w:rsidRPr="003A1174">
        <w:rPr>
          <w:rFonts w:ascii="Garamond" w:hAnsi="Garamond" w:cs="Arial"/>
          <w:sz w:val="24"/>
          <w:szCs w:val="24"/>
        </w:rPr>
        <w:t xml:space="preserve"> de </w:t>
      </w:r>
      <w:r w:rsidR="002C7510" w:rsidRPr="003A1174">
        <w:rPr>
          <w:rFonts w:ascii="Garamond" w:hAnsi="Garamond" w:cs="Arial"/>
          <w:sz w:val="24"/>
          <w:szCs w:val="24"/>
        </w:rPr>
        <w:t>igualdade</w:t>
      </w:r>
      <w:r w:rsidR="00A27B1D" w:rsidRPr="003A1174">
        <w:rPr>
          <w:rFonts w:ascii="Garamond" w:hAnsi="Garamond" w:cs="Arial"/>
          <w:sz w:val="24"/>
          <w:szCs w:val="24"/>
        </w:rPr>
        <w:t xml:space="preserve"> e </w:t>
      </w:r>
      <w:r w:rsidR="006F4B2C" w:rsidRPr="003A1174">
        <w:rPr>
          <w:rFonts w:ascii="Garamond" w:hAnsi="Garamond" w:cs="Arial"/>
          <w:sz w:val="24"/>
          <w:szCs w:val="24"/>
        </w:rPr>
        <w:t>integração</w:t>
      </w:r>
      <w:r w:rsidR="00A27B1D" w:rsidRPr="003A1174">
        <w:rPr>
          <w:rFonts w:ascii="Garamond" w:hAnsi="Garamond" w:cs="Arial"/>
          <w:sz w:val="24"/>
          <w:szCs w:val="24"/>
        </w:rPr>
        <w:t xml:space="preserve"> </w:t>
      </w:r>
      <w:r w:rsidR="00802ACC" w:rsidRPr="003A1174">
        <w:rPr>
          <w:rFonts w:ascii="Garamond" w:hAnsi="Garamond" w:cs="Arial"/>
          <w:sz w:val="24"/>
          <w:szCs w:val="24"/>
        </w:rPr>
        <w:t>nos âmbito</w:t>
      </w:r>
      <w:r w:rsidR="00CA0816" w:rsidRPr="003A1174">
        <w:rPr>
          <w:rFonts w:ascii="Garamond" w:hAnsi="Garamond" w:cs="Arial"/>
          <w:sz w:val="24"/>
          <w:szCs w:val="24"/>
        </w:rPr>
        <w:t>s</w:t>
      </w:r>
      <w:r w:rsidR="00802ACC" w:rsidRPr="003A1174">
        <w:rPr>
          <w:rFonts w:ascii="Garamond" w:hAnsi="Garamond" w:cs="Arial"/>
          <w:sz w:val="24"/>
          <w:szCs w:val="24"/>
        </w:rPr>
        <w:t xml:space="preserve"> d</w:t>
      </w:r>
      <w:r w:rsidR="00A27B1D" w:rsidRPr="003A1174">
        <w:rPr>
          <w:rFonts w:ascii="Garamond" w:hAnsi="Garamond" w:cs="Arial"/>
          <w:sz w:val="24"/>
          <w:szCs w:val="24"/>
        </w:rPr>
        <w:t xml:space="preserve">a </w:t>
      </w:r>
      <w:r w:rsidR="00802ACC" w:rsidRPr="003A1174">
        <w:rPr>
          <w:rFonts w:ascii="Garamond" w:hAnsi="Garamond" w:cs="Arial"/>
          <w:sz w:val="24"/>
          <w:szCs w:val="24"/>
        </w:rPr>
        <w:t>educação</w:t>
      </w:r>
      <w:r w:rsidR="00A27B1D" w:rsidRPr="003A1174">
        <w:rPr>
          <w:rFonts w:ascii="Garamond" w:hAnsi="Garamond" w:cs="Arial"/>
          <w:sz w:val="24"/>
          <w:szCs w:val="24"/>
        </w:rPr>
        <w:t xml:space="preserve">, </w:t>
      </w:r>
      <w:r w:rsidR="00802ACC" w:rsidRPr="003A1174">
        <w:rPr>
          <w:rFonts w:ascii="Garamond" w:hAnsi="Garamond" w:cs="Arial"/>
          <w:sz w:val="24"/>
          <w:szCs w:val="24"/>
        </w:rPr>
        <w:t>economia</w:t>
      </w:r>
      <w:r w:rsidR="00A27B1D" w:rsidRPr="003A1174">
        <w:rPr>
          <w:rFonts w:ascii="Garamond" w:hAnsi="Garamond" w:cs="Arial"/>
          <w:sz w:val="24"/>
          <w:szCs w:val="24"/>
        </w:rPr>
        <w:t xml:space="preserve">, política </w:t>
      </w:r>
      <w:r w:rsidR="00802ACC" w:rsidRPr="003A1174">
        <w:rPr>
          <w:rFonts w:ascii="Garamond" w:hAnsi="Garamond" w:cs="Arial"/>
          <w:sz w:val="24"/>
          <w:szCs w:val="24"/>
        </w:rPr>
        <w:t xml:space="preserve">e </w:t>
      </w:r>
      <w:r w:rsidR="00046E19" w:rsidRPr="003A1174">
        <w:rPr>
          <w:rFonts w:ascii="Garamond" w:hAnsi="Garamond" w:cs="Arial"/>
          <w:sz w:val="24"/>
          <w:szCs w:val="24"/>
        </w:rPr>
        <w:t>emprego</w:t>
      </w:r>
      <w:r w:rsidR="009D06D1" w:rsidRPr="003A1174">
        <w:rPr>
          <w:rFonts w:ascii="Garamond" w:hAnsi="Garamond" w:cs="Arial"/>
          <w:sz w:val="24"/>
          <w:szCs w:val="24"/>
        </w:rPr>
        <w:t xml:space="preserve">, considerando </w:t>
      </w:r>
      <w:r w:rsidR="00802ACC" w:rsidRPr="003A1174">
        <w:rPr>
          <w:rFonts w:ascii="Garamond" w:hAnsi="Garamond" w:cs="Arial"/>
          <w:sz w:val="24"/>
          <w:szCs w:val="24"/>
        </w:rPr>
        <w:t xml:space="preserve">a </w:t>
      </w:r>
      <w:r w:rsidR="009D06D1" w:rsidRPr="003A1174">
        <w:rPr>
          <w:rFonts w:ascii="Garamond" w:hAnsi="Garamond" w:cs="Arial"/>
          <w:sz w:val="24"/>
          <w:szCs w:val="24"/>
        </w:rPr>
        <w:t>su</w:t>
      </w:r>
      <w:r w:rsidR="00802ACC" w:rsidRPr="003A1174">
        <w:rPr>
          <w:rFonts w:ascii="Garamond" w:hAnsi="Garamond" w:cs="Arial"/>
          <w:sz w:val="24"/>
          <w:szCs w:val="24"/>
        </w:rPr>
        <w:t>a</w:t>
      </w:r>
      <w:r w:rsidR="009D06D1" w:rsidRPr="003A1174">
        <w:rPr>
          <w:rFonts w:ascii="Garamond" w:hAnsi="Garamond" w:cs="Arial"/>
          <w:sz w:val="24"/>
          <w:szCs w:val="24"/>
        </w:rPr>
        <w:t xml:space="preserve"> </w:t>
      </w:r>
      <w:r w:rsidR="00802ACC" w:rsidRPr="003A1174">
        <w:rPr>
          <w:rFonts w:ascii="Garamond" w:hAnsi="Garamond" w:cs="Arial"/>
          <w:sz w:val="24"/>
          <w:szCs w:val="24"/>
        </w:rPr>
        <w:t>diversidade e</w:t>
      </w:r>
      <w:r w:rsidR="009D06D1" w:rsidRPr="003A1174">
        <w:rPr>
          <w:rFonts w:ascii="Garamond" w:hAnsi="Garamond" w:cs="Arial"/>
          <w:sz w:val="24"/>
          <w:szCs w:val="24"/>
        </w:rPr>
        <w:t xml:space="preserve"> ciclos de vida</w:t>
      </w:r>
      <w:r w:rsidR="00DB4FC8" w:rsidRPr="003A1174">
        <w:rPr>
          <w:rFonts w:ascii="Garamond" w:hAnsi="Garamond" w:cs="Arial"/>
          <w:sz w:val="24"/>
          <w:szCs w:val="24"/>
        </w:rPr>
        <w:t>.</w:t>
      </w:r>
    </w:p>
    <w:p w:rsidR="008C7F55" w:rsidRPr="003A1174" w:rsidRDefault="000456B2" w:rsidP="008719D4">
      <w:pPr>
        <w:spacing w:line="240" w:lineRule="auto"/>
        <w:jc w:val="both"/>
        <w:rPr>
          <w:rFonts w:ascii="Garamond" w:hAnsi="Garamond" w:cs="Arial"/>
          <w:sz w:val="24"/>
          <w:szCs w:val="24"/>
          <w:shd w:val="clear" w:color="auto" w:fill="FFFFFF"/>
        </w:rPr>
      </w:pPr>
      <w:r w:rsidRPr="003A1174">
        <w:rPr>
          <w:rFonts w:ascii="Garamond" w:hAnsi="Garamond" w:cs="Arial"/>
          <w:sz w:val="24"/>
          <w:szCs w:val="24"/>
          <w:shd w:val="clear" w:color="auto" w:fill="FFFFFF"/>
        </w:rPr>
        <w:t xml:space="preserve">De tal forma </w:t>
      </w:r>
      <w:r w:rsidR="008C7F55" w:rsidRPr="003A1174">
        <w:rPr>
          <w:rFonts w:ascii="Garamond" w:hAnsi="Garamond" w:cs="Arial"/>
          <w:sz w:val="24"/>
          <w:szCs w:val="24"/>
          <w:shd w:val="clear" w:color="auto" w:fill="FFFFFF"/>
        </w:rPr>
        <w:t xml:space="preserve">que </w:t>
      </w:r>
      <w:r w:rsidR="00802ACC" w:rsidRPr="003A1174">
        <w:rPr>
          <w:rFonts w:ascii="Garamond" w:hAnsi="Garamond" w:cs="Arial"/>
          <w:sz w:val="24"/>
          <w:szCs w:val="24"/>
          <w:shd w:val="clear" w:color="auto" w:fill="FFFFFF"/>
        </w:rPr>
        <w:t>n</w:t>
      </w:r>
      <w:r w:rsidR="008C7F55" w:rsidRPr="003A1174">
        <w:rPr>
          <w:rFonts w:ascii="Garamond" w:hAnsi="Garamond" w:cs="Arial"/>
          <w:sz w:val="24"/>
          <w:szCs w:val="24"/>
          <w:shd w:val="clear" w:color="auto" w:fill="FFFFFF"/>
        </w:rPr>
        <w:t xml:space="preserve">os últimos </w:t>
      </w:r>
      <w:r w:rsidR="002C7510" w:rsidRPr="003A1174">
        <w:rPr>
          <w:rFonts w:ascii="Garamond" w:hAnsi="Garamond" w:cs="Arial"/>
          <w:sz w:val="24"/>
          <w:szCs w:val="24"/>
          <w:shd w:val="clear" w:color="auto" w:fill="FFFFFF"/>
        </w:rPr>
        <w:t>ano</w:t>
      </w:r>
      <w:r w:rsidR="00802ACC" w:rsidRPr="003A1174">
        <w:rPr>
          <w:rFonts w:ascii="Garamond" w:hAnsi="Garamond" w:cs="Arial"/>
          <w:sz w:val="24"/>
          <w:szCs w:val="24"/>
          <w:shd w:val="clear" w:color="auto" w:fill="FFFFFF"/>
        </w:rPr>
        <w:t xml:space="preserve">s </w:t>
      </w:r>
      <w:r w:rsidR="008C7F55" w:rsidRPr="003A1174">
        <w:rPr>
          <w:rFonts w:ascii="Garamond" w:hAnsi="Garamond" w:cs="Arial"/>
          <w:sz w:val="24"/>
          <w:szCs w:val="24"/>
          <w:shd w:val="clear" w:color="auto" w:fill="FFFFFF"/>
        </w:rPr>
        <w:t xml:space="preserve">a agenda internacional </w:t>
      </w:r>
      <w:r w:rsidRPr="003A1174">
        <w:rPr>
          <w:rFonts w:ascii="Garamond" w:hAnsi="Garamond" w:cs="Arial"/>
          <w:sz w:val="24"/>
          <w:szCs w:val="24"/>
          <w:shd w:val="clear" w:color="auto" w:fill="FFFFFF"/>
        </w:rPr>
        <w:t xml:space="preserve">se </w:t>
      </w:r>
      <w:r w:rsidR="00EB2F44" w:rsidRPr="003A1174">
        <w:rPr>
          <w:rFonts w:ascii="Garamond" w:hAnsi="Garamond" w:cs="Arial"/>
          <w:sz w:val="24"/>
          <w:szCs w:val="24"/>
          <w:shd w:val="clear" w:color="auto" w:fill="FFFFFF"/>
        </w:rPr>
        <w:t xml:space="preserve">focou em </w:t>
      </w:r>
      <w:r w:rsidR="00D34424" w:rsidRPr="003A1174">
        <w:rPr>
          <w:rFonts w:ascii="Garamond" w:hAnsi="Garamond" w:cs="Arial"/>
          <w:sz w:val="24"/>
          <w:szCs w:val="24"/>
          <w:shd w:val="clear" w:color="auto" w:fill="FFFFFF"/>
        </w:rPr>
        <w:t>do</w:t>
      </w:r>
      <w:r w:rsidR="00EB2F44" w:rsidRPr="003A1174">
        <w:rPr>
          <w:rFonts w:ascii="Garamond" w:hAnsi="Garamond" w:cs="Arial"/>
          <w:sz w:val="24"/>
          <w:szCs w:val="24"/>
          <w:shd w:val="clear" w:color="auto" w:fill="FFFFFF"/>
        </w:rPr>
        <w:t>i</w:t>
      </w:r>
      <w:r w:rsidR="00D34424" w:rsidRPr="003A1174">
        <w:rPr>
          <w:rFonts w:ascii="Garamond" w:hAnsi="Garamond" w:cs="Arial"/>
          <w:sz w:val="24"/>
          <w:szCs w:val="24"/>
          <w:shd w:val="clear" w:color="auto" w:fill="FFFFFF"/>
        </w:rPr>
        <w:t xml:space="preserve">s </w:t>
      </w:r>
      <w:r w:rsidR="005D38DC" w:rsidRPr="003A1174">
        <w:rPr>
          <w:rFonts w:ascii="Garamond" w:hAnsi="Garamond" w:cs="Arial"/>
          <w:sz w:val="24"/>
          <w:szCs w:val="24"/>
          <w:shd w:val="clear" w:color="auto" w:fill="FFFFFF"/>
        </w:rPr>
        <w:t>aspeto</w:t>
      </w:r>
      <w:r w:rsidR="00D34424" w:rsidRPr="003A1174">
        <w:rPr>
          <w:rFonts w:ascii="Garamond" w:hAnsi="Garamond" w:cs="Arial"/>
          <w:sz w:val="24"/>
          <w:szCs w:val="24"/>
          <w:shd w:val="clear" w:color="auto" w:fill="FFFFFF"/>
        </w:rPr>
        <w:t xml:space="preserve">s </w:t>
      </w:r>
      <w:r w:rsidR="00CA633E" w:rsidRPr="003A1174">
        <w:rPr>
          <w:rFonts w:ascii="Garamond" w:hAnsi="Garamond" w:cs="Arial"/>
          <w:sz w:val="24"/>
          <w:szCs w:val="24"/>
          <w:shd w:val="clear" w:color="auto" w:fill="FFFFFF"/>
        </w:rPr>
        <w:t>fundamentais</w:t>
      </w:r>
      <w:r w:rsidR="00D34424"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dar prioridade à i</w:t>
      </w:r>
      <w:r w:rsidR="008C7F55" w:rsidRPr="003A1174">
        <w:rPr>
          <w:rStyle w:val="apple-converted-space"/>
          <w:rFonts w:ascii="Garamond" w:hAnsi="Garamond" w:cs="Arial"/>
          <w:sz w:val="24"/>
          <w:szCs w:val="24"/>
          <w:shd w:val="clear" w:color="auto" w:fill="FFFFFF"/>
        </w:rPr>
        <w:t>ncorpora</w:t>
      </w:r>
      <w:r w:rsidR="00EB2F44" w:rsidRPr="003A1174">
        <w:rPr>
          <w:rStyle w:val="apple-converted-space"/>
          <w:rFonts w:ascii="Garamond" w:hAnsi="Garamond" w:cs="Arial"/>
          <w:sz w:val="24"/>
          <w:szCs w:val="24"/>
          <w:shd w:val="clear" w:color="auto" w:fill="FFFFFF"/>
        </w:rPr>
        <w:t xml:space="preserve">ção do </w:t>
      </w:r>
      <w:r w:rsidR="00E6191C" w:rsidRPr="003A1174">
        <w:rPr>
          <w:rFonts w:ascii="Garamond" w:hAnsi="Garamond" w:cs="Arial"/>
          <w:sz w:val="24"/>
          <w:szCs w:val="24"/>
          <w:shd w:val="clear" w:color="auto" w:fill="FFFFFF"/>
        </w:rPr>
        <w:t>enfoque</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de</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género</w:t>
      </w:r>
      <w:r w:rsidR="008C7F55"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e</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de</w:t>
      </w:r>
      <w:r w:rsidR="00191A80" w:rsidRPr="003A1174">
        <w:rPr>
          <w:rFonts w:ascii="Garamond" w:hAnsi="Garamond" w:cs="Arial"/>
          <w:sz w:val="24"/>
          <w:szCs w:val="24"/>
          <w:shd w:val="clear" w:color="auto" w:fill="FFFFFF"/>
        </w:rPr>
        <w:t xml:space="preserve"> </w:t>
      </w:r>
      <w:r w:rsidR="00886D6A" w:rsidRPr="003A1174">
        <w:rPr>
          <w:rFonts w:ascii="Garamond" w:hAnsi="Garamond" w:cs="Arial"/>
          <w:sz w:val="24"/>
          <w:szCs w:val="24"/>
          <w:shd w:val="clear" w:color="auto" w:fill="FFFFFF"/>
        </w:rPr>
        <w:t>direito</w:t>
      </w:r>
      <w:r w:rsidR="00E6191C" w:rsidRPr="003A1174">
        <w:rPr>
          <w:rFonts w:ascii="Garamond" w:hAnsi="Garamond" w:cs="Arial"/>
          <w:sz w:val="24"/>
          <w:szCs w:val="24"/>
          <w:shd w:val="clear" w:color="auto" w:fill="FFFFFF"/>
        </w:rPr>
        <w:t>s</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humanos</w:t>
      </w:r>
      <w:r w:rsidR="008C7F55"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d</w:t>
      </w:r>
      <w:r w:rsidR="00E6191C" w:rsidRPr="003A1174">
        <w:rPr>
          <w:rFonts w:ascii="Garamond" w:hAnsi="Garamond" w:cs="Arial"/>
          <w:sz w:val="24"/>
          <w:szCs w:val="24"/>
          <w:shd w:val="clear" w:color="auto" w:fill="FFFFFF"/>
        </w:rPr>
        <w:t>as</w:t>
      </w:r>
      <w:r w:rsidR="008C7F55" w:rsidRPr="003A1174">
        <w:rPr>
          <w:rFonts w:ascii="Garamond" w:hAnsi="Garamond" w:cs="Arial"/>
          <w:sz w:val="24"/>
          <w:szCs w:val="24"/>
          <w:shd w:val="clear" w:color="auto" w:fill="FFFFFF"/>
        </w:rPr>
        <w:t xml:space="preserve"> </w:t>
      </w:r>
      <w:r w:rsidR="00054EE0" w:rsidRPr="003A1174">
        <w:rPr>
          <w:rFonts w:ascii="Garamond" w:hAnsi="Garamond" w:cs="Arial"/>
          <w:sz w:val="24"/>
          <w:szCs w:val="24"/>
          <w:shd w:val="clear" w:color="auto" w:fill="FFFFFF"/>
        </w:rPr>
        <w:t>mulheres</w:t>
      </w:r>
      <w:r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n</w:t>
      </w:r>
      <w:r w:rsidR="00E6191C" w:rsidRPr="003A1174">
        <w:rPr>
          <w:rFonts w:ascii="Garamond" w:hAnsi="Garamond" w:cs="Arial"/>
          <w:sz w:val="24"/>
          <w:szCs w:val="24"/>
          <w:shd w:val="clear" w:color="auto" w:fill="FFFFFF"/>
        </w:rPr>
        <w:t>a</w:t>
      </w:r>
      <w:r w:rsidR="00E6191C" w:rsidRPr="003A1174">
        <w:rPr>
          <w:rStyle w:val="apple-converted-space"/>
          <w:rFonts w:ascii="Garamond" w:hAnsi="Garamond" w:cs="Arial"/>
          <w:sz w:val="24"/>
          <w:szCs w:val="24"/>
          <w:shd w:val="clear" w:color="auto" w:fill="FFFFFF"/>
        </w:rPr>
        <w:t> </w:t>
      </w:r>
      <w:r w:rsidR="00EB2F44" w:rsidRPr="003A1174">
        <w:rPr>
          <w:rFonts w:ascii="Garamond" w:hAnsi="Garamond" w:cs="Arial"/>
          <w:sz w:val="24"/>
          <w:szCs w:val="24"/>
          <w:shd w:val="clear" w:color="auto" w:fill="FFFFFF"/>
        </w:rPr>
        <w:t>formulação</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de</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 xml:space="preserve">políticas, </w:t>
      </w:r>
      <w:r w:rsidR="00EB2F44" w:rsidRPr="003A1174">
        <w:rPr>
          <w:rFonts w:ascii="Garamond" w:hAnsi="Garamond" w:cs="Arial"/>
          <w:sz w:val="24"/>
          <w:szCs w:val="24"/>
          <w:shd w:val="clear" w:color="auto" w:fill="FFFFFF"/>
        </w:rPr>
        <w:t>n</w:t>
      </w:r>
      <w:r w:rsidR="00E6191C" w:rsidRPr="003A1174">
        <w:rPr>
          <w:rFonts w:ascii="Garamond" w:hAnsi="Garamond" w:cs="Arial"/>
          <w:sz w:val="24"/>
          <w:szCs w:val="24"/>
          <w:shd w:val="clear" w:color="auto" w:fill="FFFFFF"/>
        </w:rPr>
        <w:t>a</w:t>
      </w:r>
      <w:r w:rsidR="008C7F55"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planificação</w:t>
      </w:r>
      <w:r w:rsidR="008C7F55"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e n</w:t>
      </w:r>
      <w:r w:rsidR="00E6191C" w:rsidRPr="003A1174">
        <w:rPr>
          <w:rFonts w:ascii="Garamond" w:hAnsi="Garamond" w:cs="Arial"/>
          <w:sz w:val="24"/>
          <w:szCs w:val="24"/>
          <w:shd w:val="clear" w:color="auto" w:fill="FFFFFF"/>
        </w:rPr>
        <w:t>as</w:t>
      </w:r>
      <w:r w:rsidR="008C7F55" w:rsidRPr="003A1174">
        <w:rPr>
          <w:rFonts w:ascii="Garamond" w:hAnsi="Garamond" w:cs="Arial"/>
          <w:sz w:val="24"/>
          <w:szCs w:val="24"/>
          <w:shd w:val="clear" w:color="auto" w:fill="FFFFFF"/>
        </w:rPr>
        <w:t xml:space="preserve"> </w:t>
      </w:r>
      <w:r w:rsidR="00A56F43" w:rsidRPr="003A1174">
        <w:rPr>
          <w:rFonts w:ascii="Garamond" w:hAnsi="Garamond" w:cs="Arial"/>
          <w:sz w:val="24"/>
          <w:szCs w:val="24"/>
          <w:shd w:val="clear" w:color="auto" w:fill="FFFFFF"/>
        </w:rPr>
        <w:t>estratégia</w:t>
      </w:r>
      <w:r w:rsidR="00E6191C" w:rsidRPr="003A1174">
        <w:rPr>
          <w:rFonts w:ascii="Garamond" w:hAnsi="Garamond" w:cs="Arial"/>
          <w:sz w:val="24"/>
          <w:szCs w:val="24"/>
          <w:shd w:val="clear" w:color="auto" w:fill="FFFFFF"/>
        </w:rPr>
        <w:t>s</w:t>
      </w:r>
      <w:r w:rsidR="008C7F55" w:rsidRPr="003A1174">
        <w:rPr>
          <w:rFonts w:ascii="Garamond" w:hAnsi="Garamond" w:cs="Arial"/>
          <w:sz w:val="24"/>
          <w:szCs w:val="24"/>
          <w:shd w:val="clear" w:color="auto" w:fill="FFFFFF"/>
        </w:rPr>
        <w:t xml:space="preserve"> </w:t>
      </w:r>
      <w:r w:rsidR="00E6191C" w:rsidRPr="003A1174">
        <w:rPr>
          <w:rFonts w:ascii="Garamond" w:hAnsi="Garamond" w:cs="Arial"/>
          <w:sz w:val="24"/>
          <w:szCs w:val="24"/>
          <w:shd w:val="clear" w:color="auto" w:fill="FFFFFF"/>
        </w:rPr>
        <w:t>de</w:t>
      </w:r>
      <w:r w:rsidR="00E6191C" w:rsidRPr="003A1174">
        <w:rPr>
          <w:rStyle w:val="apple-converted-space"/>
          <w:rFonts w:ascii="Garamond" w:hAnsi="Garamond" w:cs="Arial"/>
          <w:sz w:val="24"/>
          <w:szCs w:val="24"/>
          <w:shd w:val="clear" w:color="auto" w:fill="FFFFFF"/>
        </w:rPr>
        <w:t> </w:t>
      </w:r>
      <w:r w:rsidR="009B133A" w:rsidRPr="003A1174">
        <w:rPr>
          <w:rFonts w:ascii="Garamond" w:hAnsi="Garamond" w:cs="Arial"/>
          <w:sz w:val="24"/>
          <w:szCs w:val="24"/>
          <w:shd w:val="clear" w:color="auto" w:fill="FFFFFF"/>
        </w:rPr>
        <w:t>desenvolvimento</w:t>
      </w:r>
      <w:r w:rsidR="00D34424" w:rsidRPr="003A1174">
        <w:rPr>
          <w:rFonts w:ascii="Garamond" w:hAnsi="Garamond" w:cs="Arial"/>
          <w:sz w:val="24"/>
          <w:szCs w:val="24"/>
          <w:shd w:val="clear" w:color="auto" w:fill="FFFFFF"/>
        </w:rPr>
        <w:t>; as</w:t>
      </w:r>
      <w:r w:rsidR="00EB2F44" w:rsidRPr="003A1174">
        <w:rPr>
          <w:rFonts w:ascii="Garamond" w:hAnsi="Garamond" w:cs="Arial"/>
          <w:sz w:val="24"/>
          <w:szCs w:val="24"/>
          <w:shd w:val="clear" w:color="auto" w:fill="FFFFFF"/>
        </w:rPr>
        <w:t>sim</w:t>
      </w:r>
      <w:r w:rsidR="00D34424" w:rsidRPr="003A1174">
        <w:rPr>
          <w:rFonts w:ascii="Garamond" w:hAnsi="Garamond" w:cs="Arial"/>
          <w:sz w:val="24"/>
          <w:szCs w:val="24"/>
          <w:shd w:val="clear" w:color="auto" w:fill="FFFFFF"/>
        </w:rPr>
        <w:t xml:space="preserve"> como, e</w:t>
      </w:r>
      <w:r w:rsidR="00EB2F44" w:rsidRPr="003A1174">
        <w:rPr>
          <w:rFonts w:ascii="Garamond" w:hAnsi="Garamond" w:cs="Arial"/>
          <w:sz w:val="24"/>
          <w:szCs w:val="24"/>
          <w:shd w:val="clear" w:color="auto" w:fill="FFFFFF"/>
        </w:rPr>
        <w:t xml:space="preserve">m erradicar </w:t>
      </w:r>
      <w:r w:rsidR="00D34424" w:rsidRPr="003A1174">
        <w:rPr>
          <w:rFonts w:ascii="Garamond" w:hAnsi="Garamond" w:cs="Arial"/>
          <w:sz w:val="24"/>
          <w:szCs w:val="24"/>
          <w:shd w:val="clear" w:color="auto" w:fill="FFFFFF"/>
        </w:rPr>
        <w:t xml:space="preserve">a </w:t>
      </w:r>
      <w:r w:rsidR="000350B1" w:rsidRPr="003A1174">
        <w:rPr>
          <w:rFonts w:ascii="Garamond" w:hAnsi="Garamond" w:cs="Arial"/>
          <w:sz w:val="24"/>
          <w:szCs w:val="24"/>
          <w:shd w:val="clear" w:color="auto" w:fill="FFFFFF"/>
        </w:rPr>
        <w:t>violência</w:t>
      </w:r>
      <w:r w:rsidR="00EB2F44" w:rsidRPr="003A1174">
        <w:rPr>
          <w:rFonts w:ascii="Garamond" w:hAnsi="Garamond" w:cs="Arial"/>
          <w:sz w:val="24"/>
          <w:szCs w:val="24"/>
          <w:shd w:val="clear" w:color="auto" w:fill="FFFFFF"/>
        </w:rPr>
        <w:t xml:space="preserve"> contra </w:t>
      </w:r>
      <w:r w:rsidR="00D34424" w:rsidRPr="003A1174">
        <w:rPr>
          <w:rFonts w:ascii="Garamond" w:hAnsi="Garamond" w:cs="Arial"/>
          <w:sz w:val="24"/>
          <w:szCs w:val="24"/>
          <w:shd w:val="clear" w:color="auto" w:fill="FFFFFF"/>
        </w:rPr>
        <w:t xml:space="preserve">a </w:t>
      </w:r>
      <w:r w:rsidR="00AF192F" w:rsidRPr="003A1174">
        <w:rPr>
          <w:rFonts w:ascii="Garamond" w:hAnsi="Garamond" w:cs="Arial"/>
          <w:sz w:val="24"/>
          <w:szCs w:val="24"/>
          <w:shd w:val="clear" w:color="auto" w:fill="FFFFFF"/>
        </w:rPr>
        <w:t>mulher</w:t>
      </w:r>
      <w:r w:rsidR="00D34424" w:rsidRPr="003A1174">
        <w:rPr>
          <w:rFonts w:ascii="Garamond" w:hAnsi="Garamond" w:cs="Arial"/>
          <w:sz w:val="24"/>
          <w:szCs w:val="24"/>
          <w:shd w:val="clear" w:color="auto" w:fill="FFFFFF"/>
        </w:rPr>
        <w:t xml:space="preserve"> e</w:t>
      </w:r>
      <w:r w:rsidR="00EB2F44" w:rsidRPr="003A1174">
        <w:rPr>
          <w:rFonts w:ascii="Garamond" w:hAnsi="Garamond" w:cs="Arial"/>
          <w:sz w:val="24"/>
          <w:szCs w:val="24"/>
          <w:shd w:val="clear" w:color="auto" w:fill="FFFFFF"/>
        </w:rPr>
        <w:t>m</w:t>
      </w:r>
      <w:r w:rsidR="00D34424" w:rsidRPr="003A1174">
        <w:rPr>
          <w:rFonts w:ascii="Garamond" w:hAnsi="Garamond" w:cs="Arial"/>
          <w:sz w:val="24"/>
          <w:szCs w:val="24"/>
          <w:shd w:val="clear" w:color="auto" w:fill="FFFFFF"/>
        </w:rPr>
        <w:t xml:space="preserve"> todas </w:t>
      </w:r>
      <w:r w:rsidR="00EB2F44" w:rsidRPr="003A1174">
        <w:rPr>
          <w:rFonts w:ascii="Garamond" w:hAnsi="Garamond" w:cs="Arial"/>
          <w:sz w:val="24"/>
          <w:szCs w:val="24"/>
          <w:shd w:val="clear" w:color="auto" w:fill="FFFFFF"/>
        </w:rPr>
        <w:t xml:space="preserve">as </w:t>
      </w:r>
      <w:r w:rsidR="00D34424" w:rsidRPr="003A1174">
        <w:rPr>
          <w:rFonts w:ascii="Garamond" w:hAnsi="Garamond" w:cs="Arial"/>
          <w:sz w:val="24"/>
          <w:szCs w:val="24"/>
          <w:shd w:val="clear" w:color="auto" w:fill="FFFFFF"/>
        </w:rPr>
        <w:t>su</w:t>
      </w:r>
      <w:r w:rsidR="00EB2F44" w:rsidRPr="003A1174">
        <w:rPr>
          <w:rFonts w:ascii="Garamond" w:hAnsi="Garamond" w:cs="Arial"/>
          <w:sz w:val="24"/>
          <w:szCs w:val="24"/>
          <w:shd w:val="clear" w:color="auto" w:fill="FFFFFF"/>
        </w:rPr>
        <w:t>a</w:t>
      </w:r>
      <w:r w:rsidR="00D34424" w:rsidRPr="003A1174">
        <w:rPr>
          <w:rFonts w:ascii="Garamond" w:hAnsi="Garamond" w:cs="Arial"/>
          <w:sz w:val="24"/>
          <w:szCs w:val="24"/>
          <w:shd w:val="clear" w:color="auto" w:fill="FFFFFF"/>
        </w:rPr>
        <w:t xml:space="preserve">s </w:t>
      </w:r>
      <w:r w:rsidR="00C30647" w:rsidRPr="003A1174">
        <w:rPr>
          <w:rFonts w:ascii="Garamond" w:hAnsi="Garamond" w:cs="Arial"/>
          <w:sz w:val="24"/>
          <w:szCs w:val="24"/>
          <w:shd w:val="clear" w:color="auto" w:fill="FFFFFF"/>
        </w:rPr>
        <w:t>manifestações</w:t>
      </w:r>
      <w:r w:rsidR="00D34424" w:rsidRPr="003A1174">
        <w:rPr>
          <w:rFonts w:ascii="Garamond" w:hAnsi="Garamond" w:cs="Arial"/>
          <w:sz w:val="24"/>
          <w:szCs w:val="24"/>
          <w:shd w:val="clear" w:color="auto" w:fill="FFFFFF"/>
        </w:rPr>
        <w:t xml:space="preserve">.   </w:t>
      </w:r>
    </w:p>
    <w:p w:rsidR="00804840" w:rsidRPr="003A1174" w:rsidRDefault="003F012B" w:rsidP="008719D4">
      <w:pPr>
        <w:tabs>
          <w:tab w:val="left" w:pos="4678"/>
          <w:tab w:val="left" w:pos="5103"/>
        </w:tabs>
        <w:spacing w:line="240" w:lineRule="auto"/>
        <w:jc w:val="both"/>
        <w:rPr>
          <w:rFonts w:ascii="Garamond" w:hAnsi="Garamond" w:cs="Arial"/>
          <w:sz w:val="24"/>
          <w:szCs w:val="24"/>
        </w:rPr>
      </w:pPr>
      <w:r w:rsidRPr="003A1174">
        <w:rPr>
          <w:rFonts w:ascii="Garamond" w:hAnsi="Garamond" w:cs="Arial"/>
          <w:sz w:val="24"/>
          <w:szCs w:val="24"/>
          <w:shd w:val="clear" w:color="auto" w:fill="FFFFFF"/>
        </w:rPr>
        <w:t>A evolução</w:t>
      </w:r>
      <w:r w:rsidR="002010C0" w:rsidRPr="003A1174">
        <w:rPr>
          <w:rFonts w:ascii="Garamond" w:hAnsi="Garamond" w:cs="Arial"/>
          <w:sz w:val="24"/>
          <w:szCs w:val="24"/>
          <w:shd w:val="clear" w:color="auto" w:fill="FFFFFF"/>
        </w:rPr>
        <w:t xml:space="preserve"> d</w:t>
      </w:r>
      <w:r w:rsidRPr="003A1174">
        <w:rPr>
          <w:rFonts w:ascii="Garamond" w:hAnsi="Garamond" w:cs="Arial"/>
          <w:sz w:val="24"/>
          <w:szCs w:val="24"/>
          <w:shd w:val="clear" w:color="auto" w:fill="FFFFFF"/>
        </w:rPr>
        <w:t>o</w:t>
      </w:r>
      <w:r w:rsidR="002010C0" w:rsidRPr="003A1174">
        <w:rPr>
          <w:rFonts w:ascii="Garamond" w:hAnsi="Garamond" w:cs="Arial"/>
          <w:sz w:val="24"/>
          <w:szCs w:val="24"/>
          <w:shd w:val="clear" w:color="auto" w:fill="FFFFFF"/>
        </w:rPr>
        <w:t xml:space="preserve"> </w:t>
      </w:r>
      <w:r w:rsidR="00886D6A" w:rsidRPr="003A1174">
        <w:rPr>
          <w:rFonts w:ascii="Garamond" w:hAnsi="Garamond" w:cs="Arial"/>
          <w:sz w:val="24"/>
          <w:szCs w:val="24"/>
          <w:shd w:val="clear" w:color="auto" w:fill="FFFFFF"/>
        </w:rPr>
        <w:t>Direito</w:t>
      </w:r>
      <w:r w:rsidR="002010C0" w:rsidRPr="003A1174">
        <w:rPr>
          <w:rFonts w:ascii="Garamond" w:hAnsi="Garamond" w:cs="Arial"/>
          <w:sz w:val="24"/>
          <w:szCs w:val="24"/>
          <w:shd w:val="clear" w:color="auto" w:fill="FFFFFF"/>
        </w:rPr>
        <w:t xml:space="preserve"> Internacional dos </w:t>
      </w:r>
      <w:r w:rsidR="00886D6A" w:rsidRPr="003A1174">
        <w:rPr>
          <w:rFonts w:ascii="Garamond" w:hAnsi="Garamond" w:cs="Arial"/>
          <w:sz w:val="24"/>
          <w:szCs w:val="24"/>
          <w:shd w:val="clear" w:color="auto" w:fill="FFFFFF"/>
        </w:rPr>
        <w:t>Direito</w:t>
      </w:r>
      <w:r w:rsidR="002010C0" w:rsidRPr="003A1174">
        <w:rPr>
          <w:rFonts w:ascii="Garamond" w:hAnsi="Garamond" w:cs="Arial"/>
          <w:sz w:val="24"/>
          <w:szCs w:val="24"/>
          <w:shd w:val="clear" w:color="auto" w:fill="FFFFFF"/>
        </w:rPr>
        <w:t xml:space="preserve">s Humanos </w:t>
      </w:r>
      <w:r w:rsidR="00EB2F44" w:rsidRPr="003A1174">
        <w:rPr>
          <w:rFonts w:ascii="Garamond" w:hAnsi="Garamond" w:cs="Arial"/>
          <w:sz w:val="24"/>
          <w:szCs w:val="24"/>
          <w:shd w:val="clear" w:color="auto" w:fill="FFFFFF"/>
        </w:rPr>
        <w:t xml:space="preserve">passou </w:t>
      </w:r>
      <w:r w:rsidR="002010C0" w:rsidRPr="003A1174">
        <w:rPr>
          <w:rFonts w:ascii="Garamond" w:hAnsi="Garamond" w:cs="Arial"/>
          <w:sz w:val="24"/>
          <w:szCs w:val="24"/>
          <w:shd w:val="clear" w:color="auto" w:fill="FFFFFF"/>
        </w:rPr>
        <w:t>p</w:t>
      </w:r>
      <w:r w:rsidR="00EB2F44" w:rsidRPr="003A1174">
        <w:rPr>
          <w:rFonts w:ascii="Garamond" w:hAnsi="Garamond" w:cs="Arial"/>
          <w:sz w:val="24"/>
          <w:szCs w:val="24"/>
          <w:shd w:val="clear" w:color="auto" w:fill="FFFFFF"/>
        </w:rPr>
        <w:t>e</w:t>
      </w:r>
      <w:r w:rsidR="002010C0" w:rsidRPr="003A1174">
        <w:rPr>
          <w:rFonts w:ascii="Garamond" w:hAnsi="Garamond" w:cs="Arial"/>
          <w:sz w:val="24"/>
          <w:szCs w:val="24"/>
          <w:shd w:val="clear" w:color="auto" w:fill="FFFFFF"/>
        </w:rPr>
        <w:t xml:space="preserve">la </w:t>
      </w:r>
      <w:r w:rsidR="00886D6A" w:rsidRPr="003A1174">
        <w:rPr>
          <w:rFonts w:ascii="Garamond" w:hAnsi="Garamond" w:cs="Arial"/>
          <w:sz w:val="24"/>
          <w:szCs w:val="24"/>
          <w:shd w:val="clear" w:color="auto" w:fill="FFFFFF"/>
        </w:rPr>
        <w:t>proteção</w:t>
      </w:r>
      <w:r w:rsidR="00EB2F44" w:rsidRPr="003A1174">
        <w:rPr>
          <w:rFonts w:ascii="Garamond" w:hAnsi="Garamond" w:cs="Arial"/>
          <w:sz w:val="24"/>
          <w:szCs w:val="24"/>
          <w:shd w:val="clear" w:color="auto" w:fill="FFFFFF"/>
        </w:rPr>
        <w:t xml:space="preserve"> especializada d</w:t>
      </w:r>
      <w:r w:rsidR="002010C0" w:rsidRPr="003A1174">
        <w:rPr>
          <w:rFonts w:ascii="Garamond" w:hAnsi="Garamond" w:cs="Arial"/>
          <w:sz w:val="24"/>
          <w:szCs w:val="24"/>
          <w:shd w:val="clear" w:color="auto" w:fill="FFFFFF"/>
        </w:rPr>
        <w:t xml:space="preserve">os grupos </w:t>
      </w:r>
      <w:r w:rsidRPr="003A1174">
        <w:rPr>
          <w:rFonts w:ascii="Garamond" w:hAnsi="Garamond" w:cs="Arial"/>
          <w:sz w:val="24"/>
          <w:szCs w:val="24"/>
          <w:shd w:val="clear" w:color="auto" w:fill="FFFFFF"/>
        </w:rPr>
        <w:t>vulneráveis</w:t>
      </w:r>
      <w:r w:rsidR="004F6F69" w:rsidRPr="003A1174">
        <w:rPr>
          <w:rFonts w:ascii="Garamond" w:hAnsi="Garamond" w:cs="Arial"/>
          <w:sz w:val="24"/>
          <w:szCs w:val="24"/>
          <w:shd w:val="clear" w:color="auto" w:fill="FFFFFF"/>
        </w:rPr>
        <w:t xml:space="preserve">. </w:t>
      </w:r>
      <w:r w:rsidR="006D3F69" w:rsidRPr="003A1174">
        <w:rPr>
          <w:rFonts w:ascii="Garamond" w:hAnsi="Garamond" w:cs="Arial"/>
          <w:sz w:val="24"/>
          <w:szCs w:val="24"/>
          <w:shd w:val="clear" w:color="auto" w:fill="FFFFFF"/>
        </w:rPr>
        <w:t xml:space="preserve">Entre </w:t>
      </w:r>
      <w:r w:rsidRPr="003A1174">
        <w:rPr>
          <w:rFonts w:ascii="Garamond" w:hAnsi="Garamond" w:cs="Arial"/>
          <w:sz w:val="24"/>
          <w:szCs w:val="24"/>
          <w:shd w:val="clear" w:color="auto" w:fill="FFFFFF"/>
        </w:rPr>
        <w:t>este</w:t>
      </w:r>
      <w:r w:rsidR="004F6F69" w:rsidRPr="003A1174">
        <w:rPr>
          <w:rFonts w:ascii="Garamond" w:hAnsi="Garamond" w:cs="Arial"/>
          <w:sz w:val="24"/>
          <w:szCs w:val="24"/>
          <w:shd w:val="clear" w:color="auto" w:fill="FFFFFF"/>
        </w:rPr>
        <w:t xml:space="preserve">s grupos, </w:t>
      </w:r>
      <w:r w:rsidR="002010C0" w:rsidRPr="003A1174">
        <w:rPr>
          <w:rFonts w:ascii="Garamond" w:hAnsi="Garamond" w:cs="Arial"/>
          <w:sz w:val="24"/>
          <w:szCs w:val="24"/>
          <w:shd w:val="clear" w:color="auto" w:fill="FFFFFF"/>
        </w:rPr>
        <w:t xml:space="preserve">a </w:t>
      </w:r>
      <w:r w:rsidR="00886D6A" w:rsidRPr="003A1174">
        <w:rPr>
          <w:rFonts w:ascii="Garamond" w:hAnsi="Garamond" w:cs="Arial"/>
          <w:sz w:val="24"/>
          <w:szCs w:val="24"/>
          <w:shd w:val="clear" w:color="auto" w:fill="FFFFFF"/>
        </w:rPr>
        <w:t>proteção</w:t>
      </w:r>
      <w:r w:rsidRPr="003A1174">
        <w:rPr>
          <w:rFonts w:ascii="Garamond" w:hAnsi="Garamond" w:cs="Arial"/>
          <w:sz w:val="24"/>
          <w:szCs w:val="24"/>
          <w:shd w:val="clear" w:color="auto" w:fill="FFFFFF"/>
        </w:rPr>
        <w:t xml:space="preserve"> d</w:t>
      </w:r>
      <w:r w:rsidR="004F6F69" w:rsidRPr="003A1174">
        <w:rPr>
          <w:rFonts w:ascii="Garamond" w:hAnsi="Garamond" w:cs="Arial"/>
          <w:sz w:val="24"/>
          <w:szCs w:val="24"/>
          <w:shd w:val="clear" w:color="auto" w:fill="FFFFFF"/>
        </w:rPr>
        <w:t xml:space="preserve">a </w:t>
      </w:r>
      <w:r w:rsidR="00AF192F" w:rsidRPr="003A1174">
        <w:rPr>
          <w:rFonts w:ascii="Garamond" w:hAnsi="Garamond" w:cs="Arial"/>
          <w:sz w:val="24"/>
          <w:szCs w:val="24"/>
          <w:shd w:val="clear" w:color="auto" w:fill="FFFFFF"/>
        </w:rPr>
        <w:t>mulher</w:t>
      </w:r>
      <w:r w:rsidR="002010C0"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 xml:space="preserve">viu-se </w:t>
      </w:r>
      <w:r w:rsidR="004F6F69" w:rsidRPr="003A1174">
        <w:rPr>
          <w:rFonts w:ascii="Garamond" w:hAnsi="Garamond" w:cs="Arial"/>
          <w:sz w:val="24"/>
          <w:szCs w:val="24"/>
          <w:shd w:val="clear" w:color="auto" w:fill="FFFFFF"/>
        </w:rPr>
        <w:t>refor</w:t>
      </w:r>
      <w:r w:rsidR="00EB2F44" w:rsidRPr="003A1174">
        <w:rPr>
          <w:rFonts w:ascii="Garamond" w:hAnsi="Garamond" w:cs="Arial"/>
          <w:sz w:val="24"/>
          <w:szCs w:val="24"/>
          <w:shd w:val="clear" w:color="auto" w:fill="FFFFFF"/>
        </w:rPr>
        <w:t>ç</w:t>
      </w:r>
      <w:r w:rsidR="004F6F69" w:rsidRPr="003A1174">
        <w:rPr>
          <w:rFonts w:ascii="Garamond" w:hAnsi="Garamond" w:cs="Arial"/>
          <w:sz w:val="24"/>
          <w:szCs w:val="24"/>
          <w:shd w:val="clear" w:color="auto" w:fill="FFFFFF"/>
        </w:rPr>
        <w:t xml:space="preserve">ada por </w:t>
      </w:r>
      <w:r w:rsidR="00310765" w:rsidRPr="003A1174">
        <w:rPr>
          <w:rFonts w:ascii="Garamond" w:hAnsi="Garamond" w:cs="Arial"/>
          <w:sz w:val="24"/>
          <w:szCs w:val="24"/>
          <w:shd w:val="clear" w:color="auto" w:fill="FFFFFF"/>
        </w:rPr>
        <w:t>tratados,</w:t>
      </w:r>
      <w:r w:rsidR="00914244"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convénios</w:t>
      </w:r>
      <w:r w:rsidR="00914244" w:rsidRPr="003A1174">
        <w:rPr>
          <w:rFonts w:ascii="Garamond" w:hAnsi="Garamond" w:cs="Arial"/>
          <w:sz w:val="24"/>
          <w:szCs w:val="24"/>
          <w:shd w:val="clear" w:color="auto" w:fill="FFFFFF"/>
        </w:rPr>
        <w:t xml:space="preserve">, </w:t>
      </w:r>
      <w:r w:rsidR="00310765" w:rsidRPr="003A1174">
        <w:rPr>
          <w:rFonts w:ascii="Garamond" w:hAnsi="Garamond" w:cs="Arial"/>
          <w:sz w:val="24"/>
          <w:szCs w:val="24"/>
          <w:shd w:val="clear" w:color="auto" w:fill="FFFFFF"/>
        </w:rPr>
        <w:t xml:space="preserve">pactos, </w:t>
      </w:r>
      <w:r w:rsidR="00914244" w:rsidRPr="003A1174">
        <w:rPr>
          <w:rFonts w:ascii="Garamond" w:hAnsi="Garamond" w:cs="Arial"/>
          <w:sz w:val="24"/>
          <w:szCs w:val="24"/>
          <w:shd w:val="clear" w:color="auto" w:fill="FFFFFF"/>
        </w:rPr>
        <w:t xml:space="preserve">protocolos, </w:t>
      </w:r>
      <w:r w:rsidR="0017447A" w:rsidRPr="003A1174">
        <w:rPr>
          <w:rFonts w:ascii="Garamond" w:hAnsi="Garamond" w:cs="Arial"/>
          <w:sz w:val="24"/>
          <w:szCs w:val="24"/>
          <w:shd w:val="clear" w:color="auto" w:fill="FFFFFF"/>
        </w:rPr>
        <w:t>declarações</w:t>
      </w:r>
      <w:r w:rsidR="00310765" w:rsidRPr="003A1174">
        <w:rPr>
          <w:rFonts w:ascii="Garamond" w:hAnsi="Garamond" w:cs="Arial"/>
          <w:sz w:val="24"/>
          <w:szCs w:val="24"/>
          <w:shd w:val="clear" w:color="auto" w:fill="FFFFFF"/>
        </w:rPr>
        <w:t xml:space="preserve">, </w:t>
      </w:r>
      <w:r w:rsidR="008E7A2A" w:rsidRPr="003A1174">
        <w:rPr>
          <w:rFonts w:ascii="Garamond" w:hAnsi="Garamond" w:cs="Arial"/>
          <w:sz w:val="24"/>
          <w:szCs w:val="24"/>
          <w:shd w:val="clear" w:color="auto" w:fill="FFFFFF"/>
        </w:rPr>
        <w:t>recomendações</w:t>
      </w:r>
      <w:r w:rsidR="00310765" w:rsidRPr="003A1174">
        <w:rPr>
          <w:rFonts w:ascii="Garamond" w:hAnsi="Garamond" w:cs="Arial"/>
          <w:sz w:val="24"/>
          <w:szCs w:val="24"/>
          <w:shd w:val="clear" w:color="auto" w:fill="FFFFFF"/>
        </w:rPr>
        <w:t xml:space="preserve"> </w:t>
      </w:r>
      <w:r w:rsidR="009E3E55" w:rsidRPr="003A1174">
        <w:rPr>
          <w:rFonts w:ascii="Garamond" w:hAnsi="Garamond" w:cs="Arial"/>
          <w:sz w:val="24"/>
          <w:szCs w:val="24"/>
          <w:shd w:val="clear" w:color="auto" w:fill="FFFFFF"/>
        </w:rPr>
        <w:t>gerais</w:t>
      </w:r>
      <w:r w:rsidR="00310765"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d</w:t>
      </w:r>
      <w:r w:rsidR="00914244" w:rsidRPr="003A1174">
        <w:rPr>
          <w:rFonts w:ascii="Garamond" w:hAnsi="Garamond" w:cs="Arial"/>
          <w:sz w:val="24"/>
          <w:szCs w:val="24"/>
          <w:shd w:val="clear" w:color="auto" w:fill="FFFFFF"/>
        </w:rPr>
        <w:t xml:space="preserve">a </w:t>
      </w:r>
      <w:r w:rsidR="008E7A2A" w:rsidRPr="003A1174">
        <w:rPr>
          <w:rFonts w:ascii="Garamond" w:hAnsi="Garamond" w:cs="Arial"/>
          <w:sz w:val="24"/>
          <w:szCs w:val="24"/>
          <w:shd w:val="clear" w:color="auto" w:fill="FFFFFF"/>
        </w:rPr>
        <w:t>Organização</w:t>
      </w:r>
      <w:r w:rsidR="00914244" w:rsidRPr="003A1174">
        <w:rPr>
          <w:rFonts w:ascii="Garamond" w:hAnsi="Garamond" w:cs="Arial"/>
          <w:sz w:val="24"/>
          <w:szCs w:val="24"/>
          <w:shd w:val="clear" w:color="auto" w:fill="FFFFFF"/>
        </w:rPr>
        <w:t xml:space="preserve"> d</w:t>
      </w:r>
      <w:r w:rsidR="00EB2F44" w:rsidRPr="003A1174">
        <w:rPr>
          <w:rFonts w:ascii="Garamond" w:hAnsi="Garamond" w:cs="Arial"/>
          <w:sz w:val="24"/>
          <w:szCs w:val="24"/>
          <w:shd w:val="clear" w:color="auto" w:fill="FFFFFF"/>
        </w:rPr>
        <w:t>as</w:t>
      </w:r>
      <w:r w:rsidR="00914244"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Nações</w:t>
      </w:r>
      <w:r w:rsidR="00914244" w:rsidRPr="003A1174">
        <w:rPr>
          <w:rFonts w:ascii="Garamond" w:hAnsi="Garamond" w:cs="Arial"/>
          <w:sz w:val="24"/>
          <w:szCs w:val="24"/>
          <w:shd w:val="clear" w:color="auto" w:fill="FFFFFF"/>
        </w:rPr>
        <w:t xml:space="preserve"> Unidas (ONU), </w:t>
      </w:r>
      <w:r w:rsidR="00EB2F44" w:rsidRPr="003A1174">
        <w:rPr>
          <w:rFonts w:ascii="Garamond" w:hAnsi="Garamond" w:cs="Arial"/>
          <w:sz w:val="24"/>
          <w:szCs w:val="24"/>
          <w:shd w:val="clear" w:color="auto" w:fill="FFFFFF"/>
        </w:rPr>
        <w:t>convenções</w:t>
      </w:r>
      <w:r w:rsidR="00914244" w:rsidRPr="003A1174">
        <w:rPr>
          <w:rFonts w:ascii="Garamond" w:hAnsi="Garamond" w:cs="Arial"/>
          <w:sz w:val="24"/>
          <w:szCs w:val="24"/>
          <w:shd w:val="clear" w:color="auto" w:fill="FFFFFF"/>
        </w:rPr>
        <w:t xml:space="preserve"> o</w:t>
      </w:r>
      <w:r w:rsidR="00EB2F44" w:rsidRPr="003A1174">
        <w:rPr>
          <w:rFonts w:ascii="Garamond" w:hAnsi="Garamond" w:cs="Arial"/>
          <w:sz w:val="24"/>
          <w:szCs w:val="24"/>
          <w:shd w:val="clear" w:color="auto" w:fill="FFFFFF"/>
        </w:rPr>
        <w:t>u</w:t>
      </w:r>
      <w:r w:rsidR="00914244" w:rsidRPr="003A1174">
        <w:rPr>
          <w:rFonts w:ascii="Garamond" w:hAnsi="Garamond" w:cs="Arial"/>
          <w:sz w:val="24"/>
          <w:szCs w:val="24"/>
          <w:shd w:val="clear" w:color="auto" w:fill="FFFFFF"/>
        </w:rPr>
        <w:t xml:space="preserve"> </w:t>
      </w:r>
      <w:r w:rsidR="00077461" w:rsidRPr="003A1174">
        <w:rPr>
          <w:rFonts w:ascii="Garamond" w:hAnsi="Garamond" w:cs="Arial"/>
          <w:sz w:val="24"/>
          <w:szCs w:val="24"/>
          <w:shd w:val="clear" w:color="auto" w:fill="FFFFFF"/>
        </w:rPr>
        <w:t>conferência</w:t>
      </w:r>
      <w:r w:rsidR="00EB2F44" w:rsidRPr="003A1174">
        <w:rPr>
          <w:rFonts w:ascii="Garamond" w:hAnsi="Garamond" w:cs="Arial"/>
          <w:sz w:val="24"/>
          <w:szCs w:val="24"/>
          <w:shd w:val="clear" w:color="auto" w:fill="FFFFFF"/>
        </w:rPr>
        <w:t>s, e</w:t>
      </w:r>
      <w:r w:rsidR="00914244" w:rsidRPr="003A1174">
        <w:rPr>
          <w:rFonts w:ascii="Garamond" w:hAnsi="Garamond" w:cs="Arial"/>
          <w:sz w:val="24"/>
          <w:szCs w:val="24"/>
          <w:shd w:val="clear" w:color="auto" w:fill="FFFFFF"/>
        </w:rPr>
        <w:t xml:space="preserve"> programas de </w:t>
      </w:r>
      <w:r w:rsidR="00077461" w:rsidRPr="003A1174">
        <w:rPr>
          <w:rFonts w:ascii="Garamond" w:hAnsi="Garamond" w:cs="Arial"/>
          <w:sz w:val="24"/>
          <w:szCs w:val="24"/>
          <w:shd w:val="clear" w:color="auto" w:fill="FFFFFF"/>
        </w:rPr>
        <w:t>ação</w:t>
      </w:r>
      <w:r w:rsidR="004F6F69" w:rsidRPr="003A1174">
        <w:rPr>
          <w:rFonts w:ascii="Garamond" w:hAnsi="Garamond" w:cs="Arial"/>
          <w:sz w:val="24"/>
          <w:szCs w:val="24"/>
          <w:shd w:val="clear" w:color="auto" w:fill="FFFFFF"/>
        </w:rPr>
        <w:t xml:space="preserve"> (Ver Anexo I: Instrumentos </w:t>
      </w:r>
      <w:r w:rsidR="00EF645F" w:rsidRPr="003A1174">
        <w:rPr>
          <w:rFonts w:ascii="Garamond" w:hAnsi="Garamond" w:cs="Arial"/>
          <w:sz w:val="24"/>
          <w:szCs w:val="24"/>
          <w:shd w:val="clear" w:color="auto" w:fill="FFFFFF"/>
        </w:rPr>
        <w:t>Internacionais</w:t>
      </w:r>
      <w:r w:rsidR="004F6F69" w:rsidRPr="003A1174">
        <w:rPr>
          <w:rFonts w:ascii="Garamond" w:hAnsi="Garamond" w:cs="Arial"/>
          <w:sz w:val="24"/>
          <w:szCs w:val="24"/>
          <w:shd w:val="clear" w:color="auto" w:fill="FFFFFF"/>
        </w:rPr>
        <w:t xml:space="preserve"> de </w:t>
      </w:r>
      <w:r w:rsidR="00886D6A" w:rsidRPr="003A1174">
        <w:rPr>
          <w:rFonts w:ascii="Garamond" w:hAnsi="Garamond" w:cs="Arial"/>
          <w:sz w:val="24"/>
          <w:szCs w:val="24"/>
          <w:shd w:val="clear" w:color="auto" w:fill="FFFFFF"/>
        </w:rPr>
        <w:t>proteção</w:t>
      </w:r>
      <w:r w:rsidRPr="003A1174">
        <w:rPr>
          <w:rFonts w:ascii="Garamond" w:hAnsi="Garamond" w:cs="Arial"/>
          <w:sz w:val="24"/>
          <w:szCs w:val="24"/>
          <w:shd w:val="clear" w:color="auto" w:fill="FFFFFF"/>
        </w:rPr>
        <w:t xml:space="preserve"> d</w:t>
      </w:r>
      <w:r w:rsidR="004F6F69" w:rsidRPr="003A1174">
        <w:rPr>
          <w:rFonts w:ascii="Garamond" w:hAnsi="Garamond" w:cs="Arial"/>
          <w:sz w:val="24"/>
          <w:szCs w:val="24"/>
          <w:shd w:val="clear" w:color="auto" w:fill="FFFFFF"/>
        </w:rPr>
        <w:t xml:space="preserve">a </w:t>
      </w:r>
      <w:r w:rsidR="00AF192F" w:rsidRPr="003A1174">
        <w:rPr>
          <w:rFonts w:ascii="Garamond" w:hAnsi="Garamond" w:cs="Arial"/>
          <w:sz w:val="24"/>
          <w:szCs w:val="24"/>
          <w:shd w:val="clear" w:color="auto" w:fill="FFFFFF"/>
        </w:rPr>
        <w:t>mulher</w:t>
      </w:r>
      <w:r w:rsidR="004F6F69" w:rsidRPr="003A1174">
        <w:rPr>
          <w:rFonts w:ascii="Garamond" w:hAnsi="Garamond" w:cs="Arial"/>
          <w:sz w:val="24"/>
          <w:szCs w:val="24"/>
          <w:shd w:val="clear" w:color="auto" w:fill="FFFFFF"/>
        </w:rPr>
        <w:t>)</w:t>
      </w:r>
      <w:r w:rsidR="00914244" w:rsidRPr="003A1174">
        <w:rPr>
          <w:rFonts w:ascii="Garamond" w:hAnsi="Garamond" w:cs="Arial"/>
          <w:sz w:val="24"/>
          <w:szCs w:val="24"/>
          <w:shd w:val="clear" w:color="auto" w:fill="FFFFFF"/>
        </w:rPr>
        <w:t>. Tod</w:t>
      </w:r>
      <w:r w:rsidR="006D3F69" w:rsidRPr="003A1174">
        <w:rPr>
          <w:rFonts w:ascii="Garamond" w:hAnsi="Garamond" w:cs="Arial"/>
          <w:sz w:val="24"/>
          <w:szCs w:val="24"/>
          <w:shd w:val="clear" w:color="auto" w:fill="FFFFFF"/>
        </w:rPr>
        <w:t>os</w:t>
      </w:r>
      <w:r w:rsidR="00914244" w:rsidRPr="003A1174">
        <w:rPr>
          <w:rFonts w:ascii="Garamond" w:hAnsi="Garamond" w:cs="Arial"/>
          <w:sz w:val="24"/>
          <w:szCs w:val="24"/>
          <w:shd w:val="clear" w:color="auto" w:fill="FFFFFF"/>
        </w:rPr>
        <w:t xml:space="preserve"> co</w:t>
      </w:r>
      <w:r w:rsidRPr="003A1174">
        <w:rPr>
          <w:rFonts w:ascii="Garamond" w:hAnsi="Garamond" w:cs="Arial"/>
          <w:sz w:val="24"/>
          <w:szCs w:val="24"/>
          <w:shd w:val="clear" w:color="auto" w:fill="FFFFFF"/>
        </w:rPr>
        <w:t>m</w:t>
      </w:r>
      <w:r w:rsidR="00914244" w:rsidRPr="003A1174">
        <w:rPr>
          <w:rFonts w:ascii="Garamond" w:hAnsi="Garamond" w:cs="Arial"/>
          <w:sz w:val="24"/>
          <w:szCs w:val="24"/>
          <w:shd w:val="clear" w:color="auto" w:fill="FFFFFF"/>
        </w:rPr>
        <w:t xml:space="preserve"> diferentes </w:t>
      </w:r>
      <w:r w:rsidRPr="003A1174">
        <w:rPr>
          <w:rFonts w:ascii="Garamond" w:hAnsi="Garamond" w:cs="Arial"/>
          <w:sz w:val="24"/>
          <w:szCs w:val="24"/>
          <w:shd w:val="clear" w:color="auto" w:fill="FFFFFF"/>
        </w:rPr>
        <w:t>níveis</w:t>
      </w:r>
      <w:r w:rsidR="00914244" w:rsidRPr="003A1174">
        <w:rPr>
          <w:rFonts w:ascii="Garamond" w:hAnsi="Garamond" w:cs="Arial"/>
          <w:sz w:val="24"/>
          <w:szCs w:val="24"/>
          <w:shd w:val="clear" w:color="auto" w:fill="FFFFFF"/>
        </w:rPr>
        <w:t xml:space="preserve"> de </w:t>
      </w:r>
      <w:r w:rsidR="00EB2F44" w:rsidRPr="003A1174">
        <w:rPr>
          <w:rFonts w:ascii="Garamond" w:hAnsi="Garamond" w:cs="Arial"/>
          <w:sz w:val="24"/>
          <w:szCs w:val="24"/>
          <w:shd w:val="clear" w:color="auto" w:fill="FFFFFF"/>
        </w:rPr>
        <w:t>obrigatoriedade</w:t>
      </w:r>
      <w:r w:rsidRPr="003A1174">
        <w:rPr>
          <w:rFonts w:ascii="Garamond" w:hAnsi="Garamond" w:cs="Arial"/>
          <w:sz w:val="24"/>
          <w:szCs w:val="24"/>
          <w:shd w:val="clear" w:color="auto" w:fill="FFFFFF"/>
        </w:rPr>
        <w:t xml:space="preserve"> para </w:t>
      </w:r>
      <w:r w:rsidR="00804840" w:rsidRPr="003A1174">
        <w:rPr>
          <w:rFonts w:ascii="Garamond" w:hAnsi="Garamond" w:cs="Arial"/>
          <w:sz w:val="24"/>
          <w:szCs w:val="24"/>
          <w:shd w:val="clear" w:color="auto" w:fill="FFFFFF"/>
        </w:rPr>
        <w:t>os Estados</w:t>
      </w:r>
      <w:r w:rsidR="006D3F69" w:rsidRPr="003A1174">
        <w:rPr>
          <w:rFonts w:ascii="Garamond" w:hAnsi="Garamond" w:cs="Arial"/>
          <w:sz w:val="24"/>
          <w:szCs w:val="24"/>
          <w:shd w:val="clear" w:color="auto" w:fill="FFFFFF"/>
        </w:rPr>
        <w:t>,</w:t>
      </w:r>
      <w:r w:rsidR="00804840" w:rsidRPr="003A1174">
        <w:rPr>
          <w:rFonts w:ascii="Garamond" w:hAnsi="Garamond" w:cs="Arial"/>
          <w:sz w:val="24"/>
          <w:szCs w:val="24"/>
          <w:shd w:val="clear" w:color="auto" w:fill="FFFFFF"/>
        </w:rPr>
        <w:t xml:space="preserve"> </w:t>
      </w:r>
      <w:r w:rsidR="006D3F69" w:rsidRPr="003A1174">
        <w:rPr>
          <w:rFonts w:ascii="Garamond" w:hAnsi="Garamond" w:cs="Arial"/>
          <w:sz w:val="24"/>
          <w:szCs w:val="24"/>
          <w:shd w:val="clear" w:color="auto" w:fill="FFFFFF"/>
        </w:rPr>
        <w:t xml:space="preserve">de </w:t>
      </w:r>
      <w:r w:rsidRPr="003A1174">
        <w:rPr>
          <w:rFonts w:ascii="Garamond" w:hAnsi="Garamond" w:cs="Arial"/>
          <w:sz w:val="24"/>
          <w:szCs w:val="24"/>
          <w:shd w:val="clear" w:color="auto" w:fill="FFFFFF"/>
        </w:rPr>
        <w:t>acordo</w:t>
      </w:r>
      <w:r w:rsidR="006D3F69" w:rsidRPr="003A1174">
        <w:rPr>
          <w:rFonts w:ascii="Garamond" w:hAnsi="Garamond" w:cs="Arial"/>
          <w:sz w:val="24"/>
          <w:szCs w:val="24"/>
          <w:shd w:val="clear" w:color="auto" w:fill="FFFFFF"/>
        </w:rPr>
        <w:t xml:space="preserve"> co</w:t>
      </w:r>
      <w:r w:rsidRPr="003A1174">
        <w:rPr>
          <w:rFonts w:ascii="Garamond" w:hAnsi="Garamond" w:cs="Arial"/>
          <w:sz w:val="24"/>
          <w:szCs w:val="24"/>
          <w:shd w:val="clear" w:color="auto" w:fill="FFFFFF"/>
        </w:rPr>
        <w:t xml:space="preserve">m </w:t>
      </w:r>
      <w:r w:rsidR="00804840" w:rsidRPr="003A1174">
        <w:rPr>
          <w:rFonts w:ascii="Garamond" w:hAnsi="Garamond" w:cs="Arial"/>
          <w:sz w:val="24"/>
          <w:szCs w:val="24"/>
          <w:shd w:val="clear" w:color="auto" w:fill="FFFFFF"/>
        </w:rPr>
        <w:t>a natur</w:t>
      </w:r>
      <w:r w:rsidRPr="003A1174">
        <w:rPr>
          <w:rFonts w:ascii="Garamond" w:hAnsi="Garamond" w:cs="Arial"/>
          <w:sz w:val="24"/>
          <w:szCs w:val="24"/>
          <w:shd w:val="clear" w:color="auto" w:fill="FFFFFF"/>
        </w:rPr>
        <w:t>eza dos me</w:t>
      </w:r>
      <w:r w:rsidR="00804840" w:rsidRPr="003A1174">
        <w:rPr>
          <w:rFonts w:ascii="Garamond" w:hAnsi="Garamond" w:cs="Arial"/>
          <w:sz w:val="24"/>
          <w:szCs w:val="24"/>
          <w:shd w:val="clear" w:color="auto" w:fill="FFFFFF"/>
        </w:rPr>
        <w:t xml:space="preserve">smos </w:t>
      </w:r>
      <w:r w:rsidRPr="003A1174">
        <w:rPr>
          <w:rFonts w:ascii="Garamond" w:hAnsi="Garamond" w:cs="Arial"/>
          <w:sz w:val="24"/>
          <w:szCs w:val="24"/>
          <w:shd w:val="clear" w:color="auto" w:fill="FFFFFF"/>
        </w:rPr>
        <w:t xml:space="preserve">e </w:t>
      </w:r>
      <w:r w:rsidR="00804840" w:rsidRPr="003A1174">
        <w:rPr>
          <w:rFonts w:ascii="Garamond" w:hAnsi="Garamond" w:cs="Arial"/>
          <w:sz w:val="24"/>
          <w:szCs w:val="24"/>
          <w:shd w:val="clear" w:color="auto" w:fill="FFFFFF"/>
        </w:rPr>
        <w:t xml:space="preserve">os </w:t>
      </w:r>
      <w:r w:rsidRPr="003A1174">
        <w:rPr>
          <w:rFonts w:ascii="Garamond" w:hAnsi="Garamond" w:cs="Arial"/>
          <w:sz w:val="24"/>
          <w:szCs w:val="24"/>
          <w:shd w:val="clear" w:color="auto" w:fill="FFFFFF"/>
        </w:rPr>
        <w:t>procedimentos</w:t>
      </w:r>
      <w:r w:rsidR="00804840" w:rsidRPr="003A1174">
        <w:rPr>
          <w:rFonts w:ascii="Garamond" w:hAnsi="Garamond" w:cs="Arial"/>
          <w:sz w:val="24"/>
          <w:szCs w:val="24"/>
          <w:shd w:val="clear" w:color="auto" w:fill="FFFFFF"/>
        </w:rPr>
        <w:t xml:space="preserve"> jurídicos para </w:t>
      </w:r>
      <w:r w:rsidR="00EB2F44" w:rsidRPr="003A1174">
        <w:rPr>
          <w:rFonts w:ascii="Garamond" w:hAnsi="Garamond" w:cs="Arial"/>
          <w:sz w:val="24"/>
          <w:szCs w:val="24"/>
          <w:shd w:val="clear" w:color="auto" w:fill="FFFFFF"/>
        </w:rPr>
        <w:t xml:space="preserve">a </w:t>
      </w:r>
      <w:r w:rsidR="00804840" w:rsidRPr="003A1174">
        <w:rPr>
          <w:rFonts w:ascii="Garamond" w:hAnsi="Garamond" w:cs="Arial"/>
          <w:sz w:val="24"/>
          <w:szCs w:val="24"/>
          <w:shd w:val="clear" w:color="auto" w:fill="FFFFFF"/>
        </w:rPr>
        <w:t>su</w:t>
      </w:r>
      <w:r w:rsidR="00EB2F44" w:rsidRPr="003A1174">
        <w:rPr>
          <w:rFonts w:ascii="Garamond" w:hAnsi="Garamond" w:cs="Arial"/>
          <w:sz w:val="24"/>
          <w:szCs w:val="24"/>
          <w:shd w:val="clear" w:color="auto" w:fill="FFFFFF"/>
        </w:rPr>
        <w:t>a</w:t>
      </w:r>
      <w:r w:rsidR="00804840" w:rsidRPr="003A1174">
        <w:rPr>
          <w:rFonts w:ascii="Garamond" w:hAnsi="Garamond" w:cs="Arial"/>
          <w:sz w:val="24"/>
          <w:szCs w:val="24"/>
          <w:shd w:val="clear" w:color="auto" w:fill="FFFFFF"/>
        </w:rPr>
        <w:t xml:space="preserve"> </w:t>
      </w:r>
      <w:r w:rsidR="00EB2F44" w:rsidRPr="003A1174">
        <w:rPr>
          <w:rFonts w:ascii="Garamond" w:hAnsi="Garamond" w:cs="Arial"/>
          <w:sz w:val="24"/>
          <w:szCs w:val="24"/>
          <w:shd w:val="clear" w:color="auto" w:fill="FFFFFF"/>
        </w:rPr>
        <w:t>adoção</w:t>
      </w:r>
      <w:r w:rsidR="004F6F69" w:rsidRPr="003A1174">
        <w:rPr>
          <w:rStyle w:val="Refdenotaalpie"/>
          <w:rFonts w:ascii="Garamond" w:hAnsi="Garamond" w:cs="Arial"/>
          <w:b/>
          <w:sz w:val="24"/>
          <w:szCs w:val="24"/>
        </w:rPr>
        <w:footnoteReference w:id="5"/>
      </w:r>
      <w:r w:rsidR="008B698A" w:rsidRPr="003A1174">
        <w:rPr>
          <w:rFonts w:ascii="Garamond" w:hAnsi="Garamond" w:cs="Arial"/>
          <w:sz w:val="24"/>
          <w:szCs w:val="24"/>
        </w:rPr>
        <w:t>.</w:t>
      </w:r>
      <w:r w:rsidR="0051510C" w:rsidRPr="003A1174">
        <w:rPr>
          <w:rFonts w:ascii="Garamond" w:hAnsi="Garamond" w:cs="Arial"/>
          <w:sz w:val="24"/>
          <w:szCs w:val="24"/>
        </w:rPr>
        <w:t xml:space="preserve"> </w:t>
      </w:r>
      <w:r w:rsidR="00EB2F44" w:rsidRPr="003A1174">
        <w:rPr>
          <w:rFonts w:ascii="Garamond" w:hAnsi="Garamond" w:cs="Arial"/>
          <w:sz w:val="24"/>
          <w:szCs w:val="24"/>
        </w:rPr>
        <w:t xml:space="preserve">Desta forma </w:t>
      </w:r>
      <w:r w:rsidR="004F6F69" w:rsidRPr="003A1174">
        <w:rPr>
          <w:rFonts w:ascii="Garamond" w:hAnsi="Garamond" w:cs="Arial"/>
          <w:sz w:val="24"/>
          <w:szCs w:val="24"/>
        </w:rPr>
        <w:t xml:space="preserve">as </w:t>
      </w:r>
      <w:r w:rsidR="00054EE0" w:rsidRPr="003A1174">
        <w:rPr>
          <w:rFonts w:ascii="Garamond" w:hAnsi="Garamond" w:cs="Arial"/>
          <w:sz w:val="24"/>
          <w:szCs w:val="24"/>
        </w:rPr>
        <w:t>mulheres</w:t>
      </w:r>
      <w:r w:rsidR="004F6F69" w:rsidRPr="003A1174">
        <w:rPr>
          <w:rFonts w:ascii="Garamond" w:hAnsi="Garamond" w:cs="Arial"/>
          <w:sz w:val="24"/>
          <w:szCs w:val="24"/>
        </w:rPr>
        <w:t xml:space="preserve">, </w:t>
      </w:r>
      <w:r w:rsidR="000456B2" w:rsidRPr="003A1174">
        <w:rPr>
          <w:rFonts w:ascii="Garamond" w:hAnsi="Garamond" w:cs="Arial"/>
          <w:sz w:val="24"/>
          <w:szCs w:val="24"/>
        </w:rPr>
        <w:t xml:space="preserve">no quadro </w:t>
      </w:r>
      <w:r w:rsidR="004F6F69" w:rsidRPr="003A1174">
        <w:rPr>
          <w:rFonts w:ascii="Garamond" w:hAnsi="Garamond" w:cs="Arial"/>
          <w:sz w:val="24"/>
          <w:szCs w:val="24"/>
        </w:rPr>
        <w:t xml:space="preserve">internacional, </w:t>
      </w:r>
      <w:r w:rsidR="000456B2" w:rsidRPr="003A1174">
        <w:rPr>
          <w:rFonts w:ascii="Garamond" w:hAnsi="Garamond" w:cs="Arial"/>
          <w:sz w:val="24"/>
          <w:szCs w:val="24"/>
        </w:rPr>
        <w:t xml:space="preserve">dispõem de </w:t>
      </w:r>
      <w:r w:rsidR="00C965B4" w:rsidRPr="003A1174">
        <w:rPr>
          <w:rFonts w:ascii="Garamond" w:hAnsi="Garamond" w:cs="Arial"/>
          <w:sz w:val="24"/>
          <w:szCs w:val="24"/>
        </w:rPr>
        <w:lastRenderedPageBreak/>
        <w:t>uma série</w:t>
      </w:r>
      <w:r w:rsidR="004F6F69" w:rsidRPr="003A1174">
        <w:rPr>
          <w:rFonts w:ascii="Garamond" w:hAnsi="Garamond" w:cs="Arial"/>
          <w:sz w:val="24"/>
          <w:szCs w:val="24"/>
        </w:rPr>
        <w:t xml:space="preserve"> de instrumentos </w:t>
      </w:r>
      <w:r w:rsidR="00C965B4" w:rsidRPr="003A1174">
        <w:rPr>
          <w:rFonts w:ascii="Garamond" w:hAnsi="Garamond" w:cs="Arial"/>
          <w:sz w:val="24"/>
          <w:szCs w:val="24"/>
        </w:rPr>
        <w:t>n</w:t>
      </w:r>
      <w:r w:rsidR="00DF388E" w:rsidRPr="003A1174">
        <w:rPr>
          <w:rFonts w:ascii="Garamond" w:hAnsi="Garamond" w:cs="Arial"/>
          <w:sz w:val="24"/>
          <w:szCs w:val="24"/>
        </w:rPr>
        <w:t xml:space="preserve">a </w:t>
      </w:r>
      <w:r w:rsidR="001C2738" w:rsidRPr="003A1174">
        <w:rPr>
          <w:rFonts w:ascii="Garamond" w:hAnsi="Garamond" w:cs="Arial"/>
          <w:sz w:val="24"/>
          <w:szCs w:val="24"/>
        </w:rPr>
        <w:t>luta</w:t>
      </w:r>
      <w:r w:rsidR="00C965B4" w:rsidRPr="003A1174">
        <w:rPr>
          <w:rFonts w:ascii="Garamond" w:hAnsi="Garamond" w:cs="Arial"/>
          <w:sz w:val="24"/>
          <w:szCs w:val="24"/>
        </w:rPr>
        <w:t xml:space="preserve"> contra </w:t>
      </w:r>
      <w:r w:rsidR="004F6F69" w:rsidRPr="003A1174">
        <w:rPr>
          <w:rFonts w:ascii="Garamond" w:hAnsi="Garamond" w:cs="Arial"/>
          <w:sz w:val="24"/>
          <w:szCs w:val="24"/>
        </w:rPr>
        <w:t xml:space="preserve">a </w:t>
      </w:r>
      <w:r w:rsidR="0017447A" w:rsidRPr="003A1174">
        <w:rPr>
          <w:rFonts w:ascii="Garamond" w:hAnsi="Garamond" w:cs="Arial"/>
          <w:sz w:val="24"/>
          <w:szCs w:val="24"/>
        </w:rPr>
        <w:t>discriminação</w:t>
      </w:r>
      <w:r w:rsidR="004F6F69" w:rsidRPr="003A1174">
        <w:rPr>
          <w:rFonts w:ascii="Garamond" w:hAnsi="Garamond" w:cs="Arial"/>
          <w:sz w:val="24"/>
          <w:szCs w:val="24"/>
        </w:rPr>
        <w:t xml:space="preserve"> </w:t>
      </w:r>
      <w:r w:rsidR="00C965B4" w:rsidRPr="003A1174">
        <w:rPr>
          <w:rFonts w:ascii="Garamond" w:hAnsi="Garamond" w:cs="Arial"/>
          <w:sz w:val="24"/>
          <w:szCs w:val="24"/>
        </w:rPr>
        <w:t xml:space="preserve">e </w:t>
      </w:r>
      <w:r w:rsidR="004F6F69" w:rsidRPr="003A1174">
        <w:rPr>
          <w:rFonts w:ascii="Garamond" w:hAnsi="Garamond" w:cs="Arial"/>
          <w:sz w:val="24"/>
          <w:szCs w:val="24"/>
        </w:rPr>
        <w:t xml:space="preserve">a </w:t>
      </w:r>
      <w:r w:rsidR="000350B1" w:rsidRPr="003A1174">
        <w:rPr>
          <w:rFonts w:ascii="Garamond" w:hAnsi="Garamond" w:cs="Arial"/>
          <w:sz w:val="24"/>
          <w:szCs w:val="24"/>
        </w:rPr>
        <w:t>violência</w:t>
      </w:r>
      <w:r w:rsidR="004F6F69" w:rsidRPr="003A1174">
        <w:rPr>
          <w:rFonts w:ascii="Garamond" w:hAnsi="Garamond" w:cs="Arial"/>
          <w:sz w:val="24"/>
          <w:szCs w:val="24"/>
        </w:rPr>
        <w:t xml:space="preserve"> de género, </w:t>
      </w:r>
      <w:r w:rsidR="00C965B4" w:rsidRPr="003A1174">
        <w:rPr>
          <w:rFonts w:ascii="Garamond" w:hAnsi="Garamond" w:cs="Arial"/>
          <w:sz w:val="24"/>
          <w:szCs w:val="24"/>
        </w:rPr>
        <w:t xml:space="preserve">sendo </w:t>
      </w:r>
      <w:r w:rsidR="002F40E4" w:rsidRPr="003A1174">
        <w:rPr>
          <w:rFonts w:ascii="Garamond" w:hAnsi="Garamond" w:cs="Arial"/>
          <w:sz w:val="24"/>
          <w:szCs w:val="24"/>
        </w:rPr>
        <w:t>os m</w:t>
      </w:r>
      <w:r w:rsidR="00C965B4" w:rsidRPr="003A1174">
        <w:rPr>
          <w:rFonts w:ascii="Garamond" w:hAnsi="Garamond" w:cs="Arial"/>
          <w:sz w:val="24"/>
          <w:szCs w:val="24"/>
        </w:rPr>
        <w:t>ais</w:t>
      </w:r>
      <w:r w:rsidR="002F40E4" w:rsidRPr="003A1174">
        <w:rPr>
          <w:rFonts w:ascii="Garamond" w:hAnsi="Garamond" w:cs="Arial"/>
          <w:sz w:val="24"/>
          <w:szCs w:val="24"/>
        </w:rPr>
        <w:t xml:space="preserve"> importantes</w:t>
      </w:r>
      <w:r w:rsidR="0051510C" w:rsidRPr="003A1174">
        <w:rPr>
          <w:rFonts w:ascii="Garamond" w:hAnsi="Garamond" w:cs="Arial"/>
          <w:sz w:val="24"/>
          <w:szCs w:val="24"/>
        </w:rPr>
        <w:t xml:space="preserve">: </w:t>
      </w:r>
    </w:p>
    <w:p w:rsidR="0051510C" w:rsidRPr="003A1174" w:rsidRDefault="00C3064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iCs/>
          <w:sz w:val="24"/>
          <w:szCs w:val="24"/>
          <w:shd w:val="clear" w:color="auto" w:fill="FFFFFF"/>
          <w:lang w:val="pt-PT"/>
        </w:rPr>
        <w:t>Declaração</w:t>
      </w:r>
      <w:r w:rsidR="00C965B4" w:rsidRPr="003A1174">
        <w:rPr>
          <w:rFonts w:ascii="Garamond" w:hAnsi="Garamond" w:cs="Arial"/>
          <w:iCs/>
          <w:sz w:val="24"/>
          <w:szCs w:val="24"/>
          <w:shd w:val="clear" w:color="auto" w:fill="FFFFFF"/>
          <w:lang w:val="pt-PT"/>
        </w:rPr>
        <w:t xml:space="preserve"> sobre </w:t>
      </w:r>
      <w:r w:rsidR="0051510C" w:rsidRPr="003A1174">
        <w:rPr>
          <w:rFonts w:ascii="Garamond" w:hAnsi="Garamond" w:cs="Arial"/>
          <w:iCs/>
          <w:sz w:val="24"/>
          <w:szCs w:val="24"/>
          <w:shd w:val="clear" w:color="auto" w:fill="FFFFFF"/>
          <w:lang w:val="pt-PT"/>
        </w:rPr>
        <w:t xml:space="preserve">a </w:t>
      </w:r>
      <w:r w:rsidR="008E7A2A" w:rsidRPr="003A1174">
        <w:rPr>
          <w:rFonts w:ascii="Garamond" w:hAnsi="Garamond" w:cs="Arial"/>
          <w:iCs/>
          <w:sz w:val="24"/>
          <w:szCs w:val="24"/>
          <w:shd w:val="clear" w:color="auto" w:fill="FFFFFF"/>
          <w:lang w:val="pt-PT"/>
        </w:rPr>
        <w:t>Eliminação</w:t>
      </w:r>
      <w:r w:rsidR="00C965B4" w:rsidRPr="003A1174">
        <w:rPr>
          <w:rFonts w:ascii="Garamond" w:hAnsi="Garamond" w:cs="Arial"/>
          <w:iCs/>
          <w:sz w:val="24"/>
          <w:szCs w:val="24"/>
          <w:shd w:val="clear" w:color="auto" w:fill="FFFFFF"/>
          <w:lang w:val="pt-PT"/>
        </w:rPr>
        <w:t xml:space="preserve"> d</w:t>
      </w:r>
      <w:r w:rsidR="0051510C" w:rsidRPr="003A1174">
        <w:rPr>
          <w:rFonts w:ascii="Garamond" w:hAnsi="Garamond" w:cs="Arial"/>
          <w:iCs/>
          <w:sz w:val="24"/>
          <w:szCs w:val="24"/>
          <w:shd w:val="clear" w:color="auto" w:fill="FFFFFF"/>
          <w:lang w:val="pt-PT"/>
        </w:rPr>
        <w:t xml:space="preserve">a </w:t>
      </w:r>
      <w:r w:rsidR="0017447A" w:rsidRPr="003A1174">
        <w:rPr>
          <w:rFonts w:ascii="Garamond" w:hAnsi="Garamond" w:cs="Arial"/>
          <w:iCs/>
          <w:sz w:val="24"/>
          <w:szCs w:val="24"/>
          <w:shd w:val="clear" w:color="auto" w:fill="FFFFFF"/>
          <w:lang w:val="pt-PT"/>
        </w:rPr>
        <w:t>Discriminação</w:t>
      </w:r>
      <w:r w:rsidR="00C965B4" w:rsidRPr="003A1174">
        <w:rPr>
          <w:rFonts w:ascii="Garamond" w:hAnsi="Garamond" w:cs="Arial"/>
          <w:iCs/>
          <w:sz w:val="24"/>
          <w:szCs w:val="24"/>
          <w:shd w:val="clear" w:color="auto" w:fill="FFFFFF"/>
          <w:lang w:val="pt-PT"/>
        </w:rPr>
        <w:t xml:space="preserve"> contra </w:t>
      </w:r>
      <w:r w:rsidR="0051510C" w:rsidRPr="003A1174">
        <w:rPr>
          <w:rFonts w:ascii="Garamond" w:hAnsi="Garamond" w:cs="Arial"/>
          <w:iCs/>
          <w:sz w:val="24"/>
          <w:szCs w:val="24"/>
          <w:shd w:val="clear" w:color="auto" w:fill="FFFFFF"/>
          <w:lang w:val="pt-PT"/>
        </w:rPr>
        <w:t xml:space="preserve">a </w:t>
      </w:r>
      <w:r w:rsidR="00AF192F" w:rsidRPr="003A1174">
        <w:rPr>
          <w:rFonts w:ascii="Garamond" w:hAnsi="Garamond" w:cs="Arial"/>
          <w:iCs/>
          <w:sz w:val="24"/>
          <w:szCs w:val="24"/>
          <w:shd w:val="clear" w:color="auto" w:fill="FFFFFF"/>
          <w:lang w:val="pt-PT"/>
        </w:rPr>
        <w:t>Mulher</w:t>
      </w:r>
      <w:r w:rsidR="0051510C" w:rsidRPr="003A1174">
        <w:rPr>
          <w:rFonts w:ascii="Garamond" w:hAnsi="Garamond" w:cs="Arial"/>
          <w:iCs/>
          <w:sz w:val="24"/>
          <w:szCs w:val="24"/>
          <w:shd w:val="clear" w:color="auto" w:fill="FFFFFF"/>
          <w:lang w:val="pt-PT"/>
        </w:rPr>
        <w:t>,</w:t>
      </w:r>
      <w:r w:rsidR="0051510C" w:rsidRPr="003A1174">
        <w:rPr>
          <w:rFonts w:ascii="Garamond" w:hAnsi="Garamond" w:cs="Arial"/>
          <w:sz w:val="24"/>
          <w:szCs w:val="24"/>
          <w:shd w:val="clear" w:color="auto" w:fill="FFFFFF"/>
          <w:lang w:val="pt-PT"/>
        </w:rPr>
        <w:t xml:space="preserve"> 7 de </w:t>
      </w:r>
      <w:r w:rsidR="009E3E55" w:rsidRPr="003A1174">
        <w:rPr>
          <w:rFonts w:ascii="Garamond" w:hAnsi="Garamond" w:cs="Arial"/>
          <w:sz w:val="24"/>
          <w:szCs w:val="24"/>
          <w:shd w:val="clear" w:color="auto" w:fill="FFFFFF"/>
          <w:lang w:val="pt-PT"/>
        </w:rPr>
        <w:t>novembro</w:t>
      </w:r>
      <w:r w:rsidR="0051510C" w:rsidRPr="003A1174">
        <w:rPr>
          <w:rFonts w:ascii="Garamond" w:hAnsi="Garamond" w:cs="Arial"/>
          <w:sz w:val="24"/>
          <w:szCs w:val="24"/>
          <w:shd w:val="clear" w:color="auto" w:fill="FFFFFF"/>
          <w:lang w:val="pt-PT"/>
        </w:rPr>
        <w:t xml:space="preserve"> de 1967.</w:t>
      </w:r>
    </w:p>
    <w:p w:rsidR="0051510C" w:rsidRPr="003A1174" w:rsidRDefault="008E7A2A"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Recomendações</w:t>
      </w:r>
      <w:r w:rsidR="0051510C" w:rsidRPr="003A1174">
        <w:rPr>
          <w:rFonts w:ascii="Garamond" w:hAnsi="Garamond" w:cs="Arial"/>
          <w:sz w:val="24"/>
          <w:szCs w:val="24"/>
          <w:lang w:val="pt-PT"/>
        </w:rPr>
        <w:t xml:space="preserve"> </w:t>
      </w:r>
      <w:r w:rsidR="009E3E55" w:rsidRPr="003A1174">
        <w:rPr>
          <w:rFonts w:ascii="Garamond" w:hAnsi="Garamond" w:cs="Arial"/>
          <w:sz w:val="24"/>
          <w:szCs w:val="24"/>
          <w:lang w:val="pt-PT"/>
        </w:rPr>
        <w:t>Gerais</w:t>
      </w:r>
      <w:r w:rsidR="0051510C" w:rsidRPr="003A1174">
        <w:rPr>
          <w:rFonts w:ascii="Garamond" w:hAnsi="Garamond" w:cs="Arial"/>
          <w:sz w:val="24"/>
          <w:szCs w:val="24"/>
          <w:lang w:val="pt-PT"/>
        </w:rPr>
        <w:t xml:space="preserve"> </w:t>
      </w:r>
      <w:r w:rsidR="009E3E55" w:rsidRPr="003A1174">
        <w:rPr>
          <w:rFonts w:ascii="Garamond" w:hAnsi="Garamond" w:cs="Arial"/>
          <w:sz w:val="24"/>
          <w:szCs w:val="24"/>
          <w:lang w:val="pt-PT"/>
        </w:rPr>
        <w:t>adotada</w:t>
      </w:r>
      <w:r w:rsidR="0051510C" w:rsidRPr="003A1174">
        <w:rPr>
          <w:rFonts w:ascii="Garamond" w:hAnsi="Garamond" w:cs="Arial"/>
          <w:sz w:val="24"/>
          <w:szCs w:val="24"/>
          <w:lang w:val="pt-PT"/>
        </w:rPr>
        <w:t>s pel</w:t>
      </w:r>
      <w:r w:rsidR="00C965B4" w:rsidRPr="003A1174">
        <w:rPr>
          <w:rFonts w:ascii="Garamond" w:hAnsi="Garamond" w:cs="Arial"/>
          <w:sz w:val="24"/>
          <w:szCs w:val="24"/>
          <w:lang w:val="pt-PT"/>
        </w:rPr>
        <w:t xml:space="preserve">o Comité para </w:t>
      </w:r>
      <w:r w:rsidR="0051510C" w:rsidRPr="003A1174">
        <w:rPr>
          <w:rFonts w:ascii="Garamond" w:hAnsi="Garamond" w:cs="Arial"/>
          <w:sz w:val="24"/>
          <w:szCs w:val="24"/>
          <w:lang w:val="pt-PT"/>
        </w:rPr>
        <w:t xml:space="preserve">a </w:t>
      </w:r>
      <w:r w:rsidRPr="003A1174">
        <w:rPr>
          <w:rFonts w:ascii="Garamond" w:hAnsi="Garamond" w:cs="Arial"/>
          <w:sz w:val="24"/>
          <w:szCs w:val="24"/>
          <w:lang w:val="pt-PT"/>
        </w:rPr>
        <w:t>Eliminação</w:t>
      </w:r>
      <w:r w:rsidR="00C965B4" w:rsidRPr="003A1174">
        <w:rPr>
          <w:rFonts w:ascii="Garamond" w:hAnsi="Garamond" w:cs="Arial"/>
          <w:sz w:val="24"/>
          <w:szCs w:val="24"/>
          <w:lang w:val="pt-PT"/>
        </w:rPr>
        <w:t xml:space="preserve"> d</w:t>
      </w:r>
      <w:r w:rsidR="0051510C" w:rsidRPr="003A1174">
        <w:rPr>
          <w:rFonts w:ascii="Garamond" w:hAnsi="Garamond" w:cs="Arial"/>
          <w:sz w:val="24"/>
          <w:szCs w:val="24"/>
          <w:lang w:val="pt-PT"/>
        </w:rPr>
        <w:t xml:space="preserve">a </w:t>
      </w:r>
      <w:r w:rsidR="0017447A" w:rsidRPr="003A1174">
        <w:rPr>
          <w:rFonts w:ascii="Garamond" w:hAnsi="Garamond" w:cs="Arial"/>
          <w:sz w:val="24"/>
          <w:szCs w:val="24"/>
          <w:lang w:val="pt-PT"/>
        </w:rPr>
        <w:t>Discriminação</w:t>
      </w:r>
      <w:r w:rsidR="00C965B4" w:rsidRPr="003A1174">
        <w:rPr>
          <w:rFonts w:ascii="Garamond" w:hAnsi="Garamond" w:cs="Arial"/>
          <w:sz w:val="24"/>
          <w:szCs w:val="24"/>
          <w:lang w:val="pt-PT"/>
        </w:rPr>
        <w:t xml:space="preserve"> contra </w:t>
      </w:r>
      <w:r w:rsidR="0051510C"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6D3F69" w:rsidRPr="003A1174">
        <w:rPr>
          <w:rFonts w:ascii="Garamond" w:hAnsi="Garamond" w:cs="Arial"/>
          <w:sz w:val="24"/>
          <w:szCs w:val="24"/>
          <w:lang w:val="pt-PT"/>
        </w:rPr>
        <w:t>.</w:t>
      </w:r>
      <w:r w:rsidR="0051510C" w:rsidRPr="003A1174">
        <w:rPr>
          <w:rFonts w:ascii="Garamond" w:hAnsi="Garamond" w:cs="Arial"/>
          <w:sz w:val="24"/>
          <w:szCs w:val="24"/>
          <w:lang w:val="pt-PT"/>
        </w:rPr>
        <w:t xml:space="preserve"> </w:t>
      </w:r>
      <w:r w:rsidR="006D3F69" w:rsidRPr="003A1174">
        <w:rPr>
          <w:rFonts w:ascii="Garamond" w:hAnsi="Garamond" w:cs="Arial"/>
          <w:sz w:val="24"/>
          <w:szCs w:val="24"/>
          <w:lang w:val="pt-PT"/>
        </w:rPr>
        <w:t>D</w:t>
      </w:r>
      <w:r w:rsidR="0051510C" w:rsidRPr="003A1174">
        <w:rPr>
          <w:rFonts w:ascii="Garamond" w:hAnsi="Garamond" w:cs="Arial"/>
          <w:sz w:val="24"/>
          <w:szCs w:val="24"/>
          <w:lang w:val="pt-PT"/>
        </w:rPr>
        <w:t xml:space="preserve">e 1986 </w:t>
      </w:r>
      <w:r w:rsidR="00C965B4" w:rsidRPr="003A1174">
        <w:rPr>
          <w:rFonts w:ascii="Garamond" w:hAnsi="Garamond" w:cs="Arial"/>
          <w:sz w:val="24"/>
          <w:szCs w:val="24"/>
          <w:lang w:val="pt-PT"/>
        </w:rPr>
        <w:t xml:space="preserve">até </w:t>
      </w:r>
      <w:r w:rsidR="0051510C" w:rsidRPr="003A1174">
        <w:rPr>
          <w:rFonts w:ascii="Garamond" w:hAnsi="Garamond" w:cs="Arial"/>
          <w:sz w:val="24"/>
          <w:szCs w:val="24"/>
          <w:lang w:val="pt-PT"/>
        </w:rPr>
        <w:t xml:space="preserve">2010, </w:t>
      </w:r>
      <w:r w:rsidR="00C965B4" w:rsidRPr="003A1174">
        <w:rPr>
          <w:rFonts w:ascii="Garamond" w:hAnsi="Garamond" w:cs="Arial"/>
          <w:sz w:val="24"/>
          <w:szCs w:val="24"/>
          <w:lang w:val="pt-PT"/>
        </w:rPr>
        <w:t xml:space="preserve">o </w:t>
      </w:r>
      <w:r w:rsidR="0051510C" w:rsidRPr="003A1174">
        <w:rPr>
          <w:rFonts w:ascii="Garamond" w:hAnsi="Garamond" w:cs="Arial"/>
          <w:sz w:val="24"/>
          <w:szCs w:val="24"/>
          <w:shd w:val="clear" w:color="auto" w:fill="FFFFFF"/>
          <w:lang w:val="pt-PT"/>
        </w:rPr>
        <w:t xml:space="preserve">Comité </w:t>
      </w:r>
      <w:r w:rsidR="0051510C" w:rsidRPr="003A1174">
        <w:rPr>
          <w:rFonts w:ascii="Garamond" w:hAnsi="Garamond" w:cs="Arial"/>
          <w:color w:val="auto"/>
          <w:sz w:val="24"/>
          <w:szCs w:val="24"/>
          <w:shd w:val="clear" w:color="auto" w:fill="FFFFFF"/>
          <w:lang w:val="pt-PT"/>
        </w:rPr>
        <w:t>ado</w:t>
      </w:r>
      <w:r w:rsidR="00C965B4" w:rsidRPr="003A1174">
        <w:rPr>
          <w:rFonts w:ascii="Garamond" w:hAnsi="Garamond" w:cs="Arial"/>
          <w:color w:val="auto"/>
          <w:sz w:val="24"/>
          <w:szCs w:val="24"/>
          <w:shd w:val="clear" w:color="auto" w:fill="FFFFFF"/>
          <w:lang w:val="pt-PT"/>
        </w:rPr>
        <w:t xml:space="preserve">tou um </w:t>
      </w:r>
      <w:r w:rsidR="0051510C" w:rsidRPr="003A1174">
        <w:rPr>
          <w:rFonts w:ascii="Garamond" w:hAnsi="Garamond" w:cs="Arial"/>
          <w:color w:val="auto"/>
          <w:sz w:val="24"/>
          <w:szCs w:val="24"/>
          <w:shd w:val="clear" w:color="auto" w:fill="FFFFFF"/>
          <w:lang w:val="pt-PT"/>
        </w:rPr>
        <w:t xml:space="preserve">total </w:t>
      </w:r>
      <w:r w:rsidR="0051510C" w:rsidRPr="003A1174">
        <w:rPr>
          <w:rFonts w:ascii="Garamond" w:hAnsi="Garamond" w:cs="Arial"/>
          <w:sz w:val="24"/>
          <w:szCs w:val="24"/>
          <w:shd w:val="clear" w:color="auto" w:fill="FFFFFF"/>
          <w:lang w:val="pt-PT"/>
        </w:rPr>
        <w:t xml:space="preserve">de 27 </w:t>
      </w:r>
      <w:r w:rsidRPr="003A1174">
        <w:rPr>
          <w:rFonts w:ascii="Garamond" w:hAnsi="Garamond" w:cs="Arial"/>
          <w:sz w:val="24"/>
          <w:szCs w:val="24"/>
          <w:shd w:val="clear" w:color="auto" w:fill="FFFFFF"/>
          <w:lang w:val="pt-PT"/>
        </w:rPr>
        <w:t>recomendações</w:t>
      </w:r>
      <w:r w:rsidR="0051510C" w:rsidRPr="003A1174">
        <w:rPr>
          <w:rFonts w:ascii="Garamond" w:hAnsi="Garamond" w:cs="Arial"/>
          <w:sz w:val="24"/>
          <w:szCs w:val="24"/>
          <w:shd w:val="clear" w:color="auto" w:fill="FFFFFF"/>
          <w:lang w:val="pt-PT"/>
        </w:rPr>
        <w:t xml:space="preserve"> </w:t>
      </w:r>
      <w:r w:rsidR="009E3E55" w:rsidRPr="003A1174">
        <w:rPr>
          <w:rFonts w:ascii="Garamond" w:hAnsi="Garamond" w:cs="Arial"/>
          <w:sz w:val="24"/>
          <w:szCs w:val="24"/>
          <w:shd w:val="clear" w:color="auto" w:fill="FFFFFF"/>
          <w:lang w:val="pt-PT"/>
        </w:rPr>
        <w:t>gerais</w:t>
      </w:r>
      <w:r w:rsidR="0051510C" w:rsidRPr="003A1174">
        <w:rPr>
          <w:rFonts w:ascii="Garamond" w:hAnsi="Garamond" w:cs="Arial"/>
          <w:sz w:val="24"/>
          <w:szCs w:val="24"/>
          <w:shd w:val="clear" w:color="auto" w:fill="FFFFFF"/>
          <w:lang w:val="pt-PT"/>
        </w:rPr>
        <w:t>. Existe u</w:t>
      </w:r>
      <w:r w:rsidR="00C965B4" w:rsidRPr="003A1174">
        <w:rPr>
          <w:rFonts w:ascii="Garamond" w:hAnsi="Garamond" w:cs="Arial"/>
          <w:sz w:val="24"/>
          <w:szCs w:val="24"/>
          <w:shd w:val="clear" w:color="auto" w:fill="FFFFFF"/>
          <w:lang w:val="pt-PT"/>
        </w:rPr>
        <w:t>m</w:t>
      </w:r>
      <w:r w:rsidR="0051510C" w:rsidRPr="003A1174">
        <w:rPr>
          <w:rFonts w:ascii="Garamond" w:hAnsi="Garamond" w:cs="Arial"/>
          <w:sz w:val="24"/>
          <w:szCs w:val="24"/>
          <w:shd w:val="clear" w:color="auto" w:fill="FFFFFF"/>
          <w:lang w:val="pt-PT"/>
        </w:rPr>
        <w:t xml:space="preserve"> </w:t>
      </w:r>
      <w:r w:rsidR="00C30647" w:rsidRPr="003A1174">
        <w:rPr>
          <w:rFonts w:ascii="Garamond" w:hAnsi="Garamond" w:cs="Arial"/>
          <w:sz w:val="24"/>
          <w:szCs w:val="24"/>
          <w:lang w:val="pt-PT"/>
        </w:rPr>
        <w:t>Projeto</w:t>
      </w:r>
      <w:r w:rsidR="0051510C" w:rsidRPr="003A1174">
        <w:rPr>
          <w:rFonts w:ascii="Garamond" w:hAnsi="Garamond" w:cs="Arial"/>
          <w:sz w:val="24"/>
          <w:szCs w:val="24"/>
          <w:lang w:val="pt-PT"/>
        </w:rPr>
        <w:t xml:space="preserve"> de </w:t>
      </w:r>
      <w:r w:rsidR="00C965B4" w:rsidRPr="003A1174">
        <w:rPr>
          <w:rFonts w:ascii="Garamond" w:hAnsi="Garamond" w:cs="Arial"/>
          <w:sz w:val="24"/>
          <w:szCs w:val="24"/>
          <w:lang w:val="pt-PT"/>
        </w:rPr>
        <w:t>Recomendação</w:t>
      </w:r>
      <w:r w:rsidR="0051510C"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51510C" w:rsidRPr="003A1174">
        <w:rPr>
          <w:rFonts w:ascii="Garamond" w:hAnsi="Garamond" w:cs="Arial"/>
          <w:sz w:val="24"/>
          <w:szCs w:val="24"/>
          <w:lang w:val="pt-PT"/>
        </w:rPr>
        <w:t xml:space="preserve"> N</w:t>
      </w:r>
      <w:r w:rsidR="003F4889">
        <w:rPr>
          <w:rFonts w:ascii="Garamond" w:hAnsi="Garamond" w:cs="Arial"/>
          <w:sz w:val="24"/>
          <w:szCs w:val="24"/>
          <w:lang w:val="pt-PT"/>
        </w:rPr>
        <w:t>.</w:t>
      </w:r>
      <w:r w:rsidR="0051510C" w:rsidRPr="003A1174">
        <w:rPr>
          <w:rFonts w:ascii="Garamond" w:hAnsi="Garamond" w:cs="Arial"/>
          <w:sz w:val="24"/>
          <w:szCs w:val="24"/>
          <w:lang w:val="pt-PT"/>
        </w:rPr>
        <w:t xml:space="preserve">º </w:t>
      </w:r>
      <w:proofErr w:type="gramStart"/>
      <w:r w:rsidR="0051510C" w:rsidRPr="003A1174">
        <w:rPr>
          <w:rFonts w:ascii="Garamond" w:hAnsi="Garamond" w:cs="Arial"/>
          <w:sz w:val="24"/>
          <w:szCs w:val="24"/>
          <w:lang w:val="pt-PT"/>
        </w:rPr>
        <w:t>28 relativa</w:t>
      </w:r>
      <w:proofErr w:type="gramEnd"/>
      <w:r w:rsidR="0051510C" w:rsidRPr="003A1174">
        <w:rPr>
          <w:rFonts w:ascii="Garamond" w:hAnsi="Garamond" w:cs="Arial"/>
          <w:sz w:val="24"/>
          <w:szCs w:val="24"/>
          <w:lang w:val="pt-PT"/>
        </w:rPr>
        <w:t xml:space="preserve"> a</w:t>
      </w:r>
      <w:r w:rsidR="00C965B4" w:rsidRPr="003A1174">
        <w:rPr>
          <w:rFonts w:ascii="Garamond" w:hAnsi="Garamond" w:cs="Arial"/>
          <w:sz w:val="24"/>
          <w:szCs w:val="24"/>
          <w:lang w:val="pt-PT"/>
        </w:rPr>
        <w:t>o</w:t>
      </w:r>
      <w:r w:rsidR="0051510C" w:rsidRPr="003A1174">
        <w:rPr>
          <w:rFonts w:ascii="Garamond" w:hAnsi="Garamond" w:cs="Arial"/>
          <w:sz w:val="24"/>
          <w:szCs w:val="24"/>
          <w:lang w:val="pt-PT"/>
        </w:rPr>
        <w:t xml:space="preserve"> </w:t>
      </w:r>
      <w:r w:rsidR="006D3F69" w:rsidRPr="003A1174">
        <w:rPr>
          <w:rFonts w:ascii="Garamond" w:hAnsi="Garamond" w:cs="Arial"/>
          <w:sz w:val="24"/>
          <w:szCs w:val="24"/>
          <w:lang w:val="pt-PT"/>
        </w:rPr>
        <w:t>A</w:t>
      </w:r>
      <w:r w:rsidR="0051510C" w:rsidRPr="003A1174">
        <w:rPr>
          <w:rFonts w:ascii="Garamond" w:hAnsi="Garamond" w:cs="Arial"/>
          <w:sz w:val="24"/>
          <w:szCs w:val="24"/>
          <w:lang w:val="pt-PT"/>
        </w:rPr>
        <w:t>rt</w:t>
      </w:r>
      <w:r w:rsidR="006D3F69" w:rsidRPr="003A1174">
        <w:rPr>
          <w:rFonts w:ascii="Garamond" w:hAnsi="Garamond" w:cs="Arial"/>
          <w:sz w:val="24"/>
          <w:szCs w:val="24"/>
          <w:lang w:val="pt-PT"/>
        </w:rPr>
        <w:t>.</w:t>
      </w:r>
      <w:r w:rsidR="00C01806" w:rsidRPr="003A1174">
        <w:rPr>
          <w:rFonts w:ascii="Garamond" w:hAnsi="Garamond" w:cs="Arial"/>
          <w:sz w:val="24"/>
          <w:szCs w:val="24"/>
          <w:lang w:val="pt-PT"/>
        </w:rPr>
        <w:t xml:space="preserve"> 2 d</w:t>
      </w:r>
      <w:r w:rsidR="0051510C" w:rsidRPr="003A1174">
        <w:rPr>
          <w:rFonts w:ascii="Garamond" w:hAnsi="Garamond" w:cs="Arial"/>
          <w:sz w:val="24"/>
          <w:szCs w:val="24"/>
          <w:lang w:val="pt-PT"/>
        </w:rPr>
        <w:t xml:space="preserve">a </w:t>
      </w:r>
      <w:r w:rsidR="00B14AA6" w:rsidRPr="003A1174">
        <w:rPr>
          <w:rFonts w:ascii="Garamond" w:hAnsi="Garamond" w:cs="Arial"/>
          <w:sz w:val="24"/>
          <w:szCs w:val="24"/>
          <w:lang w:val="pt-PT"/>
        </w:rPr>
        <w:t>Convenção</w:t>
      </w:r>
      <w:r w:rsidR="00C01806" w:rsidRPr="003A1174">
        <w:rPr>
          <w:rFonts w:ascii="Garamond" w:hAnsi="Garamond" w:cs="Arial"/>
          <w:sz w:val="24"/>
          <w:szCs w:val="24"/>
          <w:lang w:val="pt-PT"/>
        </w:rPr>
        <w:t xml:space="preserve"> sobre </w:t>
      </w:r>
      <w:r w:rsidR="0051510C" w:rsidRPr="003A1174">
        <w:rPr>
          <w:rFonts w:ascii="Garamond" w:hAnsi="Garamond" w:cs="Arial"/>
          <w:sz w:val="24"/>
          <w:szCs w:val="24"/>
          <w:lang w:val="pt-PT"/>
        </w:rPr>
        <w:t xml:space="preserve">a </w:t>
      </w:r>
      <w:r w:rsidRPr="003A1174">
        <w:rPr>
          <w:rFonts w:ascii="Garamond" w:hAnsi="Garamond" w:cs="Arial"/>
          <w:sz w:val="24"/>
          <w:szCs w:val="24"/>
          <w:lang w:val="pt-PT"/>
        </w:rPr>
        <w:t>Eliminação</w:t>
      </w:r>
      <w:r w:rsidR="00C01806" w:rsidRPr="003A1174">
        <w:rPr>
          <w:rFonts w:ascii="Garamond" w:hAnsi="Garamond" w:cs="Arial"/>
          <w:sz w:val="24"/>
          <w:szCs w:val="24"/>
          <w:lang w:val="pt-PT"/>
        </w:rPr>
        <w:t xml:space="preserve"> de todas </w:t>
      </w:r>
      <w:r w:rsidR="0051510C" w:rsidRPr="003A1174">
        <w:rPr>
          <w:rFonts w:ascii="Garamond" w:hAnsi="Garamond" w:cs="Arial"/>
          <w:sz w:val="24"/>
          <w:szCs w:val="24"/>
          <w:lang w:val="pt-PT"/>
        </w:rPr>
        <w:t xml:space="preserve">as </w:t>
      </w:r>
      <w:r w:rsidR="006D3F69" w:rsidRPr="003A1174">
        <w:rPr>
          <w:rFonts w:ascii="Garamond" w:hAnsi="Garamond" w:cs="Arial"/>
          <w:sz w:val="24"/>
          <w:szCs w:val="24"/>
          <w:lang w:val="pt-PT"/>
        </w:rPr>
        <w:t>F</w:t>
      </w:r>
      <w:r w:rsidR="0051510C" w:rsidRPr="003A1174">
        <w:rPr>
          <w:rFonts w:ascii="Garamond" w:hAnsi="Garamond" w:cs="Arial"/>
          <w:sz w:val="24"/>
          <w:szCs w:val="24"/>
          <w:lang w:val="pt-PT"/>
        </w:rPr>
        <w:t xml:space="preserve">ormas de </w:t>
      </w:r>
      <w:r w:rsidR="0017447A" w:rsidRPr="003A1174">
        <w:rPr>
          <w:rFonts w:ascii="Garamond" w:hAnsi="Garamond" w:cs="Arial"/>
          <w:sz w:val="24"/>
          <w:szCs w:val="24"/>
          <w:lang w:val="pt-PT"/>
        </w:rPr>
        <w:t>Discriminação</w:t>
      </w:r>
      <w:r w:rsidR="00C01806" w:rsidRPr="003A1174">
        <w:rPr>
          <w:rFonts w:ascii="Garamond" w:hAnsi="Garamond" w:cs="Arial"/>
          <w:sz w:val="24"/>
          <w:szCs w:val="24"/>
          <w:lang w:val="pt-PT"/>
        </w:rPr>
        <w:t xml:space="preserve"> contra </w:t>
      </w:r>
      <w:r w:rsidR="0051510C"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51510C" w:rsidRPr="003A1174">
        <w:rPr>
          <w:rFonts w:ascii="Garamond" w:hAnsi="Garamond" w:cs="Arial"/>
          <w:sz w:val="24"/>
          <w:szCs w:val="24"/>
          <w:lang w:val="pt-PT"/>
        </w:rPr>
        <w:t xml:space="preserve"> (2010)</w:t>
      </w:r>
      <w:r w:rsidR="003F4889">
        <w:rPr>
          <w:rFonts w:ascii="Garamond" w:hAnsi="Garamond" w:cs="Arial"/>
          <w:sz w:val="24"/>
          <w:szCs w:val="24"/>
          <w:lang w:val="pt-PT"/>
        </w:rPr>
        <w:t>.</w:t>
      </w:r>
    </w:p>
    <w:p w:rsidR="0051510C" w:rsidRPr="003A1174" w:rsidRDefault="00B14AA6"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iCs/>
          <w:sz w:val="24"/>
          <w:szCs w:val="24"/>
          <w:lang w:val="pt-PT"/>
        </w:rPr>
        <w:t>Convenção</w:t>
      </w:r>
      <w:r w:rsidR="003F012B" w:rsidRPr="003A1174">
        <w:rPr>
          <w:rFonts w:ascii="Garamond" w:hAnsi="Garamond" w:cs="Arial"/>
          <w:iCs/>
          <w:sz w:val="24"/>
          <w:szCs w:val="24"/>
          <w:lang w:val="pt-PT"/>
        </w:rPr>
        <w:t xml:space="preserve"> sobre </w:t>
      </w:r>
      <w:r w:rsidR="0051510C" w:rsidRPr="003A1174">
        <w:rPr>
          <w:rFonts w:ascii="Garamond" w:hAnsi="Garamond" w:cs="Arial"/>
          <w:iCs/>
          <w:sz w:val="24"/>
          <w:szCs w:val="24"/>
          <w:lang w:val="pt-PT"/>
        </w:rPr>
        <w:t xml:space="preserve">a </w:t>
      </w:r>
      <w:r w:rsidR="008E7A2A" w:rsidRPr="003A1174">
        <w:rPr>
          <w:rFonts w:ascii="Garamond" w:hAnsi="Garamond" w:cs="Arial"/>
          <w:iCs/>
          <w:sz w:val="24"/>
          <w:szCs w:val="24"/>
          <w:lang w:val="pt-PT"/>
        </w:rPr>
        <w:t>Eliminação</w:t>
      </w:r>
      <w:r w:rsidR="003F012B" w:rsidRPr="003A1174">
        <w:rPr>
          <w:rFonts w:ascii="Garamond" w:hAnsi="Garamond" w:cs="Arial"/>
          <w:iCs/>
          <w:sz w:val="24"/>
          <w:szCs w:val="24"/>
          <w:lang w:val="pt-PT"/>
        </w:rPr>
        <w:t xml:space="preserve"> de Todas </w:t>
      </w:r>
      <w:r w:rsidR="0051510C" w:rsidRPr="003A1174">
        <w:rPr>
          <w:rFonts w:ascii="Garamond" w:hAnsi="Garamond" w:cs="Arial"/>
          <w:iCs/>
          <w:sz w:val="24"/>
          <w:szCs w:val="24"/>
          <w:lang w:val="pt-PT"/>
        </w:rPr>
        <w:t xml:space="preserve">as Formas de </w:t>
      </w:r>
      <w:r w:rsidR="0017447A" w:rsidRPr="003A1174">
        <w:rPr>
          <w:rFonts w:ascii="Garamond" w:hAnsi="Garamond" w:cs="Arial"/>
          <w:iCs/>
          <w:sz w:val="24"/>
          <w:szCs w:val="24"/>
          <w:lang w:val="pt-PT"/>
        </w:rPr>
        <w:t>Discriminação</w:t>
      </w:r>
      <w:r w:rsidR="003F012B" w:rsidRPr="003A1174">
        <w:rPr>
          <w:rFonts w:ascii="Garamond" w:hAnsi="Garamond" w:cs="Arial"/>
          <w:iCs/>
          <w:sz w:val="24"/>
          <w:szCs w:val="24"/>
          <w:lang w:val="pt-PT"/>
        </w:rPr>
        <w:t xml:space="preserve"> contra </w:t>
      </w:r>
      <w:r w:rsidR="0051510C" w:rsidRPr="003A1174">
        <w:rPr>
          <w:rFonts w:ascii="Garamond" w:hAnsi="Garamond" w:cs="Arial"/>
          <w:iCs/>
          <w:sz w:val="24"/>
          <w:szCs w:val="24"/>
          <w:lang w:val="pt-PT"/>
        </w:rPr>
        <w:t xml:space="preserve">a </w:t>
      </w:r>
      <w:r w:rsidR="00AF192F" w:rsidRPr="003A1174">
        <w:rPr>
          <w:rFonts w:ascii="Garamond" w:hAnsi="Garamond" w:cs="Arial"/>
          <w:iCs/>
          <w:sz w:val="24"/>
          <w:szCs w:val="24"/>
          <w:lang w:val="pt-PT"/>
        </w:rPr>
        <w:t>Mulher</w:t>
      </w:r>
      <w:r w:rsidR="006D3F69" w:rsidRPr="003A1174">
        <w:rPr>
          <w:rFonts w:ascii="Garamond" w:hAnsi="Garamond" w:cs="Arial"/>
          <w:iCs/>
          <w:sz w:val="24"/>
          <w:szCs w:val="24"/>
          <w:lang w:val="pt-PT"/>
        </w:rPr>
        <w:t>,</w:t>
      </w:r>
      <w:r w:rsidR="0051510C" w:rsidRPr="003A1174">
        <w:rPr>
          <w:rFonts w:ascii="Garamond" w:hAnsi="Garamond" w:cs="Arial"/>
          <w:iCs/>
          <w:sz w:val="24"/>
          <w:szCs w:val="24"/>
          <w:lang w:val="pt-PT"/>
        </w:rPr>
        <w:t xml:space="preserve"> CEDAW (</w:t>
      </w:r>
      <w:r w:rsidR="00C30647" w:rsidRPr="003A1174">
        <w:rPr>
          <w:rFonts w:ascii="Garamond" w:hAnsi="Garamond" w:cs="Arial"/>
          <w:iCs/>
          <w:sz w:val="24"/>
          <w:szCs w:val="24"/>
          <w:lang w:val="pt-PT"/>
        </w:rPr>
        <w:t>Assembleia</w:t>
      </w:r>
      <w:r w:rsidR="0051510C" w:rsidRPr="003A1174">
        <w:rPr>
          <w:rFonts w:ascii="Garamond" w:hAnsi="Garamond" w:cs="Arial"/>
          <w:iCs/>
          <w:sz w:val="24"/>
          <w:szCs w:val="24"/>
          <w:lang w:val="pt-PT"/>
        </w:rPr>
        <w:t xml:space="preserve"> </w:t>
      </w:r>
      <w:r w:rsidR="00077461" w:rsidRPr="003A1174">
        <w:rPr>
          <w:rFonts w:ascii="Garamond" w:hAnsi="Garamond" w:cs="Arial"/>
          <w:iCs/>
          <w:sz w:val="24"/>
          <w:szCs w:val="24"/>
          <w:lang w:val="pt-PT"/>
        </w:rPr>
        <w:t>Geral</w:t>
      </w:r>
      <w:r w:rsidR="0051510C" w:rsidRPr="003A1174">
        <w:rPr>
          <w:rFonts w:ascii="Garamond" w:hAnsi="Garamond" w:cs="Arial"/>
          <w:iCs/>
          <w:sz w:val="24"/>
          <w:szCs w:val="24"/>
          <w:lang w:val="pt-PT"/>
        </w:rPr>
        <w:t xml:space="preserve">, </w:t>
      </w:r>
      <w:r w:rsidR="003F012B" w:rsidRPr="003A1174">
        <w:rPr>
          <w:rFonts w:ascii="Garamond" w:hAnsi="Garamond" w:cs="Arial"/>
          <w:iCs/>
          <w:sz w:val="24"/>
          <w:szCs w:val="24"/>
          <w:lang w:val="pt-PT"/>
        </w:rPr>
        <w:t>Resolução</w:t>
      </w:r>
      <w:r w:rsidR="0051510C" w:rsidRPr="003A1174">
        <w:rPr>
          <w:rFonts w:ascii="Garamond" w:hAnsi="Garamond" w:cs="Arial"/>
          <w:iCs/>
          <w:sz w:val="24"/>
          <w:szCs w:val="24"/>
          <w:lang w:val="pt-PT"/>
        </w:rPr>
        <w:t xml:space="preserve"> 34/180, 18</w:t>
      </w:r>
      <w:r w:rsidR="006D3F69" w:rsidRPr="003A1174">
        <w:rPr>
          <w:rFonts w:ascii="Garamond" w:hAnsi="Garamond" w:cs="Arial"/>
          <w:iCs/>
          <w:sz w:val="24"/>
          <w:szCs w:val="24"/>
          <w:lang w:val="pt-PT"/>
        </w:rPr>
        <w:t xml:space="preserve"> de </w:t>
      </w:r>
      <w:r w:rsidR="0051510C" w:rsidRPr="003A1174">
        <w:rPr>
          <w:rFonts w:ascii="Garamond" w:hAnsi="Garamond" w:cs="Arial"/>
          <w:iCs/>
          <w:sz w:val="24"/>
          <w:szCs w:val="24"/>
          <w:lang w:val="pt-PT"/>
        </w:rPr>
        <w:t>d</w:t>
      </w:r>
      <w:r w:rsidR="00C01806" w:rsidRPr="003A1174">
        <w:rPr>
          <w:rFonts w:ascii="Garamond" w:hAnsi="Garamond" w:cs="Arial"/>
          <w:iCs/>
          <w:sz w:val="24"/>
          <w:szCs w:val="24"/>
          <w:lang w:val="pt-PT"/>
        </w:rPr>
        <w:t>ez</w:t>
      </w:r>
      <w:r w:rsidR="003F4889">
        <w:rPr>
          <w:rFonts w:ascii="Garamond" w:hAnsi="Garamond" w:cs="Arial"/>
          <w:iCs/>
          <w:sz w:val="24"/>
          <w:szCs w:val="24"/>
          <w:lang w:val="pt-PT"/>
        </w:rPr>
        <w:t>embro</w:t>
      </w:r>
      <w:r w:rsidR="006D3F69" w:rsidRPr="003A1174">
        <w:rPr>
          <w:rFonts w:ascii="Garamond" w:hAnsi="Garamond" w:cs="Arial"/>
          <w:iCs/>
          <w:sz w:val="24"/>
          <w:szCs w:val="24"/>
          <w:lang w:val="pt-PT"/>
        </w:rPr>
        <w:t xml:space="preserve"> 19</w:t>
      </w:r>
      <w:r w:rsidR="0051510C" w:rsidRPr="003A1174">
        <w:rPr>
          <w:rFonts w:ascii="Garamond" w:hAnsi="Garamond" w:cs="Arial"/>
          <w:iCs/>
          <w:sz w:val="24"/>
          <w:szCs w:val="24"/>
          <w:lang w:val="pt-PT"/>
        </w:rPr>
        <w:t>79</w:t>
      </w:r>
      <w:r w:rsidR="003F4889">
        <w:rPr>
          <w:rFonts w:ascii="Garamond" w:hAnsi="Garamond" w:cs="Arial"/>
          <w:iCs/>
          <w:sz w:val="24"/>
          <w:szCs w:val="24"/>
          <w:lang w:val="pt-PT"/>
        </w:rPr>
        <w:t>.</w:t>
      </w:r>
    </w:p>
    <w:p w:rsidR="0051510C" w:rsidRPr="003A1174" w:rsidRDefault="00BC2C17" w:rsidP="008719D4">
      <w:pPr>
        <w:pStyle w:val="Prrafodelista"/>
        <w:numPr>
          <w:ilvl w:val="0"/>
          <w:numId w:val="17"/>
        </w:numPr>
        <w:spacing w:line="240" w:lineRule="auto"/>
        <w:jc w:val="both"/>
        <w:rPr>
          <w:rFonts w:ascii="Garamond" w:hAnsi="Garamond" w:cs="Arial"/>
          <w:sz w:val="24"/>
          <w:szCs w:val="24"/>
          <w:lang w:val="pt-PT"/>
        </w:rPr>
      </w:pPr>
      <w:hyperlink r:id="rId14" w:tgtFrame="top" w:history="1">
        <w:r w:rsidR="00C30647" w:rsidRPr="003A1174">
          <w:rPr>
            <w:rStyle w:val="Hipervnculo"/>
            <w:rFonts w:ascii="Garamond" w:hAnsi="Garamond" w:cs="Arial"/>
            <w:color w:val="auto"/>
            <w:sz w:val="24"/>
            <w:szCs w:val="24"/>
            <w:u w:val="none"/>
            <w:lang w:val="pt-PT"/>
          </w:rPr>
          <w:t>Declaração</w:t>
        </w:r>
        <w:r w:rsidR="003F012B" w:rsidRPr="003A1174">
          <w:rPr>
            <w:rStyle w:val="Hipervnculo"/>
            <w:rFonts w:ascii="Garamond" w:hAnsi="Garamond" w:cs="Arial"/>
            <w:color w:val="auto"/>
            <w:sz w:val="24"/>
            <w:szCs w:val="24"/>
            <w:u w:val="none"/>
            <w:lang w:val="pt-PT"/>
          </w:rPr>
          <w:t xml:space="preserve"> sobre </w:t>
        </w:r>
        <w:r w:rsidR="0051510C" w:rsidRPr="003A1174">
          <w:rPr>
            <w:rStyle w:val="Hipervnculo"/>
            <w:rFonts w:ascii="Garamond" w:hAnsi="Garamond" w:cs="Arial"/>
            <w:color w:val="auto"/>
            <w:sz w:val="24"/>
            <w:szCs w:val="24"/>
            <w:u w:val="none"/>
            <w:lang w:val="pt-PT"/>
          </w:rPr>
          <w:t xml:space="preserve">a </w:t>
        </w:r>
        <w:r w:rsidR="008E7A2A" w:rsidRPr="003A1174">
          <w:rPr>
            <w:rStyle w:val="Hipervnculo"/>
            <w:rFonts w:ascii="Garamond" w:hAnsi="Garamond" w:cs="Arial"/>
            <w:color w:val="auto"/>
            <w:sz w:val="24"/>
            <w:szCs w:val="24"/>
            <w:u w:val="none"/>
            <w:lang w:val="pt-PT"/>
          </w:rPr>
          <w:t>eliminação</w:t>
        </w:r>
        <w:r w:rsidR="003F012B" w:rsidRPr="003A1174">
          <w:rPr>
            <w:rStyle w:val="Hipervnculo"/>
            <w:rFonts w:ascii="Garamond" w:hAnsi="Garamond" w:cs="Arial"/>
            <w:color w:val="auto"/>
            <w:sz w:val="24"/>
            <w:szCs w:val="24"/>
            <w:u w:val="none"/>
            <w:lang w:val="pt-PT"/>
          </w:rPr>
          <w:t xml:space="preserve"> d</w:t>
        </w:r>
        <w:r w:rsidR="0051510C" w:rsidRPr="003A1174">
          <w:rPr>
            <w:rStyle w:val="Hipervnculo"/>
            <w:rFonts w:ascii="Garamond" w:hAnsi="Garamond" w:cs="Arial"/>
            <w:color w:val="auto"/>
            <w:sz w:val="24"/>
            <w:szCs w:val="24"/>
            <w:u w:val="none"/>
            <w:lang w:val="pt-PT"/>
          </w:rPr>
          <w:t xml:space="preserve">a </w:t>
        </w:r>
        <w:r w:rsidR="000350B1" w:rsidRPr="003A1174">
          <w:rPr>
            <w:rStyle w:val="Hipervnculo"/>
            <w:rFonts w:ascii="Garamond" w:hAnsi="Garamond" w:cs="Arial"/>
            <w:color w:val="auto"/>
            <w:sz w:val="24"/>
            <w:szCs w:val="24"/>
            <w:u w:val="none"/>
            <w:lang w:val="pt-PT"/>
          </w:rPr>
          <w:t>violência</w:t>
        </w:r>
        <w:r w:rsidR="003F012B" w:rsidRPr="003A1174">
          <w:rPr>
            <w:rStyle w:val="Hipervnculo"/>
            <w:rFonts w:ascii="Garamond" w:hAnsi="Garamond" w:cs="Arial"/>
            <w:color w:val="auto"/>
            <w:sz w:val="24"/>
            <w:szCs w:val="24"/>
            <w:u w:val="none"/>
            <w:lang w:val="pt-PT"/>
          </w:rPr>
          <w:t xml:space="preserve"> contra </w:t>
        </w:r>
        <w:r w:rsidR="0051510C" w:rsidRPr="003A1174">
          <w:rPr>
            <w:rStyle w:val="Hipervnculo"/>
            <w:rFonts w:ascii="Garamond" w:hAnsi="Garamond" w:cs="Arial"/>
            <w:color w:val="auto"/>
            <w:sz w:val="24"/>
            <w:szCs w:val="24"/>
            <w:u w:val="none"/>
            <w:lang w:val="pt-PT"/>
          </w:rPr>
          <w:t xml:space="preserve">a </w:t>
        </w:r>
        <w:r w:rsidR="00AF192F" w:rsidRPr="003A1174">
          <w:rPr>
            <w:rStyle w:val="Hipervnculo"/>
            <w:rFonts w:ascii="Garamond" w:hAnsi="Garamond" w:cs="Arial"/>
            <w:color w:val="auto"/>
            <w:sz w:val="24"/>
            <w:szCs w:val="24"/>
            <w:u w:val="none"/>
            <w:lang w:val="pt-PT"/>
          </w:rPr>
          <w:t>mulher</w:t>
        </w:r>
      </w:hyperlink>
      <w:r w:rsidR="0051510C" w:rsidRPr="003A1174">
        <w:rPr>
          <w:rFonts w:ascii="Garamond" w:hAnsi="Garamond" w:cs="Arial"/>
          <w:sz w:val="24"/>
          <w:szCs w:val="24"/>
          <w:lang w:val="pt-PT"/>
        </w:rPr>
        <w:t xml:space="preserve"> (</w:t>
      </w:r>
      <w:r w:rsidR="00C30647" w:rsidRPr="003A1174">
        <w:rPr>
          <w:rFonts w:ascii="Garamond" w:hAnsi="Garamond" w:cs="Arial"/>
          <w:sz w:val="24"/>
          <w:szCs w:val="24"/>
          <w:lang w:val="pt-PT"/>
        </w:rPr>
        <w:t>Assembleia</w:t>
      </w:r>
      <w:r w:rsidR="0051510C"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51510C" w:rsidRPr="003A1174">
        <w:rPr>
          <w:rFonts w:ascii="Garamond" w:hAnsi="Garamond" w:cs="Arial"/>
          <w:sz w:val="24"/>
          <w:szCs w:val="24"/>
          <w:lang w:val="pt-PT"/>
        </w:rPr>
        <w:t xml:space="preserve">, </w:t>
      </w:r>
      <w:r w:rsidR="003F012B" w:rsidRPr="003A1174">
        <w:rPr>
          <w:rFonts w:ascii="Garamond" w:hAnsi="Garamond" w:cs="Arial"/>
          <w:sz w:val="24"/>
          <w:szCs w:val="24"/>
          <w:lang w:val="pt-PT"/>
        </w:rPr>
        <w:t>Resolução</w:t>
      </w:r>
      <w:r w:rsidR="0051510C" w:rsidRPr="003A1174">
        <w:rPr>
          <w:rFonts w:ascii="Garamond" w:hAnsi="Garamond" w:cs="Arial"/>
          <w:sz w:val="24"/>
          <w:szCs w:val="24"/>
          <w:lang w:val="pt-PT"/>
        </w:rPr>
        <w:t xml:space="preserve"> 48/104, 20</w:t>
      </w:r>
      <w:r w:rsidR="006D3F69" w:rsidRPr="003A1174">
        <w:rPr>
          <w:rFonts w:ascii="Garamond" w:hAnsi="Garamond" w:cs="Arial"/>
          <w:sz w:val="24"/>
          <w:szCs w:val="24"/>
          <w:lang w:val="pt-PT"/>
        </w:rPr>
        <w:t xml:space="preserve"> de </w:t>
      </w:r>
      <w:r w:rsidR="0051510C" w:rsidRPr="003A1174">
        <w:rPr>
          <w:rFonts w:ascii="Garamond" w:hAnsi="Garamond" w:cs="Arial"/>
          <w:sz w:val="24"/>
          <w:szCs w:val="24"/>
          <w:lang w:val="pt-PT"/>
        </w:rPr>
        <w:t>d</w:t>
      </w:r>
      <w:r w:rsidR="00C01806" w:rsidRPr="003A1174">
        <w:rPr>
          <w:rFonts w:ascii="Garamond" w:hAnsi="Garamond" w:cs="Arial"/>
          <w:sz w:val="24"/>
          <w:szCs w:val="24"/>
          <w:lang w:val="pt-PT"/>
        </w:rPr>
        <w:t>ez</w:t>
      </w:r>
      <w:r w:rsidR="003F4889">
        <w:rPr>
          <w:rFonts w:ascii="Garamond" w:hAnsi="Garamond" w:cs="Arial"/>
          <w:sz w:val="24"/>
          <w:szCs w:val="24"/>
          <w:lang w:val="pt-PT"/>
        </w:rPr>
        <w:t>embro</w:t>
      </w:r>
      <w:r w:rsidR="006D3F69" w:rsidRPr="003A1174">
        <w:rPr>
          <w:rFonts w:ascii="Garamond" w:hAnsi="Garamond" w:cs="Arial"/>
          <w:sz w:val="24"/>
          <w:szCs w:val="24"/>
          <w:lang w:val="pt-PT"/>
        </w:rPr>
        <w:t xml:space="preserve"> 19</w:t>
      </w:r>
      <w:r w:rsidR="0051510C" w:rsidRPr="003A1174">
        <w:rPr>
          <w:rFonts w:ascii="Garamond" w:hAnsi="Garamond" w:cs="Arial"/>
          <w:sz w:val="24"/>
          <w:szCs w:val="24"/>
          <w:lang w:val="pt-PT"/>
        </w:rPr>
        <w:t>93)</w:t>
      </w:r>
      <w:r w:rsidR="003F4889">
        <w:rPr>
          <w:rFonts w:ascii="Garamond" w:hAnsi="Garamond" w:cs="Arial"/>
          <w:sz w:val="24"/>
          <w:szCs w:val="24"/>
          <w:lang w:val="pt-PT"/>
        </w:rPr>
        <w:t>.</w:t>
      </w:r>
    </w:p>
    <w:p w:rsidR="0051510C" w:rsidRPr="003A1174" w:rsidRDefault="00B14AA6"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iCs/>
          <w:color w:val="auto"/>
          <w:sz w:val="24"/>
          <w:szCs w:val="24"/>
          <w:lang w:val="pt-PT"/>
        </w:rPr>
        <w:t>Convenção</w:t>
      </w:r>
      <w:r w:rsidR="0051510C" w:rsidRPr="003A1174">
        <w:rPr>
          <w:rFonts w:ascii="Garamond" w:hAnsi="Garamond" w:cs="Arial"/>
          <w:iCs/>
          <w:color w:val="auto"/>
          <w:sz w:val="24"/>
          <w:szCs w:val="24"/>
          <w:lang w:val="pt-PT"/>
        </w:rPr>
        <w:t xml:space="preserve"> Interamericana</w:t>
      </w:r>
      <w:r w:rsidR="00C01806" w:rsidRPr="003A1174">
        <w:rPr>
          <w:rFonts w:ascii="Garamond" w:hAnsi="Garamond" w:cs="Arial"/>
          <w:iCs/>
          <w:color w:val="auto"/>
          <w:sz w:val="24"/>
          <w:szCs w:val="24"/>
          <w:lang w:val="pt-PT"/>
        </w:rPr>
        <w:t xml:space="preserve"> para </w:t>
      </w:r>
      <w:r w:rsidR="003F493C" w:rsidRPr="003A1174">
        <w:rPr>
          <w:rFonts w:ascii="Garamond" w:hAnsi="Garamond" w:cs="Arial"/>
          <w:iCs/>
          <w:color w:val="auto"/>
          <w:sz w:val="24"/>
          <w:szCs w:val="24"/>
          <w:lang w:val="pt-PT"/>
        </w:rPr>
        <w:t>Prevenir, Punir e Erradicar</w:t>
      </w:r>
      <w:r w:rsidR="00C01806" w:rsidRPr="003A1174">
        <w:rPr>
          <w:rFonts w:ascii="Garamond" w:hAnsi="Garamond" w:cs="Arial"/>
          <w:iCs/>
          <w:color w:val="auto"/>
          <w:sz w:val="24"/>
          <w:szCs w:val="24"/>
          <w:lang w:val="pt-PT"/>
        </w:rPr>
        <w:t xml:space="preserve"> </w:t>
      </w:r>
      <w:r w:rsidR="0051510C" w:rsidRPr="003A1174">
        <w:rPr>
          <w:rFonts w:ascii="Garamond" w:hAnsi="Garamond" w:cs="Arial"/>
          <w:iCs/>
          <w:color w:val="auto"/>
          <w:sz w:val="24"/>
          <w:szCs w:val="24"/>
          <w:lang w:val="pt-PT"/>
        </w:rPr>
        <w:t xml:space="preserve">a </w:t>
      </w:r>
      <w:r w:rsidR="00C01806" w:rsidRPr="003A1174">
        <w:rPr>
          <w:rFonts w:ascii="Garamond" w:hAnsi="Garamond" w:cs="Arial"/>
          <w:iCs/>
          <w:color w:val="auto"/>
          <w:sz w:val="24"/>
          <w:szCs w:val="24"/>
          <w:lang w:val="pt-PT"/>
        </w:rPr>
        <w:t xml:space="preserve">Violência contra </w:t>
      </w:r>
      <w:r w:rsidR="0051510C" w:rsidRPr="003A1174">
        <w:rPr>
          <w:rFonts w:ascii="Garamond" w:hAnsi="Garamond" w:cs="Arial"/>
          <w:iCs/>
          <w:color w:val="auto"/>
          <w:sz w:val="24"/>
          <w:szCs w:val="24"/>
          <w:lang w:val="pt-PT"/>
        </w:rPr>
        <w:t xml:space="preserve">a </w:t>
      </w:r>
      <w:r w:rsidR="00AF192F" w:rsidRPr="003A1174">
        <w:rPr>
          <w:rFonts w:ascii="Garamond" w:hAnsi="Garamond" w:cs="Arial"/>
          <w:iCs/>
          <w:color w:val="auto"/>
          <w:sz w:val="24"/>
          <w:szCs w:val="24"/>
          <w:lang w:val="pt-PT"/>
        </w:rPr>
        <w:t>Mulher</w:t>
      </w:r>
      <w:r w:rsidR="006D3F69" w:rsidRPr="003A1174">
        <w:rPr>
          <w:rFonts w:ascii="Garamond" w:hAnsi="Garamond" w:cs="Arial"/>
          <w:iCs/>
          <w:color w:val="auto"/>
          <w:sz w:val="24"/>
          <w:szCs w:val="24"/>
          <w:lang w:val="pt-PT"/>
        </w:rPr>
        <w:t>.</w:t>
      </w:r>
      <w:r w:rsidR="0051510C" w:rsidRPr="003A1174">
        <w:rPr>
          <w:rFonts w:ascii="Garamond" w:hAnsi="Garamond" w:cs="Arial"/>
          <w:iCs/>
          <w:color w:val="auto"/>
          <w:sz w:val="24"/>
          <w:szCs w:val="24"/>
          <w:lang w:val="pt-PT"/>
        </w:rPr>
        <w:t xml:space="preserve"> </w:t>
      </w:r>
      <w:r w:rsidRPr="003A1174">
        <w:rPr>
          <w:rFonts w:ascii="Garamond" w:hAnsi="Garamond" w:cs="Arial"/>
          <w:iCs/>
          <w:color w:val="auto"/>
          <w:sz w:val="24"/>
          <w:szCs w:val="24"/>
          <w:lang w:val="pt-PT"/>
        </w:rPr>
        <w:t>Convenção</w:t>
      </w:r>
      <w:r w:rsidR="0051510C" w:rsidRPr="003A1174">
        <w:rPr>
          <w:rFonts w:ascii="Garamond" w:hAnsi="Garamond" w:cs="Arial"/>
          <w:iCs/>
          <w:color w:val="auto"/>
          <w:sz w:val="24"/>
          <w:szCs w:val="24"/>
          <w:lang w:val="pt-PT"/>
        </w:rPr>
        <w:t xml:space="preserve"> de Belém </w:t>
      </w:r>
      <w:r w:rsidR="0051510C" w:rsidRPr="003A1174">
        <w:rPr>
          <w:rFonts w:ascii="Garamond" w:hAnsi="Garamond" w:cs="Arial"/>
          <w:iCs/>
          <w:sz w:val="24"/>
          <w:szCs w:val="24"/>
          <w:lang w:val="pt-PT"/>
        </w:rPr>
        <w:t xml:space="preserve">do </w:t>
      </w:r>
      <w:r w:rsidR="00C01806" w:rsidRPr="003A1174">
        <w:rPr>
          <w:rFonts w:ascii="Garamond" w:hAnsi="Garamond" w:cs="Arial"/>
          <w:iCs/>
          <w:sz w:val="24"/>
          <w:szCs w:val="24"/>
          <w:lang w:val="pt-PT"/>
        </w:rPr>
        <w:t>Pará</w:t>
      </w:r>
      <w:r w:rsidR="003F4889">
        <w:rPr>
          <w:rFonts w:ascii="Garamond" w:hAnsi="Garamond" w:cs="Arial"/>
          <w:iCs/>
          <w:sz w:val="24"/>
          <w:szCs w:val="24"/>
          <w:lang w:val="pt-PT"/>
        </w:rPr>
        <w:t>,</w:t>
      </w:r>
      <w:r w:rsidR="00C01806" w:rsidRPr="003A1174">
        <w:rPr>
          <w:rFonts w:ascii="Garamond" w:hAnsi="Garamond" w:cs="Arial"/>
          <w:iCs/>
          <w:sz w:val="24"/>
          <w:szCs w:val="24"/>
          <w:lang w:val="pt-PT"/>
        </w:rPr>
        <w:t xml:space="preserve"> </w:t>
      </w:r>
      <w:r w:rsidR="0051510C" w:rsidRPr="003A1174">
        <w:rPr>
          <w:rFonts w:ascii="Garamond" w:hAnsi="Garamond" w:cs="Arial"/>
          <w:iCs/>
          <w:sz w:val="24"/>
          <w:szCs w:val="24"/>
          <w:lang w:val="pt-PT"/>
        </w:rPr>
        <w:t>9 de jun</w:t>
      </w:r>
      <w:r w:rsidR="003F4889">
        <w:rPr>
          <w:rFonts w:ascii="Garamond" w:hAnsi="Garamond" w:cs="Arial"/>
          <w:iCs/>
          <w:sz w:val="24"/>
          <w:szCs w:val="24"/>
          <w:lang w:val="pt-PT"/>
        </w:rPr>
        <w:t>ho</w:t>
      </w:r>
      <w:r w:rsidR="0051510C" w:rsidRPr="003A1174">
        <w:rPr>
          <w:rFonts w:ascii="Garamond" w:hAnsi="Garamond" w:cs="Arial"/>
          <w:iCs/>
          <w:sz w:val="24"/>
          <w:szCs w:val="24"/>
          <w:lang w:val="pt-PT"/>
        </w:rPr>
        <w:t>1994. </w:t>
      </w:r>
    </w:p>
    <w:p w:rsidR="0051510C" w:rsidRPr="003A1174" w:rsidRDefault="00077461"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shd w:val="clear" w:color="auto" w:fill="FFFFFF"/>
          <w:lang w:val="pt-PT"/>
        </w:rPr>
        <w:t>Quarta</w:t>
      </w:r>
      <w:r w:rsidR="0051510C" w:rsidRPr="003A1174">
        <w:rPr>
          <w:rFonts w:ascii="Garamond" w:hAnsi="Garamond" w:cs="Arial"/>
          <w:sz w:val="24"/>
          <w:szCs w:val="24"/>
          <w:shd w:val="clear" w:color="auto" w:fill="FFFFFF"/>
          <w:lang w:val="pt-PT"/>
        </w:rPr>
        <w:t xml:space="preserve"> </w:t>
      </w:r>
      <w:r w:rsidRPr="003A1174">
        <w:rPr>
          <w:rFonts w:ascii="Garamond" w:hAnsi="Garamond" w:cs="Arial"/>
          <w:sz w:val="24"/>
          <w:szCs w:val="24"/>
          <w:shd w:val="clear" w:color="auto" w:fill="FFFFFF"/>
          <w:lang w:val="pt-PT"/>
        </w:rPr>
        <w:t>Conferência</w:t>
      </w:r>
      <w:r w:rsidR="00C01806" w:rsidRPr="003A1174">
        <w:rPr>
          <w:rFonts w:ascii="Garamond" w:hAnsi="Garamond" w:cs="Arial"/>
          <w:sz w:val="24"/>
          <w:szCs w:val="24"/>
          <w:shd w:val="clear" w:color="auto" w:fill="FFFFFF"/>
          <w:lang w:val="pt-PT"/>
        </w:rPr>
        <w:t xml:space="preserve"> Mundial sobre </w:t>
      </w:r>
      <w:r w:rsidR="0051510C" w:rsidRPr="003A1174">
        <w:rPr>
          <w:rFonts w:ascii="Garamond" w:hAnsi="Garamond" w:cs="Arial"/>
          <w:sz w:val="24"/>
          <w:szCs w:val="24"/>
          <w:shd w:val="clear" w:color="auto" w:fill="FFFFFF"/>
          <w:lang w:val="pt-PT"/>
        </w:rPr>
        <w:t xml:space="preserve">a </w:t>
      </w:r>
      <w:r w:rsidR="00AF192F" w:rsidRPr="003A1174">
        <w:rPr>
          <w:rFonts w:ascii="Garamond" w:hAnsi="Garamond" w:cs="Arial"/>
          <w:sz w:val="24"/>
          <w:szCs w:val="24"/>
          <w:shd w:val="clear" w:color="auto" w:fill="FFFFFF"/>
          <w:lang w:val="pt-PT"/>
        </w:rPr>
        <w:t>Mulher</w:t>
      </w:r>
      <w:r w:rsidR="0051510C" w:rsidRPr="003A1174">
        <w:rPr>
          <w:rFonts w:ascii="Garamond" w:hAnsi="Garamond" w:cs="Arial"/>
          <w:sz w:val="24"/>
          <w:szCs w:val="24"/>
          <w:shd w:val="clear" w:color="auto" w:fill="FFFFFF"/>
          <w:lang w:val="pt-PT"/>
        </w:rPr>
        <w:t>, celebrada e</w:t>
      </w:r>
      <w:r w:rsidR="00C01806" w:rsidRPr="003A1174">
        <w:rPr>
          <w:rFonts w:ascii="Garamond" w:hAnsi="Garamond" w:cs="Arial"/>
          <w:sz w:val="24"/>
          <w:szCs w:val="24"/>
          <w:shd w:val="clear" w:color="auto" w:fill="FFFFFF"/>
          <w:lang w:val="pt-PT"/>
        </w:rPr>
        <w:t>m</w:t>
      </w:r>
      <w:r w:rsidR="0051510C" w:rsidRPr="003A1174">
        <w:rPr>
          <w:rFonts w:ascii="Garamond" w:hAnsi="Garamond" w:cs="Arial"/>
          <w:sz w:val="24"/>
          <w:szCs w:val="24"/>
          <w:shd w:val="clear" w:color="auto" w:fill="FFFFFF"/>
          <w:lang w:val="pt-PT"/>
        </w:rPr>
        <w:t xml:space="preserve"> Beijing e</w:t>
      </w:r>
      <w:r w:rsidR="00C01806" w:rsidRPr="003A1174">
        <w:rPr>
          <w:rFonts w:ascii="Garamond" w:hAnsi="Garamond" w:cs="Arial"/>
          <w:sz w:val="24"/>
          <w:szCs w:val="24"/>
          <w:shd w:val="clear" w:color="auto" w:fill="FFFFFF"/>
          <w:lang w:val="pt-PT"/>
        </w:rPr>
        <w:t>m</w:t>
      </w:r>
      <w:r w:rsidR="0051510C" w:rsidRPr="003A1174">
        <w:rPr>
          <w:rFonts w:ascii="Garamond" w:hAnsi="Garamond" w:cs="Arial"/>
          <w:sz w:val="24"/>
          <w:szCs w:val="24"/>
          <w:shd w:val="clear" w:color="auto" w:fill="FFFFFF"/>
          <w:lang w:val="pt-PT"/>
        </w:rPr>
        <w:t xml:space="preserve"> 1995.</w:t>
      </w:r>
    </w:p>
    <w:p w:rsidR="00D34424" w:rsidRPr="003A1174" w:rsidRDefault="0051510C" w:rsidP="008719D4">
      <w:pPr>
        <w:pStyle w:val="Prrafodelista"/>
        <w:numPr>
          <w:ilvl w:val="0"/>
          <w:numId w:val="17"/>
        </w:numPr>
        <w:shd w:val="clear" w:color="auto" w:fill="FFFFFF"/>
        <w:tabs>
          <w:tab w:val="left" w:pos="4678"/>
          <w:tab w:val="left" w:pos="5103"/>
        </w:tabs>
        <w:spacing w:line="240" w:lineRule="auto"/>
        <w:jc w:val="both"/>
        <w:rPr>
          <w:rFonts w:ascii="Garamond" w:hAnsi="Garamond" w:cs="Arial"/>
          <w:color w:val="303030"/>
          <w:sz w:val="24"/>
          <w:szCs w:val="24"/>
          <w:lang w:val="pt-PT"/>
        </w:rPr>
      </w:pPr>
      <w:r w:rsidRPr="003A1174">
        <w:rPr>
          <w:rFonts w:ascii="Garamond" w:hAnsi="Garamond" w:cs="Arial"/>
          <w:iCs/>
          <w:sz w:val="24"/>
          <w:szCs w:val="24"/>
          <w:shd w:val="clear" w:color="auto" w:fill="FFFFFF"/>
          <w:lang w:val="pt-PT"/>
        </w:rPr>
        <w:t xml:space="preserve">Protocolo </w:t>
      </w:r>
      <w:r w:rsidR="000456B2" w:rsidRPr="003A1174">
        <w:rPr>
          <w:rFonts w:ascii="Garamond" w:hAnsi="Garamond" w:cs="Arial"/>
          <w:iCs/>
          <w:sz w:val="24"/>
          <w:szCs w:val="24"/>
          <w:shd w:val="clear" w:color="auto" w:fill="FFFFFF"/>
          <w:lang w:val="pt-PT"/>
        </w:rPr>
        <w:t>Opcional</w:t>
      </w:r>
      <w:r w:rsidR="00C01806" w:rsidRPr="003A1174">
        <w:rPr>
          <w:rFonts w:ascii="Garamond" w:hAnsi="Garamond" w:cs="Arial"/>
          <w:iCs/>
          <w:sz w:val="24"/>
          <w:szCs w:val="24"/>
          <w:shd w:val="clear" w:color="auto" w:fill="FFFFFF"/>
          <w:lang w:val="pt-PT"/>
        </w:rPr>
        <w:t xml:space="preserve"> d</w:t>
      </w:r>
      <w:r w:rsidRPr="003A1174">
        <w:rPr>
          <w:rFonts w:ascii="Garamond" w:hAnsi="Garamond" w:cs="Arial"/>
          <w:iCs/>
          <w:sz w:val="24"/>
          <w:szCs w:val="24"/>
          <w:shd w:val="clear" w:color="auto" w:fill="FFFFFF"/>
          <w:lang w:val="pt-PT"/>
        </w:rPr>
        <w:t xml:space="preserve">a </w:t>
      </w:r>
      <w:r w:rsidR="00B14AA6" w:rsidRPr="003A1174">
        <w:rPr>
          <w:rFonts w:ascii="Garamond" w:hAnsi="Garamond" w:cs="Arial"/>
          <w:iCs/>
          <w:sz w:val="24"/>
          <w:szCs w:val="24"/>
          <w:shd w:val="clear" w:color="auto" w:fill="FFFFFF"/>
          <w:lang w:val="pt-PT"/>
        </w:rPr>
        <w:t>Convenção</w:t>
      </w:r>
      <w:r w:rsidR="00C01806" w:rsidRPr="003A1174">
        <w:rPr>
          <w:rFonts w:ascii="Garamond" w:hAnsi="Garamond" w:cs="Arial"/>
          <w:iCs/>
          <w:sz w:val="24"/>
          <w:szCs w:val="24"/>
          <w:shd w:val="clear" w:color="auto" w:fill="FFFFFF"/>
          <w:lang w:val="pt-PT"/>
        </w:rPr>
        <w:t xml:space="preserve"> sobre </w:t>
      </w:r>
      <w:r w:rsidRPr="003A1174">
        <w:rPr>
          <w:rFonts w:ascii="Garamond" w:hAnsi="Garamond" w:cs="Arial"/>
          <w:iCs/>
          <w:sz w:val="24"/>
          <w:szCs w:val="24"/>
          <w:shd w:val="clear" w:color="auto" w:fill="FFFFFF"/>
          <w:lang w:val="pt-PT"/>
        </w:rPr>
        <w:t xml:space="preserve">a </w:t>
      </w:r>
      <w:r w:rsidR="008E7A2A" w:rsidRPr="003A1174">
        <w:rPr>
          <w:rFonts w:ascii="Garamond" w:hAnsi="Garamond" w:cs="Arial"/>
          <w:iCs/>
          <w:sz w:val="24"/>
          <w:szCs w:val="24"/>
          <w:shd w:val="clear" w:color="auto" w:fill="FFFFFF"/>
          <w:lang w:val="pt-PT"/>
        </w:rPr>
        <w:t>eliminação</w:t>
      </w:r>
      <w:r w:rsidR="00C01806" w:rsidRPr="003A1174">
        <w:rPr>
          <w:rFonts w:ascii="Garamond" w:hAnsi="Garamond" w:cs="Arial"/>
          <w:iCs/>
          <w:sz w:val="24"/>
          <w:szCs w:val="24"/>
          <w:shd w:val="clear" w:color="auto" w:fill="FFFFFF"/>
          <w:lang w:val="pt-PT"/>
        </w:rPr>
        <w:t xml:space="preserve"> de todas </w:t>
      </w:r>
      <w:r w:rsidRPr="003A1174">
        <w:rPr>
          <w:rFonts w:ascii="Garamond" w:hAnsi="Garamond" w:cs="Arial"/>
          <w:iCs/>
          <w:sz w:val="24"/>
          <w:szCs w:val="24"/>
          <w:shd w:val="clear" w:color="auto" w:fill="FFFFFF"/>
          <w:lang w:val="pt-PT"/>
        </w:rPr>
        <w:t xml:space="preserve">as formas de </w:t>
      </w:r>
      <w:r w:rsidR="0017447A" w:rsidRPr="003A1174">
        <w:rPr>
          <w:rFonts w:ascii="Garamond" w:hAnsi="Garamond" w:cs="Arial"/>
          <w:iCs/>
          <w:sz w:val="24"/>
          <w:szCs w:val="24"/>
          <w:shd w:val="clear" w:color="auto" w:fill="FFFFFF"/>
          <w:lang w:val="pt-PT"/>
        </w:rPr>
        <w:t>discriminação</w:t>
      </w:r>
      <w:r w:rsidR="00C01806" w:rsidRPr="003A1174">
        <w:rPr>
          <w:rFonts w:ascii="Garamond" w:hAnsi="Garamond" w:cs="Arial"/>
          <w:iCs/>
          <w:sz w:val="24"/>
          <w:szCs w:val="24"/>
          <w:shd w:val="clear" w:color="auto" w:fill="FFFFFF"/>
          <w:lang w:val="pt-PT"/>
        </w:rPr>
        <w:t xml:space="preserve"> contra </w:t>
      </w:r>
      <w:r w:rsidRPr="003A1174">
        <w:rPr>
          <w:rFonts w:ascii="Garamond" w:hAnsi="Garamond" w:cs="Arial"/>
          <w:iCs/>
          <w:sz w:val="24"/>
          <w:szCs w:val="24"/>
          <w:shd w:val="clear" w:color="auto" w:fill="FFFFFF"/>
          <w:lang w:val="pt-PT"/>
        </w:rPr>
        <w:t xml:space="preserve">a </w:t>
      </w:r>
      <w:r w:rsidR="00AF192F" w:rsidRPr="003A1174">
        <w:rPr>
          <w:rFonts w:ascii="Garamond" w:hAnsi="Garamond" w:cs="Arial"/>
          <w:iCs/>
          <w:sz w:val="24"/>
          <w:szCs w:val="24"/>
          <w:shd w:val="clear" w:color="auto" w:fill="FFFFFF"/>
          <w:lang w:val="pt-PT"/>
        </w:rPr>
        <w:t>mulher</w:t>
      </w:r>
      <w:r w:rsidRPr="003A1174">
        <w:rPr>
          <w:rFonts w:ascii="Garamond" w:hAnsi="Garamond" w:cs="Arial"/>
          <w:iCs/>
          <w:sz w:val="24"/>
          <w:szCs w:val="24"/>
          <w:shd w:val="clear" w:color="auto" w:fill="FFFFFF"/>
          <w:lang w:val="pt-PT"/>
        </w:rPr>
        <w:t xml:space="preserve">  (</w:t>
      </w:r>
      <w:r w:rsidR="00C30647" w:rsidRPr="003A1174">
        <w:rPr>
          <w:rFonts w:ascii="Garamond" w:hAnsi="Garamond" w:cs="Arial"/>
          <w:iCs/>
          <w:sz w:val="24"/>
          <w:szCs w:val="24"/>
          <w:shd w:val="clear" w:color="auto" w:fill="FFFFFF"/>
          <w:lang w:val="pt-PT"/>
        </w:rPr>
        <w:t>Assembleia</w:t>
      </w:r>
      <w:r w:rsidRPr="003A1174">
        <w:rPr>
          <w:rFonts w:ascii="Garamond" w:hAnsi="Garamond" w:cs="Arial"/>
          <w:iCs/>
          <w:sz w:val="24"/>
          <w:szCs w:val="24"/>
          <w:shd w:val="clear" w:color="auto" w:fill="FFFFFF"/>
          <w:lang w:val="pt-PT"/>
        </w:rPr>
        <w:t xml:space="preserve"> </w:t>
      </w:r>
      <w:r w:rsidR="00077461" w:rsidRPr="003A1174">
        <w:rPr>
          <w:rFonts w:ascii="Garamond" w:hAnsi="Garamond" w:cs="Arial"/>
          <w:iCs/>
          <w:sz w:val="24"/>
          <w:szCs w:val="24"/>
          <w:shd w:val="clear" w:color="auto" w:fill="FFFFFF"/>
          <w:lang w:val="pt-PT"/>
        </w:rPr>
        <w:t>Geral</w:t>
      </w:r>
      <w:r w:rsidRPr="003A1174">
        <w:rPr>
          <w:rFonts w:ascii="Garamond" w:hAnsi="Garamond" w:cs="Arial"/>
          <w:iCs/>
          <w:sz w:val="24"/>
          <w:szCs w:val="24"/>
          <w:shd w:val="clear" w:color="auto" w:fill="FFFFFF"/>
          <w:lang w:val="pt-PT"/>
        </w:rPr>
        <w:t xml:space="preserve">, </w:t>
      </w:r>
      <w:r w:rsidR="00C01806" w:rsidRPr="003A1174">
        <w:rPr>
          <w:rFonts w:ascii="Garamond" w:hAnsi="Garamond" w:cs="Arial"/>
          <w:iCs/>
          <w:sz w:val="24"/>
          <w:szCs w:val="24"/>
          <w:shd w:val="clear" w:color="auto" w:fill="FFFFFF"/>
          <w:lang w:val="pt-PT"/>
        </w:rPr>
        <w:t xml:space="preserve">Resolução </w:t>
      </w:r>
      <w:r w:rsidR="00C01806" w:rsidRPr="003A1174">
        <w:rPr>
          <w:rFonts w:ascii="Garamond" w:hAnsi="Garamond" w:cs="Arial"/>
          <w:color w:val="303030"/>
          <w:sz w:val="24"/>
          <w:szCs w:val="24"/>
          <w:lang w:val="pt-PT"/>
        </w:rPr>
        <w:t>A</w:t>
      </w:r>
      <w:r w:rsidRPr="003A1174">
        <w:rPr>
          <w:rFonts w:ascii="Garamond" w:hAnsi="Garamond" w:cs="Arial"/>
          <w:color w:val="303030"/>
          <w:sz w:val="24"/>
          <w:szCs w:val="24"/>
          <w:lang w:val="pt-PT"/>
        </w:rPr>
        <w:t>/54/4</w:t>
      </w:r>
      <w:r w:rsidR="003F4889">
        <w:rPr>
          <w:rFonts w:ascii="Garamond" w:hAnsi="Garamond" w:cs="Arial"/>
          <w:color w:val="303030"/>
          <w:sz w:val="24"/>
          <w:szCs w:val="24"/>
          <w:lang w:val="pt-PT"/>
        </w:rPr>
        <w:t>,</w:t>
      </w:r>
      <w:r w:rsidR="006D3F69" w:rsidRPr="003A1174">
        <w:rPr>
          <w:rFonts w:ascii="Garamond" w:hAnsi="Garamond" w:cs="Arial"/>
          <w:color w:val="303030"/>
          <w:sz w:val="24"/>
          <w:szCs w:val="24"/>
          <w:lang w:val="pt-PT"/>
        </w:rPr>
        <w:t xml:space="preserve"> </w:t>
      </w:r>
      <w:r w:rsidRPr="003A1174">
        <w:rPr>
          <w:rFonts w:ascii="Garamond" w:hAnsi="Garamond" w:cs="Arial"/>
          <w:color w:val="303030"/>
          <w:sz w:val="24"/>
          <w:szCs w:val="24"/>
          <w:lang w:val="pt-PT"/>
        </w:rPr>
        <w:t>6 de o</w:t>
      </w:r>
      <w:r w:rsidR="00C01806" w:rsidRPr="003A1174">
        <w:rPr>
          <w:rFonts w:ascii="Garamond" w:hAnsi="Garamond" w:cs="Arial"/>
          <w:color w:val="303030"/>
          <w:sz w:val="24"/>
          <w:szCs w:val="24"/>
          <w:lang w:val="pt-PT"/>
        </w:rPr>
        <w:t>u</w:t>
      </w:r>
      <w:r w:rsidRPr="003A1174">
        <w:rPr>
          <w:rFonts w:ascii="Garamond" w:hAnsi="Garamond" w:cs="Arial"/>
          <w:color w:val="303030"/>
          <w:sz w:val="24"/>
          <w:szCs w:val="24"/>
          <w:lang w:val="pt-PT"/>
        </w:rPr>
        <w:t>t</w:t>
      </w:r>
      <w:r w:rsidR="003F4889">
        <w:rPr>
          <w:rFonts w:ascii="Garamond" w:hAnsi="Garamond" w:cs="Arial"/>
          <w:color w:val="303030"/>
          <w:sz w:val="24"/>
          <w:szCs w:val="24"/>
          <w:lang w:val="pt-PT"/>
        </w:rPr>
        <w:t>ubro</w:t>
      </w:r>
      <w:r w:rsidRPr="003A1174">
        <w:rPr>
          <w:rFonts w:ascii="Garamond" w:hAnsi="Garamond" w:cs="Arial"/>
          <w:color w:val="303030"/>
          <w:sz w:val="24"/>
          <w:szCs w:val="24"/>
          <w:lang w:val="pt-PT"/>
        </w:rPr>
        <w:t xml:space="preserve"> 1999.</w:t>
      </w:r>
    </w:p>
    <w:p w:rsidR="0051510C" w:rsidRPr="003A1174" w:rsidRDefault="0051510C" w:rsidP="008719D4">
      <w:pPr>
        <w:pStyle w:val="Prrafodelista"/>
        <w:numPr>
          <w:ilvl w:val="0"/>
          <w:numId w:val="17"/>
        </w:numPr>
        <w:shd w:val="clear" w:color="auto" w:fill="FFFFFF"/>
        <w:tabs>
          <w:tab w:val="left" w:pos="4678"/>
          <w:tab w:val="left" w:pos="5103"/>
        </w:tabs>
        <w:spacing w:line="240" w:lineRule="auto"/>
        <w:jc w:val="both"/>
        <w:rPr>
          <w:rFonts w:ascii="Garamond" w:hAnsi="Garamond" w:cs="Arial"/>
          <w:color w:val="303030"/>
          <w:sz w:val="24"/>
          <w:szCs w:val="24"/>
          <w:lang w:val="pt-PT"/>
        </w:rPr>
      </w:pPr>
      <w:r w:rsidRPr="003A1174">
        <w:rPr>
          <w:rFonts w:ascii="Garamond" w:hAnsi="Garamond" w:cs="Arial"/>
          <w:color w:val="auto"/>
          <w:sz w:val="24"/>
          <w:szCs w:val="24"/>
          <w:lang w:val="pt-PT"/>
        </w:rPr>
        <w:t>Programa Interamericano</w:t>
      </w:r>
      <w:r w:rsidR="00C01806" w:rsidRPr="003A1174">
        <w:rPr>
          <w:rFonts w:ascii="Garamond" w:hAnsi="Garamond" w:cs="Arial"/>
          <w:color w:val="auto"/>
          <w:sz w:val="24"/>
          <w:szCs w:val="24"/>
          <w:lang w:val="pt-PT"/>
        </w:rPr>
        <w:t xml:space="preserve"> sobre </w:t>
      </w:r>
      <w:r w:rsidRPr="003A1174">
        <w:rPr>
          <w:rFonts w:ascii="Garamond" w:hAnsi="Garamond" w:cs="Arial"/>
          <w:color w:val="auto"/>
          <w:sz w:val="24"/>
          <w:szCs w:val="24"/>
          <w:lang w:val="pt-PT"/>
        </w:rPr>
        <w:t xml:space="preserve">a </w:t>
      </w:r>
      <w:r w:rsidR="002F5CD1" w:rsidRPr="003A1174">
        <w:rPr>
          <w:rFonts w:ascii="Garamond" w:hAnsi="Garamond" w:cs="Arial"/>
          <w:color w:val="auto"/>
          <w:sz w:val="24"/>
          <w:szCs w:val="24"/>
          <w:lang w:val="pt-PT"/>
        </w:rPr>
        <w:t>Promoção</w:t>
      </w:r>
      <w:r w:rsidR="00C01806"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 xml:space="preserve">os </w:t>
      </w:r>
      <w:r w:rsidR="00886D6A" w:rsidRPr="003A1174">
        <w:rPr>
          <w:rFonts w:ascii="Garamond" w:hAnsi="Garamond" w:cs="Arial"/>
          <w:color w:val="auto"/>
          <w:sz w:val="24"/>
          <w:szCs w:val="24"/>
          <w:lang w:val="pt-PT"/>
        </w:rPr>
        <w:t>Direito</w:t>
      </w:r>
      <w:r w:rsidR="00C01806" w:rsidRPr="003A1174">
        <w:rPr>
          <w:rFonts w:ascii="Garamond" w:hAnsi="Garamond" w:cs="Arial"/>
          <w:color w:val="auto"/>
          <w:sz w:val="24"/>
          <w:szCs w:val="24"/>
          <w:lang w:val="pt-PT"/>
        </w:rPr>
        <w:t>s Humanos d</w:t>
      </w:r>
      <w:r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Pr="003A1174">
        <w:rPr>
          <w:rFonts w:ascii="Garamond" w:hAnsi="Garamond" w:cs="Arial"/>
          <w:color w:val="auto"/>
          <w:sz w:val="24"/>
          <w:szCs w:val="24"/>
          <w:lang w:val="pt-PT"/>
        </w:rPr>
        <w:t xml:space="preserve"> </w:t>
      </w:r>
      <w:r w:rsidR="00C01806" w:rsidRPr="003A1174">
        <w:rPr>
          <w:rFonts w:ascii="Garamond" w:hAnsi="Garamond" w:cs="Arial"/>
          <w:color w:val="auto"/>
          <w:sz w:val="24"/>
          <w:szCs w:val="24"/>
          <w:lang w:val="pt-PT"/>
        </w:rPr>
        <w:t xml:space="preserve">e </w:t>
      </w:r>
      <w:r w:rsidRPr="003A1174">
        <w:rPr>
          <w:rFonts w:ascii="Garamond" w:hAnsi="Garamond" w:cs="Arial"/>
          <w:color w:val="auto"/>
          <w:sz w:val="24"/>
          <w:szCs w:val="24"/>
          <w:lang w:val="pt-PT"/>
        </w:rPr>
        <w:t xml:space="preserve">a </w:t>
      </w:r>
      <w:r w:rsidR="00C01806" w:rsidRPr="003A1174">
        <w:rPr>
          <w:rFonts w:ascii="Garamond" w:hAnsi="Garamond" w:cs="Arial"/>
          <w:color w:val="auto"/>
          <w:sz w:val="24"/>
          <w:szCs w:val="24"/>
          <w:lang w:val="pt-PT"/>
        </w:rPr>
        <w:t>Equidade</w:t>
      </w:r>
      <w:r w:rsidRPr="003A1174">
        <w:rPr>
          <w:rFonts w:ascii="Garamond" w:hAnsi="Garamond" w:cs="Arial"/>
          <w:color w:val="auto"/>
          <w:sz w:val="24"/>
          <w:szCs w:val="24"/>
          <w:lang w:val="pt-PT"/>
        </w:rPr>
        <w:t xml:space="preserve"> e </w:t>
      </w:r>
      <w:r w:rsidR="002C7510" w:rsidRPr="003A1174">
        <w:rPr>
          <w:rFonts w:ascii="Garamond" w:hAnsi="Garamond" w:cs="Arial"/>
          <w:color w:val="auto"/>
          <w:sz w:val="24"/>
          <w:szCs w:val="24"/>
          <w:lang w:val="pt-PT"/>
        </w:rPr>
        <w:t>Igualdade</w:t>
      </w:r>
      <w:r w:rsidR="00C01806" w:rsidRPr="003A1174">
        <w:rPr>
          <w:rFonts w:ascii="Garamond" w:hAnsi="Garamond" w:cs="Arial"/>
          <w:color w:val="auto"/>
          <w:sz w:val="24"/>
          <w:szCs w:val="24"/>
          <w:lang w:val="pt-PT"/>
        </w:rPr>
        <w:t xml:space="preserve"> de </w:t>
      </w:r>
      <w:r w:rsidR="00C01806" w:rsidRPr="003A1174">
        <w:rPr>
          <w:rFonts w:ascii="Garamond" w:hAnsi="Garamond" w:cs="Arial"/>
          <w:sz w:val="24"/>
          <w:szCs w:val="24"/>
          <w:lang w:val="pt-PT"/>
        </w:rPr>
        <w:t>Género (CIM/RES. 209/98 e</w:t>
      </w:r>
      <w:r w:rsidRPr="003A1174">
        <w:rPr>
          <w:rFonts w:ascii="Garamond" w:hAnsi="Garamond" w:cs="Arial"/>
          <w:sz w:val="24"/>
          <w:szCs w:val="24"/>
          <w:lang w:val="pt-PT"/>
        </w:rPr>
        <w:t xml:space="preserve"> AG/RES. 1625 (XXIX-O/99)</w:t>
      </w:r>
      <w:r w:rsidR="003F4889">
        <w:rPr>
          <w:rFonts w:ascii="Garamond" w:hAnsi="Garamond" w:cs="Arial"/>
          <w:sz w:val="24"/>
          <w:szCs w:val="24"/>
          <w:lang w:val="pt-PT"/>
        </w:rPr>
        <w:t>.</w:t>
      </w:r>
    </w:p>
    <w:p w:rsidR="0051510C" w:rsidRPr="003A1174" w:rsidRDefault="00C01806" w:rsidP="008719D4">
      <w:pPr>
        <w:pStyle w:val="Prrafodelista"/>
        <w:numPr>
          <w:ilvl w:val="0"/>
          <w:numId w:val="17"/>
        </w:numPr>
        <w:spacing w:line="240" w:lineRule="auto"/>
        <w:jc w:val="both"/>
        <w:rPr>
          <w:rFonts w:ascii="Garamond" w:hAnsi="Garamond" w:cs="Arial"/>
          <w:sz w:val="24"/>
          <w:szCs w:val="24"/>
          <w:shd w:val="clear" w:color="auto" w:fill="FFFFFF"/>
          <w:lang w:val="pt-PT"/>
        </w:rPr>
      </w:pPr>
      <w:r w:rsidRPr="003A1174">
        <w:rPr>
          <w:rFonts w:ascii="Garamond" w:hAnsi="Garamond" w:cs="Arial"/>
          <w:sz w:val="24"/>
          <w:szCs w:val="24"/>
          <w:lang w:val="pt-PT"/>
        </w:rPr>
        <w:t>Formulário</w:t>
      </w:r>
      <w:r w:rsidR="0051510C" w:rsidRPr="003A1174">
        <w:rPr>
          <w:rFonts w:ascii="Garamond" w:hAnsi="Garamond" w:cs="Arial"/>
          <w:sz w:val="24"/>
          <w:szCs w:val="24"/>
          <w:lang w:val="pt-PT"/>
        </w:rPr>
        <w:t xml:space="preserve"> modelo para presentar u</w:t>
      </w:r>
      <w:r w:rsidRPr="003A1174">
        <w:rPr>
          <w:rFonts w:ascii="Garamond" w:hAnsi="Garamond" w:cs="Arial"/>
          <w:sz w:val="24"/>
          <w:szCs w:val="24"/>
          <w:lang w:val="pt-PT"/>
        </w:rPr>
        <w:t>m</w:t>
      </w:r>
      <w:r w:rsidR="0051510C" w:rsidRPr="003A1174">
        <w:rPr>
          <w:rFonts w:ascii="Garamond" w:hAnsi="Garamond" w:cs="Arial"/>
          <w:sz w:val="24"/>
          <w:szCs w:val="24"/>
          <w:lang w:val="pt-PT"/>
        </w:rPr>
        <w:t xml:space="preserve">a </w:t>
      </w:r>
      <w:r w:rsidRPr="003A1174">
        <w:rPr>
          <w:rFonts w:ascii="Garamond" w:hAnsi="Garamond" w:cs="Arial"/>
          <w:sz w:val="24"/>
          <w:szCs w:val="24"/>
          <w:lang w:val="pt-PT"/>
        </w:rPr>
        <w:t>comunicação</w:t>
      </w:r>
      <w:r w:rsidR="0051510C" w:rsidRPr="003A1174">
        <w:rPr>
          <w:rFonts w:ascii="Garamond" w:hAnsi="Garamond" w:cs="Arial"/>
          <w:sz w:val="24"/>
          <w:szCs w:val="24"/>
          <w:lang w:val="pt-PT"/>
        </w:rPr>
        <w:t xml:space="preserve"> a</w:t>
      </w:r>
      <w:r w:rsidRPr="003A1174">
        <w:rPr>
          <w:rFonts w:ascii="Garamond" w:hAnsi="Garamond" w:cs="Arial"/>
          <w:sz w:val="24"/>
          <w:szCs w:val="24"/>
          <w:lang w:val="pt-PT"/>
        </w:rPr>
        <w:t>o</w:t>
      </w:r>
      <w:r w:rsidR="0051510C" w:rsidRPr="003A1174">
        <w:rPr>
          <w:rFonts w:ascii="Garamond" w:hAnsi="Garamond" w:cs="Arial"/>
          <w:sz w:val="24"/>
          <w:szCs w:val="24"/>
          <w:lang w:val="pt-PT"/>
        </w:rPr>
        <w:t xml:space="preserve"> Comité da CEDAW </w:t>
      </w:r>
      <w:r w:rsidRPr="003A1174">
        <w:rPr>
          <w:rFonts w:ascii="Garamond" w:hAnsi="Garamond" w:cs="Arial"/>
          <w:sz w:val="24"/>
          <w:szCs w:val="24"/>
          <w:lang w:val="pt-PT"/>
        </w:rPr>
        <w:t xml:space="preserve">por força do </w:t>
      </w:r>
      <w:r w:rsidR="0051510C" w:rsidRPr="003A1174">
        <w:rPr>
          <w:rFonts w:ascii="Garamond" w:hAnsi="Garamond" w:cs="Arial"/>
          <w:sz w:val="24"/>
          <w:szCs w:val="24"/>
          <w:lang w:val="pt-PT"/>
        </w:rPr>
        <w:t xml:space="preserve">Protocolo </w:t>
      </w:r>
      <w:r w:rsidR="000456B2" w:rsidRPr="003A1174">
        <w:rPr>
          <w:rFonts w:ascii="Garamond" w:hAnsi="Garamond" w:cs="Arial"/>
          <w:sz w:val="24"/>
          <w:szCs w:val="24"/>
          <w:lang w:val="pt-PT"/>
        </w:rPr>
        <w:t>Opcional</w:t>
      </w:r>
      <w:r w:rsidR="0051510C" w:rsidRPr="003A1174">
        <w:rPr>
          <w:rFonts w:ascii="Garamond" w:hAnsi="Garamond" w:cs="Arial"/>
          <w:sz w:val="24"/>
          <w:szCs w:val="24"/>
          <w:lang w:val="pt-PT"/>
        </w:rPr>
        <w:t xml:space="preserve"> da </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sobre </w:t>
      </w:r>
      <w:r w:rsidR="0051510C" w:rsidRPr="003A1174">
        <w:rPr>
          <w:rFonts w:ascii="Garamond" w:hAnsi="Garamond" w:cs="Arial"/>
          <w:sz w:val="24"/>
          <w:szCs w:val="24"/>
          <w:lang w:val="pt-PT"/>
        </w:rPr>
        <w:t xml:space="preserve">a </w:t>
      </w:r>
      <w:r w:rsidR="008E7A2A" w:rsidRPr="003A1174">
        <w:rPr>
          <w:rFonts w:ascii="Garamond" w:hAnsi="Garamond" w:cs="Arial"/>
          <w:sz w:val="24"/>
          <w:szCs w:val="24"/>
          <w:lang w:val="pt-PT"/>
        </w:rPr>
        <w:t>eliminação</w:t>
      </w:r>
      <w:r w:rsidRPr="003A1174">
        <w:rPr>
          <w:rFonts w:ascii="Garamond" w:hAnsi="Garamond" w:cs="Arial"/>
          <w:sz w:val="24"/>
          <w:szCs w:val="24"/>
          <w:lang w:val="pt-PT"/>
        </w:rPr>
        <w:t xml:space="preserve"> de todas </w:t>
      </w:r>
      <w:r w:rsidR="0051510C" w:rsidRPr="003A1174">
        <w:rPr>
          <w:rFonts w:ascii="Garamond" w:hAnsi="Garamond" w:cs="Arial"/>
          <w:sz w:val="24"/>
          <w:szCs w:val="24"/>
          <w:lang w:val="pt-PT"/>
        </w:rPr>
        <w:t xml:space="preserve">as formas de </w:t>
      </w:r>
      <w:r w:rsidR="0017447A" w:rsidRPr="003A1174">
        <w:rPr>
          <w:rFonts w:ascii="Garamond" w:hAnsi="Garamond" w:cs="Arial"/>
          <w:sz w:val="24"/>
          <w:szCs w:val="24"/>
          <w:lang w:val="pt-PT"/>
        </w:rPr>
        <w:t>discriminação</w:t>
      </w:r>
      <w:r w:rsidRPr="003A1174">
        <w:rPr>
          <w:rFonts w:ascii="Garamond" w:hAnsi="Garamond" w:cs="Arial"/>
          <w:sz w:val="24"/>
          <w:szCs w:val="24"/>
          <w:lang w:val="pt-PT"/>
        </w:rPr>
        <w:t xml:space="preserve"> contra </w:t>
      </w:r>
      <w:r w:rsidR="0051510C"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51510C" w:rsidRPr="003A1174">
        <w:rPr>
          <w:rFonts w:ascii="Garamond" w:hAnsi="Garamond" w:cs="Arial"/>
          <w:sz w:val="24"/>
          <w:szCs w:val="24"/>
          <w:lang w:val="pt-PT"/>
        </w:rPr>
        <w:t>.</w:t>
      </w:r>
    </w:p>
    <w:p w:rsidR="0051510C" w:rsidRPr="003A1174" w:rsidRDefault="0051510C"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color w:val="auto"/>
          <w:sz w:val="24"/>
          <w:szCs w:val="24"/>
          <w:lang w:val="pt-PT"/>
        </w:rPr>
        <w:t>Estatuto d</w:t>
      </w:r>
      <w:r w:rsidR="00C01806"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mecanismo de </w:t>
      </w:r>
      <w:r w:rsidR="00C01806" w:rsidRPr="003A1174">
        <w:rPr>
          <w:rFonts w:ascii="Garamond" w:hAnsi="Garamond" w:cs="Arial"/>
          <w:color w:val="auto"/>
          <w:sz w:val="24"/>
          <w:szCs w:val="24"/>
          <w:lang w:val="pt-PT"/>
        </w:rPr>
        <w:t>seguimento d</w:t>
      </w:r>
      <w:r w:rsidRPr="003A1174">
        <w:rPr>
          <w:rFonts w:ascii="Garamond" w:hAnsi="Garamond" w:cs="Arial"/>
          <w:color w:val="auto"/>
          <w:sz w:val="24"/>
          <w:szCs w:val="24"/>
          <w:lang w:val="pt-PT"/>
        </w:rPr>
        <w:t xml:space="preserve">a </w:t>
      </w:r>
      <w:r w:rsidR="006C760C" w:rsidRPr="003A1174">
        <w:rPr>
          <w:rFonts w:ascii="Garamond" w:hAnsi="Garamond" w:cs="Arial"/>
          <w:color w:val="auto"/>
          <w:sz w:val="24"/>
          <w:szCs w:val="24"/>
          <w:lang w:val="pt-PT"/>
        </w:rPr>
        <w:t>implementação</w:t>
      </w:r>
      <w:r w:rsidR="00C01806"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Pr="003A1174">
        <w:rPr>
          <w:rFonts w:ascii="Garamond" w:hAnsi="Garamond" w:cs="Arial"/>
          <w:color w:val="auto"/>
          <w:sz w:val="24"/>
          <w:szCs w:val="24"/>
          <w:lang w:val="pt-PT"/>
        </w:rPr>
        <w:t xml:space="preserve"> Interamericana</w:t>
      </w:r>
      <w:r w:rsidR="00C01806" w:rsidRPr="003A1174">
        <w:rPr>
          <w:rFonts w:ascii="Garamond" w:hAnsi="Garamond" w:cs="Arial"/>
          <w:color w:val="auto"/>
          <w:sz w:val="24"/>
          <w:szCs w:val="24"/>
          <w:lang w:val="pt-PT"/>
        </w:rPr>
        <w:t xml:space="preserve"> </w:t>
      </w:r>
      <w:r w:rsidR="00C01806" w:rsidRPr="003A1174">
        <w:rPr>
          <w:rFonts w:ascii="Garamond" w:hAnsi="Garamond" w:cs="Arial"/>
          <w:sz w:val="24"/>
          <w:szCs w:val="24"/>
          <w:lang w:val="pt-PT"/>
        </w:rPr>
        <w:t xml:space="preserve">para </w:t>
      </w:r>
      <w:r w:rsidR="003F493C" w:rsidRPr="003A1174">
        <w:rPr>
          <w:rFonts w:ascii="Garamond" w:hAnsi="Garamond" w:cs="Arial"/>
          <w:sz w:val="24"/>
          <w:szCs w:val="24"/>
          <w:lang w:val="pt-PT"/>
        </w:rPr>
        <w:t>Prevenir, Punir e Erradicar</w:t>
      </w:r>
      <w:r w:rsidR="00C01806" w:rsidRPr="003A1174">
        <w:rPr>
          <w:rFonts w:ascii="Garamond" w:hAnsi="Garamond" w:cs="Arial"/>
          <w:sz w:val="24"/>
          <w:szCs w:val="24"/>
          <w:lang w:val="pt-PT"/>
        </w:rPr>
        <w:t xml:space="preserve"> </w:t>
      </w:r>
      <w:r w:rsidRPr="003A1174">
        <w:rPr>
          <w:rFonts w:ascii="Garamond" w:hAnsi="Garamond" w:cs="Arial"/>
          <w:sz w:val="24"/>
          <w:szCs w:val="24"/>
          <w:lang w:val="pt-PT"/>
        </w:rPr>
        <w:t xml:space="preserve">a </w:t>
      </w:r>
      <w:r w:rsidR="000350B1" w:rsidRPr="003A1174">
        <w:rPr>
          <w:rFonts w:ascii="Garamond" w:hAnsi="Garamond" w:cs="Arial"/>
          <w:sz w:val="24"/>
          <w:szCs w:val="24"/>
          <w:lang w:val="pt-PT"/>
        </w:rPr>
        <w:t>Violência</w:t>
      </w:r>
      <w:r w:rsidR="00C01806" w:rsidRPr="003A1174">
        <w:rPr>
          <w:rFonts w:ascii="Garamond" w:hAnsi="Garamond" w:cs="Arial"/>
          <w:sz w:val="24"/>
          <w:szCs w:val="24"/>
          <w:lang w:val="pt-PT"/>
        </w:rPr>
        <w:t xml:space="preserve"> contra </w:t>
      </w:r>
      <w:r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Pr="003A1174">
        <w:rPr>
          <w:rFonts w:ascii="Garamond" w:hAnsi="Garamond" w:cs="Arial"/>
          <w:sz w:val="24"/>
          <w:szCs w:val="24"/>
          <w:lang w:val="pt-PT"/>
        </w:rPr>
        <w:t xml:space="preserve"> </w:t>
      </w:r>
      <w:r w:rsidR="00F8378A">
        <w:rPr>
          <w:rFonts w:ascii="Garamond" w:hAnsi="Garamond" w:cs="Arial"/>
          <w:sz w:val="24"/>
          <w:szCs w:val="24"/>
          <w:lang w:val="pt-PT"/>
        </w:rPr>
        <w:t>«</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de Belém do Pará</w:t>
      </w:r>
      <w:r w:rsidR="00F8378A">
        <w:rPr>
          <w:rFonts w:ascii="Garamond" w:hAnsi="Garamond" w:cs="Arial"/>
          <w:sz w:val="24"/>
          <w:szCs w:val="24"/>
          <w:lang w:val="pt-PT"/>
        </w:rPr>
        <w:t>»</w:t>
      </w:r>
      <w:r w:rsidRPr="003A1174">
        <w:rPr>
          <w:rFonts w:ascii="Garamond" w:hAnsi="Garamond" w:cs="Arial"/>
          <w:sz w:val="24"/>
          <w:szCs w:val="24"/>
          <w:lang w:val="pt-PT"/>
        </w:rPr>
        <w:t xml:space="preserve"> (MESECVI)</w:t>
      </w:r>
      <w:r w:rsidR="003F4889">
        <w:rPr>
          <w:rFonts w:ascii="Garamond" w:hAnsi="Garamond" w:cs="Arial"/>
          <w:sz w:val="24"/>
          <w:szCs w:val="24"/>
          <w:lang w:val="pt-PT"/>
        </w:rPr>
        <w:t>,</w:t>
      </w:r>
      <w:r w:rsidRPr="003A1174">
        <w:rPr>
          <w:rFonts w:ascii="Garamond" w:hAnsi="Garamond" w:cs="Arial"/>
          <w:sz w:val="24"/>
          <w:szCs w:val="24"/>
          <w:lang w:val="pt-PT"/>
        </w:rPr>
        <w:t xml:space="preserve"> 26 de o</w:t>
      </w:r>
      <w:r w:rsidR="00C01806" w:rsidRPr="003A1174">
        <w:rPr>
          <w:rFonts w:ascii="Garamond" w:hAnsi="Garamond" w:cs="Arial"/>
          <w:sz w:val="24"/>
          <w:szCs w:val="24"/>
          <w:lang w:val="pt-PT"/>
        </w:rPr>
        <w:t>u</w:t>
      </w:r>
      <w:r w:rsidRPr="003A1174">
        <w:rPr>
          <w:rFonts w:ascii="Garamond" w:hAnsi="Garamond" w:cs="Arial"/>
          <w:sz w:val="24"/>
          <w:szCs w:val="24"/>
          <w:lang w:val="pt-PT"/>
        </w:rPr>
        <w:t>t</w:t>
      </w:r>
      <w:r w:rsidR="00F8378A">
        <w:rPr>
          <w:rFonts w:ascii="Garamond" w:hAnsi="Garamond" w:cs="Arial"/>
          <w:sz w:val="24"/>
          <w:szCs w:val="24"/>
          <w:lang w:val="pt-PT"/>
        </w:rPr>
        <w:t>ubro de</w:t>
      </w:r>
      <w:r w:rsidRPr="003A1174">
        <w:rPr>
          <w:rFonts w:ascii="Garamond" w:hAnsi="Garamond" w:cs="Arial"/>
          <w:sz w:val="24"/>
          <w:szCs w:val="24"/>
          <w:lang w:val="pt-PT"/>
        </w:rPr>
        <w:t xml:space="preserve"> 2004.</w:t>
      </w:r>
    </w:p>
    <w:p w:rsidR="0013707E" w:rsidRPr="003A1174" w:rsidRDefault="0013707E" w:rsidP="008719D4">
      <w:pPr>
        <w:spacing w:line="240" w:lineRule="auto"/>
        <w:jc w:val="both"/>
        <w:rPr>
          <w:rFonts w:ascii="Garamond" w:hAnsi="Garamond" w:cs="Arial"/>
          <w:color w:val="000000"/>
          <w:sz w:val="24"/>
          <w:szCs w:val="24"/>
          <w:shd w:val="clear" w:color="auto" w:fill="FFFFFF"/>
        </w:rPr>
      </w:pPr>
      <w:r w:rsidRPr="003A1174">
        <w:rPr>
          <w:rFonts w:ascii="Garamond" w:hAnsi="Garamond" w:cs="Arial"/>
          <w:sz w:val="24"/>
          <w:szCs w:val="24"/>
        </w:rPr>
        <w:t>Tal como veremos m</w:t>
      </w:r>
      <w:r w:rsidR="006506C6" w:rsidRPr="003A1174">
        <w:rPr>
          <w:rFonts w:ascii="Garamond" w:hAnsi="Garamond" w:cs="Arial"/>
          <w:sz w:val="24"/>
          <w:szCs w:val="24"/>
        </w:rPr>
        <w:t xml:space="preserve">ais adiante, </w:t>
      </w:r>
      <w:r w:rsidRPr="003A1174">
        <w:rPr>
          <w:rFonts w:ascii="Garamond" w:hAnsi="Garamond" w:cs="Arial"/>
          <w:sz w:val="24"/>
          <w:szCs w:val="24"/>
        </w:rPr>
        <w:t>os países iberoamericanos</w:t>
      </w:r>
      <w:r w:rsidR="006506C6" w:rsidRPr="003A1174">
        <w:rPr>
          <w:rFonts w:ascii="Garamond" w:hAnsi="Garamond" w:cs="Arial"/>
          <w:sz w:val="24"/>
          <w:szCs w:val="24"/>
        </w:rPr>
        <w:t xml:space="preserve"> </w:t>
      </w:r>
      <w:r w:rsidRPr="003A1174">
        <w:rPr>
          <w:rFonts w:ascii="Garamond" w:hAnsi="Garamond" w:cs="Arial"/>
          <w:sz w:val="24"/>
          <w:szCs w:val="24"/>
        </w:rPr>
        <w:t>a</w:t>
      </w:r>
      <w:r w:rsidR="006506C6" w:rsidRPr="003A1174">
        <w:rPr>
          <w:rFonts w:ascii="Garamond" w:hAnsi="Garamond" w:cs="Arial"/>
          <w:sz w:val="24"/>
          <w:szCs w:val="24"/>
        </w:rPr>
        <w:t xml:space="preserve">ssinaram e </w:t>
      </w:r>
      <w:r w:rsidRPr="003A1174">
        <w:rPr>
          <w:rFonts w:ascii="Garamond" w:hAnsi="Garamond" w:cs="Arial"/>
          <w:sz w:val="24"/>
          <w:szCs w:val="24"/>
        </w:rPr>
        <w:t>ratifica</w:t>
      </w:r>
      <w:r w:rsidR="006506C6" w:rsidRPr="003A1174">
        <w:rPr>
          <w:rFonts w:ascii="Garamond" w:hAnsi="Garamond" w:cs="Arial"/>
          <w:sz w:val="24"/>
          <w:szCs w:val="24"/>
        </w:rPr>
        <w:t xml:space="preserve">ram </w:t>
      </w:r>
      <w:r w:rsidRPr="003A1174">
        <w:rPr>
          <w:rFonts w:ascii="Garamond" w:hAnsi="Garamond" w:cs="Arial"/>
          <w:sz w:val="24"/>
          <w:szCs w:val="24"/>
        </w:rPr>
        <w:t xml:space="preserve">os </w:t>
      </w:r>
      <w:r w:rsidR="002F5CD1" w:rsidRPr="003A1174">
        <w:rPr>
          <w:rFonts w:ascii="Garamond" w:hAnsi="Garamond" w:cs="Arial"/>
          <w:sz w:val="24"/>
          <w:szCs w:val="24"/>
        </w:rPr>
        <w:t>principais</w:t>
      </w:r>
      <w:r w:rsidRPr="003A1174">
        <w:rPr>
          <w:rFonts w:ascii="Garamond" w:hAnsi="Garamond" w:cs="Arial"/>
          <w:sz w:val="24"/>
          <w:szCs w:val="24"/>
        </w:rPr>
        <w:t xml:space="preserve"> instrumentos </w:t>
      </w:r>
      <w:r w:rsidR="00EF645F" w:rsidRPr="003A1174">
        <w:rPr>
          <w:rFonts w:ascii="Garamond" w:hAnsi="Garamond" w:cs="Arial"/>
          <w:sz w:val="24"/>
          <w:szCs w:val="24"/>
        </w:rPr>
        <w:t>internacionais</w:t>
      </w:r>
      <w:r w:rsidRPr="003A1174">
        <w:rPr>
          <w:rFonts w:ascii="Garamond" w:hAnsi="Garamond" w:cs="Arial"/>
          <w:sz w:val="24"/>
          <w:szCs w:val="24"/>
        </w:rPr>
        <w:t xml:space="preserve"> e</w:t>
      </w:r>
      <w:r w:rsidR="006506C6"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w:t>
      </w:r>
      <w:r w:rsidR="006D3F69" w:rsidRPr="003A1174">
        <w:rPr>
          <w:rFonts w:ascii="Garamond" w:hAnsi="Garamond" w:cs="Arial"/>
          <w:sz w:val="24"/>
          <w:szCs w:val="24"/>
        </w:rPr>
        <w:t>,</w:t>
      </w:r>
      <w:r w:rsidR="006506C6" w:rsidRPr="003A1174">
        <w:rPr>
          <w:rFonts w:ascii="Garamond" w:hAnsi="Garamond" w:cs="Arial"/>
          <w:sz w:val="24"/>
          <w:szCs w:val="24"/>
        </w:rPr>
        <w:t xml:space="preserve"> e</w:t>
      </w:r>
      <w:r w:rsidRPr="003A1174">
        <w:rPr>
          <w:rFonts w:ascii="Garamond" w:hAnsi="Garamond" w:cs="Arial"/>
          <w:sz w:val="24"/>
          <w:szCs w:val="24"/>
        </w:rPr>
        <w:t xml:space="preserve"> particularmente aquel</w:t>
      </w:r>
      <w:r w:rsidR="006506C6" w:rsidRPr="003A1174">
        <w:rPr>
          <w:rFonts w:ascii="Garamond" w:hAnsi="Garamond" w:cs="Arial"/>
          <w:sz w:val="24"/>
          <w:szCs w:val="24"/>
        </w:rPr>
        <w:t>e</w:t>
      </w:r>
      <w:r w:rsidRPr="003A1174">
        <w:rPr>
          <w:rFonts w:ascii="Garamond" w:hAnsi="Garamond" w:cs="Arial"/>
          <w:sz w:val="24"/>
          <w:szCs w:val="24"/>
        </w:rPr>
        <w:t xml:space="preserve">s especializados </w:t>
      </w:r>
      <w:r w:rsidR="006506C6" w:rsidRPr="003A1174">
        <w:rPr>
          <w:rFonts w:ascii="Garamond" w:hAnsi="Garamond" w:cs="Arial"/>
          <w:sz w:val="24"/>
          <w:szCs w:val="24"/>
        </w:rPr>
        <w:t>n</w:t>
      </w:r>
      <w:r w:rsidRPr="003A1174">
        <w:rPr>
          <w:rFonts w:ascii="Garamond" w:hAnsi="Garamond" w:cs="Arial"/>
          <w:sz w:val="24"/>
          <w:szCs w:val="24"/>
        </w:rPr>
        <w:t xml:space="preserve">a </w:t>
      </w:r>
      <w:r w:rsidR="002F5CD1" w:rsidRPr="003A1174">
        <w:rPr>
          <w:rFonts w:ascii="Garamond" w:hAnsi="Garamond" w:cs="Arial"/>
          <w:sz w:val="24"/>
          <w:szCs w:val="24"/>
        </w:rPr>
        <w:t>promoção</w:t>
      </w:r>
      <w:r w:rsidRPr="003A1174">
        <w:rPr>
          <w:rFonts w:ascii="Garamond" w:hAnsi="Garamond" w:cs="Arial"/>
          <w:sz w:val="24"/>
          <w:szCs w:val="24"/>
        </w:rPr>
        <w:t xml:space="preserve">, </w:t>
      </w:r>
      <w:r w:rsidR="002C7510" w:rsidRPr="003A1174">
        <w:rPr>
          <w:rFonts w:ascii="Garamond" w:hAnsi="Garamond" w:cs="Arial"/>
          <w:sz w:val="24"/>
          <w:szCs w:val="24"/>
        </w:rPr>
        <w:t>defesa</w:t>
      </w:r>
      <w:r w:rsidR="006506C6" w:rsidRPr="003A1174">
        <w:rPr>
          <w:rFonts w:ascii="Garamond" w:hAnsi="Garamond" w:cs="Arial"/>
          <w:sz w:val="24"/>
          <w:szCs w:val="24"/>
        </w:rPr>
        <w:t xml:space="preserve"> e</w:t>
      </w:r>
      <w:r w:rsidRPr="003A1174">
        <w:rPr>
          <w:rFonts w:ascii="Garamond" w:hAnsi="Garamond" w:cs="Arial"/>
          <w:sz w:val="24"/>
          <w:szCs w:val="24"/>
        </w:rPr>
        <w:t xml:space="preserve"> </w:t>
      </w:r>
      <w:r w:rsidR="00886D6A" w:rsidRPr="003A1174">
        <w:rPr>
          <w:rFonts w:ascii="Garamond" w:hAnsi="Garamond" w:cs="Arial"/>
          <w:sz w:val="24"/>
          <w:szCs w:val="24"/>
        </w:rPr>
        <w:t>proteção</w:t>
      </w:r>
      <w:r w:rsidRPr="003A1174">
        <w:rPr>
          <w:rFonts w:ascii="Garamond" w:hAnsi="Garamond" w:cs="Arial"/>
          <w:sz w:val="24"/>
          <w:szCs w:val="24"/>
        </w:rPr>
        <w:t xml:space="preserve"> dos </w:t>
      </w:r>
      <w:r w:rsidR="00886D6A" w:rsidRPr="003A1174">
        <w:rPr>
          <w:rFonts w:ascii="Garamond" w:hAnsi="Garamond" w:cs="Arial"/>
          <w:sz w:val="24"/>
          <w:szCs w:val="24"/>
        </w:rPr>
        <w:t>direito</w:t>
      </w:r>
      <w:r w:rsidR="006506C6" w:rsidRPr="003A1174">
        <w:rPr>
          <w:rFonts w:ascii="Garamond" w:hAnsi="Garamond" w:cs="Arial"/>
          <w:sz w:val="24"/>
          <w:szCs w:val="24"/>
        </w:rPr>
        <w:t>s humanos e</w:t>
      </w:r>
      <w:r w:rsidRPr="003A1174">
        <w:rPr>
          <w:rFonts w:ascii="Garamond" w:hAnsi="Garamond" w:cs="Arial"/>
          <w:sz w:val="24"/>
          <w:szCs w:val="24"/>
        </w:rPr>
        <w:t xml:space="preserve"> </w:t>
      </w:r>
      <w:r w:rsidR="006506C6" w:rsidRPr="003A1174">
        <w:rPr>
          <w:rFonts w:ascii="Garamond" w:hAnsi="Garamond" w:cs="Arial"/>
          <w:sz w:val="24"/>
          <w:szCs w:val="24"/>
        </w:rPr>
        <w:t>liberdades</w:t>
      </w:r>
      <w:r w:rsidRPr="003A1174">
        <w:rPr>
          <w:rFonts w:ascii="Garamond" w:hAnsi="Garamond" w:cs="Arial"/>
          <w:sz w:val="24"/>
          <w:szCs w:val="24"/>
        </w:rPr>
        <w:t xml:space="preserve"> </w:t>
      </w:r>
      <w:r w:rsidR="00CA633E" w:rsidRPr="003A1174">
        <w:rPr>
          <w:rFonts w:ascii="Garamond" w:hAnsi="Garamond" w:cs="Arial"/>
          <w:sz w:val="24"/>
          <w:szCs w:val="24"/>
        </w:rPr>
        <w:t>fundamentais</w:t>
      </w:r>
      <w:r w:rsidR="006506C6" w:rsidRPr="003A1174">
        <w:rPr>
          <w:rFonts w:ascii="Garamond" w:hAnsi="Garamond" w:cs="Arial"/>
          <w:sz w:val="24"/>
          <w:szCs w:val="24"/>
        </w:rPr>
        <w:t xml:space="preserve"> d</w:t>
      </w:r>
      <w:r w:rsidRPr="003A1174">
        <w:rPr>
          <w:rFonts w:ascii="Garamond" w:hAnsi="Garamond" w:cs="Arial"/>
          <w:sz w:val="24"/>
          <w:szCs w:val="24"/>
        </w:rPr>
        <w:t xml:space="preserve">a </w:t>
      </w:r>
      <w:r w:rsidR="00AF192F" w:rsidRPr="003A1174">
        <w:rPr>
          <w:rFonts w:ascii="Garamond" w:hAnsi="Garamond" w:cs="Arial"/>
          <w:sz w:val="24"/>
          <w:szCs w:val="24"/>
        </w:rPr>
        <w:t>mulher</w:t>
      </w:r>
      <w:r w:rsidRPr="003A1174">
        <w:rPr>
          <w:rFonts w:ascii="Garamond" w:hAnsi="Garamond" w:cs="Arial"/>
          <w:sz w:val="24"/>
          <w:szCs w:val="24"/>
        </w:rPr>
        <w:t>. D</w:t>
      </w:r>
      <w:r w:rsidR="006506C6" w:rsidRPr="003A1174">
        <w:rPr>
          <w:rFonts w:ascii="Garamond" w:hAnsi="Garamond" w:cs="Arial"/>
          <w:sz w:val="24"/>
          <w:szCs w:val="24"/>
        </w:rPr>
        <w:t xml:space="preserve">o mesmo modo, </w:t>
      </w:r>
      <w:r w:rsidRPr="003A1174">
        <w:rPr>
          <w:rFonts w:ascii="Garamond" w:hAnsi="Garamond" w:cs="Arial"/>
          <w:sz w:val="24"/>
          <w:szCs w:val="24"/>
        </w:rPr>
        <w:t xml:space="preserve">os </w:t>
      </w:r>
      <w:r w:rsidR="006506C6" w:rsidRPr="003A1174">
        <w:rPr>
          <w:rFonts w:ascii="Garamond" w:hAnsi="Garamond" w:cs="Arial"/>
          <w:sz w:val="24"/>
          <w:szCs w:val="24"/>
        </w:rPr>
        <w:t>governos d</w:t>
      </w:r>
      <w:r w:rsidR="007407BD" w:rsidRPr="003A1174">
        <w:rPr>
          <w:rFonts w:ascii="Garamond" w:hAnsi="Garamond" w:cs="Arial"/>
          <w:sz w:val="24"/>
          <w:szCs w:val="24"/>
        </w:rPr>
        <w:t>estes</w:t>
      </w:r>
      <w:r w:rsidRPr="003A1174">
        <w:rPr>
          <w:rFonts w:ascii="Garamond" w:hAnsi="Garamond" w:cs="Arial"/>
          <w:sz w:val="24"/>
          <w:szCs w:val="24"/>
        </w:rPr>
        <w:t xml:space="preserve"> países </w:t>
      </w:r>
      <w:r w:rsidR="006506C6" w:rsidRPr="003A1174">
        <w:rPr>
          <w:rFonts w:ascii="Garamond" w:hAnsi="Garamond" w:cs="Arial"/>
          <w:sz w:val="24"/>
          <w:szCs w:val="24"/>
        </w:rPr>
        <w:t xml:space="preserve">reconheceram </w:t>
      </w:r>
      <w:r w:rsidRPr="003A1174">
        <w:rPr>
          <w:rFonts w:ascii="Garamond" w:hAnsi="Garamond" w:cs="Arial"/>
          <w:color w:val="000000"/>
          <w:sz w:val="24"/>
          <w:szCs w:val="24"/>
          <w:shd w:val="clear" w:color="auto" w:fill="FFFFFF"/>
        </w:rPr>
        <w:t xml:space="preserve">a </w:t>
      </w:r>
      <w:r w:rsidR="006506C6" w:rsidRPr="003A1174">
        <w:rPr>
          <w:rFonts w:ascii="Garamond" w:hAnsi="Garamond" w:cs="Arial"/>
          <w:color w:val="000000"/>
          <w:sz w:val="24"/>
          <w:szCs w:val="24"/>
          <w:shd w:val="clear" w:color="auto" w:fill="FFFFFF"/>
        </w:rPr>
        <w:t>necessidade</w:t>
      </w:r>
      <w:r w:rsidRPr="003A1174">
        <w:rPr>
          <w:rFonts w:ascii="Garamond" w:hAnsi="Garamond" w:cs="Arial"/>
          <w:color w:val="000000"/>
          <w:sz w:val="24"/>
          <w:szCs w:val="24"/>
          <w:shd w:val="clear" w:color="auto" w:fill="FFFFFF"/>
        </w:rPr>
        <w:t xml:space="preserve"> de </w:t>
      </w:r>
      <w:r w:rsidR="006506C6" w:rsidRPr="003A1174">
        <w:rPr>
          <w:rFonts w:ascii="Garamond" w:hAnsi="Garamond" w:cs="Arial"/>
          <w:color w:val="000000"/>
          <w:sz w:val="24"/>
          <w:szCs w:val="24"/>
          <w:shd w:val="clear" w:color="auto" w:fill="FFFFFF"/>
        </w:rPr>
        <w:t>aperfeiçoar e</w:t>
      </w:r>
      <w:r w:rsidRPr="003A1174">
        <w:rPr>
          <w:rFonts w:ascii="Garamond" w:hAnsi="Garamond" w:cs="Arial"/>
          <w:color w:val="000000"/>
          <w:sz w:val="24"/>
          <w:szCs w:val="24"/>
          <w:shd w:val="clear" w:color="auto" w:fill="FFFFFF"/>
        </w:rPr>
        <w:t xml:space="preserve"> </w:t>
      </w:r>
      <w:r w:rsidR="000456B2" w:rsidRPr="003A1174">
        <w:rPr>
          <w:rFonts w:ascii="Garamond" w:hAnsi="Garamond" w:cs="Arial"/>
          <w:color w:val="000000"/>
          <w:sz w:val="24"/>
          <w:szCs w:val="24"/>
          <w:shd w:val="clear" w:color="auto" w:fill="FFFFFF"/>
        </w:rPr>
        <w:t xml:space="preserve">adequar </w:t>
      </w:r>
      <w:r w:rsidR="006506C6" w:rsidRPr="003A1174">
        <w:rPr>
          <w:rFonts w:ascii="Garamond" w:hAnsi="Garamond" w:cs="Arial"/>
          <w:color w:val="000000"/>
          <w:sz w:val="24"/>
          <w:szCs w:val="24"/>
          <w:shd w:val="clear" w:color="auto" w:fill="FFFFFF"/>
        </w:rPr>
        <w:t xml:space="preserve">as </w:t>
      </w:r>
      <w:r w:rsidRPr="003A1174">
        <w:rPr>
          <w:rFonts w:ascii="Garamond" w:hAnsi="Garamond" w:cs="Arial"/>
          <w:color w:val="000000"/>
          <w:sz w:val="24"/>
          <w:szCs w:val="24"/>
          <w:shd w:val="clear" w:color="auto" w:fill="FFFFFF"/>
        </w:rPr>
        <w:t>su</w:t>
      </w:r>
      <w:r w:rsidR="006506C6" w:rsidRPr="003A1174">
        <w:rPr>
          <w:rFonts w:ascii="Garamond" w:hAnsi="Garamond" w:cs="Arial"/>
          <w:color w:val="000000"/>
          <w:sz w:val="24"/>
          <w:szCs w:val="24"/>
          <w:shd w:val="clear" w:color="auto" w:fill="FFFFFF"/>
        </w:rPr>
        <w:t>a</w:t>
      </w:r>
      <w:r w:rsidRPr="003A1174">
        <w:rPr>
          <w:rFonts w:ascii="Garamond" w:hAnsi="Garamond" w:cs="Arial"/>
          <w:color w:val="000000"/>
          <w:sz w:val="24"/>
          <w:szCs w:val="24"/>
          <w:shd w:val="clear" w:color="auto" w:fill="FFFFFF"/>
        </w:rPr>
        <w:t xml:space="preserve">s </w:t>
      </w:r>
      <w:r w:rsidR="006506C6" w:rsidRPr="003A1174">
        <w:rPr>
          <w:rFonts w:ascii="Garamond" w:hAnsi="Garamond" w:cs="Arial"/>
          <w:color w:val="000000"/>
          <w:sz w:val="24"/>
          <w:szCs w:val="24"/>
          <w:shd w:val="clear" w:color="auto" w:fill="FFFFFF"/>
        </w:rPr>
        <w:t>legislações</w:t>
      </w:r>
      <w:r w:rsidRPr="003A1174">
        <w:rPr>
          <w:rFonts w:ascii="Garamond" w:hAnsi="Garamond" w:cs="Arial"/>
          <w:color w:val="000000"/>
          <w:sz w:val="24"/>
          <w:szCs w:val="24"/>
          <w:shd w:val="clear" w:color="auto" w:fill="FFFFFF"/>
        </w:rPr>
        <w:t xml:space="preserve"> internas a</w:t>
      </w:r>
      <w:r w:rsidR="006506C6" w:rsidRPr="003A1174">
        <w:rPr>
          <w:rFonts w:ascii="Garamond" w:hAnsi="Garamond" w:cs="Arial"/>
          <w:color w:val="000000"/>
          <w:sz w:val="24"/>
          <w:szCs w:val="24"/>
          <w:shd w:val="clear" w:color="auto" w:fill="FFFFFF"/>
        </w:rPr>
        <w:t>o</w:t>
      </w:r>
      <w:r w:rsidRPr="003A1174">
        <w:rPr>
          <w:rFonts w:ascii="Garamond" w:hAnsi="Garamond" w:cs="Arial"/>
          <w:color w:val="000000"/>
          <w:sz w:val="24"/>
          <w:szCs w:val="24"/>
          <w:shd w:val="clear" w:color="auto" w:fill="FFFFFF"/>
        </w:rPr>
        <w:t xml:space="preserve"> </w:t>
      </w:r>
      <w:r w:rsidR="00253B1D" w:rsidRPr="003A1174">
        <w:rPr>
          <w:rFonts w:ascii="Garamond" w:hAnsi="Garamond" w:cs="Arial"/>
          <w:sz w:val="24"/>
          <w:szCs w:val="24"/>
          <w:shd w:val="clear" w:color="auto" w:fill="FFFFFF"/>
        </w:rPr>
        <w:t>quadro</w:t>
      </w:r>
      <w:r w:rsidRPr="003A1174">
        <w:rPr>
          <w:rFonts w:ascii="Garamond" w:hAnsi="Garamond" w:cs="Arial"/>
          <w:sz w:val="24"/>
          <w:szCs w:val="24"/>
          <w:shd w:val="clear" w:color="auto" w:fill="FFFFFF"/>
        </w:rPr>
        <w:t xml:space="preserve"> internac</w:t>
      </w:r>
      <w:r w:rsidR="006506C6" w:rsidRPr="003A1174">
        <w:rPr>
          <w:rFonts w:ascii="Garamond" w:hAnsi="Garamond" w:cs="Arial"/>
          <w:sz w:val="24"/>
          <w:szCs w:val="24"/>
          <w:shd w:val="clear" w:color="auto" w:fill="FFFFFF"/>
        </w:rPr>
        <w:t xml:space="preserve">ional </w:t>
      </w:r>
      <w:r w:rsidR="006506C6" w:rsidRPr="003A1174">
        <w:rPr>
          <w:rFonts w:ascii="Garamond" w:hAnsi="Garamond" w:cs="Arial"/>
          <w:color w:val="000000"/>
          <w:sz w:val="24"/>
          <w:szCs w:val="24"/>
          <w:shd w:val="clear" w:color="auto" w:fill="FFFFFF"/>
        </w:rPr>
        <w:t>especializado a favor d</w:t>
      </w:r>
      <w:r w:rsidRPr="003A1174">
        <w:rPr>
          <w:rFonts w:ascii="Garamond" w:hAnsi="Garamond" w:cs="Arial"/>
          <w:color w:val="000000"/>
          <w:sz w:val="24"/>
          <w:szCs w:val="24"/>
          <w:shd w:val="clear" w:color="auto" w:fill="FFFFFF"/>
        </w:rPr>
        <w:t xml:space="preserve">as </w:t>
      </w:r>
      <w:r w:rsidR="00054EE0" w:rsidRPr="003A1174">
        <w:rPr>
          <w:rFonts w:ascii="Garamond" w:hAnsi="Garamond" w:cs="Arial"/>
          <w:color w:val="000000"/>
          <w:sz w:val="24"/>
          <w:szCs w:val="24"/>
          <w:shd w:val="clear" w:color="auto" w:fill="FFFFFF"/>
        </w:rPr>
        <w:t>mulheres</w:t>
      </w:r>
      <w:r w:rsidRPr="003A1174">
        <w:rPr>
          <w:rFonts w:ascii="Garamond" w:hAnsi="Garamond" w:cs="Arial"/>
          <w:color w:val="000000"/>
          <w:sz w:val="24"/>
          <w:szCs w:val="24"/>
          <w:shd w:val="clear" w:color="auto" w:fill="FFFFFF"/>
        </w:rPr>
        <w:t xml:space="preserve"> </w:t>
      </w:r>
      <w:r w:rsidR="006506C6" w:rsidRPr="003A1174">
        <w:rPr>
          <w:rFonts w:ascii="Garamond" w:hAnsi="Garamond" w:cs="Arial"/>
          <w:color w:val="000000"/>
          <w:sz w:val="24"/>
          <w:szCs w:val="24"/>
          <w:shd w:val="clear" w:color="auto" w:fill="FFFFFF"/>
        </w:rPr>
        <w:t xml:space="preserve">e meninas, assim </w:t>
      </w:r>
      <w:r w:rsidR="00A94871" w:rsidRPr="003A1174">
        <w:rPr>
          <w:rFonts w:ascii="Garamond" w:hAnsi="Garamond" w:cs="Arial"/>
          <w:color w:val="000000"/>
          <w:sz w:val="24"/>
          <w:szCs w:val="24"/>
          <w:shd w:val="clear" w:color="auto" w:fill="FFFFFF"/>
        </w:rPr>
        <w:t xml:space="preserve">como formular e </w:t>
      </w:r>
      <w:proofErr w:type="gramStart"/>
      <w:r w:rsidR="00A94871" w:rsidRPr="003A1174">
        <w:rPr>
          <w:rFonts w:ascii="Garamond" w:hAnsi="Garamond" w:cs="Arial"/>
          <w:color w:val="000000"/>
          <w:sz w:val="24"/>
          <w:szCs w:val="24"/>
          <w:shd w:val="clear" w:color="auto" w:fill="FFFFFF"/>
        </w:rPr>
        <w:t>implementar</w:t>
      </w:r>
      <w:proofErr w:type="gramEnd"/>
      <w:r w:rsidR="00A94871" w:rsidRPr="003A1174">
        <w:rPr>
          <w:rFonts w:ascii="Garamond" w:hAnsi="Garamond" w:cs="Arial"/>
          <w:color w:val="000000"/>
          <w:sz w:val="24"/>
          <w:szCs w:val="24"/>
          <w:shd w:val="clear" w:color="auto" w:fill="FFFFFF"/>
        </w:rPr>
        <w:t xml:space="preserve"> políticas </w:t>
      </w:r>
      <w:r w:rsidR="006506C6" w:rsidRPr="003A1174">
        <w:rPr>
          <w:rFonts w:ascii="Garamond" w:hAnsi="Garamond" w:cs="Arial"/>
          <w:color w:val="000000"/>
          <w:sz w:val="24"/>
          <w:szCs w:val="24"/>
          <w:shd w:val="clear" w:color="auto" w:fill="FFFFFF"/>
        </w:rPr>
        <w:t>pública</w:t>
      </w:r>
      <w:r w:rsidR="00A94871" w:rsidRPr="003A1174">
        <w:rPr>
          <w:rFonts w:ascii="Garamond" w:hAnsi="Garamond" w:cs="Arial"/>
          <w:color w:val="000000"/>
          <w:sz w:val="24"/>
          <w:szCs w:val="24"/>
          <w:shd w:val="clear" w:color="auto" w:fill="FFFFFF"/>
        </w:rPr>
        <w:t xml:space="preserve">s </w:t>
      </w:r>
      <w:r w:rsidR="006506C6" w:rsidRPr="003A1174">
        <w:rPr>
          <w:rFonts w:ascii="Garamond" w:hAnsi="Garamond" w:cs="Arial"/>
          <w:color w:val="000000"/>
          <w:sz w:val="24"/>
          <w:szCs w:val="24"/>
          <w:shd w:val="clear" w:color="auto" w:fill="FFFFFF"/>
        </w:rPr>
        <w:t>favoráveis</w:t>
      </w:r>
      <w:r w:rsidR="006D3F69" w:rsidRPr="003A1174">
        <w:rPr>
          <w:rFonts w:ascii="Garamond" w:hAnsi="Garamond" w:cs="Arial"/>
          <w:color w:val="000000"/>
          <w:sz w:val="24"/>
          <w:szCs w:val="24"/>
          <w:shd w:val="clear" w:color="auto" w:fill="FFFFFF"/>
        </w:rPr>
        <w:t xml:space="preserve"> </w:t>
      </w:r>
      <w:r w:rsidR="006506C6" w:rsidRPr="003A1174">
        <w:rPr>
          <w:rFonts w:ascii="Garamond" w:hAnsi="Garamond" w:cs="Arial"/>
          <w:color w:val="000000"/>
          <w:sz w:val="24"/>
          <w:szCs w:val="24"/>
          <w:shd w:val="clear" w:color="auto" w:fill="FFFFFF"/>
        </w:rPr>
        <w:t xml:space="preserve">às </w:t>
      </w:r>
      <w:r w:rsidR="00054EE0" w:rsidRPr="003A1174">
        <w:rPr>
          <w:rFonts w:ascii="Garamond" w:hAnsi="Garamond" w:cs="Arial"/>
          <w:color w:val="000000"/>
          <w:sz w:val="24"/>
          <w:szCs w:val="24"/>
          <w:shd w:val="clear" w:color="auto" w:fill="FFFFFF"/>
        </w:rPr>
        <w:t>mulheres</w:t>
      </w:r>
      <w:r w:rsidR="00A94871" w:rsidRPr="003A1174">
        <w:rPr>
          <w:rFonts w:ascii="Garamond" w:hAnsi="Garamond" w:cs="Arial"/>
          <w:color w:val="000000"/>
          <w:sz w:val="24"/>
          <w:szCs w:val="24"/>
          <w:shd w:val="clear" w:color="auto" w:fill="FFFFFF"/>
        </w:rPr>
        <w:t xml:space="preserve"> </w:t>
      </w:r>
      <w:r w:rsidR="006506C6" w:rsidRPr="003A1174">
        <w:rPr>
          <w:rFonts w:ascii="Garamond" w:hAnsi="Garamond" w:cs="Arial"/>
          <w:color w:val="000000"/>
          <w:sz w:val="24"/>
          <w:szCs w:val="24"/>
          <w:shd w:val="clear" w:color="auto" w:fill="FFFFFF"/>
        </w:rPr>
        <w:t xml:space="preserve">sob os </w:t>
      </w:r>
      <w:r w:rsidR="006506C6" w:rsidRPr="003A1174">
        <w:rPr>
          <w:rFonts w:ascii="Garamond" w:hAnsi="Garamond" w:cs="Arial"/>
          <w:i/>
          <w:color w:val="000000"/>
          <w:sz w:val="24"/>
          <w:szCs w:val="24"/>
          <w:shd w:val="clear" w:color="auto" w:fill="FFFFFF"/>
        </w:rPr>
        <w:t>standards</w:t>
      </w:r>
      <w:r w:rsidR="006506C6" w:rsidRPr="003A1174">
        <w:rPr>
          <w:rFonts w:ascii="Garamond" w:hAnsi="Garamond" w:cs="Arial"/>
          <w:color w:val="000000"/>
          <w:sz w:val="24"/>
          <w:szCs w:val="24"/>
          <w:shd w:val="clear" w:color="auto" w:fill="FFFFFF"/>
        </w:rPr>
        <w:t xml:space="preserve"> </w:t>
      </w:r>
      <w:r w:rsidR="00EF645F" w:rsidRPr="003A1174">
        <w:rPr>
          <w:rFonts w:ascii="Garamond" w:hAnsi="Garamond" w:cs="Arial"/>
          <w:color w:val="000000"/>
          <w:sz w:val="24"/>
          <w:szCs w:val="24"/>
          <w:shd w:val="clear" w:color="auto" w:fill="FFFFFF"/>
        </w:rPr>
        <w:t>internacionais</w:t>
      </w:r>
      <w:r w:rsidR="00A94871" w:rsidRPr="003A1174">
        <w:rPr>
          <w:rFonts w:ascii="Garamond" w:hAnsi="Garamond" w:cs="Arial"/>
          <w:color w:val="000000"/>
          <w:sz w:val="24"/>
          <w:szCs w:val="24"/>
          <w:shd w:val="clear" w:color="auto" w:fill="FFFFFF"/>
        </w:rPr>
        <w:t xml:space="preserve">, </w:t>
      </w:r>
      <w:r w:rsidR="006506C6" w:rsidRPr="003A1174">
        <w:rPr>
          <w:rFonts w:ascii="Garamond" w:hAnsi="Garamond" w:cs="Arial"/>
          <w:color w:val="000000"/>
          <w:sz w:val="24"/>
          <w:szCs w:val="24"/>
          <w:shd w:val="clear" w:color="auto" w:fill="FFFFFF"/>
        </w:rPr>
        <w:t xml:space="preserve">embora sobre este </w:t>
      </w:r>
      <w:r w:rsidR="00A94871" w:rsidRPr="003A1174">
        <w:rPr>
          <w:rFonts w:ascii="Garamond" w:hAnsi="Garamond" w:cs="Arial"/>
          <w:color w:val="000000"/>
          <w:sz w:val="24"/>
          <w:szCs w:val="24"/>
          <w:shd w:val="clear" w:color="auto" w:fill="FFFFFF"/>
        </w:rPr>
        <w:t xml:space="preserve">último </w:t>
      </w:r>
      <w:r w:rsidR="006506C6" w:rsidRPr="003A1174">
        <w:rPr>
          <w:rFonts w:ascii="Garamond" w:hAnsi="Garamond" w:cs="Arial"/>
          <w:color w:val="000000"/>
          <w:sz w:val="24"/>
          <w:szCs w:val="24"/>
          <w:shd w:val="clear" w:color="auto" w:fill="FFFFFF"/>
        </w:rPr>
        <w:t xml:space="preserve">haja ainda um longo caminho a percorrer. </w:t>
      </w:r>
      <w:r w:rsidRPr="003A1174">
        <w:rPr>
          <w:rFonts w:ascii="Garamond" w:hAnsi="Garamond" w:cs="Arial"/>
          <w:color w:val="000000"/>
          <w:sz w:val="24"/>
          <w:szCs w:val="24"/>
          <w:shd w:val="clear" w:color="auto" w:fill="FFFFFF"/>
        </w:rPr>
        <w:t xml:space="preserve"> </w:t>
      </w:r>
    </w:p>
    <w:p w:rsidR="00B22152" w:rsidRPr="003A1174" w:rsidRDefault="003F012B" w:rsidP="008719D4">
      <w:pPr>
        <w:pStyle w:val="Ttulo2"/>
        <w:numPr>
          <w:ilvl w:val="1"/>
          <w:numId w:val="21"/>
        </w:numPr>
        <w:jc w:val="both"/>
        <w:rPr>
          <w:rFonts w:ascii="Garamond" w:hAnsi="Garamond"/>
          <w:sz w:val="24"/>
          <w:szCs w:val="24"/>
        </w:rPr>
      </w:pPr>
      <w:bookmarkStart w:id="6" w:name="_Toc421529694"/>
      <w:r w:rsidRPr="003A1174">
        <w:rPr>
          <w:rFonts w:ascii="Garamond" w:hAnsi="Garamond"/>
          <w:sz w:val="24"/>
          <w:szCs w:val="24"/>
        </w:rPr>
        <w:lastRenderedPageBreak/>
        <w:t>A</w:t>
      </w:r>
      <w:r w:rsidR="00B22152" w:rsidRPr="003A1174">
        <w:rPr>
          <w:rFonts w:ascii="Garamond" w:hAnsi="Garamond"/>
          <w:sz w:val="24"/>
          <w:szCs w:val="24"/>
        </w:rPr>
        <w:t xml:space="preserve"> </w:t>
      </w:r>
      <w:r w:rsidR="000350B1" w:rsidRPr="003A1174">
        <w:rPr>
          <w:rFonts w:ascii="Garamond" w:hAnsi="Garamond"/>
          <w:sz w:val="24"/>
          <w:szCs w:val="24"/>
        </w:rPr>
        <w:t>violência</w:t>
      </w:r>
      <w:r w:rsidRPr="003A1174">
        <w:rPr>
          <w:rFonts w:ascii="Garamond" w:hAnsi="Garamond"/>
          <w:sz w:val="24"/>
          <w:szCs w:val="24"/>
        </w:rPr>
        <w:t xml:space="preserve"> contra </w:t>
      </w:r>
      <w:r w:rsidR="00B22152" w:rsidRPr="003A1174">
        <w:rPr>
          <w:rFonts w:ascii="Garamond" w:hAnsi="Garamond"/>
          <w:sz w:val="24"/>
          <w:szCs w:val="24"/>
        </w:rPr>
        <w:t xml:space="preserve">as </w:t>
      </w:r>
      <w:r w:rsidR="00054EE0" w:rsidRPr="003A1174">
        <w:rPr>
          <w:rFonts w:ascii="Garamond" w:hAnsi="Garamond"/>
          <w:sz w:val="24"/>
          <w:szCs w:val="24"/>
        </w:rPr>
        <w:t>mulheres</w:t>
      </w:r>
      <w:r w:rsidR="00B22152" w:rsidRPr="003A1174">
        <w:rPr>
          <w:rFonts w:ascii="Garamond" w:hAnsi="Garamond"/>
          <w:sz w:val="24"/>
          <w:szCs w:val="24"/>
        </w:rPr>
        <w:t xml:space="preserve"> </w:t>
      </w:r>
      <w:r w:rsidRPr="003A1174">
        <w:rPr>
          <w:rFonts w:ascii="Garamond" w:hAnsi="Garamond"/>
          <w:sz w:val="24"/>
          <w:szCs w:val="24"/>
        </w:rPr>
        <w:t>n</w:t>
      </w:r>
      <w:r w:rsidR="00B22152" w:rsidRPr="003A1174">
        <w:rPr>
          <w:rFonts w:ascii="Garamond" w:hAnsi="Garamond"/>
          <w:sz w:val="24"/>
          <w:szCs w:val="24"/>
        </w:rPr>
        <w:t xml:space="preserve">a esfera familiar. </w:t>
      </w:r>
      <w:r w:rsidRPr="003A1174">
        <w:rPr>
          <w:rFonts w:ascii="Garamond" w:hAnsi="Garamond"/>
          <w:sz w:val="24"/>
          <w:szCs w:val="24"/>
        </w:rPr>
        <w:t xml:space="preserve">A </w:t>
      </w:r>
      <w:r w:rsidR="00AF192F" w:rsidRPr="003A1174">
        <w:rPr>
          <w:rFonts w:ascii="Garamond" w:hAnsi="Garamond"/>
          <w:sz w:val="24"/>
          <w:szCs w:val="24"/>
        </w:rPr>
        <w:t>obrigação</w:t>
      </w:r>
      <w:r w:rsidR="00B22152" w:rsidRPr="003A1174">
        <w:rPr>
          <w:rFonts w:ascii="Garamond" w:hAnsi="Garamond"/>
          <w:sz w:val="24"/>
          <w:szCs w:val="24"/>
        </w:rPr>
        <w:t xml:space="preserve"> d</w:t>
      </w:r>
      <w:r w:rsidRPr="003A1174">
        <w:rPr>
          <w:rFonts w:ascii="Garamond" w:hAnsi="Garamond"/>
          <w:sz w:val="24"/>
          <w:szCs w:val="24"/>
        </w:rPr>
        <w:t>o</w:t>
      </w:r>
      <w:r w:rsidR="00B22152" w:rsidRPr="003A1174">
        <w:rPr>
          <w:rFonts w:ascii="Garamond" w:hAnsi="Garamond"/>
          <w:sz w:val="24"/>
          <w:szCs w:val="24"/>
        </w:rPr>
        <w:t xml:space="preserve"> Estado de </w:t>
      </w:r>
      <w:r w:rsidR="00AF192F" w:rsidRPr="003A1174">
        <w:rPr>
          <w:rFonts w:ascii="Garamond" w:hAnsi="Garamond"/>
          <w:sz w:val="24"/>
          <w:szCs w:val="24"/>
        </w:rPr>
        <w:t>garantir</w:t>
      </w:r>
      <w:r w:rsidR="00B22152" w:rsidRPr="003A1174">
        <w:rPr>
          <w:rFonts w:ascii="Garamond" w:hAnsi="Garamond"/>
          <w:sz w:val="24"/>
          <w:szCs w:val="24"/>
        </w:rPr>
        <w:t xml:space="preserve"> </w:t>
      </w:r>
      <w:r w:rsidR="006506C6" w:rsidRPr="003A1174">
        <w:rPr>
          <w:rFonts w:ascii="Garamond" w:hAnsi="Garamond"/>
          <w:sz w:val="24"/>
          <w:szCs w:val="24"/>
        </w:rPr>
        <w:t xml:space="preserve">o </w:t>
      </w:r>
      <w:r w:rsidR="00886D6A" w:rsidRPr="003A1174">
        <w:rPr>
          <w:rFonts w:ascii="Garamond" w:hAnsi="Garamond"/>
          <w:sz w:val="24"/>
          <w:szCs w:val="24"/>
        </w:rPr>
        <w:t>direito</w:t>
      </w:r>
      <w:r w:rsidR="00B22152" w:rsidRPr="003A1174">
        <w:rPr>
          <w:rFonts w:ascii="Garamond" w:hAnsi="Garamond"/>
          <w:sz w:val="24"/>
          <w:szCs w:val="24"/>
        </w:rPr>
        <w:t xml:space="preserve"> das </w:t>
      </w:r>
      <w:r w:rsidR="00054EE0" w:rsidRPr="003A1174">
        <w:rPr>
          <w:rFonts w:ascii="Garamond" w:hAnsi="Garamond"/>
          <w:sz w:val="24"/>
          <w:szCs w:val="24"/>
        </w:rPr>
        <w:t>mulheres</w:t>
      </w:r>
      <w:r w:rsidR="006506C6" w:rsidRPr="003A1174">
        <w:rPr>
          <w:rFonts w:ascii="Garamond" w:hAnsi="Garamond"/>
          <w:sz w:val="24"/>
          <w:szCs w:val="24"/>
        </w:rPr>
        <w:t xml:space="preserve"> a um</w:t>
      </w:r>
      <w:r w:rsidR="00B22152" w:rsidRPr="003A1174">
        <w:rPr>
          <w:rFonts w:ascii="Garamond" w:hAnsi="Garamond"/>
          <w:sz w:val="24"/>
          <w:szCs w:val="24"/>
        </w:rPr>
        <w:t xml:space="preserve">a vida </w:t>
      </w:r>
      <w:r w:rsidR="00AF192F" w:rsidRPr="003A1174">
        <w:rPr>
          <w:rFonts w:ascii="Garamond" w:hAnsi="Garamond"/>
          <w:sz w:val="24"/>
          <w:szCs w:val="24"/>
        </w:rPr>
        <w:t>livre</w:t>
      </w:r>
      <w:r w:rsidR="00B22152" w:rsidRPr="003A1174">
        <w:rPr>
          <w:rFonts w:ascii="Garamond" w:hAnsi="Garamond"/>
          <w:sz w:val="24"/>
          <w:szCs w:val="24"/>
        </w:rPr>
        <w:t xml:space="preserve"> de </w:t>
      </w:r>
      <w:r w:rsidR="000350B1" w:rsidRPr="003A1174">
        <w:rPr>
          <w:rFonts w:ascii="Garamond" w:hAnsi="Garamond"/>
          <w:sz w:val="24"/>
          <w:szCs w:val="24"/>
        </w:rPr>
        <w:t>violência</w:t>
      </w:r>
      <w:r w:rsidR="00B22152" w:rsidRPr="003A1174">
        <w:rPr>
          <w:rFonts w:ascii="Garamond" w:hAnsi="Garamond"/>
          <w:sz w:val="24"/>
          <w:szCs w:val="24"/>
        </w:rPr>
        <w:t xml:space="preserve">: </w:t>
      </w:r>
      <w:r w:rsidR="006506C6" w:rsidRPr="003A1174">
        <w:rPr>
          <w:rFonts w:ascii="Garamond" w:hAnsi="Garamond"/>
          <w:sz w:val="24"/>
          <w:szCs w:val="24"/>
        </w:rPr>
        <w:t>definindo</w:t>
      </w:r>
      <w:r w:rsidR="00B22152" w:rsidRPr="003A1174">
        <w:rPr>
          <w:rFonts w:ascii="Garamond" w:hAnsi="Garamond"/>
          <w:sz w:val="24"/>
          <w:szCs w:val="24"/>
        </w:rPr>
        <w:t xml:space="preserve"> </w:t>
      </w:r>
      <w:r w:rsidR="00AF192F" w:rsidRPr="003A1174">
        <w:rPr>
          <w:rFonts w:ascii="Garamond" w:hAnsi="Garamond"/>
          <w:sz w:val="24"/>
          <w:szCs w:val="24"/>
        </w:rPr>
        <w:t>conceito</w:t>
      </w:r>
      <w:r w:rsidR="00B22152" w:rsidRPr="003A1174">
        <w:rPr>
          <w:rFonts w:ascii="Garamond" w:hAnsi="Garamond"/>
          <w:sz w:val="24"/>
          <w:szCs w:val="24"/>
        </w:rPr>
        <w:t>s</w:t>
      </w:r>
      <w:bookmarkEnd w:id="6"/>
    </w:p>
    <w:p w:rsidR="001E39B7" w:rsidRPr="003A1174" w:rsidRDefault="00A132B3"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Durante </w:t>
      </w:r>
      <w:r w:rsidR="003F012B" w:rsidRPr="003A1174">
        <w:rPr>
          <w:rFonts w:ascii="Garamond" w:hAnsi="Garamond" w:cs="Arial"/>
          <w:sz w:val="24"/>
          <w:szCs w:val="24"/>
        </w:rPr>
        <w:t>muito</w:t>
      </w:r>
      <w:r w:rsidRPr="003A1174">
        <w:rPr>
          <w:rFonts w:ascii="Garamond" w:hAnsi="Garamond" w:cs="Arial"/>
          <w:sz w:val="24"/>
          <w:szCs w:val="24"/>
        </w:rPr>
        <w:t xml:space="preserve"> </w:t>
      </w:r>
      <w:r w:rsidR="003F012B" w:rsidRPr="003A1174">
        <w:rPr>
          <w:rFonts w:ascii="Garamond" w:hAnsi="Garamond" w:cs="Arial"/>
          <w:sz w:val="24"/>
          <w:szCs w:val="24"/>
        </w:rPr>
        <w:t xml:space="preserve">tempo </w:t>
      </w:r>
      <w:r w:rsidRPr="003A1174">
        <w:rPr>
          <w:rFonts w:ascii="Garamond" w:hAnsi="Garamond" w:cs="Arial"/>
          <w:sz w:val="24"/>
          <w:szCs w:val="24"/>
        </w:rPr>
        <w:t xml:space="preserve">os </w:t>
      </w:r>
      <w:r w:rsidR="00886D6A" w:rsidRPr="003A1174">
        <w:rPr>
          <w:rFonts w:ascii="Garamond" w:hAnsi="Garamond" w:cs="Arial"/>
          <w:sz w:val="24"/>
          <w:szCs w:val="24"/>
        </w:rPr>
        <w:t>direito</w:t>
      </w:r>
      <w:r w:rsidR="003F012B" w:rsidRPr="003A1174">
        <w:rPr>
          <w:rFonts w:ascii="Garamond" w:hAnsi="Garamond" w:cs="Arial"/>
          <w:sz w:val="24"/>
          <w:szCs w:val="24"/>
        </w:rPr>
        <w:t>s d</w:t>
      </w:r>
      <w:r w:rsidRPr="003A1174">
        <w:rPr>
          <w:rFonts w:ascii="Garamond" w:hAnsi="Garamond" w:cs="Arial"/>
          <w:sz w:val="24"/>
          <w:szCs w:val="24"/>
        </w:rPr>
        <w:t xml:space="preserve">as </w:t>
      </w:r>
      <w:r w:rsidR="00054EE0" w:rsidRPr="003A1174">
        <w:rPr>
          <w:rFonts w:ascii="Garamond" w:hAnsi="Garamond" w:cs="Arial"/>
          <w:sz w:val="24"/>
          <w:szCs w:val="24"/>
        </w:rPr>
        <w:t>mulheres</w:t>
      </w:r>
      <w:r w:rsidRPr="003A1174">
        <w:rPr>
          <w:rFonts w:ascii="Garamond" w:hAnsi="Garamond" w:cs="Arial"/>
          <w:sz w:val="24"/>
          <w:szCs w:val="24"/>
        </w:rPr>
        <w:t xml:space="preserve"> carec</w:t>
      </w:r>
      <w:r w:rsidR="00E539A2" w:rsidRPr="003A1174">
        <w:rPr>
          <w:rFonts w:ascii="Garamond" w:hAnsi="Garamond" w:cs="Arial"/>
          <w:sz w:val="24"/>
          <w:szCs w:val="24"/>
        </w:rPr>
        <w:t xml:space="preserve">eram </w:t>
      </w:r>
      <w:r w:rsidRPr="003A1174">
        <w:rPr>
          <w:rFonts w:ascii="Garamond" w:hAnsi="Garamond" w:cs="Arial"/>
          <w:sz w:val="24"/>
          <w:szCs w:val="24"/>
        </w:rPr>
        <w:t>de especificidad</w:t>
      </w:r>
      <w:r w:rsidR="00E539A2" w:rsidRPr="003A1174">
        <w:rPr>
          <w:rFonts w:ascii="Garamond" w:hAnsi="Garamond" w:cs="Arial"/>
          <w:sz w:val="24"/>
          <w:szCs w:val="24"/>
        </w:rPr>
        <w:t>e</w:t>
      </w:r>
      <w:r w:rsidR="006D3F69" w:rsidRPr="003A1174">
        <w:rPr>
          <w:rFonts w:ascii="Garamond" w:hAnsi="Garamond" w:cs="Arial"/>
          <w:sz w:val="24"/>
          <w:szCs w:val="24"/>
        </w:rPr>
        <w:t>,</w:t>
      </w:r>
      <w:r w:rsidRPr="003A1174">
        <w:rPr>
          <w:rFonts w:ascii="Garamond" w:hAnsi="Garamond" w:cs="Arial"/>
          <w:sz w:val="24"/>
          <w:szCs w:val="24"/>
        </w:rPr>
        <w:t xml:space="preserve"> </w:t>
      </w:r>
      <w:r w:rsidR="00E539A2" w:rsidRPr="003A1174">
        <w:rPr>
          <w:rFonts w:ascii="Garamond" w:hAnsi="Garamond" w:cs="Arial"/>
          <w:sz w:val="24"/>
          <w:szCs w:val="24"/>
        </w:rPr>
        <w:t>sendo,</w:t>
      </w:r>
      <w:r w:rsidRPr="003A1174">
        <w:rPr>
          <w:rFonts w:ascii="Garamond" w:hAnsi="Garamond" w:cs="Arial"/>
          <w:sz w:val="24"/>
          <w:szCs w:val="24"/>
        </w:rPr>
        <w:t xml:space="preserve"> </w:t>
      </w:r>
      <w:r w:rsidR="00E539A2" w:rsidRPr="003A1174">
        <w:rPr>
          <w:rFonts w:ascii="Garamond" w:hAnsi="Garamond" w:cs="Arial"/>
          <w:sz w:val="24"/>
          <w:szCs w:val="24"/>
        </w:rPr>
        <w:t xml:space="preserve">consequentemente, </w:t>
      </w:r>
      <w:r w:rsidRPr="003A1174">
        <w:rPr>
          <w:rFonts w:ascii="Garamond" w:hAnsi="Garamond" w:cs="Arial"/>
          <w:sz w:val="24"/>
          <w:szCs w:val="24"/>
        </w:rPr>
        <w:t xml:space="preserve">protegidos </w:t>
      </w:r>
      <w:r w:rsidR="003F012B" w:rsidRPr="003A1174">
        <w:rPr>
          <w:rFonts w:ascii="Garamond" w:hAnsi="Garamond" w:cs="Arial"/>
          <w:sz w:val="24"/>
          <w:szCs w:val="24"/>
        </w:rPr>
        <w:t xml:space="preserve">apenas pelos </w:t>
      </w:r>
      <w:r w:rsidR="00886D6A" w:rsidRPr="003A1174">
        <w:rPr>
          <w:rFonts w:ascii="Garamond" w:hAnsi="Garamond" w:cs="Arial"/>
          <w:sz w:val="24"/>
          <w:szCs w:val="24"/>
        </w:rPr>
        <w:t>direito</w:t>
      </w:r>
      <w:r w:rsidR="003F012B" w:rsidRPr="003A1174">
        <w:rPr>
          <w:rFonts w:ascii="Garamond" w:hAnsi="Garamond" w:cs="Arial"/>
          <w:sz w:val="24"/>
          <w:szCs w:val="24"/>
        </w:rPr>
        <w:t>s e</w:t>
      </w:r>
      <w:r w:rsidRPr="003A1174">
        <w:rPr>
          <w:rFonts w:ascii="Garamond" w:hAnsi="Garamond" w:cs="Arial"/>
          <w:sz w:val="24"/>
          <w:szCs w:val="24"/>
        </w:rPr>
        <w:t xml:space="preserve"> mecanismos de </w:t>
      </w:r>
      <w:r w:rsidR="00886D6A" w:rsidRPr="003A1174">
        <w:rPr>
          <w:rFonts w:ascii="Garamond" w:hAnsi="Garamond" w:cs="Arial"/>
          <w:sz w:val="24"/>
          <w:szCs w:val="24"/>
        </w:rPr>
        <w:t>proteção</w:t>
      </w:r>
      <w:r w:rsidR="003F012B" w:rsidRPr="003A1174">
        <w:rPr>
          <w:rFonts w:ascii="Garamond" w:hAnsi="Garamond" w:cs="Arial"/>
          <w:sz w:val="24"/>
          <w:szCs w:val="24"/>
        </w:rPr>
        <w:t xml:space="preserve"> d</w:t>
      </w:r>
      <w:r w:rsidR="006D3F69"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s humanos e</w:t>
      </w:r>
      <w:r w:rsidR="003F012B" w:rsidRPr="003A1174">
        <w:rPr>
          <w:rFonts w:ascii="Garamond" w:hAnsi="Garamond" w:cs="Arial"/>
          <w:sz w:val="24"/>
          <w:szCs w:val="24"/>
        </w:rPr>
        <w:t>m</w:t>
      </w:r>
      <w:r w:rsidRPr="003A1174">
        <w:rPr>
          <w:rFonts w:ascii="Garamond" w:hAnsi="Garamond" w:cs="Arial"/>
          <w:sz w:val="24"/>
          <w:szCs w:val="24"/>
        </w:rPr>
        <w:t xml:space="preserve"> </w:t>
      </w:r>
      <w:r w:rsidR="00077461" w:rsidRPr="003A1174">
        <w:rPr>
          <w:rFonts w:ascii="Garamond" w:hAnsi="Garamond" w:cs="Arial"/>
          <w:sz w:val="24"/>
          <w:szCs w:val="24"/>
        </w:rPr>
        <w:t>geral</w:t>
      </w:r>
      <w:r w:rsidRPr="003A1174">
        <w:rPr>
          <w:rFonts w:ascii="Garamond" w:hAnsi="Garamond" w:cs="Arial"/>
          <w:sz w:val="24"/>
          <w:szCs w:val="24"/>
        </w:rPr>
        <w:t xml:space="preserve">. </w:t>
      </w:r>
      <w:r w:rsidR="00E539A2" w:rsidRPr="003A1174">
        <w:rPr>
          <w:rFonts w:ascii="Garamond" w:hAnsi="Garamond" w:cs="Arial"/>
          <w:sz w:val="24"/>
          <w:szCs w:val="24"/>
        </w:rPr>
        <w:t xml:space="preserve">No entanto, é inegável que </w:t>
      </w:r>
      <w:r w:rsidRPr="003A1174">
        <w:rPr>
          <w:rFonts w:ascii="Garamond" w:hAnsi="Garamond" w:cs="Arial"/>
          <w:sz w:val="24"/>
          <w:szCs w:val="24"/>
        </w:rPr>
        <w:t xml:space="preserve">as </w:t>
      </w:r>
      <w:r w:rsidR="00054EE0" w:rsidRPr="003A1174">
        <w:rPr>
          <w:rFonts w:ascii="Garamond" w:hAnsi="Garamond" w:cs="Arial"/>
          <w:sz w:val="24"/>
          <w:szCs w:val="24"/>
        </w:rPr>
        <w:t>mulheres</w:t>
      </w:r>
      <w:r w:rsidRPr="003A1174">
        <w:rPr>
          <w:rFonts w:ascii="Garamond" w:hAnsi="Garamond" w:cs="Arial"/>
          <w:sz w:val="24"/>
          <w:szCs w:val="24"/>
        </w:rPr>
        <w:t xml:space="preserve"> </w:t>
      </w:r>
      <w:r w:rsidR="00E539A2" w:rsidRPr="003A1174">
        <w:rPr>
          <w:rFonts w:ascii="Garamond" w:hAnsi="Garamond" w:cs="Arial"/>
          <w:sz w:val="24"/>
          <w:szCs w:val="24"/>
        </w:rPr>
        <w:t xml:space="preserve">têm sido </w:t>
      </w:r>
      <w:r w:rsidR="00BA3CCE" w:rsidRPr="003A1174">
        <w:rPr>
          <w:rFonts w:ascii="Garamond" w:hAnsi="Garamond" w:cs="Arial"/>
          <w:sz w:val="24"/>
          <w:szCs w:val="24"/>
        </w:rPr>
        <w:t>historicamente</w:t>
      </w:r>
      <w:r w:rsidRPr="003A1174">
        <w:rPr>
          <w:rFonts w:ascii="Garamond" w:hAnsi="Garamond" w:cs="Arial"/>
          <w:sz w:val="24"/>
          <w:szCs w:val="24"/>
        </w:rPr>
        <w:t xml:space="preserve"> discriminadas </w:t>
      </w:r>
      <w:r w:rsidR="00E539A2" w:rsidRPr="003A1174">
        <w:rPr>
          <w:rFonts w:ascii="Garamond" w:hAnsi="Garamond" w:cs="Arial"/>
          <w:sz w:val="24"/>
          <w:szCs w:val="24"/>
        </w:rPr>
        <w:t xml:space="preserve">apenas </w:t>
      </w:r>
      <w:r w:rsidRPr="003A1174">
        <w:rPr>
          <w:rFonts w:ascii="Garamond" w:hAnsi="Garamond" w:cs="Arial"/>
          <w:sz w:val="24"/>
          <w:szCs w:val="24"/>
        </w:rPr>
        <w:t>p</w:t>
      </w:r>
      <w:r w:rsidR="00E539A2" w:rsidRPr="003A1174">
        <w:rPr>
          <w:rFonts w:ascii="Garamond" w:hAnsi="Garamond" w:cs="Arial"/>
          <w:sz w:val="24"/>
          <w:szCs w:val="24"/>
        </w:rPr>
        <w:t xml:space="preserve">elo simples facto de serem </w:t>
      </w:r>
      <w:r w:rsidR="00054EE0" w:rsidRPr="003A1174">
        <w:rPr>
          <w:rFonts w:ascii="Garamond" w:hAnsi="Garamond" w:cs="Arial"/>
          <w:sz w:val="24"/>
          <w:szCs w:val="24"/>
        </w:rPr>
        <w:t>mulheres</w:t>
      </w:r>
      <w:r w:rsidR="006D3F69" w:rsidRPr="003A1174">
        <w:rPr>
          <w:rFonts w:ascii="Garamond" w:hAnsi="Garamond" w:cs="Arial"/>
          <w:sz w:val="24"/>
          <w:szCs w:val="24"/>
        </w:rPr>
        <w:t>,</w:t>
      </w:r>
      <w:r w:rsidRPr="003A1174">
        <w:rPr>
          <w:rFonts w:ascii="Garamond" w:hAnsi="Garamond" w:cs="Arial"/>
          <w:sz w:val="24"/>
          <w:szCs w:val="24"/>
        </w:rPr>
        <w:t xml:space="preserve"> de</w:t>
      </w:r>
      <w:r w:rsidR="00E539A2" w:rsidRPr="003A1174">
        <w:rPr>
          <w:rFonts w:ascii="Garamond" w:hAnsi="Garamond" w:cs="Arial"/>
          <w:sz w:val="24"/>
          <w:szCs w:val="24"/>
        </w:rPr>
        <w:t>v</w:t>
      </w:r>
      <w:r w:rsidRPr="003A1174">
        <w:rPr>
          <w:rFonts w:ascii="Garamond" w:hAnsi="Garamond" w:cs="Arial"/>
          <w:sz w:val="24"/>
          <w:szCs w:val="24"/>
        </w:rPr>
        <w:t xml:space="preserve">ido a </w:t>
      </w:r>
      <w:r w:rsidR="003F012B" w:rsidRPr="003A1174">
        <w:rPr>
          <w:rFonts w:ascii="Garamond" w:hAnsi="Garamond" w:cs="Arial"/>
          <w:sz w:val="24"/>
          <w:szCs w:val="24"/>
        </w:rPr>
        <w:t>padrões</w:t>
      </w:r>
      <w:r w:rsidR="007516F5" w:rsidRPr="003A1174">
        <w:rPr>
          <w:rFonts w:ascii="Garamond" w:hAnsi="Garamond" w:cs="Arial"/>
          <w:sz w:val="24"/>
          <w:szCs w:val="24"/>
        </w:rPr>
        <w:t xml:space="preserve"> </w:t>
      </w:r>
      <w:r w:rsidR="003F012B" w:rsidRPr="003A1174">
        <w:rPr>
          <w:rFonts w:ascii="Garamond" w:hAnsi="Garamond" w:cs="Arial"/>
          <w:sz w:val="24"/>
          <w:szCs w:val="24"/>
        </w:rPr>
        <w:t>sociais</w:t>
      </w:r>
      <w:r w:rsidR="00E539A2" w:rsidRPr="003A1174">
        <w:rPr>
          <w:rFonts w:ascii="Garamond" w:hAnsi="Garamond" w:cs="Arial"/>
          <w:sz w:val="24"/>
          <w:szCs w:val="24"/>
        </w:rPr>
        <w:t xml:space="preserve"> e</w:t>
      </w:r>
      <w:r w:rsidRPr="003A1174">
        <w:rPr>
          <w:rFonts w:ascii="Garamond" w:hAnsi="Garamond" w:cs="Arial"/>
          <w:sz w:val="24"/>
          <w:szCs w:val="24"/>
        </w:rPr>
        <w:t xml:space="preserve"> culturalmente </w:t>
      </w:r>
      <w:r w:rsidR="00E539A2" w:rsidRPr="003A1174">
        <w:rPr>
          <w:rFonts w:ascii="Garamond" w:hAnsi="Garamond" w:cs="Arial"/>
          <w:sz w:val="24"/>
          <w:szCs w:val="24"/>
        </w:rPr>
        <w:t xml:space="preserve">enraizados nas </w:t>
      </w:r>
      <w:r w:rsidR="00F520D6" w:rsidRPr="003A1174">
        <w:rPr>
          <w:rFonts w:ascii="Garamond" w:hAnsi="Garamond" w:cs="Arial"/>
          <w:sz w:val="24"/>
          <w:szCs w:val="24"/>
        </w:rPr>
        <w:t xml:space="preserve">diversas sociedades que </w:t>
      </w:r>
      <w:r w:rsidRPr="003A1174">
        <w:rPr>
          <w:rFonts w:ascii="Garamond" w:hAnsi="Garamond" w:cs="Arial"/>
          <w:sz w:val="24"/>
          <w:szCs w:val="24"/>
        </w:rPr>
        <w:t>as considera</w:t>
      </w:r>
      <w:r w:rsidR="00F520D6" w:rsidRPr="003A1174">
        <w:rPr>
          <w:rFonts w:ascii="Garamond" w:hAnsi="Garamond" w:cs="Arial"/>
          <w:sz w:val="24"/>
          <w:szCs w:val="24"/>
        </w:rPr>
        <w:t>m</w:t>
      </w:r>
      <w:r w:rsidRPr="003A1174">
        <w:rPr>
          <w:rFonts w:ascii="Garamond" w:hAnsi="Garamond" w:cs="Arial"/>
          <w:sz w:val="24"/>
          <w:szCs w:val="24"/>
        </w:rPr>
        <w:t xml:space="preserve"> como inferiores o</w:t>
      </w:r>
      <w:r w:rsidR="00E539A2" w:rsidRPr="003A1174">
        <w:rPr>
          <w:rFonts w:ascii="Garamond" w:hAnsi="Garamond" w:cs="Arial"/>
          <w:sz w:val="24"/>
          <w:szCs w:val="24"/>
        </w:rPr>
        <w:t>u</w:t>
      </w:r>
      <w:r w:rsidRPr="003A1174">
        <w:rPr>
          <w:rFonts w:ascii="Garamond" w:hAnsi="Garamond" w:cs="Arial"/>
          <w:sz w:val="24"/>
          <w:szCs w:val="24"/>
        </w:rPr>
        <w:t xml:space="preserve"> subordinadas a</w:t>
      </w:r>
      <w:r w:rsidR="00E539A2" w:rsidRPr="003A1174">
        <w:rPr>
          <w:rFonts w:ascii="Garamond" w:hAnsi="Garamond" w:cs="Arial"/>
          <w:sz w:val="24"/>
          <w:szCs w:val="24"/>
        </w:rPr>
        <w:t>o</w:t>
      </w:r>
      <w:r w:rsidRPr="003A1174">
        <w:rPr>
          <w:rFonts w:ascii="Garamond" w:hAnsi="Garamond" w:cs="Arial"/>
          <w:sz w:val="24"/>
          <w:szCs w:val="24"/>
        </w:rPr>
        <w:t xml:space="preserve"> </w:t>
      </w:r>
      <w:r w:rsidR="00253B1D" w:rsidRPr="003A1174">
        <w:rPr>
          <w:rFonts w:ascii="Garamond" w:hAnsi="Garamond" w:cs="Arial"/>
          <w:sz w:val="24"/>
          <w:szCs w:val="24"/>
        </w:rPr>
        <w:t>controlo</w:t>
      </w:r>
      <w:r w:rsidRPr="003A1174">
        <w:rPr>
          <w:rFonts w:ascii="Garamond" w:hAnsi="Garamond" w:cs="Arial"/>
          <w:sz w:val="24"/>
          <w:szCs w:val="24"/>
        </w:rPr>
        <w:t xml:space="preserve"> masculino. </w:t>
      </w:r>
      <w:r w:rsidR="00E539A2" w:rsidRPr="003A1174">
        <w:rPr>
          <w:rFonts w:ascii="Garamond" w:hAnsi="Garamond" w:cs="Arial"/>
          <w:sz w:val="24"/>
          <w:szCs w:val="24"/>
        </w:rPr>
        <w:t xml:space="preserve">Esta </w:t>
      </w:r>
      <w:r w:rsidR="0017447A" w:rsidRPr="003A1174">
        <w:rPr>
          <w:rFonts w:ascii="Garamond" w:hAnsi="Garamond" w:cs="Arial"/>
          <w:sz w:val="24"/>
          <w:szCs w:val="24"/>
        </w:rPr>
        <w:t>situação</w:t>
      </w:r>
      <w:r w:rsidR="001E39B7" w:rsidRPr="003A1174">
        <w:rPr>
          <w:rFonts w:ascii="Garamond" w:hAnsi="Garamond" w:cs="Arial"/>
          <w:sz w:val="24"/>
          <w:szCs w:val="24"/>
        </w:rPr>
        <w:t xml:space="preserve"> de </w:t>
      </w:r>
      <w:r w:rsidR="0017447A" w:rsidRPr="003A1174">
        <w:rPr>
          <w:rFonts w:ascii="Garamond" w:hAnsi="Garamond" w:cs="Arial"/>
          <w:sz w:val="24"/>
          <w:szCs w:val="24"/>
        </w:rPr>
        <w:t>discriminação</w:t>
      </w:r>
      <w:r w:rsidR="001E39B7" w:rsidRPr="003A1174">
        <w:rPr>
          <w:rFonts w:ascii="Garamond" w:hAnsi="Garamond" w:cs="Arial"/>
          <w:sz w:val="24"/>
          <w:szCs w:val="24"/>
        </w:rPr>
        <w:t xml:space="preserve"> </w:t>
      </w:r>
      <w:r w:rsidR="00E539A2" w:rsidRPr="003A1174">
        <w:rPr>
          <w:rFonts w:ascii="Garamond" w:hAnsi="Garamond" w:cs="Arial"/>
          <w:sz w:val="24"/>
          <w:szCs w:val="24"/>
        </w:rPr>
        <w:t>e</w:t>
      </w:r>
      <w:r w:rsidR="0032581D" w:rsidRPr="003A1174">
        <w:rPr>
          <w:rFonts w:ascii="Garamond" w:hAnsi="Garamond" w:cs="Arial"/>
          <w:sz w:val="24"/>
          <w:szCs w:val="24"/>
        </w:rPr>
        <w:t xml:space="preserve"> des</w:t>
      </w:r>
      <w:r w:rsidR="002C7510" w:rsidRPr="003A1174">
        <w:rPr>
          <w:rFonts w:ascii="Garamond" w:hAnsi="Garamond" w:cs="Arial"/>
          <w:sz w:val="24"/>
          <w:szCs w:val="24"/>
        </w:rPr>
        <w:t>igualdade</w:t>
      </w:r>
      <w:r w:rsidR="0032581D" w:rsidRPr="003A1174">
        <w:rPr>
          <w:rFonts w:ascii="Garamond" w:hAnsi="Garamond" w:cs="Arial"/>
          <w:sz w:val="24"/>
          <w:szCs w:val="24"/>
        </w:rPr>
        <w:t xml:space="preserve"> por motivos de </w:t>
      </w:r>
      <w:r w:rsidR="00C031E1" w:rsidRPr="003A1174">
        <w:rPr>
          <w:rFonts w:ascii="Garamond" w:hAnsi="Garamond" w:cs="Arial"/>
          <w:sz w:val="24"/>
          <w:szCs w:val="24"/>
        </w:rPr>
        <w:t>género</w:t>
      </w:r>
      <w:r w:rsidR="001E39B7" w:rsidRPr="003A1174">
        <w:rPr>
          <w:rFonts w:ascii="Garamond" w:hAnsi="Garamond" w:cs="Arial"/>
          <w:sz w:val="24"/>
          <w:szCs w:val="24"/>
        </w:rPr>
        <w:t xml:space="preserve"> agrava</w:t>
      </w:r>
      <w:r w:rsidR="00E539A2" w:rsidRPr="003A1174">
        <w:rPr>
          <w:rFonts w:ascii="Garamond" w:hAnsi="Garamond" w:cs="Arial"/>
          <w:sz w:val="24"/>
          <w:szCs w:val="24"/>
        </w:rPr>
        <w:t xml:space="preserve">-se devido a </w:t>
      </w:r>
      <w:r w:rsidR="001E39B7" w:rsidRPr="003A1174">
        <w:rPr>
          <w:rFonts w:ascii="Garamond" w:hAnsi="Garamond" w:cs="Arial"/>
          <w:sz w:val="24"/>
          <w:szCs w:val="24"/>
        </w:rPr>
        <w:t>o</w:t>
      </w:r>
      <w:r w:rsidR="00E539A2" w:rsidRPr="003A1174">
        <w:rPr>
          <w:rFonts w:ascii="Garamond" w:hAnsi="Garamond" w:cs="Arial"/>
          <w:sz w:val="24"/>
          <w:szCs w:val="24"/>
        </w:rPr>
        <w:t>u</w:t>
      </w:r>
      <w:r w:rsidR="001E39B7" w:rsidRPr="003A1174">
        <w:rPr>
          <w:rFonts w:ascii="Garamond" w:hAnsi="Garamond" w:cs="Arial"/>
          <w:sz w:val="24"/>
          <w:szCs w:val="24"/>
        </w:rPr>
        <w:t>tro tipo de discrim</w:t>
      </w:r>
      <w:r w:rsidR="00C031E1" w:rsidRPr="003A1174">
        <w:rPr>
          <w:rFonts w:ascii="Garamond" w:hAnsi="Garamond" w:cs="Arial"/>
          <w:sz w:val="24"/>
          <w:szCs w:val="24"/>
        </w:rPr>
        <w:t>i</w:t>
      </w:r>
      <w:r w:rsidR="003F012B" w:rsidRPr="003A1174">
        <w:rPr>
          <w:rFonts w:ascii="Garamond" w:hAnsi="Garamond" w:cs="Arial"/>
          <w:sz w:val="24"/>
          <w:szCs w:val="24"/>
        </w:rPr>
        <w:t>nações</w:t>
      </w:r>
      <w:r w:rsidR="00C031E1" w:rsidRPr="003A1174">
        <w:rPr>
          <w:rFonts w:ascii="Garamond" w:hAnsi="Garamond" w:cs="Arial"/>
          <w:sz w:val="24"/>
          <w:szCs w:val="24"/>
        </w:rPr>
        <w:t xml:space="preserve"> </w:t>
      </w:r>
      <w:r w:rsidR="00297367" w:rsidRPr="003A1174">
        <w:rPr>
          <w:rFonts w:ascii="Garamond" w:hAnsi="Garamond" w:cs="Arial"/>
          <w:sz w:val="24"/>
          <w:szCs w:val="24"/>
        </w:rPr>
        <w:t xml:space="preserve">relativas </w:t>
      </w:r>
      <w:r w:rsidR="00E539A2" w:rsidRPr="003A1174">
        <w:rPr>
          <w:rFonts w:ascii="Garamond" w:hAnsi="Garamond" w:cs="Arial"/>
          <w:sz w:val="24"/>
          <w:szCs w:val="24"/>
        </w:rPr>
        <w:t xml:space="preserve">à </w:t>
      </w:r>
      <w:r w:rsidR="001E39B7" w:rsidRPr="003A1174">
        <w:rPr>
          <w:rFonts w:ascii="Garamond" w:hAnsi="Garamond" w:cs="Arial"/>
          <w:sz w:val="24"/>
          <w:szCs w:val="24"/>
        </w:rPr>
        <w:t>orige</w:t>
      </w:r>
      <w:r w:rsidR="00E539A2" w:rsidRPr="003A1174">
        <w:rPr>
          <w:rFonts w:ascii="Garamond" w:hAnsi="Garamond" w:cs="Arial"/>
          <w:sz w:val="24"/>
          <w:szCs w:val="24"/>
        </w:rPr>
        <w:t>m</w:t>
      </w:r>
      <w:r w:rsidR="001E39B7" w:rsidRPr="003A1174">
        <w:rPr>
          <w:rFonts w:ascii="Garamond" w:hAnsi="Garamond" w:cs="Arial"/>
          <w:sz w:val="24"/>
          <w:szCs w:val="24"/>
        </w:rPr>
        <w:t xml:space="preserve"> nacional, </w:t>
      </w:r>
      <w:r w:rsidR="00E539A2" w:rsidRPr="003A1174">
        <w:rPr>
          <w:rFonts w:ascii="Garamond" w:hAnsi="Garamond" w:cs="Arial"/>
          <w:sz w:val="24"/>
          <w:szCs w:val="24"/>
        </w:rPr>
        <w:t xml:space="preserve">à </w:t>
      </w:r>
      <w:r w:rsidR="001E39B7" w:rsidRPr="003A1174">
        <w:rPr>
          <w:rFonts w:ascii="Garamond" w:hAnsi="Garamond" w:cs="Arial"/>
          <w:sz w:val="24"/>
          <w:szCs w:val="24"/>
        </w:rPr>
        <w:t>etnia o</w:t>
      </w:r>
      <w:r w:rsidR="00E539A2" w:rsidRPr="003A1174">
        <w:rPr>
          <w:rFonts w:ascii="Garamond" w:hAnsi="Garamond" w:cs="Arial"/>
          <w:sz w:val="24"/>
          <w:szCs w:val="24"/>
        </w:rPr>
        <w:t xml:space="preserve">u à </w:t>
      </w:r>
      <w:r w:rsidR="004E3A1A" w:rsidRPr="003A1174">
        <w:rPr>
          <w:rFonts w:ascii="Garamond" w:hAnsi="Garamond" w:cs="Arial"/>
          <w:sz w:val="24"/>
          <w:szCs w:val="24"/>
        </w:rPr>
        <w:t>condição</w:t>
      </w:r>
      <w:r w:rsidR="001E39B7" w:rsidRPr="003A1174">
        <w:rPr>
          <w:rFonts w:ascii="Garamond" w:hAnsi="Garamond" w:cs="Arial"/>
          <w:sz w:val="24"/>
          <w:szCs w:val="24"/>
        </w:rPr>
        <w:t xml:space="preserve"> socioeconómica</w:t>
      </w:r>
      <w:r w:rsidR="00297367" w:rsidRPr="003A1174">
        <w:rPr>
          <w:rFonts w:ascii="Garamond" w:hAnsi="Garamond" w:cs="Arial"/>
          <w:sz w:val="24"/>
          <w:szCs w:val="24"/>
        </w:rPr>
        <w:t>,</w:t>
      </w:r>
      <w:r w:rsidR="001E39B7" w:rsidRPr="003A1174">
        <w:rPr>
          <w:rFonts w:ascii="Garamond" w:hAnsi="Garamond" w:cs="Arial"/>
          <w:sz w:val="24"/>
          <w:szCs w:val="24"/>
        </w:rPr>
        <w:t xml:space="preserve"> </w:t>
      </w:r>
      <w:r w:rsidR="00F520D6" w:rsidRPr="003A1174">
        <w:rPr>
          <w:rFonts w:ascii="Garamond" w:hAnsi="Garamond" w:cs="Arial"/>
          <w:sz w:val="24"/>
          <w:szCs w:val="24"/>
        </w:rPr>
        <w:t>pois a</w:t>
      </w:r>
      <w:r w:rsidR="00C713EC" w:rsidRPr="003A1174">
        <w:rPr>
          <w:rFonts w:ascii="Garamond" w:hAnsi="Garamond" w:cs="Arial"/>
          <w:sz w:val="24"/>
          <w:szCs w:val="24"/>
        </w:rPr>
        <w:t xml:space="preserve">s </w:t>
      </w:r>
      <w:r w:rsidR="00054EE0" w:rsidRPr="003A1174">
        <w:rPr>
          <w:rFonts w:ascii="Garamond" w:hAnsi="Garamond" w:cs="Arial"/>
          <w:sz w:val="24"/>
          <w:szCs w:val="24"/>
        </w:rPr>
        <w:t>mulheres</w:t>
      </w:r>
      <w:r w:rsidR="00C713EC" w:rsidRPr="003A1174">
        <w:rPr>
          <w:rFonts w:ascii="Garamond" w:hAnsi="Garamond" w:cs="Arial"/>
          <w:sz w:val="24"/>
          <w:szCs w:val="24"/>
        </w:rPr>
        <w:t xml:space="preserve"> </w:t>
      </w:r>
      <w:r w:rsidR="00F520D6" w:rsidRPr="003A1174">
        <w:rPr>
          <w:rFonts w:ascii="Garamond" w:hAnsi="Garamond" w:cs="Arial"/>
          <w:sz w:val="24"/>
          <w:szCs w:val="24"/>
        </w:rPr>
        <w:t xml:space="preserve">não têm </w:t>
      </w:r>
      <w:r w:rsidR="001E39B7" w:rsidRPr="003A1174">
        <w:rPr>
          <w:rFonts w:ascii="Garamond" w:hAnsi="Garamond" w:cs="Arial"/>
          <w:sz w:val="24"/>
          <w:szCs w:val="24"/>
        </w:rPr>
        <w:t>u</w:t>
      </w:r>
      <w:r w:rsidR="00F520D6" w:rsidRPr="003A1174">
        <w:rPr>
          <w:rFonts w:ascii="Garamond" w:hAnsi="Garamond" w:cs="Arial"/>
          <w:sz w:val="24"/>
          <w:szCs w:val="24"/>
        </w:rPr>
        <w:t>m</w:t>
      </w:r>
      <w:r w:rsidR="001E39B7" w:rsidRPr="003A1174">
        <w:rPr>
          <w:rFonts w:ascii="Garamond" w:hAnsi="Garamond" w:cs="Arial"/>
          <w:sz w:val="24"/>
          <w:szCs w:val="24"/>
        </w:rPr>
        <w:t xml:space="preserve"> </w:t>
      </w:r>
      <w:r w:rsidR="00886D6A" w:rsidRPr="003A1174">
        <w:rPr>
          <w:rFonts w:ascii="Garamond" w:hAnsi="Garamond" w:cs="Arial"/>
          <w:sz w:val="24"/>
          <w:szCs w:val="24"/>
        </w:rPr>
        <w:t>acesso</w:t>
      </w:r>
      <w:r w:rsidR="001E39B7" w:rsidRPr="003A1174">
        <w:rPr>
          <w:rFonts w:ascii="Garamond" w:hAnsi="Garamond" w:cs="Arial"/>
          <w:sz w:val="24"/>
          <w:szCs w:val="24"/>
        </w:rPr>
        <w:t xml:space="preserve"> equitativo </w:t>
      </w:r>
      <w:r w:rsidR="00F520D6" w:rsidRPr="003A1174">
        <w:rPr>
          <w:rFonts w:ascii="Garamond" w:hAnsi="Garamond" w:cs="Arial"/>
          <w:sz w:val="24"/>
          <w:szCs w:val="24"/>
        </w:rPr>
        <w:t xml:space="preserve">à </w:t>
      </w:r>
      <w:r w:rsidR="00886D6A" w:rsidRPr="003A1174">
        <w:rPr>
          <w:rFonts w:ascii="Garamond" w:hAnsi="Garamond" w:cs="Arial"/>
          <w:sz w:val="24"/>
          <w:szCs w:val="24"/>
        </w:rPr>
        <w:t>proteção</w:t>
      </w:r>
      <w:r w:rsidR="001E39B7" w:rsidRPr="003A1174">
        <w:rPr>
          <w:rFonts w:ascii="Garamond" w:hAnsi="Garamond" w:cs="Arial"/>
          <w:sz w:val="24"/>
          <w:szCs w:val="24"/>
        </w:rPr>
        <w:t xml:space="preserve"> d</w:t>
      </w:r>
      <w:r w:rsidR="00F520D6" w:rsidRPr="003A1174">
        <w:rPr>
          <w:rFonts w:ascii="Garamond" w:hAnsi="Garamond" w:cs="Arial"/>
          <w:sz w:val="24"/>
          <w:szCs w:val="24"/>
        </w:rPr>
        <w:t>o</w:t>
      </w:r>
      <w:r w:rsidR="001E39B7" w:rsidRPr="003A1174">
        <w:rPr>
          <w:rFonts w:ascii="Garamond" w:hAnsi="Garamond" w:cs="Arial"/>
          <w:sz w:val="24"/>
          <w:szCs w:val="24"/>
        </w:rPr>
        <w:t xml:space="preserve"> Estado</w:t>
      </w:r>
      <w:r w:rsidR="00297367" w:rsidRPr="003A1174">
        <w:rPr>
          <w:rFonts w:ascii="Garamond" w:hAnsi="Garamond" w:cs="Arial"/>
          <w:sz w:val="24"/>
          <w:szCs w:val="24"/>
        </w:rPr>
        <w:t xml:space="preserve">. Por esta </w:t>
      </w:r>
      <w:r w:rsidR="004E3A1A" w:rsidRPr="003A1174">
        <w:rPr>
          <w:rFonts w:ascii="Garamond" w:hAnsi="Garamond" w:cs="Arial"/>
          <w:sz w:val="24"/>
          <w:szCs w:val="24"/>
        </w:rPr>
        <w:t>razão</w:t>
      </w:r>
      <w:r w:rsidR="00297367" w:rsidRPr="003A1174">
        <w:rPr>
          <w:rFonts w:ascii="Garamond" w:hAnsi="Garamond" w:cs="Arial"/>
          <w:sz w:val="24"/>
          <w:szCs w:val="24"/>
        </w:rPr>
        <w:t xml:space="preserve">, </w:t>
      </w:r>
      <w:r w:rsidR="001E39B7" w:rsidRPr="003A1174">
        <w:rPr>
          <w:rFonts w:ascii="Garamond" w:hAnsi="Garamond" w:cs="Arial"/>
          <w:sz w:val="24"/>
          <w:szCs w:val="24"/>
        </w:rPr>
        <w:t xml:space="preserve">as </w:t>
      </w:r>
      <w:r w:rsidR="00054EE0" w:rsidRPr="003A1174">
        <w:rPr>
          <w:rFonts w:ascii="Garamond" w:hAnsi="Garamond" w:cs="Arial"/>
          <w:sz w:val="24"/>
          <w:szCs w:val="24"/>
        </w:rPr>
        <w:t>mulheres</w:t>
      </w:r>
      <w:r w:rsidR="001E39B7" w:rsidRPr="003A1174">
        <w:rPr>
          <w:rFonts w:ascii="Garamond" w:hAnsi="Garamond" w:cs="Arial"/>
          <w:sz w:val="24"/>
          <w:szCs w:val="24"/>
        </w:rPr>
        <w:t xml:space="preserve"> pobres, migrantes e indígenas </w:t>
      </w:r>
      <w:r w:rsidR="00297367" w:rsidRPr="003A1174">
        <w:rPr>
          <w:rFonts w:ascii="Garamond" w:hAnsi="Garamond" w:cs="Arial"/>
          <w:sz w:val="24"/>
          <w:szCs w:val="24"/>
        </w:rPr>
        <w:t>s</w:t>
      </w:r>
      <w:r w:rsidR="00F520D6" w:rsidRPr="003A1174">
        <w:rPr>
          <w:rFonts w:ascii="Garamond" w:hAnsi="Garamond" w:cs="Arial"/>
          <w:sz w:val="24"/>
          <w:szCs w:val="24"/>
        </w:rPr>
        <w:t>ão as mai</w:t>
      </w:r>
      <w:r w:rsidR="001E39B7" w:rsidRPr="003A1174">
        <w:rPr>
          <w:rFonts w:ascii="Garamond" w:hAnsi="Garamond" w:cs="Arial"/>
          <w:sz w:val="24"/>
          <w:szCs w:val="24"/>
        </w:rPr>
        <w:t xml:space="preserve">s </w:t>
      </w:r>
      <w:r w:rsidR="003F012B" w:rsidRPr="003A1174">
        <w:rPr>
          <w:rFonts w:ascii="Garamond" w:hAnsi="Garamond" w:cs="Arial"/>
          <w:sz w:val="24"/>
          <w:szCs w:val="24"/>
        </w:rPr>
        <w:t>vulneráveis</w:t>
      </w:r>
      <w:r w:rsidR="00F520D6" w:rsidRPr="003A1174">
        <w:rPr>
          <w:rFonts w:ascii="Garamond" w:hAnsi="Garamond" w:cs="Arial"/>
          <w:sz w:val="24"/>
          <w:szCs w:val="24"/>
        </w:rPr>
        <w:t xml:space="preserve"> entre </w:t>
      </w:r>
      <w:r w:rsidR="001E39B7" w:rsidRPr="003A1174">
        <w:rPr>
          <w:rFonts w:ascii="Garamond" w:hAnsi="Garamond" w:cs="Arial"/>
          <w:sz w:val="24"/>
          <w:szCs w:val="24"/>
        </w:rPr>
        <w:t xml:space="preserve">as </w:t>
      </w:r>
      <w:r w:rsidR="003F012B" w:rsidRPr="003A1174">
        <w:rPr>
          <w:rFonts w:ascii="Garamond" w:hAnsi="Garamond" w:cs="Arial"/>
          <w:sz w:val="24"/>
          <w:szCs w:val="24"/>
        </w:rPr>
        <w:t>vulneráveis</w:t>
      </w:r>
      <w:r w:rsidR="001E39B7" w:rsidRPr="003A1174">
        <w:rPr>
          <w:rFonts w:ascii="Garamond" w:hAnsi="Garamond" w:cs="Arial"/>
          <w:sz w:val="24"/>
          <w:szCs w:val="24"/>
        </w:rPr>
        <w:t xml:space="preserve">.  </w:t>
      </w:r>
    </w:p>
    <w:p w:rsidR="00A132B3" w:rsidRPr="003A1174" w:rsidRDefault="00F520D6" w:rsidP="008719D4">
      <w:pPr>
        <w:spacing w:line="240" w:lineRule="auto"/>
        <w:jc w:val="both"/>
        <w:rPr>
          <w:rFonts w:ascii="Garamond" w:hAnsi="Garamond" w:cs="Arial"/>
          <w:sz w:val="24"/>
          <w:szCs w:val="24"/>
        </w:rPr>
      </w:pPr>
      <w:r w:rsidRPr="003A1174">
        <w:rPr>
          <w:rFonts w:ascii="Garamond" w:hAnsi="Garamond" w:cs="Arial"/>
          <w:sz w:val="24"/>
          <w:szCs w:val="24"/>
        </w:rPr>
        <w:t xml:space="preserve">Perante </w:t>
      </w:r>
      <w:r w:rsidR="00A132B3" w:rsidRPr="003A1174">
        <w:rPr>
          <w:rFonts w:ascii="Garamond" w:hAnsi="Garamond" w:cs="Arial"/>
          <w:sz w:val="24"/>
          <w:szCs w:val="24"/>
        </w:rPr>
        <w:t xml:space="preserve">tal </w:t>
      </w:r>
      <w:r w:rsidR="0017447A" w:rsidRPr="003A1174">
        <w:rPr>
          <w:rFonts w:ascii="Garamond" w:hAnsi="Garamond" w:cs="Arial"/>
          <w:sz w:val="24"/>
          <w:szCs w:val="24"/>
        </w:rPr>
        <w:t>situação</w:t>
      </w:r>
      <w:r w:rsidR="00A132B3" w:rsidRPr="003A1174">
        <w:rPr>
          <w:rFonts w:ascii="Garamond" w:hAnsi="Garamond" w:cs="Arial"/>
          <w:sz w:val="24"/>
          <w:szCs w:val="24"/>
        </w:rPr>
        <w:t>, d</w:t>
      </w:r>
      <w:r w:rsidR="00024913" w:rsidRPr="003A1174">
        <w:rPr>
          <w:rFonts w:ascii="Garamond" w:hAnsi="Garamond" w:cs="Arial"/>
          <w:sz w:val="24"/>
          <w:szCs w:val="24"/>
        </w:rPr>
        <w:t xml:space="preserve">e uma </w:t>
      </w:r>
      <w:r w:rsidR="00D96FD0" w:rsidRPr="003A1174">
        <w:rPr>
          <w:rFonts w:ascii="Garamond" w:hAnsi="Garamond" w:cs="Arial"/>
          <w:sz w:val="24"/>
          <w:szCs w:val="24"/>
        </w:rPr>
        <w:t>racionalidade</w:t>
      </w:r>
      <w:r w:rsidR="00A132B3" w:rsidRPr="003A1174">
        <w:rPr>
          <w:rFonts w:ascii="Garamond" w:hAnsi="Garamond" w:cs="Arial"/>
          <w:sz w:val="24"/>
          <w:szCs w:val="24"/>
        </w:rPr>
        <w:t xml:space="preserve"> de </w:t>
      </w:r>
      <w:r w:rsidR="008843FD" w:rsidRPr="003A1174">
        <w:rPr>
          <w:rFonts w:ascii="Garamond" w:hAnsi="Garamond" w:cs="Arial"/>
          <w:sz w:val="24"/>
          <w:szCs w:val="24"/>
        </w:rPr>
        <w:t>respeito</w:t>
      </w:r>
      <w:r w:rsidR="00A132B3" w:rsidRPr="003A1174">
        <w:rPr>
          <w:rFonts w:ascii="Garamond" w:hAnsi="Garamond" w:cs="Arial"/>
          <w:sz w:val="24"/>
          <w:szCs w:val="24"/>
        </w:rPr>
        <w:t xml:space="preserve"> </w:t>
      </w:r>
      <w:r w:rsidRPr="003A1174">
        <w:rPr>
          <w:rFonts w:ascii="Garamond" w:hAnsi="Garamond" w:cs="Arial"/>
          <w:sz w:val="24"/>
          <w:szCs w:val="24"/>
        </w:rPr>
        <w:t>e</w:t>
      </w:r>
      <w:r w:rsidR="00A132B3" w:rsidRPr="003A1174">
        <w:rPr>
          <w:rFonts w:ascii="Garamond" w:hAnsi="Garamond" w:cs="Arial"/>
          <w:sz w:val="24"/>
          <w:szCs w:val="24"/>
        </w:rPr>
        <w:t xml:space="preserve"> </w:t>
      </w:r>
      <w:r w:rsidR="002F5CD1" w:rsidRPr="003A1174">
        <w:rPr>
          <w:rFonts w:ascii="Garamond" w:hAnsi="Garamond" w:cs="Arial"/>
          <w:sz w:val="24"/>
          <w:szCs w:val="24"/>
        </w:rPr>
        <w:t>promoção</w:t>
      </w:r>
      <w:r w:rsidRPr="003A1174">
        <w:rPr>
          <w:rFonts w:ascii="Garamond" w:hAnsi="Garamond" w:cs="Arial"/>
          <w:sz w:val="24"/>
          <w:szCs w:val="24"/>
        </w:rPr>
        <w:t xml:space="preserve"> d</w:t>
      </w:r>
      <w:r w:rsidR="00A132B3" w:rsidRPr="003A1174">
        <w:rPr>
          <w:rFonts w:ascii="Garamond" w:hAnsi="Garamond" w:cs="Arial"/>
          <w:sz w:val="24"/>
          <w:szCs w:val="24"/>
        </w:rPr>
        <w:t xml:space="preserve">os </w:t>
      </w:r>
      <w:r w:rsidR="00886D6A" w:rsidRPr="003A1174">
        <w:rPr>
          <w:rFonts w:ascii="Garamond" w:hAnsi="Garamond" w:cs="Arial"/>
          <w:sz w:val="24"/>
          <w:szCs w:val="24"/>
        </w:rPr>
        <w:t>direito</w:t>
      </w:r>
      <w:r w:rsidR="00A132B3" w:rsidRPr="003A1174">
        <w:rPr>
          <w:rFonts w:ascii="Garamond" w:hAnsi="Garamond" w:cs="Arial"/>
          <w:sz w:val="24"/>
          <w:szCs w:val="24"/>
        </w:rPr>
        <w:t xml:space="preserve">s humanos </w:t>
      </w:r>
      <w:r w:rsidRPr="003A1174">
        <w:rPr>
          <w:rFonts w:ascii="Garamond" w:hAnsi="Garamond" w:cs="Arial"/>
          <w:sz w:val="24"/>
          <w:szCs w:val="24"/>
        </w:rPr>
        <w:t>a</w:t>
      </w:r>
      <w:r w:rsidR="00A132B3" w:rsidRPr="003A1174">
        <w:rPr>
          <w:rFonts w:ascii="Garamond" w:hAnsi="Garamond" w:cs="Arial"/>
          <w:sz w:val="24"/>
          <w:szCs w:val="24"/>
        </w:rPr>
        <w:t>presenta</w:t>
      </w:r>
      <w:r w:rsidRPr="003A1174">
        <w:rPr>
          <w:rFonts w:ascii="Garamond" w:hAnsi="Garamond" w:cs="Arial"/>
          <w:sz w:val="24"/>
          <w:szCs w:val="24"/>
        </w:rPr>
        <w:t xml:space="preserve">-se uma </w:t>
      </w:r>
      <w:r w:rsidR="00A132B3" w:rsidRPr="003A1174">
        <w:rPr>
          <w:rFonts w:ascii="Garamond" w:hAnsi="Garamond" w:cs="Arial"/>
          <w:sz w:val="24"/>
          <w:szCs w:val="24"/>
        </w:rPr>
        <w:t xml:space="preserve">clara </w:t>
      </w:r>
      <w:r w:rsidRPr="003A1174">
        <w:rPr>
          <w:rFonts w:ascii="Garamond" w:hAnsi="Garamond" w:cs="Arial"/>
          <w:sz w:val="24"/>
          <w:szCs w:val="24"/>
        </w:rPr>
        <w:t>tendência</w:t>
      </w:r>
      <w:r w:rsidR="00A132B3" w:rsidRPr="003A1174">
        <w:rPr>
          <w:rFonts w:ascii="Garamond" w:hAnsi="Garamond" w:cs="Arial"/>
          <w:sz w:val="24"/>
          <w:szCs w:val="24"/>
        </w:rPr>
        <w:t xml:space="preserve"> </w:t>
      </w:r>
      <w:r w:rsidR="00BB2B00" w:rsidRPr="003A1174">
        <w:rPr>
          <w:rFonts w:ascii="Garamond" w:hAnsi="Garamond" w:cs="Arial"/>
          <w:sz w:val="24"/>
          <w:szCs w:val="24"/>
        </w:rPr>
        <w:t>à</w:t>
      </w:r>
      <w:r w:rsidR="00A132B3" w:rsidRPr="003A1174">
        <w:rPr>
          <w:rFonts w:ascii="Garamond" w:hAnsi="Garamond" w:cs="Arial"/>
          <w:sz w:val="24"/>
          <w:szCs w:val="24"/>
        </w:rPr>
        <w:t xml:space="preserve"> </w:t>
      </w:r>
      <w:r w:rsidRPr="003A1174">
        <w:rPr>
          <w:rFonts w:ascii="Garamond" w:hAnsi="Garamond" w:cs="Arial"/>
          <w:sz w:val="24"/>
          <w:szCs w:val="24"/>
        </w:rPr>
        <w:t>afirmação</w:t>
      </w:r>
      <w:r w:rsidR="00A132B3" w:rsidRPr="003A1174">
        <w:rPr>
          <w:rFonts w:ascii="Garamond" w:hAnsi="Garamond" w:cs="Arial"/>
          <w:sz w:val="24"/>
          <w:szCs w:val="24"/>
        </w:rPr>
        <w:t xml:space="preserve"> de u</w:t>
      </w:r>
      <w:r w:rsidRPr="003A1174">
        <w:rPr>
          <w:rFonts w:ascii="Garamond" w:hAnsi="Garamond" w:cs="Arial"/>
          <w:sz w:val="24"/>
          <w:szCs w:val="24"/>
        </w:rPr>
        <w:t>m</w:t>
      </w:r>
      <w:r w:rsidR="00A132B3" w:rsidRPr="003A1174">
        <w:rPr>
          <w:rFonts w:ascii="Garamond" w:hAnsi="Garamond" w:cs="Arial"/>
          <w:sz w:val="24"/>
          <w:szCs w:val="24"/>
        </w:rPr>
        <w:t xml:space="preserve"> </w:t>
      </w:r>
      <w:r w:rsidR="00863197" w:rsidRPr="003A1174">
        <w:rPr>
          <w:rFonts w:ascii="Garamond" w:hAnsi="Garamond" w:cs="Arial"/>
          <w:sz w:val="24"/>
          <w:szCs w:val="24"/>
        </w:rPr>
        <w:t>maior</w:t>
      </w:r>
      <w:r w:rsidR="00A132B3" w:rsidRPr="003A1174">
        <w:rPr>
          <w:rFonts w:ascii="Garamond" w:hAnsi="Garamond" w:cs="Arial"/>
          <w:sz w:val="24"/>
          <w:szCs w:val="24"/>
        </w:rPr>
        <w:t xml:space="preserve"> </w:t>
      </w:r>
      <w:r w:rsidRPr="003A1174">
        <w:rPr>
          <w:rFonts w:ascii="Garamond" w:hAnsi="Garamond" w:cs="Arial"/>
          <w:sz w:val="24"/>
          <w:szCs w:val="24"/>
        </w:rPr>
        <w:t>reconhecimento d</w:t>
      </w:r>
      <w:r w:rsidR="00A132B3" w:rsidRPr="003A1174">
        <w:rPr>
          <w:rFonts w:ascii="Garamond" w:hAnsi="Garamond" w:cs="Arial"/>
          <w:sz w:val="24"/>
          <w:szCs w:val="24"/>
        </w:rPr>
        <w:t xml:space="preserve">os </w:t>
      </w:r>
      <w:r w:rsidR="00886D6A" w:rsidRPr="003A1174">
        <w:rPr>
          <w:rFonts w:ascii="Garamond" w:hAnsi="Garamond" w:cs="Arial"/>
          <w:sz w:val="24"/>
          <w:szCs w:val="24"/>
        </w:rPr>
        <w:t>direito</w:t>
      </w:r>
      <w:r w:rsidR="00A132B3" w:rsidRPr="003A1174">
        <w:rPr>
          <w:rFonts w:ascii="Garamond" w:hAnsi="Garamond" w:cs="Arial"/>
          <w:sz w:val="24"/>
          <w:szCs w:val="24"/>
        </w:rPr>
        <w:t xml:space="preserve">s das </w:t>
      </w:r>
      <w:r w:rsidR="006C760C" w:rsidRPr="003A1174">
        <w:rPr>
          <w:rFonts w:ascii="Garamond" w:hAnsi="Garamond" w:cs="Arial"/>
          <w:sz w:val="24"/>
          <w:szCs w:val="24"/>
        </w:rPr>
        <w:t>pessoas</w:t>
      </w:r>
      <w:r w:rsidR="00A132B3" w:rsidRPr="003A1174">
        <w:rPr>
          <w:rFonts w:ascii="Garamond" w:hAnsi="Garamond" w:cs="Arial"/>
          <w:sz w:val="24"/>
          <w:szCs w:val="24"/>
        </w:rPr>
        <w:t xml:space="preserve"> que </w:t>
      </w:r>
      <w:r w:rsidRPr="003A1174">
        <w:rPr>
          <w:rFonts w:ascii="Garamond" w:hAnsi="Garamond" w:cs="Arial"/>
          <w:sz w:val="24"/>
          <w:szCs w:val="24"/>
        </w:rPr>
        <w:t>pertencem</w:t>
      </w:r>
      <w:r w:rsidR="00A132B3" w:rsidRPr="003A1174">
        <w:rPr>
          <w:rFonts w:ascii="Garamond" w:hAnsi="Garamond" w:cs="Arial"/>
          <w:sz w:val="24"/>
          <w:szCs w:val="24"/>
        </w:rPr>
        <w:t xml:space="preserve"> a grupos que se </w:t>
      </w:r>
      <w:r w:rsidRPr="003A1174">
        <w:rPr>
          <w:rFonts w:ascii="Garamond" w:hAnsi="Garamond" w:cs="Arial"/>
          <w:sz w:val="24"/>
          <w:szCs w:val="24"/>
        </w:rPr>
        <w:t>encontram</w:t>
      </w:r>
      <w:r w:rsidR="00A132B3" w:rsidRPr="003A1174">
        <w:rPr>
          <w:rFonts w:ascii="Garamond" w:hAnsi="Garamond" w:cs="Arial"/>
          <w:sz w:val="24"/>
          <w:szCs w:val="24"/>
        </w:rPr>
        <w:t xml:space="preserve"> e</w:t>
      </w:r>
      <w:r w:rsidRPr="003A1174">
        <w:rPr>
          <w:rFonts w:ascii="Garamond" w:hAnsi="Garamond" w:cs="Arial"/>
          <w:sz w:val="24"/>
          <w:szCs w:val="24"/>
        </w:rPr>
        <w:t>m</w:t>
      </w:r>
      <w:r w:rsidR="00A132B3" w:rsidRPr="003A1174">
        <w:rPr>
          <w:rFonts w:ascii="Garamond" w:hAnsi="Garamond" w:cs="Arial"/>
          <w:sz w:val="24"/>
          <w:szCs w:val="24"/>
        </w:rPr>
        <w:t xml:space="preserve"> </w:t>
      </w:r>
      <w:r w:rsidR="0017447A" w:rsidRPr="003A1174">
        <w:rPr>
          <w:rFonts w:ascii="Garamond" w:hAnsi="Garamond" w:cs="Arial"/>
          <w:sz w:val="24"/>
          <w:szCs w:val="24"/>
        </w:rPr>
        <w:t>situação</w:t>
      </w:r>
      <w:r w:rsidR="00A132B3" w:rsidRPr="003A1174">
        <w:rPr>
          <w:rFonts w:ascii="Garamond" w:hAnsi="Garamond" w:cs="Arial"/>
          <w:sz w:val="24"/>
          <w:szCs w:val="24"/>
        </w:rPr>
        <w:t xml:space="preserve"> de </w:t>
      </w:r>
      <w:r w:rsidR="004E3A1A" w:rsidRPr="003A1174">
        <w:rPr>
          <w:rFonts w:ascii="Garamond" w:hAnsi="Garamond" w:cs="Arial"/>
          <w:sz w:val="24"/>
          <w:szCs w:val="24"/>
        </w:rPr>
        <w:t>vulnerabilidade</w:t>
      </w:r>
      <w:r w:rsidRPr="003A1174">
        <w:rPr>
          <w:rFonts w:ascii="Garamond" w:hAnsi="Garamond" w:cs="Arial"/>
          <w:sz w:val="24"/>
          <w:szCs w:val="24"/>
        </w:rPr>
        <w:t xml:space="preserve"> e </w:t>
      </w:r>
      <w:r w:rsidR="00A132B3" w:rsidRPr="003A1174">
        <w:rPr>
          <w:rFonts w:ascii="Garamond" w:hAnsi="Garamond" w:cs="Arial"/>
          <w:sz w:val="24"/>
          <w:szCs w:val="24"/>
        </w:rPr>
        <w:t xml:space="preserve">que, portanto, </w:t>
      </w:r>
      <w:r w:rsidRPr="003A1174">
        <w:rPr>
          <w:rFonts w:ascii="Garamond" w:hAnsi="Garamond" w:cs="Arial"/>
          <w:sz w:val="24"/>
          <w:szCs w:val="24"/>
        </w:rPr>
        <w:t>requerem</w:t>
      </w:r>
      <w:r w:rsidR="00A132B3" w:rsidRPr="003A1174">
        <w:rPr>
          <w:rFonts w:ascii="Garamond" w:hAnsi="Garamond" w:cs="Arial"/>
          <w:sz w:val="24"/>
          <w:szCs w:val="24"/>
        </w:rPr>
        <w:t xml:space="preserve"> </w:t>
      </w:r>
      <w:r w:rsidRPr="003A1174">
        <w:rPr>
          <w:rFonts w:ascii="Garamond" w:hAnsi="Garamond" w:cs="Arial"/>
          <w:sz w:val="24"/>
          <w:szCs w:val="24"/>
        </w:rPr>
        <w:t xml:space="preserve">um </w:t>
      </w:r>
      <w:r w:rsidR="001C2738" w:rsidRPr="003A1174">
        <w:rPr>
          <w:rFonts w:ascii="Garamond" w:hAnsi="Garamond" w:cs="Arial"/>
          <w:sz w:val="24"/>
          <w:szCs w:val="24"/>
        </w:rPr>
        <w:t>tratamento</w:t>
      </w:r>
      <w:r w:rsidR="00A132B3" w:rsidRPr="003A1174">
        <w:rPr>
          <w:rFonts w:ascii="Garamond" w:hAnsi="Garamond" w:cs="Arial"/>
          <w:sz w:val="24"/>
          <w:szCs w:val="24"/>
        </w:rPr>
        <w:t xml:space="preserve"> especial que permita </w:t>
      </w:r>
      <w:r w:rsidRPr="003A1174">
        <w:rPr>
          <w:rFonts w:ascii="Garamond" w:hAnsi="Garamond" w:cs="Arial"/>
          <w:sz w:val="24"/>
          <w:szCs w:val="24"/>
        </w:rPr>
        <w:t xml:space="preserve">a </w:t>
      </w:r>
      <w:r w:rsidR="00A132B3" w:rsidRPr="003A1174">
        <w:rPr>
          <w:rFonts w:ascii="Garamond" w:hAnsi="Garamond" w:cs="Arial"/>
          <w:sz w:val="24"/>
          <w:szCs w:val="24"/>
        </w:rPr>
        <w:t>su</w:t>
      </w:r>
      <w:r w:rsidRPr="003A1174">
        <w:rPr>
          <w:rFonts w:ascii="Garamond" w:hAnsi="Garamond" w:cs="Arial"/>
          <w:sz w:val="24"/>
          <w:szCs w:val="24"/>
        </w:rPr>
        <w:t>a</w:t>
      </w:r>
      <w:r w:rsidR="00A132B3" w:rsidRPr="003A1174">
        <w:rPr>
          <w:rFonts w:ascii="Garamond" w:hAnsi="Garamond" w:cs="Arial"/>
          <w:sz w:val="24"/>
          <w:szCs w:val="24"/>
        </w:rPr>
        <w:t xml:space="preserve"> plena </w:t>
      </w:r>
      <w:r w:rsidR="006F4B2C" w:rsidRPr="003A1174">
        <w:rPr>
          <w:rFonts w:ascii="Garamond" w:hAnsi="Garamond" w:cs="Arial"/>
          <w:sz w:val="24"/>
          <w:szCs w:val="24"/>
        </w:rPr>
        <w:t>integração</w:t>
      </w:r>
      <w:r w:rsidR="00A132B3" w:rsidRPr="003A1174">
        <w:rPr>
          <w:rFonts w:ascii="Garamond" w:hAnsi="Garamond" w:cs="Arial"/>
          <w:sz w:val="24"/>
          <w:szCs w:val="24"/>
        </w:rPr>
        <w:t xml:space="preserve"> </w:t>
      </w:r>
      <w:r w:rsidRPr="003A1174">
        <w:rPr>
          <w:rFonts w:ascii="Garamond" w:hAnsi="Garamond" w:cs="Arial"/>
          <w:sz w:val="24"/>
          <w:szCs w:val="24"/>
        </w:rPr>
        <w:t>n</w:t>
      </w:r>
      <w:r w:rsidR="00A132B3" w:rsidRPr="003A1174">
        <w:rPr>
          <w:rFonts w:ascii="Garamond" w:hAnsi="Garamond" w:cs="Arial"/>
          <w:sz w:val="24"/>
          <w:szCs w:val="24"/>
        </w:rPr>
        <w:t xml:space="preserve">a </w:t>
      </w:r>
      <w:r w:rsidR="002C7510" w:rsidRPr="003A1174">
        <w:rPr>
          <w:rFonts w:ascii="Garamond" w:hAnsi="Garamond" w:cs="Arial"/>
          <w:sz w:val="24"/>
          <w:szCs w:val="24"/>
        </w:rPr>
        <w:t>sociedade</w:t>
      </w:r>
      <w:r w:rsidR="00A132B3" w:rsidRPr="003A1174">
        <w:rPr>
          <w:rFonts w:ascii="Garamond" w:hAnsi="Garamond" w:cs="Arial"/>
          <w:sz w:val="24"/>
          <w:szCs w:val="24"/>
        </w:rPr>
        <w:t xml:space="preserve">. </w:t>
      </w:r>
    </w:p>
    <w:p w:rsidR="00A132B3" w:rsidRPr="003A1174" w:rsidRDefault="00A132B3" w:rsidP="008719D4">
      <w:pPr>
        <w:spacing w:line="240" w:lineRule="auto"/>
        <w:jc w:val="both"/>
        <w:rPr>
          <w:rFonts w:ascii="Garamond" w:hAnsi="Garamond" w:cs="Arial"/>
          <w:sz w:val="24"/>
          <w:szCs w:val="24"/>
        </w:rPr>
      </w:pPr>
      <w:r w:rsidRPr="003A1174">
        <w:rPr>
          <w:rFonts w:ascii="Garamond" w:hAnsi="Garamond" w:cs="Arial"/>
          <w:sz w:val="24"/>
          <w:szCs w:val="24"/>
        </w:rPr>
        <w:t>Co</w:t>
      </w:r>
      <w:r w:rsidR="00F520D6" w:rsidRPr="003A1174">
        <w:rPr>
          <w:rFonts w:ascii="Garamond" w:hAnsi="Garamond" w:cs="Arial"/>
          <w:sz w:val="24"/>
          <w:szCs w:val="24"/>
        </w:rPr>
        <w:t xml:space="preserve">m o </w:t>
      </w:r>
      <w:r w:rsidR="003F012B" w:rsidRPr="003A1174">
        <w:rPr>
          <w:rFonts w:ascii="Garamond" w:hAnsi="Garamond" w:cs="Arial"/>
          <w:sz w:val="24"/>
          <w:szCs w:val="24"/>
        </w:rPr>
        <w:t>tempo</w:t>
      </w:r>
      <w:r w:rsidRPr="003A1174">
        <w:rPr>
          <w:rFonts w:ascii="Garamond" w:hAnsi="Garamond" w:cs="Arial"/>
          <w:sz w:val="24"/>
          <w:szCs w:val="24"/>
        </w:rPr>
        <w:t xml:space="preserve"> </w:t>
      </w:r>
      <w:r w:rsidR="00F520D6" w:rsidRPr="003A1174">
        <w:rPr>
          <w:rFonts w:ascii="Garamond" w:hAnsi="Garamond" w:cs="Arial"/>
          <w:sz w:val="24"/>
          <w:szCs w:val="24"/>
        </w:rPr>
        <w:t>tomou-</w:t>
      </w:r>
      <w:r w:rsidRPr="003A1174">
        <w:rPr>
          <w:rFonts w:ascii="Garamond" w:hAnsi="Garamond" w:cs="Arial"/>
          <w:sz w:val="24"/>
          <w:szCs w:val="24"/>
        </w:rPr>
        <w:t xml:space="preserve">se </w:t>
      </w:r>
      <w:r w:rsidR="00BA3CCE" w:rsidRPr="003A1174">
        <w:rPr>
          <w:rFonts w:ascii="Garamond" w:hAnsi="Garamond" w:cs="Arial"/>
          <w:sz w:val="24"/>
          <w:szCs w:val="24"/>
        </w:rPr>
        <w:t>consciência</w:t>
      </w:r>
      <w:r w:rsidRPr="003A1174">
        <w:rPr>
          <w:rFonts w:ascii="Garamond" w:hAnsi="Garamond" w:cs="Arial"/>
          <w:sz w:val="24"/>
          <w:szCs w:val="24"/>
        </w:rPr>
        <w:t xml:space="preserve"> da </w:t>
      </w:r>
      <w:r w:rsidR="006506C6" w:rsidRPr="003A1174">
        <w:rPr>
          <w:rFonts w:ascii="Garamond" w:hAnsi="Garamond" w:cs="Arial"/>
          <w:sz w:val="24"/>
          <w:szCs w:val="24"/>
        </w:rPr>
        <w:t>necessidade</w:t>
      </w:r>
      <w:r w:rsidRPr="003A1174">
        <w:rPr>
          <w:rFonts w:ascii="Garamond" w:hAnsi="Garamond" w:cs="Arial"/>
          <w:sz w:val="24"/>
          <w:szCs w:val="24"/>
        </w:rPr>
        <w:t xml:space="preserve"> de que, p</w:t>
      </w:r>
      <w:r w:rsidR="00F520D6" w:rsidRPr="003A1174">
        <w:rPr>
          <w:rFonts w:ascii="Garamond" w:hAnsi="Garamond" w:cs="Arial"/>
          <w:sz w:val="24"/>
          <w:szCs w:val="24"/>
        </w:rPr>
        <w:t>ela</w:t>
      </w:r>
      <w:r w:rsidRPr="003A1174">
        <w:rPr>
          <w:rFonts w:ascii="Garamond" w:hAnsi="Garamond" w:cs="Arial"/>
          <w:sz w:val="24"/>
          <w:szCs w:val="24"/>
        </w:rPr>
        <w:t xml:space="preserve"> su</w:t>
      </w:r>
      <w:r w:rsidR="00F520D6" w:rsidRPr="003A1174">
        <w:rPr>
          <w:rFonts w:ascii="Garamond" w:hAnsi="Garamond" w:cs="Arial"/>
          <w:sz w:val="24"/>
          <w:szCs w:val="24"/>
        </w:rPr>
        <w:t>a</w:t>
      </w:r>
      <w:r w:rsidRPr="003A1174">
        <w:rPr>
          <w:rFonts w:ascii="Garamond" w:hAnsi="Garamond" w:cs="Arial"/>
          <w:sz w:val="24"/>
          <w:szCs w:val="24"/>
        </w:rPr>
        <w:t xml:space="preserve"> especial </w:t>
      </w:r>
      <w:r w:rsidR="0017447A" w:rsidRPr="003A1174">
        <w:rPr>
          <w:rFonts w:ascii="Garamond" w:hAnsi="Garamond" w:cs="Arial"/>
          <w:sz w:val="24"/>
          <w:szCs w:val="24"/>
        </w:rPr>
        <w:t>situação</w:t>
      </w:r>
      <w:r w:rsidRPr="003A1174">
        <w:rPr>
          <w:rFonts w:ascii="Garamond" w:hAnsi="Garamond" w:cs="Arial"/>
          <w:sz w:val="24"/>
          <w:szCs w:val="24"/>
        </w:rPr>
        <w:t xml:space="preserve"> de </w:t>
      </w:r>
      <w:r w:rsidR="004E3A1A" w:rsidRPr="003A1174">
        <w:rPr>
          <w:rFonts w:ascii="Garamond" w:hAnsi="Garamond" w:cs="Arial"/>
          <w:sz w:val="24"/>
          <w:szCs w:val="24"/>
        </w:rPr>
        <w:t>vulnerabilidade</w:t>
      </w:r>
      <w:r w:rsidRPr="003A1174">
        <w:rPr>
          <w:rFonts w:ascii="Garamond" w:hAnsi="Garamond" w:cs="Arial"/>
          <w:sz w:val="24"/>
          <w:szCs w:val="24"/>
        </w:rPr>
        <w:t>, de</w:t>
      </w:r>
      <w:r w:rsidR="00F520D6" w:rsidRPr="003A1174">
        <w:rPr>
          <w:rFonts w:ascii="Garamond" w:hAnsi="Garamond" w:cs="Arial"/>
          <w:sz w:val="24"/>
          <w:szCs w:val="24"/>
        </w:rPr>
        <w:t>vem reconhecer-se</w:t>
      </w:r>
      <w:r w:rsidRPr="003A1174">
        <w:rPr>
          <w:rFonts w:ascii="Garamond" w:hAnsi="Garamond" w:cs="Arial"/>
          <w:sz w:val="24"/>
          <w:szCs w:val="24"/>
        </w:rPr>
        <w:t xml:space="preserve"> </w:t>
      </w:r>
      <w:r w:rsidR="00024913" w:rsidRPr="003A1174">
        <w:rPr>
          <w:rFonts w:ascii="Garamond" w:hAnsi="Garamond" w:cs="Arial"/>
          <w:sz w:val="24"/>
          <w:szCs w:val="24"/>
        </w:rPr>
        <w:t xml:space="preserve">direitos específicos </w:t>
      </w:r>
      <w:r w:rsidR="00F520D6" w:rsidRPr="003A1174">
        <w:rPr>
          <w:rFonts w:ascii="Garamond" w:hAnsi="Garamond" w:cs="Arial"/>
          <w:sz w:val="24"/>
          <w:szCs w:val="24"/>
        </w:rPr>
        <w:t>à</w:t>
      </w:r>
      <w:r w:rsidRPr="003A1174">
        <w:rPr>
          <w:rFonts w:ascii="Garamond" w:hAnsi="Garamond" w:cs="Arial"/>
          <w:sz w:val="24"/>
          <w:szCs w:val="24"/>
        </w:rPr>
        <w:t xml:space="preserve">s </w:t>
      </w:r>
      <w:r w:rsidR="00054EE0" w:rsidRPr="003A1174">
        <w:rPr>
          <w:rFonts w:ascii="Garamond" w:hAnsi="Garamond" w:cs="Arial"/>
          <w:sz w:val="24"/>
          <w:szCs w:val="24"/>
        </w:rPr>
        <w:t>mulheres</w:t>
      </w:r>
      <w:r w:rsidR="00024913" w:rsidRPr="003A1174">
        <w:rPr>
          <w:rFonts w:ascii="Garamond" w:hAnsi="Garamond" w:cs="Arial"/>
          <w:sz w:val="24"/>
          <w:szCs w:val="24"/>
        </w:rPr>
        <w:t>,</w:t>
      </w:r>
      <w:r w:rsidRPr="003A1174">
        <w:rPr>
          <w:rFonts w:ascii="Garamond" w:hAnsi="Garamond" w:cs="Arial"/>
          <w:sz w:val="24"/>
          <w:szCs w:val="24"/>
        </w:rPr>
        <w:t xml:space="preserve"> e</w:t>
      </w:r>
      <w:r w:rsidR="00F520D6" w:rsidRPr="003A1174">
        <w:rPr>
          <w:rFonts w:ascii="Garamond" w:hAnsi="Garamond" w:cs="Arial"/>
          <w:sz w:val="24"/>
          <w:szCs w:val="24"/>
        </w:rPr>
        <w:t>m</w:t>
      </w:r>
      <w:r w:rsidRPr="003A1174">
        <w:rPr>
          <w:rFonts w:ascii="Garamond" w:hAnsi="Garamond" w:cs="Arial"/>
          <w:sz w:val="24"/>
          <w:szCs w:val="24"/>
        </w:rPr>
        <w:t xml:space="preserve"> </w:t>
      </w:r>
      <w:r w:rsidR="002E2C71" w:rsidRPr="003A1174">
        <w:rPr>
          <w:rFonts w:ascii="Garamond" w:hAnsi="Garamond" w:cs="Arial"/>
          <w:sz w:val="24"/>
          <w:szCs w:val="24"/>
        </w:rPr>
        <w:t>função</w:t>
      </w:r>
      <w:r w:rsidRPr="003A1174">
        <w:rPr>
          <w:rFonts w:ascii="Garamond" w:hAnsi="Garamond" w:cs="Arial"/>
          <w:sz w:val="24"/>
          <w:szCs w:val="24"/>
        </w:rPr>
        <w:t xml:space="preserve"> d</w:t>
      </w:r>
      <w:r w:rsidR="00F520D6" w:rsidRPr="003A1174">
        <w:rPr>
          <w:rFonts w:ascii="Garamond" w:hAnsi="Garamond" w:cs="Arial"/>
          <w:sz w:val="24"/>
          <w:szCs w:val="24"/>
        </w:rPr>
        <w:t xml:space="preserve">as </w:t>
      </w:r>
      <w:r w:rsidRPr="003A1174">
        <w:rPr>
          <w:rFonts w:ascii="Garamond" w:hAnsi="Garamond" w:cs="Arial"/>
          <w:sz w:val="24"/>
          <w:szCs w:val="24"/>
        </w:rPr>
        <w:t>su</w:t>
      </w:r>
      <w:r w:rsidR="00F520D6" w:rsidRPr="003A1174">
        <w:rPr>
          <w:rFonts w:ascii="Garamond" w:hAnsi="Garamond" w:cs="Arial"/>
          <w:sz w:val="24"/>
          <w:szCs w:val="24"/>
        </w:rPr>
        <w:t>a</w:t>
      </w:r>
      <w:r w:rsidRPr="003A1174">
        <w:rPr>
          <w:rFonts w:ascii="Garamond" w:hAnsi="Garamond" w:cs="Arial"/>
          <w:sz w:val="24"/>
          <w:szCs w:val="24"/>
        </w:rPr>
        <w:t xml:space="preserve">s </w:t>
      </w:r>
      <w:r w:rsidR="002E2C71" w:rsidRPr="003A1174">
        <w:rPr>
          <w:rFonts w:ascii="Garamond" w:hAnsi="Garamond" w:cs="Arial"/>
          <w:sz w:val="24"/>
          <w:szCs w:val="24"/>
        </w:rPr>
        <w:t>circunstância</w:t>
      </w:r>
      <w:r w:rsidRPr="003A1174">
        <w:rPr>
          <w:rFonts w:ascii="Garamond" w:hAnsi="Garamond" w:cs="Arial"/>
          <w:sz w:val="24"/>
          <w:szCs w:val="24"/>
        </w:rPr>
        <w:t>s</w:t>
      </w:r>
      <w:r w:rsidR="00F520D6" w:rsidRPr="003A1174">
        <w:rPr>
          <w:rFonts w:ascii="Garamond" w:hAnsi="Garamond" w:cs="Arial"/>
          <w:sz w:val="24"/>
          <w:szCs w:val="24"/>
        </w:rPr>
        <w:t xml:space="preserve"> particulares</w:t>
      </w:r>
      <w:r w:rsidRPr="003A1174">
        <w:rPr>
          <w:rFonts w:ascii="Garamond" w:hAnsi="Garamond" w:cs="Arial"/>
          <w:sz w:val="24"/>
          <w:szCs w:val="24"/>
        </w:rPr>
        <w:t xml:space="preserve">. </w:t>
      </w:r>
      <w:r w:rsidR="00D84A9F" w:rsidRPr="003A1174">
        <w:rPr>
          <w:rFonts w:ascii="Garamond" w:hAnsi="Garamond" w:cs="Arial"/>
          <w:sz w:val="24"/>
          <w:szCs w:val="24"/>
        </w:rPr>
        <w:t xml:space="preserve">Por essa razão, no </w:t>
      </w:r>
      <w:r w:rsidRPr="003A1174">
        <w:rPr>
          <w:rFonts w:ascii="Garamond" w:hAnsi="Garamond" w:cs="Arial"/>
          <w:sz w:val="24"/>
          <w:szCs w:val="24"/>
        </w:rPr>
        <w:t xml:space="preserve">plano internacional </w:t>
      </w:r>
      <w:r w:rsidR="00D84A9F" w:rsidRPr="003A1174">
        <w:rPr>
          <w:rFonts w:ascii="Garamond" w:hAnsi="Garamond" w:cs="Arial"/>
          <w:sz w:val="24"/>
          <w:szCs w:val="24"/>
        </w:rPr>
        <w:t>têm-</w:t>
      </w:r>
      <w:r w:rsidRPr="003A1174">
        <w:rPr>
          <w:rFonts w:ascii="Garamond" w:hAnsi="Garamond" w:cs="Arial"/>
          <w:sz w:val="24"/>
          <w:szCs w:val="24"/>
        </w:rPr>
        <w:t xml:space="preserve">se </w:t>
      </w:r>
      <w:r w:rsidR="00D84A9F" w:rsidRPr="003A1174">
        <w:rPr>
          <w:rFonts w:ascii="Garamond" w:hAnsi="Garamond" w:cs="Arial"/>
          <w:sz w:val="24"/>
          <w:szCs w:val="24"/>
        </w:rPr>
        <w:t xml:space="preserve">vindo a </w:t>
      </w:r>
      <w:r w:rsidRPr="003A1174">
        <w:rPr>
          <w:rFonts w:ascii="Garamond" w:hAnsi="Garamond" w:cs="Arial"/>
          <w:sz w:val="24"/>
          <w:szCs w:val="24"/>
        </w:rPr>
        <w:t>estab</w:t>
      </w:r>
      <w:r w:rsidR="00D84A9F" w:rsidRPr="003A1174">
        <w:rPr>
          <w:rFonts w:ascii="Garamond" w:hAnsi="Garamond" w:cs="Arial"/>
          <w:sz w:val="24"/>
          <w:szCs w:val="24"/>
        </w:rPr>
        <w:t>e</w:t>
      </w:r>
      <w:r w:rsidRPr="003A1174">
        <w:rPr>
          <w:rFonts w:ascii="Garamond" w:hAnsi="Garamond" w:cs="Arial"/>
          <w:sz w:val="24"/>
          <w:szCs w:val="24"/>
        </w:rPr>
        <w:t>lec</w:t>
      </w:r>
      <w:r w:rsidR="00D84A9F" w:rsidRPr="003A1174">
        <w:rPr>
          <w:rFonts w:ascii="Garamond" w:hAnsi="Garamond" w:cs="Arial"/>
          <w:sz w:val="24"/>
          <w:szCs w:val="24"/>
        </w:rPr>
        <w:t>er normas e</w:t>
      </w:r>
      <w:r w:rsidRPr="003A1174">
        <w:rPr>
          <w:rFonts w:ascii="Garamond" w:hAnsi="Garamond" w:cs="Arial"/>
          <w:sz w:val="24"/>
          <w:szCs w:val="24"/>
        </w:rPr>
        <w:t xml:space="preserve"> mecanismos específicos para </w:t>
      </w:r>
      <w:r w:rsidR="00D84A9F" w:rsidRPr="003A1174">
        <w:rPr>
          <w:rFonts w:ascii="Garamond" w:hAnsi="Garamond" w:cs="Arial"/>
          <w:sz w:val="24"/>
          <w:szCs w:val="24"/>
        </w:rPr>
        <w:t xml:space="preserve">a </w:t>
      </w:r>
      <w:r w:rsidRPr="003A1174">
        <w:rPr>
          <w:rFonts w:ascii="Garamond" w:hAnsi="Garamond" w:cs="Arial"/>
          <w:sz w:val="24"/>
          <w:szCs w:val="24"/>
        </w:rPr>
        <w:t>su</w:t>
      </w:r>
      <w:r w:rsidR="00D84A9F" w:rsidRPr="003A1174">
        <w:rPr>
          <w:rFonts w:ascii="Garamond" w:hAnsi="Garamond" w:cs="Arial"/>
          <w:sz w:val="24"/>
          <w:szCs w:val="24"/>
        </w:rPr>
        <w:t>a</w:t>
      </w:r>
      <w:r w:rsidRPr="003A1174">
        <w:rPr>
          <w:rFonts w:ascii="Garamond" w:hAnsi="Garamond" w:cs="Arial"/>
          <w:sz w:val="24"/>
          <w:szCs w:val="24"/>
        </w:rPr>
        <w:t xml:space="preserve"> </w:t>
      </w:r>
      <w:r w:rsidR="00886D6A" w:rsidRPr="003A1174">
        <w:rPr>
          <w:rFonts w:ascii="Garamond" w:hAnsi="Garamond" w:cs="Arial"/>
          <w:sz w:val="24"/>
          <w:szCs w:val="24"/>
        </w:rPr>
        <w:t>proteção</w:t>
      </w:r>
      <w:r w:rsidR="00D84A9F" w:rsidRPr="003A1174">
        <w:rPr>
          <w:rFonts w:ascii="Garamond" w:hAnsi="Garamond" w:cs="Arial"/>
          <w:sz w:val="24"/>
          <w:szCs w:val="24"/>
        </w:rPr>
        <w:t xml:space="preserve"> e</w:t>
      </w:r>
      <w:r w:rsidRPr="003A1174">
        <w:rPr>
          <w:rFonts w:ascii="Garamond" w:hAnsi="Garamond" w:cs="Arial"/>
          <w:sz w:val="24"/>
          <w:szCs w:val="24"/>
        </w:rPr>
        <w:t xml:space="preserve"> </w:t>
      </w:r>
      <w:r w:rsidR="002F5CD1" w:rsidRPr="003A1174">
        <w:rPr>
          <w:rFonts w:ascii="Garamond" w:hAnsi="Garamond" w:cs="Arial"/>
          <w:sz w:val="24"/>
          <w:szCs w:val="24"/>
        </w:rPr>
        <w:t>promoção</w:t>
      </w:r>
      <w:r w:rsidRPr="003A1174">
        <w:rPr>
          <w:rFonts w:ascii="Garamond" w:hAnsi="Garamond" w:cs="Arial"/>
          <w:sz w:val="24"/>
          <w:szCs w:val="24"/>
        </w:rPr>
        <w:t>. N</w:t>
      </w:r>
      <w:r w:rsidR="00D84A9F" w:rsidRPr="003A1174">
        <w:rPr>
          <w:rFonts w:ascii="Garamond" w:hAnsi="Garamond" w:cs="Arial"/>
          <w:sz w:val="24"/>
          <w:szCs w:val="24"/>
        </w:rPr>
        <w:t>ã</w:t>
      </w:r>
      <w:r w:rsidRPr="003A1174">
        <w:rPr>
          <w:rFonts w:ascii="Garamond" w:hAnsi="Garamond" w:cs="Arial"/>
          <w:sz w:val="24"/>
          <w:szCs w:val="24"/>
        </w:rPr>
        <w:t xml:space="preserve">o se </w:t>
      </w:r>
      <w:r w:rsidR="00D84A9F" w:rsidRPr="003A1174">
        <w:rPr>
          <w:rFonts w:ascii="Garamond" w:hAnsi="Garamond" w:cs="Arial"/>
          <w:sz w:val="24"/>
          <w:szCs w:val="24"/>
        </w:rPr>
        <w:t xml:space="preserve">procura com isto, </w:t>
      </w:r>
      <w:r w:rsidR="0094477F" w:rsidRPr="003A1174">
        <w:rPr>
          <w:rFonts w:ascii="Garamond" w:hAnsi="Garamond" w:cs="Arial"/>
          <w:sz w:val="24"/>
          <w:szCs w:val="24"/>
        </w:rPr>
        <w:t>no entanto</w:t>
      </w:r>
      <w:r w:rsidRPr="003A1174">
        <w:rPr>
          <w:rFonts w:ascii="Garamond" w:hAnsi="Garamond" w:cs="Arial"/>
          <w:sz w:val="24"/>
          <w:szCs w:val="24"/>
        </w:rPr>
        <w:t xml:space="preserve">, </w:t>
      </w:r>
      <w:r w:rsidR="00D84A9F" w:rsidRPr="003A1174">
        <w:rPr>
          <w:rFonts w:ascii="Garamond" w:hAnsi="Garamond" w:cs="Arial"/>
          <w:sz w:val="24"/>
          <w:szCs w:val="24"/>
        </w:rPr>
        <w:t>substituir</w:t>
      </w:r>
      <w:r w:rsidRPr="003A1174">
        <w:rPr>
          <w:rFonts w:ascii="Garamond" w:hAnsi="Garamond" w:cs="Arial"/>
          <w:sz w:val="24"/>
          <w:szCs w:val="24"/>
        </w:rPr>
        <w:t xml:space="preserve"> o</w:t>
      </w:r>
      <w:r w:rsidR="00D84A9F" w:rsidRPr="003A1174">
        <w:rPr>
          <w:rFonts w:ascii="Garamond" w:hAnsi="Garamond" w:cs="Arial"/>
          <w:sz w:val="24"/>
          <w:szCs w:val="24"/>
        </w:rPr>
        <w:t xml:space="preserve">u excluir </w:t>
      </w:r>
      <w:r w:rsidRPr="003A1174">
        <w:rPr>
          <w:rFonts w:ascii="Garamond" w:hAnsi="Garamond" w:cs="Arial"/>
          <w:sz w:val="24"/>
          <w:szCs w:val="24"/>
        </w:rPr>
        <w:t>a</w:t>
      </w:r>
      <w:r w:rsidR="00D84A9F" w:rsidRPr="003A1174">
        <w:rPr>
          <w:rFonts w:ascii="Garamond" w:hAnsi="Garamond" w:cs="Arial"/>
          <w:sz w:val="24"/>
          <w:szCs w:val="24"/>
        </w:rPr>
        <w:t>s</w:t>
      </w:r>
      <w:r w:rsidRPr="003A1174">
        <w:rPr>
          <w:rFonts w:ascii="Garamond" w:hAnsi="Garamond" w:cs="Arial"/>
          <w:sz w:val="24"/>
          <w:szCs w:val="24"/>
        </w:rPr>
        <w:t xml:space="preserve"> norma</w:t>
      </w:r>
      <w:r w:rsidR="00D84A9F" w:rsidRPr="003A1174">
        <w:rPr>
          <w:rFonts w:ascii="Garamond" w:hAnsi="Garamond" w:cs="Arial"/>
          <w:sz w:val="24"/>
          <w:szCs w:val="24"/>
        </w:rPr>
        <w:t>s</w:t>
      </w:r>
      <w:r w:rsidRPr="003A1174">
        <w:rPr>
          <w:rFonts w:ascii="Garamond" w:hAnsi="Garamond" w:cs="Arial"/>
          <w:sz w:val="24"/>
          <w:szCs w:val="24"/>
        </w:rPr>
        <w:t xml:space="preserve"> sobre </w:t>
      </w:r>
      <w:r w:rsidR="00886D6A" w:rsidRPr="003A1174">
        <w:rPr>
          <w:rFonts w:ascii="Garamond" w:hAnsi="Garamond" w:cs="Arial"/>
          <w:sz w:val="24"/>
          <w:szCs w:val="24"/>
        </w:rPr>
        <w:t>direito</w:t>
      </w:r>
      <w:r w:rsidRPr="003A1174">
        <w:rPr>
          <w:rFonts w:ascii="Garamond" w:hAnsi="Garamond" w:cs="Arial"/>
          <w:sz w:val="24"/>
          <w:szCs w:val="24"/>
        </w:rPr>
        <w:t>s humanos e</w:t>
      </w:r>
      <w:r w:rsidR="00D84A9F" w:rsidRPr="003A1174">
        <w:rPr>
          <w:rFonts w:ascii="Garamond" w:hAnsi="Garamond" w:cs="Arial"/>
          <w:sz w:val="24"/>
          <w:szCs w:val="24"/>
        </w:rPr>
        <w:t>m</w:t>
      </w:r>
      <w:r w:rsidRPr="003A1174">
        <w:rPr>
          <w:rFonts w:ascii="Garamond" w:hAnsi="Garamond" w:cs="Arial"/>
          <w:sz w:val="24"/>
          <w:szCs w:val="24"/>
        </w:rPr>
        <w:t xml:space="preserve"> </w:t>
      </w:r>
      <w:r w:rsidR="00077461" w:rsidRPr="003A1174">
        <w:rPr>
          <w:rFonts w:ascii="Garamond" w:hAnsi="Garamond" w:cs="Arial"/>
          <w:sz w:val="24"/>
          <w:szCs w:val="24"/>
        </w:rPr>
        <w:t>geral</w:t>
      </w:r>
      <w:r w:rsidRPr="003A1174">
        <w:rPr>
          <w:rFonts w:ascii="Garamond" w:hAnsi="Garamond" w:cs="Arial"/>
          <w:sz w:val="24"/>
          <w:szCs w:val="24"/>
        </w:rPr>
        <w:t xml:space="preserve">, </w:t>
      </w:r>
      <w:r w:rsidR="00D84A9F" w:rsidRPr="003A1174">
        <w:rPr>
          <w:rFonts w:ascii="Garamond" w:hAnsi="Garamond" w:cs="Arial"/>
          <w:sz w:val="24"/>
          <w:szCs w:val="24"/>
        </w:rPr>
        <w:t>mas sim complementar e</w:t>
      </w:r>
      <w:r w:rsidRPr="003A1174">
        <w:rPr>
          <w:rFonts w:ascii="Garamond" w:hAnsi="Garamond" w:cs="Arial"/>
          <w:sz w:val="24"/>
          <w:szCs w:val="24"/>
        </w:rPr>
        <w:t xml:space="preserve"> </w:t>
      </w:r>
      <w:r w:rsidR="006506C6" w:rsidRPr="003A1174">
        <w:rPr>
          <w:rFonts w:ascii="Garamond" w:hAnsi="Garamond" w:cs="Arial"/>
          <w:sz w:val="24"/>
          <w:szCs w:val="24"/>
        </w:rPr>
        <w:t>aperfeiçoar</w:t>
      </w:r>
      <w:r w:rsidR="00D84A9F" w:rsidRPr="003A1174">
        <w:rPr>
          <w:rFonts w:ascii="Garamond" w:hAnsi="Garamond" w:cs="Arial"/>
          <w:sz w:val="24"/>
          <w:szCs w:val="24"/>
        </w:rPr>
        <w:t xml:space="preserve"> </w:t>
      </w:r>
      <w:r w:rsidRPr="003A1174">
        <w:rPr>
          <w:rFonts w:ascii="Garamond" w:hAnsi="Garamond" w:cs="Arial"/>
          <w:sz w:val="24"/>
          <w:szCs w:val="24"/>
        </w:rPr>
        <w:t xml:space="preserve">a </w:t>
      </w:r>
      <w:r w:rsidR="002C7510" w:rsidRPr="003A1174">
        <w:rPr>
          <w:rFonts w:ascii="Garamond" w:hAnsi="Garamond" w:cs="Arial"/>
          <w:sz w:val="24"/>
          <w:szCs w:val="24"/>
        </w:rPr>
        <w:t>defesa</w:t>
      </w:r>
      <w:r w:rsidR="00D84A9F" w:rsidRPr="003A1174">
        <w:rPr>
          <w:rFonts w:ascii="Garamond" w:hAnsi="Garamond" w:cs="Arial"/>
          <w:sz w:val="24"/>
          <w:szCs w:val="24"/>
        </w:rPr>
        <w:t xml:space="preserve"> efetiva</w:t>
      </w:r>
      <w:r w:rsidR="002E2C71" w:rsidRPr="003A1174">
        <w:rPr>
          <w:rFonts w:ascii="Garamond" w:hAnsi="Garamond" w:cs="Arial"/>
          <w:sz w:val="24"/>
          <w:szCs w:val="24"/>
        </w:rPr>
        <w:t xml:space="preserve"> e</w:t>
      </w:r>
      <w:r w:rsidRPr="003A1174">
        <w:rPr>
          <w:rFonts w:ascii="Garamond" w:hAnsi="Garamond" w:cs="Arial"/>
          <w:sz w:val="24"/>
          <w:szCs w:val="24"/>
        </w:rPr>
        <w:t xml:space="preserve"> </w:t>
      </w:r>
      <w:r w:rsidR="002F5CD1" w:rsidRPr="003A1174">
        <w:rPr>
          <w:rFonts w:ascii="Garamond" w:hAnsi="Garamond" w:cs="Arial"/>
          <w:sz w:val="24"/>
          <w:szCs w:val="24"/>
        </w:rPr>
        <w:t>promoção</w:t>
      </w:r>
      <w:r w:rsidR="002E2C71" w:rsidRPr="003A1174">
        <w:rPr>
          <w:rFonts w:ascii="Garamond" w:hAnsi="Garamond" w:cs="Arial"/>
          <w:sz w:val="24"/>
          <w:szCs w:val="24"/>
        </w:rPr>
        <w:t xml:space="preserve"> d</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das </w:t>
      </w:r>
      <w:r w:rsidR="00054EE0" w:rsidRPr="003A1174">
        <w:rPr>
          <w:rFonts w:ascii="Garamond" w:hAnsi="Garamond" w:cs="Arial"/>
          <w:sz w:val="24"/>
          <w:szCs w:val="24"/>
        </w:rPr>
        <w:t>mulheres</w:t>
      </w:r>
      <w:r w:rsidR="002E2C71" w:rsidRPr="003A1174">
        <w:rPr>
          <w:rFonts w:ascii="Garamond" w:hAnsi="Garamond" w:cs="Arial"/>
          <w:sz w:val="24"/>
          <w:szCs w:val="24"/>
        </w:rPr>
        <w:t xml:space="preserve"> e</w:t>
      </w:r>
      <w:r w:rsidR="00D84A9F" w:rsidRPr="003A1174">
        <w:rPr>
          <w:rFonts w:ascii="Garamond" w:hAnsi="Garamond" w:cs="Arial"/>
          <w:sz w:val="24"/>
          <w:szCs w:val="24"/>
        </w:rPr>
        <w:t xml:space="preserve">, </w:t>
      </w:r>
      <w:r w:rsidR="002E2C71" w:rsidRPr="003A1174">
        <w:rPr>
          <w:rFonts w:ascii="Garamond" w:hAnsi="Garamond" w:cs="Arial"/>
          <w:sz w:val="24"/>
          <w:szCs w:val="24"/>
        </w:rPr>
        <w:t>especial</w:t>
      </w:r>
      <w:r w:rsidR="00D84A9F" w:rsidRPr="003A1174">
        <w:rPr>
          <w:rFonts w:ascii="Garamond" w:hAnsi="Garamond" w:cs="Arial"/>
          <w:sz w:val="24"/>
          <w:szCs w:val="24"/>
        </w:rPr>
        <w:t>mente,</w:t>
      </w:r>
      <w:r w:rsidR="002E2C71" w:rsidRPr="003A1174">
        <w:rPr>
          <w:rFonts w:ascii="Garamond" w:hAnsi="Garamond" w:cs="Arial"/>
          <w:sz w:val="24"/>
          <w:szCs w:val="24"/>
        </w:rPr>
        <w:t xml:space="preserve"> </w:t>
      </w:r>
      <w:r w:rsidRPr="003A1174">
        <w:rPr>
          <w:rFonts w:ascii="Garamond" w:hAnsi="Garamond" w:cs="Arial"/>
          <w:sz w:val="24"/>
          <w:szCs w:val="24"/>
        </w:rPr>
        <w:t xml:space="preserve">a </w:t>
      </w:r>
      <w:r w:rsidR="002C7510" w:rsidRPr="003A1174">
        <w:rPr>
          <w:rFonts w:ascii="Garamond" w:hAnsi="Garamond" w:cs="Arial"/>
          <w:sz w:val="24"/>
          <w:szCs w:val="24"/>
        </w:rPr>
        <w:t>defesa</w:t>
      </w:r>
      <w:r w:rsidR="002E2C71" w:rsidRPr="003A1174">
        <w:rPr>
          <w:rFonts w:ascii="Garamond" w:hAnsi="Garamond" w:cs="Arial"/>
          <w:sz w:val="24"/>
          <w:szCs w:val="24"/>
        </w:rPr>
        <w:t xml:space="preserve"> e</w:t>
      </w:r>
      <w:r w:rsidRPr="003A1174">
        <w:rPr>
          <w:rFonts w:ascii="Garamond" w:hAnsi="Garamond" w:cs="Arial"/>
          <w:sz w:val="24"/>
          <w:szCs w:val="24"/>
        </w:rPr>
        <w:t xml:space="preserve"> </w:t>
      </w:r>
      <w:r w:rsidR="002F5CD1" w:rsidRPr="003A1174">
        <w:rPr>
          <w:rFonts w:ascii="Garamond" w:hAnsi="Garamond" w:cs="Arial"/>
          <w:sz w:val="24"/>
          <w:szCs w:val="24"/>
        </w:rPr>
        <w:t>promoção</w:t>
      </w:r>
      <w:r w:rsidR="002E2C71" w:rsidRPr="003A1174">
        <w:rPr>
          <w:rFonts w:ascii="Garamond" w:hAnsi="Garamond" w:cs="Arial"/>
          <w:sz w:val="24"/>
          <w:szCs w:val="24"/>
        </w:rPr>
        <w:t xml:space="preserve"> do</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 a u</w:t>
      </w:r>
      <w:r w:rsidR="002E2C71" w:rsidRPr="003A1174">
        <w:rPr>
          <w:rFonts w:ascii="Garamond" w:hAnsi="Garamond" w:cs="Arial"/>
          <w:sz w:val="24"/>
          <w:szCs w:val="24"/>
        </w:rPr>
        <w:t>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17447A" w:rsidRPr="003A1174">
        <w:rPr>
          <w:rFonts w:ascii="Garamond" w:hAnsi="Garamond" w:cs="Arial"/>
          <w:sz w:val="24"/>
          <w:szCs w:val="24"/>
        </w:rPr>
        <w:t>discriminação</w:t>
      </w:r>
      <w:r w:rsidR="002E2C71" w:rsidRPr="003A1174">
        <w:rPr>
          <w:rFonts w:ascii="Garamond" w:hAnsi="Garamond" w:cs="Arial"/>
          <w:sz w:val="24"/>
          <w:szCs w:val="24"/>
        </w:rPr>
        <w:t xml:space="preserve"> e</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de género, tanto </w:t>
      </w:r>
      <w:r w:rsidR="002E2C71" w:rsidRPr="003A1174">
        <w:rPr>
          <w:rFonts w:ascii="Garamond" w:hAnsi="Garamond" w:cs="Arial"/>
          <w:sz w:val="24"/>
          <w:szCs w:val="24"/>
        </w:rPr>
        <w:t xml:space="preserve">no </w:t>
      </w:r>
      <w:r w:rsidR="00802ACC" w:rsidRPr="003A1174">
        <w:rPr>
          <w:rFonts w:ascii="Garamond" w:hAnsi="Garamond" w:cs="Arial"/>
          <w:sz w:val="24"/>
          <w:szCs w:val="24"/>
        </w:rPr>
        <w:t>âmbito</w:t>
      </w:r>
      <w:r w:rsidRPr="003A1174">
        <w:rPr>
          <w:rFonts w:ascii="Garamond" w:hAnsi="Garamond" w:cs="Arial"/>
          <w:sz w:val="24"/>
          <w:szCs w:val="24"/>
        </w:rPr>
        <w:t xml:space="preserve"> público como </w:t>
      </w:r>
      <w:r w:rsidR="002E2C71" w:rsidRPr="003A1174">
        <w:rPr>
          <w:rFonts w:ascii="Garamond" w:hAnsi="Garamond" w:cs="Arial"/>
          <w:sz w:val="24"/>
          <w:szCs w:val="24"/>
        </w:rPr>
        <w:t xml:space="preserve">no </w:t>
      </w:r>
      <w:r w:rsidRPr="003A1174">
        <w:rPr>
          <w:rFonts w:ascii="Garamond" w:hAnsi="Garamond" w:cs="Arial"/>
          <w:sz w:val="24"/>
          <w:szCs w:val="24"/>
        </w:rPr>
        <w:t>privado.</w:t>
      </w:r>
    </w:p>
    <w:p w:rsidR="00A132B3" w:rsidRPr="003A1174" w:rsidRDefault="0094477F" w:rsidP="008719D4">
      <w:pPr>
        <w:spacing w:line="240" w:lineRule="auto"/>
        <w:jc w:val="both"/>
        <w:rPr>
          <w:rFonts w:ascii="Garamond" w:hAnsi="Garamond" w:cs="Arial"/>
          <w:sz w:val="24"/>
          <w:szCs w:val="24"/>
        </w:rPr>
      </w:pPr>
      <w:r w:rsidRPr="003A1174">
        <w:rPr>
          <w:rFonts w:ascii="Garamond" w:hAnsi="Garamond" w:cs="Arial"/>
          <w:sz w:val="24"/>
          <w:szCs w:val="24"/>
        </w:rPr>
        <w:t xml:space="preserve">Ora, </w:t>
      </w:r>
      <w:r w:rsidR="00D84A9F" w:rsidRPr="003A1174">
        <w:rPr>
          <w:rFonts w:ascii="Garamond" w:hAnsi="Garamond" w:cs="Arial"/>
          <w:sz w:val="24"/>
          <w:szCs w:val="24"/>
        </w:rPr>
        <w:t>em con</w:t>
      </w:r>
      <w:r w:rsidR="00A132B3" w:rsidRPr="003A1174">
        <w:rPr>
          <w:rFonts w:ascii="Garamond" w:hAnsi="Garamond" w:cs="Arial"/>
          <w:sz w:val="24"/>
          <w:szCs w:val="24"/>
        </w:rPr>
        <w:t>junt</w:t>
      </w:r>
      <w:r w:rsidR="00297367" w:rsidRPr="003A1174">
        <w:rPr>
          <w:rFonts w:ascii="Garamond" w:hAnsi="Garamond" w:cs="Arial"/>
          <w:sz w:val="24"/>
          <w:szCs w:val="24"/>
        </w:rPr>
        <w:t>o</w:t>
      </w:r>
      <w:r w:rsidR="00A132B3" w:rsidRPr="003A1174">
        <w:rPr>
          <w:rFonts w:ascii="Garamond" w:hAnsi="Garamond" w:cs="Arial"/>
          <w:sz w:val="24"/>
          <w:szCs w:val="24"/>
        </w:rPr>
        <w:t xml:space="preserve"> co</w:t>
      </w:r>
      <w:r w:rsidR="00D84A9F" w:rsidRPr="003A1174">
        <w:rPr>
          <w:rFonts w:ascii="Garamond" w:hAnsi="Garamond" w:cs="Arial"/>
          <w:sz w:val="24"/>
          <w:szCs w:val="24"/>
        </w:rPr>
        <w:t xml:space="preserve">m </w:t>
      </w:r>
      <w:r w:rsidR="00A132B3" w:rsidRPr="003A1174">
        <w:rPr>
          <w:rFonts w:ascii="Garamond" w:hAnsi="Garamond" w:cs="Arial"/>
          <w:sz w:val="24"/>
          <w:szCs w:val="24"/>
        </w:rPr>
        <w:t>a CADH</w:t>
      </w:r>
      <w:r w:rsidR="00297367" w:rsidRPr="003A1174">
        <w:rPr>
          <w:rFonts w:ascii="Garamond" w:hAnsi="Garamond" w:cs="Arial"/>
          <w:sz w:val="24"/>
          <w:szCs w:val="24"/>
        </w:rPr>
        <w:t>,</w:t>
      </w:r>
      <w:r w:rsidR="00D84A9F" w:rsidRPr="003A1174">
        <w:rPr>
          <w:rFonts w:ascii="Garamond" w:hAnsi="Garamond" w:cs="Arial"/>
          <w:sz w:val="24"/>
          <w:szCs w:val="24"/>
        </w:rPr>
        <w:t xml:space="preserve"> </w:t>
      </w:r>
      <w:r w:rsidR="00A132B3" w:rsidRPr="003A1174">
        <w:rPr>
          <w:rFonts w:ascii="Garamond" w:hAnsi="Garamond" w:cs="Arial"/>
          <w:sz w:val="24"/>
          <w:szCs w:val="24"/>
        </w:rPr>
        <w:t>os do</w:t>
      </w:r>
      <w:r w:rsidR="00D84A9F" w:rsidRPr="003A1174">
        <w:rPr>
          <w:rFonts w:ascii="Garamond" w:hAnsi="Garamond" w:cs="Arial"/>
          <w:sz w:val="24"/>
          <w:szCs w:val="24"/>
        </w:rPr>
        <w:t>i</w:t>
      </w:r>
      <w:r w:rsidR="00A132B3" w:rsidRPr="003A1174">
        <w:rPr>
          <w:rFonts w:ascii="Garamond" w:hAnsi="Garamond" w:cs="Arial"/>
          <w:sz w:val="24"/>
          <w:szCs w:val="24"/>
        </w:rPr>
        <w:t xml:space="preserve">s TIDHs </w:t>
      </w:r>
      <w:r w:rsidR="008B2886" w:rsidRPr="003A1174">
        <w:rPr>
          <w:rFonts w:ascii="Garamond" w:hAnsi="Garamond" w:cs="Arial"/>
          <w:sz w:val="24"/>
          <w:szCs w:val="24"/>
        </w:rPr>
        <w:t xml:space="preserve">de </w:t>
      </w:r>
      <w:r w:rsidR="00863197" w:rsidRPr="003A1174">
        <w:rPr>
          <w:rFonts w:ascii="Garamond" w:hAnsi="Garamond" w:cs="Arial"/>
          <w:sz w:val="24"/>
          <w:szCs w:val="24"/>
        </w:rPr>
        <w:t>maior</w:t>
      </w:r>
      <w:r w:rsidR="008B2886" w:rsidRPr="003A1174">
        <w:rPr>
          <w:rFonts w:ascii="Garamond" w:hAnsi="Garamond" w:cs="Arial"/>
          <w:sz w:val="24"/>
          <w:szCs w:val="24"/>
        </w:rPr>
        <w:t xml:space="preserve"> </w:t>
      </w:r>
      <w:r w:rsidR="002E2C71" w:rsidRPr="003A1174">
        <w:rPr>
          <w:rFonts w:ascii="Garamond" w:hAnsi="Garamond" w:cs="Arial"/>
          <w:sz w:val="24"/>
          <w:szCs w:val="24"/>
        </w:rPr>
        <w:t>relevância</w:t>
      </w:r>
      <w:r w:rsidR="0097081E">
        <w:rPr>
          <w:rFonts w:ascii="Garamond" w:hAnsi="Garamond" w:cs="Arial"/>
          <w:sz w:val="24"/>
          <w:szCs w:val="24"/>
        </w:rPr>
        <w:t>,</w:t>
      </w:r>
      <w:r w:rsidR="008B2886" w:rsidRPr="003A1174">
        <w:rPr>
          <w:rFonts w:ascii="Garamond" w:hAnsi="Garamond" w:cs="Arial"/>
          <w:sz w:val="24"/>
          <w:szCs w:val="24"/>
        </w:rPr>
        <w:t xml:space="preserve"> </w:t>
      </w:r>
      <w:r w:rsidR="00D84A9F" w:rsidRPr="003A1174">
        <w:rPr>
          <w:rFonts w:ascii="Garamond" w:hAnsi="Garamond" w:cs="Arial"/>
          <w:sz w:val="24"/>
          <w:szCs w:val="24"/>
        </w:rPr>
        <w:t xml:space="preserve">relativamente ao </w:t>
      </w:r>
      <w:r w:rsidR="00A132B3" w:rsidRPr="003A1174">
        <w:rPr>
          <w:rFonts w:ascii="Garamond" w:hAnsi="Garamond" w:cs="Arial"/>
          <w:sz w:val="24"/>
          <w:szCs w:val="24"/>
        </w:rPr>
        <w:t xml:space="preserve">fenómeno da </w:t>
      </w:r>
      <w:r w:rsidR="000350B1" w:rsidRPr="003A1174">
        <w:rPr>
          <w:rFonts w:ascii="Garamond" w:hAnsi="Garamond" w:cs="Arial"/>
          <w:sz w:val="24"/>
          <w:szCs w:val="24"/>
        </w:rPr>
        <w:t>violência</w:t>
      </w:r>
      <w:r w:rsidR="00D84A9F" w:rsidRPr="003A1174">
        <w:rPr>
          <w:rFonts w:ascii="Garamond" w:hAnsi="Garamond" w:cs="Arial"/>
          <w:sz w:val="24"/>
          <w:szCs w:val="24"/>
        </w:rPr>
        <w:t xml:space="preserve"> contra </w:t>
      </w:r>
      <w:r w:rsidR="00A132B3" w:rsidRPr="003A1174">
        <w:rPr>
          <w:rFonts w:ascii="Garamond" w:hAnsi="Garamond" w:cs="Arial"/>
          <w:sz w:val="24"/>
          <w:szCs w:val="24"/>
        </w:rPr>
        <w:t xml:space="preserve">as </w:t>
      </w:r>
      <w:r w:rsidR="00054EE0" w:rsidRPr="003A1174">
        <w:rPr>
          <w:rFonts w:ascii="Garamond" w:hAnsi="Garamond" w:cs="Arial"/>
          <w:sz w:val="24"/>
          <w:szCs w:val="24"/>
        </w:rPr>
        <w:t>mulheres</w:t>
      </w:r>
      <w:r w:rsidR="0097081E">
        <w:rPr>
          <w:rFonts w:ascii="Garamond" w:hAnsi="Garamond" w:cs="Arial"/>
          <w:sz w:val="24"/>
          <w:szCs w:val="24"/>
        </w:rPr>
        <w:t>,</w:t>
      </w:r>
      <w:r w:rsidR="008B2886" w:rsidRPr="003A1174">
        <w:rPr>
          <w:rFonts w:ascii="Garamond" w:hAnsi="Garamond" w:cs="Arial"/>
          <w:sz w:val="24"/>
          <w:szCs w:val="24"/>
        </w:rPr>
        <w:t xml:space="preserve"> s</w:t>
      </w:r>
      <w:r w:rsidR="00D84A9F" w:rsidRPr="003A1174">
        <w:rPr>
          <w:rFonts w:ascii="Garamond" w:hAnsi="Garamond" w:cs="Arial"/>
          <w:sz w:val="24"/>
          <w:szCs w:val="24"/>
        </w:rPr>
        <w:t xml:space="preserve">ão </w:t>
      </w:r>
      <w:r w:rsidR="008B2886" w:rsidRPr="003A1174">
        <w:rPr>
          <w:rFonts w:ascii="Garamond" w:hAnsi="Garamond" w:cs="Arial"/>
          <w:sz w:val="24"/>
          <w:szCs w:val="24"/>
        </w:rPr>
        <w:t xml:space="preserve">a </w:t>
      </w:r>
      <w:r w:rsidR="00B14AA6" w:rsidRPr="003A1174">
        <w:rPr>
          <w:rFonts w:ascii="Garamond" w:eastAsia="SimSun" w:hAnsi="Garamond" w:cs="Arial"/>
          <w:i/>
          <w:iCs/>
          <w:color w:val="00000A"/>
          <w:sz w:val="24"/>
          <w:szCs w:val="24"/>
        </w:rPr>
        <w:t>Convenção</w:t>
      </w:r>
      <w:r w:rsidR="00D84A9F" w:rsidRPr="003A1174">
        <w:rPr>
          <w:rFonts w:ascii="Garamond" w:eastAsia="SimSun" w:hAnsi="Garamond" w:cs="Arial"/>
          <w:i/>
          <w:iCs/>
          <w:color w:val="00000A"/>
          <w:sz w:val="24"/>
          <w:szCs w:val="24"/>
        </w:rPr>
        <w:t xml:space="preserve"> sobre </w:t>
      </w:r>
      <w:r w:rsidR="008B2886" w:rsidRPr="003A1174">
        <w:rPr>
          <w:rFonts w:ascii="Garamond" w:eastAsia="SimSun" w:hAnsi="Garamond" w:cs="Arial"/>
          <w:i/>
          <w:iCs/>
          <w:color w:val="00000A"/>
          <w:sz w:val="24"/>
          <w:szCs w:val="24"/>
        </w:rPr>
        <w:t xml:space="preserve">a </w:t>
      </w:r>
      <w:r w:rsidR="008E7A2A" w:rsidRPr="003A1174">
        <w:rPr>
          <w:rFonts w:ascii="Garamond" w:eastAsia="SimSun" w:hAnsi="Garamond" w:cs="Arial"/>
          <w:i/>
          <w:iCs/>
          <w:color w:val="00000A"/>
          <w:sz w:val="24"/>
          <w:szCs w:val="24"/>
        </w:rPr>
        <w:t>Eliminação</w:t>
      </w:r>
      <w:r w:rsidR="00D84A9F" w:rsidRPr="003A1174">
        <w:rPr>
          <w:rFonts w:ascii="Garamond" w:eastAsia="SimSun" w:hAnsi="Garamond" w:cs="Arial"/>
          <w:i/>
          <w:iCs/>
          <w:color w:val="00000A"/>
          <w:sz w:val="24"/>
          <w:szCs w:val="24"/>
        </w:rPr>
        <w:t xml:space="preserve"> de Todas </w:t>
      </w:r>
      <w:r w:rsidR="008B2886" w:rsidRPr="003A1174">
        <w:rPr>
          <w:rFonts w:ascii="Garamond" w:eastAsia="SimSun" w:hAnsi="Garamond" w:cs="Arial"/>
          <w:i/>
          <w:iCs/>
          <w:color w:val="00000A"/>
          <w:sz w:val="24"/>
          <w:szCs w:val="24"/>
        </w:rPr>
        <w:t xml:space="preserve">as Formas de </w:t>
      </w:r>
      <w:r w:rsidR="0017447A" w:rsidRPr="003A1174">
        <w:rPr>
          <w:rFonts w:ascii="Garamond" w:eastAsia="SimSun" w:hAnsi="Garamond" w:cs="Arial"/>
          <w:i/>
          <w:iCs/>
          <w:color w:val="00000A"/>
          <w:sz w:val="24"/>
          <w:szCs w:val="24"/>
        </w:rPr>
        <w:t>Discriminação</w:t>
      </w:r>
      <w:r w:rsidR="00D84A9F" w:rsidRPr="003A1174">
        <w:rPr>
          <w:rFonts w:ascii="Garamond" w:eastAsia="SimSun" w:hAnsi="Garamond" w:cs="Arial"/>
          <w:i/>
          <w:iCs/>
          <w:color w:val="00000A"/>
          <w:sz w:val="24"/>
          <w:szCs w:val="24"/>
        </w:rPr>
        <w:t xml:space="preserve"> contra </w:t>
      </w:r>
      <w:r w:rsidR="008B2886" w:rsidRPr="003A1174">
        <w:rPr>
          <w:rFonts w:ascii="Garamond" w:eastAsia="SimSun" w:hAnsi="Garamond" w:cs="Arial"/>
          <w:i/>
          <w:iCs/>
          <w:color w:val="00000A"/>
          <w:sz w:val="24"/>
          <w:szCs w:val="24"/>
        </w:rPr>
        <w:t xml:space="preserve">a </w:t>
      </w:r>
      <w:r w:rsidR="00AF192F" w:rsidRPr="003A1174">
        <w:rPr>
          <w:rFonts w:ascii="Garamond" w:eastAsia="SimSun" w:hAnsi="Garamond" w:cs="Arial"/>
          <w:i/>
          <w:iCs/>
          <w:color w:val="00000A"/>
          <w:sz w:val="24"/>
          <w:szCs w:val="24"/>
        </w:rPr>
        <w:t>Mulher</w:t>
      </w:r>
      <w:r w:rsidR="008B2886" w:rsidRPr="003A1174">
        <w:rPr>
          <w:rStyle w:val="Refdenotaalpie"/>
          <w:rFonts w:ascii="Garamond" w:hAnsi="Garamond" w:cs="Arial"/>
          <w:b/>
          <w:sz w:val="24"/>
          <w:szCs w:val="24"/>
        </w:rPr>
        <w:footnoteReference w:id="6"/>
      </w:r>
      <w:r w:rsidR="008B2886" w:rsidRPr="003A1174">
        <w:rPr>
          <w:rFonts w:ascii="Garamond" w:eastAsia="SimSun" w:hAnsi="Garamond" w:cs="Arial"/>
          <w:i/>
          <w:iCs/>
          <w:color w:val="00000A"/>
          <w:sz w:val="24"/>
          <w:szCs w:val="24"/>
        </w:rPr>
        <w:t xml:space="preserve"> </w:t>
      </w:r>
      <w:r w:rsidR="00D84A9F" w:rsidRPr="003A1174">
        <w:rPr>
          <w:rFonts w:ascii="Garamond" w:eastAsia="SimSun" w:hAnsi="Garamond" w:cs="Arial"/>
          <w:iCs/>
          <w:color w:val="00000A"/>
          <w:sz w:val="24"/>
          <w:szCs w:val="24"/>
        </w:rPr>
        <w:t xml:space="preserve">e </w:t>
      </w:r>
      <w:r w:rsidR="008B2886" w:rsidRPr="003A1174">
        <w:rPr>
          <w:rFonts w:ascii="Garamond" w:eastAsia="SimSun" w:hAnsi="Garamond" w:cs="Arial"/>
          <w:iCs/>
          <w:color w:val="00000A"/>
          <w:sz w:val="24"/>
          <w:szCs w:val="24"/>
        </w:rPr>
        <w:t xml:space="preserve">a </w:t>
      </w:r>
      <w:r w:rsidR="00B14AA6" w:rsidRPr="003A1174">
        <w:rPr>
          <w:rFonts w:ascii="Garamond" w:eastAsia="SimSun" w:hAnsi="Garamond" w:cs="Arial"/>
          <w:i/>
          <w:iCs/>
          <w:sz w:val="24"/>
          <w:szCs w:val="24"/>
        </w:rPr>
        <w:t>Convenção</w:t>
      </w:r>
      <w:r w:rsidR="008B2886" w:rsidRPr="003A1174">
        <w:rPr>
          <w:rFonts w:ascii="Garamond" w:eastAsia="SimSun" w:hAnsi="Garamond" w:cs="Arial"/>
          <w:i/>
          <w:iCs/>
          <w:sz w:val="24"/>
          <w:szCs w:val="24"/>
        </w:rPr>
        <w:t xml:space="preserve"> Interamericana </w:t>
      </w:r>
      <w:r w:rsidR="008B2886" w:rsidRPr="003A1174">
        <w:rPr>
          <w:rFonts w:ascii="Garamond" w:eastAsia="SimSun" w:hAnsi="Garamond" w:cs="Arial"/>
          <w:i/>
          <w:iCs/>
          <w:color w:val="00000A"/>
          <w:sz w:val="24"/>
          <w:szCs w:val="24"/>
        </w:rPr>
        <w:t xml:space="preserve">para </w:t>
      </w:r>
      <w:r w:rsidR="003F493C" w:rsidRPr="003A1174">
        <w:rPr>
          <w:rFonts w:ascii="Garamond" w:eastAsia="SimSun" w:hAnsi="Garamond" w:cs="Arial"/>
          <w:i/>
          <w:iCs/>
          <w:color w:val="00000A"/>
          <w:sz w:val="24"/>
          <w:szCs w:val="24"/>
        </w:rPr>
        <w:t>Prevenir, Punir e Erradicar</w:t>
      </w:r>
      <w:r w:rsidR="00D84A9F" w:rsidRPr="003A1174">
        <w:rPr>
          <w:rFonts w:ascii="Garamond" w:eastAsia="SimSun" w:hAnsi="Garamond" w:cs="Arial"/>
          <w:i/>
          <w:iCs/>
          <w:color w:val="00000A"/>
          <w:sz w:val="24"/>
          <w:szCs w:val="24"/>
        </w:rPr>
        <w:t xml:space="preserve"> </w:t>
      </w:r>
      <w:r w:rsidR="008B2886" w:rsidRPr="003A1174">
        <w:rPr>
          <w:rFonts w:ascii="Garamond" w:eastAsia="SimSun" w:hAnsi="Garamond" w:cs="Arial"/>
          <w:i/>
          <w:iCs/>
          <w:color w:val="00000A"/>
          <w:sz w:val="24"/>
          <w:szCs w:val="24"/>
        </w:rPr>
        <w:t xml:space="preserve">a </w:t>
      </w:r>
      <w:r w:rsidR="000350B1" w:rsidRPr="003A1174">
        <w:rPr>
          <w:rFonts w:ascii="Garamond" w:eastAsia="SimSun" w:hAnsi="Garamond" w:cs="Arial"/>
          <w:i/>
          <w:iCs/>
          <w:color w:val="00000A"/>
          <w:sz w:val="24"/>
          <w:szCs w:val="24"/>
        </w:rPr>
        <w:t>Violência</w:t>
      </w:r>
      <w:r w:rsidR="00D84A9F" w:rsidRPr="003A1174">
        <w:rPr>
          <w:rFonts w:ascii="Garamond" w:eastAsia="SimSun" w:hAnsi="Garamond" w:cs="Arial"/>
          <w:i/>
          <w:iCs/>
          <w:color w:val="00000A"/>
          <w:sz w:val="24"/>
          <w:szCs w:val="24"/>
        </w:rPr>
        <w:t xml:space="preserve"> contra </w:t>
      </w:r>
      <w:r w:rsidR="008B2886" w:rsidRPr="003A1174">
        <w:rPr>
          <w:rFonts w:ascii="Garamond" w:eastAsia="SimSun" w:hAnsi="Garamond" w:cs="Arial"/>
          <w:i/>
          <w:iCs/>
          <w:color w:val="00000A"/>
          <w:sz w:val="24"/>
          <w:szCs w:val="24"/>
        </w:rPr>
        <w:t xml:space="preserve">a </w:t>
      </w:r>
      <w:r w:rsidR="00AF192F" w:rsidRPr="003A1174">
        <w:rPr>
          <w:rFonts w:ascii="Garamond" w:eastAsia="SimSun" w:hAnsi="Garamond" w:cs="Arial"/>
          <w:i/>
          <w:iCs/>
          <w:color w:val="00000A"/>
          <w:sz w:val="24"/>
          <w:szCs w:val="24"/>
        </w:rPr>
        <w:t>Mulher</w:t>
      </w:r>
      <w:r w:rsidR="00A132B3" w:rsidRPr="003A1174">
        <w:rPr>
          <w:rFonts w:ascii="Garamond" w:hAnsi="Garamond" w:cs="Arial"/>
          <w:sz w:val="24"/>
          <w:szCs w:val="24"/>
        </w:rPr>
        <w:t xml:space="preserve">. </w:t>
      </w:r>
      <w:r w:rsidR="00D84A9F" w:rsidRPr="003A1174">
        <w:rPr>
          <w:rFonts w:ascii="Garamond" w:hAnsi="Garamond" w:cs="Arial"/>
          <w:sz w:val="24"/>
          <w:szCs w:val="24"/>
        </w:rPr>
        <w:t xml:space="preserve">Com </w:t>
      </w:r>
      <w:r w:rsidR="00863197" w:rsidRPr="003A1174">
        <w:rPr>
          <w:rFonts w:ascii="Garamond" w:hAnsi="Garamond" w:cs="Arial"/>
          <w:sz w:val="24"/>
          <w:szCs w:val="24"/>
        </w:rPr>
        <w:t>efeito</w:t>
      </w:r>
      <w:r w:rsidR="00A132B3" w:rsidRPr="003A1174">
        <w:rPr>
          <w:rFonts w:ascii="Garamond" w:hAnsi="Garamond" w:cs="Arial"/>
          <w:sz w:val="24"/>
          <w:szCs w:val="24"/>
        </w:rPr>
        <w:t>,</w:t>
      </w:r>
      <w:r w:rsidRPr="003A1174">
        <w:rPr>
          <w:rFonts w:ascii="Garamond" w:hAnsi="Garamond" w:cs="Arial"/>
          <w:sz w:val="24"/>
          <w:szCs w:val="24"/>
        </w:rPr>
        <w:t xml:space="preserve"> apesar d</w:t>
      </w:r>
      <w:r w:rsidR="00A132B3" w:rsidRPr="003A1174">
        <w:rPr>
          <w:rFonts w:ascii="Garamond" w:hAnsi="Garamond" w:cs="Arial"/>
          <w:sz w:val="24"/>
          <w:szCs w:val="24"/>
        </w:rPr>
        <w:t xml:space="preserve">a </w:t>
      </w:r>
      <w:r w:rsidR="004C1496" w:rsidRPr="003A1174">
        <w:rPr>
          <w:rFonts w:ascii="Garamond" w:hAnsi="Garamond" w:cs="Arial"/>
          <w:sz w:val="24"/>
          <w:szCs w:val="24"/>
        </w:rPr>
        <w:t>primeira</w:t>
      </w:r>
      <w:r w:rsidR="008B2886" w:rsidRPr="003A1174">
        <w:rPr>
          <w:rFonts w:ascii="Garamond" w:hAnsi="Garamond" w:cs="Arial"/>
          <w:sz w:val="24"/>
          <w:szCs w:val="24"/>
        </w:rPr>
        <w:t xml:space="preserve"> das mencionadas</w:t>
      </w:r>
      <w:r w:rsidR="0097081E">
        <w:rPr>
          <w:rFonts w:ascii="Garamond" w:hAnsi="Garamond" w:cs="Arial"/>
          <w:sz w:val="24"/>
          <w:szCs w:val="24"/>
        </w:rPr>
        <w:t>,</w:t>
      </w:r>
      <w:r w:rsidR="00A132B3" w:rsidRPr="003A1174">
        <w:rPr>
          <w:rFonts w:ascii="Garamond" w:hAnsi="Garamond" w:cs="Arial"/>
          <w:sz w:val="24"/>
          <w:szCs w:val="24"/>
        </w:rPr>
        <w:t xml:space="preserve"> n</w:t>
      </w:r>
      <w:r w:rsidR="00D84A9F" w:rsidRPr="003A1174">
        <w:rPr>
          <w:rFonts w:ascii="Garamond" w:hAnsi="Garamond" w:cs="Arial"/>
          <w:sz w:val="24"/>
          <w:szCs w:val="24"/>
        </w:rPr>
        <w:t>ã</w:t>
      </w:r>
      <w:r w:rsidR="00A132B3" w:rsidRPr="003A1174">
        <w:rPr>
          <w:rFonts w:ascii="Garamond" w:hAnsi="Garamond" w:cs="Arial"/>
          <w:sz w:val="24"/>
          <w:szCs w:val="24"/>
        </w:rPr>
        <w:t>o defin</w:t>
      </w:r>
      <w:r w:rsidRPr="003A1174">
        <w:rPr>
          <w:rFonts w:ascii="Garamond" w:hAnsi="Garamond" w:cs="Arial"/>
          <w:sz w:val="24"/>
          <w:szCs w:val="24"/>
        </w:rPr>
        <w:t xml:space="preserve">ir </w:t>
      </w:r>
      <w:r w:rsidR="00D84A9F" w:rsidRPr="003A1174">
        <w:rPr>
          <w:rFonts w:ascii="Garamond" w:hAnsi="Garamond" w:cs="Arial"/>
          <w:sz w:val="24"/>
          <w:szCs w:val="24"/>
        </w:rPr>
        <w:t xml:space="preserve">o referido </w:t>
      </w:r>
      <w:r w:rsidR="00A132B3" w:rsidRPr="003A1174">
        <w:rPr>
          <w:rFonts w:ascii="Garamond" w:hAnsi="Garamond" w:cs="Arial"/>
          <w:sz w:val="24"/>
          <w:szCs w:val="24"/>
        </w:rPr>
        <w:t xml:space="preserve">fenómeno de </w:t>
      </w:r>
      <w:r w:rsidR="00D84A9F" w:rsidRPr="003A1174">
        <w:rPr>
          <w:rFonts w:ascii="Garamond" w:hAnsi="Garamond" w:cs="Arial"/>
          <w:sz w:val="24"/>
          <w:szCs w:val="24"/>
        </w:rPr>
        <w:t xml:space="preserve">forma </w:t>
      </w:r>
      <w:r w:rsidR="00524936" w:rsidRPr="003A1174">
        <w:rPr>
          <w:rFonts w:ascii="Garamond" w:hAnsi="Garamond" w:cs="Arial"/>
          <w:sz w:val="24"/>
          <w:szCs w:val="24"/>
        </w:rPr>
        <w:t>expressa</w:t>
      </w:r>
      <w:r w:rsidR="0097081E">
        <w:rPr>
          <w:rFonts w:ascii="Garamond" w:hAnsi="Garamond" w:cs="Arial"/>
          <w:sz w:val="24"/>
          <w:szCs w:val="24"/>
        </w:rPr>
        <w:t>,</w:t>
      </w:r>
      <w:r w:rsidR="00A132B3" w:rsidRPr="003A1174">
        <w:rPr>
          <w:rFonts w:ascii="Garamond" w:hAnsi="Garamond" w:cs="Arial"/>
          <w:sz w:val="24"/>
          <w:szCs w:val="24"/>
        </w:rPr>
        <w:t xml:space="preserve"> </w:t>
      </w:r>
      <w:r w:rsidR="00524936" w:rsidRPr="003A1174">
        <w:rPr>
          <w:rFonts w:ascii="Garamond" w:hAnsi="Garamond" w:cs="Arial"/>
          <w:sz w:val="24"/>
          <w:szCs w:val="24"/>
        </w:rPr>
        <w:t xml:space="preserve">no </w:t>
      </w:r>
      <w:r w:rsidR="00A132B3" w:rsidRPr="003A1174">
        <w:rPr>
          <w:rFonts w:ascii="Garamond" w:hAnsi="Garamond" w:cs="Arial"/>
          <w:sz w:val="24"/>
          <w:szCs w:val="24"/>
        </w:rPr>
        <w:t>s</w:t>
      </w:r>
      <w:r w:rsidR="00524936" w:rsidRPr="003A1174">
        <w:rPr>
          <w:rFonts w:ascii="Garamond" w:hAnsi="Garamond" w:cs="Arial"/>
          <w:sz w:val="24"/>
          <w:szCs w:val="24"/>
        </w:rPr>
        <w:t>e</w:t>
      </w:r>
      <w:r w:rsidR="00A132B3" w:rsidRPr="003A1174">
        <w:rPr>
          <w:rFonts w:ascii="Garamond" w:hAnsi="Garamond" w:cs="Arial"/>
          <w:sz w:val="24"/>
          <w:szCs w:val="24"/>
        </w:rPr>
        <w:t xml:space="preserve">u </w:t>
      </w:r>
      <w:r w:rsidR="00524936" w:rsidRPr="003A1174">
        <w:rPr>
          <w:rFonts w:ascii="Garamond" w:hAnsi="Garamond" w:cs="Arial"/>
          <w:sz w:val="24"/>
          <w:szCs w:val="24"/>
        </w:rPr>
        <w:t>conteúdo</w:t>
      </w:r>
      <w:r w:rsidR="00A132B3" w:rsidRPr="003A1174">
        <w:rPr>
          <w:rFonts w:ascii="Garamond" w:hAnsi="Garamond" w:cs="Arial"/>
          <w:sz w:val="24"/>
          <w:szCs w:val="24"/>
        </w:rPr>
        <w:t>, prev</w:t>
      </w:r>
      <w:r w:rsidR="00524936" w:rsidRPr="003A1174">
        <w:rPr>
          <w:rFonts w:ascii="Garamond" w:hAnsi="Garamond" w:cs="Arial"/>
          <w:sz w:val="24"/>
          <w:szCs w:val="24"/>
        </w:rPr>
        <w:t xml:space="preserve">ê-o </w:t>
      </w:r>
      <w:r w:rsidR="00A132B3" w:rsidRPr="003A1174">
        <w:rPr>
          <w:rFonts w:ascii="Garamond" w:hAnsi="Garamond" w:cs="Arial"/>
          <w:sz w:val="24"/>
          <w:szCs w:val="24"/>
        </w:rPr>
        <w:t xml:space="preserve">de </w:t>
      </w:r>
      <w:r w:rsidR="00524936" w:rsidRPr="003A1174">
        <w:rPr>
          <w:rFonts w:ascii="Garamond" w:hAnsi="Garamond" w:cs="Arial"/>
          <w:sz w:val="24"/>
          <w:szCs w:val="24"/>
        </w:rPr>
        <w:t xml:space="preserve">forma </w:t>
      </w:r>
      <w:r w:rsidR="00A132B3" w:rsidRPr="003A1174">
        <w:rPr>
          <w:rFonts w:ascii="Garamond" w:hAnsi="Garamond" w:cs="Arial"/>
          <w:sz w:val="24"/>
          <w:szCs w:val="24"/>
        </w:rPr>
        <w:t>implícita.</w:t>
      </w:r>
      <w:r w:rsidRPr="003A1174">
        <w:rPr>
          <w:rFonts w:ascii="Garamond" w:hAnsi="Garamond" w:cs="Arial"/>
          <w:sz w:val="24"/>
          <w:szCs w:val="24"/>
        </w:rPr>
        <w:t xml:space="preserve"> De tal forma é assim </w:t>
      </w:r>
      <w:r w:rsidR="00A132B3" w:rsidRPr="003A1174">
        <w:rPr>
          <w:rFonts w:ascii="Garamond" w:hAnsi="Garamond" w:cs="Arial"/>
          <w:sz w:val="24"/>
          <w:szCs w:val="24"/>
        </w:rPr>
        <w:t>que</w:t>
      </w:r>
      <w:r w:rsidR="0097081E">
        <w:rPr>
          <w:rFonts w:ascii="Garamond" w:hAnsi="Garamond" w:cs="Arial"/>
          <w:sz w:val="24"/>
          <w:szCs w:val="24"/>
        </w:rPr>
        <w:t>,</w:t>
      </w:r>
      <w:r w:rsidR="00A132B3" w:rsidRPr="003A1174">
        <w:rPr>
          <w:rFonts w:ascii="Garamond" w:hAnsi="Garamond" w:cs="Arial"/>
          <w:sz w:val="24"/>
          <w:szCs w:val="24"/>
        </w:rPr>
        <w:t xml:space="preserve"> </w:t>
      </w:r>
      <w:r w:rsidR="00524936" w:rsidRPr="003A1174">
        <w:rPr>
          <w:rFonts w:ascii="Garamond" w:hAnsi="Garamond" w:cs="Arial"/>
          <w:sz w:val="24"/>
          <w:szCs w:val="24"/>
        </w:rPr>
        <w:t xml:space="preserve">o Comité para </w:t>
      </w:r>
      <w:r w:rsidR="00A132B3" w:rsidRPr="003A1174">
        <w:rPr>
          <w:rFonts w:ascii="Garamond" w:hAnsi="Garamond" w:cs="Arial"/>
          <w:sz w:val="24"/>
          <w:szCs w:val="24"/>
        </w:rPr>
        <w:t xml:space="preserve">a </w:t>
      </w:r>
      <w:r w:rsidR="008E7A2A" w:rsidRPr="003A1174">
        <w:rPr>
          <w:rFonts w:ascii="Garamond" w:hAnsi="Garamond" w:cs="Arial"/>
          <w:sz w:val="24"/>
          <w:szCs w:val="24"/>
        </w:rPr>
        <w:t>Eliminação</w:t>
      </w:r>
      <w:r w:rsidR="00A132B3" w:rsidRPr="003A1174">
        <w:rPr>
          <w:rFonts w:ascii="Garamond" w:hAnsi="Garamond" w:cs="Arial"/>
          <w:sz w:val="24"/>
          <w:szCs w:val="24"/>
        </w:rPr>
        <w:t xml:space="preserve"> da </w:t>
      </w:r>
      <w:r w:rsidR="0017447A" w:rsidRPr="003A1174">
        <w:rPr>
          <w:rFonts w:ascii="Garamond" w:hAnsi="Garamond" w:cs="Arial"/>
          <w:sz w:val="24"/>
          <w:szCs w:val="24"/>
        </w:rPr>
        <w:t>Discriminação</w:t>
      </w:r>
      <w:r w:rsidR="00A132B3" w:rsidRPr="003A1174">
        <w:rPr>
          <w:rFonts w:ascii="Garamond" w:hAnsi="Garamond" w:cs="Arial"/>
          <w:sz w:val="24"/>
          <w:szCs w:val="24"/>
        </w:rPr>
        <w:t xml:space="preserve"> cont</w:t>
      </w:r>
      <w:r w:rsidR="00524936" w:rsidRPr="003A1174">
        <w:rPr>
          <w:rFonts w:ascii="Garamond" w:hAnsi="Garamond" w:cs="Arial"/>
          <w:sz w:val="24"/>
          <w:szCs w:val="24"/>
        </w:rPr>
        <w:t xml:space="preserve">ra </w:t>
      </w:r>
      <w:r w:rsidR="00A132B3" w:rsidRPr="003A1174">
        <w:rPr>
          <w:rFonts w:ascii="Garamond" w:hAnsi="Garamond" w:cs="Arial"/>
          <w:sz w:val="24"/>
          <w:szCs w:val="24"/>
        </w:rPr>
        <w:t xml:space="preserve">a </w:t>
      </w:r>
      <w:r w:rsidR="00AF192F" w:rsidRPr="003A1174">
        <w:rPr>
          <w:rFonts w:ascii="Garamond" w:hAnsi="Garamond" w:cs="Arial"/>
          <w:sz w:val="24"/>
          <w:szCs w:val="24"/>
        </w:rPr>
        <w:t>Mulher</w:t>
      </w:r>
      <w:r w:rsidR="00A132B3" w:rsidRPr="003A1174">
        <w:rPr>
          <w:rFonts w:ascii="Garamond" w:hAnsi="Garamond" w:cs="Arial"/>
          <w:sz w:val="24"/>
          <w:szCs w:val="24"/>
        </w:rPr>
        <w:t xml:space="preserve">, que </w:t>
      </w:r>
      <w:r w:rsidR="00EC6FD0">
        <w:rPr>
          <w:rFonts w:ascii="Garamond" w:hAnsi="Garamond" w:cs="Arial"/>
          <w:sz w:val="24"/>
          <w:szCs w:val="24"/>
        </w:rPr>
        <w:t xml:space="preserve">teve origem na </w:t>
      </w:r>
      <w:r w:rsidR="00B14AA6" w:rsidRPr="003A1174">
        <w:rPr>
          <w:rFonts w:ascii="Garamond" w:hAnsi="Garamond" w:cs="Arial"/>
          <w:sz w:val="24"/>
          <w:szCs w:val="24"/>
        </w:rPr>
        <w:t>Convenção</w:t>
      </w:r>
      <w:r w:rsidR="00524936" w:rsidRPr="003A1174">
        <w:rPr>
          <w:rFonts w:ascii="Garamond" w:hAnsi="Garamond" w:cs="Arial"/>
          <w:sz w:val="24"/>
          <w:szCs w:val="24"/>
        </w:rPr>
        <w:t xml:space="preserve"> em</w:t>
      </w:r>
      <w:r w:rsidR="00A132B3" w:rsidRPr="003A1174">
        <w:rPr>
          <w:rFonts w:ascii="Garamond" w:hAnsi="Garamond" w:cs="Arial"/>
          <w:sz w:val="24"/>
          <w:szCs w:val="24"/>
        </w:rPr>
        <w:t xml:space="preserve"> </w:t>
      </w:r>
      <w:r w:rsidR="00CB5DB2" w:rsidRPr="003A1174">
        <w:rPr>
          <w:rFonts w:ascii="Garamond" w:hAnsi="Garamond" w:cs="Arial"/>
          <w:sz w:val="24"/>
          <w:szCs w:val="24"/>
        </w:rPr>
        <w:t>referência</w:t>
      </w:r>
      <w:r w:rsidR="00A132B3" w:rsidRPr="003A1174">
        <w:rPr>
          <w:rFonts w:ascii="Garamond" w:hAnsi="Garamond" w:cs="Arial"/>
          <w:sz w:val="24"/>
          <w:szCs w:val="24"/>
        </w:rPr>
        <w:t>, a</w:t>
      </w:r>
      <w:r w:rsidR="00524936" w:rsidRPr="003A1174">
        <w:rPr>
          <w:rFonts w:ascii="Garamond" w:hAnsi="Garamond" w:cs="Arial"/>
          <w:sz w:val="24"/>
          <w:szCs w:val="24"/>
        </w:rPr>
        <w:t>o</w:t>
      </w:r>
      <w:r w:rsidR="00A132B3" w:rsidRPr="003A1174">
        <w:rPr>
          <w:rFonts w:ascii="Garamond" w:hAnsi="Garamond" w:cs="Arial"/>
          <w:sz w:val="24"/>
          <w:szCs w:val="24"/>
        </w:rPr>
        <w:t xml:space="preserve"> interpreta</w:t>
      </w:r>
      <w:r w:rsidR="00524936" w:rsidRPr="003A1174">
        <w:rPr>
          <w:rFonts w:ascii="Garamond" w:hAnsi="Garamond" w:cs="Arial"/>
          <w:sz w:val="24"/>
          <w:szCs w:val="24"/>
        </w:rPr>
        <w:t xml:space="preserve">r </w:t>
      </w:r>
      <w:r w:rsidR="008B2886" w:rsidRPr="003A1174">
        <w:rPr>
          <w:rFonts w:ascii="Garamond" w:hAnsi="Garamond" w:cs="Arial"/>
          <w:sz w:val="24"/>
          <w:szCs w:val="24"/>
        </w:rPr>
        <w:t xml:space="preserve">a </w:t>
      </w:r>
      <w:r w:rsidR="00524936" w:rsidRPr="003A1174">
        <w:rPr>
          <w:rFonts w:ascii="Garamond" w:hAnsi="Garamond" w:cs="Arial"/>
          <w:sz w:val="24"/>
          <w:szCs w:val="24"/>
        </w:rPr>
        <w:t>mesma</w:t>
      </w:r>
      <w:r w:rsidR="0097081E">
        <w:rPr>
          <w:rFonts w:ascii="Garamond" w:hAnsi="Garamond" w:cs="Arial"/>
          <w:sz w:val="24"/>
          <w:szCs w:val="24"/>
        </w:rPr>
        <w:t>,</w:t>
      </w:r>
      <w:r w:rsidR="008B2886" w:rsidRPr="003A1174">
        <w:rPr>
          <w:rFonts w:ascii="Garamond" w:hAnsi="Garamond" w:cs="Arial"/>
          <w:sz w:val="24"/>
          <w:szCs w:val="24"/>
        </w:rPr>
        <w:t xml:space="preserve"> </w:t>
      </w:r>
      <w:r w:rsidR="00524936" w:rsidRPr="003A1174">
        <w:rPr>
          <w:rFonts w:ascii="Garamond" w:hAnsi="Garamond" w:cs="Arial"/>
          <w:sz w:val="24"/>
          <w:szCs w:val="24"/>
        </w:rPr>
        <w:t xml:space="preserve">na sua </w:t>
      </w:r>
      <w:r w:rsidR="00C965B4" w:rsidRPr="003A1174">
        <w:rPr>
          <w:rFonts w:ascii="Garamond" w:hAnsi="Garamond" w:cs="Arial"/>
          <w:sz w:val="24"/>
          <w:szCs w:val="24"/>
        </w:rPr>
        <w:t>Recomendação</w:t>
      </w:r>
      <w:r w:rsidR="008B2886" w:rsidRPr="003A1174">
        <w:rPr>
          <w:rFonts w:ascii="Garamond" w:hAnsi="Garamond" w:cs="Arial"/>
          <w:sz w:val="24"/>
          <w:szCs w:val="24"/>
        </w:rPr>
        <w:t xml:space="preserve"> </w:t>
      </w:r>
      <w:r w:rsidR="00077461" w:rsidRPr="003A1174">
        <w:rPr>
          <w:rFonts w:ascii="Garamond" w:hAnsi="Garamond" w:cs="Arial"/>
          <w:sz w:val="24"/>
          <w:szCs w:val="24"/>
        </w:rPr>
        <w:t>Geral</w:t>
      </w:r>
      <w:r w:rsidR="00A132B3" w:rsidRPr="003A1174">
        <w:rPr>
          <w:rFonts w:ascii="Garamond" w:hAnsi="Garamond" w:cs="Arial"/>
          <w:sz w:val="24"/>
          <w:szCs w:val="24"/>
        </w:rPr>
        <w:t xml:space="preserve"> 19</w:t>
      </w:r>
      <w:r w:rsidR="008B2886" w:rsidRPr="003A1174">
        <w:rPr>
          <w:rStyle w:val="Refdenotaalpie"/>
          <w:rFonts w:ascii="Garamond" w:hAnsi="Garamond" w:cs="Arial"/>
          <w:b/>
          <w:sz w:val="24"/>
          <w:szCs w:val="24"/>
        </w:rPr>
        <w:footnoteReference w:id="7"/>
      </w:r>
      <w:r w:rsidR="008B2886" w:rsidRPr="003A1174">
        <w:rPr>
          <w:rFonts w:ascii="Garamond" w:hAnsi="Garamond" w:cs="Arial"/>
          <w:sz w:val="24"/>
          <w:szCs w:val="24"/>
        </w:rPr>
        <w:t xml:space="preserve"> conc</w:t>
      </w:r>
      <w:r w:rsidR="00524936" w:rsidRPr="003A1174">
        <w:rPr>
          <w:rFonts w:ascii="Garamond" w:hAnsi="Garamond" w:cs="Arial"/>
          <w:sz w:val="24"/>
          <w:szCs w:val="24"/>
        </w:rPr>
        <w:t>e</w:t>
      </w:r>
      <w:r w:rsidR="00297367" w:rsidRPr="003A1174">
        <w:rPr>
          <w:rFonts w:ascii="Garamond" w:hAnsi="Garamond" w:cs="Arial"/>
          <w:sz w:val="24"/>
          <w:szCs w:val="24"/>
        </w:rPr>
        <w:t>be</w:t>
      </w:r>
      <w:r w:rsidR="00524936" w:rsidRPr="003A1174">
        <w:rPr>
          <w:rFonts w:ascii="Garamond" w:hAnsi="Garamond" w:cs="Arial"/>
          <w:sz w:val="24"/>
          <w:szCs w:val="24"/>
        </w:rPr>
        <w:t xml:space="preserve"> </w:t>
      </w:r>
      <w:r w:rsidR="008B2886" w:rsidRPr="003A1174">
        <w:rPr>
          <w:rFonts w:ascii="Garamond" w:hAnsi="Garamond" w:cs="Arial"/>
          <w:sz w:val="24"/>
          <w:szCs w:val="24"/>
        </w:rPr>
        <w:t xml:space="preserve">a </w:t>
      </w:r>
      <w:r w:rsidR="000350B1" w:rsidRPr="003A1174">
        <w:rPr>
          <w:rFonts w:ascii="Garamond" w:hAnsi="Garamond" w:cs="Arial"/>
          <w:sz w:val="24"/>
          <w:szCs w:val="24"/>
        </w:rPr>
        <w:t>violência</w:t>
      </w:r>
      <w:r w:rsidR="00524936" w:rsidRPr="003A1174">
        <w:rPr>
          <w:rFonts w:ascii="Garamond" w:hAnsi="Garamond" w:cs="Arial"/>
          <w:sz w:val="24"/>
          <w:szCs w:val="24"/>
        </w:rPr>
        <w:t xml:space="preserve"> contra </w:t>
      </w:r>
      <w:r w:rsidR="008B2886" w:rsidRPr="003A1174">
        <w:rPr>
          <w:rFonts w:ascii="Garamond" w:hAnsi="Garamond" w:cs="Arial"/>
          <w:sz w:val="24"/>
          <w:szCs w:val="24"/>
        </w:rPr>
        <w:t xml:space="preserve">a </w:t>
      </w:r>
      <w:r w:rsidR="00AF192F" w:rsidRPr="003A1174">
        <w:rPr>
          <w:rFonts w:ascii="Garamond" w:hAnsi="Garamond" w:cs="Arial"/>
          <w:sz w:val="24"/>
          <w:szCs w:val="24"/>
        </w:rPr>
        <w:t>mulher</w:t>
      </w:r>
      <w:r w:rsidR="00A132B3" w:rsidRPr="003A1174">
        <w:rPr>
          <w:rFonts w:ascii="Garamond" w:hAnsi="Garamond" w:cs="Arial"/>
          <w:sz w:val="24"/>
          <w:szCs w:val="24"/>
        </w:rPr>
        <w:t xml:space="preserve"> como</w:t>
      </w:r>
      <w:r w:rsidR="008B2886" w:rsidRPr="003A1174">
        <w:rPr>
          <w:rFonts w:ascii="Garamond" w:hAnsi="Garamond" w:cs="Arial"/>
          <w:sz w:val="24"/>
          <w:szCs w:val="24"/>
        </w:rPr>
        <w:t>:</w:t>
      </w:r>
    </w:p>
    <w:p w:rsidR="00A132B3" w:rsidRPr="006A4C44" w:rsidRDefault="00EC6FD0" w:rsidP="006A4C44">
      <w:pPr>
        <w:spacing w:line="240" w:lineRule="auto"/>
        <w:ind w:left="567"/>
        <w:jc w:val="both"/>
        <w:rPr>
          <w:rFonts w:ascii="Garamond" w:hAnsi="Garamond" w:cs="Arial"/>
        </w:rPr>
      </w:pPr>
      <w:r>
        <w:rPr>
          <w:rFonts w:ascii="Garamond" w:hAnsi="Garamond" w:cs="Arial"/>
        </w:rPr>
        <w:t>«</w:t>
      </w:r>
      <w:r w:rsidRPr="006A4C44" w:rsidDel="00EC6FD0">
        <w:rPr>
          <w:rFonts w:ascii="Garamond" w:hAnsi="Garamond" w:cs="Arial"/>
        </w:rPr>
        <w:t xml:space="preserve"> </w:t>
      </w:r>
      <w:r w:rsidR="004A0BF9" w:rsidRPr="006A4C44">
        <w:rPr>
          <w:rFonts w:ascii="Garamond" w:hAnsi="Garamond" w:cs="Arial"/>
        </w:rPr>
        <w:t>(</w:t>
      </w:r>
      <w:proofErr w:type="gramStart"/>
      <w:r w:rsidR="004A0BF9" w:rsidRPr="006A4C44">
        <w:rPr>
          <w:rFonts w:ascii="Garamond" w:hAnsi="Garamond" w:cs="Arial"/>
        </w:rPr>
        <w:t>…)</w:t>
      </w:r>
      <w:r>
        <w:rPr>
          <w:rFonts w:ascii="Garamond" w:hAnsi="Garamond" w:cs="Arial"/>
        </w:rPr>
        <w:t>”</w:t>
      </w:r>
      <w:proofErr w:type="gramEnd"/>
      <w:r w:rsidR="004A0BF9" w:rsidRPr="006A4C44">
        <w:rPr>
          <w:rFonts w:ascii="Garamond" w:hAnsi="Garamond" w:cs="Arial"/>
        </w:rPr>
        <w:t xml:space="preserve"> </w:t>
      </w:r>
      <w:r w:rsidR="00524936" w:rsidRPr="006A4C44">
        <w:rPr>
          <w:rFonts w:ascii="Garamond" w:hAnsi="Garamond" w:cs="Arial"/>
        </w:rPr>
        <w:t>um</w:t>
      </w:r>
      <w:r w:rsidR="00A132B3" w:rsidRPr="006A4C44">
        <w:rPr>
          <w:rFonts w:ascii="Garamond" w:hAnsi="Garamond" w:cs="Arial"/>
        </w:rPr>
        <w:t xml:space="preserve">a forma de </w:t>
      </w:r>
      <w:r w:rsidR="0017447A" w:rsidRPr="006A4C44">
        <w:rPr>
          <w:rFonts w:ascii="Garamond" w:hAnsi="Garamond" w:cs="Arial"/>
        </w:rPr>
        <w:t>discriminação</w:t>
      </w:r>
      <w:r w:rsidR="00A132B3" w:rsidRPr="006A4C44">
        <w:rPr>
          <w:rFonts w:ascii="Garamond" w:hAnsi="Garamond" w:cs="Arial"/>
        </w:rPr>
        <w:t xml:space="preserve"> que </w:t>
      </w:r>
      <w:r w:rsidR="00524936" w:rsidRPr="006A4C44">
        <w:rPr>
          <w:rFonts w:ascii="Garamond" w:hAnsi="Garamond" w:cs="Arial"/>
        </w:rPr>
        <w:t>impede</w:t>
      </w:r>
      <w:r w:rsidR="00A132B3" w:rsidRPr="006A4C44">
        <w:rPr>
          <w:rFonts w:ascii="Garamond" w:hAnsi="Garamond" w:cs="Arial"/>
        </w:rPr>
        <w:t xml:space="preserve"> gravemente </w:t>
      </w:r>
      <w:r w:rsidR="0094477F" w:rsidRPr="006A4C44">
        <w:rPr>
          <w:rFonts w:ascii="Garamond" w:hAnsi="Garamond" w:cs="Arial"/>
        </w:rPr>
        <w:t>o exercício d</w:t>
      </w:r>
      <w:r w:rsidR="00A132B3" w:rsidRPr="006A4C44">
        <w:rPr>
          <w:rFonts w:ascii="Garamond" w:hAnsi="Garamond" w:cs="Arial"/>
        </w:rPr>
        <w:t xml:space="preserve">e </w:t>
      </w:r>
      <w:r w:rsidR="00886D6A" w:rsidRPr="006A4C44">
        <w:rPr>
          <w:rFonts w:ascii="Garamond" w:hAnsi="Garamond" w:cs="Arial"/>
        </w:rPr>
        <w:t>direito</w:t>
      </w:r>
      <w:r w:rsidR="00524936" w:rsidRPr="006A4C44">
        <w:rPr>
          <w:rFonts w:ascii="Garamond" w:hAnsi="Garamond" w:cs="Arial"/>
        </w:rPr>
        <w:t>s e</w:t>
      </w:r>
      <w:r w:rsidR="00A132B3" w:rsidRPr="006A4C44">
        <w:rPr>
          <w:rFonts w:ascii="Garamond" w:hAnsi="Garamond" w:cs="Arial"/>
        </w:rPr>
        <w:t xml:space="preserve"> </w:t>
      </w:r>
      <w:r w:rsidR="006506C6" w:rsidRPr="006A4C44">
        <w:rPr>
          <w:rFonts w:ascii="Garamond" w:hAnsi="Garamond" w:cs="Arial"/>
        </w:rPr>
        <w:t>liberdades</w:t>
      </w:r>
      <w:r w:rsidR="00A132B3" w:rsidRPr="006A4C44">
        <w:rPr>
          <w:rFonts w:ascii="Garamond" w:hAnsi="Garamond" w:cs="Arial"/>
        </w:rPr>
        <w:t xml:space="preserve"> e</w:t>
      </w:r>
      <w:r w:rsidR="00524936" w:rsidRPr="006A4C44">
        <w:rPr>
          <w:rFonts w:ascii="Garamond" w:hAnsi="Garamond" w:cs="Arial"/>
        </w:rPr>
        <w:t xml:space="preserve">m pé de </w:t>
      </w:r>
      <w:r w:rsidR="002C7510" w:rsidRPr="006A4C44">
        <w:rPr>
          <w:rFonts w:ascii="Garamond" w:hAnsi="Garamond" w:cs="Arial"/>
        </w:rPr>
        <w:t>igualdade</w:t>
      </w:r>
      <w:r w:rsidR="00A132B3" w:rsidRPr="006A4C44">
        <w:rPr>
          <w:rFonts w:ascii="Garamond" w:hAnsi="Garamond" w:cs="Arial"/>
        </w:rPr>
        <w:t xml:space="preserve"> co</w:t>
      </w:r>
      <w:r w:rsidR="00524936" w:rsidRPr="006A4C44">
        <w:rPr>
          <w:rFonts w:ascii="Garamond" w:hAnsi="Garamond" w:cs="Arial"/>
        </w:rPr>
        <w:t>m o homem</w:t>
      </w:r>
      <w:r w:rsidR="0097081E">
        <w:rPr>
          <w:rFonts w:ascii="Garamond" w:hAnsi="Garamond" w:cs="Arial"/>
        </w:rPr>
        <w:t>”</w:t>
      </w:r>
      <w:r w:rsidR="00A132B3" w:rsidRPr="006A4C44">
        <w:rPr>
          <w:rFonts w:ascii="Garamond" w:hAnsi="Garamond" w:cs="Arial"/>
        </w:rPr>
        <w:t>; p</w:t>
      </w:r>
      <w:r w:rsidR="00524936" w:rsidRPr="006A4C44">
        <w:rPr>
          <w:rFonts w:ascii="Garamond" w:hAnsi="Garamond" w:cs="Arial"/>
        </w:rPr>
        <w:t xml:space="preserve">ois </w:t>
      </w:r>
      <w:r w:rsidR="00A132B3" w:rsidRPr="006A4C44">
        <w:rPr>
          <w:rFonts w:ascii="Garamond" w:hAnsi="Garamond" w:cs="Arial"/>
        </w:rPr>
        <w:t>trata</w:t>
      </w:r>
      <w:r w:rsidR="00524936" w:rsidRPr="006A4C44">
        <w:rPr>
          <w:rFonts w:ascii="Garamond" w:hAnsi="Garamond" w:cs="Arial"/>
        </w:rPr>
        <w:t>-se</w:t>
      </w:r>
      <w:r w:rsidR="00A132B3" w:rsidRPr="006A4C44">
        <w:rPr>
          <w:rFonts w:ascii="Garamond" w:hAnsi="Garamond" w:cs="Arial"/>
        </w:rPr>
        <w:t xml:space="preserve"> daquela </w:t>
      </w:r>
      <w:r w:rsidR="0097081E">
        <w:rPr>
          <w:rFonts w:ascii="Garamond" w:hAnsi="Garamond" w:cs="Arial"/>
        </w:rPr>
        <w:t>“</w:t>
      </w:r>
      <w:r w:rsidR="000350B1" w:rsidRPr="006A4C44">
        <w:rPr>
          <w:rFonts w:ascii="Garamond" w:hAnsi="Garamond" w:cs="Arial"/>
        </w:rPr>
        <w:t>violência</w:t>
      </w:r>
      <w:r w:rsidR="001B02AD" w:rsidRPr="006A4C44">
        <w:rPr>
          <w:rFonts w:ascii="Garamond" w:hAnsi="Garamond" w:cs="Arial"/>
        </w:rPr>
        <w:t xml:space="preserve"> dirigida contra </w:t>
      </w:r>
      <w:r w:rsidR="00A132B3" w:rsidRPr="006A4C44">
        <w:rPr>
          <w:rFonts w:ascii="Garamond" w:hAnsi="Garamond" w:cs="Arial"/>
        </w:rPr>
        <w:t xml:space="preserve">a </w:t>
      </w:r>
      <w:r w:rsidR="00AF192F" w:rsidRPr="006A4C44">
        <w:rPr>
          <w:rFonts w:ascii="Garamond" w:hAnsi="Garamond" w:cs="Arial"/>
        </w:rPr>
        <w:t>mulher</w:t>
      </w:r>
      <w:r w:rsidR="00A132B3" w:rsidRPr="006A4C44">
        <w:rPr>
          <w:rFonts w:ascii="Garamond" w:hAnsi="Garamond" w:cs="Arial"/>
        </w:rPr>
        <w:t xml:space="preserve"> porque </w:t>
      </w:r>
      <w:r w:rsidR="001B02AD" w:rsidRPr="006A4C44">
        <w:rPr>
          <w:rFonts w:ascii="Garamond" w:hAnsi="Garamond" w:cs="Arial"/>
        </w:rPr>
        <w:t xml:space="preserve">é </w:t>
      </w:r>
      <w:r w:rsidR="00AF192F" w:rsidRPr="006A4C44">
        <w:rPr>
          <w:rFonts w:ascii="Garamond" w:hAnsi="Garamond" w:cs="Arial"/>
        </w:rPr>
        <w:t>mulher</w:t>
      </w:r>
      <w:r w:rsidR="001B02AD" w:rsidRPr="006A4C44">
        <w:rPr>
          <w:rFonts w:ascii="Garamond" w:hAnsi="Garamond" w:cs="Arial"/>
        </w:rPr>
        <w:t xml:space="preserve"> ou que </w:t>
      </w:r>
      <w:r w:rsidR="00A132B3" w:rsidRPr="006A4C44">
        <w:rPr>
          <w:rFonts w:ascii="Garamond" w:hAnsi="Garamond" w:cs="Arial"/>
        </w:rPr>
        <w:t xml:space="preserve">a </w:t>
      </w:r>
      <w:r w:rsidR="001B02AD" w:rsidRPr="006A4C44">
        <w:rPr>
          <w:rFonts w:ascii="Garamond" w:hAnsi="Garamond" w:cs="Arial"/>
        </w:rPr>
        <w:t>afeta</w:t>
      </w:r>
      <w:r w:rsidR="00A132B3" w:rsidRPr="006A4C44">
        <w:rPr>
          <w:rFonts w:ascii="Garamond" w:hAnsi="Garamond" w:cs="Arial"/>
        </w:rPr>
        <w:t xml:space="preserve"> </w:t>
      </w:r>
      <w:r w:rsidR="001B02AD" w:rsidRPr="006A4C44">
        <w:rPr>
          <w:rFonts w:ascii="Garamond" w:hAnsi="Garamond" w:cs="Arial"/>
        </w:rPr>
        <w:t>de f</w:t>
      </w:r>
      <w:r w:rsidR="00A132B3" w:rsidRPr="006A4C44">
        <w:rPr>
          <w:rFonts w:ascii="Garamond" w:hAnsi="Garamond" w:cs="Arial"/>
        </w:rPr>
        <w:t>orma desproporcionada. Inclu</w:t>
      </w:r>
      <w:r w:rsidR="001B02AD" w:rsidRPr="006A4C44">
        <w:rPr>
          <w:rFonts w:ascii="Garamond" w:hAnsi="Garamond" w:cs="Arial"/>
        </w:rPr>
        <w:t>i atos</w:t>
      </w:r>
      <w:r w:rsidR="00A132B3" w:rsidRPr="006A4C44">
        <w:rPr>
          <w:rFonts w:ascii="Garamond" w:hAnsi="Garamond" w:cs="Arial"/>
        </w:rPr>
        <w:t xml:space="preserve"> que </w:t>
      </w:r>
      <w:r w:rsidR="0094477F" w:rsidRPr="006A4C44">
        <w:rPr>
          <w:rFonts w:ascii="Garamond" w:hAnsi="Garamond" w:cs="Arial"/>
        </w:rPr>
        <w:t>provoquem</w:t>
      </w:r>
      <w:r w:rsidR="00A132B3" w:rsidRPr="006A4C44">
        <w:rPr>
          <w:rFonts w:ascii="Garamond" w:hAnsi="Garamond" w:cs="Arial"/>
        </w:rPr>
        <w:t xml:space="preserve"> d</w:t>
      </w:r>
      <w:r w:rsidR="002C7510" w:rsidRPr="006A4C44">
        <w:rPr>
          <w:rFonts w:ascii="Garamond" w:hAnsi="Garamond" w:cs="Arial"/>
        </w:rPr>
        <w:t>ano</w:t>
      </w:r>
      <w:r w:rsidR="00A132B3" w:rsidRPr="006A4C44">
        <w:rPr>
          <w:rFonts w:ascii="Garamond" w:hAnsi="Garamond" w:cs="Arial"/>
        </w:rPr>
        <w:t xml:space="preserve">s </w:t>
      </w:r>
      <w:r w:rsidR="00A132B3" w:rsidRPr="006A4C44">
        <w:rPr>
          <w:rFonts w:ascii="Garamond" w:hAnsi="Garamond" w:cs="Arial"/>
        </w:rPr>
        <w:lastRenderedPageBreak/>
        <w:t>o</w:t>
      </w:r>
      <w:r w:rsidR="001B02AD" w:rsidRPr="006A4C44">
        <w:rPr>
          <w:rFonts w:ascii="Garamond" w:hAnsi="Garamond" w:cs="Arial"/>
        </w:rPr>
        <w:t>u</w:t>
      </w:r>
      <w:r w:rsidR="00A132B3" w:rsidRPr="006A4C44">
        <w:rPr>
          <w:rFonts w:ascii="Garamond" w:hAnsi="Garamond" w:cs="Arial"/>
        </w:rPr>
        <w:t xml:space="preserve"> </w:t>
      </w:r>
      <w:r w:rsidR="001B02AD" w:rsidRPr="006A4C44">
        <w:rPr>
          <w:rFonts w:ascii="Garamond" w:hAnsi="Garamond" w:cs="Arial"/>
        </w:rPr>
        <w:t>sofrimento</w:t>
      </w:r>
      <w:r w:rsidR="00A132B3" w:rsidRPr="006A4C44">
        <w:rPr>
          <w:rFonts w:ascii="Garamond" w:hAnsi="Garamond" w:cs="Arial"/>
        </w:rPr>
        <w:t>s de índole física, mental o</w:t>
      </w:r>
      <w:r w:rsidR="001B02AD" w:rsidRPr="006A4C44">
        <w:rPr>
          <w:rFonts w:ascii="Garamond" w:hAnsi="Garamond" w:cs="Arial"/>
        </w:rPr>
        <w:t>u</w:t>
      </w:r>
      <w:r w:rsidR="00A132B3" w:rsidRPr="006A4C44">
        <w:rPr>
          <w:rFonts w:ascii="Garamond" w:hAnsi="Garamond" w:cs="Arial"/>
        </w:rPr>
        <w:t xml:space="preserve"> sexual, </w:t>
      </w:r>
      <w:r w:rsidR="001B02AD" w:rsidRPr="006A4C44">
        <w:rPr>
          <w:rFonts w:ascii="Garamond" w:hAnsi="Garamond" w:cs="Arial"/>
        </w:rPr>
        <w:t>ameaça</w:t>
      </w:r>
      <w:r w:rsidR="00A132B3" w:rsidRPr="006A4C44">
        <w:rPr>
          <w:rFonts w:ascii="Garamond" w:hAnsi="Garamond" w:cs="Arial"/>
        </w:rPr>
        <w:t>s de cometer es</w:t>
      </w:r>
      <w:r w:rsidR="001B02AD" w:rsidRPr="006A4C44">
        <w:rPr>
          <w:rFonts w:ascii="Garamond" w:hAnsi="Garamond" w:cs="Arial"/>
        </w:rPr>
        <w:t>se</w:t>
      </w:r>
      <w:r w:rsidR="00A132B3" w:rsidRPr="006A4C44">
        <w:rPr>
          <w:rFonts w:ascii="Garamond" w:hAnsi="Garamond" w:cs="Arial"/>
        </w:rPr>
        <w:t xml:space="preserve">s </w:t>
      </w:r>
      <w:r w:rsidR="001B02AD" w:rsidRPr="006A4C44">
        <w:rPr>
          <w:rFonts w:ascii="Garamond" w:hAnsi="Garamond" w:cs="Arial"/>
        </w:rPr>
        <w:t>atos</w:t>
      </w:r>
      <w:r w:rsidR="00A132B3" w:rsidRPr="006A4C44">
        <w:rPr>
          <w:rFonts w:ascii="Garamond" w:hAnsi="Garamond" w:cs="Arial"/>
        </w:rPr>
        <w:t>, co</w:t>
      </w:r>
      <w:r w:rsidR="00077461" w:rsidRPr="006A4C44">
        <w:rPr>
          <w:rFonts w:ascii="Garamond" w:hAnsi="Garamond" w:cs="Arial"/>
        </w:rPr>
        <w:t>ação</w:t>
      </w:r>
      <w:r w:rsidR="00A132B3" w:rsidRPr="006A4C44">
        <w:rPr>
          <w:rFonts w:ascii="Garamond" w:hAnsi="Garamond" w:cs="Arial"/>
        </w:rPr>
        <w:t xml:space="preserve"> </w:t>
      </w:r>
      <w:r w:rsidR="001B02AD" w:rsidRPr="006A4C44">
        <w:rPr>
          <w:rFonts w:ascii="Garamond" w:hAnsi="Garamond" w:cs="Arial"/>
        </w:rPr>
        <w:t>e</w:t>
      </w:r>
      <w:r w:rsidR="00A132B3" w:rsidRPr="006A4C44">
        <w:rPr>
          <w:rFonts w:ascii="Garamond" w:hAnsi="Garamond" w:cs="Arial"/>
        </w:rPr>
        <w:t xml:space="preserve"> </w:t>
      </w:r>
      <w:r w:rsidR="0017447A" w:rsidRPr="006A4C44">
        <w:rPr>
          <w:rFonts w:ascii="Garamond" w:hAnsi="Garamond" w:cs="Arial"/>
        </w:rPr>
        <w:t>outras</w:t>
      </w:r>
      <w:r w:rsidR="00A132B3" w:rsidRPr="006A4C44">
        <w:rPr>
          <w:rFonts w:ascii="Garamond" w:hAnsi="Garamond" w:cs="Arial"/>
        </w:rPr>
        <w:t xml:space="preserve"> formas de </w:t>
      </w:r>
      <w:r w:rsidR="001B02AD" w:rsidRPr="006A4C44">
        <w:rPr>
          <w:rFonts w:ascii="Garamond" w:hAnsi="Garamond" w:cs="Arial"/>
        </w:rPr>
        <w:t>privação d</w:t>
      </w:r>
      <w:r w:rsidR="00A132B3" w:rsidRPr="006A4C44">
        <w:rPr>
          <w:rFonts w:ascii="Garamond" w:hAnsi="Garamond" w:cs="Arial"/>
        </w:rPr>
        <w:t xml:space="preserve">a </w:t>
      </w:r>
      <w:r w:rsidR="001B02AD" w:rsidRPr="006A4C44">
        <w:rPr>
          <w:rFonts w:ascii="Garamond" w:hAnsi="Garamond" w:cs="Arial"/>
        </w:rPr>
        <w:t>liberdade</w:t>
      </w:r>
      <w:r w:rsidR="0097081E">
        <w:rPr>
          <w:rFonts w:ascii="Garamond" w:hAnsi="Garamond" w:cs="Arial"/>
        </w:rPr>
        <w:t>”</w:t>
      </w:r>
      <w:r w:rsidR="00297367" w:rsidRPr="006A4C44">
        <w:rPr>
          <w:rFonts w:ascii="Garamond" w:hAnsi="Garamond" w:cs="Arial"/>
        </w:rPr>
        <w:t>.</w:t>
      </w:r>
      <w:r w:rsidR="006A4C44" w:rsidRPr="006A4C44">
        <w:rPr>
          <w:rFonts w:ascii="Garamond" w:hAnsi="Garamond" w:cs="Arial"/>
        </w:rPr>
        <w:t>»</w:t>
      </w:r>
      <w:r w:rsidR="004A0BF9" w:rsidRPr="006A4C44">
        <w:rPr>
          <w:rStyle w:val="Refdenotaalpie"/>
          <w:rFonts w:ascii="Garamond" w:hAnsi="Garamond" w:cs="Arial"/>
          <w:b/>
        </w:rPr>
        <w:footnoteReference w:id="8"/>
      </w:r>
    </w:p>
    <w:p w:rsidR="00A132B3" w:rsidRPr="003A1174" w:rsidRDefault="001B02AD" w:rsidP="008719D4">
      <w:pPr>
        <w:pStyle w:val="NormalWeb"/>
        <w:jc w:val="both"/>
        <w:rPr>
          <w:rFonts w:ascii="Garamond" w:hAnsi="Garamond" w:cs="Arial"/>
          <w:lang w:val="pt-PT"/>
        </w:rPr>
      </w:pPr>
      <w:r w:rsidRPr="003A1174">
        <w:rPr>
          <w:rFonts w:ascii="Garamond" w:hAnsi="Garamond" w:cs="Arial"/>
          <w:lang w:val="pt-PT"/>
        </w:rPr>
        <w:t>E</w:t>
      </w:r>
      <w:r w:rsidR="00A132B3" w:rsidRPr="003A1174">
        <w:rPr>
          <w:rFonts w:ascii="Garamond" w:hAnsi="Garamond" w:cs="Arial"/>
          <w:lang w:val="pt-PT"/>
        </w:rPr>
        <w:t xml:space="preserve">ste </w:t>
      </w:r>
      <w:r w:rsidRPr="003A1174">
        <w:rPr>
          <w:rFonts w:ascii="Garamond" w:hAnsi="Garamond" w:cs="Arial"/>
          <w:lang w:val="pt-PT"/>
        </w:rPr>
        <w:t>pronunciamento acrescenta</w:t>
      </w:r>
      <w:r w:rsidR="00A132B3" w:rsidRPr="003A1174">
        <w:rPr>
          <w:rFonts w:ascii="Garamond" w:hAnsi="Garamond" w:cs="Arial"/>
          <w:lang w:val="pt-PT"/>
        </w:rPr>
        <w:t xml:space="preserve"> que </w:t>
      </w:r>
      <w:r w:rsidRPr="003A1174">
        <w:rPr>
          <w:rFonts w:ascii="Garamond" w:hAnsi="Garamond" w:cs="Arial"/>
          <w:lang w:val="pt-PT"/>
        </w:rPr>
        <w:t xml:space="preserve">o referido </w:t>
      </w:r>
      <w:r w:rsidR="00A132B3" w:rsidRPr="003A1174">
        <w:rPr>
          <w:rFonts w:ascii="Garamond" w:hAnsi="Garamond" w:cs="Arial"/>
          <w:lang w:val="pt-PT"/>
        </w:rPr>
        <w:t xml:space="preserve">fenómeno </w:t>
      </w:r>
      <w:r w:rsidR="008069E0" w:rsidRPr="003A1174">
        <w:rPr>
          <w:rFonts w:ascii="Garamond" w:hAnsi="Garamond" w:cs="Arial"/>
          <w:lang w:val="pt-PT"/>
        </w:rPr>
        <w:t>afeta</w:t>
      </w:r>
      <w:r w:rsidR="00A132B3" w:rsidRPr="003A1174">
        <w:rPr>
          <w:rFonts w:ascii="Garamond" w:hAnsi="Garamond" w:cs="Arial"/>
          <w:lang w:val="pt-PT"/>
        </w:rPr>
        <w:t xml:space="preserve"> o</w:t>
      </w:r>
      <w:r w:rsidRPr="003A1174">
        <w:rPr>
          <w:rFonts w:ascii="Garamond" w:hAnsi="Garamond" w:cs="Arial"/>
          <w:lang w:val="pt-PT"/>
        </w:rPr>
        <w:t>u</w:t>
      </w:r>
      <w:r w:rsidR="00A132B3" w:rsidRPr="003A1174">
        <w:rPr>
          <w:rFonts w:ascii="Garamond" w:hAnsi="Garamond" w:cs="Arial"/>
          <w:lang w:val="pt-PT"/>
        </w:rPr>
        <w:t xml:space="preserve"> anula </w:t>
      </w:r>
      <w:r w:rsidRPr="003A1174">
        <w:rPr>
          <w:rFonts w:ascii="Garamond" w:hAnsi="Garamond" w:cs="Arial"/>
          <w:lang w:val="pt-PT"/>
        </w:rPr>
        <w:t>o</w:t>
      </w:r>
      <w:r w:rsidR="008069E0" w:rsidRPr="003A1174">
        <w:rPr>
          <w:rFonts w:ascii="Garamond" w:hAnsi="Garamond" w:cs="Arial"/>
          <w:lang w:val="pt-PT"/>
        </w:rPr>
        <w:t xml:space="preserve"> exercício</w:t>
      </w:r>
      <w:r w:rsidR="00EC6FD0">
        <w:rPr>
          <w:rFonts w:ascii="Garamond" w:hAnsi="Garamond" w:cs="Arial"/>
          <w:lang w:val="pt-PT"/>
        </w:rPr>
        <w:t>,</w:t>
      </w:r>
      <w:r w:rsidR="008069E0" w:rsidRPr="003A1174">
        <w:rPr>
          <w:rFonts w:ascii="Garamond" w:hAnsi="Garamond" w:cs="Arial"/>
          <w:lang w:val="pt-PT"/>
        </w:rPr>
        <w:t xml:space="preserve"> </w:t>
      </w:r>
      <w:r w:rsidR="00A132B3" w:rsidRPr="003A1174">
        <w:rPr>
          <w:rFonts w:ascii="Garamond" w:hAnsi="Garamond" w:cs="Arial"/>
          <w:lang w:val="pt-PT"/>
        </w:rPr>
        <w:t xml:space="preserve">por </w:t>
      </w:r>
      <w:r w:rsidR="00D15AFF" w:rsidRPr="003A1174">
        <w:rPr>
          <w:rFonts w:ascii="Garamond" w:hAnsi="Garamond" w:cs="Arial"/>
          <w:lang w:val="pt-PT"/>
        </w:rPr>
        <w:t xml:space="preserve">parte das </w:t>
      </w:r>
      <w:r w:rsidR="00054EE0" w:rsidRPr="003A1174">
        <w:rPr>
          <w:rFonts w:ascii="Garamond" w:hAnsi="Garamond" w:cs="Arial"/>
          <w:lang w:val="pt-PT"/>
        </w:rPr>
        <w:t>mulheres</w:t>
      </w:r>
      <w:r w:rsidR="00EC6FD0">
        <w:rPr>
          <w:rFonts w:ascii="Garamond" w:hAnsi="Garamond" w:cs="Arial"/>
          <w:lang w:val="pt-PT"/>
        </w:rPr>
        <w:t>,</w:t>
      </w:r>
      <w:r w:rsidR="00A132B3" w:rsidRPr="003A1174">
        <w:rPr>
          <w:rFonts w:ascii="Garamond" w:hAnsi="Garamond" w:cs="Arial"/>
          <w:lang w:val="pt-PT"/>
        </w:rPr>
        <w:t xml:space="preserve"> d</w:t>
      </w:r>
      <w:r w:rsidR="00D15AFF" w:rsidRPr="003A1174">
        <w:rPr>
          <w:rFonts w:ascii="Garamond" w:hAnsi="Garamond" w:cs="Arial"/>
          <w:lang w:val="pt-PT"/>
        </w:rPr>
        <w:t>os</w:t>
      </w:r>
      <w:r w:rsidR="00A132B3" w:rsidRPr="003A1174">
        <w:rPr>
          <w:rFonts w:ascii="Garamond" w:hAnsi="Garamond" w:cs="Arial"/>
          <w:lang w:val="pt-PT"/>
        </w:rPr>
        <w:t xml:space="preserve"> s</w:t>
      </w:r>
      <w:r w:rsidR="00D15AFF" w:rsidRPr="003A1174">
        <w:rPr>
          <w:rFonts w:ascii="Garamond" w:hAnsi="Garamond" w:cs="Arial"/>
          <w:lang w:val="pt-PT"/>
        </w:rPr>
        <w:t>e</w:t>
      </w:r>
      <w:r w:rsidR="00A132B3" w:rsidRPr="003A1174">
        <w:rPr>
          <w:rFonts w:ascii="Garamond" w:hAnsi="Garamond" w:cs="Arial"/>
          <w:lang w:val="pt-PT"/>
        </w:rPr>
        <w:t xml:space="preserve">us </w:t>
      </w:r>
      <w:r w:rsidR="00886D6A" w:rsidRPr="003A1174">
        <w:rPr>
          <w:rFonts w:ascii="Garamond" w:hAnsi="Garamond" w:cs="Arial"/>
          <w:lang w:val="pt-PT"/>
        </w:rPr>
        <w:t>direito</w:t>
      </w:r>
      <w:r w:rsidR="00D15AFF" w:rsidRPr="003A1174">
        <w:rPr>
          <w:rFonts w:ascii="Garamond" w:hAnsi="Garamond" w:cs="Arial"/>
          <w:lang w:val="pt-PT"/>
        </w:rPr>
        <w:t>s humanos e</w:t>
      </w:r>
      <w:r w:rsidR="00A132B3" w:rsidRPr="003A1174">
        <w:rPr>
          <w:rFonts w:ascii="Garamond" w:hAnsi="Garamond" w:cs="Arial"/>
          <w:lang w:val="pt-PT"/>
        </w:rPr>
        <w:t xml:space="preserve"> </w:t>
      </w:r>
      <w:r w:rsidR="006506C6" w:rsidRPr="003A1174">
        <w:rPr>
          <w:rFonts w:ascii="Garamond" w:hAnsi="Garamond" w:cs="Arial"/>
          <w:lang w:val="pt-PT"/>
        </w:rPr>
        <w:t>liberdades</w:t>
      </w:r>
      <w:r w:rsidR="00A132B3" w:rsidRPr="003A1174">
        <w:rPr>
          <w:rFonts w:ascii="Garamond" w:hAnsi="Garamond" w:cs="Arial"/>
          <w:lang w:val="pt-PT"/>
        </w:rPr>
        <w:t xml:space="preserve"> </w:t>
      </w:r>
      <w:r w:rsidR="00CA633E" w:rsidRPr="003A1174">
        <w:rPr>
          <w:rFonts w:ascii="Garamond" w:hAnsi="Garamond" w:cs="Arial"/>
          <w:lang w:val="pt-PT"/>
        </w:rPr>
        <w:t>fundamentais</w:t>
      </w:r>
      <w:r w:rsidR="00297367" w:rsidRPr="003A1174">
        <w:rPr>
          <w:rFonts w:ascii="Garamond" w:hAnsi="Garamond" w:cs="Arial"/>
          <w:lang w:val="pt-PT"/>
        </w:rPr>
        <w:t>.</w:t>
      </w:r>
      <w:r w:rsidR="00A132B3" w:rsidRPr="003A1174">
        <w:rPr>
          <w:rFonts w:ascii="Garamond" w:hAnsi="Garamond" w:cs="Arial"/>
          <w:lang w:val="pt-PT"/>
        </w:rPr>
        <w:t xml:space="preserve"> </w:t>
      </w:r>
      <w:r w:rsidR="00297367" w:rsidRPr="003A1174">
        <w:rPr>
          <w:rFonts w:ascii="Garamond" w:hAnsi="Garamond" w:cs="Arial"/>
          <w:lang w:val="pt-PT"/>
        </w:rPr>
        <w:t>E</w:t>
      </w:r>
      <w:r w:rsidR="00A132B3" w:rsidRPr="003A1174">
        <w:rPr>
          <w:rFonts w:ascii="Garamond" w:hAnsi="Garamond" w:cs="Arial"/>
          <w:lang w:val="pt-PT"/>
        </w:rPr>
        <w:t xml:space="preserve">ntre </w:t>
      </w:r>
      <w:r w:rsidR="007407BD" w:rsidRPr="003A1174">
        <w:rPr>
          <w:rFonts w:ascii="Garamond" w:hAnsi="Garamond" w:cs="Arial"/>
          <w:lang w:val="pt-PT"/>
        </w:rPr>
        <w:t>estes</w:t>
      </w:r>
      <w:r w:rsidR="00D15AFF" w:rsidRPr="003A1174">
        <w:rPr>
          <w:rFonts w:ascii="Garamond" w:hAnsi="Garamond" w:cs="Arial"/>
          <w:lang w:val="pt-PT"/>
        </w:rPr>
        <w:t xml:space="preserve"> </w:t>
      </w:r>
      <w:r w:rsidR="00A132B3" w:rsidRPr="003A1174">
        <w:rPr>
          <w:rFonts w:ascii="Garamond" w:hAnsi="Garamond" w:cs="Arial"/>
          <w:lang w:val="pt-PT"/>
        </w:rPr>
        <w:t>enumera</w:t>
      </w:r>
      <w:r w:rsidR="00D15AFF" w:rsidRPr="003A1174">
        <w:rPr>
          <w:rFonts w:ascii="Garamond" w:hAnsi="Garamond" w:cs="Arial"/>
          <w:lang w:val="pt-PT"/>
        </w:rPr>
        <w:t xml:space="preserve">-se o </w:t>
      </w:r>
      <w:r w:rsidR="00886D6A" w:rsidRPr="003A1174">
        <w:rPr>
          <w:rFonts w:ascii="Garamond" w:hAnsi="Garamond" w:cs="Arial"/>
          <w:lang w:val="pt-PT"/>
        </w:rPr>
        <w:t>direito</w:t>
      </w:r>
      <w:r w:rsidR="00A132B3" w:rsidRPr="003A1174">
        <w:rPr>
          <w:rFonts w:ascii="Garamond" w:hAnsi="Garamond" w:cs="Arial"/>
          <w:lang w:val="pt-PT"/>
        </w:rPr>
        <w:t xml:space="preserve"> </w:t>
      </w:r>
      <w:r w:rsidR="00D15AFF" w:rsidRPr="003A1174">
        <w:rPr>
          <w:rFonts w:ascii="Garamond" w:hAnsi="Garamond" w:cs="Arial"/>
          <w:lang w:val="pt-PT"/>
        </w:rPr>
        <w:t xml:space="preserve">à </w:t>
      </w:r>
      <w:r w:rsidR="00A132B3" w:rsidRPr="003A1174">
        <w:rPr>
          <w:rFonts w:ascii="Garamond" w:hAnsi="Garamond" w:cs="Arial"/>
          <w:lang w:val="pt-PT"/>
        </w:rPr>
        <w:t>vida</w:t>
      </w:r>
      <w:r w:rsidR="00297367" w:rsidRPr="003A1174">
        <w:rPr>
          <w:rFonts w:ascii="Garamond" w:hAnsi="Garamond" w:cs="Arial"/>
          <w:lang w:val="pt-PT"/>
        </w:rPr>
        <w:t>,</w:t>
      </w:r>
      <w:r w:rsidR="00A132B3" w:rsidRPr="003A1174">
        <w:rPr>
          <w:rFonts w:ascii="Garamond" w:hAnsi="Garamond" w:cs="Arial"/>
          <w:lang w:val="pt-PT"/>
        </w:rPr>
        <w:t xml:space="preserve"> </w:t>
      </w:r>
      <w:r w:rsidR="00D15AFF" w:rsidRPr="003A1174">
        <w:rPr>
          <w:rFonts w:ascii="Garamond" w:hAnsi="Garamond" w:cs="Arial"/>
          <w:lang w:val="pt-PT"/>
        </w:rPr>
        <w:t xml:space="preserve">o de não </w:t>
      </w:r>
      <w:r w:rsidR="00A132B3" w:rsidRPr="003A1174">
        <w:rPr>
          <w:rFonts w:ascii="Garamond" w:hAnsi="Garamond" w:cs="Arial"/>
          <w:lang w:val="pt-PT"/>
        </w:rPr>
        <w:t xml:space="preserve">ser </w:t>
      </w:r>
      <w:r w:rsidR="00D15AFF" w:rsidRPr="003A1174">
        <w:rPr>
          <w:rFonts w:ascii="Garamond" w:hAnsi="Garamond" w:cs="Arial"/>
          <w:lang w:val="pt-PT"/>
        </w:rPr>
        <w:t>submetida</w:t>
      </w:r>
      <w:r w:rsidR="00A132B3" w:rsidRPr="003A1174">
        <w:rPr>
          <w:rFonts w:ascii="Garamond" w:hAnsi="Garamond" w:cs="Arial"/>
          <w:lang w:val="pt-PT"/>
        </w:rPr>
        <w:t xml:space="preserve"> a torturas o</w:t>
      </w:r>
      <w:r w:rsidR="00D15AFF" w:rsidRPr="003A1174">
        <w:rPr>
          <w:rFonts w:ascii="Garamond" w:hAnsi="Garamond" w:cs="Arial"/>
          <w:lang w:val="pt-PT"/>
        </w:rPr>
        <w:t>u</w:t>
      </w:r>
      <w:r w:rsidR="00A132B3" w:rsidRPr="003A1174">
        <w:rPr>
          <w:rFonts w:ascii="Garamond" w:hAnsi="Garamond" w:cs="Arial"/>
          <w:lang w:val="pt-PT"/>
        </w:rPr>
        <w:t xml:space="preserve"> a </w:t>
      </w:r>
      <w:r w:rsidR="008069E0" w:rsidRPr="003A1174">
        <w:rPr>
          <w:rFonts w:ascii="Garamond" w:hAnsi="Garamond" w:cs="Arial"/>
          <w:lang w:val="pt-PT"/>
        </w:rPr>
        <w:t xml:space="preserve">tráfico </w:t>
      </w:r>
      <w:r w:rsidR="00A132B3" w:rsidRPr="003A1174">
        <w:rPr>
          <w:rFonts w:ascii="Garamond" w:hAnsi="Garamond" w:cs="Arial"/>
          <w:lang w:val="pt-PT"/>
        </w:rPr>
        <w:t>o</w:t>
      </w:r>
      <w:r w:rsidR="00D15AFF" w:rsidRPr="003A1174">
        <w:rPr>
          <w:rFonts w:ascii="Garamond" w:hAnsi="Garamond" w:cs="Arial"/>
          <w:lang w:val="pt-PT"/>
        </w:rPr>
        <w:t>u</w:t>
      </w:r>
      <w:r w:rsidR="00A132B3" w:rsidRPr="003A1174">
        <w:rPr>
          <w:rFonts w:ascii="Garamond" w:hAnsi="Garamond" w:cs="Arial"/>
          <w:lang w:val="pt-PT"/>
        </w:rPr>
        <w:t xml:space="preserve"> penas </w:t>
      </w:r>
      <w:r w:rsidR="00D15AFF" w:rsidRPr="003A1174">
        <w:rPr>
          <w:rFonts w:ascii="Garamond" w:hAnsi="Garamond" w:cs="Arial"/>
          <w:lang w:val="pt-PT"/>
        </w:rPr>
        <w:t>cruéis</w:t>
      </w:r>
      <w:r w:rsidR="00A132B3" w:rsidRPr="003A1174">
        <w:rPr>
          <w:rFonts w:ascii="Garamond" w:hAnsi="Garamond" w:cs="Arial"/>
          <w:lang w:val="pt-PT"/>
        </w:rPr>
        <w:t xml:space="preserve">, </w:t>
      </w:r>
      <w:r w:rsidR="008069E0" w:rsidRPr="003A1174">
        <w:rPr>
          <w:rFonts w:ascii="Garamond" w:hAnsi="Garamond" w:cs="Arial"/>
          <w:lang w:val="pt-PT"/>
        </w:rPr>
        <w:t>desumana</w:t>
      </w:r>
      <w:r w:rsidR="00D15AFF" w:rsidRPr="003A1174">
        <w:rPr>
          <w:rFonts w:ascii="Garamond" w:hAnsi="Garamond" w:cs="Arial"/>
          <w:lang w:val="pt-PT"/>
        </w:rPr>
        <w:t>s</w:t>
      </w:r>
      <w:r w:rsidR="00A132B3" w:rsidRPr="003A1174">
        <w:rPr>
          <w:rFonts w:ascii="Garamond" w:hAnsi="Garamond" w:cs="Arial"/>
          <w:lang w:val="pt-PT"/>
        </w:rPr>
        <w:t xml:space="preserve"> o</w:t>
      </w:r>
      <w:r w:rsidR="00D15AFF" w:rsidRPr="003A1174">
        <w:rPr>
          <w:rFonts w:ascii="Garamond" w:hAnsi="Garamond" w:cs="Arial"/>
          <w:lang w:val="pt-PT"/>
        </w:rPr>
        <w:t>u</w:t>
      </w:r>
      <w:r w:rsidR="00A132B3" w:rsidRPr="003A1174">
        <w:rPr>
          <w:rFonts w:ascii="Garamond" w:hAnsi="Garamond" w:cs="Arial"/>
          <w:lang w:val="pt-PT"/>
        </w:rPr>
        <w:t xml:space="preserve"> degradantes;</w:t>
      </w:r>
      <w:r w:rsidR="00297367" w:rsidRPr="003A1174">
        <w:rPr>
          <w:rFonts w:ascii="Garamond" w:hAnsi="Garamond" w:cs="Arial"/>
          <w:lang w:val="pt-PT"/>
        </w:rPr>
        <w:t xml:space="preserve"> </w:t>
      </w:r>
      <w:r w:rsidR="00D15AFF" w:rsidRPr="003A1174">
        <w:rPr>
          <w:rFonts w:ascii="Garamond" w:hAnsi="Garamond" w:cs="Arial"/>
          <w:lang w:val="pt-PT"/>
        </w:rPr>
        <w:t xml:space="preserve">à </w:t>
      </w:r>
      <w:r w:rsidR="00886D6A" w:rsidRPr="003A1174">
        <w:rPr>
          <w:rFonts w:ascii="Garamond" w:hAnsi="Garamond" w:cs="Arial"/>
          <w:lang w:val="pt-PT"/>
        </w:rPr>
        <w:t>proteção</w:t>
      </w:r>
      <w:r w:rsidR="00A132B3" w:rsidRPr="003A1174">
        <w:rPr>
          <w:rFonts w:ascii="Garamond" w:hAnsi="Garamond" w:cs="Arial"/>
          <w:lang w:val="pt-PT"/>
        </w:rPr>
        <w:t xml:space="preserve"> e</w:t>
      </w:r>
      <w:r w:rsidR="00D15AFF" w:rsidRPr="003A1174">
        <w:rPr>
          <w:rFonts w:ascii="Garamond" w:hAnsi="Garamond" w:cs="Arial"/>
          <w:lang w:val="pt-PT"/>
        </w:rPr>
        <w:t>m</w:t>
      </w:r>
      <w:r w:rsidR="00A132B3" w:rsidRPr="003A1174">
        <w:rPr>
          <w:rFonts w:ascii="Garamond" w:hAnsi="Garamond" w:cs="Arial"/>
          <w:lang w:val="pt-PT"/>
        </w:rPr>
        <w:t xml:space="preserve"> </w:t>
      </w:r>
      <w:r w:rsidR="00AC3351" w:rsidRPr="003A1174">
        <w:rPr>
          <w:rFonts w:ascii="Garamond" w:hAnsi="Garamond" w:cs="Arial"/>
          <w:lang w:val="pt-PT"/>
        </w:rPr>
        <w:t>condições</w:t>
      </w:r>
      <w:r w:rsidR="00A132B3" w:rsidRPr="003A1174">
        <w:rPr>
          <w:rFonts w:ascii="Garamond" w:hAnsi="Garamond" w:cs="Arial"/>
          <w:lang w:val="pt-PT"/>
        </w:rPr>
        <w:t xml:space="preserve"> de </w:t>
      </w:r>
      <w:r w:rsidR="002C7510" w:rsidRPr="003A1174">
        <w:rPr>
          <w:rFonts w:ascii="Garamond" w:hAnsi="Garamond" w:cs="Arial"/>
          <w:lang w:val="pt-PT"/>
        </w:rPr>
        <w:t>igualdade</w:t>
      </w:r>
      <w:r w:rsidR="00A132B3" w:rsidRPr="003A1174">
        <w:rPr>
          <w:rFonts w:ascii="Garamond" w:hAnsi="Garamond" w:cs="Arial"/>
          <w:lang w:val="pt-PT"/>
        </w:rPr>
        <w:t xml:space="preserve"> </w:t>
      </w:r>
      <w:r w:rsidR="00D15AFF" w:rsidRPr="003A1174">
        <w:rPr>
          <w:rFonts w:ascii="Garamond" w:hAnsi="Garamond" w:cs="Arial"/>
          <w:lang w:val="pt-PT"/>
        </w:rPr>
        <w:t xml:space="preserve">por força das </w:t>
      </w:r>
      <w:r w:rsidR="00A132B3" w:rsidRPr="003A1174">
        <w:rPr>
          <w:rFonts w:ascii="Garamond" w:hAnsi="Garamond" w:cs="Arial"/>
          <w:lang w:val="pt-PT"/>
        </w:rPr>
        <w:t xml:space="preserve">normas </w:t>
      </w:r>
      <w:r w:rsidR="00D15AFF" w:rsidRPr="003A1174">
        <w:rPr>
          <w:rFonts w:ascii="Garamond" w:hAnsi="Garamond" w:cs="Arial"/>
          <w:lang w:val="pt-PT"/>
        </w:rPr>
        <w:t>humanitária</w:t>
      </w:r>
      <w:r w:rsidR="00A132B3" w:rsidRPr="003A1174">
        <w:rPr>
          <w:rFonts w:ascii="Garamond" w:hAnsi="Garamond" w:cs="Arial"/>
          <w:lang w:val="pt-PT"/>
        </w:rPr>
        <w:t>s e</w:t>
      </w:r>
      <w:r w:rsidR="00D15AFF" w:rsidRPr="003A1174">
        <w:rPr>
          <w:rFonts w:ascii="Garamond" w:hAnsi="Garamond" w:cs="Arial"/>
          <w:lang w:val="pt-PT"/>
        </w:rPr>
        <w:t>m</w:t>
      </w:r>
      <w:r w:rsidR="00A132B3" w:rsidRPr="003A1174">
        <w:rPr>
          <w:rFonts w:ascii="Garamond" w:hAnsi="Garamond" w:cs="Arial"/>
          <w:lang w:val="pt-PT"/>
        </w:rPr>
        <w:t xml:space="preserve"> </w:t>
      </w:r>
      <w:r w:rsidR="003F012B" w:rsidRPr="003A1174">
        <w:rPr>
          <w:rFonts w:ascii="Garamond" w:hAnsi="Garamond" w:cs="Arial"/>
          <w:lang w:val="pt-PT"/>
        </w:rPr>
        <w:t>tempo</w:t>
      </w:r>
      <w:r w:rsidR="00D15AFF" w:rsidRPr="003A1174">
        <w:rPr>
          <w:rFonts w:ascii="Garamond" w:hAnsi="Garamond" w:cs="Arial"/>
          <w:lang w:val="pt-PT"/>
        </w:rPr>
        <w:t>s</w:t>
      </w:r>
      <w:r w:rsidR="00A132B3" w:rsidRPr="003A1174">
        <w:rPr>
          <w:rFonts w:ascii="Garamond" w:hAnsi="Garamond" w:cs="Arial"/>
          <w:lang w:val="pt-PT"/>
        </w:rPr>
        <w:t xml:space="preserve"> de </w:t>
      </w:r>
      <w:r w:rsidR="00D15AFF" w:rsidRPr="003A1174">
        <w:rPr>
          <w:rFonts w:ascii="Garamond" w:hAnsi="Garamond" w:cs="Arial"/>
          <w:lang w:val="pt-PT"/>
        </w:rPr>
        <w:t>conflito</w:t>
      </w:r>
      <w:r w:rsidR="00A132B3" w:rsidRPr="003A1174">
        <w:rPr>
          <w:rFonts w:ascii="Garamond" w:hAnsi="Garamond" w:cs="Arial"/>
          <w:lang w:val="pt-PT"/>
        </w:rPr>
        <w:t xml:space="preserve"> armado internacional o</w:t>
      </w:r>
      <w:r w:rsidR="00D15AFF" w:rsidRPr="003A1174">
        <w:rPr>
          <w:rFonts w:ascii="Garamond" w:hAnsi="Garamond" w:cs="Arial"/>
          <w:lang w:val="pt-PT"/>
        </w:rPr>
        <w:t>u</w:t>
      </w:r>
      <w:r w:rsidR="00A132B3" w:rsidRPr="003A1174">
        <w:rPr>
          <w:rFonts w:ascii="Garamond" w:hAnsi="Garamond" w:cs="Arial"/>
          <w:lang w:val="pt-PT"/>
        </w:rPr>
        <w:t xml:space="preserve"> interno; </w:t>
      </w:r>
      <w:r w:rsidR="00297367" w:rsidRPr="003A1174">
        <w:rPr>
          <w:rFonts w:ascii="Garamond" w:hAnsi="Garamond" w:cs="Arial"/>
          <w:lang w:val="pt-PT"/>
        </w:rPr>
        <w:t>a</w:t>
      </w:r>
      <w:r w:rsidR="00D15AFF" w:rsidRPr="003A1174">
        <w:rPr>
          <w:rFonts w:ascii="Garamond" w:hAnsi="Garamond" w:cs="Arial"/>
          <w:lang w:val="pt-PT"/>
        </w:rPr>
        <w:t>o</w:t>
      </w:r>
      <w:r w:rsidR="00A132B3" w:rsidRPr="003A1174">
        <w:rPr>
          <w:rFonts w:ascii="Garamond" w:hAnsi="Garamond" w:cs="Arial"/>
          <w:lang w:val="pt-PT"/>
        </w:rPr>
        <w:t xml:space="preserve"> </w:t>
      </w:r>
      <w:r w:rsidR="00886D6A" w:rsidRPr="003A1174">
        <w:rPr>
          <w:rFonts w:ascii="Garamond" w:hAnsi="Garamond" w:cs="Arial"/>
          <w:lang w:val="pt-PT"/>
        </w:rPr>
        <w:t>direito</w:t>
      </w:r>
      <w:r w:rsidR="00A132B3" w:rsidRPr="003A1174">
        <w:rPr>
          <w:rFonts w:ascii="Garamond" w:hAnsi="Garamond" w:cs="Arial"/>
          <w:lang w:val="pt-PT"/>
        </w:rPr>
        <w:t xml:space="preserve"> </w:t>
      </w:r>
      <w:r w:rsidR="00D15AFF" w:rsidRPr="003A1174">
        <w:rPr>
          <w:rFonts w:ascii="Garamond" w:hAnsi="Garamond" w:cs="Arial"/>
          <w:lang w:val="pt-PT"/>
        </w:rPr>
        <w:t xml:space="preserve">à </w:t>
      </w:r>
      <w:r w:rsidRPr="003A1174">
        <w:rPr>
          <w:rFonts w:ascii="Garamond" w:hAnsi="Garamond" w:cs="Arial"/>
          <w:lang w:val="pt-PT"/>
        </w:rPr>
        <w:t>liberdade</w:t>
      </w:r>
      <w:r w:rsidR="00D15AFF" w:rsidRPr="003A1174">
        <w:rPr>
          <w:rFonts w:ascii="Garamond" w:hAnsi="Garamond" w:cs="Arial"/>
          <w:lang w:val="pt-PT"/>
        </w:rPr>
        <w:t xml:space="preserve"> e à segurança</w:t>
      </w:r>
      <w:r w:rsidR="00A132B3" w:rsidRPr="003A1174">
        <w:rPr>
          <w:rFonts w:ascii="Garamond" w:hAnsi="Garamond" w:cs="Arial"/>
          <w:lang w:val="pt-PT"/>
        </w:rPr>
        <w:t xml:space="preserve"> pe</w:t>
      </w:r>
      <w:r w:rsidR="00D15AFF" w:rsidRPr="003A1174">
        <w:rPr>
          <w:rFonts w:ascii="Garamond" w:hAnsi="Garamond" w:cs="Arial"/>
          <w:lang w:val="pt-PT"/>
        </w:rPr>
        <w:t>ssoal</w:t>
      </w:r>
      <w:r w:rsidR="00A132B3" w:rsidRPr="003A1174">
        <w:rPr>
          <w:rFonts w:ascii="Garamond" w:hAnsi="Garamond" w:cs="Arial"/>
          <w:lang w:val="pt-PT"/>
        </w:rPr>
        <w:t xml:space="preserve">; </w:t>
      </w:r>
      <w:r w:rsidR="00D15AFF" w:rsidRPr="003A1174">
        <w:rPr>
          <w:rFonts w:ascii="Garamond" w:hAnsi="Garamond" w:cs="Arial"/>
          <w:lang w:val="pt-PT"/>
        </w:rPr>
        <w:t xml:space="preserve">o </w:t>
      </w:r>
      <w:r w:rsidR="00886D6A" w:rsidRPr="003A1174">
        <w:rPr>
          <w:rFonts w:ascii="Garamond" w:hAnsi="Garamond" w:cs="Arial"/>
          <w:lang w:val="pt-PT"/>
        </w:rPr>
        <w:t>direito</w:t>
      </w:r>
      <w:r w:rsidR="00A132B3" w:rsidRPr="003A1174">
        <w:rPr>
          <w:rFonts w:ascii="Garamond" w:hAnsi="Garamond" w:cs="Arial"/>
          <w:lang w:val="pt-PT"/>
        </w:rPr>
        <w:t xml:space="preserve"> </w:t>
      </w:r>
      <w:r w:rsidR="00D15AFF" w:rsidRPr="003A1174">
        <w:rPr>
          <w:rFonts w:ascii="Garamond" w:hAnsi="Garamond" w:cs="Arial"/>
          <w:lang w:val="pt-PT"/>
        </w:rPr>
        <w:t xml:space="preserve">à </w:t>
      </w:r>
      <w:r w:rsidR="002C7510" w:rsidRPr="003A1174">
        <w:rPr>
          <w:rFonts w:ascii="Garamond" w:hAnsi="Garamond" w:cs="Arial"/>
          <w:lang w:val="pt-PT"/>
        </w:rPr>
        <w:t>igualdade</w:t>
      </w:r>
      <w:r w:rsidR="00A132B3" w:rsidRPr="003A1174">
        <w:rPr>
          <w:rFonts w:ascii="Garamond" w:hAnsi="Garamond" w:cs="Arial"/>
          <w:lang w:val="pt-PT"/>
        </w:rPr>
        <w:t xml:space="preserve"> </w:t>
      </w:r>
      <w:r w:rsidR="00D15AFF" w:rsidRPr="003A1174">
        <w:rPr>
          <w:rFonts w:ascii="Garamond" w:hAnsi="Garamond" w:cs="Arial"/>
          <w:lang w:val="pt-PT"/>
        </w:rPr>
        <w:t xml:space="preserve">perante </w:t>
      </w:r>
      <w:r w:rsidR="00A132B3" w:rsidRPr="003A1174">
        <w:rPr>
          <w:rFonts w:ascii="Garamond" w:hAnsi="Garamond" w:cs="Arial"/>
          <w:lang w:val="pt-PT"/>
        </w:rPr>
        <w:t xml:space="preserve">a </w:t>
      </w:r>
      <w:r w:rsidR="00D15AFF" w:rsidRPr="003A1174">
        <w:rPr>
          <w:rFonts w:ascii="Garamond" w:hAnsi="Garamond" w:cs="Arial"/>
          <w:lang w:val="pt-PT"/>
        </w:rPr>
        <w:t>lei</w:t>
      </w:r>
      <w:r w:rsidR="00A132B3" w:rsidRPr="003A1174">
        <w:rPr>
          <w:rFonts w:ascii="Garamond" w:hAnsi="Garamond" w:cs="Arial"/>
          <w:lang w:val="pt-PT"/>
        </w:rPr>
        <w:t xml:space="preserve">; </w:t>
      </w:r>
      <w:r w:rsidR="006C7AF1" w:rsidRPr="003A1174">
        <w:rPr>
          <w:rFonts w:ascii="Garamond" w:hAnsi="Garamond" w:cs="Arial"/>
          <w:lang w:val="pt-PT"/>
        </w:rPr>
        <w:t xml:space="preserve">o </w:t>
      </w:r>
      <w:r w:rsidR="00886D6A" w:rsidRPr="003A1174">
        <w:rPr>
          <w:rFonts w:ascii="Garamond" w:hAnsi="Garamond" w:cs="Arial"/>
          <w:lang w:val="pt-PT"/>
        </w:rPr>
        <w:t>direito</w:t>
      </w:r>
      <w:r w:rsidR="00A132B3" w:rsidRPr="003A1174">
        <w:rPr>
          <w:rFonts w:ascii="Garamond" w:hAnsi="Garamond" w:cs="Arial"/>
          <w:lang w:val="pt-PT"/>
        </w:rPr>
        <w:t xml:space="preserve"> </w:t>
      </w:r>
      <w:r w:rsidR="006C7AF1" w:rsidRPr="003A1174">
        <w:rPr>
          <w:rFonts w:ascii="Garamond" w:hAnsi="Garamond" w:cs="Arial"/>
          <w:lang w:val="pt-PT"/>
        </w:rPr>
        <w:t xml:space="preserve">à </w:t>
      </w:r>
      <w:r w:rsidR="002C7510" w:rsidRPr="003A1174">
        <w:rPr>
          <w:rFonts w:ascii="Garamond" w:hAnsi="Garamond" w:cs="Arial"/>
          <w:lang w:val="pt-PT"/>
        </w:rPr>
        <w:t>igualdade</w:t>
      </w:r>
      <w:r w:rsidR="00A132B3" w:rsidRPr="003A1174">
        <w:rPr>
          <w:rFonts w:ascii="Garamond" w:hAnsi="Garamond" w:cs="Arial"/>
          <w:lang w:val="pt-PT"/>
        </w:rPr>
        <w:t xml:space="preserve"> </w:t>
      </w:r>
      <w:r w:rsidR="006C7AF1" w:rsidRPr="003A1174">
        <w:rPr>
          <w:rFonts w:ascii="Garamond" w:hAnsi="Garamond" w:cs="Arial"/>
          <w:lang w:val="pt-PT"/>
        </w:rPr>
        <w:t>n</w:t>
      </w:r>
      <w:r w:rsidR="00A132B3" w:rsidRPr="003A1174">
        <w:rPr>
          <w:rFonts w:ascii="Garamond" w:hAnsi="Garamond" w:cs="Arial"/>
          <w:lang w:val="pt-PT"/>
        </w:rPr>
        <w:t xml:space="preserve">a </w:t>
      </w:r>
      <w:r w:rsidR="006C7AF1" w:rsidRPr="003A1174">
        <w:rPr>
          <w:rFonts w:ascii="Garamond" w:hAnsi="Garamond" w:cs="Arial"/>
          <w:lang w:val="pt-PT"/>
        </w:rPr>
        <w:t>família</w:t>
      </w:r>
      <w:r w:rsidR="00A132B3" w:rsidRPr="003A1174">
        <w:rPr>
          <w:rFonts w:ascii="Garamond" w:hAnsi="Garamond" w:cs="Arial"/>
          <w:lang w:val="pt-PT"/>
        </w:rPr>
        <w:t>;</w:t>
      </w:r>
      <w:r w:rsidR="007C63D0" w:rsidRPr="003A1174">
        <w:rPr>
          <w:rFonts w:ascii="Garamond" w:hAnsi="Garamond" w:cs="Arial"/>
          <w:lang w:val="pt-PT"/>
        </w:rPr>
        <w:t xml:space="preserve"> o </w:t>
      </w:r>
      <w:r w:rsidR="00886D6A" w:rsidRPr="003A1174">
        <w:rPr>
          <w:rFonts w:ascii="Garamond" w:hAnsi="Garamond" w:cs="Arial"/>
          <w:lang w:val="pt-PT"/>
        </w:rPr>
        <w:t>direito</w:t>
      </w:r>
      <w:r w:rsidR="00A132B3" w:rsidRPr="003A1174">
        <w:rPr>
          <w:rFonts w:ascii="Garamond" w:hAnsi="Garamond" w:cs="Arial"/>
          <w:lang w:val="pt-PT"/>
        </w:rPr>
        <w:t xml:space="preserve"> a</w:t>
      </w:r>
      <w:r w:rsidR="007C63D0" w:rsidRPr="003A1174">
        <w:rPr>
          <w:rFonts w:ascii="Garamond" w:hAnsi="Garamond" w:cs="Arial"/>
          <w:lang w:val="pt-PT"/>
        </w:rPr>
        <w:t>o mai</w:t>
      </w:r>
      <w:r w:rsidR="00A132B3" w:rsidRPr="003A1174">
        <w:rPr>
          <w:rFonts w:ascii="Garamond" w:hAnsi="Garamond" w:cs="Arial"/>
          <w:lang w:val="pt-PT"/>
        </w:rPr>
        <w:t xml:space="preserve">s alto </w:t>
      </w:r>
      <w:r w:rsidR="0017447A" w:rsidRPr="003A1174">
        <w:rPr>
          <w:rFonts w:ascii="Garamond" w:hAnsi="Garamond" w:cs="Arial"/>
          <w:lang w:val="pt-PT"/>
        </w:rPr>
        <w:t>nível</w:t>
      </w:r>
      <w:r w:rsidR="00A132B3" w:rsidRPr="003A1174">
        <w:rPr>
          <w:rFonts w:ascii="Garamond" w:hAnsi="Garamond" w:cs="Arial"/>
          <w:lang w:val="pt-PT"/>
        </w:rPr>
        <w:t xml:space="preserve"> </w:t>
      </w:r>
      <w:r w:rsidR="00DE5AF4" w:rsidRPr="003A1174">
        <w:rPr>
          <w:rFonts w:ascii="Garamond" w:hAnsi="Garamond" w:cs="Arial"/>
          <w:lang w:val="pt-PT"/>
        </w:rPr>
        <w:t>possível</w:t>
      </w:r>
      <w:r w:rsidR="00A132B3" w:rsidRPr="003A1174">
        <w:rPr>
          <w:rFonts w:ascii="Garamond" w:hAnsi="Garamond" w:cs="Arial"/>
          <w:lang w:val="pt-PT"/>
        </w:rPr>
        <w:t xml:space="preserve"> de </w:t>
      </w:r>
      <w:r w:rsidR="007C63D0" w:rsidRPr="003A1174">
        <w:rPr>
          <w:rFonts w:ascii="Garamond" w:hAnsi="Garamond" w:cs="Arial"/>
          <w:lang w:val="pt-PT"/>
        </w:rPr>
        <w:t>saúde física e</w:t>
      </w:r>
      <w:r w:rsidR="00A132B3" w:rsidRPr="003A1174">
        <w:rPr>
          <w:rFonts w:ascii="Garamond" w:hAnsi="Garamond" w:cs="Arial"/>
          <w:lang w:val="pt-PT"/>
        </w:rPr>
        <w:t xml:space="preserve"> mental, as</w:t>
      </w:r>
      <w:r w:rsidR="007C63D0" w:rsidRPr="003A1174">
        <w:rPr>
          <w:rFonts w:ascii="Garamond" w:hAnsi="Garamond" w:cs="Arial"/>
          <w:lang w:val="pt-PT"/>
        </w:rPr>
        <w:t>sim</w:t>
      </w:r>
      <w:r w:rsidR="00A132B3" w:rsidRPr="003A1174">
        <w:rPr>
          <w:rFonts w:ascii="Garamond" w:hAnsi="Garamond" w:cs="Arial"/>
          <w:lang w:val="pt-PT"/>
        </w:rPr>
        <w:t xml:space="preserve"> como a </w:t>
      </w:r>
      <w:r w:rsidR="00AC3351" w:rsidRPr="003A1174">
        <w:rPr>
          <w:rFonts w:ascii="Garamond" w:hAnsi="Garamond" w:cs="Arial"/>
          <w:lang w:val="pt-PT"/>
        </w:rPr>
        <w:t>condições</w:t>
      </w:r>
      <w:r w:rsidR="00A132B3" w:rsidRPr="003A1174">
        <w:rPr>
          <w:rFonts w:ascii="Garamond" w:hAnsi="Garamond" w:cs="Arial"/>
          <w:lang w:val="pt-PT"/>
        </w:rPr>
        <w:t xml:space="preserve"> de </w:t>
      </w:r>
      <w:r w:rsidR="00046E19" w:rsidRPr="003A1174">
        <w:rPr>
          <w:rFonts w:ascii="Garamond" w:hAnsi="Garamond" w:cs="Arial"/>
          <w:lang w:val="pt-PT"/>
        </w:rPr>
        <w:t>emprego</w:t>
      </w:r>
      <w:r w:rsidR="007C63D0" w:rsidRPr="003A1174">
        <w:rPr>
          <w:rFonts w:ascii="Garamond" w:hAnsi="Garamond" w:cs="Arial"/>
          <w:lang w:val="pt-PT"/>
        </w:rPr>
        <w:t xml:space="preserve"> justas e</w:t>
      </w:r>
      <w:r w:rsidR="00A132B3" w:rsidRPr="003A1174">
        <w:rPr>
          <w:rFonts w:ascii="Garamond" w:hAnsi="Garamond" w:cs="Arial"/>
          <w:lang w:val="pt-PT"/>
        </w:rPr>
        <w:t xml:space="preserve"> </w:t>
      </w:r>
      <w:r w:rsidR="006506C6" w:rsidRPr="003A1174">
        <w:rPr>
          <w:rFonts w:ascii="Garamond" w:hAnsi="Garamond" w:cs="Arial"/>
          <w:lang w:val="pt-PT"/>
        </w:rPr>
        <w:t>favoráveis</w:t>
      </w:r>
      <w:r w:rsidR="00297367" w:rsidRPr="003A1174">
        <w:rPr>
          <w:rFonts w:ascii="Garamond" w:hAnsi="Garamond" w:cs="Arial"/>
          <w:lang w:val="pt-PT"/>
        </w:rPr>
        <w:t>.</w:t>
      </w:r>
      <w:r w:rsidR="004A0BF9" w:rsidRPr="003A1174">
        <w:rPr>
          <w:rStyle w:val="Refdenotaalpie"/>
          <w:rFonts w:ascii="Garamond" w:hAnsi="Garamond" w:cs="Arial"/>
          <w:b/>
        </w:rPr>
        <w:footnoteReference w:id="9"/>
      </w:r>
      <w:r w:rsidR="00AD5A77" w:rsidRPr="003A1174">
        <w:rPr>
          <w:rFonts w:ascii="Garamond" w:hAnsi="Garamond" w:cs="Arial"/>
          <w:lang w:val="pt-PT"/>
        </w:rPr>
        <w:t xml:space="preserve"> </w:t>
      </w:r>
      <w:r w:rsidR="007C63D0" w:rsidRPr="003A1174">
        <w:rPr>
          <w:rFonts w:ascii="Garamond" w:hAnsi="Garamond" w:cs="Arial"/>
          <w:lang w:val="pt-PT"/>
        </w:rPr>
        <w:t xml:space="preserve">A </w:t>
      </w:r>
      <w:r w:rsidR="000350B1" w:rsidRPr="003A1174">
        <w:rPr>
          <w:rFonts w:ascii="Garamond" w:hAnsi="Garamond" w:cs="Arial"/>
          <w:lang w:val="pt-PT"/>
        </w:rPr>
        <w:t>violência</w:t>
      </w:r>
      <w:r w:rsidR="007C63D0" w:rsidRPr="003A1174">
        <w:rPr>
          <w:rFonts w:ascii="Garamond" w:hAnsi="Garamond" w:cs="Arial"/>
          <w:lang w:val="pt-PT"/>
        </w:rPr>
        <w:t xml:space="preserve"> contra </w:t>
      </w:r>
      <w:r w:rsidR="00AD5A77" w:rsidRPr="003A1174">
        <w:rPr>
          <w:rFonts w:ascii="Garamond" w:hAnsi="Garamond" w:cs="Arial"/>
          <w:lang w:val="pt-PT"/>
        </w:rPr>
        <w:t xml:space="preserve">as </w:t>
      </w:r>
      <w:r w:rsidR="00054EE0" w:rsidRPr="003A1174">
        <w:rPr>
          <w:rFonts w:ascii="Garamond" w:hAnsi="Garamond" w:cs="Arial"/>
          <w:lang w:val="pt-PT"/>
        </w:rPr>
        <w:t>mulheres</w:t>
      </w:r>
      <w:r w:rsidR="00AD5A77" w:rsidRPr="003A1174">
        <w:rPr>
          <w:rFonts w:ascii="Garamond" w:hAnsi="Garamond" w:cs="Arial"/>
          <w:lang w:val="pt-PT"/>
        </w:rPr>
        <w:t xml:space="preserve"> </w:t>
      </w:r>
      <w:r w:rsidR="007C63D0" w:rsidRPr="003A1174">
        <w:rPr>
          <w:rFonts w:ascii="Garamond" w:hAnsi="Garamond" w:cs="Arial"/>
          <w:lang w:val="pt-PT"/>
        </w:rPr>
        <w:t xml:space="preserve">é </w:t>
      </w:r>
      <w:r w:rsidR="00AD5A77" w:rsidRPr="003A1174">
        <w:rPr>
          <w:rFonts w:ascii="Garamond" w:hAnsi="Garamond" w:cs="Arial"/>
          <w:lang w:val="pt-PT"/>
        </w:rPr>
        <w:t xml:space="preserve">a </w:t>
      </w:r>
      <w:r w:rsidR="007C63D0" w:rsidRPr="003A1174">
        <w:rPr>
          <w:rFonts w:ascii="Garamond" w:hAnsi="Garamond" w:cs="Arial"/>
          <w:lang w:val="pt-PT"/>
        </w:rPr>
        <w:t>negação</w:t>
      </w:r>
      <w:r w:rsidR="00AD5A77" w:rsidRPr="003A1174">
        <w:rPr>
          <w:rFonts w:ascii="Garamond" w:hAnsi="Garamond" w:cs="Arial"/>
          <w:lang w:val="pt-PT"/>
        </w:rPr>
        <w:t xml:space="preserve"> extrema d</w:t>
      </w:r>
      <w:r w:rsidR="007C63D0" w:rsidRPr="003A1174">
        <w:rPr>
          <w:rFonts w:ascii="Garamond" w:hAnsi="Garamond" w:cs="Arial"/>
          <w:lang w:val="pt-PT"/>
        </w:rPr>
        <w:t xml:space="preserve">os seus </w:t>
      </w:r>
      <w:r w:rsidR="00886D6A" w:rsidRPr="003A1174">
        <w:rPr>
          <w:rFonts w:ascii="Garamond" w:hAnsi="Garamond" w:cs="Arial"/>
          <w:lang w:val="pt-PT"/>
        </w:rPr>
        <w:t>direito</w:t>
      </w:r>
      <w:r w:rsidR="00AD5A77" w:rsidRPr="003A1174">
        <w:rPr>
          <w:rFonts w:ascii="Garamond" w:hAnsi="Garamond" w:cs="Arial"/>
          <w:lang w:val="pt-PT"/>
        </w:rPr>
        <w:t xml:space="preserve">s humanos.  </w:t>
      </w:r>
    </w:p>
    <w:p w:rsidR="006A4C44" w:rsidRPr="006A4C44" w:rsidRDefault="000A1F2E" w:rsidP="006A4C44">
      <w:pPr>
        <w:pStyle w:val="NormalWeb"/>
        <w:jc w:val="both"/>
        <w:rPr>
          <w:rFonts w:ascii="Garamond" w:hAnsi="Garamond" w:cs="Arial"/>
          <w:lang w:val="pt-PT"/>
        </w:rPr>
      </w:pPr>
      <w:r w:rsidRPr="003A1174">
        <w:rPr>
          <w:rFonts w:ascii="Garamond" w:hAnsi="Garamond" w:cs="Arial"/>
          <w:lang w:val="pt-PT"/>
        </w:rPr>
        <w:t>Por e</w:t>
      </w:r>
      <w:r w:rsidR="007C63D0" w:rsidRPr="003A1174">
        <w:rPr>
          <w:rFonts w:ascii="Garamond" w:hAnsi="Garamond" w:cs="Arial"/>
          <w:lang w:val="pt-PT"/>
        </w:rPr>
        <w:t>ssa razão, a</w:t>
      </w:r>
      <w:r w:rsidRPr="003A1174">
        <w:rPr>
          <w:rFonts w:ascii="Garamond" w:hAnsi="Garamond" w:cs="Arial"/>
          <w:lang w:val="pt-PT"/>
        </w:rPr>
        <w:t xml:space="preserve"> </w:t>
      </w:r>
      <w:r w:rsidR="00B14AA6" w:rsidRPr="003A1174">
        <w:rPr>
          <w:rFonts w:ascii="Garamond" w:hAnsi="Garamond" w:cs="Arial"/>
          <w:lang w:val="pt-PT"/>
        </w:rPr>
        <w:t>Convenção</w:t>
      </w:r>
      <w:r w:rsidRPr="003A1174">
        <w:rPr>
          <w:rFonts w:ascii="Garamond" w:hAnsi="Garamond" w:cs="Arial"/>
          <w:lang w:val="pt-PT"/>
        </w:rPr>
        <w:t xml:space="preserve"> Interamer</w:t>
      </w:r>
      <w:r w:rsidR="007C63D0" w:rsidRPr="003A1174">
        <w:rPr>
          <w:rFonts w:ascii="Garamond" w:hAnsi="Garamond" w:cs="Arial"/>
          <w:lang w:val="pt-PT"/>
        </w:rPr>
        <w:t xml:space="preserve">icana para </w:t>
      </w:r>
      <w:r w:rsidR="003F493C" w:rsidRPr="003A1174">
        <w:rPr>
          <w:rFonts w:ascii="Garamond" w:hAnsi="Garamond" w:cs="Arial"/>
          <w:lang w:val="pt-PT"/>
        </w:rPr>
        <w:t>Prevenir, Punir e Erradicar</w:t>
      </w:r>
      <w:r w:rsidR="007C63D0" w:rsidRPr="003A1174">
        <w:rPr>
          <w:rFonts w:ascii="Garamond" w:hAnsi="Garamond" w:cs="Arial"/>
          <w:lang w:val="pt-PT"/>
        </w:rPr>
        <w:t xml:space="preserve"> </w:t>
      </w:r>
      <w:r w:rsidRPr="003A1174">
        <w:rPr>
          <w:rFonts w:ascii="Garamond" w:hAnsi="Garamond" w:cs="Arial"/>
          <w:lang w:val="pt-PT"/>
        </w:rPr>
        <w:t xml:space="preserve">a </w:t>
      </w:r>
      <w:r w:rsidR="000350B1" w:rsidRPr="003A1174">
        <w:rPr>
          <w:rFonts w:ascii="Garamond" w:hAnsi="Garamond" w:cs="Arial"/>
          <w:lang w:val="pt-PT"/>
        </w:rPr>
        <w:t>Violência</w:t>
      </w:r>
      <w:r w:rsidR="007C63D0" w:rsidRPr="003A1174">
        <w:rPr>
          <w:rFonts w:ascii="Garamond" w:hAnsi="Garamond" w:cs="Arial"/>
          <w:lang w:val="pt-PT"/>
        </w:rPr>
        <w:t xml:space="preserve"> contra </w:t>
      </w:r>
      <w:r w:rsidRPr="003A1174">
        <w:rPr>
          <w:rFonts w:ascii="Garamond" w:hAnsi="Garamond" w:cs="Arial"/>
          <w:lang w:val="pt-PT"/>
        </w:rPr>
        <w:t xml:space="preserve">a </w:t>
      </w:r>
      <w:r w:rsidR="00AF192F" w:rsidRPr="003A1174">
        <w:rPr>
          <w:rFonts w:ascii="Garamond" w:hAnsi="Garamond" w:cs="Arial"/>
          <w:lang w:val="pt-PT"/>
        </w:rPr>
        <w:t>Mulher</w:t>
      </w:r>
      <w:r w:rsidRPr="003A1174">
        <w:rPr>
          <w:rFonts w:ascii="Garamond" w:hAnsi="Garamond" w:cs="Arial"/>
          <w:lang w:val="pt-PT"/>
        </w:rPr>
        <w:t xml:space="preserve">, </w:t>
      </w:r>
      <w:r w:rsidR="006A4C44">
        <w:rPr>
          <w:rFonts w:ascii="Garamond" w:hAnsi="Garamond" w:cs="Arial"/>
          <w:i/>
          <w:lang w:val="pt-PT"/>
        </w:rPr>
        <w:t>«</w:t>
      </w:r>
      <w:r w:rsidR="00B14AA6" w:rsidRPr="003A1174">
        <w:rPr>
          <w:rFonts w:ascii="Garamond" w:hAnsi="Garamond" w:cs="Arial"/>
          <w:i/>
          <w:lang w:val="pt-PT"/>
        </w:rPr>
        <w:t>Convenção</w:t>
      </w:r>
      <w:r w:rsidRPr="003A1174">
        <w:rPr>
          <w:rFonts w:ascii="Garamond" w:hAnsi="Garamond" w:cs="Arial"/>
          <w:i/>
          <w:lang w:val="pt-PT"/>
        </w:rPr>
        <w:t xml:space="preserve"> de Belém do Pará</w:t>
      </w:r>
      <w:r w:rsidR="006A4C44">
        <w:rPr>
          <w:rFonts w:ascii="Garamond" w:hAnsi="Garamond" w:cs="Arial"/>
          <w:i/>
          <w:lang w:val="pt-PT"/>
        </w:rPr>
        <w:t>»</w:t>
      </w:r>
      <w:r w:rsidR="00297367" w:rsidRPr="003A1174">
        <w:rPr>
          <w:rFonts w:ascii="Garamond" w:hAnsi="Garamond" w:cs="Arial"/>
          <w:i/>
          <w:lang w:val="pt-PT"/>
        </w:rPr>
        <w:t>,</w:t>
      </w:r>
      <w:r w:rsidRPr="003A1174">
        <w:rPr>
          <w:rStyle w:val="Refdenotaalpie"/>
          <w:rFonts w:ascii="Garamond" w:hAnsi="Garamond" w:cs="Arial"/>
          <w:b/>
        </w:rPr>
        <w:footnoteReference w:id="10"/>
      </w:r>
      <w:r w:rsidRPr="003A1174">
        <w:rPr>
          <w:rFonts w:ascii="Garamond" w:hAnsi="Garamond" w:cs="Arial"/>
          <w:lang w:val="pt-PT"/>
        </w:rPr>
        <w:t xml:space="preserve"> </w:t>
      </w:r>
      <w:r w:rsidR="009E3E55" w:rsidRPr="003A1174">
        <w:rPr>
          <w:rFonts w:ascii="Garamond" w:hAnsi="Garamond" w:cs="Arial"/>
          <w:lang w:val="pt-PT"/>
        </w:rPr>
        <w:t>adotada</w:t>
      </w:r>
      <w:r w:rsidRPr="003A1174">
        <w:rPr>
          <w:rFonts w:ascii="Garamond" w:hAnsi="Garamond" w:cs="Arial"/>
          <w:lang w:val="pt-PT"/>
        </w:rPr>
        <w:t xml:space="preserve"> </w:t>
      </w:r>
      <w:r w:rsidR="007C63D0" w:rsidRPr="003A1174">
        <w:rPr>
          <w:rFonts w:ascii="Garamond" w:hAnsi="Garamond" w:cs="Arial"/>
          <w:lang w:val="pt-PT"/>
        </w:rPr>
        <w:t xml:space="preserve">quase </w:t>
      </w:r>
      <w:r w:rsidR="008069E0" w:rsidRPr="003A1174">
        <w:rPr>
          <w:rFonts w:ascii="Garamond" w:hAnsi="Garamond" w:cs="Arial"/>
          <w:lang w:val="pt-PT"/>
        </w:rPr>
        <w:t xml:space="preserve">quinze anos </w:t>
      </w:r>
      <w:r w:rsidR="007C63D0" w:rsidRPr="003A1174">
        <w:rPr>
          <w:rFonts w:ascii="Garamond" w:hAnsi="Garamond" w:cs="Arial"/>
          <w:lang w:val="pt-PT"/>
        </w:rPr>
        <w:t>depois</w:t>
      </w:r>
      <w:r w:rsidRPr="003A1174">
        <w:rPr>
          <w:rFonts w:ascii="Garamond" w:hAnsi="Garamond" w:cs="Arial"/>
          <w:lang w:val="pt-PT"/>
        </w:rPr>
        <w:t xml:space="preserve"> d</w:t>
      </w:r>
      <w:r w:rsidR="007C63D0" w:rsidRPr="003A1174">
        <w:rPr>
          <w:rFonts w:ascii="Garamond" w:hAnsi="Garamond" w:cs="Arial"/>
          <w:lang w:val="pt-PT"/>
        </w:rPr>
        <w:t>o</w:t>
      </w:r>
      <w:r w:rsidRPr="003A1174">
        <w:rPr>
          <w:rFonts w:ascii="Garamond" w:hAnsi="Garamond" w:cs="Arial"/>
          <w:lang w:val="pt-PT"/>
        </w:rPr>
        <w:t xml:space="preserve"> </w:t>
      </w:r>
      <w:r w:rsidR="007C63D0" w:rsidRPr="003A1174">
        <w:rPr>
          <w:rFonts w:ascii="Garamond" w:hAnsi="Garamond" w:cs="Arial"/>
          <w:lang w:val="pt-PT"/>
        </w:rPr>
        <w:t>já</w:t>
      </w:r>
      <w:r w:rsidR="008069E0" w:rsidRPr="003A1174">
        <w:rPr>
          <w:rFonts w:ascii="Garamond" w:hAnsi="Garamond" w:cs="Arial"/>
          <w:lang w:val="pt-PT"/>
        </w:rPr>
        <w:t xml:space="preserve"> indicado </w:t>
      </w:r>
      <w:r w:rsidRPr="003A1174">
        <w:rPr>
          <w:rFonts w:ascii="Garamond" w:hAnsi="Garamond" w:cs="Arial"/>
          <w:lang w:val="pt-PT"/>
        </w:rPr>
        <w:t xml:space="preserve">instrumento sobre </w:t>
      </w:r>
      <w:r w:rsidR="0017447A" w:rsidRPr="003A1174">
        <w:rPr>
          <w:rFonts w:ascii="Garamond" w:hAnsi="Garamond" w:cs="Arial"/>
          <w:lang w:val="pt-PT"/>
        </w:rPr>
        <w:t>Discriminação</w:t>
      </w:r>
      <w:r w:rsidR="007C63D0" w:rsidRPr="003A1174">
        <w:rPr>
          <w:rFonts w:ascii="Garamond" w:hAnsi="Garamond" w:cs="Arial"/>
          <w:lang w:val="pt-PT"/>
        </w:rPr>
        <w:t xml:space="preserve"> contra </w:t>
      </w:r>
      <w:r w:rsidRPr="003A1174">
        <w:rPr>
          <w:rFonts w:ascii="Garamond" w:hAnsi="Garamond" w:cs="Arial"/>
          <w:lang w:val="pt-PT"/>
        </w:rPr>
        <w:t xml:space="preserve">a </w:t>
      </w:r>
      <w:r w:rsidR="00AF192F" w:rsidRPr="003A1174">
        <w:rPr>
          <w:rFonts w:ascii="Garamond" w:hAnsi="Garamond" w:cs="Arial"/>
          <w:lang w:val="pt-PT"/>
        </w:rPr>
        <w:t>Mulher</w:t>
      </w:r>
      <w:r w:rsidRPr="003A1174">
        <w:rPr>
          <w:rFonts w:ascii="Garamond" w:hAnsi="Garamond" w:cs="Arial"/>
          <w:lang w:val="pt-PT"/>
        </w:rPr>
        <w:t xml:space="preserve"> (</w:t>
      </w:r>
      <w:r w:rsidR="007C63D0" w:rsidRPr="003A1174">
        <w:rPr>
          <w:rFonts w:ascii="Garamond" w:hAnsi="Garamond" w:cs="Arial"/>
          <w:lang w:val="pt-PT"/>
        </w:rPr>
        <w:t xml:space="preserve">a </w:t>
      </w:r>
      <w:proofErr w:type="gramStart"/>
      <w:r w:rsidRPr="003A1174">
        <w:rPr>
          <w:rFonts w:ascii="Garamond" w:hAnsi="Garamond" w:cs="Arial"/>
          <w:lang w:val="pt-PT"/>
        </w:rPr>
        <w:t>9</w:t>
      </w:r>
      <w:proofErr w:type="gramEnd"/>
      <w:r w:rsidRPr="003A1174">
        <w:rPr>
          <w:rFonts w:ascii="Garamond" w:hAnsi="Garamond" w:cs="Arial"/>
          <w:lang w:val="pt-PT"/>
        </w:rPr>
        <w:t xml:space="preserve"> de </w:t>
      </w:r>
      <w:r w:rsidR="00077461" w:rsidRPr="003A1174">
        <w:rPr>
          <w:rFonts w:ascii="Garamond" w:hAnsi="Garamond" w:cs="Arial"/>
          <w:lang w:val="pt-PT"/>
        </w:rPr>
        <w:t>junho</w:t>
      </w:r>
      <w:r w:rsidRPr="003A1174">
        <w:rPr>
          <w:rFonts w:ascii="Garamond" w:hAnsi="Garamond" w:cs="Arial"/>
          <w:lang w:val="pt-PT"/>
        </w:rPr>
        <w:t xml:space="preserve"> de 1994), a</w:t>
      </w:r>
      <w:r w:rsidR="007C63D0" w:rsidRPr="003A1174">
        <w:rPr>
          <w:rFonts w:ascii="Garamond" w:hAnsi="Garamond" w:cs="Arial"/>
          <w:lang w:val="pt-PT"/>
        </w:rPr>
        <w:t>o</w:t>
      </w:r>
      <w:r w:rsidRPr="003A1174">
        <w:rPr>
          <w:rFonts w:ascii="Garamond" w:hAnsi="Garamond" w:cs="Arial"/>
          <w:lang w:val="pt-PT"/>
        </w:rPr>
        <w:t xml:space="preserve"> referir</w:t>
      </w:r>
      <w:r w:rsidR="007C63D0" w:rsidRPr="003A1174">
        <w:rPr>
          <w:rFonts w:ascii="Garamond" w:hAnsi="Garamond" w:cs="Arial"/>
          <w:lang w:val="pt-PT"/>
        </w:rPr>
        <w:t>-</w:t>
      </w:r>
      <w:r w:rsidRPr="003A1174">
        <w:rPr>
          <w:rFonts w:ascii="Garamond" w:hAnsi="Garamond" w:cs="Arial"/>
          <w:lang w:val="pt-PT"/>
        </w:rPr>
        <w:t xml:space="preserve">se </w:t>
      </w:r>
      <w:r w:rsidR="007C63D0" w:rsidRPr="003A1174">
        <w:rPr>
          <w:rFonts w:ascii="Garamond" w:hAnsi="Garamond" w:cs="Arial"/>
          <w:lang w:val="pt-PT"/>
        </w:rPr>
        <w:t xml:space="preserve">no </w:t>
      </w:r>
      <w:r w:rsidRPr="003A1174">
        <w:rPr>
          <w:rFonts w:ascii="Garamond" w:hAnsi="Garamond" w:cs="Arial"/>
          <w:lang w:val="pt-PT"/>
        </w:rPr>
        <w:t>s</w:t>
      </w:r>
      <w:r w:rsidR="007C63D0" w:rsidRPr="003A1174">
        <w:rPr>
          <w:rFonts w:ascii="Garamond" w:hAnsi="Garamond" w:cs="Arial"/>
          <w:lang w:val="pt-PT"/>
        </w:rPr>
        <w:t>e</w:t>
      </w:r>
      <w:r w:rsidRPr="003A1174">
        <w:rPr>
          <w:rFonts w:ascii="Garamond" w:hAnsi="Garamond" w:cs="Arial"/>
          <w:lang w:val="pt-PT"/>
        </w:rPr>
        <w:t xml:space="preserve">u </w:t>
      </w:r>
      <w:r w:rsidR="00383B3F" w:rsidRPr="003A1174">
        <w:rPr>
          <w:rFonts w:ascii="Garamond" w:hAnsi="Garamond" w:cs="Arial"/>
          <w:lang w:val="pt-PT"/>
        </w:rPr>
        <w:t>Art.</w:t>
      </w:r>
      <w:r w:rsidRPr="003A1174">
        <w:rPr>
          <w:rFonts w:ascii="Garamond" w:hAnsi="Garamond" w:cs="Arial"/>
          <w:lang w:val="pt-PT"/>
        </w:rPr>
        <w:t xml:space="preserve"> 1 </w:t>
      </w:r>
      <w:r w:rsidR="007C63D0" w:rsidRPr="003A1174">
        <w:rPr>
          <w:rFonts w:ascii="Garamond" w:hAnsi="Garamond" w:cs="Arial"/>
          <w:lang w:val="pt-PT"/>
        </w:rPr>
        <w:t xml:space="preserve">à </w:t>
      </w:r>
      <w:r w:rsidR="000350B1" w:rsidRPr="003A1174">
        <w:rPr>
          <w:rFonts w:ascii="Garamond" w:hAnsi="Garamond" w:cs="Arial"/>
          <w:lang w:val="pt-PT"/>
        </w:rPr>
        <w:t>Violência</w:t>
      </w:r>
      <w:r w:rsidR="007C63D0" w:rsidRPr="003A1174">
        <w:rPr>
          <w:rFonts w:ascii="Garamond" w:hAnsi="Garamond" w:cs="Arial"/>
          <w:lang w:val="pt-PT"/>
        </w:rPr>
        <w:t xml:space="preserve"> contra </w:t>
      </w:r>
      <w:r w:rsidRPr="003A1174">
        <w:rPr>
          <w:rFonts w:ascii="Garamond" w:hAnsi="Garamond" w:cs="Arial"/>
          <w:lang w:val="pt-PT"/>
        </w:rPr>
        <w:t xml:space="preserve">a </w:t>
      </w:r>
      <w:r w:rsidR="00AF192F" w:rsidRPr="003A1174">
        <w:rPr>
          <w:rFonts w:ascii="Garamond" w:hAnsi="Garamond" w:cs="Arial"/>
          <w:lang w:val="pt-PT"/>
        </w:rPr>
        <w:t>Mulher</w:t>
      </w:r>
      <w:r w:rsidRPr="003A1174">
        <w:rPr>
          <w:rFonts w:ascii="Garamond" w:hAnsi="Garamond" w:cs="Arial"/>
          <w:lang w:val="pt-PT"/>
        </w:rPr>
        <w:t xml:space="preserve"> </w:t>
      </w:r>
      <w:r w:rsidR="007C63D0" w:rsidRPr="003A1174">
        <w:rPr>
          <w:rFonts w:ascii="Garamond" w:hAnsi="Garamond" w:cs="Arial"/>
          <w:lang w:val="pt-PT"/>
        </w:rPr>
        <w:t xml:space="preserve">afirma </w:t>
      </w:r>
      <w:r w:rsidR="008011CE" w:rsidRPr="003A1174">
        <w:rPr>
          <w:rFonts w:ascii="Garamond" w:hAnsi="Garamond" w:cs="Arial"/>
          <w:lang w:val="pt-PT"/>
        </w:rPr>
        <w:t>que</w:t>
      </w:r>
      <w:r w:rsidRPr="003A1174">
        <w:rPr>
          <w:rFonts w:ascii="Garamond" w:hAnsi="Garamond" w:cs="Arial"/>
          <w:lang w:val="pt-PT"/>
        </w:rPr>
        <w:t xml:space="preserve">: </w:t>
      </w:r>
      <w:r w:rsidR="006A4C44" w:rsidRPr="006A4C44">
        <w:rPr>
          <w:rFonts w:ascii="Garamond" w:hAnsi="Garamond" w:cs="Arial"/>
          <w:lang w:val="pt-PT"/>
        </w:rPr>
        <w:t>«…qualquer ação ou comportamento, baseado no seu género, que cause morte, dano ou sofrimento físico, sexual ou psicológico à mulher, tanto no âmbito público como no privado.»</w:t>
      </w:r>
    </w:p>
    <w:p w:rsidR="000A1F2E" w:rsidRPr="003A1174" w:rsidRDefault="007342D9" w:rsidP="008719D4">
      <w:pPr>
        <w:pStyle w:val="NormalWeb"/>
        <w:jc w:val="both"/>
        <w:rPr>
          <w:rFonts w:ascii="Garamond" w:hAnsi="Garamond" w:cs="Arial"/>
          <w:lang w:val="pt-PT"/>
        </w:rPr>
      </w:pPr>
      <w:r w:rsidRPr="003A1174">
        <w:rPr>
          <w:rFonts w:ascii="Garamond" w:hAnsi="Garamond" w:cs="Arial"/>
          <w:color w:val="000000" w:themeColor="text1"/>
          <w:lang w:val="pt-PT"/>
        </w:rPr>
        <w:t xml:space="preserve">É aí, no </w:t>
      </w:r>
      <w:r w:rsidR="00802ACC" w:rsidRPr="003A1174">
        <w:rPr>
          <w:rFonts w:ascii="Garamond" w:hAnsi="Garamond" w:cs="Arial"/>
          <w:color w:val="000000" w:themeColor="text1"/>
          <w:lang w:val="pt-PT"/>
        </w:rPr>
        <w:t>âmbito</w:t>
      </w:r>
      <w:r w:rsidR="000A1F2E" w:rsidRPr="003A1174">
        <w:rPr>
          <w:rFonts w:ascii="Garamond" w:hAnsi="Garamond" w:cs="Arial"/>
          <w:color w:val="000000" w:themeColor="text1"/>
          <w:lang w:val="pt-PT"/>
        </w:rPr>
        <w:t xml:space="preserve"> </w:t>
      </w:r>
      <w:r w:rsidR="00190B59" w:rsidRPr="003A1174">
        <w:rPr>
          <w:rFonts w:ascii="Garamond" w:hAnsi="Garamond" w:cs="Arial"/>
          <w:color w:val="000000" w:themeColor="text1"/>
          <w:lang w:val="pt-PT"/>
        </w:rPr>
        <w:t>familiar</w:t>
      </w:r>
      <w:r w:rsidR="008011CE" w:rsidRPr="003A1174">
        <w:rPr>
          <w:rFonts w:ascii="Garamond" w:hAnsi="Garamond" w:cs="Arial"/>
          <w:color w:val="000000" w:themeColor="text1"/>
          <w:lang w:val="pt-PT"/>
        </w:rPr>
        <w:t>,</w:t>
      </w:r>
      <w:r w:rsidR="0048291A" w:rsidRPr="003A1174">
        <w:rPr>
          <w:rFonts w:ascii="Garamond" w:hAnsi="Garamond" w:cs="Arial"/>
          <w:color w:val="000000" w:themeColor="text1"/>
          <w:lang w:val="pt-PT"/>
        </w:rPr>
        <w:t xml:space="preserve"> </w:t>
      </w:r>
      <w:r w:rsidR="000A1F2E" w:rsidRPr="003A1174">
        <w:rPr>
          <w:rFonts w:ascii="Garamond" w:hAnsi="Garamond" w:cs="Arial"/>
          <w:color w:val="000000" w:themeColor="text1"/>
          <w:lang w:val="pt-PT"/>
        </w:rPr>
        <w:t>que se produ</w:t>
      </w:r>
      <w:r w:rsidRPr="003A1174">
        <w:rPr>
          <w:rFonts w:ascii="Garamond" w:hAnsi="Garamond" w:cs="Arial"/>
          <w:color w:val="000000" w:themeColor="text1"/>
          <w:lang w:val="pt-PT"/>
        </w:rPr>
        <w:t>z um</w:t>
      </w:r>
      <w:r w:rsidR="000A1F2E" w:rsidRPr="003A1174">
        <w:rPr>
          <w:rFonts w:ascii="Garamond" w:hAnsi="Garamond" w:cs="Arial"/>
          <w:color w:val="000000" w:themeColor="text1"/>
          <w:lang w:val="pt-PT"/>
        </w:rPr>
        <w:t>a d</w:t>
      </w:r>
      <w:r w:rsidRPr="003A1174">
        <w:rPr>
          <w:rFonts w:ascii="Garamond" w:hAnsi="Garamond" w:cs="Arial"/>
          <w:color w:val="000000" w:themeColor="text1"/>
          <w:lang w:val="pt-PT"/>
        </w:rPr>
        <w:t>as formas mai</w:t>
      </w:r>
      <w:r w:rsidR="000A1F2E" w:rsidRPr="003A1174">
        <w:rPr>
          <w:rFonts w:ascii="Garamond" w:hAnsi="Garamond" w:cs="Arial"/>
          <w:color w:val="000000" w:themeColor="text1"/>
          <w:lang w:val="pt-PT"/>
        </w:rPr>
        <w:t xml:space="preserve">s </w:t>
      </w:r>
      <w:r w:rsidR="000A1F2E" w:rsidRPr="003A1174">
        <w:rPr>
          <w:rFonts w:ascii="Garamond" w:hAnsi="Garamond" w:cs="Arial"/>
          <w:lang w:val="pt-PT"/>
        </w:rPr>
        <w:t>insidiosa</w:t>
      </w:r>
      <w:r w:rsidR="000A1F2E" w:rsidRPr="003A1174">
        <w:rPr>
          <w:rFonts w:ascii="Garamond" w:hAnsi="Garamond" w:cs="Arial"/>
          <w:color w:val="000000" w:themeColor="text1"/>
          <w:lang w:val="pt-PT"/>
        </w:rPr>
        <w:t xml:space="preserve">s de </w:t>
      </w:r>
      <w:r w:rsidR="000350B1" w:rsidRPr="003A1174">
        <w:rPr>
          <w:rFonts w:ascii="Garamond" w:hAnsi="Garamond" w:cs="Arial"/>
          <w:color w:val="000000" w:themeColor="text1"/>
          <w:lang w:val="pt-PT"/>
        </w:rPr>
        <w:t>violência</w:t>
      </w:r>
      <w:r w:rsidRPr="003A1174">
        <w:rPr>
          <w:rFonts w:ascii="Garamond" w:hAnsi="Garamond" w:cs="Arial"/>
          <w:color w:val="000000" w:themeColor="text1"/>
          <w:lang w:val="pt-PT"/>
        </w:rPr>
        <w:t xml:space="preserve"> contra </w:t>
      </w:r>
      <w:r w:rsidR="000A1F2E" w:rsidRPr="003A1174">
        <w:rPr>
          <w:rFonts w:ascii="Garamond" w:hAnsi="Garamond" w:cs="Arial"/>
          <w:color w:val="000000" w:themeColor="text1"/>
          <w:lang w:val="pt-PT"/>
        </w:rPr>
        <w:t xml:space="preserve">a </w:t>
      </w:r>
      <w:r w:rsidR="00AF192F" w:rsidRPr="003A1174">
        <w:rPr>
          <w:rFonts w:ascii="Garamond" w:hAnsi="Garamond" w:cs="Arial"/>
          <w:color w:val="000000" w:themeColor="text1"/>
          <w:lang w:val="pt-PT"/>
        </w:rPr>
        <w:t>mulher</w:t>
      </w:r>
      <w:r w:rsidRPr="003A1174">
        <w:rPr>
          <w:rFonts w:ascii="Garamond" w:hAnsi="Garamond" w:cs="Arial"/>
          <w:color w:val="000000" w:themeColor="text1"/>
          <w:lang w:val="pt-PT"/>
        </w:rPr>
        <w:t xml:space="preserve">: </w:t>
      </w:r>
      <w:r w:rsidR="000A1F2E" w:rsidRPr="003A1174">
        <w:rPr>
          <w:rFonts w:ascii="Garamond" w:hAnsi="Garamond" w:cs="Arial"/>
          <w:color w:val="000000" w:themeColor="text1"/>
          <w:lang w:val="pt-PT"/>
        </w:rPr>
        <w:t xml:space="preserve">a </w:t>
      </w:r>
      <w:r w:rsidR="000350B1" w:rsidRPr="003A1174">
        <w:rPr>
          <w:rFonts w:ascii="Garamond" w:hAnsi="Garamond" w:cs="Arial"/>
          <w:color w:val="000000" w:themeColor="text1"/>
          <w:lang w:val="pt-PT"/>
        </w:rPr>
        <w:t>violência</w:t>
      </w:r>
      <w:r w:rsidR="000A1F2E" w:rsidRPr="003A1174">
        <w:rPr>
          <w:rFonts w:ascii="Garamond" w:hAnsi="Garamond" w:cs="Arial"/>
          <w:color w:val="000000" w:themeColor="text1"/>
          <w:lang w:val="pt-PT"/>
        </w:rPr>
        <w:t xml:space="preserve"> doméstica</w:t>
      </w:r>
      <w:r w:rsidR="009940EF" w:rsidRPr="003A1174">
        <w:rPr>
          <w:rFonts w:ascii="Garamond" w:hAnsi="Garamond" w:cs="Arial"/>
          <w:color w:val="000000" w:themeColor="text1"/>
          <w:lang w:val="pt-PT"/>
        </w:rPr>
        <w:t xml:space="preserve"> </w:t>
      </w:r>
      <w:r w:rsidRPr="003A1174">
        <w:rPr>
          <w:rFonts w:ascii="Garamond" w:hAnsi="Garamond" w:cs="Arial"/>
          <w:color w:val="000000" w:themeColor="text1"/>
          <w:lang w:val="pt-PT"/>
        </w:rPr>
        <w:t>no seu sentido mais amplo.</w:t>
      </w:r>
      <w:r w:rsidR="000A1F2E" w:rsidRPr="003A1174">
        <w:rPr>
          <w:rFonts w:ascii="Garamond" w:hAnsi="Garamond" w:cs="Arial"/>
          <w:color w:val="000000" w:themeColor="text1"/>
          <w:lang w:val="pt-PT"/>
        </w:rPr>
        <w:t xml:space="preserve"> Sobre esta </w:t>
      </w:r>
      <w:r w:rsidR="000350B1" w:rsidRPr="003A1174">
        <w:rPr>
          <w:rFonts w:ascii="Garamond" w:hAnsi="Garamond" w:cs="Arial"/>
          <w:color w:val="000000" w:themeColor="text1"/>
          <w:lang w:val="pt-PT"/>
        </w:rPr>
        <w:t>violência</w:t>
      </w:r>
      <w:r w:rsidR="000A1F2E" w:rsidRPr="003A1174">
        <w:rPr>
          <w:rFonts w:ascii="Garamond" w:hAnsi="Garamond" w:cs="Arial"/>
          <w:color w:val="000000" w:themeColor="text1"/>
          <w:lang w:val="pt-PT"/>
        </w:rPr>
        <w:t xml:space="preserve"> </w:t>
      </w:r>
      <w:r w:rsidRPr="003A1174">
        <w:rPr>
          <w:rFonts w:ascii="Garamond" w:hAnsi="Garamond" w:cs="Arial"/>
          <w:color w:val="000000" w:themeColor="text1"/>
          <w:lang w:val="pt-PT"/>
        </w:rPr>
        <w:t>sustentou-</w:t>
      </w:r>
      <w:r w:rsidR="000A1F2E" w:rsidRPr="003A1174">
        <w:rPr>
          <w:rFonts w:ascii="Garamond" w:hAnsi="Garamond" w:cs="Arial"/>
          <w:color w:val="000000" w:themeColor="text1"/>
          <w:lang w:val="pt-PT"/>
        </w:rPr>
        <w:t xml:space="preserve">se: </w:t>
      </w:r>
    </w:p>
    <w:p w:rsidR="000A1F2E" w:rsidRPr="006A4C44" w:rsidRDefault="006A4C44" w:rsidP="006A4C44">
      <w:pPr>
        <w:pStyle w:val="NormalWeb"/>
        <w:ind w:left="567"/>
        <w:jc w:val="both"/>
        <w:rPr>
          <w:rFonts w:ascii="Garamond" w:hAnsi="Garamond" w:cs="Arial"/>
          <w:sz w:val="22"/>
          <w:szCs w:val="22"/>
          <w:lang w:val="pt-PT"/>
        </w:rPr>
      </w:pPr>
      <w:r>
        <w:rPr>
          <w:rFonts w:ascii="Garamond" w:hAnsi="Garamond" w:cs="Arial"/>
          <w:sz w:val="22"/>
          <w:szCs w:val="22"/>
          <w:lang w:val="pt-PT"/>
        </w:rPr>
        <w:t>«</w:t>
      </w:r>
      <w:r w:rsidR="007342D9" w:rsidRPr="006A4C44">
        <w:rPr>
          <w:rFonts w:ascii="Garamond" w:hAnsi="Garamond" w:cs="Arial"/>
          <w:sz w:val="22"/>
          <w:szCs w:val="22"/>
          <w:lang w:val="pt-PT"/>
        </w:rPr>
        <w:t xml:space="preserve">A </w:t>
      </w:r>
      <w:r w:rsidR="000350B1" w:rsidRPr="003B4D48">
        <w:rPr>
          <w:rFonts w:ascii="Garamond" w:hAnsi="Garamond" w:cs="Arial"/>
          <w:sz w:val="22"/>
          <w:szCs w:val="22"/>
          <w:lang w:val="pt-PT"/>
        </w:rPr>
        <w:t>violência</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n</w:t>
      </w:r>
      <w:r w:rsidR="000A1F2E" w:rsidRPr="003B4D48">
        <w:rPr>
          <w:rFonts w:ascii="Garamond" w:hAnsi="Garamond" w:cs="Arial"/>
          <w:sz w:val="22"/>
          <w:szCs w:val="22"/>
          <w:lang w:val="pt-PT"/>
        </w:rPr>
        <w:t xml:space="preserve">a </w:t>
      </w:r>
      <w:r w:rsidR="006C7AF1" w:rsidRPr="003B4D48">
        <w:rPr>
          <w:rFonts w:ascii="Garamond" w:hAnsi="Garamond" w:cs="Arial"/>
          <w:sz w:val="22"/>
          <w:szCs w:val="22"/>
          <w:lang w:val="pt-PT"/>
        </w:rPr>
        <w:t>família</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 xml:space="preserve">é uma </w:t>
      </w:r>
      <w:r w:rsidR="000A1F2E" w:rsidRPr="003B4D48">
        <w:rPr>
          <w:rFonts w:ascii="Garamond" w:hAnsi="Garamond" w:cs="Arial"/>
          <w:sz w:val="22"/>
          <w:szCs w:val="22"/>
          <w:lang w:val="pt-PT"/>
        </w:rPr>
        <w:t>d</w:t>
      </w:r>
      <w:r w:rsidR="007342D9" w:rsidRPr="003B4D48">
        <w:rPr>
          <w:rFonts w:ascii="Garamond" w:hAnsi="Garamond" w:cs="Arial"/>
          <w:sz w:val="22"/>
          <w:szCs w:val="22"/>
          <w:lang w:val="pt-PT"/>
        </w:rPr>
        <w:t>as formas mai</w:t>
      </w:r>
      <w:r w:rsidR="000A1F2E" w:rsidRPr="003B4D48">
        <w:rPr>
          <w:rFonts w:ascii="Garamond" w:hAnsi="Garamond" w:cs="Arial"/>
          <w:sz w:val="22"/>
          <w:szCs w:val="22"/>
          <w:lang w:val="pt-PT"/>
        </w:rPr>
        <w:t xml:space="preserve">s insidiosas de </w:t>
      </w:r>
      <w:r w:rsidR="000350B1" w:rsidRPr="003B4D48">
        <w:rPr>
          <w:rFonts w:ascii="Garamond" w:hAnsi="Garamond" w:cs="Arial"/>
          <w:sz w:val="22"/>
          <w:szCs w:val="22"/>
          <w:lang w:val="pt-PT"/>
        </w:rPr>
        <w:t>violência</w:t>
      </w:r>
      <w:r w:rsidR="007342D9" w:rsidRPr="003B4D48">
        <w:rPr>
          <w:rFonts w:ascii="Garamond" w:hAnsi="Garamond" w:cs="Arial"/>
          <w:sz w:val="22"/>
          <w:szCs w:val="22"/>
          <w:lang w:val="pt-PT"/>
        </w:rPr>
        <w:t xml:space="preserve"> contra </w:t>
      </w:r>
      <w:r w:rsidR="000A1F2E" w:rsidRPr="003B4D48">
        <w:rPr>
          <w:rFonts w:ascii="Garamond" w:hAnsi="Garamond" w:cs="Arial"/>
          <w:sz w:val="22"/>
          <w:szCs w:val="22"/>
          <w:lang w:val="pt-PT"/>
        </w:rPr>
        <w:t xml:space="preserve">a </w:t>
      </w:r>
      <w:r w:rsidR="00AF192F" w:rsidRPr="003B4D48">
        <w:rPr>
          <w:rFonts w:ascii="Garamond" w:hAnsi="Garamond" w:cs="Arial"/>
          <w:sz w:val="22"/>
          <w:szCs w:val="22"/>
          <w:lang w:val="pt-PT"/>
        </w:rPr>
        <w:t>mulher</w:t>
      </w:r>
      <w:r w:rsidR="000A1F2E" w:rsidRPr="003B4D48">
        <w:rPr>
          <w:rFonts w:ascii="Garamond" w:hAnsi="Garamond" w:cs="Arial"/>
          <w:sz w:val="22"/>
          <w:szCs w:val="22"/>
          <w:lang w:val="pt-PT"/>
        </w:rPr>
        <w:t>. Existe e</w:t>
      </w:r>
      <w:r w:rsidR="007342D9" w:rsidRPr="003B4D48">
        <w:rPr>
          <w:rFonts w:ascii="Garamond" w:hAnsi="Garamond" w:cs="Arial"/>
          <w:sz w:val="22"/>
          <w:szCs w:val="22"/>
          <w:lang w:val="pt-PT"/>
        </w:rPr>
        <w:t xml:space="preserve">m todas </w:t>
      </w:r>
      <w:r w:rsidR="000A1F2E" w:rsidRPr="003B4D48">
        <w:rPr>
          <w:rFonts w:ascii="Garamond" w:hAnsi="Garamond" w:cs="Arial"/>
          <w:sz w:val="22"/>
          <w:szCs w:val="22"/>
          <w:lang w:val="pt-PT"/>
        </w:rPr>
        <w:t xml:space="preserve">as sociedades. </w:t>
      </w:r>
      <w:r w:rsidR="007342D9" w:rsidRPr="003B4D48">
        <w:rPr>
          <w:rFonts w:ascii="Garamond" w:hAnsi="Garamond" w:cs="Arial"/>
          <w:sz w:val="22"/>
          <w:szCs w:val="22"/>
          <w:lang w:val="pt-PT"/>
        </w:rPr>
        <w:t>N</w:t>
      </w:r>
      <w:r w:rsidR="000A1F2E" w:rsidRPr="003B4D48">
        <w:rPr>
          <w:rFonts w:ascii="Garamond" w:hAnsi="Garamond" w:cs="Arial"/>
          <w:sz w:val="22"/>
          <w:szCs w:val="22"/>
          <w:lang w:val="pt-PT"/>
        </w:rPr>
        <w:t xml:space="preserve">as </w:t>
      </w:r>
      <w:r w:rsidR="00C04CA4" w:rsidRPr="003B4D48">
        <w:rPr>
          <w:rFonts w:ascii="Garamond" w:hAnsi="Garamond" w:cs="Arial"/>
          <w:sz w:val="22"/>
          <w:szCs w:val="22"/>
          <w:lang w:val="pt-PT"/>
        </w:rPr>
        <w:t>relações</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familiares</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 xml:space="preserve">submetem-se </w:t>
      </w:r>
      <w:r w:rsidR="00054EE0" w:rsidRPr="003B4D48">
        <w:rPr>
          <w:rFonts w:ascii="Garamond" w:hAnsi="Garamond" w:cs="Arial"/>
          <w:sz w:val="22"/>
          <w:szCs w:val="22"/>
          <w:lang w:val="pt-PT"/>
        </w:rPr>
        <w:t>mulheres</w:t>
      </w:r>
      <w:r w:rsidR="000A1F2E" w:rsidRPr="003B4D48">
        <w:rPr>
          <w:rFonts w:ascii="Garamond" w:hAnsi="Garamond" w:cs="Arial"/>
          <w:sz w:val="22"/>
          <w:szCs w:val="22"/>
          <w:lang w:val="pt-PT"/>
        </w:rPr>
        <w:t xml:space="preserve"> de </w:t>
      </w:r>
      <w:r w:rsidR="007342D9" w:rsidRPr="003B4D48">
        <w:rPr>
          <w:rFonts w:ascii="Garamond" w:hAnsi="Garamond" w:cs="Arial"/>
          <w:sz w:val="22"/>
          <w:szCs w:val="22"/>
          <w:lang w:val="pt-PT"/>
        </w:rPr>
        <w:t>qualquer</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idade</w:t>
      </w:r>
      <w:r w:rsidR="000A1F2E" w:rsidRPr="006A4C44">
        <w:rPr>
          <w:rFonts w:ascii="Garamond" w:hAnsi="Garamond" w:cs="Arial"/>
          <w:sz w:val="22"/>
          <w:szCs w:val="22"/>
          <w:lang w:val="pt-PT"/>
        </w:rPr>
        <w:t xml:space="preserve"> a </w:t>
      </w:r>
      <w:r w:rsidR="000350B1" w:rsidRPr="006A4C44">
        <w:rPr>
          <w:rFonts w:ascii="Garamond" w:hAnsi="Garamond" w:cs="Arial"/>
          <w:sz w:val="22"/>
          <w:szCs w:val="22"/>
          <w:lang w:val="pt-PT"/>
        </w:rPr>
        <w:t>violência</w:t>
      </w:r>
      <w:r w:rsidR="000A1F2E" w:rsidRPr="006A4C44">
        <w:rPr>
          <w:rFonts w:ascii="Garamond" w:hAnsi="Garamond" w:cs="Arial"/>
          <w:sz w:val="22"/>
          <w:szCs w:val="22"/>
          <w:lang w:val="pt-PT"/>
        </w:rPr>
        <w:t xml:space="preserve"> de todo tipo, como </w:t>
      </w:r>
      <w:r w:rsidR="007342D9" w:rsidRPr="006A4C44">
        <w:rPr>
          <w:rFonts w:ascii="Garamond" w:hAnsi="Garamond" w:cs="Arial"/>
          <w:sz w:val="22"/>
          <w:szCs w:val="22"/>
          <w:lang w:val="pt-PT"/>
        </w:rPr>
        <w:t>lesões</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violaç</w:t>
      </w:r>
      <w:r w:rsidR="008069E0" w:rsidRPr="006A4C44">
        <w:rPr>
          <w:rFonts w:ascii="Garamond" w:hAnsi="Garamond" w:cs="Arial"/>
          <w:sz w:val="22"/>
          <w:szCs w:val="22"/>
          <w:lang w:val="pt-PT"/>
        </w:rPr>
        <w:t>ões</w:t>
      </w:r>
      <w:r w:rsidR="000A1F2E" w:rsidRPr="006A4C44">
        <w:rPr>
          <w:rFonts w:ascii="Garamond" w:hAnsi="Garamond" w:cs="Arial"/>
          <w:sz w:val="22"/>
          <w:szCs w:val="22"/>
          <w:lang w:val="pt-PT"/>
        </w:rPr>
        <w:t xml:space="preserve">, </w:t>
      </w:r>
      <w:r w:rsidR="0017447A" w:rsidRPr="006A4C44">
        <w:rPr>
          <w:rFonts w:ascii="Garamond" w:hAnsi="Garamond" w:cs="Arial"/>
          <w:sz w:val="22"/>
          <w:szCs w:val="22"/>
          <w:lang w:val="pt-PT"/>
        </w:rPr>
        <w:t>outras</w:t>
      </w:r>
      <w:r w:rsidR="000A1F2E" w:rsidRPr="006A4C44">
        <w:rPr>
          <w:rFonts w:ascii="Garamond" w:hAnsi="Garamond" w:cs="Arial"/>
          <w:sz w:val="22"/>
          <w:szCs w:val="22"/>
          <w:lang w:val="pt-PT"/>
        </w:rPr>
        <w:t xml:space="preserve"> formas de </w:t>
      </w:r>
      <w:r w:rsidR="000350B1" w:rsidRPr="006A4C44">
        <w:rPr>
          <w:rFonts w:ascii="Garamond" w:hAnsi="Garamond" w:cs="Arial"/>
          <w:sz w:val="22"/>
          <w:szCs w:val="22"/>
          <w:lang w:val="pt-PT"/>
        </w:rPr>
        <w:t>violência</w:t>
      </w:r>
      <w:r w:rsidR="000A1F2E" w:rsidRPr="006A4C44">
        <w:rPr>
          <w:rFonts w:ascii="Garamond" w:hAnsi="Garamond" w:cs="Arial"/>
          <w:sz w:val="22"/>
          <w:szCs w:val="22"/>
          <w:lang w:val="pt-PT"/>
        </w:rPr>
        <w:t xml:space="preserve"> sexual, </w:t>
      </w:r>
      <w:r w:rsidR="000350B1" w:rsidRPr="006A4C44">
        <w:rPr>
          <w:rFonts w:ascii="Garamond" w:hAnsi="Garamond" w:cs="Arial"/>
          <w:sz w:val="22"/>
          <w:szCs w:val="22"/>
          <w:lang w:val="pt-PT"/>
        </w:rPr>
        <w:t>violência</w:t>
      </w:r>
      <w:r w:rsidR="007342D9" w:rsidRPr="006A4C44">
        <w:rPr>
          <w:rFonts w:ascii="Garamond" w:hAnsi="Garamond" w:cs="Arial"/>
          <w:sz w:val="22"/>
          <w:szCs w:val="22"/>
          <w:lang w:val="pt-PT"/>
        </w:rPr>
        <w:t xml:space="preserve"> mental e</w:t>
      </w:r>
      <w:r w:rsidR="000A1F2E" w:rsidRPr="006A4C44">
        <w:rPr>
          <w:rFonts w:ascii="Garamond" w:hAnsi="Garamond" w:cs="Arial"/>
          <w:sz w:val="22"/>
          <w:szCs w:val="22"/>
          <w:lang w:val="pt-PT"/>
        </w:rPr>
        <w:t xml:space="preserve"> </w:t>
      </w:r>
      <w:r w:rsidR="000350B1" w:rsidRPr="006A4C44">
        <w:rPr>
          <w:rFonts w:ascii="Garamond" w:hAnsi="Garamond" w:cs="Arial"/>
          <w:sz w:val="22"/>
          <w:szCs w:val="22"/>
          <w:lang w:val="pt-PT"/>
        </w:rPr>
        <w:t>violência</w:t>
      </w:r>
      <w:r w:rsidR="000A1F2E" w:rsidRPr="006A4C44">
        <w:rPr>
          <w:rFonts w:ascii="Garamond" w:hAnsi="Garamond" w:cs="Arial"/>
          <w:sz w:val="22"/>
          <w:szCs w:val="22"/>
          <w:lang w:val="pt-PT"/>
        </w:rPr>
        <w:t xml:space="preserve"> de o</w:t>
      </w:r>
      <w:r w:rsidR="007342D9" w:rsidRPr="006A4C44">
        <w:rPr>
          <w:rFonts w:ascii="Garamond" w:hAnsi="Garamond" w:cs="Arial"/>
          <w:sz w:val="22"/>
          <w:szCs w:val="22"/>
          <w:lang w:val="pt-PT"/>
        </w:rPr>
        <w:t>u</w:t>
      </w:r>
      <w:r w:rsidR="000A1F2E" w:rsidRPr="006A4C44">
        <w:rPr>
          <w:rFonts w:ascii="Garamond" w:hAnsi="Garamond" w:cs="Arial"/>
          <w:sz w:val="22"/>
          <w:szCs w:val="22"/>
          <w:lang w:val="pt-PT"/>
        </w:rPr>
        <w:t xml:space="preserve">tra índole, que se </w:t>
      </w:r>
      <w:r w:rsidR="007342D9" w:rsidRPr="006A4C44">
        <w:rPr>
          <w:rFonts w:ascii="Garamond" w:hAnsi="Garamond" w:cs="Arial"/>
          <w:sz w:val="22"/>
          <w:szCs w:val="22"/>
          <w:lang w:val="pt-PT"/>
        </w:rPr>
        <w:t xml:space="preserve">perpetuam </w:t>
      </w:r>
      <w:r w:rsidR="000A1F2E" w:rsidRPr="006A4C44">
        <w:rPr>
          <w:rFonts w:ascii="Garamond" w:hAnsi="Garamond" w:cs="Arial"/>
          <w:sz w:val="22"/>
          <w:szCs w:val="22"/>
          <w:lang w:val="pt-PT"/>
        </w:rPr>
        <w:t xml:space="preserve">por </w:t>
      </w:r>
      <w:r w:rsidR="007342D9" w:rsidRPr="006A4C44">
        <w:rPr>
          <w:rFonts w:ascii="Garamond" w:hAnsi="Garamond" w:cs="Arial"/>
          <w:sz w:val="22"/>
          <w:szCs w:val="22"/>
          <w:lang w:val="pt-PT"/>
        </w:rPr>
        <w:t>atitudes</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tradicionais</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A</w:t>
      </w:r>
      <w:r w:rsidR="000A1F2E" w:rsidRPr="006A4C44">
        <w:rPr>
          <w:rFonts w:ascii="Garamond" w:hAnsi="Garamond" w:cs="Arial"/>
          <w:sz w:val="22"/>
          <w:szCs w:val="22"/>
          <w:lang w:val="pt-PT"/>
        </w:rPr>
        <w:t xml:space="preserve"> falta de </w:t>
      </w:r>
      <w:r w:rsidR="007342D9" w:rsidRPr="006A4C44">
        <w:rPr>
          <w:rFonts w:ascii="Garamond" w:hAnsi="Garamond" w:cs="Arial"/>
          <w:sz w:val="22"/>
          <w:szCs w:val="22"/>
          <w:lang w:val="pt-PT"/>
        </w:rPr>
        <w:t>independência</w:t>
      </w:r>
      <w:r w:rsidR="000A1F2E" w:rsidRPr="006A4C44">
        <w:rPr>
          <w:rFonts w:ascii="Garamond" w:hAnsi="Garamond" w:cs="Arial"/>
          <w:sz w:val="22"/>
          <w:szCs w:val="22"/>
          <w:lang w:val="pt-PT"/>
        </w:rPr>
        <w:t xml:space="preserve"> económica </w:t>
      </w:r>
      <w:r w:rsidR="007342D9" w:rsidRPr="006A4C44">
        <w:rPr>
          <w:rFonts w:ascii="Garamond" w:hAnsi="Garamond" w:cs="Arial"/>
          <w:sz w:val="22"/>
          <w:szCs w:val="22"/>
          <w:lang w:val="pt-PT"/>
        </w:rPr>
        <w:t>obriga</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 xml:space="preserve">muitas </w:t>
      </w:r>
      <w:r w:rsidR="00054EE0" w:rsidRPr="006A4C44">
        <w:rPr>
          <w:rFonts w:ascii="Garamond" w:hAnsi="Garamond" w:cs="Arial"/>
          <w:sz w:val="22"/>
          <w:szCs w:val="22"/>
          <w:lang w:val="pt-PT"/>
        </w:rPr>
        <w:t>mulheres</w:t>
      </w:r>
      <w:r w:rsidR="000A1F2E" w:rsidRPr="006A4C44">
        <w:rPr>
          <w:rFonts w:ascii="Garamond" w:hAnsi="Garamond" w:cs="Arial"/>
          <w:sz w:val="22"/>
          <w:szCs w:val="22"/>
          <w:lang w:val="pt-PT"/>
        </w:rPr>
        <w:t xml:space="preserve"> a permanecer</w:t>
      </w:r>
      <w:r w:rsidR="007342D9" w:rsidRPr="006A4C44">
        <w:rPr>
          <w:rFonts w:ascii="Garamond" w:hAnsi="Garamond" w:cs="Arial"/>
          <w:sz w:val="22"/>
          <w:szCs w:val="22"/>
          <w:lang w:val="pt-PT"/>
        </w:rPr>
        <w:t>em</w:t>
      </w:r>
      <w:r w:rsidR="000A1F2E" w:rsidRPr="006A4C44">
        <w:rPr>
          <w:rFonts w:ascii="Garamond" w:hAnsi="Garamond" w:cs="Arial"/>
          <w:sz w:val="22"/>
          <w:szCs w:val="22"/>
          <w:lang w:val="pt-PT"/>
        </w:rPr>
        <w:t xml:space="preserve"> e</w:t>
      </w:r>
      <w:r w:rsidR="007342D9" w:rsidRPr="006A4C44">
        <w:rPr>
          <w:rFonts w:ascii="Garamond" w:hAnsi="Garamond" w:cs="Arial"/>
          <w:sz w:val="22"/>
          <w:szCs w:val="22"/>
          <w:lang w:val="pt-PT"/>
        </w:rPr>
        <w:t>m</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situações</w:t>
      </w:r>
      <w:r w:rsidR="000A1F2E" w:rsidRPr="006A4C44">
        <w:rPr>
          <w:rFonts w:ascii="Garamond" w:hAnsi="Garamond" w:cs="Arial"/>
          <w:sz w:val="22"/>
          <w:szCs w:val="22"/>
          <w:lang w:val="pt-PT"/>
        </w:rPr>
        <w:t xml:space="preserve"> violentas. </w:t>
      </w:r>
      <w:r w:rsidR="007342D9" w:rsidRPr="006A4C44">
        <w:rPr>
          <w:rFonts w:ascii="Garamond" w:hAnsi="Garamond" w:cs="Arial"/>
          <w:sz w:val="22"/>
          <w:szCs w:val="22"/>
          <w:lang w:val="pt-PT"/>
        </w:rPr>
        <w:t xml:space="preserve">A </w:t>
      </w:r>
      <w:r w:rsidR="007C63D0" w:rsidRPr="006A4C44">
        <w:rPr>
          <w:rFonts w:ascii="Garamond" w:hAnsi="Garamond" w:cs="Arial"/>
          <w:sz w:val="22"/>
          <w:szCs w:val="22"/>
          <w:lang w:val="pt-PT"/>
        </w:rPr>
        <w:t>negação</w:t>
      </w:r>
      <w:r w:rsidR="000A1F2E" w:rsidRPr="006A4C44">
        <w:rPr>
          <w:rFonts w:ascii="Garamond" w:hAnsi="Garamond" w:cs="Arial"/>
          <w:sz w:val="22"/>
          <w:szCs w:val="22"/>
          <w:lang w:val="pt-PT"/>
        </w:rPr>
        <w:t xml:space="preserve"> d</w:t>
      </w:r>
      <w:r w:rsidR="007342D9" w:rsidRPr="006A4C44">
        <w:rPr>
          <w:rFonts w:ascii="Garamond" w:hAnsi="Garamond" w:cs="Arial"/>
          <w:sz w:val="22"/>
          <w:szCs w:val="22"/>
          <w:lang w:val="pt-PT"/>
        </w:rPr>
        <w:t xml:space="preserve">as </w:t>
      </w:r>
      <w:r w:rsidR="000A1F2E" w:rsidRPr="006A4C44">
        <w:rPr>
          <w:rFonts w:ascii="Garamond" w:hAnsi="Garamond" w:cs="Arial"/>
          <w:sz w:val="22"/>
          <w:szCs w:val="22"/>
          <w:lang w:val="pt-PT"/>
        </w:rPr>
        <w:t>su</w:t>
      </w:r>
      <w:r w:rsidR="007342D9" w:rsidRPr="006A4C44">
        <w:rPr>
          <w:rFonts w:ascii="Garamond" w:hAnsi="Garamond" w:cs="Arial"/>
          <w:sz w:val="22"/>
          <w:szCs w:val="22"/>
          <w:lang w:val="pt-PT"/>
        </w:rPr>
        <w:t>a</w:t>
      </w:r>
      <w:r w:rsidR="000A1F2E" w:rsidRPr="006A4C44">
        <w:rPr>
          <w:rFonts w:ascii="Garamond" w:hAnsi="Garamond" w:cs="Arial"/>
          <w:sz w:val="22"/>
          <w:szCs w:val="22"/>
          <w:lang w:val="pt-PT"/>
        </w:rPr>
        <w:t xml:space="preserve">s responsabilidades </w:t>
      </w:r>
      <w:r w:rsidR="007342D9" w:rsidRPr="006A4C44">
        <w:rPr>
          <w:rFonts w:ascii="Garamond" w:hAnsi="Garamond" w:cs="Arial"/>
          <w:sz w:val="22"/>
          <w:szCs w:val="22"/>
          <w:lang w:val="pt-PT"/>
        </w:rPr>
        <w:t>familiares</w:t>
      </w:r>
      <w:r w:rsidR="000A1F2E" w:rsidRPr="006A4C44">
        <w:rPr>
          <w:rFonts w:ascii="Garamond" w:hAnsi="Garamond" w:cs="Arial"/>
          <w:sz w:val="22"/>
          <w:szCs w:val="22"/>
          <w:lang w:val="pt-PT"/>
        </w:rPr>
        <w:t xml:space="preserve"> por parte dos </w:t>
      </w:r>
      <w:r w:rsidR="00524936" w:rsidRPr="006A4C44">
        <w:rPr>
          <w:rFonts w:ascii="Garamond" w:hAnsi="Garamond" w:cs="Arial"/>
          <w:sz w:val="22"/>
          <w:szCs w:val="22"/>
          <w:lang w:val="pt-PT"/>
        </w:rPr>
        <w:t>homens</w:t>
      </w:r>
      <w:r w:rsidR="000A1F2E" w:rsidRPr="006A4C44">
        <w:rPr>
          <w:rFonts w:ascii="Garamond" w:hAnsi="Garamond" w:cs="Arial"/>
          <w:sz w:val="22"/>
          <w:szCs w:val="22"/>
          <w:lang w:val="pt-PT"/>
        </w:rPr>
        <w:t xml:space="preserve"> </w:t>
      </w:r>
      <w:r w:rsidR="007342D9" w:rsidRPr="006A4C44">
        <w:rPr>
          <w:rFonts w:ascii="Garamond" w:hAnsi="Garamond" w:cs="Arial"/>
          <w:sz w:val="22"/>
          <w:szCs w:val="22"/>
          <w:lang w:val="pt-PT"/>
        </w:rPr>
        <w:t>pode ser um</w:t>
      </w:r>
      <w:r w:rsidR="000A1F2E" w:rsidRPr="006A4C44">
        <w:rPr>
          <w:rFonts w:ascii="Garamond" w:hAnsi="Garamond" w:cs="Arial"/>
          <w:sz w:val="22"/>
          <w:szCs w:val="22"/>
          <w:lang w:val="pt-PT"/>
        </w:rPr>
        <w:t xml:space="preserve">a forma de </w:t>
      </w:r>
      <w:r w:rsidR="000350B1" w:rsidRPr="006A4C44">
        <w:rPr>
          <w:rFonts w:ascii="Garamond" w:hAnsi="Garamond" w:cs="Arial"/>
          <w:sz w:val="22"/>
          <w:szCs w:val="22"/>
          <w:lang w:val="pt-PT"/>
        </w:rPr>
        <w:t>violência</w:t>
      </w:r>
      <w:r w:rsidR="007342D9" w:rsidRPr="006A4C44">
        <w:rPr>
          <w:rFonts w:ascii="Garamond" w:hAnsi="Garamond" w:cs="Arial"/>
          <w:sz w:val="22"/>
          <w:szCs w:val="22"/>
          <w:lang w:val="pt-PT"/>
        </w:rPr>
        <w:t xml:space="preserve"> e</w:t>
      </w:r>
      <w:r w:rsidR="000A1F2E" w:rsidRPr="006A4C44">
        <w:rPr>
          <w:rFonts w:ascii="Garamond" w:hAnsi="Garamond" w:cs="Arial"/>
          <w:sz w:val="22"/>
          <w:szCs w:val="22"/>
          <w:lang w:val="pt-PT"/>
        </w:rPr>
        <w:t xml:space="preserve"> coer</w:t>
      </w:r>
      <w:r w:rsidR="00E864E7" w:rsidRPr="006A4C44">
        <w:rPr>
          <w:rFonts w:ascii="Garamond" w:hAnsi="Garamond" w:cs="Arial"/>
          <w:sz w:val="22"/>
          <w:szCs w:val="22"/>
          <w:lang w:val="pt-PT"/>
        </w:rPr>
        <w:t>ção</w:t>
      </w:r>
      <w:r w:rsidR="000A1F2E" w:rsidRPr="006A4C44">
        <w:rPr>
          <w:rFonts w:ascii="Garamond" w:hAnsi="Garamond" w:cs="Arial"/>
          <w:sz w:val="22"/>
          <w:szCs w:val="22"/>
          <w:lang w:val="pt-PT"/>
        </w:rPr>
        <w:t xml:space="preserve">. Esta </w:t>
      </w:r>
      <w:r w:rsidR="000350B1" w:rsidRPr="006A4C44">
        <w:rPr>
          <w:rFonts w:ascii="Garamond" w:hAnsi="Garamond" w:cs="Arial"/>
          <w:sz w:val="22"/>
          <w:szCs w:val="22"/>
          <w:lang w:val="pt-PT"/>
        </w:rPr>
        <w:t>violência</w:t>
      </w:r>
      <w:r w:rsidR="00152A44" w:rsidRPr="006A4C44">
        <w:rPr>
          <w:rFonts w:ascii="Garamond" w:hAnsi="Garamond" w:cs="Arial"/>
          <w:sz w:val="22"/>
          <w:szCs w:val="22"/>
          <w:lang w:val="pt-PT"/>
        </w:rPr>
        <w:t xml:space="preserve"> compromete </w:t>
      </w:r>
      <w:r w:rsidR="000A1F2E" w:rsidRPr="006A4C44">
        <w:rPr>
          <w:rFonts w:ascii="Garamond" w:hAnsi="Garamond" w:cs="Arial"/>
          <w:sz w:val="22"/>
          <w:szCs w:val="22"/>
          <w:lang w:val="pt-PT"/>
        </w:rPr>
        <w:t xml:space="preserve">a </w:t>
      </w:r>
      <w:r w:rsidR="007C63D0" w:rsidRPr="006A4C44">
        <w:rPr>
          <w:rFonts w:ascii="Garamond" w:hAnsi="Garamond" w:cs="Arial"/>
          <w:sz w:val="22"/>
          <w:szCs w:val="22"/>
          <w:lang w:val="pt-PT"/>
        </w:rPr>
        <w:t>saúde</w:t>
      </w:r>
      <w:r w:rsidR="000A1F2E" w:rsidRPr="006A4C44">
        <w:rPr>
          <w:rFonts w:ascii="Garamond" w:hAnsi="Garamond" w:cs="Arial"/>
          <w:sz w:val="22"/>
          <w:szCs w:val="22"/>
          <w:lang w:val="pt-PT"/>
        </w:rPr>
        <w:t xml:space="preserve"> da </w:t>
      </w:r>
      <w:r w:rsidR="00AF192F" w:rsidRPr="006A4C44">
        <w:rPr>
          <w:rFonts w:ascii="Garamond" w:hAnsi="Garamond" w:cs="Arial"/>
          <w:sz w:val="22"/>
          <w:szCs w:val="22"/>
          <w:lang w:val="pt-PT"/>
        </w:rPr>
        <w:t>mulher</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e</w:t>
      </w:r>
      <w:r w:rsidR="000A1F2E" w:rsidRPr="006A4C44">
        <w:rPr>
          <w:rFonts w:ascii="Garamond" w:hAnsi="Garamond" w:cs="Arial"/>
          <w:sz w:val="22"/>
          <w:szCs w:val="22"/>
          <w:lang w:val="pt-PT"/>
        </w:rPr>
        <w:t xml:space="preserve"> </w:t>
      </w:r>
      <w:r w:rsidR="00E864E7" w:rsidRPr="006A4C44">
        <w:rPr>
          <w:rFonts w:ascii="Garamond" w:hAnsi="Garamond" w:cs="Arial"/>
          <w:sz w:val="22"/>
          <w:szCs w:val="22"/>
          <w:lang w:val="pt-PT"/>
        </w:rPr>
        <w:t>dificulta</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 xml:space="preserve">a </w:t>
      </w:r>
      <w:r w:rsidR="000A1F2E" w:rsidRPr="006A4C44">
        <w:rPr>
          <w:rFonts w:ascii="Garamond" w:hAnsi="Garamond" w:cs="Arial"/>
          <w:sz w:val="22"/>
          <w:szCs w:val="22"/>
          <w:lang w:val="pt-PT"/>
        </w:rPr>
        <w:t>su</w:t>
      </w:r>
      <w:r w:rsidR="00152A44" w:rsidRPr="006A4C44">
        <w:rPr>
          <w:rFonts w:ascii="Garamond" w:hAnsi="Garamond" w:cs="Arial"/>
          <w:sz w:val="22"/>
          <w:szCs w:val="22"/>
          <w:lang w:val="pt-PT"/>
        </w:rPr>
        <w:t>a</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capacidade</w:t>
      </w:r>
      <w:r w:rsidR="000A1F2E" w:rsidRPr="006A4C44">
        <w:rPr>
          <w:rFonts w:ascii="Garamond" w:hAnsi="Garamond" w:cs="Arial"/>
          <w:sz w:val="22"/>
          <w:szCs w:val="22"/>
          <w:lang w:val="pt-PT"/>
        </w:rPr>
        <w:t xml:space="preserve"> de participar </w:t>
      </w:r>
      <w:r w:rsidR="00152A44" w:rsidRPr="006A4C44">
        <w:rPr>
          <w:rFonts w:ascii="Garamond" w:hAnsi="Garamond" w:cs="Arial"/>
          <w:sz w:val="22"/>
          <w:szCs w:val="22"/>
          <w:lang w:val="pt-PT"/>
        </w:rPr>
        <w:t>n</w:t>
      </w:r>
      <w:r w:rsidR="000A1F2E" w:rsidRPr="006A4C44">
        <w:rPr>
          <w:rFonts w:ascii="Garamond" w:hAnsi="Garamond" w:cs="Arial"/>
          <w:sz w:val="22"/>
          <w:szCs w:val="22"/>
          <w:lang w:val="pt-PT"/>
        </w:rPr>
        <w:t xml:space="preserve">a vida </w:t>
      </w:r>
      <w:r w:rsidR="00190B59" w:rsidRPr="006A4C44">
        <w:rPr>
          <w:rFonts w:ascii="Garamond" w:hAnsi="Garamond" w:cs="Arial"/>
          <w:sz w:val="22"/>
          <w:szCs w:val="22"/>
          <w:lang w:val="pt-PT"/>
        </w:rPr>
        <w:t>familiar</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 xml:space="preserve">e na </w:t>
      </w:r>
      <w:r w:rsidR="000A1F2E" w:rsidRPr="006A4C44">
        <w:rPr>
          <w:rFonts w:ascii="Garamond" w:hAnsi="Garamond" w:cs="Arial"/>
          <w:sz w:val="22"/>
          <w:szCs w:val="22"/>
          <w:lang w:val="pt-PT"/>
        </w:rPr>
        <w:t>vida pública e</w:t>
      </w:r>
      <w:r w:rsidR="00152A44" w:rsidRPr="006A4C44">
        <w:rPr>
          <w:rFonts w:ascii="Garamond" w:hAnsi="Garamond" w:cs="Arial"/>
          <w:sz w:val="22"/>
          <w:szCs w:val="22"/>
          <w:lang w:val="pt-PT"/>
        </w:rPr>
        <w:t>m</w:t>
      </w:r>
      <w:r w:rsidR="000A1F2E" w:rsidRPr="006A4C44">
        <w:rPr>
          <w:rFonts w:ascii="Garamond" w:hAnsi="Garamond" w:cs="Arial"/>
          <w:sz w:val="22"/>
          <w:szCs w:val="22"/>
          <w:lang w:val="pt-PT"/>
        </w:rPr>
        <w:t xml:space="preserve"> </w:t>
      </w:r>
      <w:r w:rsidR="00AC3351" w:rsidRPr="006A4C44">
        <w:rPr>
          <w:rFonts w:ascii="Garamond" w:hAnsi="Garamond" w:cs="Arial"/>
          <w:sz w:val="22"/>
          <w:szCs w:val="22"/>
          <w:lang w:val="pt-PT"/>
        </w:rPr>
        <w:t>condições</w:t>
      </w:r>
      <w:r w:rsidR="000A1F2E" w:rsidRPr="006A4C44">
        <w:rPr>
          <w:rFonts w:ascii="Garamond" w:hAnsi="Garamond" w:cs="Arial"/>
          <w:sz w:val="22"/>
          <w:szCs w:val="22"/>
          <w:lang w:val="pt-PT"/>
        </w:rPr>
        <w:t xml:space="preserve"> de </w:t>
      </w:r>
      <w:r w:rsidR="002C7510" w:rsidRPr="006A4C44">
        <w:rPr>
          <w:rFonts w:ascii="Garamond" w:hAnsi="Garamond" w:cs="Arial"/>
          <w:sz w:val="22"/>
          <w:szCs w:val="22"/>
          <w:lang w:val="pt-PT"/>
        </w:rPr>
        <w:t>igualdade</w:t>
      </w:r>
      <w:r>
        <w:rPr>
          <w:rFonts w:ascii="Garamond" w:hAnsi="Garamond" w:cs="Arial"/>
          <w:sz w:val="22"/>
          <w:szCs w:val="22"/>
          <w:lang w:val="pt-PT"/>
        </w:rPr>
        <w:t>»</w:t>
      </w:r>
      <w:r w:rsidR="000A1F2E" w:rsidRPr="00EC6FD0">
        <w:rPr>
          <w:rStyle w:val="Refdenotaalpie"/>
          <w:rFonts w:ascii="Garamond" w:hAnsi="Garamond" w:cs="Arial"/>
          <w:sz w:val="22"/>
          <w:szCs w:val="22"/>
          <w:lang w:val="pt-PT"/>
        </w:rPr>
        <w:t xml:space="preserve"> </w:t>
      </w:r>
      <w:r w:rsidR="000A1F2E" w:rsidRPr="00EC6FD0">
        <w:rPr>
          <w:rStyle w:val="Refdenotaalpie"/>
          <w:rFonts w:ascii="Garamond" w:hAnsi="Garamond" w:cs="Arial"/>
          <w:sz w:val="22"/>
          <w:szCs w:val="22"/>
        </w:rPr>
        <w:footnoteReference w:id="11"/>
      </w:r>
      <w:r w:rsidR="000A1F2E" w:rsidRPr="00EC6FD0">
        <w:rPr>
          <w:rFonts w:ascii="Garamond" w:hAnsi="Garamond" w:cs="Arial"/>
          <w:sz w:val="22"/>
          <w:szCs w:val="22"/>
          <w:lang w:val="pt-PT"/>
        </w:rPr>
        <w:t>.</w:t>
      </w:r>
    </w:p>
    <w:p w:rsidR="000A1F2E" w:rsidRPr="003A1174" w:rsidRDefault="00152A44" w:rsidP="008719D4">
      <w:pPr>
        <w:pStyle w:val="NormalWeb"/>
        <w:jc w:val="both"/>
        <w:rPr>
          <w:rFonts w:ascii="Garamond" w:hAnsi="Garamond" w:cs="Arial"/>
          <w:lang w:val="pt-PT"/>
        </w:rPr>
      </w:pPr>
      <w:proofErr w:type="gramStart"/>
      <w:r w:rsidRPr="003A1174">
        <w:rPr>
          <w:rFonts w:ascii="Garamond" w:hAnsi="Garamond" w:cs="Arial"/>
          <w:lang w:val="pt-PT"/>
        </w:rPr>
        <w:t xml:space="preserve">A </w:t>
      </w:r>
      <w:r w:rsidR="00B14AA6" w:rsidRPr="003A1174">
        <w:rPr>
          <w:rFonts w:ascii="Garamond" w:hAnsi="Garamond" w:cs="Arial"/>
          <w:i/>
          <w:lang w:val="pt-PT"/>
        </w:rPr>
        <w:t>Convenção</w:t>
      </w:r>
      <w:r w:rsidR="000A1F2E" w:rsidRPr="003A1174">
        <w:rPr>
          <w:rFonts w:ascii="Garamond" w:hAnsi="Garamond" w:cs="Arial"/>
          <w:i/>
          <w:lang w:val="pt-PT"/>
        </w:rPr>
        <w:t xml:space="preserve"> de</w:t>
      </w:r>
      <w:r w:rsidR="000A1F2E" w:rsidRPr="003A1174">
        <w:rPr>
          <w:rFonts w:ascii="Garamond" w:hAnsi="Garamond" w:cs="Arial"/>
          <w:lang w:val="pt-PT"/>
        </w:rPr>
        <w:t xml:space="preserve"> </w:t>
      </w:r>
      <w:r w:rsidRPr="003A1174">
        <w:rPr>
          <w:rFonts w:ascii="Garamond" w:hAnsi="Garamond" w:cs="Arial"/>
          <w:i/>
          <w:lang w:val="pt-PT"/>
        </w:rPr>
        <w:t>Belém</w:t>
      </w:r>
      <w:r w:rsidR="000A1F2E" w:rsidRPr="003A1174">
        <w:rPr>
          <w:rFonts w:ascii="Garamond" w:hAnsi="Garamond" w:cs="Arial"/>
          <w:i/>
          <w:lang w:val="pt-PT"/>
        </w:rPr>
        <w:t xml:space="preserve"> do Pará</w:t>
      </w:r>
      <w:r w:rsidR="000A1F2E" w:rsidRPr="003A1174">
        <w:rPr>
          <w:rFonts w:ascii="Garamond" w:hAnsi="Garamond" w:cs="Arial"/>
          <w:lang w:val="pt-PT"/>
        </w:rPr>
        <w:t xml:space="preserve"> </w:t>
      </w:r>
      <w:r w:rsidRPr="003A1174">
        <w:rPr>
          <w:rFonts w:ascii="Garamond" w:hAnsi="Garamond" w:cs="Arial"/>
          <w:lang w:val="pt-PT"/>
        </w:rPr>
        <w:t>estabelece</w:t>
      </w:r>
      <w:r w:rsidR="000A1F2E" w:rsidRPr="003A1174">
        <w:rPr>
          <w:rFonts w:ascii="Garamond" w:hAnsi="Garamond" w:cs="Arial"/>
          <w:lang w:val="pt-PT"/>
        </w:rPr>
        <w:t xml:space="preserve"> </w:t>
      </w:r>
      <w:r w:rsidRPr="003A1174">
        <w:rPr>
          <w:rFonts w:ascii="Garamond" w:hAnsi="Garamond" w:cs="Arial"/>
          <w:lang w:val="pt-PT"/>
        </w:rPr>
        <w:t xml:space="preserve">no </w:t>
      </w:r>
      <w:r w:rsidR="000A1F2E" w:rsidRPr="003A1174">
        <w:rPr>
          <w:rFonts w:ascii="Garamond" w:hAnsi="Garamond" w:cs="Arial"/>
          <w:lang w:val="pt-PT"/>
        </w:rPr>
        <w:t>s</w:t>
      </w:r>
      <w:r w:rsidRPr="003A1174">
        <w:rPr>
          <w:rFonts w:ascii="Garamond" w:hAnsi="Garamond" w:cs="Arial"/>
          <w:lang w:val="pt-PT"/>
        </w:rPr>
        <w:t>e</w:t>
      </w:r>
      <w:r w:rsidR="000A1F2E" w:rsidRPr="003A1174">
        <w:rPr>
          <w:rFonts w:ascii="Garamond" w:hAnsi="Garamond" w:cs="Arial"/>
          <w:lang w:val="pt-PT"/>
        </w:rPr>
        <w:t xml:space="preserve">u </w:t>
      </w:r>
      <w:r w:rsidR="008011CE" w:rsidRPr="003A1174">
        <w:rPr>
          <w:rFonts w:ascii="Garamond" w:hAnsi="Garamond" w:cs="Arial"/>
          <w:lang w:val="pt-PT"/>
        </w:rPr>
        <w:t>A</w:t>
      </w:r>
      <w:r w:rsidR="000A1F2E" w:rsidRPr="003A1174">
        <w:rPr>
          <w:rFonts w:ascii="Garamond" w:hAnsi="Garamond" w:cs="Arial"/>
          <w:lang w:val="pt-PT"/>
        </w:rPr>
        <w:t>rt</w:t>
      </w:r>
      <w:r w:rsidR="008011CE" w:rsidRPr="003A1174">
        <w:rPr>
          <w:rFonts w:ascii="Garamond" w:hAnsi="Garamond" w:cs="Arial"/>
          <w:lang w:val="pt-PT"/>
        </w:rPr>
        <w:t>.</w:t>
      </w:r>
      <w:r w:rsidR="000A1F2E" w:rsidRPr="003A1174">
        <w:rPr>
          <w:rFonts w:ascii="Garamond" w:hAnsi="Garamond" w:cs="Arial"/>
          <w:lang w:val="pt-PT"/>
        </w:rPr>
        <w:t xml:space="preserve"> 2, </w:t>
      </w:r>
      <w:r w:rsidR="0000579E">
        <w:rPr>
          <w:rFonts w:ascii="Garamond" w:hAnsi="Garamond" w:cs="Arial"/>
          <w:lang w:val="pt-PT"/>
        </w:rPr>
        <w:t>alínea a</w:t>
      </w:r>
      <w:r w:rsidR="0097081E">
        <w:rPr>
          <w:rFonts w:ascii="Garamond" w:hAnsi="Garamond" w:cs="Arial"/>
          <w:lang w:val="pt-PT"/>
        </w:rPr>
        <w:t>)</w:t>
      </w:r>
      <w:proofErr w:type="gramEnd"/>
      <w:r w:rsidR="008011CE" w:rsidRPr="003A1174">
        <w:rPr>
          <w:rFonts w:ascii="Garamond" w:hAnsi="Garamond" w:cs="Arial"/>
          <w:lang w:val="pt-PT"/>
        </w:rPr>
        <w:t>,</w:t>
      </w:r>
      <w:r w:rsidR="009940EF" w:rsidRPr="003A1174">
        <w:rPr>
          <w:rFonts w:ascii="Garamond" w:hAnsi="Garamond" w:cs="Arial"/>
          <w:lang w:val="pt-PT"/>
        </w:rPr>
        <w:t xml:space="preserve"> </w:t>
      </w:r>
      <w:r w:rsidR="000A1F2E" w:rsidRPr="003A1174">
        <w:rPr>
          <w:rFonts w:ascii="Garamond" w:hAnsi="Garamond" w:cs="Arial"/>
          <w:lang w:val="pt-PT"/>
        </w:rPr>
        <w:t xml:space="preserve">que: </w:t>
      </w:r>
    </w:p>
    <w:p w:rsidR="000A1F2E" w:rsidRPr="006A4C44" w:rsidRDefault="006A4C44" w:rsidP="006A4C44">
      <w:pPr>
        <w:pStyle w:val="NormalWeb"/>
        <w:spacing w:before="0" w:beforeAutospacing="0" w:after="0"/>
        <w:ind w:left="709" w:right="74" w:hanging="142"/>
        <w:jc w:val="both"/>
        <w:rPr>
          <w:rFonts w:ascii="Garamond" w:hAnsi="Garamond" w:cs="Arial"/>
          <w:sz w:val="22"/>
          <w:szCs w:val="22"/>
          <w:lang w:val="pt-PT"/>
        </w:rPr>
      </w:pPr>
      <w:r w:rsidRPr="006A4C44">
        <w:rPr>
          <w:rFonts w:ascii="Garamond" w:hAnsi="Garamond" w:cs="Arial"/>
          <w:sz w:val="22"/>
          <w:szCs w:val="22"/>
          <w:lang w:val="pt-PT"/>
        </w:rPr>
        <w:t>«</w:t>
      </w:r>
      <w:r w:rsidR="00152A44" w:rsidRPr="006A4C44">
        <w:rPr>
          <w:rFonts w:ascii="Garamond" w:hAnsi="Garamond" w:cs="Arial"/>
          <w:sz w:val="22"/>
          <w:szCs w:val="22"/>
          <w:lang w:val="pt-PT"/>
        </w:rPr>
        <w:t>E</w:t>
      </w:r>
      <w:r w:rsidR="000A1F2E" w:rsidRPr="006A4C44">
        <w:rPr>
          <w:rFonts w:ascii="Garamond" w:hAnsi="Garamond" w:cs="Arial"/>
          <w:sz w:val="22"/>
          <w:szCs w:val="22"/>
          <w:lang w:val="pt-PT"/>
        </w:rPr>
        <w:t>ntender</w:t>
      </w:r>
      <w:r w:rsidR="00152A44" w:rsidRPr="006A4C44">
        <w:rPr>
          <w:rFonts w:ascii="Garamond" w:hAnsi="Garamond" w:cs="Arial"/>
          <w:sz w:val="22"/>
          <w:szCs w:val="22"/>
          <w:lang w:val="pt-PT"/>
        </w:rPr>
        <w:t>-se-</w:t>
      </w:r>
      <w:r w:rsidR="000A1F2E" w:rsidRPr="006A4C44">
        <w:rPr>
          <w:rFonts w:ascii="Garamond" w:hAnsi="Garamond" w:cs="Arial"/>
          <w:sz w:val="22"/>
          <w:szCs w:val="22"/>
          <w:lang w:val="pt-PT"/>
        </w:rPr>
        <w:t xml:space="preserve">á que </w:t>
      </w:r>
      <w:r w:rsidR="000350B1" w:rsidRPr="006A4C44">
        <w:rPr>
          <w:rFonts w:ascii="Garamond" w:hAnsi="Garamond" w:cs="Arial"/>
          <w:sz w:val="22"/>
          <w:szCs w:val="22"/>
          <w:lang w:val="pt-PT"/>
        </w:rPr>
        <w:t>violência</w:t>
      </w:r>
      <w:r w:rsidR="000A1F2E" w:rsidRPr="006A4C44">
        <w:rPr>
          <w:rFonts w:ascii="Garamond" w:hAnsi="Garamond" w:cs="Arial"/>
          <w:sz w:val="22"/>
          <w:szCs w:val="22"/>
          <w:lang w:val="pt-PT"/>
        </w:rPr>
        <w:t xml:space="preserve"> cont</w:t>
      </w:r>
      <w:r w:rsidR="00152A44" w:rsidRPr="006A4C44">
        <w:rPr>
          <w:rFonts w:ascii="Garamond" w:hAnsi="Garamond" w:cs="Arial"/>
          <w:sz w:val="22"/>
          <w:szCs w:val="22"/>
          <w:lang w:val="pt-PT"/>
        </w:rPr>
        <w:t xml:space="preserve">ra </w:t>
      </w:r>
      <w:r w:rsidR="000A1F2E" w:rsidRPr="006A4C44">
        <w:rPr>
          <w:rFonts w:ascii="Garamond" w:hAnsi="Garamond" w:cs="Arial"/>
          <w:sz w:val="22"/>
          <w:szCs w:val="22"/>
          <w:lang w:val="pt-PT"/>
        </w:rPr>
        <w:t xml:space="preserve">a </w:t>
      </w:r>
      <w:r w:rsidR="00AF192F" w:rsidRPr="006A4C44">
        <w:rPr>
          <w:rFonts w:ascii="Garamond" w:hAnsi="Garamond" w:cs="Arial"/>
          <w:sz w:val="22"/>
          <w:szCs w:val="22"/>
          <w:lang w:val="pt-PT"/>
        </w:rPr>
        <w:t>mulher</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 xml:space="preserve">inclui </w:t>
      </w:r>
      <w:r w:rsidR="000A1F2E" w:rsidRPr="006A4C44">
        <w:rPr>
          <w:rFonts w:ascii="Garamond" w:hAnsi="Garamond" w:cs="Arial"/>
          <w:sz w:val="22"/>
          <w:szCs w:val="22"/>
          <w:lang w:val="pt-PT"/>
        </w:rPr>
        <w:t xml:space="preserve">a </w:t>
      </w:r>
      <w:r w:rsidR="000350B1" w:rsidRPr="006A4C44">
        <w:rPr>
          <w:rFonts w:ascii="Garamond" w:hAnsi="Garamond" w:cs="Arial"/>
          <w:sz w:val="22"/>
          <w:szCs w:val="22"/>
          <w:lang w:val="pt-PT"/>
        </w:rPr>
        <w:t>violência</w:t>
      </w:r>
      <w:r w:rsidR="00152A44" w:rsidRPr="006A4C44">
        <w:rPr>
          <w:rFonts w:ascii="Garamond" w:hAnsi="Garamond" w:cs="Arial"/>
          <w:sz w:val="22"/>
          <w:szCs w:val="22"/>
          <w:lang w:val="pt-PT"/>
        </w:rPr>
        <w:t xml:space="preserve"> física, sexual e</w:t>
      </w:r>
      <w:r w:rsidR="000A1F2E" w:rsidRPr="006A4C44">
        <w:rPr>
          <w:rFonts w:ascii="Garamond" w:hAnsi="Garamond" w:cs="Arial"/>
          <w:sz w:val="22"/>
          <w:szCs w:val="22"/>
          <w:lang w:val="pt-PT"/>
        </w:rPr>
        <w:t xml:space="preserve"> psicológica: </w:t>
      </w:r>
    </w:p>
    <w:p w:rsidR="000A1F2E" w:rsidRPr="006A4C44" w:rsidRDefault="006A4C44" w:rsidP="006A4C44">
      <w:pPr>
        <w:pStyle w:val="NormalWeb"/>
        <w:numPr>
          <w:ilvl w:val="0"/>
          <w:numId w:val="10"/>
        </w:numPr>
        <w:spacing w:before="0" w:beforeAutospacing="0" w:after="0"/>
        <w:ind w:left="709" w:right="74" w:hanging="142"/>
        <w:jc w:val="both"/>
        <w:rPr>
          <w:rFonts w:ascii="Garamond" w:hAnsi="Garamond" w:cs="Arial"/>
          <w:sz w:val="22"/>
          <w:szCs w:val="22"/>
          <w:lang w:val="pt-PT"/>
        </w:rPr>
      </w:pPr>
      <w:r>
        <w:rPr>
          <w:rFonts w:ascii="Garamond" w:hAnsi="Garamond" w:cs="Arial"/>
          <w:sz w:val="22"/>
          <w:szCs w:val="22"/>
          <w:lang w:val="pt-PT"/>
        </w:rPr>
        <w:t xml:space="preserve"> </w:t>
      </w:r>
      <w:proofErr w:type="gramStart"/>
      <w:r w:rsidR="000A1F2E" w:rsidRPr="006A4C44">
        <w:rPr>
          <w:rFonts w:ascii="Garamond" w:hAnsi="Garamond" w:cs="Arial"/>
          <w:sz w:val="22"/>
          <w:szCs w:val="22"/>
          <w:lang w:val="pt-PT"/>
        </w:rPr>
        <w:t>que</w:t>
      </w:r>
      <w:proofErr w:type="gramEnd"/>
      <w:r w:rsidR="000A1F2E" w:rsidRPr="006A4C44">
        <w:rPr>
          <w:rFonts w:ascii="Garamond" w:hAnsi="Garamond" w:cs="Arial"/>
          <w:sz w:val="22"/>
          <w:szCs w:val="22"/>
          <w:lang w:val="pt-PT"/>
        </w:rPr>
        <w:t xml:space="preserve"> </w:t>
      </w:r>
      <w:r w:rsidR="000A1F2E" w:rsidRPr="003B4D48">
        <w:rPr>
          <w:rFonts w:ascii="Garamond" w:hAnsi="Garamond" w:cs="Arial"/>
          <w:sz w:val="22"/>
          <w:szCs w:val="22"/>
          <w:lang w:val="pt-PT"/>
        </w:rPr>
        <w:t>t</w:t>
      </w:r>
      <w:r w:rsidR="00152A44" w:rsidRPr="003B4D48">
        <w:rPr>
          <w:rFonts w:ascii="Garamond" w:hAnsi="Garamond" w:cs="Arial"/>
          <w:sz w:val="22"/>
          <w:szCs w:val="22"/>
          <w:lang w:val="pt-PT"/>
        </w:rPr>
        <w:t xml:space="preserve">iver </w:t>
      </w:r>
      <w:r w:rsidR="000A1F2E" w:rsidRPr="003B4D48">
        <w:rPr>
          <w:rFonts w:ascii="Garamond" w:hAnsi="Garamond" w:cs="Arial"/>
          <w:sz w:val="22"/>
          <w:szCs w:val="22"/>
          <w:lang w:val="pt-PT"/>
        </w:rPr>
        <w:t xml:space="preserve">lugar dentro da </w:t>
      </w:r>
      <w:r w:rsidR="006C7AF1" w:rsidRPr="003B4D48">
        <w:rPr>
          <w:rFonts w:ascii="Garamond" w:hAnsi="Garamond" w:cs="Arial"/>
          <w:sz w:val="22"/>
          <w:szCs w:val="22"/>
          <w:lang w:val="pt-PT"/>
        </w:rPr>
        <w:t>família</w:t>
      </w:r>
      <w:r w:rsidR="000A1F2E" w:rsidRPr="003B4D48">
        <w:rPr>
          <w:rFonts w:ascii="Garamond" w:hAnsi="Garamond" w:cs="Arial"/>
          <w:sz w:val="22"/>
          <w:szCs w:val="22"/>
          <w:lang w:val="pt-PT"/>
        </w:rPr>
        <w:t xml:space="preserve"> o</w:t>
      </w:r>
      <w:r w:rsidR="00152A44" w:rsidRPr="003B4D48">
        <w:rPr>
          <w:rFonts w:ascii="Garamond" w:hAnsi="Garamond" w:cs="Arial"/>
          <w:sz w:val="22"/>
          <w:szCs w:val="22"/>
          <w:lang w:val="pt-PT"/>
        </w:rPr>
        <w:t>u</w:t>
      </w:r>
      <w:r w:rsidR="000A1F2E" w:rsidRPr="003B4D48">
        <w:rPr>
          <w:rFonts w:ascii="Garamond" w:hAnsi="Garamond" w:cs="Arial"/>
          <w:sz w:val="22"/>
          <w:szCs w:val="22"/>
          <w:lang w:val="pt-PT"/>
        </w:rPr>
        <w:t xml:space="preserve"> unidad</w:t>
      </w:r>
      <w:r w:rsidR="00152A44" w:rsidRPr="003B4D48">
        <w:rPr>
          <w:rFonts w:ascii="Garamond" w:hAnsi="Garamond" w:cs="Arial"/>
          <w:sz w:val="22"/>
          <w:szCs w:val="22"/>
          <w:lang w:val="pt-PT"/>
        </w:rPr>
        <w:t>e</w:t>
      </w:r>
      <w:r w:rsidR="000A1F2E" w:rsidRPr="003B4D48">
        <w:rPr>
          <w:rFonts w:ascii="Garamond" w:hAnsi="Garamond" w:cs="Arial"/>
          <w:sz w:val="22"/>
          <w:szCs w:val="22"/>
          <w:lang w:val="pt-PT"/>
        </w:rPr>
        <w:t xml:space="preserve"> doméstica o</w:t>
      </w:r>
      <w:r w:rsidR="00152A44" w:rsidRPr="003B4D48">
        <w:rPr>
          <w:rFonts w:ascii="Garamond" w:hAnsi="Garamond" w:cs="Arial"/>
          <w:sz w:val="22"/>
          <w:szCs w:val="22"/>
          <w:lang w:val="pt-PT"/>
        </w:rPr>
        <w:t>u</w:t>
      </w:r>
      <w:r w:rsidR="000A1F2E" w:rsidRPr="003B4D48">
        <w:rPr>
          <w:rFonts w:ascii="Garamond" w:hAnsi="Garamond" w:cs="Arial"/>
          <w:sz w:val="22"/>
          <w:szCs w:val="22"/>
          <w:lang w:val="pt-PT"/>
        </w:rPr>
        <w:t xml:space="preserve"> e</w:t>
      </w:r>
      <w:r w:rsidR="00152A44" w:rsidRPr="003B4D48">
        <w:rPr>
          <w:rFonts w:ascii="Garamond" w:hAnsi="Garamond" w:cs="Arial"/>
          <w:sz w:val="22"/>
          <w:szCs w:val="22"/>
          <w:lang w:val="pt-PT"/>
        </w:rPr>
        <w:t>m</w:t>
      </w:r>
      <w:r w:rsidR="000A1F2E" w:rsidRPr="003B4D48">
        <w:rPr>
          <w:rFonts w:ascii="Garamond" w:hAnsi="Garamond" w:cs="Arial"/>
          <w:sz w:val="22"/>
          <w:szCs w:val="22"/>
          <w:lang w:val="pt-PT"/>
        </w:rPr>
        <w:t xml:space="preserve"> </w:t>
      </w:r>
      <w:r w:rsidR="007342D9" w:rsidRPr="003B4D48">
        <w:rPr>
          <w:rFonts w:ascii="Garamond" w:hAnsi="Garamond" w:cs="Arial"/>
          <w:sz w:val="22"/>
          <w:szCs w:val="22"/>
          <w:lang w:val="pt-PT"/>
        </w:rPr>
        <w:t>qualquer</w:t>
      </w:r>
      <w:r w:rsidR="000A1F2E" w:rsidRPr="003B4D48">
        <w:rPr>
          <w:rFonts w:ascii="Garamond" w:hAnsi="Garamond" w:cs="Arial"/>
          <w:sz w:val="22"/>
          <w:szCs w:val="22"/>
          <w:lang w:val="pt-PT"/>
        </w:rPr>
        <w:t xml:space="preserve"> o</w:t>
      </w:r>
      <w:r w:rsidR="00152A44" w:rsidRPr="003B4D48">
        <w:rPr>
          <w:rFonts w:ascii="Garamond" w:hAnsi="Garamond" w:cs="Arial"/>
          <w:sz w:val="22"/>
          <w:szCs w:val="22"/>
          <w:lang w:val="pt-PT"/>
        </w:rPr>
        <w:t>u</w:t>
      </w:r>
      <w:r w:rsidR="000A1F2E" w:rsidRPr="003B4D48">
        <w:rPr>
          <w:rFonts w:ascii="Garamond" w:hAnsi="Garamond" w:cs="Arial"/>
          <w:sz w:val="22"/>
          <w:szCs w:val="22"/>
          <w:lang w:val="pt-PT"/>
        </w:rPr>
        <w:t xml:space="preserve">tra </w:t>
      </w:r>
      <w:r w:rsidR="00152A44" w:rsidRPr="003B4D48">
        <w:rPr>
          <w:rFonts w:ascii="Garamond" w:hAnsi="Garamond" w:cs="Arial"/>
          <w:sz w:val="22"/>
          <w:szCs w:val="22"/>
          <w:lang w:val="pt-PT"/>
        </w:rPr>
        <w:t>relação</w:t>
      </w:r>
      <w:r w:rsidR="000A1F2E" w:rsidRPr="003B4D48">
        <w:rPr>
          <w:rFonts w:ascii="Garamond" w:hAnsi="Garamond" w:cs="Arial"/>
          <w:sz w:val="22"/>
          <w:szCs w:val="22"/>
          <w:lang w:val="pt-PT"/>
        </w:rPr>
        <w:t xml:space="preserve"> </w:t>
      </w:r>
      <w:r w:rsidR="00152A44" w:rsidRPr="003B4D48">
        <w:rPr>
          <w:rFonts w:ascii="Garamond" w:hAnsi="Garamond" w:cs="Arial"/>
          <w:sz w:val="22"/>
          <w:szCs w:val="22"/>
          <w:lang w:val="pt-PT"/>
        </w:rPr>
        <w:t>interpessoal</w:t>
      </w:r>
      <w:r w:rsidR="000A1F2E" w:rsidRPr="003B4D48">
        <w:rPr>
          <w:rFonts w:ascii="Garamond" w:hAnsi="Garamond" w:cs="Arial"/>
          <w:sz w:val="22"/>
          <w:szCs w:val="22"/>
          <w:lang w:val="pt-PT"/>
        </w:rPr>
        <w:t>,</w:t>
      </w:r>
      <w:r w:rsidR="00963D01" w:rsidRPr="003B4D48">
        <w:rPr>
          <w:rFonts w:ascii="Garamond" w:hAnsi="Garamond" w:cs="Arial"/>
          <w:sz w:val="22"/>
          <w:szCs w:val="22"/>
          <w:lang w:val="pt-PT"/>
        </w:rPr>
        <w:t xml:space="preserve"> quer </w:t>
      </w:r>
      <w:r w:rsidR="00190B59" w:rsidRPr="003B4D48">
        <w:rPr>
          <w:rFonts w:ascii="Garamond" w:hAnsi="Garamond" w:cs="Arial"/>
          <w:sz w:val="22"/>
          <w:szCs w:val="22"/>
          <w:lang w:val="pt-PT"/>
        </w:rPr>
        <w:t>o</w:t>
      </w:r>
      <w:r w:rsidR="000A1F2E" w:rsidRPr="003B4D48">
        <w:rPr>
          <w:rFonts w:ascii="Garamond" w:hAnsi="Garamond" w:cs="Arial"/>
          <w:sz w:val="22"/>
          <w:szCs w:val="22"/>
          <w:lang w:val="pt-PT"/>
        </w:rPr>
        <w:t xml:space="preserve"> </w:t>
      </w:r>
      <w:r w:rsidR="002D1021" w:rsidRPr="003B4D48">
        <w:rPr>
          <w:rFonts w:ascii="Garamond" w:hAnsi="Garamond" w:cs="Arial"/>
          <w:sz w:val="22"/>
          <w:szCs w:val="22"/>
          <w:lang w:val="pt-PT"/>
        </w:rPr>
        <w:t>agressor</w:t>
      </w:r>
      <w:r w:rsidR="000A1F2E" w:rsidRPr="003B4D48">
        <w:rPr>
          <w:rFonts w:ascii="Garamond" w:hAnsi="Garamond" w:cs="Arial"/>
          <w:sz w:val="22"/>
          <w:szCs w:val="22"/>
          <w:lang w:val="pt-PT"/>
        </w:rPr>
        <w:t xml:space="preserve"> </w:t>
      </w:r>
      <w:r w:rsidR="00152A44" w:rsidRPr="003B4D48">
        <w:rPr>
          <w:rFonts w:ascii="Garamond" w:hAnsi="Garamond" w:cs="Arial"/>
          <w:sz w:val="22"/>
          <w:szCs w:val="22"/>
          <w:lang w:val="pt-PT"/>
        </w:rPr>
        <w:t>partilhe ou tenha partilhado</w:t>
      </w:r>
      <w:r w:rsidR="00152A44" w:rsidRPr="006A4C44">
        <w:rPr>
          <w:rFonts w:ascii="Garamond" w:hAnsi="Garamond" w:cs="Arial"/>
          <w:sz w:val="22"/>
          <w:szCs w:val="22"/>
          <w:lang w:val="pt-PT"/>
        </w:rPr>
        <w:t xml:space="preserve"> o mes</w:t>
      </w:r>
      <w:r w:rsidR="000A1F2E" w:rsidRPr="006A4C44">
        <w:rPr>
          <w:rFonts w:ascii="Garamond" w:hAnsi="Garamond" w:cs="Arial"/>
          <w:sz w:val="22"/>
          <w:szCs w:val="22"/>
          <w:lang w:val="pt-PT"/>
        </w:rPr>
        <w:t xml:space="preserve">mo </w:t>
      </w:r>
      <w:r w:rsidR="00152A44" w:rsidRPr="006A4C44">
        <w:rPr>
          <w:rFonts w:ascii="Garamond" w:hAnsi="Garamond" w:cs="Arial"/>
          <w:sz w:val="22"/>
          <w:szCs w:val="22"/>
          <w:lang w:val="pt-PT"/>
        </w:rPr>
        <w:t xml:space="preserve">domicílio que </w:t>
      </w:r>
      <w:r w:rsidR="000A1F2E" w:rsidRPr="006A4C44">
        <w:rPr>
          <w:rFonts w:ascii="Garamond" w:hAnsi="Garamond" w:cs="Arial"/>
          <w:sz w:val="22"/>
          <w:szCs w:val="22"/>
          <w:lang w:val="pt-PT"/>
        </w:rPr>
        <w:t xml:space="preserve">a </w:t>
      </w:r>
      <w:r w:rsidR="00AF192F" w:rsidRPr="006A4C44">
        <w:rPr>
          <w:rFonts w:ascii="Garamond" w:hAnsi="Garamond" w:cs="Arial"/>
          <w:sz w:val="22"/>
          <w:szCs w:val="22"/>
          <w:lang w:val="pt-PT"/>
        </w:rPr>
        <w:t>mulher</w:t>
      </w:r>
      <w:r w:rsidR="000A1F2E" w:rsidRPr="006A4C44">
        <w:rPr>
          <w:rFonts w:ascii="Garamond" w:hAnsi="Garamond" w:cs="Arial"/>
          <w:sz w:val="22"/>
          <w:szCs w:val="22"/>
          <w:lang w:val="pt-PT"/>
        </w:rPr>
        <w:t xml:space="preserve">, </w:t>
      </w:r>
      <w:r w:rsidR="00152A44" w:rsidRPr="006A4C44">
        <w:rPr>
          <w:rFonts w:ascii="Garamond" w:hAnsi="Garamond" w:cs="Arial"/>
          <w:sz w:val="22"/>
          <w:szCs w:val="22"/>
          <w:lang w:val="pt-PT"/>
        </w:rPr>
        <w:t>e</w:t>
      </w:r>
      <w:r w:rsidR="000A1F2E" w:rsidRPr="006A4C44">
        <w:rPr>
          <w:rFonts w:ascii="Garamond" w:hAnsi="Garamond" w:cs="Arial"/>
          <w:sz w:val="22"/>
          <w:szCs w:val="22"/>
          <w:lang w:val="pt-PT"/>
        </w:rPr>
        <w:t xml:space="preserve"> que compr</w:t>
      </w:r>
      <w:r w:rsidR="00152A44" w:rsidRPr="006A4C44">
        <w:rPr>
          <w:rFonts w:ascii="Garamond" w:hAnsi="Garamond" w:cs="Arial"/>
          <w:sz w:val="22"/>
          <w:szCs w:val="22"/>
          <w:lang w:val="pt-PT"/>
        </w:rPr>
        <w:t>e</w:t>
      </w:r>
      <w:r w:rsidR="000A1F2E" w:rsidRPr="006A4C44">
        <w:rPr>
          <w:rFonts w:ascii="Garamond" w:hAnsi="Garamond" w:cs="Arial"/>
          <w:sz w:val="22"/>
          <w:szCs w:val="22"/>
          <w:lang w:val="pt-PT"/>
        </w:rPr>
        <w:t>ende, entre o</w:t>
      </w:r>
      <w:r w:rsidR="00152A44" w:rsidRPr="006A4C44">
        <w:rPr>
          <w:rFonts w:ascii="Garamond" w:hAnsi="Garamond" w:cs="Arial"/>
          <w:sz w:val="22"/>
          <w:szCs w:val="22"/>
          <w:lang w:val="pt-PT"/>
        </w:rPr>
        <w:t>u</w:t>
      </w:r>
      <w:r w:rsidR="000A1F2E" w:rsidRPr="006A4C44">
        <w:rPr>
          <w:rFonts w:ascii="Garamond" w:hAnsi="Garamond" w:cs="Arial"/>
          <w:sz w:val="22"/>
          <w:szCs w:val="22"/>
          <w:lang w:val="pt-PT"/>
        </w:rPr>
        <w:t xml:space="preserve">tros, </w:t>
      </w:r>
      <w:r w:rsidR="007342D9" w:rsidRPr="006A4C44">
        <w:rPr>
          <w:rFonts w:ascii="Garamond" w:hAnsi="Garamond" w:cs="Arial"/>
          <w:sz w:val="22"/>
          <w:szCs w:val="22"/>
          <w:lang w:val="pt-PT"/>
        </w:rPr>
        <w:t>violação</w:t>
      </w:r>
      <w:r w:rsidR="000A1F2E" w:rsidRPr="006A4C44">
        <w:rPr>
          <w:rFonts w:ascii="Garamond" w:hAnsi="Garamond" w:cs="Arial"/>
          <w:sz w:val="22"/>
          <w:szCs w:val="22"/>
          <w:lang w:val="pt-PT"/>
        </w:rPr>
        <w:t xml:space="preserve">, </w:t>
      </w:r>
      <w:r w:rsidR="00190B59" w:rsidRPr="006A4C44">
        <w:rPr>
          <w:rFonts w:ascii="Garamond" w:hAnsi="Garamond" w:cs="Arial"/>
          <w:sz w:val="22"/>
          <w:szCs w:val="22"/>
          <w:lang w:val="pt-PT"/>
        </w:rPr>
        <w:t>maus-tratos e</w:t>
      </w:r>
      <w:r w:rsidR="000A1F2E" w:rsidRPr="006A4C44">
        <w:rPr>
          <w:rFonts w:ascii="Garamond" w:hAnsi="Garamond" w:cs="Arial"/>
          <w:sz w:val="22"/>
          <w:szCs w:val="22"/>
          <w:lang w:val="pt-PT"/>
        </w:rPr>
        <w:t xml:space="preserve"> abuso sexual.</w:t>
      </w:r>
      <w:r w:rsidRPr="006A4C44">
        <w:rPr>
          <w:rFonts w:ascii="Garamond" w:hAnsi="Garamond" w:cs="Arial"/>
          <w:sz w:val="22"/>
          <w:szCs w:val="22"/>
          <w:lang w:val="pt-PT"/>
        </w:rPr>
        <w:t>»</w:t>
      </w:r>
      <w:r w:rsidR="009940EF" w:rsidRPr="006A4C44">
        <w:rPr>
          <w:rFonts w:ascii="Garamond" w:hAnsi="Garamond" w:cs="Arial"/>
          <w:sz w:val="22"/>
          <w:szCs w:val="22"/>
          <w:lang w:val="pt-PT"/>
        </w:rPr>
        <w:t xml:space="preserve">  </w:t>
      </w:r>
    </w:p>
    <w:p w:rsidR="009940EF" w:rsidRPr="003A1174" w:rsidRDefault="00190B59" w:rsidP="008719D4">
      <w:pPr>
        <w:pStyle w:val="NormalWeb"/>
        <w:spacing w:before="90" w:beforeAutospacing="0" w:after="45"/>
        <w:ind w:right="75"/>
        <w:jc w:val="both"/>
        <w:rPr>
          <w:rFonts w:ascii="Garamond" w:hAnsi="Garamond" w:cs="Arial"/>
          <w:lang w:val="pt-PT"/>
        </w:rPr>
      </w:pPr>
      <w:r w:rsidRPr="003A1174">
        <w:rPr>
          <w:rFonts w:ascii="Garamond" w:hAnsi="Garamond" w:cs="Arial"/>
          <w:lang w:val="pt-PT"/>
        </w:rPr>
        <w:t>N</w:t>
      </w:r>
      <w:r w:rsidR="00A132B3" w:rsidRPr="003A1174">
        <w:rPr>
          <w:rFonts w:ascii="Garamond" w:hAnsi="Garamond" w:cs="Arial"/>
          <w:lang w:val="pt-PT"/>
        </w:rPr>
        <w:t>este contexto</w:t>
      </w:r>
      <w:r w:rsidR="009940EF" w:rsidRPr="003A1174">
        <w:rPr>
          <w:rFonts w:ascii="Garamond" w:hAnsi="Garamond" w:cs="Arial"/>
          <w:lang w:val="pt-PT"/>
        </w:rPr>
        <w:t>,</w:t>
      </w:r>
      <w:r w:rsidRPr="003A1174">
        <w:rPr>
          <w:rFonts w:ascii="Garamond" w:hAnsi="Garamond" w:cs="Arial"/>
          <w:lang w:val="pt-PT"/>
        </w:rPr>
        <w:t xml:space="preserve"> </w:t>
      </w:r>
      <w:r w:rsidR="00A132B3" w:rsidRPr="003A1174">
        <w:rPr>
          <w:rFonts w:ascii="Garamond" w:hAnsi="Garamond" w:cs="Arial"/>
          <w:lang w:val="pt-PT"/>
        </w:rPr>
        <w:t xml:space="preserve">a </w:t>
      </w:r>
      <w:r w:rsidR="002C7510" w:rsidRPr="003A1174">
        <w:rPr>
          <w:rFonts w:ascii="Garamond" w:hAnsi="Garamond" w:cs="Arial"/>
          <w:lang w:val="pt-PT"/>
        </w:rPr>
        <w:t>Rede</w:t>
      </w:r>
      <w:r w:rsidR="00A132B3" w:rsidRPr="003A1174">
        <w:rPr>
          <w:rFonts w:ascii="Garamond" w:hAnsi="Garamond" w:cs="Arial"/>
          <w:lang w:val="pt-PT"/>
        </w:rPr>
        <w:t xml:space="preserve"> de </w:t>
      </w:r>
      <w:r w:rsidR="00DC5DA7" w:rsidRPr="003A1174">
        <w:rPr>
          <w:rFonts w:ascii="Garamond" w:hAnsi="Garamond" w:cs="Arial"/>
          <w:lang w:val="pt-PT"/>
        </w:rPr>
        <w:t>Provedorias</w:t>
      </w:r>
      <w:r w:rsidR="00A132B3" w:rsidRPr="003A1174">
        <w:rPr>
          <w:rFonts w:ascii="Garamond" w:hAnsi="Garamond" w:cs="Arial"/>
          <w:lang w:val="pt-PT"/>
        </w:rPr>
        <w:t xml:space="preserve"> de </w:t>
      </w:r>
      <w:r w:rsidR="00054EE0" w:rsidRPr="003A1174">
        <w:rPr>
          <w:rFonts w:ascii="Garamond" w:hAnsi="Garamond" w:cs="Arial"/>
          <w:lang w:val="pt-PT"/>
        </w:rPr>
        <w:t>Mulheres</w:t>
      </w:r>
      <w:r w:rsidR="00A132B3" w:rsidRPr="003A1174">
        <w:rPr>
          <w:rFonts w:ascii="Garamond" w:hAnsi="Garamond" w:cs="Arial"/>
          <w:lang w:val="pt-PT"/>
        </w:rPr>
        <w:t xml:space="preserve"> </w:t>
      </w:r>
      <w:proofErr w:type="gramStart"/>
      <w:r w:rsidR="00A132B3" w:rsidRPr="003A1174">
        <w:rPr>
          <w:rFonts w:ascii="Garamond" w:hAnsi="Garamond" w:cs="Arial"/>
          <w:lang w:val="pt-PT"/>
        </w:rPr>
        <w:t>da F</w:t>
      </w:r>
      <w:r w:rsidRPr="003A1174">
        <w:rPr>
          <w:rFonts w:ascii="Garamond" w:hAnsi="Garamond" w:cs="Arial"/>
          <w:lang w:val="pt-PT"/>
        </w:rPr>
        <w:t>IO</w:t>
      </w:r>
      <w:proofErr w:type="gramEnd"/>
      <w:r w:rsidRPr="003A1174">
        <w:rPr>
          <w:rFonts w:ascii="Garamond" w:hAnsi="Garamond" w:cs="Arial"/>
          <w:lang w:val="pt-PT"/>
        </w:rPr>
        <w:t xml:space="preserve"> especifica </w:t>
      </w:r>
      <w:r w:rsidR="009940EF" w:rsidRPr="003A1174">
        <w:rPr>
          <w:rFonts w:ascii="Garamond" w:hAnsi="Garamond" w:cs="Arial"/>
          <w:lang w:val="pt-PT"/>
        </w:rPr>
        <w:t xml:space="preserve">a </w:t>
      </w:r>
      <w:r w:rsidR="000350B1" w:rsidRPr="003A1174">
        <w:rPr>
          <w:rFonts w:ascii="Garamond" w:hAnsi="Garamond" w:cs="Arial"/>
          <w:lang w:val="pt-PT"/>
        </w:rPr>
        <w:t>violência</w:t>
      </w:r>
      <w:r w:rsidR="009940EF" w:rsidRPr="003A1174">
        <w:rPr>
          <w:rFonts w:ascii="Garamond" w:hAnsi="Garamond" w:cs="Arial"/>
          <w:lang w:val="pt-PT"/>
        </w:rPr>
        <w:t xml:space="preserve"> </w:t>
      </w:r>
      <w:r w:rsidRPr="003A1174">
        <w:rPr>
          <w:rFonts w:ascii="Garamond" w:hAnsi="Garamond" w:cs="Arial"/>
          <w:lang w:val="pt-PT"/>
        </w:rPr>
        <w:t>familiar</w:t>
      </w:r>
      <w:r w:rsidR="008011CE" w:rsidRPr="003A1174">
        <w:rPr>
          <w:rFonts w:ascii="Garamond" w:hAnsi="Garamond" w:cs="Arial"/>
          <w:lang w:val="pt-PT"/>
        </w:rPr>
        <w:t>,</w:t>
      </w:r>
      <w:r w:rsidR="00A132B3" w:rsidRPr="003A1174">
        <w:rPr>
          <w:rFonts w:ascii="Garamond" w:hAnsi="Garamond" w:cs="Arial"/>
          <w:lang w:val="pt-PT"/>
        </w:rPr>
        <w:t xml:space="preserve"> </w:t>
      </w:r>
      <w:r w:rsidR="008069E0" w:rsidRPr="003A1174">
        <w:rPr>
          <w:rFonts w:ascii="Garamond" w:hAnsi="Garamond" w:cs="Arial"/>
          <w:lang w:val="pt-PT"/>
        </w:rPr>
        <w:t xml:space="preserve">referindo </w:t>
      </w:r>
      <w:r w:rsidR="00A132B3" w:rsidRPr="003A1174">
        <w:rPr>
          <w:rFonts w:ascii="Garamond" w:hAnsi="Garamond" w:cs="Arial"/>
          <w:lang w:val="pt-PT"/>
        </w:rPr>
        <w:t>que</w:t>
      </w:r>
      <w:r w:rsidR="009940EF" w:rsidRPr="003A1174">
        <w:rPr>
          <w:rFonts w:ascii="Garamond" w:hAnsi="Garamond" w:cs="Arial"/>
          <w:lang w:val="pt-PT"/>
        </w:rPr>
        <w:t>:</w:t>
      </w:r>
    </w:p>
    <w:p w:rsidR="00A132B3" w:rsidRPr="003A1174" w:rsidRDefault="00A132B3" w:rsidP="008719D4">
      <w:pPr>
        <w:pStyle w:val="NormalWeb"/>
        <w:spacing w:before="90" w:beforeAutospacing="0" w:after="45"/>
        <w:ind w:right="75"/>
        <w:jc w:val="both"/>
        <w:rPr>
          <w:rFonts w:ascii="Garamond" w:hAnsi="Garamond" w:cs="Arial"/>
          <w:lang w:val="pt-PT"/>
        </w:rPr>
      </w:pPr>
      <w:r w:rsidRPr="003A1174">
        <w:rPr>
          <w:rFonts w:ascii="Garamond" w:hAnsi="Garamond" w:cs="Arial"/>
          <w:lang w:val="pt-PT"/>
        </w:rPr>
        <w:t xml:space="preserve"> </w:t>
      </w:r>
    </w:p>
    <w:p w:rsidR="00A132B3" w:rsidRPr="006A4C44" w:rsidRDefault="006A4C44" w:rsidP="006A4C44">
      <w:pPr>
        <w:spacing w:after="0" w:line="240" w:lineRule="auto"/>
        <w:ind w:left="567"/>
        <w:jc w:val="both"/>
        <w:rPr>
          <w:rFonts w:ascii="Garamond" w:eastAsia="Times New Roman" w:hAnsi="Garamond" w:cs="Arial"/>
        </w:rPr>
      </w:pPr>
      <w:proofErr w:type="gramStart"/>
      <w:r w:rsidRPr="006A4C44">
        <w:rPr>
          <w:rFonts w:ascii="Garamond" w:eastAsia="Times New Roman" w:hAnsi="Garamond" w:cs="Arial"/>
        </w:rPr>
        <w:lastRenderedPageBreak/>
        <w:t>«</w:t>
      </w:r>
      <w:r w:rsidR="009940EF" w:rsidRPr="006A4C44">
        <w:rPr>
          <w:rFonts w:ascii="Garamond" w:eastAsia="Times New Roman" w:hAnsi="Garamond" w:cs="Arial"/>
        </w:rPr>
        <w:t xml:space="preserve">(…) </w:t>
      </w:r>
      <w:r w:rsidR="00190B59" w:rsidRPr="006A4C44">
        <w:rPr>
          <w:rFonts w:ascii="Garamond" w:eastAsia="Times New Roman" w:hAnsi="Garamond" w:cs="Arial"/>
        </w:rPr>
        <w:t xml:space="preserve">é </w:t>
      </w:r>
      <w:r w:rsidR="00A132B3" w:rsidRPr="006A4C44">
        <w:rPr>
          <w:rFonts w:ascii="Garamond" w:eastAsia="Times New Roman" w:hAnsi="Garamond" w:cs="Arial"/>
        </w:rPr>
        <w:t>toda</w:t>
      </w:r>
      <w:r w:rsidR="00190B59" w:rsidRPr="006A4C44">
        <w:rPr>
          <w:rFonts w:ascii="Garamond" w:eastAsia="Times New Roman" w:hAnsi="Garamond" w:cs="Arial"/>
        </w:rPr>
        <w:t xml:space="preserve"> a</w:t>
      </w:r>
      <w:r w:rsidR="00A132B3" w:rsidRPr="006A4C44">
        <w:rPr>
          <w:rFonts w:ascii="Garamond" w:eastAsia="Times New Roman" w:hAnsi="Garamond" w:cs="Arial"/>
        </w:rPr>
        <w:t xml:space="preserve"> </w:t>
      </w:r>
      <w:r w:rsidR="00077461" w:rsidRPr="006A4C44">
        <w:rPr>
          <w:rFonts w:ascii="Garamond" w:eastAsia="Times New Roman" w:hAnsi="Garamond" w:cs="Arial"/>
        </w:rPr>
        <w:t>ação</w:t>
      </w:r>
      <w:r w:rsidR="00A132B3" w:rsidRPr="006A4C44">
        <w:rPr>
          <w:rFonts w:ascii="Garamond" w:eastAsia="Times New Roman" w:hAnsi="Garamond" w:cs="Arial"/>
        </w:rPr>
        <w:t xml:space="preserve"> </w:t>
      </w:r>
      <w:r w:rsidR="00190B59" w:rsidRPr="006A4C44">
        <w:rPr>
          <w:rFonts w:ascii="Garamond" w:eastAsia="Times New Roman" w:hAnsi="Garamond" w:cs="Arial"/>
        </w:rPr>
        <w:t>o</w:t>
      </w:r>
      <w:r w:rsidR="00A132B3" w:rsidRPr="006A4C44">
        <w:rPr>
          <w:rFonts w:ascii="Garamond" w:eastAsia="Times New Roman" w:hAnsi="Garamond" w:cs="Arial"/>
        </w:rPr>
        <w:t xml:space="preserve">u </w:t>
      </w:r>
      <w:r w:rsidR="00190B59" w:rsidRPr="006A4C44">
        <w:rPr>
          <w:rFonts w:ascii="Garamond" w:eastAsia="Times New Roman" w:hAnsi="Garamond" w:cs="Arial"/>
        </w:rPr>
        <w:t>omissão</w:t>
      </w:r>
      <w:r w:rsidR="00A132B3" w:rsidRPr="006A4C44">
        <w:rPr>
          <w:rFonts w:ascii="Garamond" w:eastAsia="Times New Roman" w:hAnsi="Garamond" w:cs="Arial"/>
        </w:rPr>
        <w:t xml:space="preserve"> cometida por u</w:t>
      </w:r>
      <w:r w:rsidR="00190B59" w:rsidRPr="006A4C44">
        <w:rPr>
          <w:rFonts w:ascii="Garamond" w:eastAsia="Times New Roman" w:hAnsi="Garamond" w:cs="Arial"/>
        </w:rPr>
        <w:t xml:space="preserve">m </w:t>
      </w:r>
      <w:r w:rsidR="00A132B3" w:rsidRPr="006A4C44">
        <w:rPr>
          <w:rFonts w:ascii="Garamond" w:eastAsia="Times New Roman" w:hAnsi="Garamond" w:cs="Arial"/>
        </w:rPr>
        <w:t xml:space="preserve">dos </w:t>
      </w:r>
      <w:r w:rsidR="00C30647" w:rsidRPr="006A4C44">
        <w:rPr>
          <w:rFonts w:ascii="Garamond" w:eastAsia="Times New Roman" w:hAnsi="Garamond" w:cs="Arial"/>
        </w:rPr>
        <w:t>membro</w:t>
      </w:r>
      <w:r w:rsidR="00A132B3" w:rsidRPr="006A4C44">
        <w:rPr>
          <w:rFonts w:ascii="Garamond" w:eastAsia="Times New Roman" w:hAnsi="Garamond" w:cs="Arial"/>
        </w:rPr>
        <w:t xml:space="preserve">s da </w:t>
      </w:r>
      <w:r w:rsidR="006C7AF1" w:rsidRPr="006A4C44">
        <w:rPr>
          <w:rFonts w:ascii="Garamond" w:eastAsia="Times New Roman" w:hAnsi="Garamond" w:cs="Arial"/>
        </w:rPr>
        <w:t>família</w:t>
      </w:r>
      <w:r w:rsidR="00A132B3" w:rsidRPr="006A4C44">
        <w:rPr>
          <w:rFonts w:ascii="Garamond" w:eastAsia="Times New Roman" w:hAnsi="Garamond" w:cs="Arial"/>
        </w:rPr>
        <w:t xml:space="preserve"> contra o</w:t>
      </w:r>
      <w:r w:rsidR="00190B59" w:rsidRPr="006A4C44">
        <w:rPr>
          <w:rFonts w:ascii="Garamond" w:eastAsia="Times New Roman" w:hAnsi="Garamond" w:cs="Arial"/>
        </w:rPr>
        <w:t>u</w:t>
      </w:r>
      <w:r w:rsidR="00A132B3" w:rsidRPr="006A4C44">
        <w:rPr>
          <w:rFonts w:ascii="Garamond" w:eastAsia="Times New Roman" w:hAnsi="Garamond" w:cs="Arial"/>
        </w:rPr>
        <w:t>tro d</w:t>
      </w:r>
      <w:r w:rsidR="00190B59" w:rsidRPr="006A4C44">
        <w:rPr>
          <w:rFonts w:ascii="Garamond" w:eastAsia="Times New Roman" w:hAnsi="Garamond" w:cs="Arial"/>
        </w:rPr>
        <w:t xml:space="preserve">os </w:t>
      </w:r>
      <w:r w:rsidR="00A132B3" w:rsidRPr="006A4C44">
        <w:rPr>
          <w:rFonts w:ascii="Garamond" w:eastAsia="Times New Roman" w:hAnsi="Garamond" w:cs="Arial"/>
        </w:rPr>
        <w:t>s</w:t>
      </w:r>
      <w:r w:rsidR="00190B59" w:rsidRPr="006A4C44">
        <w:rPr>
          <w:rFonts w:ascii="Garamond" w:eastAsia="Times New Roman" w:hAnsi="Garamond" w:cs="Arial"/>
        </w:rPr>
        <w:t>e</w:t>
      </w:r>
      <w:r w:rsidR="00A132B3" w:rsidRPr="006A4C44">
        <w:rPr>
          <w:rFonts w:ascii="Garamond" w:eastAsia="Times New Roman" w:hAnsi="Garamond" w:cs="Arial"/>
        </w:rPr>
        <w:t>us integrantes, que ocasiona d</w:t>
      </w:r>
      <w:r w:rsidR="002C7510" w:rsidRPr="006A4C44">
        <w:rPr>
          <w:rFonts w:ascii="Garamond" w:eastAsia="Times New Roman" w:hAnsi="Garamond" w:cs="Arial"/>
        </w:rPr>
        <w:t>ano</w:t>
      </w:r>
      <w:r w:rsidR="00A132B3" w:rsidRPr="006A4C44">
        <w:rPr>
          <w:rFonts w:ascii="Garamond" w:eastAsia="Times New Roman" w:hAnsi="Garamond" w:cs="Arial"/>
        </w:rPr>
        <w:t xml:space="preserve"> físico, sexual, psicológico o</w:t>
      </w:r>
      <w:r w:rsidR="00190B59" w:rsidRPr="006A4C44">
        <w:rPr>
          <w:rFonts w:ascii="Garamond" w:eastAsia="Times New Roman" w:hAnsi="Garamond" w:cs="Arial"/>
        </w:rPr>
        <w:t>u</w:t>
      </w:r>
      <w:r w:rsidR="00A132B3" w:rsidRPr="006A4C44">
        <w:rPr>
          <w:rFonts w:ascii="Garamond" w:eastAsia="Times New Roman" w:hAnsi="Garamond" w:cs="Arial"/>
        </w:rPr>
        <w:t xml:space="preserve"> patrimonial.</w:t>
      </w:r>
      <w:proofErr w:type="gramEnd"/>
      <w:r w:rsidR="00A132B3" w:rsidRPr="006A4C44">
        <w:rPr>
          <w:rFonts w:ascii="Garamond" w:eastAsia="Times New Roman" w:hAnsi="Garamond" w:cs="Arial"/>
        </w:rPr>
        <w:t xml:space="preserve"> P</w:t>
      </w:r>
      <w:r w:rsidR="00190B59" w:rsidRPr="006A4C44">
        <w:rPr>
          <w:rFonts w:ascii="Garamond" w:eastAsia="Times New Roman" w:hAnsi="Garamond" w:cs="Arial"/>
        </w:rPr>
        <w:t xml:space="preserve">ela sua </w:t>
      </w:r>
      <w:r w:rsidR="00A132B3" w:rsidRPr="006A4C44">
        <w:rPr>
          <w:rFonts w:ascii="Garamond" w:eastAsia="Times New Roman" w:hAnsi="Garamond" w:cs="Arial"/>
        </w:rPr>
        <w:t>magnitud</w:t>
      </w:r>
      <w:r w:rsidR="00190B59" w:rsidRPr="006A4C44">
        <w:rPr>
          <w:rFonts w:ascii="Garamond" w:eastAsia="Times New Roman" w:hAnsi="Garamond" w:cs="Arial"/>
        </w:rPr>
        <w:t xml:space="preserve">e, </w:t>
      </w:r>
      <w:r w:rsidR="00A132B3" w:rsidRPr="006A4C44">
        <w:rPr>
          <w:rFonts w:ascii="Garamond" w:eastAsia="Times New Roman" w:hAnsi="Garamond" w:cs="Arial"/>
        </w:rPr>
        <w:t xml:space="preserve">a </w:t>
      </w:r>
      <w:r w:rsidR="000350B1" w:rsidRPr="006A4C44">
        <w:rPr>
          <w:rFonts w:ascii="Garamond" w:eastAsia="Times New Roman" w:hAnsi="Garamond" w:cs="Arial"/>
        </w:rPr>
        <w:t>violência</w:t>
      </w:r>
      <w:r w:rsidR="00A132B3" w:rsidRPr="006A4C44">
        <w:rPr>
          <w:rFonts w:ascii="Garamond" w:eastAsia="Times New Roman" w:hAnsi="Garamond" w:cs="Arial"/>
        </w:rPr>
        <w:t xml:space="preserve"> d</w:t>
      </w:r>
      <w:r w:rsidR="00190B59" w:rsidRPr="006A4C44">
        <w:rPr>
          <w:rFonts w:ascii="Garamond" w:eastAsia="Times New Roman" w:hAnsi="Garamond" w:cs="Arial"/>
        </w:rPr>
        <w:t xml:space="preserve">o homem contra </w:t>
      </w:r>
      <w:r w:rsidR="00A132B3" w:rsidRPr="006A4C44">
        <w:rPr>
          <w:rFonts w:ascii="Garamond" w:eastAsia="Times New Roman" w:hAnsi="Garamond" w:cs="Arial"/>
        </w:rPr>
        <w:t xml:space="preserve">a </w:t>
      </w:r>
      <w:r w:rsidR="00AF192F" w:rsidRPr="006A4C44">
        <w:rPr>
          <w:rFonts w:ascii="Garamond" w:eastAsia="Times New Roman" w:hAnsi="Garamond" w:cs="Arial"/>
        </w:rPr>
        <w:t>mulher</w:t>
      </w:r>
      <w:r w:rsidR="00A132B3" w:rsidRPr="006A4C44">
        <w:rPr>
          <w:rFonts w:ascii="Garamond" w:eastAsia="Times New Roman" w:hAnsi="Garamond" w:cs="Arial"/>
        </w:rPr>
        <w:t xml:space="preserve"> (</w:t>
      </w:r>
      <w:r w:rsidR="00190B59" w:rsidRPr="006A4C44">
        <w:rPr>
          <w:rFonts w:ascii="Garamond" w:eastAsia="Times New Roman" w:hAnsi="Garamond" w:cs="Arial"/>
        </w:rPr>
        <w:t xml:space="preserve">namorado, marido ou companheiro, </w:t>
      </w:r>
      <w:r w:rsidR="00A132B3" w:rsidRPr="006A4C44">
        <w:rPr>
          <w:rFonts w:ascii="Garamond" w:eastAsia="Times New Roman" w:hAnsi="Garamond" w:cs="Arial"/>
        </w:rPr>
        <w:t>ex</w:t>
      </w:r>
      <w:r w:rsidR="008011CE" w:rsidRPr="006A4C44">
        <w:rPr>
          <w:rFonts w:ascii="Garamond" w:eastAsia="Times New Roman" w:hAnsi="Garamond" w:cs="Arial"/>
        </w:rPr>
        <w:t>-</w:t>
      </w:r>
      <w:r w:rsidR="00A132B3" w:rsidRPr="006A4C44">
        <w:rPr>
          <w:rFonts w:ascii="Garamond" w:eastAsia="Times New Roman" w:hAnsi="Garamond" w:cs="Arial"/>
        </w:rPr>
        <w:t xml:space="preserve">marido) </w:t>
      </w:r>
      <w:r w:rsidR="00190B59" w:rsidRPr="006A4C44">
        <w:rPr>
          <w:rFonts w:ascii="Garamond" w:eastAsia="Times New Roman" w:hAnsi="Garamond" w:cs="Arial"/>
        </w:rPr>
        <w:t xml:space="preserve">é </w:t>
      </w:r>
      <w:r w:rsidR="00A132B3" w:rsidRPr="006A4C44">
        <w:rPr>
          <w:rFonts w:ascii="Garamond" w:eastAsia="Times New Roman" w:hAnsi="Garamond" w:cs="Arial"/>
        </w:rPr>
        <w:t xml:space="preserve">a de </w:t>
      </w:r>
      <w:r w:rsidR="00863197" w:rsidRPr="006A4C44">
        <w:rPr>
          <w:rFonts w:ascii="Garamond" w:eastAsia="Times New Roman" w:hAnsi="Garamond" w:cs="Arial"/>
        </w:rPr>
        <w:t>maior</w:t>
      </w:r>
      <w:r w:rsidR="00A132B3" w:rsidRPr="006A4C44">
        <w:rPr>
          <w:rFonts w:ascii="Garamond" w:eastAsia="Times New Roman" w:hAnsi="Garamond" w:cs="Arial"/>
        </w:rPr>
        <w:t xml:space="preserve"> </w:t>
      </w:r>
      <w:r w:rsidR="002E2C71" w:rsidRPr="006A4C44">
        <w:rPr>
          <w:rFonts w:ascii="Garamond" w:eastAsia="Times New Roman" w:hAnsi="Garamond" w:cs="Arial"/>
        </w:rPr>
        <w:t>relevância</w:t>
      </w:r>
      <w:r w:rsidR="00A132B3" w:rsidRPr="006A4C44">
        <w:rPr>
          <w:rFonts w:ascii="Garamond" w:eastAsia="Times New Roman" w:hAnsi="Garamond" w:cs="Arial"/>
        </w:rPr>
        <w:t xml:space="preserve">. </w:t>
      </w:r>
      <w:r w:rsidR="00190B59" w:rsidRPr="006A4C44">
        <w:rPr>
          <w:rFonts w:ascii="Garamond" w:eastAsia="Times New Roman" w:hAnsi="Garamond" w:cs="Arial"/>
        </w:rPr>
        <w:t xml:space="preserve">Faz </w:t>
      </w:r>
      <w:r w:rsidR="00CB5DB2" w:rsidRPr="006A4C44">
        <w:rPr>
          <w:rFonts w:ascii="Garamond" w:eastAsia="Times New Roman" w:hAnsi="Garamond" w:cs="Arial"/>
        </w:rPr>
        <w:t>referência</w:t>
      </w:r>
      <w:r w:rsidR="00A132B3" w:rsidRPr="006A4C44">
        <w:rPr>
          <w:rFonts w:ascii="Garamond" w:eastAsia="Times New Roman" w:hAnsi="Garamond" w:cs="Arial"/>
        </w:rPr>
        <w:t xml:space="preserve"> a u</w:t>
      </w:r>
      <w:r w:rsidR="00190B59" w:rsidRPr="006A4C44">
        <w:rPr>
          <w:rFonts w:ascii="Garamond" w:eastAsia="Times New Roman" w:hAnsi="Garamond" w:cs="Arial"/>
        </w:rPr>
        <w:t>m</w:t>
      </w:r>
      <w:r w:rsidR="00A132B3" w:rsidRPr="006A4C44">
        <w:rPr>
          <w:rFonts w:ascii="Garamond" w:eastAsia="Times New Roman" w:hAnsi="Garamond" w:cs="Arial"/>
        </w:rPr>
        <w:t xml:space="preserve"> tipo específico de </w:t>
      </w:r>
      <w:r w:rsidR="00C04CA4" w:rsidRPr="006A4C44">
        <w:rPr>
          <w:rFonts w:ascii="Garamond" w:eastAsia="Times New Roman" w:hAnsi="Garamond" w:cs="Arial"/>
        </w:rPr>
        <w:t>relações</w:t>
      </w:r>
      <w:r w:rsidR="00A132B3" w:rsidRPr="006A4C44">
        <w:rPr>
          <w:rFonts w:ascii="Garamond" w:eastAsia="Times New Roman" w:hAnsi="Garamond" w:cs="Arial"/>
        </w:rPr>
        <w:t xml:space="preserve"> </w:t>
      </w:r>
      <w:r w:rsidR="00190B59" w:rsidRPr="006A4C44">
        <w:rPr>
          <w:rFonts w:ascii="Garamond" w:eastAsia="Times New Roman" w:hAnsi="Garamond" w:cs="Arial"/>
        </w:rPr>
        <w:t>interpessoais</w:t>
      </w:r>
      <w:r w:rsidR="00A132B3" w:rsidRPr="006A4C44">
        <w:rPr>
          <w:rFonts w:ascii="Garamond" w:eastAsia="Times New Roman" w:hAnsi="Garamond" w:cs="Arial"/>
        </w:rPr>
        <w:t xml:space="preserve"> que </w:t>
      </w:r>
      <w:r w:rsidR="00190B59" w:rsidRPr="006A4C44">
        <w:rPr>
          <w:rFonts w:ascii="Garamond" w:eastAsia="Times New Roman" w:hAnsi="Garamond" w:cs="Arial"/>
        </w:rPr>
        <w:t>ocorre</w:t>
      </w:r>
      <w:r w:rsidR="008069E0" w:rsidRPr="006A4C44">
        <w:rPr>
          <w:rFonts w:ascii="Garamond" w:eastAsia="Times New Roman" w:hAnsi="Garamond" w:cs="Arial"/>
        </w:rPr>
        <w:t>m</w:t>
      </w:r>
      <w:r w:rsidR="00190B59" w:rsidRPr="006A4C44">
        <w:rPr>
          <w:rFonts w:ascii="Garamond" w:eastAsia="Times New Roman" w:hAnsi="Garamond" w:cs="Arial"/>
        </w:rPr>
        <w:t xml:space="preserve"> no </w:t>
      </w:r>
      <w:r w:rsidR="00802ACC" w:rsidRPr="006A4C44">
        <w:rPr>
          <w:rFonts w:ascii="Garamond" w:eastAsia="Times New Roman" w:hAnsi="Garamond" w:cs="Arial"/>
        </w:rPr>
        <w:t>âmbito</w:t>
      </w:r>
      <w:r w:rsidR="00A132B3" w:rsidRPr="006A4C44">
        <w:rPr>
          <w:rFonts w:ascii="Garamond" w:eastAsia="Times New Roman" w:hAnsi="Garamond" w:cs="Arial"/>
        </w:rPr>
        <w:t xml:space="preserve"> das </w:t>
      </w:r>
      <w:r w:rsidR="00C04CA4" w:rsidRPr="006A4C44">
        <w:rPr>
          <w:rFonts w:ascii="Garamond" w:eastAsia="Times New Roman" w:hAnsi="Garamond" w:cs="Arial"/>
        </w:rPr>
        <w:t>relações</w:t>
      </w:r>
      <w:r w:rsidR="00A132B3" w:rsidRPr="006A4C44">
        <w:rPr>
          <w:rFonts w:ascii="Garamond" w:eastAsia="Times New Roman" w:hAnsi="Garamond" w:cs="Arial"/>
        </w:rPr>
        <w:t xml:space="preserve"> </w:t>
      </w:r>
      <w:r w:rsidR="007342D9" w:rsidRPr="006A4C44">
        <w:rPr>
          <w:rFonts w:ascii="Garamond" w:eastAsia="Times New Roman" w:hAnsi="Garamond" w:cs="Arial"/>
        </w:rPr>
        <w:t>familiares</w:t>
      </w:r>
      <w:r w:rsidR="00190B59" w:rsidRPr="006A4C44">
        <w:rPr>
          <w:rFonts w:ascii="Garamond" w:eastAsia="Times New Roman" w:hAnsi="Garamond" w:cs="Arial"/>
        </w:rPr>
        <w:t xml:space="preserve"> e</w:t>
      </w:r>
      <w:r w:rsidR="00A132B3" w:rsidRPr="006A4C44">
        <w:rPr>
          <w:rFonts w:ascii="Garamond" w:eastAsia="Times New Roman" w:hAnsi="Garamond" w:cs="Arial"/>
        </w:rPr>
        <w:t xml:space="preserve"> afetivas, </w:t>
      </w:r>
      <w:r w:rsidR="00190B59" w:rsidRPr="006A4C44">
        <w:rPr>
          <w:rFonts w:ascii="Garamond" w:eastAsia="Times New Roman" w:hAnsi="Garamond" w:cs="Arial"/>
        </w:rPr>
        <w:t xml:space="preserve">mesmo </w:t>
      </w:r>
      <w:r w:rsidR="00863197" w:rsidRPr="006A4C44">
        <w:rPr>
          <w:rFonts w:ascii="Garamond" w:eastAsia="Times New Roman" w:hAnsi="Garamond" w:cs="Arial"/>
        </w:rPr>
        <w:t>quando</w:t>
      </w:r>
      <w:r w:rsidR="00A132B3" w:rsidRPr="006A4C44">
        <w:rPr>
          <w:rFonts w:ascii="Garamond" w:eastAsia="Times New Roman" w:hAnsi="Garamond" w:cs="Arial"/>
        </w:rPr>
        <w:t xml:space="preserve"> elas </w:t>
      </w:r>
      <w:r w:rsidR="00190B59" w:rsidRPr="006A4C44">
        <w:rPr>
          <w:rFonts w:ascii="Garamond" w:eastAsia="Times New Roman" w:hAnsi="Garamond" w:cs="Arial"/>
        </w:rPr>
        <w:t xml:space="preserve">ocorram </w:t>
      </w:r>
      <w:r w:rsidR="00A132B3" w:rsidRPr="006A4C44">
        <w:rPr>
          <w:rFonts w:ascii="Garamond" w:eastAsia="Times New Roman" w:hAnsi="Garamond" w:cs="Arial"/>
        </w:rPr>
        <w:t>co</w:t>
      </w:r>
      <w:r w:rsidR="00190B59" w:rsidRPr="006A4C44">
        <w:rPr>
          <w:rFonts w:ascii="Garamond" w:eastAsia="Times New Roman" w:hAnsi="Garamond" w:cs="Arial"/>
        </w:rPr>
        <w:t xml:space="preserve">m ou sem </w:t>
      </w:r>
      <w:r w:rsidR="00A132B3" w:rsidRPr="006A4C44">
        <w:rPr>
          <w:rFonts w:ascii="Garamond" w:eastAsia="Times New Roman" w:hAnsi="Garamond" w:cs="Arial"/>
        </w:rPr>
        <w:t>vínculo atual de</w:t>
      </w:r>
      <w:r w:rsidR="00963D01" w:rsidRPr="006A4C44">
        <w:rPr>
          <w:rFonts w:ascii="Garamond" w:eastAsia="Times New Roman" w:hAnsi="Garamond" w:cs="Arial"/>
        </w:rPr>
        <w:t xml:space="preserve"> afetividade</w:t>
      </w:r>
      <w:r w:rsidR="00A132B3" w:rsidRPr="006A4C44">
        <w:rPr>
          <w:rFonts w:ascii="Garamond" w:eastAsia="Times New Roman" w:hAnsi="Garamond" w:cs="Arial"/>
        </w:rPr>
        <w:t>, co</w:t>
      </w:r>
      <w:r w:rsidR="00190B59" w:rsidRPr="006A4C44">
        <w:rPr>
          <w:rFonts w:ascii="Garamond" w:eastAsia="Times New Roman" w:hAnsi="Garamond" w:cs="Arial"/>
        </w:rPr>
        <w:t>m</w:t>
      </w:r>
      <w:r w:rsidR="00A132B3" w:rsidRPr="006A4C44">
        <w:rPr>
          <w:rFonts w:ascii="Garamond" w:eastAsia="Times New Roman" w:hAnsi="Garamond" w:cs="Arial"/>
        </w:rPr>
        <w:t xml:space="preserve"> o</w:t>
      </w:r>
      <w:r w:rsidR="00190B59" w:rsidRPr="006A4C44">
        <w:rPr>
          <w:rFonts w:ascii="Garamond" w:eastAsia="Times New Roman" w:hAnsi="Garamond" w:cs="Arial"/>
        </w:rPr>
        <w:t>u</w:t>
      </w:r>
      <w:r w:rsidR="00A132B3" w:rsidRPr="006A4C44">
        <w:rPr>
          <w:rFonts w:ascii="Garamond" w:eastAsia="Times New Roman" w:hAnsi="Garamond" w:cs="Arial"/>
        </w:rPr>
        <w:t xml:space="preserve"> s</w:t>
      </w:r>
      <w:r w:rsidR="00190B59" w:rsidRPr="006A4C44">
        <w:rPr>
          <w:rFonts w:ascii="Garamond" w:eastAsia="Times New Roman" w:hAnsi="Garamond" w:cs="Arial"/>
        </w:rPr>
        <w:t>em</w:t>
      </w:r>
      <w:r w:rsidR="00A132B3" w:rsidRPr="006A4C44">
        <w:rPr>
          <w:rFonts w:ascii="Garamond" w:eastAsia="Times New Roman" w:hAnsi="Garamond" w:cs="Arial"/>
        </w:rPr>
        <w:t xml:space="preserve"> </w:t>
      </w:r>
      <w:r w:rsidR="00190B59" w:rsidRPr="006A4C44">
        <w:rPr>
          <w:rFonts w:ascii="Garamond" w:eastAsia="Times New Roman" w:hAnsi="Garamond" w:cs="Arial"/>
        </w:rPr>
        <w:t>coabitação</w:t>
      </w:r>
      <w:r w:rsidR="00A132B3" w:rsidRPr="006A4C44">
        <w:rPr>
          <w:rFonts w:ascii="Garamond" w:eastAsia="Times New Roman" w:hAnsi="Garamond" w:cs="Arial"/>
        </w:rPr>
        <w:t>, dentro o</w:t>
      </w:r>
      <w:r w:rsidR="00190B59" w:rsidRPr="006A4C44">
        <w:rPr>
          <w:rFonts w:ascii="Garamond" w:eastAsia="Times New Roman" w:hAnsi="Garamond" w:cs="Arial"/>
        </w:rPr>
        <w:t>u fo</w:t>
      </w:r>
      <w:r w:rsidR="00A132B3" w:rsidRPr="006A4C44">
        <w:rPr>
          <w:rFonts w:ascii="Garamond" w:eastAsia="Times New Roman" w:hAnsi="Garamond" w:cs="Arial"/>
        </w:rPr>
        <w:t>ra d</w:t>
      </w:r>
      <w:r w:rsidR="00190B59" w:rsidRPr="006A4C44">
        <w:rPr>
          <w:rFonts w:ascii="Garamond" w:eastAsia="Times New Roman" w:hAnsi="Garamond" w:cs="Arial"/>
        </w:rPr>
        <w:t>o</w:t>
      </w:r>
      <w:r w:rsidR="00A132B3" w:rsidRPr="006A4C44">
        <w:rPr>
          <w:rFonts w:ascii="Garamond" w:eastAsia="Times New Roman" w:hAnsi="Garamond" w:cs="Arial"/>
        </w:rPr>
        <w:t xml:space="preserve"> </w:t>
      </w:r>
      <w:r w:rsidR="00802ACC" w:rsidRPr="006A4C44">
        <w:rPr>
          <w:rFonts w:ascii="Garamond" w:eastAsia="Times New Roman" w:hAnsi="Garamond" w:cs="Arial"/>
        </w:rPr>
        <w:t>âmbito</w:t>
      </w:r>
      <w:r w:rsidR="00A132B3" w:rsidRPr="006A4C44">
        <w:rPr>
          <w:rFonts w:ascii="Garamond" w:eastAsia="Times New Roman" w:hAnsi="Garamond" w:cs="Arial"/>
        </w:rPr>
        <w:t xml:space="preserve"> doméstico</w:t>
      </w:r>
      <w:r w:rsidRPr="006A4C44">
        <w:rPr>
          <w:rFonts w:ascii="Garamond" w:eastAsia="Times New Roman" w:hAnsi="Garamond" w:cs="Arial"/>
        </w:rPr>
        <w:t>»</w:t>
      </w:r>
      <w:r w:rsidR="008011CE" w:rsidRPr="006A4C44">
        <w:rPr>
          <w:rFonts w:ascii="Garamond" w:eastAsia="Times New Roman" w:hAnsi="Garamond" w:cs="Arial"/>
        </w:rPr>
        <w:t>.</w:t>
      </w:r>
      <w:r w:rsidR="009940EF" w:rsidRPr="006A4C44">
        <w:rPr>
          <w:rStyle w:val="Refdenotaalpie"/>
          <w:rFonts w:ascii="Garamond" w:hAnsi="Garamond" w:cs="Arial"/>
          <w:b/>
        </w:rPr>
        <w:footnoteReference w:id="12"/>
      </w:r>
    </w:p>
    <w:p w:rsidR="009940EF" w:rsidRPr="003A1174" w:rsidRDefault="009940EF" w:rsidP="006A4C44">
      <w:pPr>
        <w:spacing w:after="0" w:line="240" w:lineRule="auto"/>
        <w:jc w:val="both"/>
        <w:rPr>
          <w:rFonts w:ascii="Garamond" w:eastAsia="Times New Roman" w:hAnsi="Garamond" w:cs="Arial"/>
          <w:sz w:val="24"/>
          <w:szCs w:val="24"/>
        </w:rPr>
      </w:pPr>
    </w:p>
    <w:p w:rsidR="00A132B3" w:rsidRPr="003A1174" w:rsidRDefault="00190B59" w:rsidP="008719D4">
      <w:pPr>
        <w:spacing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D</w:t>
      </w:r>
      <w:r w:rsidR="00A132B3" w:rsidRPr="003A1174">
        <w:rPr>
          <w:rFonts w:ascii="Garamond" w:eastAsia="Times New Roman" w:hAnsi="Garamond" w:cs="Arial"/>
          <w:sz w:val="24"/>
          <w:szCs w:val="24"/>
        </w:rPr>
        <w:t xml:space="preserve">esta </w:t>
      </w:r>
      <w:r w:rsidRPr="003A1174">
        <w:rPr>
          <w:rFonts w:ascii="Garamond" w:eastAsia="Times New Roman" w:hAnsi="Garamond" w:cs="Arial"/>
          <w:sz w:val="24"/>
          <w:szCs w:val="24"/>
        </w:rPr>
        <w:t>forma, evidencia-</w:t>
      </w:r>
      <w:r w:rsidR="00A132B3" w:rsidRPr="003A1174">
        <w:rPr>
          <w:rFonts w:ascii="Garamond" w:eastAsia="Times New Roman" w:hAnsi="Garamond" w:cs="Arial"/>
          <w:sz w:val="24"/>
          <w:szCs w:val="24"/>
        </w:rPr>
        <w:t xml:space="preserve">se </w:t>
      </w:r>
      <w:r w:rsidRPr="003A1174">
        <w:rPr>
          <w:rFonts w:ascii="Garamond" w:eastAsia="Times New Roman" w:hAnsi="Garamond" w:cs="Arial"/>
          <w:sz w:val="24"/>
          <w:szCs w:val="24"/>
        </w:rPr>
        <w:t xml:space="preserve">que </w:t>
      </w:r>
      <w:r w:rsidR="00A132B3" w:rsidRPr="003A1174">
        <w:rPr>
          <w:rFonts w:ascii="Garamond" w:eastAsia="Times New Roman" w:hAnsi="Garamond" w:cs="Arial"/>
          <w:sz w:val="24"/>
          <w:szCs w:val="24"/>
        </w:rPr>
        <w:t xml:space="preserve">a </w:t>
      </w:r>
      <w:r w:rsidR="000350B1" w:rsidRPr="003A1174">
        <w:rPr>
          <w:rFonts w:ascii="Garamond" w:eastAsia="Times New Roman" w:hAnsi="Garamond" w:cs="Arial"/>
          <w:sz w:val="24"/>
          <w:szCs w:val="24"/>
        </w:rPr>
        <w:t>violência</w:t>
      </w:r>
      <w:r w:rsidR="0094561F">
        <w:rPr>
          <w:rFonts w:ascii="Garamond" w:eastAsia="Times New Roman" w:hAnsi="Garamond" w:cs="Arial"/>
          <w:sz w:val="24"/>
          <w:szCs w:val="24"/>
        </w:rPr>
        <w:t>,</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familiar</w:t>
      </w:r>
      <w:r w:rsidR="00A132B3" w:rsidRPr="003A1174">
        <w:rPr>
          <w:rFonts w:ascii="Garamond" w:eastAsia="Times New Roman" w:hAnsi="Garamond" w:cs="Arial"/>
          <w:sz w:val="24"/>
          <w:szCs w:val="24"/>
        </w:rPr>
        <w:t xml:space="preserve"> o</w:t>
      </w:r>
      <w:r w:rsidRPr="003A1174">
        <w:rPr>
          <w:rFonts w:ascii="Garamond" w:eastAsia="Times New Roman" w:hAnsi="Garamond" w:cs="Arial"/>
          <w:sz w:val="24"/>
          <w:szCs w:val="24"/>
        </w:rPr>
        <w:t>u</w:t>
      </w:r>
      <w:r w:rsidR="00A132B3" w:rsidRPr="003A1174">
        <w:rPr>
          <w:rFonts w:ascii="Garamond" w:eastAsia="Times New Roman" w:hAnsi="Garamond" w:cs="Arial"/>
          <w:sz w:val="24"/>
          <w:szCs w:val="24"/>
        </w:rPr>
        <w:t xml:space="preserve"> intrafamiliar</w:t>
      </w:r>
      <w:r w:rsidR="0094561F">
        <w:rPr>
          <w:rFonts w:ascii="Garamond" w:eastAsia="Times New Roman" w:hAnsi="Garamond" w:cs="Arial"/>
          <w:sz w:val="24"/>
          <w:szCs w:val="24"/>
        </w:rPr>
        <w:t>,</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é um</w:t>
      </w:r>
      <w:r w:rsidR="00A132B3" w:rsidRPr="003A1174">
        <w:rPr>
          <w:rFonts w:ascii="Garamond" w:eastAsia="Times New Roman" w:hAnsi="Garamond" w:cs="Arial"/>
          <w:sz w:val="24"/>
          <w:szCs w:val="24"/>
        </w:rPr>
        <w:t xml:space="preserve">a </w:t>
      </w:r>
      <w:r w:rsidR="000350B1" w:rsidRPr="003A1174">
        <w:rPr>
          <w:rFonts w:ascii="Garamond" w:eastAsia="Times New Roman" w:hAnsi="Garamond" w:cs="Arial"/>
          <w:sz w:val="24"/>
          <w:szCs w:val="24"/>
        </w:rPr>
        <w:t>violência</w:t>
      </w:r>
      <w:r w:rsidR="00A132B3" w:rsidRPr="003A1174">
        <w:rPr>
          <w:rFonts w:ascii="Garamond" w:eastAsia="Times New Roman" w:hAnsi="Garamond" w:cs="Arial"/>
          <w:sz w:val="24"/>
          <w:szCs w:val="24"/>
        </w:rPr>
        <w:t xml:space="preserve"> de género que constitu</w:t>
      </w:r>
      <w:r w:rsidRPr="003A1174">
        <w:rPr>
          <w:rFonts w:ascii="Garamond" w:eastAsia="Times New Roman" w:hAnsi="Garamond" w:cs="Arial"/>
          <w:sz w:val="24"/>
          <w:szCs w:val="24"/>
        </w:rPr>
        <w:t>i um problema público e</w:t>
      </w:r>
      <w:r w:rsidR="00A132B3" w:rsidRPr="003A1174">
        <w:rPr>
          <w:rFonts w:ascii="Garamond" w:eastAsia="Times New Roman" w:hAnsi="Garamond" w:cs="Arial"/>
          <w:sz w:val="24"/>
          <w:szCs w:val="24"/>
        </w:rPr>
        <w:t xml:space="preserve"> n</w:t>
      </w:r>
      <w:r w:rsidRPr="003A1174">
        <w:rPr>
          <w:rFonts w:ascii="Garamond" w:eastAsia="Times New Roman" w:hAnsi="Garamond" w:cs="Arial"/>
          <w:sz w:val="24"/>
          <w:szCs w:val="24"/>
        </w:rPr>
        <w:t>ã</w:t>
      </w:r>
      <w:r w:rsidR="00A132B3" w:rsidRPr="003A1174">
        <w:rPr>
          <w:rFonts w:ascii="Garamond" w:eastAsia="Times New Roman" w:hAnsi="Garamond" w:cs="Arial"/>
          <w:sz w:val="24"/>
          <w:szCs w:val="24"/>
        </w:rPr>
        <w:t>o u</w:t>
      </w:r>
      <w:r w:rsidRPr="003A1174">
        <w:rPr>
          <w:rFonts w:ascii="Garamond" w:eastAsia="Times New Roman" w:hAnsi="Garamond" w:cs="Arial"/>
          <w:sz w:val="24"/>
          <w:szCs w:val="24"/>
        </w:rPr>
        <w:t>m</w:t>
      </w:r>
      <w:r w:rsidR="00A132B3" w:rsidRPr="003A1174">
        <w:rPr>
          <w:rFonts w:ascii="Garamond" w:eastAsia="Times New Roman" w:hAnsi="Garamond" w:cs="Arial"/>
          <w:sz w:val="24"/>
          <w:szCs w:val="24"/>
        </w:rPr>
        <w:t xml:space="preserve"> problema privado</w:t>
      </w:r>
      <w:r w:rsidR="008011CE"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e </w:t>
      </w:r>
      <w:r w:rsidR="00A132B3" w:rsidRPr="003A1174">
        <w:rPr>
          <w:rFonts w:ascii="Garamond" w:eastAsia="Times New Roman" w:hAnsi="Garamond" w:cs="Arial"/>
          <w:sz w:val="24"/>
          <w:szCs w:val="24"/>
        </w:rPr>
        <w:t xml:space="preserve">que </w:t>
      </w:r>
      <w:r w:rsidRPr="003A1174">
        <w:rPr>
          <w:rFonts w:ascii="Garamond" w:eastAsia="Times New Roman" w:hAnsi="Garamond" w:cs="Arial"/>
          <w:sz w:val="24"/>
          <w:szCs w:val="24"/>
        </w:rPr>
        <w:t xml:space="preserve">necessita de uma solução </w:t>
      </w:r>
      <w:r w:rsidR="00A132B3" w:rsidRPr="003A1174">
        <w:rPr>
          <w:rFonts w:ascii="Garamond" w:eastAsia="Times New Roman" w:hAnsi="Garamond" w:cs="Arial"/>
          <w:sz w:val="24"/>
          <w:szCs w:val="24"/>
        </w:rPr>
        <w:t>urgente; portanto,</w:t>
      </w:r>
      <w:r w:rsidR="00963D01" w:rsidRPr="003A1174">
        <w:rPr>
          <w:rFonts w:ascii="Garamond" w:eastAsia="Times New Roman" w:hAnsi="Garamond" w:cs="Arial"/>
          <w:sz w:val="24"/>
          <w:szCs w:val="24"/>
        </w:rPr>
        <w:t xml:space="preserve"> apesar de se </w:t>
      </w:r>
      <w:r w:rsidR="00A132B3" w:rsidRPr="003A1174">
        <w:rPr>
          <w:rFonts w:ascii="Garamond" w:eastAsia="Times New Roman" w:hAnsi="Garamond" w:cs="Arial"/>
          <w:sz w:val="24"/>
          <w:szCs w:val="24"/>
        </w:rPr>
        <w:t>suscita</w:t>
      </w:r>
      <w:r w:rsidR="00963D01" w:rsidRPr="003A1174">
        <w:rPr>
          <w:rFonts w:ascii="Garamond" w:eastAsia="Times New Roman" w:hAnsi="Garamond" w:cs="Arial"/>
          <w:sz w:val="24"/>
          <w:szCs w:val="24"/>
        </w:rPr>
        <w:t>r</w:t>
      </w:r>
      <w:r w:rsidR="0094561F">
        <w:rPr>
          <w:rFonts w:ascii="Garamond" w:eastAsia="Times New Roman" w:hAnsi="Garamond" w:cs="Arial"/>
          <w:sz w:val="24"/>
          <w:szCs w:val="24"/>
        </w:rPr>
        <w:t>,</w:t>
      </w:r>
      <w:r w:rsidR="00A132B3" w:rsidRPr="003A1174">
        <w:rPr>
          <w:rFonts w:ascii="Garamond" w:eastAsia="Times New Roman" w:hAnsi="Garamond" w:cs="Arial"/>
          <w:sz w:val="24"/>
          <w:szCs w:val="24"/>
        </w:rPr>
        <w:t xml:space="preserve"> e</w:t>
      </w:r>
      <w:r w:rsidRPr="003A1174">
        <w:rPr>
          <w:rFonts w:ascii="Garamond" w:eastAsia="Times New Roman" w:hAnsi="Garamond" w:cs="Arial"/>
          <w:sz w:val="24"/>
          <w:szCs w:val="24"/>
        </w:rPr>
        <w:t>m</w:t>
      </w:r>
      <w:r w:rsidR="00A132B3" w:rsidRPr="003A1174">
        <w:rPr>
          <w:rFonts w:ascii="Garamond" w:eastAsia="Times New Roman" w:hAnsi="Garamond" w:cs="Arial"/>
          <w:sz w:val="24"/>
          <w:szCs w:val="24"/>
        </w:rPr>
        <w:t xml:space="preserve"> esferas </w:t>
      </w:r>
      <w:r w:rsidRPr="003A1174">
        <w:rPr>
          <w:rFonts w:ascii="Garamond" w:eastAsia="Times New Roman" w:hAnsi="Garamond" w:cs="Arial"/>
          <w:sz w:val="24"/>
          <w:szCs w:val="24"/>
        </w:rPr>
        <w:t>interpessoais</w:t>
      </w:r>
      <w:r w:rsidR="006B4826" w:rsidRPr="003A1174">
        <w:rPr>
          <w:rFonts w:ascii="Garamond" w:eastAsia="Times New Roman" w:hAnsi="Garamond" w:cs="Arial"/>
          <w:sz w:val="24"/>
          <w:szCs w:val="24"/>
        </w:rPr>
        <w:t>,</w:t>
      </w:r>
      <w:r w:rsidR="00A132B3" w:rsidRPr="003A1174">
        <w:rPr>
          <w:rFonts w:ascii="Garamond" w:eastAsia="Times New Roman" w:hAnsi="Garamond" w:cs="Arial"/>
          <w:sz w:val="24"/>
          <w:szCs w:val="24"/>
        </w:rPr>
        <w:t xml:space="preserve"> ho</w:t>
      </w:r>
      <w:r w:rsidRPr="003A1174">
        <w:rPr>
          <w:rFonts w:ascii="Garamond" w:eastAsia="Times New Roman" w:hAnsi="Garamond" w:cs="Arial"/>
          <w:sz w:val="24"/>
          <w:szCs w:val="24"/>
        </w:rPr>
        <w:t>je em di</w:t>
      </w:r>
      <w:r w:rsidR="00A132B3" w:rsidRPr="003A1174">
        <w:rPr>
          <w:rFonts w:ascii="Garamond" w:eastAsia="Times New Roman" w:hAnsi="Garamond" w:cs="Arial"/>
          <w:sz w:val="24"/>
          <w:szCs w:val="24"/>
        </w:rPr>
        <w:t>a</w:t>
      </w:r>
      <w:r w:rsidR="0094561F">
        <w:rPr>
          <w:rFonts w:ascii="Garamond" w:eastAsia="Times New Roman" w:hAnsi="Garamond" w:cs="Arial"/>
          <w:sz w:val="24"/>
          <w:szCs w:val="24"/>
        </w:rPr>
        <w:t>,</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é inadmissível</w:t>
      </w:r>
      <w:r w:rsidR="00A132B3" w:rsidRPr="003A1174">
        <w:rPr>
          <w:rFonts w:ascii="Garamond" w:eastAsia="Times New Roman" w:hAnsi="Garamond" w:cs="Arial"/>
          <w:sz w:val="24"/>
          <w:szCs w:val="24"/>
        </w:rPr>
        <w:t xml:space="preserve"> que </w:t>
      </w:r>
      <w:r w:rsidRPr="003A1174">
        <w:rPr>
          <w:rFonts w:ascii="Garamond" w:eastAsia="Times New Roman" w:hAnsi="Garamond" w:cs="Arial"/>
          <w:sz w:val="24"/>
          <w:szCs w:val="24"/>
        </w:rPr>
        <w:t xml:space="preserve">o </w:t>
      </w:r>
      <w:r w:rsidR="007C63D0" w:rsidRPr="003A1174">
        <w:rPr>
          <w:rFonts w:ascii="Garamond" w:eastAsia="Times New Roman" w:hAnsi="Garamond" w:cs="Arial"/>
          <w:sz w:val="24"/>
          <w:szCs w:val="24"/>
        </w:rPr>
        <w:t>comportamento</w:t>
      </w:r>
      <w:r w:rsidR="00A132B3" w:rsidRPr="003A1174">
        <w:rPr>
          <w:rFonts w:ascii="Garamond" w:eastAsia="Times New Roman" w:hAnsi="Garamond" w:cs="Arial"/>
          <w:sz w:val="24"/>
          <w:szCs w:val="24"/>
        </w:rPr>
        <w:t xml:space="preserve"> estatal </w:t>
      </w:r>
      <w:r w:rsidRPr="003A1174">
        <w:rPr>
          <w:rFonts w:ascii="Garamond" w:eastAsia="Times New Roman" w:hAnsi="Garamond" w:cs="Arial"/>
          <w:sz w:val="24"/>
          <w:szCs w:val="24"/>
        </w:rPr>
        <w:t xml:space="preserve">seja alheio a este fenómeno </w:t>
      </w:r>
      <w:r w:rsidR="0094561F">
        <w:rPr>
          <w:rFonts w:ascii="Garamond" w:eastAsia="Times New Roman" w:hAnsi="Garamond" w:cs="Arial"/>
          <w:sz w:val="24"/>
          <w:szCs w:val="24"/>
        </w:rPr>
        <w:t xml:space="preserve">em que </w:t>
      </w:r>
      <w:r w:rsidR="00A132B3" w:rsidRPr="003A1174">
        <w:rPr>
          <w:rFonts w:ascii="Garamond" w:eastAsia="Times New Roman" w:hAnsi="Garamond" w:cs="Arial"/>
          <w:sz w:val="24"/>
          <w:szCs w:val="24"/>
        </w:rPr>
        <w:t xml:space="preserve">a vida e </w:t>
      </w:r>
      <w:r w:rsidRPr="003A1174">
        <w:rPr>
          <w:rFonts w:ascii="Garamond" w:eastAsia="Times New Roman" w:hAnsi="Garamond" w:cs="Arial"/>
          <w:sz w:val="24"/>
          <w:szCs w:val="24"/>
        </w:rPr>
        <w:t xml:space="preserve">a </w:t>
      </w:r>
      <w:r w:rsidR="00A132B3" w:rsidRPr="003A1174">
        <w:rPr>
          <w:rFonts w:ascii="Garamond" w:eastAsia="Times New Roman" w:hAnsi="Garamond" w:cs="Arial"/>
          <w:sz w:val="24"/>
          <w:szCs w:val="24"/>
        </w:rPr>
        <w:t>integridad</w:t>
      </w:r>
      <w:r w:rsidRPr="003A1174">
        <w:rPr>
          <w:rFonts w:ascii="Garamond" w:eastAsia="Times New Roman" w:hAnsi="Garamond" w:cs="Arial"/>
          <w:sz w:val="24"/>
          <w:szCs w:val="24"/>
        </w:rPr>
        <w:t>e</w:t>
      </w:r>
      <w:r w:rsidR="00A132B3" w:rsidRPr="003A1174">
        <w:rPr>
          <w:rFonts w:ascii="Garamond" w:eastAsia="Times New Roman" w:hAnsi="Garamond" w:cs="Arial"/>
          <w:sz w:val="24"/>
          <w:szCs w:val="24"/>
        </w:rPr>
        <w:t xml:space="preserve"> das </w:t>
      </w:r>
      <w:r w:rsidR="00054EE0" w:rsidRPr="003A1174">
        <w:rPr>
          <w:rFonts w:ascii="Garamond" w:eastAsia="Times New Roman" w:hAnsi="Garamond" w:cs="Arial"/>
          <w:sz w:val="24"/>
          <w:szCs w:val="24"/>
        </w:rPr>
        <w:t>mulheres</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são </w:t>
      </w:r>
      <w:r w:rsidR="006B4826" w:rsidRPr="003A1174">
        <w:rPr>
          <w:rFonts w:ascii="Garamond" w:eastAsia="Times New Roman" w:hAnsi="Garamond" w:cs="Arial"/>
          <w:sz w:val="24"/>
          <w:szCs w:val="24"/>
        </w:rPr>
        <w:t>co</w:t>
      </w:r>
      <w:r w:rsidRPr="003A1174">
        <w:rPr>
          <w:rFonts w:ascii="Garamond" w:eastAsia="Times New Roman" w:hAnsi="Garamond" w:cs="Arial"/>
          <w:sz w:val="24"/>
          <w:szCs w:val="24"/>
        </w:rPr>
        <w:t>m</w:t>
      </w:r>
      <w:r w:rsidR="006B4826" w:rsidRPr="003A1174">
        <w:rPr>
          <w:rFonts w:ascii="Garamond" w:eastAsia="Times New Roman" w:hAnsi="Garamond" w:cs="Arial"/>
          <w:sz w:val="24"/>
          <w:szCs w:val="24"/>
        </w:rPr>
        <w:t xml:space="preserve"> </w:t>
      </w:r>
      <w:r w:rsidRPr="003A1174">
        <w:rPr>
          <w:rFonts w:ascii="Garamond" w:eastAsia="Times New Roman" w:hAnsi="Garamond" w:cs="Arial"/>
          <w:sz w:val="24"/>
          <w:szCs w:val="24"/>
        </w:rPr>
        <w:t>frequência e</w:t>
      </w:r>
      <w:r w:rsidR="00A132B3" w:rsidRPr="003A1174">
        <w:rPr>
          <w:rFonts w:ascii="Garamond" w:eastAsia="Times New Roman" w:hAnsi="Garamond" w:cs="Arial"/>
          <w:sz w:val="24"/>
          <w:szCs w:val="24"/>
        </w:rPr>
        <w:t xml:space="preserve"> constantemente </w:t>
      </w:r>
      <w:r w:rsidR="001B02AD" w:rsidRPr="003A1174">
        <w:rPr>
          <w:rFonts w:ascii="Garamond" w:eastAsia="Times New Roman" w:hAnsi="Garamond" w:cs="Arial"/>
          <w:sz w:val="24"/>
          <w:szCs w:val="24"/>
        </w:rPr>
        <w:t>afeta</w:t>
      </w:r>
      <w:r w:rsidR="00A132B3" w:rsidRPr="003A1174">
        <w:rPr>
          <w:rFonts w:ascii="Garamond" w:eastAsia="Times New Roman" w:hAnsi="Garamond" w:cs="Arial"/>
          <w:sz w:val="24"/>
          <w:szCs w:val="24"/>
        </w:rPr>
        <w:t>d</w:t>
      </w:r>
      <w:r w:rsidR="006B4826" w:rsidRPr="003A1174">
        <w:rPr>
          <w:rFonts w:ascii="Garamond" w:eastAsia="Times New Roman" w:hAnsi="Garamond" w:cs="Arial"/>
          <w:sz w:val="24"/>
          <w:szCs w:val="24"/>
        </w:rPr>
        <w:t>a</w:t>
      </w:r>
      <w:r w:rsidR="00A132B3" w:rsidRPr="003A1174">
        <w:rPr>
          <w:rFonts w:ascii="Garamond" w:eastAsia="Times New Roman" w:hAnsi="Garamond" w:cs="Arial"/>
          <w:sz w:val="24"/>
          <w:szCs w:val="24"/>
        </w:rPr>
        <w:t xml:space="preserve">s.   </w:t>
      </w:r>
    </w:p>
    <w:p w:rsidR="00D72015" w:rsidRPr="003A1174" w:rsidRDefault="00D72015" w:rsidP="008719D4">
      <w:pPr>
        <w:spacing w:after="0" w:line="240" w:lineRule="auto"/>
        <w:jc w:val="both"/>
        <w:rPr>
          <w:rFonts w:ascii="Garamond" w:eastAsia="Times New Roman" w:hAnsi="Garamond" w:cs="Arial"/>
          <w:sz w:val="24"/>
          <w:szCs w:val="24"/>
        </w:rPr>
      </w:pPr>
    </w:p>
    <w:p w:rsidR="00D72015" w:rsidRPr="003A1174" w:rsidRDefault="00D72015" w:rsidP="008719D4">
      <w:pPr>
        <w:spacing w:after="0" w:line="240" w:lineRule="auto"/>
        <w:jc w:val="both"/>
        <w:rPr>
          <w:rFonts w:ascii="Garamond" w:eastAsia="Times New Roman" w:hAnsi="Garamond" w:cs="Arial"/>
          <w:sz w:val="24"/>
          <w:szCs w:val="24"/>
        </w:rPr>
      </w:pPr>
    </w:p>
    <w:p w:rsidR="00A132B3" w:rsidRPr="003A1174" w:rsidRDefault="00DF340E" w:rsidP="008719D4">
      <w:pPr>
        <w:spacing w:after="0" w:line="240" w:lineRule="auto"/>
        <w:jc w:val="both"/>
        <w:rPr>
          <w:rFonts w:ascii="Garamond" w:eastAsia="Times New Roman" w:hAnsi="Garamond" w:cs="Arial"/>
          <w:sz w:val="24"/>
          <w:szCs w:val="24"/>
          <w:lang w:val="es-ES"/>
        </w:rPr>
      </w:pPr>
      <w:r w:rsidRPr="003A1174">
        <w:rPr>
          <w:rFonts w:ascii="Garamond" w:eastAsia="Times New Roman" w:hAnsi="Garamond" w:cs="Arial"/>
          <w:noProof/>
          <w:sz w:val="24"/>
          <w:szCs w:val="24"/>
          <w:lang w:val="es-PE" w:eastAsia="es-PE"/>
        </w:rPr>
        <w:drawing>
          <wp:inline distT="0" distB="0" distL="0" distR="0" wp14:anchorId="55A38F2A" wp14:editId="7EB82F19">
            <wp:extent cx="5699760" cy="342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00555" cy="3429479"/>
                    </a:xfrm>
                    <a:prstGeom prst="rect">
                      <a:avLst/>
                    </a:prstGeom>
                  </pic:spPr>
                </pic:pic>
              </a:graphicData>
            </a:graphic>
          </wp:inline>
        </w:drawing>
      </w:r>
    </w:p>
    <w:p w:rsidR="00AD235E" w:rsidRPr="003A1174" w:rsidRDefault="00AD235E" w:rsidP="008719D4">
      <w:pPr>
        <w:spacing w:after="0" w:line="240" w:lineRule="auto"/>
        <w:jc w:val="both"/>
        <w:rPr>
          <w:rFonts w:ascii="Garamond" w:eastAsia="Times New Roman" w:hAnsi="Garamond" w:cs="Arial"/>
          <w:sz w:val="24"/>
          <w:szCs w:val="24"/>
          <w:lang w:val="es-ES"/>
        </w:rPr>
      </w:pPr>
    </w:p>
    <w:p w:rsidR="00A132B3" w:rsidRPr="003A1174" w:rsidRDefault="00190B59" w:rsidP="008719D4">
      <w:pPr>
        <w:spacing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N</w:t>
      </w:r>
      <w:r w:rsidR="00A132B3" w:rsidRPr="003A1174">
        <w:rPr>
          <w:rFonts w:ascii="Garamond" w:eastAsia="Times New Roman" w:hAnsi="Garamond" w:cs="Arial"/>
          <w:sz w:val="24"/>
          <w:szCs w:val="24"/>
        </w:rPr>
        <w:t xml:space="preserve">este contexto, </w:t>
      </w:r>
      <w:r w:rsidRPr="003A1174">
        <w:rPr>
          <w:rFonts w:ascii="Garamond" w:eastAsia="Times New Roman" w:hAnsi="Garamond" w:cs="Arial"/>
          <w:sz w:val="24"/>
          <w:szCs w:val="24"/>
        </w:rPr>
        <w:t xml:space="preserve">é </w:t>
      </w:r>
      <w:r w:rsidR="00A132B3" w:rsidRPr="003A1174">
        <w:rPr>
          <w:rFonts w:ascii="Garamond" w:eastAsia="Times New Roman" w:hAnsi="Garamond" w:cs="Arial"/>
          <w:sz w:val="24"/>
          <w:szCs w:val="24"/>
        </w:rPr>
        <w:t>preocupa</w:t>
      </w:r>
      <w:r w:rsidRPr="003A1174">
        <w:rPr>
          <w:rFonts w:ascii="Garamond" w:eastAsia="Times New Roman" w:hAnsi="Garamond" w:cs="Arial"/>
          <w:sz w:val="24"/>
          <w:szCs w:val="24"/>
        </w:rPr>
        <w:t xml:space="preserve">nte que </w:t>
      </w:r>
      <w:r w:rsidR="00A132B3" w:rsidRPr="003A1174">
        <w:rPr>
          <w:rFonts w:ascii="Garamond" w:eastAsia="Times New Roman" w:hAnsi="Garamond" w:cs="Arial"/>
          <w:sz w:val="24"/>
          <w:szCs w:val="24"/>
        </w:rPr>
        <w:t xml:space="preserve">as </w:t>
      </w:r>
      <w:r w:rsidRPr="003A1174">
        <w:rPr>
          <w:rFonts w:ascii="Garamond" w:eastAsia="Times New Roman" w:hAnsi="Garamond" w:cs="Arial"/>
          <w:sz w:val="24"/>
          <w:szCs w:val="24"/>
        </w:rPr>
        <w:t>estatísticas</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nacionais</w:t>
      </w:r>
      <w:r w:rsidR="00A132B3" w:rsidRPr="003A1174">
        <w:rPr>
          <w:rFonts w:ascii="Garamond" w:eastAsia="Times New Roman" w:hAnsi="Garamond" w:cs="Arial"/>
          <w:sz w:val="24"/>
          <w:szCs w:val="24"/>
        </w:rPr>
        <w:t xml:space="preserve"> e </w:t>
      </w:r>
      <w:r w:rsidR="00EF645F" w:rsidRPr="003A1174">
        <w:rPr>
          <w:rFonts w:ascii="Garamond" w:eastAsia="Times New Roman" w:hAnsi="Garamond" w:cs="Arial"/>
          <w:sz w:val="24"/>
          <w:szCs w:val="24"/>
        </w:rPr>
        <w:t>internacionais</w:t>
      </w:r>
      <w:r w:rsidR="00A132B3" w:rsidRPr="003A1174">
        <w:rPr>
          <w:rFonts w:ascii="Garamond" w:eastAsia="Times New Roman" w:hAnsi="Garamond" w:cs="Arial"/>
          <w:sz w:val="24"/>
          <w:szCs w:val="24"/>
        </w:rPr>
        <w:t xml:space="preserve"> </w:t>
      </w:r>
      <w:r w:rsidR="006B4826" w:rsidRPr="003A1174">
        <w:rPr>
          <w:rFonts w:ascii="Garamond" w:eastAsia="Times New Roman" w:hAnsi="Garamond" w:cs="Arial"/>
          <w:sz w:val="24"/>
          <w:szCs w:val="24"/>
        </w:rPr>
        <w:t>se refi</w:t>
      </w:r>
      <w:r w:rsidRPr="003A1174">
        <w:rPr>
          <w:rFonts w:ascii="Garamond" w:eastAsia="Times New Roman" w:hAnsi="Garamond" w:cs="Arial"/>
          <w:sz w:val="24"/>
          <w:szCs w:val="24"/>
        </w:rPr>
        <w:t xml:space="preserve">ram à </w:t>
      </w:r>
      <w:r w:rsidR="000350B1" w:rsidRPr="003A1174">
        <w:rPr>
          <w:rFonts w:ascii="Garamond" w:eastAsia="Times New Roman" w:hAnsi="Garamond" w:cs="Arial"/>
          <w:sz w:val="24"/>
          <w:szCs w:val="24"/>
        </w:rPr>
        <w:t>violência</w:t>
      </w:r>
      <w:r w:rsidR="00A132B3"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intrafamiliar contra </w:t>
      </w:r>
      <w:r w:rsidR="00A132B3" w:rsidRPr="003A1174">
        <w:rPr>
          <w:rFonts w:ascii="Garamond" w:eastAsia="Times New Roman" w:hAnsi="Garamond" w:cs="Arial"/>
          <w:sz w:val="24"/>
          <w:szCs w:val="24"/>
        </w:rPr>
        <w:t xml:space="preserve">as </w:t>
      </w:r>
      <w:r w:rsidR="00054EE0" w:rsidRPr="003A1174">
        <w:rPr>
          <w:rFonts w:ascii="Garamond" w:eastAsia="Times New Roman" w:hAnsi="Garamond" w:cs="Arial"/>
          <w:sz w:val="24"/>
          <w:szCs w:val="24"/>
        </w:rPr>
        <w:t>mulheres</w:t>
      </w:r>
      <w:r w:rsidRPr="003A1174">
        <w:rPr>
          <w:rFonts w:ascii="Garamond" w:eastAsia="Times New Roman" w:hAnsi="Garamond" w:cs="Arial"/>
          <w:sz w:val="24"/>
          <w:szCs w:val="24"/>
        </w:rPr>
        <w:t xml:space="preserve"> como um</w:t>
      </w:r>
      <w:r w:rsidR="00A132B3" w:rsidRPr="003A1174">
        <w:rPr>
          <w:rFonts w:ascii="Garamond" w:eastAsia="Times New Roman" w:hAnsi="Garamond" w:cs="Arial"/>
          <w:sz w:val="24"/>
          <w:szCs w:val="24"/>
        </w:rPr>
        <w:t xml:space="preserve">a </w:t>
      </w:r>
      <w:r w:rsidR="006D0543" w:rsidRPr="003A1174">
        <w:rPr>
          <w:rFonts w:ascii="Garamond" w:eastAsia="Times New Roman" w:hAnsi="Garamond" w:cs="Arial"/>
          <w:sz w:val="24"/>
          <w:szCs w:val="24"/>
        </w:rPr>
        <w:t>violação</w:t>
      </w:r>
      <w:r w:rsidR="00A132B3"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d</w:t>
      </w:r>
      <w:r w:rsidR="00A132B3" w:rsidRPr="003A1174">
        <w:rPr>
          <w:rFonts w:ascii="Garamond" w:eastAsia="Times New Roman" w:hAnsi="Garamond" w:cs="Arial"/>
          <w:sz w:val="24"/>
          <w:szCs w:val="24"/>
        </w:rPr>
        <w:t xml:space="preserve">os </w:t>
      </w:r>
      <w:r w:rsidR="00886D6A" w:rsidRPr="003A1174">
        <w:rPr>
          <w:rFonts w:ascii="Garamond" w:eastAsia="Times New Roman" w:hAnsi="Garamond" w:cs="Arial"/>
          <w:sz w:val="24"/>
          <w:szCs w:val="24"/>
        </w:rPr>
        <w:t>direito</w:t>
      </w:r>
      <w:r w:rsidR="00A132B3" w:rsidRPr="003A1174">
        <w:rPr>
          <w:rFonts w:ascii="Garamond" w:eastAsia="Times New Roman" w:hAnsi="Garamond" w:cs="Arial"/>
          <w:sz w:val="24"/>
          <w:szCs w:val="24"/>
        </w:rPr>
        <w:t xml:space="preserve">s humanos que, </w:t>
      </w:r>
      <w:r w:rsidR="006D0543" w:rsidRPr="003A1174">
        <w:rPr>
          <w:rFonts w:ascii="Garamond" w:eastAsia="Times New Roman" w:hAnsi="Garamond" w:cs="Arial"/>
          <w:sz w:val="24"/>
          <w:szCs w:val="24"/>
        </w:rPr>
        <w:t>infelizmente</w:t>
      </w:r>
      <w:r w:rsidR="00A132B3" w:rsidRPr="003A1174">
        <w:rPr>
          <w:rFonts w:ascii="Garamond" w:eastAsia="Times New Roman" w:hAnsi="Garamond" w:cs="Arial"/>
          <w:sz w:val="24"/>
          <w:szCs w:val="24"/>
        </w:rPr>
        <w:t>, contin</w:t>
      </w:r>
      <w:r w:rsidR="006D0543" w:rsidRPr="003A1174">
        <w:rPr>
          <w:rFonts w:ascii="Garamond" w:eastAsia="Times New Roman" w:hAnsi="Garamond" w:cs="Arial"/>
          <w:sz w:val="24"/>
          <w:szCs w:val="24"/>
        </w:rPr>
        <w:t>ua a s</w:t>
      </w:r>
      <w:r w:rsidR="00780283">
        <w:rPr>
          <w:rFonts w:ascii="Garamond" w:eastAsia="Times New Roman" w:hAnsi="Garamond" w:cs="Arial"/>
          <w:sz w:val="24"/>
          <w:szCs w:val="24"/>
        </w:rPr>
        <w:t>er,</w:t>
      </w:r>
      <w:r w:rsidR="0094561F" w:rsidRPr="0094561F">
        <w:rPr>
          <w:rFonts w:ascii="Garamond" w:eastAsia="Times New Roman" w:hAnsi="Garamond" w:cs="Arial"/>
          <w:sz w:val="24"/>
          <w:szCs w:val="24"/>
        </w:rPr>
        <w:t xml:space="preserve"> </w:t>
      </w:r>
      <w:r w:rsidR="0094561F" w:rsidRPr="003A1174">
        <w:rPr>
          <w:rFonts w:ascii="Garamond" w:eastAsia="Times New Roman" w:hAnsi="Garamond" w:cs="Arial"/>
          <w:sz w:val="24"/>
          <w:szCs w:val="24"/>
        </w:rPr>
        <w:t>socialmente tolerada</w:t>
      </w:r>
      <w:r w:rsidR="0094561F">
        <w:rPr>
          <w:rFonts w:ascii="Garamond" w:eastAsia="Times New Roman" w:hAnsi="Garamond" w:cs="Arial"/>
          <w:sz w:val="24"/>
          <w:szCs w:val="24"/>
        </w:rPr>
        <w:t xml:space="preserve">, </w:t>
      </w:r>
      <w:r w:rsidR="00A132B3" w:rsidRPr="003A1174">
        <w:rPr>
          <w:rFonts w:ascii="Garamond" w:eastAsia="Times New Roman" w:hAnsi="Garamond" w:cs="Arial"/>
          <w:sz w:val="24"/>
          <w:szCs w:val="24"/>
        </w:rPr>
        <w:t xml:space="preserve">apesar dos </w:t>
      </w:r>
      <w:r w:rsidR="006D0543" w:rsidRPr="003A1174">
        <w:rPr>
          <w:rFonts w:ascii="Garamond" w:eastAsia="Times New Roman" w:hAnsi="Garamond" w:cs="Arial"/>
          <w:sz w:val="24"/>
          <w:szCs w:val="24"/>
        </w:rPr>
        <w:t>inegáveis</w:t>
      </w:r>
      <w:r w:rsidR="00A132B3" w:rsidRPr="003A1174">
        <w:rPr>
          <w:rFonts w:ascii="Garamond" w:eastAsia="Times New Roman" w:hAnsi="Garamond" w:cs="Arial"/>
          <w:sz w:val="24"/>
          <w:szCs w:val="24"/>
        </w:rPr>
        <w:t xml:space="preserve"> </w:t>
      </w:r>
      <w:r w:rsidR="00FC1F7F" w:rsidRPr="003A1174">
        <w:rPr>
          <w:rFonts w:ascii="Garamond" w:eastAsia="Times New Roman" w:hAnsi="Garamond" w:cs="Arial"/>
          <w:sz w:val="24"/>
          <w:szCs w:val="24"/>
        </w:rPr>
        <w:t>avanços</w:t>
      </w:r>
      <w:r w:rsidR="00A132B3"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n</w:t>
      </w:r>
      <w:r w:rsidR="00A132B3" w:rsidRPr="003A1174">
        <w:rPr>
          <w:rFonts w:ascii="Garamond" w:eastAsia="Times New Roman" w:hAnsi="Garamond" w:cs="Arial"/>
          <w:sz w:val="24"/>
          <w:szCs w:val="24"/>
        </w:rPr>
        <w:t xml:space="preserve">a </w:t>
      </w:r>
      <w:r w:rsidR="002C7510" w:rsidRPr="003A1174">
        <w:rPr>
          <w:rFonts w:ascii="Garamond" w:eastAsia="Times New Roman" w:hAnsi="Garamond" w:cs="Arial"/>
          <w:sz w:val="24"/>
          <w:szCs w:val="24"/>
        </w:rPr>
        <w:t>defesa</w:t>
      </w:r>
      <w:r w:rsidR="006D0543" w:rsidRPr="003A1174">
        <w:rPr>
          <w:rFonts w:ascii="Garamond" w:eastAsia="Times New Roman" w:hAnsi="Garamond" w:cs="Arial"/>
          <w:sz w:val="24"/>
          <w:szCs w:val="24"/>
        </w:rPr>
        <w:t xml:space="preserve"> e</w:t>
      </w:r>
      <w:r w:rsidR="00A132B3" w:rsidRPr="003A1174">
        <w:rPr>
          <w:rFonts w:ascii="Garamond" w:eastAsia="Times New Roman" w:hAnsi="Garamond" w:cs="Arial"/>
          <w:sz w:val="24"/>
          <w:szCs w:val="24"/>
        </w:rPr>
        <w:t xml:space="preserve"> </w:t>
      </w:r>
      <w:r w:rsidR="002F5CD1" w:rsidRPr="003A1174">
        <w:rPr>
          <w:rFonts w:ascii="Garamond" w:eastAsia="Times New Roman" w:hAnsi="Garamond" w:cs="Arial"/>
          <w:sz w:val="24"/>
          <w:szCs w:val="24"/>
        </w:rPr>
        <w:t>promoção</w:t>
      </w:r>
      <w:r w:rsidR="00A132B3" w:rsidRPr="003A1174">
        <w:rPr>
          <w:rFonts w:ascii="Garamond" w:eastAsia="Times New Roman" w:hAnsi="Garamond" w:cs="Arial"/>
          <w:sz w:val="24"/>
          <w:szCs w:val="24"/>
        </w:rPr>
        <w:t xml:space="preserve"> de </w:t>
      </w:r>
      <w:r w:rsidR="00886D6A" w:rsidRPr="003A1174">
        <w:rPr>
          <w:rFonts w:ascii="Garamond" w:eastAsia="Times New Roman" w:hAnsi="Garamond" w:cs="Arial"/>
          <w:sz w:val="24"/>
          <w:szCs w:val="24"/>
        </w:rPr>
        <w:t>direito</w:t>
      </w:r>
      <w:r w:rsidR="00A132B3" w:rsidRPr="003A1174">
        <w:rPr>
          <w:rFonts w:ascii="Garamond" w:eastAsia="Times New Roman" w:hAnsi="Garamond" w:cs="Arial"/>
          <w:sz w:val="24"/>
          <w:szCs w:val="24"/>
        </w:rPr>
        <w:t>s</w:t>
      </w:r>
      <w:r w:rsidR="00780283">
        <w:rPr>
          <w:rFonts w:ascii="Garamond" w:eastAsia="Times New Roman" w:hAnsi="Garamond" w:cs="Arial"/>
          <w:sz w:val="24"/>
          <w:szCs w:val="24"/>
        </w:rPr>
        <w:t>.</w:t>
      </w:r>
      <w:r w:rsidR="00A132B3" w:rsidRPr="003A1174">
        <w:rPr>
          <w:rFonts w:ascii="Garamond" w:eastAsia="Times New Roman" w:hAnsi="Garamond" w:cs="Arial"/>
          <w:sz w:val="24"/>
          <w:szCs w:val="24"/>
        </w:rPr>
        <w:t xml:space="preserve"> </w:t>
      </w:r>
    </w:p>
    <w:p w:rsidR="00A132B3" w:rsidRPr="003A1174" w:rsidRDefault="00A132B3" w:rsidP="008719D4">
      <w:pPr>
        <w:spacing w:after="0" w:line="240" w:lineRule="auto"/>
        <w:jc w:val="both"/>
        <w:rPr>
          <w:rFonts w:ascii="Garamond" w:eastAsia="Times New Roman" w:hAnsi="Garamond" w:cs="Arial"/>
          <w:sz w:val="24"/>
          <w:szCs w:val="24"/>
        </w:rPr>
      </w:pPr>
    </w:p>
    <w:p w:rsidR="00A132B3" w:rsidRPr="003A1174" w:rsidRDefault="00A132B3" w:rsidP="008719D4">
      <w:pPr>
        <w:spacing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 xml:space="preserve">Por </w:t>
      </w:r>
      <w:r w:rsidR="006D0543" w:rsidRPr="003A1174">
        <w:rPr>
          <w:rFonts w:ascii="Garamond" w:eastAsia="Times New Roman" w:hAnsi="Garamond" w:cs="Arial"/>
          <w:sz w:val="24"/>
          <w:szCs w:val="24"/>
        </w:rPr>
        <w:t xml:space="preserve">esta razão, </w:t>
      </w:r>
      <w:r w:rsidRPr="003A1174">
        <w:rPr>
          <w:rFonts w:ascii="Garamond" w:eastAsia="Times New Roman" w:hAnsi="Garamond" w:cs="Arial"/>
          <w:sz w:val="24"/>
          <w:szCs w:val="24"/>
        </w:rPr>
        <w:t>a toma</w:t>
      </w:r>
      <w:r w:rsidR="006D0543" w:rsidRPr="003A1174">
        <w:rPr>
          <w:rFonts w:ascii="Garamond" w:eastAsia="Times New Roman" w:hAnsi="Garamond" w:cs="Arial"/>
          <w:sz w:val="24"/>
          <w:szCs w:val="24"/>
        </w:rPr>
        <w:t>da</w:t>
      </w:r>
      <w:r w:rsidRPr="003A1174">
        <w:rPr>
          <w:rFonts w:ascii="Garamond" w:eastAsia="Times New Roman" w:hAnsi="Garamond" w:cs="Arial"/>
          <w:sz w:val="24"/>
          <w:szCs w:val="24"/>
        </w:rPr>
        <w:t xml:space="preserve"> de </w:t>
      </w:r>
      <w:r w:rsidR="00BA3CCE" w:rsidRPr="003A1174">
        <w:rPr>
          <w:rFonts w:ascii="Garamond" w:eastAsia="Times New Roman" w:hAnsi="Garamond" w:cs="Arial"/>
          <w:sz w:val="24"/>
          <w:szCs w:val="24"/>
        </w:rPr>
        <w:t>consciência</w:t>
      </w:r>
      <w:r w:rsidR="00780283">
        <w:rPr>
          <w:rFonts w:ascii="Garamond" w:eastAsia="Times New Roman" w:hAnsi="Garamond" w:cs="Arial"/>
          <w:sz w:val="24"/>
          <w:szCs w:val="24"/>
        </w:rPr>
        <w:t>,</w:t>
      </w:r>
      <w:r w:rsidRPr="003A1174">
        <w:rPr>
          <w:rFonts w:ascii="Garamond" w:eastAsia="Times New Roman" w:hAnsi="Garamond" w:cs="Arial"/>
          <w:sz w:val="24"/>
          <w:szCs w:val="24"/>
        </w:rPr>
        <w:t xml:space="preserve"> por parte dos Estados</w:t>
      </w:r>
      <w:r w:rsidR="00780283">
        <w:rPr>
          <w:rFonts w:ascii="Garamond" w:eastAsia="Times New Roman" w:hAnsi="Garamond" w:cs="Arial"/>
          <w:sz w:val="24"/>
          <w:szCs w:val="24"/>
        </w:rPr>
        <w:t>,</w:t>
      </w:r>
      <w:r w:rsidRPr="003A1174">
        <w:rPr>
          <w:rFonts w:ascii="Garamond" w:eastAsia="Times New Roman" w:hAnsi="Garamond" w:cs="Arial"/>
          <w:sz w:val="24"/>
          <w:szCs w:val="24"/>
        </w:rPr>
        <w:t xml:space="preserve"> sobre </w:t>
      </w:r>
      <w:r w:rsidR="006D0543" w:rsidRPr="003A1174">
        <w:rPr>
          <w:rFonts w:ascii="Garamond" w:eastAsia="Times New Roman" w:hAnsi="Garamond" w:cs="Arial"/>
          <w:sz w:val="24"/>
          <w:szCs w:val="24"/>
        </w:rPr>
        <w:t xml:space="preserve">a </w:t>
      </w:r>
      <w:r w:rsidRPr="003A1174">
        <w:rPr>
          <w:rFonts w:ascii="Garamond" w:eastAsia="Times New Roman" w:hAnsi="Garamond" w:cs="Arial"/>
          <w:sz w:val="24"/>
          <w:szCs w:val="24"/>
        </w:rPr>
        <w:t>su</w:t>
      </w:r>
      <w:r w:rsidR="006D0543" w:rsidRPr="003A1174">
        <w:rPr>
          <w:rFonts w:ascii="Garamond" w:eastAsia="Times New Roman" w:hAnsi="Garamond" w:cs="Arial"/>
          <w:sz w:val="24"/>
          <w:szCs w:val="24"/>
        </w:rPr>
        <w:t>a</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responsabilidade</w:t>
      </w:r>
      <w:r w:rsidRPr="003A1174">
        <w:rPr>
          <w:rFonts w:ascii="Garamond" w:eastAsia="Times New Roman" w:hAnsi="Garamond" w:cs="Arial"/>
          <w:sz w:val="24"/>
          <w:szCs w:val="24"/>
        </w:rPr>
        <w:t xml:space="preserve"> de </w:t>
      </w:r>
      <w:r w:rsidR="00AF192F" w:rsidRPr="003A1174">
        <w:rPr>
          <w:rFonts w:ascii="Garamond" w:eastAsia="Times New Roman" w:hAnsi="Garamond" w:cs="Arial"/>
          <w:sz w:val="24"/>
          <w:szCs w:val="24"/>
        </w:rPr>
        <w:t>garantir</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 xml:space="preserve">às </w:t>
      </w:r>
      <w:r w:rsidR="00054EE0" w:rsidRPr="003A1174">
        <w:rPr>
          <w:rFonts w:ascii="Garamond" w:eastAsia="Times New Roman" w:hAnsi="Garamond" w:cs="Arial"/>
          <w:sz w:val="24"/>
          <w:szCs w:val="24"/>
        </w:rPr>
        <w:t>mulheres</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 xml:space="preserve">o </w:t>
      </w:r>
      <w:r w:rsidR="00886D6A" w:rsidRPr="003A1174">
        <w:rPr>
          <w:rFonts w:ascii="Garamond" w:eastAsia="Times New Roman" w:hAnsi="Garamond" w:cs="Arial"/>
          <w:sz w:val="24"/>
          <w:szCs w:val="24"/>
        </w:rPr>
        <w:t>direito</w:t>
      </w:r>
      <w:r w:rsidR="006D0543" w:rsidRPr="003A1174">
        <w:rPr>
          <w:rFonts w:ascii="Garamond" w:eastAsia="Times New Roman" w:hAnsi="Garamond" w:cs="Arial"/>
          <w:sz w:val="24"/>
          <w:szCs w:val="24"/>
        </w:rPr>
        <w:t xml:space="preserve"> a um</w:t>
      </w:r>
      <w:r w:rsidRPr="003A1174">
        <w:rPr>
          <w:rFonts w:ascii="Garamond" w:eastAsia="Times New Roman" w:hAnsi="Garamond" w:cs="Arial"/>
          <w:sz w:val="24"/>
          <w:szCs w:val="24"/>
        </w:rPr>
        <w:t xml:space="preserve">a vida </w:t>
      </w:r>
      <w:r w:rsidR="00AF192F" w:rsidRPr="003A1174">
        <w:rPr>
          <w:rFonts w:ascii="Garamond" w:eastAsia="Times New Roman" w:hAnsi="Garamond" w:cs="Arial"/>
          <w:sz w:val="24"/>
          <w:szCs w:val="24"/>
        </w:rPr>
        <w:t>livre</w:t>
      </w:r>
      <w:r w:rsidRPr="003A1174">
        <w:rPr>
          <w:rFonts w:ascii="Garamond" w:eastAsia="Times New Roman" w:hAnsi="Garamond" w:cs="Arial"/>
          <w:sz w:val="24"/>
          <w:szCs w:val="24"/>
        </w:rPr>
        <w:t xml:space="preserve"> de </w:t>
      </w:r>
      <w:r w:rsidR="000350B1" w:rsidRPr="003A1174">
        <w:rPr>
          <w:rFonts w:ascii="Garamond" w:eastAsia="Times New Roman" w:hAnsi="Garamond" w:cs="Arial"/>
          <w:sz w:val="24"/>
          <w:szCs w:val="24"/>
        </w:rPr>
        <w:t>violência</w:t>
      </w:r>
      <w:r w:rsidRPr="003A1174">
        <w:rPr>
          <w:rFonts w:ascii="Garamond" w:eastAsia="Times New Roman" w:hAnsi="Garamond" w:cs="Arial"/>
          <w:sz w:val="24"/>
          <w:szCs w:val="24"/>
        </w:rPr>
        <w:t>, sup</w:t>
      </w:r>
      <w:r w:rsidR="006D0543" w:rsidRPr="003A1174">
        <w:rPr>
          <w:rFonts w:ascii="Garamond" w:eastAsia="Times New Roman" w:hAnsi="Garamond" w:cs="Arial"/>
          <w:sz w:val="24"/>
          <w:szCs w:val="24"/>
        </w:rPr>
        <w:t>õe</w:t>
      </w:r>
      <w:r w:rsidR="00780283">
        <w:rPr>
          <w:rFonts w:ascii="Garamond" w:eastAsia="Times New Roman" w:hAnsi="Garamond" w:cs="Arial"/>
          <w:sz w:val="24"/>
          <w:szCs w:val="24"/>
        </w:rPr>
        <w:t>,</w:t>
      </w:r>
      <w:r w:rsidR="006D0543" w:rsidRPr="003A1174">
        <w:rPr>
          <w:rFonts w:ascii="Garamond" w:eastAsia="Times New Roman" w:hAnsi="Garamond" w:cs="Arial"/>
          <w:sz w:val="24"/>
          <w:szCs w:val="24"/>
        </w:rPr>
        <w:t xml:space="preserve"> necessariamente</w:t>
      </w:r>
      <w:r w:rsidR="00780283">
        <w:rPr>
          <w:rFonts w:ascii="Garamond" w:eastAsia="Times New Roman" w:hAnsi="Garamond" w:cs="Arial"/>
          <w:sz w:val="24"/>
          <w:szCs w:val="24"/>
        </w:rPr>
        <w:t>,</w:t>
      </w:r>
      <w:r w:rsidR="006D0543" w:rsidRPr="003A1174">
        <w:rPr>
          <w:rFonts w:ascii="Garamond" w:eastAsia="Times New Roman" w:hAnsi="Garamond" w:cs="Arial"/>
          <w:sz w:val="24"/>
          <w:szCs w:val="24"/>
        </w:rPr>
        <w:t xml:space="preserve"> que</w:t>
      </w:r>
      <w:r w:rsidR="00780283">
        <w:rPr>
          <w:rFonts w:ascii="Garamond" w:eastAsia="Times New Roman" w:hAnsi="Garamond" w:cs="Arial"/>
          <w:sz w:val="24"/>
          <w:szCs w:val="24"/>
        </w:rPr>
        <w:t>,</w:t>
      </w:r>
      <w:r w:rsidR="006D0543" w:rsidRPr="003A1174">
        <w:rPr>
          <w:rFonts w:ascii="Garamond" w:eastAsia="Times New Roman" w:hAnsi="Garamond" w:cs="Arial"/>
          <w:sz w:val="24"/>
          <w:szCs w:val="24"/>
        </w:rPr>
        <w:t xml:space="preserve"> a</w:t>
      </w:r>
      <w:r w:rsidRPr="003A1174">
        <w:rPr>
          <w:rFonts w:ascii="Garamond" w:eastAsia="Times New Roman" w:hAnsi="Garamond" w:cs="Arial"/>
          <w:sz w:val="24"/>
          <w:szCs w:val="24"/>
        </w:rPr>
        <w:t xml:space="preserve">través de todas </w:t>
      </w:r>
      <w:r w:rsidR="006D0543" w:rsidRPr="003A1174">
        <w:rPr>
          <w:rFonts w:ascii="Garamond" w:eastAsia="Times New Roman" w:hAnsi="Garamond" w:cs="Arial"/>
          <w:sz w:val="24"/>
          <w:szCs w:val="24"/>
        </w:rPr>
        <w:t xml:space="preserve">as </w:t>
      </w:r>
      <w:r w:rsidRPr="003A1174">
        <w:rPr>
          <w:rFonts w:ascii="Garamond" w:eastAsia="Times New Roman" w:hAnsi="Garamond" w:cs="Arial"/>
          <w:sz w:val="24"/>
          <w:szCs w:val="24"/>
        </w:rPr>
        <w:t>su</w:t>
      </w:r>
      <w:r w:rsidR="006D0543" w:rsidRPr="003A1174">
        <w:rPr>
          <w:rFonts w:ascii="Garamond" w:eastAsia="Times New Roman" w:hAnsi="Garamond" w:cs="Arial"/>
          <w:sz w:val="24"/>
          <w:szCs w:val="24"/>
        </w:rPr>
        <w:t>as autoridades e</w:t>
      </w:r>
      <w:r w:rsidRPr="003A1174">
        <w:rPr>
          <w:rFonts w:ascii="Garamond" w:eastAsia="Times New Roman" w:hAnsi="Garamond" w:cs="Arial"/>
          <w:sz w:val="24"/>
          <w:szCs w:val="24"/>
        </w:rPr>
        <w:t xml:space="preserve"> servidores</w:t>
      </w:r>
      <w:r w:rsidR="00780283">
        <w:rPr>
          <w:rFonts w:ascii="Garamond" w:eastAsia="Times New Roman" w:hAnsi="Garamond" w:cs="Arial"/>
          <w:sz w:val="24"/>
          <w:szCs w:val="24"/>
        </w:rPr>
        <w:t>,</w:t>
      </w:r>
      <w:r w:rsidRPr="003A1174">
        <w:rPr>
          <w:rFonts w:ascii="Garamond" w:eastAsia="Times New Roman" w:hAnsi="Garamond" w:cs="Arial"/>
          <w:sz w:val="24"/>
          <w:szCs w:val="24"/>
        </w:rPr>
        <w:t xml:space="preserve"> a</w:t>
      </w:r>
      <w:r w:rsidR="006D0543" w:rsidRPr="003A1174">
        <w:rPr>
          <w:rFonts w:ascii="Garamond" w:eastAsia="Times New Roman" w:hAnsi="Garamond" w:cs="Arial"/>
          <w:sz w:val="24"/>
          <w:szCs w:val="24"/>
        </w:rPr>
        <w:t>s</w:t>
      </w:r>
      <w:r w:rsidRPr="003A1174">
        <w:rPr>
          <w:rFonts w:ascii="Garamond" w:eastAsia="Times New Roman" w:hAnsi="Garamond" w:cs="Arial"/>
          <w:sz w:val="24"/>
          <w:szCs w:val="24"/>
        </w:rPr>
        <w:t>suma</w:t>
      </w:r>
      <w:r w:rsidR="006D0543" w:rsidRPr="003A1174">
        <w:rPr>
          <w:rFonts w:ascii="Garamond" w:eastAsia="Times New Roman" w:hAnsi="Garamond" w:cs="Arial"/>
          <w:sz w:val="24"/>
          <w:szCs w:val="24"/>
        </w:rPr>
        <w:t xml:space="preserve">m </w:t>
      </w:r>
      <w:r w:rsidRPr="003A1174">
        <w:rPr>
          <w:rFonts w:ascii="Garamond" w:eastAsia="Times New Roman" w:hAnsi="Garamond" w:cs="Arial"/>
          <w:sz w:val="24"/>
          <w:szCs w:val="24"/>
        </w:rPr>
        <w:t xml:space="preserve">a </w:t>
      </w:r>
      <w:r w:rsidR="00AF192F" w:rsidRPr="003A1174">
        <w:rPr>
          <w:rFonts w:ascii="Garamond" w:eastAsia="Times New Roman" w:hAnsi="Garamond" w:cs="Arial"/>
          <w:sz w:val="24"/>
          <w:szCs w:val="24"/>
        </w:rPr>
        <w:t>obrigação</w:t>
      </w:r>
      <w:r w:rsidRPr="003A1174">
        <w:rPr>
          <w:rFonts w:ascii="Garamond" w:eastAsia="Times New Roman" w:hAnsi="Garamond" w:cs="Arial"/>
          <w:sz w:val="24"/>
          <w:szCs w:val="24"/>
        </w:rPr>
        <w:t xml:space="preserve"> de </w:t>
      </w:r>
      <w:r w:rsidR="00D96FD0" w:rsidRPr="003A1174">
        <w:rPr>
          <w:rFonts w:ascii="Garamond" w:eastAsia="Times New Roman" w:hAnsi="Garamond" w:cs="Arial"/>
          <w:sz w:val="24"/>
          <w:szCs w:val="24"/>
        </w:rPr>
        <w:t>cumprimento</w:t>
      </w:r>
      <w:r w:rsidRPr="003A1174">
        <w:rPr>
          <w:rFonts w:ascii="Garamond" w:eastAsia="Times New Roman" w:hAnsi="Garamond" w:cs="Arial"/>
          <w:sz w:val="24"/>
          <w:szCs w:val="24"/>
        </w:rPr>
        <w:t xml:space="preserve"> de mandatos o</w:t>
      </w:r>
      <w:r w:rsidR="006D0543" w:rsidRPr="003A1174">
        <w:rPr>
          <w:rFonts w:ascii="Garamond" w:eastAsia="Times New Roman" w:hAnsi="Garamond" w:cs="Arial"/>
          <w:sz w:val="24"/>
          <w:szCs w:val="24"/>
        </w:rPr>
        <w:t>u</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princípio</w:t>
      </w:r>
      <w:r w:rsidRPr="003A1174">
        <w:rPr>
          <w:rFonts w:ascii="Garamond" w:eastAsia="Times New Roman" w:hAnsi="Garamond" w:cs="Arial"/>
          <w:sz w:val="24"/>
          <w:szCs w:val="24"/>
        </w:rPr>
        <w:t>s</w:t>
      </w:r>
      <w:r w:rsidR="00780283">
        <w:rPr>
          <w:rFonts w:ascii="Garamond" w:eastAsia="Times New Roman" w:hAnsi="Garamond" w:cs="Arial"/>
          <w:sz w:val="24"/>
          <w:szCs w:val="24"/>
        </w:rPr>
        <w:t>,</w:t>
      </w:r>
      <w:r w:rsidRPr="003A1174">
        <w:rPr>
          <w:rFonts w:ascii="Garamond" w:eastAsia="Times New Roman" w:hAnsi="Garamond" w:cs="Arial"/>
          <w:sz w:val="24"/>
          <w:szCs w:val="24"/>
        </w:rPr>
        <w:t xml:space="preserve"> internacionalmente </w:t>
      </w:r>
      <w:r w:rsidR="006D0543" w:rsidRPr="003A1174">
        <w:rPr>
          <w:rFonts w:ascii="Garamond" w:eastAsia="Times New Roman" w:hAnsi="Garamond" w:cs="Arial"/>
          <w:sz w:val="24"/>
          <w:szCs w:val="24"/>
        </w:rPr>
        <w:t>assumido</w:t>
      </w:r>
      <w:r w:rsidRPr="003A1174">
        <w:rPr>
          <w:rFonts w:ascii="Garamond" w:eastAsia="Times New Roman" w:hAnsi="Garamond" w:cs="Arial"/>
          <w:sz w:val="24"/>
          <w:szCs w:val="24"/>
        </w:rPr>
        <w:t xml:space="preserve">s, </w:t>
      </w:r>
      <w:r w:rsidR="006B4826" w:rsidRPr="003A1174">
        <w:rPr>
          <w:rFonts w:ascii="Garamond" w:eastAsia="Times New Roman" w:hAnsi="Garamond" w:cs="Arial"/>
          <w:sz w:val="24"/>
          <w:szCs w:val="24"/>
        </w:rPr>
        <w:t>ta</w:t>
      </w:r>
      <w:r w:rsidR="006D0543" w:rsidRPr="003A1174">
        <w:rPr>
          <w:rFonts w:ascii="Garamond" w:eastAsia="Times New Roman" w:hAnsi="Garamond" w:cs="Arial"/>
          <w:sz w:val="24"/>
          <w:szCs w:val="24"/>
        </w:rPr>
        <w:t>i</w:t>
      </w:r>
      <w:r w:rsidR="006B4826" w:rsidRPr="003A1174">
        <w:rPr>
          <w:rFonts w:ascii="Garamond" w:eastAsia="Times New Roman" w:hAnsi="Garamond" w:cs="Arial"/>
          <w:sz w:val="24"/>
          <w:szCs w:val="24"/>
        </w:rPr>
        <w:t>s como</w:t>
      </w:r>
      <w:r w:rsidR="00AD235E" w:rsidRPr="003A1174">
        <w:rPr>
          <w:rFonts w:ascii="Garamond" w:eastAsia="Times New Roman" w:hAnsi="Garamond" w:cs="Arial"/>
          <w:sz w:val="24"/>
          <w:szCs w:val="24"/>
        </w:rPr>
        <w:t xml:space="preserve"> a</w:t>
      </w:r>
      <w:r w:rsidR="006D0543" w:rsidRPr="003A1174">
        <w:rPr>
          <w:rFonts w:ascii="Garamond" w:eastAsia="Times New Roman" w:hAnsi="Garamond" w:cs="Arial"/>
          <w:sz w:val="24"/>
          <w:szCs w:val="24"/>
        </w:rPr>
        <w:t xml:space="preserve">gir </w:t>
      </w:r>
      <w:r w:rsidR="00AD235E" w:rsidRPr="003A1174">
        <w:rPr>
          <w:rFonts w:ascii="Garamond" w:eastAsia="Times New Roman" w:hAnsi="Garamond" w:cs="Arial"/>
          <w:sz w:val="24"/>
          <w:szCs w:val="24"/>
        </w:rPr>
        <w:t>co</w:t>
      </w:r>
      <w:r w:rsidR="006D0543" w:rsidRPr="003A1174">
        <w:rPr>
          <w:rFonts w:ascii="Garamond" w:eastAsia="Times New Roman" w:hAnsi="Garamond" w:cs="Arial"/>
          <w:sz w:val="24"/>
          <w:szCs w:val="24"/>
        </w:rPr>
        <w:t xml:space="preserve">m a </w:t>
      </w:r>
      <w:r w:rsidR="00CF4C35" w:rsidRPr="003A1174">
        <w:rPr>
          <w:rFonts w:ascii="Garamond" w:eastAsia="Times New Roman" w:hAnsi="Garamond" w:cs="Arial"/>
          <w:sz w:val="24"/>
          <w:szCs w:val="24"/>
        </w:rPr>
        <w:t xml:space="preserve">Diligência </w:t>
      </w:r>
      <w:r w:rsidR="00CF4C35" w:rsidRPr="003A1174">
        <w:rPr>
          <w:rFonts w:ascii="Garamond" w:eastAsia="Times New Roman" w:hAnsi="Garamond" w:cs="Arial"/>
          <w:sz w:val="24"/>
          <w:szCs w:val="24"/>
        </w:rPr>
        <w:lastRenderedPageBreak/>
        <w:t>Devida</w:t>
      </w:r>
      <w:r w:rsidR="006D0543" w:rsidRPr="003A1174">
        <w:rPr>
          <w:rFonts w:ascii="Garamond" w:eastAsia="Times New Roman" w:hAnsi="Garamond" w:cs="Arial"/>
          <w:sz w:val="24"/>
          <w:szCs w:val="24"/>
        </w:rPr>
        <w:t xml:space="preserve"> e</w:t>
      </w:r>
      <w:r w:rsidRPr="003A1174">
        <w:rPr>
          <w:rFonts w:ascii="Garamond" w:eastAsia="Times New Roman" w:hAnsi="Garamond" w:cs="Arial"/>
          <w:sz w:val="24"/>
          <w:szCs w:val="24"/>
        </w:rPr>
        <w:t xml:space="preserve"> </w:t>
      </w:r>
      <w:r w:rsidR="00AF192F" w:rsidRPr="003A1174">
        <w:rPr>
          <w:rFonts w:ascii="Garamond" w:eastAsia="Times New Roman" w:hAnsi="Garamond" w:cs="Arial"/>
          <w:sz w:val="24"/>
          <w:szCs w:val="24"/>
        </w:rPr>
        <w:t>garantir</w:t>
      </w:r>
      <w:r w:rsidR="00AD235E"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 xml:space="preserve">o </w:t>
      </w:r>
      <w:r w:rsidR="00886D6A" w:rsidRPr="003A1174">
        <w:rPr>
          <w:rFonts w:ascii="Garamond" w:eastAsia="Times New Roman" w:hAnsi="Garamond" w:cs="Arial"/>
          <w:sz w:val="24"/>
          <w:szCs w:val="24"/>
        </w:rPr>
        <w:t>acesso</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 xml:space="preserve">à </w:t>
      </w:r>
      <w:r w:rsidR="00FC1F7F" w:rsidRPr="003A1174">
        <w:rPr>
          <w:rFonts w:ascii="Garamond" w:eastAsia="Times New Roman" w:hAnsi="Garamond" w:cs="Arial"/>
          <w:sz w:val="24"/>
          <w:szCs w:val="24"/>
        </w:rPr>
        <w:t>justiça</w:t>
      </w:r>
      <w:r w:rsidR="00AD235E" w:rsidRPr="003A1174">
        <w:rPr>
          <w:rFonts w:ascii="Garamond" w:eastAsia="Times New Roman" w:hAnsi="Garamond" w:cs="Arial"/>
          <w:sz w:val="24"/>
          <w:szCs w:val="24"/>
        </w:rPr>
        <w:t xml:space="preserve"> co</w:t>
      </w:r>
      <w:r w:rsidR="006D0543" w:rsidRPr="003A1174">
        <w:rPr>
          <w:rFonts w:ascii="Garamond" w:eastAsia="Times New Roman" w:hAnsi="Garamond" w:cs="Arial"/>
          <w:sz w:val="24"/>
          <w:szCs w:val="24"/>
        </w:rPr>
        <w:t xml:space="preserve">m o fim </w:t>
      </w:r>
      <w:r w:rsidR="00AD235E" w:rsidRPr="003A1174">
        <w:rPr>
          <w:rFonts w:ascii="Garamond" w:eastAsia="Times New Roman" w:hAnsi="Garamond" w:cs="Arial"/>
          <w:sz w:val="24"/>
          <w:szCs w:val="24"/>
        </w:rPr>
        <w:t xml:space="preserve">de </w:t>
      </w:r>
      <w:r w:rsidR="006D0543" w:rsidRPr="003A1174">
        <w:rPr>
          <w:rFonts w:ascii="Garamond" w:hAnsi="Garamond" w:cs="Arial"/>
          <w:sz w:val="24"/>
          <w:szCs w:val="24"/>
        </w:rPr>
        <w:t xml:space="preserve">prevenir, investigar e </w:t>
      </w:r>
      <w:r w:rsidR="008069E0" w:rsidRPr="003A1174">
        <w:rPr>
          <w:rFonts w:ascii="Garamond" w:hAnsi="Garamond" w:cs="Arial"/>
          <w:sz w:val="24"/>
          <w:szCs w:val="24"/>
        </w:rPr>
        <w:t>p</w:t>
      </w:r>
      <w:r w:rsidR="003F493C" w:rsidRPr="003A1174">
        <w:rPr>
          <w:rFonts w:ascii="Garamond" w:hAnsi="Garamond" w:cs="Arial"/>
          <w:sz w:val="24"/>
          <w:szCs w:val="24"/>
        </w:rPr>
        <w:t>unir</w:t>
      </w:r>
      <w:r w:rsidR="006D0543" w:rsidRPr="003A1174">
        <w:rPr>
          <w:rFonts w:ascii="Garamond" w:hAnsi="Garamond" w:cs="Arial"/>
          <w:sz w:val="24"/>
          <w:szCs w:val="24"/>
        </w:rPr>
        <w:t xml:space="preserve"> </w:t>
      </w:r>
      <w:r w:rsidR="00AD235E" w:rsidRPr="003A1174">
        <w:rPr>
          <w:rFonts w:ascii="Garamond" w:hAnsi="Garamond" w:cs="Arial"/>
          <w:sz w:val="24"/>
          <w:szCs w:val="24"/>
        </w:rPr>
        <w:t xml:space="preserve">a </w:t>
      </w:r>
      <w:r w:rsidR="000350B1" w:rsidRPr="003A1174">
        <w:rPr>
          <w:rFonts w:ascii="Garamond" w:hAnsi="Garamond" w:cs="Arial"/>
          <w:sz w:val="24"/>
          <w:szCs w:val="24"/>
        </w:rPr>
        <w:t>violência</w:t>
      </w:r>
      <w:r w:rsidR="006D0543" w:rsidRPr="003A1174">
        <w:rPr>
          <w:rFonts w:ascii="Garamond" w:hAnsi="Garamond" w:cs="Arial"/>
          <w:sz w:val="24"/>
          <w:szCs w:val="24"/>
        </w:rPr>
        <w:t xml:space="preserve"> contra </w:t>
      </w:r>
      <w:r w:rsidR="00AD235E" w:rsidRPr="003A1174">
        <w:rPr>
          <w:rFonts w:ascii="Garamond" w:hAnsi="Garamond" w:cs="Arial"/>
          <w:sz w:val="24"/>
          <w:szCs w:val="24"/>
        </w:rPr>
        <w:t xml:space="preserve">a </w:t>
      </w:r>
      <w:r w:rsidR="00AF192F" w:rsidRPr="003A1174">
        <w:rPr>
          <w:rFonts w:ascii="Garamond" w:hAnsi="Garamond" w:cs="Arial"/>
          <w:sz w:val="24"/>
          <w:szCs w:val="24"/>
        </w:rPr>
        <w:t>mulher</w:t>
      </w:r>
      <w:r w:rsidR="00AD235E" w:rsidRPr="003A1174">
        <w:rPr>
          <w:rFonts w:ascii="Garamond" w:hAnsi="Garamond" w:cs="Arial"/>
          <w:sz w:val="24"/>
          <w:szCs w:val="24"/>
        </w:rPr>
        <w:t>. T</w:t>
      </w:r>
      <w:r w:rsidR="00C65DD5" w:rsidRPr="003A1174">
        <w:rPr>
          <w:rFonts w:ascii="Garamond" w:hAnsi="Garamond" w:cs="Arial"/>
          <w:sz w:val="24"/>
          <w:szCs w:val="24"/>
        </w:rPr>
        <w:t xml:space="preserve">udo isto no </w:t>
      </w:r>
      <w:r w:rsidR="00253B1D" w:rsidRPr="003A1174">
        <w:rPr>
          <w:rFonts w:ascii="Garamond" w:eastAsia="Times New Roman" w:hAnsi="Garamond" w:cs="Arial"/>
          <w:sz w:val="24"/>
          <w:szCs w:val="24"/>
        </w:rPr>
        <w:t>quadro</w:t>
      </w:r>
      <w:r w:rsidRPr="003A1174">
        <w:rPr>
          <w:rFonts w:ascii="Garamond" w:eastAsia="Times New Roman" w:hAnsi="Garamond" w:cs="Arial"/>
          <w:sz w:val="24"/>
          <w:szCs w:val="24"/>
        </w:rPr>
        <w:t xml:space="preserve"> de </w:t>
      </w:r>
      <w:r w:rsidR="00253B1D" w:rsidRPr="003A1174">
        <w:rPr>
          <w:rFonts w:ascii="Garamond" w:eastAsia="Times New Roman" w:hAnsi="Garamond" w:cs="Arial"/>
          <w:sz w:val="24"/>
          <w:szCs w:val="24"/>
        </w:rPr>
        <w:t>controlo</w:t>
      </w:r>
      <w:r w:rsidRPr="003A1174">
        <w:rPr>
          <w:rFonts w:ascii="Garamond" w:eastAsia="Times New Roman" w:hAnsi="Garamond" w:cs="Arial"/>
          <w:sz w:val="24"/>
          <w:szCs w:val="24"/>
        </w:rPr>
        <w:t xml:space="preserve"> de convencionalidad</w:t>
      </w:r>
      <w:r w:rsidR="00A523BE" w:rsidRPr="003A1174">
        <w:rPr>
          <w:rFonts w:ascii="Garamond" w:eastAsia="Times New Roman" w:hAnsi="Garamond" w:cs="Arial"/>
          <w:sz w:val="24"/>
          <w:szCs w:val="24"/>
        </w:rPr>
        <w:t>e</w:t>
      </w:r>
      <w:r w:rsidRPr="003A1174">
        <w:rPr>
          <w:rFonts w:ascii="Garamond" w:eastAsia="Times New Roman" w:hAnsi="Garamond" w:cs="Arial"/>
          <w:sz w:val="24"/>
          <w:szCs w:val="24"/>
        </w:rPr>
        <w:t xml:space="preserve">, </w:t>
      </w:r>
      <w:r w:rsidR="00AF192F" w:rsidRPr="003A1174">
        <w:rPr>
          <w:rFonts w:ascii="Garamond" w:eastAsia="Times New Roman" w:hAnsi="Garamond" w:cs="Arial"/>
          <w:sz w:val="24"/>
          <w:szCs w:val="24"/>
        </w:rPr>
        <w:t>conceito</w:t>
      </w:r>
      <w:r w:rsidRPr="003A1174">
        <w:rPr>
          <w:rFonts w:ascii="Garamond" w:eastAsia="Times New Roman" w:hAnsi="Garamond" w:cs="Arial"/>
          <w:sz w:val="24"/>
          <w:szCs w:val="24"/>
        </w:rPr>
        <w:t xml:space="preserve">s </w:t>
      </w:r>
      <w:r w:rsidR="00A523BE" w:rsidRPr="003A1174">
        <w:rPr>
          <w:rFonts w:ascii="Garamond" w:eastAsia="Times New Roman" w:hAnsi="Garamond" w:cs="Arial"/>
          <w:sz w:val="24"/>
          <w:szCs w:val="24"/>
        </w:rPr>
        <w:t>em que</w:t>
      </w:r>
      <w:r w:rsidR="00963D01" w:rsidRPr="003A1174">
        <w:rPr>
          <w:rFonts w:ascii="Garamond" w:eastAsia="Times New Roman" w:hAnsi="Garamond" w:cs="Arial"/>
          <w:sz w:val="24"/>
          <w:szCs w:val="24"/>
        </w:rPr>
        <w:t xml:space="preserve"> nos vamos </w:t>
      </w:r>
      <w:r w:rsidRPr="003A1174">
        <w:rPr>
          <w:rFonts w:ascii="Garamond" w:eastAsia="Times New Roman" w:hAnsi="Garamond" w:cs="Arial"/>
          <w:sz w:val="24"/>
          <w:szCs w:val="24"/>
        </w:rPr>
        <w:t>dete</w:t>
      </w:r>
      <w:r w:rsidR="00A523BE" w:rsidRPr="003A1174">
        <w:rPr>
          <w:rFonts w:ascii="Garamond" w:eastAsia="Times New Roman" w:hAnsi="Garamond" w:cs="Arial"/>
          <w:sz w:val="24"/>
          <w:szCs w:val="24"/>
        </w:rPr>
        <w:t>r</w:t>
      </w:r>
      <w:r w:rsidR="00780283">
        <w:rPr>
          <w:rFonts w:ascii="Garamond" w:eastAsia="Times New Roman" w:hAnsi="Garamond" w:cs="Arial"/>
          <w:sz w:val="24"/>
          <w:szCs w:val="24"/>
        </w:rPr>
        <w:t>,</w:t>
      </w:r>
      <w:r w:rsidR="00A523BE" w:rsidRPr="003A1174">
        <w:rPr>
          <w:rFonts w:ascii="Garamond" w:eastAsia="Times New Roman" w:hAnsi="Garamond" w:cs="Arial"/>
          <w:sz w:val="24"/>
          <w:szCs w:val="24"/>
        </w:rPr>
        <w:t xml:space="preserve"> </w:t>
      </w:r>
      <w:r w:rsidR="00780283">
        <w:rPr>
          <w:rFonts w:ascii="Garamond" w:eastAsia="Times New Roman" w:hAnsi="Garamond" w:cs="Arial"/>
          <w:sz w:val="24"/>
          <w:szCs w:val="24"/>
        </w:rPr>
        <w:t xml:space="preserve">resumidamente, </w:t>
      </w:r>
      <w:r w:rsidRPr="003A1174">
        <w:rPr>
          <w:rFonts w:ascii="Garamond" w:eastAsia="Times New Roman" w:hAnsi="Garamond" w:cs="Arial"/>
          <w:sz w:val="24"/>
          <w:szCs w:val="24"/>
        </w:rPr>
        <w:t xml:space="preserve">antes de </w:t>
      </w:r>
      <w:r w:rsidR="00C65DD5" w:rsidRPr="003A1174">
        <w:rPr>
          <w:rFonts w:ascii="Garamond" w:eastAsia="Times New Roman" w:hAnsi="Garamond" w:cs="Arial"/>
          <w:sz w:val="24"/>
          <w:szCs w:val="24"/>
        </w:rPr>
        <w:t xml:space="preserve">começarmos </w:t>
      </w:r>
      <w:r w:rsidRPr="003A1174">
        <w:rPr>
          <w:rFonts w:ascii="Garamond" w:eastAsia="Times New Roman" w:hAnsi="Garamond" w:cs="Arial"/>
          <w:sz w:val="24"/>
          <w:szCs w:val="24"/>
        </w:rPr>
        <w:t xml:space="preserve">a </w:t>
      </w:r>
      <w:r w:rsidR="00C65DD5" w:rsidRPr="003A1174">
        <w:rPr>
          <w:rFonts w:ascii="Garamond" w:eastAsia="Times New Roman" w:hAnsi="Garamond" w:cs="Arial"/>
          <w:sz w:val="24"/>
          <w:szCs w:val="24"/>
        </w:rPr>
        <w:t>analisar</w:t>
      </w:r>
      <w:r w:rsidRPr="003A1174">
        <w:rPr>
          <w:rFonts w:ascii="Garamond" w:eastAsia="Times New Roman" w:hAnsi="Garamond" w:cs="Arial"/>
          <w:sz w:val="24"/>
          <w:szCs w:val="24"/>
        </w:rPr>
        <w:t xml:space="preserve"> </w:t>
      </w:r>
      <w:r w:rsidR="00AD235E" w:rsidRPr="003A1174">
        <w:rPr>
          <w:rFonts w:ascii="Garamond" w:eastAsia="Times New Roman" w:hAnsi="Garamond" w:cs="Arial"/>
          <w:sz w:val="24"/>
          <w:szCs w:val="24"/>
        </w:rPr>
        <w:t xml:space="preserve">as </w:t>
      </w:r>
      <w:r w:rsidR="0017447A" w:rsidRPr="003A1174">
        <w:rPr>
          <w:rFonts w:ascii="Garamond" w:eastAsia="Times New Roman" w:hAnsi="Garamond" w:cs="Arial"/>
          <w:sz w:val="24"/>
          <w:szCs w:val="24"/>
        </w:rPr>
        <w:t>experiência</w:t>
      </w:r>
      <w:r w:rsidR="00AD235E" w:rsidRPr="003A1174">
        <w:rPr>
          <w:rFonts w:ascii="Garamond" w:eastAsia="Times New Roman" w:hAnsi="Garamond" w:cs="Arial"/>
          <w:sz w:val="24"/>
          <w:szCs w:val="24"/>
        </w:rPr>
        <w:t>s</w:t>
      </w:r>
      <w:r w:rsidRPr="003A1174">
        <w:rPr>
          <w:rFonts w:ascii="Garamond" w:eastAsia="Times New Roman" w:hAnsi="Garamond" w:cs="Arial"/>
          <w:sz w:val="24"/>
          <w:szCs w:val="24"/>
        </w:rPr>
        <w:t xml:space="preserve"> referidas p</w:t>
      </w:r>
      <w:r w:rsidR="00C65DD5" w:rsidRPr="003A1174">
        <w:rPr>
          <w:rFonts w:ascii="Garamond" w:eastAsia="Times New Roman" w:hAnsi="Garamond" w:cs="Arial"/>
          <w:sz w:val="24"/>
          <w:szCs w:val="24"/>
        </w:rPr>
        <w:t>e</w:t>
      </w:r>
      <w:r w:rsidRPr="003A1174">
        <w:rPr>
          <w:rFonts w:ascii="Garamond" w:eastAsia="Times New Roman" w:hAnsi="Garamond" w:cs="Arial"/>
          <w:sz w:val="24"/>
          <w:szCs w:val="24"/>
        </w:rPr>
        <w:t>los países representantes da FIO</w:t>
      </w:r>
      <w:r w:rsidR="00780283">
        <w:rPr>
          <w:rFonts w:ascii="Garamond" w:eastAsia="Times New Roman" w:hAnsi="Garamond" w:cs="Arial"/>
          <w:sz w:val="24"/>
          <w:szCs w:val="24"/>
        </w:rPr>
        <w:t>,</w:t>
      </w:r>
      <w:r w:rsidRPr="003A1174">
        <w:rPr>
          <w:rFonts w:ascii="Garamond" w:eastAsia="Times New Roman" w:hAnsi="Garamond" w:cs="Arial"/>
          <w:sz w:val="24"/>
          <w:szCs w:val="24"/>
        </w:rPr>
        <w:t xml:space="preserve"> re</w:t>
      </w:r>
      <w:r w:rsidR="00A523BE" w:rsidRPr="003A1174">
        <w:rPr>
          <w:rFonts w:ascii="Garamond" w:eastAsia="Times New Roman" w:hAnsi="Garamond" w:cs="Arial"/>
          <w:sz w:val="24"/>
          <w:szCs w:val="24"/>
        </w:rPr>
        <w:t xml:space="preserve">lativamente ao </w:t>
      </w:r>
      <w:r w:rsidR="00D96FD0" w:rsidRPr="003A1174">
        <w:rPr>
          <w:rFonts w:ascii="Garamond" w:eastAsia="Times New Roman" w:hAnsi="Garamond" w:cs="Arial"/>
          <w:sz w:val="24"/>
          <w:szCs w:val="24"/>
        </w:rPr>
        <w:t>cumprimento</w:t>
      </w:r>
      <w:r w:rsidR="00A523BE" w:rsidRPr="003A1174">
        <w:rPr>
          <w:rFonts w:ascii="Garamond" w:eastAsia="Times New Roman" w:hAnsi="Garamond" w:cs="Arial"/>
          <w:sz w:val="24"/>
          <w:szCs w:val="24"/>
        </w:rPr>
        <w:t xml:space="preserve"> d</w:t>
      </w:r>
      <w:r w:rsidR="007407BD" w:rsidRPr="003A1174">
        <w:rPr>
          <w:rFonts w:ascii="Garamond" w:eastAsia="Times New Roman" w:hAnsi="Garamond" w:cs="Arial"/>
          <w:sz w:val="24"/>
          <w:szCs w:val="24"/>
        </w:rPr>
        <w:t>estes</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princípio</w:t>
      </w:r>
      <w:r w:rsidRPr="003A1174">
        <w:rPr>
          <w:rFonts w:ascii="Garamond" w:eastAsia="Times New Roman" w:hAnsi="Garamond" w:cs="Arial"/>
          <w:sz w:val="24"/>
          <w:szCs w:val="24"/>
        </w:rPr>
        <w:t>s.</w:t>
      </w:r>
    </w:p>
    <w:p w:rsidR="00A132B3" w:rsidRPr="003A1174" w:rsidRDefault="00A523BE" w:rsidP="008069E0">
      <w:pPr>
        <w:pStyle w:val="Ttulo2"/>
        <w:numPr>
          <w:ilvl w:val="1"/>
          <w:numId w:val="49"/>
        </w:numPr>
        <w:jc w:val="both"/>
        <w:rPr>
          <w:rFonts w:ascii="Garamond" w:hAnsi="Garamond"/>
          <w:sz w:val="24"/>
          <w:szCs w:val="24"/>
        </w:rPr>
      </w:pPr>
      <w:bookmarkStart w:id="7" w:name="_Toc421529695"/>
      <w:r w:rsidRPr="003A1174">
        <w:rPr>
          <w:rFonts w:ascii="Garamond" w:hAnsi="Garamond"/>
          <w:sz w:val="24"/>
          <w:szCs w:val="24"/>
        </w:rPr>
        <w:t xml:space="preserve">A </w:t>
      </w:r>
      <w:r w:rsidR="00CF4C35" w:rsidRPr="003A1174">
        <w:rPr>
          <w:rFonts w:ascii="Garamond" w:hAnsi="Garamond"/>
          <w:sz w:val="24"/>
          <w:szCs w:val="24"/>
        </w:rPr>
        <w:t>Diligência Devida</w:t>
      </w:r>
      <w:r w:rsidR="00A132B3" w:rsidRPr="003A1174">
        <w:rPr>
          <w:rFonts w:ascii="Garamond" w:hAnsi="Garamond"/>
          <w:sz w:val="24"/>
          <w:szCs w:val="24"/>
        </w:rPr>
        <w:t xml:space="preserve"> como </w:t>
      </w:r>
      <w:r w:rsidR="00AF192F" w:rsidRPr="003A1174">
        <w:rPr>
          <w:rFonts w:ascii="Garamond" w:hAnsi="Garamond"/>
          <w:sz w:val="24"/>
          <w:szCs w:val="24"/>
        </w:rPr>
        <w:t>dever</w:t>
      </w:r>
      <w:r w:rsidR="00A132B3" w:rsidRPr="003A1174">
        <w:rPr>
          <w:rFonts w:ascii="Garamond" w:hAnsi="Garamond"/>
          <w:sz w:val="24"/>
          <w:szCs w:val="24"/>
        </w:rPr>
        <w:t xml:space="preserve"> d</w:t>
      </w:r>
      <w:r w:rsidRPr="003A1174">
        <w:rPr>
          <w:rFonts w:ascii="Garamond" w:hAnsi="Garamond"/>
          <w:sz w:val="24"/>
          <w:szCs w:val="24"/>
        </w:rPr>
        <w:t>o</w:t>
      </w:r>
      <w:r w:rsidR="00A132B3" w:rsidRPr="003A1174">
        <w:rPr>
          <w:rFonts w:ascii="Garamond" w:hAnsi="Garamond"/>
          <w:sz w:val="24"/>
          <w:szCs w:val="24"/>
        </w:rPr>
        <w:t xml:space="preserve"> Estado </w:t>
      </w:r>
      <w:r w:rsidRPr="003A1174">
        <w:rPr>
          <w:rFonts w:ascii="Garamond" w:hAnsi="Garamond"/>
          <w:sz w:val="24"/>
          <w:szCs w:val="24"/>
        </w:rPr>
        <w:t xml:space="preserve">no que se </w:t>
      </w:r>
      <w:r w:rsidR="00D96FD0" w:rsidRPr="003A1174">
        <w:rPr>
          <w:rFonts w:ascii="Garamond" w:hAnsi="Garamond"/>
          <w:sz w:val="24"/>
          <w:szCs w:val="24"/>
        </w:rPr>
        <w:t>refere</w:t>
      </w:r>
      <w:r w:rsidR="00A132B3" w:rsidRPr="003A1174">
        <w:rPr>
          <w:rFonts w:ascii="Garamond" w:hAnsi="Garamond"/>
          <w:sz w:val="24"/>
          <w:szCs w:val="24"/>
        </w:rPr>
        <w:t xml:space="preserve"> a </w:t>
      </w:r>
      <w:r w:rsidR="00AF192F" w:rsidRPr="003A1174">
        <w:rPr>
          <w:rFonts w:ascii="Garamond" w:hAnsi="Garamond"/>
          <w:sz w:val="24"/>
          <w:szCs w:val="24"/>
        </w:rPr>
        <w:t>garantir</w:t>
      </w:r>
      <w:r w:rsidR="00A132B3" w:rsidRPr="003A1174">
        <w:rPr>
          <w:rFonts w:ascii="Garamond" w:hAnsi="Garamond"/>
          <w:sz w:val="24"/>
          <w:szCs w:val="24"/>
        </w:rPr>
        <w:t xml:space="preserve"> </w:t>
      </w:r>
      <w:r w:rsidRPr="003A1174">
        <w:rPr>
          <w:rFonts w:ascii="Garamond" w:hAnsi="Garamond"/>
          <w:sz w:val="24"/>
          <w:szCs w:val="24"/>
        </w:rPr>
        <w:t>o</w:t>
      </w:r>
      <w:r w:rsidR="00A132B3" w:rsidRPr="003A1174">
        <w:rPr>
          <w:rFonts w:ascii="Garamond" w:hAnsi="Garamond"/>
          <w:sz w:val="24"/>
          <w:szCs w:val="24"/>
        </w:rPr>
        <w:t xml:space="preserve"> </w:t>
      </w:r>
      <w:r w:rsidR="00886D6A" w:rsidRPr="003A1174">
        <w:rPr>
          <w:rFonts w:ascii="Garamond" w:hAnsi="Garamond"/>
          <w:sz w:val="24"/>
          <w:szCs w:val="24"/>
        </w:rPr>
        <w:t>direito</w:t>
      </w:r>
      <w:r w:rsidRPr="003A1174">
        <w:rPr>
          <w:rFonts w:ascii="Garamond" w:hAnsi="Garamond"/>
          <w:sz w:val="24"/>
          <w:szCs w:val="24"/>
        </w:rPr>
        <w:t xml:space="preserve"> d</w:t>
      </w:r>
      <w:r w:rsidR="00A132B3" w:rsidRPr="003A1174">
        <w:rPr>
          <w:rFonts w:ascii="Garamond" w:hAnsi="Garamond"/>
          <w:sz w:val="24"/>
          <w:szCs w:val="24"/>
        </w:rPr>
        <w:t xml:space="preserve">as </w:t>
      </w:r>
      <w:r w:rsidR="00054EE0" w:rsidRPr="003A1174">
        <w:rPr>
          <w:rFonts w:ascii="Garamond" w:hAnsi="Garamond"/>
          <w:sz w:val="24"/>
          <w:szCs w:val="24"/>
        </w:rPr>
        <w:t>mulheres</w:t>
      </w:r>
      <w:r w:rsidRPr="003A1174">
        <w:rPr>
          <w:rFonts w:ascii="Garamond" w:hAnsi="Garamond"/>
          <w:sz w:val="24"/>
          <w:szCs w:val="24"/>
        </w:rPr>
        <w:t xml:space="preserve"> a um</w:t>
      </w:r>
      <w:r w:rsidR="00A132B3" w:rsidRPr="003A1174">
        <w:rPr>
          <w:rFonts w:ascii="Garamond" w:hAnsi="Garamond"/>
          <w:sz w:val="24"/>
          <w:szCs w:val="24"/>
        </w:rPr>
        <w:t xml:space="preserve">a vida </w:t>
      </w:r>
      <w:r w:rsidR="00AF192F" w:rsidRPr="003A1174">
        <w:rPr>
          <w:rFonts w:ascii="Garamond" w:hAnsi="Garamond"/>
          <w:sz w:val="24"/>
          <w:szCs w:val="24"/>
        </w:rPr>
        <w:t>livre</w:t>
      </w:r>
      <w:r w:rsidR="00A132B3" w:rsidRPr="003A1174">
        <w:rPr>
          <w:rFonts w:ascii="Garamond" w:hAnsi="Garamond"/>
          <w:sz w:val="24"/>
          <w:szCs w:val="24"/>
        </w:rPr>
        <w:t xml:space="preserve"> de </w:t>
      </w:r>
      <w:r w:rsidR="000350B1" w:rsidRPr="003A1174">
        <w:rPr>
          <w:rFonts w:ascii="Garamond" w:hAnsi="Garamond"/>
          <w:sz w:val="24"/>
          <w:szCs w:val="24"/>
        </w:rPr>
        <w:t>violência</w:t>
      </w:r>
      <w:r w:rsidR="000239B3" w:rsidRPr="003A1174">
        <w:rPr>
          <w:rFonts w:ascii="Garamond" w:hAnsi="Garamond"/>
          <w:sz w:val="24"/>
          <w:szCs w:val="24"/>
        </w:rPr>
        <w:t>.</w:t>
      </w:r>
      <w:bookmarkEnd w:id="7"/>
    </w:p>
    <w:p w:rsidR="00A132B3" w:rsidRPr="003A1174" w:rsidRDefault="00A132B3" w:rsidP="008719D4">
      <w:pPr>
        <w:pStyle w:val="NormalWeb"/>
        <w:spacing w:before="90" w:beforeAutospacing="0" w:after="45"/>
        <w:ind w:right="75"/>
        <w:jc w:val="both"/>
        <w:rPr>
          <w:rFonts w:ascii="Garamond" w:hAnsi="Garamond" w:cs="Arial"/>
          <w:lang w:val="pt-PT"/>
        </w:rPr>
      </w:pPr>
      <w:r w:rsidRPr="003A1174">
        <w:rPr>
          <w:rFonts w:ascii="Garamond" w:hAnsi="Garamond" w:cs="Arial"/>
          <w:lang w:val="pt-PT"/>
        </w:rPr>
        <w:t>Este tema c</w:t>
      </w:r>
      <w:r w:rsidR="00A523BE" w:rsidRPr="003A1174">
        <w:rPr>
          <w:rFonts w:ascii="Garamond" w:hAnsi="Garamond" w:cs="Arial"/>
          <w:lang w:val="pt-PT"/>
        </w:rPr>
        <w:t>have adquiriu</w:t>
      </w:r>
      <w:r w:rsidRPr="003A1174">
        <w:rPr>
          <w:rFonts w:ascii="Garamond" w:hAnsi="Garamond" w:cs="Arial"/>
          <w:lang w:val="pt-PT"/>
        </w:rPr>
        <w:t xml:space="preserve"> </w:t>
      </w:r>
      <w:r w:rsidR="00780283">
        <w:rPr>
          <w:rFonts w:ascii="Garamond" w:hAnsi="Garamond" w:cs="Arial"/>
          <w:lang w:val="pt-PT"/>
        </w:rPr>
        <w:t xml:space="preserve">notoriedade </w:t>
      </w:r>
      <w:r w:rsidR="00A523BE" w:rsidRPr="003A1174">
        <w:rPr>
          <w:rFonts w:ascii="Garamond" w:hAnsi="Garamond" w:cs="Arial"/>
          <w:lang w:val="pt-PT"/>
        </w:rPr>
        <w:t>relevante</w:t>
      </w:r>
      <w:r w:rsidR="00780283">
        <w:rPr>
          <w:rFonts w:ascii="Garamond" w:hAnsi="Garamond" w:cs="Arial"/>
          <w:lang w:val="pt-PT"/>
        </w:rPr>
        <w:t>,</w:t>
      </w:r>
      <w:r w:rsidR="00A523BE" w:rsidRPr="003A1174">
        <w:rPr>
          <w:rFonts w:ascii="Garamond" w:hAnsi="Garamond" w:cs="Arial"/>
          <w:lang w:val="pt-PT"/>
        </w:rPr>
        <w:t xml:space="preserve"> a</w:t>
      </w:r>
      <w:r w:rsidR="00120915" w:rsidRPr="003A1174">
        <w:rPr>
          <w:rFonts w:ascii="Garamond" w:hAnsi="Garamond" w:cs="Arial"/>
          <w:lang w:val="pt-PT"/>
        </w:rPr>
        <w:t xml:space="preserve">quando </w:t>
      </w:r>
      <w:r w:rsidR="00A523BE" w:rsidRPr="003A1174">
        <w:rPr>
          <w:rFonts w:ascii="Garamond" w:hAnsi="Garamond" w:cs="Arial"/>
          <w:lang w:val="pt-PT"/>
        </w:rPr>
        <w:t>d</w:t>
      </w:r>
      <w:r w:rsidRPr="003A1174">
        <w:rPr>
          <w:rFonts w:ascii="Garamond" w:hAnsi="Garamond" w:cs="Arial"/>
          <w:lang w:val="pt-PT"/>
        </w:rPr>
        <w:t xml:space="preserve">a </w:t>
      </w:r>
      <w:r w:rsidR="004C1496" w:rsidRPr="003A1174">
        <w:rPr>
          <w:rFonts w:ascii="Garamond" w:hAnsi="Garamond" w:cs="Arial"/>
          <w:lang w:val="pt-PT"/>
        </w:rPr>
        <w:t>primeira</w:t>
      </w:r>
      <w:r w:rsidRPr="003A1174">
        <w:rPr>
          <w:rFonts w:ascii="Garamond" w:hAnsi="Garamond" w:cs="Arial"/>
          <w:lang w:val="pt-PT"/>
        </w:rPr>
        <w:t xml:space="preserve"> </w:t>
      </w:r>
      <w:r w:rsidR="00FC1F7F" w:rsidRPr="003A1174">
        <w:rPr>
          <w:rFonts w:ascii="Garamond" w:hAnsi="Garamond" w:cs="Arial"/>
          <w:lang w:val="pt-PT"/>
        </w:rPr>
        <w:t>sentença</w:t>
      </w:r>
      <w:r w:rsidR="00120915" w:rsidRPr="003A1174">
        <w:rPr>
          <w:rFonts w:ascii="Garamond" w:hAnsi="Garamond" w:cs="Arial"/>
          <w:lang w:val="pt-PT"/>
        </w:rPr>
        <w:t xml:space="preserve"> de fu</w:t>
      </w:r>
      <w:r w:rsidRPr="003A1174">
        <w:rPr>
          <w:rFonts w:ascii="Garamond" w:hAnsi="Garamond" w:cs="Arial"/>
          <w:lang w:val="pt-PT"/>
        </w:rPr>
        <w:t>ndo d</w:t>
      </w:r>
      <w:r w:rsidR="00780283">
        <w:rPr>
          <w:rFonts w:ascii="Garamond" w:hAnsi="Garamond" w:cs="Arial"/>
          <w:lang w:val="pt-PT"/>
        </w:rPr>
        <w:t>do Tribunal</w:t>
      </w:r>
      <w:r w:rsidR="002A7FDD" w:rsidRPr="003A1174">
        <w:rPr>
          <w:rFonts w:ascii="Garamond" w:hAnsi="Garamond" w:cs="Arial"/>
          <w:lang w:val="pt-PT"/>
        </w:rPr>
        <w:t xml:space="preserve"> </w:t>
      </w:r>
      <w:r w:rsidRPr="003A1174">
        <w:rPr>
          <w:rFonts w:ascii="Garamond" w:hAnsi="Garamond" w:cs="Arial"/>
          <w:lang w:val="pt-PT"/>
        </w:rPr>
        <w:t>Interamerican</w:t>
      </w:r>
      <w:r w:rsidR="00780283">
        <w:rPr>
          <w:rFonts w:ascii="Garamond" w:hAnsi="Garamond" w:cs="Arial"/>
          <w:lang w:val="pt-PT"/>
        </w:rPr>
        <w:t>o</w:t>
      </w:r>
      <w:r w:rsidRPr="003A1174">
        <w:rPr>
          <w:rFonts w:ascii="Garamond" w:hAnsi="Garamond" w:cs="Arial"/>
          <w:lang w:val="pt-PT"/>
        </w:rPr>
        <w:t xml:space="preserve"> de </w:t>
      </w:r>
      <w:r w:rsidR="00886D6A" w:rsidRPr="003A1174">
        <w:rPr>
          <w:rFonts w:ascii="Garamond" w:hAnsi="Garamond" w:cs="Arial"/>
          <w:lang w:val="pt-PT"/>
        </w:rPr>
        <w:t>Direito</w:t>
      </w:r>
      <w:r w:rsidRPr="003A1174">
        <w:rPr>
          <w:rFonts w:ascii="Garamond" w:hAnsi="Garamond" w:cs="Arial"/>
          <w:lang w:val="pt-PT"/>
        </w:rPr>
        <w:t xml:space="preserve">s Humanos </w:t>
      </w:r>
      <w:r w:rsidR="00D267AE" w:rsidRPr="003A1174">
        <w:rPr>
          <w:rFonts w:ascii="Garamond" w:hAnsi="Garamond" w:cs="Arial"/>
          <w:lang w:val="pt-PT"/>
        </w:rPr>
        <w:t>(</w:t>
      </w:r>
      <w:r w:rsidR="00FF6A3F" w:rsidRPr="003A1174">
        <w:rPr>
          <w:rFonts w:ascii="Garamond" w:hAnsi="Garamond" w:cs="Arial"/>
          <w:lang w:val="pt-PT"/>
        </w:rPr>
        <w:t>Comissão</w:t>
      </w:r>
      <w:r w:rsidR="00D267AE" w:rsidRPr="003A1174">
        <w:rPr>
          <w:rFonts w:ascii="Garamond" w:hAnsi="Garamond" w:cs="Arial"/>
          <w:lang w:val="pt-PT"/>
        </w:rPr>
        <w:t xml:space="preserve"> IDH)</w:t>
      </w:r>
      <w:r w:rsidR="00780283">
        <w:rPr>
          <w:rFonts w:ascii="Garamond" w:hAnsi="Garamond" w:cs="Arial"/>
          <w:lang w:val="pt-PT"/>
        </w:rPr>
        <w:t>,</w:t>
      </w:r>
      <w:r w:rsidR="00D267AE" w:rsidRPr="003A1174">
        <w:rPr>
          <w:rFonts w:ascii="Garamond" w:hAnsi="Garamond" w:cs="Arial"/>
          <w:lang w:val="pt-PT"/>
        </w:rPr>
        <w:t xml:space="preserve"> </w:t>
      </w:r>
      <w:r w:rsidR="00120915" w:rsidRPr="003A1174">
        <w:rPr>
          <w:rFonts w:ascii="Garamond" w:hAnsi="Garamond" w:cs="Arial"/>
          <w:lang w:val="pt-PT"/>
        </w:rPr>
        <w:t xml:space="preserve">no </w:t>
      </w:r>
      <w:r w:rsidR="000761EF" w:rsidRPr="003A1174">
        <w:rPr>
          <w:rFonts w:ascii="Garamond" w:hAnsi="Garamond" w:cs="Arial"/>
          <w:lang w:val="pt-PT"/>
        </w:rPr>
        <w:t>C</w:t>
      </w:r>
      <w:r w:rsidRPr="003A1174">
        <w:rPr>
          <w:rFonts w:ascii="Garamond" w:hAnsi="Garamond" w:cs="Arial"/>
          <w:lang w:val="pt-PT"/>
        </w:rPr>
        <w:t>aso de</w:t>
      </w:r>
      <w:r w:rsidR="00120915" w:rsidRPr="003A1174">
        <w:rPr>
          <w:rFonts w:ascii="Garamond" w:hAnsi="Garamond" w:cs="Arial"/>
          <w:lang w:val="pt-PT"/>
        </w:rPr>
        <w:t xml:space="preserve"> Manfredo Velásquez Rodríguez, </w:t>
      </w:r>
      <w:r w:rsidR="00780283">
        <w:rPr>
          <w:rFonts w:ascii="Garamond" w:hAnsi="Garamond" w:cs="Arial"/>
          <w:lang w:val="pt-PT"/>
        </w:rPr>
        <w:t>em que</w:t>
      </w:r>
      <w:r w:rsidR="008069E0" w:rsidRPr="003A1174">
        <w:rPr>
          <w:rFonts w:ascii="Garamond" w:hAnsi="Garamond" w:cs="Arial"/>
          <w:lang w:val="pt-PT"/>
        </w:rPr>
        <w:t>,</w:t>
      </w:r>
      <w:r w:rsidRPr="003A1174">
        <w:rPr>
          <w:rFonts w:ascii="Garamond" w:hAnsi="Garamond" w:cs="Arial"/>
          <w:lang w:val="pt-PT"/>
        </w:rPr>
        <w:t xml:space="preserve"> </w:t>
      </w:r>
      <w:r w:rsidR="00120915" w:rsidRPr="003A1174">
        <w:rPr>
          <w:rFonts w:ascii="Garamond" w:hAnsi="Garamond" w:cs="Arial"/>
          <w:lang w:val="pt-PT"/>
        </w:rPr>
        <w:t>fazendo um exame</w:t>
      </w:r>
      <w:r w:rsidR="00BC4F2D" w:rsidRPr="003A1174">
        <w:rPr>
          <w:rFonts w:ascii="Garamond" w:hAnsi="Garamond" w:cs="Arial"/>
          <w:lang w:val="pt-PT"/>
        </w:rPr>
        <w:t xml:space="preserve"> sobre </w:t>
      </w:r>
      <w:r w:rsidR="00120915" w:rsidRPr="003A1174">
        <w:rPr>
          <w:rFonts w:ascii="Garamond" w:hAnsi="Garamond" w:cs="Arial"/>
          <w:lang w:val="pt-PT"/>
        </w:rPr>
        <w:t xml:space="preserve">o </w:t>
      </w:r>
      <w:r w:rsidR="00BC4F2D" w:rsidRPr="003A1174">
        <w:rPr>
          <w:rFonts w:ascii="Garamond" w:hAnsi="Garamond" w:cs="Arial"/>
          <w:lang w:val="pt-PT"/>
        </w:rPr>
        <w:t>alcance d</w:t>
      </w:r>
      <w:r w:rsidRPr="003A1174">
        <w:rPr>
          <w:rFonts w:ascii="Garamond" w:hAnsi="Garamond" w:cs="Arial"/>
          <w:lang w:val="pt-PT"/>
        </w:rPr>
        <w:t xml:space="preserve">os </w:t>
      </w:r>
      <w:r w:rsidR="00BC4F2D" w:rsidRPr="003A1174">
        <w:rPr>
          <w:rFonts w:ascii="Garamond" w:hAnsi="Garamond" w:cs="Arial"/>
          <w:lang w:val="pt-PT"/>
        </w:rPr>
        <w:t>Arts. 1.1</w:t>
      </w:r>
      <w:r w:rsidR="003B4D48">
        <w:rPr>
          <w:rFonts w:ascii="Garamond" w:hAnsi="Garamond" w:cs="Arial"/>
          <w:lang w:val="pt-PT"/>
        </w:rPr>
        <w:t>.</w:t>
      </w:r>
      <w:r w:rsidR="00BC4F2D" w:rsidRPr="003A1174">
        <w:rPr>
          <w:rFonts w:ascii="Garamond" w:hAnsi="Garamond" w:cs="Arial"/>
          <w:lang w:val="pt-PT"/>
        </w:rPr>
        <w:t xml:space="preserve"> </w:t>
      </w:r>
      <w:proofErr w:type="gramStart"/>
      <w:r w:rsidR="00BC4F2D" w:rsidRPr="003A1174">
        <w:rPr>
          <w:rFonts w:ascii="Garamond" w:hAnsi="Garamond" w:cs="Arial"/>
          <w:lang w:val="pt-PT"/>
        </w:rPr>
        <w:t>e</w:t>
      </w:r>
      <w:proofErr w:type="gramEnd"/>
      <w:r w:rsidR="00BC4F2D" w:rsidRPr="003A1174">
        <w:rPr>
          <w:rFonts w:ascii="Garamond" w:hAnsi="Garamond" w:cs="Arial"/>
          <w:lang w:val="pt-PT"/>
        </w:rPr>
        <w:t xml:space="preserve"> 2 d</w:t>
      </w:r>
      <w:r w:rsidRPr="003A1174">
        <w:rPr>
          <w:rFonts w:ascii="Garamond" w:hAnsi="Garamond" w:cs="Arial"/>
          <w:lang w:val="pt-PT"/>
        </w:rPr>
        <w:t xml:space="preserve">a </w:t>
      </w:r>
      <w:r w:rsidR="00B14AA6" w:rsidRPr="003A1174">
        <w:rPr>
          <w:rFonts w:ascii="Garamond" w:hAnsi="Garamond" w:cs="Arial"/>
          <w:lang w:val="pt-PT"/>
        </w:rPr>
        <w:t>Convenção</w:t>
      </w:r>
      <w:r w:rsidRPr="003A1174">
        <w:rPr>
          <w:rFonts w:ascii="Garamond" w:hAnsi="Garamond" w:cs="Arial"/>
          <w:lang w:val="pt-PT"/>
        </w:rPr>
        <w:t xml:space="preserve"> Americ</w:t>
      </w:r>
      <w:r w:rsidR="00BC4F2D" w:rsidRPr="003A1174">
        <w:rPr>
          <w:rFonts w:ascii="Garamond" w:hAnsi="Garamond" w:cs="Arial"/>
          <w:lang w:val="pt-PT"/>
        </w:rPr>
        <w:t xml:space="preserve">ana (entre </w:t>
      </w:r>
      <w:r w:rsidRPr="003A1174">
        <w:rPr>
          <w:rFonts w:ascii="Garamond" w:hAnsi="Garamond" w:cs="Arial"/>
          <w:lang w:val="pt-PT"/>
        </w:rPr>
        <w:t>os p</w:t>
      </w:r>
      <w:r w:rsidR="00BC4F2D" w:rsidRPr="003A1174">
        <w:rPr>
          <w:rFonts w:ascii="Garamond" w:hAnsi="Garamond" w:cs="Arial"/>
          <w:lang w:val="pt-PT"/>
        </w:rPr>
        <w:t>ar</w:t>
      </w:r>
      <w:r w:rsidRPr="003A1174">
        <w:rPr>
          <w:rFonts w:ascii="Garamond" w:hAnsi="Garamond" w:cs="Arial"/>
          <w:lang w:val="pt-PT"/>
        </w:rPr>
        <w:t>á</w:t>
      </w:r>
      <w:r w:rsidR="00BC4F2D" w:rsidRPr="003A1174">
        <w:rPr>
          <w:rFonts w:ascii="Garamond" w:hAnsi="Garamond" w:cs="Arial"/>
          <w:lang w:val="pt-PT"/>
        </w:rPr>
        <w:t>grafos 160 e</w:t>
      </w:r>
      <w:r w:rsidRPr="003A1174">
        <w:rPr>
          <w:rFonts w:ascii="Garamond" w:hAnsi="Garamond" w:cs="Arial"/>
          <w:lang w:val="pt-PT"/>
        </w:rPr>
        <w:t xml:space="preserve"> 171 d</w:t>
      </w:r>
      <w:r w:rsidR="00E15BB2" w:rsidRPr="003A1174">
        <w:rPr>
          <w:rFonts w:ascii="Garamond" w:hAnsi="Garamond" w:cs="Arial"/>
          <w:lang w:val="pt-PT"/>
        </w:rPr>
        <w:t>a sentença</w:t>
      </w:r>
      <w:r w:rsidRPr="003A1174">
        <w:rPr>
          <w:rFonts w:ascii="Garamond" w:hAnsi="Garamond" w:cs="Arial"/>
          <w:lang w:val="pt-PT"/>
        </w:rPr>
        <w:t>)</w:t>
      </w:r>
      <w:r w:rsidR="00FB316B" w:rsidRPr="003A1174">
        <w:rPr>
          <w:rFonts w:ascii="Garamond" w:hAnsi="Garamond" w:cs="Arial"/>
          <w:lang w:val="pt-PT"/>
        </w:rPr>
        <w:t>,</w:t>
      </w:r>
      <w:r w:rsidRPr="003A1174">
        <w:rPr>
          <w:rFonts w:ascii="Garamond" w:hAnsi="Garamond" w:cs="Arial"/>
          <w:lang w:val="pt-PT"/>
        </w:rPr>
        <w:t xml:space="preserve"> se conclu</w:t>
      </w:r>
      <w:r w:rsidR="00120915" w:rsidRPr="003A1174">
        <w:rPr>
          <w:rFonts w:ascii="Garamond" w:hAnsi="Garamond" w:cs="Arial"/>
          <w:lang w:val="pt-PT"/>
        </w:rPr>
        <w:t>i</w:t>
      </w:r>
      <w:r w:rsidR="00780283">
        <w:rPr>
          <w:rFonts w:ascii="Garamond" w:hAnsi="Garamond" w:cs="Arial"/>
          <w:lang w:val="pt-PT"/>
        </w:rPr>
        <w:t>:</w:t>
      </w:r>
    </w:p>
    <w:p w:rsidR="00736E71" w:rsidRPr="006A4C44" w:rsidRDefault="006A4C44" w:rsidP="006A4C44">
      <w:pPr>
        <w:autoSpaceDE w:val="0"/>
        <w:autoSpaceDN w:val="0"/>
        <w:adjustRightInd w:val="0"/>
        <w:spacing w:before="240" w:line="240" w:lineRule="auto"/>
        <w:ind w:left="567"/>
        <w:jc w:val="both"/>
        <w:rPr>
          <w:rFonts w:ascii="Garamond" w:hAnsi="Garamond" w:cs="Arial"/>
        </w:rPr>
      </w:pPr>
      <w:r w:rsidRPr="006A4C44">
        <w:rPr>
          <w:rFonts w:ascii="Garamond" w:hAnsi="Garamond" w:cs="Arial"/>
        </w:rPr>
        <w:t>«</w:t>
      </w:r>
      <w:r w:rsidR="00A132B3" w:rsidRPr="006A4C44">
        <w:rPr>
          <w:rFonts w:ascii="Garamond" w:hAnsi="Garamond" w:cs="Arial"/>
        </w:rPr>
        <w:t xml:space="preserve">172. </w:t>
      </w:r>
      <w:r w:rsidR="00120915" w:rsidRPr="006A4C44">
        <w:rPr>
          <w:rFonts w:ascii="Garamond" w:hAnsi="Garamond" w:cs="Arial"/>
        </w:rPr>
        <w:t>É</w:t>
      </w:r>
      <w:r w:rsidR="00A132B3" w:rsidRPr="006A4C44">
        <w:rPr>
          <w:rFonts w:ascii="Garamond" w:hAnsi="Garamond" w:cs="Arial"/>
        </w:rPr>
        <w:t xml:space="preserve">, </w:t>
      </w:r>
      <w:r w:rsidR="00120915" w:rsidRPr="006A4C44">
        <w:rPr>
          <w:rFonts w:ascii="Garamond" w:hAnsi="Garamond" w:cs="Arial"/>
        </w:rPr>
        <w:t>pois</w:t>
      </w:r>
      <w:r w:rsidR="00A132B3" w:rsidRPr="006A4C44">
        <w:rPr>
          <w:rFonts w:ascii="Garamond" w:hAnsi="Garamond" w:cs="Arial"/>
        </w:rPr>
        <w:t>, claro que, e</w:t>
      </w:r>
      <w:r w:rsidR="00120915" w:rsidRPr="006A4C44">
        <w:rPr>
          <w:rFonts w:ascii="Garamond" w:hAnsi="Garamond" w:cs="Arial"/>
        </w:rPr>
        <w:t>m</w:t>
      </w:r>
      <w:r w:rsidR="00A132B3" w:rsidRPr="006A4C44">
        <w:rPr>
          <w:rFonts w:ascii="Garamond" w:hAnsi="Garamond" w:cs="Arial"/>
        </w:rPr>
        <w:t xml:space="preserve"> </w:t>
      </w:r>
      <w:r w:rsidR="006D0543" w:rsidRPr="006A4C44">
        <w:rPr>
          <w:rFonts w:ascii="Garamond" w:hAnsi="Garamond" w:cs="Arial"/>
        </w:rPr>
        <w:t>princípio</w:t>
      </w:r>
      <w:r w:rsidR="00A132B3" w:rsidRPr="006A4C44">
        <w:rPr>
          <w:rFonts w:ascii="Garamond" w:hAnsi="Garamond" w:cs="Arial"/>
        </w:rPr>
        <w:t xml:space="preserve">, </w:t>
      </w:r>
      <w:r w:rsidR="00120915" w:rsidRPr="006A4C44">
        <w:rPr>
          <w:rFonts w:ascii="Garamond" w:hAnsi="Garamond" w:cs="Arial"/>
        </w:rPr>
        <w:t>é imputável</w:t>
      </w:r>
      <w:r w:rsidR="00A132B3" w:rsidRPr="006A4C44">
        <w:rPr>
          <w:rFonts w:ascii="Garamond" w:hAnsi="Garamond" w:cs="Arial"/>
        </w:rPr>
        <w:t xml:space="preserve"> a</w:t>
      </w:r>
      <w:r w:rsidR="00120915" w:rsidRPr="006A4C44">
        <w:rPr>
          <w:rFonts w:ascii="Garamond" w:hAnsi="Garamond" w:cs="Arial"/>
        </w:rPr>
        <w:t>o</w:t>
      </w:r>
      <w:r w:rsidR="00A132B3" w:rsidRPr="006A4C44">
        <w:rPr>
          <w:rFonts w:ascii="Garamond" w:hAnsi="Garamond" w:cs="Arial"/>
        </w:rPr>
        <w:t xml:space="preserve"> Estado toda </w:t>
      </w:r>
      <w:r w:rsidR="007342D9" w:rsidRPr="006A4C44">
        <w:rPr>
          <w:rFonts w:ascii="Garamond" w:hAnsi="Garamond" w:cs="Arial"/>
        </w:rPr>
        <w:t>violação</w:t>
      </w:r>
      <w:r w:rsidR="00120915" w:rsidRPr="006A4C44">
        <w:rPr>
          <w:rFonts w:ascii="Garamond" w:hAnsi="Garamond" w:cs="Arial"/>
        </w:rPr>
        <w:t xml:space="preserve"> a</w:t>
      </w:r>
      <w:r w:rsidR="00A132B3" w:rsidRPr="006A4C44">
        <w:rPr>
          <w:rFonts w:ascii="Garamond" w:hAnsi="Garamond" w:cs="Arial"/>
        </w:rPr>
        <w:t xml:space="preserve">os </w:t>
      </w:r>
      <w:r w:rsidR="00886D6A" w:rsidRPr="006A4C44">
        <w:rPr>
          <w:rFonts w:ascii="Garamond" w:hAnsi="Garamond" w:cs="Arial"/>
        </w:rPr>
        <w:t>direito</w:t>
      </w:r>
      <w:r w:rsidR="00A132B3" w:rsidRPr="006A4C44">
        <w:rPr>
          <w:rFonts w:ascii="Garamond" w:hAnsi="Garamond" w:cs="Arial"/>
        </w:rPr>
        <w:t xml:space="preserve">s </w:t>
      </w:r>
      <w:r w:rsidR="007407BD" w:rsidRPr="006A4C44">
        <w:rPr>
          <w:rFonts w:ascii="Garamond" w:hAnsi="Garamond" w:cs="Arial"/>
        </w:rPr>
        <w:t>reconhecidos</w:t>
      </w:r>
      <w:r w:rsidR="00A132B3" w:rsidRPr="006A4C44">
        <w:rPr>
          <w:rFonts w:ascii="Garamond" w:hAnsi="Garamond" w:cs="Arial"/>
        </w:rPr>
        <w:t xml:space="preserve"> p</w:t>
      </w:r>
      <w:r w:rsidR="00120915" w:rsidRPr="006A4C44">
        <w:rPr>
          <w:rFonts w:ascii="Garamond" w:hAnsi="Garamond" w:cs="Arial"/>
        </w:rPr>
        <w:t>e</w:t>
      </w:r>
      <w:r w:rsidR="00A132B3" w:rsidRPr="006A4C44">
        <w:rPr>
          <w:rFonts w:ascii="Garamond" w:hAnsi="Garamond" w:cs="Arial"/>
        </w:rPr>
        <w:t xml:space="preserve">la </w:t>
      </w:r>
      <w:r w:rsidR="00B14AA6" w:rsidRPr="006A4C44">
        <w:rPr>
          <w:rFonts w:ascii="Garamond" w:hAnsi="Garamond" w:cs="Arial"/>
        </w:rPr>
        <w:t>Convenção</w:t>
      </w:r>
      <w:r w:rsidR="00A132B3" w:rsidRPr="006A4C44">
        <w:rPr>
          <w:rFonts w:ascii="Garamond" w:hAnsi="Garamond" w:cs="Arial"/>
        </w:rPr>
        <w:t xml:space="preserve"> cump</w:t>
      </w:r>
      <w:r w:rsidR="00E15BB2" w:rsidRPr="006A4C44">
        <w:rPr>
          <w:rFonts w:ascii="Garamond" w:hAnsi="Garamond" w:cs="Arial"/>
        </w:rPr>
        <w:t>r</w:t>
      </w:r>
      <w:r w:rsidR="00A132B3" w:rsidRPr="006A4C44">
        <w:rPr>
          <w:rFonts w:ascii="Garamond" w:hAnsi="Garamond" w:cs="Arial"/>
        </w:rPr>
        <w:t>ida por u</w:t>
      </w:r>
      <w:r w:rsidR="00120915" w:rsidRPr="006A4C44">
        <w:rPr>
          <w:rFonts w:ascii="Garamond" w:hAnsi="Garamond" w:cs="Arial"/>
        </w:rPr>
        <w:t>m</w:t>
      </w:r>
      <w:r w:rsidR="00A132B3" w:rsidRPr="006A4C44">
        <w:rPr>
          <w:rFonts w:ascii="Garamond" w:hAnsi="Garamond" w:cs="Arial"/>
        </w:rPr>
        <w:t xml:space="preserve"> ato d</w:t>
      </w:r>
      <w:r w:rsidR="00120915" w:rsidRPr="006A4C44">
        <w:rPr>
          <w:rFonts w:ascii="Garamond" w:hAnsi="Garamond" w:cs="Arial"/>
        </w:rPr>
        <w:t>o</w:t>
      </w:r>
      <w:r w:rsidR="00A132B3" w:rsidRPr="006A4C44">
        <w:rPr>
          <w:rFonts w:ascii="Garamond" w:hAnsi="Garamond" w:cs="Arial"/>
        </w:rPr>
        <w:t xml:space="preserve"> poder público o</w:t>
      </w:r>
      <w:r w:rsidR="00120915" w:rsidRPr="006A4C44">
        <w:rPr>
          <w:rFonts w:ascii="Garamond" w:hAnsi="Garamond" w:cs="Arial"/>
        </w:rPr>
        <w:t>u</w:t>
      </w:r>
      <w:r w:rsidR="00A132B3" w:rsidRPr="006A4C44">
        <w:rPr>
          <w:rFonts w:ascii="Garamond" w:hAnsi="Garamond" w:cs="Arial"/>
        </w:rPr>
        <w:t xml:space="preserve"> de </w:t>
      </w:r>
      <w:r w:rsidR="006C760C" w:rsidRPr="006A4C44">
        <w:rPr>
          <w:rFonts w:ascii="Garamond" w:hAnsi="Garamond" w:cs="Arial"/>
        </w:rPr>
        <w:t>pessoas</w:t>
      </w:r>
      <w:r w:rsidR="00A132B3" w:rsidRPr="006A4C44">
        <w:rPr>
          <w:rFonts w:ascii="Garamond" w:hAnsi="Garamond" w:cs="Arial"/>
        </w:rPr>
        <w:t xml:space="preserve"> que a</w:t>
      </w:r>
      <w:r w:rsidR="00120915" w:rsidRPr="006A4C44">
        <w:rPr>
          <w:rFonts w:ascii="Garamond" w:hAnsi="Garamond" w:cs="Arial"/>
        </w:rPr>
        <w:t xml:space="preserve">gem </w:t>
      </w:r>
      <w:r w:rsidR="00841520" w:rsidRPr="006A4C44">
        <w:rPr>
          <w:rFonts w:ascii="Garamond" w:hAnsi="Garamond" w:cs="Arial"/>
        </w:rPr>
        <w:t xml:space="preserve">tirando vantagem dos </w:t>
      </w:r>
      <w:r w:rsidR="00A132B3" w:rsidRPr="006A4C44">
        <w:rPr>
          <w:rFonts w:ascii="Garamond" w:hAnsi="Garamond" w:cs="Arial"/>
        </w:rPr>
        <w:t>poderes que ostenta</w:t>
      </w:r>
      <w:r w:rsidR="00841520" w:rsidRPr="006A4C44">
        <w:rPr>
          <w:rFonts w:ascii="Garamond" w:hAnsi="Garamond" w:cs="Arial"/>
        </w:rPr>
        <w:t>m</w:t>
      </w:r>
      <w:r w:rsidR="00A132B3" w:rsidRPr="006A4C44">
        <w:rPr>
          <w:rFonts w:ascii="Garamond" w:hAnsi="Garamond" w:cs="Arial"/>
        </w:rPr>
        <w:t xml:space="preserve"> p</w:t>
      </w:r>
      <w:r w:rsidR="00120915" w:rsidRPr="006A4C44">
        <w:rPr>
          <w:rFonts w:ascii="Garamond" w:hAnsi="Garamond" w:cs="Arial"/>
        </w:rPr>
        <w:t>elo seu caráter</w:t>
      </w:r>
      <w:r w:rsidR="00A132B3" w:rsidRPr="006A4C44">
        <w:rPr>
          <w:rFonts w:ascii="Garamond" w:hAnsi="Garamond" w:cs="Arial"/>
        </w:rPr>
        <w:t xml:space="preserve"> oficial. </w:t>
      </w:r>
      <w:r w:rsidR="00120915" w:rsidRPr="006A4C44">
        <w:rPr>
          <w:rFonts w:ascii="Garamond" w:hAnsi="Garamond" w:cs="Arial"/>
        </w:rPr>
        <w:t>Porém</w:t>
      </w:r>
      <w:r w:rsidR="00A132B3" w:rsidRPr="006A4C44">
        <w:rPr>
          <w:rFonts w:ascii="Garamond" w:hAnsi="Garamond" w:cs="Arial"/>
        </w:rPr>
        <w:t>, n</w:t>
      </w:r>
      <w:r w:rsidR="00120915" w:rsidRPr="006A4C44">
        <w:rPr>
          <w:rFonts w:ascii="Garamond" w:hAnsi="Garamond" w:cs="Arial"/>
        </w:rPr>
        <w:t>ã</w:t>
      </w:r>
      <w:r w:rsidR="00A132B3" w:rsidRPr="006A4C44">
        <w:rPr>
          <w:rFonts w:ascii="Garamond" w:hAnsi="Garamond" w:cs="Arial"/>
        </w:rPr>
        <w:t xml:space="preserve">o se </w:t>
      </w:r>
      <w:r w:rsidR="00120915" w:rsidRPr="006A4C44">
        <w:rPr>
          <w:rFonts w:ascii="Garamond" w:hAnsi="Garamond" w:cs="Arial"/>
        </w:rPr>
        <w:t xml:space="preserve">esgotam aqui </w:t>
      </w:r>
      <w:r w:rsidR="00A132B3" w:rsidRPr="006A4C44">
        <w:rPr>
          <w:rFonts w:ascii="Garamond" w:hAnsi="Garamond" w:cs="Arial"/>
        </w:rPr>
        <w:t xml:space="preserve">as </w:t>
      </w:r>
      <w:r w:rsidR="007342D9" w:rsidRPr="006A4C44">
        <w:rPr>
          <w:rFonts w:ascii="Garamond" w:hAnsi="Garamond" w:cs="Arial"/>
        </w:rPr>
        <w:t>situações</w:t>
      </w:r>
      <w:r w:rsidR="00A132B3" w:rsidRPr="006A4C44">
        <w:rPr>
          <w:rFonts w:ascii="Garamond" w:hAnsi="Garamond" w:cs="Arial"/>
        </w:rPr>
        <w:t xml:space="preserve"> </w:t>
      </w:r>
      <w:r w:rsidR="00120915" w:rsidRPr="006A4C44">
        <w:rPr>
          <w:rFonts w:ascii="Garamond" w:hAnsi="Garamond" w:cs="Arial"/>
        </w:rPr>
        <w:t xml:space="preserve">em que um </w:t>
      </w:r>
      <w:r w:rsidR="00A132B3" w:rsidRPr="006A4C44">
        <w:rPr>
          <w:rFonts w:ascii="Garamond" w:hAnsi="Garamond" w:cs="Arial"/>
        </w:rPr>
        <w:t xml:space="preserve">Estado </w:t>
      </w:r>
      <w:r w:rsidR="00120915" w:rsidRPr="006A4C44">
        <w:rPr>
          <w:rFonts w:ascii="Garamond" w:hAnsi="Garamond" w:cs="Arial"/>
        </w:rPr>
        <w:t xml:space="preserve">é </w:t>
      </w:r>
      <w:r w:rsidR="007342D9" w:rsidRPr="006A4C44">
        <w:rPr>
          <w:rFonts w:ascii="Garamond" w:hAnsi="Garamond" w:cs="Arial"/>
        </w:rPr>
        <w:t>obriga</w:t>
      </w:r>
      <w:r w:rsidR="00120915" w:rsidRPr="006A4C44">
        <w:rPr>
          <w:rFonts w:ascii="Garamond" w:hAnsi="Garamond" w:cs="Arial"/>
        </w:rPr>
        <w:t xml:space="preserve">do a prevenir, investigar e </w:t>
      </w:r>
      <w:r w:rsidR="003F493C" w:rsidRPr="006A4C44">
        <w:rPr>
          <w:rFonts w:ascii="Garamond" w:hAnsi="Garamond" w:cs="Arial"/>
        </w:rPr>
        <w:t>punir</w:t>
      </w:r>
      <w:r w:rsidR="00120915" w:rsidRPr="006A4C44">
        <w:rPr>
          <w:rFonts w:ascii="Garamond" w:hAnsi="Garamond" w:cs="Arial"/>
        </w:rPr>
        <w:t xml:space="preserve"> </w:t>
      </w:r>
      <w:r w:rsidR="00A132B3" w:rsidRPr="006A4C44">
        <w:rPr>
          <w:rFonts w:ascii="Garamond" w:hAnsi="Garamond" w:cs="Arial"/>
        </w:rPr>
        <w:t xml:space="preserve">as </w:t>
      </w:r>
      <w:r w:rsidR="002F62B0" w:rsidRPr="006A4C44">
        <w:rPr>
          <w:rFonts w:ascii="Garamond" w:hAnsi="Garamond" w:cs="Arial"/>
        </w:rPr>
        <w:t>violações</w:t>
      </w:r>
      <w:r w:rsidR="00A132B3" w:rsidRPr="006A4C44">
        <w:rPr>
          <w:rFonts w:ascii="Garamond" w:hAnsi="Garamond" w:cs="Arial"/>
        </w:rPr>
        <w:t xml:space="preserve"> </w:t>
      </w:r>
      <w:r w:rsidR="00120915" w:rsidRPr="006A4C44">
        <w:rPr>
          <w:rFonts w:ascii="Garamond" w:hAnsi="Garamond" w:cs="Arial"/>
        </w:rPr>
        <w:t>d</w:t>
      </w:r>
      <w:r w:rsidR="00A132B3" w:rsidRPr="006A4C44">
        <w:rPr>
          <w:rFonts w:ascii="Garamond" w:hAnsi="Garamond" w:cs="Arial"/>
        </w:rPr>
        <w:t xml:space="preserve">os </w:t>
      </w:r>
      <w:r w:rsidR="00886D6A" w:rsidRPr="006A4C44">
        <w:rPr>
          <w:rFonts w:ascii="Garamond" w:hAnsi="Garamond" w:cs="Arial"/>
        </w:rPr>
        <w:t>direito</w:t>
      </w:r>
      <w:r w:rsidR="00A132B3" w:rsidRPr="006A4C44">
        <w:rPr>
          <w:rFonts w:ascii="Garamond" w:hAnsi="Garamond" w:cs="Arial"/>
        </w:rPr>
        <w:t>s humanos, n</w:t>
      </w:r>
      <w:r w:rsidR="00120915" w:rsidRPr="006A4C44">
        <w:rPr>
          <w:rFonts w:ascii="Garamond" w:hAnsi="Garamond" w:cs="Arial"/>
        </w:rPr>
        <w:t xml:space="preserve">em </w:t>
      </w:r>
      <w:r w:rsidR="00A132B3" w:rsidRPr="006A4C44">
        <w:rPr>
          <w:rFonts w:ascii="Garamond" w:hAnsi="Garamond" w:cs="Arial"/>
        </w:rPr>
        <w:t>os sup</w:t>
      </w:r>
      <w:r w:rsidR="00841520" w:rsidRPr="006A4C44">
        <w:rPr>
          <w:rFonts w:ascii="Garamond" w:hAnsi="Garamond" w:cs="Arial"/>
        </w:rPr>
        <w:t>o</w:t>
      </w:r>
      <w:r w:rsidR="00A132B3" w:rsidRPr="006A4C44">
        <w:rPr>
          <w:rFonts w:ascii="Garamond" w:hAnsi="Garamond" w:cs="Arial"/>
        </w:rPr>
        <w:t>stos e</w:t>
      </w:r>
      <w:r w:rsidR="00120915" w:rsidRPr="006A4C44">
        <w:rPr>
          <w:rFonts w:ascii="Garamond" w:hAnsi="Garamond" w:cs="Arial"/>
        </w:rPr>
        <w:t xml:space="preserve">m </w:t>
      </w:r>
      <w:r w:rsidR="00A132B3" w:rsidRPr="006A4C44">
        <w:rPr>
          <w:rFonts w:ascii="Garamond" w:hAnsi="Garamond" w:cs="Arial"/>
        </w:rPr>
        <w:t xml:space="preserve">que </w:t>
      </w:r>
      <w:r w:rsidR="00120915" w:rsidRPr="006A4C44">
        <w:rPr>
          <w:rFonts w:ascii="Garamond" w:hAnsi="Garamond" w:cs="Arial"/>
        </w:rPr>
        <w:t xml:space="preserve">a </w:t>
      </w:r>
      <w:r w:rsidR="00A132B3" w:rsidRPr="006A4C44">
        <w:rPr>
          <w:rFonts w:ascii="Garamond" w:hAnsi="Garamond" w:cs="Arial"/>
        </w:rPr>
        <w:t>su</w:t>
      </w:r>
      <w:r w:rsidR="00120915" w:rsidRPr="006A4C44">
        <w:rPr>
          <w:rFonts w:ascii="Garamond" w:hAnsi="Garamond" w:cs="Arial"/>
        </w:rPr>
        <w:t>a</w:t>
      </w:r>
      <w:r w:rsidR="00A132B3" w:rsidRPr="006A4C44">
        <w:rPr>
          <w:rFonts w:ascii="Garamond" w:hAnsi="Garamond" w:cs="Arial"/>
        </w:rPr>
        <w:t xml:space="preserve"> </w:t>
      </w:r>
      <w:r w:rsidR="006D0543" w:rsidRPr="006A4C44">
        <w:rPr>
          <w:rFonts w:ascii="Garamond" w:hAnsi="Garamond" w:cs="Arial"/>
        </w:rPr>
        <w:t>responsabilidade</w:t>
      </w:r>
      <w:r w:rsidR="00A132B3" w:rsidRPr="006A4C44">
        <w:rPr>
          <w:rFonts w:ascii="Garamond" w:hAnsi="Garamond" w:cs="Arial"/>
        </w:rPr>
        <w:t xml:space="preserve"> </w:t>
      </w:r>
      <w:r w:rsidR="00120915" w:rsidRPr="006A4C44">
        <w:rPr>
          <w:rFonts w:ascii="Garamond" w:hAnsi="Garamond" w:cs="Arial"/>
        </w:rPr>
        <w:t xml:space="preserve">se </w:t>
      </w:r>
      <w:r w:rsidR="007342D9" w:rsidRPr="006A4C44">
        <w:rPr>
          <w:rFonts w:ascii="Garamond" w:hAnsi="Garamond" w:cs="Arial"/>
        </w:rPr>
        <w:t>pode</w:t>
      </w:r>
      <w:r w:rsidR="00A132B3" w:rsidRPr="006A4C44">
        <w:rPr>
          <w:rFonts w:ascii="Garamond" w:hAnsi="Garamond" w:cs="Arial"/>
        </w:rPr>
        <w:t xml:space="preserve"> ver comprometida por </w:t>
      </w:r>
      <w:r w:rsidR="00863197" w:rsidRPr="006A4C44">
        <w:rPr>
          <w:rFonts w:ascii="Garamond" w:hAnsi="Garamond" w:cs="Arial"/>
        </w:rPr>
        <w:t>efeito</w:t>
      </w:r>
      <w:r w:rsidR="00120915" w:rsidRPr="006A4C44">
        <w:rPr>
          <w:rFonts w:ascii="Garamond" w:hAnsi="Garamond" w:cs="Arial"/>
        </w:rPr>
        <w:t xml:space="preserve"> de um</w:t>
      </w:r>
      <w:r w:rsidR="00A132B3" w:rsidRPr="006A4C44">
        <w:rPr>
          <w:rFonts w:ascii="Garamond" w:hAnsi="Garamond" w:cs="Arial"/>
        </w:rPr>
        <w:t xml:space="preserve">a </w:t>
      </w:r>
      <w:r w:rsidR="00120915" w:rsidRPr="006A4C44">
        <w:rPr>
          <w:rFonts w:ascii="Garamond" w:hAnsi="Garamond" w:cs="Arial"/>
        </w:rPr>
        <w:t>lesão</w:t>
      </w:r>
      <w:r w:rsidR="00A132B3" w:rsidRPr="006A4C44">
        <w:rPr>
          <w:rFonts w:ascii="Garamond" w:hAnsi="Garamond" w:cs="Arial"/>
        </w:rPr>
        <w:t xml:space="preserve"> a </w:t>
      </w:r>
      <w:r w:rsidR="00120915" w:rsidRPr="006A4C44">
        <w:rPr>
          <w:rFonts w:ascii="Garamond" w:hAnsi="Garamond" w:cs="Arial"/>
        </w:rPr>
        <w:t>esses</w:t>
      </w:r>
      <w:r w:rsidR="00A132B3" w:rsidRPr="006A4C44">
        <w:rPr>
          <w:rFonts w:ascii="Garamond" w:hAnsi="Garamond" w:cs="Arial"/>
        </w:rPr>
        <w:t xml:space="preserve"> </w:t>
      </w:r>
      <w:r w:rsidR="00886D6A" w:rsidRPr="006A4C44">
        <w:rPr>
          <w:rFonts w:ascii="Garamond" w:hAnsi="Garamond" w:cs="Arial"/>
        </w:rPr>
        <w:t>direito</w:t>
      </w:r>
      <w:r w:rsidR="00A132B3" w:rsidRPr="006A4C44">
        <w:rPr>
          <w:rFonts w:ascii="Garamond" w:hAnsi="Garamond" w:cs="Arial"/>
        </w:rPr>
        <w:t xml:space="preserve">s. </w:t>
      </w:r>
      <w:r w:rsidR="00120915" w:rsidRPr="006A4C44">
        <w:rPr>
          <w:rFonts w:ascii="Garamond" w:hAnsi="Garamond" w:cs="Arial"/>
        </w:rPr>
        <w:t xml:space="preserve">Com </w:t>
      </w:r>
      <w:r w:rsidR="00863197" w:rsidRPr="006A4C44">
        <w:rPr>
          <w:rFonts w:ascii="Garamond" w:hAnsi="Garamond" w:cs="Arial"/>
        </w:rPr>
        <w:t>efeito</w:t>
      </w:r>
      <w:r w:rsidR="00A132B3" w:rsidRPr="006A4C44">
        <w:rPr>
          <w:rFonts w:ascii="Garamond" w:hAnsi="Garamond" w:cs="Arial"/>
        </w:rPr>
        <w:t>, u</w:t>
      </w:r>
      <w:r w:rsidR="00120915" w:rsidRPr="006A4C44">
        <w:rPr>
          <w:rFonts w:ascii="Garamond" w:hAnsi="Garamond" w:cs="Arial"/>
        </w:rPr>
        <w:t xml:space="preserve">m facto </w:t>
      </w:r>
      <w:r w:rsidR="00A132B3" w:rsidRPr="006A4C44">
        <w:rPr>
          <w:rFonts w:ascii="Garamond" w:hAnsi="Garamond" w:cs="Arial"/>
        </w:rPr>
        <w:t xml:space="preserve">ilícito </w:t>
      </w:r>
      <w:r w:rsidR="00731B19" w:rsidRPr="006A4C44">
        <w:rPr>
          <w:rFonts w:ascii="Garamond" w:hAnsi="Garamond" w:cs="Arial"/>
        </w:rPr>
        <w:t>violador d</w:t>
      </w:r>
      <w:r w:rsidR="00A132B3" w:rsidRPr="006A4C44">
        <w:rPr>
          <w:rFonts w:ascii="Garamond" w:hAnsi="Garamond" w:cs="Arial"/>
        </w:rPr>
        <w:t xml:space="preserve">os </w:t>
      </w:r>
      <w:r w:rsidR="00886D6A" w:rsidRPr="006A4C44">
        <w:rPr>
          <w:rFonts w:ascii="Garamond" w:hAnsi="Garamond" w:cs="Arial"/>
        </w:rPr>
        <w:t>direito</w:t>
      </w:r>
      <w:r w:rsidR="00A132B3" w:rsidRPr="006A4C44">
        <w:rPr>
          <w:rFonts w:ascii="Garamond" w:hAnsi="Garamond" w:cs="Arial"/>
        </w:rPr>
        <w:t>s humanos que inicialmente n</w:t>
      </w:r>
      <w:r w:rsidR="00731B19" w:rsidRPr="006A4C44">
        <w:rPr>
          <w:rFonts w:ascii="Garamond" w:hAnsi="Garamond" w:cs="Arial"/>
        </w:rPr>
        <w:t>ã</w:t>
      </w:r>
      <w:r w:rsidR="00A132B3" w:rsidRPr="006A4C44">
        <w:rPr>
          <w:rFonts w:ascii="Garamond" w:hAnsi="Garamond" w:cs="Arial"/>
        </w:rPr>
        <w:t xml:space="preserve">o </w:t>
      </w:r>
      <w:r w:rsidR="00731B19" w:rsidRPr="006A4C44">
        <w:rPr>
          <w:rFonts w:ascii="Garamond" w:hAnsi="Garamond" w:cs="Arial"/>
        </w:rPr>
        <w:t xml:space="preserve">seja </w:t>
      </w:r>
      <w:r w:rsidR="00120915" w:rsidRPr="006A4C44">
        <w:rPr>
          <w:rFonts w:ascii="Garamond" w:hAnsi="Garamond" w:cs="Arial"/>
        </w:rPr>
        <w:t>imputável</w:t>
      </w:r>
      <w:r w:rsidR="00A132B3" w:rsidRPr="006A4C44">
        <w:rPr>
          <w:rFonts w:ascii="Garamond" w:hAnsi="Garamond" w:cs="Arial"/>
        </w:rPr>
        <w:t xml:space="preserve"> </w:t>
      </w:r>
      <w:r w:rsidR="00731B19" w:rsidRPr="006A4C44">
        <w:rPr>
          <w:rFonts w:ascii="Garamond" w:hAnsi="Garamond" w:cs="Arial"/>
        </w:rPr>
        <w:t>diretamente</w:t>
      </w:r>
      <w:r w:rsidR="00A132B3" w:rsidRPr="006A4C44">
        <w:rPr>
          <w:rFonts w:ascii="Garamond" w:hAnsi="Garamond" w:cs="Arial"/>
        </w:rPr>
        <w:t xml:space="preserve"> a u</w:t>
      </w:r>
      <w:r w:rsidR="00731B19" w:rsidRPr="006A4C44">
        <w:rPr>
          <w:rFonts w:ascii="Garamond" w:hAnsi="Garamond" w:cs="Arial"/>
        </w:rPr>
        <w:t>m</w:t>
      </w:r>
      <w:r w:rsidR="00A132B3" w:rsidRPr="006A4C44">
        <w:rPr>
          <w:rFonts w:ascii="Garamond" w:hAnsi="Garamond" w:cs="Arial"/>
        </w:rPr>
        <w:t xml:space="preserve"> Estado, por </w:t>
      </w:r>
      <w:r w:rsidR="002F5CD1" w:rsidRPr="006A4C44">
        <w:rPr>
          <w:rFonts w:ascii="Garamond" w:hAnsi="Garamond" w:cs="Arial"/>
        </w:rPr>
        <w:t>exemplo</w:t>
      </w:r>
      <w:r w:rsidR="00A132B3" w:rsidRPr="006A4C44">
        <w:rPr>
          <w:rFonts w:ascii="Garamond" w:hAnsi="Garamond" w:cs="Arial"/>
        </w:rPr>
        <w:t>, por ser obra de u</w:t>
      </w:r>
      <w:r w:rsidR="00731B19" w:rsidRPr="006A4C44">
        <w:rPr>
          <w:rFonts w:ascii="Garamond" w:hAnsi="Garamond" w:cs="Arial"/>
        </w:rPr>
        <w:t>m</w:t>
      </w:r>
      <w:r w:rsidR="00A132B3" w:rsidRPr="006A4C44">
        <w:rPr>
          <w:rFonts w:ascii="Garamond" w:hAnsi="Garamond" w:cs="Arial"/>
        </w:rPr>
        <w:t xml:space="preserve"> particular o</w:t>
      </w:r>
      <w:r w:rsidR="00731B19" w:rsidRPr="006A4C44">
        <w:rPr>
          <w:rFonts w:ascii="Garamond" w:hAnsi="Garamond" w:cs="Arial"/>
        </w:rPr>
        <w:t>u</w:t>
      </w:r>
      <w:r w:rsidR="00A132B3" w:rsidRPr="006A4C44">
        <w:rPr>
          <w:rFonts w:ascii="Garamond" w:hAnsi="Garamond" w:cs="Arial"/>
        </w:rPr>
        <w:t xml:space="preserve"> por n</w:t>
      </w:r>
      <w:r w:rsidR="00731B19" w:rsidRPr="006A4C44">
        <w:rPr>
          <w:rFonts w:ascii="Garamond" w:hAnsi="Garamond" w:cs="Arial"/>
        </w:rPr>
        <w:t>ã</w:t>
      </w:r>
      <w:r w:rsidR="00A132B3" w:rsidRPr="006A4C44">
        <w:rPr>
          <w:rFonts w:ascii="Garamond" w:hAnsi="Garamond" w:cs="Arial"/>
        </w:rPr>
        <w:t>o</w:t>
      </w:r>
      <w:r w:rsidR="00731B19" w:rsidRPr="006A4C44">
        <w:rPr>
          <w:rFonts w:ascii="Garamond" w:hAnsi="Garamond" w:cs="Arial"/>
        </w:rPr>
        <w:t xml:space="preserve"> se ter </w:t>
      </w:r>
      <w:r w:rsidR="00A132B3" w:rsidRPr="006A4C44">
        <w:rPr>
          <w:rFonts w:ascii="Garamond" w:hAnsi="Garamond" w:cs="Arial"/>
        </w:rPr>
        <w:t xml:space="preserve">identificado </w:t>
      </w:r>
      <w:r w:rsidR="00731B19" w:rsidRPr="006A4C44">
        <w:rPr>
          <w:rFonts w:ascii="Garamond" w:hAnsi="Garamond" w:cs="Arial"/>
        </w:rPr>
        <w:t>o autor d</w:t>
      </w:r>
      <w:r w:rsidR="00A132B3" w:rsidRPr="006A4C44">
        <w:rPr>
          <w:rFonts w:ascii="Garamond" w:hAnsi="Garamond" w:cs="Arial"/>
        </w:rPr>
        <w:t xml:space="preserve">a </w:t>
      </w:r>
      <w:r w:rsidR="00731B19" w:rsidRPr="006A4C44">
        <w:rPr>
          <w:rFonts w:ascii="Garamond" w:hAnsi="Garamond" w:cs="Arial"/>
        </w:rPr>
        <w:t>transgressão</w:t>
      </w:r>
      <w:r w:rsidR="00A132B3" w:rsidRPr="006A4C44">
        <w:rPr>
          <w:rFonts w:ascii="Garamond" w:hAnsi="Garamond" w:cs="Arial"/>
        </w:rPr>
        <w:t xml:space="preserve">, </w:t>
      </w:r>
      <w:r w:rsidR="007342D9" w:rsidRPr="006A4C44">
        <w:rPr>
          <w:rFonts w:ascii="Garamond" w:hAnsi="Garamond" w:cs="Arial"/>
        </w:rPr>
        <w:t>pode</w:t>
      </w:r>
      <w:r w:rsidR="00A132B3" w:rsidRPr="006A4C44">
        <w:rPr>
          <w:rFonts w:ascii="Garamond" w:hAnsi="Garamond" w:cs="Arial"/>
        </w:rPr>
        <w:t xml:space="preserve"> </w:t>
      </w:r>
      <w:r w:rsidR="00731B19" w:rsidRPr="006A4C44">
        <w:rPr>
          <w:rFonts w:ascii="Garamond" w:hAnsi="Garamond" w:cs="Arial"/>
        </w:rPr>
        <w:t xml:space="preserve">acarretar </w:t>
      </w:r>
      <w:r w:rsidR="00A132B3" w:rsidRPr="006A4C44">
        <w:rPr>
          <w:rFonts w:ascii="Garamond" w:hAnsi="Garamond" w:cs="Arial"/>
        </w:rPr>
        <w:t xml:space="preserve">a </w:t>
      </w:r>
      <w:r w:rsidR="006D0543" w:rsidRPr="006A4C44">
        <w:rPr>
          <w:rFonts w:ascii="Garamond" w:hAnsi="Garamond" w:cs="Arial"/>
        </w:rPr>
        <w:t>responsabilidade</w:t>
      </w:r>
      <w:r w:rsidR="00A132B3" w:rsidRPr="006A4C44">
        <w:rPr>
          <w:rFonts w:ascii="Garamond" w:hAnsi="Garamond" w:cs="Arial"/>
        </w:rPr>
        <w:t xml:space="preserve"> internacional d</w:t>
      </w:r>
      <w:r w:rsidR="00731B19" w:rsidRPr="006A4C44">
        <w:rPr>
          <w:rFonts w:ascii="Garamond" w:hAnsi="Garamond" w:cs="Arial"/>
        </w:rPr>
        <w:t>o</w:t>
      </w:r>
      <w:r w:rsidR="00A132B3" w:rsidRPr="006A4C44">
        <w:rPr>
          <w:rFonts w:ascii="Garamond" w:hAnsi="Garamond" w:cs="Arial"/>
        </w:rPr>
        <w:t xml:space="preserve"> Estado, n</w:t>
      </w:r>
      <w:r w:rsidR="00731B19" w:rsidRPr="006A4C44">
        <w:rPr>
          <w:rFonts w:ascii="Garamond" w:hAnsi="Garamond" w:cs="Arial"/>
        </w:rPr>
        <w:t>ã</w:t>
      </w:r>
      <w:r w:rsidR="00A132B3" w:rsidRPr="006A4C44">
        <w:rPr>
          <w:rFonts w:ascii="Garamond" w:hAnsi="Garamond" w:cs="Arial"/>
        </w:rPr>
        <w:t>o por e</w:t>
      </w:r>
      <w:r w:rsidR="00731B19" w:rsidRPr="006A4C44">
        <w:rPr>
          <w:rFonts w:ascii="Garamond" w:hAnsi="Garamond" w:cs="Arial"/>
        </w:rPr>
        <w:t>s</w:t>
      </w:r>
      <w:r w:rsidR="00A132B3" w:rsidRPr="006A4C44">
        <w:rPr>
          <w:rFonts w:ascii="Garamond" w:hAnsi="Garamond" w:cs="Arial"/>
        </w:rPr>
        <w:t xml:space="preserve">se </w:t>
      </w:r>
      <w:r w:rsidR="00731B19" w:rsidRPr="006A4C44">
        <w:rPr>
          <w:rFonts w:ascii="Garamond" w:hAnsi="Garamond" w:cs="Arial"/>
        </w:rPr>
        <w:t xml:space="preserve">facto em si próprio, mas sim pela falta da </w:t>
      </w:r>
      <w:r w:rsidR="00CF4C35" w:rsidRPr="006A4C44">
        <w:rPr>
          <w:rFonts w:ascii="Garamond" w:hAnsi="Garamond" w:cs="Arial"/>
        </w:rPr>
        <w:t>Diligência Devida</w:t>
      </w:r>
      <w:r w:rsidR="00731B19" w:rsidRPr="006A4C44">
        <w:rPr>
          <w:rFonts w:ascii="Garamond" w:hAnsi="Garamond" w:cs="Arial"/>
        </w:rPr>
        <w:t xml:space="preserve"> para prevenir </w:t>
      </w:r>
      <w:r w:rsidR="00A132B3" w:rsidRPr="006A4C44">
        <w:rPr>
          <w:rFonts w:ascii="Garamond" w:hAnsi="Garamond" w:cs="Arial"/>
        </w:rPr>
        <w:t xml:space="preserve">a </w:t>
      </w:r>
      <w:r w:rsidR="007342D9" w:rsidRPr="006A4C44">
        <w:rPr>
          <w:rFonts w:ascii="Garamond" w:hAnsi="Garamond" w:cs="Arial"/>
        </w:rPr>
        <w:t>violação</w:t>
      </w:r>
      <w:r w:rsidR="00A132B3" w:rsidRPr="006A4C44">
        <w:rPr>
          <w:rFonts w:ascii="Garamond" w:hAnsi="Garamond" w:cs="Arial"/>
        </w:rPr>
        <w:t xml:space="preserve"> o</w:t>
      </w:r>
      <w:r w:rsidR="00731B19" w:rsidRPr="006A4C44">
        <w:rPr>
          <w:rFonts w:ascii="Garamond" w:hAnsi="Garamond" w:cs="Arial"/>
        </w:rPr>
        <w:t>u</w:t>
      </w:r>
      <w:r w:rsidR="00A132B3" w:rsidRPr="006A4C44">
        <w:rPr>
          <w:rFonts w:ascii="Garamond" w:hAnsi="Garamond" w:cs="Arial"/>
        </w:rPr>
        <w:t xml:space="preserve"> para</w:t>
      </w:r>
      <w:r w:rsidR="00731B19" w:rsidRPr="006A4C44">
        <w:rPr>
          <w:rFonts w:ascii="Garamond" w:hAnsi="Garamond" w:cs="Arial"/>
        </w:rPr>
        <w:t xml:space="preserve"> a</w:t>
      </w:r>
      <w:r w:rsidR="00A132B3" w:rsidRPr="006A4C44">
        <w:rPr>
          <w:rFonts w:ascii="Garamond" w:hAnsi="Garamond" w:cs="Arial"/>
        </w:rPr>
        <w:t xml:space="preserve"> tratar</w:t>
      </w:r>
      <w:r w:rsidR="00731B19" w:rsidRPr="006A4C44">
        <w:rPr>
          <w:rFonts w:ascii="Garamond" w:hAnsi="Garamond" w:cs="Arial"/>
        </w:rPr>
        <w:t xml:space="preserve"> no</w:t>
      </w:r>
      <w:r w:rsidR="00A132B3" w:rsidRPr="006A4C44">
        <w:rPr>
          <w:rFonts w:ascii="Garamond" w:hAnsi="Garamond" w:cs="Arial"/>
        </w:rPr>
        <w:t xml:space="preserve">s </w:t>
      </w:r>
      <w:r w:rsidR="00731B19" w:rsidRPr="006A4C44">
        <w:rPr>
          <w:rFonts w:ascii="Garamond" w:hAnsi="Garamond" w:cs="Arial"/>
        </w:rPr>
        <w:t>termos</w:t>
      </w:r>
      <w:r w:rsidR="00A132B3" w:rsidRPr="006A4C44">
        <w:rPr>
          <w:rFonts w:ascii="Garamond" w:hAnsi="Garamond" w:cs="Arial"/>
        </w:rPr>
        <w:t xml:space="preserve"> requeridos p</w:t>
      </w:r>
      <w:r w:rsidR="00731B19" w:rsidRPr="006A4C44">
        <w:rPr>
          <w:rFonts w:ascii="Garamond" w:hAnsi="Garamond" w:cs="Arial"/>
        </w:rPr>
        <w:t>e</w:t>
      </w:r>
      <w:r w:rsidR="00A132B3" w:rsidRPr="006A4C44">
        <w:rPr>
          <w:rFonts w:ascii="Garamond" w:hAnsi="Garamond" w:cs="Arial"/>
        </w:rPr>
        <w:t xml:space="preserve">la </w:t>
      </w:r>
      <w:r w:rsidR="00B14AA6" w:rsidRPr="006A4C44">
        <w:rPr>
          <w:rFonts w:ascii="Garamond" w:hAnsi="Garamond" w:cs="Arial"/>
        </w:rPr>
        <w:t>Convenção</w:t>
      </w:r>
      <w:r w:rsidR="00736E71" w:rsidRPr="006A4C44">
        <w:rPr>
          <w:rFonts w:ascii="Garamond" w:hAnsi="Garamond" w:cs="Arial"/>
          <w:b/>
        </w:rPr>
        <w:t>.</w:t>
      </w:r>
      <w:r w:rsidRPr="006A4C44">
        <w:rPr>
          <w:rFonts w:ascii="Garamond" w:hAnsi="Garamond" w:cs="Arial"/>
          <w:b/>
        </w:rPr>
        <w:t>»</w:t>
      </w:r>
      <w:r w:rsidR="00736E71" w:rsidRPr="006A4C44">
        <w:rPr>
          <w:rStyle w:val="Refdenotaalpie"/>
          <w:rFonts w:ascii="Garamond" w:hAnsi="Garamond" w:cs="Arial"/>
          <w:b/>
        </w:rPr>
        <w:t xml:space="preserve"> </w:t>
      </w:r>
      <w:r w:rsidR="00736E71" w:rsidRPr="006A4C44">
        <w:rPr>
          <w:rStyle w:val="Refdenotaalpie"/>
          <w:rFonts w:ascii="Garamond" w:hAnsi="Garamond" w:cs="Arial"/>
          <w:b/>
        </w:rPr>
        <w:footnoteReference w:id="13"/>
      </w:r>
      <w:r w:rsidR="00736E71" w:rsidRPr="006A4C44">
        <w:rPr>
          <w:rFonts w:ascii="Garamond" w:hAnsi="Garamond" w:cs="Arial"/>
        </w:rPr>
        <w:t xml:space="preserve"> </w:t>
      </w:r>
    </w:p>
    <w:p w:rsidR="00A132B3" w:rsidRPr="003A1174" w:rsidRDefault="00A132B3" w:rsidP="008719D4">
      <w:pPr>
        <w:pStyle w:val="NormalWeb"/>
        <w:jc w:val="both"/>
        <w:rPr>
          <w:rFonts w:ascii="Garamond" w:hAnsi="Garamond" w:cs="Arial"/>
          <w:lang w:val="pt-PT"/>
        </w:rPr>
      </w:pPr>
      <w:r w:rsidRPr="003A1174">
        <w:rPr>
          <w:rFonts w:ascii="Garamond" w:hAnsi="Garamond" w:cs="Arial"/>
          <w:lang w:val="pt-PT"/>
        </w:rPr>
        <w:t xml:space="preserve">Este </w:t>
      </w:r>
      <w:r w:rsidR="00731B19" w:rsidRPr="003A1174">
        <w:rPr>
          <w:rFonts w:ascii="Garamond" w:hAnsi="Garamond" w:cs="Arial"/>
          <w:lang w:val="pt-PT"/>
        </w:rPr>
        <w:t>raciocínio</w:t>
      </w:r>
      <w:r w:rsidRPr="003A1174">
        <w:rPr>
          <w:rFonts w:ascii="Garamond" w:hAnsi="Garamond" w:cs="Arial"/>
          <w:lang w:val="pt-PT"/>
        </w:rPr>
        <w:t xml:space="preserve"> </w:t>
      </w:r>
      <w:r w:rsidR="00731B19" w:rsidRPr="003A1174">
        <w:rPr>
          <w:rFonts w:ascii="Garamond" w:hAnsi="Garamond" w:cs="Arial"/>
          <w:lang w:val="pt-PT"/>
        </w:rPr>
        <w:t>apoia-se</w:t>
      </w:r>
      <w:r w:rsidR="00780283">
        <w:rPr>
          <w:rFonts w:ascii="Garamond" w:hAnsi="Garamond" w:cs="Arial"/>
          <w:lang w:val="pt-PT"/>
        </w:rPr>
        <w:t>,</w:t>
      </w:r>
      <w:r w:rsidR="00731B19" w:rsidRPr="003A1174">
        <w:rPr>
          <w:rFonts w:ascii="Garamond" w:hAnsi="Garamond" w:cs="Arial"/>
          <w:lang w:val="pt-PT"/>
        </w:rPr>
        <w:t xml:space="preserve"> </w:t>
      </w:r>
      <w:r w:rsidRPr="003A1174">
        <w:rPr>
          <w:rFonts w:ascii="Garamond" w:hAnsi="Garamond" w:cs="Arial"/>
          <w:lang w:val="pt-PT"/>
        </w:rPr>
        <w:t>normativamente</w:t>
      </w:r>
      <w:r w:rsidR="00731B19" w:rsidRPr="003A1174">
        <w:rPr>
          <w:rFonts w:ascii="Garamond" w:hAnsi="Garamond" w:cs="Arial"/>
          <w:lang w:val="pt-PT"/>
        </w:rPr>
        <w:t xml:space="preserve">, </w:t>
      </w:r>
      <w:r w:rsidRPr="003A1174">
        <w:rPr>
          <w:rFonts w:ascii="Garamond" w:hAnsi="Garamond" w:cs="Arial"/>
          <w:lang w:val="pt-PT"/>
        </w:rPr>
        <w:t xml:space="preserve">nos </w:t>
      </w:r>
      <w:r w:rsidR="00C031E1" w:rsidRPr="003A1174">
        <w:rPr>
          <w:rFonts w:ascii="Garamond" w:hAnsi="Garamond" w:cs="Arial"/>
          <w:lang w:val="pt-PT"/>
        </w:rPr>
        <w:t>Arts.</w:t>
      </w:r>
      <w:r w:rsidR="00731B19" w:rsidRPr="003A1174">
        <w:rPr>
          <w:rFonts w:ascii="Garamond" w:hAnsi="Garamond" w:cs="Arial"/>
          <w:lang w:val="pt-PT"/>
        </w:rPr>
        <w:t xml:space="preserve"> 1.1</w:t>
      </w:r>
      <w:r w:rsidR="003B4D48">
        <w:rPr>
          <w:rFonts w:ascii="Garamond" w:hAnsi="Garamond" w:cs="Arial"/>
          <w:lang w:val="pt-PT"/>
        </w:rPr>
        <w:t>.</w:t>
      </w:r>
      <w:r w:rsidR="00731B19" w:rsidRPr="003A1174">
        <w:rPr>
          <w:rFonts w:ascii="Garamond" w:hAnsi="Garamond" w:cs="Arial"/>
          <w:lang w:val="pt-PT"/>
        </w:rPr>
        <w:t xml:space="preserve"> </w:t>
      </w:r>
      <w:proofErr w:type="gramStart"/>
      <w:r w:rsidR="00731B19" w:rsidRPr="003A1174">
        <w:rPr>
          <w:rFonts w:ascii="Garamond" w:hAnsi="Garamond" w:cs="Arial"/>
          <w:lang w:val="pt-PT"/>
        </w:rPr>
        <w:t>e</w:t>
      </w:r>
      <w:proofErr w:type="gramEnd"/>
      <w:r w:rsidR="00731B19" w:rsidRPr="003A1174">
        <w:rPr>
          <w:rFonts w:ascii="Garamond" w:hAnsi="Garamond" w:cs="Arial"/>
          <w:lang w:val="pt-PT"/>
        </w:rPr>
        <w:t xml:space="preserve"> 2</w:t>
      </w:r>
      <w:r w:rsidR="003B4D48">
        <w:rPr>
          <w:rFonts w:ascii="Garamond" w:hAnsi="Garamond" w:cs="Arial"/>
          <w:lang w:val="pt-PT"/>
        </w:rPr>
        <w:t>.</w:t>
      </w:r>
      <w:r w:rsidR="00731B19" w:rsidRPr="003A1174">
        <w:rPr>
          <w:rFonts w:ascii="Garamond" w:hAnsi="Garamond" w:cs="Arial"/>
          <w:lang w:val="pt-PT"/>
        </w:rPr>
        <w:t xml:space="preserve"> </w:t>
      </w:r>
      <w:proofErr w:type="gramStart"/>
      <w:r w:rsidR="00731B19" w:rsidRPr="003A1174">
        <w:rPr>
          <w:rFonts w:ascii="Garamond" w:hAnsi="Garamond" w:cs="Arial"/>
          <w:lang w:val="pt-PT"/>
        </w:rPr>
        <w:t>d</w:t>
      </w:r>
      <w:r w:rsidRPr="003A1174">
        <w:rPr>
          <w:rFonts w:ascii="Garamond" w:hAnsi="Garamond" w:cs="Arial"/>
          <w:lang w:val="pt-PT"/>
        </w:rPr>
        <w:t>a</w:t>
      </w:r>
      <w:proofErr w:type="gramEnd"/>
      <w:r w:rsidRPr="003A1174">
        <w:rPr>
          <w:rFonts w:ascii="Garamond" w:hAnsi="Garamond" w:cs="Arial"/>
          <w:lang w:val="pt-PT"/>
        </w:rPr>
        <w:t xml:space="preserve"> </w:t>
      </w:r>
      <w:r w:rsidR="00B14AA6" w:rsidRPr="003A1174">
        <w:rPr>
          <w:rFonts w:ascii="Garamond" w:hAnsi="Garamond" w:cs="Arial"/>
          <w:lang w:val="pt-PT"/>
        </w:rPr>
        <w:t>Convenção</w:t>
      </w:r>
      <w:r w:rsidR="00731B19" w:rsidRPr="003A1174">
        <w:rPr>
          <w:rFonts w:ascii="Garamond" w:hAnsi="Garamond" w:cs="Arial"/>
          <w:lang w:val="pt-PT"/>
        </w:rPr>
        <w:t xml:space="preserve"> Americana, cuj</w:t>
      </w:r>
      <w:r w:rsidRPr="003A1174">
        <w:rPr>
          <w:rFonts w:ascii="Garamond" w:hAnsi="Garamond" w:cs="Arial"/>
          <w:lang w:val="pt-PT"/>
        </w:rPr>
        <w:t xml:space="preserve">o </w:t>
      </w:r>
      <w:r w:rsidR="00731B19" w:rsidRPr="003A1174">
        <w:rPr>
          <w:rFonts w:ascii="Garamond" w:hAnsi="Garamond" w:cs="Arial"/>
          <w:lang w:val="pt-PT"/>
        </w:rPr>
        <w:t>teor</w:t>
      </w:r>
      <w:r w:rsidRPr="003A1174">
        <w:rPr>
          <w:rFonts w:ascii="Garamond" w:hAnsi="Garamond" w:cs="Arial"/>
          <w:lang w:val="pt-PT"/>
        </w:rPr>
        <w:t xml:space="preserve"> disp</w:t>
      </w:r>
      <w:r w:rsidR="00841520" w:rsidRPr="003A1174">
        <w:rPr>
          <w:rFonts w:ascii="Garamond" w:hAnsi="Garamond" w:cs="Arial"/>
          <w:lang w:val="pt-PT"/>
        </w:rPr>
        <w:t>õe</w:t>
      </w:r>
      <w:r w:rsidR="00780283">
        <w:rPr>
          <w:rFonts w:ascii="Garamond" w:hAnsi="Garamond" w:cs="Arial"/>
          <w:lang w:val="pt-PT"/>
        </w:rPr>
        <w:t>,</w:t>
      </w:r>
      <w:r w:rsidR="00841520" w:rsidRPr="003A1174">
        <w:rPr>
          <w:rFonts w:ascii="Garamond" w:hAnsi="Garamond" w:cs="Arial"/>
          <w:lang w:val="pt-PT"/>
        </w:rPr>
        <w:t xml:space="preserve"> </w:t>
      </w:r>
      <w:r w:rsidR="00731B19" w:rsidRPr="003A1174">
        <w:rPr>
          <w:rFonts w:ascii="Garamond" w:hAnsi="Garamond" w:cs="Arial"/>
          <w:lang w:val="pt-PT"/>
        </w:rPr>
        <w:t xml:space="preserve">no </w:t>
      </w:r>
      <w:r w:rsidR="00D96FD0" w:rsidRPr="003A1174">
        <w:rPr>
          <w:rFonts w:ascii="Garamond" w:hAnsi="Garamond" w:cs="Arial"/>
          <w:lang w:val="pt-PT"/>
        </w:rPr>
        <w:t>primeiro</w:t>
      </w:r>
      <w:r w:rsidRPr="003A1174">
        <w:rPr>
          <w:rFonts w:ascii="Garamond" w:hAnsi="Garamond" w:cs="Arial"/>
          <w:lang w:val="pt-PT"/>
        </w:rPr>
        <w:t xml:space="preserve"> de ta</w:t>
      </w:r>
      <w:r w:rsidR="00731B19" w:rsidRPr="003A1174">
        <w:rPr>
          <w:rFonts w:ascii="Garamond" w:hAnsi="Garamond" w:cs="Arial"/>
          <w:lang w:val="pt-PT"/>
        </w:rPr>
        <w:t>i</w:t>
      </w:r>
      <w:r w:rsidRPr="003A1174">
        <w:rPr>
          <w:rFonts w:ascii="Garamond" w:hAnsi="Garamond" w:cs="Arial"/>
          <w:lang w:val="pt-PT"/>
        </w:rPr>
        <w:t xml:space="preserve">s </w:t>
      </w:r>
      <w:r w:rsidR="00BA3CCE" w:rsidRPr="003A1174">
        <w:rPr>
          <w:rFonts w:ascii="Garamond" w:hAnsi="Garamond" w:cs="Arial"/>
          <w:lang w:val="pt-PT"/>
        </w:rPr>
        <w:t>preceitos</w:t>
      </w:r>
      <w:r w:rsidR="00FB316B" w:rsidRPr="003A1174">
        <w:rPr>
          <w:rFonts w:ascii="Garamond" w:hAnsi="Garamond" w:cs="Arial"/>
          <w:lang w:val="pt-PT"/>
        </w:rPr>
        <w:t>,</w:t>
      </w:r>
      <w:r w:rsidR="00731B19" w:rsidRPr="003A1174">
        <w:rPr>
          <w:rFonts w:ascii="Garamond" w:hAnsi="Garamond" w:cs="Arial"/>
          <w:lang w:val="pt-PT"/>
        </w:rPr>
        <w:t xml:space="preserve"> que </w:t>
      </w:r>
      <w:r w:rsidRPr="003A1174">
        <w:rPr>
          <w:rFonts w:ascii="Garamond" w:hAnsi="Garamond" w:cs="Arial"/>
          <w:lang w:val="pt-PT"/>
        </w:rPr>
        <w:t>os Estados</w:t>
      </w:r>
      <w:r w:rsidR="00C8548A">
        <w:rPr>
          <w:rFonts w:ascii="Garamond" w:hAnsi="Garamond" w:cs="Arial"/>
          <w:lang w:val="pt-PT"/>
        </w:rPr>
        <w:t>-M</w:t>
      </w:r>
      <w:r w:rsidR="00682C71" w:rsidRPr="003A1174">
        <w:rPr>
          <w:rFonts w:ascii="Garamond" w:hAnsi="Garamond" w:cs="Arial"/>
          <w:lang w:val="pt-PT"/>
        </w:rPr>
        <w:t>embros d</w:t>
      </w:r>
      <w:r w:rsidR="00731B19" w:rsidRPr="003A1174">
        <w:rPr>
          <w:rFonts w:ascii="Garamond" w:hAnsi="Garamond" w:cs="Arial"/>
          <w:lang w:val="pt-PT"/>
        </w:rPr>
        <w:t xml:space="preserve">o referido </w:t>
      </w:r>
      <w:r w:rsidRPr="003A1174">
        <w:rPr>
          <w:rFonts w:ascii="Garamond" w:hAnsi="Garamond" w:cs="Arial"/>
          <w:lang w:val="pt-PT"/>
        </w:rPr>
        <w:t xml:space="preserve">instrumento </w:t>
      </w:r>
      <w:r w:rsidR="002F62B0" w:rsidRPr="003A1174">
        <w:rPr>
          <w:rFonts w:ascii="Garamond" w:hAnsi="Garamond" w:cs="Arial"/>
          <w:lang w:val="pt-PT"/>
        </w:rPr>
        <w:t>assum</w:t>
      </w:r>
      <w:r w:rsidR="00780283">
        <w:rPr>
          <w:rFonts w:ascii="Garamond" w:hAnsi="Garamond" w:cs="Arial"/>
          <w:lang w:val="pt-PT"/>
        </w:rPr>
        <w:t>a</w:t>
      </w:r>
      <w:r w:rsidR="002F62B0" w:rsidRPr="003A1174">
        <w:rPr>
          <w:rFonts w:ascii="Garamond" w:hAnsi="Garamond" w:cs="Arial"/>
          <w:lang w:val="pt-PT"/>
        </w:rPr>
        <w:t>m</w:t>
      </w:r>
      <w:r w:rsidR="00731B19" w:rsidRPr="003A1174">
        <w:rPr>
          <w:rFonts w:ascii="Garamond" w:hAnsi="Garamond" w:cs="Arial"/>
          <w:lang w:val="pt-PT"/>
        </w:rPr>
        <w:t xml:space="preserve"> o</w:t>
      </w:r>
      <w:r w:rsidRPr="003A1174">
        <w:rPr>
          <w:rFonts w:ascii="Garamond" w:hAnsi="Garamond" w:cs="Arial"/>
          <w:lang w:val="pt-PT"/>
        </w:rPr>
        <w:t xml:space="preserve"> </w:t>
      </w:r>
      <w:r w:rsidR="00731B19" w:rsidRPr="003A1174">
        <w:rPr>
          <w:rFonts w:ascii="Garamond" w:hAnsi="Garamond" w:cs="Arial"/>
          <w:lang w:val="pt-PT"/>
        </w:rPr>
        <w:t>compromisso</w:t>
      </w:r>
      <w:r w:rsidRPr="003A1174">
        <w:rPr>
          <w:rFonts w:ascii="Garamond" w:hAnsi="Garamond" w:cs="Arial"/>
          <w:lang w:val="pt-PT"/>
        </w:rPr>
        <w:t xml:space="preserve"> </w:t>
      </w:r>
      <w:r w:rsidR="00731B19" w:rsidRPr="003A1174">
        <w:rPr>
          <w:rFonts w:ascii="Garamond" w:hAnsi="Garamond" w:cs="Arial"/>
          <w:lang w:val="pt-PT"/>
        </w:rPr>
        <w:t>o</w:t>
      </w:r>
      <w:r w:rsidRPr="003A1174">
        <w:rPr>
          <w:rFonts w:ascii="Garamond" w:hAnsi="Garamond" w:cs="Arial"/>
          <w:lang w:val="pt-PT"/>
        </w:rPr>
        <w:t xml:space="preserve">u </w:t>
      </w:r>
      <w:r w:rsidR="00AF192F" w:rsidRPr="003A1174">
        <w:rPr>
          <w:rFonts w:ascii="Garamond" w:hAnsi="Garamond" w:cs="Arial"/>
          <w:lang w:val="pt-PT"/>
        </w:rPr>
        <w:t>obrigação</w:t>
      </w:r>
      <w:r w:rsidRPr="003A1174">
        <w:rPr>
          <w:rFonts w:ascii="Garamond" w:hAnsi="Garamond" w:cs="Arial"/>
          <w:lang w:val="pt-PT"/>
        </w:rPr>
        <w:t xml:space="preserve"> de </w:t>
      </w:r>
      <w:r w:rsidR="006A4C44">
        <w:rPr>
          <w:rFonts w:ascii="Garamond" w:hAnsi="Garamond" w:cs="Arial"/>
          <w:lang w:val="pt-PT"/>
        </w:rPr>
        <w:t>«r</w:t>
      </w:r>
      <w:r w:rsidR="00661ADB" w:rsidRPr="006A4C44">
        <w:rPr>
          <w:rFonts w:ascii="Garamond" w:hAnsi="Garamond" w:cs="Arial"/>
          <w:lang w:val="pt-PT"/>
        </w:rPr>
        <w:t>espeitar</w:t>
      </w:r>
      <w:r w:rsidR="00731B19" w:rsidRPr="006A4C44">
        <w:rPr>
          <w:rFonts w:ascii="Garamond" w:hAnsi="Garamond" w:cs="Arial"/>
          <w:lang w:val="pt-PT"/>
        </w:rPr>
        <w:t xml:space="preserve"> </w:t>
      </w:r>
      <w:r w:rsidRPr="006A4C44">
        <w:rPr>
          <w:rFonts w:ascii="Garamond" w:hAnsi="Garamond" w:cs="Arial"/>
          <w:lang w:val="pt-PT"/>
        </w:rPr>
        <w:t xml:space="preserve">os </w:t>
      </w:r>
      <w:r w:rsidR="00886D6A" w:rsidRPr="006A4C44">
        <w:rPr>
          <w:rFonts w:ascii="Garamond" w:hAnsi="Garamond" w:cs="Arial"/>
          <w:lang w:val="pt-PT"/>
        </w:rPr>
        <w:t>direito</w:t>
      </w:r>
      <w:r w:rsidR="00731B19" w:rsidRPr="006A4C44">
        <w:rPr>
          <w:rFonts w:ascii="Garamond" w:hAnsi="Garamond" w:cs="Arial"/>
          <w:lang w:val="pt-PT"/>
        </w:rPr>
        <w:t>s e</w:t>
      </w:r>
      <w:r w:rsidRPr="006A4C44">
        <w:rPr>
          <w:rFonts w:ascii="Garamond" w:hAnsi="Garamond" w:cs="Arial"/>
          <w:lang w:val="pt-PT"/>
        </w:rPr>
        <w:t xml:space="preserve"> </w:t>
      </w:r>
      <w:r w:rsidR="006506C6" w:rsidRPr="006A4C44">
        <w:rPr>
          <w:rFonts w:ascii="Garamond" w:hAnsi="Garamond" w:cs="Arial"/>
          <w:lang w:val="pt-PT"/>
        </w:rPr>
        <w:t>liberdades</w:t>
      </w:r>
      <w:r w:rsidR="006A4C44" w:rsidRPr="006A4C44">
        <w:rPr>
          <w:rFonts w:ascii="Garamond" w:hAnsi="Garamond" w:cs="Arial"/>
          <w:lang w:val="pt-PT"/>
        </w:rPr>
        <w:t>»</w:t>
      </w:r>
      <w:r w:rsidRPr="003A1174">
        <w:rPr>
          <w:rFonts w:ascii="Garamond" w:hAnsi="Garamond" w:cs="Arial"/>
          <w:i/>
          <w:lang w:val="pt-PT"/>
        </w:rPr>
        <w:t xml:space="preserve"> </w:t>
      </w:r>
      <w:r w:rsidR="00731B19" w:rsidRPr="003A1174">
        <w:rPr>
          <w:rFonts w:ascii="Garamond" w:hAnsi="Garamond" w:cs="Arial"/>
          <w:lang w:val="pt-PT"/>
        </w:rPr>
        <w:t xml:space="preserve">constantes na referida </w:t>
      </w:r>
      <w:r w:rsidR="00B14AA6" w:rsidRPr="003A1174">
        <w:rPr>
          <w:rFonts w:ascii="Garamond" w:hAnsi="Garamond" w:cs="Arial"/>
          <w:lang w:val="pt-PT"/>
        </w:rPr>
        <w:t>Convenção</w:t>
      </w:r>
      <w:r w:rsidR="00FB316B" w:rsidRPr="003A1174">
        <w:rPr>
          <w:rFonts w:ascii="Garamond" w:hAnsi="Garamond" w:cs="Arial"/>
          <w:lang w:val="pt-PT"/>
        </w:rPr>
        <w:t>, as</w:t>
      </w:r>
      <w:r w:rsidR="00731B19" w:rsidRPr="003A1174">
        <w:rPr>
          <w:rFonts w:ascii="Garamond" w:hAnsi="Garamond" w:cs="Arial"/>
          <w:lang w:val="pt-PT"/>
        </w:rPr>
        <w:t>sim</w:t>
      </w:r>
      <w:r w:rsidR="00D267AE" w:rsidRPr="003A1174">
        <w:rPr>
          <w:rFonts w:ascii="Garamond" w:hAnsi="Garamond" w:cs="Arial"/>
          <w:lang w:val="pt-PT"/>
        </w:rPr>
        <w:t xml:space="preserve"> </w:t>
      </w:r>
      <w:r w:rsidRPr="003A1174">
        <w:rPr>
          <w:rFonts w:ascii="Garamond" w:hAnsi="Garamond" w:cs="Arial"/>
          <w:lang w:val="pt-PT"/>
        </w:rPr>
        <w:t xml:space="preserve">como </w:t>
      </w:r>
      <w:r w:rsidR="000350B1" w:rsidRPr="003A1174">
        <w:rPr>
          <w:rFonts w:ascii="Garamond" w:hAnsi="Garamond" w:cs="Arial"/>
          <w:lang w:val="pt-PT"/>
        </w:rPr>
        <w:t>também</w:t>
      </w:r>
      <w:r w:rsidRPr="003A1174">
        <w:rPr>
          <w:rFonts w:ascii="Garamond" w:hAnsi="Garamond" w:cs="Arial"/>
          <w:lang w:val="pt-PT"/>
        </w:rPr>
        <w:t xml:space="preserve"> de </w:t>
      </w:r>
      <w:r w:rsidR="006A4C44" w:rsidRPr="006A4C44">
        <w:rPr>
          <w:rFonts w:ascii="Garamond" w:hAnsi="Garamond" w:cs="Arial"/>
          <w:lang w:val="pt-PT"/>
        </w:rPr>
        <w:t>«</w:t>
      </w:r>
      <w:r w:rsidR="00AF192F" w:rsidRPr="006A4C44">
        <w:rPr>
          <w:rFonts w:ascii="Garamond" w:hAnsi="Garamond" w:cs="Arial"/>
          <w:lang w:val="pt-PT"/>
        </w:rPr>
        <w:t>garantir</w:t>
      </w:r>
      <w:r w:rsidRPr="006A4C44">
        <w:rPr>
          <w:rFonts w:ascii="Garamond" w:hAnsi="Garamond" w:cs="Arial"/>
          <w:lang w:val="pt-PT"/>
        </w:rPr>
        <w:t xml:space="preserve"> </w:t>
      </w:r>
      <w:r w:rsidR="00731B19" w:rsidRPr="006A4C44">
        <w:rPr>
          <w:rFonts w:ascii="Garamond" w:hAnsi="Garamond" w:cs="Arial"/>
          <w:lang w:val="pt-PT"/>
        </w:rPr>
        <w:t xml:space="preserve">o </w:t>
      </w:r>
      <w:r w:rsidRPr="006A4C44">
        <w:rPr>
          <w:rFonts w:ascii="Garamond" w:hAnsi="Garamond" w:cs="Arial"/>
          <w:lang w:val="pt-PT"/>
        </w:rPr>
        <w:t>s</w:t>
      </w:r>
      <w:r w:rsidR="00731B19" w:rsidRPr="006A4C44">
        <w:rPr>
          <w:rFonts w:ascii="Garamond" w:hAnsi="Garamond" w:cs="Arial"/>
          <w:lang w:val="pt-PT"/>
        </w:rPr>
        <w:t>e</w:t>
      </w:r>
      <w:r w:rsidRPr="006A4C44">
        <w:rPr>
          <w:rFonts w:ascii="Garamond" w:hAnsi="Garamond" w:cs="Arial"/>
          <w:lang w:val="pt-PT"/>
        </w:rPr>
        <w:t xml:space="preserve">u </w:t>
      </w:r>
      <w:r w:rsidR="00AF192F" w:rsidRPr="006A4C44">
        <w:rPr>
          <w:rFonts w:ascii="Garamond" w:hAnsi="Garamond" w:cs="Arial"/>
          <w:lang w:val="pt-PT"/>
        </w:rPr>
        <w:t>livre</w:t>
      </w:r>
      <w:r w:rsidR="00731B19" w:rsidRPr="006A4C44">
        <w:rPr>
          <w:rFonts w:ascii="Garamond" w:hAnsi="Garamond" w:cs="Arial"/>
          <w:lang w:val="pt-PT"/>
        </w:rPr>
        <w:t xml:space="preserve"> e</w:t>
      </w:r>
      <w:r w:rsidRPr="006A4C44">
        <w:rPr>
          <w:rFonts w:ascii="Garamond" w:hAnsi="Garamond" w:cs="Arial"/>
          <w:lang w:val="pt-PT"/>
        </w:rPr>
        <w:t xml:space="preserve"> pleno </w:t>
      </w:r>
      <w:r w:rsidR="00731B19" w:rsidRPr="006A4C44">
        <w:rPr>
          <w:rFonts w:ascii="Garamond" w:hAnsi="Garamond" w:cs="Arial"/>
          <w:lang w:val="pt-PT"/>
        </w:rPr>
        <w:t>exercício</w:t>
      </w:r>
      <w:r w:rsidRPr="006A4C44">
        <w:rPr>
          <w:rFonts w:ascii="Garamond" w:hAnsi="Garamond" w:cs="Arial"/>
          <w:lang w:val="pt-PT"/>
        </w:rPr>
        <w:t xml:space="preserve"> a toda</w:t>
      </w:r>
      <w:r w:rsidR="00731B19" w:rsidRPr="006A4C44">
        <w:rPr>
          <w:rFonts w:ascii="Garamond" w:hAnsi="Garamond" w:cs="Arial"/>
          <w:lang w:val="pt-PT"/>
        </w:rPr>
        <w:t xml:space="preserve">s as pessoas </w:t>
      </w:r>
      <w:r w:rsidRPr="006A4C44">
        <w:rPr>
          <w:rFonts w:ascii="Garamond" w:hAnsi="Garamond" w:cs="Arial"/>
          <w:lang w:val="pt-PT"/>
        </w:rPr>
        <w:t>que est</w:t>
      </w:r>
      <w:r w:rsidR="00731B19" w:rsidRPr="006A4C44">
        <w:rPr>
          <w:rFonts w:ascii="Garamond" w:hAnsi="Garamond" w:cs="Arial"/>
          <w:lang w:val="pt-PT"/>
        </w:rPr>
        <w:t>ejam s</w:t>
      </w:r>
      <w:r w:rsidR="002F62B0" w:rsidRPr="006A4C44">
        <w:rPr>
          <w:rFonts w:ascii="Garamond" w:hAnsi="Garamond" w:cs="Arial"/>
          <w:lang w:val="pt-PT"/>
        </w:rPr>
        <w:t>ujeita</w:t>
      </w:r>
      <w:r w:rsidR="00731B19" w:rsidRPr="006A4C44">
        <w:rPr>
          <w:rFonts w:ascii="Garamond" w:hAnsi="Garamond" w:cs="Arial"/>
          <w:lang w:val="pt-PT"/>
        </w:rPr>
        <w:t>s à sua jurisdição</w:t>
      </w:r>
      <w:r w:rsidRPr="006A4C44">
        <w:rPr>
          <w:rFonts w:ascii="Garamond" w:hAnsi="Garamond" w:cs="Arial"/>
          <w:lang w:val="pt-PT"/>
        </w:rPr>
        <w:t xml:space="preserve">, </w:t>
      </w:r>
      <w:r w:rsidR="00731B19" w:rsidRPr="006A4C44">
        <w:rPr>
          <w:rFonts w:ascii="Garamond" w:hAnsi="Garamond" w:cs="Arial"/>
          <w:lang w:val="pt-PT"/>
        </w:rPr>
        <w:t>sem</w:t>
      </w:r>
      <w:r w:rsidRPr="006A4C44">
        <w:rPr>
          <w:rFonts w:ascii="Garamond" w:hAnsi="Garamond" w:cs="Arial"/>
          <w:lang w:val="pt-PT"/>
        </w:rPr>
        <w:t xml:space="preserve"> </w:t>
      </w:r>
      <w:r w:rsidR="0017447A" w:rsidRPr="006A4C44">
        <w:rPr>
          <w:rFonts w:ascii="Garamond" w:hAnsi="Garamond" w:cs="Arial"/>
          <w:lang w:val="pt-PT"/>
        </w:rPr>
        <w:t>discriminação</w:t>
      </w:r>
      <w:r w:rsidRPr="006A4C44">
        <w:rPr>
          <w:rFonts w:ascii="Garamond" w:hAnsi="Garamond" w:cs="Arial"/>
          <w:lang w:val="pt-PT"/>
        </w:rPr>
        <w:t xml:space="preserve"> </w:t>
      </w:r>
      <w:r w:rsidR="00CD707D" w:rsidRPr="006A4C44">
        <w:rPr>
          <w:rFonts w:ascii="Garamond" w:hAnsi="Garamond" w:cs="Arial"/>
          <w:lang w:val="pt-PT"/>
        </w:rPr>
        <w:t>alguma</w:t>
      </w:r>
      <w:r w:rsidR="006A4C44" w:rsidRPr="006A4C44">
        <w:rPr>
          <w:rFonts w:ascii="Garamond" w:hAnsi="Garamond" w:cs="Arial"/>
          <w:lang w:val="pt-PT"/>
        </w:rPr>
        <w:t>»</w:t>
      </w:r>
      <w:r w:rsidRPr="006A4C44">
        <w:rPr>
          <w:rFonts w:ascii="Garamond" w:hAnsi="Garamond" w:cs="Arial"/>
          <w:lang w:val="pt-PT"/>
        </w:rPr>
        <w:t>;</w:t>
      </w:r>
      <w:r w:rsidRPr="003A1174">
        <w:rPr>
          <w:rFonts w:ascii="Garamond" w:hAnsi="Garamond" w:cs="Arial"/>
          <w:lang w:val="pt-PT"/>
        </w:rPr>
        <w:t xml:space="preserve"> </w:t>
      </w:r>
      <w:r w:rsidR="00731B19" w:rsidRPr="003A1174">
        <w:rPr>
          <w:rFonts w:ascii="Garamond" w:hAnsi="Garamond" w:cs="Arial"/>
          <w:lang w:val="pt-PT"/>
        </w:rPr>
        <w:t xml:space="preserve">enquanto o </w:t>
      </w:r>
      <w:r w:rsidRPr="003A1174">
        <w:rPr>
          <w:rFonts w:ascii="Garamond" w:hAnsi="Garamond" w:cs="Arial"/>
          <w:lang w:val="pt-PT"/>
        </w:rPr>
        <w:t xml:space="preserve">segundo dos </w:t>
      </w:r>
      <w:r w:rsidR="00BA3CCE" w:rsidRPr="003A1174">
        <w:rPr>
          <w:rFonts w:ascii="Garamond" w:hAnsi="Garamond" w:cs="Arial"/>
          <w:lang w:val="pt-PT"/>
        </w:rPr>
        <w:t>preceitos</w:t>
      </w:r>
      <w:r w:rsidRPr="003A1174">
        <w:rPr>
          <w:rFonts w:ascii="Garamond" w:hAnsi="Garamond" w:cs="Arial"/>
          <w:lang w:val="pt-PT"/>
        </w:rPr>
        <w:t xml:space="preserve"> </w:t>
      </w:r>
      <w:r w:rsidR="00152A44" w:rsidRPr="003A1174">
        <w:rPr>
          <w:rFonts w:ascii="Garamond" w:hAnsi="Garamond" w:cs="Arial"/>
          <w:lang w:val="pt-PT"/>
        </w:rPr>
        <w:t>estabelece</w:t>
      </w:r>
      <w:r w:rsidRPr="003A1174">
        <w:rPr>
          <w:rFonts w:ascii="Garamond" w:hAnsi="Garamond" w:cs="Arial"/>
          <w:lang w:val="pt-PT"/>
        </w:rPr>
        <w:t xml:space="preserve"> que s</w:t>
      </w:r>
      <w:r w:rsidR="007578C6" w:rsidRPr="003A1174">
        <w:rPr>
          <w:rFonts w:ascii="Garamond" w:hAnsi="Garamond" w:cs="Arial"/>
          <w:lang w:val="pt-PT"/>
        </w:rPr>
        <w:t>e</w:t>
      </w:r>
      <w:r w:rsidRPr="003A1174">
        <w:rPr>
          <w:rFonts w:ascii="Garamond" w:hAnsi="Garamond" w:cs="Arial"/>
          <w:lang w:val="pt-PT"/>
        </w:rPr>
        <w:t xml:space="preserve"> </w:t>
      </w:r>
      <w:r w:rsidR="006A4C44">
        <w:rPr>
          <w:rFonts w:ascii="Garamond" w:hAnsi="Garamond" w:cs="Arial"/>
          <w:lang w:val="pt-PT"/>
        </w:rPr>
        <w:t>«</w:t>
      </w:r>
      <w:r w:rsidR="007578C6" w:rsidRPr="003A1174">
        <w:rPr>
          <w:rFonts w:ascii="Garamond" w:hAnsi="Garamond" w:cs="Arial"/>
          <w:lang w:val="pt-PT"/>
        </w:rPr>
        <w:t>o</w:t>
      </w:r>
      <w:r w:rsidRPr="003A1174">
        <w:rPr>
          <w:rFonts w:ascii="Garamond" w:hAnsi="Garamond" w:cs="Arial"/>
          <w:lang w:val="pt-PT"/>
        </w:rPr>
        <w:t xml:space="preserve"> </w:t>
      </w:r>
      <w:r w:rsidR="00731B19" w:rsidRPr="003A1174">
        <w:rPr>
          <w:rFonts w:ascii="Garamond" w:hAnsi="Garamond" w:cs="Arial"/>
          <w:lang w:val="pt-PT"/>
        </w:rPr>
        <w:t>exercício</w:t>
      </w:r>
      <w:r w:rsidRPr="003A1174">
        <w:rPr>
          <w:rFonts w:ascii="Garamond" w:hAnsi="Garamond" w:cs="Arial"/>
          <w:lang w:val="pt-PT"/>
        </w:rPr>
        <w:t xml:space="preserve"> dos </w:t>
      </w:r>
      <w:r w:rsidR="00886D6A" w:rsidRPr="003A1174">
        <w:rPr>
          <w:rFonts w:ascii="Garamond" w:hAnsi="Garamond" w:cs="Arial"/>
          <w:lang w:val="pt-PT"/>
        </w:rPr>
        <w:t>direito</w:t>
      </w:r>
      <w:r w:rsidR="007578C6" w:rsidRPr="003A1174">
        <w:rPr>
          <w:rFonts w:ascii="Garamond" w:hAnsi="Garamond" w:cs="Arial"/>
          <w:lang w:val="pt-PT"/>
        </w:rPr>
        <w:t>s e</w:t>
      </w:r>
      <w:r w:rsidRPr="003A1174">
        <w:rPr>
          <w:rFonts w:ascii="Garamond" w:hAnsi="Garamond" w:cs="Arial"/>
          <w:lang w:val="pt-PT"/>
        </w:rPr>
        <w:t xml:space="preserve"> </w:t>
      </w:r>
      <w:r w:rsidR="006506C6" w:rsidRPr="003A1174">
        <w:rPr>
          <w:rFonts w:ascii="Garamond" w:hAnsi="Garamond" w:cs="Arial"/>
          <w:lang w:val="pt-PT"/>
        </w:rPr>
        <w:t>liberdades</w:t>
      </w:r>
      <w:r w:rsidRPr="003A1174">
        <w:rPr>
          <w:rFonts w:ascii="Garamond" w:hAnsi="Garamond" w:cs="Arial"/>
          <w:lang w:val="pt-PT"/>
        </w:rPr>
        <w:t xml:space="preserve"> mencionados </w:t>
      </w:r>
      <w:r w:rsidR="007578C6" w:rsidRPr="003A1174">
        <w:rPr>
          <w:rFonts w:ascii="Garamond" w:hAnsi="Garamond" w:cs="Arial"/>
          <w:lang w:val="pt-PT"/>
        </w:rPr>
        <w:t>no</w:t>
      </w:r>
      <w:r w:rsidRPr="003A1174">
        <w:rPr>
          <w:rFonts w:ascii="Garamond" w:hAnsi="Garamond" w:cs="Arial"/>
          <w:lang w:val="pt-PT"/>
        </w:rPr>
        <w:t xml:space="preserve"> </w:t>
      </w:r>
      <w:r w:rsidR="00383B3F" w:rsidRPr="003A1174">
        <w:rPr>
          <w:rFonts w:ascii="Garamond" w:hAnsi="Garamond" w:cs="Arial"/>
          <w:lang w:val="pt-PT"/>
        </w:rPr>
        <w:t>Art.</w:t>
      </w:r>
      <w:r w:rsidRPr="003A1174">
        <w:rPr>
          <w:rFonts w:ascii="Garamond" w:hAnsi="Garamond" w:cs="Arial"/>
          <w:lang w:val="pt-PT"/>
        </w:rPr>
        <w:t xml:space="preserve"> 1</w:t>
      </w:r>
      <w:r w:rsidR="006A4C44">
        <w:rPr>
          <w:rFonts w:ascii="Garamond" w:hAnsi="Garamond" w:cs="Arial"/>
          <w:lang w:val="pt-PT"/>
        </w:rPr>
        <w:t>»</w:t>
      </w:r>
      <w:r w:rsidRPr="003A1174">
        <w:rPr>
          <w:rFonts w:ascii="Garamond" w:hAnsi="Garamond" w:cs="Arial"/>
          <w:lang w:val="pt-PT"/>
        </w:rPr>
        <w:t xml:space="preserve"> (que s</w:t>
      </w:r>
      <w:r w:rsidR="007578C6" w:rsidRPr="003A1174">
        <w:rPr>
          <w:rFonts w:ascii="Garamond" w:hAnsi="Garamond" w:cs="Arial"/>
          <w:lang w:val="pt-PT"/>
        </w:rPr>
        <w:t>ão todos os d</w:t>
      </w:r>
      <w:r w:rsidRPr="003A1174">
        <w:rPr>
          <w:rFonts w:ascii="Garamond" w:hAnsi="Garamond" w:cs="Arial"/>
          <w:lang w:val="pt-PT"/>
        </w:rPr>
        <w:t xml:space="preserve">a CADH), </w:t>
      </w:r>
      <w:r w:rsidR="006A4C44" w:rsidRPr="006A4C44">
        <w:rPr>
          <w:rFonts w:ascii="Garamond" w:hAnsi="Garamond" w:cs="Arial"/>
          <w:lang w:val="pt-PT"/>
        </w:rPr>
        <w:t>«</w:t>
      </w:r>
      <w:r w:rsidRPr="006A4C44">
        <w:rPr>
          <w:rFonts w:ascii="Garamond" w:hAnsi="Garamond" w:cs="Arial"/>
          <w:lang w:val="pt-PT"/>
        </w:rPr>
        <w:t>n</w:t>
      </w:r>
      <w:r w:rsidR="007578C6" w:rsidRPr="006A4C44">
        <w:rPr>
          <w:rFonts w:ascii="Garamond" w:hAnsi="Garamond" w:cs="Arial"/>
          <w:lang w:val="pt-PT"/>
        </w:rPr>
        <w:t>ã</w:t>
      </w:r>
      <w:r w:rsidRPr="006A4C44">
        <w:rPr>
          <w:rFonts w:ascii="Garamond" w:hAnsi="Garamond" w:cs="Arial"/>
          <w:lang w:val="pt-PT"/>
        </w:rPr>
        <w:t>o est</w:t>
      </w:r>
      <w:r w:rsidR="007578C6" w:rsidRPr="006A4C44">
        <w:rPr>
          <w:rFonts w:ascii="Garamond" w:hAnsi="Garamond" w:cs="Arial"/>
          <w:lang w:val="pt-PT"/>
        </w:rPr>
        <w:t>iver já garanti</w:t>
      </w:r>
      <w:r w:rsidRPr="006A4C44">
        <w:rPr>
          <w:rFonts w:ascii="Garamond" w:hAnsi="Garamond" w:cs="Arial"/>
          <w:lang w:val="pt-PT"/>
        </w:rPr>
        <w:t>do p</w:t>
      </w:r>
      <w:r w:rsidR="007578C6" w:rsidRPr="006A4C44">
        <w:rPr>
          <w:rFonts w:ascii="Garamond" w:hAnsi="Garamond" w:cs="Arial"/>
          <w:lang w:val="pt-PT"/>
        </w:rPr>
        <w:t>e</w:t>
      </w:r>
      <w:r w:rsidR="00841520" w:rsidRPr="006A4C44">
        <w:rPr>
          <w:rFonts w:ascii="Garamond" w:hAnsi="Garamond" w:cs="Arial"/>
          <w:lang w:val="pt-PT"/>
        </w:rPr>
        <w:t>l</w:t>
      </w:r>
      <w:r w:rsidRPr="006A4C44">
        <w:rPr>
          <w:rFonts w:ascii="Garamond" w:hAnsi="Garamond" w:cs="Arial"/>
          <w:lang w:val="pt-PT"/>
        </w:rPr>
        <w:t xml:space="preserve">as </w:t>
      </w:r>
      <w:r w:rsidR="00B14AA6" w:rsidRPr="006A4C44">
        <w:rPr>
          <w:rFonts w:ascii="Garamond" w:hAnsi="Garamond" w:cs="Arial"/>
          <w:lang w:val="pt-PT"/>
        </w:rPr>
        <w:t>disposições</w:t>
      </w:r>
      <w:r w:rsidRPr="006A4C44">
        <w:rPr>
          <w:rFonts w:ascii="Garamond" w:hAnsi="Garamond" w:cs="Arial"/>
          <w:lang w:val="pt-PT"/>
        </w:rPr>
        <w:t xml:space="preserve"> legislativas o</w:t>
      </w:r>
      <w:r w:rsidR="007578C6" w:rsidRPr="006A4C44">
        <w:rPr>
          <w:rFonts w:ascii="Garamond" w:hAnsi="Garamond" w:cs="Arial"/>
          <w:lang w:val="pt-PT"/>
        </w:rPr>
        <w:t>u</w:t>
      </w:r>
      <w:r w:rsidRPr="006A4C44">
        <w:rPr>
          <w:rFonts w:ascii="Garamond" w:hAnsi="Garamond" w:cs="Arial"/>
          <w:lang w:val="pt-PT"/>
        </w:rPr>
        <w:t xml:space="preserve"> de o</w:t>
      </w:r>
      <w:r w:rsidR="007578C6" w:rsidRPr="006A4C44">
        <w:rPr>
          <w:rFonts w:ascii="Garamond" w:hAnsi="Garamond" w:cs="Arial"/>
          <w:lang w:val="pt-PT"/>
        </w:rPr>
        <w:t>u</w:t>
      </w:r>
      <w:r w:rsidRPr="006A4C44">
        <w:rPr>
          <w:rFonts w:ascii="Garamond" w:hAnsi="Garamond" w:cs="Arial"/>
          <w:lang w:val="pt-PT"/>
        </w:rPr>
        <w:t xml:space="preserve">tro </w:t>
      </w:r>
      <w:r w:rsidR="00120915" w:rsidRPr="006A4C44">
        <w:rPr>
          <w:rFonts w:ascii="Garamond" w:hAnsi="Garamond" w:cs="Arial"/>
          <w:lang w:val="pt-PT"/>
        </w:rPr>
        <w:t>caráter</w:t>
      </w:r>
      <w:r w:rsidR="007578C6" w:rsidRPr="006A4C44">
        <w:rPr>
          <w:rFonts w:ascii="Garamond" w:hAnsi="Garamond" w:cs="Arial"/>
          <w:lang w:val="pt-PT"/>
        </w:rPr>
        <w:t xml:space="preserve">, </w:t>
      </w:r>
      <w:r w:rsidRPr="006A4C44">
        <w:rPr>
          <w:rFonts w:ascii="Garamond" w:hAnsi="Garamond" w:cs="Arial"/>
          <w:lang w:val="pt-PT"/>
        </w:rPr>
        <w:t xml:space="preserve">os Estados </w:t>
      </w:r>
      <w:r w:rsidR="007578C6" w:rsidRPr="006A4C44">
        <w:rPr>
          <w:rFonts w:ascii="Garamond" w:hAnsi="Garamond" w:cs="Arial"/>
          <w:lang w:val="pt-PT"/>
        </w:rPr>
        <w:t xml:space="preserve">integrantes </w:t>
      </w:r>
      <w:r w:rsidRPr="006A4C44">
        <w:rPr>
          <w:rFonts w:ascii="Garamond" w:hAnsi="Garamond" w:cs="Arial"/>
          <w:lang w:val="pt-PT"/>
        </w:rPr>
        <w:t>compromete</w:t>
      </w:r>
      <w:r w:rsidR="007578C6" w:rsidRPr="006A4C44">
        <w:rPr>
          <w:rFonts w:ascii="Garamond" w:hAnsi="Garamond" w:cs="Arial"/>
          <w:lang w:val="pt-PT"/>
        </w:rPr>
        <w:t xml:space="preserve">m-se </w:t>
      </w:r>
      <w:r w:rsidRPr="006A4C44">
        <w:rPr>
          <w:rFonts w:ascii="Garamond" w:hAnsi="Garamond" w:cs="Arial"/>
          <w:lang w:val="pt-PT"/>
        </w:rPr>
        <w:t xml:space="preserve">a </w:t>
      </w:r>
      <w:r w:rsidR="006C760C" w:rsidRPr="006A4C44">
        <w:rPr>
          <w:rFonts w:ascii="Garamond" w:hAnsi="Garamond" w:cs="Arial"/>
          <w:lang w:val="pt-PT"/>
        </w:rPr>
        <w:t>adotar</w:t>
      </w:r>
      <w:r w:rsidR="007578C6" w:rsidRPr="006A4C44">
        <w:rPr>
          <w:rFonts w:ascii="Garamond" w:hAnsi="Garamond" w:cs="Arial"/>
          <w:lang w:val="pt-PT"/>
        </w:rPr>
        <w:t xml:space="preserve"> (...) </w:t>
      </w:r>
      <w:r w:rsidRPr="006A4C44">
        <w:rPr>
          <w:rFonts w:ascii="Garamond" w:hAnsi="Garamond" w:cs="Arial"/>
          <w:lang w:val="pt-PT"/>
        </w:rPr>
        <w:t>as medidas legislativas</w:t>
      </w:r>
      <w:r w:rsidR="00780283">
        <w:rPr>
          <w:rFonts w:ascii="Garamond" w:hAnsi="Garamond" w:cs="Arial"/>
          <w:lang w:val="pt-PT"/>
        </w:rPr>
        <w:t>,</w:t>
      </w:r>
      <w:r w:rsidRPr="006A4C44">
        <w:rPr>
          <w:rFonts w:ascii="Garamond" w:hAnsi="Garamond" w:cs="Arial"/>
          <w:lang w:val="pt-PT"/>
        </w:rPr>
        <w:t xml:space="preserve"> o</w:t>
      </w:r>
      <w:r w:rsidR="007578C6" w:rsidRPr="006A4C44">
        <w:rPr>
          <w:rFonts w:ascii="Garamond" w:hAnsi="Garamond" w:cs="Arial"/>
          <w:lang w:val="pt-PT"/>
        </w:rPr>
        <w:t>u</w:t>
      </w:r>
      <w:r w:rsidRPr="006A4C44">
        <w:rPr>
          <w:rFonts w:ascii="Garamond" w:hAnsi="Garamond" w:cs="Arial"/>
          <w:lang w:val="pt-PT"/>
        </w:rPr>
        <w:t xml:space="preserve"> de o</w:t>
      </w:r>
      <w:r w:rsidR="007578C6" w:rsidRPr="006A4C44">
        <w:rPr>
          <w:rFonts w:ascii="Garamond" w:hAnsi="Garamond" w:cs="Arial"/>
          <w:lang w:val="pt-PT"/>
        </w:rPr>
        <w:t>u</w:t>
      </w:r>
      <w:r w:rsidRPr="006A4C44">
        <w:rPr>
          <w:rFonts w:ascii="Garamond" w:hAnsi="Garamond" w:cs="Arial"/>
          <w:lang w:val="pt-PT"/>
        </w:rPr>
        <w:t>tro</w:t>
      </w:r>
      <w:r w:rsidR="007317EB">
        <w:rPr>
          <w:rFonts w:ascii="Garamond" w:hAnsi="Garamond" w:cs="Arial"/>
          <w:lang w:val="pt-PT"/>
        </w:rPr>
        <w:t xml:space="preserve"> </w:t>
      </w:r>
      <w:r w:rsidR="00780283">
        <w:rPr>
          <w:rFonts w:ascii="Garamond" w:hAnsi="Garamond" w:cs="Arial"/>
          <w:lang w:val="pt-PT"/>
        </w:rPr>
        <w:t>teor,</w:t>
      </w:r>
      <w:r w:rsidRPr="006A4C44">
        <w:rPr>
          <w:rFonts w:ascii="Garamond" w:hAnsi="Garamond" w:cs="Arial"/>
          <w:lang w:val="pt-PT"/>
        </w:rPr>
        <w:t xml:space="preserve"> que f</w:t>
      </w:r>
      <w:r w:rsidR="007578C6" w:rsidRPr="006A4C44">
        <w:rPr>
          <w:rFonts w:ascii="Garamond" w:hAnsi="Garamond" w:cs="Arial"/>
          <w:lang w:val="pt-PT"/>
        </w:rPr>
        <w:t>orem necessária</w:t>
      </w:r>
      <w:r w:rsidRPr="006A4C44">
        <w:rPr>
          <w:rFonts w:ascii="Garamond" w:hAnsi="Garamond" w:cs="Arial"/>
          <w:lang w:val="pt-PT"/>
        </w:rPr>
        <w:t xml:space="preserve">s para </w:t>
      </w:r>
      <w:r w:rsidR="007578C6" w:rsidRPr="006A4C44">
        <w:rPr>
          <w:rFonts w:ascii="Garamond" w:hAnsi="Garamond" w:cs="Arial"/>
          <w:lang w:val="pt-PT"/>
        </w:rPr>
        <w:t xml:space="preserve">tornar </w:t>
      </w:r>
      <w:r w:rsidR="00802ACC" w:rsidRPr="006A4C44">
        <w:rPr>
          <w:rFonts w:ascii="Garamond" w:hAnsi="Garamond" w:cs="Arial"/>
          <w:lang w:val="pt-PT"/>
        </w:rPr>
        <w:t>efetivo</w:t>
      </w:r>
      <w:r w:rsidRPr="006A4C44">
        <w:rPr>
          <w:rFonts w:ascii="Garamond" w:hAnsi="Garamond" w:cs="Arial"/>
          <w:lang w:val="pt-PT"/>
        </w:rPr>
        <w:t>s ta</w:t>
      </w:r>
      <w:r w:rsidR="007578C6" w:rsidRPr="006A4C44">
        <w:rPr>
          <w:rFonts w:ascii="Garamond" w:hAnsi="Garamond" w:cs="Arial"/>
          <w:lang w:val="pt-PT"/>
        </w:rPr>
        <w:t>i</w:t>
      </w:r>
      <w:r w:rsidRPr="006A4C44">
        <w:rPr>
          <w:rFonts w:ascii="Garamond" w:hAnsi="Garamond" w:cs="Arial"/>
          <w:lang w:val="pt-PT"/>
        </w:rPr>
        <w:t xml:space="preserve">s </w:t>
      </w:r>
      <w:r w:rsidR="00886D6A" w:rsidRPr="006A4C44">
        <w:rPr>
          <w:rFonts w:ascii="Garamond" w:hAnsi="Garamond" w:cs="Arial"/>
          <w:lang w:val="pt-PT"/>
        </w:rPr>
        <w:t>direito</w:t>
      </w:r>
      <w:r w:rsidR="007578C6" w:rsidRPr="006A4C44">
        <w:rPr>
          <w:rFonts w:ascii="Garamond" w:hAnsi="Garamond" w:cs="Arial"/>
          <w:lang w:val="pt-PT"/>
        </w:rPr>
        <w:t>s e</w:t>
      </w:r>
      <w:r w:rsidRPr="006A4C44">
        <w:rPr>
          <w:rFonts w:ascii="Garamond" w:hAnsi="Garamond" w:cs="Arial"/>
          <w:lang w:val="pt-PT"/>
        </w:rPr>
        <w:t xml:space="preserve"> </w:t>
      </w:r>
      <w:r w:rsidR="006506C6" w:rsidRPr="006A4C44">
        <w:rPr>
          <w:rFonts w:ascii="Garamond" w:hAnsi="Garamond" w:cs="Arial"/>
          <w:lang w:val="pt-PT"/>
        </w:rPr>
        <w:t>liberdades</w:t>
      </w:r>
      <w:r w:rsidRPr="006A4C44">
        <w:rPr>
          <w:rFonts w:ascii="Garamond" w:hAnsi="Garamond" w:cs="Arial"/>
          <w:lang w:val="pt-PT"/>
        </w:rPr>
        <w:t>.</w:t>
      </w:r>
      <w:r w:rsidR="006A4C44" w:rsidRPr="006A4C44">
        <w:rPr>
          <w:rFonts w:ascii="Garamond" w:hAnsi="Garamond" w:cs="Arial"/>
          <w:lang w:val="pt-PT"/>
        </w:rPr>
        <w:t>»</w:t>
      </w:r>
      <w:r w:rsidR="000239B3" w:rsidRPr="006A4C44">
        <w:rPr>
          <w:rStyle w:val="Refdenotaalpie"/>
          <w:rFonts w:ascii="Garamond" w:hAnsi="Garamond" w:cs="Arial"/>
          <w:b/>
          <w:lang w:val="pt-PT"/>
        </w:rPr>
        <w:t xml:space="preserve"> </w:t>
      </w:r>
      <w:r w:rsidR="000239B3" w:rsidRPr="006A4C44">
        <w:rPr>
          <w:rStyle w:val="Refdenotaalpie"/>
          <w:rFonts w:ascii="Garamond" w:hAnsi="Garamond" w:cs="Arial"/>
          <w:b/>
        </w:rPr>
        <w:footnoteReference w:id="14"/>
      </w:r>
      <w:r w:rsidRPr="003A1174">
        <w:rPr>
          <w:rFonts w:ascii="Garamond" w:hAnsi="Garamond" w:cs="Arial"/>
          <w:lang w:val="pt-PT"/>
        </w:rPr>
        <w:t xml:space="preserve">   </w:t>
      </w:r>
    </w:p>
    <w:p w:rsidR="00A132B3" w:rsidRPr="003A1174" w:rsidRDefault="00A132B3" w:rsidP="008719D4">
      <w:pPr>
        <w:pStyle w:val="NormalWeb"/>
        <w:jc w:val="both"/>
        <w:rPr>
          <w:rFonts w:ascii="Garamond" w:hAnsi="Garamond" w:cs="Arial"/>
          <w:lang w:val="pt-PT"/>
        </w:rPr>
      </w:pPr>
      <w:r w:rsidRPr="003A1174">
        <w:rPr>
          <w:rFonts w:ascii="Garamond" w:hAnsi="Garamond" w:cs="Arial"/>
          <w:lang w:val="pt-PT"/>
        </w:rPr>
        <w:lastRenderedPageBreak/>
        <w:t>Co</w:t>
      </w:r>
      <w:r w:rsidR="007578C6" w:rsidRPr="003A1174">
        <w:rPr>
          <w:rFonts w:ascii="Garamond" w:hAnsi="Garamond" w:cs="Arial"/>
          <w:lang w:val="pt-PT"/>
        </w:rPr>
        <w:t xml:space="preserve">m </w:t>
      </w:r>
      <w:r w:rsidRPr="003A1174">
        <w:rPr>
          <w:rFonts w:ascii="Garamond" w:hAnsi="Garamond" w:cs="Arial"/>
          <w:lang w:val="pt-PT"/>
        </w:rPr>
        <w:t xml:space="preserve">o </w:t>
      </w:r>
      <w:r w:rsidR="007578C6" w:rsidRPr="003A1174">
        <w:rPr>
          <w:rFonts w:ascii="Garamond" w:hAnsi="Garamond" w:cs="Arial"/>
          <w:lang w:val="pt-PT"/>
        </w:rPr>
        <w:t xml:space="preserve">apresentado na </w:t>
      </w:r>
      <w:r w:rsidR="00FC1F7F" w:rsidRPr="003A1174">
        <w:rPr>
          <w:rFonts w:ascii="Garamond" w:hAnsi="Garamond" w:cs="Arial"/>
          <w:lang w:val="pt-PT"/>
        </w:rPr>
        <w:t>Sentença</w:t>
      </w:r>
      <w:r w:rsidR="00D944A1" w:rsidRPr="003A1174">
        <w:rPr>
          <w:rFonts w:ascii="Garamond" w:hAnsi="Garamond" w:cs="Arial"/>
          <w:lang w:val="pt-PT"/>
        </w:rPr>
        <w:t xml:space="preserve"> d</w:t>
      </w:r>
      <w:r w:rsidR="007578C6" w:rsidRPr="003A1174">
        <w:rPr>
          <w:rFonts w:ascii="Garamond" w:hAnsi="Garamond" w:cs="Arial"/>
          <w:lang w:val="pt-PT"/>
        </w:rPr>
        <w:t>o</w:t>
      </w:r>
      <w:r w:rsidR="00D944A1" w:rsidRPr="003A1174">
        <w:rPr>
          <w:rFonts w:ascii="Garamond" w:hAnsi="Garamond" w:cs="Arial"/>
          <w:lang w:val="pt-PT"/>
        </w:rPr>
        <w:t xml:space="preserve"> C</w:t>
      </w:r>
      <w:r w:rsidR="007578C6" w:rsidRPr="003A1174">
        <w:rPr>
          <w:rFonts w:ascii="Garamond" w:hAnsi="Garamond" w:cs="Arial"/>
          <w:lang w:val="pt-PT"/>
        </w:rPr>
        <w:t>aso Velásquez Rodríguez</w:t>
      </w:r>
      <w:r w:rsidR="007317EB">
        <w:rPr>
          <w:rFonts w:ascii="Garamond" w:hAnsi="Garamond" w:cs="Arial"/>
          <w:lang w:val="pt-PT"/>
        </w:rPr>
        <w:t>,</w:t>
      </w:r>
      <w:r w:rsidR="007578C6" w:rsidRPr="003A1174">
        <w:rPr>
          <w:rFonts w:ascii="Garamond" w:hAnsi="Garamond" w:cs="Arial"/>
          <w:lang w:val="pt-PT"/>
        </w:rPr>
        <w:t xml:space="preserve"> sobre </w:t>
      </w:r>
      <w:r w:rsidRPr="003A1174">
        <w:rPr>
          <w:rFonts w:ascii="Garamond" w:hAnsi="Garamond" w:cs="Arial"/>
          <w:lang w:val="pt-PT"/>
        </w:rPr>
        <w:t xml:space="preserve">a base dos </w:t>
      </w:r>
      <w:r w:rsidR="00BA3CCE" w:rsidRPr="003A1174">
        <w:rPr>
          <w:rFonts w:ascii="Garamond" w:hAnsi="Garamond" w:cs="Arial"/>
          <w:lang w:val="pt-PT"/>
        </w:rPr>
        <w:t>preceitos</w:t>
      </w:r>
      <w:r w:rsidRPr="003A1174">
        <w:rPr>
          <w:rFonts w:ascii="Garamond" w:hAnsi="Garamond" w:cs="Arial"/>
          <w:lang w:val="pt-PT"/>
        </w:rPr>
        <w:t xml:space="preserve"> antes </w:t>
      </w:r>
      <w:r w:rsidR="007578C6" w:rsidRPr="003A1174">
        <w:rPr>
          <w:rFonts w:ascii="Garamond" w:hAnsi="Garamond" w:cs="Arial"/>
          <w:lang w:val="pt-PT"/>
        </w:rPr>
        <w:t xml:space="preserve">indicados, </w:t>
      </w:r>
      <w:r w:rsidR="007317EB">
        <w:rPr>
          <w:rFonts w:ascii="Garamond" w:hAnsi="Garamond" w:cs="Arial"/>
          <w:lang w:val="pt-PT"/>
        </w:rPr>
        <w:t xml:space="preserve">o Tribunal </w:t>
      </w:r>
      <w:r w:rsidRPr="003A1174">
        <w:rPr>
          <w:rFonts w:ascii="Garamond" w:hAnsi="Garamond" w:cs="Arial"/>
          <w:lang w:val="pt-PT"/>
        </w:rPr>
        <w:t>Interamerican</w:t>
      </w:r>
      <w:r w:rsidR="007317EB">
        <w:rPr>
          <w:rFonts w:ascii="Garamond" w:hAnsi="Garamond" w:cs="Arial"/>
          <w:lang w:val="pt-PT"/>
        </w:rPr>
        <w:t>o</w:t>
      </w:r>
      <w:r w:rsidRPr="003A1174">
        <w:rPr>
          <w:rFonts w:ascii="Garamond" w:hAnsi="Garamond" w:cs="Arial"/>
          <w:lang w:val="pt-PT"/>
        </w:rPr>
        <w:t xml:space="preserve"> </w:t>
      </w:r>
      <w:r w:rsidR="007317EB">
        <w:rPr>
          <w:rFonts w:ascii="Garamond" w:hAnsi="Garamond" w:cs="Arial"/>
          <w:lang w:val="pt-PT"/>
        </w:rPr>
        <w:t>admitiu</w:t>
      </w:r>
      <w:r w:rsidR="007578C6" w:rsidRPr="003A1174">
        <w:rPr>
          <w:rFonts w:ascii="Garamond" w:hAnsi="Garamond" w:cs="Arial"/>
          <w:lang w:val="pt-PT"/>
        </w:rPr>
        <w:t xml:space="preserve"> </w:t>
      </w:r>
      <w:r w:rsidRPr="003A1174">
        <w:rPr>
          <w:rFonts w:ascii="Garamond" w:hAnsi="Garamond" w:cs="Arial"/>
          <w:lang w:val="pt-PT"/>
        </w:rPr>
        <w:t xml:space="preserve">a </w:t>
      </w:r>
      <w:r w:rsidR="007578C6" w:rsidRPr="003A1174">
        <w:rPr>
          <w:rFonts w:ascii="Garamond" w:hAnsi="Garamond" w:cs="Arial"/>
          <w:lang w:val="pt-PT"/>
        </w:rPr>
        <w:t>existência de um</w:t>
      </w:r>
      <w:r w:rsidRPr="003A1174">
        <w:rPr>
          <w:rFonts w:ascii="Garamond" w:hAnsi="Garamond" w:cs="Arial"/>
          <w:lang w:val="pt-PT"/>
        </w:rPr>
        <w:t xml:space="preserve">a </w:t>
      </w:r>
      <w:r w:rsidR="00BA3CCE" w:rsidRPr="003A1174">
        <w:rPr>
          <w:rFonts w:ascii="Garamond" w:hAnsi="Garamond" w:cs="Arial"/>
          <w:lang w:val="pt-PT"/>
        </w:rPr>
        <w:t>transgressão</w:t>
      </w:r>
      <w:r w:rsidRPr="003A1174">
        <w:rPr>
          <w:rFonts w:ascii="Garamond" w:hAnsi="Garamond" w:cs="Arial"/>
          <w:lang w:val="pt-PT"/>
        </w:rPr>
        <w:t xml:space="preserve"> </w:t>
      </w:r>
      <w:r w:rsidR="007578C6" w:rsidRPr="003A1174">
        <w:rPr>
          <w:rFonts w:ascii="Garamond" w:hAnsi="Garamond" w:cs="Arial"/>
          <w:lang w:val="pt-PT"/>
        </w:rPr>
        <w:t>d</w:t>
      </w:r>
      <w:r w:rsidRPr="003A1174">
        <w:rPr>
          <w:rFonts w:ascii="Garamond" w:hAnsi="Garamond" w:cs="Arial"/>
          <w:lang w:val="pt-PT"/>
        </w:rPr>
        <w:t xml:space="preserve">a </w:t>
      </w:r>
      <w:r w:rsidR="00AF192F" w:rsidRPr="003A1174">
        <w:rPr>
          <w:rFonts w:ascii="Garamond" w:hAnsi="Garamond" w:cs="Arial"/>
          <w:lang w:val="pt-PT"/>
        </w:rPr>
        <w:t>obrigação</w:t>
      </w:r>
      <w:r w:rsidRPr="003A1174">
        <w:rPr>
          <w:rFonts w:ascii="Garamond" w:hAnsi="Garamond" w:cs="Arial"/>
          <w:lang w:val="pt-PT"/>
        </w:rPr>
        <w:t xml:space="preserve"> </w:t>
      </w:r>
      <w:r w:rsidR="00077461" w:rsidRPr="003A1174">
        <w:rPr>
          <w:rFonts w:ascii="Garamond" w:hAnsi="Garamond" w:cs="Arial"/>
          <w:lang w:val="pt-PT"/>
        </w:rPr>
        <w:t>geral</w:t>
      </w:r>
      <w:r w:rsidRPr="003A1174">
        <w:rPr>
          <w:rFonts w:ascii="Garamond" w:hAnsi="Garamond" w:cs="Arial"/>
          <w:lang w:val="pt-PT"/>
        </w:rPr>
        <w:t xml:space="preserve"> de </w:t>
      </w:r>
      <w:r w:rsidR="00CF4C35" w:rsidRPr="003A1174">
        <w:rPr>
          <w:rFonts w:ascii="Garamond" w:hAnsi="Garamond" w:cs="Arial"/>
          <w:lang w:val="pt-PT"/>
        </w:rPr>
        <w:t>Diligência Devida</w:t>
      </w:r>
      <w:r w:rsidR="007317EB">
        <w:rPr>
          <w:rFonts w:ascii="Garamond" w:hAnsi="Garamond" w:cs="Arial"/>
          <w:lang w:val="pt-PT"/>
        </w:rPr>
        <w:t>,</w:t>
      </w:r>
      <w:r w:rsidRPr="003A1174">
        <w:rPr>
          <w:rFonts w:ascii="Garamond" w:hAnsi="Garamond" w:cs="Arial"/>
          <w:lang w:val="pt-PT"/>
        </w:rPr>
        <w:t xml:space="preserve"> </w:t>
      </w:r>
      <w:r w:rsidR="007578C6" w:rsidRPr="003A1174">
        <w:rPr>
          <w:rFonts w:ascii="Garamond" w:hAnsi="Garamond" w:cs="Arial"/>
          <w:lang w:val="pt-PT"/>
        </w:rPr>
        <w:t xml:space="preserve">sempre que se verificar uma </w:t>
      </w:r>
      <w:r w:rsidR="007342D9" w:rsidRPr="003A1174">
        <w:rPr>
          <w:rFonts w:ascii="Garamond" w:hAnsi="Garamond" w:cs="Arial"/>
          <w:lang w:val="pt-PT"/>
        </w:rPr>
        <w:t>violação</w:t>
      </w:r>
      <w:r w:rsidRPr="003A1174">
        <w:rPr>
          <w:rFonts w:ascii="Garamond" w:hAnsi="Garamond" w:cs="Arial"/>
          <w:lang w:val="pt-PT"/>
        </w:rPr>
        <w:t xml:space="preserve"> </w:t>
      </w:r>
      <w:r w:rsidR="007578C6" w:rsidRPr="003A1174">
        <w:rPr>
          <w:rFonts w:ascii="Garamond" w:hAnsi="Garamond" w:cs="Arial"/>
          <w:lang w:val="pt-PT"/>
        </w:rPr>
        <w:t>d</w:t>
      </w:r>
      <w:r w:rsidRPr="003A1174">
        <w:rPr>
          <w:rFonts w:ascii="Garamond" w:hAnsi="Garamond" w:cs="Arial"/>
          <w:lang w:val="pt-PT"/>
        </w:rPr>
        <w:t xml:space="preserve">os </w:t>
      </w:r>
      <w:r w:rsidR="00886D6A" w:rsidRPr="003A1174">
        <w:rPr>
          <w:rFonts w:ascii="Garamond" w:hAnsi="Garamond" w:cs="Arial"/>
          <w:lang w:val="pt-PT"/>
        </w:rPr>
        <w:t>direito</w:t>
      </w:r>
      <w:r w:rsidRPr="003A1174">
        <w:rPr>
          <w:rFonts w:ascii="Garamond" w:hAnsi="Garamond" w:cs="Arial"/>
          <w:lang w:val="pt-PT"/>
        </w:rPr>
        <w:t>s humanos, en</w:t>
      </w:r>
      <w:r w:rsidR="007578C6" w:rsidRPr="003A1174">
        <w:rPr>
          <w:rFonts w:ascii="Garamond" w:hAnsi="Garamond" w:cs="Arial"/>
          <w:lang w:val="pt-PT"/>
        </w:rPr>
        <w:t>quanto o</w:t>
      </w:r>
      <w:r w:rsidRPr="003A1174">
        <w:rPr>
          <w:rFonts w:ascii="Garamond" w:hAnsi="Garamond" w:cs="Arial"/>
          <w:lang w:val="pt-PT"/>
        </w:rPr>
        <w:t xml:space="preserve"> Estado </w:t>
      </w:r>
      <w:r w:rsidR="007578C6" w:rsidRPr="003A1174">
        <w:rPr>
          <w:rFonts w:ascii="Garamond" w:hAnsi="Garamond" w:cs="Arial"/>
          <w:lang w:val="pt-PT"/>
        </w:rPr>
        <w:t xml:space="preserve">em questão não tiver </w:t>
      </w:r>
      <w:r w:rsidRPr="003A1174">
        <w:rPr>
          <w:rFonts w:ascii="Garamond" w:hAnsi="Garamond" w:cs="Arial"/>
          <w:lang w:val="pt-PT"/>
        </w:rPr>
        <w:t>adotado</w:t>
      </w:r>
      <w:r w:rsidR="007578C6" w:rsidRPr="003A1174">
        <w:rPr>
          <w:rFonts w:ascii="Garamond" w:hAnsi="Garamond" w:cs="Arial"/>
          <w:lang w:val="pt-PT"/>
        </w:rPr>
        <w:t xml:space="preserve"> medidas</w:t>
      </w:r>
      <w:r w:rsidRPr="003A1174">
        <w:rPr>
          <w:rFonts w:ascii="Garamond" w:hAnsi="Garamond" w:cs="Arial"/>
          <w:lang w:val="pt-PT"/>
        </w:rPr>
        <w:t xml:space="preserve"> </w:t>
      </w:r>
      <w:r w:rsidR="007578C6" w:rsidRPr="003A1174">
        <w:rPr>
          <w:rFonts w:ascii="Garamond" w:hAnsi="Garamond" w:cs="Arial"/>
          <w:lang w:val="pt-PT"/>
        </w:rPr>
        <w:t>razoáveis</w:t>
      </w:r>
      <w:r w:rsidRPr="003A1174">
        <w:rPr>
          <w:rFonts w:ascii="Garamond" w:hAnsi="Garamond" w:cs="Arial"/>
          <w:lang w:val="pt-PT"/>
        </w:rPr>
        <w:t xml:space="preserve"> de </w:t>
      </w:r>
      <w:r w:rsidR="007578C6" w:rsidRPr="003A1174">
        <w:rPr>
          <w:rFonts w:ascii="Garamond" w:hAnsi="Garamond" w:cs="Arial"/>
          <w:lang w:val="pt-PT"/>
        </w:rPr>
        <w:t>prevenção</w:t>
      </w:r>
      <w:r w:rsidRPr="003A1174">
        <w:rPr>
          <w:rFonts w:ascii="Garamond" w:hAnsi="Garamond" w:cs="Arial"/>
          <w:lang w:val="pt-PT"/>
        </w:rPr>
        <w:t xml:space="preserve"> para </w:t>
      </w:r>
      <w:r w:rsidR="007578C6" w:rsidRPr="003A1174">
        <w:rPr>
          <w:rFonts w:ascii="Garamond" w:hAnsi="Garamond" w:cs="Arial"/>
          <w:lang w:val="pt-PT"/>
        </w:rPr>
        <w:t xml:space="preserve">o </w:t>
      </w:r>
      <w:r w:rsidRPr="003A1174">
        <w:rPr>
          <w:rFonts w:ascii="Garamond" w:hAnsi="Garamond" w:cs="Arial"/>
          <w:lang w:val="pt-PT"/>
        </w:rPr>
        <w:t>evitar, o</w:t>
      </w:r>
      <w:r w:rsidR="007578C6" w:rsidRPr="003A1174">
        <w:rPr>
          <w:rFonts w:ascii="Garamond" w:hAnsi="Garamond" w:cs="Arial"/>
          <w:lang w:val="pt-PT"/>
        </w:rPr>
        <w:t>u</w:t>
      </w:r>
      <w:r w:rsidRPr="003A1174">
        <w:rPr>
          <w:rFonts w:ascii="Garamond" w:hAnsi="Garamond" w:cs="Arial"/>
          <w:lang w:val="pt-PT"/>
        </w:rPr>
        <w:t xml:space="preserve"> n</w:t>
      </w:r>
      <w:r w:rsidR="007578C6" w:rsidRPr="003A1174">
        <w:rPr>
          <w:rFonts w:ascii="Garamond" w:hAnsi="Garamond" w:cs="Arial"/>
          <w:lang w:val="pt-PT"/>
        </w:rPr>
        <w:t>ã</w:t>
      </w:r>
      <w:r w:rsidRPr="003A1174">
        <w:rPr>
          <w:rFonts w:ascii="Garamond" w:hAnsi="Garamond" w:cs="Arial"/>
          <w:lang w:val="pt-PT"/>
        </w:rPr>
        <w:t xml:space="preserve">o </w:t>
      </w:r>
      <w:r w:rsidR="007578C6" w:rsidRPr="003A1174">
        <w:rPr>
          <w:rFonts w:ascii="Garamond" w:hAnsi="Garamond" w:cs="Arial"/>
          <w:lang w:val="pt-PT"/>
        </w:rPr>
        <w:t xml:space="preserve">tiver </w:t>
      </w:r>
      <w:r w:rsidRPr="003A1174">
        <w:rPr>
          <w:rFonts w:ascii="Garamond" w:hAnsi="Garamond" w:cs="Arial"/>
          <w:lang w:val="pt-PT"/>
        </w:rPr>
        <w:t xml:space="preserve">investigado </w:t>
      </w:r>
      <w:r w:rsidR="007578C6" w:rsidRPr="003A1174">
        <w:rPr>
          <w:rFonts w:ascii="Garamond" w:hAnsi="Garamond" w:cs="Arial"/>
          <w:lang w:val="pt-PT"/>
        </w:rPr>
        <w:t xml:space="preserve">e sancionado </w:t>
      </w:r>
      <w:r w:rsidRPr="003A1174">
        <w:rPr>
          <w:rFonts w:ascii="Garamond" w:hAnsi="Garamond" w:cs="Arial"/>
          <w:lang w:val="pt-PT"/>
        </w:rPr>
        <w:t xml:space="preserve">a </w:t>
      </w:r>
      <w:r w:rsidR="007342D9" w:rsidRPr="003A1174">
        <w:rPr>
          <w:rFonts w:ascii="Garamond" w:hAnsi="Garamond" w:cs="Arial"/>
          <w:lang w:val="pt-PT"/>
        </w:rPr>
        <w:t>violação</w:t>
      </w:r>
      <w:r w:rsidRPr="003A1174">
        <w:rPr>
          <w:rFonts w:ascii="Garamond" w:hAnsi="Garamond" w:cs="Arial"/>
          <w:lang w:val="pt-PT"/>
        </w:rPr>
        <w:t xml:space="preserve"> </w:t>
      </w:r>
      <w:r w:rsidR="007578C6" w:rsidRPr="003A1174">
        <w:rPr>
          <w:rFonts w:ascii="Garamond" w:hAnsi="Garamond" w:cs="Arial"/>
          <w:lang w:val="pt-PT"/>
        </w:rPr>
        <w:t>que depois se produz</w:t>
      </w:r>
      <w:r w:rsidR="008069E0" w:rsidRPr="003A1174">
        <w:rPr>
          <w:rFonts w:ascii="Garamond" w:hAnsi="Garamond" w:cs="Arial"/>
          <w:lang w:val="pt-PT"/>
        </w:rPr>
        <w:t>ir</w:t>
      </w:r>
      <w:r w:rsidRPr="003A1174">
        <w:rPr>
          <w:rFonts w:ascii="Garamond" w:hAnsi="Garamond" w:cs="Arial"/>
          <w:lang w:val="pt-PT"/>
        </w:rPr>
        <w:t xml:space="preserve">. </w:t>
      </w:r>
      <w:r w:rsidR="007317EB">
        <w:rPr>
          <w:rFonts w:ascii="Garamond" w:hAnsi="Garamond" w:cs="Arial"/>
          <w:lang w:val="pt-PT"/>
        </w:rPr>
        <w:t xml:space="preserve">Mediante </w:t>
      </w:r>
      <w:r w:rsidRPr="003A1174">
        <w:rPr>
          <w:rFonts w:ascii="Garamond" w:hAnsi="Garamond" w:cs="Arial"/>
          <w:lang w:val="pt-PT"/>
        </w:rPr>
        <w:t xml:space="preserve">esta </w:t>
      </w:r>
      <w:r w:rsidR="00863197" w:rsidRPr="003A1174">
        <w:rPr>
          <w:rFonts w:ascii="Garamond" w:hAnsi="Garamond" w:cs="Arial"/>
          <w:lang w:val="pt-PT"/>
        </w:rPr>
        <w:t>consideração</w:t>
      </w:r>
      <w:r w:rsidR="007578C6" w:rsidRPr="003A1174">
        <w:rPr>
          <w:rFonts w:ascii="Garamond" w:hAnsi="Garamond" w:cs="Arial"/>
          <w:lang w:val="pt-PT"/>
        </w:rPr>
        <w:t xml:space="preserve">, todas </w:t>
      </w:r>
      <w:r w:rsidRPr="003A1174">
        <w:rPr>
          <w:rFonts w:ascii="Garamond" w:hAnsi="Garamond" w:cs="Arial"/>
          <w:lang w:val="pt-PT"/>
        </w:rPr>
        <w:t xml:space="preserve">as </w:t>
      </w:r>
      <w:r w:rsidR="00FC1F7F" w:rsidRPr="003A1174">
        <w:rPr>
          <w:rFonts w:ascii="Garamond" w:hAnsi="Garamond" w:cs="Arial"/>
          <w:lang w:val="pt-PT"/>
        </w:rPr>
        <w:t>sentença</w:t>
      </w:r>
      <w:r w:rsidR="007578C6" w:rsidRPr="003A1174">
        <w:rPr>
          <w:rFonts w:ascii="Garamond" w:hAnsi="Garamond" w:cs="Arial"/>
          <w:lang w:val="pt-PT"/>
        </w:rPr>
        <w:t>s condenató</w:t>
      </w:r>
      <w:r w:rsidRPr="003A1174">
        <w:rPr>
          <w:rFonts w:ascii="Garamond" w:hAnsi="Garamond" w:cs="Arial"/>
          <w:lang w:val="pt-PT"/>
        </w:rPr>
        <w:t>rias que</w:t>
      </w:r>
      <w:r w:rsidR="007317EB">
        <w:rPr>
          <w:rFonts w:ascii="Garamond" w:hAnsi="Garamond" w:cs="Arial"/>
          <w:lang w:val="pt-PT"/>
        </w:rPr>
        <w:t>, posteriormente,</w:t>
      </w:r>
      <w:r w:rsidR="007578C6" w:rsidRPr="003A1174">
        <w:rPr>
          <w:rFonts w:ascii="Garamond" w:hAnsi="Garamond" w:cs="Arial"/>
          <w:lang w:val="pt-PT"/>
        </w:rPr>
        <w:t xml:space="preserve"> a </w:t>
      </w:r>
      <w:r w:rsidR="00FF6A3F" w:rsidRPr="003A1174">
        <w:rPr>
          <w:rFonts w:ascii="Garamond" w:hAnsi="Garamond" w:cs="Arial"/>
          <w:lang w:val="pt-PT"/>
        </w:rPr>
        <w:t>Comissão</w:t>
      </w:r>
      <w:r w:rsidR="007578C6" w:rsidRPr="003A1174">
        <w:rPr>
          <w:rFonts w:ascii="Garamond" w:hAnsi="Garamond" w:cs="Arial"/>
          <w:lang w:val="pt-PT"/>
        </w:rPr>
        <w:t xml:space="preserve"> pronunciou, </w:t>
      </w:r>
      <w:r w:rsidRPr="003A1174">
        <w:rPr>
          <w:rFonts w:ascii="Garamond" w:hAnsi="Garamond" w:cs="Arial"/>
          <w:lang w:val="pt-PT"/>
        </w:rPr>
        <w:t>invoca</w:t>
      </w:r>
      <w:r w:rsidR="007578C6" w:rsidRPr="003A1174">
        <w:rPr>
          <w:rFonts w:ascii="Garamond" w:hAnsi="Garamond" w:cs="Arial"/>
          <w:lang w:val="pt-PT"/>
        </w:rPr>
        <w:t>m</w:t>
      </w:r>
      <w:r w:rsidR="007317EB">
        <w:rPr>
          <w:rFonts w:ascii="Garamond" w:hAnsi="Garamond" w:cs="Arial"/>
          <w:lang w:val="pt-PT"/>
        </w:rPr>
        <w:t>,</w:t>
      </w:r>
      <w:r w:rsidRPr="003A1174">
        <w:rPr>
          <w:rFonts w:ascii="Garamond" w:hAnsi="Garamond" w:cs="Arial"/>
          <w:lang w:val="pt-PT"/>
        </w:rPr>
        <w:t xml:space="preserve"> </w:t>
      </w:r>
      <w:r w:rsidR="00524936" w:rsidRPr="003A1174">
        <w:rPr>
          <w:rFonts w:ascii="Garamond" w:hAnsi="Garamond" w:cs="Arial"/>
          <w:lang w:val="pt-PT"/>
        </w:rPr>
        <w:t>expressa</w:t>
      </w:r>
      <w:r w:rsidR="007578C6" w:rsidRPr="003A1174">
        <w:rPr>
          <w:rFonts w:ascii="Garamond" w:hAnsi="Garamond" w:cs="Arial"/>
          <w:lang w:val="pt-PT"/>
        </w:rPr>
        <w:t>mente</w:t>
      </w:r>
      <w:r w:rsidR="007317EB">
        <w:rPr>
          <w:rFonts w:ascii="Garamond" w:hAnsi="Garamond" w:cs="Arial"/>
          <w:lang w:val="pt-PT"/>
        </w:rPr>
        <w:t>,</w:t>
      </w:r>
      <w:r w:rsidR="007578C6" w:rsidRPr="003A1174">
        <w:rPr>
          <w:rFonts w:ascii="Garamond" w:hAnsi="Garamond" w:cs="Arial"/>
          <w:lang w:val="pt-PT"/>
        </w:rPr>
        <w:t xml:space="preserve"> </w:t>
      </w:r>
      <w:r w:rsidRPr="003A1174">
        <w:rPr>
          <w:rFonts w:ascii="Garamond" w:hAnsi="Garamond" w:cs="Arial"/>
          <w:lang w:val="pt-PT"/>
        </w:rPr>
        <w:t xml:space="preserve">a </w:t>
      </w:r>
      <w:r w:rsidR="00BA3CCE" w:rsidRPr="003A1174">
        <w:rPr>
          <w:rFonts w:ascii="Garamond" w:hAnsi="Garamond" w:cs="Arial"/>
          <w:lang w:val="pt-PT"/>
        </w:rPr>
        <w:t>transgressão</w:t>
      </w:r>
      <w:r w:rsidRPr="003A1174">
        <w:rPr>
          <w:rFonts w:ascii="Garamond" w:hAnsi="Garamond" w:cs="Arial"/>
          <w:lang w:val="pt-PT"/>
        </w:rPr>
        <w:t xml:space="preserve"> o</w:t>
      </w:r>
      <w:r w:rsidR="007578C6" w:rsidRPr="003A1174">
        <w:rPr>
          <w:rFonts w:ascii="Garamond" w:hAnsi="Garamond" w:cs="Arial"/>
          <w:lang w:val="pt-PT"/>
        </w:rPr>
        <w:t>u</w:t>
      </w:r>
      <w:r w:rsidRPr="003A1174">
        <w:rPr>
          <w:rFonts w:ascii="Garamond" w:hAnsi="Garamond" w:cs="Arial"/>
          <w:lang w:val="pt-PT"/>
        </w:rPr>
        <w:t xml:space="preserve"> in</w:t>
      </w:r>
      <w:r w:rsidR="00D96FD0" w:rsidRPr="003A1174">
        <w:rPr>
          <w:rFonts w:ascii="Garamond" w:hAnsi="Garamond" w:cs="Arial"/>
          <w:lang w:val="pt-PT"/>
        </w:rPr>
        <w:t>cumprimento</w:t>
      </w:r>
      <w:r w:rsidR="007578C6" w:rsidRPr="003A1174">
        <w:rPr>
          <w:rFonts w:ascii="Garamond" w:hAnsi="Garamond" w:cs="Arial"/>
          <w:lang w:val="pt-PT"/>
        </w:rPr>
        <w:t xml:space="preserve"> d</w:t>
      </w:r>
      <w:r w:rsidRPr="003A1174">
        <w:rPr>
          <w:rFonts w:ascii="Garamond" w:hAnsi="Garamond" w:cs="Arial"/>
          <w:lang w:val="pt-PT"/>
        </w:rPr>
        <w:t xml:space="preserve">a </w:t>
      </w:r>
      <w:r w:rsidR="00CF4C35" w:rsidRPr="003A1174">
        <w:rPr>
          <w:rFonts w:ascii="Garamond" w:hAnsi="Garamond" w:cs="Arial"/>
          <w:lang w:val="pt-PT"/>
        </w:rPr>
        <w:t>Diligência Devida</w:t>
      </w:r>
      <w:r w:rsidRPr="003A1174">
        <w:rPr>
          <w:rFonts w:ascii="Garamond" w:hAnsi="Garamond" w:cs="Arial"/>
          <w:lang w:val="pt-PT"/>
        </w:rPr>
        <w:t>.</w:t>
      </w:r>
    </w:p>
    <w:p w:rsidR="00A132B3" w:rsidRPr="003A1174" w:rsidRDefault="001E6583" w:rsidP="008719D4">
      <w:pPr>
        <w:pStyle w:val="NormalWeb"/>
        <w:jc w:val="both"/>
        <w:rPr>
          <w:rFonts w:ascii="Garamond" w:hAnsi="Garamond" w:cs="Arial"/>
          <w:lang w:val="pt-PT"/>
        </w:rPr>
      </w:pPr>
      <w:r w:rsidRPr="003A1174">
        <w:rPr>
          <w:rFonts w:ascii="Garamond" w:hAnsi="Garamond" w:cs="Arial"/>
          <w:lang w:val="pt-PT"/>
        </w:rPr>
        <w:t>D</w:t>
      </w:r>
      <w:r w:rsidR="00A132B3" w:rsidRPr="003A1174">
        <w:rPr>
          <w:rFonts w:ascii="Garamond" w:hAnsi="Garamond" w:cs="Arial"/>
          <w:lang w:val="pt-PT"/>
        </w:rPr>
        <w:t>ad</w:t>
      </w:r>
      <w:r w:rsidR="00FC7358">
        <w:rPr>
          <w:rFonts w:ascii="Garamond" w:hAnsi="Garamond" w:cs="Arial"/>
          <w:lang w:val="pt-PT"/>
        </w:rPr>
        <w:t>as</w:t>
      </w:r>
      <w:r w:rsidR="00A132B3" w:rsidRPr="003A1174">
        <w:rPr>
          <w:rFonts w:ascii="Garamond" w:hAnsi="Garamond" w:cs="Arial"/>
          <w:lang w:val="pt-PT"/>
        </w:rPr>
        <w:t xml:space="preserve"> </w:t>
      </w:r>
      <w:r w:rsidR="00FC7358">
        <w:rPr>
          <w:rFonts w:ascii="Garamond" w:hAnsi="Garamond" w:cs="Arial"/>
          <w:lang w:val="pt-PT"/>
        </w:rPr>
        <w:t>as características</w:t>
      </w:r>
      <w:r w:rsidR="00A132B3" w:rsidRPr="003A1174">
        <w:rPr>
          <w:rFonts w:ascii="Garamond" w:hAnsi="Garamond" w:cs="Arial"/>
          <w:lang w:val="pt-PT"/>
        </w:rPr>
        <w:t xml:space="preserve"> </w:t>
      </w:r>
      <w:r w:rsidR="00841520" w:rsidRPr="003A1174">
        <w:rPr>
          <w:rFonts w:ascii="Garamond" w:hAnsi="Garamond" w:cs="Arial"/>
          <w:lang w:val="pt-PT"/>
        </w:rPr>
        <w:t>base</w:t>
      </w:r>
      <w:r w:rsidR="007578C6" w:rsidRPr="003A1174">
        <w:rPr>
          <w:rFonts w:ascii="Garamond" w:hAnsi="Garamond" w:cs="Arial"/>
          <w:lang w:val="pt-PT"/>
        </w:rPr>
        <w:t xml:space="preserve"> d</w:t>
      </w:r>
      <w:r w:rsidR="00A132B3" w:rsidRPr="003A1174">
        <w:rPr>
          <w:rFonts w:ascii="Garamond" w:hAnsi="Garamond" w:cs="Arial"/>
          <w:lang w:val="pt-PT"/>
        </w:rPr>
        <w:t xml:space="preserve">a CADH </w:t>
      </w:r>
      <w:r w:rsidR="007578C6" w:rsidRPr="003A1174">
        <w:rPr>
          <w:rFonts w:ascii="Garamond" w:hAnsi="Garamond" w:cs="Arial"/>
          <w:lang w:val="pt-PT"/>
        </w:rPr>
        <w:t xml:space="preserve">no </w:t>
      </w:r>
      <w:r w:rsidR="00A132B3" w:rsidRPr="003A1174">
        <w:rPr>
          <w:rFonts w:ascii="Garamond" w:hAnsi="Garamond" w:cs="Arial"/>
          <w:lang w:val="pt-PT"/>
        </w:rPr>
        <w:t xml:space="preserve">Sistema Interamericano, </w:t>
      </w:r>
      <w:r w:rsidR="00FC7358">
        <w:rPr>
          <w:rFonts w:ascii="Garamond" w:hAnsi="Garamond" w:cs="Arial"/>
          <w:lang w:val="pt-PT"/>
        </w:rPr>
        <w:t xml:space="preserve">uma vez que </w:t>
      </w:r>
      <w:r w:rsidR="00A132B3" w:rsidRPr="003A1174">
        <w:rPr>
          <w:rFonts w:ascii="Garamond" w:hAnsi="Garamond" w:cs="Arial"/>
          <w:lang w:val="pt-PT"/>
        </w:rPr>
        <w:t xml:space="preserve">estrutura </w:t>
      </w:r>
      <w:r w:rsidR="007578C6" w:rsidRPr="003A1174">
        <w:rPr>
          <w:rFonts w:ascii="Garamond" w:hAnsi="Garamond" w:cs="Arial"/>
          <w:lang w:val="pt-PT"/>
        </w:rPr>
        <w:t xml:space="preserve">os </w:t>
      </w:r>
      <w:r w:rsidR="00A132B3" w:rsidRPr="003A1174">
        <w:rPr>
          <w:rFonts w:ascii="Garamond" w:hAnsi="Garamond" w:cs="Arial"/>
          <w:lang w:val="pt-PT"/>
        </w:rPr>
        <w:t>s</w:t>
      </w:r>
      <w:r w:rsidR="007578C6" w:rsidRPr="003A1174">
        <w:rPr>
          <w:rFonts w:ascii="Garamond" w:hAnsi="Garamond" w:cs="Arial"/>
          <w:lang w:val="pt-PT"/>
        </w:rPr>
        <w:t>e</w:t>
      </w:r>
      <w:r w:rsidR="00A132B3" w:rsidRPr="003A1174">
        <w:rPr>
          <w:rFonts w:ascii="Garamond" w:hAnsi="Garamond" w:cs="Arial"/>
          <w:lang w:val="pt-PT"/>
        </w:rPr>
        <w:t xml:space="preserve">us </w:t>
      </w:r>
      <w:r w:rsidR="003F012B" w:rsidRPr="003A1174">
        <w:rPr>
          <w:rFonts w:ascii="Garamond" w:hAnsi="Garamond" w:cs="Arial"/>
          <w:lang w:val="pt-PT"/>
        </w:rPr>
        <w:t>órgão</w:t>
      </w:r>
      <w:r w:rsidR="007578C6" w:rsidRPr="003A1174">
        <w:rPr>
          <w:rFonts w:ascii="Garamond" w:hAnsi="Garamond" w:cs="Arial"/>
          <w:lang w:val="pt-PT"/>
        </w:rPr>
        <w:t xml:space="preserve">s e estipula </w:t>
      </w:r>
      <w:r w:rsidR="00A132B3" w:rsidRPr="003A1174">
        <w:rPr>
          <w:rFonts w:ascii="Garamond" w:hAnsi="Garamond" w:cs="Arial"/>
          <w:lang w:val="pt-PT"/>
        </w:rPr>
        <w:t xml:space="preserve">as normas </w:t>
      </w:r>
      <w:r w:rsidR="00682C71" w:rsidRPr="003A1174">
        <w:rPr>
          <w:rFonts w:ascii="Garamond" w:hAnsi="Garamond" w:cs="Arial"/>
          <w:lang w:val="pt-PT"/>
        </w:rPr>
        <w:t>fundamentais e processuais d</w:t>
      </w:r>
      <w:r w:rsidR="00A132B3" w:rsidRPr="003A1174">
        <w:rPr>
          <w:rFonts w:ascii="Garamond" w:hAnsi="Garamond" w:cs="Arial"/>
          <w:lang w:val="pt-PT"/>
        </w:rPr>
        <w:t xml:space="preserve">este sistema de </w:t>
      </w:r>
      <w:r w:rsidR="00886D6A" w:rsidRPr="003A1174">
        <w:rPr>
          <w:rFonts w:ascii="Garamond" w:hAnsi="Garamond" w:cs="Arial"/>
          <w:lang w:val="pt-PT"/>
        </w:rPr>
        <w:t>proteção</w:t>
      </w:r>
      <w:r w:rsidR="00A132B3" w:rsidRPr="003A1174">
        <w:rPr>
          <w:rFonts w:ascii="Garamond" w:hAnsi="Garamond" w:cs="Arial"/>
          <w:lang w:val="pt-PT"/>
        </w:rPr>
        <w:t xml:space="preserve"> de </w:t>
      </w:r>
      <w:r w:rsidR="00886D6A" w:rsidRPr="003A1174">
        <w:rPr>
          <w:rFonts w:ascii="Garamond" w:hAnsi="Garamond" w:cs="Arial"/>
          <w:lang w:val="pt-PT"/>
        </w:rPr>
        <w:t>direito</w:t>
      </w:r>
      <w:r w:rsidR="00A132B3" w:rsidRPr="003A1174">
        <w:rPr>
          <w:rFonts w:ascii="Garamond" w:hAnsi="Garamond" w:cs="Arial"/>
          <w:lang w:val="pt-PT"/>
        </w:rPr>
        <w:t xml:space="preserve">s humanos, </w:t>
      </w:r>
      <w:r w:rsidR="00682C71" w:rsidRPr="003A1174">
        <w:rPr>
          <w:rFonts w:ascii="Garamond" w:hAnsi="Garamond" w:cs="Arial"/>
          <w:lang w:val="pt-PT"/>
        </w:rPr>
        <w:t xml:space="preserve">é inegável que </w:t>
      </w:r>
      <w:r w:rsidR="00A132B3" w:rsidRPr="003A1174">
        <w:rPr>
          <w:rFonts w:ascii="Garamond" w:hAnsi="Garamond" w:cs="Arial"/>
          <w:lang w:val="pt-PT"/>
        </w:rPr>
        <w:t xml:space="preserve">a </w:t>
      </w:r>
      <w:r w:rsidR="00682C71" w:rsidRPr="003A1174">
        <w:rPr>
          <w:rFonts w:ascii="Garamond" w:hAnsi="Garamond" w:cs="Arial"/>
          <w:lang w:val="pt-PT"/>
        </w:rPr>
        <w:t>jurisprudência</w:t>
      </w:r>
      <w:r w:rsidR="00A132B3" w:rsidRPr="003A1174">
        <w:rPr>
          <w:rFonts w:ascii="Garamond" w:hAnsi="Garamond" w:cs="Arial"/>
          <w:lang w:val="pt-PT"/>
        </w:rPr>
        <w:t xml:space="preserve"> interamericana, </w:t>
      </w:r>
      <w:r w:rsidR="00682C71" w:rsidRPr="003A1174">
        <w:rPr>
          <w:rFonts w:ascii="Garamond" w:hAnsi="Garamond" w:cs="Arial"/>
          <w:lang w:val="pt-PT"/>
        </w:rPr>
        <w:t>e</w:t>
      </w:r>
      <w:r w:rsidR="00A132B3" w:rsidRPr="003A1174">
        <w:rPr>
          <w:rFonts w:ascii="Garamond" w:hAnsi="Garamond" w:cs="Arial"/>
          <w:lang w:val="pt-PT"/>
        </w:rPr>
        <w:t xml:space="preserve"> por</w:t>
      </w:r>
      <w:r w:rsidR="00682C71" w:rsidRPr="003A1174">
        <w:rPr>
          <w:rFonts w:ascii="Garamond" w:hAnsi="Garamond" w:cs="Arial"/>
          <w:lang w:val="pt-PT"/>
        </w:rPr>
        <w:t>tanto</w:t>
      </w:r>
      <w:r w:rsidR="00FC7358">
        <w:rPr>
          <w:rFonts w:ascii="Garamond" w:hAnsi="Garamond" w:cs="Arial"/>
          <w:lang w:val="pt-PT"/>
        </w:rPr>
        <w:t>,</w:t>
      </w:r>
      <w:r w:rsidR="00682C71" w:rsidRPr="003A1174">
        <w:rPr>
          <w:rFonts w:ascii="Garamond" w:hAnsi="Garamond" w:cs="Arial"/>
          <w:lang w:val="pt-PT"/>
        </w:rPr>
        <w:t xml:space="preserve"> o</w:t>
      </w:r>
      <w:r w:rsidR="00A132B3" w:rsidRPr="003A1174">
        <w:rPr>
          <w:rFonts w:ascii="Garamond" w:hAnsi="Garamond" w:cs="Arial"/>
          <w:lang w:val="pt-PT"/>
        </w:rPr>
        <w:t xml:space="preserve"> </w:t>
      </w:r>
      <w:r w:rsidR="00886D6A" w:rsidRPr="003A1174">
        <w:rPr>
          <w:rFonts w:ascii="Garamond" w:hAnsi="Garamond" w:cs="Arial"/>
          <w:lang w:val="pt-PT"/>
        </w:rPr>
        <w:t>direito</w:t>
      </w:r>
      <w:r w:rsidR="00A132B3" w:rsidRPr="003A1174">
        <w:rPr>
          <w:rFonts w:ascii="Garamond" w:hAnsi="Garamond" w:cs="Arial"/>
          <w:lang w:val="pt-PT"/>
        </w:rPr>
        <w:t xml:space="preserve"> de </w:t>
      </w:r>
      <w:r w:rsidR="00886D6A" w:rsidRPr="003A1174">
        <w:rPr>
          <w:rFonts w:ascii="Garamond" w:hAnsi="Garamond" w:cs="Arial"/>
          <w:lang w:val="pt-PT"/>
        </w:rPr>
        <w:t>acesso</w:t>
      </w:r>
      <w:r w:rsidR="00A132B3" w:rsidRPr="003A1174">
        <w:rPr>
          <w:rFonts w:ascii="Garamond" w:hAnsi="Garamond" w:cs="Arial"/>
          <w:lang w:val="pt-PT"/>
        </w:rPr>
        <w:t xml:space="preserve"> </w:t>
      </w:r>
      <w:r w:rsidR="00682C71" w:rsidRPr="003A1174">
        <w:rPr>
          <w:rFonts w:ascii="Garamond" w:hAnsi="Garamond" w:cs="Arial"/>
          <w:lang w:val="pt-PT"/>
        </w:rPr>
        <w:t xml:space="preserve">por </w:t>
      </w:r>
      <w:r w:rsidR="00A132B3" w:rsidRPr="003A1174">
        <w:rPr>
          <w:rFonts w:ascii="Garamond" w:hAnsi="Garamond" w:cs="Arial"/>
          <w:lang w:val="pt-PT"/>
        </w:rPr>
        <w:t>toda</w:t>
      </w:r>
      <w:r w:rsidR="00682C71" w:rsidRPr="003A1174">
        <w:rPr>
          <w:rFonts w:ascii="Garamond" w:hAnsi="Garamond" w:cs="Arial"/>
          <w:lang w:val="pt-PT"/>
        </w:rPr>
        <w:t xml:space="preserve">s as pessoas à </w:t>
      </w:r>
      <w:r w:rsidR="00A132B3" w:rsidRPr="003A1174">
        <w:rPr>
          <w:rFonts w:ascii="Garamond" w:hAnsi="Garamond" w:cs="Arial"/>
          <w:lang w:val="pt-PT"/>
        </w:rPr>
        <w:t xml:space="preserve">tutela judicial </w:t>
      </w:r>
      <w:r w:rsidR="00D84A9F" w:rsidRPr="003A1174">
        <w:rPr>
          <w:rFonts w:ascii="Garamond" w:hAnsi="Garamond" w:cs="Arial"/>
          <w:lang w:val="pt-PT"/>
        </w:rPr>
        <w:t>efetiva</w:t>
      </w:r>
      <w:r w:rsidR="00A132B3" w:rsidRPr="003A1174">
        <w:rPr>
          <w:rFonts w:ascii="Garamond" w:hAnsi="Garamond" w:cs="Arial"/>
          <w:lang w:val="pt-PT"/>
        </w:rPr>
        <w:t xml:space="preserve">, </w:t>
      </w:r>
      <w:r w:rsidR="00FC7358">
        <w:rPr>
          <w:rFonts w:ascii="Garamond" w:hAnsi="Garamond" w:cs="Arial"/>
          <w:lang w:val="pt-PT"/>
        </w:rPr>
        <w:t xml:space="preserve">se baseia </w:t>
      </w:r>
      <w:r w:rsidR="00682C71" w:rsidRPr="003A1174">
        <w:rPr>
          <w:rFonts w:ascii="Garamond" w:hAnsi="Garamond" w:cs="Arial"/>
          <w:lang w:val="pt-PT"/>
        </w:rPr>
        <w:t>n</w:t>
      </w:r>
      <w:r w:rsidR="00FC7358">
        <w:rPr>
          <w:rFonts w:ascii="Garamond" w:hAnsi="Garamond" w:cs="Arial"/>
          <w:lang w:val="pt-PT"/>
        </w:rPr>
        <w:t>o princípio</w:t>
      </w:r>
      <w:r w:rsidR="00A132B3" w:rsidRPr="003A1174">
        <w:rPr>
          <w:rFonts w:ascii="Garamond" w:hAnsi="Garamond" w:cs="Arial"/>
          <w:lang w:val="pt-PT"/>
        </w:rPr>
        <w:t xml:space="preserve"> de </w:t>
      </w:r>
      <w:r w:rsidR="00CF4C35" w:rsidRPr="003A1174">
        <w:rPr>
          <w:rFonts w:ascii="Garamond" w:hAnsi="Garamond" w:cs="Arial"/>
          <w:lang w:val="pt-PT"/>
        </w:rPr>
        <w:t>Diligência Devida</w:t>
      </w:r>
      <w:r w:rsidR="00A132B3" w:rsidRPr="003A1174">
        <w:rPr>
          <w:rFonts w:ascii="Garamond" w:hAnsi="Garamond" w:cs="Arial"/>
          <w:lang w:val="pt-PT"/>
        </w:rPr>
        <w:t xml:space="preserve">. </w:t>
      </w:r>
    </w:p>
    <w:p w:rsidR="00A132B3" w:rsidRPr="003A1174" w:rsidRDefault="00A132B3" w:rsidP="008719D4">
      <w:pPr>
        <w:pStyle w:val="NormalWeb"/>
        <w:jc w:val="both"/>
        <w:rPr>
          <w:rFonts w:ascii="Garamond" w:hAnsi="Garamond" w:cs="Arial"/>
          <w:lang w:val="pt-PT"/>
        </w:rPr>
      </w:pPr>
      <w:r w:rsidRPr="003A1174">
        <w:rPr>
          <w:rFonts w:ascii="Garamond" w:hAnsi="Garamond" w:cs="Arial"/>
          <w:lang w:val="pt-PT"/>
        </w:rPr>
        <w:t>Por o</w:t>
      </w:r>
      <w:r w:rsidR="00682C71" w:rsidRPr="003A1174">
        <w:rPr>
          <w:rFonts w:ascii="Garamond" w:hAnsi="Garamond" w:cs="Arial"/>
          <w:lang w:val="pt-PT"/>
        </w:rPr>
        <w:t>u</w:t>
      </w:r>
      <w:r w:rsidRPr="003A1174">
        <w:rPr>
          <w:rFonts w:ascii="Garamond" w:hAnsi="Garamond" w:cs="Arial"/>
          <w:lang w:val="pt-PT"/>
        </w:rPr>
        <w:t>tro lado</w:t>
      </w:r>
      <w:r w:rsidR="00FB316B" w:rsidRPr="003A1174">
        <w:rPr>
          <w:rFonts w:ascii="Garamond" w:hAnsi="Garamond" w:cs="Arial"/>
          <w:lang w:val="pt-PT"/>
        </w:rPr>
        <w:t>,</w:t>
      </w:r>
      <w:r w:rsidRPr="003A1174">
        <w:rPr>
          <w:rFonts w:ascii="Garamond" w:hAnsi="Garamond" w:cs="Arial"/>
          <w:lang w:val="pt-PT"/>
        </w:rPr>
        <w:t xml:space="preserve"> re</w:t>
      </w:r>
      <w:r w:rsidR="00682C71" w:rsidRPr="003A1174">
        <w:rPr>
          <w:rFonts w:ascii="Garamond" w:hAnsi="Garamond" w:cs="Arial"/>
          <w:lang w:val="pt-PT"/>
        </w:rPr>
        <w:t xml:space="preserve">lativamente à </w:t>
      </w:r>
      <w:r w:rsidR="00B14AA6" w:rsidRPr="003A1174">
        <w:rPr>
          <w:rFonts w:ascii="Garamond" w:hAnsi="Garamond" w:cs="Arial"/>
          <w:lang w:val="pt-PT"/>
        </w:rPr>
        <w:t>própria</w:t>
      </w:r>
      <w:r w:rsidRPr="003A1174">
        <w:rPr>
          <w:rFonts w:ascii="Garamond" w:hAnsi="Garamond" w:cs="Arial"/>
          <w:lang w:val="pt-PT"/>
        </w:rPr>
        <w:t xml:space="preserve"> </w:t>
      </w:r>
      <w:r w:rsidR="00682C71" w:rsidRPr="003A1174">
        <w:rPr>
          <w:rFonts w:ascii="Garamond" w:hAnsi="Garamond" w:cs="Arial"/>
          <w:lang w:val="pt-PT"/>
        </w:rPr>
        <w:t>termologia</w:t>
      </w:r>
      <w:r w:rsidRPr="003A1174">
        <w:rPr>
          <w:rFonts w:ascii="Garamond" w:hAnsi="Garamond" w:cs="Arial"/>
          <w:lang w:val="pt-PT"/>
        </w:rPr>
        <w:t xml:space="preserve"> d</w:t>
      </w:r>
      <w:r w:rsidR="00682C71" w:rsidRPr="003A1174">
        <w:rPr>
          <w:rFonts w:ascii="Garamond" w:hAnsi="Garamond" w:cs="Arial"/>
          <w:lang w:val="pt-PT"/>
        </w:rPr>
        <w:t>o</w:t>
      </w:r>
      <w:r w:rsidRPr="003A1174">
        <w:rPr>
          <w:rFonts w:ascii="Garamond" w:hAnsi="Garamond" w:cs="Arial"/>
          <w:lang w:val="pt-PT"/>
        </w:rPr>
        <w:t xml:space="preserve"> </w:t>
      </w:r>
      <w:r w:rsidR="00AF192F" w:rsidRPr="003A1174">
        <w:rPr>
          <w:rFonts w:ascii="Garamond" w:hAnsi="Garamond" w:cs="Arial"/>
          <w:lang w:val="pt-PT"/>
        </w:rPr>
        <w:t>conceito</w:t>
      </w:r>
      <w:r w:rsidRPr="003A1174">
        <w:rPr>
          <w:rFonts w:ascii="Garamond" w:hAnsi="Garamond" w:cs="Arial"/>
          <w:lang w:val="pt-PT"/>
        </w:rPr>
        <w:t xml:space="preserve"> de </w:t>
      </w:r>
      <w:r w:rsidR="00CF4C35" w:rsidRPr="003A1174">
        <w:rPr>
          <w:rFonts w:ascii="Garamond" w:hAnsi="Garamond" w:cs="Arial"/>
          <w:lang w:val="pt-PT"/>
        </w:rPr>
        <w:t>Diligência Devida</w:t>
      </w:r>
      <w:r w:rsidR="00FC7358">
        <w:rPr>
          <w:rFonts w:ascii="Garamond" w:hAnsi="Garamond" w:cs="Arial"/>
          <w:lang w:val="pt-PT"/>
        </w:rPr>
        <w:t>,</w:t>
      </w:r>
      <w:r w:rsidR="00FB316B" w:rsidRPr="003A1174">
        <w:rPr>
          <w:rFonts w:ascii="Garamond" w:hAnsi="Garamond" w:cs="Arial"/>
          <w:lang w:val="pt-PT"/>
        </w:rPr>
        <w:t xml:space="preserve"> </w:t>
      </w:r>
      <w:r w:rsidRPr="003A1174">
        <w:rPr>
          <w:rFonts w:ascii="Garamond" w:hAnsi="Garamond" w:cs="Arial"/>
          <w:lang w:val="pt-PT"/>
        </w:rPr>
        <w:t>consideramos importante referir que, t</w:t>
      </w:r>
      <w:r w:rsidR="00682C71" w:rsidRPr="003A1174">
        <w:rPr>
          <w:rFonts w:ascii="Garamond" w:hAnsi="Garamond" w:cs="Arial"/>
          <w:lang w:val="pt-PT"/>
        </w:rPr>
        <w:t xml:space="preserve">endo em conta as línguas utilizadas no </w:t>
      </w:r>
      <w:r w:rsidRPr="003A1174">
        <w:rPr>
          <w:rFonts w:ascii="Garamond" w:hAnsi="Garamond" w:cs="Arial"/>
          <w:lang w:val="pt-PT"/>
        </w:rPr>
        <w:t xml:space="preserve">Sistema Interamericano </w:t>
      </w:r>
      <w:r w:rsidR="003B4D48">
        <w:rPr>
          <w:rFonts w:ascii="Garamond" w:hAnsi="Garamond" w:cs="Arial"/>
          <w:lang w:val="pt-PT"/>
        </w:rPr>
        <w:t>-</w:t>
      </w:r>
      <w:r w:rsidR="00682C71" w:rsidRPr="003A1174">
        <w:rPr>
          <w:rFonts w:ascii="Garamond" w:hAnsi="Garamond" w:cs="Arial"/>
          <w:lang w:val="pt-PT"/>
        </w:rPr>
        <w:t xml:space="preserve"> como parte da </w:t>
      </w:r>
      <w:r w:rsidR="008E7A2A" w:rsidRPr="003A1174">
        <w:rPr>
          <w:rFonts w:ascii="Garamond" w:hAnsi="Garamond" w:cs="Arial"/>
          <w:lang w:val="pt-PT"/>
        </w:rPr>
        <w:t>Organização</w:t>
      </w:r>
      <w:r w:rsidRPr="003A1174">
        <w:rPr>
          <w:rFonts w:ascii="Garamond" w:hAnsi="Garamond" w:cs="Arial"/>
          <w:lang w:val="pt-PT"/>
        </w:rPr>
        <w:t xml:space="preserve"> dos Estados Americanos</w:t>
      </w:r>
      <w:r w:rsidR="00682C71" w:rsidRPr="003A1174">
        <w:rPr>
          <w:rFonts w:ascii="Garamond" w:hAnsi="Garamond" w:cs="Arial"/>
          <w:lang w:val="pt-PT"/>
        </w:rPr>
        <w:t xml:space="preserve"> </w:t>
      </w:r>
      <w:r w:rsidR="003B4D48">
        <w:rPr>
          <w:rFonts w:ascii="Garamond" w:hAnsi="Garamond" w:cs="Arial"/>
          <w:lang w:val="pt-PT"/>
        </w:rPr>
        <w:t>-</w:t>
      </w:r>
      <w:r w:rsidR="00FB316B" w:rsidRPr="003A1174">
        <w:rPr>
          <w:rFonts w:ascii="Garamond" w:hAnsi="Garamond" w:cs="Arial"/>
          <w:lang w:val="pt-PT"/>
        </w:rPr>
        <w:t>,</w:t>
      </w:r>
      <w:r w:rsidRPr="003A1174">
        <w:rPr>
          <w:rFonts w:ascii="Garamond" w:hAnsi="Garamond" w:cs="Arial"/>
          <w:lang w:val="pt-PT"/>
        </w:rPr>
        <w:t xml:space="preserve"> </w:t>
      </w:r>
      <w:r w:rsidR="00841520" w:rsidRPr="003A1174">
        <w:rPr>
          <w:rFonts w:ascii="Garamond" w:hAnsi="Garamond" w:cs="Arial"/>
          <w:lang w:val="pt-PT"/>
        </w:rPr>
        <w:t>costumamos utilizar para nos referirmos a</w:t>
      </w:r>
      <w:r w:rsidR="00FB316B" w:rsidRPr="003A1174">
        <w:rPr>
          <w:rFonts w:ascii="Garamond" w:hAnsi="Garamond" w:cs="Arial"/>
          <w:lang w:val="pt-PT"/>
        </w:rPr>
        <w:t xml:space="preserve"> es</w:t>
      </w:r>
      <w:r w:rsidR="00682C71" w:rsidRPr="003A1174">
        <w:rPr>
          <w:rFonts w:ascii="Garamond" w:hAnsi="Garamond" w:cs="Arial"/>
          <w:lang w:val="pt-PT"/>
        </w:rPr>
        <w:t>s</w:t>
      </w:r>
      <w:r w:rsidR="00FB316B" w:rsidRPr="003A1174">
        <w:rPr>
          <w:rFonts w:ascii="Garamond" w:hAnsi="Garamond" w:cs="Arial"/>
          <w:lang w:val="pt-PT"/>
        </w:rPr>
        <w:t>a</w:t>
      </w:r>
      <w:r w:rsidRPr="003A1174">
        <w:rPr>
          <w:rFonts w:ascii="Garamond" w:hAnsi="Garamond" w:cs="Arial"/>
          <w:lang w:val="pt-PT"/>
        </w:rPr>
        <w:t xml:space="preserve"> </w:t>
      </w:r>
      <w:r w:rsidR="00682C71" w:rsidRPr="003A1174">
        <w:rPr>
          <w:rFonts w:ascii="Garamond" w:hAnsi="Garamond" w:cs="Arial"/>
          <w:lang w:val="pt-PT"/>
        </w:rPr>
        <w:t>expressão</w:t>
      </w:r>
      <w:r w:rsidRPr="003A1174">
        <w:rPr>
          <w:rFonts w:ascii="Garamond" w:hAnsi="Garamond" w:cs="Arial"/>
          <w:lang w:val="pt-PT"/>
        </w:rPr>
        <w:t xml:space="preserve"> a</w:t>
      </w:r>
      <w:r w:rsidR="008C0259" w:rsidRPr="003A1174">
        <w:rPr>
          <w:rFonts w:ascii="Garamond" w:hAnsi="Garamond" w:cs="Arial"/>
          <w:lang w:val="pt-PT"/>
        </w:rPr>
        <w:t>s</w:t>
      </w:r>
      <w:r w:rsidRPr="003A1174">
        <w:rPr>
          <w:rFonts w:ascii="Garamond" w:hAnsi="Garamond" w:cs="Arial"/>
          <w:lang w:val="pt-PT"/>
        </w:rPr>
        <w:t xml:space="preserve"> frase</w:t>
      </w:r>
      <w:r w:rsidR="008C0259" w:rsidRPr="003A1174">
        <w:rPr>
          <w:rFonts w:ascii="Garamond" w:hAnsi="Garamond" w:cs="Arial"/>
          <w:lang w:val="pt-PT"/>
        </w:rPr>
        <w:t>s</w:t>
      </w:r>
      <w:r w:rsidRPr="003A1174">
        <w:rPr>
          <w:rFonts w:ascii="Garamond" w:hAnsi="Garamond" w:cs="Arial"/>
          <w:lang w:val="pt-PT"/>
        </w:rPr>
        <w:t xml:space="preserve"> </w:t>
      </w:r>
      <w:r w:rsidR="006A4C44">
        <w:rPr>
          <w:rFonts w:ascii="Garamond" w:hAnsi="Garamond" w:cs="Arial"/>
          <w:i/>
          <w:iCs/>
          <w:lang w:val="pt-PT"/>
        </w:rPr>
        <w:t>«</w:t>
      </w:r>
      <w:r w:rsidR="007342D9" w:rsidRPr="003A1174">
        <w:rPr>
          <w:rFonts w:ascii="Garamond" w:hAnsi="Garamond" w:cs="Arial"/>
          <w:i/>
          <w:iCs/>
          <w:lang w:val="pt-PT"/>
        </w:rPr>
        <w:t>obriga</w:t>
      </w:r>
      <w:r w:rsidRPr="003A1174">
        <w:rPr>
          <w:rFonts w:ascii="Garamond" w:hAnsi="Garamond" w:cs="Arial"/>
          <w:i/>
          <w:iCs/>
          <w:lang w:val="pt-PT"/>
        </w:rPr>
        <w:t xml:space="preserve">tion </w:t>
      </w:r>
      <w:r w:rsidR="00C031E1" w:rsidRPr="003A1174">
        <w:rPr>
          <w:rFonts w:ascii="Garamond" w:hAnsi="Garamond" w:cs="Arial"/>
          <w:i/>
          <w:iCs/>
          <w:lang w:val="pt-PT"/>
        </w:rPr>
        <w:t>de</w:t>
      </w:r>
      <w:r w:rsidRPr="003A1174">
        <w:rPr>
          <w:rFonts w:ascii="Garamond" w:hAnsi="Garamond" w:cs="Arial"/>
          <w:i/>
          <w:iCs/>
          <w:lang w:val="pt-PT"/>
        </w:rPr>
        <w:t xml:space="preserve"> diligence voulue</w:t>
      </w:r>
      <w:r w:rsidR="006A4C44">
        <w:rPr>
          <w:rFonts w:ascii="Garamond" w:hAnsi="Garamond" w:cs="Arial"/>
          <w:i/>
          <w:iCs/>
          <w:lang w:val="pt-PT"/>
        </w:rPr>
        <w:t>»</w:t>
      </w:r>
      <w:r w:rsidRPr="003A1174">
        <w:rPr>
          <w:rFonts w:ascii="Garamond" w:hAnsi="Garamond" w:cs="Arial"/>
          <w:lang w:val="pt-PT"/>
        </w:rPr>
        <w:t>, o</w:t>
      </w:r>
      <w:r w:rsidR="00682C71" w:rsidRPr="003A1174">
        <w:rPr>
          <w:rFonts w:ascii="Garamond" w:hAnsi="Garamond" w:cs="Arial"/>
          <w:lang w:val="pt-PT"/>
        </w:rPr>
        <w:t>u</w:t>
      </w:r>
      <w:r w:rsidRPr="003A1174">
        <w:rPr>
          <w:rFonts w:ascii="Garamond" w:hAnsi="Garamond" w:cs="Arial"/>
          <w:lang w:val="pt-PT"/>
        </w:rPr>
        <w:t xml:space="preserve"> </w:t>
      </w:r>
      <w:r w:rsidR="000350B1" w:rsidRPr="003A1174">
        <w:rPr>
          <w:rFonts w:ascii="Garamond" w:hAnsi="Garamond" w:cs="Arial"/>
          <w:lang w:val="pt-PT"/>
        </w:rPr>
        <w:t>também</w:t>
      </w:r>
      <w:r w:rsidRPr="003A1174">
        <w:rPr>
          <w:rFonts w:ascii="Garamond" w:hAnsi="Garamond" w:cs="Arial"/>
          <w:lang w:val="pt-PT"/>
        </w:rPr>
        <w:t xml:space="preserve"> </w:t>
      </w:r>
      <w:r w:rsidR="006A4C44">
        <w:rPr>
          <w:rFonts w:ascii="Garamond" w:hAnsi="Garamond" w:cs="Arial"/>
          <w:i/>
          <w:lang w:val="pt-PT"/>
        </w:rPr>
        <w:t>«</w:t>
      </w:r>
      <w:r w:rsidRPr="003A1174">
        <w:rPr>
          <w:rFonts w:ascii="Garamond" w:hAnsi="Garamond" w:cs="Arial"/>
          <w:bCs/>
          <w:i/>
          <w:shd w:val="clear" w:color="auto" w:fill="FFFFFF"/>
          <w:lang w:val="pt-PT"/>
        </w:rPr>
        <w:t xml:space="preserve">diligence </w:t>
      </w:r>
      <w:r w:rsidR="006A4C44">
        <w:rPr>
          <w:rFonts w:ascii="Garamond" w:hAnsi="Garamond" w:cs="Arial"/>
          <w:bCs/>
          <w:i/>
          <w:shd w:val="clear" w:color="auto" w:fill="FFFFFF"/>
          <w:lang w:val="pt-PT"/>
        </w:rPr>
        <w:t>necessaire»</w:t>
      </w:r>
      <w:r w:rsidR="00682C71" w:rsidRPr="003A1174">
        <w:rPr>
          <w:rFonts w:ascii="Garamond" w:hAnsi="Garamond" w:cs="Arial"/>
          <w:bCs/>
          <w:shd w:val="clear" w:color="auto" w:fill="FFFFFF"/>
          <w:lang w:val="pt-PT"/>
        </w:rPr>
        <w:t xml:space="preserve"> e</w:t>
      </w:r>
      <w:r w:rsidRPr="003A1174">
        <w:rPr>
          <w:rFonts w:ascii="Garamond" w:hAnsi="Garamond" w:cs="Arial"/>
          <w:bCs/>
          <w:shd w:val="clear" w:color="auto" w:fill="FFFFFF"/>
          <w:lang w:val="pt-PT"/>
        </w:rPr>
        <w:t xml:space="preserve"> </w:t>
      </w:r>
      <w:r w:rsidR="006A4C44">
        <w:rPr>
          <w:rFonts w:ascii="Garamond" w:hAnsi="Garamond" w:cs="Arial"/>
          <w:bCs/>
          <w:shd w:val="clear" w:color="auto" w:fill="FFFFFF"/>
          <w:lang w:val="pt-PT"/>
        </w:rPr>
        <w:t>«</w:t>
      </w:r>
      <w:r w:rsidRPr="003A1174">
        <w:rPr>
          <w:rFonts w:ascii="Garamond" w:hAnsi="Garamond" w:cs="Arial"/>
          <w:bCs/>
          <w:i/>
          <w:shd w:val="clear" w:color="auto" w:fill="FFFFFF"/>
          <w:lang w:val="pt-PT"/>
        </w:rPr>
        <w:t>diligence raisonnable</w:t>
      </w:r>
      <w:r w:rsidR="006A4C44">
        <w:rPr>
          <w:rFonts w:ascii="Garamond" w:hAnsi="Garamond" w:cs="Arial"/>
          <w:bCs/>
          <w:i/>
          <w:shd w:val="clear" w:color="auto" w:fill="FFFFFF"/>
          <w:lang w:val="pt-PT"/>
        </w:rPr>
        <w:t>»</w:t>
      </w:r>
      <w:r w:rsidR="008C0259" w:rsidRPr="003A1174">
        <w:rPr>
          <w:rFonts w:ascii="Garamond" w:hAnsi="Garamond" w:cs="Arial"/>
          <w:bCs/>
          <w:shd w:val="clear" w:color="auto" w:fill="FFFFFF"/>
          <w:lang w:val="pt-PT"/>
        </w:rPr>
        <w:t>,</w:t>
      </w:r>
      <w:r w:rsidRPr="003A1174">
        <w:rPr>
          <w:rFonts w:ascii="Garamond" w:hAnsi="Garamond" w:cs="Arial"/>
          <w:lang w:val="pt-PT"/>
        </w:rPr>
        <w:t xml:space="preserve"> </w:t>
      </w:r>
      <w:r w:rsidR="00BA3CCE" w:rsidRPr="003A1174">
        <w:rPr>
          <w:rFonts w:ascii="Garamond" w:hAnsi="Garamond" w:cs="Arial"/>
          <w:lang w:val="pt-PT"/>
        </w:rPr>
        <w:t>construídas</w:t>
      </w:r>
      <w:r w:rsidRPr="003A1174">
        <w:rPr>
          <w:rFonts w:ascii="Garamond" w:hAnsi="Garamond" w:cs="Arial"/>
          <w:lang w:val="pt-PT"/>
        </w:rPr>
        <w:t xml:space="preserve"> co</w:t>
      </w:r>
      <w:r w:rsidR="00682C71" w:rsidRPr="003A1174">
        <w:rPr>
          <w:rFonts w:ascii="Garamond" w:hAnsi="Garamond" w:cs="Arial"/>
          <w:lang w:val="pt-PT"/>
        </w:rPr>
        <w:t xml:space="preserve">m </w:t>
      </w:r>
      <w:r w:rsidRPr="003A1174">
        <w:rPr>
          <w:rFonts w:ascii="Garamond" w:hAnsi="Garamond" w:cs="Arial"/>
          <w:lang w:val="pt-PT"/>
        </w:rPr>
        <w:t>voc</w:t>
      </w:r>
      <w:r w:rsidR="00682C71" w:rsidRPr="003A1174">
        <w:rPr>
          <w:rFonts w:ascii="Garamond" w:hAnsi="Garamond" w:cs="Arial"/>
          <w:lang w:val="pt-PT"/>
        </w:rPr>
        <w:t>ábu</w:t>
      </w:r>
      <w:r w:rsidRPr="003A1174">
        <w:rPr>
          <w:rFonts w:ascii="Garamond" w:hAnsi="Garamond" w:cs="Arial"/>
          <w:lang w:val="pt-PT"/>
        </w:rPr>
        <w:t xml:space="preserve">los </w:t>
      </w:r>
      <w:r w:rsidR="00FC7358">
        <w:rPr>
          <w:rFonts w:ascii="Garamond" w:hAnsi="Garamond" w:cs="Arial"/>
          <w:lang w:val="pt-PT"/>
        </w:rPr>
        <w:t>que referem</w:t>
      </w:r>
      <w:r w:rsidRPr="003A1174">
        <w:rPr>
          <w:rFonts w:ascii="Garamond" w:hAnsi="Garamond" w:cs="Arial"/>
          <w:lang w:val="pt-PT"/>
        </w:rPr>
        <w:t xml:space="preserve"> u</w:t>
      </w:r>
      <w:r w:rsidR="00682C71" w:rsidRPr="003A1174">
        <w:rPr>
          <w:rFonts w:ascii="Garamond" w:hAnsi="Garamond" w:cs="Arial"/>
          <w:lang w:val="pt-PT"/>
        </w:rPr>
        <w:t>m</w:t>
      </w:r>
      <w:r w:rsidRPr="003A1174">
        <w:rPr>
          <w:rFonts w:ascii="Garamond" w:hAnsi="Garamond" w:cs="Arial"/>
          <w:lang w:val="pt-PT"/>
        </w:rPr>
        <w:t xml:space="preserve"> </w:t>
      </w:r>
      <w:r w:rsidR="00AF192F" w:rsidRPr="003A1174">
        <w:rPr>
          <w:rFonts w:ascii="Garamond" w:hAnsi="Garamond" w:cs="Arial"/>
          <w:lang w:val="pt-PT"/>
        </w:rPr>
        <w:t>dever</w:t>
      </w:r>
      <w:r w:rsidR="008C0259" w:rsidRPr="003A1174">
        <w:rPr>
          <w:rFonts w:ascii="Garamond" w:hAnsi="Garamond" w:cs="Arial"/>
          <w:lang w:val="pt-PT"/>
        </w:rPr>
        <w:t>,</w:t>
      </w:r>
      <w:r w:rsidRPr="003A1174">
        <w:rPr>
          <w:rFonts w:ascii="Garamond" w:hAnsi="Garamond" w:cs="Arial"/>
          <w:lang w:val="pt-PT"/>
        </w:rPr>
        <w:t xml:space="preserve"> </w:t>
      </w:r>
      <w:r w:rsidR="00682C71" w:rsidRPr="003A1174">
        <w:rPr>
          <w:rFonts w:ascii="Garamond" w:hAnsi="Garamond" w:cs="Arial"/>
          <w:lang w:val="pt-PT"/>
        </w:rPr>
        <w:t xml:space="preserve">quer seja de agir ou não agir, </w:t>
      </w:r>
      <w:r w:rsidR="00FC7358">
        <w:rPr>
          <w:rFonts w:ascii="Garamond" w:hAnsi="Garamond" w:cs="Arial"/>
          <w:lang w:val="pt-PT"/>
        </w:rPr>
        <w:t xml:space="preserve">mas </w:t>
      </w:r>
      <w:r w:rsidR="00682C71" w:rsidRPr="003A1174">
        <w:rPr>
          <w:rFonts w:ascii="Garamond" w:hAnsi="Garamond" w:cs="Arial"/>
          <w:lang w:val="pt-PT"/>
        </w:rPr>
        <w:t>que seja desejável cumpr</w:t>
      </w:r>
      <w:r w:rsidRPr="003A1174">
        <w:rPr>
          <w:rFonts w:ascii="Garamond" w:hAnsi="Garamond" w:cs="Arial"/>
          <w:lang w:val="pt-PT"/>
        </w:rPr>
        <w:t>ir</w:t>
      </w:r>
      <w:r w:rsidR="008C0259" w:rsidRPr="003A1174">
        <w:rPr>
          <w:rFonts w:ascii="Garamond" w:hAnsi="Garamond" w:cs="Arial"/>
          <w:lang w:val="pt-PT"/>
        </w:rPr>
        <w:t>.</w:t>
      </w:r>
      <w:r w:rsidR="00D944A1" w:rsidRPr="003A1174">
        <w:rPr>
          <w:rStyle w:val="Refdenotaalpie"/>
          <w:rFonts w:ascii="Garamond" w:hAnsi="Garamond" w:cs="Arial"/>
          <w:b/>
        </w:rPr>
        <w:footnoteReference w:id="15"/>
      </w:r>
      <w:r w:rsidR="0062671F" w:rsidRPr="003A1174">
        <w:rPr>
          <w:rFonts w:ascii="Garamond" w:hAnsi="Garamond" w:cs="Arial"/>
          <w:lang w:val="pt-PT"/>
        </w:rPr>
        <w:t xml:space="preserve"> </w:t>
      </w:r>
      <w:r w:rsidRPr="003A1174">
        <w:rPr>
          <w:rFonts w:ascii="Garamond" w:hAnsi="Garamond" w:cs="Arial"/>
          <w:lang w:val="pt-PT"/>
        </w:rPr>
        <w:t>E</w:t>
      </w:r>
      <w:r w:rsidR="00682C71" w:rsidRPr="003A1174">
        <w:rPr>
          <w:rFonts w:ascii="Garamond" w:hAnsi="Garamond" w:cs="Arial"/>
          <w:lang w:val="pt-PT"/>
        </w:rPr>
        <w:t>m portuguê</w:t>
      </w:r>
      <w:r w:rsidRPr="003A1174">
        <w:rPr>
          <w:rFonts w:ascii="Garamond" w:hAnsi="Garamond" w:cs="Arial"/>
          <w:lang w:val="pt-PT"/>
        </w:rPr>
        <w:t>s</w:t>
      </w:r>
      <w:r w:rsidR="008C0259" w:rsidRPr="003A1174">
        <w:rPr>
          <w:rFonts w:ascii="Garamond" w:hAnsi="Garamond" w:cs="Arial"/>
          <w:lang w:val="pt-PT"/>
        </w:rPr>
        <w:t>,</w:t>
      </w:r>
      <w:r w:rsidR="00682C71" w:rsidRPr="003A1174">
        <w:rPr>
          <w:rFonts w:ascii="Garamond" w:hAnsi="Garamond" w:cs="Arial"/>
          <w:lang w:val="pt-PT"/>
        </w:rPr>
        <w:t xml:space="preserve"> </w:t>
      </w:r>
      <w:r w:rsidRPr="003A1174">
        <w:rPr>
          <w:rFonts w:ascii="Garamond" w:hAnsi="Garamond" w:cs="Arial"/>
          <w:lang w:val="pt-PT"/>
        </w:rPr>
        <w:t xml:space="preserve">a </w:t>
      </w:r>
      <w:r w:rsidR="00682C71" w:rsidRPr="003A1174">
        <w:rPr>
          <w:rFonts w:ascii="Garamond" w:hAnsi="Garamond" w:cs="Arial"/>
          <w:lang w:val="pt-PT"/>
        </w:rPr>
        <w:t>expressão</w:t>
      </w:r>
      <w:r w:rsidRPr="003A1174">
        <w:rPr>
          <w:rFonts w:ascii="Garamond" w:hAnsi="Garamond" w:cs="Arial"/>
          <w:lang w:val="pt-PT"/>
        </w:rPr>
        <w:t xml:space="preserve"> </w:t>
      </w:r>
      <w:r w:rsidR="00A34F0F" w:rsidRPr="00A34F0F">
        <w:rPr>
          <w:rFonts w:ascii="Garamond" w:hAnsi="Garamond" w:cs="Arial"/>
          <w:iCs/>
          <w:lang w:val="pt-PT"/>
        </w:rPr>
        <w:t>«</w:t>
      </w:r>
      <w:r w:rsidRPr="00A34F0F">
        <w:rPr>
          <w:rFonts w:ascii="Garamond" w:hAnsi="Garamond" w:cs="Arial"/>
          <w:iCs/>
          <w:lang w:val="pt-PT"/>
        </w:rPr>
        <w:t>diligência devida</w:t>
      </w:r>
      <w:r w:rsidR="00A34F0F" w:rsidRPr="00A34F0F">
        <w:rPr>
          <w:rFonts w:ascii="Garamond" w:hAnsi="Garamond" w:cs="Arial"/>
          <w:iCs/>
          <w:lang w:val="pt-PT"/>
        </w:rPr>
        <w:t>»</w:t>
      </w:r>
      <w:r w:rsidRPr="003A1174">
        <w:rPr>
          <w:rFonts w:ascii="Garamond" w:hAnsi="Garamond" w:cs="Arial"/>
          <w:lang w:val="pt-PT"/>
        </w:rPr>
        <w:t xml:space="preserve"> </w:t>
      </w:r>
      <w:r w:rsidR="00682C71" w:rsidRPr="003A1174">
        <w:rPr>
          <w:rFonts w:ascii="Garamond" w:hAnsi="Garamond" w:cs="Arial"/>
          <w:lang w:val="pt-PT"/>
        </w:rPr>
        <w:t xml:space="preserve">utiliza-se para </w:t>
      </w:r>
      <w:r w:rsidRPr="003A1174">
        <w:rPr>
          <w:rFonts w:ascii="Garamond" w:hAnsi="Garamond" w:cs="Arial"/>
          <w:lang w:val="pt-PT"/>
        </w:rPr>
        <w:t>se referir</w:t>
      </w:r>
      <w:r w:rsidR="00682C71" w:rsidRPr="003A1174">
        <w:rPr>
          <w:rFonts w:ascii="Garamond" w:hAnsi="Garamond" w:cs="Arial"/>
          <w:lang w:val="pt-PT"/>
        </w:rPr>
        <w:t xml:space="preserve"> ao </w:t>
      </w:r>
      <w:r w:rsidR="00C30647" w:rsidRPr="003A1174">
        <w:rPr>
          <w:rFonts w:ascii="Garamond" w:hAnsi="Garamond" w:cs="Arial"/>
          <w:lang w:val="pt-PT"/>
        </w:rPr>
        <w:t>esforço</w:t>
      </w:r>
      <w:r w:rsidR="00682C71" w:rsidRPr="003A1174">
        <w:rPr>
          <w:rFonts w:ascii="Garamond" w:hAnsi="Garamond" w:cs="Arial"/>
          <w:lang w:val="pt-PT"/>
        </w:rPr>
        <w:t xml:space="preserve"> e z</w:t>
      </w:r>
      <w:r w:rsidRPr="003A1174">
        <w:rPr>
          <w:rFonts w:ascii="Garamond" w:hAnsi="Garamond" w:cs="Arial"/>
          <w:lang w:val="pt-PT"/>
        </w:rPr>
        <w:t xml:space="preserve">elo </w:t>
      </w:r>
      <w:r w:rsidR="00C30647" w:rsidRPr="003A1174">
        <w:rPr>
          <w:rFonts w:ascii="Garamond" w:hAnsi="Garamond" w:cs="Arial"/>
          <w:lang w:val="pt-PT"/>
        </w:rPr>
        <w:t>necessário</w:t>
      </w:r>
      <w:r w:rsidR="00682C71" w:rsidRPr="003A1174">
        <w:rPr>
          <w:rFonts w:ascii="Garamond" w:hAnsi="Garamond" w:cs="Arial"/>
          <w:lang w:val="pt-PT"/>
        </w:rPr>
        <w:t xml:space="preserve">s </w:t>
      </w:r>
      <w:r w:rsidRPr="003A1174">
        <w:rPr>
          <w:rFonts w:ascii="Garamond" w:hAnsi="Garamond" w:cs="Arial"/>
          <w:lang w:val="pt-PT"/>
        </w:rPr>
        <w:t>n</w:t>
      </w:r>
      <w:r w:rsidR="00682C71" w:rsidRPr="003A1174">
        <w:rPr>
          <w:rFonts w:ascii="Garamond" w:hAnsi="Garamond" w:cs="Arial"/>
          <w:lang w:val="pt-PT"/>
        </w:rPr>
        <w:t>o</w:t>
      </w:r>
      <w:r w:rsidRPr="003A1174">
        <w:rPr>
          <w:rFonts w:ascii="Garamond" w:hAnsi="Garamond" w:cs="Arial"/>
          <w:lang w:val="pt-PT"/>
        </w:rPr>
        <w:t xml:space="preserve"> </w:t>
      </w:r>
      <w:r w:rsidR="00D96FD0" w:rsidRPr="003A1174">
        <w:rPr>
          <w:rFonts w:ascii="Garamond" w:hAnsi="Garamond" w:cs="Arial"/>
          <w:lang w:val="pt-PT"/>
        </w:rPr>
        <w:t>cumprimento</w:t>
      </w:r>
      <w:r w:rsidRPr="003A1174">
        <w:rPr>
          <w:rFonts w:ascii="Garamond" w:hAnsi="Garamond" w:cs="Arial"/>
          <w:lang w:val="pt-PT"/>
        </w:rPr>
        <w:t xml:space="preserve"> de u</w:t>
      </w:r>
      <w:r w:rsidR="00682C71" w:rsidRPr="003A1174">
        <w:rPr>
          <w:rFonts w:ascii="Garamond" w:hAnsi="Garamond" w:cs="Arial"/>
          <w:lang w:val="pt-PT"/>
        </w:rPr>
        <w:t>m</w:t>
      </w:r>
      <w:r w:rsidRPr="003A1174">
        <w:rPr>
          <w:rFonts w:ascii="Garamond" w:hAnsi="Garamond" w:cs="Arial"/>
          <w:lang w:val="pt-PT"/>
        </w:rPr>
        <w:t xml:space="preserve"> </w:t>
      </w:r>
      <w:r w:rsidR="00AF192F" w:rsidRPr="003A1174">
        <w:rPr>
          <w:rFonts w:ascii="Garamond" w:hAnsi="Garamond" w:cs="Arial"/>
          <w:lang w:val="pt-PT"/>
        </w:rPr>
        <w:t>dever</w:t>
      </w:r>
      <w:r w:rsidR="00682C71" w:rsidRPr="003A1174">
        <w:rPr>
          <w:rFonts w:ascii="Garamond" w:hAnsi="Garamond" w:cs="Arial"/>
          <w:lang w:val="pt-PT"/>
        </w:rPr>
        <w:t>, de modo oportuno e</w:t>
      </w:r>
      <w:r w:rsidRPr="003A1174">
        <w:rPr>
          <w:rFonts w:ascii="Garamond" w:hAnsi="Garamond" w:cs="Arial"/>
          <w:lang w:val="pt-PT"/>
        </w:rPr>
        <w:t xml:space="preserve"> </w:t>
      </w:r>
      <w:r w:rsidR="00B14AA6" w:rsidRPr="003A1174">
        <w:rPr>
          <w:rFonts w:ascii="Garamond" w:hAnsi="Garamond" w:cs="Arial"/>
          <w:lang w:val="pt-PT"/>
        </w:rPr>
        <w:t>apropriado</w:t>
      </w:r>
      <w:r w:rsidR="008C0259" w:rsidRPr="003A1174">
        <w:rPr>
          <w:rFonts w:ascii="Garamond" w:hAnsi="Garamond" w:cs="Arial"/>
          <w:lang w:val="pt-PT"/>
        </w:rPr>
        <w:t>.</w:t>
      </w:r>
      <w:r w:rsidR="0062671F" w:rsidRPr="003A1174">
        <w:rPr>
          <w:rStyle w:val="Refdenotaalpie"/>
          <w:rFonts w:ascii="Garamond" w:hAnsi="Garamond" w:cs="Arial"/>
          <w:b/>
        </w:rPr>
        <w:footnoteReference w:id="16"/>
      </w:r>
      <w:r w:rsidRPr="003A1174">
        <w:rPr>
          <w:rFonts w:ascii="Garamond" w:hAnsi="Garamond" w:cs="Arial"/>
          <w:lang w:val="pt-PT"/>
        </w:rPr>
        <w:t xml:space="preserve"> E</w:t>
      </w:r>
      <w:r w:rsidR="00682C71" w:rsidRPr="003A1174">
        <w:rPr>
          <w:rFonts w:ascii="Garamond" w:hAnsi="Garamond" w:cs="Arial"/>
          <w:lang w:val="pt-PT"/>
        </w:rPr>
        <w:t>m inglê</w:t>
      </w:r>
      <w:r w:rsidRPr="003A1174">
        <w:rPr>
          <w:rFonts w:ascii="Garamond" w:hAnsi="Garamond" w:cs="Arial"/>
          <w:lang w:val="pt-PT"/>
        </w:rPr>
        <w:t>s</w:t>
      </w:r>
      <w:r w:rsidR="008C0259" w:rsidRPr="003A1174">
        <w:rPr>
          <w:rFonts w:ascii="Garamond" w:hAnsi="Garamond" w:cs="Arial"/>
          <w:lang w:val="pt-PT"/>
        </w:rPr>
        <w:t>,</w:t>
      </w:r>
      <w:r w:rsidR="00682C71" w:rsidRPr="003A1174">
        <w:rPr>
          <w:rFonts w:ascii="Garamond" w:hAnsi="Garamond" w:cs="Arial"/>
          <w:lang w:val="pt-PT"/>
        </w:rPr>
        <w:t xml:space="preserve"> </w:t>
      </w:r>
      <w:r w:rsidRPr="003A1174">
        <w:rPr>
          <w:rFonts w:ascii="Garamond" w:hAnsi="Garamond" w:cs="Arial"/>
          <w:lang w:val="pt-PT"/>
        </w:rPr>
        <w:t xml:space="preserve">a </w:t>
      </w:r>
      <w:r w:rsidR="00682C71" w:rsidRPr="003A1174">
        <w:rPr>
          <w:rFonts w:ascii="Garamond" w:hAnsi="Garamond" w:cs="Arial"/>
          <w:lang w:val="pt-PT"/>
        </w:rPr>
        <w:t>expressão</w:t>
      </w:r>
      <w:r w:rsidRPr="003A1174">
        <w:rPr>
          <w:rFonts w:ascii="Garamond" w:hAnsi="Garamond" w:cs="Arial"/>
          <w:lang w:val="pt-PT"/>
        </w:rPr>
        <w:t xml:space="preserve"> </w:t>
      </w:r>
      <w:r w:rsidR="00A34F0F">
        <w:rPr>
          <w:rFonts w:ascii="Garamond" w:hAnsi="Garamond" w:cs="Arial"/>
          <w:i/>
          <w:iCs/>
          <w:lang w:val="pt-PT"/>
        </w:rPr>
        <w:t>«</w:t>
      </w:r>
      <w:r w:rsidRPr="003A1174">
        <w:rPr>
          <w:rFonts w:ascii="Garamond" w:hAnsi="Garamond" w:cs="Arial"/>
          <w:i/>
          <w:iCs/>
          <w:lang w:val="pt-PT"/>
        </w:rPr>
        <w:t>due diligence</w:t>
      </w:r>
      <w:r w:rsidR="00A34F0F">
        <w:rPr>
          <w:rFonts w:ascii="Garamond" w:hAnsi="Garamond" w:cs="Arial"/>
          <w:i/>
          <w:iCs/>
          <w:lang w:val="pt-PT"/>
        </w:rPr>
        <w:t>»</w:t>
      </w:r>
      <w:r w:rsidRPr="003A1174">
        <w:rPr>
          <w:rFonts w:ascii="Garamond" w:hAnsi="Garamond" w:cs="Arial"/>
          <w:lang w:val="pt-PT"/>
        </w:rPr>
        <w:t xml:space="preserve"> </w:t>
      </w:r>
      <w:r w:rsidR="00682C71" w:rsidRPr="003A1174">
        <w:rPr>
          <w:rFonts w:ascii="Garamond" w:hAnsi="Garamond" w:cs="Arial"/>
          <w:lang w:val="pt-PT"/>
        </w:rPr>
        <w:t>forma-</w:t>
      </w:r>
      <w:r w:rsidRPr="003A1174">
        <w:rPr>
          <w:rFonts w:ascii="Garamond" w:hAnsi="Garamond" w:cs="Arial"/>
          <w:lang w:val="pt-PT"/>
        </w:rPr>
        <w:t xml:space="preserve">se </w:t>
      </w:r>
      <w:r w:rsidR="00682C71" w:rsidRPr="003A1174">
        <w:rPr>
          <w:rFonts w:ascii="Garamond" w:hAnsi="Garamond" w:cs="Arial"/>
          <w:lang w:val="pt-PT"/>
        </w:rPr>
        <w:t>com vocá</w:t>
      </w:r>
      <w:r w:rsidRPr="003A1174">
        <w:rPr>
          <w:rFonts w:ascii="Garamond" w:hAnsi="Garamond" w:cs="Arial"/>
          <w:lang w:val="pt-PT"/>
        </w:rPr>
        <w:t>b</w:t>
      </w:r>
      <w:r w:rsidR="00682C71" w:rsidRPr="003A1174">
        <w:rPr>
          <w:rFonts w:ascii="Garamond" w:hAnsi="Garamond" w:cs="Arial"/>
          <w:lang w:val="pt-PT"/>
        </w:rPr>
        <w:t>u</w:t>
      </w:r>
      <w:r w:rsidRPr="003A1174">
        <w:rPr>
          <w:rFonts w:ascii="Garamond" w:hAnsi="Garamond" w:cs="Arial"/>
          <w:lang w:val="pt-PT"/>
        </w:rPr>
        <w:t xml:space="preserve">los que </w:t>
      </w:r>
      <w:r w:rsidR="00682C71" w:rsidRPr="003A1174">
        <w:rPr>
          <w:rFonts w:ascii="Garamond" w:hAnsi="Garamond" w:cs="Arial"/>
          <w:lang w:val="pt-PT"/>
        </w:rPr>
        <w:t>se referem à expetativa</w:t>
      </w:r>
      <w:r w:rsidRPr="003A1174">
        <w:rPr>
          <w:rFonts w:ascii="Garamond" w:hAnsi="Garamond" w:cs="Arial"/>
          <w:lang w:val="pt-PT"/>
        </w:rPr>
        <w:t xml:space="preserve"> de que se </w:t>
      </w:r>
      <w:r w:rsidR="00682C71" w:rsidRPr="003A1174">
        <w:rPr>
          <w:rFonts w:ascii="Garamond" w:hAnsi="Garamond" w:cs="Arial"/>
          <w:lang w:val="pt-PT"/>
        </w:rPr>
        <w:t xml:space="preserve">desenvolva um </w:t>
      </w:r>
      <w:r w:rsidR="00C30647" w:rsidRPr="003A1174">
        <w:rPr>
          <w:rFonts w:ascii="Garamond" w:hAnsi="Garamond" w:cs="Arial"/>
          <w:lang w:val="pt-PT"/>
        </w:rPr>
        <w:t>esforço</w:t>
      </w:r>
      <w:r w:rsidRPr="003A1174">
        <w:rPr>
          <w:rFonts w:ascii="Garamond" w:hAnsi="Garamond" w:cs="Arial"/>
          <w:lang w:val="pt-PT"/>
        </w:rPr>
        <w:t xml:space="preserve"> para </w:t>
      </w:r>
      <w:r w:rsidR="00682C71" w:rsidRPr="003A1174">
        <w:rPr>
          <w:rFonts w:ascii="Garamond" w:hAnsi="Garamond" w:cs="Arial"/>
          <w:lang w:val="pt-PT"/>
        </w:rPr>
        <w:t xml:space="preserve">o </w:t>
      </w:r>
      <w:r w:rsidR="00D96FD0" w:rsidRPr="003A1174">
        <w:rPr>
          <w:rFonts w:ascii="Garamond" w:hAnsi="Garamond" w:cs="Arial"/>
          <w:lang w:val="pt-PT"/>
        </w:rPr>
        <w:t>cumprimento</w:t>
      </w:r>
      <w:r w:rsidRPr="003A1174">
        <w:rPr>
          <w:rFonts w:ascii="Garamond" w:hAnsi="Garamond" w:cs="Arial"/>
          <w:lang w:val="pt-PT"/>
        </w:rPr>
        <w:t xml:space="preserve"> de u</w:t>
      </w:r>
      <w:r w:rsidR="00682C71" w:rsidRPr="003A1174">
        <w:rPr>
          <w:rFonts w:ascii="Garamond" w:hAnsi="Garamond" w:cs="Arial"/>
          <w:lang w:val="pt-PT"/>
        </w:rPr>
        <w:t>m</w:t>
      </w:r>
      <w:r w:rsidRPr="003A1174">
        <w:rPr>
          <w:rFonts w:ascii="Garamond" w:hAnsi="Garamond" w:cs="Arial"/>
          <w:lang w:val="pt-PT"/>
        </w:rPr>
        <w:t xml:space="preserve"> </w:t>
      </w:r>
      <w:r w:rsidR="00AF192F" w:rsidRPr="003A1174">
        <w:rPr>
          <w:rFonts w:ascii="Garamond" w:hAnsi="Garamond" w:cs="Arial"/>
          <w:lang w:val="pt-PT"/>
        </w:rPr>
        <w:t>dever</w:t>
      </w:r>
      <w:r w:rsidR="008C0259" w:rsidRPr="003A1174">
        <w:rPr>
          <w:rFonts w:ascii="Garamond" w:hAnsi="Garamond" w:cs="Arial"/>
          <w:lang w:val="pt-PT"/>
        </w:rPr>
        <w:t>.</w:t>
      </w:r>
      <w:r w:rsidR="0062671F" w:rsidRPr="003A1174">
        <w:rPr>
          <w:rStyle w:val="Refdenotaalpie"/>
          <w:rFonts w:ascii="Garamond" w:hAnsi="Garamond" w:cs="Arial"/>
          <w:b/>
        </w:rPr>
        <w:footnoteReference w:id="17"/>
      </w:r>
      <w:r w:rsidRPr="003A1174">
        <w:rPr>
          <w:rFonts w:ascii="Garamond" w:hAnsi="Garamond" w:cs="Arial"/>
          <w:lang w:val="pt-PT"/>
        </w:rPr>
        <w:t xml:space="preserve"> </w:t>
      </w:r>
      <w:r w:rsidR="00682C71" w:rsidRPr="003A1174">
        <w:rPr>
          <w:rFonts w:ascii="Garamond" w:hAnsi="Garamond" w:cs="Arial"/>
          <w:lang w:val="pt-PT"/>
        </w:rPr>
        <w:t>E,</w:t>
      </w:r>
      <w:r w:rsidRPr="003A1174">
        <w:rPr>
          <w:rFonts w:ascii="Garamond" w:hAnsi="Garamond" w:cs="Arial"/>
          <w:lang w:val="pt-PT"/>
        </w:rPr>
        <w:t xml:space="preserve"> finalmente, e</w:t>
      </w:r>
      <w:r w:rsidR="00682C71" w:rsidRPr="003A1174">
        <w:rPr>
          <w:rFonts w:ascii="Garamond" w:hAnsi="Garamond" w:cs="Arial"/>
          <w:lang w:val="pt-PT"/>
        </w:rPr>
        <w:t>m</w:t>
      </w:r>
      <w:r w:rsidRPr="003A1174">
        <w:rPr>
          <w:rFonts w:ascii="Garamond" w:hAnsi="Garamond" w:cs="Arial"/>
          <w:lang w:val="pt-PT"/>
        </w:rPr>
        <w:t xml:space="preserve"> espa</w:t>
      </w:r>
      <w:r w:rsidR="00682C71" w:rsidRPr="003A1174">
        <w:rPr>
          <w:rFonts w:ascii="Garamond" w:hAnsi="Garamond" w:cs="Arial"/>
          <w:lang w:val="pt-PT"/>
        </w:rPr>
        <w:t>nhol</w:t>
      </w:r>
      <w:r w:rsidR="00FC7358">
        <w:rPr>
          <w:rFonts w:ascii="Garamond" w:hAnsi="Garamond" w:cs="Arial"/>
          <w:lang w:val="pt-PT"/>
        </w:rPr>
        <w:t>,</w:t>
      </w:r>
      <w:r w:rsidR="00682C71" w:rsidRPr="003A1174">
        <w:rPr>
          <w:rFonts w:ascii="Garamond" w:hAnsi="Garamond" w:cs="Arial"/>
          <w:lang w:val="pt-PT"/>
        </w:rPr>
        <w:t xml:space="preserve"> os vocábulos</w:t>
      </w:r>
      <w:r w:rsidRPr="003A1174">
        <w:rPr>
          <w:rFonts w:ascii="Garamond" w:hAnsi="Garamond" w:cs="Arial"/>
          <w:lang w:val="pt-PT"/>
        </w:rPr>
        <w:t xml:space="preserve"> que comp</w:t>
      </w:r>
      <w:r w:rsidR="00682C71" w:rsidRPr="003A1174">
        <w:rPr>
          <w:rFonts w:ascii="Garamond" w:hAnsi="Garamond" w:cs="Arial"/>
          <w:lang w:val="pt-PT"/>
        </w:rPr>
        <w:t xml:space="preserve">õem </w:t>
      </w:r>
      <w:r w:rsidRPr="003A1174">
        <w:rPr>
          <w:rFonts w:ascii="Garamond" w:hAnsi="Garamond" w:cs="Arial"/>
          <w:lang w:val="pt-PT"/>
        </w:rPr>
        <w:t xml:space="preserve">a </w:t>
      </w:r>
      <w:r w:rsidR="00682C71" w:rsidRPr="003A1174">
        <w:rPr>
          <w:rFonts w:ascii="Garamond" w:hAnsi="Garamond" w:cs="Arial"/>
          <w:lang w:val="pt-PT"/>
        </w:rPr>
        <w:t>expressão</w:t>
      </w:r>
      <w:r w:rsidRPr="003A1174">
        <w:rPr>
          <w:rFonts w:ascii="Garamond" w:hAnsi="Garamond" w:cs="Arial"/>
          <w:lang w:val="pt-PT"/>
        </w:rPr>
        <w:t xml:space="preserve"> </w:t>
      </w:r>
      <w:r w:rsidR="00A34F0F">
        <w:rPr>
          <w:rFonts w:ascii="Garamond" w:hAnsi="Garamond" w:cs="Arial"/>
          <w:i/>
          <w:iCs/>
          <w:lang w:val="pt-PT"/>
        </w:rPr>
        <w:t>«</w:t>
      </w:r>
      <w:r w:rsidR="00CF4C35" w:rsidRPr="003A1174">
        <w:rPr>
          <w:rFonts w:ascii="Garamond" w:hAnsi="Garamond" w:cs="Arial"/>
          <w:i/>
          <w:iCs/>
          <w:lang w:val="pt-PT"/>
        </w:rPr>
        <w:t xml:space="preserve">debida </w:t>
      </w:r>
      <w:proofErr w:type="gramStart"/>
      <w:r w:rsidR="00CF4C35" w:rsidRPr="003A1174">
        <w:rPr>
          <w:rFonts w:ascii="Garamond" w:hAnsi="Garamond" w:cs="Arial"/>
          <w:i/>
          <w:iCs/>
          <w:lang w:val="pt-PT"/>
        </w:rPr>
        <w:t>diligencia</w:t>
      </w:r>
      <w:proofErr w:type="gramEnd"/>
      <w:r w:rsidR="00A34F0F">
        <w:rPr>
          <w:rFonts w:ascii="Garamond" w:hAnsi="Garamond" w:cs="Arial"/>
          <w:i/>
          <w:iCs/>
          <w:lang w:val="pt-PT"/>
        </w:rPr>
        <w:t>»</w:t>
      </w:r>
      <w:r w:rsidRPr="003A1174">
        <w:rPr>
          <w:rFonts w:ascii="Garamond" w:hAnsi="Garamond" w:cs="Arial"/>
          <w:lang w:val="pt-PT"/>
        </w:rPr>
        <w:t xml:space="preserve"> est</w:t>
      </w:r>
      <w:r w:rsidR="00682C71" w:rsidRPr="003A1174">
        <w:rPr>
          <w:rFonts w:ascii="Garamond" w:hAnsi="Garamond" w:cs="Arial"/>
          <w:lang w:val="pt-PT"/>
        </w:rPr>
        <w:t xml:space="preserve">ão </w:t>
      </w:r>
      <w:r w:rsidR="00800D59" w:rsidRPr="003A1174">
        <w:rPr>
          <w:rFonts w:ascii="Garamond" w:hAnsi="Garamond" w:cs="Arial"/>
          <w:lang w:val="pt-PT"/>
        </w:rPr>
        <w:t>associado</w:t>
      </w:r>
      <w:r w:rsidRPr="003A1174">
        <w:rPr>
          <w:rFonts w:ascii="Garamond" w:hAnsi="Garamond" w:cs="Arial"/>
          <w:lang w:val="pt-PT"/>
        </w:rPr>
        <w:t xml:space="preserve">s </w:t>
      </w:r>
      <w:r w:rsidR="00682C71" w:rsidRPr="003A1174">
        <w:rPr>
          <w:rFonts w:ascii="Garamond" w:hAnsi="Garamond" w:cs="Arial"/>
          <w:lang w:val="pt-PT"/>
        </w:rPr>
        <w:t xml:space="preserve">à </w:t>
      </w:r>
      <w:r w:rsidR="004E3A1A" w:rsidRPr="003A1174">
        <w:rPr>
          <w:rFonts w:ascii="Garamond" w:hAnsi="Garamond" w:cs="Arial"/>
          <w:lang w:val="pt-PT"/>
        </w:rPr>
        <w:t>ideia</w:t>
      </w:r>
      <w:r w:rsidRPr="003A1174">
        <w:rPr>
          <w:rFonts w:ascii="Garamond" w:hAnsi="Garamond" w:cs="Arial"/>
          <w:lang w:val="pt-PT"/>
        </w:rPr>
        <w:t xml:space="preserve"> de </w:t>
      </w:r>
      <w:r w:rsidR="00AF192F" w:rsidRPr="003A1174">
        <w:rPr>
          <w:rFonts w:ascii="Garamond" w:hAnsi="Garamond" w:cs="Arial"/>
          <w:lang w:val="pt-PT"/>
        </w:rPr>
        <w:t>dever</w:t>
      </w:r>
      <w:r w:rsidRPr="003A1174">
        <w:rPr>
          <w:rFonts w:ascii="Garamond" w:hAnsi="Garamond" w:cs="Arial"/>
          <w:lang w:val="pt-PT"/>
        </w:rPr>
        <w:t xml:space="preserve"> de </w:t>
      </w:r>
      <w:r w:rsidR="00682C71" w:rsidRPr="003A1174">
        <w:rPr>
          <w:rFonts w:ascii="Garamond" w:hAnsi="Garamond" w:cs="Arial"/>
          <w:lang w:val="pt-PT"/>
        </w:rPr>
        <w:t xml:space="preserve">agir corretamente, </w:t>
      </w:r>
      <w:r w:rsidRPr="003A1174">
        <w:rPr>
          <w:rFonts w:ascii="Garamond" w:hAnsi="Garamond" w:cs="Arial"/>
          <w:lang w:val="pt-PT"/>
        </w:rPr>
        <w:t>co</w:t>
      </w:r>
      <w:r w:rsidR="00682C71" w:rsidRPr="003A1174">
        <w:rPr>
          <w:rFonts w:ascii="Garamond" w:hAnsi="Garamond" w:cs="Arial"/>
          <w:lang w:val="pt-PT"/>
        </w:rPr>
        <w:t>m</w:t>
      </w:r>
      <w:r w:rsidRPr="003A1174">
        <w:rPr>
          <w:rFonts w:ascii="Garamond" w:hAnsi="Garamond" w:cs="Arial"/>
          <w:lang w:val="pt-PT"/>
        </w:rPr>
        <w:t xml:space="preserve"> </w:t>
      </w:r>
      <w:r w:rsidR="00682C71" w:rsidRPr="003A1174">
        <w:rPr>
          <w:rFonts w:ascii="Garamond" w:hAnsi="Garamond" w:cs="Arial"/>
          <w:lang w:val="pt-PT"/>
        </w:rPr>
        <w:t xml:space="preserve">prontidão e cuidado, e aplicando </w:t>
      </w:r>
      <w:r w:rsidRPr="003A1174">
        <w:rPr>
          <w:rFonts w:ascii="Garamond" w:hAnsi="Garamond" w:cs="Arial"/>
          <w:lang w:val="pt-PT"/>
        </w:rPr>
        <w:t xml:space="preserve">os </w:t>
      </w:r>
      <w:r w:rsidR="00682C71" w:rsidRPr="003A1174">
        <w:rPr>
          <w:rFonts w:ascii="Garamond" w:hAnsi="Garamond" w:cs="Arial"/>
          <w:lang w:val="pt-PT"/>
        </w:rPr>
        <w:t>meios</w:t>
      </w:r>
      <w:r w:rsidRPr="003A1174">
        <w:rPr>
          <w:rFonts w:ascii="Garamond" w:hAnsi="Garamond" w:cs="Arial"/>
          <w:lang w:val="pt-PT"/>
        </w:rPr>
        <w:t xml:space="preserve"> </w:t>
      </w:r>
      <w:r w:rsidR="00C30647" w:rsidRPr="003A1174">
        <w:rPr>
          <w:rFonts w:ascii="Garamond" w:hAnsi="Garamond" w:cs="Arial"/>
          <w:lang w:val="pt-PT"/>
        </w:rPr>
        <w:t>necessário</w:t>
      </w:r>
      <w:r w:rsidR="008C0259" w:rsidRPr="003A1174">
        <w:rPr>
          <w:rFonts w:ascii="Garamond" w:hAnsi="Garamond" w:cs="Arial"/>
          <w:lang w:val="pt-PT"/>
        </w:rPr>
        <w:t xml:space="preserve">s </w:t>
      </w:r>
      <w:r w:rsidR="00682C71" w:rsidRPr="003A1174">
        <w:rPr>
          <w:rFonts w:ascii="Garamond" w:hAnsi="Garamond" w:cs="Arial"/>
          <w:lang w:val="pt-PT"/>
        </w:rPr>
        <w:t xml:space="preserve">para </w:t>
      </w:r>
      <w:r w:rsidRPr="003A1174">
        <w:rPr>
          <w:rFonts w:ascii="Garamond" w:hAnsi="Garamond" w:cs="Arial"/>
          <w:lang w:val="pt-PT"/>
        </w:rPr>
        <w:t xml:space="preserve">a </w:t>
      </w:r>
      <w:r w:rsidR="00682C71" w:rsidRPr="003A1174">
        <w:rPr>
          <w:rFonts w:ascii="Garamond" w:hAnsi="Garamond" w:cs="Arial"/>
          <w:lang w:val="pt-PT"/>
        </w:rPr>
        <w:t>obtenção dos fin</w:t>
      </w:r>
      <w:r w:rsidRPr="003A1174">
        <w:rPr>
          <w:rFonts w:ascii="Garamond" w:hAnsi="Garamond" w:cs="Arial"/>
          <w:lang w:val="pt-PT"/>
        </w:rPr>
        <w:t>s prop</w:t>
      </w:r>
      <w:r w:rsidR="00682C71" w:rsidRPr="003A1174">
        <w:rPr>
          <w:rFonts w:ascii="Garamond" w:hAnsi="Garamond" w:cs="Arial"/>
          <w:lang w:val="pt-PT"/>
        </w:rPr>
        <w:t>o</w:t>
      </w:r>
      <w:r w:rsidRPr="003A1174">
        <w:rPr>
          <w:rFonts w:ascii="Garamond" w:hAnsi="Garamond" w:cs="Arial"/>
          <w:lang w:val="pt-PT"/>
        </w:rPr>
        <w:t>stos</w:t>
      </w:r>
      <w:r w:rsidR="008C0259" w:rsidRPr="003A1174">
        <w:rPr>
          <w:rFonts w:ascii="Garamond" w:hAnsi="Garamond" w:cs="Arial"/>
          <w:lang w:val="pt-PT"/>
        </w:rPr>
        <w:t>.</w:t>
      </w:r>
      <w:r w:rsidR="0062671F" w:rsidRPr="003A1174">
        <w:rPr>
          <w:rStyle w:val="Refdenotaalpie"/>
          <w:rFonts w:ascii="Garamond" w:hAnsi="Garamond" w:cs="Arial"/>
          <w:b/>
        </w:rPr>
        <w:footnoteReference w:id="18"/>
      </w:r>
    </w:p>
    <w:p w:rsidR="00A132B3" w:rsidRPr="003A1174" w:rsidRDefault="00A132B3" w:rsidP="008719D4">
      <w:pPr>
        <w:spacing w:line="240" w:lineRule="auto"/>
        <w:jc w:val="both"/>
        <w:rPr>
          <w:rFonts w:ascii="Garamond" w:hAnsi="Garamond" w:cs="Arial"/>
          <w:sz w:val="24"/>
          <w:szCs w:val="24"/>
        </w:rPr>
      </w:pPr>
      <w:r w:rsidRPr="003A1174">
        <w:rPr>
          <w:rFonts w:ascii="Garamond" w:hAnsi="Garamond" w:cs="Arial"/>
          <w:sz w:val="24"/>
          <w:szCs w:val="24"/>
        </w:rPr>
        <w:t>P</w:t>
      </w:r>
      <w:r w:rsidR="00682C71" w:rsidRPr="003A1174">
        <w:rPr>
          <w:rFonts w:ascii="Garamond" w:hAnsi="Garamond" w:cs="Arial"/>
          <w:sz w:val="24"/>
          <w:szCs w:val="24"/>
        </w:rPr>
        <w:t>e</w:t>
      </w:r>
      <w:r w:rsidRPr="003A1174">
        <w:rPr>
          <w:rFonts w:ascii="Garamond" w:hAnsi="Garamond" w:cs="Arial"/>
          <w:sz w:val="24"/>
          <w:szCs w:val="24"/>
        </w:rPr>
        <w:t>lo exp</w:t>
      </w:r>
      <w:r w:rsidR="00682C71" w:rsidRPr="003A1174">
        <w:rPr>
          <w:rFonts w:ascii="Garamond" w:hAnsi="Garamond" w:cs="Arial"/>
          <w:sz w:val="24"/>
          <w:szCs w:val="24"/>
        </w:rPr>
        <w:t xml:space="preserve">osto, </w:t>
      </w:r>
      <w:r w:rsidRPr="003A1174">
        <w:rPr>
          <w:rFonts w:ascii="Garamond" w:hAnsi="Garamond" w:cs="Arial"/>
          <w:sz w:val="24"/>
          <w:szCs w:val="24"/>
        </w:rPr>
        <w:t xml:space="preserve">a </w:t>
      </w:r>
      <w:r w:rsidR="00682C71" w:rsidRPr="003A1174">
        <w:rPr>
          <w:rFonts w:ascii="Garamond" w:hAnsi="Garamond" w:cs="Arial"/>
          <w:sz w:val="24"/>
          <w:szCs w:val="24"/>
        </w:rPr>
        <w:t>expressão</w:t>
      </w:r>
      <w:r w:rsidRPr="003A1174">
        <w:rPr>
          <w:rFonts w:ascii="Garamond" w:hAnsi="Garamond" w:cs="Arial"/>
          <w:sz w:val="24"/>
          <w:szCs w:val="24"/>
        </w:rPr>
        <w:t xml:space="preserve"> </w:t>
      </w:r>
      <w:r w:rsidR="00CF4C35" w:rsidRPr="003A1174">
        <w:rPr>
          <w:rFonts w:ascii="Garamond" w:hAnsi="Garamond" w:cs="Arial"/>
          <w:sz w:val="24"/>
          <w:szCs w:val="24"/>
        </w:rPr>
        <w:t>Diligência Devida</w:t>
      </w:r>
      <w:r w:rsidRPr="003A1174">
        <w:rPr>
          <w:rFonts w:ascii="Garamond" w:hAnsi="Garamond" w:cs="Arial"/>
          <w:sz w:val="24"/>
          <w:szCs w:val="24"/>
        </w:rPr>
        <w:t xml:space="preserve"> </w:t>
      </w:r>
      <w:r w:rsidR="00682C71" w:rsidRPr="003A1174">
        <w:rPr>
          <w:rFonts w:ascii="Garamond" w:hAnsi="Garamond" w:cs="Arial"/>
          <w:sz w:val="24"/>
          <w:szCs w:val="24"/>
        </w:rPr>
        <w:t xml:space="preserve">refere-se a um </w:t>
      </w:r>
      <w:r w:rsidR="00AF192F" w:rsidRPr="003A1174">
        <w:rPr>
          <w:rFonts w:ascii="Garamond" w:hAnsi="Garamond" w:cs="Arial"/>
          <w:sz w:val="24"/>
          <w:szCs w:val="24"/>
        </w:rPr>
        <w:t>dever</w:t>
      </w:r>
      <w:r w:rsidRPr="003A1174">
        <w:rPr>
          <w:rFonts w:ascii="Garamond" w:hAnsi="Garamond" w:cs="Arial"/>
          <w:sz w:val="24"/>
          <w:szCs w:val="24"/>
        </w:rPr>
        <w:t xml:space="preserve"> </w:t>
      </w:r>
      <w:r w:rsidR="00682C71" w:rsidRPr="003A1174">
        <w:rPr>
          <w:rFonts w:ascii="Garamond" w:hAnsi="Garamond" w:cs="Arial"/>
          <w:sz w:val="24"/>
          <w:szCs w:val="24"/>
        </w:rPr>
        <w:t xml:space="preserve">de </w:t>
      </w:r>
      <w:r w:rsidRPr="003A1174">
        <w:rPr>
          <w:rFonts w:ascii="Garamond" w:hAnsi="Garamond" w:cs="Arial"/>
          <w:sz w:val="24"/>
          <w:szCs w:val="24"/>
        </w:rPr>
        <w:t>proceder o</w:t>
      </w:r>
      <w:r w:rsidR="00682C71" w:rsidRPr="003A1174">
        <w:rPr>
          <w:rFonts w:ascii="Garamond" w:hAnsi="Garamond" w:cs="Arial"/>
          <w:sz w:val="24"/>
          <w:szCs w:val="24"/>
        </w:rPr>
        <w:t>u</w:t>
      </w:r>
      <w:r w:rsidRPr="003A1174">
        <w:rPr>
          <w:rFonts w:ascii="Garamond" w:hAnsi="Garamond" w:cs="Arial"/>
          <w:sz w:val="24"/>
          <w:szCs w:val="24"/>
        </w:rPr>
        <w:t xml:space="preserve"> condu</w:t>
      </w:r>
      <w:r w:rsidR="00682C71" w:rsidRPr="003A1174">
        <w:rPr>
          <w:rFonts w:ascii="Garamond" w:hAnsi="Garamond" w:cs="Arial"/>
          <w:sz w:val="24"/>
          <w:szCs w:val="24"/>
        </w:rPr>
        <w:t xml:space="preserve">zir, </w:t>
      </w:r>
      <w:r w:rsidRPr="003A1174">
        <w:rPr>
          <w:rFonts w:ascii="Garamond" w:hAnsi="Garamond" w:cs="Arial"/>
          <w:sz w:val="24"/>
          <w:szCs w:val="24"/>
        </w:rPr>
        <w:t>de forma</w:t>
      </w:r>
      <w:r w:rsidR="00B947F9" w:rsidRPr="003A1174">
        <w:rPr>
          <w:rFonts w:ascii="Garamond" w:hAnsi="Garamond" w:cs="Arial"/>
          <w:sz w:val="24"/>
          <w:szCs w:val="24"/>
        </w:rPr>
        <w:t xml:space="preserve"> </w:t>
      </w:r>
      <w:r w:rsidRPr="003A1174">
        <w:rPr>
          <w:rFonts w:ascii="Garamond" w:hAnsi="Garamond" w:cs="Arial"/>
          <w:sz w:val="24"/>
          <w:szCs w:val="24"/>
        </w:rPr>
        <w:t>tal</w:t>
      </w:r>
      <w:r w:rsidR="00FC7358">
        <w:rPr>
          <w:rFonts w:ascii="Garamond" w:hAnsi="Garamond" w:cs="Arial"/>
          <w:sz w:val="24"/>
          <w:szCs w:val="24"/>
        </w:rPr>
        <w:t>,</w:t>
      </w:r>
      <w:r w:rsidRPr="003A1174">
        <w:rPr>
          <w:rFonts w:ascii="Garamond" w:hAnsi="Garamond" w:cs="Arial"/>
          <w:sz w:val="24"/>
          <w:szCs w:val="24"/>
        </w:rPr>
        <w:t xml:space="preserve"> que se </w:t>
      </w:r>
      <w:r w:rsidR="00B947F9" w:rsidRPr="003A1174">
        <w:rPr>
          <w:rFonts w:ascii="Garamond" w:hAnsi="Garamond" w:cs="Arial"/>
          <w:sz w:val="24"/>
          <w:szCs w:val="24"/>
        </w:rPr>
        <w:t>consiga implementar</w:t>
      </w:r>
      <w:r w:rsidR="00682C71" w:rsidRPr="003A1174">
        <w:rPr>
          <w:rFonts w:ascii="Garamond" w:hAnsi="Garamond" w:cs="Arial"/>
          <w:sz w:val="24"/>
          <w:szCs w:val="24"/>
        </w:rPr>
        <w:t>, real e</w:t>
      </w:r>
      <w:r w:rsidRPr="003A1174">
        <w:rPr>
          <w:rFonts w:ascii="Garamond" w:hAnsi="Garamond" w:cs="Arial"/>
          <w:sz w:val="24"/>
          <w:szCs w:val="24"/>
        </w:rPr>
        <w:t xml:space="preserve"> concretamente, aqu</w:t>
      </w:r>
      <w:r w:rsidR="00682C71" w:rsidRPr="003A1174">
        <w:rPr>
          <w:rFonts w:ascii="Garamond" w:hAnsi="Garamond" w:cs="Arial"/>
          <w:sz w:val="24"/>
          <w:szCs w:val="24"/>
        </w:rPr>
        <w:t>i</w:t>
      </w:r>
      <w:r w:rsidRPr="003A1174">
        <w:rPr>
          <w:rFonts w:ascii="Garamond" w:hAnsi="Garamond" w:cs="Arial"/>
          <w:sz w:val="24"/>
          <w:szCs w:val="24"/>
        </w:rPr>
        <w:t xml:space="preserve">lo que </w:t>
      </w:r>
      <w:r w:rsidR="00FC7358">
        <w:rPr>
          <w:rFonts w:ascii="Garamond" w:hAnsi="Garamond" w:cs="Arial"/>
          <w:sz w:val="24"/>
          <w:szCs w:val="24"/>
        </w:rPr>
        <w:t xml:space="preserve">deve </w:t>
      </w:r>
      <w:r w:rsidRPr="003A1174">
        <w:rPr>
          <w:rFonts w:ascii="Garamond" w:hAnsi="Garamond" w:cs="Arial"/>
          <w:sz w:val="24"/>
          <w:szCs w:val="24"/>
        </w:rPr>
        <w:t>ser cump</w:t>
      </w:r>
      <w:r w:rsidR="00682C71" w:rsidRPr="003A1174">
        <w:rPr>
          <w:rFonts w:ascii="Garamond" w:hAnsi="Garamond" w:cs="Arial"/>
          <w:sz w:val="24"/>
          <w:szCs w:val="24"/>
        </w:rPr>
        <w:t>r</w:t>
      </w:r>
      <w:r w:rsidRPr="003A1174">
        <w:rPr>
          <w:rFonts w:ascii="Garamond" w:hAnsi="Garamond" w:cs="Arial"/>
          <w:sz w:val="24"/>
          <w:szCs w:val="24"/>
        </w:rPr>
        <w:t>ido</w:t>
      </w:r>
      <w:r w:rsidR="00BE3890" w:rsidRPr="003A1174">
        <w:rPr>
          <w:rFonts w:ascii="Garamond" w:hAnsi="Garamond" w:cs="Arial"/>
          <w:sz w:val="24"/>
          <w:szCs w:val="24"/>
        </w:rPr>
        <w:t>;</w:t>
      </w:r>
      <w:r w:rsidRPr="003A1174">
        <w:rPr>
          <w:rFonts w:ascii="Garamond" w:hAnsi="Garamond" w:cs="Arial"/>
          <w:sz w:val="24"/>
          <w:szCs w:val="24"/>
        </w:rPr>
        <w:t xml:space="preserve"> </w:t>
      </w:r>
      <w:r w:rsidR="00682C71" w:rsidRPr="003A1174">
        <w:rPr>
          <w:rFonts w:ascii="Garamond" w:hAnsi="Garamond" w:cs="Arial"/>
          <w:sz w:val="24"/>
          <w:szCs w:val="24"/>
        </w:rPr>
        <w:t>ou seja, tudo aqui</w:t>
      </w:r>
      <w:r w:rsidRPr="003A1174">
        <w:rPr>
          <w:rFonts w:ascii="Garamond" w:hAnsi="Garamond" w:cs="Arial"/>
          <w:sz w:val="24"/>
          <w:szCs w:val="24"/>
        </w:rPr>
        <w:t xml:space="preserve">lo vinculado </w:t>
      </w:r>
      <w:r w:rsidR="00682C71" w:rsidRPr="003A1174">
        <w:rPr>
          <w:rFonts w:ascii="Garamond" w:hAnsi="Garamond" w:cs="Arial"/>
          <w:sz w:val="24"/>
          <w:szCs w:val="24"/>
        </w:rPr>
        <w:t xml:space="preserve">à </w:t>
      </w:r>
      <w:r w:rsidR="00886D6A" w:rsidRPr="003A1174">
        <w:rPr>
          <w:rFonts w:ascii="Garamond" w:hAnsi="Garamond" w:cs="Arial"/>
          <w:sz w:val="24"/>
          <w:szCs w:val="24"/>
        </w:rPr>
        <w:t>investigação</w:t>
      </w:r>
      <w:r w:rsidRPr="003A1174">
        <w:rPr>
          <w:rFonts w:ascii="Garamond" w:hAnsi="Garamond" w:cs="Arial"/>
          <w:sz w:val="24"/>
          <w:szCs w:val="24"/>
        </w:rPr>
        <w:t xml:space="preserve"> por parte d</w:t>
      </w:r>
      <w:r w:rsidR="00682C71" w:rsidRPr="003A1174">
        <w:rPr>
          <w:rFonts w:ascii="Garamond" w:hAnsi="Garamond" w:cs="Arial"/>
          <w:sz w:val="24"/>
          <w:szCs w:val="24"/>
        </w:rPr>
        <w:t xml:space="preserve">o </w:t>
      </w:r>
      <w:r w:rsidRPr="003A1174">
        <w:rPr>
          <w:rFonts w:ascii="Garamond" w:hAnsi="Garamond" w:cs="Arial"/>
          <w:sz w:val="24"/>
          <w:szCs w:val="24"/>
        </w:rPr>
        <w:t xml:space="preserve">sistema de </w:t>
      </w:r>
      <w:r w:rsidR="00FC1F7F" w:rsidRPr="003A1174">
        <w:rPr>
          <w:rFonts w:ascii="Garamond" w:hAnsi="Garamond" w:cs="Arial"/>
          <w:sz w:val="24"/>
          <w:szCs w:val="24"/>
        </w:rPr>
        <w:t>justiça</w:t>
      </w:r>
      <w:r w:rsidR="00BE3890" w:rsidRPr="003A1174">
        <w:rPr>
          <w:rFonts w:ascii="Garamond" w:hAnsi="Garamond" w:cs="Arial"/>
          <w:sz w:val="24"/>
          <w:szCs w:val="24"/>
        </w:rPr>
        <w:t xml:space="preserve"> </w:t>
      </w:r>
      <w:r w:rsidR="006F7276" w:rsidRPr="003A1174">
        <w:rPr>
          <w:rFonts w:ascii="Garamond" w:hAnsi="Garamond" w:cs="Arial"/>
          <w:sz w:val="24"/>
          <w:szCs w:val="24"/>
        </w:rPr>
        <w:t>e</w:t>
      </w:r>
      <w:r w:rsidR="00BE3890" w:rsidRPr="003A1174">
        <w:rPr>
          <w:rFonts w:ascii="Garamond" w:hAnsi="Garamond" w:cs="Arial"/>
          <w:sz w:val="24"/>
          <w:szCs w:val="24"/>
        </w:rPr>
        <w:t>,</w:t>
      </w:r>
      <w:r w:rsidRPr="003A1174">
        <w:rPr>
          <w:rFonts w:ascii="Garamond" w:hAnsi="Garamond" w:cs="Arial"/>
          <w:sz w:val="24"/>
          <w:szCs w:val="24"/>
        </w:rPr>
        <w:t xml:space="preserve"> por </w:t>
      </w:r>
      <w:r w:rsidR="006F7276" w:rsidRPr="003A1174">
        <w:rPr>
          <w:rFonts w:ascii="Garamond" w:hAnsi="Garamond" w:cs="Arial"/>
          <w:sz w:val="24"/>
          <w:szCs w:val="24"/>
        </w:rPr>
        <w:t>conseguinte</w:t>
      </w:r>
      <w:r w:rsidR="00BE3890" w:rsidRPr="003A1174">
        <w:rPr>
          <w:rFonts w:ascii="Garamond" w:hAnsi="Garamond" w:cs="Arial"/>
          <w:sz w:val="24"/>
          <w:szCs w:val="24"/>
        </w:rPr>
        <w:t>,</w:t>
      </w:r>
      <w:r w:rsidRPr="003A1174">
        <w:rPr>
          <w:rFonts w:ascii="Garamond" w:hAnsi="Garamond" w:cs="Arial"/>
          <w:sz w:val="24"/>
          <w:szCs w:val="24"/>
        </w:rPr>
        <w:t xml:space="preserve"> </w:t>
      </w:r>
      <w:r w:rsidR="006F7276" w:rsidRPr="003A1174">
        <w:rPr>
          <w:rFonts w:ascii="Garamond" w:hAnsi="Garamond" w:cs="Arial"/>
          <w:sz w:val="24"/>
          <w:szCs w:val="24"/>
        </w:rPr>
        <w:t>à correspond</w:t>
      </w:r>
      <w:r w:rsidRPr="003A1174">
        <w:rPr>
          <w:rFonts w:ascii="Garamond" w:hAnsi="Garamond" w:cs="Arial"/>
          <w:sz w:val="24"/>
          <w:szCs w:val="24"/>
        </w:rPr>
        <w:t xml:space="preserve">ente </w:t>
      </w:r>
      <w:r w:rsidR="00FC4727" w:rsidRPr="003A1174">
        <w:rPr>
          <w:rFonts w:ascii="Garamond" w:hAnsi="Garamond" w:cs="Arial"/>
          <w:sz w:val="24"/>
          <w:szCs w:val="24"/>
        </w:rPr>
        <w:t>punição</w:t>
      </w:r>
      <w:r w:rsidR="006F7276" w:rsidRPr="003A1174">
        <w:rPr>
          <w:rFonts w:ascii="Garamond" w:hAnsi="Garamond" w:cs="Arial"/>
          <w:sz w:val="24"/>
          <w:szCs w:val="24"/>
        </w:rPr>
        <w:t xml:space="preserve"> e</w:t>
      </w:r>
      <w:r w:rsidRPr="003A1174">
        <w:rPr>
          <w:rFonts w:ascii="Garamond" w:hAnsi="Garamond" w:cs="Arial"/>
          <w:sz w:val="24"/>
          <w:szCs w:val="24"/>
        </w:rPr>
        <w:t xml:space="preserve"> </w:t>
      </w:r>
      <w:r w:rsidR="00AE3F78" w:rsidRPr="003A1174">
        <w:rPr>
          <w:rFonts w:ascii="Garamond" w:hAnsi="Garamond" w:cs="Arial"/>
          <w:sz w:val="24"/>
          <w:szCs w:val="24"/>
        </w:rPr>
        <w:t>compensação</w:t>
      </w:r>
      <w:r w:rsidRPr="003A1174">
        <w:rPr>
          <w:rFonts w:ascii="Garamond" w:hAnsi="Garamond" w:cs="Arial"/>
          <w:sz w:val="24"/>
          <w:szCs w:val="24"/>
        </w:rPr>
        <w:t xml:space="preserve"> </w:t>
      </w:r>
      <w:r w:rsidR="006F7276" w:rsidRPr="003A1174">
        <w:rPr>
          <w:rFonts w:ascii="Garamond" w:hAnsi="Garamond" w:cs="Arial"/>
          <w:sz w:val="24"/>
          <w:szCs w:val="24"/>
        </w:rPr>
        <w:t>per</w:t>
      </w:r>
      <w:r w:rsidRPr="003A1174">
        <w:rPr>
          <w:rFonts w:ascii="Garamond" w:hAnsi="Garamond" w:cs="Arial"/>
          <w:sz w:val="24"/>
          <w:szCs w:val="24"/>
        </w:rPr>
        <w:t xml:space="preserve">ante </w:t>
      </w:r>
      <w:r w:rsidR="006F7276" w:rsidRPr="003A1174">
        <w:rPr>
          <w:rFonts w:ascii="Garamond" w:hAnsi="Garamond" w:cs="Arial"/>
          <w:sz w:val="24"/>
          <w:szCs w:val="24"/>
        </w:rPr>
        <w:t>violações d</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humanos, como </w:t>
      </w:r>
      <w:r w:rsidR="006F7276" w:rsidRPr="003A1174">
        <w:rPr>
          <w:rFonts w:ascii="Garamond" w:hAnsi="Garamond" w:cs="Arial"/>
          <w:sz w:val="24"/>
          <w:szCs w:val="24"/>
        </w:rPr>
        <w:t xml:space="preserve">é o </w:t>
      </w:r>
      <w:r w:rsidRPr="003A1174">
        <w:rPr>
          <w:rFonts w:ascii="Garamond" w:hAnsi="Garamond" w:cs="Arial"/>
          <w:sz w:val="24"/>
          <w:szCs w:val="24"/>
        </w:rPr>
        <w:t>caso d</w:t>
      </w:r>
      <w:r w:rsidR="006F7276" w:rsidRPr="003A1174">
        <w:rPr>
          <w:rFonts w:ascii="Garamond" w:hAnsi="Garamond" w:cs="Arial"/>
          <w:sz w:val="24"/>
          <w:szCs w:val="24"/>
        </w:rPr>
        <w:t>o</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 </w:t>
      </w:r>
      <w:r w:rsidR="00BE3890" w:rsidRPr="003A1174">
        <w:rPr>
          <w:rFonts w:ascii="Garamond" w:hAnsi="Garamond" w:cs="Arial"/>
          <w:sz w:val="24"/>
          <w:szCs w:val="24"/>
        </w:rPr>
        <w:t>de</w:t>
      </w:r>
      <w:r w:rsidR="006F7276" w:rsidRPr="003A1174">
        <w:rPr>
          <w:rFonts w:ascii="Garamond" w:hAnsi="Garamond" w:cs="Arial"/>
          <w:sz w:val="24"/>
          <w:szCs w:val="24"/>
        </w:rPr>
        <w:t xml:space="preserve"> todas </w:t>
      </w:r>
      <w:r w:rsidRPr="003A1174">
        <w:rPr>
          <w:rFonts w:ascii="Garamond" w:hAnsi="Garamond" w:cs="Arial"/>
          <w:sz w:val="24"/>
          <w:szCs w:val="24"/>
        </w:rPr>
        <w:t xml:space="preserve">as </w:t>
      </w:r>
      <w:r w:rsidR="00054EE0" w:rsidRPr="003A1174">
        <w:rPr>
          <w:rFonts w:ascii="Garamond" w:hAnsi="Garamond" w:cs="Arial"/>
          <w:sz w:val="24"/>
          <w:szCs w:val="24"/>
        </w:rPr>
        <w:t>mulheres</w:t>
      </w:r>
      <w:r w:rsidR="006F7276" w:rsidRPr="003A1174">
        <w:rPr>
          <w:rFonts w:ascii="Garamond" w:hAnsi="Garamond" w:cs="Arial"/>
          <w:sz w:val="24"/>
          <w:szCs w:val="24"/>
        </w:rPr>
        <w:t xml:space="preserve"> a um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w:t>
      </w:r>
    </w:p>
    <w:p w:rsidR="00A34F0F" w:rsidRDefault="00B947F9" w:rsidP="008719D4">
      <w:pPr>
        <w:pStyle w:val="NormalWeb"/>
        <w:jc w:val="both"/>
        <w:rPr>
          <w:rFonts w:ascii="Garamond" w:hAnsi="Garamond" w:cs="Arial"/>
          <w:lang w:val="pt-PT"/>
        </w:rPr>
      </w:pPr>
      <w:r w:rsidRPr="003A1174">
        <w:rPr>
          <w:rFonts w:ascii="Garamond" w:hAnsi="Garamond" w:cs="Arial"/>
          <w:lang w:val="pt-PT"/>
        </w:rPr>
        <w:t xml:space="preserve">Ora, não obstante o </w:t>
      </w:r>
      <w:r w:rsidR="00A132B3" w:rsidRPr="003A1174">
        <w:rPr>
          <w:rFonts w:ascii="Garamond" w:hAnsi="Garamond" w:cs="Arial"/>
          <w:lang w:val="pt-PT"/>
        </w:rPr>
        <w:t>exp</w:t>
      </w:r>
      <w:r w:rsidRPr="003A1174">
        <w:rPr>
          <w:rFonts w:ascii="Garamond" w:hAnsi="Garamond" w:cs="Arial"/>
          <w:lang w:val="pt-PT"/>
        </w:rPr>
        <w:t>o</w:t>
      </w:r>
      <w:r w:rsidR="00A132B3" w:rsidRPr="003A1174">
        <w:rPr>
          <w:rFonts w:ascii="Garamond" w:hAnsi="Garamond" w:cs="Arial"/>
          <w:lang w:val="pt-PT"/>
        </w:rPr>
        <w:t>sto</w:t>
      </w:r>
      <w:r w:rsidR="00BE3890" w:rsidRPr="003A1174">
        <w:rPr>
          <w:rFonts w:ascii="Garamond" w:hAnsi="Garamond" w:cs="Arial"/>
          <w:lang w:val="pt-PT"/>
        </w:rPr>
        <w:t>,</w:t>
      </w:r>
      <w:r w:rsidR="00A132B3" w:rsidRPr="003A1174">
        <w:rPr>
          <w:rFonts w:ascii="Garamond" w:hAnsi="Garamond" w:cs="Arial"/>
          <w:lang w:val="pt-PT"/>
        </w:rPr>
        <w:t xml:space="preserve"> u</w:t>
      </w:r>
      <w:r w:rsidR="006F7276" w:rsidRPr="003A1174">
        <w:rPr>
          <w:rFonts w:ascii="Garamond" w:hAnsi="Garamond" w:cs="Arial"/>
          <w:lang w:val="pt-PT"/>
        </w:rPr>
        <w:t xml:space="preserve">m </w:t>
      </w:r>
      <w:r w:rsidR="00A32F42" w:rsidRPr="003A1174">
        <w:rPr>
          <w:rFonts w:ascii="Garamond" w:hAnsi="Garamond" w:cs="Arial"/>
          <w:lang w:val="pt-PT"/>
        </w:rPr>
        <w:t xml:space="preserve">dos </w:t>
      </w:r>
      <w:r w:rsidR="0017447A" w:rsidRPr="003A1174">
        <w:rPr>
          <w:rFonts w:ascii="Garamond" w:hAnsi="Garamond" w:cs="Arial"/>
          <w:lang w:val="pt-PT"/>
        </w:rPr>
        <w:t>trabalho</w:t>
      </w:r>
      <w:r w:rsidR="00A132B3" w:rsidRPr="003A1174">
        <w:rPr>
          <w:rFonts w:ascii="Garamond" w:hAnsi="Garamond" w:cs="Arial"/>
          <w:lang w:val="pt-PT"/>
        </w:rPr>
        <w:t xml:space="preserve">s </w:t>
      </w:r>
      <w:r w:rsidR="00A32F42" w:rsidRPr="003A1174">
        <w:rPr>
          <w:rFonts w:ascii="Garamond" w:hAnsi="Garamond" w:cs="Arial"/>
          <w:lang w:val="pt-PT"/>
        </w:rPr>
        <w:t>que</w:t>
      </w:r>
      <w:r w:rsidR="00A132B3" w:rsidRPr="003A1174">
        <w:rPr>
          <w:rFonts w:ascii="Garamond" w:hAnsi="Garamond" w:cs="Arial"/>
          <w:lang w:val="pt-PT"/>
        </w:rPr>
        <w:t xml:space="preserve"> aborda co</w:t>
      </w:r>
      <w:r w:rsidR="006F7276" w:rsidRPr="003A1174">
        <w:rPr>
          <w:rFonts w:ascii="Garamond" w:hAnsi="Garamond" w:cs="Arial"/>
          <w:lang w:val="pt-PT"/>
        </w:rPr>
        <w:t>m uma c</w:t>
      </w:r>
      <w:r w:rsidR="00A132B3" w:rsidRPr="003A1174">
        <w:rPr>
          <w:rFonts w:ascii="Garamond" w:hAnsi="Garamond" w:cs="Arial"/>
          <w:lang w:val="pt-PT"/>
        </w:rPr>
        <w:t xml:space="preserve">erta </w:t>
      </w:r>
      <w:r w:rsidRPr="003A1174">
        <w:rPr>
          <w:rFonts w:ascii="Garamond" w:hAnsi="Garamond" w:cs="Arial"/>
          <w:lang w:val="pt-PT"/>
        </w:rPr>
        <w:t>dimensão</w:t>
      </w:r>
      <w:r w:rsidR="00A132B3" w:rsidRPr="003A1174">
        <w:rPr>
          <w:rFonts w:ascii="Garamond" w:hAnsi="Garamond" w:cs="Arial"/>
          <w:lang w:val="pt-PT"/>
        </w:rPr>
        <w:t xml:space="preserve"> </w:t>
      </w:r>
      <w:r w:rsidR="006F7276" w:rsidRPr="003A1174">
        <w:rPr>
          <w:rFonts w:ascii="Garamond" w:hAnsi="Garamond" w:cs="Arial"/>
          <w:lang w:val="pt-PT"/>
        </w:rPr>
        <w:t>o tema d</w:t>
      </w:r>
      <w:r w:rsidR="00A132B3" w:rsidRPr="003A1174">
        <w:rPr>
          <w:rFonts w:ascii="Garamond" w:hAnsi="Garamond" w:cs="Arial"/>
          <w:lang w:val="pt-PT"/>
        </w:rPr>
        <w:t xml:space="preserve">a </w:t>
      </w:r>
      <w:r w:rsidR="00CF4C35" w:rsidRPr="003A1174">
        <w:rPr>
          <w:rFonts w:ascii="Garamond" w:hAnsi="Garamond" w:cs="Arial"/>
          <w:lang w:val="pt-PT"/>
        </w:rPr>
        <w:t>Diligência Devida</w:t>
      </w:r>
      <w:r w:rsidR="006F7276" w:rsidRPr="003A1174">
        <w:rPr>
          <w:rFonts w:ascii="Garamond" w:hAnsi="Garamond" w:cs="Arial"/>
          <w:lang w:val="pt-PT"/>
        </w:rPr>
        <w:t xml:space="preserve">, </w:t>
      </w:r>
      <w:r w:rsidRPr="003A1174">
        <w:rPr>
          <w:rFonts w:ascii="Garamond" w:hAnsi="Garamond" w:cs="Arial"/>
          <w:lang w:val="pt-PT"/>
        </w:rPr>
        <w:t xml:space="preserve">refere </w:t>
      </w:r>
      <w:r w:rsidR="006F7276" w:rsidRPr="003A1174">
        <w:rPr>
          <w:rFonts w:ascii="Garamond" w:hAnsi="Garamond" w:cs="Arial"/>
          <w:lang w:val="pt-PT"/>
        </w:rPr>
        <w:t>que e</w:t>
      </w:r>
      <w:r w:rsidR="00A132B3" w:rsidRPr="003A1174">
        <w:rPr>
          <w:rFonts w:ascii="Garamond" w:hAnsi="Garamond" w:cs="Arial"/>
          <w:lang w:val="pt-PT"/>
        </w:rPr>
        <w:t>sta se conc</w:t>
      </w:r>
      <w:r w:rsidR="006F7276" w:rsidRPr="003A1174">
        <w:rPr>
          <w:rFonts w:ascii="Garamond" w:hAnsi="Garamond" w:cs="Arial"/>
          <w:lang w:val="pt-PT"/>
        </w:rPr>
        <w:t>e</w:t>
      </w:r>
      <w:r w:rsidR="00A132B3" w:rsidRPr="003A1174">
        <w:rPr>
          <w:rFonts w:ascii="Garamond" w:hAnsi="Garamond" w:cs="Arial"/>
          <w:lang w:val="pt-PT"/>
        </w:rPr>
        <w:t xml:space="preserve">be como </w:t>
      </w:r>
    </w:p>
    <w:p w:rsidR="00A34F0F" w:rsidRPr="003A1174" w:rsidRDefault="00327155" w:rsidP="008879E7">
      <w:pPr>
        <w:pStyle w:val="NormalWeb"/>
        <w:spacing w:after="0"/>
        <w:ind w:left="567"/>
        <w:jc w:val="both"/>
        <w:rPr>
          <w:rFonts w:ascii="Garamond" w:hAnsi="Garamond" w:cs="Arial"/>
          <w:lang w:val="pt-PT"/>
        </w:rPr>
      </w:pPr>
      <w:proofErr w:type="gramStart"/>
      <w:r w:rsidRPr="008879E7">
        <w:rPr>
          <w:rFonts w:ascii="Garamond" w:hAnsi="Garamond" w:cs="Arial"/>
          <w:sz w:val="22"/>
          <w:szCs w:val="22"/>
          <w:lang w:val="pt-PT"/>
        </w:rPr>
        <w:lastRenderedPageBreak/>
        <w:t>«</w:t>
      </w:r>
      <w:r w:rsidR="00BE3890" w:rsidRPr="008879E7">
        <w:rPr>
          <w:rFonts w:ascii="Garamond" w:hAnsi="Garamond" w:cs="Arial"/>
          <w:sz w:val="22"/>
          <w:szCs w:val="22"/>
          <w:lang w:val="pt-PT"/>
        </w:rPr>
        <w:t>…</w:t>
      </w:r>
      <w:proofErr w:type="gramEnd"/>
      <w:r w:rsidR="00BE3890" w:rsidRPr="008879E7">
        <w:rPr>
          <w:rFonts w:ascii="Garamond" w:hAnsi="Garamond" w:cs="Arial"/>
          <w:sz w:val="22"/>
          <w:szCs w:val="22"/>
          <w:lang w:val="pt-PT"/>
        </w:rPr>
        <w:t>u</w:t>
      </w:r>
      <w:r w:rsidR="006F7276" w:rsidRPr="008879E7">
        <w:rPr>
          <w:rFonts w:ascii="Garamond" w:hAnsi="Garamond" w:cs="Arial"/>
          <w:sz w:val="22"/>
          <w:szCs w:val="22"/>
          <w:lang w:val="pt-PT"/>
        </w:rPr>
        <w:t>m</w:t>
      </w:r>
      <w:r w:rsidR="00BE3890" w:rsidRPr="008879E7">
        <w:rPr>
          <w:rFonts w:ascii="Garamond" w:hAnsi="Garamond" w:cs="Arial"/>
          <w:sz w:val="22"/>
          <w:szCs w:val="22"/>
          <w:lang w:val="pt-PT"/>
        </w:rPr>
        <w:t xml:space="preserve"> </w:t>
      </w:r>
      <w:r w:rsidR="0017447A" w:rsidRPr="008879E7">
        <w:rPr>
          <w:rFonts w:ascii="Garamond" w:hAnsi="Garamond" w:cs="Arial"/>
          <w:sz w:val="22"/>
          <w:szCs w:val="22"/>
          <w:lang w:val="pt-PT"/>
        </w:rPr>
        <w:t>nível</w:t>
      </w:r>
      <w:r w:rsidR="00A132B3" w:rsidRPr="008879E7">
        <w:rPr>
          <w:rFonts w:ascii="Garamond" w:hAnsi="Garamond" w:cs="Arial"/>
          <w:sz w:val="22"/>
          <w:szCs w:val="22"/>
          <w:lang w:val="pt-PT"/>
        </w:rPr>
        <w:t xml:space="preserve"> de cuidado</w:t>
      </w:r>
      <w:r w:rsidR="006F7276" w:rsidRPr="008879E7">
        <w:rPr>
          <w:rFonts w:ascii="Garamond" w:hAnsi="Garamond" w:cs="Arial"/>
          <w:sz w:val="22"/>
          <w:szCs w:val="22"/>
          <w:lang w:val="pt-PT"/>
        </w:rPr>
        <w:t xml:space="preserve"> objetivo que, atendidas todas </w:t>
      </w:r>
      <w:r w:rsidR="00A132B3" w:rsidRPr="008879E7">
        <w:rPr>
          <w:rFonts w:ascii="Garamond" w:hAnsi="Garamond" w:cs="Arial"/>
          <w:sz w:val="22"/>
          <w:szCs w:val="22"/>
          <w:lang w:val="pt-PT"/>
        </w:rPr>
        <w:t xml:space="preserve">as </w:t>
      </w:r>
      <w:r w:rsidR="002E2C71" w:rsidRPr="008879E7">
        <w:rPr>
          <w:rFonts w:ascii="Garamond" w:hAnsi="Garamond" w:cs="Arial"/>
          <w:sz w:val="22"/>
          <w:szCs w:val="22"/>
          <w:lang w:val="pt-PT"/>
        </w:rPr>
        <w:t>circunstância</w:t>
      </w:r>
      <w:r w:rsidR="00A132B3" w:rsidRPr="008879E7">
        <w:rPr>
          <w:rFonts w:ascii="Garamond" w:hAnsi="Garamond" w:cs="Arial"/>
          <w:sz w:val="22"/>
          <w:szCs w:val="22"/>
          <w:lang w:val="pt-PT"/>
        </w:rPr>
        <w:t>s de cada caso, u</w:t>
      </w:r>
      <w:r w:rsidR="006F7276" w:rsidRPr="008879E7">
        <w:rPr>
          <w:rFonts w:ascii="Garamond" w:hAnsi="Garamond" w:cs="Arial"/>
          <w:sz w:val="22"/>
          <w:szCs w:val="22"/>
          <w:lang w:val="pt-PT"/>
        </w:rPr>
        <w:t>m Estado dotado d</w:t>
      </w:r>
      <w:r w:rsidR="00A132B3" w:rsidRPr="008879E7">
        <w:rPr>
          <w:rFonts w:ascii="Garamond" w:hAnsi="Garamond" w:cs="Arial"/>
          <w:sz w:val="22"/>
          <w:szCs w:val="22"/>
          <w:lang w:val="pt-PT"/>
        </w:rPr>
        <w:t>as infraestruturas mínimas exigidas p</w:t>
      </w:r>
      <w:r w:rsidR="006F7276" w:rsidRPr="008879E7">
        <w:rPr>
          <w:rFonts w:ascii="Garamond" w:hAnsi="Garamond" w:cs="Arial"/>
          <w:sz w:val="22"/>
          <w:szCs w:val="22"/>
          <w:lang w:val="pt-PT"/>
        </w:rPr>
        <w:t xml:space="preserve">elo </w:t>
      </w:r>
      <w:r w:rsidR="00886D6A" w:rsidRPr="008879E7">
        <w:rPr>
          <w:rFonts w:ascii="Garamond" w:hAnsi="Garamond" w:cs="Arial"/>
          <w:sz w:val="22"/>
          <w:szCs w:val="22"/>
          <w:lang w:val="pt-PT"/>
        </w:rPr>
        <w:t>Direito</w:t>
      </w:r>
      <w:r w:rsidR="00A132B3" w:rsidRPr="008879E7">
        <w:rPr>
          <w:rFonts w:ascii="Garamond" w:hAnsi="Garamond" w:cs="Arial"/>
          <w:sz w:val="22"/>
          <w:szCs w:val="22"/>
          <w:lang w:val="pt-PT"/>
        </w:rPr>
        <w:t xml:space="preserve"> Internacional t</w:t>
      </w:r>
      <w:r w:rsidR="006F7276" w:rsidRPr="008879E7">
        <w:rPr>
          <w:rFonts w:ascii="Garamond" w:hAnsi="Garamond" w:cs="Arial"/>
          <w:sz w:val="22"/>
          <w:szCs w:val="22"/>
          <w:lang w:val="pt-PT"/>
        </w:rPr>
        <w:t xml:space="preserve">em o </w:t>
      </w:r>
      <w:r w:rsidR="00AF192F" w:rsidRPr="008879E7">
        <w:rPr>
          <w:rFonts w:ascii="Garamond" w:hAnsi="Garamond" w:cs="Arial"/>
          <w:sz w:val="22"/>
          <w:szCs w:val="22"/>
          <w:lang w:val="pt-PT"/>
        </w:rPr>
        <w:t>dever</w:t>
      </w:r>
      <w:r w:rsidR="00A132B3" w:rsidRPr="008879E7">
        <w:rPr>
          <w:rFonts w:ascii="Garamond" w:hAnsi="Garamond" w:cs="Arial"/>
          <w:sz w:val="22"/>
          <w:szCs w:val="22"/>
          <w:lang w:val="pt-PT"/>
        </w:rPr>
        <w:t xml:space="preserve"> de </w:t>
      </w:r>
      <w:r w:rsidR="00B947F9" w:rsidRPr="008879E7">
        <w:rPr>
          <w:rFonts w:ascii="Garamond" w:hAnsi="Garamond" w:cs="Arial"/>
          <w:sz w:val="22"/>
          <w:szCs w:val="22"/>
          <w:lang w:val="pt-PT"/>
        </w:rPr>
        <w:t>pôr em prática</w:t>
      </w:r>
      <w:r w:rsidR="008879E7" w:rsidRPr="008879E7">
        <w:rPr>
          <w:rFonts w:ascii="Garamond" w:hAnsi="Garamond" w:cs="Arial"/>
          <w:sz w:val="22"/>
          <w:szCs w:val="22"/>
          <w:lang w:val="pt-PT"/>
        </w:rPr>
        <w:t>,</w:t>
      </w:r>
      <w:r w:rsidR="00B947F9" w:rsidRPr="008879E7">
        <w:rPr>
          <w:rFonts w:ascii="Garamond" w:hAnsi="Garamond" w:cs="Arial"/>
          <w:sz w:val="22"/>
          <w:szCs w:val="22"/>
          <w:lang w:val="pt-PT"/>
        </w:rPr>
        <w:t xml:space="preserve"> </w:t>
      </w:r>
      <w:r w:rsidR="00A132B3" w:rsidRPr="008879E7">
        <w:rPr>
          <w:rFonts w:ascii="Garamond" w:hAnsi="Garamond" w:cs="Arial"/>
          <w:sz w:val="22"/>
          <w:szCs w:val="22"/>
          <w:lang w:val="pt-PT"/>
        </w:rPr>
        <w:t>n</w:t>
      </w:r>
      <w:r w:rsidR="006F7276" w:rsidRPr="008879E7">
        <w:rPr>
          <w:rFonts w:ascii="Garamond" w:hAnsi="Garamond" w:cs="Arial"/>
          <w:sz w:val="22"/>
          <w:szCs w:val="22"/>
          <w:lang w:val="pt-PT"/>
        </w:rPr>
        <w:t>o</w:t>
      </w:r>
      <w:r w:rsidR="00A132B3" w:rsidRPr="008879E7">
        <w:rPr>
          <w:rFonts w:ascii="Garamond" w:hAnsi="Garamond" w:cs="Arial"/>
          <w:sz w:val="22"/>
          <w:szCs w:val="22"/>
          <w:lang w:val="pt-PT"/>
        </w:rPr>
        <w:t xml:space="preserve"> </w:t>
      </w:r>
      <w:r w:rsidR="00253B1D" w:rsidRPr="008879E7">
        <w:rPr>
          <w:rFonts w:ascii="Garamond" w:hAnsi="Garamond" w:cs="Arial"/>
          <w:sz w:val="22"/>
          <w:szCs w:val="22"/>
          <w:lang w:val="pt-PT"/>
        </w:rPr>
        <w:t>quadro</w:t>
      </w:r>
      <w:r w:rsidR="00A132B3" w:rsidRPr="008879E7">
        <w:rPr>
          <w:rFonts w:ascii="Garamond" w:hAnsi="Garamond" w:cs="Arial"/>
          <w:sz w:val="22"/>
          <w:szCs w:val="22"/>
          <w:lang w:val="pt-PT"/>
        </w:rPr>
        <w:t xml:space="preserve"> d</w:t>
      </w:r>
      <w:r w:rsidR="006F7276" w:rsidRPr="008879E7">
        <w:rPr>
          <w:rFonts w:ascii="Garamond" w:hAnsi="Garamond" w:cs="Arial"/>
          <w:sz w:val="22"/>
          <w:szCs w:val="22"/>
          <w:lang w:val="pt-PT"/>
        </w:rPr>
        <w:t xml:space="preserve">a sua </w:t>
      </w:r>
      <w:r w:rsidR="00731B19" w:rsidRPr="008879E7">
        <w:rPr>
          <w:rFonts w:ascii="Garamond" w:hAnsi="Garamond" w:cs="Arial"/>
          <w:sz w:val="22"/>
          <w:szCs w:val="22"/>
          <w:lang w:val="pt-PT"/>
        </w:rPr>
        <w:t>jurisdição</w:t>
      </w:r>
      <w:r w:rsidR="00A132B3" w:rsidRPr="008879E7">
        <w:rPr>
          <w:rFonts w:ascii="Garamond" w:hAnsi="Garamond" w:cs="Arial"/>
          <w:sz w:val="22"/>
          <w:szCs w:val="22"/>
          <w:lang w:val="pt-PT"/>
        </w:rPr>
        <w:t xml:space="preserve"> (...), co</w:t>
      </w:r>
      <w:r w:rsidR="006F7276" w:rsidRPr="008879E7">
        <w:rPr>
          <w:rFonts w:ascii="Garamond" w:hAnsi="Garamond" w:cs="Arial"/>
          <w:sz w:val="22"/>
          <w:szCs w:val="22"/>
          <w:lang w:val="pt-PT"/>
        </w:rPr>
        <w:t xml:space="preserve">m o </w:t>
      </w:r>
      <w:r w:rsidR="00A132B3" w:rsidRPr="008879E7">
        <w:rPr>
          <w:rFonts w:ascii="Garamond" w:hAnsi="Garamond" w:cs="Arial"/>
          <w:sz w:val="22"/>
          <w:szCs w:val="22"/>
          <w:lang w:val="pt-PT"/>
        </w:rPr>
        <w:t>fi</w:t>
      </w:r>
      <w:r w:rsidR="006F7276" w:rsidRPr="008879E7">
        <w:rPr>
          <w:rFonts w:ascii="Garamond" w:hAnsi="Garamond" w:cs="Arial"/>
          <w:sz w:val="22"/>
          <w:szCs w:val="22"/>
          <w:lang w:val="pt-PT"/>
        </w:rPr>
        <w:t>m</w:t>
      </w:r>
      <w:r w:rsidR="00A132B3" w:rsidRPr="008879E7">
        <w:rPr>
          <w:rFonts w:ascii="Garamond" w:hAnsi="Garamond" w:cs="Arial"/>
          <w:sz w:val="22"/>
          <w:szCs w:val="22"/>
          <w:lang w:val="pt-PT"/>
        </w:rPr>
        <w:t xml:space="preserve"> de salvaguardar </w:t>
      </w:r>
      <w:r w:rsidR="007C63D0" w:rsidRPr="008879E7">
        <w:rPr>
          <w:rFonts w:ascii="Garamond" w:hAnsi="Garamond" w:cs="Arial"/>
          <w:sz w:val="22"/>
          <w:szCs w:val="22"/>
          <w:lang w:val="pt-PT"/>
        </w:rPr>
        <w:t>comportamento</w:t>
      </w:r>
      <w:r w:rsidR="00A132B3" w:rsidRPr="008879E7">
        <w:rPr>
          <w:rFonts w:ascii="Garamond" w:hAnsi="Garamond" w:cs="Arial"/>
          <w:sz w:val="22"/>
          <w:szCs w:val="22"/>
          <w:lang w:val="pt-PT"/>
        </w:rPr>
        <w:t>s que p</w:t>
      </w:r>
      <w:r w:rsidR="00B947F9" w:rsidRPr="008879E7">
        <w:rPr>
          <w:rFonts w:ascii="Garamond" w:hAnsi="Garamond" w:cs="Arial"/>
          <w:sz w:val="22"/>
          <w:szCs w:val="22"/>
          <w:lang w:val="pt-PT"/>
        </w:rPr>
        <w:t xml:space="preserve">ossam ter </w:t>
      </w:r>
      <w:r w:rsidR="00A132B3" w:rsidRPr="008879E7">
        <w:rPr>
          <w:rFonts w:ascii="Garamond" w:hAnsi="Garamond" w:cs="Arial"/>
          <w:sz w:val="22"/>
          <w:szCs w:val="22"/>
          <w:lang w:val="pt-PT"/>
        </w:rPr>
        <w:t>particulares</w:t>
      </w:r>
      <w:r w:rsidRPr="008879E7">
        <w:rPr>
          <w:rFonts w:ascii="Garamond" w:hAnsi="Garamond" w:cs="Arial"/>
          <w:sz w:val="22"/>
          <w:szCs w:val="22"/>
          <w:lang w:val="pt-PT"/>
        </w:rPr>
        <w:t>,</w:t>
      </w:r>
      <w:r w:rsidR="00A132B3" w:rsidRPr="008879E7">
        <w:rPr>
          <w:rFonts w:ascii="Garamond" w:hAnsi="Garamond" w:cs="Arial"/>
          <w:sz w:val="22"/>
          <w:szCs w:val="22"/>
          <w:lang w:val="pt-PT"/>
        </w:rPr>
        <w:t xml:space="preserve"> que n</w:t>
      </w:r>
      <w:r w:rsidR="006F7276" w:rsidRPr="008879E7">
        <w:rPr>
          <w:rFonts w:ascii="Garamond" w:hAnsi="Garamond" w:cs="Arial"/>
          <w:sz w:val="22"/>
          <w:szCs w:val="22"/>
          <w:lang w:val="pt-PT"/>
        </w:rPr>
        <w:t>ã</w:t>
      </w:r>
      <w:r w:rsidR="00A132B3" w:rsidRPr="008879E7">
        <w:rPr>
          <w:rFonts w:ascii="Garamond" w:hAnsi="Garamond" w:cs="Arial"/>
          <w:sz w:val="22"/>
          <w:szCs w:val="22"/>
          <w:lang w:val="pt-PT"/>
        </w:rPr>
        <w:t>o a</w:t>
      </w:r>
      <w:r w:rsidR="00B947F9" w:rsidRPr="008879E7">
        <w:rPr>
          <w:rFonts w:ascii="Garamond" w:hAnsi="Garamond" w:cs="Arial"/>
          <w:sz w:val="22"/>
          <w:szCs w:val="22"/>
          <w:lang w:val="pt-PT"/>
        </w:rPr>
        <w:t xml:space="preserve">tuem </w:t>
      </w:r>
      <w:r w:rsidR="00A132B3" w:rsidRPr="008879E7">
        <w:rPr>
          <w:rFonts w:ascii="Garamond" w:hAnsi="Garamond" w:cs="Arial"/>
          <w:sz w:val="22"/>
          <w:szCs w:val="22"/>
          <w:lang w:val="pt-PT"/>
        </w:rPr>
        <w:t>por c</w:t>
      </w:r>
      <w:r w:rsidR="006F7276" w:rsidRPr="008879E7">
        <w:rPr>
          <w:rFonts w:ascii="Garamond" w:hAnsi="Garamond" w:cs="Arial"/>
          <w:sz w:val="22"/>
          <w:szCs w:val="22"/>
          <w:lang w:val="pt-PT"/>
        </w:rPr>
        <w:t>o</w:t>
      </w:r>
      <w:r w:rsidR="00A132B3" w:rsidRPr="008879E7">
        <w:rPr>
          <w:rFonts w:ascii="Garamond" w:hAnsi="Garamond" w:cs="Arial"/>
          <w:sz w:val="22"/>
          <w:szCs w:val="22"/>
          <w:lang w:val="pt-PT"/>
        </w:rPr>
        <w:t>nta d</w:t>
      </w:r>
      <w:r w:rsidR="006F7276" w:rsidRPr="008879E7">
        <w:rPr>
          <w:rFonts w:ascii="Garamond" w:hAnsi="Garamond" w:cs="Arial"/>
          <w:sz w:val="22"/>
          <w:szCs w:val="22"/>
          <w:lang w:val="pt-PT"/>
        </w:rPr>
        <w:t>o</w:t>
      </w:r>
      <w:r w:rsidR="00A132B3" w:rsidRPr="008879E7">
        <w:rPr>
          <w:rFonts w:ascii="Garamond" w:hAnsi="Garamond" w:cs="Arial"/>
          <w:sz w:val="22"/>
          <w:szCs w:val="22"/>
          <w:lang w:val="pt-PT"/>
        </w:rPr>
        <w:t xml:space="preserve"> Estado</w:t>
      </w:r>
      <w:r w:rsidRPr="008879E7">
        <w:rPr>
          <w:rFonts w:ascii="Garamond" w:hAnsi="Garamond" w:cs="Arial"/>
          <w:sz w:val="22"/>
          <w:szCs w:val="22"/>
          <w:lang w:val="pt-PT"/>
        </w:rPr>
        <w:t>,</w:t>
      </w:r>
      <w:r w:rsidR="00A132B3" w:rsidRPr="008879E7">
        <w:rPr>
          <w:rFonts w:ascii="Garamond" w:hAnsi="Garamond" w:cs="Arial"/>
          <w:sz w:val="22"/>
          <w:szCs w:val="22"/>
          <w:lang w:val="pt-PT"/>
        </w:rPr>
        <w:t xml:space="preserve"> o</w:t>
      </w:r>
      <w:r w:rsidR="006F7276" w:rsidRPr="008879E7">
        <w:rPr>
          <w:rFonts w:ascii="Garamond" w:hAnsi="Garamond" w:cs="Arial"/>
          <w:sz w:val="22"/>
          <w:szCs w:val="22"/>
          <w:lang w:val="pt-PT"/>
        </w:rPr>
        <w:t>u</w:t>
      </w:r>
      <w:r w:rsidR="00A132B3" w:rsidRPr="008879E7">
        <w:rPr>
          <w:rFonts w:ascii="Garamond" w:hAnsi="Garamond" w:cs="Arial"/>
          <w:sz w:val="22"/>
          <w:szCs w:val="22"/>
          <w:lang w:val="pt-PT"/>
        </w:rPr>
        <w:t xml:space="preserve"> </w:t>
      </w:r>
      <w:r w:rsidR="006C760C" w:rsidRPr="008879E7">
        <w:rPr>
          <w:rFonts w:ascii="Garamond" w:hAnsi="Garamond" w:cs="Arial"/>
          <w:sz w:val="22"/>
          <w:szCs w:val="22"/>
          <w:lang w:val="pt-PT"/>
        </w:rPr>
        <w:t>pessoas</w:t>
      </w:r>
      <w:r w:rsidR="00A132B3" w:rsidRPr="008879E7">
        <w:rPr>
          <w:rFonts w:ascii="Garamond" w:hAnsi="Garamond" w:cs="Arial"/>
          <w:sz w:val="22"/>
          <w:szCs w:val="22"/>
          <w:lang w:val="pt-PT"/>
        </w:rPr>
        <w:t xml:space="preserve"> </w:t>
      </w:r>
      <w:r w:rsidR="008879E7" w:rsidRPr="008879E7">
        <w:rPr>
          <w:rFonts w:ascii="Garamond" w:hAnsi="Garamond" w:cs="Arial"/>
          <w:sz w:val="22"/>
          <w:szCs w:val="22"/>
          <w:lang w:val="pt-PT"/>
        </w:rPr>
        <w:t xml:space="preserve">idênticas </w:t>
      </w:r>
      <w:r w:rsidR="006F7276" w:rsidRPr="008879E7">
        <w:rPr>
          <w:rFonts w:ascii="Garamond" w:hAnsi="Garamond" w:cs="Arial"/>
          <w:sz w:val="22"/>
          <w:szCs w:val="22"/>
          <w:lang w:val="pt-PT"/>
        </w:rPr>
        <w:t>a esta</w:t>
      </w:r>
      <w:r w:rsidRPr="008879E7">
        <w:rPr>
          <w:rFonts w:ascii="Garamond" w:hAnsi="Garamond" w:cs="Arial"/>
          <w:sz w:val="22"/>
          <w:szCs w:val="22"/>
          <w:lang w:val="pt-PT"/>
        </w:rPr>
        <w:t>s</w:t>
      </w:r>
      <w:r w:rsidR="00A132B3" w:rsidRPr="008879E7">
        <w:rPr>
          <w:rFonts w:ascii="Garamond" w:hAnsi="Garamond" w:cs="Arial"/>
          <w:sz w:val="22"/>
          <w:szCs w:val="22"/>
          <w:lang w:val="pt-PT"/>
        </w:rPr>
        <w:t>, u</w:t>
      </w:r>
      <w:r w:rsidR="006F7276" w:rsidRPr="008879E7">
        <w:rPr>
          <w:rFonts w:ascii="Garamond" w:hAnsi="Garamond" w:cs="Arial"/>
          <w:sz w:val="22"/>
          <w:szCs w:val="22"/>
          <w:lang w:val="pt-PT"/>
        </w:rPr>
        <w:t xml:space="preserve">m bem ou </w:t>
      </w:r>
      <w:r w:rsidR="00EF645F" w:rsidRPr="008879E7">
        <w:rPr>
          <w:rFonts w:ascii="Garamond" w:hAnsi="Garamond" w:cs="Arial"/>
          <w:sz w:val="22"/>
          <w:szCs w:val="22"/>
          <w:lang w:val="pt-PT"/>
        </w:rPr>
        <w:t>interesse</w:t>
      </w:r>
      <w:r w:rsidR="006F7276" w:rsidRPr="008879E7">
        <w:rPr>
          <w:rFonts w:ascii="Garamond" w:hAnsi="Garamond" w:cs="Arial"/>
          <w:sz w:val="22"/>
          <w:szCs w:val="22"/>
          <w:lang w:val="pt-PT"/>
        </w:rPr>
        <w:t xml:space="preserve"> protegido por um</w:t>
      </w:r>
      <w:r w:rsidR="00A132B3" w:rsidRPr="008879E7">
        <w:rPr>
          <w:rFonts w:ascii="Garamond" w:hAnsi="Garamond" w:cs="Arial"/>
          <w:sz w:val="22"/>
          <w:szCs w:val="22"/>
          <w:lang w:val="pt-PT"/>
        </w:rPr>
        <w:t xml:space="preserve">a </w:t>
      </w:r>
      <w:r w:rsidR="00AF192F" w:rsidRPr="008879E7">
        <w:rPr>
          <w:rFonts w:ascii="Garamond" w:hAnsi="Garamond" w:cs="Arial"/>
          <w:sz w:val="22"/>
          <w:szCs w:val="22"/>
          <w:lang w:val="pt-PT"/>
        </w:rPr>
        <w:t>obrigação</w:t>
      </w:r>
      <w:r w:rsidR="00A132B3" w:rsidRPr="008879E7">
        <w:rPr>
          <w:rFonts w:ascii="Garamond" w:hAnsi="Garamond" w:cs="Arial"/>
          <w:sz w:val="22"/>
          <w:szCs w:val="22"/>
          <w:lang w:val="pt-PT"/>
        </w:rPr>
        <w:t xml:space="preserve"> internacional, </w:t>
      </w:r>
      <w:r w:rsidR="006F7276" w:rsidRPr="008879E7">
        <w:rPr>
          <w:rFonts w:ascii="Garamond" w:hAnsi="Garamond" w:cs="Arial"/>
          <w:sz w:val="22"/>
          <w:szCs w:val="22"/>
          <w:lang w:val="pt-PT"/>
        </w:rPr>
        <w:t xml:space="preserve">quer seja </w:t>
      </w:r>
      <w:r w:rsidR="00A132B3" w:rsidRPr="008879E7">
        <w:rPr>
          <w:rFonts w:ascii="Garamond" w:hAnsi="Garamond" w:cs="Arial"/>
          <w:sz w:val="22"/>
          <w:szCs w:val="22"/>
          <w:lang w:val="pt-PT"/>
        </w:rPr>
        <w:t>prev</w:t>
      </w:r>
      <w:r w:rsidR="006F7276" w:rsidRPr="008879E7">
        <w:rPr>
          <w:rFonts w:ascii="Garamond" w:hAnsi="Garamond" w:cs="Arial"/>
          <w:sz w:val="22"/>
          <w:szCs w:val="22"/>
          <w:lang w:val="pt-PT"/>
        </w:rPr>
        <w:t>eni</w:t>
      </w:r>
      <w:r w:rsidR="00A132B3" w:rsidRPr="008879E7">
        <w:rPr>
          <w:rFonts w:ascii="Garamond" w:hAnsi="Garamond" w:cs="Arial"/>
          <w:sz w:val="22"/>
          <w:szCs w:val="22"/>
          <w:lang w:val="pt-PT"/>
        </w:rPr>
        <w:t xml:space="preserve">ndo </w:t>
      </w:r>
      <w:r w:rsidR="006F7276" w:rsidRPr="008879E7">
        <w:rPr>
          <w:rFonts w:ascii="Garamond" w:hAnsi="Garamond" w:cs="Arial"/>
          <w:sz w:val="22"/>
          <w:szCs w:val="22"/>
          <w:lang w:val="pt-PT"/>
        </w:rPr>
        <w:t xml:space="preserve">a </w:t>
      </w:r>
      <w:r w:rsidR="00A132B3" w:rsidRPr="008879E7">
        <w:rPr>
          <w:rFonts w:ascii="Garamond" w:hAnsi="Garamond" w:cs="Arial"/>
          <w:sz w:val="22"/>
          <w:szCs w:val="22"/>
          <w:lang w:val="pt-PT"/>
        </w:rPr>
        <w:t>su</w:t>
      </w:r>
      <w:r w:rsidR="006F7276" w:rsidRPr="008879E7">
        <w:rPr>
          <w:rFonts w:ascii="Garamond" w:hAnsi="Garamond" w:cs="Arial"/>
          <w:sz w:val="22"/>
          <w:szCs w:val="22"/>
          <w:lang w:val="pt-PT"/>
        </w:rPr>
        <w:t>a</w:t>
      </w:r>
      <w:r w:rsidR="00A132B3" w:rsidRPr="008879E7">
        <w:rPr>
          <w:rFonts w:ascii="Garamond" w:hAnsi="Garamond" w:cs="Arial"/>
          <w:sz w:val="22"/>
          <w:szCs w:val="22"/>
          <w:lang w:val="pt-PT"/>
        </w:rPr>
        <w:t xml:space="preserve"> </w:t>
      </w:r>
      <w:r w:rsidR="00120915" w:rsidRPr="008879E7">
        <w:rPr>
          <w:rFonts w:ascii="Garamond" w:hAnsi="Garamond" w:cs="Arial"/>
          <w:sz w:val="22"/>
          <w:szCs w:val="22"/>
          <w:lang w:val="pt-PT"/>
        </w:rPr>
        <w:t>lesão</w:t>
      </w:r>
      <w:r w:rsidR="00A132B3" w:rsidRPr="008879E7">
        <w:rPr>
          <w:rFonts w:ascii="Garamond" w:hAnsi="Garamond" w:cs="Arial"/>
          <w:sz w:val="22"/>
          <w:szCs w:val="22"/>
          <w:lang w:val="pt-PT"/>
        </w:rPr>
        <w:t xml:space="preserve">, </w:t>
      </w:r>
      <w:r w:rsidR="006F7276" w:rsidRPr="008879E7">
        <w:rPr>
          <w:rFonts w:ascii="Garamond" w:hAnsi="Garamond" w:cs="Arial"/>
          <w:sz w:val="22"/>
          <w:szCs w:val="22"/>
          <w:lang w:val="pt-PT"/>
        </w:rPr>
        <w:t xml:space="preserve">quer seja </w:t>
      </w:r>
      <w:r w:rsidR="00A132B3" w:rsidRPr="008879E7">
        <w:rPr>
          <w:rFonts w:ascii="Garamond" w:hAnsi="Garamond" w:cs="Arial"/>
          <w:sz w:val="22"/>
          <w:szCs w:val="22"/>
          <w:lang w:val="pt-PT"/>
        </w:rPr>
        <w:t>pers</w:t>
      </w:r>
      <w:r w:rsidR="006F7276" w:rsidRPr="008879E7">
        <w:rPr>
          <w:rFonts w:ascii="Garamond" w:hAnsi="Garamond" w:cs="Arial"/>
          <w:sz w:val="22"/>
          <w:szCs w:val="22"/>
          <w:lang w:val="pt-PT"/>
        </w:rPr>
        <w:t>egui</w:t>
      </w:r>
      <w:r w:rsidR="00A132B3" w:rsidRPr="008879E7">
        <w:rPr>
          <w:rFonts w:ascii="Garamond" w:hAnsi="Garamond" w:cs="Arial"/>
          <w:sz w:val="22"/>
          <w:szCs w:val="22"/>
          <w:lang w:val="pt-PT"/>
        </w:rPr>
        <w:t xml:space="preserve">ndo os autores da </w:t>
      </w:r>
      <w:r w:rsidR="00524936" w:rsidRPr="008879E7">
        <w:rPr>
          <w:rFonts w:ascii="Garamond" w:hAnsi="Garamond" w:cs="Arial"/>
          <w:sz w:val="22"/>
          <w:szCs w:val="22"/>
          <w:lang w:val="pt-PT"/>
        </w:rPr>
        <w:t>mesma</w:t>
      </w:r>
      <w:r w:rsidR="00BE3890" w:rsidRPr="008879E7">
        <w:rPr>
          <w:rFonts w:ascii="Garamond" w:hAnsi="Garamond" w:cs="Arial"/>
          <w:sz w:val="22"/>
          <w:szCs w:val="22"/>
          <w:lang w:val="pt-PT"/>
        </w:rPr>
        <w:t>.</w:t>
      </w:r>
      <w:r w:rsidRPr="008879E7">
        <w:rPr>
          <w:rFonts w:ascii="Garamond" w:hAnsi="Garamond" w:cs="Arial"/>
          <w:sz w:val="22"/>
          <w:szCs w:val="22"/>
          <w:lang w:val="pt-PT"/>
        </w:rPr>
        <w:t>»</w:t>
      </w:r>
      <w:r w:rsidR="004759C9" w:rsidRPr="008879E7">
        <w:rPr>
          <w:rStyle w:val="Refdenotaalpie"/>
          <w:rFonts w:ascii="Garamond" w:hAnsi="Garamond" w:cs="Arial"/>
          <w:b/>
          <w:sz w:val="22"/>
          <w:szCs w:val="22"/>
          <w:lang w:val="pt-PT"/>
        </w:rPr>
        <w:t xml:space="preserve"> </w:t>
      </w:r>
      <w:r w:rsidR="004759C9" w:rsidRPr="008879E7">
        <w:rPr>
          <w:rStyle w:val="Refdenotaalpie"/>
          <w:rFonts w:ascii="Garamond" w:hAnsi="Garamond" w:cs="Arial"/>
          <w:sz w:val="22"/>
          <w:szCs w:val="22"/>
        </w:rPr>
        <w:footnoteReference w:id="19"/>
      </w:r>
    </w:p>
    <w:p w:rsidR="00327155" w:rsidRDefault="00327155" w:rsidP="008719D4">
      <w:pPr>
        <w:spacing w:line="240" w:lineRule="auto"/>
        <w:jc w:val="both"/>
        <w:rPr>
          <w:rFonts w:ascii="Garamond" w:hAnsi="Garamond" w:cs="Arial"/>
          <w:sz w:val="24"/>
          <w:szCs w:val="24"/>
        </w:rPr>
      </w:pPr>
    </w:p>
    <w:p w:rsidR="00A132B3" w:rsidRPr="003A1174" w:rsidRDefault="00327155" w:rsidP="008719D4">
      <w:pPr>
        <w:spacing w:line="240" w:lineRule="auto"/>
        <w:jc w:val="both"/>
        <w:rPr>
          <w:rFonts w:ascii="Garamond" w:hAnsi="Garamond" w:cs="Arial"/>
          <w:sz w:val="24"/>
          <w:szCs w:val="24"/>
        </w:rPr>
      </w:pPr>
      <w:r>
        <w:rPr>
          <w:rFonts w:ascii="Garamond" w:hAnsi="Garamond" w:cs="Arial"/>
          <w:sz w:val="24"/>
          <w:szCs w:val="24"/>
        </w:rPr>
        <w:t xml:space="preserve">Ressaltam </w:t>
      </w:r>
      <w:r w:rsidR="006F7276" w:rsidRPr="003A1174">
        <w:rPr>
          <w:rFonts w:ascii="Garamond" w:hAnsi="Garamond" w:cs="Arial"/>
          <w:sz w:val="24"/>
          <w:szCs w:val="24"/>
        </w:rPr>
        <w:t>d</w:t>
      </w:r>
      <w:r w:rsidR="00A132B3" w:rsidRPr="003A1174">
        <w:rPr>
          <w:rFonts w:ascii="Garamond" w:hAnsi="Garamond" w:cs="Arial"/>
          <w:sz w:val="24"/>
          <w:szCs w:val="24"/>
        </w:rPr>
        <w:t xml:space="preserve">estas </w:t>
      </w:r>
      <w:r w:rsidR="006F7276" w:rsidRPr="003A1174">
        <w:rPr>
          <w:rFonts w:ascii="Garamond" w:hAnsi="Garamond" w:cs="Arial"/>
          <w:sz w:val="24"/>
          <w:szCs w:val="24"/>
        </w:rPr>
        <w:t>afirmações</w:t>
      </w:r>
      <w:r>
        <w:rPr>
          <w:rFonts w:ascii="Garamond" w:hAnsi="Garamond" w:cs="Arial"/>
          <w:sz w:val="24"/>
          <w:szCs w:val="24"/>
        </w:rPr>
        <w:t>,</w:t>
      </w:r>
      <w:r w:rsidR="006F7276" w:rsidRPr="003A1174">
        <w:rPr>
          <w:rFonts w:ascii="Garamond" w:hAnsi="Garamond" w:cs="Arial"/>
          <w:sz w:val="24"/>
          <w:szCs w:val="24"/>
        </w:rPr>
        <w:t xml:space="preserve"> </w:t>
      </w:r>
      <w:r w:rsidR="00A132B3" w:rsidRPr="003A1174">
        <w:rPr>
          <w:rFonts w:ascii="Garamond" w:hAnsi="Garamond" w:cs="Arial"/>
          <w:sz w:val="24"/>
          <w:szCs w:val="24"/>
        </w:rPr>
        <w:t xml:space="preserve">os </w:t>
      </w:r>
      <w:r w:rsidR="006F7276" w:rsidRPr="003A1174">
        <w:rPr>
          <w:rFonts w:ascii="Garamond" w:hAnsi="Garamond" w:cs="Arial"/>
          <w:sz w:val="24"/>
          <w:szCs w:val="24"/>
        </w:rPr>
        <w:t>seguintes</w:t>
      </w:r>
      <w:r w:rsidR="00A132B3" w:rsidRPr="003A1174">
        <w:rPr>
          <w:rFonts w:ascii="Garamond" w:hAnsi="Garamond" w:cs="Arial"/>
          <w:sz w:val="24"/>
          <w:szCs w:val="24"/>
        </w:rPr>
        <w:t xml:space="preserve"> elementos </w:t>
      </w:r>
      <w:r w:rsidR="002F62B0" w:rsidRPr="003A1174">
        <w:rPr>
          <w:rFonts w:ascii="Garamond" w:hAnsi="Garamond" w:cs="Arial"/>
          <w:sz w:val="24"/>
          <w:szCs w:val="24"/>
        </w:rPr>
        <w:t>essenciais</w:t>
      </w:r>
      <w:r w:rsidR="00A132B3" w:rsidRPr="003A1174">
        <w:rPr>
          <w:rFonts w:ascii="Garamond" w:hAnsi="Garamond" w:cs="Arial"/>
          <w:sz w:val="24"/>
          <w:szCs w:val="24"/>
        </w:rPr>
        <w:t xml:space="preserve"> </w:t>
      </w:r>
      <w:r>
        <w:rPr>
          <w:rFonts w:ascii="Garamond" w:hAnsi="Garamond" w:cs="Arial"/>
          <w:sz w:val="24"/>
          <w:szCs w:val="24"/>
        </w:rPr>
        <w:t>para o significado de</w:t>
      </w:r>
      <w:r w:rsidR="00A132B3" w:rsidRPr="003A1174">
        <w:rPr>
          <w:rFonts w:ascii="Garamond" w:hAnsi="Garamond" w:cs="Arial"/>
          <w:sz w:val="24"/>
          <w:szCs w:val="24"/>
        </w:rPr>
        <w:t xml:space="preserve"> </w:t>
      </w:r>
      <w:r w:rsidR="00CF4C35" w:rsidRPr="003A1174">
        <w:rPr>
          <w:rFonts w:ascii="Garamond" w:hAnsi="Garamond" w:cs="Arial"/>
          <w:sz w:val="24"/>
          <w:szCs w:val="24"/>
        </w:rPr>
        <w:t>Diligência Devida</w:t>
      </w:r>
      <w:r w:rsidR="00A132B3" w:rsidRPr="003A1174">
        <w:rPr>
          <w:rFonts w:ascii="Garamond" w:hAnsi="Garamond" w:cs="Arial"/>
          <w:sz w:val="24"/>
          <w:szCs w:val="24"/>
        </w:rPr>
        <w:t>:</w:t>
      </w:r>
    </w:p>
    <w:p w:rsidR="00A132B3" w:rsidRPr="003A1174" w:rsidRDefault="00A132B3" w:rsidP="008719D4">
      <w:pPr>
        <w:pStyle w:val="Prrafodelista"/>
        <w:numPr>
          <w:ilvl w:val="0"/>
          <w:numId w:val="11"/>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Que constitu</w:t>
      </w:r>
      <w:r w:rsidR="006F7276" w:rsidRPr="003A1174">
        <w:rPr>
          <w:rFonts w:ascii="Garamond" w:hAnsi="Garamond" w:cs="Arial"/>
          <w:color w:val="auto"/>
          <w:sz w:val="24"/>
          <w:szCs w:val="24"/>
          <w:lang w:val="pt-PT"/>
        </w:rPr>
        <w:t>i</w:t>
      </w:r>
      <w:r w:rsidRPr="003A1174">
        <w:rPr>
          <w:rFonts w:ascii="Garamond" w:hAnsi="Garamond" w:cs="Arial"/>
          <w:color w:val="auto"/>
          <w:sz w:val="24"/>
          <w:szCs w:val="24"/>
          <w:lang w:val="pt-PT"/>
        </w:rPr>
        <w:t xml:space="preserve"> </w:t>
      </w:r>
      <w:r w:rsidR="00A34F0F">
        <w:rPr>
          <w:rFonts w:ascii="Garamond" w:hAnsi="Garamond" w:cs="Arial"/>
          <w:color w:val="auto"/>
          <w:sz w:val="24"/>
          <w:szCs w:val="24"/>
          <w:lang w:val="pt-PT"/>
        </w:rPr>
        <w:t>«</w:t>
      </w:r>
      <w:r w:rsidRPr="003A1174">
        <w:rPr>
          <w:rFonts w:ascii="Garamond" w:hAnsi="Garamond" w:cs="Arial"/>
          <w:color w:val="auto"/>
          <w:sz w:val="24"/>
          <w:szCs w:val="24"/>
          <w:lang w:val="pt-PT"/>
        </w:rPr>
        <w:t>u</w:t>
      </w:r>
      <w:r w:rsidR="006F7276"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nível</w:t>
      </w:r>
      <w:r w:rsidR="006F7276" w:rsidRPr="003A1174">
        <w:rPr>
          <w:rFonts w:ascii="Garamond" w:hAnsi="Garamond" w:cs="Arial"/>
          <w:color w:val="auto"/>
          <w:sz w:val="24"/>
          <w:szCs w:val="24"/>
          <w:lang w:val="pt-PT"/>
        </w:rPr>
        <w:t xml:space="preserve"> de cuidado objetivo</w:t>
      </w:r>
      <w:r w:rsidR="00A34F0F">
        <w:rPr>
          <w:rFonts w:ascii="Garamond" w:hAnsi="Garamond" w:cs="Arial"/>
          <w:color w:val="auto"/>
          <w:sz w:val="24"/>
          <w:szCs w:val="24"/>
          <w:lang w:val="pt-PT"/>
        </w:rPr>
        <w:t>»</w:t>
      </w:r>
      <w:r w:rsidR="006F7276" w:rsidRPr="003A1174">
        <w:rPr>
          <w:rFonts w:ascii="Garamond" w:hAnsi="Garamond" w:cs="Arial"/>
          <w:color w:val="auto"/>
          <w:sz w:val="24"/>
          <w:szCs w:val="24"/>
          <w:lang w:val="pt-PT"/>
        </w:rPr>
        <w:t xml:space="preserve"> (i</w:t>
      </w:r>
      <w:r w:rsidRPr="003A1174">
        <w:rPr>
          <w:rFonts w:ascii="Garamond" w:hAnsi="Garamond" w:cs="Arial"/>
          <w:color w:val="auto"/>
          <w:sz w:val="24"/>
          <w:szCs w:val="24"/>
          <w:lang w:val="pt-PT"/>
        </w:rPr>
        <w:t xml:space="preserve">sto </w:t>
      </w:r>
      <w:r w:rsidR="006F7276" w:rsidRPr="003A1174">
        <w:rPr>
          <w:rFonts w:ascii="Garamond" w:hAnsi="Garamond" w:cs="Arial"/>
          <w:color w:val="auto"/>
          <w:sz w:val="24"/>
          <w:szCs w:val="24"/>
          <w:lang w:val="pt-PT"/>
        </w:rPr>
        <w:t>é</w:t>
      </w:r>
      <w:r w:rsidR="00BE3890"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n</w:t>
      </w:r>
      <w:r w:rsidR="006F7276" w:rsidRPr="003A1174">
        <w:rPr>
          <w:rFonts w:ascii="Garamond" w:hAnsi="Garamond" w:cs="Arial"/>
          <w:color w:val="auto"/>
          <w:sz w:val="24"/>
          <w:szCs w:val="24"/>
          <w:lang w:val="pt-PT"/>
        </w:rPr>
        <w:t>ã</w:t>
      </w:r>
      <w:r w:rsidRPr="003A1174">
        <w:rPr>
          <w:rFonts w:ascii="Garamond" w:hAnsi="Garamond" w:cs="Arial"/>
          <w:color w:val="auto"/>
          <w:sz w:val="24"/>
          <w:szCs w:val="24"/>
          <w:lang w:val="pt-PT"/>
        </w:rPr>
        <w:t xml:space="preserve">o </w:t>
      </w:r>
      <w:r w:rsidR="006F7276" w:rsidRPr="003A1174">
        <w:rPr>
          <w:rFonts w:ascii="Garamond" w:hAnsi="Garamond" w:cs="Arial"/>
          <w:color w:val="auto"/>
          <w:sz w:val="24"/>
          <w:szCs w:val="24"/>
          <w:lang w:val="pt-PT"/>
        </w:rPr>
        <w:t xml:space="preserve">apenas </w:t>
      </w:r>
      <w:r w:rsidRPr="003A1174">
        <w:rPr>
          <w:rFonts w:ascii="Garamond" w:hAnsi="Garamond" w:cs="Arial"/>
          <w:color w:val="auto"/>
          <w:sz w:val="24"/>
          <w:szCs w:val="24"/>
          <w:lang w:val="pt-PT"/>
        </w:rPr>
        <w:t>formal o</w:t>
      </w:r>
      <w:r w:rsidR="006F7276" w:rsidRPr="003A1174">
        <w:rPr>
          <w:rFonts w:ascii="Garamond" w:hAnsi="Garamond" w:cs="Arial"/>
          <w:color w:val="auto"/>
          <w:sz w:val="24"/>
          <w:szCs w:val="24"/>
          <w:lang w:val="pt-PT"/>
        </w:rPr>
        <w:t>u meramente declarado) que um</w:t>
      </w:r>
      <w:r w:rsidRPr="003A1174">
        <w:rPr>
          <w:rFonts w:ascii="Garamond" w:hAnsi="Garamond" w:cs="Arial"/>
          <w:color w:val="auto"/>
          <w:sz w:val="24"/>
          <w:szCs w:val="24"/>
          <w:lang w:val="pt-PT"/>
        </w:rPr>
        <w:t xml:space="preserve"> Estado co</w:t>
      </w:r>
      <w:r w:rsidR="006F7276"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infraestrutura</w:t>
      </w:r>
      <w:r w:rsidRPr="003A1174">
        <w:rPr>
          <w:rFonts w:ascii="Garamond" w:hAnsi="Garamond" w:cs="Arial"/>
          <w:color w:val="auto"/>
          <w:sz w:val="24"/>
          <w:szCs w:val="24"/>
          <w:lang w:val="pt-PT"/>
        </w:rPr>
        <w:t xml:space="preserve"> mínima para funcionar como tal, de</w:t>
      </w:r>
      <w:r w:rsidR="006F7276" w:rsidRPr="003A1174">
        <w:rPr>
          <w:rFonts w:ascii="Garamond" w:hAnsi="Garamond" w:cs="Arial"/>
          <w:color w:val="auto"/>
          <w:sz w:val="24"/>
          <w:szCs w:val="24"/>
          <w:lang w:val="pt-PT"/>
        </w:rPr>
        <w:t>v</w:t>
      </w:r>
      <w:r w:rsidRPr="003A1174">
        <w:rPr>
          <w:rFonts w:ascii="Garamond" w:hAnsi="Garamond" w:cs="Arial"/>
          <w:color w:val="auto"/>
          <w:sz w:val="24"/>
          <w:szCs w:val="24"/>
          <w:lang w:val="pt-PT"/>
        </w:rPr>
        <w:t>e des</w:t>
      </w:r>
      <w:r w:rsidR="006F7276" w:rsidRPr="003A1174">
        <w:rPr>
          <w:rFonts w:ascii="Garamond" w:hAnsi="Garamond" w:cs="Arial"/>
          <w:color w:val="auto"/>
          <w:sz w:val="24"/>
          <w:szCs w:val="24"/>
          <w:lang w:val="pt-PT"/>
        </w:rPr>
        <w:t xml:space="preserve">envolver </w:t>
      </w:r>
      <w:r w:rsidRPr="003A1174">
        <w:rPr>
          <w:rFonts w:ascii="Garamond" w:hAnsi="Garamond" w:cs="Arial"/>
          <w:color w:val="auto"/>
          <w:sz w:val="24"/>
          <w:szCs w:val="24"/>
          <w:lang w:val="pt-PT"/>
        </w:rPr>
        <w:t>dentro d</w:t>
      </w:r>
      <w:r w:rsidR="006F7276" w:rsidRPr="003A1174">
        <w:rPr>
          <w:rFonts w:ascii="Garamond" w:hAnsi="Garamond" w:cs="Arial"/>
          <w:color w:val="auto"/>
          <w:sz w:val="24"/>
          <w:szCs w:val="24"/>
          <w:lang w:val="pt-PT"/>
        </w:rPr>
        <w:t>o seu espaço</w:t>
      </w:r>
      <w:r w:rsidRPr="003A1174">
        <w:rPr>
          <w:rFonts w:ascii="Garamond" w:hAnsi="Garamond" w:cs="Arial"/>
          <w:color w:val="auto"/>
          <w:sz w:val="24"/>
          <w:szCs w:val="24"/>
          <w:lang w:val="pt-PT"/>
        </w:rPr>
        <w:t xml:space="preserve"> de </w:t>
      </w:r>
      <w:r w:rsidR="00731B19" w:rsidRPr="003A1174">
        <w:rPr>
          <w:rFonts w:ascii="Garamond" w:hAnsi="Garamond" w:cs="Arial"/>
          <w:color w:val="auto"/>
          <w:sz w:val="24"/>
          <w:szCs w:val="24"/>
          <w:lang w:val="pt-PT"/>
        </w:rPr>
        <w:t>jurisdição</w:t>
      </w:r>
      <w:r w:rsidRPr="003A1174">
        <w:rPr>
          <w:rFonts w:ascii="Garamond" w:hAnsi="Garamond" w:cs="Arial"/>
          <w:color w:val="auto"/>
          <w:sz w:val="24"/>
          <w:szCs w:val="24"/>
          <w:lang w:val="pt-PT"/>
        </w:rPr>
        <w:t>, t</w:t>
      </w:r>
      <w:r w:rsidR="006F7276" w:rsidRPr="003A1174">
        <w:rPr>
          <w:rFonts w:ascii="Garamond" w:hAnsi="Garamond" w:cs="Arial"/>
          <w:color w:val="auto"/>
          <w:sz w:val="24"/>
          <w:szCs w:val="24"/>
          <w:lang w:val="pt-PT"/>
        </w:rPr>
        <w:t xml:space="preserve">endo em conta </w:t>
      </w:r>
      <w:r w:rsidR="00A34F0F">
        <w:rPr>
          <w:rFonts w:ascii="Garamond" w:hAnsi="Garamond" w:cs="Arial"/>
          <w:color w:val="auto"/>
          <w:sz w:val="24"/>
          <w:szCs w:val="24"/>
          <w:lang w:val="pt-PT"/>
        </w:rPr>
        <w:t>«</w:t>
      </w:r>
      <w:r w:rsidRPr="003A1174">
        <w:rPr>
          <w:rFonts w:ascii="Garamond" w:hAnsi="Garamond" w:cs="Arial"/>
          <w:color w:val="auto"/>
          <w:sz w:val="24"/>
          <w:szCs w:val="24"/>
          <w:lang w:val="pt-PT"/>
        </w:rPr>
        <w:t xml:space="preserve">as </w:t>
      </w:r>
      <w:r w:rsidR="002E2C71" w:rsidRPr="003A1174">
        <w:rPr>
          <w:rFonts w:ascii="Garamond" w:hAnsi="Garamond" w:cs="Arial"/>
          <w:color w:val="auto"/>
          <w:sz w:val="24"/>
          <w:szCs w:val="24"/>
          <w:lang w:val="pt-PT"/>
        </w:rPr>
        <w:t>circunstância</w:t>
      </w:r>
      <w:r w:rsidRPr="003A1174">
        <w:rPr>
          <w:rFonts w:ascii="Garamond" w:hAnsi="Garamond" w:cs="Arial"/>
          <w:color w:val="auto"/>
          <w:sz w:val="24"/>
          <w:szCs w:val="24"/>
          <w:lang w:val="pt-PT"/>
        </w:rPr>
        <w:t>s de cada caso</w:t>
      </w:r>
      <w:r w:rsidR="00A34F0F">
        <w:rPr>
          <w:rFonts w:ascii="Garamond" w:hAnsi="Garamond" w:cs="Arial"/>
          <w:color w:val="auto"/>
          <w:sz w:val="24"/>
          <w:szCs w:val="24"/>
          <w:lang w:val="pt-PT"/>
        </w:rPr>
        <w:t>»</w:t>
      </w:r>
      <w:r w:rsidRPr="003A1174">
        <w:rPr>
          <w:rFonts w:ascii="Garamond" w:hAnsi="Garamond" w:cs="Arial"/>
          <w:color w:val="auto"/>
          <w:sz w:val="24"/>
          <w:szCs w:val="24"/>
          <w:lang w:val="pt-PT"/>
        </w:rPr>
        <w:t xml:space="preserve"> (vale</w:t>
      </w:r>
      <w:r w:rsidR="006F7276" w:rsidRPr="003A1174">
        <w:rPr>
          <w:rFonts w:ascii="Garamond" w:hAnsi="Garamond" w:cs="Arial"/>
          <w:color w:val="auto"/>
          <w:sz w:val="24"/>
          <w:szCs w:val="24"/>
          <w:lang w:val="pt-PT"/>
        </w:rPr>
        <w:t xml:space="preserve"> a pena dizer</w:t>
      </w:r>
      <w:r w:rsidR="00327155">
        <w:rPr>
          <w:rFonts w:ascii="Garamond" w:hAnsi="Garamond" w:cs="Arial"/>
          <w:color w:val="auto"/>
          <w:sz w:val="24"/>
          <w:szCs w:val="24"/>
          <w:lang w:val="pt-PT"/>
        </w:rPr>
        <w:t>,</w:t>
      </w:r>
      <w:r w:rsidR="006F7276" w:rsidRPr="003A1174">
        <w:rPr>
          <w:rFonts w:ascii="Garamond" w:hAnsi="Garamond" w:cs="Arial"/>
          <w:color w:val="auto"/>
          <w:sz w:val="24"/>
          <w:szCs w:val="24"/>
          <w:lang w:val="pt-PT"/>
        </w:rPr>
        <w:t xml:space="preserve"> atend</w:t>
      </w:r>
      <w:r w:rsidRPr="003A1174">
        <w:rPr>
          <w:rFonts w:ascii="Garamond" w:hAnsi="Garamond" w:cs="Arial"/>
          <w:color w:val="auto"/>
          <w:sz w:val="24"/>
          <w:szCs w:val="24"/>
          <w:lang w:val="pt-PT"/>
        </w:rPr>
        <w:t xml:space="preserve">endo ao específico de cada </w:t>
      </w:r>
      <w:r w:rsidR="0017447A" w:rsidRPr="003A1174">
        <w:rPr>
          <w:rFonts w:ascii="Garamond" w:hAnsi="Garamond" w:cs="Arial"/>
          <w:color w:val="auto"/>
          <w:sz w:val="24"/>
          <w:szCs w:val="24"/>
          <w:lang w:val="pt-PT"/>
        </w:rPr>
        <w:t>situação</w:t>
      </w:r>
      <w:r w:rsidRPr="003A1174">
        <w:rPr>
          <w:rFonts w:ascii="Garamond" w:hAnsi="Garamond" w:cs="Arial"/>
          <w:color w:val="auto"/>
          <w:sz w:val="24"/>
          <w:szCs w:val="24"/>
          <w:lang w:val="pt-PT"/>
        </w:rPr>
        <w:t>).</w:t>
      </w:r>
    </w:p>
    <w:p w:rsidR="00A132B3" w:rsidRPr="003A1174" w:rsidRDefault="00A132B3" w:rsidP="008719D4">
      <w:pPr>
        <w:pStyle w:val="Prrafodelista"/>
        <w:numPr>
          <w:ilvl w:val="0"/>
          <w:numId w:val="11"/>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Es</w:t>
      </w:r>
      <w:r w:rsidR="006F7276" w:rsidRPr="003A1174">
        <w:rPr>
          <w:rFonts w:ascii="Garamond" w:hAnsi="Garamond" w:cs="Arial"/>
          <w:color w:val="auto"/>
          <w:sz w:val="24"/>
          <w:szCs w:val="24"/>
          <w:lang w:val="pt-PT"/>
        </w:rPr>
        <w:t>s</w:t>
      </w:r>
      <w:r w:rsidRPr="003A1174">
        <w:rPr>
          <w:rFonts w:ascii="Garamond" w:hAnsi="Garamond" w:cs="Arial"/>
          <w:color w:val="auto"/>
          <w:sz w:val="24"/>
          <w:szCs w:val="24"/>
          <w:lang w:val="pt-PT"/>
        </w:rPr>
        <w:t>a cautela o</w:t>
      </w:r>
      <w:r w:rsidR="006F7276" w:rsidRPr="003A1174">
        <w:rPr>
          <w:rFonts w:ascii="Garamond" w:hAnsi="Garamond" w:cs="Arial"/>
          <w:color w:val="auto"/>
          <w:sz w:val="24"/>
          <w:szCs w:val="24"/>
          <w:lang w:val="pt-PT"/>
        </w:rPr>
        <w:t>u</w:t>
      </w:r>
      <w:r w:rsidRPr="003A1174">
        <w:rPr>
          <w:rFonts w:ascii="Garamond" w:hAnsi="Garamond" w:cs="Arial"/>
          <w:color w:val="auto"/>
          <w:sz w:val="24"/>
          <w:szCs w:val="24"/>
          <w:lang w:val="pt-PT"/>
        </w:rPr>
        <w:t xml:space="preserve"> cuidado concreto, </w:t>
      </w:r>
      <w:r w:rsidR="006F7276" w:rsidRPr="003A1174">
        <w:rPr>
          <w:rFonts w:ascii="Garamond" w:hAnsi="Garamond" w:cs="Arial"/>
          <w:color w:val="auto"/>
          <w:sz w:val="24"/>
          <w:szCs w:val="24"/>
          <w:lang w:val="pt-PT"/>
        </w:rPr>
        <w:t xml:space="preserve">já em </w:t>
      </w:r>
      <w:r w:rsidR="00731B19" w:rsidRPr="003A1174">
        <w:rPr>
          <w:rFonts w:ascii="Garamond" w:hAnsi="Garamond" w:cs="Arial"/>
          <w:color w:val="auto"/>
          <w:sz w:val="24"/>
          <w:szCs w:val="24"/>
          <w:lang w:val="pt-PT"/>
        </w:rPr>
        <w:t>termos</w:t>
      </w:r>
      <w:r w:rsidR="006F7276" w:rsidRPr="003A1174">
        <w:rPr>
          <w:rFonts w:ascii="Garamond" w:hAnsi="Garamond" w:cs="Arial"/>
          <w:color w:val="auto"/>
          <w:sz w:val="24"/>
          <w:szCs w:val="24"/>
          <w:lang w:val="pt-PT"/>
        </w:rPr>
        <w:t xml:space="preserve"> específicos, dev</w:t>
      </w:r>
      <w:r w:rsidRPr="003A1174">
        <w:rPr>
          <w:rFonts w:ascii="Garamond" w:hAnsi="Garamond" w:cs="Arial"/>
          <w:color w:val="auto"/>
          <w:sz w:val="24"/>
          <w:szCs w:val="24"/>
          <w:lang w:val="pt-PT"/>
        </w:rPr>
        <w:t>e consistir</w:t>
      </w:r>
      <w:r w:rsidR="006F7276" w:rsidRPr="003A1174">
        <w:rPr>
          <w:rFonts w:ascii="Garamond" w:hAnsi="Garamond" w:cs="Arial"/>
          <w:color w:val="auto"/>
          <w:sz w:val="24"/>
          <w:szCs w:val="24"/>
          <w:lang w:val="pt-PT"/>
        </w:rPr>
        <w:t xml:space="preserve"> quer na </w:t>
      </w:r>
      <w:r w:rsidR="007578C6" w:rsidRPr="003A1174">
        <w:rPr>
          <w:rFonts w:ascii="Garamond" w:hAnsi="Garamond" w:cs="Arial"/>
          <w:color w:val="auto"/>
          <w:sz w:val="24"/>
          <w:szCs w:val="24"/>
          <w:lang w:val="pt-PT"/>
        </w:rPr>
        <w:t>prevenção</w:t>
      </w:r>
      <w:r w:rsidRPr="003A1174">
        <w:rPr>
          <w:rFonts w:ascii="Garamond" w:hAnsi="Garamond" w:cs="Arial"/>
          <w:color w:val="auto"/>
          <w:sz w:val="24"/>
          <w:szCs w:val="24"/>
          <w:lang w:val="pt-PT"/>
        </w:rPr>
        <w:t xml:space="preserve"> d</w:t>
      </w:r>
      <w:r w:rsidR="006F7276" w:rsidRPr="003A1174">
        <w:rPr>
          <w:rFonts w:ascii="Garamond" w:hAnsi="Garamond" w:cs="Arial"/>
          <w:color w:val="auto"/>
          <w:sz w:val="24"/>
          <w:szCs w:val="24"/>
          <w:lang w:val="pt-PT"/>
        </w:rPr>
        <w:t xml:space="preserve">o </w:t>
      </w:r>
      <w:r w:rsidR="00C031E1" w:rsidRPr="003A1174">
        <w:rPr>
          <w:rFonts w:ascii="Garamond" w:hAnsi="Garamond" w:cs="Arial"/>
          <w:color w:val="auto"/>
          <w:sz w:val="24"/>
          <w:szCs w:val="24"/>
          <w:lang w:val="pt-PT"/>
        </w:rPr>
        <w:t>d</w:t>
      </w:r>
      <w:r w:rsidR="002C7510" w:rsidRPr="003A1174">
        <w:rPr>
          <w:rFonts w:ascii="Garamond" w:hAnsi="Garamond" w:cs="Arial"/>
          <w:color w:val="auto"/>
          <w:sz w:val="24"/>
          <w:szCs w:val="24"/>
          <w:lang w:val="pt-PT"/>
        </w:rPr>
        <w:t>ano</w:t>
      </w:r>
      <w:r w:rsidR="00C031E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que</w:t>
      </w:r>
      <w:r w:rsidR="006F7276" w:rsidRPr="003A1174">
        <w:rPr>
          <w:rFonts w:ascii="Garamond" w:hAnsi="Garamond" w:cs="Arial"/>
          <w:color w:val="auto"/>
          <w:sz w:val="24"/>
          <w:szCs w:val="24"/>
          <w:lang w:val="pt-PT"/>
        </w:rPr>
        <w:t xml:space="preserve"> se possa </w:t>
      </w:r>
      <w:r w:rsidRPr="003A1174">
        <w:rPr>
          <w:rFonts w:ascii="Garamond" w:hAnsi="Garamond" w:cs="Arial"/>
          <w:color w:val="auto"/>
          <w:sz w:val="24"/>
          <w:szCs w:val="24"/>
          <w:lang w:val="pt-PT"/>
        </w:rPr>
        <w:t xml:space="preserve">ocasionar, </w:t>
      </w:r>
      <w:r w:rsidR="006F7276" w:rsidRPr="003A1174">
        <w:rPr>
          <w:rFonts w:ascii="Garamond" w:hAnsi="Garamond" w:cs="Arial"/>
          <w:color w:val="auto"/>
          <w:sz w:val="24"/>
          <w:szCs w:val="24"/>
          <w:lang w:val="pt-PT"/>
        </w:rPr>
        <w:t>quer na perseguição dos responsáveis</w:t>
      </w:r>
      <w:r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 xml:space="preserve">pela </w:t>
      </w:r>
      <w:r w:rsidR="00524936" w:rsidRPr="003A1174">
        <w:rPr>
          <w:rFonts w:ascii="Garamond" w:hAnsi="Garamond" w:cs="Arial"/>
          <w:color w:val="auto"/>
          <w:sz w:val="24"/>
          <w:szCs w:val="24"/>
          <w:lang w:val="pt-PT"/>
        </w:rPr>
        <w:t>mesma</w:t>
      </w:r>
      <w:r w:rsidRPr="003A1174">
        <w:rPr>
          <w:rFonts w:ascii="Garamond" w:hAnsi="Garamond" w:cs="Arial"/>
          <w:color w:val="auto"/>
          <w:sz w:val="24"/>
          <w:szCs w:val="24"/>
          <w:lang w:val="pt-PT"/>
        </w:rPr>
        <w:t xml:space="preserve"> </w:t>
      </w:r>
      <w:r w:rsidR="00863197" w:rsidRPr="003A1174">
        <w:rPr>
          <w:rFonts w:ascii="Garamond" w:hAnsi="Garamond" w:cs="Arial"/>
          <w:color w:val="auto"/>
          <w:sz w:val="24"/>
          <w:szCs w:val="24"/>
          <w:lang w:val="pt-PT"/>
        </w:rPr>
        <w:t>quando</w:t>
      </w:r>
      <w:r w:rsidRPr="003A1174">
        <w:rPr>
          <w:rFonts w:ascii="Garamond" w:hAnsi="Garamond" w:cs="Arial"/>
          <w:color w:val="auto"/>
          <w:sz w:val="24"/>
          <w:szCs w:val="24"/>
          <w:lang w:val="pt-PT"/>
        </w:rPr>
        <w:t xml:space="preserve"> e</w:t>
      </w:r>
      <w:r w:rsidR="00BE3890" w:rsidRPr="003A1174">
        <w:rPr>
          <w:rFonts w:ascii="Garamond" w:hAnsi="Garamond" w:cs="Arial"/>
          <w:color w:val="auto"/>
          <w:sz w:val="24"/>
          <w:szCs w:val="24"/>
          <w:lang w:val="pt-PT"/>
        </w:rPr>
        <w:t>st</w:t>
      </w:r>
      <w:r w:rsidRPr="003A1174">
        <w:rPr>
          <w:rFonts w:ascii="Garamond" w:hAnsi="Garamond" w:cs="Arial"/>
          <w:color w:val="auto"/>
          <w:sz w:val="24"/>
          <w:szCs w:val="24"/>
          <w:lang w:val="pt-PT"/>
        </w:rPr>
        <w:t xml:space="preserve">a </w:t>
      </w:r>
      <w:r w:rsidR="006F7276" w:rsidRPr="003A1174">
        <w:rPr>
          <w:rFonts w:ascii="Garamond" w:hAnsi="Garamond" w:cs="Arial"/>
          <w:color w:val="auto"/>
          <w:sz w:val="24"/>
          <w:szCs w:val="24"/>
          <w:lang w:val="pt-PT"/>
        </w:rPr>
        <w:t xml:space="preserve">tiver </w:t>
      </w:r>
      <w:r w:rsidRPr="003A1174">
        <w:rPr>
          <w:rFonts w:ascii="Garamond" w:hAnsi="Garamond" w:cs="Arial"/>
          <w:color w:val="auto"/>
          <w:sz w:val="24"/>
          <w:szCs w:val="24"/>
          <w:lang w:val="pt-PT"/>
        </w:rPr>
        <w:t>oc</w:t>
      </w:r>
      <w:r w:rsidR="00062DE7" w:rsidRPr="003A1174">
        <w:rPr>
          <w:rFonts w:ascii="Garamond" w:hAnsi="Garamond" w:cs="Arial"/>
          <w:color w:val="auto"/>
          <w:sz w:val="24"/>
          <w:szCs w:val="24"/>
          <w:lang w:val="pt-PT"/>
        </w:rPr>
        <w:t>o</w:t>
      </w:r>
      <w:r w:rsidRPr="003A1174">
        <w:rPr>
          <w:rFonts w:ascii="Garamond" w:hAnsi="Garamond" w:cs="Arial"/>
          <w:color w:val="auto"/>
          <w:sz w:val="24"/>
          <w:szCs w:val="24"/>
          <w:lang w:val="pt-PT"/>
        </w:rPr>
        <w:t>rrido.</w:t>
      </w:r>
    </w:p>
    <w:p w:rsidR="00A132B3" w:rsidRPr="003A1174" w:rsidRDefault="00062DE7" w:rsidP="008719D4">
      <w:pPr>
        <w:pStyle w:val="Prrafodelista"/>
        <w:numPr>
          <w:ilvl w:val="0"/>
          <w:numId w:val="11"/>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referido </w:t>
      </w:r>
      <w:r w:rsidR="00A132B3" w:rsidRPr="003A1174">
        <w:rPr>
          <w:rFonts w:ascii="Garamond" w:hAnsi="Garamond" w:cs="Arial"/>
          <w:color w:val="auto"/>
          <w:sz w:val="24"/>
          <w:szCs w:val="24"/>
          <w:lang w:val="pt-PT"/>
        </w:rPr>
        <w:t>cuidado objetivo o</w:t>
      </w:r>
      <w:r w:rsidRPr="003A1174">
        <w:rPr>
          <w:rFonts w:ascii="Garamond" w:hAnsi="Garamond" w:cs="Arial"/>
          <w:color w:val="auto"/>
          <w:sz w:val="24"/>
          <w:szCs w:val="24"/>
          <w:lang w:val="pt-PT"/>
        </w:rPr>
        <w:t>u a</w:t>
      </w:r>
      <w:r w:rsidR="00A132B3" w:rsidRPr="003A1174">
        <w:rPr>
          <w:rFonts w:ascii="Garamond" w:hAnsi="Garamond" w:cs="Arial"/>
          <w:color w:val="auto"/>
          <w:sz w:val="24"/>
          <w:szCs w:val="24"/>
          <w:lang w:val="pt-PT"/>
        </w:rPr>
        <w:t xml:space="preserve"> perse</w:t>
      </w:r>
      <w:r w:rsidRPr="003A1174">
        <w:rPr>
          <w:rFonts w:ascii="Garamond" w:hAnsi="Garamond" w:cs="Arial"/>
          <w:color w:val="auto"/>
          <w:sz w:val="24"/>
          <w:szCs w:val="24"/>
          <w:lang w:val="pt-PT"/>
        </w:rPr>
        <w:t>guição subseq</w:t>
      </w:r>
      <w:r w:rsidR="00A132B3" w:rsidRPr="003A1174">
        <w:rPr>
          <w:rFonts w:ascii="Garamond" w:hAnsi="Garamond" w:cs="Arial"/>
          <w:color w:val="auto"/>
          <w:sz w:val="24"/>
          <w:szCs w:val="24"/>
          <w:lang w:val="pt-PT"/>
        </w:rPr>
        <w:t>uente de</w:t>
      </w:r>
      <w:r w:rsidRPr="003A1174">
        <w:rPr>
          <w:rFonts w:ascii="Garamond" w:hAnsi="Garamond" w:cs="Arial"/>
          <w:color w:val="auto"/>
          <w:sz w:val="24"/>
          <w:szCs w:val="24"/>
          <w:lang w:val="pt-PT"/>
        </w:rPr>
        <w:t>vem</w:t>
      </w:r>
      <w:r w:rsidR="00A132B3" w:rsidRPr="003A1174">
        <w:rPr>
          <w:rFonts w:ascii="Garamond" w:hAnsi="Garamond" w:cs="Arial"/>
          <w:color w:val="auto"/>
          <w:sz w:val="24"/>
          <w:szCs w:val="24"/>
          <w:lang w:val="pt-PT"/>
        </w:rPr>
        <w:t xml:space="preserve"> dirigir</w:t>
      </w:r>
      <w:r w:rsidRPr="003A1174">
        <w:rPr>
          <w:rFonts w:ascii="Garamond" w:hAnsi="Garamond" w:cs="Arial"/>
          <w:color w:val="auto"/>
          <w:sz w:val="24"/>
          <w:szCs w:val="24"/>
          <w:lang w:val="pt-PT"/>
        </w:rPr>
        <w:t>-</w:t>
      </w:r>
      <w:r w:rsidR="00A132B3" w:rsidRPr="003A1174">
        <w:rPr>
          <w:rFonts w:ascii="Garamond" w:hAnsi="Garamond" w:cs="Arial"/>
          <w:color w:val="auto"/>
          <w:sz w:val="24"/>
          <w:szCs w:val="24"/>
          <w:lang w:val="pt-PT"/>
        </w:rPr>
        <w:t xml:space="preserve">se, </w:t>
      </w:r>
      <w:r w:rsidRPr="003A1174">
        <w:rPr>
          <w:rFonts w:ascii="Garamond" w:hAnsi="Garamond" w:cs="Arial"/>
          <w:color w:val="auto"/>
          <w:sz w:val="24"/>
          <w:szCs w:val="24"/>
          <w:lang w:val="pt-PT"/>
        </w:rPr>
        <w:t>num sentido ampl</w:t>
      </w:r>
      <w:r w:rsidR="00A132B3"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 xml:space="preserve">para a salvaguarda de bens ou </w:t>
      </w:r>
      <w:r w:rsidR="00A132B3" w:rsidRPr="003A1174">
        <w:rPr>
          <w:rFonts w:ascii="Garamond" w:hAnsi="Garamond" w:cs="Arial"/>
          <w:color w:val="auto"/>
          <w:sz w:val="24"/>
          <w:szCs w:val="24"/>
          <w:lang w:val="pt-PT"/>
        </w:rPr>
        <w:t>interes</w:t>
      </w:r>
      <w:r w:rsidRPr="003A1174">
        <w:rPr>
          <w:rFonts w:ascii="Garamond" w:hAnsi="Garamond" w:cs="Arial"/>
          <w:color w:val="auto"/>
          <w:sz w:val="24"/>
          <w:szCs w:val="24"/>
          <w:lang w:val="pt-PT"/>
        </w:rPr>
        <w:t>s</w:t>
      </w:r>
      <w:r w:rsidR="00A132B3" w:rsidRPr="003A1174">
        <w:rPr>
          <w:rFonts w:ascii="Garamond" w:hAnsi="Garamond" w:cs="Arial"/>
          <w:color w:val="auto"/>
          <w:sz w:val="24"/>
          <w:szCs w:val="24"/>
          <w:lang w:val="pt-PT"/>
        </w:rPr>
        <w:t xml:space="preserve">es protegidos </w:t>
      </w:r>
      <w:r w:rsidR="00B947F9" w:rsidRPr="003A1174">
        <w:rPr>
          <w:rFonts w:ascii="Garamond" w:hAnsi="Garamond" w:cs="Arial"/>
          <w:color w:val="auto"/>
          <w:sz w:val="24"/>
          <w:szCs w:val="24"/>
          <w:lang w:val="pt-PT"/>
        </w:rPr>
        <w:t xml:space="preserve">por </w:t>
      </w:r>
      <w:r w:rsidR="002F62B0" w:rsidRPr="003A1174">
        <w:rPr>
          <w:rFonts w:ascii="Garamond" w:hAnsi="Garamond" w:cs="Arial"/>
          <w:color w:val="auto"/>
          <w:sz w:val="24"/>
          <w:szCs w:val="24"/>
          <w:lang w:val="pt-PT"/>
        </w:rPr>
        <w:t>obrigações</w:t>
      </w:r>
      <w:r w:rsidR="00A132B3"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internacionais</w:t>
      </w:r>
      <w:r w:rsidR="00A132B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per</w:t>
      </w:r>
      <w:r w:rsidR="00A132B3" w:rsidRPr="003A1174">
        <w:rPr>
          <w:rFonts w:ascii="Garamond" w:hAnsi="Garamond" w:cs="Arial"/>
          <w:color w:val="auto"/>
          <w:sz w:val="24"/>
          <w:szCs w:val="24"/>
          <w:lang w:val="pt-PT"/>
        </w:rPr>
        <w:t xml:space="preserve">ante </w:t>
      </w:r>
      <w:r w:rsidR="007342D9" w:rsidRPr="003A1174">
        <w:rPr>
          <w:rFonts w:ascii="Garamond" w:hAnsi="Garamond" w:cs="Arial"/>
          <w:color w:val="auto"/>
          <w:sz w:val="24"/>
          <w:szCs w:val="24"/>
          <w:lang w:val="pt-PT"/>
        </w:rPr>
        <w:t>atitudes</w:t>
      </w:r>
      <w:r w:rsidR="00A132B3" w:rsidRPr="003A1174">
        <w:rPr>
          <w:rFonts w:ascii="Garamond" w:hAnsi="Garamond" w:cs="Arial"/>
          <w:color w:val="auto"/>
          <w:sz w:val="24"/>
          <w:szCs w:val="24"/>
          <w:lang w:val="pt-PT"/>
        </w:rPr>
        <w:t xml:space="preserve"> lesivas </w:t>
      </w:r>
      <w:r w:rsidRPr="003A1174">
        <w:rPr>
          <w:rFonts w:ascii="Garamond" w:hAnsi="Garamond" w:cs="Arial"/>
          <w:color w:val="auto"/>
          <w:sz w:val="24"/>
          <w:szCs w:val="24"/>
          <w:lang w:val="pt-PT"/>
        </w:rPr>
        <w:t>d</w:t>
      </w:r>
      <w:r w:rsidR="00A132B3" w:rsidRPr="003A1174">
        <w:rPr>
          <w:rFonts w:ascii="Garamond" w:hAnsi="Garamond" w:cs="Arial"/>
          <w:color w:val="auto"/>
          <w:sz w:val="24"/>
          <w:szCs w:val="24"/>
          <w:lang w:val="pt-PT"/>
        </w:rPr>
        <w:t xml:space="preserve">os </w:t>
      </w:r>
      <w:r w:rsidR="00886D6A" w:rsidRPr="003A1174">
        <w:rPr>
          <w:rFonts w:ascii="Garamond" w:hAnsi="Garamond" w:cs="Arial"/>
          <w:color w:val="auto"/>
          <w:sz w:val="24"/>
          <w:szCs w:val="24"/>
          <w:lang w:val="pt-PT"/>
        </w:rPr>
        <w:t>direito</w:t>
      </w:r>
      <w:r w:rsidR="00A132B3" w:rsidRPr="003A1174">
        <w:rPr>
          <w:rFonts w:ascii="Garamond" w:hAnsi="Garamond" w:cs="Arial"/>
          <w:color w:val="auto"/>
          <w:sz w:val="24"/>
          <w:szCs w:val="24"/>
          <w:lang w:val="pt-PT"/>
        </w:rPr>
        <w:t xml:space="preserve">s </w:t>
      </w:r>
      <w:r w:rsidR="00CA633E" w:rsidRPr="003A1174">
        <w:rPr>
          <w:rFonts w:ascii="Garamond" w:hAnsi="Garamond" w:cs="Arial"/>
          <w:color w:val="auto"/>
          <w:sz w:val="24"/>
          <w:szCs w:val="24"/>
          <w:lang w:val="pt-PT"/>
        </w:rPr>
        <w:t>fundamentais</w:t>
      </w:r>
      <w:r w:rsidR="00A132B3" w:rsidRPr="003A1174">
        <w:rPr>
          <w:rFonts w:ascii="Garamond" w:hAnsi="Garamond" w:cs="Arial"/>
          <w:color w:val="auto"/>
          <w:sz w:val="24"/>
          <w:szCs w:val="24"/>
          <w:lang w:val="pt-PT"/>
        </w:rPr>
        <w:t>.</w:t>
      </w:r>
    </w:p>
    <w:p w:rsidR="00A132B3" w:rsidRPr="003A1174" w:rsidRDefault="00062DE7" w:rsidP="008719D4">
      <w:pPr>
        <w:pStyle w:val="NormalWeb"/>
        <w:jc w:val="both"/>
        <w:rPr>
          <w:rFonts w:ascii="Garamond" w:hAnsi="Garamond" w:cs="Arial"/>
          <w:lang w:val="pt-PT"/>
        </w:rPr>
      </w:pPr>
      <w:r w:rsidRPr="003A1174">
        <w:rPr>
          <w:rFonts w:ascii="Garamond" w:hAnsi="Garamond" w:cs="Arial"/>
          <w:lang w:val="pt-PT"/>
        </w:rPr>
        <w:t>É i</w:t>
      </w:r>
      <w:r w:rsidR="00A132B3" w:rsidRPr="003A1174">
        <w:rPr>
          <w:rFonts w:ascii="Garamond" w:hAnsi="Garamond" w:cs="Arial"/>
          <w:lang w:val="pt-PT"/>
        </w:rPr>
        <w:t xml:space="preserve">mportante </w:t>
      </w:r>
      <w:r w:rsidR="00B362DF">
        <w:rPr>
          <w:rFonts w:ascii="Garamond" w:hAnsi="Garamond" w:cs="Arial"/>
          <w:lang w:val="pt-PT"/>
        </w:rPr>
        <w:t xml:space="preserve">frisar </w:t>
      </w:r>
      <w:r w:rsidR="00A132B3" w:rsidRPr="003A1174">
        <w:rPr>
          <w:rFonts w:ascii="Garamond" w:hAnsi="Garamond" w:cs="Arial"/>
          <w:lang w:val="pt-PT"/>
        </w:rPr>
        <w:t>que</w:t>
      </w:r>
      <w:r w:rsidR="00D76C04">
        <w:rPr>
          <w:rFonts w:ascii="Garamond" w:hAnsi="Garamond" w:cs="Arial"/>
          <w:lang w:val="pt-PT"/>
        </w:rPr>
        <w:t>,</w:t>
      </w:r>
      <w:r w:rsidR="00A132B3" w:rsidRPr="003A1174">
        <w:rPr>
          <w:rFonts w:ascii="Garamond" w:hAnsi="Garamond" w:cs="Arial"/>
          <w:lang w:val="pt-PT"/>
        </w:rPr>
        <w:t xml:space="preserve"> </w:t>
      </w:r>
      <w:r w:rsidR="00327155">
        <w:rPr>
          <w:rFonts w:ascii="Garamond" w:hAnsi="Garamond" w:cs="Arial"/>
          <w:lang w:val="pt-PT"/>
        </w:rPr>
        <w:t xml:space="preserve">a </w:t>
      </w:r>
      <w:r w:rsidR="00AF192F" w:rsidRPr="003A1174">
        <w:rPr>
          <w:rFonts w:ascii="Garamond" w:hAnsi="Garamond" w:cs="Arial"/>
          <w:lang w:val="pt-PT"/>
        </w:rPr>
        <w:t>obrigação</w:t>
      </w:r>
      <w:r w:rsidR="00A132B3" w:rsidRPr="003A1174">
        <w:rPr>
          <w:rFonts w:ascii="Garamond" w:hAnsi="Garamond" w:cs="Arial"/>
          <w:lang w:val="pt-PT"/>
        </w:rPr>
        <w:t xml:space="preserve"> estatal de </w:t>
      </w:r>
      <w:r w:rsidR="00CF4C35" w:rsidRPr="003A1174">
        <w:rPr>
          <w:rFonts w:ascii="Garamond" w:hAnsi="Garamond" w:cs="Arial"/>
          <w:lang w:val="pt-PT"/>
        </w:rPr>
        <w:t>Diligência Devida</w:t>
      </w:r>
      <w:r w:rsidR="00D76C04">
        <w:rPr>
          <w:rFonts w:ascii="Garamond" w:hAnsi="Garamond" w:cs="Arial"/>
          <w:lang w:val="pt-PT"/>
        </w:rPr>
        <w:t>,</w:t>
      </w:r>
      <w:r w:rsidR="00A132B3" w:rsidRPr="003A1174">
        <w:rPr>
          <w:rFonts w:ascii="Garamond" w:hAnsi="Garamond" w:cs="Arial"/>
          <w:lang w:val="pt-PT"/>
        </w:rPr>
        <w:t xml:space="preserve"> </w:t>
      </w:r>
      <w:r w:rsidRPr="003A1174">
        <w:rPr>
          <w:rFonts w:ascii="Garamond" w:hAnsi="Garamond" w:cs="Arial"/>
          <w:lang w:val="pt-PT"/>
        </w:rPr>
        <w:t>é exigível</w:t>
      </w:r>
      <w:r w:rsidR="00A132B3" w:rsidRPr="003A1174">
        <w:rPr>
          <w:rFonts w:ascii="Garamond" w:hAnsi="Garamond" w:cs="Arial"/>
          <w:lang w:val="pt-PT"/>
        </w:rPr>
        <w:t xml:space="preserve"> s</w:t>
      </w:r>
      <w:r w:rsidRPr="003A1174">
        <w:rPr>
          <w:rFonts w:ascii="Garamond" w:hAnsi="Garamond" w:cs="Arial"/>
          <w:lang w:val="pt-PT"/>
        </w:rPr>
        <w:t>e</w:t>
      </w:r>
      <w:r w:rsidR="00A132B3" w:rsidRPr="003A1174">
        <w:rPr>
          <w:rFonts w:ascii="Garamond" w:hAnsi="Garamond" w:cs="Arial"/>
          <w:lang w:val="pt-PT"/>
        </w:rPr>
        <w:t xml:space="preserve"> interv</w:t>
      </w:r>
      <w:r w:rsidRPr="003A1174">
        <w:rPr>
          <w:rFonts w:ascii="Garamond" w:hAnsi="Garamond" w:cs="Arial"/>
          <w:lang w:val="pt-PT"/>
        </w:rPr>
        <w:t xml:space="preserve">êm na </w:t>
      </w:r>
      <w:r w:rsidR="00B947F9" w:rsidRPr="003A1174">
        <w:rPr>
          <w:rFonts w:ascii="Garamond" w:hAnsi="Garamond" w:cs="Arial"/>
          <w:lang w:val="pt-PT"/>
        </w:rPr>
        <w:t>violação</w:t>
      </w:r>
      <w:r w:rsidR="00A132B3" w:rsidRPr="003A1174">
        <w:rPr>
          <w:rFonts w:ascii="Garamond" w:hAnsi="Garamond" w:cs="Arial"/>
          <w:lang w:val="pt-PT"/>
        </w:rPr>
        <w:t xml:space="preserve"> de </w:t>
      </w:r>
      <w:r w:rsidR="00886D6A" w:rsidRPr="003A1174">
        <w:rPr>
          <w:rFonts w:ascii="Garamond" w:hAnsi="Garamond" w:cs="Arial"/>
          <w:lang w:val="pt-PT"/>
        </w:rPr>
        <w:t>direito</w:t>
      </w:r>
      <w:r w:rsidR="00A132B3" w:rsidRPr="003A1174">
        <w:rPr>
          <w:rFonts w:ascii="Garamond" w:hAnsi="Garamond" w:cs="Arial"/>
          <w:lang w:val="pt-PT"/>
        </w:rPr>
        <w:t>s</w:t>
      </w:r>
      <w:r w:rsidR="00327155">
        <w:rPr>
          <w:rFonts w:ascii="Garamond" w:hAnsi="Garamond" w:cs="Arial"/>
          <w:lang w:val="pt-PT"/>
        </w:rPr>
        <w:t>,</w:t>
      </w:r>
      <w:r w:rsidR="00A132B3" w:rsidRPr="003A1174">
        <w:rPr>
          <w:rFonts w:ascii="Garamond" w:hAnsi="Garamond" w:cs="Arial"/>
          <w:lang w:val="pt-PT"/>
        </w:rPr>
        <w:t xml:space="preserve"> </w:t>
      </w:r>
      <w:r w:rsidR="00561AAC" w:rsidRPr="003A1174">
        <w:rPr>
          <w:rFonts w:ascii="Garamond" w:hAnsi="Garamond" w:cs="Arial"/>
          <w:lang w:val="pt-PT"/>
        </w:rPr>
        <w:t xml:space="preserve">tanto </w:t>
      </w:r>
      <w:r w:rsidR="00327155">
        <w:rPr>
          <w:rFonts w:ascii="Garamond" w:hAnsi="Garamond" w:cs="Arial"/>
          <w:lang w:val="pt-PT"/>
        </w:rPr>
        <w:t xml:space="preserve">os </w:t>
      </w:r>
      <w:r w:rsidR="00A132B3" w:rsidRPr="003A1174">
        <w:rPr>
          <w:rFonts w:ascii="Garamond" w:hAnsi="Garamond" w:cs="Arial"/>
          <w:lang w:val="pt-PT"/>
        </w:rPr>
        <w:t>atores estata</w:t>
      </w:r>
      <w:r w:rsidRPr="003A1174">
        <w:rPr>
          <w:rFonts w:ascii="Garamond" w:hAnsi="Garamond" w:cs="Arial"/>
          <w:lang w:val="pt-PT"/>
        </w:rPr>
        <w:t>is</w:t>
      </w:r>
      <w:r w:rsidR="00327155">
        <w:rPr>
          <w:rFonts w:ascii="Garamond" w:hAnsi="Garamond" w:cs="Arial"/>
          <w:lang w:val="pt-PT"/>
        </w:rPr>
        <w:t>,</w:t>
      </w:r>
      <w:r w:rsidRPr="003A1174">
        <w:rPr>
          <w:rFonts w:ascii="Garamond" w:hAnsi="Garamond" w:cs="Arial"/>
          <w:lang w:val="pt-PT"/>
        </w:rPr>
        <w:t xml:space="preserve"> como </w:t>
      </w:r>
      <w:r w:rsidR="00327155">
        <w:rPr>
          <w:rFonts w:ascii="Garamond" w:hAnsi="Garamond" w:cs="Arial"/>
          <w:lang w:val="pt-PT"/>
        </w:rPr>
        <w:t xml:space="preserve">os </w:t>
      </w:r>
      <w:r w:rsidRPr="003A1174">
        <w:rPr>
          <w:rFonts w:ascii="Garamond" w:hAnsi="Garamond" w:cs="Arial"/>
          <w:lang w:val="pt-PT"/>
        </w:rPr>
        <w:t>a</w:t>
      </w:r>
      <w:r w:rsidR="00A132B3" w:rsidRPr="003A1174">
        <w:rPr>
          <w:rFonts w:ascii="Garamond" w:hAnsi="Garamond" w:cs="Arial"/>
          <w:lang w:val="pt-PT"/>
        </w:rPr>
        <w:t>tores n</w:t>
      </w:r>
      <w:r w:rsidRPr="003A1174">
        <w:rPr>
          <w:rFonts w:ascii="Garamond" w:hAnsi="Garamond" w:cs="Arial"/>
          <w:lang w:val="pt-PT"/>
        </w:rPr>
        <w:t>ã</w:t>
      </w:r>
      <w:r w:rsidR="00A132B3" w:rsidRPr="003A1174">
        <w:rPr>
          <w:rFonts w:ascii="Garamond" w:hAnsi="Garamond" w:cs="Arial"/>
          <w:lang w:val="pt-PT"/>
        </w:rPr>
        <w:t>o estata</w:t>
      </w:r>
      <w:r w:rsidRPr="003A1174">
        <w:rPr>
          <w:rFonts w:ascii="Garamond" w:hAnsi="Garamond" w:cs="Arial"/>
          <w:lang w:val="pt-PT"/>
        </w:rPr>
        <w:t>is</w:t>
      </w:r>
      <w:r w:rsidR="00A132B3" w:rsidRPr="003A1174">
        <w:rPr>
          <w:rFonts w:ascii="Garamond" w:hAnsi="Garamond" w:cs="Arial"/>
          <w:lang w:val="pt-PT"/>
        </w:rPr>
        <w:t xml:space="preserve">. </w:t>
      </w:r>
      <w:r w:rsidR="00D76C04">
        <w:rPr>
          <w:rFonts w:ascii="Garamond" w:hAnsi="Garamond" w:cs="Arial"/>
          <w:lang w:val="pt-PT"/>
        </w:rPr>
        <w:t xml:space="preserve">A finalidade </w:t>
      </w:r>
      <w:r w:rsidRPr="003A1174">
        <w:rPr>
          <w:rFonts w:ascii="Garamond" w:hAnsi="Garamond" w:cs="Arial"/>
          <w:lang w:val="pt-PT"/>
        </w:rPr>
        <w:t>d</w:t>
      </w:r>
      <w:r w:rsidR="00A132B3" w:rsidRPr="003A1174">
        <w:rPr>
          <w:rFonts w:ascii="Garamond" w:hAnsi="Garamond" w:cs="Arial"/>
          <w:lang w:val="pt-PT"/>
        </w:rPr>
        <w:t xml:space="preserve">este </w:t>
      </w:r>
      <w:r w:rsidR="006D0543" w:rsidRPr="003A1174">
        <w:rPr>
          <w:rFonts w:ascii="Garamond" w:hAnsi="Garamond" w:cs="Arial"/>
          <w:lang w:val="pt-PT"/>
        </w:rPr>
        <w:t>princípio</w:t>
      </w:r>
      <w:r w:rsidR="00A132B3" w:rsidRPr="003A1174">
        <w:rPr>
          <w:rFonts w:ascii="Garamond" w:hAnsi="Garamond" w:cs="Arial"/>
          <w:lang w:val="pt-PT"/>
        </w:rPr>
        <w:t xml:space="preserve"> </w:t>
      </w:r>
      <w:r w:rsidRPr="003A1174">
        <w:rPr>
          <w:rFonts w:ascii="Garamond" w:hAnsi="Garamond" w:cs="Arial"/>
          <w:lang w:val="pt-PT"/>
        </w:rPr>
        <w:t xml:space="preserve">é conseguir o </w:t>
      </w:r>
      <w:r w:rsidR="00D96FD0" w:rsidRPr="003A1174">
        <w:rPr>
          <w:rFonts w:ascii="Garamond" w:hAnsi="Garamond" w:cs="Arial"/>
          <w:lang w:val="pt-PT"/>
        </w:rPr>
        <w:t>cumprimento</w:t>
      </w:r>
      <w:r w:rsidR="00A132B3" w:rsidRPr="003A1174">
        <w:rPr>
          <w:rFonts w:ascii="Garamond" w:hAnsi="Garamond" w:cs="Arial"/>
          <w:lang w:val="pt-PT"/>
        </w:rPr>
        <w:t xml:space="preserve"> </w:t>
      </w:r>
      <w:r w:rsidR="00802ACC" w:rsidRPr="003A1174">
        <w:rPr>
          <w:rFonts w:ascii="Garamond" w:hAnsi="Garamond" w:cs="Arial"/>
          <w:lang w:val="pt-PT"/>
        </w:rPr>
        <w:t>efetivo</w:t>
      </w:r>
      <w:r w:rsidR="00A132B3" w:rsidRPr="003A1174">
        <w:rPr>
          <w:rFonts w:ascii="Garamond" w:hAnsi="Garamond" w:cs="Arial"/>
          <w:lang w:val="pt-PT"/>
        </w:rPr>
        <w:t xml:space="preserve"> dos </w:t>
      </w:r>
      <w:r w:rsidR="00886D6A" w:rsidRPr="003A1174">
        <w:rPr>
          <w:rFonts w:ascii="Garamond" w:hAnsi="Garamond" w:cs="Arial"/>
          <w:lang w:val="pt-PT"/>
        </w:rPr>
        <w:t>direito</w:t>
      </w:r>
      <w:r w:rsidR="00A132B3" w:rsidRPr="003A1174">
        <w:rPr>
          <w:rFonts w:ascii="Garamond" w:hAnsi="Garamond" w:cs="Arial"/>
          <w:lang w:val="pt-PT"/>
        </w:rPr>
        <w:t xml:space="preserve">s humanos. </w:t>
      </w:r>
    </w:p>
    <w:p w:rsidR="00182E1F" w:rsidRPr="003A1174" w:rsidRDefault="00A56F43" w:rsidP="008719D4">
      <w:pPr>
        <w:pStyle w:val="NormalWeb"/>
        <w:jc w:val="both"/>
        <w:rPr>
          <w:rFonts w:ascii="Garamond" w:hAnsi="Garamond" w:cs="Arial"/>
        </w:rPr>
      </w:pPr>
      <w:r w:rsidRPr="003A1174">
        <w:rPr>
          <w:rFonts w:ascii="Garamond" w:eastAsia="MS Mincho" w:hAnsi="Garamond" w:cstheme="minorBidi"/>
          <w:noProof/>
          <w:lang w:val="es-PE" w:eastAsia="es-PE"/>
        </w:rPr>
        <mc:AlternateContent>
          <mc:Choice Requires="wps">
            <w:drawing>
              <wp:anchor distT="0" distB="0" distL="114300" distR="114300" simplePos="0" relativeHeight="251663360" behindDoc="0" locked="0" layoutInCell="1" allowOverlap="1" wp14:anchorId="7AF3C10C" wp14:editId="7441EA02">
                <wp:simplePos x="0" y="0"/>
                <wp:positionH relativeFrom="column">
                  <wp:posOffset>-349980</wp:posOffset>
                </wp:positionH>
                <wp:positionV relativeFrom="paragraph">
                  <wp:posOffset>1695572</wp:posOffset>
                </wp:positionV>
                <wp:extent cx="1419367" cy="1228299"/>
                <wp:effectExtent l="0" t="0" r="28575" b="10160"/>
                <wp:wrapNone/>
                <wp:docPr id="5"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367" cy="1228299"/>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rsidR="007B3401" w:rsidRPr="00062DE7" w:rsidRDefault="007B3401" w:rsidP="00182E1F">
                            <w:pPr>
                              <w:pStyle w:val="NormalWeb"/>
                              <w:spacing w:before="0" w:beforeAutospacing="0" w:after="0"/>
                              <w:rPr>
                                <w:sz w:val="20"/>
                                <w:szCs w:val="20"/>
                                <w:lang w:val="pt-PT"/>
                              </w:rPr>
                            </w:pPr>
                            <w:r w:rsidRPr="00062DE7">
                              <w:rPr>
                                <w:rFonts w:asciiTheme="minorHAnsi" w:hAnsi="Calibri" w:cstheme="minorBidi"/>
                                <w:color w:val="000000" w:themeColor="dark1"/>
                                <w:kern w:val="24"/>
                                <w:sz w:val="20"/>
                                <w:szCs w:val="20"/>
                                <w:lang w:val="pt-PT"/>
                              </w:rPr>
                              <w:t>Normas, instituições, políticas públicas, planos de ação, protocolos de atuação, etc. que imp</w:t>
                            </w:r>
                            <w:r>
                              <w:rPr>
                                <w:rFonts w:asciiTheme="minorHAnsi" w:hAnsi="Calibri" w:cstheme="minorBidi"/>
                                <w:color w:val="000000" w:themeColor="dark1"/>
                                <w:kern w:val="24"/>
                                <w:sz w:val="20"/>
                                <w:szCs w:val="20"/>
                                <w:lang w:val="pt-PT"/>
                              </w:rPr>
                              <w:t>eçam a violê</w:t>
                            </w:r>
                            <w:r w:rsidRPr="00062DE7">
                              <w:rPr>
                                <w:rFonts w:asciiTheme="minorHAnsi" w:hAnsi="Calibri" w:cstheme="minorBidi"/>
                                <w:color w:val="000000" w:themeColor="dark1"/>
                                <w:kern w:val="24"/>
                                <w:sz w:val="20"/>
                                <w:szCs w:val="20"/>
                                <w:lang w:val="pt-PT"/>
                              </w:rPr>
                              <w:t>ncia contra</w:t>
                            </w:r>
                            <w:r>
                              <w:rPr>
                                <w:rFonts w:asciiTheme="minorHAnsi" w:hAnsi="Calibri" w:cstheme="minorBidi"/>
                                <w:color w:val="000000" w:themeColor="dark1"/>
                                <w:kern w:val="24"/>
                                <w:sz w:val="20"/>
                                <w:szCs w:val="20"/>
                                <w:lang w:val="pt-PT"/>
                              </w:rPr>
                              <w:t xml:space="preserve"> a mulh</w:t>
                            </w:r>
                            <w:r w:rsidRPr="00062DE7">
                              <w:rPr>
                                <w:rFonts w:asciiTheme="minorHAnsi" w:hAnsi="Calibri" w:cstheme="minorBidi"/>
                                <w:color w:val="000000" w:themeColor="dark1"/>
                                <w:kern w:val="24"/>
                                <w:sz w:val="20"/>
                                <w:szCs w:val="20"/>
                                <w:lang w:val="pt-PT"/>
                              </w:rPr>
                              <w:t>er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27.55pt;margin-top:133.5pt;width:111.75pt;height:9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" fillcolor="white [3201]" strokecolor="white [3212]" strokeweight="2pt">
                <v:path arrowok="t"/>
                <v:textbox>
                  <w:txbxContent>
                    <w:p w:rsidR="007B3401" w:rsidRPr="00062DE7" w:rsidRDefault="007B3401" w:rsidP="00182E1F">
                      <w:pPr>
                        <w:pStyle w:val="NormalWeb"/>
                        <w:spacing w:before="0" w:beforeAutospacing="0" w:after="0"/>
                        <w:rPr>
                          <w:sz w:val="20"/>
                          <w:szCs w:val="20"/>
                          <w:lang w:val="pt-PT"/>
                        </w:rPr>
                      </w:pPr>
                      <w:r w:rsidRPr="00062DE7">
                        <w:rPr>
                          <w:rFonts w:asciiTheme="minorHAnsi" w:hAnsi="Calibri" w:cstheme="minorBidi"/>
                          <w:color w:val="000000" w:themeColor="dark1"/>
                          <w:kern w:val="24"/>
                          <w:sz w:val="20"/>
                          <w:szCs w:val="20"/>
                          <w:lang w:val="pt-PT"/>
                        </w:rPr>
                        <w:t>Normas, instituições, políticas públicas, planos de ação, protocolos de atuação, etc. que imp</w:t>
                      </w:r>
                      <w:r>
                        <w:rPr>
                          <w:rFonts w:asciiTheme="minorHAnsi" w:hAnsi="Calibri" w:cstheme="minorBidi"/>
                          <w:color w:val="000000" w:themeColor="dark1"/>
                          <w:kern w:val="24"/>
                          <w:sz w:val="20"/>
                          <w:szCs w:val="20"/>
                          <w:lang w:val="pt-PT"/>
                        </w:rPr>
                        <w:t>eçam a violê</w:t>
                      </w:r>
                      <w:r w:rsidRPr="00062DE7">
                        <w:rPr>
                          <w:rFonts w:asciiTheme="minorHAnsi" w:hAnsi="Calibri" w:cstheme="minorBidi"/>
                          <w:color w:val="000000" w:themeColor="dark1"/>
                          <w:kern w:val="24"/>
                          <w:sz w:val="20"/>
                          <w:szCs w:val="20"/>
                          <w:lang w:val="pt-PT"/>
                        </w:rPr>
                        <w:t>ncia contra</w:t>
                      </w:r>
                      <w:r>
                        <w:rPr>
                          <w:rFonts w:asciiTheme="minorHAnsi" w:hAnsi="Calibri" w:cstheme="minorBidi"/>
                          <w:color w:val="000000" w:themeColor="dark1"/>
                          <w:kern w:val="24"/>
                          <w:sz w:val="20"/>
                          <w:szCs w:val="20"/>
                          <w:lang w:val="pt-PT"/>
                        </w:rPr>
                        <w:t xml:space="preserve"> a mulh</w:t>
                      </w:r>
                      <w:r w:rsidRPr="00062DE7">
                        <w:rPr>
                          <w:rFonts w:asciiTheme="minorHAnsi" w:hAnsi="Calibri" w:cstheme="minorBidi"/>
                          <w:color w:val="000000" w:themeColor="dark1"/>
                          <w:kern w:val="24"/>
                          <w:sz w:val="20"/>
                          <w:szCs w:val="20"/>
                          <w:lang w:val="pt-PT"/>
                        </w:rPr>
                        <w:t>er</w:t>
                      </w:r>
                    </w:p>
                  </w:txbxContent>
                </v:textbox>
              </v:shape>
            </w:pict>
          </mc:Fallback>
        </mc:AlternateContent>
      </w:r>
      <w:r w:rsidRPr="003A1174">
        <w:rPr>
          <w:rFonts w:ascii="Garamond" w:eastAsia="MS Mincho" w:hAnsi="Garamond" w:cstheme="minorBidi"/>
          <w:noProof/>
          <w:lang w:val="es-PE" w:eastAsia="es-PE"/>
        </w:rPr>
        <mc:AlternateContent>
          <mc:Choice Requires="wps">
            <w:drawing>
              <wp:anchor distT="0" distB="0" distL="114300" distR="114300" simplePos="0" relativeHeight="251664384" behindDoc="0" locked="0" layoutInCell="1" allowOverlap="1" wp14:anchorId="1FBB4A49" wp14:editId="6F1D9A39">
                <wp:simplePos x="0" y="0"/>
                <wp:positionH relativeFrom="column">
                  <wp:posOffset>1486535</wp:posOffset>
                </wp:positionH>
                <wp:positionV relativeFrom="paragraph">
                  <wp:posOffset>2924175</wp:posOffset>
                </wp:positionV>
                <wp:extent cx="335280" cy="583565"/>
                <wp:effectExtent l="0" t="19050" r="45720" b="26035"/>
                <wp:wrapNone/>
                <wp:docPr id="9" name="8 Flecha doblada hacia arrib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583565"/>
                        </a:xfrm>
                        <a:prstGeom prst="bentUp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8 Flecha doblada hacia arriba" o:spid="_x0000_s1026" style="position:absolute;margin-left:117.05pt;margin-top:230.25pt;width:26.4pt;height: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35280,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" path="m,499745r209550,l209550,83820r-41910,l251460,r83820,83820l293370,83820r,499745l,583565,,499745xe" fillcolor="white [3201]" strokecolor="#c0504d [3205]" strokeweight="2pt">
                <v:path arrowok="t" o:connecttype="custom" o:connectlocs="0,499745;209550,499745;209550,83820;167640,83820;251460,0;335280,83820;293370,83820;293370,583565;0,583565;0,499745" o:connectangles="0,0,0,0,0,0,0,0,0,0"/>
              </v:shape>
            </w:pict>
          </mc:Fallback>
        </mc:AlternateContent>
      </w:r>
      <w:r w:rsidRPr="003A1174">
        <w:rPr>
          <w:rFonts w:ascii="Garamond" w:hAnsi="Garamond" w:cs="Arial"/>
          <w:noProof/>
          <w:lang w:val="es-PE" w:eastAsia="es-PE"/>
        </w:rPr>
        <mc:AlternateContent>
          <mc:Choice Requires="wps">
            <w:drawing>
              <wp:anchor distT="0" distB="0" distL="114300" distR="114300" simplePos="0" relativeHeight="251662336" behindDoc="0" locked="0" layoutInCell="1" allowOverlap="1" wp14:anchorId="5DB27664" wp14:editId="2274B392">
                <wp:simplePos x="0" y="0"/>
                <wp:positionH relativeFrom="column">
                  <wp:posOffset>4180205</wp:posOffset>
                </wp:positionH>
                <wp:positionV relativeFrom="paragraph">
                  <wp:posOffset>361315</wp:posOffset>
                </wp:positionV>
                <wp:extent cx="1261745" cy="737235"/>
                <wp:effectExtent l="0" t="0" r="14605" b="24765"/>
                <wp:wrapNone/>
                <wp:docPr id="13" name="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737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401" w:rsidRPr="00062DE7" w:rsidRDefault="007B3401" w:rsidP="00182E1F">
                            <w:pPr>
                              <w:jc w:val="center"/>
                              <w:rPr>
                                <w:sz w:val="20"/>
                                <w:szCs w:val="20"/>
                              </w:rPr>
                            </w:pPr>
                            <w:r w:rsidRPr="00062DE7">
                              <w:rPr>
                                <w:sz w:val="20"/>
                                <w:szCs w:val="20"/>
                              </w:rPr>
                              <w:t>Tutela judicial efetiva/acesso à justiça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7" type="#_x0000_t202" style="position:absolute;left:0;text-align:left;margin-left:329.15pt;margin-top:28.45pt;width:99.3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" fillcolor="white [3201]" strokecolor="white [3212]" strokeweight=".5pt">
                <v:path arrowok="t"/>
                <v:textbox>
                  <w:txbxContent>
                    <w:p w:rsidR="007B3401" w:rsidRPr="00062DE7" w:rsidRDefault="007B3401" w:rsidP="00182E1F">
                      <w:pPr>
                        <w:jc w:val="center"/>
                        <w:rPr>
                          <w:sz w:val="20"/>
                          <w:szCs w:val="20"/>
                        </w:rPr>
                      </w:pPr>
                      <w:r w:rsidRPr="00062DE7">
                        <w:rPr>
                          <w:sz w:val="20"/>
                          <w:szCs w:val="20"/>
                        </w:rPr>
                        <w:t>Tutela judicial efetiva/acesso à justiça</w:t>
                      </w:r>
                    </w:p>
                  </w:txbxContent>
                </v:textbox>
              </v:shape>
            </w:pict>
          </mc:Fallback>
        </mc:AlternateContent>
      </w:r>
      <w:r w:rsidRPr="003A1174">
        <w:rPr>
          <w:rFonts w:ascii="Garamond" w:hAnsi="Garamond" w:cs="Arial"/>
          <w:noProof/>
          <w:lang w:val="es-PE" w:eastAsia="es-PE"/>
        </w:rPr>
        <mc:AlternateContent>
          <mc:Choice Requires="wps">
            <w:drawing>
              <wp:anchor distT="0" distB="0" distL="114300" distR="114300" simplePos="0" relativeHeight="251661312" behindDoc="0" locked="0" layoutInCell="1" allowOverlap="1" wp14:anchorId="7219A853" wp14:editId="5D5B7282">
                <wp:simplePos x="0" y="0"/>
                <wp:positionH relativeFrom="column">
                  <wp:posOffset>3869055</wp:posOffset>
                </wp:positionH>
                <wp:positionV relativeFrom="paragraph">
                  <wp:posOffset>248285</wp:posOffset>
                </wp:positionV>
                <wp:extent cx="210820" cy="859155"/>
                <wp:effectExtent l="38100" t="38100" r="17780" b="93345"/>
                <wp:wrapNone/>
                <wp:docPr id="6" name="5 Cerrar lla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859155"/>
                        </a:xfrm>
                        <a:prstGeom prst="rightBrace">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5 Cerrar llave" o:spid="_x0000_s1026" type="#_x0000_t88" style="position:absolute;margin-left:304.65pt;margin-top:19.55pt;width:16.6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" adj="442" strokecolor="#c0504d [3205]" strokeweight="2pt">
                <v:shadow on="t" color="black" opacity="24903f" origin=",.5" offset="0,.55556mm"/>
              </v:shape>
            </w:pict>
          </mc:Fallback>
        </mc:AlternateContent>
      </w:r>
      <w:r w:rsidR="00182E1F" w:rsidRPr="003A1174">
        <w:rPr>
          <w:rFonts w:ascii="Garamond" w:eastAsia="MS Mincho" w:hAnsi="Garamond" w:cstheme="minorBidi"/>
          <w:noProof/>
          <w:lang w:val="pt-PT" w:eastAsia="es-PE"/>
        </w:rPr>
        <w:t xml:space="preserve"> </w:t>
      </w:r>
      <w:r w:rsidR="00182E1F" w:rsidRPr="003A1174">
        <w:rPr>
          <w:rFonts w:ascii="Garamond" w:hAnsi="Garamond" w:cs="Arial"/>
          <w:noProof/>
          <w:lang w:val="es-PE" w:eastAsia="es-PE"/>
        </w:rPr>
        <w:drawing>
          <wp:inline distT="0" distB="0" distL="0" distR="0" wp14:anchorId="1844D6E5" wp14:editId="23F4D7B9">
            <wp:extent cx="5614416" cy="2706624"/>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82E1F" w:rsidRPr="003A1174" w:rsidRDefault="00182E1F" w:rsidP="008719D4">
      <w:pPr>
        <w:pStyle w:val="NormalWeb"/>
        <w:jc w:val="both"/>
        <w:rPr>
          <w:rFonts w:ascii="Garamond" w:hAnsi="Garamond" w:cs="Arial"/>
        </w:rPr>
      </w:pPr>
    </w:p>
    <w:p w:rsidR="00182E1F" w:rsidRPr="003A1174" w:rsidRDefault="00182E1F" w:rsidP="008719D4">
      <w:pPr>
        <w:pStyle w:val="NormalWeb"/>
        <w:jc w:val="both"/>
        <w:rPr>
          <w:rFonts w:ascii="Garamond" w:hAnsi="Garamond" w:cs="Arial"/>
          <w:lang w:val="pt-PT"/>
        </w:rPr>
      </w:pPr>
      <w:r w:rsidRPr="003A1174">
        <w:rPr>
          <w:rFonts w:ascii="Garamond" w:hAnsi="Garamond" w:cs="Arial"/>
          <w:lang w:val="pt-PT"/>
        </w:rPr>
        <w:lastRenderedPageBreak/>
        <w:t xml:space="preserve">Por </w:t>
      </w:r>
      <w:r w:rsidR="006F7276" w:rsidRPr="003A1174">
        <w:rPr>
          <w:rFonts w:ascii="Garamond" w:hAnsi="Garamond" w:cs="Arial"/>
          <w:lang w:val="pt-PT"/>
        </w:rPr>
        <w:t>conseguinte</w:t>
      </w:r>
      <w:r w:rsidR="00D76C04">
        <w:rPr>
          <w:rFonts w:ascii="Garamond" w:hAnsi="Garamond" w:cs="Arial"/>
          <w:lang w:val="pt-PT"/>
        </w:rPr>
        <w:t>,</w:t>
      </w:r>
      <w:r w:rsidR="00B947F9" w:rsidRPr="003A1174">
        <w:rPr>
          <w:rFonts w:ascii="Garamond" w:hAnsi="Garamond" w:cs="Arial"/>
          <w:lang w:val="pt-PT"/>
        </w:rPr>
        <w:t xml:space="preserve"> é importante apresentar </w:t>
      </w:r>
      <w:r w:rsidRPr="003A1174">
        <w:rPr>
          <w:rFonts w:ascii="Garamond" w:hAnsi="Garamond" w:cs="Arial"/>
          <w:lang w:val="pt-PT"/>
        </w:rPr>
        <w:t xml:space="preserve">como </w:t>
      </w:r>
      <w:r w:rsidR="00AF192F" w:rsidRPr="003A1174">
        <w:rPr>
          <w:rFonts w:ascii="Garamond" w:hAnsi="Garamond" w:cs="Arial"/>
          <w:lang w:val="pt-PT"/>
        </w:rPr>
        <w:t>conceito</w:t>
      </w:r>
      <w:r w:rsidRPr="003A1174">
        <w:rPr>
          <w:rFonts w:ascii="Garamond" w:hAnsi="Garamond" w:cs="Arial"/>
          <w:lang w:val="pt-PT"/>
        </w:rPr>
        <w:t xml:space="preserve"> de </w:t>
      </w:r>
      <w:r w:rsidR="00CF4C35" w:rsidRPr="003A1174">
        <w:rPr>
          <w:rFonts w:ascii="Garamond" w:hAnsi="Garamond" w:cs="Arial"/>
          <w:lang w:val="pt-PT"/>
        </w:rPr>
        <w:t>Diligência Devida</w:t>
      </w:r>
      <w:r w:rsidR="00D76C04">
        <w:rPr>
          <w:rFonts w:ascii="Garamond" w:hAnsi="Garamond" w:cs="Arial"/>
          <w:lang w:val="pt-PT"/>
        </w:rPr>
        <w:t>,</w:t>
      </w:r>
      <w:r w:rsidRPr="003A1174">
        <w:rPr>
          <w:rFonts w:ascii="Garamond" w:hAnsi="Garamond" w:cs="Arial"/>
          <w:lang w:val="pt-PT"/>
        </w:rPr>
        <w:t xml:space="preserve"> </w:t>
      </w:r>
    </w:p>
    <w:p w:rsidR="00A132B3" w:rsidRPr="00D76C04" w:rsidRDefault="00D76C04" w:rsidP="009F3AC2">
      <w:pPr>
        <w:pStyle w:val="NormalWeb"/>
        <w:ind w:left="426"/>
        <w:jc w:val="both"/>
        <w:rPr>
          <w:rFonts w:ascii="Garamond" w:hAnsi="Garamond" w:cs="Arial"/>
          <w:sz w:val="22"/>
          <w:szCs w:val="22"/>
          <w:lang w:val="pt-PT"/>
        </w:rPr>
      </w:pPr>
      <w:proofErr w:type="gramStart"/>
      <w:r>
        <w:rPr>
          <w:rFonts w:ascii="Garamond" w:hAnsi="Garamond" w:cs="Arial"/>
          <w:sz w:val="22"/>
          <w:szCs w:val="22"/>
          <w:lang w:val="pt-PT"/>
        </w:rPr>
        <w:t>«</w:t>
      </w:r>
      <w:r w:rsidR="00082597" w:rsidRPr="00D76C04">
        <w:rPr>
          <w:rFonts w:ascii="Garamond" w:hAnsi="Garamond" w:cs="Arial"/>
          <w:sz w:val="22"/>
          <w:szCs w:val="22"/>
          <w:lang w:val="pt-PT"/>
        </w:rPr>
        <w:t>…</w:t>
      </w:r>
      <w:proofErr w:type="gramEnd"/>
      <w:r w:rsidR="00062DE7" w:rsidRPr="00D76C04">
        <w:rPr>
          <w:rFonts w:ascii="Garamond" w:hAnsi="Garamond" w:cs="Arial"/>
          <w:sz w:val="22"/>
          <w:szCs w:val="22"/>
          <w:lang w:val="pt-PT"/>
        </w:rPr>
        <w:t>o</w:t>
      </w:r>
      <w:r w:rsidR="00A132B3" w:rsidRPr="00D76C04">
        <w:rPr>
          <w:rFonts w:ascii="Garamond" w:hAnsi="Garamond" w:cs="Arial"/>
          <w:sz w:val="22"/>
          <w:szCs w:val="22"/>
          <w:lang w:val="pt-PT"/>
        </w:rPr>
        <w:t xml:space="preserve"> </w:t>
      </w:r>
      <w:r w:rsidR="006D0543" w:rsidRPr="00D76C04">
        <w:rPr>
          <w:rFonts w:ascii="Garamond" w:hAnsi="Garamond" w:cs="Arial"/>
          <w:sz w:val="22"/>
          <w:szCs w:val="22"/>
          <w:lang w:val="pt-PT"/>
        </w:rPr>
        <w:t>princípio</w:t>
      </w:r>
      <w:r w:rsidR="00A132B3" w:rsidRPr="00D76C04">
        <w:rPr>
          <w:rFonts w:ascii="Garamond" w:hAnsi="Garamond" w:cs="Arial"/>
          <w:sz w:val="22"/>
          <w:szCs w:val="22"/>
          <w:lang w:val="pt-PT"/>
        </w:rPr>
        <w:t xml:space="preserve"> </w:t>
      </w:r>
      <w:r w:rsidR="000B16F5" w:rsidRPr="00D76C04">
        <w:rPr>
          <w:rFonts w:ascii="Garamond" w:hAnsi="Garamond" w:cs="Arial"/>
          <w:sz w:val="22"/>
          <w:szCs w:val="22"/>
          <w:lang w:val="pt-PT"/>
        </w:rPr>
        <w:t xml:space="preserve">e </w:t>
      </w:r>
      <w:r w:rsidR="00AF192F" w:rsidRPr="00D76C04">
        <w:rPr>
          <w:rFonts w:ascii="Garamond" w:hAnsi="Garamond" w:cs="Arial"/>
          <w:sz w:val="22"/>
          <w:szCs w:val="22"/>
          <w:lang w:val="pt-PT"/>
        </w:rPr>
        <w:t>obrigação</w:t>
      </w:r>
      <w:r w:rsidR="00A132B3" w:rsidRPr="00D76C04">
        <w:rPr>
          <w:rFonts w:ascii="Garamond" w:hAnsi="Garamond" w:cs="Arial"/>
          <w:sz w:val="22"/>
          <w:szCs w:val="22"/>
          <w:lang w:val="pt-PT"/>
        </w:rPr>
        <w:t xml:space="preserve"> jurídica dos Estados </w:t>
      </w:r>
      <w:r w:rsidR="000B16F5" w:rsidRPr="00D76C04">
        <w:rPr>
          <w:rFonts w:ascii="Garamond" w:hAnsi="Garamond" w:cs="Arial"/>
          <w:sz w:val="22"/>
          <w:szCs w:val="22"/>
          <w:lang w:val="pt-PT"/>
        </w:rPr>
        <w:t>no que se refere ao cumprimento e à obrigação de fazer</w:t>
      </w:r>
      <w:r w:rsidR="008069E0" w:rsidRPr="00D76C04">
        <w:rPr>
          <w:rFonts w:ascii="Garamond" w:hAnsi="Garamond" w:cs="Arial"/>
          <w:sz w:val="22"/>
          <w:szCs w:val="22"/>
          <w:lang w:val="pt-PT"/>
        </w:rPr>
        <w:t>em</w:t>
      </w:r>
      <w:r w:rsidR="000B16F5" w:rsidRPr="00D76C04">
        <w:rPr>
          <w:rFonts w:ascii="Garamond" w:hAnsi="Garamond" w:cs="Arial"/>
          <w:sz w:val="22"/>
          <w:szCs w:val="22"/>
          <w:lang w:val="pt-PT"/>
        </w:rPr>
        <w:t xml:space="preserve"> cumprir </w:t>
      </w:r>
      <w:r w:rsidR="00A132B3" w:rsidRPr="00D76C04">
        <w:rPr>
          <w:rFonts w:ascii="Garamond" w:hAnsi="Garamond" w:cs="Arial"/>
          <w:sz w:val="22"/>
          <w:szCs w:val="22"/>
          <w:lang w:val="pt-PT"/>
        </w:rPr>
        <w:t>os TIDHs o</w:t>
      </w:r>
      <w:r w:rsidR="000B16F5" w:rsidRPr="00D76C04">
        <w:rPr>
          <w:rFonts w:ascii="Garamond" w:hAnsi="Garamond" w:cs="Arial"/>
          <w:sz w:val="22"/>
          <w:szCs w:val="22"/>
          <w:lang w:val="pt-PT"/>
        </w:rPr>
        <w:t>u</w:t>
      </w:r>
      <w:r w:rsidR="00A132B3" w:rsidRPr="00D76C04">
        <w:rPr>
          <w:rFonts w:ascii="Garamond" w:hAnsi="Garamond" w:cs="Arial"/>
          <w:sz w:val="22"/>
          <w:szCs w:val="22"/>
          <w:lang w:val="pt-PT"/>
        </w:rPr>
        <w:t>, di</w:t>
      </w:r>
      <w:r w:rsidR="000B16F5" w:rsidRPr="00D76C04">
        <w:rPr>
          <w:rFonts w:ascii="Garamond" w:hAnsi="Garamond" w:cs="Arial"/>
          <w:sz w:val="22"/>
          <w:szCs w:val="22"/>
          <w:lang w:val="pt-PT"/>
        </w:rPr>
        <w:t xml:space="preserve">to de </w:t>
      </w:r>
      <w:r w:rsidR="00A132B3" w:rsidRPr="00D76C04">
        <w:rPr>
          <w:rFonts w:ascii="Garamond" w:hAnsi="Garamond" w:cs="Arial"/>
          <w:sz w:val="22"/>
          <w:szCs w:val="22"/>
          <w:lang w:val="pt-PT"/>
        </w:rPr>
        <w:t>o</w:t>
      </w:r>
      <w:r w:rsidR="000B16F5" w:rsidRPr="00D76C04">
        <w:rPr>
          <w:rFonts w:ascii="Garamond" w:hAnsi="Garamond" w:cs="Arial"/>
          <w:sz w:val="22"/>
          <w:szCs w:val="22"/>
          <w:lang w:val="pt-PT"/>
        </w:rPr>
        <w:t>u</w:t>
      </w:r>
      <w:r w:rsidR="00A132B3" w:rsidRPr="00D76C04">
        <w:rPr>
          <w:rFonts w:ascii="Garamond" w:hAnsi="Garamond" w:cs="Arial"/>
          <w:sz w:val="22"/>
          <w:szCs w:val="22"/>
          <w:lang w:val="pt-PT"/>
        </w:rPr>
        <w:t xml:space="preserve">tra </w:t>
      </w:r>
      <w:r w:rsidR="000B16F5" w:rsidRPr="00D76C04">
        <w:rPr>
          <w:rFonts w:ascii="Garamond" w:hAnsi="Garamond" w:cs="Arial"/>
          <w:sz w:val="22"/>
          <w:szCs w:val="22"/>
          <w:lang w:val="pt-PT"/>
        </w:rPr>
        <w:t>forma</w:t>
      </w:r>
      <w:r w:rsidR="00A132B3" w:rsidRPr="00D76C04">
        <w:rPr>
          <w:rFonts w:ascii="Garamond" w:hAnsi="Garamond" w:cs="Arial"/>
          <w:sz w:val="22"/>
          <w:szCs w:val="22"/>
          <w:lang w:val="pt-PT"/>
        </w:rPr>
        <w:t xml:space="preserve">, </w:t>
      </w:r>
      <w:r w:rsidR="000B16F5" w:rsidRPr="00D76C04">
        <w:rPr>
          <w:rFonts w:ascii="Garamond" w:hAnsi="Garamond" w:cs="Arial"/>
          <w:sz w:val="22"/>
          <w:szCs w:val="22"/>
          <w:lang w:val="pt-PT"/>
        </w:rPr>
        <w:t xml:space="preserve">é o </w:t>
      </w:r>
      <w:r w:rsidR="00AE3F78" w:rsidRPr="00D76C04">
        <w:rPr>
          <w:rFonts w:ascii="Garamond" w:hAnsi="Garamond" w:cs="Arial"/>
          <w:sz w:val="22"/>
          <w:szCs w:val="22"/>
          <w:lang w:val="pt-PT"/>
        </w:rPr>
        <w:t>limite</w:t>
      </w:r>
      <w:r w:rsidR="00A132B3" w:rsidRPr="00D76C04">
        <w:rPr>
          <w:rFonts w:ascii="Garamond" w:hAnsi="Garamond" w:cs="Arial"/>
          <w:sz w:val="22"/>
          <w:szCs w:val="22"/>
          <w:lang w:val="pt-PT"/>
        </w:rPr>
        <w:t xml:space="preserve"> de </w:t>
      </w:r>
      <w:r w:rsidR="007C63D0" w:rsidRPr="00D76C04">
        <w:rPr>
          <w:rFonts w:ascii="Garamond" w:hAnsi="Garamond" w:cs="Arial"/>
          <w:sz w:val="22"/>
          <w:szCs w:val="22"/>
          <w:lang w:val="pt-PT"/>
        </w:rPr>
        <w:t>comportamento</w:t>
      </w:r>
      <w:r w:rsidR="00A132B3" w:rsidRPr="00D76C04">
        <w:rPr>
          <w:rFonts w:ascii="Garamond" w:hAnsi="Garamond" w:cs="Arial"/>
          <w:sz w:val="22"/>
          <w:szCs w:val="22"/>
          <w:lang w:val="pt-PT"/>
        </w:rPr>
        <w:t xml:space="preserve"> </w:t>
      </w:r>
      <w:r w:rsidR="00AE3F78" w:rsidRPr="00D76C04">
        <w:rPr>
          <w:rFonts w:ascii="Garamond" w:hAnsi="Garamond" w:cs="Arial"/>
          <w:sz w:val="22"/>
          <w:szCs w:val="22"/>
          <w:lang w:val="pt-PT"/>
        </w:rPr>
        <w:t>irrenunciável</w:t>
      </w:r>
      <w:r w:rsidR="00A132B3" w:rsidRPr="00D76C04">
        <w:rPr>
          <w:rFonts w:ascii="Garamond" w:hAnsi="Garamond" w:cs="Arial"/>
          <w:sz w:val="22"/>
          <w:szCs w:val="22"/>
          <w:lang w:val="pt-PT"/>
        </w:rPr>
        <w:t xml:space="preserve"> que u</w:t>
      </w:r>
      <w:r w:rsidR="000B16F5" w:rsidRPr="00D76C04">
        <w:rPr>
          <w:rFonts w:ascii="Garamond" w:hAnsi="Garamond" w:cs="Arial"/>
          <w:sz w:val="22"/>
          <w:szCs w:val="22"/>
          <w:lang w:val="pt-PT"/>
        </w:rPr>
        <w:t>m</w:t>
      </w:r>
      <w:r w:rsidR="00306B73" w:rsidRPr="00D76C04">
        <w:rPr>
          <w:rFonts w:ascii="Garamond" w:hAnsi="Garamond" w:cs="Arial"/>
          <w:sz w:val="22"/>
          <w:szCs w:val="22"/>
          <w:lang w:val="pt-PT"/>
        </w:rPr>
        <w:t xml:space="preserve"> Estado deve alcanç</w:t>
      </w:r>
      <w:r w:rsidR="00A132B3" w:rsidRPr="00D76C04">
        <w:rPr>
          <w:rFonts w:ascii="Garamond" w:hAnsi="Garamond" w:cs="Arial"/>
          <w:sz w:val="22"/>
          <w:szCs w:val="22"/>
          <w:lang w:val="pt-PT"/>
        </w:rPr>
        <w:t>ar</w:t>
      </w:r>
      <w:r w:rsidR="00AE3F78" w:rsidRPr="00D76C04">
        <w:rPr>
          <w:rFonts w:ascii="Garamond" w:hAnsi="Garamond" w:cs="Arial"/>
          <w:sz w:val="22"/>
          <w:szCs w:val="22"/>
          <w:lang w:val="pt-PT"/>
        </w:rPr>
        <w:t>,</w:t>
      </w:r>
      <w:r w:rsidR="00A132B3" w:rsidRPr="00D76C04">
        <w:rPr>
          <w:rFonts w:ascii="Garamond" w:hAnsi="Garamond" w:cs="Arial"/>
          <w:sz w:val="22"/>
          <w:szCs w:val="22"/>
          <w:lang w:val="pt-PT"/>
        </w:rPr>
        <w:t xml:space="preserve"> tanto para </w:t>
      </w:r>
      <w:r w:rsidR="00306B73" w:rsidRPr="00D76C04">
        <w:rPr>
          <w:rFonts w:ascii="Garamond" w:hAnsi="Garamond" w:cs="Arial"/>
          <w:sz w:val="22"/>
          <w:szCs w:val="22"/>
          <w:lang w:val="pt-PT"/>
        </w:rPr>
        <w:t>cumprir</w:t>
      </w:r>
      <w:r w:rsidR="00A132B3" w:rsidRPr="00D76C04">
        <w:rPr>
          <w:rFonts w:ascii="Garamond" w:hAnsi="Garamond" w:cs="Arial"/>
          <w:sz w:val="22"/>
          <w:szCs w:val="22"/>
          <w:lang w:val="pt-PT"/>
        </w:rPr>
        <w:t xml:space="preserve"> como para </w:t>
      </w:r>
      <w:r w:rsidR="00306B73" w:rsidRPr="00D76C04">
        <w:rPr>
          <w:rFonts w:ascii="Garamond" w:hAnsi="Garamond" w:cs="Arial"/>
          <w:sz w:val="22"/>
          <w:szCs w:val="22"/>
          <w:lang w:val="pt-PT"/>
        </w:rPr>
        <w:t>fazer cumprir</w:t>
      </w:r>
      <w:r w:rsidR="00A132B3" w:rsidRPr="00D76C04">
        <w:rPr>
          <w:rFonts w:ascii="Garamond" w:hAnsi="Garamond" w:cs="Arial"/>
          <w:sz w:val="22"/>
          <w:szCs w:val="22"/>
          <w:lang w:val="pt-PT"/>
        </w:rPr>
        <w:t xml:space="preserve"> </w:t>
      </w:r>
      <w:r w:rsidR="00D84A9F" w:rsidRPr="00D76C04">
        <w:rPr>
          <w:rFonts w:ascii="Garamond" w:hAnsi="Garamond" w:cs="Arial"/>
          <w:sz w:val="22"/>
          <w:szCs w:val="22"/>
          <w:lang w:val="pt-PT"/>
        </w:rPr>
        <w:t>efetiva</w:t>
      </w:r>
      <w:r w:rsidR="00306B73" w:rsidRPr="00D76C04">
        <w:rPr>
          <w:rFonts w:ascii="Garamond" w:hAnsi="Garamond" w:cs="Arial"/>
          <w:sz w:val="22"/>
          <w:szCs w:val="22"/>
          <w:lang w:val="pt-PT"/>
        </w:rPr>
        <w:t xml:space="preserve">mente </w:t>
      </w:r>
      <w:r w:rsidR="00A132B3" w:rsidRPr="00D76C04">
        <w:rPr>
          <w:rFonts w:ascii="Garamond" w:hAnsi="Garamond" w:cs="Arial"/>
          <w:sz w:val="22"/>
          <w:szCs w:val="22"/>
          <w:lang w:val="pt-PT"/>
        </w:rPr>
        <w:t xml:space="preserve">as </w:t>
      </w:r>
      <w:r w:rsidR="00B14AA6" w:rsidRPr="00D76C04">
        <w:rPr>
          <w:rFonts w:ascii="Garamond" w:hAnsi="Garamond" w:cs="Arial"/>
          <w:sz w:val="22"/>
          <w:szCs w:val="22"/>
          <w:lang w:val="pt-PT"/>
        </w:rPr>
        <w:t>disposições</w:t>
      </w:r>
      <w:r w:rsidR="00A132B3" w:rsidRPr="00D76C04">
        <w:rPr>
          <w:rFonts w:ascii="Garamond" w:hAnsi="Garamond" w:cs="Arial"/>
          <w:sz w:val="22"/>
          <w:szCs w:val="22"/>
          <w:lang w:val="pt-PT"/>
        </w:rPr>
        <w:t xml:space="preserve"> </w:t>
      </w:r>
      <w:r w:rsidR="00B14AA6" w:rsidRPr="00D76C04">
        <w:rPr>
          <w:rFonts w:ascii="Garamond" w:hAnsi="Garamond" w:cs="Arial"/>
          <w:sz w:val="22"/>
          <w:szCs w:val="22"/>
          <w:lang w:val="pt-PT"/>
        </w:rPr>
        <w:t>contidas</w:t>
      </w:r>
      <w:r w:rsidR="00A132B3" w:rsidRPr="00D76C04">
        <w:rPr>
          <w:rFonts w:ascii="Garamond" w:hAnsi="Garamond" w:cs="Arial"/>
          <w:sz w:val="22"/>
          <w:szCs w:val="22"/>
          <w:lang w:val="pt-PT"/>
        </w:rPr>
        <w:t xml:space="preserve"> </w:t>
      </w:r>
      <w:r w:rsidR="00306B73" w:rsidRPr="00D76C04">
        <w:rPr>
          <w:rFonts w:ascii="Garamond" w:hAnsi="Garamond" w:cs="Arial"/>
          <w:sz w:val="22"/>
          <w:szCs w:val="22"/>
          <w:lang w:val="pt-PT"/>
        </w:rPr>
        <w:t>n</w:t>
      </w:r>
      <w:r w:rsidR="00A132B3" w:rsidRPr="00D76C04">
        <w:rPr>
          <w:rFonts w:ascii="Garamond" w:hAnsi="Garamond" w:cs="Arial"/>
          <w:sz w:val="22"/>
          <w:szCs w:val="22"/>
          <w:lang w:val="pt-PT"/>
        </w:rPr>
        <w:t xml:space="preserve">os TIDHs </w:t>
      </w:r>
      <w:r w:rsidR="00AE3F78" w:rsidRPr="00D76C04">
        <w:rPr>
          <w:rFonts w:ascii="Garamond" w:hAnsi="Garamond" w:cs="Arial"/>
          <w:sz w:val="22"/>
          <w:szCs w:val="22"/>
          <w:lang w:val="pt-PT"/>
        </w:rPr>
        <w:t>que for parte</w:t>
      </w:r>
      <w:r w:rsidR="00A132B3" w:rsidRPr="00D76C04">
        <w:rPr>
          <w:rFonts w:ascii="Garamond" w:hAnsi="Garamond" w:cs="Arial"/>
          <w:sz w:val="22"/>
          <w:szCs w:val="22"/>
          <w:lang w:val="pt-PT"/>
        </w:rPr>
        <w:t xml:space="preserve">, </w:t>
      </w:r>
      <w:r w:rsidR="00306B73" w:rsidRPr="00D76C04">
        <w:rPr>
          <w:rFonts w:ascii="Garamond" w:hAnsi="Garamond" w:cs="Arial"/>
          <w:sz w:val="22"/>
          <w:szCs w:val="22"/>
          <w:lang w:val="pt-PT"/>
        </w:rPr>
        <w:t xml:space="preserve">quer </w:t>
      </w:r>
      <w:r w:rsidR="00A132B3" w:rsidRPr="00D76C04">
        <w:rPr>
          <w:rFonts w:ascii="Garamond" w:hAnsi="Garamond" w:cs="Arial"/>
          <w:sz w:val="22"/>
          <w:szCs w:val="22"/>
          <w:lang w:val="pt-PT"/>
        </w:rPr>
        <w:t>se</w:t>
      </w:r>
      <w:r w:rsidR="00306B73" w:rsidRPr="00D76C04">
        <w:rPr>
          <w:rFonts w:ascii="Garamond" w:hAnsi="Garamond" w:cs="Arial"/>
          <w:sz w:val="22"/>
          <w:szCs w:val="22"/>
          <w:lang w:val="pt-PT"/>
        </w:rPr>
        <w:t>ja preveni</w:t>
      </w:r>
      <w:r w:rsidR="00A132B3" w:rsidRPr="00D76C04">
        <w:rPr>
          <w:rFonts w:ascii="Garamond" w:hAnsi="Garamond" w:cs="Arial"/>
          <w:sz w:val="22"/>
          <w:szCs w:val="22"/>
          <w:lang w:val="pt-PT"/>
        </w:rPr>
        <w:t xml:space="preserve">ndo </w:t>
      </w:r>
      <w:r w:rsidR="00306B73" w:rsidRPr="00D76C04">
        <w:rPr>
          <w:rFonts w:ascii="Garamond" w:hAnsi="Garamond" w:cs="Arial"/>
          <w:sz w:val="22"/>
          <w:szCs w:val="22"/>
          <w:lang w:val="pt-PT"/>
        </w:rPr>
        <w:t xml:space="preserve">a </w:t>
      </w:r>
      <w:r w:rsidR="00A132B3" w:rsidRPr="00D76C04">
        <w:rPr>
          <w:rFonts w:ascii="Garamond" w:hAnsi="Garamond" w:cs="Arial"/>
          <w:sz w:val="22"/>
          <w:szCs w:val="22"/>
          <w:lang w:val="pt-PT"/>
        </w:rPr>
        <w:t>su</w:t>
      </w:r>
      <w:r w:rsidR="00306B73" w:rsidRPr="00D76C04">
        <w:rPr>
          <w:rFonts w:ascii="Garamond" w:hAnsi="Garamond" w:cs="Arial"/>
          <w:sz w:val="22"/>
          <w:szCs w:val="22"/>
          <w:lang w:val="pt-PT"/>
        </w:rPr>
        <w:t>a</w:t>
      </w:r>
      <w:r w:rsidR="00A132B3" w:rsidRPr="00D76C04">
        <w:rPr>
          <w:rFonts w:ascii="Garamond" w:hAnsi="Garamond" w:cs="Arial"/>
          <w:sz w:val="22"/>
          <w:szCs w:val="22"/>
          <w:lang w:val="pt-PT"/>
        </w:rPr>
        <w:t xml:space="preserve"> </w:t>
      </w:r>
      <w:r w:rsidR="00BA3CCE" w:rsidRPr="00D76C04">
        <w:rPr>
          <w:rFonts w:ascii="Garamond" w:hAnsi="Garamond" w:cs="Arial"/>
          <w:sz w:val="22"/>
          <w:szCs w:val="22"/>
          <w:lang w:val="pt-PT"/>
        </w:rPr>
        <w:t>transgressão</w:t>
      </w:r>
      <w:r w:rsidR="00A132B3" w:rsidRPr="00D76C04">
        <w:rPr>
          <w:rFonts w:ascii="Garamond" w:hAnsi="Garamond" w:cs="Arial"/>
          <w:sz w:val="22"/>
          <w:szCs w:val="22"/>
          <w:lang w:val="pt-PT"/>
        </w:rPr>
        <w:t xml:space="preserve">, </w:t>
      </w:r>
      <w:r w:rsidR="00306B73" w:rsidRPr="00D76C04">
        <w:rPr>
          <w:rFonts w:ascii="Garamond" w:hAnsi="Garamond" w:cs="Arial"/>
          <w:sz w:val="22"/>
          <w:szCs w:val="22"/>
          <w:lang w:val="pt-PT"/>
        </w:rPr>
        <w:t xml:space="preserve">quer </w:t>
      </w:r>
      <w:r w:rsidR="00A132B3" w:rsidRPr="00D76C04">
        <w:rPr>
          <w:rFonts w:ascii="Garamond" w:hAnsi="Garamond" w:cs="Arial"/>
          <w:sz w:val="22"/>
          <w:szCs w:val="22"/>
          <w:lang w:val="pt-PT"/>
        </w:rPr>
        <w:t>se</w:t>
      </w:r>
      <w:r w:rsidR="00306B73" w:rsidRPr="00D76C04">
        <w:rPr>
          <w:rFonts w:ascii="Garamond" w:hAnsi="Garamond" w:cs="Arial"/>
          <w:sz w:val="22"/>
          <w:szCs w:val="22"/>
          <w:lang w:val="pt-PT"/>
        </w:rPr>
        <w:t>j</w:t>
      </w:r>
      <w:r w:rsidR="00A132B3" w:rsidRPr="00D76C04">
        <w:rPr>
          <w:rFonts w:ascii="Garamond" w:hAnsi="Garamond" w:cs="Arial"/>
          <w:sz w:val="22"/>
          <w:szCs w:val="22"/>
          <w:lang w:val="pt-PT"/>
        </w:rPr>
        <w:t>a investigando, proce</w:t>
      </w:r>
      <w:r w:rsidR="00306B73" w:rsidRPr="00D76C04">
        <w:rPr>
          <w:rFonts w:ascii="Garamond" w:hAnsi="Garamond" w:cs="Arial"/>
          <w:sz w:val="22"/>
          <w:szCs w:val="22"/>
          <w:lang w:val="pt-PT"/>
        </w:rPr>
        <w:t>ssando e</w:t>
      </w:r>
      <w:r w:rsidR="00A132B3" w:rsidRPr="00D76C04">
        <w:rPr>
          <w:rFonts w:ascii="Garamond" w:hAnsi="Garamond" w:cs="Arial"/>
          <w:sz w:val="22"/>
          <w:szCs w:val="22"/>
          <w:lang w:val="pt-PT"/>
        </w:rPr>
        <w:t xml:space="preserve"> </w:t>
      </w:r>
      <w:r w:rsidR="00AE3F78" w:rsidRPr="00D76C04">
        <w:rPr>
          <w:rFonts w:ascii="Garamond" w:hAnsi="Garamond" w:cs="Arial"/>
          <w:sz w:val="22"/>
          <w:szCs w:val="22"/>
          <w:lang w:val="pt-PT"/>
        </w:rPr>
        <w:t>punindo</w:t>
      </w:r>
      <w:r w:rsidR="00A132B3" w:rsidRPr="00D76C04">
        <w:rPr>
          <w:rFonts w:ascii="Garamond" w:hAnsi="Garamond" w:cs="Arial"/>
          <w:sz w:val="22"/>
          <w:szCs w:val="22"/>
          <w:lang w:val="pt-PT"/>
        </w:rPr>
        <w:t xml:space="preserve"> a</w:t>
      </w:r>
      <w:r w:rsidR="00306B73" w:rsidRPr="00D76C04">
        <w:rPr>
          <w:rFonts w:ascii="Garamond" w:hAnsi="Garamond" w:cs="Arial"/>
          <w:sz w:val="22"/>
          <w:szCs w:val="22"/>
          <w:lang w:val="pt-PT"/>
        </w:rPr>
        <w:t xml:space="preserve">queles que forem </w:t>
      </w:r>
      <w:r w:rsidR="006F7276" w:rsidRPr="00D76C04">
        <w:rPr>
          <w:rFonts w:ascii="Garamond" w:hAnsi="Garamond" w:cs="Arial"/>
          <w:sz w:val="22"/>
          <w:szCs w:val="22"/>
          <w:lang w:val="pt-PT"/>
        </w:rPr>
        <w:t>responsáveis</w:t>
      </w:r>
      <w:r w:rsidR="00A132B3" w:rsidRPr="00D76C04">
        <w:rPr>
          <w:rFonts w:ascii="Garamond" w:hAnsi="Garamond" w:cs="Arial"/>
          <w:sz w:val="22"/>
          <w:szCs w:val="22"/>
          <w:lang w:val="pt-PT"/>
        </w:rPr>
        <w:t xml:space="preserve"> </w:t>
      </w:r>
      <w:r w:rsidR="00306B73" w:rsidRPr="00D76C04">
        <w:rPr>
          <w:rFonts w:ascii="Garamond" w:hAnsi="Garamond" w:cs="Arial"/>
          <w:sz w:val="22"/>
          <w:szCs w:val="22"/>
          <w:lang w:val="pt-PT"/>
        </w:rPr>
        <w:t>pel</w:t>
      </w:r>
      <w:r w:rsidR="00A132B3" w:rsidRPr="00D76C04">
        <w:rPr>
          <w:rFonts w:ascii="Garamond" w:hAnsi="Garamond" w:cs="Arial"/>
          <w:sz w:val="22"/>
          <w:szCs w:val="22"/>
          <w:lang w:val="pt-PT"/>
        </w:rPr>
        <w:t xml:space="preserve">a </w:t>
      </w:r>
      <w:r w:rsidR="00524936" w:rsidRPr="00D76C04">
        <w:rPr>
          <w:rFonts w:ascii="Garamond" w:hAnsi="Garamond" w:cs="Arial"/>
          <w:sz w:val="22"/>
          <w:szCs w:val="22"/>
          <w:lang w:val="pt-PT"/>
        </w:rPr>
        <w:t>mesma</w:t>
      </w:r>
      <w:r w:rsidR="00082597" w:rsidRPr="00D76C04">
        <w:rPr>
          <w:rFonts w:ascii="Garamond" w:hAnsi="Garamond" w:cs="Arial"/>
          <w:sz w:val="22"/>
          <w:szCs w:val="22"/>
          <w:lang w:val="pt-PT"/>
        </w:rPr>
        <w:t>,</w:t>
      </w:r>
      <w:r w:rsidR="00A132B3" w:rsidRPr="00D76C04">
        <w:rPr>
          <w:rFonts w:ascii="Garamond" w:hAnsi="Garamond" w:cs="Arial"/>
          <w:sz w:val="22"/>
          <w:szCs w:val="22"/>
          <w:lang w:val="pt-PT"/>
        </w:rPr>
        <w:t xml:space="preserve"> tanto s</w:t>
      </w:r>
      <w:r w:rsidR="00306B73" w:rsidRPr="00D76C04">
        <w:rPr>
          <w:rFonts w:ascii="Garamond" w:hAnsi="Garamond" w:cs="Arial"/>
          <w:sz w:val="22"/>
          <w:szCs w:val="22"/>
          <w:lang w:val="pt-PT"/>
        </w:rPr>
        <w:t xml:space="preserve">e o </w:t>
      </w:r>
      <w:r w:rsidR="00A132B3" w:rsidRPr="00D76C04">
        <w:rPr>
          <w:rFonts w:ascii="Garamond" w:hAnsi="Garamond" w:cs="Arial"/>
          <w:sz w:val="22"/>
          <w:szCs w:val="22"/>
          <w:lang w:val="pt-PT"/>
        </w:rPr>
        <w:t>autor da</w:t>
      </w:r>
      <w:r w:rsidR="00AE3F78" w:rsidRPr="00D76C04">
        <w:rPr>
          <w:rFonts w:ascii="Garamond" w:hAnsi="Garamond" w:cs="Arial"/>
          <w:sz w:val="22"/>
          <w:szCs w:val="22"/>
          <w:lang w:val="pt-PT"/>
        </w:rPr>
        <w:t xml:space="preserve"> violação </w:t>
      </w:r>
      <w:r w:rsidR="00A132B3" w:rsidRPr="00D76C04">
        <w:rPr>
          <w:rFonts w:ascii="Garamond" w:hAnsi="Garamond" w:cs="Arial"/>
          <w:sz w:val="22"/>
          <w:szCs w:val="22"/>
          <w:lang w:val="pt-PT"/>
        </w:rPr>
        <w:t xml:space="preserve">aos </w:t>
      </w:r>
      <w:r w:rsidR="00886D6A" w:rsidRPr="00D76C04">
        <w:rPr>
          <w:rFonts w:ascii="Garamond" w:hAnsi="Garamond" w:cs="Arial"/>
          <w:sz w:val="22"/>
          <w:szCs w:val="22"/>
          <w:lang w:val="pt-PT"/>
        </w:rPr>
        <w:t>direito</w:t>
      </w:r>
      <w:r w:rsidR="00A132B3" w:rsidRPr="00D76C04">
        <w:rPr>
          <w:rFonts w:ascii="Garamond" w:hAnsi="Garamond" w:cs="Arial"/>
          <w:sz w:val="22"/>
          <w:szCs w:val="22"/>
          <w:lang w:val="pt-PT"/>
        </w:rPr>
        <w:t xml:space="preserve">s humanos </w:t>
      </w:r>
      <w:r w:rsidR="00306B73" w:rsidRPr="00D76C04">
        <w:rPr>
          <w:rFonts w:ascii="Garamond" w:hAnsi="Garamond" w:cs="Arial"/>
          <w:sz w:val="22"/>
          <w:szCs w:val="22"/>
          <w:lang w:val="pt-PT"/>
        </w:rPr>
        <w:t>for um a</w:t>
      </w:r>
      <w:r w:rsidR="00A132B3" w:rsidRPr="00D76C04">
        <w:rPr>
          <w:rFonts w:ascii="Garamond" w:hAnsi="Garamond" w:cs="Arial"/>
          <w:sz w:val="22"/>
          <w:szCs w:val="22"/>
          <w:lang w:val="pt-PT"/>
        </w:rPr>
        <w:t>tor estatal como n</w:t>
      </w:r>
      <w:r w:rsidR="00306B73" w:rsidRPr="00D76C04">
        <w:rPr>
          <w:rFonts w:ascii="Garamond" w:hAnsi="Garamond" w:cs="Arial"/>
          <w:sz w:val="22"/>
          <w:szCs w:val="22"/>
          <w:lang w:val="pt-PT"/>
        </w:rPr>
        <w:t>ã</w:t>
      </w:r>
      <w:r w:rsidR="00A132B3" w:rsidRPr="00D76C04">
        <w:rPr>
          <w:rFonts w:ascii="Garamond" w:hAnsi="Garamond" w:cs="Arial"/>
          <w:sz w:val="22"/>
          <w:szCs w:val="22"/>
          <w:lang w:val="pt-PT"/>
        </w:rPr>
        <w:t xml:space="preserve">o estatal; como </w:t>
      </w:r>
      <w:r w:rsidR="00AE3F78" w:rsidRPr="00D76C04">
        <w:rPr>
          <w:rFonts w:ascii="Garamond" w:hAnsi="Garamond" w:cs="Arial"/>
          <w:sz w:val="22"/>
          <w:szCs w:val="22"/>
          <w:lang w:val="pt-PT"/>
        </w:rPr>
        <w:t>compensando</w:t>
      </w:r>
      <w:r w:rsidR="00A132B3" w:rsidRPr="00D76C04">
        <w:rPr>
          <w:rFonts w:ascii="Garamond" w:hAnsi="Garamond" w:cs="Arial"/>
          <w:sz w:val="22"/>
          <w:szCs w:val="22"/>
          <w:lang w:val="pt-PT"/>
        </w:rPr>
        <w:t xml:space="preserve"> as </w:t>
      </w:r>
      <w:r w:rsidR="003F012B" w:rsidRPr="00D76C04">
        <w:rPr>
          <w:rFonts w:ascii="Garamond" w:hAnsi="Garamond" w:cs="Arial"/>
          <w:sz w:val="22"/>
          <w:szCs w:val="22"/>
          <w:lang w:val="pt-PT"/>
        </w:rPr>
        <w:t>vítima</w:t>
      </w:r>
      <w:r w:rsidR="00A132B3" w:rsidRPr="00D76C04">
        <w:rPr>
          <w:rFonts w:ascii="Garamond" w:hAnsi="Garamond" w:cs="Arial"/>
          <w:sz w:val="22"/>
          <w:szCs w:val="22"/>
          <w:lang w:val="pt-PT"/>
        </w:rPr>
        <w:t>s.</w:t>
      </w:r>
      <w:r>
        <w:rPr>
          <w:rFonts w:ascii="Garamond" w:hAnsi="Garamond" w:cs="Arial"/>
          <w:sz w:val="22"/>
          <w:szCs w:val="22"/>
          <w:lang w:val="pt-PT"/>
        </w:rPr>
        <w:t>»</w:t>
      </w:r>
    </w:p>
    <w:p w:rsidR="00A132B3" w:rsidRPr="003A1174" w:rsidRDefault="00A132B3" w:rsidP="008719D4">
      <w:pPr>
        <w:pStyle w:val="NormalWeb"/>
        <w:jc w:val="both"/>
        <w:rPr>
          <w:rFonts w:ascii="Garamond" w:hAnsi="Garamond" w:cs="Arial"/>
          <w:lang w:val="pt-PT"/>
        </w:rPr>
      </w:pPr>
      <w:r w:rsidRPr="003A1174">
        <w:rPr>
          <w:rFonts w:ascii="Garamond" w:hAnsi="Garamond" w:cs="Arial"/>
          <w:lang w:val="pt-PT"/>
        </w:rPr>
        <w:t>A</w:t>
      </w:r>
      <w:r w:rsidR="00306B73" w:rsidRPr="003A1174">
        <w:rPr>
          <w:rFonts w:ascii="Garamond" w:hAnsi="Garamond" w:cs="Arial"/>
          <w:lang w:val="pt-PT"/>
        </w:rPr>
        <w:t>crescentaremos</w:t>
      </w:r>
      <w:r w:rsidR="00D76C04">
        <w:rPr>
          <w:rFonts w:ascii="Garamond" w:hAnsi="Garamond" w:cs="Arial"/>
          <w:lang w:val="pt-PT"/>
        </w:rPr>
        <w:t>, ainda,</w:t>
      </w:r>
      <w:r w:rsidR="00306B73" w:rsidRPr="003A1174">
        <w:rPr>
          <w:rFonts w:ascii="Garamond" w:hAnsi="Garamond" w:cs="Arial"/>
          <w:lang w:val="pt-PT"/>
        </w:rPr>
        <w:t xml:space="preserve"> que </w:t>
      </w:r>
      <w:r w:rsidRPr="003A1174">
        <w:rPr>
          <w:rFonts w:ascii="Garamond" w:hAnsi="Garamond" w:cs="Arial"/>
          <w:lang w:val="pt-PT"/>
        </w:rPr>
        <w:t xml:space="preserve">a </w:t>
      </w:r>
      <w:r w:rsidR="00CF4C35" w:rsidRPr="003A1174">
        <w:rPr>
          <w:rFonts w:ascii="Garamond" w:hAnsi="Garamond" w:cs="Arial"/>
          <w:lang w:val="pt-PT"/>
        </w:rPr>
        <w:t>Diligência Devida</w:t>
      </w:r>
      <w:r w:rsidRPr="003A1174">
        <w:rPr>
          <w:rFonts w:ascii="Garamond" w:hAnsi="Garamond" w:cs="Arial"/>
          <w:lang w:val="pt-PT"/>
        </w:rPr>
        <w:t xml:space="preserve"> </w:t>
      </w:r>
      <w:r w:rsidR="00306B73" w:rsidRPr="003A1174">
        <w:rPr>
          <w:rFonts w:ascii="Garamond" w:hAnsi="Garamond" w:cs="Arial"/>
          <w:lang w:val="pt-PT"/>
        </w:rPr>
        <w:t xml:space="preserve">é uma </w:t>
      </w:r>
      <w:r w:rsidR="00AF192F" w:rsidRPr="003A1174">
        <w:rPr>
          <w:rFonts w:ascii="Garamond" w:hAnsi="Garamond" w:cs="Arial"/>
          <w:lang w:val="pt-PT"/>
        </w:rPr>
        <w:t>obrigação</w:t>
      </w:r>
      <w:r w:rsidRPr="003A1174">
        <w:rPr>
          <w:rFonts w:ascii="Garamond" w:hAnsi="Garamond" w:cs="Arial"/>
          <w:lang w:val="pt-PT"/>
        </w:rPr>
        <w:t xml:space="preserve"> de </w:t>
      </w:r>
      <w:r w:rsidRPr="003A1174">
        <w:rPr>
          <w:rFonts w:ascii="Garamond" w:hAnsi="Garamond" w:cs="Arial"/>
          <w:i/>
          <w:lang w:val="pt-PT"/>
        </w:rPr>
        <w:t>meio</w:t>
      </w:r>
      <w:r w:rsidR="00306B73" w:rsidRPr="003A1174">
        <w:rPr>
          <w:rFonts w:ascii="Garamond" w:hAnsi="Garamond" w:cs="Arial"/>
          <w:lang w:val="pt-PT"/>
        </w:rPr>
        <w:t xml:space="preserve"> e</w:t>
      </w:r>
      <w:r w:rsidRPr="003A1174">
        <w:rPr>
          <w:rFonts w:ascii="Garamond" w:hAnsi="Garamond" w:cs="Arial"/>
          <w:lang w:val="pt-PT"/>
        </w:rPr>
        <w:t xml:space="preserve"> n</w:t>
      </w:r>
      <w:r w:rsidR="00306B73" w:rsidRPr="003A1174">
        <w:rPr>
          <w:rFonts w:ascii="Garamond" w:hAnsi="Garamond" w:cs="Arial"/>
          <w:lang w:val="pt-PT"/>
        </w:rPr>
        <w:t>ã</w:t>
      </w:r>
      <w:r w:rsidRPr="003A1174">
        <w:rPr>
          <w:rFonts w:ascii="Garamond" w:hAnsi="Garamond" w:cs="Arial"/>
          <w:lang w:val="pt-PT"/>
        </w:rPr>
        <w:t>o de</w:t>
      </w:r>
      <w:r w:rsidR="00624B12">
        <w:rPr>
          <w:rFonts w:ascii="Garamond" w:hAnsi="Garamond" w:cs="Arial"/>
          <w:lang w:val="pt-PT"/>
        </w:rPr>
        <w:t xml:space="preserve"> </w:t>
      </w:r>
      <w:r w:rsidR="00D76C04">
        <w:rPr>
          <w:rFonts w:ascii="Garamond" w:hAnsi="Garamond" w:cs="Arial"/>
          <w:lang w:val="pt-PT"/>
        </w:rPr>
        <w:t>fim</w:t>
      </w:r>
      <w:r w:rsidRPr="003A1174">
        <w:rPr>
          <w:rFonts w:ascii="Garamond" w:hAnsi="Garamond" w:cs="Arial"/>
          <w:lang w:val="pt-PT"/>
        </w:rPr>
        <w:t xml:space="preserve">, </w:t>
      </w:r>
      <w:r w:rsidR="00306B73" w:rsidRPr="003A1174">
        <w:rPr>
          <w:rFonts w:ascii="Garamond" w:hAnsi="Garamond" w:cs="Arial"/>
          <w:lang w:val="pt-PT"/>
        </w:rPr>
        <w:t xml:space="preserve">no </w:t>
      </w:r>
      <w:r w:rsidRPr="003A1174">
        <w:rPr>
          <w:rFonts w:ascii="Garamond" w:hAnsi="Garamond" w:cs="Arial"/>
          <w:lang w:val="pt-PT"/>
        </w:rPr>
        <w:t xml:space="preserve">sentido </w:t>
      </w:r>
      <w:r w:rsidR="00AE3F78" w:rsidRPr="003A1174">
        <w:rPr>
          <w:rFonts w:ascii="Garamond" w:hAnsi="Garamond" w:cs="Arial"/>
          <w:lang w:val="pt-PT"/>
        </w:rPr>
        <w:t xml:space="preserve">em que </w:t>
      </w:r>
      <w:r w:rsidRPr="003A1174">
        <w:rPr>
          <w:rFonts w:ascii="Garamond" w:hAnsi="Garamond" w:cs="Arial"/>
          <w:lang w:val="pt-PT"/>
        </w:rPr>
        <w:t xml:space="preserve">a </w:t>
      </w:r>
      <w:r w:rsidR="00802ACC" w:rsidRPr="003A1174">
        <w:rPr>
          <w:rFonts w:ascii="Garamond" w:hAnsi="Garamond" w:cs="Arial"/>
          <w:lang w:val="pt-PT"/>
        </w:rPr>
        <w:t>exigência</w:t>
      </w:r>
      <w:r w:rsidR="00306B73" w:rsidRPr="003A1174">
        <w:rPr>
          <w:rFonts w:ascii="Garamond" w:hAnsi="Garamond" w:cs="Arial"/>
          <w:lang w:val="pt-PT"/>
        </w:rPr>
        <w:t xml:space="preserve"> de um</w:t>
      </w:r>
      <w:r w:rsidRPr="003A1174">
        <w:rPr>
          <w:rFonts w:ascii="Garamond" w:hAnsi="Garamond" w:cs="Arial"/>
          <w:lang w:val="pt-PT"/>
        </w:rPr>
        <w:t xml:space="preserve">a </w:t>
      </w:r>
      <w:r w:rsidR="00306B73" w:rsidRPr="003A1174">
        <w:rPr>
          <w:rFonts w:ascii="Garamond" w:hAnsi="Garamond" w:cs="Arial"/>
          <w:lang w:val="pt-PT"/>
        </w:rPr>
        <w:t>atitude diligente a</w:t>
      </w:r>
      <w:r w:rsidRPr="003A1174">
        <w:rPr>
          <w:rFonts w:ascii="Garamond" w:hAnsi="Garamond" w:cs="Arial"/>
          <w:lang w:val="pt-PT"/>
        </w:rPr>
        <w:t xml:space="preserve">os </w:t>
      </w:r>
      <w:r w:rsidR="007407BD" w:rsidRPr="003A1174">
        <w:rPr>
          <w:rFonts w:ascii="Garamond" w:hAnsi="Garamond" w:cs="Arial"/>
          <w:lang w:val="pt-PT"/>
        </w:rPr>
        <w:t>respetivos</w:t>
      </w:r>
      <w:r w:rsidRPr="003A1174">
        <w:rPr>
          <w:rFonts w:ascii="Garamond" w:hAnsi="Garamond" w:cs="Arial"/>
          <w:lang w:val="pt-PT"/>
        </w:rPr>
        <w:t xml:space="preserve"> Estados n</w:t>
      </w:r>
      <w:r w:rsidR="00306B73" w:rsidRPr="003A1174">
        <w:rPr>
          <w:rFonts w:ascii="Garamond" w:hAnsi="Garamond" w:cs="Arial"/>
          <w:lang w:val="pt-PT"/>
        </w:rPr>
        <w:t>ã</w:t>
      </w:r>
      <w:r w:rsidRPr="003A1174">
        <w:rPr>
          <w:rFonts w:ascii="Garamond" w:hAnsi="Garamond" w:cs="Arial"/>
          <w:lang w:val="pt-PT"/>
        </w:rPr>
        <w:t xml:space="preserve">o </w:t>
      </w:r>
      <w:r w:rsidR="00306B73" w:rsidRPr="003A1174">
        <w:rPr>
          <w:rFonts w:ascii="Garamond" w:hAnsi="Garamond" w:cs="Arial"/>
          <w:lang w:val="pt-PT"/>
        </w:rPr>
        <w:t xml:space="preserve">pressupõe </w:t>
      </w:r>
      <w:r w:rsidRPr="003A1174">
        <w:rPr>
          <w:rFonts w:ascii="Garamond" w:hAnsi="Garamond" w:cs="Arial"/>
          <w:lang w:val="pt-PT"/>
        </w:rPr>
        <w:t>que el</w:t>
      </w:r>
      <w:r w:rsidR="00306B73" w:rsidRPr="003A1174">
        <w:rPr>
          <w:rFonts w:ascii="Garamond" w:hAnsi="Garamond" w:cs="Arial"/>
          <w:lang w:val="pt-PT"/>
        </w:rPr>
        <w:t>e</w:t>
      </w:r>
      <w:r w:rsidRPr="003A1174">
        <w:rPr>
          <w:rFonts w:ascii="Garamond" w:hAnsi="Garamond" w:cs="Arial"/>
          <w:lang w:val="pt-PT"/>
        </w:rPr>
        <w:t>s p</w:t>
      </w:r>
      <w:r w:rsidR="00306B73" w:rsidRPr="003A1174">
        <w:rPr>
          <w:rFonts w:ascii="Garamond" w:hAnsi="Garamond" w:cs="Arial"/>
          <w:lang w:val="pt-PT"/>
        </w:rPr>
        <w:t xml:space="preserve">ossam </w:t>
      </w:r>
      <w:r w:rsidRPr="003A1174">
        <w:rPr>
          <w:rFonts w:ascii="Garamond" w:hAnsi="Garamond" w:cs="Arial"/>
          <w:lang w:val="pt-PT"/>
        </w:rPr>
        <w:t xml:space="preserve">impedir </w:t>
      </w:r>
      <w:r w:rsidR="00306B73" w:rsidRPr="003A1174">
        <w:rPr>
          <w:rFonts w:ascii="Garamond" w:hAnsi="Garamond" w:cs="Arial"/>
          <w:lang w:val="pt-PT"/>
        </w:rPr>
        <w:t>sempre</w:t>
      </w:r>
      <w:r w:rsidR="00D76C04">
        <w:rPr>
          <w:rFonts w:ascii="Garamond" w:hAnsi="Garamond" w:cs="Arial"/>
          <w:lang w:val="pt-PT"/>
        </w:rPr>
        <w:t>,</w:t>
      </w:r>
      <w:r w:rsidR="00306B73" w:rsidRPr="003A1174">
        <w:rPr>
          <w:rFonts w:ascii="Garamond" w:hAnsi="Garamond" w:cs="Arial"/>
          <w:lang w:val="pt-PT"/>
        </w:rPr>
        <w:t xml:space="preserve"> e</w:t>
      </w:r>
      <w:r w:rsidRPr="003A1174">
        <w:rPr>
          <w:rFonts w:ascii="Garamond" w:hAnsi="Garamond" w:cs="Arial"/>
          <w:lang w:val="pt-PT"/>
        </w:rPr>
        <w:t xml:space="preserve"> </w:t>
      </w:r>
      <w:r w:rsidR="006D0543" w:rsidRPr="003A1174">
        <w:rPr>
          <w:rFonts w:ascii="Garamond" w:hAnsi="Garamond" w:cs="Arial"/>
          <w:lang w:val="pt-PT"/>
        </w:rPr>
        <w:t>necessariamente</w:t>
      </w:r>
      <w:r w:rsidR="00D76C04">
        <w:rPr>
          <w:rFonts w:ascii="Garamond" w:hAnsi="Garamond" w:cs="Arial"/>
          <w:lang w:val="pt-PT"/>
        </w:rPr>
        <w:t>,</w:t>
      </w:r>
      <w:r w:rsidRPr="003A1174">
        <w:rPr>
          <w:rFonts w:ascii="Garamond" w:hAnsi="Garamond" w:cs="Arial"/>
          <w:lang w:val="pt-PT"/>
        </w:rPr>
        <w:t xml:space="preserve"> </w:t>
      </w:r>
      <w:r w:rsidR="00AE3F78" w:rsidRPr="003A1174">
        <w:rPr>
          <w:rFonts w:ascii="Garamond" w:hAnsi="Garamond" w:cs="Arial"/>
          <w:lang w:val="pt-PT"/>
        </w:rPr>
        <w:t>toda a violação</w:t>
      </w:r>
      <w:r w:rsidRPr="003A1174">
        <w:rPr>
          <w:rFonts w:ascii="Garamond" w:hAnsi="Garamond" w:cs="Arial"/>
          <w:lang w:val="pt-PT"/>
        </w:rPr>
        <w:t xml:space="preserve"> d</w:t>
      </w:r>
      <w:r w:rsidR="00082597" w:rsidRPr="003A1174">
        <w:rPr>
          <w:rFonts w:ascii="Garamond" w:hAnsi="Garamond" w:cs="Arial"/>
          <w:lang w:val="pt-PT"/>
        </w:rPr>
        <w:t xml:space="preserve">os </w:t>
      </w:r>
      <w:r w:rsidR="00886D6A" w:rsidRPr="003A1174">
        <w:rPr>
          <w:rFonts w:ascii="Garamond" w:hAnsi="Garamond" w:cs="Arial"/>
          <w:lang w:val="pt-PT"/>
        </w:rPr>
        <w:t>direito</w:t>
      </w:r>
      <w:r w:rsidRPr="003A1174">
        <w:rPr>
          <w:rFonts w:ascii="Garamond" w:hAnsi="Garamond" w:cs="Arial"/>
          <w:lang w:val="pt-PT"/>
        </w:rPr>
        <w:t xml:space="preserve">s humanos </w:t>
      </w:r>
      <w:r w:rsidR="00D76C04">
        <w:rPr>
          <w:rFonts w:ascii="Garamond" w:hAnsi="Garamond" w:cs="Arial"/>
          <w:lang w:val="pt-PT"/>
        </w:rPr>
        <w:t>-</w:t>
      </w:r>
      <w:r w:rsidR="00306B73" w:rsidRPr="003A1174">
        <w:rPr>
          <w:rFonts w:ascii="Garamond" w:hAnsi="Garamond" w:cs="Arial"/>
          <w:lang w:val="pt-PT"/>
        </w:rPr>
        <w:t xml:space="preserve"> </w:t>
      </w:r>
      <w:r w:rsidRPr="003A1174">
        <w:rPr>
          <w:rFonts w:ascii="Garamond" w:hAnsi="Garamond" w:cs="Arial"/>
          <w:lang w:val="pt-PT"/>
        </w:rPr>
        <w:t xml:space="preserve">o </w:t>
      </w:r>
      <w:r w:rsidR="00306B73" w:rsidRPr="003A1174">
        <w:rPr>
          <w:rFonts w:ascii="Garamond" w:hAnsi="Garamond" w:cs="Arial"/>
          <w:lang w:val="pt-PT"/>
        </w:rPr>
        <w:t xml:space="preserve">que é </w:t>
      </w:r>
      <w:r w:rsidRPr="003A1174">
        <w:rPr>
          <w:rFonts w:ascii="Garamond" w:hAnsi="Garamond" w:cs="Arial"/>
          <w:lang w:val="pt-PT"/>
        </w:rPr>
        <w:t xml:space="preserve">materialmente </w:t>
      </w:r>
      <w:r w:rsidR="00306B73" w:rsidRPr="003A1174">
        <w:rPr>
          <w:rFonts w:ascii="Garamond" w:hAnsi="Garamond" w:cs="Arial"/>
          <w:lang w:val="pt-PT"/>
        </w:rPr>
        <w:t xml:space="preserve">impossível. O </w:t>
      </w:r>
      <w:r w:rsidR="00D76C04">
        <w:rPr>
          <w:rFonts w:ascii="Garamond" w:hAnsi="Garamond" w:cs="Arial"/>
          <w:lang w:val="pt-PT"/>
        </w:rPr>
        <w:t>que é exigível, sim,</w:t>
      </w:r>
      <w:r w:rsidR="00306B73" w:rsidRPr="003A1174">
        <w:rPr>
          <w:rFonts w:ascii="Garamond" w:hAnsi="Garamond" w:cs="Arial"/>
          <w:lang w:val="pt-PT"/>
        </w:rPr>
        <w:t xml:space="preserve"> é que </w:t>
      </w:r>
      <w:r w:rsidRPr="003A1174">
        <w:rPr>
          <w:rFonts w:ascii="Garamond" w:hAnsi="Garamond" w:cs="Arial"/>
          <w:lang w:val="pt-PT"/>
        </w:rPr>
        <w:t>os Estados</w:t>
      </w:r>
      <w:r w:rsidR="00C8548A">
        <w:rPr>
          <w:rFonts w:ascii="Garamond" w:hAnsi="Garamond" w:cs="Arial"/>
          <w:lang w:val="pt-PT"/>
        </w:rPr>
        <w:t>-M</w:t>
      </w:r>
      <w:r w:rsidR="00306B73" w:rsidRPr="003A1174">
        <w:rPr>
          <w:rFonts w:ascii="Garamond" w:hAnsi="Garamond" w:cs="Arial"/>
          <w:lang w:val="pt-PT"/>
        </w:rPr>
        <w:t>embros d</w:t>
      </w:r>
      <w:r w:rsidRPr="003A1174">
        <w:rPr>
          <w:rFonts w:ascii="Garamond" w:hAnsi="Garamond" w:cs="Arial"/>
          <w:lang w:val="pt-PT"/>
        </w:rPr>
        <w:t xml:space="preserve">os tratados de </w:t>
      </w:r>
      <w:r w:rsidR="00886D6A" w:rsidRPr="003A1174">
        <w:rPr>
          <w:rFonts w:ascii="Garamond" w:hAnsi="Garamond" w:cs="Arial"/>
          <w:lang w:val="pt-PT"/>
        </w:rPr>
        <w:t>direito</w:t>
      </w:r>
      <w:r w:rsidRPr="003A1174">
        <w:rPr>
          <w:rFonts w:ascii="Garamond" w:hAnsi="Garamond" w:cs="Arial"/>
          <w:lang w:val="pt-PT"/>
        </w:rPr>
        <w:t>s humanos pro</w:t>
      </w:r>
      <w:r w:rsidR="003E1D8A" w:rsidRPr="003A1174">
        <w:rPr>
          <w:rFonts w:ascii="Garamond" w:hAnsi="Garamond" w:cs="Arial"/>
          <w:lang w:val="pt-PT"/>
        </w:rPr>
        <w:t xml:space="preserve">movam </w:t>
      </w:r>
      <w:r w:rsidRPr="003A1174">
        <w:rPr>
          <w:rFonts w:ascii="Garamond" w:hAnsi="Garamond" w:cs="Arial"/>
          <w:lang w:val="pt-PT"/>
        </w:rPr>
        <w:t xml:space="preserve">os </w:t>
      </w:r>
      <w:r w:rsidR="00682C71" w:rsidRPr="003A1174">
        <w:rPr>
          <w:rFonts w:ascii="Garamond" w:hAnsi="Garamond" w:cs="Arial"/>
          <w:lang w:val="pt-PT"/>
        </w:rPr>
        <w:t>meios</w:t>
      </w:r>
      <w:r w:rsidRPr="003A1174">
        <w:rPr>
          <w:rFonts w:ascii="Garamond" w:hAnsi="Garamond" w:cs="Arial"/>
          <w:lang w:val="pt-PT"/>
        </w:rPr>
        <w:t xml:space="preserve"> o</w:t>
      </w:r>
      <w:r w:rsidR="003E1D8A" w:rsidRPr="003A1174">
        <w:rPr>
          <w:rFonts w:ascii="Garamond" w:hAnsi="Garamond" w:cs="Arial"/>
          <w:lang w:val="pt-PT"/>
        </w:rPr>
        <w:t>u vi</w:t>
      </w:r>
      <w:r w:rsidRPr="003A1174">
        <w:rPr>
          <w:rFonts w:ascii="Garamond" w:hAnsi="Garamond" w:cs="Arial"/>
          <w:lang w:val="pt-PT"/>
        </w:rPr>
        <w:t>as par</w:t>
      </w:r>
      <w:r w:rsidR="003E1D8A" w:rsidRPr="003A1174">
        <w:rPr>
          <w:rFonts w:ascii="Garamond" w:hAnsi="Garamond" w:cs="Arial"/>
          <w:lang w:val="pt-PT"/>
        </w:rPr>
        <w:t xml:space="preserve">a evitar </w:t>
      </w:r>
      <w:r w:rsidRPr="003A1174">
        <w:rPr>
          <w:rFonts w:ascii="Garamond" w:hAnsi="Garamond" w:cs="Arial"/>
          <w:lang w:val="pt-PT"/>
        </w:rPr>
        <w:t>as</w:t>
      </w:r>
      <w:r w:rsidR="00AE3F78" w:rsidRPr="003A1174">
        <w:rPr>
          <w:rFonts w:ascii="Garamond" w:hAnsi="Garamond" w:cs="Arial"/>
          <w:lang w:val="pt-PT"/>
        </w:rPr>
        <w:t xml:space="preserve"> violações </w:t>
      </w:r>
      <w:r w:rsidR="003E1D8A" w:rsidRPr="003A1174">
        <w:rPr>
          <w:rFonts w:ascii="Garamond" w:hAnsi="Garamond" w:cs="Arial"/>
          <w:lang w:val="pt-PT"/>
        </w:rPr>
        <w:t>e</w:t>
      </w:r>
      <w:r w:rsidRPr="003A1174">
        <w:rPr>
          <w:rFonts w:ascii="Garamond" w:hAnsi="Garamond" w:cs="Arial"/>
          <w:lang w:val="pt-PT"/>
        </w:rPr>
        <w:t xml:space="preserve"> que, </w:t>
      </w:r>
      <w:r w:rsidR="003E1D8A" w:rsidRPr="003A1174">
        <w:rPr>
          <w:rFonts w:ascii="Garamond" w:hAnsi="Garamond" w:cs="Arial"/>
          <w:lang w:val="pt-PT"/>
        </w:rPr>
        <w:t xml:space="preserve">no caso de se verificarem violações, </w:t>
      </w:r>
      <w:r w:rsidRPr="003A1174">
        <w:rPr>
          <w:rFonts w:ascii="Garamond" w:hAnsi="Garamond" w:cs="Arial"/>
          <w:lang w:val="pt-PT"/>
        </w:rPr>
        <w:t>se</w:t>
      </w:r>
      <w:r w:rsidR="00AE3F78" w:rsidRPr="003A1174">
        <w:rPr>
          <w:rFonts w:ascii="Garamond" w:hAnsi="Garamond" w:cs="Arial"/>
          <w:lang w:val="pt-PT"/>
        </w:rPr>
        <w:t xml:space="preserve"> atribuam </w:t>
      </w:r>
      <w:r w:rsidR="003E1D8A" w:rsidRPr="003A1174">
        <w:rPr>
          <w:rFonts w:ascii="Garamond" w:hAnsi="Garamond" w:cs="Arial"/>
          <w:lang w:val="pt-PT"/>
        </w:rPr>
        <w:t>as responsabilidades e</w:t>
      </w:r>
      <w:r w:rsidRPr="003A1174">
        <w:rPr>
          <w:rFonts w:ascii="Garamond" w:hAnsi="Garamond" w:cs="Arial"/>
          <w:lang w:val="pt-PT"/>
        </w:rPr>
        <w:t xml:space="preserve"> </w:t>
      </w:r>
      <w:r w:rsidR="003E1D8A" w:rsidRPr="003A1174">
        <w:rPr>
          <w:rFonts w:ascii="Garamond" w:hAnsi="Garamond" w:cs="Arial"/>
          <w:lang w:val="pt-PT"/>
        </w:rPr>
        <w:t>sanções</w:t>
      </w:r>
      <w:r w:rsidRPr="003A1174">
        <w:rPr>
          <w:rFonts w:ascii="Garamond" w:hAnsi="Garamond" w:cs="Arial"/>
          <w:lang w:val="pt-PT"/>
        </w:rPr>
        <w:t xml:space="preserve"> </w:t>
      </w:r>
      <w:r w:rsidR="003E1D8A" w:rsidRPr="003A1174">
        <w:rPr>
          <w:rFonts w:ascii="Garamond" w:hAnsi="Garamond" w:cs="Arial"/>
          <w:lang w:val="pt-PT"/>
        </w:rPr>
        <w:t>correspondente</w:t>
      </w:r>
      <w:r w:rsidRPr="003A1174">
        <w:rPr>
          <w:rFonts w:ascii="Garamond" w:hAnsi="Garamond" w:cs="Arial"/>
          <w:lang w:val="pt-PT"/>
        </w:rPr>
        <w:t xml:space="preserve">s </w:t>
      </w:r>
      <w:r w:rsidR="00D76C04">
        <w:rPr>
          <w:rFonts w:ascii="Garamond" w:hAnsi="Garamond" w:cs="Arial"/>
          <w:lang w:val="pt-PT"/>
        </w:rPr>
        <w:t>a</w:t>
      </w:r>
      <w:r w:rsidR="003E1D8A" w:rsidRPr="003A1174">
        <w:rPr>
          <w:rFonts w:ascii="Garamond" w:hAnsi="Garamond" w:cs="Arial"/>
          <w:lang w:val="pt-PT"/>
        </w:rPr>
        <w:t xml:space="preserve">os </w:t>
      </w:r>
      <w:r w:rsidRPr="003A1174">
        <w:rPr>
          <w:rFonts w:ascii="Garamond" w:hAnsi="Garamond" w:cs="Arial"/>
          <w:lang w:val="pt-PT"/>
        </w:rPr>
        <w:t>s</w:t>
      </w:r>
      <w:r w:rsidR="003E1D8A" w:rsidRPr="003A1174">
        <w:rPr>
          <w:rFonts w:ascii="Garamond" w:hAnsi="Garamond" w:cs="Arial"/>
          <w:lang w:val="pt-PT"/>
        </w:rPr>
        <w:t>e</w:t>
      </w:r>
      <w:r w:rsidRPr="003A1174">
        <w:rPr>
          <w:rFonts w:ascii="Garamond" w:hAnsi="Garamond" w:cs="Arial"/>
          <w:lang w:val="pt-PT"/>
        </w:rPr>
        <w:t>u</w:t>
      </w:r>
      <w:r w:rsidR="003E1D8A" w:rsidRPr="003A1174">
        <w:rPr>
          <w:rFonts w:ascii="Garamond" w:hAnsi="Garamond" w:cs="Arial"/>
          <w:lang w:val="pt-PT"/>
        </w:rPr>
        <w:t xml:space="preserve">s autores. Finalmente, </w:t>
      </w:r>
      <w:r w:rsidR="00624B12">
        <w:rPr>
          <w:rFonts w:ascii="Garamond" w:hAnsi="Garamond" w:cs="Arial"/>
          <w:lang w:val="pt-PT"/>
        </w:rPr>
        <w:t xml:space="preserve">é fundamental </w:t>
      </w:r>
      <w:r w:rsidR="003E1D8A" w:rsidRPr="003A1174">
        <w:rPr>
          <w:rFonts w:ascii="Garamond" w:hAnsi="Garamond" w:cs="Arial"/>
          <w:lang w:val="pt-PT"/>
        </w:rPr>
        <w:t xml:space="preserve">que </w:t>
      </w:r>
      <w:r w:rsidRPr="003A1174">
        <w:rPr>
          <w:rFonts w:ascii="Garamond" w:hAnsi="Garamond" w:cs="Arial"/>
          <w:lang w:val="pt-PT"/>
        </w:rPr>
        <w:t xml:space="preserve">a </w:t>
      </w:r>
      <w:r w:rsidR="00B14AA6" w:rsidRPr="003A1174">
        <w:rPr>
          <w:rFonts w:ascii="Garamond" w:hAnsi="Garamond" w:cs="Arial"/>
          <w:lang w:val="pt-PT"/>
        </w:rPr>
        <w:t>aplicação</w:t>
      </w:r>
      <w:r w:rsidRPr="003A1174">
        <w:rPr>
          <w:rFonts w:ascii="Garamond" w:hAnsi="Garamond" w:cs="Arial"/>
          <w:lang w:val="pt-PT"/>
        </w:rPr>
        <w:t xml:space="preserve"> </w:t>
      </w:r>
      <w:r w:rsidR="00D76C04">
        <w:rPr>
          <w:rFonts w:ascii="Garamond" w:hAnsi="Garamond" w:cs="Arial"/>
          <w:lang w:val="pt-PT"/>
        </w:rPr>
        <w:t>-</w:t>
      </w:r>
      <w:r w:rsidR="003E1D8A" w:rsidRPr="003A1174">
        <w:rPr>
          <w:rFonts w:ascii="Garamond" w:hAnsi="Garamond" w:cs="Arial"/>
          <w:lang w:val="pt-PT"/>
        </w:rPr>
        <w:t xml:space="preserve"> </w:t>
      </w:r>
      <w:r w:rsidR="00802ACC" w:rsidRPr="003A1174">
        <w:rPr>
          <w:rFonts w:ascii="Garamond" w:hAnsi="Garamond" w:cs="Arial"/>
          <w:lang w:val="pt-PT"/>
        </w:rPr>
        <w:t>exigência</w:t>
      </w:r>
      <w:r w:rsidR="003E1D8A" w:rsidRPr="003A1174">
        <w:rPr>
          <w:rFonts w:ascii="Garamond" w:hAnsi="Garamond" w:cs="Arial"/>
          <w:lang w:val="pt-PT"/>
        </w:rPr>
        <w:t xml:space="preserve"> </w:t>
      </w:r>
      <w:r w:rsidR="00D76C04">
        <w:rPr>
          <w:rFonts w:ascii="Garamond" w:hAnsi="Garamond" w:cs="Arial"/>
          <w:lang w:val="pt-PT"/>
        </w:rPr>
        <w:t>-</w:t>
      </w:r>
      <w:r w:rsidRPr="003A1174">
        <w:rPr>
          <w:rFonts w:ascii="Garamond" w:hAnsi="Garamond" w:cs="Arial"/>
          <w:lang w:val="pt-PT"/>
        </w:rPr>
        <w:t xml:space="preserve"> d</w:t>
      </w:r>
      <w:r w:rsidR="003E1D8A" w:rsidRPr="003A1174">
        <w:rPr>
          <w:rFonts w:ascii="Garamond" w:hAnsi="Garamond" w:cs="Arial"/>
          <w:lang w:val="pt-PT"/>
        </w:rPr>
        <w:t>o</w:t>
      </w:r>
      <w:r w:rsidRPr="003A1174">
        <w:rPr>
          <w:rFonts w:ascii="Garamond" w:hAnsi="Garamond" w:cs="Arial"/>
          <w:lang w:val="pt-PT"/>
        </w:rPr>
        <w:t xml:space="preserve"> </w:t>
      </w:r>
      <w:r w:rsidR="006D0543" w:rsidRPr="003A1174">
        <w:rPr>
          <w:rFonts w:ascii="Garamond" w:hAnsi="Garamond" w:cs="Arial"/>
          <w:lang w:val="pt-PT"/>
        </w:rPr>
        <w:t>princípio</w:t>
      </w:r>
      <w:r w:rsidRPr="003A1174">
        <w:rPr>
          <w:rFonts w:ascii="Garamond" w:hAnsi="Garamond" w:cs="Arial"/>
          <w:lang w:val="pt-PT"/>
        </w:rPr>
        <w:t xml:space="preserve"> de </w:t>
      </w:r>
      <w:r w:rsidR="00CF4C35" w:rsidRPr="003A1174">
        <w:rPr>
          <w:rFonts w:ascii="Garamond" w:hAnsi="Garamond" w:cs="Arial"/>
          <w:lang w:val="pt-PT"/>
        </w:rPr>
        <w:t>Diligência Devida</w:t>
      </w:r>
      <w:r w:rsidRPr="003A1174">
        <w:rPr>
          <w:rFonts w:ascii="Garamond" w:hAnsi="Garamond" w:cs="Arial"/>
          <w:lang w:val="pt-PT"/>
        </w:rPr>
        <w:t xml:space="preserve"> </w:t>
      </w:r>
      <w:r w:rsidR="003E1D8A" w:rsidRPr="003A1174">
        <w:rPr>
          <w:rFonts w:ascii="Garamond" w:hAnsi="Garamond" w:cs="Arial"/>
          <w:lang w:val="pt-PT"/>
        </w:rPr>
        <w:t xml:space="preserve">seja </w:t>
      </w:r>
      <w:r w:rsidR="003E1D8A" w:rsidRPr="003A1174">
        <w:rPr>
          <w:rFonts w:ascii="Garamond" w:hAnsi="Garamond" w:cs="Arial"/>
          <w:i/>
          <w:lang w:val="pt-PT"/>
        </w:rPr>
        <w:t>flexível</w:t>
      </w:r>
      <w:r w:rsidR="00082597" w:rsidRPr="00624B12">
        <w:rPr>
          <w:rFonts w:ascii="Garamond" w:hAnsi="Garamond" w:cs="Arial"/>
          <w:lang w:val="pt-PT"/>
        </w:rPr>
        <w:t>,</w:t>
      </w:r>
      <w:r w:rsidRPr="00624B12">
        <w:rPr>
          <w:rFonts w:ascii="Garamond" w:hAnsi="Garamond" w:cs="Arial"/>
          <w:lang w:val="pt-PT"/>
        </w:rPr>
        <w:t xml:space="preserve"> </w:t>
      </w:r>
      <w:r w:rsidR="003E1D8A" w:rsidRPr="00624B12">
        <w:rPr>
          <w:rFonts w:ascii="Garamond" w:hAnsi="Garamond" w:cs="Arial"/>
          <w:lang w:val="pt-PT"/>
        </w:rPr>
        <w:t>n</w:t>
      </w:r>
      <w:r w:rsidR="003E1D8A" w:rsidRPr="003A1174">
        <w:rPr>
          <w:rFonts w:ascii="Garamond" w:hAnsi="Garamond" w:cs="Arial"/>
          <w:lang w:val="pt-PT"/>
        </w:rPr>
        <w:t xml:space="preserve">o </w:t>
      </w:r>
      <w:r w:rsidRPr="003A1174">
        <w:rPr>
          <w:rFonts w:ascii="Garamond" w:hAnsi="Garamond" w:cs="Arial"/>
          <w:lang w:val="pt-PT"/>
        </w:rPr>
        <w:t xml:space="preserve">sentido de </w:t>
      </w:r>
      <w:r w:rsidR="003E1D8A" w:rsidRPr="003A1174">
        <w:rPr>
          <w:rFonts w:ascii="Garamond" w:hAnsi="Garamond" w:cs="Arial"/>
          <w:lang w:val="pt-PT"/>
        </w:rPr>
        <w:t xml:space="preserve">se </w:t>
      </w:r>
      <w:r w:rsidRPr="003A1174">
        <w:rPr>
          <w:rFonts w:ascii="Garamond" w:hAnsi="Garamond" w:cs="Arial"/>
          <w:lang w:val="pt-PT"/>
        </w:rPr>
        <w:t>ade</w:t>
      </w:r>
      <w:r w:rsidR="003E1D8A" w:rsidRPr="003A1174">
        <w:rPr>
          <w:rFonts w:ascii="Garamond" w:hAnsi="Garamond" w:cs="Arial"/>
          <w:lang w:val="pt-PT"/>
        </w:rPr>
        <w:t xml:space="preserve">quar </w:t>
      </w:r>
      <w:r w:rsidRPr="003A1174">
        <w:rPr>
          <w:rFonts w:ascii="Garamond" w:hAnsi="Garamond" w:cs="Arial"/>
          <w:lang w:val="pt-PT"/>
        </w:rPr>
        <w:t>a cada caso o</w:t>
      </w:r>
      <w:r w:rsidR="003E1D8A" w:rsidRPr="003A1174">
        <w:rPr>
          <w:rFonts w:ascii="Garamond" w:hAnsi="Garamond" w:cs="Arial"/>
          <w:lang w:val="pt-PT"/>
        </w:rPr>
        <w:t>u</w:t>
      </w:r>
      <w:r w:rsidRPr="003A1174">
        <w:rPr>
          <w:rFonts w:ascii="Garamond" w:hAnsi="Garamond" w:cs="Arial"/>
          <w:lang w:val="pt-PT"/>
        </w:rPr>
        <w:t xml:space="preserve"> </w:t>
      </w:r>
      <w:r w:rsidR="002E2C71" w:rsidRPr="003A1174">
        <w:rPr>
          <w:rFonts w:ascii="Garamond" w:hAnsi="Garamond" w:cs="Arial"/>
          <w:lang w:val="pt-PT"/>
        </w:rPr>
        <w:t>circunstância</w:t>
      </w:r>
      <w:r w:rsidRPr="003A1174">
        <w:rPr>
          <w:rFonts w:ascii="Garamond" w:hAnsi="Garamond" w:cs="Arial"/>
          <w:lang w:val="pt-PT"/>
        </w:rPr>
        <w:t xml:space="preserve">, </w:t>
      </w:r>
      <w:r w:rsidR="003E1D8A" w:rsidRPr="003A1174">
        <w:rPr>
          <w:rFonts w:ascii="Garamond" w:hAnsi="Garamond" w:cs="Arial"/>
          <w:lang w:val="pt-PT"/>
        </w:rPr>
        <w:t xml:space="preserve">quer se tratem </w:t>
      </w:r>
      <w:r w:rsidRPr="003A1174">
        <w:rPr>
          <w:rFonts w:ascii="Garamond" w:hAnsi="Garamond" w:cs="Arial"/>
          <w:lang w:val="pt-PT"/>
        </w:rPr>
        <w:t xml:space="preserve">de </w:t>
      </w:r>
      <w:r w:rsidR="002F62B0" w:rsidRPr="003A1174">
        <w:rPr>
          <w:rFonts w:ascii="Garamond" w:hAnsi="Garamond" w:cs="Arial"/>
          <w:lang w:val="pt-PT"/>
        </w:rPr>
        <w:t>violações</w:t>
      </w:r>
      <w:r w:rsidRPr="003A1174">
        <w:rPr>
          <w:rFonts w:ascii="Garamond" w:hAnsi="Garamond" w:cs="Arial"/>
          <w:lang w:val="pt-PT"/>
        </w:rPr>
        <w:t xml:space="preserve"> </w:t>
      </w:r>
      <w:r w:rsidR="005A1CD4" w:rsidRPr="003A1174">
        <w:rPr>
          <w:rFonts w:ascii="Garamond" w:hAnsi="Garamond" w:cs="Arial"/>
          <w:lang w:val="pt-PT"/>
        </w:rPr>
        <w:t>potenciais</w:t>
      </w:r>
      <w:r w:rsidRPr="003A1174">
        <w:rPr>
          <w:rFonts w:ascii="Garamond" w:hAnsi="Garamond" w:cs="Arial"/>
          <w:lang w:val="pt-PT"/>
        </w:rPr>
        <w:t xml:space="preserve"> o</w:t>
      </w:r>
      <w:r w:rsidR="003E1D8A" w:rsidRPr="003A1174">
        <w:rPr>
          <w:rFonts w:ascii="Garamond" w:hAnsi="Garamond" w:cs="Arial"/>
          <w:lang w:val="pt-PT"/>
        </w:rPr>
        <w:t>u</w:t>
      </w:r>
      <w:r w:rsidRPr="003A1174">
        <w:rPr>
          <w:rFonts w:ascii="Garamond" w:hAnsi="Garamond" w:cs="Arial"/>
          <w:lang w:val="pt-PT"/>
        </w:rPr>
        <w:t xml:space="preserve"> </w:t>
      </w:r>
      <w:r w:rsidR="003E1D8A" w:rsidRPr="003A1174">
        <w:rPr>
          <w:rFonts w:ascii="Garamond" w:hAnsi="Garamond" w:cs="Arial"/>
          <w:lang w:val="pt-PT"/>
        </w:rPr>
        <w:t xml:space="preserve">já </w:t>
      </w:r>
      <w:r w:rsidRPr="003A1174">
        <w:rPr>
          <w:rFonts w:ascii="Garamond" w:hAnsi="Garamond" w:cs="Arial"/>
          <w:lang w:val="pt-PT"/>
        </w:rPr>
        <w:t>oc</w:t>
      </w:r>
      <w:r w:rsidR="00E7631C" w:rsidRPr="003A1174">
        <w:rPr>
          <w:rFonts w:ascii="Garamond" w:hAnsi="Garamond" w:cs="Arial"/>
          <w:lang w:val="pt-PT"/>
        </w:rPr>
        <w:t>o</w:t>
      </w:r>
      <w:r w:rsidRPr="003A1174">
        <w:rPr>
          <w:rFonts w:ascii="Garamond" w:hAnsi="Garamond" w:cs="Arial"/>
          <w:lang w:val="pt-PT"/>
        </w:rPr>
        <w:t>rridas, o</w:t>
      </w:r>
      <w:r w:rsidR="003E1D8A" w:rsidRPr="003A1174">
        <w:rPr>
          <w:rFonts w:ascii="Garamond" w:hAnsi="Garamond" w:cs="Arial"/>
          <w:lang w:val="pt-PT"/>
        </w:rPr>
        <w:t>u</w:t>
      </w:r>
      <w:r w:rsidRPr="003A1174">
        <w:rPr>
          <w:rFonts w:ascii="Garamond" w:hAnsi="Garamond" w:cs="Arial"/>
          <w:lang w:val="pt-PT"/>
        </w:rPr>
        <w:t xml:space="preserve"> de políticas públicas que </w:t>
      </w:r>
      <w:r w:rsidR="00AE3F78" w:rsidRPr="003A1174">
        <w:rPr>
          <w:rFonts w:ascii="Garamond" w:hAnsi="Garamond" w:cs="Arial"/>
          <w:lang w:val="pt-PT"/>
        </w:rPr>
        <w:t>digam respeito a</w:t>
      </w:r>
      <w:r w:rsidRPr="003A1174">
        <w:rPr>
          <w:rFonts w:ascii="Garamond" w:hAnsi="Garamond" w:cs="Arial"/>
          <w:lang w:val="pt-PT"/>
        </w:rPr>
        <w:t xml:space="preserve">os </w:t>
      </w:r>
      <w:r w:rsidR="00886D6A" w:rsidRPr="003A1174">
        <w:rPr>
          <w:rFonts w:ascii="Garamond" w:hAnsi="Garamond" w:cs="Arial"/>
          <w:lang w:val="pt-PT"/>
        </w:rPr>
        <w:t>direito</w:t>
      </w:r>
      <w:r w:rsidRPr="003A1174">
        <w:rPr>
          <w:rFonts w:ascii="Garamond" w:hAnsi="Garamond" w:cs="Arial"/>
          <w:lang w:val="pt-PT"/>
        </w:rPr>
        <w:t>s humanos.</w:t>
      </w:r>
    </w:p>
    <w:p w:rsidR="00A132B3" w:rsidRPr="005523A8" w:rsidRDefault="00DA1F5C" w:rsidP="008719D4">
      <w:pPr>
        <w:pStyle w:val="NormalWeb"/>
        <w:jc w:val="both"/>
        <w:rPr>
          <w:rFonts w:ascii="Garamond" w:hAnsi="Garamond" w:cs="Arial"/>
          <w:lang w:val="pt-PT"/>
        </w:rPr>
      </w:pPr>
      <w:r w:rsidRPr="003A1174">
        <w:rPr>
          <w:rFonts w:ascii="Garamond" w:hAnsi="Garamond" w:cs="Arial"/>
          <w:lang w:val="pt-PT"/>
        </w:rPr>
        <w:t>Ora,</w:t>
      </w:r>
      <w:r w:rsidRPr="003A1174">
        <w:rPr>
          <w:rFonts w:ascii="Garamond" w:hAnsi="Garamond" w:cs="Arial"/>
          <w:color w:val="FF0000"/>
          <w:lang w:val="pt-PT"/>
        </w:rPr>
        <w:t xml:space="preserve"> </w:t>
      </w:r>
      <w:r w:rsidR="00A132B3" w:rsidRPr="003A1174">
        <w:rPr>
          <w:rFonts w:ascii="Garamond" w:hAnsi="Garamond" w:cs="Arial"/>
          <w:lang w:val="pt-PT"/>
        </w:rPr>
        <w:t xml:space="preserve">a </w:t>
      </w:r>
      <w:r w:rsidR="00B14AA6" w:rsidRPr="003A1174">
        <w:rPr>
          <w:rFonts w:ascii="Garamond" w:hAnsi="Garamond" w:cs="Arial"/>
          <w:lang w:val="pt-PT"/>
        </w:rPr>
        <w:t>Convenção</w:t>
      </w:r>
      <w:r w:rsidR="00A132B3" w:rsidRPr="003A1174">
        <w:rPr>
          <w:rFonts w:ascii="Garamond" w:hAnsi="Garamond" w:cs="Arial"/>
          <w:lang w:val="pt-PT"/>
        </w:rPr>
        <w:t xml:space="preserve"> de Belém do Pará</w:t>
      </w:r>
      <w:r w:rsidR="0086401D" w:rsidRPr="003A1174">
        <w:rPr>
          <w:rFonts w:ascii="Garamond" w:hAnsi="Garamond" w:cs="Arial"/>
          <w:lang w:val="pt-PT"/>
        </w:rPr>
        <w:t xml:space="preserve"> estabeleceu</w:t>
      </w:r>
      <w:r w:rsidR="00624B12">
        <w:rPr>
          <w:rFonts w:ascii="Garamond" w:hAnsi="Garamond" w:cs="Arial"/>
          <w:lang w:val="pt-PT"/>
        </w:rPr>
        <w:t>,</w:t>
      </w:r>
      <w:r w:rsidR="0086401D" w:rsidRPr="003A1174">
        <w:rPr>
          <w:rFonts w:ascii="Garamond" w:hAnsi="Garamond" w:cs="Arial"/>
          <w:lang w:val="pt-PT"/>
        </w:rPr>
        <w:t xml:space="preserve"> </w:t>
      </w:r>
      <w:r w:rsidR="003E1D8A" w:rsidRPr="003A1174">
        <w:rPr>
          <w:rFonts w:ascii="Garamond" w:hAnsi="Garamond" w:cs="Arial"/>
          <w:lang w:val="pt-PT"/>
        </w:rPr>
        <w:t xml:space="preserve">entre </w:t>
      </w:r>
      <w:r w:rsidR="00A132B3" w:rsidRPr="003A1174">
        <w:rPr>
          <w:rFonts w:ascii="Garamond" w:hAnsi="Garamond" w:cs="Arial"/>
          <w:lang w:val="pt-PT"/>
        </w:rPr>
        <w:t xml:space="preserve">os </w:t>
      </w:r>
      <w:r w:rsidR="00AF192F" w:rsidRPr="003A1174">
        <w:rPr>
          <w:rFonts w:ascii="Garamond" w:hAnsi="Garamond" w:cs="Arial"/>
          <w:lang w:val="pt-PT"/>
        </w:rPr>
        <w:t>dever</w:t>
      </w:r>
      <w:r w:rsidR="00A132B3" w:rsidRPr="003A1174">
        <w:rPr>
          <w:rFonts w:ascii="Garamond" w:hAnsi="Garamond" w:cs="Arial"/>
          <w:lang w:val="pt-PT"/>
        </w:rPr>
        <w:t>es dos Estados</w:t>
      </w:r>
      <w:r w:rsidR="00C8548A">
        <w:rPr>
          <w:rFonts w:ascii="Garamond" w:hAnsi="Garamond" w:cs="Arial"/>
          <w:lang w:val="pt-PT"/>
        </w:rPr>
        <w:t>-M</w:t>
      </w:r>
      <w:r w:rsidR="003E1D8A" w:rsidRPr="003A1174">
        <w:rPr>
          <w:rFonts w:ascii="Garamond" w:hAnsi="Garamond" w:cs="Arial"/>
          <w:lang w:val="pt-PT"/>
        </w:rPr>
        <w:t xml:space="preserve">embros </w:t>
      </w:r>
      <w:r w:rsidR="005523A8" w:rsidRPr="005523A8">
        <w:rPr>
          <w:rFonts w:ascii="Garamond" w:hAnsi="Garamond" w:cs="Arial"/>
          <w:lang w:val="pt-PT"/>
        </w:rPr>
        <w:t>«</w:t>
      </w:r>
      <w:r w:rsidR="00A132B3" w:rsidRPr="005523A8">
        <w:rPr>
          <w:rFonts w:ascii="Garamond" w:hAnsi="Garamond" w:cs="Arial"/>
          <w:lang w:val="pt-PT"/>
        </w:rPr>
        <w:t>a</w:t>
      </w:r>
      <w:r w:rsidR="003E1D8A" w:rsidRPr="005523A8">
        <w:rPr>
          <w:rFonts w:ascii="Garamond" w:hAnsi="Garamond" w:cs="Arial"/>
          <w:lang w:val="pt-PT"/>
        </w:rPr>
        <w:t xml:space="preserve">gir com </w:t>
      </w:r>
      <w:r w:rsidR="00A132B3" w:rsidRPr="005523A8">
        <w:rPr>
          <w:rFonts w:ascii="Garamond" w:hAnsi="Garamond" w:cs="Arial"/>
          <w:lang w:val="pt-PT"/>
        </w:rPr>
        <w:t xml:space="preserve">a </w:t>
      </w:r>
      <w:r w:rsidR="00CF4C35" w:rsidRPr="005523A8">
        <w:rPr>
          <w:rFonts w:ascii="Garamond" w:hAnsi="Garamond" w:cs="Arial"/>
          <w:lang w:val="pt-PT"/>
        </w:rPr>
        <w:t>Diligência Devida</w:t>
      </w:r>
      <w:r w:rsidR="003E1D8A" w:rsidRPr="005523A8">
        <w:rPr>
          <w:rFonts w:ascii="Garamond" w:hAnsi="Garamond" w:cs="Arial"/>
          <w:lang w:val="pt-PT"/>
        </w:rPr>
        <w:t xml:space="preserve"> para prevenir, investigar e </w:t>
      </w:r>
      <w:r w:rsidR="003F493C" w:rsidRPr="005523A8">
        <w:rPr>
          <w:rFonts w:ascii="Garamond" w:hAnsi="Garamond" w:cs="Arial"/>
          <w:lang w:val="pt-PT"/>
        </w:rPr>
        <w:t>punir</w:t>
      </w:r>
      <w:r w:rsidR="003E1D8A" w:rsidRPr="005523A8">
        <w:rPr>
          <w:rFonts w:ascii="Garamond" w:hAnsi="Garamond" w:cs="Arial"/>
          <w:lang w:val="pt-PT"/>
        </w:rPr>
        <w:t xml:space="preserve"> </w:t>
      </w:r>
      <w:r w:rsidR="00A132B3" w:rsidRPr="005523A8">
        <w:rPr>
          <w:rFonts w:ascii="Garamond" w:hAnsi="Garamond" w:cs="Arial"/>
          <w:lang w:val="pt-PT"/>
        </w:rPr>
        <w:t xml:space="preserve">a </w:t>
      </w:r>
      <w:r w:rsidR="000350B1" w:rsidRPr="005523A8">
        <w:rPr>
          <w:rFonts w:ascii="Garamond" w:hAnsi="Garamond" w:cs="Arial"/>
          <w:lang w:val="pt-PT"/>
        </w:rPr>
        <w:t>violência</w:t>
      </w:r>
      <w:r w:rsidR="003E1D8A" w:rsidRPr="005523A8">
        <w:rPr>
          <w:rFonts w:ascii="Garamond" w:hAnsi="Garamond" w:cs="Arial"/>
          <w:lang w:val="pt-PT"/>
        </w:rPr>
        <w:t xml:space="preserve"> contra </w:t>
      </w:r>
      <w:r w:rsidR="00A132B3" w:rsidRPr="005523A8">
        <w:rPr>
          <w:rFonts w:ascii="Garamond" w:hAnsi="Garamond" w:cs="Arial"/>
          <w:lang w:val="pt-PT"/>
        </w:rPr>
        <w:t xml:space="preserve">a </w:t>
      </w:r>
      <w:r w:rsidR="00AF192F" w:rsidRPr="005523A8">
        <w:rPr>
          <w:rFonts w:ascii="Garamond" w:hAnsi="Garamond" w:cs="Arial"/>
          <w:lang w:val="pt-PT"/>
        </w:rPr>
        <w:t>mulher</w:t>
      </w:r>
      <w:r w:rsidR="005523A8" w:rsidRPr="005523A8">
        <w:rPr>
          <w:rFonts w:ascii="Garamond" w:hAnsi="Garamond" w:cs="Arial"/>
          <w:lang w:val="pt-PT"/>
        </w:rPr>
        <w:t>»</w:t>
      </w:r>
      <w:r w:rsidR="00A132B3" w:rsidRPr="005523A8">
        <w:rPr>
          <w:rFonts w:ascii="Garamond" w:hAnsi="Garamond" w:cs="Arial"/>
          <w:lang w:val="pt-PT"/>
        </w:rPr>
        <w:t xml:space="preserve"> </w:t>
      </w:r>
      <w:r w:rsidR="00A132B3" w:rsidRPr="003A1174">
        <w:rPr>
          <w:rFonts w:ascii="Garamond" w:hAnsi="Garamond" w:cs="Arial"/>
          <w:lang w:val="pt-PT"/>
        </w:rPr>
        <w:t>(</w:t>
      </w:r>
      <w:r w:rsidR="00383B3F" w:rsidRPr="003A1174">
        <w:rPr>
          <w:rFonts w:ascii="Garamond" w:hAnsi="Garamond" w:cs="Arial"/>
          <w:lang w:val="pt-PT"/>
        </w:rPr>
        <w:t>A</w:t>
      </w:r>
      <w:r w:rsidR="00A132B3" w:rsidRPr="003A1174">
        <w:rPr>
          <w:rFonts w:ascii="Garamond" w:hAnsi="Garamond" w:cs="Arial"/>
          <w:lang w:val="pt-PT"/>
        </w:rPr>
        <w:t>rt</w:t>
      </w:r>
      <w:r w:rsidR="00383B3F" w:rsidRPr="003A1174">
        <w:rPr>
          <w:rFonts w:ascii="Garamond" w:hAnsi="Garamond" w:cs="Arial"/>
          <w:lang w:val="pt-PT"/>
        </w:rPr>
        <w:t>.</w:t>
      </w:r>
      <w:r w:rsidR="003E1D8A" w:rsidRPr="003A1174">
        <w:rPr>
          <w:rFonts w:ascii="Garamond" w:hAnsi="Garamond" w:cs="Arial"/>
          <w:lang w:val="pt-PT"/>
        </w:rPr>
        <w:t xml:space="preserve">7.b), estabelecendo que </w:t>
      </w:r>
      <w:r w:rsidR="00A132B3" w:rsidRPr="003A1174">
        <w:rPr>
          <w:rFonts w:ascii="Garamond" w:hAnsi="Garamond" w:cs="Arial"/>
          <w:lang w:val="pt-PT"/>
        </w:rPr>
        <w:t xml:space="preserve">a </w:t>
      </w:r>
      <w:r w:rsidR="000350B1" w:rsidRPr="003A1174">
        <w:rPr>
          <w:rFonts w:ascii="Garamond" w:hAnsi="Garamond" w:cs="Arial"/>
          <w:lang w:val="pt-PT"/>
        </w:rPr>
        <w:t>violência</w:t>
      </w:r>
      <w:r w:rsidR="003E1D8A" w:rsidRPr="003A1174">
        <w:rPr>
          <w:rFonts w:ascii="Garamond" w:hAnsi="Garamond" w:cs="Arial"/>
          <w:lang w:val="pt-PT"/>
        </w:rPr>
        <w:t xml:space="preserve"> contra </w:t>
      </w:r>
      <w:r w:rsidR="00A132B3" w:rsidRPr="003A1174">
        <w:rPr>
          <w:rFonts w:ascii="Garamond" w:hAnsi="Garamond" w:cs="Arial"/>
          <w:lang w:val="pt-PT"/>
        </w:rPr>
        <w:t xml:space="preserve">a </w:t>
      </w:r>
      <w:r w:rsidR="00AF192F" w:rsidRPr="003A1174">
        <w:rPr>
          <w:rFonts w:ascii="Garamond" w:hAnsi="Garamond" w:cs="Arial"/>
          <w:lang w:val="pt-PT"/>
        </w:rPr>
        <w:t>mulher</w:t>
      </w:r>
      <w:r w:rsidR="00A132B3" w:rsidRPr="003A1174">
        <w:rPr>
          <w:rFonts w:ascii="Garamond" w:hAnsi="Garamond" w:cs="Arial"/>
          <w:lang w:val="pt-PT"/>
        </w:rPr>
        <w:t xml:space="preserve"> aparece tanto</w:t>
      </w:r>
      <w:r w:rsidR="003E1D8A" w:rsidRPr="003A1174">
        <w:rPr>
          <w:rFonts w:ascii="Garamond" w:hAnsi="Garamond" w:cs="Arial"/>
          <w:lang w:val="pt-PT"/>
        </w:rPr>
        <w:t xml:space="preserve"> no </w:t>
      </w:r>
      <w:r w:rsidR="00802ACC" w:rsidRPr="003A1174">
        <w:rPr>
          <w:rFonts w:ascii="Garamond" w:hAnsi="Garamond" w:cs="Arial"/>
          <w:lang w:val="pt-PT"/>
        </w:rPr>
        <w:t>âmbito</w:t>
      </w:r>
      <w:r w:rsidR="00A132B3" w:rsidRPr="003A1174">
        <w:rPr>
          <w:rFonts w:ascii="Garamond" w:hAnsi="Garamond" w:cs="Arial"/>
          <w:lang w:val="pt-PT"/>
        </w:rPr>
        <w:t xml:space="preserve"> privado como </w:t>
      </w:r>
      <w:r w:rsidR="003E1D8A" w:rsidRPr="003A1174">
        <w:rPr>
          <w:rFonts w:ascii="Garamond" w:hAnsi="Garamond" w:cs="Arial"/>
          <w:lang w:val="pt-PT"/>
        </w:rPr>
        <w:t xml:space="preserve">no </w:t>
      </w:r>
      <w:r w:rsidR="005523A8">
        <w:rPr>
          <w:rFonts w:ascii="Garamond" w:hAnsi="Garamond" w:cs="Arial"/>
          <w:lang w:val="pt-PT"/>
        </w:rPr>
        <w:t>«</w:t>
      </w:r>
      <w:r w:rsidR="00A132B3" w:rsidRPr="003A1174">
        <w:rPr>
          <w:rFonts w:ascii="Garamond" w:hAnsi="Garamond" w:cs="Arial"/>
          <w:lang w:val="pt-PT"/>
        </w:rPr>
        <w:t>público</w:t>
      </w:r>
      <w:r w:rsidR="005523A8">
        <w:rPr>
          <w:rFonts w:ascii="Garamond" w:hAnsi="Garamond" w:cs="Arial"/>
          <w:lang w:val="pt-PT"/>
        </w:rPr>
        <w:t>»</w:t>
      </w:r>
      <w:r w:rsidR="00A132B3" w:rsidRPr="003A1174">
        <w:rPr>
          <w:rFonts w:ascii="Garamond" w:hAnsi="Garamond" w:cs="Arial"/>
          <w:lang w:val="pt-PT"/>
        </w:rPr>
        <w:t xml:space="preserve"> (</w:t>
      </w:r>
      <w:r w:rsidR="00383B3F" w:rsidRPr="003A1174">
        <w:rPr>
          <w:rFonts w:ascii="Garamond" w:hAnsi="Garamond" w:cs="Arial"/>
          <w:lang w:val="pt-PT"/>
        </w:rPr>
        <w:t>A</w:t>
      </w:r>
      <w:r w:rsidR="00A132B3" w:rsidRPr="003A1174">
        <w:rPr>
          <w:rFonts w:ascii="Garamond" w:hAnsi="Garamond" w:cs="Arial"/>
          <w:lang w:val="pt-PT"/>
        </w:rPr>
        <w:t>rt</w:t>
      </w:r>
      <w:r w:rsidR="00383B3F" w:rsidRPr="003A1174">
        <w:rPr>
          <w:rFonts w:ascii="Garamond" w:hAnsi="Garamond" w:cs="Arial"/>
          <w:lang w:val="pt-PT"/>
        </w:rPr>
        <w:t>.</w:t>
      </w:r>
      <w:r w:rsidR="00A132B3" w:rsidRPr="003A1174">
        <w:rPr>
          <w:rFonts w:ascii="Garamond" w:hAnsi="Garamond" w:cs="Arial"/>
          <w:lang w:val="pt-PT"/>
        </w:rPr>
        <w:t xml:space="preserve">1 </w:t>
      </w:r>
      <w:r w:rsidR="00A132B3" w:rsidRPr="003A1174">
        <w:rPr>
          <w:rFonts w:ascii="Garamond" w:hAnsi="Garamond" w:cs="Arial"/>
          <w:i/>
          <w:lang w:val="pt-PT"/>
        </w:rPr>
        <w:t>in fine</w:t>
      </w:r>
      <w:r w:rsidR="00A132B3" w:rsidRPr="003A1174">
        <w:rPr>
          <w:rFonts w:ascii="Garamond" w:hAnsi="Garamond" w:cs="Arial"/>
          <w:lang w:val="pt-PT"/>
        </w:rPr>
        <w:t xml:space="preserve">), </w:t>
      </w:r>
      <w:r w:rsidR="003E1D8A" w:rsidRPr="003A1174">
        <w:rPr>
          <w:rFonts w:ascii="Garamond" w:hAnsi="Garamond" w:cs="Arial"/>
          <w:lang w:val="pt-PT"/>
        </w:rPr>
        <w:t>e</w:t>
      </w:r>
      <w:r w:rsidR="00A132B3" w:rsidRPr="003A1174">
        <w:rPr>
          <w:rFonts w:ascii="Garamond" w:hAnsi="Garamond" w:cs="Arial"/>
          <w:lang w:val="pt-PT"/>
        </w:rPr>
        <w:t xml:space="preserve"> estipulando qu</w:t>
      </w:r>
      <w:r w:rsidR="003E1D8A" w:rsidRPr="003A1174">
        <w:rPr>
          <w:rFonts w:ascii="Garamond" w:hAnsi="Garamond" w:cs="Arial"/>
          <w:lang w:val="pt-PT"/>
        </w:rPr>
        <w:t xml:space="preserve">e </w:t>
      </w:r>
      <w:r w:rsidR="00A132B3" w:rsidRPr="003A1174">
        <w:rPr>
          <w:rFonts w:ascii="Garamond" w:hAnsi="Garamond" w:cs="Arial"/>
          <w:lang w:val="pt-PT"/>
        </w:rPr>
        <w:t xml:space="preserve">as diversas </w:t>
      </w:r>
      <w:r w:rsidR="003E1D8A" w:rsidRPr="003A1174">
        <w:rPr>
          <w:rFonts w:ascii="Garamond" w:hAnsi="Garamond" w:cs="Arial"/>
          <w:lang w:val="pt-PT"/>
        </w:rPr>
        <w:t>expressões</w:t>
      </w:r>
      <w:r w:rsidR="00A132B3" w:rsidRPr="003A1174">
        <w:rPr>
          <w:rFonts w:ascii="Garamond" w:hAnsi="Garamond" w:cs="Arial"/>
          <w:lang w:val="pt-PT"/>
        </w:rPr>
        <w:t xml:space="preserve"> de </w:t>
      </w:r>
      <w:r w:rsidR="000350B1" w:rsidRPr="003A1174">
        <w:rPr>
          <w:rFonts w:ascii="Garamond" w:hAnsi="Garamond" w:cs="Arial"/>
          <w:lang w:val="pt-PT"/>
        </w:rPr>
        <w:t>violência</w:t>
      </w:r>
      <w:r w:rsidR="003E1D8A" w:rsidRPr="003A1174">
        <w:rPr>
          <w:rFonts w:ascii="Garamond" w:hAnsi="Garamond" w:cs="Arial"/>
          <w:lang w:val="pt-PT"/>
        </w:rPr>
        <w:t xml:space="preserve"> contra </w:t>
      </w:r>
      <w:r w:rsidR="00A132B3" w:rsidRPr="003A1174">
        <w:rPr>
          <w:rFonts w:ascii="Garamond" w:hAnsi="Garamond" w:cs="Arial"/>
          <w:lang w:val="pt-PT"/>
        </w:rPr>
        <w:t xml:space="preserve">a </w:t>
      </w:r>
      <w:r w:rsidR="00AF192F" w:rsidRPr="003A1174">
        <w:rPr>
          <w:rFonts w:ascii="Garamond" w:hAnsi="Garamond" w:cs="Arial"/>
          <w:lang w:val="pt-PT"/>
        </w:rPr>
        <w:t>mulher</w:t>
      </w:r>
      <w:r w:rsidR="00A132B3" w:rsidRPr="003A1174">
        <w:rPr>
          <w:rFonts w:ascii="Garamond" w:hAnsi="Garamond" w:cs="Arial"/>
          <w:lang w:val="pt-PT"/>
        </w:rPr>
        <w:t xml:space="preserve"> inclu</w:t>
      </w:r>
      <w:r w:rsidR="003E1D8A" w:rsidRPr="003A1174">
        <w:rPr>
          <w:rFonts w:ascii="Garamond" w:hAnsi="Garamond" w:cs="Arial"/>
          <w:lang w:val="pt-PT"/>
        </w:rPr>
        <w:t xml:space="preserve">em </w:t>
      </w:r>
      <w:r w:rsidR="00A132B3" w:rsidRPr="003A1174">
        <w:rPr>
          <w:rFonts w:ascii="Garamond" w:hAnsi="Garamond" w:cs="Arial"/>
          <w:lang w:val="pt-PT"/>
        </w:rPr>
        <w:t xml:space="preserve">que </w:t>
      </w:r>
      <w:r w:rsidR="00383B3F" w:rsidRPr="003A1174">
        <w:rPr>
          <w:rFonts w:ascii="Garamond" w:hAnsi="Garamond" w:cs="Arial"/>
          <w:lang w:val="pt-PT"/>
        </w:rPr>
        <w:t>esta</w:t>
      </w:r>
      <w:r w:rsidR="00A132B3" w:rsidRPr="003A1174">
        <w:rPr>
          <w:rFonts w:ascii="Garamond" w:hAnsi="Garamond" w:cs="Arial"/>
          <w:lang w:val="pt-PT"/>
        </w:rPr>
        <w:t xml:space="preserve"> </w:t>
      </w:r>
      <w:r w:rsidR="005523A8" w:rsidRPr="005523A8">
        <w:rPr>
          <w:rFonts w:ascii="Garamond" w:hAnsi="Garamond" w:cs="Arial"/>
          <w:lang w:val="pt-PT"/>
        </w:rPr>
        <w:t>«</w:t>
      </w:r>
      <w:r w:rsidR="00A132B3" w:rsidRPr="005523A8">
        <w:rPr>
          <w:rFonts w:ascii="Garamond" w:hAnsi="Garamond" w:cs="Arial"/>
          <w:shd w:val="clear" w:color="auto" w:fill="FFFFFF"/>
          <w:lang w:val="pt-PT"/>
        </w:rPr>
        <w:t>se</w:t>
      </w:r>
      <w:r w:rsidR="003E1D8A" w:rsidRPr="005523A8">
        <w:rPr>
          <w:rFonts w:ascii="Garamond" w:hAnsi="Garamond" w:cs="Arial"/>
          <w:shd w:val="clear" w:color="auto" w:fill="FFFFFF"/>
          <w:lang w:val="pt-PT"/>
        </w:rPr>
        <w:t>j</w:t>
      </w:r>
      <w:r w:rsidR="00A132B3" w:rsidRPr="005523A8">
        <w:rPr>
          <w:rFonts w:ascii="Garamond" w:hAnsi="Garamond" w:cs="Arial"/>
          <w:shd w:val="clear" w:color="auto" w:fill="FFFFFF"/>
          <w:lang w:val="pt-PT"/>
        </w:rPr>
        <w:t>a</w:t>
      </w:r>
      <w:r w:rsidRPr="005523A8">
        <w:rPr>
          <w:rFonts w:ascii="Garamond" w:hAnsi="Garamond" w:cs="Arial"/>
          <w:shd w:val="clear" w:color="auto" w:fill="FFFFFF"/>
          <w:lang w:val="pt-PT"/>
        </w:rPr>
        <w:t xml:space="preserve"> </w:t>
      </w:r>
      <w:r w:rsidR="00624B12">
        <w:rPr>
          <w:rFonts w:ascii="Garamond" w:hAnsi="Garamond" w:cs="Arial"/>
          <w:shd w:val="clear" w:color="auto" w:fill="FFFFFF"/>
          <w:lang w:val="pt-PT"/>
        </w:rPr>
        <w:t>praticada</w:t>
      </w:r>
      <w:r w:rsidRPr="005523A8">
        <w:rPr>
          <w:rFonts w:ascii="Garamond" w:hAnsi="Garamond" w:cs="Arial"/>
          <w:shd w:val="clear" w:color="auto" w:fill="FFFFFF"/>
          <w:lang w:val="pt-PT"/>
        </w:rPr>
        <w:t xml:space="preserve"> </w:t>
      </w:r>
      <w:r w:rsidR="00A132B3" w:rsidRPr="005523A8">
        <w:rPr>
          <w:rFonts w:ascii="Garamond" w:hAnsi="Garamond" w:cs="Arial"/>
          <w:shd w:val="clear" w:color="auto" w:fill="FFFFFF"/>
          <w:lang w:val="pt-PT"/>
        </w:rPr>
        <w:t>o</w:t>
      </w:r>
      <w:r w:rsidR="003E1D8A" w:rsidRPr="005523A8">
        <w:rPr>
          <w:rFonts w:ascii="Garamond" w:hAnsi="Garamond" w:cs="Arial"/>
          <w:shd w:val="clear" w:color="auto" w:fill="FFFFFF"/>
          <w:lang w:val="pt-PT"/>
        </w:rPr>
        <w:t>u</w:t>
      </w:r>
      <w:r w:rsidR="00A132B3" w:rsidRPr="005523A8">
        <w:rPr>
          <w:rFonts w:ascii="Garamond" w:hAnsi="Garamond" w:cs="Arial"/>
          <w:shd w:val="clear" w:color="auto" w:fill="FFFFFF"/>
          <w:lang w:val="pt-PT"/>
        </w:rPr>
        <w:t xml:space="preserve"> tolerada pel</w:t>
      </w:r>
      <w:r w:rsidR="003E1D8A" w:rsidRPr="005523A8">
        <w:rPr>
          <w:rFonts w:ascii="Garamond" w:hAnsi="Garamond" w:cs="Arial"/>
          <w:shd w:val="clear" w:color="auto" w:fill="FFFFFF"/>
          <w:lang w:val="pt-PT"/>
        </w:rPr>
        <w:t>o</w:t>
      </w:r>
      <w:r w:rsidR="00A132B3" w:rsidRPr="005523A8">
        <w:rPr>
          <w:rFonts w:ascii="Garamond" w:hAnsi="Garamond" w:cs="Arial"/>
          <w:shd w:val="clear" w:color="auto" w:fill="FFFFFF"/>
          <w:lang w:val="pt-PT"/>
        </w:rPr>
        <w:t xml:space="preserve"> Estado o</w:t>
      </w:r>
      <w:r w:rsidR="003E1D8A" w:rsidRPr="005523A8">
        <w:rPr>
          <w:rFonts w:ascii="Garamond" w:hAnsi="Garamond" w:cs="Arial"/>
          <w:shd w:val="clear" w:color="auto" w:fill="FFFFFF"/>
          <w:lang w:val="pt-PT"/>
        </w:rPr>
        <w:t>u</w:t>
      </w:r>
      <w:r w:rsidR="00A132B3" w:rsidRPr="005523A8">
        <w:rPr>
          <w:rFonts w:ascii="Garamond" w:hAnsi="Garamond" w:cs="Arial"/>
          <w:shd w:val="clear" w:color="auto" w:fill="FFFFFF"/>
          <w:lang w:val="pt-PT"/>
        </w:rPr>
        <w:t xml:space="preserve"> s</w:t>
      </w:r>
      <w:r w:rsidR="003E1D8A" w:rsidRPr="005523A8">
        <w:rPr>
          <w:rFonts w:ascii="Garamond" w:hAnsi="Garamond" w:cs="Arial"/>
          <w:shd w:val="clear" w:color="auto" w:fill="FFFFFF"/>
          <w:lang w:val="pt-PT"/>
        </w:rPr>
        <w:t>eus agentes, onde qu</w:t>
      </w:r>
      <w:r w:rsidR="00A132B3" w:rsidRPr="005523A8">
        <w:rPr>
          <w:rFonts w:ascii="Garamond" w:hAnsi="Garamond" w:cs="Arial"/>
          <w:shd w:val="clear" w:color="auto" w:fill="FFFFFF"/>
          <w:lang w:val="pt-PT"/>
        </w:rPr>
        <w:t>er que oc</w:t>
      </w:r>
      <w:r w:rsidR="003E1D8A" w:rsidRPr="005523A8">
        <w:rPr>
          <w:rFonts w:ascii="Garamond" w:hAnsi="Garamond" w:cs="Arial"/>
          <w:shd w:val="clear" w:color="auto" w:fill="FFFFFF"/>
          <w:lang w:val="pt-PT"/>
        </w:rPr>
        <w:t>o</w:t>
      </w:r>
      <w:r w:rsidR="00A132B3" w:rsidRPr="005523A8">
        <w:rPr>
          <w:rFonts w:ascii="Garamond" w:hAnsi="Garamond" w:cs="Arial"/>
          <w:shd w:val="clear" w:color="auto" w:fill="FFFFFF"/>
          <w:lang w:val="pt-PT"/>
        </w:rPr>
        <w:t>rra</w:t>
      </w:r>
      <w:r w:rsidR="005523A8" w:rsidRPr="005523A8">
        <w:rPr>
          <w:rFonts w:ascii="Garamond" w:hAnsi="Garamond" w:cs="Arial"/>
          <w:shd w:val="clear" w:color="auto" w:fill="FFFFFF"/>
          <w:lang w:val="pt-PT"/>
        </w:rPr>
        <w:t>»</w:t>
      </w:r>
      <w:r w:rsidR="003E1D8A" w:rsidRPr="005523A8">
        <w:rPr>
          <w:rFonts w:ascii="Garamond" w:hAnsi="Garamond" w:cs="Arial"/>
          <w:lang w:val="pt-PT"/>
        </w:rPr>
        <w:t xml:space="preserve"> (Art.</w:t>
      </w:r>
      <w:r w:rsidR="00A132B3" w:rsidRPr="005523A8">
        <w:rPr>
          <w:rFonts w:ascii="Garamond" w:hAnsi="Garamond" w:cs="Arial"/>
          <w:lang w:val="pt-PT"/>
        </w:rPr>
        <w:t>2.c)</w:t>
      </w:r>
    </w:p>
    <w:p w:rsidR="00A132B3" w:rsidRPr="003A1174" w:rsidRDefault="003E1D8A" w:rsidP="008719D4">
      <w:pPr>
        <w:pStyle w:val="NormalWeb"/>
        <w:jc w:val="both"/>
        <w:rPr>
          <w:rFonts w:ascii="Garamond" w:hAnsi="Garamond" w:cs="Arial"/>
          <w:lang w:val="pt-PT"/>
        </w:rPr>
      </w:pPr>
      <w:r w:rsidRPr="003A1174">
        <w:rPr>
          <w:rFonts w:ascii="Garamond" w:hAnsi="Garamond" w:cs="Arial"/>
          <w:lang w:val="pt-PT"/>
        </w:rPr>
        <w:t>D</w:t>
      </w:r>
      <w:r w:rsidR="00A132B3" w:rsidRPr="003A1174">
        <w:rPr>
          <w:rFonts w:ascii="Garamond" w:hAnsi="Garamond" w:cs="Arial"/>
          <w:lang w:val="pt-PT"/>
        </w:rPr>
        <w:t xml:space="preserve">esta </w:t>
      </w:r>
      <w:r w:rsidRPr="003A1174">
        <w:rPr>
          <w:rFonts w:ascii="Garamond" w:hAnsi="Garamond" w:cs="Arial"/>
          <w:lang w:val="pt-PT"/>
        </w:rPr>
        <w:t xml:space="preserve">forma, o </w:t>
      </w:r>
      <w:r w:rsidR="00AF192F" w:rsidRPr="003A1174">
        <w:rPr>
          <w:rFonts w:ascii="Garamond" w:hAnsi="Garamond" w:cs="Arial"/>
          <w:lang w:val="pt-PT"/>
        </w:rPr>
        <w:t>dever</w:t>
      </w:r>
      <w:r w:rsidR="00A132B3" w:rsidRPr="003A1174">
        <w:rPr>
          <w:rFonts w:ascii="Garamond" w:hAnsi="Garamond" w:cs="Arial"/>
          <w:lang w:val="pt-PT"/>
        </w:rPr>
        <w:t xml:space="preserve"> de </w:t>
      </w:r>
      <w:r w:rsidR="005523A8">
        <w:rPr>
          <w:rFonts w:ascii="Garamond" w:hAnsi="Garamond" w:cs="Arial"/>
          <w:lang w:val="pt-PT"/>
        </w:rPr>
        <w:t>«</w:t>
      </w:r>
      <w:r w:rsidRPr="003A1174">
        <w:rPr>
          <w:rFonts w:ascii="Garamond" w:hAnsi="Garamond" w:cs="Arial"/>
          <w:lang w:val="pt-PT"/>
        </w:rPr>
        <w:t>cuidado objetivo</w:t>
      </w:r>
      <w:r w:rsidR="005523A8">
        <w:rPr>
          <w:rFonts w:ascii="Garamond" w:hAnsi="Garamond" w:cs="Arial"/>
          <w:lang w:val="pt-PT"/>
        </w:rPr>
        <w:t>»</w:t>
      </w:r>
      <w:r w:rsidR="00624B12">
        <w:rPr>
          <w:rFonts w:ascii="Garamond" w:hAnsi="Garamond" w:cs="Arial"/>
          <w:lang w:val="pt-PT"/>
        </w:rPr>
        <w:t xml:space="preserve">, </w:t>
      </w:r>
      <w:r w:rsidRPr="003A1174">
        <w:rPr>
          <w:rFonts w:ascii="Garamond" w:hAnsi="Garamond" w:cs="Arial"/>
          <w:lang w:val="pt-PT"/>
        </w:rPr>
        <w:t xml:space="preserve">que implica a </w:t>
      </w:r>
      <w:r w:rsidR="00CF4C35" w:rsidRPr="003A1174">
        <w:rPr>
          <w:rFonts w:ascii="Garamond" w:hAnsi="Garamond" w:cs="Arial"/>
          <w:lang w:val="pt-PT"/>
        </w:rPr>
        <w:t>Diligência Devida</w:t>
      </w:r>
      <w:r w:rsidRPr="003A1174">
        <w:rPr>
          <w:rFonts w:ascii="Garamond" w:hAnsi="Garamond" w:cs="Arial"/>
          <w:lang w:val="pt-PT"/>
        </w:rPr>
        <w:t xml:space="preserve"> </w:t>
      </w:r>
      <w:r w:rsidR="00DA1F5C" w:rsidRPr="003A1174">
        <w:rPr>
          <w:rFonts w:ascii="Garamond" w:hAnsi="Garamond" w:cs="Arial"/>
          <w:lang w:val="pt-PT"/>
        </w:rPr>
        <w:t xml:space="preserve">tem de </w:t>
      </w:r>
      <w:r w:rsidR="00EB78D9" w:rsidRPr="003A1174">
        <w:rPr>
          <w:rFonts w:ascii="Garamond" w:hAnsi="Garamond" w:cs="Arial"/>
          <w:lang w:val="pt-PT"/>
        </w:rPr>
        <w:t>ser clara e</w:t>
      </w:r>
      <w:r w:rsidR="00624B12">
        <w:rPr>
          <w:rFonts w:ascii="Garamond" w:hAnsi="Garamond" w:cs="Arial"/>
          <w:lang w:val="pt-PT"/>
        </w:rPr>
        <w:t>,</w:t>
      </w:r>
      <w:r w:rsidR="00EB78D9" w:rsidRPr="003A1174">
        <w:rPr>
          <w:rFonts w:ascii="Garamond" w:hAnsi="Garamond" w:cs="Arial"/>
          <w:lang w:val="pt-PT"/>
        </w:rPr>
        <w:t xml:space="preserve"> inequi</w:t>
      </w:r>
      <w:r w:rsidR="00A132B3" w:rsidRPr="003A1174">
        <w:rPr>
          <w:rFonts w:ascii="Garamond" w:hAnsi="Garamond" w:cs="Arial"/>
          <w:lang w:val="pt-PT"/>
        </w:rPr>
        <w:t>vocamente</w:t>
      </w:r>
      <w:r w:rsidR="00624B12">
        <w:rPr>
          <w:rFonts w:ascii="Garamond" w:hAnsi="Garamond" w:cs="Arial"/>
          <w:lang w:val="pt-PT"/>
        </w:rPr>
        <w:t>,</w:t>
      </w:r>
      <w:r w:rsidR="00A132B3" w:rsidRPr="003A1174">
        <w:rPr>
          <w:rFonts w:ascii="Garamond" w:hAnsi="Garamond" w:cs="Arial"/>
          <w:lang w:val="pt-PT"/>
        </w:rPr>
        <w:t xml:space="preserve"> </w:t>
      </w:r>
      <w:r w:rsidR="00062DE7" w:rsidRPr="003A1174">
        <w:rPr>
          <w:rFonts w:ascii="Garamond" w:hAnsi="Garamond" w:cs="Arial"/>
          <w:lang w:val="pt-PT"/>
        </w:rPr>
        <w:t>exigível</w:t>
      </w:r>
      <w:r w:rsidR="00A132B3" w:rsidRPr="003A1174">
        <w:rPr>
          <w:rFonts w:ascii="Garamond" w:hAnsi="Garamond" w:cs="Arial"/>
          <w:lang w:val="pt-PT"/>
        </w:rPr>
        <w:t xml:space="preserve"> a</w:t>
      </w:r>
      <w:r w:rsidR="00EB78D9" w:rsidRPr="003A1174">
        <w:rPr>
          <w:rFonts w:ascii="Garamond" w:hAnsi="Garamond" w:cs="Arial"/>
          <w:lang w:val="pt-PT"/>
        </w:rPr>
        <w:t xml:space="preserve">o Estado </w:t>
      </w:r>
      <w:r w:rsidR="00A132B3" w:rsidRPr="003A1174">
        <w:rPr>
          <w:rFonts w:ascii="Garamond" w:hAnsi="Garamond" w:cs="Arial"/>
          <w:lang w:val="pt-PT"/>
        </w:rPr>
        <w:t>n</w:t>
      </w:r>
      <w:r w:rsidR="00624B12">
        <w:rPr>
          <w:rFonts w:ascii="Garamond" w:hAnsi="Garamond" w:cs="Arial"/>
          <w:lang w:val="pt-PT"/>
        </w:rPr>
        <w:t>o</w:t>
      </w:r>
      <w:r w:rsidR="00A132B3" w:rsidRPr="003A1174">
        <w:rPr>
          <w:rFonts w:ascii="Garamond" w:hAnsi="Garamond" w:cs="Arial"/>
          <w:lang w:val="pt-PT"/>
        </w:rPr>
        <w:t xml:space="preserve">s </w:t>
      </w:r>
      <w:r w:rsidR="007C63D0" w:rsidRPr="003A1174">
        <w:rPr>
          <w:rFonts w:ascii="Garamond" w:hAnsi="Garamond" w:cs="Arial"/>
          <w:lang w:val="pt-PT"/>
        </w:rPr>
        <w:t>comportamento</w:t>
      </w:r>
      <w:r w:rsidR="00EB78D9" w:rsidRPr="003A1174">
        <w:rPr>
          <w:rFonts w:ascii="Garamond" w:hAnsi="Garamond" w:cs="Arial"/>
          <w:lang w:val="pt-PT"/>
        </w:rPr>
        <w:t>s e</w:t>
      </w:r>
      <w:r w:rsidR="00A132B3" w:rsidRPr="003A1174">
        <w:rPr>
          <w:rFonts w:ascii="Garamond" w:hAnsi="Garamond" w:cs="Arial"/>
          <w:lang w:val="pt-PT"/>
        </w:rPr>
        <w:t xml:space="preserve"> </w:t>
      </w:r>
      <w:r w:rsidR="007342D9" w:rsidRPr="003A1174">
        <w:rPr>
          <w:rFonts w:ascii="Garamond" w:hAnsi="Garamond" w:cs="Arial"/>
          <w:lang w:val="pt-PT"/>
        </w:rPr>
        <w:t>atitudes</w:t>
      </w:r>
      <w:r w:rsidR="00A132B3" w:rsidRPr="003A1174">
        <w:rPr>
          <w:rFonts w:ascii="Garamond" w:hAnsi="Garamond" w:cs="Arial"/>
          <w:lang w:val="pt-PT"/>
        </w:rPr>
        <w:t xml:space="preserve"> d</w:t>
      </w:r>
      <w:r w:rsidR="00EB78D9" w:rsidRPr="003A1174">
        <w:rPr>
          <w:rFonts w:ascii="Garamond" w:hAnsi="Garamond" w:cs="Arial"/>
          <w:lang w:val="pt-PT"/>
        </w:rPr>
        <w:t xml:space="preserve">os </w:t>
      </w:r>
      <w:r w:rsidR="00A132B3" w:rsidRPr="003A1174">
        <w:rPr>
          <w:rFonts w:ascii="Garamond" w:hAnsi="Garamond" w:cs="Arial"/>
          <w:lang w:val="pt-PT"/>
        </w:rPr>
        <w:t>s</w:t>
      </w:r>
      <w:r w:rsidR="00EB78D9" w:rsidRPr="003A1174">
        <w:rPr>
          <w:rFonts w:ascii="Garamond" w:hAnsi="Garamond" w:cs="Arial"/>
          <w:lang w:val="pt-PT"/>
        </w:rPr>
        <w:t>e</w:t>
      </w:r>
      <w:r w:rsidR="00A132B3" w:rsidRPr="003A1174">
        <w:rPr>
          <w:rFonts w:ascii="Garamond" w:hAnsi="Garamond" w:cs="Arial"/>
          <w:lang w:val="pt-PT"/>
        </w:rPr>
        <w:t xml:space="preserve">us </w:t>
      </w:r>
      <w:r w:rsidR="00EB78D9" w:rsidRPr="003A1174">
        <w:rPr>
          <w:rFonts w:ascii="Garamond" w:hAnsi="Garamond" w:cs="Arial"/>
          <w:lang w:val="pt-PT"/>
        </w:rPr>
        <w:t>atores</w:t>
      </w:r>
      <w:r w:rsidR="00A132B3" w:rsidRPr="003A1174">
        <w:rPr>
          <w:rFonts w:ascii="Garamond" w:hAnsi="Garamond" w:cs="Arial"/>
          <w:lang w:val="pt-PT"/>
        </w:rPr>
        <w:t xml:space="preserve"> públicos</w:t>
      </w:r>
      <w:r w:rsidR="00383B3F" w:rsidRPr="003A1174">
        <w:rPr>
          <w:rFonts w:ascii="Garamond" w:hAnsi="Garamond" w:cs="Arial"/>
          <w:lang w:val="pt-PT"/>
        </w:rPr>
        <w:t>,</w:t>
      </w:r>
      <w:r w:rsidR="00A132B3" w:rsidRPr="003A1174">
        <w:rPr>
          <w:rFonts w:ascii="Garamond" w:hAnsi="Garamond" w:cs="Arial"/>
          <w:lang w:val="pt-PT"/>
        </w:rPr>
        <w:t xml:space="preserve"> tanto </w:t>
      </w:r>
      <w:r w:rsidR="00EB78D9" w:rsidRPr="003A1174">
        <w:rPr>
          <w:rFonts w:ascii="Garamond" w:hAnsi="Garamond" w:cs="Arial"/>
          <w:lang w:val="pt-PT"/>
        </w:rPr>
        <w:t xml:space="preserve">no que se refere à </w:t>
      </w:r>
      <w:r w:rsidR="00A132B3" w:rsidRPr="003A1174">
        <w:rPr>
          <w:rFonts w:ascii="Garamond" w:hAnsi="Garamond" w:cs="Arial"/>
          <w:lang w:val="pt-PT"/>
        </w:rPr>
        <w:t>n</w:t>
      </w:r>
      <w:r w:rsidR="00EB78D9" w:rsidRPr="003A1174">
        <w:rPr>
          <w:rFonts w:ascii="Garamond" w:hAnsi="Garamond" w:cs="Arial"/>
          <w:lang w:val="pt-PT"/>
        </w:rPr>
        <w:t>ã</w:t>
      </w:r>
      <w:r w:rsidR="00A132B3" w:rsidRPr="003A1174">
        <w:rPr>
          <w:rFonts w:ascii="Garamond" w:hAnsi="Garamond" w:cs="Arial"/>
          <w:lang w:val="pt-PT"/>
        </w:rPr>
        <w:t xml:space="preserve">o </w:t>
      </w:r>
      <w:r w:rsidR="00BA3CCE" w:rsidRPr="003A1174">
        <w:rPr>
          <w:rFonts w:ascii="Garamond" w:hAnsi="Garamond" w:cs="Arial"/>
          <w:lang w:val="pt-PT"/>
        </w:rPr>
        <w:t>transgressão</w:t>
      </w:r>
      <w:r w:rsidR="00A132B3" w:rsidRPr="003A1174">
        <w:rPr>
          <w:rFonts w:ascii="Garamond" w:hAnsi="Garamond" w:cs="Arial"/>
          <w:lang w:val="pt-PT"/>
        </w:rPr>
        <w:t xml:space="preserve"> dos </w:t>
      </w:r>
      <w:r w:rsidR="00886D6A" w:rsidRPr="003A1174">
        <w:rPr>
          <w:rFonts w:ascii="Garamond" w:hAnsi="Garamond" w:cs="Arial"/>
          <w:lang w:val="pt-PT"/>
        </w:rPr>
        <w:t>direito</w:t>
      </w:r>
      <w:r w:rsidR="00A132B3" w:rsidRPr="003A1174">
        <w:rPr>
          <w:rFonts w:ascii="Garamond" w:hAnsi="Garamond" w:cs="Arial"/>
          <w:lang w:val="pt-PT"/>
        </w:rPr>
        <w:t xml:space="preserve">s humanos das </w:t>
      </w:r>
      <w:r w:rsidR="00054EE0" w:rsidRPr="003A1174">
        <w:rPr>
          <w:rFonts w:ascii="Garamond" w:hAnsi="Garamond" w:cs="Arial"/>
          <w:lang w:val="pt-PT"/>
        </w:rPr>
        <w:t>mulheres</w:t>
      </w:r>
      <w:r w:rsidR="00A132B3" w:rsidRPr="003A1174">
        <w:rPr>
          <w:rFonts w:ascii="Garamond" w:hAnsi="Garamond" w:cs="Arial"/>
          <w:lang w:val="pt-PT"/>
        </w:rPr>
        <w:t xml:space="preserve">, como </w:t>
      </w:r>
      <w:r w:rsidR="000350B1" w:rsidRPr="003A1174">
        <w:rPr>
          <w:rFonts w:ascii="Garamond" w:hAnsi="Garamond" w:cs="Arial"/>
          <w:lang w:val="pt-PT"/>
        </w:rPr>
        <w:t>também</w:t>
      </w:r>
      <w:r w:rsidR="00624B12">
        <w:rPr>
          <w:rFonts w:ascii="Garamond" w:hAnsi="Garamond" w:cs="Arial"/>
          <w:lang w:val="pt-PT"/>
        </w:rPr>
        <w:t>,</w:t>
      </w:r>
      <w:r w:rsidR="00A132B3" w:rsidRPr="003A1174">
        <w:rPr>
          <w:rFonts w:ascii="Garamond" w:hAnsi="Garamond" w:cs="Arial"/>
          <w:lang w:val="pt-PT"/>
        </w:rPr>
        <w:t xml:space="preserve"> </w:t>
      </w:r>
      <w:r w:rsidR="00EB78D9" w:rsidRPr="003A1174">
        <w:rPr>
          <w:rFonts w:ascii="Garamond" w:hAnsi="Garamond" w:cs="Arial"/>
          <w:lang w:val="pt-PT"/>
        </w:rPr>
        <w:t>n</w:t>
      </w:r>
      <w:r w:rsidR="00624B12">
        <w:rPr>
          <w:rFonts w:ascii="Garamond" w:hAnsi="Garamond" w:cs="Arial"/>
          <w:lang w:val="pt-PT"/>
        </w:rPr>
        <w:t>a</w:t>
      </w:r>
      <w:r w:rsidR="00EB78D9" w:rsidRPr="003A1174">
        <w:rPr>
          <w:rFonts w:ascii="Garamond" w:hAnsi="Garamond" w:cs="Arial"/>
          <w:lang w:val="pt-PT"/>
        </w:rPr>
        <w:t xml:space="preserve"> conceção e execução</w:t>
      </w:r>
      <w:r w:rsidR="00A132B3" w:rsidRPr="003A1174">
        <w:rPr>
          <w:rFonts w:ascii="Garamond" w:hAnsi="Garamond" w:cs="Arial"/>
          <w:lang w:val="pt-PT"/>
        </w:rPr>
        <w:t xml:space="preserve"> de políticas públicas </w:t>
      </w:r>
      <w:r w:rsidR="00383B3F" w:rsidRPr="003A1174">
        <w:rPr>
          <w:rFonts w:ascii="Garamond" w:hAnsi="Garamond" w:cs="Arial"/>
          <w:lang w:val="pt-PT"/>
        </w:rPr>
        <w:t>dir</w:t>
      </w:r>
      <w:r w:rsidR="00DA1F5C" w:rsidRPr="003A1174">
        <w:rPr>
          <w:rFonts w:ascii="Garamond" w:hAnsi="Garamond" w:cs="Arial"/>
          <w:lang w:val="pt-PT"/>
        </w:rPr>
        <w:t xml:space="preserve">ecionadas para que se consiga </w:t>
      </w:r>
      <w:r w:rsidR="00EB78D9" w:rsidRPr="003A1174">
        <w:rPr>
          <w:rFonts w:ascii="Garamond" w:hAnsi="Garamond" w:cs="Arial"/>
          <w:lang w:val="pt-PT"/>
        </w:rPr>
        <w:t xml:space="preserve">o </w:t>
      </w:r>
      <w:r w:rsidR="00A132B3" w:rsidRPr="003A1174">
        <w:rPr>
          <w:rFonts w:ascii="Garamond" w:hAnsi="Garamond" w:cs="Arial"/>
          <w:lang w:val="pt-PT"/>
        </w:rPr>
        <w:t>respe</w:t>
      </w:r>
      <w:r w:rsidR="00EB78D9" w:rsidRPr="003A1174">
        <w:rPr>
          <w:rFonts w:ascii="Garamond" w:hAnsi="Garamond" w:cs="Arial"/>
          <w:lang w:val="pt-PT"/>
        </w:rPr>
        <w:t>ito e</w:t>
      </w:r>
      <w:r w:rsidR="00A132B3" w:rsidRPr="003A1174">
        <w:rPr>
          <w:rFonts w:ascii="Garamond" w:hAnsi="Garamond" w:cs="Arial"/>
          <w:lang w:val="pt-PT"/>
        </w:rPr>
        <w:t xml:space="preserve"> </w:t>
      </w:r>
      <w:r w:rsidR="00DA1F5C" w:rsidRPr="003A1174">
        <w:rPr>
          <w:rFonts w:ascii="Garamond" w:hAnsi="Garamond" w:cs="Arial"/>
          <w:lang w:val="pt-PT"/>
        </w:rPr>
        <w:t xml:space="preserve">a </w:t>
      </w:r>
      <w:r w:rsidR="00A56F43" w:rsidRPr="003A1174">
        <w:rPr>
          <w:rFonts w:ascii="Garamond" w:hAnsi="Garamond" w:cs="Arial"/>
          <w:lang w:val="pt-PT"/>
        </w:rPr>
        <w:t>garantia</w:t>
      </w:r>
      <w:r w:rsidR="00A132B3" w:rsidRPr="003A1174">
        <w:rPr>
          <w:rFonts w:ascii="Garamond" w:hAnsi="Garamond" w:cs="Arial"/>
          <w:lang w:val="pt-PT"/>
        </w:rPr>
        <w:t xml:space="preserve"> d</w:t>
      </w:r>
      <w:r w:rsidR="00EB78D9" w:rsidRPr="003A1174">
        <w:rPr>
          <w:rFonts w:ascii="Garamond" w:hAnsi="Garamond" w:cs="Arial"/>
          <w:lang w:val="pt-PT"/>
        </w:rPr>
        <w:t>os me</w:t>
      </w:r>
      <w:r w:rsidR="00A132B3" w:rsidRPr="003A1174">
        <w:rPr>
          <w:rFonts w:ascii="Garamond" w:hAnsi="Garamond" w:cs="Arial"/>
          <w:lang w:val="pt-PT"/>
        </w:rPr>
        <w:t xml:space="preserve">smos </w:t>
      </w:r>
      <w:r w:rsidR="00383B3F" w:rsidRPr="003A1174">
        <w:rPr>
          <w:rFonts w:ascii="Garamond" w:hAnsi="Garamond" w:cs="Arial"/>
          <w:lang w:val="pt-PT"/>
        </w:rPr>
        <w:t>mediante,</w:t>
      </w:r>
      <w:r w:rsidR="00A132B3" w:rsidRPr="003A1174">
        <w:rPr>
          <w:rFonts w:ascii="Garamond" w:hAnsi="Garamond" w:cs="Arial"/>
          <w:lang w:val="pt-PT"/>
        </w:rPr>
        <w:t xml:space="preserve"> por </w:t>
      </w:r>
      <w:r w:rsidR="002F5CD1" w:rsidRPr="003A1174">
        <w:rPr>
          <w:rFonts w:ascii="Garamond" w:hAnsi="Garamond" w:cs="Arial"/>
          <w:lang w:val="pt-PT"/>
        </w:rPr>
        <w:t>exemplo</w:t>
      </w:r>
      <w:r w:rsidR="00A132B3" w:rsidRPr="003A1174">
        <w:rPr>
          <w:rFonts w:ascii="Garamond" w:hAnsi="Garamond" w:cs="Arial"/>
          <w:lang w:val="pt-PT"/>
        </w:rPr>
        <w:t xml:space="preserve"> </w:t>
      </w:r>
      <w:r w:rsidR="00624B12">
        <w:rPr>
          <w:rFonts w:ascii="Garamond" w:hAnsi="Garamond" w:cs="Arial"/>
          <w:lang w:val="pt-PT"/>
        </w:rPr>
        <w:t>-</w:t>
      </w:r>
      <w:r w:rsidR="00EB78D9" w:rsidRPr="003A1174">
        <w:rPr>
          <w:rFonts w:ascii="Garamond" w:hAnsi="Garamond" w:cs="Arial"/>
          <w:lang w:val="pt-PT"/>
        </w:rPr>
        <w:t xml:space="preserve"> </w:t>
      </w:r>
      <w:r w:rsidR="00A132B3" w:rsidRPr="003A1174">
        <w:rPr>
          <w:rFonts w:ascii="Garamond" w:hAnsi="Garamond" w:cs="Arial"/>
          <w:lang w:val="pt-PT"/>
        </w:rPr>
        <w:t xml:space="preserve">como </w:t>
      </w:r>
      <w:r w:rsidR="00EB78D9" w:rsidRPr="003A1174">
        <w:rPr>
          <w:rFonts w:ascii="Garamond" w:hAnsi="Garamond" w:cs="Arial"/>
          <w:lang w:val="pt-PT"/>
        </w:rPr>
        <w:t xml:space="preserve">no </w:t>
      </w:r>
      <w:r w:rsidR="00A132B3" w:rsidRPr="003A1174">
        <w:rPr>
          <w:rFonts w:ascii="Garamond" w:hAnsi="Garamond" w:cs="Arial"/>
          <w:lang w:val="pt-PT"/>
        </w:rPr>
        <w:t>caso d</w:t>
      </w:r>
      <w:r w:rsidR="00EB78D9" w:rsidRPr="003A1174">
        <w:rPr>
          <w:rFonts w:ascii="Garamond" w:hAnsi="Garamond" w:cs="Arial"/>
          <w:lang w:val="pt-PT"/>
        </w:rPr>
        <w:t>o nosso</w:t>
      </w:r>
      <w:r w:rsidR="00A132B3" w:rsidRPr="003A1174">
        <w:rPr>
          <w:rFonts w:ascii="Garamond" w:hAnsi="Garamond" w:cs="Arial"/>
          <w:lang w:val="pt-PT"/>
        </w:rPr>
        <w:t xml:space="preserve"> </w:t>
      </w:r>
      <w:r w:rsidR="003F012B" w:rsidRPr="003A1174">
        <w:rPr>
          <w:rFonts w:ascii="Garamond" w:hAnsi="Garamond" w:cs="Arial"/>
          <w:lang w:val="pt-PT"/>
        </w:rPr>
        <w:t>estudo</w:t>
      </w:r>
      <w:r w:rsidR="00EB78D9" w:rsidRPr="003A1174">
        <w:rPr>
          <w:rFonts w:ascii="Garamond" w:hAnsi="Garamond" w:cs="Arial"/>
          <w:lang w:val="pt-PT"/>
        </w:rPr>
        <w:t xml:space="preserve"> </w:t>
      </w:r>
      <w:r w:rsidR="00624B12">
        <w:rPr>
          <w:rFonts w:ascii="Garamond" w:hAnsi="Garamond" w:cs="Arial"/>
          <w:lang w:val="pt-PT"/>
        </w:rPr>
        <w:t>-</w:t>
      </w:r>
      <w:r w:rsidR="00DA1F5C" w:rsidRPr="003A1174">
        <w:rPr>
          <w:rFonts w:ascii="Garamond" w:hAnsi="Garamond" w:cs="Arial"/>
          <w:lang w:val="pt-PT"/>
        </w:rPr>
        <w:t xml:space="preserve"> </w:t>
      </w:r>
      <w:r w:rsidR="00A132B3" w:rsidRPr="003A1174">
        <w:rPr>
          <w:rFonts w:ascii="Garamond" w:hAnsi="Garamond" w:cs="Arial"/>
          <w:lang w:val="pt-PT"/>
        </w:rPr>
        <w:t xml:space="preserve">a </w:t>
      </w:r>
      <w:r w:rsidR="007578C6" w:rsidRPr="003A1174">
        <w:rPr>
          <w:rFonts w:ascii="Garamond" w:hAnsi="Garamond" w:cs="Arial"/>
          <w:lang w:val="pt-PT"/>
        </w:rPr>
        <w:t>prevenção</w:t>
      </w:r>
      <w:r w:rsidR="00A132B3" w:rsidRPr="003A1174">
        <w:rPr>
          <w:rFonts w:ascii="Garamond" w:hAnsi="Garamond" w:cs="Arial"/>
          <w:lang w:val="pt-PT"/>
        </w:rPr>
        <w:t xml:space="preserve">, </w:t>
      </w:r>
      <w:r w:rsidR="00E7631C" w:rsidRPr="003A1174">
        <w:rPr>
          <w:rFonts w:ascii="Garamond" w:hAnsi="Garamond" w:cs="Arial"/>
          <w:lang w:val="pt-PT"/>
        </w:rPr>
        <w:t xml:space="preserve">punição </w:t>
      </w:r>
      <w:r w:rsidR="00EB78D9" w:rsidRPr="003A1174">
        <w:rPr>
          <w:rFonts w:ascii="Garamond" w:hAnsi="Garamond" w:cs="Arial"/>
          <w:lang w:val="pt-PT"/>
        </w:rPr>
        <w:t>e</w:t>
      </w:r>
      <w:r w:rsidR="00A132B3" w:rsidRPr="003A1174">
        <w:rPr>
          <w:rFonts w:ascii="Garamond" w:hAnsi="Garamond" w:cs="Arial"/>
          <w:lang w:val="pt-PT"/>
        </w:rPr>
        <w:t xml:space="preserve"> </w:t>
      </w:r>
      <w:r w:rsidR="00C30647" w:rsidRPr="003A1174">
        <w:rPr>
          <w:rFonts w:ascii="Garamond" w:hAnsi="Garamond" w:cs="Arial"/>
          <w:lang w:val="pt-PT"/>
        </w:rPr>
        <w:t>erradicação</w:t>
      </w:r>
      <w:r w:rsidR="00A132B3" w:rsidRPr="003A1174">
        <w:rPr>
          <w:rFonts w:ascii="Garamond" w:hAnsi="Garamond" w:cs="Arial"/>
          <w:lang w:val="pt-PT"/>
        </w:rPr>
        <w:t xml:space="preserve"> da </w:t>
      </w:r>
      <w:r w:rsidR="000350B1" w:rsidRPr="003A1174">
        <w:rPr>
          <w:rFonts w:ascii="Garamond" w:hAnsi="Garamond" w:cs="Arial"/>
          <w:lang w:val="pt-PT"/>
        </w:rPr>
        <w:t>violência</w:t>
      </w:r>
      <w:r w:rsidR="00EB78D9" w:rsidRPr="003A1174">
        <w:rPr>
          <w:rFonts w:ascii="Garamond" w:hAnsi="Garamond" w:cs="Arial"/>
          <w:lang w:val="pt-PT"/>
        </w:rPr>
        <w:t xml:space="preserve"> contra </w:t>
      </w:r>
      <w:r w:rsidR="00A132B3" w:rsidRPr="003A1174">
        <w:rPr>
          <w:rFonts w:ascii="Garamond" w:hAnsi="Garamond" w:cs="Arial"/>
          <w:lang w:val="pt-PT"/>
        </w:rPr>
        <w:t xml:space="preserve">as </w:t>
      </w:r>
      <w:r w:rsidR="00054EE0" w:rsidRPr="003A1174">
        <w:rPr>
          <w:rFonts w:ascii="Garamond" w:hAnsi="Garamond" w:cs="Arial"/>
          <w:lang w:val="pt-PT"/>
        </w:rPr>
        <w:t>mulheres</w:t>
      </w:r>
      <w:r w:rsidR="00624B12">
        <w:rPr>
          <w:rFonts w:ascii="Garamond" w:hAnsi="Garamond" w:cs="Arial"/>
          <w:lang w:val="pt-PT"/>
        </w:rPr>
        <w:t>,</w:t>
      </w:r>
      <w:r w:rsidR="00EB78D9" w:rsidRPr="003A1174">
        <w:rPr>
          <w:rFonts w:ascii="Garamond" w:hAnsi="Garamond" w:cs="Arial"/>
          <w:lang w:val="pt-PT"/>
        </w:rPr>
        <w:t xml:space="preserve"> em</w:t>
      </w:r>
      <w:r w:rsidR="00A132B3" w:rsidRPr="003A1174">
        <w:rPr>
          <w:rFonts w:ascii="Garamond" w:hAnsi="Garamond" w:cs="Arial"/>
          <w:lang w:val="pt-PT"/>
        </w:rPr>
        <w:t xml:space="preserve"> </w:t>
      </w:r>
      <w:r w:rsidR="00077461" w:rsidRPr="003A1174">
        <w:rPr>
          <w:rFonts w:ascii="Garamond" w:hAnsi="Garamond" w:cs="Arial"/>
          <w:lang w:val="pt-PT"/>
        </w:rPr>
        <w:t>geral</w:t>
      </w:r>
      <w:r w:rsidR="00A132B3" w:rsidRPr="003A1174">
        <w:rPr>
          <w:rFonts w:ascii="Garamond" w:hAnsi="Garamond" w:cs="Arial"/>
          <w:lang w:val="pt-PT"/>
        </w:rPr>
        <w:t xml:space="preserve"> </w:t>
      </w:r>
      <w:r w:rsidR="00EB78D9" w:rsidRPr="003A1174">
        <w:rPr>
          <w:rFonts w:ascii="Garamond" w:hAnsi="Garamond" w:cs="Arial"/>
          <w:lang w:val="pt-PT"/>
        </w:rPr>
        <w:t>e</w:t>
      </w:r>
      <w:r w:rsidR="00E7631C" w:rsidRPr="003A1174">
        <w:rPr>
          <w:rFonts w:ascii="Garamond" w:hAnsi="Garamond" w:cs="Arial"/>
          <w:lang w:val="pt-PT"/>
        </w:rPr>
        <w:t>,</w:t>
      </w:r>
      <w:r w:rsidR="00A132B3" w:rsidRPr="003A1174">
        <w:rPr>
          <w:rFonts w:ascii="Garamond" w:hAnsi="Garamond" w:cs="Arial"/>
          <w:lang w:val="pt-PT"/>
        </w:rPr>
        <w:t xml:space="preserve"> </w:t>
      </w:r>
      <w:r w:rsidR="009B133A" w:rsidRPr="003A1174">
        <w:rPr>
          <w:rFonts w:ascii="Garamond" w:hAnsi="Garamond" w:cs="Arial"/>
          <w:lang w:val="pt-PT"/>
        </w:rPr>
        <w:t>especificamente</w:t>
      </w:r>
      <w:r w:rsidR="00E7631C" w:rsidRPr="003A1174">
        <w:rPr>
          <w:rFonts w:ascii="Garamond" w:hAnsi="Garamond" w:cs="Arial"/>
          <w:lang w:val="pt-PT"/>
        </w:rPr>
        <w:t>,</w:t>
      </w:r>
      <w:r w:rsidR="00A132B3" w:rsidRPr="003A1174">
        <w:rPr>
          <w:rFonts w:ascii="Garamond" w:hAnsi="Garamond" w:cs="Arial"/>
          <w:lang w:val="pt-PT"/>
        </w:rPr>
        <w:t xml:space="preserve"> </w:t>
      </w:r>
      <w:r w:rsidR="00EB78D9" w:rsidRPr="003A1174">
        <w:rPr>
          <w:rFonts w:ascii="Garamond" w:hAnsi="Garamond" w:cs="Arial"/>
          <w:lang w:val="pt-PT"/>
        </w:rPr>
        <w:t xml:space="preserve">no </w:t>
      </w:r>
      <w:r w:rsidR="00802ACC" w:rsidRPr="003A1174">
        <w:rPr>
          <w:rFonts w:ascii="Garamond" w:hAnsi="Garamond" w:cs="Arial"/>
          <w:lang w:val="pt-PT"/>
        </w:rPr>
        <w:t>âmbito</w:t>
      </w:r>
      <w:r w:rsidR="00A132B3" w:rsidRPr="003A1174">
        <w:rPr>
          <w:rFonts w:ascii="Garamond" w:hAnsi="Garamond" w:cs="Arial"/>
          <w:lang w:val="pt-PT"/>
        </w:rPr>
        <w:t xml:space="preserve"> familiar o</w:t>
      </w:r>
      <w:r w:rsidR="00EB78D9" w:rsidRPr="003A1174">
        <w:rPr>
          <w:rFonts w:ascii="Garamond" w:hAnsi="Garamond" w:cs="Arial"/>
          <w:lang w:val="pt-PT"/>
        </w:rPr>
        <w:t>u</w:t>
      </w:r>
      <w:r w:rsidR="00A132B3" w:rsidRPr="003A1174">
        <w:rPr>
          <w:rFonts w:ascii="Garamond" w:hAnsi="Garamond" w:cs="Arial"/>
          <w:lang w:val="pt-PT"/>
        </w:rPr>
        <w:t xml:space="preserve"> </w:t>
      </w:r>
      <w:r w:rsidR="00C031E1" w:rsidRPr="003A1174">
        <w:rPr>
          <w:rFonts w:ascii="Garamond" w:hAnsi="Garamond" w:cs="Arial"/>
          <w:lang w:val="pt-PT"/>
        </w:rPr>
        <w:t>intrafamiliar</w:t>
      </w:r>
      <w:r w:rsidR="00A132B3" w:rsidRPr="003A1174">
        <w:rPr>
          <w:rFonts w:ascii="Garamond" w:hAnsi="Garamond" w:cs="Arial"/>
          <w:lang w:val="pt-PT"/>
        </w:rPr>
        <w:t>.</w:t>
      </w:r>
    </w:p>
    <w:p w:rsidR="00A132B3" w:rsidRPr="003A1174" w:rsidRDefault="00EB78D9" w:rsidP="008719D4">
      <w:pPr>
        <w:pStyle w:val="Ttulo2"/>
        <w:numPr>
          <w:ilvl w:val="1"/>
          <w:numId w:val="48"/>
        </w:numPr>
        <w:rPr>
          <w:rFonts w:ascii="Garamond" w:hAnsi="Garamond"/>
          <w:sz w:val="24"/>
          <w:szCs w:val="24"/>
        </w:rPr>
      </w:pPr>
      <w:bookmarkStart w:id="8" w:name="_Toc421529696"/>
      <w:r w:rsidRPr="003A1174">
        <w:rPr>
          <w:rFonts w:ascii="Garamond" w:hAnsi="Garamond"/>
          <w:sz w:val="24"/>
          <w:szCs w:val="24"/>
        </w:rPr>
        <w:t xml:space="preserve">O </w:t>
      </w:r>
      <w:r w:rsidR="00886D6A" w:rsidRPr="003A1174">
        <w:rPr>
          <w:rFonts w:ascii="Garamond" w:hAnsi="Garamond"/>
          <w:sz w:val="24"/>
          <w:szCs w:val="24"/>
        </w:rPr>
        <w:t>Acesso</w:t>
      </w:r>
      <w:r w:rsidR="00A132B3" w:rsidRPr="003A1174">
        <w:rPr>
          <w:rFonts w:ascii="Garamond" w:hAnsi="Garamond"/>
          <w:sz w:val="24"/>
          <w:szCs w:val="24"/>
        </w:rPr>
        <w:t xml:space="preserve"> </w:t>
      </w:r>
      <w:r w:rsidRPr="003A1174">
        <w:rPr>
          <w:rFonts w:ascii="Garamond" w:hAnsi="Garamond"/>
          <w:sz w:val="24"/>
          <w:szCs w:val="24"/>
        </w:rPr>
        <w:t xml:space="preserve">à </w:t>
      </w:r>
      <w:r w:rsidR="00FC1F7F" w:rsidRPr="003A1174">
        <w:rPr>
          <w:rFonts w:ascii="Garamond" w:hAnsi="Garamond"/>
          <w:sz w:val="24"/>
          <w:szCs w:val="24"/>
        </w:rPr>
        <w:t>Justiça</w:t>
      </w:r>
      <w:r w:rsidR="00A132B3" w:rsidRPr="003A1174">
        <w:rPr>
          <w:rFonts w:ascii="Garamond" w:hAnsi="Garamond"/>
          <w:sz w:val="24"/>
          <w:szCs w:val="24"/>
        </w:rPr>
        <w:t xml:space="preserve"> como </w:t>
      </w:r>
      <w:r w:rsidR="00886D6A" w:rsidRPr="003A1174">
        <w:rPr>
          <w:rFonts w:ascii="Garamond" w:hAnsi="Garamond"/>
          <w:sz w:val="24"/>
          <w:szCs w:val="24"/>
        </w:rPr>
        <w:t>direito</w:t>
      </w:r>
      <w:r w:rsidRPr="003A1174">
        <w:rPr>
          <w:rFonts w:ascii="Garamond" w:hAnsi="Garamond"/>
          <w:sz w:val="24"/>
          <w:szCs w:val="24"/>
        </w:rPr>
        <w:t xml:space="preserve"> humano que garant</w:t>
      </w:r>
      <w:r w:rsidR="00A132B3" w:rsidRPr="003A1174">
        <w:rPr>
          <w:rFonts w:ascii="Garamond" w:hAnsi="Garamond"/>
          <w:sz w:val="24"/>
          <w:szCs w:val="24"/>
        </w:rPr>
        <w:t xml:space="preserve">a </w:t>
      </w:r>
      <w:r w:rsidRPr="003A1174">
        <w:rPr>
          <w:rFonts w:ascii="Garamond" w:hAnsi="Garamond"/>
          <w:sz w:val="24"/>
          <w:szCs w:val="24"/>
        </w:rPr>
        <w:t xml:space="preserve">o </w:t>
      </w:r>
      <w:r w:rsidR="00886D6A" w:rsidRPr="003A1174">
        <w:rPr>
          <w:rFonts w:ascii="Garamond" w:hAnsi="Garamond"/>
          <w:sz w:val="24"/>
          <w:szCs w:val="24"/>
        </w:rPr>
        <w:t>direito</w:t>
      </w:r>
      <w:r w:rsidR="00A132B3" w:rsidRPr="003A1174">
        <w:rPr>
          <w:rFonts w:ascii="Garamond" w:hAnsi="Garamond"/>
          <w:sz w:val="24"/>
          <w:szCs w:val="24"/>
        </w:rPr>
        <w:t xml:space="preserve"> das </w:t>
      </w:r>
      <w:r w:rsidR="00054EE0" w:rsidRPr="003A1174">
        <w:rPr>
          <w:rFonts w:ascii="Garamond" w:hAnsi="Garamond"/>
          <w:sz w:val="24"/>
          <w:szCs w:val="24"/>
        </w:rPr>
        <w:t>mulheres</w:t>
      </w:r>
      <w:r w:rsidRPr="003A1174">
        <w:rPr>
          <w:rFonts w:ascii="Garamond" w:hAnsi="Garamond"/>
          <w:sz w:val="24"/>
          <w:szCs w:val="24"/>
        </w:rPr>
        <w:t xml:space="preserve"> a um</w:t>
      </w:r>
      <w:r w:rsidR="00A132B3" w:rsidRPr="003A1174">
        <w:rPr>
          <w:rFonts w:ascii="Garamond" w:hAnsi="Garamond"/>
          <w:sz w:val="24"/>
          <w:szCs w:val="24"/>
        </w:rPr>
        <w:t xml:space="preserve">a vida </w:t>
      </w:r>
      <w:r w:rsidR="00AF192F" w:rsidRPr="003A1174">
        <w:rPr>
          <w:rFonts w:ascii="Garamond" w:hAnsi="Garamond"/>
          <w:sz w:val="24"/>
          <w:szCs w:val="24"/>
        </w:rPr>
        <w:t>livre</w:t>
      </w:r>
      <w:r w:rsidR="00A132B3" w:rsidRPr="003A1174">
        <w:rPr>
          <w:rFonts w:ascii="Garamond" w:hAnsi="Garamond"/>
          <w:sz w:val="24"/>
          <w:szCs w:val="24"/>
        </w:rPr>
        <w:t xml:space="preserve"> de </w:t>
      </w:r>
      <w:r w:rsidR="000350B1" w:rsidRPr="003A1174">
        <w:rPr>
          <w:rFonts w:ascii="Garamond" w:hAnsi="Garamond"/>
          <w:sz w:val="24"/>
          <w:szCs w:val="24"/>
        </w:rPr>
        <w:t>violência</w:t>
      </w:r>
      <w:bookmarkEnd w:id="8"/>
    </w:p>
    <w:p w:rsidR="005523A8" w:rsidRPr="005523A8" w:rsidRDefault="00EB78D9" w:rsidP="005523A8">
      <w:pPr>
        <w:pStyle w:val="NormalWeb"/>
        <w:jc w:val="both"/>
        <w:rPr>
          <w:rFonts w:ascii="Garamond" w:hAnsi="Garamond" w:cs="Arial"/>
          <w:lang w:val="pt-PT"/>
        </w:rPr>
      </w:pPr>
      <w:r w:rsidRPr="003A1174">
        <w:rPr>
          <w:rFonts w:ascii="Garamond" w:hAnsi="Garamond" w:cs="Arial"/>
          <w:lang w:val="pt-PT"/>
        </w:rPr>
        <w:t>O</w:t>
      </w:r>
      <w:r w:rsidR="00A132B3" w:rsidRPr="003A1174">
        <w:rPr>
          <w:rFonts w:ascii="Garamond" w:hAnsi="Garamond" w:cs="Arial"/>
          <w:lang w:val="pt-PT"/>
        </w:rPr>
        <w:t xml:space="preserve"> enunciado d</w:t>
      </w:r>
      <w:r w:rsidRPr="003A1174">
        <w:rPr>
          <w:rFonts w:ascii="Garamond" w:hAnsi="Garamond" w:cs="Arial"/>
          <w:lang w:val="pt-PT"/>
        </w:rPr>
        <w:t>o</w:t>
      </w:r>
      <w:r w:rsidR="00A132B3" w:rsidRPr="003A1174">
        <w:rPr>
          <w:rFonts w:ascii="Garamond" w:hAnsi="Garamond" w:cs="Arial"/>
          <w:lang w:val="pt-PT"/>
        </w:rPr>
        <w:t xml:space="preserve"> tema, </w:t>
      </w:r>
      <w:r w:rsidRPr="003A1174">
        <w:rPr>
          <w:rFonts w:ascii="Garamond" w:hAnsi="Garamond" w:cs="Arial"/>
          <w:lang w:val="pt-PT"/>
        </w:rPr>
        <w:t xml:space="preserve">no </w:t>
      </w:r>
      <w:r w:rsidR="00A132B3" w:rsidRPr="003A1174">
        <w:rPr>
          <w:rFonts w:ascii="Garamond" w:hAnsi="Garamond" w:cs="Arial"/>
          <w:lang w:val="pt-PT"/>
        </w:rPr>
        <w:t xml:space="preserve">contexto da problemática da </w:t>
      </w:r>
      <w:r w:rsidR="000350B1" w:rsidRPr="003A1174">
        <w:rPr>
          <w:rFonts w:ascii="Garamond" w:hAnsi="Garamond" w:cs="Arial"/>
          <w:lang w:val="pt-PT"/>
        </w:rPr>
        <w:t>violência</w:t>
      </w:r>
      <w:r w:rsidRPr="003A1174">
        <w:rPr>
          <w:rFonts w:ascii="Garamond" w:hAnsi="Garamond" w:cs="Arial"/>
          <w:lang w:val="pt-PT"/>
        </w:rPr>
        <w:t xml:space="preserve"> contra </w:t>
      </w:r>
      <w:r w:rsidR="00A132B3" w:rsidRPr="003A1174">
        <w:rPr>
          <w:rFonts w:ascii="Garamond" w:hAnsi="Garamond" w:cs="Arial"/>
          <w:lang w:val="pt-PT"/>
        </w:rPr>
        <w:t xml:space="preserve">as </w:t>
      </w:r>
      <w:r w:rsidR="00054EE0" w:rsidRPr="003A1174">
        <w:rPr>
          <w:rFonts w:ascii="Garamond" w:hAnsi="Garamond" w:cs="Arial"/>
          <w:lang w:val="pt-PT"/>
        </w:rPr>
        <w:t>mulheres</w:t>
      </w:r>
      <w:r w:rsidR="00A132B3" w:rsidRPr="003A1174">
        <w:rPr>
          <w:rFonts w:ascii="Garamond" w:hAnsi="Garamond" w:cs="Arial"/>
          <w:lang w:val="pt-PT"/>
        </w:rPr>
        <w:t xml:space="preserve"> </w:t>
      </w:r>
      <w:r w:rsidR="00575763">
        <w:rPr>
          <w:rFonts w:ascii="Garamond" w:hAnsi="Garamond" w:cs="Arial"/>
          <w:lang w:val="pt-PT"/>
        </w:rPr>
        <w:t>-</w:t>
      </w:r>
      <w:r w:rsidR="0086401D" w:rsidRPr="003A1174">
        <w:rPr>
          <w:rFonts w:ascii="Garamond" w:hAnsi="Garamond" w:cs="Arial"/>
          <w:lang w:val="pt-PT"/>
        </w:rPr>
        <w:t xml:space="preserve"> e c</w:t>
      </w:r>
      <w:r w:rsidR="00A132B3" w:rsidRPr="003A1174">
        <w:rPr>
          <w:rFonts w:ascii="Garamond" w:hAnsi="Garamond" w:cs="Arial"/>
          <w:lang w:val="pt-PT"/>
        </w:rPr>
        <w:t>ertamente</w:t>
      </w:r>
      <w:r w:rsidR="00575763">
        <w:rPr>
          <w:rFonts w:ascii="Garamond" w:hAnsi="Garamond" w:cs="Arial"/>
          <w:lang w:val="pt-PT"/>
        </w:rPr>
        <w:t>,</w:t>
      </w:r>
      <w:r w:rsidR="00A132B3" w:rsidRPr="003A1174">
        <w:rPr>
          <w:rFonts w:ascii="Garamond" w:hAnsi="Garamond" w:cs="Arial"/>
          <w:lang w:val="pt-PT"/>
        </w:rPr>
        <w:t xml:space="preserve"> </w:t>
      </w:r>
      <w:r w:rsidR="0086401D" w:rsidRPr="003A1174">
        <w:rPr>
          <w:rFonts w:ascii="Garamond" w:hAnsi="Garamond" w:cs="Arial"/>
          <w:lang w:val="pt-PT"/>
        </w:rPr>
        <w:t xml:space="preserve">no da </w:t>
      </w:r>
      <w:r w:rsidR="000350B1" w:rsidRPr="003A1174">
        <w:rPr>
          <w:rFonts w:ascii="Garamond" w:hAnsi="Garamond" w:cs="Arial"/>
          <w:lang w:val="pt-PT"/>
        </w:rPr>
        <w:t>violência</w:t>
      </w:r>
      <w:r w:rsidR="00A132B3" w:rsidRPr="003A1174">
        <w:rPr>
          <w:rFonts w:ascii="Garamond" w:hAnsi="Garamond" w:cs="Arial"/>
          <w:lang w:val="pt-PT"/>
        </w:rPr>
        <w:t xml:space="preserve"> intrafamiliar</w:t>
      </w:r>
      <w:r w:rsidR="0086401D" w:rsidRPr="003A1174">
        <w:rPr>
          <w:rFonts w:ascii="Garamond" w:hAnsi="Garamond" w:cs="Arial"/>
          <w:lang w:val="pt-PT"/>
        </w:rPr>
        <w:t xml:space="preserve"> </w:t>
      </w:r>
      <w:r w:rsidR="00575763">
        <w:rPr>
          <w:rFonts w:ascii="Garamond" w:hAnsi="Garamond" w:cs="Arial"/>
          <w:lang w:val="pt-PT"/>
        </w:rPr>
        <w:t>-</w:t>
      </w:r>
      <w:r w:rsidR="00A132B3" w:rsidRPr="003A1174">
        <w:rPr>
          <w:rFonts w:ascii="Garamond" w:hAnsi="Garamond" w:cs="Arial"/>
          <w:lang w:val="pt-PT"/>
        </w:rPr>
        <w:t xml:space="preserve"> </w:t>
      </w:r>
      <w:r w:rsidR="007342D9" w:rsidRPr="003A1174">
        <w:rPr>
          <w:rFonts w:ascii="Garamond" w:hAnsi="Garamond" w:cs="Arial"/>
          <w:lang w:val="pt-PT"/>
        </w:rPr>
        <w:t>pode</w:t>
      </w:r>
      <w:r w:rsidR="00A132B3" w:rsidRPr="003A1174">
        <w:rPr>
          <w:rFonts w:ascii="Garamond" w:hAnsi="Garamond" w:cs="Arial"/>
          <w:lang w:val="pt-PT"/>
        </w:rPr>
        <w:t xml:space="preserve"> relacionar</w:t>
      </w:r>
      <w:r w:rsidR="0086401D" w:rsidRPr="003A1174">
        <w:rPr>
          <w:rFonts w:ascii="Garamond" w:hAnsi="Garamond" w:cs="Arial"/>
          <w:lang w:val="pt-PT"/>
        </w:rPr>
        <w:t>-</w:t>
      </w:r>
      <w:r w:rsidR="00A132B3" w:rsidRPr="003A1174">
        <w:rPr>
          <w:rFonts w:ascii="Garamond" w:hAnsi="Garamond" w:cs="Arial"/>
          <w:lang w:val="pt-PT"/>
        </w:rPr>
        <w:t xml:space="preserve">se </w:t>
      </w:r>
      <w:r w:rsidR="00A132B3" w:rsidRPr="003A1174">
        <w:rPr>
          <w:rFonts w:ascii="Garamond" w:hAnsi="Garamond" w:cs="Arial"/>
          <w:i/>
          <w:lang w:val="pt-PT"/>
        </w:rPr>
        <w:t>prima facie</w:t>
      </w:r>
      <w:r w:rsidR="00A132B3" w:rsidRPr="003A1174">
        <w:rPr>
          <w:rFonts w:ascii="Garamond" w:hAnsi="Garamond" w:cs="Arial"/>
          <w:lang w:val="pt-PT"/>
        </w:rPr>
        <w:t xml:space="preserve"> co</w:t>
      </w:r>
      <w:r w:rsidR="0086401D" w:rsidRPr="003A1174">
        <w:rPr>
          <w:rFonts w:ascii="Garamond" w:hAnsi="Garamond" w:cs="Arial"/>
          <w:lang w:val="pt-PT"/>
        </w:rPr>
        <w:t xml:space="preserve">m o </w:t>
      </w:r>
      <w:r w:rsidR="00383B3F" w:rsidRPr="003A1174">
        <w:rPr>
          <w:rFonts w:ascii="Garamond" w:hAnsi="Garamond" w:cs="Arial"/>
          <w:lang w:val="pt-PT"/>
        </w:rPr>
        <w:t xml:space="preserve">Art. </w:t>
      </w:r>
      <w:r w:rsidR="00C031E1" w:rsidRPr="003A1174">
        <w:rPr>
          <w:rFonts w:ascii="Garamond" w:hAnsi="Garamond" w:cs="Arial"/>
          <w:lang w:val="pt-PT"/>
        </w:rPr>
        <w:t xml:space="preserve">2. </w:t>
      </w:r>
      <w:r w:rsidR="00575763">
        <w:rPr>
          <w:rFonts w:ascii="Garamond" w:hAnsi="Garamond" w:cs="Arial"/>
          <w:lang w:val="pt-PT"/>
        </w:rPr>
        <w:t xml:space="preserve">Alínea </w:t>
      </w:r>
      <w:r w:rsidR="00C031E1" w:rsidRPr="003A1174">
        <w:rPr>
          <w:rFonts w:ascii="Garamond" w:hAnsi="Garamond" w:cs="Arial"/>
          <w:lang w:val="pt-PT"/>
        </w:rPr>
        <w:t>c</w:t>
      </w:r>
      <w:r w:rsidR="00575763">
        <w:rPr>
          <w:rFonts w:ascii="Garamond" w:hAnsi="Garamond" w:cs="Arial"/>
          <w:lang w:val="pt-PT"/>
        </w:rPr>
        <w:t>)</w:t>
      </w:r>
      <w:r w:rsidR="0086401D" w:rsidRPr="003A1174">
        <w:rPr>
          <w:rFonts w:ascii="Garamond" w:hAnsi="Garamond" w:cs="Arial"/>
          <w:lang w:val="pt-PT"/>
        </w:rPr>
        <w:t xml:space="preserve"> d</w:t>
      </w:r>
      <w:r w:rsidR="00A132B3" w:rsidRPr="003A1174">
        <w:rPr>
          <w:rFonts w:ascii="Garamond" w:hAnsi="Garamond" w:cs="Arial"/>
          <w:lang w:val="pt-PT"/>
        </w:rPr>
        <w:t xml:space="preserve">a </w:t>
      </w:r>
      <w:r w:rsidR="00B14AA6" w:rsidRPr="003A1174">
        <w:rPr>
          <w:rFonts w:ascii="Garamond" w:hAnsi="Garamond" w:cs="Arial"/>
          <w:lang w:val="pt-PT"/>
        </w:rPr>
        <w:t>Convenção</w:t>
      </w:r>
      <w:r w:rsidR="0086401D" w:rsidRPr="003A1174">
        <w:rPr>
          <w:rFonts w:ascii="Garamond" w:hAnsi="Garamond" w:cs="Arial"/>
          <w:lang w:val="pt-PT"/>
        </w:rPr>
        <w:t xml:space="preserve"> sobre </w:t>
      </w:r>
      <w:r w:rsidR="00A132B3" w:rsidRPr="003A1174">
        <w:rPr>
          <w:rFonts w:ascii="Garamond" w:hAnsi="Garamond" w:cs="Arial"/>
          <w:lang w:val="pt-PT"/>
        </w:rPr>
        <w:t xml:space="preserve">a </w:t>
      </w:r>
      <w:r w:rsidR="008E7A2A" w:rsidRPr="003A1174">
        <w:rPr>
          <w:rFonts w:ascii="Garamond" w:hAnsi="Garamond" w:cs="Arial"/>
          <w:lang w:val="pt-PT"/>
        </w:rPr>
        <w:t>Eliminação</w:t>
      </w:r>
      <w:r w:rsidR="0086401D" w:rsidRPr="003A1174">
        <w:rPr>
          <w:rFonts w:ascii="Garamond" w:hAnsi="Garamond" w:cs="Arial"/>
          <w:lang w:val="pt-PT"/>
        </w:rPr>
        <w:t xml:space="preserve"> de todas </w:t>
      </w:r>
      <w:r w:rsidR="00A132B3" w:rsidRPr="003A1174">
        <w:rPr>
          <w:rFonts w:ascii="Garamond" w:hAnsi="Garamond" w:cs="Arial"/>
          <w:lang w:val="pt-PT"/>
        </w:rPr>
        <w:t xml:space="preserve">as </w:t>
      </w:r>
      <w:r w:rsidR="00383B3F" w:rsidRPr="003A1174">
        <w:rPr>
          <w:rFonts w:ascii="Garamond" w:hAnsi="Garamond" w:cs="Arial"/>
          <w:lang w:val="pt-PT"/>
        </w:rPr>
        <w:t>F</w:t>
      </w:r>
      <w:r w:rsidR="00A132B3" w:rsidRPr="003A1174">
        <w:rPr>
          <w:rFonts w:ascii="Garamond" w:hAnsi="Garamond" w:cs="Arial"/>
          <w:lang w:val="pt-PT"/>
        </w:rPr>
        <w:t xml:space="preserve">ormas de </w:t>
      </w:r>
      <w:r w:rsidR="0017447A" w:rsidRPr="003A1174">
        <w:rPr>
          <w:rFonts w:ascii="Garamond" w:hAnsi="Garamond" w:cs="Arial"/>
          <w:lang w:val="pt-PT"/>
        </w:rPr>
        <w:t>Discriminação</w:t>
      </w:r>
      <w:r w:rsidR="0086401D" w:rsidRPr="003A1174">
        <w:rPr>
          <w:rFonts w:ascii="Garamond" w:hAnsi="Garamond" w:cs="Arial"/>
          <w:lang w:val="pt-PT"/>
        </w:rPr>
        <w:t xml:space="preserve"> contra </w:t>
      </w:r>
      <w:r w:rsidR="00A132B3" w:rsidRPr="003A1174">
        <w:rPr>
          <w:rFonts w:ascii="Garamond" w:hAnsi="Garamond" w:cs="Arial"/>
          <w:lang w:val="pt-PT"/>
        </w:rPr>
        <w:t xml:space="preserve">a </w:t>
      </w:r>
      <w:r w:rsidR="00AF192F" w:rsidRPr="003A1174">
        <w:rPr>
          <w:rFonts w:ascii="Garamond" w:hAnsi="Garamond" w:cs="Arial"/>
          <w:lang w:val="pt-PT"/>
        </w:rPr>
        <w:t>Mulher</w:t>
      </w:r>
      <w:r w:rsidR="0086401D" w:rsidRPr="003A1174">
        <w:rPr>
          <w:rFonts w:ascii="Garamond" w:hAnsi="Garamond" w:cs="Arial"/>
          <w:lang w:val="pt-PT"/>
        </w:rPr>
        <w:t xml:space="preserve">, </w:t>
      </w:r>
      <w:r w:rsidR="00575763">
        <w:rPr>
          <w:rFonts w:ascii="Garamond" w:hAnsi="Garamond" w:cs="Arial"/>
          <w:lang w:val="pt-PT"/>
        </w:rPr>
        <w:t xml:space="preserve">em que </w:t>
      </w:r>
      <w:r w:rsidR="00A132B3" w:rsidRPr="003A1174">
        <w:rPr>
          <w:rFonts w:ascii="Garamond" w:hAnsi="Garamond" w:cs="Arial"/>
          <w:lang w:val="pt-PT"/>
        </w:rPr>
        <w:t xml:space="preserve">se </w:t>
      </w:r>
      <w:r w:rsidR="00152A44" w:rsidRPr="003A1174">
        <w:rPr>
          <w:rFonts w:ascii="Garamond" w:hAnsi="Garamond" w:cs="Arial"/>
          <w:lang w:val="pt-PT"/>
        </w:rPr>
        <w:t>estabelece</w:t>
      </w:r>
      <w:r w:rsidR="00A132B3" w:rsidRPr="003A1174">
        <w:rPr>
          <w:rFonts w:ascii="Garamond" w:hAnsi="Garamond" w:cs="Arial"/>
          <w:lang w:val="pt-PT"/>
        </w:rPr>
        <w:t xml:space="preserve"> </w:t>
      </w:r>
      <w:r w:rsidR="0086401D" w:rsidRPr="003A1174">
        <w:rPr>
          <w:rFonts w:ascii="Garamond" w:hAnsi="Garamond" w:cs="Arial"/>
          <w:lang w:val="pt-PT"/>
        </w:rPr>
        <w:t xml:space="preserve">o </w:t>
      </w:r>
      <w:r w:rsidR="00731B19" w:rsidRPr="003A1174">
        <w:rPr>
          <w:rFonts w:ascii="Garamond" w:hAnsi="Garamond" w:cs="Arial"/>
          <w:lang w:val="pt-PT"/>
        </w:rPr>
        <w:t>compromisso</w:t>
      </w:r>
      <w:r w:rsidR="00A132B3" w:rsidRPr="003A1174">
        <w:rPr>
          <w:rFonts w:ascii="Garamond" w:hAnsi="Garamond" w:cs="Arial"/>
          <w:lang w:val="pt-PT"/>
        </w:rPr>
        <w:t xml:space="preserve"> dos Estados</w:t>
      </w:r>
      <w:r w:rsidR="00C8548A">
        <w:rPr>
          <w:rFonts w:ascii="Garamond" w:hAnsi="Garamond" w:cs="Arial"/>
          <w:lang w:val="pt-PT"/>
        </w:rPr>
        <w:t>-M</w:t>
      </w:r>
      <w:r w:rsidR="0086401D" w:rsidRPr="003A1174">
        <w:rPr>
          <w:rFonts w:ascii="Garamond" w:hAnsi="Garamond" w:cs="Arial"/>
          <w:lang w:val="pt-PT"/>
        </w:rPr>
        <w:t>embros</w:t>
      </w:r>
      <w:r w:rsidR="00575763">
        <w:rPr>
          <w:rFonts w:ascii="Garamond" w:hAnsi="Garamond" w:cs="Arial"/>
          <w:lang w:val="pt-PT"/>
        </w:rPr>
        <w:t>,</w:t>
      </w:r>
      <w:r w:rsidR="0086401D" w:rsidRPr="003A1174">
        <w:rPr>
          <w:rFonts w:ascii="Garamond" w:hAnsi="Garamond" w:cs="Arial"/>
          <w:lang w:val="pt-PT"/>
        </w:rPr>
        <w:t xml:space="preserve"> relativamente </w:t>
      </w:r>
      <w:r w:rsidR="00A132B3" w:rsidRPr="003A1174">
        <w:rPr>
          <w:rFonts w:ascii="Garamond" w:hAnsi="Garamond" w:cs="Arial"/>
          <w:lang w:val="pt-PT"/>
        </w:rPr>
        <w:t xml:space="preserve">a </w:t>
      </w:r>
      <w:r w:rsidR="005523A8">
        <w:rPr>
          <w:rFonts w:ascii="Garamond" w:hAnsi="Garamond" w:cs="Arial"/>
          <w:lang w:val="pt-PT"/>
        </w:rPr>
        <w:t>«</w:t>
      </w:r>
      <w:r w:rsidR="005523A8" w:rsidRPr="005523A8">
        <w:rPr>
          <w:rFonts w:ascii="Garamond" w:hAnsi="Garamond" w:cs="Arial"/>
          <w:lang w:val="pt-PT"/>
        </w:rPr>
        <w:t xml:space="preserve">Estabelecer a proteção jurídica dos direitos da mulher </w:t>
      </w:r>
      <w:r w:rsidR="00575763">
        <w:rPr>
          <w:rFonts w:ascii="Garamond" w:hAnsi="Garamond" w:cs="Arial"/>
          <w:lang w:val="pt-PT"/>
        </w:rPr>
        <w:t>n</w:t>
      </w:r>
      <w:r w:rsidR="005523A8" w:rsidRPr="005523A8">
        <w:rPr>
          <w:rFonts w:ascii="Garamond" w:hAnsi="Garamond" w:cs="Arial"/>
          <w:lang w:val="pt-PT"/>
        </w:rPr>
        <w:t>uma base de igualdade com os do homem e garantir, através da atuação dos tribunais nacionais competentes e de outras instituições públicas, a proteção efetiva da mulher contra todo o ato de discriminação.</w:t>
      </w:r>
      <w:r w:rsidR="005523A8">
        <w:rPr>
          <w:rFonts w:ascii="Garamond" w:hAnsi="Garamond" w:cs="Arial"/>
          <w:lang w:val="pt-PT"/>
        </w:rPr>
        <w:t>»</w:t>
      </w:r>
    </w:p>
    <w:p w:rsidR="00A132B3" w:rsidRPr="005523A8" w:rsidRDefault="00A132B3" w:rsidP="008719D4">
      <w:pPr>
        <w:pStyle w:val="NormalWeb"/>
        <w:jc w:val="both"/>
        <w:rPr>
          <w:rFonts w:ascii="Garamond" w:hAnsi="Garamond" w:cs="Arial"/>
          <w:lang w:val="pt-PT"/>
        </w:rPr>
      </w:pPr>
      <w:r w:rsidRPr="003A1174">
        <w:rPr>
          <w:rFonts w:ascii="Garamond" w:hAnsi="Garamond" w:cs="Arial"/>
          <w:lang w:val="pt-PT"/>
        </w:rPr>
        <w:lastRenderedPageBreak/>
        <w:t>Co</w:t>
      </w:r>
      <w:r w:rsidR="0086401D" w:rsidRPr="003A1174">
        <w:rPr>
          <w:rFonts w:ascii="Garamond" w:hAnsi="Garamond" w:cs="Arial"/>
          <w:lang w:val="pt-PT"/>
        </w:rPr>
        <w:t>m</w:t>
      </w:r>
      <w:r w:rsidRPr="003A1174">
        <w:rPr>
          <w:rFonts w:ascii="Garamond" w:hAnsi="Garamond" w:cs="Arial"/>
          <w:lang w:val="pt-PT"/>
        </w:rPr>
        <w:t xml:space="preserve"> </w:t>
      </w:r>
      <w:r w:rsidR="00863197" w:rsidRPr="003A1174">
        <w:rPr>
          <w:rFonts w:ascii="Garamond" w:hAnsi="Garamond" w:cs="Arial"/>
          <w:lang w:val="pt-PT"/>
        </w:rPr>
        <w:t>maior</w:t>
      </w:r>
      <w:r w:rsidR="0086401D" w:rsidRPr="003A1174">
        <w:rPr>
          <w:rFonts w:ascii="Garamond" w:hAnsi="Garamond" w:cs="Arial"/>
          <w:lang w:val="pt-PT"/>
        </w:rPr>
        <w:t xml:space="preserve"> e</w:t>
      </w:r>
      <w:r w:rsidRPr="003A1174">
        <w:rPr>
          <w:rFonts w:ascii="Garamond" w:hAnsi="Garamond" w:cs="Arial"/>
          <w:lang w:val="pt-PT"/>
        </w:rPr>
        <w:t>nfas</w:t>
      </w:r>
      <w:r w:rsidR="0086401D" w:rsidRPr="003A1174">
        <w:rPr>
          <w:rFonts w:ascii="Garamond" w:hAnsi="Garamond" w:cs="Arial"/>
          <w:lang w:val="pt-PT"/>
        </w:rPr>
        <w:t>e e d</w:t>
      </w:r>
      <w:r w:rsidR="009B133A" w:rsidRPr="003A1174">
        <w:rPr>
          <w:rFonts w:ascii="Garamond" w:hAnsi="Garamond" w:cs="Arial"/>
          <w:lang w:val="pt-PT"/>
        </w:rPr>
        <w:t>esenvolvimento</w:t>
      </w:r>
      <w:r w:rsidR="002F45FB" w:rsidRPr="003A1174">
        <w:rPr>
          <w:rFonts w:ascii="Garamond" w:hAnsi="Garamond" w:cs="Arial"/>
          <w:lang w:val="pt-PT"/>
        </w:rPr>
        <w:t>,</w:t>
      </w:r>
      <w:r w:rsidR="0086401D" w:rsidRPr="003A1174">
        <w:rPr>
          <w:rFonts w:ascii="Garamond" w:hAnsi="Garamond" w:cs="Arial"/>
          <w:lang w:val="pt-PT"/>
        </w:rPr>
        <w:t xml:space="preserve"> </w:t>
      </w:r>
      <w:r w:rsidRPr="003A1174">
        <w:rPr>
          <w:rFonts w:ascii="Garamond" w:hAnsi="Garamond" w:cs="Arial"/>
          <w:lang w:val="pt-PT"/>
        </w:rPr>
        <w:t xml:space="preserve">a </w:t>
      </w:r>
      <w:r w:rsidR="00524936" w:rsidRPr="003A1174">
        <w:rPr>
          <w:rFonts w:ascii="Garamond" w:hAnsi="Garamond" w:cs="Arial"/>
          <w:lang w:val="pt-PT"/>
        </w:rPr>
        <w:t>mesma</w:t>
      </w:r>
      <w:r w:rsidRPr="003A1174">
        <w:rPr>
          <w:rFonts w:ascii="Garamond" w:hAnsi="Garamond" w:cs="Arial"/>
          <w:lang w:val="pt-PT"/>
        </w:rPr>
        <w:t xml:space="preserve"> </w:t>
      </w:r>
      <w:r w:rsidR="00B14AA6" w:rsidRPr="003A1174">
        <w:rPr>
          <w:rFonts w:ascii="Garamond" w:hAnsi="Garamond" w:cs="Arial"/>
          <w:lang w:val="pt-PT"/>
        </w:rPr>
        <w:t>Convenção</w:t>
      </w:r>
      <w:r w:rsidRPr="003A1174">
        <w:rPr>
          <w:rFonts w:ascii="Garamond" w:hAnsi="Garamond" w:cs="Arial"/>
          <w:lang w:val="pt-PT"/>
        </w:rPr>
        <w:t xml:space="preserve"> </w:t>
      </w:r>
      <w:r w:rsidR="0086401D" w:rsidRPr="003A1174">
        <w:rPr>
          <w:rFonts w:ascii="Garamond" w:hAnsi="Garamond" w:cs="Arial"/>
          <w:lang w:val="pt-PT"/>
        </w:rPr>
        <w:t>assinala</w:t>
      </w:r>
      <w:r w:rsidRPr="003A1174">
        <w:rPr>
          <w:rFonts w:ascii="Garamond" w:hAnsi="Garamond" w:cs="Arial"/>
          <w:lang w:val="pt-PT"/>
        </w:rPr>
        <w:t xml:space="preserve"> </w:t>
      </w:r>
      <w:r w:rsidR="0086401D" w:rsidRPr="003A1174">
        <w:rPr>
          <w:rFonts w:ascii="Garamond" w:hAnsi="Garamond" w:cs="Arial"/>
          <w:lang w:val="pt-PT"/>
        </w:rPr>
        <w:t>através</w:t>
      </w:r>
      <w:r w:rsidRPr="003A1174">
        <w:rPr>
          <w:rFonts w:ascii="Garamond" w:hAnsi="Garamond" w:cs="Arial"/>
          <w:lang w:val="pt-PT"/>
        </w:rPr>
        <w:t xml:space="preserve"> d</w:t>
      </w:r>
      <w:r w:rsidR="0086401D" w:rsidRPr="003A1174">
        <w:rPr>
          <w:rFonts w:ascii="Garamond" w:hAnsi="Garamond" w:cs="Arial"/>
          <w:lang w:val="pt-PT"/>
        </w:rPr>
        <w:t xml:space="preserve">o </w:t>
      </w:r>
      <w:r w:rsidRPr="003A1174">
        <w:rPr>
          <w:rFonts w:ascii="Garamond" w:hAnsi="Garamond" w:cs="Arial"/>
          <w:lang w:val="pt-PT"/>
        </w:rPr>
        <w:t>s</w:t>
      </w:r>
      <w:r w:rsidR="0086401D" w:rsidRPr="003A1174">
        <w:rPr>
          <w:rFonts w:ascii="Garamond" w:hAnsi="Garamond" w:cs="Arial"/>
          <w:lang w:val="pt-PT"/>
        </w:rPr>
        <w:t>e</w:t>
      </w:r>
      <w:r w:rsidRPr="003A1174">
        <w:rPr>
          <w:rFonts w:ascii="Garamond" w:hAnsi="Garamond" w:cs="Arial"/>
          <w:lang w:val="pt-PT"/>
        </w:rPr>
        <w:t xml:space="preserve">u </w:t>
      </w:r>
      <w:r w:rsidR="00383B3F" w:rsidRPr="003A1174">
        <w:rPr>
          <w:rFonts w:ascii="Garamond" w:hAnsi="Garamond" w:cs="Arial"/>
          <w:lang w:val="pt-PT"/>
        </w:rPr>
        <w:t>Art.</w:t>
      </w:r>
      <w:r w:rsidRPr="003A1174">
        <w:rPr>
          <w:rFonts w:ascii="Garamond" w:hAnsi="Garamond" w:cs="Arial"/>
          <w:lang w:val="pt-PT"/>
        </w:rPr>
        <w:t xml:space="preserve"> 4</w:t>
      </w:r>
      <w:r w:rsidR="00575763">
        <w:rPr>
          <w:rFonts w:ascii="Garamond" w:hAnsi="Garamond" w:cs="Arial"/>
          <w:lang w:val="pt-PT"/>
        </w:rPr>
        <w:t xml:space="preserve">, alíneas </w:t>
      </w:r>
      <w:r w:rsidRPr="003A1174">
        <w:rPr>
          <w:rFonts w:ascii="Garamond" w:hAnsi="Garamond" w:cs="Arial"/>
          <w:lang w:val="pt-PT"/>
        </w:rPr>
        <w:t>f</w:t>
      </w:r>
      <w:r w:rsidR="00575763">
        <w:rPr>
          <w:rFonts w:ascii="Garamond" w:hAnsi="Garamond" w:cs="Arial"/>
          <w:lang w:val="pt-PT"/>
        </w:rPr>
        <w:t xml:space="preserve">) e </w:t>
      </w:r>
      <w:r w:rsidRPr="003A1174">
        <w:rPr>
          <w:rFonts w:ascii="Garamond" w:hAnsi="Garamond" w:cs="Arial"/>
          <w:lang w:val="pt-PT"/>
        </w:rPr>
        <w:t>g</w:t>
      </w:r>
      <w:r w:rsidR="00575763">
        <w:rPr>
          <w:rFonts w:ascii="Garamond" w:hAnsi="Garamond" w:cs="Arial"/>
          <w:lang w:val="pt-PT"/>
        </w:rPr>
        <w:t>),</w:t>
      </w:r>
      <w:r w:rsidRPr="003A1174">
        <w:rPr>
          <w:rFonts w:ascii="Garamond" w:hAnsi="Garamond" w:cs="Arial"/>
          <w:lang w:val="pt-PT"/>
        </w:rPr>
        <w:t xml:space="preserve"> </w:t>
      </w:r>
      <w:r w:rsidR="0086401D" w:rsidRPr="003A1174">
        <w:rPr>
          <w:rFonts w:ascii="Garamond" w:hAnsi="Garamond" w:cs="Arial"/>
          <w:lang w:val="pt-PT"/>
        </w:rPr>
        <w:t xml:space="preserve">o </w:t>
      </w:r>
      <w:r w:rsidR="00886D6A" w:rsidRPr="003A1174">
        <w:rPr>
          <w:rFonts w:ascii="Garamond" w:hAnsi="Garamond" w:cs="Arial"/>
          <w:lang w:val="pt-PT"/>
        </w:rPr>
        <w:t>direito</w:t>
      </w:r>
      <w:r w:rsidRPr="003A1174">
        <w:rPr>
          <w:rFonts w:ascii="Garamond" w:hAnsi="Garamond" w:cs="Arial"/>
          <w:lang w:val="pt-PT"/>
        </w:rPr>
        <w:t xml:space="preserve"> de toda</w:t>
      </w:r>
      <w:r w:rsidR="0086401D" w:rsidRPr="003A1174">
        <w:rPr>
          <w:rFonts w:ascii="Garamond" w:hAnsi="Garamond" w:cs="Arial"/>
          <w:lang w:val="pt-PT"/>
        </w:rPr>
        <w:t xml:space="preserve"> a</w:t>
      </w:r>
      <w:r w:rsidRPr="003A1174">
        <w:rPr>
          <w:rFonts w:ascii="Garamond" w:hAnsi="Garamond" w:cs="Arial"/>
          <w:lang w:val="pt-PT"/>
        </w:rPr>
        <w:t xml:space="preserve"> </w:t>
      </w:r>
      <w:r w:rsidR="00AF192F" w:rsidRPr="003A1174">
        <w:rPr>
          <w:rFonts w:ascii="Garamond" w:hAnsi="Garamond" w:cs="Arial"/>
          <w:lang w:val="pt-PT"/>
        </w:rPr>
        <w:t>mulher</w:t>
      </w:r>
      <w:r w:rsidRPr="003A1174">
        <w:rPr>
          <w:rFonts w:ascii="Garamond" w:hAnsi="Garamond" w:cs="Arial"/>
          <w:lang w:val="pt-PT"/>
        </w:rPr>
        <w:t xml:space="preserve"> </w:t>
      </w:r>
      <w:r w:rsidRPr="005523A8">
        <w:rPr>
          <w:rFonts w:ascii="Garamond" w:hAnsi="Garamond" w:cs="Arial"/>
          <w:lang w:val="pt-PT"/>
        </w:rPr>
        <w:t>a</w:t>
      </w:r>
      <w:r w:rsidR="0086401D" w:rsidRPr="005523A8">
        <w:rPr>
          <w:rFonts w:ascii="Garamond" w:hAnsi="Garamond" w:cs="Arial"/>
          <w:lang w:val="pt-PT"/>
        </w:rPr>
        <w:t>o</w:t>
      </w:r>
      <w:r w:rsidRPr="005523A8">
        <w:rPr>
          <w:rFonts w:ascii="Garamond" w:hAnsi="Garamond" w:cs="Arial"/>
          <w:lang w:val="pt-PT"/>
        </w:rPr>
        <w:t xml:space="preserve"> </w:t>
      </w:r>
      <w:r w:rsidR="005523A8" w:rsidRPr="005523A8">
        <w:rPr>
          <w:rFonts w:ascii="Garamond" w:hAnsi="Garamond" w:cs="Arial"/>
          <w:lang w:val="pt-PT"/>
        </w:rPr>
        <w:t>«</w:t>
      </w:r>
      <w:r w:rsidR="002F45FB" w:rsidRPr="005523A8">
        <w:rPr>
          <w:rFonts w:ascii="Garamond" w:hAnsi="Garamond" w:cs="Arial"/>
          <w:lang w:val="pt-PT"/>
        </w:rPr>
        <w:t>…</w:t>
      </w:r>
      <w:r w:rsidR="00F520D6" w:rsidRPr="005523A8">
        <w:rPr>
          <w:rFonts w:ascii="Garamond" w:hAnsi="Garamond" w:cs="Arial"/>
          <w:lang w:val="pt-PT"/>
        </w:rPr>
        <w:t>reconhecimento</w:t>
      </w:r>
      <w:r w:rsidRPr="005523A8">
        <w:rPr>
          <w:rFonts w:ascii="Garamond" w:hAnsi="Garamond" w:cs="Arial"/>
          <w:lang w:val="pt-PT"/>
        </w:rPr>
        <w:t xml:space="preserve">, </w:t>
      </w:r>
      <w:r w:rsidR="00E864E7" w:rsidRPr="005523A8">
        <w:rPr>
          <w:rFonts w:ascii="Garamond" w:hAnsi="Garamond" w:cs="Arial"/>
          <w:lang w:val="pt-PT"/>
        </w:rPr>
        <w:t>satisfação</w:t>
      </w:r>
      <w:r w:rsidRPr="005523A8">
        <w:rPr>
          <w:rFonts w:ascii="Garamond" w:hAnsi="Garamond" w:cs="Arial"/>
          <w:lang w:val="pt-PT"/>
        </w:rPr>
        <w:t xml:space="preserve">, </w:t>
      </w:r>
      <w:r w:rsidR="00731B19" w:rsidRPr="005523A8">
        <w:rPr>
          <w:rFonts w:ascii="Garamond" w:hAnsi="Garamond" w:cs="Arial"/>
          <w:lang w:val="pt-PT"/>
        </w:rPr>
        <w:t>exercício</w:t>
      </w:r>
      <w:r w:rsidR="0086401D" w:rsidRPr="005523A8">
        <w:rPr>
          <w:rFonts w:ascii="Garamond" w:hAnsi="Garamond" w:cs="Arial"/>
          <w:lang w:val="pt-PT"/>
        </w:rPr>
        <w:t xml:space="preserve"> e</w:t>
      </w:r>
      <w:r w:rsidRPr="005523A8">
        <w:rPr>
          <w:rFonts w:ascii="Garamond" w:hAnsi="Garamond" w:cs="Arial"/>
          <w:lang w:val="pt-PT"/>
        </w:rPr>
        <w:t xml:space="preserve"> </w:t>
      </w:r>
      <w:r w:rsidR="00886D6A" w:rsidRPr="005523A8">
        <w:rPr>
          <w:rFonts w:ascii="Garamond" w:hAnsi="Garamond" w:cs="Arial"/>
          <w:lang w:val="pt-PT"/>
        </w:rPr>
        <w:t>proteção</w:t>
      </w:r>
      <w:r w:rsidR="0086401D" w:rsidRPr="005523A8">
        <w:rPr>
          <w:rFonts w:ascii="Garamond" w:hAnsi="Garamond" w:cs="Arial"/>
          <w:lang w:val="pt-PT"/>
        </w:rPr>
        <w:t xml:space="preserve"> de todos </w:t>
      </w:r>
      <w:r w:rsidRPr="005523A8">
        <w:rPr>
          <w:rFonts w:ascii="Garamond" w:hAnsi="Garamond" w:cs="Arial"/>
          <w:lang w:val="pt-PT"/>
        </w:rPr>
        <w:t xml:space="preserve">os </w:t>
      </w:r>
      <w:r w:rsidR="00886D6A" w:rsidRPr="005523A8">
        <w:rPr>
          <w:rFonts w:ascii="Garamond" w:hAnsi="Garamond" w:cs="Arial"/>
          <w:lang w:val="pt-PT"/>
        </w:rPr>
        <w:t>direito</w:t>
      </w:r>
      <w:r w:rsidR="0086401D" w:rsidRPr="005523A8">
        <w:rPr>
          <w:rFonts w:ascii="Garamond" w:hAnsi="Garamond" w:cs="Arial"/>
          <w:lang w:val="pt-PT"/>
        </w:rPr>
        <w:t>s humanos e</w:t>
      </w:r>
      <w:r w:rsidRPr="005523A8">
        <w:rPr>
          <w:rFonts w:ascii="Garamond" w:hAnsi="Garamond" w:cs="Arial"/>
          <w:lang w:val="pt-PT"/>
        </w:rPr>
        <w:t xml:space="preserve"> </w:t>
      </w:r>
      <w:r w:rsidR="0086401D" w:rsidRPr="005523A8">
        <w:rPr>
          <w:rFonts w:ascii="Garamond" w:hAnsi="Garamond" w:cs="Arial"/>
          <w:lang w:val="pt-PT"/>
        </w:rPr>
        <w:t>d</w:t>
      </w:r>
      <w:r w:rsidRPr="005523A8">
        <w:rPr>
          <w:rFonts w:ascii="Garamond" w:hAnsi="Garamond" w:cs="Arial"/>
          <w:lang w:val="pt-PT"/>
        </w:rPr>
        <w:t xml:space="preserve">as </w:t>
      </w:r>
      <w:r w:rsidR="006506C6" w:rsidRPr="005523A8">
        <w:rPr>
          <w:rFonts w:ascii="Garamond" w:hAnsi="Garamond" w:cs="Arial"/>
          <w:lang w:val="pt-PT"/>
        </w:rPr>
        <w:t>liberdades</w:t>
      </w:r>
      <w:r w:rsidRPr="005523A8">
        <w:rPr>
          <w:rFonts w:ascii="Garamond" w:hAnsi="Garamond" w:cs="Arial"/>
          <w:lang w:val="pt-PT"/>
        </w:rPr>
        <w:t xml:space="preserve"> consagradas </w:t>
      </w:r>
      <w:r w:rsidR="0086401D" w:rsidRPr="005523A8">
        <w:rPr>
          <w:rFonts w:ascii="Garamond" w:hAnsi="Garamond" w:cs="Arial"/>
          <w:lang w:val="pt-PT"/>
        </w:rPr>
        <w:t xml:space="preserve">nos </w:t>
      </w:r>
      <w:r w:rsidRPr="005523A8">
        <w:rPr>
          <w:rFonts w:ascii="Garamond" w:hAnsi="Garamond" w:cs="Arial"/>
          <w:lang w:val="pt-PT"/>
        </w:rPr>
        <w:t xml:space="preserve">instrumentos </w:t>
      </w:r>
      <w:r w:rsidR="0086401D" w:rsidRPr="005523A8">
        <w:rPr>
          <w:rFonts w:ascii="Garamond" w:hAnsi="Garamond" w:cs="Arial"/>
          <w:lang w:val="pt-PT"/>
        </w:rPr>
        <w:t>regionais</w:t>
      </w:r>
      <w:r w:rsidRPr="005523A8">
        <w:rPr>
          <w:rFonts w:ascii="Garamond" w:hAnsi="Garamond" w:cs="Arial"/>
          <w:lang w:val="pt-PT"/>
        </w:rPr>
        <w:t xml:space="preserve"> e </w:t>
      </w:r>
      <w:r w:rsidR="00EF645F" w:rsidRPr="005523A8">
        <w:rPr>
          <w:rFonts w:ascii="Garamond" w:hAnsi="Garamond" w:cs="Arial"/>
          <w:lang w:val="pt-PT"/>
        </w:rPr>
        <w:t>internacionais</w:t>
      </w:r>
      <w:r w:rsidRPr="005523A8">
        <w:rPr>
          <w:rFonts w:ascii="Garamond" w:hAnsi="Garamond" w:cs="Arial"/>
          <w:lang w:val="pt-PT"/>
        </w:rPr>
        <w:t xml:space="preserve"> sobre </w:t>
      </w:r>
      <w:r w:rsidR="00886D6A" w:rsidRPr="005523A8">
        <w:rPr>
          <w:rFonts w:ascii="Garamond" w:hAnsi="Garamond" w:cs="Arial"/>
          <w:lang w:val="pt-PT"/>
        </w:rPr>
        <w:t>direito</w:t>
      </w:r>
      <w:r w:rsidRPr="005523A8">
        <w:rPr>
          <w:rFonts w:ascii="Garamond" w:hAnsi="Garamond" w:cs="Arial"/>
          <w:lang w:val="pt-PT"/>
        </w:rPr>
        <w:t>s humanos</w:t>
      </w:r>
      <w:r w:rsidR="005523A8" w:rsidRPr="005523A8">
        <w:rPr>
          <w:rFonts w:ascii="Garamond" w:hAnsi="Garamond" w:cs="Arial"/>
          <w:lang w:val="pt-PT"/>
        </w:rPr>
        <w:t>»</w:t>
      </w:r>
      <w:r w:rsidR="0086401D" w:rsidRPr="005523A8">
        <w:rPr>
          <w:rFonts w:ascii="Garamond" w:hAnsi="Garamond" w:cs="Arial"/>
          <w:lang w:val="pt-PT"/>
        </w:rPr>
        <w:t xml:space="preserve">, como </w:t>
      </w:r>
      <w:r w:rsidRPr="005523A8">
        <w:rPr>
          <w:rFonts w:ascii="Garamond" w:hAnsi="Garamond" w:cs="Arial"/>
          <w:lang w:val="pt-PT"/>
        </w:rPr>
        <w:t>o s</w:t>
      </w:r>
      <w:r w:rsidR="0086401D" w:rsidRPr="005523A8">
        <w:rPr>
          <w:rFonts w:ascii="Garamond" w:hAnsi="Garamond" w:cs="Arial"/>
          <w:lang w:val="pt-PT"/>
        </w:rPr>
        <w:t xml:space="preserve">ão o </w:t>
      </w:r>
      <w:r w:rsidRPr="005523A8">
        <w:rPr>
          <w:rFonts w:ascii="Garamond" w:hAnsi="Garamond" w:cs="Arial"/>
          <w:lang w:val="pt-PT"/>
        </w:rPr>
        <w:t>d</w:t>
      </w:r>
      <w:r w:rsidR="00575763">
        <w:rPr>
          <w:rFonts w:ascii="Garamond" w:hAnsi="Garamond" w:cs="Arial"/>
          <w:lang w:val="pt-PT"/>
        </w:rPr>
        <w:t>a</w:t>
      </w:r>
      <w:r w:rsidRPr="005523A8">
        <w:rPr>
          <w:rFonts w:ascii="Garamond" w:hAnsi="Garamond" w:cs="Arial"/>
          <w:lang w:val="pt-PT"/>
        </w:rPr>
        <w:t xml:space="preserve"> </w:t>
      </w:r>
      <w:r w:rsidR="005523A8" w:rsidRPr="005523A8">
        <w:rPr>
          <w:rFonts w:ascii="Garamond" w:hAnsi="Garamond" w:cs="Arial"/>
          <w:lang w:val="pt-PT"/>
        </w:rPr>
        <w:t>«</w:t>
      </w:r>
      <w:r w:rsidR="002F45FB" w:rsidRPr="005523A8">
        <w:rPr>
          <w:rFonts w:ascii="Garamond" w:hAnsi="Garamond" w:cs="Arial"/>
          <w:lang w:val="pt-PT"/>
        </w:rPr>
        <w:t>…</w:t>
      </w:r>
      <w:r w:rsidR="002C7510" w:rsidRPr="005523A8">
        <w:rPr>
          <w:rFonts w:ascii="Garamond" w:hAnsi="Garamond" w:cs="Arial"/>
          <w:lang w:val="pt-PT"/>
        </w:rPr>
        <w:t>igualdade</w:t>
      </w:r>
      <w:r w:rsidRPr="005523A8">
        <w:rPr>
          <w:rFonts w:ascii="Garamond" w:hAnsi="Garamond" w:cs="Arial"/>
          <w:lang w:val="pt-PT"/>
        </w:rPr>
        <w:t xml:space="preserve"> de </w:t>
      </w:r>
      <w:r w:rsidR="00886D6A" w:rsidRPr="005523A8">
        <w:rPr>
          <w:rFonts w:ascii="Garamond" w:hAnsi="Garamond" w:cs="Arial"/>
          <w:lang w:val="pt-PT"/>
        </w:rPr>
        <w:t>proteção</w:t>
      </w:r>
      <w:r w:rsidRPr="005523A8">
        <w:rPr>
          <w:rFonts w:ascii="Garamond" w:hAnsi="Garamond" w:cs="Arial"/>
          <w:lang w:val="pt-PT"/>
        </w:rPr>
        <w:t xml:space="preserve"> </w:t>
      </w:r>
      <w:r w:rsidR="0086401D" w:rsidRPr="005523A8">
        <w:rPr>
          <w:rFonts w:ascii="Garamond" w:hAnsi="Garamond" w:cs="Arial"/>
          <w:lang w:val="pt-PT"/>
        </w:rPr>
        <w:t xml:space="preserve">perante </w:t>
      </w:r>
      <w:r w:rsidRPr="005523A8">
        <w:rPr>
          <w:rFonts w:ascii="Garamond" w:hAnsi="Garamond" w:cs="Arial"/>
          <w:lang w:val="pt-PT"/>
        </w:rPr>
        <w:t xml:space="preserve">a </w:t>
      </w:r>
      <w:r w:rsidR="00D15AFF" w:rsidRPr="005523A8">
        <w:rPr>
          <w:rFonts w:ascii="Garamond" w:hAnsi="Garamond" w:cs="Arial"/>
          <w:lang w:val="pt-PT"/>
        </w:rPr>
        <w:t>lei</w:t>
      </w:r>
      <w:r w:rsidRPr="005523A8">
        <w:rPr>
          <w:rFonts w:ascii="Garamond" w:hAnsi="Garamond" w:cs="Arial"/>
          <w:lang w:val="pt-PT"/>
        </w:rPr>
        <w:t xml:space="preserve"> </w:t>
      </w:r>
      <w:r w:rsidR="0086401D" w:rsidRPr="005523A8">
        <w:rPr>
          <w:rFonts w:ascii="Garamond" w:hAnsi="Garamond" w:cs="Arial"/>
          <w:lang w:val="pt-PT"/>
        </w:rPr>
        <w:t>e</w:t>
      </w:r>
      <w:r w:rsidRPr="005523A8">
        <w:rPr>
          <w:rFonts w:ascii="Garamond" w:hAnsi="Garamond" w:cs="Arial"/>
          <w:lang w:val="pt-PT"/>
        </w:rPr>
        <w:t xml:space="preserve"> da </w:t>
      </w:r>
      <w:r w:rsidR="00D15AFF" w:rsidRPr="005523A8">
        <w:rPr>
          <w:rFonts w:ascii="Garamond" w:hAnsi="Garamond" w:cs="Arial"/>
          <w:lang w:val="pt-PT"/>
        </w:rPr>
        <w:t>lei</w:t>
      </w:r>
      <w:r w:rsidR="005523A8" w:rsidRPr="005523A8">
        <w:rPr>
          <w:rFonts w:ascii="Garamond" w:hAnsi="Garamond" w:cs="Arial"/>
          <w:lang w:val="pt-PT"/>
        </w:rPr>
        <w:t>»</w:t>
      </w:r>
      <w:r w:rsidRPr="005523A8">
        <w:rPr>
          <w:rFonts w:ascii="Garamond" w:hAnsi="Garamond" w:cs="Arial"/>
          <w:lang w:val="pt-PT"/>
        </w:rPr>
        <w:t xml:space="preserve">, </w:t>
      </w:r>
      <w:r w:rsidR="0086401D" w:rsidRPr="005523A8">
        <w:rPr>
          <w:rFonts w:ascii="Garamond" w:hAnsi="Garamond" w:cs="Arial"/>
          <w:lang w:val="pt-PT"/>
        </w:rPr>
        <w:t xml:space="preserve">e o </w:t>
      </w:r>
      <w:r w:rsidRPr="005523A8">
        <w:rPr>
          <w:rFonts w:ascii="Garamond" w:hAnsi="Garamond" w:cs="Arial"/>
          <w:lang w:val="pt-PT"/>
        </w:rPr>
        <w:t xml:space="preserve">de dispor </w:t>
      </w:r>
      <w:r w:rsidR="0086401D" w:rsidRPr="005523A8">
        <w:rPr>
          <w:rFonts w:ascii="Garamond" w:hAnsi="Garamond" w:cs="Arial"/>
          <w:lang w:val="pt-PT"/>
        </w:rPr>
        <w:t xml:space="preserve">de </w:t>
      </w:r>
      <w:r w:rsidR="005523A8" w:rsidRPr="005523A8">
        <w:rPr>
          <w:rFonts w:ascii="Garamond" w:hAnsi="Garamond" w:cs="Arial"/>
          <w:lang w:val="pt-PT"/>
        </w:rPr>
        <w:t>«</w:t>
      </w:r>
      <w:r w:rsidR="002F45FB" w:rsidRPr="005523A8">
        <w:rPr>
          <w:rFonts w:ascii="Garamond" w:hAnsi="Garamond" w:cs="Arial"/>
          <w:lang w:val="pt-PT"/>
        </w:rPr>
        <w:t>…</w:t>
      </w:r>
      <w:r w:rsidRPr="005523A8">
        <w:rPr>
          <w:rFonts w:ascii="Garamond" w:hAnsi="Garamond" w:cs="Arial"/>
          <w:lang w:val="pt-PT"/>
        </w:rPr>
        <w:t>u</w:t>
      </w:r>
      <w:r w:rsidR="0086401D" w:rsidRPr="005523A8">
        <w:rPr>
          <w:rFonts w:ascii="Garamond" w:hAnsi="Garamond" w:cs="Arial"/>
          <w:lang w:val="pt-PT"/>
        </w:rPr>
        <w:t>m</w:t>
      </w:r>
      <w:r w:rsidRPr="005523A8">
        <w:rPr>
          <w:rFonts w:ascii="Garamond" w:hAnsi="Garamond" w:cs="Arial"/>
          <w:lang w:val="pt-PT"/>
        </w:rPr>
        <w:t xml:space="preserve"> recurso s</w:t>
      </w:r>
      <w:r w:rsidR="0086401D" w:rsidRPr="005523A8">
        <w:rPr>
          <w:rFonts w:ascii="Garamond" w:hAnsi="Garamond" w:cs="Arial"/>
          <w:lang w:val="pt-PT"/>
        </w:rPr>
        <w:t xml:space="preserve">imples e </w:t>
      </w:r>
      <w:r w:rsidRPr="005523A8">
        <w:rPr>
          <w:rFonts w:ascii="Garamond" w:hAnsi="Garamond" w:cs="Arial"/>
          <w:lang w:val="pt-PT"/>
        </w:rPr>
        <w:t>rápido</w:t>
      </w:r>
      <w:r w:rsidR="00575763">
        <w:rPr>
          <w:rFonts w:ascii="Garamond" w:hAnsi="Garamond" w:cs="Arial"/>
          <w:lang w:val="pt-PT"/>
        </w:rPr>
        <w:t>,</w:t>
      </w:r>
      <w:r w:rsidRPr="005523A8">
        <w:rPr>
          <w:rFonts w:ascii="Garamond" w:hAnsi="Garamond" w:cs="Arial"/>
          <w:lang w:val="pt-PT"/>
        </w:rPr>
        <w:t xml:space="preserve"> </w:t>
      </w:r>
      <w:r w:rsidR="0086401D" w:rsidRPr="005523A8">
        <w:rPr>
          <w:rFonts w:ascii="Garamond" w:hAnsi="Garamond" w:cs="Arial"/>
          <w:lang w:val="pt-PT"/>
        </w:rPr>
        <w:t xml:space="preserve">perante </w:t>
      </w:r>
      <w:r w:rsidRPr="005523A8">
        <w:rPr>
          <w:rFonts w:ascii="Garamond" w:hAnsi="Garamond" w:cs="Arial"/>
          <w:lang w:val="pt-PT"/>
        </w:rPr>
        <w:t xml:space="preserve">os </w:t>
      </w:r>
      <w:r w:rsidR="00FB09CA" w:rsidRPr="005523A8">
        <w:rPr>
          <w:rFonts w:ascii="Garamond" w:hAnsi="Garamond" w:cs="Arial"/>
          <w:lang w:val="pt-PT"/>
        </w:rPr>
        <w:t>tribunais</w:t>
      </w:r>
      <w:r w:rsidR="0086401D" w:rsidRPr="005523A8">
        <w:rPr>
          <w:rFonts w:ascii="Garamond" w:hAnsi="Garamond" w:cs="Arial"/>
          <w:lang w:val="pt-PT"/>
        </w:rPr>
        <w:t xml:space="preserve"> competentes, que </w:t>
      </w:r>
      <w:r w:rsidRPr="005523A8">
        <w:rPr>
          <w:rFonts w:ascii="Garamond" w:hAnsi="Garamond" w:cs="Arial"/>
          <w:lang w:val="pt-PT"/>
        </w:rPr>
        <w:t xml:space="preserve">a </w:t>
      </w:r>
      <w:r w:rsidR="00E7631C" w:rsidRPr="005523A8">
        <w:rPr>
          <w:rFonts w:ascii="Garamond" w:hAnsi="Garamond" w:cs="Arial"/>
          <w:lang w:val="pt-PT"/>
        </w:rPr>
        <w:t>proteja</w:t>
      </w:r>
      <w:r w:rsidRPr="005523A8">
        <w:rPr>
          <w:rFonts w:ascii="Garamond" w:hAnsi="Garamond" w:cs="Arial"/>
          <w:lang w:val="pt-PT"/>
        </w:rPr>
        <w:t xml:space="preserve"> contra </w:t>
      </w:r>
      <w:r w:rsidR="001B02AD" w:rsidRPr="005523A8">
        <w:rPr>
          <w:rFonts w:ascii="Garamond" w:hAnsi="Garamond" w:cs="Arial"/>
          <w:lang w:val="pt-PT"/>
        </w:rPr>
        <w:t>atos</w:t>
      </w:r>
      <w:r w:rsidRPr="005523A8">
        <w:rPr>
          <w:rFonts w:ascii="Garamond" w:hAnsi="Garamond" w:cs="Arial"/>
          <w:lang w:val="pt-PT"/>
        </w:rPr>
        <w:t xml:space="preserve"> que viole</w:t>
      </w:r>
      <w:r w:rsidR="0086401D" w:rsidRPr="005523A8">
        <w:rPr>
          <w:rFonts w:ascii="Garamond" w:hAnsi="Garamond" w:cs="Arial"/>
          <w:lang w:val="pt-PT"/>
        </w:rPr>
        <w:t xml:space="preserve">m os seus </w:t>
      </w:r>
      <w:r w:rsidR="00886D6A" w:rsidRPr="005523A8">
        <w:rPr>
          <w:rFonts w:ascii="Garamond" w:hAnsi="Garamond" w:cs="Arial"/>
          <w:lang w:val="pt-PT"/>
        </w:rPr>
        <w:t>direito</w:t>
      </w:r>
      <w:r w:rsidRPr="005523A8">
        <w:rPr>
          <w:rFonts w:ascii="Garamond" w:hAnsi="Garamond" w:cs="Arial"/>
          <w:lang w:val="pt-PT"/>
        </w:rPr>
        <w:t>s</w:t>
      </w:r>
      <w:r w:rsidR="005523A8" w:rsidRPr="005523A8">
        <w:rPr>
          <w:rFonts w:ascii="Garamond" w:hAnsi="Garamond" w:cs="Arial"/>
          <w:lang w:val="pt-PT"/>
        </w:rPr>
        <w:t>»</w:t>
      </w:r>
      <w:r w:rsidRPr="005523A8">
        <w:rPr>
          <w:rFonts w:ascii="Garamond" w:hAnsi="Garamond" w:cs="Arial"/>
          <w:lang w:val="pt-PT"/>
        </w:rPr>
        <w:t>.</w:t>
      </w:r>
      <w:r w:rsidRPr="005523A8">
        <w:rPr>
          <w:rStyle w:val="Refdenotaalpie"/>
          <w:rFonts w:ascii="Garamond" w:hAnsi="Garamond" w:cs="Arial"/>
        </w:rPr>
        <w:footnoteReference w:id="20"/>
      </w:r>
      <w:r w:rsidRPr="005523A8">
        <w:rPr>
          <w:rFonts w:ascii="Garamond" w:hAnsi="Garamond" w:cs="Arial"/>
          <w:lang w:val="pt-PT"/>
        </w:rPr>
        <w:t xml:space="preserve"> </w:t>
      </w:r>
    </w:p>
    <w:p w:rsidR="003B4D48" w:rsidRDefault="00A132B3" w:rsidP="005523A8">
      <w:pPr>
        <w:pStyle w:val="NormalWeb"/>
        <w:jc w:val="both"/>
        <w:rPr>
          <w:rFonts w:ascii="Garamond" w:hAnsi="Garamond" w:cs="Arial"/>
          <w:lang w:val="pt-PT"/>
        </w:rPr>
      </w:pPr>
      <w:proofErr w:type="gramStart"/>
      <w:r w:rsidRPr="003A1174">
        <w:rPr>
          <w:rFonts w:ascii="Garamond" w:hAnsi="Garamond" w:cs="Arial"/>
          <w:lang w:val="pt-PT"/>
        </w:rPr>
        <w:t>A</w:t>
      </w:r>
      <w:r w:rsidR="0086401D" w:rsidRPr="003A1174">
        <w:rPr>
          <w:rFonts w:ascii="Garamond" w:hAnsi="Garamond" w:cs="Arial"/>
          <w:lang w:val="pt-PT"/>
        </w:rPr>
        <w:t xml:space="preserve">lém disso, entre </w:t>
      </w:r>
      <w:r w:rsidRPr="003A1174">
        <w:rPr>
          <w:rFonts w:ascii="Garamond" w:hAnsi="Garamond" w:cs="Arial"/>
          <w:lang w:val="pt-PT"/>
        </w:rPr>
        <w:t xml:space="preserve">os </w:t>
      </w:r>
      <w:r w:rsidR="00AF192F" w:rsidRPr="003A1174">
        <w:rPr>
          <w:rFonts w:ascii="Garamond" w:hAnsi="Garamond" w:cs="Arial"/>
          <w:lang w:val="pt-PT"/>
        </w:rPr>
        <w:t>Dever</w:t>
      </w:r>
      <w:r w:rsidRPr="003A1174">
        <w:rPr>
          <w:rFonts w:ascii="Garamond" w:hAnsi="Garamond" w:cs="Arial"/>
          <w:lang w:val="pt-PT"/>
        </w:rPr>
        <w:t>es d</w:t>
      </w:r>
      <w:r w:rsidR="0086401D" w:rsidRPr="003A1174">
        <w:rPr>
          <w:rFonts w:ascii="Garamond" w:hAnsi="Garamond" w:cs="Arial"/>
          <w:lang w:val="pt-PT"/>
        </w:rPr>
        <w:t xml:space="preserve">os Estados, </w:t>
      </w:r>
      <w:r w:rsidRPr="003A1174">
        <w:rPr>
          <w:rFonts w:ascii="Garamond" w:hAnsi="Garamond" w:cs="Arial"/>
          <w:lang w:val="pt-PT"/>
        </w:rPr>
        <w:t xml:space="preserve">a </w:t>
      </w:r>
      <w:r w:rsidR="00B14AA6" w:rsidRPr="003A1174">
        <w:rPr>
          <w:rFonts w:ascii="Garamond" w:hAnsi="Garamond" w:cs="Arial"/>
          <w:lang w:val="pt-PT"/>
        </w:rPr>
        <w:t>Convenção</w:t>
      </w:r>
      <w:r w:rsidRPr="003A1174">
        <w:rPr>
          <w:rFonts w:ascii="Garamond" w:hAnsi="Garamond" w:cs="Arial"/>
          <w:lang w:val="pt-PT"/>
        </w:rPr>
        <w:t xml:space="preserve"> de Belém do Pará </w:t>
      </w:r>
      <w:r w:rsidR="002D1021" w:rsidRPr="003A1174">
        <w:rPr>
          <w:rFonts w:ascii="Garamond" w:hAnsi="Garamond" w:cs="Arial"/>
          <w:lang w:val="pt-PT"/>
        </w:rPr>
        <w:t xml:space="preserve">determina no seu </w:t>
      </w:r>
      <w:r w:rsidR="00383B3F" w:rsidRPr="00575763">
        <w:rPr>
          <w:rFonts w:ascii="Garamond" w:hAnsi="Garamond" w:cs="Arial"/>
          <w:lang w:val="pt-PT"/>
        </w:rPr>
        <w:t>Art.</w:t>
      </w:r>
      <w:r w:rsidRPr="00575763">
        <w:rPr>
          <w:rFonts w:ascii="Garamond" w:hAnsi="Garamond" w:cs="Arial"/>
          <w:lang w:val="pt-PT"/>
        </w:rPr>
        <w:t xml:space="preserve"> 7</w:t>
      </w:r>
      <w:r w:rsidR="00575763" w:rsidRPr="00575763">
        <w:rPr>
          <w:rFonts w:ascii="Garamond" w:hAnsi="Garamond" w:cs="Arial"/>
          <w:lang w:val="pt-PT"/>
        </w:rPr>
        <w:t xml:space="preserve">, alíneas </w:t>
      </w:r>
      <w:r w:rsidRPr="00575763">
        <w:rPr>
          <w:rFonts w:ascii="Garamond" w:hAnsi="Garamond" w:cs="Arial"/>
          <w:lang w:val="pt-PT"/>
        </w:rPr>
        <w:t>d</w:t>
      </w:r>
      <w:r w:rsidR="00575763" w:rsidRPr="00575763">
        <w:rPr>
          <w:rFonts w:ascii="Garamond" w:hAnsi="Garamond" w:cs="Arial"/>
          <w:lang w:val="pt-PT"/>
        </w:rPr>
        <w:t>)</w:t>
      </w:r>
      <w:proofErr w:type="gramEnd"/>
      <w:r w:rsidR="00575763" w:rsidRPr="00575763">
        <w:rPr>
          <w:rFonts w:ascii="Garamond" w:hAnsi="Garamond" w:cs="Arial"/>
          <w:lang w:val="pt-PT"/>
        </w:rPr>
        <w:t xml:space="preserve">, </w:t>
      </w:r>
      <w:r w:rsidRPr="00575763">
        <w:rPr>
          <w:rFonts w:ascii="Garamond" w:hAnsi="Garamond" w:cs="Arial"/>
          <w:lang w:val="pt-PT"/>
        </w:rPr>
        <w:t>f</w:t>
      </w:r>
      <w:r w:rsidR="00575763" w:rsidRPr="00575763">
        <w:rPr>
          <w:rFonts w:ascii="Garamond" w:hAnsi="Garamond" w:cs="Arial"/>
          <w:lang w:val="pt-PT"/>
        </w:rPr>
        <w:t xml:space="preserve">) e </w:t>
      </w:r>
      <w:r w:rsidRPr="00575763">
        <w:rPr>
          <w:rFonts w:ascii="Garamond" w:hAnsi="Garamond" w:cs="Arial"/>
          <w:lang w:val="pt-PT"/>
        </w:rPr>
        <w:t>g</w:t>
      </w:r>
      <w:r w:rsidR="00575763" w:rsidRPr="00575763">
        <w:rPr>
          <w:rFonts w:ascii="Garamond" w:hAnsi="Garamond" w:cs="Arial"/>
          <w:lang w:val="pt-PT"/>
        </w:rPr>
        <w:t>)</w:t>
      </w:r>
      <w:r w:rsidRPr="00575763">
        <w:rPr>
          <w:rFonts w:ascii="Garamond" w:hAnsi="Garamond" w:cs="Arial"/>
          <w:lang w:val="pt-PT"/>
        </w:rPr>
        <w:t xml:space="preserve"> </w:t>
      </w:r>
      <w:r w:rsidR="002D1021" w:rsidRPr="00575763">
        <w:rPr>
          <w:rFonts w:ascii="Garamond" w:hAnsi="Garamond" w:cs="Arial"/>
          <w:lang w:val="pt-PT"/>
        </w:rPr>
        <w:t>o</w:t>
      </w:r>
      <w:r w:rsidRPr="00575763">
        <w:rPr>
          <w:rFonts w:ascii="Garamond" w:hAnsi="Garamond" w:cs="Arial"/>
          <w:lang w:val="pt-PT"/>
        </w:rPr>
        <w:t xml:space="preserve"> </w:t>
      </w:r>
      <w:r w:rsidR="002D1021" w:rsidRPr="00575763">
        <w:rPr>
          <w:rFonts w:ascii="Garamond" w:hAnsi="Garamond" w:cs="Arial"/>
          <w:lang w:val="pt-PT"/>
        </w:rPr>
        <w:t>estabelecimento</w:t>
      </w:r>
      <w:r w:rsidRPr="00575763">
        <w:rPr>
          <w:rFonts w:ascii="Garamond" w:hAnsi="Garamond" w:cs="Arial"/>
          <w:lang w:val="pt-PT"/>
        </w:rPr>
        <w:t xml:space="preserve"> de</w:t>
      </w:r>
    </w:p>
    <w:p w:rsidR="005523A8" w:rsidRPr="003B4D48" w:rsidRDefault="005523A8" w:rsidP="003B4D48">
      <w:pPr>
        <w:pStyle w:val="NormalWeb"/>
        <w:ind w:left="567"/>
        <w:jc w:val="both"/>
        <w:rPr>
          <w:rFonts w:ascii="Garamond" w:hAnsi="Garamond" w:cs="Arial"/>
          <w:sz w:val="22"/>
          <w:szCs w:val="22"/>
          <w:lang w:val="pt-PT"/>
        </w:rPr>
      </w:pPr>
      <w:r w:rsidRPr="003B4D48">
        <w:rPr>
          <w:rFonts w:ascii="Garamond" w:hAnsi="Garamond" w:cs="Arial"/>
          <w:sz w:val="22"/>
          <w:szCs w:val="22"/>
          <w:lang w:val="pt-PT"/>
        </w:rPr>
        <w:t xml:space="preserve">«[…] procedimentos legais justos e eficazes para a mulher que tenha sido submetida </w:t>
      </w:r>
      <w:proofErr w:type="gramStart"/>
      <w:r w:rsidRPr="003B4D48">
        <w:rPr>
          <w:rFonts w:ascii="Garamond" w:hAnsi="Garamond" w:cs="Arial"/>
          <w:sz w:val="22"/>
          <w:szCs w:val="22"/>
          <w:lang w:val="pt-PT"/>
        </w:rPr>
        <w:t>a</w:t>
      </w:r>
      <w:proofErr w:type="gramEnd"/>
      <w:r w:rsidRPr="003B4D48">
        <w:rPr>
          <w:rFonts w:ascii="Garamond" w:hAnsi="Garamond" w:cs="Arial"/>
          <w:sz w:val="22"/>
          <w:szCs w:val="22"/>
          <w:lang w:val="pt-PT"/>
        </w:rPr>
        <w:t xml:space="preserve"> violência, que incluam, entre outros, medidas de proteção, um julgamento </w:t>
      </w:r>
      <w:r w:rsidR="00346FDB">
        <w:rPr>
          <w:rFonts w:ascii="Garamond" w:hAnsi="Garamond" w:cs="Arial"/>
          <w:sz w:val="22"/>
          <w:szCs w:val="22"/>
          <w:lang w:val="pt-PT"/>
        </w:rPr>
        <w:t xml:space="preserve">adequado </w:t>
      </w:r>
      <w:r w:rsidRPr="003B4D48">
        <w:rPr>
          <w:rFonts w:ascii="Garamond" w:hAnsi="Garamond" w:cs="Arial"/>
          <w:sz w:val="22"/>
          <w:szCs w:val="22"/>
          <w:lang w:val="pt-PT"/>
        </w:rPr>
        <w:t xml:space="preserve">e o acesso efetivo a tais procedimentos»; também a adoção de «medidas jurídicas para obrigar o agressor a abster-se de fustigar, intimidar, ameaçar, prejudicar ou pôr em perigo a vida da mulher de qualquer forma que atente contra a sua integridade ou prejudique a sua propriedade; e, de forma mais precisa, ainda o estabelecimento de </w:t>
      </w:r>
      <w:r w:rsidR="00346FDB">
        <w:rPr>
          <w:rFonts w:ascii="Garamond" w:hAnsi="Garamond" w:cs="Arial"/>
          <w:sz w:val="22"/>
          <w:szCs w:val="22"/>
          <w:lang w:val="pt-PT"/>
        </w:rPr>
        <w:t>”</w:t>
      </w:r>
      <w:r w:rsidRPr="003B4D48">
        <w:rPr>
          <w:rFonts w:ascii="Garamond" w:hAnsi="Garamond" w:cs="Arial"/>
          <w:sz w:val="22"/>
          <w:szCs w:val="22"/>
          <w:lang w:val="pt-PT"/>
        </w:rPr>
        <w:t>mecanismos judiciais e administrativos necessários para assegurar que a mulher objeto de violência tenha acesso efetivo a ressarcimento, compensação do dano ou outros meios de compensação justos e eficazes</w:t>
      </w:r>
      <w:r w:rsidR="00346FDB">
        <w:rPr>
          <w:rFonts w:ascii="Garamond" w:hAnsi="Garamond" w:cs="Arial"/>
          <w:sz w:val="22"/>
          <w:szCs w:val="22"/>
          <w:lang w:val="pt-PT"/>
        </w:rPr>
        <w:t>”</w:t>
      </w:r>
      <w:r w:rsidRPr="003B4D48">
        <w:rPr>
          <w:rFonts w:ascii="Garamond" w:hAnsi="Garamond" w:cs="Arial"/>
          <w:sz w:val="22"/>
          <w:szCs w:val="22"/>
          <w:lang w:val="pt-PT"/>
        </w:rPr>
        <w:t>».</w:t>
      </w:r>
    </w:p>
    <w:p w:rsidR="00A132B3" w:rsidRPr="003A1174" w:rsidRDefault="002F45FB" w:rsidP="008719D4">
      <w:pPr>
        <w:pStyle w:val="NormalWeb"/>
        <w:spacing w:before="90" w:beforeAutospacing="0" w:after="45"/>
        <w:ind w:left="75" w:right="75"/>
        <w:jc w:val="both"/>
        <w:rPr>
          <w:rFonts w:ascii="Garamond" w:hAnsi="Garamond" w:cs="Arial"/>
          <w:lang w:val="pt-PT"/>
        </w:rPr>
      </w:pPr>
      <w:r w:rsidRPr="003A1174">
        <w:rPr>
          <w:rFonts w:ascii="Garamond" w:hAnsi="Garamond" w:cs="Arial"/>
          <w:lang w:val="pt-PT"/>
        </w:rPr>
        <w:t xml:space="preserve">Dada </w:t>
      </w:r>
      <w:r w:rsidR="0005622E" w:rsidRPr="003A1174">
        <w:rPr>
          <w:rFonts w:ascii="Garamond" w:hAnsi="Garamond" w:cs="Arial"/>
          <w:lang w:val="pt-PT"/>
        </w:rPr>
        <w:t xml:space="preserve">a </w:t>
      </w:r>
      <w:r w:rsidRPr="003A1174">
        <w:rPr>
          <w:rFonts w:ascii="Garamond" w:hAnsi="Garamond" w:cs="Arial"/>
          <w:lang w:val="pt-PT"/>
        </w:rPr>
        <w:t>su</w:t>
      </w:r>
      <w:r w:rsidR="0005622E" w:rsidRPr="003A1174">
        <w:rPr>
          <w:rFonts w:ascii="Garamond" w:hAnsi="Garamond" w:cs="Arial"/>
          <w:lang w:val="pt-PT"/>
        </w:rPr>
        <w:t>a</w:t>
      </w:r>
      <w:r w:rsidRPr="003A1174">
        <w:rPr>
          <w:rFonts w:ascii="Garamond" w:hAnsi="Garamond" w:cs="Arial"/>
          <w:lang w:val="pt-PT"/>
        </w:rPr>
        <w:t xml:space="preserve"> </w:t>
      </w:r>
      <w:r w:rsidR="002E2C71" w:rsidRPr="003A1174">
        <w:rPr>
          <w:rFonts w:ascii="Garamond" w:hAnsi="Garamond" w:cs="Arial"/>
          <w:lang w:val="pt-PT"/>
        </w:rPr>
        <w:t>função</w:t>
      </w:r>
      <w:r w:rsidRPr="003A1174">
        <w:rPr>
          <w:rFonts w:ascii="Garamond" w:hAnsi="Garamond" w:cs="Arial"/>
          <w:lang w:val="pt-PT"/>
        </w:rPr>
        <w:t xml:space="preserve"> matriz </w:t>
      </w:r>
      <w:r w:rsidR="0005622E" w:rsidRPr="003A1174">
        <w:rPr>
          <w:rFonts w:ascii="Garamond" w:hAnsi="Garamond" w:cs="Arial"/>
          <w:lang w:val="pt-PT"/>
        </w:rPr>
        <w:t xml:space="preserve">no </w:t>
      </w:r>
      <w:r w:rsidRPr="003A1174">
        <w:rPr>
          <w:rFonts w:ascii="Garamond" w:hAnsi="Garamond" w:cs="Arial"/>
          <w:lang w:val="pt-PT"/>
        </w:rPr>
        <w:t xml:space="preserve">Sistema Interamericano, </w:t>
      </w:r>
      <w:r w:rsidR="0005622E" w:rsidRPr="003A1174">
        <w:rPr>
          <w:rFonts w:ascii="Garamond" w:hAnsi="Garamond" w:cs="Arial"/>
          <w:lang w:val="pt-PT"/>
        </w:rPr>
        <w:t xml:space="preserve">é </w:t>
      </w:r>
      <w:r w:rsidR="00A132B3" w:rsidRPr="003A1174">
        <w:rPr>
          <w:rFonts w:ascii="Garamond" w:hAnsi="Garamond" w:cs="Arial"/>
          <w:lang w:val="pt-PT"/>
        </w:rPr>
        <w:t>importante</w:t>
      </w:r>
      <w:r w:rsidRPr="003A1174">
        <w:rPr>
          <w:rFonts w:ascii="Garamond" w:hAnsi="Garamond" w:cs="Arial"/>
          <w:lang w:val="pt-PT"/>
        </w:rPr>
        <w:t>,</w:t>
      </w:r>
      <w:r w:rsidR="00A132B3" w:rsidRPr="003A1174">
        <w:rPr>
          <w:rFonts w:ascii="Garamond" w:hAnsi="Garamond" w:cs="Arial"/>
          <w:lang w:val="pt-PT"/>
        </w:rPr>
        <w:t xml:space="preserve"> </w:t>
      </w:r>
      <w:r w:rsidR="0005622E" w:rsidRPr="003A1174">
        <w:rPr>
          <w:rFonts w:ascii="Garamond" w:hAnsi="Garamond" w:cs="Arial"/>
          <w:lang w:val="pt-PT"/>
        </w:rPr>
        <w:t>também</w:t>
      </w:r>
      <w:r w:rsidRPr="003A1174">
        <w:rPr>
          <w:rFonts w:ascii="Garamond" w:hAnsi="Garamond" w:cs="Arial"/>
          <w:lang w:val="pt-PT"/>
        </w:rPr>
        <w:t>,</w:t>
      </w:r>
      <w:r w:rsidR="00A132B3" w:rsidRPr="003A1174">
        <w:rPr>
          <w:rFonts w:ascii="Garamond" w:hAnsi="Garamond" w:cs="Arial"/>
          <w:lang w:val="pt-PT"/>
        </w:rPr>
        <w:t xml:space="preserve"> t</w:t>
      </w:r>
      <w:r w:rsidR="0005622E" w:rsidRPr="003A1174">
        <w:rPr>
          <w:rFonts w:ascii="Garamond" w:hAnsi="Garamond" w:cs="Arial"/>
          <w:lang w:val="pt-PT"/>
        </w:rPr>
        <w:t>e</w:t>
      </w:r>
      <w:r w:rsidR="00A132B3" w:rsidRPr="003A1174">
        <w:rPr>
          <w:rFonts w:ascii="Garamond" w:hAnsi="Garamond" w:cs="Arial"/>
          <w:lang w:val="pt-PT"/>
        </w:rPr>
        <w:t>r e</w:t>
      </w:r>
      <w:r w:rsidR="0005622E" w:rsidRPr="003A1174">
        <w:rPr>
          <w:rFonts w:ascii="Garamond" w:hAnsi="Garamond" w:cs="Arial"/>
          <w:lang w:val="pt-PT"/>
        </w:rPr>
        <w:t>m</w:t>
      </w:r>
      <w:r w:rsidR="00A132B3" w:rsidRPr="003A1174">
        <w:rPr>
          <w:rFonts w:ascii="Garamond" w:hAnsi="Garamond" w:cs="Arial"/>
          <w:lang w:val="pt-PT"/>
        </w:rPr>
        <w:t xml:space="preserve"> </w:t>
      </w:r>
      <w:r w:rsidR="00863197" w:rsidRPr="003A1174">
        <w:rPr>
          <w:rFonts w:ascii="Garamond" w:hAnsi="Garamond" w:cs="Arial"/>
          <w:lang w:val="pt-PT"/>
        </w:rPr>
        <w:t>consideração</w:t>
      </w:r>
      <w:r w:rsidR="00A132B3" w:rsidRPr="003A1174">
        <w:rPr>
          <w:rFonts w:ascii="Garamond" w:hAnsi="Garamond" w:cs="Arial"/>
          <w:lang w:val="pt-PT"/>
        </w:rPr>
        <w:t xml:space="preserve"> a CADH, que </w:t>
      </w:r>
      <w:r w:rsidR="00152A44" w:rsidRPr="003A1174">
        <w:rPr>
          <w:rFonts w:ascii="Garamond" w:hAnsi="Garamond" w:cs="Arial"/>
          <w:lang w:val="pt-PT"/>
        </w:rPr>
        <w:t>estabelece</w:t>
      </w:r>
      <w:r w:rsidR="0005622E" w:rsidRPr="003A1174">
        <w:rPr>
          <w:rFonts w:ascii="Garamond" w:hAnsi="Garamond" w:cs="Arial"/>
          <w:lang w:val="pt-PT"/>
        </w:rPr>
        <w:t xml:space="preserve"> um</w:t>
      </w:r>
      <w:r w:rsidR="00A132B3" w:rsidRPr="003A1174">
        <w:rPr>
          <w:rFonts w:ascii="Garamond" w:hAnsi="Garamond" w:cs="Arial"/>
          <w:lang w:val="pt-PT"/>
        </w:rPr>
        <w:t>a norma conc</w:t>
      </w:r>
      <w:r w:rsidR="0005622E" w:rsidRPr="003A1174">
        <w:rPr>
          <w:rFonts w:ascii="Garamond" w:hAnsi="Garamond" w:cs="Arial"/>
          <w:lang w:val="pt-PT"/>
        </w:rPr>
        <w:t>o</w:t>
      </w:r>
      <w:r w:rsidR="00A132B3" w:rsidRPr="003A1174">
        <w:rPr>
          <w:rFonts w:ascii="Garamond" w:hAnsi="Garamond" w:cs="Arial"/>
          <w:lang w:val="pt-PT"/>
        </w:rPr>
        <w:t>rrente a</w:t>
      </w:r>
      <w:r w:rsidR="0005622E" w:rsidRPr="003A1174">
        <w:rPr>
          <w:rFonts w:ascii="Garamond" w:hAnsi="Garamond" w:cs="Arial"/>
          <w:lang w:val="pt-PT"/>
        </w:rPr>
        <w:t>o</w:t>
      </w:r>
      <w:r w:rsidR="00A132B3" w:rsidRPr="003A1174">
        <w:rPr>
          <w:rFonts w:ascii="Garamond" w:hAnsi="Garamond" w:cs="Arial"/>
          <w:lang w:val="pt-PT"/>
        </w:rPr>
        <w:t xml:space="preserve"> dispor </w:t>
      </w:r>
      <w:r w:rsidR="0005622E" w:rsidRPr="003A1174">
        <w:rPr>
          <w:rFonts w:ascii="Garamond" w:hAnsi="Garamond" w:cs="Arial"/>
          <w:lang w:val="pt-PT"/>
        </w:rPr>
        <w:t xml:space="preserve">no seu </w:t>
      </w:r>
      <w:r w:rsidR="00383B3F" w:rsidRPr="003A1174">
        <w:rPr>
          <w:rFonts w:ascii="Garamond" w:hAnsi="Garamond" w:cs="Arial"/>
          <w:lang w:val="pt-PT"/>
        </w:rPr>
        <w:t>Art.</w:t>
      </w:r>
      <w:r w:rsidR="00A132B3" w:rsidRPr="003A1174">
        <w:rPr>
          <w:rFonts w:ascii="Garamond" w:hAnsi="Garamond" w:cs="Arial"/>
          <w:lang w:val="pt-PT"/>
        </w:rPr>
        <w:t xml:space="preserve"> 8</w:t>
      </w:r>
      <w:r w:rsidR="00346FDB">
        <w:rPr>
          <w:rFonts w:ascii="Garamond" w:hAnsi="Garamond" w:cs="Arial"/>
          <w:lang w:val="pt-PT"/>
        </w:rPr>
        <w:t xml:space="preserve">, n.º </w:t>
      </w:r>
      <w:r w:rsidR="00A132B3" w:rsidRPr="003A1174">
        <w:rPr>
          <w:rFonts w:ascii="Garamond" w:hAnsi="Garamond" w:cs="Arial"/>
          <w:lang w:val="pt-PT"/>
        </w:rPr>
        <w:t>1</w:t>
      </w:r>
      <w:r w:rsidR="005523A8">
        <w:rPr>
          <w:rFonts w:ascii="Garamond" w:hAnsi="Garamond" w:cs="Arial"/>
          <w:lang w:val="pt-PT"/>
        </w:rPr>
        <w:t>.</w:t>
      </w:r>
      <w:r w:rsidR="00A132B3" w:rsidRPr="003A1174">
        <w:rPr>
          <w:rFonts w:ascii="Garamond" w:hAnsi="Garamond" w:cs="Arial"/>
          <w:lang w:val="pt-PT"/>
        </w:rPr>
        <w:t xml:space="preserve"> </w:t>
      </w:r>
      <w:proofErr w:type="gramStart"/>
      <w:r w:rsidR="00A132B3" w:rsidRPr="003A1174">
        <w:rPr>
          <w:rFonts w:ascii="Garamond" w:hAnsi="Garamond" w:cs="Arial"/>
          <w:lang w:val="pt-PT"/>
        </w:rPr>
        <w:t>que</w:t>
      </w:r>
      <w:proofErr w:type="gramEnd"/>
      <w:r w:rsidR="00A132B3" w:rsidRPr="003A1174">
        <w:rPr>
          <w:rFonts w:ascii="Garamond" w:hAnsi="Garamond" w:cs="Arial"/>
          <w:lang w:val="pt-PT"/>
        </w:rPr>
        <w:t xml:space="preserve"> </w:t>
      </w:r>
    </w:p>
    <w:p w:rsidR="00A132B3" w:rsidRPr="005523A8" w:rsidRDefault="005523A8" w:rsidP="005523A8">
      <w:pPr>
        <w:pStyle w:val="NormalWeb"/>
        <w:spacing w:before="90" w:beforeAutospacing="0" w:after="45"/>
        <w:ind w:left="567" w:right="75"/>
        <w:jc w:val="both"/>
        <w:rPr>
          <w:rFonts w:ascii="Garamond" w:hAnsi="Garamond" w:cs="Arial"/>
          <w:sz w:val="22"/>
          <w:szCs w:val="22"/>
          <w:lang w:val="pt-PT"/>
        </w:rPr>
      </w:pPr>
      <w:r>
        <w:rPr>
          <w:rFonts w:ascii="Garamond" w:hAnsi="Garamond" w:cs="Arial"/>
          <w:sz w:val="22"/>
          <w:szCs w:val="22"/>
          <w:lang w:val="pt-PT"/>
        </w:rPr>
        <w:t>«</w:t>
      </w:r>
      <w:r w:rsidR="00A32F42" w:rsidRPr="005523A8">
        <w:rPr>
          <w:rFonts w:ascii="Garamond" w:hAnsi="Garamond" w:cs="Arial"/>
          <w:sz w:val="22"/>
          <w:szCs w:val="22"/>
          <w:lang w:val="pt-PT"/>
        </w:rPr>
        <w:t>Toda</w:t>
      </w:r>
      <w:r w:rsidR="0005622E" w:rsidRPr="005523A8">
        <w:rPr>
          <w:rFonts w:ascii="Garamond" w:hAnsi="Garamond" w:cs="Arial"/>
          <w:sz w:val="22"/>
          <w:szCs w:val="22"/>
          <w:lang w:val="pt-PT"/>
        </w:rPr>
        <w:t>s</w:t>
      </w:r>
      <w:r w:rsidR="00A132B3" w:rsidRPr="005523A8">
        <w:rPr>
          <w:rFonts w:ascii="Garamond" w:hAnsi="Garamond" w:cs="Arial"/>
          <w:sz w:val="22"/>
          <w:szCs w:val="22"/>
          <w:lang w:val="pt-PT"/>
        </w:rPr>
        <w:t xml:space="preserve"> </w:t>
      </w:r>
      <w:r w:rsidR="0005622E" w:rsidRPr="005523A8">
        <w:rPr>
          <w:rFonts w:ascii="Garamond" w:hAnsi="Garamond" w:cs="Arial"/>
          <w:sz w:val="22"/>
          <w:szCs w:val="22"/>
          <w:lang w:val="pt-PT"/>
        </w:rPr>
        <w:t>as pessoas</w:t>
      </w:r>
      <w:r w:rsidR="00A132B3" w:rsidRPr="005523A8">
        <w:rPr>
          <w:rFonts w:ascii="Garamond" w:hAnsi="Garamond" w:cs="Arial"/>
          <w:sz w:val="22"/>
          <w:szCs w:val="22"/>
          <w:lang w:val="pt-PT"/>
        </w:rPr>
        <w:t xml:space="preserve"> t</w:t>
      </w:r>
      <w:r w:rsidR="0005622E" w:rsidRPr="005523A8">
        <w:rPr>
          <w:rFonts w:ascii="Garamond" w:hAnsi="Garamond" w:cs="Arial"/>
          <w:sz w:val="22"/>
          <w:szCs w:val="22"/>
          <w:lang w:val="pt-PT"/>
        </w:rPr>
        <w:t xml:space="preserve">êm </w:t>
      </w:r>
      <w:r w:rsidR="00886D6A" w:rsidRPr="005523A8">
        <w:rPr>
          <w:rFonts w:ascii="Garamond" w:hAnsi="Garamond" w:cs="Arial"/>
          <w:sz w:val="22"/>
          <w:szCs w:val="22"/>
          <w:lang w:val="pt-PT"/>
        </w:rPr>
        <w:t>direito</w:t>
      </w:r>
      <w:r w:rsidR="00A132B3" w:rsidRPr="005523A8">
        <w:rPr>
          <w:rFonts w:ascii="Garamond" w:hAnsi="Garamond" w:cs="Arial"/>
          <w:sz w:val="22"/>
          <w:szCs w:val="22"/>
          <w:lang w:val="pt-PT"/>
        </w:rPr>
        <w:t xml:space="preserve"> a ser o</w:t>
      </w:r>
      <w:r w:rsidR="0005622E" w:rsidRPr="005523A8">
        <w:rPr>
          <w:rFonts w:ascii="Garamond" w:hAnsi="Garamond" w:cs="Arial"/>
          <w:sz w:val="22"/>
          <w:szCs w:val="22"/>
          <w:lang w:val="pt-PT"/>
        </w:rPr>
        <w:t>uvidas</w:t>
      </w:r>
      <w:r w:rsidR="00A132B3" w:rsidRPr="005523A8">
        <w:rPr>
          <w:rFonts w:ascii="Garamond" w:hAnsi="Garamond" w:cs="Arial"/>
          <w:sz w:val="22"/>
          <w:szCs w:val="22"/>
          <w:lang w:val="pt-PT"/>
        </w:rPr>
        <w:t>, co</w:t>
      </w:r>
      <w:r w:rsidR="0005622E" w:rsidRPr="005523A8">
        <w:rPr>
          <w:rFonts w:ascii="Garamond" w:hAnsi="Garamond" w:cs="Arial"/>
          <w:sz w:val="22"/>
          <w:szCs w:val="22"/>
          <w:lang w:val="pt-PT"/>
        </w:rPr>
        <w:t xml:space="preserve">m </w:t>
      </w:r>
      <w:r w:rsidR="00A132B3" w:rsidRPr="005523A8">
        <w:rPr>
          <w:rFonts w:ascii="Garamond" w:hAnsi="Garamond" w:cs="Arial"/>
          <w:sz w:val="22"/>
          <w:szCs w:val="22"/>
          <w:lang w:val="pt-PT"/>
        </w:rPr>
        <w:t>as de</w:t>
      </w:r>
      <w:r w:rsidR="0005622E" w:rsidRPr="005523A8">
        <w:rPr>
          <w:rFonts w:ascii="Garamond" w:hAnsi="Garamond" w:cs="Arial"/>
          <w:sz w:val="22"/>
          <w:szCs w:val="22"/>
          <w:lang w:val="pt-PT"/>
        </w:rPr>
        <w:t>v</w:t>
      </w:r>
      <w:r w:rsidR="00A132B3" w:rsidRPr="005523A8">
        <w:rPr>
          <w:rFonts w:ascii="Garamond" w:hAnsi="Garamond" w:cs="Arial"/>
          <w:sz w:val="22"/>
          <w:szCs w:val="22"/>
          <w:lang w:val="pt-PT"/>
        </w:rPr>
        <w:t xml:space="preserve">idas </w:t>
      </w:r>
      <w:r w:rsidR="00A56F43" w:rsidRPr="005523A8">
        <w:rPr>
          <w:rFonts w:ascii="Garamond" w:hAnsi="Garamond" w:cs="Arial"/>
          <w:sz w:val="22"/>
          <w:szCs w:val="22"/>
          <w:lang w:val="pt-PT"/>
        </w:rPr>
        <w:t>garantia</w:t>
      </w:r>
      <w:r w:rsidR="0005622E" w:rsidRPr="005523A8">
        <w:rPr>
          <w:rFonts w:ascii="Garamond" w:hAnsi="Garamond" w:cs="Arial"/>
          <w:sz w:val="22"/>
          <w:szCs w:val="22"/>
          <w:lang w:val="pt-PT"/>
        </w:rPr>
        <w:t>s e</w:t>
      </w:r>
      <w:r w:rsidR="00A132B3" w:rsidRPr="005523A8">
        <w:rPr>
          <w:rFonts w:ascii="Garamond" w:hAnsi="Garamond" w:cs="Arial"/>
          <w:sz w:val="22"/>
          <w:szCs w:val="22"/>
          <w:lang w:val="pt-PT"/>
        </w:rPr>
        <w:t xml:space="preserve"> dentro de u</w:t>
      </w:r>
      <w:r w:rsidR="0005622E" w:rsidRPr="005523A8">
        <w:rPr>
          <w:rFonts w:ascii="Garamond" w:hAnsi="Garamond" w:cs="Arial"/>
          <w:sz w:val="22"/>
          <w:szCs w:val="22"/>
          <w:lang w:val="pt-PT"/>
        </w:rPr>
        <w:t>m</w:t>
      </w:r>
      <w:r w:rsidR="00A132B3" w:rsidRPr="005523A8">
        <w:rPr>
          <w:rFonts w:ascii="Garamond" w:hAnsi="Garamond" w:cs="Arial"/>
          <w:sz w:val="22"/>
          <w:szCs w:val="22"/>
          <w:lang w:val="pt-PT"/>
        </w:rPr>
        <w:t xml:space="preserve"> </w:t>
      </w:r>
      <w:r w:rsidR="0005622E" w:rsidRPr="005523A8">
        <w:rPr>
          <w:rFonts w:ascii="Garamond" w:hAnsi="Garamond" w:cs="Arial"/>
          <w:sz w:val="22"/>
          <w:szCs w:val="22"/>
          <w:lang w:val="pt-PT"/>
        </w:rPr>
        <w:t>prazo</w:t>
      </w:r>
      <w:r w:rsidR="00A132B3" w:rsidRPr="005523A8">
        <w:rPr>
          <w:rFonts w:ascii="Garamond" w:hAnsi="Garamond" w:cs="Arial"/>
          <w:sz w:val="22"/>
          <w:szCs w:val="22"/>
          <w:lang w:val="pt-PT"/>
        </w:rPr>
        <w:t xml:space="preserve"> </w:t>
      </w:r>
      <w:r w:rsidR="0005622E" w:rsidRPr="005523A8">
        <w:rPr>
          <w:rFonts w:ascii="Garamond" w:hAnsi="Garamond" w:cs="Arial"/>
          <w:sz w:val="22"/>
          <w:szCs w:val="22"/>
          <w:lang w:val="pt-PT"/>
        </w:rPr>
        <w:t>razoável</w:t>
      </w:r>
      <w:r w:rsidR="00A132B3" w:rsidRPr="005523A8">
        <w:rPr>
          <w:rFonts w:ascii="Garamond" w:hAnsi="Garamond" w:cs="Arial"/>
          <w:sz w:val="22"/>
          <w:szCs w:val="22"/>
          <w:lang w:val="pt-PT"/>
        </w:rPr>
        <w:t>, por u</w:t>
      </w:r>
      <w:r w:rsidR="0005622E" w:rsidRPr="005523A8">
        <w:rPr>
          <w:rFonts w:ascii="Garamond" w:hAnsi="Garamond" w:cs="Arial"/>
          <w:sz w:val="22"/>
          <w:szCs w:val="22"/>
          <w:lang w:val="pt-PT"/>
        </w:rPr>
        <w:t>m</w:t>
      </w:r>
      <w:r w:rsidR="00A132B3" w:rsidRPr="005523A8">
        <w:rPr>
          <w:rFonts w:ascii="Garamond" w:hAnsi="Garamond" w:cs="Arial"/>
          <w:sz w:val="22"/>
          <w:szCs w:val="22"/>
          <w:lang w:val="pt-PT"/>
        </w:rPr>
        <w:t xml:space="preserve"> </w:t>
      </w:r>
      <w:r w:rsidR="00253B1D" w:rsidRPr="005523A8">
        <w:rPr>
          <w:rFonts w:ascii="Garamond" w:hAnsi="Garamond" w:cs="Arial"/>
          <w:sz w:val="22"/>
          <w:szCs w:val="22"/>
          <w:lang w:val="pt-PT"/>
        </w:rPr>
        <w:t>juiz</w:t>
      </w:r>
      <w:r w:rsidR="00A132B3" w:rsidRPr="005523A8">
        <w:rPr>
          <w:rFonts w:ascii="Garamond" w:hAnsi="Garamond" w:cs="Arial"/>
          <w:sz w:val="22"/>
          <w:szCs w:val="22"/>
          <w:lang w:val="pt-PT"/>
        </w:rPr>
        <w:t xml:space="preserve"> o</w:t>
      </w:r>
      <w:r w:rsidR="0005622E" w:rsidRPr="005523A8">
        <w:rPr>
          <w:rFonts w:ascii="Garamond" w:hAnsi="Garamond" w:cs="Arial"/>
          <w:sz w:val="22"/>
          <w:szCs w:val="22"/>
          <w:lang w:val="pt-PT"/>
        </w:rPr>
        <w:t>u</w:t>
      </w:r>
      <w:r w:rsidR="00A132B3" w:rsidRPr="005523A8">
        <w:rPr>
          <w:rFonts w:ascii="Garamond" w:hAnsi="Garamond" w:cs="Arial"/>
          <w:sz w:val="22"/>
          <w:szCs w:val="22"/>
          <w:lang w:val="pt-PT"/>
        </w:rPr>
        <w:t xml:space="preserve"> tribunal competente, </w:t>
      </w:r>
      <w:r w:rsidR="0005622E" w:rsidRPr="005523A8">
        <w:rPr>
          <w:rFonts w:ascii="Garamond" w:hAnsi="Garamond" w:cs="Arial"/>
          <w:sz w:val="22"/>
          <w:szCs w:val="22"/>
          <w:lang w:val="pt-PT"/>
        </w:rPr>
        <w:t>independente</w:t>
      </w:r>
      <w:r w:rsidR="00A132B3" w:rsidRPr="005523A8">
        <w:rPr>
          <w:rFonts w:ascii="Garamond" w:hAnsi="Garamond" w:cs="Arial"/>
          <w:sz w:val="22"/>
          <w:szCs w:val="22"/>
          <w:lang w:val="pt-PT"/>
        </w:rPr>
        <w:t xml:space="preserve"> e imparcial, </w:t>
      </w:r>
      <w:r w:rsidR="00661ADB" w:rsidRPr="005523A8">
        <w:rPr>
          <w:rFonts w:ascii="Garamond" w:hAnsi="Garamond" w:cs="Arial"/>
          <w:sz w:val="22"/>
          <w:szCs w:val="22"/>
          <w:lang w:val="pt-PT"/>
        </w:rPr>
        <w:t>estabelecido</w:t>
      </w:r>
      <w:r w:rsidR="00A132B3" w:rsidRPr="005523A8">
        <w:rPr>
          <w:rFonts w:ascii="Garamond" w:hAnsi="Garamond" w:cs="Arial"/>
          <w:sz w:val="22"/>
          <w:szCs w:val="22"/>
          <w:lang w:val="pt-PT"/>
        </w:rPr>
        <w:t xml:space="preserve"> anterior</w:t>
      </w:r>
      <w:r w:rsidR="0005622E" w:rsidRPr="005523A8">
        <w:rPr>
          <w:rFonts w:ascii="Garamond" w:hAnsi="Garamond" w:cs="Arial"/>
          <w:sz w:val="22"/>
          <w:szCs w:val="22"/>
          <w:lang w:val="pt-PT"/>
        </w:rPr>
        <w:t>mente pe</w:t>
      </w:r>
      <w:r w:rsidR="00A132B3" w:rsidRPr="005523A8">
        <w:rPr>
          <w:rFonts w:ascii="Garamond" w:hAnsi="Garamond" w:cs="Arial"/>
          <w:sz w:val="22"/>
          <w:szCs w:val="22"/>
          <w:lang w:val="pt-PT"/>
        </w:rPr>
        <w:t xml:space="preserve">la </w:t>
      </w:r>
      <w:r w:rsidR="00D15AFF" w:rsidRPr="005523A8">
        <w:rPr>
          <w:rFonts w:ascii="Garamond" w:hAnsi="Garamond" w:cs="Arial"/>
          <w:sz w:val="22"/>
          <w:szCs w:val="22"/>
          <w:lang w:val="pt-PT"/>
        </w:rPr>
        <w:t>lei</w:t>
      </w:r>
      <w:r w:rsidR="00A132B3" w:rsidRPr="005523A8">
        <w:rPr>
          <w:rFonts w:ascii="Garamond" w:hAnsi="Garamond" w:cs="Arial"/>
          <w:sz w:val="22"/>
          <w:szCs w:val="22"/>
          <w:lang w:val="pt-PT"/>
        </w:rPr>
        <w:t xml:space="preserve">, </w:t>
      </w:r>
      <w:r w:rsidR="0005622E" w:rsidRPr="005523A8">
        <w:rPr>
          <w:rFonts w:ascii="Garamond" w:hAnsi="Garamond" w:cs="Arial"/>
          <w:sz w:val="22"/>
          <w:szCs w:val="22"/>
          <w:lang w:val="pt-PT"/>
        </w:rPr>
        <w:t>n</w:t>
      </w:r>
      <w:r w:rsidR="00A132B3" w:rsidRPr="005523A8">
        <w:rPr>
          <w:rFonts w:ascii="Garamond" w:hAnsi="Garamond" w:cs="Arial"/>
          <w:sz w:val="22"/>
          <w:szCs w:val="22"/>
          <w:lang w:val="pt-PT"/>
        </w:rPr>
        <w:t xml:space="preserve">a </w:t>
      </w:r>
      <w:r w:rsidR="00963D01" w:rsidRPr="005523A8">
        <w:rPr>
          <w:rFonts w:ascii="Garamond" w:hAnsi="Garamond" w:cs="Arial"/>
          <w:sz w:val="22"/>
          <w:szCs w:val="22"/>
          <w:lang w:val="pt-PT"/>
        </w:rPr>
        <w:t>fundamentação</w:t>
      </w:r>
      <w:r w:rsidR="00A132B3" w:rsidRPr="005523A8">
        <w:rPr>
          <w:rFonts w:ascii="Garamond" w:hAnsi="Garamond" w:cs="Arial"/>
          <w:sz w:val="22"/>
          <w:szCs w:val="22"/>
          <w:lang w:val="pt-PT"/>
        </w:rPr>
        <w:t xml:space="preserve"> de </w:t>
      </w:r>
      <w:r w:rsidR="007342D9" w:rsidRPr="005523A8">
        <w:rPr>
          <w:rFonts w:ascii="Garamond" w:hAnsi="Garamond" w:cs="Arial"/>
          <w:sz w:val="22"/>
          <w:szCs w:val="22"/>
          <w:lang w:val="pt-PT"/>
        </w:rPr>
        <w:t>qualquer</w:t>
      </w:r>
      <w:r w:rsidR="00A132B3" w:rsidRPr="005523A8">
        <w:rPr>
          <w:rFonts w:ascii="Garamond" w:hAnsi="Garamond" w:cs="Arial"/>
          <w:sz w:val="22"/>
          <w:szCs w:val="22"/>
          <w:lang w:val="pt-PT"/>
        </w:rPr>
        <w:t xml:space="preserve"> </w:t>
      </w:r>
      <w:r w:rsidR="00E150E9" w:rsidRPr="005523A8">
        <w:rPr>
          <w:rFonts w:ascii="Garamond" w:hAnsi="Garamond" w:cs="Arial"/>
          <w:sz w:val="22"/>
          <w:szCs w:val="22"/>
          <w:lang w:val="pt-PT"/>
        </w:rPr>
        <w:t>acusação penal formulada contra e</w:t>
      </w:r>
      <w:r w:rsidR="00A132B3" w:rsidRPr="005523A8">
        <w:rPr>
          <w:rFonts w:ascii="Garamond" w:hAnsi="Garamond" w:cs="Arial"/>
          <w:sz w:val="22"/>
          <w:szCs w:val="22"/>
          <w:lang w:val="pt-PT"/>
        </w:rPr>
        <w:t>la, o</w:t>
      </w:r>
      <w:r w:rsidR="00E150E9" w:rsidRPr="005523A8">
        <w:rPr>
          <w:rFonts w:ascii="Garamond" w:hAnsi="Garamond" w:cs="Arial"/>
          <w:sz w:val="22"/>
          <w:szCs w:val="22"/>
          <w:lang w:val="pt-PT"/>
        </w:rPr>
        <w:t xml:space="preserve">u para </w:t>
      </w:r>
      <w:r w:rsidR="00A132B3" w:rsidRPr="005523A8">
        <w:rPr>
          <w:rFonts w:ascii="Garamond" w:hAnsi="Garamond" w:cs="Arial"/>
          <w:sz w:val="22"/>
          <w:szCs w:val="22"/>
          <w:lang w:val="pt-PT"/>
        </w:rPr>
        <w:t xml:space="preserve">a </w:t>
      </w:r>
      <w:r w:rsidR="00E150E9" w:rsidRPr="005523A8">
        <w:rPr>
          <w:rFonts w:ascii="Garamond" w:hAnsi="Garamond" w:cs="Arial"/>
          <w:sz w:val="22"/>
          <w:szCs w:val="22"/>
          <w:lang w:val="pt-PT"/>
        </w:rPr>
        <w:t>determinação</w:t>
      </w:r>
      <w:r w:rsidR="00A132B3" w:rsidRPr="005523A8">
        <w:rPr>
          <w:rFonts w:ascii="Garamond" w:hAnsi="Garamond" w:cs="Arial"/>
          <w:sz w:val="22"/>
          <w:szCs w:val="22"/>
          <w:lang w:val="pt-PT"/>
        </w:rPr>
        <w:t xml:space="preserve"> d</w:t>
      </w:r>
      <w:r w:rsidR="00E150E9" w:rsidRPr="005523A8">
        <w:rPr>
          <w:rFonts w:ascii="Garamond" w:hAnsi="Garamond" w:cs="Arial"/>
          <w:sz w:val="22"/>
          <w:szCs w:val="22"/>
          <w:lang w:val="pt-PT"/>
        </w:rPr>
        <w:t xml:space="preserve">os </w:t>
      </w:r>
      <w:r w:rsidR="00A132B3" w:rsidRPr="005523A8">
        <w:rPr>
          <w:rFonts w:ascii="Garamond" w:hAnsi="Garamond" w:cs="Arial"/>
          <w:sz w:val="22"/>
          <w:szCs w:val="22"/>
          <w:lang w:val="pt-PT"/>
        </w:rPr>
        <w:t>s</w:t>
      </w:r>
      <w:r w:rsidR="00E150E9" w:rsidRPr="005523A8">
        <w:rPr>
          <w:rFonts w:ascii="Garamond" w:hAnsi="Garamond" w:cs="Arial"/>
          <w:sz w:val="22"/>
          <w:szCs w:val="22"/>
          <w:lang w:val="pt-PT"/>
        </w:rPr>
        <w:t>e</w:t>
      </w:r>
      <w:r w:rsidR="00A132B3" w:rsidRPr="005523A8">
        <w:rPr>
          <w:rFonts w:ascii="Garamond" w:hAnsi="Garamond" w:cs="Arial"/>
          <w:sz w:val="22"/>
          <w:szCs w:val="22"/>
          <w:lang w:val="pt-PT"/>
        </w:rPr>
        <w:t xml:space="preserve">us </w:t>
      </w:r>
      <w:r w:rsidR="00886D6A" w:rsidRPr="005523A8">
        <w:rPr>
          <w:rFonts w:ascii="Garamond" w:hAnsi="Garamond" w:cs="Arial"/>
          <w:sz w:val="22"/>
          <w:szCs w:val="22"/>
          <w:lang w:val="pt-PT"/>
        </w:rPr>
        <w:t>direito</w:t>
      </w:r>
      <w:r w:rsidR="00E150E9" w:rsidRPr="005523A8">
        <w:rPr>
          <w:rFonts w:ascii="Garamond" w:hAnsi="Garamond" w:cs="Arial"/>
          <w:sz w:val="22"/>
          <w:szCs w:val="22"/>
          <w:lang w:val="pt-PT"/>
        </w:rPr>
        <w:t>s e</w:t>
      </w:r>
      <w:r w:rsidR="00A132B3" w:rsidRPr="005523A8">
        <w:rPr>
          <w:rFonts w:ascii="Garamond" w:hAnsi="Garamond" w:cs="Arial"/>
          <w:sz w:val="22"/>
          <w:szCs w:val="22"/>
          <w:lang w:val="pt-PT"/>
        </w:rPr>
        <w:t xml:space="preserve"> </w:t>
      </w:r>
      <w:r w:rsidR="002F62B0" w:rsidRPr="005523A8">
        <w:rPr>
          <w:rFonts w:ascii="Garamond" w:hAnsi="Garamond" w:cs="Arial"/>
          <w:sz w:val="22"/>
          <w:szCs w:val="22"/>
          <w:lang w:val="pt-PT"/>
        </w:rPr>
        <w:t>obrigações</w:t>
      </w:r>
      <w:r w:rsidR="00A132B3" w:rsidRPr="005523A8">
        <w:rPr>
          <w:rFonts w:ascii="Garamond" w:hAnsi="Garamond" w:cs="Arial"/>
          <w:sz w:val="22"/>
          <w:szCs w:val="22"/>
          <w:lang w:val="pt-PT"/>
        </w:rPr>
        <w:t xml:space="preserve"> de orde</w:t>
      </w:r>
      <w:r w:rsidR="00E150E9" w:rsidRPr="005523A8">
        <w:rPr>
          <w:rFonts w:ascii="Garamond" w:hAnsi="Garamond" w:cs="Arial"/>
          <w:sz w:val="22"/>
          <w:szCs w:val="22"/>
          <w:lang w:val="pt-PT"/>
        </w:rPr>
        <w:t>m</w:t>
      </w:r>
      <w:r w:rsidR="00A132B3" w:rsidRPr="005523A8">
        <w:rPr>
          <w:rFonts w:ascii="Garamond" w:hAnsi="Garamond" w:cs="Arial"/>
          <w:sz w:val="22"/>
          <w:szCs w:val="22"/>
          <w:lang w:val="pt-PT"/>
        </w:rPr>
        <w:t xml:space="preserve"> civil, laboral, fiscal o</w:t>
      </w:r>
      <w:r w:rsidR="00E150E9" w:rsidRPr="005523A8">
        <w:rPr>
          <w:rFonts w:ascii="Garamond" w:hAnsi="Garamond" w:cs="Arial"/>
          <w:sz w:val="22"/>
          <w:szCs w:val="22"/>
          <w:lang w:val="pt-PT"/>
        </w:rPr>
        <w:t>u</w:t>
      </w:r>
      <w:r w:rsidR="00A132B3" w:rsidRPr="005523A8">
        <w:rPr>
          <w:rFonts w:ascii="Garamond" w:hAnsi="Garamond" w:cs="Arial"/>
          <w:sz w:val="22"/>
          <w:szCs w:val="22"/>
          <w:lang w:val="pt-PT"/>
        </w:rPr>
        <w:t xml:space="preserve"> de </w:t>
      </w:r>
      <w:r w:rsidR="007342D9" w:rsidRPr="005523A8">
        <w:rPr>
          <w:rFonts w:ascii="Garamond" w:hAnsi="Garamond" w:cs="Arial"/>
          <w:sz w:val="22"/>
          <w:szCs w:val="22"/>
          <w:lang w:val="pt-PT"/>
        </w:rPr>
        <w:t>qualquer</w:t>
      </w:r>
      <w:r w:rsidR="00A132B3" w:rsidRPr="005523A8">
        <w:rPr>
          <w:rFonts w:ascii="Garamond" w:hAnsi="Garamond" w:cs="Arial"/>
          <w:sz w:val="22"/>
          <w:szCs w:val="22"/>
          <w:lang w:val="pt-PT"/>
        </w:rPr>
        <w:t xml:space="preserve"> o</w:t>
      </w:r>
      <w:r w:rsidR="00E150E9" w:rsidRPr="005523A8">
        <w:rPr>
          <w:rFonts w:ascii="Garamond" w:hAnsi="Garamond" w:cs="Arial"/>
          <w:sz w:val="22"/>
          <w:szCs w:val="22"/>
          <w:lang w:val="pt-PT"/>
        </w:rPr>
        <w:t>u</w:t>
      </w:r>
      <w:r w:rsidR="00A132B3" w:rsidRPr="005523A8">
        <w:rPr>
          <w:rFonts w:ascii="Garamond" w:hAnsi="Garamond" w:cs="Arial"/>
          <w:sz w:val="22"/>
          <w:szCs w:val="22"/>
          <w:lang w:val="pt-PT"/>
        </w:rPr>
        <w:t xml:space="preserve">tro </w:t>
      </w:r>
      <w:r w:rsidR="00120915" w:rsidRPr="005523A8">
        <w:rPr>
          <w:rFonts w:ascii="Garamond" w:hAnsi="Garamond" w:cs="Arial"/>
          <w:sz w:val="22"/>
          <w:szCs w:val="22"/>
          <w:lang w:val="pt-PT"/>
        </w:rPr>
        <w:t>caráter</w:t>
      </w:r>
      <w:r w:rsidR="00A132B3" w:rsidRPr="005523A8">
        <w:rPr>
          <w:rFonts w:ascii="Garamond" w:hAnsi="Garamond" w:cs="Arial"/>
          <w:sz w:val="22"/>
          <w:szCs w:val="22"/>
          <w:lang w:val="pt-PT"/>
        </w:rPr>
        <w:t>.</w:t>
      </w:r>
      <w:r>
        <w:rPr>
          <w:rFonts w:ascii="Garamond" w:hAnsi="Garamond" w:cs="Arial"/>
          <w:sz w:val="22"/>
          <w:szCs w:val="22"/>
          <w:lang w:val="pt-PT"/>
        </w:rPr>
        <w:t>»</w:t>
      </w:r>
      <w:r w:rsidR="00A132B3" w:rsidRPr="005523A8">
        <w:rPr>
          <w:rFonts w:ascii="Garamond" w:hAnsi="Garamond" w:cs="Arial"/>
          <w:sz w:val="22"/>
          <w:szCs w:val="22"/>
          <w:lang w:val="pt-PT"/>
        </w:rPr>
        <w:t xml:space="preserve"> </w:t>
      </w:r>
    </w:p>
    <w:p w:rsidR="00A132B3" w:rsidRDefault="00E150E9" w:rsidP="008719D4">
      <w:pPr>
        <w:pStyle w:val="NormalWeb"/>
        <w:spacing w:before="90" w:beforeAutospacing="0" w:after="45"/>
        <w:ind w:right="75"/>
        <w:jc w:val="both"/>
        <w:rPr>
          <w:rFonts w:ascii="Garamond" w:hAnsi="Garamond" w:cs="Arial"/>
          <w:bCs/>
          <w:lang w:val="pt-PT"/>
        </w:rPr>
      </w:pPr>
      <w:r w:rsidRPr="003A1174">
        <w:rPr>
          <w:rFonts w:ascii="Garamond" w:hAnsi="Garamond" w:cs="Arial"/>
          <w:lang w:val="pt-PT"/>
        </w:rPr>
        <w:t xml:space="preserve">E </w:t>
      </w:r>
      <w:r w:rsidR="00A132B3" w:rsidRPr="003A1174">
        <w:rPr>
          <w:rFonts w:ascii="Garamond" w:hAnsi="Garamond" w:cs="Arial"/>
          <w:lang w:val="pt-PT"/>
        </w:rPr>
        <w:t xml:space="preserve">como elemento de </w:t>
      </w:r>
      <w:r w:rsidR="002E2C71" w:rsidRPr="003A1174">
        <w:rPr>
          <w:rFonts w:ascii="Garamond" w:hAnsi="Garamond" w:cs="Arial"/>
          <w:lang w:val="pt-PT"/>
        </w:rPr>
        <w:t>relevância</w:t>
      </w:r>
      <w:r w:rsidR="00A132B3" w:rsidRPr="003A1174">
        <w:rPr>
          <w:rFonts w:ascii="Garamond" w:hAnsi="Garamond" w:cs="Arial"/>
          <w:lang w:val="pt-PT"/>
        </w:rPr>
        <w:t xml:space="preserve"> </w:t>
      </w:r>
      <w:r w:rsidRPr="003A1174">
        <w:rPr>
          <w:rFonts w:ascii="Garamond" w:hAnsi="Garamond" w:cs="Arial"/>
          <w:lang w:val="pt-PT"/>
        </w:rPr>
        <w:t xml:space="preserve">semelhante, </w:t>
      </w:r>
      <w:r w:rsidR="00A132B3" w:rsidRPr="003A1174">
        <w:rPr>
          <w:rFonts w:ascii="Garamond" w:hAnsi="Garamond" w:cs="Arial"/>
          <w:lang w:val="pt-PT"/>
        </w:rPr>
        <w:t xml:space="preserve">a CADH </w:t>
      </w:r>
      <w:r w:rsidRPr="003A1174">
        <w:rPr>
          <w:rFonts w:ascii="Garamond" w:hAnsi="Garamond" w:cs="Arial"/>
          <w:lang w:val="pt-PT"/>
        </w:rPr>
        <w:t xml:space="preserve">manifesta no seu </w:t>
      </w:r>
      <w:r w:rsidR="00383B3F" w:rsidRPr="003A1174">
        <w:rPr>
          <w:rFonts w:ascii="Garamond" w:hAnsi="Garamond" w:cs="Arial"/>
          <w:lang w:val="pt-PT"/>
        </w:rPr>
        <w:t>Art.</w:t>
      </w:r>
      <w:r w:rsidR="00A132B3" w:rsidRPr="003A1174">
        <w:rPr>
          <w:rFonts w:ascii="Garamond" w:hAnsi="Garamond" w:cs="Arial"/>
          <w:lang w:val="pt-PT"/>
        </w:rPr>
        <w:t xml:space="preserve"> 25, e</w:t>
      </w:r>
      <w:r w:rsidRPr="003A1174">
        <w:rPr>
          <w:rFonts w:ascii="Garamond" w:hAnsi="Garamond" w:cs="Arial"/>
          <w:lang w:val="pt-PT"/>
        </w:rPr>
        <w:t>m</w:t>
      </w:r>
      <w:r w:rsidR="00A132B3" w:rsidRPr="003A1174">
        <w:rPr>
          <w:rFonts w:ascii="Garamond" w:hAnsi="Garamond" w:cs="Arial"/>
          <w:lang w:val="pt-PT"/>
        </w:rPr>
        <w:t xml:space="preserve"> </w:t>
      </w:r>
      <w:r w:rsidR="00EF645F" w:rsidRPr="003A1174">
        <w:rPr>
          <w:rFonts w:ascii="Garamond" w:hAnsi="Garamond" w:cs="Arial"/>
          <w:lang w:val="pt-PT"/>
        </w:rPr>
        <w:t>matéria</w:t>
      </w:r>
      <w:r w:rsidR="00A132B3" w:rsidRPr="003A1174">
        <w:rPr>
          <w:rFonts w:ascii="Garamond" w:hAnsi="Garamond" w:cs="Arial"/>
          <w:lang w:val="pt-PT"/>
        </w:rPr>
        <w:t xml:space="preserve"> de </w:t>
      </w:r>
      <w:r w:rsidR="00886D6A" w:rsidRPr="003A1174">
        <w:rPr>
          <w:rFonts w:ascii="Garamond" w:hAnsi="Garamond" w:cs="Arial"/>
          <w:lang w:val="pt-PT"/>
        </w:rPr>
        <w:t>Proteção</w:t>
      </w:r>
      <w:r w:rsidR="00A132B3" w:rsidRPr="003A1174">
        <w:rPr>
          <w:rFonts w:ascii="Garamond" w:hAnsi="Garamond" w:cs="Arial"/>
          <w:lang w:val="pt-PT"/>
        </w:rPr>
        <w:t xml:space="preserve"> Judicial</w:t>
      </w:r>
      <w:r w:rsidR="002F45FB" w:rsidRPr="003A1174">
        <w:rPr>
          <w:rFonts w:ascii="Garamond" w:hAnsi="Garamond" w:cs="Arial"/>
          <w:lang w:val="pt-PT"/>
        </w:rPr>
        <w:t>,</w:t>
      </w:r>
      <w:r w:rsidR="00A132B3" w:rsidRPr="003A1174">
        <w:rPr>
          <w:rFonts w:ascii="Garamond" w:hAnsi="Garamond" w:cs="Arial"/>
          <w:lang w:val="pt-PT"/>
        </w:rPr>
        <w:t xml:space="preserve"> </w:t>
      </w:r>
      <w:proofErr w:type="gramStart"/>
      <w:r w:rsidR="00A132B3" w:rsidRPr="003A1174">
        <w:rPr>
          <w:rFonts w:ascii="Garamond" w:hAnsi="Garamond" w:cs="Arial"/>
          <w:lang w:val="pt-PT"/>
        </w:rPr>
        <w:t>que</w:t>
      </w:r>
      <w:proofErr w:type="gramEnd"/>
      <w:r w:rsidR="00A132B3" w:rsidRPr="003A1174">
        <w:rPr>
          <w:rFonts w:ascii="Garamond" w:hAnsi="Garamond" w:cs="Arial"/>
          <w:bCs/>
          <w:lang w:val="pt-PT"/>
        </w:rPr>
        <w:t xml:space="preserve"> </w:t>
      </w:r>
    </w:p>
    <w:p w:rsidR="003B4D48" w:rsidRDefault="003B4D48" w:rsidP="008719D4">
      <w:pPr>
        <w:pStyle w:val="NormalWeb"/>
        <w:spacing w:before="90" w:beforeAutospacing="0" w:after="45"/>
        <w:ind w:right="75"/>
        <w:jc w:val="both"/>
        <w:rPr>
          <w:rFonts w:ascii="Garamond" w:hAnsi="Garamond" w:cs="Arial"/>
          <w:bCs/>
          <w:lang w:val="pt-PT"/>
        </w:rPr>
      </w:pPr>
    </w:p>
    <w:p w:rsidR="00A132B3" w:rsidRPr="005523A8" w:rsidRDefault="003B4D48" w:rsidP="005523A8">
      <w:pPr>
        <w:pStyle w:val="NormalWeb"/>
        <w:spacing w:before="90" w:beforeAutospacing="0" w:after="45"/>
        <w:ind w:left="567" w:right="75"/>
        <w:jc w:val="both"/>
        <w:rPr>
          <w:rFonts w:ascii="Garamond" w:hAnsi="Garamond" w:cs="Arial"/>
          <w:sz w:val="22"/>
          <w:szCs w:val="22"/>
          <w:lang w:val="pt-PT"/>
        </w:rPr>
      </w:pPr>
      <w:r w:rsidRPr="003B4D48" w:rsidDel="003B4D48">
        <w:rPr>
          <w:rFonts w:ascii="Garamond" w:hAnsi="Garamond" w:cs="Arial"/>
          <w:lang w:val="pt-PT"/>
        </w:rPr>
        <w:t xml:space="preserve"> </w:t>
      </w:r>
      <w:r w:rsidR="005523A8" w:rsidRPr="003B4D48">
        <w:rPr>
          <w:rFonts w:ascii="Garamond" w:hAnsi="Garamond" w:cs="Arial"/>
          <w:sz w:val="22"/>
          <w:szCs w:val="22"/>
          <w:lang w:val="pt-PT"/>
        </w:rPr>
        <w:t>«</w:t>
      </w:r>
      <w:r w:rsidR="00A132B3" w:rsidRPr="003B4D48">
        <w:rPr>
          <w:rFonts w:ascii="Garamond" w:hAnsi="Garamond" w:cs="Arial"/>
          <w:sz w:val="22"/>
          <w:szCs w:val="22"/>
          <w:lang w:val="pt-PT"/>
        </w:rPr>
        <w:t>1. Toda</w:t>
      </w:r>
      <w:r w:rsidR="00E150E9" w:rsidRPr="003B4D48">
        <w:rPr>
          <w:rFonts w:ascii="Garamond" w:hAnsi="Garamond" w:cs="Arial"/>
          <w:sz w:val="22"/>
          <w:szCs w:val="22"/>
          <w:lang w:val="pt-PT"/>
        </w:rPr>
        <w:t>s as</w:t>
      </w:r>
      <w:r w:rsidR="00A132B3" w:rsidRPr="003B4D48">
        <w:rPr>
          <w:rFonts w:ascii="Garamond" w:hAnsi="Garamond" w:cs="Arial"/>
          <w:sz w:val="22"/>
          <w:szCs w:val="22"/>
          <w:lang w:val="pt-PT"/>
        </w:rPr>
        <w:t xml:space="preserve"> </w:t>
      </w:r>
      <w:r w:rsidR="0005622E" w:rsidRPr="003B4D48">
        <w:rPr>
          <w:rFonts w:ascii="Garamond" w:hAnsi="Garamond" w:cs="Arial"/>
          <w:sz w:val="22"/>
          <w:szCs w:val="22"/>
          <w:lang w:val="pt-PT"/>
        </w:rPr>
        <w:t>pessoa</w:t>
      </w:r>
      <w:r w:rsidR="00A132B3" w:rsidRPr="003B4D48">
        <w:rPr>
          <w:rFonts w:ascii="Garamond" w:hAnsi="Garamond" w:cs="Arial"/>
          <w:sz w:val="22"/>
          <w:szCs w:val="22"/>
          <w:lang w:val="pt-PT"/>
        </w:rPr>
        <w:t xml:space="preserve"> t</w:t>
      </w:r>
      <w:r w:rsidR="00E150E9" w:rsidRPr="003B4D48">
        <w:rPr>
          <w:rFonts w:ascii="Garamond" w:hAnsi="Garamond" w:cs="Arial"/>
          <w:sz w:val="22"/>
          <w:szCs w:val="22"/>
          <w:lang w:val="pt-PT"/>
        </w:rPr>
        <w:t xml:space="preserve">êm </w:t>
      </w:r>
      <w:r w:rsidR="00886D6A" w:rsidRPr="003B4D48">
        <w:rPr>
          <w:rFonts w:ascii="Garamond" w:hAnsi="Garamond" w:cs="Arial"/>
          <w:sz w:val="22"/>
          <w:szCs w:val="22"/>
          <w:lang w:val="pt-PT"/>
        </w:rPr>
        <w:t>direito</w:t>
      </w:r>
      <w:r w:rsidR="00A132B3" w:rsidRPr="003B4D48">
        <w:rPr>
          <w:rFonts w:ascii="Garamond" w:hAnsi="Garamond" w:cs="Arial"/>
          <w:sz w:val="22"/>
          <w:szCs w:val="22"/>
          <w:lang w:val="pt-PT"/>
        </w:rPr>
        <w:t xml:space="preserve"> a u</w:t>
      </w:r>
      <w:r w:rsidR="00E150E9" w:rsidRPr="003B4D48">
        <w:rPr>
          <w:rFonts w:ascii="Garamond" w:hAnsi="Garamond" w:cs="Arial"/>
          <w:sz w:val="22"/>
          <w:szCs w:val="22"/>
          <w:lang w:val="pt-PT"/>
        </w:rPr>
        <w:t>m</w:t>
      </w:r>
      <w:r w:rsidR="00A132B3" w:rsidRPr="003B4D48">
        <w:rPr>
          <w:rFonts w:ascii="Garamond" w:hAnsi="Garamond" w:cs="Arial"/>
          <w:sz w:val="22"/>
          <w:szCs w:val="22"/>
          <w:lang w:val="pt-PT"/>
        </w:rPr>
        <w:t xml:space="preserve"> recurso s</w:t>
      </w:r>
      <w:r w:rsidR="00E150E9" w:rsidRPr="003B4D48">
        <w:rPr>
          <w:rFonts w:ascii="Garamond" w:hAnsi="Garamond" w:cs="Arial"/>
          <w:sz w:val="22"/>
          <w:szCs w:val="22"/>
          <w:lang w:val="pt-PT"/>
        </w:rPr>
        <w:t xml:space="preserve">imples e </w:t>
      </w:r>
      <w:r w:rsidR="00A132B3" w:rsidRPr="003B4D48">
        <w:rPr>
          <w:rFonts w:ascii="Garamond" w:hAnsi="Garamond" w:cs="Arial"/>
          <w:sz w:val="22"/>
          <w:szCs w:val="22"/>
          <w:lang w:val="pt-PT"/>
        </w:rPr>
        <w:t>rápido o</w:t>
      </w:r>
      <w:r w:rsidR="00E150E9" w:rsidRPr="003B4D48">
        <w:rPr>
          <w:rFonts w:ascii="Garamond" w:hAnsi="Garamond" w:cs="Arial"/>
          <w:sz w:val="22"/>
          <w:szCs w:val="22"/>
          <w:lang w:val="pt-PT"/>
        </w:rPr>
        <w:t>u</w:t>
      </w:r>
      <w:r w:rsidR="00A132B3" w:rsidRPr="003B4D48">
        <w:rPr>
          <w:rFonts w:ascii="Garamond" w:hAnsi="Garamond" w:cs="Arial"/>
          <w:sz w:val="22"/>
          <w:szCs w:val="22"/>
          <w:lang w:val="pt-PT"/>
        </w:rPr>
        <w:t xml:space="preserve"> a </w:t>
      </w:r>
      <w:r w:rsidR="007342D9" w:rsidRPr="003B4D48">
        <w:rPr>
          <w:rFonts w:ascii="Garamond" w:hAnsi="Garamond" w:cs="Arial"/>
          <w:sz w:val="22"/>
          <w:szCs w:val="22"/>
          <w:lang w:val="pt-PT"/>
        </w:rPr>
        <w:t>qualquer</w:t>
      </w:r>
      <w:r w:rsidR="00A132B3" w:rsidRPr="003B4D48">
        <w:rPr>
          <w:rFonts w:ascii="Garamond" w:hAnsi="Garamond" w:cs="Arial"/>
          <w:sz w:val="22"/>
          <w:szCs w:val="22"/>
          <w:lang w:val="pt-PT"/>
        </w:rPr>
        <w:t xml:space="preserve"> o</w:t>
      </w:r>
      <w:r w:rsidR="00E150E9" w:rsidRPr="003B4D48">
        <w:rPr>
          <w:rFonts w:ascii="Garamond" w:hAnsi="Garamond" w:cs="Arial"/>
          <w:sz w:val="22"/>
          <w:szCs w:val="22"/>
          <w:lang w:val="pt-PT"/>
        </w:rPr>
        <w:t>u</w:t>
      </w:r>
      <w:r w:rsidR="00A132B3" w:rsidRPr="003B4D48">
        <w:rPr>
          <w:rFonts w:ascii="Garamond" w:hAnsi="Garamond" w:cs="Arial"/>
          <w:sz w:val="22"/>
          <w:szCs w:val="22"/>
          <w:lang w:val="pt-PT"/>
        </w:rPr>
        <w:t>tro recurso</w:t>
      </w:r>
      <w:r w:rsidR="00A132B3" w:rsidRPr="005523A8">
        <w:rPr>
          <w:rFonts w:ascii="Garamond" w:hAnsi="Garamond" w:cs="Arial"/>
          <w:sz w:val="22"/>
          <w:szCs w:val="22"/>
          <w:lang w:val="pt-PT"/>
        </w:rPr>
        <w:t xml:space="preserve"> </w:t>
      </w:r>
      <w:r w:rsidR="00802ACC" w:rsidRPr="005523A8">
        <w:rPr>
          <w:rFonts w:ascii="Garamond" w:hAnsi="Garamond" w:cs="Arial"/>
          <w:sz w:val="22"/>
          <w:szCs w:val="22"/>
          <w:lang w:val="pt-PT"/>
        </w:rPr>
        <w:t>efetivo</w:t>
      </w:r>
      <w:r w:rsidR="00A132B3" w:rsidRPr="005523A8">
        <w:rPr>
          <w:rFonts w:ascii="Garamond" w:hAnsi="Garamond" w:cs="Arial"/>
          <w:sz w:val="22"/>
          <w:szCs w:val="22"/>
          <w:lang w:val="pt-PT"/>
        </w:rPr>
        <w:t xml:space="preserve"> </w:t>
      </w:r>
      <w:r w:rsidR="00E150E9" w:rsidRPr="005523A8">
        <w:rPr>
          <w:rFonts w:ascii="Garamond" w:hAnsi="Garamond" w:cs="Arial"/>
          <w:sz w:val="22"/>
          <w:szCs w:val="22"/>
          <w:lang w:val="pt-PT"/>
        </w:rPr>
        <w:t xml:space="preserve">perante </w:t>
      </w:r>
      <w:r w:rsidR="00A132B3" w:rsidRPr="005523A8">
        <w:rPr>
          <w:rFonts w:ascii="Garamond" w:hAnsi="Garamond" w:cs="Arial"/>
          <w:sz w:val="22"/>
          <w:szCs w:val="22"/>
          <w:lang w:val="pt-PT"/>
        </w:rPr>
        <w:t xml:space="preserve">os </w:t>
      </w:r>
      <w:r w:rsidR="00BA3CCE" w:rsidRPr="005523A8">
        <w:rPr>
          <w:rFonts w:ascii="Garamond" w:hAnsi="Garamond" w:cs="Arial"/>
          <w:sz w:val="22"/>
          <w:szCs w:val="22"/>
          <w:lang w:val="pt-PT"/>
        </w:rPr>
        <w:t>juízes</w:t>
      </w:r>
      <w:r w:rsidR="00A132B3" w:rsidRPr="005523A8">
        <w:rPr>
          <w:rFonts w:ascii="Garamond" w:hAnsi="Garamond" w:cs="Arial"/>
          <w:sz w:val="22"/>
          <w:szCs w:val="22"/>
          <w:lang w:val="pt-PT"/>
        </w:rPr>
        <w:t xml:space="preserve"> o</w:t>
      </w:r>
      <w:r w:rsidR="00E150E9" w:rsidRPr="005523A8">
        <w:rPr>
          <w:rFonts w:ascii="Garamond" w:hAnsi="Garamond" w:cs="Arial"/>
          <w:sz w:val="22"/>
          <w:szCs w:val="22"/>
          <w:lang w:val="pt-PT"/>
        </w:rPr>
        <w:t>u</w:t>
      </w:r>
      <w:r w:rsidR="00A132B3" w:rsidRPr="005523A8">
        <w:rPr>
          <w:rFonts w:ascii="Garamond" w:hAnsi="Garamond" w:cs="Arial"/>
          <w:sz w:val="22"/>
          <w:szCs w:val="22"/>
          <w:lang w:val="pt-PT"/>
        </w:rPr>
        <w:t xml:space="preserve"> </w:t>
      </w:r>
      <w:r w:rsidR="00FB09CA" w:rsidRPr="005523A8">
        <w:rPr>
          <w:rFonts w:ascii="Garamond" w:hAnsi="Garamond" w:cs="Arial"/>
          <w:sz w:val="22"/>
          <w:szCs w:val="22"/>
          <w:lang w:val="pt-PT"/>
        </w:rPr>
        <w:t>tribunais</w:t>
      </w:r>
      <w:r w:rsidR="00E150E9" w:rsidRPr="005523A8">
        <w:rPr>
          <w:rFonts w:ascii="Garamond" w:hAnsi="Garamond" w:cs="Arial"/>
          <w:sz w:val="22"/>
          <w:szCs w:val="22"/>
          <w:lang w:val="pt-PT"/>
        </w:rPr>
        <w:t xml:space="preserve"> competentes, que </w:t>
      </w:r>
      <w:r w:rsidR="00A132B3" w:rsidRPr="005523A8">
        <w:rPr>
          <w:rFonts w:ascii="Garamond" w:hAnsi="Garamond" w:cs="Arial"/>
          <w:sz w:val="22"/>
          <w:szCs w:val="22"/>
          <w:lang w:val="pt-PT"/>
        </w:rPr>
        <w:t xml:space="preserve">a ampare contra </w:t>
      </w:r>
      <w:r w:rsidR="001B02AD" w:rsidRPr="005523A8">
        <w:rPr>
          <w:rFonts w:ascii="Garamond" w:hAnsi="Garamond" w:cs="Arial"/>
          <w:sz w:val="22"/>
          <w:szCs w:val="22"/>
          <w:lang w:val="pt-PT"/>
        </w:rPr>
        <w:t>atos</w:t>
      </w:r>
      <w:r w:rsidR="00A132B3" w:rsidRPr="005523A8">
        <w:rPr>
          <w:rFonts w:ascii="Garamond" w:hAnsi="Garamond" w:cs="Arial"/>
          <w:sz w:val="22"/>
          <w:szCs w:val="22"/>
          <w:lang w:val="pt-PT"/>
        </w:rPr>
        <w:t xml:space="preserve"> que viole</w:t>
      </w:r>
      <w:r w:rsidR="00E150E9" w:rsidRPr="005523A8">
        <w:rPr>
          <w:rFonts w:ascii="Garamond" w:hAnsi="Garamond" w:cs="Arial"/>
          <w:sz w:val="22"/>
          <w:szCs w:val="22"/>
          <w:lang w:val="pt-PT"/>
        </w:rPr>
        <w:t xml:space="preserve">m os </w:t>
      </w:r>
      <w:r w:rsidR="00A132B3" w:rsidRPr="005523A8">
        <w:rPr>
          <w:rFonts w:ascii="Garamond" w:hAnsi="Garamond" w:cs="Arial"/>
          <w:sz w:val="22"/>
          <w:szCs w:val="22"/>
          <w:lang w:val="pt-PT"/>
        </w:rPr>
        <w:t>s</w:t>
      </w:r>
      <w:r w:rsidR="00E150E9" w:rsidRPr="005523A8">
        <w:rPr>
          <w:rFonts w:ascii="Garamond" w:hAnsi="Garamond" w:cs="Arial"/>
          <w:sz w:val="22"/>
          <w:szCs w:val="22"/>
          <w:lang w:val="pt-PT"/>
        </w:rPr>
        <w:t>e</w:t>
      </w:r>
      <w:r w:rsidR="00A132B3" w:rsidRPr="005523A8">
        <w:rPr>
          <w:rFonts w:ascii="Garamond" w:hAnsi="Garamond" w:cs="Arial"/>
          <w:sz w:val="22"/>
          <w:szCs w:val="22"/>
          <w:lang w:val="pt-PT"/>
        </w:rPr>
        <w:t xml:space="preserve">us </w:t>
      </w:r>
      <w:r w:rsidR="00886D6A" w:rsidRPr="005523A8">
        <w:rPr>
          <w:rFonts w:ascii="Garamond" w:hAnsi="Garamond" w:cs="Arial"/>
          <w:sz w:val="22"/>
          <w:szCs w:val="22"/>
          <w:lang w:val="pt-PT"/>
        </w:rPr>
        <w:t>direito</w:t>
      </w:r>
      <w:r w:rsidR="00A132B3" w:rsidRPr="005523A8">
        <w:rPr>
          <w:rFonts w:ascii="Garamond" w:hAnsi="Garamond" w:cs="Arial"/>
          <w:sz w:val="22"/>
          <w:szCs w:val="22"/>
          <w:lang w:val="pt-PT"/>
        </w:rPr>
        <w:t xml:space="preserve">s </w:t>
      </w:r>
      <w:r w:rsidR="00CA633E" w:rsidRPr="005523A8">
        <w:rPr>
          <w:rFonts w:ascii="Garamond" w:hAnsi="Garamond" w:cs="Arial"/>
          <w:sz w:val="22"/>
          <w:szCs w:val="22"/>
          <w:lang w:val="pt-PT"/>
        </w:rPr>
        <w:t>fundamentais</w:t>
      </w:r>
      <w:r w:rsidR="00A132B3" w:rsidRPr="005523A8">
        <w:rPr>
          <w:rFonts w:ascii="Garamond" w:hAnsi="Garamond" w:cs="Arial"/>
          <w:sz w:val="22"/>
          <w:szCs w:val="22"/>
          <w:lang w:val="pt-PT"/>
        </w:rPr>
        <w:t xml:space="preserve"> </w:t>
      </w:r>
      <w:r w:rsidR="007407BD" w:rsidRPr="005523A8">
        <w:rPr>
          <w:rFonts w:ascii="Garamond" w:hAnsi="Garamond" w:cs="Arial"/>
          <w:sz w:val="22"/>
          <w:szCs w:val="22"/>
          <w:lang w:val="pt-PT"/>
        </w:rPr>
        <w:t>reconhecidos</w:t>
      </w:r>
      <w:r w:rsidR="00A132B3" w:rsidRPr="005523A8">
        <w:rPr>
          <w:rFonts w:ascii="Garamond" w:hAnsi="Garamond" w:cs="Arial"/>
          <w:sz w:val="22"/>
          <w:szCs w:val="22"/>
          <w:lang w:val="pt-PT"/>
        </w:rPr>
        <w:t xml:space="preserve"> p</w:t>
      </w:r>
      <w:r w:rsidR="00E150E9" w:rsidRPr="005523A8">
        <w:rPr>
          <w:rFonts w:ascii="Garamond" w:hAnsi="Garamond" w:cs="Arial"/>
          <w:sz w:val="22"/>
          <w:szCs w:val="22"/>
          <w:lang w:val="pt-PT"/>
        </w:rPr>
        <w:t>e</w:t>
      </w:r>
      <w:r w:rsidR="00A132B3" w:rsidRPr="005523A8">
        <w:rPr>
          <w:rFonts w:ascii="Garamond" w:hAnsi="Garamond" w:cs="Arial"/>
          <w:sz w:val="22"/>
          <w:szCs w:val="22"/>
          <w:lang w:val="pt-PT"/>
        </w:rPr>
        <w:t xml:space="preserve">la </w:t>
      </w:r>
      <w:r w:rsidR="00E150E9" w:rsidRPr="005523A8">
        <w:rPr>
          <w:rFonts w:ascii="Garamond" w:hAnsi="Garamond" w:cs="Arial"/>
          <w:sz w:val="22"/>
          <w:szCs w:val="22"/>
          <w:lang w:val="pt-PT"/>
        </w:rPr>
        <w:t xml:space="preserve">Constituição, </w:t>
      </w:r>
      <w:r w:rsidR="00A132B3" w:rsidRPr="005523A8">
        <w:rPr>
          <w:rFonts w:ascii="Garamond" w:hAnsi="Garamond" w:cs="Arial"/>
          <w:sz w:val="22"/>
          <w:szCs w:val="22"/>
          <w:lang w:val="pt-PT"/>
        </w:rPr>
        <w:t xml:space="preserve">a </w:t>
      </w:r>
      <w:r w:rsidR="00D15AFF" w:rsidRPr="005523A8">
        <w:rPr>
          <w:rFonts w:ascii="Garamond" w:hAnsi="Garamond" w:cs="Arial"/>
          <w:sz w:val="22"/>
          <w:szCs w:val="22"/>
          <w:lang w:val="pt-PT"/>
        </w:rPr>
        <w:t>lei</w:t>
      </w:r>
      <w:r w:rsidR="00A132B3" w:rsidRPr="005523A8">
        <w:rPr>
          <w:rFonts w:ascii="Garamond" w:hAnsi="Garamond" w:cs="Arial"/>
          <w:sz w:val="22"/>
          <w:szCs w:val="22"/>
          <w:lang w:val="pt-PT"/>
        </w:rPr>
        <w:t xml:space="preserve"> o</w:t>
      </w:r>
      <w:r w:rsidR="00E150E9" w:rsidRPr="005523A8">
        <w:rPr>
          <w:rFonts w:ascii="Garamond" w:hAnsi="Garamond" w:cs="Arial"/>
          <w:sz w:val="22"/>
          <w:szCs w:val="22"/>
          <w:lang w:val="pt-PT"/>
        </w:rPr>
        <w:t xml:space="preserve">u </w:t>
      </w:r>
      <w:r w:rsidR="00A132B3" w:rsidRPr="005523A8">
        <w:rPr>
          <w:rFonts w:ascii="Garamond" w:hAnsi="Garamond" w:cs="Arial"/>
          <w:sz w:val="22"/>
          <w:szCs w:val="22"/>
          <w:lang w:val="pt-PT"/>
        </w:rPr>
        <w:t xml:space="preserve">a presente </w:t>
      </w:r>
      <w:r w:rsidR="00B14AA6" w:rsidRPr="005523A8">
        <w:rPr>
          <w:rFonts w:ascii="Garamond" w:hAnsi="Garamond" w:cs="Arial"/>
          <w:sz w:val="22"/>
          <w:szCs w:val="22"/>
          <w:lang w:val="pt-PT"/>
        </w:rPr>
        <w:t>Convenção</w:t>
      </w:r>
      <w:r w:rsidR="00A132B3" w:rsidRPr="005523A8">
        <w:rPr>
          <w:rFonts w:ascii="Garamond" w:hAnsi="Garamond" w:cs="Arial"/>
          <w:sz w:val="22"/>
          <w:szCs w:val="22"/>
          <w:lang w:val="pt-PT"/>
        </w:rPr>
        <w:t xml:space="preserve">, </w:t>
      </w:r>
      <w:r w:rsidR="00E150E9" w:rsidRPr="005523A8">
        <w:rPr>
          <w:rFonts w:ascii="Garamond" w:hAnsi="Garamond" w:cs="Arial"/>
          <w:sz w:val="22"/>
          <w:szCs w:val="22"/>
          <w:lang w:val="pt-PT"/>
        </w:rPr>
        <w:t xml:space="preserve">mesmo </w:t>
      </w:r>
      <w:r w:rsidR="00863197" w:rsidRPr="005523A8">
        <w:rPr>
          <w:rFonts w:ascii="Garamond" w:hAnsi="Garamond" w:cs="Arial"/>
          <w:sz w:val="22"/>
          <w:szCs w:val="22"/>
          <w:lang w:val="pt-PT"/>
        </w:rPr>
        <w:t>quando</w:t>
      </w:r>
      <w:r w:rsidR="00A132B3" w:rsidRPr="005523A8">
        <w:rPr>
          <w:rFonts w:ascii="Garamond" w:hAnsi="Garamond" w:cs="Arial"/>
          <w:sz w:val="22"/>
          <w:szCs w:val="22"/>
          <w:lang w:val="pt-PT"/>
        </w:rPr>
        <w:t xml:space="preserve"> tal </w:t>
      </w:r>
      <w:r w:rsidR="007342D9" w:rsidRPr="005523A8">
        <w:rPr>
          <w:rFonts w:ascii="Garamond" w:hAnsi="Garamond" w:cs="Arial"/>
          <w:sz w:val="22"/>
          <w:szCs w:val="22"/>
          <w:lang w:val="pt-PT"/>
        </w:rPr>
        <w:t>violação</w:t>
      </w:r>
      <w:r w:rsidR="00A132B3" w:rsidRPr="005523A8">
        <w:rPr>
          <w:rFonts w:ascii="Garamond" w:hAnsi="Garamond" w:cs="Arial"/>
          <w:sz w:val="22"/>
          <w:szCs w:val="22"/>
          <w:lang w:val="pt-PT"/>
        </w:rPr>
        <w:t xml:space="preserve"> </w:t>
      </w:r>
      <w:r w:rsidR="00E150E9" w:rsidRPr="005523A8">
        <w:rPr>
          <w:rFonts w:ascii="Garamond" w:hAnsi="Garamond" w:cs="Arial"/>
          <w:sz w:val="22"/>
          <w:szCs w:val="22"/>
          <w:lang w:val="pt-PT"/>
        </w:rPr>
        <w:t xml:space="preserve">for </w:t>
      </w:r>
      <w:r w:rsidR="00A132B3" w:rsidRPr="005523A8">
        <w:rPr>
          <w:rFonts w:ascii="Garamond" w:hAnsi="Garamond" w:cs="Arial"/>
          <w:sz w:val="22"/>
          <w:szCs w:val="22"/>
          <w:lang w:val="pt-PT"/>
        </w:rPr>
        <w:t xml:space="preserve">cometida por </w:t>
      </w:r>
      <w:r w:rsidR="006C760C" w:rsidRPr="005523A8">
        <w:rPr>
          <w:rFonts w:ascii="Garamond" w:hAnsi="Garamond" w:cs="Arial"/>
          <w:sz w:val="22"/>
          <w:szCs w:val="22"/>
          <w:lang w:val="pt-PT"/>
        </w:rPr>
        <w:t>pessoas</w:t>
      </w:r>
      <w:r w:rsidR="00A132B3" w:rsidRPr="005523A8">
        <w:rPr>
          <w:rFonts w:ascii="Garamond" w:hAnsi="Garamond" w:cs="Arial"/>
          <w:sz w:val="22"/>
          <w:szCs w:val="22"/>
          <w:lang w:val="pt-PT"/>
        </w:rPr>
        <w:t xml:space="preserve"> que a</w:t>
      </w:r>
      <w:r w:rsidR="00E150E9" w:rsidRPr="005523A8">
        <w:rPr>
          <w:rFonts w:ascii="Garamond" w:hAnsi="Garamond" w:cs="Arial"/>
          <w:sz w:val="22"/>
          <w:szCs w:val="22"/>
          <w:lang w:val="pt-PT"/>
        </w:rPr>
        <w:t xml:space="preserve">tuem no </w:t>
      </w:r>
      <w:r w:rsidR="00731B19" w:rsidRPr="005523A8">
        <w:rPr>
          <w:rFonts w:ascii="Garamond" w:hAnsi="Garamond" w:cs="Arial"/>
          <w:sz w:val="22"/>
          <w:szCs w:val="22"/>
          <w:lang w:val="pt-PT"/>
        </w:rPr>
        <w:t>exercício</w:t>
      </w:r>
      <w:r w:rsidR="00A132B3" w:rsidRPr="005523A8">
        <w:rPr>
          <w:rFonts w:ascii="Garamond" w:hAnsi="Garamond" w:cs="Arial"/>
          <w:sz w:val="22"/>
          <w:szCs w:val="22"/>
          <w:lang w:val="pt-PT"/>
        </w:rPr>
        <w:t xml:space="preserve"> d</w:t>
      </w:r>
      <w:r w:rsidR="00E150E9" w:rsidRPr="005523A8">
        <w:rPr>
          <w:rFonts w:ascii="Garamond" w:hAnsi="Garamond" w:cs="Arial"/>
          <w:sz w:val="22"/>
          <w:szCs w:val="22"/>
          <w:lang w:val="pt-PT"/>
        </w:rPr>
        <w:t xml:space="preserve">as </w:t>
      </w:r>
      <w:r w:rsidR="00A132B3" w:rsidRPr="005523A8">
        <w:rPr>
          <w:rFonts w:ascii="Garamond" w:hAnsi="Garamond" w:cs="Arial"/>
          <w:sz w:val="22"/>
          <w:szCs w:val="22"/>
          <w:lang w:val="pt-PT"/>
        </w:rPr>
        <w:t>su</w:t>
      </w:r>
      <w:r w:rsidR="00E150E9" w:rsidRPr="005523A8">
        <w:rPr>
          <w:rFonts w:ascii="Garamond" w:hAnsi="Garamond" w:cs="Arial"/>
          <w:sz w:val="22"/>
          <w:szCs w:val="22"/>
          <w:lang w:val="pt-PT"/>
        </w:rPr>
        <w:t>a</w:t>
      </w:r>
      <w:r w:rsidR="00A132B3" w:rsidRPr="005523A8">
        <w:rPr>
          <w:rFonts w:ascii="Garamond" w:hAnsi="Garamond" w:cs="Arial"/>
          <w:sz w:val="22"/>
          <w:szCs w:val="22"/>
          <w:lang w:val="pt-PT"/>
        </w:rPr>
        <w:t xml:space="preserve">s </w:t>
      </w:r>
      <w:r w:rsidR="00E150E9" w:rsidRPr="005523A8">
        <w:rPr>
          <w:rFonts w:ascii="Garamond" w:hAnsi="Garamond" w:cs="Arial"/>
          <w:sz w:val="22"/>
          <w:szCs w:val="22"/>
          <w:lang w:val="pt-PT"/>
        </w:rPr>
        <w:t>funções</w:t>
      </w:r>
      <w:r w:rsidR="00A132B3" w:rsidRPr="005523A8">
        <w:rPr>
          <w:rFonts w:ascii="Garamond" w:hAnsi="Garamond" w:cs="Arial"/>
          <w:sz w:val="22"/>
          <w:szCs w:val="22"/>
          <w:lang w:val="pt-PT"/>
        </w:rPr>
        <w:t xml:space="preserve"> </w:t>
      </w:r>
      <w:r w:rsidR="00E150E9" w:rsidRPr="005523A8">
        <w:rPr>
          <w:rFonts w:ascii="Garamond" w:hAnsi="Garamond" w:cs="Arial"/>
          <w:sz w:val="22"/>
          <w:szCs w:val="22"/>
          <w:lang w:val="pt-PT"/>
        </w:rPr>
        <w:t>oficiais</w:t>
      </w:r>
      <w:r w:rsidR="00A132B3" w:rsidRPr="005523A8">
        <w:rPr>
          <w:rFonts w:ascii="Garamond" w:hAnsi="Garamond" w:cs="Arial"/>
          <w:sz w:val="22"/>
          <w:szCs w:val="22"/>
          <w:lang w:val="pt-PT"/>
        </w:rPr>
        <w:t xml:space="preserve">. </w:t>
      </w:r>
    </w:p>
    <w:p w:rsidR="00A132B3" w:rsidRPr="005523A8" w:rsidRDefault="00A132B3" w:rsidP="005523A8">
      <w:pPr>
        <w:pStyle w:val="NormalWeb"/>
        <w:spacing w:before="90" w:beforeAutospacing="0" w:after="45"/>
        <w:ind w:left="567" w:right="75"/>
        <w:jc w:val="both"/>
        <w:rPr>
          <w:rFonts w:ascii="Garamond" w:hAnsi="Garamond" w:cs="Arial"/>
          <w:sz w:val="22"/>
          <w:szCs w:val="22"/>
          <w:lang w:val="pt-PT"/>
        </w:rPr>
      </w:pPr>
      <w:r w:rsidRPr="005523A8">
        <w:rPr>
          <w:rFonts w:ascii="Garamond" w:hAnsi="Garamond" w:cs="Arial"/>
          <w:sz w:val="22"/>
          <w:szCs w:val="22"/>
          <w:lang w:val="pt-PT"/>
        </w:rPr>
        <w:t xml:space="preserve">2. </w:t>
      </w:r>
      <w:r w:rsidR="00E150E9" w:rsidRPr="005523A8">
        <w:rPr>
          <w:rFonts w:ascii="Garamond" w:hAnsi="Garamond" w:cs="Arial"/>
          <w:sz w:val="22"/>
          <w:szCs w:val="22"/>
          <w:lang w:val="pt-PT"/>
        </w:rPr>
        <w:t>O</w:t>
      </w:r>
      <w:r w:rsidRPr="005523A8">
        <w:rPr>
          <w:rFonts w:ascii="Garamond" w:hAnsi="Garamond" w:cs="Arial"/>
          <w:sz w:val="22"/>
          <w:szCs w:val="22"/>
          <w:lang w:val="pt-PT"/>
        </w:rPr>
        <w:t xml:space="preserve">s </w:t>
      </w:r>
      <w:r w:rsidR="00C8548A">
        <w:rPr>
          <w:rFonts w:ascii="Garamond" w:hAnsi="Garamond" w:cs="Arial"/>
          <w:sz w:val="22"/>
          <w:szCs w:val="22"/>
          <w:lang w:val="pt-PT"/>
        </w:rPr>
        <w:t>E</w:t>
      </w:r>
      <w:r w:rsidRPr="005523A8">
        <w:rPr>
          <w:rFonts w:ascii="Garamond" w:hAnsi="Garamond" w:cs="Arial"/>
          <w:sz w:val="22"/>
          <w:szCs w:val="22"/>
          <w:lang w:val="pt-PT"/>
        </w:rPr>
        <w:t>stados</w:t>
      </w:r>
      <w:r w:rsidR="00C8548A">
        <w:rPr>
          <w:rFonts w:ascii="Garamond" w:hAnsi="Garamond" w:cs="Arial"/>
          <w:sz w:val="22"/>
          <w:szCs w:val="22"/>
          <w:lang w:val="pt-PT"/>
        </w:rPr>
        <w:t>-M</w:t>
      </w:r>
      <w:r w:rsidR="00E150E9" w:rsidRPr="005523A8">
        <w:rPr>
          <w:rFonts w:ascii="Garamond" w:hAnsi="Garamond" w:cs="Arial"/>
          <w:sz w:val="22"/>
          <w:szCs w:val="22"/>
          <w:lang w:val="pt-PT"/>
        </w:rPr>
        <w:t>embros</w:t>
      </w:r>
      <w:r w:rsidRPr="005523A8">
        <w:rPr>
          <w:rFonts w:ascii="Garamond" w:hAnsi="Garamond" w:cs="Arial"/>
          <w:sz w:val="22"/>
          <w:szCs w:val="22"/>
          <w:lang w:val="pt-PT"/>
        </w:rPr>
        <w:t xml:space="preserve"> compromete</w:t>
      </w:r>
      <w:r w:rsidR="00E150E9" w:rsidRPr="005523A8">
        <w:rPr>
          <w:rFonts w:ascii="Garamond" w:hAnsi="Garamond" w:cs="Arial"/>
          <w:sz w:val="22"/>
          <w:szCs w:val="22"/>
          <w:lang w:val="pt-PT"/>
        </w:rPr>
        <w:t>m-se</w:t>
      </w:r>
      <w:r w:rsidRPr="005523A8">
        <w:rPr>
          <w:rFonts w:ascii="Garamond" w:hAnsi="Garamond" w:cs="Arial"/>
          <w:sz w:val="22"/>
          <w:szCs w:val="22"/>
          <w:lang w:val="pt-PT"/>
        </w:rPr>
        <w:t xml:space="preserve">: </w:t>
      </w:r>
    </w:p>
    <w:p w:rsidR="00A132B3" w:rsidRPr="005523A8" w:rsidRDefault="00A132B3" w:rsidP="005523A8">
      <w:pPr>
        <w:pStyle w:val="NormalWeb"/>
        <w:spacing w:before="90" w:beforeAutospacing="0" w:after="45"/>
        <w:ind w:left="567" w:right="75"/>
        <w:jc w:val="both"/>
        <w:rPr>
          <w:rFonts w:ascii="Garamond" w:hAnsi="Garamond" w:cs="Arial"/>
          <w:sz w:val="22"/>
          <w:szCs w:val="22"/>
          <w:lang w:val="pt-PT"/>
        </w:rPr>
      </w:pPr>
      <w:r w:rsidRPr="005523A8">
        <w:rPr>
          <w:rFonts w:ascii="Garamond" w:hAnsi="Garamond" w:cs="Arial"/>
          <w:sz w:val="22"/>
          <w:szCs w:val="22"/>
          <w:lang w:val="pt-PT"/>
        </w:rPr>
        <w:lastRenderedPageBreak/>
        <w:t xml:space="preserve">a) a </w:t>
      </w:r>
      <w:r w:rsidR="00AF192F" w:rsidRPr="005523A8">
        <w:rPr>
          <w:rFonts w:ascii="Garamond" w:hAnsi="Garamond" w:cs="Arial"/>
          <w:sz w:val="22"/>
          <w:szCs w:val="22"/>
          <w:lang w:val="pt-PT"/>
        </w:rPr>
        <w:t>garantir</w:t>
      </w:r>
      <w:r w:rsidR="00E150E9" w:rsidRPr="005523A8">
        <w:rPr>
          <w:rFonts w:ascii="Garamond" w:hAnsi="Garamond" w:cs="Arial"/>
          <w:sz w:val="22"/>
          <w:szCs w:val="22"/>
          <w:lang w:val="pt-PT"/>
        </w:rPr>
        <w:t xml:space="preserve"> que </w:t>
      </w:r>
      <w:r w:rsidRPr="005523A8">
        <w:rPr>
          <w:rFonts w:ascii="Garamond" w:hAnsi="Garamond" w:cs="Arial"/>
          <w:sz w:val="22"/>
          <w:szCs w:val="22"/>
          <w:lang w:val="pt-PT"/>
        </w:rPr>
        <w:t xml:space="preserve">a </w:t>
      </w:r>
      <w:r w:rsidR="002F62B0" w:rsidRPr="005523A8">
        <w:rPr>
          <w:rFonts w:ascii="Garamond" w:hAnsi="Garamond" w:cs="Arial"/>
          <w:sz w:val="22"/>
          <w:szCs w:val="22"/>
          <w:lang w:val="pt-PT"/>
        </w:rPr>
        <w:t>autoridade</w:t>
      </w:r>
      <w:r w:rsidRPr="005523A8">
        <w:rPr>
          <w:rFonts w:ascii="Garamond" w:hAnsi="Garamond" w:cs="Arial"/>
          <w:sz w:val="22"/>
          <w:szCs w:val="22"/>
          <w:lang w:val="pt-PT"/>
        </w:rPr>
        <w:t xml:space="preserve"> competente prevista </w:t>
      </w:r>
      <w:r w:rsidR="00E150E9" w:rsidRPr="005523A8">
        <w:rPr>
          <w:rFonts w:ascii="Garamond" w:hAnsi="Garamond" w:cs="Arial"/>
          <w:sz w:val="22"/>
          <w:szCs w:val="22"/>
          <w:lang w:val="pt-PT"/>
        </w:rPr>
        <w:t xml:space="preserve">no </w:t>
      </w:r>
      <w:r w:rsidRPr="005523A8">
        <w:rPr>
          <w:rFonts w:ascii="Garamond" w:hAnsi="Garamond" w:cs="Arial"/>
          <w:sz w:val="22"/>
          <w:szCs w:val="22"/>
          <w:lang w:val="pt-PT"/>
        </w:rPr>
        <w:t>sistema legal d</w:t>
      </w:r>
      <w:r w:rsidR="00E150E9" w:rsidRPr="005523A8">
        <w:rPr>
          <w:rFonts w:ascii="Garamond" w:hAnsi="Garamond" w:cs="Arial"/>
          <w:sz w:val="22"/>
          <w:szCs w:val="22"/>
          <w:lang w:val="pt-PT"/>
        </w:rPr>
        <w:t xml:space="preserve">o Estado decidirá sobre </w:t>
      </w:r>
      <w:r w:rsidRPr="005523A8">
        <w:rPr>
          <w:rFonts w:ascii="Garamond" w:hAnsi="Garamond" w:cs="Arial"/>
          <w:sz w:val="22"/>
          <w:szCs w:val="22"/>
          <w:lang w:val="pt-PT"/>
        </w:rPr>
        <w:t xml:space="preserve">os </w:t>
      </w:r>
      <w:r w:rsidR="00886D6A" w:rsidRPr="005523A8">
        <w:rPr>
          <w:rFonts w:ascii="Garamond" w:hAnsi="Garamond" w:cs="Arial"/>
          <w:sz w:val="22"/>
          <w:szCs w:val="22"/>
          <w:lang w:val="pt-PT"/>
        </w:rPr>
        <w:t>direito</w:t>
      </w:r>
      <w:r w:rsidRPr="005523A8">
        <w:rPr>
          <w:rFonts w:ascii="Garamond" w:hAnsi="Garamond" w:cs="Arial"/>
          <w:sz w:val="22"/>
          <w:szCs w:val="22"/>
          <w:lang w:val="pt-PT"/>
        </w:rPr>
        <w:t xml:space="preserve">s de </w:t>
      </w:r>
      <w:proofErr w:type="gramStart"/>
      <w:r w:rsidRPr="005523A8">
        <w:rPr>
          <w:rFonts w:ascii="Garamond" w:hAnsi="Garamond" w:cs="Arial"/>
          <w:sz w:val="22"/>
          <w:szCs w:val="22"/>
          <w:lang w:val="pt-PT"/>
        </w:rPr>
        <w:t>toda</w:t>
      </w:r>
      <w:r w:rsidR="00E150E9" w:rsidRPr="005523A8">
        <w:rPr>
          <w:rFonts w:ascii="Garamond" w:hAnsi="Garamond" w:cs="Arial"/>
          <w:sz w:val="22"/>
          <w:szCs w:val="22"/>
          <w:lang w:val="pt-PT"/>
        </w:rPr>
        <w:t>s</w:t>
      </w:r>
      <w:proofErr w:type="gramEnd"/>
      <w:r w:rsidRPr="005523A8">
        <w:rPr>
          <w:rFonts w:ascii="Garamond" w:hAnsi="Garamond" w:cs="Arial"/>
          <w:sz w:val="22"/>
          <w:szCs w:val="22"/>
          <w:lang w:val="pt-PT"/>
        </w:rPr>
        <w:t xml:space="preserve"> </w:t>
      </w:r>
      <w:r w:rsidR="0005622E" w:rsidRPr="005523A8">
        <w:rPr>
          <w:rFonts w:ascii="Garamond" w:hAnsi="Garamond" w:cs="Arial"/>
          <w:sz w:val="22"/>
          <w:szCs w:val="22"/>
          <w:lang w:val="pt-PT"/>
        </w:rPr>
        <w:t>pessoa</w:t>
      </w:r>
      <w:r w:rsidR="00E150E9" w:rsidRPr="005523A8">
        <w:rPr>
          <w:rFonts w:ascii="Garamond" w:hAnsi="Garamond" w:cs="Arial"/>
          <w:sz w:val="22"/>
          <w:szCs w:val="22"/>
          <w:lang w:val="pt-PT"/>
        </w:rPr>
        <w:t>s</w:t>
      </w:r>
      <w:r w:rsidRPr="005523A8">
        <w:rPr>
          <w:rFonts w:ascii="Garamond" w:hAnsi="Garamond" w:cs="Arial"/>
          <w:sz w:val="22"/>
          <w:szCs w:val="22"/>
          <w:lang w:val="pt-PT"/>
        </w:rPr>
        <w:t xml:space="preserve"> que interpon</w:t>
      </w:r>
      <w:r w:rsidR="00E150E9" w:rsidRPr="005523A8">
        <w:rPr>
          <w:rFonts w:ascii="Garamond" w:hAnsi="Garamond" w:cs="Arial"/>
          <w:sz w:val="22"/>
          <w:szCs w:val="22"/>
          <w:lang w:val="pt-PT"/>
        </w:rPr>
        <w:t xml:space="preserve">ham </w:t>
      </w:r>
      <w:r w:rsidRPr="005523A8">
        <w:rPr>
          <w:rFonts w:ascii="Garamond" w:hAnsi="Garamond" w:cs="Arial"/>
          <w:sz w:val="22"/>
          <w:szCs w:val="22"/>
          <w:lang w:val="pt-PT"/>
        </w:rPr>
        <w:t xml:space="preserve">tal recurso; </w:t>
      </w:r>
    </w:p>
    <w:p w:rsidR="00A132B3" w:rsidRPr="005523A8" w:rsidRDefault="00A132B3" w:rsidP="005523A8">
      <w:pPr>
        <w:pStyle w:val="NormalWeb"/>
        <w:spacing w:before="90" w:beforeAutospacing="0" w:after="45"/>
        <w:ind w:left="567" w:right="75"/>
        <w:jc w:val="both"/>
        <w:rPr>
          <w:rFonts w:ascii="Garamond" w:hAnsi="Garamond" w:cs="Arial"/>
          <w:sz w:val="22"/>
          <w:szCs w:val="22"/>
          <w:lang w:val="pt-PT"/>
        </w:rPr>
      </w:pPr>
      <w:r w:rsidRPr="005523A8">
        <w:rPr>
          <w:rFonts w:ascii="Garamond" w:hAnsi="Garamond" w:cs="Arial"/>
          <w:sz w:val="22"/>
          <w:szCs w:val="22"/>
          <w:lang w:val="pt-PT"/>
        </w:rPr>
        <w:t> b) a des</w:t>
      </w:r>
      <w:r w:rsidR="00E150E9" w:rsidRPr="005523A8">
        <w:rPr>
          <w:rFonts w:ascii="Garamond" w:hAnsi="Garamond" w:cs="Arial"/>
          <w:sz w:val="22"/>
          <w:szCs w:val="22"/>
          <w:lang w:val="pt-PT"/>
        </w:rPr>
        <w:t xml:space="preserve">envolver </w:t>
      </w:r>
      <w:r w:rsidRPr="005523A8">
        <w:rPr>
          <w:rFonts w:ascii="Garamond" w:hAnsi="Garamond" w:cs="Arial"/>
          <w:sz w:val="22"/>
          <w:szCs w:val="22"/>
          <w:lang w:val="pt-PT"/>
        </w:rPr>
        <w:t xml:space="preserve">as </w:t>
      </w:r>
      <w:r w:rsidR="00E150E9" w:rsidRPr="005523A8">
        <w:rPr>
          <w:rFonts w:ascii="Garamond" w:hAnsi="Garamond" w:cs="Arial"/>
          <w:sz w:val="22"/>
          <w:szCs w:val="22"/>
          <w:lang w:val="pt-PT"/>
        </w:rPr>
        <w:t xml:space="preserve">possibilidades de recurso judicial, </w:t>
      </w:r>
      <w:proofErr w:type="gramStart"/>
      <w:r w:rsidR="00E150E9" w:rsidRPr="005523A8">
        <w:rPr>
          <w:rFonts w:ascii="Garamond" w:hAnsi="Garamond" w:cs="Arial"/>
          <w:sz w:val="22"/>
          <w:szCs w:val="22"/>
          <w:lang w:val="pt-PT"/>
        </w:rPr>
        <w:t>e</w:t>
      </w:r>
      <w:proofErr w:type="gramEnd"/>
      <w:r w:rsidRPr="005523A8">
        <w:rPr>
          <w:rFonts w:ascii="Garamond" w:hAnsi="Garamond" w:cs="Arial"/>
          <w:sz w:val="22"/>
          <w:szCs w:val="22"/>
          <w:lang w:val="pt-PT"/>
        </w:rPr>
        <w:t xml:space="preserve"> </w:t>
      </w:r>
    </w:p>
    <w:p w:rsidR="00A132B3" w:rsidRPr="005523A8" w:rsidRDefault="00A132B3" w:rsidP="005523A8">
      <w:pPr>
        <w:pStyle w:val="NormalWeb"/>
        <w:spacing w:before="90" w:beforeAutospacing="0" w:after="45"/>
        <w:ind w:left="567" w:right="75"/>
        <w:jc w:val="both"/>
        <w:rPr>
          <w:rFonts w:ascii="Garamond" w:hAnsi="Garamond" w:cs="Arial"/>
          <w:sz w:val="22"/>
          <w:szCs w:val="22"/>
          <w:lang w:val="pt-PT"/>
        </w:rPr>
      </w:pPr>
      <w:r w:rsidRPr="005523A8">
        <w:rPr>
          <w:rFonts w:ascii="Garamond" w:hAnsi="Garamond" w:cs="Arial"/>
          <w:sz w:val="22"/>
          <w:szCs w:val="22"/>
          <w:lang w:val="pt-PT"/>
        </w:rPr>
        <w:t xml:space="preserve">c) </w:t>
      </w:r>
      <w:proofErr w:type="gramStart"/>
      <w:r w:rsidRPr="005523A8">
        <w:rPr>
          <w:rFonts w:ascii="Garamond" w:hAnsi="Garamond" w:cs="Arial"/>
          <w:sz w:val="22"/>
          <w:szCs w:val="22"/>
          <w:lang w:val="pt-PT"/>
        </w:rPr>
        <w:t xml:space="preserve">a </w:t>
      </w:r>
      <w:r w:rsidR="00AF192F" w:rsidRPr="005523A8">
        <w:rPr>
          <w:rFonts w:ascii="Garamond" w:hAnsi="Garamond" w:cs="Arial"/>
          <w:sz w:val="22"/>
          <w:szCs w:val="22"/>
          <w:lang w:val="pt-PT"/>
        </w:rPr>
        <w:t>garantir</w:t>
      </w:r>
      <w:r w:rsidRPr="005523A8">
        <w:rPr>
          <w:rFonts w:ascii="Garamond" w:hAnsi="Garamond" w:cs="Arial"/>
          <w:sz w:val="22"/>
          <w:szCs w:val="22"/>
          <w:lang w:val="pt-PT"/>
        </w:rPr>
        <w:t xml:space="preserve"> </w:t>
      </w:r>
      <w:r w:rsidR="00E150E9" w:rsidRPr="005523A8">
        <w:rPr>
          <w:rFonts w:ascii="Garamond" w:hAnsi="Garamond" w:cs="Arial"/>
          <w:sz w:val="22"/>
          <w:szCs w:val="22"/>
          <w:lang w:val="pt-PT"/>
        </w:rPr>
        <w:t>o</w:t>
      </w:r>
      <w:r w:rsidRPr="005523A8">
        <w:rPr>
          <w:rFonts w:ascii="Garamond" w:hAnsi="Garamond" w:cs="Arial"/>
          <w:sz w:val="22"/>
          <w:szCs w:val="22"/>
          <w:lang w:val="pt-PT"/>
        </w:rPr>
        <w:t xml:space="preserve"> </w:t>
      </w:r>
      <w:r w:rsidR="00D96FD0" w:rsidRPr="005523A8">
        <w:rPr>
          <w:rFonts w:ascii="Garamond" w:hAnsi="Garamond" w:cs="Arial"/>
          <w:sz w:val="22"/>
          <w:szCs w:val="22"/>
          <w:lang w:val="pt-PT"/>
        </w:rPr>
        <w:t>cumprimento</w:t>
      </w:r>
      <w:r w:rsidRPr="005523A8">
        <w:rPr>
          <w:rFonts w:ascii="Garamond" w:hAnsi="Garamond" w:cs="Arial"/>
          <w:sz w:val="22"/>
          <w:szCs w:val="22"/>
          <w:lang w:val="pt-PT"/>
        </w:rPr>
        <w:t>, p</w:t>
      </w:r>
      <w:r w:rsidR="00E150E9" w:rsidRPr="005523A8">
        <w:rPr>
          <w:rFonts w:ascii="Garamond" w:hAnsi="Garamond" w:cs="Arial"/>
          <w:sz w:val="22"/>
          <w:szCs w:val="22"/>
          <w:lang w:val="pt-PT"/>
        </w:rPr>
        <w:t>e</w:t>
      </w:r>
      <w:r w:rsidRPr="005523A8">
        <w:rPr>
          <w:rFonts w:ascii="Garamond" w:hAnsi="Garamond" w:cs="Arial"/>
          <w:sz w:val="22"/>
          <w:szCs w:val="22"/>
          <w:lang w:val="pt-PT"/>
        </w:rPr>
        <w:t xml:space="preserve">las autoridades competentes, de toda </w:t>
      </w:r>
      <w:r w:rsidR="00E150E9" w:rsidRPr="005523A8">
        <w:rPr>
          <w:rFonts w:ascii="Garamond" w:hAnsi="Garamond" w:cs="Arial"/>
          <w:sz w:val="22"/>
          <w:szCs w:val="22"/>
          <w:lang w:val="pt-PT"/>
        </w:rPr>
        <w:t>a decisão</w:t>
      </w:r>
      <w:r w:rsidRPr="005523A8">
        <w:rPr>
          <w:rFonts w:ascii="Garamond" w:hAnsi="Garamond" w:cs="Arial"/>
          <w:sz w:val="22"/>
          <w:szCs w:val="22"/>
          <w:lang w:val="pt-PT"/>
        </w:rPr>
        <w:t xml:space="preserve"> e</w:t>
      </w:r>
      <w:r w:rsidR="00E150E9" w:rsidRPr="005523A8">
        <w:rPr>
          <w:rFonts w:ascii="Garamond" w:hAnsi="Garamond" w:cs="Arial"/>
          <w:sz w:val="22"/>
          <w:szCs w:val="22"/>
          <w:lang w:val="pt-PT"/>
        </w:rPr>
        <w:t>m</w:t>
      </w:r>
      <w:r w:rsidRPr="005523A8">
        <w:rPr>
          <w:rFonts w:ascii="Garamond" w:hAnsi="Garamond" w:cs="Arial"/>
          <w:sz w:val="22"/>
          <w:szCs w:val="22"/>
          <w:lang w:val="pt-PT"/>
        </w:rPr>
        <w:t xml:space="preserve"> que se </w:t>
      </w:r>
      <w:r w:rsidR="00E150E9" w:rsidRPr="005523A8">
        <w:rPr>
          <w:rFonts w:ascii="Garamond" w:hAnsi="Garamond" w:cs="Arial"/>
          <w:sz w:val="22"/>
          <w:szCs w:val="22"/>
          <w:lang w:val="pt-PT"/>
        </w:rPr>
        <w:t xml:space="preserve">tiver </w:t>
      </w:r>
      <w:r w:rsidRPr="005523A8">
        <w:rPr>
          <w:rFonts w:ascii="Garamond" w:hAnsi="Garamond" w:cs="Arial"/>
          <w:sz w:val="22"/>
          <w:szCs w:val="22"/>
          <w:lang w:val="pt-PT"/>
        </w:rPr>
        <w:t xml:space="preserve">estimado procedente </w:t>
      </w:r>
      <w:r w:rsidR="00E150E9" w:rsidRPr="005523A8">
        <w:rPr>
          <w:rFonts w:ascii="Garamond" w:hAnsi="Garamond" w:cs="Arial"/>
          <w:sz w:val="22"/>
          <w:szCs w:val="22"/>
          <w:lang w:val="pt-PT"/>
        </w:rPr>
        <w:t>o</w:t>
      </w:r>
      <w:r w:rsidRPr="005523A8">
        <w:rPr>
          <w:rFonts w:ascii="Garamond" w:hAnsi="Garamond" w:cs="Arial"/>
          <w:sz w:val="22"/>
          <w:szCs w:val="22"/>
          <w:lang w:val="pt-PT"/>
        </w:rPr>
        <w:t xml:space="preserve"> recurso.</w:t>
      </w:r>
      <w:r w:rsidR="00330151">
        <w:rPr>
          <w:rFonts w:ascii="Garamond" w:hAnsi="Garamond" w:cs="Arial"/>
          <w:sz w:val="22"/>
          <w:szCs w:val="22"/>
          <w:lang w:val="pt-PT"/>
        </w:rPr>
        <w:t>»</w:t>
      </w:r>
      <w:proofErr w:type="gramEnd"/>
      <w:r w:rsidRPr="005523A8">
        <w:rPr>
          <w:rFonts w:ascii="Garamond" w:hAnsi="Garamond" w:cs="Arial"/>
          <w:sz w:val="22"/>
          <w:szCs w:val="22"/>
          <w:lang w:val="pt-PT"/>
        </w:rPr>
        <w:t xml:space="preserve"> </w:t>
      </w:r>
    </w:p>
    <w:p w:rsidR="00A132B3" w:rsidRPr="003A1174" w:rsidRDefault="00A132B3" w:rsidP="008719D4">
      <w:pPr>
        <w:pStyle w:val="NormalWeb"/>
        <w:spacing w:before="90" w:beforeAutospacing="0" w:after="45"/>
        <w:ind w:left="75" w:right="75"/>
        <w:jc w:val="both"/>
        <w:rPr>
          <w:rFonts w:ascii="Garamond" w:hAnsi="Garamond" w:cs="Arial"/>
          <w:lang w:val="pt-PT"/>
        </w:rPr>
      </w:pPr>
    </w:p>
    <w:p w:rsidR="00A132B3" w:rsidRPr="003A1174" w:rsidRDefault="00E150E9" w:rsidP="008719D4">
      <w:pPr>
        <w:pStyle w:val="NormalWeb"/>
        <w:spacing w:before="90" w:beforeAutospacing="0" w:after="45"/>
        <w:ind w:left="75" w:right="75"/>
        <w:jc w:val="both"/>
        <w:rPr>
          <w:rFonts w:ascii="Garamond" w:hAnsi="Garamond" w:cs="Arial"/>
          <w:lang w:val="pt-PT"/>
        </w:rPr>
      </w:pPr>
      <w:r w:rsidRPr="00330151">
        <w:rPr>
          <w:rFonts w:ascii="Garamond" w:hAnsi="Garamond" w:cs="Arial"/>
          <w:lang w:val="pt-PT"/>
        </w:rPr>
        <w:t>O conjunto d</w:t>
      </w:r>
      <w:r w:rsidR="00A132B3" w:rsidRPr="00330151">
        <w:rPr>
          <w:rFonts w:ascii="Garamond" w:hAnsi="Garamond" w:cs="Arial"/>
          <w:lang w:val="pt-PT"/>
        </w:rPr>
        <w:t>est</w:t>
      </w:r>
      <w:r w:rsidRPr="00330151">
        <w:rPr>
          <w:rFonts w:ascii="Garamond" w:hAnsi="Garamond" w:cs="Arial"/>
          <w:lang w:val="pt-PT"/>
        </w:rPr>
        <w:t xml:space="preserve">es </w:t>
      </w:r>
      <w:r w:rsidR="00A132B3" w:rsidRPr="00330151">
        <w:rPr>
          <w:rFonts w:ascii="Garamond" w:hAnsi="Garamond" w:cs="Arial"/>
          <w:lang w:val="pt-PT"/>
        </w:rPr>
        <w:t>prece</w:t>
      </w:r>
      <w:r w:rsidRPr="00330151">
        <w:rPr>
          <w:rFonts w:ascii="Garamond" w:hAnsi="Garamond" w:cs="Arial"/>
          <w:lang w:val="pt-PT"/>
        </w:rPr>
        <w:t xml:space="preserve">itos </w:t>
      </w:r>
      <w:r w:rsidR="003B4D48" w:rsidRPr="00330151">
        <w:rPr>
          <w:rFonts w:ascii="Garamond" w:hAnsi="Garamond" w:cs="Arial"/>
          <w:lang w:val="pt-PT"/>
        </w:rPr>
        <w:t>-</w:t>
      </w:r>
      <w:r w:rsidRPr="00330151">
        <w:rPr>
          <w:rFonts w:ascii="Garamond" w:hAnsi="Garamond" w:cs="Arial"/>
          <w:lang w:val="pt-PT"/>
        </w:rPr>
        <w:t xml:space="preserve"> e</w:t>
      </w:r>
      <w:r w:rsidR="00A132B3" w:rsidRPr="00330151">
        <w:rPr>
          <w:rFonts w:ascii="Garamond" w:hAnsi="Garamond" w:cs="Arial"/>
          <w:lang w:val="pt-PT"/>
        </w:rPr>
        <w:t xml:space="preserve"> </w:t>
      </w:r>
      <w:r w:rsidRPr="00330151">
        <w:rPr>
          <w:rFonts w:ascii="Garamond" w:hAnsi="Garamond" w:cs="Arial"/>
          <w:lang w:val="pt-PT"/>
        </w:rPr>
        <w:t xml:space="preserve">de </w:t>
      </w:r>
      <w:r w:rsidR="0017447A" w:rsidRPr="00330151">
        <w:rPr>
          <w:rFonts w:ascii="Garamond" w:hAnsi="Garamond" w:cs="Arial"/>
          <w:lang w:val="pt-PT"/>
        </w:rPr>
        <w:t>outras</w:t>
      </w:r>
      <w:r w:rsidR="00A132B3" w:rsidRPr="00330151">
        <w:rPr>
          <w:rFonts w:ascii="Garamond" w:hAnsi="Garamond" w:cs="Arial"/>
          <w:lang w:val="pt-PT"/>
        </w:rPr>
        <w:t xml:space="preserve"> </w:t>
      </w:r>
      <w:r w:rsidR="00B14AA6" w:rsidRPr="00330151">
        <w:rPr>
          <w:rFonts w:ascii="Garamond" w:hAnsi="Garamond" w:cs="Arial"/>
          <w:lang w:val="pt-PT"/>
        </w:rPr>
        <w:t>disposições</w:t>
      </w:r>
      <w:r w:rsidR="00A132B3" w:rsidRPr="00330151">
        <w:rPr>
          <w:rFonts w:ascii="Garamond" w:hAnsi="Garamond" w:cs="Arial"/>
          <w:lang w:val="pt-PT"/>
        </w:rPr>
        <w:t xml:space="preserve"> concordantes</w:t>
      </w:r>
      <w:r w:rsidR="003B4D48" w:rsidRPr="00330151">
        <w:rPr>
          <w:rFonts w:ascii="Garamond" w:hAnsi="Garamond" w:cs="Arial"/>
          <w:lang w:val="pt-PT"/>
        </w:rPr>
        <w:t xml:space="preserve"> -</w:t>
      </w:r>
      <w:r w:rsidR="00A132B3" w:rsidRPr="00330151">
        <w:rPr>
          <w:rStyle w:val="Refdenotaalpie"/>
          <w:rFonts w:ascii="Garamond" w:hAnsi="Garamond" w:cs="Arial"/>
        </w:rPr>
        <w:footnoteReference w:id="21"/>
      </w:r>
      <w:r w:rsidRPr="00330151">
        <w:rPr>
          <w:rFonts w:ascii="Garamond" w:hAnsi="Garamond" w:cs="Arial"/>
          <w:lang w:val="pt-PT"/>
        </w:rPr>
        <w:t xml:space="preserve"> </w:t>
      </w:r>
      <w:proofErr w:type="gramStart"/>
      <w:r w:rsidRPr="00330151">
        <w:rPr>
          <w:rFonts w:ascii="Garamond" w:hAnsi="Garamond" w:cs="Arial"/>
          <w:lang w:val="pt-PT"/>
        </w:rPr>
        <w:t>permite</w:t>
      </w:r>
      <w:r w:rsidR="000C4382" w:rsidRPr="00330151">
        <w:rPr>
          <w:rFonts w:ascii="Garamond" w:hAnsi="Garamond" w:cs="Arial"/>
          <w:lang w:val="pt-PT"/>
        </w:rPr>
        <w:t>m</w:t>
      </w:r>
      <w:proofErr w:type="gramEnd"/>
      <w:r w:rsidRPr="00330151">
        <w:rPr>
          <w:rFonts w:ascii="Garamond" w:hAnsi="Garamond" w:cs="Arial"/>
          <w:lang w:val="pt-PT"/>
        </w:rPr>
        <w:t xml:space="preserve"> conceber</w:t>
      </w:r>
      <w:r w:rsidR="000C4382" w:rsidRPr="00330151">
        <w:rPr>
          <w:rFonts w:ascii="Garamond" w:hAnsi="Garamond" w:cs="Arial"/>
          <w:lang w:val="pt-PT"/>
        </w:rPr>
        <w:t>,</w:t>
      </w:r>
      <w:r w:rsidRPr="00330151">
        <w:rPr>
          <w:rFonts w:ascii="Garamond" w:hAnsi="Garamond" w:cs="Arial"/>
          <w:lang w:val="pt-PT"/>
        </w:rPr>
        <w:t xml:space="preserve"> inequi</w:t>
      </w:r>
      <w:r w:rsidR="00A132B3" w:rsidRPr="00330151">
        <w:rPr>
          <w:rFonts w:ascii="Garamond" w:hAnsi="Garamond" w:cs="Arial"/>
          <w:lang w:val="pt-PT"/>
        </w:rPr>
        <w:t>vocamente</w:t>
      </w:r>
      <w:r w:rsidR="000C4382" w:rsidRPr="00330151">
        <w:rPr>
          <w:rFonts w:ascii="Garamond" w:hAnsi="Garamond" w:cs="Arial"/>
          <w:lang w:val="pt-PT"/>
        </w:rPr>
        <w:t>,</w:t>
      </w:r>
      <w:r w:rsidR="00A132B3" w:rsidRPr="00330151">
        <w:rPr>
          <w:rFonts w:ascii="Garamond" w:hAnsi="Garamond" w:cs="Arial"/>
          <w:lang w:val="pt-PT"/>
        </w:rPr>
        <w:t xml:space="preserve"> </w:t>
      </w:r>
      <w:r w:rsidRPr="00330151">
        <w:rPr>
          <w:rFonts w:ascii="Garamond" w:hAnsi="Garamond" w:cs="Arial"/>
          <w:lang w:val="pt-PT"/>
        </w:rPr>
        <w:t xml:space="preserve">o </w:t>
      </w:r>
      <w:r w:rsidR="00886D6A" w:rsidRPr="00330151">
        <w:rPr>
          <w:rFonts w:ascii="Garamond" w:hAnsi="Garamond" w:cs="Arial"/>
          <w:lang w:val="pt-PT"/>
        </w:rPr>
        <w:t>Acesso</w:t>
      </w:r>
      <w:r w:rsidR="00A132B3" w:rsidRPr="00330151">
        <w:rPr>
          <w:rFonts w:ascii="Garamond" w:hAnsi="Garamond" w:cs="Arial"/>
          <w:lang w:val="pt-PT"/>
        </w:rPr>
        <w:t xml:space="preserve"> </w:t>
      </w:r>
      <w:r w:rsidRPr="00330151">
        <w:rPr>
          <w:rFonts w:ascii="Garamond" w:hAnsi="Garamond" w:cs="Arial"/>
          <w:lang w:val="pt-PT"/>
        </w:rPr>
        <w:t xml:space="preserve">à </w:t>
      </w:r>
      <w:r w:rsidR="00FC1F7F" w:rsidRPr="00330151">
        <w:rPr>
          <w:rFonts w:ascii="Garamond" w:hAnsi="Garamond" w:cs="Arial"/>
          <w:lang w:val="pt-PT"/>
        </w:rPr>
        <w:t>Justiça</w:t>
      </w:r>
      <w:r w:rsidR="00A132B3" w:rsidRPr="00330151">
        <w:rPr>
          <w:rFonts w:ascii="Garamond" w:hAnsi="Garamond" w:cs="Arial"/>
          <w:lang w:val="pt-PT"/>
        </w:rPr>
        <w:t xml:space="preserve"> como </w:t>
      </w:r>
      <w:r w:rsidR="00886D6A" w:rsidRPr="00330151">
        <w:rPr>
          <w:rFonts w:ascii="Garamond" w:hAnsi="Garamond" w:cs="Arial"/>
          <w:lang w:val="pt-PT"/>
        </w:rPr>
        <w:t>direito</w:t>
      </w:r>
      <w:r w:rsidR="00A132B3" w:rsidRPr="00330151">
        <w:rPr>
          <w:rFonts w:ascii="Garamond" w:hAnsi="Garamond" w:cs="Arial"/>
          <w:lang w:val="pt-PT"/>
        </w:rPr>
        <w:t xml:space="preserve"> humano. </w:t>
      </w:r>
      <w:r w:rsidRPr="00330151">
        <w:rPr>
          <w:rFonts w:ascii="Garamond" w:hAnsi="Garamond" w:cs="Arial"/>
          <w:lang w:val="pt-PT"/>
        </w:rPr>
        <w:t>N</w:t>
      </w:r>
      <w:r w:rsidR="00A132B3" w:rsidRPr="00330151">
        <w:rPr>
          <w:rFonts w:ascii="Garamond" w:hAnsi="Garamond" w:cs="Arial"/>
          <w:lang w:val="pt-PT"/>
        </w:rPr>
        <w:t>este contexto</w:t>
      </w:r>
      <w:r w:rsidR="002F45FB" w:rsidRPr="00330151">
        <w:rPr>
          <w:rFonts w:ascii="Garamond" w:hAnsi="Garamond" w:cs="Arial"/>
          <w:lang w:val="pt-PT"/>
        </w:rPr>
        <w:t>,</w:t>
      </w:r>
      <w:r w:rsidR="00A132B3" w:rsidRPr="00330151">
        <w:rPr>
          <w:rFonts w:ascii="Garamond" w:hAnsi="Garamond" w:cs="Arial"/>
          <w:lang w:val="pt-PT"/>
        </w:rPr>
        <w:t xml:space="preserve"> </w:t>
      </w:r>
      <w:r w:rsidRPr="00330151">
        <w:rPr>
          <w:rFonts w:ascii="Garamond" w:hAnsi="Garamond" w:cs="Arial"/>
          <w:lang w:val="pt-PT"/>
        </w:rPr>
        <w:t xml:space="preserve">é </w:t>
      </w:r>
      <w:r w:rsidR="00A132B3" w:rsidRPr="00330151">
        <w:rPr>
          <w:rFonts w:ascii="Garamond" w:hAnsi="Garamond" w:cs="Arial"/>
          <w:lang w:val="pt-PT"/>
        </w:rPr>
        <w:t xml:space="preserve">conveniente </w:t>
      </w:r>
      <w:r w:rsidRPr="00330151">
        <w:rPr>
          <w:rFonts w:ascii="Garamond" w:hAnsi="Garamond" w:cs="Arial"/>
          <w:lang w:val="pt-PT"/>
        </w:rPr>
        <w:t xml:space="preserve">chamar </w:t>
      </w:r>
      <w:r w:rsidR="00A132B3" w:rsidRPr="00330151">
        <w:rPr>
          <w:rFonts w:ascii="Garamond" w:hAnsi="Garamond" w:cs="Arial"/>
          <w:lang w:val="pt-PT"/>
        </w:rPr>
        <w:t xml:space="preserve">a </w:t>
      </w:r>
      <w:r w:rsidR="008278C4" w:rsidRPr="00330151">
        <w:rPr>
          <w:rFonts w:ascii="Garamond" w:hAnsi="Garamond" w:cs="Arial"/>
          <w:lang w:val="pt-PT"/>
        </w:rPr>
        <w:t>atenção</w:t>
      </w:r>
      <w:r w:rsidRPr="00330151">
        <w:rPr>
          <w:rFonts w:ascii="Garamond" w:hAnsi="Garamond" w:cs="Arial"/>
          <w:lang w:val="pt-PT"/>
        </w:rPr>
        <w:t xml:space="preserve"> </w:t>
      </w:r>
      <w:r w:rsidR="00330151" w:rsidRPr="00330151">
        <w:rPr>
          <w:rFonts w:ascii="Garamond" w:hAnsi="Garamond" w:cs="Arial"/>
          <w:lang w:val="pt-PT"/>
        </w:rPr>
        <w:t xml:space="preserve">para </w:t>
      </w:r>
      <w:r w:rsidR="00A132B3" w:rsidRPr="00330151">
        <w:rPr>
          <w:rFonts w:ascii="Garamond" w:hAnsi="Garamond" w:cs="Arial"/>
          <w:lang w:val="pt-PT"/>
        </w:rPr>
        <w:t xml:space="preserve">a </w:t>
      </w:r>
      <w:r w:rsidR="000866B6" w:rsidRPr="00330151">
        <w:rPr>
          <w:rFonts w:ascii="Garamond" w:hAnsi="Garamond" w:cs="Arial"/>
          <w:lang w:val="pt-PT"/>
        </w:rPr>
        <w:t>indispensável</w:t>
      </w:r>
      <w:r w:rsidR="00A132B3" w:rsidRPr="00330151">
        <w:rPr>
          <w:rFonts w:ascii="Garamond" w:hAnsi="Garamond" w:cs="Arial"/>
          <w:lang w:val="pt-PT"/>
        </w:rPr>
        <w:t xml:space="preserve"> inter</w:t>
      </w:r>
      <w:r w:rsidRPr="00330151">
        <w:rPr>
          <w:rFonts w:ascii="Garamond" w:hAnsi="Garamond" w:cs="Arial"/>
          <w:lang w:val="pt-PT"/>
        </w:rPr>
        <w:t>-</w:t>
      </w:r>
      <w:r w:rsidR="00152A44" w:rsidRPr="00330151">
        <w:rPr>
          <w:rFonts w:ascii="Garamond" w:hAnsi="Garamond" w:cs="Arial"/>
          <w:lang w:val="pt-PT"/>
        </w:rPr>
        <w:t>relação</w:t>
      </w:r>
      <w:r w:rsidR="00A132B3" w:rsidRPr="00330151">
        <w:rPr>
          <w:rFonts w:ascii="Garamond" w:hAnsi="Garamond" w:cs="Arial"/>
          <w:lang w:val="pt-PT"/>
        </w:rPr>
        <w:t xml:space="preserve"> que </w:t>
      </w:r>
      <w:r w:rsidRPr="00330151">
        <w:rPr>
          <w:rFonts w:ascii="Garamond" w:hAnsi="Garamond" w:cs="Arial"/>
          <w:lang w:val="pt-PT"/>
        </w:rPr>
        <w:t>dev</w:t>
      </w:r>
      <w:r w:rsidR="002F45FB" w:rsidRPr="00330151">
        <w:rPr>
          <w:rFonts w:ascii="Garamond" w:hAnsi="Garamond" w:cs="Arial"/>
          <w:lang w:val="pt-PT"/>
        </w:rPr>
        <w:t>e</w:t>
      </w:r>
      <w:r w:rsidR="00A132B3" w:rsidRPr="00330151">
        <w:rPr>
          <w:rFonts w:ascii="Garamond" w:hAnsi="Garamond" w:cs="Arial"/>
          <w:lang w:val="pt-PT"/>
        </w:rPr>
        <w:t xml:space="preserve"> exist</w:t>
      </w:r>
      <w:r w:rsidR="002F45FB" w:rsidRPr="00330151">
        <w:rPr>
          <w:rFonts w:ascii="Garamond" w:hAnsi="Garamond" w:cs="Arial"/>
          <w:lang w:val="pt-PT"/>
        </w:rPr>
        <w:t>ir</w:t>
      </w:r>
      <w:r w:rsidR="00A132B3" w:rsidRPr="00330151">
        <w:rPr>
          <w:rFonts w:ascii="Garamond" w:hAnsi="Garamond" w:cs="Arial"/>
          <w:lang w:val="pt-PT"/>
        </w:rPr>
        <w:t>, especialmente</w:t>
      </w:r>
      <w:r w:rsidR="00330151" w:rsidRPr="00330151">
        <w:rPr>
          <w:rFonts w:ascii="Garamond" w:hAnsi="Garamond" w:cs="Arial"/>
          <w:lang w:val="pt-PT"/>
        </w:rPr>
        <w:t>,</w:t>
      </w:r>
      <w:r w:rsidR="00A132B3" w:rsidRPr="00330151">
        <w:rPr>
          <w:rFonts w:ascii="Garamond" w:hAnsi="Garamond" w:cs="Arial"/>
          <w:lang w:val="pt-PT"/>
        </w:rPr>
        <w:t xml:space="preserve"> </w:t>
      </w:r>
      <w:r w:rsidRPr="00330151">
        <w:rPr>
          <w:rFonts w:ascii="Garamond" w:hAnsi="Garamond" w:cs="Arial"/>
          <w:lang w:val="pt-PT"/>
        </w:rPr>
        <w:t xml:space="preserve">no </w:t>
      </w:r>
      <w:r w:rsidR="00BA3CCE" w:rsidRPr="00330151">
        <w:rPr>
          <w:rFonts w:ascii="Garamond" w:hAnsi="Garamond" w:cs="Arial"/>
          <w:lang w:val="pt-PT"/>
        </w:rPr>
        <w:t>terreno</w:t>
      </w:r>
      <w:r w:rsidR="00A132B3" w:rsidRPr="00330151">
        <w:rPr>
          <w:rFonts w:ascii="Garamond" w:hAnsi="Garamond" w:cs="Arial"/>
          <w:lang w:val="pt-PT"/>
        </w:rPr>
        <w:t xml:space="preserve"> da </w:t>
      </w:r>
      <w:r w:rsidR="000350B1" w:rsidRPr="00330151">
        <w:rPr>
          <w:rFonts w:ascii="Garamond" w:hAnsi="Garamond" w:cs="Arial"/>
          <w:lang w:val="pt-PT"/>
        </w:rPr>
        <w:t>violência</w:t>
      </w:r>
      <w:r w:rsidRPr="00330151">
        <w:rPr>
          <w:rFonts w:ascii="Garamond" w:hAnsi="Garamond" w:cs="Arial"/>
          <w:lang w:val="pt-PT"/>
        </w:rPr>
        <w:t xml:space="preserve"> contra </w:t>
      </w:r>
      <w:r w:rsidR="00A132B3" w:rsidRPr="00330151">
        <w:rPr>
          <w:rFonts w:ascii="Garamond" w:hAnsi="Garamond" w:cs="Arial"/>
          <w:lang w:val="pt-PT"/>
        </w:rPr>
        <w:t xml:space="preserve">as </w:t>
      </w:r>
      <w:r w:rsidR="00054EE0" w:rsidRPr="00330151">
        <w:rPr>
          <w:rFonts w:ascii="Garamond" w:hAnsi="Garamond" w:cs="Arial"/>
          <w:lang w:val="pt-PT"/>
        </w:rPr>
        <w:t>mulheres</w:t>
      </w:r>
      <w:r w:rsidR="00A132B3" w:rsidRPr="00330151">
        <w:rPr>
          <w:rFonts w:ascii="Garamond" w:hAnsi="Garamond" w:cs="Arial"/>
          <w:lang w:val="pt-PT"/>
        </w:rPr>
        <w:t xml:space="preserve">, entre </w:t>
      </w:r>
      <w:r w:rsidR="00886D6A" w:rsidRPr="00330151">
        <w:rPr>
          <w:rFonts w:ascii="Garamond" w:hAnsi="Garamond" w:cs="Arial"/>
          <w:lang w:val="pt-PT"/>
        </w:rPr>
        <w:t>Acesso</w:t>
      </w:r>
      <w:r w:rsidR="00A132B3" w:rsidRPr="00330151">
        <w:rPr>
          <w:rFonts w:ascii="Garamond" w:hAnsi="Garamond" w:cs="Arial"/>
          <w:lang w:val="pt-PT"/>
        </w:rPr>
        <w:t xml:space="preserve"> </w:t>
      </w:r>
      <w:r w:rsidRPr="00330151">
        <w:rPr>
          <w:rFonts w:ascii="Garamond" w:hAnsi="Garamond" w:cs="Arial"/>
          <w:lang w:val="pt-PT"/>
        </w:rPr>
        <w:t xml:space="preserve">à </w:t>
      </w:r>
      <w:r w:rsidR="00FC1F7F" w:rsidRPr="00330151">
        <w:rPr>
          <w:rFonts w:ascii="Garamond" w:hAnsi="Garamond" w:cs="Arial"/>
          <w:lang w:val="pt-PT"/>
        </w:rPr>
        <w:t>Justiça</w:t>
      </w:r>
      <w:r w:rsidR="00A132B3" w:rsidRPr="00330151">
        <w:rPr>
          <w:rFonts w:ascii="Garamond" w:hAnsi="Garamond" w:cs="Arial"/>
          <w:lang w:val="pt-PT"/>
        </w:rPr>
        <w:t xml:space="preserve"> </w:t>
      </w:r>
      <w:r w:rsidR="00E7631C" w:rsidRPr="00330151">
        <w:rPr>
          <w:rFonts w:ascii="Garamond" w:hAnsi="Garamond" w:cs="Arial"/>
          <w:lang w:val="pt-PT"/>
        </w:rPr>
        <w:t>e Diligência</w:t>
      </w:r>
      <w:r w:rsidR="00CF4C35" w:rsidRPr="00330151">
        <w:rPr>
          <w:rFonts w:ascii="Garamond" w:hAnsi="Garamond" w:cs="Arial"/>
          <w:lang w:val="pt-PT"/>
        </w:rPr>
        <w:t xml:space="preserve"> Devida</w:t>
      </w:r>
      <w:r w:rsidR="00A132B3" w:rsidRPr="00330151">
        <w:rPr>
          <w:rFonts w:ascii="Garamond" w:hAnsi="Garamond" w:cs="Arial"/>
          <w:lang w:val="pt-PT"/>
        </w:rPr>
        <w:t>.</w:t>
      </w:r>
      <w:r w:rsidR="00A132B3" w:rsidRPr="003A1174">
        <w:rPr>
          <w:rFonts w:ascii="Garamond" w:hAnsi="Garamond" w:cs="Arial"/>
          <w:lang w:val="pt-PT"/>
        </w:rPr>
        <w:t xml:space="preserve"> </w:t>
      </w:r>
    </w:p>
    <w:p w:rsidR="00A132B3" w:rsidRPr="003A1174" w:rsidRDefault="00A132B3" w:rsidP="008719D4">
      <w:pPr>
        <w:pStyle w:val="NormalWeb"/>
        <w:spacing w:before="90" w:beforeAutospacing="0" w:after="45"/>
        <w:ind w:left="75" w:right="75"/>
        <w:jc w:val="both"/>
        <w:rPr>
          <w:rFonts w:ascii="Garamond" w:hAnsi="Garamond"/>
          <w:lang w:val="pt-PT"/>
        </w:rPr>
      </w:pPr>
      <w:r w:rsidRPr="003A1174">
        <w:rPr>
          <w:rFonts w:ascii="Garamond" w:hAnsi="Garamond" w:cs="Arial"/>
          <w:lang w:val="pt-PT"/>
        </w:rPr>
        <w:t>Esta última</w:t>
      </w:r>
      <w:proofErr w:type="gramStart"/>
      <w:r w:rsidRPr="003A1174">
        <w:rPr>
          <w:rFonts w:ascii="Garamond" w:hAnsi="Garamond" w:cs="Arial"/>
          <w:lang w:val="pt-PT"/>
        </w:rPr>
        <w:t>, val</w:t>
      </w:r>
      <w:r w:rsidR="00E150E9" w:rsidRPr="003A1174">
        <w:rPr>
          <w:rFonts w:ascii="Garamond" w:hAnsi="Garamond" w:cs="Arial"/>
          <w:lang w:val="pt-PT"/>
        </w:rPr>
        <w:t>e</w:t>
      </w:r>
      <w:proofErr w:type="gramEnd"/>
      <w:r w:rsidR="00E150E9" w:rsidRPr="003A1174">
        <w:rPr>
          <w:rFonts w:ascii="Garamond" w:hAnsi="Garamond" w:cs="Arial"/>
          <w:lang w:val="pt-PT"/>
        </w:rPr>
        <w:t xml:space="preserve"> a pena recordar, </w:t>
      </w:r>
      <w:r w:rsidRPr="003A1174">
        <w:rPr>
          <w:rFonts w:ascii="Garamond" w:hAnsi="Garamond" w:cs="Arial"/>
          <w:lang w:val="pt-PT"/>
        </w:rPr>
        <w:t>imp</w:t>
      </w:r>
      <w:r w:rsidR="00E150E9" w:rsidRPr="003A1174">
        <w:rPr>
          <w:rFonts w:ascii="Garamond" w:hAnsi="Garamond" w:cs="Arial"/>
          <w:lang w:val="pt-PT"/>
        </w:rPr>
        <w:t xml:space="preserve">õe </w:t>
      </w:r>
      <w:r w:rsidRPr="003A1174">
        <w:rPr>
          <w:rFonts w:ascii="Garamond" w:hAnsi="Garamond" w:cs="Arial"/>
          <w:lang w:val="pt-PT"/>
        </w:rPr>
        <w:t xml:space="preserve">que se </w:t>
      </w:r>
      <w:r w:rsidR="00E150E9" w:rsidRPr="003A1174">
        <w:rPr>
          <w:rFonts w:ascii="Garamond" w:hAnsi="Garamond" w:cs="Arial"/>
          <w:lang w:val="pt-PT"/>
        </w:rPr>
        <w:t>consiga</w:t>
      </w:r>
      <w:r w:rsidR="00330151">
        <w:rPr>
          <w:rFonts w:ascii="Garamond" w:hAnsi="Garamond" w:cs="Arial"/>
          <w:lang w:val="pt-PT"/>
        </w:rPr>
        <w:t>,</w:t>
      </w:r>
      <w:r w:rsidR="00E150E9" w:rsidRPr="003A1174">
        <w:rPr>
          <w:rFonts w:ascii="Garamond" w:hAnsi="Garamond" w:cs="Arial"/>
          <w:lang w:val="pt-PT"/>
        </w:rPr>
        <w:t xml:space="preserve"> </w:t>
      </w:r>
      <w:r w:rsidRPr="003A1174">
        <w:rPr>
          <w:rFonts w:ascii="Garamond" w:hAnsi="Garamond" w:cs="Arial"/>
          <w:lang w:val="pt-PT"/>
        </w:rPr>
        <w:t>razo</w:t>
      </w:r>
      <w:r w:rsidR="00E150E9" w:rsidRPr="003A1174">
        <w:rPr>
          <w:rFonts w:ascii="Garamond" w:hAnsi="Garamond" w:cs="Arial"/>
          <w:lang w:val="pt-PT"/>
        </w:rPr>
        <w:t>avelmente</w:t>
      </w:r>
      <w:r w:rsidR="00330151">
        <w:rPr>
          <w:rFonts w:ascii="Garamond" w:hAnsi="Garamond" w:cs="Arial"/>
          <w:lang w:val="pt-PT"/>
        </w:rPr>
        <w:t>,</w:t>
      </w:r>
      <w:r w:rsidR="00E150E9" w:rsidRPr="003A1174">
        <w:rPr>
          <w:rFonts w:ascii="Garamond" w:hAnsi="Garamond" w:cs="Arial"/>
          <w:lang w:val="pt-PT"/>
        </w:rPr>
        <w:t xml:space="preserve"> </w:t>
      </w:r>
      <w:r w:rsidRPr="003A1174">
        <w:rPr>
          <w:rFonts w:ascii="Garamond" w:hAnsi="Garamond" w:cs="Arial"/>
          <w:lang w:val="pt-PT"/>
        </w:rPr>
        <w:t xml:space="preserve">a </w:t>
      </w:r>
      <w:r w:rsidR="00E150E9" w:rsidRPr="003A1174">
        <w:rPr>
          <w:rFonts w:ascii="Garamond" w:hAnsi="Garamond" w:cs="Arial"/>
          <w:lang w:val="pt-PT"/>
        </w:rPr>
        <w:t>verificação concreta d</w:t>
      </w:r>
      <w:r w:rsidRPr="003A1174">
        <w:rPr>
          <w:rFonts w:ascii="Garamond" w:hAnsi="Garamond" w:cs="Arial"/>
          <w:lang w:val="pt-PT"/>
        </w:rPr>
        <w:t xml:space="preserve">os </w:t>
      </w:r>
      <w:r w:rsidR="00886D6A" w:rsidRPr="003A1174">
        <w:rPr>
          <w:rFonts w:ascii="Garamond" w:hAnsi="Garamond" w:cs="Arial"/>
          <w:lang w:val="pt-PT"/>
        </w:rPr>
        <w:t>direito</w:t>
      </w:r>
      <w:r w:rsidRPr="003A1174">
        <w:rPr>
          <w:rFonts w:ascii="Garamond" w:hAnsi="Garamond" w:cs="Arial"/>
          <w:lang w:val="pt-PT"/>
        </w:rPr>
        <w:t xml:space="preserve">s </w:t>
      </w:r>
      <w:r w:rsidR="00CA633E" w:rsidRPr="003A1174">
        <w:rPr>
          <w:rFonts w:ascii="Garamond" w:hAnsi="Garamond" w:cs="Arial"/>
          <w:lang w:val="pt-PT"/>
        </w:rPr>
        <w:t>fundamentais</w:t>
      </w:r>
      <w:r w:rsidR="002F45FB" w:rsidRPr="003A1174">
        <w:rPr>
          <w:rFonts w:ascii="Garamond" w:hAnsi="Garamond" w:cs="Arial"/>
          <w:lang w:val="pt-PT"/>
        </w:rPr>
        <w:t>,</w:t>
      </w:r>
      <w:r w:rsidRPr="003A1174">
        <w:rPr>
          <w:rFonts w:ascii="Garamond" w:hAnsi="Garamond" w:cs="Arial"/>
          <w:lang w:val="pt-PT"/>
        </w:rPr>
        <w:t xml:space="preserve"> </w:t>
      </w:r>
      <w:r w:rsidR="00E150E9" w:rsidRPr="003A1174">
        <w:rPr>
          <w:rFonts w:ascii="Garamond" w:hAnsi="Garamond" w:cs="Arial"/>
          <w:lang w:val="pt-PT"/>
        </w:rPr>
        <w:t xml:space="preserve">quer seja </w:t>
      </w:r>
      <w:r w:rsidRPr="003A1174">
        <w:rPr>
          <w:rFonts w:ascii="Garamond" w:hAnsi="Garamond" w:cs="Arial"/>
          <w:lang w:val="pt-PT"/>
        </w:rPr>
        <w:t>prev</w:t>
      </w:r>
      <w:r w:rsidR="00E150E9" w:rsidRPr="003A1174">
        <w:rPr>
          <w:rFonts w:ascii="Garamond" w:hAnsi="Garamond" w:cs="Arial"/>
          <w:lang w:val="pt-PT"/>
        </w:rPr>
        <w:t>eni</w:t>
      </w:r>
      <w:r w:rsidRPr="003A1174">
        <w:rPr>
          <w:rFonts w:ascii="Garamond" w:hAnsi="Garamond" w:cs="Arial"/>
          <w:lang w:val="pt-PT"/>
        </w:rPr>
        <w:t>ndo</w:t>
      </w:r>
      <w:r w:rsidR="00E150E9" w:rsidRPr="003A1174">
        <w:rPr>
          <w:rFonts w:ascii="Garamond" w:hAnsi="Garamond" w:cs="Arial"/>
          <w:lang w:val="pt-PT"/>
        </w:rPr>
        <w:t xml:space="preserve"> a sua violação, quer seja </w:t>
      </w:r>
      <w:r w:rsidRPr="003A1174">
        <w:rPr>
          <w:rFonts w:ascii="Garamond" w:hAnsi="Garamond" w:cs="Arial"/>
          <w:lang w:val="pt-PT"/>
        </w:rPr>
        <w:t xml:space="preserve">investigando, </w:t>
      </w:r>
      <w:r w:rsidR="00E150E9" w:rsidRPr="003A1174">
        <w:rPr>
          <w:rFonts w:ascii="Garamond" w:hAnsi="Garamond" w:cs="Arial"/>
          <w:lang w:val="pt-PT"/>
        </w:rPr>
        <w:t>processando e</w:t>
      </w:r>
      <w:r w:rsidRPr="003A1174">
        <w:rPr>
          <w:rFonts w:ascii="Garamond" w:hAnsi="Garamond" w:cs="Arial"/>
          <w:lang w:val="pt-PT"/>
        </w:rPr>
        <w:t xml:space="preserve"> </w:t>
      </w:r>
      <w:r w:rsidR="00AE3F78" w:rsidRPr="003A1174">
        <w:rPr>
          <w:rFonts w:ascii="Garamond" w:hAnsi="Garamond" w:cs="Arial"/>
          <w:lang w:val="pt-PT"/>
        </w:rPr>
        <w:t>punindo</w:t>
      </w:r>
      <w:r w:rsidRPr="003A1174">
        <w:rPr>
          <w:rFonts w:ascii="Garamond" w:hAnsi="Garamond" w:cs="Arial"/>
          <w:lang w:val="pt-PT"/>
        </w:rPr>
        <w:t xml:space="preserve"> a</w:t>
      </w:r>
      <w:r w:rsidR="00E150E9" w:rsidRPr="003A1174">
        <w:rPr>
          <w:rFonts w:ascii="Garamond" w:hAnsi="Garamond" w:cs="Arial"/>
          <w:lang w:val="pt-PT"/>
        </w:rPr>
        <w:t xml:space="preserve">queles que os </w:t>
      </w:r>
      <w:r w:rsidRPr="003A1174">
        <w:rPr>
          <w:rFonts w:ascii="Garamond" w:hAnsi="Garamond" w:cs="Arial"/>
          <w:lang w:val="pt-PT"/>
        </w:rPr>
        <w:t>tra</w:t>
      </w:r>
      <w:r w:rsidR="00E150E9" w:rsidRPr="003A1174">
        <w:rPr>
          <w:rFonts w:ascii="Garamond" w:hAnsi="Garamond" w:cs="Arial"/>
          <w:lang w:val="pt-PT"/>
        </w:rPr>
        <w:t>n</w:t>
      </w:r>
      <w:r w:rsidRPr="003A1174">
        <w:rPr>
          <w:rFonts w:ascii="Garamond" w:hAnsi="Garamond" w:cs="Arial"/>
          <w:lang w:val="pt-PT"/>
        </w:rPr>
        <w:t>sgr</w:t>
      </w:r>
      <w:r w:rsidR="00E150E9" w:rsidRPr="003A1174">
        <w:rPr>
          <w:rFonts w:ascii="Garamond" w:hAnsi="Garamond" w:cs="Arial"/>
          <w:lang w:val="pt-PT"/>
        </w:rPr>
        <w:t>idem</w:t>
      </w:r>
      <w:r w:rsidRPr="003A1174">
        <w:rPr>
          <w:rFonts w:ascii="Garamond" w:hAnsi="Garamond" w:cs="Arial"/>
          <w:lang w:val="pt-PT"/>
        </w:rPr>
        <w:t xml:space="preserve">. </w:t>
      </w:r>
      <w:r w:rsidR="00E150E9" w:rsidRPr="003A1174">
        <w:rPr>
          <w:rFonts w:ascii="Garamond" w:hAnsi="Garamond" w:cs="Arial"/>
          <w:lang w:val="pt-PT"/>
        </w:rPr>
        <w:t xml:space="preserve">Neste </w:t>
      </w:r>
      <w:r w:rsidRPr="003A1174">
        <w:rPr>
          <w:rFonts w:ascii="Garamond" w:hAnsi="Garamond" w:cs="Arial"/>
          <w:lang w:val="pt-PT"/>
        </w:rPr>
        <w:t>sentido</w:t>
      </w:r>
      <w:r w:rsidR="00C031E1" w:rsidRPr="003A1174">
        <w:rPr>
          <w:rFonts w:ascii="Garamond" w:hAnsi="Garamond" w:cs="Arial"/>
          <w:lang w:val="pt-PT"/>
        </w:rPr>
        <w:t>,</w:t>
      </w:r>
      <w:r w:rsidR="00E150E9" w:rsidRPr="003A1174">
        <w:rPr>
          <w:rFonts w:ascii="Garamond" w:hAnsi="Garamond" w:cs="Arial"/>
          <w:lang w:val="pt-PT"/>
        </w:rPr>
        <w:t xml:space="preserve"> </w:t>
      </w:r>
      <w:r w:rsidRPr="003A1174">
        <w:rPr>
          <w:rFonts w:ascii="Garamond" w:hAnsi="Garamond" w:cs="Arial"/>
          <w:lang w:val="pt-PT"/>
        </w:rPr>
        <w:t xml:space="preserve">a </w:t>
      </w:r>
      <w:r w:rsidR="00CF4C35" w:rsidRPr="003A1174">
        <w:rPr>
          <w:rFonts w:ascii="Garamond" w:hAnsi="Garamond" w:cs="Arial"/>
          <w:lang w:val="pt-PT"/>
        </w:rPr>
        <w:t>Diligência Devida</w:t>
      </w:r>
      <w:r w:rsidRPr="003A1174">
        <w:rPr>
          <w:rFonts w:ascii="Garamond" w:hAnsi="Garamond" w:cs="Arial"/>
          <w:lang w:val="pt-PT"/>
        </w:rPr>
        <w:t xml:space="preserve"> aparece como </w:t>
      </w:r>
      <w:r w:rsidR="00E150E9" w:rsidRPr="003A1174">
        <w:rPr>
          <w:rFonts w:ascii="Garamond" w:hAnsi="Garamond" w:cs="Arial"/>
          <w:lang w:val="pt-PT"/>
        </w:rPr>
        <w:t xml:space="preserve">o </w:t>
      </w:r>
      <w:r w:rsidR="006D0543" w:rsidRPr="003A1174">
        <w:rPr>
          <w:rFonts w:ascii="Garamond" w:hAnsi="Garamond" w:cs="Arial"/>
          <w:lang w:val="pt-PT"/>
        </w:rPr>
        <w:t>princípio</w:t>
      </w:r>
      <w:r w:rsidR="00E150E9" w:rsidRPr="003A1174">
        <w:rPr>
          <w:rFonts w:ascii="Garamond" w:hAnsi="Garamond" w:cs="Arial"/>
          <w:lang w:val="pt-PT"/>
        </w:rPr>
        <w:t xml:space="preserve"> e</w:t>
      </w:r>
      <w:r w:rsidRPr="003A1174">
        <w:rPr>
          <w:rFonts w:ascii="Garamond" w:hAnsi="Garamond" w:cs="Arial"/>
          <w:lang w:val="pt-PT"/>
        </w:rPr>
        <w:t xml:space="preserve"> </w:t>
      </w:r>
      <w:r w:rsidR="00AF192F" w:rsidRPr="003A1174">
        <w:rPr>
          <w:rFonts w:ascii="Garamond" w:hAnsi="Garamond" w:cs="Arial"/>
          <w:lang w:val="pt-PT"/>
        </w:rPr>
        <w:t>dever</w:t>
      </w:r>
      <w:r w:rsidRPr="003A1174">
        <w:rPr>
          <w:rFonts w:ascii="Garamond" w:hAnsi="Garamond" w:cs="Arial"/>
          <w:lang w:val="pt-PT"/>
        </w:rPr>
        <w:t xml:space="preserve"> estatal de </w:t>
      </w:r>
      <w:r w:rsidR="00120915" w:rsidRPr="003A1174">
        <w:rPr>
          <w:rFonts w:ascii="Garamond" w:hAnsi="Garamond" w:cs="Arial"/>
          <w:lang w:val="pt-PT"/>
        </w:rPr>
        <w:t>caráter</w:t>
      </w:r>
      <w:r w:rsidRPr="003A1174">
        <w:rPr>
          <w:rFonts w:ascii="Garamond" w:hAnsi="Garamond" w:cs="Arial"/>
          <w:lang w:val="pt-PT"/>
        </w:rPr>
        <w:t xml:space="preserve"> </w:t>
      </w:r>
      <w:r w:rsidR="00BA3CCE" w:rsidRPr="003A1174">
        <w:rPr>
          <w:rFonts w:ascii="Garamond" w:hAnsi="Garamond" w:cs="Arial"/>
          <w:lang w:val="pt-PT"/>
        </w:rPr>
        <w:t>transversal</w:t>
      </w:r>
      <w:r w:rsidRPr="003A1174">
        <w:rPr>
          <w:rFonts w:ascii="Garamond" w:hAnsi="Garamond" w:cs="Arial"/>
          <w:lang w:val="pt-PT"/>
        </w:rPr>
        <w:t xml:space="preserve"> </w:t>
      </w:r>
      <w:r w:rsidR="00E150E9" w:rsidRPr="003A1174">
        <w:rPr>
          <w:rFonts w:ascii="Garamond" w:hAnsi="Garamond" w:cs="Arial"/>
          <w:lang w:val="pt-PT"/>
        </w:rPr>
        <w:t>e</w:t>
      </w:r>
      <w:r w:rsidRPr="003A1174">
        <w:rPr>
          <w:rFonts w:ascii="Garamond" w:hAnsi="Garamond" w:cs="Arial"/>
          <w:lang w:val="pt-PT"/>
        </w:rPr>
        <w:t xml:space="preserve"> compreensivo d</w:t>
      </w:r>
      <w:r w:rsidR="00E150E9" w:rsidRPr="003A1174">
        <w:rPr>
          <w:rFonts w:ascii="Garamond" w:hAnsi="Garamond" w:cs="Arial"/>
          <w:lang w:val="pt-PT"/>
        </w:rPr>
        <w:t>o</w:t>
      </w:r>
      <w:r w:rsidRPr="003A1174">
        <w:rPr>
          <w:rFonts w:ascii="Garamond" w:hAnsi="Garamond" w:cs="Arial"/>
          <w:lang w:val="pt-PT"/>
        </w:rPr>
        <w:t xml:space="preserve"> conjunto de </w:t>
      </w:r>
      <w:r w:rsidR="00886D6A" w:rsidRPr="003A1174">
        <w:rPr>
          <w:rFonts w:ascii="Garamond" w:hAnsi="Garamond" w:cs="Arial"/>
          <w:lang w:val="pt-PT"/>
        </w:rPr>
        <w:t>direito</w:t>
      </w:r>
      <w:r w:rsidRPr="003A1174">
        <w:rPr>
          <w:rFonts w:ascii="Garamond" w:hAnsi="Garamond" w:cs="Arial"/>
          <w:lang w:val="pt-PT"/>
        </w:rPr>
        <w:t xml:space="preserve">s. Por </w:t>
      </w:r>
      <w:r w:rsidR="006F7276" w:rsidRPr="003A1174">
        <w:rPr>
          <w:rFonts w:ascii="Garamond" w:hAnsi="Garamond" w:cs="Arial"/>
          <w:lang w:val="pt-PT"/>
        </w:rPr>
        <w:t>conseguinte</w:t>
      </w:r>
      <w:r w:rsidRPr="003A1174">
        <w:rPr>
          <w:rFonts w:ascii="Garamond" w:hAnsi="Garamond" w:cs="Arial"/>
          <w:lang w:val="pt-PT"/>
        </w:rPr>
        <w:t xml:space="preserve">, </w:t>
      </w:r>
      <w:r w:rsidR="00E150E9" w:rsidRPr="003A1174">
        <w:rPr>
          <w:rFonts w:ascii="Garamond" w:hAnsi="Garamond" w:cs="Arial"/>
          <w:lang w:val="pt-PT"/>
        </w:rPr>
        <w:t xml:space="preserve">sendo o </w:t>
      </w:r>
      <w:r w:rsidR="00886D6A" w:rsidRPr="003A1174">
        <w:rPr>
          <w:rFonts w:ascii="Garamond" w:hAnsi="Garamond" w:cs="Arial"/>
          <w:lang w:val="pt-PT"/>
        </w:rPr>
        <w:t>Acesso</w:t>
      </w:r>
      <w:r w:rsidRPr="003A1174">
        <w:rPr>
          <w:rFonts w:ascii="Garamond" w:hAnsi="Garamond" w:cs="Arial"/>
          <w:lang w:val="pt-PT"/>
        </w:rPr>
        <w:t xml:space="preserve"> </w:t>
      </w:r>
      <w:r w:rsidR="00E150E9" w:rsidRPr="003A1174">
        <w:rPr>
          <w:rFonts w:ascii="Garamond" w:hAnsi="Garamond" w:cs="Arial"/>
          <w:lang w:val="pt-PT"/>
        </w:rPr>
        <w:t xml:space="preserve">à </w:t>
      </w:r>
      <w:r w:rsidR="00FC1F7F" w:rsidRPr="003A1174">
        <w:rPr>
          <w:rFonts w:ascii="Garamond" w:hAnsi="Garamond" w:cs="Arial"/>
          <w:lang w:val="pt-PT"/>
        </w:rPr>
        <w:t>Justiça</w:t>
      </w:r>
      <w:r w:rsidRPr="003A1174">
        <w:rPr>
          <w:rFonts w:ascii="Garamond" w:hAnsi="Garamond" w:cs="Arial"/>
          <w:lang w:val="pt-PT"/>
        </w:rPr>
        <w:t xml:space="preserve"> u</w:t>
      </w:r>
      <w:r w:rsidR="00E150E9" w:rsidRPr="003A1174">
        <w:rPr>
          <w:rFonts w:ascii="Garamond" w:hAnsi="Garamond" w:cs="Arial"/>
          <w:lang w:val="pt-PT"/>
        </w:rPr>
        <w:t>m</w:t>
      </w:r>
      <w:r w:rsidRPr="003A1174">
        <w:rPr>
          <w:rFonts w:ascii="Garamond" w:hAnsi="Garamond" w:cs="Arial"/>
          <w:lang w:val="pt-PT"/>
        </w:rPr>
        <w:t xml:space="preserve"> </w:t>
      </w:r>
      <w:r w:rsidR="00886D6A" w:rsidRPr="003A1174">
        <w:rPr>
          <w:rFonts w:ascii="Garamond" w:hAnsi="Garamond" w:cs="Arial"/>
          <w:lang w:val="pt-PT"/>
        </w:rPr>
        <w:t>direito</w:t>
      </w:r>
      <w:r w:rsidRPr="003A1174">
        <w:rPr>
          <w:rFonts w:ascii="Garamond" w:hAnsi="Garamond" w:cs="Arial"/>
          <w:lang w:val="pt-PT"/>
        </w:rPr>
        <w:t xml:space="preserve"> humano</w:t>
      </w:r>
      <w:r w:rsidR="001905FD" w:rsidRPr="003A1174">
        <w:rPr>
          <w:rFonts w:ascii="Garamond" w:hAnsi="Garamond" w:cs="Arial"/>
          <w:lang w:val="pt-PT"/>
        </w:rPr>
        <w:t>,</w:t>
      </w:r>
      <w:r w:rsidRPr="003A1174">
        <w:rPr>
          <w:rFonts w:ascii="Garamond" w:hAnsi="Garamond" w:cs="Arial"/>
          <w:lang w:val="pt-PT"/>
        </w:rPr>
        <w:t xml:space="preserve"> </w:t>
      </w:r>
      <w:r w:rsidR="00E150E9" w:rsidRPr="003A1174">
        <w:rPr>
          <w:rFonts w:ascii="Garamond" w:hAnsi="Garamond" w:cs="Arial"/>
          <w:lang w:val="pt-PT"/>
        </w:rPr>
        <w:t xml:space="preserve">é </w:t>
      </w:r>
      <w:r w:rsidR="00454353" w:rsidRPr="003A1174">
        <w:rPr>
          <w:rFonts w:ascii="Garamond" w:hAnsi="Garamond" w:cs="Arial"/>
          <w:lang w:val="pt-PT"/>
        </w:rPr>
        <w:t>primordial</w:t>
      </w:r>
      <w:r w:rsidRPr="003A1174">
        <w:rPr>
          <w:rFonts w:ascii="Garamond" w:hAnsi="Garamond" w:cs="Arial"/>
          <w:lang w:val="pt-PT"/>
        </w:rPr>
        <w:t xml:space="preserve"> que se efetiv</w:t>
      </w:r>
      <w:r w:rsidR="00454353" w:rsidRPr="003A1174">
        <w:rPr>
          <w:rFonts w:ascii="Garamond" w:hAnsi="Garamond" w:cs="Arial"/>
          <w:lang w:val="pt-PT"/>
        </w:rPr>
        <w:t xml:space="preserve">e e se </w:t>
      </w:r>
      <w:r w:rsidRPr="003A1174">
        <w:rPr>
          <w:rFonts w:ascii="Garamond" w:hAnsi="Garamond" w:cs="Arial"/>
          <w:lang w:val="pt-PT"/>
        </w:rPr>
        <w:t>materiali</w:t>
      </w:r>
      <w:r w:rsidR="00454353" w:rsidRPr="003A1174">
        <w:rPr>
          <w:rFonts w:ascii="Garamond" w:hAnsi="Garamond" w:cs="Arial"/>
          <w:lang w:val="pt-PT"/>
        </w:rPr>
        <w:t>z</w:t>
      </w:r>
      <w:r w:rsidRPr="003A1174">
        <w:rPr>
          <w:rFonts w:ascii="Garamond" w:hAnsi="Garamond" w:cs="Arial"/>
          <w:lang w:val="pt-PT"/>
        </w:rPr>
        <w:t>e co</w:t>
      </w:r>
      <w:r w:rsidR="00454353" w:rsidRPr="003A1174">
        <w:rPr>
          <w:rFonts w:ascii="Garamond" w:hAnsi="Garamond" w:cs="Arial"/>
          <w:lang w:val="pt-PT"/>
        </w:rPr>
        <w:t xml:space="preserve">m </w:t>
      </w:r>
      <w:r w:rsidRPr="003A1174">
        <w:rPr>
          <w:rFonts w:ascii="Garamond" w:hAnsi="Garamond" w:cs="Arial"/>
          <w:lang w:val="pt-PT"/>
        </w:rPr>
        <w:t xml:space="preserve">a </w:t>
      </w:r>
      <w:r w:rsidR="00CF4C35" w:rsidRPr="003A1174">
        <w:rPr>
          <w:rFonts w:ascii="Garamond" w:hAnsi="Garamond" w:cs="Arial"/>
          <w:lang w:val="pt-PT"/>
        </w:rPr>
        <w:t>Diligência Devida</w:t>
      </w:r>
      <w:r w:rsidRPr="003A1174">
        <w:rPr>
          <w:rFonts w:ascii="Garamond" w:hAnsi="Garamond" w:cs="Arial"/>
          <w:lang w:val="pt-PT"/>
        </w:rPr>
        <w:t xml:space="preserve">, de modo </w:t>
      </w:r>
      <w:r w:rsidR="00E7631C" w:rsidRPr="003A1174">
        <w:rPr>
          <w:rFonts w:ascii="Garamond" w:hAnsi="Garamond" w:cs="Arial"/>
          <w:lang w:val="pt-PT"/>
        </w:rPr>
        <w:t xml:space="preserve">a </w:t>
      </w:r>
      <w:r w:rsidRPr="003A1174">
        <w:rPr>
          <w:rFonts w:ascii="Garamond" w:hAnsi="Garamond" w:cs="Arial"/>
          <w:lang w:val="pt-PT"/>
        </w:rPr>
        <w:t xml:space="preserve">que </w:t>
      </w:r>
      <w:r w:rsidR="00454353" w:rsidRPr="003A1174">
        <w:rPr>
          <w:rFonts w:ascii="Garamond" w:hAnsi="Garamond" w:cs="Arial"/>
          <w:lang w:val="pt-PT"/>
        </w:rPr>
        <w:t xml:space="preserve">na </w:t>
      </w:r>
      <w:r w:rsidR="002C7510" w:rsidRPr="003A1174">
        <w:rPr>
          <w:rFonts w:ascii="Garamond" w:hAnsi="Garamond" w:cs="Arial"/>
          <w:lang w:val="pt-PT"/>
        </w:rPr>
        <w:t>realidade</w:t>
      </w:r>
      <w:r w:rsidR="00454353" w:rsidRPr="003A1174">
        <w:rPr>
          <w:rFonts w:ascii="Garamond" w:hAnsi="Garamond" w:cs="Arial"/>
          <w:lang w:val="pt-PT"/>
        </w:rPr>
        <w:t xml:space="preserve"> concreta aj</w:t>
      </w:r>
      <w:r w:rsidRPr="003A1174">
        <w:rPr>
          <w:rFonts w:ascii="Garamond" w:hAnsi="Garamond" w:cs="Arial"/>
          <w:lang w:val="pt-PT"/>
        </w:rPr>
        <w:t xml:space="preserve">ude a prevenir </w:t>
      </w:r>
      <w:r w:rsidR="00454353" w:rsidRPr="003A1174">
        <w:rPr>
          <w:rFonts w:ascii="Garamond" w:hAnsi="Garamond" w:cs="Arial"/>
          <w:lang w:val="pt-PT"/>
        </w:rPr>
        <w:t>o</w:t>
      </w:r>
      <w:r w:rsidRPr="003A1174">
        <w:rPr>
          <w:rFonts w:ascii="Garamond" w:hAnsi="Garamond" w:cs="Arial"/>
          <w:lang w:val="pt-PT"/>
        </w:rPr>
        <w:t xml:space="preserve">s </w:t>
      </w:r>
      <w:r w:rsidR="007C63D0" w:rsidRPr="003A1174">
        <w:rPr>
          <w:rFonts w:ascii="Garamond" w:hAnsi="Garamond" w:cs="Arial"/>
          <w:lang w:val="pt-PT"/>
        </w:rPr>
        <w:t>comportamento</w:t>
      </w:r>
      <w:r w:rsidRPr="003A1174">
        <w:rPr>
          <w:rFonts w:ascii="Garamond" w:hAnsi="Garamond" w:cs="Arial"/>
          <w:lang w:val="pt-PT"/>
        </w:rPr>
        <w:t xml:space="preserve">s </w:t>
      </w:r>
      <w:r w:rsidR="002D1021" w:rsidRPr="003A1174">
        <w:rPr>
          <w:rFonts w:ascii="Garamond" w:hAnsi="Garamond" w:cs="Arial"/>
          <w:lang w:val="pt-PT"/>
        </w:rPr>
        <w:t>agress</w:t>
      </w:r>
      <w:r w:rsidR="00454353" w:rsidRPr="003A1174">
        <w:rPr>
          <w:rFonts w:ascii="Garamond" w:hAnsi="Garamond" w:cs="Arial"/>
          <w:lang w:val="pt-PT"/>
        </w:rPr>
        <w:t xml:space="preserve">ivos contra </w:t>
      </w:r>
      <w:r w:rsidRPr="003A1174">
        <w:rPr>
          <w:rFonts w:ascii="Garamond" w:hAnsi="Garamond" w:cs="Arial"/>
          <w:lang w:val="pt-PT"/>
        </w:rPr>
        <w:t xml:space="preserve">as </w:t>
      </w:r>
      <w:r w:rsidR="00054EE0" w:rsidRPr="003A1174">
        <w:rPr>
          <w:rFonts w:ascii="Garamond" w:hAnsi="Garamond" w:cs="Arial"/>
          <w:lang w:val="pt-PT"/>
        </w:rPr>
        <w:t>mulheres</w:t>
      </w:r>
      <w:r w:rsidRPr="003A1174">
        <w:rPr>
          <w:rFonts w:ascii="Garamond" w:hAnsi="Garamond" w:cs="Arial"/>
          <w:lang w:val="pt-PT"/>
        </w:rPr>
        <w:t xml:space="preserve">, </w:t>
      </w:r>
      <w:r w:rsidR="00454353" w:rsidRPr="003A1174">
        <w:rPr>
          <w:rFonts w:ascii="Garamond" w:hAnsi="Garamond" w:cs="Arial"/>
          <w:lang w:val="pt-PT"/>
        </w:rPr>
        <w:t xml:space="preserve">sendo assim um </w:t>
      </w:r>
      <w:r w:rsidRPr="003A1174">
        <w:rPr>
          <w:rFonts w:ascii="Garamond" w:hAnsi="Garamond" w:cs="Arial"/>
          <w:lang w:val="pt-PT"/>
        </w:rPr>
        <w:t xml:space="preserve">elemento de </w:t>
      </w:r>
      <w:r w:rsidR="00454353" w:rsidRPr="003A1174">
        <w:rPr>
          <w:rFonts w:ascii="Garamond" w:hAnsi="Garamond" w:cs="Arial"/>
          <w:lang w:val="pt-PT"/>
        </w:rPr>
        <w:t xml:space="preserve">importância </w:t>
      </w:r>
      <w:r w:rsidRPr="003A1174">
        <w:rPr>
          <w:rFonts w:ascii="Garamond" w:hAnsi="Garamond" w:cs="Arial"/>
          <w:lang w:val="pt-PT"/>
        </w:rPr>
        <w:t xml:space="preserve">significativa para investigar, </w:t>
      </w:r>
      <w:r w:rsidR="00454353" w:rsidRPr="003A1174">
        <w:rPr>
          <w:rFonts w:ascii="Garamond" w:hAnsi="Garamond" w:cs="Arial"/>
          <w:lang w:val="pt-PT"/>
        </w:rPr>
        <w:t>processar e</w:t>
      </w:r>
      <w:r w:rsidRPr="003A1174">
        <w:rPr>
          <w:rFonts w:ascii="Garamond" w:hAnsi="Garamond" w:cs="Arial"/>
          <w:lang w:val="pt-PT"/>
        </w:rPr>
        <w:t xml:space="preserve"> </w:t>
      </w:r>
      <w:r w:rsidR="003F493C" w:rsidRPr="003A1174">
        <w:rPr>
          <w:rFonts w:ascii="Garamond" w:hAnsi="Garamond" w:cs="Arial"/>
          <w:lang w:val="pt-PT"/>
        </w:rPr>
        <w:t>punir</w:t>
      </w:r>
      <w:r w:rsidRPr="003A1174">
        <w:rPr>
          <w:rFonts w:ascii="Garamond" w:hAnsi="Garamond" w:cs="Arial"/>
          <w:lang w:val="pt-PT"/>
        </w:rPr>
        <w:t xml:space="preserve"> os </w:t>
      </w:r>
      <w:r w:rsidR="002D1021" w:rsidRPr="003A1174">
        <w:rPr>
          <w:rFonts w:ascii="Garamond" w:hAnsi="Garamond" w:cs="Arial"/>
          <w:lang w:val="pt-PT"/>
        </w:rPr>
        <w:t>agressor</w:t>
      </w:r>
      <w:r w:rsidRPr="003A1174">
        <w:rPr>
          <w:rFonts w:ascii="Garamond" w:hAnsi="Garamond" w:cs="Arial"/>
          <w:lang w:val="pt-PT"/>
        </w:rPr>
        <w:t>es, o</w:t>
      </w:r>
      <w:r w:rsidR="00454353" w:rsidRPr="003A1174">
        <w:rPr>
          <w:rFonts w:ascii="Garamond" w:hAnsi="Garamond" w:cs="Arial"/>
          <w:lang w:val="pt-PT"/>
        </w:rPr>
        <w:t>u</w:t>
      </w:r>
      <w:r w:rsidRPr="003A1174">
        <w:rPr>
          <w:rFonts w:ascii="Garamond" w:hAnsi="Garamond" w:cs="Arial"/>
          <w:lang w:val="pt-PT"/>
        </w:rPr>
        <w:t xml:space="preserve"> </w:t>
      </w:r>
      <w:r w:rsidR="00330151">
        <w:rPr>
          <w:rFonts w:ascii="Garamond" w:hAnsi="Garamond" w:cs="Arial"/>
          <w:lang w:val="pt-PT"/>
        </w:rPr>
        <w:t>-</w:t>
      </w:r>
      <w:r w:rsidR="00454353" w:rsidRPr="003A1174">
        <w:rPr>
          <w:rFonts w:ascii="Garamond" w:hAnsi="Garamond" w:cs="Arial"/>
          <w:lang w:val="pt-PT"/>
        </w:rPr>
        <w:t xml:space="preserve"> </w:t>
      </w:r>
      <w:r w:rsidRPr="003A1174">
        <w:rPr>
          <w:rFonts w:ascii="Garamond" w:hAnsi="Garamond" w:cs="Arial"/>
          <w:lang w:val="pt-PT"/>
        </w:rPr>
        <w:t>s</w:t>
      </w:r>
      <w:r w:rsidR="00454353" w:rsidRPr="003A1174">
        <w:rPr>
          <w:rFonts w:ascii="Garamond" w:hAnsi="Garamond" w:cs="Arial"/>
          <w:lang w:val="pt-PT"/>
        </w:rPr>
        <w:t xml:space="preserve">e preferirmos </w:t>
      </w:r>
      <w:r w:rsidR="00330151">
        <w:rPr>
          <w:rFonts w:ascii="Garamond" w:hAnsi="Garamond" w:cs="Arial"/>
          <w:lang w:val="pt-PT"/>
        </w:rPr>
        <w:t>-</w:t>
      </w:r>
      <w:r w:rsidR="00454353" w:rsidRPr="003A1174">
        <w:rPr>
          <w:rFonts w:ascii="Garamond" w:hAnsi="Garamond" w:cs="Arial"/>
          <w:lang w:val="pt-PT"/>
        </w:rPr>
        <w:t xml:space="preserve"> um</w:t>
      </w:r>
      <w:r w:rsidRPr="003A1174">
        <w:rPr>
          <w:rFonts w:ascii="Garamond" w:hAnsi="Garamond" w:cs="Arial"/>
          <w:lang w:val="pt-PT"/>
        </w:rPr>
        <w:t xml:space="preserve">a forma relevante de </w:t>
      </w:r>
      <w:r w:rsidR="00454353" w:rsidRPr="003A1174">
        <w:rPr>
          <w:rFonts w:ascii="Garamond" w:hAnsi="Garamond" w:cs="Arial"/>
          <w:lang w:val="pt-PT"/>
        </w:rPr>
        <w:t xml:space="preserve">efetivação da </w:t>
      </w:r>
      <w:r w:rsidR="00CF4C35" w:rsidRPr="003A1174">
        <w:rPr>
          <w:rFonts w:ascii="Garamond" w:hAnsi="Garamond" w:cs="Arial"/>
          <w:lang w:val="pt-PT"/>
        </w:rPr>
        <w:t>Diligência Devida</w:t>
      </w:r>
      <w:r w:rsidRPr="003A1174">
        <w:rPr>
          <w:rFonts w:ascii="Garamond" w:hAnsi="Garamond" w:cs="Arial"/>
          <w:lang w:val="pt-PT"/>
        </w:rPr>
        <w:t xml:space="preserve">. </w:t>
      </w:r>
    </w:p>
    <w:p w:rsidR="00A132B3" w:rsidRPr="003A1174" w:rsidRDefault="00055E2D" w:rsidP="008719D4">
      <w:pPr>
        <w:pStyle w:val="Ttulo3"/>
        <w:spacing w:line="240" w:lineRule="auto"/>
        <w:rPr>
          <w:rStyle w:val="Ttulo2Car"/>
          <w:rFonts w:ascii="Garamond" w:hAnsi="Garamond"/>
          <w:b/>
          <w:bCs/>
          <w:sz w:val="24"/>
          <w:szCs w:val="24"/>
        </w:rPr>
      </w:pPr>
      <w:bookmarkStart w:id="9" w:name="_Toc421529697"/>
      <w:r w:rsidRPr="003A1174">
        <w:rPr>
          <w:rFonts w:ascii="Garamond" w:hAnsi="Garamond" w:cs="Arial"/>
          <w:sz w:val="24"/>
          <w:szCs w:val="24"/>
        </w:rPr>
        <w:t xml:space="preserve">1.4.1 </w:t>
      </w:r>
      <w:r w:rsidRPr="003A1174">
        <w:rPr>
          <w:rFonts w:ascii="Garamond" w:hAnsi="Garamond" w:cs="Arial"/>
          <w:sz w:val="24"/>
          <w:szCs w:val="24"/>
        </w:rPr>
        <w:tab/>
      </w:r>
      <w:r w:rsidR="00454353" w:rsidRPr="003A1174">
        <w:rPr>
          <w:rFonts w:ascii="Garamond" w:hAnsi="Garamond" w:cs="Arial"/>
          <w:sz w:val="24"/>
          <w:szCs w:val="24"/>
        </w:rPr>
        <w:t xml:space="preserve">O </w:t>
      </w:r>
      <w:r w:rsidR="00AF192F" w:rsidRPr="003A1174">
        <w:rPr>
          <w:rStyle w:val="Ttulo2Car"/>
          <w:rFonts w:ascii="Garamond" w:hAnsi="Garamond"/>
          <w:b/>
          <w:sz w:val="24"/>
          <w:szCs w:val="24"/>
        </w:rPr>
        <w:t>conceito</w:t>
      </w:r>
      <w:r w:rsidR="00A132B3" w:rsidRPr="003A1174">
        <w:rPr>
          <w:rStyle w:val="Ttulo2Car"/>
          <w:rFonts w:ascii="Garamond" w:hAnsi="Garamond"/>
          <w:b/>
          <w:sz w:val="24"/>
          <w:szCs w:val="24"/>
        </w:rPr>
        <w:t xml:space="preserve"> de </w:t>
      </w:r>
      <w:r w:rsidR="00886D6A" w:rsidRPr="003A1174">
        <w:rPr>
          <w:rStyle w:val="Ttulo2Car"/>
          <w:rFonts w:ascii="Garamond" w:hAnsi="Garamond"/>
          <w:b/>
          <w:sz w:val="24"/>
          <w:szCs w:val="24"/>
        </w:rPr>
        <w:t>Acesso</w:t>
      </w:r>
      <w:r w:rsidR="00A132B3" w:rsidRPr="003A1174">
        <w:rPr>
          <w:rStyle w:val="Ttulo2Car"/>
          <w:rFonts w:ascii="Garamond" w:hAnsi="Garamond"/>
          <w:b/>
          <w:sz w:val="24"/>
          <w:szCs w:val="24"/>
        </w:rPr>
        <w:t xml:space="preserve"> </w:t>
      </w:r>
      <w:r w:rsidR="00454353" w:rsidRPr="003A1174">
        <w:rPr>
          <w:rStyle w:val="Ttulo2Car"/>
          <w:rFonts w:ascii="Garamond" w:hAnsi="Garamond"/>
          <w:b/>
          <w:sz w:val="24"/>
          <w:szCs w:val="24"/>
        </w:rPr>
        <w:t xml:space="preserve">à </w:t>
      </w:r>
      <w:r w:rsidR="00FC1F7F" w:rsidRPr="003A1174">
        <w:rPr>
          <w:rStyle w:val="Ttulo2Car"/>
          <w:rFonts w:ascii="Garamond" w:hAnsi="Garamond"/>
          <w:b/>
          <w:sz w:val="24"/>
          <w:szCs w:val="24"/>
        </w:rPr>
        <w:t>Justiça</w:t>
      </w:r>
      <w:bookmarkEnd w:id="9"/>
    </w:p>
    <w:p w:rsidR="00A132B3" w:rsidRPr="003A1174" w:rsidRDefault="00454353" w:rsidP="008719D4">
      <w:pPr>
        <w:pStyle w:val="NormalWeb"/>
        <w:spacing w:before="240" w:beforeAutospacing="0" w:after="45"/>
        <w:ind w:left="75" w:right="75"/>
        <w:jc w:val="both"/>
        <w:rPr>
          <w:rFonts w:ascii="Garamond" w:hAnsi="Garamond" w:cs="Arial"/>
          <w:lang w:val="pt-PT"/>
        </w:rPr>
      </w:pPr>
      <w:r w:rsidRPr="003A1174">
        <w:rPr>
          <w:rFonts w:ascii="Garamond" w:hAnsi="Garamond" w:cs="Arial"/>
          <w:lang w:val="pt-PT"/>
        </w:rPr>
        <w:t xml:space="preserve">É </w:t>
      </w:r>
      <w:r w:rsidR="00DE5AF4" w:rsidRPr="003A1174">
        <w:rPr>
          <w:rFonts w:ascii="Garamond" w:hAnsi="Garamond" w:cs="Arial"/>
          <w:lang w:val="pt-PT"/>
        </w:rPr>
        <w:t>possível</w:t>
      </w:r>
      <w:r w:rsidRPr="003A1174">
        <w:rPr>
          <w:rFonts w:ascii="Garamond" w:hAnsi="Garamond" w:cs="Arial"/>
          <w:lang w:val="pt-PT"/>
        </w:rPr>
        <w:t xml:space="preserve"> que</w:t>
      </w:r>
      <w:r w:rsidR="00330151">
        <w:rPr>
          <w:rFonts w:ascii="Garamond" w:hAnsi="Garamond" w:cs="Arial"/>
          <w:lang w:val="pt-PT"/>
        </w:rPr>
        <w:t>,</w:t>
      </w:r>
      <w:r w:rsidRPr="003A1174">
        <w:rPr>
          <w:rFonts w:ascii="Garamond" w:hAnsi="Garamond" w:cs="Arial"/>
          <w:lang w:val="pt-PT"/>
        </w:rPr>
        <w:t xml:space="preserve"> </w:t>
      </w:r>
      <w:r w:rsidR="00A132B3" w:rsidRPr="003A1174">
        <w:rPr>
          <w:rFonts w:ascii="Garamond" w:hAnsi="Garamond" w:cs="Arial"/>
          <w:lang w:val="pt-PT"/>
        </w:rPr>
        <w:t xml:space="preserve">a </w:t>
      </w:r>
      <w:r w:rsidR="00330151">
        <w:rPr>
          <w:rFonts w:ascii="Garamond" w:hAnsi="Garamond" w:cs="Arial"/>
          <w:lang w:val="pt-PT"/>
        </w:rPr>
        <w:t xml:space="preserve">aplicação </w:t>
      </w:r>
      <w:r w:rsidR="00A132B3" w:rsidRPr="003A1174">
        <w:rPr>
          <w:rFonts w:ascii="Garamond" w:hAnsi="Garamond" w:cs="Arial"/>
          <w:lang w:val="pt-PT"/>
        </w:rPr>
        <w:t>o</w:t>
      </w:r>
      <w:r w:rsidRPr="003A1174">
        <w:rPr>
          <w:rFonts w:ascii="Garamond" w:hAnsi="Garamond" w:cs="Arial"/>
          <w:lang w:val="pt-PT"/>
        </w:rPr>
        <w:t>u</w:t>
      </w:r>
      <w:r w:rsidR="00A132B3" w:rsidRPr="003A1174">
        <w:rPr>
          <w:rFonts w:ascii="Garamond" w:hAnsi="Garamond" w:cs="Arial"/>
          <w:lang w:val="pt-PT"/>
        </w:rPr>
        <w:t xml:space="preserve"> </w:t>
      </w:r>
      <w:r w:rsidRPr="003A1174">
        <w:rPr>
          <w:rFonts w:ascii="Garamond" w:hAnsi="Garamond" w:cs="Arial"/>
          <w:lang w:val="pt-PT"/>
        </w:rPr>
        <w:t>eficácia</w:t>
      </w:r>
      <w:r w:rsidR="00A132B3" w:rsidRPr="003A1174">
        <w:rPr>
          <w:rFonts w:ascii="Garamond" w:hAnsi="Garamond" w:cs="Arial"/>
          <w:lang w:val="pt-PT"/>
        </w:rPr>
        <w:t xml:space="preserve"> </w:t>
      </w:r>
      <w:r w:rsidRPr="003A1174">
        <w:rPr>
          <w:rFonts w:ascii="Garamond" w:hAnsi="Garamond" w:cs="Arial"/>
          <w:lang w:val="pt-PT"/>
        </w:rPr>
        <w:t>d</w:t>
      </w:r>
      <w:r w:rsidR="00A132B3" w:rsidRPr="003A1174">
        <w:rPr>
          <w:rFonts w:ascii="Garamond" w:hAnsi="Garamond" w:cs="Arial"/>
          <w:lang w:val="pt-PT"/>
        </w:rPr>
        <w:t xml:space="preserve">este </w:t>
      </w:r>
      <w:r w:rsidR="00886D6A" w:rsidRPr="003A1174">
        <w:rPr>
          <w:rFonts w:ascii="Garamond" w:hAnsi="Garamond" w:cs="Arial"/>
          <w:lang w:val="pt-PT"/>
        </w:rPr>
        <w:t>direito</w:t>
      </w:r>
      <w:r w:rsidR="00A132B3" w:rsidRPr="003A1174">
        <w:rPr>
          <w:rFonts w:ascii="Garamond" w:hAnsi="Garamond" w:cs="Arial"/>
          <w:lang w:val="pt-PT"/>
        </w:rPr>
        <w:t xml:space="preserve"> humano</w:t>
      </w:r>
      <w:r w:rsidR="00330151">
        <w:rPr>
          <w:rFonts w:ascii="Garamond" w:hAnsi="Garamond" w:cs="Arial"/>
          <w:lang w:val="pt-PT"/>
        </w:rPr>
        <w:t>,</w:t>
      </w:r>
      <w:r w:rsidR="00A132B3" w:rsidRPr="003A1174">
        <w:rPr>
          <w:rFonts w:ascii="Garamond" w:hAnsi="Garamond" w:cs="Arial"/>
          <w:lang w:val="pt-PT"/>
        </w:rPr>
        <w:t xml:space="preserve"> se</w:t>
      </w:r>
      <w:r w:rsidRPr="003A1174">
        <w:rPr>
          <w:rFonts w:ascii="Garamond" w:hAnsi="Garamond" w:cs="Arial"/>
          <w:lang w:val="pt-PT"/>
        </w:rPr>
        <w:t>ja entendida</w:t>
      </w:r>
      <w:r w:rsidR="00330151">
        <w:rPr>
          <w:rFonts w:ascii="Garamond" w:hAnsi="Garamond" w:cs="Arial"/>
          <w:lang w:val="pt-PT"/>
        </w:rPr>
        <w:t>,</w:t>
      </w:r>
      <w:r w:rsidRPr="003A1174">
        <w:rPr>
          <w:rFonts w:ascii="Garamond" w:hAnsi="Garamond" w:cs="Arial"/>
          <w:lang w:val="pt-PT"/>
        </w:rPr>
        <w:t xml:space="preserve"> centralmente</w:t>
      </w:r>
      <w:r w:rsidR="00330151">
        <w:rPr>
          <w:rFonts w:ascii="Garamond" w:hAnsi="Garamond" w:cs="Arial"/>
          <w:lang w:val="pt-PT"/>
        </w:rPr>
        <w:t>,</w:t>
      </w:r>
      <w:r w:rsidRPr="003A1174">
        <w:rPr>
          <w:rFonts w:ascii="Garamond" w:hAnsi="Garamond" w:cs="Arial"/>
          <w:lang w:val="pt-PT"/>
        </w:rPr>
        <w:t xml:space="preserve"> como </w:t>
      </w:r>
      <w:r w:rsidR="00330151">
        <w:rPr>
          <w:rFonts w:ascii="Garamond" w:hAnsi="Garamond" w:cs="Arial"/>
          <w:lang w:val="pt-PT"/>
        </w:rPr>
        <w:t>um</w:t>
      </w:r>
      <w:r w:rsidR="00A132B3" w:rsidRPr="003A1174">
        <w:rPr>
          <w:rFonts w:ascii="Garamond" w:hAnsi="Garamond" w:cs="Arial"/>
          <w:lang w:val="pt-PT"/>
        </w:rPr>
        <w:t xml:space="preserve">a mera </w:t>
      </w:r>
      <w:r w:rsidR="00E7631C" w:rsidRPr="003A1174">
        <w:rPr>
          <w:rFonts w:ascii="Garamond" w:hAnsi="Garamond" w:cs="Arial"/>
          <w:lang w:val="pt-PT"/>
        </w:rPr>
        <w:t>função</w:t>
      </w:r>
      <w:r w:rsidR="001905FD" w:rsidRPr="003A1174">
        <w:rPr>
          <w:rFonts w:ascii="Garamond" w:hAnsi="Garamond" w:cs="Arial"/>
          <w:lang w:val="pt-PT"/>
        </w:rPr>
        <w:t xml:space="preserve"> </w:t>
      </w:r>
      <w:r w:rsidR="00A132B3" w:rsidRPr="003A1174">
        <w:rPr>
          <w:rFonts w:ascii="Garamond" w:hAnsi="Garamond" w:cs="Arial"/>
          <w:lang w:val="pt-PT"/>
        </w:rPr>
        <w:t>por</w:t>
      </w:r>
      <w:r w:rsidRPr="003A1174">
        <w:rPr>
          <w:rFonts w:ascii="Garamond" w:hAnsi="Garamond" w:cs="Arial"/>
          <w:lang w:val="pt-PT"/>
        </w:rPr>
        <w:t xml:space="preserve"> parte do </w:t>
      </w:r>
      <w:r w:rsidR="00A132B3" w:rsidRPr="003A1174">
        <w:rPr>
          <w:rFonts w:ascii="Garamond" w:hAnsi="Garamond" w:cs="Arial"/>
          <w:lang w:val="pt-PT"/>
        </w:rPr>
        <w:t>Estado de u</w:t>
      </w:r>
      <w:r w:rsidRPr="003A1174">
        <w:rPr>
          <w:rFonts w:ascii="Garamond" w:hAnsi="Garamond" w:cs="Arial"/>
          <w:lang w:val="pt-PT"/>
        </w:rPr>
        <w:t>m</w:t>
      </w:r>
      <w:r w:rsidR="00A132B3" w:rsidRPr="003A1174">
        <w:rPr>
          <w:rFonts w:ascii="Garamond" w:hAnsi="Garamond" w:cs="Arial"/>
          <w:lang w:val="pt-PT"/>
        </w:rPr>
        <w:t xml:space="preserve"> número </w:t>
      </w:r>
      <w:r w:rsidRPr="003A1174">
        <w:rPr>
          <w:rFonts w:ascii="Garamond" w:hAnsi="Garamond" w:cs="Arial"/>
          <w:lang w:val="pt-PT"/>
        </w:rPr>
        <w:t>considerável</w:t>
      </w:r>
      <w:r w:rsidR="00A132B3" w:rsidRPr="003A1174">
        <w:rPr>
          <w:rFonts w:ascii="Garamond" w:hAnsi="Garamond" w:cs="Arial"/>
          <w:lang w:val="pt-PT"/>
        </w:rPr>
        <w:t xml:space="preserve"> de </w:t>
      </w:r>
      <w:r w:rsidR="00330151">
        <w:rPr>
          <w:rFonts w:ascii="Garamond" w:hAnsi="Garamond" w:cs="Arial"/>
          <w:lang w:val="pt-PT"/>
        </w:rPr>
        <w:t>t</w:t>
      </w:r>
      <w:r w:rsidR="002470B1" w:rsidRPr="003A1174">
        <w:rPr>
          <w:rFonts w:ascii="Garamond" w:hAnsi="Garamond" w:cs="Arial"/>
          <w:lang w:val="pt-PT"/>
        </w:rPr>
        <w:t>ribunais</w:t>
      </w:r>
      <w:r w:rsidRPr="003A1174">
        <w:rPr>
          <w:rFonts w:ascii="Garamond" w:hAnsi="Garamond" w:cs="Arial"/>
          <w:lang w:val="pt-PT"/>
        </w:rPr>
        <w:t xml:space="preserve"> e</w:t>
      </w:r>
      <w:r w:rsidR="00A132B3" w:rsidRPr="003A1174">
        <w:rPr>
          <w:rFonts w:ascii="Garamond" w:hAnsi="Garamond" w:cs="Arial"/>
          <w:lang w:val="pt-PT"/>
        </w:rPr>
        <w:t xml:space="preserve"> </w:t>
      </w:r>
      <w:r w:rsidR="00FB09CA" w:rsidRPr="003A1174">
        <w:rPr>
          <w:rFonts w:ascii="Garamond" w:hAnsi="Garamond" w:cs="Arial"/>
          <w:lang w:val="pt-PT"/>
        </w:rPr>
        <w:t>tribunais</w:t>
      </w:r>
      <w:r w:rsidR="00A132B3" w:rsidRPr="003A1174">
        <w:rPr>
          <w:rFonts w:ascii="Garamond" w:hAnsi="Garamond" w:cs="Arial"/>
          <w:lang w:val="pt-PT"/>
        </w:rPr>
        <w:t xml:space="preserve"> de </w:t>
      </w:r>
      <w:r w:rsidR="00FC1F7F" w:rsidRPr="003A1174">
        <w:rPr>
          <w:rFonts w:ascii="Garamond" w:hAnsi="Garamond" w:cs="Arial"/>
          <w:lang w:val="pt-PT"/>
        </w:rPr>
        <w:t>justiça</w:t>
      </w:r>
      <w:r w:rsidRPr="003A1174">
        <w:rPr>
          <w:rFonts w:ascii="Garamond" w:hAnsi="Garamond" w:cs="Arial"/>
          <w:lang w:val="pt-PT"/>
        </w:rPr>
        <w:t xml:space="preserve">, para </w:t>
      </w:r>
      <w:r w:rsidR="00A132B3" w:rsidRPr="003A1174">
        <w:rPr>
          <w:rFonts w:ascii="Garamond" w:hAnsi="Garamond" w:cs="Arial"/>
          <w:lang w:val="pt-PT"/>
        </w:rPr>
        <w:t xml:space="preserve">a </w:t>
      </w:r>
      <w:r w:rsidRPr="003A1174">
        <w:rPr>
          <w:rFonts w:ascii="Garamond" w:hAnsi="Garamond" w:cs="Arial"/>
          <w:lang w:val="pt-PT"/>
        </w:rPr>
        <w:t>solução</w:t>
      </w:r>
      <w:r w:rsidR="00A132B3" w:rsidRPr="003A1174">
        <w:rPr>
          <w:rFonts w:ascii="Garamond" w:hAnsi="Garamond" w:cs="Arial"/>
          <w:lang w:val="pt-PT"/>
        </w:rPr>
        <w:t xml:space="preserve"> o</w:t>
      </w:r>
      <w:r w:rsidRPr="003A1174">
        <w:rPr>
          <w:rFonts w:ascii="Garamond" w:hAnsi="Garamond" w:cs="Arial"/>
          <w:lang w:val="pt-PT"/>
        </w:rPr>
        <w:t>u</w:t>
      </w:r>
      <w:r w:rsidR="00A132B3" w:rsidRPr="003A1174">
        <w:rPr>
          <w:rFonts w:ascii="Garamond" w:hAnsi="Garamond" w:cs="Arial"/>
          <w:lang w:val="pt-PT"/>
        </w:rPr>
        <w:t xml:space="preserve"> </w:t>
      </w:r>
      <w:r w:rsidR="00E150E9" w:rsidRPr="003A1174">
        <w:rPr>
          <w:rFonts w:ascii="Garamond" w:hAnsi="Garamond" w:cs="Arial"/>
          <w:lang w:val="pt-PT"/>
        </w:rPr>
        <w:t>decisão</w:t>
      </w:r>
      <w:r w:rsidRPr="003A1174">
        <w:rPr>
          <w:rFonts w:ascii="Garamond" w:hAnsi="Garamond" w:cs="Arial"/>
          <w:lang w:val="pt-PT"/>
        </w:rPr>
        <w:t xml:space="preserve"> sobre </w:t>
      </w:r>
      <w:r w:rsidR="00A132B3" w:rsidRPr="003A1174">
        <w:rPr>
          <w:rFonts w:ascii="Garamond" w:hAnsi="Garamond" w:cs="Arial"/>
          <w:lang w:val="pt-PT"/>
        </w:rPr>
        <w:t xml:space="preserve">as </w:t>
      </w:r>
      <w:r w:rsidRPr="003A1174">
        <w:rPr>
          <w:rFonts w:ascii="Garamond" w:hAnsi="Garamond" w:cs="Arial"/>
          <w:lang w:val="pt-PT"/>
        </w:rPr>
        <w:t>controvérsias</w:t>
      </w:r>
      <w:r w:rsidR="00A132B3" w:rsidRPr="003A1174">
        <w:rPr>
          <w:rFonts w:ascii="Garamond" w:hAnsi="Garamond" w:cs="Arial"/>
          <w:lang w:val="pt-PT"/>
        </w:rPr>
        <w:t xml:space="preserve"> que se </w:t>
      </w:r>
      <w:r w:rsidR="00E7631C" w:rsidRPr="003A1174">
        <w:rPr>
          <w:rFonts w:ascii="Garamond" w:hAnsi="Garamond" w:cs="Arial"/>
          <w:lang w:val="pt-PT"/>
        </w:rPr>
        <w:t>apresentarem</w:t>
      </w:r>
      <w:r w:rsidR="00A132B3" w:rsidRPr="003A1174">
        <w:rPr>
          <w:rFonts w:ascii="Garamond" w:hAnsi="Garamond" w:cs="Arial"/>
          <w:lang w:val="pt-PT"/>
        </w:rPr>
        <w:t>.</w:t>
      </w:r>
    </w:p>
    <w:p w:rsidR="00A132B3" w:rsidRPr="003A1174" w:rsidRDefault="00A132B3" w:rsidP="008719D4">
      <w:pPr>
        <w:pStyle w:val="NormalWeb"/>
        <w:spacing w:before="90" w:beforeAutospacing="0" w:after="45"/>
        <w:ind w:left="75" w:right="75"/>
        <w:jc w:val="both"/>
        <w:rPr>
          <w:rFonts w:ascii="Garamond" w:hAnsi="Garamond" w:cs="Arial"/>
          <w:lang w:val="pt-PT"/>
        </w:rPr>
      </w:pPr>
      <w:r w:rsidRPr="003A1174">
        <w:rPr>
          <w:rFonts w:ascii="Garamond" w:hAnsi="Garamond" w:cs="Arial"/>
          <w:lang w:val="pt-PT"/>
        </w:rPr>
        <w:t>N</w:t>
      </w:r>
      <w:r w:rsidR="00454353" w:rsidRPr="003A1174">
        <w:rPr>
          <w:rFonts w:ascii="Garamond" w:hAnsi="Garamond" w:cs="Arial"/>
          <w:lang w:val="pt-PT"/>
        </w:rPr>
        <w:t>ã</w:t>
      </w:r>
      <w:r w:rsidRPr="003A1174">
        <w:rPr>
          <w:rFonts w:ascii="Garamond" w:hAnsi="Garamond" w:cs="Arial"/>
          <w:lang w:val="pt-PT"/>
        </w:rPr>
        <w:t xml:space="preserve">o </w:t>
      </w:r>
      <w:r w:rsidR="00454353" w:rsidRPr="003A1174">
        <w:rPr>
          <w:rFonts w:ascii="Garamond" w:hAnsi="Garamond" w:cs="Arial"/>
          <w:lang w:val="pt-PT"/>
        </w:rPr>
        <w:t xml:space="preserve">é para desprezar </w:t>
      </w:r>
      <w:r w:rsidRPr="003A1174">
        <w:rPr>
          <w:rFonts w:ascii="Garamond" w:hAnsi="Garamond" w:cs="Arial"/>
          <w:lang w:val="pt-PT"/>
        </w:rPr>
        <w:t xml:space="preserve">este </w:t>
      </w:r>
      <w:r w:rsidR="00454353" w:rsidRPr="003A1174">
        <w:rPr>
          <w:rFonts w:ascii="Garamond" w:hAnsi="Garamond" w:cs="Arial"/>
          <w:lang w:val="pt-PT"/>
        </w:rPr>
        <w:t xml:space="preserve">conceito, ainda que ele se mostre </w:t>
      </w:r>
      <w:r w:rsidRPr="003A1174">
        <w:rPr>
          <w:rFonts w:ascii="Garamond" w:hAnsi="Garamond" w:cs="Arial"/>
          <w:lang w:val="pt-PT"/>
        </w:rPr>
        <w:t xml:space="preserve">insuficiente. </w:t>
      </w:r>
      <w:r w:rsidR="00454353" w:rsidRPr="003A1174">
        <w:rPr>
          <w:rFonts w:ascii="Garamond" w:hAnsi="Garamond" w:cs="Arial"/>
          <w:lang w:val="pt-PT"/>
        </w:rPr>
        <w:t xml:space="preserve">A </w:t>
      </w:r>
      <w:r w:rsidR="006F7276" w:rsidRPr="003A1174">
        <w:rPr>
          <w:rFonts w:ascii="Garamond" w:hAnsi="Garamond" w:cs="Arial"/>
          <w:lang w:val="pt-PT"/>
        </w:rPr>
        <w:t>infraestrutura</w:t>
      </w:r>
      <w:r w:rsidRPr="003A1174">
        <w:rPr>
          <w:rFonts w:ascii="Garamond" w:hAnsi="Garamond" w:cs="Arial"/>
          <w:lang w:val="pt-PT"/>
        </w:rPr>
        <w:t xml:space="preserve"> </w:t>
      </w:r>
      <w:r w:rsidR="00454353" w:rsidRPr="003A1174">
        <w:rPr>
          <w:rFonts w:ascii="Garamond" w:hAnsi="Garamond" w:cs="Arial"/>
          <w:lang w:val="pt-PT"/>
        </w:rPr>
        <w:t xml:space="preserve">e </w:t>
      </w:r>
      <w:r w:rsidR="001905FD" w:rsidRPr="003A1174">
        <w:rPr>
          <w:rFonts w:ascii="Garamond" w:hAnsi="Garamond" w:cs="Arial"/>
          <w:lang w:val="pt-PT"/>
        </w:rPr>
        <w:t xml:space="preserve">os </w:t>
      </w:r>
      <w:r w:rsidRPr="003A1174">
        <w:rPr>
          <w:rFonts w:ascii="Garamond" w:hAnsi="Garamond" w:cs="Arial"/>
          <w:lang w:val="pt-PT"/>
        </w:rPr>
        <w:t xml:space="preserve">recursos humanos </w:t>
      </w:r>
      <w:r w:rsidR="00454353" w:rsidRPr="003A1174">
        <w:rPr>
          <w:rFonts w:ascii="Garamond" w:hAnsi="Garamond" w:cs="Arial"/>
          <w:lang w:val="pt-PT"/>
        </w:rPr>
        <w:t xml:space="preserve">são </w:t>
      </w:r>
      <w:r w:rsidR="00AC3351" w:rsidRPr="003A1174">
        <w:rPr>
          <w:rFonts w:ascii="Garamond" w:hAnsi="Garamond" w:cs="Arial"/>
          <w:lang w:val="pt-PT"/>
        </w:rPr>
        <w:t>fatores</w:t>
      </w:r>
      <w:r w:rsidR="00330151">
        <w:rPr>
          <w:rFonts w:ascii="Garamond" w:hAnsi="Garamond" w:cs="Arial"/>
          <w:lang w:val="pt-PT"/>
        </w:rPr>
        <w:t>,</w:t>
      </w:r>
      <w:r w:rsidR="00454353" w:rsidRPr="003A1174">
        <w:rPr>
          <w:rFonts w:ascii="Garamond" w:hAnsi="Garamond" w:cs="Arial"/>
          <w:lang w:val="pt-PT"/>
        </w:rPr>
        <w:t xml:space="preserve"> predominantemente</w:t>
      </w:r>
      <w:r w:rsidR="00330151">
        <w:rPr>
          <w:rFonts w:ascii="Garamond" w:hAnsi="Garamond" w:cs="Arial"/>
          <w:lang w:val="pt-PT"/>
        </w:rPr>
        <w:t>,</w:t>
      </w:r>
      <w:r w:rsidR="00454353" w:rsidRPr="003A1174">
        <w:rPr>
          <w:rFonts w:ascii="Garamond" w:hAnsi="Garamond" w:cs="Arial"/>
          <w:lang w:val="pt-PT"/>
        </w:rPr>
        <w:t xml:space="preserve"> q</w:t>
      </w:r>
      <w:r w:rsidRPr="003A1174">
        <w:rPr>
          <w:rFonts w:ascii="Garamond" w:hAnsi="Garamond" w:cs="Arial"/>
          <w:lang w:val="pt-PT"/>
        </w:rPr>
        <w:t xml:space="preserve">uantitativos que </w:t>
      </w:r>
      <w:r w:rsidR="007407BD" w:rsidRPr="003A1174">
        <w:rPr>
          <w:rFonts w:ascii="Garamond" w:hAnsi="Garamond" w:cs="Arial"/>
          <w:lang w:val="pt-PT"/>
        </w:rPr>
        <w:t>podem</w:t>
      </w:r>
      <w:r w:rsidRPr="003A1174">
        <w:rPr>
          <w:rFonts w:ascii="Garamond" w:hAnsi="Garamond" w:cs="Arial"/>
          <w:lang w:val="pt-PT"/>
        </w:rPr>
        <w:t xml:space="preserve"> </w:t>
      </w:r>
      <w:r w:rsidR="00454353" w:rsidRPr="003A1174">
        <w:rPr>
          <w:rFonts w:ascii="Garamond" w:hAnsi="Garamond" w:cs="Arial"/>
          <w:lang w:val="pt-PT"/>
        </w:rPr>
        <w:t xml:space="preserve">ser </w:t>
      </w:r>
      <w:r w:rsidRPr="003A1174">
        <w:rPr>
          <w:rFonts w:ascii="Garamond" w:hAnsi="Garamond" w:cs="Arial"/>
          <w:lang w:val="pt-PT"/>
        </w:rPr>
        <w:t>in</w:t>
      </w:r>
      <w:r w:rsidR="002D1021" w:rsidRPr="003A1174">
        <w:rPr>
          <w:rFonts w:ascii="Garamond" w:hAnsi="Garamond" w:cs="Arial"/>
          <w:lang w:val="pt-PT"/>
        </w:rPr>
        <w:t>eficazes</w:t>
      </w:r>
      <w:r w:rsidRPr="003A1174">
        <w:rPr>
          <w:rFonts w:ascii="Garamond" w:hAnsi="Garamond" w:cs="Arial"/>
          <w:lang w:val="pt-PT"/>
        </w:rPr>
        <w:t xml:space="preserve"> s</w:t>
      </w:r>
      <w:r w:rsidR="00454353" w:rsidRPr="003A1174">
        <w:rPr>
          <w:rFonts w:ascii="Garamond" w:hAnsi="Garamond" w:cs="Arial"/>
          <w:lang w:val="pt-PT"/>
        </w:rPr>
        <w:t>e não forem tidos em conta</w:t>
      </w:r>
      <w:r w:rsidR="00330151">
        <w:rPr>
          <w:rFonts w:ascii="Garamond" w:hAnsi="Garamond" w:cs="Arial"/>
          <w:lang w:val="pt-PT"/>
        </w:rPr>
        <w:t xml:space="preserve"> determinados, </w:t>
      </w:r>
      <w:r w:rsidR="005D38DC" w:rsidRPr="003A1174">
        <w:rPr>
          <w:rFonts w:ascii="Garamond" w:hAnsi="Garamond" w:cs="Arial"/>
          <w:lang w:val="pt-PT"/>
        </w:rPr>
        <w:t>aspeto</w:t>
      </w:r>
      <w:r w:rsidRPr="003A1174">
        <w:rPr>
          <w:rFonts w:ascii="Garamond" w:hAnsi="Garamond" w:cs="Arial"/>
          <w:lang w:val="pt-PT"/>
        </w:rPr>
        <w:t>s</w:t>
      </w:r>
      <w:r w:rsidR="00330151">
        <w:rPr>
          <w:rFonts w:ascii="Garamond" w:hAnsi="Garamond" w:cs="Arial"/>
          <w:lang w:val="pt-PT"/>
        </w:rPr>
        <w:t>,</w:t>
      </w:r>
      <w:r w:rsidRPr="003A1174">
        <w:rPr>
          <w:rFonts w:ascii="Garamond" w:hAnsi="Garamond" w:cs="Arial"/>
          <w:lang w:val="pt-PT"/>
        </w:rPr>
        <w:t xml:space="preserve"> </w:t>
      </w:r>
      <w:r w:rsidR="001905FD" w:rsidRPr="003A1174">
        <w:rPr>
          <w:rFonts w:ascii="Garamond" w:hAnsi="Garamond" w:cs="Arial"/>
          <w:lang w:val="pt-PT"/>
        </w:rPr>
        <w:t>ta</w:t>
      </w:r>
      <w:r w:rsidR="00454353" w:rsidRPr="003A1174">
        <w:rPr>
          <w:rFonts w:ascii="Garamond" w:hAnsi="Garamond" w:cs="Arial"/>
          <w:lang w:val="pt-PT"/>
        </w:rPr>
        <w:t>i</w:t>
      </w:r>
      <w:r w:rsidR="001905FD" w:rsidRPr="003A1174">
        <w:rPr>
          <w:rFonts w:ascii="Garamond" w:hAnsi="Garamond" w:cs="Arial"/>
          <w:lang w:val="pt-PT"/>
        </w:rPr>
        <w:t xml:space="preserve">s </w:t>
      </w:r>
      <w:r w:rsidR="00454353" w:rsidRPr="003A1174">
        <w:rPr>
          <w:rFonts w:ascii="Garamond" w:hAnsi="Garamond" w:cs="Arial"/>
          <w:lang w:val="pt-PT"/>
        </w:rPr>
        <w:t>como</w:t>
      </w:r>
      <w:r w:rsidR="00330151">
        <w:rPr>
          <w:rFonts w:ascii="Garamond" w:hAnsi="Garamond" w:cs="Arial"/>
          <w:lang w:val="pt-PT"/>
        </w:rPr>
        <w:t>,</w:t>
      </w:r>
      <w:r w:rsidR="00454353" w:rsidRPr="003A1174">
        <w:rPr>
          <w:rFonts w:ascii="Garamond" w:hAnsi="Garamond" w:cs="Arial"/>
          <w:lang w:val="pt-PT"/>
        </w:rPr>
        <w:t xml:space="preserve"> </w:t>
      </w:r>
      <w:r w:rsidRPr="003A1174">
        <w:rPr>
          <w:rFonts w:ascii="Garamond" w:hAnsi="Garamond" w:cs="Arial"/>
          <w:lang w:val="pt-PT"/>
        </w:rPr>
        <w:t xml:space="preserve">a </w:t>
      </w:r>
      <w:r w:rsidR="007578C6" w:rsidRPr="003A1174">
        <w:rPr>
          <w:rFonts w:ascii="Garamond" w:hAnsi="Garamond" w:cs="Arial"/>
          <w:lang w:val="pt-PT"/>
        </w:rPr>
        <w:t>existência</w:t>
      </w:r>
      <w:r w:rsidRPr="003A1174">
        <w:rPr>
          <w:rFonts w:ascii="Garamond" w:hAnsi="Garamond" w:cs="Arial"/>
          <w:lang w:val="pt-PT"/>
        </w:rPr>
        <w:t xml:space="preserve"> de </w:t>
      </w:r>
      <w:r w:rsidR="00454353" w:rsidRPr="003A1174">
        <w:rPr>
          <w:rFonts w:ascii="Garamond" w:hAnsi="Garamond" w:cs="Arial"/>
          <w:lang w:val="pt-PT"/>
        </w:rPr>
        <w:t>vias e</w:t>
      </w:r>
      <w:r w:rsidRPr="003A1174">
        <w:rPr>
          <w:rFonts w:ascii="Garamond" w:hAnsi="Garamond" w:cs="Arial"/>
          <w:lang w:val="pt-PT"/>
        </w:rPr>
        <w:t xml:space="preserve"> regula</w:t>
      </w:r>
      <w:r w:rsidR="00454353" w:rsidRPr="003A1174">
        <w:rPr>
          <w:rFonts w:ascii="Garamond" w:hAnsi="Garamond" w:cs="Arial"/>
          <w:lang w:val="pt-PT"/>
        </w:rPr>
        <w:t xml:space="preserve">mentos </w:t>
      </w:r>
      <w:r w:rsidR="00682C71" w:rsidRPr="003A1174">
        <w:rPr>
          <w:rFonts w:ascii="Garamond" w:hAnsi="Garamond" w:cs="Arial"/>
          <w:lang w:val="pt-PT"/>
        </w:rPr>
        <w:t>processuais</w:t>
      </w:r>
      <w:r w:rsidRPr="003A1174">
        <w:rPr>
          <w:rFonts w:ascii="Garamond" w:hAnsi="Garamond" w:cs="Arial"/>
          <w:lang w:val="pt-PT"/>
        </w:rPr>
        <w:t xml:space="preserve"> aprop</w:t>
      </w:r>
      <w:r w:rsidR="00454353" w:rsidRPr="003A1174">
        <w:rPr>
          <w:rFonts w:ascii="Garamond" w:hAnsi="Garamond" w:cs="Arial"/>
          <w:lang w:val="pt-PT"/>
        </w:rPr>
        <w:t>riado</w:t>
      </w:r>
      <w:r w:rsidRPr="003A1174">
        <w:rPr>
          <w:rFonts w:ascii="Garamond" w:hAnsi="Garamond" w:cs="Arial"/>
          <w:lang w:val="pt-PT"/>
        </w:rPr>
        <w:t xml:space="preserve">s </w:t>
      </w:r>
      <w:r w:rsidR="00330151">
        <w:rPr>
          <w:rFonts w:ascii="Garamond" w:hAnsi="Garamond" w:cs="Arial"/>
          <w:lang w:val="pt-PT"/>
        </w:rPr>
        <w:t>-</w:t>
      </w:r>
      <w:r w:rsidR="00454353" w:rsidRPr="003A1174">
        <w:rPr>
          <w:rFonts w:ascii="Garamond" w:hAnsi="Garamond" w:cs="Arial"/>
          <w:lang w:val="pt-PT"/>
        </w:rPr>
        <w:t xml:space="preserve"> </w:t>
      </w:r>
      <w:r w:rsidRPr="003A1174">
        <w:rPr>
          <w:rFonts w:ascii="Garamond" w:hAnsi="Garamond" w:cs="Arial"/>
          <w:lang w:val="pt-PT"/>
        </w:rPr>
        <w:t>a</w:t>
      </w:r>
      <w:r w:rsidR="00454353" w:rsidRPr="003A1174">
        <w:rPr>
          <w:rFonts w:ascii="Garamond" w:hAnsi="Garamond" w:cs="Arial"/>
          <w:lang w:val="pt-PT"/>
        </w:rPr>
        <w:t>lheios ao simples</w:t>
      </w:r>
      <w:r w:rsidR="00E7631C" w:rsidRPr="003A1174">
        <w:rPr>
          <w:rFonts w:ascii="Garamond" w:hAnsi="Garamond" w:cs="Arial"/>
          <w:lang w:val="pt-PT"/>
        </w:rPr>
        <w:t xml:space="preserve"> funcionamento fo</w:t>
      </w:r>
      <w:r w:rsidRPr="003A1174">
        <w:rPr>
          <w:rFonts w:ascii="Garamond" w:hAnsi="Garamond" w:cs="Arial"/>
          <w:lang w:val="pt-PT"/>
        </w:rPr>
        <w:t xml:space="preserve">rmal </w:t>
      </w:r>
      <w:r w:rsidR="00454353" w:rsidRPr="003A1174">
        <w:rPr>
          <w:rFonts w:ascii="Garamond" w:hAnsi="Garamond" w:cs="Arial"/>
          <w:lang w:val="pt-PT"/>
        </w:rPr>
        <w:t xml:space="preserve">e às </w:t>
      </w:r>
      <w:r w:rsidR="00E7631C" w:rsidRPr="003A1174">
        <w:rPr>
          <w:rFonts w:ascii="Garamond" w:hAnsi="Garamond" w:cs="Arial"/>
          <w:lang w:val="pt-PT"/>
        </w:rPr>
        <w:t xml:space="preserve">ampliações </w:t>
      </w:r>
      <w:r w:rsidR="00454353" w:rsidRPr="003A1174">
        <w:rPr>
          <w:rFonts w:ascii="Garamond" w:hAnsi="Garamond" w:cs="Arial"/>
          <w:lang w:val="pt-PT"/>
        </w:rPr>
        <w:t xml:space="preserve">desnecessárias </w:t>
      </w:r>
      <w:r w:rsidR="00330151">
        <w:rPr>
          <w:rFonts w:ascii="Garamond" w:hAnsi="Garamond" w:cs="Arial"/>
          <w:lang w:val="pt-PT"/>
        </w:rPr>
        <w:t>-</w:t>
      </w:r>
      <w:r w:rsidR="00454353" w:rsidRPr="003A1174">
        <w:rPr>
          <w:rFonts w:ascii="Garamond" w:hAnsi="Garamond" w:cs="Arial"/>
          <w:lang w:val="pt-PT"/>
        </w:rPr>
        <w:t xml:space="preserve">, </w:t>
      </w:r>
      <w:r w:rsidRPr="003A1174">
        <w:rPr>
          <w:rFonts w:ascii="Garamond" w:hAnsi="Garamond" w:cs="Arial"/>
          <w:lang w:val="pt-PT"/>
        </w:rPr>
        <w:t xml:space="preserve">a </w:t>
      </w:r>
      <w:r w:rsidR="00454353" w:rsidRPr="003A1174">
        <w:rPr>
          <w:rFonts w:ascii="Garamond" w:hAnsi="Garamond" w:cs="Arial"/>
          <w:lang w:val="pt-PT"/>
        </w:rPr>
        <w:t xml:space="preserve">formação apropriada e a </w:t>
      </w:r>
      <w:r w:rsidR="002A71E1">
        <w:rPr>
          <w:rFonts w:ascii="Garamond" w:hAnsi="Garamond" w:cs="Arial"/>
          <w:lang w:val="pt-PT"/>
        </w:rPr>
        <w:t xml:space="preserve">formação </w:t>
      </w:r>
      <w:r w:rsidRPr="003A1174">
        <w:rPr>
          <w:rFonts w:ascii="Garamond" w:hAnsi="Garamond" w:cs="Arial"/>
          <w:lang w:val="pt-PT"/>
        </w:rPr>
        <w:t xml:space="preserve">dos </w:t>
      </w:r>
      <w:r w:rsidR="003E6403" w:rsidRPr="003A1174">
        <w:rPr>
          <w:rFonts w:ascii="Garamond" w:hAnsi="Garamond" w:cs="Arial"/>
          <w:lang w:val="pt-PT"/>
        </w:rPr>
        <w:t>funcionários e</w:t>
      </w:r>
      <w:r w:rsidRPr="003A1174">
        <w:rPr>
          <w:rFonts w:ascii="Garamond" w:hAnsi="Garamond" w:cs="Arial"/>
          <w:lang w:val="pt-PT"/>
        </w:rPr>
        <w:t xml:space="preserve"> </w:t>
      </w:r>
      <w:r w:rsidR="003E6403" w:rsidRPr="003A1174">
        <w:rPr>
          <w:rFonts w:ascii="Garamond" w:hAnsi="Garamond" w:cs="Arial"/>
          <w:lang w:val="pt-PT"/>
        </w:rPr>
        <w:t>funcionári</w:t>
      </w:r>
      <w:r w:rsidRPr="003A1174">
        <w:rPr>
          <w:rFonts w:ascii="Garamond" w:hAnsi="Garamond" w:cs="Arial"/>
          <w:lang w:val="pt-PT"/>
        </w:rPr>
        <w:t>as d</w:t>
      </w:r>
      <w:r w:rsidR="003E6403" w:rsidRPr="003A1174">
        <w:rPr>
          <w:rFonts w:ascii="Garamond" w:hAnsi="Garamond" w:cs="Arial"/>
          <w:lang w:val="pt-PT"/>
        </w:rPr>
        <w:t>a</w:t>
      </w:r>
      <w:r w:rsidRPr="003A1174">
        <w:rPr>
          <w:rFonts w:ascii="Garamond" w:hAnsi="Garamond" w:cs="Arial"/>
          <w:lang w:val="pt-PT"/>
        </w:rPr>
        <w:t xml:space="preserve"> </w:t>
      </w:r>
      <w:r w:rsidR="00FC1F7F" w:rsidRPr="003A1174">
        <w:rPr>
          <w:rFonts w:ascii="Garamond" w:hAnsi="Garamond" w:cs="Arial"/>
          <w:lang w:val="pt-PT"/>
        </w:rPr>
        <w:t>justiça</w:t>
      </w:r>
      <w:r w:rsidRPr="003A1174">
        <w:rPr>
          <w:rFonts w:ascii="Garamond" w:hAnsi="Garamond" w:cs="Arial"/>
          <w:lang w:val="pt-PT"/>
        </w:rPr>
        <w:t xml:space="preserve"> </w:t>
      </w:r>
      <w:r w:rsidR="003E6403" w:rsidRPr="003A1174">
        <w:rPr>
          <w:rFonts w:ascii="Garamond" w:hAnsi="Garamond" w:cs="Arial"/>
          <w:lang w:val="pt-PT"/>
        </w:rPr>
        <w:t xml:space="preserve">nas </w:t>
      </w:r>
      <w:r w:rsidR="00EF645F" w:rsidRPr="003A1174">
        <w:rPr>
          <w:rFonts w:ascii="Garamond" w:hAnsi="Garamond" w:cs="Arial"/>
          <w:lang w:val="pt-PT"/>
        </w:rPr>
        <w:t>matéria</w:t>
      </w:r>
      <w:r w:rsidRPr="003A1174">
        <w:rPr>
          <w:rFonts w:ascii="Garamond" w:hAnsi="Garamond" w:cs="Arial"/>
          <w:lang w:val="pt-PT"/>
        </w:rPr>
        <w:t xml:space="preserve">s </w:t>
      </w:r>
      <w:r w:rsidR="003E1D8A" w:rsidRPr="003A1174">
        <w:rPr>
          <w:rFonts w:ascii="Garamond" w:hAnsi="Garamond" w:cs="Arial"/>
          <w:lang w:val="pt-PT"/>
        </w:rPr>
        <w:t>correspondente</w:t>
      </w:r>
      <w:r w:rsidRPr="003A1174">
        <w:rPr>
          <w:rFonts w:ascii="Garamond" w:hAnsi="Garamond" w:cs="Arial"/>
          <w:lang w:val="pt-PT"/>
        </w:rPr>
        <w:t xml:space="preserve">s </w:t>
      </w:r>
      <w:r w:rsidR="007C04C2">
        <w:rPr>
          <w:rFonts w:ascii="Garamond" w:hAnsi="Garamond" w:cs="Arial"/>
          <w:lang w:val="pt-PT"/>
        </w:rPr>
        <w:t>-</w:t>
      </w:r>
      <w:r w:rsidR="003E6403" w:rsidRPr="003A1174">
        <w:rPr>
          <w:rFonts w:ascii="Garamond" w:hAnsi="Garamond" w:cs="Arial"/>
          <w:lang w:val="pt-PT"/>
        </w:rPr>
        <w:t xml:space="preserve"> por exemplo a </w:t>
      </w:r>
      <w:r w:rsidR="000350B1" w:rsidRPr="003A1174">
        <w:rPr>
          <w:rFonts w:ascii="Garamond" w:hAnsi="Garamond" w:cs="Arial"/>
          <w:lang w:val="pt-PT"/>
        </w:rPr>
        <w:t>violência</w:t>
      </w:r>
      <w:r w:rsidR="003E6403" w:rsidRPr="003A1174">
        <w:rPr>
          <w:rFonts w:ascii="Garamond" w:hAnsi="Garamond" w:cs="Arial"/>
          <w:lang w:val="pt-PT"/>
        </w:rPr>
        <w:t xml:space="preserve"> contra </w:t>
      </w:r>
      <w:r w:rsidRPr="003A1174">
        <w:rPr>
          <w:rFonts w:ascii="Garamond" w:hAnsi="Garamond" w:cs="Arial"/>
          <w:lang w:val="pt-PT"/>
        </w:rPr>
        <w:t xml:space="preserve">as </w:t>
      </w:r>
      <w:r w:rsidR="00054EE0" w:rsidRPr="003A1174">
        <w:rPr>
          <w:rFonts w:ascii="Garamond" w:hAnsi="Garamond" w:cs="Arial"/>
          <w:lang w:val="pt-PT"/>
        </w:rPr>
        <w:t>mulheres</w:t>
      </w:r>
      <w:r w:rsidR="003E6403" w:rsidRPr="003A1174">
        <w:rPr>
          <w:rFonts w:ascii="Garamond" w:hAnsi="Garamond" w:cs="Arial"/>
          <w:lang w:val="pt-PT"/>
        </w:rPr>
        <w:t xml:space="preserve"> </w:t>
      </w:r>
      <w:r w:rsidR="00330151">
        <w:rPr>
          <w:rFonts w:ascii="Garamond" w:hAnsi="Garamond" w:cs="Arial"/>
          <w:lang w:val="pt-PT"/>
        </w:rPr>
        <w:t>-</w:t>
      </w:r>
      <w:r w:rsidRPr="003A1174">
        <w:rPr>
          <w:rFonts w:ascii="Garamond" w:hAnsi="Garamond" w:cs="Arial"/>
          <w:lang w:val="pt-PT"/>
        </w:rPr>
        <w:t xml:space="preserve"> as</w:t>
      </w:r>
      <w:r w:rsidR="003E6403" w:rsidRPr="003A1174">
        <w:rPr>
          <w:rFonts w:ascii="Garamond" w:hAnsi="Garamond" w:cs="Arial"/>
          <w:lang w:val="pt-PT"/>
        </w:rPr>
        <w:t xml:space="preserve">sim como </w:t>
      </w:r>
      <w:r w:rsidRPr="003A1174">
        <w:rPr>
          <w:rFonts w:ascii="Garamond" w:hAnsi="Garamond" w:cs="Arial"/>
          <w:lang w:val="pt-PT"/>
        </w:rPr>
        <w:t xml:space="preserve">a </w:t>
      </w:r>
      <w:r w:rsidR="00C30647" w:rsidRPr="003A1174">
        <w:rPr>
          <w:rFonts w:ascii="Garamond" w:hAnsi="Garamond" w:cs="Arial"/>
          <w:lang w:val="pt-PT"/>
        </w:rPr>
        <w:t>erradicação</w:t>
      </w:r>
      <w:r w:rsidR="003E6403" w:rsidRPr="003A1174">
        <w:rPr>
          <w:rFonts w:ascii="Garamond" w:hAnsi="Garamond" w:cs="Arial"/>
          <w:lang w:val="pt-PT"/>
        </w:rPr>
        <w:t xml:space="preserve"> d</w:t>
      </w:r>
      <w:r w:rsidRPr="003A1174">
        <w:rPr>
          <w:rFonts w:ascii="Garamond" w:hAnsi="Garamond" w:cs="Arial"/>
          <w:lang w:val="pt-PT"/>
        </w:rPr>
        <w:t xml:space="preserve">os fenómenos de </w:t>
      </w:r>
      <w:r w:rsidR="003E6403" w:rsidRPr="003A1174">
        <w:rPr>
          <w:rFonts w:ascii="Garamond" w:hAnsi="Garamond" w:cs="Arial"/>
          <w:lang w:val="pt-PT"/>
        </w:rPr>
        <w:t>corrupção</w:t>
      </w:r>
      <w:r w:rsidRPr="003A1174">
        <w:rPr>
          <w:rFonts w:ascii="Garamond" w:hAnsi="Garamond" w:cs="Arial"/>
          <w:lang w:val="pt-PT"/>
        </w:rPr>
        <w:t xml:space="preserve">. </w:t>
      </w:r>
      <w:r w:rsidR="003E6403" w:rsidRPr="003A1174">
        <w:rPr>
          <w:rFonts w:ascii="Garamond" w:hAnsi="Garamond" w:cs="Arial"/>
          <w:lang w:val="pt-PT"/>
        </w:rPr>
        <w:t>No que se refere aos litigantes</w:t>
      </w:r>
      <w:r w:rsidRPr="003A1174">
        <w:rPr>
          <w:rFonts w:ascii="Garamond" w:hAnsi="Garamond" w:cs="Arial"/>
          <w:lang w:val="pt-PT"/>
        </w:rPr>
        <w:t>, compre</w:t>
      </w:r>
      <w:r w:rsidR="003E6403" w:rsidRPr="003A1174">
        <w:rPr>
          <w:rFonts w:ascii="Garamond" w:hAnsi="Garamond" w:cs="Arial"/>
          <w:lang w:val="pt-PT"/>
        </w:rPr>
        <w:t>e</w:t>
      </w:r>
      <w:r w:rsidRPr="003A1174">
        <w:rPr>
          <w:rFonts w:ascii="Garamond" w:hAnsi="Garamond" w:cs="Arial"/>
          <w:lang w:val="pt-PT"/>
        </w:rPr>
        <w:t xml:space="preserve">nde </w:t>
      </w:r>
      <w:r w:rsidR="003E6403" w:rsidRPr="003A1174">
        <w:rPr>
          <w:rFonts w:ascii="Garamond" w:hAnsi="Garamond" w:cs="Arial"/>
          <w:lang w:val="pt-PT"/>
        </w:rPr>
        <w:t xml:space="preserve">a </w:t>
      </w:r>
      <w:r w:rsidRPr="003A1174">
        <w:rPr>
          <w:rFonts w:ascii="Garamond" w:hAnsi="Garamond" w:cs="Arial"/>
          <w:lang w:val="pt-PT"/>
        </w:rPr>
        <w:t>su</w:t>
      </w:r>
      <w:r w:rsidR="003E6403" w:rsidRPr="003A1174">
        <w:rPr>
          <w:rFonts w:ascii="Garamond" w:hAnsi="Garamond" w:cs="Arial"/>
          <w:lang w:val="pt-PT"/>
        </w:rPr>
        <w:t>a</w:t>
      </w:r>
      <w:r w:rsidRPr="003A1174">
        <w:rPr>
          <w:rFonts w:ascii="Garamond" w:hAnsi="Garamond" w:cs="Arial"/>
          <w:lang w:val="pt-PT"/>
        </w:rPr>
        <w:t xml:space="preserve"> </w:t>
      </w:r>
      <w:r w:rsidR="0017447A" w:rsidRPr="003A1174">
        <w:rPr>
          <w:rFonts w:ascii="Garamond" w:hAnsi="Garamond" w:cs="Arial"/>
          <w:lang w:val="pt-PT"/>
        </w:rPr>
        <w:t>informação</w:t>
      </w:r>
      <w:r w:rsidR="003E6403" w:rsidRPr="003A1174">
        <w:rPr>
          <w:rFonts w:ascii="Garamond" w:hAnsi="Garamond" w:cs="Arial"/>
          <w:lang w:val="pt-PT"/>
        </w:rPr>
        <w:t xml:space="preserve"> e</w:t>
      </w:r>
      <w:r w:rsidRPr="003A1174">
        <w:rPr>
          <w:rFonts w:ascii="Garamond" w:hAnsi="Garamond" w:cs="Arial"/>
          <w:lang w:val="pt-PT"/>
        </w:rPr>
        <w:t xml:space="preserve"> </w:t>
      </w:r>
      <w:r w:rsidR="003E6403" w:rsidRPr="003A1174">
        <w:rPr>
          <w:rFonts w:ascii="Garamond" w:hAnsi="Garamond" w:cs="Arial"/>
          <w:lang w:val="pt-PT"/>
        </w:rPr>
        <w:t>conhecimento</w:t>
      </w:r>
      <w:r w:rsidRPr="003A1174">
        <w:rPr>
          <w:rFonts w:ascii="Garamond" w:hAnsi="Garamond" w:cs="Arial"/>
          <w:lang w:val="pt-PT"/>
        </w:rPr>
        <w:t xml:space="preserve"> </w:t>
      </w:r>
      <w:r w:rsidR="007C04C2">
        <w:rPr>
          <w:rFonts w:ascii="Garamond" w:hAnsi="Garamond" w:cs="Arial"/>
          <w:lang w:val="pt-PT"/>
        </w:rPr>
        <w:t>-</w:t>
      </w:r>
      <w:r w:rsidR="003E6403" w:rsidRPr="003A1174">
        <w:rPr>
          <w:rFonts w:ascii="Garamond" w:hAnsi="Garamond" w:cs="Arial"/>
          <w:lang w:val="pt-PT"/>
        </w:rPr>
        <w:t xml:space="preserve"> pelo </w:t>
      </w:r>
      <w:r w:rsidRPr="003A1174">
        <w:rPr>
          <w:rFonts w:ascii="Garamond" w:hAnsi="Garamond" w:cs="Arial"/>
          <w:lang w:val="pt-PT"/>
        </w:rPr>
        <w:t>menos básicos</w:t>
      </w:r>
      <w:r w:rsidR="003E6403" w:rsidRPr="003A1174">
        <w:rPr>
          <w:rFonts w:ascii="Garamond" w:hAnsi="Garamond" w:cs="Arial"/>
          <w:lang w:val="pt-PT"/>
        </w:rPr>
        <w:t xml:space="preserve"> </w:t>
      </w:r>
      <w:r w:rsidR="007C04C2">
        <w:rPr>
          <w:rFonts w:ascii="Garamond" w:hAnsi="Garamond" w:cs="Arial"/>
          <w:lang w:val="pt-PT"/>
        </w:rPr>
        <w:t>-</w:t>
      </w:r>
      <w:r w:rsidR="003E6403" w:rsidRPr="003A1174">
        <w:rPr>
          <w:rFonts w:ascii="Garamond" w:hAnsi="Garamond" w:cs="Arial"/>
          <w:lang w:val="pt-PT"/>
        </w:rPr>
        <w:t xml:space="preserve"> sobre </w:t>
      </w:r>
      <w:r w:rsidRPr="003A1174">
        <w:rPr>
          <w:rFonts w:ascii="Garamond" w:hAnsi="Garamond" w:cs="Arial"/>
          <w:lang w:val="pt-PT"/>
        </w:rPr>
        <w:t xml:space="preserve">as </w:t>
      </w:r>
      <w:r w:rsidR="00E150E9" w:rsidRPr="003A1174">
        <w:rPr>
          <w:rFonts w:ascii="Garamond" w:hAnsi="Garamond" w:cs="Arial"/>
          <w:lang w:val="pt-PT"/>
        </w:rPr>
        <w:t>possibilidades</w:t>
      </w:r>
      <w:r w:rsidR="003E6403" w:rsidRPr="003A1174">
        <w:rPr>
          <w:rFonts w:ascii="Garamond" w:hAnsi="Garamond" w:cs="Arial"/>
          <w:lang w:val="pt-PT"/>
        </w:rPr>
        <w:t xml:space="preserve"> </w:t>
      </w:r>
      <w:r w:rsidR="00B531F2" w:rsidRPr="003A1174">
        <w:rPr>
          <w:rFonts w:ascii="Garamond" w:hAnsi="Garamond" w:cs="Arial"/>
          <w:lang w:val="pt-PT"/>
        </w:rPr>
        <w:t xml:space="preserve">que </w:t>
      </w:r>
      <w:r w:rsidR="003E6403" w:rsidRPr="003A1174">
        <w:rPr>
          <w:rFonts w:ascii="Garamond" w:hAnsi="Garamond" w:cs="Arial"/>
          <w:lang w:val="pt-PT"/>
        </w:rPr>
        <w:t xml:space="preserve">os </w:t>
      </w:r>
      <w:r w:rsidR="00B531F2" w:rsidRPr="003A1174">
        <w:rPr>
          <w:rFonts w:ascii="Garamond" w:hAnsi="Garamond" w:cs="Arial"/>
          <w:lang w:val="pt-PT"/>
        </w:rPr>
        <w:t>serviço</w:t>
      </w:r>
      <w:r w:rsidR="003E6403" w:rsidRPr="003A1174">
        <w:rPr>
          <w:rFonts w:ascii="Garamond" w:hAnsi="Garamond" w:cs="Arial"/>
          <w:lang w:val="pt-PT"/>
        </w:rPr>
        <w:t xml:space="preserve">s de justiça </w:t>
      </w:r>
      <w:r w:rsidR="00E7631C" w:rsidRPr="003A1174">
        <w:rPr>
          <w:rFonts w:ascii="Garamond" w:hAnsi="Garamond" w:cs="Arial"/>
          <w:lang w:val="pt-PT"/>
        </w:rPr>
        <w:t xml:space="preserve">lhes </w:t>
      </w:r>
      <w:r w:rsidR="003E6403" w:rsidRPr="003A1174">
        <w:rPr>
          <w:rFonts w:ascii="Garamond" w:hAnsi="Garamond" w:cs="Arial"/>
          <w:lang w:val="pt-PT"/>
        </w:rPr>
        <w:t>proporcionam</w:t>
      </w:r>
      <w:r w:rsidRPr="003A1174">
        <w:rPr>
          <w:rFonts w:ascii="Garamond" w:hAnsi="Garamond" w:cs="Arial"/>
          <w:lang w:val="pt-PT"/>
        </w:rPr>
        <w:t>, as</w:t>
      </w:r>
      <w:r w:rsidR="00081B57" w:rsidRPr="003A1174">
        <w:rPr>
          <w:rFonts w:ascii="Garamond" w:hAnsi="Garamond" w:cs="Arial"/>
          <w:lang w:val="pt-PT"/>
        </w:rPr>
        <w:t xml:space="preserve">sim </w:t>
      </w:r>
      <w:r w:rsidR="001905FD" w:rsidRPr="003A1174">
        <w:rPr>
          <w:rFonts w:ascii="Garamond" w:hAnsi="Garamond" w:cs="Arial"/>
          <w:lang w:val="pt-PT"/>
        </w:rPr>
        <w:t>como</w:t>
      </w:r>
      <w:r w:rsidRPr="003A1174">
        <w:rPr>
          <w:rFonts w:ascii="Garamond" w:hAnsi="Garamond" w:cs="Arial"/>
          <w:lang w:val="pt-PT"/>
        </w:rPr>
        <w:t xml:space="preserve"> </w:t>
      </w:r>
      <w:r w:rsidR="00081B57" w:rsidRPr="003A1174">
        <w:rPr>
          <w:rFonts w:ascii="Garamond" w:hAnsi="Garamond" w:cs="Arial"/>
          <w:lang w:val="pt-PT"/>
        </w:rPr>
        <w:t xml:space="preserve">a </w:t>
      </w:r>
      <w:r w:rsidRPr="003A1174">
        <w:rPr>
          <w:rFonts w:ascii="Garamond" w:hAnsi="Garamond" w:cs="Arial"/>
          <w:lang w:val="pt-PT"/>
        </w:rPr>
        <w:t>su</w:t>
      </w:r>
      <w:r w:rsidR="00081B57" w:rsidRPr="003A1174">
        <w:rPr>
          <w:rFonts w:ascii="Garamond" w:hAnsi="Garamond" w:cs="Arial"/>
          <w:lang w:val="pt-PT"/>
        </w:rPr>
        <w:t>a</w:t>
      </w:r>
      <w:r w:rsidRPr="003A1174">
        <w:rPr>
          <w:rFonts w:ascii="Garamond" w:hAnsi="Garamond" w:cs="Arial"/>
          <w:lang w:val="pt-PT"/>
        </w:rPr>
        <w:t xml:space="preserve"> </w:t>
      </w:r>
      <w:r w:rsidR="00081B57" w:rsidRPr="003A1174">
        <w:rPr>
          <w:rFonts w:ascii="Garamond" w:hAnsi="Garamond" w:cs="Arial"/>
          <w:lang w:val="pt-PT"/>
        </w:rPr>
        <w:t>orientação</w:t>
      </w:r>
      <w:r w:rsidR="00B531F2" w:rsidRPr="003A1174">
        <w:rPr>
          <w:rFonts w:ascii="Garamond" w:hAnsi="Garamond" w:cs="Arial"/>
          <w:lang w:val="pt-PT"/>
        </w:rPr>
        <w:t xml:space="preserve"> e</w:t>
      </w:r>
      <w:r w:rsidRPr="003A1174">
        <w:rPr>
          <w:rFonts w:ascii="Garamond" w:hAnsi="Garamond" w:cs="Arial"/>
          <w:lang w:val="pt-PT"/>
        </w:rPr>
        <w:t xml:space="preserve"> </w:t>
      </w:r>
      <w:r w:rsidR="00B531F2" w:rsidRPr="003A1174">
        <w:rPr>
          <w:rFonts w:ascii="Garamond" w:hAnsi="Garamond" w:cs="Arial"/>
          <w:lang w:val="pt-PT"/>
        </w:rPr>
        <w:t>assessor</w:t>
      </w:r>
      <w:r w:rsidR="000C4382">
        <w:rPr>
          <w:rFonts w:ascii="Garamond" w:hAnsi="Garamond" w:cs="Arial"/>
          <w:lang w:val="pt-PT"/>
        </w:rPr>
        <w:t>ia</w:t>
      </w:r>
      <w:r w:rsidRPr="003A1174">
        <w:rPr>
          <w:rFonts w:ascii="Garamond" w:hAnsi="Garamond" w:cs="Arial"/>
          <w:lang w:val="pt-PT"/>
        </w:rPr>
        <w:t xml:space="preserve"> idóne</w:t>
      </w:r>
      <w:r w:rsidR="000C4382">
        <w:rPr>
          <w:rFonts w:ascii="Garamond" w:hAnsi="Garamond" w:cs="Arial"/>
          <w:lang w:val="pt-PT"/>
        </w:rPr>
        <w:t>a</w:t>
      </w:r>
      <w:r w:rsidRPr="003A1174">
        <w:rPr>
          <w:rFonts w:ascii="Garamond" w:hAnsi="Garamond" w:cs="Arial"/>
          <w:lang w:val="pt-PT"/>
        </w:rPr>
        <w:t>s, tanto antes</w:t>
      </w:r>
      <w:r w:rsidR="000C4382">
        <w:rPr>
          <w:rFonts w:ascii="Garamond" w:hAnsi="Garamond" w:cs="Arial"/>
          <w:lang w:val="pt-PT"/>
        </w:rPr>
        <w:t>,</w:t>
      </w:r>
      <w:r w:rsidRPr="003A1174">
        <w:rPr>
          <w:rFonts w:ascii="Garamond" w:hAnsi="Garamond" w:cs="Arial"/>
          <w:lang w:val="pt-PT"/>
        </w:rPr>
        <w:t xml:space="preserve"> como durante</w:t>
      </w:r>
      <w:r w:rsidR="000C4382">
        <w:rPr>
          <w:rFonts w:ascii="Garamond" w:hAnsi="Garamond" w:cs="Arial"/>
          <w:lang w:val="pt-PT"/>
        </w:rPr>
        <w:t>,</w:t>
      </w:r>
      <w:r w:rsidRPr="003A1174">
        <w:rPr>
          <w:rFonts w:ascii="Garamond" w:hAnsi="Garamond" w:cs="Arial"/>
          <w:lang w:val="pt-PT"/>
        </w:rPr>
        <w:t xml:space="preserve"> </w:t>
      </w:r>
      <w:r w:rsidR="00B531F2" w:rsidRPr="003A1174">
        <w:rPr>
          <w:rFonts w:ascii="Garamond" w:hAnsi="Garamond" w:cs="Arial"/>
          <w:lang w:val="pt-PT"/>
        </w:rPr>
        <w:t>e na conclusão d</w:t>
      </w:r>
      <w:r w:rsidRPr="003A1174">
        <w:rPr>
          <w:rFonts w:ascii="Garamond" w:hAnsi="Garamond" w:cs="Arial"/>
          <w:lang w:val="pt-PT"/>
        </w:rPr>
        <w:t xml:space="preserve">os </w:t>
      </w:r>
      <w:r w:rsidR="002D1021" w:rsidRPr="003A1174">
        <w:rPr>
          <w:rFonts w:ascii="Garamond" w:hAnsi="Garamond" w:cs="Arial"/>
          <w:lang w:val="pt-PT"/>
        </w:rPr>
        <w:t>processo</w:t>
      </w:r>
      <w:r w:rsidRPr="003A1174">
        <w:rPr>
          <w:rFonts w:ascii="Garamond" w:hAnsi="Garamond" w:cs="Arial"/>
          <w:lang w:val="pt-PT"/>
        </w:rPr>
        <w:t xml:space="preserve">s </w:t>
      </w:r>
      <w:r w:rsidR="002D1021" w:rsidRPr="003A1174">
        <w:rPr>
          <w:rFonts w:ascii="Garamond" w:hAnsi="Garamond" w:cs="Arial"/>
          <w:lang w:val="pt-PT"/>
        </w:rPr>
        <w:t>judiciais</w:t>
      </w:r>
      <w:r w:rsidRPr="003A1174">
        <w:rPr>
          <w:rFonts w:ascii="Garamond" w:hAnsi="Garamond" w:cs="Arial"/>
          <w:lang w:val="pt-PT"/>
        </w:rPr>
        <w:t xml:space="preserve">. </w:t>
      </w:r>
      <w:r w:rsidR="00B531F2" w:rsidRPr="003A1174">
        <w:rPr>
          <w:rFonts w:ascii="Garamond" w:hAnsi="Garamond" w:cs="Arial"/>
          <w:lang w:val="pt-PT"/>
        </w:rPr>
        <w:t xml:space="preserve">Por </w:t>
      </w:r>
      <w:r w:rsidR="0017447A" w:rsidRPr="003A1174">
        <w:rPr>
          <w:rFonts w:ascii="Garamond" w:hAnsi="Garamond" w:cs="Arial"/>
          <w:lang w:val="pt-PT"/>
        </w:rPr>
        <w:t>outras</w:t>
      </w:r>
      <w:r w:rsidRPr="003A1174">
        <w:rPr>
          <w:rFonts w:ascii="Garamond" w:hAnsi="Garamond" w:cs="Arial"/>
          <w:lang w:val="pt-PT"/>
        </w:rPr>
        <w:t xml:space="preserve"> </w:t>
      </w:r>
      <w:r w:rsidR="00B531F2" w:rsidRPr="003A1174">
        <w:rPr>
          <w:rFonts w:ascii="Garamond" w:hAnsi="Garamond" w:cs="Arial"/>
          <w:lang w:val="pt-PT"/>
        </w:rPr>
        <w:t xml:space="preserve">palavras, </w:t>
      </w:r>
      <w:r w:rsidRPr="003A1174">
        <w:rPr>
          <w:rFonts w:ascii="Garamond" w:hAnsi="Garamond" w:cs="Arial"/>
          <w:lang w:val="pt-PT"/>
        </w:rPr>
        <w:t xml:space="preserve">a mera </w:t>
      </w:r>
      <w:r w:rsidR="007578C6" w:rsidRPr="003A1174">
        <w:rPr>
          <w:rFonts w:ascii="Garamond" w:hAnsi="Garamond" w:cs="Arial"/>
          <w:lang w:val="pt-PT"/>
        </w:rPr>
        <w:t>existência</w:t>
      </w:r>
      <w:r w:rsidRPr="003A1174">
        <w:rPr>
          <w:rFonts w:ascii="Garamond" w:hAnsi="Garamond" w:cs="Arial"/>
          <w:lang w:val="pt-PT"/>
        </w:rPr>
        <w:t xml:space="preserve"> de apar</w:t>
      </w:r>
      <w:r w:rsidR="00B531F2" w:rsidRPr="003A1174">
        <w:rPr>
          <w:rFonts w:ascii="Garamond" w:hAnsi="Garamond" w:cs="Arial"/>
          <w:lang w:val="pt-PT"/>
        </w:rPr>
        <w:t xml:space="preserve">elhos </w:t>
      </w:r>
      <w:r w:rsidR="00C04CA4" w:rsidRPr="003A1174">
        <w:rPr>
          <w:rFonts w:ascii="Garamond" w:hAnsi="Garamond" w:cs="Arial"/>
          <w:lang w:val="pt-PT"/>
        </w:rPr>
        <w:t>institucionais</w:t>
      </w:r>
      <w:r w:rsidR="00B531F2" w:rsidRPr="003A1174">
        <w:rPr>
          <w:rFonts w:ascii="Garamond" w:hAnsi="Garamond" w:cs="Arial"/>
          <w:lang w:val="pt-PT"/>
        </w:rPr>
        <w:t xml:space="preserve"> com</w:t>
      </w:r>
      <w:r w:rsidRPr="003A1174">
        <w:rPr>
          <w:rFonts w:ascii="Garamond" w:hAnsi="Garamond" w:cs="Arial"/>
          <w:lang w:val="pt-PT"/>
        </w:rPr>
        <w:t xml:space="preserve"> </w:t>
      </w:r>
      <w:r w:rsidR="008278C4" w:rsidRPr="003A1174">
        <w:rPr>
          <w:rFonts w:ascii="Garamond" w:hAnsi="Garamond" w:cs="Arial"/>
          <w:lang w:val="pt-PT"/>
        </w:rPr>
        <w:t>pessoal</w:t>
      </w:r>
      <w:r w:rsidR="00B531F2" w:rsidRPr="003A1174">
        <w:rPr>
          <w:rFonts w:ascii="Garamond" w:hAnsi="Garamond" w:cs="Arial"/>
          <w:lang w:val="pt-PT"/>
        </w:rPr>
        <w:t xml:space="preserve"> e</w:t>
      </w:r>
      <w:r w:rsidRPr="003A1174">
        <w:rPr>
          <w:rFonts w:ascii="Garamond" w:hAnsi="Garamond" w:cs="Arial"/>
          <w:lang w:val="pt-PT"/>
        </w:rPr>
        <w:t xml:space="preserve"> </w:t>
      </w:r>
      <w:r w:rsidR="00B531F2" w:rsidRPr="003A1174">
        <w:rPr>
          <w:rFonts w:ascii="Garamond" w:hAnsi="Garamond" w:cs="Arial"/>
          <w:lang w:val="pt-PT"/>
        </w:rPr>
        <w:t>equipamento</w:t>
      </w:r>
      <w:r w:rsidRPr="003A1174">
        <w:rPr>
          <w:rFonts w:ascii="Garamond" w:hAnsi="Garamond" w:cs="Arial"/>
          <w:lang w:val="pt-PT"/>
        </w:rPr>
        <w:t xml:space="preserve"> n</w:t>
      </w:r>
      <w:r w:rsidR="00B531F2" w:rsidRPr="003A1174">
        <w:rPr>
          <w:rFonts w:ascii="Garamond" w:hAnsi="Garamond" w:cs="Arial"/>
          <w:lang w:val="pt-PT"/>
        </w:rPr>
        <w:t>ã</w:t>
      </w:r>
      <w:r w:rsidRPr="003A1174">
        <w:rPr>
          <w:rFonts w:ascii="Garamond" w:hAnsi="Garamond" w:cs="Arial"/>
          <w:lang w:val="pt-PT"/>
        </w:rPr>
        <w:t>o garant</w:t>
      </w:r>
      <w:r w:rsidR="00B531F2" w:rsidRPr="003A1174">
        <w:rPr>
          <w:rFonts w:ascii="Garamond" w:hAnsi="Garamond" w:cs="Arial"/>
          <w:lang w:val="pt-PT"/>
        </w:rPr>
        <w:t>e</w:t>
      </w:r>
      <w:r w:rsidR="000C4382">
        <w:rPr>
          <w:rFonts w:ascii="Garamond" w:hAnsi="Garamond" w:cs="Arial"/>
          <w:lang w:val="pt-PT"/>
        </w:rPr>
        <w:t>,</w:t>
      </w:r>
      <w:r w:rsidR="00B531F2" w:rsidRPr="003A1174">
        <w:rPr>
          <w:rFonts w:ascii="Garamond" w:hAnsi="Garamond" w:cs="Arial"/>
          <w:lang w:val="pt-PT"/>
        </w:rPr>
        <w:t xml:space="preserve"> por si só</w:t>
      </w:r>
      <w:r w:rsidR="000C4382">
        <w:rPr>
          <w:rFonts w:ascii="Garamond" w:hAnsi="Garamond" w:cs="Arial"/>
          <w:lang w:val="pt-PT"/>
        </w:rPr>
        <w:t>,</w:t>
      </w:r>
      <w:r w:rsidR="00B531F2" w:rsidRPr="003A1174">
        <w:rPr>
          <w:rFonts w:ascii="Garamond" w:hAnsi="Garamond" w:cs="Arial"/>
          <w:lang w:val="pt-PT"/>
        </w:rPr>
        <w:t xml:space="preserve"> o </w:t>
      </w:r>
      <w:r w:rsidR="00D96FD0" w:rsidRPr="003A1174">
        <w:rPr>
          <w:rFonts w:ascii="Garamond" w:hAnsi="Garamond" w:cs="Arial"/>
          <w:lang w:val="pt-PT"/>
        </w:rPr>
        <w:t>cumprimento</w:t>
      </w:r>
      <w:r w:rsidRPr="003A1174">
        <w:rPr>
          <w:rFonts w:ascii="Garamond" w:hAnsi="Garamond" w:cs="Arial"/>
          <w:lang w:val="pt-PT"/>
        </w:rPr>
        <w:t xml:space="preserve"> d</w:t>
      </w:r>
      <w:r w:rsidR="008843FD" w:rsidRPr="003A1174">
        <w:rPr>
          <w:rFonts w:ascii="Garamond" w:hAnsi="Garamond" w:cs="Arial"/>
          <w:lang w:val="pt-PT"/>
        </w:rPr>
        <w:t>o</w:t>
      </w:r>
      <w:r w:rsidRPr="003A1174">
        <w:rPr>
          <w:rFonts w:ascii="Garamond" w:hAnsi="Garamond" w:cs="Arial"/>
          <w:lang w:val="pt-PT"/>
        </w:rPr>
        <w:t xml:space="preserve"> </w:t>
      </w:r>
      <w:r w:rsidR="00886D6A" w:rsidRPr="003A1174">
        <w:rPr>
          <w:rFonts w:ascii="Garamond" w:hAnsi="Garamond" w:cs="Arial"/>
          <w:lang w:val="pt-PT"/>
        </w:rPr>
        <w:t>direito</w:t>
      </w:r>
      <w:r w:rsidRPr="003A1174">
        <w:rPr>
          <w:rFonts w:ascii="Garamond" w:hAnsi="Garamond" w:cs="Arial"/>
          <w:lang w:val="pt-PT"/>
        </w:rPr>
        <w:t xml:space="preserve"> humano e</w:t>
      </w:r>
      <w:r w:rsidR="008843FD" w:rsidRPr="003A1174">
        <w:rPr>
          <w:rFonts w:ascii="Garamond" w:hAnsi="Garamond" w:cs="Arial"/>
          <w:lang w:val="pt-PT"/>
        </w:rPr>
        <w:t>m</w:t>
      </w:r>
      <w:r w:rsidRPr="003A1174">
        <w:rPr>
          <w:rFonts w:ascii="Garamond" w:hAnsi="Garamond" w:cs="Arial"/>
          <w:lang w:val="pt-PT"/>
        </w:rPr>
        <w:t xml:space="preserve"> </w:t>
      </w:r>
      <w:r w:rsidR="00CB5DB2" w:rsidRPr="003A1174">
        <w:rPr>
          <w:rFonts w:ascii="Garamond" w:hAnsi="Garamond" w:cs="Arial"/>
          <w:lang w:val="pt-PT"/>
        </w:rPr>
        <w:t>referência</w:t>
      </w:r>
      <w:r w:rsidRPr="003A1174">
        <w:rPr>
          <w:rFonts w:ascii="Garamond" w:hAnsi="Garamond" w:cs="Arial"/>
          <w:lang w:val="pt-PT"/>
        </w:rPr>
        <w:t>.</w:t>
      </w:r>
    </w:p>
    <w:p w:rsidR="00A132B3" w:rsidRPr="003A1174" w:rsidRDefault="00A132B3" w:rsidP="008719D4">
      <w:pPr>
        <w:pStyle w:val="NormalWeb"/>
        <w:spacing w:before="90" w:beforeAutospacing="0" w:after="45"/>
        <w:ind w:left="75" w:right="75"/>
        <w:jc w:val="both"/>
        <w:rPr>
          <w:rFonts w:ascii="Garamond" w:hAnsi="Garamond" w:cs="Arial"/>
          <w:lang w:val="pt-PT"/>
        </w:rPr>
      </w:pPr>
      <w:r w:rsidRPr="003A1174">
        <w:rPr>
          <w:rFonts w:ascii="Garamond" w:hAnsi="Garamond" w:cs="Arial"/>
          <w:lang w:val="pt-PT"/>
        </w:rPr>
        <w:t>Daí que a</w:t>
      </w:r>
      <w:r w:rsidR="008843FD" w:rsidRPr="003A1174">
        <w:rPr>
          <w:rFonts w:ascii="Garamond" w:hAnsi="Garamond" w:cs="Arial"/>
          <w:lang w:val="pt-PT"/>
        </w:rPr>
        <w:t>ssumamos um</w:t>
      </w:r>
      <w:r w:rsidRPr="003A1174">
        <w:rPr>
          <w:rFonts w:ascii="Garamond" w:hAnsi="Garamond" w:cs="Arial"/>
          <w:lang w:val="pt-PT"/>
        </w:rPr>
        <w:t xml:space="preserve">a </w:t>
      </w:r>
      <w:r w:rsidR="004E3A1A" w:rsidRPr="003A1174">
        <w:rPr>
          <w:rFonts w:ascii="Garamond" w:hAnsi="Garamond" w:cs="Arial"/>
          <w:lang w:val="pt-PT"/>
        </w:rPr>
        <w:t>ideia</w:t>
      </w:r>
      <w:r w:rsidRPr="003A1174">
        <w:rPr>
          <w:rFonts w:ascii="Garamond" w:hAnsi="Garamond" w:cs="Arial"/>
          <w:lang w:val="pt-PT"/>
        </w:rPr>
        <w:t xml:space="preserve"> de </w:t>
      </w:r>
      <w:r w:rsidR="00886D6A" w:rsidRPr="003A1174">
        <w:rPr>
          <w:rFonts w:ascii="Garamond" w:hAnsi="Garamond" w:cs="Arial"/>
          <w:lang w:val="pt-PT"/>
        </w:rPr>
        <w:t>Acesso</w:t>
      </w:r>
      <w:r w:rsidRPr="003A1174">
        <w:rPr>
          <w:rFonts w:ascii="Garamond" w:hAnsi="Garamond" w:cs="Arial"/>
          <w:lang w:val="pt-PT"/>
        </w:rPr>
        <w:t xml:space="preserve"> </w:t>
      </w:r>
      <w:r w:rsidR="008843FD" w:rsidRPr="003A1174">
        <w:rPr>
          <w:rFonts w:ascii="Garamond" w:hAnsi="Garamond" w:cs="Arial"/>
          <w:lang w:val="pt-PT"/>
        </w:rPr>
        <w:t xml:space="preserve">à </w:t>
      </w:r>
      <w:r w:rsidR="00FC1F7F" w:rsidRPr="003A1174">
        <w:rPr>
          <w:rFonts w:ascii="Garamond" w:hAnsi="Garamond" w:cs="Arial"/>
          <w:lang w:val="pt-PT"/>
        </w:rPr>
        <w:t>Justiça</w:t>
      </w:r>
      <w:r w:rsidRPr="003A1174">
        <w:rPr>
          <w:rFonts w:ascii="Garamond" w:hAnsi="Garamond" w:cs="Arial"/>
          <w:lang w:val="pt-PT"/>
        </w:rPr>
        <w:t xml:space="preserve"> que</w:t>
      </w:r>
      <w:r w:rsidR="000C4382">
        <w:rPr>
          <w:rFonts w:ascii="Garamond" w:hAnsi="Garamond" w:cs="Arial"/>
          <w:lang w:val="pt-PT"/>
        </w:rPr>
        <w:t>,</w:t>
      </w:r>
      <w:r w:rsidRPr="003A1174">
        <w:rPr>
          <w:rFonts w:ascii="Garamond" w:hAnsi="Garamond" w:cs="Arial"/>
          <w:lang w:val="pt-PT"/>
        </w:rPr>
        <w:t xml:space="preserve"> p</w:t>
      </w:r>
      <w:r w:rsidR="00E7631C" w:rsidRPr="003A1174">
        <w:rPr>
          <w:rFonts w:ascii="Garamond" w:hAnsi="Garamond" w:cs="Arial"/>
          <w:lang w:val="pt-PT"/>
        </w:rPr>
        <w:t xml:space="preserve">artindo de </w:t>
      </w:r>
      <w:r w:rsidR="008843FD" w:rsidRPr="003A1174">
        <w:rPr>
          <w:rFonts w:ascii="Garamond" w:hAnsi="Garamond" w:cs="Arial"/>
          <w:lang w:val="pt-PT"/>
        </w:rPr>
        <w:t xml:space="preserve">elementos como </w:t>
      </w:r>
      <w:r w:rsidRPr="003A1174">
        <w:rPr>
          <w:rFonts w:ascii="Garamond" w:hAnsi="Garamond" w:cs="Arial"/>
          <w:lang w:val="pt-PT"/>
        </w:rPr>
        <w:t>os ant</w:t>
      </w:r>
      <w:r w:rsidR="000C4382">
        <w:rPr>
          <w:rFonts w:ascii="Garamond" w:hAnsi="Garamond" w:cs="Arial"/>
          <w:lang w:val="pt-PT"/>
        </w:rPr>
        <w:t>eri</w:t>
      </w:r>
      <w:r w:rsidR="0085051D">
        <w:rPr>
          <w:rFonts w:ascii="Garamond" w:hAnsi="Garamond" w:cs="Arial"/>
          <w:lang w:val="pt-PT"/>
        </w:rPr>
        <w:t>o</w:t>
      </w:r>
      <w:r w:rsidR="000C4382">
        <w:rPr>
          <w:rFonts w:ascii="Garamond" w:hAnsi="Garamond" w:cs="Arial"/>
          <w:lang w:val="pt-PT"/>
        </w:rPr>
        <w:t>rmente</w:t>
      </w:r>
      <w:r w:rsidRPr="003A1174">
        <w:rPr>
          <w:rFonts w:ascii="Garamond" w:hAnsi="Garamond" w:cs="Arial"/>
          <w:lang w:val="pt-PT"/>
        </w:rPr>
        <w:t xml:space="preserve"> indicados</w:t>
      </w:r>
      <w:r w:rsidR="000C4382">
        <w:rPr>
          <w:rFonts w:ascii="Garamond" w:hAnsi="Garamond" w:cs="Arial"/>
          <w:lang w:val="pt-PT"/>
        </w:rPr>
        <w:t>,</w:t>
      </w:r>
      <w:r w:rsidRPr="003A1174">
        <w:rPr>
          <w:rFonts w:ascii="Garamond" w:hAnsi="Garamond" w:cs="Arial"/>
          <w:lang w:val="pt-PT"/>
        </w:rPr>
        <w:t xml:space="preserve"> </w:t>
      </w:r>
      <w:r w:rsidR="008843FD" w:rsidRPr="003A1174">
        <w:rPr>
          <w:rFonts w:ascii="Garamond" w:hAnsi="Garamond" w:cs="Arial"/>
          <w:lang w:val="pt-PT"/>
        </w:rPr>
        <w:t xml:space="preserve">e numa </w:t>
      </w:r>
      <w:r w:rsidR="00D96FD0" w:rsidRPr="003A1174">
        <w:rPr>
          <w:rFonts w:ascii="Garamond" w:hAnsi="Garamond" w:cs="Arial"/>
          <w:lang w:val="pt-PT"/>
        </w:rPr>
        <w:t>racionalidade</w:t>
      </w:r>
      <w:r w:rsidRPr="003A1174">
        <w:rPr>
          <w:rFonts w:ascii="Garamond" w:hAnsi="Garamond" w:cs="Arial"/>
          <w:lang w:val="pt-PT"/>
        </w:rPr>
        <w:t xml:space="preserve"> </w:t>
      </w:r>
      <w:r w:rsidR="008843FD" w:rsidRPr="003A1174">
        <w:rPr>
          <w:rFonts w:ascii="Garamond" w:hAnsi="Garamond" w:cs="Arial"/>
          <w:lang w:val="pt-PT"/>
        </w:rPr>
        <w:t xml:space="preserve">convergente com a </w:t>
      </w:r>
      <w:r w:rsidR="004E3A1A" w:rsidRPr="003A1174">
        <w:rPr>
          <w:rFonts w:ascii="Garamond" w:hAnsi="Garamond" w:cs="Arial"/>
          <w:lang w:val="pt-PT"/>
        </w:rPr>
        <w:t>ideia</w:t>
      </w:r>
      <w:r w:rsidR="008843FD" w:rsidRPr="003A1174">
        <w:rPr>
          <w:rFonts w:ascii="Garamond" w:hAnsi="Garamond" w:cs="Arial"/>
          <w:lang w:val="pt-PT"/>
        </w:rPr>
        <w:t xml:space="preserve"> de Tutela Jurisdi</w:t>
      </w:r>
      <w:r w:rsidRPr="003A1174">
        <w:rPr>
          <w:rFonts w:ascii="Garamond" w:hAnsi="Garamond" w:cs="Arial"/>
          <w:lang w:val="pt-PT"/>
        </w:rPr>
        <w:t xml:space="preserve">cional </w:t>
      </w:r>
      <w:r w:rsidR="00D84A9F" w:rsidRPr="003A1174">
        <w:rPr>
          <w:rFonts w:ascii="Garamond" w:hAnsi="Garamond" w:cs="Arial"/>
          <w:lang w:val="pt-PT"/>
        </w:rPr>
        <w:t>Efetiva</w:t>
      </w:r>
      <w:r w:rsidRPr="003A1174">
        <w:rPr>
          <w:rFonts w:ascii="Garamond" w:hAnsi="Garamond" w:cs="Arial"/>
          <w:lang w:val="pt-PT"/>
        </w:rPr>
        <w:t xml:space="preserve">, </w:t>
      </w:r>
      <w:r w:rsidR="008843FD" w:rsidRPr="003A1174">
        <w:rPr>
          <w:rFonts w:ascii="Garamond" w:hAnsi="Garamond" w:cs="Arial"/>
          <w:lang w:val="pt-PT"/>
        </w:rPr>
        <w:t xml:space="preserve">é </w:t>
      </w:r>
      <w:r w:rsidRPr="003A1174">
        <w:rPr>
          <w:rFonts w:ascii="Garamond" w:hAnsi="Garamond" w:cs="Arial"/>
          <w:lang w:val="pt-PT"/>
        </w:rPr>
        <w:t xml:space="preserve">concebida como </w:t>
      </w:r>
    </w:p>
    <w:p w:rsidR="00A132B3" w:rsidRPr="0085051D" w:rsidRDefault="0085051D" w:rsidP="009F3AC2">
      <w:pPr>
        <w:pStyle w:val="NormalWeb"/>
        <w:spacing w:before="90" w:beforeAutospacing="0" w:after="45"/>
        <w:ind w:left="567" w:right="75"/>
        <w:jc w:val="both"/>
        <w:rPr>
          <w:rFonts w:ascii="Garamond" w:hAnsi="Garamond" w:cs="Arial"/>
          <w:sz w:val="22"/>
          <w:szCs w:val="22"/>
          <w:lang w:val="pt-PT"/>
        </w:rPr>
      </w:pPr>
      <w:proofErr w:type="gramStart"/>
      <w:r w:rsidRPr="0085051D">
        <w:rPr>
          <w:rFonts w:ascii="Garamond" w:hAnsi="Garamond" w:cs="Arial"/>
          <w:sz w:val="22"/>
          <w:szCs w:val="22"/>
          <w:lang w:val="pt-PT"/>
        </w:rPr>
        <w:t>«</w:t>
      </w:r>
      <w:r w:rsidR="001905FD" w:rsidRPr="0085051D">
        <w:rPr>
          <w:rFonts w:ascii="Garamond" w:hAnsi="Garamond" w:cs="Arial"/>
          <w:sz w:val="22"/>
          <w:szCs w:val="22"/>
          <w:lang w:val="pt-PT"/>
        </w:rPr>
        <w:t>…</w:t>
      </w:r>
      <w:proofErr w:type="gramEnd"/>
      <w:r w:rsidR="00A132B3" w:rsidRPr="0085051D">
        <w:rPr>
          <w:rFonts w:ascii="Garamond" w:hAnsi="Garamond" w:cs="Arial"/>
          <w:sz w:val="22"/>
          <w:szCs w:val="22"/>
          <w:lang w:val="pt-PT"/>
        </w:rPr>
        <w:t xml:space="preserve">a </w:t>
      </w:r>
      <w:r w:rsidR="008843FD" w:rsidRPr="0085051D">
        <w:rPr>
          <w:rFonts w:ascii="Garamond" w:hAnsi="Garamond" w:cs="Arial"/>
          <w:sz w:val="22"/>
          <w:szCs w:val="22"/>
          <w:lang w:val="pt-PT"/>
        </w:rPr>
        <w:t>possibilidade</w:t>
      </w:r>
      <w:r w:rsidR="00A132B3" w:rsidRPr="0085051D">
        <w:rPr>
          <w:rFonts w:ascii="Garamond" w:hAnsi="Garamond" w:cs="Arial"/>
          <w:sz w:val="22"/>
          <w:szCs w:val="22"/>
          <w:lang w:val="pt-PT"/>
        </w:rPr>
        <w:t xml:space="preserve"> real o</w:t>
      </w:r>
      <w:r w:rsidR="008843FD" w:rsidRPr="0085051D">
        <w:rPr>
          <w:rFonts w:ascii="Garamond" w:hAnsi="Garamond" w:cs="Arial"/>
          <w:sz w:val="22"/>
          <w:szCs w:val="22"/>
          <w:lang w:val="pt-PT"/>
        </w:rPr>
        <w:t xml:space="preserve">u material de todas </w:t>
      </w:r>
      <w:r w:rsidR="00A132B3" w:rsidRPr="0085051D">
        <w:rPr>
          <w:rFonts w:ascii="Garamond" w:hAnsi="Garamond" w:cs="Arial"/>
          <w:sz w:val="22"/>
          <w:szCs w:val="22"/>
          <w:lang w:val="pt-PT"/>
        </w:rPr>
        <w:t xml:space="preserve">as </w:t>
      </w:r>
      <w:r w:rsidR="006C760C" w:rsidRPr="0085051D">
        <w:rPr>
          <w:rFonts w:ascii="Garamond" w:hAnsi="Garamond" w:cs="Arial"/>
          <w:sz w:val="22"/>
          <w:szCs w:val="22"/>
          <w:lang w:val="pt-PT"/>
        </w:rPr>
        <w:t>pessoas</w:t>
      </w:r>
      <w:r w:rsidR="00A132B3" w:rsidRPr="0085051D">
        <w:rPr>
          <w:rFonts w:ascii="Garamond" w:hAnsi="Garamond" w:cs="Arial"/>
          <w:sz w:val="22"/>
          <w:szCs w:val="22"/>
          <w:lang w:val="pt-PT"/>
        </w:rPr>
        <w:t xml:space="preserve">, </w:t>
      </w:r>
      <w:r w:rsidR="00731B19" w:rsidRPr="0085051D">
        <w:rPr>
          <w:rFonts w:ascii="Garamond" w:hAnsi="Garamond" w:cs="Arial"/>
          <w:sz w:val="22"/>
          <w:szCs w:val="22"/>
          <w:lang w:val="pt-PT"/>
        </w:rPr>
        <w:t>sem</w:t>
      </w:r>
      <w:r w:rsidR="00A132B3" w:rsidRPr="0085051D">
        <w:rPr>
          <w:rFonts w:ascii="Garamond" w:hAnsi="Garamond" w:cs="Arial"/>
          <w:sz w:val="22"/>
          <w:szCs w:val="22"/>
          <w:lang w:val="pt-PT"/>
        </w:rPr>
        <w:t xml:space="preserve"> </w:t>
      </w:r>
      <w:r w:rsidR="008843FD" w:rsidRPr="0085051D">
        <w:rPr>
          <w:rFonts w:ascii="Garamond" w:hAnsi="Garamond" w:cs="Arial"/>
          <w:sz w:val="22"/>
          <w:szCs w:val="22"/>
          <w:lang w:val="pt-PT"/>
        </w:rPr>
        <w:t>distinção</w:t>
      </w:r>
      <w:r w:rsidR="00A132B3" w:rsidRPr="0085051D">
        <w:rPr>
          <w:rFonts w:ascii="Garamond" w:hAnsi="Garamond" w:cs="Arial"/>
          <w:sz w:val="22"/>
          <w:szCs w:val="22"/>
          <w:lang w:val="pt-PT"/>
        </w:rPr>
        <w:t xml:space="preserve">, </w:t>
      </w:r>
      <w:r w:rsidR="008843FD" w:rsidRPr="0085051D">
        <w:rPr>
          <w:rFonts w:ascii="Garamond" w:hAnsi="Garamond" w:cs="Arial"/>
          <w:sz w:val="22"/>
          <w:szCs w:val="22"/>
          <w:lang w:val="pt-PT"/>
        </w:rPr>
        <w:t xml:space="preserve">de </w:t>
      </w:r>
      <w:r w:rsidR="00A132B3" w:rsidRPr="0085051D">
        <w:rPr>
          <w:rFonts w:ascii="Garamond" w:hAnsi="Garamond" w:cs="Arial"/>
          <w:sz w:val="22"/>
          <w:szCs w:val="22"/>
          <w:lang w:val="pt-PT"/>
        </w:rPr>
        <w:t>exigir</w:t>
      </w:r>
      <w:r w:rsidR="008843FD" w:rsidRPr="0085051D">
        <w:rPr>
          <w:rFonts w:ascii="Garamond" w:hAnsi="Garamond" w:cs="Arial"/>
          <w:sz w:val="22"/>
          <w:szCs w:val="22"/>
          <w:lang w:val="pt-PT"/>
        </w:rPr>
        <w:t>em</w:t>
      </w:r>
      <w:r w:rsidR="00E7631C" w:rsidRPr="0085051D">
        <w:rPr>
          <w:rFonts w:ascii="Garamond" w:hAnsi="Garamond" w:cs="Arial"/>
          <w:sz w:val="22"/>
          <w:szCs w:val="22"/>
          <w:lang w:val="pt-PT"/>
        </w:rPr>
        <w:t xml:space="preserve">, </w:t>
      </w:r>
      <w:r w:rsidR="000C4382" w:rsidRPr="0085051D">
        <w:rPr>
          <w:rFonts w:ascii="Garamond" w:hAnsi="Garamond" w:cs="Arial"/>
          <w:sz w:val="22"/>
          <w:szCs w:val="22"/>
          <w:lang w:val="pt-PT"/>
        </w:rPr>
        <w:t xml:space="preserve">ao </w:t>
      </w:r>
      <w:r w:rsidR="00A132B3" w:rsidRPr="0085051D">
        <w:rPr>
          <w:rFonts w:ascii="Garamond" w:hAnsi="Garamond" w:cs="Arial"/>
          <w:sz w:val="22"/>
          <w:szCs w:val="22"/>
          <w:lang w:val="pt-PT"/>
        </w:rPr>
        <w:t xml:space="preserve">Estado </w:t>
      </w:r>
      <w:r w:rsidR="000C4382" w:rsidRPr="0085051D">
        <w:rPr>
          <w:rFonts w:ascii="Garamond" w:hAnsi="Garamond" w:cs="Arial"/>
          <w:sz w:val="22"/>
          <w:szCs w:val="22"/>
          <w:lang w:val="pt-PT"/>
        </w:rPr>
        <w:t>uma atuação  rápida</w:t>
      </w:r>
      <w:r w:rsidR="008843FD" w:rsidRPr="0085051D">
        <w:rPr>
          <w:rFonts w:ascii="Garamond" w:hAnsi="Garamond" w:cs="Arial"/>
          <w:sz w:val="22"/>
          <w:szCs w:val="22"/>
          <w:lang w:val="pt-PT"/>
        </w:rPr>
        <w:t xml:space="preserve"> e </w:t>
      </w:r>
      <w:r w:rsidR="003F012B" w:rsidRPr="0085051D">
        <w:rPr>
          <w:rFonts w:ascii="Garamond" w:hAnsi="Garamond" w:cs="Arial"/>
          <w:sz w:val="22"/>
          <w:szCs w:val="22"/>
          <w:lang w:val="pt-PT"/>
        </w:rPr>
        <w:t>procedimentos</w:t>
      </w:r>
      <w:r w:rsidR="00A132B3" w:rsidRPr="0085051D">
        <w:rPr>
          <w:rFonts w:ascii="Garamond" w:hAnsi="Garamond" w:cs="Arial"/>
          <w:sz w:val="22"/>
          <w:szCs w:val="22"/>
          <w:lang w:val="pt-PT"/>
        </w:rPr>
        <w:t xml:space="preserve"> </w:t>
      </w:r>
      <w:r w:rsidR="007578C6" w:rsidRPr="0085051D">
        <w:rPr>
          <w:rFonts w:ascii="Garamond" w:hAnsi="Garamond" w:cs="Arial"/>
          <w:sz w:val="22"/>
          <w:szCs w:val="22"/>
          <w:lang w:val="pt-PT"/>
        </w:rPr>
        <w:t>razoáveis</w:t>
      </w:r>
      <w:r w:rsidR="008843FD" w:rsidRPr="0085051D">
        <w:rPr>
          <w:rFonts w:ascii="Garamond" w:hAnsi="Garamond" w:cs="Arial"/>
          <w:sz w:val="22"/>
          <w:szCs w:val="22"/>
          <w:lang w:val="pt-PT"/>
        </w:rPr>
        <w:t xml:space="preserve">, </w:t>
      </w:r>
      <w:r w:rsidR="000C4382" w:rsidRPr="0085051D">
        <w:rPr>
          <w:rFonts w:ascii="Garamond" w:hAnsi="Garamond" w:cs="Arial"/>
          <w:sz w:val="22"/>
          <w:szCs w:val="22"/>
          <w:lang w:val="pt-PT"/>
        </w:rPr>
        <w:t>n</w:t>
      </w:r>
      <w:r w:rsidR="00A132B3" w:rsidRPr="0085051D">
        <w:rPr>
          <w:rFonts w:ascii="Garamond" w:hAnsi="Garamond" w:cs="Arial"/>
          <w:sz w:val="22"/>
          <w:szCs w:val="22"/>
          <w:lang w:val="pt-PT"/>
        </w:rPr>
        <w:t xml:space="preserve">as </w:t>
      </w:r>
      <w:r w:rsidR="008843FD" w:rsidRPr="0085051D">
        <w:rPr>
          <w:rFonts w:ascii="Garamond" w:hAnsi="Garamond" w:cs="Arial"/>
          <w:sz w:val="22"/>
          <w:szCs w:val="22"/>
          <w:lang w:val="pt-PT"/>
        </w:rPr>
        <w:t>atuações</w:t>
      </w:r>
      <w:r w:rsidR="00A132B3" w:rsidRPr="0085051D">
        <w:rPr>
          <w:rFonts w:ascii="Garamond" w:hAnsi="Garamond" w:cs="Arial"/>
          <w:sz w:val="22"/>
          <w:szCs w:val="22"/>
          <w:lang w:val="pt-PT"/>
        </w:rPr>
        <w:t xml:space="preserve"> </w:t>
      </w:r>
      <w:r w:rsidR="007578C6" w:rsidRPr="0085051D">
        <w:rPr>
          <w:rFonts w:ascii="Garamond" w:hAnsi="Garamond" w:cs="Arial"/>
          <w:sz w:val="22"/>
          <w:szCs w:val="22"/>
          <w:lang w:val="pt-PT"/>
        </w:rPr>
        <w:t>necessária</w:t>
      </w:r>
      <w:r w:rsidR="00A132B3" w:rsidRPr="0085051D">
        <w:rPr>
          <w:rFonts w:ascii="Garamond" w:hAnsi="Garamond" w:cs="Arial"/>
          <w:sz w:val="22"/>
          <w:szCs w:val="22"/>
          <w:lang w:val="pt-PT"/>
        </w:rPr>
        <w:t xml:space="preserve">s para </w:t>
      </w:r>
      <w:r w:rsidR="008843FD" w:rsidRPr="0085051D">
        <w:rPr>
          <w:rFonts w:ascii="Garamond" w:hAnsi="Garamond" w:cs="Arial"/>
          <w:sz w:val="22"/>
          <w:szCs w:val="22"/>
          <w:lang w:val="pt-PT"/>
        </w:rPr>
        <w:t xml:space="preserve">conseguirem o </w:t>
      </w:r>
      <w:r w:rsidR="008843FD" w:rsidRPr="0085051D">
        <w:rPr>
          <w:rFonts w:ascii="Garamond" w:hAnsi="Garamond" w:cs="Arial"/>
          <w:sz w:val="22"/>
          <w:szCs w:val="22"/>
          <w:lang w:val="pt-PT"/>
        </w:rPr>
        <w:lastRenderedPageBreak/>
        <w:t>respeito e</w:t>
      </w:r>
      <w:r w:rsidR="00A132B3" w:rsidRPr="0085051D">
        <w:rPr>
          <w:rFonts w:ascii="Garamond" w:hAnsi="Garamond" w:cs="Arial"/>
          <w:sz w:val="22"/>
          <w:szCs w:val="22"/>
          <w:lang w:val="pt-PT"/>
        </w:rPr>
        <w:t xml:space="preserve"> </w:t>
      </w:r>
      <w:r w:rsidR="00886D6A" w:rsidRPr="0085051D">
        <w:rPr>
          <w:rFonts w:ascii="Garamond" w:hAnsi="Garamond" w:cs="Arial"/>
          <w:sz w:val="22"/>
          <w:szCs w:val="22"/>
          <w:lang w:val="pt-PT"/>
        </w:rPr>
        <w:t>proteção</w:t>
      </w:r>
      <w:r w:rsidR="00A132B3" w:rsidRPr="0085051D">
        <w:rPr>
          <w:rFonts w:ascii="Garamond" w:hAnsi="Garamond" w:cs="Arial"/>
          <w:sz w:val="22"/>
          <w:szCs w:val="22"/>
          <w:lang w:val="pt-PT"/>
        </w:rPr>
        <w:t xml:space="preserve"> eficaz</w:t>
      </w:r>
      <w:r w:rsidR="008843FD" w:rsidRPr="0085051D">
        <w:rPr>
          <w:rFonts w:ascii="Garamond" w:hAnsi="Garamond" w:cs="Arial"/>
          <w:sz w:val="22"/>
          <w:szCs w:val="22"/>
          <w:lang w:val="pt-PT"/>
        </w:rPr>
        <w:t>es</w:t>
      </w:r>
      <w:r w:rsidR="00A132B3" w:rsidRPr="0085051D">
        <w:rPr>
          <w:rFonts w:ascii="Garamond" w:hAnsi="Garamond" w:cs="Arial"/>
          <w:sz w:val="22"/>
          <w:szCs w:val="22"/>
          <w:lang w:val="pt-PT"/>
        </w:rPr>
        <w:t xml:space="preserve"> d</w:t>
      </w:r>
      <w:r w:rsidR="008843FD" w:rsidRPr="0085051D">
        <w:rPr>
          <w:rFonts w:ascii="Garamond" w:hAnsi="Garamond" w:cs="Arial"/>
          <w:sz w:val="22"/>
          <w:szCs w:val="22"/>
          <w:lang w:val="pt-PT"/>
        </w:rPr>
        <w:t xml:space="preserve">os seus </w:t>
      </w:r>
      <w:r w:rsidR="00886D6A" w:rsidRPr="0085051D">
        <w:rPr>
          <w:rFonts w:ascii="Garamond" w:hAnsi="Garamond" w:cs="Arial"/>
          <w:sz w:val="22"/>
          <w:szCs w:val="22"/>
          <w:lang w:val="pt-PT"/>
        </w:rPr>
        <w:t>direito</w:t>
      </w:r>
      <w:r w:rsidR="00A132B3" w:rsidRPr="0085051D">
        <w:rPr>
          <w:rFonts w:ascii="Garamond" w:hAnsi="Garamond" w:cs="Arial"/>
          <w:sz w:val="22"/>
          <w:szCs w:val="22"/>
          <w:lang w:val="pt-PT"/>
        </w:rPr>
        <w:t>s, inclui</w:t>
      </w:r>
      <w:r w:rsidR="008843FD" w:rsidRPr="0085051D">
        <w:rPr>
          <w:rFonts w:ascii="Garamond" w:hAnsi="Garamond" w:cs="Arial"/>
          <w:sz w:val="22"/>
          <w:szCs w:val="22"/>
          <w:lang w:val="pt-PT"/>
        </w:rPr>
        <w:t>ndo, de acordo com cada caso, a</w:t>
      </w:r>
      <w:r w:rsidR="00A132B3" w:rsidRPr="0085051D">
        <w:rPr>
          <w:rFonts w:ascii="Garamond" w:hAnsi="Garamond" w:cs="Arial"/>
          <w:sz w:val="22"/>
          <w:szCs w:val="22"/>
          <w:lang w:val="pt-PT"/>
        </w:rPr>
        <w:t xml:space="preserve">s medidas de </w:t>
      </w:r>
      <w:r w:rsidR="00AE3F78" w:rsidRPr="0085051D">
        <w:rPr>
          <w:rFonts w:ascii="Garamond" w:hAnsi="Garamond" w:cs="Arial"/>
          <w:sz w:val="22"/>
          <w:szCs w:val="22"/>
          <w:lang w:val="pt-PT"/>
        </w:rPr>
        <w:t>compensação</w:t>
      </w:r>
      <w:r w:rsidR="00A132B3" w:rsidRPr="0085051D">
        <w:rPr>
          <w:rFonts w:ascii="Garamond" w:hAnsi="Garamond" w:cs="Arial"/>
          <w:sz w:val="22"/>
          <w:szCs w:val="22"/>
          <w:lang w:val="pt-PT"/>
        </w:rPr>
        <w:t xml:space="preserve"> aprop</w:t>
      </w:r>
      <w:r w:rsidR="008843FD" w:rsidRPr="0085051D">
        <w:rPr>
          <w:rFonts w:ascii="Garamond" w:hAnsi="Garamond" w:cs="Arial"/>
          <w:sz w:val="22"/>
          <w:szCs w:val="22"/>
          <w:lang w:val="pt-PT"/>
        </w:rPr>
        <w:t>r</w:t>
      </w:r>
      <w:r w:rsidR="00A132B3" w:rsidRPr="0085051D">
        <w:rPr>
          <w:rFonts w:ascii="Garamond" w:hAnsi="Garamond" w:cs="Arial"/>
          <w:sz w:val="22"/>
          <w:szCs w:val="22"/>
          <w:lang w:val="pt-PT"/>
        </w:rPr>
        <w:t>iadas.</w:t>
      </w:r>
      <w:r w:rsidRPr="0085051D">
        <w:rPr>
          <w:rFonts w:ascii="Garamond" w:hAnsi="Garamond" w:cs="Arial"/>
          <w:sz w:val="22"/>
          <w:szCs w:val="22"/>
          <w:lang w:val="pt-PT"/>
        </w:rPr>
        <w:t>»</w:t>
      </w:r>
    </w:p>
    <w:p w:rsidR="00A132B3" w:rsidRPr="003A1174" w:rsidRDefault="00A132B3" w:rsidP="008719D4">
      <w:pPr>
        <w:pStyle w:val="NormalWeb"/>
        <w:spacing w:before="90" w:beforeAutospacing="0" w:after="45"/>
        <w:ind w:right="75"/>
        <w:jc w:val="both"/>
        <w:rPr>
          <w:rFonts w:ascii="Garamond" w:hAnsi="Garamond" w:cs="Arial"/>
          <w:lang w:val="pt-PT"/>
        </w:rPr>
      </w:pPr>
    </w:p>
    <w:p w:rsidR="00A132B3" w:rsidRPr="003A1174" w:rsidRDefault="00A132B3" w:rsidP="008719D4">
      <w:pPr>
        <w:pStyle w:val="NormalWeb"/>
        <w:spacing w:before="90" w:beforeAutospacing="0" w:after="45"/>
        <w:ind w:right="75"/>
        <w:jc w:val="both"/>
        <w:rPr>
          <w:rFonts w:ascii="Garamond" w:hAnsi="Garamond"/>
          <w:lang w:val="pt-PT"/>
        </w:rPr>
      </w:pPr>
      <w:r w:rsidRPr="003A1174">
        <w:rPr>
          <w:rFonts w:ascii="Garamond" w:hAnsi="Garamond" w:cs="Arial"/>
          <w:lang w:val="pt-PT"/>
        </w:rPr>
        <w:t xml:space="preserve">Conforme </w:t>
      </w:r>
      <w:r w:rsidR="008843FD" w:rsidRPr="003A1174">
        <w:rPr>
          <w:rFonts w:ascii="Garamond" w:hAnsi="Garamond" w:cs="Arial"/>
          <w:lang w:val="pt-PT"/>
        </w:rPr>
        <w:t xml:space="preserve">o </w:t>
      </w:r>
      <w:r w:rsidR="0085051D">
        <w:rPr>
          <w:rFonts w:ascii="Garamond" w:hAnsi="Garamond" w:cs="Arial"/>
          <w:lang w:val="pt-PT"/>
        </w:rPr>
        <w:t xml:space="preserve">atrás </w:t>
      </w:r>
      <w:r w:rsidR="008843FD" w:rsidRPr="003A1174">
        <w:rPr>
          <w:rFonts w:ascii="Garamond" w:hAnsi="Garamond" w:cs="Arial"/>
          <w:lang w:val="pt-PT"/>
        </w:rPr>
        <w:t>referido</w:t>
      </w:r>
      <w:r w:rsidR="0085051D">
        <w:rPr>
          <w:rFonts w:ascii="Garamond" w:hAnsi="Garamond" w:cs="Arial"/>
          <w:lang w:val="pt-PT"/>
        </w:rPr>
        <w:t>,</w:t>
      </w:r>
      <w:r w:rsidR="008843FD" w:rsidRPr="003A1174">
        <w:rPr>
          <w:rFonts w:ascii="Garamond" w:hAnsi="Garamond" w:cs="Arial"/>
          <w:lang w:val="pt-PT"/>
        </w:rPr>
        <w:t xml:space="preserve"> </w:t>
      </w:r>
      <w:r w:rsidR="000350B1" w:rsidRPr="003A1174">
        <w:rPr>
          <w:rFonts w:ascii="Garamond" w:hAnsi="Garamond" w:cs="Arial"/>
          <w:lang w:val="pt-PT"/>
        </w:rPr>
        <w:t>também</w:t>
      </w:r>
      <w:r w:rsidRPr="003A1174">
        <w:rPr>
          <w:rFonts w:ascii="Garamond" w:hAnsi="Garamond" w:cs="Arial"/>
          <w:lang w:val="pt-PT"/>
        </w:rPr>
        <w:t xml:space="preserve"> </w:t>
      </w:r>
      <w:r w:rsidR="008843FD" w:rsidRPr="003A1174">
        <w:rPr>
          <w:rFonts w:ascii="Garamond" w:hAnsi="Garamond" w:cs="Arial"/>
          <w:lang w:val="pt-PT"/>
        </w:rPr>
        <w:t xml:space="preserve">fazem </w:t>
      </w:r>
      <w:r w:rsidRPr="003A1174">
        <w:rPr>
          <w:rFonts w:ascii="Garamond" w:hAnsi="Garamond" w:cs="Arial"/>
          <w:lang w:val="pt-PT"/>
        </w:rPr>
        <w:t>parte d</w:t>
      </w:r>
      <w:r w:rsidR="008843FD" w:rsidRPr="003A1174">
        <w:rPr>
          <w:rFonts w:ascii="Garamond" w:hAnsi="Garamond" w:cs="Arial"/>
          <w:lang w:val="pt-PT"/>
        </w:rPr>
        <w:t>o</w:t>
      </w:r>
      <w:r w:rsidRPr="003A1174">
        <w:rPr>
          <w:rFonts w:ascii="Garamond" w:hAnsi="Garamond" w:cs="Arial"/>
          <w:lang w:val="pt-PT"/>
        </w:rPr>
        <w:t xml:space="preserve"> </w:t>
      </w:r>
      <w:r w:rsidR="00886D6A" w:rsidRPr="003A1174">
        <w:rPr>
          <w:rFonts w:ascii="Garamond" w:hAnsi="Garamond" w:cs="Arial"/>
          <w:lang w:val="pt-PT"/>
        </w:rPr>
        <w:t>Acesso</w:t>
      </w:r>
      <w:r w:rsidRPr="003A1174">
        <w:rPr>
          <w:rFonts w:ascii="Garamond" w:hAnsi="Garamond" w:cs="Arial"/>
          <w:lang w:val="pt-PT"/>
        </w:rPr>
        <w:t xml:space="preserve"> </w:t>
      </w:r>
      <w:r w:rsidR="008843FD" w:rsidRPr="003A1174">
        <w:rPr>
          <w:rFonts w:ascii="Garamond" w:hAnsi="Garamond" w:cs="Arial"/>
          <w:lang w:val="pt-PT"/>
        </w:rPr>
        <w:t xml:space="preserve">à </w:t>
      </w:r>
      <w:r w:rsidR="00FC1F7F" w:rsidRPr="003A1174">
        <w:rPr>
          <w:rFonts w:ascii="Garamond" w:hAnsi="Garamond" w:cs="Arial"/>
          <w:lang w:val="pt-PT"/>
        </w:rPr>
        <w:t>Justiça</w:t>
      </w:r>
      <w:r w:rsidR="008843FD" w:rsidRPr="003A1174">
        <w:rPr>
          <w:rFonts w:ascii="Garamond" w:hAnsi="Garamond" w:cs="Arial"/>
          <w:lang w:val="pt-PT"/>
        </w:rPr>
        <w:t xml:space="preserve"> </w:t>
      </w:r>
      <w:r w:rsidRPr="003A1174">
        <w:rPr>
          <w:rFonts w:ascii="Garamond" w:hAnsi="Garamond" w:cs="Arial"/>
          <w:lang w:val="pt-PT"/>
        </w:rPr>
        <w:t xml:space="preserve">os mecanismos administrativos </w:t>
      </w:r>
      <w:r w:rsidR="008843FD" w:rsidRPr="003A1174">
        <w:rPr>
          <w:rFonts w:ascii="Garamond" w:hAnsi="Garamond" w:cs="Arial"/>
          <w:lang w:val="pt-PT"/>
        </w:rPr>
        <w:t xml:space="preserve">prestados pelo </w:t>
      </w:r>
      <w:r w:rsidRPr="003A1174">
        <w:rPr>
          <w:rFonts w:ascii="Garamond" w:hAnsi="Garamond" w:cs="Arial"/>
          <w:lang w:val="pt-PT"/>
        </w:rPr>
        <w:t>Estado</w:t>
      </w:r>
      <w:r w:rsidR="000C4382">
        <w:rPr>
          <w:rFonts w:ascii="Garamond" w:hAnsi="Garamond" w:cs="Arial"/>
          <w:lang w:val="pt-PT"/>
        </w:rPr>
        <w:t xml:space="preserve"> </w:t>
      </w:r>
      <w:r w:rsidRPr="003A1174">
        <w:rPr>
          <w:rFonts w:ascii="Garamond" w:hAnsi="Garamond" w:cs="Arial"/>
          <w:lang w:val="pt-PT"/>
        </w:rPr>
        <w:t>que</w:t>
      </w:r>
      <w:r w:rsidR="000C4382">
        <w:rPr>
          <w:rFonts w:ascii="Garamond" w:hAnsi="Garamond" w:cs="Arial"/>
          <w:lang w:val="pt-PT"/>
        </w:rPr>
        <w:t>,</w:t>
      </w:r>
      <w:r w:rsidRPr="003A1174">
        <w:rPr>
          <w:rFonts w:ascii="Garamond" w:hAnsi="Garamond" w:cs="Arial"/>
          <w:lang w:val="pt-PT"/>
        </w:rPr>
        <w:t xml:space="preserve"> </w:t>
      </w:r>
      <w:r w:rsidR="001905FD" w:rsidRPr="003A1174">
        <w:rPr>
          <w:rFonts w:ascii="Garamond" w:hAnsi="Garamond" w:cs="Arial"/>
          <w:lang w:val="pt-PT"/>
        </w:rPr>
        <w:t>mediante</w:t>
      </w:r>
      <w:r w:rsidRPr="003A1174">
        <w:rPr>
          <w:rFonts w:ascii="Garamond" w:hAnsi="Garamond" w:cs="Arial"/>
          <w:lang w:val="pt-PT"/>
        </w:rPr>
        <w:t xml:space="preserve"> </w:t>
      </w:r>
      <w:r w:rsidR="008843FD" w:rsidRPr="003A1174">
        <w:rPr>
          <w:rFonts w:ascii="Garamond" w:hAnsi="Garamond" w:cs="Arial"/>
          <w:lang w:val="pt-PT"/>
        </w:rPr>
        <w:t xml:space="preserve">as </w:t>
      </w:r>
      <w:r w:rsidRPr="003A1174">
        <w:rPr>
          <w:rFonts w:ascii="Garamond" w:hAnsi="Garamond" w:cs="Arial"/>
          <w:lang w:val="pt-PT"/>
        </w:rPr>
        <w:t>su</w:t>
      </w:r>
      <w:r w:rsidR="008843FD" w:rsidRPr="003A1174">
        <w:rPr>
          <w:rFonts w:ascii="Garamond" w:hAnsi="Garamond" w:cs="Arial"/>
          <w:lang w:val="pt-PT"/>
        </w:rPr>
        <w:t>a</w:t>
      </w:r>
      <w:r w:rsidRPr="003A1174">
        <w:rPr>
          <w:rFonts w:ascii="Garamond" w:hAnsi="Garamond" w:cs="Arial"/>
          <w:lang w:val="pt-PT"/>
        </w:rPr>
        <w:t>s modalidades</w:t>
      </w:r>
      <w:r w:rsidR="008843FD" w:rsidRPr="003A1174">
        <w:rPr>
          <w:rFonts w:ascii="Garamond" w:hAnsi="Garamond" w:cs="Arial"/>
          <w:lang w:val="pt-PT"/>
        </w:rPr>
        <w:t xml:space="preserve"> e caraterística</w:t>
      </w:r>
      <w:r w:rsidRPr="003A1174">
        <w:rPr>
          <w:rFonts w:ascii="Garamond" w:hAnsi="Garamond" w:cs="Arial"/>
          <w:lang w:val="pt-PT"/>
        </w:rPr>
        <w:t>s</w:t>
      </w:r>
      <w:r w:rsidR="000C4382">
        <w:rPr>
          <w:rFonts w:ascii="Garamond" w:hAnsi="Garamond" w:cs="Arial"/>
          <w:lang w:val="pt-PT"/>
        </w:rPr>
        <w:t>,</w:t>
      </w:r>
      <w:r w:rsidRPr="003A1174">
        <w:rPr>
          <w:rFonts w:ascii="Garamond" w:hAnsi="Garamond" w:cs="Arial"/>
          <w:lang w:val="pt-PT"/>
        </w:rPr>
        <w:t xml:space="preserve"> p</w:t>
      </w:r>
      <w:r w:rsidR="008843FD" w:rsidRPr="003A1174">
        <w:rPr>
          <w:rFonts w:ascii="Garamond" w:hAnsi="Garamond" w:cs="Arial"/>
          <w:lang w:val="pt-PT"/>
        </w:rPr>
        <w:t xml:space="preserve">ossam </w:t>
      </w:r>
      <w:r w:rsidRPr="003A1174">
        <w:rPr>
          <w:rFonts w:ascii="Garamond" w:hAnsi="Garamond" w:cs="Arial"/>
          <w:lang w:val="pt-PT"/>
        </w:rPr>
        <w:t>produ</w:t>
      </w:r>
      <w:r w:rsidR="008843FD" w:rsidRPr="003A1174">
        <w:rPr>
          <w:rFonts w:ascii="Garamond" w:hAnsi="Garamond" w:cs="Arial"/>
          <w:lang w:val="pt-PT"/>
        </w:rPr>
        <w:t xml:space="preserve">zir resultados como </w:t>
      </w:r>
      <w:r w:rsidRPr="003A1174">
        <w:rPr>
          <w:rFonts w:ascii="Garamond" w:hAnsi="Garamond" w:cs="Arial"/>
          <w:lang w:val="pt-PT"/>
        </w:rPr>
        <w:t>os que</w:t>
      </w:r>
      <w:r w:rsidR="008843FD" w:rsidRPr="003A1174">
        <w:rPr>
          <w:rFonts w:ascii="Garamond" w:hAnsi="Garamond" w:cs="Arial"/>
          <w:lang w:val="pt-PT"/>
        </w:rPr>
        <w:t xml:space="preserve"> procura </w:t>
      </w:r>
      <w:r w:rsidRPr="003A1174">
        <w:rPr>
          <w:rFonts w:ascii="Garamond" w:hAnsi="Garamond" w:cs="Arial"/>
          <w:lang w:val="pt-PT"/>
        </w:rPr>
        <w:t xml:space="preserve">este </w:t>
      </w:r>
      <w:r w:rsidR="00886D6A" w:rsidRPr="003A1174">
        <w:rPr>
          <w:rFonts w:ascii="Garamond" w:hAnsi="Garamond" w:cs="Arial"/>
          <w:lang w:val="pt-PT"/>
        </w:rPr>
        <w:t>direito</w:t>
      </w:r>
      <w:r w:rsidRPr="003A1174">
        <w:rPr>
          <w:rFonts w:ascii="Garamond" w:hAnsi="Garamond" w:cs="Arial"/>
          <w:lang w:val="pt-PT"/>
        </w:rPr>
        <w:t xml:space="preserve"> fundamental.</w:t>
      </w:r>
      <w:r w:rsidRPr="003A1174">
        <w:rPr>
          <w:rStyle w:val="Refdenotaalpie"/>
          <w:rFonts w:ascii="Garamond" w:hAnsi="Garamond" w:cs="Arial"/>
        </w:rPr>
        <w:footnoteReference w:id="22"/>
      </w:r>
      <w:r w:rsidRPr="003A1174">
        <w:rPr>
          <w:rFonts w:ascii="Garamond" w:hAnsi="Garamond" w:cs="Arial"/>
          <w:lang w:val="pt-PT"/>
        </w:rPr>
        <w:t xml:space="preserve"> </w:t>
      </w:r>
    </w:p>
    <w:p w:rsidR="00A132B3" w:rsidRPr="003A1174" w:rsidRDefault="00055E2D" w:rsidP="008719D4">
      <w:pPr>
        <w:pStyle w:val="Ttulo3"/>
        <w:spacing w:line="240" w:lineRule="auto"/>
        <w:ind w:left="705" w:hanging="705"/>
        <w:jc w:val="both"/>
        <w:rPr>
          <w:rFonts w:ascii="Garamond" w:hAnsi="Garamond"/>
          <w:i/>
          <w:sz w:val="24"/>
          <w:szCs w:val="24"/>
        </w:rPr>
      </w:pPr>
      <w:bookmarkStart w:id="10" w:name="_Toc421529698"/>
      <w:r w:rsidRPr="00C8548A">
        <w:rPr>
          <w:rFonts w:ascii="Garamond" w:hAnsi="Garamond" w:cs="Arial"/>
          <w:sz w:val="24"/>
          <w:szCs w:val="24"/>
        </w:rPr>
        <w:t>1.4.2</w:t>
      </w:r>
      <w:r w:rsidRPr="003A1174">
        <w:rPr>
          <w:rFonts w:ascii="Garamond" w:hAnsi="Garamond" w:cs="Arial"/>
          <w:sz w:val="24"/>
          <w:szCs w:val="24"/>
        </w:rPr>
        <w:t xml:space="preserve"> </w:t>
      </w:r>
      <w:r w:rsidRPr="003A1174">
        <w:rPr>
          <w:rFonts w:ascii="Garamond" w:hAnsi="Garamond" w:cs="Arial"/>
          <w:sz w:val="24"/>
          <w:szCs w:val="24"/>
        </w:rPr>
        <w:tab/>
      </w:r>
      <w:r w:rsidR="00A132B3" w:rsidRPr="003A1174">
        <w:rPr>
          <w:rFonts w:ascii="Garamond" w:hAnsi="Garamond"/>
          <w:sz w:val="24"/>
          <w:szCs w:val="24"/>
        </w:rPr>
        <w:t>U</w:t>
      </w:r>
      <w:r w:rsidR="002E7FD5" w:rsidRPr="003A1174">
        <w:rPr>
          <w:rFonts w:ascii="Garamond" w:hAnsi="Garamond"/>
          <w:sz w:val="24"/>
          <w:szCs w:val="24"/>
        </w:rPr>
        <w:t>m</w:t>
      </w:r>
      <w:r w:rsidR="00A132B3" w:rsidRPr="003A1174">
        <w:rPr>
          <w:rFonts w:ascii="Garamond" w:hAnsi="Garamond"/>
          <w:sz w:val="24"/>
          <w:szCs w:val="24"/>
        </w:rPr>
        <w:t xml:space="preserve"> </w:t>
      </w:r>
      <w:r w:rsidR="00253B1D" w:rsidRPr="003A1174">
        <w:rPr>
          <w:rFonts w:ascii="Garamond" w:hAnsi="Garamond"/>
          <w:sz w:val="24"/>
          <w:szCs w:val="24"/>
        </w:rPr>
        <w:t>traço</w:t>
      </w:r>
      <w:r w:rsidR="00A132B3" w:rsidRPr="003A1174">
        <w:rPr>
          <w:rFonts w:ascii="Garamond" w:hAnsi="Garamond"/>
          <w:sz w:val="24"/>
          <w:szCs w:val="24"/>
        </w:rPr>
        <w:t xml:space="preserve"> significativo d</w:t>
      </w:r>
      <w:r w:rsidR="002E7FD5" w:rsidRPr="003A1174">
        <w:rPr>
          <w:rFonts w:ascii="Garamond" w:hAnsi="Garamond"/>
          <w:sz w:val="24"/>
          <w:szCs w:val="24"/>
        </w:rPr>
        <w:t>o</w:t>
      </w:r>
      <w:r w:rsidR="00A132B3" w:rsidRPr="003A1174">
        <w:rPr>
          <w:rFonts w:ascii="Garamond" w:hAnsi="Garamond"/>
          <w:sz w:val="24"/>
          <w:szCs w:val="24"/>
        </w:rPr>
        <w:t xml:space="preserve"> </w:t>
      </w:r>
      <w:r w:rsidR="00886D6A" w:rsidRPr="003A1174">
        <w:rPr>
          <w:rFonts w:ascii="Garamond" w:hAnsi="Garamond"/>
          <w:sz w:val="24"/>
          <w:szCs w:val="24"/>
        </w:rPr>
        <w:t>direito</w:t>
      </w:r>
      <w:r w:rsidR="00A132B3" w:rsidRPr="003A1174">
        <w:rPr>
          <w:rFonts w:ascii="Garamond" w:hAnsi="Garamond"/>
          <w:sz w:val="24"/>
          <w:szCs w:val="24"/>
        </w:rPr>
        <w:t xml:space="preserve"> </w:t>
      </w:r>
      <w:r w:rsidR="002E7FD5" w:rsidRPr="003A1174">
        <w:rPr>
          <w:rFonts w:ascii="Garamond" w:hAnsi="Garamond"/>
          <w:sz w:val="24"/>
          <w:szCs w:val="24"/>
        </w:rPr>
        <w:t xml:space="preserve">ao </w:t>
      </w:r>
      <w:r w:rsidR="00886D6A" w:rsidRPr="003A1174">
        <w:rPr>
          <w:rFonts w:ascii="Garamond" w:hAnsi="Garamond"/>
          <w:sz w:val="24"/>
          <w:szCs w:val="24"/>
        </w:rPr>
        <w:t>Acesso</w:t>
      </w:r>
      <w:r w:rsidR="00A132B3" w:rsidRPr="003A1174">
        <w:rPr>
          <w:rFonts w:ascii="Garamond" w:hAnsi="Garamond"/>
          <w:sz w:val="24"/>
          <w:szCs w:val="24"/>
        </w:rPr>
        <w:t xml:space="preserve"> </w:t>
      </w:r>
      <w:r w:rsidR="002E7FD5" w:rsidRPr="003A1174">
        <w:rPr>
          <w:rFonts w:ascii="Garamond" w:hAnsi="Garamond"/>
          <w:sz w:val="24"/>
          <w:szCs w:val="24"/>
        </w:rPr>
        <w:t xml:space="preserve">à </w:t>
      </w:r>
      <w:r w:rsidR="00FC1F7F" w:rsidRPr="003A1174">
        <w:rPr>
          <w:rFonts w:ascii="Garamond" w:hAnsi="Garamond"/>
          <w:sz w:val="24"/>
          <w:szCs w:val="24"/>
        </w:rPr>
        <w:t>Justiça</w:t>
      </w:r>
      <w:r w:rsidR="00A132B3" w:rsidRPr="003A1174">
        <w:rPr>
          <w:rFonts w:ascii="Garamond" w:hAnsi="Garamond"/>
          <w:sz w:val="24"/>
          <w:szCs w:val="24"/>
        </w:rPr>
        <w:t xml:space="preserve">: </w:t>
      </w:r>
      <w:r w:rsidR="002E7FD5" w:rsidRPr="003A1174">
        <w:rPr>
          <w:rFonts w:ascii="Garamond" w:hAnsi="Garamond"/>
          <w:sz w:val="24"/>
          <w:szCs w:val="24"/>
        </w:rPr>
        <w:t xml:space="preserve">o </w:t>
      </w:r>
      <w:r w:rsidR="00120915" w:rsidRPr="003A1174">
        <w:rPr>
          <w:rFonts w:ascii="Garamond" w:hAnsi="Garamond"/>
          <w:sz w:val="24"/>
          <w:szCs w:val="24"/>
        </w:rPr>
        <w:t>caráter</w:t>
      </w:r>
      <w:r w:rsidR="00A132B3" w:rsidRPr="003A1174">
        <w:rPr>
          <w:rFonts w:ascii="Garamond" w:hAnsi="Garamond"/>
          <w:sz w:val="24"/>
          <w:szCs w:val="24"/>
        </w:rPr>
        <w:t xml:space="preserve"> de </w:t>
      </w:r>
      <w:r w:rsidR="00A132B3" w:rsidRPr="003A1174">
        <w:rPr>
          <w:rFonts w:ascii="Garamond" w:hAnsi="Garamond"/>
          <w:i/>
          <w:sz w:val="24"/>
          <w:szCs w:val="24"/>
        </w:rPr>
        <w:t>Ius Cogens</w:t>
      </w:r>
      <w:bookmarkEnd w:id="10"/>
    </w:p>
    <w:p w:rsidR="00A132B3" w:rsidRPr="003A1174" w:rsidRDefault="00A132B3" w:rsidP="008719D4">
      <w:pPr>
        <w:pStyle w:val="NormalWeb"/>
        <w:spacing w:before="240" w:beforeAutospacing="0" w:after="45"/>
        <w:ind w:right="75"/>
        <w:jc w:val="both"/>
        <w:rPr>
          <w:rFonts w:ascii="Garamond" w:hAnsi="Garamond" w:cs="Arial"/>
          <w:lang w:val="pt-PT"/>
        </w:rPr>
      </w:pPr>
      <w:r w:rsidRPr="00030F56">
        <w:rPr>
          <w:rFonts w:ascii="Garamond" w:hAnsi="Garamond" w:cs="Arial"/>
          <w:lang w:val="pt-PT"/>
        </w:rPr>
        <w:t>Val</w:t>
      </w:r>
      <w:r w:rsidR="002E7FD5" w:rsidRPr="00030F56">
        <w:rPr>
          <w:rFonts w:ascii="Garamond" w:hAnsi="Garamond" w:cs="Arial"/>
          <w:lang w:val="pt-PT"/>
        </w:rPr>
        <w:t xml:space="preserve">e a pena </w:t>
      </w:r>
      <w:r w:rsidRPr="00030F56">
        <w:rPr>
          <w:rFonts w:ascii="Garamond" w:hAnsi="Garamond" w:cs="Arial"/>
          <w:lang w:val="pt-PT"/>
        </w:rPr>
        <w:t>recordar</w:t>
      </w:r>
      <w:r w:rsidR="0085051D" w:rsidRPr="00030F56">
        <w:rPr>
          <w:rFonts w:ascii="Garamond" w:hAnsi="Garamond" w:cs="Arial"/>
          <w:lang w:val="pt-PT"/>
        </w:rPr>
        <w:t>,</w:t>
      </w:r>
      <w:r w:rsidRPr="00030F56">
        <w:rPr>
          <w:rFonts w:ascii="Garamond" w:hAnsi="Garamond" w:cs="Arial"/>
          <w:lang w:val="pt-PT"/>
        </w:rPr>
        <w:t xml:space="preserve"> </w:t>
      </w:r>
      <w:r w:rsidR="002E7FD5" w:rsidRPr="00030F56">
        <w:rPr>
          <w:rFonts w:ascii="Garamond" w:hAnsi="Garamond" w:cs="Arial"/>
          <w:lang w:val="pt-PT"/>
        </w:rPr>
        <w:t>agora</w:t>
      </w:r>
      <w:r w:rsidR="0085051D" w:rsidRPr="00030F56">
        <w:rPr>
          <w:rFonts w:ascii="Garamond" w:hAnsi="Garamond" w:cs="Arial"/>
          <w:lang w:val="pt-PT"/>
        </w:rPr>
        <w:t>,</w:t>
      </w:r>
      <w:r w:rsidR="002E7FD5" w:rsidRPr="00030F56">
        <w:rPr>
          <w:rFonts w:ascii="Garamond" w:hAnsi="Garamond" w:cs="Arial"/>
          <w:lang w:val="pt-PT"/>
        </w:rPr>
        <w:t xml:space="preserve"> um</w:t>
      </w:r>
      <w:r w:rsidRPr="00030F56">
        <w:rPr>
          <w:rFonts w:ascii="Garamond" w:hAnsi="Garamond" w:cs="Arial"/>
          <w:lang w:val="pt-PT"/>
        </w:rPr>
        <w:t xml:space="preserve">a </w:t>
      </w:r>
      <w:r w:rsidR="00C965B4" w:rsidRPr="00030F56">
        <w:rPr>
          <w:rFonts w:ascii="Garamond" w:hAnsi="Garamond" w:cs="Arial"/>
          <w:lang w:val="pt-PT"/>
        </w:rPr>
        <w:t>série</w:t>
      </w:r>
      <w:r w:rsidRPr="00030F56">
        <w:rPr>
          <w:rFonts w:ascii="Garamond" w:hAnsi="Garamond" w:cs="Arial"/>
          <w:lang w:val="pt-PT"/>
        </w:rPr>
        <w:t xml:space="preserve"> de </w:t>
      </w:r>
      <w:r w:rsidR="002E7FD5" w:rsidRPr="00030F56">
        <w:rPr>
          <w:rFonts w:ascii="Garamond" w:hAnsi="Garamond" w:cs="Arial"/>
          <w:lang w:val="pt-PT"/>
        </w:rPr>
        <w:t>pronúncias</w:t>
      </w:r>
      <w:r w:rsidRPr="00030F56">
        <w:rPr>
          <w:rFonts w:ascii="Garamond" w:hAnsi="Garamond" w:cs="Arial"/>
          <w:lang w:val="pt-PT"/>
        </w:rPr>
        <w:t xml:space="preserve"> </w:t>
      </w:r>
      <w:r w:rsidR="002D1021" w:rsidRPr="00030F56">
        <w:rPr>
          <w:rFonts w:ascii="Garamond" w:hAnsi="Garamond" w:cs="Arial"/>
          <w:lang w:val="pt-PT"/>
        </w:rPr>
        <w:t>judiciais</w:t>
      </w:r>
      <w:r w:rsidRPr="00030F56">
        <w:rPr>
          <w:rFonts w:ascii="Garamond" w:hAnsi="Garamond" w:cs="Arial"/>
          <w:lang w:val="pt-PT"/>
        </w:rPr>
        <w:t xml:space="preserve"> d</w:t>
      </w:r>
      <w:r w:rsidR="008879E7" w:rsidRPr="00030F56">
        <w:rPr>
          <w:rFonts w:ascii="Garamond" w:hAnsi="Garamond" w:cs="Arial"/>
          <w:lang w:val="pt-PT"/>
        </w:rPr>
        <w:t>o</w:t>
      </w:r>
      <w:r w:rsidRPr="00030F56">
        <w:rPr>
          <w:rFonts w:ascii="Garamond" w:hAnsi="Garamond" w:cs="Arial"/>
          <w:lang w:val="pt-PT"/>
        </w:rPr>
        <w:t xml:space="preserve"> </w:t>
      </w:r>
      <w:r w:rsidR="008879E7" w:rsidRPr="00030F56">
        <w:rPr>
          <w:rFonts w:ascii="Garamond" w:hAnsi="Garamond" w:cs="Arial"/>
          <w:lang w:val="pt-PT"/>
        </w:rPr>
        <w:t>Tribunal</w:t>
      </w:r>
      <w:r w:rsidR="002A7FDD" w:rsidRPr="00030F56">
        <w:rPr>
          <w:rFonts w:ascii="Garamond" w:hAnsi="Garamond" w:cs="Arial"/>
          <w:lang w:val="pt-PT"/>
        </w:rPr>
        <w:t xml:space="preserve"> </w:t>
      </w:r>
      <w:r w:rsidRPr="00030F56">
        <w:rPr>
          <w:rFonts w:ascii="Garamond" w:hAnsi="Garamond" w:cs="Arial"/>
          <w:lang w:val="pt-PT"/>
        </w:rPr>
        <w:t>Interamerican</w:t>
      </w:r>
      <w:r w:rsidR="008879E7" w:rsidRPr="00030F56">
        <w:rPr>
          <w:rFonts w:ascii="Garamond" w:hAnsi="Garamond" w:cs="Arial"/>
          <w:lang w:val="pt-PT"/>
        </w:rPr>
        <w:t>o</w:t>
      </w:r>
      <w:r w:rsidRPr="00030F56">
        <w:rPr>
          <w:rFonts w:ascii="Garamond" w:hAnsi="Garamond" w:cs="Arial"/>
          <w:lang w:val="pt-PT"/>
        </w:rPr>
        <w:t xml:space="preserve"> de </w:t>
      </w:r>
      <w:r w:rsidR="00886D6A" w:rsidRPr="00030F56">
        <w:rPr>
          <w:rFonts w:ascii="Garamond" w:hAnsi="Garamond" w:cs="Arial"/>
          <w:lang w:val="pt-PT"/>
        </w:rPr>
        <w:t>Direito</w:t>
      </w:r>
      <w:r w:rsidRPr="00030F56">
        <w:rPr>
          <w:rFonts w:ascii="Garamond" w:hAnsi="Garamond" w:cs="Arial"/>
          <w:lang w:val="pt-PT"/>
        </w:rPr>
        <w:t>s Humanos</w:t>
      </w:r>
      <w:r w:rsidR="0085051D" w:rsidRPr="00030F56">
        <w:rPr>
          <w:rFonts w:ascii="Garamond" w:hAnsi="Garamond" w:cs="Arial"/>
          <w:lang w:val="pt-PT"/>
        </w:rPr>
        <w:t>,</w:t>
      </w:r>
      <w:r w:rsidRPr="00030F56">
        <w:rPr>
          <w:rFonts w:ascii="Garamond" w:hAnsi="Garamond" w:cs="Arial"/>
          <w:lang w:val="pt-PT"/>
        </w:rPr>
        <w:t xml:space="preserve"> </w:t>
      </w:r>
      <w:r w:rsidR="002E7FD5" w:rsidRPr="00030F56">
        <w:rPr>
          <w:rFonts w:ascii="Garamond" w:hAnsi="Garamond" w:cs="Arial"/>
          <w:lang w:val="pt-PT"/>
        </w:rPr>
        <w:t>relativamente</w:t>
      </w:r>
      <w:r w:rsidR="0085051D" w:rsidRPr="00030F56">
        <w:rPr>
          <w:rFonts w:ascii="Garamond" w:hAnsi="Garamond" w:cs="Arial"/>
          <w:lang w:val="pt-PT"/>
        </w:rPr>
        <w:t>,</w:t>
      </w:r>
      <w:r w:rsidR="00C8548A" w:rsidRPr="00030F56">
        <w:rPr>
          <w:rFonts w:ascii="Garamond" w:hAnsi="Garamond" w:cs="Arial"/>
          <w:lang w:val="pt-PT"/>
        </w:rPr>
        <w:t xml:space="preserve"> </w:t>
      </w:r>
      <w:r w:rsidR="002E7FD5" w:rsidRPr="00030F56">
        <w:rPr>
          <w:rFonts w:ascii="Garamond" w:hAnsi="Garamond" w:cs="Arial"/>
          <w:lang w:val="pt-PT"/>
        </w:rPr>
        <w:t xml:space="preserve">ao </w:t>
      </w:r>
      <w:r w:rsidR="00120915" w:rsidRPr="00030F56">
        <w:rPr>
          <w:rFonts w:ascii="Garamond" w:hAnsi="Garamond" w:cs="Arial"/>
          <w:lang w:val="pt-PT"/>
        </w:rPr>
        <w:t>caráter</w:t>
      </w:r>
      <w:r w:rsidRPr="00030F56">
        <w:rPr>
          <w:rFonts w:ascii="Garamond" w:hAnsi="Garamond" w:cs="Arial"/>
          <w:lang w:val="pt-PT"/>
        </w:rPr>
        <w:t xml:space="preserve"> de </w:t>
      </w:r>
      <w:r w:rsidRPr="00030F56">
        <w:rPr>
          <w:rFonts w:ascii="Garamond" w:hAnsi="Garamond" w:cs="Arial"/>
          <w:i/>
          <w:lang w:val="pt-PT"/>
        </w:rPr>
        <w:t>ius cogens</w:t>
      </w:r>
      <w:r w:rsidRPr="00030F56">
        <w:rPr>
          <w:rFonts w:ascii="Garamond" w:hAnsi="Garamond" w:cs="Arial"/>
          <w:lang w:val="pt-PT"/>
        </w:rPr>
        <w:t xml:space="preserve">. </w:t>
      </w:r>
      <w:r w:rsidR="002E7FD5" w:rsidRPr="00030F56">
        <w:rPr>
          <w:rFonts w:ascii="Garamond" w:hAnsi="Garamond" w:cs="Arial"/>
          <w:lang w:val="pt-PT"/>
        </w:rPr>
        <w:t xml:space="preserve">Iremos começar pelo </w:t>
      </w:r>
      <w:r w:rsidR="00276DCA" w:rsidRPr="00030F56">
        <w:rPr>
          <w:rFonts w:ascii="Garamond" w:hAnsi="Garamond" w:cs="Arial"/>
          <w:lang w:val="pt-PT"/>
        </w:rPr>
        <w:t>primeiro</w:t>
      </w:r>
      <w:r w:rsidRPr="00030F56">
        <w:rPr>
          <w:rFonts w:ascii="Garamond" w:hAnsi="Garamond" w:cs="Arial"/>
          <w:lang w:val="pt-PT"/>
        </w:rPr>
        <w:t xml:space="preserve"> caso </w:t>
      </w:r>
      <w:r w:rsidR="00BD5C0C" w:rsidRPr="00030F56">
        <w:rPr>
          <w:rFonts w:ascii="Garamond" w:hAnsi="Garamond" w:cs="Arial"/>
          <w:lang w:val="pt-PT"/>
        </w:rPr>
        <w:t>e</w:t>
      </w:r>
      <w:r w:rsidR="002E7FD5" w:rsidRPr="00030F56">
        <w:rPr>
          <w:rFonts w:ascii="Garamond" w:hAnsi="Garamond" w:cs="Arial"/>
          <w:lang w:val="pt-PT"/>
        </w:rPr>
        <w:t>m</w:t>
      </w:r>
      <w:r w:rsidR="00BD5C0C" w:rsidRPr="00030F56">
        <w:rPr>
          <w:rFonts w:ascii="Garamond" w:hAnsi="Garamond" w:cs="Arial"/>
          <w:lang w:val="pt-PT"/>
        </w:rPr>
        <w:t xml:space="preserve"> que</w:t>
      </w:r>
      <w:r w:rsidR="002E7FD5" w:rsidRPr="00030F56">
        <w:rPr>
          <w:rFonts w:ascii="Garamond" w:hAnsi="Garamond" w:cs="Arial"/>
          <w:lang w:val="pt-PT"/>
        </w:rPr>
        <w:t xml:space="preserve"> </w:t>
      </w:r>
      <w:r w:rsidR="0085051D" w:rsidRPr="00030F56">
        <w:rPr>
          <w:rFonts w:ascii="Garamond" w:hAnsi="Garamond" w:cs="Arial"/>
          <w:lang w:val="pt-PT"/>
        </w:rPr>
        <w:t xml:space="preserve">o Tribunal </w:t>
      </w:r>
      <w:r w:rsidRPr="00030F56">
        <w:rPr>
          <w:rFonts w:ascii="Garamond" w:hAnsi="Garamond" w:cs="Arial"/>
          <w:lang w:val="pt-PT"/>
        </w:rPr>
        <w:t>regional abord</w:t>
      </w:r>
      <w:r w:rsidR="002E7FD5" w:rsidRPr="00030F56">
        <w:rPr>
          <w:rFonts w:ascii="Garamond" w:hAnsi="Garamond" w:cs="Arial"/>
          <w:lang w:val="pt-PT"/>
        </w:rPr>
        <w:t>ou</w:t>
      </w:r>
      <w:r w:rsidR="0085051D" w:rsidRPr="00030F56">
        <w:rPr>
          <w:rFonts w:ascii="Garamond" w:hAnsi="Garamond" w:cs="Arial"/>
          <w:lang w:val="pt-PT"/>
        </w:rPr>
        <w:t>,</w:t>
      </w:r>
      <w:r w:rsidR="002E7FD5" w:rsidRPr="00030F56">
        <w:rPr>
          <w:rFonts w:ascii="Garamond" w:hAnsi="Garamond" w:cs="Arial"/>
          <w:lang w:val="pt-PT"/>
        </w:rPr>
        <w:t xml:space="preserve"> frontalmente</w:t>
      </w:r>
      <w:r w:rsidR="0085051D" w:rsidRPr="00030F56">
        <w:rPr>
          <w:rFonts w:ascii="Garamond" w:hAnsi="Garamond" w:cs="Arial"/>
          <w:lang w:val="pt-PT"/>
        </w:rPr>
        <w:t>,</w:t>
      </w:r>
      <w:r w:rsidR="002E7FD5" w:rsidRPr="00030F56">
        <w:rPr>
          <w:rFonts w:ascii="Garamond" w:hAnsi="Garamond" w:cs="Arial"/>
          <w:lang w:val="pt-PT"/>
        </w:rPr>
        <w:t xml:space="preserve"> o</w:t>
      </w:r>
      <w:r w:rsidRPr="00030F56">
        <w:rPr>
          <w:rFonts w:ascii="Garamond" w:hAnsi="Garamond" w:cs="Arial"/>
          <w:lang w:val="pt-PT"/>
        </w:rPr>
        <w:t xml:space="preserve"> tema indicado</w:t>
      </w:r>
      <w:r w:rsidR="002E7FD5" w:rsidRPr="00030F56">
        <w:rPr>
          <w:rFonts w:ascii="Garamond" w:hAnsi="Garamond" w:cs="Arial"/>
          <w:lang w:val="pt-PT"/>
        </w:rPr>
        <w:t xml:space="preserve"> com a denominação Goiburu e</w:t>
      </w:r>
      <w:r w:rsidRPr="00030F56">
        <w:rPr>
          <w:rFonts w:ascii="Garamond" w:hAnsi="Garamond" w:cs="Arial"/>
          <w:lang w:val="pt-PT"/>
        </w:rPr>
        <w:t xml:space="preserve"> o</w:t>
      </w:r>
      <w:r w:rsidR="002E7FD5" w:rsidRPr="00030F56">
        <w:rPr>
          <w:rFonts w:ascii="Garamond" w:hAnsi="Garamond" w:cs="Arial"/>
          <w:lang w:val="pt-PT"/>
        </w:rPr>
        <w:t>u</w:t>
      </w:r>
      <w:r w:rsidRPr="00030F56">
        <w:rPr>
          <w:rFonts w:ascii="Garamond" w:hAnsi="Garamond" w:cs="Arial"/>
          <w:lang w:val="pt-PT"/>
        </w:rPr>
        <w:t>tr</w:t>
      </w:r>
      <w:r w:rsidR="00C031E1" w:rsidRPr="00030F56">
        <w:rPr>
          <w:rFonts w:ascii="Garamond" w:hAnsi="Garamond" w:cs="Arial"/>
          <w:lang w:val="pt-PT"/>
        </w:rPr>
        <w:t>o</w:t>
      </w:r>
      <w:r w:rsidRPr="00030F56">
        <w:rPr>
          <w:rFonts w:ascii="Garamond" w:hAnsi="Garamond" w:cs="Arial"/>
          <w:lang w:val="pt-PT"/>
        </w:rPr>
        <w:t xml:space="preserve">s </w:t>
      </w:r>
      <w:r w:rsidRPr="00030F56">
        <w:rPr>
          <w:rFonts w:ascii="Garamond" w:hAnsi="Garamond" w:cs="Arial"/>
          <w:i/>
          <w:lang w:val="pt-PT"/>
        </w:rPr>
        <w:t>vs.</w:t>
      </w:r>
      <w:r w:rsidRPr="00030F56">
        <w:rPr>
          <w:rFonts w:ascii="Garamond" w:hAnsi="Garamond" w:cs="Arial"/>
          <w:lang w:val="pt-PT"/>
        </w:rPr>
        <w:t xml:space="preserve"> </w:t>
      </w:r>
      <w:r w:rsidR="00C30647" w:rsidRPr="00030F56">
        <w:rPr>
          <w:rFonts w:ascii="Garamond" w:hAnsi="Garamond" w:cs="Arial"/>
          <w:lang w:val="pt-PT"/>
        </w:rPr>
        <w:t>Paraguai</w:t>
      </w:r>
      <w:r w:rsidRPr="00030F56">
        <w:rPr>
          <w:rFonts w:ascii="Garamond" w:hAnsi="Garamond" w:cs="Arial"/>
          <w:lang w:val="pt-PT"/>
        </w:rPr>
        <w:t xml:space="preserve">, </w:t>
      </w:r>
      <w:r w:rsidR="002E7FD5" w:rsidRPr="00030F56">
        <w:rPr>
          <w:rFonts w:ascii="Garamond" w:hAnsi="Garamond" w:cs="Arial"/>
          <w:lang w:val="pt-PT"/>
        </w:rPr>
        <w:t>no q</w:t>
      </w:r>
      <w:r w:rsidRPr="00030F56">
        <w:rPr>
          <w:rFonts w:ascii="Garamond" w:hAnsi="Garamond" w:cs="Arial"/>
          <w:lang w:val="pt-PT"/>
        </w:rPr>
        <w:t xml:space="preserve">ual, </w:t>
      </w:r>
      <w:r w:rsidR="002E7FD5" w:rsidRPr="00030F56">
        <w:rPr>
          <w:rFonts w:ascii="Garamond" w:hAnsi="Garamond" w:cs="Arial"/>
          <w:lang w:val="pt-PT"/>
        </w:rPr>
        <w:t>no parágrafo 131 d</w:t>
      </w:r>
      <w:r w:rsidRPr="00030F56">
        <w:rPr>
          <w:rFonts w:ascii="Garamond" w:hAnsi="Garamond" w:cs="Arial"/>
          <w:lang w:val="pt-PT"/>
        </w:rPr>
        <w:t xml:space="preserve">a </w:t>
      </w:r>
      <w:r w:rsidR="00DE6DF6" w:rsidRPr="00030F56">
        <w:rPr>
          <w:rFonts w:ascii="Garamond" w:hAnsi="Garamond" w:cs="Arial"/>
          <w:lang w:val="pt-PT"/>
        </w:rPr>
        <w:t>respetiva</w:t>
      </w:r>
      <w:r w:rsidRPr="00030F56">
        <w:rPr>
          <w:rFonts w:ascii="Garamond" w:hAnsi="Garamond" w:cs="Arial"/>
          <w:lang w:val="pt-PT"/>
        </w:rPr>
        <w:t xml:space="preserve"> </w:t>
      </w:r>
      <w:r w:rsidR="00FC1F7F" w:rsidRPr="00030F56">
        <w:rPr>
          <w:rFonts w:ascii="Garamond" w:hAnsi="Garamond" w:cs="Arial"/>
          <w:lang w:val="pt-PT"/>
        </w:rPr>
        <w:t>sentença</w:t>
      </w:r>
      <w:r w:rsidRPr="00030F56">
        <w:rPr>
          <w:rFonts w:ascii="Garamond" w:hAnsi="Garamond" w:cs="Arial"/>
          <w:lang w:val="pt-PT"/>
        </w:rPr>
        <w:t xml:space="preserve"> </w:t>
      </w:r>
      <w:r w:rsidR="009F035C" w:rsidRPr="00030F56">
        <w:rPr>
          <w:rFonts w:ascii="Garamond" w:hAnsi="Garamond" w:cs="Arial"/>
          <w:lang w:val="pt-PT"/>
        </w:rPr>
        <w:t>concretiza</w:t>
      </w:r>
      <w:r w:rsidRPr="00030F56">
        <w:rPr>
          <w:rFonts w:ascii="Garamond" w:hAnsi="Garamond" w:cs="Arial"/>
          <w:lang w:val="pt-PT"/>
        </w:rPr>
        <w:t>:</w:t>
      </w:r>
    </w:p>
    <w:p w:rsidR="000C4382" w:rsidRPr="000C4382" w:rsidRDefault="000C4382" w:rsidP="009F3AC2">
      <w:pPr>
        <w:widowControl w:val="0"/>
        <w:autoSpaceDE w:val="0"/>
        <w:autoSpaceDN w:val="0"/>
        <w:adjustRightInd w:val="0"/>
        <w:spacing w:line="240" w:lineRule="auto"/>
        <w:ind w:left="567"/>
        <w:jc w:val="both"/>
        <w:rPr>
          <w:rFonts w:ascii="Garamond" w:eastAsia="Calibri" w:hAnsi="Garamond" w:cs="Arial"/>
          <w:i/>
          <w:spacing w:val="-3"/>
          <w:sz w:val="20"/>
          <w:szCs w:val="20"/>
        </w:rPr>
      </w:pPr>
    </w:p>
    <w:p w:rsidR="00A132B3" w:rsidRPr="0085051D" w:rsidRDefault="0085051D" w:rsidP="009F3AC2">
      <w:pPr>
        <w:widowControl w:val="0"/>
        <w:autoSpaceDE w:val="0"/>
        <w:autoSpaceDN w:val="0"/>
        <w:adjustRightInd w:val="0"/>
        <w:spacing w:line="240" w:lineRule="auto"/>
        <w:ind w:left="567"/>
        <w:jc w:val="both"/>
        <w:rPr>
          <w:rFonts w:ascii="Garamond" w:eastAsia="Calibri" w:hAnsi="Garamond" w:cs="Arial"/>
          <w:spacing w:val="-3"/>
        </w:rPr>
      </w:pPr>
      <w:r w:rsidRPr="0085051D">
        <w:rPr>
          <w:rFonts w:ascii="Garamond" w:eastAsia="Calibri" w:hAnsi="Garamond" w:cs="Arial"/>
          <w:spacing w:val="-3"/>
        </w:rPr>
        <w:t>«</w:t>
      </w:r>
      <w:r w:rsidR="009F035C" w:rsidRPr="0085051D">
        <w:rPr>
          <w:rFonts w:ascii="Garamond" w:eastAsia="Calibri" w:hAnsi="Garamond" w:cs="Arial"/>
          <w:spacing w:val="-3"/>
        </w:rPr>
        <w:t>O</w:t>
      </w:r>
      <w:r w:rsidR="00A132B3" w:rsidRPr="0085051D">
        <w:rPr>
          <w:rFonts w:ascii="Garamond" w:eastAsia="Calibri" w:hAnsi="Garamond" w:cs="Arial"/>
          <w:spacing w:val="-3"/>
        </w:rPr>
        <w:t xml:space="preserve"> </w:t>
      </w:r>
      <w:r w:rsidR="00886D6A" w:rsidRPr="0085051D">
        <w:rPr>
          <w:rFonts w:ascii="Garamond" w:eastAsia="Calibri" w:hAnsi="Garamond" w:cs="Arial"/>
          <w:spacing w:val="-3"/>
        </w:rPr>
        <w:t>acesso</w:t>
      </w:r>
      <w:r w:rsidR="00A132B3" w:rsidRPr="0085051D">
        <w:rPr>
          <w:rFonts w:ascii="Garamond" w:eastAsia="Calibri" w:hAnsi="Garamond" w:cs="Arial"/>
          <w:spacing w:val="-3"/>
        </w:rPr>
        <w:t xml:space="preserve"> </w:t>
      </w:r>
      <w:r w:rsidR="009F035C" w:rsidRPr="0085051D">
        <w:rPr>
          <w:rFonts w:ascii="Garamond" w:eastAsia="Calibri" w:hAnsi="Garamond" w:cs="Arial"/>
          <w:spacing w:val="-3"/>
        </w:rPr>
        <w:t xml:space="preserve">à </w:t>
      </w:r>
      <w:r w:rsidR="00FC1F7F" w:rsidRPr="0085051D">
        <w:rPr>
          <w:rFonts w:ascii="Garamond" w:eastAsia="Calibri" w:hAnsi="Garamond" w:cs="Arial"/>
          <w:spacing w:val="-3"/>
        </w:rPr>
        <w:t>justiça</w:t>
      </w:r>
      <w:r w:rsidR="00A132B3" w:rsidRPr="0085051D">
        <w:rPr>
          <w:rFonts w:ascii="Garamond" w:eastAsia="Calibri" w:hAnsi="Garamond" w:cs="Arial"/>
          <w:spacing w:val="-3"/>
        </w:rPr>
        <w:t xml:space="preserve"> </w:t>
      </w:r>
      <w:r w:rsidR="00FB09CA" w:rsidRPr="0085051D">
        <w:rPr>
          <w:rFonts w:ascii="Garamond" w:eastAsia="Calibri" w:hAnsi="Garamond" w:cs="Arial"/>
          <w:spacing w:val="-3"/>
        </w:rPr>
        <w:t>constitui</w:t>
      </w:r>
      <w:r w:rsidR="009F035C" w:rsidRPr="0085051D">
        <w:rPr>
          <w:rFonts w:ascii="Garamond" w:eastAsia="Calibri" w:hAnsi="Garamond" w:cs="Arial"/>
          <w:spacing w:val="-3"/>
        </w:rPr>
        <w:t xml:space="preserve"> uma</w:t>
      </w:r>
      <w:r w:rsidR="00A132B3" w:rsidRPr="0085051D">
        <w:rPr>
          <w:rFonts w:ascii="Garamond" w:eastAsia="Calibri" w:hAnsi="Garamond" w:cs="Arial"/>
          <w:spacing w:val="-3"/>
        </w:rPr>
        <w:t xml:space="preserve"> norma imperativa d</w:t>
      </w:r>
      <w:r w:rsidR="009F035C" w:rsidRPr="0085051D">
        <w:rPr>
          <w:rFonts w:ascii="Garamond" w:eastAsia="Calibri" w:hAnsi="Garamond" w:cs="Arial"/>
          <w:spacing w:val="-3"/>
        </w:rPr>
        <w:t>o</w:t>
      </w:r>
      <w:r w:rsidR="00A132B3" w:rsidRPr="0085051D">
        <w:rPr>
          <w:rFonts w:ascii="Garamond" w:eastAsia="Calibri" w:hAnsi="Garamond" w:cs="Arial"/>
          <w:spacing w:val="-3"/>
        </w:rPr>
        <w:t xml:space="preserve"> </w:t>
      </w:r>
      <w:r w:rsidR="00886D6A" w:rsidRPr="0085051D">
        <w:rPr>
          <w:rFonts w:ascii="Garamond" w:eastAsia="Calibri" w:hAnsi="Garamond" w:cs="Arial"/>
          <w:spacing w:val="-3"/>
        </w:rPr>
        <w:t>Direito</w:t>
      </w:r>
      <w:r w:rsidR="009F035C" w:rsidRPr="0085051D">
        <w:rPr>
          <w:rFonts w:ascii="Garamond" w:eastAsia="Calibri" w:hAnsi="Garamond" w:cs="Arial"/>
          <w:spacing w:val="-3"/>
        </w:rPr>
        <w:t xml:space="preserve"> Internacional e</w:t>
      </w:r>
      <w:r w:rsidR="00A132B3" w:rsidRPr="0085051D">
        <w:rPr>
          <w:rFonts w:ascii="Garamond" w:eastAsia="Calibri" w:hAnsi="Garamond" w:cs="Arial"/>
          <w:spacing w:val="-3"/>
        </w:rPr>
        <w:t xml:space="preserve">, como tal, gera </w:t>
      </w:r>
      <w:r w:rsidR="002F62B0" w:rsidRPr="0085051D">
        <w:rPr>
          <w:rFonts w:ascii="Garamond" w:eastAsia="Calibri" w:hAnsi="Garamond" w:cs="Arial"/>
          <w:spacing w:val="-3"/>
        </w:rPr>
        <w:t>obrigações</w:t>
      </w:r>
      <w:r w:rsidR="00A132B3" w:rsidRPr="0085051D">
        <w:rPr>
          <w:rFonts w:ascii="Garamond" w:eastAsia="Calibri" w:hAnsi="Garamond" w:cs="Arial"/>
          <w:spacing w:val="-3"/>
        </w:rPr>
        <w:t xml:space="preserve"> </w:t>
      </w:r>
      <w:r w:rsidR="00A132B3" w:rsidRPr="0085051D">
        <w:rPr>
          <w:rFonts w:ascii="Garamond" w:eastAsia="Calibri" w:hAnsi="Garamond" w:cs="Arial"/>
          <w:i/>
          <w:spacing w:val="-3"/>
        </w:rPr>
        <w:t>erga omnes</w:t>
      </w:r>
      <w:r w:rsidR="009F035C" w:rsidRPr="0085051D">
        <w:rPr>
          <w:rFonts w:ascii="Garamond" w:eastAsia="Calibri" w:hAnsi="Garamond" w:cs="Arial"/>
          <w:spacing w:val="-3"/>
        </w:rPr>
        <w:t xml:space="preserve"> para o</w:t>
      </w:r>
      <w:r w:rsidR="00A132B3" w:rsidRPr="0085051D">
        <w:rPr>
          <w:rFonts w:ascii="Garamond" w:eastAsia="Calibri" w:hAnsi="Garamond" w:cs="Arial"/>
          <w:spacing w:val="-3"/>
        </w:rPr>
        <w:t xml:space="preserve">s Estados </w:t>
      </w:r>
      <w:r w:rsidR="006C760C" w:rsidRPr="0085051D">
        <w:rPr>
          <w:rFonts w:ascii="Garamond" w:eastAsia="Calibri" w:hAnsi="Garamond" w:cs="Arial"/>
          <w:spacing w:val="-3"/>
        </w:rPr>
        <w:t>adotar</w:t>
      </w:r>
      <w:r w:rsidR="009F035C" w:rsidRPr="0085051D">
        <w:rPr>
          <w:rFonts w:ascii="Garamond" w:eastAsia="Calibri" w:hAnsi="Garamond" w:cs="Arial"/>
          <w:spacing w:val="-3"/>
        </w:rPr>
        <w:t xml:space="preserve">em </w:t>
      </w:r>
      <w:r w:rsidR="00A132B3" w:rsidRPr="0085051D">
        <w:rPr>
          <w:rFonts w:ascii="Garamond" w:eastAsia="Calibri" w:hAnsi="Garamond" w:cs="Arial"/>
          <w:spacing w:val="-3"/>
        </w:rPr>
        <w:t xml:space="preserve">as medidas que </w:t>
      </w:r>
      <w:r w:rsidR="009F035C" w:rsidRPr="0085051D">
        <w:rPr>
          <w:rFonts w:ascii="Garamond" w:eastAsia="Calibri" w:hAnsi="Garamond" w:cs="Arial"/>
          <w:spacing w:val="-3"/>
        </w:rPr>
        <w:t xml:space="preserve">forem </w:t>
      </w:r>
      <w:r w:rsidR="007578C6" w:rsidRPr="0085051D">
        <w:rPr>
          <w:rFonts w:ascii="Garamond" w:eastAsia="Calibri" w:hAnsi="Garamond" w:cs="Arial"/>
          <w:spacing w:val="-3"/>
        </w:rPr>
        <w:t>necessária</w:t>
      </w:r>
      <w:r w:rsidR="00A132B3" w:rsidRPr="0085051D">
        <w:rPr>
          <w:rFonts w:ascii="Garamond" w:eastAsia="Calibri" w:hAnsi="Garamond" w:cs="Arial"/>
          <w:spacing w:val="-3"/>
        </w:rPr>
        <w:t>s para n</w:t>
      </w:r>
      <w:r w:rsidR="009F035C" w:rsidRPr="0085051D">
        <w:rPr>
          <w:rFonts w:ascii="Garamond" w:eastAsia="Calibri" w:hAnsi="Garamond" w:cs="Arial"/>
          <w:spacing w:val="-3"/>
        </w:rPr>
        <w:t>ã</w:t>
      </w:r>
      <w:r w:rsidR="00A132B3" w:rsidRPr="0085051D">
        <w:rPr>
          <w:rFonts w:ascii="Garamond" w:eastAsia="Calibri" w:hAnsi="Garamond" w:cs="Arial"/>
          <w:spacing w:val="-3"/>
        </w:rPr>
        <w:t>o de</w:t>
      </w:r>
      <w:r w:rsidR="009F035C" w:rsidRPr="0085051D">
        <w:rPr>
          <w:rFonts w:ascii="Garamond" w:eastAsia="Calibri" w:hAnsi="Garamond" w:cs="Arial"/>
          <w:spacing w:val="-3"/>
        </w:rPr>
        <w:t xml:space="preserve">ixarem na </w:t>
      </w:r>
      <w:r w:rsidR="00276DCA" w:rsidRPr="0085051D">
        <w:rPr>
          <w:rFonts w:ascii="Garamond" w:eastAsia="Calibri" w:hAnsi="Garamond" w:cs="Arial"/>
          <w:spacing w:val="-3"/>
        </w:rPr>
        <w:t>impunidade</w:t>
      </w:r>
      <w:r w:rsidR="00A132B3" w:rsidRPr="0085051D">
        <w:rPr>
          <w:rFonts w:ascii="Garamond" w:eastAsia="Calibri" w:hAnsi="Garamond" w:cs="Arial"/>
          <w:spacing w:val="-3"/>
        </w:rPr>
        <w:t xml:space="preserve"> e</w:t>
      </w:r>
      <w:r w:rsidR="009F035C" w:rsidRPr="0085051D">
        <w:rPr>
          <w:rFonts w:ascii="Garamond" w:eastAsia="Calibri" w:hAnsi="Garamond" w:cs="Arial"/>
          <w:spacing w:val="-3"/>
        </w:rPr>
        <w:t>s</w:t>
      </w:r>
      <w:r w:rsidR="00A132B3" w:rsidRPr="0085051D">
        <w:rPr>
          <w:rFonts w:ascii="Garamond" w:eastAsia="Calibri" w:hAnsi="Garamond" w:cs="Arial"/>
          <w:spacing w:val="-3"/>
        </w:rPr>
        <w:t xml:space="preserve">sas </w:t>
      </w:r>
      <w:r w:rsidR="002F62B0" w:rsidRPr="0085051D">
        <w:rPr>
          <w:rFonts w:ascii="Garamond" w:eastAsia="Calibri" w:hAnsi="Garamond" w:cs="Arial"/>
          <w:spacing w:val="-3"/>
        </w:rPr>
        <w:t>violações</w:t>
      </w:r>
      <w:r w:rsidR="00A132B3" w:rsidRPr="0085051D">
        <w:rPr>
          <w:rFonts w:ascii="Garamond" w:eastAsia="Calibri" w:hAnsi="Garamond" w:cs="Arial"/>
          <w:spacing w:val="-3"/>
        </w:rPr>
        <w:t xml:space="preserve">, </w:t>
      </w:r>
      <w:r w:rsidR="009F035C" w:rsidRPr="0085051D">
        <w:rPr>
          <w:rFonts w:ascii="Garamond" w:eastAsia="Calibri" w:hAnsi="Garamond" w:cs="Arial"/>
          <w:spacing w:val="-3"/>
        </w:rPr>
        <w:t>exercendo</w:t>
      </w:r>
      <w:r w:rsidR="00A132B3" w:rsidRPr="0085051D">
        <w:rPr>
          <w:rFonts w:ascii="Garamond" w:eastAsia="Calibri" w:hAnsi="Garamond" w:cs="Arial"/>
          <w:spacing w:val="-3"/>
        </w:rPr>
        <w:t xml:space="preserve"> </w:t>
      </w:r>
      <w:r w:rsidR="009F035C" w:rsidRPr="0085051D">
        <w:rPr>
          <w:rFonts w:ascii="Garamond" w:eastAsia="Calibri" w:hAnsi="Garamond" w:cs="Arial"/>
          <w:spacing w:val="-3"/>
        </w:rPr>
        <w:t xml:space="preserve">a </w:t>
      </w:r>
      <w:r w:rsidR="00A132B3" w:rsidRPr="0085051D">
        <w:rPr>
          <w:rFonts w:ascii="Garamond" w:eastAsia="Calibri" w:hAnsi="Garamond" w:cs="Arial"/>
          <w:spacing w:val="-3"/>
        </w:rPr>
        <w:t>su</w:t>
      </w:r>
      <w:r w:rsidR="009F035C" w:rsidRPr="0085051D">
        <w:rPr>
          <w:rFonts w:ascii="Garamond" w:eastAsia="Calibri" w:hAnsi="Garamond" w:cs="Arial"/>
          <w:spacing w:val="-3"/>
        </w:rPr>
        <w:t>a</w:t>
      </w:r>
      <w:r w:rsidR="00A132B3" w:rsidRPr="0085051D">
        <w:rPr>
          <w:rFonts w:ascii="Garamond" w:eastAsia="Calibri" w:hAnsi="Garamond" w:cs="Arial"/>
          <w:spacing w:val="-3"/>
        </w:rPr>
        <w:t xml:space="preserve"> </w:t>
      </w:r>
      <w:r w:rsidR="00731B19" w:rsidRPr="0085051D">
        <w:rPr>
          <w:rFonts w:ascii="Garamond" w:eastAsia="Calibri" w:hAnsi="Garamond" w:cs="Arial"/>
          <w:spacing w:val="-3"/>
        </w:rPr>
        <w:t>jurisdição</w:t>
      </w:r>
      <w:r w:rsidR="00A132B3" w:rsidRPr="0085051D">
        <w:rPr>
          <w:rFonts w:ascii="Garamond" w:eastAsia="Calibri" w:hAnsi="Garamond" w:cs="Arial"/>
          <w:spacing w:val="-3"/>
        </w:rPr>
        <w:t xml:space="preserve"> para aplicar </w:t>
      </w:r>
      <w:r w:rsidR="009F035C" w:rsidRPr="0085051D">
        <w:rPr>
          <w:rFonts w:ascii="Garamond" w:eastAsia="Calibri" w:hAnsi="Garamond" w:cs="Arial"/>
          <w:spacing w:val="-3"/>
        </w:rPr>
        <w:t xml:space="preserve">o </w:t>
      </w:r>
      <w:r w:rsidR="00A132B3" w:rsidRPr="0085051D">
        <w:rPr>
          <w:rFonts w:ascii="Garamond" w:eastAsia="Calibri" w:hAnsi="Garamond" w:cs="Arial"/>
          <w:spacing w:val="-3"/>
        </w:rPr>
        <w:t>s</w:t>
      </w:r>
      <w:r w:rsidR="009F035C" w:rsidRPr="0085051D">
        <w:rPr>
          <w:rFonts w:ascii="Garamond" w:eastAsia="Calibri" w:hAnsi="Garamond" w:cs="Arial"/>
          <w:spacing w:val="-3"/>
        </w:rPr>
        <w:t>e</w:t>
      </w:r>
      <w:r w:rsidR="00A132B3" w:rsidRPr="0085051D">
        <w:rPr>
          <w:rFonts w:ascii="Garamond" w:eastAsia="Calibri" w:hAnsi="Garamond" w:cs="Arial"/>
          <w:spacing w:val="-3"/>
        </w:rPr>
        <w:t xml:space="preserve">u </w:t>
      </w:r>
      <w:r w:rsidR="00886D6A" w:rsidRPr="0085051D">
        <w:rPr>
          <w:rFonts w:ascii="Garamond" w:eastAsia="Calibri" w:hAnsi="Garamond" w:cs="Arial"/>
          <w:spacing w:val="-3"/>
        </w:rPr>
        <w:t>direito</w:t>
      </w:r>
      <w:r w:rsidR="00A132B3" w:rsidRPr="0085051D">
        <w:rPr>
          <w:rFonts w:ascii="Garamond" w:eastAsia="Calibri" w:hAnsi="Garamond" w:cs="Arial"/>
          <w:spacing w:val="-3"/>
        </w:rPr>
        <w:t xml:space="preserve"> interno </w:t>
      </w:r>
      <w:r w:rsidR="009F035C" w:rsidRPr="0085051D">
        <w:rPr>
          <w:rFonts w:ascii="Garamond" w:eastAsia="Calibri" w:hAnsi="Garamond" w:cs="Arial"/>
          <w:spacing w:val="-3"/>
        </w:rPr>
        <w:t>e</w:t>
      </w:r>
      <w:r w:rsidR="00A132B3" w:rsidRPr="0085051D">
        <w:rPr>
          <w:rFonts w:ascii="Garamond" w:eastAsia="Calibri" w:hAnsi="Garamond" w:cs="Arial"/>
          <w:spacing w:val="-3"/>
        </w:rPr>
        <w:t xml:space="preserve"> </w:t>
      </w:r>
      <w:r w:rsidR="009F035C" w:rsidRPr="0085051D">
        <w:rPr>
          <w:rFonts w:ascii="Garamond" w:eastAsia="Calibri" w:hAnsi="Garamond" w:cs="Arial"/>
          <w:spacing w:val="-3"/>
        </w:rPr>
        <w:t>o</w:t>
      </w:r>
      <w:r w:rsidR="00A132B3" w:rsidRPr="0085051D">
        <w:rPr>
          <w:rFonts w:ascii="Garamond" w:eastAsia="Calibri" w:hAnsi="Garamond" w:cs="Arial"/>
          <w:spacing w:val="-3"/>
        </w:rPr>
        <w:t xml:space="preserve"> </w:t>
      </w:r>
      <w:r w:rsidR="00886D6A" w:rsidRPr="0085051D">
        <w:rPr>
          <w:rFonts w:ascii="Garamond" w:eastAsia="Calibri" w:hAnsi="Garamond" w:cs="Arial"/>
          <w:spacing w:val="-3"/>
        </w:rPr>
        <w:t>direito</w:t>
      </w:r>
      <w:r w:rsidR="00A132B3" w:rsidRPr="0085051D">
        <w:rPr>
          <w:rFonts w:ascii="Garamond" w:eastAsia="Calibri" w:hAnsi="Garamond" w:cs="Arial"/>
          <w:spacing w:val="-3"/>
        </w:rPr>
        <w:t xml:space="preserve"> internacional para ju</w:t>
      </w:r>
      <w:r w:rsidR="009F035C" w:rsidRPr="0085051D">
        <w:rPr>
          <w:rFonts w:ascii="Garamond" w:eastAsia="Calibri" w:hAnsi="Garamond" w:cs="Arial"/>
          <w:spacing w:val="-3"/>
        </w:rPr>
        <w:t>lgar e</w:t>
      </w:r>
      <w:r w:rsidR="00A132B3" w:rsidRPr="0085051D">
        <w:rPr>
          <w:rFonts w:ascii="Garamond" w:eastAsia="Calibri" w:hAnsi="Garamond" w:cs="Arial"/>
          <w:spacing w:val="-3"/>
        </w:rPr>
        <w:t xml:space="preserve">, </w:t>
      </w:r>
      <w:r w:rsidR="009F035C" w:rsidRPr="0085051D">
        <w:rPr>
          <w:rFonts w:ascii="Garamond" w:eastAsia="Calibri" w:hAnsi="Garamond" w:cs="Arial"/>
          <w:spacing w:val="-3"/>
        </w:rPr>
        <w:t xml:space="preserve">ser for o </w:t>
      </w:r>
      <w:r w:rsidR="00A132B3" w:rsidRPr="0085051D">
        <w:rPr>
          <w:rFonts w:ascii="Garamond" w:eastAsia="Calibri" w:hAnsi="Garamond" w:cs="Arial"/>
          <w:spacing w:val="-3"/>
        </w:rPr>
        <w:t xml:space="preserve">caso, </w:t>
      </w:r>
      <w:r w:rsidR="003F493C" w:rsidRPr="0085051D">
        <w:rPr>
          <w:rFonts w:ascii="Garamond" w:eastAsia="Calibri" w:hAnsi="Garamond" w:cs="Arial"/>
          <w:spacing w:val="-3"/>
        </w:rPr>
        <w:t>punir</w:t>
      </w:r>
      <w:r w:rsidR="00A132B3" w:rsidRPr="0085051D">
        <w:rPr>
          <w:rFonts w:ascii="Garamond" w:eastAsia="Calibri" w:hAnsi="Garamond" w:cs="Arial"/>
          <w:spacing w:val="-3"/>
        </w:rPr>
        <w:t xml:space="preserve"> os </w:t>
      </w:r>
      <w:r w:rsidR="006F7276" w:rsidRPr="0085051D">
        <w:rPr>
          <w:rFonts w:ascii="Garamond" w:eastAsia="Calibri" w:hAnsi="Garamond" w:cs="Arial"/>
          <w:spacing w:val="-3"/>
        </w:rPr>
        <w:t>responsáveis</w:t>
      </w:r>
      <w:r w:rsidR="00A132B3" w:rsidRPr="0085051D">
        <w:rPr>
          <w:rFonts w:ascii="Garamond" w:eastAsia="Calibri" w:hAnsi="Garamond" w:cs="Arial"/>
          <w:spacing w:val="-3"/>
        </w:rPr>
        <w:t xml:space="preserve"> (...). </w:t>
      </w:r>
      <w:r w:rsidR="00A132B3" w:rsidRPr="0085051D">
        <w:rPr>
          <w:rStyle w:val="Refdenotaalpie"/>
          <w:rFonts w:ascii="Garamond" w:eastAsia="Calibri" w:hAnsi="Garamond" w:cs="Arial"/>
          <w:spacing w:val="-3"/>
        </w:rPr>
        <w:footnoteReference w:id="23"/>
      </w:r>
      <w:r w:rsidRPr="0085051D">
        <w:rPr>
          <w:rFonts w:ascii="Garamond" w:eastAsia="Calibri" w:hAnsi="Garamond" w:cs="Arial"/>
          <w:spacing w:val="-3"/>
        </w:rPr>
        <w:t>»</w:t>
      </w:r>
    </w:p>
    <w:p w:rsidR="00A132B3" w:rsidRPr="003A1174" w:rsidRDefault="00A132B3" w:rsidP="008719D4">
      <w:pPr>
        <w:spacing w:line="240" w:lineRule="auto"/>
        <w:jc w:val="both"/>
        <w:rPr>
          <w:rFonts w:ascii="Garamond" w:hAnsi="Garamond" w:cs="Arial"/>
          <w:sz w:val="24"/>
          <w:szCs w:val="24"/>
        </w:rPr>
      </w:pPr>
      <w:r w:rsidRPr="003A1174">
        <w:rPr>
          <w:rFonts w:ascii="Garamond" w:eastAsia="Calibri" w:hAnsi="Garamond" w:cs="Arial"/>
          <w:spacing w:val="-3"/>
          <w:sz w:val="24"/>
          <w:szCs w:val="24"/>
        </w:rPr>
        <w:t>Co</w:t>
      </w:r>
      <w:r w:rsidR="009F035C" w:rsidRPr="003A1174">
        <w:rPr>
          <w:rFonts w:ascii="Garamond" w:eastAsia="Calibri" w:hAnsi="Garamond" w:cs="Arial"/>
          <w:spacing w:val="-3"/>
          <w:sz w:val="24"/>
          <w:szCs w:val="24"/>
        </w:rPr>
        <w:t xml:space="preserve">m isto, </w:t>
      </w:r>
      <w:r w:rsidR="008879E7">
        <w:rPr>
          <w:rFonts w:ascii="Garamond" w:eastAsia="Calibri" w:hAnsi="Garamond" w:cs="Arial"/>
          <w:spacing w:val="-3"/>
          <w:sz w:val="24"/>
          <w:szCs w:val="24"/>
        </w:rPr>
        <w:t xml:space="preserve">o tribunal </w:t>
      </w:r>
      <w:r w:rsidR="00152A44" w:rsidRPr="003A1174">
        <w:rPr>
          <w:rFonts w:ascii="Garamond" w:eastAsia="Calibri" w:hAnsi="Garamond" w:cs="Arial"/>
          <w:spacing w:val="-3"/>
          <w:sz w:val="24"/>
          <w:szCs w:val="24"/>
        </w:rPr>
        <w:t>estabelece</w:t>
      </w:r>
      <w:r w:rsidRPr="003A1174">
        <w:rPr>
          <w:rFonts w:ascii="Garamond" w:eastAsia="Calibri" w:hAnsi="Garamond" w:cs="Arial"/>
          <w:spacing w:val="-3"/>
          <w:sz w:val="24"/>
          <w:szCs w:val="24"/>
        </w:rPr>
        <w:t xml:space="preserve"> que </w:t>
      </w:r>
      <w:r w:rsidR="009F035C" w:rsidRPr="003A1174">
        <w:rPr>
          <w:rFonts w:ascii="Garamond" w:eastAsia="Calibri" w:hAnsi="Garamond" w:cs="Arial"/>
          <w:spacing w:val="-3"/>
          <w:sz w:val="24"/>
          <w:szCs w:val="24"/>
        </w:rPr>
        <w:t>o</w:t>
      </w:r>
      <w:r w:rsidRPr="003A1174">
        <w:rPr>
          <w:rFonts w:ascii="Garamond" w:eastAsia="Calibri" w:hAnsi="Garamond" w:cs="Arial"/>
          <w:spacing w:val="-3"/>
          <w:sz w:val="24"/>
          <w:szCs w:val="24"/>
        </w:rPr>
        <w:t xml:space="preserve"> </w:t>
      </w:r>
      <w:r w:rsidR="00886D6A" w:rsidRPr="003A1174">
        <w:rPr>
          <w:rFonts w:ascii="Garamond" w:eastAsia="Calibri" w:hAnsi="Garamond" w:cs="Arial"/>
          <w:spacing w:val="-3"/>
          <w:sz w:val="24"/>
          <w:szCs w:val="24"/>
        </w:rPr>
        <w:t>direito</w:t>
      </w:r>
      <w:r w:rsidRPr="003A1174">
        <w:rPr>
          <w:rFonts w:ascii="Garamond" w:eastAsia="Calibri" w:hAnsi="Garamond" w:cs="Arial"/>
          <w:spacing w:val="-3"/>
          <w:sz w:val="24"/>
          <w:szCs w:val="24"/>
        </w:rPr>
        <w:t xml:space="preserve"> de </w:t>
      </w:r>
      <w:r w:rsidR="00886D6A" w:rsidRPr="003A1174">
        <w:rPr>
          <w:rFonts w:ascii="Garamond" w:eastAsia="Calibri" w:hAnsi="Garamond" w:cs="Arial"/>
          <w:spacing w:val="-3"/>
          <w:sz w:val="24"/>
          <w:szCs w:val="24"/>
        </w:rPr>
        <w:t>Acesso</w:t>
      </w:r>
      <w:r w:rsidRPr="003A1174">
        <w:rPr>
          <w:rFonts w:ascii="Garamond" w:eastAsia="Calibri" w:hAnsi="Garamond" w:cs="Arial"/>
          <w:spacing w:val="-3"/>
          <w:sz w:val="24"/>
          <w:szCs w:val="24"/>
        </w:rPr>
        <w:t xml:space="preserve"> </w:t>
      </w:r>
      <w:r w:rsidR="009F035C" w:rsidRPr="003A1174">
        <w:rPr>
          <w:rFonts w:ascii="Garamond" w:eastAsia="Calibri" w:hAnsi="Garamond" w:cs="Arial"/>
          <w:spacing w:val="-3"/>
          <w:sz w:val="24"/>
          <w:szCs w:val="24"/>
        </w:rPr>
        <w:t xml:space="preserve">à </w:t>
      </w:r>
      <w:r w:rsidR="00FC1F7F" w:rsidRPr="003A1174">
        <w:rPr>
          <w:rFonts w:ascii="Garamond" w:eastAsia="Calibri" w:hAnsi="Garamond" w:cs="Arial"/>
          <w:spacing w:val="-3"/>
          <w:sz w:val="24"/>
          <w:szCs w:val="24"/>
        </w:rPr>
        <w:t>Justiça</w:t>
      </w:r>
      <w:r w:rsidRPr="003A1174">
        <w:rPr>
          <w:rFonts w:ascii="Garamond" w:eastAsia="Calibri" w:hAnsi="Garamond" w:cs="Arial"/>
          <w:spacing w:val="-3"/>
          <w:sz w:val="24"/>
          <w:szCs w:val="24"/>
        </w:rPr>
        <w:t xml:space="preserve"> </w:t>
      </w:r>
      <w:r w:rsidR="00BD5C0C" w:rsidRPr="003A1174">
        <w:rPr>
          <w:rFonts w:ascii="Garamond" w:eastAsia="Calibri" w:hAnsi="Garamond" w:cs="Arial"/>
          <w:spacing w:val="-3"/>
          <w:sz w:val="24"/>
          <w:szCs w:val="24"/>
        </w:rPr>
        <w:t>t</w:t>
      </w:r>
      <w:r w:rsidR="009F035C" w:rsidRPr="003A1174">
        <w:rPr>
          <w:rFonts w:ascii="Garamond" w:eastAsia="Calibri" w:hAnsi="Garamond" w:cs="Arial"/>
          <w:spacing w:val="-3"/>
          <w:sz w:val="24"/>
          <w:szCs w:val="24"/>
        </w:rPr>
        <w:t xml:space="preserve">em o </w:t>
      </w:r>
      <w:r w:rsidR="00120915" w:rsidRPr="003A1174">
        <w:rPr>
          <w:rFonts w:ascii="Garamond" w:eastAsia="Calibri" w:hAnsi="Garamond" w:cs="Arial"/>
          <w:spacing w:val="-3"/>
          <w:sz w:val="24"/>
          <w:szCs w:val="24"/>
        </w:rPr>
        <w:t>caráter</w:t>
      </w:r>
      <w:r w:rsidRPr="003A1174">
        <w:rPr>
          <w:rFonts w:ascii="Garamond" w:eastAsia="Calibri" w:hAnsi="Garamond" w:cs="Arial"/>
          <w:spacing w:val="-3"/>
          <w:sz w:val="24"/>
          <w:szCs w:val="24"/>
        </w:rPr>
        <w:t xml:space="preserve"> de </w:t>
      </w:r>
      <w:r w:rsidRPr="003A1174">
        <w:rPr>
          <w:rFonts w:ascii="Garamond" w:eastAsia="Calibri" w:hAnsi="Garamond" w:cs="Arial"/>
          <w:i/>
          <w:spacing w:val="-3"/>
          <w:sz w:val="24"/>
          <w:szCs w:val="24"/>
        </w:rPr>
        <w:t>ius cogens</w:t>
      </w:r>
      <w:r w:rsidRPr="003A1174">
        <w:rPr>
          <w:rFonts w:ascii="Garamond" w:eastAsia="Calibri" w:hAnsi="Garamond" w:cs="Arial"/>
          <w:spacing w:val="-3"/>
          <w:sz w:val="24"/>
          <w:szCs w:val="24"/>
        </w:rPr>
        <w:t xml:space="preserve">, porque </w:t>
      </w:r>
      <w:r w:rsidR="009F035C" w:rsidRPr="003A1174">
        <w:rPr>
          <w:rFonts w:ascii="Garamond" w:eastAsia="Calibri" w:hAnsi="Garamond" w:cs="Arial"/>
          <w:spacing w:val="-3"/>
          <w:sz w:val="24"/>
          <w:szCs w:val="24"/>
        </w:rPr>
        <w:t xml:space="preserve">chegou </w:t>
      </w:r>
      <w:r w:rsidRPr="003A1174">
        <w:rPr>
          <w:rFonts w:ascii="Garamond" w:eastAsia="Calibri" w:hAnsi="Garamond" w:cs="Arial"/>
          <w:spacing w:val="-3"/>
          <w:sz w:val="24"/>
          <w:szCs w:val="24"/>
        </w:rPr>
        <w:t>a configurar</w:t>
      </w:r>
      <w:r w:rsidR="009F035C" w:rsidRPr="003A1174">
        <w:rPr>
          <w:rFonts w:ascii="Garamond" w:eastAsia="Calibri" w:hAnsi="Garamond" w:cs="Arial"/>
          <w:spacing w:val="-3"/>
          <w:sz w:val="24"/>
          <w:szCs w:val="24"/>
        </w:rPr>
        <w:t>-</w:t>
      </w:r>
      <w:r w:rsidRPr="003A1174">
        <w:rPr>
          <w:rFonts w:ascii="Garamond" w:eastAsia="Calibri" w:hAnsi="Garamond" w:cs="Arial"/>
          <w:spacing w:val="-3"/>
          <w:sz w:val="24"/>
          <w:szCs w:val="24"/>
        </w:rPr>
        <w:t>se como u</w:t>
      </w:r>
      <w:r w:rsidR="009F035C" w:rsidRPr="003A1174">
        <w:rPr>
          <w:rFonts w:ascii="Garamond" w:eastAsia="Calibri" w:hAnsi="Garamond" w:cs="Arial"/>
          <w:spacing w:val="-3"/>
          <w:sz w:val="24"/>
          <w:szCs w:val="24"/>
        </w:rPr>
        <w:t>m</w:t>
      </w:r>
      <w:r w:rsidRPr="003A1174">
        <w:rPr>
          <w:rFonts w:ascii="Garamond" w:eastAsia="Calibri" w:hAnsi="Garamond" w:cs="Arial"/>
          <w:spacing w:val="-3"/>
          <w:sz w:val="24"/>
          <w:szCs w:val="24"/>
        </w:rPr>
        <w:t xml:space="preserve"> valor </w:t>
      </w:r>
      <w:r w:rsidR="00661ADB" w:rsidRPr="003A1174">
        <w:rPr>
          <w:rFonts w:ascii="Garamond" w:eastAsia="Calibri" w:hAnsi="Garamond" w:cs="Arial"/>
          <w:spacing w:val="-3"/>
          <w:sz w:val="24"/>
          <w:szCs w:val="24"/>
        </w:rPr>
        <w:t>essencial</w:t>
      </w:r>
      <w:r w:rsidRPr="003A1174">
        <w:rPr>
          <w:rFonts w:ascii="Garamond" w:eastAsia="Calibri" w:hAnsi="Garamond" w:cs="Arial"/>
          <w:spacing w:val="-3"/>
          <w:sz w:val="24"/>
          <w:szCs w:val="24"/>
        </w:rPr>
        <w:t xml:space="preserve"> </w:t>
      </w:r>
      <w:r w:rsidR="009F035C" w:rsidRPr="003A1174">
        <w:rPr>
          <w:rFonts w:ascii="Garamond" w:eastAsia="Calibri" w:hAnsi="Garamond" w:cs="Arial"/>
          <w:spacing w:val="-3"/>
          <w:sz w:val="24"/>
          <w:szCs w:val="24"/>
        </w:rPr>
        <w:t>partilhado pe</w:t>
      </w:r>
      <w:r w:rsidRPr="003A1174">
        <w:rPr>
          <w:rFonts w:ascii="Garamond" w:eastAsia="Calibri" w:hAnsi="Garamond" w:cs="Arial"/>
          <w:spacing w:val="-3"/>
          <w:sz w:val="24"/>
          <w:szCs w:val="24"/>
        </w:rPr>
        <w:t xml:space="preserve">la </w:t>
      </w:r>
      <w:r w:rsidR="009F035C" w:rsidRPr="003A1174">
        <w:rPr>
          <w:rFonts w:ascii="Garamond" w:eastAsia="Calibri" w:hAnsi="Garamond" w:cs="Arial"/>
          <w:spacing w:val="-3"/>
          <w:sz w:val="24"/>
          <w:szCs w:val="24"/>
        </w:rPr>
        <w:t>comunidade</w:t>
      </w:r>
      <w:r w:rsidRPr="003A1174">
        <w:rPr>
          <w:rFonts w:ascii="Garamond" w:eastAsia="Calibri" w:hAnsi="Garamond" w:cs="Arial"/>
          <w:spacing w:val="-3"/>
          <w:sz w:val="24"/>
          <w:szCs w:val="24"/>
        </w:rPr>
        <w:t xml:space="preserve"> internacional de </w:t>
      </w:r>
      <w:r w:rsidR="003F012B" w:rsidRPr="003A1174">
        <w:rPr>
          <w:rFonts w:ascii="Garamond" w:eastAsia="Calibri" w:hAnsi="Garamond" w:cs="Arial"/>
          <w:spacing w:val="-3"/>
          <w:sz w:val="24"/>
          <w:szCs w:val="24"/>
        </w:rPr>
        <w:t>nações</w:t>
      </w:r>
      <w:r w:rsidRPr="003A1174">
        <w:rPr>
          <w:rFonts w:ascii="Garamond" w:eastAsia="Calibri" w:hAnsi="Garamond" w:cs="Arial"/>
          <w:spacing w:val="-3"/>
          <w:sz w:val="24"/>
          <w:szCs w:val="24"/>
        </w:rPr>
        <w:t xml:space="preserve">, </w:t>
      </w:r>
      <w:r w:rsidR="009F035C" w:rsidRPr="003A1174">
        <w:rPr>
          <w:rFonts w:ascii="Garamond" w:eastAsia="Calibri" w:hAnsi="Garamond" w:cs="Arial"/>
          <w:spacing w:val="-3"/>
          <w:sz w:val="24"/>
          <w:szCs w:val="24"/>
        </w:rPr>
        <w:t xml:space="preserve">sendo portanto de </w:t>
      </w:r>
      <w:r w:rsidR="00D96FD0" w:rsidRPr="003A1174">
        <w:rPr>
          <w:rFonts w:ascii="Garamond" w:eastAsia="Calibri" w:hAnsi="Garamond" w:cs="Arial"/>
          <w:spacing w:val="-3"/>
          <w:sz w:val="24"/>
          <w:szCs w:val="24"/>
        </w:rPr>
        <w:t>obrigatório</w:t>
      </w:r>
      <w:r w:rsidRPr="003A1174">
        <w:rPr>
          <w:rFonts w:ascii="Garamond" w:eastAsia="Calibri" w:hAnsi="Garamond" w:cs="Arial"/>
          <w:spacing w:val="-3"/>
          <w:sz w:val="24"/>
          <w:szCs w:val="24"/>
        </w:rPr>
        <w:t xml:space="preserve"> (</w:t>
      </w:r>
      <w:r w:rsidR="009F035C" w:rsidRPr="003A1174">
        <w:rPr>
          <w:rFonts w:ascii="Garamond" w:eastAsia="Calibri" w:hAnsi="Garamond" w:cs="Arial"/>
          <w:spacing w:val="-3"/>
          <w:sz w:val="24"/>
          <w:szCs w:val="24"/>
        </w:rPr>
        <w:t>imperativo) cumprimento</w:t>
      </w:r>
      <w:r w:rsidRPr="003A1174">
        <w:rPr>
          <w:rFonts w:ascii="Garamond" w:eastAsia="Calibri" w:hAnsi="Garamond" w:cs="Arial"/>
          <w:spacing w:val="-3"/>
          <w:sz w:val="24"/>
          <w:szCs w:val="24"/>
        </w:rPr>
        <w:t>, a</w:t>
      </w:r>
      <w:r w:rsidR="009F035C" w:rsidRPr="003A1174">
        <w:rPr>
          <w:rFonts w:ascii="Garamond" w:eastAsia="Calibri" w:hAnsi="Garamond" w:cs="Arial"/>
          <w:spacing w:val="-3"/>
          <w:sz w:val="24"/>
          <w:szCs w:val="24"/>
        </w:rPr>
        <w:t xml:space="preserve"> ponto de </w:t>
      </w:r>
      <w:r w:rsidRPr="003A1174">
        <w:rPr>
          <w:rFonts w:ascii="Garamond" w:eastAsia="Calibri" w:hAnsi="Garamond" w:cs="Arial"/>
          <w:spacing w:val="-3"/>
          <w:sz w:val="24"/>
          <w:szCs w:val="24"/>
        </w:rPr>
        <w:t>determinar como n</w:t>
      </w:r>
      <w:r w:rsidR="009F035C" w:rsidRPr="003A1174">
        <w:rPr>
          <w:rFonts w:ascii="Garamond" w:eastAsia="Calibri" w:hAnsi="Garamond" w:cs="Arial"/>
          <w:spacing w:val="-3"/>
          <w:sz w:val="24"/>
          <w:szCs w:val="24"/>
        </w:rPr>
        <w:t>ã</w:t>
      </w:r>
      <w:r w:rsidRPr="003A1174">
        <w:rPr>
          <w:rFonts w:ascii="Garamond" w:eastAsia="Calibri" w:hAnsi="Garamond" w:cs="Arial"/>
          <w:spacing w:val="-3"/>
          <w:sz w:val="24"/>
          <w:szCs w:val="24"/>
        </w:rPr>
        <w:t>o válido todo</w:t>
      </w:r>
      <w:r w:rsidR="009F035C" w:rsidRPr="003A1174">
        <w:rPr>
          <w:rFonts w:ascii="Garamond" w:eastAsia="Calibri" w:hAnsi="Garamond" w:cs="Arial"/>
          <w:spacing w:val="-3"/>
          <w:sz w:val="24"/>
          <w:szCs w:val="24"/>
        </w:rPr>
        <w:t xml:space="preserve"> o</w:t>
      </w:r>
      <w:r w:rsidRPr="003A1174">
        <w:rPr>
          <w:rFonts w:ascii="Garamond" w:eastAsia="Calibri" w:hAnsi="Garamond" w:cs="Arial"/>
          <w:spacing w:val="-3"/>
          <w:sz w:val="24"/>
          <w:szCs w:val="24"/>
        </w:rPr>
        <w:t xml:space="preserve"> Tratado Internacional co</w:t>
      </w:r>
      <w:r w:rsidR="009F035C" w:rsidRPr="003A1174">
        <w:rPr>
          <w:rFonts w:ascii="Garamond" w:eastAsia="Calibri" w:hAnsi="Garamond" w:cs="Arial"/>
          <w:spacing w:val="-3"/>
          <w:sz w:val="24"/>
          <w:szCs w:val="24"/>
        </w:rPr>
        <w:t>m</w:t>
      </w:r>
      <w:r w:rsidRPr="003A1174">
        <w:rPr>
          <w:rFonts w:ascii="Garamond" w:eastAsia="Calibri" w:hAnsi="Garamond" w:cs="Arial"/>
          <w:spacing w:val="-3"/>
          <w:sz w:val="24"/>
          <w:szCs w:val="24"/>
        </w:rPr>
        <w:t xml:space="preserve"> </w:t>
      </w:r>
      <w:r w:rsidR="00FC1F7F" w:rsidRPr="003A1174">
        <w:rPr>
          <w:rFonts w:ascii="Garamond" w:eastAsia="Calibri" w:hAnsi="Garamond" w:cs="Arial"/>
          <w:spacing w:val="-3"/>
          <w:sz w:val="24"/>
          <w:szCs w:val="24"/>
        </w:rPr>
        <w:t>conteúdo</w:t>
      </w:r>
      <w:r w:rsidRPr="003A1174">
        <w:rPr>
          <w:rFonts w:ascii="Garamond" w:eastAsia="Calibri" w:hAnsi="Garamond" w:cs="Arial"/>
          <w:spacing w:val="-3"/>
          <w:sz w:val="24"/>
          <w:szCs w:val="24"/>
        </w:rPr>
        <w:t xml:space="preserve"> op</w:t>
      </w:r>
      <w:r w:rsidR="009F035C" w:rsidRPr="003A1174">
        <w:rPr>
          <w:rFonts w:ascii="Garamond" w:eastAsia="Calibri" w:hAnsi="Garamond" w:cs="Arial"/>
          <w:spacing w:val="-3"/>
          <w:sz w:val="24"/>
          <w:szCs w:val="24"/>
        </w:rPr>
        <w:t>o</w:t>
      </w:r>
      <w:r w:rsidRPr="003A1174">
        <w:rPr>
          <w:rFonts w:ascii="Garamond" w:eastAsia="Calibri" w:hAnsi="Garamond" w:cs="Arial"/>
          <w:spacing w:val="-3"/>
          <w:sz w:val="24"/>
          <w:szCs w:val="24"/>
        </w:rPr>
        <w:t>sto.</w:t>
      </w:r>
      <w:r w:rsidRPr="003A1174">
        <w:rPr>
          <w:rStyle w:val="Refdenotaalpie"/>
          <w:rFonts w:ascii="Garamond" w:eastAsia="Calibri" w:hAnsi="Garamond" w:cs="Arial"/>
          <w:spacing w:val="-3"/>
          <w:sz w:val="24"/>
          <w:szCs w:val="24"/>
        </w:rPr>
        <w:footnoteReference w:id="24"/>
      </w:r>
      <w:r w:rsidRPr="003A1174">
        <w:rPr>
          <w:rFonts w:ascii="Garamond" w:eastAsia="Calibri" w:hAnsi="Garamond" w:cs="Arial"/>
          <w:spacing w:val="-3"/>
          <w:sz w:val="24"/>
          <w:szCs w:val="24"/>
        </w:rPr>
        <w:t xml:space="preserve"> </w:t>
      </w:r>
      <w:r w:rsidR="009F035C" w:rsidRPr="003A1174">
        <w:rPr>
          <w:rFonts w:ascii="Garamond" w:eastAsia="Calibri" w:hAnsi="Garamond" w:cs="Arial"/>
          <w:spacing w:val="-3"/>
          <w:sz w:val="24"/>
          <w:szCs w:val="24"/>
        </w:rPr>
        <w:t xml:space="preserve">Sob </w:t>
      </w:r>
      <w:r w:rsidRPr="003A1174">
        <w:rPr>
          <w:rFonts w:ascii="Garamond" w:eastAsia="Calibri" w:hAnsi="Garamond" w:cs="Arial"/>
          <w:spacing w:val="-3"/>
          <w:sz w:val="24"/>
          <w:szCs w:val="24"/>
        </w:rPr>
        <w:t xml:space="preserve">esta postura </w:t>
      </w:r>
      <w:r w:rsidR="009F035C" w:rsidRPr="003A1174">
        <w:rPr>
          <w:rFonts w:ascii="Garamond" w:eastAsia="Calibri" w:hAnsi="Garamond" w:cs="Arial"/>
          <w:spacing w:val="-3"/>
          <w:sz w:val="24"/>
          <w:szCs w:val="24"/>
        </w:rPr>
        <w:t xml:space="preserve">entende-se </w:t>
      </w:r>
      <w:r w:rsidRPr="003A1174">
        <w:rPr>
          <w:rFonts w:ascii="Garamond" w:hAnsi="Garamond" w:cs="Arial"/>
          <w:sz w:val="24"/>
          <w:szCs w:val="24"/>
        </w:rPr>
        <w:t xml:space="preserve">que </w:t>
      </w:r>
      <w:r w:rsidR="009F035C" w:rsidRPr="003A1174">
        <w:rPr>
          <w:rFonts w:ascii="Garamond" w:hAnsi="Garamond" w:cs="Arial"/>
          <w:sz w:val="24"/>
          <w:szCs w:val="24"/>
        </w:rPr>
        <w:t xml:space="preserve">o </w:t>
      </w:r>
      <w:r w:rsidRPr="003A1174">
        <w:rPr>
          <w:rFonts w:ascii="Garamond" w:hAnsi="Garamond" w:cs="Arial"/>
          <w:sz w:val="24"/>
          <w:szCs w:val="24"/>
        </w:rPr>
        <w:t xml:space="preserve">alcance da </w:t>
      </w:r>
      <w:r w:rsidR="006D0543" w:rsidRPr="003A1174">
        <w:rPr>
          <w:rFonts w:ascii="Garamond" w:hAnsi="Garamond" w:cs="Arial"/>
          <w:sz w:val="24"/>
          <w:szCs w:val="24"/>
        </w:rPr>
        <w:t>responsabilidade</w:t>
      </w:r>
      <w:r w:rsidRPr="003A1174">
        <w:rPr>
          <w:rFonts w:ascii="Garamond" w:hAnsi="Garamond" w:cs="Arial"/>
          <w:sz w:val="24"/>
          <w:szCs w:val="24"/>
        </w:rPr>
        <w:t xml:space="preserve"> derivada da </w:t>
      </w:r>
      <w:r w:rsidR="007342D9" w:rsidRPr="003A1174">
        <w:rPr>
          <w:rFonts w:ascii="Garamond" w:hAnsi="Garamond" w:cs="Arial"/>
          <w:sz w:val="24"/>
          <w:szCs w:val="24"/>
        </w:rPr>
        <w:t>violação</w:t>
      </w:r>
      <w:r w:rsidR="009F035C" w:rsidRPr="003A1174">
        <w:rPr>
          <w:rFonts w:ascii="Garamond" w:hAnsi="Garamond" w:cs="Arial"/>
          <w:sz w:val="24"/>
          <w:szCs w:val="24"/>
        </w:rPr>
        <w:t xml:space="preserve"> de um</w:t>
      </w:r>
      <w:r w:rsidRPr="003A1174">
        <w:rPr>
          <w:rFonts w:ascii="Garamond" w:hAnsi="Garamond" w:cs="Arial"/>
          <w:sz w:val="24"/>
          <w:szCs w:val="24"/>
        </w:rPr>
        <w:t>a norma imperativa,</w:t>
      </w:r>
      <w:r w:rsidR="00FB6D51" w:rsidRPr="003A1174">
        <w:rPr>
          <w:rFonts w:ascii="Garamond" w:hAnsi="Garamond" w:cs="Arial"/>
          <w:sz w:val="24"/>
          <w:szCs w:val="24"/>
        </w:rPr>
        <w:t xml:space="preserve"> tornar-se-á </w:t>
      </w:r>
      <w:r w:rsidR="009F035C" w:rsidRPr="003A1174">
        <w:rPr>
          <w:rFonts w:ascii="Garamond" w:hAnsi="Garamond" w:cs="Arial"/>
          <w:sz w:val="24"/>
          <w:szCs w:val="24"/>
        </w:rPr>
        <w:t xml:space="preserve">claramente mais amplo e grave que </w:t>
      </w:r>
      <w:r w:rsidRPr="003A1174">
        <w:rPr>
          <w:rFonts w:ascii="Garamond" w:hAnsi="Garamond" w:cs="Arial"/>
          <w:sz w:val="24"/>
          <w:szCs w:val="24"/>
        </w:rPr>
        <w:t>a que surja de u</w:t>
      </w:r>
      <w:r w:rsidR="009F035C" w:rsidRPr="003A1174">
        <w:rPr>
          <w:rFonts w:ascii="Garamond" w:hAnsi="Garamond" w:cs="Arial"/>
          <w:sz w:val="24"/>
          <w:szCs w:val="24"/>
        </w:rPr>
        <w:t>m</w:t>
      </w:r>
      <w:r w:rsidRPr="003A1174">
        <w:rPr>
          <w:rFonts w:ascii="Garamond" w:hAnsi="Garamond" w:cs="Arial"/>
          <w:sz w:val="24"/>
          <w:szCs w:val="24"/>
        </w:rPr>
        <w:t xml:space="preserve"> ilícito com</w:t>
      </w:r>
      <w:r w:rsidR="009F035C" w:rsidRPr="003A1174">
        <w:rPr>
          <w:rFonts w:ascii="Garamond" w:hAnsi="Garamond" w:cs="Arial"/>
          <w:sz w:val="24"/>
          <w:szCs w:val="24"/>
        </w:rPr>
        <w:t>um</w:t>
      </w:r>
      <w:r w:rsidRPr="003A1174">
        <w:rPr>
          <w:rFonts w:ascii="Garamond" w:hAnsi="Garamond" w:cs="Arial"/>
          <w:sz w:val="24"/>
          <w:szCs w:val="24"/>
        </w:rPr>
        <w:t xml:space="preserve">. </w:t>
      </w:r>
    </w:p>
    <w:p w:rsidR="00A132B3" w:rsidRPr="005523A8" w:rsidRDefault="009F035C" w:rsidP="008719D4">
      <w:pPr>
        <w:widowControl w:val="0"/>
        <w:autoSpaceDE w:val="0"/>
        <w:autoSpaceDN w:val="0"/>
        <w:adjustRightInd w:val="0"/>
        <w:spacing w:line="240" w:lineRule="auto"/>
        <w:jc w:val="both"/>
        <w:rPr>
          <w:rFonts w:ascii="Garamond" w:hAnsi="Garamond" w:cs="Arial"/>
          <w:spacing w:val="-3"/>
          <w:sz w:val="24"/>
          <w:szCs w:val="24"/>
        </w:rPr>
      </w:pPr>
      <w:r w:rsidRPr="003A1174">
        <w:rPr>
          <w:rFonts w:ascii="Garamond" w:eastAsia="Calibri" w:hAnsi="Garamond" w:cs="Arial"/>
          <w:spacing w:val="-3"/>
          <w:sz w:val="24"/>
          <w:szCs w:val="24"/>
        </w:rPr>
        <w:t xml:space="preserve">Sendo mais precisos acerca do </w:t>
      </w:r>
      <w:r w:rsidR="00A132B3" w:rsidRPr="003A1174">
        <w:rPr>
          <w:rFonts w:ascii="Garamond" w:eastAsia="Calibri" w:hAnsi="Garamond" w:cs="Arial"/>
          <w:spacing w:val="-3"/>
          <w:sz w:val="24"/>
          <w:szCs w:val="24"/>
        </w:rPr>
        <w:t xml:space="preserve">tema, </w:t>
      </w:r>
      <w:r w:rsidRPr="003A1174">
        <w:rPr>
          <w:rFonts w:ascii="Garamond" w:eastAsia="Calibri" w:hAnsi="Garamond" w:cs="Arial"/>
          <w:spacing w:val="-3"/>
          <w:sz w:val="24"/>
          <w:szCs w:val="24"/>
        </w:rPr>
        <w:t xml:space="preserve">o hoje </w:t>
      </w:r>
      <w:r w:rsidR="00A132B3" w:rsidRPr="003A1174">
        <w:rPr>
          <w:rFonts w:ascii="Garamond" w:eastAsia="Calibri" w:hAnsi="Garamond" w:cs="Arial"/>
          <w:spacing w:val="-3"/>
          <w:sz w:val="24"/>
          <w:szCs w:val="24"/>
        </w:rPr>
        <w:t>ex</w:t>
      </w:r>
      <w:r w:rsidRPr="003A1174">
        <w:rPr>
          <w:rFonts w:ascii="Garamond" w:eastAsia="Calibri" w:hAnsi="Garamond" w:cs="Arial"/>
          <w:spacing w:val="-3"/>
          <w:sz w:val="24"/>
          <w:szCs w:val="24"/>
        </w:rPr>
        <w:t>-</w:t>
      </w:r>
      <w:r w:rsidR="00A132B3" w:rsidRPr="003A1174">
        <w:rPr>
          <w:rFonts w:ascii="Garamond" w:eastAsia="Calibri" w:hAnsi="Garamond" w:cs="Arial"/>
          <w:spacing w:val="-3"/>
          <w:sz w:val="24"/>
          <w:szCs w:val="24"/>
        </w:rPr>
        <w:t>presidente d</w:t>
      </w:r>
      <w:r w:rsidR="008879E7">
        <w:rPr>
          <w:rFonts w:ascii="Garamond" w:eastAsia="Calibri" w:hAnsi="Garamond" w:cs="Arial"/>
          <w:spacing w:val="-3"/>
          <w:sz w:val="24"/>
          <w:szCs w:val="24"/>
        </w:rPr>
        <w:t>o</w:t>
      </w:r>
      <w:r w:rsidR="00A132B3" w:rsidRPr="003A1174">
        <w:rPr>
          <w:rFonts w:ascii="Garamond" w:eastAsia="Calibri" w:hAnsi="Garamond" w:cs="Arial"/>
          <w:spacing w:val="-3"/>
          <w:sz w:val="24"/>
          <w:szCs w:val="24"/>
        </w:rPr>
        <w:t xml:space="preserve"> </w:t>
      </w:r>
      <w:r w:rsidR="008879E7">
        <w:rPr>
          <w:rFonts w:ascii="Garamond" w:eastAsia="Calibri" w:hAnsi="Garamond" w:cs="Arial"/>
          <w:spacing w:val="-3"/>
          <w:sz w:val="24"/>
          <w:szCs w:val="24"/>
        </w:rPr>
        <w:t>Tribunal</w:t>
      </w:r>
      <w:r w:rsidR="002A7FDD" w:rsidRPr="003A1174">
        <w:rPr>
          <w:rFonts w:ascii="Garamond" w:eastAsia="Calibri" w:hAnsi="Garamond" w:cs="Arial"/>
          <w:spacing w:val="-3"/>
          <w:sz w:val="24"/>
          <w:szCs w:val="24"/>
        </w:rPr>
        <w:t xml:space="preserve"> </w:t>
      </w:r>
      <w:r w:rsidR="00A132B3" w:rsidRPr="003A1174">
        <w:rPr>
          <w:rFonts w:ascii="Garamond" w:eastAsia="Calibri" w:hAnsi="Garamond" w:cs="Arial"/>
          <w:spacing w:val="-3"/>
          <w:sz w:val="24"/>
          <w:szCs w:val="24"/>
        </w:rPr>
        <w:t>Interamerican</w:t>
      </w:r>
      <w:r w:rsidR="008879E7">
        <w:rPr>
          <w:rFonts w:ascii="Garamond" w:eastAsia="Calibri" w:hAnsi="Garamond" w:cs="Arial"/>
          <w:spacing w:val="-3"/>
          <w:sz w:val="24"/>
          <w:szCs w:val="24"/>
        </w:rPr>
        <w:t>o</w:t>
      </w:r>
      <w:r w:rsidR="00A132B3" w:rsidRPr="003A1174">
        <w:rPr>
          <w:rFonts w:ascii="Garamond" w:eastAsia="Calibri" w:hAnsi="Garamond" w:cs="Arial"/>
          <w:spacing w:val="-3"/>
          <w:sz w:val="24"/>
          <w:szCs w:val="24"/>
        </w:rPr>
        <w:t xml:space="preserve"> </w:t>
      </w:r>
      <w:r w:rsidR="00BA3CCE" w:rsidRPr="003A1174">
        <w:rPr>
          <w:rFonts w:ascii="Garamond" w:eastAsia="Calibri" w:hAnsi="Garamond" w:cs="Arial"/>
          <w:spacing w:val="-3"/>
          <w:sz w:val="24"/>
          <w:szCs w:val="24"/>
        </w:rPr>
        <w:t>António</w:t>
      </w:r>
      <w:r w:rsidR="00A132B3" w:rsidRPr="003A1174">
        <w:rPr>
          <w:rFonts w:ascii="Garamond" w:eastAsia="Calibri" w:hAnsi="Garamond" w:cs="Arial"/>
          <w:spacing w:val="-3"/>
          <w:sz w:val="24"/>
          <w:szCs w:val="24"/>
        </w:rPr>
        <w:t xml:space="preserve"> Augusto Cançado Trindade, s</w:t>
      </w:r>
      <w:r w:rsidRPr="003A1174">
        <w:rPr>
          <w:rFonts w:ascii="Garamond" w:eastAsia="Calibri" w:hAnsi="Garamond" w:cs="Arial"/>
          <w:spacing w:val="-3"/>
          <w:sz w:val="24"/>
          <w:szCs w:val="24"/>
        </w:rPr>
        <w:t xml:space="preserve">ustentava </w:t>
      </w:r>
      <w:r w:rsidR="00A132B3" w:rsidRPr="003A1174">
        <w:rPr>
          <w:rFonts w:ascii="Garamond" w:eastAsia="Calibri" w:hAnsi="Garamond" w:cs="Arial"/>
          <w:spacing w:val="-3"/>
          <w:sz w:val="24"/>
          <w:szCs w:val="24"/>
        </w:rPr>
        <w:t xml:space="preserve">durante </w:t>
      </w:r>
      <w:r w:rsidRPr="003A1174">
        <w:rPr>
          <w:rFonts w:ascii="Garamond" w:eastAsia="Calibri" w:hAnsi="Garamond" w:cs="Arial"/>
          <w:spacing w:val="-3"/>
          <w:sz w:val="24"/>
          <w:szCs w:val="24"/>
        </w:rPr>
        <w:t xml:space="preserve">o </w:t>
      </w:r>
      <w:r w:rsidR="00A132B3" w:rsidRPr="003A1174">
        <w:rPr>
          <w:rFonts w:ascii="Garamond" w:eastAsia="Calibri" w:hAnsi="Garamond" w:cs="Arial"/>
          <w:spacing w:val="-3"/>
          <w:sz w:val="24"/>
          <w:szCs w:val="24"/>
        </w:rPr>
        <w:t>s</w:t>
      </w:r>
      <w:r w:rsidRPr="003A1174">
        <w:rPr>
          <w:rFonts w:ascii="Garamond" w:eastAsia="Calibri" w:hAnsi="Garamond" w:cs="Arial"/>
          <w:spacing w:val="-3"/>
          <w:sz w:val="24"/>
          <w:szCs w:val="24"/>
        </w:rPr>
        <w:t>e</w:t>
      </w:r>
      <w:r w:rsidR="00A132B3" w:rsidRPr="003A1174">
        <w:rPr>
          <w:rFonts w:ascii="Garamond" w:eastAsia="Calibri" w:hAnsi="Garamond" w:cs="Arial"/>
          <w:spacing w:val="-3"/>
          <w:sz w:val="24"/>
          <w:szCs w:val="24"/>
        </w:rPr>
        <w:t xml:space="preserve">u </w:t>
      </w:r>
      <w:r w:rsidR="00731B19" w:rsidRPr="003A1174">
        <w:rPr>
          <w:rFonts w:ascii="Garamond" w:eastAsia="Calibri" w:hAnsi="Garamond" w:cs="Arial"/>
          <w:spacing w:val="-3"/>
          <w:sz w:val="24"/>
          <w:szCs w:val="24"/>
        </w:rPr>
        <w:t>exercício</w:t>
      </w:r>
      <w:r w:rsidRPr="003A1174">
        <w:rPr>
          <w:rFonts w:ascii="Garamond" w:eastAsia="Calibri" w:hAnsi="Garamond" w:cs="Arial"/>
          <w:spacing w:val="-3"/>
          <w:sz w:val="24"/>
          <w:szCs w:val="24"/>
        </w:rPr>
        <w:t xml:space="preserve"> jurisdi</w:t>
      </w:r>
      <w:r w:rsidR="00A132B3" w:rsidRPr="003A1174">
        <w:rPr>
          <w:rFonts w:ascii="Garamond" w:eastAsia="Calibri" w:hAnsi="Garamond" w:cs="Arial"/>
          <w:spacing w:val="-3"/>
          <w:sz w:val="24"/>
          <w:szCs w:val="24"/>
        </w:rPr>
        <w:t>cional</w:t>
      </w:r>
      <w:r w:rsidR="00FB6D51" w:rsidRPr="003A1174">
        <w:rPr>
          <w:rFonts w:ascii="Garamond" w:eastAsia="Calibri" w:hAnsi="Garamond" w:cs="Arial"/>
          <w:spacing w:val="-3"/>
          <w:sz w:val="24"/>
          <w:szCs w:val="24"/>
        </w:rPr>
        <w:t xml:space="preserve"> </w:t>
      </w:r>
      <w:r w:rsidR="00A132B3" w:rsidRPr="003A1174">
        <w:rPr>
          <w:rFonts w:ascii="Garamond" w:eastAsia="Calibri" w:hAnsi="Garamond" w:cs="Arial"/>
          <w:spacing w:val="-3"/>
          <w:sz w:val="24"/>
          <w:szCs w:val="24"/>
        </w:rPr>
        <w:t xml:space="preserve">que </w:t>
      </w:r>
      <w:r w:rsidRPr="003A1174">
        <w:rPr>
          <w:rFonts w:ascii="Garamond" w:eastAsia="Calibri" w:hAnsi="Garamond" w:cs="Arial"/>
          <w:spacing w:val="-3"/>
          <w:sz w:val="24"/>
          <w:szCs w:val="24"/>
        </w:rPr>
        <w:t xml:space="preserve">o </w:t>
      </w:r>
      <w:r w:rsidR="00886D6A" w:rsidRPr="003A1174">
        <w:rPr>
          <w:rFonts w:ascii="Garamond" w:eastAsia="Calibri" w:hAnsi="Garamond" w:cs="Arial"/>
          <w:spacing w:val="-3"/>
          <w:sz w:val="24"/>
          <w:szCs w:val="24"/>
        </w:rPr>
        <w:t>direito</w:t>
      </w:r>
      <w:r w:rsidR="00A132B3" w:rsidRPr="003A1174">
        <w:rPr>
          <w:rFonts w:ascii="Garamond" w:eastAsia="Calibri" w:hAnsi="Garamond" w:cs="Arial"/>
          <w:spacing w:val="-3"/>
          <w:sz w:val="24"/>
          <w:szCs w:val="24"/>
        </w:rPr>
        <w:t xml:space="preserve"> </w:t>
      </w:r>
      <w:r w:rsidR="00FB6D51" w:rsidRPr="003A1174">
        <w:rPr>
          <w:rFonts w:ascii="Garamond" w:eastAsia="Calibri" w:hAnsi="Garamond" w:cs="Arial"/>
          <w:spacing w:val="-3"/>
          <w:sz w:val="24"/>
          <w:szCs w:val="24"/>
        </w:rPr>
        <w:t>em</w:t>
      </w:r>
      <w:r w:rsidR="00A132B3" w:rsidRPr="003A1174">
        <w:rPr>
          <w:rFonts w:ascii="Garamond" w:eastAsia="Calibri" w:hAnsi="Garamond" w:cs="Arial"/>
          <w:spacing w:val="-3"/>
          <w:sz w:val="24"/>
          <w:szCs w:val="24"/>
        </w:rPr>
        <w:t xml:space="preserve"> </w:t>
      </w:r>
      <w:r w:rsidR="0017447A" w:rsidRPr="003A1174">
        <w:rPr>
          <w:rFonts w:ascii="Garamond" w:eastAsia="Calibri" w:hAnsi="Garamond" w:cs="Arial"/>
          <w:spacing w:val="-3"/>
          <w:sz w:val="24"/>
          <w:szCs w:val="24"/>
        </w:rPr>
        <w:t>análise</w:t>
      </w:r>
      <w:r w:rsidR="00A132B3" w:rsidRPr="003A1174">
        <w:rPr>
          <w:rFonts w:ascii="Garamond" w:eastAsia="Calibri" w:hAnsi="Garamond" w:cs="Arial"/>
          <w:spacing w:val="-3"/>
          <w:sz w:val="24"/>
          <w:szCs w:val="24"/>
        </w:rPr>
        <w:t xml:space="preserve"> </w:t>
      </w:r>
      <w:proofErr w:type="gramStart"/>
      <w:r w:rsidR="005523A8">
        <w:rPr>
          <w:rFonts w:ascii="Garamond" w:eastAsia="Calibri" w:hAnsi="Garamond" w:cs="Arial"/>
          <w:spacing w:val="-3"/>
          <w:sz w:val="24"/>
          <w:szCs w:val="24"/>
        </w:rPr>
        <w:t>«</w:t>
      </w:r>
      <w:r w:rsidR="00C731FD" w:rsidRPr="005523A8">
        <w:rPr>
          <w:rFonts w:ascii="Garamond" w:eastAsia="Calibri" w:hAnsi="Garamond" w:cs="Arial"/>
          <w:spacing w:val="-3"/>
          <w:sz w:val="24"/>
          <w:szCs w:val="24"/>
        </w:rPr>
        <w:t>…</w:t>
      </w:r>
      <w:proofErr w:type="gramEnd"/>
      <w:r w:rsidR="00A132B3" w:rsidRPr="005523A8">
        <w:rPr>
          <w:rFonts w:ascii="Garamond" w:hAnsi="Garamond" w:cs="Arial"/>
          <w:spacing w:val="-3"/>
          <w:sz w:val="24"/>
          <w:szCs w:val="24"/>
        </w:rPr>
        <w:t>n</w:t>
      </w:r>
      <w:r w:rsidRPr="005523A8">
        <w:rPr>
          <w:rFonts w:ascii="Garamond" w:hAnsi="Garamond" w:cs="Arial"/>
          <w:spacing w:val="-3"/>
          <w:sz w:val="24"/>
          <w:szCs w:val="24"/>
        </w:rPr>
        <w:t>ã</w:t>
      </w:r>
      <w:r w:rsidR="00A132B3" w:rsidRPr="005523A8">
        <w:rPr>
          <w:rFonts w:ascii="Garamond" w:hAnsi="Garamond" w:cs="Arial"/>
          <w:spacing w:val="-3"/>
          <w:sz w:val="24"/>
          <w:szCs w:val="24"/>
        </w:rPr>
        <w:t>o se redu</w:t>
      </w:r>
      <w:r w:rsidRPr="005523A8">
        <w:rPr>
          <w:rFonts w:ascii="Garamond" w:hAnsi="Garamond" w:cs="Arial"/>
          <w:spacing w:val="-3"/>
          <w:sz w:val="24"/>
          <w:szCs w:val="24"/>
        </w:rPr>
        <w:t xml:space="preserve">z </w:t>
      </w:r>
      <w:r w:rsidR="00FB6D51" w:rsidRPr="005523A8">
        <w:rPr>
          <w:rFonts w:ascii="Garamond" w:hAnsi="Garamond" w:cs="Arial"/>
          <w:spacing w:val="-3"/>
          <w:sz w:val="24"/>
          <w:szCs w:val="24"/>
        </w:rPr>
        <w:t>a</w:t>
      </w:r>
      <w:r w:rsidRPr="005523A8">
        <w:rPr>
          <w:rFonts w:ascii="Garamond" w:hAnsi="Garamond" w:cs="Arial"/>
          <w:spacing w:val="-3"/>
          <w:sz w:val="24"/>
          <w:szCs w:val="24"/>
        </w:rPr>
        <w:t xml:space="preserve">o </w:t>
      </w:r>
      <w:r w:rsidR="00886D6A" w:rsidRPr="005523A8">
        <w:rPr>
          <w:rFonts w:ascii="Garamond" w:hAnsi="Garamond" w:cs="Arial"/>
          <w:spacing w:val="-3"/>
          <w:sz w:val="24"/>
          <w:szCs w:val="24"/>
        </w:rPr>
        <w:t>acesso</w:t>
      </w:r>
      <w:r w:rsidR="00A132B3" w:rsidRPr="005523A8">
        <w:rPr>
          <w:rFonts w:ascii="Garamond" w:hAnsi="Garamond" w:cs="Arial"/>
          <w:spacing w:val="-3"/>
          <w:sz w:val="24"/>
          <w:szCs w:val="24"/>
        </w:rPr>
        <w:t xml:space="preserve"> formal, </w:t>
      </w:r>
      <w:r w:rsidR="00A132B3" w:rsidRPr="005523A8">
        <w:rPr>
          <w:rFonts w:ascii="Garamond" w:hAnsi="Garamond" w:cs="Arial"/>
          <w:i/>
          <w:spacing w:val="-3"/>
          <w:sz w:val="24"/>
          <w:szCs w:val="24"/>
        </w:rPr>
        <w:t>stricto sensu</w:t>
      </w:r>
      <w:r w:rsidR="00A132B3" w:rsidRPr="005523A8">
        <w:rPr>
          <w:rFonts w:ascii="Garamond" w:hAnsi="Garamond" w:cs="Arial"/>
          <w:spacing w:val="-3"/>
          <w:sz w:val="24"/>
          <w:szCs w:val="24"/>
        </w:rPr>
        <w:t xml:space="preserve">, </w:t>
      </w:r>
      <w:r w:rsidRPr="005523A8">
        <w:rPr>
          <w:rFonts w:ascii="Garamond" w:hAnsi="Garamond" w:cs="Arial"/>
          <w:spacing w:val="-3"/>
          <w:sz w:val="24"/>
          <w:szCs w:val="24"/>
        </w:rPr>
        <w:t xml:space="preserve">à </w:t>
      </w:r>
      <w:r w:rsidR="00FB09CA" w:rsidRPr="005523A8">
        <w:rPr>
          <w:rFonts w:ascii="Garamond" w:hAnsi="Garamond" w:cs="Arial"/>
          <w:spacing w:val="-3"/>
          <w:sz w:val="24"/>
          <w:szCs w:val="24"/>
        </w:rPr>
        <w:t>instância</w:t>
      </w:r>
      <w:r w:rsidR="00A132B3" w:rsidRPr="005523A8">
        <w:rPr>
          <w:rFonts w:ascii="Garamond" w:hAnsi="Garamond" w:cs="Arial"/>
          <w:spacing w:val="-3"/>
          <w:sz w:val="24"/>
          <w:szCs w:val="24"/>
        </w:rPr>
        <w:t xml:space="preserve"> </w:t>
      </w:r>
      <w:r w:rsidR="00BA3CCE" w:rsidRPr="005523A8">
        <w:rPr>
          <w:rFonts w:ascii="Garamond" w:hAnsi="Garamond" w:cs="Arial"/>
          <w:spacing w:val="-3"/>
          <w:sz w:val="24"/>
          <w:szCs w:val="24"/>
        </w:rPr>
        <w:t>judicial, mas</w:t>
      </w:r>
      <w:r w:rsidR="00FB6D51" w:rsidRPr="005523A8">
        <w:rPr>
          <w:rFonts w:ascii="Garamond" w:hAnsi="Garamond" w:cs="Arial"/>
          <w:spacing w:val="-3"/>
          <w:sz w:val="24"/>
          <w:szCs w:val="24"/>
        </w:rPr>
        <w:t xml:space="preserve"> </w:t>
      </w:r>
      <w:r w:rsidR="00A132B3" w:rsidRPr="005523A8">
        <w:rPr>
          <w:rFonts w:ascii="Garamond" w:hAnsi="Garamond" w:cs="Arial"/>
          <w:spacing w:val="-3"/>
          <w:sz w:val="24"/>
          <w:szCs w:val="24"/>
        </w:rPr>
        <w:t xml:space="preserve">significa, </w:t>
      </w:r>
      <w:r w:rsidR="00A132B3" w:rsidRPr="005523A8">
        <w:rPr>
          <w:rFonts w:ascii="Garamond" w:hAnsi="Garamond" w:cs="Arial"/>
          <w:i/>
          <w:spacing w:val="-3"/>
          <w:sz w:val="24"/>
          <w:szCs w:val="24"/>
        </w:rPr>
        <w:t>lato sensu</w:t>
      </w:r>
      <w:r w:rsidR="00A132B3" w:rsidRPr="005523A8">
        <w:rPr>
          <w:rFonts w:ascii="Garamond" w:hAnsi="Garamond" w:cs="Arial"/>
          <w:spacing w:val="-3"/>
          <w:sz w:val="24"/>
          <w:szCs w:val="24"/>
        </w:rPr>
        <w:t xml:space="preserve">, </w:t>
      </w:r>
      <w:r w:rsidR="00154174" w:rsidRPr="005523A8">
        <w:rPr>
          <w:rFonts w:ascii="Garamond" w:hAnsi="Garamond" w:cs="Arial"/>
          <w:spacing w:val="-3"/>
          <w:sz w:val="24"/>
          <w:szCs w:val="24"/>
        </w:rPr>
        <w:t>o</w:t>
      </w:r>
      <w:r w:rsidR="00A132B3" w:rsidRPr="005523A8">
        <w:rPr>
          <w:rFonts w:ascii="Garamond" w:hAnsi="Garamond" w:cs="Arial"/>
          <w:spacing w:val="-3"/>
          <w:sz w:val="24"/>
          <w:szCs w:val="24"/>
        </w:rPr>
        <w:t xml:space="preserve"> </w:t>
      </w:r>
      <w:r w:rsidR="00886D6A" w:rsidRPr="005523A8">
        <w:rPr>
          <w:rFonts w:ascii="Garamond" w:hAnsi="Garamond" w:cs="Arial"/>
          <w:spacing w:val="-3"/>
          <w:sz w:val="24"/>
          <w:szCs w:val="24"/>
        </w:rPr>
        <w:lastRenderedPageBreak/>
        <w:t>direito</w:t>
      </w:r>
      <w:r w:rsidR="00A132B3" w:rsidRPr="005523A8">
        <w:rPr>
          <w:rFonts w:ascii="Garamond" w:hAnsi="Garamond" w:cs="Arial"/>
          <w:spacing w:val="-3"/>
          <w:sz w:val="24"/>
          <w:szCs w:val="24"/>
        </w:rPr>
        <w:t xml:space="preserve"> </w:t>
      </w:r>
      <w:r w:rsidR="00154174" w:rsidRPr="005523A8">
        <w:rPr>
          <w:rFonts w:ascii="Garamond" w:hAnsi="Garamond" w:cs="Arial"/>
          <w:spacing w:val="-3"/>
          <w:sz w:val="24"/>
          <w:szCs w:val="24"/>
        </w:rPr>
        <w:t xml:space="preserve">de </w:t>
      </w:r>
      <w:r w:rsidR="00A132B3" w:rsidRPr="005523A8">
        <w:rPr>
          <w:rFonts w:ascii="Garamond" w:hAnsi="Garamond" w:cs="Arial"/>
          <w:spacing w:val="-3"/>
          <w:sz w:val="24"/>
          <w:szCs w:val="24"/>
        </w:rPr>
        <w:t xml:space="preserve">obter </w:t>
      </w:r>
      <w:r w:rsidR="00FC1F7F" w:rsidRPr="005523A8">
        <w:rPr>
          <w:rFonts w:ascii="Garamond" w:hAnsi="Garamond" w:cs="Arial"/>
          <w:spacing w:val="-3"/>
          <w:sz w:val="24"/>
          <w:szCs w:val="24"/>
        </w:rPr>
        <w:t>justiça</w:t>
      </w:r>
      <w:r w:rsidR="00A132B3" w:rsidRPr="005523A8">
        <w:rPr>
          <w:rFonts w:ascii="Garamond" w:hAnsi="Garamond" w:cs="Arial"/>
          <w:spacing w:val="-3"/>
          <w:sz w:val="24"/>
          <w:szCs w:val="24"/>
        </w:rPr>
        <w:t>, o</w:t>
      </w:r>
      <w:r w:rsidR="00154174" w:rsidRPr="005523A8">
        <w:rPr>
          <w:rFonts w:ascii="Garamond" w:hAnsi="Garamond" w:cs="Arial"/>
          <w:spacing w:val="-3"/>
          <w:sz w:val="24"/>
          <w:szCs w:val="24"/>
        </w:rPr>
        <w:t>u</w:t>
      </w:r>
      <w:r w:rsidR="00A132B3" w:rsidRPr="005523A8">
        <w:rPr>
          <w:rFonts w:ascii="Garamond" w:hAnsi="Garamond" w:cs="Arial"/>
          <w:spacing w:val="-3"/>
          <w:sz w:val="24"/>
          <w:szCs w:val="24"/>
        </w:rPr>
        <w:t xml:space="preserve"> se</w:t>
      </w:r>
      <w:r w:rsidR="00154174" w:rsidRPr="005523A8">
        <w:rPr>
          <w:rFonts w:ascii="Garamond" w:hAnsi="Garamond" w:cs="Arial"/>
          <w:spacing w:val="-3"/>
          <w:sz w:val="24"/>
          <w:szCs w:val="24"/>
        </w:rPr>
        <w:t>j</w:t>
      </w:r>
      <w:r w:rsidR="00A132B3" w:rsidRPr="005523A8">
        <w:rPr>
          <w:rFonts w:ascii="Garamond" w:hAnsi="Garamond" w:cs="Arial"/>
          <w:spacing w:val="-3"/>
          <w:sz w:val="24"/>
          <w:szCs w:val="24"/>
        </w:rPr>
        <w:t>a, u</w:t>
      </w:r>
      <w:r w:rsidR="00154174" w:rsidRPr="005523A8">
        <w:rPr>
          <w:rFonts w:ascii="Garamond" w:hAnsi="Garamond" w:cs="Arial"/>
          <w:spacing w:val="-3"/>
          <w:sz w:val="24"/>
          <w:szCs w:val="24"/>
        </w:rPr>
        <w:t>m</w:t>
      </w:r>
      <w:r w:rsidR="00A132B3" w:rsidRPr="005523A8">
        <w:rPr>
          <w:rFonts w:ascii="Garamond" w:hAnsi="Garamond" w:cs="Arial"/>
          <w:spacing w:val="-3"/>
          <w:sz w:val="24"/>
          <w:szCs w:val="24"/>
        </w:rPr>
        <w:t xml:space="preserve"> </w:t>
      </w:r>
      <w:r w:rsidR="00886D6A" w:rsidRPr="005523A8">
        <w:rPr>
          <w:rFonts w:ascii="Garamond" w:hAnsi="Garamond" w:cs="Arial"/>
          <w:spacing w:val="-3"/>
          <w:sz w:val="24"/>
          <w:szCs w:val="24"/>
        </w:rPr>
        <w:t>direito</w:t>
      </w:r>
      <w:r w:rsidR="00A132B3" w:rsidRPr="005523A8">
        <w:rPr>
          <w:rFonts w:ascii="Garamond" w:hAnsi="Garamond" w:cs="Arial"/>
          <w:spacing w:val="-3"/>
          <w:sz w:val="24"/>
          <w:szCs w:val="24"/>
        </w:rPr>
        <w:t xml:space="preserve"> autónomo </w:t>
      </w:r>
      <w:r w:rsidR="00154174" w:rsidRPr="005523A8">
        <w:rPr>
          <w:rFonts w:ascii="Garamond" w:hAnsi="Garamond" w:cs="Arial"/>
          <w:spacing w:val="-3"/>
          <w:sz w:val="24"/>
          <w:szCs w:val="24"/>
        </w:rPr>
        <w:t xml:space="preserve">à </w:t>
      </w:r>
      <w:r w:rsidR="00B14AA6" w:rsidRPr="005523A8">
        <w:rPr>
          <w:rFonts w:ascii="Garamond" w:hAnsi="Garamond" w:cs="Arial"/>
          <w:spacing w:val="-3"/>
          <w:sz w:val="24"/>
          <w:szCs w:val="24"/>
        </w:rPr>
        <w:t>própria</w:t>
      </w:r>
      <w:r w:rsidR="00A132B3" w:rsidRPr="005523A8">
        <w:rPr>
          <w:rFonts w:ascii="Garamond" w:hAnsi="Garamond" w:cs="Arial"/>
          <w:spacing w:val="-3"/>
          <w:sz w:val="24"/>
          <w:szCs w:val="24"/>
        </w:rPr>
        <w:t xml:space="preserve"> </w:t>
      </w:r>
      <w:r w:rsidR="00C30647" w:rsidRPr="005523A8">
        <w:rPr>
          <w:rFonts w:ascii="Garamond" w:hAnsi="Garamond" w:cs="Arial"/>
          <w:spacing w:val="-3"/>
          <w:sz w:val="24"/>
          <w:szCs w:val="24"/>
        </w:rPr>
        <w:t>realização</w:t>
      </w:r>
      <w:r w:rsidR="00154174" w:rsidRPr="005523A8">
        <w:rPr>
          <w:rFonts w:ascii="Garamond" w:hAnsi="Garamond" w:cs="Arial"/>
          <w:spacing w:val="-3"/>
          <w:sz w:val="24"/>
          <w:szCs w:val="24"/>
        </w:rPr>
        <w:t xml:space="preserve"> d</w:t>
      </w:r>
      <w:r w:rsidR="00A132B3" w:rsidRPr="005523A8">
        <w:rPr>
          <w:rFonts w:ascii="Garamond" w:hAnsi="Garamond" w:cs="Arial"/>
          <w:spacing w:val="-3"/>
          <w:sz w:val="24"/>
          <w:szCs w:val="24"/>
        </w:rPr>
        <w:t xml:space="preserve">a </w:t>
      </w:r>
      <w:r w:rsidR="00FC1F7F" w:rsidRPr="005523A8">
        <w:rPr>
          <w:rFonts w:ascii="Garamond" w:hAnsi="Garamond" w:cs="Arial"/>
          <w:spacing w:val="-3"/>
          <w:sz w:val="24"/>
          <w:szCs w:val="24"/>
        </w:rPr>
        <w:t>justiça</w:t>
      </w:r>
      <w:r w:rsidR="005523A8">
        <w:rPr>
          <w:rFonts w:ascii="Garamond" w:hAnsi="Garamond" w:cs="Arial"/>
          <w:spacing w:val="-3"/>
          <w:sz w:val="24"/>
          <w:szCs w:val="24"/>
        </w:rPr>
        <w:t>»</w:t>
      </w:r>
      <w:r w:rsidR="00A132B3" w:rsidRPr="005523A8">
        <w:rPr>
          <w:rStyle w:val="Refdenotaalpie"/>
          <w:rFonts w:ascii="Garamond" w:hAnsi="Garamond" w:cs="Arial"/>
          <w:spacing w:val="-3"/>
          <w:sz w:val="24"/>
          <w:szCs w:val="24"/>
        </w:rPr>
        <w:footnoteReference w:id="25"/>
      </w:r>
      <w:r w:rsidR="00A132B3" w:rsidRPr="005523A8">
        <w:rPr>
          <w:rFonts w:ascii="Garamond" w:hAnsi="Garamond" w:cs="Arial"/>
          <w:spacing w:val="-3"/>
          <w:sz w:val="24"/>
          <w:szCs w:val="24"/>
        </w:rPr>
        <w:t xml:space="preserve"> que, portanto, se </w:t>
      </w:r>
      <w:r w:rsidR="005523A8">
        <w:rPr>
          <w:rFonts w:ascii="Garamond" w:hAnsi="Garamond" w:cs="Arial"/>
          <w:spacing w:val="-3"/>
          <w:sz w:val="24"/>
          <w:szCs w:val="24"/>
        </w:rPr>
        <w:t>«</w:t>
      </w:r>
      <w:r w:rsidR="00FB09CA" w:rsidRPr="005523A8">
        <w:rPr>
          <w:rFonts w:ascii="Garamond" w:hAnsi="Garamond" w:cs="Arial"/>
          <w:spacing w:val="-3"/>
          <w:sz w:val="24"/>
          <w:szCs w:val="24"/>
        </w:rPr>
        <w:t>constitui</w:t>
      </w:r>
      <w:r w:rsidR="00A132B3" w:rsidRPr="005523A8">
        <w:rPr>
          <w:rFonts w:ascii="Garamond" w:hAnsi="Garamond" w:cs="Arial"/>
          <w:spacing w:val="-3"/>
          <w:sz w:val="24"/>
          <w:szCs w:val="24"/>
        </w:rPr>
        <w:t xml:space="preserve"> [e</w:t>
      </w:r>
      <w:r w:rsidR="00154174" w:rsidRPr="005523A8">
        <w:rPr>
          <w:rFonts w:ascii="Garamond" w:hAnsi="Garamond" w:cs="Arial"/>
          <w:spacing w:val="-3"/>
          <w:sz w:val="24"/>
          <w:szCs w:val="24"/>
        </w:rPr>
        <w:t>m</w:t>
      </w:r>
      <w:r w:rsidR="00A132B3" w:rsidRPr="005523A8">
        <w:rPr>
          <w:rFonts w:ascii="Garamond" w:hAnsi="Garamond" w:cs="Arial"/>
          <w:spacing w:val="-3"/>
          <w:sz w:val="24"/>
          <w:szCs w:val="24"/>
        </w:rPr>
        <w:t>] u</w:t>
      </w:r>
      <w:r w:rsidR="00154174" w:rsidRPr="005523A8">
        <w:rPr>
          <w:rFonts w:ascii="Garamond" w:hAnsi="Garamond" w:cs="Arial"/>
          <w:spacing w:val="-3"/>
          <w:sz w:val="24"/>
          <w:szCs w:val="24"/>
        </w:rPr>
        <w:t xml:space="preserve">m </w:t>
      </w:r>
      <w:r w:rsidR="00A132B3" w:rsidRPr="005523A8">
        <w:rPr>
          <w:rFonts w:ascii="Garamond" w:hAnsi="Garamond" w:cs="Arial"/>
          <w:spacing w:val="-3"/>
          <w:sz w:val="24"/>
          <w:szCs w:val="24"/>
        </w:rPr>
        <w:t>dos pilares básicos, n</w:t>
      </w:r>
      <w:r w:rsidR="00154174" w:rsidRPr="005523A8">
        <w:rPr>
          <w:rFonts w:ascii="Garamond" w:hAnsi="Garamond" w:cs="Arial"/>
          <w:spacing w:val="-3"/>
          <w:sz w:val="24"/>
          <w:szCs w:val="24"/>
        </w:rPr>
        <w:t>ã</w:t>
      </w:r>
      <w:r w:rsidR="00A132B3" w:rsidRPr="005523A8">
        <w:rPr>
          <w:rFonts w:ascii="Garamond" w:hAnsi="Garamond" w:cs="Arial"/>
          <w:spacing w:val="-3"/>
          <w:sz w:val="24"/>
          <w:szCs w:val="24"/>
        </w:rPr>
        <w:t xml:space="preserve">o </w:t>
      </w:r>
      <w:r w:rsidR="00C516C5" w:rsidRPr="005523A8">
        <w:rPr>
          <w:rFonts w:ascii="Garamond" w:hAnsi="Garamond" w:cs="Arial"/>
          <w:spacing w:val="-3"/>
          <w:sz w:val="24"/>
          <w:szCs w:val="24"/>
        </w:rPr>
        <w:t>s</w:t>
      </w:r>
      <w:r w:rsidR="00154174" w:rsidRPr="005523A8">
        <w:rPr>
          <w:rFonts w:ascii="Garamond" w:hAnsi="Garamond" w:cs="Arial"/>
          <w:spacing w:val="-3"/>
          <w:sz w:val="24"/>
          <w:szCs w:val="24"/>
        </w:rPr>
        <w:t xml:space="preserve">ó da </w:t>
      </w:r>
      <w:r w:rsidR="00B14AA6" w:rsidRPr="005523A8">
        <w:rPr>
          <w:rFonts w:ascii="Garamond" w:hAnsi="Garamond" w:cs="Arial"/>
          <w:spacing w:val="-3"/>
          <w:sz w:val="24"/>
          <w:szCs w:val="24"/>
        </w:rPr>
        <w:t>Convenção</w:t>
      </w:r>
      <w:r w:rsidR="00A132B3" w:rsidRPr="005523A8">
        <w:rPr>
          <w:rFonts w:ascii="Garamond" w:hAnsi="Garamond" w:cs="Arial"/>
          <w:spacing w:val="-3"/>
          <w:sz w:val="24"/>
          <w:szCs w:val="24"/>
        </w:rPr>
        <w:t xml:space="preserve"> Americana, </w:t>
      </w:r>
      <w:r w:rsidR="00154174" w:rsidRPr="005523A8">
        <w:rPr>
          <w:rFonts w:ascii="Garamond" w:hAnsi="Garamond" w:cs="Arial"/>
          <w:spacing w:val="-3"/>
          <w:sz w:val="24"/>
          <w:szCs w:val="24"/>
        </w:rPr>
        <w:t xml:space="preserve">como do </w:t>
      </w:r>
      <w:r w:rsidR="00C30647" w:rsidRPr="005523A8">
        <w:rPr>
          <w:rFonts w:ascii="Garamond" w:hAnsi="Garamond" w:cs="Arial"/>
          <w:spacing w:val="-3"/>
          <w:sz w:val="24"/>
          <w:szCs w:val="24"/>
        </w:rPr>
        <w:t>próprio</w:t>
      </w:r>
      <w:r w:rsidR="00A132B3" w:rsidRPr="005523A8">
        <w:rPr>
          <w:rFonts w:ascii="Garamond" w:hAnsi="Garamond" w:cs="Arial"/>
          <w:spacing w:val="-3"/>
          <w:sz w:val="24"/>
          <w:szCs w:val="24"/>
        </w:rPr>
        <w:t xml:space="preserve"> Estado de </w:t>
      </w:r>
      <w:r w:rsidR="00886D6A" w:rsidRPr="005523A8">
        <w:rPr>
          <w:rFonts w:ascii="Garamond" w:hAnsi="Garamond" w:cs="Arial"/>
          <w:spacing w:val="-3"/>
          <w:sz w:val="24"/>
          <w:szCs w:val="24"/>
        </w:rPr>
        <w:t>Direito</w:t>
      </w:r>
      <w:r w:rsidR="00A132B3" w:rsidRPr="005523A8">
        <w:rPr>
          <w:rFonts w:ascii="Garamond" w:hAnsi="Garamond" w:cs="Arial"/>
          <w:spacing w:val="-3"/>
          <w:sz w:val="24"/>
          <w:szCs w:val="24"/>
        </w:rPr>
        <w:t xml:space="preserve"> </w:t>
      </w:r>
      <w:r w:rsidR="00154174" w:rsidRPr="005523A8">
        <w:rPr>
          <w:rFonts w:ascii="Garamond" w:hAnsi="Garamond" w:cs="Arial"/>
          <w:spacing w:val="-3"/>
          <w:sz w:val="24"/>
          <w:szCs w:val="24"/>
        </w:rPr>
        <w:t xml:space="preserve">numa </w:t>
      </w:r>
      <w:r w:rsidR="002C7510" w:rsidRPr="005523A8">
        <w:rPr>
          <w:rFonts w:ascii="Garamond" w:hAnsi="Garamond" w:cs="Arial"/>
          <w:spacing w:val="-3"/>
          <w:sz w:val="24"/>
          <w:szCs w:val="24"/>
        </w:rPr>
        <w:t>sociedade</w:t>
      </w:r>
      <w:r w:rsidR="00A132B3" w:rsidRPr="005523A8">
        <w:rPr>
          <w:rFonts w:ascii="Garamond" w:hAnsi="Garamond" w:cs="Arial"/>
          <w:spacing w:val="-3"/>
          <w:sz w:val="24"/>
          <w:szCs w:val="24"/>
        </w:rPr>
        <w:t xml:space="preserve"> democrática </w:t>
      </w:r>
      <w:r w:rsidR="00154174" w:rsidRPr="005523A8">
        <w:rPr>
          <w:rFonts w:ascii="Garamond" w:hAnsi="Garamond" w:cs="Arial"/>
          <w:spacing w:val="-3"/>
          <w:sz w:val="24"/>
          <w:szCs w:val="24"/>
        </w:rPr>
        <w:t xml:space="preserve">no </w:t>
      </w:r>
      <w:r w:rsidR="00A132B3" w:rsidRPr="005523A8">
        <w:rPr>
          <w:rFonts w:ascii="Garamond" w:hAnsi="Garamond" w:cs="Arial"/>
          <w:spacing w:val="-3"/>
          <w:sz w:val="24"/>
          <w:szCs w:val="24"/>
        </w:rPr>
        <w:t xml:space="preserve">sentido da </w:t>
      </w:r>
      <w:r w:rsidR="00B14AA6" w:rsidRPr="005523A8">
        <w:rPr>
          <w:rFonts w:ascii="Garamond" w:hAnsi="Garamond" w:cs="Arial"/>
          <w:spacing w:val="-3"/>
          <w:sz w:val="24"/>
          <w:szCs w:val="24"/>
        </w:rPr>
        <w:t>Convenção</w:t>
      </w:r>
      <w:r w:rsidR="005523A8">
        <w:rPr>
          <w:rFonts w:ascii="Garamond" w:hAnsi="Garamond" w:cs="Arial"/>
          <w:spacing w:val="-3"/>
          <w:sz w:val="24"/>
          <w:szCs w:val="24"/>
        </w:rPr>
        <w:t>»</w:t>
      </w:r>
      <w:r w:rsidR="00C731FD" w:rsidRPr="005523A8">
        <w:rPr>
          <w:rFonts w:ascii="Garamond" w:hAnsi="Garamond" w:cs="Arial"/>
          <w:spacing w:val="-3"/>
          <w:sz w:val="24"/>
          <w:szCs w:val="24"/>
        </w:rPr>
        <w:t>.</w:t>
      </w:r>
      <w:r w:rsidR="00A132B3" w:rsidRPr="005523A8">
        <w:rPr>
          <w:rStyle w:val="Refdenotaalpie"/>
          <w:rFonts w:ascii="Garamond" w:hAnsi="Garamond" w:cs="Arial"/>
          <w:spacing w:val="-3"/>
          <w:sz w:val="24"/>
          <w:szCs w:val="24"/>
        </w:rPr>
        <w:footnoteReference w:id="26"/>
      </w:r>
    </w:p>
    <w:p w:rsidR="00A132B3" w:rsidRPr="003A1174" w:rsidRDefault="00A132B3" w:rsidP="008719D4">
      <w:pPr>
        <w:widowControl w:val="0"/>
        <w:autoSpaceDE w:val="0"/>
        <w:autoSpaceDN w:val="0"/>
        <w:adjustRightInd w:val="0"/>
        <w:spacing w:line="240" w:lineRule="auto"/>
        <w:jc w:val="both"/>
        <w:rPr>
          <w:rFonts w:ascii="Garamond" w:eastAsia="Calibri" w:hAnsi="Garamond" w:cs="Arial"/>
          <w:spacing w:val="-3"/>
          <w:sz w:val="24"/>
          <w:szCs w:val="24"/>
        </w:rPr>
      </w:pPr>
      <w:r w:rsidRPr="003A1174">
        <w:rPr>
          <w:rFonts w:ascii="Garamond" w:hAnsi="Garamond" w:cs="Arial"/>
          <w:spacing w:val="-3"/>
          <w:sz w:val="24"/>
          <w:szCs w:val="24"/>
        </w:rPr>
        <w:t>Como con</w:t>
      </w:r>
      <w:r w:rsidR="00661ADB" w:rsidRPr="003A1174">
        <w:rPr>
          <w:rFonts w:ascii="Garamond" w:hAnsi="Garamond" w:cs="Arial"/>
          <w:spacing w:val="-3"/>
          <w:sz w:val="24"/>
          <w:szCs w:val="24"/>
        </w:rPr>
        <w:t>sequência</w:t>
      </w:r>
      <w:r w:rsidRPr="003A1174">
        <w:rPr>
          <w:rFonts w:ascii="Garamond" w:hAnsi="Garamond" w:cs="Arial"/>
          <w:spacing w:val="-3"/>
          <w:sz w:val="24"/>
          <w:szCs w:val="24"/>
        </w:rPr>
        <w:t xml:space="preserve"> d</w:t>
      </w:r>
      <w:r w:rsidR="00154174" w:rsidRPr="003A1174">
        <w:rPr>
          <w:rFonts w:ascii="Garamond" w:hAnsi="Garamond" w:cs="Arial"/>
          <w:spacing w:val="-3"/>
          <w:sz w:val="24"/>
          <w:szCs w:val="24"/>
        </w:rPr>
        <w:t>o expo</w:t>
      </w:r>
      <w:r w:rsidRPr="003A1174">
        <w:rPr>
          <w:rFonts w:ascii="Garamond" w:hAnsi="Garamond" w:cs="Arial"/>
          <w:spacing w:val="-3"/>
          <w:sz w:val="24"/>
          <w:szCs w:val="24"/>
        </w:rPr>
        <w:t>sto</w:t>
      </w:r>
      <w:r w:rsidR="00C731FD" w:rsidRPr="003A1174">
        <w:rPr>
          <w:rFonts w:ascii="Garamond" w:hAnsi="Garamond" w:cs="Arial"/>
          <w:spacing w:val="-3"/>
          <w:sz w:val="24"/>
          <w:szCs w:val="24"/>
        </w:rPr>
        <w:t>,</w:t>
      </w:r>
      <w:r w:rsidRPr="003A1174">
        <w:rPr>
          <w:rFonts w:ascii="Garamond" w:hAnsi="Garamond" w:cs="Arial"/>
          <w:spacing w:val="-3"/>
          <w:sz w:val="24"/>
          <w:szCs w:val="24"/>
        </w:rPr>
        <w:t xml:space="preserve"> s</w:t>
      </w:r>
      <w:r w:rsidR="00154174" w:rsidRPr="003A1174">
        <w:rPr>
          <w:rFonts w:ascii="Garamond" w:hAnsi="Garamond" w:cs="Arial"/>
          <w:spacing w:val="-3"/>
          <w:sz w:val="24"/>
          <w:szCs w:val="24"/>
        </w:rPr>
        <w:t>e</w:t>
      </w:r>
      <w:r w:rsidRPr="003A1174">
        <w:rPr>
          <w:rFonts w:ascii="Garamond" w:hAnsi="Garamond" w:cs="Arial"/>
          <w:spacing w:val="-3"/>
          <w:sz w:val="24"/>
          <w:szCs w:val="24"/>
        </w:rPr>
        <w:t xml:space="preserve"> se prescindi</w:t>
      </w:r>
      <w:r w:rsidR="00154174" w:rsidRPr="003A1174">
        <w:rPr>
          <w:rFonts w:ascii="Garamond" w:hAnsi="Garamond" w:cs="Arial"/>
          <w:spacing w:val="-3"/>
          <w:sz w:val="24"/>
          <w:szCs w:val="24"/>
        </w:rPr>
        <w:t xml:space="preserve">sse do </w:t>
      </w:r>
      <w:r w:rsidR="00886D6A" w:rsidRPr="003A1174">
        <w:rPr>
          <w:rFonts w:ascii="Garamond" w:hAnsi="Garamond" w:cs="Arial"/>
          <w:spacing w:val="-3"/>
          <w:sz w:val="24"/>
          <w:szCs w:val="24"/>
        </w:rPr>
        <w:t>Acesso</w:t>
      </w:r>
      <w:r w:rsidRPr="003A1174">
        <w:rPr>
          <w:rFonts w:ascii="Garamond" w:hAnsi="Garamond" w:cs="Arial"/>
          <w:spacing w:val="-3"/>
          <w:sz w:val="24"/>
          <w:szCs w:val="24"/>
        </w:rPr>
        <w:t xml:space="preserve"> </w:t>
      </w:r>
      <w:r w:rsidR="00154174" w:rsidRPr="003A1174">
        <w:rPr>
          <w:rFonts w:ascii="Garamond" w:hAnsi="Garamond" w:cs="Arial"/>
          <w:spacing w:val="-3"/>
          <w:sz w:val="24"/>
          <w:szCs w:val="24"/>
        </w:rPr>
        <w:t xml:space="preserve">à </w:t>
      </w:r>
      <w:r w:rsidR="00FC1F7F" w:rsidRPr="003A1174">
        <w:rPr>
          <w:rFonts w:ascii="Garamond" w:hAnsi="Garamond" w:cs="Arial"/>
          <w:spacing w:val="-3"/>
          <w:sz w:val="24"/>
          <w:szCs w:val="24"/>
        </w:rPr>
        <w:t>Justiça</w:t>
      </w:r>
      <w:r w:rsidRPr="003A1174">
        <w:rPr>
          <w:rFonts w:ascii="Garamond" w:hAnsi="Garamond" w:cs="Arial"/>
          <w:spacing w:val="-3"/>
          <w:sz w:val="24"/>
          <w:szCs w:val="24"/>
        </w:rPr>
        <w:t xml:space="preserve"> </w:t>
      </w:r>
      <w:r w:rsidR="001B02AD" w:rsidRPr="003A1174">
        <w:rPr>
          <w:rFonts w:ascii="Garamond" w:hAnsi="Garamond" w:cs="Arial"/>
          <w:spacing w:val="-3"/>
          <w:sz w:val="24"/>
          <w:szCs w:val="24"/>
        </w:rPr>
        <w:t>afeta</w:t>
      </w:r>
      <w:r w:rsidRPr="003A1174">
        <w:rPr>
          <w:rFonts w:ascii="Garamond" w:hAnsi="Garamond" w:cs="Arial"/>
          <w:spacing w:val="-3"/>
          <w:sz w:val="24"/>
          <w:szCs w:val="24"/>
        </w:rPr>
        <w:t>r</w:t>
      </w:r>
      <w:r w:rsidR="00154174" w:rsidRPr="003A1174">
        <w:rPr>
          <w:rFonts w:ascii="Garamond" w:hAnsi="Garamond" w:cs="Arial"/>
          <w:spacing w:val="-3"/>
          <w:sz w:val="24"/>
          <w:szCs w:val="24"/>
        </w:rPr>
        <w:t xml:space="preserve">-se-ia </w:t>
      </w:r>
      <w:r w:rsidRPr="003A1174">
        <w:rPr>
          <w:rFonts w:ascii="Garamond" w:hAnsi="Garamond" w:cs="Arial"/>
          <w:spacing w:val="-3"/>
          <w:sz w:val="24"/>
          <w:szCs w:val="24"/>
        </w:rPr>
        <w:t xml:space="preserve">a </w:t>
      </w:r>
      <w:r w:rsidR="00B14AA6" w:rsidRPr="003A1174">
        <w:rPr>
          <w:rFonts w:ascii="Garamond" w:hAnsi="Garamond" w:cs="Arial"/>
          <w:spacing w:val="-3"/>
          <w:sz w:val="24"/>
          <w:szCs w:val="24"/>
        </w:rPr>
        <w:t>própria</w:t>
      </w:r>
      <w:r w:rsidRPr="003A1174">
        <w:rPr>
          <w:rFonts w:ascii="Garamond" w:hAnsi="Garamond" w:cs="Arial"/>
          <w:spacing w:val="-3"/>
          <w:sz w:val="24"/>
          <w:szCs w:val="24"/>
        </w:rPr>
        <w:t xml:space="preserve"> </w:t>
      </w:r>
      <w:r w:rsidR="004E3A1A" w:rsidRPr="003A1174">
        <w:rPr>
          <w:rFonts w:ascii="Garamond" w:hAnsi="Garamond" w:cs="Arial"/>
          <w:spacing w:val="-3"/>
          <w:sz w:val="24"/>
          <w:szCs w:val="24"/>
        </w:rPr>
        <w:t>ideia</w:t>
      </w:r>
      <w:r w:rsidRPr="003A1174">
        <w:rPr>
          <w:rFonts w:ascii="Garamond" w:hAnsi="Garamond" w:cs="Arial"/>
          <w:spacing w:val="-3"/>
          <w:sz w:val="24"/>
          <w:szCs w:val="24"/>
        </w:rPr>
        <w:t xml:space="preserve"> d</w:t>
      </w:r>
      <w:r w:rsidR="00154174" w:rsidRPr="003A1174">
        <w:rPr>
          <w:rFonts w:ascii="Garamond" w:hAnsi="Garamond" w:cs="Arial"/>
          <w:spacing w:val="-3"/>
          <w:sz w:val="24"/>
          <w:szCs w:val="24"/>
        </w:rPr>
        <w:t>o</w:t>
      </w:r>
      <w:r w:rsidRPr="003A1174">
        <w:rPr>
          <w:rFonts w:ascii="Garamond" w:hAnsi="Garamond" w:cs="Arial"/>
          <w:spacing w:val="-3"/>
          <w:sz w:val="24"/>
          <w:szCs w:val="24"/>
        </w:rPr>
        <w:t xml:space="preserve"> Estado de </w:t>
      </w:r>
      <w:r w:rsidR="00886D6A" w:rsidRPr="003A1174">
        <w:rPr>
          <w:rFonts w:ascii="Garamond" w:hAnsi="Garamond" w:cs="Arial"/>
          <w:spacing w:val="-3"/>
          <w:sz w:val="24"/>
          <w:szCs w:val="24"/>
        </w:rPr>
        <w:t>Direito</w:t>
      </w:r>
      <w:r w:rsidRPr="003A1174">
        <w:rPr>
          <w:rFonts w:ascii="Garamond" w:hAnsi="Garamond" w:cs="Arial"/>
          <w:spacing w:val="-3"/>
          <w:sz w:val="24"/>
          <w:szCs w:val="24"/>
        </w:rPr>
        <w:t xml:space="preserve"> </w:t>
      </w:r>
      <w:r w:rsidR="00154174" w:rsidRPr="003A1174">
        <w:rPr>
          <w:rFonts w:ascii="Garamond" w:hAnsi="Garamond" w:cs="Arial"/>
          <w:spacing w:val="-3"/>
          <w:sz w:val="24"/>
          <w:szCs w:val="24"/>
        </w:rPr>
        <w:t xml:space="preserve">e </w:t>
      </w:r>
      <w:r w:rsidRPr="003A1174">
        <w:rPr>
          <w:rFonts w:ascii="Garamond" w:hAnsi="Garamond" w:cs="Arial"/>
          <w:spacing w:val="-3"/>
          <w:sz w:val="24"/>
          <w:szCs w:val="24"/>
        </w:rPr>
        <w:t xml:space="preserve">a </w:t>
      </w:r>
      <w:r w:rsidR="008843FD" w:rsidRPr="003A1174">
        <w:rPr>
          <w:rFonts w:ascii="Garamond" w:hAnsi="Garamond" w:cs="Arial"/>
          <w:spacing w:val="-3"/>
          <w:sz w:val="24"/>
          <w:szCs w:val="24"/>
        </w:rPr>
        <w:t>possibilidade</w:t>
      </w:r>
      <w:r w:rsidR="00154174" w:rsidRPr="003A1174">
        <w:rPr>
          <w:rFonts w:ascii="Garamond" w:hAnsi="Garamond" w:cs="Arial"/>
          <w:spacing w:val="-3"/>
          <w:sz w:val="24"/>
          <w:szCs w:val="24"/>
        </w:rPr>
        <w:t xml:space="preserve"> c</w:t>
      </w:r>
      <w:r w:rsidRPr="003A1174">
        <w:rPr>
          <w:rFonts w:ascii="Garamond" w:hAnsi="Garamond" w:cs="Arial"/>
          <w:spacing w:val="-3"/>
          <w:sz w:val="24"/>
          <w:szCs w:val="24"/>
        </w:rPr>
        <w:t xml:space="preserve">erta, </w:t>
      </w:r>
      <w:r w:rsidR="00154174" w:rsidRPr="003A1174">
        <w:rPr>
          <w:rFonts w:ascii="Garamond" w:hAnsi="Garamond" w:cs="Arial"/>
          <w:spacing w:val="-3"/>
          <w:sz w:val="24"/>
          <w:szCs w:val="24"/>
        </w:rPr>
        <w:t>n</w:t>
      </w:r>
      <w:r w:rsidRPr="003A1174">
        <w:rPr>
          <w:rFonts w:ascii="Garamond" w:hAnsi="Garamond" w:cs="Arial"/>
          <w:spacing w:val="-3"/>
          <w:sz w:val="24"/>
          <w:szCs w:val="24"/>
        </w:rPr>
        <w:t>e</w:t>
      </w:r>
      <w:r w:rsidR="00154174" w:rsidRPr="003A1174">
        <w:rPr>
          <w:rFonts w:ascii="Garamond" w:hAnsi="Garamond" w:cs="Arial"/>
          <w:spacing w:val="-3"/>
          <w:sz w:val="24"/>
          <w:szCs w:val="24"/>
        </w:rPr>
        <w:t>s</w:t>
      </w:r>
      <w:r w:rsidRPr="003A1174">
        <w:rPr>
          <w:rFonts w:ascii="Garamond" w:hAnsi="Garamond" w:cs="Arial"/>
          <w:spacing w:val="-3"/>
          <w:sz w:val="24"/>
          <w:szCs w:val="24"/>
        </w:rPr>
        <w:t xml:space="preserve">sa </w:t>
      </w:r>
      <w:r w:rsidR="0017447A" w:rsidRPr="003A1174">
        <w:rPr>
          <w:rFonts w:ascii="Garamond" w:hAnsi="Garamond" w:cs="Arial"/>
          <w:spacing w:val="-3"/>
          <w:sz w:val="24"/>
          <w:szCs w:val="24"/>
        </w:rPr>
        <w:t>situação</w:t>
      </w:r>
      <w:r w:rsidR="00154174" w:rsidRPr="003A1174">
        <w:rPr>
          <w:rFonts w:ascii="Garamond" w:hAnsi="Garamond" w:cs="Arial"/>
          <w:spacing w:val="-3"/>
          <w:sz w:val="24"/>
          <w:szCs w:val="24"/>
        </w:rPr>
        <w:t xml:space="preserve">, de fazer </w:t>
      </w:r>
      <w:r w:rsidRPr="003A1174">
        <w:rPr>
          <w:rFonts w:ascii="Garamond" w:hAnsi="Garamond" w:cs="Arial"/>
          <w:spacing w:val="-3"/>
          <w:sz w:val="24"/>
          <w:szCs w:val="24"/>
        </w:rPr>
        <w:t xml:space="preserve">valer </w:t>
      </w:r>
      <w:r w:rsidR="00154174" w:rsidRPr="003A1174">
        <w:rPr>
          <w:rFonts w:ascii="Garamond" w:hAnsi="Garamond" w:cs="Arial"/>
          <w:spacing w:val="-3"/>
          <w:sz w:val="24"/>
          <w:szCs w:val="24"/>
        </w:rPr>
        <w:t>e</w:t>
      </w:r>
      <w:r w:rsidRPr="003A1174">
        <w:rPr>
          <w:rFonts w:ascii="Garamond" w:hAnsi="Garamond" w:cs="Arial"/>
          <w:spacing w:val="-3"/>
          <w:sz w:val="24"/>
          <w:szCs w:val="24"/>
        </w:rPr>
        <w:t xml:space="preserve"> concret</w:t>
      </w:r>
      <w:r w:rsidR="00154174" w:rsidRPr="003A1174">
        <w:rPr>
          <w:rFonts w:ascii="Garamond" w:hAnsi="Garamond" w:cs="Arial"/>
          <w:spacing w:val="-3"/>
          <w:sz w:val="24"/>
          <w:szCs w:val="24"/>
        </w:rPr>
        <w:t>iz</w:t>
      </w:r>
      <w:r w:rsidRPr="003A1174">
        <w:rPr>
          <w:rFonts w:ascii="Garamond" w:hAnsi="Garamond" w:cs="Arial"/>
          <w:spacing w:val="-3"/>
          <w:sz w:val="24"/>
          <w:szCs w:val="24"/>
        </w:rPr>
        <w:t>ar</w:t>
      </w:r>
      <w:r w:rsidR="008879E7">
        <w:rPr>
          <w:rFonts w:ascii="Garamond" w:hAnsi="Garamond" w:cs="Arial"/>
          <w:spacing w:val="-3"/>
          <w:sz w:val="24"/>
          <w:szCs w:val="24"/>
        </w:rPr>
        <w:t>,</w:t>
      </w:r>
      <w:r w:rsidRPr="003A1174">
        <w:rPr>
          <w:rFonts w:ascii="Garamond" w:hAnsi="Garamond" w:cs="Arial"/>
          <w:spacing w:val="-3"/>
          <w:sz w:val="24"/>
          <w:szCs w:val="24"/>
        </w:rPr>
        <w:t xml:space="preserve"> por </w:t>
      </w:r>
      <w:r w:rsidR="00454353" w:rsidRPr="003A1174">
        <w:rPr>
          <w:rFonts w:ascii="Garamond" w:hAnsi="Garamond" w:cs="Arial"/>
          <w:spacing w:val="-3"/>
          <w:sz w:val="24"/>
          <w:szCs w:val="24"/>
        </w:rPr>
        <w:t>vias</w:t>
      </w:r>
      <w:r w:rsidR="00154174" w:rsidRPr="003A1174">
        <w:rPr>
          <w:rFonts w:ascii="Garamond" w:hAnsi="Garamond" w:cs="Arial"/>
          <w:spacing w:val="-3"/>
          <w:sz w:val="24"/>
          <w:szCs w:val="24"/>
        </w:rPr>
        <w:t xml:space="preserve"> democráticas e</w:t>
      </w:r>
      <w:r w:rsidRPr="003A1174">
        <w:rPr>
          <w:rFonts w:ascii="Garamond" w:hAnsi="Garamond" w:cs="Arial"/>
          <w:spacing w:val="-3"/>
          <w:sz w:val="24"/>
          <w:szCs w:val="24"/>
        </w:rPr>
        <w:t xml:space="preserve"> pacíficas</w:t>
      </w:r>
      <w:r w:rsidR="008879E7">
        <w:rPr>
          <w:rFonts w:ascii="Garamond" w:hAnsi="Garamond" w:cs="Arial"/>
          <w:spacing w:val="-3"/>
          <w:sz w:val="24"/>
          <w:szCs w:val="24"/>
        </w:rPr>
        <w:t>,</w:t>
      </w:r>
      <w:r w:rsidRPr="003A1174">
        <w:rPr>
          <w:rFonts w:ascii="Garamond" w:hAnsi="Garamond" w:cs="Arial"/>
          <w:spacing w:val="-3"/>
          <w:sz w:val="24"/>
          <w:szCs w:val="24"/>
        </w:rPr>
        <w:t xml:space="preserve"> todos os </w:t>
      </w:r>
      <w:r w:rsidR="00FB6D51" w:rsidRPr="003A1174">
        <w:rPr>
          <w:rFonts w:ascii="Garamond" w:hAnsi="Garamond" w:cs="Arial"/>
          <w:spacing w:val="-3"/>
          <w:sz w:val="24"/>
          <w:szCs w:val="24"/>
        </w:rPr>
        <w:t xml:space="preserve">outros </w:t>
      </w:r>
      <w:r w:rsidR="00886D6A" w:rsidRPr="003A1174">
        <w:rPr>
          <w:rFonts w:ascii="Garamond" w:hAnsi="Garamond" w:cs="Arial"/>
          <w:spacing w:val="-3"/>
          <w:sz w:val="24"/>
          <w:szCs w:val="24"/>
        </w:rPr>
        <w:t>direito</w:t>
      </w:r>
      <w:r w:rsidRPr="003A1174">
        <w:rPr>
          <w:rFonts w:ascii="Garamond" w:hAnsi="Garamond" w:cs="Arial"/>
          <w:spacing w:val="-3"/>
          <w:sz w:val="24"/>
          <w:szCs w:val="24"/>
        </w:rPr>
        <w:t>s humanos</w:t>
      </w:r>
      <w:r w:rsidR="00C731FD" w:rsidRPr="003A1174">
        <w:rPr>
          <w:rFonts w:ascii="Garamond" w:hAnsi="Garamond" w:cs="Arial"/>
          <w:spacing w:val="-3"/>
          <w:sz w:val="24"/>
          <w:szCs w:val="24"/>
        </w:rPr>
        <w:t>.</w:t>
      </w:r>
      <w:r w:rsidRPr="003A1174">
        <w:rPr>
          <w:rStyle w:val="Refdenotaalpie"/>
          <w:rFonts w:ascii="Garamond" w:hAnsi="Garamond" w:cs="Arial"/>
          <w:spacing w:val="-3"/>
          <w:sz w:val="24"/>
          <w:szCs w:val="24"/>
        </w:rPr>
        <w:footnoteReference w:id="27"/>
      </w:r>
      <w:r w:rsidRPr="003A1174">
        <w:rPr>
          <w:rFonts w:ascii="Garamond" w:hAnsi="Garamond" w:cs="Arial"/>
          <w:spacing w:val="-3"/>
          <w:sz w:val="24"/>
          <w:szCs w:val="24"/>
        </w:rPr>
        <w:t xml:space="preserve"> </w:t>
      </w:r>
    </w:p>
    <w:p w:rsidR="007C4866" w:rsidRDefault="00A132B3" w:rsidP="008719D4">
      <w:pPr>
        <w:widowControl w:val="0"/>
        <w:autoSpaceDE w:val="0"/>
        <w:autoSpaceDN w:val="0"/>
        <w:adjustRightInd w:val="0"/>
        <w:spacing w:line="240" w:lineRule="auto"/>
        <w:jc w:val="both"/>
        <w:rPr>
          <w:rFonts w:ascii="Garamond" w:hAnsi="Garamond" w:cs="Arial"/>
          <w:spacing w:val="-3"/>
          <w:sz w:val="24"/>
          <w:szCs w:val="24"/>
        </w:rPr>
      </w:pPr>
      <w:r w:rsidRPr="003A1174">
        <w:rPr>
          <w:rFonts w:ascii="Garamond" w:eastAsia="Calibri" w:hAnsi="Garamond" w:cs="Arial"/>
          <w:spacing w:val="-3"/>
          <w:sz w:val="24"/>
          <w:szCs w:val="24"/>
        </w:rPr>
        <w:t>Anotamos</w:t>
      </w:r>
      <w:r w:rsidR="00FB6D51" w:rsidRPr="003A1174">
        <w:rPr>
          <w:rFonts w:ascii="Garamond" w:eastAsia="Calibri" w:hAnsi="Garamond" w:cs="Arial"/>
          <w:spacing w:val="-3"/>
          <w:sz w:val="24"/>
          <w:szCs w:val="24"/>
        </w:rPr>
        <w:t>,</w:t>
      </w:r>
      <w:r w:rsidRPr="003A1174">
        <w:rPr>
          <w:rFonts w:ascii="Garamond" w:eastAsia="Calibri" w:hAnsi="Garamond" w:cs="Arial"/>
          <w:spacing w:val="-3"/>
          <w:sz w:val="24"/>
          <w:szCs w:val="24"/>
        </w:rPr>
        <w:t xml:space="preserve"> finalmente, que Cançado Trindade</w:t>
      </w:r>
      <w:r w:rsidR="00154174" w:rsidRPr="003A1174">
        <w:rPr>
          <w:rFonts w:ascii="Garamond" w:hAnsi="Garamond" w:cs="Arial"/>
          <w:spacing w:val="-3"/>
          <w:sz w:val="24"/>
          <w:szCs w:val="24"/>
        </w:rPr>
        <w:t xml:space="preserve"> relaciona </w:t>
      </w:r>
      <w:r w:rsidRPr="003A1174">
        <w:rPr>
          <w:rFonts w:ascii="Garamond" w:hAnsi="Garamond" w:cs="Arial"/>
          <w:spacing w:val="-3"/>
          <w:sz w:val="24"/>
          <w:szCs w:val="24"/>
        </w:rPr>
        <w:t>os prece</w:t>
      </w:r>
      <w:r w:rsidR="00154174" w:rsidRPr="003A1174">
        <w:rPr>
          <w:rFonts w:ascii="Garamond" w:hAnsi="Garamond" w:cs="Arial"/>
          <w:spacing w:val="-3"/>
          <w:sz w:val="24"/>
          <w:szCs w:val="24"/>
        </w:rPr>
        <w:t>itos que a partir d</w:t>
      </w:r>
      <w:r w:rsidRPr="003A1174">
        <w:rPr>
          <w:rFonts w:ascii="Garamond" w:hAnsi="Garamond" w:cs="Arial"/>
          <w:spacing w:val="-3"/>
          <w:sz w:val="24"/>
          <w:szCs w:val="24"/>
        </w:rPr>
        <w:t xml:space="preserve">a </w:t>
      </w:r>
      <w:r w:rsidR="00B14AA6" w:rsidRPr="003A1174">
        <w:rPr>
          <w:rFonts w:ascii="Garamond" w:hAnsi="Garamond" w:cs="Arial"/>
          <w:spacing w:val="-3"/>
          <w:sz w:val="24"/>
          <w:szCs w:val="24"/>
        </w:rPr>
        <w:t>Convenção</w:t>
      </w:r>
      <w:r w:rsidRPr="003A1174">
        <w:rPr>
          <w:rFonts w:ascii="Garamond" w:hAnsi="Garamond" w:cs="Arial"/>
          <w:spacing w:val="-3"/>
          <w:sz w:val="24"/>
          <w:szCs w:val="24"/>
        </w:rPr>
        <w:t xml:space="preserve"> Americana </w:t>
      </w:r>
      <w:r w:rsidR="008879E7">
        <w:rPr>
          <w:rFonts w:ascii="Garamond" w:hAnsi="Garamond" w:cs="Arial"/>
          <w:spacing w:val="-3"/>
          <w:sz w:val="24"/>
          <w:szCs w:val="24"/>
        </w:rPr>
        <w:t>-</w:t>
      </w:r>
      <w:r w:rsidR="00154174" w:rsidRPr="003A1174">
        <w:rPr>
          <w:rFonts w:ascii="Garamond" w:hAnsi="Garamond" w:cs="Arial"/>
          <w:spacing w:val="-3"/>
          <w:sz w:val="24"/>
          <w:szCs w:val="24"/>
        </w:rPr>
        <w:t xml:space="preserve"> </w:t>
      </w:r>
      <w:r w:rsidRPr="003A1174">
        <w:rPr>
          <w:rFonts w:ascii="Garamond" w:hAnsi="Garamond" w:cs="Arial"/>
          <w:spacing w:val="-3"/>
          <w:sz w:val="24"/>
          <w:szCs w:val="24"/>
        </w:rPr>
        <w:t>co</w:t>
      </w:r>
      <w:r w:rsidR="00154174" w:rsidRPr="003A1174">
        <w:rPr>
          <w:rFonts w:ascii="Garamond" w:hAnsi="Garamond" w:cs="Arial"/>
          <w:spacing w:val="-3"/>
          <w:sz w:val="24"/>
          <w:szCs w:val="24"/>
        </w:rPr>
        <w:t xml:space="preserve">m </w:t>
      </w:r>
      <w:r w:rsidRPr="003A1174">
        <w:rPr>
          <w:rFonts w:ascii="Garamond" w:hAnsi="Garamond" w:cs="Arial"/>
          <w:spacing w:val="-3"/>
          <w:sz w:val="24"/>
          <w:szCs w:val="24"/>
        </w:rPr>
        <w:t>os que conc</w:t>
      </w:r>
      <w:r w:rsidR="00154174" w:rsidRPr="003A1174">
        <w:rPr>
          <w:rFonts w:ascii="Garamond" w:hAnsi="Garamond" w:cs="Arial"/>
          <w:spacing w:val="-3"/>
          <w:sz w:val="24"/>
          <w:szCs w:val="24"/>
        </w:rPr>
        <w:t>o</w:t>
      </w:r>
      <w:r w:rsidRPr="003A1174">
        <w:rPr>
          <w:rFonts w:ascii="Garamond" w:hAnsi="Garamond" w:cs="Arial"/>
          <w:spacing w:val="-3"/>
          <w:sz w:val="24"/>
          <w:szCs w:val="24"/>
        </w:rPr>
        <w:t>rre</w:t>
      </w:r>
      <w:r w:rsidR="00154174" w:rsidRPr="003A1174">
        <w:rPr>
          <w:rFonts w:ascii="Garamond" w:hAnsi="Garamond" w:cs="Arial"/>
          <w:spacing w:val="-3"/>
          <w:sz w:val="24"/>
          <w:szCs w:val="24"/>
        </w:rPr>
        <w:t xml:space="preserve">m </w:t>
      </w:r>
      <w:r w:rsidRPr="003A1174">
        <w:rPr>
          <w:rFonts w:ascii="Garamond" w:hAnsi="Garamond" w:cs="Arial"/>
          <w:spacing w:val="-3"/>
          <w:sz w:val="24"/>
          <w:szCs w:val="24"/>
        </w:rPr>
        <w:t>as pr</w:t>
      </w:r>
      <w:r w:rsidR="00154174" w:rsidRPr="003A1174">
        <w:rPr>
          <w:rFonts w:ascii="Garamond" w:hAnsi="Garamond" w:cs="Arial"/>
          <w:spacing w:val="-3"/>
          <w:sz w:val="24"/>
          <w:szCs w:val="24"/>
        </w:rPr>
        <w:t>é-</w:t>
      </w:r>
      <w:r w:rsidRPr="003A1174">
        <w:rPr>
          <w:rFonts w:ascii="Garamond" w:hAnsi="Garamond" w:cs="Arial"/>
          <w:spacing w:val="-3"/>
          <w:sz w:val="24"/>
          <w:szCs w:val="24"/>
        </w:rPr>
        <w:t xml:space="preserve">citadas normas da </w:t>
      </w:r>
      <w:r w:rsidR="00B14AA6" w:rsidRPr="003A1174">
        <w:rPr>
          <w:rFonts w:ascii="Garamond" w:hAnsi="Garamond" w:cs="Arial"/>
          <w:spacing w:val="-3"/>
          <w:sz w:val="24"/>
          <w:szCs w:val="24"/>
        </w:rPr>
        <w:t>Convenção</w:t>
      </w:r>
      <w:r w:rsidRPr="003A1174">
        <w:rPr>
          <w:rFonts w:ascii="Garamond" w:hAnsi="Garamond" w:cs="Arial"/>
          <w:spacing w:val="-3"/>
          <w:sz w:val="24"/>
          <w:szCs w:val="24"/>
        </w:rPr>
        <w:t xml:space="preserve"> de Belém do Pará</w:t>
      </w:r>
      <w:r w:rsidR="00154174" w:rsidRPr="003A1174">
        <w:rPr>
          <w:rFonts w:ascii="Garamond" w:hAnsi="Garamond" w:cs="Arial"/>
          <w:spacing w:val="-3"/>
          <w:sz w:val="24"/>
          <w:szCs w:val="24"/>
        </w:rPr>
        <w:t xml:space="preserve"> </w:t>
      </w:r>
      <w:r w:rsidR="008879E7">
        <w:rPr>
          <w:rFonts w:ascii="Garamond" w:hAnsi="Garamond" w:cs="Arial"/>
          <w:spacing w:val="-3"/>
          <w:sz w:val="24"/>
          <w:szCs w:val="24"/>
        </w:rPr>
        <w:t>-</w:t>
      </w:r>
      <w:r w:rsidRPr="003A1174">
        <w:rPr>
          <w:rFonts w:ascii="Garamond" w:hAnsi="Garamond" w:cs="Arial"/>
          <w:spacing w:val="-3"/>
          <w:sz w:val="24"/>
          <w:szCs w:val="24"/>
        </w:rPr>
        <w:t>, sustenta</w:t>
      </w:r>
      <w:r w:rsidR="00154174" w:rsidRPr="003A1174">
        <w:rPr>
          <w:rFonts w:ascii="Garamond" w:hAnsi="Garamond" w:cs="Arial"/>
          <w:spacing w:val="-3"/>
          <w:sz w:val="24"/>
          <w:szCs w:val="24"/>
        </w:rPr>
        <w:t xml:space="preserve">m no </w:t>
      </w:r>
      <w:r w:rsidR="00802ACC" w:rsidRPr="003A1174">
        <w:rPr>
          <w:rFonts w:ascii="Garamond" w:hAnsi="Garamond" w:cs="Arial"/>
          <w:spacing w:val="-3"/>
          <w:sz w:val="24"/>
          <w:szCs w:val="24"/>
        </w:rPr>
        <w:t>âmbito</w:t>
      </w:r>
      <w:r w:rsidRPr="003A1174">
        <w:rPr>
          <w:rFonts w:ascii="Garamond" w:hAnsi="Garamond" w:cs="Arial"/>
          <w:spacing w:val="-3"/>
          <w:sz w:val="24"/>
          <w:szCs w:val="24"/>
        </w:rPr>
        <w:t xml:space="preserve"> interamericano </w:t>
      </w:r>
      <w:r w:rsidR="00154174" w:rsidRPr="003A1174">
        <w:rPr>
          <w:rFonts w:ascii="Garamond" w:hAnsi="Garamond" w:cs="Arial"/>
          <w:spacing w:val="-3"/>
          <w:sz w:val="24"/>
          <w:szCs w:val="24"/>
        </w:rPr>
        <w:t>o</w:t>
      </w:r>
      <w:r w:rsidRPr="003A1174">
        <w:rPr>
          <w:rFonts w:ascii="Garamond" w:hAnsi="Garamond" w:cs="Arial"/>
          <w:spacing w:val="-3"/>
          <w:sz w:val="24"/>
          <w:szCs w:val="24"/>
        </w:rPr>
        <w:t xml:space="preserve"> </w:t>
      </w:r>
      <w:r w:rsidR="00886D6A" w:rsidRPr="003A1174">
        <w:rPr>
          <w:rFonts w:ascii="Garamond" w:hAnsi="Garamond" w:cs="Arial"/>
          <w:spacing w:val="-3"/>
          <w:sz w:val="24"/>
          <w:szCs w:val="24"/>
        </w:rPr>
        <w:t>direito</w:t>
      </w:r>
      <w:r w:rsidRPr="003A1174">
        <w:rPr>
          <w:rFonts w:ascii="Garamond" w:hAnsi="Garamond" w:cs="Arial"/>
          <w:spacing w:val="-3"/>
          <w:sz w:val="24"/>
          <w:szCs w:val="24"/>
        </w:rPr>
        <w:t xml:space="preserve"> humano e</w:t>
      </w:r>
      <w:r w:rsidR="00154174" w:rsidRPr="003A1174">
        <w:rPr>
          <w:rFonts w:ascii="Garamond" w:hAnsi="Garamond" w:cs="Arial"/>
          <w:spacing w:val="-3"/>
          <w:sz w:val="24"/>
          <w:szCs w:val="24"/>
        </w:rPr>
        <w:t>m questão</w:t>
      </w:r>
      <w:r w:rsidRPr="003A1174">
        <w:rPr>
          <w:rFonts w:ascii="Garamond" w:hAnsi="Garamond" w:cs="Arial"/>
          <w:spacing w:val="-3"/>
          <w:sz w:val="24"/>
          <w:szCs w:val="24"/>
        </w:rPr>
        <w:t xml:space="preserve">. </w:t>
      </w:r>
      <w:r w:rsidR="00154174" w:rsidRPr="003A1174">
        <w:rPr>
          <w:rFonts w:ascii="Garamond" w:hAnsi="Garamond" w:cs="Arial"/>
          <w:spacing w:val="-3"/>
          <w:sz w:val="24"/>
          <w:szCs w:val="24"/>
        </w:rPr>
        <w:t>N</w:t>
      </w:r>
      <w:r w:rsidRPr="003A1174">
        <w:rPr>
          <w:rFonts w:ascii="Garamond" w:hAnsi="Garamond" w:cs="Arial"/>
          <w:spacing w:val="-3"/>
          <w:sz w:val="24"/>
          <w:szCs w:val="24"/>
        </w:rPr>
        <w:t xml:space="preserve">este </w:t>
      </w:r>
      <w:r w:rsidR="00154174" w:rsidRPr="003A1174">
        <w:rPr>
          <w:rFonts w:ascii="Garamond" w:hAnsi="Garamond" w:cs="Arial"/>
          <w:spacing w:val="-3"/>
          <w:sz w:val="24"/>
          <w:szCs w:val="24"/>
        </w:rPr>
        <w:t xml:space="preserve">sentido, afirma </w:t>
      </w:r>
      <w:proofErr w:type="gramStart"/>
      <w:r w:rsidRPr="003A1174">
        <w:rPr>
          <w:rFonts w:ascii="Garamond" w:hAnsi="Garamond" w:cs="Arial"/>
          <w:spacing w:val="-3"/>
          <w:sz w:val="24"/>
          <w:szCs w:val="24"/>
        </w:rPr>
        <w:t>que</w:t>
      </w:r>
      <w:proofErr w:type="gramEnd"/>
      <w:r w:rsidRPr="003A1174">
        <w:rPr>
          <w:rFonts w:ascii="Garamond" w:hAnsi="Garamond" w:cs="Arial"/>
          <w:spacing w:val="-3"/>
          <w:sz w:val="24"/>
          <w:szCs w:val="24"/>
        </w:rPr>
        <w:t xml:space="preserve"> </w:t>
      </w:r>
    </w:p>
    <w:p w:rsidR="00A132B3" w:rsidRPr="007C4866" w:rsidRDefault="000C4382" w:rsidP="007C4866">
      <w:pPr>
        <w:widowControl w:val="0"/>
        <w:autoSpaceDE w:val="0"/>
        <w:autoSpaceDN w:val="0"/>
        <w:adjustRightInd w:val="0"/>
        <w:spacing w:line="240" w:lineRule="auto"/>
        <w:ind w:left="567"/>
        <w:jc w:val="both"/>
        <w:rPr>
          <w:rFonts w:ascii="Garamond" w:hAnsi="Garamond" w:cs="Arial"/>
          <w:spacing w:val="-3"/>
        </w:rPr>
      </w:pPr>
      <w:r>
        <w:rPr>
          <w:rFonts w:ascii="Garamond" w:hAnsi="Garamond" w:cs="Arial"/>
          <w:spacing w:val="-3"/>
        </w:rPr>
        <w:t>«</w:t>
      </w:r>
      <w:r w:rsidR="00A132B3" w:rsidRPr="007C4866">
        <w:rPr>
          <w:rFonts w:ascii="Garamond" w:hAnsi="Garamond" w:cs="Arial"/>
          <w:spacing w:val="-3"/>
        </w:rPr>
        <w:t xml:space="preserve">[tal </w:t>
      </w:r>
      <w:r w:rsidR="00886D6A" w:rsidRPr="007C4866">
        <w:rPr>
          <w:rFonts w:ascii="Garamond" w:hAnsi="Garamond" w:cs="Arial"/>
          <w:spacing w:val="-3"/>
        </w:rPr>
        <w:t>direito</w:t>
      </w:r>
      <w:r w:rsidR="00A132B3" w:rsidRPr="007C4866">
        <w:rPr>
          <w:rFonts w:ascii="Garamond" w:hAnsi="Garamond" w:cs="Arial"/>
          <w:spacing w:val="-3"/>
        </w:rPr>
        <w:t xml:space="preserve"> n</w:t>
      </w:r>
      <w:r w:rsidR="00154174" w:rsidRPr="007C4866">
        <w:rPr>
          <w:rFonts w:ascii="Garamond" w:hAnsi="Garamond" w:cs="Arial"/>
          <w:spacing w:val="-3"/>
        </w:rPr>
        <w:t>ã</w:t>
      </w:r>
      <w:r w:rsidR="00A132B3" w:rsidRPr="007C4866">
        <w:rPr>
          <w:rFonts w:ascii="Garamond" w:hAnsi="Garamond" w:cs="Arial"/>
          <w:spacing w:val="-3"/>
        </w:rPr>
        <w:t xml:space="preserve">o se </w:t>
      </w:r>
      <w:r w:rsidR="00154174" w:rsidRPr="007C4866">
        <w:rPr>
          <w:rFonts w:ascii="Garamond" w:hAnsi="Garamond" w:cs="Arial"/>
          <w:spacing w:val="-3"/>
        </w:rPr>
        <w:t xml:space="preserve">limita ao </w:t>
      </w:r>
      <w:r w:rsidR="00886D6A" w:rsidRPr="007C4866">
        <w:rPr>
          <w:rFonts w:ascii="Garamond" w:hAnsi="Garamond" w:cs="Arial"/>
          <w:spacing w:val="-3"/>
        </w:rPr>
        <w:t>acesso</w:t>
      </w:r>
      <w:r w:rsidR="00A132B3" w:rsidRPr="007C4866">
        <w:rPr>
          <w:rFonts w:ascii="Garamond" w:hAnsi="Garamond" w:cs="Arial"/>
          <w:spacing w:val="-3"/>
        </w:rPr>
        <w:t xml:space="preserve"> formal, </w:t>
      </w:r>
      <w:r w:rsidR="00A132B3" w:rsidRPr="007C4866">
        <w:rPr>
          <w:rFonts w:ascii="Garamond" w:hAnsi="Garamond" w:cs="Arial"/>
          <w:i/>
          <w:iCs/>
          <w:spacing w:val="-3"/>
        </w:rPr>
        <w:t>stricto sensu</w:t>
      </w:r>
      <w:r w:rsidR="00A132B3" w:rsidRPr="007C4866">
        <w:rPr>
          <w:rFonts w:ascii="Garamond" w:hAnsi="Garamond" w:cs="Arial"/>
          <w:spacing w:val="-3"/>
        </w:rPr>
        <w:t xml:space="preserve">, </w:t>
      </w:r>
      <w:r w:rsidR="00154174" w:rsidRPr="007C4866">
        <w:rPr>
          <w:rFonts w:ascii="Garamond" w:hAnsi="Garamond" w:cs="Arial"/>
          <w:spacing w:val="-3"/>
        </w:rPr>
        <w:t>à</w:t>
      </w:r>
      <w:r w:rsidR="00A132B3" w:rsidRPr="007C4866">
        <w:rPr>
          <w:rFonts w:ascii="Garamond" w:hAnsi="Garamond" w:cs="Arial"/>
          <w:spacing w:val="-3"/>
        </w:rPr>
        <w:t xml:space="preserve"> </w:t>
      </w:r>
      <w:r w:rsidR="00FB09CA" w:rsidRPr="007C4866">
        <w:rPr>
          <w:rFonts w:ascii="Garamond" w:hAnsi="Garamond" w:cs="Arial"/>
          <w:spacing w:val="-3"/>
        </w:rPr>
        <w:t>instância</w:t>
      </w:r>
      <w:r w:rsidR="00A132B3" w:rsidRPr="007C4866">
        <w:rPr>
          <w:rFonts w:ascii="Garamond" w:hAnsi="Garamond" w:cs="Arial"/>
          <w:spacing w:val="-3"/>
        </w:rPr>
        <w:t xml:space="preserve"> judicial (tanto interna como internacional), compr</w:t>
      </w:r>
      <w:r w:rsidR="00154174" w:rsidRPr="007C4866">
        <w:rPr>
          <w:rFonts w:ascii="Garamond" w:hAnsi="Garamond" w:cs="Arial"/>
          <w:spacing w:val="-3"/>
        </w:rPr>
        <w:t>e</w:t>
      </w:r>
      <w:r w:rsidR="00A132B3" w:rsidRPr="007C4866">
        <w:rPr>
          <w:rFonts w:ascii="Garamond" w:hAnsi="Garamond" w:cs="Arial"/>
          <w:spacing w:val="-3"/>
        </w:rPr>
        <w:t>ende</w:t>
      </w:r>
      <w:r w:rsidR="00154174" w:rsidRPr="007C4866">
        <w:rPr>
          <w:rFonts w:ascii="Garamond" w:hAnsi="Garamond" w:cs="Arial"/>
          <w:spacing w:val="-3"/>
        </w:rPr>
        <w:t xml:space="preserve"> sim</w:t>
      </w:r>
      <w:r w:rsidR="00A132B3" w:rsidRPr="007C4866">
        <w:rPr>
          <w:rFonts w:ascii="Garamond" w:hAnsi="Garamond" w:cs="Arial"/>
          <w:spacing w:val="-3"/>
        </w:rPr>
        <w:t>, a</w:t>
      </w:r>
      <w:r w:rsidR="00154174" w:rsidRPr="007C4866">
        <w:rPr>
          <w:rFonts w:ascii="Garamond" w:hAnsi="Garamond" w:cs="Arial"/>
          <w:spacing w:val="-3"/>
        </w:rPr>
        <w:t>lém disso</w:t>
      </w:r>
      <w:r w:rsidR="00A132B3" w:rsidRPr="007C4866">
        <w:rPr>
          <w:rFonts w:ascii="Garamond" w:hAnsi="Garamond" w:cs="Arial"/>
          <w:spacing w:val="-3"/>
        </w:rPr>
        <w:t xml:space="preserve">, </w:t>
      </w:r>
      <w:r w:rsidR="00154174" w:rsidRPr="007C4866">
        <w:rPr>
          <w:rFonts w:ascii="Garamond" w:hAnsi="Garamond" w:cs="Arial"/>
          <w:spacing w:val="-3"/>
        </w:rPr>
        <w:t>o</w:t>
      </w:r>
      <w:r w:rsidR="00A132B3" w:rsidRPr="007C4866">
        <w:rPr>
          <w:rFonts w:ascii="Garamond" w:hAnsi="Garamond" w:cs="Arial"/>
          <w:spacing w:val="-3"/>
        </w:rPr>
        <w:t xml:space="preserve"> </w:t>
      </w:r>
      <w:r w:rsidR="00886D6A" w:rsidRPr="007C4866">
        <w:rPr>
          <w:rFonts w:ascii="Garamond" w:hAnsi="Garamond" w:cs="Arial"/>
          <w:spacing w:val="-3"/>
        </w:rPr>
        <w:t>direito</w:t>
      </w:r>
      <w:r w:rsidR="00A132B3" w:rsidRPr="007C4866">
        <w:rPr>
          <w:rFonts w:ascii="Garamond" w:hAnsi="Garamond" w:cs="Arial"/>
          <w:spacing w:val="-3"/>
        </w:rPr>
        <w:t xml:space="preserve"> </w:t>
      </w:r>
      <w:r w:rsidR="00154174" w:rsidRPr="007C4866">
        <w:rPr>
          <w:rFonts w:ascii="Garamond" w:hAnsi="Garamond" w:cs="Arial"/>
          <w:spacing w:val="-3"/>
        </w:rPr>
        <w:t xml:space="preserve">à atuação </w:t>
      </w:r>
      <w:r w:rsidR="001F2F8B" w:rsidRPr="007C4866">
        <w:rPr>
          <w:rFonts w:ascii="Garamond" w:hAnsi="Garamond" w:cs="Arial"/>
          <w:spacing w:val="-3"/>
        </w:rPr>
        <w:t>jurisdicional</w:t>
      </w:r>
      <w:r w:rsidR="00A132B3" w:rsidRPr="007C4866">
        <w:rPr>
          <w:rFonts w:ascii="Garamond" w:hAnsi="Garamond" w:cs="Arial"/>
          <w:spacing w:val="-3"/>
        </w:rPr>
        <w:t xml:space="preserve">, </w:t>
      </w:r>
      <w:r w:rsidR="00154174" w:rsidRPr="007C4866">
        <w:rPr>
          <w:rFonts w:ascii="Garamond" w:hAnsi="Garamond" w:cs="Arial"/>
          <w:spacing w:val="-3"/>
        </w:rPr>
        <w:t>e é subj</w:t>
      </w:r>
      <w:r w:rsidR="00A132B3" w:rsidRPr="007C4866">
        <w:rPr>
          <w:rFonts w:ascii="Garamond" w:hAnsi="Garamond" w:cs="Arial"/>
          <w:spacing w:val="-3"/>
        </w:rPr>
        <w:t xml:space="preserve">acente a </w:t>
      </w:r>
      <w:r w:rsidR="00B14AA6" w:rsidRPr="007C4866">
        <w:rPr>
          <w:rFonts w:ascii="Garamond" w:hAnsi="Garamond" w:cs="Arial"/>
          <w:spacing w:val="-3"/>
        </w:rPr>
        <w:t>disposições</w:t>
      </w:r>
      <w:r w:rsidR="00A132B3" w:rsidRPr="007C4866">
        <w:rPr>
          <w:rFonts w:ascii="Garamond" w:hAnsi="Garamond" w:cs="Arial"/>
          <w:spacing w:val="-3"/>
        </w:rPr>
        <w:t xml:space="preserve"> inter</w:t>
      </w:r>
      <w:r w:rsidR="00154174" w:rsidRPr="007C4866">
        <w:rPr>
          <w:rFonts w:ascii="Garamond" w:hAnsi="Garamond" w:cs="Arial"/>
          <w:spacing w:val="-3"/>
        </w:rPr>
        <w:t>-</w:t>
      </w:r>
      <w:r w:rsidR="00A132B3" w:rsidRPr="007C4866">
        <w:rPr>
          <w:rFonts w:ascii="Garamond" w:hAnsi="Garamond" w:cs="Arial"/>
          <w:spacing w:val="-3"/>
        </w:rPr>
        <w:t xml:space="preserve">relacionadas da </w:t>
      </w:r>
      <w:r w:rsidR="00B14AA6" w:rsidRPr="007C4866">
        <w:rPr>
          <w:rFonts w:ascii="Garamond" w:hAnsi="Garamond" w:cs="Arial"/>
          <w:spacing w:val="-3"/>
        </w:rPr>
        <w:t>Convenção</w:t>
      </w:r>
      <w:r w:rsidR="00154174" w:rsidRPr="007C4866">
        <w:rPr>
          <w:rFonts w:ascii="Garamond" w:hAnsi="Garamond" w:cs="Arial"/>
          <w:spacing w:val="-3"/>
        </w:rPr>
        <w:t xml:space="preserve"> Americana (como </w:t>
      </w:r>
      <w:r w:rsidR="00A132B3" w:rsidRPr="007C4866">
        <w:rPr>
          <w:rFonts w:ascii="Garamond" w:hAnsi="Garamond" w:cs="Arial"/>
          <w:spacing w:val="-3"/>
        </w:rPr>
        <w:t xml:space="preserve">os </w:t>
      </w:r>
      <w:r w:rsidR="00383B3F" w:rsidRPr="007C4866">
        <w:rPr>
          <w:rFonts w:ascii="Garamond" w:hAnsi="Garamond" w:cs="Arial"/>
          <w:spacing w:val="-3"/>
        </w:rPr>
        <w:t>Art</w:t>
      </w:r>
      <w:r w:rsidR="00C731FD" w:rsidRPr="007C4866">
        <w:rPr>
          <w:rFonts w:ascii="Garamond" w:hAnsi="Garamond" w:cs="Arial"/>
          <w:spacing w:val="-3"/>
        </w:rPr>
        <w:t>s</w:t>
      </w:r>
      <w:r w:rsidR="00383B3F" w:rsidRPr="007C4866">
        <w:rPr>
          <w:rFonts w:ascii="Garamond" w:hAnsi="Garamond" w:cs="Arial"/>
          <w:spacing w:val="-3"/>
        </w:rPr>
        <w:t>.</w:t>
      </w:r>
      <w:r w:rsidR="00154174" w:rsidRPr="007C4866">
        <w:rPr>
          <w:rFonts w:ascii="Garamond" w:hAnsi="Garamond" w:cs="Arial"/>
          <w:spacing w:val="-3"/>
        </w:rPr>
        <w:t xml:space="preserve"> 25 e</w:t>
      </w:r>
      <w:r w:rsidR="00A132B3" w:rsidRPr="007C4866">
        <w:rPr>
          <w:rFonts w:ascii="Garamond" w:hAnsi="Garamond" w:cs="Arial"/>
          <w:spacing w:val="-3"/>
        </w:rPr>
        <w:t xml:space="preserve"> 8), a</w:t>
      </w:r>
      <w:r w:rsidR="00154174" w:rsidRPr="007C4866">
        <w:rPr>
          <w:rFonts w:ascii="Garamond" w:hAnsi="Garamond" w:cs="Arial"/>
          <w:spacing w:val="-3"/>
        </w:rPr>
        <w:t xml:space="preserve">lém </w:t>
      </w:r>
      <w:r w:rsidR="00A132B3" w:rsidRPr="007C4866">
        <w:rPr>
          <w:rFonts w:ascii="Garamond" w:hAnsi="Garamond" w:cs="Arial"/>
          <w:spacing w:val="-3"/>
        </w:rPr>
        <w:t xml:space="preserve">de </w:t>
      </w:r>
      <w:r w:rsidR="00FB6D51" w:rsidRPr="007C4866">
        <w:rPr>
          <w:rFonts w:ascii="Garamond" w:hAnsi="Garamond" w:cs="Arial"/>
          <w:spacing w:val="-3"/>
        </w:rPr>
        <w:t>se interpor a</w:t>
      </w:r>
      <w:r w:rsidR="00154174" w:rsidRPr="007C4866">
        <w:rPr>
          <w:rFonts w:ascii="Garamond" w:hAnsi="Garamond" w:cs="Arial"/>
          <w:spacing w:val="-3"/>
        </w:rPr>
        <w:t>o</w:t>
      </w:r>
      <w:r w:rsidR="00A132B3" w:rsidRPr="007C4866">
        <w:rPr>
          <w:rFonts w:ascii="Garamond" w:hAnsi="Garamond" w:cs="Arial"/>
          <w:spacing w:val="-3"/>
        </w:rPr>
        <w:t xml:space="preserve"> </w:t>
      </w:r>
      <w:r w:rsidR="00886D6A" w:rsidRPr="007C4866">
        <w:rPr>
          <w:rFonts w:ascii="Garamond" w:hAnsi="Garamond" w:cs="Arial"/>
          <w:spacing w:val="-3"/>
        </w:rPr>
        <w:t>direito</w:t>
      </w:r>
      <w:r w:rsidR="00154174" w:rsidRPr="007C4866">
        <w:rPr>
          <w:rFonts w:ascii="Garamond" w:hAnsi="Garamond" w:cs="Arial"/>
          <w:spacing w:val="-3"/>
        </w:rPr>
        <w:t xml:space="preserve"> interno d</w:t>
      </w:r>
      <w:r w:rsidR="00A132B3" w:rsidRPr="007C4866">
        <w:rPr>
          <w:rFonts w:ascii="Garamond" w:hAnsi="Garamond" w:cs="Arial"/>
          <w:spacing w:val="-3"/>
        </w:rPr>
        <w:t>os Estados</w:t>
      </w:r>
      <w:r w:rsidR="005523A8" w:rsidRPr="007C4866">
        <w:rPr>
          <w:rFonts w:ascii="Garamond" w:hAnsi="Garamond" w:cs="Arial"/>
          <w:spacing w:val="-3"/>
        </w:rPr>
        <w:t>-</w:t>
      </w:r>
      <w:r w:rsidR="00154174" w:rsidRPr="007C4866">
        <w:rPr>
          <w:rFonts w:ascii="Garamond" w:hAnsi="Garamond" w:cs="Arial"/>
          <w:spacing w:val="-3"/>
        </w:rPr>
        <w:t>Membros</w:t>
      </w:r>
      <w:r w:rsidR="00A132B3" w:rsidRPr="007C4866">
        <w:rPr>
          <w:rFonts w:ascii="Garamond" w:hAnsi="Garamond" w:cs="Arial"/>
          <w:spacing w:val="-3"/>
        </w:rPr>
        <w:t>.</w:t>
      </w:r>
      <w:proofErr w:type="gramStart"/>
      <w:r w:rsidR="007C4866" w:rsidRPr="007C4866">
        <w:rPr>
          <w:rFonts w:ascii="Garamond" w:hAnsi="Garamond" w:cs="Arial"/>
          <w:spacing w:val="-3"/>
        </w:rPr>
        <w:t>»</w:t>
      </w:r>
      <w:proofErr w:type="gramEnd"/>
      <w:r w:rsidR="00A132B3" w:rsidRPr="007C4866">
        <w:rPr>
          <w:rStyle w:val="Refdenotaalpie"/>
          <w:rFonts w:ascii="Garamond" w:hAnsi="Garamond" w:cs="Arial"/>
          <w:spacing w:val="-3"/>
        </w:rPr>
        <w:footnoteReference w:id="28"/>
      </w:r>
    </w:p>
    <w:p w:rsidR="00A132B3" w:rsidRPr="003A1174" w:rsidRDefault="00154174" w:rsidP="008719D4">
      <w:pPr>
        <w:widowControl w:val="0"/>
        <w:autoSpaceDE w:val="0"/>
        <w:autoSpaceDN w:val="0"/>
        <w:adjustRightInd w:val="0"/>
        <w:spacing w:line="240" w:lineRule="auto"/>
        <w:jc w:val="both"/>
        <w:rPr>
          <w:rFonts w:ascii="Garamond" w:hAnsi="Garamond" w:cs="Arial"/>
          <w:spacing w:val="-3"/>
          <w:sz w:val="24"/>
          <w:szCs w:val="24"/>
        </w:rPr>
      </w:pPr>
      <w:r w:rsidRPr="003A1174">
        <w:rPr>
          <w:rFonts w:ascii="Garamond" w:hAnsi="Garamond" w:cs="Arial"/>
          <w:spacing w:val="-3"/>
          <w:sz w:val="24"/>
          <w:szCs w:val="24"/>
        </w:rPr>
        <w:t xml:space="preserve">Consequentemente, o </w:t>
      </w:r>
      <w:r w:rsidR="00120915" w:rsidRPr="003A1174">
        <w:rPr>
          <w:rFonts w:ascii="Garamond" w:hAnsi="Garamond" w:cs="Arial"/>
          <w:spacing w:val="-3"/>
          <w:sz w:val="24"/>
          <w:szCs w:val="24"/>
        </w:rPr>
        <w:t>caráter</w:t>
      </w:r>
      <w:r w:rsidR="00A132B3" w:rsidRPr="003A1174">
        <w:rPr>
          <w:rFonts w:ascii="Garamond" w:hAnsi="Garamond" w:cs="Arial"/>
          <w:spacing w:val="-3"/>
          <w:sz w:val="24"/>
          <w:szCs w:val="24"/>
        </w:rPr>
        <w:t xml:space="preserve"> d</w:t>
      </w:r>
      <w:r w:rsidRPr="003A1174">
        <w:rPr>
          <w:rFonts w:ascii="Garamond" w:hAnsi="Garamond" w:cs="Arial"/>
          <w:spacing w:val="-3"/>
          <w:sz w:val="24"/>
          <w:szCs w:val="24"/>
        </w:rPr>
        <w:t xml:space="preserve">o </w:t>
      </w:r>
      <w:r w:rsidR="00886D6A" w:rsidRPr="003A1174">
        <w:rPr>
          <w:rFonts w:ascii="Garamond" w:hAnsi="Garamond" w:cs="Arial"/>
          <w:spacing w:val="-3"/>
          <w:sz w:val="24"/>
          <w:szCs w:val="24"/>
        </w:rPr>
        <w:t>direito</w:t>
      </w:r>
      <w:r w:rsidR="00A132B3" w:rsidRPr="003A1174">
        <w:rPr>
          <w:rFonts w:ascii="Garamond" w:hAnsi="Garamond" w:cs="Arial"/>
          <w:spacing w:val="-3"/>
          <w:sz w:val="24"/>
          <w:szCs w:val="24"/>
        </w:rPr>
        <w:t xml:space="preserve"> humano de </w:t>
      </w:r>
      <w:r w:rsidR="00886D6A" w:rsidRPr="003A1174">
        <w:rPr>
          <w:rFonts w:ascii="Garamond" w:hAnsi="Garamond" w:cs="Arial"/>
          <w:spacing w:val="-3"/>
          <w:sz w:val="24"/>
          <w:szCs w:val="24"/>
        </w:rPr>
        <w:t>Acesso</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 xml:space="preserve">à </w:t>
      </w:r>
      <w:r w:rsidR="00FC1F7F" w:rsidRPr="003A1174">
        <w:rPr>
          <w:rFonts w:ascii="Garamond" w:hAnsi="Garamond" w:cs="Arial"/>
          <w:spacing w:val="-3"/>
          <w:sz w:val="24"/>
          <w:szCs w:val="24"/>
        </w:rPr>
        <w:t>Justiça</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mostra-</w:t>
      </w:r>
      <w:r w:rsidR="00A132B3" w:rsidRPr="003A1174">
        <w:rPr>
          <w:rFonts w:ascii="Garamond" w:hAnsi="Garamond" w:cs="Arial"/>
          <w:spacing w:val="-3"/>
          <w:sz w:val="24"/>
          <w:szCs w:val="24"/>
        </w:rPr>
        <w:t xml:space="preserve">se </w:t>
      </w:r>
      <w:r w:rsidRPr="003A1174">
        <w:rPr>
          <w:rFonts w:ascii="Garamond" w:hAnsi="Garamond" w:cs="Arial"/>
          <w:spacing w:val="-3"/>
          <w:sz w:val="24"/>
          <w:szCs w:val="24"/>
        </w:rPr>
        <w:t xml:space="preserve">como uma ferramenta </w:t>
      </w:r>
      <w:r w:rsidR="00661ADB" w:rsidRPr="003A1174">
        <w:rPr>
          <w:rFonts w:ascii="Garamond" w:hAnsi="Garamond" w:cs="Arial"/>
          <w:spacing w:val="-3"/>
          <w:sz w:val="24"/>
          <w:szCs w:val="24"/>
        </w:rPr>
        <w:t>essencial</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 xml:space="preserve">na </w:t>
      </w:r>
      <w:r w:rsidR="001C2738" w:rsidRPr="003A1174">
        <w:rPr>
          <w:rFonts w:ascii="Garamond" w:hAnsi="Garamond" w:cs="Arial"/>
          <w:spacing w:val="-3"/>
          <w:sz w:val="24"/>
          <w:szCs w:val="24"/>
        </w:rPr>
        <w:t>luta</w:t>
      </w:r>
      <w:r w:rsidR="00A132B3" w:rsidRPr="003A1174">
        <w:rPr>
          <w:rFonts w:ascii="Garamond" w:hAnsi="Garamond" w:cs="Arial"/>
          <w:spacing w:val="-3"/>
          <w:sz w:val="24"/>
          <w:szCs w:val="24"/>
        </w:rPr>
        <w:t xml:space="preserve"> pel</w:t>
      </w:r>
      <w:r w:rsidRPr="003A1174">
        <w:rPr>
          <w:rFonts w:ascii="Garamond" w:hAnsi="Garamond" w:cs="Arial"/>
          <w:spacing w:val="-3"/>
          <w:sz w:val="24"/>
          <w:szCs w:val="24"/>
        </w:rPr>
        <w:t>o</w:t>
      </w:r>
      <w:r w:rsidR="00A132B3" w:rsidRPr="003A1174">
        <w:rPr>
          <w:rFonts w:ascii="Garamond" w:hAnsi="Garamond" w:cs="Arial"/>
          <w:spacing w:val="-3"/>
          <w:sz w:val="24"/>
          <w:szCs w:val="24"/>
        </w:rPr>
        <w:t xml:space="preserve"> </w:t>
      </w:r>
      <w:r w:rsidR="006F4B2C" w:rsidRPr="003A1174">
        <w:rPr>
          <w:rFonts w:ascii="Garamond" w:hAnsi="Garamond" w:cs="Arial"/>
          <w:spacing w:val="-3"/>
          <w:sz w:val="24"/>
          <w:szCs w:val="24"/>
        </w:rPr>
        <w:t>respeito</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 xml:space="preserve">à não-violência contra </w:t>
      </w:r>
      <w:r w:rsidR="00A132B3" w:rsidRPr="003A1174">
        <w:rPr>
          <w:rFonts w:ascii="Garamond" w:hAnsi="Garamond" w:cs="Arial"/>
          <w:spacing w:val="-3"/>
          <w:sz w:val="24"/>
          <w:szCs w:val="24"/>
        </w:rPr>
        <w:t xml:space="preserve">as </w:t>
      </w:r>
      <w:r w:rsidR="00054EE0" w:rsidRPr="003A1174">
        <w:rPr>
          <w:rFonts w:ascii="Garamond" w:hAnsi="Garamond" w:cs="Arial"/>
          <w:spacing w:val="-3"/>
          <w:sz w:val="24"/>
          <w:szCs w:val="24"/>
        </w:rPr>
        <w:t>mulheres</w:t>
      </w:r>
      <w:r w:rsidR="00A132B3" w:rsidRPr="003A1174">
        <w:rPr>
          <w:rFonts w:ascii="Garamond" w:hAnsi="Garamond" w:cs="Arial"/>
          <w:spacing w:val="-3"/>
          <w:sz w:val="24"/>
          <w:szCs w:val="24"/>
        </w:rPr>
        <w:t xml:space="preserve">. </w:t>
      </w:r>
    </w:p>
    <w:p w:rsidR="00A132B3" w:rsidRPr="003A1174" w:rsidRDefault="00154174" w:rsidP="008719D4">
      <w:pPr>
        <w:pStyle w:val="Ttulo2"/>
        <w:numPr>
          <w:ilvl w:val="1"/>
          <w:numId w:val="47"/>
        </w:numPr>
        <w:rPr>
          <w:rFonts w:ascii="Garamond" w:hAnsi="Garamond"/>
          <w:sz w:val="24"/>
          <w:szCs w:val="24"/>
        </w:rPr>
      </w:pPr>
      <w:bookmarkStart w:id="11" w:name="_Toc421529699"/>
      <w:r w:rsidRPr="003A1174">
        <w:rPr>
          <w:rFonts w:ascii="Garamond" w:hAnsi="Garamond"/>
          <w:sz w:val="24"/>
          <w:szCs w:val="24"/>
        </w:rPr>
        <w:t>O</w:t>
      </w:r>
      <w:r w:rsidR="00A132B3" w:rsidRPr="003A1174">
        <w:rPr>
          <w:rFonts w:ascii="Garamond" w:hAnsi="Garamond"/>
          <w:sz w:val="24"/>
          <w:szCs w:val="24"/>
        </w:rPr>
        <w:t xml:space="preserve"> </w:t>
      </w:r>
      <w:r w:rsidR="00253B1D" w:rsidRPr="003A1174">
        <w:rPr>
          <w:rFonts w:ascii="Garamond" w:hAnsi="Garamond"/>
          <w:sz w:val="24"/>
          <w:szCs w:val="24"/>
        </w:rPr>
        <w:t>Controlo</w:t>
      </w:r>
      <w:r w:rsidR="00A132B3" w:rsidRPr="003A1174">
        <w:rPr>
          <w:rFonts w:ascii="Garamond" w:hAnsi="Garamond"/>
          <w:sz w:val="24"/>
          <w:szCs w:val="24"/>
        </w:rPr>
        <w:t xml:space="preserve"> de </w:t>
      </w:r>
      <w:r w:rsidR="00E15BB2" w:rsidRPr="003A1174">
        <w:rPr>
          <w:rFonts w:ascii="Garamond" w:hAnsi="Garamond"/>
          <w:sz w:val="24"/>
          <w:szCs w:val="24"/>
        </w:rPr>
        <w:t>Convencionalidade</w:t>
      </w:r>
      <w:bookmarkEnd w:id="11"/>
      <w:r w:rsidR="00A132B3" w:rsidRPr="003A1174">
        <w:rPr>
          <w:rFonts w:ascii="Garamond" w:hAnsi="Garamond"/>
          <w:sz w:val="24"/>
          <w:szCs w:val="24"/>
        </w:rPr>
        <w:t xml:space="preserve"> </w:t>
      </w:r>
    </w:p>
    <w:p w:rsidR="00A132B3" w:rsidRPr="003A1174" w:rsidRDefault="00A132B3" w:rsidP="008719D4">
      <w:pPr>
        <w:widowControl w:val="0"/>
        <w:autoSpaceDE w:val="0"/>
        <w:autoSpaceDN w:val="0"/>
        <w:adjustRightInd w:val="0"/>
        <w:spacing w:before="240" w:line="240" w:lineRule="auto"/>
        <w:jc w:val="both"/>
        <w:rPr>
          <w:rFonts w:ascii="Garamond" w:hAnsi="Garamond" w:cs="Arial"/>
          <w:spacing w:val="-3"/>
          <w:sz w:val="24"/>
          <w:szCs w:val="24"/>
        </w:rPr>
      </w:pPr>
      <w:r w:rsidRPr="003A1174">
        <w:rPr>
          <w:rFonts w:ascii="Garamond" w:hAnsi="Garamond" w:cs="Arial"/>
          <w:spacing w:val="-3"/>
          <w:sz w:val="24"/>
          <w:szCs w:val="24"/>
        </w:rPr>
        <w:t xml:space="preserve">Este </w:t>
      </w:r>
      <w:r w:rsidR="00154174" w:rsidRPr="003A1174">
        <w:rPr>
          <w:rFonts w:ascii="Garamond" w:hAnsi="Garamond" w:cs="Arial"/>
          <w:spacing w:val="-3"/>
          <w:sz w:val="24"/>
          <w:szCs w:val="24"/>
        </w:rPr>
        <w:t xml:space="preserve">também é um </w:t>
      </w:r>
      <w:r w:rsidRPr="003A1174">
        <w:rPr>
          <w:rFonts w:ascii="Garamond" w:hAnsi="Garamond" w:cs="Arial"/>
          <w:spacing w:val="-3"/>
          <w:sz w:val="24"/>
          <w:szCs w:val="24"/>
        </w:rPr>
        <w:t xml:space="preserve">elemento </w:t>
      </w:r>
      <w:r w:rsidR="00154174" w:rsidRPr="003A1174">
        <w:rPr>
          <w:rFonts w:ascii="Garamond" w:hAnsi="Garamond" w:cs="Arial"/>
          <w:spacing w:val="-3"/>
          <w:sz w:val="24"/>
          <w:szCs w:val="24"/>
        </w:rPr>
        <w:t>d</w:t>
      </w:r>
      <w:r w:rsidRPr="003A1174">
        <w:rPr>
          <w:rFonts w:ascii="Garamond" w:hAnsi="Garamond" w:cs="Arial"/>
          <w:spacing w:val="-3"/>
          <w:sz w:val="24"/>
          <w:szCs w:val="24"/>
        </w:rPr>
        <w:t xml:space="preserve">e </w:t>
      </w:r>
      <w:r w:rsidR="00FB6D51" w:rsidRPr="003A1174">
        <w:rPr>
          <w:rFonts w:ascii="Garamond" w:hAnsi="Garamond" w:cs="Arial"/>
          <w:spacing w:val="-3"/>
          <w:sz w:val="24"/>
          <w:szCs w:val="24"/>
        </w:rPr>
        <w:t>importâ</w:t>
      </w:r>
      <w:r w:rsidR="00154174" w:rsidRPr="003A1174">
        <w:rPr>
          <w:rFonts w:ascii="Garamond" w:hAnsi="Garamond" w:cs="Arial"/>
          <w:spacing w:val="-3"/>
          <w:sz w:val="24"/>
          <w:szCs w:val="24"/>
        </w:rPr>
        <w:t>ncia singular</w:t>
      </w:r>
      <w:r w:rsidRPr="003A1174">
        <w:rPr>
          <w:rFonts w:ascii="Garamond" w:hAnsi="Garamond" w:cs="Arial"/>
          <w:spacing w:val="-3"/>
          <w:sz w:val="24"/>
          <w:szCs w:val="24"/>
        </w:rPr>
        <w:t>, inter</w:t>
      </w:r>
      <w:r w:rsidR="00154174" w:rsidRPr="003A1174">
        <w:rPr>
          <w:rFonts w:ascii="Garamond" w:hAnsi="Garamond" w:cs="Arial"/>
          <w:spacing w:val="-3"/>
          <w:sz w:val="24"/>
          <w:szCs w:val="24"/>
        </w:rPr>
        <w:t xml:space="preserve">ligado </w:t>
      </w:r>
      <w:r w:rsidRPr="003A1174">
        <w:rPr>
          <w:rFonts w:ascii="Garamond" w:hAnsi="Garamond" w:cs="Arial"/>
          <w:spacing w:val="-3"/>
          <w:sz w:val="24"/>
          <w:szCs w:val="24"/>
        </w:rPr>
        <w:t>d</w:t>
      </w:r>
      <w:r w:rsidR="00154174" w:rsidRPr="003A1174">
        <w:rPr>
          <w:rFonts w:ascii="Garamond" w:hAnsi="Garamond" w:cs="Arial"/>
          <w:spacing w:val="-3"/>
          <w:sz w:val="24"/>
          <w:szCs w:val="24"/>
        </w:rPr>
        <w:t>o po</w:t>
      </w:r>
      <w:r w:rsidRPr="003A1174">
        <w:rPr>
          <w:rFonts w:ascii="Garamond" w:hAnsi="Garamond" w:cs="Arial"/>
          <w:spacing w:val="-3"/>
          <w:sz w:val="24"/>
          <w:szCs w:val="24"/>
        </w:rPr>
        <w:t>nto de vista conceptual co</w:t>
      </w:r>
      <w:r w:rsidR="00154174" w:rsidRPr="003A1174">
        <w:rPr>
          <w:rFonts w:ascii="Garamond" w:hAnsi="Garamond" w:cs="Arial"/>
          <w:spacing w:val="-3"/>
          <w:sz w:val="24"/>
          <w:szCs w:val="24"/>
        </w:rPr>
        <w:t xml:space="preserve">m </w:t>
      </w:r>
      <w:r w:rsidRPr="003A1174">
        <w:rPr>
          <w:rFonts w:ascii="Garamond" w:hAnsi="Garamond" w:cs="Arial"/>
          <w:spacing w:val="-3"/>
          <w:sz w:val="24"/>
          <w:szCs w:val="24"/>
        </w:rPr>
        <w:t xml:space="preserve">os </w:t>
      </w:r>
      <w:r w:rsidR="00886D6A" w:rsidRPr="003A1174">
        <w:rPr>
          <w:rFonts w:ascii="Garamond" w:hAnsi="Garamond" w:cs="Arial"/>
          <w:spacing w:val="-3"/>
          <w:sz w:val="24"/>
          <w:szCs w:val="24"/>
        </w:rPr>
        <w:t>direito</w:t>
      </w:r>
      <w:r w:rsidR="00154174" w:rsidRPr="003A1174">
        <w:rPr>
          <w:rFonts w:ascii="Garamond" w:hAnsi="Garamond" w:cs="Arial"/>
          <w:spacing w:val="-3"/>
          <w:sz w:val="24"/>
          <w:szCs w:val="24"/>
        </w:rPr>
        <w:t>s e</w:t>
      </w:r>
      <w:r w:rsidRPr="003A1174">
        <w:rPr>
          <w:rFonts w:ascii="Garamond" w:hAnsi="Garamond" w:cs="Arial"/>
          <w:spacing w:val="-3"/>
          <w:sz w:val="24"/>
          <w:szCs w:val="24"/>
        </w:rPr>
        <w:t xml:space="preserve"> </w:t>
      </w:r>
      <w:r w:rsidR="006D0543" w:rsidRPr="003A1174">
        <w:rPr>
          <w:rFonts w:ascii="Garamond" w:hAnsi="Garamond" w:cs="Arial"/>
          <w:spacing w:val="-3"/>
          <w:sz w:val="24"/>
          <w:szCs w:val="24"/>
        </w:rPr>
        <w:t>princípio</w:t>
      </w:r>
      <w:r w:rsidRPr="003A1174">
        <w:rPr>
          <w:rFonts w:ascii="Garamond" w:hAnsi="Garamond" w:cs="Arial"/>
          <w:spacing w:val="-3"/>
          <w:sz w:val="24"/>
          <w:szCs w:val="24"/>
        </w:rPr>
        <w:t>s exp</w:t>
      </w:r>
      <w:r w:rsidR="00154174" w:rsidRPr="003A1174">
        <w:rPr>
          <w:rFonts w:ascii="Garamond" w:hAnsi="Garamond" w:cs="Arial"/>
          <w:spacing w:val="-3"/>
          <w:sz w:val="24"/>
          <w:szCs w:val="24"/>
        </w:rPr>
        <w:t>o</w:t>
      </w:r>
      <w:r w:rsidRPr="003A1174">
        <w:rPr>
          <w:rFonts w:ascii="Garamond" w:hAnsi="Garamond" w:cs="Arial"/>
          <w:spacing w:val="-3"/>
          <w:sz w:val="24"/>
          <w:szCs w:val="24"/>
        </w:rPr>
        <w:t>stos</w:t>
      </w:r>
      <w:r w:rsidR="008879E7">
        <w:rPr>
          <w:rFonts w:ascii="Garamond" w:hAnsi="Garamond" w:cs="Arial"/>
          <w:spacing w:val="-3"/>
          <w:sz w:val="24"/>
          <w:szCs w:val="24"/>
        </w:rPr>
        <w:t>,</w:t>
      </w:r>
      <w:r w:rsidRPr="003A1174">
        <w:rPr>
          <w:rFonts w:ascii="Garamond" w:hAnsi="Garamond" w:cs="Arial"/>
          <w:spacing w:val="-3"/>
          <w:sz w:val="24"/>
          <w:szCs w:val="24"/>
        </w:rPr>
        <w:t xml:space="preserve"> </w:t>
      </w:r>
      <w:r w:rsidR="00913E6E" w:rsidRPr="003A1174">
        <w:rPr>
          <w:rFonts w:ascii="Garamond" w:hAnsi="Garamond" w:cs="Arial"/>
          <w:spacing w:val="-3"/>
          <w:sz w:val="24"/>
          <w:szCs w:val="24"/>
        </w:rPr>
        <w:t>anteriormente</w:t>
      </w:r>
      <w:r w:rsidR="008879E7">
        <w:rPr>
          <w:rFonts w:ascii="Garamond" w:hAnsi="Garamond" w:cs="Arial"/>
          <w:spacing w:val="-3"/>
          <w:sz w:val="24"/>
          <w:szCs w:val="24"/>
        </w:rPr>
        <w:t>,</w:t>
      </w:r>
      <w:r w:rsidR="00913E6E" w:rsidRPr="003A1174">
        <w:rPr>
          <w:rFonts w:ascii="Garamond" w:hAnsi="Garamond" w:cs="Arial"/>
          <w:spacing w:val="-3"/>
          <w:sz w:val="24"/>
          <w:szCs w:val="24"/>
        </w:rPr>
        <w:t xml:space="preserve"> e</w:t>
      </w:r>
      <w:r w:rsidRPr="003A1174">
        <w:rPr>
          <w:rFonts w:ascii="Garamond" w:hAnsi="Garamond" w:cs="Arial"/>
          <w:spacing w:val="-3"/>
          <w:sz w:val="24"/>
          <w:szCs w:val="24"/>
        </w:rPr>
        <w:t xml:space="preserve"> que</w:t>
      </w:r>
      <w:r w:rsidR="00FB6D51" w:rsidRPr="003A1174">
        <w:rPr>
          <w:rFonts w:ascii="Garamond" w:hAnsi="Garamond" w:cs="Arial"/>
          <w:spacing w:val="-3"/>
          <w:sz w:val="24"/>
          <w:szCs w:val="24"/>
        </w:rPr>
        <w:t>,</w:t>
      </w:r>
      <w:r w:rsidRPr="003A1174">
        <w:rPr>
          <w:rFonts w:ascii="Garamond" w:hAnsi="Garamond" w:cs="Arial"/>
          <w:spacing w:val="-3"/>
          <w:sz w:val="24"/>
          <w:szCs w:val="24"/>
        </w:rPr>
        <w:t xml:space="preserve"> </w:t>
      </w:r>
      <w:r w:rsidR="00913E6E" w:rsidRPr="003A1174">
        <w:rPr>
          <w:rFonts w:ascii="Garamond" w:hAnsi="Garamond" w:cs="Arial"/>
          <w:spacing w:val="-3"/>
          <w:sz w:val="24"/>
          <w:szCs w:val="24"/>
        </w:rPr>
        <w:t xml:space="preserve">em </w:t>
      </w:r>
      <w:r w:rsidRPr="003A1174">
        <w:rPr>
          <w:rFonts w:ascii="Garamond" w:hAnsi="Garamond" w:cs="Arial"/>
          <w:spacing w:val="-3"/>
          <w:sz w:val="24"/>
          <w:szCs w:val="24"/>
        </w:rPr>
        <w:t>conjunt</w:t>
      </w:r>
      <w:r w:rsidR="00913E6E" w:rsidRPr="003A1174">
        <w:rPr>
          <w:rFonts w:ascii="Garamond" w:hAnsi="Garamond" w:cs="Arial"/>
          <w:spacing w:val="-3"/>
          <w:sz w:val="24"/>
          <w:szCs w:val="24"/>
        </w:rPr>
        <w:t xml:space="preserve">o </w:t>
      </w:r>
      <w:r w:rsidRPr="003A1174">
        <w:rPr>
          <w:rFonts w:ascii="Garamond" w:hAnsi="Garamond" w:cs="Arial"/>
          <w:spacing w:val="-3"/>
          <w:sz w:val="24"/>
          <w:szCs w:val="24"/>
        </w:rPr>
        <w:t>co</w:t>
      </w:r>
      <w:r w:rsidR="00913E6E" w:rsidRPr="003A1174">
        <w:rPr>
          <w:rFonts w:ascii="Garamond" w:hAnsi="Garamond" w:cs="Arial"/>
          <w:spacing w:val="-3"/>
          <w:sz w:val="24"/>
          <w:szCs w:val="24"/>
        </w:rPr>
        <w:t>m ele</w:t>
      </w:r>
      <w:r w:rsidRPr="003A1174">
        <w:rPr>
          <w:rFonts w:ascii="Garamond" w:hAnsi="Garamond" w:cs="Arial"/>
          <w:spacing w:val="-3"/>
          <w:sz w:val="24"/>
          <w:szCs w:val="24"/>
        </w:rPr>
        <w:t>s</w:t>
      </w:r>
      <w:r w:rsidR="00FB6D51" w:rsidRPr="003A1174">
        <w:rPr>
          <w:rFonts w:ascii="Garamond" w:hAnsi="Garamond" w:cs="Arial"/>
          <w:spacing w:val="-3"/>
          <w:sz w:val="24"/>
          <w:szCs w:val="24"/>
        </w:rPr>
        <w:t>,</w:t>
      </w:r>
      <w:r w:rsidRPr="003A1174">
        <w:rPr>
          <w:rFonts w:ascii="Garamond" w:hAnsi="Garamond" w:cs="Arial"/>
          <w:spacing w:val="-3"/>
          <w:sz w:val="24"/>
          <w:szCs w:val="24"/>
        </w:rPr>
        <w:t xml:space="preserve"> </w:t>
      </w:r>
      <w:r w:rsidR="007342D9" w:rsidRPr="003A1174">
        <w:rPr>
          <w:rFonts w:ascii="Garamond" w:hAnsi="Garamond" w:cs="Arial"/>
          <w:spacing w:val="-3"/>
          <w:sz w:val="24"/>
          <w:szCs w:val="24"/>
        </w:rPr>
        <w:t>pode</w:t>
      </w:r>
      <w:r w:rsidR="00913E6E" w:rsidRPr="003A1174">
        <w:rPr>
          <w:rFonts w:ascii="Garamond" w:hAnsi="Garamond" w:cs="Arial"/>
          <w:spacing w:val="-3"/>
          <w:sz w:val="24"/>
          <w:szCs w:val="24"/>
        </w:rPr>
        <w:t xml:space="preserve"> e dev</w:t>
      </w:r>
      <w:r w:rsidRPr="003A1174">
        <w:rPr>
          <w:rFonts w:ascii="Garamond" w:hAnsi="Garamond" w:cs="Arial"/>
          <w:spacing w:val="-3"/>
          <w:sz w:val="24"/>
          <w:szCs w:val="24"/>
        </w:rPr>
        <w:t xml:space="preserve">e </w:t>
      </w:r>
      <w:r w:rsidR="00913E6E" w:rsidRPr="003A1174">
        <w:rPr>
          <w:rFonts w:ascii="Garamond" w:hAnsi="Garamond" w:cs="Arial"/>
          <w:spacing w:val="-3"/>
          <w:sz w:val="24"/>
          <w:szCs w:val="24"/>
        </w:rPr>
        <w:t xml:space="preserve">conseguir </w:t>
      </w:r>
      <w:r w:rsidRPr="003A1174">
        <w:rPr>
          <w:rFonts w:ascii="Garamond" w:hAnsi="Garamond" w:cs="Arial"/>
          <w:spacing w:val="-3"/>
          <w:sz w:val="24"/>
          <w:szCs w:val="24"/>
        </w:rPr>
        <w:t xml:space="preserve">a </w:t>
      </w:r>
      <w:r w:rsidR="00CD707D" w:rsidRPr="003A1174">
        <w:rPr>
          <w:rFonts w:ascii="Garamond" w:hAnsi="Garamond" w:cs="Arial"/>
          <w:spacing w:val="-3"/>
          <w:sz w:val="24"/>
          <w:szCs w:val="24"/>
        </w:rPr>
        <w:t>vigência</w:t>
      </w:r>
      <w:r w:rsidR="00913E6E" w:rsidRPr="003A1174">
        <w:rPr>
          <w:rFonts w:ascii="Garamond" w:hAnsi="Garamond" w:cs="Arial"/>
          <w:spacing w:val="-3"/>
          <w:sz w:val="24"/>
          <w:szCs w:val="24"/>
        </w:rPr>
        <w:t xml:space="preserve"> efetiva</w:t>
      </w:r>
      <w:r w:rsidRPr="003A1174">
        <w:rPr>
          <w:rFonts w:ascii="Garamond" w:hAnsi="Garamond" w:cs="Arial"/>
          <w:spacing w:val="-3"/>
          <w:sz w:val="24"/>
          <w:szCs w:val="24"/>
        </w:rPr>
        <w:t xml:space="preserve"> d</w:t>
      </w:r>
      <w:r w:rsidR="00913E6E" w:rsidRPr="003A1174">
        <w:rPr>
          <w:rFonts w:ascii="Garamond" w:hAnsi="Garamond" w:cs="Arial"/>
          <w:spacing w:val="-3"/>
          <w:sz w:val="24"/>
          <w:szCs w:val="24"/>
        </w:rPr>
        <w:t>o</w:t>
      </w:r>
      <w:r w:rsidRPr="003A1174">
        <w:rPr>
          <w:rFonts w:ascii="Garamond" w:hAnsi="Garamond" w:cs="Arial"/>
          <w:spacing w:val="-3"/>
          <w:sz w:val="24"/>
          <w:szCs w:val="24"/>
        </w:rPr>
        <w:t xml:space="preserve"> </w:t>
      </w:r>
      <w:r w:rsidR="00886D6A" w:rsidRPr="003A1174">
        <w:rPr>
          <w:rFonts w:ascii="Garamond" w:hAnsi="Garamond" w:cs="Arial"/>
          <w:spacing w:val="-3"/>
          <w:sz w:val="24"/>
          <w:szCs w:val="24"/>
        </w:rPr>
        <w:t>direito</w:t>
      </w:r>
      <w:r w:rsidR="00913E6E" w:rsidRPr="003A1174">
        <w:rPr>
          <w:rFonts w:ascii="Garamond" w:hAnsi="Garamond" w:cs="Arial"/>
          <w:spacing w:val="-3"/>
          <w:sz w:val="24"/>
          <w:szCs w:val="24"/>
        </w:rPr>
        <w:t xml:space="preserve"> fundamental a um</w:t>
      </w:r>
      <w:r w:rsidRPr="003A1174">
        <w:rPr>
          <w:rFonts w:ascii="Garamond" w:hAnsi="Garamond" w:cs="Arial"/>
          <w:spacing w:val="-3"/>
          <w:sz w:val="24"/>
          <w:szCs w:val="24"/>
        </w:rPr>
        <w:t xml:space="preserve">a vida </w:t>
      </w:r>
      <w:r w:rsidR="00AF192F" w:rsidRPr="003A1174">
        <w:rPr>
          <w:rFonts w:ascii="Garamond" w:hAnsi="Garamond" w:cs="Arial"/>
          <w:spacing w:val="-3"/>
          <w:sz w:val="24"/>
          <w:szCs w:val="24"/>
        </w:rPr>
        <w:t>livre</w:t>
      </w:r>
      <w:r w:rsidRPr="003A1174">
        <w:rPr>
          <w:rFonts w:ascii="Garamond" w:hAnsi="Garamond" w:cs="Arial"/>
          <w:spacing w:val="-3"/>
          <w:sz w:val="24"/>
          <w:szCs w:val="24"/>
        </w:rPr>
        <w:t xml:space="preserve"> de </w:t>
      </w:r>
      <w:r w:rsidR="000350B1" w:rsidRPr="003A1174">
        <w:rPr>
          <w:rFonts w:ascii="Garamond" w:hAnsi="Garamond" w:cs="Arial"/>
          <w:spacing w:val="-3"/>
          <w:sz w:val="24"/>
          <w:szCs w:val="24"/>
        </w:rPr>
        <w:t>violência</w:t>
      </w:r>
      <w:r w:rsidRPr="003A1174">
        <w:rPr>
          <w:rFonts w:ascii="Garamond" w:hAnsi="Garamond" w:cs="Arial"/>
          <w:spacing w:val="-3"/>
          <w:sz w:val="24"/>
          <w:szCs w:val="24"/>
        </w:rPr>
        <w:t>.</w:t>
      </w:r>
    </w:p>
    <w:p w:rsidR="00A132B3" w:rsidRPr="003A1174" w:rsidRDefault="00837C61" w:rsidP="008719D4">
      <w:pPr>
        <w:widowControl w:val="0"/>
        <w:autoSpaceDE w:val="0"/>
        <w:autoSpaceDN w:val="0"/>
        <w:adjustRightInd w:val="0"/>
        <w:spacing w:line="240" w:lineRule="auto"/>
        <w:jc w:val="both"/>
        <w:rPr>
          <w:rFonts w:ascii="Garamond" w:hAnsi="Garamond" w:cs="Arial"/>
          <w:spacing w:val="-3"/>
          <w:sz w:val="24"/>
          <w:szCs w:val="24"/>
        </w:rPr>
      </w:pPr>
      <w:r w:rsidRPr="003A1174">
        <w:rPr>
          <w:rFonts w:ascii="Garamond" w:hAnsi="Garamond" w:cs="Arial"/>
          <w:spacing w:val="-3"/>
          <w:sz w:val="24"/>
          <w:szCs w:val="24"/>
        </w:rPr>
        <w:t>E</w:t>
      </w:r>
      <w:r w:rsidR="00913E6E" w:rsidRPr="003A1174">
        <w:rPr>
          <w:rFonts w:ascii="Garamond" w:hAnsi="Garamond" w:cs="Arial"/>
          <w:spacing w:val="-3"/>
          <w:sz w:val="24"/>
          <w:szCs w:val="24"/>
        </w:rPr>
        <w:t>m</w:t>
      </w:r>
      <w:r w:rsidR="00A132B3" w:rsidRPr="003A1174">
        <w:rPr>
          <w:rFonts w:ascii="Garamond" w:hAnsi="Garamond" w:cs="Arial"/>
          <w:spacing w:val="-3"/>
          <w:sz w:val="24"/>
          <w:szCs w:val="24"/>
        </w:rPr>
        <w:t xml:space="preserve"> </w:t>
      </w:r>
      <w:r w:rsidR="00731B19" w:rsidRPr="003A1174">
        <w:rPr>
          <w:rFonts w:ascii="Garamond" w:hAnsi="Garamond" w:cs="Arial"/>
          <w:spacing w:val="-3"/>
          <w:sz w:val="24"/>
          <w:szCs w:val="24"/>
        </w:rPr>
        <w:t>termos</w:t>
      </w:r>
      <w:r w:rsidR="00A132B3" w:rsidRPr="003A1174">
        <w:rPr>
          <w:rFonts w:ascii="Garamond" w:hAnsi="Garamond" w:cs="Arial"/>
          <w:spacing w:val="-3"/>
          <w:sz w:val="24"/>
          <w:szCs w:val="24"/>
        </w:rPr>
        <w:t xml:space="preserve"> </w:t>
      </w:r>
      <w:r w:rsidR="009E3E55" w:rsidRPr="003A1174">
        <w:rPr>
          <w:rFonts w:ascii="Garamond" w:hAnsi="Garamond" w:cs="Arial"/>
          <w:spacing w:val="-3"/>
          <w:sz w:val="24"/>
          <w:szCs w:val="24"/>
        </w:rPr>
        <w:t>gerais</w:t>
      </w:r>
      <w:r w:rsidRPr="003A1174">
        <w:rPr>
          <w:rFonts w:ascii="Garamond" w:hAnsi="Garamond" w:cs="Arial"/>
          <w:spacing w:val="-3"/>
          <w:sz w:val="24"/>
          <w:szCs w:val="24"/>
        </w:rPr>
        <w:t>,</w:t>
      </w:r>
      <w:r w:rsidR="00A132B3" w:rsidRPr="003A1174">
        <w:rPr>
          <w:rFonts w:ascii="Garamond" w:hAnsi="Garamond" w:cs="Arial"/>
          <w:spacing w:val="-3"/>
          <w:sz w:val="24"/>
          <w:szCs w:val="24"/>
        </w:rPr>
        <w:t xml:space="preserve"> </w:t>
      </w:r>
      <w:r w:rsidR="00913E6E" w:rsidRPr="003A1174">
        <w:rPr>
          <w:rFonts w:ascii="Garamond" w:hAnsi="Garamond" w:cs="Arial"/>
          <w:spacing w:val="-3"/>
          <w:sz w:val="24"/>
          <w:szCs w:val="24"/>
        </w:rPr>
        <w:t xml:space="preserve">o </w:t>
      </w:r>
      <w:r w:rsidRPr="003A1174">
        <w:rPr>
          <w:rFonts w:ascii="Garamond" w:hAnsi="Garamond" w:cs="Arial"/>
          <w:spacing w:val="-3"/>
          <w:sz w:val="24"/>
          <w:szCs w:val="24"/>
        </w:rPr>
        <w:t xml:space="preserve">tema </w:t>
      </w:r>
      <w:r w:rsidR="00A132B3" w:rsidRPr="003A1174">
        <w:rPr>
          <w:rFonts w:ascii="Garamond" w:hAnsi="Garamond" w:cs="Arial"/>
          <w:spacing w:val="-3"/>
          <w:sz w:val="24"/>
          <w:szCs w:val="24"/>
        </w:rPr>
        <w:t xml:space="preserve">consiste </w:t>
      </w:r>
      <w:r w:rsidR="00913E6E" w:rsidRPr="003A1174">
        <w:rPr>
          <w:rFonts w:ascii="Garamond" w:hAnsi="Garamond" w:cs="Arial"/>
          <w:spacing w:val="-3"/>
          <w:sz w:val="24"/>
          <w:szCs w:val="24"/>
        </w:rPr>
        <w:t>n</w:t>
      </w:r>
      <w:r w:rsidR="00A132B3" w:rsidRPr="003A1174">
        <w:rPr>
          <w:rFonts w:ascii="Garamond" w:hAnsi="Garamond" w:cs="Arial"/>
          <w:spacing w:val="-3"/>
          <w:sz w:val="24"/>
          <w:szCs w:val="24"/>
        </w:rPr>
        <w:t xml:space="preserve">a </w:t>
      </w:r>
      <w:r w:rsidR="00AF192F" w:rsidRPr="003A1174">
        <w:rPr>
          <w:rFonts w:ascii="Garamond" w:hAnsi="Garamond" w:cs="Arial"/>
          <w:spacing w:val="-3"/>
          <w:sz w:val="24"/>
          <w:szCs w:val="24"/>
        </w:rPr>
        <w:t>obrigação</w:t>
      </w:r>
      <w:r w:rsidR="00A132B3" w:rsidRPr="003A1174">
        <w:rPr>
          <w:rFonts w:ascii="Garamond" w:hAnsi="Garamond" w:cs="Arial"/>
          <w:spacing w:val="-3"/>
          <w:sz w:val="24"/>
          <w:szCs w:val="24"/>
        </w:rPr>
        <w:t xml:space="preserve"> de </w:t>
      </w:r>
      <w:r w:rsidRPr="003A1174">
        <w:rPr>
          <w:rFonts w:ascii="Garamond" w:hAnsi="Garamond" w:cs="Arial"/>
          <w:spacing w:val="-3"/>
          <w:sz w:val="24"/>
          <w:szCs w:val="24"/>
        </w:rPr>
        <w:t xml:space="preserve">dar </w:t>
      </w:r>
      <w:r w:rsidR="00C01806" w:rsidRPr="003A1174">
        <w:rPr>
          <w:rFonts w:ascii="Garamond" w:hAnsi="Garamond" w:cs="Arial"/>
          <w:spacing w:val="-3"/>
          <w:sz w:val="24"/>
          <w:szCs w:val="24"/>
        </w:rPr>
        <w:t>seguimento</w:t>
      </w:r>
      <w:r w:rsidR="00A132B3" w:rsidRPr="003A1174">
        <w:rPr>
          <w:rFonts w:ascii="Garamond" w:hAnsi="Garamond" w:cs="Arial"/>
          <w:spacing w:val="-3"/>
          <w:sz w:val="24"/>
          <w:szCs w:val="24"/>
        </w:rPr>
        <w:t xml:space="preserve"> (acat</w:t>
      </w:r>
      <w:r w:rsidR="00913E6E" w:rsidRPr="003A1174">
        <w:rPr>
          <w:rFonts w:ascii="Garamond" w:hAnsi="Garamond" w:cs="Arial"/>
          <w:spacing w:val="-3"/>
          <w:sz w:val="24"/>
          <w:szCs w:val="24"/>
        </w:rPr>
        <w:t xml:space="preserve">o e </w:t>
      </w:r>
      <w:r w:rsidR="00D96FD0" w:rsidRPr="003A1174">
        <w:rPr>
          <w:rFonts w:ascii="Garamond" w:hAnsi="Garamond" w:cs="Arial"/>
          <w:spacing w:val="-3"/>
          <w:sz w:val="24"/>
          <w:szCs w:val="24"/>
        </w:rPr>
        <w:t>cumprimento</w:t>
      </w:r>
      <w:r w:rsidR="00A132B3" w:rsidRPr="003A1174">
        <w:rPr>
          <w:rFonts w:ascii="Garamond" w:hAnsi="Garamond" w:cs="Arial"/>
          <w:spacing w:val="-3"/>
          <w:sz w:val="24"/>
          <w:szCs w:val="24"/>
        </w:rPr>
        <w:t>) n</w:t>
      </w:r>
      <w:r w:rsidR="00913E6E" w:rsidRPr="003A1174">
        <w:rPr>
          <w:rFonts w:ascii="Garamond" w:hAnsi="Garamond" w:cs="Arial"/>
          <w:spacing w:val="-3"/>
          <w:sz w:val="24"/>
          <w:szCs w:val="24"/>
        </w:rPr>
        <w:t>ã</w:t>
      </w:r>
      <w:r w:rsidR="00A132B3" w:rsidRPr="003A1174">
        <w:rPr>
          <w:rFonts w:ascii="Garamond" w:hAnsi="Garamond" w:cs="Arial"/>
          <w:spacing w:val="-3"/>
          <w:sz w:val="24"/>
          <w:szCs w:val="24"/>
        </w:rPr>
        <w:t>o s</w:t>
      </w:r>
      <w:r w:rsidR="00913E6E" w:rsidRPr="003A1174">
        <w:rPr>
          <w:rFonts w:ascii="Garamond" w:hAnsi="Garamond" w:cs="Arial"/>
          <w:spacing w:val="-3"/>
          <w:sz w:val="24"/>
          <w:szCs w:val="24"/>
        </w:rPr>
        <w:t xml:space="preserve">ó do </w:t>
      </w:r>
      <w:r w:rsidR="00A132B3" w:rsidRPr="003A1174">
        <w:rPr>
          <w:rFonts w:ascii="Garamond" w:hAnsi="Garamond" w:cs="Arial"/>
          <w:spacing w:val="-3"/>
          <w:sz w:val="24"/>
          <w:szCs w:val="24"/>
        </w:rPr>
        <w:t xml:space="preserve">texto dos TIDHs </w:t>
      </w:r>
      <w:r w:rsidR="008879E7">
        <w:rPr>
          <w:rFonts w:ascii="Garamond" w:hAnsi="Garamond" w:cs="Arial"/>
          <w:spacing w:val="-3"/>
          <w:sz w:val="24"/>
          <w:szCs w:val="24"/>
        </w:rPr>
        <w:t>-</w:t>
      </w:r>
      <w:r w:rsidR="00913E6E" w:rsidRPr="003A1174">
        <w:rPr>
          <w:rFonts w:ascii="Garamond" w:hAnsi="Garamond" w:cs="Arial"/>
          <w:spacing w:val="-3"/>
          <w:sz w:val="24"/>
          <w:szCs w:val="24"/>
        </w:rPr>
        <w:t xml:space="preserve"> </w:t>
      </w:r>
      <w:r w:rsidR="00BA3CCE" w:rsidRPr="003A1174">
        <w:rPr>
          <w:rFonts w:ascii="Garamond" w:hAnsi="Garamond" w:cs="Arial"/>
          <w:spacing w:val="-3"/>
          <w:sz w:val="24"/>
          <w:szCs w:val="24"/>
        </w:rPr>
        <w:t>incluídos</w:t>
      </w:r>
      <w:r w:rsidR="00A132B3" w:rsidRPr="003A1174">
        <w:rPr>
          <w:rFonts w:ascii="Garamond" w:hAnsi="Garamond" w:cs="Arial"/>
          <w:spacing w:val="-3"/>
          <w:sz w:val="24"/>
          <w:szCs w:val="24"/>
        </w:rPr>
        <w:t xml:space="preserve"> </w:t>
      </w:r>
      <w:r w:rsidR="00913E6E" w:rsidRPr="003A1174">
        <w:rPr>
          <w:rFonts w:ascii="Garamond" w:hAnsi="Garamond" w:cs="Arial"/>
          <w:spacing w:val="-3"/>
          <w:sz w:val="24"/>
          <w:szCs w:val="24"/>
        </w:rPr>
        <w:t>n</w:t>
      </w:r>
      <w:r w:rsidR="00A132B3" w:rsidRPr="003A1174">
        <w:rPr>
          <w:rFonts w:ascii="Garamond" w:hAnsi="Garamond" w:cs="Arial"/>
          <w:spacing w:val="-3"/>
          <w:sz w:val="24"/>
          <w:szCs w:val="24"/>
        </w:rPr>
        <w:t xml:space="preserve">a </w:t>
      </w:r>
      <w:r w:rsidR="00B14AA6" w:rsidRPr="003A1174">
        <w:rPr>
          <w:rFonts w:ascii="Garamond" w:hAnsi="Garamond" w:cs="Arial"/>
          <w:spacing w:val="-3"/>
          <w:sz w:val="24"/>
          <w:szCs w:val="24"/>
        </w:rPr>
        <w:t>Convenção</w:t>
      </w:r>
      <w:r w:rsidR="00A132B3" w:rsidRPr="003A1174">
        <w:rPr>
          <w:rFonts w:ascii="Garamond" w:hAnsi="Garamond" w:cs="Arial"/>
          <w:spacing w:val="-3"/>
          <w:sz w:val="24"/>
          <w:szCs w:val="24"/>
        </w:rPr>
        <w:t xml:space="preserve"> Americana </w:t>
      </w:r>
      <w:r w:rsidR="00913E6E" w:rsidRPr="003A1174">
        <w:rPr>
          <w:rFonts w:ascii="Garamond" w:hAnsi="Garamond" w:cs="Arial"/>
          <w:spacing w:val="-3"/>
          <w:sz w:val="24"/>
          <w:szCs w:val="24"/>
        </w:rPr>
        <w:t>e n</w:t>
      </w:r>
      <w:r w:rsidR="00A132B3" w:rsidRPr="003A1174">
        <w:rPr>
          <w:rFonts w:ascii="Garamond" w:hAnsi="Garamond" w:cs="Arial"/>
          <w:spacing w:val="-3"/>
          <w:sz w:val="24"/>
          <w:szCs w:val="24"/>
        </w:rPr>
        <w:t xml:space="preserve">a </w:t>
      </w:r>
      <w:r w:rsidR="00B14AA6" w:rsidRPr="003A1174">
        <w:rPr>
          <w:rFonts w:ascii="Garamond" w:hAnsi="Garamond" w:cs="Arial"/>
          <w:spacing w:val="-3"/>
          <w:sz w:val="24"/>
          <w:szCs w:val="24"/>
        </w:rPr>
        <w:t>Convenção</w:t>
      </w:r>
      <w:r w:rsidR="00A132B3" w:rsidRPr="003A1174">
        <w:rPr>
          <w:rFonts w:ascii="Garamond" w:hAnsi="Garamond" w:cs="Arial"/>
          <w:spacing w:val="-3"/>
          <w:sz w:val="24"/>
          <w:szCs w:val="24"/>
        </w:rPr>
        <w:t xml:space="preserve"> de </w:t>
      </w:r>
      <w:r w:rsidR="00A132B3" w:rsidRPr="003A1174">
        <w:rPr>
          <w:rFonts w:ascii="Garamond" w:hAnsi="Garamond" w:cs="Arial"/>
          <w:i/>
          <w:spacing w:val="-3"/>
          <w:sz w:val="24"/>
          <w:szCs w:val="24"/>
        </w:rPr>
        <w:t>Belém do Pará</w:t>
      </w:r>
      <w:r w:rsidR="00913E6E" w:rsidRPr="003A1174">
        <w:rPr>
          <w:rFonts w:ascii="Garamond" w:hAnsi="Garamond" w:cs="Arial"/>
          <w:i/>
          <w:spacing w:val="-3"/>
          <w:sz w:val="24"/>
          <w:szCs w:val="24"/>
        </w:rPr>
        <w:t xml:space="preserve"> </w:t>
      </w:r>
      <w:r w:rsidR="008879E7">
        <w:rPr>
          <w:rFonts w:ascii="Garamond" w:hAnsi="Garamond" w:cs="Arial"/>
          <w:spacing w:val="-3"/>
          <w:sz w:val="24"/>
          <w:szCs w:val="24"/>
        </w:rPr>
        <w:t>-</w:t>
      </w:r>
      <w:r w:rsidRPr="003A1174">
        <w:rPr>
          <w:rFonts w:ascii="Garamond" w:hAnsi="Garamond" w:cs="Arial"/>
          <w:spacing w:val="-3"/>
          <w:sz w:val="24"/>
          <w:szCs w:val="24"/>
        </w:rPr>
        <w:t>,</w:t>
      </w:r>
      <w:r w:rsidR="00A132B3" w:rsidRPr="003A1174">
        <w:rPr>
          <w:rFonts w:ascii="Garamond" w:hAnsi="Garamond" w:cs="Arial"/>
          <w:spacing w:val="-3"/>
          <w:sz w:val="24"/>
          <w:szCs w:val="24"/>
        </w:rPr>
        <w:t xml:space="preserve"> </w:t>
      </w:r>
      <w:r w:rsidR="00913E6E" w:rsidRPr="003A1174">
        <w:rPr>
          <w:rFonts w:ascii="Garamond" w:hAnsi="Garamond" w:cs="Arial"/>
          <w:spacing w:val="-3"/>
          <w:sz w:val="24"/>
          <w:szCs w:val="24"/>
        </w:rPr>
        <w:t xml:space="preserve">mas </w:t>
      </w:r>
      <w:r w:rsidR="000350B1" w:rsidRPr="003A1174">
        <w:rPr>
          <w:rFonts w:ascii="Garamond" w:hAnsi="Garamond" w:cs="Arial"/>
          <w:spacing w:val="-3"/>
          <w:sz w:val="24"/>
          <w:szCs w:val="24"/>
        </w:rPr>
        <w:t>também</w:t>
      </w:r>
      <w:r w:rsidR="008879E7">
        <w:rPr>
          <w:rFonts w:ascii="Garamond" w:hAnsi="Garamond" w:cs="Arial"/>
          <w:spacing w:val="-3"/>
          <w:sz w:val="24"/>
          <w:szCs w:val="24"/>
        </w:rPr>
        <w:t>,</w:t>
      </w:r>
      <w:r w:rsidR="00A132B3" w:rsidRPr="003A1174">
        <w:rPr>
          <w:rFonts w:ascii="Garamond" w:hAnsi="Garamond" w:cs="Arial"/>
          <w:spacing w:val="-3"/>
          <w:sz w:val="24"/>
          <w:szCs w:val="24"/>
        </w:rPr>
        <w:t xml:space="preserve"> </w:t>
      </w:r>
      <w:r w:rsidR="00913E6E" w:rsidRPr="003A1174">
        <w:rPr>
          <w:rFonts w:ascii="Garamond" w:hAnsi="Garamond" w:cs="Arial"/>
          <w:spacing w:val="-3"/>
          <w:sz w:val="24"/>
          <w:szCs w:val="24"/>
        </w:rPr>
        <w:t xml:space="preserve">às </w:t>
      </w:r>
      <w:r w:rsidR="002E7FD5" w:rsidRPr="003A1174">
        <w:rPr>
          <w:rFonts w:ascii="Garamond" w:hAnsi="Garamond" w:cs="Arial"/>
          <w:spacing w:val="-3"/>
          <w:sz w:val="24"/>
          <w:szCs w:val="24"/>
        </w:rPr>
        <w:t>pronúncias</w:t>
      </w:r>
      <w:r w:rsidR="00A132B3" w:rsidRPr="003A1174">
        <w:rPr>
          <w:rFonts w:ascii="Garamond" w:hAnsi="Garamond" w:cs="Arial"/>
          <w:spacing w:val="-3"/>
          <w:sz w:val="24"/>
          <w:szCs w:val="24"/>
        </w:rPr>
        <w:t xml:space="preserve"> sobre el</w:t>
      </w:r>
      <w:r w:rsidR="00913E6E" w:rsidRPr="003A1174">
        <w:rPr>
          <w:rFonts w:ascii="Garamond" w:hAnsi="Garamond" w:cs="Arial"/>
          <w:spacing w:val="-3"/>
          <w:sz w:val="24"/>
          <w:szCs w:val="24"/>
        </w:rPr>
        <w:t>es</w:t>
      </w:r>
      <w:r w:rsidR="008879E7">
        <w:rPr>
          <w:rFonts w:ascii="Garamond" w:hAnsi="Garamond" w:cs="Arial"/>
          <w:spacing w:val="-3"/>
          <w:sz w:val="24"/>
          <w:szCs w:val="24"/>
        </w:rPr>
        <w:t>,</w:t>
      </w:r>
      <w:r w:rsidR="00913E6E" w:rsidRPr="003A1174">
        <w:rPr>
          <w:rFonts w:ascii="Garamond" w:hAnsi="Garamond" w:cs="Arial"/>
          <w:spacing w:val="-3"/>
          <w:sz w:val="24"/>
          <w:szCs w:val="24"/>
        </w:rPr>
        <w:t xml:space="preserve"> emitida</w:t>
      </w:r>
      <w:r w:rsidR="00A132B3" w:rsidRPr="003A1174">
        <w:rPr>
          <w:rFonts w:ascii="Garamond" w:hAnsi="Garamond" w:cs="Arial"/>
          <w:spacing w:val="-3"/>
          <w:sz w:val="24"/>
          <w:szCs w:val="24"/>
        </w:rPr>
        <w:t>s p</w:t>
      </w:r>
      <w:r w:rsidR="00913E6E" w:rsidRPr="003A1174">
        <w:rPr>
          <w:rFonts w:ascii="Garamond" w:hAnsi="Garamond" w:cs="Arial"/>
          <w:spacing w:val="-3"/>
          <w:sz w:val="24"/>
          <w:szCs w:val="24"/>
        </w:rPr>
        <w:t>e</w:t>
      </w:r>
      <w:r w:rsidR="00A132B3" w:rsidRPr="003A1174">
        <w:rPr>
          <w:rFonts w:ascii="Garamond" w:hAnsi="Garamond" w:cs="Arial"/>
          <w:spacing w:val="-3"/>
          <w:sz w:val="24"/>
          <w:szCs w:val="24"/>
        </w:rPr>
        <w:t>l</w:t>
      </w:r>
      <w:r w:rsidR="008879E7">
        <w:rPr>
          <w:rFonts w:ascii="Garamond" w:hAnsi="Garamond" w:cs="Arial"/>
          <w:spacing w:val="-3"/>
          <w:sz w:val="24"/>
          <w:szCs w:val="24"/>
        </w:rPr>
        <w:t>o Tribunal</w:t>
      </w:r>
      <w:r w:rsidR="002A7FDD" w:rsidRPr="003A1174">
        <w:rPr>
          <w:rFonts w:ascii="Garamond" w:hAnsi="Garamond" w:cs="Arial"/>
          <w:spacing w:val="-3"/>
          <w:sz w:val="24"/>
          <w:szCs w:val="24"/>
        </w:rPr>
        <w:t xml:space="preserve"> </w:t>
      </w:r>
      <w:r w:rsidR="00A132B3" w:rsidRPr="003A1174">
        <w:rPr>
          <w:rFonts w:ascii="Garamond" w:hAnsi="Garamond" w:cs="Arial"/>
          <w:spacing w:val="-3"/>
          <w:sz w:val="24"/>
          <w:szCs w:val="24"/>
        </w:rPr>
        <w:t xml:space="preserve">Interamericana de </w:t>
      </w:r>
      <w:r w:rsidR="00886D6A" w:rsidRPr="003A1174">
        <w:rPr>
          <w:rFonts w:ascii="Garamond" w:hAnsi="Garamond" w:cs="Arial"/>
          <w:spacing w:val="-3"/>
          <w:sz w:val="24"/>
          <w:szCs w:val="24"/>
        </w:rPr>
        <w:t>Direito</w:t>
      </w:r>
      <w:r w:rsidR="00A132B3" w:rsidRPr="003A1174">
        <w:rPr>
          <w:rFonts w:ascii="Garamond" w:hAnsi="Garamond" w:cs="Arial"/>
          <w:spacing w:val="-3"/>
          <w:sz w:val="24"/>
          <w:szCs w:val="24"/>
        </w:rPr>
        <w:t xml:space="preserve">s Humanos. </w:t>
      </w:r>
    </w:p>
    <w:p w:rsidR="00A132B3" w:rsidRPr="003A1174" w:rsidRDefault="00913E6E" w:rsidP="008719D4">
      <w:pPr>
        <w:widowControl w:val="0"/>
        <w:autoSpaceDE w:val="0"/>
        <w:autoSpaceDN w:val="0"/>
        <w:adjustRightInd w:val="0"/>
        <w:spacing w:line="240" w:lineRule="auto"/>
        <w:jc w:val="both"/>
        <w:rPr>
          <w:rFonts w:ascii="Garamond" w:hAnsi="Garamond" w:cs="Arial"/>
          <w:spacing w:val="-3"/>
          <w:sz w:val="24"/>
          <w:szCs w:val="24"/>
        </w:rPr>
      </w:pPr>
      <w:r w:rsidRPr="003A1174">
        <w:rPr>
          <w:rFonts w:ascii="Garamond" w:hAnsi="Garamond" w:cs="Arial"/>
          <w:spacing w:val="-3"/>
          <w:sz w:val="24"/>
          <w:szCs w:val="24"/>
        </w:rPr>
        <w:t xml:space="preserve">Uma vez que </w:t>
      </w:r>
      <w:r w:rsidR="00A132B3" w:rsidRPr="003A1174">
        <w:rPr>
          <w:rFonts w:ascii="Garamond" w:hAnsi="Garamond" w:cs="Arial"/>
          <w:spacing w:val="-3"/>
          <w:sz w:val="24"/>
          <w:szCs w:val="24"/>
        </w:rPr>
        <w:t xml:space="preserve">a </w:t>
      </w:r>
      <w:r w:rsidR="00AF192F" w:rsidRPr="003A1174">
        <w:rPr>
          <w:rFonts w:ascii="Garamond" w:hAnsi="Garamond" w:cs="Arial"/>
          <w:spacing w:val="-3"/>
          <w:sz w:val="24"/>
          <w:szCs w:val="24"/>
        </w:rPr>
        <w:t>obrigação</w:t>
      </w:r>
      <w:r w:rsidR="00A132B3" w:rsidRPr="003A1174">
        <w:rPr>
          <w:rFonts w:ascii="Garamond" w:hAnsi="Garamond" w:cs="Arial"/>
          <w:spacing w:val="-3"/>
          <w:sz w:val="24"/>
          <w:szCs w:val="24"/>
        </w:rPr>
        <w:t xml:space="preserve"> de acata</w:t>
      </w:r>
      <w:r w:rsidRPr="003A1174">
        <w:rPr>
          <w:rFonts w:ascii="Garamond" w:hAnsi="Garamond" w:cs="Arial"/>
          <w:spacing w:val="-3"/>
          <w:sz w:val="24"/>
          <w:szCs w:val="24"/>
        </w:rPr>
        <w:t>r o</w:t>
      </w:r>
      <w:r w:rsidR="00A132B3" w:rsidRPr="003A1174">
        <w:rPr>
          <w:rFonts w:ascii="Garamond" w:hAnsi="Garamond" w:cs="Arial"/>
          <w:spacing w:val="-3"/>
          <w:sz w:val="24"/>
          <w:szCs w:val="24"/>
        </w:rPr>
        <w:t xml:space="preserve"> estipula</w:t>
      </w:r>
      <w:r w:rsidRPr="003A1174">
        <w:rPr>
          <w:rFonts w:ascii="Garamond" w:hAnsi="Garamond" w:cs="Arial"/>
          <w:spacing w:val="-3"/>
          <w:sz w:val="24"/>
          <w:szCs w:val="24"/>
        </w:rPr>
        <w:t>do no</w:t>
      </w:r>
      <w:r w:rsidR="00A132B3" w:rsidRPr="003A1174">
        <w:rPr>
          <w:rFonts w:ascii="Garamond" w:hAnsi="Garamond" w:cs="Arial"/>
          <w:spacing w:val="-3"/>
          <w:sz w:val="24"/>
          <w:szCs w:val="24"/>
        </w:rPr>
        <w:t xml:space="preserve">s TIDHs </w:t>
      </w:r>
      <w:r w:rsidRPr="003A1174">
        <w:rPr>
          <w:rFonts w:ascii="Garamond" w:hAnsi="Garamond" w:cs="Arial"/>
          <w:spacing w:val="-3"/>
          <w:sz w:val="24"/>
          <w:szCs w:val="24"/>
        </w:rPr>
        <w:t xml:space="preserve">é </w:t>
      </w:r>
      <w:r w:rsidR="00A132B3" w:rsidRPr="003A1174">
        <w:rPr>
          <w:rFonts w:ascii="Garamond" w:hAnsi="Garamond" w:cs="Arial"/>
          <w:spacing w:val="-3"/>
          <w:sz w:val="24"/>
          <w:szCs w:val="24"/>
        </w:rPr>
        <w:t xml:space="preserve">evidente, dedicaremos </w:t>
      </w:r>
      <w:r w:rsidRPr="003A1174">
        <w:rPr>
          <w:rFonts w:ascii="Garamond" w:hAnsi="Garamond" w:cs="Arial"/>
          <w:spacing w:val="-3"/>
          <w:sz w:val="24"/>
          <w:szCs w:val="24"/>
        </w:rPr>
        <w:t xml:space="preserve">os </w:t>
      </w:r>
      <w:r w:rsidR="00EB78D9" w:rsidRPr="003A1174">
        <w:rPr>
          <w:rFonts w:ascii="Garamond" w:hAnsi="Garamond" w:cs="Arial"/>
          <w:spacing w:val="-3"/>
          <w:sz w:val="24"/>
          <w:szCs w:val="24"/>
        </w:rPr>
        <w:t>nosso</w:t>
      </w:r>
      <w:r w:rsidR="00A132B3" w:rsidRPr="003A1174">
        <w:rPr>
          <w:rFonts w:ascii="Garamond" w:hAnsi="Garamond" w:cs="Arial"/>
          <w:spacing w:val="-3"/>
          <w:sz w:val="24"/>
          <w:szCs w:val="24"/>
        </w:rPr>
        <w:t xml:space="preserve">s argumentos </w:t>
      </w:r>
      <w:r w:rsidR="002F5CD1" w:rsidRPr="003A1174">
        <w:rPr>
          <w:rFonts w:ascii="Garamond" w:hAnsi="Garamond" w:cs="Arial"/>
          <w:spacing w:val="-3"/>
          <w:sz w:val="24"/>
          <w:szCs w:val="24"/>
        </w:rPr>
        <w:t>principais</w:t>
      </w:r>
      <w:r w:rsidR="00A132B3" w:rsidRPr="003A1174">
        <w:rPr>
          <w:rFonts w:ascii="Garamond" w:hAnsi="Garamond" w:cs="Arial"/>
          <w:spacing w:val="-3"/>
          <w:sz w:val="24"/>
          <w:szCs w:val="24"/>
        </w:rPr>
        <w:t xml:space="preserve"> a</w:t>
      </w:r>
      <w:r w:rsidRPr="003A1174">
        <w:rPr>
          <w:rFonts w:ascii="Garamond" w:hAnsi="Garamond" w:cs="Arial"/>
          <w:spacing w:val="-3"/>
          <w:sz w:val="24"/>
          <w:szCs w:val="24"/>
        </w:rPr>
        <w:t xml:space="preserve">o </w:t>
      </w:r>
      <w:r w:rsidR="00973DDE" w:rsidRPr="003A1174">
        <w:rPr>
          <w:rFonts w:ascii="Garamond" w:hAnsi="Garamond" w:cs="Arial"/>
          <w:spacing w:val="-3"/>
          <w:sz w:val="24"/>
          <w:szCs w:val="24"/>
        </w:rPr>
        <w:t>assunto</w:t>
      </w:r>
      <w:r w:rsidR="00A132B3" w:rsidRPr="003A1174">
        <w:rPr>
          <w:rFonts w:ascii="Garamond" w:hAnsi="Garamond" w:cs="Arial"/>
          <w:spacing w:val="-3"/>
          <w:sz w:val="24"/>
          <w:szCs w:val="24"/>
        </w:rPr>
        <w:t xml:space="preserve"> da </w:t>
      </w:r>
      <w:r w:rsidR="00EB2F44" w:rsidRPr="003A1174">
        <w:rPr>
          <w:rFonts w:ascii="Garamond" w:hAnsi="Garamond" w:cs="Arial"/>
          <w:spacing w:val="-3"/>
          <w:sz w:val="24"/>
          <w:szCs w:val="24"/>
        </w:rPr>
        <w:t>obrigatoriedade</w:t>
      </w:r>
      <w:r w:rsidR="00A132B3" w:rsidRPr="003A1174">
        <w:rPr>
          <w:rFonts w:ascii="Garamond" w:hAnsi="Garamond" w:cs="Arial"/>
          <w:spacing w:val="-3"/>
          <w:sz w:val="24"/>
          <w:szCs w:val="24"/>
        </w:rPr>
        <w:t xml:space="preserve"> de </w:t>
      </w:r>
      <w:r w:rsidR="00C01806" w:rsidRPr="003A1174">
        <w:rPr>
          <w:rFonts w:ascii="Garamond" w:hAnsi="Garamond" w:cs="Arial"/>
          <w:spacing w:val="-3"/>
          <w:sz w:val="24"/>
          <w:szCs w:val="24"/>
        </w:rPr>
        <w:t>seguimento</w:t>
      </w:r>
      <w:r w:rsidR="00A132B3" w:rsidRPr="003A1174">
        <w:rPr>
          <w:rFonts w:ascii="Garamond" w:hAnsi="Garamond" w:cs="Arial"/>
          <w:spacing w:val="-3"/>
          <w:sz w:val="24"/>
          <w:szCs w:val="24"/>
        </w:rPr>
        <w:t xml:space="preserve"> das </w:t>
      </w:r>
      <w:r w:rsidR="005D38DC" w:rsidRPr="003A1174">
        <w:rPr>
          <w:rFonts w:ascii="Garamond" w:hAnsi="Garamond" w:cs="Arial"/>
          <w:spacing w:val="-3"/>
          <w:sz w:val="24"/>
          <w:szCs w:val="24"/>
        </w:rPr>
        <w:t>decisões</w:t>
      </w:r>
      <w:r w:rsidR="00A132B3" w:rsidRPr="003A1174">
        <w:rPr>
          <w:rFonts w:ascii="Garamond" w:hAnsi="Garamond" w:cs="Arial"/>
          <w:spacing w:val="-3"/>
          <w:sz w:val="24"/>
          <w:szCs w:val="24"/>
        </w:rPr>
        <w:t xml:space="preserve"> d</w:t>
      </w:r>
      <w:r w:rsidR="008879E7">
        <w:rPr>
          <w:rFonts w:ascii="Garamond" w:hAnsi="Garamond" w:cs="Arial"/>
          <w:spacing w:val="-3"/>
          <w:sz w:val="24"/>
          <w:szCs w:val="24"/>
        </w:rPr>
        <w:t>o</w:t>
      </w:r>
      <w:r w:rsidR="00A132B3" w:rsidRPr="003A1174">
        <w:rPr>
          <w:rFonts w:ascii="Garamond" w:hAnsi="Garamond" w:cs="Arial"/>
          <w:spacing w:val="-3"/>
          <w:sz w:val="24"/>
          <w:szCs w:val="24"/>
        </w:rPr>
        <w:t xml:space="preserve"> </w:t>
      </w:r>
      <w:r w:rsidR="008879E7">
        <w:rPr>
          <w:rFonts w:ascii="Garamond" w:hAnsi="Garamond" w:cs="Arial"/>
          <w:spacing w:val="-3"/>
          <w:sz w:val="24"/>
          <w:szCs w:val="24"/>
        </w:rPr>
        <w:t>tribunal</w:t>
      </w:r>
      <w:r w:rsidR="00A132B3" w:rsidRPr="003A1174">
        <w:rPr>
          <w:rFonts w:ascii="Garamond" w:hAnsi="Garamond" w:cs="Arial"/>
          <w:spacing w:val="-3"/>
          <w:sz w:val="24"/>
          <w:szCs w:val="24"/>
        </w:rPr>
        <w:t xml:space="preserve">. Para </w:t>
      </w:r>
      <w:r w:rsidRPr="003A1174">
        <w:rPr>
          <w:rFonts w:ascii="Garamond" w:hAnsi="Garamond" w:cs="Arial"/>
          <w:spacing w:val="-3"/>
          <w:sz w:val="24"/>
          <w:szCs w:val="24"/>
        </w:rPr>
        <w:t>isso, debruçamo-</w:t>
      </w:r>
      <w:r w:rsidR="00A132B3" w:rsidRPr="003A1174">
        <w:rPr>
          <w:rFonts w:ascii="Garamond" w:hAnsi="Garamond" w:cs="Arial"/>
          <w:spacing w:val="-3"/>
          <w:sz w:val="24"/>
          <w:szCs w:val="24"/>
        </w:rPr>
        <w:t>nos</w:t>
      </w:r>
      <w:r w:rsidR="008879E7">
        <w:rPr>
          <w:rFonts w:ascii="Garamond" w:hAnsi="Garamond" w:cs="Arial"/>
          <w:spacing w:val="-3"/>
          <w:sz w:val="24"/>
          <w:szCs w:val="24"/>
        </w:rPr>
        <w:t>,</w:t>
      </w:r>
      <w:r w:rsidR="00A132B3" w:rsidRPr="003A1174">
        <w:rPr>
          <w:rFonts w:ascii="Garamond" w:hAnsi="Garamond" w:cs="Arial"/>
          <w:spacing w:val="-3"/>
          <w:sz w:val="24"/>
          <w:szCs w:val="24"/>
        </w:rPr>
        <w:t xml:space="preserve"> </w:t>
      </w:r>
      <w:r w:rsidR="00D96FD0" w:rsidRPr="003A1174">
        <w:rPr>
          <w:rFonts w:ascii="Garamond" w:hAnsi="Garamond" w:cs="Arial"/>
          <w:spacing w:val="-3"/>
          <w:sz w:val="24"/>
          <w:szCs w:val="24"/>
        </w:rPr>
        <w:t>primeiro</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 xml:space="preserve">de modo </w:t>
      </w:r>
      <w:r w:rsidR="00A132B3" w:rsidRPr="003A1174">
        <w:rPr>
          <w:rFonts w:ascii="Garamond" w:hAnsi="Garamond" w:cs="Arial"/>
          <w:spacing w:val="-3"/>
          <w:sz w:val="24"/>
          <w:szCs w:val="24"/>
        </w:rPr>
        <w:t>sucint</w:t>
      </w:r>
      <w:r w:rsidRPr="003A1174">
        <w:rPr>
          <w:rFonts w:ascii="Garamond" w:hAnsi="Garamond" w:cs="Arial"/>
          <w:spacing w:val="-3"/>
          <w:sz w:val="24"/>
          <w:szCs w:val="24"/>
        </w:rPr>
        <w:t>o</w:t>
      </w:r>
      <w:r w:rsidR="00A132B3" w:rsidRPr="003A1174">
        <w:rPr>
          <w:rFonts w:ascii="Garamond" w:hAnsi="Garamond" w:cs="Arial"/>
          <w:spacing w:val="-3"/>
          <w:sz w:val="24"/>
          <w:szCs w:val="24"/>
        </w:rPr>
        <w:t>, e</w:t>
      </w:r>
      <w:r w:rsidRPr="003A1174">
        <w:rPr>
          <w:rFonts w:ascii="Garamond" w:hAnsi="Garamond" w:cs="Arial"/>
          <w:spacing w:val="-3"/>
          <w:sz w:val="24"/>
          <w:szCs w:val="24"/>
        </w:rPr>
        <w:t>m</w:t>
      </w:r>
      <w:r w:rsidR="00A132B3" w:rsidRPr="003A1174">
        <w:rPr>
          <w:rFonts w:ascii="Garamond" w:hAnsi="Garamond" w:cs="Arial"/>
          <w:spacing w:val="-3"/>
          <w:sz w:val="24"/>
          <w:szCs w:val="24"/>
        </w:rPr>
        <w:t xml:space="preserve"> </w:t>
      </w:r>
      <w:r w:rsidR="006F4B2C" w:rsidRPr="003A1174">
        <w:rPr>
          <w:rFonts w:ascii="Garamond" w:hAnsi="Garamond" w:cs="Arial"/>
          <w:spacing w:val="-3"/>
          <w:sz w:val="24"/>
          <w:szCs w:val="24"/>
        </w:rPr>
        <w:t>alguns</w:t>
      </w:r>
      <w:r w:rsidR="00A132B3" w:rsidRPr="003A1174">
        <w:rPr>
          <w:rFonts w:ascii="Garamond" w:hAnsi="Garamond" w:cs="Arial"/>
          <w:spacing w:val="-3"/>
          <w:sz w:val="24"/>
          <w:szCs w:val="24"/>
        </w:rPr>
        <w:t xml:space="preserve"> </w:t>
      </w:r>
      <w:r w:rsidR="005D38DC" w:rsidRPr="003A1174">
        <w:rPr>
          <w:rFonts w:ascii="Garamond" w:hAnsi="Garamond" w:cs="Arial"/>
          <w:spacing w:val="-3"/>
          <w:sz w:val="24"/>
          <w:szCs w:val="24"/>
        </w:rPr>
        <w:t>aspeto</w:t>
      </w:r>
      <w:r w:rsidR="00A132B3" w:rsidRPr="003A1174">
        <w:rPr>
          <w:rFonts w:ascii="Garamond" w:hAnsi="Garamond" w:cs="Arial"/>
          <w:spacing w:val="-3"/>
          <w:sz w:val="24"/>
          <w:szCs w:val="24"/>
        </w:rPr>
        <w:t>s teóricos pa</w:t>
      </w:r>
      <w:r w:rsidRPr="003A1174">
        <w:rPr>
          <w:rFonts w:ascii="Garamond" w:hAnsi="Garamond" w:cs="Arial"/>
          <w:spacing w:val="-3"/>
          <w:sz w:val="24"/>
          <w:szCs w:val="24"/>
        </w:rPr>
        <w:t>s</w:t>
      </w:r>
      <w:r w:rsidR="00A132B3" w:rsidRPr="003A1174">
        <w:rPr>
          <w:rFonts w:ascii="Garamond" w:hAnsi="Garamond" w:cs="Arial"/>
          <w:spacing w:val="-3"/>
          <w:sz w:val="24"/>
          <w:szCs w:val="24"/>
        </w:rPr>
        <w:t xml:space="preserve">sando </w:t>
      </w:r>
      <w:r w:rsidRPr="003A1174">
        <w:rPr>
          <w:rFonts w:ascii="Garamond" w:hAnsi="Garamond" w:cs="Arial"/>
          <w:spacing w:val="-3"/>
          <w:sz w:val="24"/>
          <w:szCs w:val="24"/>
        </w:rPr>
        <w:t>depois</w:t>
      </w:r>
      <w:r w:rsidR="00FB6D51" w:rsidRPr="003A1174">
        <w:rPr>
          <w:rFonts w:ascii="Garamond" w:hAnsi="Garamond" w:cs="Arial"/>
          <w:spacing w:val="-3"/>
          <w:sz w:val="24"/>
          <w:szCs w:val="24"/>
        </w:rPr>
        <w:t>,</w:t>
      </w:r>
      <w:r w:rsidRPr="003A1174">
        <w:rPr>
          <w:rFonts w:ascii="Garamond" w:hAnsi="Garamond" w:cs="Arial"/>
          <w:spacing w:val="-3"/>
          <w:sz w:val="24"/>
          <w:szCs w:val="24"/>
        </w:rPr>
        <w:t xml:space="preserve"> mais pormenorizadamente</w:t>
      </w:r>
      <w:r w:rsidR="00FB6D51" w:rsidRPr="003A1174">
        <w:rPr>
          <w:rFonts w:ascii="Garamond" w:hAnsi="Garamond" w:cs="Arial"/>
          <w:spacing w:val="-3"/>
          <w:sz w:val="24"/>
          <w:szCs w:val="24"/>
        </w:rPr>
        <w:t>,</w:t>
      </w:r>
      <w:r w:rsidRPr="003A1174">
        <w:rPr>
          <w:rFonts w:ascii="Garamond" w:hAnsi="Garamond" w:cs="Arial"/>
          <w:spacing w:val="-3"/>
          <w:sz w:val="24"/>
          <w:szCs w:val="24"/>
        </w:rPr>
        <w:t xml:space="preserve"> à </w:t>
      </w:r>
      <w:r w:rsidR="00A132B3" w:rsidRPr="003A1174">
        <w:rPr>
          <w:rFonts w:ascii="Garamond" w:hAnsi="Garamond" w:cs="Arial"/>
          <w:spacing w:val="-3"/>
          <w:sz w:val="24"/>
          <w:szCs w:val="24"/>
        </w:rPr>
        <w:t>constru</w:t>
      </w:r>
      <w:r w:rsidRPr="003A1174">
        <w:rPr>
          <w:rFonts w:ascii="Garamond" w:hAnsi="Garamond" w:cs="Arial"/>
          <w:spacing w:val="-3"/>
          <w:sz w:val="24"/>
          <w:szCs w:val="24"/>
        </w:rPr>
        <w:t xml:space="preserve">ção </w:t>
      </w:r>
      <w:r w:rsidR="00A132B3" w:rsidRPr="003A1174">
        <w:rPr>
          <w:rFonts w:ascii="Garamond" w:hAnsi="Garamond" w:cs="Arial"/>
          <w:spacing w:val="-3"/>
          <w:sz w:val="24"/>
          <w:szCs w:val="24"/>
        </w:rPr>
        <w:t xml:space="preserve">jurisprudencial que </w:t>
      </w:r>
      <w:r w:rsidR="008879E7">
        <w:rPr>
          <w:rFonts w:ascii="Garamond" w:hAnsi="Garamond" w:cs="Arial"/>
          <w:spacing w:val="-3"/>
          <w:sz w:val="24"/>
          <w:szCs w:val="24"/>
        </w:rPr>
        <w:t>o</w:t>
      </w:r>
      <w:r w:rsidR="00A132B3" w:rsidRPr="003A1174">
        <w:rPr>
          <w:rFonts w:ascii="Garamond" w:hAnsi="Garamond" w:cs="Arial"/>
          <w:spacing w:val="-3"/>
          <w:sz w:val="24"/>
          <w:szCs w:val="24"/>
        </w:rPr>
        <w:t xml:space="preserve"> </w:t>
      </w:r>
      <w:r w:rsidR="008879E7">
        <w:rPr>
          <w:rFonts w:ascii="Garamond" w:hAnsi="Garamond" w:cs="Arial"/>
          <w:spacing w:val="-3"/>
          <w:sz w:val="24"/>
          <w:szCs w:val="24"/>
        </w:rPr>
        <w:t>Tribunal</w:t>
      </w:r>
      <w:r w:rsidR="002A7FDD" w:rsidRPr="003A1174">
        <w:rPr>
          <w:rFonts w:ascii="Garamond" w:hAnsi="Garamond" w:cs="Arial"/>
          <w:spacing w:val="-3"/>
          <w:sz w:val="24"/>
          <w:szCs w:val="24"/>
        </w:rPr>
        <w:t xml:space="preserve"> </w:t>
      </w:r>
      <w:r w:rsidR="00A132B3" w:rsidRPr="003A1174">
        <w:rPr>
          <w:rFonts w:ascii="Garamond" w:hAnsi="Garamond" w:cs="Arial"/>
          <w:spacing w:val="-3"/>
          <w:sz w:val="24"/>
          <w:szCs w:val="24"/>
        </w:rPr>
        <w:t>Interamerican</w:t>
      </w:r>
      <w:r w:rsidR="008879E7">
        <w:rPr>
          <w:rFonts w:ascii="Garamond" w:hAnsi="Garamond" w:cs="Arial"/>
          <w:spacing w:val="-3"/>
          <w:sz w:val="24"/>
          <w:szCs w:val="24"/>
        </w:rPr>
        <w:t>o</w:t>
      </w:r>
      <w:r w:rsidR="00A132B3" w:rsidRPr="003A1174">
        <w:rPr>
          <w:rFonts w:ascii="Garamond" w:hAnsi="Garamond" w:cs="Arial"/>
          <w:spacing w:val="-3"/>
          <w:sz w:val="24"/>
          <w:szCs w:val="24"/>
        </w:rPr>
        <w:t xml:space="preserve"> </w:t>
      </w:r>
      <w:r w:rsidRPr="003A1174">
        <w:rPr>
          <w:rFonts w:ascii="Garamond" w:hAnsi="Garamond" w:cs="Arial"/>
          <w:spacing w:val="-3"/>
          <w:sz w:val="24"/>
          <w:szCs w:val="24"/>
        </w:rPr>
        <w:t xml:space="preserve">tem vindo a </w:t>
      </w:r>
      <w:r w:rsidR="00A132B3" w:rsidRPr="003A1174">
        <w:rPr>
          <w:rFonts w:ascii="Garamond" w:hAnsi="Garamond" w:cs="Arial"/>
          <w:spacing w:val="-3"/>
          <w:sz w:val="24"/>
          <w:szCs w:val="24"/>
        </w:rPr>
        <w:t>formula</w:t>
      </w:r>
      <w:r w:rsidRPr="003A1174">
        <w:rPr>
          <w:rFonts w:ascii="Garamond" w:hAnsi="Garamond" w:cs="Arial"/>
          <w:spacing w:val="-3"/>
          <w:sz w:val="24"/>
          <w:szCs w:val="24"/>
        </w:rPr>
        <w:t xml:space="preserve">r a esse </w:t>
      </w:r>
      <w:r w:rsidR="00A132B3" w:rsidRPr="003A1174">
        <w:rPr>
          <w:rFonts w:ascii="Garamond" w:hAnsi="Garamond" w:cs="Arial"/>
          <w:spacing w:val="-3"/>
          <w:sz w:val="24"/>
          <w:szCs w:val="24"/>
        </w:rPr>
        <w:t>respe</w:t>
      </w:r>
      <w:r w:rsidRPr="003A1174">
        <w:rPr>
          <w:rFonts w:ascii="Garamond" w:hAnsi="Garamond" w:cs="Arial"/>
          <w:spacing w:val="-3"/>
          <w:sz w:val="24"/>
          <w:szCs w:val="24"/>
        </w:rPr>
        <w:t>i</w:t>
      </w:r>
      <w:r w:rsidR="00A132B3" w:rsidRPr="003A1174">
        <w:rPr>
          <w:rFonts w:ascii="Garamond" w:hAnsi="Garamond" w:cs="Arial"/>
          <w:spacing w:val="-3"/>
          <w:sz w:val="24"/>
          <w:szCs w:val="24"/>
        </w:rPr>
        <w:t>to.</w:t>
      </w:r>
    </w:p>
    <w:p w:rsidR="00A132B3" w:rsidRPr="003A1174" w:rsidRDefault="006F4B2C" w:rsidP="008719D4">
      <w:pPr>
        <w:spacing w:line="240" w:lineRule="auto"/>
        <w:jc w:val="both"/>
        <w:rPr>
          <w:rFonts w:ascii="Garamond" w:hAnsi="Garamond" w:cs="Arial"/>
          <w:sz w:val="24"/>
          <w:szCs w:val="24"/>
        </w:rPr>
      </w:pPr>
      <w:r w:rsidRPr="003A1174">
        <w:rPr>
          <w:rFonts w:ascii="Garamond" w:hAnsi="Garamond" w:cs="Arial"/>
          <w:spacing w:val="-3"/>
          <w:sz w:val="24"/>
          <w:szCs w:val="24"/>
        </w:rPr>
        <w:lastRenderedPageBreak/>
        <w:t>Re</w:t>
      </w:r>
      <w:r w:rsidR="00913E6E" w:rsidRPr="003A1174">
        <w:rPr>
          <w:rFonts w:ascii="Garamond" w:hAnsi="Garamond" w:cs="Arial"/>
          <w:spacing w:val="-3"/>
          <w:sz w:val="24"/>
          <w:szCs w:val="24"/>
        </w:rPr>
        <w:t>lativamente a</w:t>
      </w:r>
      <w:r w:rsidR="00A132B3" w:rsidRPr="003A1174">
        <w:rPr>
          <w:rFonts w:ascii="Garamond" w:hAnsi="Garamond" w:cs="Arial"/>
          <w:spacing w:val="-3"/>
          <w:sz w:val="24"/>
          <w:szCs w:val="24"/>
        </w:rPr>
        <w:t xml:space="preserve">os fundamentos invocados </w:t>
      </w:r>
      <w:r w:rsidR="00913E6E" w:rsidRPr="003A1174">
        <w:rPr>
          <w:rFonts w:ascii="Garamond" w:hAnsi="Garamond" w:cs="Arial"/>
          <w:spacing w:val="-3"/>
          <w:sz w:val="24"/>
          <w:szCs w:val="24"/>
        </w:rPr>
        <w:t xml:space="preserve">no que toca a </w:t>
      </w:r>
      <w:r w:rsidR="00A132B3" w:rsidRPr="003A1174">
        <w:rPr>
          <w:rFonts w:ascii="Garamond" w:hAnsi="Garamond" w:cs="Arial"/>
          <w:spacing w:val="-3"/>
          <w:sz w:val="24"/>
          <w:szCs w:val="24"/>
        </w:rPr>
        <w:t xml:space="preserve">esta </w:t>
      </w:r>
      <w:r w:rsidR="00EF645F" w:rsidRPr="003A1174">
        <w:rPr>
          <w:rFonts w:ascii="Garamond" w:hAnsi="Garamond" w:cs="Arial"/>
          <w:spacing w:val="-3"/>
          <w:sz w:val="24"/>
          <w:szCs w:val="24"/>
        </w:rPr>
        <w:t>matéria</w:t>
      </w:r>
      <w:r w:rsidR="00837C61" w:rsidRPr="003A1174">
        <w:rPr>
          <w:rFonts w:ascii="Garamond" w:hAnsi="Garamond" w:cs="Arial"/>
          <w:spacing w:val="-3"/>
          <w:sz w:val="24"/>
          <w:szCs w:val="24"/>
        </w:rPr>
        <w:t>,</w:t>
      </w:r>
      <w:r w:rsidR="00A132B3" w:rsidRPr="003A1174">
        <w:rPr>
          <w:rFonts w:ascii="Garamond" w:hAnsi="Garamond" w:cs="Arial"/>
          <w:spacing w:val="-3"/>
          <w:sz w:val="24"/>
          <w:szCs w:val="24"/>
        </w:rPr>
        <w:t xml:space="preserve"> referi</w:t>
      </w:r>
      <w:r w:rsidR="00913E6E" w:rsidRPr="003A1174">
        <w:rPr>
          <w:rFonts w:ascii="Garamond" w:hAnsi="Garamond" w:cs="Arial"/>
          <w:spacing w:val="-3"/>
          <w:sz w:val="24"/>
          <w:szCs w:val="24"/>
        </w:rPr>
        <w:t>mo-</w:t>
      </w:r>
      <w:r w:rsidR="00A132B3" w:rsidRPr="003A1174">
        <w:rPr>
          <w:rFonts w:ascii="Garamond" w:hAnsi="Garamond" w:cs="Arial"/>
          <w:spacing w:val="-3"/>
          <w:sz w:val="24"/>
          <w:szCs w:val="24"/>
        </w:rPr>
        <w:t xml:space="preserve">nos </w:t>
      </w:r>
      <w:r w:rsidR="00D96FD0" w:rsidRPr="003A1174">
        <w:rPr>
          <w:rFonts w:ascii="Garamond" w:hAnsi="Garamond" w:cs="Arial"/>
          <w:spacing w:val="-3"/>
          <w:sz w:val="24"/>
          <w:szCs w:val="24"/>
        </w:rPr>
        <w:t>primeiro</w:t>
      </w:r>
      <w:r w:rsidR="00A132B3" w:rsidRPr="003A1174">
        <w:rPr>
          <w:rFonts w:ascii="Garamond" w:hAnsi="Garamond" w:cs="Arial"/>
          <w:spacing w:val="-3"/>
          <w:sz w:val="24"/>
          <w:szCs w:val="24"/>
        </w:rPr>
        <w:t xml:space="preserve"> a</w:t>
      </w:r>
      <w:r w:rsidR="00913E6E" w:rsidRPr="003A1174">
        <w:rPr>
          <w:rFonts w:ascii="Garamond" w:hAnsi="Garamond" w:cs="Arial"/>
          <w:spacing w:val="-3"/>
          <w:sz w:val="24"/>
          <w:szCs w:val="24"/>
        </w:rPr>
        <w:t>o</w:t>
      </w:r>
      <w:r w:rsidR="00A132B3" w:rsidRPr="003A1174">
        <w:rPr>
          <w:rFonts w:ascii="Garamond" w:hAnsi="Garamond" w:cs="Arial"/>
          <w:sz w:val="24"/>
          <w:szCs w:val="24"/>
        </w:rPr>
        <w:t xml:space="preserve"> </w:t>
      </w:r>
      <w:r w:rsidR="006D0543" w:rsidRPr="003A1174">
        <w:rPr>
          <w:rFonts w:ascii="Garamond" w:hAnsi="Garamond" w:cs="Arial"/>
          <w:sz w:val="24"/>
          <w:szCs w:val="24"/>
        </w:rPr>
        <w:t>princípio</w:t>
      </w:r>
      <w:r w:rsidR="00A132B3" w:rsidRPr="003A1174">
        <w:rPr>
          <w:rFonts w:ascii="Garamond" w:hAnsi="Garamond" w:cs="Arial"/>
          <w:sz w:val="24"/>
          <w:szCs w:val="24"/>
        </w:rPr>
        <w:t xml:space="preserve"> de subsidiariedad</w:t>
      </w:r>
      <w:r w:rsidR="00913E6E" w:rsidRPr="003A1174">
        <w:rPr>
          <w:rFonts w:ascii="Garamond" w:hAnsi="Garamond" w:cs="Arial"/>
          <w:sz w:val="24"/>
          <w:szCs w:val="24"/>
        </w:rPr>
        <w:t>e</w:t>
      </w:r>
      <w:r w:rsidR="00A132B3" w:rsidRPr="003A1174">
        <w:rPr>
          <w:rFonts w:ascii="Garamond" w:hAnsi="Garamond" w:cs="Arial"/>
          <w:sz w:val="24"/>
          <w:szCs w:val="24"/>
        </w:rPr>
        <w:t xml:space="preserve"> </w:t>
      </w:r>
      <w:r w:rsidR="00913E6E" w:rsidRPr="003A1174">
        <w:rPr>
          <w:rFonts w:ascii="Garamond" w:hAnsi="Garamond" w:cs="Arial"/>
          <w:sz w:val="24"/>
          <w:szCs w:val="24"/>
        </w:rPr>
        <w:t xml:space="preserve">no </w:t>
      </w:r>
      <w:r w:rsidR="00253B1D" w:rsidRPr="003A1174">
        <w:rPr>
          <w:rFonts w:ascii="Garamond" w:hAnsi="Garamond" w:cs="Arial"/>
          <w:sz w:val="24"/>
          <w:szCs w:val="24"/>
        </w:rPr>
        <w:t>quadro</w:t>
      </w:r>
      <w:r w:rsidR="00A132B3" w:rsidRPr="003A1174">
        <w:rPr>
          <w:rFonts w:ascii="Garamond" w:hAnsi="Garamond" w:cs="Arial"/>
          <w:sz w:val="24"/>
          <w:szCs w:val="24"/>
        </w:rPr>
        <w:t xml:space="preserve"> d</w:t>
      </w:r>
      <w:r w:rsidR="00913E6E" w:rsidRPr="003A1174">
        <w:rPr>
          <w:rFonts w:ascii="Garamond" w:hAnsi="Garamond" w:cs="Arial"/>
          <w:sz w:val="24"/>
          <w:szCs w:val="24"/>
        </w:rPr>
        <w:t>o</w:t>
      </w:r>
      <w:r w:rsidR="00A132B3" w:rsidRPr="003A1174">
        <w:rPr>
          <w:rFonts w:ascii="Garamond" w:hAnsi="Garamond" w:cs="Arial"/>
          <w:sz w:val="24"/>
          <w:szCs w:val="24"/>
        </w:rPr>
        <w:t xml:space="preserve"> </w:t>
      </w:r>
      <w:r w:rsidR="00886D6A" w:rsidRPr="003A1174">
        <w:rPr>
          <w:rFonts w:ascii="Garamond" w:hAnsi="Garamond" w:cs="Arial"/>
          <w:sz w:val="24"/>
          <w:szCs w:val="24"/>
        </w:rPr>
        <w:t>Direito</w:t>
      </w:r>
      <w:r w:rsidR="00A132B3" w:rsidRPr="003A1174">
        <w:rPr>
          <w:rFonts w:ascii="Garamond" w:hAnsi="Garamond" w:cs="Arial"/>
          <w:sz w:val="24"/>
          <w:szCs w:val="24"/>
        </w:rPr>
        <w:t xml:space="preserve"> Internacional dos </w:t>
      </w:r>
      <w:r w:rsidR="00886D6A" w:rsidRPr="003A1174">
        <w:rPr>
          <w:rFonts w:ascii="Garamond" w:hAnsi="Garamond" w:cs="Arial"/>
          <w:sz w:val="24"/>
          <w:szCs w:val="24"/>
        </w:rPr>
        <w:t>Direito</w:t>
      </w:r>
      <w:r w:rsidR="00A132B3" w:rsidRPr="003A1174">
        <w:rPr>
          <w:rFonts w:ascii="Garamond" w:hAnsi="Garamond" w:cs="Arial"/>
          <w:sz w:val="24"/>
          <w:szCs w:val="24"/>
        </w:rPr>
        <w:t xml:space="preserve">s Humanos (DIDH </w:t>
      </w:r>
      <w:r w:rsidR="00913E6E" w:rsidRPr="003A1174">
        <w:rPr>
          <w:rFonts w:ascii="Garamond" w:hAnsi="Garamond" w:cs="Arial"/>
          <w:sz w:val="24"/>
          <w:szCs w:val="24"/>
        </w:rPr>
        <w:t>a partir de agora</w:t>
      </w:r>
      <w:r w:rsidR="00A132B3" w:rsidRPr="003A1174">
        <w:rPr>
          <w:rFonts w:ascii="Garamond" w:hAnsi="Garamond" w:cs="Arial"/>
          <w:sz w:val="24"/>
          <w:szCs w:val="24"/>
        </w:rPr>
        <w:t xml:space="preserve">). Esta </w:t>
      </w:r>
      <w:r w:rsidR="00EB2F44" w:rsidRPr="003A1174">
        <w:rPr>
          <w:rFonts w:ascii="Garamond" w:hAnsi="Garamond" w:cs="Arial"/>
          <w:sz w:val="24"/>
          <w:szCs w:val="24"/>
        </w:rPr>
        <w:t>obrigatoriedade</w:t>
      </w:r>
      <w:r w:rsidR="00837C61" w:rsidRPr="003A1174">
        <w:rPr>
          <w:rFonts w:ascii="Garamond" w:hAnsi="Garamond" w:cs="Arial"/>
          <w:sz w:val="24"/>
          <w:szCs w:val="24"/>
        </w:rPr>
        <w:t xml:space="preserve"> </w:t>
      </w:r>
      <w:r w:rsidR="00A132B3" w:rsidRPr="003A1174">
        <w:rPr>
          <w:rFonts w:ascii="Garamond" w:hAnsi="Garamond" w:cs="Arial"/>
          <w:sz w:val="24"/>
          <w:szCs w:val="24"/>
        </w:rPr>
        <w:t>sup</w:t>
      </w:r>
      <w:r w:rsidR="00913E6E" w:rsidRPr="003A1174">
        <w:rPr>
          <w:rFonts w:ascii="Garamond" w:hAnsi="Garamond" w:cs="Arial"/>
          <w:sz w:val="24"/>
          <w:szCs w:val="24"/>
        </w:rPr>
        <w:t>õe</w:t>
      </w:r>
      <w:r w:rsidR="00A132B3" w:rsidRPr="003A1174">
        <w:rPr>
          <w:rFonts w:ascii="Garamond" w:hAnsi="Garamond" w:cs="Arial"/>
          <w:sz w:val="24"/>
          <w:szCs w:val="24"/>
        </w:rPr>
        <w:t xml:space="preserve"> que:</w:t>
      </w:r>
    </w:p>
    <w:p w:rsidR="00A132B3" w:rsidRPr="00030F56" w:rsidRDefault="00030F56" w:rsidP="009F3AC2">
      <w:pPr>
        <w:spacing w:line="240" w:lineRule="auto"/>
        <w:ind w:left="567"/>
        <w:jc w:val="both"/>
        <w:rPr>
          <w:rFonts w:ascii="Garamond" w:hAnsi="Garamond" w:cs="Arial"/>
        </w:rPr>
      </w:pPr>
      <w:proofErr w:type="gramStart"/>
      <w:r w:rsidRPr="00030F56">
        <w:rPr>
          <w:rFonts w:ascii="Garamond" w:hAnsi="Garamond" w:cs="Arial"/>
        </w:rPr>
        <w:t>«</w:t>
      </w:r>
      <w:r w:rsidR="00837C61" w:rsidRPr="00030F56">
        <w:rPr>
          <w:rFonts w:ascii="Garamond" w:hAnsi="Garamond" w:cs="Arial"/>
        </w:rPr>
        <w:t>…</w:t>
      </w:r>
      <w:proofErr w:type="gramEnd"/>
      <w:r w:rsidR="00120915" w:rsidRPr="00030F56">
        <w:rPr>
          <w:rFonts w:ascii="Garamond" w:hAnsi="Garamond" w:cs="Arial"/>
        </w:rPr>
        <w:t>porém</w:t>
      </w:r>
      <w:r w:rsidR="00361EB9" w:rsidRPr="00030F56">
        <w:rPr>
          <w:rFonts w:ascii="Garamond" w:hAnsi="Garamond" w:cs="Arial"/>
        </w:rPr>
        <w:t xml:space="preserve">, </w:t>
      </w:r>
      <w:r w:rsidR="00A132B3" w:rsidRPr="00030F56">
        <w:rPr>
          <w:rFonts w:ascii="Garamond" w:hAnsi="Garamond" w:cs="Arial"/>
        </w:rPr>
        <w:t xml:space="preserve">a </w:t>
      </w:r>
      <w:r w:rsidR="007578C6" w:rsidRPr="00030F56">
        <w:rPr>
          <w:rFonts w:ascii="Garamond" w:hAnsi="Garamond" w:cs="Arial"/>
        </w:rPr>
        <w:t>existência</w:t>
      </w:r>
      <w:r w:rsidR="00361EB9" w:rsidRPr="00030F56">
        <w:rPr>
          <w:rFonts w:ascii="Garamond" w:hAnsi="Garamond" w:cs="Arial"/>
        </w:rPr>
        <w:t xml:space="preserve"> de normas e</w:t>
      </w:r>
      <w:r w:rsidR="00A132B3" w:rsidRPr="00030F56">
        <w:rPr>
          <w:rFonts w:ascii="Garamond" w:hAnsi="Garamond" w:cs="Arial"/>
        </w:rPr>
        <w:t xml:space="preserve"> </w:t>
      </w:r>
      <w:r w:rsidR="003F012B" w:rsidRPr="00030F56">
        <w:rPr>
          <w:rFonts w:ascii="Garamond" w:hAnsi="Garamond" w:cs="Arial"/>
        </w:rPr>
        <w:t>procedimentos</w:t>
      </w:r>
      <w:r w:rsidR="00A132B3" w:rsidRPr="00030F56">
        <w:rPr>
          <w:rFonts w:ascii="Garamond" w:hAnsi="Garamond" w:cs="Arial"/>
        </w:rPr>
        <w:t xml:space="preserve"> </w:t>
      </w:r>
      <w:r w:rsidR="00EF645F" w:rsidRPr="00030F56">
        <w:rPr>
          <w:rFonts w:ascii="Garamond" w:hAnsi="Garamond" w:cs="Arial"/>
        </w:rPr>
        <w:t>internacionais</w:t>
      </w:r>
      <w:r w:rsidR="00361EB9" w:rsidRPr="00030F56">
        <w:rPr>
          <w:rFonts w:ascii="Garamond" w:hAnsi="Garamond" w:cs="Arial"/>
        </w:rPr>
        <w:t xml:space="preserve"> para </w:t>
      </w:r>
      <w:r w:rsidR="00A132B3" w:rsidRPr="00030F56">
        <w:rPr>
          <w:rFonts w:ascii="Garamond" w:hAnsi="Garamond" w:cs="Arial"/>
        </w:rPr>
        <w:t xml:space="preserve">a </w:t>
      </w:r>
      <w:r w:rsidR="00886D6A" w:rsidRPr="00030F56">
        <w:rPr>
          <w:rFonts w:ascii="Garamond" w:hAnsi="Garamond" w:cs="Arial"/>
        </w:rPr>
        <w:t>proteção</w:t>
      </w:r>
      <w:r w:rsidR="00361EB9" w:rsidRPr="00030F56">
        <w:rPr>
          <w:rFonts w:ascii="Garamond" w:hAnsi="Garamond" w:cs="Arial"/>
        </w:rPr>
        <w:t xml:space="preserve"> d</w:t>
      </w:r>
      <w:r w:rsidR="00A132B3" w:rsidRPr="00030F56">
        <w:rPr>
          <w:rFonts w:ascii="Garamond" w:hAnsi="Garamond" w:cs="Arial"/>
        </w:rPr>
        <w:t xml:space="preserve">os </w:t>
      </w:r>
      <w:r w:rsidR="00886D6A" w:rsidRPr="00030F56">
        <w:rPr>
          <w:rFonts w:ascii="Garamond" w:hAnsi="Garamond" w:cs="Arial"/>
        </w:rPr>
        <w:t>direito</w:t>
      </w:r>
      <w:r w:rsidR="00A132B3" w:rsidRPr="00030F56">
        <w:rPr>
          <w:rFonts w:ascii="Garamond" w:hAnsi="Garamond" w:cs="Arial"/>
        </w:rPr>
        <w:t>s humanos o</w:t>
      </w:r>
      <w:r w:rsidR="00361EB9" w:rsidRPr="00030F56">
        <w:rPr>
          <w:rFonts w:ascii="Garamond" w:hAnsi="Garamond" w:cs="Arial"/>
        </w:rPr>
        <w:t>u</w:t>
      </w:r>
      <w:r w:rsidR="00A132B3" w:rsidRPr="00030F56">
        <w:rPr>
          <w:rFonts w:ascii="Garamond" w:hAnsi="Garamond" w:cs="Arial"/>
        </w:rPr>
        <w:t xml:space="preserve"> precisamente e</w:t>
      </w:r>
      <w:r w:rsidR="00C86C58" w:rsidRPr="00030F56">
        <w:rPr>
          <w:rFonts w:ascii="Garamond" w:hAnsi="Garamond" w:cs="Arial"/>
        </w:rPr>
        <w:t>m</w:t>
      </w:r>
      <w:r w:rsidR="00A132B3" w:rsidRPr="00030F56">
        <w:rPr>
          <w:rFonts w:ascii="Garamond" w:hAnsi="Garamond" w:cs="Arial"/>
        </w:rPr>
        <w:t xml:space="preserve"> virtud</w:t>
      </w:r>
      <w:r w:rsidR="00C86C58" w:rsidRPr="00030F56">
        <w:rPr>
          <w:rFonts w:ascii="Garamond" w:hAnsi="Garamond" w:cs="Arial"/>
        </w:rPr>
        <w:t>e</w:t>
      </w:r>
      <w:r w:rsidR="00A132B3" w:rsidRPr="00030F56">
        <w:rPr>
          <w:rFonts w:ascii="Garamond" w:hAnsi="Garamond" w:cs="Arial"/>
        </w:rPr>
        <w:t xml:space="preserve"> del</w:t>
      </w:r>
      <w:r w:rsidR="00C86C58" w:rsidRPr="00030F56">
        <w:rPr>
          <w:rFonts w:ascii="Garamond" w:hAnsi="Garamond" w:cs="Arial"/>
        </w:rPr>
        <w:t>e</w:t>
      </w:r>
      <w:r w:rsidR="00A132B3" w:rsidRPr="00030F56">
        <w:rPr>
          <w:rFonts w:ascii="Garamond" w:hAnsi="Garamond" w:cs="Arial"/>
        </w:rPr>
        <w:t xml:space="preserve">s, </w:t>
      </w:r>
      <w:r w:rsidR="00C86C58" w:rsidRPr="00030F56">
        <w:rPr>
          <w:rFonts w:ascii="Garamond" w:hAnsi="Garamond" w:cs="Arial"/>
        </w:rPr>
        <w:t xml:space="preserve">é aos </w:t>
      </w:r>
      <w:r w:rsidR="00A132B3" w:rsidRPr="00030F56">
        <w:rPr>
          <w:rFonts w:ascii="Garamond" w:hAnsi="Garamond" w:cs="Arial"/>
        </w:rPr>
        <w:t>Estados que corresponde e</w:t>
      </w:r>
      <w:r w:rsidR="00C86C58" w:rsidRPr="00030F56">
        <w:rPr>
          <w:rFonts w:ascii="Garamond" w:hAnsi="Garamond" w:cs="Arial"/>
        </w:rPr>
        <w:t>m</w:t>
      </w:r>
      <w:r w:rsidR="00A132B3" w:rsidRPr="00030F56">
        <w:rPr>
          <w:rFonts w:ascii="Garamond" w:hAnsi="Garamond" w:cs="Arial"/>
        </w:rPr>
        <w:t xml:space="preserve"> </w:t>
      </w:r>
      <w:r w:rsidR="004C1496" w:rsidRPr="00030F56">
        <w:rPr>
          <w:rFonts w:ascii="Garamond" w:hAnsi="Garamond" w:cs="Arial"/>
        </w:rPr>
        <w:t>primeira</w:t>
      </w:r>
      <w:r w:rsidR="00A132B3" w:rsidRPr="00030F56">
        <w:rPr>
          <w:rFonts w:ascii="Garamond" w:hAnsi="Garamond" w:cs="Arial"/>
        </w:rPr>
        <w:t xml:space="preserve"> </w:t>
      </w:r>
      <w:r w:rsidR="00FB09CA" w:rsidRPr="00030F56">
        <w:rPr>
          <w:rFonts w:ascii="Garamond" w:hAnsi="Garamond" w:cs="Arial"/>
        </w:rPr>
        <w:t>instância</w:t>
      </w:r>
      <w:r w:rsidR="00A132B3" w:rsidRPr="00030F56">
        <w:rPr>
          <w:rFonts w:ascii="Garamond" w:hAnsi="Garamond" w:cs="Arial"/>
        </w:rPr>
        <w:t xml:space="preserve"> </w:t>
      </w:r>
      <w:r w:rsidR="00661ADB" w:rsidRPr="00030F56">
        <w:rPr>
          <w:rFonts w:ascii="Garamond" w:hAnsi="Garamond" w:cs="Arial"/>
        </w:rPr>
        <w:t>respeitar</w:t>
      </w:r>
      <w:r w:rsidR="00A132B3" w:rsidRPr="00030F56">
        <w:rPr>
          <w:rFonts w:ascii="Garamond" w:hAnsi="Garamond" w:cs="Arial"/>
        </w:rPr>
        <w:t xml:space="preserve"> </w:t>
      </w:r>
      <w:r w:rsidR="00C86C58" w:rsidRPr="00030F56">
        <w:rPr>
          <w:rFonts w:ascii="Garamond" w:hAnsi="Garamond" w:cs="Arial"/>
        </w:rPr>
        <w:t xml:space="preserve">e fazer </w:t>
      </w:r>
      <w:r w:rsidR="00661ADB" w:rsidRPr="00030F56">
        <w:rPr>
          <w:rFonts w:ascii="Garamond" w:hAnsi="Garamond" w:cs="Arial"/>
        </w:rPr>
        <w:t>respeitar</w:t>
      </w:r>
      <w:r w:rsidR="00A132B3" w:rsidRPr="00030F56">
        <w:rPr>
          <w:rFonts w:ascii="Garamond" w:hAnsi="Garamond" w:cs="Arial"/>
        </w:rPr>
        <w:t xml:space="preserve"> ta</w:t>
      </w:r>
      <w:r w:rsidR="00C86C58" w:rsidRPr="00030F56">
        <w:rPr>
          <w:rFonts w:ascii="Garamond" w:hAnsi="Garamond" w:cs="Arial"/>
        </w:rPr>
        <w:t>i</w:t>
      </w:r>
      <w:r w:rsidR="00A132B3" w:rsidRPr="00030F56">
        <w:rPr>
          <w:rFonts w:ascii="Garamond" w:hAnsi="Garamond" w:cs="Arial"/>
        </w:rPr>
        <w:t xml:space="preserve">s </w:t>
      </w:r>
      <w:r w:rsidR="00886D6A" w:rsidRPr="00030F56">
        <w:rPr>
          <w:rFonts w:ascii="Garamond" w:hAnsi="Garamond" w:cs="Arial"/>
        </w:rPr>
        <w:t>direito</w:t>
      </w:r>
      <w:r w:rsidR="00A132B3" w:rsidRPr="00030F56">
        <w:rPr>
          <w:rFonts w:ascii="Garamond" w:hAnsi="Garamond" w:cs="Arial"/>
        </w:rPr>
        <w:t xml:space="preserve">s </w:t>
      </w:r>
      <w:r w:rsidR="00C86C58" w:rsidRPr="00030F56">
        <w:rPr>
          <w:rFonts w:ascii="Garamond" w:hAnsi="Garamond" w:cs="Arial"/>
        </w:rPr>
        <w:t xml:space="preserve">no </w:t>
      </w:r>
      <w:r w:rsidR="00802ACC" w:rsidRPr="00030F56">
        <w:rPr>
          <w:rFonts w:ascii="Garamond" w:hAnsi="Garamond" w:cs="Arial"/>
        </w:rPr>
        <w:t>âmbito</w:t>
      </w:r>
      <w:r w:rsidR="00A132B3" w:rsidRPr="00030F56">
        <w:rPr>
          <w:rFonts w:ascii="Garamond" w:hAnsi="Garamond" w:cs="Arial"/>
        </w:rPr>
        <w:t xml:space="preserve"> d</w:t>
      </w:r>
      <w:r w:rsidR="00C86C58" w:rsidRPr="00030F56">
        <w:rPr>
          <w:rFonts w:ascii="Garamond" w:hAnsi="Garamond" w:cs="Arial"/>
        </w:rPr>
        <w:t>a</w:t>
      </w:r>
      <w:r w:rsidR="00A132B3" w:rsidRPr="00030F56">
        <w:rPr>
          <w:rFonts w:ascii="Garamond" w:hAnsi="Garamond" w:cs="Arial"/>
        </w:rPr>
        <w:t xml:space="preserve"> su</w:t>
      </w:r>
      <w:r w:rsidR="00C86C58" w:rsidRPr="00030F56">
        <w:rPr>
          <w:rFonts w:ascii="Garamond" w:hAnsi="Garamond" w:cs="Arial"/>
        </w:rPr>
        <w:t>a</w:t>
      </w:r>
      <w:r w:rsidR="00A132B3" w:rsidRPr="00030F56">
        <w:rPr>
          <w:rFonts w:ascii="Garamond" w:hAnsi="Garamond" w:cs="Arial"/>
        </w:rPr>
        <w:t xml:space="preserve"> </w:t>
      </w:r>
      <w:r w:rsidR="00731B19" w:rsidRPr="00030F56">
        <w:rPr>
          <w:rFonts w:ascii="Garamond" w:hAnsi="Garamond" w:cs="Arial"/>
        </w:rPr>
        <w:t>jurisdição</w:t>
      </w:r>
      <w:r w:rsidR="00A132B3" w:rsidRPr="00030F56">
        <w:rPr>
          <w:rFonts w:ascii="Garamond" w:hAnsi="Garamond" w:cs="Arial"/>
        </w:rPr>
        <w:t xml:space="preserve"> </w:t>
      </w:r>
      <w:r w:rsidR="00C86C58" w:rsidRPr="00030F56">
        <w:rPr>
          <w:rFonts w:ascii="Garamond" w:hAnsi="Garamond" w:cs="Arial"/>
        </w:rPr>
        <w:t xml:space="preserve">e só </w:t>
      </w:r>
      <w:r w:rsidR="00863197" w:rsidRPr="00030F56">
        <w:rPr>
          <w:rFonts w:ascii="Garamond" w:hAnsi="Garamond" w:cs="Arial"/>
        </w:rPr>
        <w:t>quando</w:t>
      </w:r>
      <w:r w:rsidR="00A132B3" w:rsidRPr="00030F56">
        <w:rPr>
          <w:rFonts w:ascii="Garamond" w:hAnsi="Garamond" w:cs="Arial"/>
        </w:rPr>
        <w:t xml:space="preserve"> </w:t>
      </w:r>
      <w:r w:rsidR="007407BD" w:rsidRPr="00030F56">
        <w:rPr>
          <w:rFonts w:ascii="Garamond" w:hAnsi="Garamond" w:cs="Arial"/>
        </w:rPr>
        <w:t>estes</w:t>
      </w:r>
      <w:r w:rsidR="00A132B3" w:rsidRPr="00030F56">
        <w:rPr>
          <w:rFonts w:ascii="Garamond" w:hAnsi="Garamond" w:cs="Arial"/>
        </w:rPr>
        <w:t xml:space="preserve"> n</w:t>
      </w:r>
      <w:r w:rsidR="00C86C58" w:rsidRPr="00030F56">
        <w:rPr>
          <w:rFonts w:ascii="Garamond" w:hAnsi="Garamond" w:cs="Arial"/>
        </w:rPr>
        <w:t>ã</w:t>
      </w:r>
      <w:r w:rsidR="00A132B3" w:rsidRPr="00030F56">
        <w:rPr>
          <w:rFonts w:ascii="Garamond" w:hAnsi="Garamond" w:cs="Arial"/>
        </w:rPr>
        <w:t xml:space="preserve">o </w:t>
      </w:r>
      <w:r w:rsidR="00C86C58" w:rsidRPr="00030F56">
        <w:rPr>
          <w:rFonts w:ascii="Garamond" w:hAnsi="Garamond" w:cs="Arial"/>
        </w:rPr>
        <w:t>oferecerem um</w:t>
      </w:r>
      <w:r w:rsidR="00A132B3" w:rsidRPr="00030F56">
        <w:rPr>
          <w:rFonts w:ascii="Garamond" w:hAnsi="Garamond" w:cs="Arial"/>
        </w:rPr>
        <w:t xml:space="preserve">a </w:t>
      </w:r>
      <w:r w:rsidR="00886D6A" w:rsidRPr="00030F56">
        <w:rPr>
          <w:rFonts w:ascii="Garamond" w:hAnsi="Garamond" w:cs="Arial"/>
        </w:rPr>
        <w:t>proteção</w:t>
      </w:r>
      <w:r w:rsidR="00C86C58" w:rsidRPr="00030F56">
        <w:rPr>
          <w:rFonts w:ascii="Garamond" w:hAnsi="Garamond" w:cs="Arial"/>
        </w:rPr>
        <w:t xml:space="preserve"> adeq</w:t>
      </w:r>
      <w:r w:rsidR="00A132B3" w:rsidRPr="00030F56">
        <w:rPr>
          <w:rFonts w:ascii="Garamond" w:hAnsi="Garamond" w:cs="Arial"/>
        </w:rPr>
        <w:t>uada o</w:t>
      </w:r>
      <w:r w:rsidR="00C86C58" w:rsidRPr="00030F56">
        <w:rPr>
          <w:rFonts w:ascii="Garamond" w:hAnsi="Garamond" w:cs="Arial"/>
        </w:rPr>
        <w:t>u</w:t>
      </w:r>
      <w:r w:rsidR="00A132B3" w:rsidRPr="00030F56">
        <w:rPr>
          <w:rFonts w:ascii="Garamond" w:hAnsi="Garamond" w:cs="Arial"/>
        </w:rPr>
        <w:t xml:space="preserve"> </w:t>
      </w:r>
      <w:r w:rsidR="00D84A9F" w:rsidRPr="00030F56">
        <w:rPr>
          <w:rFonts w:ascii="Garamond" w:hAnsi="Garamond" w:cs="Arial"/>
        </w:rPr>
        <w:t>efetiva</w:t>
      </w:r>
      <w:r w:rsidR="00A132B3" w:rsidRPr="00030F56">
        <w:rPr>
          <w:rFonts w:ascii="Garamond" w:hAnsi="Garamond" w:cs="Arial"/>
        </w:rPr>
        <w:t xml:space="preserve">, </w:t>
      </w:r>
      <w:r w:rsidR="00C86C58" w:rsidRPr="00030F56">
        <w:rPr>
          <w:rFonts w:ascii="Garamond" w:hAnsi="Garamond" w:cs="Arial"/>
        </w:rPr>
        <w:t xml:space="preserve">é que </w:t>
      </w:r>
      <w:r w:rsidR="00A132B3" w:rsidRPr="00030F56">
        <w:rPr>
          <w:rFonts w:ascii="Garamond" w:hAnsi="Garamond" w:cs="Arial"/>
        </w:rPr>
        <w:t xml:space="preserve">a </w:t>
      </w:r>
      <w:r w:rsidR="00731B19" w:rsidRPr="00030F56">
        <w:rPr>
          <w:rFonts w:ascii="Garamond" w:hAnsi="Garamond" w:cs="Arial"/>
        </w:rPr>
        <w:t>jurisdição</w:t>
      </w:r>
      <w:r w:rsidR="00A132B3" w:rsidRPr="00030F56">
        <w:rPr>
          <w:rFonts w:ascii="Garamond" w:hAnsi="Garamond" w:cs="Arial"/>
        </w:rPr>
        <w:t xml:space="preserve"> internacional (onde exist</w:t>
      </w:r>
      <w:r w:rsidR="00C86C58" w:rsidRPr="00030F56">
        <w:rPr>
          <w:rFonts w:ascii="Garamond" w:hAnsi="Garamond" w:cs="Arial"/>
        </w:rPr>
        <w:t>ir</w:t>
      </w:r>
      <w:r w:rsidR="00A132B3" w:rsidRPr="00030F56">
        <w:rPr>
          <w:rFonts w:ascii="Garamond" w:hAnsi="Garamond" w:cs="Arial"/>
        </w:rPr>
        <w:t xml:space="preserve">) </w:t>
      </w:r>
      <w:r w:rsidR="007342D9" w:rsidRPr="00030F56">
        <w:rPr>
          <w:rFonts w:ascii="Garamond" w:hAnsi="Garamond" w:cs="Arial"/>
        </w:rPr>
        <w:t>pode</w:t>
      </w:r>
      <w:r w:rsidR="00C86C58" w:rsidRPr="00030F56">
        <w:rPr>
          <w:rFonts w:ascii="Garamond" w:hAnsi="Garamond" w:cs="Arial"/>
        </w:rPr>
        <w:t xml:space="preserve"> e deve ex</w:t>
      </w:r>
      <w:r w:rsidR="00A132B3" w:rsidRPr="00030F56">
        <w:rPr>
          <w:rFonts w:ascii="Garamond" w:hAnsi="Garamond" w:cs="Arial"/>
        </w:rPr>
        <w:t xml:space="preserve">ercer </w:t>
      </w:r>
      <w:r w:rsidR="00C86C58" w:rsidRPr="00030F56">
        <w:rPr>
          <w:rFonts w:ascii="Garamond" w:hAnsi="Garamond" w:cs="Arial"/>
        </w:rPr>
        <w:t xml:space="preserve">a </w:t>
      </w:r>
      <w:r w:rsidR="00A132B3" w:rsidRPr="00030F56">
        <w:rPr>
          <w:rFonts w:ascii="Garamond" w:hAnsi="Garamond" w:cs="Arial"/>
        </w:rPr>
        <w:t>su</w:t>
      </w:r>
      <w:r w:rsidR="00C86C58" w:rsidRPr="00030F56">
        <w:rPr>
          <w:rFonts w:ascii="Garamond" w:hAnsi="Garamond" w:cs="Arial"/>
        </w:rPr>
        <w:t>a</w:t>
      </w:r>
      <w:r w:rsidR="00A132B3" w:rsidRPr="00030F56">
        <w:rPr>
          <w:rFonts w:ascii="Garamond" w:hAnsi="Garamond" w:cs="Arial"/>
        </w:rPr>
        <w:t xml:space="preserve"> </w:t>
      </w:r>
      <w:r w:rsidR="00C86C58" w:rsidRPr="00030F56">
        <w:rPr>
          <w:rFonts w:ascii="Garamond" w:hAnsi="Garamond" w:cs="Arial"/>
        </w:rPr>
        <w:t>competência</w:t>
      </w:r>
      <w:r w:rsidR="00A132B3" w:rsidRPr="00030F56">
        <w:rPr>
          <w:rFonts w:ascii="Garamond" w:hAnsi="Garamond" w:cs="Arial"/>
        </w:rPr>
        <w:t>.</w:t>
      </w:r>
      <w:r w:rsidRPr="00030F56">
        <w:rPr>
          <w:rFonts w:ascii="Garamond" w:hAnsi="Garamond" w:cs="Arial"/>
        </w:rPr>
        <w:t>»</w:t>
      </w:r>
      <w:r w:rsidR="00A132B3" w:rsidRPr="00030F56">
        <w:rPr>
          <w:rStyle w:val="Refdenotaalpie"/>
          <w:rFonts w:ascii="Garamond" w:hAnsi="Garamond" w:cs="Arial"/>
        </w:rPr>
        <w:footnoteReference w:id="29"/>
      </w:r>
    </w:p>
    <w:p w:rsidR="00A132B3" w:rsidRPr="003A1174" w:rsidRDefault="00C86C58" w:rsidP="008719D4">
      <w:pPr>
        <w:spacing w:line="240" w:lineRule="auto"/>
        <w:jc w:val="both"/>
        <w:rPr>
          <w:rFonts w:ascii="Garamond" w:hAnsi="Garamond" w:cs="Arial"/>
          <w:sz w:val="24"/>
          <w:szCs w:val="24"/>
        </w:rPr>
      </w:pPr>
      <w:r w:rsidRPr="003A1174">
        <w:rPr>
          <w:rFonts w:ascii="Garamond" w:hAnsi="Garamond" w:cs="Arial"/>
          <w:sz w:val="24"/>
          <w:szCs w:val="24"/>
        </w:rPr>
        <w:t>Por outro lado, atend</w:t>
      </w:r>
      <w:r w:rsidR="00A132B3" w:rsidRPr="003A1174">
        <w:rPr>
          <w:rFonts w:ascii="Garamond" w:hAnsi="Garamond" w:cs="Arial"/>
          <w:sz w:val="24"/>
          <w:szCs w:val="24"/>
        </w:rPr>
        <w:t>endo a</w:t>
      </w:r>
      <w:r w:rsidRPr="003A1174">
        <w:rPr>
          <w:rFonts w:ascii="Garamond" w:hAnsi="Garamond" w:cs="Arial"/>
          <w:sz w:val="24"/>
          <w:szCs w:val="24"/>
        </w:rPr>
        <w:t xml:space="preserve">o sustentado pelas normas da </w:t>
      </w:r>
      <w:r w:rsidR="00CF4C35" w:rsidRPr="003A1174">
        <w:rPr>
          <w:rFonts w:ascii="Garamond" w:hAnsi="Garamond" w:cs="Arial"/>
          <w:sz w:val="24"/>
          <w:szCs w:val="24"/>
        </w:rPr>
        <w:t>Diligência Devida</w:t>
      </w:r>
      <w:r w:rsidR="00A132B3" w:rsidRPr="003A1174">
        <w:rPr>
          <w:rFonts w:ascii="Garamond" w:hAnsi="Garamond" w:cs="Arial"/>
          <w:sz w:val="24"/>
          <w:szCs w:val="24"/>
        </w:rPr>
        <w:t xml:space="preserve"> </w:t>
      </w:r>
      <w:r w:rsidRPr="003A1174">
        <w:rPr>
          <w:rFonts w:ascii="Garamond" w:hAnsi="Garamond" w:cs="Arial"/>
          <w:sz w:val="24"/>
          <w:szCs w:val="24"/>
        </w:rPr>
        <w:t xml:space="preserve">no </w:t>
      </w:r>
      <w:r w:rsidR="00A132B3" w:rsidRPr="003A1174">
        <w:rPr>
          <w:rFonts w:ascii="Garamond" w:hAnsi="Garamond" w:cs="Arial"/>
          <w:sz w:val="24"/>
          <w:szCs w:val="24"/>
        </w:rPr>
        <w:t>sistema interamericano cont</w:t>
      </w:r>
      <w:r w:rsidRPr="003A1174">
        <w:rPr>
          <w:rFonts w:ascii="Garamond" w:hAnsi="Garamond" w:cs="Arial"/>
          <w:sz w:val="24"/>
          <w:szCs w:val="24"/>
        </w:rPr>
        <w:t>ida</w:t>
      </w:r>
      <w:r w:rsidR="00A132B3" w:rsidRPr="003A1174">
        <w:rPr>
          <w:rFonts w:ascii="Garamond" w:hAnsi="Garamond" w:cs="Arial"/>
          <w:sz w:val="24"/>
          <w:szCs w:val="24"/>
        </w:rPr>
        <w:t xml:space="preserve">s </w:t>
      </w:r>
      <w:r w:rsidRPr="003A1174">
        <w:rPr>
          <w:rFonts w:ascii="Garamond" w:hAnsi="Garamond" w:cs="Arial"/>
          <w:sz w:val="24"/>
          <w:szCs w:val="24"/>
        </w:rPr>
        <w:t>n</w:t>
      </w:r>
      <w:r w:rsidR="00A132B3" w:rsidRPr="003A1174">
        <w:rPr>
          <w:rFonts w:ascii="Garamond" w:hAnsi="Garamond" w:cs="Arial"/>
          <w:sz w:val="24"/>
          <w:szCs w:val="24"/>
        </w:rPr>
        <w:t xml:space="preserve">os </w:t>
      </w:r>
      <w:r w:rsidR="00D96FD0" w:rsidRPr="003A1174">
        <w:rPr>
          <w:rFonts w:ascii="Garamond" w:hAnsi="Garamond" w:cs="Arial"/>
          <w:sz w:val="24"/>
          <w:szCs w:val="24"/>
        </w:rPr>
        <w:t>primeiro</w:t>
      </w:r>
      <w:r w:rsidR="00A132B3" w:rsidRPr="003A1174">
        <w:rPr>
          <w:rFonts w:ascii="Garamond" w:hAnsi="Garamond" w:cs="Arial"/>
          <w:sz w:val="24"/>
          <w:szCs w:val="24"/>
        </w:rPr>
        <w:t xml:space="preserve">s </w:t>
      </w:r>
      <w:r w:rsidRPr="003A1174">
        <w:rPr>
          <w:rFonts w:ascii="Garamond" w:hAnsi="Garamond" w:cs="Arial"/>
          <w:sz w:val="24"/>
          <w:szCs w:val="24"/>
        </w:rPr>
        <w:t>artig</w:t>
      </w:r>
      <w:r w:rsidR="00B279CD" w:rsidRPr="003A1174">
        <w:rPr>
          <w:rFonts w:ascii="Garamond" w:hAnsi="Garamond" w:cs="Arial"/>
          <w:sz w:val="24"/>
          <w:szCs w:val="24"/>
        </w:rPr>
        <w:t xml:space="preserve">os </w:t>
      </w:r>
      <w:r w:rsidR="00A132B3" w:rsidRPr="003A1174">
        <w:rPr>
          <w:rFonts w:ascii="Garamond" w:hAnsi="Garamond" w:cs="Arial"/>
          <w:sz w:val="24"/>
          <w:szCs w:val="24"/>
        </w:rPr>
        <w:t xml:space="preserve">da </w:t>
      </w:r>
      <w:r w:rsidR="00B14AA6" w:rsidRPr="003A1174">
        <w:rPr>
          <w:rFonts w:ascii="Garamond" w:hAnsi="Garamond" w:cs="Arial"/>
          <w:sz w:val="24"/>
          <w:szCs w:val="24"/>
        </w:rPr>
        <w:t>Convenção</w:t>
      </w:r>
      <w:r w:rsidR="00A132B3" w:rsidRPr="003A1174">
        <w:rPr>
          <w:rFonts w:ascii="Garamond" w:hAnsi="Garamond" w:cs="Arial"/>
          <w:sz w:val="24"/>
          <w:szCs w:val="24"/>
        </w:rPr>
        <w:t xml:space="preserve"> Americana, </w:t>
      </w:r>
      <w:r w:rsidRPr="003A1174">
        <w:rPr>
          <w:rFonts w:ascii="Garamond" w:hAnsi="Garamond" w:cs="Arial"/>
          <w:sz w:val="24"/>
          <w:szCs w:val="24"/>
        </w:rPr>
        <w:t>fixa-</w:t>
      </w:r>
      <w:r w:rsidR="00A132B3" w:rsidRPr="003A1174">
        <w:rPr>
          <w:rFonts w:ascii="Garamond" w:hAnsi="Garamond" w:cs="Arial"/>
          <w:sz w:val="24"/>
          <w:szCs w:val="24"/>
        </w:rPr>
        <w:t xml:space="preserve">se </w:t>
      </w:r>
      <w:r w:rsidRPr="003A1174">
        <w:rPr>
          <w:rFonts w:ascii="Garamond" w:hAnsi="Garamond" w:cs="Arial"/>
          <w:sz w:val="24"/>
          <w:szCs w:val="24"/>
        </w:rPr>
        <w:t xml:space="preserve">o referido </w:t>
      </w:r>
      <w:r w:rsidR="00253B1D" w:rsidRPr="003A1174">
        <w:rPr>
          <w:rFonts w:ascii="Garamond" w:hAnsi="Garamond" w:cs="Arial"/>
          <w:bCs/>
          <w:sz w:val="24"/>
          <w:szCs w:val="24"/>
        </w:rPr>
        <w:t>Controlo</w:t>
      </w:r>
      <w:r w:rsidR="00A132B3" w:rsidRPr="003A1174">
        <w:rPr>
          <w:rFonts w:ascii="Garamond" w:hAnsi="Garamond" w:cs="Arial"/>
          <w:bCs/>
          <w:sz w:val="24"/>
          <w:szCs w:val="24"/>
        </w:rPr>
        <w:t xml:space="preserve"> </w:t>
      </w:r>
      <w:r w:rsidRPr="003A1174">
        <w:rPr>
          <w:rFonts w:ascii="Garamond" w:hAnsi="Garamond" w:cs="Arial"/>
          <w:bCs/>
          <w:sz w:val="24"/>
          <w:szCs w:val="24"/>
        </w:rPr>
        <w:t>n</w:t>
      </w:r>
      <w:r w:rsidR="00A132B3" w:rsidRPr="003A1174">
        <w:rPr>
          <w:rFonts w:ascii="Garamond" w:hAnsi="Garamond" w:cs="Arial"/>
          <w:bCs/>
          <w:sz w:val="24"/>
          <w:szCs w:val="24"/>
        </w:rPr>
        <w:t xml:space="preserve">as </w:t>
      </w:r>
      <w:r w:rsidR="002F62B0" w:rsidRPr="003A1174">
        <w:rPr>
          <w:rFonts w:ascii="Garamond" w:hAnsi="Garamond" w:cs="Arial"/>
          <w:bCs/>
          <w:sz w:val="24"/>
          <w:szCs w:val="24"/>
        </w:rPr>
        <w:t>obrigações</w:t>
      </w:r>
      <w:r w:rsidR="00A132B3" w:rsidRPr="003A1174">
        <w:rPr>
          <w:rFonts w:ascii="Garamond" w:hAnsi="Garamond" w:cs="Arial"/>
          <w:bCs/>
          <w:sz w:val="24"/>
          <w:szCs w:val="24"/>
        </w:rPr>
        <w:t xml:space="preserve"> de </w:t>
      </w:r>
      <w:r w:rsidR="008843FD" w:rsidRPr="003A1174">
        <w:rPr>
          <w:rFonts w:ascii="Garamond" w:hAnsi="Garamond" w:cs="Arial"/>
          <w:bCs/>
          <w:i/>
          <w:sz w:val="24"/>
          <w:szCs w:val="24"/>
        </w:rPr>
        <w:t>respeito</w:t>
      </w:r>
      <w:r w:rsidRPr="003A1174">
        <w:rPr>
          <w:rFonts w:ascii="Garamond" w:hAnsi="Garamond" w:cs="Arial"/>
          <w:bCs/>
          <w:sz w:val="24"/>
          <w:szCs w:val="24"/>
        </w:rPr>
        <w:t xml:space="preserve"> e</w:t>
      </w:r>
      <w:r w:rsidR="00A132B3" w:rsidRPr="003A1174">
        <w:rPr>
          <w:rFonts w:ascii="Garamond" w:hAnsi="Garamond" w:cs="Arial"/>
          <w:bCs/>
          <w:sz w:val="24"/>
          <w:szCs w:val="24"/>
        </w:rPr>
        <w:t xml:space="preserve"> </w:t>
      </w:r>
      <w:r w:rsidR="00A56F43" w:rsidRPr="003A1174">
        <w:rPr>
          <w:rFonts w:ascii="Garamond" w:hAnsi="Garamond" w:cs="Arial"/>
          <w:bCs/>
          <w:i/>
          <w:sz w:val="24"/>
          <w:szCs w:val="24"/>
        </w:rPr>
        <w:t>garantia</w:t>
      </w:r>
      <w:r w:rsidRPr="003A1174">
        <w:rPr>
          <w:rFonts w:ascii="Garamond" w:hAnsi="Garamond" w:cs="Arial"/>
          <w:bCs/>
          <w:sz w:val="24"/>
          <w:szCs w:val="24"/>
        </w:rPr>
        <w:t xml:space="preserve"> d</w:t>
      </w:r>
      <w:r w:rsidR="00A132B3" w:rsidRPr="003A1174">
        <w:rPr>
          <w:rFonts w:ascii="Garamond" w:hAnsi="Garamond" w:cs="Arial"/>
          <w:bCs/>
          <w:sz w:val="24"/>
          <w:szCs w:val="24"/>
        </w:rPr>
        <w:t xml:space="preserve">os </w:t>
      </w:r>
      <w:r w:rsidR="00886D6A" w:rsidRPr="003A1174">
        <w:rPr>
          <w:rFonts w:ascii="Garamond" w:hAnsi="Garamond" w:cs="Arial"/>
          <w:bCs/>
          <w:sz w:val="24"/>
          <w:szCs w:val="24"/>
        </w:rPr>
        <w:t>direito</w:t>
      </w:r>
      <w:r w:rsidR="00A132B3" w:rsidRPr="003A1174">
        <w:rPr>
          <w:rFonts w:ascii="Garamond" w:hAnsi="Garamond" w:cs="Arial"/>
          <w:bCs/>
          <w:sz w:val="24"/>
          <w:szCs w:val="24"/>
        </w:rPr>
        <w:t xml:space="preserve">s humanos </w:t>
      </w:r>
      <w:r w:rsidRPr="003A1174">
        <w:rPr>
          <w:rFonts w:ascii="Garamond" w:hAnsi="Garamond" w:cs="Arial"/>
          <w:bCs/>
          <w:sz w:val="24"/>
          <w:szCs w:val="24"/>
        </w:rPr>
        <w:t>e n</w:t>
      </w:r>
      <w:r w:rsidR="00A132B3" w:rsidRPr="003A1174">
        <w:rPr>
          <w:rFonts w:ascii="Garamond" w:hAnsi="Garamond" w:cs="Arial"/>
          <w:bCs/>
          <w:sz w:val="24"/>
          <w:szCs w:val="24"/>
        </w:rPr>
        <w:t xml:space="preserve">a </w:t>
      </w:r>
      <w:r w:rsidR="00AF192F" w:rsidRPr="003A1174">
        <w:rPr>
          <w:rFonts w:ascii="Garamond" w:hAnsi="Garamond" w:cs="Arial"/>
          <w:bCs/>
          <w:sz w:val="24"/>
          <w:szCs w:val="24"/>
        </w:rPr>
        <w:t>obrigação</w:t>
      </w:r>
      <w:r w:rsidR="00A132B3" w:rsidRPr="003A1174">
        <w:rPr>
          <w:rFonts w:ascii="Garamond" w:hAnsi="Garamond" w:cs="Arial"/>
          <w:bCs/>
          <w:sz w:val="24"/>
          <w:szCs w:val="24"/>
        </w:rPr>
        <w:t xml:space="preserve"> de </w:t>
      </w:r>
      <w:r w:rsidR="006C760C" w:rsidRPr="003A1174">
        <w:rPr>
          <w:rFonts w:ascii="Garamond" w:hAnsi="Garamond" w:cs="Arial"/>
          <w:bCs/>
          <w:i/>
          <w:sz w:val="24"/>
          <w:szCs w:val="24"/>
        </w:rPr>
        <w:t>adotar</w:t>
      </w:r>
      <w:r w:rsidR="00A132B3" w:rsidRPr="003A1174">
        <w:rPr>
          <w:rFonts w:ascii="Garamond" w:hAnsi="Garamond" w:cs="Arial"/>
          <w:bCs/>
          <w:i/>
          <w:sz w:val="24"/>
          <w:szCs w:val="24"/>
        </w:rPr>
        <w:t xml:space="preserve"> medidas a fi</w:t>
      </w:r>
      <w:r w:rsidRPr="003A1174">
        <w:rPr>
          <w:rFonts w:ascii="Garamond" w:hAnsi="Garamond" w:cs="Arial"/>
          <w:bCs/>
          <w:i/>
          <w:sz w:val="24"/>
          <w:szCs w:val="24"/>
        </w:rPr>
        <w:t>m</w:t>
      </w:r>
      <w:r w:rsidR="00A132B3" w:rsidRPr="003A1174">
        <w:rPr>
          <w:rFonts w:ascii="Garamond" w:hAnsi="Garamond" w:cs="Arial"/>
          <w:bCs/>
          <w:i/>
          <w:sz w:val="24"/>
          <w:szCs w:val="24"/>
        </w:rPr>
        <w:t xml:space="preserve"> de</w:t>
      </w:r>
      <w:r w:rsidR="00A132B3" w:rsidRPr="003A1174">
        <w:rPr>
          <w:rFonts w:ascii="Garamond" w:hAnsi="Garamond" w:cs="Arial"/>
          <w:bCs/>
          <w:sz w:val="24"/>
          <w:szCs w:val="24"/>
        </w:rPr>
        <w:t xml:space="preserve"> </w:t>
      </w:r>
      <w:r w:rsidRPr="003A1174">
        <w:rPr>
          <w:rFonts w:ascii="Garamond" w:hAnsi="Garamond" w:cs="Arial"/>
          <w:bCs/>
          <w:i/>
          <w:sz w:val="24"/>
          <w:szCs w:val="24"/>
        </w:rPr>
        <w:t>adequar</w:t>
      </w:r>
      <w:r w:rsidR="00A132B3" w:rsidRPr="003A1174">
        <w:rPr>
          <w:rFonts w:ascii="Garamond" w:hAnsi="Garamond" w:cs="Arial"/>
          <w:bCs/>
          <w:i/>
          <w:sz w:val="24"/>
          <w:szCs w:val="24"/>
        </w:rPr>
        <w:t xml:space="preserve"> </w:t>
      </w:r>
      <w:r w:rsidRPr="003A1174">
        <w:rPr>
          <w:rFonts w:ascii="Garamond" w:hAnsi="Garamond" w:cs="Arial"/>
          <w:bCs/>
          <w:i/>
          <w:sz w:val="24"/>
          <w:szCs w:val="24"/>
        </w:rPr>
        <w:t>o</w:t>
      </w:r>
      <w:r w:rsidR="00A132B3" w:rsidRPr="003A1174">
        <w:rPr>
          <w:rFonts w:ascii="Garamond" w:hAnsi="Garamond" w:cs="Arial"/>
          <w:bCs/>
          <w:i/>
          <w:sz w:val="24"/>
          <w:szCs w:val="24"/>
        </w:rPr>
        <w:t xml:space="preserve"> </w:t>
      </w:r>
      <w:r w:rsidRPr="003A1174">
        <w:rPr>
          <w:rFonts w:ascii="Garamond" w:hAnsi="Garamond" w:cs="Arial"/>
          <w:bCs/>
          <w:i/>
          <w:sz w:val="24"/>
          <w:szCs w:val="24"/>
        </w:rPr>
        <w:t>ordenamento</w:t>
      </w:r>
      <w:r w:rsidR="00A132B3" w:rsidRPr="003A1174">
        <w:rPr>
          <w:rFonts w:ascii="Garamond" w:hAnsi="Garamond" w:cs="Arial"/>
          <w:bCs/>
          <w:i/>
          <w:sz w:val="24"/>
          <w:szCs w:val="24"/>
        </w:rPr>
        <w:t xml:space="preserve"> nacional o</w:t>
      </w:r>
      <w:r w:rsidRPr="003A1174">
        <w:rPr>
          <w:rFonts w:ascii="Garamond" w:hAnsi="Garamond" w:cs="Arial"/>
          <w:bCs/>
          <w:i/>
          <w:sz w:val="24"/>
          <w:szCs w:val="24"/>
        </w:rPr>
        <w:t>u</w:t>
      </w:r>
      <w:r w:rsidR="00A132B3" w:rsidRPr="003A1174">
        <w:rPr>
          <w:rFonts w:ascii="Garamond" w:hAnsi="Garamond" w:cs="Arial"/>
          <w:bCs/>
          <w:i/>
          <w:sz w:val="24"/>
          <w:szCs w:val="24"/>
        </w:rPr>
        <w:t xml:space="preserve"> interno</w:t>
      </w:r>
      <w:r w:rsidR="00A132B3" w:rsidRPr="003A1174">
        <w:rPr>
          <w:rFonts w:ascii="Garamond" w:hAnsi="Garamond" w:cs="Arial"/>
          <w:bCs/>
          <w:sz w:val="24"/>
          <w:szCs w:val="24"/>
        </w:rPr>
        <w:t>, que aparece</w:t>
      </w:r>
      <w:r w:rsidRPr="003A1174">
        <w:rPr>
          <w:rFonts w:ascii="Garamond" w:hAnsi="Garamond" w:cs="Arial"/>
          <w:bCs/>
          <w:sz w:val="24"/>
          <w:szCs w:val="24"/>
        </w:rPr>
        <w:t>m</w:t>
      </w:r>
      <w:r w:rsidR="00A132B3" w:rsidRPr="003A1174">
        <w:rPr>
          <w:rFonts w:ascii="Garamond" w:hAnsi="Garamond" w:cs="Arial"/>
          <w:bCs/>
          <w:sz w:val="24"/>
          <w:szCs w:val="24"/>
        </w:rPr>
        <w:t xml:space="preserve"> </w:t>
      </w:r>
      <w:r w:rsidRPr="003A1174">
        <w:rPr>
          <w:rFonts w:ascii="Garamond" w:hAnsi="Garamond" w:cs="Arial"/>
          <w:bCs/>
          <w:sz w:val="24"/>
          <w:szCs w:val="24"/>
        </w:rPr>
        <w:t>respetivamente</w:t>
      </w:r>
      <w:r w:rsidR="00A132B3" w:rsidRPr="003A1174">
        <w:rPr>
          <w:rFonts w:ascii="Garamond" w:hAnsi="Garamond" w:cs="Arial"/>
          <w:bCs/>
          <w:sz w:val="24"/>
          <w:szCs w:val="24"/>
        </w:rPr>
        <w:t xml:space="preserve"> </w:t>
      </w:r>
      <w:r w:rsidRPr="003A1174">
        <w:rPr>
          <w:rFonts w:ascii="Garamond" w:hAnsi="Garamond" w:cs="Arial"/>
          <w:bCs/>
          <w:sz w:val="24"/>
          <w:szCs w:val="24"/>
        </w:rPr>
        <w:t>assinaladas n</w:t>
      </w:r>
      <w:r w:rsidR="00A132B3" w:rsidRPr="003A1174">
        <w:rPr>
          <w:rFonts w:ascii="Garamond" w:hAnsi="Garamond" w:cs="Arial"/>
          <w:bCs/>
          <w:sz w:val="24"/>
          <w:szCs w:val="24"/>
        </w:rPr>
        <w:t xml:space="preserve">os </w:t>
      </w:r>
      <w:r w:rsidR="00D90C3D" w:rsidRPr="003A1174">
        <w:rPr>
          <w:rFonts w:ascii="Garamond" w:hAnsi="Garamond" w:cs="Arial"/>
          <w:bCs/>
          <w:sz w:val="24"/>
          <w:szCs w:val="24"/>
        </w:rPr>
        <w:t>A</w:t>
      </w:r>
      <w:r w:rsidRPr="003A1174">
        <w:rPr>
          <w:rFonts w:ascii="Garamond" w:hAnsi="Garamond" w:cs="Arial"/>
          <w:bCs/>
          <w:sz w:val="24"/>
          <w:szCs w:val="24"/>
        </w:rPr>
        <w:t>rts. 1.1</w:t>
      </w:r>
      <w:r w:rsidR="000C4382">
        <w:rPr>
          <w:rFonts w:ascii="Garamond" w:hAnsi="Garamond" w:cs="Arial"/>
          <w:bCs/>
          <w:sz w:val="24"/>
          <w:szCs w:val="24"/>
        </w:rPr>
        <w:t>.</w:t>
      </w:r>
      <w:r w:rsidRPr="003A1174">
        <w:rPr>
          <w:rFonts w:ascii="Garamond" w:hAnsi="Garamond" w:cs="Arial"/>
          <w:bCs/>
          <w:sz w:val="24"/>
          <w:szCs w:val="24"/>
        </w:rPr>
        <w:t xml:space="preserve"> </w:t>
      </w:r>
      <w:proofErr w:type="gramStart"/>
      <w:r w:rsidRPr="003A1174">
        <w:rPr>
          <w:rFonts w:ascii="Garamond" w:hAnsi="Garamond" w:cs="Arial"/>
          <w:bCs/>
          <w:sz w:val="24"/>
          <w:szCs w:val="24"/>
        </w:rPr>
        <w:t>e</w:t>
      </w:r>
      <w:proofErr w:type="gramEnd"/>
      <w:r w:rsidR="00A132B3" w:rsidRPr="003A1174">
        <w:rPr>
          <w:rFonts w:ascii="Garamond" w:hAnsi="Garamond" w:cs="Arial"/>
          <w:bCs/>
          <w:sz w:val="24"/>
          <w:szCs w:val="24"/>
        </w:rPr>
        <w:t xml:space="preserve"> 2 d</w:t>
      </w:r>
      <w:r w:rsidRPr="003A1174">
        <w:rPr>
          <w:rFonts w:ascii="Garamond" w:hAnsi="Garamond" w:cs="Arial"/>
          <w:bCs/>
          <w:sz w:val="24"/>
          <w:szCs w:val="24"/>
        </w:rPr>
        <w:t>o</w:t>
      </w:r>
      <w:r w:rsidR="00A132B3" w:rsidRPr="003A1174">
        <w:rPr>
          <w:rFonts w:ascii="Garamond" w:hAnsi="Garamond" w:cs="Arial"/>
          <w:bCs/>
          <w:sz w:val="24"/>
          <w:szCs w:val="24"/>
        </w:rPr>
        <w:t xml:space="preserve"> instrumento </w:t>
      </w:r>
      <w:r w:rsidRPr="003A1174">
        <w:rPr>
          <w:rFonts w:ascii="Garamond" w:hAnsi="Garamond" w:cs="Arial"/>
          <w:bCs/>
          <w:sz w:val="24"/>
          <w:szCs w:val="24"/>
        </w:rPr>
        <w:t>já</w:t>
      </w:r>
      <w:r w:rsidR="00A132B3" w:rsidRPr="003A1174">
        <w:rPr>
          <w:rFonts w:ascii="Garamond" w:hAnsi="Garamond" w:cs="Arial"/>
          <w:bCs/>
          <w:sz w:val="24"/>
          <w:szCs w:val="24"/>
        </w:rPr>
        <w:t xml:space="preserve"> </w:t>
      </w:r>
      <w:r w:rsidRPr="003A1174">
        <w:rPr>
          <w:rFonts w:ascii="Garamond" w:hAnsi="Garamond" w:cs="Arial"/>
          <w:bCs/>
          <w:sz w:val="24"/>
          <w:szCs w:val="24"/>
        </w:rPr>
        <w:t>mencionado</w:t>
      </w:r>
      <w:r w:rsidR="00A132B3" w:rsidRPr="003A1174">
        <w:rPr>
          <w:rFonts w:ascii="Garamond" w:hAnsi="Garamond" w:cs="Arial"/>
          <w:bCs/>
          <w:sz w:val="24"/>
          <w:szCs w:val="24"/>
        </w:rPr>
        <w:t>.</w:t>
      </w:r>
      <w:r w:rsidR="00A132B3" w:rsidRPr="003A1174">
        <w:rPr>
          <w:rStyle w:val="Refdenotaalpie"/>
          <w:rFonts w:ascii="Garamond" w:hAnsi="Garamond" w:cs="Arial"/>
          <w:bCs/>
          <w:sz w:val="24"/>
          <w:szCs w:val="24"/>
        </w:rPr>
        <w:footnoteReference w:id="30"/>
      </w:r>
    </w:p>
    <w:p w:rsidR="00A132B3" w:rsidRPr="003A1174" w:rsidRDefault="00C86C58"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Ent</w:t>
      </w:r>
      <w:r w:rsidR="00A132B3" w:rsidRPr="003A1174">
        <w:rPr>
          <w:rFonts w:ascii="Garamond" w:hAnsi="Garamond" w:cs="Arial"/>
          <w:sz w:val="24"/>
          <w:szCs w:val="24"/>
        </w:rPr>
        <w:t>ende</w:t>
      </w:r>
      <w:r w:rsidRPr="003A1174">
        <w:rPr>
          <w:rFonts w:ascii="Garamond" w:hAnsi="Garamond" w:cs="Arial"/>
          <w:sz w:val="24"/>
          <w:szCs w:val="24"/>
        </w:rPr>
        <w:t>-se</w:t>
      </w:r>
      <w:r w:rsidR="00D90C3D" w:rsidRPr="003A1174">
        <w:rPr>
          <w:rFonts w:ascii="Garamond" w:hAnsi="Garamond" w:cs="Arial"/>
          <w:sz w:val="24"/>
          <w:szCs w:val="24"/>
        </w:rPr>
        <w:t>,</w:t>
      </w:r>
      <w:r w:rsidR="00A132B3" w:rsidRPr="003A1174">
        <w:rPr>
          <w:rFonts w:ascii="Garamond" w:hAnsi="Garamond" w:cs="Arial"/>
          <w:sz w:val="24"/>
          <w:szCs w:val="24"/>
        </w:rPr>
        <w:t xml:space="preserve"> ent</w:t>
      </w:r>
      <w:r w:rsidR="00FB6D51" w:rsidRPr="003A1174">
        <w:rPr>
          <w:rFonts w:ascii="Garamond" w:hAnsi="Garamond" w:cs="Arial"/>
          <w:sz w:val="24"/>
          <w:szCs w:val="24"/>
        </w:rPr>
        <w:t>ão</w:t>
      </w:r>
      <w:r w:rsidR="00D90C3D" w:rsidRPr="003A1174">
        <w:rPr>
          <w:rFonts w:ascii="Garamond" w:hAnsi="Garamond" w:cs="Arial"/>
          <w:sz w:val="24"/>
          <w:szCs w:val="24"/>
        </w:rPr>
        <w:t>,</w:t>
      </w:r>
      <w:r w:rsidRPr="003A1174">
        <w:rPr>
          <w:rFonts w:ascii="Garamond" w:hAnsi="Garamond" w:cs="Arial"/>
          <w:sz w:val="24"/>
          <w:szCs w:val="24"/>
        </w:rPr>
        <w:t xml:space="preserve"> que </w:t>
      </w:r>
      <w:r w:rsidR="00A132B3" w:rsidRPr="003A1174">
        <w:rPr>
          <w:rFonts w:ascii="Garamond" w:hAnsi="Garamond" w:cs="Arial"/>
          <w:sz w:val="24"/>
          <w:szCs w:val="24"/>
        </w:rPr>
        <w:t xml:space="preserve">as </w:t>
      </w:r>
      <w:r w:rsidR="002F62B0" w:rsidRPr="003A1174">
        <w:rPr>
          <w:rFonts w:ascii="Garamond" w:hAnsi="Garamond" w:cs="Arial"/>
          <w:sz w:val="24"/>
          <w:szCs w:val="24"/>
        </w:rPr>
        <w:t>obrigações</w:t>
      </w:r>
      <w:r w:rsidR="00A132B3" w:rsidRPr="003A1174">
        <w:rPr>
          <w:rFonts w:ascii="Garamond" w:hAnsi="Garamond" w:cs="Arial"/>
          <w:sz w:val="24"/>
          <w:szCs w:val="24"/>
        </w:rPr>
        <w:t xml:space="preserve"> </w:t>
      </w:r>
      <w:r w:rsidRPr="003A1174">
        <w:rPr>
          <w:rFonts w:ascii="Garamond" w:hAnsi="Garamond" w:cs="Arial"/>
          <w:sz w:val="24"/>
          <w:szCs w:val="24"/>
        </w:rPr>
        <w:t>estatais</w:t>
      </w:r>
      <w:r w:rsidR="00A132B3" w:rsidRPr="003A1174">
        <w:rPr>
          <w:rFonts w:ascii="Garamond" w:hAnsi="Garamond" w:cs="Arial"/>
          <w:sz w:val="24"/>
          <w:szCs w:val="24"/>
        </w:rPr>
        <w:t xml:space="preserve"> de </w:t>
      </w:r>
      <w:r w:rsidR="00661ADB" w:rsidRPr="003A1174">
        <w:rPr>
          <w:rFonts w:ascii="Garamond" w:hAnsi="Garamond" w:cs="Arial"/>
          <w:sz w:val="24"/>
          <w:szCs w:val="24"/>
        </w:rPr>
        <w:t>respeitar</w:t>
      </w:r>
      <w:r w:rsidR="00A132B3" w:rsidRPr="003A1174">
        <w:rPr>
          <w:rFonts w:ascii="Garamond" w:hAnsi="Garamond" w:cs="Arial"/>
          <w:sz w:val="24"/>
          <w:szCs w:val="24"/>
        </w:rPr>
        <w:t xml:space="preserve"> </w:t>
      </w:r>
      <w:r w:rsidRPr="003A1174">
        <w:rPr>
          <w:rFonts w:ascii="Garamond" w:hAnsi="Garamond" w:cs="Arial"/>
          <w:sz w:val="24"/>
          <w:szCs w:val="24"/>
        </w:rPr>
        <w:t xml:space="preserve">e fazer </w:t>
      </w:r>
      <w:r w:rsidR="00661ADB" w:rsidRPr="003A1174">
        <w:rPr>
          <w:rFonts w:ascii="Garamond" w:hAnsi="Garamond" w:cs="Arial"/>
          <w:sz w:val="24"/>
          <w:szCs w:val="24"/>
        </w:rPr>
        <w:t>respeitar</w:t>
      </w:r>
      <w:r w:rsidR="00A132B3" w:rsidRPr="003A1174">
        <w:rPr>
          <w:rFonts w:ascii="Garamond" w:hAnsi="Garamond" w:cs="Arial"/>
          <w:sz w:val="24"/>
          <w:szCs w:val="24"/>
        </w:rPr>
        <w:t xml:space="preserve"> (</w:t>
      </w:r>
      <w:r w:rsidR="00AF192F" w:rsidRPr="003A1174">
        <w:rPr>
          <w:rFonts w:ascii="Garamond" w:hAnsi="Garamond" w:cs="Arial"/>
          <w:sz w:val="24"/>
          <w:szCs w:val="24"/>
        </w:rPr>
        <w:t>garantir</w:t>
      </w:r>
      <w:r w:rsidRPr="003A1174">
        <w:rPr>
          <w:rFonts w:ascii="Garamond" w:hAnsi="Garamond" w:cs="Arial"/>
          <w:sz w:val="24"/>
          <w:szCs w:val="24"/>
        </w:rPr>
        <w:t xml:space="preserve">) </w:t>
      </w:r>
      <w:r w:rsidR="00A132B3" w:rsidRPr="003A1174">
        <w:rPr>
          <w:rFonts w:ascii="Garamond" w:hAnsi="Garamond" w:cs="Arial"/>
          <w:sz w:val="24"/>
          <w:szCs w:val="24"/>
        </w:rPr>
        <w:t xml:space="preserve">os </w:t>
      </w:r>
      <w:r w:rsidR="00886D6A" w:rsidRPr="003A1174">
        <w:rPr>
          <w:rFonts w:ascii="Garamond" w:hAnsi="Garamond" w:cs="Arial"/>
          <w:sz w:val="24"/>
          <w:szCs w:val="24"/>
        </w:rPr>
        <w:t>direito</w:t>
      </w:r>
      <w:r w:rsidR="00A132B3" w:rsidRPr="003A1174">
        <w:rPr>
          <w:rFonts w:ascii="Garamond" w:hAnsi="Garamond" w:cs="Arial"/>
          <w:sz w:val="24"/>
          <w:szCs w:val="24"/>
        </w:rPr>
        <w:t xml:space="preserve">s previstos </w:t>
      </w:r>
      <w:r w:rsidRPr="003A1174">
        <w:rPr>
          <w:rFonts w:ascii="Garamond" w:hAnsi="Garamond" w:cs="Arial"/>
          <w:sz w:val="24"/>
          <w:szCs w:val="24"/>
        </w:rPr>
        <w:t>n</w:t>
      </w:r>
      <w:r w:rsidR="00A132B3" w:rsidRPr="003A1174">
        <w:rPr>
          <w:rFonts w:ascii="Garamond" w:hAnsi="Garamond" w:cs="Arial"/>
          <w:sz w:val="24"/>
          <w:szCs w:val="24"/>
        </w:rPr>
        <w:t xml:space="preserve">a </w:t>
      </w:r>
      <w:r w:rsidR="00B14AA6" w:rsidRPr="003A1174">
        <w:rPr>
          <w:rFonts w:ascii="Garamond" w:hAnsi="Garamond" w:cs="Arial"/>
          <w:sz w:val="24"/>
          <w:szCs w:val="24"/>
        </w:rPr>
        <w:t>Convenção</w:t>
      </w:r>
      <w:r w:rsidR="00A132B3" w:rsidRPr="003A1174">
        <w:rPr>
          <w:rFonts w:ascii="Garamond" w:hAnsi="Garamond" w:cs="Arial"/>
          <w:sz w:val="24"/>
          <w:szCs w:val="24"/>
        </w:rPr>
        <w:t>, as</w:t>
      </w:r>
      <w:r w:rsidRPr="003A1174">
        <w:rPr>
          <w:rFonts w:ascii="Garamond" w:hAnsi="Garamond" w:cs="Arial"/>
          <w:sz w:val="24"/>
          <w:szCs w:val="24"/>
        </w:rPr>
        <w:t xml:space="preserve">sim </w:t>
      </w:r>
      <w:r w:rsidR="00A132B3" w:rsidRPr="003A1174">
        <w:rPr>
          <w:rFonts w:ascii="Garamond" w:hAnsi="Garamond" w:cs="Arial"/>
          <w:sz w:val="24"/>
          <w:szCs w:val="24"/>
        </w:rPr>
        <w:t xml:space="preserve">como de </w:t>
      </w:r>
      <w:r w:rsidR="006C760C" w:rsidRPr="003A1174">
        <w:rPr>
          <w:rFonts w:ascii="Garamond" w:hAnsi="Garamond" w:cs="Arial"/>
          <w:sz w:val="24"/>
          <w:szCs w:val="24"/>
        </w:rPr>
        <w:t>adotar</w:t>
      </w:r>
      <w:r w:rsidR="00A132B3" w:rsidRPr="003A1174">
        <w:rPr>
          <w:rFonts w:ascii="Garamond" w:hAnsi="Garamond" w:cs="Arial"/>
          <w:sz w:val="24"/>
          <w:szCs w:val="24"/>
        </w:rPr>
        <w:t xml:space="preserve"> medidas para </w:t>
      </w:r>
      <w:r w:rsidRPr="003A1174">
        <w:rPr>
          <w:rFonts w:ascii="Garamond" w:hAnsi="Garamond" w:cs="Arial"/>
          <w:sz w:val="24"/>
          <w:szCs w:val="24"/>
        </w:rPr>
        <w:t xml:space="preserve">tornar </w:t>
      </w:r>
      <w:r w:rsidR="00802ACC" w:rsidRPr="003A1174">
        <w:rPr>
          <w:rFonts w:ascii="Garamond" w:hAnsi="Garamond" w:cs="Arial"/>
          <w:sz w:val="24"/>
          <w:szCs w:val="24"/>
        </w:rPr>
        <w:t>efetivo</w:t>
      </w:r>
      <w:r w:rsidR="00A132B3" w:rsidRPr="003A1174">
        <w:rPr>
          <w:rFonts w:ascii="Garamond" w:hAnsi="Garamond" w:cs="Arial"/>
          <w:sz w:val="24"/>
          <w:szCs w:val="24"/>
        </w:rPr>
        <w:t xml:space="preserve">s </w:t>
      </w:r>
      <w:r w:rsidRPr="003A1174">
        <w:rPr>
          <w:rFonts w:ascii="Garamond" w:hAnsi="Garamond" w:cs="Arial"/>
          <w:sz w:val="24"/>
          <w:szCs w:val="24"/>
        </w:rPr>
        <w:t>tai</w:t>
      </w:r>
      <w:r w:rsidR="00D90C3D" w:rsidRPr="003A1174">
        <w:rPr>
          <w:rFonts w:ascii="Garamond" w:hAnsi="Garamond" w:cs="Arial"/>
          <w:sz w:val="24"/>
          <w:szCs w:val="24"/>
        </w:rPr>
        <w:t>s</w:t>
      </w:r>
      <w:r w:rsidR="00A132B3" w:rsidRPr="003A1174">
        <w:rPr>
          <w:rFonts w:ascii="Garamond" w:hAnsi="Garamond" w:cs="Arial"/>
          <w:sz w:val="24"/>
          <w:szCs w:val="24"/>
        </w:rPr>
        <w:t xml:space="preserve"> </w:t>
      </w:r>
      <w:r w:rsidR="00886D6A" w:rsidRPr="003A1174">
        <w:rPr>
          <w:rFonts w:ascii="Garamond" w:hAnsi="Garamond" w:cs="Arial"/>
          <w:sz w:val="24"/>
          <w:szCs w:val="24"/>
        </w:rPr>
        <w:t>direito</w:t>
      </w:r>
      <w:r w:rsidR="00A132B3" w:rsidRPr="003A1174">
        <w:rPr>
          <w:rFonts w:ascii="Garamond" w:hAnsi="Garamond" w:cs="Arial"/>
          <w:sz w:val="24"/>
          <w:szCs w:val="24"/>
        </w:rPr>
        <w:t>s, justifica</w:t>
      </w:r>
      <w:r w:rsidRPr="003A1174">
        <w:rPr>
          <w:rFonts w:ascii="Garamond" w:hAnsi="Garamond" w:cs="Arial"/>
          <w:sz w:val="24"/>
          <w:szCs w:val="24"/>
        </w:rPr>
        <w:t xml:space="preserve">m </w:t>
      </w:r>
      <w:r w:rsidR="00A132B3" w:rsidRPr="003A1174">
        <w:rPr>
          <w:rFonts w:ascii="Garamond" w:hAnsi="Garamond" w:cs="Arial"/>
          <w:sz w:val="24"/>
          <w:szCs w:val="24"/>
        </w:rPr>
        <w:t xml:space="preserve">a </w:t>
      </w:r>
      <w:r w:rsidR="007578C6" w:rsidRPr="003A1174">
        <w:rPr>
          <w:rFonts w:ascii="Garamond" w:hAnsi="Garamond" w:cs="Arial"/>
          <w:sz w:val="24"/>
          <w:szCs w:val="24"/>
        </w:rPr>
        <w:t>existência</w:t>
      </w:r>
      <w:r w:rsidRPr="003A1174">
        <w:rPr>
          <w:rFonts w:ascii="Garamond" w:hAnsi="Garamond" w:cs="Arial"/>
          <w:sz w:val="24"/>
          <w:szCs w:val="24"/>
        </w:rPr>
        <w:t xml:space="preserve"> e</w:t>
      </w:r>
      <w:r w:rsidR="00A132B3" w:rsidRPr="003A1174">
        <w:rPr>
          <w:rFonts w:ascii="Garamond" w:hAnsi="Garamond" w:cs="Arial"/>
          <w:sz w:val="24"/>
          <w:szCs w:val="24"/>
        </w:rPr>
        <w:t xml:space="preserve"> </w:t>
      </w:r>
      <w:r w:rsidR="00B14AA6" w:rsidRPr="003A1174">
        <w:rPr>
          <w:rFonts w:ascii="Garamond" w:hAnsi="Garamond" w:cs="Arial"/>
          <w:sz w:val="24"/>
          <w:szCs w:val="24"/>
        </w:rPr>
        <w:t>aplicação</w:t>
      </w:r>
      <w:r w:rsidR="00A132B3" w:rsidRPr="003A1174">
        <w:rPr>
          <w:rFonts w:ascii="Garamond" w:hAnsi="Garamond" w:cs="Arial"/>
          <w:sz w:val="24"/>
          <w:szCs w:val="24"/>
        </w:rPr>
        <w:t xml:space="preserve"> d</w:t>
      </w:r>
      <w:r w:rsidRPr="003A1174">
        <w:rPr>
          <w:rFonts w:ascii="Garamond" w:hAnsi="Garamond" w:cs="Arial"/>
          <w:sz w:val="24"/>
          <w:szCs w:val="24"/>
        </w:rPr>
        <w:t>o</w:t>
      </w:r>
      <w:r w:rsidR="00A132B3" w:rsidRPr="003A1174">
        <w:rPr>
          <w:rFonts w:ascii="Garamond" w:hAnsi="Garamond" w:cs="Arial"/>
          <w:sz w:val="24"/>
          <w:szCs w:val="24"/>
        </w:rPr>
        <w:t xml:space="preserve"> </w:t>
      </w:r>
      <w:r w:rsidR="00253B1D" w:rsidRPr="003A1174">
        <w:rPr>
          <w:rFonts w:ascii="Garamond" w:hAnsi="Garamond" w:cs="Arial"/>
          <w:sz w:val="24"/>
          <w:szCs w:val="24"/>
        </w:rPr>
        <w:t>Controlo</w:t>
      </w:r>
      <w:r w:rsidR="00A132B3" w:rsidRPr="003A1174">
        <w:rPr>
          <w:rFonts w:ascii="Garamond" w:hAnsi="Garamond" w:cs="Arial"/>
          <w:sz w:val="24"/>
          <w:szCs w:val="24"/>
        </w:rPr>
        <w:t xml:space="preserve"> de </w:t>
      </w:r>
      <w:r w:rsidR="00E15BB2" w:rsidRPr="003A1174">
        <w:rPr>
          <w:rFonts w:ascii="Garamond" w:hAnsi="Garamond" w:cs="Arial"/>
          <w:sz w:val="24"/>
          <w:szCs w:val="24"/>
        </w:rPr>
        <w:t>Convencionalidade</w:t>
      </w:r>
      <w:r w:rsidR="00A132B3" w:rsidRPr="003A1174">
        <w:rPr>
          <w:rFonts w:ascii="Garamond" w:hAnsi="Garamond" w:cs="Arial"/>
          <w:sz w:val="24"/>
          <w:szCs w:val="24"/>
        </w:rPr>
        <w:t xml:space="preserve"> </w:t>
      </w:r>
      <w:r w:rsidRPr="003A1174">
        <w:rPr>
          <w:rFonts w:ascii="Garamond" w:hAnsi="Garamond" w:cs="Arial"/>
          <w:sz w:val="24"/>
          <w:szCs w:val="24"/>
        </w:rPr>
        <w:t xml:space="preserve">com o </w:t>
      </w:r>
      <w:r w:rsidR="00A132B3" w:rsidRPr="003A1174">
        <w:rPr>
          <w:rFonts w:ascii="Garamond" w:hAnsi="Garamond" w:cs="Arial"/>
          <w:sz w:val="24"/>
          <w:szCs w:val="24"/>
        </w:rPr>
        <w:t>propósit</w:t>
      </w:r>
      <w:r w:rsidRPr="003A1174">
        <w:rPr>
          <w:rFonts w:ascii="Garamond" w:hAnsi="Garamond" w:cs="Arial"/>
          <w:sz w:val="24"/>
          <w:szCs w:val="24"/>
        </w:rPr>
        <w:t xml:space="preserve">o de </w:t>
      </w:r>
      <w:r w:rsidR="00BA3CCE" w:rsidRPr="003A1174">
        <w:rPr>
          <w:rFonts w:ascii="Garamond" w:hAnsi="Garamond" w:cs="Arial"/>
          <w:sz w:val="24"/>
          <w:szCs w:val="24"/>
        </w:rPr>
        <w:t>harmonizar</w:t>
      </w:r>
      <w:r w:rsidRPr="003A1174">
        <w:rPr>
          <w:rFonts w:ascii="Garamond" w:hAnsi="Garamond" w:cs="Arial"/>
          <w:sz w:val="24"/>
          <w:szCs w:val="24"/>
        </w:rPr>
        <w:t xml:space="preserve"> congruentemente </w:t>
      </w:r>
      <w:r w:rsidR="00A132B3" w:rsidRPr="003A1174">
        <w:rPr>
          <w:rFonts w:ascii="Garamond" w:hAnsi="Garamond" w:cs="Arial"/>
          <w:sz w:val="24"/>
          <w:szCs w:val="24"/>
        </w:rPr>
        <w:t>a</w:t>
      </w:r>
      <w:r w:rsidRPr="003A1174">
        <w:rPr>
          <w:rFonts w:ascii="Garamond" w:hAnsi="Garamond" w:cs="Arial"/>
          <w:sz w:val="24"/>
          <w:szCs w:val="24"/>
        </w:rPr>
        <w:t>s</w:t>
      </w:r>
      <w:r w:rsidR="00A132B3" w:rsidRPr="003A1174">
        <w:rPr>
          <w:rFonts w:ascii="Garamond" w:hAnsi="Garamond" w:cs="Arial"/>
          <w:sz w:val="24"/>
          <w:szCs w:val="24"/>
        </w:rPr>
        <w:t xml:space="preserve"> norma</w:t>
      </w:r>
      <w:r w:rsidRPr="003A1174">
        <w:rPr>
          <w:rFonts w:ascii="Garamond" w:hAnsi="Garamond" w:cs="Arial"/>
          <w:sz w:val="24"/>
          <w:szCs w:val="24"/>
        </w:rPr>
        <w:t xml:space="preserve">s e as </w:t>
      </w:r>
      <w:r w:rsidR="00661ADB" w:rsidRPr="003A1174">
        <w:rPr>
          <w:rFonts w:ascii="Garamond" w:hAnsi="Garamond" w:cs="Arial"/>
          <w:sz w:val="24"/>
          <w:szCs w:val="24"/>
        </w:rPr>
        <w:t>prática</w:t>
      </w:r>
      <w:r w:rsidR="00A132B3" w:rsidRPr="003A1174">
        <w:rPr>
          <w:rFonts w:ascii="Garamond" w:hAnsi="Garamond" w:cs="Arial"/>
          <w:sz w:val="24"/>
          <w:szCs w:val="24"/>
        </w:rPr>
        <w:t>s que se suscita</w:t>
      </w:r>
      <w:r w:rsidRPr="003A1174">
        <w:rPr>
          <w:rFonts w:ascii="Garamond" w:hAnsi="Garamond" w:cs="Arial"/>
          <w:sz w:val="24"/>
          <w:szCs w:val="24"/>
        </w:rPr>
        <w:t xml:space="preserve">m no </w:t>
      </w:r>
      <w:r w:rsidR="00802ACC" w:rsidRPr="003A1174">
        <w:rPr>
          <w:rFonts w:ascii="Garamond" w:hAnsi="Garamond" w:cs="Arial"/>
          <w:sz w:val="24"/>
          <w:szCs w:val="24"/>
        </w:rPr>
        <w:t>âmbito</w:t>
      </w:r>
      <w:r w:rsidR="00A132B3" w:rsidRPr="003A1174">
        <w:rPr>
          <w:rFonts w:ascii="Garamond" w:hAnsi="Garamond" w:cs="Arial"/>
          <w:sz w:val="24"/>
          <w:szCs w:val="24"/>
        </w:rPr>
        <w:t xml:space="preserve"> nacional, co</w:t>
      </w:r>
      <w:r w:rsidRPr="003A1174">
        <w:rPr>
          <w:rFonts w:ascii="Garamond" w:hAnsi="Garamond" w:cs="Arial"/>
          <w:sz w:val="24"/>
          <w:szCs w:val="24"/>
        </w:rPr>
        <w:t xml:space="preserve">m o </w:t>
      </w:r>
      <w:r w:rsidR="00A132B3" w:rsidRPr="003A1174">
        <w:rPr>
          <w:rFonts w:ascii="Garamond" w:hAnsi="Garamond" w:cs="Arial"/>
          <w:sz w:val="24"/>
          <w:szCs w:val="24"/>
        </w:rPr>
        <w:t>disp</w:t>
      </w:r>
      <w:r w:rsidRPr="003A1174">
        <w:rPr>
          <w:rFonts w:ascii="Garamond" w:hAnsi="Garamond" w:cs="Arial"/>
          <w:sz w:val="24"/>
          <w:szCs w:val="24"/>
        </w:rPr>
        <w:t>o</w:t>
      </w:r>
      <w:r w:rsidR="00A132B3" w:rsidRPr="003A1174">
        <w:rPr>
          <w:rFonts w:ascii="Garamond" w:hAnsi="Garamond" w:cs="Arial"/>
          <w:sz w:val="24"/>
          <w:szCs w:val="24"/>
        </w:rPr>
        <w:t xml:space="preserve">sto </w:t>
      </w:r>
      <w:r w:rsidRPr="003A1174">
        <w:rPr>
          <w:rFonts w:ascii="Garamond" w:hAnsi="Garamond" w:cs="Arial"/>
          <w:sz w:val="24"/>
          <w:szCs w:val="24"/>
        </w:rPr>
        <w:t xml:space="preserve">no </w:t>
      </w:r>
      <w:r w:rsidR="00A132B3" w:rsidRPr="003A1174">
        <w:rPr>
          <w:rFonts w:ascii="Garamond" w:hAnsi="Garamond" w:cs="Arial"/>
          <w:sz w:val="24"/>
          <w:szCs w:val="24"/>
        </w:rPr>
        <w:t xml:space="preserve">referido TIDH </w:t>
      </w:r>
      <w:r w:rsidRPr="003A1174">
        <w:rPr>
          <w:rFonts w:ascii="Garamond" w:hAnsi="Garamond" w:cs="Arial"/>
          <w:sz w:val="24"/>
          <w:szCs w:val="24"/>
        </w:rPr>
        <w:t xml:space="preserve">e </w:t>
      </w:r>
      <w:r w:rsidR="00A132B3" w:rsidRPr="003A1174">
        <w:rPr>
          <w:rFonts w:ascii="Garamond" w:hAnsi="Garamond" w:cs="Arial"/>
          <w:sz w:val="24"/>
          <w:szCs w:val="24"/>
        </w:rPr>
        <w:t xml:space="preserve">a </w:t>
      </w:r>
      <w:r w:rsidRPr="003A1174">
        <w:rPr>
          <w:rFonts w:ascii="Garamond" w:hAnsi="Garamond" w:cs="Arial"/>
          <w:sz w:val="24"/>
          <w:szCs w:val="24"/>
        </w:rPr>
        <w:t>interpretação</w:t>
      </w:r>
      <w:r w:rsidR="00A132B3" w:rsidRPr="003A1174">
        <w:rPr>
          <w:rFonts w:ascii="Garamond" w:hAnsi="Garamond" w:cs="Arial"/>
          <w:sz w:val="24"/>
          <w:szCs w:val="24"/>
        </w:rPr>
        <w:t xml:space="preserve"> jurisprudencial d</w:t>
      </w:r>
      <w:r w:rsidRPr="003A1174">
        <w:rPr>
          <w:rFonts w:ascii="Garamond" w:hAnsi="Garamond" w:cs="Arial"/>
          <w:sz w:val="24"/>
          <w:szCs w:val="24"/>
        </w:rPr>
        <w:t>o me</w:t>
      </w:r>
      <w:r w:rsidR="00A132B3" w:rsidRPr="003A1174">
        <w:rPr>
          <w:rFonts w:ascii="Garamond" w:hAnsi="Garamond" w:cs="Arial"/>
          <w:sz w:val="24"/>
          <w:szCs w:val="24"/>
        </w:rPr>
        <w:t>smo p</w:t>
      </w:r>
      <w:r w:rsidRPr="003A1174">
        <w:rPr>
          <w:rFonts w:ascii="Garamond" w:hAnsi="Garamond" w:cs="Arial"/>
          <w:sz w:val="24"/>
          <w:szCs w:val="24"/>
        </w:rPr>
        <w:t>e</w:t>
      </w:r>
      <w:r w:rsidR="00A132B3" w:rsidRPr="003A1174">
        <w:rPr>
          <w:rFonts w:ascii="Garamond" w:hAnsi="Garamond" w:cs="Arial"/>
          <w:sz w:val="24"/>
          <w:szCs w:val="24"/>
        </w:rPr>
        <w:t>los organismos encar</w:t>
      </w:r>
      <w:r w:rsidR="00224671" w:rsidRPr="003A1174">
        <w:rPr>
          <w:rFonts w:ascii="Garamond" w:hAnsi="Garamond" w:cs="Arial"/>
          <w:sz w:val="24"/>
          <w:szCs w:val="24"/>
        </w:rPr>
        <w:t>re</w:t>
      </w:r>
      <w:r w:rsidR="00A132B3" w:rsidRPr="003A1174">
        <w:rPr>
          <w:rFonts w:ascii="Garamond" w:hAnsi="Garamond" w:cs="Arial"/>
          <w:sz w:val="24"/>
          <w:szCs w:val="24"/>
        </w:rPr>
        <w:t xml:space="preserve">gados de </w:t>
      </w:r>
      <w:r w:rsidR="00224671" w:rsidRPr="003A1174">
        <w:rPr>
          <w:rFonts w:ascii="Garamond" w:hAnsi="Garamond" w:cs="Arial"/>
          <w:sz w:val="24"/>
          <w:szCs w:val="24"/>
        </w:rPr>
        <w:t>supervisionar</w:t>
      </w:r>
      <w:r w:rsidR="00A132B3" w:rsidRPr="003A1174">
        <w:rPr>
          <w:rFonts w:ascii="Garamond" w:hAnsi="Garamond" w:cs="Arial"/>
          <w:sz w:val="24"/>
          <w:szCs w:val="24"/>
        </w:rPr>
        <w:t xml:space="preserve"> o</w:t>
      </w:r>
      <w:r w:rsidR="00224671" w:rsidRPr="003A1174">
        <w:rPr>
          <w:rFonts w:ascii="Garamond" w:hAnsi="Garamond" w:cs="Arial"/>
          <w:sz w:val="24"/>
          <w:szCs w:val="24"/>
        </w:rPr>
        <w:t>u</w:t>
      </w:r>
      <w:r w:rsidR="00A132B3" w:rsidRPr="003A1174">
        <w:rPr>
          <w:rFonts w:ascii="Garamond" w:hAnsi="Garamond" w:cs="Arial"/>
          <w:sz w:val="24"/>
          <w:szCs w:val="24"/>
        </w:rPr>
        <w:t xml:space="preserve"> </w:t>
      </w:r>
      <w:r w:rsidR="00AF192F" w:rsidRPr="003A1174">
        <w:rPr>
          <w:rFonts w:ascii="Garamond" w:hAnsi="Garamond" w:cs="Arial"/>
          <w:sz w:val="24"/>
          <w:szCs w:val="24"/>
        </w:rPr>
        <w:t>garantir</w:t>
      </w:r>
      <w:r w:rsidR="00A132B3" w:rsidRPr="003A1174">
        <w:rPr>
          <w:rFonts w:ascii="Garamond" w:hAnsi="Garamond" w:cs="Arial"/>
          <w:sz w:val="24"/>
          <w:szCs w:val="24"/>
        </w:rPr>
        <w:t xml:space="preserve"> </w:t>
      </w:r>
      <w:r w:rsidR="00224671" w:rsidRPr="003A1174">
        <w:rPr>
          <w:rFonts w:ascii="Garamond" w:hAnsi="Garamond" w:cs="Arial"/>
          <w:sz w:val="24"/>
          <w:szCs w:val="24"/>
        </w:rPr>
        <w:t xml:space="preserve">o </w:t>
      </w:r>
      <w:r w:rsidR="00D96FD0" w:rsidRPr="003A1174">
        <w:rPr>
          <w:rFonts w:ascii="Garamond" w:hAnsi="Garamond" w:cs="Arial"/>
          <w:sz w:val="24"/>
          <w:szCs w:val="24"/>
        </w:rPr>
        <w:t>cumprimento</w:t>
      </w:r>
      <w:r w:rsidR="00A132B3" w:rsidRPr="003A1174">
        <w:rPr>
          <w:rFonts w:ascii="Garamond" w:hAnsi="Garamond" w:cs="Arial"/>
          <w:sz w:val="24"/>
          <w:szCs w:val="24"/>
        </w:rPr>
        <w:t xml:space="preserve"> d</w:t>
      </w:r>
      <w:r w:rsidR="00224671" w:rsidRPr="003A1174">
        <w:rPr>
          <w:rFonts w:ascii="Garamond" w:hAnsi="Garamond" w:cs="Arial"/>
          <w:sz w:val="24"/>
          <w:szCs w:val="24"/>
        </w:rPr>
        <w:t xml:space="preserve">o </w:t>
      </w:r>
      <w:r w:rsidR="00A132B3" w:rsidRPr="003A1174">
        <w:rPr>
          <w:rFonts w:ascii="Garamond" w:hAnsi="Garamond" w:cs="Arial"/>
          <w:sz w:val="24"/>
          <w:szCs w:val="24"/>
        </w:rPr>
        <w:t xml:space="preserve">tratado. </w:t>
      </w:r>
      <w:r w:rsidR="00224671" w:rsidRPr="003A1174">
        <w:rPr>
          <w:rFonts w:ascii="Garamond" w:hAnsi="Garamond" w:cs="Arial"/>
          <w:sz w:val="24"/>
          <w:szCs w:val="24"/>
        </w:rPr>
        <w:t xml:space="preserve">Este </w:t>
      </w:r>
      <w:r w:rsidR="00FB6D51" w:rsidRPr="003A1174">
        <w:rPr>
          <w:rFonts w:ascii="Garamond" w:hAnsi="Garamond" w:cs="Arial"/>
          <w:sz w:val="24"/>
          <w:szCs w:val="24"/>
        </w:rPr>
        <w:t>c</w:t>
      </w:r>
      <w:r w:rsidR="00253B1D" w:rsidRPr="003A1174">
        <w:rPr>
          <w:rFonts w:ascii="Garamond" w:hAnsi="Garamond" w:cs="Arial"/>
          <w:sz w:val="24"/>
          <w:szCs w:val="24"/>
        </w:rPr>
        <w:t>ontrolo</w:t>
      </w:r>
      <w:r w:rsidR="00A132B3" w:rsidRPr="003A1174">
        <w:rPr>
          <w:rFonts w:ascii="Garamond" w:hAnsi="Garamond" w:cs="Arial"/>
          <w:sz w:val="24"/>
          <w:szCs w:val="24"/>
        </w:rPr>
        <w:t xml:space="preserve">, </w:t>
      </w:r>
      <w:r w:rsidR="00224671" w:rsidRPr="003A1174">
        <w:rPr>
          <w:rFonts w:ascii="Garamond" w:hAnsi="Garamond" w:cs="Arial"/>
          <w:sz w:val="24"/>
          <w:szCs w:val="24"/>
        </w:rPr>
        <w:t xml:space="preserve">realmente, é um </w:t>
      </w:r>
      <w:r w:rsidR="00120915" w:rsidRPr="003A1174">
        <w:rPr>
          <w:rFonts w:ascii="Garamond" w:hAnsi="Garamond" w:cs="Arial"/>
          <w:sz w:val="24"/>
          <w:szCs w:val="24"/>
        </w:rPr>
        <w:t>exame</w:t>
      </w:r>
      <w:r w:rsidR="00224671" w:rsidRPr="003A1174">
        <w:rPr>
          <w:rFonts w:ascii="Garamond" w:hAnsi="Garamond" w:cs="Arial"/>
          <w:sz w:val="24"/>
          <w:szCs w:val="24"/>
        </w:rPr>
        <w:t xml:space="preserve"> que permitirá detetar e superar </w:t>
      </w:r>
      <w:r w:rsidR="00A132B3" w:rsidRPr="003A1174">
        <w:rPr>
          <w:rFonts w:ascii="Garamond" w:hAnsi="Garamond" w:cs="Arial"/>
          <w:sz w:val="24"/>
          <w:szCs w:val="24"/>
        </w:rPr>
        <w:t xml:space="preserve">as </w:t>
      </w:r>
      <w:r w:rsidR="00224671" w:rsidRPr="003A1174">
        <w:rPr>
          <w:rFonts w:ascii="Garamond" w:hAnsi="Garamond" w:cs="Arial"/>
          <w:sz w:val="24"/>
          <w:szCs w:val="24"/>
        </w:rPr>
        <w:t>incoerências</w:t>
      </w:r>
      <w:r w:rsidR="00A132B3" w:rsidRPr="003A1174">
        <w:rPr>
          <w:rFonts w:ascii="Garamond" w:hAnsi="Garamond" w:cs="Arial"/>
          <w:sz w:val="24"/>
          <w:szCs w:val="24"/>
        </w:rPr>
        <w:t xml:space="preserve"> que p</w:t>
      </w:r>
      <w:r w:rsidR="00224671" w:rsidRPr="003A1174">
        <w:rPr>
          <w:rFonts w:ascii="Garamond" w:hAnsi="Garamond" w:cs="Arial"/>
          <w:sz w:val="24"/>
          <w:szCs w:val="24"/>
        </w:rPr>
        <w:t>ossam e</w:t>
      </w:r>
      <w:r w:rsidR="00A132B3" w:rsidRPr="003A1174">
        <w:rPr>
          <w:rFonts w:ascii="Garamond" w:hAnsi="Garamond" w:cs="Arial"/>
          <w:sz w:val="24"/>
          <w:szCs w:val="24"/>
        </w:rPr>
        <w:t>xistir</w:t>
      </w:r>
      <w:r w:rsidR="00D90C3D" w:rsidRPr="003A1174">
        <w:rPr>
          <w:rFonts w:ascii="Garamond" w:hAnsi="Garamond" w:cs="Arial"/>
          <w:sz w:val="24"/>
          <w:szCs w:val="24"/>
        </w:rPr>
        <w:t>, as</w:t>
      </w:r>
      <w:r w:rsidR="00224671" w:rsidRPr="003A1174">
        <w:rPr>
          <w:rFonts w:ascii="Garamond" w:hAnsi="Garamond" w:cs="Arial"/>
          <w:sz w:val="24"/>
          <w:szCs w:val="24"/>
        </w:rPr>
        <w:t>sim</w:t>
      </w:r>
      <w:r w:rsidR="00D90C3D" w:rsidRPr="003A1174">
        <w:rPr>
          <w:rFonts w:ascii="Garamond" w:hAnsi="Garamond" w:cs="Arial"/>
          <w:sz w:val="24"/>
          <w:szCs w:val="24"/>
        </w:rPr>
        <w:t xml:space="preserve"> como </w:t>
      </w:r>
      <w:r w:rsidR="00A132B3" w:rsidRPr="003A1174">
        <w:rPr>
          <w:rFonts w:ascii="Garamond" w:hAnsi="Garamond" w:cs="Arial"/>
          <w:sz w:val="24"/>
          <w:szCs w:val="24"/>
        </w:rPr>
        <w:t xml:space="preserve">sustentar </w:t>
      </w:r>
      <w:r w:rsidR="005D38DC" w:rsidRPr="003A1174">
        <w:rPr>
          <w:rFonts w:ascii="Garamond" w:hAnsi="Garamond" w:cs="Arial"/>
          <w:sz w:val="24"/>
          <w:szCs w:val="24"/>
        </w:rPr>
        <w:t>decisões</w:t>
      </w:r>
      <w:r w:rsidR="00A132B3" w:rsidRPr="003A1174">
        <w:rPr>
          <w:rFonts w:ascii="Garamond" w:hAnsi="Garamond" w:cs="Arial"/>
          <w:sz w:val="24"/>
          <w:szCs w:val="24"/>
        </w:rPr>
        <w:t xml:space="preserve"> destinadas a </w:t>
      </w:r>
      <w:r w:rsidR="00224671" w:rsidRPr="003A1174">
        <w:rPr>
          <w:rFonts w:ascii="Garamond" w:hAnsi="Garamond" w:cs="Arial"/>
          <w:sz w:val="24"/>
          <w:szCs w:val="24"/>
        </w:rPr>
        <w:t xml:space="preserve">conseguir que </w:t>
      </w:r>
      <w:r w:rsidR="00A132B3" w:rsidRPr="003A1174">
        <w:rPr>
          <w:rFonts w:ascii="Garamond" w:hAnsi="Garamond" w:cs="Arial"/>
          <w:sz w:val="24"/>
          <w:szCs w:val="24"/>
        </w:rPr>
        <w:t xml:space="preserve">os </w:t>
      </w:r>
      <w:r w:rsidR="00886D6A" w:rsidRPr="003A1174">
        <w:rPr>
          <w:rFonts w:ascii="Garamond" w:hAnsi="Garamond" w:cs="Arial"/>
          <w:sz w:val="24"/>
          <w:szCs w:val="24"/>
        </w:rPr>
        <w:t>direito</w:t>
      </w:r>
      <w:r w:rsidR="00A132B3" w:rsidRPr="003A1174">
        <w:rPr>
          <w:rFonts w:ascii="Garamond" w:hAnsi="Garamond" w:cs="Arial"/>
          <w:sz w:val="24"/>
          <w:szCs w:val="24"/>
        </w:rPr>
        <w:t>s convenciona</w:t>
      </w:r>
      <w:r w:rsidR="00224671" w:rsidRPr="003A1174">
        <w:rPr>
          <w:rFonts w:ascii="Garamond" w:hAnsi="Garamond" w:cs="Arial"/>
          <w:sz w:val="24"/>
          <w:szCs w:val="24"/>
        </w:rPr>
        <w:t>i</w:t>
      </w:r>
      <w:r w:rsidR="00A132B3" w:rsidRPr="003A1174">
        <w:rPr>
          <w:rFonts w:ascii="Garamond" w:hAnsi="Garamond" w:cs="Arial"/>
          <w:sz w:val="24"/>
          <w:szCs w:val="24"/>
        </w:rPr>
        <w:t xml:space="preserve">s </w:t>
      </w:r>
      <w:r w:rsidR="00224671" w:rsidRPr="003A1174">
        <w:rPr>
          <w:rFonts w:ascii="Garamond" w:hAnsi="Garamond" w:cs="Arial"/>
          <w:sz w:val="24"/>
          <w:szCs w:val="24"/>
        </w:rPr>
        <w:t>alcancem efe</w:t>
      </w:r>
      <w:r w:rsidR="00A132B3" w:rsidRPr="003A1174">
        <w:rPr>
          <w:rFonts w:ascii="Garamond" w:hAnsi="Garamond" w:cs="Arial"/>
          <w:sz w:val="24"/>
          <w:szCs w:val="24"/>
        </w:rPr>
        <w:t>tividad</w:t>
      </w:r>
      <w:r w:rsidR="00224671" w:rsidRPr="003A1174">
        <w:rPr>
          <w:rFonts w:ascii="Garamond" w:hAnsi="Garamond" w:cs="Arial"/>
          <w:sz w:val="24"/>
          <w:szCs w:val="24"/>
        </w:rPr>
        <w:t>e</w:t>
      </w:r>
      <w:r w:rsidR="00A132B3" w:rsidRPr="003A1174">
        <w:rPr>
          <w:rFonts w:ascii="Garamond" w:hAnsi="Garamond" w:cs="Arial"/>
          <w:sz w:val="24"/>
          <w:szCs w:val="24"/>
        </w:rPr>
        <w:t xml:space="preserve"> o</w:t>
      </w:r>
      <w:r w:rsidR="00224671" w:rsidRPr="003A1174">
        <w:rPr>
          <w:rFonts w:ascii="Garamond" w:hAnsi="Garamond" w:cs="Arial"/>
          <w:sz w:val="24"/>
          <w:szCs w:val="24"/>
        </w:rPr>
        <w:t>u</w:t>
      </w:r>
      <w:r w:rsidR="00A132B3" w:rsidRPr="003A1174">
        <w:rPr>
          <w:rFonts w:ascii="Garamond" w:hAnsi="Garamond" w:cs="Arial"/>
          <w:sz w:val="24"/>
          <w:szCs w:val="24"/>
        </w:rPr>
        <w:t xml:space="preserve"> materialidad</w:t>
      </w:r>
      <w:r w:rsidR="00224671" w:rsidRPr="003A1174">
        <w:rPr>
          <w:rFonts w:ascii="Garamond" w:hAnsi="Garamond" w:cs="Arial"/>
          <w:sz w:val="24"/>
          <w:szCs w:val="24"/>
        </w:rPr>
        <w:t>e</w:t>
      </w:r>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4844D1"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Além disso</w:t>
      </w:r>
      <w:r w:rsidR="00D90C3D" w:rsidRPr="003A1174">
        <w:rPr>
          <w:rFonts w:ascii="Garamond" w:hAnsi="Garamond" w:cs="Arial"/>
          <w:sz w:val="24"/>
          <w:szCs w:val="24"/>
        </w:rPr>
        <w:t>,</w:t>
      </w:r>
      <w:r w:rsidR="00A132B3" w:rsidRPr="003A1174">
        <w:rPr>
          <w:rFonts w:ascii="Garamond" w:hAnsi="Garamond" w:cs="Arial"/>
          <w:sz w:val="24"/>
          <w:szCs w:val="24"/>
        </w:rPr>
        <w:t xml:space="preserve"> </w:t>
      </w:r>
      <w:r w:rsidR="00D90C3D" w:rsidRPr="003A1174">
        <w:rPr>
          <w:rFonts w:ascii="Garamond" w:hAnsi="Garamond" w:cs="Arial"/>
          <w:sz w:val="24"/>
          <w:szCs w:val="24"/>
        </w:rPr>
        <w:t>adv</w:t>
      </w:r>
      <w:r w:rsidRPr="003A1174">
        <w:rPr>
          <w:rFonts w:ascii="Garamond" w:hAnsi="Garamond" w:cs="Arial"/>
          <w:sz w:val="24"/>
          <w:szCs w:val="24"/>
        </w:rPr>
        <w:t xml:space="preserve">ertimos </w:t>
      </w:r>
      <w:r w:rsidR="00A132B3" w:rsidRPr="003A1174">
        <w:rPr>
          <w:rFonts w:ascii="Garamond" w:hAnsi="Garamond" w:cs="Arial"/>
          <w:sz w:val="24"/>
          <w:szCs w:val="24"/>
        </w:rPr>
        <w:t xml:space="preserve">que </w:t>
      </w:r>
      <w:r w:rsidRPr="003A1174">
        <w:rPr>
          <w:rFonts w:ascii="Garamond" w:hAnsi="Garamond" w:cs="Arial"/>
          <w:sz w:val="24"/>
          <w:szCs w:val="24"/>
        </w:rPr>
        <w:t xml:space="preserve">apesar de </w:t>
      </w:r>
      <w:r w:rsidR="00A132B3" w:rsidRPr="003A1174">
        <w:rPr>
          <w:rFonts w:ascii="Garamond" w:hAnsi="Garamond" w:cs="Arial"/>
          <w:sz w:val="24"/>
          <w:szCs w:val="24"/>
        </w:rPr>
        <w:t>centramos</w:t>
      </w:r>
      <w:r w:rsidRPr="003A1174">
        <w:rPr>
          <w:rFonts w:ascii="Garamond" w:hAnsi="Garamond" w:cs="Arial"/>
          <w:sz w:val="24"/>
          <w:szCs w:val="24"/>
        </w:rPr>
        <w:t xml:space="preserve"> a nossa </w:t>
      </w:r>
      <w:r w:rsidR="00A132B3" w:rsidRPr="003A1174">
        <w:rPr>
          <w:rFonts w:ascii="Garamond" w:hAnsi="Garamond" w:cs="Arial"/>
          <w:sz w:val="24"/>
          <w:szCs w:val="24"/>
        </w:rPr>
        <w:t>reflex</w:t>
      </w:r>
      <w:r w:rsidRPr="003A1174">
        <w:rPr>
          <w:rFonts w:ascii="Garamond" w:hAnsi="Garamond" w:cs="Arial"/>
          <w:sz w:val="24"/>
          <w:szCs w:val="24"/>
        </w:rPr>
        <w:t xml:space="preserve">ão no </w:t>
      </w:r>
      <w:r w:rsidR="00A132B3" w:rsidRPr="003A1174">
        <w:rPr>
          <w:rFonts w:ascii="Garamond" w:hAnsi="Garamond" w:cs="Arial"/>
          <w:sz w:val="24"/>
          <w:szCs w:val="24"/>
        </w:rPr>
        <w:t>Sistema Interamericano, o</w:t>
      </w:r>
      <w:r w:rsidR="00224671" w:rsidRPr="003A1174">
        <w:rPr>
          <w:rFonts w:ascii="Garamond" w:hAnsi="Garamond" w:cs="Arial"/>
          <w:sz w:val="24"/>
          <w:szCs w:val="24"/>
        </w:rPr>
        <w:t>u</w:t>
      </w:r>
      <w:r w:rsidR="00A132B3" w:rsidRPr="003A1174">
        <w:rPr>
          <w:rFonts w:ascii="Garamond" w:hAnsi="Garamond" w:cs="Arial"/>
          <w:sz w:val="24"/>
          <w:szCs w:val="24"/>
        </w:rPr>
        <w:t xml:space="preserve">tros </w:t>
      </w:r>
      <w:r w:rsidR="003E0CAC" w:rsidRPr="003A1174">
        <w:rPr>
          <w:rFonts w:ascii="Garamond" w:hAnsi="Garamond" w:cs="Arial"/>
          <w:sz w:val="24"/>
          <w:szCs w:val="24"/>
        </w:rPr>
        <w:t>TIDHs com</w:t>
      </w:r>
      <w:r w:rsidR="00A132B3" w:rsidRPr="003A1174">
        <w:rPr>
          <w:rFonts w:ascii="Garamond" w:hAnsi="Garamond" w:cs="Arial"/>
          <w:sz w:val="24"/>
          <w:szCs w:val="24"/>
        </w:rPr>
        <w:t xml:space="preserve"> diversa</w:t>
      </w:r>
      <w:r w:rsidR="00224671" w:rsidRPr="003A1174">
        <w:rPr>
          <w:rFonts w:ascii="Garamond" w:hAnsi="Garamond" w:cs="Arial"/>
          <w:sz w:val="24"/>
          <w:szCs w:val="24"/>
        </w:rPr>
        <w:t>s</w:t>
      </w:r>
      <w:r w:rsidR="00A132B3" w:rsidRPr="003A1174">
        <w:rPr>
          <w:rFonts w:ascii="Garamond" w:hAnsi="Garamond" w:cs="Arial"/>
          <w:sz w:val="24"/>
          <w:szCs w:val="24"/>
        </w:rPr>
        <w:t xml:space="preserve"> cobertura</w:t>
      </w:r>
      <w:r w:rsidR="00224671" w:rsidRPr="003A1174">
        <w:rPr>
          <w:rFonts w:ascii="Garamond" w:hAnsi="Garamond" w:cs="Arial"/>
          <w:sz w:val="24"/>
          <w:szCs w:val="24"/>
        </w:rPr>
        <w:t>s e</w:t>
      </w:r>
      <w:r w:rsidR="00A132B3" w:rsidRPr="003A1174">
        <w:rPr>
          <w:rFonts w:ascii="Garamond" w:hAnsi="Garamond" w:cs="Arial"/>
          <w:sz w:val="24"/>
          <w:szCs w:val="24"/>
        </w:rPr>
        <w:t xml:space="preserve"> red</w:t>
      </w:r>
      <w:r w:rsidR="002C7510" w:rsidRPr="003A1174">
        <w:rPr>
          <w:rFonts w:ascii="Garamond" w:hAnsi="Garamond" w:cs="Arial"/>
          <w:sz w:val="24"/>
          <w:szCs w:val="24"/>
        </w:rPr>
        <w:t>ações</w:t>
      </w:r>
      <w:r w:rsidR="00A132B3" w:rsidRPr="003A1174">
        <w:rPr>
          <w:rFonts w:ascii="Garamond" w:hAnsi="Garamond" w:cs="Arial"/>
          <w:sz w:val="24"/>
          <w:szCs w:val="24"/>
        </w:rPr>
        <w:t xml:space="preserve"> diferentes coincide</w:t>
      </w:r>
      <w:r w:rsidR="00224671" w:rsidRPr="003A1174">
        <w:rPr>
          <w:rFonts w:ascii="Garamond" w:hAnsi="Garamond" w:cs="Arial"/>
          <w:sz w:val="24"/>
          <w:szCs w:val="24"/>
        </w:rPr>
        <w:t xml:space="preserve">m </w:t>
      </w:r>
      <w:r w:rsidR="00A132B3" w:rsidRPr="003A1174">
        <w:rPr>
          <w:rFonts w:ascii="Garamond" w:hAnsi="Garamond" w:cs="Arial"/>
          <w:sz w:val="24"/>
          <w:szCs w:val="24"/>
        </w:rPr>
        <w:t>e</w:t>
      </w:r>
      <w:r w:rsidR="00224671" w:rsidRPr="003A1174">
        <w:rPr>
          <w:rFonts w:ascii="Garamond" w:hAnsi="Garamond" w:cs="Arial"/>
          <w:sz w:val="24"/>
          <w:szCs w:val="24"/>
        </w:rPr>
        <w:t xml:space="preserve">m </w:t>
      </w:r>
      <w:r w:rsidR="00A132B3" w:rsidRPr="003A1174">
        <w:rPr>
          <w:rFonts w:ascii="Garamond" w:hAnsi="Garamond" w:cs="Arial"/>
          <w:sz w:val="24"/>
          <w:szCs w:val="24"/>
        </w:rPr>
        <w:t>propósitos</w:t>
      </w:r>
      <w:r w:rsidR="00224671" w:rsidRPr="003A1174">
        <w:rPr>
          <w:rFonts w:ascii="Garamond" w:hAnsi="Garamond" w:cs="Arial"/>
          <w:sz w:val="24"/>
          <w:szCs w:val="24"/>
        </w:rPr>
        <w:t xml:space="preserve"> análogos</w:t>
      </w:r>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7C4866"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T</w:t>
      </w:r>
      <w:r w:rsidR="00745303" w:rsidRPr="003A1174">
        <w:rPr>
          <w:rFonts w:ascii="Garamond" w:hAnsi="Garamond" w:cs="Arial"/>
          <w:sz w:val="24"/>
          <w:szCs w:val="24"/>
        </w:rPr>
        <w:t xml:space="preserve">emos de ter em conta, </w:t>
      </w:r>
      <w:r w:rsidRPr="003A1174">
        <w:rPr>
          <w:rFonts w:ascii="Garamond" w:hAnsi="Garamond" w:cs="Arial"/>
          <w:sz w:val="24"/>
          <w:szCs w:val="24"/>
        </w:rPr>
        <w:t xml:space="preserve">por </w:t>
      </w:r>
      <w:r w:rsidR="002F5CD1" w:rsidRPr="003A1174">
        <w:rPr>
          <w:rFonts w:ascii="Garamond" w:hAnsi="Garamond" w:cs="Arial"/>
          <w:sz w:val="24"/>
          <w:szCs w:val="24"/>
        </w:rPr>
        <w:t>exemplo</w:t>
      </w:r>
      <w:r w:rsidRPr="003A1174">
        <w:rPr>
          <w:rFonts w:ascii="Garamond" w:hAnsi="Garamond" w:cs="Arial"/>
          <w:sz w:val="24"/>
          <w:szCs w:val="24"/>
        </w:rPr>
        <w:t xml:space="preserve">, </w:t>
      </w:r>
      <w:r w:rsidR="00745303" w:rsidRPr="003A1174">
        <w:rPr>
          <w:rFonts w:ascii="Garamond" w:hAnsi="Garamond" w:cs="Arial"/>
          <w:sz w:val="24"/>
          <w:szCs w:val="24"/>
        </w:rPr>
        <w:t xml:space="preserve">o </w:t>
      </w:r>
      <w:r w:rsidRPr="003A1174">
        <w:rPr>
          <w:rFonts w:ascii="Garamond" w:hAnsi="Garamond" w:cs="Arial"/>
          <w:sz w:val="24"/>
          <w:szCs w:val="24"/>
        </w:rPr>
        <w:t xml:space="preserve">Pacto Internacional de </w:t>
      </w:r>
      <w:r w:rsidR="00886D6A" w:rsidRPr="003A1174">
        <w:rPr>
          <w:rFonts w:ascii="Garamond" w:hAnsi="Garamond" w:cs="Arial"/>
          <w:sz w:val="24"/>
          <w:szCs w:val="24"/>
        </w:rPr>
        <w:t>Direito</w:t>
      </w:r>
      <w:r w:rsidRPr="003A1174">
        <w:rPr>
          <w:rFonts w:ascii="Garamond" w:hAnsi="Garamond" w:cs="Arial"/>
          <w:sz w:val="24"/>
          <w:szCs w:val="24"/>
        </w:rPr>
        <w:t xml:space="preserve">s </w:t>
      </w:r>
      <w:r w:rsidR="00745303" w:rsidRPr="003A1174">
        <w:rPr>
          <w:rFonts w:ascii="Garamond" w:hAnsi="Garamond" w:cs="Arial"/>
          <w:sz w:val="24"/>
          <w:szCs w:val="24"/>
        </w:rPr>
        <w:t>Civis e Políticos cuj</w:t>
      </w:r>
      <w:r w:rsidRPr="003A1174">
        <w:rPr>
          <w:rFonts w:ascii="Garamond" w:hAnsi="Garamond" w:cs="Arial"/>
          <w:sz w:val="24"/>
          <w:szCs w:val="24"/>
        </w:rPr>
        <w:t xml:space="preserve">o </w:t>
      </w:r>
      <w:r w:rsidR="00D90C3D" w:rsidRPr="003A1174">
        <w:rPr>
          <w:rFonts w:ascii="Garamond" w:hAnsi="Garamond" w:cs="Arial"/>
          <w:sz w:val="24"/>
          <w:szCs w:val="24"/>
        </w:rPr>
        <w:t>A</w:t>
      </w:r>
      <w:r w:rsidRPr="003A1174">
        <w:rPr>
          <w:rFonts w:ascii="Garamond" w:hAnsi="Garamond" w:cs="Arial"/>
          <w:sz w:val="24"/>
          <w:szCs w:val="24"/>
        </w:rPr>
        <w:t>rt. 2.2</w:t>
      </w:r>
      <w:r w:rsidR="000C4382">
        <w:rPr>
          <w:rFonts w:ascii="Garamond" w:hAnsi="Garamond" w:cs="Arial"/>
          <w:sz w:val="24"/>
          <w:szCs w:val="24"/>
        </w:rPr>
        <w:t>.</w:t>
      </w:r>
      <w:r w:rsidRPr="003A1174">
        <w:rPr>
          <w:rFonts w:ascii="Garamond" w:hAnsi="Garamond" w:cs="Arial"/>
          <w:sz w:val="24"/>
          <w:szCs w:val="24"/>
        </w:rPr>
        <w:t xml:space="preserve"> </w:t>
      </w:r>
      <w:proofErr w:type="gramStart"/>
      <w:r w:rsidRPr="003A1174">
        <w:rPr>
          <w:rFonts w:ascii="Garamond" w:hAnsi="Garamond" w:cs="Arial"/>
          <w:sz w:val="24"/>
          <w:szCs w:val="24"/>
        </w:rPr>
        <w:t>disp</w:t>
      </w:r>
      <w:r w:rsidR="00745303" w:rsidRPr="003A1174">
        <w:rPr>
          <w:rFonts w:ascii="Garamond" w:hAnsi="Garamond" w:cs="Arial"/>
          <w:sz w:val="24"/>
          <w:szCs w:val="24"/>
        </w:rPr>
        <w:t>õe</w:t>
      </w:r>
      <w:proofErr w:type="gramEnd"/>
      <w:r w:rsidR="00745303" w:rsidRPr="003A1174">
        <w:rPr>
          <w:rFonts w:ascii="Garamond" w:hAnsi="Garamond" w:cs="Arial"/>
          <w:sz w:val="24"/>
          <w:szCs w:val="24"/>
        </w:rPr>
        <w:t xml:space="preserve"> </w:t>
      </w:r>
      <w:r w:rsidRPr="003A1174">
        <w:rPr>
          <w:rFonts w:ascii="Garamond" w:hAnsi="Garamond" w:cs="Arial"/>
          <w:sz w:val="24"/>
          <w:szCs w:val="24"/>
        </w:rPr>
        <w:t xml:space="preserve">que </w:t>
      </w:r>
    </w:p>
    <w:p w:rsidR="007C4866" w:rsidRDefault="007C4866" w:rsidP="008719D4">
      <w:pPr>
        <w:autoSpaceDE w:val="0"/>
        <w:autoSpaceDN w:val="0"/>
        <w:adjustRightInd w:val="0"/>
        <w:spacing w:after="0" w:line="240" w:lineRule="auto"/>
        <w:jc w:val="both"/>
        <w:rPr>
          <w:rFonts w:ascii="Garamond" w:hAnsi="Garamond" w:cs="Arial"/>
          <w:sz w:val="24"/>
          <w:szCs w:val="24"/>
        </w:rPr>
      </w:pPr>
    </w:p>
    <w:p w:rsidR="00A132B3" w:rsidRPr="007C4866" w:rsidRDefault="007C4866" w:rsidP="007C4866">
      <w:pPr>
        <w:autoSpaceDE w:val="0"/>
        <w:autoSpaceDN w:val="0"/>
        <w:adjustRightInd w:val="0"/>
        <w:spacing w:after="0" w:line="240" w:lineRule="auto"/>
        <w:ind w:left="567"/>
        <w:jc w:val="both"/>
        <w:rPr>
          <w:rFonts w:ascii="Garamond" w:hAnsi="Garamond" w:cs="Arial"/>
        </w:rPr>
      </w:pPr>
      <w:r w:rsidRPr="007C4866">
        <w:rPr>
          <w:rFonts w:ascii="Garamond" w:hAnsi="Garamond" w:cs="Arial"/>
        </w:rPr>
        <w:t>«</w:t>
      </w:r>
      <w:r w:rsidR="00C031E1" w:rsidRPr="007C4866">
        <w:rPr>
          <w:rFonts w:ascii="Garamond" w:hAnsi="Garamond" w:cs="Arial"/>
        </w:rPr>
        <w:t>C</w:t>
      </w:r>
      <w:r w:rsidR="00A132B3" w:rsidRPr="007C4866">
        <w:rPr>
          <w:rFonts w:ascii="Garamond" w:hAnsi="Garamond" w:cs="Arial"/>
        </w:rPr>
        <w:t>ada Estado</w:t>
      </w:r>
      <w:r w:rsidRPr="007C4866">
        <w:rPr>
          <w:rFonts w:ascii="Garamond" w:hAnsi="Garamond" w:cs="Arial"/>
        </w:rPr>
        <w:t>-</w:t>
      </w:r>
      <w:r w:rsidR="00745303" w:rsidRPr="007C4866">
        <w:rPr>
          <w:rFonts w:ascii="Garamond" w:hAnsi="Garamond" w:cs="Arial"/>
        </w:rPr>
        <w:t xml:space="preserve">Membro </w:t>
      </w:r>
      <w:r w:rsidR="00FB6D51" w:rsidRPr="007C4866">
        <w:rPr>
          <w:rFonts w:ascii="Garamond" w:hAnsi="Garamond" w:cs="Arial"/>
        </w:rPr>
        <w:t xml:space="preserve">se </w:t>
      </w:r>
      <w:r w:rsidR="00A132B3" w:rsidRPr="007C4866">
        <w:rPr>
          <w:rFonts w:ascii="Garamond" w:hAnsi="Garamond" w:cs="Arial"/>
        </w:rPr>
        <w:t xml:space="preserve">compromete a </w:t>
      </w:r>
      <w:r w:rsidR="006C760C" w:rsidRPr="007C4866">
        <w:rPr>
          <w:rFonts w:ascii="Garamond" w:hAnsi="Garamond" w:cs="Arial"/>
        </w:rPr>
        <w:t>adotar</w:t>
      </w:r>
      <w:r w:rsidR="00A132B3" w:rsidRPr="007C4866">
        <w:rPr>
          <w:rFonts w:ascii="Garamond" w:hAnsi="Garamond" w:cs="Arial"/>
        </w:rPr>
        <w:t xml:space="preserve">, </w:t>
      </w:r>
      <w:r w:rsidR="00745303" w:rsidRPr="007C4866">
        <w:rPr>
          <w:rFonts w:ascii="Garamond" w:hAnsi="Garamond" w:cs="Arial"/>
        </w:rPr>
        <w:t xml:space="preserve">de acordo com os </w:t>
      </w:r>
      <w:r w:rsidR="00A132B3" w:rsidRPr="007C4866">
        <w:rPr>
          <w:rFonts w:ascii="Garamond" w:hAnsi="Garamond" w:cs="Arial"/>
        </w:rPr>
        <w:t>s</w:t>
      </w:r>
      <w:r w:rsidR="00745303" w:rsidRPr="007C4866">
        <w:rPr>
          <w:rFonts w:ascii="Garamond" w:hAnsi="Garamond" w:cs="Arial"/>
        </w:rPr>
        <w:t>e</w:t>
      </w:r>
      <w:r w:rsidR="00A132B3" w:rsidRPr="007C4866">
        <w:rPr>
          <w:rFonts w:ascii="Garamond" w:hAnsi="Garamond" w:cs="Arial"/>
        </w:rPr>
        <w:t xml:space="preserve">us </w:t>
      </w:r>
      <w:r w:rsidR="003F012B" w:rsidRPr="007C4866">
        <w:rPr>
          <w:rFonts w:ascii="Garamond" w:hAnsi="Garamond" w:cs="Arial"/>
        </w:rPr>
        <w:t>procedimentos</w:t>
      </w:r>
      <w:r w:rsidR="00A132B3" w:rsidRPr="007C4866">
        <w:rPr>
          <w:rFonts w:ascii="Garamond" w:hAnsi="Garamond" w:cs="Arial"/>
        </w:rPr>
        <w:t xml:space="preserve"> </w:t>
      </w:r>
      <w:r w:rsidR="00745303" w:rsidRPr="007C4866">
        <w:rPr>
          <w:rFonts w:ascii="Garamond" w:hAnsi="Garamond" w:cs="Arial"/>
        </w:rPr>
        <w:t>constitucionais</w:t>
      </w:r>
      <w:r w:rsidR="00A132B3" w:rsidRPr="007C4866">
        <w:rPr>
          <w:rFonts w:ascii="Garamond" w:hAnsi="Garamond" w:cs="Arial"/>
        </w:rPr>
        <w:t xml:space="preserve"> </w:t>
      </w:r>
      <w:r w:rsidR="00745303" w:rsidRPr="007C4866">
        <w:rPr>
          <w:rFonts w:ascii="Garamond" w:hAnsi="Garamond" w:cs="Arial"/>
        </w:rPr>
        <w:t xml:space="preserve">e com </w:t>
      </w:r>
      <w:r w:rsidR="00A132B3" w:rsidRPr="007C4866">
        <w:rPr>
          <w:rFonts w:ascii="Garamond" w:hAnsi="Garamond" w:cs="Arial"/>
        </w:rPr>
        <w:t xml:space="preserve">as </w:t>
      </w:r>
      <w:r w:rsidR="00B14AA6" w:rsidRPr="007C4866">
        <w:rPr>
          <w:rFonts w:ascii="Garamond" w:hAnsi="Garamond" w:cs="Arial"/>
        </w:rPr>
        <w:t>disposições</w:t>
      </w:r>
      <w:r w:rsidR="00A132B3" w:rsidRPr="007C4866">
        <w:rPr>
          <w:rFonts w:ascii="Garamond" w:hAnsi="Garamond" w:cs="Arial"/>
        </w:rPr>
        <w:t xml:space="preserve"> d</w:t>
      </w:r>
      <w:r w:rsidR="00745303" w:rsidRPr="007C4866">
        <w:rPr>
          <w:rFonts w:ascii="Garamond" w:hAnsi="Garamond" w:cs="Arial"/>
        </w:rPr>
        <w:t xml:space="preserve">o presente Pacto, </w:t>
      </w:r>
      <w:r w:rsidR="00A132B3" w:rsidRPr="007C4866">
        <w:rPr>
          <w:rFonts w:ascii="Garamond" w:hAnsi="Garamond" w:cs="Arial"/>
        </w:rPr>
        <w:t xml:space="preserve">as medidas oportunas para </w:t>
      </w:r>
      <w:r w:rsidR="00745303" w:rsidRPr="007C4866">
        <w:rPr>
          <w:rFonts w:ascii="Garamond" w:hAnsi="Garamond" w:cs="Arial"/>
        </w:rPr>
        <w:t xml:space="preserve">proferir </w:t>
      </w:r>
      <w:r w:rsidR="00A132B3" w:rsidRPr="007C4866">
        <w:rPr>
          <w:rFonts w:ascii="Garamond" w:hAnsi="Garamond" w:cs="Arial"/>
        </w:rPr>
        <w:t xml:space="preserve">as </w:t>
      </w:r>
      <w:r w:rsidR="00B14AA6" w:rsidRPr="007C4866">
        <w:rPr>
          <w:rFonts w:ascii="Garamond" w:hAnsi="Garamond" w:cs="Arial"/>
        </w:rPr>
        <w:t>disposições</w:t>
      </w:r>
      <w:r w:rsidR="00A132B3" w:rsidRPr="007C4866">
        <w:rPr>
          <w:rFonts w:ascii="Garamond" w:hAnsi="Garamond" w:cs="Arial"/>
        </w:rPr>
        <w:t xml:space="preserve"> legislativas o</w:t>
      </w:r>
      <w:r w:rsidR="00745303" w:rsidRPr="007C4866">
        <w:rPr>
          <w:rFonts w:ascii="Garamond" w:hAnsi="Garamond" w:cs="Arial"/>
        </w:rPr>
        <w:t>u</w:t>
      </w:r>
      <w:r w:rsidR="00A132B3" w:rsidRPr="007C4866">
        <w:rPr>
          <w:rFonts w:ascii="Garamond" w:hAnsi="Garamond" w:cs="Arial"/>
        </w:rPr>
        <w:t xml:space="preserve"> de o</w:t>
      </w:r>
      <w:r w:rsidR="00745303" w:rsidRPr="007C4866">
        <w:rPr>
          <w:rFonts w:ascii="Garamond" w:hAnsi="Garamond" w:cs="Arial"/>
        </w:rPr>
        <w:t>u</w:t>
      </w:r>
      <w:r w:rsidR="00A132B3" w:rsidRPr="007C4866">
        <w:rPr>
          <w:rFonts w:ascii="Garamond" w:hAnsi="Garamond" w:cs="Arial"/>
        </w:rPr>
        <w:t xml:space="preserve">tro </w:t>
      </w:r>
      <w:r w:rsidR="00120915" w:rsidRPr="007C4866">
        <w:rPr>
          <w:rFonts w:ascii="Garamond" w:hAnsi="Garamond" w:cs="Arial"/>
        </w:rPr>
        <w:t>caráter</w:t>
      </w:r>
      <w:r w:rsidR="00A132B3" w:rsidRPr="007C4866">
        <w:rPr>
          <w:rFonts w:ascii="Garamond" w:hAnsi="Garamond" w:cs="Arial"/>
        </w:rPr>
        <w:t xml:space="preserve"> que f</w:t>
      </w:r>
      <w:r w:rsidR="00745303" w:rsidRPr="007C4866">
        <w:rPr>
          <w:rFonts w:ascii="Garamond" w:hAnsi="Garamond" w:cs="Arial"/>
        </w:rPr>
        <w:t xml:space="preserve">orem </w:t>
      </w:r>
      <w:r w:rsidR="007578C6" w:rsidRPr="007C4866">
        <w:rPr>
          <w:rFonts w:ascii="Garamond" w:hAnsi="Garamond" w:cs="Arial"/>
        </w:rPr>
        <w:t>necessária</w:t>
      </w:r>
      <w:r w:rsidR="00A132B3" w:rsidRPr="007C4866">
        <w:rPr>
          <w:rFonts w:ascii="Garamond" w:hAnsi="Garamond" w:cs="Arial"/>
        </w:rPr>
        <w:t xml:space="preserve">s para </w:t>
      </w:r>
      <w:r w:rsidR="00745303" w:rsidRPr="007C4866">
        <w:rPr>
          <w:rFonts w:ascii="Garamond" w:hAnsi="Garamond" w:cs="Arial"/>
        </w:rPr>
        <w:t xml:space="preserve">fazer valer </w:t>
      </w:r>
      <w:r w:rsidR="00A132B3" w:rsidRPr="007C4866">
        <w:rPr>
          <w:rFonts w:ascii="Garamond" w:hAnsi="Garamond" w:cs="Arial"/>
        </w:rPr>
        <w:t xml:space="preserve">os </w:t>
      </w:r>
      <w:r w:rsidR="00886D6A" w:rsidRPr="007C4866">
        <w:rPr>
          <w:rFonts w:ascii="Garamond" w:hAnsi="Garamond" w:cs="Arial"/>
        </w:rPr>
        <w:t>direito</w:t>
      </w:r>
      <w:r w:rsidR="00A132B3" w:rsidRPr="007C4866">
        <w:rPr>
          <w:rFonts w:ascii="Garamond" w:hAnsi="Garamond" w:cs="Arial"/>
        </w:rPr>
        <w:t xml:space="preserve">s </w:t>
      </w:r>
      <w:r w:rsidR="007407BD" w:rsidRPr="007C4866">
        <w:rPr>
          <w:rFonts w:ascii="Garamond" w:hAnsi="Garamond" w:cs="Arial"/>
        </w:rPr>
        <w:t>reconhecidos</w:t>
      </w:r>
      <w:r w:rsidR="00A132B3" w:rsidRPr="007C4866">
        <w:rPr>
          <w:rFonts w:ascii="Garamond" w:hAnsi="Garamond" w:cs="Arial"/>
        </w:rPr>
        <w:t xml:space="preserve"> </w:t>
      </w:r>
      <w:r w:rsidR="00745303" w:rsidRPr="007C4866">
        <w:rPr>
          <w:rFonts w:ascii="Garamond" w:hAnsi="Garamond" w:cs="Arial"/>
        </w:rPr>
        <w:t xml:space="preserve">no </w:t>
      </w:r>
      <w:r w:rsidR="00A132B3" w:rsidRPr="007C4866">
        <w:rPr>
          <w:rFonts w:ascii="Garamond" w:hAnsi="Garamond" w:cs="Arial"/>
        </w:rPr>
        <w:t>presente Pacto</w:t>
      </w:r>
      <w:r w:rsidR="00D90C3D" w:rsidRPr="007C4866">
        <w:rPr>
          <w:rFonts w:ascii="Garamond" w:hAnsi="Garamond" w:cs="Arial"/>
        </w:rPr>
        <w:t>,</w:t>
      </w:r>
      <w:r w:rsidR="00745303" w:rsidRPr="007C4866">
        <w:rPr>
          <w:rFonts w:ascii="Garamond" w:hAnsi="Garamond" w:cs="Arial"/>
        </w:rPr>
        <w:t xml:space="preserve"> e</w:t>
      </w:r>
      <w:r w:rsidR="00A132B3" w:rsidRPr="007C4866">
        <w:rPr>
          <w:rFonts w:ascii="Garamond" w:hAnsi="Garamond" w:cs="Arial"/>
        </w:rPr>
        <w:t xml:space="preserve"> que n</w:t>
      </w:r>
      <w:r w:rsidR="00745303" w:rsidRPr="007C4866">
        <w:rPr>
          <w:rFonts w:ascii="Garamond" w:hAnsi="Garamond" w:cs="Arial"/>
        </w:rPr>
        <w:t>ã</w:t>
      </w:r>
      <w:r w:rsidR="00A132B3" w:rsidRPr="007C4866">
        <w:rPr>
          <w:rFonts w:ascii="Garamond" w:hAnsi="Garamond" w:cs="Arial"/>
        </w:rPr>
        <w:t>o est</w:t>
      </w:r>
      <w:r w:rsidR="00745303" w:rsidRPr="007C4866">
        <w:rPr>
          <w:rFonts w:ascii="Garamond" w:hAnsi="Garamond" w:cs="Arial"/>
        </w:rPr>
        <w:t>ive</w:t>
      </w:r>
      <w:r w:rsidR="00FB6D51" w:rsidRPr="007C4866">
        <w:rPr>
          <w:rFonts w:ascii="Garamond" w:hAnsi="Garamond" w:cs="Arial"/>
        </w:rPr>
        <w:t>rem</w:t>
      </w:r>
      <w:r w:rsidR="00745303" w:rsidRPr="007C4866">
        <w:rPr>
          <w:rFonts w:ascii="Garamond" w:hAnsi="Garamond" w:cs="Arial"/>
        </w:rPr>
        <w:t xml:space="preserve"> já garanti</w:t>
      </w:r>
      <w:r w:rsidR="00A132B3" w:rsidRPr="007C4866">
        <w:rPr>
          <w:rFonts w:ascii="Garamond" w:hAnsi="Garamond" w:cs="Arial"/>
        </w:rPr>
        <w:t xml:space="preserve">dos por </w:t>
      </w:r>
      <w:r w:rsidR="00B14AA6" w:rsidRPr="007C4866">
        <w:rPr>
          <w:rFonts w:ascii="Garamond" w:hAnsi="Garamond" w:cs="Arial"/>
        </w:rPr>
        <w:t>disposições</w:t>
      </w:r>
      <w:r w:rsidR="00A132B3" w:rsidRPr="007C4866">
        <w:rPr>
          <w:rFonts w:ascii="Garamond" w:hAnsi="Garamond" w:cs="Arial"/>
        </w:rPr>
        <w:t xml:space="preserve"> legislativas o</w:t>
      </w:r>
      <w:r w:rsidR="00745303" w:rsidRPr="007C4866">
        <w:rPr>
          <w:rFonts w:ascii="Garamond" w:hAnsi="Garamond" w:cs="Arial"/>
        </w:rPr>
        <w:t>u</w:t>
      </w:r>
      <w:r w:rsidR="00A132B3" w:rsidRPr="007C4866">
        <w:rPr>
          <w:rFonts w:ascii="Garamond" w:hAnsi="Garamond" w:cs="Arial"/>
        </w:rPr>
        <w:t xml:space="preserve"> de o</w:t>
      </w:r>
      <w:r w:rsidR="00745303" w:rsidRPr="007C4866">
        <w:rPr>
          <w:rFonts w:ascii="Garamond" w:hAnsi="Garamond" w:cs="Arial"/>
        </w:rPr>
        <w:t>u</w:t>
      </w:r>
      <w:r w:rsidR="00A132B3" w:rsidRPr="007C4866">
        <w:rPr>
          <w:rFonts w:ascii="Garamond" w:hAnsi="Garamond" w:cs="Arial"/>
        </w:rPr>
        <w:t xml:space="preserve">tro </w:t>
      </w:r>
      <w:r w:rsidR="00120915" w:rsidRPr="007C4866">
        <w:rPr>
          <w:rFonts w:ascii="Garamond" w:hAnsi="Garamond" w:cs="Arial"/>
        </w:rPr>
        <w:t>caráter</w:t>
      </w:r>
      <w:r w:rsidR="00A132B3" w:rsidRPr="007C4866">
        <w:rPr>
          <w:rFonts w:ascii="Garamond" w:hAnsi="Garamond" w:cs="Arial"/>
        </w:rPr>
        <w:t>.</w:t>
      </w:r>
      <w:r w:rsidRPr="007C4866">
        <w:rPr>
          <w:rFonts w:ascii="Garamond" w:hAnsi="Garamond" w:cs="Arial"/>
        </w:rPr>
        <w:t>»</w:t>
      </w:r>
      <w:r w:rsidR="00A132B3" w:rsidRPr="007C4866">
        <w:rPr>
          <w:rFonts w:ascii="Garamond" w:hAnsi="Garamond" w:cs="Arial"/>
        </w:rPr>
        <w:t xml:space="preserve"> </w:t>
      </w:r>
    </w:p>
    <w:p w:rsidR="00B279CD" w:rsidRPr="007C4866" w:rsidRDefault="00B279CD" w:rsidP="008719D4">
      <w:pPr>
        <w:autoSpaceDE w:val="0"/>
        <w:autoSpaceDN w:val="0"/>
        <w:adjustRightInd w:val="0"/>
        <w:spacing w:after="0" w:line="240" w:lineRule="auto"/>
        <w:jc w:val="both"/>
        <w:rPr>
          <w:rFonts w:ascii="Garamond" w:hAnsi="Garamond" w:cs="Arial"/>
          <w:sz w:val="24"/>
          <w:szCs w:val="24"/>
        </w:rPr>
      </w:pPr>
    </w:p>
    <w:p w:rsidR="00A132B3" w:rsidRPr="007C4866" w:rsidRDefault="00A132B3" w:rsidP="00FB6D51">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Por s</w:t>
      </w:r>
      <w:r w:rsidR="00745303" w:rsidRPr="003A1174">
        <w:rPr>
          <w:rFonts w:ascii="Garamond" w:hAnsi="Garamond" w:cs="Arial"/>
          <w:sz w:val="24"/>
          <w:szCs w:val="24"/>
        </w:rPr>
        <w:t>e</w:t>
      </w:r>
      <w:r w:rsidRPr="003A1174">
        <w:rPr>
          <w:rFonts w:ascii="Garamond" w:hAnsi="Garamond" w:cs="Arial"/>
          <w:sz w:val="24"/>
          <w:szCs w:val="24"/>
        </w:rPr>
        <w:t xml:space="preserve">u </w:t>
      </w:r>
      <w:r w:rsidR="00745303" w:rsidRPr="003A1174">
        <w:rPr>
          <w:rFonts w:ascii="Garamond" w:hAnsi="Garamond" w:cs="Arial"/>
          <w:sz w:val="24"/>
          <w:szCs w:val="24"/>
        </w:rPr>
        <w:t>lado</w:t>
      </w:r>
      <w:r w:rsidR="00D90C3D" w:rsidRPr="003A1174">
        <w:rPr>
          <w:rFonts w:ascii="Garamond" w:hAnsi="Garamond" w:cs="Arial"/>
          <w:sz w:val="24"/>
          <w:szCs w:val="24"/>
        </w:rPr>
        <w:t>,</w:t>
      </w:r>
      <w:r w:rsidR="00745303" w:rsidRPr="003A1174">
        <w:rPr>
          <w:rFonts w:ascii="Garamond" w:hAnsi="Garamond" w:cs="Arial"/>
          <w:sz w:val="24"/>
          <w:szCs w:val="24"/>
        </w:rPr>
        <w:t xml:space="preserve"> a Carta Africana sobre </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00745303" w:rsidRPr="003A1174">
        <w:rPr>
          <w:rFonts w:ascii="Garamond" w:hAnsi="Garamond" w:cs="Arial"/>
          <w:sz w:val="24"/>
          <w:szCs w:val="24"/>
        </w:rPr>
        <w:t xml:space="preserve">e dos Povos </w:t>
      </w:r>
      <w:r w:rsidRPr="003A1174">
        <w:rPr>
          <w:rFonts w:ascii="Garamond" w:hAnsi="Garamond" w:cs="Arial"/>
          <w:sz w:val="24"/>
          <w:szCs w:val="24"/>
        </w:rPr>
        <w:t xml:space="preserve">(Carta de Banjul) </w:t>
      </w:r>
      <w:r w:rsidR="00152A44" w:rsidRPr="003A1174">
        <w:rPr>
          <w:rFonts w:ascii="Garamond" w:hAnsi="Garamond" w:cs="Arial"/>
          <w:sz w:val="24"/>
          <w:szCs w:val="24"/>
        </w:rPr>
        <w:t>estabelece</w:t>
      </w:r>
      <w:r w:rsidRPr="003A1174">
        <w:rPr>
          <w:rFonts w:ascii="Garamond" w:hAnsi="Garamond" w:cs="Arial"/>
          <w:sz w:val="24"/>
          <w:szCs w:val="24"/>
        </w:rPr>
        <w:t xml:space="preserve"> </w:t>
      </w:r>
      <w:r w:rsidR="00745303" w:rsidRPr="003A1174">
        <w:rPr>
          <w:rFonts w:ascii="Garamond" w:hAnsi="Garamond" w:cs="Arial"/>
          <w:sz w:val="24"/>
          <w:szCs w:val="24"/>
        </w:rPr>
        <w:t xml:space="preserve">no seu </w:t>
      </w:r>
      <w:r w:rsidR="00276DCA" w:rsidRPr="003A1174">
        <w:rPr>
          <w:rFonts w:ascii="Garamond" w:hAnsi="Garamond" w:cs="Arial"/>
          <w:sz w:val="24"/>
          <w:szCs w:val="24"/>
        </w:rPr>
        <w:t>primeiro</w:t>
      </w:r>
      <w:r w:rsidRPr="003A1174">
        <w:rPr>
          <w:rFonts w:ascii="Garamond" w:hAnsi="Garamond" w:cs="Arial"/>
          <w:sz w:val="24"/>
          <w:szCs w:val="24"/>
        </w:rPr>
        <w:t xml:space="preserve"> </w:t>
      </w:r>
      <w:r w:rsidR="00383B3F" w:rsidRPr="003A1174">
        <w:rPr>
          <w:rFonts w:ascii="Garamond" w:hAnsi="Garamond" w:cs="Arial"/>
          <w:sz w:val="24"/>
          <w:szCs w:val="24"/>
        </w:rPr>
        <w:t>Art.</w:t>
      </w:r>
      <w:r w:rsidRPr="003A1174">
        <w:rPr>
          <w:rFonts w:ascii="Garamond" w:hAnsi="Garamond" w:cs="Arial"/>
          <w:sz w:val="24"/>
          <w:szCs w:val="24"/>
        </w:rPr>
        <w:t xml:space="preserve"> que </w:t>
      </w:r>
      <w:r w:rsidR="007C4866" w:rsidRPr="007C4866">
        <w:rPr>
          <w:rFonts w:ascii="Garamond" w:hAnsi="Garamond" w:cs="Arial"/>
          <w:sz w:val="24"/>
          <w:szCs w:val="24"/>
        </w:rPr>
        <w:t>«</w:t>
      </w:r>
      <w:r w:rsidRPr="007C4866">
        <w:rPr>
          <w:rFonts w:ascii="Garamond" w:hAnsi="Garamond" w:cs="Arial"/>
          <w:sz w:val="24"/>
          <w:szCs w:val="24"/>
        </w:rPr>
        <w:t>os Estados</w:t>
      </w:r>
      <w:r w:rsidR="007C4866">
        <w:rPr>
          <w:rFonts w:ascii="Garamond" w:hAnsi="Garamond" w:cs="Arial"/>
          <w:sz w:val="24"/>
          <w:szCs w:val="24"/>
        </w:rPr>
        <w:t>-M</w:t>
      </w:r>
      <w:r w:rsidR="00C30647" w:rsidRPr="007C4866">
        <w:rPr>
          <w:rFonts w:ascii="Garamond" w:hAnsi="Garamond" w:cs="Arial"/>
          <w:sz w:val="24"/>
          <w:szCs w:val="24"/>
        </w:rPr>
        <w:t>embro</w:t>
      </w:r>
      <w:r w:rsidR="00745303" w:rsidRPr="007C4866">
        <w:rPr>
          <w:rFonts w:ascii="Garamond" w:hAnsi="Garamond" w:cs="Arial"/>
          <w:sz w:val="24"/>
          <w:szCs w:val="24"/>
        </w:rPr>
        <w:t>s d</w:t>
      </w:r>
      <w:r w:rsidRPr="007C4866">
        <w:rPr>
          <w:rFonts w:ascii="Garamond" w:hAnsi="Garamond" w:cs="Arial"/>
          <w:sz w:val="24"/>
          <w:szCs w:val="24"/>
        </w:rPr>
        <w:t xml:space="preserve">a </w:t>
      </w:r>
      <w:r w:rsidR="008E7A2A" w:rsidRPr="007C4866">
        <w:rPr>
          <w:rFonts w:ascii="Garamond" w:hAnsi="Garamond" w:cs="Arial"/>
          <w:sz w:val="24"/>
          <w:szCs w:val="24"/>
        </w:rPr>
        <w:t>Organização</w:t>
      </w:r>
      <w:r w:rsidR="00745303" w:rsidRPr="007C4866">
        <w:rPr>
          <w:rFonts w:ascii="Garamond" w:hAnsi="Garamond" w:cs="Arial"/>
          <w:sz w:val="24"/>
          <w:szCs w:val="24"/>
        </w:rPr>
        <w:t xml:space="preserve"> para </w:t>
      </w:r>
      <w:r w:rsidRPr="007C4866">
        <w:rPr>
          <w:rFonts w:ascii="Garamond" w:hAnsi="Garamond" w:cs="Arial"/>
          <w:sz w:val="24"/>
          <w:szCs w:val="24"/>
        </w:rPr>
        <w:t>a Unidad</w:t>
      </w:r>
      <w:r w:rsidR="00745303" w:rsidRPr="007C4866">
        <w:rPr>
          <w:rFonts w:ascii="Garamond" w:hAnsi="Garamond" w:cs="Arial"/>
          <w:sz w:val="24"/>
          <w:szCs w:val="24"/>
        </w:rPr>
        <w:t>e</w:t>
      </w:r>
      <w:r w:rsidRPr="007C4866">
        <w:rPr>
          <w:rFonts w:ascii="Garamond" w:hAnsi="Garamond" w:cs="Arial"/>
          <w:sz w:val="24"/>
          <w:szCs w:val="24"/>
        </w:rPr>
        <w:t xml:space="preserve"> Africana </w:t>
      </w:r>
      <w:r w:rsidR="00745303" w:rsidRPr="007C4866">
        <w:rPr>
          <w:rFonts w:ascii="Garamond" w:hAnsi="Garamond" w:cs="Arial"/>
          <w:sz w:val="24"/>
          <w:szCs w:val="24"/>
        </w:rPr>
        <w:t xml:space="preserve">que assinaram a </w:t>
      </w:r>
      <w:r w:rsidRPr="007C4866">
        <w:rPr>
          <w:rFonts w:ascii="Garamond" w:hAnsi="Garamond" w:cs="Arial"/>
          <w:sz w:val="24"/>
          <w:szCs w:val="24"/>
        </w:rPr>
        <w:t>presente Carta re</w:t>
      </w:r>
      <w:r w:rsidR="001F2F8B" w:rsidRPr="007C4866">
        <w:rPr>
          <w:rFonts w:ascii="Garamond" w:hAnsi="Garamond" w:cs="Arial"/>
          <w:sz w:val="24"/>
          <w:szCs w:val="24"/>
        </w:rPr>
        <w:t>conhecer</w:t>
      </w:r>
      <w:r w:rsidR="00745303" w:rsidRPr="007C4866">
        <w:rPr>
          <w:rFonts w:ascii="Garamond" w:hAnsi="Garamond" w:cs="Arial"/>
          <w:sz w:val="24"/>
          <w:szCs w:val="24"/>
        </w:rPr>
        <w:t xml:space="preserve">ão </w:t>
      </w:r>
      <w:r w:rsidRPr="007C4866">
        <w:rPr>
          <w:rFonts w:ascii="Garamond" w:hAnsi="Garamond" w:cs="Arial"/>
          <w:sz w:val="24"/>
          <w:szCs w:val="24"/>
        </w:rPr>
        <w:t xml:space="preserve">os </w:t>
      </w:r>
      <w:r w:rsidR="00886D6A" w:rsidRPr="007C4866">
        <w:rPr>
          <w:rFonts w:ascii="Garamond" w:hAnsi="Garamond" w:cs="Arial"/>
          <w:sz w:val="24"/>
          <w:szCs w:val="24"/>
        </w:rPr>
        <w:t>direito</w:t>
      </w:r>
      <w:r w:rsidRPr="007C4866">
        <w:rPr>
          <w:rFonts w:ascii="Garamond" w:hAnsi="Garamond" w:cs="Arial"/>
          <w:sz w:val="24"/>
          <w:szCs w:val="24"/>
        </w:rPr>
        <w:t xml:space="preserve">s, </w:t>
      </w:r>
      <w:r w:rsidR="00AF192F" w:rsidRPr="007C4866">
        <w:rPr>
          <w:rFonts w:ascii="Garamond" w:hAnsi="Garamond" w:cs="Arial"/>
          <w:sz w:val="24"/>
          <w:szCs w:val="24"/>
        </w:rPr>
        <w:t>dever</w:t>
      </w:r>
      <w:r w:rsidR="00745303" w:rsidRPr="007C4866">
        <w:rPr>
          <w:rFonts w:ascii="Garamond" w:hAnsi="Garamond" w:cs="Arial"/>
          <w:sz w:val="24"/>
          <w:szCs w:val="24"/>
        </w:rPr>
        <w:t>es e</w:t>
      </w:r>
      <w:r w:rsidRPr="007C4866">
        <w:rPr>
          <w:rFonts w:ascii="Garamond" w:hAnsi="Garamond" w:cs="Arial"/>
          <w:sz w:val="24"/>
          <w:szCs w:val="24"/>
        </w:rPr>
        <w:t xml:space="preserve"> </w:t>
      </w:r>
      <w:r w:rsidR="006506C6" w:rsidRPr="007C4866">
        <w:rPr>
          <w:rFonts w:ascii="Garamond" w:hAnsi="Garamond" w:cs="Arial"/>
          <w:sz w:val="24"/>
          <w:szCs w:val="24"/>
        </w:rPr>
        <w:t>liberdades</w:t>
      </w:r>
      <w:r w:rsidRPr="007C4866">
        <w:rPr>
          <w:rFonts w:ascii="Garamond" w:hAnsi="Garamond" w:cs="Arial"/>
          <w:sz w:val="24"/>
          <w:szCs w:val="24"/>
        </w:rPr>
        <w:t xml:space="preserve"> </w:t>
      </w:r>
      <w:r w:rsidRPr="007C4866">
        <w:rPr>
          <w:rFonts w:ascii="Garamond" w:hAnsi="Garamond" w:cs="Arial"/>
          <w:sz w:val="24"/>
          <w:szCs w:val="24"/>
        </w:rPr>
        <w:lastRenderedPageBreak/>
        <w:t xml:space="preserve">contemplados </w:t>
      </w:r>
      <w:r w:rsidR="00745303" w:rsidRPr="007C4866">
        <w:rPr>
          <w:rFonts w:ascii="Garamond" w:hAnsi="Garamond" w:cs="Arial"/>
          <w:sz w:val="24"/>
          <w:szCs w:val="24"/>
        </w:rPr>
        <w:t xml:space="preserve">nesta Carta e </w:t>
      </w:r>
      <w:r w:rsidRPr="007C4866">
        <w:rPr>
          <w:rFonts w:ascii="Garamond" w:hAnsi="Garamond" w:cs="Arial"/>
          <w:sz w:val="24"/>
          <w:szCs w:val="24"/>
        </w:rPr>
        <w:t>comprometer</w:t>
      </w:r>
      <w:r w:rsidR="00745303" w:rsidRPr="007C4866">
        <w:rPr>
          <w:rFonts w:ascii="Garamond" w:hAnsi="Garamond" w:cs="Arial"/>
          <w:sz w:val="24"/>
          <w:szCs w:val="24"/>
        </w:rPr>
        <w:t xml:space="preserve">-se-ão </w:t>
      </w:r>
      <w:r w:rsidRPr="007C4866">
        <w:rPr>
          <w:rFonts w:ascii="Garamond" w:hAnsi="Garamond" w:cs="Arial"/>
          <w:sz w:val="24"/>
          <w:szCs w:val="24"/>
        </w:rPr>
        <w:t xml:space="preserve">a </w:t>
      </w:r>
      <w:r w:rsidR="006C760C" w:rsidRPr="007C4866">
        <w:rPr>
          <w:rFonts w:ascii="Garamond" w:hAnsi="Garamond" w:cs="Arial"/>
          <w:sz w:val="24"/>
          <w:szCs w:val="24"/>
        </w:rPr>
        <w:t>adotar</w:t>
      </w:r>
      <w:r w:rsidRPr="007C4866">
        <w:rPr>
          <w:rFonts w:ascii="Garamond" w:hAnsi="Garamond" w:cs="Arial"/>
          <w:sz w:val="24"/>
          <w:szCs w:val="24"/>
        </w:rPr>
        <w:t xml:space="preserve"> medidas legislativas o</w:t>
      </w:r>
      <w:r w:rsidR="00745303" w:rsidRPr="007C4866">
        <w:rPr>
          <w:rFonts w:ascii="Garamond" w:hAnsi="Garamond" w:cs="Arial"/>
          <w:sz w:val="24"/>
          <w:szCs w:val="24"/>
        </w:rPr>
        <w:t>u</w:t>
      </w:r>
      <w:r w:rsidRPr="007C4866">
        <w:rPr>
          <w:rFonts w:ascii="Garamond" w:hAnsi="Garamond" w:cs="Arial"/>
          <w:sz w:val="24"/>
          <w:szCs w:val="24"/>
        </w:rPr>
        <w:t xml:space="preserve"> de o</w:t>
      </w:r>
      <w:r w:rsidR="00745303" w:rsidRPr="007C4866">
        <w:rPr>
          <w:rFonts w:ascii="Garamond" w:hAnsi="Garamond" w:cs="Arial"/>
          <w:sz w:val="24"/>
          <w:szCs w:val="24"/>
        </w:rPr>
        <w:t>u</w:t>
      </w:r>
      <w:r w:rsidRPr="007C4866">
        <w:rPr>
          <w:rFonts w:ascii="Garamond" w:hAnsi="Garamond" w:cs="Arial"/>
          <w:sz w:val="24"/>
          <w:szCs w:val="24"/>
        </w:rPr>
        <w:t>tra índole co</w:t>
      </w:r>
      <w:r w:rsidR="00745303" w:rsidRPr="007C4866">
        <w:rPr>
          <w:rFonts w:ascii="Garamond" w:hAnsi="Garamond" w:cs="Arial"/>
          <w:sz w:val="24"/>
          <w:szCs w:val="24"/>
        </w:rPr>
        <w:t xml:space="preserve">m o fim de </w:t>
      </w:r>
      <w:proofErr w:type="gramStart"/>
      <w:r w:rsidR="00745303" w:rsidRPr="007C4866">
        <w:rPr>
          <w:rFonts w:ascii="Garamond" w:hAnsi="Garamond" w:cs="Arial"/>
          <w:sz w:val="24"/>
          <w:szCs w:val="24"/>
        </w:rPr>
        <w:t>os fazer</w:t>
      </w:r>
      <w:proofErr w:type="gramEnd"/>
      <w:r w:rsidR="00745303" w:rsidRPr="007C4866">
        <w:rPr>
          <w:rFonts w:ascii="Garamond" w:hAnsi="Garamond" w:cs="Arial"/>
          <w:sz w:val="24"/>
          <w:szCs w:val="24"/>
        </w:rPr>
        <w:t xml:space="preserve"> valer</w:t>
      </w:r>
      <w:r w:rsidRPr="007C4866">
        <w:rPr>
          <w:rFonts w:ascii="Garamond" w:hAnsi="Garamond" w:cs="Arial"/>
          <w:sz w:val="24"/>
          <w:szCs w:val="24"/>
        </w:rPr>
        <w:t>.</w:t>
      </w:r>
      <w:r w:rsidR="007C4866" w:rsidRPr="007C4866">
        <w:rPr>
          <w:rFonts w:ascii="Garamond" w:hAnsi="Garamond" w:cs="Arial"/>
          <w:sz w:val="24"/>
          <w:szCs w:val="24"/>
        </w:rPr>
        <w:t>»</w:t>
      </w:r>
      <w:r w:rsidRPr="007C4866">
        <w:rPr>
          <w:rFonts w:ascii="Garamond" w:hAnsi="Garamond" w:cs="Arial"/>
          <w:sz w:val="24"/>
          <w:szCs w:val="24"/>
        </w:rPr>
        <w:t xml:space="preserve"> </w:t>
      </w:r>
    </w:p>
    <w:p w:rsidR="00A132B3" w:rsidRPr="007C4866" w:rsidRDefault="00A132B3" w:rsidP="008719D4">
      <w:pPr>
        <w:pStyle w:val="Textonotapie"/>
        <w:spacing w:line="240" w:lineRule="auto"/>
        <w:jc w:val="both"/>
        <w:rPr>
          <w:rFonts w:ascii="Garamond" w:hAnsi="Garamond" w:cs="Arial"/>
          <w:color w:val="auto"/>
          <w:sz w:val="24"/>
          <w:szCs w:val="24"/>
          <w:lang w:val="pt-PT"/>
        </w:rPr>
      </w:pPr>
    </w:p>
    <w:p w:rsidR="00A132B3" w:rsidRPr="003A1174" w:rsidRDefault="00745303" w:rsidP="008719D4">
      <w:pPr>
        <w:pStyle w:val="Textonotapie"/>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E</w:t>
      </w:r>
      <w:r w:rsidR="00D90C3D" w:rsidRPr="003A1174">
        <w:rPr>
          <w:rFonts w:ascii="Garamond" w:hAnsi="Garamond" w:cs="Arial"/>
          <w:color w:val="auto"/>
          <w:sz w:val="24"/>
          <w:szCs w:val="24"/>
          <w:lang w:val="pt-PT"/>
        </w:rPr>
        <w:t>, de igual m</w:t>
      </w:r>
      <w:r w:rsidRPr="003A1174">
        <w:rPr>
          <w:rFonts w:ascii="Garamond" w:hAnsi="Garamond" w:cs="Arial"/>
          <w:color w:val="auto"/>
          <w:sz w:val="24"/>
          <w:szCs w:val="24"/>
          <w:lang w:val="pt-PT"/>
        </w:rPr>
        <w:t>odo</w:t>
      </w:r>
      <w:r w:rsidR="00D90C3D" w:rsidRPr="003A1174">
        <w:rPr>
          <w:rFonts w:ascii="Garamond" w:hAnsi="Garamond" w:cs="Arial"/>
          <w:color w:val="auto"/>
          <w:sz w:val="24"/>
          <w:szCs w:val="24"/>
          <w:lang w:val="pt-PT"/>
        </w:rPr>
        <w:t>,</w:t>
      </w:r>
      <w:r w:rsidR="00E4247C" w:rsidRPr="003A1174">
        <w:rPr>
          <w:rFonts w:ascii="Garamond" w:hAnsi="Garamond" w:cs="Arial"/>
          <w:color w:val="auto"/>
          <w:sz w:val="24"/>
          <w:szCs w:val="24"/>
          <w:lang w:val="pt-PT"/>
        </w:rPr>
        <w:t xml:space="preserve"> </w:t>
      </w:r>
      <w:r w:rsidR="00A132B3" w:rsidRPr="003A1174">
        <w:rPr>
          <w:rFonts w:ascii="Garamond" w:hAnsi="Garamond" w:cs="Arial"/>
          <w:color w:val="auto"/>
          <w:sz w:val="24"/>
          <w:szCs w:val="24"/>
          <w:lang w:val="pt-PT"/>
        </w:rPr>
        <w:t xml:space="preserve">a denominada </w:t>
      </w:r>
      <w:r w:rsidR="00B14AA6" w:rsidRPr="003A1174">
        <w:rPr>
          <w:rFonts w:ascii="Garamond" w:hAnsi="Garamond" w:cs="Arial"/>
          <w:color w:val="auto"/>
          <w:sz w:val="24"/>
          <w:szCs w:val="24"/>
          <w:lang w:val="pt-PT"/>
        </w:rPr>
        <w:t>Convenção</w:t>
      </w:r>
      <w:r w:rsidR="00A132B3" w:rsidRPr="003A1174">
        <w:rPr>
          <w:rFonts w:ascii="Garamond" w:hAnsi="Garamond" w:cs="Arial"/>
          <w:color w:val="auto"/>
          <w:sz w:val="24"/>
          <w:szCs w:val="24"/>
          <w:lang w:val="pt-PT"/>
        </w:rPr>
        <w:t xml:space="preserve"> </w:t>
      </w:r>
      <w:r w:rsidR="002F62B0" w:rsidRPr="003A1174">
        <w:rPr>
          <w:rFonts w:ascii="Garamond" w:hAnsi="Garamond" w:cs="Arial"/>
          <w:color w:val="auto"/>
          <w:sz w:val="24"/>
          <w:szCs w:val="24"/>
          <w:lang w:val="pt-PT"/>
        </w:rPr>
        <w:t>Europeia</w:t>
      </w:r>
      <w:r w:rsidR="00A132B3"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A132B3" w:rsidRPr="003A1174">
        <w:rPr>
          <w:rFonts w:ascii="Garamond" w:hAnsi="Garamond" w:cs="Arial"/>
          <w:color w:val="auto"/>
          <w:sz w:val="24"/>
          <w:szCs w:val="24"/>
          <w:lang w:val="pt-PT"/>
        </w:rPr>
        <w:t>s Humanos (</w:t>
      </w:r>
      <w:r w:rsidR="00B14AA6" w:rsidRPr="003A1174">
        <w:rPr>
          <w:rFonts w:ascii="Garamond" w:hAnsi="Garamond" w:cs="Arial"/>
          <w:color w:val="auto"/>
          <w:sz w:val="24"/>
          <w:szCs w:val="24"/>
          <w:lang w:val="pt-PT"/>
        </w:rPr>
        <w:t>Convenção</w:t>
      </w:r>
      <w:r w:rsidR="00A132B3" w:rsidRPr="003A1174">
        <w:rPr>
          <w:rFonts w:ascii="Garamond" w:hAnsi="Garamond" w:cs="Arial"/>
          <w:color w:val="auto"/>
          <w:sz w:val="24"/>
          <w:szCs w:val="24"/>
          <w:lang w:val="pt-PT"/>
        </w:rPr>
        <w:t xml:space="preserve"> </w:t>
      </w:r>
      <w:r w:rsidR="002F62B0" w:rsidRPr="003A1174">
        <w:rPr>
          <w:rFonts w:ascii="Garamond" w:hAnsi="Garamond" w:cs="Arial"/>
          <w:color w:val="auto"/>
          <w:sz w:val="24"/>
          <w:szCs w:val="24"/>
          <w:lang w:val="pt-PT"/>
        </w:rPr>
        <w:t>Europeia</w:t>
      </w:r>
      <w:r w:rsidRPr="003A1174">
        <w:rPr>
          <w:rFonts w:ascii="Garamond" w:hAnsi="Garamond" w:cs="Arial"/>
          <w:color w:val="auto"/>
          <w:sz w:val="24"/>
          <w:szCs w:val="24"/>
          <w:lang w:val="pt-PT"/>
        </w:rPr>
        <w:t xml:space="preserve"> para </w:t>
      </w:r>
      <w:r w:rsidR="00A132B3" w:rsidRPr="003A1174">
        <w:rPr>
          <w:rFonts w:ascii="Garamond" w:hAnsi="Garamond" w:cs="Arial"/>
          <w:color w:val="auto"/>
          <w:sz w:val="24"/>
          <w:szCs w:val="24"/>
          <w:lang w:val="pt-PT"/>
        </w:rPr>
        <w:t xml:space="preserve">a Salvaguarda dos </w:t>
      </w:r>
      <w:r w:rsidR="00886D6A" w:rsidRPr="003A1174">
        <w:rPr>
          <w:rFonts w:ascii="Garamond" w:hAnsi="Garamond" w:cs="Arial"/>
          <w:color w:val="auto"/>
          <w:sz w:val="24"/>
          <w:szCs w:val="24"/>
          <w:lang w:val="pt-PT"/>
        </w:rPr>
        <w:t>Direito</w:t>
      </w:r>
      <w:r w:rsidR="00A132B3" w:rsidRPr="003A1174">
        <w:rPr>
          <w:rFonts w:ascii="Garamond" w:hAnsi="Garamond" w:cs="Arial"/>
          <w:color w:val="auto"/>
          <w:sz w:val="24"/>
          <w:szCs w:val="24"/>
          <w:lang w:val="pt-PT"/>
        </w:rPr>
        <w:t>s d</w:t>
      </w:r>
      <w:r w:rsidRPr="003A1174">
        <w:rPr>
          <w:rFonts w:ascii="Garamond" w:hAnsi="Garamond" w:cs="Arial"/>
          <w:color w:val="auto"/>
          <w:sz w:val="24"/>
          <w:szCs w:val="24"/>
          <w:lang w:val="pt-PT"/>
        </w:rPr>
        <w:t>o</w:t>
      </w:r>
      <w:r w:rsidR="00A132B3"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Homem</w:t>
      </w:r>
      <w:r w:rsidRPr="003A1174">
        <w:rPr>
          <w:rFonts w:ascii="Garamond" w:hAnsi="Garamond" w:cs="Arial"/>
          <w:color w:val="auto"/>
          <w:sz w:val="24"/>
          <w:szCs w:val="24"/>
          <w:lang w:val="pt-PT"/>
        </w:rPr>
        <w:t xml:space="preserve"> e</w:t>
      </w:r>
      <w:r w:rsidR="00A132B3" w:rsidRPr="003A1174">
        <w:rPr>
          <w:rFonts w:ascii="Garamond" w:hAnsi="Garamond" w:cs="Arial"/>
          <w:color w:val="auto"/>
          <w:sz w:val="24"/>
          <w:szCs w:val="24"/>
          <w:lang w:val="pt-PT"/>
        </w:rPr>
        <w:t xml:space="preserve"> das </w:t>
      </w:r>
      <w:r w:rsidR="006506C6" w:rsidRPr="003A1174">
        <w:rPr>
          <w:rFonts w:ascii="Garamond" w:hAnsi="Garamond" w:cs="Arial"/>
          <w:color w:val="auto"/>
          <w:sz w:val="24"/>
          <w:szCs w:val="24"/>
          <w:lang w:val="pt-PT"/>
        </w:rPr>
        <w:t>Liberdades</w:t>
      </w:r>
      <w:r w:rsidR="00A132B3" w:rsidRPr="003A1174">
        <w:rPr>
          <w:rFonts w:ascii="Garamond" w:hAnsi="Garamond" w:cs="Arial"/>
          <w:color w:val="auto"/>
          <w:sz w:val="24"/>
          <w:szCs w:val="24"/>
          <w:lang w:val="pt-PT"/>
        </w:rPr>
        <w:t xml:space="preserve"> </w:t>
      </w:r>
      <w:r w:rsidR="00CA633E" w:rsidRPr="003A1174">
        <w:rPr>
          <w:rFonts w:ascii="Garamond" w:hAnsi="Garamond" w:cs="Arial"/>
          <w:color w:val="auto"/>
          <w:sz w:val="24"/>
          <w:szCs w:val="24"/>
          <w:lang w:val="pt-PT"/>
        </w:rPr>
        <w:t>Fundamentais</w:t>
      </w:r>
      <w:r w:rsidR="00A132B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seu </w:t>
      </w:r>
      <w:r w:rsidR="00383B3F" w:rsidRPr="003A1174">
        <w:rPr>
          <w:rFonts w:ascii="Garamond" w:hAnsi="Garamond" w:cs="Arial"/>
          <w:color w:val="auto"/>
          <w:sz w:val="24"/>
          <w:szCs w:val="24"/>
          <w:lang w:val="pt-PT"/>
        </w:rPr>
        <w:t>Art.</w:t>
      </w:r>
      <w:r w:rsidR="00A132B3" w:rsidRPr="003A1174">
        <w:rPr>
          <w:rFonts w:ascii="Garamond" w:hAnsi="Garamond" w:cs="Arial"/>
          <w:color w:val="auto"/>
          <w:sz w:val="24"/>
          <w:szCs w:val="24"/>
          <w:lang w:val="pt-PT"/>
        </w:rPr>
        <w:t xml:space="preserve"> inicial, </w:t>
      </w:r>
      <w:r w:rsidRPr="003A1174">
        <w:rPr>
          <w:rFonts w:ascii="Garamond" w:hAnsi="Garamond" w:cs="Arial"/>
          <w:color w:val="auto"/>
          <w:sz w:val="24"/>
          <w:szCs w:val="24"/>
          <w:lang w:val="pt-PT"/>
        </w:rPr>
        <w:t xml:space="preserve">com </w:t>
      </w:r>
      <w:r w:rsidR="00BA3CCE" w:rsidRPr="003A1174">
        <w:rPr>
          <w:rFonts w:ascii="Garamond" w:hAnsi="Garamond" w:cs="Arial"/>
          <w:color w:val="auto"/>
          <w:sz w:val="24"/>
          <w:szCs w:val="24"/>
          <w:lang w:val="pt-PT"/>
        </w:rPr>
        <w:t>a epígrafe</w:t>
      </w:r>
      <w:r w:rsidR="00A132B3" w:rsidRPr="003A1174">
        <w:rPr>
          <w:rFonts w:ascii="Garamond" w:hAnsi="Garamond" w:cs="Arial"/>
          <w:color w:val="auto"/>
          <w:sz w:val="24"/>
          <w:szCs w:val="24"/>
          <w:lang w:val="pt-PT"/>
        </w:rPr>
        <w:t xml:space="preserve"> </w:t>
      </w:r>
      <w:r w:rsidR="007C4866">
        <w:rPr>
          <w:rFonts w:ascii="Garamond" w:hAnsi="Garamond" w:cs="Arial"/>
          <w:color w:val="auto"/>
          <w:sz w:val="24"/>
          <w:szCs w:val="24"/>
          <w:lang w:val="pt-PT"/>
        </w:rPr>
        <w:t>«</w:t>
      </w:r>
      <w:r w:rsidR="00AF192F" w:rsidRPr="003A1174">
        <w:rPr>
          <w:rFonts w:ascii="Garamond" w:hAnsi="Garamond" w:cs="Arial"/>
          <w:color w:val="auto"/>
          <w:sz w:val="24"/>
          <w:szCs w:val="24"/>
          <w:lang w:val="pt-PT"/>
        </w:rPr>
        <w:t>Obrigação</w:t>
      </w:r>
      <w:r w:rsidR="00A132B3" w:rsidRPr="003A1174">
        <w:rPr>
          <w:rFonts w:ascii="Garamond" w:hAnsi="Garamond" w:cs="Arial"/>
          <w:color w:val="auto"/>
          <w:sz w:val="24"/>
          <w:szCs w:val="24"/>
          <w:lang w:val="pt-PT"/>
        </w:rPr>
        <w:t xml:space="preserve"> de </w:t>
      </w:r>
      <w:r w:rsidR="00661ADB" w:rsidRPr="003A1174">
        <w:rPr>
          <w:rFonts w:ascii="Garamond" w:hAnsi="Garamond" w:cs="Arial"/>
          <w:color w:val="auto"/>
          <w:sz w:val="24"/>
          <w:szCs w:val="24"/>
          <w:lang w:val="pt-PT"/>
        </w:rPr>
        <w:t>respeitar</w:t>
      </w:r>
      <w:r w:rsidRPr="003A1174">
        <w:rPr>
          <w:rFonts w:ascii="Garamond" w:hAnsi="Garamond" w:cs="Arial"/>
          <w:color w:val="auto"/>
          <w:sz w:val="24"/>
          <w:szCs w:val="24"/>
          <w:lang w:val="pt-PT"/>
        </w:rPr>
        <w:t xml:space="preserve"> </w:t>
      </w:r>
      <w:r w:rsidR="00A132B3" w:rsidRPr="003A1174">
        <w:rPr>
          <w:rFonts w:ascii="Garamond" w:hAnsi="Garamond" w:cs="Arial"/>
          <w:color w:val="auto"/>
          <w:sz w:val="24"/>
          <w:szCs w:val="24"/>
          <w:lang w:val="pt-PT"/>
        </w:rPr>
        <w:t xml:space="preserve">os </w:t>
      </w:r>
      <w:r w:rsidR="00886D6A" w:rsidRPr="003A1174">
        <w:rPr>
          <w:rFonts w:ascii="Garamond" w:hAnsi="Garamond" w:cs="Arial"/>
          <w:color w:val="auto"/>
          <w:sz w:val="24"/>
          <w:szCs w:val="24"/>
          <w:lang w:val="pt-PT"/>
        </w:rPr>
        <w:t>direito</w:t>
      </w:r>
      <w:r w:rsidR="00A132B3" w:rsidRPr="003A1174">
        <w:rPr>
          <w:rFonts w:ascii="Garamond" w:hAnsi="Garamond" w:cs="Arial"/>
          <w:color w:val="auto"/>
          <w:sz w:val="24"/>
          <w:szCs w:val="24"/>
          <w:lang w:val="pt-PT"/>
        </w:rPr>
        <w:t>s humanos</w:t>
      </w:r>
      <w:r w:rsidR="007C4866">
        <w:rPr>
          <w:rFonts w:ascii="Garamond" w:hAnsi="Garamond" w:cs="Arial"/>
          <w:color w:val="auto"/>
          <w:sz w:val="24"/>
          <w:szCs w:val="24"/>
          <w:lang w:val="pt-PT"/>
        </w:rPr>
        <w:t>»</w:t>
      </w:r>
      <w:r w:rsidR="00E4247C" w:rsidRPr="003A1174">
        <w:rPr>
          <w:rFonts w:ascii="Garamond" w:hAnsi="Garamond" w:cs="Arial"/>
          <w:color w:val="auto"/>
          <w:sz w:val="24"/>
          <w:szCs w:val="24"/>
          <w:lang w:val="pt-PT"/>
        </w:rPr>
        <w:t>,</w:t>
      </w:r>
      <w:r w:rsidR="00A132B3" w:rsidRPr="003A1174">
        <w:rPr>
          <w:rFonts w:ascii="Garamond" w:hAnsi="Garamond" w:cs="Arial"/>
          <w:color w:val="auto"/>
          <w:sz w:val="24"/>
          <w:szCs w:val="24"/>
          <w:lang w:val="pt-PT"/>
        </w:rPr>
        <w:t xml:space="preserve"> </w:t>
      </w:r>
      <w:r w:rsidR="008537B6" w:rsidRPr="003A1174">
        <w:rPr>
          <w:rFonts w:ascii="Garamond" w:hAnsi="Garamond" w:cs="Arial"/>
          <w:color w:val="auto"/>
          <w:sz w:val="24"/>
          <w:szCs w:val="24"/>
          <w:lang w:val="pt-PT"/>
        </w:rPr>
        <w:t xml:space="preserve">determina que </w:t>
      </w:r>
      <w:r w:rsidR="007C4866" w:rsidRPr="007C4866">
        <w:rPr>
          <w:rFonts w:ascii="Garamond" w:hAnsi="Garamond" w:cs="Arial"/>
          <w:color w:val="auto"/>
          <w:sz w:val="24"/>
          <w:szCs w:val="24"/>
          <w:lang w:val="pt-PT"/>
        </w:rPr>
        <w:t>«</w:t>
      </w:r>
      <w:r w:rsidR="00A132B3" w:rsidRPr="007C4866">
        <w:rPr>
          <w:rFonts w:ascii="Garamond" w:hAnsi="Garamond" w:cs="Arial"/>
          <w:color w:val="auto"/>
          <w:sz w:val="24"/>
          <w:szCs w:val="24"/>
          <w:lang w:val="pt-PT"/>
        </w:rPr>
        <w:t>as Altas Partes Contratantes recon</w:t>
      </w:r>
      <w:r w:rsidR="008537B6" w:rsidRPr="007C4866">
        <w:rPr>
          <w:rFonts w:ascii="Garamond" w:hAnsi="Garamond" w:cs="Arial"/>
          <w:color w:val="auto"/>
          <w:sz w:val="24"/>
          <w:szCs w:val="24"/>
          <w:lang w:val="pt-PT"/>
        </w:rPr>
        <w:t xml:space="preserve">hecem </w:t>
      </w:r>
      <w:r w:rsidR="00FB6D51" w:rsidRPr="007C4866">
        <w:rPr>
          <w:rFonts w:ascii="Garamond" w:hAnsi="Garamond" w:cs="Arial"/>
          <w:color w:val="auto"/>
          <w:sz w:val="24"/>
          <w:szCs w:val="24"/>
          <w:lang w:val="pt-PT"/>
        </w:rPr>
        <w:t xml:space="preserve">a </w:t>
      </w:r>
      <w:r w:rsidR="00A132B3" w:rsidRPr="007C4866">
        <w:rPr>
          <w:rFonts w:ascii="Garamond" w:hAnsi="Garamond" w:cs="Arial"/>
          <w:color w:val="auto"/>
          <w:sz w:val="24"/>
          <w:szCs w:val="24"/>
          <w:lang w:val="pt-PT"/>
        </w:rPr>
        <w:t>toda</w:t>
      </w:r>
      <w:r w:rsidR="008537B6" w:rsidRPr="007C4866">
        <w:rPr>
          <w:rFonts w:ascii="Garamond" w:hAnsi="Garamond" w:cs="Arial"/>
          <w:color w:val="auto"/>
          <w:sz w:val="24"/>
          <w:szCs w:val="24"/>
          <w:lang w:val="pt-PT"/>
        </w:rPr>
        <w:t>s as</w:t>
      </w:r>
      <w:r w:rsidR="00A132B3" w:rsidRPr="007C4866">
        <w:rPr>
          <w:rFonts w:ascii="Garamond" w:hAnsi="Garamond" w:cs="Arial"/>
          <w:color w:val="auto"/>
          <w:sz w:val="24"/>
          <w:szCs w:val="24"/>
          <w:lang w:val="pt-PT"/>
        </w:rPr>
        <w:t xml:space="preserve"> </w:t>
      </w:r>
      <w:r w:rsidR="0005622E" w:rsidRPr="007C4866">
        <w:rPr>
          <w:rFonts w:ascii="Garamond" w:hAnsi="Garamond" w:cs="Arial"/>
          <w:color w:val="auto"/>
          <w:sz w:val="24"/>
          <w:szCs w:val="24"/>
          <w:lang w:val="pt-PT"/>
        </w:rPr>
        <w:t>pessoa</w:t>
      </w:r>
      <w:r w:rsidR="008537B6" w:rsidRPr="007C4866">
        <w:rPr>
          <w:rFonts w:ascii="Garamond" w:hAnsi="Garamond" w:cs="Arial"/>
          <w:color w:val="auto"/>
          <w:sz w:val="24"/>
          <w:szCs w:val="24"/>
          <w:lang w:val="pt-PT"/>
        </w:rPr>
        <w:t xml:space="preserve">s sob a sua </w:t>
      </w:r>
      <w:r w:rsidR="00731B19" w:rsidRPr="007C4866">
        <w:rPr>
          <w:rFonts w:ascii="Garamond" w:hAnsi="Garamond" w:cs="Arial"/>
          <w:color w:val="auto"/>
          <w:sz w:val="24"/>
          <w:szCs w:val="24"/>
          <w:lang w:val="pt-PT"/>
        </w:rPr>
        <w:t>jurisdição</w:t>
      </w:r>
      <w:r w:rsidR="008537B6" w:rsidRPr="007C4866">
        <w:rPr>
          <w:rFonts w:ascii="Garamond" w:hAnsi="Garamond" w:cs="Arial"/>
          <w:color w:val="auto"/>
          <w:sz w:val="24"/>
          <w:szCs w:val="24"/>
          <w:lang w:val="pt-PT"/>
        </w:rPr>
        <w:t xml:space="preserve"> </w:t>
      </w:r>
      <w:r w:rsidR="00A132B3" w:rsidRPr="007C4866">
        <w:rPr>
          <w:rFonts w:ascii="Garamond" w:hAnsi="Garamond" w:cs="Arial"/>
          <w:color w:val="auto"/>
          <w:sz w:val="24"/>
          <w:szCs w:val="24"/>
          <w:lang w:val="pt-PT"/>
        </w:rPr>
        <w:t xml:space="preserve">os </w:t>
      </w:r>
      <w:r w:rsidR="00886D6A" w:rsidRPr="007C4866">
        <w:rPr>
          <w:rFonts w:ascii="Garamond" w:hAnsi="Garamond" w:cs="Arial"/>
          <w:color w:val="auto"/>
          <w:sz w:val="24"/>
          <w:szCs w:val="24"/>
          <w:lang w:val="pt-PT"/>
        </w:rPr>
        <w:t>direito</w:t>
      </w:r>
      <w:r w:rsidR="00A132B3" w:rsidRPr="007C4866">
        <w:rPr>
          <w:rFonts w:ascii="Garamond" w:hAnsi="Garamond" w:cs="Arial"/>
          <w:color w:val="auto"/>
          <w:sz w:val="24"/>
          <w:szCs w:val="24"/>
          <w:lang w:val="pt-PT"/>
        </w:rPr>
        <w:t xml:space="preserve">s </w:t>
      </w:r>
      <w:r w:rsidR="008537B6" w:rsidRPr="007C4866">
        <w:rPr>
          <w:rFonts w:ascii="Garamond" w:hAnsi="Garamond" w:cs="Arial"/>
          <w:color w:val="auto"/>
          <w:sz w:val="24"/>
          <w:szCs w:val="24"/>
          <w:lang w:val="pt-PT"/>
        </w:rPr>
        <w:t>e</w:t>
      </w:r>
      <w:r w:rsidR="00A132B3" w:rsidRPr="007C4866">
        <w:rPr>
          <w:rFonts w:ascii="Garamond" w:hAnsi="Garamond" w:cs="Arial"/>
          <w:color w:val="auto"/>
          <w:sz w:val="24"/>
          <w:szCs w:val="24"/>
          <w:lang w:val="pt-PT"/>
        </w:rPr>
        <w:t xml:space="preserve"> </w:t>
      </w:r>
      <w:r w:rsidR="006506C6" w:rsidRPr="007C4866">
        <w:rPr>
          <w:rFonts w:ascii="Garamond" w:hAnsi="Garamond" w:cs="Arial"/>
          <w:color w:val="auto"/>
          <w:sz w:val="24"/>
          <w:szCs w:val="24"/>
          <w:lang w:val="pt-PT"/>
        </w:rPr>
        <w:t>liberdades</w:t>
      </w:r>
      <w:r w:rsidR="00A132B3" w:rsidRPr="007C4866">
        <w:rPr>
          <w:rFonts w:ascii="Garamond" w:hAnsi="Garamond" w:cs="Arial"/>
          <w:color w:val="auto"/>
          <w:sz w:val="24"/>
          <w:szCs w:val="24"/>
          <w:lang w:val="pt-PT"/>
        </w:rPr>
        <w:t xml:space="preserve"> definidos </w:t>
      </w:r>
      <w:r w:rsidR="008537B6" w:rsidRPr="007C4866">
        <w:rPr>
          <w:rFonts w:ascii="Garamond" w:hAnsi="Garamond" w:cs="Arial"/>
          <w:color w:val="auto"/>
          <w:sz w:val="24"/>
          <w:szCs w:val="24"/>
          <w:lang w:val="pt-PT"/>
        </w:rPr>
        <w:t xml:space="preserve">no </w:t>
      </w:r>
      <w:r w:rsidR="00C031E1" w:rsidRPr="007C4866">
        <w:rPr>
          <w:rFonts w:ascii="Garamond" w:hAnsi="Garamond" w:cs="Arial"/>
          <w:color w:val="auto"/>
          <w:sz w:val="24"/>
          <w:szCs w:val="24"/>
          <w:lang w:val="pt-PT"/>
        </w:rPr>
        <w:t>Título</w:t>
      </w:r>
      <w:r w:rsidR="00A132B3" w:rsidRPr="007C4866">
        <w:rPr>
          <w:rFonts w:ascii="Garamond" w:hAnsi="Garamond" w:cs="Arial"/>
          <w:color w:val="auto"/>
          <w:sz w:val="24"/>
          <w:szCs w:val="24"/>
          <w:lang w:val="pt-PT"/>
        </w:rPr>
        <w:t xml:space="preserve"> I d</w:t>
      </w:r>
      <w:r w:rsidR="008537B6" w:rsidRPr="007C4866">
        <w:rPr>
          <w:rFonts w:ascii="Garamond" w:hAnsi="Garamond" w:cs="Arial"/>
          <w:color w:val="auto"/>
          <w:sz w:val="24"/>
          <w:szCs w:val="24"/>
          <w:lang w:val="pt-PT"/>
        </w:rPr>
        <w:t>o</w:t>
      </w:r>
      <w:r w:rsidR="00A132B3" w:rsidRPr="007C4866">
        <w:rPr>
          <w:rFonts w:ascii="Garamond" w:hAnsi="Garamond" w:cs="Arial"/>
          <w:color w:val="auto"/>
          <w:sz w:val="24"/>
          <w:szCs w:val="24"/>
          <w:lang w:val="pt-PT"/>
        </w:rPr>
        <w:t xml:space="preserve"> presente </w:t>
      </w:r>
      <w:r w:rsidR="00144B9F" w:rsidRPr="007C4866">
        <w:rPr>
          <w:rFonts w:ascii="Garamond" w:hAnsi="Garamond" w:cs="Arial"/>
          <w:color w:val="auto"/>
          <w:sz w:val="24"/>
          <w:szCs w:val="24"/>
          <w:lang w:val="pt-PT"/>
        </w:rPr>
        <w:t>Convenção</w:t>
      </w:r>
      <w:r w:rsidR="007C4866" w:rsidRPr="007C4866">
        <w:rPr>
          <w:rFonts w:ascii="Garamond" w:hAnsi="Garamond" w:cs="Arial"/>
          <w:color w:val="auto"/>
          <w:sz w:val="24"/>
          <w:szCs w:val="24"/>
          <w:lang w:val="pt-PT"/>
        </w:rPr>
        <w:t>»</w:t>
      </w:r>
      <w:r w:rsidR="00A132B3" w:rsidRPr="003A1174">
        <w:rPr>
          <w:rFonts w:ascii="Garamond" w:hAnsi="Garamond" w:cs="Arial"/>
          <w:color w:val="auto"/>
          <w:sz w:val="24"/>
          <w:szCs w:val="24"/>
          <w:lang w:val="pt-PT"/>
        </w:rPr>
        <w:t xml:space="preserve"> </w:t>
      </w:r>
      <w:r w:rsidR="00A132B3" w:rsidRPr="003A1174">
        <w:rPr>
          <w:rStyle w:val="Refdenotaalpie"/>
          <w:rFonts w:ascii="Garamond" w:hAnsi="Garamond" w:cs="Arial"/>
          <w:color w:val="auto"/>
          <w:sz w:val="24"/>
          <w:szCs w:val="24"/>
        </w:rPr>
        <w:footnoteReference w:id="31"/>
      </w:r>
      <w:r w:rsidR="008537B6" w:rsidRPr="003A1174">
        <w:rPr>
          <w:rFonts w:ascii="Garamond" w:hAnsi="Garamond" w:cs="Arial"/>
          <w:color w:val="auto"/>
          <w:sz w:val="24"/>
          <w:szCs w:val="24"/>
          <w:lang w:val="pt-PT"/>
        </w:rPr>
        <w:t xml:space="preserve">. </w:t>
      </w:r>
      <w:r w:rsidR="00A132B3" w:rsidRPr="003A1174">
        <w:rPr>
          <w:rFonts w:ascii="Garamond" w:hAnsi="Garamond" w:cs="Arial"/>
          <w:color w:val="auto"/>
          <w:sz w:val="24"/>
          <w:szCs w:val="24"/>
          <w:lang w:val="pt-PT"/>
        </w:rPr>
        <w:t>Esta disposi</w:t>
      </w:r>
      <w:r w:rsidR="008537B6" w:rsidRPr="003A1174">
        <w:rPr>
          <w:rFonts w:ascii="Garamond" w:hAnsi="Garamond" w:cs="Arial"/>
          <w:color w:val="auto"/>
          <w:sz w:val="24"/>
          <w:szCs w:val="24"/>
          <w:lang w:val="pt-PT"/>
        </w:rPr>
        <w:t>ção</w:t>
      </w:r>
      <w:r w:rsidR="00E4247C" w:rsidRPr="003A1174">
        <w:rPr>
          <w:rFonts w:ascii="Garamond" w:hAnsi="Garamond" w:cs="Arial"/>
          <w:color w:val="auto"/>
          <w:sz w:val="24"/>
          <w:szCs w:val="24"/>
          <w:lang w:val="pt-PT"/>
        </w:rPr>
        <w:t>,</w:t>
      </w:r>
      <w:r w:rsidR="00A132B3" w:rsidRPr="003A1174">
        <w:rPr>
          <w:rFonts w:ascii="Garamond" w:hAnsi="Garamond" w:cs="Arial"/>
          <w:color w:val="auto"/>
          <w:sz w:val="24"/>
          <w:szCs w:val="24"/>
          <w:lang w:val="pt-PT"/>
        </w:rPr>
        <w:t xml:space="preserve"> que </w:t>
      </w:r>
      <w:r w:rsidR="008537B6" w:rsidRPr="003A1174">
        <w:rPr>
          <w:rFonts w:ascii="Garamond" w:hAnsi="Garamond" w:cs="Arial"/>
          <w:color w:val="auto"/>
          <w:sz w:val="24"/>
          <w:szCs w:val="24"/>
          <w:lang w:val="pt-PT"/>
        </w:rPr>
        <w:t>na opinião</w:t>
      </w:r>
      <w:r w:rsidR="00A132B3" w:rsidRPr="003A1174">
        <w:rPr>
          <w:rFonts w:ascii="Garamond" w:hAnsi="Garamond" w:cs="Arial"/>
          <w:color w:val="auto"/>
          <w:sz w:val="24"/>
          <w:szCs w:val="24"/>
          <w:lang w:val="pt-PT"/>
        </w:rPr>
        <w:t xml:space="preserve"> de Juan Antonio Carrillo Salcedo </w:t>
      </w:r>
      <w:r w:rsidR="00030F56">
        <w:rPr>
          <w:rFonts w:ascii="Garamond" w:hAnsi="Garamond" w:cs="Arial"/>
          <w:color w:val="auto"/>
          <w:sz w:val="24"/>
          <w:szCs w:val="24"/>
          <w:lang w:val="pt-PT"/>
        </w:rPr>
        <w:t>-</w:t>
      </w:r>
      <w:r w:rsidR="008537B6" w:rsidRPr="003A1174">
        <w:rPr>
          <w:rFonts w:ascii="Garamond" w:hAnsi="Garamond" w:cs="Arial"/>
          <w:color w:val="auto"/>
          <w:sz w:val="24"/>
          <w:szCs w:val="24"/>
          <w:lang w:val="pt-PT"/>
        </w:rPr>
        <w:t xml:space="preserve"> de acordo com o que recorda </w:t>
      </w:r>
      <w:r w:rsidR="00A132B3" w:rsidRPr="003A1174">
        <w:rPr>
          <w:rFonts w:ascii="Garamond" w:hAnsi="Garamond" w:cs="Arial"/>
          <w:color w:val="auto"/>
          <w:sz w:val="24"/>
          <w:szCs w:val="24"/>
          <w:lang w:val="pt-PT"/>
        </w:rPr>
        <w:t>Ibáñez Rivas</w:t>
      </w:r>
      <w:r w:rsidR="00A132B3" w:rsidRPr="003A1174">
        <w:rPr>
          <w:rStyle w:val="Refdenotaalpie"/>
          <w:rFonts w:ascii="Garamond" w:hAnsi="Garamond" w:cs="Arial"/>
          <w:color w:val="auto"/>
          <w:sz w:val="24"/>
          <w:szCs w:val="24"/>
        </w:rPr>
        <w:footnoteReference w:id="32"/>
      </w:r>
      <w:r w:rsidR="008537B6" w:rsidRPr="003A1174">
        <w:rPr>
          <w:rFonts w:ascii="Garamond" w:hAnsi="Garamond" w:cs="Arial"/>
          <w:color w:val="auto"/>
          <w:sz w:val="24"/>
          <w:szCs w:val="24"/>
          <w:lang w:val="pt-PT"/>
        </w:rPr>
        <w:t xml:space="preserve"> </w:t>
      </w:r>
      <w:r w:rsidR="00030F56">
        <w:rPr>
          <w:rFonts w:ascii="Garamond" w:hAnsi="Garamond" w:cs="Arial"/>
          <w:color w:val="auto"/>
          <w:sz w:val="24"/>
          <w:szCs w:val="24"/>
          <w:lang w:val="pt-PT"/>
        </w:rPr>
        <w:t>-</w:t>
      </w:r>
      <w:r w:rsidR="008537B6" w:rsidRPr="003A1174">
        <w:rPr>
          <w:rFonts w:ascii="Garamond" w:hAnsi="Garamond" w:cs="Arial"/>
          <w:color w:val="auto"/>
          <w:sz w:val="24"/>
          <w:szCs w:val="24"/>
          <w:lang w:val="pt-PT"/>
        </w:rPr>
        <w:t xml:space="preserve"> </w:t>
      </w:r>
      <w:r w:rsidR="00A132B3" w:rsidRPr="003A1174">
        <w:rPr>
          <w:rFonts w:ascii="Garamond" w:hAnsi="Garamond" w:cs="Arial"/>
          <w:color w:val="auto"/>
          <w:sz w:val="24"/>
          <w:szCs w:val="24"/>
          <w:lang w:val="pt-PT"/>
        </w:rPr>
        <w:t>n</w:t>
      </w:r>
      <w:r w:rsidR="008537B6" w:rsidRPr="003A1174">
        <w:rPr>
          <w:rFonts w:ascii="Garamond" w:hAnsi="Garamond" w:cs="Arial"/>
          <w:color w:val="auto"/>
          <w:sz w:val="24"/>
          <w:szCs w:val="24"/>
          <w:lang w:val="pt-PT"/>
        </w:rPr>
        <w:t>a</w:t>
      </w:r>
      <w:r w:rsidR="00A132B3" w:rsidRPr="003A1174">
        <w:rPr>
          <w:rFonts w:ascii="Garamond" w:hAnsi="Garamond" w:cs="Arial"/>
          <w:color w:val="auto"/>
          <w:sz w:val="24"/>
          <w:szCs w:val="24"/>
          <w:lang w:val="pt-PT"/>
        </w:rPr>
        <w:t xml:space="preserve"> </w:t>
      </w:r>
      <w:r w:rsidR="002C7510" w:rsidRPr="003A1174">
        <w:rPr>
          <w:rFonts w:ascii="Garamond" w:hAnsi="Garamond" w:cs="Arial"/>
          <w:color w:val="auto"/>
          <w:sz w:val="24"/>
          <w:szCs w:val="24"/>
          <w:lang w:val="pt-PT"/>
        </w:rPr>
        <w:t>realidade</w:t>
      </w:r>
      <w:r w:rsidR="008537B6" w:rsidRPr="003A1174">
        <w:rPr>
          <w:rFonts w:ascii="Garamond" w:hAnsi="Garamond" w:cs="Arial"/>
          <w:color w:val="auto"/>
          <w:sz w:val="24"/>
          <w:szCs w:val="24"/>
          <w:lang w:val="pt-PT"/>
        </w:rPr>
        <w:t xml:space="preserve"> gera para </w:t>
      </w:r>
      <w:r w:rsidR="00A132B3" w:rsidRPr="003A1174">
        <w:rPr>
          <w:rFonts w:ascii="Garamond" w:hAnsi="Garamond" w:cs="Arial"/>
          <w:color w:val="auto"/>
          <w:sz w:val="24"/>
          <w:szCs w:val="24"/>
          <w:lang w:val="pt-PT"/>
        </w:rPr>
        <w:t xml:space="preserve">os Estados </w:t>
      </w:r>
      <w:r w:rsidR="008537B6" w:rsidRPr="003A1174">
        <w:rPr>
          <w:rFonts w:ascii="Garamond" w:hAnsi="Garamond" w:cs="Arial"/>
          <w:color w:val="auto"/>
          <w:sz w:val="24"/>
          <w:szCs w:val="24"/>
          <w:lang w:val="pt-PT"/>
        </w:rPr>
        <w:t xml:space="preserve">membros nesse TIDH </w:t>
      </w:r>
      <w:r w:rsidR="007C4866">
        <w:rPr>
          <w:rFonts w:ascii="Garamond" w:hAnsi="Garamond" w:cs="Arial"/>
          <w:color w:val="auto"/>
          <w:sz w:val="24"/>
          <w:szCs w:val="24"/>
          <w:lang w:val="pt-PT"/>
        </w:rPr>
        <w:t>«</w:t>
      </w:r>
      <w:r w:rsidR="008537B6" w:rsidRPr="003A1174">
        <w:rPr>
          <w:rFonts w:ascii="Garamond" w:hAnsi="Garamond" w:cs="Arial"/>
          <w:color w:val="auto"/>
          <w:sz w:val="24"/>
          <w:szCs w:val="24"/>
          <w:lang w:val="pt-PT"/>
        </w:rPr>
        <w:t>um</w:t>
      </w:r>
      <w:r w:rsidR="00A132B3"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obrigação</w:t>
      </w:r>
      <w:r w:rsidR="008537B6" w:rsidRPr="003A1174">
        <w:rPr>
          <w:rFonts w:ascii="Garamond" w:hAnsi="Garamond" w:cs="Arial"/>
          <w:color w:val="auto"/>
          <w:sz w:val="24"/>
          <w:szCs w:val="24"/>
          <w:lang w:val="pt-PT"/>
        </w:rPr>
        <w:t xml:space="preserve"> dupla: em</w:t>
      </w:r>
      <w:r w:rsidR="00A132B3" w:rsidRPr="003A1174">
        <w:rPr>
          <w:rFonts w:ascii="Garamond" w:hAnsi="Garamond" w:cs="Arial"/>
          <w:color w:val="auto"/>
          <w:sz w:val="24"/>
          <w:szCs w:val="24"/>
          <w:lang w:val="pt-PT"/>
        </w:rPr>
        <w:t xml:space="preserve"> </w:t>
      </w:r>
      <w:r w:rsidR="00276DCA" w:rsidRPr="003A1174">
        <w:rPr>
          <w:rFonts w:ascii="Garamond" w:hAnsi="Garamond" w:cs="Arial"/>
          <w:color w:val="auto"/>
          <w:sz w:val="24"/>
          <w:szCs w:val="24"/>
          <w:lang w:val="pt-PT"/>
        </w:rPr>
        <w:t>primeiro</w:t>
      </w:r>
      <w:r w:rsidR="00A132B3" w:rsidRPr="003A1174">
        <w:rPr>
          <w:rFonts w:ascii="Garamond" w:hAnsi="Garamond" w:cs="Arial"/>
          <w:color w:val="auto"/>
          <w:sz w:val="24"/>
          <w:szCs w:val="24"/>
          <w:lang w:val="pt-PT"/>
        </w:rPr>
        <w:t xml:space="preserve"> lugar, </w:t>
      </w:r>
      <w:r w:rsidR="002D1021" w:rsidRPr="003A1174">
        <w:rPr>
          <w:rFonts w:ascii="Garamond" w:hAnsi="Garamond" w:cs="Arial"/>
          <w:color w:val="auto"/>
          <w:sz w:val="24"/>
          <w:szCs w:val="24"/>
          <w:lang w:val="pt-PT"/>
        </w:rPr>
        <w:t>assegurar</w:t>
      </w:r>
      <w:r w:rsidR="00A132B3" w:rsidRPr="003A1174">
        <w:rPr>
          <w:rFonts w:ascii="Garamond" w:hAnsi="Garamond" w:cs="Arial"/>
          <w:color w:val="auto"/>
          <w:sz w:val="24"/>
          <w:szCs w:val="24"/>
          <w:lang w:val="pt-PT"/>
        </w:rPr>
        <w:t xml:space="preserve"> que </w:t>
      </w:r>
      <w:r w:rsidR="008537B6" w:rsidRPr="003A1174">
        <w:rPr>
          <w:rFonts w:ascii="Garamond" w:hAnsi="Garamond" w:cs="Arial"/>
          <w:color w:val="auto"/>
          <w:sz w:val="24"/>
          <w:szCs w:val="24"/>
          <w:lang w:val="pt-PT"/>
        </w:rPr>
        <w:t xml:space="preserve">o </w:t>
      </w:r>
      <w:r w:rsidR="00A132B3" w:rsidRPr="003A1174">
        <w:rPr>
          <w:rFonts w:ascii="Garamond" w:hAnsi="Garamond" w:cs="Arial"/>
          <w:color w:val="auto"/>
          <w:sz w:val="24"/>
          <w:szCs w:val="24"/>
          <w:lang w:val="pt-PT"/>
        </w:rPr>
        <w:t>s</w:t>
      </w:r>
      <w:r w:rsidR="008537B6" w:rsidRPr="003A1174">
        <w:rPr>
          <w:rFonts w:ascii="Garamond" w:hAnsi="Garamond" w:cs="Arial"/>
          <w:color w:val="auto"/>
          <w:sz w:val="24"/>
          <w:szCs w:val="24"/>
          <w:lang w:val="pt-PT"/>
        </w:rPr>
        <w:t>e</w:t>
      </w:r>
      <w:r w:rsidR="00A132B3" w:rsidRPr="003A1174">
        <w:rPr>
          <w:rFonts w:ascii="Garamond" w:hAnsi="Garamond" w:cs="Arial"/>
          <w:color w:val="auto"/>
          <w:sz w:val="24"/>
          <w:szCs w:val="24"/>
          <w:lang w:val="pt-PT"/>
        </w:rPr>
        <w:t xml:space="preserve">u </w:t>
      </w:r>
      <w:r w:rsidR="00886D6A" w:rsidRPr="003A1174">
        <w:rPr>
          <w:rFonts w:ascii="Garamond" w:hAnsi="Garamond" w:cs="Arial"/>
          <w:color w:val="auto"/>
          <w:sz w:val="24"/>
          <w:szCs w:val="24"/>
          <w:lang w:val="pt-PT"/>
        </w:rPr>
        <w:t>direito</w:t>
      </w:r>
      <w:r w:rsidR="00A132B3" w:rsidRPr="003A1174">
        <w:rPr>
          <w:rFonts w:ascii="Garamond" w:hAnsi="Garamond" w:cs="Arial"/>
          <w:color w:val="auto"/>
          <w:sz w:val="24"/>
          <w:szCs w:val="24"/>
          <w:lang w:val="pt-PT"/>
        </w:rPr>
        <w:t xml:space="preserve"> interno </w:t>
      </w:r>
      <w:r w:rsidR="008537B6" w:rsidRPr="003A1174">
        <w:rPr>
          <w:rFonts w:ascii="Garamond" w:hAnsi="Garamond" w:cs="Arial"/>
          <w:color w:val="auto"/>
          <w:sz w:val="24"/>
          <w:szCs w:val="24"/>
          <w:lang w:val="pt-PT"/>
        </w:rPr>
        <w:t>é compatível</w:t>
      </w:r>
      <w:r w:rsidR="00A132B3" w:rsidRPr="003A1174">
        <w:rPr>
          <w:rFonts w:ascii="Garamond" w:hAnsi="Garamond" w:cs="Arial"/>
          <w:color w:val="auto"/>
          <w:sz w:val="24"/>
          <w:szCs w:val="24"/>
          <w:lang w:val="pt-PT"/>
        </w:rPr>
        <w:t xml:space="preserve"> co</w:t>
      </w:r>
      <w:r w:rsidR="008537B6" w:rsidRPr="003A1174">
        <w:rPr>
          <w:rFonts w:ascii="Garamond" w:hAnsi="Garamond" w:cs="Arial"/>
          <w:color w:val="auto"/>
          <w:sz w:val="24"/>
          <w:szCs w:val="24"/>
          <w:lang w:val="pt-PT"/>
        </w:rPr>
        <w:t xml:space="preserve">m </w:t>
      </w:r>
      <w:r w:rsidR="00A132B3"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A132B3" w:rsidRPr="003A1174">
        <w:rPr>
          <w:rFonts w:ascii="Garamond" w:hAnsi="Garamond" w:cs="Arial"/>
          <w:color w:val="auto"/>
          <w:sz w:val="24"/>
          <w:szCs w:val="24"/>
          <w:lang w:val="pt-PT"/>
        </w:rPr>
        <w:t xml:space="preserve">; </w:t>
      </w:r>
      <w:r w:rsidR="008537B6" w:rsidRPr="003A1174">
        <w:rPr>
          <w:rFonts w:ascii="Garamond" w:hAnsi="Garamond" w:cs="Arial"/>
          <w:color w:val="auto"/>
          <w:sz w:val="24"/>
          <w:szCs w:val="24"/>
          <w:lang w:val="pt-PT"/>
        </w:rPr>
        <w:t xml:space="preserve">e em </w:t>
      </w:r>
      <w:r w:rsidR="00A132B3" w:rsidRPr="003A1174">
        <w:rPr>
          <w:rFonts w:ascii="Garamond" w:hAnsi="Garamond" w:cs="Arial"/>
          <w:color w:val="auto"/>
          <w:sz w:val="24"/>
          <w:szCs w:val="24"/>
          <w:lang w:val="pt-PT"/>
        </w:rPr>
        <w:t xml:space="preserve">segundo lugar, </w:t>
      </w:r>
      <w:r w:rsidR="008537B6" w:rsidRPr="003A1174">
        <w:rPr>
          <w:rFonts w:ascii="Garamond" w:hAnsi="Garamond" w:cs="Arial"/>
          <w:color w:val="auto"/>
          <w:sz w:val="24"/>
          <w:szCs w:val="24"/>
          <w:lang w:val="pt-PT"/>
        </w:rPr>
        <w:t xml:space="preserve">reparar </w:t>
      </w:r>
      <w:r w:rsidR="00A132B3" w:rsidRPr="003A1174">
        <w:rPr>
          <w:rFonts w:ascii="Garamond" w:hAnsi="Garamond" w:cs="Arial"/>
          <w:color w:val="auto"/>
          <w:sz w:val="24"/>
          <w:szCs w:val="24"/>
          <w:lang w:val="pt-PT"/>
        </w:rPr>
        <w:t>todo</w:t>
      </w:r>
      <w:r w:rsidR="008537B6" w:rsidRPr="003A1174">
        <w:rPr>
          <w:rFonts w:ascii="Garamond" w:hAnsi="Garamond" w:cs="Arial"/>
          <w:color w:val="auto"/>
          <w:sz w:val="24"/>
          <w:szCs w:val="24"/>
          <w:lang w:val="pt-PT"/>
        </w:rPr>
        <w:t xml:space="preserve"> o</w:t>
      </w:r>
      <w:r w:rsidR="00A132B3" w:rsidRPr="003A1174">
        <w:rPr>
          <w:rFonts w:ascii="Garamond" w:hAnsi="Garamond" w:cs="Arial"/>
          <w:color w:val="auto"/>
          <w:sz w:val="24"/>
          <w:szCs w:val="24"/>
          <w:lang w:val="pt-PT"/>
        </w:rPr>
        <w:t xml:space="preserve"> des</w:t>
      </w:r>
      <w:r w:rsidR="003E6403" w:rsidRPr="003A1174">
        <w:rPr>
          <w:rFonts w:ascii="Garamond" w:hAnsi="Garamond" w:cs="Arial"/>
          <w:color w:val="auto"/>
          <w:sz w:val="24"/>
          <w:szCs w:val="24"/>
          <w:lang w:val="pt-PT"/>
        </w:rPr>
        <w:t>conhecimento</w:t>
      </w:r>
      <w:r w:rsidR="00A132B3" w:rsidRPr="003A1174">
        <w:rPr>
          <w:rFonts w:ascii="Garamond" w:hAnsi="Garamond" w:cs="Arial"/>
          <w:color w:val="auto"/>
          <w:sz w:val="24"/>
          <w:szCs w:val="24"/>
          <w:lang w:val="pt-PT"/>
        </w:rPr>
        <w:t xml:space="preserve"> dos </w:t>
      </w:r>
      <w:r w:rsidR="00886D6A" w:rsidRPr="003A1174">
        <w:rPr>
          <w:rFonts w:ascii="Garamond" w:hAnsi="Garamond" w:cs="Arial"/>
          <w:color w:val="auto"/>
          <w:sz w:val="24"/>
          <w:szCs w:val="24"/>
          <w:lang w:val="pt-PT"/>
        </w:rPr>
        <w:t>direito</w:t>
      </w:r>
      <w:r w:rsidR="008537B6" w:rsidRPr="003A1174">
        <w:rPr>
          <w:rFonts w:ascii="Garamond" w:hAnsi="Garamond" w:cs="Arial"/>
          <w:color w:val="auto"/>
          <w:sz w:val="24"/>
          <w:szCs w:val="24"/>
          <w:lang w:val="pt-PT"/>
        </w:rPr>
        <w:t>s e</w:t>
      </w:r>
      <w:r w:rsidR="00A132B3" w:rsidRPr="003A1174">
        <w:rPr>
          <w:rFonts w:ascii="Garamond" w:hAnsi="Garamond" w:cs="Arial"/>
          <w:color w:val="auto"/>
          <w:sz w:val="24"/>
          <w:szCs w:val="24"/>
          <w:lang w:val="pt-PT"/>
        </w:rPr>
        <w:t xml:space="preserve"> </w:t>
      </w:r>
      <w:r w:rsidR="006506C6" w:rsidRPr="003A1174">
        <w:rPr>
          <w:rFonts w:ascii="Garamond" w:hAnsi="Garamond" w:cs="Arial"/>
          <w:color w:val="auto"/>
          <w:sz w:val="24"/>
          <w:szCs w:val="24"/>
          <w:lang w:val="pt-PT"/>
        </w:rPr>
        <w:t>liberdades</w:t>
      </w:r>
      <w:r w:rsidR="008537B6" w:rsidRPr="003A1174">
        <w:rPr>
          <w:rFonts w:ascii="Garamond" w:hAnsi="Garamond" w:cs="Arial"/>
          <w:color w:val="auto"/>
          <w:sz w:val="24"/>
          <w:szCs w:val="24"/>
          <w:lang w:val="pt-PT"/>
        </w:rPr>
        <w:t xml:space="preserve"> protegidos por el</w:t>
      </w:r>
      <w:r w:rsidR="00A132B3" w:rsidRPr="003A1174">
        <w:rPr>
          <w:rFonts w:ascii="Garamond" w:hAnsi="Garamond" w:cs="Arial"/>
          <w:color w:val="auto"/>
          <w:sz w:val="24"/>
          <w:szCs w:val="24"/>
          <w:lang w:val="pt-PT"/>
        </w:rPr>
        <w:t>a.</w:t>
      </w:r>
      <w:r w:rsidR="007C4866">
        <w:rPr>
          <w:rFonts w:ascii="Garamond" w:hAnsi="Garamond" w:cs="Arial"/>
          <w:color w:val="auto"/>
          <w:sz w:val="24"/>
          <w:szCs w:val="24"/>
          <w:lang w:val="pt-PT"/>
        </w:rPr>
        <w:t>»</w:t>
      </w:r>
      <w:r w:rsidR="00A132B3" w:rsidRPr="003A1174">
        <w:rPr>
          <w:rFonts w:ascii="Garamond" w:hAnsi="Garamond" w:cs="Arial"/>
          <w:color w:val="auto"/>
          <w:sz w:val="24"/>
          <w:szCs w:val="24"/>
          <w:lang w:val="pt-PT"/>
        </w:rPr>
        <w:t xml:space="preserve"> </w:t>
      </w:r>
    </w:p>
    <w:p w:rsidR="00A132B3" w:rsidRPr="003A1174" w:rsidRDefault="008537B6" w:rsidP="008537B6">
      <w:pPr>
        <w:pStyle w:val="Textonotapie"/>
        <w:tabs>
          <w:tab w:val="clear" w:pos="708"/>
          <w:tab w:val="left" w:pos="5556"/>
        </w:tabs>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 </w:t>
      </w:r>
    </w:p>
    <w:p w:rsidR="00E878D5" w:rsidRPr="003A1174" w:rsidRDefault="00A132B3" w:rsidP="008719D4">
      <w:pPr>
        <w:pStyle w:val="Textonotapie"/>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w:t>
      </w:r>
      <w:r w:rsidR="008537B6" w:rsidRPr="003A1174">
        <w:rPr>
          <w:rFonts w:ascii="Garamond" w:hAnsi="Garamond" w:cs="Arial"/>
          <w:color w:val="auto"/>
          <w:sz w:val="24"/>
          <w:szCs w:val="24"/>
          <w:lang w:val="pt-PT"/>
        </w:rPr>
        <w:t>ã</w:t>
      </w:r>
      <w:r w:rsidRPr="003A1174">
        <w:rPr>
          <w:rFonts w:ascii="Garamond" w:hAnsi="Garamond" w:cs="Arial"/>
          <w:color w:val="auto"/>
          <w:sz w:val="24"/>
          <w:szCs w:val="24"/>
          <w:lang w:val="pt-PT"/>
        </w:rPr>
        <w:t xml:space="preserve">o </w:t>
      </w:r>
      <w:r w:rsidR="008537B6" w:rsidRPr="003A1174">
        <w:rPr>
          <w:rFonts w:ascii="Garamond" w:hAnsi="Garamond" w:cs="Arial"/>
          <w:color w:val="auto"/>
          <w:sz w:val="24"/>
          <w:szCs w:val="24"/>
          <w:lang w:val="pt-PT"/>
        </w:rPr>
        <w:t xml:space="preserve">há dúvida que </w:t>
      </w:r>
      <w:r w:rsidRPr="003A1174">
        <w:rPr>
          <w:rFonts w:ascii="Garamond" w:hAnsi="Garamond" w:cs="Arial"/>
          <w:color w:val="auto"/>
          <w:sz w:val="24"/>
          <w:szCs w:val="24"/>
          <w:lang w:val="pt-PT"/>
        </w:rPr>
        <w:t xml:space="preserve">a </w:t>
      </w:r>
      <w:r w:rsidR="008537B6" w:rsidRPr="003A1174">
        <w:rPr>
          <w:rFonts w:ascii="Garamond" w:hAnsi="Garamond" w:cs="Arial"/>
          <w:color w:val="auto"/>
          <w:sz w:val="24"/>
          <w:szCs w:val="24"/>
          <w:lang w:val="pt-PT"/>
        </w:rPr>
        <w:t xml:space="preserve">opção de todos </w:t>
      </w:r>
      <w:r w:rsidRPr="003A1174">
        <w:rPr>
          <w:rFonts w:ascii="Garamond" w:hAnsi="Garamond" w:cs="Arial"/>
          <w:color w:val="auto"/>
          <w:sz w:val="24"/>
          <w:szCs w:val="24"/>
          <w:lang w:val="pt-PT"/>
        </w:rPr>
        <w:t xml:space="preserve">os sistemas de </w:t>
      </w:r>
      <w:r w:rsidR="00886D6A" w:rsidRPr="003A1174">
        <w:rPr>
          <w:rFonts w:ascii="Garamond" w:hAnsi="Garamond" w:cs="Arial"/>
          <w:color w:val="auto"/>
          <w:sz w:val="24"/>
          <w:szCs w:val="24"/>
          <w:lang w:val="pt-PT"/>
        </w:rPr>
        <w:t>proteção</w:t>
      </w:r>
      <w:r w:rsidRPr="003A1174">
        <w:rPr>
          <w:rFonts w:ascii="Garamond" w:hAnsi="Garamond" w:cs="Arial"/>
          <w:color w:val="auto"/>
          <w:sz w:val="24"/>
          <w:szCs w:val="24"/>
          <w:lang w:val="pt-PT"/>
        </w:rPr>
        <w:t xml:space="preserve"> internacional de </w:t>
      </w:r>
      <w:r w:rsidR="00886D6A" w:rsidRPr="003A1174">
        <w:rPr>
          <w:rFonts w:ascii="Garamond" w:hAnsi="Garamond" w:cs="Arial"/>
          <w:color w:val="auto"/>
          <w:sz w:val="24"/>
          <w:szCs w:val="24"/>
          <w:lang w:val="pt-PT"/>
        </w:rPr>
        <w:t>direito</w:t>
      </w:r>
      <w:r w:rsidRPr="003A1174">
        <w:rPr>
          <w:rFonts w:ascii="Garamond" w:hAnsi="Garamond" w:cs="Arial"/>
          <w:color w:val="auto"/>
          <w:sz w:val="24"/>
          <w:szCs w:val="24"/>
          <w:lang w:val="pt-PT"/>
        </w:rPr>
        <w:t>s humanos</w:t>
      </w:r>
      <w:r w:rsidR="008537B6" w:rsidRPr="003A1174">
        <w:rPr>
          <w:rFonts w:ascii="Garamond" w:hAnsi="Garamond" w:cs="Arial"/>
          <w:color w:val="auto"/>
          <w:sz w:val="24"/>
          <w:szCs w:val="24"/>
          <w:lang w:val="pt-PT"/>
        </w:rPr>
        <w:t xml:space="preserve"> é conseguir que </w:t>
      </w:r>
      <w:r w:rsidRPr="003A1174">
        <w:rPr>
          <w:rFonts w:ascii="Garamond" w:hAnsi="Garamond" w:cs="Arial"/>
          <w:color w:val="auto"/>
          <w:sz w:val="24"/>
          <w:szCs w:val="24"/>
          <w:lang w:val="pt-PT"/>
        </w:rPr>
        <w:t xml:space="preserve">os </w:t>
      </w:r>
      <w:r w:rsidR="008537B6" w:rsidRPr="003A1174">
        <w:rPr>
          <w:rFonts w:ascii="Garamond" w:hAnsi="Garamond" w:cs="Arial"/>
          <w:color w:val="auto"/>
          <w:sz w:val="24"/>
          <w:szCs w:val="24"/>
          <w:lang w:val="pt-PT"/>
        </w:rPr>
        <w:t>respetivos preceitos</w:t>
      </w:r>
      <w:r w:rsidRPr="003A1174">
        <w:rPr>
          <w:rFonts w:ascii="Garamond" w:hAnsi="Garamond" w:cs="Arial"/>
          <w:color w:val="auto"/>
          <w:sz w:val="24"/>
          <w:szCs w:val="24"/>
          <w:lang w:val="pt-PT"/>
        </w:rPr>
        <w:t xml:space="preserve"> alcance</w:t>
      </w:r>
      <w:r w:rsidR="008537B6"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E150E9" w:rsidRPr="003A1174">
        <w:rPr>
          <w:rFonts w:ascii="Garamond" w:hAnsi="Garamond" w:cs="Arial"/>
          <w:color w:val="auto"/>
          <w:sz w:val="24"/>
          <w:szCs w:val="24"/>
          <w:lang w:val="pt-PT"/>
        </w:rPr>
        <w:t>verificação</w:t>
      </w:r>
      <w:r w:rsidR="008537B6"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 xml:space="preserve"> </w:t>
      </w:r>
      <w:r w:rsidR="00D96FD0" w:rsidRPr="003A1174">
        <w:rPr>
          <w:rFonts w:ascii="Garamond" w:hAnsi="Garamond" w:cs="Arial"/>
          <w:color w:val="auto"/>
          <w:sz w:val="24"/>
          <w:szCs w:val="24"/>
          <w:lang w:val="pt-PT"/>
        </w:rPr>
        <w:t>cumprimento</w:t>
      </w:r>
      <w:r w:rsidRPr="003A1174">
        <w:rPr>
          <w:rFonts w:ascii="Garamond" w:hAnsi="Garamond" w:cs="Arial"/>
          <w:color w:val="auto"/>
          <w:sz w:val="24"/>
          <w:szCs w:val="24"/>
          <w:lang w:val="pt-PT"/>
        </w:rPr>
        <w:t xml:space="preserve"> concretos (</w:t>
      </w:r>
      <w:r w:rsidR="008537B6" w:rsidRPr="003A1174">
        <w:rPr>
          <w:rFonts w:ascii="Garamond" w:hAnsi="Garamond" w:cs="Arial"/>
          <w:color w:val="auto"/>
          <w:sz w:val="24"/>
          <w:szCs w:val="24"/>
          <w:lang w:val="pt-PT"/>
        </w:rPr>
        <w:t xml:space="preserve">esse é o </w:t>
      </w:r>
      <w:r w:rsidRPr="003A1174">
        <w:rPr>
          <w:rFonts w:ascii="Garamond" w:hAnsi="Garamond" w:cs="Arial"/>
          <w:color w:val="auto"/>
          <w:sz w:val="24"/>
          <w:szCs w:val="24"/>
          <w:lang w:val="pt-PT"/>
        </w:rPr>
        <w:t>sup</w:t>
      </w:r>
      <w:r w:rsidR="008537B6"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sto </w:t>
      </w:r>
      <w:r w:rsidR="00661ADB" w:rsidRPr="003A1174">
        <w:rPr>
          <w:rFonts w:ascii="Garamond" w:hAnsi="Garamond" w:cs="Arial"/>
          <w:color w:val="auto"/>
          <w:sz w:val="24"/>
          <w:szCs w:val="24"/>
          <w:lang w:val="pt-PT"/>
        </w:rPr>
        <w:t>essencial</w:t>
      </w:r>
      <w:r w:rsidR="008537B6" w:rsidRPr="003A1174">
        <w:rPr>
          <w:rFonts w:ascii="Garamond" w:hAnsi="Garamond" w:cs="Arial"/>
          <w:color w:val="auto"/>
          <w:sz w:val="24"/>
          <w:szCs w:val="24"/>
          <w:lang w:val="pt-PT"/>
        </w:rPr>
        <w:t xml:space="preserve"> que justifica </w:t>
      </w:r>
      <w:r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própria</w:t>
      </w:r>
      <w:r w:rsidRPr="003A1174">
        <w:rPr>
          <w:rFonts w:ascii="Garamond" w:hAnsi="Garamond" w:cs="Arial"/>
          <w:color w:val="auto"/>
          <w:sz w:val="24"/>
          <w:szCs w:val="24"/>
          <w:lang w:val="pt-PT"/>
        </w:rPr>
        <w:t xml:space="preserve"> </w:t>
      </w:r>
      <w:r w:rsidR="007578C6" w:rsidRPr="003A1174">
        <w:rPr>
          <w:rFonts w:ascii="Garamond" w:hAnsi="Garamond" w:cs="Arial"/>
          <w:color w:val="auto"/>
          <w:sz w:val="24"/>
          <w:szCs w:val="24"/>
          <w:lang w:val="pt-PT"/>
        </w:rPr>
        <w:t>existência</w:t>
      </w:r>
      <w:r w:rsidR="008537B6" w:rsidRPr="003A1174">
        <w:rPr>
          <w:rFonts w:ascii="Garamond" w:hAnsi="Garamond" w:cs="Arial"/>
          <w:color w:val="auto"/>
          <w:sz w:val="24"/>
          <w:szCs w:val="24"/>
          <w:lang w:val="pt-PT"/>
        </w:rPr>
        <w:t xml:space="preserve"> daquele</w:t>
      </w:r>
      <w:r w:rsidRPr="003A1174">
        <w:rPr>
          <w:rFonts w:ascii="Garamond" w:hAnsi="Garamond" w:cs="Arial"/>
          <w:color w:val="auto"/>
          <w:sz w:val="24"/>
          <w:szCs w:val="24"/>
          <w:lang w:val="pt-PT"/>
        </w:rPr>
        <w:t>s sistemas). Por</w:t>
      </w:r>
      <w:r w:rsidR="008537B6" w:rsidRPr="003A1174">
        <w:rPr>
          <w:rFonts w:ascii="Garamond" w:hAnsi="Garamond" w:cs="Arial"/>
          <w:color w:val="auto"/>
          <w:sz w:val="24"/>
          <w:szCs w:val="24"/>
          <w:lang w:val="pt-PT"/>
        </w:rPr>
        <w:t>t</w:t>
      </w:r>
      <w:r w:rsidRPr="003A1174">
        <w:rPr>
          <w:rFonts w:ascii="Garamond" w:hAnsi="Garamond" w:cs="Arial"/>
          <w:color w:val="auto"/>
          <w:sz w:val="24"/>
          <w:szCs w:val="24"/>
          <w:lang w:val="pt-PT"/>
        </w:rPr>
        <w:t xml:space="preserve">anto, </w:t>
      </w:r>
      <w:r w:rsidR="008537B6" w:rsidRPr="003A1174">
        <w:rPr>
          <w:rFonts w:ascii="Garamond" w:hAnsi="Garamond" w:cs="Arial"/>
          <w:color w:val="auto"/>
          <w:sz w:val="24"/>
          <w:szCs w:val="24"/>
          <w:lang w:val="pt-PT"/>
        </w:rPr>
        <w:t>nes</w:t>
      </w:r>
      <w:r w:rsidRPr="003A1174">
        <w:rPr>
          <w:rFonts w:ascii="Garamond" w:hAnsi="Garamond" w:cs="Arial"/>
          <w:color w:val="auto"/>
          <w:sz w:val="24"/>
          <w:szCs w:val="24"/>
          <w:lang w:val="pt-PT"/>
        </w:rPr>
        <w:t xml:space="preserve">sa </w:t>
      </w:r>
      <w:r w:rsidR="00D96FD0" w:rsidRPr="003A1174">
        <w:rPr>
          <w:rFonts w:ascii="Garamond" w:hAnsi="Garamond" w:cs="Arial"/>
          <w:color w:val="auto"/>
          <w:sz w:val="24"/>
          <w:szCs w:val="24"/>
          <w:lang w:val="pt-PT"/>
        </w:rPr>
        <w:t>perspetiva</w:t>
      </w:r>
      <w:r w:rsidR="008537B6" w:rsidRPr="003A1174">
        <w:rPr>
          <w:rFonts w:ascii="Garamond" w:hAnsi="Garamond" w:cs="Arial"/>
          <w:color w:val="auto"/>
          <w:sz w:val="24"/>
          <w:szCs w:val="24"/>
          <w:lang w:val="pt-PT"/>
        </w:rPr>
        <w:t xml:space="preserve"> a congruência entre </w:t>
      </w:r>
      <w:r w:rsidRPr="003A1174">
        <w:rPr>
          <w:rFonts w:ascii="Garamond" w:hAnsi="Garamond" w:cs="Arial"/>
          <w:color w:val="auto"/>
          <w:sz w:val="24"/>
          <w:szCs w:val="24"/>
          <w:lang w:val="pt-PT"/>
        </w:rPr>
        <w:t xml:space="preserve">os instrumentos </w:t>
      </w:r>
      <w:r w:rsidR="00EF645F" w:rsidRPr="003A1174">
        <w:rPr>
          <w:rFonts w:ascii="Garamond" w:hAnsi="Garamond" w:cs="Arial"/>
          <w:color w:val="auto"/>
          <w:sz w:val="24"/>
          <w:szCs w:val="24"/>
          <w:lang w:val="pt-PT"/>
        </w:rPr>
        <w:t>internacionais</w:t>
      </w:r>
      <w:r w:rsidRPr="003A1174">
        <w:rPr>
          <w:rFonts w:ascii="Garamond" w:hAnsi="Garamond" w:cs="Arial"/>
          <w:color w:val="auto"/>
          <w:sz w:val="24"/>
          <w:szCs w:val="24"/>
          <w:lang w:val="pt-PT"/>
        </w:rPr>
        <w:t xml:space="preserve"> as</w:t>
      </w:r>
      <w:r w:rsidR="008537B6" w:rsidRPr="003A1174">
        <w:rPr>
          <w:rFonts w:ascii="Garamond" w:hAnsi="Garamond" w:cs="Arial"/>
          <w:color w:val="auto"/>
          <w:sz w:val="24"/>
          <w:szCs w:val="24"/>
          <w:lang w:val="pt-PT"/>
        </w:rPr>
        <w:t xml:space="preserve">sim </w:t>
      </w:r>
      <w:r w:rsidRPr="003A1174">
        <w:rPr>
          <w:rFonts w:ascii="Garamond" w:hAnsi="Garamond" w:cs="Arial"/>
          <w:color w:val="auto"/>
          <w:sz w:val="24"/>
          <w:szCs w:val="24"/>
          <w:lang w:val="pt-PT"/>
        </w:rPr>
        <w:t xml:space="preserve">como </w:t>
      </w:r>
      <w:r w:rsidR="008537B6"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su</w:t>
      </w:r>
      <w:r w:rsidR="008537B6" w:rsidRPr="003A1174">
        <w:rPr>
          <w:rFonts w:ascii="Garamond" w:hAnsi="Garamond" w:cs="Arial"/>
          <w:color w:val="auto"/>
          <w:sz w:val="24"/>
          <w:szCs w:val="24"/>
          <w:lang w:val="pt-PT"/>
        </w:rPr>
        <w:t>a</w:t>
      </w:r>
      <w:r w:rsidRPr="003A1174">
        <w:rPr>
          <w:rFonts w:ascii="Garamond" w:hAnsi="Garamond" w:cs="Arial"/>
          <w:color w:val="auto"/>
          <w:sz w:val="24"/>
          <w:szCs w:val="24"/>
          <w:lang w:val="pt-PT"/>
        </w:rPr>
        <w:t xml:space="preserve"> </w:t>
      </w:r>
      <w:r w:rsidR="00C86C58" w:rsidRPr="003A1174">
        <w:rPr>
          <w:rFonts w:ascii="Garamond" w:hAnsi="Garamond" w:cs="Arial"/>
          <w:color w:val="auto"/>
          <w:sz w:val="24"/>
          <w:szCs w:val="24"/>
          <w:lang w:val="pt-PT"/>
        </w:rPr>
        <w:t>interpretação</w:t>
      </w:r>
      <w:r w:rsidRPr="003A1174">
        <w:rPr>
          <w:rFonts w:ascii="Garamond" w:hAnsi="Garamond" w:cs="Arial"/>
          <w:color w:val="auto"/>
          <w:sz w:val="24"/>
          <w:szCs w:val="24"/>
          <w:lang w:val="pt-PT"/>
        </w:rPr>
        <w:t xml:space="preserve"> jurisprudencial co</w:t>
      </w:r>
      <w:r w:rsidR="008537B6" w:rsidRPr="003A1174">
        <w:rPr>
          <w:rFonts w:ascii="Garamond" w:hAnsi="Garamond" w:cs="Arial"/>
          <w:color w:val="auto"/>
          <w:sz w:val="24"/>
          <w:szCs w:val="24"/>
          <w:lang w:val="pt-PT"/>
        </w:rPr>
        <w:t>m as normas e</w:t>
      </w:r>
      <w:r w:rsidRPr="003A1174">
        <w:rPr>
          <w:rFonts w:ascii="Garamond" w:hAnsi="Garamond" w:cs="Arial"/>
          <w:color w:val="auto"/>
          <w:sz w:val="24"/>
          <w:szCs w:val="24"/>
          <w:lang w:val="pt-PT"/>
        </w:rPr>
        <w:t xml:space="preserve"> </w:t>
      </w:r>
      <w:r w:rsidR="00661ADB" w:rsidRPr="003A1174">
        <w:rPr>
          <w:rFonts w:ascii="Garamond" w:hAnsi="Garamond" w:cs="Arial"/>
          <w:color w:val="auto"/>
          <w:sz w:val="24"/>
          <w:szCs w:val="24"/>
          <w:lang w:val="pt-PT"/>
        </w:rPr>
        <w:t>prática</w:t>
      </w:r>
      <w:r w:rsidRPr="003A1174">
        <w:rPr>
          <w:rFonts w:ascii="Garamond" w:hAnsi="Garamond" w:cs="Arial"/>
          <w:color w:val="auto"/>
          <w:sz w:val="24"/>
          <w:szCs w:val="24"/>
          <w:lang w:val="pt-PT"/>
        </w:rPr>
        <w:t xml:space="preserve">s </w:t>
      </w:r>
      <w:r w:rsidR="00190B59" w:rsidRPr="003A1174">
        <w:rPr>
          <w:rFonts w:ascii="Garamond" w:hAnsi="Garamond" w:cs="Arial"/>
          <w:color w:val="auto"/>
          <w:sz w:val="24"/>
          <w:szCs w:val="24"/>
          <w:lang w:val="pt-PT"/>
        </w:rPr>
        <w:t>nacionais</w:t>
      </w:r>
      <w:r w:rsidR="008537B6" w:rsidRPr="003A1174">
        <w:rPr>
          <w:rFonts w:ascii="Garamond" w:hAnsi="Garamond" w:cs="Arial"/>
          <w:color w:val="auto"/>
          <w:sz w:val="24"/>
          <w:szCs w:val="24"/>
          <w:lang w:val="pt-PT"/>
        </w:rPr>
        <w:t xml:space="preserve"> são um </w:t>
      </w:r>
      <w:r w:rsidRPr="003A1174">
        <w:rPr>
          <w:rFonts w:ascii="Garamond" w:hAnsi="Garamond" w:cs="Arial"/>
          <w:color w:val="auto"/>
          <w:sz w:val="24"/>
          <w:szCs w:val="24"/>
          <w:lang w:val="pt-PT"/>
        </w:rPr>
        <w:t xml:space="preserve">objetivo crucial. </w:t>
      </w:r>
      <w:r w:rsidR="008537B6" w:rsidRPr="003A1174">
        <w:rPr>
          <w:rFonts w:ascii="Garamond" w:hAnsi="Garamond" w:cs="Arial"/>
          <w:color w:val="auto"/>
          <w:sz w:val="24"/>
          <w:szCs w:val="24"/>
          <w:lang w:val="pt-PT"/>
        </w:rPr>
        <w:t xml:space="preserve">É </w:t>
      </w:r>
      <w:r w:rsidRPr="003A1174">
        <w:rPr>
          <w:rFonts w:ascii="Garamond" w:hAnsi="Garamond" w:cs="Arial"/>
          <w:color w:val="auto"/>
          <w:sz w:val="24"/>
          <w:szCs w:val="24"/>
          <w:lang w:val="pt-PT"/>
        </w:rPr>
        <w:t xml:space="preserve">sobre esta base que </w:t>
      </w:r>
      <w:r w:rsidR="00253B1D" w:rsidRPr="003A1174">
        <w:rPr>
          <w:rFonts w:ascii="Garamond" w:hAnsi="Garamond" w:cs="Arial"/>
          <w:color w:val="auto"/>
          <w:sz w:val="24"/>
          <w:szCs w:val="24"/>
          <w:lang w:val="pt-PT"/>
        </w:rPr>
        <w:t>Controlo</w:t>
      </w:r>
      <w:r w:rsidR="008537B6" w:rsidRPr="003A1174">
        <w:rPr>
          <w:rFonts w:ascii="Garamond" w:hAnsi="Garamond" w:cs="Arial"/>
          <w:color w:val="auto"/>
          <w:sz w:val="24"/>
          <w:szCs w:val="24"/>
          <w:lang w:val="pt-PT"/>
        </w:rPr>
        <w:t xml:space="preserve"> de </w:t>
      </w:r>
      <w:r w:rsidR="00E15BB2" w:rsidRPr="003A1174">
        <w:rPr>
          <w:rFonts w:ascii="Garamond" w:hAnsi="Garamond" w:cs="Arial"/>
          <w:color w:val="auto"/>
          <w:sz w:val="24"/>
          <w:szCs w:val="24"/>
          <w:lang w:val="pt-PT"/>
        </w:rPr>
        <w:t>Convencionalidade</w:t>
      </w:r>
      <w:r w:rsidRPr="003A1174">
        <w:rPr>
          <w:rFonts w:ascii="Garamond" w:hAnsi="Garamond" w:cs="Arial"/>
          <w:color w:val="auto"/>
          <w:sz w:val="24"/>
          <w:szCs w:val="24"/>
          <w:lang w:val="pt-PT"/>
        </w:rPr>
        <w:t xml:space="preserve"> </w:t>
      </w:r>
      <w:r w:rsidR="008537B6" w:rsidRPr="003A1174">
        <w:rPr>
          <w:rFonts w:ascii="Garamond" w:hAnsi="Garamond" w:cs="Arial"/>
          <w:color w:val="auto"/>
          <w:sz w:val="24"/>
          <w:szCs w:val="24"/>
          <w:lang w:val="pt-PT"/>
        </w:rPr>
        <w:t>aparece legi</w:t>
      </w:r>
      <w:r w:rsidRPr="003A1174">
        <w:rPr>
          <w:rFonts w:ascii="Garamond" w:hAnsi="Garamond" w:cs="Arial"/>
          <w:color w:val="auto"/>
          <w:sz w:val="24"/>
          <w:szCs w:val="24"/>
          <w:lang w:val="pt-PT"/>
        </w:rPr>
        <w:t>timamente dese</w:t>
      </w:r>
      <w:r w:rsidR="008537B6" w:rsidRPr="003A1174">
        <w:rPr>
          <w:rFonts w:ascii="Garamond" w:hAnsi="Garamond" w:cs="Arial"/>
          <w:color w:val="auto"/>
          <w:sz w:val="24"/>
          <w:szCs w:val="24"/>
          <w:lang w:val="pt-PT"/>
        </w:rPr>
        <w:t xml:space="preserve">jável e ao mesmo tempo </w:t>
      </w:r>
      <w:r w:rsidR="00030F56">
        <w:rPr>
          <w:rFonts w:ascii="Garamond" w:hAnsi="Garamond" w:cs="Arial"/>
          <w:color w:val="auto"/>
          <w:sz w:val="24"/>
          <w:szCs w:val="24"/>
          <w:lang w:val="pt-PT"/>
        </w:rPr>
        <w:t>-</w:t>
      </w:r>
      <w:r w:rsidR="008537B6" w:rsidRPr="003A1174">
        <w:rPr>
          <w:rFonts w:ascii="Garamond" w:hAnsi="Garamond" w:cs="Arial"/>
          <w:color w:val="auto"/>
          <w:sz w:val="24"/>
          <w:szCs w:val="24"/>
          <w:lang w:val="pt-PT"/>
        </w:rPr>
        <w:t xml:space="preserve"> como </w:t>
      </w:r>
      <w:r w:rsidR="00BA3CCE" w:rsidRPr="003A1174">
        <w:rPr>
          <w:rFonts w:ascii="Garamond" w:hAnsi="Garamond" w:cs="Arial"/>
          <w:color w:val="auto"/>
          <w:sz w:val="24"/>
          <w:szCs w:val="24"/>
          <w:lang w:val="pt-PT"/>
        </w:rPr>
        <w:t>referimos</w:t>
      </w:r>
      <w:r w:rsidR="008537B6" w:rsidRPr="003A1174">
        <w:rPr>
          <w:rFonts w:ascii="Garamond" w:hAnsi="Garamond" w:cs="Arial"/>
          <w:color w:val="auto"/>
          <w:sz w:val="24"/>
          <w:szCs w:val="24"/>
          <w:lang w:val="pt-PT"/>
        </w:rPr>
        <w:t xml:space="preserve"> </w:t>
      </w:r>
      <w:r w:rsidR="00E4247C" w:rsidRPr="003A1174">
        <w:rPr>
          <w:rFonts w:ascii="Garamond" w:hAnsi="Garamond" w:cs="Arial"/>
          <w:color w:val="auto"/>
          <w:sz w:val="24"/>
          <w:szCs w:val="24"/>
          <w:lang w:val="pt-PT"/>
        </w:rPr>
        <w:t>antes</w:t>
      </w:r>
      <w:r w:rsidR="008537B6" w:rsidRPr="003A1174">
        <w:rPr>
          <w:rFonts w:ascii="Garamond" w:hAnsi="Garamond" w:cs="Arial"/>
          <w:color w:val="auto"/>
          <w:sz w:val="24"/>
          <w:szCs w:val="24"/>
          <w:lang w:val="pt-PT"/>
        </w:rPr>
        <w:t xml:space="preserve"> </w:t>
      </w:r>
      <w:r w:rsidR="00030F56">
        <w:rPr>
          <w:rFonts w:ascii="Garamond" w:hAnsi="Garamond" w:cs="Arial"/>
          <w:color w:val="auto"/>
          <w:sz w:val="24"/>
          <w:szCs w:val="24"/>
          <w:lang w:val="pt-PT"/>
        </w:rPr>
        <w:t>-</w:t>
      </w:r>
      <w:r w:rsidR="00E878D5" w:rsidRPr="003A1174">
        <w:rPr>
          <w:rFonts w:ascii="Garamond" w:hAnsi="Garamond" w:cs="Arial"/>
          <w:color w:val="auto"/>
          <w:sz w:val="24"/>
          <w:szCs w:val="24"/>
          <w:lang w:val="pt-PT"/>
        </w:rPr>
        <w:t xml:space="preserve"> </w:t>
      </w:r>
      <w:r w:rsidR="0005622E" w:rsidRPr="003A1174">
        <w:rPr>
          <w:rFonts w:ascii="Garamond" w:hAnsi="Garamond" w:cs="Arial"/>
          <w:color w:val="auto"/>
          <w:sz w:val="24"/>
          <w:szCs w:val="24"/>
          <w:lang w:val="pt-PT"/>
        </w:rPr>
        <w:t>razoável</w:t>
      </w:r>
      <w:r w:rsidR="00E878D5" w:rsidRPr="003A1174">
        <w:rPr>
          <w:rFonts w:ascii="Garamond" w:hAnsi="Garamond" w:cs="Arial"/>
          <w:color w:val="auto"/>
          <w:sz w:val="24"/>
          <w:szCs w:val="24"/>
          <w:lang w:val="pt-PT"/>
        </w:rPr>
        <w:t>.</w:t>
      </w:r>
    </w:p>
    <w:p w:rsidR="00E878D5" w:rsidRPr="003A1174" w:rsidRDefault="00E878D5" w:rsidP="008719D4">
      <w:pPr>
        <w:pStyle w:val="Textonotapie"/>
        <w:spacing w:line="240" w:lineRule="auto"/>
        <w:jc w:val="both"/>
        <w:rPr>
          <w:rFonts w:ascii="Garamond" w:hAnsi="Garamond" w:cs="Arial"/>
          <w:color w:val="auto"/>
          <w:sz w:val="24"/>
          <w:szCs w:val="24"/>
          <w:lang w:val="pt-PT"/>
        </w:rPr>
      </w:pPr>
    </w:p>
    <w:p w:rsidR="00A132B3" w:rsidRPr="003A1174" w:rsidRDefault="00E878D5" w:rsidP="008719D4">
      <w:pPr>
        <w:pStyle w:val="Ttulo3"/>
        <w:spacing w:line="240" w:lineRule="auto"/>
        <w:rPr>
          <w:rFonts w:ascii="Garamond" w:hAnsi="Garamond"/>
          <w:sz w:val="24"/>
          <w:szCs w:val="24"/>
        </w:rPr>
      </w:pPr>
      <w:bookmarkStart w:id="12" w:name="_Toc421529700"/>
      <w:r w:rsidRPr="003A1174">
        <w:rPr>
          <w:rFonts w:ascii="Garamond" w:hAnsi="Garamond"/>
          <w:sz w:val="24"/>
          <w:szCs w:val="24"/>
        </w:rPr>
        <w:t xml:space="preserve">1.5.1 </w:t>
      </w:r>
      <w:r w:rsidR="008537B6" w:rsidRPr="003A1174">
        <w:rPr>
          <w:rFonts w:ascii="Garamond" w:hAnsi="Garamond"/>
          <w:sz w:val="24"/>
          <w:szCs w:val="24"/>
        </w:rPr>
        <w:t xml:space="preserve">A </w:t>
      </w:r>
      <w:r w:rsidR="009F3AC2">
        <w:rPr>
          <w:rFonts w:ascii="Garamond" w:hAnsi="Garamond"/>
          <w:sz w:val="24"/>
          <w:szCs w:val="24"/>
        </w:rPr>
        <w:t>«</w:t>
      </w:r>
      <w:r w:rsidR="00253B1D" w:rsidRPr="003A1174">
        <w:rPr>
          <w:rFonts w:ascii="Garamond" w:hAnsi="Garamond"/>
          <w:sz w:val="24"/>
          <w:szCs w:val="24"/>
        </w:rPr>
        <w:t>edificação</w:t>
      </w:r>
      <w:r w:rsidR="009F3AC2">
        <w:rPr>
          <w:rFonts w:ascii="Garamond" w:hAnsi="Garamond"/>
          <w:sz w:val="24"/>
          <w:szCs w:val="24"/>
        </w:rPr>
        <w:t>»</w:t>
      </w:r>
      <w:r w:rsidR="00A132B3" w:rsidRPr="003A1174">
        <w:rPr>
          <w:rFonts w:ascii="Garamond" w:hAnsi="Garamond"/>
          <w:sz w:val="24"/>
          <w:szCs w:val="24"/>
        </w:rPr>
        <w:t xml:space="preserve"> jurisprudencial d</w:t>
      </w:r>
      <w:r w:rsidR="008537B6" w:rsidRPr="003A1174">
        <w:rPr>
          <w:rFonts w:ascii="Garamond" w:hAnsi="Garamond"/>
          <w:sz w:val="24"/>
          <w:szCs w:val="24"/>
        </w:rPr>
        <w:t>o</w:t>
      </w:r>
      <w:r w:rsidR="00A132B3" w:rsidRPr="003A1174">
        <w:rPr>
          <w:rFonts w:ascii="Garamond" w:hAnsi="Garamond"/>
          <w:sz w:val="24"/>
          <w:szCs w:val="24"/>
        </w:rPr>
        <w:t xml:space="preserve"> </w:t>
      </w:r>
      <w:r w:rsidR="00253B1D" w:rsidRPr="003A1174">
        <w:rPr>
          <w:rFonts w:ascii="Garamond" w:hAnsi="Garamond"/>
          <w:sz w:val="24"/>
          <w:szCs w:val="24"/>
        </w:rPr>
        <w:t>Controlo</w:t>
      </w:r>
      <w:r w:rsidR="00A132B3" w:rsidRPr="003A1174">
        <w:rPr>
          <w:rFonts w:ascii="Garamond" w:hAnsi="Garamond"/>
          <w:sz w:val="24"/>
          <w:szCs w:val="24"/>
        </w:rPr>
        <w:t xml:space="preserve"> de </w:t>
      </w:r>
      <w:r w:rsidR="00E15BB2" w:rsidRPr="003A1174">
        <w:rPr>
          <w:rFonts w:ascii="Garamond" w:hAnsi="Garamond"/>
          <w:sz w:val="24"/>
          <w:szCs w:val="24"/>
        </w:rPr>
        <w:t>Convencionalidade</w:t>
      </w:r>
      <w:bookmarkEnd w:id="12"/>
    </w:p>
    <w:p w:rsidR="00A132B3" w:rsidRPr="003A1174" w:rsidRDefault="00A132B3"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S</w:t>
      </w:r>
      <w:r w:rsidR="008537B6" w:rsidRPr="003A1174">
        <w:rPr>
          <w:rFonts w:ascii="Garamond" w:hAnsi="Garamond" w:cs="Arial"/>
          <w:sz w:val="24"/>
          <w:szCs w:val="24"/>
        </w:rPr>
        <w:t xml:space="preserve">em </w:t>
      </w:r>
      <w:r w:rsidR="00BA3CCE" w:rsidRPr="003A1174">
        <w:rPr>
          <w:rFonts w:ascii="Garamond" w:hAnsi="Garamond" w:cs="Arial"/>
          <w:sz w:val="24"/>
          <w:szCs w:val="24"/>
        </w:rPr>
        <w:t>prejuízo</w:t>
      </w:r>
      <w:r w:rsidR="008537B6" w:rsidRPr="003A1174">
        <w:rPr>
          <w:rFonts w:ascii="Garamond" w:hAnsi="Garamond" w:cs="Arial"/>
          <w:sz w:val="24"/>
          <w:szCs w:val="24"/>
        </w:rPr>
        <w:t xml:space="preserve"> </w:t>
      </w:r>
      <w:r w:rsidRPr="003A1174">
        <w:rPr>
          <w:rFonts w:ascii="Garamond" w:hAnsi="Garamond" w:cs="Arial"/>
          <w:sz w:val="24"/>
          <w:szCs w:val="24"/>
        </w:rPr>
        <w:t xml:space="preserve">de </w:t>
      </w:r>
      <w:r w:rsidR="006F4B2C" w:rsidRPr="003A1174">
        <w:rPr>
          <w:rFonts w:ascii="Garamond" w:hAnsi="Garamond" w:cs="Arial"/>
          <w:sz w:val="24"/>
          <w:szCs w:val="24"/>
        </w:rPr>
        <w:t>alguns</w:t>
      </w:r>
      <w:r w:rsidRPr="003A1174">
        <w:rPr>
          <w:rFonts w:ascii="Garamond" w:hAnsi="Garamond" w:cs="Arial"/>
          <w:sz w:val="24"/>
          <w:szCs w:val="24"/>
        </w:rPr>
        <w:t xml:space="preserve"> </w:t>
      </w:r>
      <w:r w:rsidR="00FF6A3F" w:rsidRPr="003A1174">
        <w:rPr>
          <w:rFonts w:ascii="Garamond" w:hAnsi="Garamond" w:cs="Arial"/>
          <w:sz w:val="24"/>
          <w:szCs w:val="24"/>
        </w:rPr>
        <w:t>vislumbres</w:t>
      </w:r>
      <w:r w:rsidRPr="003A1174">
        <w:rPr>
          <w:rFonts w:ascii="Garamond" w:hAnsi="Garamond" w:cs="Arial"/>
          <w:sz w:val="24"/>
          <w:szCs w:val="24"/>
        </w:rPr>
        <w:t xml:space="preserve"> </w:t>
      </w:r>
      <w:r w:rsidR="00FF6A3F" w:rsidRPr="003A1174">
        <w:rPr>
          <w:rFonts w:ascii="Garamond" w:hAnsi="Garamond" w:cs="Arial"/>
          <w:sz w:val="24"/>
          <w:szCs w:val="24"/>
        </w:rPr>
        <w:t>iniciais</w:t>
      </w:r>
      <w:r w:rsidRPr="003A1174">
        <w:rPr>
          <w:rFonts w:ascii="Garamond" w:hAnsi="Garamond" w:cs="Arial"/>
          <w:sz w:val="24"/>
          <w:szCs w:val="24"/>
        </w:rPr>
        <w:t xml:space="preserve"> sobre </w:t>
      </w:r>
      <w:r w:rsidR="00FF6A3F" w:rsidRPr="003A1174">
        <w:rPr>
          <w:rFonts w:ascii="Garamond" w:hAnsi="Garamond" w:cs="Arial"/>
          <w:sz w:val="24"/>
          <w:szCs w:val="24"/>
        </w:rPr>
        <w:t>o</w:t>
      </w:r>
      <w:r w:rsidRPr="003A1174">
        <w:rPr>
          <w:rFonts w:ascii="Garamond" w:hAnsi="Garamond" w:cs="Arial"/>
          <w:sz w:val="24"/>
          <w:szCs w:val="24"/>
        </w:rPr>
        <w:t xml:space="preserve"> tema, f</w:t>
      </w:r>
      <w:r w:rsidR="00FF6A3F" w:rsidRPr="003A1174">
        <w:rPr>
          <w:rFonts w:ascii="Garamond" w:hAnsi="Garamond" w:cs="Arial"/>
          <w:sz w:val="24"/>
          <w:szCs w:val="24"/>
        </w:rPr>
        <w:t xml:space="preserve">oi a </w:t>
      </w:r>
      <w:r w:rsidRPr="003A1174">
        <w:rPr>
          <w:rFonts w:ascii="Garamond" w:hAnsi="Garamond" w:cs="Arial"/>
          <w:sz w:val="24"/>
          <w:szCs w:val="24"/>
        </w:rPr>
        <w:t xml:space="preserve">26 de </w:t>
      </w:r>
      <w:r w:rsidR="00FF6A3F" w:rsidRPr="003A1174">
        <w:rPr>
          <w:rFonts w:ascii="Garamond" w:hAnsi="Garamond" w:cs="Arial"/>
          <w:sz w:val="24"/>
          <w:szCs w:val="24"/>
        </w:rPr>
        <w:t>setembro</w:t>
      </w:r>
      <w:r w:rsidRPr="003A1174">
        <w:rPr>
          <w:rFonts w:ascii="Garamond" w:hAnsi="Garamond" w:cs="Arial"/>
          <w:sz w:val="24"/>
          <w:szCs w:val="24"/>
        </w:rPr>
        <w:t xml:space="preserve"> de 2006, a</w:t>
      </w:r>
      <w:r w:rsidR="00FF6A3F" w:rsidRPr="003A1174">
        <w:rPr>
          <w:rFonts w:ascii="Garamond" w:hAnsi="Garamond" w:cs="Arial"/>
          <w:sz w:val="24"/>
          <w:szCs w:val="24"/>
        </w:rPr>
        <w:t>o</w:t>
      </w:r>
      <w:r w:rsidRPr="003A1174">
        <w:rPr>
          <w:rFonts w:ascii="Garamond" w:hAnsi="Garamond" w:cs="Arial"/>
          <w:sz w:val="24"/>
          <w:szCs w:val="24"/>
        </w:rPr>
        <w:t xml:space="preserve"> resolver </w:t>
      </w:r>
      <w:r w:rsidR="00FF6A3F" w:rsidRPr="003A1174">
        <w:rPr>
          <w:rFonts w:ascii="Garamond" w:hAnsi="Garamond" w:cs="Arial"/>
          <w:sz w:val="24"/>
          <w:szCs w:val="24"/>
        </w:rPr>
        <w:t xml:space="preserve">o </w:t>
      </w:r>
      <w:r w:rsidRPr="003A1174">
        <w:rPr>
          <w:rFonts w:ascii="Garamond" w:hAnsi="Garamond" w:cs="Arial"/>
          <w:sz w:val="24"/>
          <w:szCs w:val="24"/>
        </w:rPr>
        <w:t xml:space="preserve">caso </w:t>
      </w:r>
      <w:r w:rsidRPr="003A1174">
        <w:rPr>
          <w:rFonts w:ascii="Garamond" w:hAnsi="Garamond" w:cs="Arial"/>
          <w:i/>
          <w:iCs/>
          <w:sz w:val="24"/>
          <w:szCs w:val="24"/>
        </w:rPr>
        <w:t xml:space="preserve">Almonacid Arellano </w:t>
      </w:r>
      <w:r w:rsidR="00FF6A3F" w:rsidRPr="003A1174">
        <w:rPr>
          <w:rFonts w:ascii="Garamond" w:hAnsi="Garamond" w:cs="Arial"/>
          <w:i/>
          <w:iCs/>
          <w:sz w:val="24"/>
          <w:szCs w:val="24"/>
        </w:rPr>
        <w:t>e</w:t>
      </w:r>
      <w:r w:rsidRPr="003A1174">
        <w:rPr>
          <w:rFonts w:ascii="Garamond" w:hAnsi="Garamond" w:cs="Arial"/>
          <w:i/>
          <w:iCs/>
          <w:sz w:val="24"/>
          <w:szCs w:val="24"/>
        </w:rPr>
        <w:t xml:space="preserve"> o</w:t>
      </w:r>
      <w:r w:rsidR="00FF6A3F" w:rsidRPr="003A1174">
        <w:rPr>
          <w:rFonts w:ascii="Garamond" w:hAnsi="Garamond" w:cs="Arial"/>
          <w:i/>
          <w:iCs/>
          <w:sz w:val="24"/>
          <w:szCs w:val="24"/>
        </w:rPr>
        <w:t>u</w:t>
      </w:r>
      <w:r w:rsidRPr="003A1174">
        <w:rPr>
          <w:rFonts w:ascii="Garamond" w:hAnsi="Garamond" w:cs="Arial"/>
          <w:i/>
          <w:iCs/>
          <w:sz w:val="24"/>
          <w:szCs w:val="24"/>
        </w:rPr>
        <w:t xml:space="preserve">tros </w:t>
      </w:r>
      <w:r w:rsidR="00FF6A3F" w:rsidRPr="003A1174">
        <w:rPr>
          <w:rFonts w:ascii="Garamond" w:hAnsi="Garamond" w:cs="Arial"/>
          <w:i/>
          <w:iCs/>
          <w:sz w:val="24"/>
          <w:szCs w:val="24"/>
        </w:rPr>
        <w:t xml:space="preserve">a </w:t>
      </w:r>
      <w:r w:rsidR="006F4B2C" w:rsidRPr="003A1174">
        <w:rPr>
          <w:rFonts w:ascii="Garamond" w:hAnsi="Garamond" w:cs="Arial"/>
          <w:sz w:val="24"/>
          <w:szCs w:val="24"/>
        </w:rPr>
        <w:t>respeito</w:t>
      </w:r>
      <w:r w:rsidRPr="003A1174">
        <w:rPr>
          <w:rFonts w:ascii="Garamond" w:hAnsi="Garamond" w:cs="Arial"/>
          <w:sz w:val="24"/>
          <w:szCs w:val="24"/>
        </w:rPr>
        <w:t xml:space="preserve"> d</w:t>
      </w:r>
      <w:r w:rsidR="00FF6A3F" w:rsidRPr="003A1174">
        <w:rPr>
          <w:rFonts w:ascii="Garamond" w:hAnsi="Garamond" w:cs="Arial"/>
          <w:sz w:val="24"/>
          <w:szCs w:val="24"/>
        </w:rPr>
        <w:t>o</w:t>
      </w:r>
      <w:r w:rsidRPr="003A1174">
        <w:rPr>
          <w:rFonts w:ascii="Garamond" w:hAnsi="Garamond" w:cs="Arial"/>
          <w:sz w:val="24"/>
          <w:szCs w:val="24"/>
        </w:rPr>
        <w:t xml:space="preserve"> Estado d</w:t>
      </w:r>
      <w:r w:rsidR="00FF6A3F" w:rsidRPr="003A1174">
        <w:rPr>
          <w:rFonts w:ascii="Garamond" w:hAnsi="Garamond" w:cs="Arial"/>
          <w:sz w:val="24"/>
          <w:szCs w:val="24"/>
        </w:rPr>
        <w:t xml:space="preserve">o Chile, que </w:t>
      </w:r>
      <w:r w:rsidR="008879E7">
        <w:rPr>
          <w:rFonts w:ascii="Garamond" w:hAnsi="Garamond" w:cs="Arial"/>
          <w:sz w:val="24"/>
          <w:szCs w:val="24"/>
        </w:rPr>
        <w:t>o</w:t>
      </w:r>
      <w:r w:rsidRPr="003A1174">
        <w:rPr>
          <w:rFonts w:ascii="Garamond" w:hAnsi="Garamond" w:cs="Arial"/>
          <w:sz w:val="24"/>
          <w:szCs w:val="24"/>
        </w:rPr>
        <w:t xml:space="preserve"> </w:t>
      </w:r>
      <w:r w:rsidR="008879E7">
        <w:rPr>
          <w:rFonts w:ascii="Garamond" w:hAnsi="Garamond" w:cs="Arial"/>
          <w:sz w:val="24"/>
          <w:szCs w:val="24"/>
        </w:rPr>
        <w:t>Tribunal</w:t>
      </w:r>
      <w:r w:rsidR="002A7FDD" w:rsidRPr="003A1174">
        <w:rPr>
          <w:rFonts w:ascii="Garamond" w:hAnsi="Garamond" w:cs="Arial"/>
          <w:sz w:val="24"/>
          <w:szCs w:val="24"/>
        </w:rPr>
        <w:t xml:space="preserve"> </w:t>
      </w:r>
      <w:r w:rsidRPr="003A1174">
        <w:rPr>
          <w:rFonts w:ascii="Garamond" w:hAnsi="Garamond" w:cs="Arial"/>
          <w:sz w:val="24"/>
          <w:szCs w:val="24"/>
        </w:rPr>
        <w:t>Interamerican</w:t>
      </w:r>
      <w:r w:rsidR="008879E7">
        <w:rPr>
          <w:rFonts w:ascii="Garamond" w:hAnsi="Garamond" w:cs="Arial"/>
          <w:sz w:val="24"/>
          <w:szCs w:val="24"/>
        </w:rPr>
        <w:t>o</w:t>
      </w:r>
      <w:r w:rsidRPr="003A1174">
        <w:rPr>
          <w:rFonts w:ascii="Garamond" w:hAnsi="Garamond" w:cs="Arial"/>
          <w:sz w:val="24"/>
          <w:szCs w:val="24"/>
        </w:rPr>
        <w:t xml:space="preserve"> </w:t>
      </w:r>
      <w:r w:rsidR="00FF6A3F" w:rsidRPr="003A1174">
        <w:rPr>
          <w:rFonts w:ascii="Garamond" w:hAnsi="Garamond" w:cs="Arial"/>
          <w:sz w:val="24"/>
          <w:szCs w:val="24"/>
        </w:rPr>
        <w:t xml:space="preserve">assinalou </w:t>
      </w:r>
      <w:r w:rsidRPr="003A1174">
        <w:rPr>
          <w:rFonts w:ascii="Garamond" w:hAnsi="Garamond" w:cs="Arial"/>
          <w:sz w:val="24"/>
          <w:szCs w:val="24"/>
        </w:rPr>
        <w:t xml:space="preserve">que </w:t>
      </w:r>
      <w:r w:rsidR="00FF6A3F" w:rsidRPr="003A1174">
        <w:rPr>
          <w:rFonts w:ascii="Garamond" w:hAnsi="Garamond" w:cs="Arial"/>
          <w:sz w:val="24"/>
          <w:szCs w:val="24"/>
        </w:rPr>
        <w:t>o</w:t>
      </w:r>
      <w:r w:rsidRPr="003A1174">
        <w:rPr>
          <w:rFonts w:ascii="Garamond" w:hAnsi="Garamond" w:cs="Arial"/>
          <w:sz w:val="24"/>
          <w:szCs w:val="24"/>
        </w:rPr>
        <w:t xml:space="preserve"> Poder Judicial chileno </w:t>
      </w:r>
      <w:r w:rsidR="00FF6A3F" w:rsidRPr="003A1174">
        <w:rPr>
          <w:rFonts w:ascii="Garamond" w:hAnsi="Garamond" w:cs="Arial"/>
          <w:sz w:val="24"/>
          <w:szCs w:val="24"/>
        </w:rPr>
        <w:t xml:space="preserve">tinha </w:t>
      </w:r>
      <w:r w:rsidRPr="003A1174">
        <w:rPr>
          <w:rFonts w:ascii="Garamond" w:hAnsi="Garamond" w:cs="Arial"/>
          <w:sz w:val="24"/>
          <w:szCs w:val="24"/>
        </w:rPr>
        <w:t xml:space="preserve">aplicado </w:t>
      </w:r>
      <w:r w:rsidR="00FF6A3F" w:rsidRPr="003A1174">
        <w:rPr>
          <w:rFonts w:ascii="Garamond" w:hAnsi="Garamond" w:cs="Arial"/>
          <w:sz w:val="24"/>
          <w:szCs w:val="24"/>
        </w:rPr>
        <w:t>um</w:t>
      </w:r>
      <w:r w:rsidRPr="003A1174">
        <w:rPr>
          <w:rFonts w:ascii="Garamond" w:hAnsi="Garamond" w:cs="Arial"/>
          <w:sz w:val="24"/>
          <w:szCs w:val="24"/>
        </w:rPr>
        <w:t>a norma e</w:t>
      </w:r>
      <w:r w:rsidR="00FB6D51" w:rsidRPr="003A1174">
        <w:rPr>
          <w:rFonts w:ascii="Garamond" w:hAnsi="Garamond" w:cs="Arial"/>
          <w:sz w:val="24"/>
          <w:szCs w:val="24"/>
        </w:rPr>
        <w:t xml:space="preserve">m função da qual se dispôs </w:t>
      </w:r>
      <w:r w:rsidR="00B80F99" w:rsidRPr="003A1174">
        <w:rPr>
          <w:rFonts w:ascii="Garamond" w:hAnsi="Garamond" w:cs="Arial"/>
          <w:sz w:val="24"/>
          <w:szCs w:val="24"/>
        </w:rPr>
        <w:t>a cessação d</w:t>
      </w:r>
      <w:r w:rsidRPr="003A1174">
        <w:rPr>
          <w:rFonts w:ascii="Garamond" w:hAnsi="Garamond" w:cs="Arial"/>
          <w:sz w:val="24"/>
          <w:szCs w:val="24"/>
        </w:rPr>
        <w:t xml:space="preserve">as </w:t>
      </w:r>
      <w:r w:rsidR="00B80F99" w:rsidRPr="003A1174">
        <w:rPr>
          <w:rFonts w:ascii="Garamond" w:hAnsi="Garamond" w:cs="Arial"/>
          <w:sz w:val="24"/>
          <w:szCs w:val="24"/>
        </w:rPr>
        <w:t>investigações</w:t>
      </w:r>
      <w:r w:rsidRPr="003A1174">
        <w:rPr>
          <w:rFonts w:ascii="Garamond" w:hAnsi="Garamond" w:cs="Arial"/>
          <w:sz w:val="24"/>
          <w:szCs w:val="24"/>
        </w:rPr>
        <w:t xml:space="preserve"> </w:t>
      </w:r>
      <w:r w:rsidR="00B80F99" w:rsidRPr="003A1174">
        <w:rPr>
          <w:rFonts w:ascii="Garamond" w:hAnsi="Garamond" w:cs="Arial"/>
          <w:sz w:val="24"/>
          <w:szCs w:val="24"/>
        </w:rPr>
        <w:t>e o arquivo</w:t>
      </w:r>
      <w:r w:rsidR="00FF6A3F" w:rsidRPr="003A1174">
        <w:rPr>
          <w:rFonts w:ascii="Garamond" w:hAnsi="Garamond" w:cs="Arial"/>
          <w:sz w:val="24"/>
          <w:szCs w:val="24"/>
        </w:rPr>
        <w:t xml:space="preserve"> d</w:t>
      </w:r>
      <w:r w:rsidR="00B80F99" w:rsidRPr="003A1174">
        <w:rPr>
          <w:rFonts w:ascii="Garamond" w:hAnsi="Garamond" w:cs="Arial"/>
          <w:sz w:val="24"/>
          <w:szCs w:val="24"/>
        </w:rPr>
        <w:t>o</w:t>
      </w:r>
      <w:r w:rsidR="00FF6A3F" w:rsidRPr="003A1174">
        <w:rPr>
          <w:rFonts w:ascii="Garamond" w:hAnsi="Garamond" w:cs="Arial"/>
          <w:sz w:val="24"/>
          <w:szCs w:val="24"/>
        </w:rPr>
        <w:t xml:space="preserve"> expediente d</w:t>
      </w:r>
      <w:r w:rsidRPr="003A1174">
        <w:rPr>
          <w:rFonts w:ascii="Garamond" w:hAnsi="Garamond" w:cs="Arial"/>
          <w:sz w:val="24"/>
          <w:szCs w:val="24"/>
        </w:rPr>
        <w:t xml:space="preserve">a </w:t>
      </w:r>
      <w:r w:rsidR="00EB78D9" w:rsidRPr="003A1174">
        <w:rPr>
          <w:rFonts w:ascii="Garamond" w:hAnsi="Garamond" w:cs="Arial"/>
          <w:sz w:val="24"/>
          <w:szCs w:val="24"/>
        </w:rPr>
        <w:t>execução</w:t>
      </w:r>
      <w:r w:rsidR="00B80F99" w:rsidRPr="003A1174">
        <w:rPr>
          <w:rFonts w:ascii="Garamond" w:hAnsi="Garamond" w:cs="Arial"/>
          <w:sz w:val="24"/>
          <w:szCs w:val="24"/>
        </w:rPr>
        <w:t xml:space="preserve"> extrajudicial daquel</w:t>
      </w:r>
      <w:r w:rsidRPr="003A1174">
        <w:rPr>
          <w:rFonts w:ascii="Garamond" w:hAnsi="Garamond" w:cs="Arial"/>
          <w:sz w:val="24"/>
          <w:szCs w:val="24"/>
        </w:rPr>
        <w:t xml:space="preserve">a </w:t>
      </w:r>
      <w:r w:rsidR="0005622E" w:rsidRPr="003A1174">
        <w:rPr>
          <w:rFonts w:ascii="Garamond" w:hAnsi="Garamond" w:cs="Arial"/>
          <w:sz w:val="24"/>
          <w:szCs w:val="24"/>
        </w:rPr>
        <w:t>pessoa</w:t>
      </w:r>
      <w:r w:rsidRPr="003A1174">
        <w:rPr>
          <w:rFonts w:ascii="Garamond" w:hAnsi="Garamond" w:cs="Arial"/>
          <w:sz w:val="24"/>
          <w:szCs w:val="24"/>
        </w:rPr>
        <w:t>, de</w:t>
      </w:r>
      <w:r w:rsidR="00B80F99" w:rsidRPr="003A1174">
        <w:rPr>
          <w:rFonts w:ascii="Garamond" w:hAnsi="Garamond" w:cs="Arial"/>
          <w:sz w:val="24"/>
          <w:szCs w:val="24"/>
        </w:rPr>
        <w:t>ixando os responsáveis n</w:t>
      </w:r>
      <w:r w:rsidRPr="003A1174">
        <w:rPr>
          <w:rFonts w:ascii="Garamond" w:hAnsi="Garamond" w:cs="Arial"/>
          <w:sz w:val="24"/>
          <w:szCs w:val="24"/>
        </w:rPr>
        <w:t xml:space="preserve">a </w:t>
      </w:r>
      <w:r w:rsidR="00276DCA" w:rsidRPr="003A1174">
        <w:rPr>
          <w:rFonts w:ascii="Garamond" w:hAnsi="Garamond" w:cs="Arial"/>
          <w:sz w:val="24"/>
          <w:szCs w:val="24"/>
        </w:rPr>
        <w:t>impunidade</w:t>
      </w:r>
      <w:r w:rsidRPr="003A1174">
        <w:rPr>
          <w:rFonts w:ascii="Garamond" w:hAnsi="Garamond" w:cs="Arial"/>
          <w:sz w:val="24"/>
          <w:szCs w:val="24"/>
        </w:rPr>
        <w:t>.</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2B33D4" w:rsidP="008719D4">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O tribunal</w:t>
      </w:r>
      <w:r w:rsidR="00FB6D51" w:rsidRPr="003A1174">
        <w:rPr>
          <w:rFonts w:ascii="Garamond" w:hAnsi="Garamond" w:cs="Arial"/>
          <w:sz w:val="24"/>
          <w:szCs w:val="24"/>
        </w:rPr>
        <w:t xml:space="preserve"> </w:t>
      </w:r>
      <w:r w:rsidR="009461E1" w:rsidRPr="003A1174">
        <w:rPr>
          <w:rFonts w:ascii="Garamond" w:hAnsi="Garamond" w:cs="Arial"/>
          <w:sz w:val="24"/>
          <w:szCs w:val="24"/>
        </w:rPr>
        <w:t xml:space="preserve">efetivou na sua sentença </w:t>
      </w:r>
      <w:r w:rsidR="00A132B3" w:rsidRPr="003A1174">
        <w:rPr>
          <w:rFonts w:ascii="Garamond" w:hAnsi="Garamond" w:cs="Arial"/>
          <w:sz w:val="24"/>
          <w:szCs w:val="24"/>
        </w:rPr>
        <w:t xml:space="preserve">que </w:t>
      </w:r>
      <w:r w:rsidR="009461E1" w:rsidRPr="003A1174">
        <w:rPr>
          <w:rFonts w:ascii="Garamond" w:hAnsi="Garamond" w:cs="Arial"/>
          <w:sz w:val="24"/>
          <w:szCs w:val="24"/>
        </w:rPr>
        <w:t>o</w:t>
      </w:r>
      <w:r w:rsidR="00A132B3" w:rsidRPr="003A1174">
        <w:rPr>
          <w:rFonts w:ascii="Garamond" w:hAnsi="Garamond" w:cs="Arial"/>
          <w:sz w:val="24"/>
          <w:szCs w:val="24"/>
        </w:rPr>
        <w:t xml:space="preserve"> Poder Legislativo chileno </w:t>
      </w:r>
      <w:r w:rsidR="009461E1" w:rsidRPr="003A1174">
        <w:rPr>
          <w:rFonts w:ascii="Garamond" w:hAnsi="Garamond" w:cs="Arial"/>
          <w:sz w:val="24"/>
          <w:szCs w:val="24"/>
        </w:rPr>
        <w:t xml:space="preserve">não tinha cumprido </w:t>
      </w:r>
      <w:r w:rsidR="000C4382" w:rsidRPr="00030F56">
        <w:rPr>
          <w:rFonts w:ascii="Garamond" w:hAnsi="Garamond" w:cs="Arial"/>
          <w:sz w:val="24"/>
          <w:szCs w:val="24"/>
        </w:rPr>
        <w:t>«</w:t>
      </w:r>
      <w:r w:rsidR="009461E1" w:rsidRPr="00030F56">
        <w:rPr>
          <w:rFonts w:ascii="Garamond" w:hAnsi="Garamond" w:cs="Arial"/>
          <w:sz w:val="24"/>
          <w:szCs w:val="24"/>
        </w:rPr>
        <w:t xml:space="preserve">a </w:t>
      </w:r>
      <w:r w:rsidR="00A132B3" w:rsidRPr="00030F56">
        <w:rPr>
          <w:rFonts w:ascii="Garamond" w:hAnsi="Garamond" w:cs="Arial"/>
          <w:sz w:val="24"/>
          <w:szCs w:val="24"/>
        </w:rPr>
        <w:t>su</w:t>
      </w:r>
      <w:r w:rsidR="009461E1" w:rsidRPr="00030F56">
        <w:rPr>
          <w:rFonts w:ascii="Garamond" w:hAnsi="Garamond" w:cs="Arial"/>
          <w:sz w:val="24"/>
          <w:szCs w:val="24"/>
        </w:rPr>
        <w:t>a</w:t>
      </w:r>
      <w:r w:rsidR="00A132B3" w:rsidRPr="00030F56">
        <w:rPr>
          <w:rFonts w:ascii="Garamond" w:hAnsi="Garamond" w:cs="Arial"/>
          <w:sz w:val="24"/>
          <w:szCs w:val="24"/>
        </w:rPr>
        <w:t xml:space="preserve"> tare</w:t>
      </w:r>
      <w:r w:rsidR="009461E1" w:rsidRPr="00030F56">
        <w:rPr>
          <w:rFonts w:ascii="Garamond" w:hAnsi="Garamond" w:cs="Arial"/>
          <w:sz w:val="24"/>
          <w:szCs w:val="24"/>
        </w:rPr>
        <w:t>f</w:t>
      </w:r>
      <w:r w:rsidR="00A132B3" w:rsidRPr="00030F56">
        <w:rPr>
          <w:rFonts w:ascii="Garamond" w:hAnsi="Garamond" w:cs="Arial"/>
          <w:sz w:val="24"/>
          <w:szCs w:val="24"/>
        </w:rPr>
        <w:t xml:space="preserve">a de </w:t>
      </w:r>
      <w:r w:rsidR="009461E1" w:rsidRPr="00030F56">
        <w:rPr>
          <w:rFonts w:ascii="Garamond" w:hAnsi="Garamond" w:cs="Arial"/>
          <w:sz w:val="24"/>
          <w:szCs w:val="24"/>
        </w:rPr>
        <w:t>supri</w:t>
      </w:r>
      <w:r w:rsidR="00A132B3" w:rsidRPr="00030F56">
        <w:rPr>
          <w:rFonts w:ascii="Garamond" w:hAnsi="Garamond" w:cs="Arial"/>
          <w:sz w:val="24"/>
          <w:szCs w:val="24"/>
        </w:rPr>
        <w:t xml:space="preserve">mir </w:t>
      </w:r>
      <w:r w:rsidR="009461E1" w:rsidRPr="00030F56">
        <w:rPr>
          <w:rFonts w:ascii="Garamond" w:hAnsi="Garamond" w:cs="Arial"/>
          <w:sz w:val="24"/>
          <w:szCs w:val="24"/>
        </w:rPr>
        <w:t>e</w:t>
      </w:r>
      <w:r w:rsidR="00A132B3" w:rsidRPr="00030F56">
        <w:rPr>
          <w:rFonts w:ascii="Garamond" w:hAnsi="Garamond" w:cs="Arial"/>
          <w:sz w:val="24"/>
          <w:szCs w:val="24"/>
        </w:rPr>
        <w:t>/o</w:t>
      </w:r>
      <w:r w:rsidR="009461E1" w:rsidRPr="00030F56">
        <w:rPr>
          <w:rFonts w:ascii="Garamond" w:hAnsi="Garamond" w:cs="Arial"/>
          <w:sz w:val="24"/>
          <w:szCs w:val="24"/>
        </w:rPr>
        <w:t>u</w:t>
      </w:r>
      <w:r w:rsidR="00A132B3" w:rsidRPr="00030F56">
        <w:rPr>
          <w:rFonts w:ascii="Garamond" w:hAnsi="Garamond" w:cs="Arial"/>
          <w:sz w:val="24"/>
          <w:szCs w:val="24"/>
        </w:rPr>
        <w:t xml:space="preserve"> n</w:t>
      </w:r>
      <w:r w:rsidR="009461E1" w:rsidRPr="00030F56">
        <w:rPr>
          <w:rFonts w:ascii="Garamond" w:hAnsi="Garamond" w:cs="Arial"/>
          <w:sz w:val="24"/>
          <w:szCs w:val="24"/>
        </w:rPr>
        <w:t>ã</w:t>
      </w:r>
      <w:r w:rsidR="00A132B3" w:rsidRPr="00030F56">
        <w:rPr>
          <w:rFonts w:ascii="Garamond" w:hAnsi="Garamond" w:cs="Arial"/>
          <w:sz w:val="24"/>
          <w:szCs w:val="24"/>
        </w:rPr>
        <w:t xml:space="preserve">o </w:t>
      </w:r>
      <w:r w:rsidR="006C760C" w:rsidRPr="00030F56">
        <w:rPr>
          <w:rFonts w:ascii="Garamond" w:hAnsi="Garamond" w:cs="Arial"/>
          <w:sz w:val="24"/>
          <w:szCs w:val="24"/>
        </w:rPr>
        <w:t>adotar</w:t>
      </w:r>
      <w:r w:rsidR="00A132B3" w:rsidRPr="00030F56">
        <w:rPr>
          <w:rFonts w:ascii="Garamond" w:hAnsi="Garamond" w:cs="Arial"/>
          <w:sz w:val="24"/>
          <w:szCs w:val="24"/>
        </w:rPr>
        <w:t xml:space="preserve"> </w:t>
      </w:r>
      <w:r w:rsidR="00D15AFF" w:rsidRPr="00030F56">
        <w:rPr>
          <w:rFonts w:ascii="Garamond" w:hAnsi="Garamond" w:cs="Arial"/>
          <w:sz w:val="24"/>
          <w:szCs w:val="24"/>
        </w:rPr>
        <w:t>lei</w:t>
      </w:r>
      <w:r w:rsidR="009461E1" w:rsidRPr="00030F56">
        <w:rPr>
          <w:rFonts w:ascii="Garamond" w:hAnsi="Garamond" w:cs="Arial"/>
          <w:sz w:val="24"/>
          <w:szCs w:val="24"/>
        </w:rPr>
        <w:t>s contrá</w:t>
      </w:r>
      <w:r w:rsidR="00A132B3" w:rsidRPr="00030F56">
        <w:rPr>
          <w:rFonts w:ascii="Garamond" w:hAnsi="Garamond" w:cs="Arial"/>
          <w:sz w:val="24"/>
          <w:szCs w:val="24"/>
        </w:rPr>
        <w:t xml:space="preserve">rias </w:t>
      </w:r>
      <w:r w:rsidR="009461E1" w:rsidRPr="00030F56">
        <w:rPr>
          <w:rFonts w:ascii="Garamond" w:hAnsi="Garamond" w:cs="Arial"/>
          <w:sz w:val="24"/>
          <w:szCs w:val="24"/>
        </w:rPr>
        <w:t xml:space="preserve">à </w:t>
      </w:r>
      <w:r w:rsidR="00B14AA6" w:rsidRPr="00030F56">
        <w:rPr>
          <w:rFonts w:ascii="Garamond" w:hAnsi="Garamond" w:cs="Arial"/>
          <w:sz w:val="24"/>
          <w:szCs w:val="24"/>
        </w:rPr>
        <w:t>Convenção</w:t>
      </w:r>
      <w:r w:rsidR="00A132B3" w:rsidRPr="00030F56">
        <w:rPr>
          <w:rFonts w:ascii="Garamond" w:hAnsi="Garamond" w:cs="Arial"/>
          <w:sz w:val="24"/>
          <w:szCs w:val="24"/>
        </w:rPr>
        <w:t xml:space="preserve"> Americana</w:t>
      </w:r>
      <w:r w:rsidR="000C4382" w:rsidRPr="00030F56">
        <w:rPr>
          <w:rFonts w:ascii="Garamond" w:hAnsi="Garamond" w:cs="Arial"/>
          <w:sz w:val="24"/>
          <w:szCs w:val="24"/>
        </w:rPr>
        <w:t>»</w:t>
      </w:r>
      <w:r w:rsidR="00E4247C" w:rsidRPr="00030F56">
        <w:rPr>
          <w:rFonts w:ascii="Garamond" w:hAnsi="Garamond" w:cs="Arial"/>
          <w:sz w:val="24"/>
          <w:szCs w:val="24"/>
        </w:rPr>
        <w:t>,</w:t>
      </w:r>
      <w:r w:rsidR="009461E1" w:rsidRPr="003A1174">
        <w:rPr>
          <w:rFonts w:ascii="Garamond" w:hAnsi="Garamond" w:cs="Arial"/>
          <w:sz w:val="24"/>
          <w:szCs w:val="24"/>
        </w:rPr>
        <w:t xml:space="preserve"> que condena </w:t>
      </w:r>
      <w:r w:rsidR="00A132B3" w:rsidRPr="003A1174">
        <w:rPr>
          <w:rFonts w:ascii="Garamond" w:hAnsi="Garamond" w:cs="Arial"/>
          <w:sz w:val="24"/>
          <w:szCs w:val="24"/>
        </w:rPr>
        <w:t xml:space="preserve">a </w:t>
      </w:r>
      <w:r w:rsidR="00276DCA" w:rsidRPr="003A1174">
        <w:rPr>
          <w:rFonts w:ascii="Garamond" w:hAnsi="Garamond" w:cs="Arial"/>
          <w:sz w:val="24"/>
          <w:szCs w:val="24"/>
        </w:rPr>
        <w:t>impunidade</w:t>
      </w:r>
      <w:r w:rsidR="009461E1" w:rsidRPr="003A1174">
        <w:rPr>
          <w:rFonts w:ascii="Garamond" w:hAnsi="Garamond" w:cs="Arial"/>
          <w:sz w:val="24"/>
          <w:szCs w:val="24"/>
        </w:rPr>
        <w:t xml:space="preserve">, </w:t>
      </w:r>
      <w:r w:rsidR="00A132B3" w:rsidRPr="003A1174">
        <w:rPr>
          <w:rFonts w:ascii="Garamond" w:hAnsi="Garamond" w:cs="Arial"/>
          <w:sz w:val="24"/>
          <w:szCs w:val="24"/>
        </w:rPr>
        <w:t xml:space="preserve">o que </w:t>
      </w:r>
      <w:r w:rsidR="009461E1" w:rsidRPr="003A1174">
        <w:rPr>
          <w:rFonts w:ascii="Garamond" w:hAnsi="Garamond" w:cs="Arial"/>
          <w:sz w:val="24"/>
          <w:szCs w:val="24"/>
        </w:rPr>
        <w:t>já no caso d</w:t>
      </w:r>
      <w:r w:rsidR="00A132B3" w:rsidRPr="003A1174">
        <w:rPr>
          <w:rFonts w:ascii="Garamond" w:hAnsi="Garamond" w:cs="Arial"/>
          <w:sz w:val="24"/>
          <w:szCs w:val="24"/>
        </w:rPr>
        <w:t xml:space="preserve">a judicatura, </w:t>
      </w:r>
      <w:r w:rsidR="009461E1" w:rsidRPr="003A1174">
        <w:rPr>
          <w:rFonts w:ascii="Garamond" w:hAnsi="Garamond" w:cs="Arial"/>
          <w:sz w:val="24"/>
          <w:szCs w:val="24"/>
        </w:rPr>
        <w:t>por sua vez</w:t>
      </w:r>
      <w:r w:rsidR="00A132B3" w:rsidRPr="003A1174">
        <w:rPr>
          <w:rFonts w:ascii="Garamond" w:hAnsi="Garamond" w:cs="Arial"/>
          <w:sz w:val="24"/>
          <w:szCs w:val="24"/>
        </w:rPr>
        <w:t>, de</w:t>
      </w:r>
      <w:r w:rsidR="00FB6D51" w:rsidRPr="003A1174">
        <w:rPr>
          <w:rFonts w:ascii="Garamond" w:hAnsi="Garamond" w:cs="Arial"/>
          <w:sz w:val="24"/>
          <w:szCs w:val="24"/>
        </w:rPr>
        <w:t xml:space="preserve">via </w:t>
      </w:r>
      <w:r w:rsidR="00A132B3" w:rsidRPr="003A1174">
        <w:rPr>
          <w:rFonts w:ascii="Garamond" w:hAnsi="Garamond" w:cs="Arial"/>
          <w:sz w:val="24"/>
          <w:szCs w:val="24"/>
        </w:rPr>
        <w:t>implicar que se d</w:t>
      </w:r>
      <w:r w:rsidR="009461E1" w:rsidRPr="003A1174">
        <w:rPr>
          <w:rFonts w:ascii="Garamond" w:hAnsi="Garamond" w:cs="Arial"/>
          <w:sz w:val="24"/>
          <w:szCs w:val="24"/>
        </w:rPr>
        <w:t xml:space="preserve">esse </w:t>
      </w:r>
      <w:r w:rsidR="00FB6D51" w:rsidRPr="003A1174">
        <w:rPr>
          <w:rFonts w:ascii="Garamond" w:hAnsi="Garamond" w:cs="Arial"/>
          <w:sz w:val="24"/>
          <w:szCs w:val="24"/>
        </w:rPr>
        <w:t>prevalê</w:t>
      </w:r>
      <w:r w:rsidR="00A132B3" w:rsidRPr="003A1174">
        <w:rPr>
          <w:rFonts w:ascii="Garamond" w:hAnsi="Garamond" w:cs="Arial"/>
          <w:sz w:val="24"/>
          <w:szCs w:val="24"/>
        </w:rPr>
        <w:t>ncia</w:t>
      </w:r>
      <w:r w:rsidR="009461E1" w:rsidRPr="003A1174">
        <w:rPr>
          <w:rFonts w:ascii="Garamond" w:hAnsi="Garamond" w:cs="Arial"/>
          <w:sz w:val="24"/>
          <w:szCs w:val="24"/>
        </w:rPr>
        <w:t xml:space="preserve"> ao</w:t>
      </w:r>
      <w:r w:rsidR="00A132B3" w:rsidRPr="003A1174">
        <w:rPr>
          <w:rFonts w:ascii="Garamond" w:hAnsi="Garamond" w:cs="Arial"/>
          <w:sz w:val="24"/>
          <w:szCs w:val="24"/>
        </w:rPr>
        <w:t xml:space="preserve"> </w:t>
      </w:r>
      <w:r w:rsidR="00AF192F" w:rsidRPr="003A1174">
        <w:rPr>
          <w:rFonts w:ascii="Garamond" w:hAnsi="Garamond" w:cs="Arial"/>
          <w:sz w:val="24"/>
          <w:szCs w:val="24"/>
        </w:rPr>
        <w:t>dever</w:t>
      </w:r>
      <w:r w:rsidR="00A132B3" w:rsidRPr="003A1174">
        <w:rPr>
          <w:rFonts w:ascii="Garamond" w:hAnsi="Garamond" w:cs="Arial"/>
          <w:sz w:val="24"/>
          <w:szCs w:val="24"/>
        </w:rPr>
        <w:t xml:space="preserve"> de </w:t>
      </w:r>
      <w:r w:rsidR="00A56F43" w:rsidRPr="003A1174">
        <w:rPr>
          <w:rFonts w:ascii="Garamond" w:hAnsi="Garamond" w:cs="Arial"/>
          <w:sz w:val="24"/>
          <w:szCs w:val="24"/>
        </w:rPr>
        <w:t>garantia</w:t>
      </w:r>
      <w:r w:rsidR="00A132B3" w:rsidRPr="003A1174">
        <w:rPr>
          <w:rFonts w:ascii="Garamond" w:hAnsi="Garamond" w:cs="Arial"/>
          <w:sz w:val="24"/>
          <w:szCs w:val="24"/>
        </w:rPr>
        <w:t xml:space="preserve"> </w:t>
      </w:r>
      <w:r w:rsidR="00661ADB" w:rsidRPr="003A1174">
        <w:rPr>
          <w:rFonts w:ascii="Garamond" w:hAnsi="Garamond" w:cs="Arial"/>
          <w:sz w:val="24"/>
          <w:szCs w:val="24"/>
        </w:rPr>
        <w:t>estabelecido</w:t>
      </w:r>
      <w:r w:rsidR="00A132B3" w:rsidRPr="003A1174">
        <w:rPr>
          <w:rFonts w:ascii="Garamond" w:hAnsi="Garamond" w:cs="Arial"/>
          <w:sz w:val="24"/>
          <w:szCs w:val="24"/>
        </w:rPr>
        <w:t xml:space="preserve"> </w:t>
      </w:r>
      <w:r w:rsidR="009461E1" w:rsidRPr="003A1174">
        <w:rPr>
          <w:rFonts w:ascii="Garamond" w:hAnsi="Garamond" w:cs="Arial"/>
          <w:sz w:val="24"/>
          <w:szCs w:val="24"/>
        </w:rPr>
        <w:t xml:space="preserve">no </w:t>
      </w:r>
      <w:r w:rsidR="00383B3F" w:rsidRPr="003A1174">
        <w:rPr>
          <w:rFonts w:ascii="Garamond" w:hAnsi="Garamond" w:cs="Arial"/>
          <w:sz w:val="24"/>
          <w:szCs w:val="24"/>
        </w:rPr>
        <w:t>Art.</w:t>
      </w:r>
      <w:r w:rsidR="00A132B3" w:rsidRPr="003A1174">
        <w:rPr>
          <w:rFonts w:ascii="Garamond" w:hAnsi="Garamond" w:cs="Arial"/>
          <w:sz w:val="24"/>
          <w:szCs w:val="24"/>
        </w:rPr>
        <w:t xml:space="preserve"> 1.1</w:t>
      </w:r>
      <w:r w:rsidR="000C4382">
        <w:rPr>
          <w:rFonts w:ascii="Garamond" w:hAnsi="Garamond" w:cs="Arial"/>
          <w:sz w:val="24"/>
          <w:szCs w:val="24"/>
        </w:rPr>
        <w:t>.</w:t>
      </w:r>
      <w:r w:rsidR="00A132B3" w:rsidRPr="003A1174">
        <w:rPr>
          <w:rFonts w:ascii="Garamond" w:hAnsi="Garamond" w:cs="Arial"/>
          <w:sz w:val="24"/>
          <w:szCs w:val="24"/>
        </w:rPr>
        <w:t xml:space="preserve"> </w:t>
      </w:r>
      <w:proofErr w:type="gramStart"/>
      <w:r w:rsidR="00A132B3" w:rsidRPr="003A1174">
        <w:rPr>
          <w:rFonts w:ascii="Garamond" w:hAnsi="Garamond" w:cs="Arial"/>
          <w:sz w:val="24"/>
          <w:szCs w:val="24"/>
        </w:rPr>
        <w:t>d</w:t>
      </w:r>
      <w:r w:rsidR="009461E1" w:rsidRPr="003A1174">
        <w:rPr>
          <w:rFonts w:ascii="Garamond" w:hAnsi="Garamond" w:cs="Arial"/>
          <w:sz w:val="24"/>
          <w:szCs w:val="24"/>
        </w:rPr>
        <w:t>a</w:t>
      </w:r>
      <w:proofErr w:type="gramEnd"/>
      <w:r w:rsidR="009461E1" w:rsidRPr="003A1174">
        <w:rPr>
          <w:rFonts w:ascii="Garamond" w:hAnsi="Garamond" w:cs="Arial"/>
          <w:sz w:val="24"/>
          <w:szCs w:val="24"/>
        </w:rPr>
        <w:t xml:space="preserve"> CADH e</w:t>
      </w:r>
      <w:r w:rsidR="00A132B3" w:rsidRPr="003A1174">
        <w:rPr>
          <w:rFonts w:ascii="Garamond" w:hAnsi="Garamond" w:cs="Arial"/>
          <w:sz w:val="24"/>
          <w:szCs w:val="24"/>
        </w:rPr>
        <w:t xml:space="preserve">, por </w:t>
      </w:r>
      <w:r w:rsidR="006F7276" w:rsidRPr="003A1174">
        <w:rPr>
          <w:rFonts w:ascii="Garamond" w:hAnsi="Garamond" w:cs="Arial"/>
          <w:sz w:val="24"/>
          <w:szCs w:val="24"/>
        </w:rPr>
        <w:t>conseguinte</w:t>
      </w:r>
      <w:r w:rsidR="00A132B3" w:rsidRPr="003A1174">
        <w:rPr>
          <w:rFonts w:ascii="Garamond" w:hAnsi="Garamond" w:cs="Arial"/>
          <w:sz w:val="24"/>
          <w:szCs w:val="24"/>
        </w:rPr>
        <w:t xml:space="preserve">, </w:t>
      </w:r>
      <w:r w:rsidR="009461E1" w:rsidRPr="003A1174">
        <w:rPr>
          <w:rFonts w:ascii="Garamond" w:hAnsi="Garamond" w:cs="Arial"/>
          <w:sz w:val="24"/>
          <w:szCs w:val="24"/>
        </w:rPr>
        <w:t xml:space="preserve">os operadores jurídicos chilenos </w:t>
      </w:r>
      <w:r w:rsidR="00A132B3" w:rsidRPr="003A1174">
        <w:rPr>
          <w:rFonts w:ascii="Garamond" w:hAnsi="Garamond" w:cs="Arial"/>
          <w:sz w:val="24"/>
          <w:szCs w:val="24"/>
        </w:rPr>
        <w:t>se abst</w:t>
      </w:r>
      <w:r w:rsidR="009461E1" w:rsidRPr="003A1174">
        <w:rPr>
          <w:rFonts w:ascii="Garamond" w:hAnsi="Garamond" w:cs="Arial"/>
          <w:sz w:val="24"/>
          <w:szCs w:val="24"/>
        </w:rPr>
        <w:t xml:space="preserve">ivessem </w:t>
      </w:r>
      <w:r w:rsidR="000C4382" w:rsidRPr="00030F56">
        <w:rPr>
          <w:rFonts w:ascii="Garamond" w:hAnsi="Garamond" w:cs="Arial"/>
          <w:sz w:val="24"/>
          <w:szCs w:val="24"/>
        </w:rPr>
        <w:t>«</w:t>
      </w:r>
      <w:r w:rsidR="00A132B3" w:rsidRPr="00030F56">
        <w:rPr>
          <w:rFonts w:ascii="Garamond" w:hAnsi="Garamond" w:cs="Arial"/>
          <w:sz w:val="24"/>
          <w:szCs w:val="24"/>
        </w:rPr>
        <w:t xml:space="preserve">de aplicar </w:t>
      </w:r>
      <w:r w:rsidR="007342D9" w:rsidRPr="00030F56">
        <w:rPr>
          <w:rFonts w:ascii="Garamond" w:hAnsi="Garamond" w:cs="Arial"/>
          <w:sz w:val="24"/>
          <w:szCs w:val="24"/>
        </w:rPr>
        <w:t>qualquer</w:t>
      </w:r>
      <w:r w:rsidR="00A132B3" w:rsidRPr="00030F56">
        <w:rPr>
          <w:rFonts w:ascii="Garamond" w:hAnsi="Garamond" w:cs="Arial"/>
          <w:sz w:val="24"/>
          <w:szCs w:val="24"/>
        </w:rPr>
        <w:t xml:space="preserve"> norma </w:t>
      </w:r>
      <w:r w:rsidR="009461E1" w:rsidRPr="00030F56">
        <w:rPr>
          <w:rFonts w:ascii="Garamond" w:hAnsi="Garamond" w:cs="Arial"/>
          <w:sz w:val="24"/>
          <w:szCs w:val="24"/>
        </w:rPr>
        <w:t>contrária a el</w:t>
      </w:r>
      <w:r w:rsidR="00A132B3" w:rsidRPr="00030F56">
        <w:rPr>
          <w:rFonts w:ascii="Garamond" w:hAnsi="Garamond" w:cs="Arial"/>
          <w:sz w:val="24"/>
          <w:szCs w:val="24"/>
        </w:rPr>
        <w:t>a</w:t>
      </w:r>
      <w:r w:rsidR="000C4382" w:rsidRPr="00030F56">
        <w:rPr>
          <w:rFonts w:ascii="Garamond" w:hAnsi="Garamond" w:cs="Arial"/>
          <w:sz w:val="24"/>
          <w:szCs w:val="24"/>
        </w:rPr>
        <w:t>»</w:t>
      </w:r>
      <w:r w:rsidR="009461E1" w:rsidRPr="003A1174">
        <w:rPr>
          <w:rFonts w:ascii="Garamond" w:hAnsi="Garamond" w:cs="Arial"/>
          <w:sz w:val="24"/>
          <w:szCs w:val="24"/>
        </w:rPr>
        <w:t xml:space="preserve"> como o era, precisamente, </w:t>
      </w:r>
      <w:r w:rsidR="00A132B3" w:rsidRPr="003A1174">
        <w:rPr>
          <w:rFonts w:ascii="Garamond" w:hAnsi="Garamond" w:cs="Arial"/>
          <w:sz w:val="24"/>
          <w:szCs w:val="24"/>
        </w:rPr>
        <w:t xml:space="preserve">a </w:t>
      </w:r>
      <w:r>
        <w:rPr>
          <w:rFonts w:ascii="Garamond" w:hAnsi="Garamond" w:cs="Arial"/>
          <w:sz w:val="24"/>
          <w:szCs w:val="24"/>
        </w:rPr>
        <w:t>l</w:t>
      </w:r>
      <w:r w:rsidR="00D15AFF" w:rsidRPr="003A1174">
        <w:rPr>
          <w:rFonts w:ascii="Garamond" w:hAnsi="Garamond" w:cs="Arial"/>
          <w:sz w:val="24"/>
          <w:szCs w:val="24"/>
        </w:rPr>
        <w:t>ei</w:t>
      </w:r>
      <w:r w:rsidR="009461E1" w:rsidRPr="003A1174">
        <w:rPr>
          <w:rFonts w:ascii="Garamond" w:hAnsi="Garamond" w:cs="Arial"/>
          <w:sz w:val="24"/>
          <w:szCs w:val="24"/>
        </w:rPr>
        <w:t xml:space="preserve"> interna que ordenava </w:t>
      </w:r>
      <w:r w:rsidR="00A132B3" w:rsidRPr="003A1174">
        <w:rPr>
          <w:rFonts w:ascii="Garamond" w:hAnsi="Garamond" w:cs="Arial"/>
          <w:sz w:val="24"/>
          <w:szCs w:val="24"/>
        </w:rPr>
        <w:t xml:space="preserve">a </w:t>
      </w:r>
      <w:r w:rsidR="00276DCA" w:rsidRPr="003A1174">
        <w:rPr>
          <w:rFonts w:ascii="Garamond" w:hAnsi="Garamond" w:cs="Arial"/>
          <w:sz w:val="24"/>
          <w:szCs w:val="24"/>
        </w:rPr>
        <w:t>impunidade</w:t>
      </w:r>
      <w:r w:rsidR="00A132B3" w:rsidRPr="003A1174">
        <w:rPr>
          <w:rFonts w:ascii="Garamond" w:hAnsi="Garamond" w:cs="Arial"/>
          <w:sz w:val="24"/>
          <w:szCs w:val="24"/>
        </w:rPr>
        <w:t>.</w:t>
      </w:r>
      <w:r w:rsidR="00A132B3" w:rsidRPr="003A1174">
        <w:rPr>
          <w:rStyle w:val="Refdenotaalpie"/>
          <w:rFonts w:ascii="Garamond" w:hAnsi="Garamond" w:cs="Arial"/>
          <w:sz w:val="24"/>
          <w:szCs w:val="24"/>
        </w:rPr>
        <w:footnoteReference w:id="33"/>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2B33D4" w:rsidP="008719D4">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O</w:t>
      </w:r>
      <w:r w:rsidR="00A132B3" w:rsidRPr="003A1174">
        <w:rPr>
          <w:rFonts w:ascii="Garamond" w:hAnsi="Garamond" w:cs="Arial"/>
          <w:sz w:val="24"/>
          <w:szCs w:val="24"/>
        </w:rPr>
        <w:t xml:space="preserve"> </w:t>
      </w:r>
      <w:r>
        <w:rPr>
          <w:rFonts w:ascii="Garamond" w:hAnsi="Garamond" w:cs="Arial"/>
          <w:sz w:val="24"/>
          <w:szCs w:val="24"/>
        </w:rPr>
        <w:t>tribunal</w:t>
      </w:r>
      <w:r w:rsidR="00403404" w:rsidRPr="003A1174">
        <w:rPr>
          <w:rFonts w:ascii="Garamond" w:hAnsi="Garamond" w:cs="Arial"/>
          <w:sz w:val="24"/>
          <w:szCs w:val="24"/>
        </w:rPr>
        <w:t xml:space="preserve"> </w:t>
      </w:r>
      <w:r>
        <w:rPr>
          <w:rFonts w:ascii="Garamond" w:hAnsi="Garamond" w:cs="Arial"/>
          <w:sz w:val="24"/>
          <w:szCs w:val="24"/>
        </w:rPr>
        <w:t xml:space="preserve">teve em conta </w:t>
      </w:r>
      <w:r w:rsidR="00563640" w:rsidRPr="003A1174">
        <w:rPr>
          <w:rFonts w:ascii="Garamond" w:hAnsi="Garamond" w:cs="Arial"/>
          <w:sz w:val="24"/>
          <w:szCs w:val="24"/>
        </w:rPr>
        <w:t xml:space="preserve">que </w:t>
      </w:r>
      <w:r w:rsidR="00A132B3" w:rsidRPr="003A1174">
        <w:rPr>
          <w:rFonts w:ascii="Garamond" w:hAnsi="Garamond" w:cs="Arial"/>
          <w:sz w:val="24"/>
          <w:szCs w:val="24"/>
        </w:rPr>
        <w:t xml:space="preserve">os </w:t>
      </w:r>
      <w:r w:rsidR="00BA3CCE" w:rsidRPr="003A1174">
        <w:rPr>
          <w:rFonts w:ascii="Garamond" w:hAnsi="Garamond" w:cs="Arial"/>
          <w:sz w:val="24"/>
          <w:szCs w:val="24"/>
        </w:rPr>
        <w:t>juízes</w:t>
      </w:r>
      <w:r w:rsidR="00563640" w:rsidRPr="003A1174">
        <w:rPr>
          <w:rFonts w:ascii="Garamond" w:hAnsi="Garamond" w:cs="Arial"/>
          <w:sz w:val="24"/>
          <w:szCs w:val="24"/>
        </w:rPr>
        <w:t xml:space="preserve"> e</w:t>
      </w:r>
      <w:r w:rsidR="00A132B3" w:rsidRPr="003A1174">
        <w:rPr>
          <w:rFonts w:ascii="Garamond" w:hAnsi="Garamond" w:cs="Arial"/>
          <w:sz w:val="24"/>
          <w:szCs w:val="24"/>
        </w:rPr>
        <w:t xml:space="preserve"> </w:t>
      </w:r>
      <w:r w:rsidR="00FB09CA" w:rsidRPr="003A1174">
        <w:rPr>
          <w:rFonts w:ascii="Garamond" w:hAnsi="Garamond" w:cs="Arial"/>
          <w:sz w:val="24"/>
          <w:szCs w:val="24"/>
        </w:rPr>
        <w:t>tribunais</w:t>
      </w:r>
      <w:r w:rsidR="00A132B3" w:rsidRPr="003A1174">
        <w:rPr>
          <w:rFonts w:ascii="Garamond" w:hAnsi="Garamond" w:cs="Arial"/>
          <w:sz w:val="24"/>
          <w:szCs w:val="24"/>
        </w:rPr>
        <w:t xml:space="preserve"> </w:t>
      </w:r>
      <w:r w:rsidR="00190B59" w:rsidRPr="003A1174">
        <w:rPr>
          <w:rFonts w:ascii="Garamond" w:hAnsi="Garamond" w:cs="Arial"/>
          <w:sz w:val="24"/>
          <w:szCs w:val="24"/>
        </w:rPr>
        <w:t>nacionais</w:t>
      </w:r>
      <w:r w:rsidR="00A132B3" w:rsidRPr="003A1174">
        <w:rPr>
          <w:rFonts w:ascii="Garamond" w:hAnsi="Garamond" w:cs="Arial"/>
          <w:sz w:val="24"/>
          <w:szCs w:val="24"/>
        </w:rPr>
        <w:t xml:space="preserve"> se encontra</w:t>
      </w:r>
      <w:r w:rsidR="00563640" w:rsidRPr="003A1174">
        <w:rPr>
          <w:rFonts w:ascii="Garamond" w:hAnsi="Garamond" w:cs="Arial"/>
          <w:sz w:val="24"/>
          <w:szCs w:val="24"/>
        </w:rPr>
        <w:t xml:space="preserve">vam </w:t>
      </w:r>
      <w:r w:rsidR="00A132B3" w:rsidRPr="003A1174">
        <w:rPr>
          <w:rFonts w:ascii="Garamond" w:hAnsi="Garamond" w:cs="Arial"/>
          <w:sz w:val="24"/>
          <w:szCs w:val="24"/>
        </w:rPr>
        <w:t>suje</w:t>
      </w:r>
      <w:r w:rsidR="00563640" w:rsidRPr="003A1174">
        <w:rPr>
          <w:rFonts w:ascii="Garamond" w:hAnsi="Garamond" w:cs="Arial"/>
          <w:sz w:val="24"/>
          <w:szCs w:val="24"/>
        </w:rPr>
        <w:t>i</w:t>
      </w:r>
      <w:r w:rsidR="00A132B3" w:rsidRPr="003A1174">
        <w:rPr>
          <w:rFonts w:ascii="Garamond" w:hAnsi="Garamond" w:cs="Arial"/>
          <w:sz w:val="24"/>
          <w:szCs w:val="24"/>
        </w:rPr>
        <w:t xml:space="preserve">tos </w:t>
      </w:r>
      <w:r w:rsidR="00563640" w:rsidRPr="003A1174">
        <w:rPr>
          <w:rFonts w:ascii="Garamond" w:hAnsi="Garamond" w:cs="Arial"/>
          <w:sz w:val="24"/>
          <w:szCs w:val="24"/>
        </w:rPr>
        <w:t>à</w:t>
      </w:r>
      <w:r w:rsidR="00A132B3" w:rsidRPr="003A1174">
        <w:rPr>
          <w:rFonts w:ascii="Garamond" w:hAnsi="Garamond" w:cs="Arial"/>
          <w:sz w:val="24"/>
          <w:szCs w:val="24"/>
        </w:rPr>
        <w:t xml:space="preserve">s normas </w:t>
      </w:r>
      <w:r w:rsidR="002D1021" w:rsidRPr="003A1174">
        <w:rPr>
          <w:rFonts w:ascii="Garamond" w:hAnsi="Garamond" w:cs="Arial"/>
          <w:sz w:val="24"/>
          <w:szCs w:val="24"/>
        </w:rPr>
        <w:t>legais</w:t>
      </w:r>
      <w:r w:rsidR="00A132B3" w:rsidRPr="003A1174">
        <w:rPr>
          <w:rFonts w:ascii="Garamond" w:hAnsi="Garamond" w:cs="Arial"/>
          <w:sz w:val="24"/>
          <w:szCs w:val="24"/>
        </w:rPr>
        <w:t xml:space="preserve"> d</w:t>
      </w:r>
      <w:r w:rsidR="00563640" w:rsidRPr="003A1174">
        <w:rPr>
          <w:rFonts w:ascii="Garamond" w:hAnsi="Garamond" w:cs="Arial"/>
          <w:sz w:val="24"/>
          <w:szCs w:val="24"/>
        </w:rPr>
        <w:t>o seu Estado, mas recordou</w:t>
      </w:r>
      <w:r w:rsidR="00A132B3" w:rsidRPr="003A1174">
        <w:rPr>
          <w:rFonts w:ascii="Garamond" w:hAnsi="Garamond" w:cs="Arial"/>
          <w:sz w:val="24"/>
          <w:szCs w:val="24"/>
        </w:rPr>
        <w:t xml:space="preserve"> </w:t>
      </w:r>
      <w:proofErr w:type="gramStart"/>
      <w:r w:rsidR="00A132B3" w:rsidRPr="003A1174">
        <w:rPr>
          <w:rFonts w:ascii="Garamond" w:hAnsi="Garamond" w:cs="Arial"/>
          <w:sz w:val="24"/>
          <w:szCs w:val="24"/>
        </w:rPr>
        <w:t>que</w:t>
      </w:r>
      <w:proofErr w:type="gramEnd"/>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ind w:left="708"/>
        <w:jc w:val="both"/>
        <w:rPr>
          <w:rFonts w:ascii="Garamond" w:hAnsi="Garamond" w:cs="Arial"/>
          <w:i/>
          <w:sz w:val="24"/>
          <w:szCs w:val="24"/>
        </w:rPr>
      </w:pPr>
    </w:p>
    <w:p w:rsidR="00A132B3" w:rsidRPr="009F3AC2" w:rsidRDefault="009F3AC2" w:rsidP="009F3AC2">
      <w:pPr>
        <w:autoSpaceDE w:val="0"/>
        <w:autoSpaceDN w:val="0"/>
        <w:adjustRightInd w:val="0"/>
        <w:spacing w:after="0" w:line="240" w:lineRule="auto"/>
        <w:ind w:left="567"/>
        <w:jc w:val="both"/>
        <w:rPr>
          <w:rFonts w:ascii="Garamond" w:hAnsi="Garamond" w:cs="Arial"/>
        </w:rPr>
      </w:pPr>
      <w:proofErr w:type="gramStart"/>
      <w:r w:rsidRPr="009F3AC2">
        <w:rPr>
          <w:rFonts w:ascii="Garamond" w:hAnsi="Garamond" w:cs="Arial"/>
        </w:rPr>
        <w:lastRenderedPageBreak/>
        <w:t>«</w:t>
      </w:r>
      <w:r w:rsidR="00E4247C" w:rsidRPr="009F3AC2">
        <w:rPr>
          <w:rFonts w:ascii="Garamond" w:hAnsi="Garamond" w:cs="Arial"/>
        </w:rPr>
        <w:t>…</w:t>
      </w:r>
      <w:proofErr w:type="gramEnd"/>
      <w:r w:rsidR="00863197" w:rsidRPr="009F3AC2">
        <w:rPr>
          <w:rFonts w:ascii="Garamond" w:hAnsi="Garamond" w:cs="Arial"/>
        </w:rPr>
        <w:t>quando</w:t>
      </w:r>
      <w:r w:rsidR="00A132B3" w:rsidRPr="009F3AC2">
        <w:rPr>
          <w:rFonts w:ascii="Garamond" w:hAnsi="Garamond" w:cs="Arial"/>
        </w:rPr>
        <w:t xml:space="preserve"> u</w:t>
      </w:r>
      <w:r w:rsidR="00563640" w:rsidRPr="009F3AC2">
        <w:rPr>
          <w:rFonts w:ascii="Garamond" w:hAnsi="Garamond" w:cs="Arial"/>
        </w:rPr>
        <w:t>m</w:t>
      </w:r>
      <w:r w:rsidR="00A132B3" w:rsidRPr="009F3AC2">
        <w:rPr>
          <w:rFonts w:ascii="Garamond" w:hAnsi="Garamond" w:cs="Arial"/>
        </w:rPr>
        <w:t xml:space="preserve"> Estado ratific</w:t>
      </w:r>
      <w:r w:rsidR="00563640" w:rsidRPr="009F3AC2">
        <w:rPr>
          <w:rFonts w:ascii="Garamond" w:hAnsi="Garamond" w:cs="Arial"/>
        </w:rPr>
        <w:t xml:space="preserve">ou um tratado internacional como </w:t>
      </w:r>
      <w:r w:rsidR="00A132B3" w:rsidRPr="009F3AC2">
        <w:rPr>
          <w:rFonts w:ascii="Garamond" w:hAnsi="Garamond" w:cs="Arial"/>
        </w:rPr>
        <w:t xml:space="preserve">a </w:t>
      </w:r>
      <w:r w:rsidR="00B14AA6" w:rsidRPr="009F3AC2">
        <w:rPr>
          <w:rFonts w:ascii="Garamond" w:hAnsi="Garamond" w:cs="Arial"/>
        </w:rPr>
        <w:t>Convenção</w:t>
      </w:r>
      <w:r w:rsidR="00A132B3" w:rsidRPr="009F3AC2">
        <w:rPr>
          <w:rFonts w:ascii="Garamond" w:hAnsi="Garamond" w:cs="Arial"/>
        </w:rPr>
        <w:t xml:space="preserve"> Americana, </w:t>
      </w:r>
      <w:r w:rsidR="00563640" w:rsidRPr="009F3AC2">
        <w:rPr>
          <w:rFonts w:ascii="Garamond" w:hAnsi="Garamond" w:cs="Arial"/>
        </w:rPr>
        <w:t xml:space="preserve">os </w:t>
      </w:r>
      <w:r w:rsidR="00A132B3" w:rsidRPr="009F3AC2">
        <w:rPr>
          <w:rFonts w:ascii="Garamond" w:hAnsi="Garamond" w:cs="Arial"/>
        </w:rPr>
        <w:t>s</w:t>
      </w:r>
      <w:r w:rsidR="00563640" w:rsidRPr="009F3AC2">
        <w:rPr>
          <w:rFonts w:ascii="Garamond" w:hAnsi="Garamond" w:cs="Arial"/>
        </w:rPr>
        <w:t>e</w:t>
      </w:r>
      <w:r w:rsidR="00A132B3" w:rsidRPr="009F3AC2">
        <w:rPr>
          <w:rFonts w:ascii="Garamond" w:hAnsi="Garamond" w:cs="Arial"/>
        </w:rPr>
        <w:t xml:space="preserve">us </w:t>
      </w:r>
      <w:r w:rsidR="00BA3CCE" w:rsidRPr="009F3AC2">
        <w:rPr>
          <w:rFonts w:ascii="Garamond" w:hAnsi="Garamond" w:cs="Arial"/>
        </w:rPr>
        <w:t>juízes</w:t>
      </w:r>
      <w:r w:rsidR="00A132B3" w:rsidRPr="009F3AC2">
        <w:rPr>
          <w:rFonts w:ascii="Garamond" w:hAnsi="Garamond" w:cs="Arial"/>
        </w:rPr>
        <w:t>, como parte d</w:t>
      </w:r>
      <w:r w:rsidR="00563640" w:rsidRPr="009F3AC2">
        <w:rPr>
          <w:rFonts w:ascii="Garamond" w:hAnsi="Garamond" w:cs="Arial"/>
        </w:rPr>
        <w:t xml:space="preserve">o aparelho do </w:t>
      </w:r>
      <w:r w:rsidR="00A132B3" w:rsidRPr="009F3AC2">
        <w:rPr>
          <w:rFonts w:ascii="Garamond" w:hAnsi="Garamond" w:cs="Arial"/>
        </w:rPr>
        <w:t xml:space="preserve">Estado, </w:t>
      </w:r>
      <w:r w:rsidR="000350B1" w:rsidRPr="009F3AC2">
        <w:rPr>
          <w:rFonts w:ascii="Garamond" w:hAnsi="Garamond" w:cs="Arial"/>
        </w:rPr>
        <w:t>também</w:t>
      </w:r>
      <w:r w:rsidR="00A132B3" w:rsidRPr="009F3AC2">
        <w:rPr>
          <w:rFonts w:ascii="Garamond" w:hAnsi="Garamond" w:cs="Arial"/>
        </w:rPr>
        <w:t xml:space="preserve"> est</w:t>
      </w:r>
      <w:r w:rsidR="00563640" w:rsidRPr="009F3AC2">
        <w:rPr>
          <w:rFonts w:ascii="Garamond" w:hAnsi="Garamond" w:cs="Arial"/>
        </w:rPr>
        <w:t>ã</w:t>
      </w:r>
      <w:r w:rsidR="00403404" w:rsidRPr="009F3AC2">
        <w:rPr>
          <w:rFonts w:ascii="Garamond" w:hAnsi="Garamond" w:cs="Arial"/>
        </w:rPr>
        <w:t>o</w:t>
      </w:r>
      <w:r w:rsidR="00563640" w:rsidRPr="009F3AC2">
        <w:rPr>
          <w:rFonts w:ascii="Garamond" w:hAnsi="Garamond" w:cs="Arial"/>
        </w:rPr>
        <w:t xml:space="preserve"> su</w:t>
      </w:r>
      <w:r w:rsidR="00AB1A71" w:rsidRPr="009F3AC2">
        <w:rPr>
          <w:rFonts w:ascii="Garamond" w:hAnsi="Garamond" w:cs="Arial"/>
        </w:rPr>
        <w:t xml:space="preserve">jeitos </w:t>
      </w:r>
      <w:r w:rsidR="00563640" w:rsidRPr="009F3AC2">
        <w:rPr>
          <w:rFonts w:ascii="Garamond" w:hAnsi="Garamond" w:cs="Arial"/>
        </w:rPr>
        <w:t>a e</w:t>
      </w:r>
      <w:r w:rsidR="00A132B3" w:rsidRPr="009F3AC2">
        <w:rPr>
          <w:rFonts w:ascii="Garamond" w:hAnsi="Garamond" w:cs="Arial"/>
        </w:rPr>
        <w:t>la</w:t>
      </w:r>
      <w:r w:rsidR="00563640" w:rsidRPr="009F3AC2">
        <w:rPr>
          <w:rFonts w:ascii="Garamond" w:hAnsi="Garamond" w:cs="Arial"/>
        </w:rPr>
        <w:t xml:space="preserve">, </w:t>
      </w:r>
      <w:r w:rsidR="00A132B3" w:rsidRPr="009F3AC2">
        <w:rPr>
          <w:rFonts w:ascii="Garamond" w:hAnsi="Garamond" w:cs="Arial"/>
        </w:rPr>
        <w:t xml:space="preserve">o que </w:t>
      </w:r>
      <w:r w:rsidR="00563640" w:rsidRPr="009F3AC2">
        <w:rPr>
          <w:rFonts w:ascii="Garamond" w:hAnsi="Garamond" w:cs="Arial"/>
        </w:rPr>
        <w:t>o</w:t>
      </w:r>
      <w:r w:rsidR="00A132B3" w:rsidRPr="009F3AC2">
        <w:rPr>
          <w:rFonts w:ascii="Garamond" w:hAnsi="Garamond" w:cs="Arial"/>
        </w:rPr>
        <w:t xml:space="preserve">s </w:t>
      </w:r>
      <w:r w:rsidR="007342D9" w:rsidRPr="009F3AC2">
        <w:rPr>
          <w:rFonts w:ascii="Garamond" w:hAnsi="Garamond" w:cs="Arial"/>
        </w:rPr>
        <w:t>obriga</w:t>
      </w:r>
      <w:r w:rsidR="00A132B3" w:rsidRPr="009F3AC2">
        <w:rPr>
          <w:rFonts w:ascii="Garamond" w:hAnsi="Garamond" w:cs="Arial"/>
        </w:rPr>
        <w:t xml:space="preserve"> a velar p</w:t>
      </w:r>
      <w:r w:rsidR="00563640" w:rsidRPr="009F3AC2">
        <w:rPr>
          <w:rFonts w:ascii="Garamond" w:hAnsi="Garamond" w:cs="Arial"/>
        </w:rPr>
        <w:t xml:space="preserve">ara que </w:t>
      </w:r>
      <w:r w:rsidR="00A132B3" w:rsidRPr="009F3AC2">
        <w:rPr>
          <w:rFonts w:ascii="Garamond" w:hAnsi="Garamond" w:cs="Arial"/>
        </w:rPr>
        <w:t xml:space="preserve">os </w:t>
      </w:r>
      <w:r w:rsidR="00863197" w:rsidRPr="009F3AC2">
        <w:rPr>
          <w:rFonts w:ascii="Garamond" w:hAnsi="Garamond" w:cs="Arial"/>
        </w:rPr>
        <w:t>efeito</w:t>
      </w:r>
      <w:r w:rsidR="00A132B3" w:rsidRPr="009F3AC2">
        <w:rPr>
          <w:rFonts w:ascii="Garamond" w:hAnsi="Garamond" w:cs="Arial"/>
        </w:rPr>
        <w:t xml:space="preserve">s das </w:t>
      </w:r>
      <w:r w:rsidR="00B14AA6" w:rsidRPr="009F3AC2">
        <w:rPr>
          <w:rFonts w:ascii="Garamond" w:hAnsi="Garamond" w:cs="Arial"/>
        </w:rPr>
        <w:t>disposições</w:t>
      </w:r>
      <w:r w:rsidR="00A132B3" w:rsidRPr="009F3AC2">
        <w:rPr>
          <w:rFonts w:ascii="Garamond" w:hAnsi="Garamond" w:cs="Arial"/>
        </w:rPr>
        <w:t xml:space="preserve"> da </w:t>
      </w:r>
      <w:r w:rsidR="00B14AA6" w:rsidRPr="009F3AC2">
        <w:rPr>
          <w:rFonts w:ascii="Garamond" w:hAnsi="Garamond" w:cs="Arial"/>
        </w:rPr>
        <w:t>Convenção</w:t>
      </w:r>
      <w:r w:rsidR="00A132B3" w:rsidRPr="009F3AC2">
        <w:rPr>
          <w:rFonts w:ascii="Garamond" w:hAnsi="Garamond" w:cs="Arial"/>
        </w:rPr>
        <w:t xml:space="preserve"> n</w:t>
      </w:r>
      <w:r w:rsidR="00563640" w:rsidRPr="009F3AC2">
        <w:rPr>
          <w:rFonts w:ascii="Garamond" w:hAnsi="Garamond" w:cs="Arial"/>
        </w:rPr>
        <w:t>ã</w:t>
      </w:r>
      <w:r w:rsidR="00A132B3" w:rsidRPr="009F3AC2">
        <w:rPr>
          <w:rFonts w:ascii="Garamond" w:hAnsi="Garamond" w:cs="Arial"/>
        </w:rPr>
        <w:t>o se ve</w:t>
      </w:r>
      <w:r w:rsidR="00563640" w:rsidRPr="009F3AC2">
        <w:rPr>
          <w:rFonts w:ascii="Garamond" w:hAnsi="Garamond" w:cs="Arial"/>
        </w:rPr>
        <w:t>jam diminuídos pe</w:t>
      </w:r>
      <w:r w:rsidR="00A132B3" w:rsidRPr="009F3AC2">
        <w:rPr>
          <w:rFonts w:ascii="Garamond" w:hAnsi="Garamond" w:cs="Arial"/>
        </w:rPr>
        <w:t xml:space="preserve">la </w:t>
      </w:r>
      <w:r w:rsidR="00B14AA6" w:rsidRPr="009F3AC2">
        <w:rPr>
          <w:rFonts w:ascii="Garamond" w:hAnsi="Garamond" w:cs="Arial"/>
        </w:rPr>
        <w:t>aplicação</w:t>
      </w:r>
      <w:r w:rsidR="00A132B3" w:rsidRPr="009F3AC2">
        <w:rPr>
          <w:rFonts w:ascii="Garamond" w:hAnsi="Garamond" w:cs="Arial"/>
        </w:rPr>
        <w:t xml:space="preserve"> de </w:t>
      </w:r>
      <w:r w:rsidR="00D15AFF" w:rsidRPr="009F3AC2">
        <w:rPr>
          <w:rFonts w:ascii="Garamond" w:hAnsi="Garamond" w:cs="Arial"/>
        </w:rPr>
        <w:t>lei</w:t>
      </w:r>
      <w:r w:rsidR="00A132B3" w:rsidRPr="009F3AC2">
        <w:rPr>
          <w:rFonts w:ascii="Garamond" w:hAnsi="Garamond" w:cs="Arial"/>
        </w:rPr>
        <w:t xml:space="preserve">s </w:t>
      </w:r>
      <w:r w:rsidR="009461E1" w:rsidRPr="009F3AC2">
        <w:rPr>
          <w:rFonts w:ascii="Garamond" w:hAnsi="Garamond" w:cs="Arial"/>
        </w:rPr>
        <w:t>contrária</w:t>
      </w:r>
      <w:r w:rsidR="00A132B3" w:rsidRPr="009F3AC2">
        <w:rPr>
          <w:rFonts w:ascii="Garamond" w:hAnsi="Garamond" w:cs="Arial"/>
        </w:rPr>
        <w:t>s a</w:t>
      </w:r>
      <w:r w:rsidR="00563640" w:rsidRPr="009F3AC2">
        <w:rPr>
          <w:rFonts w:ascii="Garamond" w:hAnsi="Garamond" w:cs="Arial"/>
        </w:rPr>
        <w:t>o</w:t>
      </w:r>
      <w:r w:rsidR="00A132B3" w:rsidRPr="009F3AC2">
        <w:rPr>
          <w:rFonts w:ascii="Garamond" w:hAnsi="Garamond" w:cs="Arial"/>
        </w:rPr>
        <w:t xml:space="preserve"> s</w:t>
      </w:r>
      <w:r w:rsidR="00563640" w:rsidRPr="009F3AC2">
        <w:rPr>
          <w:rFonts w:ascii="Garamond" w:hAnsi="Garamond" w:cs="Arial"/>
        </w:rPr>
        <w:t>eu objeto e fim</w:t>
      </w:r>
      <w:r w:rsidR="00A132B3" w:rsidRPr="009F3AC2">
        <w:rPr>
          <w:rFonts w:ascii="Garamond" w:hAnsi="Garamond" w:cs="Arial"/>
        </w:rPr>
        <w:t xml:space="preserve">, </w:t>
      </w:r>
      <w:r w:rsidR="00563640" w:rsidRPr="009F3AC2">
        <w:rPr>
          <w:rFonts w:ascii="Garamond" w:hAnsi="Garamond" w:cs="Arial"/>
        </w:rPr>
        <w:t>e</w:t>
      </w:r>
      <w:r w:rsidR="00A132B3" w:rsidRPr="009F3AC2">
        <w:rPr>
          <w:rFonts w:ascii="Garamond" w:hAnsi="Garamond" w:cs="Arial"/>
        </w:rPr>
        <w:t xml:space="preserve"> que</w:t>
      </w:r>
      <w:r w:rsidR="00563640" w:rsidRPr="009F3AC2">
        <w:rPr>
          <w:rFonts w:ascii="Garamond" w:hAnsi="Garamond"/>
        </w:rPr>
        <w:t xml:space="preserve"> </w:t>
      </w:r>
      <w:r w:rsidR="00563640" w:rsidRPr="009F3AC2">
        <w:rPr>
          <w:rFonts w:ascii="Garamond" w:hAnsi="Garamond" w:cs="Arial"/>
        </w:rPr>
        <w:t>carecem</w:t>
      </w:r>
      <w:r w:rsidR="00A132B3" w:rsidRPr="009F3AC2">
        <w:rPr>
          <w:rFonts w:ascii="Garamond" w:hAnsi="Garamond" w:cs="Arial"/>
        </w:rPr>
        <w:t xml:space="preserve"> desde </w:t>
      </w:r>
      <w:r w:rsidR="00563640" w:rsidRPr="009F3AC2">
        <w:rPr>
          <w:rFonts w:ascii="Garamond" w:hAnsi="Garamond" w:cs="Arial"/>
        </w:rPr>
        <w:t>o início</w:t>
      </w:r>
      <w:r w:rsidR="00A132B3" w:rsidRPr="009F3AC2">
        <w:rPr>
          <w:rFonts w:ascii="Garamond" w:hAnsi="Garamond" w:cs="Arial"/>
        </w:rPr>
        <w:t xml:space="preserve"> de </w:t>
      </w:r>
      <w:r w:rsidR="00863197" w:rsidRPr="009F3AC2">
        <w:rPr>
          <w:rFonts w:ascii="Garamond" w:hAnsi="Garamond" w:cs="Arial"/>
        </w:rPr>
        <w:t>efeito</w:t>
      </w:r>
      <w:r w:rsidR="00A132B3" w:rsidRPr="009F3AC2">
        <w:rPr>
          <w:rFonts w:ascii="Garamond" w:hAnsi="Garamond" w:cs="Arial"/>
        </w:rPr>
        <w:t>s jurídicos</w:t>
      </w:r>
      <w:r>
        <w:rPr>
          <w:rFonts w:ascii="Garamond" w:hAnsi="Garamond" w:cs="Arial"/>
        </w:rPr>
        <w:t>»</w:t>
      </w:r>
      <w:r w:rsidR="00A132B3" w:rsidRPr="009F3AC2">
        <w:rPr>
          <w:rFonts w:ascii="Garamond" w:hAnsi="Garamond" w:cs="Arial"/>
        </w:rPr>
        <w:t xml:space="preserve">. </w:t>
      </w:r>
    </w:p>
    <w:p w:rsidR="00A132B3" w:rsidRPr="003A1174" w:rsidRDefault="00A132B3" w:rsidP="008719D4">
      <w:pPr>
        <w:autoSpaceDE w:val="0"/>
        <w:autoSpaceDN w:val="0"/>
        <w:adjustRightInd w:val="0"/>
        <w:spacing w:after="0" w:line="240" w:lineRule="auto"/>
        <w:jc w:val="both"/>
        <w:rPr>
          <w:rFonts w:ascii="Garamond" w:hAnsi="Garamond" w:cs="Arial"/>
          <w:i/>
          <w:sz w:val="24"/>
          <w:szCs w:val="24"/>
        </w:rPr>
      </w:pPr>
    </w:p>
    <w:p w:rsidR="00E878D5" w:rsidRPr="009F3AC2"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Por </w:t>
      </w:r>
      <w:r w:rsidR="00563640" w:rsidRPr="003A1174">
        <w:rPr>
          <w:rFonts w:ascii="Garamond" w:hAnsi="Garamond" w:cs="Arial"/>
          <w:sz w:val="24"/>
          <w:szCs w:val="24"/>
        </w:rPr>
        <w:t>isso,</w:t>
      </w:r>
      <w:r w:rsidR="00C73874" w:rsidRPr="003A1174">
        <w:rPr>
          <w:rFonts w:ascii="Garamond" w:hAnsi="Garamond" w:cs="Arial"/>
          <w:sz w:val="24"/>
          <w:szCs w:val="24"/>
        </w:rPr>
        <w:t xml:space="preserve"> acrescentou </w:t>
      </w:r>
      <w:r w:rsidR="00563640" w:rsidRPr="003A1174">
        <w:rPr>
          <w:rFonts w:ascii="Garamond" w:hAnsi="Garamond" w:cs="Arial"/>
          <w:sz w:val="24"/>
          <w:szCs w:val="24"/>
        </w:rPr>
        <w:t xml:space="preserve">o </w:t>
      </w:r>
      <w:r w:rsidRPr="003A1174">
        <w:rPr>
          <w:rFonts w:ascii="Garamond" w:hAnsi="Garamond" w:cs="Arial"/>
          <w:sz w:val="24"/>
          <w:szCs w:val="24"/>
        </w:rPr>
        <w:t xml:space="preserve">Tribunal </w:t>
      </w:r>
      <w:r w:rsidR="00030F56">
        <w:rPr>
          <w:rFonts w:ascii="Garamond" w:hAnsi="Garamond" w:cs="Arial"/>
          <w:sz w:val="24"/>
          <w:szCs w:val="24"/>
        </w:rPr>
        <w:t>I</w:t>
      </w:r>
      <w:r w:rsidRPr="003A1174">
        <w:rPr>
          <w:rFonts w:ascii="Garamond" w:hAnsi="Garamond" w:cs="Arial"/>
          <w:sz w:val="24"/>
          <w:szCs w:val="24"/>
        </w:rPr>
        <w:t xml:space="preserve">nteramericano, </w:t>
      </w:r>
      <w:r w:rsidR="00563640" w:rsidRPr="003A1174">
        <w:rPr>
          <w:rFonts w:ascii="Garamond" w:hAnsi="Garamond" w:cs="Arial"/>
          <w:sz w:val="24"/>
          <w:szCs w:val="24"/>
        </w:rPr>
        <w:t>o</w:t>
      </w:r>
      <w:r w:rsidRPr="003A1174">
        <w:rPr>
          <w:rFonts w:ascii="Garamond" w:hAnsi="Garamond" w:cs="Arial"/>
          <w:sz w:val="24"/>
          <w:szCs w:val="24"/>
        </w:rPr>
        <w:t xml:space="preserve"> Poder Judicial </w:t>
      </w:r>
      <w:r w:rsidR="00C73874" w:rsidRPr="003A1174">
        <w:rPr>
          <w:rFonts w:ascii="Garamond" w:hAnsi="Garamond" w:cs="Arial"/>
          <w:sz w:val="24"/>
          <w:szCs w:val="24"/>
        </w:rPr>
        <w:t>devia</w:t>
      </w:r>
      <w:r w:rsidRPr="003A1174">
        <w:rPr>
          <w:rFonts w:ascii="Garamond" w:hAnsi="Garamond" w:cs="Arial"/>
          <w:sz w:val="24"/>
          <w:szCs w:val="24"/>
        </w:rPr>
        <w:t xml:space="preserve"> </w:t>
      </w:r>
      <w:r w:rsidR="00563640" w:rsidRPr="003A1174">
        <w:rPr>
          <w:rFonts w:ascii="Garamond" w:hAnsi="Garamond" w:cs="Arial"/>
          <w:sz w:val="24"/>
          <w:szCs w:val="24"/>
        </w:rPr>
        <w:t>exercer</w:t>
      </w:r>
      <w:r w:rsidRPr="003A1174">
        <w:rPr>
          <w:rFonts w:ascii="Garamond" w:hAnsi="Garamond" w:cs="Arial"/>
          <w:sz w:val="24"/>
          <w:szCs w:val="24"/>
        </w:rPr>
        <w:t xml:space="preserve"> </w:t>
      </w:r>
      <w:r w:rsidR="009F3AC2" w:rsidRPr="009F3AC2">
        <w:rPr>
          <w:rFonts w:ascii="Garamond" w:hAnsi="Garamond" w:cs="Arial"/>
          <w:sz w:val="24"/>
          <w:szCs w:val="24"/>
        </w:rPr>
        <w:t>«</w:t>
      </w:r>
      <w:r w:rsidR="00563640" w:rsidRPr="009F3AC2">
        <w:rPr>
          <w:rFonts w:ascii="Garamond" w:hAnsi="Garamond" w:cs="Arial"/>
          <w:sz w:val="24"/>
          <w:szCs w:val="24"/>
        </w:rPr>
        <w:t>uma espé</w:t>
      </w:r>
      <w:r w:rsidRPr="009F3AC2">
        <w:rPr>
          <w:rFonts w:ascii="Garamond" w:hAnsi="Garamond" w:cs="Arial"/>
          <w:sz w:val="24"/>
          <w:szCs w:val="24"/>
        </w:rPr>
        <w:t xml:space="preserve">cie de </w:t>
      </w:r>
      <w:r w:rsidR="009F3AC2" w:rsidRPr="009F3AC2">
        <w:rPr>
          <w:rFonts w:ascii="Garamond" w:hAnsi="Garamond" w:cs="Arial"/>
          <w:sz w:val="24"/>
          <w:szCs w:val="24"/>
        </w:rPr>
        <w:t>”</w:t>
      </w:r>
      <w:r w:rsidR="00CF2EF4" w:rsidRPr="009F3AC2">
        <w:rPr>
          <w:rFonts w:ascii="Garamond" w:hAnsi="Garamond" w:cs="Arial"/>
          <w:sz w:val="24"/>
          <w:szCs w:val="24"/>
        </w:rPr>
        <w:t>C</w:t>
      </w:r>
      <w:r w:rsidR="00253B1D" w:rsidRPr="009F3AC2">
        <w:rPr>
          <w:rFonts w:ascii="Garamond" w:hAnsi="Garamond" w:cs="Arial"/>
          <w:sz w:val="24"/>
          <w:szCs w:val="24"/>
        </w:rPr>
        <w:t>ontrolo</w:t>
      </w:r>
      <w:r w:rsidRPr="009F3AC2">
        <w:rPr>
          <w:rFonts w:ascii="Garamond" w:hAnsi="Garamond" w:cs="Arial"/>
          <w:sz w:val="24"/>
          <w:szCs w:val="24"/>
        </w:rPr>
        <w:t xml:space="preserve"> de </w:t>
      </w:r>
      <w:r w:rsidR="00E15BB2" w:rsidRPr="009F3AC2">
        <w:rPr>
          <w:rFonts w:ascii="Garamond" w:hAnsi="Garamond" w:cs="Arial"/>
          <w:sz w:val="24"/>
          <w:szCs w:val="24"/>
        </w:rPr>
        <w:t>Convencionalidade</w:t>
      </w:r>
      <w:r w:rsidR="009F3AC2" w:rsidRPr="009F3AC2">
        <w:rPr>
          <w:rFonts w:ascii="Garamond" w:hAnsi="Garamond" w:cs="Arial"/>
          <w:sz w:val="24"/>
          <w:szCs w:val="24"/>
        </w:rPr>
        <w:t>”»</w:t>
      </w:r>
      <w:r w:rsidR="00563640" w:rsidRPr="009F3AC2">
        <w:rPr>
          <w:rFonts w:ascii="Garamond" w:hAnsi="Garamond" w:cs="Arial"/>
          <w:sz w:val="24"/>
          <w:szCs w:val="24"/>
        </w:rPr>
        <w:t xml:space="preserve"> sobre </w:t>
      </w:r>
      <w:r w:rsidRPr="009F3AC2">
        <w:rPr>
          <w:rFonts w:ascii="Garamond" w:hAnsi="Garamond" w:cs="Arial"/>
          <w:sz w:val="24"/>
          <w:szCs w:val="24"/>
        </w:rPr>
        <w:t>as normas jurídicas internas e</w:t>
      </w:r>
      <w:r w:rsidR="00563640" w:rsidRPr="009F3AC2">
        <w:rPr>
          <w:rFonts w:ascii="Garamond" w:hAnsi="Garamond" w:cs="Arial"/>
          <w:sz w:val="24"/>
          <w:szCs w:val="24"/>
        </w:rPr>
        <w:t>m</w:t>
      </w:r>
      <w:r w:rsidRPr="009F3AC2">
        <w:rPr>
          <w:rFonts w:ascii="Garamond" w:hAnsi="Garamond" w:cs="Arial"/>
          <w:sz w:val="24"/>
          <w:szCs w:val="24"/>
        </w:rPr>
        <w:t xml:space="preserve"> </w:t>
      </w:r>
      <w:r w:rsidR="00152A44" w:rsidRPr="009F3AC2">
        <w:rPr>
          <w:rFonts w:ascii="Garamond" w:hAnsi="Garamond" w:cs="Arial"/>
          <w:sz w:val="24"/>
          <w:szCs w:val="24"/>
        </w:rPr>
        <w:t>relação</w:t>
      </w:r>
      <w:r w:rsidRPr="009F3AC2">
        <w:rPr>
          <w:rFonts w:ascii="Garamond" w:hAnsi="Garamond" w:cs="Arial"/>
          <w:sz w:val="24"/>
          <w:szCs w:val="24"/>
        </w:rPr>
        <w:t xml:space="preserve"> </w:t>
      </w:r>
      <w:r w:rsidR="00563640" w:rsidRPr="009F3AC2">
        <w:rPr>
          <w:rFonts w:ascii="Garamond" w:hAnsi="Garamond" w:cs="Arial"/>
          <w:sz w:val="24"/>
          <w:szCs w:val="24"/>
        </w:rPr>
        <w:t xml:space="preserve">à </w:t>
      </w:r>
      <w:r w:rsidRPr="009F3AC2">
        <w:rPr>
          <w:rFonts w:ascii="Garamond" w:hAnsi="Garamond" w:cs="Arial"/>
          <w:sz w:val="24"/>
          <w:szCs w:val="24"/>
        </w:rPr>
        <w:t>CADH, de</w:t>
      </w:r>
      <w:r w:rsidR="00563640" w:rsidRPr="009F3AC2">
        <w:rPr>
          <w:rFonts w:ascii="Garamond" w:hAnsi="Garamond" w:cs="Arial"/>
          <w:sz w:val="24"/>
          <w:szCs w:val="24"/>
        </w:rPr>
        <w:t>v</w:t>
      </w:r>
      <w:r w:rsidRPr="009F3AC2">
        <w:rPr>
          <w:rFonts w:ascii="Garamond" w:hAnsi="Garamond" w:cs="Arial"/>
          <w:sz w:val="24"/>
          <w:szCs w:val="24"/>
        </w:rPr>
        <w:t xml:space="preserve">endo </w:t>
      </w:r>
      <w:r w:rsidR="00563640" w:rsidRPr="009F3AC2">
        <w:rPr>
          <w:rFonts w:ascii="Garamond" w:hAnsi="Garamond" w:cs="Arial"/>
          <w:sz w:val="24"/>
          <w:szCs w:val="24"/>
        </w:rPr>
        <w:t>também ter em con</w:t>
      </w:r>
      <w:r w:rsidRPr="009F3AC2">
        <w:rPr>
          <w:rFonts w:ascii="Garamond" w:hAnsi="Garamond" w:cs="Arial"/>
          <w:sz w:val="24"/>
          <w:szCs w:val="24"/>
        </w:rPr>
        <w:t xml:space="preserve">ta </w:t>
      </w:r>
      <w:r w:rsidR="009F3AC2" w:rsidRPr="009F3AC2">
        <w:rPr>
          <w:rFonts w:ascii="Garamond" w:hAnsi="Garamond" w:cs="Arial"/>
          <w:sz w:val="24"/>
          <w:szCs w:val="24"/>
        </w:rPr>
        <w:t>«</w:t>
      </w:r>
      <w:r w:rsidRPr="009F3AC2">
        <w:rPr>
          <w:rFonts w:ascii="Garamond" w:hAnsi="Garamond" w:cs="Arial"/>
          <w:sz w:val="24"/>
          <w:szCs w:val="24"/>
        </w:rPr>
        <w:t>n</w:t>
      </w:r>
      <w:r w:rsidR="00563640" w:rsidRPr="009F3AC2">
        <w:rPr>
          <w:rFonts w:ascii="Garamond" w:hAnsi="Garamond" w:cs="Arial"/>
          <w:sz w:val="24"/>
          <w:szCs w:val="24"/>
        </w:rPr>
        <w:t>ã</w:t>
      </w:r>
      <w:r w:rsidRPr="009F3AC2">
        <w:rPr>
          <w:rFonts w:ascii="Garamond" w:hAnsi="Garamond" w:cs="Arial"/>
          <w:sz w:val="24"/>
          <w:szCs w:val="24"/>
        </w:rPr>
        <w:t xml:space="preserve">o </w:t>
      </w:r>
      <w:r w:rsidR="00563640" w:rsidRPr="009F3AC2">
        <w:rPr>
          <w:rFonts w:ascii="Garamond" w:hAnsi="Garamond" w:cs="Arial"/>
          <w:sz w:val="24"/>
          <w:szCs w:val="24"/>
        </w:rPr>
        <w:t>apenas o tratado</w:t>
      </w:r>
      <w:r w:rsidRPr="009F3AC2">
        <w:rPr>
          <w:rFonts w:ascii="Garamond" w:hAnsi="Garamond" w:cs="Arial"/>
          <w:sz w:val="24"/>
          <w:szCs w:val="24"/>
        </w:rPr>
        <w:t xml:space="preserve">, </w:t>
      </w:r>
      <w:r w:rsidR="00563640" w:rsidRPr="009F3AC2">
        <w:rPr>
          <w:rFonts w:ascii="Garamond" w:hAnsi="Garamond" w:cs="Arial"/>
          <w:sz w:val="24"/>
          <w:szCs w:val="24"/>
        </w:rPr>
        <w:t xml:space="preserve">mas </w:t>
      </w:r>
      <w:r w:rsidR="000350B1" w:rsidRPr="009F3AC2">
        <w:rPr>
          <w:rFonts w:ascii="Garamond" w:hAnsi="Garamond" w:cs="Arial"/>
          <w:sz w:val="24"/>
          <w:szCs w:val="24"/>
        </w:rPr>
        <w:t>também</w:t>
      </w:r>
      <w:r w:rsidR="00563640" w:rsidRPr="009F3AC2">
        <w:rPr>
          <w:rFonts w:ascii="Garamond" w:hAnsi="Garamond" w:cs="Arial"/>
          <w:sz w:val="24"/>
          <w:szCs w:val="24"/>
        </w:rPr>
        <w:t xml:space="preserve"> </w:t>
      </w:r>
      <w:r w:rsidRPr="009F3AC2">
        <w:rPr>
          <w:rFonts w:ascii="Garamond" w:hAnsi="Garamond" w:cs="Arial"/>
          <w:sz w:val="24"/>
          <w:szCs w:val="24"/>
        </w:rPr>
        <w:t xml:space="preserve">a </w:t>
      </w:r>
      <w:r w:rsidR="00C86C58" w:rsidRPr="009F3AC2">
        <w:rPr>
          <w:rFonts w:ascii="Garamond" w:hAnsi="Garamond" w:cs="Arial"/>
          <w:sz w:val="24"/>
          <w:szCs w:val="24"/>
        </w:rPr>
        <w:t>interpretação</w:t>
      </w:r>
      <w:r w:rsidRPr="009F3AC2">
        <w:rPr>
          <w:rFonts w:ascii="Garamond" w:hAnsi="Garamond" w:cs="Arial"/>
          <w:sz w:val="24"/>
          <w:szCs w:val="24"/>
        </w:rPr>
        <w:t xml:space="preserve"> que </w:t>
      </w:r>
      <w:r w:rsidR="002B33D4">
        <w:rPr>
          <w:rFonts w:ascii="Garamond" w:hAnsi="Garamond" w:cs="Arial"/>
          <w:sz w:val="24"/>
          <w:szCs w:val="24"/>
        </w:rPr>
        <w:t>o</w:t>
      </w:r>
      <w:r w:rsidR="00563640" w:rsidRPr="009F3AC2">
        <w:rPr>
          <w:rFonts w:ascii="Garamond" w:hAnsi="Garamond" w:cs="Arial"/>
          <w:sz w:val="24"/>
          <w:szCs w:val="24"/>
        </w:rPr>
        <w:t xml:space="preserve"> </w:t>
      </w:r>
      <w:r w:rsidR="002B33D4">
        <w:rPr>
          <w:rFonts w:ascii="Garamond" w:hAnsi="Garamond" w:cs="Arial"/>
          <w:sz w:val="24"/>
          <w:szCs w:val="24"/>
        </w:rPr>
        <w:t>Tribunal</w:t>
      </w:r>
      <w:r w:rsidR="002A7FDD" w:rsidRPr="009F3AC2">
        <w:rPr>
          <w:rFonts w:ascii="Garamond" w:hAnsi="Garamond" w:cs="Arial"/>
          <w:sz w:val="24"/>
          <w:szCs w:val="24"/>
        </w:rPr>
        <w:t xml:space="preserve"> </w:t>
      </w:r>
      <w:r w:rsidR="00563640" w:rsidRPr="009F3AC2">
        <w:rPr>
          <w:rFonts w:ascii="Garamond" w:hAnsi="Garamond" w:cs="Arial"/>
          <w:sz w:val="24"/>
          <w:szCs w:val="24"/>
        </w:rPr>
        <w:t>Interamerican</w:t>
      </w:r>
      <w:r w:rsidR="002B33D4">
        <w:rPr>
          <w:rFonts w:ascii="Garamond" w:hAnsi="Garamond" w:cs="Arial"/>
          <w:sz w:val="24"/>
          <w:szCs w:val="24"/>
        </w:rPr>
        <w:t>o</w:t>
      </w:r>
      <w:r w:rsidR="00563640" w:rsidRPr="009F3AC2">
        <w:rPr>
          <w:rFonts w:ascii="Garamond" w:hAnsi="Garamond" w:cs="Arial"/>
          <w:sz w:val="24"/>
          <w:szCs w:val="24"/>
        </w:rPr>
        <w:t xml:space="preserve"> fez do mesmo</w:t>
      </w:r>
      <w:r w:rsidRPr="009F3AC2">
        <w:rPr>
          <w:rFonts w:ascii="Garamond" w:hAnsi="Garamond" w:cs="Arial"/>
          <w:sz w:val="24"/>
          <w:szCs w:val="24"/>
        </w:rPr>
        <w:t>.</w:t>
      </w:r>
      <w:r w:rsidR="009F3AC2" w:rsidRPr="009F3AC2">
        <w:rPr>
          <w:rFonts w:ascii="Garamond" w:hAnsi="Garamond" w:cs="Arial"/>
          <w:sz w:val="24"/>
          <w:szCs w:val="24"/>
        </w:rPr>
        <w:t>»</w:t>
      </w:r>
      <w:r w:rsidRPr="009F3AC2">
        <w:rPr>
          <w:rStyle w:val="Refdenotaalpie"/>
          <w:rFonts w:ascii="Garamond" w:hAnsi="Garamond" w:cs="Arial"/>
          <w:sz w:val="24"/>
          <w:szCs w:val="24"/>
        </w:rPr>
        <w:footnoteReference w:id="34"/>
      </w:r>
      <w:r w:rsidRPr="009F3AC2">
        <w:rPr>
          <w:rFonts w:ascii="Garamond" w:hAnsi="Garamond" w:cs="Arial"/>
          <w:sz w:val="24"/>
          <w:szCs w:val="24"/>
        </w:rPr>
        <w:t xml:space="preserve"> </w:t>
      </w:r>
    </w:p>
    <w:p w:rsidR="00A132B3" w:rsidRPr="003A1174" w:rsidRDefault="00563640" w:rsidP="008719D4">
      <w:pPr>
        <w:pStyle w:val="Ttulo3"/>
        <w:numPr>
          <w:ilvl w:val="0"/>
          <w:numId w:val="15"/>
        </w:numPr>
        <w:spacing w:line="240" w:lineRule="auto"/>
        <w:jc w:val="both"/>
        <w:rPr>
          <w:rFonts w:ascii="Garamond" w:hAnsi="Garamond" w:cs="Arial"/>
          <w:b w:val="0"/>
          <w:sz w:val="24"/>
          <w:szCs w:val="24"/>
        </w:rPr>
      </w:pPr>
      <w:bookmarkStart w:id="13" w:name="_Toc421529701"/>
      <w:r w:rsidRPr="003A1174">
        <w:rPr>
          <w:rFonts w:ascii="Garamond" w:hAnsi="Garamond" w:cs="Arial"/>
          <w:sz w:val="24"/>
          <w:szCs w:val="24"/>
        </w:rPr>
        <w:t>A</w:t>
      </w:r>
      <w:r w:rsidR="00A132B3" w:rsidRPr="003A1174">
        <w:rPr>
          <w:rFonts w:ascii="Garamond" w:hAnsi="Garamond" w:cs="Arial"/>
          <w:sz w:val="24"/>
          <w:szCs w:val="24"/>
        </w:rPr>
        <w:t xml:space="preserve">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 xml:space="preserve">num </w:t>
      </w:r>
      <w:r w:rsidR="00A132B3" w:rsidRPr="003A1174">
        <w:rPr>
          <w:rFonts w:ascii="Garamond" w:hAnsi="Garamond" w:cs="Arial"/>
          <w:sz w:val="24"/>
          <w:szCs w:val="24"/>
        </w:rPr>
        <w:t xml:space="preserve">caso peruano sobre </w:t>
      </w:r>
      <w:r w:rsidR="008E7A2A" w:rsidRPr="003A1174">
        <w:rPr>
          <w:rFonts w:ascii="Garamond" w:hAnsi="Garamond" w:cs="Arial"/>
          <w:sz w:val="24"/>
          <w:szCs w:val="24"/>
        </w:rPr>
        <w:t>trabalhadores</w:t>
      </w:r>
      <w:r w:rsidR="00A132B3" w:rsidRPr="003A1174">
        <w:rPr>
          <w:rFonts w:ascii="Garamond" w:hAnsi="Garamond" w:cs="Arial"/>
          <w:sz w:val="24"/>
          <w:szCs w:val="24"/>
        </w:rPr>
        <w:t xml:space="preserve"> despedidos, </w:t>
      </w:r>
      <w:r w:rsidRPr="003A1174">
        <w:rPr>
          <w:rFonts w:ascii="Garamond" w:hAnsi="Garamond" w:cs="Arial"/>
          <w:sz w:val="24"/>
          <w:szCs w:val="24"/>
        </w:rPr>
        <w:t xml:space="preserve">e </w:t>
      </w:r>
      <w:r w:rsidR="00C06A5F" w:rsidRPr="003A1174">
        <w:rPr>
          <w:rFonts w:ascii="Garamond" w:hAnsi="Garamond" w:cs="Arial"/>
          <w:sz w:val="24"/>
          <w:szCs w:val="24"/>
        </w:rPr>
        <w:t xml:space="preserve">a participação </w:t>
      </w:r>
      <w:r w:rsidR="00A132B3" w:rsidRPr="003A1174">
        <w:rPr>
          <w:rFonts w:ascii="Garamond" w:hAnsi="Garamond" w:cs="Arial"/>
          <w:sz w:val="24"/>
          <w:szCs w:val="24"/>
        </w:rPr>
        <w:t>d</w:t>
      </w:r>
      <w:r w:rsidRPr="003A1174">
        <w:rPr>
          <w:rFonts w:ascii="Garamond" w:hAnsi="Garamond" w:cs="Arial"/>
          <w:sz w:val="24"/>
          <w:szCs w:val="24"/>
        </w:rPr>
        <w:t>o</w:t>
      </w:r>
      <w:r w:rsidR="00A132B3" w:rsidRPr="003A1174">
        <w:rPr>
          <w:rFonts w:ascii="Garamond" w:hAnsi="Garamond" w:cs="Arial"/>
          <w:sz w:val="24"/>
          <w:szCs w:val="24"/>
        </w:rPr>
        <w:t xml:space="preserve"> </w:t>
      </w:r>
      <w:r w:rsidR="00253B1D" w:rsidRPr="003A1174">
        <w:rPr>
          <w:rFonts w:ascii="Garamond" w:hAnsi="Garamond" w:cs="Arial"/>
          <w:sz w:val="24"/>
          <w:szCs w:val="24"/>
        </w:rPr>
        <w:t>Juiz</w:t>
      </w:r>
      <w:r w:rsidR="00A132B3" w:rsidRPr="003A1174">
        <w:rPr>
          <w:rFonts w:ascii="Garamond" w:hAnsi="Garamond" w:cs="Arial"/>
          <w:sz w:val="24"/>
          <w:szCs w:val="24"/>
        </w:rPr>
        <w:t xml:space="preserve"> Sergio García Ramírez</w:t>
      </w:r>
      <w:r w:rsidR="00A132B3" w:rsidRPr="003A1174">
        <w:rPr>
          <w:rFonts w:ascii="Garamond" w:hAnsi="Garamond" w:cs="Arial"/>
          <w:b w:val="0"/>
          <w:sz w:val="24"/>
          <w:szCs w:val="24"/>
        </w:rPr>
        <w:t>.</w:t>
      </w:r>
      <w:bookmarkEnd w:id="13"/>
    </w:p>
    <w:p w:rsidR="00A132B3" w:rsidRPr="009F3AC2" w:rsidRDefault="00563640"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Quase </w:t>
      </w:r>
      <w:r w:rsidR="00A132B3" w:rsidRPr="003A1174">
        <w:rPr>
          <w:rFonts w:ascii="Garamond" w:hAnsi="Garamond" w:cs="Arial"/>
          <w:sz w:val="24"/>
          <w:szCs w:val="24"/>
        </w:rPr>
        <w:t>do</w:t>
      </w:r>
      <w:r w:rsidRPr="003A1174">
        <w:rPr>
          <w:rFonts w:ascii="Garamond" w:hAnsi="Garamond" w:cs="Arial"/>
          <w:sz w:val="24"/>
          <w:szCs w:val="24"/>
        </w:rPr>
        <w:t>i</w:t>
      </w:r>
      <w:r w:rsidR="00A132B3" w:rsidRPr="003A1174">
        <w:rPr>
          <w:rFonts w:ascii="Garamond" w:hAnsi="Garamond" w:cs="Arial"/>
          <w:sz w:val="24"/>
          <w:szCs w:val="24"/>
        </w:rPr>
        <w:t xml:space="preserve">s meses </w:t>
      </w:r>
      <w:r w:rsidR="007C63D0" w:rsidRPr="003A1174">
        <w:rPr>
          <w:rFonts w:ascii="Garamond" w:hAnsi="Garamond" w:cs="Arial"/>
          <w:sz w:val="24"/>
          <w:szCs w:val="24"/>
        </w:rPr>
        <w:t>depois</w:t>
      </w:r>
      <w:r w:rsidR="00A132B3" w:rsidRPr="003A1174">
        <w:rPr>
          <w:rFonts w:ascii="Garamond" w:hAnsi="Garamond" w:cs="Arial"/>
          <w:sz w:val="24"/>
          <w:szCs w:val="24"/>
        </w:rPr>
        <w:t xml:space="preserve">, </w:t>
      </w:r>
      <w:r w:rsidRPr="003A1174">
        <w:rPr>
          <w:rFonts w:ascii="Garamond" w:hAnsi="Garamond" w:cs="Arial"/>
          <w:sz w:val="24"/>
          <w:szCs w:val="24"/>
        </w:rPr>
        <w:t xml:space="preserve">no </w:t>
      </w:r>
      <w:proofErr w:type="gramStart"/>
      <w:r w:rsidR="00A132B3" w:rsidRPr="003A1174">
        <w:rPr>
          <w:rFonts w:ascii="Garamond" w:hAnsi="Garamond" w:cs="Arial"/>
          <w:sz w:val="24"/>
          <w:szCs w:val="24"/>
        </w:rPr>
        <w:t xml:space="preserve">caso </w:t>
      </w:r>
      <w:r w:rsidR="008E7A2A" w:rsidRPr="003A1174">
        <w:rPr>
          <w:rFonts w:ascii="Garamond" w:hAnsi="Garamond" w:cs="Arial"/>
          <w:i/>
          <w:iCs/>
          <w:sz w:val="24"/>
          <w:szCs w:val="24"/>
        </w:rPr>
        <w:t>Trabalhadores</w:t>
      </w:r>
      <w:proofErr w:type="gramEnd"/>
      <w:r w:rsidR="00A132B3" w:rsidRPr="003A1174">
        <w:rPr>
          <w:rFonts w:ascii="Garamond" w:hAnsi="Garamond" w:cs="Arial"/>
          <w:i/>
          <w:iCs/>
          <w:sz w:val="24"/>
          <w:szCs w:val="24"/>
        </w:rPr>
        <w:t xml:space="preserve"> Cesados d</w:t>
      </w:r>
      <w:r w:rsidRPr="003A1174">
        <w:rPr>
          <w:rFonts w:ascii="Garamond" w:hAnsi="Garamond" w:cs="Arial"/>
          <w:i/>
          <w:iCs/>
          <w:sz w:val="24"/>
          <w:szCs w:val="24"/>
        </w:rPr>
        <w:t>o</w:t>
      </w:r>
      <w:r w:rsidR="00A132B3" w:rsidRPr="003A1174">
        <w:rPr>
          <w:rFonts w:ascii="Garamond" w:hAnsi="Garamond" w:cs="Arial"/>
          <w:i/>
          <w:iCs/>
          <w:sz w:val="24"/>
          <w:szCs w:val="24"/>
        </w:rPr>
        <w:t xml:space="preserve"> </w:t>
      </w:r>
      <w:r w:rsidR="003F012B" w:rsidRPr="003A1174">
        <w:rPr>
          <w:rFonts w:ascii="Garamond" w:hAnsi="Garamond" w:cs="Arial"/>
          <w:i/>
          <w:iCs/>
          <w:sz w:val="24"/>
          <w:szCs w:val="24"/>
        </w:rPr>
        <w:t>Congresso</w:t>
      </w:r>
      <w:r w:rsidR="00A132B3" w:rsidRPr="003A1174">
        <w:rPr>
          <w:rFonts w:ascii="Garamond" w:hAnsi="Garamond" w:cs="Arial"/>
          <w:i/>
          <w:iCs/>
          <w:sz w:val="24"/>
          <w:szCs w:val="24"/>
        </w:rPr>
        <w:t xml:space="preserve"> (Aguado Alfaro </w:t>
      </w:r>
      <w:r w:rsidRPr="003A1174">
        <w:rPr>
          <w:rFonts w:ascii="Garamond" w:hAnsi="Garamond" w:cs="Arial"/>
          <w:i/>
          <w:iCs/>
          <w:sz w:val="24"/>
          <w:szCs w:val="24"/>
        </w:rPr>
        <w:t>e</w:t>
      </w:r>
      <w:r w:rsidR="00A132B3" w:rsidRPr="003A1174">
        <w:rPr>
          <w:rFonts w:ascii="Garamond" w:hAnsi="Garamond" w:cs="Arial"/>
          <w:i/>
          <w:iCs/>
          <w:sz w:val="24"/>
          <w:szCs w:val="24"/>
        </w:rPr>
        <w:t xml:space="preserve"> o</w:t>
      </w:r>
      <w:r w:rsidRPr="003A1174">
        <w:rPr>
          <w:rFonts w:ascii="Garamond" w:hAnsi="Garamond" w:cs="Arial"/>
          <w:i/>
          <w:iCs/>
          <w:sz w:val="24"/>
          <w:szCs w:val="24"/>
        </w:rPr>
        <w:t>u</w:t>
      </w:r>
      <w:r w:rsidR="00A132B3" w:rsidRPr="003A1174">
        <w:rPr>
          <w:rFonts w:ascii="Garamond" w:hAnsi="Garamond" w:cs="Arial"/>
          <w:i/>
          <w:iCs/>
          <w:sz w:val="24"/>
          <w:szCs w:val="24"/>
        </w:rPr>
        <w:t xml:space="preserve">tros) </w:t>
      </w:r>
      <w:r w:rsidR="00A132B3" w:rsidRPr="003A1174">
        <w:rPr>
          <w:rFonts w:ascii="Garamond" w:hAnsi="Garamond" w:cs="Arial"/>
          <w:sz w:val="24"/>
          <w:szCs w:val="24"/>
        </w:rPr>
        <w:t>re</w:t>
      </w:r>
      <w:r w:rsidRPr="003A1174">
        <w:rPr>
          <w:rFonts w:ascii="Garamond" w:hAnsi="Garamond" w:cs="Arial"/>
          <w:sz w:val="24"/>
          <w:szCs w:val="24"/>
        </w:rPr>
        <w:t xml:space="preserve">lativamente ao </w:t>
      </w:r>
      <w:r w:rsidR="00A132B3" w:rsidRPr="003A1174">
        <w:rPr>
          <w:rFonts w:ascii="Garamond" w:hAnsi="Garamond" w:cs="Arial"/>
          <w:sz w:val="24"/>
          <w:szCs w:val="24"/>
        </w:rPr>
        <w:t>Estado peruano</w:t>
      </w:r>
      <w:r w:rsidR="00E4247C" w:rsidRPr="003A1174">
        <w:rPr>
          <w:rFonts w:ascii="Garamond" w:hAnsi="Garamond" w:cs="Arial"/>
          <w:sz w:val="24"/>
          <w:szCs w:val="24"/>
        </w:rPr>
        <w:t>,</w:t>
      </w:r>
      <w:r w:rsidR="00A132B3" w:rsidRPr="003A1174">
        <w:rPr>
          <w:rStyle w:val="Refdenotaalpie"/>
          <w:rFonts w:ascii="Garamond" w:hAnsi="Garamond" w:cs="Arial"/>
          <w:sz w:val="24"/>
          <w:szCs w:val="24"/>
        </w:rPr>
        <w:footnoteReference w:id="35"/>
      </w:r>
      <w:r w:rsidRPr="003A1174">
        <w:rPr>
          <w:rFonts w:ascii="Garamond" w:hAnsi="Garamond" w:cs="Arial"/>
          <w:sz w:val="24"/>
          <w:szCs w:val="24"/>
        </w:rPr>
        <w:t xml:space="preserve"> </w:t>
      </w:r>
      <w:r w:rsidR="00A132B3" w:rsidRPr="003A1174">
        <w:rPr>
          <w:rFonts w:ascii="Garamond" w:hAnsi="Garamond" w:cs="Arial"/>
          <w:sz w:val="24"/>
          <w:szCs w:val="24"/>
        </w:rPr>
        <w:t xml:space="preserve">a </w:t>
      </w:r>
      <w:r w:rsidR="00FF6A3F" w:rsidRPr="003A1174">
        <w:rPr>
          <w:rFonts w:ascii="Garamond" w:hAnsi="Garamond" w:cs="Arial"/>
          <w:sz w:val="24"/>
          <w:szCs w:val="24"/>
        </w:rPr>
        <w:t>Comissão</w:t>
      </w:r>
      <w:r w:rsidR="00A132B3" w:rsidRPr="003A1174">
        <w:rPr>
          <w:rFonts w:ascii="Garamond" w:hAnsi="Garamond" w:cs="Arial"/>
          <w:sz w:val="24"/>
          <w:szCs w:val="24"/>
        </w:rPr>
        <w:t xml:space="preserve"> enfatiz</w:t>
      </w:r>
      <w:r w:rsidRPr="003A1174">
        <w:rPr>
          <w:rFonts w:ascii="Garamond" w:hAnsi="Garamond" w:cs="Arial"/>
          <w:sz w:val="24"/>
          <w:szCs w:val="24"/>
        </w:rPr>
        <w:t xml:space="preserve">ou que </w:t>
      </w:r>
      <w:r w:rsidR="00A132B3" w:rsidRPr="003A1174">
        <w:rPr>
          <w:rFonts w:ascii="Garamond" w:hAnsi="Garamond" w:cs="Arial"/>
          <w:sz w:val="24"/>
          <w:szCs w:val="24"/>
        </w:rPr>
        <w:t xml:space="preserve">os </w:t>
      </w:r>
      <w:r w:rsidR="003F012B" w:rsidRPr="003A1174">
        <w:rPr>
          <w:rFonts w:ascii="Garamond" w:hAnsi="Garamond" w:cs="Arial"/>
          <w:sz w:val="24"/>
          <w:szCs w:val="24"/>
        </w:rPr>
        <w:t>órgão</w:t>
      </w:r>
      <w:r w:rsidR="00A132B3" w:rsidRPr="003A1174">
        <w:rPr>
          <w:rFonts w:ascii="Garamond" w:hAnsi="Garamond" w:cs="Arial"/>
          <w:sz w:val="24"/>
          <w:szCs w:val="24"/>
        </w:rPr>
        <w:t>s d</w:t>
      </w:r>
      <w:r w:rsidRPr="003A1174">
        <w:rPr>
          <w:rFonts w:ascii="Garamond" w:hAnsi="Garamond" w:cs="Arial"/>
          <w:sz w:val="24"/>
          <w:szCs w:val="24"/>
        </w:rPr>
        <w:t xml:space="preserve">o </w:t>
      </w:r>
      <w:r w:rsidR="00A132B3" w:rsidRPr="003A1174">
        <w:rPr>
          <w:rFonts w:ascii="Garamond" w:hAnsi="Garamond" w:cs="Arial"/>
          <w:sz w:val="24"/>
          <w:szCs w:val="24"/>
        </w:rPr>
        <w:t xml:space="preserve">Poder Judicial </w:t>
      </w:r>
      <w:r w:rsidRPr="003A1174">
        <w:rPr>
          <w:rFonts w:ascii="Garamond" w:hAnsi="Garamond" w:cs="Arial"/>
          <w:sz w:val="24"/>
          <w:szCs w:val="24"/>
        </w:rPr>
        <w:t xml:space="preserve">devem </w:t>
      </w:r>
      <w:r w:rsidR="00DE6DF6" w:rsidRPr="003A1174">
        <w:rPr>
          <w:rFonts w:ascii="Garamond" w:hAnsi="Garamond" w:cs="Arial"/>
          <w:sz w:val="24"/>
          <w:szCs w:val="24"/>
        </w:rPr>
        <w:t>exercer</w:t>
      </w:r>
      <w:r w:rsidR="00C73874" w:rsidRPr="003A1174">
        <w:rPr>
          <w:rFonts w:ascii="Garamond" w:hAnsi="Garamond" w:cs="Arial"/>
          <w:sz w:val="24"/>
          <w:szCs w:val="24"/>
        </w:rPr>
        <w:t xml:space="preserve"> já</w:t>
      </w:r>
      <w:r w:rsidR="00DE6DF6" w:rsidRPr="003A1174">
        <w:rPr>
          <w:rFonts w:ascii="Garamond" w:hAnsi="Garamond" w:cs="Arial"/>
          <w:sz w:val="24"/>
          <w:szCs w:val="24"/>
        </w:rPr>
        <w:t xml:space="preserve">, </w:t>
      </w:r>
      <w:r w:rsidR="00A132B3" w:rsidRPr="003A1174">
        <w:rPr>
          <w:rFonts w:ascii="Garamond" w:hAnsi="Garamond" w:cs="Arial"/>
          <w:sz w:val="24"/>
          <w:szCs w:val="24"/>
        </w:rPr>
        <w:t>n</w:t>
      </w:r>
      <w:r w:rsidRPr="003A1174">
        <w:rPr>
          <w:rFonts w:ascii="Garamond" w:hAnsi="Garamond" w:cs="Arial"/>
          <w:sz w:val="24"/>
          <w:szCs w:val="24"/>
        </w:rPr>
        <w:t>ã</w:t>
      </w:r>
      <w:r w:rsidR="00A132B3" w:rsidRPr="003A1174">
        <w:rPr>
          <w:rFonts w:ascii="Garamond" w:hAnsi="Garamond" w:cs="Arial"/>
          <w:sz w:val="24"/>
          <w:szCs w:val="24"/>
        </w:rPr>
        <w:t xml:space="preserve">o </w:t>
      </w:r>
      <w:r w:rsidR="009F3AC2">
        <w:rPr>
          <w:rFonts w:ascii="Garamond" w:hAnsi="Garamond" w:cs="Arial"/>
          <w:sz w:val="24"/>
          <w:szCs w:val="24"/>
        </w:rPr>
        <w:t>«</w:t>
      </w:r>
      <w:r w:rsidRPr="009F3AC2">
        <w:rPr>
          <w:rFonts w:ascii="Garamond" w:hAnsi="Garamond" w:cs="Arial"/>
          <w:sz w:val="24"/>
          <w:szCs w:val="24"/>
        </w:rPr>
        <w:t>uma espé</w:t>
      </w:r>
      <w:r w:rsidR="00A132B3" w:rsidRPr="009F3AC2">
        <w:rPr>
          <w:rFonts w:ascii="Garamond" w:hAnsi="Garamond" w:cs="Arial"/>
          <w:sz w:val="24"/>
          <w:szCs w:val="24"/>
        </w:rPr>
        <w:t>cie</w:t>
      </w:r>
      <w:r w:rsidR="009F3AC2">
        <w:rPr>
          <w:rFonts w:ascii="Garamond" w:hAnsi="Garamond" w:cs="Arial"/>
          <w:sz w:val="24"/>
          <w:szCs w:val="24"/>
        </w:rPr>
        <w:t>»</w:t>
      </w:r>
      <w:r w:rsidR="00A132B3" w:rsidRPr="003A1174">
        <w:rPr>
          <w:rFonts w:ascii="Garamond" w:hAnsi="Garamond" w:cs="Arial"/>
          <w:sz w:val="24"/>
          <w:szCs w:val="24"/>
        </w:rPr>
        <w:t xml:space="preserve"> de </w:t>
      </w:r>
      <w:r w:rsidR="00253B1D" w:rsidRPr="003A1174">
        <w:rPr>
          <w:rFonts w:ascii="Garamond" w:hAnsi="Garamond" w:cs="Arial"/>
          <w:sz w:val="24"/>
          <w:szCs w:val="24"/>
        </w:rPr>
        <w:t>controlo</w:t>
      </w:r>
      <w:r w:rsidR="00E4247C" w:rsidRPr="003A1174">
        <w:rPr>
          <w:rFonts w:ascii="Garamond" w:hAnsi="Garamond" w:cs="Arial"/>
          <w:sz w:val="24"/>
          <w:szCs w:val="24"/>
        </w:rPr>
        <w:t>,</w:t>
      </w:r>
      <w:r w:rsidR="00A132B3" w:rsidRPr="003A1174">
        <w:rPr>
          <w:rFonts w:ascii="Garamond" w:hAnsi="Garamond" w:cs="Arial"/>
          <w:sz w:val="24"/>
          <w:szCs w:val="24"/>
        </w:rPr>
        <w:t xml:space="preserve"> </w:t>
      </w:r>
      <w:r w:rsidRPr="003A1174">
        <w:rPr>
          <w:rFonts w:ascii="Garamond" w:hAnsi="Garamond" w:cs="Arial"/>
          <w:sz w:val="24"/>
          <w:szCs w:val="24"/>
        </w:rPr>
        <w:t xml:space="preserve">de acordo com o que indicou no </w:t>
      </w:r>
      <w:r w:rsidR="00A132B3" w:rsidRPr="003A1174">
        <w:rPr>
          <w:rFonts w:ascii="Garamond" w:hAnsi="Garamond" w:cs="Arial"/>
          <w:sz w:val="24"/>
          <w:szCs w:val="24"/>
        </w:rPr>
        <w:t xml:space="preserve">caso </w:t>
      </w:r>
      <w:r w:rsidR="00DE6DF6" w:rsidRPr="003A1174">
        <w:rPr>
          <w:rFonts w:ascii="Garamond" w:hAnsi="Garamond" w:cs="Arial"/>
          <w:i/>
          <w:iCs/>
          <w:sz w:val="24"/>
          <w:szCs w:val="24"/>
        </w:rPr>
        <w:t>Almonacid Arellano e</w:t>
      </w:r>
      <w:r w:rsidR="00A132B3" w:rsidRPr="003A1174">
        <w:rPr>
          <w:rFonts w:ascii="Garamond" w:hAnsi="Garamond" w:cs="Arial"/>
          <w:i/>
          <w:iCs/>
          <w:sz w:val="24"/>
          <w:szCs w:val="24"/>
        </w:rPr>
        <w:t xml:space="preserve"> o</w:t>
      </w:r>
      <w:r w:rsidR="00DE6DF6" w:rsidRPr="003A1174">
        <w:rPr>
          <w:rFonts w:ascii="Garamond" w:hAnsi="Garamond" w:cs="Arial"/>
          <w:i/>
          <w:iCs/>
          <w:sz w:val="24"/>
          <w:szCs w:val="24"/>
        </w:rPr>
        <w:t>u</w:t>
      </w:r>
      <w:r w:rsidR="00A132B3" w:rsidRPr="003A1174">
        <w:rPr>
          <w:rFonts w:ascii="Garamond" w:hAnsi="Garamond" w:cs="Arial"/>
          <w:i/>
          <w:iCs/>
          <w:sz w:val="24"/>
          <w:szCs w:val="24"/>
        </w:rPr>
        <w:t>tros</w:t>
      </w:r>
      <w:r w:rsidR="00A132B3" w:rsidRPr="003A1174">
        <w:rPr>
          <w:rFonts w:ascii="Garamond" w:hAnsi="Garamond" w:cs="Arial"/>
          <w:sz w:val="24"/>
          <w:szCs w:val="24"/>
        </w:rPr>
        <w:t xml:space="preserve">, </w:t>
      </w:r>
      <w:r w:rsidR="00DE6DF6" w:rsidRPr="003A1174">
        <w:rPr>
          <w:rFonts w:ascii="Garamond" w:hAnsi="Garamond" w:cs="Arial"/>
          <w:sz w:val="24"/>
          <w:szCs w:val="24"/>
        </w:rPr>
        <w:t xml:space="preserve">mas sim um </w:t>
      </w:r>
      <w:r w:rsidR="00253B1D" w:rsidRPr="003A1174">
        <w:rPr>
          <w:rFonts w:ascii="Garamond" w:hAnsi="Garamond" w:cs="Arial"/>
          <w:sz w:val="24"/>
          <w:szCs w:val="24"/>
        </w:rPr>
        <w:t>controlo</w:t>
      </w:r>
      <w:r w:rsidR="00A132B3" w:rsidRPr="003A1174">
        <w:rPr>
          <w:rFonts w:ascii="Garamond" w:hAnsi="Garamond" w:cs="Arial"/>
          <w:sz w:val="24"/>
          <w:szCs w:val="24"/>
        </w:rPr>
        <w:t xml:space="preserve"> </w:t>
      </w:r>
      <w:r w:rsidR="009F3AC2">
        <w:rPr>
          <w:rFonts w:ascii="Garamond" w:hAnsi="Garamond" w:cs="Arial"/>
          <w:sz w:val="24"/>
          <w:szCs w:val="24"/>
        </w:rPr>
        <w:t>-</w:t>
      </w:r>
      <w:r w:rsidR="00DE6DF6" w:rsidRPr="003A1174">
        <w:rPr>
          <w:rFonts w:ascii="Garamond" w:hAnsi="Garamond" w:cs="Arial"/>
          <w:sz w:val="24"/>
          <w:szCs w:val="24"/>
        </w:rPr>
        <w:t xml:space="preserve"> manif</w:t>
      </w:r>
      <w:r w:rsidR="00C031E1" w:rsidRPr="003A1174">
        <w:rPr>
          <w:rFonts w:ascii="Garamond" w:hAnsi="Garamond" w:cs="Arial"/>
          <w:sz w:val="24"/>
          <w:szCs w:val="24"/>
        </w:rPr>
        <w:t xml:space="preserve">estamente </w:t>
      </w:r>
      <w:r w:rsidR="00524936" w:rsidRPr="003A1174">
        <w:rPr>
          <w:rFonts w:ascii="Garamond" w:hAnsi="Garamond" w:cs="Arial"/>
          <w:sz w:val="24"/>
          <w:szCs w:val="24"/>
        </w:rPr>
        <w:t>express</w:t>
      </w:r>
      <w:r w:rsidR="00DE6DF6" w:rsidRPr="003A1174">
        <w:rPr>
          <w:rFonts w:ascii="Garamond" w:hAnsi="Garamond" w:cs="Arial"/>
          <w:sz w:val="24"/>
          <w:szCs w:val="24"/>
        </w:rPr>
        <w:t>o</w:t>
      </w:r>
      <w:r w:rsidR="00A132B3" w:rsidRPr="003A1174">
        <w:rPr>
          <w:rFonts w:ascii="Garamond" w:hAnsi="Garamond" w:cs="Arial"/>
          <w:sz w:val="24"/>
          <w:szCs w:val="24"/>
        </w:rPr>
        <w:t xml:space="preserve"> como</w:t>
      </w:r>
      <w:r w:rsidR="00DE6DF6" w:rsidRPr="003A1174">
        <w:rPr>
          <w:rFonts w:ascii="Garamond" w:hAnsi="Garamond" w:cs="Arial"/>
          <w:sz w:val="24"/>
          <w:szCs w:val="24"/>
        </w:rPr>
        <w:t xml:space="preserve"> </w:t>
      </w:r>
      <w:r w:rsidR="009F3AC2">
        <w:rPr>
          <w:rFonts w:ascii="Garamond" w:hAnsi="Garamond" w:cs="Arial"/>
          <w:sz w:val="24"/>
          <w:szCs w:val="24"/>
        </w:rPr>
        <w:t>-</w:t>
      </w:r>
      <w:r w:rsidR="00A132B3" w:rsidRPr="003A1174">
        <w:rPr>
          <w:rFonts w:ascii="Garamond" w:hAnsi="Garamond" w:cs="Arial"/>
          <w:sz w:val="24"/>
          <w:szCs w:val="24"/>
        </w:rPr>
        <w:t xml:space="preserve"> </w:t>
      </w:r>
      <w:r w:rsidR="009F3AC2">
        <w:rPr>
          <w:rFonts w:ascii="Garamond" w:hAnsi="Garamond" w:cs="Arial"/>
          <w:sz w:val="24"/>
          <w:szCs w:val="24"/>
        </w:rPr>
        <w:t>«</w:t>
      </w:r>
      <w:r w:rsidR="00A132B3" w:rsidRPr="009F3AC2">
        <w:rPr>
          <w:rFonts w:ascii="Garamond" w:hAnsi="Garamond" w:cs="Arial"/>
          <w:sz w:val="24"/>
          <w:szCs w:val="24"/>
        </w:rPr>
        <w:t xml:space="preserve">de </w:t>
      </w:r>
      <w:r w:rsidR="00E15BB2" w:rsidRPr="009F3AC2">
        <w:rPr>
          <w:rFonts w:ascii="Garamond" w:hAnsi="Garamond" w:cs="Arial"/>
          <w:sz w:val="24"/>
          <w:szCs w:val="24"/>
        </w:rPr>
        <w:t>Convencionalidade</w:t>
      </w:r>
      <w:r w:rsidR="009F3AC2">
        <w:rPr>
          <w:rFonts w:ascii="Garamond" w:hAnsi="Garamond" w:cs="Arial"/>
          <w:sz w:val="24"/>
          <w:szCs w:val="24"/>
        </w:rPr>
        <w:t>»</w:t>
      </w:r>
      <w:r w:rsidR="00A132B3" w:rsidRPr="009F3AC2">
        <w:rPr>
          <w:rFonts w:ascii="Garamond" w:hAnsi="Garamond" w:cs="Arial"/>
          <w:sz w:val="24"/>
          <w:szCs w:val="24"/>
        </w:rPr>
        <w:t>.</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Como rec</w:t>
      </w:r>
      <w:r w:rsidR="00DE6DF6" w:rsidRPr="003A1174">
        <w:rPr>
          <w:rFonts w:ascii="Garamond" w:hAnsi="Garamond" w:cs="Arial"/>
          <w:sz w:val="24"/>
          <w:szCs w:val="24"/>
        </w:rPr>
        <w:t>o</w:t>
      </w:r>
      <w:r w:rsidRPr="003A1174">
        <w:rPr>
          <w:rFonts w:ascii="Garamond" w:hAnsi="Garamond" w:cs="Arial"/>
          <w:sz w:val="24"/>
          <w:szCs w:val="24"/>
        </w:rPr>
        <w:t>rda Ibáñez Rivas</w:t>
      </w:r>
      <w:r w:rsidR="008131B9" w:rsidRPr="003A1174">
        <w:rPr>
          <w:rFonts w:ascii="Garamond" w:hAnsi="Garamond" w:cs="Arial"/>
          <w:sz w:val="24"/>
          <w:szCs w:val="24"/>
        </w:rPr>
        <w:t>,</w:t>
      </w:r>
      <w:r w:rsidRPr="003A1174">
        <w:rPr>
          <w:rStyle w:val="Refdenotaalpie"/>
          <w:rFonts w:ascii="Garamond" w:hAnsi="Garamond" w:cs="Arial"/>
          <w:sz w:val="24"/>
          <w:szCs w:val="24"/>
        </w:rPr>
        <w:footnoteReference w:id="36"/>
      </w:r>
      <w:r w:rsidRPr="003A1174">
        <w:rPr>
          <w:rStyle w:val="Refdenotaalpie"/>
          <w:rFonts w:ascii="Garamond" w:hAnsi="Garamond" w:cs="Arial"/>
          <w:sz w:val="24"/>
          <w:szCs w:val="24"/>
        </w:rPr>
        <w:t>,</w:t>
      </w:r>
      <w:r w:rsidRPr="003A1174">
        <w:rPr>
          <w:rFonts w:ascii="Garamond" w:hAnsi="Garamond" w:cs="Arial"/>
          <w:sz w:val="24"/>
          <w:szCs w:val="24"/>
        </w:rPr>
        <w:t xml:space="preserve"> </w:t>
      </w:r>
      <w:r w:rsidR="00DE6DF6" w:rsidRPr="003A1174">
        <w:rPr>
          <w:rFonts w:ascii="Garamond" w:hAnsi="Garamond" w:cs="Arial"/>
          <w:sz w:val="24"/>
          <w:szCs w:val="24"/>
        </w:rPr>
        <w:t>n</w:t>
      </w:r>
      <w:r w:rsidRPr="003A1174">
        <w:rPr>
          <w:rFonts w:ascii="Garamond" w:hAnsi="Garamond" w:cs="Arial"/>
          <w:sz w:val="24"/>
          <w:szCs w:val="24"/>
        </w:rPr>
        <w:t>este avan</w:t>
      </w:r>
      <w:r w:rsidR="00DE6DF6" w:rsidRPr="003A1174">
        <w:rPr>
          <w:rFonts w:ascii="Garamond" w:hAnsi="Garamond" w:cs="Arial"/>
          <w:sz w:val="24"/>
          <w:szCs w:val="24"/>
        </w:rPr>
        <w:t xml:space="preserve">ço do </w:t>
      </w:r>
      <w:r w:rsidR="00AF192F" w:rsidRPr="003A1174">
        <w:rPr>
          <w:rFonts w:ascii="Garamond" w:hAnsi="Garamond" w:cs="Arial"/>
          <w:sz w:val="24"/>
          <w:szCs w:val="24"/>
        </w:rPr>
        <w:t>conceito</w:t>
      </w:r>
      <w:r w:rsidR="00DE6DF6" w:rsidRPr="003A1174">
        <w:rPr>
          <w:rFonts w:ascii="Garamond" w:hAnsi="Garamond" w:cs="Arial"/>
          <w:sz w:val="24"/>
          <w:szCs w:val="24"/>
        </w:rPr>
        <w:t xml:space="preserve"> </w:t>
      </w:r>
      <w:r w:rsidR="00935298">
        <w:rPr>
          <w:rFonts w:ascii="Garamond" w:hAnsi="Garamond" w:cs="Arial"/>
          <w:sz w:val="24"/>
          <w:szCs w:val="24"/>
        </w:rPr>
        <w:t>o</w:t>
      </w:r>
      <w:r w:rsidR="00EB3427">
        <w:rPr>
          <w:rFonts w:ascii="Garamond" w:hAnsi="Garamond" w:cs="Arial"/>
          <w:sz w:val="24"/>
          <w:szCs w:val="24"/>
        </w:rPr>
        <w:t xml:space="preserve"> </w:t>
      </w:r>
      <w:r w:rsidR="00935298">
        <w:rPr>
          <w:rFonts w:ascii="Garamond" w:hAnsi="Garamond" w:cs="Arial"/>
          <w:sz w:val="24"/>
          <w:szCs w:val="24"/>
        </w:rPr>
        <w:t>Tribunal</w:t>
      </w:r>
      <w:r w:rsidR="002A7FDD" w:rsidRPr="003A1174">
        <w:rPr>
          <w:rFonts w:ascii="Garamond" w:hAnsi="Garamond" w:cs="Arial"/>
          <w:sz w:val="24"/>
          <w:szCs w:val="24"/>
        </w:rPr>
        <w:t xml:space="preserve"> </w:t>
      </w:r>
      <w:r w:rsidRPr="003A1174">
        <w:rPr>
          <w:rFonts w:ascii="Garamond" w:hAnsi="Garamond" w:cs="Arial"/>
          <w:sz w:val="24"/>
          <w:szCs w:val="24"/>
        </w:rPr>
        <w:t>Interamerican</w:t>
      </w:r>
      <w:r w:rsidR="00935298">
        <w:rPr>
          <w:rFonts w:ascii="Garamond" w:hAnsi="Garamond" w:cs="Arial"/>
          <w:sz w:val="24"/>
          <w:szCs w:val="24"/>
        </w:rPr>
        <w:t>o</w:t>
      </w:r>
      <w:r w:rsidRPr="003A1174">
        <w:rPr>
          <w:rFonts w:ascii="Garamond" w:hAnsi="Garamond" w:cs="Arial"/>
          <w:sz w:val="24"/>
          <w:szCs w:val="24"/>
        </w:rPr>
        <w:t xml:space="preserve"> </w:t>
      </w:r>
      <w:r w:rsidR="00DE6DF6" w:rsidRPr="003A1174">
        <w:rPr>
          <w:rFonts w:ascii="Garamond" w:hAnsi="Garamond" w:cs="Arial"/>
          <w:sz w:val="24"/>
          <w:szCs w:val="24"/>
        </w:rPr>
        <w:t>referiu-</w:t>
      </w:r>
      <w:r w:rsidRPr="003A1174">
        <w:rPr>
          <w:rFonts w:ascii="Garamond" w:hAnsi="Garamond" w:cs="Arial"/>
          <w:sz w:val="24"/>
          <w:szCs w:val="24"/>
        </w:rPr>
        <w:t xml:space="preserve">se a </w:t>
      </w:r>
      <w:r w:rsidR="00CD707D" w:rsidRPr="003A1174">
        <w:rPr>
          <w:rFonts w:ascii="Garamond" w:hAnsi="Garamond" w:cs="Arial"/>
          <w:sz w:val="24"/>
          <w:szCs w:val="24"/>
        </w:rPr>
        <w:t>alguma</w:t>
      </w:r>
      <w:r w:rsidRPr="003A1174">
        <w:rPr>
          <w:rFonts w:ascii="Garamond" w:hAnsi="Garamond" w:cs="Arial"/>
          <w:sz w:val="24"/>
          <w:szCs w:val="24"/>
        </w:rPr>
        <w:t xml:space="preserve">s </w:t>
      </w:r>
      <w:r w:rsidR="008843FD" w:rsidRPr="003A1174">
        <w:rPr>
          <w:rFonts w:ascii="Garamond" w:hAnsi="Garamond" w:cs="Arial"/>
          <w:sz w:val="24"/>
          <w:szCs w:val="24"/>
        </w:rPr>
        <w:t>caraterística</w:t>
      </w:r>
      <w:r w:rsidRPr="003A1174">
        <w:rPr>
          <w:rFonts w:ascii="Garamond" w:hAnsi="Garamond" w:cs="Arial"/>
          <w:sz w:val="24"/>
          <w:szCs w:val="24"/>
        </w:rPr>
        <w:t>s específicas d</w:t>
      </w:r>
      <w:r w:rsidR="00DE6DF6" w:rsidRPr="003A1174">
        <w:rPr>
          <w:rFonts w:ascii="Garamond" w:hAnsi="Garamond" w:cs="Arial"/>
          <w:sz w:val="24"/>
          <w:szCs w:val="24"/>
        </w:rPr>
        <w:t xml:space="preserve">o referido </w:t>
      </w:r>
      <w:r w:rsidR="00253B1D" w:rsidRPr="003A1174">
        <w:rPr>
          <w:rFonts w:ascii="Garamond" w:hAnsi="Garamond" w:cs="Arial"/>
          <w:sz w:val="24"/>
          <w:szCs w:val="24"/>
        </w:rPr>
        <w:t>controlo</w:t>
      </w:r>
      <w:r w:rsidRPr="003A1174">
        <w:rPr>
          <w:rFonts w:ascii="Garamond" w:hAnsi="Garamond" w:cs="Arial"/>
          <w:sz w:val="24"/>
          <w:szCs w:val="24"/>
        </w:rPr>
        <w:t>:</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i) </w:t>
      </w:r>
      <w:r w:rsidR="00DE6DF6" w:rsidRPr="003A1174">
        <w:rPr>
          <w:rFonts w:ascii="Garamond" w:hAnsi="Garamond" w:cs="Arial"/>
          <w:sz w:val="24"/>
          <w:szCs w:val="24"/>
        </w:rPr>
        <w:t xml:space="preserve">É </w:t>
      </w:r>
      <w:r w:rsidRPr="003A1174">
        <w:rPr>
          <w:rFonts w:ascii="Garamond" w:hAnsi="Garamond" w:cs="Arial"/>
          <w:sz w:val="24"/>
          <w:szCs w:val="24"/>
        </w:rPr>
        <w:t xml:space="preserve">de </w:t>
      </w:r>
      <w:r w:rsidR="00B14AA6" w:rsidRPr="003A1174">
        <w:rPr>
          <w:rFonts w:ascii="Garamond" w:hAnsi="Garamond" w:cs="Arial"/>
          <w:sz w:val="24"/>
          <w:szCs w:val="24"/>
        </w:rPr>
        <w:t>aplicação</w:t>
      </w:r>
      <w:r w:rsidRPr="003A1174">
        <w:rPr>
          <w:rFonts w:ascii="Garamond" w:hAnsi="Garamond" w:cs="Arial"/>
          <w:sz w:val="24"/>
          <w:szCs w:val="24"/>
        </w:rPr>
        <w:t xml:space="preserve"> </w:t>
      </w:r>
      <w:r w:rsidR="004B20E5" w:rsidRPr="003A1174">
        <w:rPr>
          <w:rFonts w:ascii="Garamond" w:hAnsi="Garamond" w:cs="Arial"/>
          <w:i/>
          <w:iCs/>
          <w:sz w:val="24"/>
          <w:szCs w:val="24"/>
        </w:rPr>
        <w:t xml:space="preserve">ex </w:t>
      </w:r>
      <w:r w:rsidRPr="003A1174">
        <w:rPr>
          <w:rFonts w:ascii="Garamond" w:hAnsi="Garamond" w:cs="Arial"/>
          <w:i/>
          <w:iCs/>
          <w:sz w:val="24"/>
          <w:szCs w:val="24"/>
        </w:rPr>
        <w:t xml:space="preserve">officio </w:t>
      </w:r>
      <w:r w:rsidRPr="003A1174">
        <w:rPr>
          <w:rFonts w:ascii="Garamond" w:hAnsi="Garamond" w:cs="Arial"/>
          <w:sz w:val="24"/>
          <w:szCs w:val="24"/>
        </w:rPr>
        <w:t xml:space="preserve">por parte dos </w:t>
      </w:r>
      <w:r w:rsidR="003F012B" w:rsidRPr="003A1174">
        <w:rPr>
          <w:rFonts w:ascii="Garamond" w:hAnsi="Garamond" w:cs="Arial"/>
          <w:sz w:val="24"/>
          <w:szCs w:val="24"/>
        </w:rPr>
        <w:t>órgão</w:t>
      </w:r>
      <w:r w:rsidRPr="003A1174">
        <w:rPr>
          <w:rFonts w:ascii="Garamond" w:hAnsi="Garamond" w:cs="Arial"/>
          <w:sz w:val="24"/>
          <w:szCs w:val="24"/>
        </w:rPr>
        <w:t>s d</w:t>
      </w:r>
      <w:r w:rsidR="00DE6DF6" w:rsidRPr="003A1174">
        <w:rPr>
          <w:rFonts w:ascii="Garamond" w:hAnsi="Garamond" w:cs="Arial"/>
          <w:sz w:val="24"/>
          <w:szCs w:val="24"/>
        </w:rPr>
        <w:t>o</w:t>
      </w:r>
      <w:r w:rsidRPr="003A1174">
        <w:rPr>
          <w:rFonts w:ascii="Garamond" w:hAnsi="Garamond" w:cs="Arial"/>
          <w:sz w:val="24"/>
          <w:szCs w:val="24"/>
        </w:rPr>
        <w:t xml:space="preserve"> Poder Judicial, </w:t>
      </w:r>
      <w:r w:rsidR="007C4866">
        <w:rPr>
          <w:rFonts w:ascii="Garamond" w:hAnsi="Garamond" w:cs="Arial"/>
          <w:sz w:val="24"/>
          <w:szCs w:val="24"/>
        </w:rPr>
        <w:t>«</w:t>
      </w:r>
      <w:r w:rsidRPr="003A1174">
        <w:rPr>
          <w:rFonts w:ascii="Garamond" w:hAnsi="Garamond" w:cs="Arial"/>
          <w:sz w:val="24"/>
          <w:szCs w:val="24"/>
        </w:rPr>
        <w:t xml:space="preserve">evidentemente </w:t>
      </w:r>
      <w:r w:rsidR="00DE6DF6" w:rsidRPr="003A1174">
        <w:rPr>
          <w:rFonts w:ascii="Garamond" w:hAnsi="Garamond" w:cs="Arial"/>
          <w:sz w:val="24"/>
          <w:szCs w:val="24"/>
        </w:rPr>
        <w:t xml:space="preserve">no </w:t>
      </w:r>
      <w:r w:rsidR="00253B1D" w:rsidRPr="003A1174">
        <w:rPr>
          <w:rFonts w:ascii="Garamond" w:hAnsi="Garamond" w:cs="Arial"/>
          <w:sz w:val="24"/>
          <w:szCs w:val="24"/>
        </w:rPr>
        <w:t>quadro</w:t>
      </w:r>
      <w:r w:rsidR="00DE6DF6" w:rsidRPr="003A1174">
        <w:rPr>
          <w:rFonts w:ascii="Garamond" w:hAnsi="Garamond" w:cs="Arial"/>
          <w:sz w:val="24"/>
          <w:szCs w:val="24"/>
        </w:rPr>
        <w:t xml:space="preserve"> das</w:t>
      </w:r>
      <w:r w:rsidRPr="003A1174">
        <w:rPr>
          <w:rFonts w:ascii="Garamond" w:hAnsi="Garamond" w:cs="Arial"/>
          <w:sz w:val="24"/>
          <w:szCs w:val="24"/>
        </w:rPr>
        <w:t xml:space="preserve"> su</w:t>
      </w:r>
      <w:r w:rsidR="00DE6DF6" w:rsidRPr="003A1174">
        <w:rPr>
          <w:rFonts w:ascii="Garamond" w:hAnsi="Garamond" w:cs="Arial"/>
          <w:sz w:val="24"/>
          <w:szCs w:val="24"/>
        </w:rPr>
        <w:t>a</w:t>
      </w:r>
      <w:r w:rsidRPr="003A1174">
        <w:rPr>
          <w:rFonts w:ascii="Garamond" w:hAnsi="Garamond" w:cs="Arial"/>
          <w:sz w:val="24"/>
          <w:szCs w:val="24"/>
        </w:rPr>
        <w:t xml:space="preserve">s </w:t>
      </w:r>
      <w:r w:rsidR="00DE6DF6" w:rsidRPr="003A1174">
        <w:rPr>
          <w:rFonts w:ascii="Garamond" w:hAnsi="Garamond" w:cs="Arial"/>
          <w:sz w:val="24"/>
          <w:szCs w:val="24"/>
        </w:rPr>
        <w:t>respetiva</w:t>
      </w:r>
      <w:r w:rsidRPr="003A1174">
        <w:rPr>
          <w:rFonts w:ascii="Garamond" w:hAnsi="Garamond" w:cs="Arial"/>
          <w:sz w:val="24"/>
          <w:szCs w:val="24"/>
        </w:rPr>
        <w:t xml:space="preserve">s </w:t>
      </w:r>
      <w:r w:rsidR="00C86C58" w:rsidRPr="003A1174">
        <w:rPr>
          <w:rFonts w:ascii="Garamond" w:hAnsi="Garamond" w:cs="Arial"/>
          <w:sz w:val="24"/>
          <w:szCs w:val="24"/>
        </w:rPr>
        <w:t>competência</w:t>
      </w:r>
      <w:r w:rsidRPr="003A1174">
        <w:rPr>
          <w:rFonts w:ascii="Garamond" w:hAnsi="Garamond" w:cs="Arial"/>
          <w:sz w:val="24"/>
          <w:szCs w:val="24"/>
        </w:rPr>
        <w:t xml:space="preserve">s </w:t>
      </w:r>
      <w:r w:rsidR="00DE6DF6" w:rsidRPr="003A1174">
        <w:rPr>
          <w:rFonts w:ascii="Garamond" w:hAnsi="Garamond" w:cs="Arial"/>
          <w:sz w:val="24"/>
          <w:szCs w:val="24"/>
        </w:rPr>
        <w:t xml:space="preserve">e </w:t>
      </w:r>
      <w:r w:rsidRPr="003A1174">
        <w:rPr>
          <w:rFonts w:ascii="Garamond" w:hAnsi="Garamond" w:cs="Arial"/>
          <w:sz w:val="24"/>
          <w:szCs w:val="24"/>
        </w:rPr>
        <w:t>d</w:t>
      </w:r>
      <w:r w:rsidR="00DE6DF6" w:rsidRPr="003A1174">
        <w:rPr>
          <w:rFonts w:ascii="Garamond" w:hAnsi="Garamond" w:cs="Arial"/>
          <w:sz w:val="24"/>
          <w:szCs w:val="24"/>
        </w:rPr>
        <w:t>o</w:t>
      </w:r>
      <w:r w:rsidRPr="003A1174">
        <w:rPr>
          <w:rFonts w:ascii="Garamond" w:hAnsi="Garamond" w:cs="Arial"/>
          <w:sz w:val="24"/>
          <w:szCs w:val="24"/>
        </w:rPr>
        <w:t xml:space="preserve">s </w:t>
      </w:r>
      <w:r w:rsidR="003E1D8A" w:rsidRPr="003A1174">
        <w:rPr>
          <w:rFonts w:ascii="Garamond" w:hAnsi="Garamond" w:cs="Arial"/>
          <w:sz w:val="24"/>
          <w:szCs w:val="24"/>
        </w:rPr>
        <w:t>correspondente</w:t>
      </w:r>
      <w:r w:rsidRPr="003A1174">
        <w:rPr>
          <w:rFonts w:ascii="Garamond" w:hAnsi="Garamond" w:cs="Arial"/>
          <w:sz w:val="24"/>
          <w:szCs w:val="24"/>
        </w:rPr>
        <w:t>s</w:t>
      </w:r>
      <w:r w:rsidR="00DE6DF6" w:rsidRPr="003A1174">
        <w:rPr>
          <w:rFonts w:ascii="Garamond" w:hAnsi="Garamond" w:cs="Arial"/>
          <w:sz w:val="24"/>
          <w:szCs w:val="24"/>
        </w:rPr>
        <w:t xml:space="preserve"> regulamentos processuais</w:t>
      </w:r>
      <w:r w:rsidR="007C4866">
        <w:rPr>
          <w:rFonts w:ascii="Garamond" w:hAnsi="Garamond" w:cs="Arial"/>
          <w:sz w:val="24"/>
          <w:szCs w:val="24"/>
        </w:rPr>
        <w:t>»</w:t>
      </w:r>
      <w:r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roofErr w:type="gramStart"/>
      <w:r w:rsidRPr="003A1174">
        <w:rPr>
          <w:rFonts w:ascii="Garamond" w:hAnsi="Garamond" w:cs="Arial"/>
          <w:sz w:val="24"/>
          <w:szCs w:val="24"/>
        </w:rPr>
        <w:t>ii</w:t>
      </w:r>
      <w:proofErr w:type="gramEnd"/>
      <w:r w:rsidRPr="003A1174">
        <w:rPr>
          <w:rFonts w:ascii="Garamond" w:hAnsi="Garamond" w:cs="Arial"/>
          <w:sz w:val="24"/>
          <w:szCs w:val="24"/>
        </w:rPr>
        <w:t xml:space="preserve">) </w:t>
      </w:r>
      <w:r w:rsidR="00DE6DF6" w:rsidRPr="003A1174">
        <w:rPr>
          <w:rFonts w:ascii="Garamond" w:hAnsi="Garamond" w:cs="Arial"/>
          <w:sz w:val="24"/>
          <w:szCs w:val="24"/>
        </w:rPr>
        <w:t xml:space="preserve">É </w:t>
      </w:r>
      <w:r w:rsidRPr="003A1174">
        <w:rPr>
          <w:rFonts w:ascii="Garamond" w:hAnsi="Garamond" w:cs="Arial"/>
          <w:sz w:val="24"/>
          <w:szCs w:val="24"/>
        </w:rPr>
        <w:t>complementar a</w:t>
      </w:r>
      <w:r w:rsidR="00DE6DF6" w:rsidRPr="003A1174">
        <w:rPr>
          <w:rFonts w:ascii="Garamond" w:hAnsi="Garamond" w:cs="Arial"/>
          <w:sz w:val="24"/>
          <w:szCs w:val="24"/>
        </w:rPr>
        <w:t>o</w:t>
      </w:r>
      <w:r w:rsidRPr="003A1174">
        <w:rPr>
          <w:rFonts w:ascii="Garamond" w:hAnsi="Garamond" w:cs="Arial"/>
          <w:sz w:val="24"/>
          <w:szCs w:val="24"/>
        </w:rPr>
        <w:t xml:space="preserve"> </w:t>
      </w:r>
      <w:r w:rsidR="007C4866">
        <w:rPr>
          <w:rFonts w:ascii="Garamond" w:hAnsi="Garamond" w:cs="Arial"/>
          <w:sz w:val="24"/>
          <w:szCs w:val="24"/>
        </w:rPr>
        <w:t>«</w:t>
      </w:r>
      <w:r w:rsidR="00253B1D" w:rsidRPr="003A1174">
        <w:rPr>
          <w:rFonts w:ascii="Garamond" w:hAnsi="Garamond" w:cs="Arial"/>
          <w:sz w:val="24"/>
          <w:szCs w:val="24"/>
        </w:rPr>
        <w:t>controlo</w:t>
      </w:r>
      <w:r w:rsidRPr="003A1174">
        <w:rPr>
          <w:rFonts w:ascii="Garamond" w:hAnsi="Garamond" w:cs="Arial"/>
          <w:sz w:val="24"/>
          <w:szCs w:val="24"/>
        </w:rPr>
        <w:t xml:space="preserve"> de constitucionalidad</w:t>
      </w:r>
      <w:r w:rsidR="00DE6DF6" w:rsidRPr="003A1174">
        <w:rPr>
          <w:rFonts w:ascii="Garamond" w:hAnsi="Garamond" w:cs="Arial"/>
          <w:sz w:val="24"/>
          <w:szCs w:val="24"/>
        </w:rPr>
        <w:t>e</w:t>
      </w:r>
      <w:r w:rsidR="007C4866">
        <w:rPr>
          <w:rFonts w:ascii="Garamond" w:hAnsi="Garamond" w:cs="Arial"/>
          <w:sz w:val="24"/>
          <w:szCs w:val="24"/>
        </w:rPr>
        <w:t>»</w:t>
      </w:r>
      <w:r w:rsidRPr="003A1174">
        <w:rPr>
          <w:rFonts w:ascii="Garamond" w:hAnsi="Garamond" w:cs="Arial"/>
          <w:sz w:val="24"/>
          <w:szCs w:val="24"/>
        </w:rPr>
        <w:t xml:space="preserve">, de </w:t>
      </w:r>
      <w:r w:rsidR="00C73874" w:rsidRPr="003A1174">
        <w:rPr>
          <w:rFonts w:ascii="Garamond" w:hAnsi="Garamond" w:cs="Arial"/>
          <w:sz w:val="24"/>
          <w:szCs w:val="24"/>
        </w:rPr>
        <w:t xml:space="preserve">forma </w:t>
      </w:r>
      <w:r w:rsidRPr="003A1174">
        <w:rPr>
          <w:rFonts w:ascii="Garamond" w:hAnsi="Garamond" w:cs="Arial"/>
          <w:sz w:val="24"/>
          <w:szCs w:val="24"/>
        </w:rPr>
        <w:t xml:space="preserve">que se </w:t>
      </w:r>
      <w:r w:rsidR="00A862C2" w:rsidRPr="003A1174">
        <w:rPr>
          <w:rFonts w:ascii="Garamond" w:hAnsi="Garamond" w:cs="Arial"/>
          <w:sz w:val="24"/>
          <w:szCs w:val="24"/>
        </w:rPr>
        <w:t>deve</w:t>
      </w:r>
      <w:r w:rsidRPr="003A1174">
        <w:rPr>
          <w:rFonts w:ascii="Garamond" w:hAnsi="Garamond" w:cs="Arial"/>
          <w:sz w:val="24"/>
          <w:szCs w:val="24"/>
        </w:rPr>
        <w:t xml:space="preserve"> aplicar </w:t>
      </w:r>
      <w:r w:rsidR="00C73874" w:rsidRPr="003A1174">
        <w:rPr>
          <w:rFonts w:ascii="Garamond" w:hAnsi="Garamond" w:cs="Arial"/>
          <w:sz w:val="24"/>
          <w:szCs w:val="24"/>
        </w:rPr>
        <w:t xml:space="preserve">em simultâneo </w:t>
      </w:r>
      <w:r w:rsidRPr="003A1174">
        <w:rPr>
          <w:rFonts w:ascii="Garamond" w:hAnsi="Garamond" w:cs="Arial"/>
          <w:sz w:val="24"/>
          <w:szCs w:val="24"/>
        </w:rPr>
        <w:t>co</w:t>
      </w:r>
      <w:r w:rsidR="00C73874" w:rsidRPr="003A1174">
        <w:rPr>
          <w:rFonts w:ascii="Garamond" w:hAnsi="Garamond" w:cs="Arial"/>
          <w:sz w:val="24"/>
          <w:szCs w:val="24"/>
        </w:rPr>
        <w:t>m e</w:t>
      </w:r>
      <w:r w:rsidRPr="003A1174">
        <w:rPr>
          <w:rFonts w:ascii="Garamond" w:hAnsi="Garamond" w:cs="Arial"/>
          <w:sz w:val="24"/>
          <w:szCs w:val="24"/>
        </w:rPr>
        <w:t>ste.</w:t>
      </w:r>
    </w:p>
    <w:p w:rsidR="00DE6DF6" w:rsidRPr="003A1174" w:rsidRDefault="00DE6DF6" w:rsidP="008719D4">
      <w:pPr>
        <w:autoSpaceDE w:val="0"/>
        <w:autoSpaceDN w:val="0"/>
        <w:adjustRightInd w:val="0"/>
        <w:spacing w:after="0" w:line="240" w:lineRule="auto"/>
        <w:jc w:val="both"/>
        <w:rPr>
          <w:rFonts w:ascii="Garamond" w:hAnsi="Garamond" w:cs="Arial"/>
          <w:sz w:val="24"/>
          <w:szCs w:val="24"/>
        </w:rPr>
      </w:pPr>
    </w:p>
    <w:p w:rsidR="00A132B3" w:rsidRPr="007C4866"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iii) </w:t>
      </w:r>
      <w:r w:rsidR="00DE6DF6" w:rsidRPr="003A1174">
        <w:rPr>
          <w:rFonts w:ascii="Garamond" w:hAnsi="Garamond" w:cs="Arial"/>
          <w:sz w:val="24"/>
          <w:szCs w:val="24"/>
        </w:rPr>
        <w:t xml:space="preserve">E é </w:t>
      </w:r>
      <w:r w:rsidRPr="003A1174">
        <w:rPr>
          <w:rFonts w:ascii="Garamond" w:hAnsi="Garamond" w:cs="Arial"/>
          <w:sz w:val="24"/>
          <w:szCs w:val="24"/>
        </w:rPr>
        <w:t xml:space="preserve">de </w:t>
      </w:r>
      <w:r w:rsidR="00B14AA6" w:rsidRPr="003A1174">
        <w:rPr>
          <w:rFonts w:ascii="Garamond" w:hAnsi="Garamond" w:cs="Arial"/>
          <w:sz w:val="24"/>
          <w:szCs w:val="24"/>
        </w:rPr>
        <w:t>aplicação</w:t>
      </w:r>
      <w:r w:rsidRPr="003A1174">
        <w:rPr>
          <w:rFonts w:ascii="Garamond" w:hAnsi="Garamond" w:cs="Arial"/>
          <w:sz w:val="24"/>
          <w:szCs w:val="24"/>
        </w:rPr>
        <w:t xml:space="preserve"> inclus</w:t>
      </w:r>
      <w:r w:rsidR="00DE6DF6" w:rsidRPr="003A1174">
        <w:rPr>
          <w:rFonts w:ascii="Garamond" w:hAnsi="Garamond" w:cs="Arial"/>
          <w:sz w:val="24"/>
          <w:szCs w:val="24"/>
        </w:rPr>
        <w:t xml:space="preserve">ivamente num </w:t>
      </w:r>
      <w:r w:rsidR="007C4866" w:rsidRPr="007C4866">
        <w:rPr>
          <w:rFonts w:ascii="Garamond" w:hAnsi="Garamond" w:cs="Arial"/>
          <w:sz w:val="24"/>
          <w:szCs w:val="24"/>
        </w:rPr>
        <w:t>«</w:t>
      </w:r>
      <w:r w:rsidRPr="007C4866">
        <w:rPr>
          <w:rFonts w:ascii="Garamond" w:hAnsi="Garamond" w:cs="Arial"/>
          <w:sz w:val="24"/>
          <w:szCs w:val="24"/>
        </w:rPr>
        <w:t>conte</w:t>
      </w:r>
      <w:r w:rsidR="00DE6DF6" w:rsidRPr="007C4866">
        <w:rPr>
          <w:rFonts w:ascii="Garamond" w:hAnsi="Garamond" w:cs="Arial"/>
          <w:sz w:val="24"/>
          <w:szCs w:val="24"/>
        </w:rPr>
        <w:t>xto de impedimentos normativos e</w:t>
      </w:r>
      <w:r w:rsidRPr="007C4866">
        <w:rPr>
          <w:rFonts w:ascii="Garamond" w:hAnsi="Garamond" w:cs="Arial"/>
          <w:sz w:val="24"/>
          <w:szCs w:val="24"/>
        </w:rPr>
        <w:t xml:space="preserve"> </w:t>
      </w:r>
      <w:r w:rsidR="00DE6DF6" w:rsidRPr="007C4866">
        <w:rPr>
          <w:rFonts w:ascii="Garamond" w:hAnsi="Garamond" w:cs="Arial"/>
          <w:sz w:val="24"/>
          <w:szCs w:val="24"/>
        </w:rPr>
        <w:t>prático</w:t>
      </w:r>
      <w:r w:rsidRPr="007C4866">
        <w:rPr>
          <w:rFonts w:ascii="Garamond" w:hAnsi="Garamond" w:cs="Arial"/>
          <w:sz w:val="24"/>
          <w:szCs w:val="24"/>
        </w:rPr>
        <w:t xml:space="preserve">s para </w:t>
      </w:r>
      <w:r w:rsidR="002D1021" w:rsidRPr="007C4866">
        <w:rPr>
          <w:rFonts w:ascii="Garamond" w:hAnsi="Garamond" w:cs="Arial"/>
          <w:sz w:val="24"/>
          <w:szCs w:val="24"/>
        </w:rPr>
        <w:t>assegurar</w:t>
      </w:r>
      <w:r w:rsidRPr="007C4866">
        <w:rPr>
          <w:rFonts w:ascii="Garamond" w:hAnsi="Garamond" w:cs="Arial"/>
          <w:sz w:val="24"/>
          <w:szCs w:val="24"/>
        </w:rPr>
        <w:t xml:space="preserve"> u</w:t>
      </w:r>
      <w:r w:rsidR="00DE6DF6" w:rsidRPr="007C4866">
        <w:rPr>
          <w:rFonts w:ascii="Garamond" w:hAnsi="Garamond" w:cs="Arial"/>
          <w:sz w:val="24"/>
          <w:szCs w:val="24"/>
        </w:rPr>
        <w:t>m</w:t>
      </w:r>
      <w:r w:rsidRPr="007C4866">
        <w:rPr>
          <w:rFonts w:ascii="Garamond" w:hAnsi="Garamond" w:cs="Arial"/>
          <w:sz w:val="24"/>
          <w:szCs w:val="24"/>
        </w:rPr>
        <w:t xml:space="preserve"> </w:t>
      </w:r>
      <w:r w:rsidR="00886D6A" w:rsidRPr="007C4866">
        <w:rPr>
          <w:rFonts w:ascii="Garamond" w:hAnsi="Garamond" w:cs="Arial"/>
          <w:sz w:val="24"/>
          <w:szCs w:val="24"/>
        </w:rPr>
        <w:t>acesso</w:t>
      </w:r>
      <w:r w:rsidRPr="007C4866">
        <w:rPr>
          <w:rFonts w:ascii="Garamond" w:hAnsi="Garamond" w:cs="Arial"/>
          <w:sz w:val="24"/>
          <w:szCs w:val="24"/>
        </w:rPr>
        <w:t xml:space="preserve"> real </w:t>
      </w:r>
      <w:r w:rsidR="00DE6DF6" w:rsidRPr="007C4866">
        <w:rPr>
          <w:rFonts w:ascii="Garamond" w:hAnsi="Garamond" w:cs="Arial"/>
          <w:sz w:val="24"/>
          <w:szCs w:val="24"/>
        </w:rPr>
        <w:t xml:space="preserve">à </w:t>
      </w:r>
      <w:r w:rsidR="00FC1F7F" w:rsidRPr="007C4866">
        <w:rPr>
          <w:rFonts w:ascii="Garamond" w:hAnsi="Garamond" w:cs="Arial"/>
          <w:sz w:val="24"/>
          <w:szCs w:val="24"/>
        </w:rPr>
        <w:t>justiça</w:t>
      </w:r>
      <w:r w:rsidR="008131B9" w:rsidRPr="007C4866">
        <w:rPr>
          <w:rFonts w:ascii="Garamond" w:hAnsi="Garamond" w:cs="Arial"/>
          <w:sz w:val="24"/>
          <w:szCs w:val="24"/>
        </w:rPr>
        <w:t>,</w:t>
      </w:r>
      <w:r w:rsidRPr="007C4866">
        <w:rPr>
          <w:rFonts w:ascii="Garamond" w:hAnsi="Garamond" w:cs="Arial"/>
          <w:sz w:val="24"/>
          <w:szCs w:val="24"/>
        </w:rPr>
        <w:t xml:space="preserve"> </w:t>
      </w:r>
      <w:r w:rsidR="00DE6DF6" w:rsidRPr="007C4866">
        <w:rPr>
          <w:rFonts w:ascii="Garamond" w:hAnsi="Garamond" w:cs="Arial"/>
          <w:sz w:val="24"/>
          <w:szCs w:val="24"/>
        </w:rPr>
        <w:t>e de um</w:t>
      </w:r>
      <w:r w:rsidRPr="007C4866">
        <w:rPr>
          <w:rFonts w:ascii="Garamond" w:hAnsi="Garamond" w:cs="Arial"/>
          <w:sz w:val="24"/>
          <w:szCs w:val="24"/>
        </w:rPr>
        <w:t xml:space="preserve">a </w:t>
      </w:r>
      <w:r w:rsidR="0017447A" w:rsidRPr="007C4866">
        <w:rPr>
          <w:rFonts w:ascii="Garamond" w:hAnsi="Garamond" w:cs="Arial"/>
          <w:sz w:val="24"/>
          <w:szCs w:val="24"/>
        </w:rPr>
        <w:t>situação</w:t>
      </w:r>
      <w:r w:rsidRPr="007C4866">
        <w:rPr>
          <w:rFonts w:ascii="Garamond" w:hAnsi="Garamond" w:cs="Arial"/>
          <w:sz w:val="24"/>
          <w:szCs w:val="24"/>
        </w:rPr>
        <w:t xml:space="preserve"> </w:t>
      </w:r>
      <w:r w:rsidR="00077461" w:rsidRPr="007C4866">
        <w:rPr>
          <w:rFonts w:ascii="Garamond" w:hAnsi="Garamond" w:cs="Arial"/>
          <w:sz w:val="24"/>
          <w:szCs w:val="24"/>
        </w:rPr>
        <w:t>ge</w:t>
      </w:r>
      <w:r w:rsidR="003904BB" w:rsidRPr="007C4866">
        <w:rPr>
          <w:rFonts w:ascii="Garamond" w:hAnsi="Garamond" w:cs="Arial"/>
          <w:sz w:val="24"/>
          <w:szCs w:val="24"/>
        </w:rPr>
        <w:t>ne</w:t>
      </w:r>
      <w:r w:rsidR="00077461" w:rsidRPr="007C4866">
        <w:rPr>
          <w:rFonts w:ascii="Garamond" w:hAnsi="Garamond" w:cs="Arial"/>
          <w:sz w:val="24"/>
          <w:szCs w:val="24"/>
        </w:rPr>
        <w:t>ral</w:t>
      </w:r>
      <w:r w:rsidRPr="007C4866">
        <w:rPr>
          <w:rFonts w:ascii="Garamond" w:hAnsi="Garamond" w:cs="Arial"/>
          <w:sz w:val="24"/>
          <w:szCs w:val="24"/>
        </w:rPr>
        <w:t xml:space="preserve">izada de </w:t>
      </w:r>
      <w:r w:rsidR="00DE6DF6" w:rsidRPr="007C4866">
        <w:rPr>
          <w:rFonts w:ascii="Garamond" w:hAnsi="Garamond" w:cs="Arial"/>
          <w:sz w:val="24"/>
          <w:szCs w:val="24"/>
        </w:rPr>
        <w:t>ausência</w:t>
      </w:r>
      <w:r w:rsidRPr="007C4866">
        <w:rPr>
          <w:rFonts w:ascii="Garamond" w:hAnsi="Garamond" w:cs="Arial"/>
          <w:sz w:val="24"/>
          <w:szCs w:val="24"/>
        </w:rPr>
        <w:t xml:space="preserve"> de </w:t>
      </w:r>
      <w:r w:rsidR="00A56F43" w:rsidRPr="007C4866">
        <w:rPr>
          <w:rFonts w:ascii="Garamond" w:hAnsi="Garamond" w:cs="Arial"/>
          <w:sz w:val="24"/>
          <w:szCs w:val="24"/>
        </w:rPr>
        <w:t>garantia</w:t>
      </w:r>
      <w:r w:rsidRPr="007C4866">
        <w:rPr>
          <w:rFonts w:ascii="Garamond" w:hAnsi="Garamond" w:cs="Arial"/>
          <w:sz w:val="24"/>
          <w:szCs w:val="24"/>
        </w:rPr>
        <w:t>s e in</w:t>
      </w:r>
      <w:r w:rsidR="00454353" w:rsidRPr="007C4866">
        <w:rPr>
          <w:rFonts w:ascii="Garamond" w:hAnsi="Garamond" w:cs="Arial"/>
          <w:sz w:val="24"/>
          <w:szCs w:val="24"/>
        </w:rPr>
        <w:t>eficácia</w:t>
      </w:r>
      <w:r w:rsidR="00DE6DF6" w:rsidRPr="007C4866">
        <w:rPr>
          <w:rFonts w:ascii="Garamond" w:hAnsi="Garamond" w:cs="Arial"/>
          <w:sz w:val="24"/>
          <w:szCs w:val="24"/>
        </w:rPr>
        <w:t xml:space="preserve"> d</w:t>
      </w:r>
      <w:r w:rsidRPr="007C4866">
        <w:rPr>
          <w:rFonts w:ascii="Garamond" w:hAnsi="Garamond" w:cs="Arial"/>
          <w:sz w:val="24"/>
          <w:szCs w:val="24"/>
        </w:rPr>
        <w:t xml:space="preserve">as </w:t>
      </w:r>
      <w:r w:rsidR="002C7510" w:rsidRPr="007C4866">
        <w:rPr>
          <w:rFonts w:ascii="Garamond" w:hAnsi="Garamond" w:cs="Arial"/>
          <w:sz w:val="24"/>
          <w:szCs w:val="24"/>
        </w:rPr>
        <w:t>instituições</w:t>
      </w:r>
      <w:r w:rsidRPr="007C4866">
        <w:rPr>
          <w:rFonts w:ascii="Garamond" w:hAnsi="Garamond" w:cs="Arial"/>
          <w:sz w:val="24"/>
          <w:szCs w:val="24"/>
        </w:rPr>
        <w:t xml:space="preserve"> </w:t>
      </w:r>
      <w:r w:rsidR="002D1021" w:rsidRPr="007C4866">
        <w:rPr>
          <w:rFonts w:ascii="Garamond" w:hAnsi="Garamond" w:cs="Arial"/>
          <w:sz w:val="24"/>
          <w:szCs w:val="24"/>
        </w:rPr>
        <w:t>judiciais</w:t>
      </w:r>
      <w:r w:rsidR="007C4866" w:rsidRPr="007C4866">
        <w:rPr>
          <w:rFonts w:ascii="Garamond" w:hAnsi="Garamond" w:cs="Arial"/>
          <w:sz w:val="24"/>
          <w:szCs w:val="24"/>
        </w:rPr>
        <w:t>»</w:t>
      </w:r>
      <w:r w:rsidRPr="007C4866">
        <w:rPr>
          <w:rFonts w:ascii="Garamond" w:hAnsi="Garamond" w:cs="Arial"/>
          <w:sz w:val="24"/>
          <w:szCs w:val="24"/>
        </w:rPr>
        <w:t>.</w:t>
      </w:r>
      <w:proofErr w:type="gramStart"/>
      <w:r w:rsidRPr="007C4866">
        <w:rPr>
          <w:rStyle w:val="Refdenotaalpie"/>
          <w:rFonts w:ascii="Garamond" w:hAnsi="Garamond" w:cs="Arial"/>
          <w:sz w:val="24"/>
          <w:szCs w:val="24"/>
        </w:rPr>
        <w:footnoteReference w:id="37"/>
      </w:r>
      <w:proofErr w:type="gramEnd"/>
    </w:p>
    <w:p w:rsidR="00A132B3" w:rsidRPr="003A1174" w:rsidRDefault="00AB1A71"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lastRenderedPageBreak/>
        <w:t xml:space="preserve">No seu </w:t>
      </w:r>
      <w:r w:rsidR="00A132B3" w:rsidRPr="003A1174">
        <w:rPr>
          <w:rFonts w:ascii="Garamond" w:hAnsi="Garamond" w:cs="Arial"/>
          <w:i/>
          <w:sz w:val="24"/>
          <w:szCs w:val="24"/>
        </w:rPr>
        <w:t>voto razonado</w:t>
      </w:r>
      <w:r w:rsidR="00A132B3" w:rsidRPr="003A1174">
        <w:rPr>
          <w:rFonts w:ascii="Garamond" w:hAnsi="Garamond" w:cs="Arial"/>
          <w:sz w:val="24"/>
          <w:szCs w:val="24"/>
        </w:rPr>
        <w:t xml:space="preserve"> e</w:t>
      </w:r>
      <w:r w:rsidRPr="003A1174">
        <w:rPr>
          <w:rFonts w:ascii="Garamond" w:hAnsi="Garamond" w:cs="Arial"/>
          <w:sz w:val="24"/>
          <w:szCs w:val="24"/>
        </w:rPr>
        <w:t>m</w:t>
      </w:r>
      <w:r w:rsidR="00A132B3" w:rsidRPr="003A1174">
        <w:rPr>
          <w:rFonts w:ascii="Garamond" w:hAnsi="Garamond" w:cs="Arial"/>
          <w:sz w:val="24"/>
          <w:szCs w:val="24"/>
        </w:rPr>
        <w:t xml:space="preserve"> torno </w:t>
      </w:r>
      <w:r w:rsidRPr="003A1174">
        <w:rPr>
          <w:rFonts w:ascii="Garamond" w:hAnsi="Garamond" w:cs="Arial"/>
          <w:sz w:val="24"/>
          <w:szCs w:val="24"/>
        </w:rPr>
        <w:t xml:space="preserve">da referida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 xml:space="preserve">o então </w:t>
      </w:r>
      <w:r w:rsidR="00253B1D" w:rsidRPr="003A1174">
        <w:rPr>
          <w:rFonts w:ascii="Garamond" w:hAnsi="Garamond" w:cs="Arial"/>
          <w:sz w:val="24"/>
          <w:szCs w:val="24"/>
        </w:rPr>
        <w:t>juiz</w:t>
      </w:r>
      <w:r w:rsidRPr="003A1174">
        <w:rPr>
          <w:rFonts w:ascii="Garamond" w:hAnsi="Garamond" w:cs="Arial"/>
          <w:sz w:val="24"/>
          <w:szCs w:val="24"/>
        </w:rPr>
        <w:t xml:space="preserve"> d</w:t>
      </w:r>
      <w:r w:rsidR="00A132B3" w:rsidRPr="003A1174">
        <w:rPr>
          <w:rFonts w:ascii="Garamond" w:hAnsi="Garamond" w:cs="Arial"/>
          <w:sz w:val="24"/>
          <w:szCs w:val="24"/>
        </w:rPr>
        <w:t xml:space="preserve">a </w:t>
      </w:r>
      <w:r w:rsidR="00030F56">
        <w:rPr>
          <w:rFonts w:ascii="Garamond" w:hAnsi="Garamond" w:cs="Arial"/>
          <w:sz w:val="24"/>
          <w:szCs w:val="24"/>
        </w:rPr>
        <w:t>t</w:t>
      </w:r>
      <w:r w:rsidR="00A132B3" w:rsidRPr="003A1174">
        <w:rPr>
          <w:rFonts w:ascii="Garamond" w:hAnsi="Garamond" w:cs="Arial"/>
          <w:sz w:val="24"/>
          <w:szCs w:val="24"/>
        </w:rPr>
        <w:t xml:space="preserve">IDH, Sergio García Ramírez, </w:t>
      </w:r>
      <w:r w:rsidR="009D5ED8" w:rsidRPr="003A1174">
        <w:rPr>
          <w:rFonts w:ascii="Garamond" w:hAnsi="Garamond" w:cs="Arial"/>
          <w:sz w:val="24"/>
          <w:szCs w:val="24"/>
        </w:rPr>
        <w:t xml:space="preserve">assinalou </w:t>
      </w:r>
      <w:r w:rsidR="00A132B3" w:rsidRPr="003A1174">
        <w:rPr>
          <w:rFonts w:ascii="Garamond" w:hAnsi="Garamond" w:cs="Arial"/>
          <w:sz w:val="24"/>
          <w:szCs w:val="24"/>
        </w:rPr>
        <w:t xml:space="preserve">que </w:t>
      </w:r>
      <w:r w:rsidRPr="003A1174">
        <w:rPr>
          <w:rFonts w:ascii="Garamond" w:hAnsi="Garamond" w:cs="Arial"/>
          <w:sz w:val="24"/>
          <w:szCs w:val="24"/>
        </w:rPr>
        <w:t xml:space="preserve">embora no </w:t>
      </w:r>
      <w:r w:rsidR="00A132B3" w:rsidRPr="003A1174">
        <w:rPr>
          <w:rFonts w:ascii="Garamond" w:hAnsi="Garamond" w:cs="Arial"/>
          <w:sz w:val="24"/>
          <w:szCs w:val="24"/>
        </w:rPr>
        <w:t xml:space="preserve">caso concreto </w:t>
      </w:r>
      <w:r w:rsidR="009D5ED8" w:rsidRPr="003A1174">
        <w:rPr>
          <w:rFonts w:ascii="Garamond" w:hAnsi="Garamond" w:cs="Arial"/>
          <w:sz w:val="24"/>
          <w:szCs w:val="24"/>
        </w:rPr>
        <w:t xml:space="preserve">a sentença se tenha </w:t>
      </w:r>
      <w:r w:rsidR="00A132B3" w:rsidRPr="003A1174">
        <w:rPr>
          <w:rFonts w:ascii="Garamond" w:hAnsi="Garamond" w:cs="Arial"/>
          <w:sz w:val="24"/>
          <w:szCs w:val="24"/>
        </w:rPr>
        <w:t>referido a</w:t>
      </w:r>
      <w:r w:rsidR="009D5ED8" w:rsidRPr="003A1174">
        <w:rPr>
          <w:rFonts w:ascii="Garamond" w:hAnsi="Garamond" w:cs="Arial"/>
          <w:sz w:val="24"/>
          <w:szCs w:val="24"/>
        </w:rPr>
        <w:t>o</w:t>
      </w:r>
      <w:r w:rsidR="00A132B3" w:rsidRPr="003A1174">
        <w:rPr>
          <w:rFonts w:ascii="Garamond" w:hAnsi="Garamond" w:cs="Arial"/>
          <w:sz w:val="24"/>
          <w:szCs w:val="24"/>
        </w:rPr>
        <w:t xml:space="preserve"> </w:t>
      </w:r>
      <w:r w:rsidR="00253B1D" w:rsidRPr="003A1174">
        <w:rPr>
          <w:rFonts w:ascii="Garamond" w:hAnsi="Garamond" w:cs="Arial"/>
          <w:sz w:val="24"/>
          <w:szCs w:val="24"/>
        </w:rPr>
        <w:t>controlo</w:t>
      </w:r>
      <w:r w:rsidR="00A132B3" w:rsidRPr="003A1174">
        <w:rPr>
          <w:rFonts w:ascii="Garamond" w:hAnsi="Garamond" w:cs="Arial"/>
          <w:sz w:val="24"/>
          <w:szCs w:val="24"/>
        </w:rPr>
        <w:t xml:space="preserve"> de </w:t>
      </w:r>
      <w:r w:rsidR="00E15BB2" w:rsidRPr="003A1174">
        <w:rPr>
          <w:rFonts w:ascii="Garamond" w:hAnsi="Garamond" w:cs="Arial"/>
          <w:sz w:val="24"/>
          <w:szCs w:val="24"/>
        </w:rPr>
        <w:t>Convencionalidade</w:t>
      </w:r>
      <w:r w:rsidR="00A132B3" w:rsidRPr="003A1174">
        <w:rPr>
          <w:rFonts w:ascii="Garamond" w:hAnsi="Garamond" w:cs="Arial"/>
          <w:sz w:val="24"/>
          <w:szCs w:val="24"/>
        </w:rPr>
        <w:t xml:space="preserve"> t</w:t>
      </w:r>
      <w:r w:rsidR="009D5ED8" w:rsidRPr="003A1174">
        <w:rPr>
          <w:rFonts w:ascii="Garamond" w:hAnsi="Garamond" w:cs="Arial"/>
          <w:sz w:val="24"/>
          <w:szCs w:val="24"/>
        </w:rPr>
        <w:t>endo em conta a CADH, na</w:t>
      </w:r>
      <w:r w:rsidR="00A132B3" w:rsidRPr="003A1174">
        <w:rPr>
          <w:rFonts w:ascii="Garamond" w:hAnsi="Garamond" w:cs="Arial"/>
          <w:sz w:val="24"/>
          <w:szCs w:val="24"/>
        </w:rPr>
        <w:t xml:space="preserve"> </w:t>
      </w:r>
      <w:r w:rsidR="009D5ED8" w:rsidRPr="003A1174">
        <w:rPr>
          <w:rFonts w:ascii="Garamond" w:hAnsi="Garamond" w:cs="Arial"/>
          <w:sz w:val="24"/>
          <w:szCs w:val="24"/>
        </w:rPr>
        <w:t xml:space="preserve">realidade </w:t>
      </w:r>
      <w:r w:rsidR="007C4866" w:rsidRPr="007C4866">
        <w:rPr>
          <w:rFonts w:ascii="Garamond" w:hAnsi="Garamond" w:cs="Arial"/>
          <w:sz w:val="24"/>
          <w:szCs w:val="24"/>
        </w:rPr>
        <w:t>«</w:t>
      </w:r>
      <w:r w:rsidR="00A132B3" w:rsidRPr="007C4866">
        <w:rPr>
          <w:rFonts w:ascii="Garamond" w:hAnsi="Garamond" w:cs="Arial"/>
          <w:sz w:val="24"/>
          <w:szCs w:val="24"/>
        </w:rPr>
        <w:t xml:space="preserve">a </w:t>
      </w:r>
      <w:r w:rsidR="00524936" w:rsidRPr="007C4866">
        <w:rPr>
          <w:rFonts w:ascii="Garamond" w:hAnsi="Garamond" w:cs="Arial"/>
          <w:sz w:val="24"/>
          <w:szCs w:val="24"/>
        </w:rPr>
        <w:t>mesma</w:t>
      </w:r>
      <w:r w:rsidR="00A132B3" w:rsidRPr="007C4866">
        <w:rPr>
          <w:rFonts w:ascii="Garamond" w:hAnsi="Garamond" w:cs="Arial"/>
          <w:sz w:val="24"/>
          <w:szCs w:val="24"/>
        </w:rPr>
        <w:t xml:space="preserve"> </w:t>
      </w:r>
      <w:r w:rsidR="002E2C71" w:rsidRPr="007C4866">
        <w:rPr>
          <w:rFonts w:ascii="Garamond" w:hAnsi="Garamond" w:cs="Arial"/>
          <w:sz w:val="24"/>
          <w:szCs w:val="24"/>
        </w:rPr>
        <w:t>função</w:t>
      </w:r>
      <w:r w:rsidR="00A132B3" w:rsidRPr="007C4866">
        <w:rPr>
          <w:rFonts w:ascii="Garamond" w:hAnsi="Garamond" w:cs="Arial"/>
          <w:sz w:val="24"/>
          <w:szCs w:val="24"/>
        </w:rPr>
        <w:t xml:space="preserve"> </w:t>
      </w:r>
      <w:r w:rsidR="009D5ED8" w:rsidRPr="007C4866">
        <w:rPr>
          <w:rFonts w:ascii="Garamond" w:hAnsi="Garamond" w:cs="Arial"/>
          <w:sz w:val="24"/>
          <w:szCs w:val="24"/>
        </w:rPr>
        <w:t>estende-se, por razões idênticas</w:t>
      </w:r>
      <w:r w:rsidR="00A132B3" w:rsidRPr="007C4866">
        <w:rPr>
          <w:rFonts w:ascii="Garamond" w:hAnsi="Garamond" w:cs="Arial"/>
          <w:sz w:val="24"/>
          <w:szCs w:val="24"/>
        </w:rPr>
        <w:t xml:space="preserve">, </w:t>
      </w:r>
      <w:r w:rsidR="00C73874" w:rsidRPr="007C4866">
        <w:rPr>
          <w:rFonts w:ascii="Garamond" w:hAnsi="Garamond" w:cs="Arial"/>
          <w:sz w:val="24"/>
          <w:szCs w:val="24"/>
        </w:rPr>
        <w:t>n</w:t>
      </w:r>
      <w:r w:rsidR="00A132B3" w:rsidRPr="007C4866">
        <w:rPr>
          <w:rFonts w:ascii="Garamond" w:hAnsi="Garamond" w:cs="Arial"/>
          <w:sz w:val="24"/>
          <w:szCs w:val="24"/>
        </w:rPr>
        <w:t>o que toca a o</w:t>
      </w:r>
      <w:r w:rsidR="009D5ED8" w:rsidRPr="007C4866">
        <w:rPr>
          <w:rFonts w:ascii="Garamond" w:hAnsi="Garamond" w:cs="Arial"/>
          <w:sz w:val="24"/>
          <w:szCs w:val="24"/>
        </w:rPr>
        <w:t>u</w:t>
      </w:r>
      <w:r w:rsidR="00A132B3" w:rsidRPr="007C4866">
        <w:rPr>
          <w:rFonts w:ascii="Garamond" w:hAnsi="Garamond" w:cs="Arial"/>
          <w:sz w:val="24"/>
          <w:szCs w:val="24"/>
        </w:rPr>
        <w:t>tros instrumentos de igual natureza, integrantes d</w:t>
      </w:r>
      <w:r w:rsidR="009D5ED8" w:rsidRPr="007C4866">
        <w:rPr>
          <w:rFonts w:ascii="Garamond" w:hAnsi="Garamond" w:cs="Arial"/>
          <w:sz w:val="24"/>
          <w:szCs w:val="24"/>
        </w:rPr>
        <w:t>o</w:t>
      </w:r>
      <w:r w:rsidR="00A132B3" w:rsidRPr="007C4866">
        <w:rPr>
          <w:rFonts w:ascii="Garamond" w:hAnsi="Garamond" w:cs="Arial"/>
          <w:sz w:val="24"/>
          <w:szCs w:val="24"/>
        </w:rPr>
        <w:t xml:space="preserve"> </w:t>
      </w:r>
      <w:r w:rsidR="00A132B3" w:rsidRPr="007C4866">
        <w:rPr>
          <w:rFonts w:ascii="Garamond" w:hAnsi="Garamond" w:cs="Arial"/>
          <w:i/>
          <w:iCs/>
          <w:sz w:val="24"/>
          <w:szCs w:val="24"/>
        </w:rPr>
        <w:t xml:space="preserve">corpus juris </w:t>
      </w:r>
      <w:r w:rsidR="00A132B3" w:rsidRPr="007C4866">
        <w:rPr>
          <w:rFonts w:ascii="Garamond" w:hAnsi="Garamond" w:cs="Arial"/>
          <w:sz w:val="24"/>
          <w:szCs w:val="24"/>
        </w:rPr>
        <w:t xml:space="preserve">convencional dos </w:t>
      </w:r>
      <w:r w:rsidR="00886D6A" w:rsidRPr="007C4866">
        <w:rPr>
          <w:rFonts w:ascii="Garamond" w:hAnsi="Garamond" w:cs="Arial"/>
          <w:sz w:val="24"/>
          <w:szCs w:val="24"/>
        </w:rPr>
        <w:t>direito</w:t>
      </w:r>
      <w:r w:rsidR="00A132B3" w:rsidRPr="007C4866">
        <w:rPr>
          <w:rFonts w:ascii="Garamond" w:hAnsi="Garamond" w:cs="Arial"/>
          <w:sz w:val="24"/>
          <w:szCs w:val="24"/>
        </w:rPr>
        <w:t xml:space="preserve">s humanos dos que </w:t>
      </w:r>
      <w:r w:rsidR="009D5ED8" w:rsidRPr="007C4866">
        <w:rPr>
          <w:rFonts w:ascii="Garamond" w:hAnsi="Garamond" w:cs="Arial"/>
          <w:sz w:val="24"/>
          <w:szCs w:val="24"/>
        </w:rPr>
        <w:t xml:space="preserve">é </w:t>
      </w:r>
      <w:r w:rsidR="00A132B3" w:rsidRPr="007C4866">
        <w:rPr>
          <w:rFonts w:ascii="Garamond" w:hAnsi="Garamond" w:cs="Arial"/>
          <w:sz w:val="24"/>
          <w:szCs w:val="24"/>
        </w:rPr>
        <w:t xml:space="preserve">parte </w:t>
      </w:r>
      <w:r w:rsidR="009D5ED8" w:rsidRPr="007C4866">
        <w:rPr>
          <w:rFonts w:ascii="Garamond" w:hAnsi="Garamond" w:cs="Arial"/>
          <w:sz w:val="24"/>
          <w:szCs w:val="24"/>
        </w:rPr>
        <w:t>o</w:t>
      </w:r>
      <w:r w:rsidR="00A132B3" w:rsidRPr="007C4866">
        <w:rPr>
          <w:rFonts w:ascii="Garamond" w:hAnsi="Garamond" w:cs="Arial"/>
          <w:sz w:val="24"/>
          <w:szCs w:val="24"/>
        </w:rPr>
        <w:t xml:space="preserve"> Estado</w:t>
      </w:r>
      <w:r w:rsidR="007C4866" w:rsidRPr="007C4866">
        <w:rPr>
          <w:rFonts w:ascii="Garamond" w:hAnsi="Garamond" w:cs="Arial"/>
          <w:sz w:val="24"/>
          <w:szCs w:val="24"/>
        </w:rPr>
        <w:t>»</w:t>
      </w:r>
      <w:r w:rsidR="00A132B3" w:rsidRPr="007C4866">
        <w:rPr>
          <w:rFonts w:ascii="Garamond" w:hAnsi="Garamond" w:cs="Arial"/>
          <w:sz w:val="24"/>
          <w:szCs w:val="24"/>
        </w:rPr>
        <w:t xml:space="preserve">, </w:t>
      </w:r>
      <w:r w:rsidR="00A132B3" w:rsidRPr="003A1174">
        <w:rPr>
          <w:rFonts w:ascii="Garamond" w:hAnsi="Garamond" w:cs="Arial"/>
          <w:sz w:val="24"/>
          <w:szCs w:val="24"/>
        </w:rPr>
        <w:t xml:space="preserve">mencionando </w:t>
      </w:r>
      <w:r w:rsidR="009D5ED8" w:rsidRPr="003A1174">
        <w:rPr>
          <w:rFonts w:ascii="Garamond" w:hAnsi="Garamond" w:cs="Arial"/>
          <w:sz w:val="24"/>
          <w:szCs w:val="24"/>
        </w:rPr>
        <w:t>o</w:t>
      </w:r>
      <w:r w:rsidR="00A132B3" w:rsidRPr="003A1174">
        <w:rPr>
          <w:rFonts w:ascii="Garamond" w:hAnsi="Garamond" w:cs="Arial"/>
          <w:sz w:val="24"/>
          <w:szCs w:val="24"/>
        </w:rPr>
        <w:t xml:space="preserve"> </w:t>
      </w:r>
      <w:r w:rsidR="00253B1D" w:rsidRPr="003A1174">
        <w:rPr>
          <w:rFonts w:ascii="Garamond" w:hAnsi="Garamond" w:cs="Arial"/>
          <w:sz w:val="24"/>
          <w:szCs w:val="24"/>
        </w:rPr>
        <w:t>juiz</w:t>
      </w:r>
      <w:r w:rsidR="00A132B3" w:rsidRPr="003A1174">
        <w:rPr>
          <w:rFonts w:ascii="Garamond" w:hAnsi="Garamond" w:cs="Arial"/>
          <w:sz w:val="24"/>
          <w:szCs w:val="24"/>
        </w:rPr>
        <w:t xml:space="preserve"> a </w:t>
      </w:r>
      <w:r w:rsidR="009D5ED8" w:rsidRPr="003A1174">
        <w:rPr>
          <w:rFonts w:ascii="Garamond" w:hAnsi="Garamond" w:cs="Arial"/>
          <w:sz w:val="24"/>
          <w:szCs w:val="24"/>
        </w:rPr>
        <w:t xml:space="preserve">título de </w:t>
      </w:r>
      <w:r w:rsidR="002F5CD1" w:rsidRPr="003A1174">
        <w:rPr>
          <w:rFonts w:ascii="Garamond" w:hAnsi="Garamond" w:cs="Arial"/>
          <w:sz w:val="24"/>
          <w:szCs w:val="24"/>
        </w:rPr>
        <w:t>exemplo</w:t>
      </w:r>
      <w:r w:rsidR="009D5ED8" w:rsidRPr="003A1174">
        <w:rPr>
          <w:rFonts w:ascii="Garamond" w:hAnsi="Garamond" w:cs="Arial"/>
          <w:sz w:val="24"/>
          <w:szCs w:val="24"/>
        </w:rPr>
        <w:t xml:space="preserve"> o </w:t>
      </w:r>
      <w:r w:rsidR="00A132B3" w:rsidRPr="003A1174">
        <w:rPr>
          <w:rFonts w:ascii="Garamond" w:hAnsi="Garamond" w:cs="Arial"/>
          <w:sz w:val="24"/>
          <w:szCs w:val="24"/>
        </w:rPr>
        <w:t xml:space="preserve">Protocolo de San Salvador, </w:t>
      </w:r>
      <w:r w:rsidR="009D5ED8" w:rsidRPr="003A1174">
        <w:rPr>
          <w:rFonts w:ascii="Garamond" w:hAnsi="Garamond" w:cs="Arial"/>
          <w:sz w:val="24"/>
          <w:szCs w:val="24"/>
        </w:rPr>
        <w:t xml:space="preserve">o </w:t>
      </w:r>
      <w:r w:rsidR="00A132B3" w:rsidRPr="003A1174">
        <w:rPr>
          <w:rFonts w:ascii="Garamond" w:hAnsi="Garamond" w:cs="Arial"/>
          <w:sz w:val="24"/>
          <w:szCs w:val="24"/>
        </w:rPr>
        <w:t xml:space="preserve">Protocolo </w:t>
      </w:r>
      <w:r w:rsidR="009D5ED8" w:rsidRPr="003A1174">
        <w:rPr>
          <w:rFonts w:ascii="Garamond" w:hAnsi="Garamond" w:cs="Arial"/>
          <w:sz w:val="24"/>
          <w:szCs w:val="24"/>
        </w:rPr>
        <w:t xml:space="preserve">da </w:t>
      </w:r>
      <w:r w:rsidR="00B14AA6" w:rsidRPr="003A1174">
        <w:rPr>
          <w:rFonts w:ascii="Garamond" w:hAnsi="Garamond" w:cs="Arial"/>
          <w:sz w:val="24"/>
          <w:szCs w:val="24"/>
        </w:rPr>
        <w:t>Convenção</w:t>
      </w:r>
      <w:r w:rsidR="00A132B3" w:rsidRPr="003A1174">
        <w:rPr>
          <w:rFonts w:ascii="Garamond" w:hAnsi="Garamond" w:cs="Arial"/>
          <w:sz w:val="24"/>
          <w:szCs w:val="24"/>
        </w:rPr>
        <w:t xml:space="preserve"> Americana sobre </w:t>
      </w:r>
      <w:r w:rsidR="00886D6A" w:rsidRPr="003A1174">
        <w:rPr>
          <w:rFonts w:ascii="Garamond" w:hAnsi="Garamond" w:cs="Arial"/>
          <w:sz w:val="24"/>
          <w:szCs w:val="24"/>
        </w:rPr>
        <w:t>Direito</w:t>
      </w:r>
      <w:r w:rsidR="00A132B3" w:rsidRPr="003A1174">
        <w:rPr>
          <w:rFonts w:ascii="Garamond" w:hAnsi="Garamond" w:cs="Arial"/>
          <w:sz w:val="24"/>
          <w:szCs w:val="24"/>
        </w:rPr>
        <w:t xml:space="preserve">s Humanos relativo </w:t>
      </w:r>
      <w:r w:rsidR="009D5ED8" w:rsidRPr="003A1174">
        <w:rPr>
          <w:rFonts w:ascii="Garamond" w:hAnsi="Garamond" w:cs="Arial"/>
          <w:sz w:val="24"/>
          <w:szCs w:val="24"/>
        </w:rPr>
        <w:t xml:space="preserve">à </w:t>
      </w:r>
      <w:r w:rsidR="00A132B3" w:rsidRPr="003A1174">
        <w:rPr>
          <w:rFonts w:ascii="Garamond" w:hAnsi="Garamond" w:cs="Arial"/>
          <w:sz w:val="24"/>
          <w:szCs w:val="24"/>
        </w:rPr>
        <w:t>Aboli</w:t>
      </w:r>
      <w:r w:rsidR="009D5ED8" w:rsidRPr="003A1174">
        <w:rPr>
          <w:rFonts w:ascii="Garamond" w:hAnsi="Garamond" w:cs="Arial"/>
          <w:sz w:val="24"/>
          <w:szCs w:val="24"/>
        </w:rPr>
        <w:t xml:space="preserve">ção da </w:t>
      </w:r>
      <w:r w:rsidR="00A132B3" w:rsidRPr="003A1174">
        <w:rPr>
          <w:rFonts w:ascii="Garamond" w:hAnsi="Garamond" w:cs="Arial"/>
          <w:sz w:val="24"/>
          <w:szCs w:val="24"/>
        </w:rPr>
        <w:t xml:space="preserve">Pena de </w:t>
      </w:r>
      <w:r w:rsidR="007C63D0" w:rsidRPr="003A1174">
        <w:rPr>
          <w:rFonts w:ascii="Garamond" w:hAnsi="Garamond" w:cs="Arial"/>
          <w:sz w:val="24"/>
          <w:szCs w:val="24"/>
        </w:rPr>
        <w:t>Morte</w:t>
      </w:r>
      <w:r w:rsidR="009D5ED8" w:rsidRPr="003A1174">
        <w:rPr>
          <w:rFonts w:ascii="Garamond" w:hAnsi="Garamond" w:cs="Arial"/>
          <w:sz w:val="24"/>
          <w:szCs w:val="24"/>
        </w:rPr>
        <w:t xml:space="preserve">, </w:t>
      </w:r>
      <w:r w:rsidR="00A132B3" w:rsidRPr="003A1174">
        <w:rPr>
          <w:rFonts w:ascii="Garamond" w:hAnsi="Garamond" w:cs="Arial"/>
          <w:sz w:val="24"/>
          <w:szCs w:val="24"/>
        </w:rPr>
        <w:t xml:space="preserve">a </w:t>
      </w:r>
      <w:r w:rsidR="00B14AA6" w:rsidRPr="003A1174">
        <w:rPr>
          <w:rFonts w:ascii="Garamond" w:hAnsi="Garamond" w:cs="Arial"/>
          <w:sz w:val="24"/>
          <w:szCs w:val="24"/>
        </w:rPr>
        <w:t>Convenção</w:t>
      </w:r>
      <w:r w:rsidR="009D5ED8" w:rsidRPr="003A1174">
        <w:rPr>
          <w:rFonts w:ascii="Garamond" w:hAnsi="Garamond" w:cs="Arial"/>
          <w:sz w:val="24"/>
          <w:szCs w:val="24"/>
        </w:rPr>
        <w:t xml:space="preserve"> Interamericana para Prevenir e </w:t>
      </w:r>
      <w:r w:rsidR="003F493C" w:rsidRPr="003A1174">
        <w:rPr>
          <w:rFonts w:ascii="Garamond" w:hAnsi="Garamond" w:cs="Arial"/>
          <w:sz w:val="24"/>
          <w:szCs w:val="24"/>
        </w:rPr>
        <w:t>Punir</w:t>
      </w:r>
      <w:r w:rsidR="009D5ED8" w:rsidRPr="003A1174">
        <w:rPr>
          <w:rFonts w:ascii="Garamond" w:hAnsi="Garamond" w:cs="Arial"/>
          <w:sz w:val="24"/>
          <w:szCs w:val="24"/>
        </w:rPr>
        <w:t xml:space="preserve"> </w:t>
      </w:r>
      <w:r w:rsidR="00A132B3" w:rsidRPr="003A1174">
        <w:rPr>
          <w:rFonts w:ascii="Garamond" w:hAnsi="Garamond" w:cs="Arial"/>
          <w:sz w:val="24"/>
          <w:szCs w:val="24"/>
        </w:rPr>
        <w:t>a</w:t>
      </w:r>
      <w:r w:rsidR="009D5ED8" w:rsidRPr="003A1174">
        <w:rPr>
          <w:rFonts w:ascii="Garamond" w:hAnsi="Garamond" w:cs="Arial"/>
          <w:sz w:val="24"/>
          <w:szCs w:val="24"/>
        </w:rPr>
        <w:t xml:space="preserve"> Tortura, </w:t>
      </w:r>
      <w:r w:rsidR="00A132B3" w:rsidRPr="003A1174">
        <w:rPr>
          <w:rFonts w:ascii="Garamond" w:hAnsi="Garamond" w:cs="Arial"/>
          <w:sz w:val="24"/>
          <w:szCs w:val="24"/>
        </w:rPr>
        <w:t xml:space="preserve">a </w:t>
      </w:r>
      <w:r w:rsidR="00B14AA6" w:rsidRPr="003A1174">
        <w:rPr>
          <w:rFonts w:ascii="Garamond" w:hAnsi="Garamond" w:cs="Arial"/>
          <w:sz w:val="24"/>
          <w:szCs w:val="24"/>
        </w:rPr>
        <w:t>Convenção</w:t>
      </w:r>
      <w:r w:rsidR="00A132B3" w:rsidRPr="003A1174">
        <w:rPr>
          <w:rFonts w:ascii="Garamond" w:hAnsi="Garamond" w:cs="Arial"/>
          <w:sz w:val="24"/>
          <w:szCs w:val="24"/>
        </w:rPr>
        <w:t xml:space="preserve"> Interamericana sobre Desapar</w:t>
      </w:r>
      <w:r w:rsidR="009D5ED8" w:rsidRPr="003A1174">
        <w:rPr>
          <w:rFonts w:ascii="Garamond" w:hAnsi="Garamond" w:cs="Arial"/>
          <w:sz w:val="24"/>
          <w:szCs w:val="24"/>
        </w:rPr>
        <w:t xml:space="preserve">ecimento forçado </w:t>
      </w:r>
      <w:r w:rsidR="00A132B3" w:rsidRPr="003A1174">
        <w:rPr>
          <w:rFonts w:ascii="Garamond" w:hAnsi="Garamond" w:cs="Arial"/>
          <w:sz w:val="24"/>
          <w:szCs w:val="24"/>
        </w:rPr>
        <w:t xml:space="preserve">de </w:t>
      </w:r>
      <w:r w:rsidR="006C760C" w:rsidRPr="003A1174">
        <w:rPr>
          <w:rFonts w:ascii="Garamond" w:hAnsi="Garamond" w:cs="Arial"/>
          <w:sz w:val="24"/>
          <w:szCs w:val="24"/>
        </w:rPr>
        <w:t>pessoas</w:t>
      </w:r>
      <w:r w:rsidR="009D5ED8" w:rsidRPr="003A1174">
        <w:rPr>
          <w:rFonts w:ascii="Garamond" w:hAnsi="Garamond" w:cs="Arial"/>
          <w:sz w:val="24"/>
          <w:szCs w:val="24"/>
        </w:rPr>
        <w:t xml:space="preserve"> e</w:t>
      </w:r>
      <w:r w:rsidR="00A132B3" w:rsidRPr="003A1174">
        <w:rPr>
          <w:rFonts w:ascii="Garamond" w:hAnsi="Garamond" w:cs="Arial"/>
          <w:sz w:val="24"/>
          <w:szCs w:val="24"/>
        </w:rPr>
        <w:t xml:space="preserve">, </w:t>
      </w:r>
      <w:r w:rsidR="009D5ED8" w:rsidRPr="003A1174">
        <w:rPr>
          <w:rFonts w:ascii="Garamond" w:hAnsi="Garamond" w:cs="Arial"/>
          <w:sz w:val="24"/>
          <w:szCs w:val="24"/>
        </w:rPr>
        <w:t xml:space="preserve">obviamente, </w:t>
      </w:r>
      <w:r w:rsidR="00A132B3" w:rsidRPr="003A1174">
        <w:rPr>
          <w:rFonts w:ascii="Garamond" w:hAnsi="Garamond" w:cs="Arial"/>
          <w:sz w:val="24"/>
          <w:szCs w:val="24"/>
        </w:rPr>
        <w:t xml:space="preserve">a </w:t>
      </w:r>
      <w:r w:rsidR="00B14AA6" w:rsidRPr="003A1174">
        <w:rPr>
          <w:rFonts w:ascii="Garamond" w:hAnsi="Garamond" w:cs="Arial"/>
          <w:sz w:val="24"/>
          <w:szCs w:val="24"/>
        </w:rPr>
        <w:t>Convenção</w:t>
      </w:r>
      <w:r w:rsidR="00A132B3" w:rsidRPr="003A1174">
        <w:rPr>
          <w:rFonts w:ascii="Garamond" w:hAnsi="Garamond" w:cs="Arial"/>
          <w:sz w:val="24"/>
          <w:szCs w:val="24"/>
        </w:rPr>
        <w:t xml:space="preserve"> Interamericana para </w:t>
      </w:r>
      <w:r w:rsidR="003F493C" w:rsidRPr="003A1174">
        <w:rPr>
          <w:rFonts w:ascii="Garamond" w:hAnsi="Garamond" w:cs="Arial"/>
          <w:sz w:val="24"/>
          <w:szCs w:val="24"/>
        </w:rPr>
        <w:t>Prevenir, Punir e Erradicar</w:t>
      </w:r>
      <w:r w:rsidR="009D5ED8" w:rsidRPr="003A1174">
        <w:rPr>
          <w:rFonts w:ascii="Garamond" w:hAnsi="Garamond" w:cs="Arial"/>
          <w:sz w:val="24"/>
          <w:szCs w:val="24"/>
        </w:rPr>
        <w:t xml:space="preserve"> </w:t>
      </w:r>
      <w:r w:rsidR="00A132B3" w:rsidRPr="003A1174">
        <w:rPr>
          <w:rFonts w:ascii="Garamond" w:hAnsi="Garamond" w:cs="Arial"/>
          <w:sz w:val="24"/>
          <w:szCs w:val="24"/>
        </w:rPr>
        <w:t xml:space="preserve">a </w:t>
      </w:r>
      <w:r w:rsidR="000350B1" w:rsidRPr="003A1174">
        <w:rPr>
          <w:rFonts w:ascii="Garamond" w:hAnsi="Garamond" w:cs="Arial"/>
          <w:sz w:val="24"/>
          <w:szCs w:val="24"/>
        </w:rPr>
        <w:t>Violência</w:t>
      </w:r>
      <w:r w:rsidR="009D5ED8" w:rsidRPr="003A1174">
        <w:rPr>
          <w:rFonts w:ascii="Garamond" w:hAnsi="Garamond" w:cs="Arial"/>
          <w:sz w:val="24"/>
          <w:szCs w:val="24"/>
        </w:rPr>
        <w:t xml:space="preserve"> Contra </w:t>
      </w:r>
      <w:r w:rsidR="00A132B3" w:rsidRPr="003A1174">
        <w:rPr>
          <w:rFonts w:ascii="Garamond" w:hAnsi="Garamond" w:cs="Arial"/>
          <w:sz w:val="24"/>
          <w:szCs w:val="24"/>
        </w:rPr>
        <w:t xml:space="preserve">a </w:t>
      </w:r>
      <w:r w:rsidR="00AF192F" w:rsidRPr="003A1174">
        <w:rPr>
          <w:rFonts w:ascii="Garamond" w:hAnsi="Garamond" w:cs="Arial"/>
          <w:sz w:val="24"/>
          <w:szCs w:val="24"/>
        </w:rPr>
        <w:t>Mulher</w:t>
      </w:r>
      <w:r w:rsidR="00A132B3" w:rsidRPr="003A1174">
        <w:rPr>
          <w:rFonts w:ascii="Garamond" w:hAnsi="Garamond" w:cs="Arial"/>
          <w:sz w:val="24"/>
          <w:szCs w:val="24"/>
        </w:rPr>
        <w:t xml:space="preserve"> </w:t>
      </w:r>
      <w:r w:rsidR="00030F56">
        <w:rPr>
          <w:rFonts w:ascii="Garamond" w:hAnsi="Garamond" w:cs="Arial"/>
          <w:sz w:val="24"/>
          <w:szCs w:val="24"/>
        </w:rPr>
        <w:t>-</w:t>
      </w:r>
      <w:r w:rsidR="00C73874" w:rsidRPr="003A1174">
        <w:rPr>
          <w:rFonts w:ascii="Garamond" w:hAnsi="Garamond" w:cs="Arial"/>
          <w:sz w:val="24"/>
          <w:szCs w:val="24"/>
        </w:rPr>
        <w:t xml:space="preserve"> </w:t>
      </w:r>
      <w:r w:rsidR="00B14AA6" w:rsidRPr="003A1174">
        <w:rPr>
          <w:rFonts w:ascii="Garamond" w:hAnsi="Garamond" w:cs="Arial"/>
          <w:sz w:val="24"/>
          <w:szCs w:val="24"/>
        </w:rPr>
        <w:t>Convenção</w:t>
      </w:r>
      <w:r w:rsidR="00A132B3" w:rsidRPr="003A1174">
        <w:rPr>
          <w:rFonts w:ascii="Garamond" w:hAnsi="Garamond" w:cs="Arial"/>
          <w:sz w:val="24"/>
          <w:szCs w:val="24"/>
        </w:rPr>
        <w:t xml:space="preserve"> de Belém do Pará.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7C4866" w:rsidRDefault="009D5ED8"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O</w:t>
      </w:r>
      <w:r w:rsidR="00A132B3" w:rsidRPr="003A1174">
        <w:rPr>
          <w:rFonts w:ascii="Garamond" w:hAnsi="Garamond" w:cs="Arial"/>
          <w:sz w:val="24"/>
          <w:szCs w:val="24"/>
        </w:rPr>
        <w:t xml:space="preserve"> jurista</w:t>
      </w:r>
      <w:r w:rsidRPr="003A1174">
        <w:rPr>
          <w:rFonts w:ascii="Garamond" w:hAnsi="Garamond" w:cs="Arial"/>
          <w:sz w:val="24"/>
          <w:szCs w:val="24"/>
        </w:rPr>
        <w:t xml:space="preserve"> sublinhou</w:t>
      </w:r>
      <w:r w:rsidR="00A132B3" w:rsidRPr="003A1174">
        <w:rPr>
          <w:rFonts w:ascii="Garamond" w:hAnsi="Garamond" w:cs="Arial"/>
          <w:sz w:val="24"/>
          <w:szCs w:val="24"/>
        </w:rPr>
        <w:t xml:space="preserve"> que </w:t>
      </w:r>
      <w:r w:rsidR="007C4866">
        <w:rPr>
          <w:rFonts w:ascii="Garamond" w:hAnsi="Garamond" w:cs="Arial"/>
          <w:sz w:val="24"/>
          <w:szCs w:val="24"/>
        </w:rPr>
        <w:t>«</w:t>
      </w:r>
      <w:r w:rsidR="00C73874" w:rsidRPr="007C4866">
        <w:rPr>
          <w:rFonts w:ascii="Garamond" w:hAnsi="Garamond" w:cs="Arial"/>
          <w:sz w:val="24"/>
          <w:szCs w:val="24"/>
        </w:rPr>
        <w:t xml:space="preserve">É necessário </w:t>
      </w:r>
      <w:r w:rsidRPr="007C4866">
        <w:rPr>
          <w:rFonts w:ascii="Garamond" w:hAnsi="Garamond" w:cs="Arial"/>
          <w:sz w:val="24"/>
          <w:szCs w:val="24"/>
        </w:rPr>
        <w:t>que haj</w:t>
      </w:r>
      <w:r w:rsidR="00A132B3" w:rsidRPr="007C4866">
        <w:rPr>
          <w:rFonts w:ascii="Garamond" w:hAnsi="Garamond" w:cs="Arial"/>
          <w:sz w:val="24"/>
          <w:szCs w:val="24"/>
        </w:rPr>
        <w:t>a conformidad</w:t>
      </w:r>
      <w:r w:rsidRPr="007C4866">
        <w:rPr>
          <w:rFonts w:ascii="Garamond" w:hAnsi="Garamond" w:cs="Arial"/>
          <w:sz w:val="24"/>
          <w:szCs w:val="24"/>
        </w:rPr>
        <w:t xml:space="preserve">e entre </w:t>
      </w:r>
      <w:r w:rsidR="00A132B3" w:rsidRPr="007C4866">
        <w:rPr>
          <w:rFonts w:ascii="Garamond" w:hAnsi="Garamond" w:cs="Arial"/>
          <w:sz w:val="24"/>
          <w:szCs w:val="24"/>
        </w:rPr>
        <w:t xml:space="preserve">os </w:t>
      </w:r>
      <w:r w:rsidR="001B02AD" w:rsidRPr="007C4866">
        <w:rPr>
          <w:rFonts w:ascii="Garamond" w:hAnsi="Garamond" w:cs="Arial"/>
          <w:sz w:val="24"/>
          <w:szCs w:val="24"/>
        </w:rPr>
        <w:t>atos</w:t>
      </w:r>
      <w:r w:rsidR="00A132B3" w:rsidRPr="007C4866">
        <w:rPr>
          <w:rFonts w:ascii="Garamond" w:hAnsi="Garamond" w:cs="Arial"/>
          <w:sz w:val="24"/>
          <w:szCs w:val="24"/>
        </w:rPr>
        <w:t xml:space="preserve"> internos </w:t>
      </w:r>
      <w:r w:rsidRPr="007C4866">
        <w:rPr>
          <w:rFonts w:ascii="Garamond" w:hAnsi="Garamond" w:cs="Arial"/>
          <w:sz w:val="24"/>
          <w:szCs w:val="24"/>
        </w:rPr>
        <w:t xml:space="preserve">e </w:t>
      </w:r>
      <w:r w:rsidR="00A132B3" w:rsidRPr="007C4866">
        <w:rPr>
          <w:rFonts w:ascii="Garamond" w:hAnsi="Garamond" w:cs="Arial"/>
          <w:sz w:val="24"/>
          <w:szCs w:val="24"/>
        </w:rPr>
        <w:t xml:space="preserve">os </w:t>
      </w:r>
      <w:r w:rsidR="00731B19" w:rsidRPr="007C4866">
        <w:rPr>
          <w:rFonts w:ascii="Garamond" w:hAnsi="Garamond" w:cs="Arial"/>
          <w:sz w:val="24"/>
          <w:szCs w:val="24"/>
        </w:rPr>
        <w:t>compromisso</w:t>
      </w:r>
      <w:r w:rsidR="00A132B3" w:rsidRPr="007C4866">
        <w:rPr>
          <w:rFonts w:ascii="Garamond" w:hAnsi="Garamond" w:cs="Arial"/>
          <w:sz w:val="24"/>
          <w:szCs w:val="24"/>
        </w:rPr>
        <w:t xml:space="preserve">s </w:t>
      </w:r>
      <w:r w:rsidR="00EF645F" w:rsidRPr="007C4866">
        <w:rPr>
          <w:rFonts w:ascii="Garamond" w:hAnsi="Garamond" w:cs="Arial"/>
          <w:sz w:val="24"/>
          <w:szCs w:val="24"/>
        </w:rPr>
        <w:t>internacionais</w:t>
      </w:r>
      <w:r w:rsidR="00A132B3" w:rsidRPr="007C4866">
        <w:rPr>
          <w:rFonts w:ascii="Garamond" w:hAnsi="Garamond" w:cs="Arial"/>
          <w:sz w:val="24"/>
          <w:szCs w:val="24"/>
        </w:rPr>
        <w:t xml:space="preserve"> contraídos pel</w:t>
      </w:r>
      <w:r w:rsidRPr="007C4866">
        <w:rPr>
          <w:rFonts w:ascii="Garamond" w:hAnsi="Garamond" w:cs="Arial"/>
          <w:sz w:val="24"/>
          <w:szCs w:val="24"/>
        </w:rPr>
        <w:t>o</w:t>
      </w:r>
      <w:r w:rsidR="00A132B3" w:rsidRPr="007C4866">
        <w:rPr>
          <w:rFonts w:ascii="Garamond" w:hAnsi="Garamond" w:cs="Arial"/>
          <w:sz w:val="24"/>
          <w:szCs w:val="24"/>
        </w:rPr>
        <w:t xml:space="preserve"> Estado, que ge</w:t>
      </w:r>
      <w:r w:rsidR="00C73874" w:rsidRPr="007C4866">
        <w:rPr>
          <w:rFonts w:ascii="Garamond" w:hAnsi="Garamond" w:cs="Arial"/>
          <w:sz w:val="24"/>
          <w:szCs w:val="24"/>
        </w:rPr>
        <w:t xml:space="preserve">ram para o próprio Estado, </w:t>
      </w:r>
      <w:r w:rsidR="00A132B3" w:rsidRPr="007C4866">
        <w:rPr>
          <w:rFonts w:ascii="Garamond" w:hAnsi="Garamond" w:cs="Arial"/>
          <w:sz w:val="24"/>
          <w:szCs w:val="24"/>
        </w:rPr>
        <w:t xml:space="preserve">determinados </w:t>
      </w:r>
      <w:r w:rsidR="00AF192F" w:rsidRPr="007C4866">
        <w:rPr>
          <w:rFonts w:ascii="Garamond" w:hAnsi="Garamond" w:cs="Arial"/>
          <w:sz w:val="24"/>
          <w:szCs w:val="24"/>
        </w:rPr>
        <w:t>dever</w:t>
      </w:r>
      <w:r w:rsidRPr="007C4866">
        <w:rPr>
          <w:rFonts w:ascii="Garamond" w:hAnsi="Garamond" w:cs="Arial"/>
          <w:sz w:val="24"/>
          <w:szCs w:val="24"/>
        </w:rPr>
        <w:t>es e</w:t>
      </w:r>
      <w:r w:rsidR="00A132B3" w:rsidRPr="007C4866">
        <w:rPr>
          <w:rFonts w:ascii="Garamond" w:hAnsi="Garamond" w:cs="Arial"/>
          <w:sz w:val="24"/>
          <w:szCs w:val="24"/>
        </w:rPr>
        <w:t xml:space="preserve"> recon</w:t>
      </w:r>
      <w:r w:rsidRPr="007C4866">
        <w:rPr>
          <w:rFonts w:ascii="Garamond" w:hAnsi="Garamond" w:cs="Arial"/>
          <w:sz w:val="24"/>
          <w:szCs w:val="24"/>
        </w:rPr>
        <w:t>hecem a</w:t>
      </w:r>
      <w:r w:rsidR="00A132B3" w:rsidRPr="007C4866">
        <w:rPr>
          <w:rFonts w:ascii="Garamond" w:hAnsi="Garamond" w:cs="Arial"/>
          <w:sz w:val="24"/>
          <w:szCs w:val="24"/>
        </w:rPr>
        <w:t xml:space="preserve">os </w:t>
      </w:r>
      <w:r w:rsidRPr="007C4866">
        <w:rPr>
          <w:rFonts w:ascii="Garamond" w:hAnsi="Garamond" w:cs="Arial"/>
          <w:sz w:val="24"/>
          <w:szCs w:val="24"/>
        </w:rPr>
        <w:t>indivíduo</w:t>
      </w:r>
      <w:r w:rsidR="00A132B3" w:rsidRPr="007C4866">
        <w:rPr>
          <w:rFonts w:ascii="Garamond" w:hAnsi="Garamond" w:cs="Arial"/>
          <w:sz w:val="24"/>
          <w:szCs w:val="24"/>
        </w:rPr>
        <w:t xml:space="preserve">s </w:t>
      </w:r>
      <w:r w:rsidRPr="007C4866">
        <w:rPr>
          <w:rFonts w:ascii="Garamond" w:hAnsi="Garamond" w:cs="Arial"/>
          <w:sz w:val="24"/>
          <w:szCs w:val="24"/>
        </w:rPr>
        <w:t>certo</w:t>
      </w:r>
      <w:r w:rsidR="00A132B3" w:rsidRPr="007C4866">
        <w:rPr>
          <w:rFonts w:ascii="Garamond" w:hAnsi="Garamond" w:cs="Arial"/>
          <w:sz w:val="24"/>
          <w:szCs w:val="24"/>
        </w:rPr>
        <w:t xml:space="preserve">s </w:t>
      </w:r>
      <w:r w:rsidR="00886D6A" w:rsidRPr="007C4866">
        <w:rPr>
          <w:rFonts w:ascii="Garamond" w:hAnsi="Garamond" w:cs="Arial"/>
          <w:sz w:val="24"/>
          <w:szCs w:val="24"/>
        </w:rPr>
        <w:t>direito</w:t>
      </w:r>
      <w:r w:rsidR="00A132B3" w:rsidRPr="007C4866">
        <w:rPr>
          <w:rFonts w:ascii="Garamond" w:hAnsi="Garamond" w:cs="Arial"/>
          <w:sz w:val="24"/>
          <w:szCs w:val="24"/>
        </w:rPr>
        <w:t>s</w:t>
      </w:r>
      <w:r w:rsidR="007C4866">
        <w:rPr>
          <w:rFonts w:ascii="Garamond" w:hAnsi="Garamond" w:cs="Arial"/>
          <w:sz w:val="24"/>
          <w:szCs w:val="24"/>
        </w:rPr>
        <w:t>»</w:t>
      </w:r>
      <w:r w:rsidR="00A132B3" w:rsidRPr="007C4866">
        <w:rPr>
          <w:rFonts w:ascii="Garamond" w:hAnsi="Garamond" w:cs="Arial"/>
          <w:sz w:val="24"/>
          <w:szCs w:val="24"/>
        </w:rPr>
        <w:t xml:space="preserve">. </w:t>
      </w:r>
    </w:p>
    <w:p w:rsidR="00A132B3" w:rsidRPr="003A1174" w:rsidRDefault="009D5ED8" w:rsidP="008719D4">
      <w:pPr>
        <w:pStyle w:val="Ttulo3"/>
        <w:numPr>
          <w:ilvl w:val="0"/>
          <w:numId w:val="15"/>
        </w:numPr>
        <w:spacing w:line="240" w:lineRule="auto"/>
        <w:jc w:val="both"/>
        <w:rPr>
          <w:rFonts w:ascii="Garamond" w:hAnsi="Garamond" w:cs="Arial"/>
          <w:sz w:val="24"/>
          <w:szCs w:val="24"/>
        </w:rPr>
      </w:pPr>
      <w:bookmarkStart w:id="14" w:name="_Toc421529702"/>
      <w:r w:rsidRPr="003A1174">
        <w:rPr>
          <w:rFonts w:ascii="Garamond" w:hAnsi="Garamond" w:cs="Arial"/>
          <w:sz w:val="24"/>
          <w:szCs w:val="24"/>
        </w:rPr>
        <w:t>Um novo caso peruano e</w:t>
      </w:r>
      <w:r w:rsidR="00A132B3" w:rsidRPr="003A1174">
        <w:rPr>
          <w:rFonts w:ascii="Garamond" w:hAnsi="Garamond" w:cs="Arial"/>
          <w:sz w:val="24"/>
          <w:szCs w:val="24"/>
        </w:rPr>
        <w:t xml:space="preserve"> </w:t>
      </w:r>
      <w:r w:rsidR="00FC1F7F" w:rsidRPr="003A1174">
        <w:rPr>
          <w:rFonts w:ascii="Garamond" w:hAnsi="Garamond" w:cs="Arial"/>
          <w:sz w:val="24"/>
          <w:szCs w:val="24"/>
        </w:rPr>
        <w:t>maiores</w:t>
      </w:r>
      <w:r w:rsidR="00A132B3" w:rsidRPr="003A1174">
        <w:rPr>
          <w:rFonts w:ascii="Garamond" w:hAnsi="Garamond" w:cs="Arial"/>
          <w:sz w:val="24"/>
          <w:szCs w:val="24"/>
        </w:rPr>
        <w:t xml:space="preserve"> </w:t>
      </w:r>
      <w:r w:rsidR="00FC1F7F" w:rsidRPr="003A1174">
        <w:rPr>
          <w:rFonts w:ascii="Garamond" w:hAnsi="Garamond" w:cs="Arial"/>
          <w:sz w:val="24"/>
          <w:szCs w:val="24"/>
        </w:rPr>
        <w:t>avanços</w:t>
      </w:r>
      <w:r w:rsidRPr="003A1174">
        <w:rPr>
          <w:rFonts w:ascii="Garamond" w:hAnsi="Garamond" w:cs="Arial"/>
          <w:sz w:val="24"/>
          <w:szCs w:val="24"/>
        </w:rPr>
        <w:t xml:space="preserve"> e</w:t>
      </w:r>
      <w:r w:rsidR="00A132B3" w:rsidRPr="003A1174">
        <w:rPr>
          <w:rFonts w:ascii="Garamond" w:hAnsi="Garamond" w:cs="Arial"/>
          <w:sz w:val="24"/>
          <w:szCs w:val="24"/>
        </w:rPr>
        <w:t xml:space="preserve"> </w:t>
      </w:r>
      <w:r w:rsidR="00AC42B1" w:rsidRPr="003A1174">
        <w:rPr>
          <w:rFonts w:ascii="Garamond" w:hAnsi="Garamond" w:cs="Arial"/>
          <w:sz w:val="24"/>
          <w:szCs w:val="24"/>
        </w:rPr>
        <w:t>precisões</w:t>
      </w:r>
      <w:r w:rsidR="00A132B3" w:rsidRPr="003A1174">
        <w:rPr>
          <w:rFonts w:ascii="Garamond" w:hAnsi="Garamond" w:cs="Arial"/>
          <w:sz w:val="24"/>
          <w:szCs w:val="24"/>
        </w:rPr>
        <w:t xml:space="preserve"> através d</w:t>
      </w:r>
      <w:r w:rsidRPr="003A1174">
        <w:rPr>
          <w:rFonts w:ascii="Garamond" w:hAnsi="Garamond" w:cs="Arial"/>
          <w:sz w:val="24"/>
          <w:szCs w:val="24"/>
        </w:rPr>
        <w:t>o</w:t>
      </w:r>
      <w:r w:rsidR="00A132B3" w:rsidRPr="003A1174">
        <w:rPr>
          <w:rFonts w:ascii="Garamond" w:hAnsi="Garamond" w:cs="Arial"/>
          <w:sz w:val="24"/>
          <w:szCs w:val="24"/>
        </w:rPr>
        <w:t xml:space="preserve"> </w:t>
      </w:r>
      <w:r w:rsidR="00A132B3" w:rsidRPr="003A1174">
        <w:rPr>
          <w:rFonts w:ascii="Garamond" w:hAnsi="Garamond" w:cs="Arial"/>
          <w:i/>
          <w:sz w:val="24"/>
          <w:szCs w:val="24"/>
        </w:rPr>
        <w:t>voto</w:t>
      </w:r>
      <w:r w:rsidR="00A132B3" w:rsidRPr="003A1174">
        <w:rPr>
          <w:rFonts w:ascii="Garamond" w:hAnsi="Garamond" w:cs="Arial"/>
          <w:sz w:val="24"/>
          <w:szCs w:val="24"/>
        </w:rPr>
        <w:t xml:space="preserve"> </w:t>
      </w:r>
      <w:r w:rsidR="00A132B3" w:rsidRPr="003A1174">
        <w:rPr>
          <w:rFonts w:ascii="Garamond" w:hAnsi="Garamond" w:cs="Arial"/>
          <w:i/>
          <w:sz w:val="24"/>
          <w:szCs w:val="24"/>
        </w:rPr>
        <w:t>razonado</w:t>
      </w:r>
      <w:r w:rsidR="00A132B3" w:rsidRPr="003A1174">
        <w:rPr>
          <w:rFonts w:ascii="Garamond" w:hAnsi="Garamond" w:cs="Arial"/>
          <w:sz w:val="24"/>
          <w:szCs w:val="24"/>
        </w:rPr>
        <w:t xml:space="preserve"> de García Ramírez:</w:t>
      </w:r>
      <w:r w:rsidRPr="003A1174">
        <w:rPr>
          <w:rFonts w:ascii="Garamond" w:hAnsi="Garamond" w:cs="Arial"/>
          <w:sz w:val="24"/>
          <w:szCs w:val="24"/>
        </w:rPr>
        <w:t xml:space="preserve"> </w:t>
      </w:r>
      <w:r w:rsidR="00A132B3" w:rsidRPr="003A1174">
        <w:rPr>
          <w:rFonts w:ascii="Garamond" w:hAnsi="Garamond" w:cs="Arial"/>
          <w:sz w:val="24"/>
          <w:szCs w:val="24"/>
        </w:rPr>
        <w:t xml:space="preserve">a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 xml:space="preserve">no </w:t>
      </w:r>
      <w:r w:rsidR="00A132B3" w:rsidRPr="003A1174">
        <w:rPr>
          <w:rFonts w:ascii="Garamond" w:hAnsi="Garamond" w:cs="Arial"/>
          <w:sz w:val="24"/>
          <w:szCs w:val="24"/>
        </w:rPr>
        <w:t>Caso La Cantuta</w:t>
      </w:r>
      <w:bookmarkEnd w:id="14"/>
    </w:p>
    <w:p w:rsidR="00A132B3" w:rsidRPr="003A1174" w:rsidRDefault="009D5ED8"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A</w:t>
      </w:r>
      <w:r w:rsidR="00A132B3" w:rsidRPr="003A1174">
        <w:rPr>
          <w:rFonts w:ascii="Garamond" w:hAnsi="Garamond" w:cs="Arial"/>
          <w:sz w:val="24"/>
          <w:szCs w:val="24"/>
        </w:rPr>
        <w:t xml:space="preserve"> po</w:t>
      </w:r>
      <w:r w:rsidRPr="003A1174">
        <w:rPr>
          <w:rFonts w:ascii="Garamond" w:hAnsi="Garamond" w:cs="Arial"/>
          <w:sz w:val="24"/>
          <w:szCs w:val="24"/>
        </w:rPr>
        <w:t>u</w:t>
      </w:r>
      <w:r w:rsidR="00A132B3" w:rsidRPr="003A1174">
        <w:rPr>
          <w:rFonts w:ascii="Garamond" w:hAnsi="Garamond" w:cs="Arial"/>
          <w:sz w:val="24"/>
          <w:szCs w:val="24"/>
        </w:rPr>
        <w:t xml:space="preserve">cos </w:t>
      </w:r>
      <w:r w:rsidRPr="003A1174">
        <w:rPr>
          <w:rFonts w:ascii="Garamond" w:hAnsi="Garamond" w:cs="Arial"/>
          <w:sz w:val="24"/>
          <w:szCs w:val="24"/>
        </w:rPr>
        <w:t>dia</w:t>
      </w:r>
      <w:r w:rsidR="00A132B3" w:rsidRPr="003A1174">
        <w:rPr>
          <w:rFonts w:ascii="Garamond" w:hAnsi="Garamond" w:cs="Arial"/>
          <w:sz w:val="24"/>
          <w:szCs w:val="24"/>
        </w:rPr>
        <w:t xml:space="preserve">s da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proferida pel</w:t>
      </w:r>
      <w:r w:rsidR="00A132B3" w:rsidRPr="003A1174">
        <w:rPr>
          <w:rFonts w:ascii="Garamond" w:hAnsi="Garamond" w:cs="Arial"/>
          <w:sz w:val="24"/>
          <w:szCs w:val="24"/>
        </w:rPr>
        <w:t xml:space="preserve">os </w:t>
      </w:r>
      <w:r w:rsidR="008E7A2A" w:rsidRPr="003A1174">
        <w:rPr>
          <w:rFonts w:ascii="Garamond" w:hAnsi="Garamond" w:cs="Arial"/>
          <w:sz w:val="24"/>
          <w:szCs w:val="24"/>
        </w:rPr>
        <w:t>Trabalhadores</w:t>
      </w:r>
      <w:r w:rsidR="00A132B3" w:rsidRPr="003A1174">
        <w:rPr>
          <w:rFonts w:ascii="Garamond" w:hAnsi="Garamond" w:cs="Arial"/>
          <w:sz w:val="24"/>
          <w:szCs w:val="24"/>
        </w:rPr>
        <w:t xml:space="preserve"> </w:t>
      </w:r>
      <w:r w:rsidR="00C73874" w:rsidRPr="003A1174">
        <w:rPr>
          <w:rFonts w:ascii="Garamond" w:hAnsi="Garamond" w:cs="Arial"/>
          <w:sz w:val="24"/>
          <w:szCs w:val="24"/>
        </w:rPr>
        <w:t xml:space="preserve">Despedidos </w:t>
      </w:r>
      <w:r w:rsidR="00E85E59" w:rsidRPr="003A1174">
        <w:rPr>
          <w:rFonts w:ascii="Garamond" w:hAnsi="Garamond" w:cs="Arial"/>
          <w:sz w:val="24"/>
          <w:szCs w:val="24"/>
        </w:rPr>
        <w:t>do</w:t>
      </w:r>
      <w:r w:rsidR="00A132B3" w:rsidRPr="003A1174">
        <w:rPr>
          <w:rFonts w:ascii="Garamond" w:hAnsi="Garamond" w:cs="Arial"/>
          <w:sz w:val="24"/>
          <w:szCs w:val="24"/>
        </w:rPr>
        <w:t xml:space="preserve"> </w:t>
      </w:r>
      <w:r w:rsidR="003F012B" w:rsidRPr="003A1174">
        <w:rPr>
          <w:rFonts w:ascii="Garamond" w:hAnsi="Garamond" w:cs="Arial"/>
          <w:sz w:val="24"/>
          <w:szCs w:val="24"/>
        </w:rPr>
        <w:t>Congresso</w:t>
      </w:r>
      <w:r w:rsidR="00A132B3" w:rsidRPr="003A1174">
        <w:rPr>
          <w:rFonts w:ascii="Garamond" w:hAnsi="Garamond" w:cs="Arial"/>
          <w:sz w:val="24"/>
          <w:szCs w:val="24"/>
        </w:rPr>
        <w:t xml:space="preserve"> peruano, u</w:t>
      </w:r>
      <w:r w:rsidR="00100435" w:rsidRPr="003A1174">
        <w:rPr>
          <w:rFonts w:ascii="Garamond" w:hAnsi="Garamond" w:cs="Arial"/>
          <w:sz w:val="24"/>
          <w:szCs w:val="24"/>
        </w:rPr>
        <w:t xml:space="preserve">ma nova sentença relativamente ao </w:t>
      </w:r>
      <w:r w:rsidR="00C30647" w:rsidRPr="003A1174">
        <w:rPr>
          <w:rFonts w:ascii="Garamond" w:hAnsi="Garamond" w:cs="Arial"/>
          <w:sz w:val="24"/>
          <w:szCs w:val="24"/>
        </w:rPr>
        <w:t>Peru</w:t>
      </w:r>
      <w:r w:rsidR="00A132B3" w:rsidRPr="003A1174">
        <w:rPr>
          <w:rFonts w:ascii="Garamond" w:hAnsi="Garamond" w:cs="Arial"/>
          <w:sz w:val="24"/>
          <w:szCs w:val="24"/>
        </w:rPr>
        <w:t xml:space="preserve"> f</w:t>
      </w:r>
      <w:r w:rsidR="00100435" w:rsidRPr="003A1174">
        <w:rPr>
          <w:rFonts w:ascii="Garamond" w:hAnsi="Garamond" w:cs="Arial"/>
          <w:sz w:val="24"/>
          <w:szCs w:val="24"/>
        </w:rPr>
        <w:t xml:space="preserve">oi proferida em </w:t>
      </w:r>
      <w:r w:rsidR="00152A44" w:rsidRPr="003A1174">
        <w:rPr>
          <w:rFonts w:ascii="Garamond" w:hAnsi="Garamond" w:cs="Arial"/>
          <w:sz w:val="24"/>
          <w:szCs w:val="24"/>
        </w:rPr>
        <w:t>relação</w:t>
      </w:r>
      <w:r w:rsidR="00100435" w:rsidRPr="003A1174">
        <w:rPr>
          <w:rFonts w:ascii="Garamond" w:hAnsi="Garamond" w:cs="Arial"/>
          <w:sz w:val="24"/>
          <w:szCs w:val="24"/>
        </w:rPr>
        <w:t xml:space="preserve"> à </w:t>
      </w:r>
      <w:r w:rsidR="00EB78D9" w:rsidRPr="003A1174">
        <w:rPr>
          <w:rFonts w:ascii="Garamond" w:hAnsi="Garamond" w:cs="Arial"/>
          <w:sz w:val="24"/>
          <w:szCs w:val="24"/>
        </w:rPr>
        <w:t>execução</w:t>
      </w:r>
      <w:r w:rsidR="00A132B3" w:rsidRPr="003A1174">
        <w:rPr>
          <w:rFonts w:ascii="Garamond" w:hAnsi="Garamond" w:cs="Arial"/>
          <w:sz w:val="24"/>
          <w:szCs w:val="24"/>
        </w:rPr>
        <w:t xml:space="preserve"> extrajudicial de n</w:t>
      </w:r>
      <w:r w:rsidR="00100435" w:rsidRPr="003A1174">
        <w:rPr>
          <w:rFonts w:ascii="Garamond" w:hAnsi="Garamond" w:cs="Arial"/>
          <w:sz w:val="24"/>
          <w:szCs w:val="24"/>
        </w:rPr>
        <w:t>ove estud</w:t>
      </w:r>
      <w:r w:rsidR="00A132B3" w:rsidRPr="003A1174">
        <w:rPr>
          <w:rFonts w:ascii="Garamond" w:hAnsi="Garamond" w:cs="Arial"/>
          <w:sz w:val="24"/>
          <w:szCs w:val="24"/>
        </w:rPr>
        <w:t xml:space="preserve">antes </w:t>
      </w:r>
      <w:r w:rsidR="00100435" w:rsidRPr="003A1174">
        <w:rPr>
          <w:rFonts w:ascii="Garamond" w:hAnsi="Garamond" w:cs="Arial"/>
          <w:sz w:val="24"/>
          <w:szCs w:val="24"/>
        </w:rPr>
        <w:t>e um professor d</w:t>
      </w:r>
      <w:r w:rsidR="00A132B3" w:rsidRPr="003A1174">
        <w:rPr>
          <w:rFonts w:ascii="Garamond" w:hAnsi="Garamond" w:cs="Arial"/>
          <w:sz w:val="24"/>
          <w:szCs w:val="24"/>
        </w:rPr>
        <w:t>a Universidad</w:t>
      </w:r>
      <w:r w:rsidR="00100435" w:rsidRPr="003A1174">
        <w:rPr>
          <w:rFonts w:ascii="Garamond" w:hAnsi="Garamond" w:cs="Arial"/>
          <w:sz w:val="24"/>
          <w:szCs w:val="24"/>
        </w:rPr>
        <w:t>e</w:t>
      </w:r>
      <w:r w:rsidR="00A132B3" w:rsidRPr="003A1174">
        <w:rPr>
          <w:rFonts w:ascii="Garamond" w:hAnsi="Garamond" w:cs="Arial"/>
          <w:sz w:val="24"/>
          <w:szCs w:val="24"/>
        </w:rPr>
        <w:t xml:space="preserve"> La Cantuta, </w:t>
      </w:r>
      <w:r w:rsidR="00100435" w:rsidRPr="003A1174">
        <w:rPr>
          <w:rFonts w:ascii="Garamond" w:hAnsi="Garamond" w:cs="Arial"/>
          <w:sz w:val="24"/>
          <w:szCs w:val="24"/>
        </w:rPr>
        <w:t xml:space="preserve">no </w:t>
      </w:r>
      <w:r w:rsidR="00253B1D" w:rsidRPr="003A1174">
        <w:rPr>
          <w:rFonts w:ascii="Garamond" w:hAnsi="Garamond" w:cs="Arial"/>
          <w:sz w:val="24"/>
          <w:szCs w:val="24"/>
        </w:rPr>
        <w:t>quadro</w:t>
      </w:r>
      <w:r w:rsidR="00100435" w:rsidRPr="003A1174">
        <w:rPr>
          <w:rFonts w:ascii="Garamond" w:hAnsi="Garamond" w:cs="Arial"/>
          <w:sz w:val="24"/>
          <w:szCs w:val="24"/>
        </w:rPr>
        <w:t xml:space="preserve"> de um</w:t>
      </w:r>
      <w:r w:rsidR="00A132B3" w:rsidRPr="003A1174">
        <w:rPr>
          <w:rFonts w:ascii="Garamond" w:hAnsi="Garamond" w:cs="Arial"/>
          <w:sz w:val="24"/>
          <w:szCs w:val="24"/>
        </w:rPr>
        <w:t xml:space="preserve">a </w:t>
      </w:r>
      <w:r w:rsidR="00A56F43" w:rsidRPr="003A1174">
        <w:rPr>
          <w:rFonts w:ascii="Garamond" w:hAnsi="Garamond" w:cs="Arial"/>
          <w:sz w:val="24"/>
          <w:szCs w:val="24"/>
        </w:rPr>
        <w:t>estratégia</w:t>
      </w:r>
      <w:r w:rsidR="00A132B3" w:rsidRPr="003A1174">
        <w:rPr>
          <w:rFonts w:ascii="Garamond" w:hAnsi="Garamond" w:cs="Arial"/>
          <w:sz w:val="24"/>
          <w:szCs w:val="24"/>
        </w:rPr>
        <w:t xml:space="preserve"> </w:t>
      </w:r>
      <w:r w:rsidR="00100435" w:rsidRPr="003A1174">
        <w:rPr>
          <w:rFonts w:ascii="Garamond" w:hAnsi="Garamond" w:cs="Arial"/>
          <w:sz w:val="24"/>
          <w:szCs w:val="24"/>
        </w:rPr>
        <w:t>governamental</w:t>
      </w:r>
      <w:r w:rsidR="00A132B3" w:rsidRPr="003A1174">
        <w:rPr>
          <w:rFonts w:ascii="Garamond" w:hAnsi="Garamond" w:cs="Arial"/>
          <w:sz w:val="24"/>
          <w:szCs w:val="24"/>
        </w:rPr>
        <w:t xml:space="preserve"> </w:t>
      </w:r>
      <w:r w:rsidR="008131B9" w:rsidRPr="003A1174">
        <w:rPr>
          <w:rFonts w:ascii="Garamond" w:hAnsi="Garamond" w:cs="Arial"/>
          <w:sz w:val="24"/>
          <w:szCs w:val="24"/>
        </w:rPr>
        <w:t xml:space="preserve">que </w:t>
      </w:r>
      <w:r w:rsidR="00BA3CCE" w:rsidRPr="003A1174">
        <w:rPr>
          <w:rFonts w:ascii="Garamond" w:hAnsi="Garamond" w:cs="Arial"/>
          <w:sz w:val="24"/>
          <w:szCs w:val="24"/>
        </w:rPr>
        <w:t>consistia</w:t>
      </w:r>
      <w:r w:rsidR="00A132B3" w:rsidRPr="003A1174">
        <w:rPr>
          <w:rFonts w:ascii="Garamond" w:hAnsi="Garamond" w:cs="Arial"/>
          <w:sz w:val="24"/>
          <w:szCs w:val="24"/>
        </w:rPr>
        <w:t xml:space="preserve"> e</w:t>
      </w:r>
      <w:r w:rsidR="00100435" w:rsidRPr="003A1174">
        <w:rPr>
          <w:rFonts w:ascii="Garamond" w:hAnsi="Garamond" w:cs="Arial"/>
          <w:sz w:val="24"/>
          <w:szCs w:val="24"/>
        </w:rPr>
        <w:t>m</w:t>
      </w:r>
      <w:r w:rsidR="00A132B3" w:rsidRPr="003A1174">
        <w:rPr>
          <w:rFonts w:ascii="Garamond" w:hAnsi="Garamond" w:cs="Arial"/>
          <w:sz w:val="24"/>
          <w:szCs w:val="24"/>
        </w:rPr>
        <w:t xml:space="preserve"> </w:t>
      </w:r>
      <w:r w:rsidR="00100435" w:rsidRPr="003A1174">
        <w:rPr>
          <w:rFonts w:ascii="Garamond" w:hAnsi="Garamond" w:cs="Arial"/>
          <w:sz w:val="24"/>
          <w:szCs w:val="24"/>
        </w:rPr>
        <w:t>detenções</w:t>
      </w:r>
      <w:r w:rsidR="00A132B3" w:rsidRPr="003A1174">
        <w:rPr>
          <w:rFonts w:ascii="Garamond" w:hAnsi="Garamond" w:cs="Arial"/>
          <w:sz w:val="24"/>
          <w:szCs w:val="24"/>
        </w:rPr>
        <w:t xml:space="preserve"> i</w:t>
      </w:r>
      <w:r w:rsidR="002D1021" w:rsidRPr="003A1174">
        <w:rPr>
          <w:rFonts w:ascii="Garamond" w:hAnsi="Garamond" w:cs="Arial"/>
          <w:sz w:val="24"/>
          <w:szCs w:val="24"/>
        </w:rPr>
        <w:t>legais</w:t>
      </w:r>
      <w:r w:rsidR="00100435" w:rsidRPr="003A1174">
        <w:rPr>
          <w:rFonts w:ascii="Garamond" w:hAnsi="Garamond" w:cs="Arial"/>
          <w:sz w:val="24"/>
          <w:szCs w:val="24"/>
        </w:rPr>
        <w:t xml:space="preserve"> e</w:t>
      </w:r>
      <w:r w:rsidR="00A132B3" w:rsidRPr="003A1174">
        <w:rPr>
          <w:rFonts w:ascii="Garamond" w:hAnsi="Garamond" w:cs="Arial"/>
          <w:sz w:val="24"/>
          <w:szCs w:val="24"/>
        </w:rPr>
        <w:t xml:space="preserve"> </w:t>
      </w:r>
      <w:r w:rsidR="00100435" w:rsidRPr="003A1174">
        <w:rPr>
          <w:rFonts w:ascii="Garamond" w:hAnsi="Garamond" w:cs="Arial"/>
          <w:sz w:val="24"/>
          <w:szCs w:val="24"/>
        </w:rPr>
        <w:t>arbitrária</w:t>
      </w:r>
      <w:r w:rsidR="00A132B3" w:rsidRPr="003A1174">
        <w:rPr>
          <w:rFonts w:ascii="Garamond" w:hAnsi="Garamond" w:cs="Arial"/>
          <w:sz w:val="24"/>
          <w:szCs w:val="24"/>
        </w:rPr>
        <w:t xml:space="preserve">s, torturas, </w:t>
      </w:r>
      <w:r w:rsidR="00100435" w:rsidRPr="003A1174">
        <w:rPr>
          <w:rFonts w:ascii="Garamond" w:hAnsi="Garamond" w:cs="Arial"/>
          <w:sz w:val="24"/>
          <w:szCs w:val="24"/>
        </w:rPr>
        <w:t>execuções</w:t>
      </w:r>
      <w:r w:rsidR="00A132B3" w:rsidRPr="003A1174">
        <w:rPr>
          <w:rFonts w:ascii="Garamond" w:hAnsi="Garamond" w:cs="Arial"/>
          <w:sz w:val="24"/>
          <w:szCs w:val="24"/>
        </w:rPr>
        <w:t xml:space="preserve"> extra</w:t>
      </w:r>
      <w:r w:rsidR="002D1021" w:rsidRPr="003A1174">
        <w:rPr>
          <w:rFonts w:ascii="Garamond" w:hAnsi="Garamond" w:cs="Arial"/>
          <w:sz w:val="24"/>
          <w:szCs w:val="24"/>
        </w:rPr>
        <w:t>judiciais</w:t>
      </w:r>
      <w:r w:rsidR="00100435" w:rsidRPr="003A1174">
        <w:rPr>
          <w:rFonts w:ascii="Garamond" w:hAnsi="Garamond" w:cs="Arial"/>
          <w:sz w:val="24"/>
          <w:szCs w:val="24"/>
        </w:rPr>
        <w:t xml:space="preserve"> e</w:t>
      </w:r>
      <w:r w:rsidR="00A132B3" w:rsidRPr="003A1174">
        <w:rPr>
          <w:rFonts w:ascii="Garamond" w:hAnsi="Garamond" w:cs="Arial"/>
          <w:sz w:val="24"/>
          <w:szCs w:val="24"/>
        </w:rPr>
        <w:t xml:space="preserve"> desapar</w:t>
      </w:r>
      <w:r w:rsidR="00100435" w:rsidRPr="003A1174">
        <w:rPr>
          <w:rFonts w:ascii="Garamond" w:hAnsi="Garamond" w:cs="Arial"/>
          <w:sz w:val="24"/>
          <w:szCs w:val="24"/>
        </w:rPr>
        <w:t>ecimentos forçado</w:t>
      </w:r>
      <w:r w:rsidR="00A132B3" w:rsidRPr="003A1174">
        <w:rPr>
          <w:rFonts w:ascii="Garamond" w:hAnsi="Garamond" w:cs="Arial"/>
          <w:sz w:val="24"/>
          <w:szCs w:val="24"/>
        </w:rPr>
        <w:t>s, as</w:t>
      </w:r>
      <w:r w:rsidR="00100435" w:rsidRPr="003A1174">
        <w:rPr>
          <w:rFonts w:ascii="Garamond" w:hAnsi="Garamond" w:cs="Arial"/>
          <w:sz w:val="24"/>
          <w:szCs w:val="24"/>
        </w:rPr>
        <w:t xml:space="preserve">sim </w:t>
      </w:r>
      <w:r w:rsidR="00A132B3" w:rsidRPr="003A1174">
        <w:rPr>
          <w:rFonts w:ascii="Garamond" w:hAnsi="Garamond" w:cs="Arial"/>
          <w:sz w:val="24"/>
          <w:szCs w:val="24"/>
        </w:rPr>
        <w:t xml:space="preserve">como </w:t>
      </w:r>
      <w:r w:rsidR="00100435" w:rsidRPr="003A1174">
        <w:rPr>
          <w:rFonts w:ascii="Garamond" w:hAnsi="Garamond" w:cs="Arial"/>
          <w:sz w:val="24"/>
          <w:szCs w:val="24"/>
        </w:rPr>
        <w:t xml:space="preserve">proferidas </w:t>
      </w:r>
      <w:r w:rsidR="00A132B3" w:rsidRPr="003A1174">
        <w:rPr>
          <w:rFonts w:ascii="Garamond" w:hAnsi="Garamond" w:cs="Arial"/>
          <w:sz w:val="24"/>
          <w:szCs w:val="24"/>
        </w:rPr>
        <w:t xml:space="preserve">normas de </w:t>
      </w:r>
      <w:r w:rsidR="00100435" w:rsidRPr="003A1174">
        <w:rPr>
          <w:rFonts w:ascii="Garamond" w:hAnsi="Garamond" w:cs="Arial"/>
          <w:sz w:val="24"/>
          <w:szCs w:val="24"/>
        </w:rPr>
        <w:t>amnistia</w:t>
      </w:r>
      <w:r w:rsidR="00A132B3" w:rsidRPr="003A1174">
        <w:rPr>
          <w:rFonts w:ascii="Garamond" w:hAnsi="Garamond" w:cs="Arial"/>
          <w:sz w:val="24"/>
          <w:szCs w:val="24"/>
        </w:rPr>
        <w:t xml:space="preserve"> (</w:t>
      </w:r>
      <w:r w:rsidR="00276DCA" w:rsidRPr="003A1174">
        <w:rPr>
          <w:rFonts w:ascii="Garamond" w:hAnsi="Garamond" w:cs="Arial"/>
          <w:sz w:val="24"/>
          <w:szCs w:val="24"/>
        </w:rPr>
        <w:t>impunidade</w:t>
      </w:r>
      <w:r w:rsidR="00A132B3" w:rsidRPr="003A1174">
        <w:rPr>
          <w:rFonts w:ascii="Garamond" w:hAnsi="Garamond" w:cs="Arial"/>
          <w:sz w:val="24"/>
          <w:szCs w:val="24"/>
        </w:rPr>
        <w:t xml:space="preserve">) </w:t>
      </w:r>
      <w:r w:rsidR="00100435" w:rsidRPr="003A1174">
        <w:rPr>
          <w:rFonts w:ascii="Garamond" w:hAnsi="Garamond" w:cs="Arial"/>
          <w:sz w:val="24"/>
          <w:szCs w:val="24"/>
        </w:rPr>
        <w:t>perante es</w:t>
      </w:r>
      <w:r w:rsidR="00A132B3" w:rsidRPr="003A1174">
        <w:rPr>
          <w:rFonts w:ascii="Garamond" w:hAnsi="Garamond" w:cs="Arial"/>
          <w:sz w:val="24"/>
          <w:szCs w:val="24"/>
        </w:rPr>
        <w:t xml:space="preserve">se tipo de </w:t>
      </w:r>
      <w:r w:rsidR="002F62B0" w:rsidRPr="003A1174">
        <w:rPr>
          <w:rFonts w:ascii="Garamond" w:hAnsi="Garamond" w:cs="Arial"/>
          <w:sz w:val="24"/>
          <w:szCs w:val="24"/>
        </w:rPr>
        <w:t>violações</w:t>
      </w:r>
      <w:r w:rsidR="00A132B3" w:rsidRPr="003A1174">
        <w:rPr>
          <w:rFonts w:ascii="Garamond" w:hAnsi="Garamond" w:cs="Arial"/>
          <w:sz w:val="24"/>
          <w:szCs w:val="24"/>
        </w:rPr>
        <w:t>.</w:t>
      </w:r>
      <w:r w:rsidR="00A132B3" w:rsidRPr="003A1174">
        <w:rPr>
          <w:rStyle w:val="Refdenotaalpie"/>
          <w:rFonts w:ascii="Garamond" w:hAnsi="Garamond" w:cs="Arial"/>
          <w:sz w:val="24"/>
          <w:szCs w:val="24"/>
        </w:rPr>
        <w:footnoteReference w:id="38"/>
      </w:r>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7C4866" w:rsidRPr="009F3AC2" w:rsidRDefault="00100435" w:rsidP="009F3AC2">
      <w:pPr>
        <w:autoSpaceDE w:val="0"/>
        <w:autoSpaceDN w:val="0"/>
        <w:adjustRightInd w:val="0"/>
        <w:spacing w:after="0" w:line="240" w:lineRule="auto"/>
        <w:jc w:val="both"/>
        <w:rPr>
          <w:rFonts w:ascii="Garamond" w:hAnsi="Garamond" w:cs="Arial"/>
          <w:sz w:val="24"/>
          <w:szCs w:val="24"/>
        </w:rPr>
      </w:pPr>
      <w:r w:rsidRPr="009F3AC2">
        <w:rPr>
          <w:rFonts w:ascii="Garamond" w:hAnsi="Garamond" w:cs="Arial"/>
          <w:sz w:val="24"/>
          <w:szCs w:val="24"/>
        </w:rPr>
        <w:t xml:space="preserve">É assim que mais </w:t>
      </w:r>
      <w:proofErr w:type="gramStart"/>
      <w:r w:rsidRPr="009F3AC2">
        <w:rPr>
          <w:rFonts w:ascii="Garamond" w:hAnsi="Garamond" w:cs="Arial"/>
          <w:sz w:val="24"/>
          <w:szCs w:val="24"/>
        </w:rPr>
        <w:t xml:space="preserve">um </w:t>
      </w:r>
      <w:r w:rsidR="00A132B3" w:rsidRPr="009F3AC2">
        <w:rPr>
          <w:rFonts w:ascii="Garamond" w:hAnsi="Garamond" w:cs="Arial"/>
          <w:sz w:val="24"/>
          <w:szCs w:val="24"/>
        </w:rPr>
        <w:t>vez</w:t>
      </w:r>
      <w:proofErr w:type="gramEnd"/>
      <w:r w:rsidR="00A132B3" w:rsidRPr="009F3AC2">
        <w:rPr>
          <w:rFonts w:ascii="Garamond" w:hAnsi="Garamond" w:cs="Arial"/>
          <w:sz w:val="24"/>
          <w:szCs w:val="24"/>
        </w:rPr>
        <w:t xml:space="preserve">, </w:t>
      </w:r>
      <w:r w:rsidRPr="009F3AC2">
        <w:rPr>
          <w:rFonts w:ascii="Garamond" w:hAnsi="Garamond" w:cs="Arial"/>
          <w:sz w:val="24"/>
          <w:szCs w:val="24"/>
        </w:rPr>
        <w:t xml:space="preserve">através de </w:t>
      </w:r>
      <w:r w:rsidR="00A132B3" w:rsidRPr="009F3AC2">
        <w:rPr>
          <w:rFonts w:ascii="Garamond" w:hAnsi="Garamond" w:cs="Arial"/>
          <w:sz w:val="24"/>
          <w:szCs w:val="24"/>
        </w:rPr>
        <w:t>u</w:t>
      </w:r>
      <w:r w:rsidRPr="009F3AC2">
        <w:rPr>
          <w:rFonts w:ascii="Garamond" w:hAnsi="Garamond" w:cs="Arial"/>
          <w:sz w:val="24"/>
          <w:szCs w:val="24"/>
        </w:rPr>
        <w:t>m</w:t>
      </w:r>
      <w:r w:rsidR="00A132B3" w:rsidRPr="009F3AC2">
        <w:rPr>
          <w:rFonts w:ascii="Garamond" w:hAnsi="Garamond" w:cs="Arial"/>
          <w:sz w:val="24"/>
          <w:szCs w:val="24"/>
        </w:rPr>
        <w:t xml:space="preserve"> </w:t>
      </w:r>
      <w:r w:rsidR="00A132B3" w:rsidRPr="009F3AC2">
        <w:rPr>
          <w:rFonts w:ascii="Garamond" w:hAnsi="Garamond" w:cs="Arial"/>
          <w:i/>
          <w:sz w:val="24"/>
          <w:szCs w:val="24"/>
        </w:rPr>
        <w:t>voto razonado</w:t>
      </w:r>
      <w:r w:rsidR="00A132B3" w:rsidRPr="009F3AC2">
        <w:rPr>
          <w:rFonts w:ascii="Garamond" w:hAnsi="Garamond" w:cs="Arial"/>
          <w:sz w:val="24"/>
          <w:szCs w:val="24"/>
        </w:rPr>
        <w:t xml:space="preserve"> </w:t>
      </w:r>
      <w:r w:rsidR="00EB3427">
        <w:rPr>
          <w:rFonts w:ascii="Garamond" w:hAnsi="Garamond" w:cs="Arial"/>
          <w:sz w:val="24"/>
          <w:szCs w:val="24"/>
        </w:rPr>
        <w:t>-</w:t>
      </w:r>
      <w:r w:rsidRPr="009F3AC2">
        <w:rPr>
          <w:rFonts w:ascii="Garamond" w:hAnsi="Garamond" w:cs="Arial"/>
          <w:sz w:val="24"/>
          <w:szCs w:val="24"/>
        </w:rPr>
        <w:t xml:space="preserve"> e</w:t>
      </w:r>
      <w:r w:rsidR="00A132B3" w:rsidRPr="009F3AC2">
        <w:rPr>
          <w:rFonts w:ascii="Garamond" w:hAnsi="Garamond" w:cs="Arial"/>
          <w:sz w:val="24"/>
          <w:szCs w:val="24"/>
        </w:rPr>
        <w:t xml:space="preserve"> </w:t>
      </w:r>
      <w:r w:rsidR="004B20E5" w:rsidRPr="009F3AC2">
        <w:rPr>
          <w:rFonts w:ascii="Garamond" w:hAnsi="Garamond" w:cs="Arial"/>
          <w:sz w:val="24"/>
          <w:szCs w:val="24"/>
        </w:rPr>
        <w:t xml:space="preserve">simultâneo </w:t>
      </w:r>
      <w:r w:rsidRPr="009F3AC2">
        <w:rPr>
          <w:rFonts w:ascii="Garamond" w:hAnsi="Garamond" w:cs="Arial"/>
          <w:sz w:val="24"/>
          <w:szCs w:val="24"/>
        </w:rPr>
        <w:t>no sentido condenató</w:t>
      </w:r>
      <w:r w:rsidR="00A132B3" w:rsidRPr="009F3AC2">
        <w:rPr>
          <w:rFonts w:ascii="Garamond" w:hAnsi="Garamond" w:cs="Arial"/>
          <w:sz w:val="24"/>
          <w:szCs w:val="24"/>
        </w:rPr>
        <w:t>rio d</w:t>
      </w:r>
      <w:r w:rsidRPr="009F3AC2">
        <w:rPr>
          <w:rFonts w:ascii="Garamond" w:hAnsi="Garamond" w:cs="Arial"/>
          <w:sz w:val="24"/>
          <w:szCs w:val="24"/>
        </w:rPr>
        <w:t xml:space="preserve">a sentença </w:t>
      </w:r>
      <w:r w:rsidR="00EB3427">
        <w:rPr>
          <w:rFonts w:ascii="Garamond" w:hAnsi="Garamond" w:cs="Arial"/>
          <w:sz w:val="24"/>
          <w:szCs w:val="24"/>
        </w:rPr>
        <w:t>-</w:t>
      </w:r>
      <w:r w:rsidR="00A132B3" w:rsidRPr="009F3AC2">
        <w:rPr>
          <w:rFonts w:ascii="Garamond" w:hAnsi="Garamond" w:cs="Arial"/>
          <w:sz w:val="24"/>
          <w:szCs w:val="24"/>
        </w:rPr>
        <w:t xml:space="preserve"> </w:t>
      </w:r>
      <w:r w:rsidRPr="009F3AC2">
        <w:rPr>
          <w:rFonts w:ascii="Garamond" w:hAnsi="Garamond" w:cs="Arial"/>
          <w:sz w:val="24"/>
          <w:szCs w:val="24"/>
        </w:rPr>
        <w:t xml:space="preserve">que o </w:t>
      </w:r>
      <w:r w:rsidR="00A132B3" w:rsidRPr="009F3AC2">
        <w:rPr>
          <w:rFonts w:ascii="Garamond" w:hAnsi="Garamond" w:cs="Arial"/>
          <w:sz w:val="24"/>
          <w:szCs w:val="24"/>
        </w:rPr>
        <w:t xml:space="preserve">magistrado García Ramírez, </w:t>
      </w:r>
      <w:r w:rsidR="00ED5333" w:rsidRPr="009F3AC2">
        <w:rPr>
          <w:rFonts w:ascii="Garamond" w:hAnsi="Garamond" w:cs="Arial"/>
          <w:sz w:val="24"/>
          <w:szCs w:val="24"/>
        </w:rPr>
        <w:t>ref</w:t>
      </w:r>
      <w:r w:rsidRPr="009F3AC2">
        <w:rPr>
          <w:rFonts w:ascii="Garamond" w:hAnsi="Garamond" w:cs="Arial"/>
          <w:sz w:val="24"/>
          <w:szCs w:val="24"/>
        </w:rPr>
        <w:t>erindo-se sobre tai</w:t>
      </w:r>
      <w:r w:rsidR="00A132B3" w:rsidRPr="009F3AC2">
        <w:rPr>
          <w:rFonts w:ascii="Garamond" w:hAnsi="Garamond" w:cs="Arial"/>
          <w:sz w:val="24"/>
          <w:szCs w:val="24"/>
        </w:rPr>
        <w:t xml:space="preserve">s </w:t>
      </w:r>
      <w:r w:rsidRPr="009F3AC2">
        <w:rPr>
          <w:rFonts w:ascii="Garamond" w:hAnsi="Garamond" w:cs="Arial"/>
          <w:sz w:val="24"/>
          <w:szCs w:val="24"/>
        </w:rPr>
        <w:t xml:space="preserve">leis e </w:t>
      </w:r>
      <w:r w:rsidR="00A132B3" w:rsidRPr="009F3AC2">
        <w:rPr>
          <w:rFonts w:ascii="Garamond" w:hAnsi="Garamond" w:cs="Arial"/>
          <w:sz w:val="24"/>
          <w:szCs w:val="24"/>
        </w:rPr>
        <w:t xml:space="preserve">sobre </w:t>
      </w:r>
      <w:r w:rsidRPr="009F3AC2">
        <w:rPr>
          <w:rFonts w:ascii="Garamond" w:hAnsi="Garamond" w:cs="Arial"/>
          <w:sz w:val="24"/>
          <w:szCs w:val="24"/>
        </w:rPr>
        <w:t>o alcance vincula</w:t>
      </w:r>
      <w:r w:rsidR="00935298">
        <w:rPr>
          <w:rFonts w:ascii="Garamond" w:hAnsi="Garamond" w:cs="Arial"/>
          <w:sz w:val="24"/>
          <w:szCs w:val="24"/>
        </w:rPr>
        <w:t>tivo</w:t>
      </w:r>
      <w:r w:rsidRPr="009F3AC2">
        <w:rPr>
          <w:rFonts w:ascii="Garamond" w:hAnsi="Garamond" w:cs="Arial"/>
          <w:sz w:val="24"/>
          <w:szCs w:val="24"/>
        </w:rPr>
        <w:t xml:space="preserve"> d</w:t>
      </w:r>
      <w:r w:rsidR="00A132B3" w:rsidRPr="009F3AC2">
        <w:rPr>
          <w:rFonts w:ascii="Garamond" w:hAnsi="Garamond" w:cs="Arial"/>
          <w:sz w:val="24"/>
          <w:szCs w:val="24"/>
        </w:rPr>
        <w:t xml:space="preserve">a </w:t>
      </w:r>
      <w:r w:rsidR="00682C71" w:rsidRPr="009F3AC2">
        <w:rPr>
          <w:rFonts w:ascii="Garamond" w:hAnsi="Garamond" w:cs="Arial"/>
          <w:sz w:val="24"/>
          <w:szCs w:val="24"/>
        </w:rPr>
        <w:t>jurisprudência</w:t>
      </w:r>
      <w:r w:rsidR="00A132B3" w:rsidRPr="009F3AC2">
        <w:rPr>
          <w:rFonts w:ascii="Garamond" w:hAnsi="Garamond" w:cs="Arial"/>
          <w:sz w:val="24"/>
          <w:szCs w:val="24"/>
        </w:rPr>
        <w:t xml:space="preserve"> d</w:t>
      </w:r>
      <w:r w:rsidR="00935298">
        <w:rPr>
          <w:rFonts w:ascii="Garamond" w:hAnsi="Garamond" w:cs="Arial"/>
          <w:sz w:val="24"/>
          <w:szCs w:val="24"/>
        </w:rPr>
        <w:t>o</w:t>
      </w:r>
      <w:r w:rsidR="00A132B3" w:rsidRPr="009F3AC2">
        <w:rPr>
          <w:rFonts w:ascii="Garamond" w:hAnsi="Garamond" w:cs="Arial"/>
          <w:sz w:val="24"/>
          <w:szCs w:val="24"/>
        </w:rPr>
        <w:t xml:space="preserve"> </w:t>
      </w:r>
      <w:r w:rsidR="00EB3427">
        <w:rPr>
          <w:rFonts w:ascii="Garamond" w:hAnsi="Garamond" w:cs="Arial"/>
          <w:sz w:val="24"/>
          <w:szCs w:val="24"/>
        </w:rPr>
        <w:t>t</w:t>
      </w:r>
      <w:r w:rsidR="00935298">
        <w:rPr>
          <w:rFonts w:ascii="Garamond" w:hAnsi="Garamond" w:cs="Arial"/>
          <w:sz w:val="24"/>
          <w:szCs w:val="24"/>
        </w:rPr>
        <w:t>ribunal</w:t>
      </w:r>
      <w:r w:rsidR="00A132B3" w:rsidRPr="009F3AC2">
        <w:rPr>
          <w:rFonts w:ascii="Garamond" w:hAnsi="Garamond" w:cs="Arial"/>
          <w:sz w:val="24"/>
          <w:szCs w:val="24"/>
        </w:rPr>
        <w:t xml:space="preserve">, </w:t>
      </w:r>
      <w:r w:rsidRPr="009F3AC2">
        <w:rPr>
          <w:rFonts w:ascii="Garamond" w:hAnsi="Garamond" w:cs="Arial"/>
          <w:sz w:val="24"/>
          <w:szCs w:val="24"/>
        </w:rPr>
        <w:t xml:space="preserve">afirmou que </w:t>
      </w:r>
      <w:r w:rsidR="00A132B3" w:rsidRPr="009F3AC2">
        <w:rPr>
          <w:rFonts w:ascii="Garamond" w:hAnsi="Garamond" w:cs="Arial"/>
          <w:sz w:val="24"/>
          <w:szCs w:val="24"/>
        </w:rPr>
        <w:t xml:space="preserve">a </w:t>
      </w:r>
      <w:r w:rsidR="00C30647" w:rsidRPr="009F3AC2">
        <w:rPr>
          <w:rFonts w:ascii="Garamond" w:hAnsi="Garamond" w:cs="Arial"/>
          <w:sz w:val="24"/>
          <w:szCs w:val="24"/>
        </w:rPr>
        <w:t>declaração</w:t>
      </w:r>
      <w:r w:rsidR="00A132B3" w:rsidRPr="009F3AC2">
        <w:rPr>
          <w:rFonts w:ascii="Garamond" w:hAnsi="Garamond" w:cs="Arial"/>
          <w:sz w:val="24"/>
          <w:szCs w:val="24"/>
        </w:rPr>
        <w:t xml:space="preserve"> de in</w:t>
      </w:r>
      <w:r w:rsidR="00454353" w:rsidRPr="009F3AC2">
        <w:rPr>
          <w:rFonts w:ascii="Garamond" w:hAnsi="Garamond" w:cs="Arial"/>
          <w:sz w:val="24"/>
          <w:szCs w:val="24"/>
        </w:rPr>
        <w:t>eficácia</w:t>
      </w:r>
      <w:r w:rsidR="00A132B3" w:rsidRPr="009F3AC2">
        <w:rPr>
          <w:rFonts w:ascii="Garamond" w:hAnsi="Garamond" w:cs="Arial"/>
          <w:sz w:val="24"/>
          <w:szCs w:val="24"/>
        </w:rPr>
        <w:t xml:space="preserve"> jurídica daquelas </w:t>
      </w:r>
      <w:r w:rsidR="00B14AA6" w:rsidRPr="009F3AC2">
        <w:rPr>
          <w:rFonts w:ascii="Garamond" w:hAnsi="Garamond" w:cs="Arial"/>
          <w:sz w:val="24"/>
          <w:szCs w:val="24"/>
        </w:rPr>
        <w:t>disposições</w:t>
      </w:r>
      <w:r w:rsidRPr="009F3AC2">
        <w:rPr>
          <w:rFonts w:ascii="Garamond" w:hAnsi="Garamond" w:cs="Arial"/>
          <w:sz w:val="24"/>
          <w:szCs w:val="24"/>
        </w:rPr>
        <w:t xml:space="preserve"> concordav</w:t>
      </w:r>
      <w:r w:rsidR="00A132B3" w:rsidRPr="009F3AC2">
        <w:rPr>
          <w:rFonts w:ascii="Garamond" w:hAnsi="Garamond" w:cs="Arial"/>
          <w:sz w:val="24"/>
          <w:szCs w:val="24"/>
        </w:rPr>
        <w:t>a co</w:t>
      </w:r>
      <w:r w:rsidRPr="009F3AC2">
        <w:rPr>
          <w:rFonts w:ascii="Garamond" w:hAnsi="Garamond" w:cs="Arial"/>
          <w:sz w:val="24"/>
          <w:szCs w:val="24"/>
        </w:rPr>
        <w:t xml:space="preserve">m </w:t>
      </w:r>
      <w:r w:rsidR="00A132B3" w:rsidRPr="009F3AC2">
        <w:rPr>
          <w:rFonts w:ascii="Garamond" w:hAnsi="Garamond" w:cs="Arial"/>
          <w:sz w:val="24"/>
          <w:szCs w:val="24"/>
        </w:rPr>
        <w:t xml:space="preserve">a </w:t>
      </w:r>
      <w:r w:rsidR="00FC1F7F" w:rsidRPr="009F3AC2">
        <w:rPr>
          <w:rFonts w:ascii="Garamond" w:hAnsi="Garamond" w:cs="Arial"/>
          <w:sz w:val="24"/>
          <w:szCs w:val="24"/>
        </w:rPr>
        <w:t>sentença</w:t>
      </w:r>
      <w:r w:rsidR="00A132B3" w:rsidRPr="009F3AC2">
        <w:rPr>
          <w:rFonts w:ascii="Garamond" w:hAnsi="Garamond" w:cs="Arial"/>
          <w:sz w:val="24"/>
          <w:szCs w:val="24"/>
        </w:rPr>
        <w:t xml:space="preserve"> </w:t>
      </w:r>
      <w:r w:rsidRPr="009F3AC2">
        <w:rPr>
          <w:rFonts w:ascii="Garamond" w:hAnsi="Garamond" w:cs="Arial"/>
          <w:sz w:val="24"/>
          <w:szCs w:val="24"/>
        </w:rPr>
        <w:t xml:space="preserve">no </w:t>
      </w:r>
      <w:r w:rsidR="00A132B3" w:rsidRPr="009F3AC2">
        <w:rPr>
          <w:rFonts w:ascii="Garamond" w:hAnsi="Garamond" w:cs="Arial"/>
          <w:sz w:val="24"/>
          <w:szCs w:val="24"/>
        </w:rPr>
        <w:t xml:space="preserve">Caso </w:t>
      </w:r>
      <w:r w:rsidR="003A391A" w:rsidRPr="009F3AC2">
        <w:rPr>
          <w:rFonts w:ascii="Garamond" w:hAnsi="Garamond" w:cs="Arial"/>
          <w:sz w:val="24"/>
          <w:szCs w:val="24"/>
        </w:rPr>
        <w:t>Bairro</w:t>
      </w:r>
      <w:r w:rsidR="00A132B3" w:rsidRPr="009F3AC2">
        <w:rPr>
          <w:rFonts w:ascii="Garamond" w:hAnsi="Garamond" w:cs="Arial"/>
          <w:sz w:val="24"/>
          <w:szCs w:val="24"/>
        </w:rPr>
        <w:t xml:space="preserve">s Altos </w:t>
      </w:r>
      <w:r w:rsidR="00A132B3" w:rsidRPr="009F3AC2">
        <w:rPr>
          <w:rFonts w:ascii="Garamond" w:hAnsi="Garamond" w:cs="Arial"/>
          <w:i/>
          <w:sz w:val="24"/>
          <w:szCs w:val="24"/>
        </w:rPr>
        <w:t>vs</w:t>
      </w:r>
      <w:r w:rsidR="00A132B3" w:rsidRPr="009F3AC2">
        <w:rPr>
          <w:rFonts w:ascii="Garamond" w:hAnsi="Garamond" w:cs="Arial"/>
          <w:sz w:val="24"/>
          <w:szCs w:val="24"/>
        </w:rPr>
        <w:t xml:space="preserve"> </w:t>
      </w:r>
      <w:r w:rsidR="00C30647" w:rsidRPr="009F3AC2">
        <w:rPr>
          <w:rFonts w:ascii="Garamond" w:hAnsi="Garamond" w:cs="Arial"/>
          <w:sz w:val="24"/>
          <w:szCs w:val="24"/>
        </w:rPr>
        <w:t>Peru</w:t>
      </w:r>
      <w:r w:rsidR="009A31C8" w:rsidRPr="009F3AC2">
        <w:rPr>
          <w:rFonts w:ascii="Garamond" w:hAnsi="Garamond" w:cs="Arial"/>
          <w:sz w:val="24"/>
          <w:szCs w:val="24"/>
        </w:rPr>
        <w:t>,</w:t>
      </w:r>
      <w:r w:rsidR="00A132B3" w:rsidRPr="009F3AC2">
        <w:rPr>
          <w:rStyle w:val="Refdenotaalpie"/>
          <w:rFonts w:ascii="Garamond" w:hAnsi="Garamond" w:cs="Arial"/>
          <w:sz w:val="24"/>
          <w:szCs w:val="24"/>
        </w:rPr>
        <w:footnoteReference w:id="39"/>
      </w:r>
      <w:r w:rsidRPr="009F3AC2">
        <w:rPr>
          <w:rFonts w:ascii="Garamond" w:hAnsi="Garamond" w:cs="Arial"/>
          <w:sz w:val="24"/>
          <w:szCs w:val="24"/>
        </w:rPr>
        <w:t xml:space="preserve"> cuj</w:t>
      </w:r>
      <w:r w:rsidR="00A132B3" w:rsidRPr="009F3AC2">
        <w:rPr>
          <w:rFonts w:ascii="Garamond" w:hAnsi="Garamond" w:cs="Arial"/>
          <w:sz w:val="24"/>
          <w:szCs w:val="24"/>
        </w:rPr>
        <w:t xml:space="preserve">o </w:t>
      </w:r>
      <w:r w:rsidR="00FC1F7F" w:rsidRPr="009F3AC2">
        <w:rPr>
          <w:rFonts w:ascii="Garamond" w:hAnsi="Garamond" w:cs="Arial"/>
          <w:sz w:val="24"/>
          <w:szCs w:val="24"/>
        </w:rPr>
        <w:t>conteúdo</w:t>
      </w:r>
      <w:r w:rsidR="00A132B3" w:rsidRPr="009F3AC2">
        <w:rPr>
          <w:rFonts w:ascii="Garamond" w:hAnsi="Garamond" w:cs="Arial"/>
          <w:sz w:val="24"/>
          <w:szCs w:val="24"/>
        </w:rPr>
        <w:t xml:space="preserve"> </w:t>
      </w:r>
      <w:r w:rsidR="00EB3427">
        <w:rPr>
          <w:rFonts w:ascii="Garamond" w:hAnsi="Garamond" w:cs="Arial"/>
          <w:sz w:val="24"/>
          <w:szCs w:val="24"/>
        </w:rPr>
        <w:t>-</w:t>
      </w:r>
      <w:r w:rsidRPr="009F3AC2">
        <w:rPr>
          <w:rFonts w:ascii="Garamond" w:hAnsi="Garamond" w:cs="Arial"/>
          <w:sz w:val="24"/>
          <w:szCs w:val="24"/>
        </w:rPr>
        <w:t xml:space="preserve"> </w:t>
      </w:r>
      <w:r w:rsidR="00A132B3" w:rsidRPr="009F3AC2">
        <w:rPr>
          <w:rFonts w:ascii="Garamond" w:hAnsi="Garamond" w:cs="Arial"/>
          <w:sz w:val="24"/>
          <w:szCs w:val="24"/>
        </w:rPr>
        <w:t>enfatiz</w:t>
      </w:r>
      <w:r w:rsidRPr="009F3AC2">
        <w:rPr>
          <w:rFonts w:ascii="Garamond" w:hAnsi="Garamond" w:cs="Arial"/>
          <w:sz w:val="24"/>
          <w:szCs w:val="24"/>
        </w:rPr>
        <w:t xml:space="preserve">ou </w:t>
      </w:r>
      <w:r w:rsidR="00EB3427">
        <w:rPr>
          <w:rFonts w:ascii="Garamond" w:hAnsi="Garamond" w:cs="Arial"/>
          <w:sz w:val="24"/>
          <w:szCs w:val="24"/>
        </w:rPr>
        <w:t>-</w:t>
      </w:r>
      <w:r w:rsidR="00A132B3" w:rsidRPr="009F3AC2">
        <w:rPr>
          <w:rFonts w:ascii="Garamond" w:hAnsi="Garamond" w:cs="Arial"/>
          <w:sz w:val="24"/>
          <w:szCs w:val="24"/>
        </w:rPr>
        <w:t xml:space="preserve"> n</w:t>
      </w:r>
      <w:r w:rsidRPr="009F3AC2">
        <w:rPr>
          <w:rFonts w:ascii="Garamond" w:hAnsi="Garamond" w:cs="Arial"/>
          <w:sz w:val="24"/>
          <w:szCs w:val="24"/>
        </w:rPr>
        <w:t>ã</w:t>
      </w:r>
      <w:r w:rsidR="00A132B3" w:rsidRPr="009F3AC2">
        <w:rPr>
          <w:rFonts w:ascii="Garamond" w:hAnsi="Garamond" w:cs="Arial"/>
          <w:sz w:val="24"/>
          <w:szCs w:val="24"/>
        </w:rPr>
        <w:t xml:space="preserve">o </w:t>
      </w:r>
      <w:r w:rsidR="00524936" w:rsidRPr="009F3AC2">
        <w:rPr>
          <w:rFonts w:ascii="Garamond" w:hAnsi="Garamond" w:cs="Arial"/>
          <w:sz w:val="24"/>
          <w:szCs w:val="24"/>
        </w:rPr>
        <w:t>expressa</w:t>
      </w:r>
      <w:r w:rsidR="00A132B3" w:rsidRPr="009F3AC2">
        <w:rPr>
          <w:rFonts w:ascii="Garamond" w:hAnsi="Garamond" w:cs="Arial"/>
          <w:sz w:val="24"/>
          <w:szCs w:val="24"/>
        </w:rPr>
        <w:t xml:space="preserve"> </w:t>
      </w:r>
      <w:r w:rsidR="007C4866" w:rsidRPr="009F3AC2">
        <w:rPr>
          <w:rFonts w:ascii="Garamond" w:hAnsi="Garamond" w:cs="Arial"/>
          <w:sz w:val="24"/>
          <w:szCs w:val="24"/>
        </w:rPr>
        <w:t>«</w:t>
      </w:r>
      <w:r w:rsidRPr="009F3AC2">
        <w:rPr>
          <w:rFonts w:ascii="Garamond" w:hAnsi="Garamond" w:cs="Arial"/>
          <w:sz w:val="24"/>
          <w:szCs w:val="24"/>
        </w:rPr>
        <w:t>um</w:t>
      </w:r>
      <w:r w:rsidR="00A132B3" w:rsidRPr="009F3AC2">
        <w:rPr>
          <w:rFonts w:ascii="Garamond" w:hAnsi="Garamond" w:cs="Arial"/>
          <w:sz w:val="24"/>
          <w:szCs w:val="24"/>
        </w:rPr>
        <w:t xml:space="preserve">a </w:t>
      </w:r>
      <w:r w:rsidR="00C965B4" w:rsidRPr="009F3AC2">
        <w:rPr>
          <w:rFonts w:ascii="Garamond" w:hAnsi="Garamond" w:cs="Arial"/>
          <w:sz w:val="24"/>
          <w:szCs w:val="24"/>
        </w:rPr>
        <w:t>recomendação</w:t>
      </w:r>
      <w:r w:rsidR="00A132B3" w:rsidRPr="009F3AC2">
        <w:rPr>
          <w:rFonts w:ascii="Garamond" w:hAnsi="Garamond" w:cs="Arial"/>
          <w:sz w:val="24"/>
          <w:szCs w:val="24"/>
        </w:rPr>
        <w:t xml:space="preserve">, </w:t>
      </w:r>
      <w:r w:rsidRPr="009F3AC2">
        <w:rPr>
          <w:rFonts w:ascii="Garamond" w:hAnsi="Garamond" w:cs="Arial"/>
          <w:sz w:val="24"/>
          <w:szCs w:val="24"/>
        </w:rPr>
        <w:t>mas sim um</w:t>
      </w:r>
      <w:r w:rsidR="00A132B3" w:rsidRPr="009F3AC2">
        <w:rPr>
          <w:rFonts w:ascii="Garamond" w:hAnsi="Garamond" w:cs="Arial"/>
          <w:sz w:val="24"/>
          <w:szCs w:val="24"/>
        </w:rPr>
        <w:t xml:space="preserve">a </w:t>
      </w:r>
      <w:r w:rsidR="00E150E9" w:rsidRPr="009F3AC2">
        <w:rPr>
          <w:rFonts w:ascii="Garamond" w:hAnsi="Garamond" w:cs="Arial"/>
          <w:sz w:val="24"/>
          <w:szCs w:val="24"/>
        </w:rPr>
        <w:t>determinação</w:t>
      </w:r>
      <w:r w:rsidR="007C4866" w:rsidRPr="009F3AC2">
        <w:rPr>
          <w:rFonts w:ascii="Garamond" w:hAnsi="Garamond" w:cs="Arial"/>
          <w:sz w:val="24"/>
          <w:szCs w:val="24"/>
        </w:rPr>
        <w:t>»</w:t>
      </w:r>
      <w:r w:rsidR="00A132B3" w:rsidRPr="009F3AC2">
        <w:rPr>
          <w:rFonts w:ascii="Garamond" w:hAnsi="Garamond" w:cs="Arial"/>
          <w:sz w:val="24"/>
          <w:szCs w:val="24"/>
        </w:rPr>
        <w:t xml:space="preserve"> que comp</w:t>
      </w:r>
      <w:r w:rsidR="00C90370" w:rsidRPr="009F3AC2">
        <w:rPr>
          <w:rFonts w:ascii="Garamond" w:hAnsi="Garamond" w:cs="Arial"/>
          <w:sz w:val="24"/>
          <w:szCs w:val="24"/>
        </w:rPr>
        <w:t xml:space="preserve">reende um </w:t>
      </w:r>
      <w:r w:rsidR="00CB5DB2" w:rsidRPr="009F3AC2">
        <w:rPr>
          <w:rFonts w:ascii="Garamond" w:hAnsi="Garamond" w:cs="Arial"/>
          <w:sz w:val="24"/>
          <w:szCs w:val="24"/>
        </w:rPr>
        <w:t>critério</w:t>
      </w:r>
      <w:r w:rsidR="00A132B3" w:rsidRPr="009F3AC2">
        <w:rPr>
          <w:rFonts w:ascii="Garamond" w:hAnsi="Garamond" w:cs="Arial"/>
          <w:sz w:val="24"/>
          <w:szCs w:val="24"/>
        </w:rPr>
        <w:t xml:space="preserve"> </w:t>
      </w:r>
      <w:r w:rsidR="007C4866" w:rsidRPr="009F3AC2">
        <w:rPr>
          <w:rFonts w:ascii="Garamond" w:hAnsi="Garamond" w:cs="Arial"/>
          <w:sz w:val="24"/>
          <w:szCs w:val="24"/>
        </w:rPr>
        <w:t>«</w:t>
      </w:r>
      <w:r w:rsidR="00A132B3" w:rsidRPr="009F3AC2">
        <w:rPr>
          <w:rFonts w:ascii="Garamond" w:hAnsi="Garamond" w:cs="Arial"/>
          <w:sz w:val="24"/>
          <w:szCs w:val="24"/>
        </w:rPr>
        <w:t xml:space="preserve">de alcance </w:t>
      </w:r>
      <w:r w:rsidR="00077461" w:rsidRPr="009F3AC2">
        <w:rPr>
          <w:rFonts w:ascii="Garamond" w:hAnsi="Garamond" w:cs="Arial"/>
          <w:sz w:val="24"/>
          <w:szCs w:val="24"/>
        </w:rPr>
        <w:t>geral</w:t>
      </w:r>
      <w:r w:rsidR="007C4866" w:rsidRPr="009F3AC2">
        <w:rPr>
          <w:rFonts w:ascii="Garamond" w:hAnsi="Garamond" w:cs="Arial"/>
          <w:sz w:val="24"/>
          <w:szCs w:val="24"/>
        </w:rPr>
        <w:t>»</w:t>
      </w:r>
      <w:r w:rsidR="00A132B3" w:rsidRPr="009F3AC2">
        <w:rPr>
          <w:rFonts w:ascii="Garamond" w:hAnsi="Garamond" w:cs="Arial"/>
          <w:sz w:val="24"/>
          <w:szCs w:val="24"/>
        </w:rPr>
        <w:t xml:space="preserve"> </w:t>
      </w:r>
      <w:r w:rsidR="009A31C8" w:rsidRPr="009F3AC2">
        <w:rPr>
          <w:rFonts w:ascii="Garamond" w:hAnsi="Garamond" w:cs="Arial"/>
          <w:sz w:val="24"/>
          <w:szCs w:val="24"/>
        </w:rPr>
        <w:t>porque</w:t>
      </w:r>
      <w:r w:rsidR="00A132B3" w:rsidRPr="009F3AC2">
        <w:rPr>
          <w:rFonts w:ascii="Garamond" w:hAnsi="Garamond" w:cs="Arial"/>
          <w:sz w:val="24"/>
          <w:szCs w:val="24"/>
        </w:rPr>
        <w:t>, a</w:t>
      </w:r>
      <w:r w:rsidR="00C90370" w:rsidRPr="009F3AC2">
        <w:rPr>
          <w:rFonts w:ascii="Garamond" w:hAnsi="Garamond" w:cs="Arial"/>
          <w:sz w:val="24"/>
          <w:szCs w:val="24"/>
        </w:rPr>
        <w:t xml:space="preserve">crescentou o </w:t>
      </w:r>
      <w:r w:rsidR="00253B1D" w:rsidRPr="009F3AC2">
        <w:rPr>
          <w:rFonts w:ascii="Garamond" w:hAnsi="Garamond" w:cs="Arial"/>
          <w:sz w:val="24"/>
          <w:szCs w:val="24"/>
        </w:rPr>
        <w:t>juiz</w:t>
      </w:r>
      <w:r w:rsidR="00A132B3" w:rsidRPr="009F3AC2">
        <w:rPr>
          <w:rFonts w:ascii="Garamond" w:hAnsi="Garamond" w:cs="Arial"/>
          <w:sz w:val="24"/>
          <w:szCs w:val="24"/>
        </w:rPr>
        <w:t xml:space="preserve">: </w:t>
      </w:r>
      <w:r w:rsidR="007C4866" w:rsidRPr="009F3AC2">
        <w:rPr>
          <w:rFonts w:ascii="Garamond" w:hAnsi="Garamond" w:cs="Arial"/>
          <w:sz w:val="24"/>
          <w:szCs w:val="24"/>
        </w:rPr>
        <w:t xml:space="preserve">«[não faria sentido afirmar a </w:t>
      </w:r>
      <w:r w:rsidR="00852A19" w:rsidRPr="009F3AC2">
        <w:rPr>
          <w:rFonts w:ascii="Garamond" w:hAnsi="Garamond" w:cs="Arial"/>
          <w:sz w:val="24"/>
          <w:szCs w:val="24"/>
        </w:rPr>
        <w:t>“</w:t>
      </w:r>
      <w:r w:rsidR="007C4866" w:rsidRPr="009F3AC2">
        <w:rPr>
          <w:rFonts w:ascii="Garamond" w:hAnsi="Garamond" w:cs="Arial"/>
          <w:sz w:val="24"/>
          <w:szCs w:val="24"/>
        </w:rPr>
        <w:t>anti</w:t>
      </w:r>
      <w:r w:rsidR="00EB3427">
        <w:rPr>
          <w:rFonts w:ascii="Garamond" w:hAnsi="Garamond" w:cs="Arial"/>
          <w:sz w:val="24"/>
          <w:szCs w:val="24"/>
        </w:rPr>
        <w:t>-</w:t>
      </w:r>
      <w:r w:rsidR="007C4866" w:rsidRPr="009F3AC2">
        <w:rPr>
          <w:rFonts w:ascii="Garamond" w:hAnsi="Garamond" w:cs="Arial"/>
          <w:sz w:val="24"/>
          <w:szCs w:val="24"/>
        </w:rPr>
        <w:t>Convencionalidade</w:t>
      </w:r>
      <w:r w:rsidR="00852A19" w:rsidRPr="009F3AC2">
        <w:rPr>
          <w:rFonts w:ascii="Garamond" w:hAnsi="Garamond" w:cs="Arial"/>
          <w:sz w:val="24"/>
          <w:szCs w:val="24"/>
        </w:rPr>
        <w:t>”</w:t>
      </w:r>
      <w:r w:rsidR="007C4866" w:rsidRPr="009F3AC2">
        <w:rPr>
          <w:rFonts w:ascii="Garamond" w:hAnsi="Garamond" w:cs="Arial"/>
          <w:sz w:val="24"/>
          <w:szCs w:val="24"/>
        </w:rPr>
        <w:t xml:space="preserve"> da[s] norma[s] numa hipótese particular e deixar incólume a fonte de violação para os casos que se apresentem no futuro</w:t>
      </w:r>
      <w:r w:rsidR="00852A19" w:rsidRPr="009F3AC2">
        <w:rPr>
          <w:rFonts w:ascii="Garamond" w:hAnsi="Garamond" w:cs="Arial"/>
          <w:sz w:val="24"/>
          <w:szCs w:val="24"/>
        </w:rPr>
        <w:t>»</w:t>
      </w:r>
      <w:r w:rsidR="007C4866" w:rsidRPr="009F3AC2">
        <w:rPr>
          <w:rFonts w:ascii="Garamond" w:hAnsi="Garamond" w:cs="Arial"/>
          <w:sz w:val="24"/>
          <w:szCs w:val="24"/>
        </w:rPr>
        <w:t xml:space="preserve">, o que </w:t>
      </w:r>
      <w:r w:rsidR="00852A19" w:rsidRPr="009F3AC2">
        <w:rPr>
          <w:rFonts w:ascii="Garamond" w:hAnsi="Garamond" w:cs="Arial"/>
          <w:sz w:val="24"/>
          <w:szCs w:val="24"/>
        </w:rPr>
        <w:t>«</w:t>
      </w:r>
      <w:r w:rsidR="007C4866" w:rsidRPr="009F3AC2">
        <w:rPr>
          <w:rFonts w:ascii="Garamond" w:hAnsi="Garamond" w:cs="Arial"/>
          <w:sz w:val="24"/>
          <w:szCs w:val="24"/>
        </w:rPr>
        <w:t>Longe de estabelecer uma garantia de não repetição […] estaria a abrir a porta à reiteração da violação</w:t>
      </w:r>
      <w:r w:rsidR="00852A19" w:rsidRPr="009F3AC2">
        <w:rPr>
          <w:rFonts w:ascii="Garamond" w:hAnsi="Garamond" w:cs="Arial"/>
          <w:sz w:val="24"/>
          <w:szCs w:val="24"/>
        </w:rPr>
        <w:t>»</w:t>
      </w:r>
      <w:r w:rsidR="007C4866" w:rsidRPr="009F3AC2">
        <w:rPr>
          <w:rFonts w:ascii="Garamond" w:hAnsi="Garamond" w:cs="Arial"/>
          <w:sz w:val="24"/>
          <w:szCs w:val="24"/>
        </w:rPr>
        <w:t>.</w:t>
      </w:r>
      <w:r w:rsidR="007C4866" w:rsidRPr="009F3AC2">
        <w:rPr>
          <w:rStyle w:val="Refdenotaalpie"/>
          <w:rFonts w:ascii="Garamond" w:hAnsi="Garamond" w:cs="Arial"/>
          <w:sz w:val="24"/>
          <w:szCs w:val="24"/>
        </w:rPr>
        <w:footnoteReference w:id="40"/>
      </w:r>
      <w:r w:rsidR="007C4866" w:rsidRPr="009F3AC2">
        <w:rPr>
          <w:rFonts w:ascii="Garamond" w:hAnsi="Garamond" w:cs="Arial"/>
          <w:sz w:val="24"/>
          <w:szCs w:val="24"/>
        </w:rPr>
        <w:t xml:space="preserve"> </w:t>
      </w:r>
    </w:p>
    <w:p w:rsidR="00A132B3" w:rsidRPr="009F3AC2" w:rsidRDefault="00A132B3" w:rsidP="008719D4">
      <w:pPr>
        <w:autoSpaceDE w:val="0"/>
        <w:autoSpaceDN w:val="0"/>
        <w:adjustRightInd w:val="0"/>
        <w:spacing w:after="0" w:line="240" w:lineRule="auto"/>
        <w:jc w:val="both"/>
        <w:rPr>
          <w:rFonts w:ascii="Garamond" w:hAnsi="Garamond" w:cs="Arial"/>
          <w:i/>
          <w:sz w:val="24"/>
          <w:szCs w:val="24"/>
        </w:rPr>
      </w:pPr>
    </w:p>
    <w:p w:rsidR="00A132B3" w:rsidRPr="003A1174" w:rsidRDefault="00C90370"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O </w:t>
      </w:r>
      <w:r w:rsidR="00A132B3" w:rsidRPr="003A1174">
        <w:rPr>
          <w:rFonts w:ascii="Garamond" w:hAnsi="Garamond" w:cs="Arial"/>
          <w:sz w:val="24"/>
          <w:szCs w:val="24"/>
        </w:rPr>
        <w:t>magistrado</w:t>
      </w:r>
      <w:r w:rsidRPr="003A1174">
        <w:rPr>
          <w:rFonts w:ascii="Garamond" w:hAnsi="Garamond" w:cs="Arial"/>
          <w:sz w:val="24"/>
          <w:szCs w:val="24"/>
        </w:rPr>
        <w:t xml:space="preserve"> também afirmou</w:t>
      </w:r>
      <w:r w:rsidR="00A132B3" w:rsidRPr="003A1174">
        <w:rPr>
          <w:rFonts w:ascii="Garamond" w:hAnsi="Garamond" w:cs="Arial"/>
          <w:sz w:val="24"/>
          <w:szCs w:val="24"/>
        </w:rPr>
        <w:t>:</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 </w:t>
      </w:r>
    </w:p>
    <w:p w:rsidR="00A132B3" w:rsidRPr="00852A19" w:rsidRDefault="00852A19" w:rsidP="00852A19">
      <w:pPr>
        <w:autoSpaceDE w:val="0"/>
        <w:autoSpaceDN w:val="0"/>
        <w:adjustRightInd w:val="0"/>
        <w:spacing w:after="0" w:line="240" w:lineRule="auto"/>
        <w:ind w:left="567"/>
        <w:jc w:val="both"/>
        <w:rPr>
          <w:rFonts w:ascii="Garamond" w:hAnsi="Garamond" w:cs="Arial"/>
        </w:rPr>
      </w:pPr>
      <w:r>
        <w:rPr>
          <w:rFonts w:ascii="Garamond" w:hAnsi="Garamond" w:cs="Arial"/>
        </w:rPr>
        <w:lastRenderedPageBreak/>
        <w:t>«</w:t>
      </w:r>
      <w:r w:rsidR="00C90370" w:rsidRPr="00852A19">
        <w:rPr>
          <w:rFonts w:ascii="Garamond" w:hAnsi="Garamond" w:cs="Arial"/>
        </w:rPr>
        <w:t xml:space="preserve">A </w:t>
      </w:r>
      <w:r w:rsidR="00FF6A3F" w:rsidRPr="00852A19">
        <w:rPr>
          <w:rFonts w:ascii="Garamond" w:hAnsi="Garamond" w:cs="Arial"/>
        </w:rPr>
        <w:t>Comissão</w:t>
      </w:r>
      <w:r w:rsidR="00A132B3" w:rsidRPr="00852A19">
        <w:rPr>
          <w:rFonts w:ascii="Garamond" w:hAnsi="Garamond" w:cs="Arial"/>
        </w:rPr>
        <w:t xml:space="preserve"> avan</w:t>
      </w:r>
      <w:r w:rsidR="00C90370" w:rsidRPr="00852A19">
        <w:rPr>
          <w:rFonts w:ascii="Garamond" w:hAnsi="Garamond" w:cs="Arial"/>
        </w:rPr>
        <w:t xml:space="preserve">çou, além disso, no esclarecimento de que </w:t>
      </w:r>
      <w:r w:rsidR="00A132B3" w:rsidRPr="00852A19">
        <w:rPr>
          <w:rFonts w:ascii="Garamond" w:hAnsi="Garamond" w:cs="Arial"/>
        </w:rPr>
        <w:t xml:space="preserve">os </w:t>
      </w:r>
      <w:r w:rsidR="00731B19" w:rsidRPr="00852A19">
        <w:rPr>
          <w:rFonts w:ascii="Garamond" w:hAnsi="Garamond" w:cs="Arial"/>
        </w:rPr>
        <w:t>compromisso</w:t>
      </w:r>
      <w:r w:rsidR="00A132B3" w:rsidRPr="00852A19">
        <w:rPr>
          <w:rFonts w:ascii="Garamond" w:hAnsi="Garamond" w:cs="Arial"/>
        </w:rPr>
        <w:t xml:space="preserve">s contraídos </w:t>
      </w:r>
      <w:r w:rsidR="00F83BA2" w:rsidRPr="00852A19">
        <w:rPr>
          <w:rFonts w:ascii="Garamond" w:hAnsi="Garamond" w:cs="Arial"/>
        </w:rPr>
        <w:t xml:space="preserve">com base na </w:t>
      </w:r>
      <w:r w:rsidR="00E150E9" w:rsidRPr="00852A19">
        <w:rPr>
          <w:rFonts w:ascii="Garamond" w:hAnsi="Garamond" w:cs="Arial"/>
        </w:rPr>
        <w:t>constituição</w:t>
      </w:r>
      <w:r w:rsidR="00A132B3" w:rsidRPr="00852A19">
        <w:rPr>
          <w:rFonts w:ascii="Garamond" w:hAnsi="Garamond" w:cs="Arial"/>
        </w:rPr>
        <w:t xml:space="preserve"> de u</w:t>
      </w:r>
      <w:r w:rsidR="00F83BA2" w:rsidRPr="00852A19">
        <w:rPr>
          <w:rFonts w:ascii="Garamond" w:hAnsi="Garamond" w:cs="Arial"/>
        </w:rPr>
        <w:t>m</w:t>
      </w:r>
      <w:r w:rsidR="00A132B3" w:rsidRPr="00852A19">
        <w:rPr>
          <w:rFonts w:ascii="Garamond" w:hAnsi="Garamond" w:cs="Arial"/>
        </w:rPr>
        <w:t xml:space="preserve"> Estado como </w:t>
      </w:r>
      <w:r w:rsidR="00F83BA2" w:rsidRPr="00852A19">
        <w:rPr>
          <w:rFonts w:ascii="Garamond" w:hAnsi="Garamond" w:cs="Arial"/>
        </w:rPr>
        <w:t xml:space="preserve">membro do </w:t>
      </w:r>
      <w:r w:rsidR="00144B9F" w:rsidRPr="00852A19">
        <w:rPr>
          <w:rFonts w:ascii="Garamond" w:hAnsi="Garamond" w:cs="Arial"/>
        </w:rPr>
        <w:t>Convenção</w:t>
      </w:r>
      <w:r w:rsidR="00A132B3" w:rsidRPr="00852A19">
        <w:rPr>
          <w:rFonts w:ascii="Garamond" w:hAnsi="Garamond" w:cs="Arial"/>
        </w:rPr>
        <w:t xml:space="preserve"> </w:t>
      </w:r>
      <w:r w:rsidR="009A31C8" w:rsidRPr="00852A19">
        <w:rPr>
          <w:rFonts w:ascii="Garamond" w:hAnsi="Garamond" w:cs="Arial"/>
        </w:rPr>
        <w:t>I</w:t>
      </w:r>
      <w:r w:rsidR="00A132B3" w:rsidRPr="00852A19">
        <w:rPr>
          <w:rFonts w:ascii="Garamond" w:hAnsi="Garamond" w:cs="Arial"/>
        </w:rPr>
        <w:t xml:space="preserve">nternacional sobre </w:t>
      </w:r>
      <w:r w:rsidR="00886D6A" w:rsidRPr="00852A19">
        <w:rPr>
          <w:rFonts w:ascii="Garamond" w:hAnsi="Garamond" w:cs="Arial"/>
        </w:rPr>
        <w:t>Direito</w:t>
      </w:r>
      <w:r w:rsidR="00A132B3" w:rsidRPr="00852A19">
        <w:rPr>
          <w:rFonts w:ascii="Garamond" w:hAnsi="Garamond" w:cs="Arial"/>
        </w:rPr>
        <w:t xml:space="preserve">s </w:t>
      </w:r>
      <w:r w:rsidR="009A31C8" w:rsidRPr="00852A19">
        <w:rPr>
          <w:rFonts w:ascii="Garamond" w:hAnsi="Garamond" w:cs="Arial"/>
        </w:rPr>
        <w:t>H</w:t>
      </w:r>
      <w:r w:rsidR="00A132B3" w:rsidRPr="00852A19">
        <w:rPr>
          <w:rFonts w:ascii="Garamond" w:hAnsi="Garamond" w:cs="Arial"/>
        </w:rPr>
        <w:t>umanos vincula</w:t>
      </w:r>
      <w:r w:rsidR="00F83BA2" w:rsidRPr="00852A19">
        <w:rPr>
          <w:rFonts w:ascii="Garamond" w:hAnsi="Garamond" w:cs="Arial"/>
        </w:rPr>
        <w:t xml:space="preserve">m o </w:t>
      </w:r>
      <w:r w:rsidR="00A132B3" w:rsidRPr="00852A19">
        <w:rPr>
          <w:rFonts w:ascii="Garamond" w:hAnsi="Garamond" w:cs="Arial"/>
        </w:rPr>
        <w:t xml:space="preserve">Estado </w:t>
      </w:r>
      <w:r w:rsidR="00F83BA2" w:rsidRPr="00852A19">
        <w:rPr>
          <w:rFonts w:ascii="Garamond" w:hAnsi="Garamond" w:cs="Arial"/>
        </w:rPr>
        <w:t xml:space="preserve">no seu </w:t>
      </w:r>
      <w:r w:rsidR="00A132B3" w:rsidRPr="00852A19">
        <w:rPr>
          <w:rFonts w:ascii="Garamond" w:hAnsi="Garamond" w:cs="Arial"/>
        </w:rPr>
        <w:t xml:space="preserve">conjunto. </w:t>
      </w:r>
      <w:r w:rsidR="004B20E5" w:rsidRPr="00852A19">
        <w:rPr>
          <w:rFonts w:ascii="Garamond" w:hAnsi="Garamond" w:cs="Arial"/>
        </w:rPr>
        <w:t>I</w:t>
      </w:r>
      <w:r w:rsidR="00A132B3" w:rsidRPr="00852A19">
        <w:rPr>
          <w:rFonts w:ascii="Garamond" w:hAnsi="Garamond" w:cs="Arial"/>
        </w:rPr>
        <w:t xml:space="preserve">sto </w:t>
      </w:r>
      <w:r w:rsidR="004B20E5" w:rsidRPr="00852A19">
        <w:rPr>
          <w:rFonts w:ascii="Garamond" w:hAnsi="Garamond" w:cs="Arial"/>
        </w:rPr>
        <w:t xml:space="preserve">projeta-se nos </w:t>
      </w:r>
      <w:r w:rsidR="003F012B" w:rsidRPr="00852A19">
        <w:rPr>
          <w:rFonts w:ascii="Garamond" w:hAnsi="Garamond" w:cs="Arial"/>
        </w:rPr>
        <w:t>órgão</w:t>
      </w:r>
      <w:r w:rsidR="00A132B3" w:rsidRPr="00852A19">
        <w:rPr>
          <w:rFonts w:ascii="Garamond" w:hAnsi="Garamond" w:cs="Arial"/>
        </w:rPr>
        <w:t xml:space="preserve">s </w:t>
      </w:r>
      <w:r w:rsidR="00F83BA2" w:rsidRPr="00852A19">
        <w:rPr>
          <w:rFonts w:ascii="Garamond" w:hAnsi="Garamond" w:cs="Arial"/>
        </w:rPr>
        <w:t>executivos, legislativos e</w:t>
      </w:r>
      <w:r w:rsidR="00A132B3" w:rsidRPr="00852A19">
        <w:rPr>
          <w:rFonts w:ascii="Garamond" w:hAnsi="Garamond" w:cs="Arial"/>
        </w:rPr>
        <w:t xml:space="preserve"> </w:t>
      </w:r>
      <w:r w:rsidR="00DC5DA7" w:rsidRPr="00852A19">
        <w:rPr>
          <w:rFonts w:ascii="Garamond" w:hAnsi="Garamond" w:cs="Arial"/>
        </w:rPr>
        <w:t>jurisdicionais</w:t>
      </w:r>
      <w:r w:rsidR="00A132B3" w:rsidRPr="00852A19">
        <w:rPr>
          <w:rFonts w:ascii="Garamond" w:hAnsi="Garamond" w:cs="Arial"/>
        </w:rPr>
        <w:t>, as</w:t>
      </w:r>
      <w:r w:rsidR="00F83BA2" w:rsidRPr="00852A19">
        <w:rPr>
          <w:rFonts w:ascii="Garamond" w:hAnsi="Garamond" w:cs="Arial"/>
        </w:rPr>
        <w:t xml:space="preserve">sim como </w:t>
      </w:r>
      <w:r w:rsidR="004B20E5" w:rsidRPr="00852A19">
        <w:rPr>
          <w:rFonts w:ascii="Garamond" w:hAnsi="Garamond" w:cs="Arial"/>
        </w:rPr>
        <w:t>n</w:t>
      </w:r>
      <w:r w:rsidR="00A132B3" w:rsidRPr="00852A19">
        <w:rPr>
          <w:rFonts w:ascii="Garamond" w:hAnsi="Garamond" w:cs="Arial"/>
        </w:rPr>
        <w:t xml:space="preserve">os </w:t>
      </w:r>
      <w:r w:rsidR="00F83BA2" w:rsidRPr="00852A19">
        <w:rPr>
          <w:rFonts w:ascii="Garamond" w:hAnsi="Garamond" w:cs="Arial"/>
        </w:rPr>
        <w:t>existentes</w:t>
      </w:r>
      <w:r w:rsidR="00A132B3" w:rsidRPr="00852A19">
        <w:rPr>
          <w:rFonts w:ascii="Garamond" w:hAnsi="Garamond" w:cs="Arial"/>
        </w:rPr>
        <w:t xml:space="preserve"> autónomos externos a </w:t>
      </w:r>
      <w:r w:rsidR="00120915" w:rsidRPr="00852A19">
        <w:rPr>
          <w:rFonts w:ascii="Garamond" w:hAnsi="Garamond" w:cs="Arial"/>
        </w:rPr>
        <w:t>esses</w:t>
      </w:r>
      <w:r w:rsidR="00A132B3" w:rsidRPr="00852A19">
        <w:rPr>
          <w:rFonts w:ascii="Garamond" w:hAnsi="Garamond" w:cs="Arial"/>
        </w:rPr>
        <w:t xml:space="preserve"> poderes </w:t>
      </w:r>
      <w:r w:rsidR="007342D9" w:rsidRPr="00852A19">
        <w:rPr>
          <w:rFonts w:ascii="Garamond" w:hAnsi="Garamond" w:cs="Arial"/>
        </w:rPr>
        <w:t>tradicionais</w:t>
      </w:r>
      <w:r w:rsidR="00A132B3" w:rsidRPr="00852A19">
        <w:rPr>
          <w:rFonts w:ascii="Garamond" w:hAnsi="Garamond" w:cs="Arial"/>
        </w:rPr>
        <w:t>, que f</w:t>
      </w:r>
      <w:r w:rsidR="00F83BA2" w:rsidRPr="00852A19">
        <w:rPr>
          <w:rFonts w:ascii="Garamond" w:hAnsi="Garamond" w:cs="Arial"/>
        </w:rPr>
        <w:t xml:space="preserve">azem </w:t>
      </w:r>
      <w:r w:rsidR="00A132B3" w:rsidRPr="00852A19">
        <w:rPr>
          <w:rFonts w:ascii="Garamond" w:hAnsi="Garamond" w:cs="Arial"/>
        </w:rPr>
        <w:t>parte d</w:t>
      </w:r>
      <w:r w:rsidR="00F83BA2" w:rsidRPr="00852A19">
        <w:rPr>
          <w:rFonts w:ascii="Garamond" w:hAnsi="Garamond" w:cs="Arial"/>
        </w:rPr>
        <w:t xml:space="preserve">o próprio </w:t>
      </w:r>
      <w:r w:rsidR="00A132B3" w:rsidRPr="00852A19">
        <w:rPr>
          <w:rFonts w:ascii="Garamond" w:hAnsi="Garamond" w:cs="Arial"/>
        </w:rPr>
        <w:t>Estado. Por</w:t>
      </w:r>
      <w:r w:rsidR="00F83BA2" w:rsidRPr="00852A19">
        <w:rPr>
          <w:rFonts w:ascii="Garamond" w:hAnsi="Garamond" w:cs="Arial"/>
        </w:rPr>
        <w:t xml:space="preserve">tanto, </w:t>
      </w:r>
      <w:r w:rsidR="00A132B3" w:rsidRPr="00852A19">
        <w:rPr>
          <w:rFonts w:ascii="Garamond" w:hAnsi="Garamond" w:cs="Arial"/>
        </w:rPr>
        <w:t>n</w:t>
      </w:r>
      <w:r w:rsidR="00F83BA2" w:rsidRPr="00852A19">
        <w:rPr>
          <w:rFonts w:ascii="Garamond" w:hAnsi="Garamond" w:cs="Arial"/>
        </w:rPr>
        <w:t>ã</w:t>
      </w:r>
      <w:r w:rsidR="00A132B3" w:rsidRPr="00852A19">
        <w:rPr>
          <w:rFonts w:ascii="Garamond" w:hAnsi="Garamond" w:cs="Arial"/>
        </w:rPr>
        <w:t xml:space="preserve">o </w:t>
      </w:r>
      <w:r w:rsidR="00F83BA2" w:rsidRPr="00852A19">
        <w:rPr>
          <w:rFonts w:ascii="Garamond" w:hAnsi="Garamond" w:cs="Arial"/>
        </w:rPr>
        <w:t>é admissível</w:t>
      </w:r>
      <w:r w:rsidR="00A132B3" w:rsidRPr="00852A19">
        <w:rPr>
          <w:rFonts w:ascii="Garamond" w:hAnsi="Garamond" w:cs="Arial"/>
        </w:rPr>
        <w:t xml:space="preserve"> que u</w:t>
      </w:r>
      <w:r w:rsidR="00F83BA2" w:rsidRPr="00852A19">
        <w:rPr>
          <w:rFonts w:ascii="Garamond" w:hAnsi="Garamond" w:cs="Arial"/>
        </w:rPr>
        <w:t>m</w:t>
      </w:r>
      <w:r w:rsidR="00A132B3" w:rsidRPr="00852A19">
        <w:rPr>
          <w:rFonts w:ascii="Garamond" w:hAnsi="Garamond" w:cs="Arial"/>
        </w:rPr>
        <w:t xml:space="preserve"> d</w:t>
      </w:r>
      <w:r w:rsidR="00F83BA2" w:rsidRPr="00852A19">
        <w:rPr>
          <w:rFonts w:ascii="Garamond" w:hAnsi="Garamond" w:cs="Arial"/>
        </w:rPr>
        <w:t xml:space="preserve">os referidos </w:t>
      </w:r>
      <w:r w:rsidR="003F012B" w:rsidRPr="00852A19">
        <w:rPr>
          <w:rFonts w:ascii="Garamond" w:hAnsi="Garamond" w:cs="Arial"/>
        </w:rPr>
        <w:t>órgão</w:t>
      </w:r>
      <w:r w:rsidR="00A132B3" w:rsidRPr="00852A19">
        <w:rPr>
          <w:rFonts w:ascii="Garamond" w:hAnsi="Garamond" w:cs="Arial"/>
        </w:rPr>
        <w:t>s se abs</w:t>
      </w:r>
      <w:r w:rsidR="002D1021" w:rsidRPr="00852A19">
        <w:rPr>
          <w:rFonts w:ascii="Garamond" w:hAnsi="Garamond" w:cs="Arial"/>
        </w:rPr>
        <w:t>tenha</w:t>
      </w:r>
      <w:r w:rsidR="00A132B3" w:rsidRPr="00852A19">
        <w:rPr>
          <w:rFonts w:ascii="Garamond" w:hAnsi="Garamond" w:cs="Arial"/>
        </w:rPr>
        <w:t xml:space="preserve"> de </w:t>
      </w:r>
      <w:r w:rsidR="00306B73" w:rsidRPr="00852A19">
        <w:rPr>
          <w:rFonts w:ascii="Garamond" w:hAnsi="Garamond" w:cs="Arial"/>
        </w:rPr>
        <w:t>cumprir</w:t>
      </w:r>
      <w:r w:rsidR="00A132B3" w:rsidRPr="00852A19">
        <w:rPr>
          <w:rFonts w:ascii="Garamond" w:hAnsi="Garamond" w:cs="Arial"/>
        </w:rPr>
        <w:t xml:space="preserve"> </w:t>
      </w:r>
      <w:r w:rsidR="00F83BA2" w:rsidRPr="00852A19">
        <w:rPr>
          <w:rFonts w:ascii="Garamond" w:hAnsi="Garamond" w:cs="Arial"/>
        </w:rPr>
        <w:t xml:space="preserve">o </w:t>
      </w:r>
      <w:r w:rsidR="00731B19" w:rsidRPr="00852A19">
        <w:rPr>
          <w:rFonts w:ascii="Garamond" w:hAnsi="Garamond" w:cs="Arial"/>
        </w:rPr>
        <w:t>compromisso</w:t>
      </w:r>
      <w:r w:rsidR="00A132B3" w:rsidRPr="00852A19">
        <w:rPr>
          <w:rFonts w:ascii="Garamond" w:hAnsi="Garamond" w:cs="Arial"/>
        </w:rPr>
        <w:t xml:space="preserve"> d</w:t>
      </w:r>
      <w:r w:rsidR="00F83BA2" w:rsidRPr="00852A19">
        <w:rPr>
          <w:rFonts w:ascii="Garamond" w:hAnsi="Garamond" w:cs="Arial"/>
        </w:rPr>
        <w:t>o</w:t>
      </w:r>
      <w:r w:rsidR="00A132B3" w:rsidRPr="00852A19">
        <w:rPr>
          <w:rFonts w:ascii="Garamond" w:hAnsi="Garamond" w:cs="Arial"/>
        </w:rPr>
        <w:t xml:space="preserve"> Estado e</w:t>
      </w:r>
      <w:r w:rsidR="00F83BA2" w:rsidRPr="00852A19">
        <w:rPr>
          <w:rFonts w:ascii="Garamond" w:hAnsi="Garamond" w:cs="Arial"/>
        </w:rPr>
        <w:t xml:space="preserve">m </w:t>
      </w:r>
      <w:r w:rsidR="00A132B3" w:rsidRPr="00852A19">
        <w:rPr>
          <w:rFonts w:ascii="Garamond" w:hAnsi="Garamond" w:cs="Arial"/>
        </w:rPr>
        <w:t xml:space="preserve">que </w:t>
      </w:r>
      <w:r w:rsidR="00F83BA2" w:rsidRPr="00852A19">
        <w:rPr>
          <w:rFonts w:ascii="Garamond" w:hAnsi="Garamond" w:cs="Arial"/>
        </w:rPr>
        <w:t xml:space="preserve">está </w:t>
      </w:r>
      <w:r w:rsidR="00A132B3" w:rsidRPr="00852A19">
        <w:rPr>
          <w:rFonts w:ascii="Garamond" w:hAnsi="Garamond" w:cs="Arial"/>
        </w:rPr>
        <w:t>integrado o</w:t>
      </w:r>
      <w:r w:rsidR="00F83BA2" w:rsidRPr="00852A19">
        <w:rPr>
          <w:rFonts w:ascii="Garamond" w:hAnsi="Garamond" w:cs="Arial"/>
        </w:rPr>
        <w:t xml:space="preserve">u que infrinja </w:t>
      </w:r>
      <w:r w:rsidR="00731B19" w:rsidRPr="00852A19">
        <w:rPr>
          <w:rFonts w:ascii="Garamond" w:hAnsi="Garamond" w:cs="Arial"/>
        </w:rPr>
        <w:t>diretamente</w:t>
      </w:r>
      <w:r w:rsidR="00F83BA2" w:rsidRPr="00852A19">
        <w:rPr>
          <w:rFonts w:ascii="Garamond" w:hAnsi="Garamond" w:cs="Arial"/>
        </w:rPr>
        <w:t xml:space="preserve"> sobre </w:t>
      </w:r>
      <w:r w:rsidR="00A132B3" w:rsidRPr="00852A19">
        <w:rPr>
          <w:rFonts w:ascii="Garamond" w:hAnsi="Garamond" w:cs="Arial"/>
        </w:rPr>
        <w:t>a base de que o</w:t>
      </w:r>
      <w:r w:rsidR="00F83BA2" w:rsidRPr="00852A19">
        <w:rPr>
          <w:rFonts w:ascii="Garamond" w:hAnsi="Garamond" w:cs="Arial"/>
        </w:rPr>
        <w:t>u</w:t>
      </w:r>
      <w:r w:rsidR="00A132B3" w:rsidRPr="00852A19">
        <w:rPr>
          <w:rFonts w:ascii="Garamond" w:hAnsi="Garamond" w:cs="Arial"/>
        </w:rPr>
        <w:t xml:space="preserve">tro </w:t>
      </w:r>
      <w:r w:rsidR="003F012B" w:rsidRPr="00852A19">
        <w:rPr>
          <w:rFonts w:ascii="Garamond" w:hAnsi="Garamond" w:cs="Arial"/>
        </w:rPr>
        <w:t>órgão</w:t>
      </w:r>
      <w:r w:rsidR="00A132B3" w:rsidRPr="00852A19">
        <w:rPr>
          <w:rFonts w:ascii="Garamond" w:hAnsi="Garamond" w:cs="Arial"/>
        </w:rPr>
        <w:t xml:space="preserve"> n</w:t>
      </w:r>
      <w:r w:rsidR="00F83BA2" w:rsidRPr="00852A19">
        <w:rPr>
          <w:rFonts w:ascii="Garamond" w:hAnsi="Garamond" w:cs="Arial"/>
        </w:rPr>
        <w:t>ã</w:t>
      </w:r>
      <w:r w:rsidR="00A132B3" w:rsidRPr="00852A19">
        <w:rPr>
          <w:rFonts w:ascii="Garamond" w:hAnsi="Garamond" w:cs="Arial"/>
        </w:rPr>
        <w:t xml:space="preserve">o </w:t>
      </w:r>
      <w:r w:rsidR="00F83BA2" w:rsidRPr="00852A19">
        <w:rPr>
          <w:rFonts w:ascii="Garamond" w:hAnsi="Garamond" w:cs="Arial"/>
        </w:rPr>
        <w:t xml:space="preserve">fez a </w:t>
      </w:r>
      <w:r w:rsidR="00A132B3" w:rsidRPr="00852A19">
        <w:rPr>
          <w:rFonts w:ascii="Garamond" w:hAnsi="Garamond" w:cs="Arial"/>
        </w:rPr>
        <w:t>su</w:t>
      </w:r>
      <w:r w:rsidR="00F83BA2" w:rsidRPr="00852A19">
        <w:rPr>
          <w:rFonts w:ascii="Garamond" w:hAnsi="Garamond" w:cs="Arial"/>
        </w:rPr>
        <w:t>a</w:t>
      </w:r>
      <w:r w:rsidR="00A132B3" w:rsidRPr="00852A19">
        <w:rPr>
          <w:rFonts w:ascii="Garamond" w:hAnsi="Garamond" w:cs="Arial"/>
        </w:rPr>
        <w:t xml:space="preserve"> </w:t>
      </w:r>
      <w:r w:rsidR="00B14AA6" w:rsidRPr="00852A19">
        <w:rPr>
          <w:rFonts w:ascii="Garamond" w:hAnsi="Garamond" w:cs="Arial"/>
        </w:rPr>
        <w:t>própria</w:t>
      </w:r>
      <w:r w:rsidR="00A132B3" w:rsidRPr="00852A19">
        <w:rPr>
          <w:rFonts w:ascii="Garamond" w:hAnsi="Garamond" w:cs="Arial"/>
        </w:rPr>
        <w:t xml:space="preserve"> parte </w:t>
      </w:r>
      <w:r w:rsidR="00F83BA2" w:rsidRPr="00852A19">
        <w:rPr>
          <w:rFonts w:ascii="Garamond" w:hAnsi="Garamond" w:cs="Arial"/>
        </w:rPr>
        <w:t xml:space="preserve">no </w:t>
      </w:r>
      <w:r w:rsidR="00A132B3" w:rsidRPr="00852A19">
        <w:rPr>
          <w:rFonts w:ascii="Garamond" w:hAnsi="Garamond" w:cs="Arial"/>
        </w:rPr>
        <w:t xml:space="preserve">sistema </w:t>
      </w:r>
      <w:r w:rsidR="00077461" w:rsidRPr="00852A19">
        <w:rPr>
          <w:rFonts w:ascii="Garamond" w:hAnsi="Garamond" w:cs="Arial"/>
        </w:rPr>
        <w:t>geral</w:t>
      </w:r>
      <w:r w:rsidR="00A132B3" w:rsidRPr="00852A19">
        <w:rPr>
          <w:rFonts w:ascii="Garamond" w:hAnsi="Garamond" w:cs="Arial"/>
        </w:rPr>
        <w:t xml:space="preserve"> de rece</w:t>
      </w:r>
      <w:r w:rsidR="00F83BA2" w:rsidRPr="00852A19">
        <w:rPr>
          <w:rFonts w:ascii="Garamond" w:hAnsi="Garamond" w:cs="Arial"/>
        </w:rPr>
        <w:t xml:space="preserve">ção e </w:t>
      </w:r>
      <w:r w:rsidR="00D96FD0" w:rsidRPr="00852A19">
        <w:rPr>
          <w:rFonts w:ascii="Garamond" w:hAnsi="Garamond" w:cs="Arial"/>
        </w:rPr>
        <w:t>cumprimento</w:t>
      </w:r>
      <w:r w:rsidR="00A132B3" w:rsidRPr="00852A19">
        <w:rPr>
          <w:rFonts w:ascii="Garamond" w:hAnsi="Garamond" w:cs="Arial"/>
        </w:rPr>
        <w:t xml:space="preserve"> dos </w:t>
      </w:r>
      <w:r w:rsidR="00AF192F" w:rsidRPr="00852A19">
        <w:rPr>
          <w:rFonts w:ascii="Garamond" w:hAnsi="Garamond" w:cs="Arial"/>
        </w:rPr>
        <w:t>dever</w:t>
      </w:r>
      <w:r w:rsidR="00A132B3" w:rsidRPr="00852A19">
        <w:rPr>
          <w:rFonts w:ascii="Garamond" w:hAnsi="Garamond" w:cs="Arial"/>
        </w:rPr>
        <w:t xml:space="preserve">es </w:t>
      </w:r>
      <w:r w:rsidR="00EF645F" w:rsidRPr="00852A19">
        <w:rPr>
          <w:rFonts w:ascii="Garamond" w:hAnsi="Garamond" w:cs="Arial"/>
        </w:rPr>
        <w:t>internacionais</w:t>
      </w:r>
      <w:r w:rsidR="00A132B3" w:rsidRPr="00852A19">
        <w:rPr>
          <w:rFonts w:ascii="Garamond" w:hAnsi="Garamond" w:cs="Arial"/>
        </w:rPr>
        <w:t xml:space="preserve">. Esta </w:t>
      </w:r>
      <w:r w:rsidR="004E3A1A" w:rsidRPr="00852A19">
        <w:rPr>
          <w:rFonts w:ascii="Garamond" w:hAnsi="Garamond" w:cs="Arial"/>
        </w:rPr>
        <w:t>ideia</w:t>
      </w:r>
      <w:r w:rsidR="00F83BA2" w:rsidRPr="00852A19">
        <w:rPr>
          <w:rFonts w:ascii="Garamond" w:hAnsi="Garamond" w:cs="Arial"/>
        </w:rPr>
        <w:t xml:space="preserve"> requ</w:t>
      </w:r>
      <w:r w:rsidR="00A132B3" w:rsidRPr="00852A19">
        <w:rPr>
          <w:rFonts w:ascii="Garamond" w:hAnsi="Garamond" w:cs="Arial"/>
        </w:rPr>
        <w:t>er</w:t>
      </w:r>
      <w:r w:rsidR="00F83BA2" w:rsidRPr="00852A19">
        <w:rPr>
          <w:rFonts w:ascii="Garamond" w:hAnsi="Garamond" w:cs="Arial"/>
        </w:rPr>
        <w:t xml:space="preserve"> uma m</w:t>
      </w:r>
      <w:r w:rsidR="00863197" w:rsidRPr="00852A19">
        <w:rPr>
          <w:rFonts w:ascii="Garamond" w:hAnsi="Garamond" w:cs="Arial"/>
        </w:rPr>
        <w:t>aior</w:t>
      </w:r>
      <w:r w:rsidR="00A132B3" w:rsidRPr="00852A19">
        <w:rPr>
          <w:rFonts w:ascii="Garamond" w:hAnsi="Garamond" w:cs="Arial"/>
        </w:rPr>
        <w:t xml:space="preserve"> </w:t>
      </w:r>
      <w:r w:rsidR="00F83BA2" w:rsidRPr="00852A19">
        <w:rPr>
          <w:rFonts w:ascii="Garamond" w:hAnsi="Garamond" w:cs="Arial"/>
        </w:rPr>
        <w:t>reflexão</w:t>
      </w:r>
      <w:r w:rsidR="004B20E5" w:rsidRPr="00852A19">
        <w:rPr>
          <w:rFonts w:ascii="Garamond" w:hAnsi="Garamond" w:cs="Arial"/>
        </w:rPr>
        <w:t>,</w:t>
      </w:r>
      <w:r w:rsidR="00A132B3" w:rsidRPr="00852A19">
        <w:rPr>
          <w:rFonts w:ascii="Garamond" w:hAnsi="Garamond" w:cs="Arial"/>
        </w:rPr>
        <w:t xml:space="preserve"> que explore </w:t>
      </w:r>
      <w:r w:rsidR="00F83BA2" w:rsidRPr="00852A19">
        <w:rPr>
          <w:rFonts w:ascii="Garamond" w:hAnsi="Garamond" w:cs="Arial"/>
        </w:rPr>
        <w:t xml:space="preserve">as </w:t>
      </w:r>
      <w:r w:rsidR="00A132B3" w:rsidRPr="00852A19">
        <w:rPr>
          <w:rFonts w:ascii="Garamond" w:hAnsi="Garamond" w:cs="Arial"/>
        </w:rPr>
        <w:t>su</w:t>
      </w:r>
      <w:r w:rsidR="00F83BA2" w:rsidRPr="00852A19">
        <w:rPr>
          <w:rFonts w:ascii="Garamond" w:hAnsi="Garamond" w:cs="Arial"/>
        </w:rPr>
        <w:t>a</w:t>
      </w:r>
      <w:r w:rsidR="00A132B3" w:rsidRPr="00852A19">
        <w:rPr>
          <w:rFonts w:ascii="Garamond" w:hAnsi="Garamond" w:cs="Arial"/>
        </w:rPr>
        <w:t xml:space="preserve">s facetas e </w:t>
      </w:r>
      <w:r w:rsidR="00F83BA2" w:rsidRPr="00852A19">
        <w:rPr>
          <w:rFonts w:ascii="Garamond" w:hAnsi="Garamond" w:cs="Arial"/>
        </w:rPr>
        <w:t>implicações</w:t>
      </w:r>
      <w:r w:rsidR="00A132B3" w:rsidRPr="00852A19">
        <w:rPr>
          <w:rFonts w:ascii="Garamond" w:hAnsi="Garamond" w:cs="Arial"/>
        </w:rPr>
        <w:t xml:space="preserve">, </w:t>
      </w:r>
      <w:r w:rsidR="00F83BA2" w:rsidRPr="00852A19">
        <w:rPr>
          <w:rFonts w:ascii="Garamond" w:hAnsi="Garamond" w:cs="Arial"/>
        </w:rPr>
        <w:t>e</w:t>
      </w:r>
      <w:r w:rsidR="00A132B3" w:rsidRPr="00852A19">
        <w:rPr>
          <w:rFonts w:ascii="Garamond" w:hAnsi="Garamond" w:cs="Arial"/>
        </w:rPr>
        <w:t xml:space="preserve"> </w:t>
      </w:r>
      <w:r w:rsidR="00F83BA2" w:rsidRPr="00852A19">
        <w:rPr>
          <w:rFonts w:ascii="Garamond" w:hAnsi="Garamond" w:cs="Arial"/>
        </w:rPr>
        <w:t xml:space="preserve">sugere </w:t>
      </w:r>
      <w:r w:rsidR="00A132B3" w:rsidRPr="00852A19">
        <w:rPr>
          <w:rFonts w:ascii="Garamond" w:hAnsi="Garamond" w:cs="Arial"/>
        </w:rPr>
        <w:t>desde l</w:t>
      </w:r>
      <w:r w:rsidR="00F83BA2" w:rsidRPr="00852A19">
        <w:rPr>
          <w:rFonts w:ascii="Garamond" w:hAnsi="Garamond" w:cs="Arial"/>
        </w:rPr>
        <w:t>o</w:t>
      </w:r>
      <w:r w:rsidR="00A132B3" w:rsidRPr="00852A19">
        <w:rPr>
          <w:rFonts w:ascii="Garamond" w:hAnsi="Garamond" w:cs="Arial"/>
        </w:rPr>
        <w:t xml:space="preserve">go </w:t>
      </w:r>
      <w:r w:rsidR="00F83BA2" w:rsidRPr="00852A19">
        <w:rPr>
          <w:rFonts w:ascii="Garamond" w:hAnsi="Garamond" w:cs="Arial"/>
        </w:rPr>
        <w:t>a conveniê</w:t>
      </w:r>
      <w:r w:rsidR="00A132B3" w:rsidRPr="00852A19">
        <w:rPr>
          <w:rFonts w:ascii="Garamond" w:hAnsi="Garamond" w:cs="Arial"/>
        </w:rPr>
        <w:t xml:space="preserve">ncia de </w:t>
      </w:r>
      <w:r w:rsidR="00F83BA2" w:rsidRPr="00852A19">
        <w:rPr>
          <w:rFonts w:ascii="Garamond" w:hAnsi="Garamond" w:cs="Arial"/>
        </w:rPr>
        <w:t>construir</w:t>
      </w:r>
      <w:r w:rsidR="00A132B3" w:rsidRPr="00852A19">
        <w:rPr>
          <w:rFonts w:ascii="Garamond" w:hAnsi="Garamond" w:cs="Arial"/>
        </w:rPr>
        <w:t xml:space="preserve">, </w:t>
      </w:r>
      <w:r w:rsidR="000350B1" w:rsidRPr="00852A19">
        <w:rPr>
          <w:rFonts w:ascii="Garamond" w:hAnsi="Garamond" w:cs="Arial"/>
        </w:rPr>
        <w:t>também</w:t>
      </w:r>
      <w:r w:rsidR="00F83BA2" w:rsidRPr="00852A19">
        <w:rPr>
          <w:rFonts w:ascii="Garamond" w:hAnsi="Garamond" w:cs="Arial"/>
        </w:rPr>
        <w:t xml:space="preserve"> aqui</w:t>
      </w:r>
      <w:r w:rsidR="00A132B3" w:rsidRPr="00852A19">
        <w:rPr>
          <w:rFonts w:ascii="Garamond" w:hAnsi="Garamond" w:cs="Arial"/>
        </w:rPr>
        <w:t xml:space="preserve">, </w:t>
      </w:r>
      <w:r w:rsidR="00F83BA2" w:rsidRPr="00852A19">
        <w:rPr>
          <w:rFonts w:ascii="Garamond" w:hAnsi="Garamond" w:cs="Arial"/>
        </w:rPr>
        <w:t>a “ponte” oportuna e</w:t>
      </w:r>
      <w:r w:rsidR="00A132B3" w:rsidRPr="00852A19">
        <w:rPr>
          <w:rFonts w:ascii="Garamond" w:hAnsi="Garamond" w:cs="Arial"/>
        </w:rPr>
        <w:t xml:space="preserve"> suficiente que </w:t>
      </w:r>
      <w:r w:rsidR="00F83BA2" w:rsidRPr="00852A19">
        <w:rPr>
          <w:rFonts w:ascii="Garamond" w:hAnsi="Garamond" w:cs="Arial"/>
        </w:rPr>
        <w:t xml:space="preserve">ligue a </w:t>
      </w:r>
      <w:r w:rsidR="00A132B3" w:rsidRPr="00852A19">
        <w:rPr>
          <w:rFonts w:ascii="Garamond" w:hAnsi="Garamond" w:cs="Arial"/>
        </w:rPr>
        <w:t>orde</w:t>
      </w:r>
      <w:r w:rsidR="00F83BA2" w:rsidRPr="00852A19">
        <w:rPr>
          <w:rFonts w:ascii="Garamond" w:hAnsi="Garamond" w:cs="Arial"/>
        </w:rPr>
        <w:t>m</w:t>
      </w:r>
      <w:r w:rsidR="00A132B3" w:rsidRPr="00852A19">
        <w:rPr>
          <w:rFonts w:ascii="Garamond" w:hAnsi="Garamond" w:cs="Arial"/>
        </w:rPr>
        <w:t xml:space="preserve"> internacional co</w:t>
      </w:r>
      <w:r w:rsidR="00F83BA2" w:rsidRPr="00852A19">
        <w:rPr>
          <w:rFonts w:ascii="Garamond" w:hAnsi="Garamond" w:cs="Arial"/>
        </w:rPr>
        <w:t xml:space="preserve">m a </w:t>
      </w:r>
      <w:r w:rsidR="00A132B3" w:rsidRPr="00852A19">
        <w:rPr>
          <w:rFonts w:ascii="Garamond" w:hAnsi="Garamond" w:cs="Arial"/>
        </w:rPr>
        <w:t>orde</w:t>
      </w:r>
      <w:r w:rsidR="004B20E5" w:rsidRPr="00852A19">
        <w:rPr>
          <w:rFonts w:ascii="Garamond" w:hAnsi="Garamond" w:cs="Arial"/>
        </w:rPr>
        <w:t>m interna</w:t>
      </w:r>
      <w:r w:rsidR="00F83BA2" w:rsidRPr="00852A19">
        <w:rPr>
          <w:rFonts w:ascii="Garamond" w:hAnsi="Garamond" w:cs="Arial"/>
        </w:rPr>
        <w:t xml:space="preserve"> e</w:t>
      </w:r>
      <w:r w:rsidR="00A132B3" w:rsidRPr="00852A19">
        <w:rPr>
          <w:rFonts w:ascii="Garamond" w:hAnsi="Garamond" w:cs="Arial"/>
        </w:rPr>
        <w:t xml:space="preserve"> supere</w:t>
      </w:r>
      <w:r w:rsidR="00F83BA2" w:rsidRPr="00852A19">
        <w:rPr>
          <w:rFonts w:ascii="Garamond" w:hAnsi="Garamond" w:cs="Arial"/>
        </w:rPr>
        <w:t xml:space="preserve"> as dúvidas e</w:t>
      </w:r>
      <w:r w:rsidR="00A132B3" w:rsidRPr="00852A19">
        <w:rPr>
          <w:rFonts w:ascii="Garamond" w:hAnsi="Garamond" w:cs="Arial"/>
        </w:rPr>
        <w:t xml:space="preserve"> </w:t>
      </w:r>
      <w:r w:rsidR="00F83BA2" w:rsidRPr="00852A19">
        <w:rPr>
          <w:rFonts w:ascii="Garamond" w:hAnsi="Garamond" w:cs="Arial"/>
        </w:rPr>
        <w:t>contradições</w:t>
      </w:r>
      <w:r w:rsidR="00A132B3" w:rsidRPr="00852A19">
        <w:rPr>
          <w:rFonts w:ascii="Garamond" w:hAnsi="Garamond" w:cs="Arial"/>
        </w:rPr>
        <w:t xml:space="preserve"> que p</w:t>
      </w:r>
      <w:r w:rsidR="00F83BA2" w:rsidRPr="00852A19">
        <w:rPr>
          <w:rFonts w:ascii="Garamond" w:hAnsi="Garamond" w:cs="Arial"/>
        </w:rPr>
        <w:t xml:space="preserve">ossam </w:t>
      </w:r>
      <w:r w:rsidR="00A132B3" w:rsidRPr="00852A19">
        <w:rPr>
          <w:rFonts w:ascii="Garamond" w:hAnsi="Garamond" w:cs="Arial"/>
        </w:rPr>
        <w:t xml:space="preserve">levar </w:t>
      </w:r>
      <w:r w:rsidR="00F83BA2" w:rsidRPr="00852A19">
        <w:rPr>
          <w:rFonts w:ascii="Garamond" w:hAnsi="Garamond" w:cs="Arial"/>
        </w:rPr>
        <w:t xml:space="preserve">à </w:t>
      </w:r>
      <w:r w:rsidR="00A132B3" w:rsidRPr="00852A19">
        <w:rPr>
          <w:rFonts w:ascii="Garamond" w:hAnsi="Garamond" w:cs="Arial"/>
        </w:rPr>
        <w:t>indefini</w:t>
      </w:r>
      <w:r w:rsidR="00F83BA2" w:rsidRPr="00852A19">
        <w:rPr>
          <w:rFonts w:ascii="Garamond" w:hAnsi="Garamond" w:cs="Arial"/>
        </w:rPr>
        <w:t xml:space="preserve">ção do </w:t>
      </w:r>
      <w:r w:rsidR="00A132B3" w:rsidRPr="00852A19">
        <w:rPr>
          <w:rFonts w:ascii="Garamond" w:hAnsi="Garamond" w:cs="Arial"/>
        </w:rPr>
        <w:t>tema.</w:t>
      </w:r>
      <w:r>
        <w:rPr>
          <w:rFonts w:ascii="Garamond" w:hAnsi="Garamond" w:cs="Arial"/>
        </w:rPr>
        <w:t>»</w:t>
      </w:r>
      <w:r w:rsidR="00A132B3" w:rsidRPr="00852A19">
        <w:rPr>
          <w:rStyle w:val="Refdenotaalpie"/>
          <w:rFonts w:ascii="Garamond" w:hAnsi="Garamond" w:cs="Arial"/>
        </w:rPr>
        <w:footnoteReference w:id="41"/>
      </w:r>
      <w:r w:rsidR="00A132B3" w:rsidRPr="00852A19">
        <w:rPr>
          <w:rFonts w:ascii="Garamond" w:hAnsi="Garamond" w:cs="Arial"/>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9A31C8" w:rsidP="008719D4">
      <w:pPr>
        <w:pStyle w:val="NormalWeb"/>
        <w:spacing w:before="90" w:beforeAutospacing="0" w:after="45"/>
        <w:ind w:left="75" w:right="75"/>
        <w:jc w:val="both"/>
        <w:rPr>
          <w:rFonts w:ascii="Garamond" w:hAnsi="Garamond" w:cs="Arial"/>
          <w:lang w:val="pt-PT"/>
        </w:rPr>
      </w:pPr>
      <w:r w:rsidRPr="003A1174">
        <w:rPr>
          <w:rFonts w:ascii="Garamond" w:hAnsi="Garamond" w:cs="Arial"/>
          <w:lang w:val="pt-PT"/>
        </w:rPr>
        <w:t>Ent</w:t>
      </w:r>
      <w:r w:rsidR="00F83BA2" w:rsidRPr="003A1174">
        <w:rPr>
          <w:rFonts w:ascii="Garamond" w:hAnsi="Garamond" w:cs="Arial"/>
          <w:lang w:val="pt-PT"/>
        </w:rPr>
        <w:t xml:space="preserve">ão, </w:t>
      </w:r>
      <w:r w:rsidR="00F83BA2" w:rsidRPr="003A1174">
        <w:rPr>
          <w:rFonts w:ascii="Garamond" w:hAnsi="Garamond" w:cs="Arial"/>
          <w:i/>
          <w:lang w:val="pt-PT"/>
        </w:rPr>
        <w:t xml:space="preserve">o </w:t>
      </w:r>
      <w:r w:rsidR="00A132B3" w:rsidRPr="003A1174">
        <w:rPr>
          <w:rFonts w:ascii="Garamond" w:hAnsi="Garamond" w:cs="Arial"/>
          <w:i/>
          <w:lang w:val="pt-PT"/>
        </w:rPr>
        <w:t>voto razonado</w:t>
      </w:r>
      <w:r w:rsidR="00A132B3" w:rsidRPr="003A1174">
        <w:rPr>
          <w:rFonts w:ascii="Garamond" w:hAnsi="Garamond" w:cs="Arial"/>
          <w:lang w:val="pt-PT"/>
        </w:rPr>
        <w:t xml:space="preserve"> </w:t>
      </w:r>
      <w:r w:rsidR="00F83BA2" w:rsidRPr="003A1174">
        <w:rPr>
          <w:rFonts w:ascii="Garamond" w:hAnsi="Garamond" w:cs="Arial"/>
          <w:lang w:val="pt-PT"/>
        </w:rPr>
        <w:t>avanç</w:t>
      </w:r>
      <w:r w:rsidR="00A132B3" w:rsidRPr="003A1174">
        <w:rPr>
          <w:rFonts w:ascii="Garamond" w:hAnsi="Garamond" w:cs="Arial"/>
          <w:lang w:val="pt-PT"/>
        </w:rPr>
        <w:t xml:space="preserve">a </w:t>
      </w:r>
      <w:r w:rsidR="00030F56">
        <w:rPr>
          <w:rFonts w:ascii="Garamond" w:hAnsi="Garamond" w:cs="Arial"/>
          <w:lang w:val="pt-PT"/>
        </w:rPr>
        <w:t>-</w:t>
      </w:r>
      <w:r w:rsidR="00F83BA2" w:rsidRPr="003A1174">
        <w:rPr>
          <w:rFonts w:ascii="Garamond" w:hAnsi="Garamond" w:cs="Arial"/>
          <w:lang w:val="pt-PT"/>
        </w:rPr>
        <w:t xml:space="preserve"> </w:t>
      </w:r>
      <w:r w:rsidR="00A132B3" w:rsidRPr="003A1174">
        <w:rPr>
          <w:rFonts w:ascii="Garamond" w:hAnsi="Garamond" w:cs="Arial"/>
          <w:lang w:val="pt-PT"/>
        </w:rPr>
        <w:t xml:space="preserve">como se </w:t>
      </w:r>
      <w:r w:rsidR="007342D9" w:rsidRPr="003A1174">
        <w:rPr>
          <w:rFonts w:ascii="Garamond" w:hAnsi="Garamond" w:cs="Arial"/>
          <w:lang w:val="pt-PT"/>
        </w:rPr>
        <w:t>pode</w:t>
      </w:r>
      <w:r w:rsidRPr="003A1174">
        <w:rPr>
          <w:rFonts w:ascii="Garamond" w:hAnsi="Garamond" w:cs="Arial"/>
          <w:lang w:val="pt-PT"/>
        </w:rPr>
        <w:t xml:space="preserve"> </w:t>
      </w:r>
      <w:r w:rsidR="00F83BA2" w:rsidRPr="003A1174">
        <w:rPr>
          <w:rFonts w:ascii="Garamond" w:hAnsi="Garamond" w:cs="Arial"/>
          <w:lang w:val="pt-PT"/>
        </w:rPr>
        <w:t xml:space="preserve">ver </w:t>
      </w:r>
      <w:r w:rsidR="00030F56">
        <w:rPr>
          <w:rFonts w:ascii="Garamond" w:hAnsi="Garamond" w:cs="Arial"/>
          <w:lang w:val="pt-PT"/>
        </w:rPr>
        <w:t>-</w:t>
      </w:r>
      <w:r w:rsidR="00A132B3" w:rsidRPr="003A1174">
        <w:rPr>
          <w:rFonts w:ascii="Garamond" w:hAnsi="Garamond" w:cs="Arial"/>
          <w:lang w:val="pt-PT"/>
        </w:rPr>
        <w:t xml:space="preserve"> </w:t>
      </w:r>
      <w:r w:rsidR="00F83BA2" w:rsidRPr="003A1174">
        <w:rPr>
          <w:rFonts w:ascii="Garamond" w:hAnsi="Garamond" w:cs="Arial"/>
          <w:lang w:val="pt-PT"/>
        </w:rPr>
        <w:t>n</w:t>
      </w:r>
      <w:r w:rsidR="00A132B3" w:rsidRPr="003A1174">
        <w:rPr>
          <w:rFonts w:ascii="Garamond" w:hAnsi="Garamond" w:cs="Arial"/>
          <w:lang w:val="pt-PT"/>
        </w:rPr>
        <w:t xml:space="preserve">a lógica de que </w:t>
      </w:r>
      <w:r w:rsidR="00F83BA2" w:rsidRPr="003A1174">
        <w:rPr>
          <w:rFonts w:ascii="Garamond" w:hAnsi="Garamond" w:cs="Arial"/>
          <w:lang w:val="pt-PT"/>
        </w:rPr>
        <w:t>o</w:t>
      </w:r>
      <w:r w:rsidR="00A132B3" w:rsidRPr="003A1174">
        <w:rPr>
          <w:rFonts w:ascii="Garamond" w:hAnsi="Garamond" w:cs="Arial"/>
          <w:lang w:val="pt-PT"/>
        </w:rPr>
        <w:t xml:space="preserve"> </w:t>
      </w:r>
      <w:r w:rsidR="00253B1D" w:rsidRPr="003A1174">
        <w:rPr>
          <w:rFonts w:ascii="Garamond" w:hAnsi="Garamond" w:cs="Arial"/>
          <w:lang w:val="pt-PT"/>
        </w:rPr>
        <w:t>controlo</w:t>
      </w:r>
      <w:r w:rsidR="00A132B3" w:rsidRPr="003A1174">
        <w:rPr>
          <w:rFonts w:ascii="Garamond" w:hAnsi="Garamond" w:cs="Arial"/>
          <w:lang w:val="pt-PT"/>
        </w:rPr>
        <w:t xml:space="preserve"> de </w:t>
      </w:r>
      <w:r w:rsidR="00E15BB2" w:rsidRPr="003A1174">
        <w:rPr>
          <w:rFonts w:ascii="Garamond" w:hAnsi="Garamond" w:cs="Arial"/>
          <w:lang w:val="pt-PT"/>
        </w:rPr>
        <w:t>Convencionalidade</w:t>
      </w:r>
      <w:r w:rsidR="00A132B3" w:rsidRPr="003A1174">
        <w:rPr>
          <w:rFonts w:ascii="Garamond" w:hAnsi="Garamond" w:cs="Arial"/>
          <w:lang w:val="pt-PT"/>
        </w:rPr>
        <w:t xml:space="preserve"> n</w:t>
      </w:r>
      <w:r w:rsidR="00F83BA2" w:rsidRPr="003A1174">
        <w:rPr>
          <w:rFonts w:ascii="Garamond" w:hAnsi="Garamond" w:cs="Arial"/>
          <w:lang w:val="pt-PT"/>
        </w:rPr>
        <w:t>ã</w:t>
      </w:r>
      <w:r w:rsidR="00A132B3" w:rsidRPr="003A1174">
        <w:rPr>
          <w:rFonts w:ascii="Garamond" w:hAnsi="Garamond" w:cs="Arial"/>
          <w:lang w:val="pt-PT"/>
        </w:rPr>
        <w:t>o s</w:t>
      </w:r>
      <w:r w:rsidR="00F83BA2" w:rsidRPr="003A1174">
        <w:rPr>
          <w:rFonts w:ascii="Garamond" w:hAnsi="Garamond" w:cs="Arial"/>
          <w:lang w:val="pt-PT"/>
        </w:rPr>
        <w:t>ó diz respeito</w:t>
      </w:r>
      <w:r w:rsidR="00A132B3" w:rsidRPr="003A1174">
        <w:rPr>
          <w:rFonts w:ascii="Garamond" w:hAnsi="Garamond" w:cs="Arial"/>
          <w:lang w:val="pt-PT"/>
        </w:rPr>
        <w:t xml:space="preserve"> e implica </w:t>
      </w:r>
      <w:r w:rsidR="00F83BA2" w:rsidRPr="003A1174">
        <w:rPr>
          <w:rFonts w:ascii="Garamond" w:hAnsi="Garamond" w:cs="Arial"/>
          <w:lang w:val="pt-PT"/>
        </w:rPr>
        <w:t>u</w:t>
      </w:r>
      <w:r w:rsidRPr="003A1174">
        <w:rPr>
          <w:rFonts w:ascii="Garamond" w:hAnsi="Garamond" w:cs="Arial"/>
          <w:lang w:val="pt-PT"/>
        </w:rPr>
        <w:t xml:space="preserve">nicamente </w:t>
      </w:r>
      <w:r w:rsidR="00F83BA2" w:rsidRPr="003A1174">
        <w:rPr>
          <w:rFonts w:ascii="Garamond" w:hAnsi="Garamond" w:cs="Arial"/>
          <w:lang w:val="pt-PT"/>
        </w:rPr>
        <w:t>a estrutura</w:t>
      </w:r>
      <w:r w:rsidR="00A132B3" w:rsidRPr="003A1174">
        <w:rPr>
          <w:rFonts w:ascii="Garamond" w:hAnsi="Garamond" w:cs="Arial"/>
          <w:lang w:val="pt-PT"/>
        </w:rPr>
        <w:t xml:space="preserve"> estatal re</w:t>
      </w:r>
      <w:r w:rsidR="00F83BA2" w:rsidRPr="003A1174">
        <w:rPr>
          <w:rFonts w:ascii="Garamond" w:hAnsi="Garamond" w:cs="Arial"/>
          <w:lang w:val="pt-PT"/>
        </w:rPr>
        <w:t>lacionada</w:t>
      </w:r>
      <w:r w:rsidR="00A132B3" w:rsidRPr="003A1174">
        <w:rPr>
          <w:rFonts w:ascii="Garamond" w:hAnsi="Garamond" w:cs="Arial"/>
          <w:lang w:val="pt-PT"/>
        </w:rPr>
        <w:t xml:space="preserve"> co</w:t>
      </w:r>
      <w:r w:rsidR="00F83BA2" w:rsidRPr="003A1174">
        <w:rPr>
          <w:rFonts w:ascii="Garamond" w:hAnsi="Garamond" w:cs="Arial"/>
          <w:lang w:val="pt-PT"/>
        </w:rPr>
        <w:t>m a</w:t>
      </w:r>
      <w:r w:rsidR="00A132B3" w:rsidRPr="003A1174">
        <w:rPr>
          <w:rFonts w:ascii="Garamond" w:hAnsi="Garamond" w:cs="Arial"/>
          <w:lang w:val="pt-PT"/>
        </w:rPr>
        <w:t xml:space="preserve"> </w:t>
      </w:r>
      <w:r w:rsidR="00FB09CA" w:rsidRPr="003A1174">
        <w:rPr>
          <w:rFonts w:ascii="Garamond" w:hAnsi="Garamond" w:cs="Arial"/>
          <w:lang w:val="pt-PT"/>
        </w:rPr>
        <w:t>administração</w:t>
      </w:r>
      <w:r w:rsidR="00A132B3" w:rsidRPr="003A1174">
        <w:rPr>
          <w:rFonts w:ascii="Garamond" w:hAnsi="Garamond" w:cs="Arial"/>
          <w:lang w:val="pt-PT"/>
        </w:rPr>
        <w:t xml:space="preserve"> de </w:t>
      </w:r>
      <w:r w:rsidR="00FC1F7F" w:rsidRPr="003A1174">
        <w:rPr>
          <w:rFonts w:ascii="Garamond" w:hAnsi="Garamond" w:cs="Arial"/>
          <w:lang w:val="pt-PT"/>
        </w:rPr>
        <w:t>justiça</w:t>
      </w:r>
      <w:r w:rsidR="00A132B3" w:rsidRPr="003A1174">
        <w:rPr>
          <w:rFonts w:ascii="Garamond" w:hAnsi="Garamond" w:cs="Arial"/>
          <w:lang w:val="pt-PT"/>
        </w:rPr>
        <w:t xml:space="preserve">, </w:t>
      </w:r>
      <w:r w:rsidR="00F83BA2" w:rsidRPr="003A1174">
        <w:rPr>
          <w:rFonts w:ascii="Garamond" w:hAnsi="Garamond" w:cs="Arial"/>
          <w:lang w:val="pt-PT"/>
        </w:rPr>
        <w:t xml:space="preserve">mas também o </w:t>
      </w:r>
      <w:r w:rsidR="00A132B3" w:rsidRPr="003A1174">
        <w:rPr>
          <w:rFonts w:ascii="Garamond" w:hAnsi="Garamond" w:cs="Arial"/>
          <w:lang w:val="pt-PT"/>
        </w:rPr>
        <w:t>Estado como conjunto inclui</w:t>
      </w:r>
      <w:r w:rsidR="00F83BA2" w:rsidRPr="003A1174">
        <w:rPr>
          <w:rFonts w:ascii="Garamond" w:hAnsi="Garamond" w:cs="Arial"/>
          <w:lang w:val="pt-PT"/>
        </w:rPr>
        <w:t xml:space="preserve">ndo </w:t>
      </w:r>
      <w:r w:rsidR="00A132B3" w:rsidRPr="003A1174">
        <w:rPr>
          <w:rFonts w:ascii="Garamond" w:hAnsi="Garamond" w:cs="Arial"/>
          <w:lang w:val="pt-PT"/>
        </w:rPr>
        <w:t xml:space="preserve">os </w:t>
      </w:r>
      <w:r w:rsidR="00F83BA2" w:rsidRPr="003A1174">
        <w:rPr>
          <w:rFonts w:ascii="Garamond" w:hAnsi="Garamond" w:cs="Arial"/>
          <w:lang w:val="pt-PT"/>
        </w:rPr>
        <w:t xml:space="preserve">diferentes </w:t>
      </w:r>
      <w:r w:rsidR="003F012B" w:rsidRPr="003A1174">
        <w:rPr>
          <w:rFonts w:ascii="Garamond" w:hAnsi="Garamond" w:cs="Arial"/>
          <w:lang w:val="pt-PT"/>
        </w:rPr>
        <w:t>órgão</w:t>
      </w:r>
      <w:r w:rsidR="00A132B3" w:rsidRPr="003A1174">
        <w:rPr>
          <w:rFonts w:ascii="Garamond" w:hAnsi="Garamond" w:cs="Arial"/>
          <w:lang w:val="pt-PT"/>
        </w:rPr>
        <w:t xml:space="preserve">s públicos </w:t>
      </w:r>
      <w:r w:rsidR="004B20E5" w:rsidRPr="003A1174">
        <w:rPr>
          <w:rFonts w:ascii="Garamond" w:hAnsi="Garamond" w:cs="Arial"/>
          <w:lang w:val="pt-PT"/>
        </w:rPr>
        <w:t xml:space="preserve">como </w:t>
      </w:r>
      <w:r w:rsidR="00A132B3" w:rsidRPr="003A1174">
        <w:rPr>
          <w:rFonts w:ascii="Garamond" w:hAnsi="Garamond" w:cs="Arial"/>
          <w:lang w:val="pt-PT"/>
        </w:rPr>
        <w:t xml:space="preserve">os </w:t>
      </w:r>
      <w:r w:rsidRPr="003A1174">
        <w:rPr>
          <w:rFonts w:ascii="Garamond" w:hAnsi="Garamond" w:cs="Arial"/>
          <w:lang w:val="pt-PT"/>
        </w:rPr>
        <w:t>p</w:t>
      </w:r>
      <w:r w:rsidR="00A132B3" w:rsidRPr="003A1174">
        <w:rPr>
          <w:rFonts w:ascii="Garamond" w:hAnsi="Garamond" w:cs="Arial"/>
          <w:lang w:val="pt-PT"/>
        </w:rPr>
        <w:t xml:space="preserve">oderes </w:t>
      </w:r>
      <w:r w:rsidR="00F83BA2" w:rsidRPr="003A1174">
        <w:rPr>
          <w:rFonts w:ascii="Garamond" w:hAnsi="Garamond" w:cs="Arial"/>
          <w:lang w:val="pt-PT"/>
        </w:rPr>
        <w:t>Judicial, Legislativo e</w:t>
      </w:r>
      <w:r w:rsidR="00A132B3" w:rsidRPr="003A1174">
        <w:rPr>
          <w:rFonts w:ascii="Garamond" w:hAnsi="Garamond" w:cs="Arial"/>
          <w:lang w:val="pt-PT"/>
        </w:rPr>
        <w:t xml:space="preserve"> </w:t>
      </w:r>
      <w:r w:rsidR="00F83BA2" w:rsidRPr="003A1174">
        <w:rPr>
          <w:rFonts w:ascii="Garamond" w:hAnsi="Garamond" w:cs="Arial"/>
          <w:lang w:val="pt-PT"/>
        </w:rPr>
        <w:t>Executivo</w:t>
      </w:r>
      <w:r w:rsidR="00A132B3" w:rsidRPr="003A1174">
        <w:rPr>
          <w:rFonts w:ascii="Garamond" w:hAnsi="Garamond" w:cs="Arial"/>
          <w:lang w:val="pt-PT"/>
        </w:rPr>
        <w:t xml:space="preserve">. </w:t>
      </w:r>
      <w:r w:rsidR="004B20E5" w:rsidRPr="003A1174">
        <w:rPr>
          <w:rFonts w:ascii="Garamond" w:hAnsi="Garamond" w:cs="Arial"/>
          <w:lang w:val="pt-PT"/>
        </w:rPr>
        <w:t xml:space="preserve">Mesmo assim, o </w:t>
      </w:r>
      <w:r w:rsidR="00A132B3" w:rsidRPr="003A1174">
        <w:rPr>
          <w:rFonts w:ascii="Garamond" w:hAnsi="Garamond" w:cs="Arial"/>
          <w:lang w:val="pt-PT"/>
        </w:rPr>
        <w:t xml:space="preserve">voto </w:t>
      </w:r>
      <w:r w:rsidR="004B20E5" w:rsidRPr="003A1174">
        <w:rPr>
          <w:rFonts w:ascii="Garamond" w:hAnsi="Garamond" w:cs="Arial"/>
          <w:lang w:val="pt-PT"/>
        </w:rPr>
        <w:t xml:space="preserve">propõe que se </w:t>
      </w:r>
      <w:r w:rsidR="00A132B3" w:rsidRPr="003A1174">
        <w:rPr>
          <w:rFonts w:ascii="Garamond" w:hAnsi="Garamond" w:cs="Arial"/>
          <w:lang w:val="pt-PT"/>
        </w:rPr>
        <w:t>pros</w:t>
      </w:r>
      <w:r w:rsidR="004B20E5" w:rsidRPr="003A1174">
        <w:rPr>
          <w:rFonts w:ascii="Garamond" w:hAnsi="Garamond" w:cs="Arial"/>
          <w:lang w:val="pt-PT"/>
        </w:rPr>
        <w:t xml:space="preserve">siga com </w:t>
      </w:r>
      <w:r w:rsidR="00A132B3" w:rsidRPr="003A1174">
        <w:rPr>
          <w:rFonts w:ascii="Garamond" w:hAnsi="Garamond" w:cs="Arial"/>
          <w:lang w:val="pt-PT"/>
        </w:rPr>
        <w:t xml:space="preserve">a </w:t>
      </w:r>
      <w:r w:rsidR="00F83BA2" w:rsidRPr="003A1174">
        <w:rPr>
          <w:rFonts w:ascii="Garamond" w:hAnsi="Garamond" w:cs="Arial"/>
          <w:lang w:val="pt-PT"/>
        </w:rPr>
        <w:t>reflexão</w:t>
      </w:r>
      <w:r w:rsidR="00A132B3" w:rsidRPr="003A1174">
        <w:rPr>
          <w:rFonts w:ascii="Garamond" w:hAnsi="Garamond" w:cs="Arial"/>
          <w:lang w:val="pt-PT"/>
        </w:rPr>
        <w:t xml:space="preserve"> a</w:t>
      </w:r>
      <w:r w:rsidR="004B20E5" w:rsidRPr="003A1174">
        <w:rPr>
          <w:rFonts w:ascii="Garamond" w:hAnsi="Garamond" w:cs="Arial"/>
          <w:lang w:val="pt-PT"/>
        </w:rPr>
        <w:t xml:space="preserve"> esse </w:t>
      </w:r>
      <w:r w:rsidR="006F4B2C" w:rsidRPr="003A1174">
        <w:rPr>
          <w:rFonts w:ascii="Garamond" w:hAnsi="Garamond" w:cs="Arial"/>
          <w:lang w:val="pt-PT"/>
        </w:rPr>
        <w:t>respeito</w:t>
      </w:r>
      <w:r w:rsidR="00A132B3" w:rsidRPr="003A1174">
        <w:rPr>
          <w:rFonts w:ascii="Garamond" w:hAnsi="Garamond" w:cs="Arial"/>
          <w:lang w:val="pt-PT"/>
        </w:rPr>
        <w:t xml:space="preserve">. </w:t>
      </w:r>
    </w:p>
    <w:p w:rsidR="00A132B3" w:rsidRPr="003A1174" w:rsidRDefault="00E31A9D" w:rsidP="008719D4">
      <w:pPr>
        <w:pStyle w:val="Ttulo3"/>
        <w:numPr>
          <w:ilvl w:val="0"/>
          <w:numId w:val="15"/>
        </w:numPr>
        <w:spacing w:line="240" w:lineRule="auto"/>
        <w:jc w:val="both"/>
        <w:rPr>
          <w:rFonts w:ascii="Garamond" w:hAnsi="Garamond" w:cs="Arial"/>
          <w:sz w:val="24"/>
          <w:szCs w:val="24"/>
        </w:rPr>
      </w:pPr>
      <w:bookmarkStart w:id="15" w:name="_Toc421529703"/>
      <w:r w:rsidRPr="003A1174">
        <w:rPr>
          <w:rFonts w:ascii="Garamond" w:hAnsi="Garamond" w:cs="Arial"/>
          <w:sz w:val="24"/>
          <w:szCs w:val="24"/>
        </w:rPr>
        <w:t>Um</w:t>
      </w:r>
      <w:r w:rsidR="00A132B3" w:rsidRPr="003A1174">
        <w:rPr>
          <w:rFonts w:ascii="Garamond" w:hAnsi="Garamond" w:cs="Arial"/>
          <w:sz w:val="24"/>
          <w:szCs w:val="24"/>
        </w:rPr>
        <w:t xml:space="preserve">a postura corporativa relevante: a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unânime</w:t>
      </w:r>
      <w:r w:rsidR="00A132B3" w:rsidRPr="003A1174">
        <w:rPr>
          <w:rFonts w:ascii="Garamond" w:hAnsi="Garamond" w:cs="Arial"/>
          <w:sz w:val="24"/>
          <w:szCs w:val="24"/>
        </w:rPr>
        <w:t xml:space="preserve"> da </w:t>
      </w:r>
      <w:r w:rsidR="00FF6A3F" w:rsidRPr="003A1174">
        <w:rPr>
          <w:rFonts w:ascii="Garamond" w:hAnsi="Garamond" w:cs="Arial"/>
          <w:sz w:val="24"/>
          <w:szCs w:val="24"/>
        </w:rPr>
        <w:t>Comissão</w:t>
      </w:r>
      <w:r w:rsidR="00A132B3" w:rsidRPr="003A1174">
        <w:rPr>
          <w:rFonts w:ascii="Garamond" w:hAnsi="Garamond" w:cs="Arial"/>
          <w:sz w:val="24"/>
          <w:szCs w:val="24"/>
        </w:rPr>
        <w:t xml:space="preserve"> </w:t>
      </w:r>
      <w:r w:rsidRPr="003A1174">
        <w:rPr>
          <w:rFonts w:ascii="Garamond" w:hAnsi="Garamond" w:cs="Arial"/>
          <w:sz w:val="24"/>
          <w:szCs w:val="24"/>
        </w:rPr>
        <w:t xml:space="preserve">no </w:t>
      </w:r>
      <w:r w:rsidR="00A132B3" w:rsidRPr="003A1174">
        <w:rPr>
          <w:rFonts w:ascii="Garamond" w:hAnsi="Garamond" w:cs="Arial"/>
          <w:sz w:val="24"/>
          <w:szCs w:val="24"/>
        </w:rPr>
        <w:t>caso dos</w:t>
      </w:r>
      <w:r w:rsidRPr="003A1174">
        <w:rPr>
          <w:rFonts w:ascii="Garamond" w:hAnsi="Garamond" w:cs="Arial"/>
          <w:sz w:val="24"/>
          <w:szCs w:val="24"/>
        </w:rPr>
        <w:t xml:space="preserve"> ecologistas mexicanos Cabrera e</w:t>
      </w:r>
      <w:r w:rsidR="00A132B3" w:rsidRPr="003A1174">
        <w:rPr>
          <w:rFonts w:ascii="Garamond" w:hAnsi="Garamond" w:cs="Arial"/>
          <w:sz w:val="24"/>
          <w:szCs w:val="24"/>
        </w:rPr>
        <w:t xml:space="preserve"> Montiel</w:t>
      </w:r>
      <w:r w:rsidR="005D3C57" w:rsidRPr="003A1174">
        <w:rPr>
          <w:rFonts w:ascii="Garamond" w:hAnsi="Garamond" w:cs="Arial"/>
          <w:sz w:val="24"/>
          <w:szCs w:val="24"/>
        </w:rPr>
        <w:t>,</w:t>
      </w:r>
      <w:r w:rsidR="00A132B3" w:rsidRPr="003A1174">
        <w:rPr>
          <w:rStyle w:val="Refdenotaalpie"/>
          <w:rFonts w:ascii="Garamond" w:hAnsi="Garamond" w:cs="Arial"/>
          <w:sz w:val="24"/>
          <w:szCs w:val="24"/>
        </w:rPr>
        <w:footnoteReference w:id="42"/>
      </w:r>
      <w:r w:rsidRPr="003A1174">
        <w:rPr>
          <w:rFonts w:ascii="Garamond" w:hAnsi="Garamond" w:cs="Arial"/>
          <w:sz w:val="24"/>
          <w:szCs w:val="24"/>
        </w:rPr>
        <w:t xml:space="preserve"> como via para </w:t>
      </w:r>
      <w:r w:rsidR="00A132B3" w:rsidRPr="003A1174">
        <w:rPr>
          <w:rFonts w:ascii="Garamond" w:hAnsi="Garamond" w:cs="Arial"/>
          <w:sz w:val="24"/>
          <w:szCs w:val="24"/>
        </w:rPr>
        <w:t xml:space="preserve">a </w:t>
      </w:r>
      <w:r w:rsidR="00800D59" w:rsidRPr="003A1174">
        <w:rPr>
          <w:rFonts w:ascii="Garamond" w:hAnsi="Garamond" w:cs="Arial"/>
          <w:sz w:val="24"/>
          <w:szCs w:val="24"/>
        </w:rPr>
        <w:t>sistematização</w:t>
      </w:r>
      <w:r w:rsidRPr="003A1174">
        <w:rPr>
          <w:rFonts w:ascii="Garamond" w:hAnsi="Garamond" w:cs="Arial"/>
          <w:sz w:val="24"/>
          <w:szCs w:val="24"/>
        </w:rPr>
        <w:t xml:space="preserve"> d</w:t>
      </w:r>
      <w:r w:rsidR="00A132B3" w:rsidRPr="003A1174">
        <w:rPr>
          <w:rFonts w:ascii="Garamond" w:hAnsi="Garamond" w:cs="Arial"/>
          <w:sz w:val="24"/>
          <w:szCs w:val="24"/>
        </w:rPr>
        <w:t xml:space="preserve">os </w:t>
      </w:r>
      <w:r w:rsidR="00FC1F7F" w:rsidRPr="003A1174">
        <w:rPr>
          <w:rFonts w:ascii="Garamond" w:hAnsi="Garamond" w:cs="Arial"/>
          <w:sz w:val="24"/>
          <w:szCs w:val="24"/>
        </w:rPr>
        <w:t>avanços</w:t>
      </w:r>
      <w:r w:rsidR="00A132B3" w:rsidRPr="003A1174">
        <w:rPr>
          <w:rFonts w:ascii="Garamond" w:hAnsi="Garamond" w:cs="Arial"/>
          <w:sz w:val="24"/>
          <w:szCs w:val="24"/>
        </w:rPr>
        <w:t xml:space="preserve"> </w:t>
      </w:r>
      <w:proofErr w:type="gramStart"/>
      <w:r w:rsidRPr="003A1174">
        <w:rPr>
          <w:rFonts w:ascii="Garamond" w:hAnsi="Garamond" w:cs="Arial"/>
          <w:sz w:val="24"/>
          <w:szCs w:val="24"/>
        </w:rPr>
        <w:t>efetuado</w:t>
      </w:r>
      <w:r w:rsidR="00A132B3" w:rsidRPr="003A1174">
        <w:rPr>
          <w:rFonts w:ascii="Garamond" w:hAnsi="Garamond" w:cs="Arial"/>
          <w:sz w:val="24"/>
          <w:szCs w:val="24"/>
        </w:rPr>
        <w:t>s</w:t>
      </w:r>
      <w:bookmarkEnd w:id="15"/>
      <w:proofErr w:type="gramEnd"/>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E31A9D"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Posteriormente ao C</w:t>
      </w:r>
      <w:r w:rsidR="00A132B3" w:rsidRPr="003A1174">
        <w:rPr>
          <w:rFonts w:ascii="Garamond" w:hAnsi="Garamond" w:cs="Arial"/>
          <w:i/>
          <w:sz w:val="24"/>
          <w:szCs w:val="24"/>
        </w:rPr>
        <w:t xml:space="preserve">aso La Cantuta </w:t>
      </w:r>
      <w:r w:rsidR="00A132B3" w:rsidRPr="003A1174">
        <w:rPr>
          <w:rFonts w:ascii="Garamond" w:hAnsi="Garamond" w:cs="Arial"/>
          <w:sz w:val="24"/>
          <w:szCs w:val="24"/>
        </w:rPr>
        <w:t>vs</w:t>
      </w:r>
      <w:r w:rsidR="00A132B3" w:rsidRPr="003A1174">
        <w:rPr>
          <w:rFonts w:ascii="Garamond" w:hAnsi="Garamond" w:cs="Arial"/>
          <w:i/>
          <w:sz w:val="24"/>
          <w:szCs w:val="24"/>
        </w:rPr>
        <w:t xml:space="preserve"> </w:t>
      </w:r>
      <w:r w:rsidR="00C30647" w:rsidRPr="003A1174">
        <w:rPr>
          <w:rFonts w:ascii="Garamond" w:hAnsi="Garamond" w:cs="Arial"/>
          <w:i/>
          <w:sz w:val="24"/>
          <w:szCs w:val="24"/>
        </w:rPr>
        <w:t>Peru</w:t>
      </w:r>
      <w:r w:rsidRPr="003A1174">
        <w:rPr>
          <w:rFonts w:ascii="Garamond" w:hAnsi="Garamond" w:cs="Arial"/>
          <w:sz w:val="24"/>
          <w:szCs w:val="24"/>
        </w:rPr>
        <w:t>, diversa</w:t>
      </w:r>
      <w:r w:rsidR="00A132B3" w:rsidRPr="003A1174">
        <w:rPr>
          <w:rFonts w:ascii="Garamond" w:hAnsi="Garamond" w:cs="Arial"/>
          <w:sz w:val="24"/>
          <w:szCs w:val="24"/>
        </w:rPr>
        <w:t>s o</w:t>
      </w:r>
      <w:r w:rsidRPr="003A1174">
        <w:rPr>
          <w:rFonts w:ascii="Garamond" w:hAnsi="Garamond" w:cs="Arial"/>
          <w:sz w:val="24"/>
          <w:szCs w:val="24"/>
        </w:rPr>
        <w:t>utra</w:t>
      </w:r>
      <w:r w:rsidR="00A132B3" w:rsidRPr="003A1174">
        <w:rPr>
          <w:rFonts w:ascii="Garamond" w:hAnsi="Garamond" w:cs="Arial"/>
          <w:sz w:val="24"/>
          <w:szCs w:val="24"/>
        </w:rPr>
        <w:t xml:space="preserve">s </w:t>
      </w:r>
      <w:r w:rsidRPr="003A1174">
        <w:rPr>
          <w:rFonts w:ascii="Garamond" w:hAnsi="Garamond" w:cs="Arial"/>
          <w:sz w:val="24"/>
          <w:szCs w:val="24"/>
        </w:rPr>
        <w:t>sentenças foram emitida</w:t>
      </w:r>
      <w:r w:rsidR="00A132B3" w:rsidRPr="003A1174">
        <w:rPr>
          <w:rFonts w:ascii="Garamond" w:hAnsi="Garamond" w:cs="Arial"/>
          <w:sz w:val="24"/>
          <w:szCs w:val="24"/>
        </w:rPr>
        <w:t>s inv</w:t>
      </w:r>
      <w:r w:rsidRPr="003A1174">
        <w:rPr>
          <w:rFonts w:ascii="Garamond" w:hAnsi="Garamond" w:cs="Arial"/>
          <w:sz w:val="24"/>
          <w:szCs w:val="24"/>
        </w:rPr>
        <w:t>oca</w:t>
      </w:r>
      <w:r w:rsidR="00A132B3" w:rsidRPr="003A1174">
        <w:rPr>
          <w:rFonts w:ascii="Garamond" w:hAnsi="Garamond" w:cs="Arial"/>
          <w:sz w:val="24"/>
          <w:szCs w:val="24"/>
        </w:rPr>
        <w:t xml:space="preserve">ndo </w:t>
      </w:r>
      <w:r w:rsidR="00CB5DB2" w:rsidRPr="003A1174">
        <w:rPr>
          <w:rFonts w:ascii="Garamond" w:hAnsi="Garamond" w:cs="Arial"/>
          <w:sz w:val="24"/>
          <w:szCs w:val="24"/>
        </w:rPr>
        <w:t>critério</w:t>
      </w:r>
      <w:r w:rsidRPr="003A1174">
        <w:rPr>
          <w:rFonts w:ascii="Garamond" w:hAnsi="Garamond" w:cs="Arial"/>
          <w:sz w:val="24"/>
          <w:szCs w:val="24"/>
        </w:rPr>
        <w:t>s afin</w:t>
      </w:r>
      <w:r w:rsidR="004B20E5" w:rsidRPr="003A1174">
        <w:rPr>
          <w:rFonts w:ascii="Garamond" w:hAnsi="Garamond" w:cs="Arial"/>
          <w:sz w:val="24"/>
          <w:szCs w:val="24"/>
        </w:rPr>
        <w:t>s a</w:t>
      </w:r>
      <w:r w:rsidR="00A132B3" w:rsidRPr="003A1174">
        <w:rPr>
          <w:rFonts w:ascii="Garamond" w:hAnsi="Garamond" w:cs="Arial"/>
          <w:sz w:val="24"/>
          <w:szCs w:val="24"/>
        </w:rPr>
        <w:t>os mencionados</w:t>
      </w:r>
      <w:r w:rsidR="005D3C57" w:rsidRPr="003A1174">
        <w:rPr>
          <w:rFonts w:ascii="Garamond" w:hAnsi="Garamond" w:cs="Arial"/>
          <w:sz w:val="24"/>
          <w:szCs w:val="24"/>
        </w:rPr>
        <w:t>.</w:t>
      </w:r>
      <w:r w:rsidR="00A132B3" w:rsidRPr="003A1174">
        <w:rPr>
          <w:rStyle w:val="Refdenotaalpie"/>
          <w:rFonts w:ascii="Garamond" w:hAnsi="Garamond" w:cs="Arial"/>
          <w:sz w:val="24"/>
          <w:szCs w:val="24"/>
        </w:rPr>
        <w:footnoteReference w:id="43"/>
      </w:r>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4C71E0"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Porém, a sentença proferida </w:t>
      </w:r>
      <w:r w:rsidR="00A132B3" w:rsidRPr="003A1174">
        <w:rPr>
          <w:rFonts w:ascii="Garamond" w:hAnsi="Garamond" w:cs="Arial"/>
          <w:sz w:val="24"/>
          <w:szCs w:val="24"/>
        </w:rPr>
        <w:t>e</w:t>
      </w:r>
      <w:r w:rsidRPr="003A1174">
        <w:rPr>
          <w:rFonts w:ascii="Garamond" w:hAnsi="Garamond" w:cs="Arial"/>
          <w:sz w:val="24"/>
          <w:szCs w:val="24"/>
        </w:rPr>
        <w:t>m</w:t>
      </w:r>
      <w:r w:rsidR="00A132B3" w:rsidRPr="003A1174">
        <w:rPr>
          <w:rFonts w:ascii="Garamond" w:hAnsi="Garamond" w:cs="Arial"/>
          <w:sz w:val="24"/>
          <w:szCs w:val="24"/>
        </w:rPr>
        <w:t xml:space="preserve"> </w:t>
      </w:r>
      <w:r w:rsidR="00152A44" w:rsidRPr="003A1174">
        <w:rPr>
          <w:rFonts w:ascii="Garamond" w:hAnsi="Garamond" w:cs="Arial"/>
          <w:sz w:val="24"/>
          <w:szCs w:val="24"/>
        </w:rPr>
        <w:t>relação</w:t>
      </w:r>
      <w:r w:rsidR="00A132B3" w:rsidRPr="003A1174">
        <w:rPr>
          <w:rFonts w:ascii="Garamond" w:hAnsi="Garamond" w:cs="Arial"/>
          <w:sz w:val="24"/>
          <w:szCs w:val="24"/>
        </w:rPr>
        <w:t xml:space="preserve"> a</w:t>
      </w:r>
      <w:r w:rsidRPr="003A1174">
        <w:rPr>
          <w:rFonts w:ascii="Garamond" w:hAnsi="Garamond" w:cs="Arial"/>
          <w:sz w:val="24"/>
          <w:szCs w:val="24"/>
        </w:rPr>
        <w:t>os ecologistas Cabrera García e</w:t>
      </w:r>
      <w:r w:rsidR="00A132B3" w:rsidRPr="003A1174">
        <w:rPr>
          <w:rFonts w:ascii="Garamond" w:hAnsi="Garamond" w:cs="Arial"/>
          <w:sz w:val="24"/>
          <w:szCs w:val="24"/>
        </w:rPr>
        <w:t xml:space="preserve"> Montiel Flores</w:t>
      </w:r>
      <w:r w:rsidRPr="003A1174">
        <w:rPr>
          <w:rFonts w:ascii="Garamond" w:hAnsi="Garamond" w:cs="Arial"/>
          <w:sz w:val="24"/>
          <w:szCs w:val="24"/>
        </w:rPr>
        <w:t xml:space="preserve"> tem um significado especial</w:t>
      </w:r>
      <w:r w:rsidR="005D3C57" w:rsidRPr="003A1174">
        <w:rPr>
          <w:rFonts w:ascii="Garamond" w:hAnsi="Garamond" w:cs="Arial"/>
          <w:sz w:val="24"/>
          <w:szCs w:val="24"/>
        </w:rPr>
        <w:t>,</w:t>
      </w:r>
      <w:r w:rsidR="00A132B3" w:rsidRPr="003A1174">
        <w:rPr>
          <w:rFonts w:ascii="Garamond" w:hAnsi="Garamond" w:cs="Arial"/>
          <w:sz w:val="24"/>
          <w:szCs w:val="24"/>
        </w:rPr>
        <w:t xml:space="preserve"> </w:t>
      </w:r>
      <w:r w:rsidR="00FC4727" w:rsidRPr="003A1174">
        <w:rPr>
          <w:rFonts w:ascii="Garamond" w:hAnsi="Garamond" w:cs="Arial"/>
          <w:sz w:val="24"/>
          <w:szCs w:val="24"/>
        </w:rPr>
        <w:t xml:space="preserve">pois </w:t>
      </w:r>
      <w:proofErr w:type="gramStart"/>
      <w:r w:rsidR="00FC4727" w:rsidRPr="003A1174">
        <w:rPr>
          <w:rFonts w:ascii="Garamond" w:hAnsi="Garamond" w:cs="Arial"/>
          <w:sz w:val="24"/>
          <w:szCs w:val="24"/>
        </w:rPr>
        <w:t>foi-lhe</w:t>
      </w:r>
      <w:proofErr w:type="gramEnd"/>
      <w:r w:rsidR="00FC4727" w:rsidRPr="003A1174">
        <w:rPr>
          <w:rFonts w:ascii="Garamond" w:hAnsi="Garamond" w:cs="Arial"/>
          <w:sz w:val="24"/>
          <w:szCs w:val="24"/>
        </w:rPr>
        <w:t xml:space="preserve"> impedido </w:t>
      </w:r>
      <w:r w:rsidRPr="003A1174">
        <w:rPr>
          <w:rFonts w:ascii="Garamond" w:hAnsi="Garamond" w:cs="Arial"/>
          <w:sz w:val="24"/>
          <w:szCs w:val="24"/>
        </w:rPr>
        <w:t xml:space="preserve">o </w:t>
      </w:r>
      <w:r w:rsidR="00886D6A" w:rsidRPr="003A1174">
        <w:rPr>
          <w:rFonts w:ascii="Garamond" w:hAnsi="Garamond" w:cs="Arial"/>
          <w:sz w:val="24"/>
          <w:szCs w:val="24"/>
        </w:rPr>
        <w:t>acesso</w:t>
      </w:r>
      <w:r w:rsidR="00A132B3"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Pr="003A1174">
        <w:rPr>
          <w:rFonts w:ascii="Garamond" w:hAnsi="Garamond" w:cs="Arial"/>
          <w:sz w:val="24"/>
          <w:szCs w:val="24"/>
        </w:rPr>
        <w:t xml:space="preserve"> ordiná</w:t>
      </w:r>
      <w:r w:rsidR="00A132B3" w:rsidRPr="003A1174">
        <w:rPr>
          <w:rFonts w:ascii="Garamond" w:hAnsi="Garamond" w:cs="Arial"/>
          <w:sz w:val="24"/>
          <w:szCs w:val="24"/>
        </w:rPr>
        <w:t xml:space="preserve">ria, </w:t>
      </w:r>
      <w:r w:rsidRPr="003A1174">
        <w:rPr>
          <w:rFonts w:ascii="Garamond" w:hAnsi="Garamond" w:cs="Arial"/>
          <w:sz w:val="24"/>
          <w:szCs w:val="24"/>
        </w:rPr>
        <w:t xml:space="preserve">uma vez que, </w:t>
      </w:r>
      <w:r w:rsidR="00A132B3" w:rsidRPr="003A1174">
        <w:rPr>
          <w:rFonts w:ascii="Garamond" w:hAnsi="Garamond" w:cs="Arial"/>
          <w:sz w:val="24"/>
          <w:szCs w:val="24"/>
        </w:rPr>
        <w:t xml:space="preserve">como </w:t>
      </w:r>
      <w:r w:rsidRPr="003A1174">
        <w:rPr>
          <w:rFonts w:ascii="Garamond" w:hAnsi="Garamond" w:cs="Arial"/>
          <w:sz w:val="24"/>
          <w:szCs w:val="24"/>
        </w:rPr>
        <w:t>sublinha um d</w:t>
      </w:r>
      <w:r w:rsidR="00A132B3" w:rsidRPr="003A1174">
        <w:rPr>
          <w:rFonts w:ascii="Garamond" w:hAnsi="Garamond" w:cs="Arial"/>
          <w:sz w:val="24"/>
          <w:szCs w:val="24"/>
        </w:rPr>
        <w:t xml:space="preserve">os </w:t>
      </w:r>
      <w:r w:rsidR="00BA3CCE" w:rsidRPr="003A1174">
        <w:rPr>
          <w:rFonts w:ascii="Garamond" w:hAnsi="Garamond" w:cs="Arial"/>
          <w:sz w:val="24"/>
          <w:szCs w:val="24"/>
        </w:rPr>
        <w:t>juízes</w:t>
      </w:r>
      <w:r w:rsidRPr="003A1174">
        <w:rPr>
          <w:rFonts w:ascii="Garamond" w:hAnsi="Garamond" w:cs="Arial"/>
          <w:sz w:val="24"/>
          <w:szCs w:val="24"/>
        </w:rPr>
        <w:t xml:space="preserve"> </w:t>
      </w:r>
      <w:r w:rsidR="00935298">
        <w:rPr>
          <w:rFonts w:ascii="Garamond" w:hAnsi="Garamond" w:cs="Arial"/>
          <w:sz w:val="24"/>
          <w:szCs w:val="24"/>
        </w:rPr>
        <w:t>do Tribunal</w:t>
      </w:r>
      <w:r w:rsidR="002A7FDD" w:rsidRPr="003A1174">
        <w:rPr>
          <w:rFonts w:ascii="Garamond" w:hAnsi="Garamond" w:cs="Arial"/>
          <w:sz w:val="24"/>
          <w:szCs w:val="24"/>
        </w:rPr>
        <w:t xml:space="preserve"> </w:t>
      </w:r>
      <w:r w:rsidR="00A132B3" w:rsidRPr="003A1174">
        <w:rPr>
          <w:rFonts w:ascii="Garamond" w:hAnsi="Garamond" w:cs="Arial"/>
          <w:sz w:val="24"/>
          <w:szCs w:val="24"/>
        </w:rPr>
        <w:t>Interamerican</w:t>
      </w:r>
      <w:r w:rsidR="00935298">
        <w:rPr>
          <w:rFonts w:ascii="Garamond" w:hAnsi="Garamond" w:cs="Arial"/>
          <w:sz w:val="24"/>
          <w:szCs w:val="24"/>
        </w:rPr>
        <w:t>o</w:t>
      </w:r>
      <w:r w:rsidR="005D3C57" w:rsidRPr="003A1174">
        <w:rPr>
          <w:rFonts w:ascii="Garamond" w:hAnsi="Garamond" w:cs="Arial"/>
          <w:sz w:val="24"/>
          <w:szCs w:val="24"/>
        </w:rPr>
        <w:t>,</w:t>
      </w:r>
      <w:r w:rsidR="00A132B3" w:rsidRPr="003A1174">
        <w:rPr>
          <w:rStyle w:val="Refdenotaalpie"/>
          <w:rFonts w:ascii="Garamond" w:hAnsi="Garamond" w:cs="Arial"/>
          <w:sz w:val="24"/>
          <w:szCs w:val="24"/>
        </w:rPr>
        <w:footnoteReference w:id="44"/>
      </w:r>
      <w:r w:rsidR="00A132B3" w:rsidRPr="003A1174">
        <w:rPr>
          <w:rFonts w:ascii="Garamond" w:hAnsi="Garamond" w:cs="Arial"/>
          <w:sz w:val="24"/>
          <w:szCs w:val="24"/>
        </w:rPr>
        <w:t xml:space="preserve"> a par de</w:t>
      </w:r>
      <w:r w:rsidRPr="003A1174">
        <w:rPr>
          <w:rFonts w:ascii="Garamond" w:hAnsi="Garamond" w:cs="Arial"/>
          <w:sz w:val="24"/>
          <w:szCs w:val="24"/>
        </w:rPr>
        <w:t xml:space="preserve"> se</w:t>
      </w:r>
      <w:r w:rsidR="00A132B3" w:rsidRPr="003A1174">
        <w:rPr>
          <w:rFonts w:ascii="Garamond" w:hAnsi="Garamond" w:cs="Arial"/>
          <w:sz w:val="24"/>
          <w:szCs w:val="24"/>
        </w:rPr>
        <w:t xml:space="preserve"> reiterar</w:t>
      </w:r>
      <w:r w:rsidRPr="003A1174">
        <w:rPr>
          <w:rFonts w:ascii="Garamond" w:hAnsi="Garamond" w:cs="Arial"/>
          <w:sz w:val="24"/>
          <w:szCs w:val="24"/>
        </w:rPr>
        <w:t xml:space="preserve"> </w:t>
      </w:r>
      <w:r w:rsidR="00A132B3" w:rsidRPr="003A1174">
        <w:rPr>
          <w:rFonts w:ascii="Garamond" w:hAnsi="Garamond" w:cs="Arial"/>
          <w:sz w:val="24"/>
          <w:szCs w:val="24"/>
        </w:rPr>
        <w:t xml:space="preserve">o </w:t>
      </w:r>
      <w:r w:rsidR="00661ADB" w:rsidRPr="003A1174">
        <w:rPr>
          <w:rFonts w:ascii="Garamond" w:hAnsi="Garamond" w:cs="Arial"/>
          <w:sz w:val="24"/>
          <w:szCs w:val="24"/>
        </w:rPr>
        <w:t>essencial</w:t>
      </w:r>
      <w:r w:rsidR="00A132B3" w:rsidRPr="003A1174">
        <w:rPr>
          <w:rFonts w:ascii="Garamond" w:hAnsi="Garamond" w:cs="Arial"/>
          <w:sz w:val="24"/>
          <w:szCs w:val="24"/>
        </w:rPr>
        <w:t xml:space="preserve"> da </w:t>
      </w:r>
      <w:r w:rsidRPr="003A1174">
        <w:rPr>
          <w:rFonts w:ascii="Garamond" w:hAnsi="Garamond" w:cs="Arial"/>
          <w:sz w:val="24"/>
          <w:szCs w:val="24"/>
        </w:rPr>
        <w:t>doutrina</w:t>
      </w:r>
      <w:r w:rsidR="00A132B3" w:rsidRPr="003A1174">
        <w:rPr>
          <w:rFonts w:ascii="Garamond" w:hAnsi="Garamond" w:cs="Arial"/>
          <w:sz w:val="24"/>
          <w:szCs w:val="24"/>
        </w:rPr>
        <w:t xml:space="preserve"> d</w:t>
      </w:r>
      <w:r w:rsidRPr="003A1174">
        <w:rPr>
          <w:rFonts w:ascii="Garamond" w:hAnsi="Garamond" w:cs="Arial"/>
          <w:sz w:val="24"/>
          <w:szCs w:val="24"/>
        </w:rPr>
        <w:t>o</w:t>
      </w:r>
      <w:r w:rsidR="00A132B3" w:rsidRPr="003A1174">
        <w:rPr>
          <w:rFonts w:ascii="Garamond" w:hAnsi="Garamond" w:cs="Arial"/>
          <w:sz w:val="24"/>
          <w:szCs w:val="24"/>
        </w:rPr>
        <w:t xml:space="preserve"> </w:t>
      </w:r>
      <w:r w:rsidR="00253B1D" w:rsidRPr="003A1174">
        <w:rPr>
          <w:rFonts w:ascii="Garamond" w:hAnsi="Garamond" w:cs="Arial"/>
          <w:sz w:val="24"/>
          <w:szCs w:val="24"/>
        </w:rPr>
        <w:t>controlo</w:t>
      </w:r>
      <w:r w:rsidR="00A132B3" w:rsidRPr="003A1174">
        <w:rPr>
          <w:rFonts w:ascii="Garamond" w:hAnsi="Garamond" w:cs="Arial"/>
          <w:sz w:val="24"/>
          <w:szCs w:val="24"/>
        </w:rPr>
        <w:t xml:space="preserve"> de </w:t>
      </w:r>
      <w:r w:rsidR="00E15BB2" w:rsidRPr="003A1174">
        <w:rPr>
          <w:rFonts w:ascii="Garamond" w:hAnsi="Garamond" w:cs="Arial"/>
          <w:sz w:val="24"/>
          <w:szCs w:val="24"/>
        </w:rPr>
        <w:t>Convencionalidade</w:t>
      </w:r>
      <w:r w:rsidR="00A132B3" w:rsidRPr="003A1174">
        <w:rPr>
          <w:rFonts w:ascii="Garamond" w:hAnsi="Garamond" w:cs="Arial"/>
          <w:sz w:val="24"/>
          <w:szCs w:val="24"/>
        </w:rPr>
        <w:t xml:space="preserve">, </w:t>
      </w:r>
      <w:r w:rsidRPr="003A1174">
        <w:rPr>
          <w:rFonts w:ascii="Garamond" w:hAnsi="Garamond" w:cs="Arial"/>
          <w:sz w:val="24"/>
          <w:szCs w:val="24"/>
        </w:rPr>
        <w:t xml:space="preserve">torna-se </w:t>
      </w:r>
      <w:r w:rsidR="00DE5AF4" w:rsidRPr="003A1174">
        <w:rPr>
          <w:rFonts w:ascii="Garamond" w:hAnsi="Garamond" w:cs="Arial"/>
          <w:sz w:val="24"/>
          <w:szCs w:val="24"/>
        </w:rPr>
        <w:t>possível</w:t>
      </w:r>
      <w:r w:rsidR="00A132B3" w:rsidRPr="003A1174">
        <w:rPr>
          <w:rFonts w:ascii="Garamond" w:hAnsi="Garamond" w:cs="Arial"/>
          <w:sz w:val="24"/>
          <w:szCs w:val="24"/>
        </w:rPr>
        <w:t xml:space="preserve"> </w:t>
      </w:r>
      <w:r w:rsidRPr="003A1174">
        <w:rPr>
          <w:rFonts w:ascii="Garamond" w:hAnsi="Garamond" w:cs="Arial"/>
          <w:sz w:val="24"/>
          <w:szCs w:val="24"/>
        </w:rPr>
        <w:t>falar já</w:t>
      </w:r>
      <w:r w:rsidR="00A132B3" w:rsidRPr="003A1174">
        <w:rPr>
          <w:rFonts w:ascii="Garamond" w:hAnsi="Garamond" w:cs="Arial"/>
          <w:sz w:val="24"/>
          <w:szCs w:val="24"/>
        </w:rPr>
        <w:t xml:space="preserve">, </w:t>
      </w:r>
      <w:r w:rsidRPr="003A1174">
        <w:rPr>
          <w:rFonts w:ascii="Garamond" w:hAnsi="Garamond" w:cs="Arial"/>
          <w:sz w:val="24"/>
          <w:szCs w:val="24"/>
        </w:rPr>
        <w:t>à</w:t>
      </w:r>
      <w:r w:rsidR="00A132B3" w:rsidRPr="003A1174">
        <w:rPr>
          <w:rFonts w:ascii="Garamond" w:hAnsi="Garamond" w:cs="Arial"/>
          <w:sz w:val="24"/>
          <w:szCs w:val="24"/>
        </w:rPr>
        <w:t xml:space="preserve"> </w:t>
      </w:r>
      <w:r w:rsidRPr="003A1174">
        <w:rPr>
          <w:rFonts w:ascii="Garamond" w:hAnsi="Garamond" w:cs="Arial"/>
          <w:sz w:val="24"/>
          <w:szCs w:val="24"/>
        </w:rPr>
        <w:t>semelhança d</w:t>
      </w:r>
      <w:r w:rsidR="00A132B3" w:rsidRPr="003A1174">
        <w:rPr>
          <w:rFonts w:ascii="Garamond" w:hAnsi="Garamond" w:cs="Arial"/>
          <w:sz w:val="24"/>
          <w:szCs w:val="24"/>
        </w:rPr>
        <w:t xml:space="preserve">o que acontece </w:t>
      </w:r>
      <w:r w:rsidRPr="003A1174">
        <w:rPr>
          <w:rFonts w:ascii="Garamond" w:hAnsi="Garamond" w:cs="Arial"/>
          <w:sz w:val="24"/>
          <w:szCs w:val="24"/>
        </w:rPr>
        <w:t xml:space="preserve">no </w:t>
      </w:r>
      <w:r w:rsidR="00802ACC" w:rsidRPr="003A1174">
        <w:rPr>
          <w:rFonts w:ascii="Garamond" w:hAnsi="Garamond" w:cs="Arial"/>
          <w:sz w:val="24"/>
          <w:szCs w:val="24"/>
        </w:rPr>
        <w:t>âmbito</w:t>
      </w:r>
      <w:r w:rsidR="00A132B3" w:rsidRPr="003A1174">
        <w:rPr>
          <w:rFonts w:ascii="Garamond" w:hAnsi="Garamond" w:cs="Arial"/>
          <w:sz w:val="24"/>
          <w:szCs w:val="24"/>
        </w:rPr>
        <w:t xml:space="preserve"> d</w:t>
      </w:r>
      <w:r w:rsidRPr="003A1174">
        <w:rPr>
          <w:rFonts w:ascii="Garamond" w:hAnsi="Garamond" w:cs="Arial"/>
          <w:sz w:val="24"/>
          <w:szCs w:val="24"/>
        </w:rPr>
        <w:t>o</w:t>
      </w:r>
      <w:r w:rsidR="00A132B3" w:rsidRPr="003A1174">
        <w:rPr>
          <w:rFonts w:ascii="Garamond" w:hAnsi="Garamond" w:cs="Arial"/>
          <w:sz w:val="24"/>
          <w:szCs w:val="24"/>
        </w:rPr>
        <w:t xml:space="preserve"> </w:t>
      </w:r>
      <w:r w:rsidR="00886D6A" w:rsidRPr="003A1174">
        <w:rPr>
          <w:rFonts w:ascii="Garamond" w:hAnsi="Garamond" w:cs="Arial"/>
          <w:sz w:val="24"/>
          <w:szCs w:val="24"/>
        </w:rPr>
        <w:t>Direito</w:t>
      </w:r>
      <w:r w:rsidR="00A132B3" w:rsidRPr="003A1174">
        <w:rPr>
          <w:rFonts w:ascii="Garamond" w:hAnsi="Garamond" w:cs="Arial"/>
          <w:sz w:val="24"/>
          <w:szCs w:val="24"/>
        </w:rPr>
        <w:t xml:space="preserve"> Constitucional, de u</w:t>
      </w:r>
      <w:r w:rsidRPr="003A1174">
        <w:rPr>
          <w:rFonts w:ascii="Garamond" w:hAnsi="Garamond" w:cs="Arial"/>
          <w:sz w:val="24"/>
          <w:szCs w:val="24"/>
        </w:rPr>
        <w:t>m</w:t>
      </w:r>
      <w:r w:rsidR="00A132B3" w:rsidRPr="003A1174">
        <w:rPr>
          <w:rFonts w:ascii="Garamond" w:hAnsi="Garamond" w:cs="Arial"/>
          <w:sz w:val="24"/>
          <w:szCs w:val="24"/>
        </w:rPr>
        <w:t xml:space="preserve"> </w:t>
      </w:r>
      <w:r w:rsidR="00852A19">
        <w:rPr>
          <w:rFonts w:ascii="Garamond" w:hAnsi="Garamond" w:cs="Arial"/>
          <w:sz w:val="24"/>
          <w:szCs w:val="24"/>
        </w:rPr>
        <w:t>«</w:t>
      </w:r>
      <w:r w:rsidR="00253B1D" w:rsidRPr="003A1174">
        <w:rPr>
          <w:rFonts w:ascii="Garamond" w:hAnsi="Garamond" w:cs="Arial"/>
          <w:sz w:val="24"/>
          <w:szCs w:val="24"/>
        </w:rPr>
        <w:t>controlo</w:t>
      </w:r>
      <w:r w:rsidR="00A132B3" w:rsidRPr="003A1174">
        <w:rPr>
          <w:rFonts w:ascii="Garamond" w:hAnsi="Garamond" w:cs="Arial"/>
          <w:sz w:val="24"/>
          <w:szCs w:val="24"/>
        </w:rPr>
        <w:t xml:space="preserve"> difuso</w:t>
      </w:r>
      <w:r w:rsidR="00852A19">
        <w:rPr>
          <w:rFonts w:ascii="Garamond" w:hAnsi="Garamond" w:cs="Arial"/>
          <w:sz w:val="24"/>
          <w:szCs w:val="24"/>
        </w:rPr>
        <w:t>»</w:t>
      </w:r>
      <w:r w:rsidR="00A132B3" w:rsidRPr="003A1174">
        <w:rPr>
          <w:rFonts w:ascii="Garamond" w:hAnsi="Garamond" w:cs="Arial"/>
          <w:sz w:val="24"/>
          <w:szCs w:val="24"/>
        </w:rPr>
        <w:t xml:space="preserve"> que reca</w:t>
      </w:r>
      <w:r w:rsidRPr="003A1174">
        <w:rPr>
          <w:rFonts w:ascii="Garamond" w:hAnsi="Garamond" w:cs="Arial"/>
          <w:sz w:val="24"/>
          <w:szCs w:val="24"/>
        </w:rPr>
        <w:t xml:space="preserve">i sobre </w:t>
      </w:r>
      <w:r w:rsidR="00A132B3" w:rsidRPr="003A1174">
        <w:rPr>
          <w:rFonts w:ascii="Garamond" w:hAnsi="Garamond" w:cs="Arial"/>
          <w:sz w:val="24"/>
          <w:szCs w:val="24"/>
        </w:rPr>
        <w:t xml:space="preserve">os </w:t>
      </w:r>
      <w:r w:rsidR="00BA3CCE" w:rsidRPr="003A1174">
        <w:rPr>
          <w:rFonts w:ascii="Garamond" w:hAnsi="Garamond" w:cs="Arial"/>
          <w:sz w:val="24"/>
          <w:szCs w:val="24"/>
        </w:rPr>
        <w:t>juízes</w:t>
      </w:r>
      <w:r w:rsidR="00A132B3" w:rsidRPr="003A1174">
        <w:rPr>
          <w:rFonts w:ascii="Garamond" w:hAnsi="Garamond" w:cs="Arial"/>
          <w:sz w:val="24"/>
          <w:szCs w:val="24"/>
        </w:rPr>
        <w:t xml:space="preserve"> de cada Estado,</w:t>
      </w:r>
      <w:r w:rsidRPr="003A1174">
        <w:rPr>
          <w:rFonts w:ascii="Garamond" w:hAnsi="Garamond" w:cs="Arial"/>
          <w:sz w:val="24"/>
          <w:szCs w:val="24"/>
        </w:rPr>
        <w:t xml:space="preserve"> </w:t>
      </w:r>
      <w:r w:rsidR="00CF0E55" w:rsidRPr="003A1174">
        <w:rPr>
          <w:rFonts w:ascii="Garamond" w:hAnsi="Garamond" w:cs="Arial"/>
          <w:sz w:val="24"/>
          <w:szCs w:val="24"/>
        </w:rPr>
        <w:t>ent</w:t>
      </w:r>
      <w:r w:rsidRPr="003A1174">
        <w:rPr>
          <w:rFonts w:ascii="Garamond" w:hAnsi="Garamond" w:cs="Arial"/>
          <w:sz w:val="24"/>
          <w:szCs w:val="24"/>
        </w:rPr>
        <w:t>ret</w:t>
      </w:r>
      <w:r w:rsidR="00CF0E55" w:rsidRPr="003A1174">
        <w:rPr>
          <w:rFonts w:ascii="Garamond" w:hAnsi="Garamond" w:cs="Arial"/>
          <w:sz w:val="24"/>
          <w:szCs w:val="24"/>
        </w:rPr>
        <w:t xml:space="preserve">anto </w:t>
      </w:r>
      <w:r w:rsidRPr="003A1174">
        <w:rPr>
          <w:rFonts w:ascii="Garamond" w:hAnsi="Garamond" w:cs="Arial"/>
          <w:sz w:val="24"/>
          <w:szCs w:val="24"/>
        </w:rPr>
        <w:t xml:space="preserve">o </w:t>
      </w:r>
      <w:r w:rsidR="00852A19">
        <w:rPr>
          <w:rFonts w:ascii="Garamond" w:hAnsi="Garamond" w:cs="Arial"/>
          <w:sz w:val="24"/>
          <w:szCs w:val="24"/>
        </w:rPr>
        <w:t>«</w:t>
      </w:r>
      <w:r w:rsidR="00253B1D" w:rsidRPr="003A1174">
        <w:rPr>
          <w:rFonts w:ascii="Garamond" w:hAnsi="Garamond" w:cs="Arial"/>
          <w:sz w:val="24"/>
          <w:szCs w:val="24"/>
        </w:rPr>
        <w:t>controlo</w:t>
      </w:r>
      <w:r w:rsidR="00A132B3" w:rsidRPr="003A1174">
        <w:rPr>
          <w:rFonts w:ascii="Garamond" w:hAnsi="Garamond" w:cs="Arial"/>
          <w:sz w:val="24"/>
          <w:szCs w:val="24"/>
        </w:rPr>
        <w:t xml:space="preserve"> concentrado</w:t>
      </w:r>
      <w:r w:rsidR="00852A19">
        <w:rPr>
          <w:rFonts w:ascii="Garamond" w:hAnsi="Garamond" w:cs="Arial"/>
          <w:sz w:val="24"/>
          <w:szCs w:val="24"/>
        </w:rPr>
        <w:t>»</w:t>
      </w:r>
      <w:r w:rsidR="00A132B3" w:rsidRPr="003A1174">
        <w:rPr>
          <w:rFonts w:ascii="Garamond" w:hAnsi="Garamond" w:cs="Arial"/>
          <w:sz w:val="24"/>
          <w:szCs w:val="24"/>
        </w:rPr>
        <w:t xml:space="preserve"> de </w:t>
      </w:r>
      <w:r w:rsidR="00E15BB2" w:rsidRPr="003A1174">
        <w:rPr>
          <w:rFonts w:ascii="Garamond" w:hAnsi="Garamond" w:cs="Arial"/>
          <w:sz w:val="24"/>
          <w:szCs w:val="24"/>
        </w:rPr>
        <w:t>Convencionalidade</w:t>
      </w:r>
      <w:r w:rsidR="00A132B3" w:rsidRPr="003A1174">
        <w:rPr>
          <w:rFonts w:ascii="Garamond" w:hAnsi="Garamond" w:cs="Arial"/>
          <w:sz w:val="24"/>
          <w:szCs w:val="24"/>
        </w:rPr>
        <w:t xml:space="preserve"> corresponde </w:t>
      </w:r>
      <w:r w:rsidRPr="003A1174">
        <w:rPr>
          <w:rFonts w:ascii="Garamond" w:hAnsi="Garamond" w:cs="Arial"/>
          <w:sz w:val="24"/>
          <w:szCs w:val="24"/>
        </w:rPr>
        <w:t xml:space="preserve">à </w:t>
      </w:r>
      <w:r w:rsidR="00FF6A3F" w:rsidRPr="003A1174">
        <w:rPr>
          <w:rFonts w:ascii="Garamond" w:hAnsi="Garamond" w:cs="Arial"/>
          <w:sz w:val="24"/>
          <w:szCs w:val="24"/>
        </w:rPr>
        <w:t>Comissão</w:t>
      </w:r>
      <w:r w:rsidR="00A132B3" w:rsidRPr="003A1174">
        <w:rPr>
          <w:rFonts w:ascii="Garamond" w:hAnsi="Garamond" w:cs="Arial"/>
          <w:sz w:val="24"/>
          <w:szCs w:val="24"/>
        </w:rPr>
        <w:t xml:space="preserve"> Interamericana </w:t>
      </w:r>
      <w:r w:rsidR="00863197" w:rsidRPr="003A1174">
        <w:rPr>
          <w:rFonts w:ascii="Garamond" w:hAnsi="Garamond" w:cs="Arial"/>
          <w:sz w:val="24"/>
          <w:szCs w:val="24"/>
        </w:rPr>
        <w:t>quando</w:t>
      </w:r>
      <w:r w:rsidR="00A132B3" w:rsidRPr="003A1174">
        <w:rPr>
          <w:rFonts w:ascii="Garamond" w:hAnsi="Garamond" w:cs="Arial"/>
          <w:sz w:val="24"/>
          <w:szCs w:val="24"/>
        </w:rPr>
        <w:t xml:space="preserve"> </w:t>
      </w:r>
      <w:r w:rsidRPr="003A1174">
        <w:rPr>
          <w:rFonts w:ascii="Garamond" w:hAnsi="Garamond" w:cs="Arial"/>
          <w:sz w:val="24"/>
          <w:szCs w:val="24"/>
        </w:rPr>
        <w:t xml:space="preserve">o </w:t>
      </w:r>
      <w:r w:rsidR="00D96FD0" w:rsidRPr="003A1174">
        <w:rPr>
          <w:rFonts w:ascii="Garamond" w:hAnsi="Garamond" w:cs="Arial"/>
          <w:sz w:val="24"/>
          <w:szCs w:val="24"/>
        </w:rPr>
        <w:t>primeiro</w:t>
      </w:r>
      <w:r w:rsidR="00A132B3" w:rsidRPr="003A1174">
        <w:rPr>
          <w:rFonts w:ascii="Garamond" w:hAnsi="Garamond" w:cs="Arial"/>
          <w:sz w:val="24"/>
          <w:szCs w:val="24"/>
        </w:rPr>
        <w:t xml:space="preserve"> n</w:t>
      </w:r>
      <w:r w:rsidRPr="003A1174">
        <w:rPr>
          <w:rFonts w:ascii="Garamond" w:hAnsi="Garamond" w:cs="Arial"/>
          <w:sz w:val="24"/>
          <w:szCs w:val="24"/>
        </w:rPr>
        <w:t>ã</w:t>
      </w:r>
      <w:r w:rsidR="00A132B3" w:rsidRPr="003A1174">
        <w:rPr>
          <w:rFonts w:ascii="Garamond" w:hAnsi="Garamond" w:cs="Arial"/>
          <w:sz w:val="24"/>
          <w:szCs w:val="24"/>
        </w:rPr>
        <w:t xml:space="preserve">o </w:t>
      </w:r>
      <w:r w:rsidRPr="003A1174">
        <w:rPr>
          <w:rFonts w:ascii="Garamond" w:hAnsi="Garamond" w:cs="Arial"/>
          <w:sz w:val="24"/>
          <w:szCs w:val="24"/>
        </w:rPr>
        <w:t xml:space="preserve">tiver </w:t>
      </w:r>
      <w:r w:rsidR="00A132B3" w:rsidRPr="003A1174">
        <w:rPr>
          <w:rFonts w:ascii="Garamond" w:hAnsi="Garamond" w:cs="Arial"/>
          <w:sz w:val="24"/>
          <w:szCs w:val="24"/>
        </w:rPr>
        <w:t>operado o</w:t>
      </w:r>
      <w:r w:rsidRPr="003A1174">
        <w:rPr>
          <w:rFonts w:ascii="Garamond" w:hAnsi="Garamond" w:cs="Arial"/>
          <w:sz w:val="24"/>
          <w:szCs w:val="24"/>
        </w:rPr>
        <w:t xml:space="preserve">u o tiver feito de forma </w:t>
      </w:r>
      <w:r w:rsidR="00A132B3" w:rsidRPr="003A1174">
        <w:rPr>
          <w:rFonts w:ascii="Garamond" w:hAnsi="Garamond" w:cs="Arial"/>
          <w:sz w:val="24"/>
          <w:szCs w:val="24"/>
        </w:rPr>
        <w:t>insuficiente o</w:t>
      </w:r>
      <w:r w:rsidRPr="003A1174">
        <w:rPr>
          <w:rFonts w:ascii="Garamond" w:hAnsi="Garamond" w:cs="Arial"/>
          <w:sz w:val="24"/>
          <w:szCs w:val="24"/>
        </w:rPr>
        <w:t>u</w:t>
      </w:r>
      <w:r w:rsidR="00A132B3" w:rsidRPr="003A1174">
        <w:rPr>
          <w:rFonts w:ascii="Garamond" w:hAnsi="Garamond" w:cs="Arial"/>
          <w:sz w:val="24"/>
          <w:szCs w:val="24"/>
        </w:rPr>
        <w:t xml:space="preserve"> errada</w:t>
      </w:r>
      <w:r w:rsidR="005D3C57" w:rsidRPr="003A1174">
        <w:rPr>
          <w:rFonts w:ascii="Garamond" w:hAnsi="Garamond" w:cs="Arial"/>
          <w:sz w:val="24"/>
          <w:szCs w:val="24"/>
        </w:rPr>
        <w:t>.</w:t>
      </w:r>
      <w:r w:rsidR="00A132B3" w:rsidRPr="003A1174">
        <w:rPr>
          <w:rStyle w:val="Refdenotaalpie"/>
          <w:rFonts w:ascii="Garamond" w:hAnsi="Garamond" w:cs="Arial"/>
          <w:sz w:val="24"/>
          <w:szCs w:val="24"/>
        </w:rPr>
        <w:footnoteReference w:id="45"/>
      </w:r>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852A19" w:rsidRDefault="004C71E0" w:rsidP="008719D4">
      <w:pPr>
        <w:autoSpaceDE w:val="0"/>
        <w:autoSpaceDN w:val="0"/>
        <w:adjustRightInd w:val="0"/>
        <w:spacing w:after="0" w:line="240" w:lineRule="auto"/>
        <w:jc w:val="both"/>
        <w:rPr>
          <w:rFonts w:ascii="Garamond" w:hAnsi="Garamond" w:cs="Arial"/>
          <w:sz w:val="24"/>
          <w:szCs w:val="24"/>
        </w:rPr>
      </w:pPr>
      <w:r w:rsidRPr="00852A19">
        <w:rPr>
          <w:rFonts w:ascii="Garamond" w:hAnsi="Garamond" w:cs="Arial"/>
          <w:sz w:val="24"/>
          <w:szCs w:val="24"/>
        </w:rPr>
        <w:t>O juiz destaca</w:t>
      </w:r>
      <w:r w:rsidR="00A132B3" w:rsidRPr="00852A19">
        <w:rPr>
          <w:rFonts w:ascii="Garamond" w:hAnsi="Garamond" w:cs="Arial"/>
          <w:sz w:val="24"/>
          <w:szCs w:val="24"/>
        </w:rPr>
        <w:t xml:space="preserve"> que </w:t>
      </w:r>
      <w:r w:rsidR="00852A19" w:rsidRPr="00852A19">
        <w:rPr>
          <w:rFonts w:ascii="Garamond" w:hAnsi="Garamond" w:cs="Arial"/>
          <w:sz w:val="24"/>
          <w:szCs w:val="24"/>
        </w:rPr>
        <w:t>«</w:t>
      </w:r>
      <w:r w:rsidR="00A132B3" w:rsidRPr="00852A19">
        <w:rPr>
          <w:rFonts w:ascii="Garamond" w:hAnsi="Garamond" w:cs="Arial"/>
          <w:sz w:val="24"/>
          <w:szCs w:val="24"/>
        </w:rPr>
        <w:t xml:space="preserve">as </w:t>
      </w:r>
      <w:r w:rsidR="00852A19" w:rsidRPr="00852A19">
        <w:rPr>
          <w:rFonts w:ascii="Garamond" w:hAnsi="Garamond" w:cs="Arial"/>
          <w:sz w:val="24"/>
          <w:szCs w:val="24"/>
        </w:rPr>
        <w:t>“</w:t>
      </w:r>
      <w:r w:rsidRPr="00852A19">
        <w:rPr>
          <w:rFonts w:ascii="Garamond" w:hAnsi="Garamond" w:cs="Arial"/>
          <w:sz w:val="24"/>
          <w:szCs w:val="24"/>
        </w:rPr>
        <w:t>interpretações</w:t>
      </w:r>
      <w:r w:rsidR="00852A19" w:rsidRPr="00852A19">
        <w:rPr>
          <w:rFonts w:ascii="Garamond" w:hAnsi="Garamond" w:cs="Arial"/>
          <w:sz w:val="24"/>
          <w:szCs w:val="24"/>
        </w:rPr>
        <w:t>”</w:t>
      </w:r>
      <w:r w:rsidR="00A132B3" w:rsidRPr="00852A19">
        <w:rPr>
          <w:rFonts w:ascii="Garamond" w:hAnsi="Garamond" w:cs="Arial"/>
          <w:sz w:val="24"/>
          <w:szCs w:val="24"/>
        </w:rPr>
        <w:t xml:space="preserve"> </w:t>
      </w:r>
      <w:r w:rsidRPr="00852A19">
        <w:rPr>
          <w:rFonts w:ascii="Garamond" w:hAnsi="Garamond" w:cs="Arial"/>
          <w:sz w:val="24"/>
          <w:szCs w:val="24"/>
        </w:rPr>
        <w:t xml:space="preserve">das normas </w:t>
      </w:r>
      <w:r w:rsidR="00A132B3" w:rsidRPr="00852A19">
        <w:rPr>
          <w:rFonts w:ascii="Garamond" w:hAnsi="Garamond" w:cs="Arial"/>
          <w:sz w:val="24"/>
          <w:szCs w:val="24"/>
        </w:rPr>
        <w:t>convenciona</w:t>
      </w:r>
      <w:r w:rsidRPr="00852A19">
        <w:rPr>
          <w:rFonts w:ascii="Garamond" w:hAnsi="Garamond" w:cs="Arial"/>
          <w:sz w:val="24"/>
          <w:szCs w:val="24"/>
        </w:rPr>
        <w:t>is</w:t>
      </w:r>
      <w:r w:rsidR="00A132B3" w:rsidRPr="00852A19">
        <w:rPr>
          <w:rFonts w:ascii="Garamond" w:hAnsi="Garamond" w:cs="Arial"/>
          <w:sz w:val="24"/>
          <w:szCs w:val="24"/>
        </w:rPr>
        <w:t xml:space="preserve"> n</w:t>
      </w:r>
      <w:r w:rsidRPr="00852A19">
        <w:rPr>
          <w:rFonts w:ascii="Garamond" w:hAnsi="Garamond" w:cs="Arial"/>
          <w:sz w:val="24"/>
          <w:szCs w:val="24"/>
        </w:rPr>
        <w:t>ã</w:t>
      </w:r>
      <w:r w:rsidR="00A132B3" w:rsidRPr="00852A19">
        <w:rPr>
          <w:rFonts w:ascii="Garamond" w:hAnsi="Garamond" w:cs="Arial"/>
          <w:sz w:val="24"/>
          <w:szCs w:val="24"/>
        </w:rPr>
        <w:t>o s</w:t>
      </w:r>
      <w:r w:rsidRPr="00852A19">
        <w:rPr>
          <w:rFonts w:ascii="Garamond" w:hAnsi="Garamond" w:cs="Arial"/>
          <w:sz w:val="24"/>
          <w:szCs w:val="24"/>
        </w:rPr>
        <w:t xml:space="preserve">ó </w:t>
      </w:r>
      <w:r w:rsidR="00A132B3" w:rsidRPr="00852A19">
        <w:rPr>
          <w:rFonts w:ascii="Garamond" w:hAnsi="Garamond" w:cs="Arial"/>
          <w:sz w:val="24"/>
          <w:szCs w:val="24"/>
        </w:rPr>
        <w:t>compre</w:t>
      </w:r>
      <w:r w:rsidRPr="00852A19">
        <w:rPr>
          <w:rFonts w:ascii="Garamond" w:hAnsi="Garamond" w:cs="Arial"/>
          <w:sz w:val="24"/>
          <w:szCs w:val="24"/>
        </w:rPr>
        <w:t>e</w:t>
      </w:r>
      <w:r w:rsidR="00A132B3" w:rsidRPr="00852A19">
        <w:rPr>
          <w:rFonts w:ascii="Garamond" w:hAnsi="Garamond" w:cs="Arial"/>
          <w:sz w:val="24"/>
          <w:szCs w:val="24"/>
        </w:rPr>
        <w:t>nde</w:t>
      </w:r>
      <w:r w:rsidRPr="00852A19">
        <w:rPr>
          <w:rFonts w:ascii="Garamond" w:hAnsi="Garamond" w:cs="Arial"/>
          <w:sz w:val="24"/>
          <w:szCs w:val="24"/>
        </w:rPr>
        <w:t xml:space="preserve">m </w:t>
      </w:r>
      <w:r w:rsidR="00A132B3" w:rsidRPr="00852A19">
        <w:rPr>
          <w:rFonts w:ascii="Garamond" w:hAnsi="Garamond" w:cs="Arial"/>
          <w:sz w:val="24"/>
          <w:szCs w:val="24"/>
        </w:rPr>
        <w:t xml:space="preserve">as realizadas </w:t>
      </w:r>
      <w:r w:rsidRPr="00852A19">
        <w:rPr>
          <w:rFonts w:ascii="Garamond" w:hAnsi="Garamond" w:cs="Arial"/>
          <w:sz w:val="24"/>
          <w:szCs w:val="24"/>
        </w:rPr>
        <w:t>n</w:t>
      </w:r>
      <w:r w:rsidR="00A132B3" w:rsidRPr="00852A19">
        <w:rPr>
          <w:rFonts w:ascii="Garamond" w:hAnsi="Garamond" w:cs="Arial"/>
          <w:sz w:val="24"/>
          <w:szCs w:val="24"/>
        </w:rPr>
        <w:t xml:space="preserve">as </w:t>
      </w:r>
      <w:r w:rsidR="00FC1F7F" w:rsidRPr="00852A19">
        <w:rPr>
          <w:rFonts w:ascii="Garamond" w:hAnsi="Garamond" w:cs="Arial"/>
          <w:sz w:val="24"/>
          <w:szCs w:val="24"/>
        </w:rPr>
        <w:t>sentença</w:t>
      </w:r>
      <w:r w:rsidR="00A132B3" w:rsidRPr="00852A19">
        <w:rPr>
          <w:rFonts w:ascii="Garamond" w:hAnsi="Garamond" w:cs="Arial"/>
          <w:sz w:val="24"/>
          <w:szCs w:val="24"/>
        </w:rPr>
        <w:t xml:space="preserve">s pronunciadas </w:t>
      </w:r>
      <w:r w:rsidRPr="00852A19">
        <w:rPr>
          <w:rFonts w:ascii="Garamond" w:hAnsi="Garamond" w:cs="Arial"/>
          <w:sz w:val="24"/>
          <w:szCs w:val="24"/>
        </w:rPr>
        <w:t>n</w:t>
      </w:r>
      <w:r w:rsidR="00A132B3" w:rsidRPr="00852A19">
        <w:rPr>
          <w:rFonts w:ascii="Garamond" w:hAnsi="Garamond" w:cs="Arial"/>
          <w:sz w:val="24"/>
          <w:szCs w:val="24"/>
        </w:rPr>
        <w:t xml:space="preserve">os </w:t>
      </w:r>
      <w:r w:rsidR="00852A19" w:rsidRPr="00852A19">
        <w:rPr>
          <w:rFonts w:ascii="Garamond" w:hAnsi="Garamond" w:cs="Arial"/>
          <w:sz w:val="24"/>
          <w:szCs w:val="24"/>
        </w:rPr>
        <w:t>”</w:t>
      </w:r>
      <w:r w:rsidR="00A132B3" w:rsidRPr="00852A19">
        <w:rPr>
          <w:rFonts w:ascii="Garamond" w:hAnsi="Garamond" w:cs="Arial"/>
          <w:sz w:val="24"/>
          <w:szCs w:val="24"/>
        </w:rPr>
        <w:t>casos contenciosos</w:t>
      </w:r>
      <w:r w:rsidR="00852A19" w:rsidRPr="00852A19">
        <w:rPr>
          <w:rFonts w:ascii="Garamond" w:hAnsi="Garamond" w:cs="Arial"/>
          <w:sz w:val="24"/>
          <w:szCs w:val="24"/>
        </w:rPr>
        <w:t>”</w:t>
      </w:r>
      <w:r w:rsidR="009D0E7B">
        <w:rPr>
          <w:rFonts w:ascii="Garamond" w:hAnsi="Garamond" w:cs="Arial"/>
          <w:sz w:val="24"/>
          <w:szCs w:val="24"/>
        </w:rPr>
        <w:t>,</w:t>
      </w:r>
      <w:r w:rsidR="00A132B3" w:rsidRPr="00852A19">
        <w:rPr>
          <w:rFonts w:ascii="Garamond" w:hAnsi="Garamond" w:cs="Arial"/>
          <w:sz w:val="24"/>
          <w:szCs w:val="24"/>
        </w:rPr>
        <w:t xml:space="preserve"> </w:t>
      </w:r>
      <w:r w:rsidRPr="00852A19">
        <w:rPr>
          <w:rFonts w:ascii="Garamond" w:hAnsi="Garamond" w:cs="Arial"/>
          <w:sz w:val="24"/>
          <w:szCs w:val="24"/>
        </w:rPr>
        <w:t xml:space="preserve">mas também </w:t>
      </w:r>
      <w:r w:rsidR="00A132B3" w:rsidRPr="00852A19">
        <w:rPr>
          <w:rFonts w:ascii="Garamond" w:hAnsi="Garamond" w:cs="Arial"/>
          <w:sz w:val="24"/>
          <w:szCs w:val="24"/>
        </w:rPr>
        <w:t xml:space="preserve">as </w:t>
      </w:r>
      <w:r w:rsidRPr="00852A19">
        <w:rPr>
          <w:rFonts w:ascii="Garamond" w:hAnsi="Garamond" w:cs="Arial"/>
          <w:sz w:val="24"/>
          <w:szCs w:val="24"/>
        </w:rPr>
        <w:t>interpretações</w:t>
      </w:r>
      <w:r w:rsidR="00A132B3" w:rsidRPr="00852A19">
        <w:rPr>
          <w:rFonts w:ascii="Garamond" w:hAnsi="Garamond" w:cs="Arial"/>
          <w:sz w:val="24"/>
          <w:szCs w:val="24"/>
        </w:rPr>
        <w:t xml:space="preserve"> </w:t>
      </w:r>
      <w:r w:rsidRPr="00852A19">
        <w:rPr>
          <w:rFonts w:ascii="Garamond" w:hAnsi="Garamond" w:cs="Arial"/>
          <w:sz w:val="24"/>
          <w:szCs w:val="24"/>
        </w:rPr>
        <w:t>efetua</w:t>
      </w:r>
      <w:r w:rsidR="00A132B3" w:rsidRPr="00852A19">
        <w:rPr>
          <w:rFonts w:ascii="Garamond" w:hAnsi="Garamond" w:cs="Arial"/>
          <w:sz w:val="24"/>
          <w:szCs w:val="24"/>
        </w:rPr>
        <w:t xml:space="preserve">das </w:t>
      </w:r>
      <w:r w:rsidRPr="00852A19">
        <w:rPr>
          <w:rFonts w:ascii="Garamond" w:hAnsi="Garamond" w:cs="Arial"/>
          <w:sz w:val="24"/>
          <w:szCs w:val="24"/>
        </w:rPr>
        <w:t>n</w:t>
      </w:r>
      <w:r w:rsidR="00A132B3" w:rsidRPr="00852A19">
        <w:rPr>
          <w:rFonts w:ascii="Garamond" w:hAnsi="Garamond" w:cs="Arial"/>
          <w:sz w:val="24"/>
          <w:szCs w:val="24"/>
        </w:rPr>
        <w:t xml:space="preserve">as </w:t>
      </w:r>
      <w:r w:rsidRPr="00852A19">
        <w:rPr>
          <w:rFonts w:ascii="Garamond" w:hAnsi="Garamond" w:cs="Arial"/>
          <w:sz w:val="24"/>
          <w:szCs w:val="24"/>
        </w:rPr>
        <w:t xml:space="preserve">restantes </w:t>
      </w:r>
      <w:r w:rsidR="00A132B3" w:rsidRPr="00852A19">
        <w:rPr>
          <w:rFonts w:ascii="Garamond" w:hAnsi="Garamond" w:cs="Arial"/>
          <w:sz w:val="24"/>
          <w:szCs w:val="24"/>
        </w:rPr>
        <w:t>resolu</w:t>
      </w:r>
      <w:r w:rsidRPr="00852A19">
        <w:rPr>
          <w:rFonts w:ascii="Garamond" w:hAnsi="Garamond" w:cs="Arial"/>
          <w:sz w:val="24"/>
          <w:szCs w:val="24"/>
        </w:rPr>
        <w:t xml:space="preserve">ções </w:t>
      </w:r>
      <w:r w:rsidR="00A132B3" w:rsidRPr="00852A19">
        <w:rPr>
          <w:rFonts w:ascii="Garamond" w:hAnsi="Garamond" w:cs="Arial"/>
          <w:sz w:val="24"/>
          <w:szCs w:val="24"/>
        </w:rPr>
        <w:t>que emita</w:t>
      </w:r>
      <w:r w:rsidR="00852A19" w:rsidRPr="00852A19">
        <w:rPr>
          <w:rFonts w:ascii="Garamond" w:hAnsi="Garamond" w:cs="Arial"/>
          <w:sz w:val="24"/>
          <w:szCs w:val="24"/>
        </w:rPr>
        <w:t>»</w:t>
      </w:r>
      <w:r w:rsidR="00A132B3" w:rsidRPr="00852A19">
        <w:rPr>
          <w:rFonts w:ascii="Garamond" w:hAnsi="Garamond" w:cs="Arial"/>
          <w:sz w:val="24"/>
          <w:szCs w:val="24"/>
        </w:rPr>
        <w:t xml:space="preserve"> a </w:t>
      </w:r>
      <w:proofErr w:type="gramStart"/>
      <w:r w:rsidR="00A132B3" w:rsidRPr="00852A19">
        <w:rPr>
          <w:rFonts w:ascii="Garamond" w:hAnsi="Garamond" w:cs="Arial"/>
          <w:sz w:val="24"/>
          <w:szCs w:val="24"/>
        </w:rPr>
        <w:t>CtIDH</w:t>
      </w:r>
      <w:proofErr w:type="gramEnd"/>
      <w:r w:rsidR="00A132B3" w:rsidRPr="00852A19">
        <w:rPr>
          <w:rFonts w:ascii="Garamond" w:hAnsi="Garamond" w:cs="Arial"/>
          <w:sz w:val="24"/>
          <w:szCs w:val="24"/>
        </w:rPr>
        <w:t xml:space="preserve">, </w:t>
      </w:r>
      <w:r w:rsidR="00152A44" w:rsidRPr="00852A19">
        <w:rPr>
          <w:rFonts w:ascii="Garamond" w:hAnsi="Garamond" w:cs="Arial"/>
          <w:sz w:val="24"/>
          <w:szCs w:val="24"/>
        </w:rPr>
        <w:t>inclui</w:t>
      </w:r>
      <w:r w:rsidRPr="00852A19">
        <w:rPr>
          <w:rFonts w:ascii="Garamond" w:hAnsi="Garamond" w:cs="Arial"/>
          <w:sz w:val="24"/>
          <w:szCs w:val="24"/>
        </w:rPr>
        <w:t>ndo aquel</w:t>
      </w:r>
      <w:r w:rsidR="00A132B3" w:rsidRPr="00852A19">
        <w:rPr>
          <w:rFonts w:ascii="Garamond" w:hAnsi="Garamond" w:cs="Arial"/>
          <w:sz w:val="24"/>
          <w:szCs w:val="24"/>
        </w:rPr>
        <w:t xml:space="preserve">as </w:t>
      </w:r>
      <w:r w:rsidRPr="00852A19">
        <w:rPr>
          <w:rFonts w:ascii="Garamond" w:hAnsi="Garamond" w:cs="Arial"/>
          <w:sz w:val="24"/>
          <w:szCs w:val="24"/>
        </w:rPr>
        <w:t>proferidas</w:t>
      </w:r>
      <w:r w:rsidR="009D0E7B">
        <w:rPr>
          <w:rFonts w:ascii="Garamond" w:hAnsi="Garamond" w:cs="Arial"/>
          <w:sz w:val="24"/>
          <w:szCs w:val="24"/>
        </w:rPr>
        <w:t>,</w:t>
      </w:r>
      <w:r w:rsidRPr="00852A19">
        <w:rPr>
          <w:rFonts w:ascii="Garamond" w:hAnsi="Garamond" w:cs="Arial"/>
          <w:sz w:val="24"/>
          <w:szCs w:val="24"/>
        </w:rPr>
        <w:t xml:space="preserve"> </w:t>
      </w:r>
      <w:r w:rsidR="00152A44" w:rsidRPr="00852A19">
        <w:rPr>
          <w:rFonts w:ascii="Garamond" w:hAnsi="Garamond" w:cs="Arial"/>
          <w:sz w:val="24"/>
          <w:szCs w:val="24"/>
        </w:rPr>
        <w:t>rela</w:t>
      </w:r>
      <w:r w:rsidRPr="00852A19">
        <w:rPr>
          <w:rFonts w:ascii="Garamond" w:hAnsi="Garamond" w:cs="Arial"/>
          <w:sz w:val="24"/>
          <w:szCs w:val="24"/>
        </w:rPr>
        <w:t>tivamente a</w:t>
      </w:r>
      <w:r w:rsidR="00A132B3" w:rsidRPr="00852A19">
        <w:rPr>
          <w:rFonts w:ascii="Garamond" w:hAnsi="Garamond" w:cs="Arial"/>
          <w:sz w:val="24"/>
          <w:szCs w:val="24"/>
        </w:rPr>
        <w:t xml:space="preserve"> medidas </w:t>
      </w:r>
      <w:r w:rsidRPr="00852A19">
        <w:rPr>
          <w:rFonts w:ascii="Garamond" w:hAnsi="Garamond" w:cs="Arial"/>
          <w:sz w:val="24"/>
          <w:szCs w:val="24"/>
        </w:rPr>
        <w:t>provisórias</w:t>
      </w:r>
      <w:r w:rsidR="00A132B3" w:rsidRPr="00852A19">
        <w:rPr>
          <w:rFonts w:ascii="Garamond" w:hAnsi="Garamond" w:cs="Arial"/>
          <w:sz w:val="24"/>
          <w:szCs w:val="24"/>
        </w:rPr>
        <w:t xml:space="preserve">, </w:t>
      </w:r>
      <w:r w:rsidR="00FC1F7F" w:rsidRPr="00852A19">
        <w:rPr>
          <w:rFonts w:ascii="Garamond" w:hAnsi="Garamond" w:cs="Arial"/>
          <w:sz w:val="24"/>
          <w:szCs w:val="24"/>
        </w:rPr>
        <w:t>supervisão</w:t>
      </w:r>
      <w:r w:rsidR="00A132B3" w:rsidRPr="00852A19">
        <w:rPr>
          <w:rFonts w:ascii="Garamond" w:hAnsi="Garamond" w:cs="Arial"/>
          <w:sz w:val="24"/>
          <w:szCs w:val="24"/>
        </w:rPr>
        <w:t xml:space="preserve"> de </w:t>
      </w:r>
      <w:r w:rsidR="00D96FD0" w:rsidRPr="00852A19">
        <w:rPr>
          <w:rFonts w:ascii="Garamond" w:hAnsi="Garamond" w:cs="Arial"/>
          <w:sz w:val="24"/>
          <w:szCs w:val="24"/>
        </w:rPr>
        <w:t>cumprimento</w:t>
      </w:r>
      <w:r w:rsidR="00A132B3" w:rsidRPr="00852A19">
        <w:rPr>
          <w:rFonts w:ascii="Garamond" w:hAnsi="Garamond" w:cs="Arial"/>
          <w:sz w:val="24"/>
          <w:szCs w:val="24"/>
        </w:rPr>
        <w:t xml:space="preserve"> de </w:t>
      </w:r>
      <w:r w:rsidR="00FC1F7F" w:rsidRPr="00852A19">
        <w:rPr>
          <w:rFonts w:ascii="Garamond" w:hAnsi="Garamond" w:cs="Arial"/>
          <w:sz w:val="24"/>
          <w:szCs w:val="24"/>
        </w:rPr>
        <w:t>sentença</w:t>
      </w:r>
      <w:r w:rsidR="00A132B3" w:rsidRPr="00852A19">
        <w:rPr>
          <w:rFonts w:ascii="Garamond" w:hAnsi="Garamond" w:cs="Arial"/>
          <w:sz w:val="24"/>
          <w:szCs w:val="24"/>
        </w:rPr>
        <w:t xml:space="preserve">s </w:t>
      </w:r>
      <w:r w:rsidRPr="00852A19">
        <w:rPr>
          <w:rFonts w:ascii="Garamond" w:hAnsi="Garamond" w:cs="Arial"/>
          <w:sz w:val="24"/>
          <w:szCs w:val="24"/>
        </w:rPr>
        <w:t xml:space="preserve">e </w:t>
      </w:r>
      <w:r w:rsidR="00A132B3" w:rsidRPr="00852A19">
        <w:rPr>
          <w:rFonts w:ascii="Garamond" w:hAnsi="Garamond" w:cs="Arial"/>
          <w:sz w:val="24"/>
          <w:szCs w:val="24"/>
        </w:rPr>
        <w:t xml:space="preserve">as ocasionadas </w:t>
      </w:r>
      <w:r w:rsidRPr="00852A19">
        <w:rPr>
          <w:rFonts w:ascii="Garamond" w:hAnsi="Garamond" w:cs="Arial"/>
          <w:sz w:val="24"/>
          <w:szCs w:val="24"/>
        </w:rPr>
        <w:t>por vi</w:t>
      </w:r>
      <w:r w:rsidR="00A132B3" w:rsidRPr="00852A19">
        <w:rPr>
          <w:rFonts w:ascii="Garamond" w:hAnsi="Garamond" w:cs="Arial"/>
          <w:sz w:val="24"/>
          <w:szCs w:val="24"/>
        </w:rPr>
        <w:t xml:space="preserve">a de </w:t>
      </w:r>
      <w:r w:rsidR="00C86C58" w:rsidRPr="00852A19">
        <w:rPr>
          <w:rFonts w:ascii="Garamond" w:hAnsi="Garamond" w:cs="Arial"/>
          <w:sz w:val="24"/>
          <w:szCs w:val="24"/>
        </w:rPr>
        <w:t>interpretação</w:t>
      </w:r>
      <w:r w:rsidR="00A132B3" w:rsidRPr="003A1174">
        <w:rPr>
          <w:rFonts w:ascii="Garamond" w:hAnsi="Garamond" w:cs="Arial"/>
          <w:sz w:val="24"/>
          <w:szCs w:val="24"/>
        </w:rPr>
        <w:t xml:space="preserve"> de </w:t>
      </w:r>
      <w:r w:rsidR="00FC1F7F" w:rsidRPr="003A1174">
        <w:rPr>
          <w:rFonts w:ascii="Garamond" w:hAnsi="Garamond" w:cs="Arial"/>
          <w:sz w:val="24"/>
          <w:szCs w:val="24"/>
        </w:rPr>
        <w:t>sentença</w:t>
      </w:r>
      <w:r w:rsidR="00A132B3" w:rsidRPr="003A1174">
        <w:rPr>
          <w:rFonts w:ascii="Garamond" w:hAnsi="Garamond" w:cs="Arial"/>
          <w:sz w:val="24"/>
          <w:szCs w:val="24"/>
        </w:rPr>
        <w:t>s e, inclus</w:t>
      </w:r>
      <w:r w:rsidRPr="003A1174">
        <w:rPr>
          <w:rFonts w:ascii="Garamond" w:hAnsi="Garamond" w:cs="Arial"/>
          <w:sz w:val="24"/>
          <w:szCs w:val="24"/>
        </w:rPr>
        <w:t>ivamente, à</w:t>
      </w:r>
      <w:r w:rsidR="00A132B3" w:rsidRPr="003A1174">
        <w:rPr>
          <w:rFonts w:ascii="Garamond" w:hAnsi="Garamond" w:cs="Arial"/>
          <w:sz w:val="24"/>
          <w:szCs w:val="24"/>
        </w:rPr>
        <w:t xml:space="preserve">s </w:t>
      </w:r>
      <w:r w:rsidRPr="003A1174">
        <w:rPr>
          <w:rFonts w:ascii="Garamond" w:hAnsi="Garamond" w:cs="Arial"/>
          <w:sz w:val="24"/>
          <w:szCs w:val="24"/>
        </w:rPr>
        <w:t>Opiniões</w:t>
      </w:r>
      <w:r w:rsidR="00A132B3" w:rsidRPr="003A1174">
        <w:rPr>
          <w:rFonts w:ascii="Garamond" w:hAnsi="Garamond" w:cs="Arial"/>
          <w:sz w:val="24"/>
          <w:szCs w:val="24"/>
        </w:rPr>
        <w:t xml:space="preserve"> Consultivas</w:t>
      </w:r>
      <w:r w:rsidR="003A528A" w:rsidRPr="003A1174">
        <w:rPr>
          <w:rFonts w:ascii="Garamond" w:hAnsi="Garamond" w:cs="Arial"/>
          <w:sz w:val="24"/>
          <w:szCs w:val="24"/>
        </w:rPr>
        <w:t>,</w:t>
      </w:r>
      <w:r w:rsidR="00A132B3" w:rsidRPr="003A1174">
        <w:rPr>
          <w:rStyle w:val="Refdenotaalpie"/>
          <w:rFonts w:ascii="Garamond" w:hAnsi="Garamond" w:cs="Arial"/>
          <w:sz w:val="24"/>
          <w:szCs w:val="24"/>
        </w:rPr>
        <w:footnoteReference w:id="46"/>
      </w:r>
      <w:r w:rsidR="00A132B3" w:rsidRPr="003A1174">
        <w:rPr>
          <w:rFonts w:ascii="Garamond" w:hAnsi="Garamond" w:cs="Arial"/>
          <w:sz w:val="24"/>
          <w:szCs w:val="24"/>
        </w:rPr>
        <w:t xml:space="preserve"> </w:t>
      </w:r>
      <w:r w:rsidRPr="003A1174">
        <w:rPr>
          <w:rFonts w:ascii="Garamond" w:hAnsi="Garamond" w:cs="Arial"/>
          <w:sz w:val="24"/>
          <w:szCs w:val="24"/>
        </w:rPr>
        <w:t xml:space="preserve">tendo </w:t>
      </w:r>
      <w:r w:rsidR="00A132B3" w:rsidRPr="003A1174">
        <w:rPr>
          <w:rFonts w:ascii="Garamond" w:hAnsi="Garamond" w:cs="Arial"/>
          <w:sz w:val="24"/>
          <w:szCs w:val="24"/>
        </w:rPr>
        <w:t>surgido</w:t>
      </w:r>
      <w:r w:rsidRPr="003A1174">
        <w:rPr>
          <w:rFonts w:ascii="Garamond" w:hAnsi="Garamond" w:cs="Arial"/>
          <w:sz w:val="24"/>
          <w:szCs w:val="24"/>
        </w:rPr>
        <w:t>,</w:t>
      </w:r>
      <w:r w:rsidR="00A132B3" w:rsidRPr="003A1174">
        <w:rPr>
          <w:rFonts w:ascii="Garamond" w:hAnsi="Garamond" w:cs="Arial"/>
          <w:sz w:val="24"/>
          <w:szCs w:val="24"/>
        </w:rPr>
        <w:t xml:space="preserve"> con</w:t>
      </w:r>
      <w:r w:rsidR="00661ADB" w:rsidRPr="003A1174">
        <w:rPr>
          <w:rFonts w:ascii="Garamond" w:hAnsi="Garamond" w:cs="Arial"/>
          <w:sz w:val="24"/>
          <w:szCs w:val="24"/>
        </w:rPr>
        <w:t>sequ</w:t>
      </w:r>
      <w:r w:rsidRPr="003A1174">
        <w:rPr>
          <w:rFonts w:ascii="Garamond" w:hAnsi="Garamond" w:cs="Arial"/>
          <w:sz w:val="24"/>
          <w:szCs w:val="24"/>
        </w:rPr>
        <w:t xml:space="preserve">entemente, </w:t>
      </w:r>
      <w:r w:rsidR="00852A19" w:rsidRPr="00852A19">
        <w:rPr>
          <w:rFonts w:ascii="Garamond" w:hAnsi="Garamond" w:cs="Arial"/>
          <w:sz w:val="24"/>
          <w:szCs w:val="24"/>
        </w:rPr>
        <w:t>«</w:t>
      </w:r>
      <w:r w:rsidR="00A132B3" w:rsidRPr="00852A19">
        <w:rPr>
          <w:rFonts w:ascii="Garamond" w:hAnsi="Garamond" w:cs="Arial"/>
          <w:sz w:val="24"/>
          <w:szCs w:val="24"/>
        </w:rPr>
        <w:t>u</w:t>
      </w:r>
      <w:r w:rsidRPr="00852A19">
        <w:rPr>
          <w:rFonts w:ascii="Garamond" w:hAnsi="Garamond" w:cs="Arial"/>
          <w:sz w:val="24"/>
          <w:szCs w:val="24"/>
        </w:rPr>
        <w:t>m</w:t>
      </w:r>
      <w:r w:rsidR="00A132B3" w:rsidRPr="00852A19">
        <w:rPr>
          <w:rFonts w:ascii="Garamond" w:hAnsi="Garamond" w:cs="Arial"/>
          <w:sz w:val="24"/>
          <w:szCs w:val="24"/>
        </w:rPr>
        <w:t xml:space="preserve"> </w:t>
      </w:r>
      <w:r w:rsidRPr="00852A19">
        <w:rPr>
          <w:rFonts w:ascii="Garamond" w:hAnsi="Garamond" w:cs="Arial"/>
          <w:sz w:val="24"/>
          <w:szCs w:val="24"/>
        </w:rPr>
        <w:t>autêntico</w:t>
      </w:r>
      <w:r w:rsidR="00A132B3" w:rsidRPr="00852A19">
        <w:rPr>
          <w:rFonts w:ascii="Garamond" w:hAnsi="Garamond" w:cs="Arial"/>
          <w:sz w:val="24"/>
          <w:szCs w:val="24"/>
        </w:rPr>
        <w:t xml:space="preserve"> </w:t>
      </w:r>
      <w:r w:rsidR="00852A19">
        <w:rPr>
          <w:rFonts w:ascii="Garamond" w:hAnsi="Garamond" w:cs="Arial"/>
          <w:sz w:val="24"/>
          <w:szCs w:val="24"/>
        </w:rPr>
        <w:t>“</w:t>
      </w:r>
      <w:r w:rsidR="00A132B3" w:rsidRPr="00852A19">
        <w:rPr>
          <w:rFonts w:ascii="Garamond" w:hAnsi="Garamond" w:cs="Arial"/>
          <w:sz w:val="24"/>
          <w:szCs w:val="24"/>
        </w:rPr>
        <w:t>blo</w:t>
      </w:r>
      <w:r w:rsidRPr="00852A19">
        <w:rPr>
          <w:rFonts w:ascii="Garamond" w:hAnsi="Garamond" w:cs="Arial"/>
          <w:sz w:val="24"/>
          <w:szCs w:val="24"/>
        </w:rPr>
        <w:t>co</w:t>
      </w:r>
      <w:r w:rsidR="00A132B3" w:rsidRPr="00852A19">
        <w:rPr>
          <w:rFonts w:ascii="Garamond" w:hAnsi="Garamond" w:cs="Arial"/>
          <w:sz w:val="24"/>
          <w:szCs w:val="24"/>
        </w:rPr>
        <w:t xml:space="preserve"> de </w:t>
      </w:r>
      <w:r w:rsidR="00E15BB2" w:rsidRPr="00852A19">
        <w:rPr>
          <w:rFonts w:ascii="Garamond" w:hAnsi="Garamond" w:cs="Arial"/>
          <w:sz w:val="24"/>
          <w:szCs w:val="24"/>
        </w:rPr>
        <w:t>Convencionalidade</w:t>
      </w:r>
      <w:r w:rsidR="00852A19" w:rsidRPr="00852A19">
        <w:rPr>
          <w:rFonts w:ascii="Garamond" w:hAnsi="Garamond" w:cs="Arial"/>
          <w:sz w:val="24"/>
          <w:szCs w:val="24"/>
        </w:rPr>
        <w:t>”»</w:t>
      </w:r>
      <w:r w:rsidR="003A528A" w:rsidRPr="00852A19">
        <w:rPr>
          <w:rFonts w:ascii="Garamond" w:hAnsi="Garamond" w:cs="Arial"/>
          <w:sz w:val="24"/>
          <w:szCs w:val="24"/>
        </w:rPr>
        <w:t xml:space="preserve"> </w:t>
      </w:r>
      <w:r w:rsidR="00A132B3" w:rsidRPr="003A1174">
        <w:rPr>
          <w:rFonts w:ascii="Garamond" w:hAnsi="Garamond" w:cs="Arial"/>
          <w:sz w:val="24"/>
          <w:szCs w:val="24"/>
        </w:rPr>
        <w:t xml:space="preserve">que </w:t>
      </w:r>
      <w:r w:rsidRPr="003A1174">
        <w:rPr>
          <w:rFonts w:ascii="Garamond" w:hAnsi="Garamond" w:cs="Arial"/>
          <w:sz w:val="24"/>
          <w:szCs w:val="24"/>
        </w:rPr>
        <w:t>impõe a</w:t>
      </w:r>
      <w:r w:rsidR="00A132B3" w:rsidRPr="003A1174">
        <w:rPr>
          <w:rFonts w:ascii="Garamond" w:hAnsi="Garamond" w:cs="Arial"/>
          <w:sz w:val="24"/>
          <w:szCs w:val="24"/>
        </w:rPr>
        <w:t xml:space="preserve">os </w:t>
      </w:r>
      <w:r w:rsidR="00BA3CCE" w:rsidRPr="003A1174">
        <w:rPr>
          <w:rFonts w:ascii="Garamond" w:hAnsi="Garamond" w:cs="Arial"/>
          <w:sz w:val="24"/>
          <w:szCs w:val="24"/>
        </w:rPr>
        <w:t>juízes</w:t>
      </w:r>
      <w:r w:rsidR="00A132B3" w:rsidRPr="003A1174">
        <w:rPr>
          <w:rFonts w:ascii="Garamond" w:hAnsi="Garamond" w:cs="Arial"/>
          <w:sz w:val="24"/>
          <w:szCs w:val="24"/>
        </w:rPr>
        <w:t xml:space="preserve"> </w:t>
      </w:r>
      <w:r w:rsidR="00190B59" w:rsidRPr="003A1174">
        <w:rPr>
          <w:rFonts w:ascii="Garamond" w:hAnsi="Garamond" w:cs="Arial"/>
          <w:sz w:val="24"/>
          <w:szCs w:val="24"/>
        </w:rPr>
        <w:t>nacionais</w:t>
      </w:r>
      <w:r w:rsidRPr="003A1174">
        <w:rPr>
          <w:rFonts w:ascii="Garamond" w:hAnsi="Garamond" w:cs="Arial"/>
          <w:sz w:val="24"/>
          <w:szCs w:val="24"/>
        </w:rPr>
        <w:t xml:space="preserve"> um</w:t>
      </w:r>
      <w:r w:rsidR="00A132B3" w:rsidRPr="003A1174">
        <w:rPr>
          <w:rFonts w:ascii="Garamond" w:hAnsi="Garamond" w:cs="Arial"/>
          <w:sz w:val="24"/>
          <w:szCs w:val="24"/>
        </w:rPr>
        <w:t xml:space="preserve">a </w:t>
      </w:r>
      <w:r w:rsidRPr="003A1174">
        <w:rPr>
          <w:rFonts w:ascii="Garamond" w:hAnsi="Garamond" w:cs="Arial"/>
          <w:sz w:val="24"/>
          <w:szCs w:val="24"/>
        </w:rPr>
        <w:t xml:space="preserve">atualização </w:t>
      </w:r>
      <w:r w:rsidR="00A132B3" w:rsidRPr="003A1174">
        <w:rPr>
          <w:rFonts w:ascii="Garamond" w:hAnsi="Garamond" w:cs="Arial"/>
          <w:sz w:val="24"/>
          <w:szCs w:val="24"/>
        </w:rPr>
        <w:t xml:space="preserve">permanente </w:t>
      </w:r>
      <w:r w:rsidRPr="003A1174">
        <w:rPr>
          <w:rFonts w:ascii="Garamond" w:hAnsi="Garamond" w:cs="Arial"/>
          <w:sz w:val="24"/>
          <w:szCs w:val="24"/>
        </w:rPr>
        <w:t xml:space="preserve">no que se refere às </w:t>
      </w:r>
      <w:r w:rsidR="005D38DC" w:rsidRPr="003A1174">
        <w:rPr>
          <w:rFonts w:ascii="Garamond" w:hAnsi="Garamond" w:cs="Arial"/>
          <w:sz w:val="24"/>
          <w:szCs w:val="24"/>
        </w:rPr>
        <w:t>decisões</w:t>
      </w:r>
      <w:r w:rsidR="00A132B3" w:rsidRPr="003A1174">
        <w:rPr>
          <w:rFonts w:ascii="Garamond" w:hAnsi="Garamond" w:cs="Arial"/>
          <w:sz w:val="24"/>
          <w:szCs w:val="24"/>
        </w:rPr>
        <w:t xml:space="preserve"> d</w:t>
      </w:r>
      <w:r w:rsidR="00935298">
        <w:rPr>
          <w:rFonts w:ascii="Garamond" w:hAnsi="Garamond" w:cs="Arial"/>
          <w:sz w:val="24"/>
          <w:szCs w:val="24"/>
        </w:rPr>
        <w:t>o</w:t>
      </w:r>
      <w:r w:rsidR="002A7FDD" w:rsidRPr="003A1174">
        <w:rPr>
          <w:rFonts w:ascii="Garamond" w:hAnsi="Garamond" w:cs="Arial"/>
          <w:sz w:val="24"/>
          <w:szCs w:val="24"/>
        </w:rPr>
        <w:t xml:space="preserve"> </w:t>
      </w:r>
      <w:r w:rsidR="00935298">
        <w:rPr>
          <w:rFonts w:ascii="Garamond" w:hAnsi="Garamond" w:cs="Arial"/>
          <w:sz w:val="24"/>
          <w:szCs w:val="24"/>
        </w:rPr>
        <w:t>Tribunal I</w:t>
      </w:r>
      <w:r w:rsidR="00A132B3" w:rsidRPr="003A1174">
        <w:rPr>
          <w:rFonts w:ascii="Garamond" w:hAnsi="Garamond" w:cs="Arial"/>
          <w:sz w:val="24"/>
          <w:szCs w:val="24"/>
        </w:rPr>
        <w:t>nteramerican</w:t>
      </w:r>
      <w:r w:rsidR="00935298">
        <w:rPr>
          <w:rFonts w:ascii="Garamond" w:hAnsi="Garamond" w:cs="Arial"/>
          <w:sz w:val="24"/>
          <w:szCs w:val="24"/>
        </w:rPr>
        <w:t>o</w:t>
      </w:r>
      <w:r w:rsidR="003A528A" w:rsidRPr="003A1174">
        <w:rPr>
          <w:rFonts w:ascii="Garamond" w:hAnsi="Garamond" w:cs="Arial"/>
          <w:sz w:val="24"/>
          <w:szCs w:val="24"/>
        </w:rPr>
        <w:t>;</w:t>
      </w:r>
      <w:r w:rsidR="00A132B3" w:rsidRPr="003A1174">
        <w:rPr>
          <w:rStyle w:val="Refdenotaalpie"/>
          <w:rFonts w:ascii="Garamond" w:hAnsi="Garamond" w:cs="Arial"/>
          <w:sz w:val="24"/>
          <w:szCs w:val="24"/>
        </w:rPr>
        <w:footnoteReference w:id="47"/>
      </w:r>
      <w:r w:rsidR="00A132B3" w:rsidRPr="003A1174">
        <w:rPr>
          <w:rFonts w:ascii="Garamond" w:hAnsi="Garamond" w:cs="Arial"/>
          <w:sz w:val="24"/>
          <w:szCs w:val="24"/>
        </w:rPr>
        <w:t xml:space="preserve"> </w:t>
      </w:r>
      <w:r w:rsidR="00774697" w:rsidRPr="003A1174">
        <w:rPr>
          <w:rFonts w:ascii="Garamond" w:hAnsi="Garamond" w:cs="Arial"/>
          <w:sz w:val="24"/>
          <w:szCs w:val="24"/>
        </w:rPr>
        <w:t xml:space="preserve">na medida em </w:t>
      </w:r>
      <w:r w:rsidR="00A132B3" w:rsidRPr="003A1174">
        <w:rPr>
          <w:rFonts w:ascii="Garamond" w:hAnsi="Garamond" w:cs="Arial"/>
          <w:sz w:val="24"/>
          <w:szCs w:val="24"/>
        </w:rPr>
        <w:t xml:space="preserve">que, como insiste Mac-Gregor Poisot, </w:t>
      </w:r>
      <w:r w:rsidR="00774697" w:rsidRPr="003A1174">
        <w:rPr>
          <w:rFonts w:ascii="Garamond" w:hAnsi="Garamond" w:cs="Arial"/>
          <w:sz w:val="24"/>
          <w:szCs w:val="24"/>
        </w:rPr>
        <w:t xml:space="preserve">as ditas </w:t>
      </w:r>
      <w:r w:rsidR="005D38DC" w:rsidRPr="003A1174">
        <w:rPr>
          <w:rFonts w:ascii="Garamond" w:hAnsi="Garamond" w:cs="Arial"/>
          <w:sz w:val="24"/>
          <w:szCs w:val="24"/>
        </w:rPr>
        <w:t>decisões</w:t>
      </w:r>
      <w:r w:rsidR="00A132B3" w:rsidRPr="003A1174">
        <w:rPr>
          <w:rFonts w:ascii="Garamond" w:hAnsi="Garamond" w:cs="Arial"/>
          <w:sz w:val="24"/>
          <w:szCs w:val="24"/>
        </w:rPr>
        <w:t xml:space="preserve"> </w:t>
      </w:r>
      <w:r w:rsidR="00852A19">
        <w:rPr>
          <w:rFonts w:ascii="Garamond" w:hAnsi="Garamond" w:cs="Arial"/>
          <w:sz w:val="24"/>
          <w:szCs w:val="24"/>
        </w:rPr>
        <w:t>«</w:t>
      </w:r>
      <w:r w:rsidR="00FB09CA" w:rsidRPr="00852A19">
        <w:rPr>
          <w:rFonts w:ascii="Garamond" w:hAnsi="Garamond" w:cs="Arial"/>
          <w:sz w:val="24"/>
          <w:szCs w:val="24"/>
        </w:rPr>
        <w:t>constitu</w:t>
      </w:r>
      <w:r w:rsidR="00774697" w:rsidRPr="00852A19">
        <w:rPr>
          <w:rFonts w:ascii="Garamond" w:hAnsi="Garamond" w:cs="Arial"/>
          <w:sz w:val="24"/>
          <w:szCs w:val="24"/>
        </w:rPr>
        <w:t xml:space="preserve">em </w:t>
      </w:r>
      <w:r w:rsidR="00A132B3" w:rsidRPr="00852A19">
        <w:rPr>
          <w:rFonts w:ascii="Garamond" w:hAnsi="Garamond" w:cs="Arial"/>
          <w:sz w:val="24"/>
          <w:szCs w:val="24"/>
        </w:rPr>
        <w:t>normas que deriva</w:t>
      </w:r>
      <w:r w:rsidR="00774697" w:rsidRPr="00852A19">
        <w:rPr>
          <w:rFonts w:ascii="Garamond" w:hAnsi="Garamond" w:cs="Arial"/>
          <w:sz w:val="24"/>
          <w:szCs w:val="24"/>
        </w:rPr>
        <w:t xml:space="preserve">m da </w:t>
      </w:r>
      <w:r w:rsidR="00A132B3" w:rsidRPr="00852A19">
        <w:rPr>
          <w:rFonts w:ascii="Garamond" w:hAnsi="Garamond" w:cs="Arial"/>
          <w:sz w:val="24"/>
          <w:szCs w:val="24"/>
        </w:rPr>
        <w:t>[</w:t>
      </w:r>
      <w:r w:rsidR="00B14AA6" w:rsidRPr="00852A19">
        <w:rPr>
          <w:rFonts w:ascii="Garamond" w:hAnsi="Garamond" w:cs="Arial"/>
          <w:sz w:val="24"/>
          <w:szCs w:val="24"/>
        </w:rPr>
        <w:t>Convenção</w:t>
      </w:r>
      <w:r w:rsidR="00A132B3" w:rsidRPr="00852A19">
        <w:rPr>
          <w:rFonts w:ascii="Garamond" w:hAnsi="Garamond" w:cs="Arial"/>
          <w:sz w:val="24"/>
          <w:szCs w:val="24"/>
        </w:rPr>
        <w:t xml:space="preserve"> Americana sobre </w:t>
      </w:r>
      <w:r w:rsidR="00886D6A" w:rsidRPr="00852A19">
        <w:rPr>
          <w:rFonts w:ascii="Garamond" w:hAnsi="Garamond" w:cs="Arial"/>
          <w:sz w:val="24"/>
          <w:szCs w:val="24"/>
        </w:rPr>
        <w:t>Direito</w:t>
      </w:r>
      <w:r w:rsidR="00A132B3" w:rsidRPr="00852A19">
        <w:rPr>
          <w:rFonts w:ascii="Garamond" w:hAnsi="Garamond" w:cs="Arial"/>
          <w:sz w:val="24"/>
          <w:szCs w:val="24"/>
        </w:rPr>
        <w:t>s</w:t>
      </w:r>
      <w:r w:rsidR="00E878D5" w:rsidRPr="00852A19">
        <w:rPr>
          <w:rFonts w:ascii="Garamond" w:hAnsi="Garamond" w:cs="Arial"/>
          <w:sz w:val="24"/>
          <w:szCs w:val="24"/>
        </w:rPr>
        <w:t xml:space="preserve"> </w:t>
      </w:r>
      <w:r w:rsidR="00C031E1" w:rsidRPr="00852A19">
        <w:rPr>
          <w:rFonts w:ascii="Garamond" w:hAnsi="Garamond" w:cs="Arial"/>
          <w:sz w:val="24"/>
          <w:szCs w:val="24"/>
        </w:rPr>
        <w:t>Humanos</w:t>
      </w:r>
      <w:r w:rsidR="00E878D5" w:rsidRPr="00852A19">
        <w:rPr>
          <w:rFonts w:ascii="Garamond" w:hAnsi="Garamond" w:cs="Arial"/>
          <w:sz w:val="24"/>
          <w:szCs w:val="24"/>
        </w:rPr>
        <w:t>]</w:t>
      </w:r>
      <w:r w:rsidR="00C031E1" w:rsidRPr="00852A19">
        <w:rPr>
          <w:rFonts w:ascii="Garamond" w:hAnsi="Garamond" w:cs="Arial"/>
          <w:sz w:val="24"/>
          <w:szCs w:val="24"/>
        </w:rPr>
        <w:t>,</w:t>
      </w:r>
      <w:r w:rsidR="00E878D5" w:rsidRPr="00852A19">
        <w:rPr>
          <w:rFonts w:ascii="Garamond" w:hAnsi="Garamond" w:cs="Arial"/>
          <w:sz w:val="24"/>
          <w:szCs w:val="24"/>
        </w:rPr>
        <w:t xml:space="preserve"> d</w:t>
      </w:r>
      <w:r w:rsidR="00774697" w:rsidRPr="00852A19">
        <w:rPr>
          <w:rFonts w:ascii="Garamond" w:hAnsi="Garamond" w:cs="Arial"/>
          <w:sz w:val="24"/>
          <w:szCs w:val="24"/>
        </w:rPr>
        <w:t>a q</w:t>
      </w:r>
      <w:r w:rsidR="00A132B3" w:rsidRPr="00852A19">
        <w:rPr>
          <w:rFonts w:ascii="Garamond" w:hAnsi="Garamond" w:cs="Arial"/>
          <w:sz w:val="24"/>
          <w:szCs w:val="24"/>
        </w:rPr>
        <w:t xml:space="preserve">ual se </w:t>
      </w:r>
      <w:r w:rsidR="00774697" w:rsidRPr="00852A19">
        <w:rPr>
          <w:rFonts w:ascii="Garamond" w:hAnsi="Garamond" w:cs="Arial"/>
          <w:sz w:val="24"/>
          <w:szCs w:val="24"/>
        </w:rPr>
        <w:t xml:space="preserve">pretende que tenha a mesma </w:t>
      </w:r>
      <w:r w:rsidR="00454353" w:rsidRPr="00852A19">
        <w:rPr>
          <w:rFonts w:ascii="Garamond" w:hAnsi="Garamond" w:cs="Arial"/>
          <w:sz w:val="24"/>
          <w:szCs w:val="24"/>
        </w:rPr>
        <w:t>eficácia</w:t>
      </w:r>
      <w:r w:rsidR="00A132B3" w:rsidRPr="00852A19">
        <w:rPr>
          <w:rFonts w:ascii="Garamond" w:hAnsi="Garamond" w:cs="Arial"/>
          <w:sz w:val="24"/>
          <w:szCs w:val="24"/>
        </w:rPr>
        <w:t xml:space="preserve"> (</w:t>
      </w:r>
      <w:r w:rsidR="00774697" w:rsidRPr="00852A19">
        <w:rPr>
          <w:rFonts w:ascii="Garamond" w:hAnsi="Garamond" w:cs="Arial"/>
          <w:sz w:val="24"/>
          <w:szCs w:val="24"/>
        </w:rPr>
        <w:t>direta</w:t>
      </w:r>
      <w:r w:rsidR="00A132B3" w:rsidRPr="00852A19">
        <w:rPr>
          <w:rFonts w:ascii="Garamond" w:hAnsi="Garamond" w:cs="Arial"/>
          <w:sz w:val="24"/>
          <w:szCs w:val="24"/>
        </w:rPr>
        <w:t>) que t</w:t>
      </w:r>
      <w:r w:rsidR="00774697" w:rsidRPr="00852A19">
        <w:rPr>
          <w:rFonts w:ascii="Garamond" w:hAnsi="Garamond" w:cs="Arial"/>
          <w:sz w:val="24"/>
          <w:szCs w:val="24"/>
        </w:rPr>
        <w:t xml:space="preserve">em o referido </w:t>
      </w:r>
      <w:r w:rsidR="00A132B3" w:rsidRPr="00852A19">
        <w:rPr>
          <w:rFonts w:ascii="Garamond" w:hAnsi="Garamond" w:cs="Arial"/>
          <w:sz w:val="24"/>
          <w:szCs w:val="24"/>
        </w:rPr>
        <w:t>tratado internacional.</w:t>
      </w:r>
      <w:r w:rsidR="00852A19">
        <w:rPr>
          <w:rFonts w:ascii="Garamond" w:hAnsi="Garamond" w:cs="Arial"/>
          <w:sz w:val="24"/>
          <w:szCs w:val="24"/>
        </w:rPr>
        <w:t>»</w:t>
      </w:r>
      <w:r w:rsidR="00A132B3" w:rsidRPr="00852A19">
        <w:rPr>
          <w:rStyle w:val="Refdenotaalpie"/>
          <w:rFonts w:ascii="Garamond" w:hAnsi="Garamond" w:cs="Arial"/>
          <w:sz w:val="24"/>
          <w:szCs w:val="24"/>
        </w:rPr>
        <w:footnoteReference w:id="48"/>
      </w:r>
      <w:r w:rsidR="00A132B3" w:rsidRPr="00852A19">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774697"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E</w:t>
      </w:r>
      <w:r w:rsidR="003A528A" w:rsidRPr="003A1174">
        <w:rPr>
          <w:rFonts w:ascii="Garamond" w:hAnsi="Garamond" w:cs="Arial"/>
          <w:sz w:val="24"/>
          <w:szCs w:val="24"/>
        </w:rPr>
        <w:t>,</w:t>
      </w:r>
      <w:r w:rsidR="00A132B3" w:rsidRPr="003A1174">
        <w:rPr>
          <w:rFonts w:ascii="Garamond" w:hAnsi="Garamond" w:cs="Arial"/>
          <w:sz w:val="24"/>
          <w:szCs w:val="24"/>
        </w:rPr>
        <w:t xml:space="preserve"> de modo enfático, </w:t>
      </w:r>
      <w:r w:rsidRPr="003A1174">
        <w:rPr>
          <w:rFonts w:ascii="Garamond" w:hAnsi="Garamond" w:cs="Arial"/>
          <w:sz w:val="24"/>
          <w:szCs w:val="24"/>
        </w:rPr>
        <w:t xml:space="preserve">o </w:t>
      </w:r>
      <w:r w:rsidR="00253B1D" w:rsidRPr="003A1174">
        <w:rPr>
          <w:rFonts w:ascii="Garamond" w:hAnsi="Garamond" w:cs="Arial"/>
          <w:sz w:val="24"/>
          <w:szCs w:val="24"/>
        </w:rPr>
        <w:t>juiz</w:t>
      </w:r>
      <w:r w:rsidR="00A132B3" w:rsidRPr="003A1174">
        <w:rPr>
          <w:rFonts w:ascii="Garamond" w:hAnsi="Garamond" w:cs="Arial"/>
          <w:sz w:val="24"/>
          <w:szCs w:val="24"/>
        </w:rPr>
        <w:t xml:space="preserve"> </w:t>
      </w:r>
      <w:r w:rsidRPr="003A1174">
        <w:rPr>
          <w:rFonts w:ascii="Garamond" w:hAnsi="Garamond" w:cs="Arial"/>
          <w:sz w:val="24"/>
          <w:szCs w:val="24"/>
        </w:rPr>
        <w:t xml:space="preserve">expõe </w:t>
      </w:r>
      <w:r w:rsidR="00A132B3" w:rsidRPr="003A1174">
        <w:rPr>
          <w:rFonts w:ascii="Garamond" w:hAnsi="Garamond" w:cs="Arial"/>
          <w:sz w:val="24"/>
          <w:szCs w:val="24"/>
        </w:rPr>
        <w:t xml:space="preserve">a </w:t>
      </w:r>
      <w:r w:rsidR="00EB2F44" w:rsidRPr="003A1174">
        <w:rPr>
          <w:rFonts w:ascii="Garamond" w:hAnsi="Garamond" w:cs="Arial"/>
          <w:sz w:val="24"/>
          <w:szCs w:val="24"/>
        </w:rPr>
        <w:t>obrigatoriedade</w:t>
      </w:r>
      <w:r w:rsidRPr="003A1174">
        <w:rPr>
          <w:rFonts w:ascii="Garamond" w:hAnsi="Garamond" w:cs="Arial"/>
          <w:sz w:val="24"/>
          <w:szCs w:val="24"/>
        </w:rPr>
        <w:t xml:space="preserve"> e</w:t>
      </w:r>
      <w:r w:rsidR="00A132B3" w:rsidRPr="003A1174">
        <w:rPr>
          <w:rFonts w:ascii="Garamond" w:hAnsi="Garamond" w:cs="Arial"/>
          <w:sz w:val="24"/>
          <w:szCs w:val="24"/>
        </w:rPr>
        <w:t xml:space="preserve"> </w:t>
      </w:r>
      <w:r w:rsidR="00454353" w:rsidRPr="003A1174">
        <w:rPr>
          <w:rFonts w:ascii="Garamond" w:hAnsi="Garamond" w:cs="Arial"/>
          <w:sz w:val="24"/>
          <w:szCs w:val="24"/>
        </w:rPr>
        <w:t>eficácia</w:t>
      </w:r>
      <w:r w:rsidR="00A132B3" w:rsidRPr="003A1174">
        <w:rPr>
          <w:rFonts w:ascii="Garamond" w:hAnsi="Garamond" w:cs="Arial"/>
          <w:sz w:val="24"/>
          <w:szCs w:val="24"/>
        </w:rPr>
        <w:t xml:space="preserve"> </w:t>
      </w:r>
      <w:r w:rsidR="000350B1" w:rsidRPr="003A1174">
        <w:rPr>
          <w:rFonts w:ascii="Garamond" w:hAnsi="Garamond" w:cs="Arial"/>
          <w:sz w:val="24"/>
          <w:szCs w:val="24"/>
        </w:rPr>
        <w:t>também</w:t>
      </w:r>
      <w:r w:rsidR="00A132B3" w:rsidRPr="003A1174">
        <w:rPr>
          <w:rFonts w:ascii="Garamond" w:hAnsi="Garamond" w:cs="Arial"/>
          <w:sz w:val="24"/>
          <w:szCs w:val="24"/>
        </w:rPr>
        <w:t xml:space="preserve"> </w:t>
      </w:r>
      <w:r w:rsidRPr="003A1174">
        <w:rPr>
          <w:rFonts w:ascii="Garamond" w:hAnsi="Garamond" w:cs="Arial"/>
          <w:sz w:val="24"/>
          <w:szCs w:val="24"/>
        </w:rPr>
        <w:t>direta</w:t>
      </w:r>
      <w:r w:rsidR="00A132B3" w:rsidRPr="003A1174">
        <w:rPr>
          <w:rFonts w:ascii="Garamond" w:hAnsi="Garamond" w:cs="Arial"/>
          <w:sz w:val="24"/>
          <w:szCs w:val="24"/>
        </w:rPr>
        <w:t xml:space="preserve">s dos </w:t>
      </w:r>
      <w:r w:rsidR="00CB5DB2" w:rsidRPr="003A1174">
        <w:rPr>
          <w:rFonts w:ascii="Garamond" w:hAnsi="Garamond" w:cs="Arial"/>
          <w:sz w:val="24"/>
          <w:szCs w:val="24"/>
        </w:rPr>
        <w:t>critério</w:t>
      </w:r>
      <w:r w:rsidR="00A132B3" w:rsidRPr="003A1174">
        <w:rPr>
          <w:rFonts w:ascii="Garamond" w:hAnsi="Garamond" w:cs="Arial"/>
          <w:sz w:val="24"/>
          <w:szCs w:val="24"/>
        </w:rPr>
        <w:t xml:space="preserve">s </w:t>
      </w:r>
      <w:r w:rsidRPr="003A1174">
        <w:rPr>
          <w:rFonts w:ascii="Garamond" w:hAnsi="Garamond" w:cs="Arial"/>
          <w:sz w:val="24"/>
          <w:szCs w:val="24"/>
        </w:rPr>
        <w:t>jurisprudenciais</w:t>
      </w:r>
      <w:r w:rsidR="00A132B3" w:rsidRPr="003A1174">
        <w:rPr>
          <w:rFonts w:ascii="Garamond" w:hAnsi="Garamond" w:cs="Arial"/>
          <w:sz w:val="24"/>
          <w:szCs w:val="24"/>
        </w:rPr>
        <w:t xml:space="preserve"> d</w:t>
      </w:r>
      <w:r w:rsidRPr="003A1174">
        <w:rPr>
          <w:rFonts w:ascii="Garamond" w:hAnsi="Garamond" w:cs="Arial"/>
          <w:sz w:val="24"/>
          <w:szCs w:val="24"/>
        </w:rPr>
        <w:t>o</w:t>
      </w:r>
      <w:r w:rsidR="00A132B3" w:rsidRPr="003A1174">
        <w:rPr>
          <w:rFonts w:ascii="Garamond" w:hAnsi="Garamond" w:cs="Arial"/>
          <w:sz w:val="24"/>
          <w:szCs w:val="24"/>
        </w:rPr>
        <w:t xml:space="preserve"> Tribunal Interamericano, inclus</w:t>
      </w:r>
      <w:r w:rsidRPr="003A1174">
        <w:rPr>
          <w:rFonts w:ascii="Garamond" w:hAnsi="Garamond" w:cs="Arial"/>
          <w:sz w:val="24"/>
          <w:szCs w:val="24"/>
        </w:rPr>
        <w:t xml:space="preserve">ivamente para </w:t>
      </w:r>
      <w:r w:rsidR="00A132B3" w:rsidRPr="003A1174">
        <w:rPr>
          <w:rFonts w:ascii="Garamond" w:hAnsi="Garamond" w:cs="Arial"/>
          <w:sz w:val="24"/>
          <w:szCs w:val="24"/>
        </w:rPr>
        <w:t>os Estados que n</w:t>
      </w:r>
      <w:r w:rsidRPr="003A1174">
        <w:rPr>
          <w:rFonts w:ascii="Garamond" w:hAnsi="Garamond" w:cs="Arial"/>
          <w:sz w:val="24"/>
          <w:szCs w:val="24"/>
        </w:rPr>
        <w:t>ã</w:t>
      </w:r>
      <w:r w:rsidR="00A132B3" w:rsidRPr="003A1174">
        <w:rPr>
          <w:rFonts w:ascii="Garamond" w:hAnsi="Garamond" w:cs="Arial"/>
          <w:sz w:val="24"/>
          <w:szCs w:val="24"/>
        </w:rPr>
        <w:t xml:space="preserve">o </w:t>
      </w:r>
      <w:r w:rsidRPr="003A1174">
        <w:rPr>
          <w:rFonts w:ascii="Garamond" w:hAnsi="Garamond" w:cs="Arial"/>
          <w:sz w:val="24"/>
          <w:szCs w:val="24"/>
        </w:rPr>
        <w:t xml:space="preserve">tenham </w:t>
      </w:r>
      <w:r w:rsidR="00A132B3" w:rsidRPr="003A1174">
        <w:rPr>
          <w:rFonts w:ascii="Garamond" w:hAnsi="Garamond" w:cs="Arial"/>
          <w:sz w:val="24"/>
          <w:szCs w:val="24"/>
        </w:rPr>
        <w:t xml:space="preserve">sido </w:t>
      </w:r>
      <w:r w:rsidRPr="003A1174">
        <w:rPr>
          <w:rFonts w:ascii="Garamond" w:hAnsi="Garamond" w:cs="Arial"/>
          <w:sz w:val="24"/>
          <w:szCs w:val="24"/>
        </w:rPr>
        <w:t>partes materiais</w:t>
      </w:r>
      <w:r w:rsidR="00A132B3" w:rsidRPr="003A1174">
        <w:rPr>
          <w:rFonts w:ascii="Garamond" w:hAnsi="Garamond" w:cs="Arial"/>
          <w:sz w:val="24"/>
          <w:szCs w:val="24"/>
        </w:rPr>
        <w:t xml:space="preserve"> </w:t>
      </w:r>
      <w:r w:rsidRPr="003A1174">
        <w:rPr>
          <w:rFonts w:ascii="Garamond" w:hAnsi="Garamond" w:cs="Arial"/>
          <w:sz w:val="24"/>
          <w:szCs w:val="24"/>
        </w:rPr>
        <w:t>n</w:t>
      </w:r>
      <w:r w:rsidR="00A132B3" w:rsidRPr="003A1174">
        <w:rPr>
          <w:rFonts w:ascii="Garamond" w:hAnsi="Garamond" w:cs="Arial"/>
          <w:sz w:val="24"/>
          <w:szCs w:val="24"/>
        </w:rPr>
        <w:t xml:space="preserve">os </w:t>
      </w:r>
      <w:r w:rsidR="002D1021" w:rsidRPr="003A1174">
        <w:rPr>
          <w:rFonts w:ascii="Garamond" w:hAnsi="Garamond" w:cs="Arial"/>
          <w:sz w:val="24"/>
          <w:szCs w:val="24"/>
        </w:rPr>
        <w:t>processo</w:t>
      </w:r>
      <w:r w:rsidRPr="003A1174">
        <w:rPr>
          <w:rFonts w:ascii="Garamond" w:hAnsi="Garamond" w:cs="Arial"/>
          <w:sz w:val="24"/>
          <w:szCs w:val="24"/>
        </w:rPr>
        <w:t xml:space="preserve">s de </w:t>
      </w:r>
      <w:r w:rsidR="00A132B3" w:rsidRPr="003A1174">
        <w:rPr>
          <w:rFonts w:ascii="Garamond" w:hAnsi="Garamond" w:cs="Arial"/>
          <w:sz w:val="24"/>
          <w:szCs w:val="24"/>
        </w:rPr>
        <w:t>onde aquel</w:t>
      </w:r>
      <w:r w:rsidRPr="003A1174">
        <w:rPr>
          <w:rFonts w:ascii="Garamond" w:hAnsi="Garamond" w:cs="Arial"/>
          <w:sz w:val="24"/>
          <w:szCs w:val="24"/>
        </w:rPr>
        <w:t>e</w:t>
      </w:r>
      <w:r w:rsidR="00A132B3" w:rsidRPr="003A1174">
        <w:rPr>
          <w:rFonts w:ascii="Garamond" w:hAnsi="Garamond" w:cs="Arial"/>
          <w:sz w:val="24"/>
          <w:szCs w:val="24"/>
        </w:rPr>
        <w:t xml:space="preserve">s </w:t>
      </w:r>
      <w:r w:rsidR="00CB5DB2" w:rsidRPr="003A1174">
        <w:rPr>
          <w:rFonts w:ascii="Garamond" w:hAnsi="Garamond" w:cs="Arial"/>
          <w:sz w:val="24"/>
          <w:szCs w:val="24"/>
        </w:rPr>
        <w:t>critério</w:t>
      </w:r>
      <w:r w:rsidR="00A132B3" w:rsidRPr="003A1174">
        <w:rPr>
          <w:rFonts w:ascii="Garamond" w:hAnsi="Garamond" w:cs="Arial"/>
          <w:sz w:val="24"/>
          <w:szCs w:val="24"/>
        </w:rPr>
        <w:t xml:space="preserve">s </w:t>
      </w:r>
      <w:r w:rsidR="003A528A" w:rsidRPr="003A1174">
        <w:rPr>
          <w:rFonts w:ascii="Garamond" w:hAnsi="Garamond" w:cs="Arial"/>
          <w:sz w:val="24"/>
          <w:szCs w:val="24"/>
        </w:rPr>
        <w:t>provi</w:t>
      </w:r>
      <w:r w:rsidRPr="003A1174">
        <w:rPr>
          <w:rFonts w:ascii="Garamond" w:hAnsi="Garamond" w:cs="Arial"/>
          <w:sz w:val="24"/>
          <w:szCs w:val="24"/>
        </w:rPr>
        <w:t>eram</w:t>
      </w:r>
      <w:r w:rsidR="00A132B3" w:rsidRPr="003A1174">
        <w:rPr>
          <w:rFonts w:ascii="Garamond" w:hAnsi="Garamond" w:cs="Arial"/>
          <w:sz w:val="24"/>
          <w:szCs w:val="24"/>
        </w:rPr>
        <w:t xml:space="preserve">, </w:t>
      </w:r>
      <w:r w:rsidR="00120915" w:rsidRPr="003A1174">
        <w:rPr>
          <w:rFonts w:ascii="Garamond" w:hAnsi="Garamond" w:cs="Arial"/>
          <w:sz w:val="24"/>
          <w:szCs w:val="24"/>
        </w:rPr>
        <w:t>pois</w:t>
      </w:r>
      <w:r w:rsidRPr="003A1174">
        <w:rPr>
          <w:rFonts w:ascii="Garamond" w:hAnsi="Garamond" w:cs="Arial"/>
          <w:sz w:val="24"/>
          <w:szCs w:val="24"/>
        </w:rPr>
        <w:t xml:space="preserve"> </w:t>
      </w:r>
      <w:r w:rsidR="00A132B3" w:rsidRPr="003A1174">
        <w:rPr>
          <w:rFonts w:ascii="Garamond" w:hAnsi="Garamond" w:cs="Arial"/>
          <w:sz w:val="24"/>
          <w:szCs w:val="24"/>
        </w:rPr>
        <w:t xml:space="preserve">as </w:t>
      </w:r>
      <w:r w:rsidR="004C71E0" w:rsidRPr="003A1174">
        <w:rPr>
          <w:rFonts w:ascii="Garamond" w:hAnsi="Garamond" w:cs="Arial"/>
          <w:sz w:val="24"/>
          <w:szCs w:val="24"/>
        </w:rPr>
        <w:t>interpretações</w:t>
      </w:r>
      <w:r w:rsidR="00A132B3" w:rsidRPr="003A1174">
        <w:rPr>
          <w:rFonts w:ascii="Garamond" w:hAnsi="Garamond" w:cs="Arial"/>
          <w:sz w:val="24"/>
          <w:szCs w:val="24"/>
        </w:rPr>
        <w:t xml:space="preserve"> da </w:t>
      </w:r>
      <w:r w:rsidR="00FF6A3F" w:rsidRPr="003A1174">
        <w:rPr>
          <w:rFonts w:ascii="Garamond" w:hAnsi="Garamond" w:cs="Arial"/>
          <w:sz w:val="24"/>
          <w:szCs w:val="24"/>
        </w:rPr>
        <w:t>Comissão</w:t>
      </w:r>
      <w:r w:rsidR="00A132B3" w:rsidRPr="003A1174">
        <w:rPr>
          <w:rFonts w:ascii="Garamond" w:hAnsi="Garamond" w:cs="Arial"/>
          <w:sz w:val="24"/>
          <w:szCs w:val="24"/>
        </w:rPr>
        <w:t xml:space="preserve">, </w:t>
      </w:r>
      <w:r w:rsidRPr="003A1174">
        <w:rPr>
          <w:rFonts w:ascii="Garamond" w:hAnsi="Garamond" w:cs="Arial"/>
          <w:sz w:val="24"/>
          <w:szCs w:val="24"/>
        </w:rPr>
        <w:t>afirma</w:t>
      </w:r>
      <w:r w:rsidR="00A132B3" w:rsidRPr="003A1174">
        <w:rPr>
          <w:rFonts w:ascii="Garamond" w:hAnsi="Garamond" w:cs="Arial"/>
          <w:i/>
          <w:sz w:val="24"/>
          <w:szCs w:val="24"/>
        </w:rPr>
        <w:t xml:space="preserve">, </w:t>
      </w:r>
      <w:r w:rsidR="00852A19">
        <w:rPr>
          <w:rFonts w:ascii="Garamond" w:hAnsi="Garamond" w:cs="Arial"/>
          <w:i/>
          <w:sz w:val="24"/>
          <w:szCs w:val="24"/>
        </w:rPr>
        <w:t>«</w:t>
      </w:r>
      <w:r w:rsidR="00A132B3" w:rsidRPr="003A1174">
        <w:rPr>
          <w:rFonts w:ascii="Garamond" w:hAnsi="Garamond" w:cs="Arial"/>
          <w:i/>
          <w:sz w:val="24"/>
          <w:szCs w:val="24"/>
        </w:rPr>
        <w:t>pro</w:t>
      </w:r>
      <w:r w:rsidRPr="003A1174">
        <w:rPr>
          <w:rFonts w:ascii="Garamond" w:hAnsi="Garamond" w:cs="Arial"/>
          <w:i/>
          <w:sz w:val="24"/>
          <w:szCs w:val="24"/>
        </w:rPr>
        <w:t>jetam-se em duas dimensões</w:t>
      </w:r>
      <w:r w:rsidR="00A132B3" w:rsidRPr="003A1174">
        <w:rPr>
          <w:rFonts w:ascii="Garamond" w:hAnsi="Garamond" w:cs="Arial"/>
          <w:i/>
          <w:sz w:val="24"/>
          <w:szCs w:val="24"/>
        </w:rPr>
        <w:t>: (i) e</w:t>
      </w:r>
      <w:r w:rsidRPr="003A1174">
        <w:rPr>
          <w:rFonts w:ascii="Garamond" w:hAnsi="Garamond" w:cs="Arial"/>
          <w:i/>
          <w:sz w:val="24"/>
          <w:szCs w:val="24"/>
        </w:rPr>
        <w:t xml:space="preserve">m conseguir a sua </w:t>
      </w:r>
      <w:r w:rsidR="00454353" w:rsidRPr="003A1174">
        <w:rPr>
          <w:rFonts w:ascii="Garamond" w:hAnsi="Garamond" w:cs="Arial"/>
          <w:i/>
          <w:sz w:val="24"/>
          <w:szCs w:val="24"/>
        </w:rPr>
        <w:t>eficácia</w:t>
      </w:r>
      <w:r w:rsidR="00A132B3" w:rsidRPr="003A1174">
        <w:rPr>
          <w:rFonts w:ascii="Garamond" w:hAnsi="Garamond" w:cs="Arial"/>
          <w:i/>
          <w:sz w:val="24"/>
          <w:szCs w:val="24"/>
        </w:rPr>
        <w:t xml:space="preserve"> </w:t>
      </w:r>
      <w:r w:rsidRPr="003A1174">
        <w:rPr>
          <w:rFonts w:ascii="Garamond" w:hAnsi="Garamond" w:cs="Arial"/>
          <w:i/>
          <w:sz w:val="24"/>
          <w:szCs w:val="24"/>
        </w:rPr>
        <w:t xml:space="preserve">no </w:t>
      </w:r>
      <w:r w:rsidR="00A132B3" w:rsidRPr="003A1174">
        <w:rPr>
          <w:rFonts w:ascii="Garamond" w:hAnsi="Garamond" w:cs="Arial"/>
          <w:i/>
          <w:sz w:val="24"/>
          <w:szCs w:val="24"/>
        </w:rPr>
        <w:t>caso particular co</w:t>
      </w:r>
      <w:r w:rsidRPr="003A1174">
        <w:rPr>
          <w:rFonts w:ascii="Garamond" w:hAnsi="Garamond" w:cs="Arial"/>
          <w:i/>
          <w:sz w:val="24"/>
          <w:szCs w:val="24"/>
        </w:rPr>
        <w:t>m</w:t>
      </w:r>
      <w:r w:rsidR="00A132B3" w:rsidRPr="003A1174">
        <w:rPr>
          <w:rFonts w:ascii="Garamond" w:hAnsi="Garamond" w:cs="Arial"/>
          <w:i/>
          <w:sz w:val="24"/>
          <w:szCs w:val="24"/>
        </w:rPr>
        <w:t xml:space="preserve"> </w:t>
      </w:r>
      <w:r w:rsidR="00863197" w:rsidRPr="003A1174">
        <w:rPr>
          <w:rFonts w:ascii="Garamond" w:hAnsi="Garamond" w:cs="Arial"/>
          <w:i/>
          <w:sz w:val="24"/>
          <w:szCs w:val="24"/>
        </w:rPr>
        <w:t>efeito</w:t>
      </w:r>
      <w:r w:rsidRPr="003A1174">
        <w:rPr>
          <w:rFonts w:ascii="Garamond" w:hAnsi="Garamond" w:cs="Arial"/>
          <w:i/>
          <w:sz w:val="24"/>
          <w:szCs w:val="24"/>
        </w:rPr>
        <w:t>s subjetivos, e</w:t>
      </w:r>
      <w:r w:rsidR="00A132B3" w:rsidRPr="003A1174">
        <w:rPr>
          <w:rFonts w:ascii="Garamond" w:hAnsi="Garamond" w:cs="Arial"/>
          <w:i/>
          <w:sz w:val="24"/>
          <w:szCs w:val="24"/>
        </w:rPr>
        <w:t xml:space="preserve"> (</w:t>
      </w:r>
      <w:proofErr w:type="gramStart"/>
      <w:r w:rsidR="00A132B3" w:rsidRPr="003A1174">
        <w:rPr>
          <w:rFonts w:ascii="Garamond" w:hAnsi="Garamond" w:cs="Arial"/>
          <w:i/>
          <w:sz w:val="24"/>
          <w:szCs w:val="24"/>
        </w:rPr>
        <w:t>ii</w:t>
      </w:r>
      <w:proofErr w:type="gramEnd"/>
      <w:r w:rsidR="00A132B3" w:rsidRPr="003A1174">
        <w:rPr>
          <w:rFonts w:ascii="Garamond" w:hAnsi="Garamond" w:cs="Arial"/>
          <w:i/>
          <w:sz w:val="24"/>
          <w:szCs w:val="24"/>
        </w:rPr>
        <w:t>) e</w:t>
      </w:r>
      <w:r w:rsidRPr="003A1174">
        <w:rPr>
          <w:rFonts w:ascii="Garamond" w:hAnsi="Garamond" w:cs="Arial"/>
          <w:i/>
          <w:sz w:val="24"/>
          <w:szCs w:val="24"/>
        </w:rPr>
        <w:t>m</w:t>
      </w:r>
      <w:r w:rsidR="00A132B3" w:rsidRPr="003A1174">
        <w:rPr>
          <w:rFonts w:ascii="Garamond" w:hAnsi="Garamond" w:cs="Arial"/>
          <w:i/>
          <w:sz w:val="24"/>
          <w:szCs w:val="24"/>
        </w:rPr>
        <w:t xml:space="preserve"> </w:t>
      </w:r>
      <w:r w:rsidR="002F5CD1" w:rsidRPr="003A1174">
        <w:rPr>
          <w:rFonts w:ascii="Garamond" w:hAnsi="Garamond" w:cs="Arial"/>
          <w:i/>
          <w:sz w:val="24"/>
          <w:szCs w:val="24"/>
        </w:rPr>
        <w:t>estabelecer</w:t>
      </w:r>
      <w:r w:rsidRPr="003A1174">
        <w:rPr>
          <w:rFonts w:ascii="Garamond" w:hAnsi="Garamond" w:cs="Arial"/>
          <w:i/>
          <w:sz w:val="24"/>
          <w:szCs w:val="24"/>
        </w:rPr>
        <w:t xml:space="preserve"> </w:t>
      </w:r>
      <w:r w:rsidR="00A132B3" w:rsidRPr="003A1174">
        <w:rPr>
          <w:rFonts w:ascii="Garamond" w:hAnsi="Garamond" w:cs="Arial"/>
          <w:i/>
          <w:sz w:val="24"/>
          <w:szCs w:val="24"/>
        </w:rPr>
        <w:t xml:space="preserve">a </w:t>
      </w:r>
      <w:r w:rsidR="00454353" w:rsidRPr="003A1174">
        <w:rPr>
          <w:rFonts w:ascii="Garamond" w:hAnsi="Garamond" w:cs="Arial"/>
          <w:i/>
          <w:sz w:val="24"/>
          <w:szCs w:val="24"/>
        </w:rPr>
        <w:t>eficácia</w:t>
      </w:r>
      <w:r w:rsidR="00A132B3" w:rsidRPr="003A1174">
        <w:rPr>
          <w:rFonts w:ascii="Garamond" w:hAnsi="Garamond" w:cs="Arial"/>
          <w:i/>
          <w:sz w:val="24"/>
          <w:szCs w:val="24"/>
        </w:rPr>
        <w:t xml:space="preserve"> </w:t>
      </w:r>
      <w:r w:rsidR="00077461" w:rsidRPr="003A1174">
        <w:rPr>
          <w:rFonts w:ascii="Garamond" w:hAnsi="Garamond" w:cs="Arial"/>
          <w:i/>
          <w:sz w:val="24"/>
          <w:szCs w:val="24"/>
        </w:rPr>
        <w:t>geral</w:t>
      </w:r>
      <w:r w:rsidR="00A132B3" w:rsidRPr="003A1174">
        <w:rPr>
          <w:rFonts w:ascii="Garamond" w:hAnsi="Garamond" w:cs="Arial"/>
          <w:i/>
          <w:sz w:val="24"/>
          <w:szCs w:val="24"/>
        </w:rPr>
        <w:t xml:space="preserve"> co</w:t>
      </w:r>
      <w:r w:rsidRPr="003A1174">
        <w:rPr>
          <w:rFonts w:ascii="Garamond" w:hAnsi="Garamond" w:cs="Arial"/>
          <w:i/>
          <w:sz w:val="24"/>
          <w:szCs w:val="24"/>
        </w:rPr>
        <w:t>m</w:t>
      </w:r>
      <w:r w:rsidR="00A132B3" w:rsidRPr="003A1174">
        <w:rPr>
          <w:rFonts w:ascii="Garamond" w:hAnsi="Garamond" w:cs="Arial"/>
          <w:i/>
          <w:sz w:val="24"/>
          <w:szCs w:val="24"/>
        </w:rPr>
        <w:t xml:space="preserve"> </w:t>
      </w:r>
      <w:r w:rsidR="00863197" w:rsidRPr="003A1174">
        <w:rPr>
          <w:rFonts w:ascii="Garamond" w:hAnsi="Garamond" w:cs="Arial"/>
          <w:i/>
          <w:sz w:val="24"/>
          <w:szCs w:val="24"/>
        </w:rPr>
        <w:t>efeito</w:t>
      </w:r>
      <w:r w:rsidR="00A132B3" w:rsidRPr="003A1174">
        <w:rPr>
          <w:rFonts w:ascii="Garamond" w:hAnsi="Garamond" w:cs="Arial"/>
          <w:i/>
          <w:sz w:val="24"/>
          <w:szCs w:val="24"/>
        </w:rPr>
        <w:t>s d</w:t>
      </w:r>
      <w:r w:rsidRPr="003A1174">
        <w:rPr>
          <w:rFonts w:ascii="Garamond" w:hAnsi="Garamond" w:cs="Arial"/>
          <w:i/>
          <w:sz w:val="24"/>
          <w:szCs w:val="24"/>
        </w:rPr>
        <w:t xml:space="preserve">a </w:t>
      </w:r>
      <w:r w:rsidR="00A132B3" w:rsidRPr="003A1174">
        <w:rPr>
          <w:rFonts w:ascii="Garamond" w:hAnsi="Garamond" w:cs="Arial"/>
          <w:i/>
          <w:sz w:val="24"/>
          <w:szCs w:val="24"/>
        </w:rPr>
        <w:t>norma interpretada.</w:t>
      </w:r>
      <w:r w:rsidR="00852A19">
        <w:rPr>
          <w:rFonts w:ascii="Garamond" w:hAnsi="Garamond" w:cs="Arial"/>
          <w:i/>
          <w:sz w:val="24"/>
          <w:szCs w:val="24"/>
        </w:rPr>
        <w:t>»</w:t>
      </w:r>
      <w:r w:rsidR="00A132B3" w:rsidRPr="003A1174">
        <w:rPr>
          <w:rStyle w:val="Refdenotaalpie"/>
          <w:rFonts w:ascii="Garamond" w:hAnsi="Garamond" w:cs="Arial"/>
          <w:sz w:val="24"/>
          <w:szCs w:val="24"/>
        </w:rPr>
        <w:footnoteReference w:id="49"/>
      </w:r>
      <w:r w:rsidR="00A132B3" w:rsidRPr="003A1174">
        <w:rPr>
          <w:rFonts w:ascii="Garamond" w:hAnsi="Garamond" w:cs="Arial"/>
          <w:sz w:val="24"/>
          <w:szCs w:val="24"/>
        </w:rPr>
        <w:t xml:space="preserve"> (</w:t>
      </w:r>
      <w:r w:rsidRPr="003A1174">
        <w:rPr>
          <w:rFonts w:ascii="Garamond" w:hAnsi="Garamond" w:cs="Arial"/>
          <w:sz w:val="24"/>
          <w:szCs w:val="24"/>
        </w:rPr>
        <w:t xml:space="preserve">O </w:t>
      </w:r>
      <w:r w:rsidR="00852A19">
        <w:rPr>
          <w:rFonts w:ascii="Garamond" w:hAnsi="Garamond" w:cs="Arial"/>
          <w:sz w:val="24"/>
          <w:szCs w:val="24"/>
        </w:rPr>
        <w:t>itálico</w:t>
      </w:r>
      <w:r w:rsidRPr="003A1174">
        <w:rPr>
          <w:rFonts w:ascii="Garamond" w:hAnsi="Garamond" w:cs="Arial"/>
          <w:sz w:val="24"/>
          <w:szCs w:val="24"/>
        </w:rPr>
        <w:t xml:space="preserve"> é nosso</w:t>
      </w:r>
      <w:r w:rsidR="00A132B3" w:rsidRPr="003A1174">
        <w:rPr>
          <w:rFonts w:ascii="Garamond" w:hAnsi="Garamond" w:cs="Arial"/>
          <w:sz w:val="24"/>
          <w:szCs w:val="24"/>
        </w:rPr>
        <w:t>).</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3A1174" w:rsidRDefault="00A132B3" w:rsidP="008719D4">
      <w:pPr>
        <w:autoSpaceDE w:val="0"/>
        <w:autoSpaceDN w:val="0"/>
        <w:adjustRightInd w:val="0"/>
        <w:spacing w:after="0" w:line="240" w:lineRule="auto"/>
        <w:jc w:val="both"/>
        <w:rPr>
          <w:rFonts w:ascii="Garamond" w:hAnsi="Garamond"/>
          <w:sz w:val="24"/>
          <w:szCs w:val="24"/>
        </w:rPr>
      </w:pPr>
      <w:r w:rsidRPr="003A1174">
        <w:rPr>
          <w:rFonts w:ascii="Garamond" w:hAnsi="Garamond" w:cs="Arial"/>
          <w:sz w:val="24"/>
          <w:szCs w:val="24"/>
        </w:rPr>
        <w:t>As</w:t>
      </w:r>
      <w:r w:rsidR="00774697" w:rsidRPr="003A1174">
        <w:rPr>
          <w:rFonts w:ascii="Garamond" w:hAnsi="Garamond" w:cs="Arial"/>
          <w:sz w:val="24"/>
          <w:szCs w:val="24"/>
        </w:rPr>
        <w:t xml:space="preserve">sim, determinados </w:t>
      </w:r>
      <w:r w:rsidRPr="003A1174">
        <w:rPr>
          <w:rFonts w:ascii="Garamond" w:hAnsi="Garamond" w:cs="Arial"/>
          <w:sz w:val="24"/>
          <w:szCs w:val="24"/>
        </w:rPr>
        <w:t xml:space="preserve">os </w:t>
      </w:r>
      <w:r w:rsidR="002F5CD1" w:rsidRPr="003A1174">
        <w:rPr>
          <w:rFonts w:ascii="Garamond" w:hAnsi="Garamond" w:cs="Arial"/>
          <w:sz w:val="24"/>
          <w:szCs w:val="24"/>
        </w:rPr>
        <w:t>principais</w:t>
      </w:r>
      <w:r w:rsidRPr="003A1174">
        <w:rPr>
          <w:rFonts w:ascii="Garamond" w:hAnsi="Garamond" w:cs="Arial"/>
          <w:sz w:val="24"/>
          <w:szCs w:val="24"/>
        </w:rPr>
        <w:t xml:space="preserve"> </w:t>
      </w:r>
      <w:r w:rsidR="001F2F8B" w:rsidRPr="003A1174">
        <w:rPr>
          <w:rFonts w:ascii="Garamond" w:hAnsi="Garamond" w:cs="Arial"/>
          <w:sz w:val="24"/>
          <w:szCs w:val="24"/>
        </w:rPr>
        <w:t>marco</w:t>
      </w:r>
      <w:r w:rsidRPr="003A1174">
        <w:rPr>
          <w:rFonts w:ascii="Garamond" w:hAnsi="Garamond" w:cs="Arial"/>
          <w:sz w:val="24"/>
          <w:szCs w:val="24"/>
        </w:rPr>
        <w:t>s</w:t>
      </w:r>
      <w:r w:rsidR="009D0E7B">
        <w:rPr>
          <w:rFonts w:ascii="Garamond" w:hAnsi="Garamond" w:cs="Arial"/>
          <w:sz w:val="24"/>
          <w:szCs w:val="24"/>
        </w:rPr>
        <w:t>,</w:t>
      </w:r>
      <w:r w:rsidRPr="003A1174">
        <w:rPr>
          <w:rFonts w:ascii="Garamond" w:hAnsi="Garamond" w:cs="Arial"/>
          <w:sz w:val="24"/>
          <w:szCs w:val="24"/>
        </w:rPr>
        <w:t xml:space="preserve"> e</w:t>
      </w:r>
      <w:r w:rsidR="001F2F8B"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253B1D" w:rsidRPr="003A1174">
        <w:rPr>
          <w:rFonts w:ascii="Garamond" w:hAnsi="Garamond" w:cs="Arial"/>
          <w:sz w:val="24"/>
          <w:szCs w:val="24"/>
        </w:rPr>
        <w:t>controlo</w:t>
      </w:r>
      <w:r w:rsidRPr="003A1174">
        <w:rPr>
          <w:rFonts w:ascii="Garamond" w:hAnsi="Garamond" w:cs="Arial"/>
          <w:sz w:val="24"/>
          <w:szCs w:val="24"/>
        </w:rPr>
        <w:t xml:space="preserve"> de </w:t>
      </w:r>
      <w:r w:rsidR="00E15BB2" w:rsidRPr="003A1174">
        <w:rPr>
          <w:rFonts w:ascii="Garamond" w:hAnsi="Garamond" w:cs="Arial"/>
          <w:sz w:val="24"/>
          <w:szCs w:val="24"/>
        </w:rPr>
        <w:t>Convencionalidade</w:t>
      </w:r>
      <w:r w:rsidRPr="003A1174">
        <w:rPr>
          <w:rFonts w:ascii="Garamond" w:hAnsi="Garamond" w:cs="Arial"/>
          <w:sz w:val="24"/>
          <w:szCs w:val="24"/>
        </w:rPr>
        <w:t xml:space="preserve">, </w:t>
      </w:r>
      <w:r w:rsidR="001F2F8B" w:rsidRPr="003A1174">
        <w:rPr>
          <w:rFonts w:ascii="Garamond" w:hAnsi="Garamond" w:cs="Arial"/>
          <w:sz w:val="24"/>
          <w:szCs w:val="24"/>
        </w:rPr>
        <w:t xml:space="preserve">passados quase </w:t>
      </w:r>
      <w:r w:rsidR="000866B6" w:rsidRPr="003A1174">
        <w:rPr>
          <w:rFonts w:ascii="Garamond" w:hAnsi="Garamond" w:cs="Arial"/>
          <w:sz w:val="24"/>
          <w:szCs w:val="24"/>
        </w:rPr>
        <w:t>três</w:t>
      </w:r>
      <w:r w:rsidRPr="003A1174">
        <w:rPr>
          <w:rFonts w:ascii="Garamond" w:hAnsi="Garamond" w:cs="Arial"/>
          <w:sz w:val="24"/>
          <w:szCs w:val="24"/>
        </w:rPr>
        <w:t xml:space="preserve"> meses d</w:t>
      </w:r>
      <w:r w:rsidR="001F2F8B" w:rsidRPr="003A1174">
        <w:rPr>
          <w:rFonts w:ascii="Garamond" w:hAnsi="Garamond" w:cs="Arial"/>
          <w:sz w:val="24"/>
          <w:szCs w:val="24"/>
        </w:rPr>
        <w:t>a sentença</w:t>
      </w:r>
      <w:r w:rsidR="009D0E7B">
        <w:rPr>
          <w:rFonts w:ascii="Garamond" w:hAnsi="Garamond" w:cs="Arial"/>
          <w:sz w:val="24"/>
          <w:szCs w:val="24"/>
        </w:rPr>
        <w:t>,</w:t>
      </w:r>
      <w:r w:rsidR="001F2F8B" w:rsidRPr="003A1174">
        <w:rPr>
          <w:rFonts w:ascii="Garamond" w:hAnsi="Garamond" w:cs="Arial"/>
          <w:sz w:val="24"/>
          <w:szCs w:val="24"/>
        </w:rPr>
        <w:t xml:space="preserve"> </w:t>
      </w:r>
      <w:r w:rsidRPr="003A1174">
        <w:rPr>
          <w:rFonts w:ascii="Garamond" w:hAnsi="Garamond" w:cs="Arial"/>
          <w:sz w:val="24"/>
          <w:szCs w:val="24"/>
        </w:rPr>
        <w:t>que acabamos de referir</w:t>
      </w:r>
      <w:r w:rsidR="009D0E7B">
        <w:rPr>
          <w:rFonts w:ascii="Garamond" w:hAnsi="Garamond" w:cs="Arial"/>
          <w:sz w:val="24"/>
          <w:szCs w:val="24"/>
        </w:rPr>
        <w:t>,</w:t>
      </w:r>
      <w:r w:rsidRPr="003A1174">
        <w:rPr>
          <w:rFonts w:ascii="Garamond" w:hAnsi="Garamond" w:cs="Arial"/>
          <w:sz w:val="24"/>
          <w:szCs w:val="24"/>
        </w:rPr>
        <w:t xml:space="preserve"> </w:t>
      </w:r>
      <w:r w:rsidR="001F2F8B" w:rsidRPr="003A1174">
        <w:rPr>
          <w:rFonts w:ascii="Garamond" w:hAnsi="Garamond" w:cs="Arial"/>
          <w:sz w:val="24"/>
          <w:szCs w:val="24"/>
        </w:rPr>
        <w:t>produziu-</w:t>
      </w:r>
      <w:r w:rsidRPr="003A1174">
        <w:rPr>
          <w:rFonts w:ascii="Garamond" w:hAnsi="Garamond" w:cs="Arial"/>
          <w:sz w:val="24"/>
          <w:szCs w:val="24"/>
        </w:rPr>
        <w:t xml:space="preserve">se </w:t>
      </w:r>
      <w:r w:rsidR="001F2F8B" w:rsidRPr="003A1174">
        <w:rPr>
          <w:rFonts w:ascii="Garamond" w:hAnsi="Garamond" w:cs="Arial"/>
          <w:sz w:val="24"/>
          <w:szCs w:val="24"/>
        </w:rPr>
        <w:t>outro</w:t>
      </w:r>
      <w:r w:rsidRPr="003A1174">
        <w:rPr>
          <w:rFonts w:ascii="Garamond" w:hAnsi="Garamond" w:cs="Arial"/>
          <w:sz w:val="24"/>
          <w:szCs w:val="24"/>
        </w:rPr>
        <w:t xml:space="preserve"> </w:t>
      </w:r>
      <w:r w:rsidR="001F2F8B" w:rsidRPr="003A1174">
        <w:rPr>
          <w:rFonts w:ascii="Garamond" w:hAnsi="Garamond" w:cs="Arial"/>
          <w:sz w:val="24"/>
          <w:szCs w:val="24"/>
        </w:rPr>
        <w:t>avanço</w:t>
      </w:r>
      <w:r w:rsidRPr="003A1174">
        <w:rPr>
          <w:rFonts w:ascii="Garamond" w:hAnsi="Garamond" w:cs="Arial"/>
          <w:sz w:val="24"/>
          <w:szCs w:val="24"/>
        </w:rPr>
        <w:t xml:space="preserve"> </w:t>
      </w:r>
      <w:r w:rsidR="001F2F8B" w:rsidRPr="003A1174">
        <w:rPr>
          <w:rFonts w:ascii="Garamond" w:hAnsi="Garamond" w:cs="Arial"/>
          <w:sz w:val="24"/>
          <w:szCs w:val="24"/>
        </w:rPr>
        <w:t>substancial</w:t>
      </w:r>
      <w:r w:rsidRPr="003A1174">
        <w:rPr>
          <w:rFonts w:ascii="Garamond" w:hAnsi="Garamond" w:cs="Arial"/>
          <w:sz w:val="24"/>
          <w:szCs w:val="24"/>
        </w:rPr>
        <w:t xml:space="preserve"> a</w:t>
      </w:r>
      <w:r w:rsidR="001F2F8B" w:rsidRPr="003A1174">
        <w:rPr>
          <w:rFonts w:ascii="Garamond" w:hAnsi="Garamond" w:cs="Arial"/>
          <w:sz w:val="24"/>
          <w:szCs w:val="24"/>
        </w:rPr>
        <w:t xml:space="preserve"> esse respeito</w:t>
      </w:r>
      <w:r w:rsidRPr="003A1174">
        <w:rPr>
          <w:rFonts w:ascii="Garamond" w:hAnsi="Garamond" w:cs="Arial"/>
          <w:sz w:val="24"/>
          <w:szCs w:val="24"/>
        </w:rPr>
        <w:t>.</w:t>
      </w:r>
    </w:p>
    <w:p w:rsidR="00A132B3" w:rsidRPr="003A1174" w:rsidRDefault="001F2F8B" w:rsidP="008719D4">
      <w:pPr>
        <w:pStyle w:val="Ttulo3"/>
        <w:numPr>
          <w:ilvl w:val="0"/>
          <w:numId w:val="15"/>
        </w:numPr>
        <w:spacing w:line="240" w:lineRule="auto"/>
        <w:jc w:val="both"/>
        <w:rPr>
          <w:rFonts w:ascii="Garamond" w:hAnsi="Garamond" w:cs="Arial"/>
          <w:b w:val="0"/>
          <w:sz w:val="24"/>
          <w:szCs w:val="24"/>
        </w:rPr>
      </w:pPr>
      <w:bookmarkStart w:id="16" w:name="_Toc421529704"/>
      <w:r w:rsidRPr="003A1174">
        <w:rPr>
          <w:rFonts w:ascii="Garamond" w:hAnsi="Garamond" w:cs="Arial"/>
          <w:sz w:val="24"/>
          <w:szCs w:val="24"/>
        </w:rPr>
        <w:t>Um</w:t>
      </w:r>
      <w:r w:rsidR="00A132B3" w:rsidRPr="003A1174">
        <w:rPr>
          <w:rFonts w:ascii="Garamond" w:hAnsi="Garamond" w:cs="Arial"/>
          <w:sz w:val="24"/>
          <w:szCs w:val="24"/>
        </w:rPr>
        <w:t xml:space="preserve"> </w:t>
      </w:r>
      <w:r w:rsidRPr="003A1174">
        <w:rPr>
          <w:rFonts w:ascii="Garamond" w:hAnsi="Garamond" w:cs="Arial"/>
          <w:sz w:val="24"/>
          <w:szCs w:val="24"/>
        </w:rPr>
        <w:t>passo</w:t>
      </w:r>
      <w:r w:rsidR="00A132B3" w:rsidRPr="003A1174">
        <w:rPr>
          <w:rFonts w:ascii="Garamond" w:hAnsi="Garamond" w:cs="Arial"/>
          <w:sz w:val="24"/>
          <w:szCs w:val="24"/>
        </w:rPr>
        <w:t xml:space="preserve"> a</w:t>
      </w:r>
      <w:r w:rsidRPr="003A1174">
        <w:rPr>
          <w:rFonts w:ascii="Garamond" w:hAnsi="Garamond" w:cs="Arial"/>
          <w:sz w:val="24"/>
          <w:szCs w:val="24"/>
        </w:rPr>
        <w:t xml:space="preserve">inda mais </w:t>
      </w:r>
      <w:r w:rsidR="00BA3CCE" w:rsidRPr="003A1174">
        <w:rPr>
          <w:rFonts w:ascii="Garamond" w:hAnsi="Garamond" w:cs="Arial"/>
          <w:sz w:val="24"/>
          <w:szCs w:val="24"/>
        </w:rPr>
        <w:t>transcendente</w:t>
      </w:r>
      <w:r w:rsidR="00A132B3" w:rsidRPr="003A1174">
        <w:rPr>
          <w:rFonts w:ascii="Garamond" w:hAnsi="Garamond" w:cs="Arial"/>
          <w:sz w:val="24"/>
          <w:szCs w:val="24"/>
        </w:rPr>
        <w:t xml:space="preserve">: a </w:t>
      </w:r>
      <w:r w:rsidR="00FC1F7F" w:rsidRPr="003A1174">
        <w:rPr>
          <w:rFonts w:ascii="Garamond" w:hAnsi="Garamond" w:cs="Arial"/>
          <w:sz w:val="24"/>
          <w:szCs w:val="24"/>
        </w:rPr>
        <w:t>sentença</w:t>
      </w:r>
      <w:r w:rsidR="00A132B3" w:rsidRPr="003A1174">
        <w:rPr>
          <w:rFonts w:ascii="Garamond" w:hAnsi="Garamond" w:cs="Arial"/>
          <w:sz w:val="24"/>
          <w:szCs w:val="24"/>
        </w:rPr>
        <w:t xml:space="preserve"> </w:t>
      </w:r>
      <w:r w:rsidRPr="003A1174">
        <w:rPr>
          <w:rFonts w:ascii="Garamond" w:hAnsi="Garamond" w:cs="Arial"/>
          <w:sz w:val="24"/>
          <w:szCs w:val="24"/>
        </w:rPr>
        <w:t xml:space="preserve">no </w:t>
      </w:r>
      <w:r w:rsidR="00A132B3" w:rsidRPr="003A1174">
        <w:rPr>
          <w:rFonts w:ascii="Garamond" w:hAnsi="Garamond" w:cs="Arial"/>
          <w:sz w:val="24"/>
          <w:szCs w:val="24"/>
        </w:rPr>
        <w:t xml:space="preserve">Caso Gelman </w:t>
      </w:r>
      <w:r w:rsidR="00A132B3" w:rsidRPr="003A1174">
        <w:rPr>
          <w:rFonts w:ascii="Garamond" w:hAnsi="Garamond" w:cs="Arial"/>
          <w:i/>
          <w:sz w:val="24"/>
          <w:szCs w:val="24"/>
        </w:rPr>
        <w:t>vs.</w:t>
      </w:r>
      <w:r w:rsidR="00A132B3" w:rsidRPr="003A1174">
        <w:rPr>
          <w:rFonts w:ascii="Garamond" w:hAnsi="Garamond" w:cs="Arial"/>
          <w:sz w:val="24"/>
          <w:szCs w:val="24"/>
        </w:rPr>
        <w:t xml:space="preserve"> </w:t>
      </w:r>
      <w:r w:rsidR="00C30647" w:rsidRPr="003A1174">
        <w:rPr>
          <w:rFonts w:ascii="Garamond" w:hAnsi="Garamond" w:cs="Arial"/>
          <w:sz w:val="24"/>
          <w:szCs w:val="24"/>
        </w:rPr>
        <w:t>Uruguai</w:t>
      </w:r>
      <w:r w:rsidR="00A132B3" w:rsidRPr="003A1174">
        <w:rPr>
          <w:rStyle w:val="Refdenotaalpie"/>
          <w:rFonts w:ascii="Garamond" w:hAnsi="Garamond" w:cs="Arial"/>
          <w:b w:val="0"/>
          <w:i/>
          <w:sz w:val="24"/>
          <w:szCs w:val="24"/>
        </w:rPr>
        <w:footnoteReference w:id="50"/>
      </w:r>
      <w:bookmarkEnd w:id="16"/>
      <w:r w:rsidR="00A132B3" w:rsidRPr="003A1174">
        <w:rPr>
          <w:rFonts w:ascii="Garamond" w:hAnsi="Garamond" w:cs="Arial"/>
          <w:b w:val="0"/>
          <w:sz w:val="24"/>
          <w:szCs w:val="24"/>
        </w:rPr>
        <w:t xml:space="preserve"> </w:t>
      </w:r>
    </w:p>
    <w:p w:rsidR="00A132B3" w:rsidRPr="003A1174" w:rsidRDefault="00A132B3" w:rsidP="001F2F8B">
      <w:pPr>
        <w:spacing w:before="240" w:line="240" w:lineRule="auto"/>
        <w:jc w:val="both"/>
        <w:rPr>
          <w:rFonts w:ascii="Garamond" w:hAnsi="Garamond" w:cs="Arial"/>
          <w:sz w:val="24"/>
          <w:szCs w:val="24"/>
        </w:rPr>
      </w:pPr>
      <w:r w:rsidRPr="003A1174">
        <w:rPr>
          <w:rFonts w:ascii="Garamond" w:hAnsi="Garamond" w:cs="Arial"/>
          <w:sz w:val="24"/>
          <w:szCs w:val="24"/>
        </w:rPr>
        <w:t>Est</w:t>
      </w:r>
      <w:r w:rsidR="001F2F8B" w:rsidRPr="003A1174">
        <w:rPr>
          <w:rFonts w:ascii="Garamond" w:hAnsi="Garamond" w:cs="Arial"/>
          <w:sz w:val="24"/>
          <w:szCs w:val="24"/>
        </w:rPr>
        <w:t>a pronú</w:t>
      </w:r>
      <w:r w:rsidRPr="003A1174">
        <w:rPr>
          <w:rFonts w:ascii="Garamond" w:hAnsi="Garamond" w:cs="Arial"/>
          <w:sz w:val="24"/>
          <w:szCs w:val="24"/>
        </w:rPr>
        <w:t>ncia</w:t>
      </w:r>
      <w:r w:rsidR="001F2F8B" w:rsidRPr="003A1174">
        <w:rPr>
          <w:rFonts w:ascii="Garamond" w:hAnsi="Garamond" w:cs="Arial"/>
          <w:sz w:val="24"/>
          <w:szCs w:val="24"/>
        </w:rPr>
        <w:t xml:space="preserve"> jurisdicional</w:t>
      </w:r>
      <w:r w:rsidRPr="003A1174">
        <w:rPr>
          <w:rFonts w:ascii="Garamond" w:hAnsi="Garamond" w:cs="Arial"/>
          <w:sz w:val="24"/>
          <w:szCs w:val="24"/>
        </w:rPr>
        <w:t xml:space="preserve"> </w:t>
      </w:r>
      <w:r w:rsidR="00D96FD0" w:rsidRPr="003A1174">
        <w:rPr>
          <w:rFonts w:ascii="Garamond" w:hAnsi="Garamond" w:cs="Arial"/>
          <w:sz w:val="24"/>
          <w:szCs w:val="24"/>
        </w:rPr>
        <w:t>refere</w:t>
      </w:r>
      <w:r w:rsidR="001F2F8B" w:rsidRPr="003A1174">
        <w:rPr>
          <w:rFonts w:ascii="Garamond" w:hAnsi="Garamond" w:cs="Arial"/>
          <w:sz w:val="24"/>
          <w:szCs w:val="24"/>
        </w:rPr>
        <w:t>-se</w:t>
      </w:r>
      <w:r w:rsidR="003A528A" w:rsidRPr="003A1174">
        <w:rPr>
          <w:rFonts w:ascii="Garamond" w:hAnsi="Garamond" w:cs="Arial"/>
          <w:sz w:val="24"/>
          <w:szCs w:val="24"/>
        </w:rPr>
        <w:t>,</w:t>
      </w:r>
      <w:r w:rsidRPr="003A1174">
        <w:rPr>
          <w:rFonts w:ascii="Garamond" w:hAnsi="Garamond" w:cs="Arial"/>
          <w:sz w:val="24"/>
          <w:szCs w:val="24"/>
        </w:rPr>
        <w:t xml:space="preserve"> entre </w:t>
      </w:r>
      <w:r w:rsidR="001F2F8B" w:rsidRPr="003A1174">
        <w:rPr>
          <w:rFonts w:ascii="Garamond" w:hAnsi="Garamond" w:cs="Arial"/>
          <w:sz w:val="24"/>
          <w:szCs w:val="24"/>
        </w:rPr>
        <w:t xml:space="preserve">os </w:t>
      </w:r>
      <w:r w:rsidRPr="003A1174">
        <w:rPr>
          <w:rFonts w:ascii="Garamond" w:hAnsi="Garamond" w:cs="Arial"/>
          <w:sz w:val="24"/>
          <w:szCs w:val="24"/>
        </w:rPr>
        <w:t>s</w:t>
      </w:r>
      <w:r w:rsidR="001F2F8B" w:rsidRPr="003A1174">
        <w:rPr>
          <w:rFonts w:ascii="Garamond" w:hAnsi="Garamond" w:cs="Arial"/>
          <w:sz w:val="24"/>
          <w:szCs w:val="24"/>
        </w:rPr>
        <w:t>e</w:t>
      </w:r>
      <w:r w:rsidRPr="003A1174">
        <w:rPr>
          <w:rFonts w:ascii="Garamond" w:hAnsi="Garamond" w:cs="Arial"/>
          <w:sz w:val="24"/>
          <w:szCs w:val="24"/>
        </w:rPr>
        <w:t>us p</w:t>
      </w:r>
      <w:r w:rsidR="001F2F8B" w:rsidRPr="003A1174">
        <w:rPr>
          <w:rFonts w:ascii="Garamond" w:hAnsi="Garamond" w:cs="Arial"/>
          <w:sz w:val="24"/>
          <w:szCs w:val="24"/>
        </w:rPr>
        <w:t>o</w:t>
      </w:r>
      <w:r w:rsidRPr="003A1174">
        <w:rPr>
          <w:rFonts w:ascii="Garamond" w:hAnsi="Garamond" w:cs="Arial"/>
          <w:sz w:val="24"/>
          <w:szCs w:val="24"/>
        </w:rPr>
        <w:t xml:space="preserve">ntos </w:t>
      </w:r>
      <w:r w:rsidR="002F5CD1" w:rsidRPr="003A1174">
        <w:rPr>
          <w:rFonts w:ascii="Garamond" w:hAnsi="Garamond" w:cs="Arial"/>
          <w:sz w:val="24"/>
          <w:szCs w:val="24"/>
        </w:rPr>
        <w:t>principais</w:t>
      </w:r>
      <w:r w:rsidR="003A528A" w:rsidRPr="003A1174">
        <w:rPr>
          <w:rFonts w:ascii="Garamond" w:hAnsi="Garamond" w:cs="Arial"/>
          <w:sz w:val="24"/>
          <w:szCs w:val="24"/>
        </w:rPr>
        <w:t>,</w:t>
      </w:r>
      <w:r w:rsidRPr="003A1174">
        <w:rPr>
          <w:rFonts w:ascii="Garamond" w:hAnsi="Garamond" w:cs="Arial"/>
          <w:sz w:val="24"/>
          <w:szCs w:val="24"/>
        </w:rPr>
        <w:t xml:space="preserve"> </w:t>
      </w:r>
      <w:r w:rsidR="001F2F8B" w:rsidRPr="003A1174">
        <w:rPr>
          <w:rFonts w:ascii="Garamond" w:hAnsi="Garamond" w:cs="Arial"/>
          <w:sz w:val="24"/>
          <w:szCs w:val="24"/>
        </w:rPr>
        <w:t xml:space="preserve">à aplicabilidade no referido </w:t>
      </w:r>
      <w:r w:rsidRPr="003A1174">
        <w:rPr>
          <w:rFonts w:ascii="Garamond" w:hAnsi="Garamond" w:cs="Arial"/>
          <w:sz w:val="24"/>
          <w:szCs w:val="24"/>
        </w:rPr>
        <w:t xml:space="preserve">país da denominada </w:t>
      </w:r>
      <w:r w:rsidR="00852A19">
        <w:rPr>
          <w:rFonts w:ascii="Garamond" w:hAnsi="Garamond" w:cs="Arial"/>
          <w:sz w:val="24"/>
          <w:szCs w:val="24"/>
        </w:rPr>
        <w:t>«</w:t>
      </w:r>
      <w:r w:rsidR="00D15AFF" w:rsidRPr="003A1174">
        <w:rPr>
          <w:rFonts w:ascii="Garamond" w:hAnsi="Garamond" w:cs="Arial"/>
          <w:sz w:val="24"/>
          <w:szCs w:val="24"/>
        </w:rPr>
        <w:t>Lei</w:t>
      </w:r>
      <w:r w:rsidRPr="003A1174">
        <w:rPr>
          <w:rFonts w:ascii="Garamond" w:hAnsi="Garamond" w:cs="Arial"/>
          <w:sz w:val="24"/>
          <w:szCs w:val="24"/>
        </w:rPr>
        <w:t xml:space="preserve"> de Caducidad</w:t>
      </w:r>
      <w:r w:rsidR="001F2F8B" w:rsidRPr="003A1174">
        <w:rPr>
          <w:rFonts w:ascii="Garamond" w:hAnsi="Garamond" w:cs="Arial"/>
          <w:sz w:val="24"/>
          <w:szCs w:val="24"/>
        </w:rPr>
        <w:t>e</w:t>
      </w:r>
      <w:r w:rsidRPr="003A1174">
        <w:rPr>
          <w:rFonts w:ascii="Garamond" w:hAnsi="Garamond" w:cs="Arial"/>
          <w:sz w:val="24"/>
          <w:szCs w:val="24"/>
        </w:rPr>
        <w:t xml:space="preserve"> da Pretens</w:t>
      </w:r>
      <w:r w:rsidR="001F2F8B" w:rsidRPr="003A1174">
        <w:rPr>
          <w:rFonts w:ascii="Garamond" w:hAnsi="Garamond" w:cs="Arial"/>
          <w:sz w:val="24"/>
          <w:szCs w:val="24"/>
        </w:rPr>
        <w:t>ão</w:t>
      </w:r>
      <w:r w:rsidRPr="003A1174">
        <w:rPr>
          <w:rFonts w:ascii="Garamond" w:hAnsi="Garamond" w:cs="Arial"/>
          <w:sz w:val="24"/>
          <w:szCs w:val="24"/>
        </w:rPr>
        <w:t xml:space="preserve"> Punitiva d</w:t>
      </w:r>
      <w:r w:rsidR="001F2F8B" w:rsidRPr="003A1174">
        <w:rPr>
          <w:rFonts w:ascii="Garamond" w:hAnsi="Garamond" w:cs="Arial"/>
          <w:sz w:val="24"/>
          <w:szCs w:val="24"/>
        </w:rPr>
        <w:t>o</w:t>
      </w:r>
      <w:r w:rsidRPr="003A1174">
        <w:rPr>
          <w:rFonts w:ascii="Garamond" w:hAnsi="Garamond" w:cs="Arial"/>
          <w:sz w:val="24"/>
          <w:szCs w:val="24"/>
        </w:rPr>
        <w:t xml:space="preserve"> Estado</w:t>
      </w:r>
      <w:r w:rsidR="00852A19">
        <w:rPr>
          <w:rFonts w:ascii="Garamond" w:hAnsi="Garamond" w:cs="Arial"/>
          <w:sz w:val="24"/>
          <w:szCs w:val="24"/>
        </w:rPr>
        <w:t>»</w:t>
      </w:r>
      <w:r w:rsidRPr="003A1174">
        <w:rPr>
          <w:rFonts w:ascii="Garamond" w:hAnsi="Garamond" w:cs="Arial"/>
          <w:sz w:val="24"/>
          <w:szCs w:val="24"/>
        </w:rPr>
        <w:t xml:space="preserve"> que, como </w:t>
      </w:r>
      <w:r w:rsidR="001F2F8B" w:rsidRPr="003A1174">
        <w:rPr>
          <w:rFonts w:ascii="Garamond" w:hAnsi="Garamond" w:cs="Arial"/>
          <w:sz w:val="24"/>
          <w:szCs w:val="24"/>
        </w:rPr>
        <w:t>noutro</w:t>
      </w:r>
      <w:r w:rsidRPr="003A1174">
        <w:rPr>
          <w:rFonts w:ascii="Garamond" w:hAnsi="Garamond" w:cs="Arial"/>
          <w:sz w:val="24"/>
          <w:szCs w:val="24"/>
        </w:rPr>
        <w:t xml:space="preserve">s casos </w:t>
      </w:r>
      <w:r w:rsidR="001F2F8B" w:rsidRPr="003A1174">
        <w:rPr>
          <w:rFonts w:ascii="Garamond" w:hAnsi="Garamond" w:cs="Arial"/>
          <w:sz w:val="24"/>
          <w:szCs w:val="24"/>
        </w:rPr>
        <w:t>e</w:t>
      </w:r>
      <w:r w:rsidRPr="003A1174">
        <w:rPr>
          <w:rFonts w:ascii="Garamond" w:hAnsi="Garamond" w:cs="Arial"/>
          <w:sz w:val="24"/>
          <w:szCs w:val="24"/>
        </w:rPr>
        <w:t xml:space="preserve"> países, impe</w:t>
      </w:r>
      <w:r w:rsidR="009D5ED8" w:rsidRPr="003A1174">
        <w:rPr>
          <w:rFonts w:ascii="Garamond" w:hAnsi="Garamond" w:cs="Arial"/>
          <w:sz w:val="24"/>
          <w:szCs w:val="24"/>
        </w:rPr>
        <w:t>dia</w:t>
      </w:r>
      <w:r w:rsidR="001F2F8B" w:rsidRPr="003A1174">
        <w:rPr>
          <w:rFonts w:ascii="Garamond" w:hAnsi="Garamond" w:cs="Arial"/>
          <w:sz w:val="24"/>
          <w:szCs w:val="24"/>
        </w:rPr>
        <w:t xml:space="preserve"> </w:t>
      </w:r>
      <w:r w:rsidRPr="003A1174">
        <w:rPr>
          <w:rFonts w:ascii="Garamond" w:hAnsi="Garamond" w:cs="Arial"/>
          <w:sz w:val="24"/>
          <w:szCs w:val="24"/>
        </w:rPr>
        <w:t xml:space="preserve">a </w:t>
      </w:r>
      <w:r w:rsidR="00886D6A" w:rsidRPr="003A1174">
        <w:rPr>
          <w:rFonts w:ascii="Garamond" w:hAnsi="Garamond" w:cs="Arial"/>
          <w:sz w:val="24"/>
          <w:szCs w:val="24"/>
        </w:rPr>
        <w:t>investigação</w:t>
      </w:r>
      <w:r w:rsidR="001F2F8B" w:rsidRPr="003A1174">
        <w:rPr>
          <w:rFonts w:ascii="Garamond" w:hAnsi="Garamond" w:cs="Arial"/>
          <w:sz w:val="24"/>
          <w:szCs w:val="24"/>
        </w:rPr>
        <w:t xml:space="preserve"> e</w:t>
      </w:r>
      <w:r w:rsidRPr="003A1174">
        <w:rPr>
          <w:rFonts w:ascii="Garamond" w:hAnsi="Garamond" w:cs="Arial"/>
          <w:sz w:val="24"/>
          <w:szCs w:val="24"/>
        </w:rPr>
        <w:t xml:space="preserve"> </w:t>
      </w:r>
      <w:r w:rsidR="00FC4727" w:rsidRPr="003A1174">
        <w:rPr>
          <w:rFonts w:ascii="Garamond" w:hAnsi="Garamond" w:cs="Arial"/>
          <w:sz w:val="24"/>
          <w:szCs w:val="24"/>
        </w:rPr>
        <w:t>punição</w:t>
      </w:r>
      <w:r w:rsidRPr="003A1174">
        <w:rPr>
          <w:rFonts w:ascii="Garamond" w:hAnsi="Garamond" w:cs="Arial"/>
          <w:sz w:val="24"/>
          <w:szCs w:val="24"/>
        </w:rPr>
        <w:t xml:space="preserve"> </w:t>
      </w:r>
      <w:r w:rsidR="001F2F8B" w:rsidRPr="003A1174">
        <w:rPr>
          <w:rFonts w:ascii="Garamond" w:hAnsi="Garamond" w:cs="Arial"/>
          <w:sz w:val="24"/>
          <w:szCs w:val="24"/>
        </w:rPr>
        <w:t xml:space="preserve">de </w:t>
      </w:r>
      <w:r w:rsidR="004E3A1A" w:rsidRPr="003A1174">
        <w:rPr>
          <w:rFonts w:ascii="Garamond" w:hAnsi="Garamond" w:cs="Arial"/>
          <w:sz w:val="24"/>
          <w:szCs w:val="24"/>
        </w:rPr>
        <w:t>séria</w:t>
      </w:r>
      <w:r w:rsidRPr="003A1174">
        <w:rPr>
          <w:rFonts w:ascii="Garamond" w:hAnsi="Garamond" w:cs="Arial"/>
          <w:sz w:val="24"/>
          <w:szCs w:val="24"/>
        </w:rPr>
        <w:t xml:space="preserve">s </w:t>
      </w:r>
      <w:r w:rsidR="002F62B0" w:rsidRPr="003A1174">
        <w:rPr>
          <w:rFonts w:ascii="Garamond" w:hAnsi="Garamond" w:cs="Arial"/>
          <w:sz w:val="24"/>
          <w:szCs w:val="24"/>
        </w:rPr>
        <w:t>violações</w:t>
      </w:r>
      <w:r w:rsidRPr="003A1174">
        <w:rPr>
          <w:rFonts w:ascii="Garamond" w:hAnsi="Garamond" w:cs="Arial"/>
          <w:sz w:val="24"/>
          <w:szCs w:val="24"/>
        </w:rPr>
        <w:t xml:space="preserve"> aos </w:t>
      </w:r>
      <w:r w:rsidR="00886D6A" w:rsidRPr="003A1174">
        <w:rPr>
          <w:rFonts w:ascii="Garamond" w:hAnsi="Garamond" w:cs="Arial"/>
          <w:sz w:val="24"/>
          <w:szCs w:val="24"/>
        </w:rPr>
        <w:t>direito</w:t>
      </w:r>
      <w:r w:rsidR="001F2F8B" w:rsidRPr="003A1174">
        <w:rPr>
          <w:rFonts w:ascii="Garamond" w:hAnsi="Garamond" w:cs="Arial"/>
          <w:sz w:val="24"/>
          <w:szCs w:val="24"/>
        </w:rPr>
        <w:t xml:space="preserve">s humanos </w:t>
      </w:r>
      <w:r w:rsidRPr="003A1174">
        <w:rPr>
          <w:rFonts w:ascii="Garamond" w:hAnsi="Garamond" w:cs="Arial"/>
          <w:sz w:val="24"/>
          <w:szCs w:val="24"/>
        </w:rPr>
        <w:t xml:space="preserve">cometidas por elementos </w:t>
      </w:r>
      <w:r w:rsidR="001F2F8B" w:rsidRPr="003A1174">
        <w:rPr>
          <w:rFonts w:ascii="Garamond" w:hAnsi="Garamond" w:cs="Arial"/>
          <w:sz w:val="24"/>
          <w:szCs w:val="24"/>
        </w:rPr>
        <w:t>policiais e</w:t>
      </w:r>
      <w:r w:rsidRPr="003A1174">
        <w:rPr>
          <w:rFonts w:ascii="Garamond" w:hAnsi="Garamond" w:cs="Arial"/>
          <w:sz w:val="24"/>
          <w:szCs w:val="24"/>
        </w:rPr>
        <w:t xml:space="preserve"> militares </w:t>
      </w:r>
      <w:r w:rsidR="001F2F8B" w:rsidRPr="003A1174">
        <w:rPr>
          <w:rFonts w:ascii="Garamond" w:hAnsi="Garamond" w:cs="Arial"/>
          <w:sz w:val="24"/>
          <w:szCs w:val="24"/>
        </w:rPr>
        <w:t>sob uma aberta</w:t>
      </w:r>
      <w:r w:rsidRPr="003A1174">
        <w:rPr>
          <w:rFonts w:ascii="Garamond" w:hAnsi="Garamond" w:cs="Arial"/>
          <w:sz w:val="24"/>
          <w:szCs w:val="24"/>
        </w:rPr>
        <w:t xml:space="preserve"> o</w:t>
      </w:r>
      <w:r w:rsidR="001F2F8B" w:rsidRPr="003A1174">
        <w:rPr>
          <w:rFonts w:ascii="Garamond" w:hAnsi="Garamond" w:cs="Arial"/>
          <w:sz w:val="24"/>
          <w:szCs w:val="24"/>
        </w:rPr>
        <w:t>u</w:t>
      </w:r>
      <w:r w:rsidRPr="003A1174">
        <w:rPr>
          <w:rFonts w:ascii="Garamond" w:hAnsi="Garamond" w:cs="Arial"/>
          <w:sz w:val="24"/>
          <w:szCs w:val="24"/>
        </w:rPr>
        <w:t xml:space="preserve"> </w:t>
      </w:r>
      <w:r w:rsidR="001F2F8B" w:rsidRPr="003A1174">
        <w:rPr>
          <w:rFonts w:ascii="Garamond" w:hAnsi="Garamond" w:cs="Arial"/>
          <w:sz w:val="24"/>
          <w:szCs w:val="24"/>
        </w:rPr>
        <w:t>encoberta</w:t>
      </w:r>
      <w:r w:rsidRPr="003A1174">
        <w:rPr>
          <w:rFonts w:ascii="Garamond" w:hAnsi="Garamond" w:cs="Arial"/>
          <w:sz w:val="24"/>
          <w:szCs w:val="24"/>
        </w:rPr>
        <w:t xml:space="preserve"> </w:t>
      </w:r>
      <w:r w:rsidR="001F2F8B" w:rsidRPr="003A1174">
        <w:rPr>
          <w:rFonts w:ascii="Garamond" w:hAnsi="Garamond" w:cs="Arial"/>
          <w:sz w:val="24"/>
          <w:szCs w:val="24"/>
        </w:rPr>
        <w:t>ditadura</w:t>
      </w:r>
      <w:r w:rsidRPr="003A1174">
        <w:rPr>
          <w:rFonts w:ascii="Garamond" w:hAnsi="Garamond" w:cs="Arial"/>
          <w:sz w:val="24"/>
          <w:szCs w:val="24"/>
        </w:rPr>
        <w:t xml:space="preserve"> </w:t>
      </w:r>
      <w:r w:rsidR="00A54B5A" w:rsidRPr="003A1174">
        <w:rPr>
          <w:rFonts w:ascii="Garamond" w:hAnsi="Garamond" w:cs="Arial"/>
          <w:sz w:val="24"/>
          <w:szCs w:val="24"/>
        </w:rPr>
        <w:t>militar</w:t>
      </w:r>
      <w:r w:rsidRPr="003A1174">
        <w:rPr>
          <w:rFonts w:ascii="Garamond" w:hAnsi="Garamond" w:cs="Arial"/>
          <w:sz w:val="24"/>
          <w:szCs w:val="24"/>
        </w:rPr>
        <w:t>. E</w:t>
      </w:r>
      <w:r w:rsidR="001F2F8B" w:rsidRPr="003A1174">
        <w:rPr>
          <w:rFonts w:ascii="Garamond" w:hAnsi="Garamond" w:cs="Arial"/>
          <w:sz w:val="24"/>
          <w:szCs w:val="24"/>
        </w:rPr>
        <w:t>s</w:t>
      </w:r>
      <w:r w:rsidRPr="003A1174">
        <w:rPr>
          <w:rFonts w:ascii="Garamond" w:hAnsi="Garamond" w:cs="Arial"/>
          <w:sz w:val="24"/>
          <w:szCs w:val="24"/>
        </w:rPr>
        <w:t xml:space="preserve">sa </w:t>
      </w:r>
      <w:r w:rsidR="00D15AFF" w:rsidRPr="003A1174">
        <w:rPr>
          <w:rFonts w:ascii="Garamond" w:hAnsi="Garamond" w:cs="Arial"/>
          <w:sz w:val="24"/>
          <w:szCs w:val="24"/>
        </w:rPr>
        <w:t>Lei</w:t>
      </w:r>
      <w:r w:rsidR="003A528A" w:rsidRPr="003A1174">
        <w:rPr>
          <w:rFonts w:ascii="Garamond" w:hAnsi="Garamond" w:cs="Arial"/>
          <w:sz w:val="24"/>
          <w:szCs w:val="24"/>
        </w:rPr>
        <w:t>,</w:t>
      </w:r>
      <w:r w:rsidRPr="003A1174">
        <w:rPr>
          <w:rFonts w:ascii="Garamond" w:hAnsi="Garamond" w:cs="Arial"/>
          <w:sz w:val="24"/>
          <w:szCs w:val="24"/>
        </w:rPr>
        <w:t xml:space="preserve"> </w:t>
      </w:r>
      <w:r w:rsidR="001F2F8B" w:rsidRPr="003A1174">
        <w:rPr>
          <w:rFonts w:ascii="Garamond" w:hAnsi="Garamond" w:cs="Arial"/>
          <w:sz w:val="24"/>
          <w:szCs w:val="24"/>
        </w:rPr>
        <w:t>no entanto</w:t>
      </w:r>
      <w:r w:rsidRPr="003A1174">
        <w:rPr>
          <w:rFonts w:ascii="Garamond" w:hAnsi="Garamond" w:cs="Arial"/>
          <w:sz w:val="24"/>
          <w:szCs w:val="24"/>
        </w:rPr>
        <w:t xml:space="preserve">, </w:t>
      </w:r>
      <w:r w:rsidR="003A528A" w:rsidRPr="003A1174">
        <w:rPr>
          <w:rFonts w:ascii="Garamond" w:hAnsi="Garamond" w:cs="Arial"/>
          <w:sz w:val="24"/>
          <w:szCs w:val="24"/>
        </w:rPr>
        <w:t>t</w:t>
      </w:r>
      <w:r w:rsidR="001F2F8B" w:rsidRPr="003A1174">
        <w:rPr>
          <w:rFonts w:ascii="Garamond" w:hAnsi="Garamond" w:cs="Arial"/>
          <w:sz w:val="24"/>
          <w:szCs w:val="24"/>
        </w:rPr>
        <w:t xml:space="preserve">inha </w:t>
      </w:r>
      <w:r w:rsidR="003A528A" w:rsidRPr="003A1174">
        <w:rPr>
          <w:rFonts w:ascii="Garamond" w:hAnsi="Garamond" w:cs="Arial"/>
          <w:sz w:val="24"/>
          <w:szCs w:val="24"/>
        </w:rPr>
        <w:t>a</w:t>
      </w:r>
      <w:r w:rsidRPr="003A1174">
        <w:rPr>
          <w:rFonts w:ascii="Garamond" w:hAnsi="Garamond" w:cs="Arial"/>
          <w:sz w:val="24"/>
          <w:szCs w:val="24"/>
        </w:rPr>
        <w:t xml:space="preserve"> </w:t>
      </w:r>
      <w:r w:rsidR="001F2F8B" w:rsidRPr="003A1174">
        <w:rPr>
          <w:rFonts w:ascii="Garamond" w:hAnsi="Garamond" w:cs="Arial"/>
          <w:sz w:val="24"/>
          <w:szCs w:val="24"/>
        </w:rPr>
        <w:t>peculiaridade</w:t>
      </w:r>
      <w:r w:rsidRPr="003A1174">
        <w:rPr>
          <w:rFonts w:ascii="Garamond" w:hAnsi="Garamond" w:cs="Arial"/>
          <w:sz w:val="24"/>
          <w:szCs w:val="24"/>
        </w:rPr>
        <w:t xml:space="preserve"> </w:t>
      </w:r>
      <w:r w:rsidR="003A528A" w:rsidRPr="003A1174">
        <w:rPr>
          <w:rFonts w:ascii="Garamond" w:hAnsi="Garamond" w:cs="Arial"/>
          <w:sz w:val="24"/>
          <w:szCs w:val="24"/>
        </w:rPr>
        <w:t>d</w:t>
      </w:r>
      <w:r w:rsidRPr="003A1174">
        <w:rPr>
          <w:rFonts w:ascii="Garamond" w:hAnsi="Garamond" w:cs="Arial"/>
          <w:sz w:val="24"/>
          <w:szCs w:val="24"/>
        </w:rPr>
        <w:t xml:space="preserve">e </w:t>
      </w:r>
      <w:r w:rsidR="001F2F8B" w:rsidRPr="003A1174">
        <w:rPr>
          <w:rFonts w:ascii="Garamond" w:hAnsi="Garamond" w:cs="Arial"/>
          <w:sz w:val="24"/>
          <w:szCs w:val="24"/>
        </w:rPr>
        <w:t xml:space="preserve">ter </w:t>
      </w:r>
      <w:r w:rsidRPr="003A1174">
        <w:rPr>
          <w:rFonts w:ascii="Garamond" w:hAnsi="Garamond" w:cs="Arial"/>
          <w:sz w:val="24"/>
          <w:szCs w:val="24"/>
        </w:rPr>
        <w:t>sido emitida por u</w:t>
      </w:r>
      <w:r w:rsidR="001F2F8B" w:rsidRPr="003A1174">
        <w:rPr>
          <w:rFonts w:ascii="Garamond" w:hAnsi="Garamond" w:cs="Arial"/>
          <w:sz w:val="24"/>
          <w:szCs w:val="24"/>
        </w:rPr>
        <w:t>m</w:t>
      </w:r>
      <w:r w:rsidRPr="003A1174">
        <w:rPr>
          <w:rFonts w:ascii="Garamond" w:hAnsi="Garamond" w:cs="Arial"/>
          <w:sz w:val="24"/>
          <w:szCs w:val="24"/>
        </w:rPr>
        <w:t xml:space="preserve"> </w:t>
      </w:r>
      <w:r w:rsidR="006506C6" w:rsidRPr="003A1174">
        <w:rPr>
          <w:rFonts w:ascii="Garamond" w:hAnsi="Garamond" w:cs="Arial"/>
          <w:sz w:val="24"/>
          <w:szCs w:val="24"/>
        </w:rPr>
        <w:t>governo</w:t>
      </w:r>
      <w:r w:rsidRPr="003A1174">
        <w:rPr>
          <w:rFonts w:ascii="Garamond" w:hAnsi="Garamond" w:cs="Arial"/>
          <w:sz w:val="24"/>
          <w:szCs w:val="24"/>
        </w:rPr>
        <w:t xml:space="preserve"> </w:t>
      </w:r>
      <w:r w:rsidRPr="003A1174">
        <w:rPr>
          <w:rFonts w:ascii="Garamond" w:hAnsi="Garamond" w:cs="Arial"/>
          <w:sz w:val="24"/>
          <w:szCs w:val="24"/>
        </w:rPr>
        <w:lastRenderedPageBreak/>
        <w:t xml:space="preserve">derivado de </w:t>
      </w:r>
      <w:r w:rsidR="001F2F8B" w:rsidRPr="003A1174">
        <w:rPr>
          <w:rFonts w:ascii="Garamond" w:hAnsi="Garamond" w:cs="Arial"/>
          <w:sz w:val="24"/>
          <w:szCs w:val="24"/>
        </w:rPr>
        <w:t>eleições e</w:t>
      </w:r>
      <w:r w:rsidRPr="003A1174">
        <w:rPr>
          <w:rFonts w:ascii="Garamond" w:hAnsi="Garamond" w:cs="Arial"/>
          <w:sz w:val="24"/>
          <w:szCs w:val="24"/>
        </w:rPr>
        <w:t>, tanto o</w:t>
      </w:r>
      <w:r w:rsidR="001F2F8B" w:rsidRPr="003A1174">
        <w:rPr>
          <w:rFonts w:ascii="Garamond" w:hAnsi="Garamond" w:cs="Arial"/>
          <w:sz w:val="24"/>
          <w:szCs w:val="24"/>
        </w:rPr>
        <w:t>u mai</w:t>
      </w:r>
      <w:r w:rsidRPr="003A1174">
        <w:rPr>
          <w:rFonts w:ascii="Garamond" w:hAnsi="Garamond" w:cs="Arial"/>
          <w:sz w:val="24"/>
          <w:szCs w:val="24"/>
        </w:rPr>
        <w:t xml:space="preserve">s relevante, </w:t>
      </w:r>
      <w:r w:rsidR="003A528A" w:rsidRPr="003A1174">
        <w:rPr>
          <w:rFonts w:ascii="Garamond" w:hAnsi="Garamond" w:cs="Arial"/>
          <w:sz w:val="24"/>
          <w:szCs w:val="24"/>
        </w:rPr>
        <w:t xml:space="preserve">de </w:t>
      </w:r>
      <w:r w:rsidR="001F2F8B" w:rsidRPr="003A1174">
        <w:rPr>
          <w:rFonts w:ascii="Garamond" w:hAnsi="Garamond" w:cs="Arial"/>
          <w:sz w:val="24"/>
          <w:szCs w:val="24"/>
        </w:rPr>
        <w:t xml:space="preserve">ter conseguido </w:t>
      </w:r>
      <w:r w:rsidRPr="003A1174">
        <w:rPr>
          <w:rFonts w:ascii="Garamond" w:hAnsi="Garamond" w:cs="Arial"/>
          <w:sz w:val="24"/>
          <w:szCs w:val="24"/>
        </w:rPr>
        <w:t xml:space="preserve">a </w:t>
      </w:r>
      <w:r w:rsidR="001F2F8B" w:rsidRPr="003A1174">
        <w:rPr>
          <w:rFonts w:ascii="Garamond" w:hAnsi="Garamond" w:cs="Arial"/>
          <w:sz w:val="24"/>
          <w:szCs w:val="24"/>
        </w:rPr>
        <w:t>conformidade e apoio maioritário da cidadania em duas ocasiões, mediante plebiscito e referendo</w:t>
      </w:r>
      <w:r w:rsidRPr="003A1174">
        <w:rPr>
          <w:rFonts w:ascii="Garamond" w:hAnsi="Garamond" w:cs="Arial"/>
          <w:sz w:val="24"/>
          <w:szCs w:val="24"/>
        </w:rPr>
        <w:t>.</w:t>
      </w:r>
    </w:p>
    <w:p w:rsidR="00A132B3" w:rsidRPr="003A1174" w:rsidRDefault="003A528A" w:rsidP="001647F2">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A</w:t>
      </w:r>
      <w:r w:rsidR="001F2F8B" w:rsidRPr="003A1174">
        <w:rPr>
          <w:rFonts w:ascii="Garamond" w:hAnsi="Garamond" w:cs="Arial"/>
          <w:sz w:val="24"/>
          <w:szCs w:val="24"/>
        </w:rPr>
        <w:t>o</w:t>
      </w:r>
      <w:r w:rsidRPr="003A1174">
        <w:rPr>
          <w:rFonts w:ascii="Garamond" w:hAnsi="Garamond" w:cs="Arial"/>
          <w:sz w:val="24"/>
          <w:szCs w:val="24"/>
        </w:rPr>
        <w:t xml:space="preserve"> </w:t>
      </w:r>
      <w:r w:rsidR="001F2F8B" w:rsidRPr="003A1174">
        <w:rPr>
          <w:rFonts w:ascii="Garamond" w:hAnsi="Garamond" w:cs="Arial"/>
          <w:sz w:val="24"/>
          <w:szCs w:val="24"/>
        </w:rPr>
        <w:t>conhecer</w:t>
      </w:r>
      <w:r w:rsidRPr="003A1174">
        <w:rPr>
          <w:rFonts w:ascii="Garamond" w:hAnsi="Garamond" w:cs="Arial"/>
          <w:sz w:val="24"/>
          <w:szCs w:val="24"/>
        </w:rPr>
        <w:t xml:space="preserve"> </w:t>
      </w:r>
      <w:r w:rsidR="001F2F8B" w:rsidRPr="003A1174">
        <w:rPr>
          <w:rFonts w:ascii="Garamond" w:hAnsi="Garamond" w:cs="Arial"/>
          <w:sz w:val="24"/>
          <w:szCs w:val="24"/>
        </w:rPr>
        <w:t xml:space="preserve">o </w:t>
      </w:r>
      <w:r w:rsidR="001647F2" w:rsidRPr="003A1174">
        <w:rPr>
          <w:rFonts w:ascii="Garamond" w:hAnsi="Garamond" w:cs="Arial"/>
          <w:sz w:val="24"/>
          <w:szCs w:val="24"/>
        </w:rPr>
        <w:t xml:space="preserve">caso, </w:t>
      </w:r>
      <w:r w:rsidR="00A132B3" w:rsidRPr="003A1174">
        <w:rPr>
          <w:rFonts w:ascii="Garamond" w:hAnsi="Garamond" w:cs="Arial"/>
          <w:sz w:val="24"/>
          <w:szCs w:val="24"/>
        </w:rPr>
        <w:t xml:space="preserve">a </w:t>
      </w:r>
      <w:r w:rsidR="00FF6A3F" w:rsidRPr="003A1174">
        <w:rPr>
          <w:rFonts w:ascii="Garamond" w:hAnsi="Garamond" w:cs="Arial"/>
          <w:sz w:val="24"/>
          <w:szCs w:val="24"/>
        </w:rPr>
        <w:t>Comissão</w:t>
      </w:r>
      <w:r w:rsidR="00A132B3" w:rsidRPr="003A1174">
        <w:rPr>
          <w:rFonts w:ascii="Garamond" w:hAnsi="Garamond" w:cs="Arial"/>
          <w:sz w:val="24"/>
          <w:szCs w:val="24"/>
        </w:rPr>
        <w:t xml:space="preserve"> reiter</w:t>
      </w:r>
      <w:r w:rsidR="001F2F8B" w:rsidRPr="003A1174">
        <w:rPr>
          <w:rFonts w:ascii="Garamond" w:hAnsi="Garamond" w:cs="Arial"/>
          <w:sz w:val="24"/>
          <w:szCs w:val="24"/>
        </w:rPr>
        <w:t xml:space="preserve">ou os seus </w:t>
      </w:r>
      <w:r w:rsidR="00A132B3" w:rsidRPr="003A1174">
        <w:rPr>
          <w:rFonts w:ascii="Garamond" w:hAnsi="Garamond" w:cs="Arial"/>
          <w:sz w:val="24"/>
          <w:szCs w:val="24"/>
        </w:rPr>
        <w:t xml:space="preserve">argumentos contra a </w:t>
      </w:r>
      <w:r w:rsidR="00276DCA" w:rsidRPr="003A1174">
        <w:rPr>
          <w:rFonts w:ascii="Garamond" w:hAnsi="Garamond" w:cs="Arial"/>
          <w:sz w:val="24"/>
          <w:szCs w:val="24"/>
        </w:rPr>
        <w:t>impunidade</w:t>
      </w:r>
      <w:r w:rsidR="00A132B3" w:rsidRPr="003A1174">
        <w:rPr>
          <w:rFonts w:ascii="Garamond" w:hAnsi="Garamond" w:cs="Arial"/>
          <w:sz w:val="24"/>
          <w:szCs w:val="24"/>
        </w:rPr>
        <w:t xml:space="preserve"> </w:t>
      </w:r>
      <w:r w:rsidR="001F2F8B" w:rsidRPr="003A1174">
        <w:rPr>
          <w:rFonts w:ascii="Garamond" w:hAnsi="Garamond" w:cs="Arial"/>
          <w:sz w:val="24"/>
          <w:szCs w:val="24"/>
        </w:rPr>
        <w:t>per</w:t>
      </w:r>
      <w:r w:rsidR="00A132B3" w:rsidRPr="003A1174">
        <w:rPr>
          <w:rFonts w:ascii="Garamond" w:hAnsi="Garamond" w:cs="Arial"/>
          <w:sz w:val="24"/>
          <w:szCs w:val="24"/>
        </w:rPr>
        <w:t xml:space="preserve">ante graves </w:t>
      </w:r>
      <w:r w:rsidR="002F62B0" w:rsidRPr="003A1174">
        <w:rPr>
          <w:rFonts w:ascii="Garamond" w:hAnsi="Garamond" w:cs="Arial"/>
          <w:sz w:val="24"/>
          <w:szCs w:val="24"/>
        </w:rPr>
        <w:t>violações</w:t>
      </w:r>
      <w:r w:rsidR="00A132B3" w:rsidRPr="003A1174">
        <w:rPr>
          <w:rFonts w:ascii="Garamond" w:hAnsi="Garamond" w:cs="Arial"/>
          <w:sz w:val="24"/>
          <w:szCs w:val="24"/>
        </w:rPr>
        <w:t xml:space="preserve"> d</w:t>
      </w:r>
      <w:r w:rsidR="001F2F8B" w:rsidRPr="003A1174">
        <w:rPr>
          <w:rFonts w:ascii="Garamond" w:hAnsi="Garamond" w:cs="Arial"/>
          <w:sz w:val="24"/>
          <w:szCs w:val="24"/>
        </w:rPr>
        <w:t>os</w:t>
      </w:r>
      <w:r w:rsidR="00A132B3" w:rsidRPr="003A1174">
        <w:rPr>
          <w:rFonts w:ascii="Garamond" w:hAnsi="Garamond" w:cs="Arial"/>
          <w:sz w:val="24"/>
          <w:szCs w:val="24"/>
        </w:rPr>
        <w:t xml:space="preserve"> </w:t>
      </w:r>
      <w:r w:rsidR="00886D6A" w:rsidRPr="003A1174">
        <w:rPr>
          <w:rFonts w:ascii="Garamond" w:hAnsi="Garamond" w:cs="Arial"/>
          <w:sz w:val="24"/>
          <w:szCs w:val="24"/>
        </w:rPr>
        <w:t>direito</w:t>
      </w:r>
      <w:r w:rsidR="00A132B3" w:rsidRPr="003A1174">
        <w:rPr>
          <w:rFonts w:ascii="Garamond" w:hAnsi="Garamond" w:cs="Arial"/>
          <w:sz w:val="24"/>
          <w:szCs w:val="24"/>
        </w:rPr>
        <w:t>s humanos</w:t>
      </w:r>
      <w:r w:rsidR="009D0E7B">
        <w:rPr>
          <w:rFonts w:ascii="Garamond" w:hAnsi="Garamond" w:cs="Arial"/>
          <w:sz w:val="24"/>
          <w:szCs w:val="24"/>
        </w:rPr>
        <w:t>,</w:t>
      </w:r>
      <w:r w:rsidR="00A132B3" w:rsidRPr="003A1174">
        <w:rPr>
          <w:rFonts w:ascii="Garamond" w:hAnsi="Garamond" w:cs="Arial"/>
          <w:sz w:val="24"/>
          <w:szCs w:val="24"/>
        </w:rPr>
        <w:t xml:space="preserve"> gerada p</w:t>
      </w:r>
      <w:r w:rsidR="001F2F8B" w:rsidRPr="003A1174">
        <w:rPr>
          <w:rFonts w:ascii="Garamond" w:hAnsi="Garamond" w:cs="Arial"/>
          <w:sz w:val="24"/>
          <w:szCs w:val="24"/>
        </w:rPr>
        <w:t>e</w:t>
      </w:r>
      <w:r w:rsidR="00A132B3" w:rsidRPr="003A1174">
        <w:rPr>
          <w:rFonts w:ascii="Garamond" w:hAnsi="Garamond" w:cs="Arial"/>
          <w:sz w:val="24"/>
          <w:szCs w:val="24"/>
        </w:rPr>
        <w:t xml:space="preserve">las normas de </w:t>
      </w:r>
      <w:r w:rsidR="00100435" w:rsidRPr="003A1174">
        <w:rPr>
          <w:rFonts w:ascii="Garamond" w:hAnsi="Garamond" w:cs="Arial"/>
          <w:sz w:val="24"/>
          <w:szCs w:val="24"/>
        </w:rPr>
        <w:t>amnistia</w:t>
      </w:r>
      <w:r w:rsidR="00A132B3" w:rsidRPr="003A1174">
        <w:rPr>
          <w:rFonts w:ascii="Garamond" w:hAnsi="Garamond" w:cs="Arial"/>
          <w:sz w:val="24"/>
          <w:szCs w:val="24"/>
        </w:rPr>
        <w:t xml:space="preserve">, </w:t>
      </w:r>
      <w:r w:rsidR="001F2F8B" w:rsidRPr="003A1174">
        <w:rPr>
          <w:rFonts w:ascii="Garamond" w:hAnsi="Garamond" w:cs="Arial"/>
          <w:sz w:val="24"/>
          <w:szCs w:val="24"/>
        </w:rPr>
        <w:t xml:space="preserve">assinalando a sua </w:t>
      </w:r>
      <w:r w:rsidR="00A132B3" w:rsidRPr="003A1174">
        <w:rPr>
          <w:rFonts w:ascii="Garamond" w:hAnsi="Garamond" w:cs="Arial"/>
          <w:sz w:val="24"/>
          <w:szCs w:val="24"/>
        </w:rPr>
        <w:t>invalid</w:t>
      </w:r>
      <w:r w:rsidR="001F2F8B" w:rsidRPr="003A1174">
        <w:rPr>
          <w:rFonts w:ascii="Garamond" w:hAnsi="Garamond" w:cs="Arial"/>
          <w:sz w:val="24"/>
          <w:szCs w:val="24"/>
        </w:rPr>
        <w:t>ade j</w:t>
      </w:r>
      <w:r w:rsidR="00A132B3" w:rsidRPr="003A1174">
        <w:rPr>
          <w:rFonts w:ascii="Garamond" w:hAnsi="Garamond" w:cs="Arial"/>
          <w:sz w:val="24"/>
          <w:szCs w:val="24"/>
        </w:rPr>
        <w:t xml:space="preserve">urídica por </w:t>
      </w:r>
      <w:r w:rsidR="001647F2" w:rsidRPr="003A1174">
        <w:rPr>
          <w:rFonts w:ascii="Garamond" w:hAnsi="Garamond" w:cs="Arial"/>
          <w:sz w:val="24"/>
          <w:szCs w:val="24"/>
        </w:rPr>
        <w:t xml:space="preserve">se opor à </w:t>
      </w:r>
      <w:r w:rsidR="00B14AA6" w:rsidRPr="003A1174">
        <w:rPr>
          <w:rFonts w:ascii="Garamond" w:hAnsi="Garamond" w:cs="Arial"/>
          <w:sz w:val="24"/>
          <w:szCs w:val="24"/>
        </w:rPr>
        <w:t>Convenção</w:t>
      </w:r>
      <w:r w:rsidR="00A132B3" w:rsidRPr="003A1174">
        <w:rPr>
          <w:rFonts w:ascii="Garamond" w:hAnsi="Garamond" w:cs="Arial"/>
          <w:sz w:val="24"/>
          <w:szCs w:val="24"/>
        </w:rPr>
        <w:t xml:space="preserve"> Americana.</w:t>
      </w:r>
      <w:r w:rsidR="00461F3B" w:rsidRPr="003A1174">
        <w:rPr>
          <w:rFonts w:ascii="Garamond" w:hAnsi="Garamond" w:cs="Arial"/>
          <w:sz w:val="24"/>
          <w:szCs w:val="24"/>
        </w:rPr>
        <w:t xml:space="preserve"> </w:t>
      </w:r>
      <w:r w:rsidR="00A132B3" w:rsidRPr="003A1174">
        <w:rPr>
          <w:rFonts w:ascii="Garamond" w:hAnsi="Garamond" w:cs="Arial"/>
          <w:sz w:val="24"/>
          <w:szCs w:val="24"/>
        </w:rPr>
        <w:t>A</w:t>
      </w:r>
      <w:r w:rsidR="001647F2" w:rsidRPr="003A1174">
        <w:rPr>
          <w:rFonts w:ascii="Garamond" w:hAnsi="Garamond" w:cs="Arial"/>
          <w:sz w:val="24"/>
          <w:szCs w:val="24"/>
        </w:rPr>
        <w:t xml:space="preserve">lém disso, </w:t>
      </w:r>
      <w:r w:rsidR="00A132B3" w:rsidRPr="003A1174">
        <w:rPr>
          <w:rFonts w:ascii="Garamond" w:hAnsi="Garamond" w:cs="Arial"/>
          <w:sz w:val="24"/>
          <w:szCs w:val="24"/>
        </w:rPr>
        <w:t>retom</w:t>
      </w:r>
      <w:r w:rsidR="001647F2" w:rsidRPr="003A1174">
        <w:rPr>
          <w:rFonts w:ascii="Garamond" w:hAnsi="Garamond" w:cs="Arial"/>
          <w:sz w:val="24"/>
          <w:szCs w:val="24"/>
        </w:rPr>
        <w:t>ou a</w:t>
      </w:r>
      <w:r w:rsidR="00A132B3" w:rsidRPr="003A1174">
        <w:rPr>
          <w:rFonts w:ascii="Garamond" w:hAnsi="Garamond" w:cs="Arial"/>
          <w:sz w:val="24"/>
          <w:szCs w:val="24"/>
        </w:rPr>
        <w:t xml:space="preserve">s </w:t>
      </w:r>
      <w:r w:rsidR="001647F2" w:rsidRPr="003A1174">
        <w:rPr>
          <w:rFonts w:ascii="Garamond" w:hAnsi="Garamond" w:cs="Arial"/>
          <w:sz w:val="24"/>
          <w:szCs w:val="24"/>
        </w:rPr>
        <w:t xml:space="preserve">orientações </w:t>
      </w:r>
      <w:r w:rsidR="00A132B3" w:rsidRPr="003A1174">
        <w:rPr>
          <w:rFonts w:ascii="Garamond" w:hAnsi="Garamond" w:cs="Arial"/>
          <w:sz w:val="24"/>
          <w:szCs w:val="24"/>
        </w:rPr>
        <w:t>d</w:t>
      </w:r>
      <w:r w:rsidR="001647F2" w:rsidRPr="003A1174">
        <w:rPr>
          <w:rFonts w:ascii="Garamond" w:hAnsi="Garamond" w:cs="Arial"/>
          <w:sz w:val="24"/>
          <w:szCs w:val="24"/>
        </w:rPr>
        <w:t>o</w:t>
      </w:r>
      <w:r w:rsidR="00A132B3" w:rsidRPr="003A1174">
        <w:rPr>
          <w:rFonts w:ascii="Garamond" w:hAnsi="Garamond" w:cs="Arial"/>
          <w:sz w:val="24"/>
          <w:szCs w:val="24"/>
        </w:rPr>
        <w:t xml:space="preserve"> magistrado García Ramírez a</w:t>
      </w:r>
      <w:r w:rsidR="001647F2" w:rsidRPr="003A1174">
        <w:rPr>
          <w:rFonts w:ascii="Garamond" w:hAnsi="Garamond" w:cs="Arial"/>
          <w:sz w:val="24"/>
          <w:szCs w:val="24"/>
        </w:rPr>
        <w:t>o</w:t>
      </w:r>
      <w:r w:rsidR="00A132B3" w:rsidRPr="003A1174">
        <w:rPr>
          <w:rFonts w:ascii="Garamond" w:hAnsi="Garamond" w:cs="Arial"/>
          <w:sz w:val="24"/>
          <w:szCs w:val="24"/>
        </w:rPr>
        <w:t xml:space="preserve"> afirmar </w:t>
      </w:r>
      <w:proofErr w:type="gramStart"/>
      <w:r w:rsidR="00A132B3" w:rsidRPr="003A1174">
        <w:rPr>
          <w:rFonts w:ascii="Garamond" w:hAnsi="Garamond" w:cs="Arial"/>
          <w:sz w:val="24"/>
          <w:szCs w:val="24"/>
        </w:rPr>
        <w:t>que</w:t>
      </w:r>
      <w:proofErr w:type="gramEnd"/>
      <w:r w:rsidR="00A132B3" w:rsidRPr="003A1174">
        <w:rPr>
          <w:rFonts w:ascii="Garamond" w:hAnsi="Garamond" w:cs="Arial"/>
          <w:sz w:val="24"/>
          <w:szCs w:val="24"/>
        </w:rPr>
        <w:t xml:space="preserve"> </w:t>
      </w:r>
    </w:p>
    <w:p w:rsidR="00A132B3" w:rsidRPr="003A1174" w:rsidRDefault="00A132B3" w:rsidP="008719D4">
      <w:pPr>
        <w:autoSpaceDE w:val="0"/>
        <w:autoSpaceDN w:val="0"/>
        <w:adjustRightInd w:val="0"/>
        <w:spacing w:after="0" w:line="240" w:lineRule="auto"/>
        <w:jc w:val="both"/>
        <w:rPr>
          <w:rFonts w:ascii="Garamond" w:hAnsi="Garamond" w:cs="Arial"/>
          <w:sz w:val="24"/>
          <w:szCs w:val="24"/>
        </w:rPr>
      </w:pPr>
    </w:p>
    <w:p w:rsidR="00A132B3" w:rsidRPr="00852A19" w:rsidRDefault="00852A19" w:rsidP="00852A19">
      <w:pPr>
        <w:autoSpaceDE w:val="0"/>
        <w:autoSpaceDN w:val="0"/>
        <w:adjustRightInd w:val="0"/>
        <w:spacing w:after="0" w:line="240" w:lineRule="auto"/>
        <w:ind w:left="567"/>
        <w:jc w:val="both"/>
        <w:rPr>
          <w:rFonts w:ascii="Garamond" w:hAnsi="Garamond" w:cs="Arial"/>
        </w:rPr>
      </w:pPr>
      <w:r w:rsidRPr="00852A19">
        <w:rPr>
          <w:rFonts w:ascii="Garamond" w:hAnsi="Garamond" w:cs="Arial"/>
        </w:rPr>
        <w:t>«</w:t>
      </w:r>
      <w:r w:rsidR="00863197" w:rsidRPr="00852A19">
        <w:rPr>
          <w:rFonts w:ascii="Garamond" w:hAnsi="Garamond" w:cs="Arial"/>
        </w:rPr>
        <w:t>Quando</w:t>
      </w:r>
      <w:r w:rsidR="00A132B3" w:rsidRPr="00852A19">
        <w:rPr>
          <w:rFonts w:ascii="Garamond" w:hAnsi="Garamond" w:cs="Arial"/>
        </w:rPr>
        <w:t xml:space="preserve"> u</w:t>
      </w:r>
      <w:r w:rsidR="001647F2" w:rsidRPr="00852A19">
        <w:rPr>
          <w:rFonts w:ascii="Garamond" w:hAnsi="Garamond" w:cs="Arial"/>
        </w:rPr>
        <w:t>m</w:t>
      </w:r>
      <w:r w:rsidR="00A132B3" w:rsidRPr="00852A19">
        <w:rPr>
          <w:rFonts w:ascii="Garamond" w:hAnsi="Garamond" w:cs="Arial"/>
        </w:rPr>
        <w:t xml:space="preserve"> Estado </w:t>
      </w:r>
      <w:r w:rsidR="001647F2" w:rsidRPr="00852A19">
        <w:rPr>
          <w:rFonts w:ascii="Garamond" w:hAnsi="Garamond" w:cs="Arial"/>
        </w:rPr>
        <w:t xml:space="preserve">é </w:t>
      </w:r>
      <w:r w:rsidRPr="00852A19">
        <w:rPr>
          <w:rFonts w:ascii="Garamond" w:hAnsi="Garamond" w:cs="Arial"/>
        </w:rPr>
        <w:t>m</w:t>
      </w:r>
      <w:r w:rsidR="00A54B5A" w:rsidRPr="00852A19">
        <w:rPr>
          <w:rFonts w:ascii="Garamond" w:hAnsi="Garamond" w:cs="Arial"/>
        </w:rPr>
        <w:t xml:space="preserve">embro </w:t>
      </w:r>
      <w:r w:rsidR="00A132B3" w:rsidRPr="00852A19">
        <w:rPr>
          <w:rFonts w:ascii="Garamond" w:hAnsi="Garamond" w:cs="Arial"/>
        </w:rPr>
        <w:t>de u</w:t>
      </w:r>
      <w:r w:rsidR="001647F2" w:rsidRPr="00852A19">
        <w:rPr>
          <w:rFonts w:ascii="Garamond" w:hAnsi="Garamond" w:cs="Arial"/>
        </w:rPr>
        <w:t xml:space="preserve">m tratado internacional como </w:t>
      </w:r>
      <w:r w:rsidR="00A132B3" w:rsidRPr="00852A19">
        <w:rPr>
          <w:rFonts w:ascii="Garamond" w:hAnsi="Garamond" w:cs="Arial"/>
        </w:rPr>
        <w:t xml:space="preserve">a </w:t>
      </w:r>
      <w:r w:rsidR="00B14AA6" w:rsidRPr="00852A19">
        <w:rPr>
          <w:rFonts w:ascii="Garamond" w:hAnsi="Garamond" w:cs="Arial"/>
        </w:rPr>
        <w:t>Convenção</w:t>
      </w:r>
      <w:r w:rsidR="00A132B3" w:rsidRPr="00852A19">
        <w:rPr>
          <w:rFonts w:ascii="Garamond" w:hAnsi="Garamond" w:cs="Arial"/>
        </w:rPr>
        <w:t xml:space="preserve"> Americana, todos </w:t>
      </w:r>
      <w:r w:rsidR="001647F2" w:rsidRPr="00852A19">
        <w:rPr>
          <w:rFonts w:ascii="Garamond" w:hAnsi="Garamond" w:cs="Arial"/>
        </w:rPr>
        <w:t xml:space="preserve">os </w:t>
      </w:r>
      <w:r w:rsidR="00A132B3" w:rsidRPr="00852A19">
        <w:rPr>
          <w:rFonts w:ascii="Garamond" w:hAnsi="Garamond" w:cs="Arial"/>
        </w:rPr>
        <w:t>s</w:t>
      </w:r>
      <w:r w:rsidR="001647F2" w:rsidRPr="00852A19">
        <w:rPr>
          <w:rFonts w:ascii="Garamond" w:hAnsi="Garamond" w:cs="Arial"/>
        </w:rPr>
        <w:t>e</w:t>
      </w:r>
      <w:r w:rsidR="00A132B3" w:rsidRPr="00852A19">
        <w:rPr>
          <w:rFonts w:ascii="Garamond" w:hAnsi="Garamond" w:cs="Arial"/>
        </w:rPr>
        <w:t xml:space="preserve">us </w:t>
      </w:r>
      <w:r w:rsidR="003F012B" w:rsidRPr="00852A19">
        <w:rPr>
          <w:rFonts w:ascii="Garamond" w:hAnsi="Garamond" w:cs="Arial"/>
        </w:rPr>
        <w:t>órgão</w:t>
      </w:r>
      <w:r w:rsidR="00A132B3" w:rsidRPr="00852A19">
        <w:rPr>
          <w:rFonts w:ascii="Garamond" w:hAnsi="Garamond" w:cs="Arial"/>
        </w:rPr>
        <w:t>s, inclui</w:t>
      </w:r>
      <w:r w:rsidR="001647F2" w:rsidRPr="00852A19">
        <w:rPr>
          <w:rFonts w:ascii="Garamond" w:hAnsi="Garamond" w:cs="Arial"/>
        </w:rPr>
        <w:t xml:space="preserve">ndo os seus </w:t>
      </w:r>
      <w:r w:rsidR="00BA3CCE" w:rsidRPr="00852A19">
        <w:rPr>
          <w:rFonts w:ascii="Garamond" w:hAnsi="Garamond" w:cs="Arial"/>
        </w:rPr>
        <w:t>juízes</w:t>
      </w:r>
      <w:r w:rsidR="00A132B3" w:rsidRPr="00852A19">
        <w:rPr>
          <w:rFonts w:ascii="Garamond" w:hAnsi="Garamond" w:cs="Arial"/>
        </w:rPr>
        <w:t xml:space="preserve">, </w:t>
      </w:r>
      <w:r w:rsidR="001647F2" w:rsidRPr="00852A19">
        <w:rPr>
          <w:rFonts w:ascii="Garamond" w:hAnsi="Garamond" w:cs="Arial"/>
        </w:rPr>
        <w:t>estão</w:t>
      </w:r>
      <w:r w:rsidR="00A132B3" w:rsidRPr="00852A19">
        <w:rPr>
          <w:rFonts w:ascii="Garamond" w:hAnsi="Garamond" w:cs="Arial"/>
        </w:rPr>
        <w:t xml:space="preserve"> </w:t>
      </w:r>
      <w:r w:rsidR="001647F2" w:rsidRPr="00852A19">
        <w:rPr>
          <w:rFonts w:ascii="Garamond" w:hAnsi="Garamond" w:cs="Arial"/>
        </w:rPr>
        <w:t>sujeitos</w:t>
      </w:r>
      <w:r w:rsidR="00A132B3" w:rsidRPr="00852A19">
        <w:rPr>
          <w:rFonts w:ascii="Garamond" w:hAnsi="Garamond" w:cs="Arial"/>
        </w:rPr>
        <w:t xml:space="preserve"> a</w:t>
      </w:r>
      <w:r w:rsidR="001647F2" w:rsidRPr="00852A19">
        <w:rPr>
          <w:rFonts w:ascii="Garamond" w:hAnsi="Garamond" w:cs="Arial"/>
        </w:rPr>
        <w:t xml:space="preserve"> ela, o que os </w:t>
      </w:r>
      <w:r w:rsidR="007342D9" w:rsidRPr="00852A19">
        <w:rPr>
          <w:rFonts w:ascii="Garamond" w:hAnsi="Garamond" w:cs="Arial"/>
        </w:rPr>
        <w:t>obriga</w:t>
      </w:r>
      <w:r w:rsidR="00A132B3" w:rsidRPr="00852A19">
        <w:rPr>
          <w:rFonts w:ascii="Garamond" w:hAnsi="Garamond" w:cs="Arial"/>
        </w:rPr>
        <w:t xml:space="preserve"> a velar p</w:t>
      </w:r>
      <w:r w:rsidR="001647F2" w:rsidRPr="00852A19">
        <w:rPr>
          <w:rFonts w:ascii="Garamond" w:hAnsi="Garamond" w:cs="Arial"/>
        </w:rPr>
        <w:t xml:space="preserve">ara que </w:t>
      </w:r>
      <w:r w:rsidR="00A132B3" w:rsidRPr="00852A19">
        <w:rPr>
          <w:rFonts w:ascii="Garamond" w:hAnsi="Garamond" w:cs="Arial"/>
        </w:rPr>
        <w:t xml:space="preserve">os </w:t>
      </w:r>
      <w:r w:rsidR="00863197" w:rsidRPr="00852A19">
        <w:rPr>
          <w:rFonts w:ascii="Garamond" w:hAnsi="Garamond" w:cs="Arial"/>
        </w:rPr>
        <w:t>efeito</w:t>
      </w:r>
      <w:r w:rsidR="00A132B3" w:rsidRPr="00852A19">
        <w:rPr>
          <w:rFonts w:ascii="Garamond" w:hAnsi="Garamond" w:cs="Arial"/>
        </w:rPr>
        <w:t xml:space="preserve">s das </w:t>
      </w:r>
      <w:r w:rsidR="00B14AA6" w:rsidRPr="00852A19">
        <w:rPr>
          <w:rFonts w:ascii="Garamond" w:hAnsi="Garamond" w:cs="Arial"/>
        </w:rPr>
        <w:t>disposições</w:t>
      </w:r>
      <w:r w:rsidR="00A132B3" w:rsidRPr="00852A19">
        <w:rPr>
          <w:rFonts w:ascii="Garamond" w:hAnsi="Garamond" w:cs="Arial"/>
        </w:rPr>
        <w:t xml:space="preserve"> da </w:t>
      </w:r>
      <w:r w:rsidR="00B14AA6" w:rsidRPr="00852A19">
        <w:rPr>
          <w:rFonts w:ascii="Garamond" w:hAnsi="Garamond" w:cs="Arial"/>
        </w:rPr>
        <w:t>Convenção</w:t>
      </w:r>
      <w:r w:rsidR="00A132B3" w:rsidRPr="00852A19">
        <w:rPr>
          <w:rFonts w:ascii="Garamond" w:hAnsi="Garamond" w:cs="Arial"/>
        </w:rPr>
        <w:t xml:space="preserve"> n</w:t>
      </w:r>
      <w:r w:rsidR="001647F2" w:rsidRPr="00852A19">
        <w:rPr>
          <w:rFonts w:ascii="Garamond" w:hAnsi="Garamond" w:cs="Arial"/>
        </w:rPr>
        <w:t>ã</w:t>
      </w:r>
      <w:r w:rsidR="00A132B3" w:rsidRPr="00852A19">
        <w:rPr>
          <w:rFonts w:ascii="Garamond" w:hAnsi="Garamond" w:cs="Arial"/>
        </w:rPr>
        <w:t>o se</w:t>
      </w:r>
      <w:r w:rsidR="00A54B5A" w:rsidRPr="00852A19">
        <w:rPr>
          <w:rFonts w:ascii="Garamond" w:hAnsi="Garamond" w:cs="Arial"/>
        </w:rPr>
        <w:t xml:space="preserve">jam afetados </w:t>
      </w:r>
      <w:r w:rsidR="00A132B3" w:rsidRPr="00852A19">
        <w:rPr>
          <w:rFonts w:ascii="Garamond" w:hAnsi="Garamond" w:cs="Arial"/>
        </w:rPr>
        <w:t>p</w:t>
      </w:r>
      <w:r w:rsidR="001647F2" w:rsidRPr="00852A19">
        <w:rPr>
          <w:rFonts w:ascii="Garamond" w:hAnsi="Garamond" w:cs="Arial"/>
        </w:rPr>
        <w:t>e</w:t>
      </w:r>
      <w:r w:rsidR="00A132B3" w:rsidRPr="00852A19">
        <w:rPr>
          <w:rFonts w:ascii="Garamond" w:hAnsi="Garamond" w:cs="Arial"/>
        </w:rPr>
        <w:t xml:space="preserve">la </w:t>
      </w:r>
      <w:r w:rsidR="00B14AA6" w:rsidRPr="00852A19">
        <w:rPr>
          <w:rFonts w:ascii="Garamond" w:hAnsi="Garamond" w:cs="Arial"/>
        </w:rPr>
        <w:t>aplicação</w:t>
      </w:r>
      <w:r w:rsidR="00A132B3" w:rsidRPr="00852A19">
        <w:rPr>
          <w:rFonts w:ascii="Garamond" w:hAnsi="Garamond" w:cs="Arial"/>
        </w:rPr>
        <w:t xml:space="preserve"> de normas </w:t>
      </w:r>
      <w:r w:rsidR="009461E1" w:rsidRPr="00852A19">
        <w:rPr>
          <w:rFonts w:ascii="Garamond" w:hAnsi="Garamond" w:cs="Arial"/>
        </w:rPr>
        <w:t>contrária</w:t>
      </w:r>
      <w:r w:rsidR="00A132B3" w:rsidRPr="00852A19">
        <w:rPr>
          <w:rFonts w:ascii="Garamond" w:hAnsi="Garamond" w:cs="Arial"/>
        </w:rPr>
        <w:t>s a</w:t>
      </w:r>
      <w:r w:rsidR="001647F2" w:rsidRPr="00852A19">
        <w:rPr>
          <w:rFonts w:ascii="Garamond" w:hAnsi="Garamond" w:cs="Arial"/>
        </w:rPr>
        <w:t>o</w:t>
      </w:r>
      <w:r w:rsidR="00A132B3" w:rsidRPr="00852A19">
        <w:rPr>
          <w:rFonts w:ascii="Garamond" w:hAnsi="Garamond" w:cs="Arial"/>
        </w:rPr>
        <w:t xml:space="preserve"> s</w:t>
      </w:r>
      <w:r w:rsidR="001647F2" w:rsidRPr="00852A19">
        <w:rPr>
          <w:rFonts w:ascii="Garamond" w:hAnsi="Garamond" w:cs="Arial"/>
        </w:rPr>
        <w:t>e</w:t>
      </w:r>
      <w:r w:rsidR="00A132B3" w:rsidRPr="00852A19">
        <w:rPr>
          <w:rFonts w:ascii="Garamond" w:hAnsi="Garamond" w:cs="Arial"/>
        </w:rPr>
        <w:t>u objet</w:t>
      </w:r>
      <w:r w:rsidR="001647F2" w:rsidRPr="00852A19">
        <w:rPr>
          <w:rFonts w:ascii="Garamond" w:hAnsi="Garamond" w:cs="Arial"/>
        </w:rPr>
        <w:t>iv</w:t>
      </w:r>
      <w:r w:rsidR="00A132B3" w:rsidRPr="00852A19">
        <w:rPr>
          <w:rFonts w:ascii="Garamond" w:hAnsi="Garamond" w:cs="Arial"/>
        </w:rPr>
        <w:t xml:space="preserve">o </w:t>
      </w:r>
      <w:r w:rsidR="001647F2" w:rsidRPr="00852A19">
        <w:rPr>
          <w:rFonts w:ascii="Garamond" w:hAnsi="Garamond" w:cs="Arial"/>
        </w:rPr>
        <w:t>e fim</w:t>
      </w:r>
      <w:r w:rsidR="00A132B3" w:rsidRPr="00852A19">
        <w:rPr>
          <w:rFonts w:ascii="Garamond" w:hAnsi="Garamond" w:cs="Arial"/>
        </w:rPr>
        <w:t>.</w:t>
      </w:r>
      <w:r w:rsidRPr="00852A19">
        <w:rPr>
          <w:rFonts w:ascii="Garamond" w:hAnsi="Garamond" w:cs="Arial"/>
        </w:rPr>
        <w:t>»</w:t>
      </w:r>
      <w:r w:rsidR="00A132B3" w:rsidRPr="00852A19">
        <w:rPr>
          <w:rFonts w:ascii="Garamond" w:hAnsi="Garamond" w:cs="Arial"/>
        </w:rPr>
        <w:t xml:space="preserve"> </w:t>
      </w:r>
      <w:r w:rsidR="00A132B3" w:rsidRPr="00852A19">
        <w:rPr>
          <w:rStyle w:val="Refdenotaalpie"/>
          <w:rFonts w:ascii="Garamond" w:hAnsi="Garamond" w:cs="Arial"/>
        </w:rPr>
        <w:footnoteReference w:id="51"/>
      </w:r>
    </w:p>
    <w:p w:rsidR="00A132B3" w:rsidRPr="00852A19" w:rsidRDefault="00A132B3" w:rsidP="00852A19">
      <w:pPr>
        <w:autoSpaceDE w:val="0"/>
        <w:autoSpaceDN w:val="0"/>
        <w:adjustRightInd w:val="0"/>
        <w:spacing w:after="0" w:line="240" w:lineRule="auto"/>
        <w:ind w:left="567"/>
        <w:jc w:val="both"/>
        <w:rPr>
          <w:rFonts w:ascii="Garamond" w:hAnsi="Garamond" w:cs="Arial"/>
        </w:rPr>
      </w:pPr>
    </w:p>
    <w:p w:rsidR="00A132B3" w:rsidRPr="003A1174" w:rsidRDefault="001647F2" w:rsidP="001647F2">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É </w:t>
      </w:r>
      <w:r w:rsidR="00A132B3" w:rsidRPr="003A1174">
        <w:rPr>
          <w:rFonts w:ascii="Garamond" w:hAnsi="Garamond" w:cs="Arial"/>
          <w:sz w:val="24"/>
          <w:szCs w:val="24"/>
        </w:rPr>
        <w:t xml:space="preserve">importante </w:t>
      </w:r>
      <w:r w:rsidRPr="003A1174">
        <w:rPr>
          <w:rFonts w:ascii="Garamond" w:hAnsi="Garamond" w:cs="Arial"/>
          <w:sz w:val="24"/>
          <w:szCs w:val="24"/>
        </w:rPr>
        <w:t xml:space="preserve">chamar </w:t>
      </w:r>
      <w:r w:rsidR="00A132B3" w:rsidRPr="003A1174">
        <w:rPr>
          <w:rFonts w:ascii="Garamond" w:hAnsi="Garamond" w:cs="Arial"/>
          <w:sz w:val="24"/>
          <w:szCs w:val="24"/>
        </w:rPr>
        <w:t xml:space="preserve">a </w:t>
      </w:r>
      <w:r w:rsidR="008278C4" w:rsidRPr="003A1174">
        <w:rPr>
          <w:rFonts w:ascii="Garamond" w:hAnsi="Garamond" w:cs="Arial"/>
          <w:sz w:val="24"/>
          <w:szCs w:val="24"/>
        </w:rPr>
        <w:t>atenção</w:t>
      </w:r>
      <w:r w:rsidR="00A132B3" w:rsidRPr="003A1174">
        <w:rPr>
          <w:rFonts w:ascii="Garamond" w:hAnsi="Garamond" w:cs="Arial"/>
          <w:sz w:val="24"/>
          <w:szCs w:val="24"/>
        </w:rPr>
        <w:t xml:space="preserve"> </w:t>
      </w:r>
      <w:r w:rsidR="009D0E7B">
        <w:rPr>
          <w:rFonts w:ascii="Garamond" w:hAnsi="Garamond" w:cs="Arial"/>
          <w:sz w:val="24"/>
          <w:szCs w:val="24"/>
        </w:rPr>
        <w:t xml:space="preserve">para </w:t>
      </w:r>
      <w:r w:rsidRPr="003A1174">
        <w:rPr>
          <w:rFonts w:ascii="Garamond" w:hAnsi="Garamond" w:cs="Arial"/>
          <w:sz w:val="24"/>
          <w:szCs w:val="24"/>
        </w:rPr>
        <w:t>o facto</w:t>
      </w:r>
      <w:r w:rsidR="00461F3B" w:rsidRPr="003A1174">
        <w:rPr>
          <w:rFonts w:ascii="Garamond" w:hAnsi="Garamond" w:cs="Arial"/>
          <w:sz w:val="24"/>
          <w:szCs w:val="24"/>
        </w:rPr>
        <w:t xml:space="preserve"> d</w:t>
      </w:r>
      <w:r w:rsidRPr="003A1174">
        <w:rPr>
          <w:rFonts w:ascii="Garamond" w:hAnsi="Garamond" w:cs="Arial"/>
          <w:sz w:val="24"/>
          <w:szCs w:val="24"/>
        </w:rPr>
        <w:t>o</w:t>
      </w:r>
      <w:r w:rsidR="00A132B3" w:rsidRPr="003A1174">
        <w:rPr>
          <w:rFonts w:ascii="Garamond" w:hAnsi="Garamond" w:cs="Arial"/>
          <w:sz w:val="24"/>
          <w:szCs w:val="24"/>
        </w:rPr>
        <w:t xml:space="preserve"> Tribunal </w:t>
      </w:r>
      <w:r w:rsidR="00461F3B" w:rsidRPr="003A1174">
        <w:rPr>
          <w:rFonts w:ascii="Garamond" w:hAnsi="Garamond" w:cs="Arial"/>
          <w:sz w:val="24"/>
          <w:szCs w:val="24"/>
        </w:rPr>
        <w:t>I</w:t>
      </w:r>
      <w:r w:rsidR="00A132B3" w:rsidRPr="003A1174">
        <w:rPr>
          <w:rFonts w:ascii="Garamond" w:hAnsi="Garamond" w:cs="Arial"/>
          <w:sz w:val="24"/>
          <w:szCs w:val="24"/>
        </w:rPr>
        <w:t xml:space="preserve">nteramericano, </w:t>
      </w:r>
      <w:r w:rsidR="002E7FD5" w:rsidRPr="003A1174">
        <w:rPr>
          <w:rFonts w:ascii="Garamond" w:hAnsi="Garamond" w:cs="Arial"/>
          <w:sz w:val="24"/>
          <w:szCs w:val="24"/>
        </w:rPr>
        <w:t>agora</w:t>
      </w:r>
      <w:r w:rsidRPr="003A1174">
        <w:rPr>
          <w:rFonts w:ascii="Garamond" w:hAnsi="Garamond" w:cs="Arial"/>
          <w:sz w:val="24"/>
          <w:szCs w:val="24"/>
        </w:rPr>
        <w:t xml:space="preserve"> de modo corporativo e</w:t>
      </w:r>
      <w:r w:rsidR="00A132B3" w:rsidRPr="003A1174">
        <w:rPr>
          <w:rFonts w:ascii="Garamond" w:hAnsi="Garamond" w:cs="Arial"/>
          <w:sz w:val="24"/>
          <w:szCs w:val="24"/>
        </w:rPr>
        <w:t xml:space="preserve"> </w:t>
      </w:r>
      <w:r w:rsidR="00E31A9D" w:rsidRPr="003A1174">
        <w:rPr>
          <w:rFonts w:ascii="Garamond" w:hAnsi="Garamond" w:cs="Arial"/>
          <w:sz w:val="24"/>
          <w:szCs w:val="24"/>
        </w:rPr>
        <w:t>unânime</w:t>
      </w:r>
      <w:r w:rsidR="00A132B3" w:rsidRPr="003A1174">
        <w:rPr>
          <w:rFonts w:ascii="Garamond" w:hAnsi="Garamond" w:cs="Arial"/>
          <w:sz w:val="24"/>
          <w:szCs w:val="24"/>
        </w:rPr>
        <w:t xml:space="preserve">, </w:t>
      </w:r>
      <w:r w:rsidRPr="003A1174">
        <w:rPr>
          <w:rFonts w:ascii="Garamond" w:hAnsi="Garamond" w:cs="Arial"/>
          <w:sz w:val="24"/>
          <w:szCs w:val="24"/>
        </w:rPr>
        <w:t xml:space="preserve">partilhar </w:t>
      </w:r>
      <w:r w:rsidR="00A132B3" w:rsidRPr="003A1174">
        <w:rPr>
          <w:rFonts w:ascii="Garamond" w:hAnsi="Garamond" w:cs="Arial"/>
          <w:sz w:val="24"/>
          <w:szCs w:val="24"/>
        </w:rPr>
        <w:t xml:space="preserve">a </w:t>
      </w:r>
      <w:r w:rsidR="004E3A1A" w:rsidRPr="003A1174">
        <w:rPr>
          <w:rFonts w:ascii="Garamond" w:hAnsi="Garamond" w:cs="Arial"/>
          <w:sz w:val="24"/>
          <w:szCs w:val="24"/>
        </w:rPr>
        <w:t>ideia</w:t>
      </w:r>
      <w:r w:rsidR="00A132B3" w:rsidRPr="003A1174">
        <w:rPr>
          <w:rFonts w:ascii="Garamond" w:hAnsi="Garamond" w:cs="Arial"/>
          <w:sz w:val="24"/>
          <w:szCs w:val="24"/>
        </w:rPr>
        <w:t xml:space="preserve"> de que </w:t>
      </w:r>
      <w:r w:rsidR="00852A19" w:rsidRPr="00852A19">
        <w:rPr>
          <w:rFonts w:ascii="Garamond" w:hAnsi="Garamond" w:cs="Arial"/>
          <w:sz w:val="24"/>
          <w:szCs w:val="24"/>
        </w:rPr>
        <w:t>«</w:t>
      </w:r>
      <w:r w:rsidR="00A132B3" w:rsidRPr="00852A19">
        <w:rPr>
          <w:rFonts w:ascii="Garamond" w:hAnsi="Garamond" w:cs="Arial"/>
          <w:sz w:val="24"/>
          <w:szCs w:val="24"/>
        </w:rPr>
        <w:t>todos</w:t>
      </w:r>
      <w:r w:rsidR="00852A19" w:rsidRPr="00852A19">
        <w:rPr>
          <w:rFonts w:ascii="Garamond" w:hAnsi="Garamond" w:cs="Arial"/>
          <w:sz w:val="24"/>
          <w:szCs w:val="24"/>
        </w:rPr>
        <w:t>»</w:t>
      </w:r>
      <w:r w:rsidRPr="003A1174">
        <w:rPr>
          <w:rFonts w:ascii="Garamond" w:hAnsi="Garamond" w:cs="Arial"/>
          <w:sz w:val="24"/>
          <w:szCs w:val="24"/>
        </w:rPr>
        <w:t xml:space="preserve"> </w:t>
      </w:r>
      <w:r w:rsidR="00A132B3" w:rsidRPr="003A1174">
        <w:rPr>
          <w:rFonts w:ascii="Garamond" w:hAnsi="Garamond" w:cs="Arial"/>
          <w:sz w:val="24"/>
          <w:szCs w:val="24"/>
        </w:rPr>
        <w:t xml:space="preserve">os </w:t>
      </w:r>
      <w:r w:rsidR="003F012B" w:rsidRPr="003A1174">
        <w:rPr>
          <w:rFonts w:ascii="Garamond" w:hAnsi="Garamond" w:cs="Arial"/>
          <w:sz w:val="24"/>
          <w:szCs w:val="24"/>
        </w:rPr>
        <w:t>órgão</w:t>
      </w:r>
      <w:r w:rsidR="00A132B3" w:rsidRPr="003A1174">
        <w:rPr>
          <w:rFonts w:ascii="Garamond" w:hAnsi="Garamond" w:cs="Arial"/>
          <w:sz w:val="24"/>
          <w:szCs w:val="24"/>
        </w:rPr>
        <w:t>s de u</w:t>
      </w:r>
      <w:r w:rsidRPr="003A1174">
        <w:rPr>
          <w:rFonts w:ascii="Garamond" w:hAnsi="Garamond" w:cs="Arial"/>
          <w:sz w:val="24"/>
          <w:szCs w:val="24"/>
        </w:rPr>
        <w:t>m</w:t>
      </w:r>
      <w:r w:rsidR="00A132B3" w:rsidRPr="003A1174">
        <w:rPr>
          <w:rFonts w:ascii="Garamond" w:hAnsi="Garamond" w:cs="Arial"/>
          <w:sz w:val="24"/>
          <w:szCs w:val="24"/>
        </w:rPr>
        <w:t xml:space="preserve"> Estado se </w:t>
      </w:r>
      <w:r w:rsidR="00F520D6" w:rsidRPr="003A1174">
        <w:rPr>
          <w:rFonts w:ascii="Garamond" w:hAnsi="Garamond" w:cs="Arial"/>
          <w:sz w:val="24"/>
          <w:szCs w:val="24"/>
        </w:rPr>
        <w:t>encontram</w:t>
      </w:r>
      <w:r w:rsidR="00A132B3" w:rsidRPr="003A1174">
        <w:rPr>
          <w:rFonts w:ascii="Garamond" w:hAnsi="Garamond" w:cs="Arial"/>
          <w:sz w:val="24"/>
          <w:szCs w:val="24"/>
        </w:rPr>
        <w:t xml:space="preserve"> </w:t>
      </w:r>
      <w:r w:rsidR="007342D9" w:rsidRPr="003A1174">
        <w:rPr>
          <w:rFonts w:ascii="Garamond" w:hAnsi="Garamond" w:cs="Arial"/>
          <w:sz w:val="24"/>
          <w:szCs w:val="24"/>
        </w:rPr>
        <w:t>obriga</w:t>
      </w:r>
      <w:r w:rsidR="00A132B3" w:rsidRPr="003A1174">
        <w:rPr>
          <w:rFonts w:ascii="Garamond" w:hAnsi="Garamond" w:cs="Arial"/>
          <w:sz w:val="24"/>
          <w:szCs w:val="24"/>
        </w:rPr>
        <w:t xml:space="preserve">dos a </w:t>
      </w:r>
      <w:r w:rsidR="00306B73" w:rsidRPr="003A1174">
        <w:rPr>
          <w:rFonts w:ascii="Garamond" w:hAnsi="Garamond" w:cs="Arial"/>
          <w:sz w:val="24"/>
          <w:szCs w:val="24"/>
        </w:rPr>
        <w:t>cumprir</w:t>
      </w:r>
      <w:r w:rsidR="00A132B3" w:rsidRPr="003A1174">
        <w:rPr>
          <w:rFonts w:ascii="Garamond" w:hAnsi="Garamond" w:cs="Arial"/>
          <w:sz w:val="24"/>
          <w:szCs w:val="24"/>
        </w:rPr>
        <w:t xml:space="preserve"> </w:t>
      </w:r>
      <w:r w:rsidRPr="003A1174">
        <w:rPr>
          <w:rFonts w:ascii="Garamond" w:hAnsi="Garamond" w:cs="Arial"/>
          <w:sz w:val="24"/>
          <w:szCs w:val="24"/>
        </w:rPr>
        <w:t>o</w:t>
      </w:r>
      <w:r w:rsidR="00A132B3" w:rsidRPr="003A1174">
        <w:rPr>
          <w:rFonts w:ascii="Garamond" w:hAnsi="Garamond" w:cs="Arial"/>
          <w:sz w:val="24"/>
          <w:szCs w:val="24"/>
        </w:rPr>
        <w:t xml:space="preserve"> TIDH </w:t>
      </w:r>
      <w:r w:rsidR="00461F3B" w:rsidRPr="003A1174">
        <w:rPr>
          <w:rFonts w:ascii="Garamond" w:hAnsi="Garamond" w:cs="Arial"/>
          <w:sz w:val="24"/>
          <w:szCs w:val="24"/>
        </w:rPr>
        <w:t>consentido por este.</w:t>
      </w:r>
      <w:r w:rsidR="00A132B3" w:rsidRPr="003A1174">
        <w:rPr>
          <w:rFonts w:ascii="Garamond" w:hAnsi="Garamond" w:cs="Arial"/>
          <w:sz w:val="24"/>
          <w:szCs w:val="24"/>
        </w:rPr>
        <w:t xml:space="preserve"> </w:t>
      </w:r>
    </w:p>
    <w:p w:rsidR="00A132B3" w:rsidRPr="003A1174" w:rsidRDefault="00A132B3" w:rsidP="001647F2">
      <w:pPr>
        <w:autoSpaceDE w:val="0"/>
        <w:autoSpaceDN w:val="0"/>
        <w:adjustRightInd w:val="0"/>
        <w:spacing w:after="0" w:line="240" w:lineRule="auto"/>
        <w:jc w:val="both"/>
        <w:rPr>
          <w:rFonts w:ascii="Garamond" w:hAnsi="Garamond" w:cs="Arial"/>
          <w:sz w:val="24"/>
          <w:szCs w:val="24"/>
        </w:rPr>
      </w:pPr>
    </w:p>
    <w:p w:rsidR="002E51E7" w:rsidRDefault="001647F2" w:rsidP="003F31E5">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E isso </w:t>
      </w:r>
      <w:proofErr w:type="gramStart"/>
      <w:r w:rsidR="00461F3B" w:rsidRPr="003A1174">
        <w:rPr>
          <w:rFonts w:ascii="Garamond" w:hAnsi="Garamond" w:cs="Arial"/>
          <w:sz w:val="24"/>
          <w:szCs w:val="24"/>
        </w:rPr>
        <w:t>relaciona</w:t>
      </w:r>
      <w:r w:rsidRPr="003A1174">
        <w:rPr>
          <w:rFonts w:ascii="Garamond" w:hAnsi="Garamond" w:cs="Arial"/>
          <w:sz w:val="24"/>
          <w:szCs w:val="24"/>
        </w:rPr>
        <w:t>-se</w:t>
      </w:r>
      <w:proofErr w:type="gramEnd"/>
      <w:r w:rsidR="00A132B3" w:rsidRPr="003A1174">
        <w:rPr>
          <w:rFonts w:ascii="Garamond" w:hAnsi="Garamond" w:cs="Arial"/>
          <w:sz w:val="24"/>
          <w:szCs w:val="24"/>
        </w:rPr>
        <w:t xml:space="preserve"> co</w:t>
      </w:r>
      <w:r w:rsidRPr="003A1174">
        <w:rPr>
          <w:rFonts w:ascii="Garamond" w:hAnsi="Garamond" w:cs="Arial"/>
          <w:sz w:val="24"/>
          <w:szCs w:val="24"/>
        </w:rPr>
        <w:t>m o</w:t>
      </w:r>
      <w:r w:rsidR="00073FB7" w:rsidRPr="003A1174">
        <w:rPr>
          <w:rFonts w:ascii="Garamond" w:hAnsi="Garamond" w:cs="Arial"/>
          <w:sz w:val="24"/>
          <w:szCs w:val="24"/>
        </w:rPr>
        <w:t xml:space="preserve"> estabelecido pel</w:t>
      </w:r>
      <w:r w:rsidR="00EB3427">
        <w:rPr>
          <w:rFonts w:ascii="Garamond" w:hAnsi="Garamond" w:cs="Arial"/>
          <w:sz w:val="24"/>
          <w:szCs w:val="24"/>
        </w:rPr>
        <w:t>o</w:t>
      </w:r>
      <w:r w:rsidR="00073FB7" w:rsidRPr="003A1174">
        <w:rPr>
          <w:rFonts w:ascii="Garamond" w:hAnsi="Garamond" w:cs="Arial"/>
          <w:sz w:val="24"/>
          <w:szCs w:val="24"/>
        </w:rPr>
        <w:t xml:space="preserve"> </w:t>
      </w:r>
      <w:r w:rsidR="00EB3427">
        <w:rPr>
          <w:rFonts w:ascii="Garamond" w:hAnsi="Garamond" w:cs="Arial"/>
          <w:sz w:val="24"/>
          <w:szCs w:val="24"/>
        </w:rPr>
        <w:t>t</w:t>
      </w:r>
      <w:r w:rsidR="00935298">
        <w:rPr>
          <w:rFonts w:ascii="Garamond" w:hAnsi="Garamond" w:cs="Arial"/>
          <w:sz w:val="24"/>
          <w:szCs w:val="24"/>
        </w:rPr>
        <w:t>ribunal,</w:t>
      </w:r>
      <w:r w:rsidR="00EB3427">
        <w:rPr>
          <w:rFonts w:ascii="Garamond" w:hAnsi="Garamond" w:cs="Arial"/>
          <w:sz w:val="24"/>
          <w:szCs w:val="24"/>
        </w:rPr>
        <w:t xml:space="preserve"> </w:t>
      </w:r>
      <w:r w:rsidR="00A132B3" w:rsidRPr="003A1174">
        <w:rPr>
          <w:rFonts w:ascii="Garamond" w:hAnsi="Garamond" w:cs="Arial"/>
          <w:sz w:val="24"/>
          <w:szCs w:val="24"/>
        </w:rPr>
        <w:t>n</w:t>
      </w:r>
      <w:r w:rsidRPr="003A1174">
        <w:rPr>
          <w:rFonts w:ascii="Garamond" w:hAnsi="Garamond" w:cs="Arial"/>
          <w:sz w:val="24"/>
          <w:szCs w:val="24"/>
        </w:rPr>
        <w:t>ã</w:t>
      </w:r>
      <w:r w:rsidR="00A132B3" w:rsidRPr="003A1174">
        <w:rPr>
          <w:rFonts w:ascii="Garamond" w:hAnsi="Garamond" w:cs="Arial"/>
          <w:sz w:val="24"/>
          <w:szCs w:val="24"/>
        </w:rPr>
        <w:t xml:space="preserve">o menos valioso, </w:t>
      </w:r>
      <w:r w:rsidR="00073FB7" w:rsidRPr="003A1174">
        <w:rPr>
          <w:rFonts w:ascii="Garamond" w:hAnsi="Garamond" w:cs="Arial"/>
          <w:sz w:val="24"/>
          <w:szCs w:val="24"/>
        </w:rPr>
        <w:t>relativamente</w:t>
      </w:r>
      <w:r w:rsidR="009D0E7B">
        <w:rPr>
          <w:rFonts w:ascii="Garamond" w:hAnsi="Garamond" w:cs="Arial"/>
          <w:sz w:val="24"/>
          <w:szCs w:val="24"/>
        </w:rPr>
        <w:t>,</w:t>
      </w:r>
      <w:r w:rsidR="00073FB7" w:rsidRPr="003A1174">
        <w:rPr>
          <w:rFonts w:ascii="Garamond" w:hAnsi="Garamond" w:cs="Arial"/>
          <w:sz w:val="24"/>
          <w:szCs w:val="24"/>
        </w:rPr>
        <w:t xml:space="preserve"> ao</w:t>
      </w:r>
      <w:r w:rsidR="009D0E7B">
        <w:rPr>
          <w:rFonts w:ascii="Garamond" w:hAnsi="Garamond" w:cs="Arial"/>
          <w:sz w:val="24"/>
          <w:szCs w:val="24"/>
        </w:rPr>
        <w:t xml:space="preserve"> «</w:t>
      </w:r>
      <w:r w:rsidRPr="00D339CB">
        <w:rPr>
          <w:rFonts w:ascii="Garamond" w:hAnsi="Garamond" w:cs="Arial"/>
          <w:sz w:val="24"/>
          <w:szCs w:val="24"/>
        </w:rPr>
        <w:t>facto</w:t>
      </w:r>
      <w:r w:rsidR="00A132B3" w:rsidRPr="00D339CB">
        <w:rPr>
          <w:rFonts w:ascii="Garamond" w:hAnsi="Garamond" w:cs="Arial"/>
          <w:sz w:val="24"/>
          <w:szCs w:val="24"/>
        </w:rPr>
        <w:t xml:space="preserve"> d</w:t>
      </w:r>
      <w:r w:rsidR="00A54B5A" w:rsidRPr="00D339CB">
        <w:rPr>
          <w:rFonts w:ascii="Garamond" w:hAnsi="Garamond" w:cs="Arial"/>
          <w:sz w:val="24"/>
          <w:szCs w:val="24"/>
        </w:rPr>
        <w:t>a</w:t>
      </w:r>
      <w:r w:rsidR="00A132B3" w:rsidRPr="00D339CB">
        <w:rPr>
          <w:rFonts w:ascii="Garamond" w:hAnsi="Garamond" w:cs="Arial"/>
          <w:sz w:val="24"/>
          <w:szCs w:val="24"/>
        </w:rPr>
        <w:t xml:space="preserve"> </w:t>
      </w:r>
      <w:r w:rsidR="00D15AFF" w:rsidRPr="00D339CB">
        <w:rPr>
          <w:rFonts w:ascii="Garamond" w:hAnsi="Garamond" w:cs="Arial"/>
          <w:sz w:val="24"/>
          <w:szCs w:val="24"/>
        </w:rPr>
        <w:t>Lei</w:t>
      </w:r>
      <w:r w:rsidR="00A132B3" w:rsidRPr="00D339CB">
        <w:rPr>
          <w:rFonts w:ascii="Garamond" w:hAnsi="Garamond" w:cs="Arial"/>
          <w:sz w:val="24"/>
          <w:szCs w:val="24"/>
        </w:rPr>
        <w:t xml:space="preserve"> de Caducidad</w:t>
      </w:r>
      <w:r w:rsidR="00073FB7" w:rsidRPr="00D339CB">
        <w:rPr>
          <w:rFonts w:ascii="Garamond" w:hAnsi="Garamond" w:cs="Arial"/>
          <w:sz w:val="24"/>
          <w:szCs w:val="24"/>
        </w:rPr>
        <w:t>e</w:t>
      </w:r>
      <w:r w:rsidR="00A132B3" w:rsidRPr="00D339CB">
        <w:rPr>
          <w:rFonts w:ascii="Garamond" w:hAnsi="Garamond" w:cs="Arial"/>
          <w:sz w:val="24"/>
          <w:szCs w:val="24"/>
        </w:rPr>
        <w:t xml:space="preserve"> </w:t>
      </w:r>
      <w:r w:rsidR="00073FB7" w:rsidRPr="00D339CB">
        <w:rPr>
          <w:rFonts w:ascii="Garamond" w:hAnsi="Garamond" w:cs="Arial"/>
          <w:sz w:val="24"/>
          <w:szCs w:val="24"/>
        </w:rPr>
        <w:t>te</w:t>
      </w:r>
      <w:r w:rsidR="00A54B5A" w:rsidRPr="00D339CB">
        <w:rPr>
          <w:rFonts w:ascii="Garamond" w:hAnsi="Garamond" w:cs="Arial"/>
          <w:sz w:val="24"/>
          <w:szCs w:val="24"/>
        </w:rPr>
        <w:t>r</w:t>
      </w:r>
      <w:r w:rsidR="00073FB7" w:rsidRPr="00D339CB">
        <w:rPr>
          <w:rFonts w:ascii="Garamond" w:hAnsi="Garamond" w:cs="Arial"/>
          <w:sz w:val="24"/>
          <w:szCs w:val="24"/>
        </w:rPr>
        <w:t xml:space="preserve"> </w:t>
      </w:r>
      <w:r w:rsidR="00A132B3" w:rsidRPr="00D339CB">
        <w:rPr>
          <w:rFonts w:ascii="Garamond" w:hAnsi="Garamond" w:cs="Arial"/>
          <w:sz w:val="24"/>
          <w:szCs w:val="24"/>
        </w:rPr>
        <w:t xml:space="preserve">sido </w:t>
      </w:r>
      <w:r w:rsidR="00CD707D" w:rsidRPr="00D339CB">
        <w:rPr>
          <w:rFonts w:ascii="Garamond" w:hAnsi="Garamond" w:cs="Arial"/>
          <w:sz w:val="24"/>
          <w:szCs w:val="24"/>
        </w:rPr>
        <w:t>aprovad</w:t>
      </w:r>
      <w:r w:rsidR="00A132B3" w:rsidRPr="00D339CB">
        <w:rPr>
          <w:rFonts w:ascii="Garamond" w:hAnsi="Garamond" w:cs="Arial"/>
          <w:sz w:val="24"/>
          <w:szCs w:val="24"/>
        </w:rPr>
        <w:t xml:space="preserve">a </w:t>
      </w:r>
      <w:r w:rsidR="00073FB7" w:rsidRPr="00D339CB">
        <w:rPr>
          <w:rFonts w:ascii="Garamond" w:hAnsi="Garamond" w:cs="Arial"/>
          <w:sz w:val="24"/>
          <w:szCs w:val="24"/>
        </w:rPr>
        <w:t>num regime</w:t>
      </w:r>
      <w:r w:rsidR="00A132B3" w:rsidRPr="00D339CB">
        <w:rPr>
          <w:rFonts w:ascii="Garamond" w:hAnsi="Garamond" w:cs="Arial"/>
          <w:sz w:val="24"/>
          <w:szCs w:val="24"/>
        </w:rPr>
        <w:t xml:space="preserve"> democrático </w:t>
      </w:r>
      <w:r w:rsidR="00073FB7" w:rsidRPr="00D339CB">
        <w:rPr>
          <w:rFonts w:ascii="Garamond" w:hAnsi="Garamond" w:cs="Arial"/>
          <w:sz w:val="24"/>
          <w:szCs w:val="24"/>
        </w:rPr>
        <w:t xml:space="preserve">e ainda </w:t>
      </w:r>
      <w:r w:rsidR="00A132B3" w:rsidRPr="00D339CB">
        <w:rPr>
          <w:rFonts w:ascii="Garamond" w:hAnsi="Garamond" w:cs="Arial"/>
          <w:sz w:val="24"/>
          <w:szCs w:val="24"/>
        </w:rPr>
        <w:t>ratificada o</w:t>
      </w:r>
      <w:r w:rsidR="00073FB7" w:rsidRPr="00D339CB">
        <w:rPr>
          <w:rFonts w:ascii="Garamond" w:hAnsi="Garamond" w:cs="Arial"/>
          <w:sz w:val="24"/>
          <w:szCs w:val="24"/>
        </w:rPr>
        <w:t>u</w:t>
      </w:r>
      <w:r w:rsidR="00A132B3" w:rsidRPr="00D339CB">
        <w:rPr>
          <w:rFonts w:ascii="Garamond" w:hAnsi="Garamond" w:cs="Arial"/>
          <w:sz w:val="24"/>
          <w:szCs w:val="24"/>
        </w:rPr>
        <w:t xml:space="preserve"> </w:t>
      </w:r>
      <w:r w:rsidR="00073FB7" w:rsidRPr="00D339CB">
        <w:rPr>
          <w:rFonts w:ascii="Garamond" w:hAnsi="Garamond" w:cs="Arial"/>
          <w:sz w:val="24"/>
          <w:szCs w:val="24"/>
        </w:rPr>
        <w:t xml:space="preserve">apoiada pela </w:t>
      </w:r>
      <w:r w:rsidR="00C90370" w:rsidRPr="00D339CB">
        <w:rPr>
          <w:rFonts w:ascii="Garamond" w:hAnsi="Garamond" w:cs="Arial"/>
          <w:sz w:val="24"/>
          <w:szCs w:val="24"/>
        </w:rPr>
        <w:t>cidadania</w:t>
      </w:r>
      <w:r w:rsidR="00A132B3" w:rsidRPr="00D339CB">
        <w:rPr>
          <w:rFonts w:ascii="Garamond" w:hAnsi="Garamond" w:cs="Arial"/>
          <w:sz w:val="24"/>
          <w:szCs w:val="24"/>
        </w:rPr>
        <w:t xml:space="preserve"> e</w:t>
      </w:r>
      <w:r w:rsidR="00073FB7" w:rsidRPr="00D339CB">
        <w:rPr>
          <w:rFonts w:ascii="Garamond" w:hAnsi="Garamond" w:cs="Arial"/>
          <w:sz w:val="24"/>
          <w:szCs w:val="24"/>
        </w:rPr>
        <w:t>m</w:t>
      </w:r>
      <w:r w:rsidR="00A132B3" w:rsidRPr="00D339CB">
        <w:rPr>
          <w:rFonts w:ascii="Garamond" w:hAnsi="Garamond" w:cs="Arial"/>
          <w:sz w:val="24"/>
          <w:szCs w:val="24"/>
        </w:rPr>
        <w:t xml:space="preserve"> d</w:t>
      </w:r>
      <w:r w:rsidR="00073FB7" w:rsidRPr="00D339CB">
        <w:rPr>
          <w:rFonts w:ascii="Garamond" w:hAnsi="Garamond" w:cs="Arial"/>
          <w:sz w:val="24"/>
          <w:szCs w:val="24"/>
        </w:rPr>
        <w:t>ua</w:t>
      </w:r>
      <w:r w:rsidR="00A132B3" w:rsidRPr="00D339CB">
        <w:rPr>
          <w:rFonts w:ascii="Garamond" w:hAnsi="Garamond" w:cs="Arial"/>
          <w:sz w:val="24"/>
          <w:szCs w:val="24"/>
        </w:rPr>
        <w:t>s ocasi</w:t>
      </w:r>
      <w:r w:rsidR="00073FB7" w:rsidRPr="00D339CB">
        <w:rPr>
          <w:rFonts w:ascii="Garamond" w:hAnsi="Garamond" w:cs="Arial"/>
          <w:sz w:val="24"/>
          <w:szCs w:val="24"/>
        </w:rPr>
        <w:t>ões</w:t>
      </w:r>
      <w:r w:rsidR="00A54B5A" w:rsidRPr="00D339CB">
        <w:rPr>
          <w:rFonts w:ascii="Garamond" w:hAnsi="Garamond" w:cs="Arial"/>
          <w:sz w:val="24"/>
          <w:szCs w:val="24"/>
        </w:rPr>
        <w:t>,</w:t>
      </w:r>
      <w:r w:rsidR="00073FB7" w:rsidRPr="00D339CB">
        <w:rPr>
          <w:rFonts w:ascii="Garamond" w:hAnsi="Garamond" w:cs="Arial"/>
          <w:sz w:val="24"/>
          <w:szCs w:val="24"/>
        </w:rPr>
        <w:t xml:space="preserve"> não lhe concede, automa</w:t>
      </w:r>
      <w:r w:rsidR="00A132B3" w:rsidRPr="00D339CB">
        <w:rPr>
          <w:rFonts w:ascii="Garamond" w:hAnsi="Garamond" w:cs="Arial"/>
          <w:sz w:val="24"/>
          <w:szCs w:val="24"/>
        </w:rPr>
        <w:t>ticamente n</w:t>
      </w:r>
      <w:r w:rsidR="00073FB7" w:rsidRPr="00D339CB">
        <w:rPr>
          <w:rFonts w:ascii="Garamond" w:hAnsi="Garamond" w:cs="Arial"/>
          <w:sz w:val="24"/>
          <w:szCs w:val="24"/>
        </w:rPr>
        <w:t>em por si só</w:t>
      </w:r>
      <w:r w:rsidR="00A132B3" w:rsidRPr="00D339CB">
        <w:rPr>
          <w:rFonts w:ascii="Garamond" w:hAnsi="Garamond" w:cs="Arial"/>
          <w:sz w:val="24"/>
          <w:szCs w:val="24"/>
        </w:rPr>
        <w:t xml:space="preserve">, </w:t>
      </w:r>
      <w:r w:rsidR="00073FB7" w:rsidRPr="00D339CB">
        <w:rPr>
          <w:rFonts w:ascii="Garamond" w:hAnsi="Garamond" w:cs="Arial"/>
          <w:sz w:val="24"/>
          <w:szCs w:val="24"/>
        </w:rPr>
        <w:t>legitimidade</w:t>
      </w:r>
      <w:r w:rsidR="00A132B3" w:rsidRPr="00D339CB">
        <w:rPr>
          <w:rFonts w:ascii="Garamond" w:hAnsi="Garamond" w:cs="Arial"/>
          <w:sz w:val="24"/>
          <w:szCs w:val="24"/>
        </w:rPr>
        <w:t xml:space="preserve"> </w:t>
      </w:r>
      <w:r w:rsidR="00073FB7" w:rsidRPr="00D339CB">
        <w:rPr>
          <w:rFonts w:ascii="Garamond" w:hAnsi="Garamond" w:cs="Arial"/>
          <w:sz w:val="24"/>
          <w:szCs w:val="24"/>
        </w:rPr>
        <w:t>per</w:t>
      </w:r>
      <w:r w:rsidR="00A132B3" w:rsidRPr="00D339CB">
        <w:rPr>
          <w:rFonts w:ascii="Garamond" w:hAnsi="Garamond" w:cs="Arial"/>
          <w:sz w:val="24"/>
          <w:szCs w:val="24"/>
        </w:rPr>
        <w:t xml:space="preserve">ante </w:t>
      </w:r>
      <w:r w:rsidR="00073FB7" w:rsidRPr="00D339CB">
        <w:rPr>
          <w:rFonts w:ascii="Garamond" w:hAnsi="Garamond" w:cs="Arial"/>
          <w:sz w:val="24"/>
          <w:szCs w:val="24"/>
        </w:rPr>
        <w:t>o</w:t>
      </w:r>
      <w:r w:rsidR="00A132B3" w:rsidRPr="00D339CB">
        <w:rPr>
          <w:rFonts w:ascii="Garamond" w:hAnsi="Garamond" w:cs="Arial"/>
          <w:sz w:val="24"/>
          <w:szCs w:val="24"/>
        </w:rPr>
        <w:t xml:space="preserve"> </w:t>
      </w:r>
      <w:r w:rsidR="00886D6A" w:rsidRPr="00D339CB">
        <w:rPr>
          <w:rFonts w:ascii="Garamond" w:hAnsi="Garamond" w:cs="Arial"/>
          <w:sz w:val="24"/>
          <w:szCs w:val="24"/>
        </w:rPr>
        <w:t>Direito</w:t>
      </w:r>
      <w:r w:rsidR="00A132B3" w:rsidRPr="00D339CB">
        <w:rPr>
          <w:rFonts w:ascii="Garamond" w:hAnsi="Garamond" w:cs="Arial"/>
          <w:sz w:val="24"/>
          <w:szCs w:val="24"/>
        </w:rPr>
        <w:t xml:space="preserve"> Internacional</w:t>
      </w:r>
      <w:r w:rsidR="00D339CB">
        <w:rPr>
          <w:rFonts w:ascii="Garamond" w:hAnsi="Garamond" w:cs="Arial"/>
          <w:sz w:val="24"/>
          <w:szCs w:val="24"/>
        </w:rPr>
        <w:t>»</w:t>
      </w:r>
      <w:r w:rsidR="00A132B3" w:rsidRPr="00D339CB">
        <w:rPr>
          <w:rFonts w:ascii="Garamond" w:hAnsi="Garamond" w:cs="Arial"/>
          <w:sz w:val="24"/>
          <w:szCs w:val="24"/>
        </w:rPr>
        <w:t>,</w:t>
      </w:r>
      <w:r w:rsidR="00A132B3" w:rsidRPr="003A1174">
        <w:rPr>
          <w:rFonts w:ascii="Garamond" w:hAnsi="Garamond" w:cs="Arial"/>
          <w:sz w:val="24"/>
          <w:szCs w:val="24"/>
        </w:rPr>
        <w:t xml:space="preserve"> </w:t>
      </w:r>
      <w:r w:rsidR="00120915" w:rsidRPr="003A1174">
        <w:rPr>
          <w:rFonts w:ascii="Garamond" w:hAnsi="Garamond" w:cs="Arial"/>
          <w:sz w:val="24"/>
          <w:szCs w:val="24"/>
        </w:rPr>
        <w:t>pois</w:t>
      </w:r>
      <w:r w:rsidR="00A132B3" w:rsidRPr="003A1174">
        <w:rPr>
          <w:rFonts w:ascii="Garamond" w:hAnsi="Garamond" w:cs="Arial"/>
          <w:sz w:val="24"/>
          <w:szCs w:val="24"/>
        </w:rPr>
        <w:t xml:space="preserve"> inclus</w:t>
      </w:r>
      <w:r w:rsidR="00073FB7" w:rsidRPr="003A1174">
        <w:rPr>
          <w:rFonts w:ascii="Garamond" w:hAnsi="Garamond" w:cs="Arial"/>
          <w:sz w:val="24"/>
          <w:szCs w:val="24"/>
        </w:rPr>
        <w:t>ivamente</w:t>
      </w:r>
      <w:r w:rsidR="009D0E7B">
        <w:rPr>
          <w:rFonts w:ascii="Garamond" w:hAnsi="Garamond" w:cs="Arial"/>
          <w:sz w:val="24"/>
          <w:szCs w:val="24"/>
        </w:rPr>
        <w:t>,</w:t>
      </w:r>
      <w:r w:rsidR="00073FB7" w:rsidRPr="003A1174">
        <w:rPr>
          <w:rFonts w:ascii="Garamond" w:hAnsi="Garamond" w:cs="Arial"/>
          <w:sz w:val="24"/>
          <w:szCs w:val="24"/>
        </w:rPr>
        <w:t xml:space="preserve"> </w:t>
      </w:r>
      <w:r w:rsidR="00A132B3" w:rsidRPr="003A1174">
        <w:rPr>
          <w:rFonts w:ascii="Garamond" w:hAnsi="Garamond" w:cs="Arial"/>
          <w:sz w:val="24"/>
          <w:szCs w:val="24"/>
        </w:rPr>
        <w:t xml:space="preserve">a </w:t>
      </w:r>
      <w:r w:rsidR="0017447A" w:rsidRPr="003A1174">
        <w:rPr>
          <w:rFonts w:ascii="Garamond" w:hAnsi="Garamond" w:cs="Arial"/>
          <w:sz w:val="24"/>
          <w:szCs w:val="24"/>
        </w:rPr>
        <w:t>participação</w:t>
      </w:r>
      <w:r w:rsidR="00073FB7" w:rsidRPr="003A1174">
        <w:rPr>
          <w:rFonts w:ascii="Garamond" w:hAnsi="Garamond" w:cs="Arial"/>
          <w:sz w:val="24"/>
          <w:szCs w:val="24"/>
        </w:rPr>
        <w:t xml:space="preserve"> ci</w:t>
      </w:r>
      <w:r w:rsidR="00A132B3" w:rsidRPr="003A1174">
        <w:rPr>
          <w:rFonts w:ascii="Garamond" w:hAnsi="Garamond" w:cs="Arial"/>
          <w:sz w:val="24"/>
          <w:szCs w:val="24"/>
        </w:rPr>
        <w:t>dad</w:t>
      </w:r>
      <w:r w:rsidR="00073FB7" w:rsidRPr="003A1174">
        <w:rPr>
          <w:rFonts w:ascii="Garamond" w:hAnsi="Garamond" w:cs="Arial"/>
          <w:sz w:val="24"/>
          <w:szCs w:val="24"/>
        </w:rPr>
        <w:t xml:space="preserve">ã em </w:t>
      </w:r>
      <w:r w:rsidR="00A132B3" w:rsidRPr="003A1174">
        <w:rPr>
          <w:rFonts w:ascii="Garamond" w:hAnsi="Garamond" w:cs="Arial"/>
          <w:sz w:val="24"/>
          <w:szCs w:val="24"/>
        </w:rPr>
        <w:t>refer</w:t>
      </w:r>
      <w:r w:rsidR="00073FB7" w:rsidRPr="003A1174">
        <w:rPr>
          <w:rFonts w:ascii="Garamond" w:hAnsi="Garamond" w:cs="Arial"/>
          <w:sz w:val="24"/>
          <w:szCs w:val="24"/>
        </w:rPr>
        <w:t xml:space="preserve">endo e </w:t>
      </w:r>
      <w:r w:rsidR="00A132B3" w:rsidRPr="003A1174">
        <w:rPr>
          <w:rFonts w:ascii="Garamond" w:hAnsi="Garamond" w:cs="Arial"/>
          <w:sz w:val="24"/>
          <w:szCs w:val="24"/>
        </w:rPr>
        <w:t xml:space="preserve">plebiscito </w:t>
      </w:r>
      <w:r w:rsidR="00073FB7" w:rsidRPr="003A1174">
        <w:rPr>
          <w:rFonts w:ascii="Garamond" w:hAnsi="Garamond" w:cs="Arial"/>
          <w:sz w:val="24"/>
          <w:szCs w:val="24"/>
        </w:rPr>
        <w:t>deve-</w:t>
      </w:r>
      <w:r w:rsidR="00A132B3" w:rsidRPr="003A1174">
        <w:rPr>
          <w:rFonts w:ascii="Garamond" w:hAnsi="Garamond" w:cs="Arial"/>
          <w:sz w:val="24"/>
          <w:szCs w:val="24"/>
        </w:rPr>
        <w:t xml:space="preserve">se entender </w:t>
      </w:r>
      <w:r w:rsidR="00D339CB">
        <w:rPr>
          <w:rFonts w:ascii="Garamond" w:hAnsi="Garamond" w:cs="Arial"/>
          <w:sz w:val="24"/>
          <w:szCs w:val="24"/>
        </w:rPr>
        <w:t>«</w:t>
      </w:r>
      <w:r w:rsidR="00A132B3" w:rsidRPr="003A1174">
        <w:rPr>
          <w:rFonts w:ascii="Garamond" w:hAnsi="Garamond" w:cs="Arial"/>
          <w:sz w:val="24"/>
          <w:szCs w:val="24"/>
        </w:rPr>
        <w:t xml:space="preserve">como </w:t>
      </w:r>
      <w:r w:rsidRPr="003A1174">
        <w:rPr>
          <w:rFonts w:ascii="Garamond" w:hAnsi="Garamond" w:cs="Arial"/>
          <w:sz w:val="24"/>
          <w:szCs w:val="24"/>
        </w:rPr>
        <w:t>facto</w:t>
      </w:r>
      <w:r w:rsidR="00A132B3" w:rsidRPr="003A1174">
        <w:rPr>
          <w:rFonts w:ascii="Garamond" w:hAnsi="Garamond" w:cs="Arial"/>
          <w:sz w:val="24"/>
          <w:szCs w:val="24"/>
        </w:rPr>
        <w:t xml:space="preserve"> atribu</w:t>
      </w:r>
      <w:r w:rsidR="00073FB7" w:rsidRPr="003A1174">
        <w:rPr>
          <w:rFonts w:ascii="Garamond" w:hAnsi="Garamond" w:cs="Arial"/>
          <w:sz w:val="24"/>
          <w:szCs w:val="24"/>
        </w:rPr>
        <w:t>ível ao Estado e</w:t>
      </w:r>
      <w:r w:rsidR="00A132B3" w:rsidRPr="003A1174">
        <w:rPr>
          <w:rFonts w:ascii="Garamond" w:hAnsi="Garamond" w:cs="Arial"/>
          <w:sz w:val="24"/>
          <w:szCs w:val="24"/>
        </w:rPr>
        <w:t xml:space="preserve"> gerador, portanto, da </w:t>
      </w:r>
      <w:r w:rsidR="006D0543" w:rsidRPr="003A1174">
        <w:rPr>
          <w:rFonts w:ascii="Garamond" w:hAnsi="Garamond" w:cs="Arial"/>
          <w:sz w:val="24"/>
          <w:szCs w:val="24"/>
        </w:rPr>
        <w:t>responsabilidade</w:t>
      </w:r>
      <w:r w:rsidR="00A132B3" w:rsidRPr="003A1174">
        <w:rPr>
          <w:rFonts w:ascii="Garamond" w:hAnsi="Garamond" w:cs="Arial"/>
          <w:sz w:val="24"/>
          <w:szCs w:val="24"/>
        </w:rPr>
        <w:t xml:space="preserve"> </w:t>
      </w:r>
      <w:r w:rsidR="00A132B3" w:rsidRPr="003A1174">
        <w:rPr>
          <w:rFonts w:ascii="Garamond" w:hAnsi="Garamond" w:cs="Arial"/>
          <w:i/>
          <w:sz w:val="24"/>
          <w:szCs w:val="24"/>
        </w:rPr>
        <w:t>internacional d</w:t>
      </w:r>
      <w:r w:rsidR="00073FB7" w:rsidRPr="003A1174">
        <w:rPr>
          <w:rFonts w:ascii="Garamond" w:hAnsi="Garamond" w:cs="Arial"/>
          <w:i/>
          <w:sz w:val="24"/>
          <w:szCs w:val="24"/>
        </w:rPr>
        <w:t>aquele</w:t>
      </w:r>
      <w:r w:rsidR="00D339CB">
        <w:rPr>
          <w:rFonts w:ascii="Garamond" w:hAnsi="Garamond" w:cs="Arial"/>
          <w:i/>
          <w:sz w:val="24"/>
          <w:szCs w:val="24"/>
        </w:rPr>
        <w:t>»</w:t>
      </w:r>
      <w:r w:rsidR="00A132B3" w:rsidRPr="003A1174">
        <w:rPr>
          <w:rFonts w:ascii="Garamond" w:hAnsi="Garamond" w:cs="Arial"/>
          <w:sz w:val="24"/>
          <w:szCs w:val="24"/>
        </w:rPr>
        <w:t>, t</w:t>
      </w:r>
      <w:r w:rsidR="00073FB7" w:rsidRPr="003A1174">
        <w:rPr>
          <w:rFonts w:ascii="Garamond" w:hAnsi="Garamond" w:cs="Arial"/>
          <w:sz w:val="24"/>
          <w:szCs w:val="24"/>
        </w:rPr>
        <w:t>endo em con</w:t>
      </w:r>
      <w:r w:rsidR="00A132B3" w:rsidRPr="003A1174">
        <w:rPr>
          <w:rFonts w:ascii="Garamond" w:hAnsi="Garamond" w:cs="Arial"/>
          <w:sz w:val="24"/>
          <w:szCs w:val="24"/>
        </w:rPr>
        <w:t xml:space="preserve">ta que </w:t>
      </w:r>
    </w:p>
    <w:p w:rsidR="002E51E7" w:rsidRDefault="002E51E7" w:rsidP="003F31E5">
      <w:pPr>
        <w:autoSpaceDE w:val="0"/>
        <w:autoSpaceDN w:val="0"/>
        <w:adjustRightInd w:val="0"/>
        <w:spacing w:after="0" w:line="240" w:lineRule="auto"/>
        <w:jc w:val="both"/>
        <w:rPr>
          <w:rFonts w:ascii="Garamond" w:hAnsi="Garamond" w:cs="Arial"/>
          <w:sz w:val="24"/>
          <w:szCs w:val="24"/>
        </w:rPr>
      </w:pPr>
    </w:p>
    <w:p w:rsidR="002720C5" w:rsidRPr="002E51E7" w:rsidRDefault="002720C5" w:rsidP="002E51E7">
      <w:pPr>
        <w:autoSpaceDE w:val="0"/>
        <w:autoSpaceDN w:val="0"/>
        <w:adjustRightInd w:val="0"/>
        <w:spacing w:after="0" w:line="240" w:lineRule="auto"/>
        <w:ind w:left="567"/>
        <w:jc w:val="both"/>
        <w:rPr>
          <w:rFonts w:ascii="Garamond" w:hAnsi="Garamond" w:cs="Arial"/>
        </w:rPr>
      </w:pPr>
      <w:r w:rsidRPr="002E51E7">
        <w:rPr>
          <w:rFonts w:ascii="Garamond" w:hAnsi="Garamond" w:cs="Arial"/>
        </w:rPr>
        <w:t xml:space="preserve">«a existência de um verdadeiro regime democrático é determinada pelas suas caraterísticas tanto formais como substanciais», em que «a proteção dos direitos humanos constitui um limite intransponível à regra das maiorias, ou seja, à esfera do ”suscetível de ser decidido” por parte das maiorias em instâncias democráticas, nas quais também deve primar um ”controlo de Convencionalidade », tarefa que </w:t>
      </w:r>
      <w:r w:rsidR="002B33D4">
        <w:rPr>
          <w:rFonts w:ascii="Garamond" w:hAnsi="Garamond" w:cs="Arial"/>
        </w:rPr>
        <w:t xml:space="preserve">- </w:t>
      </w:r>
      <w:r w:rsidRPr="002E51E7">
        <w:rPr>
          <w:rFonts w:ascii="Garamond" w:hAnsi="Garamond" w:cs="Arial"/>
        </w:rPr>
        <w:t xml:space="preserve">sublinha a sentença </w:t>
      </w:r>
      <w:r w:rsidR="002B33D4">
        <w:rPr>
          <w:rFonts w:ascii="Garamond" w:hAnsi="Garamond" w:cs="Arial"/>
        </w:rPr>
        <w:t>-</w:t>
      </w:r>
      <w:r w:rsidRPr="002E51E7">
        <w:rPr>
          <w:rFonts w:ascii="Garamond" w:hAnsi="Garamond" w:cs="Arial"/>
        </w:rPr>
        <w:t xml:space="preserve"> corresponde a “qualquer autoridade pública”</w:t>
      </w:r>
      <w:r w:rsidR="003F31E5" w:rsidRPr="002E51E7">
        <w:rPr>
          <w:rFonts w:ascii="Garamond" w:hAnsi="Garamond" w:cs="Arial"/>
        </w:rPr>
        <w:t>»</w:t>
      </w:r>
      <w:r w:rsidRPr="002E51E7">
        <w:rPr>
          <w:rFonts w:ascii="Garamond" w:hAnsi="Garamond" w:cs="Arial"/>
        </w:rPr>
        <w:t>.</w:t>
      </w:r>
      <w:proofErr w:type="gramStart"/>
      <w:r w:rsidRPr="002E51E7">
        <w:rPr>
          <w:rStyle w:val="Refdenotaalpie"/>
          <w:rFonts w:ascii="Garamond" w:hAnsi="Garamond" w:cs="Arial"/>
        </w:rPr>
        <w:footnoteReference w:id="52"/>
      </w:r>
      <w:proofErr w:type="gramEnd"/>
      <w:r w:rsidRPr="002E51E7">
        <w:rPr>
          <w:rFonts w:ascii="Garamond" w:hAnsi="Garamond" w:cs="Arial"/>
        </w:rPr>
        <w:t xml:space="preserve"> </w:t>
      </w:r>
    </w:p>
    <w:p w:rsidR="00A132B3" w:rsidRPr="003A1174" w:rsidRDefault="00A132B3" w:rsidP="003F31E5">
      <w:pPr>
        <w:autoSpaceDE w:val="0"/>
        <w:autoSpaceDN w:val="0"/>
        <w:adjustRightInd w:val="0"/>
        <w:spacing w:after="0" w:line="240" w:lineRule="auto"/>
        <w:ind w:left="567"/>
        <w:jc w:val="both"/>
        <w:rPr>
          <w:rFonts w:ascii="Garamond" w:hAnsi="Garamond" w:cs="Arial"/>
          <w:sz w:val="24"/>
          <w:szCs w:val="24"/>
        </w:rPr>
      </w:pPr>
    </w:p>
    <w:p w:rsidR="00A132B3" w:rsidRDefault="00233514" w:rsidP="003F31E5">
      <w:pPr>
        <w:pStyle w:val="NormalWeb"/>
        <w:spacing w:before="90" w:beforeAutospacing="0" w:after="45"/>
        <w:ind w:right="75"/>
        <w:jc w:val="both"/>
        <w:rPr>
          <w:rFonts w:ascii="Garamond" w:hAnsi="Garamond" w:cs="Arial"/>
          <w:lang w:val="pt-PT"/>
        </w:rPr>
      </w:pPr>
      <w:r w:rsidRPr="003A1174">
        <w:rPr>
          <w:rFonts w:ascii="Garamond" w:hAnsi="Garamond" w:cs="Arial"/>
          <w:lang w:val="pt-PT"/>
        </w:rPr>
        <w:t xml:space="preserve">Sintetizando, </w:t>
      </w:r>
      <w:r w:rsidR="00583BBD" w:rsidRPr="003A1174">
        <w:rPr>
          <w:rFonts w:ascii="Garamond" w:hAnsi="Garamond" w:cs="Arial"/>
          <w:lang w:val="pt-PT"/>
        </w:rPr>
        <w:t xml:space="preserve">fica </w:t>
      </w:r>
      <w:r w:rsidRPr="003A1174">
        <w:rPr>
          <w:rFonts w:ascii="Garamond" w:hAnsi="Garamond" w:cs="Arial"/>
          <w:lang w:val="pt-PT"/>
        </w:rPr>
        <w:t>estabelecido clara e</w:t>
      </w:r>
      <w:r w:rsidR="00A132B3" w:rsidRPr="003A1174">
        <w:rPr>
          <w:rFonts w:ascii="Garamond" w:hAnsi="Garamond" w:cs="Arial"/>
          <w:lang w:val="pt-PT"/>
        </w:rPr>
        <w:t xml:space="preserve"> </w:t>
      </w:r>
      <w:r w:rsidRPr="003A1174">
        <w:rPr>
          <w:rFonts w:ascii="Garamond" w:hAnsi="Garamond" w:cs="Arial"/>
          <w:lang w:val="pt-PT"/>
        </w:rPr>
        <w:t>una</w:t>
      </w:r>
      <w:r w:rsidR="00E31A9D" w:rsidRPr="003A1174">
        <w:rPr>
          <w:rFonts w:ascii="Garamond" w:hAnsi="Garamond" w:cs="Arial"/>
          <w:lang w:val="pt-PT"/>
        </w:rPr>
        <w:t>nime</w:t>
      </w:r>
      <w:r w:rsidRPr="003A1174">
        <w:rPr>
          <w:rFonts w:ascii="Garamond" w:hAnsi="Garamond" w:cs="Arial"/>
          <w:lang w:val="pt-PT"/>
        </w:rPr>
        <w:t xml:space="preserve">mente que </w:t>
      </w:r>
      <w:r w:rsidR="00A132B3" w:rsidRPr="003A1174">
        <w:rPr>
          <w:rFonts w:ascii="Garamond" w:hAnsi="Garamond" w:cs="Arial"/>
          <w:lang w:val="pt-PT"/>
        </w:rPr>
        <w:t xml:space="preserve">as </w:t>
      </w:r>
      <w:r w:rsidRPr="003A1174">
        <w:rPr>
          <w:rFonts w:ascii="Garamond" w:hAnsi="Garamond" w:cs="Arial"/>
          <w:lang w:val="pt-PT"/>
        </w:rPr>
        <w:t>maiorias puras e</w:t>
      </w:r>
      <w:r w:rsidR="00A132B3" w:rsidRPr="003A1174">
        <w:rPr>
          <w:rFonts w:ascii="Garamond" w:hAnsi="Garamond" w:cs="Arial"/>
          <w:lang w:val="pt-PT"/>
        </w:rPr>
        <w:t xml:space="preserve"> s</w:t>
      </w:r>
      <w:r w:rsidRPr="003A1174">
        <w:rPr>
          <w:rFonts w:ascii="Garamond" w:hAnsi="Garamond" w:cs="Arial"/>
          <w:lang w:val="pt-PT"/>
        </w:rPr>
        <w:t>em mais, ainda que se proclamem</w:t>
      </w:r>
      <w:r w:rsidR="00A132B3" w:rsidRPr="003A1174">
        <w:rPr>
          <w:rFonts w:ascii="Garamond" w:hAnsi="Garamond" w:cs="Arial"/>
          <w:lang w:val="pt-PT"/>
        </w:rPr>
        <w:t xml:space="preserve"> democráticas, s</w:t>
      </w:r>
      <w:r w:rsidRPr="003A1174">
        <w:rPr>
          <w:rFonts w:ascii="Garamond" w:hAnsi="Garamond" w:cs="Arial"/>
          <w:lang w:val="pt-PT"/>
        </w:rPr>
        <w:t xml:space="preserve">ão </w:t>
      </w:r>
      <w:r w:rsidR="00A132B3" w:rsidRPr="003A1174">
        <w:rPr>
          <w:rFonts w:ascii="Garamond" w:hAnsi="Garamond" w:cs="Arial"/>
          <w:lang w:val="pt-PT"/>
        </w:rPr>
        <w:t>insuficientes</w:t>
      </w:r>
      <w:r w:rsidR="00A54B5A" w:rsidRPr="003A1174">
        <w:rPr>
          <w:rFonts w:ascii="Garamond" w:hAnsi="Garamond" w:cs="Arial"/>
          <w:lang w:val="pt-PT"/>
        </w:rPr>
        <w:t xml:space="preserve">, </w:t>
      </w:r>
      <w:r w:rsidR="00A73177" w:rsidRPr="003A1174">
        <w:rPr>
          <w:rFonts w:ascii="Garamond" w:hAnsi="Garamond" w:cs="Arial"/>
          <w:lang w:val="pt-PT"/>
        </w:rPr>
        <w:t xml:space="preserve">entretanto, têm de agir em </w:t>
      </w:r>
      <w:r w:rsidR="00A54B5A" w:rsidRPr="003A1174">
        <w:rPr>
          <w:rFonts w:ascii="Garamond" w:hAnsi="Garamond" w:cs="Arial"/>
          <w:lang w:val="pt-PT"/>
        </w:rPr>
        <w:t xml:space="preserve">conformidade </w:t>
      </w:r>
      <w:r w:rsidR="00A132B3" w:rsidRPr="003A1174">
        <w:rPr>
          <w:rFonts w:ascii="Garamond" w:hAnsi="Garamond" w:cs="Arial"/>
          <w:lang w:val="pt-PT"/>
        </w:rPr>
        <w:t>co</w:t>
      </w:r>
      <w:r w:rsidR="00D572A9" w:rsidRPr="003A1174">
        <w:rPr>
          <w:rFonts w:ascii="Garamond" w:hAnsi="Garamond" w:cs="Arial"/>
          <w:lang w:val="pt-PT"/>
        </w:rPr>
        <w:t xml:space="preserve">m </w:t>
      </w:r>
      <w:r w:rsidR="00A132B3" w:rsidRPr="003A1174">
        <w:rPr>
          <w:rFonts w:ascii="Garamond" w:hAnsi="Garamond" w:cs="Arial"/>
          <w:lang w:val="pt-PT"/>
        </w:rPr>
        <w:t xml:space="preserve">os </w:t>
      </w:r>
      <w:r w:rsidR="00886D6A" w:rsidRPr="003A1174">
        <w:rPr>
          <w:rFonts w:ascii="Garamond" w:hAnsi="Garamond" w:cs="Arial"/>
          <w:lang w:val="pt-PT"/>
        </w:rPr>
        <w:t>direito</w:t>
      </w:r>
      <w:r w:rsidR="00A132B3" w:rsidRPr="003A1174">
        <w:rPr>
          <w:rFonts w:ascii="Garamond" w:hAnsi="Garamond" w:cs="Arial"/>
          <w:lang w:val="pt-PT"/>
        </w:rPr>
        <w:t xml:space="preserve">s humanos para </w:t>
      </w:r>
      <w:r w:rsidRPr="003A1174">
        <w:rPr>
          <w:rFonts w:ascii="Garamond" w:hAnsi="Garamond" w:cs="Arial"/>
          <w:lang w:val="pt-PT"/>
        </w:rPr>
        <w:t xml:space="preserve">serem </w:t>
      </w:r>
      <w:r w:rsidR="00A73177" w:rsidRPr="003A1174">
        <w:rPr>
          <w:rFonts w:ascii="Garamond" w:hAnsi="Garamond" w:cs="Arial"/>
          <w:lang w:val="pt-PT"/>
        </w:rPr>
        <w:t xml:space="preserve">consideradas </w:t>
      </w:r>
      <w:r w:rsidR="00A132B3" w:rsidRPr="003A1174">
        <w:rPr>
          <w:rFonts w:ascii="Garamond" w:hAnsi="Garamond" w:cs="Arial"/>
          <w:lang w:val="pt-PT"/>
        </w:rPr>
        <w:t xml:space="preserve">legítimas </w:t>
      </w:r>
      <w:r w:rsidRPr="003A1174">
        <w:rPr>
          <w:rFonts w:ascii="Garamond" w:hAnsi="Garamond" w:cs="Arial"/>
          <w:lang w:val="pt-PT"/>
        </w:rPr>
        <w:t>per</w:t>
      </w:r>
      <w:r w:rsidR="00A132B3" w:rsidRPr="003A1174">
        <w:rPr>
          <w:rFonts w:ascii="Garamond" w:hAnsi="Garamond" w:cs="Arial"/>
          <w:lang w:val="pt-PT"/>
        </w:rPr>
        <w:t xml:space="preserve">ante </w:t>
      </w:r>
      <w:r w:rsidRPr="003A1174">
        <w:rPr>
          <w:rFonts w:ascii="Garamond" w:hAnsi="Garamond" w:cs="Arial"/>
          <w:lang w:val="pt-PT"/>
        </w:rPr>
        <w:t>o</w:t>
      </w:r>
      <w:r w:rsidR="00A132B3" w:rsidRPr="003A1174">
        <w:rPr>
          <w:rFonts w:ascii="Garamond" w:hAnsi="Garamond" w:cs="Arial"/>
          <w:lang w:val="pt-PT"/>
        </w:rPr>
        <w:t xml:space="preserve"> </w:t>
      </w:r>
      <w:r w:rsidR="00886D6A" w:rsidRPr="003A1174">
        <w:rPr>
          <w:rFonts w:ascii="Garamond" w:hAnsi="Garamond" w:cs="Arial"/>
          <w:lang w:val="pt-PT"/>
        </w:rPr>
        <w:t>Direito</w:t>
      </w:r>
      <w:r w:rsidR="00A132B3" w:rsidRPr="003A1174">
        <w:rPr>
          <w:rFonts w:ascii="Garamond" w:hAnsi="Garamond" w:cs="Arial"/>
          <w:lang w:val="pt-PT"/>
        </w:rPr>
        <w:t xml:space="preserve">. De similar </w:t>
      </w:r>
      <w:r w:rsidR="005D38DC" w:rsidRPr="003A1174">
        <w:rPr>
          <w:rFonts w:ascii="Garamond" w:hAnsi="Garamond" w:cs="Arial"/>
          <w:lang w:val="pt-PT"/>
        </w:rPr>
        <w:t>importância</w:t>
      </w:r>
      <w:r w:rsidR="00A132B3" w:rsidRPr="003A1174">
        <w:rPr>
          <w:rFonts w:ascii="Garamond" w:hAnsi="Garamond" w:cs="Arial"/>
          <w:lang w:val="pt-PT"/>
        </w:rPr>
        <w:t>,</w:t>
      </w:r>
      <w:r w:rsidR="00D572A9" w:rsidRPr="003A1174">
        <w:rPr>
          <w:rFonts w:ascii="Garamond" w:hAnsi="Garamond" w:cs="Arial"/>
          <w:lang w:val="pt-PT"/>
        </w:rPr>
        <w:t xml:space="preserve"> também se estabeleceu </w:t>
      </w:r>
      <w:r w:rsidR="00A132B3" w:rsidRPr="003A1174">
        <w:rPr>
          <w:rFonts w:ascii="Garamond" w:hAnsi="Garamond" w:cs="Arial"/>
          <w:lang w:val="pt-PT"/>
        </w:rPr>
        <w:t xml:space="preserve">que </w:t>
      </w:r>
      <w:r w:rsidR="00D572A9" w:rsidRPr="003A1174">
        <w:rPr>
          <w:rFonts w:ascii="Garamond" w:hAnsi="Garamond" w:cs="Arial"/>
          <w:lang w:val="pt-PT"/>
        </w:rPr>
        <w:t>o</w:t>
      </w:r>
      <w:r w:rsidR="00A132B3" w:rsidRPr="003A1174">
        <w:rPr>
          <w:rFonts w:ascii="Garamond" w:hAnsi="Garamond" w:cs="Arial"/>
          <w:lang w:val="pt-PT"/>
        </w:rPr>
        <w:t xml:space="preserve"> </w:t>
      </w:r>
      <w:r w:rsidR="00253B1D" w:rsidRPr="003A1174">
        <w:rPr>
          <w:rFonts w:ascii="Garamond" w:hAnsi="Garamond" w:cs="Arial"/>
          <w:lang w:val="pt-PT"/>
        </w:rPr>
        <w:t>controlo</w:t>
      </w:r>
      <w:r w:rsidR="00A132B3" w:rsidRPr="003A1174">
        <w:rPr>
          <w:rFonts w:ascii="Garamond" w:hAnsi="Garamond" w:cs="Arial"/>
          <w:lang w:val="pt-PT"/>
        </w:rPr>
        <w:t xml:space="preserve"> de </w:t>
      </w:r>
      <w:r w:rsidR="00E15BB2" w:rsidRPr="003A1174">
        <w:rPr>
          <w:rFonts w:ascii="Garamond" w:hAnsi="Garamond" w:cs="Arial"/>
          <w:lang w:val="pt-PT"/>
        </w:rPr>
        <w:t>Convencionalidade</w:t>
      </w:r>
      <w:r w:rsidR="00A132B3" w:rsidRPr="003A1174">
        <w:rPr>
          <w:rFonts w:ascii="Garamond" w:hAnsi="Garamond" w:cs="Arial"/>
          <w:lang w:val="pt-PT"/>
        </w:rPr>
        <w:t xml:space="preserve"> </w:t>
      </w:r>
      <w:r w:rsidR="00D572A9" w:rsidRPr="003A1174">
        <w:rPr>
          <w:rFonts w:ascii="Garamond" w:hAnsi="Garamond" w:cs="Arial"/>
          <w:lang w:val="pt-PT"/>
        </w:rPr>
        <w:t>é um</w:t>
      </w:r>
      <w:r w:rsidR="00A132B3" w:rsidRPr="003A1174">
        <w:rPr>
          <w:rFonts w:ascii="Garamond" w:hAnsi="Garamond" w:cs="Arial"/>
          <w:lang w:val="pt-PT"/>
        </w:rPr>
        <w:t xml:space="preserve">a </w:t>
      </w:r>
      <w:r w:rsidR="00D572A9" w:rsidRPr="003A1174">
        <w:rPr>
          <w:rFonts w:ascii="Garamond" w:hAnsi="Garamond" w:cs="Arial"/>
          <w:lang w:val="pt-PT"/>
        </w:rPr>
        <w:t>ferramenta</w:t>
      </w:r>
      <w:r w:rsidR="00A132B3" w:rsidRPr="003A1174">
        <w:rPr>
          <w:rFonts w:ascii="Garamond" w:hAnsi="Garamond" w:cs="Arial"/>
          <w:lang w:val="pt-PT"/>
        </w:rPr>
        <w:t xml:space="preserve"> </w:t>
      </w:r>
      <w:r w:rsidR="00D572A9" w:rsidRPr="003A1174">
        <w:rPr>
          <w:rFonts w:ascii="Garamond" w:hAnsi="Garamond" w:cs="Arial"/>
          <w:lang w:val="pt-PT"/>
        </w:rPr>
        <w:t xml:space="preserve">e uma </w:t>
      </w:r>
      <w:r w:rsidR="00AF192F" w:rsidRPr="003A1174">
        <w:rPr>
          <w:rFonts w:ascii="Garamond" w:hAnsi="Garamond" w:cs="Arial"/>
          <w:lang w:val="pt-PT"/>
        </w:rPr>
        <w:t>obrigação</w:t>
      </w:r>
      <w:r w:rsidR="00A132B3" w:rsidRPr="003A1174">
        <w:rPr>
          <w:rFonts w:ascii="Garamond" w:hAnsi="Garamond" w:cs="Arial"/>
          <w:lang w:val="pt-PT"/>
        </w:rPr>
        <w:t xml:space="preserve"> jurídica </w:t>
      </w:r>
      <w:r w:rsidR="00461F3B" w:rsidRPr="003A1174">
        <w:rPr>
          <w:rFonts w:ascii="Garamond" w:hAnsi="Garamond" w:cs="Arial"/>
          <w:lang w:val="pt-PT"/>
        </w:rPr>
        <w:t xml:space="preserve">de </w:t>
      </w:r>
      <w:r w:rsidR="00D96FD0" w:rsidRPr="003A1174">
        <w:rPr>
          <w:rFonts w:ascii="Garamond" w:hAnsi="Garamond" w:cs="Arial"/>
          <w:lang w:val="pt-PT"/>
        </w:rPr>
        <w:t>cumprimento</w:t>
      </w:r>
      <w:r w:rsidR="00A132B3" w:rsidRPr="003A1174">
        <w:rPr>
          <w:rFonts w:ascii="Garamond" w:hAnsi="Garamond" w:cs="Arial"/>
          <w:lang w:val="pt-PT"/>
        </w:rPr>
        <w:t xml:space="preserve"> </w:t>
      </w:r>
      <w:r w:rsidR="00D96FD0" w:rsidRPr="003A1174">
        <w:rPr>
          <w:rFonts w:ascii="Garamond" w:hAnsi="Garamond" w:cs="Arial"/>
          <w:lang w:val="pt-PT"/>
        </w:rPr>
        <w:t>obrigatório</w:t>
      </w:r>
      <w:r w:rsidR="00461F3B" w:rsidRPr="003A1174">
        <w:rPr>
          <w:rFonts w:ascii="Garamond" w:hAnsi="Garamond" w:cs="Arial"/>
          <w:lang w:val="pt-PT"/>
        </w:rPr>
        <w:t xml:space="preserve"> </w:t>
      </w:r>
      <w:r w:rsidR="00D572A9" w:rsidRPr="003A1174">
        <w:rPr>
          <w:rFonts w:ascii="Garamond" w:hAnsi="Garamond" w:cs="Arial"/>
          <w:lang w:val="pt-PT"/>
        </w:rPr>
        <w:t xml:space="preserve">no </w:t>
      </w:r>
      <w:r w:rsidR="00120915" w:rsidRPr="003A1174">
        <w:rPr>
          <w:rFonts w:ascii="Garamond" w:hAnsi="Garamond" w:cs="Arial"/>
          <w:lang w:val="pt-PT"/>
        </w:rPr>
        <w:t>exame</w:t>
      </w:r>
      <w:r w:rsidR="00A132B3" w:rsidRPr="003A1174">
        <w:rPr>
          <w:rFonts w:ascii="Garamond" w:hAnsi="Garamond" w:cs="Arial"/>
          <w:lang w:val="pt-PT"/>
        </w:rPr>
        <w:t xml:space="preserve"> de </w:t>
      </w:r>
      <w:r w:rsidR="002E2C71" w:rsidRPr="003A1174">
        <w:rPr>
          <w:rFonts w:ascii="Garamond" w:hAnsi="Garamond" w:cs="Arial"/>
          <w:lang w:val="pt-PT"/>
        </w:rPr>
        <w:t>circunstância</w:t>
      </w:r>
      <w:r w:rsidR="00A132B3" w:rsidRPr="003A1174">
        <w:rPr>
          <w:rFonts w:ascii="Garamond" w:hAnsi="Garamond" w:cs="Arial"/>
          <w:lang w:val="pt-PT"/>
        </w:rPr>
        <w:t>s que p</w:t>
      </w:r>
      <w:r w:rsidR="00D572A9" w:rsidRPr="003A1174">
        <w:rPr>
          <w:rFonts w:ascii="Garamond" w:hAnsi="Garamond" w:cs="Arial"/>
          <w:lang w:val="pt-PT"/>
        </w:rPr>
        <w:t xml:space="preserve">ossam ter implicado </w:t>
      </w:r>
      <w:r w:rsidR="00A132B3" w:rsidRPr="003A1174">
        <w:rPr>
          <w:rFonts w:ascii="Garamond" w:hAnsi="Garamond" w:cs="Arial"/>
          <w:lang w:val="pt-PT"/>
        </w:rPr>
        <w:t xml:space="preserve">a </w:t>
      </w:r>
      <w:r w:rsidR="00BA3CCE" w:rsidRPr="003A1174">
        <w:rPr>
          <w:rFonts w:ascii="Garamond" w:hAnsi="Garamond" w:cs="Arial"/>
          <w:lang w:val="pt-PT"/>
        </w:rPr>
        <w:t>transgressão</w:t>
      </w:r>
      <w:r w:rsidR="00A132B3" w:rsidRPr="003A1174">
        <w:rPr>
          <w:rFonts w:ascii="Garamond" w:hAnsi="Garamond" w:cs="Arial"/>
          <w:lang w:val="pt-PT"/>
        </w:rPr>
        <w:t xml:space="preserve"> de </w:t>
      </w:r>
      <w:r w:rsidR="00886D6A" w:rsidRPr="003A1174">
        <w:rPr>
          <w:rFonts w:ascii="Garamond" w:hAnsi="Garamond" w:cs="Arial"/>
          <w:lang w:val="pt-PT"/>
        </w:rPr>
        <w:t>direito</w:t>
      </w:r>
      <w:r w:rsidR="00A132B3" w:rsidRPr="003A1174">
        <w:rPr>
          <w:rFonts w:ascii="Garamond" w:hAnsi="Garamond" w:cs="Arial"/>
          <w:lang w:val="pt-PT"/>
        </w:rPr>
        <w:t xml:space="preserve">s </w:t>
      </w:r>
      <w:r w:rsidR="00CA633E" w:rsidRPr="003A1174">
        <w:rPr>
          <w:rFonts w:ascii="Garamond" w:hAnsi="Garamond" w:cs="Arial"/>
          <w:lang w:val="pt-PT"/>
        </w:rPr>
        <w:t>fundamentais</w:t>
      </w:r>
      <w:r w:rsidR="00A132B3" w:rsidRPr="003A1174">
        <w:rPr>
          <w:rFonts w:ascii="Garamond" w:hAnsi="Garamond" w:cs="Arial"/>
          <w:lang w:val="pt-PT"/>
        </w:rPr>
        <w:t>, e</w:t>
      </w:r>
      <w:r w:rsidR="00D572A9" w:rsidRPr="003A1174">
        <w:rPr>
          <w:rFonts w:ascii="Garamond" w:hAnsi="Garamond" w:cs="Arial"/>
          <w:lang w:val="pt-PT"/>
        </w:rPr>
        <w:t xml:space="preserve">m quaisquer </w:t>
      </w:r>
      <w:r w:rsidR="00FB09CA" w:rsidRPr="003A1174">
        <w:rPr>
          <w:rFonts w:ascii="Garamond" w:hAnsi="Garamond" w:cs="Arial"/>
          <w:lang w:val="pt-PT"/>
        </w:rPr>
        <w:t>instância</w:t>
      </w:r>
      <w:r w:rsidR="00A132B3" w:rsidRPr="003A1174">
        <w:rPr>
          <w:rFonts w:ascii="Garamond" w:hAnsi="Garamond" w:cs="Arial"/>
          <w:lang w:val="pt-PT"/>
        </w:rPr>
        <w:t xml:space="preserve">s </w:t>
      </w:r>
      <w:r w:rsidR="003F012B" w:rsidRPr="003A1174">
        <w:rPr>
          <w:rFonts w:ascii="Garamond" w:hAnsi="Garamond" w:cs="Arial"/>
          <w:lang w:val="pt-PT"/>
        </w:rPr>
        <w:t>sociais</w:t>
      </w:r>
      <w:r w:rsidR="00A132B3" w:rsidRPr="003A1174">
        <w:rPr>
          <w:rFonts w:ascii="Garamond" w:hAnsi="Garamond" w:cs="Arial"/>
          <w:lang w:val="pt-PT"/>
        </w:rPr>
        <w:t>, inclui</w:t>
      </w:r>
      <w:r w:rsidR="00D572A9" w:rsidRPr="003A1174">
        <w:rPr>
          <w:rFonts w:ascii="Garamond" w:hAnsi="Garamond" w:cs="Arial"/>
          <w:lang w:val="pt-PT"/>
        </w:rPr>
        <w:t xml:space="preserve">ndo </w:t>
      </w:r>
      <w:r w:rsidR="00A132B3" w:rsidRPr="003A1174">
        <w:rPr>
          <w:rFonts w:ascii="Garamond" w:hAnsi="Garamond" w:cs="Arial"/>
          <w:lang w:val="pt-PT"/>
        </w:rPr>
        <w:t>aquel</w:t>
      </w:r>
      <w:r w:rsidR="00D572A9" w:rsidRPr="003A1174">
        <w:rPr>
          <w:rFonts w:ascii="Garamond" w:hAnsi="Garamond" w:cs="Arial"/>
          <w:lang w:val="pt-PT"/>
        </w:rPr>
        <w:t xml:space="preserve">as como as referidas </w:t>
      </w:r>
      <w:r w:rsidR="00A132B3" w:rsidRPr="003A1174">
        <w:rPr>
          <w:rFonts w:ascii="Garamond" w:hAnsi="Garamond" w:cs="Arial"/>
          <w:lang w:val="pt-PT"/>
        </w:rPr>
        <w:t>n</w:t>
      </w:r>
      <w:r w:rsidR="00D572A9" w:rsidRPr="003A1174">
        <w:rPr>
          <w:rFonts w:ascii="Garamond" w:hAnsi="Garamond" w:cs="Arial"/>
          <w:lang w:val="pt-PT"/>
        </w:rPr>
        <w:t xml:space="preserve">o </w:t>
      </w:r>
      <w:r w:rsidR="00A132B3" w:rsidRPr="003A1174">
        <w:rPr>
          <w:rFonts w:ascii="Garamond" w:hAnsi="Garamond" w:cs="Arial"/>
          <w:i/>
          <w:lang w:val="pt-PT"/>
        </w:rPr>
        <w:t>Caso Gelman</w:t>
      </w:r>
      <w:r w:rsidR="00D572A9" w:rsidRPr="003A1174">
        <w:rPr>
          <w:rFonts w:ascii="Garamond" w:hAnsi="Garamond" w:cs="Arial"/>
          <w:lang w:val="pt-PT"/>
        </w:rPr>
        <w:t xml:space="preserve">, onde </w:t>
      </w:r>
      <w:r w:rsidR="00A132B3" w:rsidRPr="003A1174">
        <w:rPr>
          <w:rFonts w:ascii="Garamond" w:hAnsi="Garamond" w:cs="Arial"/>
          <w:lang w:val="pt-PT"/>
        </w:rPr>
        <w:t xml:space="preserve">as simples </w:t>
      </w:r>
      <w:r w:rsidRPr="003A1174">
        <w:rPr>
          <w:rFonts w:ascii="Garamond" w:hAnsi="Garamond" w:cs="Arial"/>
          <w:lang w:val="pt-PT"/>
        </w:rPr>
        <w:t>maioria</w:t>
      </w:r>
      <w:r w:rsidR="00A132B3" w:rsidRPr="003A1174">
        <w:rPr>
          <w:rFonts w:ascii="Garamond" w:hAnsi="Garamond" w:cs="Arial"/>
          <w:lang w:val="pt-PT"/>
        </w:rPr>
        <w:t>s preten</w:t>
      </w:r>
      <w:r w:rsidR="009D5ED8" w:rsidRPr="003A1174">
        <w:rPr>
          <w:rFonts w:ascii="Garamond" w:hAnsi="Garamond" w:cs="Arial"/>
          <w:lang w:val="pt-PT"/>
        </w:rPr>
        <w:t>dia</w:t>
      </w:r>
      <w:r w:rsidR="00D572A9" w:rsidRPr="003A1174">
        <w:rPr>
          <w:rFonts w:ascii="Garamond" w:hAnsi="Garamond" w:cs="Arial"/>
          <w:lang w:val="pt-PT"/>
        </w:rPr>
        <w:t>m</w:t>
      </w:r>
      <w:r w:rsidR="00A132B3" w:rsidRPr="003A1174">
        <w:rPr>
          <w:rFonts w:ascii="Garamond" w:hAnsi="Garamond" w:cs="Arial"/>
          <w:lang w:val="pt-PT"/>
        </w:rPr>
        <w:t xml:space="preserve"> bastar</w:t>
      </w:r>
      <w:r w:rsidR="00D572A9" w:rsidRPr="003A1174">
        <w:rPr>
          <w:rFonts w:ascii="Garamond" w:hAnsi="Garamond" w:cs="Arial"/>
          <w:lang w:val="pt-PT"/>
        </w:rPr>
        <w:t>-</w:t>
      </w:r>
      <w:r w:rsidR="00A132B3" w:rsidRPr="003A1174">
        <w:rPr>
          <w:rFonts w:ascii="Garamond" w:hAnsi="Garamond" w:cs="Arial"/>
          <w:lang w:val="pt-PT"/>
        </w:rPr>
        <w:t>se a s</w:t>
      </w:r>
      <w:r w:rsidR="00D572A9" w:rsidRPr="003A1174">
        <w:rPr>
          <w:rFonts w:ascii="Garamond" w:hAnsi="Garamond" w:cs="Arial"/>
          <w:lang w:val="pt-PT"/>
        </w:rPr>
        <w:t xml:space="preserve">i </w:t>
      </w:r>
      <w:r w:rsidR="00524936" w:rsidRPr="003A1174">
        <w:rPr>
          <w:rFonts w:ascii="Garamond" w:hAnsi="Garamond" w:cs="Arial"/>
          <w:lang w:val="pt-PT"/>
        </w:rPr>
        <w:t>mesma</w:t>
      </w:r>
      <w:r w:rsidR="00A132B3" w:rsidRPr="003A1174">
        <w:rPr>
          <w:rFonts w:ascii="Garamond" w:hAnsi="Garamond" w:cs="Arial"/>
          <w:lang w:val="pt-PT"/>
        </w:rPr>
        <w:t>s como ta</w:t>
      </w:r>
      <w:r w:rsidR="00D572A9" w:rsidRPr="003A1174">
        <w:rPr>
          <w:rFonts w:ascii="Garamond" w:hAnsi="Garamond" w:cs="Arial"/>
          <w:lang w:val="pt-PT"/>
        </w:rPr>
        <w:t>i</w:t>
      </w:r>
      <w:r w:rsidR="00A132B3" w:rsidRPr="003A1174">
        <w:rPr>
          <w:rFonts w:ascii="Garamond" w:hAnsi="Garamond" w:cs="Arial"/>
          <w:lang w:val="pt-PT"/>
        </w:rPr>
        <w:t xml:space="preserve">s, para </w:t>
      </w:r>
      <w:r w:rsidR="00D572A9" w:rsidRPr="003A1174">
        <w:rPr>
          <w:rFonts w:ascii="Garamond" w:hAnsi="Garamond" w:cs="Arial"/>
          <w:lang w:val="pt-PT"/>
        </w:rPr>
        <w:t xml:space="preserve">se </w:t>
      </w:r>
      <w:r w:rsidR="00A132B3" w:rsidRPr="003A1174">
        <w:rPr>
          <w:rFonts w:ascii="Garamond" w:hAnsi="Garamond" w:cs="Arial"/>
          <w:lang w:val="pt-PT"/>
        </w:rPr>
        <w:t>considerar</w:t>
      </w:r>
      <w:r w:rsidR="00D572A9" w:rsidRPr="003A1174">
        <w:rPr>
          <w:rFonts w:ascii="Garamond" w:hAnsi="Garamond" w:cs="Arial"/>
          <w:lang w:val="pt-PT"/>
        </w:rPr>
        <w:t>em válidas e</w:t>
      </w:r>
      <w:r w:rsidR="00A132B3" w:rsidRPr="003A1174">
        <w:rPr>
          <w:rFonts w:ascii="Garamond" w:hAnsi="Garamond" w:cs="Arial"/>
          <w:lang w:val="pt-PT"/>
        </w:rPr>
        <w:t xml:space="preserve"> legítimas.</w:t>
      </w:r>
    </w:p>
    <w:p w:rsidR="003F31E5" w:rsidRPr="003A1174" w:rsidRDefault="003F31E5" w:rsidP="003F31E5">
      <w:pPr>
        <w:pStyle w:val="NormalWeb"/>
        <w:spacing w:before="90" w:beforeAutospacing="0" w:after="45"/>
        <w:ind w:right="75"/>
        <w:jc w:val="both"/>
        <w:rPr>
          <w:rFonts w:ascii="Garamond" w:hAnsi="Garamond" w:cs="Arial"/>
          <w:lang w:val="pt-PT"/>
        </w:rPr>
      </w:pPr>
    </w:p>
    <w:p w:rsidR="00A132B3" w:rsidRPr="003A1174" w:rsidRDefault="00A132B3" w:rsidP="00C6493E">
      <w:pPr>
        <w:shd w:val="clear" w:color="auto" w:fill="FFFFFF"/>
        <w:adjustRightInd w:val="0"/>
        <w:spacing w:line="240" w:lineRule="auto"/>
        <w:jc w:val="both"/>
        <w:rPr>
          <w:rFonts w:ascii="Garamond" w:hAnsi="Garamond" w:cs="Arial"/>
          <w:sz w:val="24"/>
          <w:szCs w:val="24"/>
        </w:rPr>
      </w:pPr>
      <w:r w:rsidRPr="003A1174">
        <w:rPr>
          <w:rFonts w:ascii="Garamond" w:hAnsi="Garamond" w:cs="Arial"/>
          <w:sz w:val="24"/>
          <w:szCs w:val="24"/>
        </w:rPr>
        <w:t>T</w:t>
      </w:r>
      <w:r w:rsidR="00BE591C" w:rsidRPr="003A1174">
        <w:rPr>
          <w:rFonts w:ascii="Garamond" w:hAnsi="Garamond" w:cs="Arial"/>
          <w:sz w:val="24"/>
          <w:szCs w:val="24"/>
        </w:rPr>
        <w:t>endo em conta</w:t>
      </w:r>
      <w:r w:rsidR="00D572A9" w:rsidRPr="003A1174">
        <w:rPr>
          <w:rFonts w:ascii="Garamond" w:hAnsi="Garamond" w:cs="Arial"/>
          <w:sz w:val="24"/>
          <w:szCs w:val="24"/>
        </w:rPr>
        <w:t xml:space="preserve"> </w:t>
      </w:r>
      <w:r w:rsidRPr="003A1174">
        <w:rPr>
          <w:rFonts w:ascii="Garamond" w:hAnsi="Garamond" w:cs="Arial"/>
          <w:sz w:val="24"/>
          <w:szCs w:val="24"/>
        </w:rPr>
        <w:t xml:space="preserve">os </w:t>
      </w:r>
      <w:r w:rsidR="00CB5DB2" w:rsidRPr="003A1174">
        <w:rPr>
          <w:rFonts w:ascii="Garamond" w:hAnsi="Garamond" w:cs="Arial"/>
          <w:sz w:val="24"/>
          <w:szCs w:val="24"/>
        </w:rPr>
        <w:t>critério</w:t>
      </w:r>
      <w:r w:rsidRPr="003A1174">
        <w:rPr>
          <w:rFonts w:ascii="Garamond" w:hAnsi="Garamond" w:cs="Arial"/>
          <w:sz w:val="24"/>
          <w:szCs w:val="24"/>
        </w:rPr>
        <w:t xml:space="preserve">s </w:t>
      </w:r>
      <w:r w:rsidR="00D572A9" w:rsidRPr="003A1174">
        <w:rPr>
          <w:rFonts w:ascii="Garamond" w:hAnsi="Garamond" w:cs="Arial"/>
          <w:sz w:val="24"/>
          <w:szCs w:val="24"/>
        </w:rPr>
        <w:t xml:space="preserve">e </w:t>
      </w:r>
      <w:r w:rsidR="009D0609" w:rsidRPr="003A1174">
        <w:rPr>
          <w:rFonts w:ascii="Garamond" w:hAnsi="Garamond" w:cs="Arial"/>
          <w:sz w:val="24"/>
          <w:szCs w:val="24"/>
        </w:rPr>
        <w:t>a</w:t>
      </w:r>
      <w:r w:rsidRPr="003A1174">
        <w:rPr>
          <w:rFonts w:ascii="Garamond" w:hAnsi="Garamond" w:cs="Arial"/>
          <w:sz w:val="24"/>
          <w:szCs w:val="24"/>
        </w:rPr>
        <w:t xml:space="preserve"> </w:t>
      </w:r>
      <w:r w:rsidR="0017447A" w:rsidRPr="003A1174">
        <w:rPr>
          <w:rFonts w:ascii="Garamond" w:hAnsi="Garamond" w:cs="Arial"/>
          <w:sz w:val="24"/>
          <w:szCs w:val="24"/>
        </w:rPr>
        <w:t>informação</w:t>
      </w:r>
      <w:r w:rsidRPr="003A1174">
        <w:rPr>
          <w:rFonts w:ascii="Garamond" w:hAnsi="Garamond" w:cs="Arial"/>
          <w:sz w:val="24"/>
          <w:szCs w:val="24"/>
        </w:rPr>
        <w:t xml:space="preserve"> </w:t>
      </w:r>
      <w:r w:rsidR="009D0609" w:rsidRPr="003A1174">
        <w:rPr>
          <w:rFonts w:ascii="Garamond" w:hAnsi="Garamond" w:cs="Arial"/>
          <w:sz w:val="24"/>
          <w:szCs w:val="24"/>
        </w:rPr>
        <w:t>e</w:t>
      </w:r>
      <w:r w:rsidRPr="003A1174">
        <w:rPr>
          <w:rFonts w:ascii="Garamond" w:hAnsi="Garamond" w:cs="Arial"/>
          <w:sz w:val="24"/>
          <w:szCs w:val="24"/>
        </w:rPr>
        <w:t>xp</w:t>
      </w:r>
      <w:r w:rsidR="00D572A9" w:rsidRPr="003A1174">
        <w:rPr>
          <w:rFonts w:ascii="Garamond" w:hAnsi="Garamond" w:cs="Arial"/>
          <w:sz w:val="24"/>
          <w:szCs w:val="24"/>
        </w:rPr>
        <w:t>o</w:t>
      </w:r>
      <w:r w:rsidRPr="003A1174">
        <w:rPr>
          <w:rFonts w:ascii="Garamond" w:hAnsi="Garamond" w:cs="Arial"/>
          <w:sz w:val="24"/>
          <w:szCs w:val="24"/>
        </w:rPr>
        <w:t>stos, conceb</w:t>
      </w:r>
      <w:r w:rsidR="00D572A9" w:rsidRPr="003A1174">
        <w:rPr>
          <w:rFonts w:ascii="Garamond" w:hAnsi="Garamond" w:cs="Arial"/>
          <w:sz w:val="24"/>
          <w:szCs w:val="24"/>
        </w:rPr>
        <w:t>emos o</w:t>
      </w:r>
      <w:r w:rsidRPr="003A1174">
        <w:rPr>
          <w:rFonts w:ascii="Garamond" w:hAnsi="Garamond" w:cs="Arial"/>
          <w:sz w:val="24"/>
          <w:szCs w:val="24"/>
        </w:rPr>
        <w:t xml:space="preserve"> </w:t>
      </w:r>
      <w:r w:rsidR="00253B1D" w:rsidRPr="003A1174">
        <w:rPr>
          <w:rFonts w:ascii="Garamond" w:hAnsi="Garamond" w:cs="Arial"/>
          <w:sz w:val="24"/>
          <w:szCs w:val="24"/>
        </w:rPr>
        <w:t>Controlo</w:t>
      </w:r>
      <w:r w:rsidRPr="003A1174">
        <w:rPr>
          <w:rFonts w:ascii="Garamond" w:hAnsi="Garamond" w:cs="Arial"/>
          <w:sz w:val="24"/>
          <w:szCs w:val="24"/>
        </w:rPr>
        <w:t xml:space="preserve"> de </w:t>
      </w:r>
      <w:r w:rsidR="00E15BB2" w:rsidRPr="003A1174">
        <w:rPr>
          <w:rFonts w:ascii="Garamond" w:hAnsi="Garamond" w:cs="Arial"/>
          <w:sz w:val="24"/>
          <w:szCs w:val="24"/>
        </w:rPr>
        <w:t>Convencionalidade</w:t>
      </w:r>
      <w:r w:rsidRPr="003A1174">
        <w:rPr>
          <w:rFonts w:ascii="Garamond" w:hAnsi="Garamond" w:cs="Arial"/>
          <w:sz w:val="24"/>
          <w:szCs w:val="24"/>
        </w:rPr>
        <w:t xml:space="preserve"> co</w:t>
      </w:r>
      <w:r w:rsidR="00D572A9" w:rsidRPr="003A1174">
        <w:rPr>
          <w:rFonts w:ascii="Garamond" w:hAnsi="Garamond" w:cs="Arial"/>
          <w:sz w:val="24"/>
          <w:szCs w:val="24"/>
        </w:rPr>
        <w:t xml:space="preserve">mo </w:t>
      </w:r>
      <w:r w:rsidRPr="003A1174">
        <w:rPr>
          <w:rFonts w:ascii="Garamond" w:hAnsi="Garamond" w:cs="Arial"/>
          <w:sz w:val="24"/>
          <w:szCs w:val="24"/>
        </w:rPr>
        <w:t xml:space="preserve">a </w:t>
      </w:r>
      <w:r w:rsidR="00AF192F" w:rsidRPr="003A1174">
        <w:rPr>
          <w:rFonts w:ascii="Garamond" w:hAnsi="Garamond" w:cs="Arial"/>
          <w:sz w:val="24"/>
          <w:szCs w:val="24"/>
        </w:rPr>
        <w:t>obrigação</w:t>
      </w:r>
      <w:r w:rsidRPr="003A1174">
        <w:rPr>
          <w:rFonts w:ascii="Garamond" w:hAnsi="Garamond" w:cs="Arial"/>
          <w:sz w:val="24"/>
          <w:szCs w:val="24"/>
        </w:rPr>
        <w:t xml:space="preserve"> de </w:t>
      </w:r>
      <w:r w:rsidR="00C6493E" w:rsidRPr="003A1174">
        <w:rPr>
          <w:rFonts w:ascii="Garamond" w:hAnsi="Garamond" w:cs="Arial"/>
          <w:i/>
          <w:sz w:val="24"/>
          <w:szCs w:val="24"/>
        </w:rPr>
        <w:t xml:space="preserve">respeitar e seguir o </w:t>
      </w:r>
      <w:r w:rsidR="00D96FD0" w:rsidRPr="003A1174">
        <w:rPr>
          <w:rFonts w:ascii="Garamond" w:hAnsi="Garamond" w:cs="Arial"/>
          <w:sz w:val="24"/>
          <w:szCs w:val="24"/>
        </w:rPr>
        <w:t>cumprimento</w:t>
      </w:r>
      <w:r w:rsidRPr="003A1174">
        <w:rPr>
          <w:rFonts w:ascii="Garamond" w:hAnsi="Garamond" w:cs="Arial"/>
          <w:sz w:val="24"/>
          <w:szCs w:val="24"/>
        </w:rPr>
        <w:t xml:space="preserve"> n</w:t>
      </w:r>
      <w:r w:rsidR="00C6493E" w:rsidRPr="003A1174">
        <w:rPr>
          <w:rFonts w:ascii="Garamond" w:hAnsi="Garamond" w:cs="Arial"/>
          <w:sz w:val="24"/>
          <w:szCs w:val="24"/>
        </w:rPr>
        <w:t>ã</w:t>
      </w:r>
      <w:r w:rsidRPr="003A1174">
        <w:rPr>
          <w:rFonts w:ascii="Garamond" w:hAnsi="Garamond" w:cs="Arial"/>
          <w:sz w:val="24"/>
          <w:szCs w:val="24"/>
        </w:rPr>
        <w:t>o s</w:t>
      </w:r>
      <w:r w:rsidR="00C6493E" w:rsidRPr="003A1174">
        <w:rPr>
          <w:rFonts w:ascii="Garamond" w:hAnsi="Garamond" w:cs="Arial"/>
          <w:sz w:val="24"/>
          <w:szCs w:val="24"/>
        </w:rPr>
        <w:t>ó do teor d</w:t>
      </w:r>
      <w:r w:rsidRPr="003A1174">
        <w:rPr>
          <w:rFonts w:ascii="Garamond" w:hAnsi="Garamond" w:cs="Arial"/>
          <w:sz w:val="24"/>
          <w:szCs w:val="24"/>
        </w:rPr>
        <w:t xml:space="preserve">os Tratados </w:t>
      </w:r>
      <w:r w:rsidR="00EF645F" w:rsidRPr="003A1174">
        <w:rPr>
          <w:rFonts w:ascii="Garamond" w:hAnsi="Garamond" w:cs="Arial"/>
          <w:sz w:val="24"/>
          <w:szCs w:val="24"/>
        </w:rPr>
        <w:t>Internacionais</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 ratificados pel</w:t>
      </w:r>
      <w:r w:rsidR="00C6493E" w:rsidRPr="003A1174">
        <w:rPr>
          <w:rFonts w:ascii="Garamond" w:hAnsi="Garamond" w:cs="Arial"/>
          <w:sz w:val="24"/>
          <w:szCs w:val="24"/>
        </w:rPr>
        <w:t>o</w:t>
      </w:r>
      <w:r w:rsidRPr="003A1174">
        <w:rPr>
          <w:rFonts w:ascii="Garamond" w:hAnsi="Garamond" w:cs="Arial"/>
          <w:sz w:val="24"/>
          <w:szCs w:val="24"/>
        </w:rPr>
        <w:t xml:space="preserve"> respetivo Estado, </w:t>
      </w:r>
      <w:r w:rsidR="00C6493E" w:rsidRPr="003A1174">
        <w:rPr>
          <w:rFonts w:ascii="Garamond" w:hAnsi="Garamond" w:cs="Arial"/>
          <w:sz w:val="24"/>
          <w:szCs w:val="24"/>
        </w:rPr>
        <w:t xml:space="preserve">mas também os </w:t>
      </w:r>
      <w:r w:rsidRPr="003A1174">
        <w:rPr>
          <w:rFonts w:ascii="Garamond" w:hAnsi="Garamond" w:cs="Arial"/>
          <w:sz w:val="24"/>
          <w:szCs w:val="24"/>
        </w:rPr>
        <w:t xml:space="preserve">fundamentos </w:t>
      </w:r>
      <w:r w:rsidR="009E3E55" w:rsidRPr="003A1174">
        <w:rPr>
          <w:rFonts w:ascii="Garamond" w:hAnsi="Garamond" w:cs="Arial"/>
          <w:sz w:val="24"/>
          <w:szCs w:val="24"/>
        </w:rPr>
        <w:t>gerais</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 cont</w:t>
      </w:r>
      <w:r w:rsidR="00C6493E" w:rsidRPr="003A1174">
        <w:rPr>
          <w:rFonts w:ascii="Garamond" w:hAnsi="Garamond" w:cs="Arial"/>
          <w:sz w:val="24"/>
          <w:szCs w:val="24"/>
        </w:rPr>
        <w:t>idos em</w:t>
      </w:r>
      <w:r w:rsidRPr="003A1174">
        <w:rPr>
          <w:rFonts w:ascii="Garamond" w:hAnsi="Garamond" w:cs="Arial"/>
          <w:sz w:val="24"/>
          <w:szCs w:val="24"/>
        </w:rPr>
        <w:t xml:space="preserve"> </w:t>
      </w:r>
      <w:r w:rsidRPr="003A1174">
        <w:rPr>
          <w:rFonts w:ascii="Garamond" w:hAnsi="Garamond" w:cs="Arial"/>
          <w:i/>
          <w:sz w:val="24"/>
          <w:szCs w:val="24"/>
        </w:rPr>
        <w:t>todas</w:t>
      </w:r>
      <w:r w:rsidRPr="003A1174">
        <w:rPr>
          <w:rFonts w:ascii="Garamond" w:hAnsi="Garamond" w:cs="Arial"/>
          <w:sz w:val="24"/>
          <w:szCs w:val="24"/>
        </w:rPr>
        <w:t xml:space="preserve"> </w:t>
      </w:r>
      <w:r w:rsidRPr="003A1174">
        <w:rPr>
          <w:rFonts w:ascii="Garamond" w:hAnsi="Garamond" w:cs="Arial"/>
          <w:i/>
          <w:sz w:val="24"/>
          <w:szCs w:val="24"/>
        </w:rPr>
        <w:t xml:space="preserve">as </w:t>
      </w:r>
      <w:r w:rsidR="005D38DC" w:rsidRPr="003A1174">
        <w:rPr>
          <w:rFonts w:ascii="Garamond" w:hAnsi="Garamond" w:cs="Arial"/>
          <w:i/>
          <w:sz w:val="24"/>
          <w:szCs w:val="24"/>
        </w:rPr>
        <w:t>decisões</w:t>
      </w:r>
      <w:r w:rsidRPr="003A1174">
        <w:rPr>
          <w:rFonts w:ascii="Garamond" w:hAnsi="Garamond" w:cs="Arial"/>
          <w:i/>
          <w:sz w:val="24"/>
          <w:szCs w:val="24"/>
        </w:rPr>
        <w:t xml:space="preserve"> </w:t>
      </w:r>
      <w:r w:rsidRPr="003A1174">
        <w:rPr>
          <w:rFonts w:ascii="Garamond" w:hAnsi="Garamond" w:cs="Arial"/>
          <w:sz w:val="24"/>
          <w:szCs w:val="24"/>
        </w:rPr>
        <w:t>d</w:t>
      </w:r>
      <w:r w:rsidR="00935298">
        <w:rPr>
          <w:rFonts w:ascii="Garamond" w:hAnsi="Garamond" w:cs="Arial"/>
          <w:sz w:val="24"/>
          <w:szCs w:val="24"/>
        </w:rPr>
        <w:t>o</w:t>
      </w:r>
      <w:r w:rsidR="00EB3427">
        <w:rPr>
          <w:rFonts w:ascii="Garamond" w:hAnsi="Garamond" w:cs="Arial"/>
          <w:sz w:val="24"/>
          <w:szCs w:val="24"/>
        </w:rPr>
        <w:t xml:space="preserve"> </w:t>
      </w:r>
      <w:r w:rsidR="00935298">
        <w:rPr>
          <w:rFonts w:ascii="Garamond" w:hAnsi="Garamond" w:cs="Arial"/>
          <w:sz w:val="24"/>
          <w:szCs w:val="24"/>
        </w:rPr>
        <w:t>Tribunal</w:t>
      </w:r>
      <w:r w:rsidR="002A7FDD" w:rsidRPr="003A1174">
        <w:rPr>
          <w:rFonts w:ascii="Garamond" w:hAnsi="Garamond" w:cs="Arial"/>
          <w:sz w:val="24"/>
          <w:szCs w:val="24"/>
        </w:rPr>
        <w:t xml:space="preserve"> </w:t>
      </w:r>
      <w:r w:rsidRPr="003A1174">
        <w:rPr>
          <w:rFonts w:ascii="Garamond" w:hAnsi="Garamond" w:cs="Arial"/>
          <w:sz w:val="24"/>
          <w:szCs w:val="24"/>
        </w:rPr>
        <w:t>Interamerican</w:t>
      </w:r>
      <w:r w:rsidR="00935298">
        <w:rPr>
          <w:rFonts w:ascii="Garamond" w:hAnsi="Garamond" w:cs="Arial"/>
          <w:sz w:val="24"/>
          <w:szCs w:val="24"/>
        </w:rPr>
        <w:t>o</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 (inclui</w:t>
      </w:r>
      <w:r w:rsidR="00C6493E" w:rsidRPr="003A1174">
        <w:rPr>
          <w:rFonts w:ascii="Garamond" w:hAnsi="Garamond" w:cs="Arial"/>
          <w:sz w:val="24"/>
          <w:szCs w:val="24"/>
        </w:rPr>
        <w:t xml:space="preserve">ndo </w:t>
      </w:r>
      <w:r w:rsidR="006B29BF" w:rsidRPr="003A1174">
        <w:rPr>
          <w:rFonts w:ascii="Garamond" w:hAnsi="Garamond" w:cs="Arial"/>
          <w:sz w:val="24"/>
          <w:szCs w:val="24"/>
        </w:rPr>
        <w:t>aquela</w:t>
      </w:r>
      <w:r w:rsidRPr="003A1174">
        <w:rPr>
          <w:rFonts w:ascii="Garamond" w:hAnsi="Garamond" w:cs="Arial"/>
          <w:sz w:val="24"/>
          <w:szCs w:val="24"/>
        </w:rPr>
        <w:t xml:space="preserve">s </w:t>
      </w:r>
      <w:r w:rsidR="00C6493E" w:rsidRPr="003A1174">
        <w:rPr>
          <w:rFonts w:ascii="Garamond" w:hAnsi="Garamond" w:cs="Arial"/>
          <w:sz w:val="24"/>
          <w:szCs w:val="24"/>
        </w:rPr>
        <w:t xml:space="preserve">proferidas em </w:t>
      </w:r>
      <w:r w:rsidRPr="003A1174">
        <w:rPr>
          <w:rFonts w:ascii="Garamond" w:hAnsi="Garamond" w:cs="Arial"/>
          <w:sz w:val="24"/>
          <w:szCs w:val="24"/>
        </w:rPr>
        <w:t xml:space="preserve">casos </w:t>
      </w:r>
      <w:r w:rsidR="00232204">
        <w:rPr>
          <w:rFonts w:ascii="Garamond" w:hAnsi="Garamond" w:cs="Arial"/>
          <w:sz w:val="24"/>
          <w:szCs w:val="24"/>
        </w:rPr>
        <w:t>-</w:t>
      </w:r>
      <w:r w:rsidR="00C6493E" w:rsidRPr="003A1174">
        <w:rPr>
          <w:rFonts w:ascii="Garamond" w:hAnsi="Garamond" w:cs="Arial"/>
          <w:sz w:val="24"/>
          <w:szCs w:val="24"/>
        </w:rPr>
        <w:t xml:space="preserve"> litígios - em</w:t>
      </w:r>
      <w:r w:rsidRPr="003A1174">
        <w:rPr>
          <w:rFonts w:ascii="Garamond" w:hAnsi="Garamond" w:cs="Arial"/>
          <w:sz w:val="24"/>
          <w:szCs w:val="24"/>
        </w:rPr>
        <w:t xml:space="preserve"> que </w:t>
      </w:r>
      <w:r w:rsidR="00C6493E" w:rsidRPr="003A1174">
        <w:rPr>
          <w:rFonts w:ascii="Garamond" w:hAnsi="Garamond" w:cs="Arial"/>
          <w:sz w:val="24"/>
          <w:szCs w:val="24"/>
        </w:rPr>
        <w:t>o</w:t>
      </w:r>
      <w:r w:rsidRPr="003A1174">
        <w:rPr>
          <w:rFonts w:ascii="Garamond" w:hAnsi="Garamond" w:cs="Arial"/>
          <w:sz w:val="24"/>
          <w:szCs w:val="24"/>
        </w:rPr>
        <w:t xml:space="preserve"> Estado ratificante da </w:t>
      </w:r>
      <w:r w:rsidR="00B14AA6" w:rsidRPr="003A1174">
        <w:rPr>
          <w:rFonts w:ascii="Garamond" w:hAnsi="Garamond" w:cs="Arial"/>
          <w:sz w:val="24"/>
          <w:szCs w:val="24"/>
        </w:rPr>
        <w:t>Convenção</w:t>
      </w:r>
      <w:r w:rsidRPr="003A1174">
        <w:rPr>
          <w:rFonts w:ascii="Garamond" w:hAnsi="Garamond" w:cs="Arial"/>
          <w:sz w:val="24"/>
          <w:szCs w:val="24"/>
        </w:rPr>
        <w:t xml:space="preserve"> Americana n</w:t>
      </w:r>
      <w:r w:rsidR="00C6493E" w:rsidRPr="003A1174">
        <w:rPr>
          <w:rFonts w:ascii="Garamond" w:hAnsi="Garamond" w:cs="Arial"/>
          <w:sz w:val="24"/>
          <w:szCs w:val="24"/>
        </w:rPr>
        <w:t>ã</w:t>
      </w:r>
      <w:r w:rsidRPr="003A1174">
        <w:rPr>
          <w:rFonts w:ascii="Garamond" w:hAnsi="Garamond" w:cs="Arial"/>
          <w:sz w:val="24"/>
          <w:szCs w:val="24"/>
        </w:rPr>
        <w:t>o interve</w:t>
      </w:r>
      <w:r w:rsidR="00C6493E" w:rsidRPr="003A1174">
        <w:rPr>
          <w:rFonts w:ascii="Garamond" w:hAnsi="Garamond" w:cs="Arial"/>
          <w:sz w:val="24"/>
          <w:szCs w:val="24"/>
        </w:rPr>
        <w:t>io</w:t>
      </w:r>
      <w:r w:rsidRPr="003A1174">
        <w:rPr>
          <w:rFonts w:ascii="Garamond" w:hAnsi="Garamond" w:cs="Arial"/>
          <w:sz w:val="24"/>
          <w:szCs w:val="24"/>
        </w:rPr>
        <w:t xml:space="preserve">) por parte de </w:t>
      </w:r>
      <w:r w:rsidR="00C6493E" w:rsidRPr="003A1174">
        <w:rPr>
          <w:rFonts w:ascii="Garamond" w:hAnsi="Garamond" w:cs="Arial"/>
          <w:i/>
          <w:sz w:val="24"/>
          <w:szCs w:val="24"/>
        </w:rPr>
        <w:t xml:space="preserve">todas </w:t>
      </w:r>
      <w:r w:rsidRPr="003A1174">
        <w:rPr>
          <w:rFonts w:ascii="Garamond" w:hAnsi="Garamond" w:cs="Arial"/>
          <w:i/>
          <w:sz w:val="24"/>
          <w:szCs w:val="24"/>
        </w:rPr>
        <w:t xml:space="preserve">as autoridades </w:t>
      </w:r>
      <w:r w:rsidR="00C86C58" w:rsidRPr="003A1174">
        <w:rPr>
          <w:rFonts w:ascii="Garamond" w:hAnsi="Garamond" w:cs="Arial"/>
          <w:i/>
          <w:sz w:val="24"/>
          <w:szCs w:val="24"/>
        </w:rPr>
        <w:t>estatais</w:t>
      </w:r>
      <w:r w:rsidR="00C6493E" w:rsidRPr="003A1174">
        <w:rPr>
          <w:rFonts w:ascii="Garamond" w:hAnsi="Garamond" w:cs="Arial"/>
          <w:sz w:val="24"/>
          <w:szCs w:val="24"/>
        </w:rPr>
        <w:t xml:space="preserve">, entre </w:t>
      </w:r>
      <w:r w:rsidRPr="003A1174">
        <w:rPr>
          <w:rFonts w:ascii="Garamond" w:hAnsi="Garamond" w:cs="Arial"/>
          <w:sz w:val="24"/>
          <w:szCs w:val="24"/>
        </w:rPr>
        <w:t>as qu</w:t>
      </w:r>
      <w:r w:rsidR="00C6493E" w:rsidRPr="003A1174">
        <w:rPr>
          <w:rFonts w:ascii="Garamond" w:hAnsi="Garamond" w:cs="Arial"/>
          <w:sz w:val="24"/>
          <w:szCs w:val="24"/>
        </w:rPr>
        <w:t>ais se incluem</w:t>
      </w:r>
      <w:r w:rsidR="00232204">
        <w:rPr>
          <w:rFonts w:ascii="Garamond" w:hAnsi="Garamond" w:cs="Arial"/>
          <w:sz w:val="24"/>
          <w:szCs w:val="24"/>
        </w:rPr>
        <w:t>,</w:t>
      </w:r>
      <w:r w:rsidR="00C6493E" w:rsidRPr="003A1174">
        <w:rPr>
          <w:rFonts w:ascii="Garamond" w:hAnsi="Garamond" w:cs="Arial"/>
          <w:sz w:val="24"/>
          <w:szCs w:val="24"/>
        </w:rPr>
        <w:t>de modo relevante</w:t>
      </w:r>
      <w:r w:rsidR="00232204">
        <w:rPr>
          <w:rFonts w:ascii="Garamond" w:hAnsi="Garamond" w:cs="Arial"/>
          <w:sz w:val="24"/>
          <w:szCs w:val="24"/>
        </w:rPr>
        <w:t>,</w:t>
      </w:r>
      <w:r w:rsidR="00C6493E" w:rsidRPr="003A1174">
        <w:rPr>
          <w:rFonts w:ascii="Garamond" w:hAnsi="Garamond" w:cs="Arial"/>
          <w:sz w:val="24"/>
          <w:szCs w:val="24"/>
        </w:rPr>
        <w:t xml:space="preserve"> </w:t>
      </w:r>
      <w:r w:rsidRPr="003A1174">
        <w:rPr>
          <w:rFonts w:ascii="Garamond" w:hAnsi="Garamond" w:cs="Arial"/>
          <w:sz w:val="24"/>
          <w:szCs w:val="24"/>
        </w:rPr>
        <w:t xml:space="preserve">as de </w:t>
      </w:r>
      <w:r w:rsidR="00C6493E" w:rsidRPr="003A1174">
        <w:rPr>
          <w:rFonts w:ascii="Garamond" w:hAnsi="Garamond" w:cs="Arial"/>
          <w:sz w:val="24"/>
          <w:szCs w:val="24"/>
        </w:rPr>
        <w:t>natureza</w:t>
      </w:r>
      <w:r w:rsidRPr="003A1174">
        <w:rPr>
          <w:rFonts w:ascii="Garamond" w:hAnsi="Garamond" w:cs="Arial"/>
          <w:sz w:val="24"/>
          <w:szCs w:val="24"/>
        </w:rPr>
        <w:t xml:space="preserve"> </w:t>
      </w:r>
      <w:r w:rsidR="001F2F8B" w:rsidRPr="003A1174">
        <w:rPr>
          <w:rFonts w:ascii="Garamond" w:hAnsi="Garamond" w:cs="Arial"/>
          <w:sz w:val="24"/>
          <w:szCs w:val="24"/>
        </w:rPr>
        <w:t>jurisdicional</w:t>
      </w:r>
      <w:r w:rsidRPr="003A1174">
        <w:rPr>
          <w:rFonts w:ascii="Garamond" w:hAnsi="Garamond" w:cs="Arial"/>
          <w:sz w:val="24"/>
          <w:szCs w:val="24"/>
        </w:rPr>
        <w:t>.</w:t>
      </w:r>
    </w:p>
    <w:p w:rsidR="000951CA" w:rsidRPr="003A1174" w:rsidRDefault="005F3674" w:rsidP="00C6493E">
      <w:pPr>
        <w:shd w:val="clear" w:color="auto" w:fill="FFFFFF"/>
        <w:adjustRightInd w:val="0"/>
        <w:spacing w:line="240" w:lineRule="auto"/>
        <w:jc w:val="both"/>
        <w:rPr>
          <w:rFonts w:ascii="Garamond" w:eastAsia="Times New Roman" w:hAnsi="Garamond" w:cs="Arial"/>
          <w:sz w:val="24"/>
          <w:szCs w:val="24"/>
        </w:rPr>
      </w:pPr>
      <w:r w:rsidRPr="003A1174">
        <w:rPr>
          <w:rFonts w:ascii="Garamond" w:eastAsia="Times New Roman" w:hAnsi="Garamond" w:cs="Arial"/>
          <w:sz w:val="24"/>
          <w:szCs w:val="24"/>
        </w:rPr>
        <w:t>Enquanto isto, para terminar</w:t>
      </w:r>
      <w:r w:rsidR="00964BCF" w:rsidRPr="003A1174">
        <w:rPr>
          <w:rFonts w:ascii="Garamond" w:eastAsia="Times New Roman" w:hAnsi="Garamond" w:cs="Arial"/>
          <w:sz w:val="24"/>
          <w:szCs w:val="24"/>
        </w:rPr>
        <w:t>,</w:t>
      </w:r>
      <w:r w:rsidR="00A132B3" w:rsidRPr="003A1174">
        <w:rPr>
          <w:rFonts w:ascii="Garamond" w:eastAsia="Times New Roman" w:hAnsi="Garamond" w:cs="Arial"/>
          <w:sz w:val="24"/>
          <w:szCs w:val="24"/>
        </w:rPr>
        <w:t xml:space="preserve"> anotamos que esta elabora</w:t>
      </w:r>
      <w:r w:rsidR="00C6493E" w:rsidRPr="003A1174">
        <w:rPr>
          <w:rFonts w:ascii="Garamond" w:eastAsia="Times New Roman" w:hAnsi="Garamond" w:cs="Arial"/>
          <w:sz w:val="24"/>
          <w:szCs w:val="24"/>
        </w:rPr>
        <w:t>ção</w:t>
      </w:r>
      <w:r w:rsidR="00A132B3" w:rsidRPr="003A1174">
        <w:rPr>
          <w:rFonts w:ascii="Garamond" w:eastAsia="Times New Roman" w:hAnsi="Garamond" w:cs="Arial"/>
          <w:sz w:val="24"/>
          <w:szCs w:val="24"/>
        </w:rPr>
        <w:t xml:space="preserve"> </w:t>
      </w:r>
      <w:r w:rsidR="007342D9" w:rsidRPr="003A1174">
        <w:rPr>
          <w:rFonts w:ascii="Garamond" w:eastAsia="Times New Roman" w:hAnsi="Garamond" w:cs="Arial"/>
          <w:sz w:val="24"/>
          <w:szCs w:val="24"/>
        </w:rPr>
        <w:t>pode</w:t>
      </w:r>
      <w:r w:rsidR="00A132B3" w:rsidRPr="003A1174">
        <w:rPr>
          <w:rFonts w:ascii="Garamond" w:eastAsia="Times New Roman" w:hAnsi="Garamond" w:cs="Arial"/>
          <w:sz w:val="24"/>
          <w:szCs w:val="24"/>
        </w:rPr>
        <w:t xml:space="preserve"> </w:t>
      </w:r>
      <w:r w:rsidR="00232204">
        <w:rPr>
          <w:rFonts w:ascii="Garamond" w:eastAsia="Times New Roman" w:hAnsi="Garamond" w:cs="Arial"/>
          <w:sz w:val="24"/>
          <w:szCs w:val="24"/>
        </w:rPr>
        <w:t>-</w:t>
      </w:r>
      <w:r w:rsidR="00C6493E" w:rsidRPr="003A1174">
        <w:rPr>
          <w:rFonts w:ascii="Garamond" w:eastAsia="Times New Roman" w:hAnsi="Garamond" w:cs="Arial"/>
          <w:sz w:val="24"/>
          <w:szCs w:val="24"/>
        </w:rPr>
        <w:t xml:space="preserve"> e </w:t>
      </w:r>
      <w:r w:rsidR="00AF192F" w:rsidRPr="003A1174">
        <w:rPr>
          <w:rFonts w:ascii="Garamond" w:eastAsia="Times New Roman" w:hAnsi="Garamond" w:cs="Arial"/>
          <w:sz w:val="24"/>
          <w:szCs w:val="24"/>
        </w:rPr>
        <w:t>dev</w:t>
      </w:r>
      <w:r w:rsidR="00A73177" w:rsidRPr="003A1174">
        <w:rPr>
          <w:rFonts w:ascii="Garamond" w:eastAsia="Times New Roman" w:hAnsi="Garamond" w:cs="Arial"/>
          <w:sz w:val="24"/>
          <w:szCs w:val="24"/>
        </w:rPr>
        <w:t>e</w:t>
      </w:r>
      <w:r w:rsidR="00C6493E" w:rsidRPr="003A1174">
        <w:rPr>
          <w:rFonts w:ascii="Garamond" w:eastAsia="Times New Roman" w:hAnsi="Garamond" w:cs="Arial"/>
          <w:sz w:val="24"/>
          <w:szCs w:val="24"/>
        </w:rPr>
        <w:t xml:space="preserve"> </w:t>
      </w:r>
      <w:r w:rsidR="00232204">
        <w:rPr>
          <w:rFonts w:ascii="Garamond" w:eastAsia="Times New Roman" w:hAnsi="Garamond" w:cs="Arial"/>
          <w:sz w:val="24"/>
          <w:szCs w:val="24"/>
        </w:rPr>
        <w:t>-</w:t>
      </w:r>
      <w:r w:rsidR="00C6493E" w:rsidRPr="003A1174">
        <w:rPr>
          <w:rFonts w:ascii="Garamond" w:eastAsia="Times New Roman" w:hAnsi="Garamond" w:cs="Arial"/>
          <w:sz w:val="24"/>
          <w:szCs w:val="24"/>
        </w:rPr>
        <w:t xml:space="preserve"> </w:t>
      </w:r>
      <w:r w:rsidR="00A132B3" w:rsidRPr="003A1174">
        <w:rPr>
          <w:rFonts w:ascii="Garamond" w:eastAsia="Times New Roman" w:hAnsi="Garamond" w:cs="Arial"/>
          <w:sz w:val="24"/>
          <w:szCs w:val="24"/>
        </w:rPr>
        <w:t>convert</w:t>
      </w:r>
      <w:r w:rsidR="00C6493E" w:rsidRPr="003A1174">
        <w:rPr>
          <w:rFonts w:ascii="Garamond" w:eastAsia="Times New Roman" w:hAnsi="Garamond" w:cs="Arial"/>
          <w:sz w:val="24"/>
          <w:szCs w:val="24"/>
        </w:rPr>
        <w:t>er-</w:t>
      </w:r>
      <w:r w:rsidR="00A132B3" w:rsidRPr="003A1174">
        <w:rPr>
          <w:rFonts w:ascii="Garamond" w:eastAsia="Times New Roman" w:hAnsi="Garamond" w:cs="Arial"/>
          <w:sz w:val="24"/>
          <w:szCs w:val="24"/>
        </w:rPr>
        <w:t xml:space="preserve">se </w:t>
      </w:r>
      <w:r w:rsidR="00C6493E" w:rsidRPr="003A1174">
        <w:rPr>
          <w:rFonts w:ascii="Garamond" w:eastAsia="Times New Roman" w:hAnsi="Garamond" w:cs="Arial"/>
          <w:sz w:val="24"/>
          <w:szCs w:val="24"/>
        </w:rPr>
        <w:t xml:space="preserve">numa </w:t>
      </w:r>
      <w:r w:rsidR="00D572A9" w:rsidRPr="003A1174">
        <w:rPr>
          <w:rFonts w:ascii="Garamond" w:eastAsia="Times New Roman" w:hAnsi="Garamond" w:cs="Arial"/>
          <w:sz w:val="24"/>
          <w:szCs w:val="24"/>
        </w:rPr>
        <w:t>ferramenta</w:t>
      </w:r>
      <w:r w:rsidR="00A132B3" w:rsidRPr="003A1174">
        <w:rPr>
          <w:rFonts w:ascii="Garamond" w:eastAsia="Times New Roman" w:hAnsi="Garamond" w:cs="Arial"/>
          <w:sz w:val="24"/>
          <w:szCs w:val="24"/>
        </w:rPr>
        <w:t xml:space="preserve"> </w:t>
      </w:r>
      <w:r w:rsidR="000866B6" w:rsidRPr="003A1174">
        <w:rPr>
          <w:rFonts w:ascii="Garamond" w:eastAsia="Times New Roman" w:hAnsi="Garamond" w:cs="Arial"/>
          <w:sz w:val="24"/>
          <w:szCs w:val="24"/>
        </w:rPr>
        <w:t>indispensável</w:t>
      </w:r>
      <w:r w:rsidR="00A132B3" w:rsidRPr="003A1174">
        <w:rPr>
          <w:rFonts w:ascii="Garamond" w:eastAsia="Times New Roman" w:hAnsi="Garamond" w:cs="Arial"/>
          <w:sz w:val="24"/>
          <w:szCs w:val="24"/>
        </w:rPr>
        <w:t xml:space="preserve"> para exigir</w:t>
      </w:r>
      <w:r w:rsidR="00232204">
        <w:rPr>
          <w:rFonts w:ascii="Garamond" w:eastAsia="Times New Roman" w:hAnsi="Garamond" w:cs="Arial"/>
          <w:sz w:val="24"/>
          <w:szCs w:val="24"/>
        </w:rPr>
        <w:t>,</w:t>
      </w:r>
      <w:r w:rsidR="00A132B3" w:rsidRPr="003A1174">
        <w:rPr>
          <w:rFonts w:ascii="Garamond" w:eastAsia="Times New Roman" w:hAnsi="Garamond" w:cs="Arial"/>
          <w:sz w:val="24"/>
          <w:szCs w:val="24"/>
        </w:rPr>
        <w:t xml:space="preserve"> e</w:t>
      </w:r>
      <w:r w:rsidR="00C6493E" w:rsidRPr="003A1174">
        <w:rPr>
          <w:rFonts w:ascii="Garamond" w:eastAsia="Times New Roman" w:hAnsi="Garamond" w:cs="Arial"/>
          <w:sz w:val="24"/>
          <w:szCs w:val="24"/>
        </w:rPr>
        <w:t xml:space="preserve">m todos </w:t>
      </w:r>
      <w:r w:rsidR="00A132B3" w:rsidRPr="003A1174">
        <w:rPr>
          <w:rFonts w:ascii="Garamond" w:eastAsia="Times New Roman" w:hAnsi="Garamond" w:cs="Arial"/>
          <w:sz w:val="24"/>
          <w:szCs w:val="24"/>
        </w:rPr>
        <w:t xml:space="preserve">os </w:t>
      </w:r>
      <w:r w:rsidR="002C7510" w:rsidRPr="003A1174">
        <w:rPr>
          <w:rFonts w:ascii="Garamond" w:eastAsia="Times New Roman" w:hAnsi="Garamond" w:cs="Arial"/>
          <w:sz w:val="24"/>
          <w:szCs w:val="24"/>
        </w:rPr>
        <w:t>espaços</w:t>
      </w:r>
      <w:r w:rsidR="00A132B3" w:rsidRPr="003A1174">
        <w:rPr>
          <w:rFonts w:ascii="Garamond" w:eastAsia="Times New Roman" w:hAnsi="Garamond" w:cs="Arial"/>
          <w:sz w:val="24"/>
          <w:szCs w:val="24"/>
        </w:rPr>
        <w:t xml:space="preserve"> </w:t>
      </w:r>
      <w:r w:rsidR="00C86C58" w:rsidRPr="003A1174">
        <w:rPr>
          <w:rFonts w:ascii="Garamond" w:eastAsia="Times New Roman" w:hAnsi="Garamond" w:cs="Arial"/>
          <w:sz w:val="24"/>
          <w:szCs w:val="24"/>
        </w:rPr>
        <w:t>estatais</w:t>
      </w:r>
      <w:r w:rsidR="00A132B3" w:rsidRPr="003A1174">
        <w:rPr>
          <w:rFonts w:ascii="Garamond" w:eastAsia="Times New Roman" w:hAnsi="Garamond" w:cs="Arial"/>
          <w:sz w:val="24"/>
          <w:szCs w:val="24"/>
        </w:rPr>
        <w:t xml:space="preserve"> (</w:t>
      </w:r>
      <w:r w:rsidR="00C6493E" w:rsidRPr="003A1174">
        <w:rPr>
          <w:rFonts w:ascii="Garamond" w:eastAsia="Times New Roman" w:hAnsi="Garamond" w:cs="Arial"/>
          <w:sz w:val="24"/>
          <w:szCs w:val="24"/>
        </w:rPr>
        <w:t>e</w:t>
      </w:r>
      <w:r w:rsidR="00964BCF" w:rsidRPr="003A1174">
        <w:rPr>
          <w:rFonts w:ascii="Garamond" w:eastAsia="Times New Roman" w:hAnsi="Garamond" w:cs="Arial"/>
          <w:sz w:val="24"/>
          <w:szCs w:val="24"/>
        </w:rPr>
        <w:t xml:space="preserve"> </w:t>
      </w:r>
      <w:r w:rsidR="00A132B3" w:rsidRPr="003A1174">
        <w:rPr>
          <w:rFonts w:ascii="Garamond" w:eastAsia="Times New Roman" w:hAnsi="Garamond" w:cs="Arial"/>
          <w:sz w:val="24"/>
          <w:szCs w:val="24"/>
        </w:rPr>
        <w:t>n</w:t>
      </w:r>
      <w:r w:rsidR="00C6493E" w:rsidRPr="003A1174">
        <w:rPr>
          <w:rFonts w:ascii="Garamond" w:eastAsia="Times New Roman" w:hAnsi="Garamond" w:cs="Arial"/>
          <w:sz w:val="24"/>
          <w:szCs w:val="24"/>
        </w:rPr>
        <w:t>ã</w:t>
      </w:r>
      <w:r w:rsidR="00A132B3" w:rsidRPr="003A1174">
        <w:rPr>
          <w:rFonts w:ascii="Garamond" w:eastAsia="Times New Roman" w:hAnsi="Garamond" w:cs="Arial"/>
          <w:sz w:val="24"/>
          <w:szCs w:val="24"/>
        </w:rPr>
        <w:t>o s</w:t>
      </w:r>
      <w:r w:rsidR="00C6493E" w:rsidRPr="003A1174">
        <w:rPr>
          <w:rFonts w:ascii="Garamond" w:eastAsia="Times New Roman" w:hAnsi="Garamond" w:cs="Arial"/>
          <w:sz w:val="24"/>
          <w:szCs w:val="24"/>
        </w:rPr>
        <w:t xml:space="preserve">ó nos </w:t>
      </w:r>
      <w:r w:rsidR="002D1021" w:rsidRPr="003A1174">
        <w:rPr>
          <w:rFonts w:ascii="Garamond" w:eastAsia="Times New Roman" w:hAnsi="Garamond" w:cs="Arial"/>
          <w:sz w:val="24"/>
          <w:szCs w:val="24"/>
        </w:rPr>
        <w:t>judiciais</w:t>
      </w:r>
      <w:r w:rsidR="00A132B3" w:rsidRPr="003A1174">
        <w:rPr>
          <w:rFonts w:ascii="Garamond" w:eastAsia="Times New Roman" w:hAnsi="Garamond" w:cs="Arial"/>
          <w:sz w:val="24"/>
          <w:szCs w:val="24"/>
        </w:rPr>
        <w:t xml:space="preserve">), que </w:t>
      </w:r>
      <w:r w:rsidR="00C6493E" w:rsidRPr="003A1174">
        <w:rPr>
          <w:rFonts w:ascii="Garamond" w:eastAsia="Times New Roman" w:hAnsi="Garamond" w:cs="Arial"/>
          <w:sz w:val="24"/>
          <w:szCs w:val="24"/>
        </w:rPr>
        <w:t xml:space="preserve">o </w:t>
      </w:r>
      <w:r w:rsidR="007C63D0" w:rsidRPr="003A1174">
        <w:rPr>
          <w:rFonts w:ascii="Garamond" w:eastAsia="Times New Roman" w:hAnsi="Garamond" w:cs="Arial"/>
          <w:sz w:val="24"/>
          <w:szCs w:val="24"/>
        </w:rPr>
        <w:t>comportamento</w:t>
      </w:r>
      <w:r w:rsidR="00A132B3" w:rsidRPr="003A1174">
        <w:rPr>
          <w:rFonts w:ascii="Garamond" w:eastAsia="Times New Roman" w:hAnsi="Garamond" w:cs="Arial"/>
          <w:sz w:val="24"/>
          <w:szCs w:val="24"/>
        </w:rPr>
        <w:t xml:space="preserve"> dos </w:t>
      </w:r>
      <w:r w:rsidR="003E6403" w:rsidRPr="003A1174">
        <w:rPr>
          <w:rFonts w:ascii="Garamond" w:eastAsia="Times New Roman" w:hAnsi="Garamond" w:cs="Arial"/>
          <w:sz w:val="24"/>
          <w:szCs w:val="24"/>
        </w:rPr>
        <w:t>funcionári</w:t>
      </w:r>
      <w:r w:rsidR="00C6493E" w:rsidRPr="003A1174">
        <w:rPr>
          <w:rFonts w:ascii="Garamond" w:eastAsia="Times New Roman" w:hAnsi="Garamond" w:cs="Arial"/>
          <w:sz w:val="24"/>
          <w:szCs w:val="24"/>
        </w:rPr>
        <w:t>os públicos</w:t>
      </w:r>
      <w:r w:rsidR="00232204">
        <w:rPr>
          <w:rFonts w:ascii="Garamond" w:eastAsia="Times New Roman" w:hAnsi="Garamond" w:cs="Arial"/>
          <w:sz w:val="24"/>
          <w:szCs w:val="24"/>
        </w:rPr>
        <w:t>,</w:t>
      </w:r>
      <w:r w:rsidR="00C6493E" w:rsidRPr="003A1174">
        <w:rPr>
          <w:rFonts w:ascii="Garamond" w:eastAsia="Times New Roman" w:hAnsi="Garamond" w:cs="Arial"/>
          <w:sz w:val="24"/>
          <w:szCs w:val="24"/>
        </w:rPr>
        <w:t xml:space="preserve"> de todas </w:t>
      </w:r>
      <w:r w:rsidR="00A132B3" w:rsidRPr="003A1174">
        <w:rPr>
          <w:rFonts w:ascii="Garamond" w:eastAsia="Times New Roman" w:hAnsi="Garamond" w:cs="Arial"/>
          <w:sz w:val="24"/>
          <w:szCs w:val="24"/>
        </w:rPr>
        <w:t xml:space="preserve">as </w:t>
      </w:r>
      <w:r w:rsidR="00C6493E" w:rsidRPr="003A1174">
        <w:rPr>
          <w:rFonts w:ascii="Garamond" w:eastAsia="Times New Roman" w:hAnsi="Garamond" w:cs="Arial"/>
          <w:sz w:val="24"/>
          <w:szCs w:val="24"/>
        </w:rPr>
        <w:t>hierarquias</w:t>
      </w:r>
      <w:r w:rsidR="00232204">
        <w:rPr>
          <w:rFonts w:ascii="Garamond" w:eastAsia="Times New Roman" w:hAnsi="Garamond" w:cs="Arial"/>
          <w:sz w:val="24"/>
          <w:szCs w:val="24"/>
        </w:rPr>
        <w:t>,</w:t>
      </w:r>
      <w:r w:rsidR="00A132B3" w:rsidRPr="003A1174">
        <w:rPr>
          <w:rFonts w:ascii="Garamond" w:eastAsia="Times New Roman" w:hAnsi="Garamond" w:cs="Arial"/>
          <w:sz w:val="24"/>
          <w:szCs w:val="24"/>
        </w:rPr>
        <w:t xml:space="preserve"> se </w:t>
      </w:r>
      <w:r w:rsidR="00964BCF" w:rsidRPr="003A1174">
        <w:rPr>
          <w:rFonts w:ascii="Garamond" w:eastAsia="Times New Roman" w:hAnsi="Garamond" w:cs="Arial"/>
          <w:sz w:val="24"/>
          <w:szCs w:val="24"/>
        </w:rPr>
        <w:t>produza</w:t>
      </w:r>
      <w:r w:rsidR="00C6493E" w:rsidRPr="003A1174">
        <w:rPr>
          <w:rFonts w:ascii="Garamond" w:eastAsia="Times New Roman" w:hAnsi="Garamond" w:cs="Arial"/>
          <w:sz w:val="24"/>
          <w:szCs w:val="24"/>
        </w:rPr>
        <w:t xml:space="preserve"> no</w:t>
      </w:r>
      <w:r w:rsidR="00A132B3" w:rsidRPr="003A1174">
        <w:rPr>
          <w:rFonts w:ascii="Garamond" w:eastAsia="Times New Roman" w:hAnsi="Garamond" w:cs="Arial"/>
          <w:sz w:val="24"/>
          <w:szCs w:val="24"/>
        </w:rPr>
        <w:t xml:space="preserve"> </w:t>
      </w:r>
      <w:r w:rsidR="00253B1D" w:rsidRPr="003A1174">
        <w:rPr>
          <w:rFonts w:ascii="Garamond" w:eastAsia="Times New Roman" w:hAnsi="Garamond" w:cs="Arial"/>
          <w:sz w:val="24"/>
          <w:szCs w:val="24"/>
        </w:rPr>
        <w:t>quadro</w:t>
      </w:r>
      <w:r w:rsidR="00A132B3" w:rsidRPr="003A1174">
        <w:rPr>
          <w:rFonts w:ascii="Garamond" w:eastAsia="Times New Roman" w:hAnsi="Garamond" w:cs="Arial"/>
          <w:sz w:val="24"/>
          <w:szCs w:val="24"/>
        </w:rPr>
        <w:t xml:space="preserve"> dos TIDHs </w:t>
      </w:r>
      <w:r w:rsidR="00C6493E" w:rsidRPr="003A1174">
        <w:rPr>
          <w:rFonts w:ascii="Garamond" w:eastAsia="Times New Roman" w:hAnsi="Garamond" w:cs="Arial"/>
          <w:sz w:val="24"/>
          <w:szCs w:val="24"/>
        </w:rPr>
        <w:t>e</w:t>
      </w:r>
      <w:r w:rsidR="00A132B3" w:rsidRPr="003A1174">
        <w:rPr>
          <w:rFonts w:ascii="Garamond" w:eastAsia="Times New Roman" w:hAnsi="Garamond" w:cs="Arial"/>
          <w:sz w:val="24"/>
          <w:szCs w:val="24"/>
        </w:rPr>
        <w:t xml:space="preserve"> </w:t>
      </w:r>
      <w:r w:rsidR="00964BCF" w:rsidRPr="003A1174">
        <w:rPr>
          <w:rFonts w:ascii="Garamond" w:eastAsia="Times New Roman" w:hAnsi="Garamond" w:cs="Arial"/>
          <w:sz w:val="24"/>
          <w:szCs w:val="24"/>
        </w:rPr>
        <w:t>d</w:t>
      </w:r>
      <w:r w:rsidR="00C6493E" w:rsidRPr="003A1174">
        <w:rPr>
          <w:rFonts w:ascii="Garamond" w:eastAsia="Times New Roman" w:hAnsi="Garamond" w:cs="Arial"/>
          <w:sz w:val="24"/>
          <w:szCs w:val="24"/>
        </w:rPr>
        <w:t xml:space="preserve">a sua </w:t>
      </w:r>
      <w:r w:rsidR="00C86C58" w:rsidRPr="003A1174">
        <w:rPr>
          <w:rFonts w:ascii="Garamond" w:eastAsia="Times New Roman" w:hAnsi="Garamond" w:cs="Arial"/>
          <w:sz w:val="24"/>
          <w:szCs w:val="24"/>
        </w:rPr>
        <w:t>interpretação</w:t>
      </w:r>
      <w:r w:rsidR="00232204">
        <w:rPr>
          <w:rFonts w:ascii="Garamond" w:eastAsia="Times New Roman" w:hAnsi="Garamond" w:cs="Arial"/>
          <w:sz w:val="24"/>
          <w:szCs w:val="24"/>
        </w:rPr>
        <w:t>,</w:t>
      </w:r>
      <w:r w:rsidR="00A132B3" w:rsidRPr="003A1174">
        <w:rPr>
          <w:rFonts w:ascii="Garamond" w:eastAsia="Times New Roman" w:hAnsi="Garamond" w:cs="Arial"/>
          <w:sz w:val="24"/>
          <w:szCs w:val="24"/>
        </w:rPr>
        <w:t xml:space="preserve"> através d</w:t>
      </w:r>
      <w:r w:rsidR="00C6493E" w:rsidRPr="003A1174">
        <w:rPr>
          <w:rFonts w:ascii="Garamond" w:eastAsia="Times New Roman" w:hAnsi="Garamond" w:cs="Arial"/>
          <w:sz w:val="24"/>
          <w:szCs w:val="24"/>
        </w:rPr>
        <w:t>a</w:t>
      </w:r>
      <w:r w:rsidR="00A132B3" w:rsidRPr="003A1174">
        <w:rPr>
          <w:rFonts w:ascii="Garamond" w:eastAsia="Times New Roman" w:hAnsi="Garamond" w:cs="Arial"/>
          <w:sz w:val="24"/>
          <w:szCs w:val="24"/>
        </w:rPr>
        <w:t xml:space="preserve">s </w:t>
      </w:r>
      <w:r w:rsidR="002E7FD5" w:rsidRPr="003A1174">
        <w:rPr>
          <w:rFonts w:ascii="Garamond" w:eastAsia="Times New Roman" w:hAnsi="Garamond" w:cs="Arial"/>
          <w:sz w:val="24"/>
          <w:szCs w:val="24"/>
        </w:rPr>
        <w:t>pronúncias</w:t>
      </w:r>
      <w:r w:rsidR="00C6493E" w:rsidRPr="003A1174">
        <w:rPr>
          <w:rFonts w:ascii="Garamond" w:eastAsia="Times New Roman" w:hAnsi="Garamond" w:cs="Arial"/>
          <w:sz w:val="24"/>
          <w:szCs w:val="24"/>
        </w:rPr>
        <w:t xml:space="preserve"> d</w:t>
      </w:r>
      <w:r w:rsidR="00935298">
        <w:rPr>
          <w:rFonts w:ascii="Garamond" w:eastAsia="Times New Roman" w:hAnsi="Garamond" w:cs="Arial"/>
          <w:sz w:val="24"/>
          <w:szCs w:val="24"/>
        </w:rPr>
        <w:t>o Tribunal</w:t>
      </w:r>
      <w:r w:rsidR="002A7FDD" w:rsidRPr="003A1174">
        <w:rPr>
          <w:rFonts w:ascii="Garamond" w:eastAsia="Times New Roman" w:hAnsi="Garamond" w:cs="Arial"/>
          <w:sz w:val="24"/>
          <w:szCs w:val="24"/>
        </w:rPr>
        <w:t xml:space="preserve"> </w:t>
      </w:r>
      <w:r w:rsidR="00A132B3" w:rsidRPr="003A1174">
        <w:rPr>
          <w:rFonts w:ascii="Garamond" w:eastAsia="Times New Roman" w:hAnsi="Garamond" w:cs="Arial"/>
          <w:sz w:val="24"/>
          <w:szCs w:val="24"/>
        </w:rPr>
        <w:t>Interamerican</w:t>
      </w:r>
      <w:r w:rsidR="00935298">
        <w:rPr>
          <w:rFonts w:ascii="Garamond" w:eastAsia="Times New Roman" w:hAnsi="Garamond" w:cs="Arial"/>
          <w:sz w:val="24"/>
          <w:szCs w:val="24"/>
        </w:rPr>
        <w:t>o</w:t>
      </w:r>
      <w:r w:rsidR="00A132B3" w:rsidRPr="003A1174">
        <w:rPr>
          <w:rFonts w:ascii="Garamond" w:eastAsia="Times New Roman" w:hAnsi="Garamond" w:cs="Arial"/>
          <w:sz w:val="24"/>
          <w:szCs w:val="24"/>
        </w:rPr>
        <w:t xml:space="preserve"> de </w:t>
      </w:r>
      <w:r w:rsidR="00886D6A" w:rsidRPr="003A1174">
        <w:rPr>
          <w:rFonts w:ascii="Garamond" w:eastAsia="Times New Roman" w:hAnsi="Garamond" w:cs="Arial"/>
          <w:sz w:val="24"/>
          <w:szCs w:val="24"/>
        </w:rPr>
        <w:t>Direito</w:t>
      </w:r>
      <w:r w:rsidR="00A132B3" w:rsidRPr="003A1174">
        <w:rPr>
          <w:rFonts w:ascii="Garamond" w:eastAsia="Times New Roman" w:hAnsi="Garamond" w:cs="Arial"/>
          <w:sz w:val="24"/>
          <w:szCs w:val="24"/>
        </w:rPr>
        <w:t>s Humanos.</w:t>
      </w:r>
      <w:r w:rsidR="00A132B3" w:rsidRPr="003A1174">
        <w:rPr>
          <w:rStyle w:val="Refdenotaalpie"/>
          <w:rFonts w:ascii="Garamond" w:eastAsia="Times New Roman" w:hAnsi="Garamond" w:cs="Arial"/>
          <w:sz w:val="24"/>
          <w:szCs w:val="24"/>
        </w:rPr>
        <w:footnoteReference w:id="53"/>
      </w:r>
    </w:p>
    <w:p w:rsidR="00A132B3" w:rsidRPr="003A1174" w:rsidRDefault="000951CA" w:rsidP="008719D4">
      <w:pPr>
        <w:shd w:val="clear" w:color="auto" w:fill="FFFFFF"/>
        <w:adjustRightInd w:val="0"/>
        <w:spacing w:line="240" w:lineRule="auto"/>
        <w:jc w:val="both"/>
        <w:rPr>
          <w:rFonts w:ascii="Garamond" w:eastAsia="Times New Roman" w:hAnsi="Garamond" w:cs="Arial"/>
          <w:sz w:val="24"/>
          <w:szCs w:val="24"/>
        </w:rPr>
      </w:pPr>
      <w:r w:rsidRPr="003A1174">
        <w:rPr>
          <w:rFonts w:ascii="Garamond" w:eastAsia="Times New Roman" w:hAnsi="Garamond" w:cs="Arial"/>
          <w:sz w:val="24"/>
          <w:szCs w:val="24"/>
        </w:rPr>
        <w:br w:type="column"/>
      </w:r>
    </w:p>
    <w:p w:rsidR="002B7C6E" w:rsidRPr="002B33D4" w:rsidRDefault="00800D59" w:rsidP="008719D4">
      <w:pPr>
        <w:pStyle w:val="Ttulo1"/>
        <w:numPr>
          <w:ilvl w:val="0"/>
          <w:numId w:val="21"/>
        </w:numPr>
        <w:jc w:val="both"/>
        <w:rPr>
          <w:rFonts w:ascii="Garamond" w:eastAsia="SimSun" w:hAnsi="Garamond" w:cs="Arial"/>
          <w:color w:val="548DD4" w:themeColor="text2" w:themeTint="99"/>
          <w:szCs w:val="24"/>
          <w:lang w:val="pt-PT"/>
        </w:rPr>
      </w:pPr>
      <w:bookmarkStart w:id="17" w:name="_Toc421529705"/>
      <w:r w:rsidRPr="002B33D4">
        <w:rPr>
          <w:rFonts w:ascii="Garamond" w:hAnsi="Garamond"/>
          <w:color w:val="548DD4" w:themeColor="text2" w:themeTint="99"/>
          <w:szCs w:val="24"/>
          <w:lang w:val="pt-PT"/>
        </w:rPr>
        <w:t>SISTEMATIZAÇÃO</w:t>
      </w:r>
      <w:r w:rsidR="00AA5E49" w:rsidRPr="002B33D4">
        <w:rPr>
          <w:rFonts w:ascii="Garamond" w:hAnsi="Garamond"/>
          <w:color w:val="548DD4" w:themeColor="text2" w:themeTint="99"/>
          <w:szCs w:val="24"/>
          <w:lang w:val="pt-PT"/>
        </w:rPr>
        <w:t xml:space="preserve"> DE </w:t>
      </w:r>
      <w:r w:rsidR="0017447A" w:rsidRPr="002B33D4">
        <w:rPr>
          <w:rFonts w:ascii="Garamond" w:hAnsi="Garamond"/>
          <w:color w:val="548DD4" w:themeColor="text2" w:themeTint="99"/>
          <w:szCs w:val="24"/>
          <w:lang w:val="pt-PT"/>
        </w:rPr>
        <w:t>EXPERIÊNCIA</w:t>
      </w:r>
      <w:r w:rsidR="00AA5E49" w:rsidRPr="002B33D4">
        <w:rPr>
          <w:rFonts w:ascii="Garamond" w:hAnsi="Garamond"/>
          <w:color w:val="548DD4" w:themeColor="text2" w:themeTint="99"/>
          <w:szCs w:val="24"/>
          <w:lang w:val="pt-PT"/>
        </w:rPr>
        <w:t>S DE PAÍSES INTEGRANTES DA FIO</w:t>
      </w:r>
      <w:r w:rsidR="002B7C6E" w:rsidRPr="002B33D4">
        <w:rPr>
          <w:rFonts w:ascii="Garamond" w:hAnsi="Garamond"/>
          <w:color w:val="548DD4" w:themeColor="text2" w:themeTint="99"/>
          <w:szCs w:val="24"/>
          <w:lang w:val="pt-PT"/>
        </w:rPr>
        <w:t xml:space="preserve"> (</w:t>
      </w:r>
      <w:r w:rsidR="009E3E55" w:rsidRPr="002B33D4">
        <w:rPr>
          <w:rFonts w:ascii="Garamond" w:hAnsi="Garamond" w:cs="Arial"/>
          <w:color w:val="548DD4" w:themeColor="text2" w:themeTint="99"/>
          <w:szCs w:val="24"/>
          <w:lang w:val="pt-PT"/>
        </w:rPr>
        <w:t>novembro</w:t>
      </w:r>
      <w:r w:rsidR="002B7C6E" w:rsidRPr="002B33D4">
        <w:rPr>
          <w:rFonts w:ascii="Garamond" w:hAnsi="Garamond" w:cs="Arial"/>
          <w:color w:val="548DD4" w:themeColor="text2" w:themeTint="99"/>
          <w:szCs w:val="24"/>
          <w:lang w:val="pt-PT"/>
        </w:rPr>
        <w:t xml:space="preserve"> de 2013 a </w:t>
      </w:r>
      <w:r w:rsidR="009E3E55" w:rsidRPr="002B33D4">
        <w:rPr>
          <w:rFonts w:ascii="Garamond" w:hAnsi="Garamond" w:cs="Arial"/>
          <w:color w:val="548DD4" w:themeColor="text2" w:themeTint="99"/>
          <w:szCs w:val="24"/>
          <w:lang w:val="pt-PT"/>
        </w:rPr>
        <w:t>julho</w:t>
      </w:r>
      <w:r w:rsidR="002B7C6E" w:rsidRPr="002B33D4">
        <w:rPr>
          <w:rFonts w:ascii="Garamond" w:hAnsi="Garamond" w:cs="Arial"/>
          <w:color w:val="548DD4" w:themeColor="text2" w:themeTint="99"/>
          <w:szCs w:val="24"/>
          <w:lang w:val="pt-PT"/>
        </w:rPr>
        <w:t xml:space="preserve"> de 2014).</w:t>
      </w:r>
      <w:bookmarkEnd w:id="17"/>
    </w:p>
    <w:p w:rsidR="00CA39B2" w:rsidRPr="003A1174" w:rsidRDefault="005D38DC" w:rsidP="008719D4">
      <w:pPr>
        <w:pStyle w:val="Ttulo2"/>
        <w:numPr>
          <w:ilvl w:val="1"/>
          <w:numId w:val="50"/>
        </w:numPr>
        <w:rPr>
          <w:rFonts w:ascii="Garamond" w:hAnsi="Garamond"/>
          <w:sz w:val="24"/>
          <w:szCs w:val="24"/>
        </w:rPr>
      </w:pPr>
      <w:bookmarkStart w:id="18" w:name="_Toc421529706"/>
      <w:r w:rsidRPr="003A1174">
        <w:rPr>
          <w:rFonts w:ascii="Garamond" w:hAnsi="Garamond"/>
          <w:sz w:val="24"/>
          <w:szCs w:val="24"/>
        </w:rPr>
        <w:t>Aspeto</w:t>
      </w:r>
      <w:r w:rsidR="002A6677" w:rsidRPr="003A1174">
        <w:rPr>
          <w:rFonts w:ascii="Garamond" w:hAnsi="Garamond"/>
          <w:sz w:val="24"/>
          <w:szCs w:val="24"/>
        </w:rPr>
        <w:t>s normativos</w:t>
      </w:r>
      <w:r w:rsidR="00F944FA" w:rsidRPr="003A1174">
        <w:rPr>
          <w:rFonts w:ascii="Garamond" w:hAnsi="Garamond"/>
          <w:sz w:val="24"/>
          <w:szCs w:val="24"/>
        </w:rPr>
        <w:t xml:space="preserve"> </w:t>
      </w:r>
      <w:r w:rsidR="001F2F8B" w:rsidRPr="003A1174">
        <w:rPr>
          <w:rFonts w:ascii="Garamond" w:hAnsi="Garamond"/>
          <w:sz w:val="24"/>
          <w:szCs w:val="24"/>
        </w:rPr>
        <w:t>re</w:t>
      </w:r>
      <w:r w:rsidR="00010877" w:rsidRPr="003A1174">
        <w:rPr>
          <w:rFonts w:ascii="Garamond" w:hAnsi="Garamond"/>
          <w:sz w:val="24"/>
          <w:szCs w:val="24"/>
        </w:rPr>
        <w:t>lativ</w:t>
      </w:r>
      <w:r w:rsidR="00A73177" w:rsidRPr="003A1174">
        <w:rPr>
          <w:rFonts w:ascii="Garamond" w:hAnsi="Garamond"/>
          <w:sz w:val="24"/>
          <w:szCs w:val="24"/>
        </w:rPr>
        <w:t xml:space="preserve">os </w:t>
      </w:r>
      <w:r w:rsidR="00010877" w:rsidRPr="003A1174">
        <w:rPr>
          <w:rFonts w:ascii="Garamond" w:hAnsi="Garamond"/>
          <w:sz w:val="24"/>
          <w:szCs w:val="24"/>
        </w:rPr>
        <w:t xml:space="preserve">à </w:t>
      </w:r>
      <w:r w:rsidR="000350B1" w:rsidRPr="003A1174">
        <w:rPr>
          <w:rFonts w:ascii="Garamond" w:hAnsi="Garamond"/>
          <w:sz w:val="24"/>
          <w:szCs w:val="24"/>
        </w:rPr>
        <w:t>violência</w:t>
      </w:r>
      <w:r w:rsidR="00010877" w:rsidRPr="003A1174">
        <w:rPr>
          <w:rFonts w:ascii="Garamond" w:hAnsi="Garamond"/>
          <w:sz w:val="24"/>
          <w:szCs w:val="24"/>
        </w:rPr>
        <w:t xml:space="preserve"> contra </w:t>
      </w:r>
      <w:r w:rsidR="00F944FA" w:rsidRPr="003A1174">
        <w:rPr>
          <w:rFonts w:ascii="Garamond" w:hAnsi="Garamond"/>
          <w:sz w:val="24"/>
          <w:szCs w:val="24"/>
        </w:rPr>
        <w:t xml:space="preserve">as </w:t>
      </w:r>
      <w:r w:rsidR="00054EE0" w:rsidRPr="003A1174">
        <w:rPr>
          <w:rFonts w:ascii="Garamond" w:hAnsi="Garamond"/>
          <w:sz w:val="24"/>
          <w:szCs w:val="24"/>
        </w:rPr>
        <w:t>mulheres</w:t>
      </w:r>
      <w:r w:rsidR="00F944FA" w:rsidRPr="003A1174">
        <w:rPr>
          <w:rFonts w:ascii="Garamond" w:hAnsi="Garamond"/>
          <w:sz w:val="24"/>
          <w:szCs w:val="24"/>
        </w:rPr>
        <w:t xml:space="preserve"> </w:t>
      </w:r>
      <w:r w:rsidR="00010877" w:rsidRPr="003A1174">
        <w:rPr>
          <w:rFonts w:ascii="Garamond" w:hAnsi="Garamond"/>
          <w:sz w:val="24"/>
          <w:szCs w:val="24"/>
        </w:rPr>
        <w:t xml:space="preserve">e o </w:t>
      </w:r>
      <w:r w:rsidR="00886D6A" w:rsidRPr="003A1174">
        <w:rPr>
          <w:rFonts w:ascii="Garamond" w:hAnsi="Garamond"/>
          <w:sz w:val="24"/>
          <w:szCs w:val="24"/>
        </w:rPr>
        <w:t>acesso</w:t>
      </w:r>
      <w:r w:rsidR="00F944FA" w:rsidRPr="003A1174">
        <w:rPr>
          <w:rFonts w:ascii="Garamond" w:hAnsi="Garamond"/>
          <w:sz w:val="24"/>
          <w:szCs w:val="24"/>
        </w:rPr>
        <w:t xml:space="preserve"> </w:t>
      </w:r>
      <w:r w:rsidR="00010877" w:rsidRPr="003A1174">
        <w:rPr>
          <w:rFonts w:ascii="Garamond" w:hAnsi="Garamond"/>
          <w:sz w:val="24"/>
          <w:szCs w:val="24"/>
        </w:rPr>
        <w:t xml:space="preserve">à </w:t>
      </w:r>
      <w:r w:rsidR="00FC1F7F" w:rsidRPr="003A1174">
        <w:rPr>
          <w:rFonts w:ascii="Garamond" w:hAnsi="Garamond"/>
          <w:sz w:val="24"/>
          <w:szCs w:val="24"/>
        </w:rPr>
        <w:t>justiça</w:t>
      </w:r>
      <w:bookmarkEnd w:id="18"/>
    </w:p>
    <w:p w:rsidR="00064326" w:rsidRPr="003A1174" w:rsidRDefault="00010877" w:rsidP="00010877">
      <w:pPr>
        <w:spacing w:before="240" w:line="240" w:lineRule="auto"/>
        <w:jc w:val="both"/>
        <w:rPr>
          <w:rFonts w:ascii="Garamond" w:hAnsi="Garamond" w:cs="Arial"/>
          <w:sz w:val="24"/>
          <w:szCs w:val="24"/>
        </w:rPr>
      </w:pPr>
      <w:r w:rsidRPr="003A1174">
        <w:rPr>
          <w:rFonts w:ascii="Garamond" w:hAnsi="Garamond" w:cs="Arial"/>
          <w:sz w:val="24"/>
          <w:szCs w:val="24"/>
        </w:rPr>
        <w:t xml:space="preserve">Neste capítulo iremos abordar </w:t>
      </w:r>
      <w:r w:rsidR="00064326" w:rsidRPr="003A1174">
        <w:rPr>
          <w:rFonts w:ascii="Garamond" w:hAnsi="Garamond" w:cs="Arial"/>
          <w:sz w:val="24"/>
          <w:szCs w:val="24"/>
        </w:rPr>
        <w:t xml:space="preserve">as </w:t>
      </w:r>
      <w:r w:rsidRPr="003A1174">
        <w:rPr>
          <w:rFonts w:ascii="Garamond" w:hAnsi="Garamond" w:cs="Arial"/>
          <w:sz w:val="24"/>
          <w:szCs w:val="24"/>
        </w:rPr>
        <w:t>informações</w:t>
      </w:r>
      <w:r w:rsidR="00064326" w:rsidRPr="003A1174">
        <w:rPr>
          <w:rFonts w:ascii="Garamond" w:hAnsi="Garamond" w:cs="Arial"/>
          <w:sz w:val="24"/>
          <w:szCs w:val="24"/>
        </w:rPr>
        <w:t xml:space="preserve"> alcan</w:t>
      </w:r>
      <w:r w:rsidRPr="003A1174">
        <w:rPr>
          <w:rFonts w:ascii="Garamond" w:hAnsi="Garamond" w:cs="Arial"/>
          <w:sz w:val="24"/>
          <w:szCs w:val="24"/>
        </w:rPr>
        <w:t>ç</w:t>
      </w:r>
      <w:r w:rsidR="00064326" w:rsidRPr="003A1174">
        <w:rPr>
          <w:rFonts w:ascii="Garamond" w:hAnsi="Garamond" w:cs="Arial"/>
          <w:sz w:val="24"/>
          <w:szCs w:val="24"/>
        </w:rPr>
        <w:t xml:space="preserve">adas </w:t>
      </w:r>
      <w:r w:rsidRPr="003A1174">
        <w:rPr>
          <w:rFonts w:ascii="Garamond" w:hAnsi="Garamond" w:cs="Arial"/>
          <w:sz w:val="24"/>
          <w:szCs w:val="24"/>
        </w:rPr>
        <w:t>acerca d</w:t>
      </w:r>
      <w:r w:rsidR="00064326" w:rsidRPr="003A1174">
        <w:rPr>
          <w:rFonts w:ascii="Garamond" w:hAnsi="Garamond" w:cs="Arial"/>
          <w:sz w:val="24"/>
          <w:szCs w:val="24"/>
        </w:rPr>
        <w:t>as</w:t>
      </w:r>
      <w:r w:rsidR="00C762D6" w:rsidRPr="003A1174">
        <w:rPr>
          <w:rFonts w:ascii="Garamond" w:hAnsi="Garamond" w:cs="Arial"/>
          <w:sz w:val="24"/>
          <w:szCs w:val="24"/>
        </w:rPr>
        <w:t xml:space="preserve"> normas </w:t>
      </w:r>
      <w:r w:rsidR="00EF645F" w:rsidRPr="003A1174">
        <w:rPr>
          <w:rFonts w:ascii="Garamond" w:hAnsi="Garamond" w:cs="Arial"/>
          <w:sz w:val="24"/>
          <w:szCs w:val="24"/>
        </w:rPr>
        <w:t>internacionais</w:t>
      </w:r>
      <w:r w:rsidR="00C762D6" w:rsidRPr="003A1174">
        <w:rPr>
          <w:rFonts w:ascii="Garamond" w:hAnsi="Garamond" w:cs="Arial"/>
          <w:sz w:val="24"/>
          <w:szCs w:val="24"/>
        </w:rPr>
        <w:t xml:space="preserve"> ratificadas p</w:t>
      </w:r>
      <w:r w:rsidRPr="003A1174">
        <w:rPr>
          <w:rFonts w:ascii="Garamond" w:hAnsi="Garamond" w:cs="Arial"/>
          <w:sz w:val="24"/>
          <w:szCs w:val="24"/>
        </w:rPr>
        <w:t>e</w:t>
      </w:r>
      <w:r w:rsidR="00C762D6" w:rsidRPr="003A1174">
        <w:rPr>
          <w:rFonts w:ascii="Garamond" w:hAnsi="Garamond" w:cs="Arial"/>
          <w:sz w:val="24"/>
          <w:szCs w:val="24"/>
        </w:rPr>
        <w:t xml:space="preserve">los Estado </w:t>
      </w:r>
      <w:r w:rsidR="00C30647" w:rsidRPr="003A1174">
        <w:rPr>
          <w:rFonts w:ascii="Garamond" w:hAnsi="Garamond" w:cs="Arial"/>
          <w:sz w:val="24"/>
          <w:szCs w:val="24"/>
        </w:rPr>
        <w:t>membro</w:t>
      </w:r>
      <w:r w:rsidR="00C762D6" w:rsidRPr="003A1174">
        <w:rPr>
          <w:rFonts w:ascii="Garamond" w:hAnsi="Garamond" w:cs="Arial"/>
          <w:sz w:val="24"/>
          <w:szCs w:val="24"/>
        </w:rPr>
        <w:t xml:space="preserve">s da FIO </w:t>
      </w:r>
      <w:r w:rsidR="00964BCF" w:rsidRPr="003A1174">
        <w:rPr>
          <w:rFonts w:ascii="Garamond" w:hAnsi="Garamond" w:cs="Arial"/>
          <w:sz w:val="24"/>
          <w:szCs w:val="24"/>
        </w:rPr>
        <w:t>relacionadas co</w:t>
      </w:r>
      <w:r w:rsidRPr="003A1174">
        <w:rPr>
          <w:rFonts w:ascii="Garamond" w:hAnsi="Garamond" w:cs="Arial"/>
          <w:sz w:val="24"/>
          <w:szCs w:val="24"/>
        </w:rPr>
        <w:t xml:space="preserve">m </w:t>
      </w:r>
      <w:r w:rsidR="00C762D6" w:rsidRPr="003A1174">
        <w:rPr>
          <w:rFonts w:ascii="Garamond" w:hAnsi="Garamond" w:cs="Arial"/>
          <w:sz w:val="24"/>
          <w:szCs w:val="24"/>
        </w:rPr>
        <w:t xml:space="preserve">a </w:t>
      </w:r>
      <w:r w:rsidR="00886D6A" w:rsidRPr="003A1174">
        <w:rPr>
          <w:rFonts w:ascii="Garamond" w:hAnsi="Garamond" w:cs="Arial"/>
          <w:sz w:val="24"/>
          <w:szCs w:val="24"/>
        </w:rPr>
        <w:t>proteção</w:t>
      </w:r>
      <w:r w:rsidR="00C762D6" w:rsidRPr="003A1174">
        <w:rPr>
          <w:rFonts w:ascii="Garamond" w:hAnsi="Garamond" w:cs="Arial"/>
          <w:sz w:val="24"/>
          <w:szCs w:val="24"/>
        </w:rPr>
        <w:t xml:space="preserve"> dos </w:t>
      </w:r>
      <w:r w:rsidR="00886D6A" w:rsidRPr="003A1174">
        <w:rPr>
          <w:rFonts w:ascii="Garamond" w:hAnsi="Garamond" w:cs="Arial"/>
          <w:sz w:val="24"/>
          <w:szCs w:val="24"/>
        </w:rPr>
        <w:t>direito</w:t>
      </w:r>
      <w:r w:rsidRPr="003A1174">
        <w:rPr>
          <w:rFonts w:ascii="Garamond" w:hAnsi="Garamond" w:cs="Arial"/>
          <w:sz w:val="24"/>
          <w:szCs w:val="24"/>
        </w:rPr>
        <w:t>s d</w:t>
      </w:r>
      <w:r w:rsidR="00C762D6" w:rsidRPr="003A1174">
        <w:rPr>
          <w:rFonts w:ascii="Garamond" w:hAnsi="Garamond" w:cs="Arial"/>
          <w:sz w:val="24"/>
          <w:szCs w:val="24"/>
        </w:rPr>
        <w:t xml:space="preserve">a </w:t>
      </w:r>
      <w:r w:rsidR="00AF192F" w:rsidRPr="003A1174">
        <w:rPr>
          <w:rFonts w:ascii="Garamond" w:hAnsi="Garamond" w:cs="Arial"/>
          <w:sz w:val="24"/>
          <w:szCs w:val="24"/>
        </w:rPr>
        <w:t>mulher</w:t>
      </w:r>
      <w:r w:rsidR="00964BCF" w:rsidRPr="003A1174">
        <w:rPr>
          <w:rFonts w:ascii="Garamond" w:hAnsi="Garamond" w:cs="Arial"/>
          <w:sz w:val="24"/>
          <w:szCs w:val="24"/>
        </w:rPr>
        <w:t>,</w:t>
      </w:r>
      <w:r w:rsidR="00C762D6" w:rsidRPr="003A1174">
        <w:rPr>
          <w:rFonts w:ascii="Garamond" w:hAnsi="Garamond" w:cs="Arial"/>
          <w:sz w:val="24"/>
          <w:szCs w:val="24"/>
        </w:rPr>
        <w:t xml:space="preserve"> as</w:t>
      </w:r>
      <w:r w:rsidRPr="003A1174">
        <w:rPr>
          <w:rFonts w:ascii="Garamond" w:hAnsi="Garamond" w:cs="Arial"/>
          <w:sz w:val="24"/>
          <w:szCs w:val="24"/>
        </w:rPr>
        <w:t>sim</w:t>
      </w:r>
      <w:r w:rsidR="00C762D6" w:rsidRPr="003A1174">
        <w:rPr>
          <w:rFonts w:ascii="Garamond" w:hAnsi="Garamond" w:cs="Arial"/>
          <w:sz w:val="24"/>
          <w:szCs w:val="24"/>
        </w:rPr>
        <w:t xml:space="preserve"> como</w:t>
      </w:r>
      <w:r w:rsidR="00064326" w:rsidRPr="003A1174">
        <w:rPr>
          <w:rFonts w:ascii="Garamond" w:hAnsi="Garamond" w:cs="Arial"/>
          <w:sz w:val="24"/>
          <w:szCs w:val="24"/>
        </w:rPr>
        <w:t xml:space="preserve"> </w:t>
      </w:r>
      <w:r w:rsidR="00C762D6" w:rsidRPr="003A1174">
        <w:rPr>
          <w:rFonts w:ascii="Garamond" w:hAnsi="Garamond" w:cs="Arial"/>
          <w:sz w:val="24"/>
          <w:szCs w:val="24"/>
        </w:rPr>
        <w:t xml:space="preserve">as </w:t>
      </w:r>
      <w:r w:rsidR="00064326" w:rsidRPr="003A1174">
        <w:rPr>
          <w:rFonts w:ascii="Garamond" w:hAnsi="Garamond" w:cs="Arial"/>
          <w:sz w:val="24"/>
          <w:szCs w:val="24"/>
        </w:rPr>
        <w:t xml:space="preserve">normas </w:t>
      </w:r>
      <w:r w:rsidR="002D1021" w:rsidRPr="003A1174">
        <w:rPr>
          <w:rFonts w:ascii="Garamond" w:hAnsi="Garamond" w:cs="Arial"/>
          <w:sz w:val="24"/>
          <w:szCs w:val="24"/>
        </w:rPr>
        <w:t>legais</w:t>
      </w:r>
      <w:r w:rsidR="00064326" w:rsidRPr="003A1174">
        <w:rPr>
          <w:rFonts w:ascii="Garamond" w:hAnsi="Garamond" w:cs="Arial"/>
          <w:sz w:val="24"/>
          <w:szCs w:val="24"/>
        </w:rPr>
        <w:t xml:space="preserve"> </w:t>
      </w:r>
      <w:r w:rsidRPr="003A1174">
        <w:rPr>
          <w:rFonts w:ascii="Garamond" w:hAnsi="Garamond" w:cs="Arial"/>
          <w:sz w:val="24"/>
          <w:szCs w:val="24"/>
        </w:rPr>
        <w:t xml:space="preserve">proferidas ou </w:t>
      </w:r>
      <w:r w:rsidR="00964BCF" w:rsidRPr="003A1174">
        <w:rPr>
          <w:rFonts w:ascii="Garamond" w:hAnsi="Garamond" w:cs="Arial"/>
          <w:sz w:val="24"/>
          <w:szCs w:val="24"/>
        </w:rPr>
        <w:t>que entrar</w:t>
      </w:r>
      <w:r w:rsidRPr="003A1174">
        <w:rPr>
          <w:rFonts w:ascii="Garamond" w:hAnsi="Garamond" w:cs="Arial"/>
          <w:sz w:val="24"/>
          <w:szCs w:val="24"/>
        </w:rPr>
        <w:t xml:space="preserve">am em </w:t>
      </w:r>
      <w:r w:rsidR="00064326" w:rsidRPr="003A1174">
        <w:rPr>
          <w:rFonts w:ascii="Garamond" w:hAnsi="Garamond" w:cs="Arial"/>
          <w:sz w:val="24"/>
          <w:szCs w:val="24"/>
        </w:rPr>
        <w:t xml:space="preserve">vigor </w:t>
      </w:r>
      <w:r w:rsidRPr="003A1174">
        <w:rPr>
          <w:rFonts w:ascii="Garamond" w:hAnsi="Garamond" w:cs="Arial"/>
          <w:sz w:val="24"/>
          <w:szCs w:val="24"/>
        </w:rPr>
        <w:t xml:space="preserve">no </w:t>
      </w:r>
      <w:r w:rsidR="00802ACC" w:rsidRPr="003A1174">
        <w:rPr>
          <w:rFonts w:ascii="Garamond" w:hAnsi="Garamond" w:cs="Arial"/>
          <w:sz w:val="24"/>
          <w:szCs w:val="24"/>
        </w:rPr>
        <w:t>âmbito</w:t>
      </w:r>
      <w:r w:rsidR="00C762D6" w:rsidRPr="003A1174">
        <w:rPr>
          <w:rFonts w:ascii="Garamond" w:hAnsi="Garamond" w:cs="Arial"/>
          <w:sz w:val="24"/>
          <w:szCs w:val="24"/>
        </w:rPr>
        <w:t xml:space="preserve"> nacional </w:t>
      </w:r>
      <w:r w:rsidR="00064326" w:rsidRPr="003A1174">
        <w:rPr>
          <w:rFonts w:ascii="Garamond" w:hAnsi="Garamond" w:cs="Arial"/>
          <w:sz w:val="24"/>
          <w:szCs w:val="24"/>
        </w:rPr>
        <w:t xml:space="preserve">durante </w:t>
      </w:r>
      <w:r w:rsidRPr="003A1174">
        <w:rPr>
          <w:rFonts w:ascii="Garamond" w:hAnsi="Garamond" w:cs="Arial"/>
          <w:sz w:val="24"/>
          <w:szCs w:val="24"/>
        </w:rPr>
        <w:t xml:space="preserve">o </w:t>
      </w:r>
      <w:r w:rsidR="00064326" w:rsidRPr="003A1174">
        <w:rPr>
          <w:rFonts w:ascii="Garamond" w:hAnsi="Garamond" w:cs="Arial"/>
          <w:sz w:val="24"/>
          <w:szCs w:val="24"/>
        </w:rPr>
        <w:t xml:space="preserve">período </w:t>
      </w:r>
      <w:r w:rsidRPr="003A1174">
        <w:rPr>
          <w:rFonts w:ascii="Garamond" w:hAnsi="Garamond" w:cs="Arial"/>
          <w:sz w:val="24"/>
          <w:szCs w:val="24"/>
        </w:rPr>
        <w:t xml:space="preserve">considerado, relativamente à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064326" w:rsidRPr="003A1174">
        <w:rPr>
          <w:rFonts w:ascii="Garamond" w:hAnsi="Garamond" w:cs="Arial"/>
          <w:sz w:val="24"/>
          <w:szCs w:val="24"/>
        </w:rPr>
        <w:t xml:space="preserve">as </w:t>
      </w:r>
      <w:r w:rsidR="00054EE0" w:rsidRPr="003A1174">
        <w:rPr>
          <w:rFonts w:ascii="Garamond" w:hAnsi="Garamond" w:cs="Arial"/>
          <w:sz w:val="24"/>
          <w:szCs w:val="24"/>
        </w:rPr>
        <w:t>mulheres</w:t>
      </w:r>
      <w:r w:rsidR="00064326" w:rsidRPr="003A1174">
        <w:rPr>
          <w:rFonts w:ascii="Garamond" w:hAnsi="Garamond" w:cs="Arial"/>
          <w:sz w:val="24"/>
          <w:szCs w:val="24"/>
        </w:rPr>
        <w:t xml:space="preserve"> </w:t>
      </w:r>
      <w:r w:rsidRPr="003A1174">
        <w:rPr>
          <w:rFonts w:ascii="Garamond" w:hAnsi="Garamond" w:cs="Arial"/>
          <w:sz w:val="24"/>
          <w:szCs w:val="24"/>
        </w:rPr>
        <w:t xml:space="preserve">e ao </w:t>
      </w:r>
      <w:r w:rsidR="00886D6A" w:rsidRPr="003A1174">
        <w:rPr>
          <w:rFonts w:ascii="Garamond" w:hAnsi="Garamond" w:cs="Arial"/>
          <w:sz w:val="24"/>
          <w:szCs w:val="24"/>
        </w:rPr>
        <w:t>acesso</w:t>
      </w:r>
      <w:r w:rsidR="00064326"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00964BCF" w:rsidRPr="003A1174">
        <w:rPr>
          <w:rFonts w:ascii="Garamond" w:hAnsi="Garamond" w:cs="Arial"/>
          <w:sz w:val="24"/>
          <w:szCs w:val="24"/>
        </w:rPr>
        <w:t>.</w:t>
      </w:r>
      <w:r w:rsidR="00064326" w:rsidRPr="003A1174">
        <w:rPr>
          <w:rFonts w:ascii="Garamond" w:hAnsi="Garamond" w:cs="Arial"/>
          <w:sz w:val="24"/>
          <w:szCs w:val="24"/>
        </w:rPr>
        <w:t xml:space="preserve"> </w:t>
      </w:r>
      <w:r w:rsidRPr="003A1174">
        <w:rPr>
          <w:rFonts w:ascii="Garamond" w:hAnsi="Garamond" w:cs="Arial"/>
          <w:sz w:val="24"/>
          <w:szCs w:val="24"/>
        </w:rPr>
        <w:t xml:space="preserve">Também iremos ver se nesse período se conseguiu, ou não, </w:t>
      </w:r>
      <w:r w:rsidR="00064326" w:rsidRPr="003A1174">
        <w:rPr>
          <w:rFonts w:ascii="Garamond" w:hAnsi="Garamond" w:cs="Arial"/>
          <w:sz w:val="24"/>
          <w:szCs w:val="24"/>
        </w:rPr>
        <w:t xml:space="preserve">verificar o </w:t>
      </w:r>
      <w:r w:rsidR="00D96FD0" w:rsidRPr="003A1174">
        <w:rPr>
          <w:rFonts w:ascii="Garamond" w:hAnsi="Garamond" w:cs="Arial"/>
          <w:sz w:val="24"/>
          <w:szCs w:val="24"/>
        </w:rPr>
        <w:t>cumprimento</w:t>
      </w:r>
      <w:r w:rsidR="00064326" w:rsidRPr="003A1174">
        <w:rPr>
          <w:rFonts w:ascii="Garamond" w:hAnsi="Garamond" w:cs="Arial"/>
          <w:sz w:val="24"/>
          <w:szCs w:val="24"/>
        </w:rPr>
        <w:t xml:space="preserve"> d</w:t>
      </w:r>
      <w:r w:rsidRPr="003A1174">
        <w:rPr>
          <w:rFonts w:ascii="Garamond" w:hAnsi="Garamond" w:cs="Arial"/>
          <w:sz w:val="24"/>
          <w:szCs w:val="24"/>
        </w:rPr>
        <w:t xml:space="preserve">e ditas </w:t>
      </w:r>
      <w:r w:rsidR="00064326" w:rsidRPr="003A1174">
        <w:rPr>
          <w:rFonts w:ascii="Garamond" w:hAnsi="Garamond" w:cs="Arial"/>
          <w:sz w:val="24"/>
          <w:szCs w:val="24"/>
        </w:rPr>
        <w:t>normas.</w:t>
      </w:r>
    </w:p>
    <w:p w:rsidR="00CA39B2" w:rsidRPr="003A1174" w:rsidRDefault="000951CA" w:rsidP="008719D4">
      <w:pPr>
        <w:pStyle w:val="Ttulo2"/>
        <w:rPr>
          <w:rFonts w:ascii="Garamond" w:hAnsi="Garamond"/>
          <w:b w:val="0"/>
          <w:sz w:val="24"/>
          <w:szCs w:val="24"/>
        </w:rPr>
      </w:pPr>
      <w:bookmarkStart w:id="19" w:name="_Toc421529707"/>
      <w:r w:rsidRPr="003A1174">
        <w:rPr>
          <w:rStyle w:val="Ttulo3Car"/>
          <w:rFonts w:ascii="Garamond" w:hAnsi="Garamond"/>
          <w:b/>
          <w:sz w:val="24"/>
          <w:szCs w:val="24"/>
        </w:rPr>
        <w:t>Argentina</w:t>
      </w:r>
      <w:r w:rsidR="00CA39B2" w:rsidRPr="003A1174">
        <w:rPr>
          <w:rStyle w:val="Refdenotaalpie"/>
          <w:rFonts w:ascii="Garamond" w:hAnsi="Garamond" w:cs="Arial"/>
          <w:b w:val="0"/>
          <w:sz w:val="24"/>
          <w:szCs w:val="24"/>
          <w:lang w:val="es-ES"/>
        </w:rPr>
        <w:footnoteReference w:id="54"/>
      </w:r>
      <w:bookmarkEnd w:id="19"/>
    </w:p>
    <w:p w:rsidR="00220335" w:rsidRPr="003A1174" w:rsidRDefault="00220335"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00F944FA" w:rsidRPr="003A1174">
        <w:rPr>
          <w:rFonts w:ascii="Garamond" w:hAnsi="Garamond" w:cs="Arial"/>
          <w:color w:val="auto"/>
          <w:sz w:val="24"/>
          <w:szCs w:val="24"/>
        </w:rPr>
        <w:t xml:space="preserve"> </w:t>
      </w:r>
      <w:r w:rsidR="00D2560E" w:rsidRPr="003A1174">
        <w:rPr>
          <w:rFonts w:ascii="Garamond" w:hAnsi="Garamond" w:cs="Arial"/>
          <w:color w:val="auto"/>
          <w:sz w:val="24"/>
          <w:szCs w:val="24"/>
        </w:rPr>
        <w:t>prévio</w:t>
      </w:r>
      <w:r w:rsidR="00964BCF" w:rsidRPr="003A1174">
        <w:rPr>
          <w:rFonts w:ascii="Garamond" w:hAnsi="Garamond" w:cs="Arial"/>
          <w:color w:val="auto"/>
          <w:sz w:val="24"/>
          <w:szCs w:val="24"/>
        </w:rPr>
        <w:t>, cabe</w:t>
      </w:r>
      <w:r w:rsidR="00F944FA" w:rsidRPr="003A1174">
        <w:rPr>
          <w:rFonts w:ascii="Garamond" w:hAnsi="Garamond" w:cs="Arial"/>
          <w:color w:val="auto"/>
          <w:sz w:val="24"/>
          <w:szCs w:val="24"/>
        </w:rPr>
        <w:t xml:space="preserve"> indicar que </w:t>
      </w:r>
      <w:r w:rsidR="0074243F" w:rsidRPr="003A1174">
        <w:rPr>
          <w:rFonts w:ascii="Garamond" w:hAnsi="Garamond" w:cs="Arial"/>
          <w:color w:val="auto"/>
          <w:sz w:val="24"/>
          <w:szCs w:val="24"/>
        </w:rPr>
        <w:t>o Estado da</w:t>
      </w:r>
      <w:r w:rsidR="00F944FA" w:rsidRPr="003A1174">
        <w:rPr>
          <w:rFonts w:ascii="Garamond" w:hAnsi="Garamond" w:cs="Arial"/>
          <w:color w:val="auto"/>
          <w:sz w:val="24"/>
          <w:szCs w:val="24"/>
        </w:rPr>
        <w:t xml:space="preserve"> Argentina </w:t>
      </w:r>
      <w:r w:rsidRPr="003A1174">
        <w:rPr>
          <w:rFonts w:ascii="Garamond" w:hAnsi="Garamond" w:cs="Arial"/>
          <w:color w:val="auto"/>
          <w:sz w:val="24"/>
          <w:szCs w:val="24"/>
        </w:rPr>
        <w:t>ratific</w:t>
      </w:r>
      <w:r w:rsidR="0074243F" w:rsidRPr="003A1174">
        <w:rPr>
          <w:rFonts w:ascii="Garamond" w:hAnsi="Garamond" w:cs="Arial"/>
          <w:color w:val="auto"/>
          <w:sz w:val="24"/>
          <w:szCs w:val="24"/>
        </w:rPr>
        <w:t xml:space="preserve">ou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042808">
        <w:rPr>
          <w:rFonts w:ascii="Garamond" w:hAnsi="Garamond" w:cs="Arial"/>
          <w:color w:val="auto"/>
          <w:sz w:val="24"/>
          <w:szCs w:val="24"/>
        </w:rPr>
        <w:t>,</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a </w:t>
      </w:r>
      <w:r w:rsidRPr="003A1174">
        <w:rPr>
          <w:rFonts w:ascii="Garamond" w:hAnsi="Garamond" w:cs="Arial"/>
          <w:color w:val="auto"/>
          <w:sz w:val="24"/>
          <w:szCs w:val="24"/>
        </w:rPr>
        <w:t xml:space="preserve">5 de </w:t>
      </w:r>
      <w:r w:rsidR="00FF6A3F" w:rsidRPr="003A1174">
        <w:rPr>
          <w:rFonts w:ascii="Garamond" w:hAnsi="Garamond" w:cs="Arial"/>
          <w:color w:val="auto"/>
          <w:sz w:val="24"/>
          <w:szCs w:val="24"/>
        </w:rPr>
        <w:t>setembro</w:t>
      </w:r>
      <w:r w:rsidRPr="003A1174">
        <w:rPr>
          <w:rFonts w:ascii="Garamond" w:hAnsi="Garamond" w:cs="Arial"/>
          <w:color w:val="auto"/>
          <w:sz w:val="24"/>
          <w:szCs w:val="24"/>
        </w:rPr>
        <w:t xml:space="preserve"> de 1984 </w:t>
      </w:r>
      <w:r w:rsidR="00872E44" w:rsidRPr="003A1174">
        <w:rPr>
          <w:rFonts w:ascii="Garamond" w:hAnsi="Garamond" w:cs="Arial"/>
          <w:color w:val="auto"/>
          <w:sz w:val="24"/>
          <w:szCs w:val="24"/>
        </w:rPr>
        <w:t xml:space="preserve">(CADH) </w:t>
      </w:r>
      <w:r w:rsidR="0074243F"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aceitou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042808">
        <w:rPr>
          <w:rFonts w:ascii="Garamond" w:hAnsi="Garamond" w:cs="Arial"/>
          <w:color w:val="auto"/>
          <w:sz w:val="24"/>
          <w:szCs w:val="24"/>
        </w:rPr>
        <w:t>o</w:t>
      </w:r>
      <w:r w:rsidRPr="003A1174">
        <w:rPr>
          <w:rFonts w:ascii="Garamond" w:hAnsi="Garamond" w:cs="Arial"/>
          <w:color w:val="auto"/>
          <w:sz w:val="24"/>
          <w:szCs w:val="24"/>
        </w:rPr>
        <w:t xml:space="preserve"> </w:t>
      </w:r>
      <w:r w:rsidR="00042808">
        <w:rPr>
          <w:rFonts w:ascii="Garamond" w:hAnsi="Garamond" w:cs="Arial"/>
          <w:color w:val="auto"/>
          <w:sz w:val="24"/>
          <w:szCs w:val="24"/>
        </w:rPr>
        <w:t>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2B33D4">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042808">
        <w:rPr>
          <w:rFonts w:ascii="Garamond" w:hAnsi="Garamond" w:cs="Arial"/>
          <w:color w:val="auto"/>
          <w:sz w:val="24"/>
          <w:szCs w:val="24"/>
        </w:rPr>
        <w:t>,</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na </w:t>
      </w:r>
      <w:r w:rsidR="00524936" w:rsidRPr="003A1174">
        <w:rPr>
          <w:rFonts w:ascii="Garamond" w:hAnsi="Garamond" w:cs="Arial"/>
          <w:color w:val="auto"/>
          <w:sz w:val="24"/>
          <w:szCs w:val="24"/>
        </w:rPr>
        <w:t>mesma</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data</w:t>
      </w:r>
      <w:r w:rsidR="00042808">
        <w:rPr>
          <w:rFonts w:ascii="Garamond" w:hAnsi="Garamond" w:cs="Arial"/>
          <w:color w:val="auto"/>
          <w:sz w:val="24"/>
          <w:szCs w:val="24"/>
        </w:rPr>
        <w:t>,</w:t>
      </w:r>
      <w:r w:rsidR="00872E44" w:rsidRPr="003A1174">
        <w:rPr>
          <w:rFonts w:ascii="Garamond" w:hAnsi="Garamond" w:cs="Arial"/>
          <w:color w:val="auto"/>
          <w:sz w:val="24"/>
          <w:szCs w:val="24"/>
        </w:rPr>
        <w:t xml:space="preserve"> (</w:t>
      </w:r>
      <w:r w:rsidR="00935298">
        <w:rPr>
          <w:rFonts w:ascii="Garamond" w:hAnsi="Garamond" w:cs="Arial"/>
          <w:color w:val="auto"/>
          <w:sz w:val="24"/>
          <w:szCs w:val="24"/>
        </w:rPr>
        <w:t>Tribunal</w:t>
      </w:r>
      <w:r w:rsidR="00A73177" w:rsidRPr="003A1174">
        <w:rPr>
          <w:rFonts w:ascii="Garamond" w:hAnsi="Garamond" w:cs="Arial"/>
          <w:color w:val="auto"/>
          <w:sz w:val="24"/>
          <w:szCs w:val="24"/>
        </w:rPr>
        <w:t xml:space="preserve"> </w:t>
      </w:r>
      <w:r w:rsidR="00872E44" w:rsidRPr="003A1174">
        <w:rPr>
          <w:rFonts w:ascii="Garamond" w:hAnsi="Garamond" w:cs="Arial"/>
          <w:color w:val="auto"/>
          <w:sz w:val="24"/>
          <w:szCs w:val="24"/>
        </w:rPr>
        <w:t>IDH)</w:t>
      </w:r>
      <w:r w:rsidRPr="003A1174">
        <w:rPr>
          <w:rFonts w:ascii="Garamond" w:hAnsi="Garamond" w:cs="Arial"/>
          <w:color w:val="auto"/>
          <w:sz w:val="24"/>
          <w:szCs w:val="24"/>
        </w:rPr>
        <w:t>.</w:t>
      </w:r>
      <w:r w:rsidR="00F944FA" w:rsidRPr="003A1174">
        <w:rPr>
          <w:rFonts w:ascii="Garamond" w:hAnsi="Garamond" w:cs="Arial"/>
          <w:color w:val="auto"/>
          <w:sz w:val="24"/>
          <w:szCs w:val="24"/>
        </w:rPr>
        <w:t xml:space="preserve"> </w:t>
      </w:r>
      <w:r w:rsidR="00964BCF" w:rsidRPr="003A1174">
        <w:rPr>
          <w:rFonts w:ascii="Garamond" w:hAnsi="Garamond" w:cs="Arial"/>
          <w:color w:val="auto"/>
          <w:sz w:val="24"/>
          <w:szCs w:val="24"/>
        </w:rPr>
        <w:t>A</w:t>
      </w:r>
      <w:r w:rsidR="0074243F" w:rsidRPr="003A1174">
        <w:rPr>
          <w:rFonts w:ascii="Garamond" w:hAnsi="Garamond" w:cs="Arial"/>
          <w:color w:val="auto"/>
          <w:sz w:val="24"/>
          <w:szCs w:val="24"/>
        </w:rPr>
        <w:t>lém disso</w:t>
      </w:r>
      <w:r w:rsidR="00F944FA"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ratificou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74243F" w:rsidRPr="003A1174">
        <w:rPr>
          <w:rFonts w:ascii="Garamond" w:hAnsi="Garamond" w:cs="Arial"/>
          <w:color w:val="auto"/>
          <w:sz w:val="24"/>
          <w:szCs w:val="24"/>
        </w:rPr>
        <w:t xml:space="preserve"> sobre </w:t>
      </w:r>
      <w:r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74243F" w:rsidRPr="003A1174">
        <w:rPr>
          <w:rFonts w:ascii="Garamond" w:hAnsi="Garamond" w:cs="Arial"/>
          <w:color w:val="auto"/>
          <w:sz w:val="24"/>
          <w:szCs w:val="24"/>
        </w:rPr>
        <w:t xml:space="preserve"> de Todas </w:t>
      </w:r>
      <w:r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74243F" w:rsidRPr="003A1174">
        <w:rPr>
          <w:rFonts w:ascii="Garamond" w:hAnsi="Garamond" w:cs="Arial"/>
          <w:color w:val="auto"/>
          <w:sz w:val="24"/>
          <w:szCs w:val="24"/>
        </w:rPr>
        <w:t xml:space="preserve"> Contra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042808">
        <w:rPr>
          <w:rFonts w:ascii="Garamond" w:hAnsi="Garamond" w:cs="Arial"/>
          <w:color w:val="auto"/>
          <w:sz w:val="24"/>
          <w:szCs w:val="24"/>
        </w:rPr>
        <w:t>,</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a </w:t>
      </w:r>
      <w:r w:rsidRPr="003A1174">
        <w:rPr>
          <w:rFonts w:ascii="Garamond" w:hAnsi="Garamond" w:cs="Arial"/>
          <w:color w:val="auto"/>
          <w:sz w:val="24"/>
          <w:szCs w:val="24"/>
        </w:rPr>
        <w:t xml:space="preserve">15 de </w:t>
      </w:r>
      <w:r w:rsidR="009E3E55" w:rsidRPr="003A1174">
        <w:rPr>
          <w:rFonts w:ascii="Garamond" w:hAnsi="Garamond" w:cs="Arial"/>
          <w:color w:val="auto"/>
          <w:sz w:val="24"/>
          <w:szCs w:val="24"/>
        </w:rPr>
        <w:t>julho</w:t>
      </w:r>
      <w:r w:rsidRPr="003A1174">
        <w:rPr>
          <w:rFonts w:ascii="Garamond" w:hAnsi="Garamond" w:cs="Arial"/>
          <w:color w:val="auto"/>
          <w:sz w:val="24"/>
          <w:szCs w:val="24"/>
        </w:rPr>
        <w:t xml:space="preserve"> de 1985</w:t>
      </w:r>
      <w:r w:rsidR="00872E44" w:rsidRPr="003A1174">
        <w:rPr>
          <w:rFonts w:ascii="Garamond" w:hAnsi="Garamond" w:cs="Arial"/>
          <w:color w:val="auto"/>
          <w:sz w:val="24"/>
          <w:szCs w:val="24"/>
        </w:rPr>
        <w:t xml:space="preserve"> (CEDAW)</w:t>
      </w:r>
      <w:r w:rsidR="0074243F" w:rsidRPr="003A1174">
        <w:rPr>
          <w:rFonts w:ascii="Garamond" w:hAnsi="Garamond" w:cs="Arial"/>
          <w:color w:val="auto"/>
          <w:sz w:val="24"/>
          <w:szCs w:val="24"/>
        </w:rPr>
        <w:t>; 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referendou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Interamer</w:t>
      </w:r>
      <w:r w:rsidR="0074243F" w:rsidRPr="003A1174">
        <w:rPr>
          <w:rFonts w:ascii="Garamond" w:hAnsi="Garamond" w:cs="Arial"/>
          <w:color w:val="auto"/>
          <w:sz w:val="24"/>
          <w:szCs w:val="24"/>
        </w:rPr>
        <w:t xml:space="preserve">icana para </w:t>
      </w:r>
      <w:r w:rsidR="003F493C" w:rsidRPr="003A1174">
        <w:rPr>
          <w:rFonts w:ascii="Garamond" w:hAnsi="Garamond" w:cs="Arial"/>
          <w:color w:val="auto"/>
          <w:sz w:val="24"/>
          <w:szCs w:val="24"/>
        </w:rPr>
        <w:t>Prevenir, Punir e Erradicar</w:t>
      </w:r>
      <w:r w:rsidR="0074243F"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74243F" w:rsidRPr="003A1174">
        <w:rPr>
          <w:rFonts w:ascii="Garamond" w:hAnsi="Garamond" w:cs="Arial"/>
          <w:color w:val="auto"/>
          <w:sz w:val="24"/>
          <w:szCs w:val="24"/>
        </w:rPr>
        <w:t xml:space="preserve"> contra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6342CF" w:rsidRPr="003A1174">
        <w:rPr>
          <w:rFonts w:ascii="Garamond" w:hAnsi="Garamond" w:cs="Arial"/>
          <w:color w:val="auto"/>
          <w:sz w:val="24"/>
          <w:szCs w:val="24"/>
        </w:rPr>
        <w:t>,</w:t>
      </w:r>
      <w:r w:rsidRPr="003A1174">
        <w:rPr>
          <w:rFonts w:ascii="Garamond" w:hAnsi="Garamond" w:cs="Arial"/>
          <w:color w:val="auto"/>
          <w:sz w:val="24"/>
          <w:szCs w:val="24"/>
        </w:rPr>
        <w:t xml:space="preserve"> </w:t>
      </w:r>
      <w:r w:rsidR="002720C5">
        <w:rPr>
          <w:rFonts w:ascii="Garamond" w:hAnsi="Garamond" w:cs="Arial"/>
          <w:color w:val="auto"/>
          <w:sz w:val="24"/>
          <w:szCs w:val="24"/>
        </w:rPr>
        <w:t>«</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de </w:t>
      </w:r>
      <w:r w:rsidRPr="003A1174">
        <w:rPr>
          <w:rFonts w:ascii="Garamond" w:hAnsi="Garamond" w:cs="Arial"/>
          <w:i/>
          <w:color w:val="auto"/>
          <w:sz w:val="24"/>
          <w:szCs w:val="24"/>
        </w:rPr>
        <w:t>Belém do Pará</w:t>
      </w:r>
      <w:r w:rsidR="002720C5">
        <w:rPr>
          <w:rFonts w:ascii="Garamond" w:hAnsi="Garamond" w:cs="Arial"/>
          <w:i/>
          <w:color w:val="auto"/>
          <w:sz w:val="24"/>
          <w:szCs w:val="24"/>
        </w:rPr>
        <w:t>»</w:t>
      </w:r>
      <w:r w:rsidR="006342CF" w:rsidRPr="003A1174">
        <w:rPr>
          <w:rFonts w:ascii="Garamond" w:hAnsi="Garamond" w:cs="Arial"/>
          <w:color w:val="auto"/>
          <w:sz w:val="24"/>
          <w:szCs w:val="24"/>
        </w:rPr>
        <w:t>,</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 xml:space="preserve">a </w:t>
      </w:r>
      <w:r w:rsidRPr="003A1174">
        <w:rPr>
          <w:rFonts w:ascii="Garamond" w:hAnsi="Garamond" w:cs="Arial"/>
          <w:color w:val="auto"/>
          <w:sz w:val="24"/>
          <w:szCs w:val="24"/>
        </w:rPr>
        <w:t xml:space="preserve">5 de </w:t>
      </w:r>
      <w:r w:rsidR="009E3E55" w:rsidRPr="003A1174">
        <w:rPr>
          <w:rFonts w:ascii="Garamond" w:hAnsi="Garamond" w:cs="Arial"/>
          <w:color w:val="auto"/>
          <w:sz w:val="24"/>
          <w:szCs w:val="24"/>
        </w:rPr>
        <w:t>julho</w:t>
      </w:r>
      <w:r w:rsidRPr="003A1174">
        <w:rPr>
          <w:rFonts w:ascii="Garamond" w:hAnsi="Garamond" w:cs="Arial"/>
          <w:color w:val="auto"/>
          <w:sz w:val="24"/>
          <w:szCs w:val="24"/>
        </w:rPr>
        <w:t xml:space="preserve"> de 1996.</w:t>
      </w:r>
    </w:p>
    <w:p w:rsidR="00220335" w:rsidRPr="003A1174" w:rsidRDefault="00220335" w:rsidP="008719D4">
      <w:pPr>
        <w:pStyle w:val="Prrafodelista1"/>
        <w:spacing w:after="0" w:line="240" w:lineRule="auto"/>
        <w:jc w:val="both"/>
        <w:rPr>
          <w:rFonts w:ascii="Garamond" w:hAnsi="Garamond" w:cs="Arial"/>
          <w:color w:val="auto"/>
          <w:sz w:val="24"/>
          <w:szCs w:val="24"/>
        </w:rPr>
      </w:pPr>
    </w:p>
    <w:p w:rsidR="00CA39B2" w:rsidRPr="003A1174" w:rsidRDefault="00B14AA6" w:rsidP="008719D4">
      <w:pPr>
        <w:pStyle w:val="Prrafodelista"/>
        <w:numPr>
          <w:ilvl w:val="0"/>
          <w:numId w:val="13"/>
        </w:numPr>
        <w:spacing w:line="240" w:lineRule="auto"/>
        <w:jc w:val="both"/>
        <w:rPr>
          <w:rFonts w:ascii="Garamond" w:hAnsi="Garamond" w:cs="Arial"/>
          <w:b/>
          <w:color w:val="auto"/>
          <w:sz w:val="24"/>
          <w:szCs w:val="24"/>
        </w:rPr>
      </w:pPr>
      <w:r w:rsidRPr="003A1174">
        <w:rPr>
          <w:rFonts w:ascii="Garamond" w:hAnsi="Garamond" w:cs="Arial"/>
          <w:b/>
          <w:color w:val="auto"/>
          <w:sz w:val="24"/>
          <w:szCs w:val="24"/>
          <w:lang w:val="pt-PT"/>
        </w:rPr>
        <w:t>Disposições</w:t>
      </w:r>
      <w:r w:rsidR="002A6677" w:rsidRPr="003A1174">
        <w:rPr>
          <w:rFonts w:ascii="Garamond" w:hAnsi="Garamond" w:cs="Arial"/>
          <w:b/>
          <w:color w:val="auto"/>
          <w:sz w:val="24"/>
          <w:szCs w:val="24"/>
          <w:lang w:val="pt-PT"/>
        </w:rPr>
        <w:t xml:space="preserve"> </w:t>
      </w:r>
      <w:r w:rsidR="002D1021" w:rsidRPr="003A1174">
        <w:rPr>
          <w:rFonts w:ascii="Garamond" w:hAnsi="Garamond" w:cs="Arial"/>
          <w:b/>
          <w:color w:val="auto"/>
          <w:sz w:val="24"/>
          <w:szCs w:val="24"/>
          <w:lang w:val="pt-PT"/>
        </w:rPr>
        <w:t>legais</w:t>
      </w:r>
      <w:r w:rsidR="002A6677" w:rsidRPr="003A1174">
        <w:rPr>
          <w:rFonts w:ascii="Garamond" w:hAnsi="Garamond" w:cs="Arial"/>
          <w:b/>
          <w:color w:val="auto"/>
          <w:sz w:val="24"/>
          <w:szCs w:val="24"/>
        </w:rPr>
        <w:tab/>
      </w:r>
    </w:p>
    <w:p w:rsidR="00CA39B2" w:rsidRPr="003A1174" w:rsidRDefault="0074243F" w:rsidP="008612FC">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I</w:t>
      </w:r>
      <w:r w:rsidR="00CA39B2" w:rsidRPr="003A1174">
        <w:rPr>
          <w:rFonts w:ascii="Garamond" w:hAnsi="Garamond" w:cs="Arial"/>
          <w:color w:val="auto"/>
          <w:sz w:val="24"/>
          <w:szCs w:val="24"/>
        </w:rPr>
        <w:t>nforma</w:t>
      </w:r>
      <w:r w:rsidRPr="003A1174">
        <w:rPr>
          <w:rFonts w:ascii="Garamond" w:hAnsi="Garamond" w:cs="Arial"/>
          <w:color w:val="auto"/>
          <w:sz w:val="24"/>
          <w:szCs w:val="24"/>
        </w:rPr>
        <w:t>-se</w:t>
      </w:r>
      <w:r w:rsidR="00CA39B2" w:rsidRPr="003A1174">
        <w:rPr>
          <w:rFonts w:ascii="Garamond" w:hAnsi="Garamond" w:cs="Arial"/>
          <w:color w:val="auto"/>
          <w:sz w:val="24"/>
          <w:szCs w:val="24"/>
        </w:rPr>
        <w:t xml:space="preserve"> que durante </w:t>
      </w:r>
      <w:r w:rsidRPr="003A1174">
        <w:rPr>
          <w:rFonts w:ascii="Garamond" w:hAnsi="Garamond" w:cs="Arial"/>
          <w:color w:val="auto"/>
          <w:sz w:val="24"/>
          <w:szCs w:val="24"/>
        </w:rPr>
        <w:t>o período analis</w:t>
      </w:r>
      <w:r w:rsidR="00CA39B2" w:rsidRPr="003A1174">
        <w:rPr>
          <w:rFonts w:ascii="Garamond" w:hAnsi="Garamond" w:cs="Arial"/>
          <w:color w:val="auto"/>
          <w:sz w:val="24"/>
          <w:szCs w:val="24"/>
        </w:rPr>
        <w:t>ado n</w:t>
      </w:r>
      <w:r w:rsidRPr="003A1174">
        <w:rPr>
          <w:rFonts w:ascii="Garamond" w:hAnsi="Garamond" w:cs="Arial"/>
          <w:color w:val="auto"/>
          <w:sz w:val="24"/>
          <w:szCs w:val="24"/>
        </w:rPr>
        <w:t>ã</w:t>
      </w:r>
      <w:r w:rsidR="00CA39B2" w:rsidRPr="003A1174">
        <w:rPr>
          <w:rFonts w:ascii="Garamond" w:hAnsi="Garamond" w:cs="Arial"/>
          <w:color w:val="auto"/>
          <w:sz w:val="24"/>
          <w:szCs w:val="24"/>
        </w:rPr>
        <w:t>o h</w:t>
      </w:r>
      <w:r w:rsidRPr="003A1174">
        <w:rPr>
          <w:rFonts w:ascii="Garamond" w:hAnsi="Garamond" w:cs="Arial"/>
          <w:color w:val="auto"/>
          <w:sz w:val="24"/>
          <w:szCs w:val="24"/>
        </w:rPr>
        <w:t xml:space="preserve">ouve novas </w:t>
      </w:r>
      <w:r w:rsidR="00CA39B2" w:rsidRPr="003A1174">
        <w:rPr>
          <w:rFonts w:ascii="Garamond" w:hAnsi="Garamond" w:cs="Arial"/>
          <w:color w:val="auto"/>
          <w:sz w:val="24"/>
          <w:szCs w:val="24"/>
        </w:rPr>
        <w:t>norma</w:t>
      </w:r>
      <w:r w:rsidRPr="003A1174">
        <w:rPr>
          <w:rFonts w:ascii="Garamond" w:hAnsi="Garamond" w:cs="Arial"/>
          <w:color w:val="auto"/>
          <w:sz w:val="24"/>
          <w:szCs w:val="24"/>
        </w:rPr>
        <w:t>s n</w:t>
      </w:r>
      <w:r w:rsidR="00CA39B2" w:rsidRPr="003A1174">
        <w:rPr>
          <w:rFonts w:ascii="Garamond" w:hAnsi="Garamond" w:cs="Arial"/>
          <w:color w:val="auto"/>
          <w:sz w:val="24"/>
          <w:szCs w:val="24"/>
        </w:rPr>
        <w:t xml:space="preserve">a </w:t>
      </w:r>
      <w:r w:rsidR="00EF645F" w:rsidRPr="003A1174">
        <w:rPr>
          <w:rFonts w:ascii="Garamond" w:hAnsi="Garamond" w:cs="Arial"/>
          <w:color w:val="auto"/>
          <w:sz w:val="24"/>
          <w:szCs w:val="24"/>
        </w:rPr>
        <w:t>matéria</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mas</w:t>
      </w:r>
      <w:r w:rsidR="007A3375" w:rsidRPr="003A1174">
        <w:rPr>
          <w:rFonts w:ascii="Garamond" w:hAnsi="Garamond" w:cs="Arial"/>
          <w:color w:val="auto"/>
          <w:sz w:val="24"/>
          <w:szCs w:val="24"/>
        </w:rPr>
        <w:t xml:space="preserve"> no entanto, avançou-se na elaboração e</w:t>
      </w:r>
      <w:r w:rsidR="00CA39B2" w:rsidRPr="003A1174">
        <w:rPr>
          <w:rFonts w:ascii="Garamond" w:hAnsi="Garamond" w:cs="Arial"/>
          <w:color w:val="auto"/>
          <w:sz w:val="24"/>
          <w:szCs w:val="24"/>
        </w:rPr>
        <w:t xml:space="preserve"> </w:t>
      </w:r>
      <w:r w:rsidR="005D38DC" w:rsidRPr="003A1174">
        <w:rPr>
          <w:rFonts w:ascii="Garamond" w:hAnsi="Garamond" w:cs="Arial"/>
          <w:color w:val="auto"/>
          <w:sz w:val="24"/>
          <w:szCs w:val="24"/>
        </w:rPr>
        <w:t>apresentação</w:t>
      </w:r>
      <w:r w:rsidR="00CA39B2" w:rsidRPr="003A1174">
        <w:rPr>
          <w:rFonts w:ascii="Garamond" w:hAnsi="Garamond" w:cs="Arial"/>
          <w:color w:val="auto"/>
          <w:sz w:val="24"/>
          <w:szCs w:val="24"/>
        </w:rPr>
        <w:t xml:space="preserve"> de importantes </w:t>
      </w:r>
      <w:r w:rsidR="00C30647" w:rsidRPr="003A1174">
        <w:rPr>
          <w:rFonts w:ascii="Garamond" w:hAnsi="Garamond" w:cs="Arial"/>
          <w:color w:val="auto"/>
          <w:sz w:val="24"/>
          <w:szCs w:val="24"/>
        </w:rPr>
        <w:t>projeto</w:t>
      </w:r>
      <w:r w:rsidR="00CA39B2" w:rsidRPr="003A1174">
        <w:rPr>
          <w:rFonts w:ascii="Garamond" w:hAnsi="Garamond" w:cs="Arial"/>
          <w:color w:val="auto"/>
          <w:sz w:val="24"/>
          <w:szCs w:val="24"/>
        </w:rPr>
        <w:t xml:space="preserve">s de </w:t>
      </w:r>
      <w:r w:rsidR="00D15AFF" w:rsidRPr="003A1174">
        <w:rPr>
          <w:rFonts w:ascii="Garamond" w:hAnsi="Garamond" w:cs="Arial"/>
          <w:color w:val="auto"/>
          <w:sz w:val="24"/>
          <w:szCs w:val="24"/>
        </w:rPr>
        <w:t>lei</w:t>
      </w:r>
      <w:r w:rsidR="00CA39B2" w:rsidRPr="003A1174">
        <w:rPr>
          <w:rFonts w:ascii="Garamond" w:hAnsi="Garamond" w:cs="Arial"/>
          <w:color w:val="auto"/>
          <w:sz w:val="24"/>
          <w:szCs w:val="24"/>
        </w:rPr>
        <w:t xml:space="preserve"> </w:t>
      </w:r>
      <w:r w:rsidR="007A3375" w:rsidRPr="003A1174">
        <w:rPr>
          <w:rFonts w:ascii="Garamond" w:hAnsi="Garamond" w:cs="Arial"/>
          <w:color w:val="auto"/>
          <w:sz w:val="24"/>
          <w:szCs w:val="24"/>
        </w:rPr>
        <w:t>per</w:t>
      </w:r>
      <w:r w:rsidR="00CA39B2" w:rsidRPr="003A1174">
        <w:rPr>
          <w:rFonts w:ascii="Garamond" w:hAnsi="Garamond" w:cs="Arial"/>
          <w:color w:val="auto"/>
          <w:sz w:val="24"/>
          <w:szCs w:val="24"/>
        </w:rPr>
        <w:t xml:space="preserve">ante </w:t>
      </w:r>
      <w:r w:rsidR="007A3375" w:rsidRPr="003A1174">
        <w:rPr>
          <w:rFonts w:ascii="Garamond" w:hAnsi="Garamond" w:cs="Arial"/>
          <w:color w:val="auto"/>
          <w:sz w:val="24"/>
          <w:szCs w:val="24"/>
        </w:rPr>
        <w:t xml:space="preserve">o </w:t>
      </w:r>
      <w:r w:rsidR="003F012B" w:rsidRPr="003A1174">
        <w:rPr>
          <w:rFonts w:ascii="Garamond" w:hAnsi="Garamond" w:cs="Arial"/>
          <w:color w:val="auto"/>
          <w:sz w:val="24"/>
          <w:szCs w:val="24"/>
        </w:rPr>
        <w:t>Congresso</w:t>
      </w:r>
      <w:r w:rsidR="007A3375" w:rsidRPr="003A1174">
        <w:rPr>
          <w:rFonts w:ascii="Garamond" w:hAnsi="Garamond" w:cs="Arial"/>
          <w:color w:val="auto"/>
          <w:sz w:val="24"/>
          <w:szCs w:val="24"/>
        </w:rPr>
        <w:t xml:space="preserve"> d</w:t>
      </w:r>
      <w:r w:rsidR="00F944FA" w:rsidRPr="003A1174">
        <w:rPr>
          <w:rFonts w:ascii="Garamond" w:hAnsi="Garamond" w:cs="Arial"/>
          <w:color w:val="auto"/>
          <w:sz w:val="24"/>
          <w:szCs w:val="24"/>
        </w:rPr>
        <w:t>a Na</w:t>
      </w:r>
      <w:r w:rsidR="007A3375" w:rsidRPr="003A1174">
        <w:rPr>
          <w:rFonts w:ascii="Garamond" w:hAnsi="Garamond" w:cs="Arial"/>
          <w:color w:val="auto"/>
          <w:sz w:val="24"/>
          <w:szCs w:val="24"/>
        </w:rPr>
        <w:t xml:space="preserve">ção </w:t>
      </w:r>
      <w:r w:rsidR="00F944FA" w:rsidRPr="003A1174">
        <w:rPr>
          <w:rFonts w:ascii="Garamond" w:hAnsi="Garamond" w:cs="Arial"/>
          <w:color w:val="auto"/>
          <w:sz w:val="24"/>
          <w:szCs w:val="24"/>
        </w:rPr>
        <w:t>de Argentina.</w:t>
      </w:r>
      <w:r w:rsidR="00CA39B2" w:rsidRPr="003A1174">
        <w:rPr>
          <w:rFonts w:ascii="Garamond" w:hAnsi="Garamond" w:cs="Arial"/>
          <w:color w:val="auto"/>
          <w:sz w:val="24"/>
          <w:szCs w:val="24"/>
        </w:rPr>
        <w:t xml:space="preserve"> U</w:t>
      </w:r>
      <w:r w:rsidR="007A3375" w:rsidRPr="003A1174">
        <w:rPr>
          <w:rFonts w:ascii="Garamond" w:hAnsi="Garamond" w:cs="Arial"/>
          <w:color w:val="auto"/>
          <w:sz w:val="24"/>
          <w:szCs w:val="24"/>
        </w:rPr>
        <w:t>m deles impediri</w:t>
      </w:r>
      <w:r w:rsidR="00CA39B2" w:rsidRPr="003A1174">
        <w:rPr>
          <w:rFonts w:ascii="Garamond" w:hAnsi="Garamond" w:cs="Arial"/>
          <w:color w:val="auto"/>
          <w:sz w:val="24"/>
          <w:szCs w:val="24"/>
        </w:rPr>
        <w:t xml:space="preserve">a que </w:t>
      </w:r>
      <w:r w:rsidR="007A3375" w:rsidRPr="003A1174">
        <w:rPr>
          <w:rFonts w:ascii="Garamond" w:hAnsi="Garamond" w:cs="Arial"/>
          <w:color w:val="auto"/>
          <w:sz w:val="24"/>
          <w:szCs w:val="24"/>
        </w:rPr>
        <w:t>n</w:t>
      </w:r>
      <w:r w:rsidR="00CA39B2" w:rsidRPr="003A1174">
        <w:rPr>
          <w:rFonts w:ascii="Garamond" w:hAnsi="Garamond" w:cs="Arial"/>
          <w:color w:val="auto"/>
          <w:sz w:val="24"/>
          <w:szCs w:val="24"/>
        </w:rPr>
        <w:t xml:space="preserve">os casos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de género se suspend</w:t>
      </w:r>
      <w:r w:rsidR="007A3375" w:rsidRPr="003A1174">
        <w:rPr>
          <w:rFonts w:ascii="Garamond" w:hAnsi="Garamond" w:cs="Arial"/>
          <w:color w:val="auto"/>
          <w:sz w:val="24"/>
          <w:szCs w:val="24"/>
        </w:rPr>
        <w:t>esse o julgamento</w:t>
      </w:r>
      <w:r w:rsidR="00CA39B2" w:rsidRPr="003A1174">
        <w:rPr>
          <w:rFonts w:ascii="Garamond" w:hAnsi="Garamond" w:cs="Arial"/>
          <w:color w:val="auto"/>
          <w:sz w:val="24"/>
          <w:szCs w:val="24"/>
        </w:rPr>
        <w:t xml:space="preserve"> oral </w:t>
      </w:r>
      <w:r w:rsidR="00CC4267" w:rsidRPr="003A1174">
        <w:rPr>
          <w:rFonts w:ascii="Garamond" w:hAnsi="Garamond" w:cs="Arial"/>
          <w:color w:val="auto"/>
          <w:sz w:val="24"/>
          <w:szCs w:val="24"/>
        </w:rPr>
        <w:t>devido a uma vi</w:t>
      </w:r>
      <w:r w:rsidR="00CA39B2" w:rsidRPr="003A1174">
        <w:rPr>
          <w:rFonts w:ascii="Garamond" w:hAnsi="Garamond" w:cs="Arial"/>
          <w:color w:val="auto"/>
          <w:sz w:val="24"/>
          <w:szCs w:val="24"/>
        </w:rPr>
        <w:t xml:space="preserve">a de </w:t>
      </w:r>
      <w:r w:rsidR="0005622E" w:rsidRPr="003A1174">
        <w:rPr>
          <w:rFonts w:ascii="Garamond" w:hAnsi="Garamond" w:cs="Arial"/>
          <w:color w:val="auto"/>
          <w:sz w:val="24"/>
          <w:szCs w:val="24"/>
        </w:rPr>
        <w:t>ressarcimento</w:t>
      </w:r>
      <w:r w:rsidR="00CA39B2" w:rsidRPr="003A1174">
        <w:rPr>
          <w:rFonts w:ascii="Garamond" w:hAnsi="Garamond" w:cs="Arial"/>
          <w:color w:val="auto"/>
          <w:sz w:val="24"/>
          <w:szCs w:val="24"/>
        </w:rPr>
        <w:t xml:space="preserve"> por parte d</w:t>
      </w:r>
      <w:r w:rsidR="00CC4267" w:rsidRPr="003A1174">
        <w:rPr>
          <w:rFonts w:ascii="Garamond" w:hAnsi="Garamond" w:cs="Arial"/>
          <w:color w:val="auto"/>
          <w:sz w:val="24"/>
          <w:szCs w:val="24"/>
        </w:rPr>
        <w:t>o</w:t>
      </w:r>
      <w:r w:rsidR="00CA39B2" w:rsidRPr="003A1174">
        <w:rPr>
          <w:rFonts w:ascii="Garamond" w:hAnsi="Garamond" w:cs="Arial"/>
          <w:color w:val="auto"/>
          <w:sz w:val="24"/>
          <w:szCs w:val="24"/>
        </w:rPr>
        <w:t xml:space="preserve"> imputado </w:t>
      </w:r>
      <w:r w:rsidR="00232204">
        <w:rPr>
          <w:rFonts w:ascii="Garamond" w:hAnsi="Garamond" w:cs="Arial"/>
          <w:color w:val="auto"/>
          <w:sz w:val="24"/>
          <w:szCs w:val="24"/>
        </w:rPr>
        <w:t>-</w:t>
      </w:r>
      <w:r w:rsidR="00CC4267" w:rsidRPr="003A1174">
        <w:rPr>
          <w:rFonts w:ascii="Garamond" w:hAnsi="Garamond" w:cs="Arial"/>
          <w:color w:val="auto"/>
          <w:sz w:val="24"/>
          <w:szCs w:val="24"/>
        </w:rPr>
        <w:t xml:space="preserve"> </w:t>
      </w:r>
      <w:r w:rsidR="00CA39B2" w:rsidRPr="003A1174">
        <w:rPr>
          <w:rFonts w:ascii="Garamond" w:hAnsi="Garamond" w:cs="Arial"/>
          <w:color w:val="auto"/>
          <w:sz w:val="24"/>
          <w:szCs w:val="24"/>
        </w:rPr>
        <w:t>considerada como u</w:t>
      </w:r>
      <w:r w:rsidR="00CC4267" w:rsidRPr="003A1174">
        <w:rPr>
          <w:rFonts w:ascii="Garamond" w:hAnsi="Garamond" w:cs="Arial"/>
          <w:color w:val="auto"/>
          <w:sz w:val="24"/>
          <w:szCs w:val="24"/>
        </w:rPr>
        <w:t>m benefício para e</w:t>
      </w:r>
      <w:r w:rsidR="00CA39B2" w:rsidRPr="003A1174">
        <w:rPr>
          <w:rFonts w:ascii="Garamond" w:hAnsi="Garamond" w:cs="Arial"/>
          <w:color w:val="auto"/>
          <w:sz w:val="24"/>
          <w:szCs w:val="24"/>
        </w:rPr>
        <w:t>ste</w:t>
      </w:r>
      <w:r w:rsidR="00CC4267" w:rsidRPr="003A1174">
        <w:rPr>
          <w:rFonts w:ascii="Garamond" w:hAnsi="Garamond" w:cs="Arial"/>
          <w:color w:val="auto"/>
          <w:sz w:val="24"/>
          <w:szCs w:val="24"/>
        </w:rPr>
        <w:t xml:space="preserve"> </w:t>
      </w:r>
      <w:r w:rsidR="00232204">
        <w:rPr>
          <w:rFonts w:ascii="Garamond" w:hAnsi="Garamond" w:cs="Arial"/>
          <w:color w:val="auto"/>
          <w:sz w:val="24"/>
          <w:szCs w:val="24"/>
        </w:rPr>
        <w:t>-</w:t>
      </w:r>
      <w:r w:rsidR="00CA39B2" w:rsidRPr="003A1174">
        <w:rPr>
          <w:rFonts w:ascii="Garamond" w:hAnsi="Garamond" w:cs="Arial"/>
          <w:color w:val="auto"/>
          <w:sz w:val="24"/>
          <w:szCs w:val="24"/>
        </w:rPr>
        <w:t xml:space="preserve">, </w:t>
      </w:r>
      <w:r w:rsidR="00CC4267" w:rsidRPr="003A1174">
        <w:rPr>
          <w:rFonts w:ascii="Garamond" w:hAnsi="Garamond" w:cs="Arial"/>
          <w:color w:val="auto"/>
          <w:sz w:val="24"/>
          <w:szCs w:val="24"/>
        </w:rPr>
        <w:t>conhecido</w:t>
      </w:r>
      <w:r w:rsidR="00CA39B2" w:rsidRPr="003A1174">
        <w:rPr>
          <w:rFonts w:ascii="Garamond" w:hAnsi="Garamond" w:cs="Arial"/>
          <w:color w:val="auto"/>
          <w:sz w:val="24"/>
          <w:szCs w:val="24"/>
        </w:rPr>
        <w:t xml:space="preserve"> como </w:t>
      </w:r>
      <w:r w:rsidR="002720C5">
        <w:rPr>
          <w:rFonts w:ascii="Garamond" w:hAnsi="Garamond" w:cs="Arial"/>
          <w:color w:val="auto"/>
          <w:sz w:val="24"/>
          <w:szCs w:val="24"/>
        </w:rPr>
        <w:t>«</w:t>
      </w:r>
      <w:r w:rsidR="00CA39B2" w:rsidRPr="003A1174">
        <w:rPr>
          <w:rFonts w:ascii="Garamond" w:hAnsi="Garamond" w:cs="Arial"/>
          <w:i/>
          <w:color w:val="auto"/>
          <w:sz w:val="24"/>
          <w:szCs w:val="24"/>
        </w:rPr>
        <w:t>probatio</w:t>
      </w:r>
      <w:r w:rsidR="00846ACE" w:rsidRPr="003A1174">
        <w:rPr>
          <w:rFonts w:ascii="Garamond" w:hAnsi="Garamond" w:cs="Arial"/>
          <w:i/>
          <w:color w:val="auto"/>
          <w:sz w:val="24"/>
          <w:szCs w:val="24"/>
        </w:rPr>
        <w:t>n</w:t>
      </w:r>
      <w:r w:rsidR="002720C5">
        <w:rPr>
          <w:rFonts w:ascii="Garamond" w:hAnsi="Garamond" w:cs="Arial"/>
          <w:i/>
          <w:color w:val="auto"/>
          <w:sz w:val="24"/>
          <w:szCs w:val="24"/>
        </w:rPr>
        <w:t>»</w:t>
      </w:r>
      <w:r w:rsidR="00CA39B2" w:rsidRPr="003A1174">
        <w:rPr>
          <w:rStyle w:val="Refdenotaalpie"/>
          <w:rFonts w:ascii="Garamond" w:hAnsi="Garamond" w:cs="Arial"/>
          <w:color w:val="auto"/>
          <w:sz w:val="24"/>
          <w:szCs w:val="24"/>
        </w:rPr>
        <w:footnoteReference w:id="55"/>
      </w:r>
      <w:r w:rsidR="00F944FA" w:rsidRPr="003A1174">
        <w:rPr>
          <w:rFonts w:ascii="Garamond" w:hAnsi="Garamond" w:cs="Arial"/>
          <w:color w:val="auto"/>
          <w:sz w:val="24"/>
          <w:szCs w:val="24"/>
        </w:rPr>
        <w:t xml:space="preserve"> Esta prop</w:t>
      </w:r>
      <w:r w:rsidR="00CC4267" w:rsidRPr="003A1174">
        <w:rPr>
          <w:rFonts w:ascii="Garamond" w:hAnsi="Garamond" w:cs="Arial"/>
          <w:color w:val="auto"/>
          <w:sz w:val="24"/>
          <w:szCs w:val="24"/>
        </w:rPr>
        <w:t>o</w:t>
      </w:r>
      <w:r w:rsidR="00F944FA" w:rsidRPr="003A1174">
        <w:rPr>
          <w:rFonts w:ascii="Garamond" w:hAnsi="Garamond" w:cs="Arial"/>
          <w:color w:val="auto"/>
          <w:sz w:val="24"/>
          <w:szCs w:val="24"/>
        </w:rPr>
        <w:t xml:space="preserve">sta de </w:t>
      </w:r>
      <w:r w:rsidR="00CC4267" w:rsidRPr="003A1174">
        <w:rPr>
          <w:rFonts w:ascii="Garamond" w:hAnsi="Garamond" w:cs="Arial"/>
          <w:color w:val="auto"/>
          <w:sz w:val="24"/>
          <w:szCs w:val="24"/>
        </w:rPr>
        <w:t xml:space="preserve">alteração </w:t>
      </w:r>
      <w:r w:rsidR="00F944FA" w:rsidRPr="003A1174">
        <w:rPr>
          <w:rFonts w:ascii="Garamond" w:hAnsi="Garamond" w:cs="Arial"/>
          <w:color w:val="auto"/>
          <w:sz w:val="24"/>
          <w:szCs w:val="24"/>
        </w:rPr>
        <w:t>normativ</w:t>
      </w:r>
      <w:r w:rsidR="00CC4267" w:rsidRPr="003A1174">
        <w:rPr>
          <w:rFonts w:ascii="Garamond" w:hAnsi="Garamond" w:cs="Arial"/>
          <w:color w:val="auto"/>
          <w:sz w:val="24"/>
          <w:szCs w:val="24"/>
        </w:rPr>
        <w:t xml:space="preserve">a dá-se </w:t>
      </w:r>
      <w:r w:rsidR="00F944FA" w:rsidRPr="003A1174">
        <w:rPr>
          <w:rFonts w:ascii="Garamond" w:hAnsi="Garamond" w:cs="Arial"/>
          <w:color w:val="auto"/>
          <w:sz w:val="24"/>
          <w:szCs w:val="24"/>
        </w:rPr>
        <w:t xml:space="preserve">porque </w:t>
      </w:r>
      <w:r w:rsidR="00FB09CA" w:rsidRPr="003A1174">
        <w:rPr>
          <w:rFonts w:ascii="Garamond" w:hAnsi="Garamond" w:cs="Arial"/>
          <w:color w:val="auto"/>
          <w:sz w:val="24"/>
          <w:szCs w:val="24"/>
        </w:rPr>
        <w:t>atual</w:t>
      </w:r>
      <w:r w:rsidR="00F944FA" w:rsidRPr="003A1174">
        <w:rPr>
          <w:rFonts w:ascii="Garamond" w:hAnsi="Garamond" w:cs="Arial"/>
          <w:color w:val="auto"/>
          <w:sz w:val="24"/>
          <w:szCs w:val="24"/>
        </w:rPr>
        <w:t xml:space="preserve">mente </w:t>
      </w:r>
      <w:r w:rsidR="00CC4267" w:rsidRPr="007B3401">
        <w:rPr>
          <w:rFonts w:ascii="Garamond" w:hAnsi="Garamond" w:cs="Arial"/>
          <w:color w:val="auto"/>
          <w:sz w:val="24"/>
          <w:szCs w:val="24"/>
        </w:rPr>
        <w:t>o</w:t>
      </w:r>
      <w:r w:rsidR="00F944FA" w:rsidRPr="007B3401">
        <w:rPr>
          <w:rFonts w:ascii="Garamond" w:hAnsi="Garamond" w:cs="Arial"/>
          <w:color w:val="auto"/>
          <w:sz w:val="24"/>
          <w:szCs w:val="24"/>
        </w:rPr>
        <w:t xml:space="preserve"> </w:t>
      </w:r>
      <w:r w:rsidR="00383B3F" w:rsidRPr="007B3401">
        <w:rPr>
          <w:rFonts w:ascii="Garamond" w:hAnsi="Garamond" w:cs="Arial"/>
          <w:color w:val="auto"/>
          <w:sz w:val="24"/>
          <w:szCs w:val="24"/>
        </w:rPr>
        <w:t>Art.</w:t>
      </w:r>
      <w:r w:rsidR="00CA39B2" w:rsidRPr="007B3401">
        <w:rPr>
          <w:rFonts w:ascii="Garamond" w:hAnsi="Garamond" w:cs="Arial"/>
          <w:color w:val="auto"/>
          <w:sz w:val="24"/>
          <w:szCs w:val="24"/>
        </w:rPr>
        <w:t xml:space="preserve"> 76bis</w:t>
      </w:r>
      <w:r w:rsidR="00CA39B2" w:rsidRPr="003A1174">
        <w:rPr>
          <w:rFonts w:ascii="Garamond" w:hAnsi="Garamond" w:cs="Arial"/>
          <w:color w:val="auto"/>
          <w:sz w:val="24"/>
          <w:szCs w:val="24"/>
        </w:rPr>
        <w:t xml:space="preserve"> d</w:t>
      </w:r>
      <w:r w:rsidR="00CC4267" w:rsidRPr="003A1174">
        <w:rPr>
          <w:rFonts w:ascii="Garamond" w:hAnsi="Garamond" w:cs="Arial"/>
          <w:color w:val="auto"/>
          <w:sz w:val="24"/>
          <w:szCs w:val="24"/>
        </w:rPr>
        <w:t>o</w:t>
      </w:r>
      <w:r w:rsidR="00CA39B2" w:rsidRPr="003A1174">
        <w:rPr>
          <w:rFonts w:ascii="Garamond" w:hAnsi="Garamond" w:cs="Arial"/>
          <w:color w:val="auto"/>
          <w:sz w:val="24"/>
          <w:szCs w:val="24"/>
        </w:rPr>
        <w:t xml:space="preserve"> Código Penal </w:t>
      </w:r>
      <w:r w:rsidR="00152A44" w:rsidRPr="003A1174">
        <w:rPr>
          <w:rFonts w:ascii="Garamond" w:hAnsi="Garamond" w:cs="Arial"/>
          <w:color w:val="auto"/>
          <w:sz w:val="24"/>
          <w:szCs w:val="24"/>
        </w:rPr>
        <w:t>estabelece</w:t>
      </w:r>
      <w:r w:rsidR="00CA39B2" w:rsidRPr="003A1174">
        <w:rPr>
          <w:rFonts w:ascii="Garamond" w:hAnsi="Garamond" w:cs="Arial"/>
          <w:color w:val="auto"/>
          <w:sz w:val="24"/>
          <w:szCs w:val="24"/>
        </w:rPr>
        <w:t xml:space="preserve"> que </w:t>
      </w:r>
      <w:r w:rsidR="00CC4267" w:rsidRPr="003A1174">
        <w:rPr>
          <w:rFonts w:ascii="Garamond" w:hAnsi="Garamond" w:cs="Arial"/>
          <w:color w:val="auto"/>
          <w:sz w:val="24"/>
          <w:szCs w:val="24"/>
        </w:rPr>
        <w:t>o</w:t>
      </w:r>
      <w:r w:rsidR="00CA39B2" w:rsidRPr="003A1174">
        <w:rPr>
          <w:rFonts w:ascii="Garamond" w:hAnsi="Garamond" w:cs="Arial"/>
          <w:color w:val="auto"/>
          <w:sz w:val="24"/>
          <w:szCs w:val="24"/>
        </w:rPr>
        <w:t xml:space="preserve"> imputado p</w:t>
      </w:r>
      <w:r w:rsidR="00CC4267" w:rsidRPr="003A1174">
        <w:rPr>
          <w:rFonts w:ascii="Garamond" w:hAnsi="Garamond" w:cs="Arial"/>
          <w:color w:val="auto"/>
          <w:sz w:val="24"/>
          <w:szCs w:val="24"/>
        </w:rPr>
        <w:t xml:space="preserve">ode propor responsabilizar-se pela </w:t>
      </w:r>
      <w:r w:rsidR="00AE3F78" w:rsidRPr="003A1174">
        <w:rPr>
          <w:rFonts w:ascii="Garamond" w:hAnsi="Garamond" w:cs="Arial"/>
          <w:color w:val="auto"/>
          <w:sz w:val="24"/>
          <w:szCs w:val="24"/>
        </w:rPr>
        <w:t>compensação</w:t>
      </w:r>
      <w:r w:rsidR="00CA39B2" w:rsidRPr="003A1174">
        <w:rPr>
          <w:rFonts w:ascii="Garamond" w:hAnsi="Garamond" w:cs="Arial"/>
          <w:color w:val="auto"/>
          <w:sz w:val="24"/>
          <w:szCs w:val="24"/>
        </w:rPr>
        <w:t xml:space="preserve"> d</w:t>
      </w:r>
      <w:r w:rsidR="00CC4267" w:rsidRPr="003A1174">
        <w:rPr>
          <w:rFonts w:ascii="Garamond" w:hAnsi="Garamond" w:cs="Arial"/>
          <w:color w:val="auto"/>
          <w:sz w:val="24"/>
          <w:szCs w:val="24"/>
        </w:rPr>
        <w:t>o</w:t>
      </w:r>
      <w:r w:rsidR="00CA39B2" w:rsidRPr="003A1174">
        <w:rPr>
          <w:rFonts w:ascii="Garamond" w:hAnsi="Garamond" w:cs="Arial"/>
          <w:color w:val="auto"/>
          <w:sz w:val="24"/>
          <w:szCs w:val="24"/>
        </w:rPr>
        <w:t xml:space="preserve"> d</w:t>
      </w:r>
      <w:r w:rsidR="002C7510" w:rsidRPr="003A1174">
        <w:rPr>
          <w:rFonts w:ascii="Garamond" w:hAnsi="Garamond" w:cs="Arial"/>
          <w:color w:val="auto"/>
          <w:sz w:val="24"/>
          <w:szCs w:val="24"/>
        </w:rPr>
        <w:t>ano</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 xml:space="preserve">e o </w:t>
      </w:r>
      <w:r w:rsidR="00253B1D" w:rsidRPr="003A1174">
        <w:rPr>
          <w:rFonts w:ascii="Garamond" w:hAnsi="Garamond" w:cs="Arial"/>
          <w:color w:val="auto"/>
          <w:sz w:val="24"/>
          <w:szCs w:val="24"/>
        </w:rPr>
        <w:t>juiz</w:t>
      </w:r>
      <w:r w:rsidR="008612FC" w:rsidRPr="003A1174">
        <w:rPr>
          <w:rFonts w:ascii="Garamond" w:hAnsi="Garamond" w:cs="Arial"/>
          <w:color w:val="auto"/>
          <w:sz w:val="24"/>
          <w:szCs w:val="24"/>
        </w:rPr>
        <w:t xml:space="preserve"> decide se a proposta é razoável</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 xml:space="preserve">pudendo </w:t>
      </w:r>
      <w:r w:rsidR="00CA39B2" w:rsidRPr="003A1174">
        <w:rPr>
          <w:rFonts w:ascii="Garamond" w:hAnsi="Garamond" w:cs="Arial"/>
          <w:color w:val="auto"/>
          <w:sz w:val="24"/>
          <w:szCs w:val="24"/>
        </w:rPr>
        <w:t xml:space="preserve">a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 ace</w:t>
      </w:r>
      <w:r w:rsidR="008612FC" w:rsidRPr="003A1174">
        <w:rPr>
          <w:rFonts w:ascii="Garamond" w:hAnsi="Garamond" w:cs="Arial"/>
          <w:color w:val="auto"/>
          <w:sz w:val="24"/>
          <w:szCs w:val="24"/>
        </w:rPr>
        <w:t>i</w:t>
      </w:r>
      <w:r w:rsidR="00CA39B2" w:rsidRPr="003A1174">
        <w:rPr>
          <w:rFonts w:ascii="Garamond" w:hAnsi="Garamond" w:cs="Arial"/>
          <w:color w:val="auto"/>
          <w:sz w:val="24"/>
          <w:szCs w:val="24"/>
        </w:rPr>
        <w:t>tar o</w:t>
      </w:r>
      <w:r w:rsidR="008612FC" w:rsidRPr="003A1174">
        <w:rPr>
          <w:rFonts w:ascii="Garamond" w:hAnsi="Garamond" w:cs="Arial"/>
          <w:color w:val="auto"/>
          <w:sz w:val="24"/>
          <w:szCs w:val="24"/>
        </w:rPr>
        <w:t>u</w:t>
      </w:r>
      <w:r w:rsidR="00CA39B2" w:rsidRPr="003A1174">
        <w:rPr>
          <w:rFonts w:ascii="Garamond" w:hAnsi="Garamond" w:cs="Arial"/>
          <w:color w:val="auto"/>
          <w:sz w:val="24"/>
          <w:szCs w:val="24"/>
        </w:rPr>
        <w:t xml:space="preserve"> n</w:t>
      </w:r>
      <w:r w:rsidR="008612FC" w:rsidRPr="003A1174">
        <w:rPr>
          <w:rFonts w:ascii="Garamond" w:hAnsi="Garamond" w:cs="Arial"/>
          <w:color w:val="auto"/>
          <w:sz w:val="24"/>
          <w:szCs w:val="24"/>
        </w:rPr>
        <w:t>ã</w:t>
      </w:r>
      <w:r w:rsidR="00CA39B2" w:rsidRPr="003A1174">
        <w:rPr>
          <w:rFonts w:ascii="Garamond" w:hAnsi="Garamond" w:cs="Arial"/>
          <w:color w:val="auto"/>
          <w:sz w:val="24"/>
          <w:szCs w:val="24"/>
        </w:rPr>
        <w:t xml:space="preserve">o </w:t>
      </w:r>
      <w:r w:rsidR="008612FC" w:rsidRPr="003A1174">
        <w:rPr>
          <w:rFonts w:ascii="Garamond" w:hAnsi="Garamond" w:cs="Arial"/>
          <w:color w:val="auto"/>
          <w:sz w:val="24"/>
          <w:szCs w:val="24"/>
        </w:rPr>
        <w:t xml:space="preserve">a referida </w:t>
      </w:r>
      <w:r w:rsidR="00AE3F78" w:rsidRPr="003A1174">
        <w:rPr>
          <w:rFonts w:ascii="Garamond" w:hAnsi="Garamond" w:cs="Arial"/>
          <w:color w:val="auto"/>
          <w:sz w:val="24"/>
          <w:szCs w:val="24"/>
        </w:rPr>
        <w:t>compensação</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 xml:space="preserve">Neste contexto, </w:t>
      </w:r>
      <w:r w:rsidR="00CA39B2" w:rsidRPr="003A1174">
        <w:rPr>
          <w:rFonts w:ascii="Garamond" w:hAnsi="Garamond" w:cs="Arial"/>
          <w:color w:val="auto"/>
          <w:sz w:val="24"/>
          <w:szCs w:val="24"/>
        </w:rPr>
        <w:t xml:space="preserve">a </w:t>
      </w:r>
      <w:r w:rsidR="008843FD" w:rsidRPr="003A1174">
        <w:rPr>
          <w:rFonts w:ascii="Garamond" w:hAnsi="Garamond" w:cs="Arial"/>
          <w:color w:val="auto"/>
          <w:sz w:val="24"/>
          <w:szCs w:val="24"/>
        </w:rPr>
        <w:t>possibilidade</w:t>
      </w:r>
      <w:r w:rsidR="00CA39B2" w:rsidRPr="003A1174">
        <w:rPr>
          <w:rFonts w:ascii="Garamond" w:hAnsi="Garamond" w:cs="Arial"/>
          <w:color w:val="auto"/>
          <w:sz w:val="24"/>
          <w:szCs w:val="24"/>
        </w:rPr>
        <w:t xml:space="preserve"> de </w:t>
      </w:r>
      <w:r w:rsidR="008612FC" w:rsidRPr="003A1174">
        <w:rPr>
          <w:rFonts w:ascii="Garamond" w:hAnsi="Garamond" w:cs="Arial"/>
          <w:color w:val="auto"/>
          <w:sz w:val="24"/>
          <w:szCs w:val="24"/>
        </w:rPr>
        <w:t xml:space="preserve">haver </w:t>
      </w:r>
      <w:r w:rsidR="002720C5">
        <w:rPr>
          <w:rFonts w:ascii="Garamond" w:hAnsi="Garamond" w:cs="Arial"/>
          <w:color w:val="auto"/>
          <w:sz w:val="24"/>
          <w:szCs w:val="24"/>
        </w:rPr>
        <w:t>«</w:t>
      </w:r>
      <w:r w:rsidR="00CA39B2" w:rsidRPr="003A1174">
        <w:rPr>
          <w:rFonts w:ascii="Garamond" w:hAnsi="Garamond" w:cs="Arial"/>
          <w:i/>
          <w:color w:val="auto"/>
          <w:sz w:val="24"/>
          <w:szCs w:val="24"/>
        </w:rPr>
        <w:t>probation</w:t>
      </w:r>
      <w:r w:rsidR="002720C5">
        <w:rPr>
          <w:rFonts w:ascii="Garamond" w:hAnsi="Garamond" w:cs="Arial"/>
          <w:i/>
          <w:color w:val="auto"/>
          <w:sz w:val="24"/>
          <w:szCs w:val="24"/>
        </w:rPr>
        <w:t>»</w:t>
      </w:r>
      <w:r w:rsidR="00CA39B2" w:rsidRPr="003A1174">
        <w:rPr>
          <w:rFonts w:ascii="Garamond" w:hAnsi="Garamond" w:cs="Arial"/>
          <w:color w:val="auto"/>
          <w:sz w:val="24"/>
          <w:szCs w:val="24"/>
        </w:rPr>
        <w:t xml:space="preserve"> e</w:t>
      </w:r>
      <w:r w:rsidR="008612FC" w:rsidRPr="003A1174">
        <w:rPr>
          <w:rFonts w:ascii="Garamond" w:hAnsi="Garamond" w:cs="Arial"/>
          <w:color w:val="auto"/>
          <w:sz w:val="24"/>
          <w:szCs w:val="24"/>
        </w:rPr>
        <w:t>m</w:t>
      </w:r>
      <w:r w:rsidR="00CA39B2" w:rsidRPr="003A1174">
        <w:rPr>
          <w:rFonts w:ascii="Garamond" w:hAnsi="Garamond" w:cs="Arial"/>
          <w:color w:val="auto"/>
          <w:sz w:val="24"/>
          <w:szCs w:val="24"/>
        </w:rPr>
        <w:t xml:space="preserve"> casos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de género</w:t>
      </w:r>
      <w:r w:rsidR="006342CF" w:rsidRPr="003A1174">
        <w:rPr>
          <w:rFonts w:ascii="Garamond" w:hAnsi="Garamond" w:cs="Arial"/>
          <w:color w:val="auto"/>
          <w:sz w:val="24"/>
          <w:szCs w:val="24"/>
        </w:rPr>
        <w:t>,</w:t>
      </w:r>
      <w:r w:rsidR="008612FC" w:rsidRPr="003A1174">
        <w:rPr>
          <w:rFonts w:ascii="Garamond" w:hAnsi="Garamond" w:cs="Arial"/>
          <w:color w:val="auto"/>
          <w:sz w:val="24"/>
          <w:szCs w:val="24"/>
        </w:rPr>
        <w:t xml:space="preserve"> implicari</w:t>
      </w:r>
      <w:r w:rsidR="00CA39B2" w:rsidRPr="003A1174">
        <w:rPr>
          <w:rFonts w:ascii="Garamond" w:hAnsi="Garamond" w:cs="Arial"/>
          <w:color w:val="auto"/>
          <w:sz w:val="24"/>
          <w:szCs w:val="24"/>
        </w:rPr>
        <w:t xml:space="preserve">a que </w:t>
      </w:r>
      <w:r w:rsidR="008612FC" w:rsidRPr="003A1174">
        <w:rPr>
          <w:rFonts w:ascii="Garamond" w:hAnsi="Garamond" w:cs="Arial"/>
          <w:color w:val="auto"/>
          <w:sz w:val="24"/>
          <w:szCs w:val="24"/>
        </w:rPr>
        <w:t xml:space="preserve">no fim de </w:t>
      </w:r>
      <w:r w:rsidR="00BE591C" w:rsidRPr="003A1174">
        <w:rPr>
          <w:rFonts w:ascii="Garamond" w:hAnsi="Garamond" w:cs="Arial"/>
          <w:color w:val="auto"/>
          <w:sz w:val="24"/>
          <w:szCs w:val="24"/>
        </w:rPr>
        <w:t>conta</w:t>
      </w:r>
      <w:r w:rsidR="008612FC" w:rsidRPr="003A1174">
        <w:rPr>
          <w:rFonts w:ascii="Garamond" w:hAnsi="Garamond" w:cs="Arial"/>
          <w:color w:val="auto"/>
          <w:sz w:val="24"/>
          <w:szCs w:val="24"/>
        </w:rPr>
        <w:t xml:space="preserve">s </w:t>
      </w:r>
      <w:r w:rsidR="00CA39B2" w:rsidRPr="003A1174">
        <w:rPr>
          <w:rFonts w:ascii="Garamond" w:hAnsi="Garamond" w:cs="Arial"/>
          <w:color w:val="auto"/>
          <w:sz w:val="24"/>
          <w:szCs w:val="24"/>
        </w:rPr>
        <w:t>a condena</w:t>
      </w:r>
      <w:r w:rsidR="008612FC" w:rsidRPr="003A1174">
        <w:rPr>
          <w:rFonts w:ascii="Garamond" w:hAnsi="Garamond" w:cs="Arial"/>
          <w:color w:val="auto"/>
          <w:sz w:val="24"/>
          <w:szCs w:val="24"/>
        </w:rPr>
        <w:t xml:space="preserve">ção do </w:t>
      </w:r>
      <w:r w:rsidR="002D1021" w:rsidRPr="003A1174">
        <w:rPr>
          <w:rFonts w:ascii="Garamond" w:hAnsi="Garamond" w:cs="Arial"/>
          <w:color w:val="auto"/>
          <w:sz w:val="24"/>
          <w:szCs w:val="24"/>
        </w:rPr>
        <w:t>agressor</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fosse</w:t>
      </w:r>
      <w:r w:rsidR="00CA39B2" w:rsidRPr="003A1174">
        <w:rPr>
          <w:rFonts w:ascii="Garamond" w:hAnsi="Garamond" w:cs="Arial"/>
          <w:color w:val="auto"/>
          <w:sz w:val="24"/>
          <w:szCs w:val="24"/>
        </w:rPr>
        <w:t xml:space="preserve">, por </w:t>
      </w:r>
      <w:r w:rsidR="002F5CD1" w:rsidRPr="003A1174">
        <w:rPr>
          <w:rFonts w:ascii="Garamond" w:hAnsi="Garamond" w:cs="Arial"/>
          <w:color w:val="auto"/>
          <w:sz w:val="24"/>
          <w:szCs w:val="24"/>
        </w:rPr>
        <w:t>exemplo</w:t>
      </w:r>
      <w:r w:rsidR="00CA39B2" w:rsidRPr="003A1174">
        <w:rPr>
          <w:rFonts w:ascii="Garamond" w:hAnsi="Garamond" w:cs="Arial"/>
          <w:color w:val="auto"/>
          <w:sz w:val="24"/>
          <w:szCs w:val="24"/>
        </w:rPr>
        <w:t>, simple</w:t>
      </w:r>
      <w:r w:rsidR="008612FC" w:rsidRPr="003A1174">
        <w:rPr>
          <w:rFonts w:ascii="Garamond" w:hAnsi="Garamond" w:cs="Arial"/>
          <w:color w:val="auto"/>
          <w:sz w:val="24"/>
          <w:szCs w:val="24"/>
        </w:rPr>
        <w:t>s</w:t>
      </w:r>
      <w:r w:rsidR="00CA39B2" w:rsidRPr="003A1174">
        <w:rPr>
          <w:rFonts w:ascii="Garamond" w:hAnsi="Garamond" w:cs="Arial"/>
          <w:color w:val="auto"/>
          <w:sz w:val="24"/>
          <w:szCs w:val="24"/>
        </w:rPr>
        <w:t xml:space="preserve">mente </w:t>
      </w:r>
      <w:r w:rsidR="008612FC" w:rsidRPr="003A1174">
        <w:rPr>
          <w:rFonts w:ascii="Garamond" w:hAnsi="Garamond" w:cs="Arial"/>
          <w:color w:val="auto"/>
          <w:sz w:val="24"/>
          <w:szCs w:val="24"/>
        </w:rPr>
        <w:t>efetuar</w:t>
      </w:r>
      <w:r w:rsidR="00CA39B2" w:rsidRPr="003A1174">
        <w:rPr>
          <w:rFonts w:ascii="Garamond" w:hAnsi="Garamond" w:cs="Arial"/>
          <w:color w:val="auto"/>
          <w:sz w:val="24"/>
          <w:szCs w:val="24"/>
        </w:rPr>
        <w:t xml:space="preserve"> alg</w:t>
      </w:r>
      <w:r w:rsidR="008612FC" w:rsidRPr="003A1174">
        <w:rPr>
          <w:rFonts w:ascii="Garamond" w:hAnsi="Garamond" w:cs="Arial"/>
          <w:color w:val="auto"/>
          <w:sz w:val="24"/>
          <w:szCs w:val="24"/>
        </w:rPr>
        <w:t>um</w:t>
      </w:r>
      <w:r w:rsidR="00CA39B2" w:rsidRPr="003A1174">
        <w:rPr>
          <w:rFonts w:ascii="Garamond" w:hAnsi="Garamond" w:cs="Arial"/>
          <w:color w:val="auto"/>
          <w:sz w:val="24"/>
          <w:szCs w:val="24"/>
        </w:rPr>
        <w:t xml:space="preserve"> </w:t>
      </w:r>
      <w:r w:rsidR="0017447A" w:rsidRPr="003A1174">
        <w:rPr>
          <w:rFonts w:ascii="Garamond" w:hAnsi="Garamond" w:cs="Arial"/>
          <w:color w:val="auto"/>
          <w:sz w:val="24"/>
          <w:szCs w:val="24"/>
        </w:rPr>
        <w:t>trabalho</w:t>
      </w:r>
      <w:r w:rsidR="008612FC" w:rsidRPr="003A1174">
        <w:rPr>
          <w:rFonts w:ascii="Garamond" w:hAnsi="Garamond" w:cs="Arial"/>
          <w:color w:val="auto"/>
          <w:sz w:val="24"/>
          <w:szCs w:val="24"/>
        </w:rPr>
        <w:t xml:space="preserve"> comunitá</w:t>
      </w:r>
      <w:r w:rsidR="00CA39B2" w:rsidRPr="003A1174">
        <w:rPr>
          <w:rFonts w:ascii="Garamond" w:hAnsi="Garamond" w:cs="Arial"/>
          <w:color w:val="auto"/>
          <w:sz w:val="24"/>
          <w:szCs w:val="24"/>
        </w:rPr>
        <w:t xml:space="preserve">rio. Daí que </w:t>
      </w:r>
      <w:r w:rsidR="008612FC" w:rsidRPr="003A1174">
        <w:rPr>
          <w:rFonts w:ascii="Garamond" w:hAnsi="Garamond" w:cs="Arial"/>
          <w:color w:val="auto"/>
          <w:sz w:val="24"/>
          <w:szCs w:val="24"/>
        </w:rPr>
        <w:t xml:space="preserve">o </w:t>
      </w:r>
      <w:r w:rsidR="00C30647" w:rsidRPr="003A1174">
        <w:rPr>
          <w:rFonts w:ascii="Garamond" w:hAnsi="Garamond" w:cs="Arial"/>
          <w:color w:val="auto"/>
          <w:sz w:val="24"/>
          <w:szCs w:val="24"/>
        </w:rPr>
        <w:t>projeto</w:t>
      </w:r>
      <w:r w:rsidR="008612FC" w:rsidRPr="003A1174">
        <w:rPr>
          <w:rFonts w:ascii="Garamond" w:hAnsi="Garamond" w:cs="Arial"/>
          <w:color w:val="auto"/>
          <w:sz w:val="24"/>
          <w:szCs w:val="24"/>
        </w:rPr>
        <w:t xml:space="preserve"> proponha </w:t>
      </w:r>
      <w:r w:rsidR="00CA39B2" w:rsidRPr="003A1174">
        <w:rPr>
          <w:rFonts w:ascii="Garamond" w:hAnsi="Garamond" w:cs="Arial"/>
          <w:color w:val="auto"/>
          <w:sz w:val="24"/>
          <w:szCs w:val="24"/>
        </w:rPr>
        <w:t>a modifica</w:t>
      </w:r>
      <w:r w:rsidR="008612FC" w:rsidRPr="003A1174">
        <w:rPr>
          <w:rFonts w:ascii="Garamond" w:hAnsi="Garamond" w:cs="Arial"/>
          <w:color w:val="auto"/>
          <w:sz w:val="24"/>
          <w:szCs w:val="24"/>
        </w:rPr>
        <w:t xml:space="preserve">ção do referido </w:t>
      </w:r>
      <w:r w:rsidR="00232204">
        <w:rPr>
          <w:rFonts w:ascii="Garamond" w:hAnsi="Garamond" w:cs="Arial"/>
          <w:color w:val="auto"/>
          <w:sz w:val="24"/>
          <w:szCs w:val="24"/>
        </w:rPr>
        <w:t>a</w:t>
      </w:r>
      <w:r w:rsidR="00383B3F" w:rsidRPr="003A1174">
        <w:rPr>
          <w:rFonts w:ascii="Garamond" w:hAnsi="Garamond" w:cs="Arial"/>
          <w:color w:val="auto"/>
          <w:sz w:val="24"/>
          <w:szCs w:val="24"/>
        </w:rPr>
        <w:t>rt</w:t>
      </w:r>
      <w:r w:rsidR="00232204">
        <w:rPr>
          <w:rFonts w:ascii="Garamond" w:hAnsi="Garamond" w:cs="Arial"/>
          <w:color w:val="auto"/>
          <w:sz w:val="24"/>
          <w:szCs w:val="24"/>
        </w:rPr>
        <w:t>igo,</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 xml:space="preserve">no </w:t>
      </w:r>
      <w:r w:rsidR="00CA39B2" w:rsidRPr="003A1174">
        <w:rPr>
          <w:rFonts w:ascii="Garamond" w:hAnsi="Garamond" w:cs="Arial"/>
          <w:color w:val="auto"/>
          <w:sz w:val="24"/>
          <w:szCs w:val="24"/>
        </w:rPr>
        <w:t xml:space="preserve">sentido </w:t>
      </w:r>
      <w:r w:rsidR="00CA39B2" w:rsidRPr="003A1174">
        <w:rPr>
          <w:rFonts w:ascii="Garamond" w:hAnsi="Garamond" w:cs="Arial"/>
          <w:color w:val="auto"/>
          <w:sz w:val="24"/>
          <w:szCs w:val="24"/>
        </w:rPr>
        <w:lastRenderedPageBreak/>
        <w:t>mencionado (</w:t>
      </w:r>
      <w:r w:rsidR="00C031E1" w:rsidRPr="003A1174">
        <w:rPr>
          <w:rFonts w:ascii="Garamond" w:hAnsi="Garamond" w:cs="Arial"/>
          <w:color w:val="auto"/>
          <w:sz w:val="24"/>
          <w:szCs w:val="24"/>
        </w:rPr>
        <w:t>inadmi</w:t>
      </w:r>
      <w:r w:rsidR="008612FC" w:rsidRPr="003A1174">
        <w:rPr>
          <w:rFonts w:ascii="Garamond" w:hAnsi="Garamond" w:cs="Arial"/>
          <w:color w:val="auto"/>
          <w:sz w:val="24"/>
          <w:szCs w:val="24"/>
        </w:rPr>
        <w:t>s</w:t>
      </w:r>
      <w:r w:rsidR="00C031E1" w:rsidRPr="003A1174">
        <w:rPr>
          <w:rFonts w:ascii="Garamond" w:hAnsi="Garamond" w:cs="Arial"/>
          <w:color w:val="auto"/>
          <w:sz w:val="24"/>
          <w:szCs w:val="24"/>
        </w:rPr>
        <w:t>sibilidad</w:t>
      </w:r>
      <w:r w:rsidR="008612FC" w:rsidRPr="003A1174">
        <w:rPr>
          <w:rFonts w:ascii="Garamond" w:hAnsi="Garamond" w:cs="Arial"/>
          <w:color w:val="auto"/>
          <w:sz w:val="24"/>
          <w:szCs w:val="24"/>
        </w:rPr>
        <w:t>e d</w:t>
      </w:r>
      <w:r w:rsidR="00CA39B2" w:rsidRPr="003A1174">
        <w:rPr>
          <w:rFonts w:ascii="Garamond" w:hAnsi="Garamond" w:cs="Arial"/>
          <w:color w:val="auto"/>
          <w:sz w:val="24"/>
          <w:szCs w:val="24"/>
        </w:rPr>
        <w:t xml:space="preserve">a </w:t>
      </w:r>
      <w:r w:rsidR="008612FC" w:rsidRPr="003A1174">
        <w:rPr>
          <w:rFonts w:ascii="Garamond" w:hAnsi="Garamond" w:cs="Arial"/>
          <w:color w:val="auto"/>
          <w:sz w:val="24"/>
          <w:szCs w:val="24"/>
        </w:rPr>
        <w:t>suspensão</w:t>
      </w:r>
      <w:r w:rsidR="00CA39B2" w:rsidRPr="003A1174">
        <w:rPr>
          <w:rFonts w:ascii="Garamond" w:hAnsi="Garamond" w:cs="Arial"/>
          <w:color w:val="auto"/>
          <w:sz w:val="24"/>
          <w:szCs w:val="24"/>
        </w:rPr>
        <w:t xml:space="preserve"> d</w:t>
      </w:r>
      <w:r w:rsidR="008612FC" w:rsidRPr="003A1174">
        <w:rPr>
          <w:rFonts w:ascii="Garamond" w:hAnsi="Garamond" w:cs="Arial"/>
          <w:color w:val="auto"/>
          <w:sz w:val="24"/>
          <w:szCs w:val="24"/>
        </w:rPr>
        <w:t xml:space="preserve">o </w:t>
      </w:r>
      <w:r w:rsidR="00CA39B2" w:rsidRPr="003A1174">
        <w:rPr>
          <w:rFonts w:ascii="Garamond" w:hAnsi="Garamond" w:cs="Arial"/>
          <w:color w:val="auto"/>
          <w:sz w:val="24"/>
          <w:szCs w:val="24"/>
        </w:rPr>
        <w:t>ju</w:t>
      </w:r>
      <w:r w:rsidR="008612FC" w:rsidRPr="003A1174">
        <w:rPr>
          <w:rFonts w:ascii="Garamond" w:hAnsi="Garamond" w:cs="Arial"/>
          <w:color w:val="auto"/>
          <w:sz w:val="24"/>
          <w:szCs w:val="24"/>
        </w:rPr>
        <w:t>lgamento</w:t>
      </w:r>
      <w:r w:rsidR="00CA39B2" w:rsidRPr="003A1174">
        <w:rPr>
          <w:rFonts w:ascii="Garamond" w:hAnsi="Garamond" w:cs="Arial"/>
          <w:color w:val="auto"/>
          <w:sz w:val="24"/>
          <w:szCs w:val="24"/>
        </w:rPr>
        <w:t xml:space="preserve">), </w:t>
      </w:r>
      <w:r w:rsidR="008612FC" w:rsidRPr="003A1174">
        <w:rPr>
          <w:rFonts w:ascii="Garamond" w:hAnsi="Garamond" w:cs="Arial"/>
          <w:color w:val="auto"/>
          <w:sz w:val="24"/>
          <w:szCs w:val="24"/>
        </w:rPr>
        <w:t xml:space="preserve">procurando assim avançar na </w:t>
      </w:r>
      <w:r w:rsidR="002C7510" w:rsidRPr="003A1174">
        <w:rPr>
          <w:rFonts w:ascii="Garamond" w:hAnsi="Garamond" w:cs="Arial"/>
          <w:color w:val="auto"/>
          <w:sz w:val="24"/>
          <w:szCs w:val="24"/>
        </w:rPr>
        <w:t>legislação</w:t>
      </w:r>
      <w:r w:rsidR="00CA39B2" w:rsidRPr="003A1174">
        <w:rPr>
          <w:rFonts w:ascii="Garamond" w:hAnsi="Garamond" w:cs="Arial"/>
          <w:color w:val="auto"/>
          <w:sz w:val="24"/>
          <w:szCs w:val="24"/>
        </w:rPr>
        <w:t xml:space="preserve"> penal de </w:t>
      </w:r>
      <w:r w:rsidR="00886D6A" w:rsidRPr="003A1174">
        <w:rPr>
          <w:rFonts w:ascii="Garamond" w:hAnsi="Garamond" w:cs="Arial"/>
          <w:color w:val="auto"/>
          <w:sz w:val="24"/>
          <w:szCs w:val="24"/>
        </w:rPr>
        <w:t>proteção</w:t>
      </w:r>
      <w:r w:rsidR="008612FC"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as </w:t>
      </w:r>
      <w:r w:rsidR="00054EE0" w:rsidRPr="003A1174">
        <w:rPr>
          <w:rFonts w:ascii="Garamond" w:hAnsi="Garamond" w:cs="Arial"/>
          <w:color w:val="auto"/>
          <w:sz w:val="24"/>
          <w:szCs w:val="24"/>
        </w:rPr>
        <w:t>mulheres</w:t>
      </w:r>
      <w:r w:rsidR="008612FC" w:rsidRPr="003A1174">
        <w:rPr>
          <w:rFonts w:ascii="Garamond" w:hAnsi="Garamond" w:cs="Arial"/>
          <w:color w:val="auto"/>
          <w:sz w:val="24"/>
          <w:szCs w:val="24"/>
        </w:rPr>
        <w:t xml:space="preserve">, </w:t>
      </w:r>
      <w:r w:rsidR="00F83B41">
        <w:rPr>
          <w:rFonts w:ascii="Garamond" w:hAnsi="Garamond" w:cs="Arial"/>
          <w:color w:val="auto"/>
          <w:sz w:val="24"/>
          <w:szCs w:val="24"/>
        </w:rPr>
        <w:t xml:space="preserve">em que </w:t>
      </w:r>
      <w:r w:rsidR="008612FC" w:rsidRPr="003A1174">
        <w:rPr>
          <w:rFonts w:ascii="Garamond" w:hAnsi="Garamond" w:cs="Arial"/>
          <w:color w:val="auto"/>
          <w:sz w:val="24"/>
          <w:szCs w:val="24"/>
        </w:rPr>
        <w:t xml:space="preserve">se destaca </w:t>
      </w:r>
      <w:r w:rsidR="00CA39B2" w:rsidRPr="003A1174">
        <w:rPr>
          <w:rFonts w:ascii="Garamond" w:hAnsi="Garamond" w:cs="Arial"/>
          <w:color w:val="auto"/>
          <w:sz w:val="24"/>
          <w:szCs w:val="24"/>
        </w:rPr>
        <w:t xml:space="preserve">a </w:t>
      </w:r>
      <w:r w:rsidR="005C051C" w:rsidRPr="003A1174">
        <w:rPr>
          <w:rFonts w:ascii="Garamond" w:hAnsi="Garamond" w:cs="Arial"/>
          <w:color w:val="auto"/>
          <w:sz w:val="24"/>
          <w:szCs w:val="24"/>
        </w:rPr>
        <w:t>incorporação d</w:t>
      </w:r>
      <w:r w:rsidR="00CA39B2" w:rsidRPr="003A1174">
        <w:rPr>
          <w:rFonts w:ascii="Garamond" w:hAnsi="Garamond" w:cs="Arial"/>
          <w:color w:val="auto"/>
          <w:sz w:val="24"/>
          <w:szCs w:val="24"/>
        </w:rPr>
        <w:t>a figura d</w:t>
      </w:r>
      <w:r w:rsidR="005C051C" w:rsidRPr="003A1174">
        <w:rPr>
          <w:rFonts w:ascii="Garamond" w:hAnsi="Garamond" w:cs="Arial"/>
          <w:color w:val="auto"/>
          <w:sz w:val="24"/>
          <w:szCs w:val="24"/>
        </w:rPr>
        <w:t>o</w:t>
      </w:r>
      <w:r w:rsidR="00CA39B2" w:rsidRPr="003A1174">
        <w:rPr>
          <w:rFonts w:ascii="Garamond" w:hAnsi="Garamond" w:cs="Arial"/>
          <w:color w:val="auto"/>
          <w:sz w:val="24"/>
          <w:szCs w:val="24"/>
        </w:rPr>
        <w:t xml:space="preserve"> </w:t>
      </w:r>
      <w:r w:rsidR="005C051C" w:rsidRPr="003A1174">
        <w:rPr>
          <w:rFonts w:ascii="Garamond" w:hAnsi="Garamond" w:cs="Arial"/>
          <w:color w:val="auto"/>
          <w:sz w:val="24"/>
          <w:szCs w:val="24"/>
        </w:rPr>
        <w:t>femicídio</w:t>
      </w:r>
      <w:r w:rsidR="00CA39B2" w:rsidRPr="003A1174">
        <w:rPr>
          <w:rFonts w:ascii="Garamond" w:hAnsi="Garamond" w:cs="Arial"/>
          <w:color w:val="auto"/>
          <w:sz w:val="24"/>
          <w:szCs w:val="24"/>
        </w:rPr>
        <w:t xml:space="preserve"> </w:t>
      </w:r>
      <w:r w:rsidR="005C051C" w:rsidRPr="003A1174">
        <w:rPr>
          <w:rFonts w:ascii="Garamond" w:hAnsi="Garamond" w:cs="Arial"/>
          <w:color w:val="auto"/>
          <w:sz w:val="24"/>
          <w:szCs w:val="24"/>
        </w:rPr>
        <w:t>no</w:t>
      </w:r>
      <w:r w:rsidR="00CA39B2" w:rsidRPr="003A1174">
        <w:rPr>
          <w:rFonts w:ascii="Garamond" w:hAnsi="Garamond" w:cs="Arial"/>
          <w:color w:val="auto"/>
          <w:sz w:val="24"/>
          <w:szCs w:val="24"/>
        </w:rPr>
        <w:t xml:space="preserve"> Código Penal.</w:t>
      </w:r>
    </w:p>
    <w:p w:rsidR="00CA39B2" w:rsidRPr="003A1174" w:rsidRDefault="00CA39B2" w:rsidP="008719D4">
      <w:pPr>
        <w:pStyle w:val="Prrafodelista1"/>
        <w:spacing w:after="0" w:line="240" w:lineRule="auto"/>
        <w:jc w:val="both"/>
        <w:rPr>
          <w:rFonts w:ascii="Garamond" w:hAnsi="Garamond" w:cs="Arial"/>
          <w:color w:val="auto"/>
          <w:sz w:val="24"/>
          <w:szCs w:val="24"/>
        </w:rPr>
      </w:pPr>
    </w:p>
    <w:p w:rsidR="00CA39B2" w:rsidRPr="003A1174" w:rsidRDefault="00CA39B2"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w:t>
      </w:r>
      <w:r w:rsidR="001F2F8B" w:rsidRPr="003A1174">
        <w:rPr>
          <w:rFonts w:ascii="Garamond" w:hAnsi="Garamond" w:cs="Arial"/>
          <w:color w:val="auto"/>
          <w:sz w:val="24"/>
          <w:szCs w:val="24"/>
        </w:rPr>
        <w:t>outro</w:t>
      </w:r>
      <w:r w:rsidR="00AC63DF" w:rsidRPr="003A1174">
        <w:rPr>
          <w:rFonts w:ascii="Garamond" w:hAnsi="Garamond" w:cs="Arial"/>
          <w:color w:val="auto"/>
          <w:sz w:val="24"/>
          <w:szCs w:val="24"/>
        </w:rPr>
        <w:t xml:space="preserve"> lado, </w:t>
      </w:r>
      <w:r w:rsidRPr="003A1174">
        <w:rPr>
          <w:rFonts w:ascii="Garamond" w:hAnsi="Garamond" w:cs="Arial"/>
          <w:color w:val="auto"/>
          <w:sz w:val="24"/>
          <w:szCs w:val="24"/>
        </w:rPr>
        <w:t xml:space="preserve">a </w:t>
      </w:r>
      <w:r w:rsidR="008E7A2A" w:rsidRPr="003A1174">
        <w:rPr>
          <w:rFonts w:ascii="Garamond" w:hAnsi="Garamond" w:cs="Arial"/>
          <w:color w:val="auto"/>
          <w:sz w:val="24"/>
          <w:szCs w:val="24"/>
        </w:rPr>
        <w:t>organização</w:t>
      </w:r>
      <w:r w:rsidRPr="003A1174">
        <w:rPr>
          <w:rFonts w:ascii="Garamond" w:hAnsi="Garamond" w:cs="Arial"/>
          <w:color w:val="auto"/>
          <w:sz w:val="24"/>
          <w:szCs w:val="24"/>
        </w:rPr>
        <w:t xml:space="preserve"> de </w:t>
      </w:r>
      <w:r w:rsidR="00054EE0" w:rsidRPr="003A1174">
        <w:rPr>
          <w:rFonts w:ascii="Garamond" w:hAnsi="Garamond" w:cs="Arial"/>
          <w:color w:val="auto"/>
          <w:sz w:val="24"/>
          <w:szCs w:val="24"/>
        </w:rPr>
        <w:t>mulheres</w:t>
      </w:r>
      <w:r w:rsidRPr="003A1174">
        <w:rPr>
          <w:rFonts w:ascii="Garamond" w:hAnsi="Garamond" w:cs="Arial"/>
          <w:color w:val="auto"/>
          <w:sz w:val="24"/>
          <w:szCs w:val="24"/>
        </w:rPr>
        <w:t xml:space="preserve"> </w:t>
      </w:r>
      <w:r w:rsidRPr="003A1174">
        <w:rPr>
          <w:rFonts w:ascii="Garamond" w:hAnsi="Garamond" w:cs="Arial"/>
          <w:i/>
          <w:color w:val="auto"/>
          <w:sz w:val="24"/>
          <w:szCs w:val="24"/>
        </w:rPr>
        <w:t>La Casa del Encuentro</w:t>
      </w:r>
      <w:r w:rsidRPr="003A1174">
        <w:rPr>
          <w:rFonts w:ascii="Garamond" w:hAnsi="Garamond" w:cs="Arial"/>
          <w:color w:val="auto"/>
          <w:sz w:val="24"/>
          <w:szCs w:val="24"/>
        </w:rPr>
        <w:t xml:space="preserve"> </w:t>
      </w:r>
      <w:r w:rsidR="002720C5">
        <w:rPr>
          <w:rFonts w:ascii="Garamond" w:hAnsi="Garamond" w:cs="Arial"/>
          <w:color w:val="auto"/>
          <w:sz w:val="24"/>
          <w:szCs w:val="24"/>
        </w:rPr>
        <w:t>-</w:t>
      </w:r>
      <w:r w:rsidR="00AC63DF" w:rsidRPr="003A1174">
        <w:rPr>
          <w:rFonts w:ascii="Garamond" w:hAnsi="Garamond" w:cs="Arial"/>
          <w:color w:val="auto"/>
          <w:sz w:val="24"/>
          <w:szCs w:val="24"/>
        </w:rPr>
        <w:t xml:space="preserve"> </w:t>
      </w:r>
      <w:r w:rsidRPr="003A1174">
        <w:rPr>
          <w:rFonts w:ascii="Garamond" w:hAnsi="Garamond" w:cs="Arial"/>
          <w:color w:val="auto"/>
          <w:sz w:val="24"/>
          <w:szCs w:val="24"/>
        </w:rPr>
        <w:t xml:space="preserve">que </w:t>
      </w:r>
      <w:r w:rsidR="00AC63DF" w:rsidRPr="003A1174">
        <w:rPr>
          <w:rFonts w:ascii="Garamond" w:hAnsi="Garamond" w:cs="Arial"/>
          <w:color w:val="auto"/>
          <w:sz w:val="24"/>
          <w:szCs w:val="24"/>
        </w:rPr>
        <w:t>trabalha</w:t>
      </w:r>
      <w:r w:rsidRPr="003A1174">
        <w:rPr>
          <w:rFonts w:ascii="Garamond" w:hAnsi="Garamond" w:cs="Arial"/>
          <w:color w:val="auto"/>
          <w:sz w:val="24"/>
          <w:szCs w:val="24"/>
        </w:rPr>
        <w:t xml:space="preserve"> co</w:t>
      </w:r>
      <w:r w:rsidR="00AC63DF" w:rsidRPr="003A1174">
        <w:rPr>
          <w:rFonts w:ascii="Garamond" w:hAnsi="Garamond" w:cs="Arial"/>
          <w:color w:val="auto"/>
          <w:sz w:val="24"/>
          <w:szCs w:val="24"/>
        </w:rPr>
        <w:t>m</w:t>
      </w:r>
      <w:r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Pr="003A1174">
        <w:rPr>
          <w:rFonts w:ascii="Garamond" w:hAnsi="Garamond" w:cs="Arial"/>
          <w:color w:val="auto"/>
          <w:sz w:val="24"/>
          <w:szCs w:val="24"/>
        </w:rPr>
        <w:t xml:space="preserve"> de género</w:t>
      </w:r>
      <w:r w:rsidR="00AC63DF" w:rsidRPr="003A1174">
        <w:rPr>
          <w:rFonts w:ascii="Garamond" w:hAnsi="Garamond" w:cs="Arial"/>
          <w:color w:val="auto"/>
          <w:sz w:val="24"/>
          <w:szCs w:val="24"/>
        </w:rPr>
        <w:t xml:space="preserve"> </w:t>
      </w:r>
      <w:r w:rsidR="002720C5">
        <w:rPr>
          <w:rFonts w:ascii="Garamond" w:hAnsi="Garamond" w:cs="Arial"/>
          <w:color w:val="auto"/>
          <w:sz w:val="24"/>
          <w:szCs w:val="24"/>
        </w:rPr>
        <w:t>-</w:t>
      </w:r>
      <w:r w:rsidRPr="003A1174">
        <w:rPr>
          <w:rFonts w:ascii="Garamond" w:hAnsi="Garamond" w:cs="Arial"/>
          <w:color w:val="auto"/>
          <w:sz w:val="24"/>
          <w:szCs w:val="24"/>
        </w:rPr>
        <w:t xml:space="preserve"> </w:t>
      </w:r>
      <w:r w:rsidR="00276DCA" w:rsidRPr="003A1174">
        <w:rPr>
          <w:rFonts w:ascii="Garamond" w:hAnsi="Garamond" w:cs="Arial"/>
          <w:color w:val="auto"/>
          <w:sz w:val="24"/>
          <w:szCs w:val="24"/>
        </w:rPr>
        <w:t>apresentou</w:t>
      </w:r>
      <w:r w:rsidRPr="003A1174">
        <w:rPr>
          <w:rFonts w:ascii="Garamond" w:hAnsi="Garamond" w:cs="Arial"/>
          <w:color w:val="auto"/>
          <w:sz w:val="24"/>
          <w:szCs w:val="24"/>
        </w:rPr>
        <w:t xml:space="preserve"> u</w:t>
      </w:r>
      <w:r w:rsidR="00AC63DF" w:rsidRPr="003A1174">
        <w:rPr>
          <w:rFonts w:ascii="Garamond" w:hAnsi="Garamond" w:cs="Arial"/>
          <w:color w:val="auto"/>
          <w:sz w:val="24"/>
          <w:szCs w:val="24"/>
        </w:rPr>
        <w:t>m</w:t>
      </w:r>
      <w:r w:rsidRPr="003A1174">
        <w:rPr>
          <w:rFonts w:ascii="Garamond" w:hAnsi="Garamond" w:cs="Arial"/>
          <w:color w:val="auto"/>
          <w:sz w:val="24"/>
          <w:szCs w:val="24"/>
        </w:rPr>
        <w:t xml:space="preserve"> ante</w:t>
      </w:r>
      <w:r w:rsidR="00C30647" w:rsidRPr="003A1174">
        <w:rPr>
          <w:rFonts w:ascii="Garamond" w:hAnsi="Garamond" w:cs="Arial"/>
          <w:color w:val="auto"/>
          <w:sz w:val="24"/>
          <w:szCs w:val="24"/>
        </w:rPr>
        <w:t>projeto</w:t>
      </w:r>
      <w:r w:rsidRPr="003A1174">
        <w:rPr>
          <w:rFonts w:ascii="Garamond" w:hAnsi="Garamond" w:cs="Arial"/>
          <w:color w:val="auto"/>
          <w:sz w:val="24"/>
          <w:szCs w:val="24"/>
        </w:rPr>
        <w:t xml:space="preserve"> de </w:t>
      </w:r>
      <w:r w:rsidR="00D15AFF" w:rsidRPr="003A1174">
        <w:rPr>
          <w:rFonts w:ascii="Garamond" w:hAnsi="Garamond" w:cs="Arial"/>
          <w:color w:val="auto"/>
          <w:sz w:val="24"/>
          <w:szCs w:val="24"/>
        </w:rPr>
        <w:t>lei</w:t>
      </w:r>
      <w:r w:rsidRPr="003A1174">
        <w:rPr>
          <w:rFonts w:ascii="Garamond" w:hAnsi="Garamond" w:cs="Arial"/>
          <w:color w:val="auto"/>
          <w:sz w:val="24"/>
          <w:szCs w:val="24"/>
        </w:rPr>
        <w:t xml:space="preserve"> que </w:t>
      </w:r>
      <w:r w:rsidR="00AC63DF" w:rsidRPr="003A1174">
        <w:rPr>
          <w:rFonts w:ascii="Garamond" w:hAnsi="Garamond" w:cs="Arial"/>
          <w:color w:val="auto"/>
          <w:sz w:val="24"/>
          <w:szCs w:val="24"/>
        </w:rPr>
        <w:t xml:space="preserve">propõe que se retire </w:t>
      </w:r>
      <w:r w:rsidR="00A73177" w:rsidRPr="003A1174">
        <w:rPr>
          <w:rFonts w:ascii="Garamond" w:hAnsi="Garamond" w:cs="Arial"/>
          <w:color w:val="auto"/>
          <w:sz w:val="24"/>
          <w:szCs w:val="24"/>
        </w:rPr>
        <w:t>o</w:t>
      </w:r>
      <w:r w:rsidRPr="003A1174">
        <w:rPr>
          <w:rFonts w:ascii="Garamond" w:hAnsi="Garamond" w:cs="Arial"/>
          <w:color w:val="auto"/>
          <w:sz w:val="24"/>
          <w:szCs w:val="24"/>
        </w:rPr>
        <w:t xml:space="preserve"> </w:t>
      </w:r>
      <w:r w:rsidR="006E0719" w:rsidRPr="003A1174">
        <w:rPr>
          <w:rFonts w:ascii="Garamond" w:hAnsi="Garamond" w:cs="Arial"/>
          <w:i/>
          <w:color w:val="auto"/>
          <w:sz w:val="24"/>
          <w:szCs w:val="24"/>
        </w:rPr>
        <w:t>poder paternal</w:t>
      </w:r>
      <w:r w:rsidR="00AC63DF" w:rsidRPr="003A1174">
        <w:rPr>
          <w:rFonts w:ascii="Garamond" w:hAnsi="Garamond" w:cs="Arial"/>
          <w:color w:val="auto"/>
          <w:sz w:val="24"/>
          <w:szCs w:val="24"/>
        </w:rPr>
        <w:t xml:space="preserve"> a</w:t>
      </w:r>
      <w:r w:rsidRPr="003A1174">
        <w:rPr>
          <w:rFonts w:ascii="Garamond" w:hAnsi="Garamond" w:cs="Arial"/>
          <w:color w:val="auto"/>
          <w:sz w:val="24"/>
          <w:szCs w:val="24"/>
        </w:rPr>
        <w:t xml:space="preserve">os </w:t>
      </w:r>
      <w:r w:rsidR="00A73177" w:rsidRPr="003A1174">
        <w:rPr>
          <w:rFonts w:ascii="Garamond" w:hAnsi="Garamond" w:cs="Arial"/>
          <w:color w:val="auto"/>
          <w:sz w:val="24"/>
          <w:szCs w:val="24"/>
        </w:rPr>
        <w:t>femic</w:t>
      </w:r>
      <w:r w:rsidR="00A7129A">
        <w:rPr>
          <w:rFonts w:ascii="Garamond" w:hAnsi="Garamond" w:cs="Arial"/>
          <w:color w:val="auto"/>
          <w:sz w:val="24"/>
          <w:szCs w:val="24"/>
        </w:rPr>
        <w:t>i</w:t>
      </w:r>
      <w:r w:rsidR="00A73177" w:rsidRPr="003A1174">
        <w:rPr>
          <w:rFonts w:ascii="Garamond" w:hAnsi="Garamond" w:cs="Arial"/>
          <w:color w:val="auto"/>
          <w:sz w:val="24"/>
          <w:szCs w:val="24"/>
        </w:rPr>
        <w:t>das</w:t>
      </w:r>
      <w:r w:rsidRPr="003A1174">
        <w:rPr>
          <w:rFonts w:ascii="Garamond" w:hAnsi="Garamond" w:cs="Arial"/>
          <w:color w:val="auto"/>
          <w:sz w:val="24"/>
          <w:szCs w:val="24"/>
        </w:rPr>
        <w:t xml:space="preserve">. </w:t>
      </w:r>
      <w:r w:rsidR="00FB76BE" w:rsidRPr="003A1174">
        <w:rPr>
          <w:rFonts w:ascii="Garamond" w:hAnsi="Garamond" w:cs="Arial"/>
          <w:color w:val="auto"/>
          <w:sz w:val="24"/>
          <w:szCs w:val="24"/>
        </w:rPr>
        <w:t>O</w:t>
      </w:r>
      <w:r w:rsidRPr="003A1174">
        <w:rPr>
          <w:rFonts w:ascii="Garamond" w:hAnsi="Garamond" w:cs="Arial"/>
          <w:color w:val="auto"/>
          <w:sz w:val="24"/>
          <w:szCs w:val="24"/>
        </w:rPr>
        <w:t xml:space="preserve"> ante</w:t>
      </w:r>
      <w:r w:rsidR="00C30647" w:rsidRPr="003A1174">
        <w:rPr>
          <w:rFonts w:ascii="Garamond" w:hAnsi="Garamond" w:cs="Arial"/>
          <w:color w:val="auto"/>
          <w:sz w:val="24"/>
          <w:szCs w:val="24"/>
        </w:rPr>
        <w:t>projeto</w:t>
      </w:r>
      <w:r w:rsidRPr="003A1174">
        <w:rPr>
          <w:rFonts w:ascii="Garamond" w:hAnsi="Garamond" w:cs="Arial"/>
          <w:color w:val="auto"/>
          <w:sz w:val="24"/>
          <w:szCs w:val="24"/>
        </w:rPr>
        <w:t xml:space="preserve"> </w:t>
      </w:r>
      <w:r w:rsidR="00AC63DF" w:rsidRPr="003A1174">
        <w:rPr>
          <w:rFonts w:ascii="Garamond" w:hAnsi="Garamond" w:cs="Arial"/>
          <w:color w:val="auto"/>
          <w:sz w:val="24"/>
          <w:szCs w:val="24"/>
        </w:rPr>
        <w:t>propõe</w:t>
      </w:r>
      <w:r w:rsidRPr="003A1174">
        <w:rPr>
          <w:rFonts w:ascii="Garamond" w:hAnsi="Garamond" w:cs="Arial"/>
          <w:color w:val="auto"/>
          <w:sz w:val="24"/>
          <w:szCs w:val="24"/>
        </w:rPr>
        <w:t xml:space="preserve"> que </w:t>
      </w:r>
      <w:r w:rsidR="00FB76BE" w:rsidRPr="003A1174">
        <w:rPr>
          <w:rFonts w:ascii="Garamond" w:hAnsi="Garamond" w:cs="Arial"/>
          <w:color w:val="auto"/>
          <w:sz w:val="24"/>
          <w:szCs w:val="24"/>
        </w:rPr>
        <w:t xml:space="preserve">o </w:t>
      </w:r>
      <w:r w:rsidR="00524936" w:rsidRPr="003A1174">
        <w:rPr>
          <w:rFonts w:ascii="Garamond" w:hAnsi="Garamond" w:cs="Arial"/>
          <w:color w:val="auto"/>
          <w:sz w:val="24"/>
          <w:szCs w:val="24"/>
        </w:rPr>
        <w:t>homem</w:t>
      </w:r>
      <w:r w:rsidRPr="003A1174">
        <w:rPr>
          <w:rFonts w:ascii="Garamond" w:hAnsi="Garamond" w:cs="Arial"/>
          <w:color w:val="auto"/>
          <w:sz w:val="24"/>
          <w:szCs w:val="24"/>
        </w:rPr>
        <w:t xml:space="preserve"> que f</w:t>
      </w:r>
      <w:r w:rsidR="00FB76BE" w:rsidRPr="003A1174">
        <w:rPr>
          <w:rFonts w:ascii="Garamond" w:hAnsi="Garamond" w:cs="Arial"/>
          <w:color w:val="auto"/>
          <w:sz w:val="24"/>
          <w:szCs w:val="24"/>
        </w:rPr>
        <w:t xml:space="preserve">or </w:t>
      </w:r>
      <w:r w:rsidRPr="003A1174">
        <w:rPr>
          <w:rFonts w:ascii="Garamond" w:hAnsi="Garamond" w:cs="Arial"/>
          <w:color w:val="auto"/>
          <w:sz w:val="24"/>
          <w:szCs w:val="24"/>
        </w:rPr>
        <w:t>condenado pel</w:t>
      </w:r>
      <w:r w:rsidR="00FB76BE" w:rsidRPr="003A1174">
        <w:rPr>
          <w:rFonts w:ascii="Garamond" w:hAnsi="Garamond" w:cs="Arial"/>
          <w:color w:val="auto"/>
          <w:sz w:val="24"/>
          <w:szCs w:val="24"/>
        </w:rPr>
        <w:t>o</w:t>
      </w:r>
      <w:r w:rsidRPr="003A1174">
        <w:rPr>
          <w:rFonts w:ascii="Garamond" w:hAnsi="Garamond" w:cs="Arial"/>
          <w:color w:val="auto"/>
          <w:sz w:val="24"/>
          <w:szCs w:val="24"/>
        </w:rPr>
        <w:t xml:space="preserve"> </w:t>
      </w:r>
      <w:r w:rsidR="005C051C" w:rsidRPr="003A1174">
        <w:rPr>
          <w:rFonts w:ascii="Garamond" w:hAnsi="Garamond" w:cs="Arial"/>
          <w:color w:val="auto"/>
          <w:sz w:val="24"/>
          <w:szCs w:val="24"/>
        </w:rPr>
        <w:t>femicídio</w:t>
      </w:r>
      <w:r w:rsidRPr="003A1174">
        <w:rPr>
          <w:rFonts w:ascii="Garamond" w:hAnsi="Garamond" w:cs="Arial"/>
          <w:color w:val="auto"/>
          <w:sz w:val="24"/>
          <w:szCs w:val="24"/>
        </w:rPr>
        <w:t xml:space="preserve"> d</w:t>
      </w:r>
      <w:r w:rsidR="00FB76BE" w:rsidRPr="003A1174">
        <w:rPr>
          <w:rFonts w:ascii="Garamond" w:hAnsi="Garamond" w:cs="Arial"/>
          <w:color w:val="auto"/>
          <w:sz w:val="24"/>
          <w:szCs w:val="24"/>
        </w:rPr>
        <w:t xml:space="preserve">a mãe dos seus filos fique </w:t>
      </w:r>
      <w:r w:rsidR="002720C5">
        <w:rPr>
          <w:rFonts w:ascii="Garamond" w:hAnsi="Garamond" w:cs="Arial"/>
          <w:color w:val="auto"/>
          <w:sz w:val="24"/>
          <w:szCs w:val="24"/>
        </w:rPr>
        <w:t>«</w:t>
      </w:r>
      <w:r w:rsidR="00FB76BE" w:rsidRPr="002720C5">
        <w:rPr>
          <w:rFonts w:ascii="Garamond" w:hAnsi="Garamond" w:cs="Arial"/>
          <w:color w:val="auto"/>
          <w:sz w:val="24"/>
          <w:szCs w:val="24"/>
        </w:rPr>
        <w:t xml:space="preserve">automaticamente privado de todos </w:t>
      </w:r>
      <w:r w:rsidRPr="002720C5">
        <w:rPr>
          <w:rFonts w:ascii="Garamond" w:hAnsi="Garamond" w:cs="Arial"/>
          <w:color w:val="auto"/>
          <w:sz w:val="24"/>
          <w:szCs w:val="24"/>
        </w:rPr>
        <w:t xml:space="preserve">os </w:t>
      </w:r>
      <w:r w:rsidR="00886D6A" w:rsidRPr="002720C5">
        <w:rPr>
          <w:rFonts w:ascii="Garamond" w:hAnsi="Garamond" w:cs="Arial"/>
          <w:color w:val="auto"/>
          <w:sz w:val="24"/>
          <w:szCs w:val="24"/>
        </w:rPr>
        <w:t>direito</w:t>
      </w:r>
      <w:r w:rsidRPr="002720C5">
        <w:rPr>
          <w:rFonts w:ascii="Garamond" w:hAnsi="Garamond" w:cs="Arial"/>
          <w:color w:val="auto"/>
          <w:sz w:val="24"/>
          <w:szCs w:val="24"/>
        </w:rPr>
        <w:t xml:space="preserve">s que </w:t>
      </w:r>
      <w:r w:rsidR="00FB76BE" w:rsidRPr="002720C5">
        <w:rPr>
          <w:rFonts w:ascii="Garamond" w:hAnsi="Garamond" w:cs="Arial"/>
          <w:color w:val="auto"/>
          <w:sz w:val="24"/>
          <w:szCs w:val="24"/>
        </w:rPr>
        <w:t xml:space="preserve">implica </w:t>
      </w:r>
      <w:r w:rsidR="00A73177" w:rsidRPr="002720C5">
        <w:rPr>
          <w:rFonts w:ascii="Garamond" w:hAnsi="Garamond" w:cs="Arial"/>
          <w:color w:val="auto"/>
          <w:sz w:val="24"/>
          <w:szCs w:val="24"/>
        </w:rPr>
        <w:t>o</w:t>
      </w:r>
      <w:r w:rsidRPr="002720C5">
        <w:rPr>
          <w:rFonts w:ascii="Garamond" w:hAnsi="Garamond" w:cs="Arial"/>
          <w:color w:val="auto"/>
          <w:sz w:val="24"/>
          <w:szCs w:val="24"/>
        </w:rPr>
        <w:t xml:space="preserve"> </w:t>
      </w:r>
      <w:r w:rsidR="006E0719" w:rsidRPr="002720C5">
        <w:rPr>
          <w:rFonts w:ascii="Garamond" w:hAnsi="Garamond" w:cs="Arial"/>
          <w:color w:val="auto"/>
          <w:sz w:val="24"/>
          <w:szCs w:val="24"/>
        </w:rPr>
        <w:t>poder paternal</w:t>
      </w:r>
      <w:r w:rsidRPr="002720C5">
        <w:rPr>
          <w:rFonts w:ascii="Garamond" w:hAnsi="Garamond" w:cs="Arial"/>
          <w:color w:val="auto"/>
          <w:sz w:val="24"/>
          <w:szCs w:val="24"/>
        </w:rPr>
        <w:t>, s</w:t>
      </w:r>
      <w:r w:rsidR="00FB76BE" w:rsidRPr="002720C5">
        <w:rPr>
          <w:rFonts w:ascii="Garamond" w:hAnsi="Garamond" w:cs="Arial"/>
          <w:color w:val="auto"/>
          <w:sz w:val="24"/>
          <w:szCs w:val="24"/>
        </w:rPr>
        <w:t xml:space="preserve">em </w:t>
      </w:r>
      <w:r w:rsidR="006506C6" w:rsidRPr="002720C5">
        <w:rPr>
          <w:rFonts w:ascii="Garamond" w:hAnsi="Garamond" w:cs="Arial"/>
          <w:color w:val="auto"/>
          <w:sz w:val="24"/>
          <w:szCs w:val="24"/>
        </w:rPr>
        <w:t>necessidade</w:t>
      </w:r>
      <w:r w:rsidR="00FB76BE" w:rsidRPr="002720C5">
        <w:rPr>
          <w:rFonts w:ascii="Garamond" w:hAnsi="Garamond" w:cs="Arial"/>
          <w:color w:val="auto"/>
          <w:sz w:val="24"/>
          <w:szCs w:val="24"/>
        </w:rPr>
        <w:t xml:space="preserve"> de trâ</w:t>
      </w:r>
      <w:r w:rsidRPr="002720C5">
        <w:rPr>
          <w:rFonts w:ascii="Garamond" w:hAnsi="Garamond" w:cs="Arial"/>
          <w:color w:val="auto"/>
          <w:sz w:val="24"/>
          <w:szCs w:val="24"/>
        </w:rPr>
        <w:t>mite</w:t>
      </w:r>
      <w:r w:rsidR="00FB76BE" w:rsidRPr="002720C5">
        <w:rPr>
          <w:rFonts w:ascii="Garamond" w:hAnsi="Garamond" w:cs="Arial"/>
          <w:color w:val="auto"/>
          <w:sz w:val="24"/>
          <w:szCs w:val="24"/>
        </w:rPr>
        <w:t>s judiciais</w:t>
      </w:r>
      <w:r w:rsidR="002720C5">
        <w:rPr>
          <w:rFonts w:ascii="Garamond" w:hAnsi="Garamond" w:cs="Arial"/>
          <w:color w:val="auto"/>
          <w:sz w:val="24"/>
          <w:szCs w:val="24"/>
        </w:rPr>
        <w:t>»</w:t>
      </w:r>
      <w:r w:rsidRPr="002720C5">
        <w:rPr>
          <w:rFonts w:ascii="Garamond" w:hAnsi="Garamond" w:cs="Arial"/>
          <w:color w:val="auto"/>
          <w:sz w:val="24"/>
          <w:szCs w:val="24"/>
        </w:rPr>
        <w:t>.</w:t>
      </w:r>
      <w:r w:rsidRPr="003A1174">
        <w:rPr>
          <w:rFonts w:ascii="Garamond" w:hAnsi="Garamond" w:cs="Arial"/>
          <w:color w:val="auto"/>
          <w:sz w:val="24"/>
          <w:szCs w:val="24"/>
        </w:rPr>
        <w:t xml:space="preserve"> </w:t>
      </w:r>
      <w:r w:rsidR="000350B1" w:rsidRPr="003A1174">
        <w:rPr>
          <w:rFonts w:ascii="Garamond" w:hAnsi="Garamond" w:cs="Arial"/>
          <w:color w:val="auto"/>
          <w:sz w:val="24"/>
          <w:szCs w:val="24"/>
        </w:rPr>
        <w:t>Também</w:t>
      </w:r>
      <w:r w:rsidRPr="003A1174">
        <w:rPr>
          <w:rFonts w:ascii="Garamond" w:hAnsi="Garamond" w:cs="Arial"/>
          <w:color w:val="auto"/>
          <w:sz w:val="24"/>
          <w:szCs w:val="24"/>
        </w:rPr>
        <w:t xml:space="preserve"> prom</w:t>
      </w:r>
      <w:r w:rsidR="00FB76BE" w:rsidRPr="003A1174">
        <w:rPr>
          <w:rFonts w:ascii="Garamond" w:hAnsi="Garamond" w:cs="Arial"/>
          <w:color w:val="auto"/>
          <w:sz w:val="24"/>
          <w:szCs w:val="24"/>
        </w:rPr>
        <w:t>o</w:t>
      </w:r>
      <w:r w:rsidRPr="003A1174">
        <w:rPr>
          <w:rFonts w:ascii="Garamond" w:hAnsi="Garamond" w:cs="Arial"/>
          <w:color w:val="auto"/>
          <w:sz w:val="24"/>
          <w:szCs w:val="24"/>
        </w:rPr>
        <w:t xml:space="preserve">ve que </w:t>
      </w:r>
      <w:r w:rsidR="00FB76BE" w:rsidRPr="003A1174">
        <w:rPr>
          <w:rFonts w:ascii="Garamond" w:hAnsi="Garamond" w:cs="Arial"/>
          <w:color w:val="auto"/>
          <w:sz w:val="24"/>
          <w:szCs w:val="24"/>
        </w:rPr>
        <w:t>ao</w:t>
      </w:r>
      <w:r w:rsidRPr="003A1174">
        <w:rPr>
          <w:rFonts w:ascii="Garamond" w:hAnsi="Garamond" w:cs="Arial"/>
          <w:color w:val="auto"/>
          <w:sz w:val="24"/>
          <w:szCs w:val="24"/>
        </w:rPr>
        <w:t xml:space="preserve"> proce</w:t>
      </w:r>
      <w:r w:rsidR="00FB76BE" w:rsidRPr="003A1174">
        <w:rPr>
          <w:rFonts w:ascii="Garamond" w:hAnsi="Garamond" w:cs="Arial"/>
          <w:color w:val="auto"/>
          <w:sz w:val="24"/>
          <w:szCs w:val="24"/>
        </w:rPr>
        <w:t>s</w:t>
      </w:r>
      <w:r w:rsidRPr="003A1174">
        <w:rPr>
          <w:rFonts w:ascii="Garamond" w:hAnsi="Garamond" w:cs="Arial"/>
          <w:color w:val="auto"/>
          <w:sz w:val="24"/>
          <w:szCs w:val="24"/>
        </w:rPr>
        <w:t xml:space="preserve">sado por este delito se suspenda </w:t>
      </w:r>
      <w:r w:rsidR="00FB76BE" w:rsidRPr="003A1174">
        <w:rPr>
          <w:rFonts w:ascii="Garamond" w:hAnsi="Garamond" w:cs="Arial"/>
          <w:color w:val="auto"/>
          <w:sz w:val="24"/>
          <w:szCs w:val="24"/>
        </w:rPr>
        <w:t>o</w:t>
      </w:r>
      <w:r w:rsidRPr="003A1174">
        <w:rPr>
          <w:rFonts w:ascii="Garamond" w:hAnsi="Garamond" w:cs="Arial"/>
          <w:color w:val="auto"/>
          <w:sz w:val="24"/>
          <w:szCs w:val="24"/>
        </w:rPr>
        <w:t xml:space="preserve"> </w:t>
      </w:r>
      <w:r w:rsidR="00731B19" w:rsidRPr="003A1174">
        <w:rPr>
          <w:rFonts w:ascii="Garamond" w:hAnsi="Garamond" w:cs="Arial"/>
          <w:color w:val="auto"/>
          <w:sz w:val="24"/>
          <w:szCs w:val="24"/>
        </w:rPr>
        <w:t>exercício</w:t>
      </w:r>
      <w:r w:rsidR="00FB76BE" w:rsidRPr="003A1174">
        <w:rPr>
          <w:rFonts w:ascii="Garamond" w:hAnsi="Garamond" w:cs="Arial"/>
          <w:color w:val="auto"/>
          <w:sz w:val="24"/>
          <w:szCs w:val="24"/>
        </w:rPr>
        <w:t xml:space="preserve"> d</w:t>
      </w:r>
      <w:r w:rsidRPr="003A1174">
        <w:rPr>
          <w:rFonts w:ascii="Garamond" w:hAnsi="Garamond" w:cs="Arial"/>
          <w:color w:val="auto"/>
          <w:sz w:val="24"/>
          <w:szCs w:val="24"/>
        </w:rPr>
        <w:t>e</w:t>
      </w:r>
      <w:r w:rsidR="00FB76BE" w:rsidRPr="003A1174">
        <w:rPr>
          <w:rFonts w:ascii="Garamond" w:hAnsi="Garamond" w:cs="Arial"/>
          <w:color w:val="auto"/>
          <w:sz w:val="24"/>
          <w:szCs w:val="24"/>
        </w:rPr>
        <w:t>s</w:t>
      </w:r>
      <w:r w:rsidRPr="003A1174">
        <w:rPr>
          <w:rFonts w:ascii="Garamond" w:hAnsi="Garamond" w:cs="Arial"/>
          <w:color w:val="auto"/>
          <w:sz w:val="24"/>
          <w:szCs w:val="24"/>
        </w:rPr>
        <w:t xml:space="preserve">se </w:t>
      </w:r>
      <w:r w:rsidR="00886D6A" w:rsidRPr="003A1174">
        <w:rPr>
          <w:rFonts w:ascii="Garamond" w:hAnsi="Garamond" w:cs="Arial"/>
          <w:color w:val="auto"/>
          <w:sz w:val="24"/>
          <w:szCs w:val="24"/>
        </w:rPr>
        <w:t>direito</w:t>
      </w:r>
      <w:r w:rsidRPr="003A1174">
        <w:rPr>
          <w:rFonts w:ascii="Garamond" w:hAnsi="Garamond" w:cs="Arial"/>
          <w:color w:val="auto"/>
          <w:sz w:val="24"/>
          <w:szCs w:val="24"/>
        </w:rPr>
        <w:t xml:space="preserve"> </w:t>
      </w:r>
      <w:r w:rsidR="00FB76BE" w:rsidRPr="003A1174">
        <w:rPr>
          <w:rFonts w:ascii="Garamond" w:hAnsi="Garamond" w:cs="Arial"/>
          <w:color w:val="auto"/>
          <w:sz w:val="24"/>
          <w:szCs w:val="24"/>
        </w:rPr>
        <w:t xml:space="preserve">até </w:t>
      </w:r>
      <w:r w:rsidR="006342CF" w:rsidRPr="003A1174">
        <w:rPr>
          <w:rFonts w:ascii="Garamond" w:hAnsi="Garamond" w:cs="Arial"/>
          <w:color w:val="auto"/>
          <w:sz w:val="24"/>
          <w:szCs w:val="24"/>
        </w:rPr>
        <w:t>que</w:t>
      </w:r>
      <w:r w:rsidRPr="003A1174">
        <w:rPr>
          <w:rFonts w:ascii="Garamond" w:hAnsi="Garamond" w:cs="Arial"/>
          <w:color w:val="auto"/>
          <w:sz w:val="24"/>
          <w:szCs w:val="24"/>
        </w:rPr>
        <w:t xml:space="preserve"> se res</w:t>
      </w:r>
      <w:r w:rsidR="00FB76BE" w:rsidRPr="003A1174">
        <w:rPr>
          <w:rFonts w:ascii="Garamond" w:hAnsi="Garamond" w:cs="Arial"/>
          <w:color w:val="auto"/>
          <w:sz w:val="24"/>
          <w:szCs w:val="24"/>
        </w:rPr>
        <w:t xml:space="preserve">olva </w:t>
      </w:r>
      <w:r w:rsidRPr="003A1174">
        <w:rPr>
          <w:rFonts w:ascii="Garamond" w:hAnsi="Garamond" w:cs="Arial"/>
          <w:color w:val="auto"/>
          <w:sz w:val="24"/>
          <w:szCs w:val="24"/>
        </w:rPr>
        <w:t xml:space="preserve">a causa judicial. </w:t>
      </w:r>
    </w:p>
    <w:p w:rsidR="00CA39B2" w:rsidRPr="003A1174" w:rsidRDefault="00CA39B2" w:rsidP="008719D4">
      <w:pPr>
        <w:pStyle w:val="Prrafodelista1"/>
        <w:spacing w:after="0" w:line="240" w:lineRule="auto"/>
        <w:jc w:val="both"/>
        <w:rPr>
          <w:rFonts w:ascii="Garamond" w:hAnsi="Garamond" w:cs="Arial"/>
          <w:color w:val="auto"/>
          <w:sz w:val="24"/>
          <w:szCs w:val="24"/>
        </w:rPr>
      </w:pPr>
    </w:p>
    <w:p w:rsidR="00CA39B2" w:rsidRPr="003A1174" w:rsidRDefault="00CA39B2"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A</w:t>
      </w:r>
      <w:r w:rsidR="00FB76BE" w:rsidRPr="003A1174">
        <w:rPr>
          <w:rFonts w:ascii="Garamond" w:hAnsi="Garamond" w:cs="Arial"/>
          <w:color w:val="auto"/>
          <w:sz w:val="24"/>
          <w:szCs w:val="24"/>
        </w:rPr>
        <w:t xml:space="preserve">lém disso, </w:t>
      </w:r>
      <w:r w:rsidRPr="003A1174">
        <w:rPr>
          <w:rFonts w:ascii="Garamond" w:hAnsi="Garamond" w:cs="Arial"/>
          <w:color w:val="auto"/>
          <w:sz w:val="24"/>
          <w:szCs w:val="24"/>
        </w:rPr>
        <w:t xml:space="preserve">a iniciativa </w:t>
      </w:r>
      <w:r w:rsidR="00AC63DF" w:rsidRPr="003A1174">
        <w:rPr>
          <w:rFonts w:ascii="Garamond" w:hAnsi="Garamond" w:cs="Arial"/>
          <w:color w:val="auto"/>
          <w:sz w:val="24"/>
          <w:szCs w:val="24"/>
        </w:rPr>
        <w:t>propõe</w:t>
      </w:r>
      <w:r w:rsidRPr="003A1174">
        <w:rPr>
          <w:rFonts w:ascii="Garamond" w:hAnsi="Garamond" w:cs="Arial"/>
          <w:color w:val="auto"/>
          <w:sz w:val="24"/>
          <w:szCs w:val="24"/>
        </w:rPr>
        <w:t xml:space="preserve"> </w:t>
      </w:r>
      <w:r w:rsidR="00AF192F" w:rsidRPr="003A1174">
        <w:rPr>
          <w:rFonts w:ascii="Garamond" w:hAnsi="Garamond" w:cs="Arial"/>
          <w:color w:val="auto"/>
          <w:sz w:val="24"/>
          <w:szCs w:val="24"/>
        </w:rPr>
        <w:t>garantir</w:t>
      </w:r>
      <w:r w:rsidR="00FB76BE" w:rsidRPr="003A1174">
        <w:rPr>
          <w:rFonts w:ascii="Garamond" w:hAnsi="Garamond" w:cs="Arial"/>
          <w:color w:val="auto"/>
          <w:sz w:val="24"/>
          <w:szCs w:val="24"/>
        </w:rPr>
        <w:t xml:space="preserve"> </w:t>
      </w:r>
      <w:r w:rsidRPr="003A1174">
        <w:rPr>
          <w:rFonts w:ascii="Garamond" w:hAnsi="Garamond" w:cs="Arial"/>
          <w:color w:val="auto"/>
          <w:sz w:val="24"/>
          <w:szCs w:val="24"/>
        </w:rPr>
        <w:t xml:space="preserve">os </w:t>
      </w:r>
      <w:r w:rsidR="00886D6A" w:rsidRPr="003A1174">
        <w:rPr>
          <w:rFonts w:ascii="Garamond" w:hAnsi="Garamond" w:cs="Arial"/>
          <w:color w:val="auto"/>
          <w:sz w:val="24"/>
          <w:szCs w:val="24"/>
        </w:rPr>
        <w:t>direito</w:t>
      </w:r>
      <w:r w:rsidRPr="003A1174">
        <w:rPr>
          <w:rFonts w:ascii="Garamond" w:hAnsi="Garamond" w:cs="Arial"/>
          <w:color w:val="auto"/>
          <w:sz w:val="24"/>
          <w:szCs w:val="24"/>
        </w:rPr>
        <w:t>s d</w:t>
      </w:r>
      <w:r w:rsidR="00A73177" w:rsidRPr="003A1174">
        <w:rPr>
          <w:rFonts w:ascii="Garamond" w:hAnsi="Garamond" w:cs="Arial"/>
          <w:color w:val="auto"/>
          <w:sz w:val="24"/>
          <w:szCs w:val="24"/>
        </w:rPr>
        <w:t xml:space="preserve">as </w:t>
      </w:r>
      <w:r w:rsidR="00FB76BE" w:rsidRPr="003A1174">
        <w:rPr>
          <w:rFonts w:ascii="Garamond" w:hAnsi="Garamond" w:cs="Arial"/>
          <w:color w:val="auto"/>
          <w:sz w:val="24"/>
          <w:szCs w:val="24"/>
        </w:rPr>
        <w:t xml:space="preserve">crianças, no </w:t>
      </w:r>
      <w:r w:rsidRPr="003A1174">
        <w:rPr>
          <w:rFonts w:ascii="Garamond" w:hAnsi="Garamond" w:cs="Arial"/>
          <w:color w:val="auto"/>
          <w:sz w:val="24"/>
          <w:szCs w:val="24"/>
        </w:rPr>
        <w:t xml:space="preserve">sentido de que </w:t>
      </w:r>
      <w:r w:rsidR="00FB76BE" w:rsidRPr="003A1174">
        <w:rPr>
          <w:rFonts w:ascii="Garamond" w:hAnsi="Garamond" w:cs="Arial"/>
          <w:color w:val="auto"/>
          <w:sz w:val="24"/>
          <w:szCs w:val="24"/>
        </w:rPr>
        <w:t xml:space="preserve">estas </w:t>
      </w:r>
      <w:r w:rsidRPr="003A1174">
        <w:rPr>
          <w:rFonts w:ascii="Garamond" w:hAnsi="Garamond" w:cs="Arial"/>
          <w:color w:val="auto"/>
          <w:sz w:val="24"/>
          <w:szCs w:val="24"/>
        </w:rPr>
        <w:t>rec</w:t>
      </w:r>
      <w:r w:rsidR="00FB76BE" w:rsidRPr="003A1174">
        <w:rPr>
          <w:rFonts w:ascii="Garamond" w:hAnsi="Garamond" w:cs="Arial"/>
          <w:color w:val="auto"/>
          <w:sz w:val="24"/>
          <w:szCs w:val="24"/>
        </w:rPr>
        <w:t xml:space="preserve">ebam </w:t>
      </w:r>
      <w:r w:rsidRPr="003A1174">
        <w:rPr>
          <w:rFonts w:ascii="Garamond" w:hAnsi="Garamond" w:cs="Arial"/>
          <w:color w:val="auto"/>
          <w:sz w:val="24"/>
          <w:szCs w:val="24"/>
        </w:rPr>
        <w:t>alimentos d</w:t>
      </w:r>
      <w:r w:rsidR="00FB76BE" w:rsidRPr="003A1174">
        <w:rPr>
          <w:rFonts w:ascii="Garamond" w:hAnsi="Garamond" w:cs="Arial"/>
          <w:color w:val="auto"/>
          <w:sz w:val="24"/>
          <w:szCs w:val="24"/>
        </w:rPr>
        <w:t>os</w:t>
      </w:r>
      <w:r w:rsidRPr="003A1174">
        <w:rPr>
          <w:rFonts w:ascii="Garamond" w:hAnsi="Garamond" w:cs="Arial"/>
          <w:color w:val="auto"/>
          <w:sz w:val="24"/>
          <w:szCs w:val="24"/>
        </w:rPr>
        <w:t xml:space="preserve"> </w:t>
      </w:r>
      <w:r w:rsidR="00FB76BE" w:rsidRPr="003A1174">
        <w:rPr>
          <w:rFonts w:ascii="Garamond" w:hAnsi="Garamond" w:cs="Arial"/>
          <w:color w:val="auto"/>
          <w:sz w:val="24"/>
          <w:szCs w:val="24"/>
        </w:rPr>
        <w:t xml:space="preserve">seus </w:t>
      </w:r>
      <w:r w:rsidRPr="003A1174">
        <w:rPr>
          <w:rFonts w:ascii="Garamond" w:hAnsi="Garamond" w:cs="Arial"/>
          <w:color w:val="auto"/>
          <w:sz w:val="24"/>
          <w:szCs w:val="24"/>
        </w:rPr>
        <w:t>pa</w:t>
      </w:r>
      <w:r w:rsidR="00FB76BE" w:rsidRPr="003A1174">
        <w:rPr>
          <w:rFonts w:ascii="Garamond" w:hAnsi="Garamond" w:cs="Arial"/>
          <w:color w:val="auto"/>
          <w:sz w:val="24"/>
          <w:szCs w:val="24"/>
        </w:rPr>
        <w:t>i</w:t>
      </w:r>
      <w:r w:rsidRPr="003A1174">
        <w:rPr>
          <w:rFonts w:ascii="Garamond" w:hAnsi="Garamond" w:cs="Arial"/>
          <w:color w:val="auto"/>
          <w:sz w:val="24"/>
          <w:szCs w:val="24"/>
        </w:rPr>
        <w:t>s, que ob</w:t>
      </w:r>
      <w:r w:rsidR="002D1021" w:rsidRPr="003A1174">
        <w:rPr>
          <w:rFonts w:ascii="Garamond" w:hAnsi="Garamond" w:cs="Arial"/>
          <w:color w:val="auto"/>
          <w:sz w:val="24"/>
          <w:szCs w:val="24"/>
        </w:rPr>
        <w:t>tenha</w:t>
      </w:r>
      <w:r w:rsidR="00FB76BE" w:rsidRPr="003A1174">
        <w:rPr>
          <w:rFonts w:ascii="Garamond" w:hAnsi="Garamond" w:cs="Arial"/>
          <w:color w:val="auto"/>
          <w:sz w:val="24"/>
          <w:szCs w:val="24"/>
        </w:rPr>
        <w:t xml:space="preserve">m a tutela </w:t>
      </w:r>
      <w:r w:rsidRPr="003A1174">
        <w:rPr>
          <w:rFonts w:ascii="Garamond" w:hAnsi="Garamond" w:cs="Arial"/>
          <w:color w:val="auto"/>
          <w:sz w:val="24"/>
          <w:szCs w:val="24"/>
        </w:rPr>
        <w:t>aprop</w:t>
      </w:r>
      <w:r w:rsidR="00FB76BE" w:rsidRPr="003A1174">
        <w:rPr>
          <w:rFonts w:ascii="Garamond" w:hAnsi="Garamond" w:cs="Arial"/>
          <w:color w:val="auto"/>
          <w:sz w:val="24"/>
          <w:szCs w:val="24"/>
        </w:rPr>
        <w:t>r</w:t>
      </w:r>
      <w:r w:rsidRPr="003A1174">
        <w:rPr>
          <w:rFonts w:ascii="Garamond" w:hAnsi="Garamond" w:cs="Arial"/>
          <w:color w:val="auto"/>
          <w:sz w:val="24"/>
          <w:szCs w:val="24"/>
        </w:rPr>
        <w:t xml:space="preserve">iada </w:t>
      </w:r>
      <w:r w:rsidR="00FB76BE" w:rsidRPr="003A1174">
        <w:rPr>
          <w:rFonts w:ascii="Garamond" w:hAnsi="Garamond" w:cs="Arial"/>
          <w:color w:val="auto"/>
          <w:sz w:val="24"/>
          <w:szCs w:val="24"/>
        </w:rPr>
        <w:t>n</w:t>
      </w:r>
      <w:r w:rsidRPr="003A1174">
        <w:rPr>
          <w:rFonts w:ascii="Garamond" w:hAnsi="Garamond" w:cs="Arial"/>
          <w:color w:val="auto"/>
          <w:sz w:val="24"/>
          <w:szCs w:val="24"/>
        </w:rPr>
        <w:t>os casos e</w:t>
      </w:r>
      <w:r w:rsidR="00FB76BE" w:rsidRPr="003A1174">
        <w:rPr>
          <w:rFonts w:ascii="Garamond" w:hAnsi="Garamond" w:cs="Arial"/>
          <w:color w:val="auto"/>
          <w:sz w:val="24"/>
          <w:szCs w:val="24"/>
        </w:rPr>
        <w:t>m</w:t>
      </w:r>
      <w:r w:rsidRPr="003A1174">
        <w:rPr>
          <w:rFonts w:ascii="Garamond" w:hAnsi="Garamond" w:cs="Arial"/>
          <w:color w:val="auto"/>
          <w:sz w:val="24"/>
          <w:szCs w:val="24"/>
        </w:rPr>
        <w:t xml:space="preserve"> que se</w:t>
      </w:r>
      <w:r w:rsidR="00FB76BE" w:rsidRPr="003A1174">
        <w:rPr>
          <w:rFonts w:ascii="Garamond" w:hAnsi="Garamond" w:cs="Arial"/>
          <w:color w:val="auto"/>
          <w:sz w:val="24"/>
          <w:szCs w:val="24"/>
        </w:rPr>
        <w:t xml:space="preserve"> dê </w:t>
      </w:r>
      <w:r w:rsidRPr="003A1174">
        <w:rPr>
          <w:rFonts w:ascii="Garamond" w:hAnsi="Garamond" w:cs="Arial"/>
          <w:color w:val="auto"/>
          <w:sz w:val="24"/>
          <w:szCs w:val="24"/>
        </w:rPr>
        <w:t>priori</w:t>
      </w:r>
      <w:r w:rsidR="00FB76BE" w:rsidRPr="003A1174">
        <w:rPr>
          <w:rFonts w:ascii="Garamond" w:hAnsi="Garamond" w:cs="Arial"/>
          <w:color w:val="auto"/>
          <w:sz w:val="24"/>
          <w:szCs w:val="24"/>
        </w:rPr>
        <w:t xml:space="preserve">dade à </w:t>
      </w:r>
      <w:r w:rsidR="006C7AF1" w:rsidRPr="003A1174">
        <w:rPr>
          <w:rFonts w:ascii="Garamond" w:hAnsi="Garamond" w:cs="Arial"/>
          <w:color w:val="auto"/>
          <w:sz w:val="24"/>
          <w:szCs w:val="24"/>
        </w:rPr>
        <w:t>família</w:t>
      </w:r>
      <w:r w:rsidRPr="003A1174">
        <w:rPr>
          <w:rFonts w:ascii="Garamond" w:hAnsi="Garamond" w:cs="Arial"/>
          <w:color w:val="auto"/>
          <w:sz w:val="24"/>
          <w:szCs w:val="24"/>
        </w:rPr>
        <w:t xml:space="preserve"> ampliada materna, </w:t>
      </w:r>
      <w:r w:rsidR="00FB76BE" w:rsidRPr="003A1174">
        <w:rPr>
          <w:rFonts w:ascii="Garamond" w:hAnsi="Garamond" w:cs="Arial"/>
          <w:color w:val="auto"/>
          <w:sz w:val="24"/>
          <w:szCs w:val="24"/>
        </w:rPr>
        <w:t xml:space="preserve">e </w:t>
      </w:r>
      <w:r w:rsidRPr="003A1174">
        <w:rPr>
          <w:rFonts w:ascii="Garamond" w:hAnsi="Garamond" w:cs="Arial"/>
          <w:color w:val="auto"/>
          <w:sz w:val="24"/>
          <w:szCs w:val="24"/>
        </w:rPr>
        <w:t>que c</w:t>
      </w:r>
      <w:r w:rsidR="00FB76BE" w:rsidRPr="003A1174">
        <w:rPr>
          <w:rFonts w:ascii="Garamond" w:hAnsi="Garamond" w:cs="Arial"/>
          <w:color w:val="auto"/>
          <w:sz w:val="24"/>
          <w:szCs w:val="24"/>
        </w:rPr>
        <w:t xml:space="preserve">ontem com </w:t>
      </w:r>
      <w:r w:rsidR="000350B1" w:rsidRPr="003A1174">
        <w:rPr>
          <w:rFonts w:ascii="Garamond" w:hAnsi="Garamond" w:cs="Arial"/>
          <w:color w:val="auto"/>
          <w:sz w:val="24"/>
          <w:szCs w:val="24"/>
        </w:rPr>
        <w:t>assistência</w:t>
      </w:r>
      <w:r w:rsidRPr="003A1174">
        <w:rPr>
          <w:rFonts w:ascii="Garamond" w:hAnsi="Garamond" w:cs="Arial"/>
          <w:color w:val="auto"/>
          <w:sz w:val="24"/>
          <w:szCs w:val="24"/>
        </w:rPr>
        <w:t xml:space="preserve"> de </w:t>
      </w:r>
      <w:r w:rsidR="00C30647" w:rsidRPr="003A1174">
        <w:rPr>
          <w:rFonts w:ascii="Garamond" w:hAnsi="Garamond" w:cs="Arial"/>
          <w:color w:val="auto"/>
          <w:sz w:val="24"/>
          <w:szCs w:val="24"/>
        </w:rPr>
        <w:t>equipa</w:t>
      </w:r>
      <w:r w:rsidR="00FB76BE" w:rsidRPr="003A1174">
        <w:rPr>
          <w:rFonts w:ascii="Garamond" w:hAnsi="Garamond" w:cs="Arial"/>
          <w:color w:val="auto"/>
          <w:sz w:val="24"/>
          <w:szCs w:val="24"/>
        </w:rPr>
        <w:t>s interdisciplin</w:t>
      </w:r>
      <w:r w:rsidR="00A73177" w:rsidRPr="003A1174">
        <w:rPr>
          <w:rFonts w:ascii="Garamond" w:hAnsi="Garamond" w:cs="Arial"/>
          <w:color w:val="auto"/>
          <w:sz w:val="24"/>
          <w:szCs w:val="24"/>
        </w:rPr>
        <w:t>a</w:t>
      </w:r>
      <w:r w:rsidR="00FB76BE" w:rsidRPr="003A1174">
        <w:rPr>
          <w:rFonts w:ascii="Garamond" w:hAnsi="Garamond" w:cs="Arial"/>
          <w:color w:val="auto"/>
          <w:sz w:val="24"/>
          <w:szCs w:val="24"/>
        </w:rPr>
        <w:t>re</w:t>
      </w:r>
      <w:r w:rsidRPr="003A1174">
        <w:rPr>
          <w:rFonts w:ascii="Garamond" w:hAnsi="Garamond" w:cs="Arial"/>
          <w:color w:val="auto"/>
          <w:sz w:val="24"/>
          <w:szCs w:val="24"/>
        </w:rPr>
        <w:t>s, inclui</w:t>
      </w:r>
      <w:r w:rsidR="00FB76BE" w:rsidRPr="003A1174">
        <w:rPr>
          <w:rFonts w:ascii="Garamond" w:hAnsi="Garamond" w:cs="Arial"/>
          <w:color w:val="auto"/>
          <w:sz w:val="24"/>
          <w:szCs w:val="24"/>
        </w:rPr>
        <w:t xml:space="preserve">ndo a </w:t>
      </w:r>
      <w:r w:rsidR="000350B1" w:rsidRPr="003A1174">
        <w:rPr>
          <w:rFonts w:ascii="Garamond" w:hAnsi="Garamond" w:cs="Arial"/>
          <w:color w:val="auto"/>
          <w:sz w:val="24"/>
          <w:szCs w:val="24"/>
        </w:rPr>
        <w:t>assistência</w:t>
      </w:r>
      <w:r w:rsidRPr="003A1174">
        <w:rPr>
          <w:rFonts w:ascii="Garamond" w:hAnsi="Garamond" w:cs="Arial"/>
          <w:color w:val="auto"/>
          <w:sz w:val="24"/>
          <w:szCs w:val="24"/>
        </w:rPr>
        <w:t xml:space="preserve"> legal especializada.</w:t>
      </w:r>
    </w:p>
    <w:p w:rsidR="00CA39B2" w:rsidRPr="003A1174" w:rsidRDefault="00CA39B2" w:rsidP="008719D4">
      <w:pPr>
        <w:pStyle w:val="Prrafodelista1"/>
        <w:spacing w:after="0" w:line="240" w:lineRule="auto"/>
        <w:jc w:val="both"/>
        <w:rPr>
          <w:rFonts w:ascii="Garamond" w:hAnsi="Garamond" w:cs="Arial"/>
          <w:color w:val="auto"/>
          <w:sz w:val="24"/>
          <w:szCs w:val="24"/>
        </w:rPr>
      </w:pPr>
    </w:p>
    <w:p w:rsidR="00CA39B2" w:rsidRPr="003A1174" w:rsidRDefault="00D96FD0" w:rsidP="008719D4">
      <w:pPr>
        <w:pStyle w:val="Prrafodelista"/>
        <w:numPr>
          <w:ilvl w:val="0"/>
          <w:numId w:val="14"/>
        </w:numPr>
        <w:spacing w:line="240" w:lineRule="auto"/>
        <w:jc w:val="both"/>
        <w:rPr>
          <w:rFonts w:ascii="Garamond" w:hAnsi="Garamond" w:cs="Arial"/>
          <w:b/>
          <w:color w:val="auto"/>
          <w:sz w:val="24"/>
          <w:szCs w:val="24"/>
        </w:rPr>
      </w:pPr>
      <w:r w:rsidRPr="003A1174">
        <w:rPr>
          <w:rFonts w:ascii="Garamond" w:hAnsi="Garamond" w:cs="Arial"/>
          <w:b/>
          <w:color w:val="auto"/>
          <w:sz w:val="24"/>
          <w:szCs w:val="24"/>
          <w:lang w:val="pt-PT"/>
        </w:rPr>
        <w:t>Cumprimento</w:t>
      </w:r>
      <w:r w:rsidR="00FB76BE" w:rsidRPr="003A1174">
        <w:rPr>
          <w:rFonts w:ascii="Garamond" w:hAnsi="Garamond" w:cs="Arial"/>
          <w:b/>
          <w:color w:val="auto"/>
          <w:sz w:val="24"/>
          <w:szCs w:val="24"/>
        </w:rPr>
        <w:t xml:space="preserve"> d</w:t>
      </w:r>
      <w:r w:rsidR="002A6677" w:rsidRPr="003A1174">
        <w:rPr>
          <w:rFonts w:ascii="Garamond" w:hAnsi="Garamond" w:cs="Arial"/>
          <w:b/>
          <w:color w:val="auto"/>
          <w:sz w:val="24"/>
          <w:szCs w:val="24"/>
        </w:rPr>
        <w:t>a</w:t>
      </w:r>
      <w:r w:rsidR="00FB76BE" w:rsidRPr="003A1174">
        <w:rPr>
          <w:rFonts w:ascii="Garamond" w:hAnsi="Garamond" w:cs="Arial"/>
          <w:b/>
          <w:color w:val="auto"/>
          <w:sz w:val="24"/>
          <w:szCs w:val="24"/>
        </w:rPr>
        <w:t>s</w:t>
      </w:r>
      <w:r w:rsidR="002A6677" w:rsidRPr="003A1174">
        <w:rPr>
          <w:rFonts w:ascii="Garamond" w:hAnsi="Garamond" w:cs="Arial"/>
          <w:b/>
          <w:color w:val="auto"/>
          <w:sz w:val="24"/>
          <w:szCs w:val="24"/>
        </w:rPr>
        <w:t xml:space="preserve"> </w:t>
      </w:r>
      <w:r w:rsidR="00FB76BE" w:rsidRPr="003A1174">
        <w:rPr>
          <w:rFonts w:ascii="Garamond" w:hAnsi="Garamond" w:cs="Arial"/>
          <w:b/>
          <w:color w:val="auto"/>
          <w:sz w:val="24"/>
          <w:szCs w:val="24"/>
        </w:rPr>
        <w:t>normas</w:t>
      </w:r>
      <w:r w:rsidR="00CA39B2" w:rsidRPr="003A1174">
        <w:rPr>
          <w:rFonts w:ascii="Garamond" w:hAnsi="Garamond" w:cs="Arial"/>
          <w:b/>
          <w:color w:val="auto"/>
          <w:sz w:val="24"/>
          <w:szCs w:val="24"/>
        </w:rPr>
        <w:t xml:space="preserve"> </w:t>
      </w:r>
      <w:r w:rsidR="002A6677" w:rsidRPr="003A1174">
        <w:rPr>
          <w:rFonts w:ascii="Garamond" w:hAnsi="Garamond" w:cs="Arial"/>
          <w:b/>
          <w:color w:val="auto"/>
          <w:sz w:val="24"/>
          <w:szCs w:val="24"/>
        </w:rPr>
        <w:tab/>
      </w:r>
    </w:p>
    <w:p w:rsidR="001325B3" w:rsidRPr="003A1174" w:rsidRDefault="00FB76BE"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Contudo, sem prejuízo das </w:t>
      </w:r>
      <w:r w:rsidR="005D38DC" w:rsidRPr="003A1174">
        <w:rPr>
          <w:rFonts w:ascii="Garamond" w:hAnsi="Garamond" w:cs="Arial"/>
          <w:color w:val="auto"/>
          <w:sz w:val="24"/>
          <w:szCs w:val="24"/>
        </w:rPr>
        <w:t>propostas</w:t>
      </w:r>
      <w:r w:rsidR="00CA39B2" w:rsidRPr="003A1174">
        <w:rPr>
          <w:rFonts w:ascii="Garamond" w:hAnsi="Garamond" w:cs="Arial"/>
          <w:color w:val="auto"/>
          <w:sz w:val="24"/>
          <w:szCs w:val="24"/>
        </w:rPr>
        <w:t xml:space="preserve"> normativas e</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curso que </w:t>
      </w:r>
      <w:r w:rsidR="00394F46" w:rsidRPr="003A1174">
        <w:rPr>
          <w:rFonts w:ascii="Garamond" w:hAnsi="Garamond" w:cs="Arial"/>
          <w:color w:val="auto"/>
          <w:sz w:val="24"/>
          <w:szCs w:val="24"/>
        </w:rPr>
        <w:t>acabamos de</w:t>
      </w:r>
      <w:r w:rsidR="00CA39B2" w:rsidRPr="003A1174">
        <w:rPr>
          <w:rFonts w:ascii="Garamond" w:hAnsi="Garamond" w:cs="Arial"/>
          <w:color w:val="auto"/>
          <w:sz w:val="24"/>
          <w:szCs w:val="24"/>
        </w:rPr>
        <w:t xml:space="preserve"> menciona</w:t>
      </w:r>
      <w:r w:rsidR="00394F46" w:rsidRPr="003A1174">
        <w:rPr>
          <w:rFonts w:ascii="Garamond" w:hAnsi="Garamond" w:cs="Arial"/>
          <w:color w:val="auto"/>
          <w:sz w:val="24"/>
          <w:szCs w:val="24"/>
        </w:rPr>
        <w:t>r</w:t>
      </w:r>
      <w:r w:rsidR="00CA39B2" w:rsidRPr="003A1174">
        <w:rPr>
          <w:rFonts w:ascii="Garamond" w:hAnsi="Garamond" w:cs="Arial"/>
          <w:color w:val="auto"/>
          <w:sz w:val="24"/>
          <w:szCs w:val="24"/>
        </w:rPr>
        <w:t>,</w:t>
      </w:r>
      <w:r w:rsidRPr="003A1174">
        <w:rPr>
          <w:rFonts w:ascii="Garamond" w:hAnsi="Garamond" w:cs="Arial"/>
          <w:color w:val="auto"/>
          <w:sz w:val="24"/>
          <w:szCs w:val="24"/>
        </w:rPr>
        <w:t xml:space="preserve"> relativamente à</w:t>
      </w:r>
      <w:r w:rsidR="00CA39B2" w:rsidRPr="003A1174">
        <w:rPr>
          <w:rFonts w:ascii="Garamond" w:hAnsi="Garamond" w:cs="Arial"/>
          <w:color w:val="auto"/>
          <w:sz w:val="24"/>
          <w:szCs w:val="24"/>
        </w:rPr>
        <w:t xml:space="preserve">s normas </w:t>
      </w:r>
      <w:r w:rsidRPr="003A1174">
        <w:rPr>
          <w:rFonts w:ascii="Garamond" w:hAnsi="Garamond" w:cs="Arial"/>
          <w:color w:val="auto"/>
          <w:sz w:val="24"/>
          <w:szCs w:val="24"/>
        </w:rPr>
        <w:t xml:space="preserve">já em </w:t>
      </w:r>
      <w:r w:rsidR="00CD707D" w:rsidRPr="003A1174">
        <w:rPr>
          <w:rFonts w:ascii="Garamond" w:hAnsi="Garamond" w:cs="Arial"/>
          <w:color w:val="auto"/>
          <w:sz w:val="24"/>
          <w:szCs w:val="24"/>
        </w:rPr>
        <w:t>vigência</w:t>
      </w:r>
      <w:r w:rsidR="00CA39B2" w:rsidRPr="003A1174">
        <w:rPr>
          <w:rFonts w:ascii="Garamond" w:hAnsi="Garamond" w:cs="Arial"/>
          <w:color w:val="auto"/>
          <w:sz w:val="24"/>
          <w:szCs w:val="24"/>
        </w:rPr>
        <w:t xml:space="preserve"> formal e</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w:t>
      </w:r>
      <w:r w:rsidR="00EF645F" w:rsidRPr="003A1174">
        <w:rPr>
          <w:rFonts w:ascii="Garamond" w:hAnsi="Garamond" w:cs="Arial"/>
          <w:color w:val="auto"/>
          <w:sz w:val="24"/>
          <w:szCs w:val="24"/>
        </w:rPr>
        <w:t>matéria</w:t>
      </w:r>
      <w:r w:rsidR="00CA39B2" w:rsidRPr="003A1174">
        <w:rPr>
          <w:rFonts w:ascii="Garamond" w:hAnsi="Garamond" w:cs="Arial"/>
          <w:color w:val="auto"/>
          <w:sz w:val="24"/>
          <w:szCs w:val="24"/>
        </w:rPr>
        <w:t xml:space="preserve"> de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w:t>
      </w:r>
      <w:r w:rsidR="00D77C19" w:rsidRPr="003A1174">
        <w:rPr>
          <w:rFonts w:ascii="Garamond" w:hAnsi="Garamond" w:cs="Arial"/>
          <w:color w:val="auto"/>
          <w:sz w:val="24"/>
          <w:szCs w:val="24"/>
        </w:rPr>
        <w:t>convé</w:t>
      </w:r>
      <w:r w:rsidR="00A73177" w:rsidRPr="003A1174">
        <w:rPr>
          <w:rFonts w:ascii="Garamond" w:hAnsi="Garamond" w:cs="Arial"/>
          <w:color w:val="auto"/>
          <w:sz w:val="24"/>
          <w:szCs w:val="24"/>
        </w:rPr>
        <w:t>m</w:t>
      </w:r>
      <w:r w:rsidR="00D77C19" w:rsidRPr="003A1174">
        <w:rPr>
          <w:rFonts w:ascii="Garamond" w:hAnsi="Garamond" w:cs="Arial"/>
          <w:color w:val="auto"/>
          <w:sz w:val="24"/>
          <w:szCs w:val="24"/>
        </w:rPr>
        <w:t xml:space="preserve"> ressaltar que tanto à es</w:t>
      </w:r>
      <w:r w:rsidR="00394F46" w:rsidRPr="003A1174">
        <w:rPr>
          <w:rFonts w:ascii="Garamond" w:hAnsi="Garamond" w:cs="Arial"/>
          <w:color w:val="auto"/>
          <w:sz w:val="24"/>
          <w:szCs w:val="24"/>
        </w:rPr>
        <w:t>cala</w:t>
      </w:r>
      <w:r w:rsidR="001325B3" w:rsidRPr="003A1174">
        <w:rPr>
          <w:rFonts w:ascii="Garamond" w:hAnsi="Garamond" w:cs="Arial"/>
          <w:color w:val="auto"/>
          <w:sz w:val="24"/>
          <w:szCs w:val="24"/>
        </w:rPr>
        <w:t xml:space="preserve"> nacional como </w:t>
      </w:r>
      <w:r w:rsidR="00D77C19" w:rsidRPr="003A1174">
        <w:rPr>
          <w:rFonts w:ascii="Garamond" w:hAnsi="Garamond" w:cs="Arial"/>
          <w:color w:val="auto"/>
          <w:sz w:val="24"/>
          <w:szCs w:val="24"/>
        </w:rPr>
        <w:t xml:space="preserve">à da </w:t>
      </w:r>
      <w:r w:rsidR="00394F46" w:rsidRPr="003A1174">
        <w:rPr>
          <w:rFonts w:ascii="Garamond" w:hAnsi="Garamond" w:cs="Arial"/>
          <w:color w:val="auto"/>
          <w:sz w:val="24"/>
          <w:szCs w:val="24"/>
        </w:rPr>
        <w:t>c</w:t>
      </w:r>
      <w:r w:rsidR="00D77C19" w:rsidRPr="003A1174">
        <w:rPr>
          <w:rFonts w:ascii="Garamond" w:hAnsi="Garamond" w:cs="Arial"/>
          <w:color w:val="auto"/>
          <w:sz w:val="24"/>
          <w:szCs w:val="24"/>
        </w:rPr>
        <w:t>i</w:t>
      </w:r>
      <w:r w:rsidR="001325B3" w:rsidRPr="003A1174">
        <w:rPr>
          <w:rFonts w:ascii="Garamond" w:hAnsi="Garamond" w:cs="Arial"/>
          <w:color w:val="auto"/>
          <w:sz w:val="24"/>
          <w:szCs w:val="24"/>
        </w:rPr>
        <w:t>dad</w:t>
      </w:r>
      <w:r w:rsidR="00D77C19" w:rsidRPr="003A1174">
        <w:rPr>
          <w:rFonts w:ascii="Garamond" w:hAnsi="Garamond" w:cs="Arial"/>
          <w:color w:val="auto"/>
          <w:sz w:val="24"/>
          <w:szCs w:val="24"/>
        </w:rPr>
        <w:t>e</w:t>
      </w:r>
      <w:r w:rsidR="001325B3" w:rsidRPr="003A1174">
        <w:rPr>
          <w:rFonts w:ascii="Garamond" w:hAnsi="Garamond" w:cs="Arial"/>
          <w:color w:val="auto"/>
          <w:sz w:val="24"/>
          <w:szCs w:val="24"/>
        </w:rPr>
        <w:t xml:space="preserve"> de Buenos Aires, mu</w:t>
      </w:r>
      <w:r w:rsidR="00D77C19" w:rsidRPr="003A1174">
        <w:rPr>
          <w:rFonts w:ascii="Garamond" w:hAnsi="Garamond" w:cs="Arial"/>
          <w:color w:val="auto"/>
          <w:sz w:val="24"/>
          <w:szCs w:val="24"/>
        </w:rPr>
        <w:t>itas destas mostram sério</w:t>
      </w:r>
      <w:r w:rsidR="001325B3" w:rsidRPr="003A1174">
        <w:rPr>
          <w:rFonts w:ascii="Garamond" w:hAnsi="Garamond" w:cs="Arial"/>
          <w:color w:val="auto"/>
          <w:sz w:val="24"/>
          <w:szCs w:val="24"/>
        </w:rPr>
        <w:t xml:space="preserve">s problemas de </w:t>
      </w:r>
      <w:r w:rsidR="006C760C" w:rsidRPr="003A1174">
        <w:rPr>
          <w:rFonts w:ascii="Garamond" w:hAnsi="Garamond" w:cs="Arial"/>
          <w:color w:val="auto"/>
          <w:sz w:val="24"/>
          <w:szCs w:val="24"/>
        </w:rPr>
        <w:t>implementação</w:t>
      </w:r>
      <w:r w:rsidR="00D77C19" w:rsidRPr="003A1174">
        <w:rPr>
          <w:rFonts w:ascii="Garamond" w:hAnsi="Garamond" w:cs="Arial"/>
          <w:color w:val="auto"/>
          <w:sz w:val="24"/>
          <w:szCs w:val="24"/>
        </w:rPr>
        <w:t xml:space="preserve"> e</w:t>
      </w:r>
      <w:r w:rsidR="001325B3" w:rsidRPr="003A1174">
        <w:rPr>
          <w:rFonts w:ascii="Garamond" w:hAnsi="Garamond" w:cs="Arial"/>
          <w:color w:val="auto"/>
          <w:sz w:val="24"/>
          <w:szCs w:val="24"/>
        </w:rPr>
        <w:t xml:space="preserve"> </w:t>
      </w:r>
      <w:r w:rsidR="008651AF" w:rsidRPr="003A1174">
        <w:rPr>
          <w:rFonts w:ascii="Garamond" w:hAnsi="Garamond" w:cs="Arial"/>
          <w:color w:val="auto"/>
          <w:sz w:val="24"/>
          <w:szCs w:val="24"/>
        </w:rPr>
        <w:t>cumprimento, produto</w:t>
      </w:r>
      <w:r w:rsidR="001325B3" w:rsidRPr="003A1174">
        <w:rPr>
          <w:rFonts w:ascii="Garamond" w:hAnsi="Garamond" w:cs="Arial"/>
          <w:color w:val="auto"/>
          <w:sz w:val="24"/>
          <w:szCs w:val="24"/>
        </w:rPr>
        <w:t xml:space="preserve"> da </w:t>
      </w:r>
      <w:r w:rsidR="00C30647" w:rsidRPr="003A1174">
        <w:rPr>
          <w:rFonts w:ascii="Garamond" w:hAnsi="Garamond" w:cs="Arial"/>
          <w:color w:val="auto"/>
          <w:sz w:val="24"/>
          <w:szCs w:val="24"/>
        </w:rPr>
        <w:t>persistência</w:t>
      </w:r>
      <w:r w:rsidR="001325B3" w:rsidRPr="003A1174">
        <w:rPr>
          <w:rFonts w:ascii="Garamond" w:hAnsi="Garamond" w:cs="Arial"/>
          <w:color w:val="auto"/>
          <w:sz w:val="24"/>
          <w:szCs w:val="24"/>
        </w:rPr>
        <w:t xml:space="preserve"> de </w:t>
      </w:r>
      <w:r w:rsidR="00661ADB" w:rsidRPr="003A1174">
        <w:rPr>
          <w:rFonts w:ascii="Garamond" w:hAnsi="Garamond" w:cs="Arial"/>
          <w:color w:val="auto"/>
          <w:sz w:val="24"/>
          <w:szCs w:val="24"/>
        </w:rPr>
        <w:t>prática</w:t>
      </w:r>
      <w:r w:rsidR="00D77C19" w:rsidRPr="003A1174">
        <w:rPr>
          <w:rFonts w:ascii="Garamond" w:hAnsi="Garamond" w:cs="Arial"/>
          <w:color w:val="auto"/>
          <w:sz w:val="24"/>
          <w:szCs w:val="24"/>
        </w:rPr>
        <w:t>s discriminató</w:t>
      </w:r>
      <w:r w:rsidR="001325B3" w:rsidRPr="003A1174">
        <w:rPr>
          <w:rFonts w:ascii="Garamond" w:hAnsi="Garamond" w:cs="Arial"/>
          <w:color w:val="auto"/>
          <w:sz w:val="24"/>
          <w:szCs w:val="24"/>
        </w:rPr>
        <w:t xml:space="preserve">rias </w:t>
      </w:r>
      <w:r w:rsidR="00D77C19" w:rsidRPr="003A1174">
        <w:rPr>
          <w:rFonts w:ascii="Garamond" w:hAnsi="Garamond" w:cs="Arial"/>
          <w:color w:val="auto"/>
          <w:sz w:val="24"/>
          <w:szCs w:val="24"/>
        </w:rPr>
        <w:t xml:space="preserve">no </w:t>
      </w:r>
      <w:r w:rsidR="00886D6A" w:rsidRPr="003A1174">
        <w:rPr>
          <w:rFonts w:ascii="Garamond" w:hAnsi="Garamond" w:cs="Arial"/>
          <w:color w:val="auto"/>
          <w:sz w:val="24"/>
          <w:szCs w:val="24"/>
        </w:rPr>
        <w:t>acesso</w:t>
      </w:r>
      <w:r w:rsidR="001325B3" w:rsidRPr="003A1174">
        <w:rPr>
          <w:rFonts w:ascii="Garamond" w:hAnsi="Garamond" w:cs="Arial"/>
          <w:color w:val="auto"/>
          <w:sz w:val="24"/>
          <w:szCs w:val="24"/>
        </w:rPr>
        <w:t xml:space="preserve"> </w:t>
      </w:r>
      <w:r w:rsidR="00D77C19" w:rsidRPr="003A1174">
        <w:rPr>
          <w:rFonts w:ascii="Garamond" w:hAnsi="Garamond" w:cs="Arial"/>
          <w:color w:val="auto"/>
          <w:sz w:val="24"/>
          <w:szCs w:val="24"/>
        </w:rPr>
        <w:t>à</w:t>
      </w:r>
      <w:r w:rsidR="001325B3" w:rsidRPr="003A1174">
        <w:rPr>
          <w:rFonts w:ascii="Garamond" w:hAnsi="Garamond" w:cs="Arial"/>
          <w:color w:val="auto"/>
          <w:sz w:val="24"/>
          <w:szCs w:val="24"/>
        </w:rPr>
        <w:t xml:space="preserve"> </w:t>
      </w:r>
      <w:r w:rsidR="00FC1F7F" w:rsidRPr="003A1174">
        <w:rPr>
          <w:rFonts w:ascii="Garamond" w:hAnsi="Garamond" w:cs="Arial"/>
          <w:color w:val="auto"/>
          <w:sz w:val="24"/>
          <w:szCs w:val="24"/>
        </w:rPr>
        <w:t>justiça</w:t>
      </w:r>
      <w:r w:rsidR="001325B3" w:rsidRPr="003A1174">
        <w:rPr>
          <w:rFonts w:ascii="Garamond" w:hAnsi="Garamond" w:cs="Arial"/>
          <w:color w:val="auto"/>
          <w:sz w:val="24"/>
          <w:szCs w:val="24"/>
        </w:rPr>
        <w:t>, pre</w:t>
      </w:r>
      <w:r w:rsidR="00D77C19" w:rsidRPr="003A1174">
        <w:rPr>
          <w:rFonts w:ascii="Garamond" w:hAnsi="Garamond" w:cs="Arial"/>
          <w:color w:val="auto"/>
          <w:sz w:val="24"/>
          <w:szCs w:val="24"/>
        </w:rPr>
        <w:t>conceitos d</w:t>
      </w:r>
      <w:r w:rsidR="001325B3" w:rsidRPr="003A1174">
        <w:rPr>
          <w:rFonts w:ascii="Garamond" w:hAnsi="Garamond" w:cs="Arial"/>
          <w:color w:val="auto"/>
          <w:sz w:val="24"/>
          <w:szCs w:val="24"/>
        </w:rPr>
        <w:t xml:space="preserve">os operadores de </w:t>
      </w:r>
      <w:r w:rsidR="00FC1F7F" w:rsidRPr="003A1174">
        <w:rPr>
          <w:rFonts w:ascii="Garamond" w:hAnsi="Garamond" w:cs="Arial"/>
          <w:color w:val="auto"/>
          <w:sz w:val="24"/>
          <w:szCs w:val="24"/>
        </w:rPr>
        <w:t>justiça</w:t>
      </w:r>
      <w:r w:rsidR="00D77C19" w:rsidRPr="003A1174">
        <w:rPr>
          <w:rFonts w:ascii="Garamond" w:hAnsi="Garamond" w:cs="Arial"/>
          <w:color w:val="auto"/>
          <w:sz w:val="24"/>
          <w:szCs w:val="24"/>
        </w:rPr>
        <w:t>, falta de recursos e</w:t>
      </w:r>
      <w:r w:rsidR="001325B3" w:rsidRPr="003A1174">
        <w:rPr>
          <w:rFonts w:ascii="Garamond" w:hAnsi="Garamond" w:cs="Arial"/>
          <w:color w:val="auto"/>
          <w:sz w:val="24"/>
          <w:szCs w:val="24"/>
        </w:rPr>
        <w:t xml:space="preserve"> </w:t>
      </w:r>
      <w:r w:rsidR="00DE6DF6" w:rsidRPr="003A1174">
        <w:rPr>
          <w:rFonts w:ascii="Garamond" w:hAnsi="Garamond" w:cs="Arial"/>
          <w:color w:val="auto"/>
          <w:sz w:val="24"/>
          <w:szCs w:val="24"/>
        </w:rPr>
        <w:t>ausência</w:t>
      </w:r>
      <w:r w:rsidR="001325B3" w:rsidRPr="003A1174">
        <w:rPr>
          <w:rFonts w:ascii="Garamond" w:hAnsi="Garamond" w:cs="Arial"/>
          <w:color w:val="auto"/>
          <w:sz w:val="24"/>
          <w:szCs w:val="24"/>
        </w:rPr>
        <w:t xml:space="preserve"> de políticas </w:t>
      </w:r>
      <w:r w:rsidR="003F012B" w:rsidRPr="003A1174">
        <w:rPr>
          <w:rFonts w:ascii="Garamond" w:hAnsi="Garamond" w:cs="Arial"/>
          <w:color w:val="auto"/>
          <w:sz w:val="24"/>
          <w:szCs w:val="24"/>
        </w:rPr>
        <w:t>sociais</w:t>
      </w:r>
      <w:r w:rsidR="00D77C19" w:rsidRPr="003A1174">
        <w:rPr>
          <w:rFonts w:ascii="Garamond" w:hAnsi="Garamond" w:cs="Arial"/>
          <w:color w:val="auto"/>
          <w:sz w:val="24"/>
          <w:szCs w:val="24"/>
        </w:rPr>
        <w:t xml:space="preserve"> e</w:t>
      </w:r>
      <w:r w:rsidR="001325B3" w:rsidRPr="003A1174">
        <w:rPr>
          <w:rFonts w:ascii="Garamond" w:hAnsi="Garamond" w:cs="Arial"/>
          <w:color w:val="auto"/>
          <w:sz w:val="24"/>
          <w:szCs w:val="24"/>
        </w:rPr>
        <w:t xml:space="preserve"> públicas.</w:t>
      </w:r>
    </w:p>
    <w:p w:rsidR="001325B3" w:rsidRPr="003A1174" w:rsidRDefault="001325B3" w:rsidP="008719D4">
      <w:pPr>
        <w:pStyle w:val="Prrafodelista1"/>
        <w:spacing w:after="0" w:line="240" w:lineRule="auto"/>
        <w:jc w:val="both"/>
        <w:rPr>
          <w:rFonts w:ascii="Garamond" w:hAnsi="Garamond" w:cs="Arial"/>
          <w:color w:val="auto"/>
          <w:sz w:val="24"/>
          <w:szCs w:val="24"/>
        </w:rPr>
      </w:pPr>
    </w:p>
    <w:p w:rsidR="00CA39B2" w:rsidRPr="002720C5" w:rsidRDefault="00D77C19" w:rsidP="008651AF">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w:t>
      </w:r>
      <w:r w:rsidR="001F2F8B" w:rsidRPr="003A1174">
        <w:rPr>
          <w:rFonts w:ascii="Garamond" w:hAnsi="Garamond" w:cs="Arial"/>
          <w:color w:val="auto"/>
          <w:sz w:val="24"/>
          <w:szCs w:val="24"/>
        </w:rPr>
        <w:t>outro</w:t>
      </w:r>
      <w:r w:rsidR="00CA39B2" w:rsidRPr="003A1174">
        <w:rPr>
          <w:rFonts w:ascii="Garamond" w:hAnsi="Garamond" w:cs="Arial"/>
          <w:color w:val="auto"/>
          <w:sz w:val="24"/>
          <w:szCs w:val="24"/>
        </w:rPr>
        <w:t xml:space="preserve"> lado, existe </w:t>
      </w:r>
      <w:r w:rsidRPr="003A1174">
        <w:rPr>
          <w:rFonts w:ascii="Garamond" w:hAnsi="Garamond" w:cs="Arial"/>
          <w:color w:val="auto"/>
          <w:sz w:val="24"/>
          <w:szCs w:val="24"/>
        </w:rPr>
        <w:t>sobreposição</w:t>
      </w:r>
      <w:r w:rsidR="00CA39B2" w:rsidRPr="003A1174">
        <w:rPr>
          <w:rFonts w:ascii="Garamond" w:hAnsi="Garamond" w:cs="Arial"/>
          <w:color w:val="auto"/>
          <w:sz w:val="24"/>
          <w:szCs w:val="24"/>
        </w:rPr>
        <w:t xml:space="preserve"> entre programas de di</w:t>
      </w:r>
      <w:r w:rsidRPr="003A1174">
        <w:rPr>
          <w:rFonts w:ascii="Garamond" w:hAnsi="Garamond" w:cs="Arial"/>
          <w:color w:val="auto"/>
          <w:sz w:val="24"/>
          <w:szCs w:val="24"/>
        </w:rPr>
        <w:t>ferentes ministério</w:t>
      </w:r>
      <w:r w:rsidR="00CA39B2" w:rsidRPr="003A1174">
        <w:rPr>
          <w:rFonts w:ascii="Garamond" w:hAnsi="Garamond" w:cs="Arial"/>
          <w:color w:val="auto"/>
          <w:sz w:val="24"/>
          <w:szCs w:val="24"/>
        </w:rPr>
        <w:t xml:space="preserve">s, </w:t>
      </w:r>
      <w:r w:rsidR="008651AF" w:rsidRPr="003A1174">
        <w:rPr>
          <w:rFonts w:ascii="Garamond" w:hAnsi="Garamond" w:cs="Arial"/>
          <w:color w:val="auto"/>
          <w:sz w:val="24"/>
          <w:szCs w:val="24"/>
        </w:rPr>
        <w:t xml:space="preserve">e </w:t>
      </w:r>
      <w:r w:rsidR="00CA39B2" w:rsidRPr="003A1174">
        <w:rPr>
          <w:rFonts w:ascii="Garamond" w:hAnsi="Garamond" w:cs="Arial"/>
          <w:color w:val="auto"/>
          <w:sz w:val="24"/>
          <w:szCs w:val="24"/>
        </w:rPr>
        <w:t xml:space="preserve">a </w:t>
      </w:r>
      <w:r w:rsidR="00233514" w:rsidRPr="003A1174">
        <w:rPr>
          <w:rFonts w:ascii="Garamond" w:hAnsi="Garamond" w:cs="Arial"/>
          <w:color w:val="auto"/>
          <w:sz w:val="24"/>
          <w:szCs w:val="24"/>
        </w:rPr>
        <w:t>maioria</w:t>
      </w:r>
      <w:r w:rsidR="008651AF"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os </w:t>
      </w:r>
      <w:r w:rsidR="00C30647" w:rsidRPr="003A1174">
        <w:rPr>
          <w:rFonts w:ascii="Garamond" w:hAnsi="Garamond" w:cs="Arial"/>
          <w:color w:val="auto"/>
          <w:sz w:val="24"/>
          <w:szCs w:val="24"/>
        </w:rPr>
        <w:t>esforço</w:t>
      </w:r>
      <w:r w:rsidR="00CA39B2" w:rsidRPr="003A1174">
        <w:rPr>
          <w:rFonts w:ascii="Garamond" w:hAnsi="Garamond" w:cs="Arial"/>
          <w:color w:val="auto"/>
          <w:sz w:val="24"/>
          <w:szCs w:val="24"/>
        </w:rPr>
        <w:t>s concentra</w:t>
      </w:r>
      <w:r w:rsidR="008651AF" w:rsidRPr="003A1174">
        <w:rPr>
          <w:rFonts w:ascii="Garamond" w:hAnsi="Garamond" w:cs="Arial"/>
          <w:color w:val="auto"/>
          <w:sz w:val="24"/>
          <w:szCs w:val="24"/>
        </w:rPr>
        <w:t xml:space="preserve">m-se na </w:t>
      </w:r>
      <w:r w:rsidR="00394F46" w:rsidRPr="003A1174">
        <w:rPr>
          <w:rFonts w:ascii="Garamond" w:hAnsi="Garamond" w:cs="Arial"/>
          <w:color w:val="auto"/>
          <w:sz w:val="24"/>
          <w:szCs w:val="24"/>
        </w:rPr>
        <w:t>c</w:t>
      </w:r>
      <w:r w:rsidR="008651AF" w:rsidRPr="003A1174">
        <w:rPr>
          <w:rFonts w:ascii="Garamond" w:hAnsi="Garamond" w:cs="Arial"/>
          <w:color w:val="auto"/>
          <w:sz w:val="24"/>
          <w:szCs w:val="24"/>
        </w:rPr>
        <w:t>i</w:t>
      </w:r>
      <w:r w:rsidR="00CA39B2" w:rsidRPr="003A1174">
        <w:rPr>
          <w:rFonts w:ascii="Garamond" w:hAnsi="Garamond" w:cs="Arial"/>
          <w:color w:val="auto"/>
          <w:sz w:val="24"/>
          <w:szCs w:val="24"/>
        </w:rPr>
        <w:t>dad</w:t>
      </w:r>
      <w:r w:rsidR="008651AF" w:rsidRPr="003A1174">
        <w:rPr>
          <w:rFonts w:ascii="Garamond" w:hAnsi="Garamond" w:cs="Arial"/>
          <w:color w:val="auto"/>
          <w:sz w:val="24"/>
          <w:szCs w:val="24"/>
        </w:rPr>
        <w:t>e</w:t>
      </w:r>
      <w:r w:rsidR="00CA39B2" w:rsidRPr="003A1174">
        <w:rPr>
          <w:rFonts w:ascii="Garamond" w:hAnsi="Garamond" w:cs="Arial"/>
          <w:color w:val="auto"/>
          <w:sz w:val="24"/>
          <w:szCs w:val="24"/>
        </w:rPr>
        <w:t xml:space="preserve"> de Buenos Aires. </w:t>
      </w:r>
      <w:r w:rsidR="008651AF" w:rsidRPr="003A1174">
        <w:rPr>
          <w:rFonts w:ascii="Garamond" w:hAnsi="Garamond" w:cs="Arial"/>
          <w:color w:val="auto"/>
          <w:sz w:val="24"/>
          <w:szCs w:val="24"/>
        </w:rPr>
        <w:t xml:space="preserve">O </w:t>
      </w:r>
      <w:r w:rsidR="00C246B4" w:rsidRPr="003A1174">
        <w:rPr>
          <w:rFonts w:ascii="Garamond" w:hAnsi="Garamond" w:cs="Arial"/>
          <w:color w:val="auto"/>
          <w:sz w:val="24"/>
          <w:szCs w:val="24"/>
        </w:rPr>
        <w:t>Gabinete</w:t>
      </w:r>
      <w:r w:rsidR="008651AF"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de </w:t>
      </w:r>
      <w:r w:rsidR="000350B1" w:rsidRPr="003A1174">
        <w:rPr>
          <w:rFonts w:ascii="Garamond" w:hAnsi="Garamond" w:cs="Arial"/>
          <w:color w:val="auto"/>
          <w:sz w:val="24"/>
          <w:szCs w:val="24"/>
        </w:rPr>
        <w:t>Assistência</w:t>
      </w:r>
      <w:r w:rsidR="00CA39B2" w:rsidRPr="003A1174">
        <w:rPr>
          <w:rFonts w:ascii="Garamond" w:hAnsi="Garamond" w:cs="Arial"/>
          <w:color w:val="auto"/>
          <w:sz w:val="24"/>
          <w:szCs w:val="24"/>
        </w:rPr>
        <w:t xml:space="preserve"> </w:t>
      </w:r>
      <w:r w:rsidR="008651AF" w:rsidRPr="003A1174">
        <w:rPr>
          <w:rFonts w:ascii="Garamond" w:hAnsi="Garamond" w:cs="Arial"/>
          <w:color w:val="auto"/>
          <w:sz w:val="24"/>
          <w:szCs w:val="24"/>
        </w:rPr>
        <w:t xml:space="preserve">à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 d</w:t>
      </w:r>
      <w:r w:rsidR="008651AF" w:rsidRPr="003A1174">
        <w:rPr>
          <w:rFonts w:ascii="Garamond" w:hAnsi="Garamond" w:cs="Arial"/>
          <w:color w:val="auto"/>
          <w:sz w:val="24"/>
          <w:szCs w:val="24"/>
        </w:rPr>
        <w:t>o</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Ministério</w:t>
      </w:r>
      <w:r w:rsidR="00CA39B2" w:rsidRPr="003A1174">
        <w:rPr>
          <w:rFonts w:ascii="Garamond" w:hAnsi="Garamond" w:cs="Arial"/>
          <w:color w:val="auto"/>
          <w:sz w:val="24"/>
          <w:szCs w:val="24"/>
        </w:rPr>
        <w:t xml:space="preserve"> Público Fiscal d</w:t>
      </w:r>
      <w:r w:rsidR="008651AF" w:rsidRPr="003A1174">
        <w:rPr>
          <w:rFonts w:ascii="Garamond" w:hAnsi="Garamond" w:cs="Arial"/>
          <w:color w:val="auto"/>
          <w:sz w:val="24"/>
          <w:szCs w:val="24"/>
        </w:rPr>
        <w:t>a</w:t>
      </w:r>
      <w:r w:rsidR="00CA39B2" w:rsidRPr="003A1174">
        <w:rPr>
          <w:rFonts w:ascii="Garamond" w:hAnsi="Garamond" w:cs="Arial"/>
          <w:color w:val="auto"/>
          <w:sz w:val="24"/>
          <w:szCs w:val="24"/>
        </w:rPr>
        <w:t xml:space="preserve"> </w:t>
      </w:r>
      <w:r w:rsidR="008651AF" w:rsidRPr="003A1174">
        <w:rPr>
          <w:rFonts w:ascii="Garamond" w:hAnsi="Garamond" w:cs="Arial"/>
          <w:color w:val="auto"/>
          <w:sz w:val="24"/>
          <w:szCs w:val="24"/>
        </w:rPr>
        <w:t>cidade</w:t>
      </w:r>
      <w:r w:rsidR="00CA39B2" w:rsidRPr="003A1174">
        <w:rPr>
          <w:rFonts w:ascii="Garamond" w:hAnsi="Garamond" w:cs="Arial"/>
          <w:color w:val="auto"/>
          <w:sz w:val="24"/>
          <w:szCs w:val="24"/>
        </w:rPr>
        <w:t xml:space="preserve"> explica que </w:t>
      </w:r>
      <w:r w:rsidR="008651AF" w:rsidRPr="003A1174">
        <w:rPr>
          <w:rFonts w:ascii="Garamond" w:hAnsi="Garamond" w:cs="Arial"/>
          <w:color w:val="auto"/>
          <w:sz w:val="24"/>
          <w:szCs w:val="24"/>
        </w:rPr>
        <w:t>o</w:t>
      </w:r>
      <w:r w:rsidR="00CA39B2" w:rsidRPr="003A1174">
        <w:rPr>
          <w:rFonts w:ascii="Garamond" w:hAnsi="Garamond" w:cs="Arial"/>
          <w:color w:val="auto"/>
          <w:sz w:val="24"/>
          <w:szCs w:val="24"/>
        </w:rPr>
        <w:t xml:space="preserve"> esquema da </w:t>
      </w:r>
      <w:r w:rsidR="00FC1F7F" w:rsidRPr="003A1174">
        <w:rPr>
          <w:rFonts w:ascii="Garamond" w:hAnsi="Garamond" w:cs="Arial"/>
          <w:color w:val="auto"/>
          <w:sz w:val="24"/>
          <w:szCs w:val="24"/>
        </w:rPr>
        <w:t>justiça</w:t>
      </w:r>
      <w:r w:rsidR="00CA39B2" w:rsidRPr="003A1174">
        <w:rPr>
          <w:rFonts w:ascii="Garamond" w:hAnsi="Garamond" w:cs="Arial"/>
          <w:color w:val="auto"/>
          <w:sz w:val="24"/>
          <w:szCs w:val="24"/>
        </w:rPr>
        <w:t xml:space="preserve"> tradicional n</w:t>
      </w:r>
      <w:r w:rsidR="008651AF" w:rsidRPr="003A1174">
        <w:rPr>
          <w:rFonts w:ascii="Garamond" w:hAnsi="Garamond" w:cs="Arial"/>
          <w:color w:val="auto"/>
          <w:sz w:val="24"/>
          <w:szCs w:val="24"/>
        </w:rPr>
        <w:t>ã</w:t>
      </w:r>
      <w:r w:rsidR="00CA39B2" w:rsidRPr="003A1174">
        <w:rPr>
          <w:rFonts w:ascii="Garamond" w:hAnsi="Garamond" w:cs="Arial"/>
          <w:color w:val="auto"/>
          <w:sz w:val="24"/>
          <w:szCs w:val="24"/>
        </w:rPr>
        <w:t>o</w:t>
      </w:r>
      <w:r w:rsidR="008651AF" w:rsidRPr="003A1174">
        <w:rPr>
          <w:rFonts w:ascii="Garamond" w:hAnsi="Garamond" w:cs="Arial"/>
          <w:color w:val="auto"/>
          <w:sz w:val="24"/>
          <w:szCs w:val="24"/>
        </w:rPr>
        <w:t xml:space="preserve"> é </w:t>
      </w:r>
      <w:r w:rsidR="00802ACC" w:rsidRPr="003A1174">
        <w:rPr>
          <w:rFonts w:ascii="Garamond" w:hAnsi="Garamond" w:cs="Arial"/>
          <w:color w:val="auto"/>
          <w:sz w:val="24"/>
          <w:szCs w:val="24"/>
        </w:rPr>
        <w:t>efetivo</w:t>
      </w:r>
      <w:r w:rsidR="00CA39B2" w:rsidRPr="003A1174">
        <w:rPr>
          <w:rFonts w:ascii="Garamond" w:hAnsi="Garamond" w:cs="Arial"/>
          <w:color w:val="auto"/>
          <w:sz w:val="24"/>
          <w:szCs w:val="24"/>
        </w:rPr>
        <w:t xml:space="preserve"> </w:t>
      </w:r>
      <w:r w:rsidR="008651AF" w:rsidRPr="003A1174">
        <w:rPr>
          <w:rFonts w:ascii="Garamond" w:hAnsi="Garamond" w:cs="Arial"/>
          <w:color w:val="auto"/>
          <w:sz w:val="24"/>
          <w:szCs w:val="24"/>
        </w:rPr>
        <w:t>n</w:t>
      </w:r>
      <w:r w:rsidR="00CA39B2"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doméstica, </w:t>
      </w:r>
      <w:r w:rsidR="00120915" w:rsidRPr="003A1174">
        <w:rPr>
          <w:rFonts w:ascii="Garamond" w:hAnsi="Garamond" w:cs="Arial"/>
          <w:color w:val="auto"/>
          <w:sz w:val="24"/>
          <w:szCs w:val="24"/>
        </w:rPr>
        <w:t>pois</w:t>
      </w:r>
      <w:r w:rsidR="00CA39B2" w:rsidRPr="003A1174">
        <w:rPr>
          <w:rFonts w:ascii="Garamond" w:hAnsi="Garamond" w:cs="Arial"/>
          <w:color w:val="auto"/>
          <w:sz w:val="24"/>
          <w:szCs w:val="24"/>
        </w:rPr>
        <w:t xml:space="preserve"> </w:t>
      </w:r>
      <w:r w:rsidR="002720C5" w:rsidRPr="002720C5">
        <w:rPr>
          <w:rFonts w:ascii="Garamond" w:hAnsi="Garamond" w:cs="Arial"/>
          <w:color w:val="auto"/>
          <w:sz w:val="24"/>
          <w:szCs w:val="24"/>
        </w:rPr>
        <w:t>«</w:t>
      </w:r>
      <w:r w:rsidR="008651AF" w:rsidRPr="002720C5">
        <w:rPr>
          <w:rFonts w:ascii="Garamond" w:hAnsi="Garamond" w:cs="Arial"/>
          <w:color w:val="auto"/>
          <w:sz w:val="24"/>
          <w:szCs w:val="24"/>
        </w:rPr>
        <w:t xml:space="preserve">é um </w:t>
      </w:r>
      <w:r w:rsidR="00CA39B2" w:rsidRPr="002720C5">
        <w:rPr>
          <w:rFonts w:ascii="Garamond" w:hAnsi="Garamond" w:cs="Arial"/>
          <w:color w:val="auto"/>
          <w:sz w:val="24"/>
          <w:szCs w:val="24"/>
        </w:rPr>
        <w:t>tema co</w:t>
      </w:r>
      <w:r w:rsidR="008651AF" w:rsidRPr="002720C5">
        <w:rPr>
          <w:rFonts w:ascii="Garamond" w:hAnsi="Garamond" w:cs="Arial"/>
          <w:color w:val="auto"/>
          <w:sz w:val="24"/>
          <w:szCs w:val="24"/>
        </w:rPr>
        <w:t>m are</w:t>
      </w:r>
      <w:r w:rsidR="00CA39B2" w:rsidRPr="002720C5">
        <w:rPr>
          <w:rFonts w:ascii="Garamond" w:hAnsi="Garamond" w:cs="Arial"/>
          <w:color w:val="auto"/>
          <w:sz w:val="24"/>
          <w:szCs w:val="24"/>
        </w:rPr>
        <w:t xml:space="preserve">stas particulares. </w:t>
      </w:r>
      <w:r w:rsidR="008651AF" w:rsidRPr="002720C5">
        <w:rPr>
          <w:rFonts w:ascii="Garamond" w:hAnsi="Garamond" w:cs="Arial"/>
          <w:color w:val="auto"/>
          <w:sz w:val="24"/>
          <w:szCs w:val="24"/>
        </w:rPr>
        <w:t xml:space="preserve">O </w:t>
      </w:r>
      <w:r w:rsidR="00661ADB" w:rsidRPr="002720C5">
        <w:rPr>
          <w:rFonts w:ascii="Garamond" w:hAnsi="Garamond" w:cs="Arial"/>
          <w:color w:val="auto"/>
          <w:sz w:val="24"/>
          <w:szCs w:val="24"/>
        </w:rPr>
        <w:t>essencial</w:t>
      </w:r>
      <w:r w:rsidR="00CA39B2" w:rsidRPr="002720C5">
        <w:rPr>
          <w:rFonts w:ascii="Garamond" w:hAnsi="Garamond" w:cs="Arial"/>
          <w:color w:val="auto"/>
          <w:sz w:val="24"/>
          <w:szCs w:val="24"/>
        </w:rPr>
        <w:t xml:space="preserve"> </w:t>
      </w:r>
      <w:r w:rsidR="008651AF" w:rsidRPr="002720C5">
        <w:rPr>
          <w:rFonts w:ascii="Garamond" w:hAnsi="Garamond" w:cs="Arial"/>
          <w:color w:val="auto"/>
          <w:sz w:val="24"/>
          <w:szCs w:val="24"/>
        </w:rPr>
        <w:t>perante um</w:t>
      </w:r>
      <w:r w:rsidR="00CA39B2" w:rsidRPr="002720C5">
        <w:rPr>
          <w:rFonts w:ascii="Garamond" w:hAnsi="Garamond" w:cs="Arial"/>
          <w:color w:val="auto"/>
          <w:sz w:val="24"/>
          <w:szCs w:val="24"/>
        </w:rPr>
        <w:t xml:space="preserve">a </w:t>
      </w:r>
      <w:r w:rsidR="008651AF" w:rsidRPr="002720C5">
        <w:rPr>
          <w:rFonts w:ascii="Garamond" w:hAnsi="Garamond" w:cs="Arial"/>
          <w:color w:val="auto"/>
          <w:sz w:val="24"/>
          <w:szCs w:val="24"/>
        </w:rPr>
        <w:t>denúncia</w:t>
      </w:r>
      <w:r w:rsidR="00CA39B2" w:rsidRPr="002720C5">
        <w:rPr>
          <w:rFonts w:ascii="Garamond" w:hAnsi="Garamond" w:cs="Arial"/>
          <w:color w:val="auto"/>
          <w:sz w:val="24"/>
          <w:szCs w:val="24"/>
        </w:rPr>
        <w:t xml:space="preserve"> </w:t>
      </w:r>
      <w:r w:rsidR="008651AF" w:rsidRPr="002720C5">
        <w:rPr>
          <w:rFonts w:ascii="Garamond" w:hAnsi="Garamond" w:cs="Arial"/>
          <w:color w:val="auto"/>
          <w:sz w:val="24"/>
          <w:szCs w:val="24"/>
        </w:rPr>
        <w:t>é avaliar</w:t>
      </w:r>
      <w:r w:rsidR="00CA39B2" w:rsidRPr="002720C5">
        <w:rPr>
          <w:rFonts w:ascii="Garamond" w:hAnsi="Garamond" w:cs="Arial"/>
          <w:color w:val="auto"/>
          <w:sz w:val="24"/>
          <w:szCs w:val="24"/>
        </w:rPr>
        <w:t xml:space="preserve"> </w:t>
      </w:r>
      <w:r w:rsidR="008651AF" w:rsidRPr="002720C5">
        <w:rPr>
          <w:rFonts w:ascii="Garamond" w:hAnsi="Garamond" w:cs="Arial"/>
          <w:color w:val="auto"/>
          <w:sz w:val="24"/>
          <w:szCs w:val="24"/>
        </w:rPr>
        <w:t xml:space="preserve">o </w:t>
      </w:r>
      <w:r w:rsidR="0017447A" w:rsidRPr="002720C5">
        <w:rPr>
          <w:rFonts w:ascii="Garamond" w:hAnsi="Garamond" w:cs="Arial"/>
          <w:color w:val="auto"/>
          <w:sz w:val="24"/>
          <w:szCs w:val="24"/>
        </w:rPr>
        <w:t>nível</w:t>
      </w:r>
      <w:r w:rsidR="00CA39B2" w:rsidRPr="002720C5">
        <w:rPr>
          <w:rFonts w:ascii="Garamond" w:hAnsi="Garamond" w:cs="Arial"/>
          <w:color w:val="auto"/>
          <w:sz w:val="24"/>
          <w:szCs w:val="24"/>
        </w:rPr>
        <w:t xml:space="preserve"> de </w:t>
      </w:r>
      <w:r w:rsidR="008651AF" w:rsidRPr="002720C5">
        <w:rPr>
          <w:rFonts w:ascii="Garamond" w:hAnsi="Garamond" w:cs="Arial"/>
          <w:color w:val="auto"/>
          <w:sz w:val="24"/>
          <w:szCs w:val="24"/>
        </w:rPr>
        <w:t>risco, e</w:t>
      </w:r>
      <w:r w:rsidR="00CA39B2" w:rsidRPr="002720C5">
        <w:rPr>
          <w:rFonts w:ascii="Garamond" w:hAnsi="Garamond" w:cs="Arial"/>
          <w:color w:val="auto"/>
          <w:sz w:val="24"/>
          <w:szCs w:val="24"/>
        </w:rPr>
        <w:t xml:space="preserve"> e</w:t>
      </w:r>
      <w:r w:rsidR="008651AF" w:rsidRPr="002720C5">
        <w:rPr>
          <w:rFonts w:ascii="Garamond" w:hAnsi="Garamond" w:cs="Arial"/>
          <w:color w:val="auto"/>
          <w:sz w:val="24"/>
          <w:szCs w:val="24"/>
        </w:rPr>
        <w:t>s</w:t>
      </w:r>
      <w:r w:rsidR="00CA39B2" w:rsidRPr="002720C5">
        <w:rPr>
          <w:rFonts w:ascii="Garamond" w:hAnsi="Garamond" w:cs="Arial"/>
          <w:color w:val="auto"/>
          <w:sz w:val="24"/>
          <w:szCs w:val="24"/>
        </w:rPr>
        <w:t xml:space="preserve">se </w:t>
      </w:r>
      <w:r w:rsidR="009E3E55" w:rsidRPr="002720C5">
        <w:rPr>
          <w:rFonts w:ascii="Garamond" w:hAnsi="Garamond" w:cs="Arial"/>
          <w:color w:val="auto"/>
          <w:sz w:val="24"/>
          <w:szCs w:val="24"/>
        </w:rPr>
        <w:t>relatório</w:t>
      </w:r>
      <w:r w:rsidR="00CA39B2" w:rsidRPr="002720C5">
        <w:rPr>
          <w:rFonts w:ascii="Garamond" w:hAnsi="Garamond" w:cs="Arial"/>
          <w:color w:val="auto"/>
          <w:sz w:val="24"/>
          <w:szCs w:val="24"/>
        </w:rPr>
        <w:t xml:space="preserve"> de</w:t>
      </w:r>
      <w:r w:rsidR="008651AF" w:rsidRPr="002720C5">
        <w:rPr>
          <w:rFonts w:ascii="Garamond" w:hAnsi="Garamond" w:cs="Arial"/>
          <w:color w:val="auto"/>
          <w:sz w:val="24"/>
          <w:szCs w:val="24"/>
        </w:rPr>
        <w:t xml:space="preserve">via </w:t>
      </w:r>
      <w:r w:rsidR="00CA39B2" w:rsidRPr="002720C5">
        <w:rPr>
          <w:rFonts w:ascii="Garamond" w:hAnsi="Garamond" w:cs="Arial"/>
          <w:color w:val="auto"/>
          <w:sz w:val="24"/>
          <w:szCs w:val="24"/>
        </w:rPr>
        <w:t>ser entreg</w:t>
      </w:r>
      <w:r w:rsidR="008651AF" w:rsidRPr="002720C5">
        <w:rPr>
          <w:rFonts w:ascii="Garamond" w:hAnsi="Garamond" w:cs="Arial"/>
          <w:color w:val="auto"/>
          <w:sz w:val="24"/>
          <w:szCs w:val="24"/>
        </w:rPr>
        <w:t xml:space="preserve">ue ao delegado do Ministério Público a </w:t>
      </w:r>
      <w:r w:rsidR="00CA39B2" w:rsidRPr="002720C5">
        <w:rPr>
          <w:rFonts w:ascii="Garamond" w:hAnsi="Garamond" w:cs="Arial"/>
          <w:color w:val="auto"/>
          <w:sz w:val="24"/>
          <w:szCs w:val="24"/>
        </w:rPr>
        <w:t xml:space="preserve">horas para </w:t>
      </w:r>
      <w:r w:rsidR="008651AF" w:rsidRPr="002720C5">
        <w:rPr>
          <w:rFonts w:ascii="Garamond" w:hAnsi="Garamond" w:cs="Arial"/>
          <w:color w:val="auto"/>
          <w:sz w:val="24"/>
          <w:szCs w:val="24"/>
        </w:rPr>
        <w:t xml:space="preserve">este </w:t>
      </w:r>
      <w:r w:rsidR="00CA39B2" w:rsidRPr="002720C5">
        <w:rPr>
          <w:rFonts w:ascii="Garamond" w:hAnsi="Garamond" w:cs="Arial"/>
          <w:color w:val="auto"/>
          <w:sz w:val="24"/>
          <w:szCs w:val="24"/>
        </w:rPr>
        <w:t>que d</w:t>
      </w:r>
      <w:r w:rsidR="008651AF" w:rsidRPr="002720C5">
        <w:rPr>
          <w:rFonts w:ascii="Garamond" w:hAnsi="Garamond" w:cs="Arial"/>
          <w:color w:val="auto"/>
          <w:sz w:val="24"/>
          <w:szCs w:val="24"/>
        </w:rPr>
        <w:t xml:space="preserve">ê </w:t>
      </w:r>
      <w:r w:rsidR="00CA39B2" w:rsidRPr="002720C5">
        <w:rPr>
          <w:rFonts w:ascii="Garamond" w:hAnsi="Garamond" w:cs="Arial"/>
          <w:color w:val="auto"/>
          <w:sz w:val="24"/>
          <w:szCs w:val="24"/>
        </w:rPr>
        <w:t xml:space="preserve">as </w:t>
      </w:r>
      <w:r w:rsidR="008E7A2A" w:rsidRPr="002720C5">
        <w:rPr>
          <w:rFonts w:ascii="Garamond" w:hAnsi="Garamond" w:cs="Arial"/>
          <w:color w:val="auto"/>
          <w:sz w:val="24"/>
          <w:szCs w:val="24"/>
        </w:rPr>
        <w:t>recomendações</w:t>
      </w:r>
      <w:r w:rsidR="00CA39B2" w:rsidRPr="002720C5">
        <w:rPr>
          <w:rFonts w:ascii="Garamond" w:hAnsi="Garamond" w:cs="Arial"/>
          <w:color w:val="auto"/>
          <w:sz w:val="24"/>
          <w:szCs w:val="24"/>
        </w:rPr>
        <w:t xml:space="preserve"> de cuidados específicos</w:t>
      </w:r>
      <w:r w:rsidR="002720C5" w:rsidRPr="002720C5">
        <w:rPr>
          <w:rFonts w:ascii="Garamond" w:hAnsi="Garamond" w:cs="Arial"/>
          <w:color w:val="auto"/>
          <w:sz w:val="24"/>
          <w:szCs w:val="24"/>
        </w:rPr>
        <w:t>»</w:t>
      </w:r>
      <w:r w:rsidR="00CA39B2" w:rsidRPr="002720C5">
        <w:rPr>
          <w:rFonts w:ascii="Garamond" w:hAnsi="Garamond" w:cs="Arial"/>
          <w:color w:val="auto"/>
          <w:sz w:val="24"/>
          <w:szCs w:val="24"/>
        </w:rPr>
        <w:t>.</w:t>
      </w:r>
    </w:p>
    <w:p w:rsidR="00CA39B2" w:rsidRPr="003A1174" w:rsidRDefault="008651AF" w:rsidP="008651AF">
      <w:pPr>
        <w:pStyle w:val="NormalWeb"/>
        <w:shd w:val="clear" w:color="auto" w:fill="FFFFFF"/>
        <w:spacing w:after="0"/>
        <w:jc w:val="both"/>
        <w:rPr>
          <w:rFonts w:ascii="Garamond" w:hAnsi="Garamond" w:cs="Arial"/>
          <w:lang w:val="pt-PT"/>
        </w:rPr>
      </w:pPr>
      <w:r w:rsidRPr="003A1174">
        <w:rPr>
          <w:rFonts w:ascii="Garamond" w:hAnsi="Garamond" w:cs="Arial"/>
          <w:lang w:val="pt-PT"/>
        </w:rPr>
        <w:t xml:space="preserve">A verdade é que </w:t>
      </w:r>
      <w:r w:rsidR="00CA39B2" w:rsidRPr="003A1174">
        <w:rPr>
          <w:rFonts w:ascii="Garamond" w:hAnsi="Garamond" w:cs="Arial"/>
          <w:lang w:val="pt-PT"/>
        </w:rPr>
        <w:t xml:space="preserve">as </w:t>
      </w:r>
      <w:r w:rsidR="00054EE0" w:rsidRPr="003A1174">
        <w:rPr>
          <w:rFonts w:ascii="Garamond" w:hAnsi="Garamond" w:cs="Arial"/>
          <w:lang w:val="pt-PT"/>
        </w:rPr>
        <w:t>mulheres</w:t>
      </w:r>
      <w:r w:rsidR="00CA39B2" w:rsidRPr="003A1174">
        <w:rPr>
          <w:rFonts w:ascii="Garamond" w:hAnsi="Garamond" w:cs="Arial"/>
          <w:lang w:val="pt-PT"/>
        </w:rPr>
        <w:t xml:space="preserve"> </w:t>
      </w:r>
      <w:r w:rsidR="007407BD" w:rsidRPr="003A1174">
        <w:rPr>
          <w:rFonts w:ascii="Garamond" w:hAnsi="Garamond" w:cs="Arial"/>
          <w:lang w:val="pt-PT"/>
        </w:rPr>
        <w:t>podem</w:t>
      </w:r>
      <w:r w:rsidR="00CA39B2" w:rsidRPr="003A1174">
        <w:rPr>
          <w:rFonts w:ascii="Garamond" w:hAnsi="Garamond" w:cs="Arial"/>
          <w:lang w:val="pt-PT"/>
        </w:rPr>
        <w:t xml:space="preserve"> </w:t>
      </w:r>
      <w:r w:rsidRPr="003A1174">
        <w:rPr>
          <w:rFonts w:ascii="Garamond" w:hAnsi="Garamond" w:cs="Arial"/>
          <w:lang w:val="pt-PT"/>
        </w:rPr>
        <w:t>ligar para os telefone</w:t>
      </w:r>
      <w:r w:rsidR="00CA39B2" w:rsidRPr="003A1174">
        <w:rPr>
          <w:rFonts w:ascii="Garamond" w:hAnsi="Garamond" w:cs="Arial"/>
          <w:lang w:val="pt-PT"/>
        </w:rPr>
        <w:t xml:space="preserve">s de </w:t>
      </w:r>
      <w:r w:rsidR="006C760C" w:rsidRPr="003A1174">
        <w:rPr>
          <w:rFonts w:ascii="Garamond" w:hAnsi="Garamond" w:cs="Arial"/>
          <w:lang w:val="pt-PT"/>
        </w:rPr>
        <w:t>urgência</w:t>
      </w:r>
      <w:r w:rsidR="00CA39B2" w:rsidRPr="003A1174">
        <w:rPr>
          <w:rFonts w:ascii="Garamond" w:hAnsi="Garamond" w:cs="Arial"/>
          <w:lang w:val="pt-PT"/>
        </w:rPr>
        <w:t xml:space="preserve"> o</w:t>
      </w:r>
      <w:r w:rsidRPr="003A1174">
        <w:rPr>
          <w:rFonts w:ascii="Garamond" w:hAnsi="Garamond" w:cs="Arial"/>
          <w:lang w:val="pt-PT"/>
        </w:rPr>
        <w:t>u na cidade</w:t>
      </w:r>
      <w:r w:rsidR="00CA39B2" w:rsidRPr="003A1174">
        <w:rPr>
          <w:rFonts w:ascii="Garamond" w:hAnsi="Garamond" w:cs="Arial"/>
          <w:lang w:val="pt-PT"/>
        </w:rPr>
        <w:t xml:space="preserve"> </w:t>
      </w:r>
      <w:r w:rsidR="007407BD" w:rsidRPr="003A1174">
        <w:rPr>
          <w:rFonts w:ascii="Garamond" w:hAnsi="Garamond" w:cs="Arial"/>
          <w:lang w:val="pt-PT"/>
        </w:rPr>
        <w:t>podem</w:t>
      </w:r>
      <w:r w:rsidR="00CA39B2" w:rsidRPr="003A1174">
        <w:rPr>
          <w:rFonts w:ascii="Garamond" w:hAnsi="Garamond" w:cs="Arial"/>
          <w:lang w:val="pt-PT"/>
        </w:rPr>
        <w:t xml:space="preserve"> obter </w:t>
      </w:r>
      <w:r w:rsidR="002720C5" w:rsidRPr="002720C5">
        <w:rPr>
          <w:rFonts w:ascii="Garamond" w:hAnsi="Garamond" w:cs="Arial"/>
          <w:lang w:val="pt-PT"/>
        </w:rPr>
        <w:t>«</w:t>
      </w:r>
      <w:r w:rsidRPr="002720C5">
        <w:rPr>
          <w:rFonts w:ascii="Garamond" w:hAnsi="Garamond" w:cs="Arial"/>
          <w:lang w:val="pt-PT"/>
        </w:rPr>
        <w:t>o</w:t>
      </w:r>
      <w:r w:rsidR="00CA39B2" w:rsidRPr="002720C5">
        <w:rPr>
          <w:rFonts w:ascii="Garamond" w:hAnsi="Garamond" w:cs="Arial"/>
          <w:lang w:val="pt-PT"/>
        </w:rPr>
        <w:t xml:space="preserve"> bot</w:t>
      </w:r>
      <w:r w:rsidRPr="002720C5">
        <w:rPr>
          <w:rFonts w:ascii="Garamond" w:hAnsi="Garamond" w:cs="Arial"/>
          <w:lang w:val="pt-PT"/>
        </w:rPr>
        <w:t>ão antipâ</w:t>
      </w:r>
      <w:r w:rsidR="00CA39B2" w:rsidRPr="002720C5">
        <w:rPr>
          <w:rFonts w:ascii="Garamond" w:hAnsi="Garamond" w:cs="Arial"/>
          <w:lang w:val="pt-PT"/>
        </w:rPr>
        <w:t>nico</w:t>
      </w:r>
      <w:r w:rsidR="002720C5" w:rsidRPr="002720C5">
        <w:rPr>
          <w:rFonts w:ascii="Garamond" w:hAnsi="Garamond" w:cs="Arial"/>
          <w:lang w:val="pt-PT"/>
        </w:rPr>
        <w:t>»</w:t>
      </w:r>
      <w:r w:rsidR="00046CE9" w:rsidRPr="002720C5">
        <w:rPr>
          <w:rFonts w:ascii="Garamond" w:hAnsi="Garamond" w:cs="Arial"/>
          <w:lang w:val="pt-PT"/>
        </w:rPr>
        <w:t>,</w:t>
      </w:r>
      <w:r w:rsidR="00CA39B2" w:rsidRPr="003A1174">
        <w:rPr>
          <w:rFonts w:ascii="Garamond" w:hAnsi="Garamond" w:cs="Arial"/>
          <w:lang w:val="pt-PT"/>
        </w:rPr>
        <w:t xml:space="preserve"> que ativa</w:t>
      </w:r>
      <w:r w:rsidRPr="003A1174">
        <w:rPr>
          <w:rFonts w:ascii="Garamond" w:hAnsi="Garamond" w:cs="Arial"/>
          <w:lang w:val="pt-PT"/>
        </w:rPr>
        <w:t>m</w:t>
      </w:r>
      <w:r w:rsidR="00CA39B2" w:rsidRPr="003A1174">
        <w:rPr>
          <w:rFonts w:ascii="Garamond" w:hAnsi="Garamond" w:cs="Arial"/>
          <w:lang w:val="pt-PT"/>
        </w:rPr>
        <w:t xml:space="preserve"> </w:t>
      </w:r>
      <w:r w:rsidR="00863197" w:rsidRPr="003A1174">
        <w:rPr>
          <w:rFonts w:ascii="Garamond" w:hAnsi="Garamond" w:cs="Arial"/>
          <w:lang w:val="pt-PT"/>
        </w:rPr>
        <w:t>quando</w:t>
      </w:r>
      <w:r w:rsidRPr="003A1174">
        <w:rPr>
          <w:rFonts w:ascii="Garamond" w:hAnsi="Garamond" w:cs="Arial"/>
          <w:lang w:val="pt-PT"/>
        </w:rPr>
        <w:t xml:space="preserve"> o</w:t>
      </w:r>
      <w:r w:rsidR="00CA39B2" w:rsidRPr="003A1174">
        <w:rPr>
          <w:rFonts w:ascii="Garamond" w:hAnsi="Garamond" w:cs="Arial"/>
          <w:lang w:val="pt-PT"/>
        </w:rPr>
        <w:t xml:space="preserve"> </w:t>
      </w:r>
      <w:r w:rsidR="002D1021" w:rsidRPr="003A1174">
        <w:rPr>
          <w:rFonts w:ascii="Garamond" w:hAnsi="Garamond" w:cs="Arial"/>
          <w:lang w:val="pt-PT"/>
        </w:rPr>
        <w:t>agressor</w:t>
      </w:r>
      <w:r w:rsidRPr="003A1174">
        <w:rPr>
          <w:rFonts w:ascii="Garamond" w:hAnsi="Garamond" w:cs="Arial"/>
          <w:lang w:val="pt-PT"/>
        </w:rPr>
        <w:t xml:space="preserve"> viola </w:t>
      </w:r>
      <w:r w:rsidR="00CA39B2" w:rsidRPr="003A1174">
        <w:rPr>
          <w:rFonts w:ascii="Garamond" w:hAnsi="Garamond" w:cs="Arial"/>
          <w:lang w:val="pt-PT"/>
        </w:rPr>
        <w:t xml:space="preserve">a </w:t>
      </w:r>
      <w:r w:rsidR="003F012B" w:rsidRPr="003A1174">
        <w:rPr>
          <w:rFonts w:ascii="Garamond" w:hAnsi="Garamond" w:cs="Arial"/>
          <w:lang w:val="pt-PT"/>
        </w:rPr>
        <w:t>exclusão</w:t>
      </w:r>
      <w:r w:rsidR="00CA39B2" w:rsidRPr="003A1174">
        <w:rPr>
          <w:rFonts w:ascii="Garamond" w:hAnsi="Garamond" w:cs="Arial"/>
          <w:lang w:val="pt-PT"/>
        </w:rPr>
        <w:t xml:space="preserve">. </w:t>
      </w:r>
      <w:r w:rsidR="00120915" w:rsidRPr="003A1174">
        <w:rPr>
          <w:rFonts w:ascii="Garamond" w:hAnsi="Garamond" w:cs="Arial"/>
          <w:lang w:val="pt-PT"/>
        </w:rPr>
        <w:t>Porém</w:t>
      </w:r>
      <w:r w:rsidR="00394F46" w:rsidRPr="003A1174">
        <w:rPr>
          <w:rFonts w:ascii="Garamond" w:hAnsi="Garamond" w:cs="Arial"/>
          <w:lang w:val="pt-PT"/>
        </w:rPr>
        <w:t xml:space="preserve">, </w:t>
      </w:r>
      <w:r w:rsidR="00CA39B2" w:rsidRPr="003A1174">
        <w:rPr>
          <w:rFonts w:ascii="Garamond" w:hAnsi="Garamond" w:cs="Arial"/>
          <w:lang w:val="pt-PT"/>
        </w:rPr>
        <w:t>e</w:t>
      </w:r>
      <w:r w:rsidRPr="003A1174">
        <w:rPr>
          <w:rFonts w:ascii="Garamond" w:hAnsi="Garamond" w:cs="Arial"/>
          <w:lang w:val="pt-PT"/>
        </w:rPr>
        <w:t xml:space="preserve">m muitas ocasiões, </w:t>
      </w:r>
      <w:r w:rsidR="00CA39B2" w:rsidRPr="003A1174">
        <w:rPr>
          <w:rFonts w:ascii="Garamond" w:hAnsi="Garamond" w:cs="Arial"/>
          <w:lang w:val="pt-PT"/>
        </w:rPr>
        <w:t>lamenta</w:t>
      </w:r>
      <w:r w:rsidRPr="003A1174">
        <w:rPr>
          <w:rFonts w:ascii="Garamond" w:hAnsi="Garamond" w:cs="Arial"/>
          <w:lang w:val="pt-PT"/>
        </w:rPr>
        <w:t xml:space="preserve">velmente, </w:t>
      </w:r>
      <w:r w:rsidR="00CA39B2" w:rsidRPr="003A1174">
        <w:rPr>
          <w:rFonts w:ascii="Garamond" w:hAnsi="Garamond" w:cs="Arial"/>
          <w:lang w:val="pt-PT"/>
        </w:rPr>
        <w:t>observa</w:t>
      </w:r>
      <w:r w:rsidRPr="003A1174">
        <w:rPr>
          <w:rFonts w:ascii="Garamond" w:hAnsi="Garamond" w:cs="Arial"/>
          <w:lang w:val="pt-PT"/>
        </w:rPr>
        <w:t xml:space="preserve">m-se </w:t>
      </w:r>
      <w:r w:rsidR="005D38DC" w:rsidRPr="003A1174">
        <w:rPr>
          <w:rFonts w:ascii="Garamond" w:hAnsi="Garamond" w:cs="Arial"/>
          <w:lang w:val="pt-PT"/>
        </w:rPr>
        <w:t>decisões</w:t>
      </w:r>
      <w:r w:rsidR="00CA39B2" w:rsidRPr="003A1174">
        <w:rPr>
          <w:rFonts w:ascii="Garamond" w:hAnsi="Garamond" w:cs="Arial"/>
          <w:lang w:val="pt-PT"/>
        </w:rPr>
        <w:t xml:space="preserve"> </w:t>
      </w:r>
      <w:r w:rsidR="00DC5DA7" w:rsidRPr="003A1174">
        <w:rPr>
          <w:rFonts w:ascii="Garamond" w:hAnsi="Garamond" w:cs="Arial"/>
          <w:lang w:val="pt-PT"/>
        </w:rPr>
        <w:t>jurisdicionais</w:t>
      </w:r>
      <w:r w:rsidR="00CA39B2" w:rsidRPr="003A1174">
        <w:rPr>
          <w:rFonts w:ascii="Garamond" w:hAnsi="Garamond" w:cs="Arial"/>
          <w:lang w:val="pt-PT"/>
        </w:rPr>
        <w:t xml:space="preserve"> e</w:t>
      </w:r>
      <w:r w:rsidRPr="003A1174">
        <w:rPr>
          <w:rFonts w:ascii="Garamond" w:hAnsi="Garamond" w:cs="Arial"/>
          <w:lang w:val="pt-PT"/>
        </w:rPr>
        <w:t>m</w:t>
      </w:r>
      <w:r w:rsidR="00CA39B2" w:rsidRPr="003A1174">
        <w:rPr>
          <w:rFonts w:ascii="Garamond" w:hAnsi="Garamond" w:cs="Arial"/>
          <w:lang w:val="pt-PT"/>
        </w:rPr>
        <w:t xml:space="preserve"> casos de </w:t>
      </w:r>
      <w:r w:rsidR="000350B1" w:rsidRPr="003A1174">
        <w:rPr>
          <w:rFonts w:ascii="Garamond" w:hAnsi="Garamond" w:cs="Arial"/>
          <w:lang w:val="pt-PT"/>
        </w:rPr>
        <w:t>violência</w:t>
      </w:r>
      <w:r w:rsidR="00CA39B2" w:rsidRPr="003A1174">
        <w:rPr>
          <w:rFonts w:ascii="Garamond" w:hAnsi="Garamond" w:cs="Arial"/>
          <w:lang w:val="pt-PT"/>
        </w:rPr>
        <w:t xml:space="preserve"> </w:t>
      </w:r>
      <w:r w:rsidRPr="003A1174">
        <w:rPr>
          <w:rFonts w:ascii="Garamond" w:hAnsi="Garamond" w:cs="Arial"/>
          <w:lang w:val="pt-PT"/>
        </w:rPr>
        <w:t>n</w:t>
      </w:r>
      <w:r w:rsidR="00CA39B2" w:rsidRPr="003A1174">
        <w:rPr>
          <w:rFonts w:ascii="Garamond" w:hAnsi="Garamond" w:cs="Arial"/>
          <w:lang w:val="pt-PT"/>
        </w:rPr>
        <w:t xml:space="preserve">as </w:t>
      </w:r>
      <w:r w:rsidR="002B1E45" w:rsidRPr="003A1174">
        <w:rPr>
          <w:rFonts w:ascii="Garamond" w:hAnsi="Garamond" w:cs="Arial"/>
          <w:lang w:val="pt-PT"/>
        </w:rPr>
        <w:t>relações íntimas</w:t>
      </w:r>
      <w:r w:rsidRPr="003A1174">
        <w:rPr>
          <w:rFonts w:ascii="Garamond" w:hAnsi="Garamond" w:cs="Arial"/>
          <w:lang w:val="pt-PT"/>
        </w:rPr>
        <w:t xml:space="preserve"> onde ainda </w:t>
      </w:r>
      <w:r w:rsidR="00CA39B2" w:rsidRPr="003A1174">
        <w:rPr>
          <w:rFonts w:ascii="Garamond" w:hAnsi="Garamond" w:cs="Arial"/>
          <w:lang w:val="pt-PT"/>
        </w:rPr>
        <w:t>persiste</w:t>
      </w:r>
      <w:r w:rsidRPr="003A1174">
        <w:rPr>
          <w:rFonts w:ascii="Garamond" w:hAnsi="Garamond" w:cs="Arial"/>
          <w:lang w:val="pt-PT"/>
        </w:rPr>
        <w:t>m</w:t>
      </w:r>
      <w:r w:rsidR="00CA39B2" w:rsidRPr="003A1174">
        <w:rPr>
          <w:rFonts w:ascii="Garamond" w:hAnsi="Garamond" w:cs="Arial"/>
          <w:lang w:val="pt-PT"/>
        </w:rPr>
        <w:t xml:space="preserve"> </w:t>
      </w:r>
      <w:r w:rsidR="00C553E2" w:rsidRPr="003A1174">
        <w:rPr>
          <w:rFonts w:ascii="Garamond" w:hAnsi="Garamond" w:cs="Arial"/>
          <w:lang w:val="pt-PT"/>
        </w:rPr>
        <w:t>distorções</w:t>
      </w:r>
      <w:r w:rsidR="00CA39B2" w:rsidRPr="003A1174">
        <w:rPr>
          <w:rFonts w:ascii="Garamond" w:hAnsi="Garamond" w:cs="Arial"/>
          <w:lang w:val="pt-PT"/>
        </w:rPr>
        <w:t xml:space="preserve"> de género por parte de</w:t>
      </w:r>
      <w:r w:rsidR="00046CE9" w:rsidRPr="003A1174">
        <w:rPr>
          <w:rFonts w:ascii="Garamond" w:hAnsi="Garamond" w:cs="Arial"/>
          <w:lang w:val="pt-PT"/>
        </w:rPr>
        <w:t xml:space="preserve"> </w:t>
      </w:r>
      <w:r w:rsidR="00C553E2" w:rsidRPr="003A1174">
        <w:rPr>
          <w:rFonts w:ascii="Garamond" w:hAnsi="Garamond" w:cs="Arial"/>
          <w:lang w:val="pt-PT"/>
        </w:rPr>
        <w:t>magistrados/as e</w:t>
      </w:r>
      <w:r w:rsidR="00CA39B2" w:rsidRPr="003A1174">
        <w:rPr>
          <w:rFonts w:ascii="Garamond" w:hAnsi="Garamond" w:cs="Arial"/>
          <w:lang w:val="pt-PT"/>
        </w:rPr>
        <w:t>/o</w:t>
      </w:r>
      <w:r w:rsidR="00C553E2" w:rsidRPr="003A1174">
        <w:rPr>
          <w:rFonts w:ascii="Garamond" w:hAnsi="Garamond" w:cs="Arial"/>
          <w:lang w:val="pt-PT"/>
        </w:rPr>
        <w:t>u delegados do Ministério Público</w:t>
      </w:r>
      <w:r w:rsidR="00CA39B2" w:rsidRPr="003A1174">
        <w:rPr>
          <w:rFonts w:ascii="Garamond" w:hAnsi="Garamond" w:cs="Arial"/>
          <w:lang w:val="pt-PT"/>
        </w:rPr>
        <w:t>, que n</w:t>
      </w:r>
      <w:r w:rsidR="00C553E2" w:rsidRPr="003A1174">
        <w:rPr>
          <w:rFonts w:ascii="Garamond" w:hAnsi="Garamond" w:cs="Arial"/>
          <w:lang w:val="pt-PT"/>
        </w:rPr>
        <w:t>ã</w:t>
      </w:r>
      <w:r w:rsidR="00CA39B2" w:rsidRPr="003A1174">
        <w:rPr>
          <w:rFonts w:ascii="Garamond" w:hAnsi="Garamond" w:cs="Arial"/>
          <w:lang w:val="pt-PT"/>
        </w:rPr>
        <w:t>o t</w:t>
      </w:r>
      <w:r w:rsidR="00C553E2" w:rsidRPr="003A1174">
        <w:rPr>
          <w:rFonts w:ascii="Garamond" w:hAnsi="Garamond" w:cs="Arial"/>
          <w:lang w:val="pt-PT"/>
        </w:rPr>
        <w:t xml:space="preserve">êm </w:t>
      </w:r>
      <w:r w:rsidR="00CA39B2" w:rsidRPr="003A1174">
        <w:rPr>
          <w:rFonts w:ascii="Garamond" w:hAnsi="Garamond" w:cs="Arial"/>
          <w:lang w:val="pt-PT"/>
        </w:rPr>
        <w:t>o</w:t>
      </w:r>
      <w:r w:rsidR="00C553E2" w:rsidRPr="003A1174">
        <w:rPr>
          <w:rFonts w:ascii="Garamond" w:hAnsi="Garamond" w:cs="Arial"/>
          <w:lang w:val="pt-PT"/>
        </w:rPr>
        <w:t>u</w:t>
      </w:r>
      <w:r w:rsidR="00CA39B2" w:rsidRPr="003A1174">
        <w:rPr>
          <w:rFonts w:ascii="Garamond" w:hAnsi="Garamond" w:cs="Arial"/>
          <w:lang w:val="pt-PT"/>
        </w:rPr>
        <w:t xml:space="preserve"> descon</w:t>
      </w:r>
      <w:r w:rsidR="00C553E2" w:rsidRPr="003A1174">
        <w:rPr>
          <w:rFonts w:ascii="Garamond" w:hAnsi="Garamond" w:cs="Arial"/>
          <w:lang w:val="pt-PT"/>
        </w:rPr>
        <w:t xml:space="preserve">hecem </w:t>
      </w:r>
      <w:r w:rsidR="00CA39B2" w:rsidRPr="003A1174">
        <w:rPr>
          <w:rFonts w:ascii="Garamond" w:hAnsi="Garamond" w:cs="Arial"/>
          <w:lang w:val="pt-PT"/>
        </w:rPr>
        <w:t xml:space="preserve">a temática da </w:t>
      </w:r>
      <w:r w:rsidR="000350B1" w:rsidRPr="003A1174">
        <w:rPr>
          <w:rFonts w:ascii="Garamond" w:hAnsi="Garamond" w:cs="Arial"/>
          <w:lang w:val="pt-PT"/>
        </w:rPr>
        <w:t>violência</w:t>
      </w:r>
      <w:r w:rsidR="00C553E2" w:rsidRPr="003A1174">
        <w:rPr>
          <w:rFonts w:ascii="Garamond" w:hAnsi="Garamond" w:cs="Arial"/>
          <w:lang w:val="pt-PT"/>
        </w:rPr>
        <w:t xml:space="preserve"> contra </w:t>
      </w:r>
      <w:r w:rsidR="00CA39B2" w:rsidRPr="003A1174">
        <w:rPr>
          <w:rFonts w:ascii="Garamond" w:hAnsi="Garamond" w:cs="Arial"/>
          <w:lang w:val="pt-PT"/>
        </w:rPr>
        <w:t xml:space="preserve">as </w:t>
      </w:r>
      <w:r w:rsidR="00054EE0" w:rsidRPr="003A1174">
        <w:rPr>
          <w:rFonts w:ascii="Garamond" w:hAnsi="Garamond" w:cs="Arial"/>
          <w:lang w:val="pt-PT"/>
        </w:rPr>
        <w:t>mulheres</w:t>
      </w:r>
      <w:r w:rsidR="00C553E2" w:rsidRPr="003A1174">
        <w:rPr>
          <w:rFonts w:ascii="Garamond" w:hAnsi="Garamond" w:cs="Arial"/>
          <w:lang w:val="pt-PT"/>
        </w:rPr>
        <w:t xml:space="preserve"> e as </w:t>
      </w:r>
      <w:r w:rsidR="00CA39B2" w:rsidRPr="003A1174">
        <w:rPr>
          <w:rFonts w:ascii="Garamond" w:hAnsi="Garamond" w:cs="Arial"/>
          <w:lang w:val="pt-PT"/>
        </w:rPr>
        <w:t>norma</w:t>
      </w:r>
      <w:r w:rsidR="00C553E2" w:rsidRPr="003A1174">
        <w:rPr>
          <w:rFonts w:ascii="Garamond" w:hAnsi="Garamond" w:cs="Arial"/>
          <w:lang w:val="pt-PT"/>
        </w:rPr>
        <w:t>s</w:t>
      </w:r>
      <w:r w:rsidR="00CA39B2" w:rsidRPr="003A1174">
        <w:rPr>
          <w:rFonts w:ascii="Garamond" w:hAnsi="Garamond" w:cs="Arial"/>
          <w:lang w:val="pt-PT"/>
        </w:rPr>
        <w:t xml:space="preserve"> existente</w:t>
      </w:r>
      <w:r w:rsidR="00C553E2" w:rsidRPr="003A1174">
        <w:rPr>
          <w:rFonts w:ascii="Garamond" w:hAnsi="Garamond" w:cs="Arial"/>
          <w:lang w:val="pt-PT"/>
        </w:rPr>
        <w:t xml:space="preserve">s, </w:t>
      </w:r>
      <w:r w:rsidR="00CA39B2" w:rsidRPr="003A1174">
        <w:rPr>
          <w:rFonts w:ascii="Garamond" w:hAnsi="Garamond" w:cs="Arial"/>
          <w:lang w:val="pt-PT"/>
        </w:rPr>
        <w:t xml:space="preserve">o que </w:t>
      </w:r>
      <w:r w:rsidR="00C553E2" w:rsidRPr="003A1174">
        <w:rPr>
          <w:rFonts w:ascii="Garamond" w:hAnsi="Garamond" w:cs="Arial"/>
          <w:lang w:val="pt-PT"/>
        </w:rPr>
        <w:t xml:space="preserve">causa impacto nas </w:t>
      </w:r>
      <w:r w:rsidR="003F012B" w:rsidRPr="003A1174">
        <w:rPr>
          <w:rFonts w:ascii="Garamond" w:hAnsi="Garamond" w:cs="Arial"/>
          <w:lang w:val="pt-PT"/>
        </w:rPr>
        <w:t>vítima</w:t>
      </w:r>
      <w:r w:rsidR="00CA39B2" w:rsidRPr="003A1174">
        <w:rPr>
          <w:rFonts w:ascii="Garamond" w:hAnsi="Garamond" w:cs="Arial"/>
          <w:lang w:val="pt-PT"/>
        </w:rPr>
        <w:t xml:space="preserve">s </w:t>
      </w:r>
      <w:r w:rsidR="00C553E2" w:rsidRPr="003A1174">
        <w:rPr>
          <w:rFonts w:ascii="Garamond" w:hAnsi="Garamond" w:cs="Arial"/>
          <w:lang w:val="pt-PT"/>
        </w:rPr>
        <w:t xml:space="preserve">e cria </w:t>
      </w:r>
      <w:r w:rsidR="00CA39B2" w:rsidRPr="003A1174">
        <w:rPr>
          <w:rFonts w:ascii="Garamond" w:hAnsi="Garamond" w:cs="Arial"/>
          <w:lang w:val="pt-PT"/>
        </w:rPr>
        <w:t>obst</w:t>
      </w:r>
      <w:r w:rsidR="00C553E2" w:rsidRPr="003A1174">
        <w:rPr>
          <w:rFonts w:ascii="Garamond" w:hAnsi="Garamond" w:cs="Arial"/>
          <w:lang w:val="pt-PT"/>
        </w:rPr>
        <w:t xml:space="preserve">áculos no seu </w:t>
      </w:r>
      <w:r w:rsidR="00CA39B2" w:rsidRPr="003A1174">
        <w:rPr>
          <w:rFonts w:ascii="Garamond" w:hAnsi="Garamond" w:cs="Arial"/>
          <w:lang w:val="pt-PT"/>
        </w:rPr>
        <w:t xml:space="preserve">real </w:t>
      </w:r>
      <w:r w:rsidR="00886D6A" w:rsidRPr="003A1174">
        <w:rPr>
          <w:rFonts w:ascii="Garamond" w:hAnsi="Garamond" w:cs="Arial"/>
          <w:lang w:val="pt-PT"/>
        </w:rPr>
        <w:t>acesso</w:t>
      </w:r>
      <w:r w:rsidR="00CA39B2" w:rsidRPr="003A1174">
        <w:rPr>
          <w:rFonts w:ascii="Garamond" w:hAnsi="Garamond" w:cs="Arial"/>
          <w:lang w:val="pt-PT"/>
        </w:rPr>
        <w:t xml:space="preserve"> </w:t>
      </w:r>
      <w:r w:rsidR="00C553E2" w:rsidRPr="003A1174">
        <w:rPr>
          <w:rFonts w:ascii="Garamond" w:hAnsi="Garamond" w:cs="Arial"/>
          <w:lang w:val="pt-PT"/>
        </w:rPr>
        <w:t xml:space="preserve">à </w:t>
      </w:r>
      <w:r w:rsidR="00FC1F7F" w:rsidRPr="003A1174">
        <w:rPr>
          <w:rFonts w:ascii="Garamond" w:hAnsi="Garamond" w:cs="Arial"/>
          <w:lang w:val="pt-PT"/>
        </w:rPr>
        <w:t>justiça</w:t>
      </w:r>
      <w:r w:rsidR="00CA39B2" w:rsidRPr="003A1174">
        <w:rPr>
          <w:rFonts w:ascii="Garamond" w:hAnsi="Garamond" w:cs="Arial"/>
          <w:lang w:val="pt-PT"/>
        </w:rPr>
        <w:t xml:space="preserve">. </w:t>
      </w:r>
    </w:p>
    <w:p w:rsidR="00CA39B2" w:rsidRPr="003A1174" w:rsidRDefault="00CA39B2" w:rsidP="008719D4">
      <w:pPr>
        <w:pStyle w:val="NormalWeb"/>
        <w:shd w:val="clear" w:color="auto" w:fill="FFFFFF"/>
        <w:spacing w:after="0"/>
        <w:jc w:val="both"/>
        <w:rPr>
          <w:rFonts w:ascii="Garamond" w:hAnsi="Garamond" w:cs="Arial"/>
          <w:lang w:val="pt-PT"/>
        </w:rPr>
      </w:pPr>
      <w:r w:rsidRPr="003A1174">
        <w:rPr>
          <w:rFonts w:ascii="Garamond" w:hAnsi="Garamond" w:cs="Arial"/>
          <w:lang w:val="pt-PT"/>
        </w:rPr>
        <w:t xml:space="preserve">Por </w:t>
      </w:r>
      <w:r w:rsidR="001F2F8B" w:rsidRPr="003A1174">
        <w:rPr>
          <w:rFonts w:ascii="Garamond" w:hAnsi="Garamond" w:cs="Arial"/>
          <w:lang w:val="pt-PT"/>
        </w:rPr>
        <w:t>outro</w:t>
      </w:r>
      <w:r w:rsidRPr="003A1174">
        <w:rPr>
          <w:rFonts w:ascii="Garamond" w:hAnsi="Garamond" w:cs="Arial"/>
          <w:lang w:val="pt-PT"/>
        </w:rPr>
        <w:t xml:space="preserve"> lado,</w:t>
      </w:r>
      <w:r w:rsidR="001325B3" w:rsidRPr="003A1174">
        <w:rPr>
          <w:rFonts w:ascii="Garamond" w:hAnsi="Garamond" w:cs="Arial"/>
          <w:lang w:val="pt-PT"/>
        </w:rPr>
        <w:t xml:space="preserve"> </w:t>
      </w:r>
      <w:r w:rsidR="00C553E2" w:rsidRPr="003A1174">
        <w:rPr>
          <w:rFonts w:ascii="Garamond" w:hAnsi="Garamond" w:cs="Arial"/>
          <w:lang w:val="pt-PT"/>
        </w:rPr>
        <w:t>o</w:t>
      </w:r>
      <w:r w:rsidR="001325B3" w:rsidRPr="003A1174">
        <w:rPr>
          <w:rFonts w:ascii="Garamond" w:hAnsi="Garamond" w:cs="Arial"/>
          <w:lang w:val="pt-PT"/>
        </w:rPr>
        <w:t xml:space="preserve"> </w:t>
      </w:r>
      <w:r w:rsidR="004C1496" w:rsidRPr="003A1174">
        <w:rPr>
          <w:rFonts w:ascii="Garamond" w:hAnsi="Garamond" w:cs="Arial"/>
          <w:lang w:val="pt-PT"/>
        </w:rPr>
        <w:t>Conselho</w:t>
      </w:r>
      <w:r w:rsidR="001325B3" w:rsidRPr="003A1174">
        <w:rPr>
          <w:rFonts w:ascii="Garamond" w:hAnsi="Garamond" w:cs="Arial"/>
          <w:lang w:val="pt-PT"/>
        </w:rPr>
        <w:t xml:space="preserve"> Nacional das </w:t>
      </w:r>
      <w:r w:rsidR="00054EE0" w:rsidRPr="003A1174">
        <w:rPr>
          <w:rFonts w:ascii="Garamond" w:hAnsi="Garamond" w:cs="Arial"/>
          <w:lang w:val="pt-PT"/>
        </w:rPr>
        <w:t>Mulheres</w:t>
      </w:r>
      <w:r w:rsidR="001325B3" w:rsidRPr="003A1174">
        <w:rPr>
          <w:rFonts w:ascii="Garamond" w:hAnsi="Garamond" w:cs="Arial"/>
          <w:lang w:val="pt-PT"/>
        </w:rPr>
        <w:t xml:space="preserve"> </w:t>
      </w:r>
      <w:r w:rsidR="00C553E2" w:rsidRPr="003A1174">
        <w:rPr>
          <w:rFonts w:ascii="Garamond" w:hAnsi="Garamond" w:cs="Arial"/>
          <w:lang w:val="pt-PT"/>
        </w:rPr>
        <w:t>cri</w:t>
      </w:r>
      <w:r w:rsidRPr="003A1174">
        <w:rPr>
          <w:rFonts w:ascii="Garamond" w:hAnsi="Garamond" w:cs="Arial"/>
          <w:lang w:val="pt-PT"/>
        </w:rPr>
        <w:t>ado e</w:t>
      </w:r>
      <w:r w:rsidR="00C553E2" w:rsidRPr="003A1174">
        <w:rPr>
          <w:rFonts w:ascii="Garamond" w:hAnsi="Garamond" w:cs="Arial"/>
          <w:lang w:val="pt-PT"/>
        </w:rPr>
        <w:t>m</w:t>
      </w:r>
      <w:r w:rsidRPr="003A1174">
        <w:rPr>
          <w:rFonts w:ascii="Garamond" w:hAnsi="Garamond" w:cs="Arial"/>
          <w:lang w:val="pt-PT"/>
        </w:rPr>
        <w:t xml:space="preserve"> </w:t>
      </w:r>
      <w:r w:rsidR="008939AA" w:rsidRPr="003A1174">
        <w:rPr>
          <w:rFonts w:ascii="Garamond" w:hAnsi="Garamond" w:cs="Arial"/>
          <w:lang w:val="pt-PT"/>
        </w:rPr>
        <w:t>1992 (</w:t>
      </w:r>
      <w:r w:rsidRPr="003A1174">
        <w:rPr>
          <w:rFonts w:ascii="Garamond" w:hAnsi="Garamond" w:cs="Arial"/>
          <w:lang w:val="pt-PT"/>
        </w:rPr>
        <w:t>2009</w:t>
      </w:r>
      <w:r w:rsidR="008939AA" w:rsidRPr="003A1174">
        <w:rPr>
          <w:rFonts w:ascii="Garamond" w:hAnsi="Garamond" w:cs="Arial"/>
          <w:lang w:val="pt-PT"/>
        </w:rPr>
        <w:t>)</w:t>
      </w:r>
      <w:r w:rsidRPr="003A1174">
        <w:rPr>
          <w:rFonts w:ascii="Garamond" w:hAnsi="Garamond" w:cs="Arial"/>
          <w:lang w:val="pt-PT"/>
        </w:rPr>
        <w:t xml:space="preserve">, </w:t>
      </w:r>
      <w:r w:rsidR="00C553E2" w:rsidRPr="003A1174">
        <w:rPr>
          <w:rFonts w:ascii="Garamond" w:hAnsi="Garamond" w:cs="Arial"/>
          <w:lang w:val="pt-PT"/>
        </w:rPr>
        <w:t>é hoje</w:t>
      </w:r>
      <w:r w:rsidRPr="003A1174">
        <w:rPr>
          <w:rFonts w:ascii="Garamond" w:hAnsi="Garamond" w:cs="Arial"/>
          <w:lang w:val="pt-PT"/>
        </w:rPr>
        <w:t xml:space="preserve"> u</w:t>
      </w:r>
      <w:r w:rsidR="00C553E2" w:rsidRPr="003A1174">
        <w:rPr>
          <w:rFonts w:ascii="Garamond" w:hAnsi="Garamond" w:cs="Arial"/>
          <w:lang w:val="pt-PT"/>
        </w:rPr>
        <w:t>m</w:t>
      </w:r>
      <w:r w:rsidRPr="003A1174">
        <w:rPr>
          <w:rFonts w:ascii="Garamond" w:hAnsi="Garamond" w:cs="Arial"/>
          <w:lang w:val="pt-PT"/>
        </w:rPr>
        <w:t xml:space="preserve"> organismo co</w:t>
      </w:r>
      <w:r w:rsidR="00C553E2" w:rsidRPr="003A1174">
        <w:rPr>
          <w:rFonts w:ascii="Garamond" w:hAnsi="Garamond" w:cs="Arial"/>
          <w:lang w:val="pt-PT"/>
        </w:rPr>
        <w:t>m</w:t>
      </w:r>
      <w:r w:rsidRPr="003A1174">
        <w:rPr>
          <w:rFonts w:ascii="Garamond" w:hAnsi="Garamond" w:cs="Arial"/>
          <w:lang w:val="pt-PT"/>
        </w:rPr>
        <w:t xml:space="preserve"> esca</w:t>
      </w:r>
      <w:r w:rsidR="00C553E2" w:rsidRPr="003A1174">
        <w:rPr>
          <w:rFonts w:ascii="Garamond" w:hAnsi="Garamond" w:cs="Arial"/>
          <w:lang w:val="pt-PT"/>
        </w:rPr>
        <w:t>s</w:t>
      </w:r>
      <w:r w:rsidRPr="003A1174">
        <w:rPr>
          <w:rFonts w:ascii="Garamond" w:hAnsi="Garamond" w:cs="Arial"/>
          <w:lang w:val="pt-PT"/>
        </w:rPr>
        <w:t xml:space="preserve">sa </w:t>
      </w:r>
      <w:r w:rsidR="00A523BE" w:rsidRPr="003A1174">
        <w:rPr>
          <w:rFonts w:ascii="Garamond" w:hAnsi="Garamond" w:cs="Arial"/>
          <w:lang w:val="pt-PT"/>
        </w:rPr>
        <w:t>presença</w:t>
      </w:r>
      <w:r w:rsidRPr="003A1174">
        <w:rPr>
          <w:rFonts w:ascii="Garamond" w:hAnsi="Garamond" w:cs="Arial"/>
          <w:lang w:val="pt-PT"/>
        </w:rPr>
        <w:t xml:space="preserve"> nacional, </w:t>
      </w:r>
      <w:r w:rsidR="00394F46" w:rsidRPr="003A1174">
        <w:rPr>
          <w:rFonts w:ascii="Garamond" w:hAnsi="Garamond" w:cs="Arial"/>
          <w:lang w:val="pt-PT"/>
        </w:rPr>
        <w:t>que carece de</w:t>
      </w:r>
      <w:r w:rsidRPr="003A1174">
        <w:rPr>
          <w:rFonts w:ascii="Garamond" w:hAnsi="Garamond" w:cs="Arial"/>
          <w:lang w:val="pt-PT"/>
        </w:rPr>
        <w:t xml:space="preserve"> u</w:t>
      </w:r>
      <w:r w:rsidR="00C553E2" w:rsidRPr="003A1174">
        <w:rPr>
          <w:rFonts w:ascii="Garamond" w:hAnsi="Garamond" w:cs="Arial"/>
          <w:lang w:val="pt-PT"/>
        </w:rPr>
        <w:t xml:space="preserve">ma </w:t>
      </w:r>
      <w:r w:rsidR="00C30647" w:rsidRPr="003A1174">
        <w:rPr>
          <w:rFonts w:ascii="Garamond" w:hAnsi="Garamond" w:cs="Arial"/>
          <w:lang w:val="pt-PT"/>
        </w:rPr>
        <w:t>equipa</w:t>
      </w:r>
      <w:r w:rsidRPr="003A1174">
        <w:rPr>
          <w:rFonts w:ascii="Garamond" w:hAnsi="Garamond" w:cs="Arial"/>
          <w:lang w:val="pt-PT"/>
        </w:rPr>
        <w:t xml:space="preserve"> </w:t>
      </w:r>
      <w:r w:rsidR="00C553E2" w:rsidRPr="003A1174">
        <w:rPr>
          <w:rFonts w:ascii="Garamond" w:hAnsi="Garamond" w:cs="Arial"/>
          <w:lang w:val="pt-PT"/>
        </w:rPr>
        <w:t>profissional e técnica</w:t>
      </w:r>
      <w:r w:rsidRPr="003A1174">
        <w:rPr>
          <w:rFonts w:ascii="Garamond" w:hAnsi="Garamond" w:cs="Arial"/>
          <w:lang w:val="pt-PT"/>
        </w:rPr>
        <w:t xml:space="preserve"> importante</w:t>
      </w:r>
      <w:r w:rsidR="00394F46" w:rsidRPr="003A1174">
        <w:rPr>
          <w:rFonts w:ascii="Garamond" w:hAnsi="Garamond" w:cs="Arial"/>
          <w:lang w:val="pt-PT"/>
        </w:rPr>
        <w:t>.</w:t>
      </w:r>
      <w:proofErr w:type="gramStart"/>
      <w:r w:rsidR="008939AA" w:rsidRPr="003A1174">
        <w:rPr>
          <w:rStyle w:val="Refdenotaalpie"/>
          <w:rFonts w:ascii="Garamond" w:hAnsi="Garamond" w:cs="Arial"/>
        </w:rPr>
        <w:footnoteReference w:id="56"/>
      </w:r>
      <w:proofErr w:type="gramEnd"/>
      <w:r w:rsidRPr="003A1174">
        <w:rPr>
          <w:rFonts w:ascii="Garamond" w:hAnsi="Garamond" w:cs="Arial"/>
          <w:lang w:val="pt-PT"/>
        </w:rPr>
        <w:t xml:space="preserve"> </w:t>
      </w:r>
    </w:p>
    <w:p w:rsidR="00046CE9" w:rsidRPr="003A1174" w:rsidRDefault="00046CE9" w:rsidP="008719D4">
      <w:pPr>
        <w:pStyle w:val="Predeterminado"/>
        <w:spacing w:line="240" w:lineRule="auto"/>
        <w:jc w:val="both"/>
        <w:rPr>
          <w:rFonts w:ascii="Garamond" w:hAnsi="Garamond" w:cs="Arial"/>
          <w:color w:val="auto"/>
          <w:sz w:val="24"/>
          <w:szCs w:val="24"/>
          <w:lang w:val="pt-PT"/>
        </w:rPr>
      </w:pPr>
    </w:p>
    <w:p w:rsidR="00046CE9" w:rsidRPr="003A1174" w:rsidRDefault="00C30647" w:rsidP="008719D4">
      <w:pPr>
        <w:pStyle w:val="Ttulo4"/>
        <w:spacing w:line="240" w:lineRule="auto"/>
        <w:rPr>
          <w:rFonts w:ascii="Garamond" w:hAnsi="Garamond" w:cs="Arial"/>
          <w:b w:val="0"/>
          <w:i w:val="0"/>
          <w:sz w:val="24"/>
          <w:szCs w:val="24"/>
        </w:rPr>
      </w:pPr>
      <w:bookmarkStart w:id="20" w:name="_Toc421529708"/>
      <w:r w:rsidRPr="003A1174">
        <w:rPr>
          <w:rStyle w:val="Ttulo3Car"/>
          <w:rFonts w:ascii="Garamond" w:hAnsi="Garamond"/>
          <w:b/>
          <w:i w:val="0"/>
          <w:sz w:val="24"/>
          <w:szCs w:val="24"/>
        </w:rPr>
        <w:t>Bolívia</w:t>
      </w:r>
      <w:bookmarkEnd w:id="20"/>
      <w:r w:rsidR="00046CE9" w:rsidRPr="003A1174">
        <w:rPr>
          <w:rStyle w:val="Refdenotaalpie"/>
          <w:rFonts w:ascii="Garamond" w:hAnsi="Garamond" w:cs="Arial"/>
          <w:b w:val="0"/>
          <w:i w:val="0"/>
          <w:sz w:val="24"/>
          <w:szCs w:val="24"/>
          <w:lang w:val="es-ES"/>
        </w:rPr>
        <w:footnoteReference w:id="57"/>
      </w:r>
    </w:p>
    <w:p w:rsidR="00046CE9" w:rsidRPr="003A1174" w:rsidRDefault="00046CE9"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00C553E2" w:rsidRPr="003A1174">
        <w:rPr>
          <w:rFonts w:ascii="Garamond" w:hAnsi="Garamond" w:cs="Arial"/>
          <w:color w:val="auto"/>
          <w:sz w:val="24"/>
          <w:szCs w:val="24"/>
        </w:rPr>
        <w:t xml:space="preserve"> pré</w:t>
      </w:r>
      <w:r w:rsidRPr="003A1174">
        <w:rPr>
          <w:rFonts w:ascii="Garamond" w:hAnsi="Garamond" w:cs="Arial"/>
          <w:color w:val="auto"/>
          <w:sz w:val="24"/>
          <w:szCs w:val="24"/>
        </w:rPr>
        <w:t>vio</w:t>
      </w:r>
      <w:r w:rsidR="00394F46" w:rsidRPr="003A1174">
        <w:rPr>
          <w:rFonts w:ascii="Garamond" w:hAnsi="Garamond" w:cs="Arial"/>
          <w:color w:val="auto"/>
          <w:sz w:val="24"/>
          <w:szCs w:val="24"/>
        </w:rPr>
        <w:t xml:space="preserve">, </w:t>
      </w:r>
      <w:r w:rsidR="00C553E2" w:rsidRPr="003A1174">
        <w:rPr>
          <w:rFonts w:ascii="Garamond" w:hAnsi="Garamond" w:cs="Arial"/>
          <w:color w:val="auto"/>
          <w:sz w:val="24"/>
          <w:szCs w:val="24"/>
        </w:rPr>
        <w:t xml:space="preserve">é </w:t>
      </w:r>
      <w:r w:rsidR="00C30647" w:rsidRPr="003A1174">
        <w:rPr>
          <w:rFonts w:ascii="Garamond" w:hAnsi="Garamond" w:cs="Arial"/>
          <w:color w:val="auto"/>
          <w:sz w:val="24"/>
          <w:szCs w:val="24"/>
        </w:rPr>
        <w:t>necessário</w:t>
      </w:r>
      <w:r w:rsidRPr="003A1174">
        <w:rPr>
          <w:rFonts w:ascii="Garamond" w:hAnsi="Garamond" w:cs="Arial"/>
          <w:color w:val="auto"/>
          <w:sz w:val="24"/>
          <w:szCs w:val="24"/>
        </w:rPr>
        <w:t xml:space="preserve"> indicar que </w:t>
      </w:r>
      <w:r w:rsidR="0074243F" w:rsidRPr="003A1174">
        <w:rPr>
          <w:rFonts w:ascii="Garamond" w:hAnsi="Garamond" w:cs="Arial"/>
          <w:color w:val="auto"/>
          <w:sz w:val="24"/>
          <w:szCs w:val="24"/>
        </w:rPr>
        <w:t>ratificou</w:t>
      </w:r>
      <w:r w:rsidR="00C553E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1618BA">
        <w:rPr>
          <w:rFonts w:ascii="Garamond" w:hAnsi="Garamond" w:cs="Arial"/>
          <w:color w:val="auto"/>
          <w:sz w:val="24"/>
          <w:szCs w:val="24"/>
        </w:rPr>
        <w:t>,</w:t>
      </w:r>
      <w:r w:rsidRPr="003A1174">
        <w:rPr>
          <w:rFonts w:ascii="Garamond" w:hAnsi="Garamond" w:cs="Arial"/>
          <w:color w:val="auto"/>
          <w:sz w:val="24"/>
          <w:szCs w:val="24"/>
        </w:rPr>
        <w:t xml:space="preserve"> </w:t>
      </w:r>
      <w:r w:rsidR="00C553E2" w:rsidRPr="003A1174">
        <w:rPr>
          <w:rFonts w:ascii="Garamond" w:hAnsi="Garamond" w:cs="Arial"/>
          <w:color w:val="auto"/>
          <w:sz w:val="24"/>
          <w:szCs w:val="24"/>
        </w:rPr>
        <w:t xml:space="preserve">a </w:t>
      </w:r>
      <w:r w:rsidRPr="003A1174">
        <w:rPr>
          <w:rFonts w:ascii="Garamond" w:hAnsi="Garamond" w:cs="Arial"/>
          <w:color w:val="auto"/>
          <w:sz w:val="24"/>
          <w:szCs w:val="24"/>
        </w:rPr>
        <w:t xml:space="preserve">19 de </w:t>
      </w:r>
      <w:r w:rsidR="009E3E55" w:rsidRPr="003A1174">
        <w:rPr>
          <w:rFonts w:ascii="Garamond" w:hAnsi="Garamond" w:cs="Arial"/>
          <w:color w:val="auto"/>
          <w:sz w:val="24"/>
          <w:szCs w:val="24"/>
        </w:rPr>
        <w:t>julho</w:t>
      </w:r>
      <w:r w:rsidRPr="003A1174">
        <w:rPr>
          <w:rFonts w:ascii="Garamond" w:hAnsi="Garamond" w:cs="Arial"/>
          <w:color w:val="auto"/>
          <w:sz w:val="24"/>
          <w:szCs w:val="24"/>
        </w:rPr>
        <w:t xml:space="preserve"> de 1979</w:t>
      </w:r>
      <w:r w:rsidR="001618BA">
        <w:rPr>
          <w:rFonts w:ascii="Garamond" w:hAnsi="Garamond" w:cs="Arial"/>
          <w:color w:val="auto"/>
          <w:sz w:val="24"/>
          <w:szCs w:val="24"/>
        </w:rPr>
        <w:t>,</w:t>
      </w:r>
      <w:r w:rsidRPr="003A1174">
        <w:rPr>
          <w:rFonts w:ascii="Garamond" w:hAnsi="Garamond" w:cs="Arial"/>
          <w:color w:val="auto"/>
          <w:sz w:val="24"/>
          <w:szCs w:val="24"/>
        </w:rPr>
        <w:t xml:space="preserve"> </w:t>
      </w:r>
      <w:r w:rsidR="00C553E2"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C553E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w:t>
      </w:r>
      <w:r w:rsidR="00042808">
        <w:rPr>
          <w:rFonts w:ascii="Garamond" w:hAnsi="Garamond" w:cs="Arial"/>
          <w:color w:val="auto"/>
          <w:sz w:val="24"/>
          <w:szCs w:val="24"/>
        </w:rPr>
        <w:t xml:space="preserve"> </w:t>
      </w:r>
      <w:r w:rsidR="00935298">
        <w:rPr>
          <w:rFonts w:ascii="Garamond" w:hAnsi="Garamond" w:cs="Arial"/>
          <w:color w:val="auto"/>
          <w:sz w:val="24"/>
          <w:szCs w:val="24"/>
        </w:rPr>
        <w:t>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00C553E2" w:rsidRPr="003A1174">
        <w:rPr>
          <w:rFonts w:ascii="Garamond" w:hAnsi="Garamond" w:cs="Arial"/>
          <w:color w:val="auto"/>
          <w:sz w:val="24"/>
          <w:szCs w:val="24"/>
        </w:rPr>
        <w:t>s Humanos</w:t>
      </w:r>
      <w:r w:rsidR="001618BA">
        <w:rPr>
          <w:rFonts w:ascii="Garamond" w:hAnsi="Garamond" w:cs="Arial"/>
          <w:color w:val="auto"/>
          <w:sz w:val="24"/>
          <w:szCs w:val="24"/>
        </w:rPr>
        <w:t>,</w:t>
      </w:r>
      <w:r w:rsidR="00C553E2" w:rsidRPr="003A1174">
        <w:rPr>
          <w:rFonts w:ascii="Garamond" w:hAnsi="Garamond" w:cs="Arial"/>
          <w:color w:val="auto"/>
          <w:sz w:val="24"/>
          <w:szCs w:val="24"/>
        </w:rPr>
        <w:t xml:space="preserve"> a 27 de</w:t>
      </w:r>
      <w:r w:rsidRPr="003A1174">
        <w:rPr>
          <w:rFonts w:ascii="Garamond" w:hAnsi="Garamond" w:cs="Arial"/>
          <w:color w:val="auto"/>
          <w:sz w:val="24"/>
          <w:szCs w:val="24"/>
        </w:rPr>
        <w:t xml:space="preserve"> </w:t>
      </w:r>
      <w:r w:rsidR="009E3E55" w:rsidRPr="003A1174">
        <w:rPr>
          <w:rFonts w:ascii="Garamond" w:hAnsi="Garamond" w:cs="Arial"/>
          <w:color w:val="auto"/>
          <w:sz w:val="24"/>
          <w:szCs w:val="24"/>
        </w:rPr>
        <w:t>julho</w:t>
      </w:r>
      <w:r w:rsidRPr="003A1174">
        <w:rPr>
          <w:rFonts w:ascii="Garamond" w:hAnsi="Garamond" w:cs="Arial"/>
          <w:color w:val="auto"/>
          <w:sz w:val="24"/>
          <w:szCs w:val="24"/>
        </w:rPr>
        <w:t xml:space="preserve"> de 1993.</w:t>
      </w:r>
      <w:r w:rsidR="00C762D6" w:rsidRPr="003A1174">
        <w:rPr>
          <w:rFonts w:ascii="Garamond" w:hAnsi="Garamond" w:cs="Arial"/>
          <w:color w:val="auto"/>
          <w:sz w:val="24"/>
          <w:szCs w:val="24"/>
        </w:rPr>
        <w:t xml:space="preserve"> </w:t>
      </w:r>
      <w:r w:rsidR="0074243F" w:rsidRPr="003A1174">
        <w:rPr>
          <w:rFonts w:ascii="Garamond" w:hAnsi="Garamond" w:cs="Arial"/>
          <w:color w:val="auto"/>
          <w:sz w:val="24"/>
          <w:szCs w:val="24"/>
        </w:rPr>
        <w:t>Ratificou</w:t>
      </w:r>
      <w:r w:rsidR="00C553E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C553E2" w:rsidRPr="003A1174">
        <w:rPr>
          <w:rFonts w:ascii="Garamond" w:hAnsi="Garamond" w:cs="Arial"/>
          <w:color w:val="auto"/>
          <w:sz w:val="24"/>
          <w:szCs w:val="24"/>
        </w:rPr>
        <w:t xml:space="preserve"> sobre </w:t>
      </w:r>
      <w:r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C553E2" w:rsidRPr="003A1174">
        <w:rPr>
          <w:rFonts w:ascii="Garamond" w:hAnsi="Garamond" w:cs="Arial"/>
          <w:color w:val="auto"/>
          <w:sz w:val="24"/>
          <w:szCs w:val="24"/>
        </w:rPr>
        <w:t xml:space="preserve"> de Todas </w:t>
      </w:r>
      <w:r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C553E2" w:rsidRPr="003A1174">
        <w:rPr>
          <w:rFonts w:ascii="Garamond" w:hAnsi="Garamond" w:cs="Arial"/>
          <w:color w:val="auto"/>
          <w:sz w:val="24"/>
          <w:szCs w:val="24"/>
        </w:rPr>
        <w:t xml:space="preserve"> Contra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1618BA">
        <w:rPr>
          <w:rFonts w:ascii="Garamond" w:hAnsi="Garamond" w:cs="Arial"/>
          <w:color w:val="auto"/>
          <w:sz w:val="24"/>
          <w:szCs w:val="24"/>
        </w:rPr>
        <w:t>,</w:t>
      </w:r>
      <w:r w:rsidR="00C553E2" w:rsidRPr="003A1174">
        <w:rPr>
          <w:rFonts w:ascii="Garamond" w:hAnsi="Garamond" w:cs="Arial"/>
          <w:color w:val="auto"/>
          <w:sz w:val="24"/>
          <w:szCs w:val="24"/>
        </w:rPr>
        <w:t xml:space="preserve"> a </w:t>
      </w:r>
      <w:r w:rsidRPr="003A1174">
        <w:rPr>
          <w:rFonts w:ascii="Garamond" w:hAnsi="Garamond" w:cs="Arial"/>
          <w:color w:val="auto"/>
          <w:sz w:val="24"/>
          <w:szCs w:val="24"/>
        </w:rPr>
        <w:t xml:space="preserve">6 de abril de </w:t>
      </w:r>
      <w:r w:rsidR="00C553E2" w:rsidRPr="003A1174">
        <w:rPr>
          <w:rFonts w:ascii="Garamond" w:hAnsi="Garamond" w:cs="Arial"/>
          <w:color w:val="auto"/>
          <w:sz w:val="24"/>
          <w:szCs w:val="24"/>
        </w:rPr>
        <w:t>1987; 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ratificou</w:t>
      </w:r>
      <w:r w:rsidR="00C553E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C553E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C553E2" w:rsidRPr="003A1174">
        <w:rPr>
          <w:rFonts w:ascii="Garamond" w:hAnsi="Garamond" w:cs="Arial"/>
          <w:color w:val="auto"/>
          <w:sz w:val="24"/>
          <w:szCs w:val="24"/>
        </w:rPr>
        <w:t xml:space="preserve"> contra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394F46" w:rsidRPr="003A1174">
        <w:rPr>
          <w:rFonts w:ascii="Garamond" w:hAnsi="Garamond" w:cs="Arial"/>
          <w:color w:val="auto"/>
          <w:sz w:val="24"/>
          <w:szCs w:val="24"/>
        </w:rPr>
        <w:t>,</w:t>
      </w:r>
      <w:r w:rsidRPr="003A1174">
        <w:rPr>
          <w:rFonts w:ascii="Garamond" w:hAnsi="Garamond" w:cs="Arial"/>
          <w:color w:val="auto"/>
          <w:sz w:val="24"/>
          <w:szCs w:val="24"/>
        </w:rPr>
        <w:t xml:space="preserve"> </w:t>
      </w:r>
      <w:r w:rsidR="002720C5">
        <w:rPr>
          <w:rFonts w:ascii="Garamond" w:hAnsi="Garamond" w:cs="Arial"/>
          <w:color w:val="auto"/>
          <w:sz w:val="24"/>
          <w:szCs w:val="24"/>
        </w:rPr>
        <w:t>«</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de Belém do Pará</w:t>
      </w:r>
      <w:r w:rsidR="002720C5">
        <w:rPr>
          <w:rFonts w:ascii="Garamond" w:hAnsi="Garamond" w:cs="Arial"/>
          <w:color w:val="auto"/>
          <w:sz w:val="24"/>
          <w:szCs w:val="24"/>
        </w:rPr>
        <w:t>»</w:t>
      </w:r>
      <w:r w:rsidR="00394F46" w:rsidRPr="003A1174">
        <w:rPr>
          <w:rFonts w:ascii="Garamond" w:hAnsi="Garamond" w:cs="Arial"/>
          <w:color w:val="auto"/>
          <w:sz w:val="24"/>
          <w:szCs w:val="24"/>
        </w:rPr>
        <w:t>,</w:t>
      </w:r>
      <w:r w:rsidRPr="003A1174">
        <w:rPr>
          <w:rFonts w:ascii="Garamond" w:hAnsi="Garamond" w:cs="Arial"/>
          <w:color w:val="auto"/>
          <w:sz w:val="24"/>
          <w:szCs w:val="24"/>
        </w:rPr>
        <w:t xml:space="preserve"> </w:t>
      </w:r>
      <w:r w:rsidR="00C553E2" w:rsidRPr="003A1174">
        <w:rPr>
          <w:rFonts w:ascii="Garamond" w:hAnsi="Garamond" w:cs="Arial"/>
          <w:color w:val="auto"/>
          <w:sz w:val="24"/>
          <w:szCs w:val="24"/>
        </w:rPr>
        <w:t xml:space="preserve">a </w:t>
      </w:r>
      <w:r w:rsidR="00210BF6" w:rsidRPr="003A1174">
        <w:rPr>
          <w:rFonts w:ascii="Garamond" w:hAnsi="Garamond" w:cs="Arial"/>
          <w:color w:val="auto"/>
          <w:sz w:val="24"/>
          <w:szCs w:val="24"/>
          <w:shd w:val="clear" w:color="auto" w:fill="F7F7F7"/>
        </w:rPr>
        <w:t xml:space="preserve">5 de </w:t>
      </w:r>
      <w:r w:rsidR="0094067E" w:rsidRPr="003A1174">
        <w:rPr>
          <w:rFonts w:ascii="Garamond" w:hAnsi="Garamond" w:cs="Arial"/>
          <w:color w:val="auto"/>
          <w:sz w:val="24"/>
          <w:szCs w:val="24"/>
          <w:shd w:val="clear" w:color="auto" w:fill="F7F7F7"/>
        </w:rPr>
        <w:t>dezembro</w:t>
      </w:r>
      <w:r w:rsidR="00210BF6" w:rsidRPr="003A1174">
        <w:rPr>
          <w:rFonts w:ascii="Garamond" w:hAnsi="Garamond" w:cs="Arial"/>
          <w:color w:val="auto"/>
          <w:sz w:val="24"/>
          <w:szCs w:val="24"/>
          <w:shd w:val="clear" w:color="auto" w:fill="F7F7F7"/>
        </w:rPr>
        <w:t xml:space="preserve"> de 1994.</w:t>
      </w:r>
    </w:p>
    <w:p w:rsidR="00046CE9" w:rsidRPr="003A1174" w:rsidRDefault="00B14AA6"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046CE9"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046CE9" w:rsidRPr="003A1174">
        <w:rPr>
          <w:rFonts w:ascii="Garamond" w:hAnsi="Garamond" w:cs="Arial"/>
          <w:color w:val="auto"/>
          <w:sz w:val="24"/>
          <w:szCs w:val="24"/>
        </w:rPr>
        <w:tab/>
      </w:r>
    </w:p>
    <w:p w:rsidR="00046CE9" w:rsidRPr="003A1174" w:rsidRDefault="00046CE9" w:rsidP="002A59E7">
      <w:pPr>
        <w:spacing w:before="240" w:line="240" w:lineRule="auto"/>
        <w:jc w:val="both"/>
        <w:rPr>
          <w:rFonts w:ascii="Garamond" w:hAnsi="Garamond" w:cs="Arial"/>
          <w:sz w:val="24"/>
          <w:szCs w:val="24"/>
        </w:rPr>
      </w:pPr>
      <w:r w:rsidRPr="003A1174">
        <w:rPr>
          <w:rFonts w:ascii="Garamond" w:hAnsi="Garamond" w:cs="Arial"/>
          <w:sz w:val="24"/>
          <w:szCs w:val="24"/>
        </w:rPr>
        <w:t>E</w:t>
      </w:r>
      <w:r w:rsidR="00C553E2" w:rsidRPr="003A1174">
        <w:rPr>
          <w:rFonts w:ascii="Garamond" w:hAnsi="Garamond" w:cs="Arial"/>
          <w:sz w:val="24"/>
          <w:szCs w:val="24"/>
        </w:rPr>
        <w:t>m</w:t>
      </w:r>
      <w:r w:rsidRPr="003A1174">
        <w:rPr>
          <w:rFonts w:ascii="Garamond" w:hAnsi="Garamond" w:cs="Arial"/>
          <w:sz w:val="24"/>
          <w:szCs w:val="24"/>
        </w:rPr>
        <w:t xml:space="preserve"> </w:t>
      </w:r>
      <w:r w:rsidR="00C553E2" w:rsidRPr="003A1174">
        <w:rPr>
          <w:rFonts w:ascii="Garamond" w:hAnsi="Garamond" w:cs="Arial"/>
          <w:sz w:val="24"/>
          <w:szCs w:val="24"/>
        </w:rPr>
        <w:t>março</w:t>
      </w:r>
      <w:r w:rsidRPr="003A1174">
        <w:rPr>
          <w:rFonts w:ascii="Garamond" w:hAnsi="Garamond" w:cs="Arial"/>
          <w:sz w:val="24"/>
          <w:szCs w:val="24"/>
        </w:rPr>
        <w:t xml:space="preserve"> de 2013</w:t>
      </w:r>
      <w:r w:rsidR="00394F46" w:rsidRPr="003A1174">
        <w:rPr>
          <w:rFonts w:ascii="Garamond" w:hAnsi="Garamond" w:cs="Arial"/>
          <w:sz w:val="24"/>
          <w:szCs w:val="24"/>
        </w:rPr>
        <w:t>, co</w:t>
      </w:r>
      <w:r w:rsidR="00C553E2" w:rsidRPr="003A1174">
        <w:rPr>
          <w:rFonts w:ascii="Garamond" w:hAnsi="Garamond" w:cs="Arial"/>
          <w:sz w:val="24"/>
          <w:szCs w:val="24"/>
        </w:rPr>
        <w:t xml:space="preserve">m o </w:t>
      </w:r>
      <w:r w:rsidR="00394F46" w:rsidRPr="003A1174">
        <w:rPr>
          <w:rFonts w:ascii="Garamond" w:hAnsi="Garamond" w:cs="Arial"/>
          <w:sz w:val="24"/>
          <w:szCs w:val="24"/>
        </w:rPr>
        <w:t>objet</w:t>
      </w:r>
      <w:r w:rsidR="00C553E2" w:rsidRPr="003A1174">
        <w:rPr>
          <w:rFonts w:ascii="Garamond" w:hAnsi="Garamond" w:cs="Arial"/>
          <w:sz w:val="24"/>
          <w:szCs w:val="24"/>
        </w:rPr>
        <w:t>iv</w:t>
      </w:r>
      <w:r w:rsidR="00394F46" w:rsidRPr="003A1174">
        <w:rPr>
          <w:rFonts w:ascii="Garamond" w:hAnsi="Garamond" w:cs="Arial"/>
          <w:sz w:val="24"/>
          <w:szCs w:val="24"/>
        </w:rPr>
        <w:t>o de</w:t>
      </w:r>
      <w:r w:rsidRPr="003A1174">
        <w:rPr>
          <w:rFonts w:ascii="Garamond" w:hAnsi="Garamond" w:cs="Arial"/>
          <w:sz w:val="24"/>
          <w:szCs w:val="24"/>
        </w:rPr>
        <w:t xml:space="preserve"> </w:t>
      </w:r>
      <w:r w:rsidR="00AF192F" w:rsidRPr="003A1174">
        <w:rPr>
          <w:rFonts w:ascii="Garamond" w:hAnsi="Garamond" w:cs="Arial"/>
          <w:sz w:val="24"/>
          <w:szCs w:val="24"/>
        </w:rPr>
        <w:t>garantir</w:t>
      </w:r>
      <w:r w:rsidRPr="003A1174">
        <w:rPr>
          <w:rFonts w:ascii="Garamond" w:hAnsi="Garamond" w:cs="Arial"/>
          <w:sz w:val="24"/>
          <w:szCs w:val="24"/>
        </w:rPr>
        <w:t xml:space="preserve"> </w:t>
      </w:r>
      <w:r w:rsidR="00C553E2" w:rsidRPr="003A1174">
        <w:rPr>
          <w:rFonts w:ascii="Garamond" w:hAnsi="Garamond" w:cs="Arial"/>
          <w:sz w:val="24"/>
          <w:szCs w:val="24"/>
        </w:rPr>
        <w:t>à</w:t>
      </w:r>
      <w:r w:rsidRPr="003A1174">
        <w:rPr>
          <w:rFonts w:ascii="Garamond" w:hAnsi="Garamond" w:cs="Arial"/>
          <w:sz w:val="24"/>
          <w:szCs w:val="24"/>
        </w:rPr>
        <w:t xml:space="preserve">s </w:t>
      </w:r>
      <w:r w:rsidR="00054EE0" w:rsidRPr="003A1174">
        <w:rPr>
          <w:rFonts w:ascii="Garamond" w:hAnsi="Garamond" w:cs="Arial"/>
          <w:sz w:val="24"/>
          <w:szCs w:val="24"/>
        </w:rPr>
        <w:t>mulheres</w:t>
      </w:r>
      <w:r w:rsidR="00C553E2" w:rsidRPr="003A1174">
        <w:rPr>
          <w:rFonts w:ascii="Garamond" w:hAnsi="Garamond" w:cs="Arial"/>
          <w:sz w:val="24"/>
          <w:szCs w:val="24"/>
        </w:rPr>
        <w:t xml:space="preserve"> um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w:t>
      </w:r>
      <w:r w:rsidR="00C553E2" w:rsidRPr="00232204">
        <w:rPr>
          <w:rFonts w:ascii="Garamond" w:hAnsi="Garamond" w:cs="Arial"/>
          <w:sz w:val="24"/>
          <w:szCs w:val="24"/>
        </w:rPr>
        <w:t>promulgou-</w:t>
      </w:r>
      <w:r w:rsidR="00394F46" w:rsidRPr="00232204">
        <w:rPr>
          <w:rFonts w:ascii="Garamond" w:hAnsi="Garamond" w:cs="Arial"/>
          <w:sz w:val="24"/>
          <w:szCs w:val="24"/>
        </w:rPr>
        <w:t>se</w:t>
      </w:r>
      <w:r w:rsidR="00394F46" w:rsidRPr="003A1174">
        <w:rPr>
          <w:rFonts w:ascii="Garamond" w:hAnsi="Garamond" w:cs="Arial"/>
          <w:sz w:val="24"/>
          <w:szCs w:val="24"/>
        </w:rPr>
        <w:t xml:space="preserve"> a </w:t>
      </w:r>
      <w:r w:rsidR="00D15AFF" w:rsidRPr="003A1174">
        <w:rPr>
          <w:rFonts w:ascii="Garamond" w:hAnsi="Garamond" w:cs="Arial"/>
          <w:sz w:val="24"/>
          <w:szCs w:val="24"/>
        </w:rPr>
        <w:t>Lei</w:t>
      </w:r>
      <w:r w:rsidR="00394F46" w:rsidRPr="003A1174">
        <w:rPr>
          <w:rFonts w:ascii="Garamond" w:hAnsi="Garamond" w:cs="Arial"/>
          <w:sz w:val="24"/>
          <w:szCs w:val="24"/>
        </w:rPr>
        <w:t xml:space="preserve"> </w:t>
      </w:r>
      <w:r w:rsidR="00394F46" w:rsidRPr="007B3401">
        <w:rPr>
          <w:rFonts w:ascii="Garamond" w:hAnsi="Garamond" w:cs="Arial"/>
          <w:sz w:val="24"/>
          <w:szCs w:val="24"/>
        </w:rPr>
        <w:t>Integral</w:t>
      </w:r>
      <w:r w:rsidR="00394F46" w:rsidRPr="003A1174">
        <w:rPr>
          <w:rFonts w:ascii="Garamond" w:hAnsi="Garamond" w:cs="Arial"/>
          <w:sz w:val="24"/>
          <w:szCs w:val="24"/>
        </w:rPr>
        <w:t xml:space="preserve"> </w:t>
      </w:r>
      <w:r w:rsidRPr="003A1174">
        <w:rPr>
          <w:rFonts w:ascii="Garamond" w:hAnsi="Garamond" w:cs="Arial"/>
          <w:sz w:val="24"/>
          <w:szCs w:val="24"/>
        </w:rPr>
        <w:t>N</w:t>
      </w:r>
      <w:r w:rsidR="001618BA">
        <w:rPr>
          <w:rFonts w:ascii="Garamond" w:hAnsi="Garamond" w:cs="Arial"/>
          <w:sz w:val="24"/>
          <w:szCs w:val="24"/>
        </w:rPr>
        <w:t>.</w:t>
      </w:r>
      <w:r w:rsidRPr="003A1174">
        <w:rPr>
          <w:rFonts w:ascii="Garamond" w:hAnsi="Garamond" w:cs="Arial"/>
          <w:sz w:val="24"/>
          <w:szCs w:val="24"/>
        </w:rPr>
        <w:t xml:space="preserve">° 348, que </w:t>
      </w:r>
      <w:r w:rsidR="00A7129A">
        <w:rPr>
          <w:rFonts w:ascii="Garamond" w:hAnsi="Garamond" w:cs="Arial"/>
          <w:sz w:val="24"/>
          <w:szCs w:val="24"/>
        </w:rPr>
        <w:t>penaliza</w:t>
      </w:r>
      <w:r w:rsidRPr="003A1174">
        <w:rPr>
          <w:rFonts w:ascii="Garamond" w:hAnsi="Garamond" w:cs="Arial"/>
          <w:sz w:val="24"/>
          <w:szCs w:val="24"/>
        </w:rPr>
        <w:t xml:space="preserve"> </w:t>
      </w:r>
      <w:r w:rsidR="002A59E7" w:rsidRPr="003A1174">
        <w:rPr>
          <w:rFonts w:ascii="Garamond" w:hAnsi="Garamond" w:cs="Arial"/>
          <w:sz w:val="24"/>
          <w:szCs w:val="24"/>
        </w:rPr>
        <w:t>o</w:t>
      </w:r>
      <w:r w:rsidRPr="003A1174">
        <w:rPr>
          <w:rFonts w:ascii="Garamond" w:hAnsi="Garamond" w:cs="Arial"/>
          <w:sz w:val="24"/>
          <w:szCs w:val="24"/>
        </w:rPr>
        <w:t xml:space="preserve"> </w:t>
      </w:r>
      <w:r w:rsidR="005C051C" w:rsidRPr="003A1174">
        <w:rPr>
          <w:rFonts w:ascii="Garamond" w:hAnsi="Garamond" w:cs="Arial"/>
          <w:sz w:val="24"/>
          <w:szCs w:val="24"/>
        </w:rPr>
        <w:t>femicídio</w:t>
      </w:r>
      <w:r w:rsidRPr="003A1174">
        <w:rPr>
          <w:rFonts w:ascii="Garamond" w:hAnsi="Garamond" w:cs="Arial"/>
          <w:sz w:val="24"/>
          <w:szCs w:val="24"/>
        </w:rPr>
        <w:t xml:space="preserve"> o</w:t>
      </w:r>
      <w:r w:rsidR="002A59E7" w:rsidRPr="003A1174">
        <w:rPr>
          <w:rFonts w:ascii="Garamond" w:hAnsi="Garamond" w:cs="Arial"/>
          <w:sz w:val="24"/>
          <w:szCs w:val="24"/>
        </w:rPr>
        <w:t>u</w:t>
      </w:r>
      <w:r w:rsidRPr="003A1174">
        <w:rPr>
          <w:rFonts w:ascii="Garamond" w:hAnsi="Garamond" w:cs="Arial"/>
          <w:sz w:val="24"/>
          <w:szCs w:val="24"/>
        </w:rPr>
        <w:t xml:space="preserve"> as</w:t>
      </w:r>
      <w:r w:rsidR="002A59E7" w:rsidRPr="003A1174">
        <w:rPr>
          <w:rFonts w:ascii="Garamond" w:hAnsi="Garamond" w:cs="Arial"/>
          <w:sz w:val="24"/>
          <w:szCs w:val="24"/>
        </w:rPr>
        <w:t>sa</w:t>
      </w:r>
      <w:r w:rsidRPr="003A1174">
        <w:rPr>
          <w:rFonts w:ascii="Garamond" w:hAnsi="Garamond" w:cs="Arial"/>
          <w:sz w:val="24"/>
          <w:szCs w:val="24"/>
        </w:rPr>
        <w:t>s</w:t>
      </w:r>
      <w:r w:rsidR="002A59E7" w:rsidRPr="003A1174">
        <w:rPr>
          <w:rFonts w:ascii="Garamond" w:hAnsi="Garamond" w:cs="Arial"/>
          <w:sz w:val="24"/>
          <w:szCs w:val="24"/>
        </w:rPr>
        <w:t>s</w:t>
      </w:r>
      <w:r w:rsidRPr="003A1174">
        <w:rPr>
          <w:rFonts w:ascii="Garamond" w:hAnsi="Garamond" w:cs="Arial"/>
          <w:sz w:val="24"/>
          <w:szCs w:val="24"/>
        </w:rPr>
        <w:t xml:space="preserve">inato de </w:t>
      </w:r>
      <w:r w:rsidR="00054EE0" w:rsidRPr="003A1174">
        <w:rPr>
          <w:rFonts w:ascii="Garamond" w:hAnsi="Garamond" w:cs="Arial"/>
          <w:sz w:val="24"/>
          <w:szCs w:val="24"/>
        </w:rPr>
        <w:t>mulheres</w:t>
      </w:r>
      <w:r w:rsidR="003F74FA" w:rsidRPr="003A1174">
        <w:rPr>
          <w:rFonts w:ascii="Garamond" w:hAnsi="Garamond" w:cs="Arial"/>
          <w:sz w:val="24"/>
          <w:szCs w:val="24"/>
        </w:rPr>
        <w:t>,</w:t>
      </w:r>
      <w:r w:rsidR="002A59E7" w:rsidRPr="003A1174">
        <w:rPr>
          <w:rFonts w:ascii="Garamond" w:hAnsi="Garamond" w:cs="Arial"/>
          <w:sz w:val="24"/>
          <w:szCs w:val="24"/>
        </w:rPr>
        <w:t xml:space="preserve"> p</w:t>
      </w:r>
      <w:r w:rsidRPr="003A1174">
        <w:rPr>
          <w:rFonts w:ascii="Garamond" w:hAnsi="Garamond" w:cs="Arial"/>
          <w:sz w:val="24"/>
          <w:szCs w:val="24"/>
        </w:rPr>
        <w:t>el</w:t>
      </w:r>
      <w:r w:rsidR="002A59E7" w:rsidRPr="003A1174">
        <w:rPr>
          <w:rFonts w:ascii="Garamond" w:hAnsi="Garamond" w:cs="Arial"/>
          <w:sz w:val="24"/>
          <w:szCs w:val="24"/>
        </w:rPr>
        <w:t>o</w:t>
      </w:r>
      <w:r w:rsidRPr="003A1174">
        <w:rPr>
          <w:rFonts w:ascii="Garamond" w:hAnsi="Garamond" w:cs="Arial"/>
          <w:sz w:val="24"/>
          <w:szCs w:val="24"/>
        </w:rPr>
        <w:t xml:space="preserve"> </w:t>
      </w:r>
      <w:r w:rsidR="001647F2" w:rsidRPr="003A1174">
        <w:rPr>
          <w:rFonts w:ascii="Garamond" w:hAnsi="Garamond" w:cs="Arial"/>
          <w:sz w:val="24"/>
          <w:szCs w:val="24"/>
        </w:rPr>
        <w:t>facto</w:t>
      </w:r>
      <w:r w:rsidRPr="003A1174">
        <w:rPr>
          <w:rFonts w:ascii="Garamond" w:hAnsi="Garamond" w:cs="Arial"/>
          <w:sz w:val="24"/>
          <w:szCs w:val="24"/>
        </w:rPr>
        <w:t xml:space="preserve"> de ser </w:t>
      </w:r>
      <w:r w:rsidR="00AF192F" w:rsidRPr="003A1174">
        <w:rPr>
          <w:rFonts w:ascii="Garamond" w:hAnsi="Garamond" w:cs="Arial"/>
          <w:sz w:val="24"/>
          <w:szCs w:val="24"/>
        </w:rPr>
        <w:t>mulher</w:t>
      </w:r>
      <w:r w:rsidR="003F74FA" w:rsidRPr="003A1174">
        <w:rPr>
          <w:rFonts w:ascii="Garamond" w:hAnsi="Garamond" w:cs="Arial"/>
          <w:sz w:val="24"/>
          <w:szCs w:val="24"/>
        </w:rPr>
        <w:t>,</w:t>
      </w:r>
      <w:r w:rsidRPr="003A1174">
        <w:rPr>
          <w:rFonts w:ascii="Garamond" w:hAnsi="Garamond" w:cs="Arial"/>
          <w:sz w:val="24"/>
          <w:szCs w:val="24"/>
        </w:rPr>
        <w:t xml:space="preserve"> co</w:t>
      </w:r>
      <w:r w:rsidR="002A59E7" w:rsidRPr="003A1174">
        <w:rPr>
          <w:rFonts w:ascii="Garamond" w:hAnsi="Garamond" w:cs="Arial"/>
          <w:sz w:val="24"/>
          <w:szCs w:val="24"/>
        </w:rPr>
        <w:t>m</w:t>
      </w:r>
      <w:r w:rsidRPr="003A1174">
        <w:rPr>
          <w:rFonts w:ascii="Garamond" w:hAnsi="Garamond" w:cs="Arial"/>
          <w:sz w:val="24"/>
          <w:szCs w:val="24"/>
        </w:rPr>
        <w:t xml:space="preserve"> 30 </w:t>
      </w:r>
      <w:r w:rsidR="002C7510" w:rsidRPr="003A1174">
        <w:rPr>
          <w:rFonts w:ascii="Garamond" w:hAnsi="Garamond" w:cs="Arial"/>
          <w:sz w:val="24"/>
          <w:szCs w:val="24"/>
        </w:rPr>
        <w:t>ano</w:t>
      </w:r>
      <w:r w:rsidRPr="003A1174">
        <w:rPr>
          <w:rFonts w:ascii="Garamond" w:hAnsi="Garamond" w:cs="Arial"/>
          <w:sz w:val="24"/>
          <w:szCs w:val="24"/>
        </w:rPr>
        <w:t xml:space="preserve">s de </w:t>
      </w:r>
      <w:r w:rsidR="001B02AD" w:rsidRPr="003A1174">
        <w:rPr>
          <w:rFonts w:ascii="Garamond" w:hAnsi="Garamond" w:cs="Arial"/>
          <w:sz w:val="24"/>
          <w:szCs w:val="24"/>
        </w:rPr>
        <w:t>privação</w:t>
      </w:r>
      <w:r w:rsidRPr="003A1174">
        <w:rPr>
          <w:rFonts w:ascii="Garamond" w:hAnsi="Garamond" w:cs="Arial"/>
          <w:sz w:val="24"/>
          <w:szCs w:val="24"/>
        </w:rPr>
        <w:t xml:space="preserve"> de </w:t>
      </w:r>
      <w:r w:rsidR="001B02AD" w:rsidRPr="003A1174">
        <w:rPr>
          <w:rFonts w:ascii="Garamond" w:hAnsi="Garamond" w:cs="Arial"/>
          <w:sz w:val="24"/>
          <w:szCs w:val="24"/>
        </w:rPr>
        <w:t>liberdade</w:t>
      </w:r>
      <w:r w:rsidRPr="003A1174">
        <w:rPr>
          <w:rFonts w:ascii="Garamond" w:hAnsi="Garamond" w:cs="Arial"/>
          <w:sz w:val="24"/>
          <w:szCs w:val="24"/>
        </w:rPr>
        <w:t>, s</w:t>
      </w:r>
      <w:r w:rsidR="002A59E7" w:rsidRPr="003A1174">
        <w:rPr>
          <w:rFonts w:ascii="Garamond" w:hAnsi="Garamond" w:cs="Arial"/>
          <w:sz w:val="24"/>
          <w:szCs w:val="24"/>
        </w:rPr>
        <w:t xml:space="preserve">em </w:t>
      </w:r>
      <w:r w:rsidR="00886D6A" w:rsidRPr="003A1174">
        <w:rPr>
          <w:rFonts w:ascii="Garamond" w:hAnsi="Garamond" w:cs="Arial"/>
          <w:sz w:val="24"/>
          <w:szCs w:val="24"/>
        </w:rPr>
        <w:t>direito</w:t>
      </w:r>
      <w:r w:rsidRPr="003A1174">
        <w:rPr>
          <w:rFonts w:ascii="Garamond" w:hAnsi="Garamond" w:cs="Arial"/>
          <w:sz w:val="24"/>
          <w:szCs w:val="24"/>
        </w:rPr>
        <w:t xml:space="preserve"> a indulto. Esta </w:t>
      </w:r>
      <w:r w:rsidR="002A59E7" w:rsidRPr="003A1174">
        <w:rPr>
          <w:rFonts w:ascii="Garamond" w:hAnsi="Garamond" w:cs="Arial"/>
          <w:sz w:val="24"/>
          <w:szCs w:val="24"/>
        </w:rPr>
        <w:t xml:space="preserve">lei contribuiu para </w:t>
      </w:r>
      <w:r w:rsidRPr="003A1174">
        <w:rPr>
          <w:rFonts w:ascii="Garamond" w:hAnsi="Garamond" w:cs="Arial"/>
          <w:sz w:val="24"/>
          <w:szCs w:val="24"/>
        </w:rPr>
        <w:t xml:space="preserve">que a </w:t>
      </w:r>
      <w:r w:rsidR="00C04CA4" w:rsidRPr="003A1174">
        <w:rPr>
          <w:rFonts w:ascii="Garamond" w:hAnsi="Garamond" w:cs="Arial"/>
          <w:sz w:val="24"/>
          <w:szCs w:val="24"/>
        </w:rPr>
        <w:t>Provedoria de Justiça</w:t>
      </w:r>
      <w:r w:rsidR="002A59E7" w:rsidRPr="003A1174">
        <w:rPr>
          <w:rFonts w:ascii="Garamond" w:hAnsi="Garamond" w:cs="Arial"/>
          <w:sz w:val="24"/>
          <w:szCs w:val="24"/>
        </w:rPr>
        <w:t xml:space="preserve"> e todas </w:t>
      </w:r>
      <w:r w:rsidRPr="003A1174">
        <w:rPr>
          <w:rFonts w:ascii="Garamond" w:hAnsi="Garamond" w:cs="Arial"/>
          <w:sz w:val="24"/>
          <w:szCs w:val="24"/>
        </w:rPr>
        <w:t xml:space="preserve">as </w:t>
      </w:r>
      <w:r w:rsidR="002470B1" w:rsidRPr="003A1174">
        <w:rPr>
          <w:rFonts w:ascii="Garamond" w:hAnsi="Garamond" w:cs="Arial"/>
          <w:sz w:val="24"/>
          <w:szCs w:val="24"/>
        </w:rPr>
        <w:t>organizações</w:t>
      </w:r>
      <w:r w:rsidRPr="003A1174">
        <w:rPr>
          <w:rFonts w:ascii="Garamond" w:hAnsi="Garamond" w:cs="Arial"/>
          <w:sz w:val="24"/>
          <w:szCs w:val="24"/>
        </w:rPr>
        <w:t xml:space="preserve"> d</w:t>
      </w:r>
      <w:r w:rsidR="00394F46" w:rsidRPr="003A1174">
        <w:rPr>
          <w:rFonts w:ascii="Garamond" w:hAnsi="Garamond" w:cs="Arial"/>
          <w:sz w:val="24"/>
          <w:szCs w:val="24"/>
        </w:rPr>
        <w:t xml:space="preserve">a </w:t>
      </w:r>
      <w:r w:rsidR="002C7510" w:rsidRPr="003A1174">
        <w:rPr>
          <w:rFonts w:ascii="Garamond" w:hAnsi="Garamond" w:cs="Arial"/>
          <w:sz w:val="24"/>
          <w:szCs w:val="24"/>
        </w:rPr>
        <w:t>sociedade</w:t>
      </w:r>
      <w:r w:rsidRPr="003A1174">
        <w:rPr>
          <w:rFonts w:ascii="Garamond" w:hAnsi="Garamond" w:cs="Arial"/>
          <w:sz w:val="24"/>
          <w:szCs w:val="24"/>
        </w:rPr>
        <w:t xml:space="preserve"> civil que </w:t>
      </w:r>
      <w:r w:rsidR="00AC63DF" w:rsidRPr="003A1174">
        <w:rPr>
          <w:rFonts w:ascii="Garamond" w:hAnsi="Garamond" w:cs="Arial"/>
          <w:sz w:val="24"/>
          <w:szCs w:val="24"/>
        </w:rPr>
        <w:t>trabalha</w:t>
      </w:r>
      <w:r w:rsidR="002A59E7" w:rsidRPr="003A1174">
        <w:rPr>
          <w:rFonts w:ascii="Garamond" w:hAnsi="Garamond" w:cs="Arial"/>
          <w:sz w:val="24"/>
          <w:szCs w:val="24"/>
        </w:rPr>
        <w:t xml:space="preserve">m em </w:t>
      </w:r>
      <w:r w:rsidR="002A59E7" w:rsidRPr="003A1174">
        <w:rPr>
          <w:rFonts w:ascii="Garamond" w:hAnsi="Garamond" w:cs="Arial"/>
          <w:i/>
          <w:sz w:val="24"/>
          <w:szCs w:val="24"/>
        </w:rPr>
        <w:t>prol</w:t>
      </w:r>
      <w:r w:rsidR="002A59E7" w:rsidRPr="003A1174">
        <w:rPr>
          <w:rFonts w:ascii="Garamond" w:hAnsi="Garamond" w:cs="Arial"/>
          <w:sz w:val="24"/>
          <w:szCs w:val="24"/>
        </w:rPr>
        <w:t xml:space="preserve"> d</w:t>
      </w:r>
      <w:r w:rsidRPr="003A1174">
        <w:rPr>
          <w:rFonts w:ascii="Garamond" w:hAnsi="Garamond" w:cs="Arial"/>
          <w:sz w:val="24"/>
          <w:szCs w:val="24"/>
        </w:rPr>
        <w:t xml:space="preserve">os </w:t>
      </w:r>
      <w:r w:rsidR="00886D6A" w:rsidRPr="003A1174">
        <w:rPr>
          <w:rFonts w:ascii="Garamond" w:hAnsi="Garamond" w:cs="Arial"/>
          <w:sz w:val="24"/>
          <w:szCs w:val="24"/>
        </w:rPr>
        <w:t>direito</w:t>
      </w:r>
      <w:r w:rsidR="002A59E7" w:rsidRPr="003A1174">
        <w:rPr>
          <w:rFonts w:ascii="Garamond" w:hAnsi="Garamond" w:cs="Arial"/>
          <w:sz w:val="24"/>
          <w:szCs w:val="24"/>
        </w:rPr>
        <w:t>s d</w:t>
      </w:r>
      <w:r w:rsidRPr="003A1174">
        <w:rPr>
          <w:rFonts w:ascii="Garamond" w:hAnsi="Garamond" w:cs="Arial"/>
          <w:sz w:val="24"/>
          <w:szCs w:val="24"/>
        </w:rPr>
        <w:t xml:space="preserve">as </w:t>
      </w:r>
      <w:r w:rsidR="00054EE0" w:rsidRPr="003A1174">
        <w:rPr>
          <w:rFonts w:ascii="Garamond" w:hAnsi="Garamond" w:cs="Arial"/>
          <w:sz w:val="24"/>
          <w:szCs w:val="24"/>
        </w:rPr>
        <w:t>mulheres</w:t>
      </w:r>
      <w:r w:rsidR="00232204">
        <w:rPr>
          <w:rFonts w:ascii="Garamond" w:hAnsi="Garamond" w:cs="Arial"/>
          <w:sz w:val="24"/>
          <w:szCs w:val="24"/>
        </w:rPr>
        <w:t>,</w:t>
      </w:r>
      <w:r w:rsidRPr="003A1174">
        <w:rPr>
          <w:rFonts w:ascii="Garamond" w:hAnsi="Garamond" w:cs="Arial"/>
          <w:sz w:val="24"/>
          <w:szCs w:val="24"/>
        </w:rPr>
        <w:t xml:space="preserve"> e</w:t>
      </w:r>
      <w:r w:rsidR="002A59E7" w:rsidRPr="003A1174">
        <w:rPr>
          <w:rFonts w:ascii="Garamond" w:hAnsi="Garamond" w:cs="Arial"/>
          <w:sz w:val="24"/>
          <w:szCs w:val="24"/>
        </w:rPr>
        <w:t xml:space="preserve">m </w:t>
      </w:r>
      <w:r w:rsidR="002A59E7" w:rsidRPr="00232204">
        <w:rPr>
          <w:rFonts w:ascii="Garamond" w:hAnsi="Garamond" w:cs="Arial"/>
          <w:sz w:val="24"/>
          <w:szCs w:val="24"/>
        </w:rPr>
        <w:t>alianç</w:t>
      </w:r>
      <w:r w:rsidRPr="00232204">
        <w:rPr>
          <w:rFonts w:ascii="Garamond" w:hAnsi="Garamond" w:cs="Arial"/>
          <w:sz w:val="24"/>
          <w:szCs w:val="24"/>
        </w:rPr>
        <w:t>a</w:t>
      </w:r>
      <w:r w:rsidRPr="003A1174">
        <w:rPr>
          <w:rFonts w:ascii="Garamond" w:hAnsi="Garamond" w:cs="Arial"/>
          <w:sz w:val="24"/>
          <w:szCs w:val="24"/>
        </w:rPr>
        <w:t xml:space="preserve"> estratégica, prom</w:t>
      </w:r>
      <w:r w:rsidR="002A59E7" w:rsidRPr="003A1174">
        <w:rPr>
          <w:rFonts w:ascii="Garamond" w:hAnsi="Garamond" w:cs="Arial"/>
          <w:sz w:val="24"/>
          <w:szCs w:val="24"/>
        </w:rPr>
        <w:t>ov</w:t>
      </w:r>
      <w:r w:rsidR="003F74FA" w:rsidRPr="003A1174">
        <w:rPr>
          <w:rFonts w:ascii="Garamond" w:hAnsi="Garamond" w:cs="Arial"/>
          <w:sz w:val="24"/>
          <w:szCs w:val="24"/>
        </w:rPr>
        <w:t xml:space="preserve">essem </w:t>
      </w:r>
      <w:r w:rsidRPr="003A1174">
        <w:rPr>
          <w:rFonts w:ascii="Garamond" w:hAnsi="Garamond" w:cs="Arial"/>
          <w:sz w:val="24"/>
          <w:szCs w:val="24"/>
        </w:rPr>
        <w:t xml:space="preserve">a </w:t>
      </w:r>
      <w:r w:rsidR="008278C4" w:rsidRPr="003A1174">
        <w:rPr>
          <w:rFonts w:ascii="Garamond" w:hAnsi="Garamond" w:cs="Arial"/>
          <w:sz w:val="24"/>
          <w:szCs w:val="24"/>
        </w:rPr>
        <w:t>atenção</w:t>
      </w:r>
      <w:r w:rsidRPr="003A1174">
        <w:rPr>
          <w:rFonts w:ascii="Garamond" w:hAnsi="Garamond" w:cs="Arial"/>
          <w:sz w:val="24"/>
          <w:szCs w:val="24"/>
        </w:rPr>
        <w:t xml:space="preserve"> </w:t>
      </w:r>
      <w:r w:rsidR="002A59E7" w:rsidRPr="003A1174">
        <w:rPr>
          <w:rFonts w:ascii="Garamond" w:hAnsi="Garamond" w:cs="Arial"/>
          <w:sz w:val="24"/>
          <w:szCs w:val="24"/>
        </w:rPr>
        <w:t xml:space="preserve">e o </w:t>
      </w:r>
      <w:r w:rsidR="00253B1D" w:rsidRPr="003A1174">
        <w:rPr>
          <w:rFonts w:ascii="Garamond" w:hAnsi="Garamond" w:cs="Arial"/>
          <w:sz w:val="24"/>
          <w:szCs w:val="24"/>
        </w:rPr>
        <w:t>controlo</w:t>
      </w:r>
      <w:r w:rsidR="002A59E7" w:rsidRPr="003A1174">
        <w:rPr>
          <w:rFonts w:ascii="Garamond" w:hAnsi="Garamond" w:cs="Arial"/>
          <w:sz w:val="24"/>
          <w:szCs w:val="24"/>
        </w:rPr>
        <w:t xml:space="preserve"> sobre </w:t>
      </w:r>
      <w:r w:rsidRPr="003A1174">
        <w:rPr>
          <w:rFonts w:ascii="Garamond" w:hAnsi="Garamond" w:cs="Arial"/>
          <w:sz w:val="24"/>
          <w:szCs w:val="24"/>
        </w:rPr>
        <w:t xml:space="preserve">as </w:t>
      </w:r>
      <w:r w:rsidR="00FB09CA" w:rsidRPr="003A1174">
        <w:rPr>
          <w:rFonts w:ascii="Garamond" w:hAnsi="Garamond" w:cs="Arial"/>
          <w:sz w:val="24"/>
          <w:szCs w:val="24"/>
        </w:rPr>
        <w:t>instância</w:t>
      </w:r>
      <w:r w:rsidRPr="003A1174">
        <w:rPr>
          <w:rFonts w:ascii="Garamond" w:hAnsi="Garamond" w:cs="Arial"/>
          <w:sz w:val="24"/>
          <w:szCs w:val="24"/>
        </w:rPr>
        <w:t xml:space="preserve">s </w:t>
      </w:r>
      <w:r w:rsidR="006F7276" w:rsidRPr="003A1174">
        <w:rPr>
          <w:rFonts w:ascii="Garamond" w:hAnsi="Garamond" w:cs="Arial"/>
          <w:sz w:val="24"/>
          <w:szCs w:val="24"/>
        </w:rPr>
        <w:t>responsáveis</w:t>
      </w:r>
      <w:r w:rsidRPr="003A1174">
        <w:rPr>
          <w:rFonts w:ascii="Garamond" w:hAnsi="Garamond" w:cs="Arial"/>
          <w:sz w:val="24"/>
          <w:szCs w:val="24"/>
        </w:rPr>
        <w:t xml:space="preserve"> </w:t>
      </w:r>
      <w:r w:rsidR="002A59E7" w:rsidRPr="003A1174">
        <w:rPr>
          <w:rFonts w:ascii="Garamond" w:hAnsi="Garamond" w:cs="Arial"/>
          <w:sz w:val="24"/>
          <w:szCs w:val="24"/>
        </w:rPr>
        <w:t xml:space="preserve">pelo </w:t>
      </w:r>
      <w:r w:rsidR="001C2738" w:rsidRPr="003A1174">
        <w:rPr>
          <w:rFonts w:ascii="Garamond" w:hAnsi="Garamond" w:cs="Arial"/>
          <w:sz w:val="24"/>
          <w:szCs w:val="24"/>
        </w:rPr>
        <w:t>tratamento</w:t>
      </w:r>
      <w:r w:rsidRPr="003A1174">
        <w:rPr>
          <w:rFonts w:ascii="Garamond" w:hAnsi="Garamond" w:cs="Arial"/>
          <w:sz w:val="24"/>
          <w:szCs w:val="24"/>
        </w:rPr>
        <w:t xml:space="preserve"> d</w:t>
      </w:r>
      <w:r w:rsidR="007407BD" w:rsidRPr="003A1174">
        <w:rPr>
          <w:rFonts w:ascii="Garamond" w:hAnsi="Garamond" w:cs="Arial"/>
          <w:sz w:val="24"/>
          <w:szCs w:val="24"/>
        </w:rPr>
        <w:t>estes</w:t>
      </w:r>
      <w:r w:rsidRPr="003A1174">
        <w:rPr>
          <w:rFonts w:ascii="Garamond" w:hAnsi="Garamond" w:cs="Arial"/>
          <w:sz w:val="24"/>
          <w:szCs w:val="24"/>
        </w:rPr>
        <w:t xml:space="preserve"> </w:t>
      </w:r>
      <w:r w:rsidR="001647F2" w:rsidRPr="003A1174">
        <w:rPr>
          <w:rFonts w:ascii="Garamond" w:hAnsi="Garamond" w:cs="Arial"/>
          <w:sz w:val="24"/>
          <w:szCs w:val="24"/>
        </w:rPr>
        <w:t>facto</w:t>
      </w:r>
      <w:r w:rsidRPr="003A1174">
        <w:rPr>
          <w:rFonts w:ascii="Garamond" w:hAnsi="Garamond" w:cs="Arial"/>
          <w:sz w:val="24"/>
          <w:szCs w:val="24"/>
        </w:rPr>
        <w:t>s,</w:t>
      </w:r>
      <w:r w:rsidR="002A59E7" w:rsidRPr="003A1174">
        <w:rPr>
          <w:rFonts w:ascii="Garamond" w:hAnsi="Garamond" w:cs="Arial"/>
          <w:sz w:val="24"/>
          <w:szCs w:val="24"/>
        </w:rPr>
        <w:t xml:space="preserve"> começando </w:t>
      </w:r>
      <w:r w:rsidRPr="003A1174">
        <w:rPr>
          <w:rFonts w:ascii="Garamond" w:hAnsi="Garamond" w:cs="Arial"/>
          <w:sz w:val="24"/>
          <w:szCs w:val="24"/>
        </w:rPr>
        <w:t>co</w:t>
      </w:r>
      <w:r w:rsidR="002A59E7" w:rsidRPr="003A1174">
        <w:rPr>
          <w:rFonts w:ascii="Garamond" w:hAnsi="Garamond" w:cs="Arial"/>
          <w:sz w:val="24"/>
          <w:szCs w:val="24"/>
        </w:rPr>
        <w:t xml:space="preserve">m </w:t>
      </w:r>
      <w:r w:rsidRPr="003A1174">
        <w:rPr>
          <w:rFonts w:ascii="Garamond" w:hAnsi="Garamond" w:cs="Arial"/>
          <w:sz w:val="24"/>
          <w:szCs w:val="24"/>
        </w:rPr>
        <w:t xml:space="preserve">a </w:t>
      </w:r>
      <w:r w:rsidR="00886D6A" w:rsidRPr="003A1174">
        <w:rPr>
          <w:rFonts w:ascii="Garamond" w:hAnsi="Garamond" w:cs="Arial"/>
          <w:sz w:val="24"/>
          <w:szCs w:val="24"/>
        </w:rPr>
        <w:t>investigação</w:t>
      </w:r>
      <w:r w:rsidR="002A59E7" w:rsidRPr="003A1174">
        <w:rPr>
          <w:rFonts w:ascii="Garamond" w:hAnsi="Garamond" w:cs="Arial"/>
          <w:sz w:val="24"/>
          <w:szCs w:val="24"/>
        </w:rPr>
        <w:t xml:space="preserve"> até se conseguirem </w:t>
      </w:r>
      <w:r w:rsidRPr="003A1174">
        <w:rPr>
          <w:rFonts w:ascii="Garamond" w:hAnsi="Garamond" w:cs="Arial"/>
          <w:sz w:val="24"/>
          <w:szCs w:val="24"/>
        </w:rPr>
        <w:t xml:space="preserve">as </w:t>
      </w:r>
      <w:r w:rsidR="002A59E7" w:rsidRPr="003A1174">
        <w:rPr>
          <w:rFonts w:ascii="Garamond" w:hAnsi="Garamond" w:cs="Arial"/>
          <w:sz w:val="24"/>
          <w:szCs w:val="24"/>
        </w:rPr>
        <w:t>respetivas sentenças.</w:t>
      </w:r>
      <w:r w:rsidRPr="003A1174">
        <w:rPr>
          <w:rFonts w:ascii="Garamond" w:hAnsi="Garamond" w:cs="Arial"/>
          <w:sz w:val="24"/>
          <w:szCs w:val="24"/>
        </w:rPr>
        <w:t xml:space="preserve"> </w:t>
      </w:r>
      <w:r w:rsidR="002A59E7" w:rsidRPr="003A1174">
        <w:rPr>
          <w:rFonts w:ascii="Garamond" w:hAnsi="Garamond" w:cs="Arial"/>
          <w:sz w:val="24"/>
          <w:szCs w:val="24"/>
        </w:rPr>
        <w:t>N</w:t>
      </w:r>
      <w:r w:rsidRPr="003A1174">
        <w:rPr>
          <w:rFonts w:ascii="Garamond" w:hAnsi="Garamond" w:cs="Arial"/>
          <w:sz w:val="24"/>
          <w:szCs w:val="24"/>
        </w:rPr>
        <w:t xml:space="preserve">este </w:t>
      </w:r>
      <w:r w:rsidR="00253B1D" w:rsidRPr="003A1174">
        <w:rPr>
          <w:rFonts w:ascii="Garamond" w:hAnsi="Garamond" w:cs="Arial"/>
          <w:sz w:val="24"/>
          <w:szCs w:val="24"/>
        </w:rPr>
        <w:t>quadro</w:t>
      </w:r>
      <w:r w:rsidRPr="003A1174">
        <w:rPr>
          <w:rFonts w:ascii="Garamond" w:hAnsi="Garamond" w:cs="Arial"/>
          <w:sz w:val="24"/>
          <w:szCs w:val="24"/>
        </w:rPr>
        <w:t xml:space="preserve"> </w:t>
      </w:r>
      <w:r w:rsidR="002A59E7" w:rsidRPr="003A1174">
        <w:rPr>
          <w:rFonts w:ascii="Garamond" w:hAnsi="Garamond" w:cs="Arial"/>
          <w:sz w:val="24"/>
          <w:szCs w:val="24"/>
        </w:rPr>
        <w:t xml:space="preserve">já foram proferidas </w:t>
      </w:r>
      <w:r w:rsidRPr="003A1174">
        <w:rPr>
          <w:rFonts w:ascii="Garamond" w:hAnsi="Garamond" w:cs="Arial"/>
          <w:sz w:val="24"/>
          <w:szCs w:val="24"/>
        </w:rPr>
        <w:t xml:space="preserve">8 </w:t>
      </w:r>
      <w:r w:rsidR="00FC1F7F" w:rsidRPr="003A1174">
        <w:rPr>
          <w:rFonts w:ascii="Garamond" w:hAnsi="Garamond" w:cs="Arial"/>
          <w:sz w:val="24"/>
          <w:szCs w:val="24"/>
        </w:rPr>
        <w:t>sentença</w:t>
      </w:r>
      <w:r w:rsidRPr="003A1174">
        <w:rPr>
          <w:rFonts w:ascii="Garamond" w:hAnsi="Garamond" w:cs="Arial"/>
          <w:sz w:val="24"/>
          <w:szCs w:val="24"/>
        </w:rPr>
        <w:t xml:space="preserve">s por </w:t>
      </w:r>
      <w:r w:rsidR="005C051C" w:rsidRPr="003A1174">
        <w:rPr>
          <w:rFonts w:ascii="Garamond" w:hAnsi="Garamond" w:cs="Arial"/>
          <w:sz w:val="24"/>
          <w:szCs w:val="24"/>
        </w:rPr>
        <w:t>femicídio</w:t>
      </w:r>
      <w:r w:rsidRPr="003A1174">
        <w:rPr>
          <w:rFonts w:ascii="Garamond" w:hAnsi="Garamond" w:cs="Arial"/>
          <w:sz w:val="24"/>
          <w:szCs w:val="24"/>
        </w:rPr>
        <w:t>, que obviamente</w:t>
      </w:r>
      <w:r w:rsidR="001618BA">
        <w:rPr>
          <w:rFonts w:ascii="Garamond" w:hAnsi="Garamond" w:cs="Arial"/>
          <w:sz w:val="24"/>
          <w:szCs w:val="24"/>
        </w:rPr>
        <w:t>,</w:t>
      </w:r>
      <w:r w:rsidRPr="003A1174">
        <w:rPr>
          <w:rFonts w:ascii="Garamond" w:hAnsi="Garamond" w:cs="Arial"/>
          <w:sz w:val="24"/>
          <w:szCs w:val="24"/>
        </w:rPr>
        <w:t xml:space="preserve"> n</w:t>
      </w:r>
      <w:r w:rsidR="002A59E7" w:rsidRPr="003A1174">
        <w:rPr>
          <w:rFonts w:ascii="Garamond" w:hAnsi="Garamond" w:cs="Arial"/>
          <w:sz w:val="24"/>
          <w:szCs w:val="24"/>
        </w:rPr>
        <w:t>ã</w:t>
      </w:r>
      <w:r w:rsidRPr="003A1174">
        <w:rPr>
          <w:rFonts w:ascii="Garamond" w:hAnsi="Garamond" w:cs="Arial"/>
          <w:sz w:val="24"/>
          <w:szCs w:val="24"/>
        </w:rPr>
        <w:t xml:space="preserve">o se </w:t>
      </w:r>
      <w:r w:rsidR="002A59E7" w:rsidRPr="003A1174">
        <w:rPr>
          <w:rFonts w:ascii="Garamond" w:hAnsi="Garamond" w:cs="Arial"/>
          <w:sz w:val="24"/>
          <w:szCs w:val="24"/>
        </w:rPr>
        <w:t xml:space="preserve">teriam </w:t>
      </w:r>
      <w:r w:rsidR="00A7129A">
        <w:rPr>
          <w:rFonts w:ascii="Garamond" w:hAnsi="Garamond" w:cs="Arial"/>
          <w:sz w:val="24"/>
          <w:szCs w:val="24"/>
        </w:rPr>
        <w:t>proferido</w:t>
      </w:r>
      <w:r w:rsidRPr="003A1174">
        <w:rPr>
          <w:rFonts w:ascii="Garamond" w:hAnsi="Garamond" w:cs="Arial"/>
          <w:sz w:val="24"/>
          <w:szCs w:val="24"/>
        </w:rPr>
        <w:t xml:space="preserve"> co</w:t>
      </w:r>
      <w:r w:rsidR="002A59E7" w:rsidRPr="003A1174">
        <w:rPr>
          <w:rFonts w:ascii="Garamond" w:hAnsi="Garamond" w:cs="Arial"/>
          <w:sz w:val="24"/>
          <w:szCs w:val="24"/>
        </w:rPr>
        <w:t xml:space="preserve">m a lei </w:t>
      </w:r>
      <w:r w:rsidRPr="003A1174">
        <w:rPr>
          <w:rFonts w:ascii="Garamond" w:hAnsi="Garamond" w:cs="Arial"/>
          <w:sz w:val="24"/>
          <w:szCs w:val="24"/>
        </w:rPr>
        <w:t>penal anterior</w:t>
      </w:r>
      <w:r w:rsidR="00394F46" w:rsidRPr="003A1174">
        <w:rPr>
          <w:rFonts w:ascii="Garamond" w:hAnsi="Garamond" w:cs="Arial"/>
          <w:sz w:val="24"/>
          <w:szCs w:val="24"/>
        </w:rPr>
        <w:t>,</w:t>
      </w:r>
      <w:r w:rsidRPr="003A1174">
        <w:rPr>
          <w:rFonts w:ascii="Garamond" w:hAnsi="Garamond" w:cs="Arial"/>
          <w:sz w:val="24"/>
          <w:szCs w:val="24"/>
        </w:rPr>
        <w:t xml:space="preserve"> que n</w:t>
      </w:r>
      <w:r w:rsidR="002A59E7" w:rsidRPr="003A1174">
        <w:rPr>
          <w:rFonts w:ascii="Garamond" w:hAnsi="Garamond" w:cs="Arial"/>
          <w:sz w:val="24"/>
          <w:szCs w:val="24"/>
        </w:rPr>
        <w:t>ã</w:t>
      </w:r>
      <w:r w:rsidRPr="003A1174">
        <w:rPr>
          <w:rFonts w:ascii="Garamond" w:hAnsi="Garamond" w:cs="Arial"/>
          <w:sz w:val="24"/>
          <w:szCs w:val="24"/>
        </w:rPr>
        <w:t xml:space="preserve">o </w:t>
      </w:r>
      <w:r w:rsidR="002A59E7" w:rsidRPr="003A1174">
        <w:rPr>
          <w:rFonts w:ascii="Garamond" w:hAnsi="Garamond" w:cs="Arial"/>
          <w:sz w:val="24"/>
          <w:szCs w:val="24"/>
        </w:rPr>
        <w:t xml:space="preserve">abrangia </w:t>
      </w:r>
      <w:r w:rsidRPr="003A1174">
        <w:rPr>
          <w:rFonts w:ascii="Garamond" w:hAnsi="Garamond" w:cs="Arial"/>
          <w:sz w:val="24"/>
          <w:szCs w:val="24"/>
        </w:rPr>
        <w:t>es</w:t>
      </w:r>
      <w:r w:rsidR="002A59E7" w:rsidRPr="003A1174">
        <w:rPr>
          <w:rFonts w:ascii="Garamond" w:hAnsi="Garamond" w:cs="Arial"/>
          <w:sz w:val="24"/>
          <w:szCs w:val="24"/>
        </w:rPr>
        <w:t>t</w:t>
      </w:r>
      <w:r w:rsidRPr="003A1174">
        <w:rPr>
          <w:rFonts w:ascii="Garamond" w:hAnsi="Garamond" w:cs="Arial"/>
          <w:sz w:val="24"/>
          <w:szCs w:val="24"/>
        </w:rPr>
        <w:t xml:space="preserve">e tipo </w:t>
      </w:r>
      <w:r w:rsidR="002A59E7" w:rsidRPr="003A1174">
        <w:rPr>
          <w:rFonts w:ascii="Garamond" w:hAnsi="Garamond" w:cs="Arial"/>
          <w:sz w:val="24"/>
          <w:szCs w:val="24"/>
        </w:rPr>
        <w:t>de delit</w:t>
      </w:r>
      <w:r w:rsidRPr="003A1174">
        <w:rPr>
          <w:rFonts w:ascii="Garamond" w:hAnsi="Garamond" w:cs="Arial"/>
          <w:sz w:val="24"/>
          <w:szCs w:val="24"/>
        </w:rPr>
        <w:t>o.</w:t>
      </w:r>
    </w:p>
    <w:p w:rsidR="00046CE9" w:rsidRPr="003A1174" w:rsidRDefault="00D96FD0"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2A59E7" w:rsidRPr="003A1174">
        <w:rPr>
          <w:rFonts w:ascii="Garamond" w:hAnsi="Garamond" w:cs="Arial"/>
          <w:color w:val="auto"/>
          <w:sz w:val="24"/>
          <w:szCs w:val="24"/>
        </w:rPr>
        <w:t xml:space="preserve"> d</w:t>
      </w:r>
      <w:r w:rsidR="00046CE9" w:rsidRPr="003A1174">
        <w:rPr>
          <w:rFonts w:ascii="Garamond" w:hAnsi="Garamond" w:cs="Arial"/>
          <w:color w:val="auto"/>
          <w:sz w:val="24"/>
          <w:szCs w:val="24"/>
        </w:rPr>
        <w:t>a</w:t>
      </w:r>
      <w:r w:rsidR="009A5087">
        <w:rPr>
          <w:rFonts w:ascii="Garamond" w:hAnsi="Garamond" w:cs="Arial"/>
          <w:color w:val="auto"/>
          <w:sz w:val="24"/>
          <w:szCs w:val="24"/>
        </w:rPr>
        <w:t>s</w:t>
      </w:r>
      <w:r w:rsidR="00046CE9"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046CE9" w:rsidRPr="003A1174">
        <w:rPr>
          <w:rFonts w:ascii="Garamond" w:hAnsi="Garamond" w:cs="Arial"/>
          <w:color w:val="auto"/>
          <w:sz w:val="24"/>
          <w:szCs w:val="24"/>
        </w:rPr>
        <w:t xml:space="preserve"> </w:t>
      </w:r>
    </w:p>
    <w:p w:rsidR="00046CE9" w:rsidRPr="003A1174" w:rsidRDefault="002A59E7" w:rsidP="008719D4">
      <w:pPr>
        <w:spacing w:line="240" w:lineRule="auto"/>
        <w:jc w:val="both"/>
        <w:rPr>
          <w:rFonts w:ascii="Garamond" w:hAnsi="Garamond" w:cs="Arial"/>
          <w:sz w:val="24"/>
          <w:szCs w:val="24"/>
        </w:rPr>
      </w:pPr>
      <w:r w:rsidRPr="003A1174">
        <w:rPr>
          <w:rFonts w:ascii="Garamond" w:hAnsi="Garamond" w:cs="Arial"/>
          <w:sz w:val="24"/>
          <w:szCs w:val="24"/>
        </w:rPr>
        <w:t xml:space="preserve">Convém assinalar </w:t>
      </w:r>
      <w:r w:rsidR="00046CE9" w:rsidRPr="003A1174">
        <w:rPr>
          <w:rFonts w:ascii="Garamond" w:hAnsi="Garamond" w:cs="Arial"/>
          <w:sz w:val="24"/>
          <w:szCs w:val="24"/>
        </w:rPr>
        <w:t xml:space="preserve">que, </w:t>
      </w:r>
      <w:r w:rsidR="00B817B8">
        <w:rPr>
          <w:rFonts w:ascii="Garamond" w:hAnsi="Garamond" w:cs="Arial"/>
          <w:sz w:val="24"/>
          <w:szCs w:val="24"/>
        </w:rPr>
        <w:t xml:space="preserve">contudo, </w:t>
      </w:r>
      <w:r w:rsidR="00046CE9" w:rsidRPr="003A1174">
        <w:rPr>
          <w:rFonts w:ascii="Garamond" w:hAnsi="Garamond" w:cs="Arial"/>
          <w:sz w:val="24"/>
          <w:szCs w:val="24"/>
        </w:rPr>
        <w:t xml:space="preserve">a </w:t>
      </w:r>
      <w:r w:rsidRPr="003A1174">
        <w:rPr>
          <w:rFonts w:ascii="Garamond" w:hAnsi="Garamond" w:cs="Arial"/>
          <w:sz w:val="24"/>
          <w:szCs w:val="24"/>
        </w:rPr>
        <w:t>nova</w:t>
      </w:r>
      <w:r w:rsidR="00046CE9" w:rsidRPr="003A1174">
        <w:rPr>
          <w:rFonts w:ascii="Garamond" w:hAnsi="Garamond" w:cs="Arial"/>
          <w:sz w:val="24"/>
          <w:szCs w:val="24"/>
        </w:rPr>
        <w:t xml:space="preserve"> </w:t>
      </w:r>
      <w:r w:rsidRPr="003A1174">
        <w:rPr>
          <w:rFonts w:ascii="Garamond" w:hAnsi="Garamond" w:cs="Arial"/>
          <w:sz w:val="24"/>
          <w:szCs w:val="24"/>
        </w:rPr>
        <w:t>lei não é</w:t>
      </w:r>
      <w:r w:rsidR="00B817B8">
        <w:rPr>
          <w:rFonts w:ascii="Garamond" w:hAnsi="Garamond" w:cs="Arial"/>
          <w:sz w:val="24"/>
          <w:szCs w:val="24"/>
        </w:rPr>
        <w:t>,</w:t>
      </w:r>
      <w:r w:rsidRPr="003A1174">
        <w:rPr>
          <w:rFonts w:ascii="Garamond" w:hAnsi="Garamond" w:cs="Arial"/>
          <w:sz w:val="24"/>
          <w:szCs w:val="24"/>
        </w:rPr>
        <w:t xml:space="preserve"> </w:t>
      </w:r>
      <w:r w:rsidR="00394F46" w:rsidRPr="003A1174">
        <w:rPr>
          <w:rFonts w:ascii="Garamond" w:hAnsi="Garamond" w:cs="Arial"/>
          <w:sz w:val="24"/>
          <w:szCs w:val="24"/>
        </w:rPr>
        <w:t xml:space="preserve">suficientemente </w:t>
      </w:r>
      <w:r w:rsidR="00046CE9" w:rsidRPr="003A1174">
        <w:rPr>
          <w:rFonts w:ascii="Garamond" w:hAnsi="Garamond" w:cs="Arial"/>
          <w:sz w:val="24"/>
          <w:szCs w:val="24"/>
        </w:rPr>
        <w:t>acompa</w:t>
      </w:r>
      <w:r w:rsidRPr="003A1174">
        <w:rPr>
          <w:rFonts w:ascii="Garamond" w:hAnsi="Garamond" w:cs="Arial"/>
          <w:sz w:val="24"/>
          <w:szCs w:val="24"/>
        </w:rPr>
        <w:t>nh</w:t>
      </w:r>
      <w:r w:rsidR="00046CE9" w:rsidRPr="003A1174">
        <w:rPr>
          <w:rFonts w:ascii="Garamond" w:hAnsi="Garamond" w:cs="Arial"/>
          <w:sz w:val="24"/>
          <w:szCs w:val="24"/>
        </w:rPr>
        <w:t>ada</w:t>
      </w:r>
      <w:r w:rsidR="00B817B8">
        <w:rPr>
          <w:rFonts w:ascii="Garamond" w:hAnsi="Garamond" w:cs="Arial"/>
          <w:sz w:val="24"/>
          <w:szCs w:val="24"/>
        </w:rPr>
        <w:t>,</w:t>
      </w:r>
      <w:r w:rsidR="00046CE9" w:rsidRPr="003A1174">
        <w:rPr>
          <w:rFonts w:ascii="Garamond" w:hAnsi="Garamond" w:cs="Arial"/>
          <w:sz w:val="24"/>
          <w:szCs w:val="24"/>
        </w:rPr>
        <w:t xml:space="preserve"> da </w:t>
      </w:r>
      <w:r w:rsidR="006C760C" w:rsidRPr="003A1174">
        <w:rPr>
          <w:rFonts w:ascii="Garamond" w:hAnsi="Garamond" w:cs="Arial"/>
          <w:sz w:val="24"/>
          <w:szCs w:val="24"/>
        </w:rPr>
        <w:t>implementação</w:t>
      </w:r>
      <w:r w:rsidR="00046CE9" w:rsidRPr="003A1174">
        <w:rPr>
          <w:rFonts w:ascii="Garamond" w:hAnsi="Garamond" w:cs="Arial"/>
          <w:sz w:val="24"/>
          <w:szCs w:val="24"/>
        </w:rPr>
        <w:t xml:space="preserve"> que implica: </w:t>
      </w:r>
      <w:r w:rsidR="00B817B8">
        <w:rPr>
          <w:rFonts w:ascii="Garamond" w:hAnsi="Garamond" w:cs="Arial"/>
          <w:sz w:val="24"/>
          <w:szCs w:val="24"/>
        </w:rPr>
        <w:t>t</w:t>
      </w:r>
      <w:r w:rsidR="002470B1" w:rsidRPr="003A1174">
        <w:rPr>
          <w:rFonts w:ascii="Garamond" w:hAnsi="Garamond" w:cs="Arial"/>
          <w:sz w:val="24"/>
          <w:szCs w:val="24"/>
        </w:rPr>
        <w:t>ribunais</w:t>
      </w:r>
      <w:r w:rsidR="00046CE9" w:rsidRPr="003A1174">
        <w:rPr>
          <w:rFonts w:ascii="Garamond" w:hAnsi="Garamond" w:cs="Arial"/>
          <w:sz w:val="24"/>
          <w:szCs w:val="24"/>
        </w:rPr>
        <w:t xml:space="preserve"> especializados, </w:t>
      </w:r>
      <w:r w:rsidR="008278C4" w:rsidRPr="003A1174">
        <w:rPr>
          <w:rFonts w:ascii="Garamond" w:hAnsi="Garamond" w:cs="Arial"/>
          <w:sz w:val="24"/>
          <w:szCs w:val="24"/>
        </w:rPr>
        <w:t>pessoal</w:t>
      </w:r>
      <w:r w:rsidR="00046CE9" w:rsidRPr="003A1174">
        <w:rPr>
          <w:rFonts w:ascii="Garamond" w:hAnsi="Garamond" w:cs="Arial"/>
          <w:sz w:val="24"/>
          <w:szCs w:val="24"/>
        </w:rPr>
        <w:t xml:space="preserve"> especializado, </w:t>
      </w:r>
      <w:r w:rsidR="00863197" w:rsidRPr="003A1174">
        <w:rPr>
          <w:rFonts w:ascii="Garamond" w:hAnsi="Garamond" w:cs="Arial"/>
          <w:sz w:val="24"/>
          <w:szCs w:val="24"/>
        </w:rPr>
        <w:t>maior</w:t>
      </w:r>
      <w:r w:rsidR="00046CE9" w:rsidRPr="003A1174">
        <w:rPr>
          <w:rFonts w:ascii="Garamond" w:hAnsi="Garamond" w:cs="Arial"/>
          <w:sz w:val="24"/>
          <w:szCs w:val="24"/>
        </w:rPr>
        <w:t xml:space="preserve"> número de investigadores </w:t>
      </w:r>
      <w:r w:rsidR="003F74FA" w:rsidRPr="003A1174">
        <w:rPr>
          <w:rFonts w:ascii="Garamond" w:hAnsi="Garamond" w:cs="Arial"/>
          <w:sz w:val="24"/>
          <w:szCs w:val="24"/>
        </w:rPr>
        <w:t xml:space="preserve">qualificados e </w:t>
      </w:r>
      <w:r w:rsidR="00B817B8">
        <w:rPr>
          <w:rFonts w:ascii="Garamond" w:hAnsi="Garamond" w:cs="Arial"/>
          <w:sz w:val="24"/>
          <w:szCs w:val="24"/>
        </w:rPr>
        <w:t>d</w:t>
      </w:r>
      <w:r w:rsidR="003F74FA" w:rsidRPr="003A1174">
        <w:rPr>
          <w:rFonts w:ascii="Garamond" w:hAnsi="Garamond" w:cs="Arial"/>
          <w:sz w:val="24"/>
          <w:szCs w:val="24"/>
        </w:rPr>
        <w:t>elegado</w:t>
      </w:r>
      <w:r w:rsidRPr="003A1174">
        <w:rPr>
          <w:rFonts w:ascii="Garamond" w:hAnsi="Garamond" w:cs="Arial"/>
          <w:sz w:val="24"/>
          <w:szCs w:val="24"/>
        </w:rPr>
        <w:t>s do Ministério Público especializados na maté</w:t>
      </w:r>
      <w:r w:rsidR="00046CE9" w:rsidRPr="003A1174">
        <w:rPr>
          <w:rFonts w:ascii="Garamond" w:hAnsi="Garamond" w:cs="Arial"/>
          <w:sz w:val="24"/>
          <w:szCs w:val="24"/>
        </w:rPr>
        <w:t xml:space="preserve">ria. </w:t>
      </w:r>
      <w:r w:rsidRPr="003A1174">
        <w:rPr>
          <w:rFonts w:ascii="Garamond" w:hAnsi="Garamond" w:cs="Arial"/>
          <w:sz w:val="24"/>
          <w:szCs w:val="24"/>
        </w:rPr>
        <w:t>I</w:t>
      </w:r>
      <w:r w:rsidR="00046CE9" w:rsidRPr="003A1174">
        <w:rPr>
          <w:rFonts w:ascii="Garamond" w:hAnsi="Garamond" w:cs="Arial"/>
          <w:sz w:val="24"/>
          <w:szCs w:val="24"/>
        </w:rPr>
        <w:t xml:space="preserve">sto </w:t>
      </w:r>
      <w:r w:rsidRPr="003A1174">
        <w:rPr>
          <w:rFonts w:ascii="Garamond" w:hAnsi="Garamond" w:cs="Arial"/>
          <w:sz w:val="24"/>
          <w:szCs w:val="24"/>
        </w:rPr>
        <w:t xml:space="preserve">torna-se mais grave </w:t>
      </w:r>
      <w:r w:rsidR="00046CE9" w:rsidRPr="003A1174">
        <w:rPr>
          <w:rFonts w:ascii="Garamond" w:hAnsi="Garamond" w:cs="Arial"/>
          <w:sz w:val="24"/>
          <w:szCs w:val="24"/>
        </w:rPr>
        <w:t>e</w:t>
      </w:r>
      <w:r w:rsidRPr="003A1174">
        <w:rPr>
          <w:rFonts w:ascii="Garamond" w:hAnsi="Garamond" w:cs="Arial"/>
          <w:sz w:val="24"/>
          <w:szCs w:val="24"/>
        </w:rPr>
        <w:t>m</w:t>
      </w:r>
      <w:r w:rsidR="00046CE9" w:rsidRPr="003A1174">
        <w:rPr>
          <w:rFonts w:ascii="Garamond" w:hAnsi="Garamond" w:cs="Arial"/>
          <w:sz w:val="24"/>
          <w:szCs w:val="24"/>
        </w:rPr>
        <w:t xml:space="preserve"> casos de </w:t>
      </w:r>
      <w:r w:rsidR="000350B1" w:rsidRPr="003A1174">
        <w:rPr>
          <w:rFonts w:ascii="Garamond" w:hAnsi="Garamond" w:cs="Arial"/>
          <w:sz w:val="24"/>
          <w:szCs w:val="24"/>
        </w:rPr>
        <w:t>violência</w:t>
      </w:r>
      <w:r w:rsidR="00046CE9" w:rsidRPr="003A1174">
        <w:rPr>
          <w:rFonts w:ascii="Garamond" w:hAnsi="Garamond" w:cs="Arial"/>
          <w:sz w:val="24"/>
          <w:szCs w:val="24"/>
        </w:rPr>
        <w:t xml:space="preserve"> sexual contra </w:t>
      </w:r>
      <w:r w:rsidR="00054EE0" w:rsidRPr="003A1174">
        <w:rPr>
          <w:rFonts w:ascii="Garamond" w:hAnsi="Garamond" w:cs="Arial"/>
          <w:sz w:val="24"/>
          <w:szCs w:val="24"/>
        </w:rPr>
        <w:t>mulheres</w:t>
      </w:r>
      <w:r w:rsidRPr="003A1174">
        <w:rPr>
          <w:rFonts w:ascii="Garamond" w:hAnsi="Garamond" w:cs="Arial"/>
          <w:sz w:val="24"/>
          <w:szCs w:val="24"/>
        </w:rPr>
        <w:t xml:space="preserve"> adultas, cuj</w:t>
      </w:r>
      <w:r w:rsidR="00046CE9" w:rsidRPr="003A1174">
        <w:rPr>
          <w:rFonts w:ascii="Garamond" w:hAnsi="Garamond" w:cs="Arial"/>
          <w:sz w:val="24"/>
          <w:szCs w:val="24"/>
        </w:rPr>
        <w:t>as causas n</w:t>
      </w:r>
      <w:r w:rsidRPr="003A1174">
        <w:rPr>
          <w:rFonts w:ascii="Garamond" w:hAnsi="Garamond" w:cs="Arial"/>
          <w:sz w:val="24"/>
          <w:szCs w:val="24"/>
        </w:rPr>
        <w:t>ã</w:t>
      </w:r>
      <w:r w:rsidR="00046CE9" w:rsidRPr="003A1174">
        <w:rPr>
          <w:rFonts w:ascii="Garamond" w:hAnsi="Garamond" w:cs="Arial"/>
          <w:sz w:val="24"/>
          <w:szCs w:val="24"/>
        </w:rPr>
        <w:t>o progr</w:t>
      </w:r>
      <w:r w:rsidRPr="003A1174">
        <w:rPr>
          <w:rFonts w:ascii="Garamond" w:hAnsi="Garamond" w:cs="Arial"/>
          <w:sz w:val="24"/>
          <w:szCs w:val="24"/>
        </w:rPr>
        <w:t xml:space="preserve">idem </w:t>
      </w:r>
      <w:r w:rsidR="00046CE9" w:rsidRPr="003A1174">
        <w:rPr>
          <w:rFonts w:ascii="Garamond" w:hAnsi="Garamond" w:cs="Arial"/>
          <w:sz w:val="24"/>
          <w:szCs w:val="24"/>
        </w:rPr>
        <w:t>como de</w:t>
      </w:r>
      <w:r w:rsidRPr="003A1174">
        <w:rPr>
          <w:rFonts w:ascii="Garamond" w:hAnsi="Garamond" w:cs="Arial"/>
          <w:sz w:val="24"/>
          <w:szCs w:val="24"/>
        </w:rPr>
        <w:t>viam progredir</w:t>
      </w:r>
      <w:r w:rsidR="00046CE9" w:rsidRPr="003A1174">
        <w:rPr>
          <w:rFonts w:ascii="Garamond" w:hAnsi="Garamond" w:cs="Arial"/>
          <w:sz w:val="24"/>
          <w:szCs w:val="24"/>
        </w:rPr>
        <w:t>.</w:t>
      </w:r>
    </w:p>
    <w:p w:rsidR="00046CE9" w:rsidRPr="003A1174" w:rsidRDefault="002A59E7" w:rsidP="008719D4">
      <w:pPr>
        <w:spacing w:line="240" w:lineRule="auto"/>
        <w:jc w:val="both"/>
        <w:rPr>
          <w:rFonts w:ascii="Garamond" w:hAnsi="Garamond" w:cs="Arial"/>
          <w:sz w:val="24"/>
          <w:szCs w:val="24"/>
        </w:rPr>
      </w:pPr>
      <w:r w:rsidRPr="003A1174">
        <w:rPr>
          <w:rFonts w:ascii="Garamond" w:hAnsi="Garamond" w:cs="Arial"/>
          <w:sz w:val="24"/>
          <w:szCs w:val="24"/>
        </w:rPr>
        <w:t xml:space="preserve">É </w:t>
      </w:r>
      <w:r w:rsidR="00880422" w:rsidRPr="003A1174">
        <w:rPr>
          <w:rFonts w:ascii="Garamond" w:hAnsi="Garamond" w:cs="Arial"/>
          <w:sz w:val="24"/>
          <w:szCs w:val="24"/>
        </w:rPr>
        <w:t>conveniente</w:t>
      </w:r>
      <w:r w:rsidR="00046CE9" w:rsidRPr="003A1174">
        <w:rPr>
          <w:rFonts w:ascii="Garamond" w:hAnsi="Garamond" w:cs="Arial"/>
          <w:sz w:val="24"/>
          <w:szCs w:val="24"/>
        </w:rPr>
        <w:t xml:space="preserve"> anotar</w:t>
      </w:r>
      <w:r w:rsidR="00880422" w:rsidRPr="003A1174">
        <w:rPr>
          <w:rFonts w:ascii="Garamond" w:hAnsi="Garamond" w:cs="Arial"/>
          <w:sz w:val="24"/>
          <w:szCs w:val="24"/>
        </w:rPr>
        <w:t>,</w:t>
      </w:r>
      <w:r w:rsidR="00046CE9" w:rsidRPr="003A1174">
        <w:rPr>
          <w:rFonts w:ascii="Garamond" w:hAnsi="Garamond" w:cs="Arial"/>
          <w:sz w:val="24"/>
          <w:szCs w:val="24"/>
        </w:rPr>
        <w:t xml:space="preserve"> </w:t>
      </w:r>
      <w:r w:rsidR="000350B1" w:rsidRPr="003A1174">
        <w:rPr>
          <w:rFonts w:ascii="Garamond" w:hAnsi="Garamond" w:cs="Arial"/>
          <w:sz w:val="24"/>
          <w:szCs w:val="24"/>
        </w:rPr>
        <w:t>também</w:t>
      </w:r>
      <w:r w:rsidR="00880422" w:rsidRPr="003A1174">
        <w:rPr>
          <w:rFonts w:ascii="Garamond" w:hAnsi="Garamond" w:cs="Arial"/>
          <w:sz w:val="24"/>
          <w:szCs w:val="24"/>
        </w:rPr>
        <w:t>,</w:t>
      </w:r>
      <w:r w:rsidRPr="003A1174">
        <w:rPr>
          <w:rFonts w:ascii="Garamond" w:hAnsi="Garamond" w:cs="Arial"/>
          <w:sz w:val="24"/>
          <w:szCs w:val="24"/>
        </w:rPr>
        <w:t xml:space="preserve"> que existe um</w:t>
      </w:r>
      <w:r w:rsidR="00046CE9" w:rsidRPr="003A1174">
        <w:rPr>
          <w:rFonts w:ascii="Garamond" w:hAnsi="Garamond" w:cs="Arial"/>
          <w:sz w:val="24"/>
          <w:szCs w:val="24"/>
        </w:rPr>
        <w:t xml:space="preserve">a </w:t>
      </w:r>
      <w:r w:rsidR="00863197" w:rsidRPr="003A1174">
        <w:rPr>
          <w:rFonts w:ascii="Garamond" w:hAnsi="Garamond" w:cs="Arial"/>
          <w:sz w:val="24"/>
          <w:szCs w:val="24"/>
        </w:rPr>
        <w:t>maior</w:t>
      </w:r>
      <w:r w:rsidR="00046CE9" w:rsidRPr="003A1174">
        <w:rPr>
          <w:rFonts w:ascii="Garamond" w:hAnsi="Garamond" w:cs="Arial"/>
          <w:sz w:val="24"/>
          <w:szCs w:val="24"/>
        </w:rPr>
        <w:t xml:space="preserve"> </w:t>
      </w:r>
      <w:r w:rsidR="008278C4" w:rsidRPr="003A1174">
        <w:rPr>
          <w:rFonts w:ascii="Garamond" w:hAnsi="Garamond" w:cs="Arial"/>
          <w:sz w:val="24"/>
          <w:szCs w:val="24"/>
        </w:rPr>
        <w:t>atenção</w:t>
      </w:r>
      <w:r w:rsidR="00046CE9" w:rsidRPr="003A1174">
        <w:rPr>
          <w:rFonts w:ascii="Garamond" w:hAnsi="Garamond" w:cs="Arial"/>
          <w:sz w:val="24"/>
          <w:szCs w:val="24"/>
        </w:rPr>
        <w:t xml:space="preserve"> </w:t>
      </w:r>
      <w:r w:rsidRPr="003A1174">
        <w:rPr>
          <w:rFonts w:ascii="Garamond" w:hAnsi="Garamond" w:cs="Arial"/>
          <w:sz w:val="24"/>
          <w:szCs w:val="24"/>
        </w:rPr>
        <w:t>e</w:t>
      </w:r>
      <w:r w:rsidR="00046CE9" w:rsidRPr="003A1174">
        <w:rPr>
          <w:rFonts w:ascii="Garamond" w:hAnsi="Garamond" w:cs="Arial"/>
          <w:sz w:val="24"/>
          <w:szCs w:val="24"/>
        </w:rPr>
        <w:t xml:space="preserve"> </w:t>
      </w:r>
      <w:r w:rsidR="001F2F8B" w:rsidRPr="003A1174">
        <w:rPr>
          <w:rFonts w:ascii="Garamond" w:hAnsi="Garamond" w:cs="Arial"/>
          <w:sz w:val="24"/>
          <w:szCs w:val="24"/>
        </w:rPr>
        <w:t>avanço</w:t>
      </w:r>
      <w:r w:rsidR="00046CE9" w:rsidRPr="003A1174">
        <w:rPr>
          <w:rFonts w:ascii="Garamond" w:hAnsi="Garamond" w:cs="Arial"/>
          <w:sz w:val="24"/>
          <w:szCs w:val="24"/>
        </w:rPr>
        <w:t xml:space="preserve"> </w:t>
      </w:r>
      <w:r w:rsidRPr="003A1174">
        <w:rPr>
          <w:rFonts w:ascii="Garamond" w:hAnsi="Garamond" w:cs="Arial"/>
          <w:sz w:val="24"/>
          <w:szCs w:val="24"/>
        </w:rPr>
        <w:t xml:space="preserve">no que se refere à </w:t>
      </w:r>
      <w:r w:rsidR="000350B1" w:rsidRPr="003A1174">
        <w:rPr>
          <w:rFonts w:ascii="Garamond" w:hAnsi="Garamond" w:cs="Arial"/>
          <w:sz w:val="24"/>
          <w:szCs w:val="24"/>
        </w:rPr>
        <w:t>violência</w:t>
      </w:r>
      <w:r w:rsidR="00046CE9" w:rsidRPr="003A1174">
        <w:rPr>
          <w:rFonts w:ascii="Garamond" w:hAnsi="Garamond" w:cs="Arial"/>
          <w:sz w:val="24"/>
          <w:szCs w:val="24"/>
        </w:rPr>
        <w:t xml:space="preserve"> sexual contra </w:t>
      </w:r>
      <w:r w:rsidR="003F74FA" w:rsidRPr="003A1174">
        <w:rPr>
          <w:rFonts w:ascii="Garamond" w:hAnsi="Garamond" w:cs="Arial"/>
          <w:sz w:val="24"/>
          <w:szCs w:val="24"/>
        </w:rPr>
        <w:t xml:space="preserve">crianças </w:t>
      </w:r>
      <w:r w:rsidRPr="003A1174">
        <w:rPr>
          <w:rFonts w:ascii="Garamond" w:hAnsi="Garamond" w:cs="Arial"/>
          <w:sz w:val="24"/>
          <w:szCs w:val="24"/>
        </w:rPr>
        <w:t xml:space="preserve">e </w:t>
      </w:r>
      <w:r w:rsidR="00046CE9" w:rsidRPr="003A1174">
        <w:rPr>
          <w:rFonts w:ascii="Garamond" w:hAnsi="Garamond" w:cs="Arial"/>
          <w:sz w:val="24"/>
          <w:szCs w:val="24"/>
        </w:rPr>
        <w:t>adolescentes, as</w:t>
      </w:r>
      <w:r w:rsidRPr="003A1174">
        <w:rPr>
          <w:rFonts w:ascii="Garamond" w:hAnsi="Garamond" w:cs="Arial"/>
          <w:sz w:val="24"/>
          <w:szCs w:val="24"/>
        </w:rPr>
        <w:t>sim</w:t>
      </w:r>
      <w:r w:rsidR="00046CE9" w:rsidRPr="003A1174">
        <w:rPr>
          <w:rFonts w:ascii="Garamond" w:hAnsi="Garamond" w:cs="Arial"/>
          <w:sz w:val="24"/>
          <w:szCs w:val="24"/>
        </w:rPr>
        <w:t xml:space="preserve"> como </w:t>
      </w:r>
      <w:r w:rsidRPr="003A1174">
        <w:rPr>
          <w:rFonts w:ascii="Garamond" w:hAnsi="Garamond" w:cs="Arial"/>
          <w:sz w:val="24"/>
          <w:szCs w:val="24"/>
        </w:rPr>
        <w:t xml:space="preserve">nos </w:t>
      </w:r>
      <w:r w:rsidR="00046CE9" w:rsidRPr="003A1174">
        <w:rPr>
          <w:rFonts w:ascii="Garamond" w:hAnsi="Garamond" w:cs="Arial"/>
          <w:sz w:val="24"/>
          <w:szCs w:val="24"/>
        </w:rPr>
        <w:t>delitos por narcotráfico, tr</w:t>
      </w:r>
      <w:r w:rsidRPr="003A1174">
        <w:rPr>
          <w:rFonts w:ascii="Garamond" w:hAnsi="Garamond" w:cs="Arial"/>
          <w:sz w:val="24"/>
          <w:szCs w:val="24"/>
        </w:rPr>
        <w:t xml:space="preserve">áfico e </w:t>
      </w:r>
      <w:r w:rsidR="00046CE9" w:rsidRPr="003A1174">
        <w:rPr>
          <w:rFonts w:ascii="Garamond" w:hAnsi="Garamond" w:cs="Arial"/>
          <w:sz w:val="24"/>
          <w:szCs w:val="24"/>
        </w:rPr>
        <w:t xml:space="preserve">tráfico de </w:t>
      </w:r>
      <w:r w:rsidR="006C760C" w:rsidRPr="003A1174">
        <w:rPr>
          <w:rFonts w:ascii="Garamond" w:hAnsi="Garamond" w:cs="Arial"/>
          <w:sz w:val="24"/>
          <w:szCs w:val="24"/>
        </w:rPr>
        <w:t>pessoas</w:t>
      </w:r>
      <w:r w:rsidR="00046CE9" w:rsidRPr="003A1174">
        <w:rPr>
          <w:rFonts w:ascii="Garamond" w:hAnsi="Garamond" w:cs="Arial"/>
          <w:sz w:val="24"/>
          <w:szCs w:val="24"/>
        </w:rPr>
        <w:t xml:space="preserve">; </w:t>
      </w:r>
      <w:r w:rsidRPr="003A1174">
        <w:rPr>
          <w:rFonts w:ascii="Garamond" w:hAnsi="Garamond" w:cs="Arial"/>
          <w:sz w:val="24"/>
          <w:szCs w:val="24"/>
        </w:rPr>
        <w:t xml:space="preserve">só </w:t>
      </w:r>
      <w:r w:rsidR="007C63D0" w:rsidRPr="003A1174">
        <w:rPr>
          <w:rFonts w:ascii="Garamond" w:hAnsi="Garamond" w:cs="Arial"/>
          <w:sz w:val="24"/>
          <w:szCs w:val="24"/>
        </w:rPr>
        <w:t>depois</w:t>
      </w:r>
      <w:r w:rsidRPr="003A1174">
        <w:rPr>
          <w:rFonts w:ascii="Garamond" w:hAnsi="Garamond" w:cs="Arial"/>
          <w:sz w:val="24"/>
          <w:szCs w:val="24"/>
        </w:rPr>
        <w:t xml:space="preserve"> destes casos se situa </w:t>
      </w:r>
      <w:r w:rsidR="00046CE9" w:rsidRPr="003A1174">
        <w:rPr>
          <w:rFonts w:ascii="Garamond" w:hAnsi="Garamond" w:cs="Arial"/>
          <w:sz w:val="24"/>
          <w:szCs w:val="24"/>
        </w:rPr>
        <w:t xml:space="preserve">a </w:t>
      </w:r>
      <w:r w:rsidR="000350B1" w:rsidRPr="003A1174">
        <w:rPr>
          <w:rFonts w:ascii="Garamond" w:hAnsi="Garamond" w:cs="Arial"/>
          <w:sz w:val="24"/>
          <w:szCs w:val="24"/>
        </w:rPr>
        <w:t>violência</w:t>
      </w:r>
      <w:r w:rsidR="00046CE9" w:rsidRPr="003A1174">
        <w:rPr>
          <w:rFonts w:ascii="Garamond" w:hAnsi="Garamond" w:cs="Arial"/>
          <w:sz w:val="24"/>
          <w:szCs w:val="24"/>
        </w:rPr>
        <w:t xml:space="preserve"> sexual contra </w:t>
      </w:r>
      <w:r w:rsidR="00054EE0" w:rsidRPr="003A1174">
        <w:rPr>
          <w:rFonts w:ascii="Garamond" w:hAnsi="Garamond" w:cs="Arial"/>
          <w:sz w:val="24"/>
          <w:szCs w:val="24"/>
        </w:rPr>
        <w:t>mulheres</w:t>
      </w:r>
      <w:r w:rsidR="00046CE9" w:rsidRPr="003A1174">
        <w:rPr>
          <w:rFonts w:ascii="Garamond" w:hAnsi="Garamond" w:cs="Arial"/>
          <w:sz w:val="24"/>
          <w:szCs w:val="24"/>
        </w:rPr>
        <w:t xml:space="preserve"> adultas </w:t>
      </w:r>
      <w:r w:rsidRPr="003A1174">
        <w:rPr>
          <w:rFonts w:ascii="Garamond" w:hAnsi="Garamond" w:cs="Arial"/>
          <w:sz w:val="24"/>
          <w:szCs w:val="24"/>
        </w:rPr>
        <w:t>e o</w:t>
      </w:r>
      <w:r w:rsidR="00046CE9" w:rsidRPr="003A1174">
        <w:rPr>
          <w:rFonts w:ascii="Garamond" w:hAnsi="Garamond" w:cs="Arial"/>
          <w:sz w:val="24"/>
          <w:szCs w:val="24"/>
        </w:rPr>
        <w:t xml:space="preserve"> </w:t>
      </w:r>
      <w:r w:rsidR="005C051C" w:rsidRPr="003A1174">
        <w:rPr>
          <w:rFonts w:ascii="Garamond" w:hAnsi="Garamond" w:cs="Arial"/>
          <w:sz w:val="24"/>
          <w:szCs w:val="24"/>
        </w:rPr>
        <w:t>femicídio</w:t>
      </w:r>
      <w:r w:rsidR="00046CE9" w:rsidRPr="003A1174">
        <w:rPr>
          <w:rFonts w:ascii="Garamond" w:hAnsi="Garamond" w:cs="Arial"/>
          <w:sz w:val="24"/>
          <w:szCs w:val="24"/>
        </w:rPr>
        <w:t>.</w:t>
      </w:r>
    </w:p>
    <w:p w:rsidR="00046CE9" w:rsidRPr="003A1174" w:rsidRDefault="00046CE9" w:rsidP="002A59E7">
      <w:pPr>
        <w:spacing w:after="0" w:line="240" w:lineRule="auto"/>
        <w:jc w:val="both"/>
        <w:rPr>
          <w:rFonts w:ascii="Garamond" w:hAnsi="Garamond" w:cs="Arial"/>
          <w:sz w:val="24"/>
          <w:szCs w:val="24"/>
        </w:rPr>
      </w:pPr>
      <w:r w:rsidRPr="003A1174">
        <w:rPr>
          <w:rFonts w:ascii="Garamond" w:hAnsi="Garamond" w:cs="Arial"/>
          <w:sz w:val="24"/>
          <w:szCs w:val="24"/>
        </w:rPr>
        <w:t xml:space="preserve">Falta </w:t>
      </w:r>
      <w:r w:rsidR="00863197" w:rsidRPr="003A1174">
        <w:rPr>
          <w:rFonts w:ascii="Garamond" w:hAnsi="Garamond" w:cs="Arial"/>
          <w:sz w:val="24"/>
          <w:szCs w:val="24"/>
        </w:rPr>
        <w:t>maior</w:t>
      </w:r>
      <w:r w:rsidRPr="003A1174">
        <w:rPr>
          <w:rFonts w:ascii="Garamond" w:hAnsi="Garamond" w:cs="Arial"/>
          <w:sz w:val="24"/>
          <w:szCs w:val="24"/>
        </w:rPr>
        <w:t xml:space="preserve"> </w:t>
      </w:r>
      <w:r w:rsidR="002A59E7" w:rsidRPr="003A1174">
        <w:rPr>
          <w:rFonts w:ascii="Garamond" w:hAnsi="Garamond" w:cs="Arial"/>
          <w:sz w:val="24"/>
          <w:szCs w:val="24"/>
        </w:rPr>
        <w:t>vontade</w:t>
      </w:r>
      <w:r w:rsidRPr="003A1174">
        <w:rPr>
          <w:rFonts w:ascii="Garamond" w:hAnsi="Garamond" w:cs="Arial"/>
          <w:sz w:val="24"/>
          <w:szCs w:val="24"/>
        </w:rPr>
        <w:t xml:space="preserve"> instituc</w:t>
      </w:r>
      <w:r w:rsidR="002A59E7" w:rsidRPr="003A1174">
        <w:rPr>
          <w:rFonts w:ascii="Garamond" w:hAnsi="Garamond" w:cs="Arial"/>
          <w:sz w:val="24"/>
          <w:szCs w:val="24"/>
        </w:rPr>
        <w:t xml:space="preserve">ional para que, desde </w:t>
      </w:r>
      <w:r w:rsidRPr="003A1174">
        <w:rPr>
          <w:rFonts w:ascii="Garamond" w:hAnsi="Garamond" w:cs="Arial"/>
          <w:sz w:val="24"/>
          <w:szCs w:val="24"/>
        </w:rPr>
        <w:t xml:space="preserve">a etapa </w:t>
      </w:r>
      <w:r w:rsidR="002A59E7" w:rsidRPr="003A1174">
        <w:rPr>
          <w:rFonts w:ascii="Garamond" w:hAnsi="Garamond" w:cs="Arial"/>
          <w:sz w:val="24"/>
          <w:szCs w:val="24"/>
        </w:rPr>
        <w:t>d</w:t>
      </w:r>
      <w:r w:rsidR="00880422" w:rsidRPr="003A1174">
        <w:rPr>
          <w:rFonts w:ascii="Garamond" w:hAnsi="Garamond" w:cs="Arial"/>
          <w:sz w:val="24"/>
          <w:szCs w:val="24"/>
        </w:rPr>
        <w:t xml:space="preserve">a </w:t>
      </w:r>
      <w:r w:rsidR="00886D6A" w:rsidRPr="003A1174">
        <w:rPr>
          <w:rFonts w:ascii="Garamond" w:hAnsi="Garamond" w:cs="Arial"/>
          <w:sz w:val="24"/>
          <w:szCs w:val="24"/>
        </w:rPr>
        <w:t>investigação</w:t>
      </w:r>
      <w:r w:rsidR="00B817B8">
        <w:rPr>
          <w:rFonts w:ascii="Garamond" w:hAnsi="Garamond" w:cs="Arial"/>
          <w:sz w:val="24"/>
          <w:szCs w:val="24"/>
        </w:rPr>
        <w:t>,</w:t>
      </w:r>
      <w:r w:rsidR="002A59E7" w:rsidRPr="003A1174">
        <w:rPr>
          <w:rFonts w:ascii="Garamond" w:hAnsi="Garamond" w:cs="Arial"/>
          <w:sz w:val="24"/>
          <w:szCs w:val="24"/>
        </w:rPr>
        <w:t xml:space="preserve"> até à </w:t>
      </w:r>
      <w:r w:rsidR="00B14AA6" w:rsidRPr="003A1174">
        <w:rPr>
          <w:rFonts w:ascii="Garamond" w:hAnsi="Garamond" w:cs="Arial"/>
          <w:sz w:val="24"/>
          <w:szCs w:val="24"/>
        </w:rPr>
        <w:t>aplicação</w:t>
      </w:r>
      <w:r w:rsidR="002A59E7" w:rsidRPr="003A1174">
        <w:rPr>
          <w:rFonts w:ascii="Garamond" w:hAnsi="Garamond" w:cs="Arial"/>
          <w:sz w:val="24"/>
          <w:szCs w:val="24"/>
        </w:rPr>
        <w:t xml:space="preserve"> d</w:t>
      </w:r>
      <w:r w:rsidRPr="003A1174">
        <w:rPr>
          <w:rFonts w:ascii="Garamond" w:hAnsi="Garamond" w:cs="Arial"/>
          <w:sz w:val="24"/>
          <w:szCs w:val="24"/>
        </w:rPr>
        <w:t xml:space="preserve">a </w:t>
      </w:r>
      <w:r w:rsidR="00FC4727" w:rsidRPr="003A1174">
        <w:rPr>
          <w:rFonts w:ascii="Garamond" w:hAnsi="Garamond" w:cs="Arial"/>
          <w:sz w:val="24"/>
          <w:szCs w:val="24"/>
        </w:rPr>
        <w:t>punição</w:t>
      </w:r>
      <w:r w:rsidRPr="003A1174">
        <w:rPr>
          <w:rFonts w:ascii="Garamond" w:hAnsi="Garamond" w:cs="Arial"/>
          <w:sz w:val="24"/>
          <w:szCs w:val="24"/>
        </w:rPr>
        <w:t xml:space="preserve"> </w:t>
      </w:r>
      <w:r w:rsidR="003E1D8A" w:rsidRPr="003A1174">
        <w:rPr>
          <w:rFonts w:ascii="Garamond" w:hAnsi="Garamond" w:cs="Arial"/>
          <w:sz w:val="24"/>
          <w:szCs w:val="24"/>
        </w:rPr>
        <w:t>correspondente</w:t>
      </w:r>
      <w:r w:rsidRPr="003A1174">
        <w:rPr>
          <w:rFonts w:ascii="Garamond" w:hAnsi="Garamond" w:cs="Arial"/>
          <w:sz w:val="24"/>
          <w:szCs w:val="24"/>
        </w:rPr>
        <w:t xml:space="preserve">, </w:t>
      </w:r>
      <w:r w:rsidR="002A59E7" w:rsidRPr="003A1174">
        <w:rPr>
          <w:rFonts w:ascii="Garamond" w:hAnsi="Garamond" w:cs="Arial"/>
          <w:sz w:val="24"/>
          <w:szCs w:val="24"/>
        </w:rPr>
        <w:t xml:space="preserve">se </w:t>
      </w:r>
      <w:r w:rsidRPr="003A1174">
        <w:rPr>
          <w:rFonts w:ascii="Garamond" w:hAnsi="Garamond" w:cs="Arial"/>
          <w:sz w:val="24"/>
          <w:szCs w:val="24"/>
        </w:rPr>
        <w:t>p</w:t>
      </w:r>
      <w:r w:rsidR="002A59E7" w:rsidRPr="003A1174">
        <w:rPr>
          <w:rFonts w:ascii="Garamond" w:hAnsi="Garamond" w:cs="Arial"/>
          <w:sz w:val="24"/>
          <w:szCs w:val="24"/>
        </w:rPr>
        <w:t xml:space="preserve">ossa </w:t>
      </w:r>
      <w:r w:rsidR="00AF192F" w:rsidRPr="003A1174">
        <w:rPr>
          <w:rFonts w:ascii="Garamond" w:hAnsi="Garamond" w:cs="Arial"/>
          <w:sz w:val="24"/>
          <w:szCs w:val="24"/>
        </w:rPr>
        <w:t>garantir</w:t>
      </w:r>
      <w:r w:rsidR="002A59E7" w:rsidRPr="003A1174">
        <w:rPr>
          <w:rFonts w:ascii="Garamond" w:hAnsi="Garamond" w:cs="Arial"/>
          <w:sz w:val="24"/>
          <w:szCs w:val="24"/>
        </w:rPr>
        <w:t xml:space="preserve"> um </w:t>
      </w:r>
      <w:r w:rsidR="00073FB7" w:rsidRPr="003A1174">
        <w:rPr>
          <w:rFonts w:ascii="Garamond" w:hAnsi="Garamond" w:cs="Arial"/>
          <w:sz w:val="24"/>
          <w:szCs w:val="24"/>
        </w:rPr>
        <w:t>verdadeiro</w:t>
      </w:r>
      <w:r w:rsidRPr="003A1174">
        <w:rPr>
          <w:rFonts w:ascii="Garamond" w:hAnsi="Garamond" w:cs="Arial"/>
          <w:sz w:val="24"/>
          <w:szCs w:val="24"/>
        </w:rPr>
        <w:t xml:space="preserve"> </w:t>
      </w:r>
      <w:r w:rsidR="00886D6A" w:rsidRPr="003A1174">
        <w:rPr>
          <w:rFonts w:ascii="Garamond" w:hAnsi="Garamond" w:cs="Arial"/>
          <w:sz w:val="24"/>
          <w:szCs w:val="24"/>
        </w:rPr>
        <w:t>acesso</w:t>
      </w:r>
      <w:r w:rsidRPr="003A1174">
        <w:rPr>
          <w:rFonts w:ascii="Garamond" w:hAnsi="Garamond" w:cs="Arial"/>
          <w:sz w:val="24"/>
          <w:szCs w:val="24"/>
        </w:rPr>
        <w:t xml:space="preserve"> </w:t>
      </w:r>
      <w:r w:rsidR="002A59E7" w:rsidRPr="003A1174">
        <w:rPr>
          <w:rFonts w:ascii="Garamond" w:hAnsi="Garamond" w:cs="Arial"/>
          <w:sz w:val="24"/>
          <w:szCs w:val="24"/>
        </w:rPr>
        <w:t xml:space="preserve">à </w:t>
      </w:r>
      <w:r w:rsidR="00FC1F7F" w:rsidRPr="003A1174">
        <w:rPr>
          <w:rFonts w:ascii="Garamond" w:hAnsi="Garamond" w:cs="Arial"/>
          <w:sz w:val="24"/>
          <w:szCs w:val="24"/>
        </w:rPr>
        <w:t>justiça</w:t>
      </w:r>
      <w:r w:rsidR="002A59E7" w:rsidRPr="003A1174">
        <w:rPr>
          <w:rFonts w:ascii="Garamond" w:hAnsi="Garamond" w:cs="Arial"/>
          <w:sz w:val="24"/>
          <w:szCs w:val="24"/>
        </w:rPr>
        <w:t xml:space="preserve"> por parte das m</w:t>
      </w:r>
      <w:r w:rsidR="00054EE0" w:rsidRPr="003A1174">
        <w:rPr>
          <w:rFonts w:ascii="Garamond" w:hAnsi="Garamond" w:cs="Arial"/>
          <w:sz w:val="24"/>
          <w:szCs w:val="24"/>
        </w:rPr>
        <w:t>ulheres</w:t>
      </w:r>
      <w:r w:rsidRPr="003A1174">
        <w:rPr>
          <w:rFonts w:ascii="Garamond" w:hAnsi="Garamond" w:cs="Arial"/>
          <w:sz w:val="24"/>
          <w:szCs w:val="24"/>
        </w:rPr>
        <w:t>; sobre</w:t>
      </w:r>
      <w:r w:rsidR="002A59E7" w:rsidRPr="003A1174">
        <w:rPr>
          <w:rFonts w:ascii="Garamond" w:hAnsi="Garamond" w:cs="Arial"/>
          <w:sz w:val="24"/>
          <w:szCs w:val="24"/>
        </w:rPr>
        <w:t>tu</w:t>
      </w:r>
      <w:r w:rsidRPr="003A1174">
        <w:rPr>
          <w:rFonts w:ascii="Garamond" w:hAnsi="Garamond" w:cs="Arial"/>
          <w:sz w:val="24"/>
          <w:szCs w:val="24"/>
        </w:rPr>
        <w:t xml:space="preserve">do </w:t>
      </w:r>
      <w:r w:rsidR="00880422" w:rsidRPr="009A5087">
        <w:rPr>
          <w:rFonts w:ascii="Garamond" w:hAnsi="Garamond" w:cs="Arial"/>
          <w:sz w:val="24"/>
          <w:szCs w:val="24"/>
        </w:rPr>
        <w:t>d</w:t>
      </w:r>
      <w:r w:rsidR="002A59E7" w:rsidRPr="009A5087">
        <w:rPr>
          <w:rFonts w:ascii="Garamond" w:hAnsi="Garamond" w:cs="Arial"/>
          <w:sz w:val="24"/>
          <w:szCs w:val="24"/>
        </w:rPr>
        <w:t>aquelas indígenas</w:t>
      </w:r>
      <w:r w:rsidR="00A7129A" w:rsidRPr="009A5087">
        <w:rPr>
          <w:rFonts w:ascii="Garamond" w:hAnsi="Garamond" w:cs="Arial"/>
          <w:sz w:val="24"/>
          <w:szCs w:val="24"/>
        </w:rPr>
        <w:t xml:space="preserve"> de origem</w:t>
      </w:r>
      <w:r w:rsidRPr="009A5087">
        <w:rPr>
          <w:rFonts w:ascii="Garamond" w:hAnsi="Garamond" w:cs="Arial"/>
          <w:sz w:val="24"/>
          <w:szCs w:val="24"/>
        </w:rPr>
        <w:t xml:space="preserve"> camp</w:t>
      </w:r>
      <w:r w:rsidR="002A59E7" w:rsidRPr="009A5087">
        <w:rPr>
          <w:rFonts w:ascii="Garamond" w:hAnsi="Garamond" w:cs="Arial"/>
          <w:sz w:val="24"/>
          <w:szCs w:val="24"/>
        </w:rPr>
        <w:t xml:space="preserve">onesa, </w:t>
      </w:r>
      <w:r w:rsidRPr="009A5087">
        <w:rPr>
          <w:rFonts w:ascii="Garamond" w:hAnsi="Garamond" w:cs="Arial"/>
          <w:sz w:val="24"/>
          <w:szCs w:val="24"/>
        </w:rPr>
        <w:t xml:space="preserve">as pobres </w:t>
      </w:r>
      <w:r w:rsidR="002A59E7" w:rsidRPr="009A5087">
        <w:rPr>
          <w:rFonts w:ascii="Garamond" w:hAnsi="Garamond" w:cs="Arial"/>
          <w:sz w:val="24"/>
          <w:szCs w:val="24"/>
        </w:rPr>
        <w:t xml:space="preserve">e </w:t>
      </w:r>
      <w:r w:rsidRPr="009A5087">
        <w:rPr>
          <w:rFonts w:ascii="Garamond" w:hAnsi="Garamond" w:cs="Arial"/>
          <w:sz w:val="24"/>
          <w:szCs w:val="24"/>
        </w:rPr>
        <w:t>as</w:t>
      </w:r>
      <w:r w:rsidR="002A59E7" w:rsidRPr="009A5087">
        <w:rPr>
          <w:rFonts w:ascii="Garamond" w:hAnsi="Garamond" w:cs="Arial"/>
          <w:sz w:val="24"/>
          <w:szCs w:val="24"/>
        </w:rPr>
        <w:t xml:space="preserve"> donas de casa.</w:t>
      </w:r>
    </w:p>
    <w:p w:rsidR="009A5087" w:rsidRDefault="009A5087">
      <w:pPr>
        <w:rPr>
          <w:rFonts w:ascii="Garamond" w:hAnsi="Garamond" w:cs="Arial"/>
          <w:sz w:val="24"/>
          <w:szCs w:val="24"/>
        </w:rPr>
      </w:pPr>
      <w:r>
        <w:rPr>
          <w:rFonts w:ascii="Garamond" w:hAnsi="Garamond" w:cs="Arial"/>
          <w:sz w:val="24"/>
          <w:szCs w:val="24"/>
        </w:rPr>
        <w:br w:type="page"/>
      </w:r>
    </w:p>
    <w:p w:rsidR="000951CA" w:rsidRPr="003A1174" w:rsidRDefault="000951CA" w:rsidP="008719D4">
      <w:pPr>
        <w:spacing w:after="0" w:line="240" w:lineRule="auto"/>
        <w:jc w:val="both"/>
        <w:rPr>
          <w:rFonts w:ascii="Garamond" w:hAnsi="Garamond" w:cs="Arial"/>
          <w:sz w:val="24"/>
          <w:szCs w:val="24"/>
        </w:rPr>
      </w:pPr>
    </w:p>
    <w:p w:rsidR="00EC682B" w:rsidRPr="003A1174" w:rsidRDefault="0017447A" w:rsidP="008719D4">
      <w:pPr>
        <w:pStyle w:val="Predeterminado"/>
        <w:spacing w:before="240" w:line="240" w:lineRule="auto"/>
        <w:jc w:val="both"/>
        <w:rPr>
          <w:rFonts w:ascii="Garamond" w:hAnsi="Garamond" w:cs="Arial"/>
          <w:color w:val="auto"/>
          <w:sz w:val="24"/>
          <w:szCs w:val="24"/>
          <w:lang w:val="pt-PT"/>
        </w:rPr>
      </w:pPr>
      <w:bookmarkStart w:id="21" w:name="_Toc421529709"/>
      <w:r w:rsidRPr="003A1174">
        <w:rPr>
          <w:rStyle w:val="Ttulo3Car"/>
          <w:rFonts w:ascii="Garamond" w:hAnsi="Garamond"/>
          <w:sz w:val="24"/>
          <w:szCs w:val="24"/>
          <w:lang w:val="pt-PT"/>
        </w:rPr>
        <w:t>Colômbia</w:t>
      </w:r>
      <w:bookmarkEnd w:id="21"/>
      <w:r w:rsidR="00EC682B" w:rsidRPr="003A1174">
        <w:rPr>
          <w:rStyle w:val="Refdenotaalpie"/>
          <w:rFonts w:ascii="Garamond" w:hAnsi="Garamond" w:cs="Arial"/>
          <w:color w:val="auto"/>
          <w:sz w:val="24"/>
          <w:szCs w:val="24"/>
        </w:rPr>
        <w:footnoteReference w:id="58"/>
      </w:r>
    </w:p>
    <w:p w:rsidR="00EC682B" w:rsidRPr="003A1174" w:rsidRDefault="00EC682B"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002A59E7" w:rsidRPr="003A1174">
        <w:rPr>
          <w:rFonts w:ascii="Garamond" w:hAnsi="Garamond" w:cs="Arial"/>
          <w:color w:val="auto"/>
          <w:sz w:val="24"/>
          <w:szCs w:val="24"/>
        </w:rPr>
        <w:t xml:space="preserve"> pré</w:t>
      </w:r>
      <w:r w:rsidRPr="003A1174">
        <w:rPr>
          <w:rFonts w:ascii="Garamond" w:hAnsi="Garamond" w:cs="Arial"/>
          <w:color w:val="auto"/>
          <w:sz w:val="24"/>
          <w:szCs w:val="24"/>
        </w:rPr>
        <w:t>vio</w:t>
      </w:r>
      <w:r w:rsidR="00880422" w:rsidRPr="003A1174">
        <w:rPr>
          <w:rFonts w:ascii="Garamond" w:hAnsi="Garamond" w:cs="Arial"/>
          <w:color w:val="auto"/>
          <w:sz w:val="24"/>
          <w:szCs w:val="24"/>
        </w:rPr>
        <w:t>,</w:t>
      </w:r>
      <w:r w:rsidRPr="003A1174">
        <w:rPr>
          <w:rFonts w:ascii="Garamond" w:hAnsi="Garamond" w:cs="Arial"/>
          <w:color w:val="auto"/>
          <w:sz w:val="24"/>
          <w:szCs w:val="24"/>
        </w:rPr>
        <w:t xml:space="preserve"> </w:t>
      </w:r>
      <w:r w:rsidR="002A59E7" w:rsidRPr="003A1174">
        <w:rPr>
          <w:rFonts w:ascii="Garamond" w:hAnsi="Garamond" w:cs="Arial"/>
          <w:color w:val="auto"/>
          <w:sz w:val="24"/>
          <w:szCs w:val="24"/>
        </w:rPr>
        <w:t>é</w:t>
      </w:r>
      <w:r w:rsidRPr="003A1174">
        <w:rPr>
          <w:rFonts w:ascii="Garamond" w:hAnsi="Garamond" w:cs="Arial"/>
          <w:color w:val="auto"/>
          <w:sz w:val="24"/>
          <w:szCs w:val="24"/>
        </w:rPr>
        <w:t xml:space="preserve"> </w:t>
      </w:r>
      <w:r w:rsidR="00880422" w:rsidRPr="003A1174">
        <w:rPr>
          <w:rFonts w:ascii="Garamond" w:hAnsi="Garamond" w:cs="Arial"/>
          <w:color w:val="auto"/>
          <w:sz w:val="24"/>
          <w:szCs w:val="24"/>
        </w:rPr>
        <w:t>conveniente</w:t>
      </w:r>
      <w:r w:rsidRPr="003A1174">
        <w:rPr>
          <w:rFonts w:ascii="Garamond" w:hAnsi="Garamond" w:cs="Arial"/>
          <w:color w:val="auto"/>
          <w:sz w:val="24"/>
          <w:szCs w:val="24"/>
        </w:rPr>
        <w:t xml:space="preserve"> indicar que </w:t>
      </w:r>
      <w:r w:rsidR="0074243F" w:rsidRPr="003A1174">
        <w:rPr>
          <w:rFonts w:ascii="Garamond" w:hAnsi="Garamond" w:cs="Arial"/>
          <w:color w:val="auto"/>
          <w:sz w:val="24"/>
          <w:szCs w:val="24"/>
        </w:rPr>
        <w:t>ratificou</w:t>
      </w:r>
      <w:r w:rsidR="002A59E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9A5087">
        <w:rPr>
          <w:rFonts w:ascii="Garamond" w:hAnsi="Garamond" w:cs="Arial"/>
          <w:color w:val="auto"/>
          <w:sz w:val="24"/>
          <w:szCs w:val="24"/>
        </w:rPr>
        <w:t>,</w:t>
      </w:r>
      <w:r w:rsidRPr="003A1174">
        <w:rPr>
          <w:rFonts w:ascii="Garamond" w:hAnsi="Garamond" w:cs="Arial"/>
          <w:color w:val="auto"/>
          <w:sz w:val="24"/>
          <w:szCs w:val="24"/>
        </w:rPr>
        <w:t xml:space="preserve"> </w:t>
      </w:r>
      <w:r w:rsidR="002A59E7" w:rsidRPr="003A1174">
        <w:rPr>
          <w:rFonts w:ascii="Garamond" w:hAnsi="Garamond" w:cs="Arial"/>
          <w:color w:val="auto"/>
          <w:sz w:val="24"/>
          <w:szCs w:val="24"/>
        </w:rPr>
        <w:t xml:space="preserve">a </w:t>
      </w:r>
      <w:r w:rsidRPr="003A1174">
        <w:rPr>
          <w:rFonts w:ascii="Garamond" w:hAnsi="Garamond" w:cs="Arial"/>
          <w:color w:val="auto"/>
          <w:sz w:val="24"/>
          <w:szCs w:val="24"/>
        </w:rPr>
        <w:t xml:space="preserve">31 de </w:t>
      </w:r>
      <w:r w:rsidR="009E3E55" w:rsidRPr="003A1174">
        <w:rPr>
          <w:rFonts w:ascii="Garamond" w:hAnsi="Garamond" w:cs="Arial"/>
          <w:color w:val="auto"/>
          <w:sz w:val="24"/>
          <w:szCs w:val="24"/>
        </w:rPr>
        <w:t>julho</w:t>
      </w:r>
      <w:r w:rsidR="002A59E7" w:rsidRPr="003A1174">
        <w:rPr>
          <w:rFonts w:ascii="Garamond" w:hAnsi="Garamond" w:cs="Arial"/>
          <w:color w:val="auto"/>
          <w:sz w:val="24"/>
          <w:szCs w:val="24"/>
        </w:rPr>
        <w:t xml:space="preserve"> de 1973</w:t>
      </w:r>
      <w:r w:rsidR="009A5087">
        <w:rPr>
          <w:rFonts w:ascii="Garamond" w:hAnsi="Garamond" w:cs="Arial"/>
          <w:color w:val="auto"/>
          <w:sz w:val="24"/>
          <w:szCs w:val="24"/>
        </w:rPr>
        <w:t>,</w:t>
      </w:r>
      <w:r w:rsidR="002A59E7" w:rsidRPr="003A1174">
        <w:rPr>
          <w:rFonts w:ascii="Garamond" w:hAnsi="Garamond" w:cs="Arial"/>
          <w:color w:val="auto"/>
          <w:sz w:val="24"/>
          <w:szCs w:val="24"/>
        </w:rPr>
        <w:t xml:space="preserve"> 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2A59E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w:t>
      </w:r>
      <w:r w:rsidR="00042808">
        <w:rPr>
          <w:rFonts w:ascii="Garamond" w:hAnsi="Garamond" w:cs="Arial"/>
          <w:color w:val="auto"/>
          <w:sz w:val="24"/>
          <w:szCs w:val="24"/>
        </w:rPr>
        <w:t xml:space="preserve"> </w:t>
      </w:r>
      <w:r w:rsidR="00935298">
        <w:rPr>
          <w:rFonts w:ascii="Garamond" w:hAnsi="Garamond" w:cs="Arial"/>
          <w:color w:val="auto"/>
          <w:sz w:val="24"/>
          <w:szCs w:val="24"/>
        </w:rPr>
        <w:t>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9A5087">
        <w:rPr>
          <w:rFonts w:ascii="Garamond" w:hAnsi="Garamond" w:cs="Arial"/>
          <w:color w:val="auto"/>
          <w:sz w:val="24"/>
          <w:szCs w:val="24"/>
        </w:rPr>
        <w:t>,</w:t>
      </w:r>
      <w:r w:rsidRPr="003A1174">
        <w:rPr>
          <w:rFonts w:ascii="Garamond" w:hAnsi="Garamond" w:cs="Arial"/>
          <w:color w:val="auto"/>
          <w:sz w:val="24"/>
          <w:szCs w:val="24"/>
        </w:rPr>
        <w:t xml:space="preserve"> </w:t>
      </w:r>
      <w:r w:rsidR="002A59E7" w:rsidRPr="003A1174">
        <w:rPr>
          <w:rFonts w:ascii="Garamond" w:hAnsi="Garamond" w:cs="Arial"/>
          <w:color w:val="auto"/>
          <w:sz w:val="24"/>
          <w:szCs w:val="24"/>
        </w:rPr>
        <w:t xml:space="preserve">a </w:t>
      </w:r>
      <w:r w:rsidRPr="003A1174">
        <w:rPr>
          <w:rFonts w:ascii="Garamond" w:hAnsi="Garamond" w:cs="Arial"/>
          <w:color w:val="auto"/>
          <w:sz w:val="24"/>
          <w:szCs w:val="24"/>
        </w:rPr>
        <w:t xml:space="preserve">21 de </w:t>
      </w:r>
      <w:r w:rsidR="00077461" w:rsidRPr="003A1174">
        <w:rPr>
          <w:rFonts w:ascii="Garamond" w:hAnsi="Garamond" w:cs="Arial"/>
          <w:color w:val="auto"/>
          <w:sz w:val="24"/>
          <w:szCs w:val="24"/>
        </w:rPr>
        <w:t>junho</w:t>
      </w:r>
      <w:r w:rsidRPr="003A1174">
        <w:rPr>
          <w:rFonts w:ascii="Garamond" w:hAnsi="Garamond" w:cs="Arial"/>
          <w:color w:val="auto"/>
          <w:sz w:val="24"/>
          <w:szCs w:val="24"/>
        </w:rPr>
        <w:t xml:space="preserve"> de 1985.</w:t>
      </w:r>
    </w:p>
    <w:p w:rsidR="00EC682B" w:rsidRPr="003A1174" w:rsidRDefault="00EC682B" w:rsidP="008719D4">
      <w:pPr>
        <w:pStyle w:val="Prrafodelista1"/>
        <w:spacing w:after="0" w:line="240" w:lineRule="auto"/>
        <w:jc w:val="both"/>
        <w:rPr>
          <w:rFonts w:ascii="Garamond" w:hAnsi="Garamond" w:cs="Arial"/>
          <w:color w:val="auto"/>
          <w:sz w:val="24"/>
          <w:szCs w:val="24"/>
        </w:rPr>
      </w:pPr>
    </w:p>
    <w:p w:rsidR="00EC682B" w:rsidRPr="003A1174" w:rsidRDefault="0074243F"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Ratificou</w:t>
      </w:r>
      <w:r w:rsidR="002A59E7" w:rsidRPr="003A1174">
        <w:rPr>
          <w:rFonts w:ascii="Garamond" w:hAnsi="Garamond" w:cs="Arial"/>
          <w:color w:val="auto"/>
          <w:sz w:val="24"/>
          <w:szCs w:val="24"/>
        </w:rPr>
        <w:t xml:space="preserve"> </w:t>
      </w:r>
      <w:r w:rsidR="00EC682B"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2A59E7" w:rsidRPr="003A1174">
        <w:rPr>
          <w:rFonts w:ascii="Garamond" w:hAnsi="Garamond" w:cs="Arial"/>
          <w:color w:val="auto"/>
          <w:sz w:val="24"/>
          <w:szCs w:val="24"/>
        </w:rPr>
        <w:t xml:space="preserve"> sobre </w:t>
      </w:r>
      <w:r w:rsidR="00EC682B"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2A59E7" w:rsidRPr="003A1174">
        <w:rPr>
          <w:rFonts w:ascii="Garamond" w:hAnsi="Garamond" w:cs="Arial"/>
          <w:color w:val="auto"/>
          <w:sz w:val="24"/>
          <w:szCs w:val="24"/>
        </w:rPr>
        <w:t xml:space="preserve"> de Todas </w:t>
      </w:r>
      <w:r w:rsidR="00EC682B"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2A59E7" w:rsidRPr="003A1174">
        <w:rPr>
          <w:rFonts w:ascii="Garamond" w:hAnsi="Garamond" w:cs="Arial"/>
          <w:color w:val="auto"/>
          <w:sz w:val="24"/>
          <w:szCs w:val="24"/>
        </w:rPr>
        <w:t xml:space="preserve"> Contra </w:t>
      </w:r>
      <w:r w:rsidR="00EC682B"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EC682B" w:rsidRPr="003A1174">
        <w:rPr>
          <w:rFonts w:ascii="Garamond" w:hAnsi="Garamond" w:cs="Arial"/>
          <w:color w:val="auto"/>
          <w:sz w:val="24"/>
          <w:szCs w:val="24"/>
        </w:rPr>
        <w:t xml:space="preserve"> </w:t>
      </w:r>
      <w:r w:rsidR="002A59E7" w:rsidRPr="003A1174">
        <w:rPr>
          <w:rFonts w:ascii="Garamond" w:hAnsi="Garamond" w:cs="Arial"/>
          <w:color w:val="auto"/>
          <w:sz w:val="24"/>
          <w:szCs w:val="24"/>
        </w:rPr>
        <w:t xml:space="preserve">a </w:t>
      </w:r>
      <w:r w:rsidR="00EC682B" w:rsidRPr="003A1174">
        <w:rPr>
          <w:rFonts w:ascii="Garamond" w:hAnsi="Garamond" w:cs="Arial"/>
          <w:color w:val="auto"/>
          <w:sz w:val="24"/>
          <w:szCs w:val="24"/>
        </w:rPr>
        <w:t>6 de abril de 1987</w:t>
      </w:r>
      <w:r w:rsidR="00880422" w:rsidRPr="003A1174">
        <w:rPr>
          <w:rFonts w:ascii="Garamond" w:hAnsi="Garamond" w:cs="Arial"/>
          <w:color w:val="auto"/>
          <w:sz w:val="24"/>
          <w:szCs w:val="24"/>
        </w:rPr>
        <w:t>;</w:t>
      </w:r>
      <w:r w:rsidR="00EC682B" w:rsidRPr="003A1174">
        <w:rPr>
          <w:rFonts w:ascii="Garamond" w:hAnsi="Garamond" w:cs="Arial"/>
          <w:color w:val="auto"/>
          <w:sz w:val="24"/>
          <w:szCs w:val="24"/>
        </w:rPr>
        <w:t xml:space="preserve"> </w:t>
      </w:r>
      <w:r w:rsidR="002A59E7" w:rsidRPr="003A1174">
        <w:rPr>
          <w:rFonts w:ascii="Garamond" w:hAnsi="Garamond" w:cs="Arial"/>
          <w:color w:val="auto"/>
          <w:sz w:val="24"/>
          <w:szCs w:val="24"/>
        </w:rPr>
        <w:t>e</w:t>
      </w:r>
      <w:r w:rsidR="00EC682B" w:rsidRPr="003A1174">
        <w:rPr>
          <w:rFonts w:ascii="Garamond" w:hAnsi="Garamond" w:cs="Arial"/>
          <w:color w:val="auto"/>
          <w:sz w:val="24"/>
          <w:szCs w:val="24"/>
        </w:rPr>
        <w:t xml:space="preserve"> </w:t>
      </w:r>
      <w:r w:rsidRPr="003A1174">
        <w:rPr>
          <w:rFonts w:ascii="Garamond" w:hAnsi="Garamond" w:cs="Arial"/>
          <w:color w:val="auto"/>
          <w:sz w:val="24"/>
          <w:szCs w:val="24"/>
        </w:rPr>
        <w:t>referendou</w:t>
      </w:r>
      <w:r w:rsidR="002A59E7" w:rsidRPr="003A1174">
        <w:rPr>
          <w:rFonts w:ascii="Garamond" w:hAnsi="Garamond" w:cs="Arial"/>
          <w:color w:val="auto"/>
          <w:sz w:val="24"/>
          <w:szCs w:val="24"/>
        </w:rPr>
        <w:t xml:space="preserve"> </w:t>
      </w:r>
      <w:r w:rsidR="00EC682B"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EC682B" w:rsidRPr="003A1174">
        <w:rPr>
          <w:rFonts w:ascii="Garamond" w:hAnsi="Garamond" w:cs="Arial"/>
          <w:color w:val="auto"/>
          <w:sz w:val="24"/>
          <w:szCs w:val="24"/>
        </w:rPr>
        <w:t xml:space="preserve"> Interamer</w:t>
      </w:r>
      <w:r w:rsidR="002A59E7" w:rsidRPr="003A1174">
        <w:rPr>
          <w:rFonts w:ascii="Garamond" w:hAnsi="Garamond" w:cs="Arial"/>
          <w:color w:val="auto"/>
          <w:sz w:val="24"/>
          <w:szCs w:val="24"/>
        </w:rPr>
        <w:t xml:space="preserve">icana para </w:t>
      </w:r>
      <w:r w:rsidR="003F493C" w:rsidRPr="003A1174">
        <w:rPr>
          <w:rFonts w:ascii="Garamond" w:hAnsi="Garamond" w:cs="Arial"/>
          <w:color w:val="auto"/>
          <w:sz w:val="24"/>
          <w:szCs w:val="24"/>
        </w:rPr>
        <w:t>Prevenir, Punir e Erradicar</w:t>
      </w:r>
      <w:r w:rsidR="002A59E7" w:rsidRPr="003A1174">
        <w:rPr>
          <w:rFonts w:ascii="Garamond" w:hAnsi="Garamond" w:cs="Arial"/>
          <w:color w:val="auto"/>
          <w:sz w:val="24"/>
          <w:szCs w:val="24"/>
        </w:rPr>
        <w:t xml:space="preserve"> </w:t>
      </w:r>
      <w:r w:rsidR="00EC682B"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2A59E7" w:rsidRPr="003A1174">
        <w:rPr>
          <w:rFonts w:ascii="Garamond" w:hAnsi="Garamond" w:cs="Arial"/>
          <w:color w:val="auto"/>
          <w:sz w:val="24"/>
          <w:szCs w:val="24"/>
        </w:rPr>
        <w:t xml:space="preserve"> contra </w:t>
      </w:r>
      <w:r w:rsidR="00EC682B"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880422" w:rsidRPr="003A1174">
        <w:rPr>
          <w:rFonts w:ascii="Garamond" w:hAnsi="Garamond" w:cs="Arial"/>
          <w:color w:val="auto"/>
          <w:sz w:val="24"/>
          <w:szCs w:val="24"/>
        </w:rPr>
        <w:t>,</w:t>
      </w:r>
      <w:r w:rsidR="00EC682B" w:rsidRPr="003A1174">
        <w:rPr>
          <w:rFonts w:ascii="Garamond" w:hAnsi="Garamond" w:cs="Arial"/>
          <w:color w:val="auto"/>
          <w:sz w:val="24"/>
          <w:szCs w:val="24"/>
        </w:rPr>
        <w:t xml:space="preserve"> </w:t>
      </w:r>
      <w:r w:rsidR="002720C5">
        <w:rPr>
          <w:rFonts w:ascii="Garamond" w:hAnsi="Garamond" w:cs="Arial"/>
          <w:color w:val="auto"/>
          <w:sz w:val="24"/>
          <w:szCs w:val="24"/>
        </w:rPr>
        <w:t>«</w:t>
      </w:r>
      <w:r w:rsidR="00B14AA6" w:rsidRPr="003A1174">
        <w:rPr>
          <w:rFonts w:ascii="Garamond" w:hAnsi="Garamond" w:cs="Arial"/>
          <w:color w:val="auto"/>
          <w:sz w:val="24"/>
          <w:szCs w:val="24"/>
        </w:rPr>
        <w:t>Convenção</w:t>
      </w:r>
      <w:r w:rsidR="00EC682B" w:rsidRPr="003A1174">
        <w:rPr>
          <w:rFonts w:ascii="Garamond" w:hAnsi="Garamond" w:cs="Arial"/>
          <w:color w:val="auto"/>
          <w:sz w:val="24"/>
          <w:szCs w:val="24"/>
        </w:rPr>
        <w:t xml:space="preserve"> de Belém do Pará</w:t>
      </w:r>
      <w:r w:rsidR="002720C5">
        <w:rPr>
          <w:rFonts w:ascii="Garamond" w:hAnsi="Garamond" w:cs="Arial"/>
          <w:color w:val="auto"/>
          <w:sz w:val="24"/>
          <w:szCs w:val="24"/>
        </w:rPr>
        <w:t>»</w:t>
      </w:r>
      <w:r w:rsidR="00880422" w:rsidRPr="003A1174">
        <w:rPr>
          <w:rFonts w:ascii="Garamond" w:hAnsi="Garamond" w:cs="Arial"/>
          <w:color w:val="auto"/>
          <w:sz w:val="24"/>
          <w:szCs w:val="24"/>
        </w:rPr>
        <w:t>,</w:t>
      </w:r>
      <w:r w:rsidR="00EC682B" w:rsidRPr="003A1174">
        <w:rPr>
          <w:rFonts w:ascii="Garamond" w:hAnsi="Garamond" w:cs="Arial"/>
          <w:color w:val="auto"/>
          <w:sz w:val="24"/>
          <w:szCs w:val="24"/>
        </w:rPr>
        <w:t xml:space="preserve"> </w:t>
      </w:r>
      <w:r w:rsidR="002A59E7" w:rsidRPr="003A1174">
        <w:rPr>
          <w:rFonts w:ascii="Garamond" w:hAnsi="Garamond" w:cs="Arial"/>
          <w:color w:val="auto"/>
          <w:sz w:val="24"/>
          <w:szCs w:val="24"/>
        </w:rPr>
        <w:t xml:space="preserve">a </w:t>
      </w:r>
      <w:r w:rsidR="008A3DA2" w:rsidRPr="003A1174">
        <w:rPr>
          <w:rFonts w:ascii="Garamond" w:hAnsi="Garamond" w:cs="Arial"/>
          <w:color w:val="auto"/>
          <w:sz w:val="24"/>
          <w:szCs w:val="24"/>
        </w:rPr>
        <w:t xml:space="preserve">18 de </w:t>
      </w:r>
      <w:r w:rsidR="009E3E55" w:rsidRPr="003A1174">
        <w:rPr>
          <w:rFonts w:ascii="Garamond" w:hAnsi="Garamond" w:cs="Arial"/>
          <w:color w:val="auto"/>
          <w:sz w:val="24"/>
          <w:szCs w:val="24"/>
        </w:rPr>
        <w:t>julho</w:t>
      </w:r>
      <w:r w:rsidR="00EC682B" w:rsidRPr="003A1174">
        <w:rPr>
          <w:rFonts w:ascii="Garamond" w:hAnsi="Garamond" w:cs="Arial"/>
          <w:color w:val="auto"/>
          <w:sz w:val="24"/>
          <w:szCs w:val="24"/>
        </w:rPr>
        <w:t xml:space="preserve"> de 1995.</w:t>
      </w:r>
    </w:p>
    <w:p w:rsidR="00EC682B" w:rsidRPr="003A1174" w:rsidRDefault="00B14AA6"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EC682B"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EC682B" w:rsidRPr="003A1174">
        <w:rPr>
          <w:rFonts w:ascii="Garamond" w:hAnsi="Garamond" w:cs="Arial"/>
          <w:color w:val="auto"/>
          <w:sz w:val="24"/>
          <w:szCs w:val="24"/>
        </w:rPr>
        <w:tab/>
      </w:r>
    </w:p>
    <w:p w:rsidR="00EC682B" w:rsidRPr="003A1174" w:rsidRDefault="008A3DA2" w:rsidP="008719D4">
      <w:pPr>
        <w:spacing w:line="240" w:lineRule="auto"/>
        <w:jc w:val="both"/>
        <w:rPr>
          <w:rFonts w:ascii="Garamond" w:hAnsi="Garamond" w:cs="Arial"/>
          <w:sz w:val="24"/>
          <w:szCs w:val="24"/>
        </w:rPr>
      </w:pPr>
      <w:r w:rsidRPr="003A1174">
        <w:rPr>
          <w:rFonts w:ascii="Garamond" w:hAnsi="Garamond" w:cs="Arial"/>
          <w:sz w:val="24"/>
          <w:szCs w:val="24"/>
        </w:rPr>
        <w:t>No</w:t>
      </w:r>
      <w:r w:rsidR="00EC682B" w:rsidRPr="003A1174">
        <w:rPr>
          <w:rFonts w:ascii="Garamond" w:hAnsi="Garamond" w:cs="Arial"/>
          <w:sz w:val="24"/>
          <w:szCs w:val="24"/>
        </w:rPr>
        <w:t xml:space="preserve"> período considerado </w:t>
      </w:r>
      <w:r w:rsidRPr="003A1174">
        <w:rPr>
          <w:rFonts w:ascii="Garamond" w:hAnsi="Garamond" w:cs="Arial"/>
          <w:sz w:val="24"/>
          <w:szCs w:val="24"/>
        </w:rPr>
        <w:t xml:space="preserve">deve </w:t>
      </w:r>
      <w:r w:rsidR="00EC682B" w:rsidRPr="003A1174">
        <w:rPr>
          <w:rFonts w:ascii="Garamond" w:hAnsi="Garamond" w:cs="Arial"/>
          <w:sz w:val="24"/>
          <w:szCs w:val="24"/>
        </w:rPr>
        <w:t>mencionar</w:t>
      </w:r>
      <w:r w:rsidRPr="003A1174">
        <w:rPr>
          <w:rFonts w:ascii="Garamond" w:hAnsi="Garamond" w:cs="Arial"/>
          <w:sz w:val="24"/>
          <w:szCs w:val="24"/>
        </w:rPr>
        <w:t xml:space="preserve">-se </w:t>
      </w:r>
      <w:r w:rsidR="00EC682B" w:rsidRPr="003A1174">
        <w:rPr>
          <w:rFonts w:ascii="Garamond" w:hAnsi="Garamond" w:cs="Arial"/>
          <w:sz w:val="24"/>
          <w:szCs w:val="24"/>
        </w:rPr>
        <w:t xml:space="preserve">a </w:t>
      </w:r>
      <w:r w:rsidR="00D15AFF" w:rsidRPr="003A1174">
        <w:rPr>
          <w:rFonts w:ascii="Garamond" w:hAnsi="Garamond" w:cs="Arial"/>
          <w:sz w:val="24"/>
          <w:szCs w:val="24"/>
        </w:rPr>
        <w:t>Lei</w:t>
      </w:r>
      <w:r w:rsidR="00EC682B" w:rsidRPr="003A1174">
        <w:rPr>
          <w:rFonts w:ascii="Garamond" w:hAnsi="Garamond" w:cs="Arial"/>
          <w:sz w:val="24"/>
          <w:szCs w:val="24"/>
        </w:rPr>
        <w:t xml:space="preserve"> 1719 de 2014, </w:t>
      </w:r>
      <w:r w:rsidRPr="003A1174">
        <w:rPr>
          <w:rFonts w:ascii="Garamond" w:hAnsi="Garamond" w:cs="Arial"/>
          <w:sz w:val="24"/>
          <w:szCs w:val="24"/>
        </w:rPr>
        <w:t xml:space="preserve">através da qual se </w:t>
      </w:r>
      <w:r w:rsidR="00EC682B" w:rsidRPr="003A1174">
        <w:rPr>
          <w:rFonts w:ascii="Garamond" w:hAnsi="Garamond" w:cs="Arial"/>
          <w:sz w:val="24"/>
          <w:szCs w:val="24"/>
        </w:rPr>
        <w:t>modifica</w:t>
      </w:r>
      <w:r w:rsidRPr="003A1174">
        <w:rPr>
          <w:rFonts w:ascii="Garamond" w:hAnsi="Garamond" w:cs="Arial"/>
          <w:sz w:val="24"/>
          <w:szCs w:val="24"/>
        </w:rPr>
        <w:t>m</w:t>
      </w:r>
      <w:r w:rsidR="00EC682B" w:rsidRPr="003A1174">
        <w:rPr>
          <w:rFonts w:ascii="Garamond" w:hAnsi="Garamond" w:cs="Arial"/>
          <w:sz w:val="24"/>
          <w:szCs w:val="24"/>
        </w:rPr>
        <w:t xml:space="preserve"> </w:t>
      </w:r>
      <w:r w:rsidR="006F4B2C" w:rsidRPr="003A1174">
        <w:rPr>
          <w:rFonts w:ascii="Garamond" w:hAnsi="Garamond" w:cs="Arial"/>
          <w:sz w:val="24"/>
          <w:szCs w:val="24"/>
        </w:rPr>
        <w:t>alguns</w:t>
      </w:r>
      <w:r w:rsidR="00EC682B" w:rsidRPr="003A1174">
        <w:rPr>
          <w:rFonts w:ascii="Garamond" w:hAnsi="Garamond" w:cs="Arial"/>
          <w:sz w:val="24"/>
          <w:szCs w:val="24"/>
        </w:rPr>
        <w:t xml:space="preserve"> </w:t>
      </w:r>
      <w:r w:rsidR="009A5087">
        <w:rPr>
          <w:rFonts w:ascii="Garamond" w:hAnsi="Garamond" w:cs="Arial"/>
          <w:sz w:val="24"/>
          <w:szCs w:val="24"/>
        </w:rPr>
        <w:t>a</w:t>
      </w:r>
      <w:r w:rsidR="00383B3F" w:rsidRPr="003A1174">
        <w:rPr>
          <w:rFonts w:ascii="Garamond" w:hAnsi="Garamond" w:cs="Arial"/>
          <w:sz w:val="24"/>
          <w:szCs w:val="24"/>
        </w:rPr>
        <w:t>rt</w:t>
      </w:r>
      <w:r w:rsidR="009A5087">
        <w:rPr>
          <w:rFonts w:ascii="Garamond" w:hAnsi="Garamond" w:cs="Arial"/>
          <w:sz w:val="24"/>
          <w:szCs w:val="24"/>
        </w:rPr>
        <w:t>igo</w:t>
      </w:r>
      <w:r w:rsidR="00880422" w:rsidRPr="003A1174">
        <w:rPr>
          <w:rFonts w:ascii="Garamond" w:hAnsi="Garamond" w:cs="Arial"/>
          <w:sz w:val="24"/>
          <w:szCs w:val="24"/>
        </w:rPr>
        <w:t>s</w:t>
      </w:r>
      <w:r w:rsidR="00EC682B" w:rsidRPr="003A1174">
        <w:rPr>
          <w:rFonts w:ascii="Garamond" w:hAnsi="Garamond" w:cs="Arial"/>
          <w:sz w:val="24"/>
          <w:szCs w:val="24"/>
        </w:rPr>
        <w:t xml:space="preserve"> de textos normativos de</w:t>
      </w:r>
      <w:r w:rsidRPr="003A1174">
        <w:rPr>
          <w:rFonts w:ascii="Garamond" w:hAnsi="Garamond" w:cs="Arial"/>
          <w:sz w:val="24"/>
          <w:szCs w:val="24"/>
        </w:rPr>
        <w:t xml:space="preserve"> 2000 e</w:t>
      </w:r>
      <w:r w:rsidR="00EC682B" w:rsidRPr="003A1174">
        <w:rPr>
          <w:rFonts w:ascii="Garamond" w:hAnsi="Garamond" w:cs="Arial"/>
          <w:sz w:val="24"/>
          <w:szCs w:val="24"/>
        </w:rPr>
        <w:t xml:space="preserve"> 2004, ado</w:t>
      </w:r>
      <w:r w:rsidRPr="003A1174">
        <w:rPr>
          <w:rFonts w:ascii="Garamond" w:hAnsi="Garamond" w:cs="Arial"/>
          <w:sz w:val="24"/>
          <w:szCs w:val="24"/>
        </w:rPr>
        <w:t>tando-</w:t>
      </w:r>
      <w:r w:rsidR="00EC682B" w:rsidRPr="003A1174">
        <w:rPr>
          <w:rFonts w:ascii="Garamond" w:hAnsi="Garamond" w:cs="Arial"/>
          <w:sz w:val="24"/>
          <w:szCs w:val="24"/>
        </w:rPr>
        <w:t xml:space="preserve">se medidas para </w:t>
      </w:r>
      <w:r w:rsidR="00AF192F" w:rsidRPr="003A1174">
        <w:rPr>
          <w:rFonts w:ascii="Garamond" w:hAnsi="Garamond" w:cs="Arial"/>
          <w:sz w:val="24"/>
          <w:szCs w:val="24"/>
        </w:rPr>
        <w:t>garantir</w:t>
      </w:r>
      <w:r w:rsidR="00EC682B" w:rsidRPr="003A1174">
        <w:rPr>
          <w:rFonts w:ascii="Garamond" w:hAnsi="Garamond" w:cs="Arial"/>
          <w:sz w:val="24"/>
          <w:szCs w:val="24"/>
        </w:rPr>
        <w:t xml:space="preserve"> </w:t>
      </w:r>
      <w:r w:rsidRPr="003A1174">
        <w:rPr>
          <w:rFonts w:ascii="Garamond" w:hAnsi="Garamond" w:cs="Arial"/>
          <w:sz w:val="24"/>
          <w:szCs w:val="24"/>
        </w:rPr>
        <w:t>o</w:t>
      </w:r>
      <w:r w:rsidR="00EC682B" w:rsidRPr="003A1174">
        <w:rPr>
          <w:rFonts w:ascii="Garamond" w:hAnsi="Garamond" w:cs="Arial"/>
          <w:sz w:val="24"/>
          <w:szCs w:val="24"/>
        </w:rPr>
        <w:t xml:space="preserve"> </w:t>
      </w:r>
      <w:r w:rsidR="00886D6A" w:rsidRPr="003A1174">
        <w:rPr>
          <w:rFonts w:ascii="Garamond" w:hAnsi="Garamond" w:cs="Arial"/>
          <w:sz w:val="24"/>
          <w:szCs w:val="24"/>
        </w:rPr>
        <w:t>acesso</w:t>
      </w:r>
      <w:r w:rsidR="00EC682B"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00EC682B" w:rsidRPr="003A1174">
        <w:rPr>
          <w:rFonts w:ascii="Garamond" w:hAnsi="Garamond" w:cs="Arial"/>
          <w:sz w:val="24"/>
          <w:szCs w:val="24"/>
        </w:rPr>
        <w:t xml:space="preserve"> das </w:t>
      </w:r>
      <w:r w:rsidR="003F012B" w:rsidRPr="003A1174">
        <w:rPr>
          <w:rFonts w:ascii="Garamond" w:hAnsi="Garamond" w:cs="Arial"/>
          <w:sz w:val="24"/>
          <w:szCs w:val="24"/>
        </w:rPr>
        <w:t>vítima</w:t>
      </w:r>
      <w:r w:rsidR="00EC682B" w:rsidRPr="003A1174">
        <w:rPr>
          <w:rFonts w:ascii="Garamond" w:hAnsi="Garamond" w:cs="Arial"/>
          <w:sz w:val="24"/>
          <w:szCs w:val="24"/>
        </w:rPr>
        <w:t xml:space="preserve">s de </w:t>
      </w:r>
      <w:r w:rsidR="000350B1" w:rsidRPr="003A1174">
        <w:rPr>
          <w:rFonts w:ascii="Garamond" w:hAnsi="Garamond" w:cs="Arial"/>
          <w:sz w:val="24"/>
          <w:szCs w:val="24"/>
        </w:rPr>
        <w:t>violência</w:t>
      </w:r>
      <w:r w:rsidR="00EC682B" w:rsidRPr="003A1174">
        <w:rPr>
          <w:rFonts w:ascii="Garamond" w:hAnsi="Garamond" w:cs="Arial"/>
          <w:sz w:val="24"/>
          <w:szCs w:val="24"/>
        </w:rPr>
        <w:t xml:space="preserve"> sexual, inclui</w:t>
      </w:r>
      <w:r w:rsidRPr="003A1174">
        <w:rPr>
          <w:rFonts w:ascii="Garamond" w:hAnsi="Garamond" w:cs="Arial"/>
          <w:sz w:val="24"/>
          <w:szCs w:val="24"/>
        </w:rPr>
        <w:t xml:space="preserve">ndo a </w:t>
      </w:r>
      <w:r w:rsidR="000350B1" w:rsidRPr="003A1174">
        <w:rPr>
          <w:rFonts w:ascii="Garamond" w:hAnsi="Garamond" w:cs="Arial"/>
          <w:sz w:val="24"/>
          <w:szCs w:val="24"/>
        </w:rPr>
        <w:t>violência</w:t>
      </w:r>
      <w:r w:rsidR="00EC682B" w:rsidRPr="003A1174">
        <w:rPr>
          <w:rFonts w:ascii="Garamond" w:hAnsi="Garamond" w:cs="Arial"/>
          <w:sz w:val="24"/>
          <w:szCs w:val="24"/>
        </w:rPr>
        <w:t xml:space="preserve"> sexual </w:t>
      </w:r>
      <w:r w:rsidRPr="003A1174">
        <w:rPr>
          <w:rFonts w:ascii="Garamond" w:hAnsi="Garamond" w:cs="Arial"/>
          <w:sz w:val="24"/>
          <w:szCs w:val="24"/>
        </w:rPr>
        <w:t xml:space="preserve">por ocasião do </w:t>
      </w:r>
      <w:r w:rsidR="00D15AFF" w:rsidRPr="003A1174">
        <w:rPr>
          <w:rFonts w:ascii="Garamond" w:hAnsi="Garamond" w:cs="Arial"/>
          <w:sz w:val="24"/>
          <w:szCs w:val="24"/>
        </w:rPr>
        <w:t>conflito</w:t>
      </w:r>
      <w:r w:rsidR="00EC682B" w:rsidRPr="003A1174">
        <w:rPr>
          <w:rFonts w:ascii="Garamond" w:hAnsi="Garamond" w:cs="Arial"/>
          <w:sz w:val="24"/>
          <w:szCs w:val="24"/>
        </w:rPr>
        <w:t xml:space="preserve"> armado, </w:t>
      </w:r>
      <w:r w:rsidRPr="003A1174">
        <w:rPr>
          <w:rFonts w:ascii="Garamond" w:hAnsi="Garamond" w:cs="Arial"/>
          <w:sz w:val="24"/>
          <w:szCs w:val="24"/>
        </w:rPr>
        <w:t>e proferindo-</w:t>
      </w:r>
      <w:r w:rsidR="00880422" w:rsidRPr="003A1174">
        <w:rPr>
          <w:rFonts w:ascii="Garamond" w:hAnsi="Garamond" w:cs="Arial"/>
          <w:sz w:val="24"/>
          <w:szCs w:val="24"/>
        </w:rPr>
        <w:t>se</w:t>
      </w:r>
      <w:r w:rsidR="00EC682B" w:rsidRPr="003A1174">
        <w:rPr>
          <w:rFonts w:ascii="Garamond" w:hAnsi="Garamond" w:cs="Arial"/>
          <w:sz w:val="24"/>
          <w:szCs w:val="24"/>
        </w:rPr>
        <w:t xml:space="preserve"> </w:t>
      </w:r>
      <w:r w:rsidR="0017447A" w:rsidRPr="003A1174">
        <w:rPr>
          <w:rFonts w:ascii="Garamond" w:hAnsi="Garamond" w:cs="Arial"/>
          <w:sz w:val="24"/>
          <w:szCs w:val="24"/>
        </w:rPr>
        <w:t>outras</w:t>
      </w:r>
      <w:r w:rsidR="00EC682B" w:rsidRPr="003A1174">
        <w:rPr>
          <w:rFonts w:ascii="Garamond" w:hAnsi="Garamond" w:cs="Arial"/>
          <w:sz w:val="24"/>
          <w:szCs w:val="24"/>
        </w:rPr>
        <w:t xml:space="preserve"> </w:t>
      </w:r>
      <w:r w:rsidR="00B14AA6" w:rsidRPr="003A1174">
        <w:rPr>
          <w:rFonts w:ascii="Garamond" w:hAnsi="Garamond" w:cs="Arial"/>
          <w:sz w:val="24"/>
          <w:szCs w:val="24"/>
        </w:rPr>
        <w:t>disposições</w:t>
      </w:r>
      <w:r w:rsidR="00EC682B" w:rsidRPr="003A1174">
        <w:rPr>
          <w:rFonts w:ascii="Garamond" w:hAnsi="Garamond" w:cs="Arial"/>
          <w:sz w:val="24"/>
          <w:szCs w:val="24"/>
        </w:rPr>
        <w:t>.</w:t>
      </w:r>
      <w:r w:rsidR="00EC682B" w:rsidRPr="003A1174">
        <w:rPr>
          <w:rStyle w:val="Refdenotaalpie"/>
          <w:rFonts w:ascii="Garamond" w:hAnsi="Garamond" w:cs="Arial"/>
          <w:sz w:val="24"/>
          <w:szCs w:val="24"/>
        </w:rPr>
        <w:footnoteReference w:id="59"/>
      </w:r>
    </w:p>
    <w:p w:rsidR="00EC682B" w:rsidRPr="003A1174" w:rsidRDefault="008A3DA2" w:rsidP="008719D4">
      <w:pPr>
        <w:spacing w:line="240" w:lineRule="auto"/>
        <w:jc w:val="both"/>
        <w:rPr>
          <w:rFonts w:ascii="Garamond" w:hAnsi="Garamond" w:cs="Arial"/>
          <w:sz w:val="24"/>
          <w:szCs w:val="24"/>
        </w:rPr>
      </w:pPr>
      <w:r w:rsidRPr="003A1174">
        <w:rPr>
          <w:rFonts w:ascii="Garamond" w:hAnsi="Garamond" w:cs="Arial"/>
          <w:sz w:val="24"/>
          <w:szCs w:val="24"/>
        </w:rPr>
        <w:t>Pronunciou-se</w:t>
      </w:r>
      <w:r w:rsidR="00B817B8">
        <w:rPr>
          <w:rFonts w:ascii="Garamond" w:hAnsi="Garamond" w:cs="Arial"/>
          <w:sz w:val="24"/>
          <w:szCs w:val="24"/>
        </w:rPr>
        <w:t>,</w:t>
      </w:r>
      <w:r w:rsidRPr="003A1174">
        <w:rPr>
          <w:rFonts w:ascii="Garamond" w:hAnsi="Garamond" w:cs="Arial"/>
          <w:sz w:val="24"/>
          <w:szCs w:val="24"/>
        </w:rPr>
        <w:t xml:space="preserve"> </w:t>
      </w:r>
      <w:r w:rsidR="00EC682B" w:rsidRPr="003A1174">
        <w:rPr>
          <w:rFonts w:ascii="Garamond" w:hAnsi="Garamond" w:cs="Arial"/>
          <w:sz w:val="24"/>
          <w:szCs w:val="24"/>
        </w:rPr>
        <w:t>igualmente</w:t>
      </w:r>
      <w:r w:rsidR="00B817B8">
        <w:rPr>
          <w:rFonts w:ascii="Garamond" w:hAnsi="Garamond" w:cs="Arial"/>
          <w:sz w:val="24"/>
          <w:szCs w:val="24"/>
        </w:rPr>
        <w:t>,</w:t>
      </w:r>
      <w:r w:rsidR="00EC682B" w:rsidRPr="003A1174">
        <w:rPr>
          <w:rFonts w:ascii="Garamond" w:hAnsi="Garamond" w:cs="Arial"/>
          <w:sz w:val="24"/>
          <w:szCs w:val="24"/>
        </w:rPr>
        <w:t xml:space="preserve"> </w:t>
      </w:r>
      <w:r w:rsidRPr="003A1174">
        <w:rPr>
          <w:rFonts w:ascii="Garamond" w:hAnsi="Garamond" w:cs="Arial"/>
          <w:sz w:val="24"/>
          <w:szCs w:val="24"/>
        </w:rPr>
        <w:t xml:space="preserve">o </w:t>
      </w:r>
      <w:r w:rsidR="00EC682B" w:rsidRPr="003A1174">
        <w:rPr>
          <w:rFonts w:ascii="Garamond" w:hAnsi="Garamond" w:cs="Arial"/>
          <w:sz w:val="24"/>
          <w:szCs w:val="24"/>
        </w:rPr>
        <w:t>Decreto 1033 de 2014</w:t>
      </w:r>
      <w:r w:rsidR="00B817B8">
        <w:rPr>
          <w:rFonts w:ascii="Garamond" w:hAnsi="Garamond" w:cs="Arial"/>
          <w:sz w:val="24"/>
          <w:szCs w:val="24"/>
        </w:rPr>
        <w:t>,</w:t>
      </w:r>
      <w:r w:rsidR="00EC682B" w:rsidRPr="003A1174">
        <w:rPr>
          <w:rFonts w:ascii="Garamond" w:hAnsi="Garamond" w:cs="Arial"/>
          <w:sz w:val="24"/>
          <w:szCs w:val="24"/>
        </w:rPr>
        <w:t xml:space="preserve"> </w:t>
      </w:r>
      <w:r w:rsidRPr="003A1174">
        <w:rPr>
          <w:rFonts w:ascii="Garamond" w:hAnsi="Garamond" w:cs="Arial"/>
          <w:sz w:val="24"/>
          <w:szCs w:val="24"/>
        </w:rPr>
        <w:t>através do q</w:t>
      </w:r>
      <w:r w:rsidR="00EC682B" w:rsidRPr="003A1174">
        <w:rPr>
          <w:rFonts w:ascii="Garamond" w:hAnsi="Garamond" w:cs="Arial"/>
          <w:sz w:val="24"/>
          <w:szCs w:val="24"/>
        </w:rPr>
        <w:t>ual se fortalece</w:t>
      </w:r>
      <w:r w:rsidRPr="003A1174">
        <w:rPr>
          <w:rFonts w:ascii="Garamond" w:hAnsi="Garamond" w:cs="Arial"/>
          <w:sz w:val="24"/>
          <w:szCs w:val="24"/>
        </w:rPr>
        <w:t xml:space="preserve">m </w:t>
      </w:r>
      <w:r w:rsidR="00EC682B" w:rsidRPr="003A1174">
        <w:rPr>
          <w:rFonts w:ascii="Garamond" w:hAnsi="Garamond" w:cs="Arial"/>
          <w:sz w:val="24"/>
          <w:szCs w:val="24"/>
        </w:rPr>
        <w:t xml:space="preserve">as medidas de </w:t>
      </w:r>
      <w:r w:rsidR="00886D6A" w:rsidRPr="003A1174">
        <w:rPr>
          <w:rFonts w:ascii="Garamond" w:hAnsi="Garamond" w:cs="Arial"/>
          <w:sz w:val="24"/>
          <w:szCs w:val="24"/>
        </w:rPr>
        <w:t>proteção</w:t>
      </w:r>
      <w:r w:rsidR="00EC682B" w:rsidRPr="003A1174">
        <w:rPr>
          <w:rFonts w:ascii="Garamond" w:hAnsi="Garamond" w:cs="Arial"/>
          <w:sz w:val="24"/>
          <w:szCs w:val="24"/>
        </w:rPr>
        <w:t xml:space="preserve"> </w:t>
      </w:r>
      <w:r w:rsidRPr="003A1174">
        <w:rPr>
          <w:rFonts w:ascii="Garamond" w:hAnsi="Garamond" w:cs="Arial"/>
          <w:sz w:val="24"/>
          <w:szCs w:val="24"/>
        </w:rPr>
        <w:t>à i</w:t>
      </w:r>
      <w:r w:rsidR="002D1021" w:rsidRPr="003A1174">
        <w:rPr>
          <w:rFonts w:ascii="Garamond" w:hAnsi="Garamond" w:cs="Arial"/>
          <w:sz w:val="24"/>
          <w:szCs w:val="24"/>
        </w:rPr>
        <w:t>ntegridade</w:t>
      </w:r>
      <w:r w:rsidRPr="003A1174">
        <w:rPr>
          <w:rFonts w:ascii="Garamond" w:hAnsi="Garamond" w:cs="Arial"/>
          <w:sz w:val="24"/>
          <w:szCs w:val="24"/>
        </w:rPr>
        <w:t xml:space="preserve"> d</w:t>
      </w:r>
      <w:r w:rsidR="00EC682B" w:rsidRPr="003A1174">
        <w:rPr>
          <w:rFonts w:ascii="Garamond" w:hAnsi="Garamond" w:cs="Arial"/>
          <w:sz w:val="24"/>
          <w:szCs w:val="24"/>
        </w:rPr>
        <w:t xml:space="preserve">as </w:t>
      </w:r>
      <w:r w:rsidR="003F012B" w:rsidRPr="003A1174">
        <w:rPr>
          <w:rFonts w:ascii="Garamond" w:hAnsi="Garamond" w:cs="Arial"/>
          <w:sz w:val="24"/>
          <w:szCs w:val="24"/>
        </w:rPr>
        <w:t>vítima</w:t>
      </w:r>
      <w:r w:rsidR="00EC682B" w:rsidRPr="003A1174">
        <w:rPr>
          <w:rFonts w:ascii="Garamond" w:hAnsi="Garamond" w:cs="Arial"/>
          <w:sz w:val="24"/>
          <w:szCs w:val="24"/>
        </w:rPr>
        <w:t xml:space="preserve">s de </w:t>
      </w:r>
      <w:r w:rsidRPr="003A1174">
        <w:rPr>
          <w:rFonts w:ascii="Garamond" w:hAnsi="Garamond" w:cs="Arial"/>
          <w:sz w:val="24"/>
          <w:szCs w:val="24"/>
        </w:rPr>
        <w:t>crimes</w:t>
      </w:r>
      <w:r w:rsidR="00EC682B" w:rsidRPr="003A1174">
        <w:rPr>
          <w:rFonts w:ascii="Garamond" w:hAnsi="Garamond" w:cs="Arial"/>
          <w:sz w:val="24"/>
          <w:szCs w:val="24"/>
        </w:rPr>
        <w:t xml:space="preserve"> co</w:t>
      </w:r>
      <w:r w:rsidRPr="003A1174">
        <w:rPr>
          <w:rFonts w:ascii="Garamond" w:hAnsi="Garamond" w:cs="Arial"/>
          <w:sz w:val="24"/>
          <w:szCs w:val="24"/>
        </w:rPr>
        <w:t>m ácido, contempla</w:t>
      </w:r>
      <w:r w:rsidR="00EC682B" w:rsidRPr="003A1174">
        <w:rPr>
          <w:rFonts w:ascii="Garamond" w:hAnsi="Garamond" w:cs="Arial"/>
          <w:sz w:val="24"/>
          <w:szCs w:val="24"/>
        </w:rPr>
        <w:t>ndo</w:t>
      </w:r>
      <w:r w:rsidRPr="003A1174">
        <w:rPr>
          <w:rFonts w:ascii="Garamond" w:hAnsi="Garamond" w:cs="Arial"/>
          <w:sz w:val="24"/>
          <w:szCs w:val="24"/>
        </w:rPr>
        <w:t>-se u</w:t>
      </w:r>
      <w:r w:rsidR="005D52B0" w:rsidRPr="003A1174">
        <w:rPr>
          <w:rFonts w:ascii="Garamond" w:hAnsi="Garamond" w:cs="Arial"/>
          <w:sz w:val="24"/>
          <w:szCs w:val="24"/>
        </w:rPr>
        <w:t>m</w:t>
      </w:r>
      <w:r w:rsidR="00EC682B" w:rsidRPr="003A1174">
        <w:rPr>
          <w:rFonts w:ascii="Garamond" w:hAnsi="Garamond" w:cs="Arial"/>
          <w:sz w:val="24"/>
          <w:szCs w:val="24"/>
        </w:rPr>
        <w:t xml:space="preserve">a </w:t>
      </w:r>
      <w:r w:rsidR="00D96FD0" w:rsidRPr="003A1174">
        <w:rPr>
          <w:rFonts w:ascii="Garamond" w:hAnsi="Garamond" w:cs="Arial"/>
          <w:sz w:val="24"/>
          <w:szCs w:val="24"/>
        </w:rPr>
        <w:t>perspetiva</w:t>
      </w:r>
      <w:r w:rsidR="00EC682B" w:rsidRPr="003A1174">
        <w:rPr>
          <w:rFonts w:ascii="Garamond" w:hAnsi="Garamond" w:cs="Arial"/>
          <w:sz w:val="24"/>
          <w:szCs w:val="24"/>
        </w:rPr>
        <w:t xml:space="preserve"> de género </w:t>
      </w:r>
      <w:r w:rsidRPr="003A1174">
        <w:rPr>
          <w:rFonts w:ascii="Garamond" w:hAnsi="Garamond" w:cs="Arial"/>
          <w:sz w:val="24"/>
          <w:szCs w:val="24"/>
        </w:rPr>
        <w:t>e o subseq</w:t>
      </w:r>
      <w:r w:rsidR="00EC682B" w:rsidRPr="003A1174">
        <w:rPr>
          <w:rFonts w:ascii="Garamond" w:hAnsi="Garamond" w:cs="Arial"/>
          <w:sz w:val="24"/>
          <w:szCs w:val="24"/>
        </w:rPr>
        <w:t xml:space="preserve">uente </w:t>
      </w:r>
      <w:r w:rsidR="001C2738" w:rsidRPr="003A1174">
        <w:rPr>
          <w:rFonts w:ascii="Garamond" w:hAnsi="Garamond" w:cs="Arial"/>
          <w:sz w:val="24"/>
          <w:szCs w:val="24"/>
        </w:rPr>
        <w:t>tratamento</w:t>
      </w:r>
      <w:r w:rsidR="00EC682B" w:rsidRPr="003A1174">
        <w:rPr>
          <w:rFonts w:ascii="Garamond" w:hAnsi="Garamond" w:cs="Arial"/>
          <w:sz w:val="24"/>
          <w:szCs w:val="24"/>
        </w:rPr>
        <w:t xml:space="preserve"> especial </w:t>
      </w:r>
      <w:r w:rsidRPr="003A1174">
        <w:rPr>
          <w:rFonts w:ascii="Garamond" w:hAnsi="Garamond" w:cs="Arial"/>
          <w:sz w:val="24"/>
          <w:szCs w:val="24"/>
        </w:rPr>
        <w:t>a</w:t>
      </w:r>
      <w:r w:rsidR="00EC682B" w:rsidRPr="003A1174">
        <w:rPr>
          <w:rFonts w:ascii="Garamond" w:hAnsi="Garamond" w:cs="Arial"/>
          <w:sz w:val="24"/>
          <w:szCs w:val="24"/>
        </w:rPr>
        <w:t xml:space="preserve"> </w:t>
      </w:r>
      <w:r w:rsidR="00054EE0" w:rsidRPr="003A1174">
        <w:rPr>
          <w:rFonts w:ascii="Garamond" w:hAnsi="Garamond" w:cs="Arial"/>
          <w:sz w:val="24"/>
          <w:szCs w:val="24"/>
        </w:rPr>
        <w:t>mulheres</w:t>
      </w:r>
      <w:r w:rsidR="00EC682B" w:rsidRPr="003A1174">
        <w:rPr>
          <w:rFonts w:ascii="Garamond" w:hAnsi="Garamond" w:cs="Arial"/>
          <w:sz w:val="24"/>
          <w:szCs w:val="24"/>
        </w:rPr>
        <w:t xml:space="preserve"> </w:t>
      </w:r>
      <w:r w:rsidR="003F012B" w:rsidRPr="003A1174">
        <w:rPr>
          <w:rFonts w:ascii="Garamond" w:hAnsi="Garamond" w:cs="Arial"/>
          <w:sz w:val="24"/>
          <w:szCs w:val="24"/>
        </w:rPr>
        <w:t>vítima</w:t>
      </w:r>
      <w:r w:rsidR="00EC682B" w:rsidRPr="003A1174">
        <w:rPr>
          <w:rFonts w:ascii="Garamond" w:hAnsi="Garamond" w:cs="Arial"/>
          <w:sz w:val="24"/>
          <w:szCs w:val="24"/>
        </w:rPr>
        <w:t xml:space="preserve">s de </w:t>
      </w:r>
      <w:r w:rsidR="000350B1" w:rsidRPr="003A1174">
        <w:rPr>
          <w:rFonts w:ascii="Garamond" w:hAnsi="Garamond" w:cs="Arial"/>
          <w:sz w:val="24"/>
          <w:szCs w:val="24"/>
        </w:rPr>
        <w:t>violência</w:t>
      </w:r>
      <w:r w:rsidR="00880422" w:rsidRPr="003A1174">
        <w:rPr>
          <w:rFonts w:ascii="Garamond" w:hAnsi="Garamond" w:cs="Arial"/>
          <w:sz w:val="24"/>
          <w:szCs w:val="24"/>
        </w:rPr>
        <w:t>,</w:t>
      </w:r>
      <w:r w:rsidR="00EC682B" w:rsidRPr="003A1174">
        <w:rPr>
          <w:rFonts w:ascii="Garamond" w:hAnsi="Garamond" w:cs="Arial"/>
          <w:sz w:val="24"/>
          <w:szCs w:val="24"/>
        </w:rPr>
        <w:t xml:space="preserve"> inclui</w:t>
      </w:r>
      <w:r w:rsidRPr="003A1174">
        <w:rPr>
          <w:rFonts w:ascii="Garamond" w:hAnsi="Garamond" w:cs="Arial"/>
          <w:sz w:val="24"/>
          <w:szCs w:val="24"/>
        </w:rPr>
        <w:t xml:space="preserve">ndo a do </w:t>
      </w:r>
      <w:r w:rsidR="00EC682B" w:rsidRPr="003A1174">
        <w:rPr>
          <w:rFonts w:ascii="Garamond" w:hAnsi="Garamond" w:cs="Arial"/>
          <w:sz w:val="24"/>
          <w:szCs w:val="24"/>
        </w:rPr>
        <w:t>tipo doméstico.</w:t>
      </w:r>
      <w:r w:rsidR="00EC682B" w:rsidRPr="003A1174">
        <w:rPr>
          <w:rStyle w:val="Refdenotaalpie"/>
          <w:rFonts w:ascii="Garamond" w:hAnsi="Garamond" w:cs="Arial"/>
          <w:sz w:val="24"/>
          <w:szCs w:val="24"/>
        </w:rPr>
        <w:footnoteReference w:id="60"/>
      </w:r>
    </w:p>
    <w:p w:rsidR="00EC682B" w:rsidRPr="003A1174" w:rsidRDefault="00D96FD0"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8A3DA2" w:rsidRPr="003A1174">
        <w:rPr>
          <w:rFonts w:ascii="Garamond" w:hAnsi="Garamond" w:cs="Arial"/>
          <w:color w:val="auto"/>
          <w:sz w:val="24"/>
          <w:szCs w:val="24"/>
        </w:rPr>
        <w:t xml:space="preserve"> d</w:t>
      </w:r>
      <w:r w:rsidR="00EC682B" w:rsidRPr="003A1174">
        <w:rPr>
          <w:rFonts w:ascii="Garamond" w:hAnsi="Garamond" w:cs="Arial"/>
          <w:color w:val="auto"/>
          <w:sz w:val="24"/>
          <w:szCs w:val="24"/>
        </w:rPr>
        <w:t>a</w:t>
      </w:r>
      <w:r w:rsidR="008A3DA2" w:rsidRPr="003A1174">
        <w:rPr>
          <w:rFonts w:ascii="Garamond" w:hAnsi="Garamond" w:cs="Arial"/>
          <w:color w:val="auto"/>
          <w:sz w:val="24"/>
          <w:szCs w:val="24"/>
        </w:rPr>
        <w:t>s</w:t>
      </w:r>
      <w:r w:rsidR="00EC682B"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EC682B" w:rsidRPr="003A1174">
        <w:rPr>
          <w:rFonts w:ascii="Garamond" w:hAnsi="Garamond" w:cs="Arial"/>
          <w:color w:val="auto"/>
          <w:sz w:val="24"/>
          <w:szCs w:val="24"/>
        </w:rPr>
        <w:t xml:space="preserve"> </w:t>
      </w:r>
    </w:p>
    <w:p w:rsidR="00EC682B" w:rsidRPr="009A5087" w:rsidRDefault="00EC682B" w:rsidP="008719D4">
      <w:pPr>
        <w:spacing w:line="240" w:lineRule="auto"/>
        <w:jc w:val="both"/>
        <w:rPr>
          <w:rFonts w:ascii="Garamond" w:hAnsi="Garamond" w:cs="Arial"/>
          <w:sz w:val="24"/>
          <w:szCs w:val="24"/>
        </w:rPr>
      </w:pPr>
      <w:r w:rsidRPr="009A5087">
        <w:rPr>
          <w:rFonts w:ascii="Garamond" w:hAnsi="Garamond" w:cs="Arial"/>
          <w:sz w:val="24"/>
          <w:szCs w:val="24"/>
        </w:rPr>
        <w:t>E</w:t>
      </w:r>
      <w:r w:rsidR="008A3DA2" w:rsidRPr="009A5087">
        <w:rPr>
          <w:rFonts w:ascii="Garamond" w:hAnsi="Garamond" w:cs="Arial"/>
          <w:sz w:val="24"/>
          <w:szCs w:val="24"/>
        </w:rPr>
        <w:t>m</w:t>
      </w:r>
      <w:r w:rsidRPr="009A5087">
        <w:rPr>
          <w:rFonts w:ascii="Garamond" w:hAnsi="Garamond" w:cs="Arial"/>
          <w:sz w:val="24"/>
          <w:szCs w:val="24"/>
        </w:rPr>
        <w:t xml:space="preserve"> </w:t>
      </w:r>
      <w:r w:rsidR="00731B19" w:rsidRPr="009A5087">
        <w:rPr>
          <w:rFonts w:ascii="Garamond" w:hAnsi="Garamond" w:cs="Arial"/>
          <w:sz w:val="24"/>
          <w:szCs w:val="24"/>
        </w:rPr>
        <w:t>termos</w:t>
      </w:r>
      <w:r w:rsidRPr="009A5087">
        <w:rPr>
          <w:rFonts w:ascii="Garamond" w:hAnsi="Garamond" w:cs="Arial"/>
          <w:sz w:val="24"/>
          <w:szCs w:val="24"/>
        </w:rPr>
        <w:t xml:space="preserve"> de </w:t>
      </w:r>
      <w:r w:rsidR="00D96FD0" w:rsidRPr="009A5087">
        <w:rPr>
          <w:rFonts w:ascii="Garamond" w:hAnsi="Garamond" w:cs="Arial"/>
          <w:sz w:val="24"/>
          <w:szCs w:val="24"/>
        </w:rPr>
        <w:t>cumprimento</w:t>
      </w:r>
      <w:r w:rsidR="008A3DA2" w:rsidRPr="009A5087">
        <w:rPr>
          <w:rFonts w:ascii="Garamond" w:hAnsi="Garamond" w:cs="Arial"/>
          <w:sz w:val="24"/>
          <w:szCs w:val="24"/>
        </w:rPr>
        <w:t xml:space="preserve"> das normas e</w:t>
      </w:r>
      <w:r w:rsidRPr="009A5087">
        <w:rPr>
          <w:rFonts w:ascii="Garamond" w:hAnsi="Garamond" w:cs="Arial"/>
          <w:sz w:val="24"/>
          <w:szCs w:val="24"/>
        </w:rPr>
        <w:t xml:space="preserve"> </w:t>
      </w:r>
      <w:r w:rsidR="00B14AA6" w:rsidRPr="009A5087">
        <w:rPr>
          <w:rFonts w:ascii="Garamond" w:hAnsi="Garamond" w:cs="Arial"/>
          <w:sz w:val="24"/>
          <w:szCs w:val="24"/>
        </w:rPr>
        <w:t>disposições</w:t>
      </w:r>
      <w:r w:rsidRPr="009A5087">
        <w:rPr>
          <w:rFonts w:ascii="Garamond" w:hAnsi="Garamond" w:cs="Arial"/>
          <w:sz w:val="24"/>
          <w:szCs w:val="24"/>
        </w:rPr>
        <w:t xml:space="preserve"> citadas</w:t>
      </w:r>
      <w:r w:rsidR="00880422" w:rsidRPr="009A5087">
        <w:rPr>
          <w:rFonts w:ascii="Garamond" w:hAnsi="Garamond" w:cs="Arial"/>
          <w:sz w:val="24"/>
          <w:szCs w:val="24"/>
        </w:rPr>
        <w:t>, as</w:t>
      </w:r>
      <w:r w:rsidR="008A3DA2" w:rsidRPr="009A5087">
        <w:rPr>
          <w:rFonts w:ascii="Garamond" w:hAnsi="Garamond" w:cs="Arial"/>
          <w:sz w:val="24"/>
          <w:szCs w:val="24"/>
        </w:rPr>
        <w:t xml:space="preserve">sim </w:t>
      </w:r>
      <w:r w:rsidR="00880422" w:rsidRPr="009A5087">
        <w:rPr>
          <w:rFonts w:ascii="Garamond" w:hAnsi="Garamond" w:cs="Arial"/>
          <w:sz w:val="24"/>
          <w:szCs w:val="24"/>
        </w:rPr>
        <w:t>como d</w:t>
      </w:r>
      <w:r w:rsidRPr="009A5087">
        <w:rPr>
          <w:rFonts w:ascii="Garamond" w:hAnsi="Garamond" w:cs="Arial"/>
          <w:sz w:val="24"/>
          <w:szCs w:val="24"/>
        </w:rPr>
        <w:t xml:space="preserve">as </w:t>
      </w:r>
      <w:r w:rsidR="008A3DA2" w:rsidRPr="009A5087">
        <w:rPr>
          <w:rFonts w:ascii="Garamond" w:hAnsi="Garamond" w:cs="Arial"/>
          <w:sz w:val="24"/>
          <w:szCs w:val="24"/>
        </w:rPr>
        <w:t>restantes v</w:t>
      </w:r>
      <w:r w:rsidRPr="009A5087">
        <w:rPr>
          <w:rFonts w:ascii="Garamond" w:hAnsi="Garamond" w:cs="Arial"/>
          <w:sz w:val="24"/>
          <w:szCs w:val="24"/>
        </w:rPr>
        <w:t>igentes</w:t>
      </w:r>
      <w:r w:rsidR="009A5087" w:rsidRPr="009A5087">
        <w:rPr>
          <w:rFonts w:ascii="Garamond" w:hAnsi="Garamond" w:cs="Arial"/>
          <w:sz w:val="24"/>
          <w:szCs w:val="24"/>
        </w:rPr>
        <w:t>,</w:t>
      </w:r>
      <w:r w:rsidRPr="009A5087">
        <w:rPr>
          <w:rFonts w:ascii="Garamond" w:hAnsi="Garamond" w:cs="Arial"/>
          <w:sz w:val="24"/>
          <w:szCs w:val="24"/>
        </w:rPr>
        <w:t xml:space="preserve"> </w:t>
      </w:r>
      <w:r w:rsidR="006506C6" w:rsidRPr="009A5087">
        <w:rPr>
          <w:rFonts w:ascii="Garamond" w:hAnsi="Garamond" w:cs="Arial"/>
          <w:sz w:val="24"/>
          <w:szCs w:val="24"/>
        </w:rPr>
        <w:t>favoráveis</w:t>
      </w:r>
      <w:r w:rsidRPr="009A5087">
        <w:rPr>
          <w:rFonts w:ascii="Garamond" w:hAnsi="Garamond" w:cs="Arial"/>
          <w:sz w:val="24"/>
          <w:szCs w:val="24"/>
        </w:rPr>
        <w:t xml:space="preserve"> aos </w:t>
      </w:r>
      <w:r w:rsidR="00886D6A" w:rsidRPr="009A5087">
        <w:rPr>
          <w:rFonts w:ascii="Garamond" w:hAnsi="Garamond" w:cs="Arial"/>
          <w:sz w:val="24"/>
          <w:szCs w:val="24"/>
        </w:rPr>
        <w:t>direito</w:t>
      </w:r>
      <w:r w:rsidRPr="009A5087">
        <w:rPr>
          <w:rFonts w:ascii="Garamond" w:hAnsi="Garamond" w:cs="Arial"/>
          <w:sz w:val="24"/>
          <w:szCs w:val="24"/>
        </w:rPr>
        <w:t xml:space="preserve">s das </w:t>
      </w:r>
      <w:r w:rsidR="00054EE0" w:rsidRPr="009A5087">
        <w:rPr>
          <w:rFonts w:ascii="Garamond" w:hAnsi="Garamond" w:cs="Arial"/>
          <w:sz w:val="24"/>
          <w:szCs w:val="24"/>
        </w:rPr>
        <w:t>mulheres</w:t>
      </w:r>
      <w:r w:rsidRPr="009A5087">
        <w:rPr>
          <w:rFonts w:ascii="Garamond" w:hAnsi="Garamond" w:cs="Arial"/>
          <w:sz w:val="24"/>
          <w:szCs w:val="24"/>
        </w:rPr>
        <w:t>, pod</w:t>
      </w:r>
      <w:r w:rsidR="008A3DA2" w:rsidRPr="009A5087">
        <w:rPr>
          <w:rFonts w:ascii="Garamond" w:hAnsi="Garamond" w:cs="Arial"/>
          <w:sz w:val="24"/>
          <w:szCs w:val="24"/>
        </w:rPr>
        <w:t xml:space="preserve">er-se-ia </w:t>
      </w:r>
      <w:r w:rsidR="004C71E0" w:rsidRPr="009A5087">
        <w:rPr>
          <w:rFonts w:ascii="Garamond" w:hAnsi="Garamond" w:cs="Arial"/>
          <w:sz w:val="24"/>
          <w:szCs w:val="24"/>
        </w:rPr>
        <w:t>falar</w:t>
      </w:r>
      <w:r w:rsidRPr="009A5087">
        <w:rPr>
          <w:rFonts w:ascii="Garamond" w:hAnsi="Garamond" w:cs="Arial"/>
          <w:sz w:val="24"/>
          <w:szCs w:val="24"/>
        </w:rPr>
        <w:t xml:space="preserve"> de u</w:t>
      </w:r>
      <w:r w:rsidR="008A3DA2" w:rsidRPr="009A5087">
        <w:rPr>
          <w:rFonts w:ascii="Garamond" w:hAnsi="Garamond" w:cs="Arial"/>
          <w:sz w:val="24"/>
          <w:szCs w:val="24"/>
        </w:rPr>
        <w:t>m</w:t>
      </w:r>
      <w:r w:rsidRPr="009A5087">
        <w:rPr>
          <w:rFonts w:ascii="Garamond" w:hAnsi="Garamond" w:cs="Arial"/>
          <w:sz w:val="24"/>
          <w:szCs w:val="24"/>
        </w:rPr>
        <w:t xml:space="preserve"> </w:t>
      </w:r>
      <w:r w:rsidR="00D96FD0" w:rsidRPr="009A5087">
        <w:rPr>
          <w:rFonts w:ascii="Garamond" w:hAnsi="Garamond" w:cs="Arial"/>
          <w:sz w:val="24"/>
          <w:szCs w:val="24"/>
        </w:rPr>
        <w:t>cumprimento</w:t>
      </w:r>
      <w:r w:rsidRPr="009A5087">
        <w:rPr>
          <w:rFonts w:ascii="Garamond" w:hAnsi="Garamond" w:cs="Arial"/>
          <w:sz w:val="24"/>
          <w:szCs w:val="24"/>
        </w:rPr>
        <w:t xml:space="preserve"> parcial.  </w:t>
      </w:r>
    </w:p>
    <w:p w:rsidR="00EC682B" w:rsidRPr="003A1174" w:rsidRDefault="008A3DA2" w:rsidP="008A3DA2">
      <w:pPr>
        <w:spacing w:line="240" w:lineRule="auto"/>
        <w:jc w:val="both"/>
        <w:rPr>
          <w:rFonts w:ascii="Garamond" w:hAnsi="Garamond" w:cs="Arial"/>
          <w:sz w:val="24"/>
          <w:szCs w:val="24"/>
        </w:rPr>
      </w:pPr>
      <w:r w:rsidRPr="009A5087">
        <w:rPr>
          <w:rFonts w:ascii="Garamond" w:hAnsi="Garamond" w:cs="Arial"/>
          <w:sz w:val="24"/>
          <w:szCs w:val="24"/>
        </w:rPr>
        <w:t xml:space="preserve">No </w:t>
      </w:r>
      <w:r w:rsidR="00EC682B" w:rsidRPr="009A5087">
        <w:rPr>
          <w:rFonts w:ascii="Garamond" w:hAnsi="Garamond" w:cs="Arial"/>
          <w:sz w:val="24"/>
          <w:szCs w:val="24"/>
        </w:rPr>
        <w:t>tema d</w:t>
      </w:r>
      <w:r w:rsidRPr="009A5087">
        <w:rPr>
          <w:rFonts w:ascii="Garamond" w:hAnsi="Garamond" w:cs="Arial"/>
          <w:sz w:val="24"/>
          <w:szCs w:val="24"/>
        </w:rPr>
        <w:t>o</w:t>
      </w:r>
      <w:r w:rsidR="00EC682B" w:rsidRPr="009A5087">
        <w:rPr>
          <w:rFonts w:ascii="Garamond" w:hAnsi="Garamond" w:cs="Arial"/>
          <w:sz w:val="24"/>
          <w:szCs w:val="24"/>
        </w:rPr>
        <w:t xml:space="preserve"> </w:t>
      </w:r>
      <w:r w:rsidR="00886D6A" w:rsidRPr="009A5087">
        <w:rPr>
          <w:rFonts w:ascii="Garamond" w:hAnsi="Garamond" w:cs="Arial"/>
          <w:sz w:val="24"/>
          <w:szCs w:val="24"/>
        </w:rPr>
        <w:t>acesso</w:t>
      </w:r>
      <w:r w:rsidR="00EC682B" w:rsidRPr="009A5087">
        <w:rPr>
          <w:rFonts w:ascii="Garamond" w:hAnsi="Garamond" w:cs="Arial"/>
          <w:sz w:val="24"/>
          <w:szCs w:val="24"/>
        </w:rPr>
        <w:t xml:space="preserve"> </w:t>
      </w:r>
      <w:r w:rsidR="009A0CC2" w:rsidRPr="009A5087">
        <w:rPr>
          <w:rFonts w:ascii="Garamond" w:hAnsi="Garamond" w:cs="Arial"/>
          <w:sz w:val="24"/>
          <w:szCs w:val="24"/>
        </w:rPr>
        <w:t xml:space="preserve">à </w:t>
      </w:r>
      <w:r w:rsidR="00FC1F7F" w:rsidRPr="009A5087">
        <w:rPr>
          <w:rFonts w:ascii="Garamond" w:hAnsi="Garamond" w:cs="Arial"/>
          <w:sz w:val="24"/>
          <w:szCs w:val="24"/>
        </w:rPr>
        <w:t>justiça</w:t>
      </w:r>
      <w:r w:rsidR="00EC682B" w:rsidRPr="009A5087">
        <w:rPr>
          <w:rFonts w:ascii="Garamond" w:hAnsi="Garamond" w:cs="Arial"/>
          <w:sz w:val="24"/>
          <w:szCs w:val="24"/>
        </w:rPr>
        <w:t xml:space="preserve"> de </w:t>
      </w:r>
      <w:r w:rsidR="00054EE0" w:rsidRPr="009A5087">
        <w:rPr>
          <w:rFonts w:ascii="Garamond" w:hAnsi="Garamond" w:cs="Arial"/>
          <w:sz w:val="24"/>
          <w:szCs w:val="24"/>
        </w:rPr>
        <w:t>mulheres</w:t>
      </w:r>
      <w:r w:rsidR="00EC682B" w:rsidRPr="009A5087">
        <w:rPr>
          <w:rFonts w:ascii="Garamond" w:hAnsi="Garamond" w:cs="Arial"/>
          <w:sz w:val="24"/>
          <w:szCs w:val="24"/>
        </w:rPr>
        <w:t xml:space="preserve"> </w:t>
      </w:r>
      <w:r w:rsidR="003F012B" w:rsidRPr="009A5087">
        <w:rPr>
          <w:rFonts w:ascii="Garamond" w:hAnsi="Garamond" w:cs="Arial"/>
          <w:sz w:val="24"/>
          <w:szCs w:val="24"/>
        </w:rPr>
        <w:t>vítima</w:t>
      </w:r>
      <w:r w:rsidR="00EC682B" w:rsidRPr="009A5087">
        <w:rPr>
          <w:rFonts w:ascii="Garamond" w:hAnsi="Garamond" w:cs="Arial"/>
          <w:sz w:val="24"/>
          <w:szCs w:val="24"/>
        </w:rPr>
        <w:t xml:space="preserve">s, </w:t>
      </w:r>
      <w:r w:rsidR="009A0CC2" w:rsidRPr="009A5087">
        <w:rPr>
          <w:rFonts w:ascii="Garamond" w:hAnsi="Garamond" w:cs="Arial"/>
          <w:sz w:val="24"/>
          <w:szCs w:val="24"/>
        </w:rPr>
        <w:t xml:space="preserve">apesar de se terem feito </w:t>
      </w:r>
      <w:r w:rsidR="00C30647" w:rsidRPr="009A5087">
        <w:rPr>
          <w:rFonts w:ascii="Garamond" w:hAnsi="Garamond" w:cs="Arial"/>
          <w:sz w:val="24"/>
          <w:szCs w:val="24"/>
        </w:rPr>
        <w:t>esforço</w:t>
      </w:r>
      <w:r w:rsidR="00EC682B" w:rsidRPr="009A5087">
        <w:rPr>
          <w:rFonts w:ascii="Garamond" w:hAnsi="Garamond" w:cs="Arial"/>
          <w:sz w:val="24"/>
          <w:szCs w:val="24"/>
        </w:rPr>
        <w:t xml:space="preserve">s para </w:t>
      </w:r>
      <w:r w:rsidR="00FB4A5E" w:rsidRPr="009A5087">
        <w:rPr>
          <w:rFonts w:ascii="Garamond" w:hAnsi="Garamond" w:cs="Arial"/>
          <w:sz w:val="24"/>
          <w:szCs w:val="24"/>
        </w:rPr>
        <w:t>alcan</w:t>
      </w:r>
      <w:r w:rsidR="009A0CC2" w:rsidRPr="009A5087">
        <w:rPr>
          <w:rFonts w:ascii="Garamond" w:hAnsi="Garamond" w:cs="Arial"/>
          <w:sz w:val="24"/>
          <w:szCs w:val="24"/>
        </w:rPr>
        <w:t>ç</w:t>
      </w:r>
      <w:r w:rsidR="00FB4A5E" w:rsidRPr="009A5087">
        <w:rPr>
          <w:rFonts w:ascii="Garamond" w:hAnsi="Garamond" w:cs="Arial"/>
          <w:sz w:val="24"/>
          <w:szCs w:val="24"/>
        </w:rPr>
        <w:t xml:space="preserve">ar </w:t>
      </w:r>
      <w:r w:rsidR="009A0CC2" w:rsidRPr="009A5087">
        <w:rPr>
          <w:rFonts w:ascii="Garamond" w:hAnsi="Garamond" w:cs="Arial"/>
          <w:sz w:val="24"/>
          <w:szCs w:val="24"/>
        </w:rPr>
        <w:t xml:space="preserve">a </w:t>
      </w:r>
      <w:r w:rsidR="00EC682B" w:rsidRPr="009A5087">
        <w:rPr>
          <w:rFonts w:ascii="Garamond" w:hAnsi="Garamond" w:cs="Arial"/>
          <w:sz w:val="24"/>
          <w:szCs w:val="24"/>
        </w:rPr>
        <w:t>su</w:t>
      </w:r>
      <w:r w:rsidR="009A0CC2" w:rsidRPr="009A5087">
        <w:rPr>
          <w:rFonts w:ascii="Garamond" w:hAnsi="Garamond" w:cs="Arial"/>
          <w:sz w:val="24"/>
          <w:szCs w:val="24"/>
        </w:rPr>
        <w:t>a</w:t>
      </w:r>
      <w:r w:rsidR="00EC682B" w:rsidRPr="009A5087">
        <w:rPr>
          <w:rFonts w:ascii="Garamond" w:hAnsi="Garamond" w:cs="Arial"/>
          <w:sz w:val="24"/>
          <w:szCs w:val="24"/>
        </w:rPr>
        <w:t xml:space="preserve"> efetividad</w:t>
      </w:r>
      <w:r w:rsidR="009A0CC2" w:rsidRPr="009A5087">
        <w:rPr>
          <w:rFonts w:ascii="Garamond" w:hAnsi="Garamond" w:cs="Arial"/>
          <w:sz w:val="24"/>
          <w:szCs w:val="24"/>
        </w:rPr>
        <w:t>e</w:t>
      </w:r>
      <w:r w:rsidR="00B817B8" w:rsidRPr="009A5087">
        <w:rPr>
          <w:rFonts w:ascii="Garamond" w:hAnsi="Garamond" w:cs="Arial"/>
          <w:sz w:val="24"/>
          <w:szCs w:val="24"/>
        </w:rPr>
        <w:t>,</w:t>
      </w:r>
      <w:r w:rsidR="00EC682B" w:rsidRPr="009A5087">
        <w:rPr>
          <w:rFonts w:ascii="Garamond" w:hAnsi="Garamond" w:cs="Arial"/>
          <w:sz w:val="24"/>
          <w:szCs w:val="24"/>
        </w:rPr>
        <w:t xml:space="preserve"> </w:t>
      </w:r>
      <w:r w:rsidR="00FB4A5E" w:rsidRPr="009A5087">
        <w:rPr>
          <w:rFonts w:ascii="Garamond" w:hAnsi="Garamond" w:cs="Arial"/>
          <w:sz w:val="24"/>
          <w:szCs w:val="24"/>
        </w:rPr>
        <w:t>ta</w:t>
      </w:r>
      <w:r w:rsidR="009A0CC2" w:rsidRPr="009A5087">
        <w:rPr>
          <w:rFonts w:ascii="Garamond" w:hAnsi="Garamond" w:cs="Arial"/>
          <w:sz w:val="24"/>
          <w:szCs w:val="24"/>
        </w:rPr>
        <w:t>i</w:t>
      </w:r>
      <w:r w:rsidR="00FB4A5E" w:rsidRPr="009A5087">
        <w:rPr>
          <w:rFonts w:ascii="Garamond" w:hAnsi="Garamond" w:cs="Arial"/>
          <w:sz w:val="24"/>
          <w:szCs w:val="24"/>
        </w:rPr>
        <w:t xml:space="preserve">s </w:t>
      </w:r>
      <w:r w:rsidR="00EC682B" w:rsidRPr="009A5087">
        <w:rPr>
          <w:rFonts w:ascii="Garamond" w:hAnsi="Garamond" w:cs="Arial"/>
          <w:sz w:val="24"/>
          <w:szCs w:val="24"/>
        </w:rPr>
        <w:t xml:space="preserve">como </w:t>
      </w:r>
      <w:r w:rsidR="009A0CC2" w:rsidRPr="009A5087">
        <w:rPr>
          <w:rFonts w:ascii="Garamond" w:hAnsi="Garamond" w:cs="Arial"/>
          <w:sz w:val="24"/>
          <w:szCs w:val="24"/>
        </w:rPr>
        <w:t xml:space="preserve">a nomeação de </w:t>
      </w:r>
      <w:r w:rsidR="00EC682B" w:rsidRPr="009A5087">
        <w:rPr>
          <w:rFonts w:ascii="Garamond" w:hAnsi="Garamond" w:cs="Arial"/>
          <w:sz w:val="24"/>
          <w:szCs w:val="24"/>
        </w:rPr>
        <w:t xml:space="preserve">Representantes </w:t>
      </w:r>
      <w:r w:rsidR="002D1021" w:rsidRPr="009A5087">
        <w:rPr>
          <w:rFonts w:ascii="Garamond" w:hAnsi="Garamond" w:cs="Arial"/>
          <w:sz w:val="24"/>
          <w:szCs w:val="24"/>
        </w:rPr>
        <w:t>Judiciais</w:t>
      </w:r>
      <w:r w:rsidR="00EC682B" w:rsidRPr="009A5087">
        <w:rPr>
          <w:rFonts w:ascii="Garamond" w:hAnsi="Garamond" w:cs="Arial"/>
          <w:sz w:val="24"/>
          <w:szCs w:val="24"/>
        </w:rPr>
        <w:t xml:space="preserve"> para </w:t>
      </w:r>
      <w:r w:rsidR="003F012B" w:rsidRPr="009A5087">
        <w:rPr>
          <w:rFonts w:ascii="Garamond" w:hAnsi="Garamond" w:cs="Arial"/>
          <w:sz w:val="24"/>
          <w:szCs w:val="24"/>
        </w:rPr>
        <w:t>Vítima</w:t>
      </w:r>
      <w:r w:rsidR="00EC682B" w:rsidRPr="009A5087">
        <w:rPr>
          <w:rFonts w:ascii="Garamond" w:hAnsi="Garamond" w:cs="Arial"/>
          <w:sz w:val="24"/>
          <w:szCs w:val="24"/>
        </w:rPr>
        <w:t xml:space="preserve">s </w:t>
      </w:r>
      <w:r w:rsidR="00054EE0" w:rsidRPr="009A5087">
        <w:rPr>
          <w:rFonts w:ascii="Garamond" w:hAnsi="Garamond" w:cs="Arial"/>
          <w:sz w:val="24"/>
          <w:szCs w:val="24"/>
        </w:rPr>
        <w:t>mulheres</w:t>
      </w:r>
      <w:r w:rsidR="00EC682B" w:rsidRPr="009A5087">
        <w:rPr>
          <w:rFonts w:ascii="Garamond" w:hAnsi="Garamond" w:cs="Arial"/>
          <w:sz w:val="24"/>
          <w:szCs w:val="24"/>
        </w:rPr>
        <w:t xml:space="preserve"> e</w:t>
      </w:r>
      <w:r w:rsidR="009A0CC2" w:rsidRPr="009A5087">
        <w:rPr>
          <w:rFonts w:ascii="Garamond" w:hAnsi="Garamond" w:cs="Arial"/>
          <w:sz w:val="24"/>
          <w:szCs w:val="24"/>
        </w:rPr>
        <w:t>m</w:t>
      </w:r>
      <w:r w:rsidR="00EC682B" w:rsidRPr="009A5087">
        <w:rPr>
          <w:rFonts w:ascii="Garamond" w:hAnsi="Garamond" w:cs="Arial"/>
          <w:sz w:val="24"/>
          <w:szCs w:val="24"/>
        </w:rPr>
        <w:t xml:space="preserve"> </w:t>
      </w:r>
      <w:r w:rsidR="002D1021" w:rsidRPr="009A5087">
        <w:rPr>
          <w:rFonts w:ascii="Garamond" w:hAnsi="Garamond" w:cs="Arial"/>
          <w:sz w:val="24"/>
          <w:szCs w:val="24"/>
        </w:rPr>
        <w:t>processo</w:t>
      </w:r>
      <w:r w:rsidR="009A0CC2" w:rsidRPr="009A5087">
        <w:rPr>
          <w:rFonts w:ascii="Garamond" w:hAnsi="Garamond" w:cs="Arial"/>
          <w:sz w:val="24"/>
          <w:szCs w:val="24"/>
        </w:rPr>
        <w:t>s</w:t>
      </w:r>
      <w:r w:rsidR="00EC682B" w:rsidRPr="009A5087">
        <w:rPr>
          <w:rFonts w:ascii="Garamond" w:hAnsi="Garamond" w:cs="Arial"/>
          <w:sz w:val="24"/>
          <w:szCs w:val="24"/>
        </w:rPr>
        <w:t xml:space="preserve"> </w:t>
      </w:r>
      <w:r w:rsidR="009A0CC2" w:rsidRPr="009A5087">
        <w:rPr>
          <w:rFonts w:ascii="Garamond" w:hAnsi="Garamond" w:cs="Arial"/>
          <w:sz w:val="24"/>
          <w:szCs w:val="24"/>
        </w:rPr>
        <w:t>penais</w:t>
      </w:r>
      <w:r w:rsidR="00EC682B" w:rsidRPr="009A5087">
        <w:rPr>
          <w:rFonts w:ascii="Garamond" w:hAnsi="Garamond" w:cs="Arial"/>
          <w:sz w:val="24"/>
          <w:szCs w:val="24"/>
        </w:rPr>
        <w:t xml:space="preserve"> por parte da </w:t>
      </w:r>
      <w:r w:rsidR="00C04CA4" w:rsidRPr="009A5087">
        <w:rPr>
          <w:rFonts w:ascii="Garamond" w:hAnsi="Garamond" w:cs="Arial"/>
          <w:sz w:val="24"/>
          <w:szCs w:val="24"/>
        </w:rPr>
        <w:t>Provedoria de Justiça</w:t>
      </w:r>
      <w:r w:rsidR="009A0CC2" w:rsidRPr="009A5087">
        <w:rPr>
          <w:rFonts w:ascii="Garamond" w:hAnsi="Garamond" w:cs="Arial"/>
          <w:sz w:val="24"/>
          <w:szCs w:val="24"/>
        </w:rPr>
        <w:t xml:space="preserve"> da</w:t>
      </w:r>
      <w:r w:rsidR="00EC682B" w:rsidRPr="009A5087">
        <w:rPr>
          <w:rFonts w:ascii="Garamond" w:hAnsi="Garamond" w:cs="Arial"/>
          <w:sz w:val="24"/>
          <w:szCs w:val="24"/>
        </w:rPr>
        <w:t xml:space="preserve"> </w:t>
      </w:r>
      <w:r w:rsidR="0017447A" w:rsidRPr="009A5087">
        <w:rPr>
          <w:rFonts w:ascii="Garamond" w:hAnsi="Garamond" w:cs="Arial"/>
          <w:sz w:val="24"/>
          <w:szCs w:val="24"/>
        </w:rPr>
        <w:t>Colômbia</w:t>
      </w:r>
      <w:r w:rsidR="00EC682B" w:rsidRPr="009A5087">
        <w:rPr>
          <w:rFonts w:ascii="Garamond" w:hAnsi="Garamond" w:cs="Arial"/>
          <w:sz w:val="24"/>
          <w:szCs w:val="24"/>
        </w:rPr>
        <w:t>, que d</w:t>
      </w:r>
      <w:r w:rsidR="009A0CC2" w:rsidRPr="009A5087">
        <w:rPr>
          <w:rFonts w:ascii="Garamond" w:hAnsi="Garamond" w:cs="Arial"/>
          <w:sz w:val="24"/>
          <w:szCs w:val="24"/>
        </w:rPr>
        <w:t xml:space="preserve">á </w:t>
      </w:r>
      <w:r w:rsidR="00D96FD0" w:rsidRPr="009A5087">
        <w:rPr>
          <w:rFonts w:ascii="Garamond" w:hAnsi="Garamond" w:cs="Arial"/>
          <w:sz w:val="24"/>
          <w:szCs w:val="24"/>
        </w:rPr>
        <w:t>cumprimento</w:t>
      </w:r>
      <w:r w:rsidR="00EC682B" w:rsidRPr="009A5087">
        <w:rPr>
          <w:rFonts w:ascii="Garamond" w:hAnsi="Garamond" w:cs="Arial"/>
          <w:sz w:val="24"/>
          <w:szCs w:val="24"/>
        </w:rPr>
        <w:t xml:space="preserve"> a</w:t>
      </w:r>
      <w:r w:rsidR="009A0CC2" w:rsidRPr="009A5087">
        <w:rPr>
          <w:rFonts w:ascii="Garamond" w:hAnsi="Garamond" w:cs="Arial"/>
          <w:sz w:val="24"/>
          <w:szCs w:val="24"/>
        </w:rPr>
        <w:t>o</w:t>
      </w:r>
      <w:r w:rsidR="00EC682B" w:rsidRPr="009A5087">
        <w:rPr>
          <w:rFonts w:ascii="Garamond" w:hAnsi="Garamond" w:cs="Arial"/>
          <w:sz w:val="24"/>
          <w:szCs w:val="24"/>
        </w:rPr>
        <w:t xml:space="preserve"> </w:t>
      </w:r>
      <w:r w:rsidR="00383B3F" w:rsidRPr="009A5087">
        <w:rPr>
          <w:rFonts w:ascii="Garamond" w:hAnsi="Garamond" w:cs="Arial"/>
          <w:sz w:val="24"/>
          <w:szCs w:val="24"/>
        </w:rPr>
        <w:t>Art.</w:t>
      </w:r>
      <w:r w:rsidR="00EC682B" w:rsidRPr="009A5087">
        <w:rPr>
          <w:rFonts w:ascii="Garamond" w:hAnsi="Garamond" w:cs="Arial"/>
          <w:sz w:val="24"/>
          <w:szCs w:val="24"/>
        </w:rPr>
        <w:t xml:space="preserve"> 8 da </w:t>
      </w:r>
      <w:r w:rsidR="00D15AFF" w:rsidRPr="009A5087">
        <w:rPr>
          <w:rFonts w:ascii="Garamond" w:hAnsi="Garamond" w:cs="Arial"/>
          <w:sz w:val="24"/>
          <w:szCs w:val="24"/>
        </w:rPr>
        <w:t>Lei</w:t>
      </w:r>
      <w:r w:rsidR="00EC682B" w:rsidRPr="009A5087">
        <w:rPr>
          <w:rFonts w:ascii="Garamond" w:hAnsi="Garamond" w:cs="Arial"/>
          <w:sz w:val="24"/>
          <w:szCs w:val="24"/>
        </w:rPr>
        <w:t xml:space="preserve"> 1257</w:t>
      </w:r>
      <w:r w:rsidR="00B817B8" w:rsidRPr="009A5087">
        <w:rPr>
          <w:rFonts w:ascii="Garamond" w:hAnsi="Garamond" w:cs="Arial"/>
          <w:sz w:val="24"/>
          <w:szCs w:val="24"/>
        </w:rPr>
        <w:t>,</w:t>
      </w:r>
      <w:r w:rsidR="00EC682B" w:rsidRPr="009A5087">
        <w:rPr>
          <w:rFonts w:ascii="Garamond" w:hAnsi="Garamond" w:cs="Arial"/>
          <w:sz w:val="24"/>
          <w:szCs w:val="24"/>
        </w:rPr>
        <w:t xml:space="preserve"> de 2008, n</w:t>
      </w:r>
      <w:r w:rsidR="009A0CC2" w:rsidRPr="009A5087">
        <w:rPr>
          <w:rFonts w:ascii="Garamond" w:hAnsi="Garamond" w:cs="Arial"/>
          <w:sz w:val="24"/>
          <w:szCs w:val="24"/>
        </w:rPr>
        <w:t>ã</w:t>
      </w:r>
      <w:r w:rsidR="00EC682B" w:rsidRPr="009A5087">
        <w:rPr>
          <w:rFonts w:ascii="Garamond" w:hAnsi="Garamond" w:cs="Arial"/>
          <w:sz w:val="24"/>
          <w:szCs w:val="24"/>
        </w:rPr>
        <w:t xml:space="preserve">o </w:t>
      </w:r>
      <w:r w:rsidR="009A0CC2" w:rsidRPr="009A5087">
        <w:rPr>
          <w:rFonts w:ascii="Garamond" w:hAnsi="Garamond" w:cs="Arial"/>
          <w:sz w:val="24"/>
          <w:szCs w:val="24"/>
        </w:rPr>
        <w:t xml:space="preserve">é </w:t>
      </w:r>
      <w:r w:rsidR="00EC682B" w:rsidRPr="009A5087">
        <w:rPr>
          <w:rFonts w:ascii="Garamond" w:hAnsi="Garamond" w:cs="Arial"/>
          <w:sz w:val="24"/>
          <w:szCs w:val="24"/>
        </w:rPr>
        <w:t xml:space="preserve">menos </w:t>
      </w:r>
      <w:r w:rsidR="009D5ED8" w:rsidRPr="009A5087">
        <w:rPr>
          <w:rFonts w:ascii="Garamond" w:hAnsi="Garamond" w:cs="Arial"/>
          <w:sz w:val="24"/>
          <w:szCs w:val="24"/>
        </w:rPr>
        <w:t>certo</w:t>
      </w:r>
      <w:r w:rsidR="00EC682B" w:rsidRPr="009A5087">
        <w:rPr>
          <w:rFonts w:ascii="Garamond" w:hAnsi="Garamond" w:cs="Arial"/>
          <w:sz w:val="24"/>
          <w:szCs w:val="24"/>
        </w:rPr>
        <w:t xml:space="preserve"> que</w:t>
      </w:r>
      <w:r w:rsidR="00B817B8" w:rsidRPr="009A5087">
        <w:rPr>
          <w:rFonts w:ascii="Garamond" w:hAnsi="Garamond" w:cs="Arial"/>
          <w:sz w:val="24"/>
          <w:szCs w:val="24"/>
        </w:rPr>
        <w:t>,</w:t>
      </w:r>
      <w:r w:rsidR="00EC682B" w:rsidRPr="009A5087">
        <w:rPr>
          <w:rFonts w:ascii="Garamond" w:hAnsi="Garamond" w:cs="Arial"/>
          <w:sz w:val="24"/>
          <w:szCs w:val="24"/>
        </w:rPr>
        <w:t xml:space="preserve"> </w:t>
      </w:r>
      <w:r w:rsidR="009A0CC2" w:rsidRPr="009A5087">
        <w:rPr>
          <w:rFonts w:ascii="Garamond" w:hAnsi="Garamond" w:cs="Arial"/>
          <w:sz w:val="24"/>
          <w:szCs w:val="24"/>
        </w:rPr>
        <w:t>n</w:t>
      </w:r>
      <w:r w:rsidR="00EC682B" w:rsidRPr="009A5087">
        <w:rPr>
          <w:rFonts w:ascii="Garamond" w:hAnsi="Garamond" w:cs="Arial"/>
          <w:sz w:val="24"/>
          <w:szCs w:val="24"/>
        </w:rPr>
        <w:t xml:space="preserve">a </w:t>
      </w:r>
      <w:r w:rsidR="00233514" w:rsidRPr="009A5087">
        <w:rPr>
          <w:rFonts w:ascii="Garamond" w:hAnsi="Garamond" w:cs="Arial"/>
          <w:sz w:val="24"/>
          <w:szCs w:val="24"/>
        </w:rPr>
        <w:t>maioria</w:t>
      </w:r>
      <w:r w:rsidR="00EC682B" w:rsidRPr="009A5087">
        <w:rPr>
          <w:rFonts w:ascii="Garamond" w:hAnsi="Garamond" w:cs="Arial"/>
          <w:sz w:val="24"/>
          <w:szCs w:val="24"/>
        </w:rPr>
        <w:t xml:space="preserve"> </w:t>
      </w:r>
      <w:r w:rsidRPr="009A5087">
        <w:rPr>
          <w:rFonts w:ascii="Garamond" w:hAnsi="Garamond" w:cs="Arial"/>
          <w:sz w:val="24"/>
          <w:szCs w:val="24"/>
        </w:rPr>
        <w:t>do</w:t>
      </w:r>
      <w:r w:rsidR="009A0CC2" w:rsidRPr="009A5087">
        <w:rPr>
          <w:rFonts w:ascii="Garamond" w:hAnsi="Garamond" w:cs="Arial"/>
          <w:sz w:val="24"/>
          <w:szCs w:val="24"/>
        </w:rPr>
        <w:t xml:space="preserve"> </w:t>
      </w:r>
      <w:r w:rsidR="001B47E3" w:rsidRPr="009A5087">
        <w:rPr>
          <w:rFonts w:ascii="Garamond" w:hAnsi="Garamond" w:cs="Arial"/>
          <w:sz w:val="24"/>
          <w:szCs w:val="24"/>
        </w:rPr>
        <w:t>território</w:t>
      </w:r>
      <w:r w:rsidR="009A0CC2" w:rsidRPr="009A5087">
        <w:rPr>
          <w:rFonts w:ascii="Garamond" w:hAnsi="Garamond" w:cs="Arial"/>
          <w:sz w:val="24"/>
          <w:szCs w:val="24"/>
        </w:rPr>
        <w:t xml:space="preserve"> colombiano</w:t>
      </w:r>
      <w:r w:rsidR="00B817B8" w:rsidRPr="009A5087">
        <w:rPr>
          <w:rFonts w:ascii="Garamond" w:hAnsi="Garamond" w:cs="Arial"/>
          <w:sz w:val="24"/>
          <w:szCs w:val="24"/>
        </w:rPr>
        <w:t>,</w:t>
      </w:r>
      <w:r w:rsidR="009A0CC2" w:rsidRPr="009A5087">
        <w:rPr>
          <w:rFonts w:ascii="Garamond" w:hAnsi="Garamond" w:cs="Arial"/>
          <w:sz w:val="24"/>
          <w:szCs w:val="24"/>
        </w:rPr>
        <w:t xml:space="preserve"> </w:t>
      </w:r>
      <w:r w:rsidR="00EC682B" w:rsidRPr="009A5087">
        <w:rPr>
          <w:rFonts w:ascii="Garamond" w:hAnsi="Garamond" w:cs="Arial"/>
          <w:sz w:val="24"/>
          <w:szCs w:val="24"/>
        </w:rPr>
        <w:t xml:space="preserve">as </w:t>
      </w:r>
      <w:r w:rsidR="00F320F4" w:rsidRPr="009A5087">
        <w:rPr>
          <w:rFonts w:ascii="Garamond" w:hAnsi="Garamond" w:cs="Arial"/>
          <w:sz w:val="24"/>
          <w:szCs w:val="24"/>
        </w:rPr>
        <w:t>leis</w:t>
      </w:r>
      <w:r w:rsidR="00EC682B" w:rsidRPr="009A5087">
        <w:rPr>
          <w:rFonts w:ascii="Garamond" w:hAnsi="Garamond" w:cs="Arial"/>
          <w:sz w:val="24"/>
          <w:szCs w:val="24"/>
        </w:rPr>
        <w:t xml:space="preserve"> </w:t>
      </w:r>
      <w:r w:rsidR="006506C6" w:rsidRPr="009A5087">
        <w:rPr>
          <w:rFonts w:ascii="Garamond" w:hAnsi="Garamond" w:cs="Arial"/>
          <w:sz w:val="24"/>
          <w:szCs w:val="24"/>
        </w:rPr>
        <w:t>favoráveis</w:t>
      </w:r>
      <w:r w:rsidR="00EC682B" w:rsidRPr="009A5087">
        <w:rPr>
          <w:rFonts w:ascii="Garamond" w:hAnsi="Garamond" w:cs="Arial"/>
          <w:sz w:val="24"/>
          <w:szCs w:val="24"/>
        </w:rPr>
        <w:t xml:space="preserve"> </w:t>
      </w:r>
      <w:r w:rsidR="009A0CC2" w:rsidRPr="009A5087">
        <w:rPr>
          <w:rFonts w:ascii="Garamond" w:hAnsi="Garamond" w:cs="Arial"/>
          <w:sz w:val="24"/>
          <w:szCs w:val="24"/>
        </w:rPr>
        <w:t xml:space="preserve">às </w:t>
      </w:r>
      <w:r w:rsidR="00054EE0" w:rsidRPr="009A5087">
        <w:rPr>
          <w:rFonts w:ascii="Garamond" w:hAnsi="Garamond" w:cs="Arial"/>
          <w:sz w:val="24"/>
          <w:szCs w:val="24"/>
        </w:rPr>
        <w:t>mulheres</w:t>
      </w:r>
      <w:r w:rsidR="00EC682B" w:rsidRPr="009A5087">
        <w:rPr>
          <w:rFonts w:ascii="Garamond" w:hAnsi="Garamond" w:cs="Arial"/>
          <w:sz w:val="24"/>
          <w:szCs w:val="24"/>
        </w:rPr>
        <w:t xml:space="preserve"> n</w:t>
      </w:r>
      <w:r w:rsidR="009A0CC2" w:rsidRPr="009A5087">
        <w:rPr>
          <w:rFonts w:ascii="Garamond" w:hAnsi="Garamond" w:cs="Arial"/>
          <w:sz w:val="24"/>
          <w:szCs w:val="24"/>
        </w:rPr>
        <w:t>ã</w:t>
      </w:r>
      <w:r w:rsidR="00EC682B" w:rsidRPr="009A5087">
        <w:rPr>
          <w:rFonts w:ascii="Garamond" w:hAnsi="Garamond" w:cs="Arial"/>
          <w:sz w:val="24"/>
          <w:szCs w:val="24"/>
        </w:rPr>
        <w:t>o se con</w:t>
      </w:r>
      <w:r w:rsidR="009A0CC2" w:rsidRPr="009A5087">
        <w:rPr>
          <w:rFonts w:ascii="Garamond" w:hAnsi="Garamond" w:cs="Arial"/>
          <w:sz w:val="24"/>
          <w:szCs w:val="24"/>
        </w:rPr>
        <w:t>hecem nem se aplicam</w:t>
      </w:r>
      <w:r w:rsidR="00EC682B" w:rsidRPr="009A5087">
        <w:rPr>
          <w:rFonts w:ascii="Garamond" w:hAnsi="Garamond" w:cs="Arial"/>
          <w:sz w:val="24"/>
          <w:szCs w:val="24"/>
        </w:rPr>
        <w:t>.</w:t>
      </w:r>
    </w:p>
    <w:p w:rsidR="00EC682B" w:rsidRPr="003A1174" w:rsidRDefault="002F5CD1" w:rsidP="009A0CC2">
      <w:pPr>
        <w:spacing w:line="240" w:lineRule="auto"/>
        <w:jc w:val="both"/>
        <w:rPr>
          <w:rFonts w:ascii="Garamond" w:hAnsi="Garamond" w:cs="Arial"/>
          <w:sz w:val="24"/>
          <w:szCs w:val="24"/>
        </w:rPr>
      </w:pPr>
      <w:r w:rsidRPr="003A1174">
        <w:rPr>
          <w:rFonts w:ascii="Garamond" w:hAnsi="Garamond" w:cs="Arial"/>
          <w:sz w:val="24"/>
          <w:szCs w:val="24"/>
        </w:rPr>
        <w:t>Exemplo</w:t>
      </w:r>
      <w:r w:rsidR="00EC682B" w:rsidRPr="003A1174">
        <w:rPr>
          <w:rFonts w:ascii="Garamond" w:hAnsi="Garamond" w:cs="Arial"/>
          <w:sz w:val="24"/>
          <w:szCs w:val="24"/>
        </w:rPr>
        <w:t xml:space="preserve"> d</w:t>
      </w:r>
      <w:r w:rsidR="009A0CC2" w:rsidRPr="003A1174">
        <w:rPr>
          <w:rFonts w:ascii="Garamond" w:hAnsi="Garamond" w:cs="Arial"/>
          <w:sz w:val="24"/>
          <w:szCs w:val="24"/>
        </w:rPr>
        <w:t xml:space="preserve">isso </w:t>
      </w:r>
      <w:r w:rsidR="007342D9" w:rsidRPr="003A1174">
        <w:rPr>
          <w:rFonts w:ascii="Garamond" w:hAnsi="Garamond" w:cs="Arial"/>
          <w:sz w:val="24"/>
          <w:szCs w:val="24"/>
        </w:rPr>
        <w:t>pode</w:t>
      </w:r>
      <w:r w:rsidR="009A0CC2" w:rsidRPr="003A1174">
        <w:rPr>
          <w:rFonts w:ascii="Garamond" w:hAnsi="Garamond" w:cs="Arial"/>
          <w:sz w:val="24"/>
          <w:szCs w:val="24"/>
        </w:rPr>
        <w:t xml:space="preserve"> ser </w:t>
      </w:r>
      <w:r w:rsidR="00EC682B" w:rsidRPr="003A1174">
        <w:rPr>
          <w:rFonts w:ascii="Garamond" w:hAnsi="Garamond" w:cs="Arial"/>
          <w:sz w:val="24"/>
          <w:szCs w:val="24"/>
        </w:rPr>
        <w:t xml:space="preserve">a </w:t>
      </w:r>
      <w:r w:rsidR="009A0CC2" w:rsidRPr="003A1174">
        <w:rPr>
          <w:rFonts w:ascii="Garamond" w:hAnsi="Garamond" w:cs="Arial"/>
          <w:sz w:val="24"/>
          <w:szCs w:val="24"/>
        </w:rPr>
        <w:t>tipificação</w:t>
      </w:r>
      <w:r w:rsidR="00EC682B" w:rsidRPr="003A1174">
        <w:rPr>
          <w:rFonts w:ascii="Garamond" w:hAnsi="Garamond" w:cs="Arial"/>
          <w:sz w:val="24"/>
          <w:szCs w:val="24"/>
        </w:rPr>
        <w:t xml:space="preserve"> </w:t>
      </w:r>
      <w:r w:rsidR="008A3DA2" w:rsidRPr="003A1174">
        <w:rPr>
          <w:rFonts w:ascii="Garamond" w:hAnsi="Garamond" w:cs="Arial"/>
          <w:sz w:val="24"/>
          <w:szCs w:val="24"/>
        </w:rPr>
        <w:t>do</w:t>
      </w:r>
      <w:r w:rsidR="00EC682B" w:rsidRPr="003A1174">
        <w:rPr>
          <w:rFonts w:ascii="Garamond" w:hAnsi="Garamond" w:cs="Arial"/>
          <w:sz w:val="24"/>
          <w:szCs w:val="24"/>
        </w:rPr>
        <w:t xml:space="preserve"> </w:t>
      </w:r>
      <w:r w:rsidR="002720C5">
        <w:rPr>
          <w:rFonts w:ascii="Garamond" w:hAnsi="Garamond" w:cs="Arial"/>
          <w:sz w:val="24"/>
          <w:szCs w:val="24"/>
        </w:rPr>
        <w:t>«</w:t>
      </w:r>
      <w:r w:rsidR="005C051C" w:rsidRPr="003A1174">
        <w:rPr>
          <w:rFonts w:ascii="Garamond" w:hAnsi="Garamond" w:cs="Arial"/>
          <w:sz w:val="24"/>
          <w:szCs w:val="24"/>
        </w:rPr>
        <w:t>femicídio</w:t>
      </w:r>
      <w:r w:rsidR="002720C5">
        <w:rPr>
          <w:rFonts w:ascii="Garamond" w:hAnsi="Garamond" w:cs="Arial"/>
          <w:sz w:val="24"/>
          <w:szCs w:val="24"/>
        </w:rPr>
        <w:t>»</w:t>
      </w:r>
      <w:r w:rsidR="00EC682B" w:rsidRPr="003A1174">
        <w:rPr>
          <w:rFonts w:ascii="Garamond" w:hAnsi="Garamond" w:cs="Arial"/>
          <w:sz w:val="24"/>
          <w:szCs w:val="24"/>
        </w:rPr>
        <w:t xml:space="preserve"> como agravante </w:t>
      </w:r>
      <w:r w:rsidR="008A3DA2" w:rsidRPr="003A1174">
        <w:rPr>
          <w:rFonts w:ascii="Garamond" w:hAnsi="Garamond" w:cs="Arial"/>
          <w:sz w:val="24"/>
          <w:szCs w:val="24"/>
        </w:rPr>
        <w:t>do</w:t>
      </w:r>
      <w:r w:rsidR="00EC682B" w:rsidRPr="003A1174">
        <w:rPr>
          <w:rFonts w:ascii="Garamond" w:hAnsi="Garamond" w:cs="Arial"/>
          <w:sz w:val="24"/>
          <w:szCs w:val="24"/>
        </w:rPr>
        <w:t xml:space="preserve"> tipo penal de </w:t>
      </w:r>
      <w:r w:rsidR="009A0CC2" w:rsidRPr="003A1174">
        <w:rPr>
          <w:rFonts w:ascii="Garamond" w:hAnsi="Garamond" w:cs="Arial"/>
          <w:sz w:val="24"/>
          <w:szCs w:val="24"/>
        </w:rPr>
        <w:t>homicídio</w:t>
      </w:r>
      <w:r w:rsidR="00EC682B" w:rsidRPr="003A1174">
        <w:rPr>
          <w:rFonts w:ascii="Garamond" w:hAnsi="Garamond" w:cs="Arial"/>
          <w:sz w:val="24"/>
          <w:szCs w:val="24"/>
        </w:rPr>
        <w:t>, que entr</w:t>
      </w:r>
      <w:r w:rsidR="009A0CC2" w:rsidRPr="003A1174">
        <w:rPr>
          <w:rFonts w:ascii="Garamond" w:hAnsi="Garamond" w:cs="Arial"/>
          <w:sz w:val="24"/>
          <w:szCs w:val="24"/>
        </w:rPr>
        <w:t xml:space="preserve">ou em vigor na </w:t>
      </w:r>
      <w:r w:rsidR="0017447A" w:rsidRPr="003A1174">
        <w:rPr>
          <w:rFonts w:ascii="Garamond" w:hAnsi="Garamond" w:cs="Arial"/>
          <w:sz w:val="24"/>
          <w:szCs w:val="24"/>
        </w:rPr>
        <w:t>Colômbia</w:t>
      </w:r>
      <w:r w:rsidR="009A0CC2" w:rsidRPr="003A1174">
        <w:rPr>
          <w:rFonts w:ascii="Garamond" w:hAnsi="Garamond" w:cs="Arial"/>
          <w:sz w:val="24"/>
          <w:szCs w:val="24"/>
        </w:rPr>
        <w:t xml:space="preserve"> mediante </w:t>
      </w:r>
      <w:r w:rsidR="00EC682B" w:rsidRPr="003A1174">
        <w:rPr>
          <w:rFonts w:ascii="Garamond" w:hAnsi="Garamond" w:cs="Arial"/>
          <w:sz w:val="24"/>
          <w:szCs w:val="24"/>
        </w:rPr>
        <w:t xml:space="preserve">a </w:t>
      </w:r>
      <w:r w:rsidR="00AB16D4">
        <w:rPr>
          <w:rFonts w:ascii="Garamond" w:hAnsi="Garamond" w:cs="Arial"/>
          <w:sz w:val="24"/>
          <w:szCs w:val="24"/>
        </w:rPr>
        <w:t xml:space="preserve">publicação </w:t>
      </w:r>
      <w:r w:rsidR="009A0CC2" w:rsidRPr="003A1174">
        <w:rPr>
          <w:rFonts w:ascii="Garamond" w:hAnsi="Garamond" w:cs="Arial"/>
          <w:sz w:val="24"/>
          <w:szCs w:val="24"/>
        </w:rPr>
        <w:t xml:space="preserve">da </w:t>
      </w:r>
      <w:r w:rsidR="002A7515">
        <w:rPr>
          <w:rFonts w:ascii="Garamond" w:hAnsi="Garamond" w:cs="Arial"/>
          <w:sz w:val="24"/>
          <w:szCs w:val="24"/>
        </w:rPr>
        <w:t>L</w:t>
      </w:r>
      <w:r w:rsidR="00D15AFF" w:rsidRPr="003A1174">
        <w:rPr>
          <w:rFonts w:ascii="Garamond" w:hAnsi="Garamond" w:cs="Arial"/>
          <w:sz w:val="24"/>
          <w:szCs w:val="24"/>
        </w:rPr>
        <w:t>ei</w:t>
      </w:r>
      <w:r w:rsidR="009A0CC2" w:rsidRPr="003A1174">
        <w:rPr>
          <w:rFonts w:ascii="Garamond" w:hAnsi="Garamond" w:cs="Arial"/>
          <w:sz w:val="24"/>
          <w:szCs w:val="24"/>
        </w:rPr>
        <w:t xml:space="preserve"> 1257</w:t>
      </w:r>
      <w:r w:rsidR="002A7515">
        <w:rPr>
          <w:rFonts w:ascii="Garamond" w:hAnsi="Garamond" w:cs="Arial"/>
          <w:sz w:val="24"/>
          <w:szCs w:val="24"/>
        </w:rPr>
        <w:t>,</w:t>
      </w:r>
      <w:r w:rsidR="009A0CC2" w:rsidRPr="003A1174">
        <w:rPr>
          <w:rFonts w:ascii="Garamond" w:hAnsi="Garamond" w:cs="Arial"/>
          <w:sz w:val="24"/>
          <w:szCs w:val="24"/>
        </w:rPr>
        <w:t xml:space="preserve"> de 2008, e</w:t>
      </w:r>
      <w:r w:rsidR="005D52B0" w:rsidRPr="003A1174">
        <w:rPr>
          <w:rFonts w:ascii="Garamond" w:hAnsi="Garamond" w:cs="Arial"/>
          <w:sz w:val="24"/>
          <w:szCs w:val="24"/>
        </w:rPr>
        <w:t xml:space="preserve">, até </w:t>
      </w:r>
      <w:r w:rsidR="009A0CC2" w:rsidRPr="003A1174">
        <w:rPr>
          <w:rFonts w:ascii="Garamond" w:hAnsi="Garamond" w:cs="Arial"/>
          <w:sz w:val="24"/>
          <w:szCs w:val="24"/>
        </w:rPr>
        <w:t xml:space="preserve">à </w:t>
      </w:r>
      <w:r w:rsidR="0074243F" w:rsidRPr="003A1174">
        <w:rPr>
          <w:rFonts w:ascii="Garamond" w:hAnsi="Garamond" w:cs="Arial"/>
          <w:sz w:val="24"/>
          <w:szCs w:val="24"/>
        </w:rPr>
        <w:t>data</w:t>
      </w:r>
      <w:r w:rsidR="005D52B0" w:rsidRPr="003A1174">
        <w:rPr>
          <w:rFonts w:ascii="Garamond" w:hAnsi="Garamond" w:cs="Arial"/>
          <w:sz w:val="24"/>
          <w:szCs w:val="24"/>
        </w:rPr>
        <w:t>,</w:t>
      </w:r>
      <w:r w:rsidR="009A0CC2" w:rsidRPr="003A1174">
        <w:rPr>
          <w:rFonts w:ascii="Garamond" w:hAnsi="Garamond" w:cs="Arial"/>
          <w:sz w:val="24"/>
          <w:szCs w:val="24"/>
        </w:rPr>
        <w:t xml:space="preserve"> tanto </w:t>
      </w:r>
      <w:r w:rsidR="00EC682B" w:rsidRPr="003A1174">
        <w:rPr>
          <w:rFonts w:ascii="Garamond" w:hAnsi="Garamond" w:cs="Arial"/>
          <w:sz w:val="24"/>
          <w:szCs w:val="24"/>
        </w:rPr>
        <w:t xml:space="preserve">as </w:t>
      </w:r>
      <w:r w:rsidR="002470B1" w:rsidRPr="003A1174">
        <w:rPr>
          <w:rFonts w:ascii="Garamond" w:hAnsi="Garamond" w:cs="Arial"/>
          <w:sz w:val="24"/>
          <w:szCs w:val="24"/>
        </w:rPr>
        <w:t>organizações</w:t>
      </w:r>
      <w:r w:rsidR="00EC682B" w:rsidRPr="003A1174">
        <w:rPr>
          <w:rFonts w:ascii="Garamond" w:hAnsi="Garamond" w:cs="Arial"/>
          <w:sz w:val="24"/>
          <w:szCs w:val="24"/>
        </w:rPr>
        <w:t xml:space="preserve"> de </w:t>
      </w:r>
      <w:r w:rsidR="00054EE0" w:rsidRPr="003A1174">
        <w:rPr>
          <w:rFonts w:ascii="Garamond" w:hAnsi="Garamond" w:cs="Arial"/>
          <w:sz w:val="24"/>
          <w:szCs w:val="24"/>
        </w:rPr>
        <w:t>mulheres</w:t>
      </w:r>
      <w:r w:rsidR="002A7515">
        <w:rPr>
          <w:rFonts w:ascii="Garamond" w:hAnsi="Garamond" w:cs="Arial"/>
          <w:sz w:val="24"/>
          <w:szCs w:val="24"/>
        </w:rPr>
        <w:t>,</w:t>
      </w:r>
      <w:r w:rsidR="009A0CC2" w:rsidRPr="003A1174">
        <w:rPr>
          <w:rFonts w:ascii="Garamond" w:hAnsi="Garamond" w:cs="Arial"/>
          <w:sz w:val="24"/>
          <w:szCs w:val="24"/>
        </w:rPr>
        <w:t xml:space="preserve"> como </w:t>
      </w:r>
      <w:r w:rsidR="00EC682B" w:rsidRPr="003A1174">
        <w:rPr>
          <w:rFonts w:ascii="Garamond" w:hAnsi="Garamond" w:cs="Arial"/>
          <w:sz w:val="24"/>
          <w:szCs w:val="24"/>
        </w:rPr>
        <w:t xml:space="preserve">os </w:t>
      </w:r>
      <w:r w:rsidR="009A0CC2" w:rsidRPr="003A1174">
        <w:rPr>
          <w:rFonts w:ascii="Garamond" w:hAnsi="Garamond" w:cs="Arial"/>
          <w:sz w:val="24"/>
          <w:szCs w:val="24"/>
        </w:rPr>
        <w:t>advogado</w:t>
      </w:r>
      <w:r w:rsidR="00EC682B" w:rsidRPr="003A1174">
        <w:rPr>
          <w:rFonts w:ascii="Garamond" w:hAnsi="Garamond" w:cs="Arial"/>
          <w:sz w:val="24"/>
          <w:szCs w:val="24"/>
        </w:rPr>
        <w:t xml:space="preserve">s </w:t>
      </w:r>
      <w:r w:rsidR="009A0CC2" w:rsidRPr="003A1174">
        <w:rPr>
          <w:rFonts w:ascii="Garamond" w:hAnsi="Garamond" w:cs="Arial"/>
          <w:sz w:val="24"/>
          <w:szCs w:val="24"/>
        </w:rPr>
        <w:t xml:space="preserve">ligados à </w:t>
      </w:r>
      <w:r w:rsidR="00C04CA4" w:rsidRPr="003A1174">
        <w:rPr>
          <w:rFonts w:ascii="Garamond" w:hAnsi="Garamond" w:cs="Arial"/>
          <w:sz w:val="24"/>
          <w:szCs w:val="24"/>
        </w:rPr>
        <w:t>Provedoria de Justiça</w:t>
      </w:r>
      <w:r w:rsidR="002A7515">
        <w:rPr>
          <w:rFonts w:ascii="Garamond" w:hAnsi="Garamond" w:cs="Arial"/>
          <w:sz w:val="24"/>
          <w:szCs w:val="24"/>
        </w:rPr>
        <w:t>,</w:t>
      </w:r>
      <w:r w:rsidR="00EC682B" w:rsidRPr="003A1174">
        <w:rPr>
          <w:rFonts w:ascii="Garamond" w:hAnsi="Garamond" w:cs="Arial"/>
          <w:sz w:val="24"/>
          <w:szCs w:val="24"/>
        </w:rPr>
        <w:t xml:space="preserve"> reporta</w:t>
      </w:r>
      <w:r w:rsidR="009A0CC2" w:rsidRPr="003A1174">
        <w:rPr>
          <w:rFonts w:ascii="Garamond" w:hAnsi="Garamond" w:cs="Arial"/>
          <w:sz w:val="24"/>
          <w:szCs w:val="24"/>
        </w:rPr>
        <w:t xml:space="preserve">m </w:t>
      </w:r>
      <w:r w:rsidR="00EC682B" w:rsidRPr="003A1174">
        <w:rPr>
          <w:rFonts w:ascii="Garamond" w:hAnsi="Garamond" w:cs="Arial"/>
          <w:sz w:val="24"/>
          <w:szCs w:val="24"/>
        </w:rPr>
        <w:t xml:space="preserve">a </w:t>
      </w:r>
      <w:r w:rsidR="009A0CC2" w:rsidRPr="003A1174">
        <w:rPr>
          <w:rFonts w:ascii="Garamond" w:hAnsi="Garamond" w:cs="Arial"/>
          <w:sz w:val="24"/>
          <w:szCs w:val="24"/>
        </w:rPr>
        <w:t>dificuldade</w:t>
      </w:r>
      <w:r w:rsidR="00EC682B" w:rsidRPr="003A1174">
        <w:rPr>
          <w:rFonts w:ascii="Garamond" w:hAnsi="Garamond" w:cs="Arial"/>
          <w:sz w:val="24"/>
          <w:szCs w:val="24"/>
        </w:rPr>
        <w:t xml:space="preserve"> </w:t>
      </w:r>
      <w:r w:rsidR="009A0CC2" w:rsidRPr="003A1174">
        <w:rPr>
          <w:rFonts w:ascii="Garamond" w:hAnsi="Garamond" w:cs="Arial"/>
          <w:sz w:val="24"/>
          <w:szCs w:val="24"/>
        </w:rPr>
        <w:t xml:space="preserve">em conseguir que </w:t>
      </w:r>
      <w:r w:rsidR="00EC682B" w:rsidRPr="003A1174">
        <w:rPr>
          <w:rFonts w:ascii="Garamond" w:hAnsi="Garamond" w:cs="Arial"/>
          <w:sz w:val="24"/>
          <w:szCs w:val="24"/>
        </w:rPr>
        <w:t xml:space="preserve">as autoridades </w:t>
      </w:r>
      <w:r w:rsidR="002D1021" w:rsidRPr="003A1174">
        <w:rPr>
          <w:rFonts w:ascii="Garamond" w:hAnsi="Garamond" w:cs="Arial"/>
          <w:sz w:val="24"/>
          <w:szCs w:val="24"/>
        </w:rPr>
        <w:t>judiciais</w:t>
      </w:r>
      <w:r w:rsidR="00EC682B" w:rsidRPr="003A1174">
        <w:rPr>
          <w:rFonts w:ascii="Garamond" w:hAnsi="Garamond" w:cs="Arial"/>
          <w:sz w:val="24"/>
          <w:szCs w:val="24"/>
        </w:rPr>
        <w:t xml:space="preserve"> agrave</w:t>
      </w:r>
      <w:r w:rsidR="009A0CC2" w:rsidRPr="003A1174">
        <w:rPr>
          <w:rFonts w:ascii="Garamond" w:hAnsi="Garamond" w:cs="Arial"/>
          <w:sz w:val="24"/>
          <w:szCs w:val="24"/>
        </w:rPr>
        <w:t xml:space="preserve">m o </w:t>
      </w:r>
      <w:r w:rsidR="007C63D0" w:rsidRPr="003A1174">
        <w:rPr>
          <w:rFonts w:ascii="Garamond" w:hAnsi="Garamond" w:cs="Arial"/>
          <w:sz w:val="24"/>
          <w:szCs w:val="24"/>
        </w:rPr>
        <w:t>comportamento</w:t>
      </w:r>
      <w:r w:rsidR="00EC682B" w:rsidRPr="003A1174">
        <w:rPr>
          <w:rFonts w:ascii="Garamond" w:hAnsi="Garamond" w:cs="Arial"/>
          <w:sz w:val="24"/>
          <w:szCs w:val="24"/>
        </w:rPr>
        <w:t xml:space="preserve"> </w:t>
      </w:r>
      <w:r w:rsidR="008A3DA2" w:rsidRPr="003A1174">
        <w:rPr>
          <w:rFonts w:ascii="Garamond" w:hAnsi="Garamond" w:cs="Arial"/>
          <w:sz w:val="24"/>
          <w:szCs w:val="24"/>
        </w:rPr>
        <w:t>do</w:t>
      </w:r>
      <w:r w:rsidR="00EC682B" w:rsidRPr="003A1174">
        <w:rPr>
          <w:rFonts w:ascii="Garamond" w:hAnsi="Garamond" w:cs="Arial"/>
          <w:sz w:val="24"/>
          <w:szCs w:val="24"/>
        </w:rPr>
        <w:t xml:space="preserve"> </w:t>
      </w:r>
      <w:r w:rsidR="009A0CC2" w:rsidRPr="003A1174">
        <w:rPr>
          <w:rFonts w:ascii="Garamond" w:hAnsi="Garamond" w:cs="Arial"/>
          <w:sz w:val="24"/>
          <w:szCs w:val="24"/>
        </w:rPr>
        <w:t>homicídio</w:t>
      </w:r>
      <w:r w:rsidR="00EC682B" w:rsidRPr="003A1174">
        <w:rPr>
          <w:rFonts w:ascii="Garamond" w:hAnsi="Garamond" w:cs="Arial"/>
          <w:sz w:val="24"/>
          <w:szCs w:val="24"/>
        </w:rPr>
        <w:t xml:space="preserve"> por </w:t>
      </w:r>
      <w:r w:rsidR="009A0CC2" w:rsidRPr="003A1174">
        <w:rPr>
          <w:rFonts w:ascii="Garamond" w:hAnsi="Garamond" w:cs="Arial"/>
          <w:sz w:val="24"/>
          <w:szCs w:val="24"/>
        </w:rPr>
        <w:t xml:space="preserve">esta causa, em </w:t>
      </w:r>
      <w:r w:rsidR="00EC682B" w:rsidRPr="003A1174">
        <w:rPr>
          <w:rFonts w:ascii="Garamond" w:hAnsi="Garamond" w:cs="Arial"/>
          <w:sz w:val="24"/>
          <w:szCs w:val="24"/>
        </w:rPr>
        <w:t xml:space="preserve">casos </w:t>
      </w:r>
      <w:r w:rsidR="00CC4267" w:rsidRPr="003A1174">
        <w:rPr>
          <w:rFonts w:ascii="Garamond" w:hAnsi="Garamond" w:cs="Arial"/>
          <w:sz w:val="24"/>
          <w:szCs w:val="24"/>
        </w:rPr>
        <w:t>conhecido</w:t>
      </w:r>
      <w:r w:rsidR="00EC682B" w:rsidRPr="003A1174">
        <w:rPr>
          <w:rFonts w:ascii="Garamond" w:hAnsi="Garamond" w:cs="Arial"/>
          <w:sz w:val="24"/>
          <w:szCs w:val="24"/>
        </w:rPr>
        <w:t xml:space="preserve">s de </w:t>
      </w:r>
      <w:r w:rsidR="009A0CC2" w:rsidRPr="003A1174">
        <w:rPr>
          <w:rFonts w:ascii="Garamond" w:hAnsi="Garamond" w:cs="Arial"/>
          <w:sz w:val="24"/>
          <w:szCs w:val="24"/>
        </w:rPr>
        <w:t>homicídios cometidos contra um</w:t>
      </w:r>
      <w:r w:rsidR="00EC682B" w:rsidRPr="003A1174">
        <w:rPr>
          <w:rFonts w:ascii="Garamond" w:hAnsi="Garamond" w:cs="Arial"/>
          <w:sz w:val="24"/>
          <w:szCs w:val="24"/>
        </w:rPr>
        <w:t xml:space="preserve">a </w:t>
      </w:r>
      <w:r w:rsidR="00AF192F" w:rsidRPr="003A1174">
        <w:rPr>
          <w:rFonts w:ascii="Garamond" w:hAnsi="Garamond" w:cs="Arial"/>
          <w:sz w:val="24"/>
          <w:szCs w:val="24"/>
        </w:rPr>
        <w:t>mulher</w:t>
      </w:r>
      <w:r w:rsidR="00EC682B" w:rsidRPr="003A1174">
        <w:rPr>
          <w:rFonts w:ascii="Garamond" w:hAnsi="Garamond" w:cs="Arial"/>
          <w:sz w:val="24"/>
          <w:szCs w:val="24"/>
        </w:rPr>
        <w:t xml:space="preserve"> pel</w:t>
      </w:r>
      <w:r w:rsidR="009A0CC2" w:rsidRPr="003A1174">
        <w:rPr>
          <w:rFonts w:ascii="Garamond" w:hAnsi="Garamond" w:cs="Arial"/>
          <w:sz w:val="24"/>
          <w:szCs w:val="24"/>
        </w:rPr>
        <w:t>o</w:t>
      </w:r>
      <w:r w:rsidR="00EC682B" w:rsidRPr="003A1174">
        <w:rPr>
          <w:rFonts w:ascii="Garamond" w:hAnsi="Garamond" w:cs="Arial"/>
          <w:sz w:val="24"/>
          <w:szCs w:val="24"/>
        </w:rPr>
        <w:t xml:space="preserve"> </w:t>
      </w:r>
      <w:r w:rsidR="001647F2" w:rsidRPr="003A1174">
        <w:rPr>
          <w:rFonts w:ascii="Garamond" w:hAnsi="Garamond" w:cs="Arial"/>
          <w:sz w:val="24"/>
          <w:szCs w:val="24"/>
        </w:rPr>
        <w:t>facto</w:t>
      </w:r>
      <w:r w:rsidR="00EC682B" w:rsidRPr="003A1174">
        <w:rPr>
          <w:rFonts w:ascii="Garamond" w:hAnsi="Garamond" w:cs="Arial"/>
          <w:sz w:val="24"/>
          <w:szCs w:val="24"/>
        </w:rPr>
        <w:t xml:space="preserve"> de</w:t>
      </w:r>
      <w:r w:rsidR="009A0CC2" w:rsidRPr="003A1174">
        <w:rPr>
          <w:rFonts w:ascii="Garamond" w:hAnsi="Garamond" w:cs="Arial"/>
          <w:sz w:val="24"/>
          <w:szCs w:val="24"/>
        </w:rPr>
        <w:t xml:space="preserve"> o</w:t>
      </w:r>
      <w:r w:rsidR="00EC682B" w:rsidRPr="003A1174">
        <w:rPr>
          <w:rFonts w:ascii="Garamond" w:hAnsi="Garamond" w:cs="Arial"/>
          <w:sz w:val="24"/>
          <w:szCs w:val="24"/>
        </w:rPr>
        <w:t xml:space="preserve"> ser. Est</w:t>
      </w:r>
      <w:r w:rsidR="00FB4A5E" w:rsidRPr="003A1174">
        <w:rPr>
          <w:rFonts w:ascii="Garamond" w:hAnsi="Garamond" w:cs="Arial"/>
          <w:sz w:val="24"/>
          <w:szCs w:val="24"/>
        </w:rPr>
        <w:t xml:space="preserve">a </w:t>
      </w:r>
      <w:r w:rsidR="006C760C" w:rsidRPr="003A1174">
        <w:rPr>
          <w:rFonts w:ascii="Garamond" w:hAnsi="Garamond" w:cs="Arial"/>
          <w:sz w:val="24"/>
          <w:szCs w:val="24"/>
        </w:rPr>
        <w:t>implementação</w:t>
      </w:r>
      <w:r w:rsidR="00EC682B" w:rsidRPr="003A1174">
        <w:rPr>
          <w:rFonts w:ascii="Garamond" w:hAnsi="Garamond" w:cs="Arial"/>
          <w:sz w:val="24"/>
          <w:szCs w:val="24"/>
        </w:rPr>
        <w:t xml:space="preserve"> </w:t>
      </w:r>
      <w:r w:rsidR="009A0CC2" w:rsidRPr="003A1174">
        <w:rPr>
          <w:rFonts w:ascii="Garamond" w:hAnsi="Garamond" w:cs="Arial"/>
          <w:sz w:val="24"/>
          <w:szCs w:val="24"/>
        </w:rPr>
        <w:t xml:space="preserve">limitada </w:t>
      </w:r>
      <w:r w:rsidR="00EC682B" w:rsidRPr="003A1174">
        <w:rPr>
          <w:rFonts w:ascii="Garamond" w:hAnsi="Garamond" w:cs="Arial"/>
          <w:sz w:val="24"/>
          <w:szCs w:val="24"/>
        </w:rPr>
        <w:t xml:space="preserve">da </w:t>
      </w:r>
      <w:r w:rsidR="009A0CC2" w:rsidRPr="003A1174">
        <w:rPr>
          <w:rFonts w:ascii="Garamond" w:hAnsi="Garamond" w:cs="Arial"/>
          <w:sz w:val="24"/>
          <w:szCs w:val="24"/>
        </w:rPr>
        <w:t xml:space="preserve">lei </w:t>
      </w:r>
      <w:r w:rsidR="007342D9" w:rsidRPr="003A1174">
        <w:rPr>
          <w:rFonts w:ascii="Garamond" w:hAnsi="Garamond" w:cs="Arial"/>
          <w:sz w:val="24"/>
          <w:szCs w:val="24"/>
        </w:rPr>
        <w:t>pode</w:t>
      </w:r>
      <w:r w:rsidR="00EC682B" w:rsidRPr="003A1174">
        <w:rPr>
          <w:rFonts w:ascii="Garamond" w:hAnsi="Garamond" w:cs="Arial"/>
          <w:sz w:val="24"/>
          <w:szCs w:val="24"/>
        </w:rPr>
        <w:t xml:space="preserve"> ser ocasionad</w:t>
      </w:r>
      <w:r w:rsidR="00FB4A5E" w:rsidRPr="003A1174">
        <w:rPr>
          <w:rFonts w:ascii="Garamond" w:hAnsi="Garamond" w:cs="Arial"/>
          <w:sz w:val="24"/>
          <w:szCs w:val="24"/>
        </w:rPr>
        <w:t>a</w:t>
      </w:r>
      <w:r w:rsidR="00EC682B" w:rsidRPr="003A1174">
        <w:rPr>
          <w:rFonts w:ascii="Garamond" w:hAnsi="Garamond" w:cs="Arial"/>
          <w:sz w:val="24"/>
          <w:szCs w:val="24"/>
        </w:rPr>
        <w:t xml:space="preserve"> pel</w:t>
      </w:r>
      <w:r w:rsidR="009A0CC2" w:rsidRPr="003A1174">
        <w:rPr>
          <w:rFonts w:ascii="Garamond" w:hAnsi="Garamond" w:cs="Arial"/>
          <w:sz w:val="24"/>
          <w:szCs w:val="24"/>
        </w:rPr>
        <w:t>o</w:t>
      </w:r>
      <w:r w:rsidR="00EC682B" w:rsidRPr="003A1174">
        <w:rPr>
          <w:rFonts w:ascii="Garamond" w:hAnsi="Garamond" w:cs="Arial"/>
          <w:sz w:val="24"/>
          <w:szCs w:val="24"/>
        </w:rPr>
        <w:t xml:space="preserve"> des</w:t>
      </w:r>
      <w:r w:rsidR="003E6403" w:rsidRPr="003A1174">
        <w:rPr>
          <w:rFonts w:ascii="Garamond" w:hAnsi="Garamond" w:cs="Arial"/>
          <w:sz w:val="24"/>
          <w:szCs w:val="24"/>
        </w:rPr>
        <w:t>conhecimento</w:t>
      </w:r>
      <w:r w:rsidR="00EC682B" w:rsidRPr="003A1174">
        <w:rPr>
          <w:rFonts w:ascii="Garamond" w:hAnsi="Garamond" w:cs="Arial"/>
          <w:sz w:val="24"/>
          <w:szCs w:val="24"/>
        </w:rPr>
        <w:t xml:space="preserve"> da </w:t>
      </w:r>
      <w:r w:rsidR="00524936" w:rsidRPr="003A1174">
        <w:rPr>
          <w:rFonts w:ascii="Garamond" w:hAnsi="Garamond" w:cs="Arial"/>
          <w:sz w:val="24"/>
          <w:szCs w:val="24"/>
        </w:rPr>
        <w:t>mesma</w:t>
      </w:r>
      <w:r w:rsidR="00EC682B" w:rsidRPr="003A1174">
        <w:rPr>
          <w:rFonts w:ascii="Garamond" w:hAnsi="Garamond" w:cs="Arial"/>
          <w:sz w:val="24"/>
          <w:szCs w:val="24"/>
        </w:rPr>
        <w:t xml:space="preserve"> o</w:t>
      </w:r>
      <w:r w:rsidR="009A0CC2" w:rsidRPr="003A1174">
        <w:rPr>
          <w:rFonts w:ascii="Garamond" w:hAnsi="Garamond" w:cs="Arial"/>
          <w:sz w:val="24"/>
          <w:szCs w:val="24"/>
        </w:rPr>
        <w:t>u</w:t>
      </w:r>
      <w:r w:rsidR="00EC682B" w:rsidRPr="003A1174">
        <w:rPr>
          <w:rFonts w:ascii="Garamond" w:hAnsi="Garamond" w:cs="Arial"/>
          <w:sz w:val="24"/>
          <w:szCs w:val="24"/>
        </w:rPr>
        <w:t xml:space="preserve"> p</w:t>
      </w:r>
      <w:r w:rsidR="009A0CC2" w:rsidRPr="003A1174">
        <w:rPr>
          <w:rFonts w:ascii="Garamond" w:hAnsi="Garamond" w:cs="Arial"/>
          <w:sz w:val="24"/>
          <w:szCs w:val="24"/>
        </w:rPr>
        <w:t>e</w:t>
      </w:r>
      <w:r w:rsidR="00FB4A5E" w:rsidRPr="003A1174">
        <w:rPr>
          <w:rFonts w:ascii="Garamond" w:hAnsi="Garamond" w:cs="Arial"/>
          <w:sz w:val="24"/>
          <w:szCs w:val="24"/>
        </w:rPr>
        <w:t>la esca</w:t>
      </w:r>
      <w:r w:rsidR="009A0CC2" w:rsidRPr="003A1174">
        <w:rPr>
          <w:rFonts w:ascii="Garamond" w:hAnsi="Garamond" w:cs="Arial"/>
          <w:sz w:val="24"/>
          <w:szCs w:val="24"/>
        </w:rPr>
        <w:t>s</w:t>
      </w:r>
      <w:r w:rsidR="00FB4A5E" w:rsidRPr="003A1174">
        <w:rPr>
          <w:rFonts w:ascii="Garamond" w:hAnsi="Garamond" w:cs="Arial"/>
          <w:sz w:val="24"/>
          <w:szCs w:val="24"/>
        </w:rPr>
        <w:t>sa</w:t>
      </w:r>
      <w:r w:rsidR="00EC682B" w:rsidRPr="003A1174">
        <w:rPr>
          <w:rFonts w:ascii="Garamond" w:hAnsi="Garamond" w:cs="Arial"/>
          <w:sz w:val="24"/>
          <w:szCs w:val="24"/>
        </w:rPr>
        <w:t xml:space="preserve"> </w:t>
      </w:r>
      <w:r w:rsidR="00C031E1" w:rsidRPr="003A1174">
        <w:rPr>
          <w:rFonts w:ascii="Garamond" w:hAnsi="Garamond" w:cs="Arial"/>
          <w:sz w:val="24"/>
          <w:szCs w:val="24"/>
        </w:rPr>
        <w:t>sensibiliza</w:t>
      </w:r>
      <w:r w:rsidR="009A0CC2" w:rsidRPr="003A1174">
        <w:rPr>
          <w:rFonts w:ascii="Garamond" w:hAnsi="Garamond" w:cs="Arial"/>
          <w:sz w:val="24"/>
          <w:szCs w:val="24"/>
        </w:rPr>
        <w:t xml:space="preserve">ção </w:t>
      </w:r>
      <w:r w:rsidR="00C031E1" w:rsidRPr="003A1174">
        <w:rPr>
          <w:rFonts w:ascii="Garamond" w:hAnsi="Garamond" w:cs="Arial"/>
          <w:sz w:val="24"/>
          <w:szCs w:val="24"/>
        </w:rPr>
        <w:t>que</w:t>
      </w:r>
      <w:r w:rsidR="00EC682B" w:rsidRPr="003A1174">
        <w:rPr>
          <w:rFonts w:ascii="Garamond" w:hAnsi="Garamond" w:cs="Arial"/>
          <w:sz w:val="24"/>
          <w:szCs w:val="24"/>
        </w:rPr>
        <w:t xml:space="preserve"> se t</w:t>
      </w:r>
      <w:r w:rsidR="009A0CC2" w:rsidRPr="003A1174">
        <w:rPr>
          <w:rFonts w:ascii="Garamond" w:hAnsi="Garamond" w:cs="Arial"/>
          <w:sz w:val="24"/>
          <w:szCs w:val="24"/>
        </w:rPr>
        <w:t xml:space="preserve">em sobre </w:t>
      </w:r>
      <w:r w:rsidR="00EC682B" w:rsidRPr="003A1174">
        <w:rPr>
          <w:rFonts w:ascii="Garamond" w:hAnsi="Garamond" w:cs="Arial"/>
          <w:sz w:val="24"/>
          <w:szCs w:val="24"/>
        </w:rPr>
        <w:t xml:space="preserve">os </w:t>
      </w:r>
      <w:r w:rsidR="00886D6A" w:rsidRPr="003A1174">
        <w:rPr>
          <w:rFonts w:ascii="Garamond" w:hAnsi="Garamond" w:cs="Arial"/>
          <w:sz w:val="24"/>
          <w:szCs w:val="24"/>
        </w:rPr>
        <w:t>direito</w:t>
      </w:r>
      <w:r w:rsidR="00EC682B" w:rsidRPr="003A1174">
        <w:rPr>
          <w:rFonts w:ascii="Garamond" w:hAnsi="Garamond" w:cs="Arial"/>
          <w:sz w:val="24"/>
          <w:szCs w:val="24"/>
        </w:rPr>
        <w:t xml:space="preserve">s das </w:t>
      </w:r>
      <w:r w:rsidR="00054EE0" w:rsidRPr="003A1174">
        <w:rPr>
          <w:rFonts w:ascii="Garamond" w:hAnsi="Garamond" w:cs="Arial"/>
          <w:sz w:val="24"/>
          <w:szCs w:val="24"/>
        </w:rPr>
        <w:t>mulheres</w:t>
      </w:r>
      <w:r w:rsidR="00EC682B" w:rsidRPr="003A1174">
        <w:rPr>
          <w:rFonts w:ascii="Garamond" w:hAnsi="Garamond" w:cs="Arial"/>
          <w:sz w:val="24"/>
          <w:szCs w:val="24"/>
        </w:rPr>
        <w:t>.</w:t>
      </w:r>
    </w:p>
    <w:p w:rsidR="00EC682B" w:rsidRPr="003A1174" w:rsidRDefault="009A0CC2" w:rsidP="008719D4">
      <w:pPr>
        <w:spacing w:after="0" w:line="240" w:lineRule="auto"/>
        <w:jc w:val="both"/>
        <w:rPr>
          <w:rFonts w:ascii="Garamond" w:hAnsi="Garamond" w:cs="Arial"/>
          <w:sz w:val="24"/>
          <w:szCs w:val="24"/>
        </w:rPr>
      </w:pPr>
      <w:r w:rsidRPr="003A1174">
        <w:rPr>
          <w:rFonts w:ascii="Garamond" w:hAnsi="Garamond" w:cs="Arial"/>
          <w:sz w:val="24"/>
          <w:szCs w:val="24"/>
        </w:rPr>
        <w:lastRenderedPageBreak/>
        <w:t xml:space="preserve">E quanto aos </w:t>
      </w:r>
      <w:r w:rsidR="00EC682B" w:rsidRPr="003A1174">
        <w:rPr>
          <w:rFonts w:ascii="Garamond" w:hAnsi="Garamond" w:cs="Arial"/>
          <w:sz w:val="24"/>
          <w:szCs w:val="24"/>
        </w:rPr>
        <w:t xml:space="preserve">textos </w:t>
      </w:r>
      <w:r w:rsidR="002D1021" w:rsidRPr="003A1174">
        <w:rPr>
          <w:rFonts w:ascii="Garamond" w:hAnsi="Garamond" w:cs="Arial"/>
          <w:sz w:val="24"/>
          <w:szCs w:val="24"/>
        </w:rPr>
        <w:t>legais</w:t>
      </w:r>
      <w:r w:rsidR="00EC682B" w:rsidRPr="003A1174">
        <w:rPr>
          <w:rFonts w:ascii="Garamond" w:hAnsi="Garamond" w:cs="Arial"/>
          <w:sz w:val="24"/>
          <w:szCs w:val="24"/>
        </w:rPr>
        <w:t xml:space="preserve"> referidos</w:t>
      </w:r>
      <w:r w:rsidR="009A5087">
        <w:rPr>
          <w:rFonts w:ascii="Garamond" w:hAnsi="Garamond" w:cs="Arial"/>
          <w:sz w:val="24"/>
          <w:szCs w:val="24"/>
        </w:rPr>
        <w:t>,</w:t>
      </w:r>
      <w:r w:rsidR="00EC682B" w:rsidRPr="003A1174">
        <w:rPr>
          <w:rFonts w:ascii="Garamond" w:hAnsi="Garamond" w:cs="Arial"/>
          <w:sz w:val="24"/>
          <w:szCs w:val="24"/>
        </w:rPr>
        <w:t xml:space="preserve"> anteriormente, </w:t>
      </w:r>
      <w:r w:rsidRPr="003A1174">
        <w:rPr>
          <w:rFonts w:ascii="Garamond" w:hAnsi="Garamond" w:cs="Arial"/>
          <w:sz w:val="24"/>
          <w:szCs w:val="24"/>
        </w:rPr>
        <w:t>até à rec</w:t>
      </w:r>
      <w:r w:rsidR="00EC682B" w:rsidRPr="003A1174">
        <w:rPr>
          <w:rFonts w:ascii="Garamond" w:hAnsi="Garamond" w:cs="Arial"/>
          <w:sz w:val="24"/>
          <w:szCs w:val="24"/>
        </w:rPr>
        <w:t xml:space="preserve">ente data, </w:t>
      </w:r>
      <w:r w:rsidRPr="003A1174">
        <w:rPr>
          <w:rFonts w:ascii="Garamond" w:hAnsi="Garamond" w:cs="Arial"/>
          <w:sz w:val="24"/>
          <w:szCs w:val="24"/>
        </w:rPr>
        <w:t xml:space="preserve">ainda </w:t>
      </w:r>
      <w:r w:rsidR="00EC682B" w:rsidRPr="003A1174">
        <w:rPr>
          <w:rFonts w:ascii="Garamond" w:hAnsi="Garamond" w:cs="Arial"/>
          <w:sz w:val="24"/>
          <w:szCs w:val="24"/>
        </w:rPr>
        <w:t>n</w:t>
      </w:r>
      <w:r w:rsidRPr="003A1174">
        <w:rPr>
          <w:rFonts w:ascii="Garamond" w:hAnsi="Garamond" w:cs="Arial"/>
          <w:sz w:val="24"/>
          <w:szCs w:val="24"/>
        </w:rPr>
        <w:t>ã</w:t>
      </w:r>
      <w:r w:rsidR="00EC682B" w:rsidRPr="003A1174">
        <w:rPr>
          <w:rFonts w:ascii="Garamond" w:hAnsi="Garamond" w:cs="Arial"/>
          <w:sz w:val="24"/>
          <w:szCs w:val="24"/>
        </w:rPr>
        <w:t xml:space="preserve">o </w:t>
      </w:r>
      <w:r w:rsidRPr="003A1174">
        <w:rPr>
          <w:rFonts w:ascii="Garamond" w:hAnsi="Garamond" w:cs="Arial"/>
          <w:sz w:val="24"/>
          <w:szCs w:val="24"/>
        </w:rPr>
        <w:t xml:space="preserve">é possível </w:t>
      </w:r>
      <w:r w:rsidR="00EC682B" w:rsidRPr="003A1174">
        <w:rPr>
          <w:rFonts w:ascii="Garamond" w:hAnsi="Garamond" w:cs="Arial"/>
          <w:sz w:val="24"/>
          <w:szCs w:val="24"/>
        </w:rPr>
        <w:t>medir</w:t>
      </w:r>
      <w:r w:rsidRPr="003A1174">
        <w:rPr>
          <w:rFonts w:ascii="Garamond" w:hAnsi="Garamond" w:cs="Arial"/>
          <w:sz w:val="24"/>
          <w:szCs w:val="24"/>
        </w:rPr>
        <w:t xml:space="preserve"> o seu impacto com </w:t>
      </w:r>
      <w:r w:rsidR="00EC682B" w:rsidRPr="003A1174">
        <w:rPr>
          <w:rFonts w:ascii="Garamond" w:hAnsi="Garamond" w:cs="Arial"/>
          <w:sz w:val="24"/>
          <w:szCs w:val="24"/>
        </w:rPr>
        <w:t>objetividad</w:t>
      </w:r>
      <w:r w:rsidRPr="003A1174">
        <w:rPr>
          <w:rFonts w:ascii="Garamond" w:hAnsi="Garamond" w:cs="Arial"/>
          <w:sz w:val="24"/>
          <w:szCs w:val="24"/>
        </w:rPr>
        <w:t>e</w:t>
      </w:r>
      <w:r w:rsidR="00EC682B" w:rsidRPr="003A1174">
        <w:rPr>
          <w:rFonts w:ascii="Garamond" w:hAnsi="Garamond" w:cs="Arial"/>
          <w:sz w:val="24"/>
          <w:szCs w:val="24"/>
        </w:rPr>
        <w:t>.</w:t>
      </w:r>
    </w:p>
    <w:p w:rsidR="009D7A0B" w:rsidRPr="003A1174" w:rsidRDefault="009D7A0B" w:rsidP="008719D4">
      <w:pPr>
        <w:spacing w:line="240" w:lineRule="auto"/>
        <w:jc w:val="both"/>
        <w:rPr>
          <w:rFonts w:ascii="Garamond" w:hAnsi="Garamond" w:cs="Arial"/>
          <w:sz w:val="24"/>
          <w:szCs w:val="24"/>
        </w:rPr>
      </w:pPr>
    </w:p>
    <w:p w:rsidR="00D85220" w:rsidRPr="003A1174" w:rsidRDefault="009D7A0B" w:rsidP="008719D4">
      <w:pPr>
        <w:pStyle w:val="Predeterminado"/>
        <w:spacing w:before="240" w:line="240" w:lineRule="auto"/>
        <w:jc w:val="both"/>
        <w:rPr>
          <w:rFonts w:ascii="Garamond" w:hAnsi="Garamond" w:cs="Arial"/>
          <w:b/>
          <w:color w:val="auto"/>
          <w:sz w:val="24"/>
          <w:szCs w:val="24"/>
          <w:lang w:val="pt-PT"/>
        </w:rPr>
      </w:pPr>
      <w:r w:rsidRPr="003A1174">
        <w:rPr>
          <w:rFonts w:ascii="Garamond" w:hAnsi="Garamond" w:cs="Arial"/>
          <w:b/>
          <w:sz w:val="24"/>
          <w:szCs w:val="24"/>
          <w:lang w:val="pt-PT"/>
        </w:rPr>
        <w:t>Costa Rica</w:t>
      </w:r>
      <w:r w:rsidR="00D85220" w:rsidRPr="003A1174">
        <w:rPr>
          <w:rStyle w:val="Refdenotaalpie"/>
          <w:rFonts w:ascii="Garamond" w:hAnsi="Garamond" w:cs="Arial"/>
          <w:b/>
          <w:color w:val="auto"/>
          <w:sz w:val="24"/>
          <w:szCs w:val="24"/>
        </w:rPr>
        <w:footnoteReference w:id="61"/>
      </w:r>
    </w:p>
    <w:p w:rsidR="00EC682B" w:rsidRPr="003A1174" w:rsidRDefault="00FB4A5E"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E</w:t>
      </w:r>
      <w:r w:rsidR="009A0CC2"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731B19" w:rsidRPr="003A1174">
        <w:rPr>
          <w:rFonts w:ascii="Garamond" w:eastAsiaTheme="minorHAnsi" w:hAnsi="Garamond" w:cs="Arial"/>
          <w:sz w:val="24"/>
          <w:szCs w:val="24"/>
        </w:rPr>
        <w:t>termos</w:t>
      </w:r>
      <w:r w:rsidRPr="003A1174">
        <w:rPr>
          <w:rFonts w:ascii="Garamond" w:eastAsiaTheme="minorHAnsi" w:hAnsi="Garamond" w:cs="Arial"/>
          <w:sz w:val="24"/>
          <w:szCs w:val="24"/>
        </w:rPr>
        <w:t xml:space="preserve"> </w:t>
      </w:r>
      <w:r w:rsidR="009A0CC2" w:rsidRPr="003A1174">
        <w:rPr>
          <w:rFonts w:ascii="Garamond" w:eastAsiaTheme="minorHAnsi" w:hAnsi="Garamond" w:cs="Arial"/>
          <w:sz w:val="24"/>
          <w:szCs w:val="24"/>
        </w:rPr>
        <w:t>convencionais</w:t>
      </w:r>
      <w:r w:rsidR="00EC682B" w:rsidRPr="003A1174">
        <w:rPr>
          <w:rFonts w:ascii="Garamond" w:eastAsiaTheme="minorHAnsi" w:hAnsi="Garamond" w:cs="Arial"/>
          <w:sz w:val="24"/>
          <w:szCs w:val="24"/>
        </w:rPr>
        <w:t xml:space="preserve">, </w:t>
      </w:r>
      <w:r w:rsidR="009A0CC2" w:rsidRPr="003A1174">
        <w:rPr>
          <w:rFonts w:ascii="Garamond" w:eastAsiaTheme="minorHAnsi" w:hAnsi="Garamond" w:cs="Arial"/>
          <w:sz w:val="24"/>
          <w:szCs w:val="24"/>
        </w:rPr>
        <w:t xml:space="preserve">o </w:t>
      </w:r>
      <w:r w:rsidR="00EC682B" w:rsidRPr="003A1174">
        <w:rPr>
          <w:rFonts w:ascii="Garamond" w:eastAsiaTheme="minorHAnsi" w:hAnsi="Garamond" w:cs="Arial"/>
          <w:sz w:val="24"/>
          <w:szCs w:val="24"/>
        </w:rPr>
        <w:t xml:space="preserve">Estado </w:t>
      </w:r>
      <w:r w:rsidR="00A862C2" w:rsidRPr="009A5087">
        <w:rPr>
          <w:rFonts w:ascii="Garamond" w:eastAsiaTheme="minorHAnsi" w:hAnsi="Garamond" w:cs="Arial"/>
          <w:sz w:val="24"/>
          <w:szCs w:val="24"/>
        </w:rPr>
        <w:t>costa-riquenho</w:t>
      </w:r>
      <w:r w:rsidR="00EC682B" w:rsidRPr="003A1174">
        <w:rPr>
          <w:rFonts w:ascii="Garamond" w:eastAsiaTheme="minorHAnsi" w:hAnsi="Garamond" w:cs="Arial"/>
          <w:sz w:val="24"/>
          <w:szCs w:val="24"/>
        </w:rPr>
        <w:t xml:space="preserve"> ratific</w:t>
      </w:r>
      <w:r w:rsidR="00497503" w:rsidRPr="003A1174">
        <w:rPr>
          <w:rFonts w:ascii="Garamond" w:eastAsiaTheme="minorHAnsi" w:hAnsi="Garamond" w:cs="Arial"/>
          <w:sz w:val="24"/>
          <w:szCs w:val="24"/>
        </w:rPr>
        <w:t xml:space="preserve">ou </w:t>
      </w:r>
      <w:r w:rsidR="00EC682B" w:rsidRPr="003A1174">
        <w:rPr>
          <w:rFonts w:ascii="Garamond" w:eastAsiaTheme="minorHAnsi" w:hAnsi="Garamond" w:cs="Arial"/>
          <w:sz w:val="24"/>
          <w:szCs w:val="24"/>
        </w:rPr>
        <w:t xml:space="preserve">os instrumentos </w:t>
      </w:r>
      <w:r w:rsidR="00EF645F" w:rsidRPr="003A1174">
        <w:rPr>
          <w:rFonts w:ascii="Garamond" w:eastAsiaTheme="minorHAnsi" w:hAnsi="Garamond" w:cs="Arial"/>
          <w:sz w:val="24"/>
          <w:szCs w:val="24"/>
        </w:rPr>
        <w:t>internacionais</w:t>
      </w:r>
      <w:r w:rsidR="00EC682B" w:rsidRPr="003A1174">
        <w:rPr>
          <w:rFonts w:ascii="Garamond" w:eastAsiaTheme="minorHAnsi" w:hAnsi="Garamond" w:cs="Arial"/>
          <w:sz w:val="24"/>
          <w:szCs w:val="24"/>
        </w:rPr>
        <w:t xml:space="preserve"> que </w:t>
      </w:r>
      <w:r w:rsidR="00FB09CA" w:rsidRPr="003A1174">
        <w:rPr>
          <w:rFonts w:ascii="Garamond" w:eastAsiaTheme="minorHAnsi" w:hAnsi="Garamond" w:cs="Arial"/>
          <w:sz w:val="24"/>
          <w:szCs w:val="24"/>
        </w:rPr>
        <w:t>constitu</w:t>
      </w:r>
      <w:r w:rsidR="00497503" w:rsidRPr="003A1174">
        <w:rPr>
          <w:rFonts w:ascii="Garamond" w:eastAsiaTheme="minorHAnsi" w:hAnsi="Garamond" w:cs="Arial"/>
          <w:sz w:val="24"/>
          <w:szCs w:val="24"/>
        </w:rPr>
        <w:t xml:space="preserve">em </w:t>
      </w:r>
      <w:r w:rsidR="00EC682B" w:rsidRPr="003A1174">
        <w:rPr>
          <w:rFonts w:ascii="Garamond" w:eastAsiaTheme="minorHAnsi" w:hAnsi="Garamond" w:cs="Arial"/>
          <w:sz w:val="24"/>
          <w:szCs w:val="24"/>
        </w:rPr>
        <w:t xml:space="preserve">a base </w:t>
      </w:r>
      <w:r w:rsidR="00497503" w:rsidRPr="003A1174">
        <w:rPr>
          <w:rFonts w:ascii="Garamond" w:eastAsiaTheme="minorHAnsi" w:hAnsi="Garamond" w:cs="Arial"/>
          <w:sz w:val="24"/>
          <w:szCs w:val="24"/>
        </w:rPr>
        <w:t>dos</w:t>
      </w:r>
      <w:r w:rsidR="00EC682B"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 xml:space="preserve">s humanos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a saber: </w:t>
      </w:r>
      <w:r w:rsidR="00497503" w:rsidRPr="003A1174">
        <w:rPr>
          <w:rFonts w:ascii="Garamond" w:eastAsiaTheme="minorHAnsi" w:hAnsi="Garamond" w:cs="Arial"/>
          <w:sz w:val="24"/>
          <w:szCs w:val="24"/>
        </w:rPr>
        <w:t xml:space="preserve">A </w:t>
      </w:r>
      <w:r w:rsidR="00B14AA6" w:rsidRPr="003A1174">
        <w:rPr>
          <w:rFonts w:ascii="Garamond" w:eastAsiaTheme="minorHAnsi" w:hAnsi="Garamond" w:cs="Arial"/>
          <w:i/>
          <w:sz w:val="24"/>
          <w:szCs w:val="24"/>
        </w:rPr>
        <w:t>Convenção</w:t>
      </w:r>
      <w:r w:rsidR="00497503" w:rsidRPr="003A1174">
        <w:rPr>
          <w:rFonts w:ascii="Garamond" w:eastAsiaTheme="minorHAnsi" w:hAnsi="Garamond" w:cs="Arial"/>
          <w:i/>
          <w:sz w:val="24"/>
          <w:szCs w:val="24"/>
        </w:rPr>
        <w:t xml:space="preserve"> sobre </w:t>
      </w:r>
      <w:r w:rsidR="00EC682B" w:rsidRPr="003A1174">
        <w:rPr>
          <w:rFonts w:ascii="Garamond" w:eastAsiaTheme="minorHAnsi" w:hAnsi="Garamond" w:cs="Arial"/>
          <w:i/>
          <w:sz w:val="24"/>
          <w:szCs w:val="24"/>
        </w:rPr>
        <w:t xml:space="preserve">a </w:t>
      </w:r>
      <w:r w:rsidR="008E7A2A" w:rsidRPr="003A1174">
        <w:rPr>
          <w:rFonts w:ascii="Garamond" w:eastAsiaTheme="minorHAnsi" w:hAnsi="Garamond" w:cs="Arial"/>
          <w:i/>
          <w:sz w:val="24"/>
          <w:szCs w:val="24"/>
        </w:rPr>
        <w:t>Eliminação</w:t>
      </w:r>
      <w:r w:rsidR="00497503" w:rsidRPr="003A1174">
        <w:rPr>
          <w:rFonts w:ascii="Garamond" w:eastAsiaTheme="minorHAnsi" w:hAnsi="Garamond" w:cs="Arial"/>
          <w:i/>
          <w:sz w:val="24"/>
          <w:szCs w:val="24"/>
        </w:rPr>
        <w:t xml:space="preserve"> de Todas </w:t>
      </w:r>
      <w:r w:rsidR="00EC682B" w:rsidRPr="003A1174">
        <w:rPr>
          <w:rFonts w:ascii="Garamond" w:eastAsiaTheme="minorHAnsi" w:hAnsi="Garamond" w:cs="Arial"/>
          <w:i/>
          <w:sz w:val="24"/>
          <w:szCs w:val="24"/>
        </w:rPr>
        <w:t xml:space="preserve">as Formas de </w:t>
      </w:r>
      <w:r w:rsidR="0017447A" w:rsidRPr="003A1174">
        <w:rPr>
          <w:rFonts w:ascii="Garamond" w:eastAsiaTheme="minorHAnsi" w:hAnsi="Garamond" w:cs="Arial"/>
          <w:i/>
          <w:sz w:val="24"/>
          <w:szCs w:val="24"/>
        </w:rPr>
        <w:t>Discriminação</w:t>
      </w:r>
      <w:r w:rsidR="00497503" w:rsidRPr="003A1174">
        <w:rPr>
          <w:rFonts w:ascii="Garamond" w:eastAsiaTheme="minorHAnsi" w:hAnsi="Garamond" w:cs="Arial"/>
          <w:i/>
          <w:sz w:val="24"/>
          <w:szCs w:val="24"/>
        </w:rPr>
        <w:t xml:space="preserve"> contra </w:t>
      </w:r>
      <w:r w:rsidR="00EC682B" w:rsidRPr="003A1174">
        <w:rPr>
          <w:rFonts w:ascii="Garamond" w:eastAsiaTheme="minorHAnsi" w:hAnsi="Garamond" w:cs="Arial"/>
          <w:i/>
          <w:sz w:val="24"/>
          <w:szCs w:val="24"/>
        </w:rPr>
        <w:t xml:space="preserve">a </w:t>
      </w:r>
      <w:r w:rsidR="00AF192F" w:rsidRPr="003A1174">
        <w:rPr>
          <w:rFonts w:ascii="Garamond" w:eastAsiaTheme="minorHAnsi" w:hAnsi="Garamond" w:cs="Arial"/>
          <w:i/>
          <w:sz w:val="24"/>
          <w:szCs w:val="24"/>
        </w:rPr>
        <w:t>Mulher</w:t>
      </w:r>
      <w:r w:rsidR="00EC682B" w:rsidRPr="003A1174">
        <w:rPr>
          <w:rFonts w:ascii="Garamond" w:eastAsiaTheme="minorHAnsi" w:hAnsi="Garamond" w:cs="Arial"/>
          <w:i/>
          <w:sz w:val="24"/>
          <w:szCs w:val="24"/>
        </w:rPr>
        <w:t xml:space="preserve"> </w:t>
      </w:r>
      <w:r w:rsidR="00EC682B" w:rsidRPr="003A1174">
        <w:rPr>
          <w:rFonts w:ascii="Garamond" w:eastAsiaTheme="minorHAnsi" w:hAnsi="Garamond" w:cs="Arial"/>
          <w:sz w:val="24"/>
          <w:szCs w:val="24"/>
        </w:rPr>
        <w:t>(CEDAW)</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xml:space="preserve"> ratificado </w:t>
      </w:r>
      <w:r w:rsidR="00497503" w:rsidRPr="003A1174">
        <w:rPr>
          <w:rFonts w:ascii="Garamond" w:eastAsiaTheme="minorHAnsi" w:hAnsi="Garamond" w:cs="Arial"/>
          <w:sz w:val="24"/>
          <w:szCs w:val="24"/>
        </w:rPr>
        <w:t xml:space="preserve">a </w:t>
      </w:r>
      <w:r w:rsidR="00EC682B" w:rsidRPr="003A1174">
        <w:rPr>
          <w:rFonts w:ascii="Garamond" w:eastAsiaTheme="minorHAnsi" w:hAnsi="Garamond" w:cs="Arial"/>
          <w:sz w:val="24"/>
          <w:szCs w:val="24"/>
        </w:rPr>
        <w:t xml:space="preserve">18 de </w:t>
      </w:r>
      <w:r w:rsidR="0094067E" w:rsidRPr="003A1174">
        <w:rPr>
          <w:rFonts w:ascii="Garamond" w:eastAsiaTheme="minorHAnsi" w:hAnsi="Garamond" w:cs="Arial"/>
          <w:sz w:val="24"/>
          <w:szCs w:val="24"/>
        </w:rPr>
        <w:t>dezembro</w:t>
      </w:r>
      <w:r w:rsidR="00EC682B" w:rsidRPr="003A1174">
        <w:rPr>
          <w:rFonts w:ascii="Garamond" w:eastAsiaTheme="minorHAnsi" w:hAnsi="Garamond" w:cs="Arial"/>
          <w:sz w:val="24"/>
          <w:szCs w:val="24"/>
        </w:rPr>
        <w:t xml:space="preserve"> de 1995</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 xml:space="preserve">através da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xml:space="preserve">° 6968, </w:t>
      </w:r>
      <w:r w:rsidR="00497503" w:rsidRPr="003A1174">
        <w:rPr>
          <w:rFonts w:ascii="Garamond" w:eastAsiaTheme="minorHAnsi" w:hAnsi="Garamond" w:cs="Arial"/>
          <w:sz w:val="24"/>
          <w:szCs w:val="24"/>
        </w:rPr>
        <w:t xml:space="preserve">o </w:t>
      </w:r>
      <w:r w:rsidR="00EC682B" w:rsidRPr="003A1174">
        <w:rPr>
          <w:rFonts w:ascii="Garamond" w:eastAsiaTheme="minorHAnsi" w:hAnsi="Garamond" w:cs="Arial"/>
          <w:sz w:val="24"/>
          <w:szCs w:val="24"/>
        </w:rPr>
        <w:t>s</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u Protocolo </w:t>
      </w:r>
      <w:r w:rsidR="000456B2" w:rsidRPr="003A1174">
        <w:rPr>
          <w:rFonts w:ascii="Garamond" w:eastAsiaTheme="minorHAnsi" w:hAnsi="Garamond" w:cs="Arial"/>
          <w:sz w:val="24"/>
          <w:szCs w:val="24"/>
        </w:rPr>
        <w:t>Opcional</w:t>
      </w:r>
      <w:r w:rsidR="00EC682B" w:rsidRPr="003A1174">
        <w:rPr>
          <w:rFonts w:ascii="Garamond" w:eastAsiaTheme="minorHAnsi" w:hAnsi="Garamond" w:cs="Arial"/>
          <w:sz w:val="24"/>
          <w:szCs w:val="24"/>
        </w:rPr>
        <w:t xml:space="preserve"> ratificado</w:t>
      </w:r>
      <w:r w:rsidR="009A5087">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 xml:space="preserve">a </w:t>
      </w:r>
      <w:r w:rsidR="00EC682B" w:rsidRPr="003A1174">
        <w:rPr>
          <w:rFonts w:ascii="Garamond" w:eastAsiaTheme="minorHAnsi" w:hAnsi="Garamond" w:cs="Arial"/>
          <w:sz w:val="24"/>
          <w:szCs w:val="24"/>
        </w:rPr>
        <w:t xml:space="preserve">20 de </w:t>
      </w:r>
      <w:r w:rsidR="00077461" w:rsidRPr="003A1174">
        <w:rPr>
          <w:rFonts w:ascii="Garamond" w:eastAsiaTheme="minorHAnsi" w:hAnsi="Garamond" w:cs="Arial"/>
          <w:sz w:val="24"/>
          <w:szCs w:val="24"/>
        </w:rPr>
        <w:t>setembro</w:t>
      </w:r>
      <w:r w:rsidR="00EC682B" w:rsidRPr="003A1174">
        <w:rPr>
          <w:rFonts w:ascii="Garamond" w:eastAsiaTheme="minorHAnsi" w:hAnsi="Garamond" w:cs="Arial"/>
          <w:sz w:val="24"/>
          <w:szCs w:val="24"/>
        </w:rPr>
        <w:t xml:space="preserve"> de 2001, as</w:t>
      </w:r>
      <w:r w:rsidR="00497503" w:rsidRPr="003A1174">
        <w:rPr>
          <w:rFonts w:ascii="Garamond" w:eastAsiaTheme="minorHAnsi" w:hAnsi="Garamond" w:cs="Arial"/>
          <w:sz w:val="24"/>
          <w:szCs w:val="24"/>
        </w:rPr>
        <w:t xml:space="preserve">sim como </w:t>
      </w:r>
      <w:r w:rsidR="00EC682B" w:rsidRPr="003A1174">
        <w:rPr>
          <w:rFonts w:ascii="Garamond" w:eastAsiaTheme="minorHAnsi" w:hAnsi="Garamond" w:cs="Arial"/>
          <w:sz w:val="24"/>
          <w:szCs w:val="24"/>
        </w:rPr>
        <w:t xml:space="preserve">a </w:t>
      </w:r>
      <w:r w:rsidR="00B14AA6" w:rsidRPr="003A1174">
        <w:rPr>
          <w:rFonts w:ascii="Garamond" w:eastAsiaTheme="minorHAnsi" w:hAnsi="Garamond" w:cs="Arial"/>
          <w:i/>
          <w:sz w:val="24"/>
          <w:szCs w:val="24"/>
        </w:rPr>
        <w:t>Convenção</w:t>
      </w:r>
      <w:r w:rsidR="00EC682B" w:rsidRPr="003A1174">
        <w:rPr>
          <w:rFonts w:ascii="Garamond" w:eastAsiaTheme="minorHAnsi" w:hAnsi="Garamond" w:cs="Arial"/>
          <w:i/>
          <w:sz w:val="24"/>
          <w:szCs w:val="24"/>
        </w:rPr>
        <w:t xml:space="preserve"> Interamer</w:t>
      </w:r>
      <w:r w:rsidR="00497503" w:rsidRPr="003A1174">
        <w:rPr>
          <w:rFonts w:ascii="Garamond" w:eastAsiaTheme="minorHAnsi" w:hAnsi="Garamond" w:cs="Arial"/>
          <w:i/>
          <w:sz w:val="24"/>
          <w:szCs w:val="24"/>
        </w:rPr>
        <w:t xml:space="preserve">icana para </w:t>
      </w:r>
      <w:r w:rsidR="003F493C" w:rsidRPr="003A1174">
        <w:rPr>
          <w:rFonts w:ascii="Garamond" w:eastAsiaTheme="minorHAnsi" w:hAnsi="Garamond" w:cs="Arial"/>
          <w:i/>
          <w:sz w:val="24"/>
          <w:szCs w:val="24"/>
        </w:rPr>
        <w:t>Prevenir, Punir e Erradicar</w:t>
      </w:r>
      <w:r w:rsidR="00497503" w:rsidRPr="003A1174">
        <w:rPr>
          <w:rFonts w:ascii="Garamond" w:eastAsiaTheme="minorHAnsi" w:hAnsi="Garamond" w:cs="Arial"/>
          <w:i/>
          <w:sz w:val="24"/>
          <w:szCs w:val="24"/>
        </w:rPr>
        <w:t xml:space="preserve"> </w:t>
      </w:r>
      <w:r w:rsidR="00EC682B" w:rsidRPr="003A1174">
        <w:rPr>
          <w:rFonts w:ascii="Garamond" w:eastAsiaTheme="minorHAnsi" w:hAnsi="Garamond" w:cs="Arial"/>
          <w:i/>
          <w:sz w:val="24"/>
          <w:szCs w:val="24"/>
        </w:rPr>
        <w:t xml:space="preserve">a </w:t>
      </w:r>
      <w:r w:rsidR="000350B1" w:rsidRPr="003A1174">
        <w:rPr>
          <w:rFonts w:ascii="Garamond" w:eastAsiaTheme="minorHAnsi" w:hAnsi="Garamond" w:cs="Arial"/>
          <w:i/>
          <w:sz w:val="24"/>
          <w:szCs w:val="24"/>
        </w:rPr>
        <w:t>Violência</w:t>
      </w:r>
      <w:r w:rsidR="00497503" w:rsidRPr="003A1174">
        <w:rPr>
          <w:rFonts w:ascii="Garamond" w:eastAsiaTheme="minorHAnsi" w:hAnsi="Garamond" w:cs="Arial"/>
          <w:i/>
          <w:sz w:val="24"/>
          <w:szCs w:val="24"/>
        </w:rPr>
        <w:t xml:space="preserve"> contra </w:t>
      </w:r>
      <w:r w:rsidR="00EC682B" w:rsidRPr="003A1174">
        <w:rPr>
          <w:rFonts w:ascii="Garamond" w:eastAsiaTheme="minorHAnsi" w:hAnsi="Garamond" w:cs="Arial"/>
          <w:i/>
          <w:sz w:val="24"/>
          <w:szCs w:val="24"/>
        </w:rPr>
        <w:t xml:space="preserve">a </w:t>
      </w:r>
      <w:r w:rsidR="00AF192F" w:rsidRPr="003A1174">
        <w:rPr>
          <w:rFonts w:ascii="Garamond" w:eastAsiaTheme="minorHAnsi" w:hAnsi="Garamond" w:cs="Arial"/>
          <w:i/>
          <w:sz w:val="24"/>
          <w:szCs w:val="24"/>
        </w:rPr>
        <w:t>Mulher</w:t>
      </w:r>
      <w:r w:rsidR="00EC682B" w:rsidRPr="003A1174">
        <w:rPr>
          <w:rFonts w:ascii="Garamond" w:eastAsiaTheme="minorHAnsi" w:hAnsi="Garamond" w:cs="Arial"/>
          <w:sz w:val="24"/>
          <w:szCs w:val="24"/>
        </w:rPr>
        <w:t xml:space="preserve"> (</w:t>
      </w:r>
      <w:r w:rsidR="00B14AA6" w:rsidRPr="003A1174">
        <w:rPr>
          <w:rFonts w:ascii="Garamond" w:eastAsiaTheme="minorHAnsi" w:hAnsi="Garamond" w:cs="Arial"/>
          <w:sz w:val="24"/>
          <w:szCs w:val="24"/>
        </w:rPr>
        <w:t>Convenção</w:t>
      </w:r>
      <w:r w:rsidR="00EC682B" w:rsidRPr="003A1174">
        <w:rPr>
          <w:rFonts w:ascii="Garamond" w:eastAsiaTheme="minorHAnsi" w:hAnsi="Garamond" w:cs="Arial"/>
          <w:sz w:val="24"/>
          <w:szCs w:val="24"/>
        </w:rPr>
        <w:t xml:space="preserve"> de Belém </w:t>
      </w:r>
      <w:r w:rsidR="002A7515">
        <w:rPr>
          <w:rFonts w:ascii="Garamond" w:eastAsiaTheme="minorHAnsi" w:hAnsi="Garamond" w:cs="Arial"/>
          <w:sz w:val="24"/>
          <w:szCs w:val="24"/>
        </w:rPr>
        <w:t>d</w:t>
      </w:r>
      <w:r w:rsidR="00EC682B" w:rsidRPr="003A1174">
        <w:rPr>
          <w:rFonts w:ascii="Garamond" w:eastAsiaTheme="minorHAnsi" w:hAnsi="Garamond" w:cs="Arial"/>
          <w:sz w:val="24"/>
          <w:szCs w:val="24"/>
        </w:rPr>
        <w:t>o Pará)</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ref</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rendada</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 xml:space="preserve">a </w:t>
      </w:r>
      <w:r w:rsidR="00EC682B" w:rsidRPr="003A1174">
        <w:rPr>
          <w:rFonts w:ascii="Garamond" w:eastAsiaTheme="minorHAnsi" w:hAnsi="Garamond" w:cs="Arial"/>
          <w:sz w:val="24"/>
          <w:szCs w:val="24"/>
        </w:rPr>
        <w:t xml:space="preserve">12 de </w:t>
      </w:r>
      <w:r w:rsidR="009E3E55" w:rsidRPr="003A1174">
        <w:rPr>
          <w:rFonts w:ascii="Garamond" w:eastAsiaTheme="minorHAnsi" w:hAnsi="Garamond" w:cs="Arial"/>
          <w:sz w:val="24"/>
          <w:szCs w:val="24"/>
        </w:rPr>
        <w:t>julho</w:t>
      </w:r>
      <w:r w:rsidR="00497503" w:rsidRPr="003A1174">
        <w:rPr>
          <w:rFonts w:ascii="Garamond" w:eastAsiaTheme="minorHAnsi" w:hAnsi="Garamond" w:cs="Arial"/>
          <w:sz w:val="24"/>
          <w:szCs w:val="24"/>
        </w:rPr>
        <w:t xml:space="preserve"> de 1995</w:t>
      </w:r>
      <w:r w:rsidR="009A5087">
        <w:rPr>
          <w:rFonts w:ascii="Garamond" w:eastAsiaTheme="minorHAnsi" w:hAnsi="Garamond" w:cs="Arial"/>
          <w:sz w:val="24"/>
          <w:szCs w:val="24"/>
        </w:rPr>
        <w:t>,</w:t>
      </w:r>
      <w:r w:rsidR="00497503" w:rsidRPr="003A1174">
        <w:rPr>
          <w:rFonts w:ascii="Garamond" w:eastAsiaTheme="minorHAnsi" w:hAnsi="Garamond" w:cs="Arial"/>
          <w:sz w:val="24"/>
          <w:szCs w:val="24"/>
        </w:rPr>
        <w:t xml:space="preserve"> </w:t>
      </w:r>
      <w:r w:rsidR="00AB16D4">
        <w:rPr>
          <w:rFonts w:ascii="Garamond" w:eastAsiaTheme="minorHAnsi" w:hAnsi="Garamond" w:cs="Arial"/>
          <w:sz w:val="24"/>
          <w:szCs w:val="24"/>
        </w:rPr>
        <w:t>através da</w:t>
      </w:r>
      <w:r w:rsidR="00EC682B" w:rsidRPr="003A1174">
        <w:rPr>
          <w:rFonts w:ascii="Garamond" w:eastAsiaTheme="minorHAnsi" w:hAnsi="Garamond" w:cs="Arial"/>
          <w:sz w:val="24"/>
          <w:szCs w:val="24"/>
        </w:rPr>
        <w:t xml:space="preserve">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xml:space="preserve">° 7499. </w:t>
      </w:r>
    </w:p>
    <w:p w:rsidR="00FB4A5E" w:rsidRPr="003A1174" w:rsidRDefault="00FB4A5E" w:rsidP="008719D4">
      <w:pPr>
        <w:spacing w:after="0" w:line="240" w:lineRule="auto"/>
        <w:jc w:val="both"/>
        <w:rPr>
          <w:rFonts w:ascii="Garamond" w:eastAsiaTheme="minorHAnsi" w:hAnsi="Garamond" w:cs="Arial"/>
          <w:sz w:val="24"/>
          <w:szCs w:val="24"/>
        </w:rPr>
      </w:pPr>
    </w:p>
    <w:p w:rsidR="00EC682B" w:rsidRPr="007B3401" w:rsidRDefault="002A7515" w:rsidP="008719D4">
      <w:pPr>
        <w:spacing w:after="0" w:line="240" w:lineRule="auto"/>
        <w:jc w:val="both"/>
        <w:rPr>
          <w:rFonts w:ascii="Garamond" w:eastAsiaTheme="minorHAnsi" w:hAnsi="Garamond" w:cs="Arial"/>
          <w:sz w:val="24"/>
          <w:szCs w:val="24"/>
        </w:rPr>
      </w:pPr>
      <w:r>
        <w:rPr>
          <w:rFonts w:ascii="Garamond" w:eastAsiaTheme="minorHAnsi" w:hAnsi="Garamond" w:cs="Arial"/>
          <w:sz w:val="24"/>
          <w:szCs w:val="24"/>
        </w:rPr>
        <w:t>Igualmente</w:t>
      </w:r>
      <w:r w:rsidR="00497503" w:rsidRPr="003A1174">
        <w:rPr>
          <w:rFonts w:ascii="Garamond" w:eastAsiaTheme="minorHAnsi" w:hAnsi="Garamond" w:cs="Arial"/>
          <w:sz w:val="24"/>
          <w:szCs w:val="24"/>
        </w:rPr>
        <w:t xml:space="preserve">, a </w:t>
      </w:r>
      <w:r w:rsidR="00EC682B" w:rsidRPr="003A1174">
        <w:rPr>
          <w:rFonts w:ascii="Garamond" w:eastAsiaTheme="minorHAnsi" w:hAnsi="Garamond" w:cs="Arial"/>
          <w:sz w:val="24"/>
          <w:szCs w:val="24"/>
        </w:rPr>
        <w:t xml:space="preserve">3 de </w:t>
      </w:r>
      <w:r w:rsidR="00497503" w:rsidRPr="003A1174">
        <w:rPr>
          <w:rFonts w:ascii="Garamond" w:eastAsiaTheme="minorHAnsi" w:hAnsi="Garamond" w:cs="Arial"/>
          <w:sz w:val="24"/>
          <w:szCs w:val="24"/>
        </w:rPr>
        <w:t>fevereiro</w:t>
      </w:r>
      <w:r w:rsidR="00EC682B" w:rsidRPr="003A1174">
        <w:rPr>
          <w:rFonts w:ascii="Garamond" w:eastAsiaTheme="minorHAnsi" w:hAnsi="Garamond" w:cs="Arial"/>
          <w:sz w:val="24"/>
          <w:szCs w:val="24"/>
        </w:rPr>
        <w:t xml:space="preserve"> de 1970</w:t>
      </w:r>
      <w:r>
        <w:rPr>
          <w:rFonts w:ascii="Garamond" w:eastAsiaTheme="minorHAnsi" w:hAnsi="Garamond" w:cs="Arial"/>
          <w:sz w:val="24"/>
          <w:szCs w:val="24"/>
        </w:rPr>
        <w:t>,</w:t>
      </w:r>
      <w:r w:rsidR="00497503" w:rsidRPr="003A1174">
        <w:rPr>
          <w:rFonts w:ascii="Garamond" w:eastAsiaTheme="minorHAnsi" w:hAnsi="Garamond" w:cs="Arial"/>
          <w:sz w:val="24"/>
          <w:szCs w:val="24"/>
        </w:rPr>
        <w:t xml:space="preserve"> a </w:t>
      </w:r>
      <w:r w:rsidR="00EC682B" w:rsidRPr="003A1174">
        <w:rPr>
          <w:rFonts w:ascii="Garamond" w:eastAsiaTheme="minorHAnsi" w:hAnsi="Garamond" w:cs="Arial"/>
          <w:sz w:val="24"/>
          <w:szCs w:val="24"/>
        </w:rPr>
        <w:t xml:space="preserve">Costa Rica </w:t>
      </w:r>
      <w:r w:rsidR="0074243F" w:rsidRPr="003A1174">
        <w:rPr>
          <w:rFonts w:ascii="Garamond" w:eastAsiaTheme="minorHAnsi" w:hAnsi="Garamond" w:cs="Arial"/>
          <w:sz w:val="24"/>
          <w:szCs w:val="24"/>
        </w:rPr>
        <w:t>ratificou</w:t>
      </w:r>
      <w:r w:rsidR="00497503"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 </w:t>
      </w:r>
      <w:r w:rsidR="00B14AA6" w:rsidRPr="003A1174">
        <w:rPr>
          <w:rFonts w:ascii="Garamond" w:eastAsiaTheme="minorHAnsi" w:hAnsi="Garamond" w:cs="Arial"/>
          <w:i/>
          <w:sz w:val="24"/>
          <w:szCs w:val="24"/>
        </w:rPr>
        <w:t>Convenção</w:t>
      </w:r>
      <w:r w:rsidR="00EC682B" w:rsidRPr="003A1174">
        <w:rPr>
          <w:rFonts w:ascii="Garamond" w:eastAsiaTheme="minorHAnsi" w:hAnsi="Garamond" w:cs="Arial"/>
          <w:i/>
          <w:sz w:val="24"/>
          <w:szCs w:val="24"/>
        </w:rPr>
        <w:t xml:space="preserve"> Americana de </w:t>
      </w:r>
      <w:r w:rsidR="00886D6A" w:rsidRPr="003A1174">
        <w:rPr>
          <w:rFonts w:ascii="Garamond" w:eastAsiaTheme="minorHAnsi" w:hAnsi="Garamond" w:cs="Arial"/>
          <w:i/>
          <w:sz w:val="24"/>
          <w:szCs w:val="24"/>
        </w:rPr>
        <w:t>Direito</w:t>
      </w:r>
      <w:r w:rsidR="00EC682B" w:rsidRPr="003A1174">
        <w:rPr>
          <w:rFonts w:ascii="Garamond" w:eastAsiaTheme="minorHAnsi" w:hAnsi="Garamond" w:cs="Arial"/>
          <w:i/>
          <w:sz w:val="24"/>
          <w:szCs w:val="24"/>
        </w:rPr>
        <w:t>s Humanos</w:t>
      </w:r>
      <w:r w:rsidR="00FB4A5E" w:rsidRPr="003A1174">
        <w:rPr>
          <w:rFonts w:ascii="Garamond" w:eastAsiaTheme="minorHAnsi" w:hAnsi="Garamond" w:cs="Arial"/>
          <w:i/>
          <w:sz w:val="24"/>
          <w:szCs w:val="24"/>
        </w:rPr>
        <w:t>,</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através da qual</w:t>
      </w:r>
      <w:r w:rsidR="002B6999">
        <w:rPr>
          <w:rFonts w:ascii="Garamond" w:eastAsiaTheme="minorHAnsi" w:hAnsi="Garamond" w:cs="Arial"/>
          <w:sz w:val="24"/>
          <w:szCs w:val="24"/>
        </w:rPr>
        <w:t>,</w:t>
      </w:r>
      <w:r w:rsidR="00497503" w:rsidRPr="003A1174">
        <w:rPr>
          <w:rFonts w:ascii="Garamond" w:eastAsiaTheme="minorHAnsi" w:hAnsi="Garamond" w:cs="Arial"/>
          <w:sz w:val="24"/>
          <w:szCs w:val="24"/>
        </w:rPr>
        <w:t xml:space="preserve"> o </w:t>
      </w:r>
      <w:r w:rsidR="00EC682B" w:rsidRPr="003A1174">
        <w:rPr>
          <w:rFonts w:ascii="Garamond" w:eastAsiaTheme="minorHAnsi" w:hAnsi="Garamond" w:cs="Arial"/>
          <w:sz w:val="24"/>
          <w:szCs w:val="24"/>
        </w:rPr>
        <w:t xml:space="preserve">Estado </w:t>
      </w:r>
      <w:r w:rsidR="00A862C2" w:rsidRPr="002B6999">
        <w:rPr>
          <w:rFonts w:ascii="Garamond" w:eastAsiaTheme="minorHAnsi" w:hAnsi="Garamond" w:cs="Arial"/>
          <w:sz w:val="24"/>
          <w:szCs w:val="24"/>
        </w:rPr>
        <w:t>costa-riquenho</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 xml:space="preserve">aceita </w:t>
      </w:r>
      <w:r w:rsidR="00EC682B" w:rsidRPr="003A1174">
        <w:rPr>
          <w:rFonts w:ascii="Garamond" w:eastAsiaTheme="minorHAnsi" w:hAnsi="Garamond" w:cs="Arial"/>
          <w:sz w:val="24"/>
          <w:szCs w:val="24"/>
        </w:rPr>
        <w:t xml:space="preserve">a </w:t>
      </w:r>
      <w:r w:rsidR="00C86C58" w:rsidRPr="003A1174">
        <w:rPr>
          <w:rFonts w:ascii="Garamond" w:eastAsiaTheme="minorHAnsi" w:hAnsi="Garamond" w:cs="Arial"/>
          <w:sz w:val="24"/>
          <w:szCs w:val="24"/>
        </w:rPr>
        <w:t>competência</w:t>
      </w:r>
      <w:r w:rsidR="00EC682B" w:rsidRPr="003A1174">
        <w:rPr>
          <w:rFonts w:ascii="Garamond" w:eastAsiaTheme="minorHAnsi" w:hAnsi="Garamond" w:cs="Arial"/>
          <w:sz w:val="24"/>
          <w:szCs w:val="24"/>
        </w:rPr>
        <w:t xml:space="preserve"> d</w:t>
      </w:r>
      <w:r w:rsidR="00935298">
        <w:rPr>
          <w:rFonts w:ascii="Garamond" w:eastAsiaTheme="minorHAnsi" w:hAnsi="Garamond" w:cs="Arial"/>
          <w:sz w:val="24"/>
          <w:szCs w:val="24"/>
        </w:rPr>
        <w:t>o</w:t>
      </w:r>
      <w:r w:rsidR="00042808">
        <w:rPr>
          <w:rFonts w:ascii="Garamond" w:eastAsiaTheme="minorHAnsi" w:hAnsi="Garamond" w:cs="Arial"/>
          <w:sz w:val="24"/>
          <w:szCs w:val="24"/>
        </w:rPr>
        <w:t xml:space="preserve"> </w:t>
      </w:r>
      <w:r w:rsidR="00935298">
        <w:rPr>
          <w:rFonts w:ascii="Garamond" w:eastAsiaTheme="minorHAnsi" w:hAnsi="Garamond" w:cs="Arial"/>
          <w:sz w:val="24"/>
          <w:szCs w:val="24"/>
        </w:rPr>
        <w:t>Tribunal</w:t>
      </w:r>
      <w:r w:rsidR="002A7FDD"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Interamerican</w:t>
      </w:r>
      <w:r w:rsidR="00935298">
        <w:rPr>
          <w:rFonts w:ascii="Garamond" w:eastAsiaTheme="minorHAnsi" w:hAnsi="Garamond" w:cs="Arial"/>
          <w:sz w:val="24"/>
          <w:szCs w:val="24"/>
        </w:rPr>
        <w:t>o</w:t>
      </w:r>
      <w:r w:rsidR="00EC682B" w:rsidRPr="003A1174">
        <w:rPr>
          <w:rFonts w:ascii="Garamond" w:eastAsiaTheme="minorHAnsi" w:hAnsi="Garamond" w:cs="Arial"/>
          <w:sz w:val="24"/>
          <w:szCs w:val="24"/>
        </w:rPr>
        <w:t xml:space="preserve"> de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s Humanos d</w:t>
      </w:r>
      <w:r w:rsidR="007B3401">
        <w:rPr>
          <w:rFonts w:ascii="Garamond" w:eastAsiaTheme="minorHAnsi" w:hAnsi="Garamond" w:cs="Arial"/>
          <w:sz w:val="24"/>
          <w:szCs w:val="24"/>
        </w:rPr>
        <w:t>o</w:t>
      </w:r>
      <w:r w:rsidR="00497503" w:rsidRPr="003A1174">
        <w:rPr>
          <w:rFonts w:ascii="Garamond" w:eastAsiaTheme="minorHAnsi" w:hAnsi="Garamond" w:cs="Arial"/>
          <w:sz w:val="24"/>
          <w:szCs w:val="24"/>
        </w:rPr>
        <w:t xml:space="preserve"> qual </w:t>
      </w:r>
      <w:r w:rsidR="00497503" w:rsidRPr="007B3401">
        <w:rPr>
          <w:rFonts w:ascii="Garamond" w:eastAsiaTheme="minorHAnsi" w:hAnsi="Garamond" w:cs="Arial"/>
          <w:sz w:val="24"/>
          <w:szCs w:val="24"/>
        </w:rPr>
        <w:t xml:space="preserve">é </w:t>
      </w:r>
      <w:r w:rsidR="00EC682B" w:rsidRPr="007B3401">
        <w:rPr>
          <w:rFonts w:ascii="Garamond" w:eastAsiaTheme="minorHAnsi" w:hAnsi="Garamond" w:cs="Arial"/>
          <w:sz w:val="24"/>
          <w:szCs w:val="24"/>
        </w:rPr>
        <w:t>sede.</w:t>
      </w:r>
    </w:p>
    <w:p w:rsidR="00EC682B" w:rsidRPr="007B3401" w:rsidRDefault="00EC682B" w:rsidP="008719D4">
      <w:pPr>
        <w:spacing w:after="0" w:line="240" w:lineRule="auto"/>
        <w:jc w:val="both"/>
        <w:rPr>
          <w:rFonts w:ascii="Garamond" w:eastAsiaTheme="minorHAnsi" w:hAnsi="Garamond" w:cs="Arial"/>
          <w:sz w:val="24"/>
          <w:szCs w:val="24"/>
        </w:rPr>
      </w:pPr>
    </w:p>
    <w:p w:rsidR="00EC682B" w:rsidRPr="007B3401" w:rsidRDefault="00B14AA6" w:rsidP="008719D4">
      <w:pPr>
        <w:pStyle w:val="Prrafodelista"/>
        <w:numPr>
          <w:ilvl w:val="0"/>
          <w:numId w:val="13"/>
        </w:numPr>
        <w:spacing w:after="0" w:line="240" w:lineRule="auto"/>
        <w:jc w:val="both"/>
        <w:rPr>
          <w:rFonts w:ascii="Garamond" w:eastAsiaTheme="minorHAnsi" w:hAnsi="Garamond" w:cs="Arial"/>
          <w:color w:val="auto"/>
          <w:sz w:val="24"/>
          <w:szCs w:val="24"/>
          <w:lang w:val="es-CR"/>
        </w:rPr>
      </w:pPr>
      <w:r w:rsidRPr="007B3401">
        <w:rPr>
          <w:rFonts w:ascii="Garamond" w:hAnsi="Garamond" w:cs="Arial"/>
          <w:color w:val="auto"/>
          <w:sz w:val="24"/>
          <w:szCs w:val="24"/>
          <w:lang w:val="pt-PT"/>
        </w:rPr>
        <w:t>Disposições</w:t>
      </w:r>
      <w:r w:rsidR="00EC682B" w:rsidRPr="007B3401">
        <w:rPr>
          <w:rFonts w:ascii="Garamond" w:hAnsi="Garamond" w:cs="Arial"/>
          <w:color w:val="auto"/>
          <w:sz w:val="24"/>
          <w:szCs w:val="24"/>
          <w:lang w:val="pt-PT"/>
        </w:rPr>
        <w:t xml:space="preserve"> </w:t>
      </w:r>
      <w:r w:rsidR="002D1021" w:rsidRPr="007B3401">
        <w:rPr>
          <w:rFonts w:ascii="Garamond" w:hAnsi="Garamond" w:cs="Arial"/>
          <w:color w:val="auto"/>
          <w:sz w:val="24"/>
          <w:szCs w:val="24"/>
          <w:lang w:val="pt-PT"/>
        </w:rPr>
        <w:t>legais</w:t>
      </w:r>
      <w:r w:rsidR="00EC682B" w:rsidRPr="007B3401">
        <w:rPr>
          <w:rFonts w:ascii="Garamond" w:eastAsiaTheme="minorHAnsi" w:hAnsi="Garamond" w:cs="Arial"/>
          <w:color w:val="auto"/>
          <w:sz w:val="24"/>
          <w:szCs w:val="24"/>
          <w:lang w:val="es-CR"/>
        </w:rPr>
        <w:t xml:space="preserve"> </w:t>
      </w:r>
    </w:p>
    <w:p w:rsidR="00EC682B" w:rsidRPr="007B3401" w:rsidRDefault="00EC682B" w:rsidP="008719D4">
      <w:pPr>
        <w:spacing w:after="0" w:line="240" w:lineRule="auto"/>
        <w:jc w:val="both"/>
        <w:rPr>
          <w:rFonts w:ascii="Garamond" w:eastAsiaTheme="minorHAnsi" w:hAnsi="Garamond" w:cs="Arial"/>
          <w:sz w:val="24"/>
          <w:szCs w:val="24"/>
          <w:lang w:val="es-CR"/>
        </w:rPr>
      </w:pPr>
    </w:p>
    <w:p w:rsidR="00EC682B" w:rsidRPr="003A1174" w:rsidRDefault="00EC682B" w:rsidP="008719D4">
      <w:pPr>
        <w:spacing w:after="0" w:line="240" w:lineRule="auto"/>
        <w:jc w:val="both"/>
        <w:rPr>
          <w:rFonts w:ascii="Garamond" w:eastAsiaTheme="minorHAnsi" w:hAnsi="Garamond" w:cs="Arial"/>
          <w:sz w:val="24"/>
          <w:szCs w:val="24"/>
        </w:rPr>
      </w:pPr>
      <w:r w:rsidRPr="007B3401">
        <w:rPr>
          <w:rFonts w:ascii="Garamond" w:eastAsiaTheme="minorHAnsi" w:hAnsi="Garamond" w:cs="Arial"/>
          <w:sz w:val="24"/>
          <w:szCs w:val="24"/>
        </w:rPr>
        <w:t xml:space="preserve">Durante </w:t>
      </w:r>
      <w:r w:rsidR="00497503" w:rsidRPr="007B3401">
        <w:rPr>
          <w:rFonts w:ascii="Garamond" w:eastAsiaTheme="minorHAnsi" w:hAnsi="Garamond" w:cs="Arial"/>
          <w:sz w:val="24"/>
          <w:szCs w:val="24"/>
        </w:rPr>
        <w:t xml:space="preserve">o </w:t>
      </w:r>
      <w:r w:rsidRPr="007B3401">
        <w:rPr>
          <w:rFonts w:ascii="Garamond" w:eastAsiaTheme="minorHAnsi" w:hAnsi="Garamond" w:cs="Arial"/>
          <w:sz w:val="24"/>
          <w:szCs w:val="24"/>
        </w:rPr>
        <w:t>período objeto de</w:t>
      </w:r>
      <w:r w:rsidR="002A7515" w:rsidRPr="007B3401">
        <w:rPr>
          <w:rFonts w:ascii="Garamond" w:eastAsiaTheme="minorHAnsi" w:hAnsi="Garamond" w:cs="Arial"/>
          <w:sz w:val="24"/>
          <w:szCs w:val="24"/>
        </w:rPr>
        <w:t>ste</w:t>
      </w:r>
      <w:r w:rsidRPr="007B3401">
        <w:rPr>
          <w:rFonts w:ascii="Garamond" w:eastAsiaTheme="minorHAnsi" w:hAnsi="Garamond" w:cs="Arial"/>
          <w:sz w:val="24"/>
          <w:szCs w:val="24"/>
        </w:rPr>
        <w:t xml:space="preserve"> </w:t>
      </w:r>
      <w:r w:rsidR="003F012B" w:rsidRPr="007B3401">
        <w:rPr>
          <w:rFonts w:ascii="Garamond" w:eastAsiaTheme="minorHAnsi" w:hAnsi="Garamond" w:cs="Arial"/>
          <w:sz w:val="24"/>
          <w:szCs w:val="24"/>
        </w:rPr>
        <w:t>estudo</w:t>
      </w:r>
      <w:r w:rsidRPr="007B3401">
        <w:rPr>
          <w:rFonts w:ascii="Garamond" w:eastAsiaTheme="minorHAnsi" w:hAnsi="Garamond" w:cs="Arial"/>
          <w:sz w:val="24"/>
          <w:szCs w:val="24"/>
        </w:rPr>
        <w:t xml:space="preserve">, </w:t>
      </w:r>
      <w:r w:rsidR="00AB16D4" w:rsidRPr="007B3401">
        <w:rPr>
          <w:rFonts w:ascii="Garamond" w:eastAsiaTheme="minorHAnsi" w:hAnsi="Garamond" w:cs="Arial"/>
          <w:sz w:val="24"/>
          <w:szCs w:val="24"/>
        </w:rPr>
        <w:t>aditou-se</w:t>
      </w:r>
      <w:r w:rsidR="00497503" w:rsidRPr="007B3401">
        <w:rPr>
          <w:rFonts w:ascii="Garamond" w:eastAsiaTheme="minorHAnsi" w:hAnsi="Garamond" w:cs="Arial"/>
          <w:sz w:val="24"/>
          <w:szCs w:val="24"/>
        </w:rPr>
        <w:t xml:space="preserve"> o</w:t>
      </w:r>
      <w:r w:rsidRPr="007B3401">
        <w:rPr>
          <w:rFonts w:ascii="Garamond" w:eastAsiaTheme="minorHAnsi" w:hAnsi="Garamond" w:cs="Arial"/>
          <w:sz w:val="24"/>
          <w:szCs w:val="24"/>
        </w:rPr>
        <w:t xml:space="preserve"> </w:t>
      </w:r>
      <w:r w:rsidR="00383B3F" w:rsidRPr="007B3401">
        <w:rPr>
          <w:rFonts w:ascii="Garamond" w:eastAsiaTheme="minorHAnsi" w:hAnsi="Garamond" w:cs="Arial"/>
          <w:sz w:val="24"/>
          <w:szCs w:val="24"/>
        </w:rPr>
        <w:t>Art.</w:t>
      </w:r>
      <w:r w:rsidRPr="007B3401">
        <w:rPr>
          <w:rFonts w:ascii="Garamond" w:eastAsiaTheme="minorHAnsi" w:hAnsi="Garamond" w:cs="Arial"/>
          <w:sz w:val="24"/>
          <w:szCs w:val="24"/>
        </w:rPr>
        <w:t xml:space="preserve"> 77bis a</w:t>
      </w:r>
      <w:r w:rsidR="00497503" w:rsidRPr="007B3401">
        <w:rPr>
          <w:rFonts w:ascii="Garamond" w:eastAsiaTheme="minorHAnsi" w:hAnsi="Garamond" w:cs="Arial"/>
          <w:sz w:val="24"/>
          <w:szCs w:val="24"/>
        </w:rPr>
        <w:t>o</w:t>
      </w:r>
      <w:r w:rsidRPr="007B3401">
        <w:rPr>
          <w:rFonts w:ascii="Garamond" w:eastAsiaTheme="minorHAnsi" w:hAnsi="Garamond" w:cs="Arial"/>
          <w:sz w:val="24"/>
          <w:szCs w:val="24"/>
        </w:rPr>
        <w:t xml:space="preserve"> Código Penal </w:t>
      </w:r>
      <w:r w:rsidR="007B3401" w:rsidRPr="007B3401">
        <w:rPr>
          <w:rFonts w:ascii="Garamond" w:eastAsiaTheme="minorHAnsi" w:hAnsi="Garamond" w:cs="Arial"/>
          <w:sz w:val="24"/>
          <w:szCs w:val="24"/>
        </w:rPr>
        <w:t>C</w:t>
      </w:r>
      <w:r w:rsidR="00A862C2" w:rsidRPr="007B3401">
        <w:rPr>
          <w:rFonts w:ascii="Garamond" w:eastAsiaTheme="minorHAnsi" w:hAnsi="Garamond" w:cs="Arial"/>
          <w:sz w:val="24"/>
          <w:szCs w:val="24"/>
        </w:rPr>
        <w:t>osta-riquenho</w:t>
      </w:r>
      <w:r w:rsidR="002A7515" w:rsidRPr="007B3401">
        <w:rPr>
          <w:rFonts w:ascii="Garamond" w:eastAsiaTheme="minorHAnsi" w:hAnsi="Garamond" w:cs="Arial"/>
          <w:sz w:val="24"/>
          <w:szCs w:val="24"/>
        </w:rPr>
        <w:t>,</w:t>
      </w:r>
      <w:r w:rsidRPr="007B3401">
        <w:rPr>
          <w:rFonts w:ascii="Garamond" w:eastAsiaTheme="minorHAnsi" w:hAnsi="Garamond" w:cs="Arial"/>
          <w:sz w:val="24"/>
          <w:szCs w:val="24"/>
        </w:rPr>
        <w:t xml:space="preserve"> mediante </w:t>
      </w:r>
      <w:r w:rsidR="003A2CD0" w:rsidRPr="007B3401">
        <w:rPr>
          <w:rFonts w:ascii="Garamond" w:eastAsiaTheme="minorHAnsi" w:hAnsi="Garamond" w:cs="Arial"/>
          <w:sz w:val="24"/>
          <w:szCs w:val="24"/>
        </w:rPr>
        <w:t xml:space="preserve">a revisão </w:t>
      </w:r>
      <w:r w:rsidR="00497503" w:rsidRPr="007B3401">
        <w:rPr>
          <w:rFonts w:ascii="Garamond" w:eastAsiaTheme="minorHAnsi" w:hAnsi="Garamond" w:cs="Arial"/>
          <w:sz w:val="24"/>
          <w:szCs w:val="24"/>
        </w:rPr>
        <w:t xml:space="preserve">da </w:t>
      </w:r>
      <w:r w:rsidR="00D15AFF" w:rsidRPr="007B3401">
        <w:rPr>
          <w:rFonts w:ascii="Garamond" w:eastAsiaTheme="minorHAnsi" w:hAnsi="Garamond" w:cs="Arial"/>
          <w:sz w:val="24"/>
          <w:szCs w:val="24"/>
        </w:rPr>
        <w:t>Lei</w:t>
      </w:r>
      <w:r w:rsidRPr="007B3401">
        <w:rPr>
          <w:rFonts w:ascii="Garamond" w:eastAsiaTheme="minorHAnsi" w:hAnsi="Garamond" w:cs="Arial"/>
          <w:sz w:val="24"/>
          <w:szCs w:val="24"/>
        </w:rPr>
        <w:t xml:space="preserve"> N</w:t>
      </w:r>
      <w:r w:rsidR="002A7515" w:rsidRPr="007B3401">
        <w:rPr>
          <w:rFonts w:ascii="Garamond" w:eastAsiaTheme="minorHAnsi" w:hAnsi="Garamond" w:cs="Arial"/>
          <w:sz w:val="24"/>
          <w:szCs w:val="24"/>
        </w:rPr>
        <w:t>.</w:t>
      </w:r>
      <w:r w:rsidRPr="007B3401">
        <w:rPr>
          <w:rFonts w:ascii="Garamond" w:eastAsiaTheme="minorHAnsi" w:hAnsi="Garamond" w:cs="Arial"/>
          <w:sz w:val="24"/>
          <w:szCs w:val="24"/>
        </w:rPr>
        <w:t>° 8204</w:t>
      </w:r>
      <w:r w:rsidR="00FB4A5E" w:rsidRPr="007B3401">
        <w:rPr>
          <w:rFonts w:ascii="Garamond" w:eastAsiaTheme="minorHAnsi" w:hAnsi="Garamond" w:cs="Arial"/>
          <w:sz w:val="24"/>
          <w:szCs w:val="24"/>
        </w:rPr>
        <w:t>,</w:t>
      </w:r>
      <w:r w:rsidRPr="007B3401">
        <w:rPr>
          <w:rFonts w:ascii="Garamond" w:eastAsiaTheme="minorHAnsi" w:hAnsi="Garamond" w:cs="Arial"/>
          <w:sz w:val="24"/>
          <w:szCs w:val="24"/>
        </w:rPr>
        <w:t xml:space="preserve"> denominada </w:t>
      </w:r>
      <w:r w:rsidR="00D15AFF" w:rsidRPr="007B3401">
        <w:rPr>
          <w:rFonts w:ascii="Garamond" w:eastAsiaTheme="minorHAnsi" w:hAnsi="Garamond" w:cs="Arial"/>
          <w:i/>
          <w:sz w:val="24"/>
          <w:szCs w:val="24"/>
        </w:rPr>
        <w:t>Lei</w:t>
      </w:r>
      <w:r w:rsidRPr="007B3401">
        <w:rPr>
          <w:rFonts w:ascii="Garamond" w:eastAsiaTheme="minorHAnsi" w:hAnsi="Garamond" w:cs="Arial"/>
          <w:i/>
          <w:sz w:val="24"/>
          <w:szCs w:val="24"/>
        </w:rPr>
        <w:t xml:space="preserve"> sobre Estupefacientes</w:t>
      </w:r>
      <w:r w:rsidRPr="003A1174">
        <w:rPr>
          <w:rFonts w:ascii="Garamond" w:eastAsiaTheme="minorHAnsi" w:hAnsi="Garamond" w:cs="Arial"/>
          <w:i/>
          <w:sz w:val="24"/>
          <w:szCs w:val="24"/>
        </w:rPr>
        <w:t>, su</w:t>
      </w:r>
      <w:r w:rsidR="00497503" w:rsidRPr="003A1174">
        <w:rPr>
          <w:rFonts w:ascii="Garamond" w:eastAsiaTheme="minorHAnsi" w:hAnsi="Garamond" w:cs="Arial"/>
          <w:i/>
          <w:sz w:val="24"/>
          <w:szCs w:val="24"/>
        </w:rPr>
        <w:t>bstâ</w:t>
      </w:r>
      <w:r w:rsidRPr="003A1174">
        <w:rPr>
          <w:rFonts w:ascii="Garamond" w:eastAsiaTheme="minorHAnsi" w:hAnsi="Garamond" w:cs="Arial"/>
          <w:i/>
          <w:sz w:val="24"/>
          <w:szCs w:val="24"/>
        </w:rPr>
        <w:t>ncias psicotrópicas, drogas de uso n</w:t>
      </w:r>
      <w:r w:rsidR="00497503" w:rsidRPr="003A1174">
        <w:rPr>
          <w:rFonts w:ascii="Garamond" w:eastAsiaTheme="minorHAnsi" w:hAnsi="Garamond" w:cs="Arial"/>
          <w:i/>
          <w:sz w:val="24"/>
          <w:szCs w:val="24"/>
        </w:rPr>
        <w:t>ã</w:t>
      </w:r>
      <w:r w:rsidRPr="003A1174">
        <w:rPr>
          <w:rFonts w:ascii="Garamond" w:eastAsiaTheme="minorHAnsi" w:hAnsi="Garamond" w:cs="Arial"/>
          <w:i/>
          <w:sz w:val="24"/>
          <w:szCs w:val="24"/>
        </w:rPr>
        <w:t xml:space="preserve">o autorizado, atividades conexas, </w:t>
      </w:r>
      <w:r w:rsidR="00497503" w:rsidRPr="003A1174">
        <w:rPr>
          <w:rFonts w:ascii="Garamond" w:eastAsiaTheme="minorHAnsi" w:hAnsi="Garamond" w:cs="Arial"/>
          <w:i/>
          <w:sz w:val="24"/>
          <w:szCs w:val="24"/>
        </w:rPr>
        <w:t>legitimação</w:t>
      </w:r>
      <w:r w:rsidRPr="003A1174">
        <w:rPr>
          <w:rFonts w:ascii="Garamond" w:eastAsiaTheme="minorHAnsi" w:hAnsi="Garamond" w:cs="Arial"/>
          <w:i/>
          <w:sz w:val="24"/>
          <w:szCs w:val="24"/>
        </w:rPr>
        <w:t xml:space="preserve"> de </w:t>
      </w:r>
      <w:r w:rsidR="00497503" w:rsidRPr="003A1174">
        <w:rPr>
          <w:rFonts w:ascii="Garamond" w:eastAsiaTheme="minorHAnsi" w:hAnsi="Garamond" w:cs="Arial"/>
          <w:i/>
          <w:sz w:val="24"/>
          <w:szCs w:val="24"/>
        </w:rPr>
        <w:t>capitais</w:t>
      </w:r>
      <w:r w:rsidRPr="003A1174">
        <w:rPr>
          <w:rFonts w:ascii="Garamond" w:eastAsiaTheme="minorHAnsi" w:hAnsi="Garamond" w:cs="Arial"/>
          <w:i/>
          <w:sz w:val="24"/>
          <w:szCs w:val="24"/>
        </w:rPr>
        <w:t xml:space="preserve"> </w:t>
      </w:r>
      <w:r w:rsidR="00497503" w:rsidRPr="003A1174">
        <w:rPr>
          <w:rFonts w:ascii="Garamond" w:eastAsiaTheme="minorHAnsi" w:hAnsi="Garamond" w:cs="Arial"/>
          <w:i/>
          <w:sz w:val="24"/>
          <w:szCs w:val="24"/>
        </w:rPr>
        <w:t>e</w:t>
      </w:r>
      <w:r w:rsidRPr="003A1174">
        <w:rPr>
          <w:rFonts w:ascii="Garamond" w:eastAsiaTheme="minorHAnsi" w:hAnsi="Garamond" w:cs="Arial"/>
          <w:i/>
          <w:sz w:val="24"/>
          <w:szCs w:val="24"/>
        </w:rPr>
        <w:t xml:space="preserve"> </w:t>
      </w:r>
      <w:r w:rsidR="00BA3CCE" w:rsidRPr="003A1174">
        <w:rPr>
          <w:rFonts w:ascii="Garamond" w:eastAsiaTheme="minorHAnsi" w:hAnsi="Garamond" w:cs="Arial"/>
          <w:i/>
          <w:sz w:val="24"/>
          <w:szCs w:val="24"/>
        </w:rPr>
        <w:t>financiamento</w:t>
      </w:r>
      <w:r w:rsidRPr="003A1174">
        <w:rPr>
          <w:rFonts w:ascii="Garamond" w:eastAsiaTheme="minorHAnsi" w:hAnsi="Garamond" w:cs="Arial"/>
          <w:i/>
          <w:sz w:val="24"/>
          <w:szCs w:val="24"/>
        </w:rPr>
        <w:t xml:space="preserve"> a</w:t>
      </w:r>
      <w:r w:rsidR="005D52B0" w:rsidRPr="003A1174">
        <w:rPr>
          <w:rFonts w:ascii="Garamond" w:eastAsiaTheme="minorHAnsi" w:hAnsi="Garamond" w:cs="Arial"/>
          <w:i/>
          <w:sz w:val="24"/>
          <w:szCs w:val="24"/>
        </w:rPr>
        <w:t>o</w:t>
      </w:r>
      <w:r w:rsidRPr="003A1174">
        <w:rPr>
          <w:rFonts w:ascii="Garamond" w:eastAsiaTheme="minorHAnsi" w:hAnsi="Garamond" w:cs="Arial"/>
          <w:i/>
          <w:sz w:val="24"/>
          <w:szCs w:val="24"/>
        </w:rPr>
        <w:t xml:space="preserve"> terrorismo</w:t>
      </w:r>
      <w:r w:rsidRPr="003A1174">
        <w:rPr>
          <w:rFonts w:ascii="Garamond" w:eastAsiaTheme="minorHAnsi" w:hAnsi="Garamond" w:cs="Arial"/>
          <w:sz w:val="24"/>
          <w:szCs w:val="24"/>
        </w:rPr>
        <w:t xml:space="preserve">. </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0672E8" w:rsidP="008719D4">
      <w:pPr>
        <w:spacing w:after="0" w:line="240" w:lineRule="auto"/>
        <w:jc w:val="both"/>
        <w:rPr>
          <w:rFonts w:ascii="Garamond" w:eastAsia="Times New Roman" w:hAnsi="Garamond" w:cs="Arial"/>
          <w:sz w:val="24"/>
          <w:szCs w:val="24"/>
          <w:lang w:eastAsia="es-CR"/>
        </w:rPr>
      </w:pPr>
      <w:r w:rsidRPr="003A1174">
        <w:rPr>
          <w:rFonts w:ascii="Garamond" w:eastAsiaTheme="minorHAnsi" w:hAnsi="Garamond" w:cs="Arial"/>
          <w:sz w:val="24"/>
          <w:szCs w:val="24"/>
        </w:rPr>
        <w:t xml:space="preserve">Anteriormente, </w:t>
      </w:r>
      <w:r w:rsidR="00EC682B" w:rsidRPr="003A1174">
        <w:rPr>
          <w:rFonts w:ascii="Garamond" w:eastAsiaTheme="minorHAnsi" w:hAnsi="Garamond" w:cs="Arial"/>
          <w:sz w:val="24"/>
          <w:szCs w:val="24"/>
        </w:rPr>
        <w:t xml:space="preserve">a </w:t>
      </w:r>
      <w:r w:rsidRPr="003A1174">
        <w:rPr>
          <w:rFonts w:ascii="Garamond" w:eastAsiaTheme="minorHAnsi" w:hAnsi="Garamond" w:cs="Arial"/>
          <w:sz w:val="24"/>
          <w:szCs w:val="24"/>
        </w:rPr>
        <w:t xml:space="preserve">lei estabelecia </w:t>
      </w:r>
      <w:r w:rsidR="00EC682B" w:rsidRPr="003A1174">
        <w:rPr>
          <w:rFonts w:ascii="Garamond" w:eastAsiaTheme="minorHAnsi" w:hAnsi="Garamond" w:cs="Arial"/>
          <w:sz w:val="24"/>
          <w:szCs w:val="24"/>
        </w:rPr>
        <w:t xml:space="preserve">a pena de 8 a 20 </w:t>
      </w:r>
      <w:r w:rsidR="002C7510" w:rsidRPr="003A1174">
        <w:rPr>
          <w:rFonts w:ascii="Garamond" w:eastAsiaTheme="minorHAnsi" w:hAnsi="Garamond" w:cs="Arial"/>
          <w:sz w:val="24"/>
          <w:szCs w:val="24"/>
        </w:rPr>
        <w:t>ano</w:t>
      </w:r>
      <w:r w:rsidRPr="003A1174">
        <w:rPr>
          <w:rFonts w:ascii="Garamond" w:eastAsiaTheme="minorHAnsi" w:hAnsi="Garamond" w:cs="Arial"/>
          <w:sz w:val="24"/>
          <w:szCs w:val="24"/>
        </w:rPr>
        <w:t xml:space="preserve">s para </w:t>
      </w:r>
      <w:r w:rsidR="00EC682B" w:rsidRPr="003A1174">
        <w:rPr>
          <w:rFonts w:ascii="Garamond" w:eastAsiaTheme="minorHAnsi" w:hAnsi="Garamond" w:cs="Arial"/>
          <w:sz w:val="24"/>
          <w:szCs w:val="24"/>
        </w:rPr>
        <w:t xml:space="preserve">as </w:t>
      </w:r>
      <w:r w:rsidR="006C760C" w:rsidRPr="003A1174">
        <w:rPr>
          <w:rFonts w:ascii="Garamond" w:eastAsiaTheme="minorHAnsi" w:hAnsi="Garamond" w:cs="Arial"/>
          <w:sz w:val="24"/>
          <w:szCs w:val="24"/>
        </w:rPr>
        <w:t>pessoas</w:t>
      </w:r>
      <w:r w:rsidR="00EC682B" w:rsidRPr="003A1174">
        <w:rPr>
          <w:rFonts w:ascii="Garamond" w:eastAsiaTheme="minorHAnsi" w:hAnsi="Garamond" w:cs="Arial"/>
          <w:sz w:val="24"/>
          <w:szCs w:val="24"/>
        </w:rPr>
        <w:t xml:space="preserve"> que introdu</w:t>
      </w:r>
      <w:r w:rsidRPr="003A1174">
        <w:rPr>
          <w:rFonts w:ascii="Garamond" w:eastAsiaTheme="minorHAnsi" w:hAnsi="Garamond" w:cs="Arial"/>
          <w:sz w:val="24"/>
          <w:szCs w:val="24"/>
        </w:rPr>
        <w:t xml:space="preserve">ziam </w:t>
      </w:r>
      <w:r w:rsidR="00EC682B" w:rsidRPr="003A1174">
        <w:rPr>
          <w:rFonts w:ascii="Garamond" w:eastAsiaTheme="minorHAnsi" w:hAnsi="Garamond" w:cs="Arial"/>
          <w:sz w:val="24"/>
          <w:szCs w:val="24"/>
        </w:rPr>
        <w:t xml:space="preserve">droga </w:t>
      </w:r>
      <w:r w:rsidRPr="003A1174">
        <w:rPr>
          <w:rFonts w:ascii="Garamond" w:eastAsiaTheme="minorHAnsi" w:hAnsi="Garamond" w:cs="Arial"/>
          <w:sz w:val="24"/>
          <w:szCs w:val="24"/>
        </w:rPr>
        <w:t xml:space="preserve">num </w:t>
      </w:r>
      <w:r w:rsidR="00EC682B" w:rsidRPr="003A1174">
        <w:rPr>
          <w:rFonts w:ascii="Garamond" w:eastAsiaTheme="minorHAnsi" w:hAnsi="Garamond" w:cs="Arial"/>
          <w:sz w:val="24"/>
          <w:szCs w:val="24"/>
        </w:rPr>
        <w:t xml:space="preserve">centro penal, </w:t>
      </w:r>
      <w:r w:rsidR="0074243F" w:rsidRPr="003A1174">
        <w:rPr>
          <w:rFonts w:ascii="Garamond" w:eastAsiaTheme="minorHAnsi" w:hAnsi="Garamond" w:cs="Arial"/>
          <w:sz w:val="24"/>
          <w:szCs w:val="24"/>
        </w:rPr>
        <w:t>mas</w:t>
      </w:r>
      <w:r w:rsidR="002B6999">
        <w:rPr>
          <w:rFonts w:ascii="Garamond" w:eastAsiaTheme="minorHAnsi" w:hAnsi="Garamond" w:cs="Arial"/>
          <w:sz w:val="24"/>
          <w:szCs w:val="24"/>
        </w:rPr>
        <w:t>,</w:t>
      </w:r>
      <w:r w:rsidR="00EC682B" w:rsidRPr="003A1174">
        <w:rPr>
          <w:rFonts w:ascii="Garamond" w:eastAsiaTheme="minorHAnsi" w:hAnsi="Garamond" w:cs="Arial"/>
          <w:sz w:val="24"/>
          <w:szCs w:val="24"/>
        </w:rPr>
        <w:t xml:space="preserve"> co</w:t>
      </w:r>
      <w:r w:rsidRPr="003A1174">
        <w:rPr>
          <w:rFonts w:ascii="Garamond" w:eastAsiaTheme="minorHAnsi" w:hAnsi="Garamond" w:cs="Arial"/>
          <w:sz w:val="24"/>
          <w:szCs w:val="24"/>
        </w:rPr>
        <w:t>m a</w:t>
      </w:r>
      <w:r w:rsidR="003A2CD0">
        <w:rPr>
          <w:rFonts w:ascii="Garamond" w:eastAsiaTheme="minorHAnsi" w:hAnsi="Garamond" w:cs="Arial"/>
          <w:sz w:val="24"/>
          <w:szCs w:val="24"/>
        </w:rPr>
        <w:t xml:space="preserve"> revisão da lei</w:t>
      </w:r>
      <w:r w:rsidR="002B6999">
        <w:rPr>
          <w:rFonts w:ascii="Garamond" w:eastAsiaTheme="minorHAnsi" w:hAnsi="Garamond" w:cs="Arial"/>
          <w:sz w:val="24"/>
          <w:szCs w:val="24"/>
        </w:rPr>
        <w:t>,</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 </w:t>
      </w:r>
      <w:r w:rsidR="002A59E7" w:rsidRPr="003A1174">
        <w:rPr>
          <w:rFonts w:ascii="Garamond" w:eastAsiaTheme="minorHAnsi" w:hAnsi="Garamond" w:cs="Arial"/>
          <w:sz w:val="24"/>
          <w:szCs w:val="24"/>
        </w:rPr>
        <w:t>nova</w:t>
      </w:r>
      <w:r w:rsidRPr="003A1174">
        <w:rPr>
          <w:rFonts w:ascii="Garamond" w:eastAsiaTheme="minorHAnsi" w:hAnsi="Garamond" w:cs="Arial"/>
          <w:sz w:val="24"/>
          <w:szCs w:val="24"/>
        </w:rPr>
        <w:t xml:space="preserve"> pena oscila entre </w:t>
      </w:r>
      <w:r w:rsidR="00EC682B" w:rsidRPr="003A1174">
        <w:rPr>
          <w:rFonts w:ascii="Garamond" w:eastAsiaTheme="minorHAnsi" w:hAnsi="Garamond" w:cs="Arial"/>
          <w:sz w:val="24"/>
          <w:szCs w:val="24"/>
        </w:rPr>
        <w:t xml:space="preserve">os </w:t>
      </w:r>
      <w:proofErr w:type="gramStart"/>
      <w:r w:rsidR="00EC682B" w:rsidRPr="003A1174">
        <w:rPr>
          <w:rFonts w:ascii="Garamond" w:eastAsiaTheme="minorHAnsi" w:hAnsi="Garamond" w:cs="Arial"/>
          <w:sz w:val="24"/>
          <w:szCs w:val="24"/>
        </w:rPr>
        <w:t>3</w:t>
      </w:r>
      <w:proofErr w:type="gramEnd"/>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e os</w:t>
      </w:r>
      <w:r w:rsidR="00EC682B" w:rsidRPr="003A1174">
        <w:rPr>
          <w:rFonts w:ascii="Garamond" w:eastAsiaTheme="minorHAnsi" w:hAnsi="Garamond" w:cs="Arial"/>
          <w:sz w:val="24"/>
          <w:szCs w:val="24"/>
        </w:rPr>
        <w:t xml:space="preserve"> 8 </w:t>
      </w:r>
      <w:r w:rsidR="002C7510" w:rsidRPr="003A1174">
        <w:rPr>
          <w:rFonts w:ascii="Garamond" w:eastAsiaTheme="minorHAnsi" w:hAnsi="Garamond" w:cs="Arial"/>
          <w:sz w:val="24"/>
          <w:szCs w:val="24"/>
        </w:rPr>
        <w:t>ano</w:t>
      </w:r>
      <w:r w:rsidR="00EC682B" w:rsidRPr="003A1174">
        <w:rPr>
          <w:rFonts w:ascii="Garamond" w:eastAsiaTheme="minorHAnsi" w:hAnsi="Garamond" w:cs="Arial"/>
          <w:sz w:val="24"/>
          <w:szCs w:val="24"/>
        </w:rPr>
        <w:t>s de</w:t>
      </w:r>
      <w:r w:rsidRPr="003A1174">
        <w:rPr>
          <w:rFonts w:ascii="Garamond" w:eastAsiaTheme="minorHAnsi" w:hAnsi="Garamond" w:cs="Arial"/>
          <w:sz w:val="24"/>
          <w:szCs w:val="24"/>
        </w:rPr>
        <w:t xml:space="preserve"> prisão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fazendo uma</w:t>
      </w:r>
      <w:r w:rsidR="00EC682B" w:rsidRPr="003A1174">
        <w:rPr>
          <w:rFonts w:ascii="Garamond" w:eastAsiaTheme="minorHAnsi" w:hAnsi="Garamond" w:cs="Arial"/>
          <w:sz w:val="24"/>
          <w:szCs w:val="24"/>
        </w:rPr>
        <w:t xml:space="preserve"> </w:t>
      </w:r>
      <w:r w:rsidR="007A2492" w:rsidRPr="003A1174">
        <w:rPr>
          <w:rFonts w:ascii="Garamond" w:eastAsiaTheme="minorHAnsi" w:hAnsi="Garamond" w:cs="Arial"/>
          <w:sz w:val="24"/>
          <w:szCs w:val="24"/>
        </w:rPr>
        <w:t>exceção q</w:t>
      </w:r>
      <w:r w:rsidR="00EC682B" w:rsidRPr="003A1174">
        <w:rPr>
          <w:rFonts w:ascii="Garamond" w:eastAsiaTheme="minorHAnsi" w:hAnsi="Garamond" w:cs="Arial"/>
          <w:sz w:val="24"/>
          <w:szCs w:val="24"/>
        </w:rPr>
        <w:t>ue consiste e</w:t>
      </w:r>
      <w:r w:rsidR="007A2492" w:rsidRPr="003A1174">
        <w:rPr>
          <w:rFonts w:ascii="Garamond" w:eastAsiaTheme="minorHAnsi" w:hAnsi="Garamond" w:cs="Arial"/>
          <w:sz w:val="24"/>
          <w:szCs w:val="24"/>
        </w:rPr>
        <w:t>m</w:t>
      </w:r>
      <w:r w:rsidR="00FB4A5E" w:rsidRPr="003A1174">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00306B73" w:rsidRPr="003A1174">
        <w:rPr>
          <w:rFonts w:ascii="Garamond" w:eastAsiaTheme="minorHAnsi" w:hAnsi="Garamond" w:cs="Arial"/>
          <w:sz w:val="24"/>
          <w:szCs w:val="24"/>
        </w:rPr>
        <w:t>sempre</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863197" w:rsidRPr="003A1174">
        <w:rPr>
          <w:rFonts w:ascii="Garamond" w:eastAsiaTheme="minorHAnsi" w:hAnsi="Garamond" w:cs="Arial"/>
          <w:sz w:val="24"/>
          <w:szCs w:val="24"/>
        </w:rPr>
        <w:t>quando</w:t>
      </w:r>
      <w:r w:rsidR="00EC682B" w:rsidRPr="003A1174">
        <w:rPr>
          <w:rFonts w:ascii="Garamond" w:eastAsiaTheme="minorHAnsi" w:hAnsi="Garamond" w:cs="Arial"/>
          <w:sz w:val="24"/>
          <w:szCs w:val="24"/>
        </w:rPr>
        <w:t xml:space="preserve"> </w:t>
      </w:r>
      <w:r w:rsidR="00EC682B" w:rsidRPr="003A1174">
        <w:rPr>
          <w:rFonts w:ascii="Garamond" w:eastAsia="Times New Roman" w:hAnsi="Garamond" w:cs="Arial"/>
          <w:sz w:val="24"/>
          <w:szCs w:val="24"/>
          <w:lang w:eastAsia="es-CR"/>
        </w:rPr>
        <w:t xml:space="preserve">a </w:t>
      </w:r>
      <w:r w:rsidR="00AF192F" w:rsidRPr="003A1174">
        <w:rPr>
          <w:rFonts w:ascii="Garamond" w:eastAsia="Times New Roman" w:hAnsi="Garamond" w:cs="Arial"/>
          <w:sz w:val="24"/>
          <w:szCs w:val="24"/>
          <w:lang w:eastAsia="es-CR"/>
        </w:rPr>
        <w:t>mulher</w:t>
      </w:r>
      <w:r w:rsidR="00EC682B" w:rsidRPr="003A1174">
        <w:rPr>
          <w:rFonts w:ascii="Garamond" w:eastAsia="Times New Roman" w:hAnsi="Garamond" w:cs="Arial"/>
          <w:sz w:val="24"/>
          <w:szCs w:val="24"/>
          <w:lang w:eastAsia="es-CR"/>
        </w:rPr>
        <w:t xml:space="preserve"> se enc</w:t>
      </w:r>
      <w:r w:rsidR="007A2492" w:rsidRPr="003A1174">
        <w:rPr>
          <w:rFonts w:ascii="Garamond" w:eastAsia="Times New Roman" w:hAnsi="Garamond" w:cs="Arial"/>
          <w:sz w:val="24"/>
          <w:szCs w:val="24"/>
          <w:lang w:eastAsia="es-CR"/>
        </w:rPr>
        <w:t xml:space="preserve">ontrar em </w:t>
      </w:r>
      <w:r w:rsidR="004E3A1A" w:rsidRPr="003A1174">
        <w:rPr>
          <w:rFonts w:ascii="Garamond" w:eastAsia="Times New Roman" w:hAnsi="Garamond" w:cs="Arial"/>
          <w:sz w:val="24"/>
          <w:szCs w:val="24"/>
          <w:lang w:eastAsia="es-CR"/>
        </w:rPr>
        <w:t>condição</w:t>
      </w:r>
      <w:r w:rsidR="00EC682B" w:rsidRPr="003A1174">
        <w:rPr>
          <w:rFonts w:ascii="Garamond" w:eastAsia="Times New Roman" w:hAnsi="Garamond" w:cs="Arial"/>
          <w:sz w:val="24"/>
          <w:szCs w:val="24"/>
          <w:lang w:eastAsia="es-CR"/>
        </w:rPr>
        <w:t xml:space="preserve"> de pobreza; s</w:t>
      </w:r>
      <w:r w:rsidR="007A2492" w:rsidRPr="003A1174">
        <w:rPr>
          <w:rFonts w:ascii="Garamond" w:eastAsia="Times New Roman" w:hAnsi="Garamond" w:cs="Arial"/>
          <w:sz w:val="24"/>
          <w:szCs w:val="24"/>
          <w:lang w:eastAsia="es-CR"/>
        </w:rPr>
        <w:t xml:space="preserve">e for a chefe de família em </w:t>
      </w:r>
      <w:r w:rsidR="004E3A1A" w:rsidRPr="003A1174">
        <w:rPr>
          <w:rFonts w:ascii="Garamond" w:eastAsia="Times New Roman" w:hAnsi="Garamond" w:cs="Arial"/>
          <w:sz w:val="24"/>
          <w:szCs w:val="24"/>
          <w:lang w:eastAsia="es-CR"/>
        </w:rPr>
        <w:t>condição</w:t>
      </w:r>
      <w:r w:rsidR="00EC682B" w:rsidRPr="003A1174">
        <w:rPr>
          <w:rFonts w:ascii="Garamond" w:eastAsia="Times New Roman" w:hAnsi="Garamond" w:cs="Arial"/>
          <w:sz w:val="24"/>
          <w:szCs w:val="24"/>
          <w:lang w:eastAsia="es-CR"/>
        </w:rPr>
        <w:t xml:space="preserve"> de </w:t>
      </w:r>
      <w:r w:rsidR="004E3A1A" w:rsidRPr="003A1174">
        <w:rPr>
          <w:rFonts w:ascii="Garamond" w:eastAsia="Times New Roman" w:hAnsi="Garamond" w:cs="Arial"/>
          <w:sz w:val="24"/>
          <w:szCs w:val="24"/>
          <w:lang w:eastAsia="es-CR"/>
        </w:rPr>
        <w:t>vulnerabilidade</w:t>
      </w:r>
      <w:r w:rsidR="00EC682B" w:rsidRPr="003A1174">
        <w:rPr>
          <w:rFonts w:ascii="Garamond" w:eastAsia="Times New Roman" w:hAnsi="Garamond" w:cs="Arial"/>
          <w:sz w:val="24"/>
          <w:szCs w:val="24"/>
          <w:lang w:eastAsia="es-CR"/>
        </w:rPr>
        <w:t>; s</w:t>
      </w:r>
      <w:r w:rsidR="007A2492" w:rsidRPr="003A1174">
        <w:rPr>
          <w:rFonts w:ascii="Garamond" w:eastAsia="Times New Roman" w:hAnsi="Garamond" w:cs="Arial"/>
          <w:sz w:val="24"/>
          <w:szCs w:val="24"/>
          <w:lang w:eastAsia="es-CR"/>
        </w:rPr>
        <w:t xml:space="preserve">e tiver a seu </w:t>
      </w:r>
      <w:r w:rsidR="00EC682B" w:rsidRPr="003A1174">
        <w:rPr>
          <w:rFonts w:ascii="Garamond" w:eastAsia="Times New Roman" w:hAnsi="Garamond" w:cs="Arial"/>
          <w:sz w:val="24"/>
          <w:szCs w:val="24"/>
          <w:lang w:eastAsia="es-CR"/>
        </w:rPr>
        <w:t xml:space="preserve">cargo </w:t>
      </w:r>
      <w:r w:rsidR="006C760C" w:rsidRPr="003A1174">
        <w:rPr>
          <w:rFonts w:ascii="Garamond" w:eastAsia="Times New Roman" w:hAnsi="Garamond" w:cs="Arial"/>
          <w:sz w:val="24"/>
          <w:szCs w:val="24"/>
          <w:lang w:eastAsia="es-CR"/>
        </w:rPr>
        <w:t>pessoas</w:t>
      </w:r>
      <w:r w:rsidR="00EC682B" w:rsidRPr="003A1174">
        <w:rPr>
          <w:rFonts w:ascii="Garamond" w:eastAsia="Times New Roman" w:hAnsi="Garamond" w:cs="Arial"/>
          <w:sz w:val="24"/>
          <w:szCs w:val="24"/>
          <w:lang w:eastAsia="es-CR"/>
        </w:rPr>
        <w:t xml:space="preserve"> menores de </w:t>
      </w:r>
      <w:r w:rsidR="007342D9" w:rsidRPr="003A1174">
        <w:rPr>
          <w:rFonts w:ascii="Garamond" w:eastAsia="Times New Roman" w:hAnsi="Garamond" w:cs="Arial"/>
          <w:sz w:val="24"/>
          <w:szCs w:val="24"/>
          <w:lang w:eastAsia="es-CR"/>
        </w:rPr>
        <w:t>idade</w:t>
      </w:r>
      <w:r w:rsidR="007A2492" w:rsidRPr="003A1174">
        <w:rPr>
          <w:rFonts w:ascii="Garamond" w:eastAsia="Times New Roman" w:hAnsi="Garamond" w:cs="Arial"/>
          <w:sz w:val="24"/>
          <w:szCs w:val="24"/>
          <w:lang w:eastAsia="es-CR"/>
        </w:rPr>
        <w:t>, adulto</w:t>
      </w:r>
      <w:r w:rsidR="00EC682B" w:rsidRPr="003A1174">
        <w:rPr>
          <w:rFonts w:ascii="Garamond" w:eastAsia="Times New Roman" w:hAnsi="Garamond" w:cs="Arial"/>
          <w:sz w:val="24"/>
          <w:szCs w:val="24"/>
          <w:lang w:eastAsia="es-CR"/>
        </w:rPr>
        <w:t>s</w:t>
      </w:r>
      <w:r w:rsidR="007A2492" w:rsidRPr="003A1174">
        <w:rPr>
          <w:rFonts w:ascii="Garamond" w:eastAsia="Times New Roman" w:hAnsi="Garamond" w:cs="Arial"/>
          <w:sz w:val="24"/>
          <w:szCs w:val="24"/>
          <w:lang w:eastAsia="es-CR"/>
        </w:rPr>
        <w:t xml:space="preserve"> idosos ou com algum</w:t>
      </w:r>
      <w:r w:rsidR="00EC682B" w:rsidRPr="003A1174">
        <w:rPr>
          <w:rFonts w:ascii="Garamond" w:eastAsia="Times New Roman" w:hAnsi="Garamond" w:cs="Arial"/>
          <w:sz w:val="24"/>
          <w:szCs w:val="24"/>
          <w:lang w:eastAsia="es-CR"/>
        </w:rPr>
        <w:t xml:space="preserve"> tipo de </w:t>
      </w:r>
      <w:r w:rsidR="007A2492" w:rsidRPr="003A1174">
        <w:rPr>
          <w:rFonts w:ascii="Garamond" w:eastAsia="Times New Roman" w:hAnsi="Garamond" w:cs="Arial"/>
          <w:sz w:val="24"/>
          <w:szCs w:val="24"/>
          <w:lang w:eastAsia="es-CR"/>
        </w:rPr>
        <w:t>incapacidade</w:t>
      </w:r>
      <w:r w:rsidR="00EC682B" w:rsidRPr="003A1174">
        <w:rPr>
          <w:rFonts w:ascii="Garamond" w:eastAsia="Times New Roman" w:hAnsi="Garamond" w:cs="Arial"/>
          <w:sz w:val="24"/>
          <w:szCs w:val="24"/>
          <w:lang w:eastAsia="es-CR"/>
        </w:rPr>
        <w:t xml:space="preserve"> que </w:t>
      </w:r>
      <w:r w:rsidR="007A2492" w:rsidRPr="003A1174">
        <w:rPr>
          <w:rFonts w:ascii="Garamond" w:eastAsia="Times New Roman" w:hAnsi="Garamond" w:cs="Arial"/>
          <w:sz w:val="24"/>
          <w:szCs w:val="24"/>
          <w:lang w:eastAsia="es-CR"/>
        </w:rPr>
        <w:t>signifique</w:t>
      </w:r>
      <w:r w:rsidR="00EC682B" w:rsidRPr="003A1174">
        <w:rPr>
          <w:rFonts w:ascii="Garamond" w:eastAsia="Times New Roman" w:hAnsi="Garamond" w:cs="Arial"/>
          <w:sz w:val="24"/>
          <w:szCs w:val="24"/>
          <w:lang w:eastAsia="es-CR"/>
        </w:rPr>
        <w:t xml:space="preserve"> </w:t>
      </w:r>
      <w:r w:rsidR="007A2492" w:rsidRPr="003A1174">
        <w:rPr>
          <w:rFonts w:ascii="Garamond" w:eastAsia="Times New Roman" w:hAnsi="Garamond" w:cs="Arial"/>
          <w:sz w:val="24"/>
          <w:szCs w:val="24"/>
          <w:lang w:eastAsia="es-CR"/>
        </w:rPr>
        <w:t>dependência</w:t>
      </w:r>
      <w:r w:rsidR="00EC682B" w:rsidRPr="003A1174">
        <w:rPr>
          <w:rFonts w:ascii="Garamond" w:eastAsia="Times New Roman" w:hAnsi="Garamond" w:cs="Arial"/>
          <w:sz w:val="24"/>
          <w:szCs w:val="24"/>
          <w:lang w:eastAsia="es-CR"/>
        </w:rPr>
        <w:t xml:space="preserve"> </w:t>
      </w:r>
      <w:r w:rsidR="00497503" w:rsidRPr="003A1174">
        <w:rPr>
          <w:rFonts w:ascii="Garamond" w:eastAsia="Times New Roman" w:hAnsi="Garamond" w:cs="Arial"/>
          <w:sz w:val="24"/>
          <w:szCs w:val="24"/>
          <w:lang w:eastAsia="es-CR"/>
        </w:rPr>
        <w:t>das</w:t>
      </w:r>
      <w:r w:rsidR="00EC682B" w:rsidRPr="003A1174">
        <w:rPr>
          <w:rFonts w:ascii="Garamond" w:eastAsia="Times New Roman" w:hAnsi="Garamond" w:cs="Arial"/>
          <w:sz w:val="24"/>
          <w:szCs w:val="24"/>
          <w:lang w:eastAsia="es-CR"/>
        </w:rPr>
        <w:t xml:space="preserve"> </w:t>
      </w:r>
      <w:r w:rsidR="006C760C" w:rsidRPr="003A1174">
        <w:rPr>
          <w:rFonts w:ascii="Garamond" w:eastAsia="Times New Roman" w:hAnsi="Garamond" w:cs="Arial"/>
          <w:sz w:val="24"/>
          <w:szCs w:val="24"/>
          <w:lang w:eastAsia="es-CR"/>
        </w:rPr>
        <w:t>pessoas</w:t>
      </w:r>
      <w:r w:rsidR="00EC682B" w:rsidRPr="003A1174">
        <w:rPr>
          <w:rFonts w:ascii="Garamond" w:eastAsia="Times New Roman" w:hAnsi="Garamond" w:cs="Arial"/>
          <w:sz w:val="24"/>
          <w:szCs w:val="24"/>
          <w:lang w:eastAsia="es-CR"/>
        </w:rPr>
        <w:t xml:space="preserve"> que </w:t>
      </w:r>
      <w:r w:rsidR="007A2492" w:rsidRPr="003A1174">
        <w:rPr>
          <w:rFonts w:ascii="Garamond" w:eastAsia="Times New Roman" w:hAnsi="Garamond" w:cs="Arial"/>
          <w:sz w:val="24"/>
          <w:szCs w:val="24"/>
          <w:lang w:eastAsia="es-CR"/>
        </w:rPr>
        <w:t>tem</w:t>
      </w:r>
      <w:r w:rsidR="00EC682B" w:rsidRPr="003A1174">
        <w:rPr>
          <w:rFonts w:ascii="Garamond" w:eastAsia="Times New Roman" w:hAnsi="Garamond" w:cs="Arial"/>
          <w:sz w:val="24"/>
          <w:szCs w:val="24"/>
          <w:lang w:eastAsia="es-CR"/>
        </w:rPr>
        <w:t xml:space="preserve"> a </w:t>
      </w:r>
      <w:r w:rsidR="005D52B0" w:rsidRPr="003A1174">
        <w:rPr>
          <w:rFonts w:ascii="Garamond" w:eastAsia="Times New Roman" w:hAnsi="Garamond" w:cs="Arial"/>
          <w:sz w:val="24"/>
          <w:szCs w:val="24"/>
          <w:lang w:eastAsia="es-CR"/>
        </w:rPr>
        <w:t>s</w:t>
      </w:r>
      <w:r w:rsidR="007A2492" w:rsidRPr="003A1174">
        <w:rPr>
          <w:rFonts w:ascii="Garamond" w:eastAsia="Times New Roman" w:hAnsi="Garamond" w:cs="Arial"/>
          <w:sz w:val="24"/>
          <w:szCs w:val="24"/>
          <w:lang w:eastAsia="es-CR"/>
        </w:rPr>
        <w:t>e</w:t>
      </w:r>
      <w:r w:rsidR="005D52B0" w:rsidRPr="003A1174">
        <w:rPr>
          <w:rFonts w:ascii="Garamond" w:eastAsia="Times New Roman" w:hAnsi="Garamond" w:cs="Arial"/>
          <w:sz w:val="24"/>
          <w:szCs w:val="24"/>
          <w:lang w:eastAsia="es-CR"/>
        </w:rPr>
        <w:t>u</w:t>
      </w:r>
      <w:r w:rsidR="00EC682B" w:rsidRPr="003A1174">
        <w:rPr>
          <w:rFonts w:ascii="Garamond" w:eastAsia="Times New Roman" w:hAnsi="Garamond" w:cs="Arial"/>
          <w:sz w:val="24"/>
          <w:szCs w:val="24"/>
          <w:lang w:eastAsia="es-CR"/>
        </w:rPr>
        <w:t xml:space="preserve"> cargo o</w:t>
      </w:r>
      <w:r w:rsidR="007A2492" w:rsidRPr="003A1174">
        <w:rPr>
          <w:rFonts w:ascii="Garamond" w:eastAsia="Times New Roman" w:hAnsi="Garamond" w:cs="Arial"/>
          <w:sz w:val="24"/>
          <w:szCs w:val="24"/>
          <w:lang w:eastAsia="es-CR"/>
        </w:rPr>
        <w:t>u</w:t>
      </w:r>
      <w:r w:rsidR="00EC682B" w:rsidRPr="003A1174">
        <w:rPr>
          <w:rFonts w:ascii="Garamond" w:eastAsia="Times New Roman" w:hAnsi="Garamond" w:cs="Arial"/>
          <w:sz w:val="24"/>
          <w:szCs w:val="24"/>
          <w:lang w:eastAsia="es-CR"/>
        </w:rPr>
        <w:t xml:space="preserve"> s</w:t>
      </w:r>
      <w:r w:rsidR="007A2492" w:rsidRPr="003A1174">
        <w:rPr>
          <w:rFonts w:ascii="Garamond" w:eastAsia="Times New Roman" w:hAnsi="Garamond" w:cs="Arial"/>
          <w:sz w:val="24"/>
          <w:szCs w:val="24"/>
          <w:lang w:eastAsia="es-CR"/>
        </w:rPr>
        <w:t xml:space="preserve">e </w:t>
      </w:r>
      <w:r w:rsidR="00EC682B" w:rsidRPr="003A1174">
        <w:rPr>
          <w:rFonts w:ascii="Garamond" w:eastAsia="Times New Roman" w:hAnsi="Garamond" w:cs="Arial"/>
          <w:sz w:val="24"/>
          <w:szCs w:val="24"/>
          <w:lang w:eastAsia="es-CR"/>
        </w:rPr>
        <w:t xml:space="preserve">a imputada </w:t>
      </w:r>
      <w:r w:rsidR="007A2492" w:rsidRPr="003A1174">
        <w:rPr>
          <w:rFonts w:ascii="Garamond" w:eastAsia="Times New Roman" w:hAnsi="Garamond" w:cs="Arial"/>
          <w:sz w:val="24"/>
          <w:szCs w:val="24"/>
          <w:lang w:eastAsia="es-CR"/>
        </w:rPr>
        <w:t xml:space="preserve">for uma </w:t>
      </w:r>
      <w:r w:rsidR="00EC682B" w:rsidRPr="003A1174">
        <w:rPr>
          <w:rFonts w:ascii="Garamond" w:eastAsia="Times New Roman" w:hAnsi="Garamond" w:cs="Arial"/>
          <w:sz w:val="24"/>
          <w:szCs w:val="24"/>
          <w:lang w:eastAsia="es-CR"/>
        </w:rPr>
        <w:t xml:space="preserve">adulta </w:t>
      </w:r>
      <w:r w:rsidR="007A2492" w:rsidRPr="003A1174">
        <w:rPr>
          <w:rFonts w:ascii="Garamond" w:eastAsia="Times New Roman" w:hAnsi="Garamond" w:cs="Arial"/>
          <w:sz w:val="24"/>
          <w:szCs w:val="24"/>
          <w:lang w:eastAsia="es-CR"/>
        </w:rPr>
        <w:t>idosa</w:t>
      </w:r>
      <w:r w:rsidR="00EC682B" w:rsidRPr="003A1174">
        <w:rPr>
          <w:rFonts w:ascii="Garamond" w:eastAsia="Times New Roman" w:hAnsi="Garamond" w:cs="Arial"/>
          <w:sz w:val="24"/>
          <w:szCs w:val="24"/>
          <w:lang w:eastAsia="es-CR"/>
        </w:rPr>
        <w:t xml:space="preserve">. Adicionalmente, </w:t>
      </w:r>
      <w:r w:rsidR="007A2492" w:rsidRPr="003A1174">
        <w:rPr>
          <w:rFonts w:ascii="Garamond" w:eastAsia="Times New Roman" w:hAnsi="Garamond" w:cs="Arial"/>
          <w:sz w:val="24"/>
          <w:szCs w:val="24"/>
          <w:lang w:eastAsia="es-CR"/>
        </w:rPr>
        <w:t xml:space="preserve">a referida </w:t>
      </w:r>
      <w:r w:rsidR="003A2CD0">
        <w:rPr>
          <w:rFonts w:ascii="Garamond" w:eastAsia="Times New Roman" w:hAnsi="Garamond" w:cs="Arial"/>
          <w:sz w:val="24"/>
          <w:szCs w:val="24"/>
          <w:lang w:eastAsia="es-CR"/>
        </w:rPr>
        <w:t>revisão prevê a possibilidade de</w:t>
      </w:r>
      <w:r w:rsidR="007A2492" w:rsidRPr="003A1174">
        <w:rPr>
          <w:rFonts w:ascii="Garamond" w:eastAsia="Times New Roman" w:hAnsi="Garamond" w:cs="Arial"/>
          <w:sz w:val="24"/>
          <w:szCs w:val="24"/>
          <w:lang w:eastAsia="es-CR"/>
        </w:rPr>
        <w:t xml:space="preserve"> </w:t>
      </w:r>
      <w:r w:rsidR="00EC682B" w:rsidRPr="003A1174">
        <w:rPr>
          <w:rFonts w:ascii="Garamond" w:eastAsia="Times New Roman" w:hAnsi="Garamond" w:cs="Arial"/>
          <w:sz w:val="24"/>
          <w:szCs w:val="24"/>
          <w:lang w:eastAsia="es-CR"/>
        </w:rPr>
        <w:t xml:space="preserve">as </w:t>
      </w:r>
      <w:r w:rsidR="006C760C" w:rsidRPr="003A1174">
        <w:rPr>
          <w:rFonts w:ascii="Garamond" w:eastAsia="Times New Roman" w:hAnsi="Garamond" w:cs="Arial"/>
          <w:sz w:val="24"/>
          <w:szCs w:val="24"/>
          <w:lang w:eastAsia="es-CR"/>
        </w:rPr>
        <w:t>pessoas</w:t>
      </w:r>
      <w:r w:rsidR="00EC682B" w:rsidRPr="003A1174">
        <w:rPr>
          <w:rFonts w:ascii="Garamond" w:eastAsia="Times New Roman" w:hAnsi="Garamond" w:cs="Arial"/>
          <w:sz w:val="24"/>
          <w:szCs w:val="24"/>
          <w:lang w:eastAsia="es-CR"/>
        </w:rPr>
        <w:t xml:space="preserve"> </w:t>
      </w:r>
      <w:r w:rsidR="007A2492" w:rsidRPr="003A1174">
        <w:rPr>
          <w:rFonts w:ascii="Garamond" w:eastAsia="Times New Roman" w:hAnsi="Garamond" w:cs="Arial"/>
          <w:sz w:val="24"/>
          <w:szCs w:val="24"/>
          <w:lang w:eastAsia="es-CR"/>
        </w:rPr>
        <w:t>obter</w:t>
      </w:r>
      <w:r w:rsidR="003A2CD0">
        <w:rPr>
          <w:rFonts w:ascii="Garamond" w:eastAsia="Times New Roman" w:hAnsi="Garamond" w:cs="Arial"/>
          <w:sz w:val="24"/>
          <w:szCs w:val="24"/>
          <w:lang w:eastAsia="es-CR"/>
        </w:rPr>
        <w:t>em</w:t>
      </w:r>
      <w:r w:rsidR="007A2492" w:rsidRPr="003A1174">
        <w:rPr>
          <w:rFonts w:ascii="Garamond" w:eastAsia="Times New Roman" w:hAnsi="Garamond" w:cs="Arial"/>
          <w:sz w:val="24"/>
          <w:szCs w:val="24"/>
          <w:lang w:eastAsia="es-CR"/>
        </w:rPr>
        <w:t xml:space="preserve"> </w:t>
      </w:r>
      <w:r w:rsidR="00EC682B" w:rsidRPr="003A1174">
        <w:rPr>
          <w:rFonts w:ascii="Garamond" w:eastAsia="Times New Roman" w:hAnsi="Garamond" w:cs="Arial"/>
          <w:sz w:val="24"/>
          <w:szCs w:val="24"/>
          <w:lang w:eastAsia="es-CR"/>
        </w:rPr>
        <w:t>penas alternativas.</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EC682B"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Co</w:t>
      </w:r>
      <w:r w:rsidR="007A2492" w:rsidRPr="003A1174">
        <w:rPr>
          <w:rFonts w:ascii="Garamond" w:eastAsiaTheme="minorHAnsi" w:hAnsi="Garamond" w:cs="Arial"/>
          <w:sz w:val="24"/>
          <w:szCs w:val="24"/>
        </w:rPr>
        <w:t xml:space="preserve">m a </w:t>
      </w:r>
      <w:r w:rsidR="002B6999">
        <w:rPr>
          <w:rFonts w:ascii="Garamond" w:eastAsiaTheme="minorHAnsi" w:hAnsi="Garamond" w:cs="Arial"/>
          <w:sz w:val="24"/>
          <w:szCs w:val="24"/>
        </w:rPr>
        <w:t xml:space="preserve">referida </w:t>
      </w:r>
      <w:r w:rsidR="007A2492" w:rsidRPr="003A1174">
        <w:rPr>
          <w:rFonts w:ascii="Garamond" w:eastAsiaTheme="minorHAnsi" w:hAnsi="Garamond" w:cs="Arial"/>
          <w:sz w:val="24"/>
          <w:szCs w:val="24"/>
        </w:rPr>
        <w:t>alteração</w:t>
      </w:r>
      <w:r w:rsidRPr="003A1174">
        <w:rPr>
          <w:rFonts w:ascii="Garamond" w:eastAsiaTheme="minorHAnsi" w:hAnsi="Garamond" w:cs="Arial"/>
          <w:sz w:val="24"/>
          <w:szCs w:val="24"/>
        </w:rPr>
        <w:t xml:space="preserve"> legal introdu</w:t>
      </w:r>
      <w:r w:rsidR="007A2492" w:rsidRPr="003A1174">
        <w:rPr>
          <w:rFonts w:ascii="Garamond" w:eastAsiaTheme="minorHAnsi" w:hAnsi="Garamond" w:cs="Arial"/>
          <w:sz w:val="24"/>
          <w:szCs w:val="24"/>
        </w:rPr>
        <w:t>z-se a proporcionalidade</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7A2492" w:rsidRPr="003A1174">
        <w:rPr>
          <w:rFonts w:ascii="Garamond" w:eastAsiaTheme="minorHAnsi" w:hAnsi="Garamond" w:cs="Arial"/>
          <w:sz w:val="24"/>
          <w:szCs w:val="24"/>
        </w:rPr>
        <w:t>especificidade</w:t>
      </w:r>
      <w:r w:rsidRPr="003A1174">
        <w:rPr>
          <w:rFonts w:ascii="Garamond" w:eastAsiaTheme="minorHAnsi" w:hAnsi="Garamond" w:cs="Arial"/>
          <w:sz w:val="24"/>
          <w:szCs w:val="24"/>
        </w:rPr>
        <w:t xml:space="preserve"> de género </w:t>
      </w:r>
      <w:r w:rsidR="007A2492" w:rsidRPr="003A1174">
        <w:rPr>
          <w:rFonts w:ascii="Garamond" w:eastAsiaTheme="minorHAnsi" w:hAnsi="Garamond" w:cs="Arial"/>
          <w:sz w:val="24"/>
          <w:szCs w:val="24"/>
        </w:rPr>
        <w:t xml:space="preserve">na </w:t>
      </w:r>
      <w:r w:rsidR="00B14AA6" w:rsidRPr="003A1174">
        <w:rPr>
          <w:rFonts w:ascii="Garamond" w:eastAsiaTheme="minorHAnsi" w:hAnsi="Garamond" w:cs="Arial"/>
          <w:sz w:val="24"/>
          <w:szCs w:val="24"/>
        </w:rPr>
        <w:t>aplicação</w:t>
      </w:r>
      <w:r w:rsidR="004751F2" w:rsidRPr="003A1174">
        <w:rPr>
          <w:rFonts w:ascii="Garamond" w:eastAsiaTheme="minorHAnsi" w:hAnsi="Garamond" w:cs="Arial"/>
          <w:sz w:val="24"/>
          <w:szCs w:val="24"/>
        </w:rPr>
        <w:t xml:space="preserve"> futura </w:t>
      </w:r>
      <w:r w:rsidRPr="003A1174">
        <w:rPr>
          <w:rFonts w:ascii="Garamond" w:eastAsiaTheme="minorHAnsi" w:hAnsi="Garamond" w:cs="Arial"/>
          <w:sz w:val="24"/>
          <w:szCs w:val="24"/>
        </w:rPr>
        <w:t xml:space="preserve">da </w:t>
      </w:r>
      <w:r w:rsidR="00FC4727" w:rsidRPr="003A1174">
        <w:rPr>
          <w:rFonts w:ascii="Garamond" w:eastAsiaTheme="minorHAnsi" w:hAnsi="Garamond" w:cs="Arial"/>
          <w:sz w:val="24"/>
          <w:szCs w:val="24"/>
        </w:rPr>
        <w:t>punição</w:t>
      </w:r>
      <w:r w:rsidRPr="003A1174">
        <w:rPr>
          <w:rFonts w:ascii="Garamond" w:eastAsiaTheme="minorHAnsi" w:hAnsi="Garamond" w:cs="Arial"/>
          <w:sz w:val="24"/>
          <w:szCs w:val="24"/>
        </w:rPr>
        <w:t xml:space="preserve"> penal, </w:t>
      </w:r>
      <w:r w:rsidR="007A2492" w:rsidRPr="003A1174">
        <w:rPr>
          <w:rFonts w:ascii="Garamond" w:eastAsiaTheme="minorHAnsi" w:hAnsi="Garamond" w:cs="Arial"/>
          <w:sz w:val="24"/>
          <w:szCs w:val="24"/>
        </w:rPr>
        <w:t xml:space="preserve">que por sua </w:t>
      </w:r>
      <w:r w:rsidR="004751F2" w:rsidRPr="003A1174">
        <w:rPr>
          <w:rFonts w:ascii="Garamond" w:eastAsiaTheme="minorHAnsi" w:hAnsi="Garamond" w:cs="Arial"/>
          <w:sz w:val="24"/>
          <w:szCs w:val="24"/>
        </w:rPr>
        <w:t>vez</w:t>
      </w:r>
      <w:r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constitui</w:t>
      </w:r>
      <w:r w:rsidRPr="003A1174">
        <w:rPr>
          <w:rFonts w:ascii="Garamond" w:eastAsiaTheme="minorHAnsi" w:hAnsi="Garamond" w:cs="Arial"/>
          <w:sz w:val="24"/>
          <w:szCs w:val="24"/>
        </w:rPr>
        <w:t xml:space="preserve"> u</w:t>
      </w:r>
      <w:r w:rsidR="007A2492" w:rsidRPr="003A1174">
        <w:rPr>
          <w:rFonts w:ascii="Garamond" w:eastAsiaTheme="minorHAnsi" w:hAnsi="Garamond" w:cs="Arial"/>
          <w:sz w:val="24"/>
          <w:szCs w:val="24"/>
        </w:rPr>
        <w:t>m</w:t>
      </w:r>
      <w:r w:rsidRPr="003A1174">
        <w:rPr>
          <w:rFonts w:ascii="Garamond" w:eastAsiaTheme="minorHAnsi" w:hAnsi="Garamond" w:cs="Arial"/>
          <w:sz w:val="24"/>
          <w:szCs w:val="24"/>
        </w:rPr>
        <w:t xml:space="preserve"> instrumento de política </w:t>
      </w:r>
      <w:r w:rsidR="007A2492" w:rsidRPr="003A1174">
        <w:rPr>
          <w:rFonts w:ascii="Garamond" w:eastAsiaTheme="minorHAnsi" w:hAnsi="Garamond" w:cs="Arial"/>
          <w:sz w:val="24"/>
          <w:szCs w:val="24"/>
        </w:rPr>
        <w:t>penitenciária</w:t>
      </w:r>
      <w:r w:rsidRPr="003A1174">
        <w:rPr>
          <w:rFonts w:ascii="Garamond" w:eastAsiaTheme="minorHAnsi" w:hAnsi="Garamond" w:cs="Arial"/>
          <w:sz w:val="24"/>
          <w:szCs w:val="24"/>
        </w:rPr>
        <w:t xml:space="preserve"> género sensitiva</w:t>
      </w:r>
      <w:r w:rsidR="004751F2" w:rsidRPr="003A1174">
        <w:rPr>
          <w:rFonts w:ascii="Garamond" w:eastAsiaTheme="minorHAnsi" w:hAnsi="Garamond" w:cs="Arial"/>
          <w:sz w:val="24"/>
          <w:szCs w:val="24"/>
        </w:rPr>
        <w:t>,</w:t>
      </w:r>
      <w:r w:rsidRPr="003A1174">
        <w:rPr>
          <w:rFonts w:ascii="Garamond" w:eastAsiaTheme="minorHAnsi" w:hAnsi="Garamond" w:cs="Arial"/>
          <w:sz w:val="24"/>
          <w:szCs w:val="24"/>
        </w:rPr>
        <w:t xml:space="preserve"> que </w:t>
      </w:r>
      <w:r w:rsidR="007A2492" w:rsidRPr="003A1174">
        <w:rPr>
          <w:rFonts w:ascii="Garamond" w:eastAsiaTheme="minorHAnsi" w:hAnsi="Garamond" w:cs="Arial"/>
          <w:sz w:val="24"/>
          <w:szCs w:val="24"/>
        </w:rPr>
        <w:t xml:space="preserve">altera o </w:t>
      </w:r>
      <w:r w:rsidRPr="003A1174">
        <w:rPr>
          <w:rFonts w:ascii="Garamond" w:eastAsiaTheme="minorHAnsi" w:hAnsi="Garamond" w:cs="Arial"/>
          <w:sz w:val="24"/>
          <w:szCs w:val="24"/>
        </w:rPr>
        <w:t xml:space="preserve">panorama de </w:t>
      </w:r>
      <w:r w:rsidR="007A2492" w:rsidRPr="003A1174">
        <w:rPr>
          <w:rFonts w:ascii="Garamond" w:eastAsiaTheme="minorHAnsi" w:hAnsi="Garamond" w:cs="Arial"/>
          <w:sz w:val="24"/>
          <w:szCs w:val="24"/>
        </w:rPr>
        <w:t xml:space="preserve">pelo </w:t>
      </w:r>
      <w:r w:rsidRPr="003A1174">
        <w:rPr>
          <w:rFonts w:ascii="Garamond" w:eastAsiaTheme="minorHAnsi" w:hAnsi="Garamond" w:cs="Arial"/>
          <w:sz w:val="24"/>
          <w:szCs w:val="24"/>
        </w:rPr>
        <w:t xml:space="preserve">menos 150 </w:t>
      </w:r>
      <w:r w:rsidR="00054EE0" w:rsidRPr="003A1174">
        <w:rPr>
          <w:rFonts w:ascii="Garamond" w:eastAsiaTheme="minorHAnsi" w:hAnsi="Garamond" w:cs="Arial"/>
          <w:sz w:val="24"/>
          <w:szCs w:val="24"/>
        </w:rPr>
        <w:t>mulheres</w:t>
      </w:r>
      <w:r w:rsidRPr="003A1174">
        <w:rPr>
          <w:rFonts w:ascii="Garamond" w:eastAsiaTheme="minorHAnsi" w:hAnsi="Garamond" w:cs="Arial"/>
          <w:sz w:val="24"/>
          <w:szCs w:val="24"/>
        </w:rPr>
        <w:t xml:space="preserve"> que </w:t>
      </w:r>
      <w:r w:rsidR="004751F2" w:rsidRPr="003A1174">
        <w:rPr>
          <w:rFonts w:ascii="Garamond" w:eastAsiaTheme="minorHAnsi" w:hAnsi="Garamond" w:cs="Arial"/>
          <w:sz w:val="24"/>
          <w:szCs w:val="24"/>
        </w:rPr>
        <w:t>enfrenta</w:t>
      </w:r>
      <w:r w:rsidR="007A2492" w:rsidRPr="003A1174">
        <w:rPr>
          <w:rFonts w:ascii="Garamond" w:eastAsiaTheme="minorHAnsi" w:hAnsi="Garamond" w:cs="Arial"/>
          <w:sz w:val="24"/>
          <w:szCs w:val="24"/>
        </w:rPr>
        <w:t xml:space="preserve">vam </w:t>
      </w:r>
      <w:r w:rsidRPr="003A1174">
        <w:rPr>
          <w:rFonts w:ascii="Garamond" w:eastAsiaTheme="minorHAnsi" w:hAnsi="Garamond" w:cs="Arial"/>
          <w:sz w:val="24"/>
          <w:szCs w:val="24"/>
        </w:rPr>
        <w:t xml:space="preserve">pena de </w:t>
      </w:r>
      <w:r w:rsidR="007A2492" w:rsidRPr="003A1174">
        <w:rPr>
          <w:rFonts w:ascii="Garamond" w:eastAsiaTheme="minorHAnsi" w:hAnsi="Garamond" w:cs="Arial"/>
          <w:sz w:val="24"/>
          <w:szCs w:val="24"/>
        </w:rPr>
        <w:t>prisão</w:t>
      </w:r>
      <w:r w:rsidRPr="003A1174">
        <w:rPr>
          <w:rFonts w:ascii="Garamond" w:eastAsiaTheme="minorHAnsi" w:hAnsi="Garamond" w:cs="Arial"/>
          <w:sz w:val="24"/>
          <w:szCs w:val="24"/>
        </w:rPr>
        <w:t xml:space="preserve"> por este tipo penal </w:t>
      </w:r>
      <w:r w:rsidR="007A2492" w:rsidRPr="003A1174">
        <w:rPr>
          <w:rFonts w:ascii="Garamond" w:eastAsiaTheme="minorHAnsi" w:hAnsi="Garamond" w:cs="Arial"/>
          <w:sz w:val="24"/>
          <w:szCs w:val="24"/>
        </w:rPr>
        <w:t xml:space="preserve">no </w:t>
      </w:r>
      <w:r w:rsidRPr="003A1174">
        <w:rPr>
          <w:rFonts w:ascii="Garamond" w:eastAsiaTheme="minorHAnsi" w:hAnsi="Garamond" w:cs="Arial"/>
          <w:sz w:val="24"/>
          <w:szCs w:val="24"/>
        </w:rPr>
        <w:t>momento de entra</w:t>
      </w:r>
      <w:r w:rsidR="007A2492" w:rsidRPr="003A1174">
        <w:rPr>
          <w:rFonts w:ascii="Garamond" w:eastAsiaTheme="minorHAnsi" w:hAnsi="Garamond" w:cs="Arial"/>
          <w:sz w:val="24"/>
          <w:szCs w:val="24"/>
        </w:rPr>
        <w:t xml:space="preserve">da em </w:t>
      </w:r>
      <w:r w:rsidR="00CD707D" w:rsidRPr="003A1174">
        <w:rPr>
          <w:rFonts w:ascii="Garamond" w:eastAsiaTheme="minorHAnsi" w:hAnsi="Garamond" w:cs="Arial"/>
          <w:sz w:val="24"/>
          <w:szCs w:val="24"/>
        </w:rPr>
        <w:t>vig</w:t>
      </w:r>
      <w:r w:rsidR="007A2492" w:rsidRPr="003A1174">
        <w:rPr>
          <w:rFonts w:ascii="Garamond" w:eastAsiaTheme="minorHAnsi" w:hAnsi="Garamond" w:cs="Arial"/>
          <w:sz w:val="24"/>
          <w:szCs w:val="24"/>
        </w:rPr>
        <w:t>or da nova lei</w:t>
      </w:r>
      <w:r w:rsidRPr="003A1174">
        <w:rPr>
          <w:rFonts w:ascii="Garamond" w:eastAsiaTheme="minorHAnsi" w:hAnsi="Garamond" w:cs="Arial"/>
          <w:sz w:val="24"/>
          <w:szCs w:val="24"/>
        </w:rPr>
        <w:t>.</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1F2F8B" w:rsidP="008719D4">
      <w:pPr>
        <w:spacing w:after="0" w:line="240" w:lineRule="auto"/>
        <w:jc w:val="both"/>
        <w:rPr>
          <w:rFonts w:ascii="Garamond" w:eastAsiaTheme="minorEastAsia" w:hAnsi="Garamond" w:cs="Arial"/>
          <w:kern w:val="24"/>
          <w:sz w:val="24"/>
          <w:szCs w:val="24"/>
        </w:rPr>
      </w:pPr>
      <w:r w:rsidRPr="003A1174">
        <w:rPr>
          <w:rFonts w:ascii="Garamond" w:eastAsiaTheme="minorHAnsi" w:hAnsi="Garamond" w:cs="Arial"/>
          <w:sz w:val="24"/>
          <w:szCs w:val="24"/>
        </w:rPr>
        <w:t>Outro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avanço</w:t>
      </w:r>
      <w:r w:rsidR="00EC682B" w:rsidRPr="003A1174">
        <w:rPr>
          <w:rFonts w:ascii="Garamond" w:eastAsiaTheme="minorHAnsi" w:hAnsi="Garamond" w:cs="Arial"/>
          <w:sz w:val="24"/>
          <w:szCs w:val="24"/>
        </w:rPr>
        <w:t xml:space="preserve"> </w:t>
      </w:r>
      <w:r w:rsidR="007A2492" w:rsidRPr="003A1174">
        <w:rPr>
          <w:rFonts w:ascii="Garamond" w:eastAsiaTheme="minorHAnsi" w:hAnsi="Garamond" w:cs="Arial"/>
          <w:sz w:val="24"/>
          <w:szCs w:val="24"/>
        </w:rPr>
        <w:t xml:space="preserve">a </w:t>
      </w:r>
      <w:r w:rsidR="00EC682B" w:rsidRPr="003A1174">
        <w:rPr>
          <w:rFonts w:ascii="Garamond" w:eastAsiaTheme="minorHAnsi" w:hAnsi="Garamond" w:cs="Arial"/>
          <w:sz w:val="24"/>
          <w:szCs w:val="24"/>
        </w:rPr>
        <w:t xml:space="preserve">favor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w:t>
      </w:r>
      <w:r w:rsidR="007A2492" w:rsidRPr="003A1174">
        <w:rPr>
          <w:rFonts w:ascii="Garamond" w:eastAsiaTheme="minorHAnsi" w:hAnsi="Garamond" w:cs="Arial"/>
          <w:sz w:val="24"/>
          <w:szCs w:val="24"/>
        </w:rPr>
        <w:t>detidas</w:t>
      </w:r>
      <w:r w:rsidR="00530082">
        <w:rPr>
          <w:rFonts w:ascii="Garamond" w:eastAsiaTheme="minorHAnsi" w:hAnsi="Garamond" w:cs="Arial"/>
          <w:sz w:val="24"/>
          <w:szCs w:val="24"/>
        </w:rPr>
        <w:t>,</w:t>
      </w:r>
      <w:r w:rsidR="007A2492" w:rsidRPr="003A1174">
        <w:rPr>
          <w:rFonts w:ascii="Garamond" w:eastAsiaTheme="minorHAnsi" w:hAnsi="Garamond" w:cs="Arial"/>
          <w:sz w:val="24"/>
          <w:szCs w:val="24"/>
        </w:rPr>
        <w:t xml:space="preserve"> </w:t>
      </w:r>
      <w:r w:rsidR="00BA66BE">
        <w:rPr>
          <w:rFonts w:ascii="Garamond" w:eastAsiaTheme="minorHAnsi" w:hAnsi="Garamond" w:cs="Arial"/>
          <w:sz w:val="24"/>
          <w:szCs w:val="24"/>
        </w:rPr>
        <w:t>concretiza-se</w:t>
      </w:r>
      <w:r w:rsidR="00AB16D4">
        <w:rPr>
          <w:rFonts w:ascii="Garamond" w:eastAsiaTheme="minorHAnsi" w:hAnsi="Garamond" w:cs="Arial"/>
          <w:sz w:val="24"/>
          <w:szCs w:val="24"/>
        </w:rPr>
        <w:t xml:space="preserve"> através d</w:t>
      </w:r>
      <w:r w:rsidR="00EC682B" w:rsidRPr="003A1174">
        <w:rPr>
          <w:rFonts w:ascii="Garamond" w:eastAsiaTheme="minorHAnsi" w:hAnsi="Garamond" w:cs="Arial"/>
          <w:sz w:val="24"/>
          <w:szCs w:val="24"/>
        </w:rPr>
        <w:t xml:space="preserve">a </w:t>
      </w:r>
      <w:r w:rsidR="007A2492" w:rsidRPr="003A1174">
        <w:rPr>
          <w:rFonts w:ascii="Garamond" w:eastAsiaTheme="minorHAnsi" w:hAnsi="Garamond" w:cs="Arial"/>
          <w:sz w:val="24"/>
          <w:szCs w:val="24"/>
        </w:rPr>
        <w:t>aprovação</w:t>
      </w:r>
      <w:r w:rsidR="00EC682B" w:rsidRPr="003A1174">
        <w:rPr>
          <w:rFonts w:ascii="Garamond" w:eastAsiaTheme="minorHAnsi" w:hAnsi="Garamond" w:cs="Arial"/>
          <w:sz w:val="24"/>
          <w:szCs w:val="24"/>
        </w:rPr>
        <w:t xml:space="preserve"> da </w:t>
      </w:r>
      <w:r w:rsidR="00D15AFF" w:rsidRPr="003A1174">
        <w:rPr>
          <w:rFonts w:ascii="Garamond" w:eastAsiaTheme="minorHAnsi" w:hAnsi="Garamond" w:cs="Arial"/>
          <w:i/>
          <w:sz w:val="24"/>
          <w:szCs w:val="24"/>
        </w:rPr>
        <w:t>Lei</w:t>
      </w:r>
      <w:r w:rsidR="00EC682B" w:rsidRPr="003A1174">
        <w:rPr>
          <w:rFonts w:ascii="Garamond" w:eastAsiaTheme="minorHAnsi" w:hAnsi="Garamond" w:cs="Arial"/>
          <w:i/>
          <w:sz w:val="24"/>
          <w:szCs w:val="24"/>
        </w:rPr>
        <w:t xml:space="preserve"> de Mecanismos Eletrónicos de </w:t>
      </w:r>
      <w:r w:rsidR="00C01806" w:rsidRPr="003A1174">
        <w:rPr>
          <w:rFonts w:ascii="Garamond" w:eastAsiaTheme="minorHAnsi" w:hAnsi="Garamond" w:cs="Arial"/>
          <w:i/>
          <w:sz w:val="24"/>
          <w:szCs w:val="24"/>
        </w:rPr>
        <w:t>Seguimento</w:t>
      </w:r>
      <w:r w:rsidR="00EC682B" w:rsidRPr="003A1174">
        <w:rPr>
          <w:rFonts w:ascii="Garamond" w:eastAsiaTheme="minorHAnsi" w:hAnsi="Garamond" w:cs="Arial"/>
          <w:i/>
          <w:sz w:val="24"/>
          <w:szCs w:val="24"/>
        </w:rPr>
        <w:t xml:space="preserve"> e</w:t>
      </w:r>
      <w:r w:rsidR="007A2492" w:rsidRPr="003A1174">
        <w:rPr>
          <w:rFonts w:ascii="Garamond" w:eastAsiaTheme="minorHAnsi" w:hAnsi="Garamond" w:cs="Arial"/>
          <w:i/>
          <w:sz w:val="24"/>
          <w:szCs w:val="24"/>
        </w:rPr>
        <w:t>m</w:t>
      </w:r>
      <w:r w:rsidR="00EC682B" w:rsidRPr="003A1174">
        <w:rPr>
          <w:rFonts w:ascii="Garamond" w:eastAsiaTheme="minorHAnsi" w:hAnsi="Garamond" w:cs="Arial"/>
          <w:i/>
          <w:sz w:val="24"/>
          <w:szCs w:val="24"/>
        </w:rPr>
        <w:t xml:space="preserve"> </w:t>
      </w:r>
      <w:r w:rsidR="00EF645F" w:rsidRPr="003A1174">
        <w:rPr>
          <w:rFonts w:ascii="Garamond" w:eastAsiaTheme="minorHAnsi" w:hAnsi="Garamond" w:cs="Arial"/>
          <w:i/>
          <w:sz w:val="24"/>
          <w:szCs w:val="24"/>
        </w:rPr>
        <w:t>matéria</w:t>
      </w:r>
      <w:r w:rsidR="00EC682B" w:rsidRPr="003A1174">
        <w:rPr>
          <w:rFonts w:ascii="Garamond" w:eastAsiaTheme="minorHAnsi" w:hAnsi="Garamond" w:cs="Arial"/>
          <w:i/>
          <w:sz w:val="24"/>
          <w:szCs w:val="24"/>
        </w:rPr>
        <w:t xml:space="preserve"> penal</w:t>
      </w:r>
      <w:r w:rsidR="00EC682B" w:rsidRPr="003A1174">
        <w:rPr>
          <w:rFonts w:ascii="Garamond" w:eastAsiaTheme="minorHAnsi" w:hAnsi="Garamond" w:cs="Arial"/>
          <w:sz w:val="24"/>
          <w:szCs w:val="24"/>
        </w:rPr>
        <w:t xml:space="preserve"> </w:t>
      </w:r>
      <w:r w:rsidR="002B6999">
        <w:rPr>
          <w:rFonts w:ascii="Garamond" w:eastAsiaTheme="minorHAnsi" w:hAnsi="Garamond" w:cs="Arial"/>
          <w:sz w:val="24"/>
          <w:szCs w:val="24"/>
        </w:rPr>
        <w:t>-</w:t>
      </w:r>
      <w:r w:rsidR="007A2492"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2A7515">
        <w:rPr>
          <w:rFonts w:ascii="Garamond" w:eastAsiaTheme="minorHAnsi" w:hAnsi="Garamond" w:cs="Arial"/>
          <w:sz w:val="24"/>
          <w:szCs w:val="24"/>
        </w:rPr>
        <w:t>.</w:t>
      </w:r>
      <w:r w:rsidR="00EC682B" w:rsidRPr="003A1174">
        <w:rPr>
          <w:rFonts w:ascii="Garamond" w:eastAsiaTheme="minorHAnsi" w:hAnsi="Garamond" w:cs="Arial"/>
          <w:sz w:val="24"/>
          <w:szCs w:val="24"/>
        </w:rPr>
        <w:t>° 9271 de 5 de agosto de 2014</w:t>
      </w:r>
      <w:r w:rsidR="007A2492" w:rsidRPr="003A1174">
        <w:rPr>
          <w:rFonts w:ascii="Garamond" w:eastAsiaTheme="minorHAnsi" w:hAnsi="Garamond" w:cs="Arial"/>
          <w:sz w:val="24"/>
          <w:szCs w:val="24"/>
        </w:rPr>
        <w:t xml:space="preserve"> </w:t>
      </w:r>
      <w:r w:rsidR="002B6999">
        <w:rPr>
          <w:rFonts w:ascii="Garamond" w:eastAsiaTheme="minorHAnsi" w:hAnsi="Garamond" w:cs="Arial"/>
          <w:sz w:val="24"/>
          <w:szCs w:val="24"/>
        </w:rPr>
        <w:t>-</w:t>
      </w:r>
      <w:r w:rsidR="00EC682B" w:rsidRPr="003A1174">
        <w:rPr>
          <w:rFonts w:ascii="Garamond" w:eastAsiaTheme="minorHAnsi" w:hAnsi="Garamond" w:cs="Arial"/>
          <w:sz w:val="24"/>
          <w:szCs w:val="24"/>
        </w:rPr>
        <w:t xml:space="preserve"> e</w:t>
      </w:r>
      <w:r w:rsidR="007A2492" w:rsidRPr="003A1174">
        <w:rPr>
          <w:rFonts w:ascii="Garamond" w:eastAsiaTheme="minorHAnsi" w:hAnsi="Garamond" w:cs="Arial"/>
          <w:sz w:val="24"/>
          <w:szCs w:val="24"/>
        </w:rPr>
        <w:t xml:space="preserve">m que </w:t>
      </w:r>
      <w:r w:rsidR="00EC682B" w:rsidRPr="003A1174">
        <w:rPr>
          <w:rFonts w:ascii="Garamond" w:eastAsiaTheme="minorHAnsi" w:hAnsi="Garamond" w:cs="Arial"/>
          <w:sz w:val="24"/>
          <w:szCs w:val="24"/>
        </w:rPr>
        <w:t>se</w:t>
      </w:r>
      <w:r w:rsidR="00EC682B" w:rsidRPr="003A1174">
        <w:rPr>
          <w:rFonts w:ascii="Garamond" w:eastAsiaTheme="minorEastAsia" w:hAnsi="Garamond" w:cs="Arial"/>
          <w:kern w:val="24"/>
          <w:sz w:val="24"/>
          <w:szCs w:val="24"/>
        </w:rPr>
        <w:t xml:space="preserve"> beneficia a </w:t>
      </w:r>
      <w:r w:rsidR="007A2492" w:rsidRPr="003A1174">
        <w:rPr>
          <w:rFonts w:ascii="Garamond" w:eastAsiaTheme="minorEastAsia" w:hAnsi="Garamond" w:cs="Arial"/>
          <w:kern w:val="24"/>
          <w:sz w:val="24"/>
          <w:szCs w:val="24"/>
        </w:rPr>
        <w:t>população</w:t>
      </w:r>
      <w:r w:rsidR="00EC682B" w:rsidRPr="003A1174">
        <w:rPr>
          <w:rFonts w:ascii="Garamond" w:eastAsiaTheme="minorEastAsia" w:hAnsi="Garamond" w:cs="Arial"/>
          <w:kern w:val="24"/>
          <w:sz w:val="24"/>
          <w:szCs w:val="24"/>
        </w:rPr>
        <w:t xml:space="preserve"> </w:t>
      </w:r>
      <w:r w:rsidR="007A2492" w:rsidRPr="003A1174">
        <w:rPr>
          <w:rFonts w:ascii="Garamond" w:eastAsiaTheme="minorEastAsia" w:hAnsi="Garamond" w:cs="Arial"/>
          <w:kern w:val="24"/>
          <w:sz w:val="24"/>
          <w:szCs w:val="24"/>
        </w:rPr>
        <w:t>feminina</w:t>
      </w:r>
      <w:r w:rsidR="00EC682B" w:rsidRPr="003A1174">
        <w:rPr>
          <w:rFonts w:ascii="Garamond" w:eastAsiaTheme="minorEastAsia" w:hAnsi="Garamond" w:cs="Arial"/>
          <w:kern w:val="24"/>
          <w:sz w:val="24"/>
          <w:szCs w:val="24"/>
        </w:rPr>
        <w:t xml:space="preserve"> privada de </w:t>
      </w:r>
      <w:r w:rsidR="001B02AD" w:rsidRPr="003A1174">
        <w:rPr>
          <w:rFonts w:ascii="Garamond" w:eastAsiaTheme="minorEastAsia" w:hAnsi="Garamond" w:cs="Arial"/>
          <w:kern w:val="24"/>
          <w:sz w:val="24"/>
          <w:szCs w:val="24"/>
        </w:rPr>
        <w:t>liberdade</w:t>
      </w:r>
      <w:r w:rsidR="00530082">
        <w:rPr>
          <w:rFonts w:ascii="Garamond" w:eastAsiaTheme="minorEastAsia" w:hAnsi="Garamond" w:cs="Arial"/>
          <w:kern w:val="24"/>
          <w:sz w:val="24"/>
          <w:szCs w:val="24"/>
        </w:rPr>
        <w:t>,</w:t>
      </w:r>
      <w:r w:rsidR="00EC682B" w:rsidRPr="003A1174">
        <w:rPr>
          <w:rFonts w:ascii="Garamond" w:eastAsiaTheme="minorEastAsia" w:hAnsi="Garamond" w:cs="Arial"/>
          <w:kern w:val="24"/>
          <w:sz w:val="24"/>
          <w:szCs w:val="24"/>
        </w:rPr>
        <w:t xml:space="preserve"> a</w:t>
      </w:r>
      <w:r w:rsidR="007A2492" w:rsidRPr="003A1174">
        <w:rPr>
          <w:rFonts w:ascii="Garamond" w:eastAsiaTheme="minorEastAsia" w:hAnsi="Garamond" w:cs="Arial"/>
          <w:kern w:val="24"/>
          <w:sz w:val="24"/>
          <w:szCs w:val="24"/>
        </w:rPr>
        <w:t>o</w:t>
      </w:r>
      <w:r w:rsidR="00EC682B" w:rsidRPr="003A1174">
        <w:rPr>
          <w:rFonts w:ascii="Garamond" w:eastAsiaTheme="minorEastAsia" w:hAnsi="Garamond" w:cs="Arial"/>
          <w:kern w:val="24"/>
          <w:sz w:val="24"/>
          <w:szCs w:val="24"/>
        </w:rPr>
        <w:t xml:space="preserve"> </w:t>
      </w:r>
      <w:r w:rsidR="00D84A9F" w:rsidRPr="003A1174">
        <w:rPr>
          <w:rFonts w:ascii="Garamond" w:eastAsiaTheme="minorEastAsia" w:hAnsi="Garamond" w:cs="Arial"/>
          <w:kern w:val="24"/>
          <w:sz w:val="24"/>
          <w:szCs w:val="24"/>
        </w:rPr>
        <w:t>substituir</w:t>
      </w:r>
      <w:r w:rsidR="007A2492" w:rsidRPr="003A1174">
        <w:rPr>
          <w:rFonts w:ascii="Garamond" w:eastAsiaTheme="minorEastAsia" w:hAnsi="Garamond" w:cs="Arial"/>
          <w:kern w:val="24"/>
          <w:sz w:val="24"/>
          <w:szCs w:val="24"/>
        </w:rPr>
        <w:t xml:space="preserve"> </w:t>
      </w:r>
      <w:r w:rsidR="00EC682B" w:rsidRPr="003A1174">
        <w:rPr>
          <w:rFonts w:ascii="Garamond" w:eastAsiaTheme="minorEastAsia" w:hAnsi="Garamond" w:cs="Arial"/>
          <w:kern w:val="24"/>
          <w:sz w:val="24"/>
          <w:szCs w:val="24"/>
        </w:rPr>
        <w:t xml:space="preserve">a pena de </w:t>
      </w:r>
      <w:r w:rsidR="007A2492" w:rsidRPr="003A1174">
        <w:rPr>
          <w:rFonts w:ascii="Garamond" w:eastAsiaTheme="minorEastAsia" w:hAnsi="Garamond" w:cs="Arial"/>
          <w:kern w:val="24"/>
          <w:sz w:val="24"/>
          <w:szCs w:val="24"/>
        </w:rPr>
        <w:t>prisão</w:t>
      </w:r>
      <w:r w:rsidR="00530082">
        <w:rPr>
          <w:rFonts w:ascii="Garamond" w:eastAsiaTheme="minorEastAsia" w:hAnsi="Garamond" w:cs="Arial"/>
          <w:kern w:val="24"/>
          <w:sz w:val="24"/>
          <w:szCs w:val="24"/>
        </w:rPr>
        <w:t>,</w:t>
      </w:r>
      <w:r w:rsidR="007A2492" w:rsidRPr="003A1174">
        <w:rPr>
          <w:rFonts w:ascii="Garamond" w:eastAsiaTheme="minorEastAsia" w:hAnsi="Garamond" w:cs="Arial"/>
          <w:kern w:val="24"/>
          <w:sz w:val="24"/>
          <w:szCs w:val="24"/>
        </w:rPr>
        <w:t xml:space="preserve"> durante </w:t>
      </w:r>
      <w:r w:rsidR="00EC682B" w:rsidRPr="003A1174">
        <w:rPr>
          <w:rFonts w:ascii="Garamond" w:eastAsiaTheme="minorEastAsia" w:hAnsi="Garamond" w:cs="Arial"/>
          <w:kern w:val="24"/>
          <w:sz w:val="24"/>
          <w:szCs w:val="24"/>
        </w:rPr>
        <w:t xml:space="preserve">a </w:t>
      </w:r>
      <w:r w:rsidR="00EB78D9" w:rsidRPr="003A1174">
        <w:rPr>
          <w:rFonts w:ascii="Garamond" w:eastAsiaTheme="minorEastAsia" w:hAnsi="Garamond" w:cs="Arial"/>
          <w:kern w:val="24"/>
          <w:sz w:val="24"/>
          <w:szCs w:val="24"/>
        </w:rPr>
        <w:t>execução</w:t>
      </w:r>
      <w:r w:rsidR="00EC682B" w:rsidRPr="003A1174">
        <w:rPr>
          <w:rFonts w:ascii="Garamond" w:eastAsiaTheme="minorEastAsia" w:hAnsi="Garamond" w:cs="Arial"/>
          <w:kern w:val="24"/>
          <w:sz w:val="24"/>
          <w:szCs w:val="24"/>
        </w:rPr>
        <w:t xml:space="preserve"> da pena</w:t>
      </w:r>
      <w:r w:rsidR="00530082">
        <w:rPr>
          <w:rFonts w:ascii="Garamond" w:eastAsiaTheme="minorEastAsia" w:hAnsi="Garamond" w:cs="Arial"/>
          <w:kern w:val="24"/>
          <w:sz w:val="24"/>
          <w:szCs w:val="24"/>
        </w:rPr>
        <w:t>,</w:t>
      </w:r>
      <w:r w:rsidR="00EC682B" w:rsidRPr="003A1174">
        <w:rPr>
          <w:rFonts w:ascii="Garamond" w:eastAsiaTheme="minorEastAsia" w:hAnsi="Garamond" w:cs="Arial"/>
          <w:kern w:val="24"/>
          <w:sz w:val="24"/>
          <w:szCs w:val="24"/>
        </w:rPr>
        <w:t xml:space="preserve"> por</w:t>
      </w:r>
      <w:r w:rsidR="007A2492" w:rsidRPr="003A1174">
        <w:rPr>
          <w:rFonts w:ascii="Garamond" w:eastAsiaTheme="minorEastAsia" w:hAnsi="Garamond" w:cs="Arial"/>
          <w:kern w:val="24"/>
          <w:sz w:val="24"/>
          <w:szCs w:val="24"/>
        </w:rPr>
        <w:t xml:space="preserve"> prisão </w:t>
      </w:r>
      <w:r w:rsidR="00EC682B" w:rsidRPr="003A1174">
        <w:rPr>
          <w:rFonts w:ascii="Garamond" w:eastAsiaTheme="minorEastAsia" w:hAnsi="Garamond" w:cs="Arial"/>
          <w:kern w:val="24"/>
          <w:sz w:val="24"/>
          <w:szCs w:val="24"/>
        </w:rPr>
        <w:t>domicili</w:t>
      </w:r>
      <w:r w:rsidR="007A2492" w:rsidRPr="003A1174">
        <w:rPr>
          <w:rFonts w:ascii="Garamond" w:eastAsiaTheme="minorEastAsia" w:hAnsi="Garamond" w:cs="Arial"/>
          <w:kern w:val="24"/>
          <w:sz w:val="24"/>
          <w:szCs w:val="24"/>
        </w:rPr>
        <w:t>ária com pulseira eletrónica</w:t>
      </w:r>
      <w:r w:rsidR="00EC682B" w:rsidRPr="003A1174">
        <w:rPr>
          <w:rFonts w:ascii="Garamond" w:eastAsiaTheme="minorEastAsia" w:hAnsi="Garamond" w:cs="Arial"/>
          <w:kern w:val="24"/>
          <w:sz w:val="24"/>
          <w:szCs w:val="24"/>
        </w:rPr>
        <w:t xml:space="preserve">, </w:t>
      </w:r>
      <w:r w:rsidR="00863197" w:rsidRPr="003A1174">
        <w:rPr>
          <w:rFonts w:ascii="Garamond" w:eastAsiaTheme="minorEastAsia" w:hAnsi="Garamond" w:cs="Arial"/>
          <w:kern w:val="24"/>
          <w:sz w:val="24"/>
          <w:szCs w:val="24"/>
        </w:rPr>
        <w:t>quando</w:t>
      </w:r>
      <w:r w:rsidR="007A2492" w:rsidRPr="003A1174">
        <w:rPr>
          <w:rFonts w:ascii="Garamond" w:eastAsiaTheme="minorEastAsia" w:hAnsi="Garamond" w:cs="Arial"/>
          <w:kern w:val="24"/>
          <w:sz w:val="24"/>
          <w:szCs w:val="24"/>
        </w:rPr>
        <w:t xml:space="preserve"> </w:t>
      </w:r>
      <w:r w:rsidR="00EC682B" w:rsidRPr="003A1174">
        <w:rPr>
          <w:rFonts w:ascii="Garamond" w:eastAsiaTheme="minorEastAsia" w:hAnsi="Garamond" w:cs="Arial"/>
          <w:kern w:val="24"/>
          <w:sz w:val="24"/>
          <w:szCs w:val="24"/>
        </w:rPr>
        <w:t xml:space="preserve">a </w:t>
      </w:r>
      <w:r w:rsidR="00AF192F" w:rsidRPr="003A1174">
        <w:rPr>
          <w:rFonts w:ascii="Garamond" w:eastAsiaTheme="minorEastAsia" w:hAnsi="Garamond" w:cs="Arial"/>
          <w:kern w:val="24"/>
          <w:sz w:val="24"/>
          <w:szCs w:val="24"/>
        </w:rPr>
        <w:t>mulher</w:t>
      </w:r>
      <w:r w:rsidR="00EC682B" w:rsidRPr="003A1174">
        <w:rPr>
          <w:rFonts w:ascii="Garamond" w:eastAsiaTheme="minorEastAsia" w:hAnsi="Garamond" w:cs="Arial"/>
          <w:kern w:val="24"/>
          <w:sz w:val="24"/>
          <w:szCs w:val="24"/>
        </w:rPr>
        <w:t xml:space="preserve"> condenada se enc</w:t>
      </w:r>
      <w:r w:rsidR="007A2492" w:rsidRPr="003A1174">
        <w:rPr>
          <w:rFonts w:ascii="Garamond" w:eastAsiaTheme="minorEastAsia" w:hAnsi="Garamond" w:cs="Arial"/>
          <w:kern w:val="24"/>
          <w:sz w:val="24"/>
          <w:szCs w:val="24"/>
        </w:rPr>
        <w:t>o</w:t>
      </w:r>
      <w:r w:rsidR="00EC682B" w:rsidRPr="003A1174">
        <w:rPr>
          <w:rFonts w:ascii="Garamond" w:eastAsiaTheme="minorEastAsia" w:hAnsi="Garamond" w:cs="Arial"/>
          <w:kern w:val="24"/>
          <w:sz w:val="24"/>
          <w:szCs w:val="24"/>
        </w:rPr>
        <w:t>ntr</w:t>
      </w:r>
      <w:r w:rsidR="007A2492" w:rsidRPr="003A1174">
        <w:rPr>
          <w:rFonts w:ascii="Garamond" w:eastAsiaTheme="minorEastAsia" w:hAnsi="Garamond" w:cs="Arial"/>
          <w:kern w:val="24"/>
          <w:sz w:val="24"/>
          <w:szCs w:val="24"/>
        </w:rPr>
        <w:t xml:space="preserve">ar em </w:t>
      </w:r>
      <w:r w:rsidR="00EC682B" w:rsidRPr="003A1174">
        <w:rPr>
          <w:rFonts w:ascii="Garamond" w:eastAsiaTheme="minorEastAsia" w:hAnsi="Garamond" w:cs="Arial"/>
          <w:kern w:val="24"/>
          <w:sz w:val="24"/>
          <w:szCs w:val="24"/>
        </w:rPr>
        <w:t xml:space="preserve">estado </w:t>
      </w:r>
      <w:r w:rsidR="007A2492" w:rsidRPr="003A1174">
        <w:rPr>
          <w:rFonts w:ascii="Garamond" w:eastAsiaTheme="minorEastAsia" w:hAnsi="Garamond" w:cs="Arial"/>
          <w:kern w:val="24"/>
          <w:sz w:val="24"/>
          <w:szCs w:val="24"/>
        </w:rPr>
        <w:t>avançado</w:t>
      </w:r>
      <w:r w:rsidR="00EC682B" w:rsidRPr="003A1174">
        <w:rPr>
          <w:rFonts w:ascii="Garamond" w:eastAsiaTheme="minorEastAsia" w:hAnsi="Garamond" w:cs="Arial"/>
          <w:kern w:val="24"/>
          <w:sz w:val="24"/>
          <w:szCs w:val="24"/>
        </w:rPr>
        <w:t xml:space="preserve"> de </w:t>
      </w:r>
      <w:r w:rsidR="007A2492" w:rsidRPr="003A1174">
        <w:rPr>
          <w:rFonts w:ascii="Garamond" w:eastAsiaTheme="minorEastAsia" w:hAnsi="Garamond" w:cs="Arial"/>
          <w:kern w:val="24"/>
          <w:sz w:val="24"/>
          <w:szCs w:val="24"/>
        </w:rPr>
        <w:t xml:space="preserve">gravidez no </w:t>
      </w:r>
      <w:r w:rsidR="00EC682B" w:rsidRPr="003A1174">
        <w:rPr>
          <w:rFonts w:ascii="Garamond" w:eastAsiaTheme="minorEastAsia" w:hAnsi="Garamond" w:cs="Arial"/>
          <w:kern w:val="24"/>
          <w:sz w:val="24"/>
          <w:szCs w:val="24"/>
        </w:rPr>
        <w:t>momento d</w:t>
      </w:r>
      <w:r w:rsidR="007A2492" w:rsidRPr="003A1174">
        <w:rPr>
          <w:rFonts w:ascii="Garamond" w:eastAsiaTheme="minorEastAsia" w:hAnsi="Garamond" w:cs="Arial"/>
          <w:kern w:val="24"/>
          <w:sz w:val="24"/>
          <w:szCs w:val="24"/>
        </w:rPr>
        <w:t xml:space="preserve">o seu </w:t>
      </w:r>
      <w:r w:rsidR="00EC682B" w:rsidRPr="003A1174">
        <w:rPr>
          <w:rFonts w:ascii="Garamond" w:eastAsiaTheme="minorEastAsia" w:hAnsi="Garamond" w:cs="Arial"/>
          <w:kern w:val="24"/>
          <w:sz w:val="24"/>
          <w:szCs w:val="24"/>
        </w:rPr>
        <w:t>ingres</w:t>
      </w:r>
      <w:r w:rsidR="007A2492" w:rsidRPr="003A1174">
        <w:rPr>
          <w:rFonts w:ascii="Garamond" w:eastAsiaTheme="minorEastAsia" w:hAnsi="Garamond" w:cs="Arial"/>
          <w:kern w:val="24"/>
          <w:sz w:val="24"/>
          <w:szCs w:val="24"/>
        </w:rPr>
        <w:t>s</w:t>
      </w:r>
      <w:r w:rsidR="00EC682B" w:rsidRPr="003A1174">
        <w:rPr>
          <w:rFonts w:ascii="Garamond" w:eastAsiaTheme="minorEastAsia" w:hAnsi="Garamond" w:cs="Arial"/>
          <w:kern w:val="24"/>
          <w:sz w:val="24"/>
          <w:szCs w:val="24"/>
        </w:rPr>
        <w:t xml:space="preserve">o </w:t>
      </w:r>
      <w:r w:rsidR="007A2492" w:rsidRPr="003A1174">
        <w:rPr>
          <w:rFonts w:ascii="Garamond" w:eastAsiaTheme="minorEastAsia" w:hAnsi="Garamond" w:cs="Arial"/>
          <w:kern w:val="24"/>
          <w:sz w:val="24"/>
          <w:szCs w:val="24"/>
        </w:rPr>
        <w:t>n</w:t>
      </w:r>
      <w:r w:rsidR="00EC682B" w:rsidRPr="003A1174">
        <w:rPr>
          <w:rFonts w:ascii="Garamond" w:eastAsiaTheme="minorEastAsia" w:hAnsi="Garamond" w:cs="Arial"/>
          <w:kern w:val="24"/>
          <w:sz w:val="24"/>
          <w:szCs w:val="24"/>
        </w:rPr>
        <w:t xml:space="preserve">a </w:t>
      </w:r>
      <w:r w:rsidR="007A2492" w:rsidRPr="003A1174">
        <w:rPr>
          <w:rFonts w:ascii="Garamond" w:eastAsiaTheme="minorEastAsia" w:hAnsi="Garamond" w:cs="Arial"/>
          <w:kern w:val="24"/>
          <w:sz w:val="24"/>
          <w:szCs w:val="24"/>
        </w:rPr>
        <w:lastRenderedPageBreak/>
        <w:t>prisão</w:t>
      </w:r>
      <w:r w:rsidR="00EC682B" w:rsidRPr="003A1174">
        <w:rPr>
          <w:rFonts w:ascii="Garamond" w:eastAsiaTheme="minorEastAsia" w:hAnsi="Garamond" w:cs="Arial"/>
          <w:kern w:val="24"/>
          <w:sz w:val="24"/>
          <w:szCs w:val="24"/>
        </w:rPr>
        <w:t xml:space="preserve">, </w:t>
      </w:r>
      <w:r w:rsidR="007A2492" w:rsidRPr="003A1174">
        <w:rPr>
          <w:rFonts w:ascii="Garamond" w:eastAsiaTheme="minorEastAsia" w:hAnsi="Garamond" w:cs="Arial"/>
          <w:kern w:val="24"/>
          <w:sz w:val="24"/>
          <w:szCs w:val="24"/>
        </w:rPr>
        <w:t xml:space="preserve">quer </w:t>
      </w:r>
      <w:r w:rsidR="007A2492" w:rsidRPr="002B6999">
        <w:rPr>
          <w:rFonts w:ascii="Garamond" w:eastAsiaTheme="minorEastAsia" w:hAnsi="Garamond" w:cs="Arial"/>
          <w:kern w:val="24"/>
          <w:sz w:val="24"/>
          <w:szCs w:val="24"/>
        </w:rPr>
        <w:t xml:space="preserve">seja mãe, chefe de família </w:t>
      </w:r>
      <w:r w:rsidR="00344B0C" w:rsidRPr="002B6999">
        <w:rPr>
          <w:rFonts w:ascii="Garamond" w:eastAsiaTheme="minorEastAsia" w:hAnsi="Garamond" w:cs="Arial"/>
          <w:kern w:val="24"/>
          <w:sz w:val="24"/>
          <w:szCs w:val="24"/>
        </w:rPr>
        <w:t xml:space="preserve">com filhos </w:t>
      </w:r>
      <w:r w:rsidR="00EC682B" w:rsidRPr="002B6999">
        <w:rPr>
          <w:rFonts w:ascii="Garamond" w:eastAsiaTheme="minorEastAsia" w:hAnsi="Garamond" w:cs="Arial"/>
          <w:kern w:val="24"/>
          <w:sz w:val="24"/>
          <w:szCs w:val="24"/>
        </w:rPr>
        <w:t>menor</w:t>
      </w:r>
      <w:r w:rsidR="00344B0C" w:rsidRPr="002B6999">
        <w:rPr>
          <w:rFonts w:ascii="Garamond" w:eastAsiaTheme="minorEastAsia" w:hAnsi="Garamond" w:cs="Arial"/>
          <w:kern w:val="24"/>
          <w:sz w:val="24"/>
          <w:szCs w:val="24"/>
        </w:rPr>
        <w:t>es</w:t>
      </w:r>
      <w:r w:rsidR="00EC682B" w:rsidRPr="002B6999">
        <w:rPr>
          <w:rFonts w:ascii="Garamond" w:eastAsiaTheme="minorEastAsia" w:hAnsi="Garamond" w:cs="Arial"/>
          <w:kern w:val="24"/>
          <w:sz w:val="24"/>
          <w:szCs w:val="24"/>
        </w:rPr>
        <w:t xml:space="preserve"> de </w:t>
      </w:r>
      <w:r w:rsidR="007342D9" w:rsidRPr="002B6999">
        <w:rPr>
          <w:rFonts w:ascii="Garamond" w:eastAsiaTheme="minorEastAsia" w:hAnsi="Garamond" w:cs="Arial"/>
          <w:kern w:val="24"/>
          <w:sz w:val="24"/>
          <w:szCs w:val="24"/>
        </w:rPr>
        <w:t>idade</w:t>
      </w:r>
      <w:r w:rsidR="00EC682B" w:rsidRPr="002B6999">
        <w:rPr>
          <w:rFonts w:ascii="Garamond" w:eastAsiaTheme="minorEastAsia" w:hAnsi="Garamond" w:cs="Arial"/>
          <w:kern w:val="24"/>
          <w:sz w:val="24"/>
          <w:szCs w:val="24"/>
        </w:rPr>
        <w:t xml:space="preserve"> </w:t>
      </w:r>
      <w:r w:rsidR="007A2492" w:rsidRPr="002B6999">
        <w:rPr>
          <w:rFonts w:ascii="Garamond" w:eastAsiaTheme="minorEastAsia" w:hAnsi="Garamond" w:cs="Arial"/>
          <w:kern w:val="24"/>
          <w:sz w:val="24"/>
          <w:szCs w:val="24"/>
        </w:rPr>
        <w:t xml:space="preserve">até </w:t>
      </w:r>
      <w:r w:rsidR="00EC682B" w:rsidRPr="002B6999">
        <w:rPr>
          <w:rFonts w:ascii="Garamond" w:eastAsiaTheme="minorEastAsia" w:hAnsi="Garamond" w:cs="Arial"/>
          <w:kern w:val="24"/>
          <w:sz w:val="24"/>
          <w:szCs w:val="24"/>
        </w:rPr>
        <w:t xml:space="preserve">12 </w:t>
      </w:r>
      <w:r w:rsidR="002C7510" w:rsidRPr="002B6999">
        <w:rPr>
          <w:rFonts w:ascii="Garamond" w:eastAsiaTheme="minorEastAsia" w:hAnsi="Garamond" w:cs="Arial"/>
          <w:kern w:val="24"/>
          <w:sz w:val="24"/>
          <w:szCs w:val="24"/>
        </w:rPr>
        <w:t>ano</w:t>
      </w:r>
      <w:r w:rsidR="00EC682B" w:rsidRPr="002B6999">
        <w:rPr>
          <w:rFonts w:ascii="Garamond" w:eastAsiaTheme="minorEastAsia" w:hAnsi="Garamond" w:cs="Arial"/>
          <w:kern w:val="24"/>
          <w:sz w:val="24"/>
          <w:szCs w:val="24"/>
        </w:rPr>
        <w:t>s</w:t>
      </w:r>
      <w:r w:rsidR="002B6999" w:rsidRPr="002B6999">
        <w:rPr>
          <w:rFonts w:ascii="Garamond" w:eastAsiaTheme="minorEastAsia" w:hAnsi="Garamond" w:cs="Arial"/>
          <w:kern w:val="24"/>
          <w:sz w:val="24"/>
          <w:szCs w:val="24"/>
        </w:rPr>
        <w:t>,</w:t>
      </w:r>
      <w:r w:rsidR="00EC682B" w:rsidRPr="002B6999">
        <w:rPr>
          <w:rFonts w:ascii="Garamond" w:eastAsiaTheme="minorEastAsia" w:hAnsi="Garamond" w:cs="Arial"/>
          <w:kern w:val="24"/>
          <w:sz w:val="24"/>
          <w:szCs w:val="24"/>
        </w:rPr>
        <w:t xml:space="preserve"> o</w:t>
      </w:r>
      <w:r w:rsidR="007A2492" w:rsidRPr="002B6999">
        <w:rPr>
          <w:rFonts w:ascii="Garamond" w:eastAsiaTheme="minorEastAsia" w:hAnsi="Garamond" w:cs="Arial"/>
          <w:kern w:val="24"/>
          <w:sz w:val="24"/>
          <w:szCs w:val="24"/>
        </w:rPr>
        <w:t>u</w:t>
      </w:r>
      <w:r w:rsidR="00EC682B" w:rsidRPr="002B6999">
        <w:rPr>
          <w:rFonts w:ascii="Garamond" w:eastAsiaTheme="minorEastAsia" w:hAnsi="Garamond" w:cs="Arial"/>
          <w:kern w:val="24"/>
          <w:sz w:val="24"/>
          <w:szCs w:val="24"/>
        </w:rPr>
        <w:t xml:space="preserve"> </w:t>
      </w:r>
      <w:r w:rsidR="007A2492" w:rsidRPr="002B6999">
        <w:rPr>
          <w:rFonts w:ascii="Garamond" w:eastAsiaTheme="minorEastAsia" w:hAnsi="Garamond" w:cs="Arial"/>
          <w:kern w:val="24"/>
          <w:sz w:val="24"/>
          <w:szCs w:val="24"/>
        </w:rPr>
        <w:t>cuj</w:t>
      </w:r>
      <w:r w:rsidR="004751F2" w:rsidRPr="002B6999">
        <w:rPr>
          <w:rFonts w:ascii="Garamond" w:eastAsiaTheme="minorEastAsia" w:hAnsi="Garamond" w:cs="Arial"/>
          <w:kern w:val="24"/>
          <w:sz w:val="24"/>
          <w:szCs w:val="24"/>
        </w:rPr>
        <w:t>o</w:t>
      </w:r>
      <w:r w:rsidR="00EC682B" w:rsidRPr="002B6999">
        <w:rPr>
          <w:rFonts w:ascii="Garamond" w:eastAsiaTheme="minorEastAsia" w:hAnsi="Garamond" w:cs="Arial"/>
          <w:kern w:val="24"/>
          <w:sz w:val="24"/>
          <w:szCs w:val="24"/>
        </w:rPr>
        <w:t xml:space="preserve"> </w:t>
      </w:r>
      <w:r w:rsidR="007A2492" w:rsidRPr="002B6999">
        <w:rPr>
          <w:rFonts w:ascii="Garamond" w:eastAsiaTheme="minorEastAsia" w:hAnsi="Garamond" w:cs="Arial"/>
          <w:kern w:val="24"/>
          <w:sz w:val="24"/>
          <w:szCs w:val="24"/>
        </w:rPr>
        <w:t>filho</w:t>
      </w:r>
      <w:r w:rsidR="00EC682B" w:rsidRPr="002B6999">
        <w:rPr>
          <w:rFonts w:ascii="Garamond" w:eastAsiaTheme="minorEastAsia" w:hAnsi="Garamond" w:cs="Arial"/>
          <w:kern w:val="24"/>
          <w:sz w:val="24"/>
          <w:szCs w:val="24"/>
        </w:rPr>
        <w:t xml:space="preserve"> s</w:t>
      </w:r>
      <w:r w:rsidR="007A2492" w:rsidRPr="002B6999">
        <w:rPr>
          <w:rFonts w:ascii="Garamond" w:eastAsiaTheme="minorEastAsia" w:hAnsi="Garamond" w:cs="Arial"/>
          <w:kern w:val="24"/>
          <w:sz w:val="24"/>
          <w:szCs w:val="24"/>
        </w:rPr>
        <w:t xml:space="preserve">ofra de </w:t>
      </w:r>
      <w:r w:rsidR="00CD707D" w:rsidRPr="002B6999">
        <w:rPr>
          <w:rFonts w:ascii="Garamond" w:eastAsiaTheme="minorEastAsia" w:hAnsi="Garamond" w:cs="Arial"/>
          <w:kern w:val="24"/>
          <w:sz w:val="24"/>
          <w:szCs w:val="24"/>
        </w:rPr>
        <w:t>alguma</w:t>
      </w:r>
      <w:r w:rsidR="00EC682B" w:rsidRPr="002B6999">
        <w:rPr>
          <w:rFonts w:ascii="Garamond" w:eastAsiaTheme="minorEastAsia" w:hAnsi="Garamond" w:cs="Arial"/>
          <w:kern w:val="24"/>
          <w:sz w:val="24"/>
          <w:szCs w:val="24"/>
        </w:rPr>
        <w:t xml:space="preserve"> </w:t>
      </w:r>
      <w:r w:rsidR="007A2492" w:rsidRPr="002B6999">
        <w:rPr>
          <w:rFonts w:ascii="Garamond" w:eastAsiaTheme="minorEastAsia" w:hAnsi="Garamond" w:cs="Arial"/>
          <w:kern w:val="24"/>
          <w:sz w:val="24"/>
          <w:szCs w:val="24"/>
        </w:rPr>
        <w:t>incapacidade</w:t>
      </w:r>
      <w:r w:rsidR="00EC682B" w:rsidRPr="002B6999">
        <w:rPr>
          <w:rFonts w:ascii="Garamond" w:eastAsiaTheme="minorEastAsia" w:hAnsi="Garamond" w:cs="Arial"/>
          <w:kern w:val="24"/>
          <w:sz w:val="24"/>
          <w:szCs w:val="24"/>
        </w:rPr>
        <w:t xml:space="preserve"> o</w:t>
      </w:r>
      <w:r w:rsidR="007A2492" w:rsidRPr="002B6999">
        <w:rPr>
          <w:rFonts w:ascii="Garamond" w:eastAsiaTheme="minorEastAsia" w:hAnsi="Garamond" w:cs="Arial"/>
          <w:kern w:val="24"/>
          <w:sz w:val="24"/>
          <w:szCs w:val="24"/>
        </w:rPr>
        <w:t xml:space="preserve">u doença </w:t>
      </w:r>
      <w:r w:rsidR="00EC682B" w:rsidRPr="002B6999">
        <w:rPr>
          <w:rFonts w:ascii="Garamond" w:eastAsiaTheme="minorEastAsia" w:hAnsi="Garamond" w:cs="Arial"/>
          <w:kern w:val="24"/>
          <w:sz w:val="24"/>
          <w:szCs w:val="24"/>
        </w:rPr>
        <w:t>grave, o</w:t>
      </w:r>
      <w:r w:rsidR="007A2492" w:rsidRPr="002B6999">
        <w:rPr>
          <w:rFonts w:ascii="Garamond" w:eastAsiaTheme="minorEastAsia" w:hAnsi="Garamond" w:cs="Arial"/>
          <w:kern w:val="24"/>
          <w:sz w:val="24"/>
          <w:szCs w:val="24"/>
        </w:rPr>
        <w:t xml:space="preserve">u </w:t>
      </w:r>
      <w:r w:rsidR="00344B0C" w:rsidRPr="002B6999">
        <w:rPr>
          <w:rFonts w:ascii="Garamond" w:eastAsiaTheme="minorEastAsia" w:hAnsi="Garamond" w:cs="Arial"/>
          <w:kern w:val="24"/>
          <w:sz w:val="24"/>
          <w:szCs w:val="24"/>
        </w:rPr>
        <w:t xml:space="preserve">tenha </w:t>
      </w:r>
      <w:r w:rsidR="007A2492" w:rsidRPr="002B6999">
        <w:rPr>
          <w:rFonts w:ascii="Garamond" w:eastAsiaTheme="minorEastAsia" w:hAnsi="Garamond" w:cs="Arial"/>
          <w:kern w:val="24"/>
          <w:sz w:val="24"/>
          <w:szCs w:val="24"/>
        </w:rPr>
        <w:t xml:space="preserve">mais de </w:t>
      </w:r>
      <w:r w:rsidR="00EC682B" w:rsidRPr="002B6999">
        <w:rPr>
          <w:rFonts w:ascii="Garamond" w:eastAsiaTheme="minorEastAsia" w:hAnsi="Garamond" w:cs="Arial"/>
          <w:kern w:val="24"/>
          <w:sz w:val="24"/>
          <w:szCs w:val="24"/>
        </w:rPr>
        <w:t xml:space="preserve">65 </w:t>
      </w:r>
      <w:r w:rsidR="002C7510" w:rsidRPr="002B6999">
        <w:rPr>
          <w:rFonts w:ascii="Garamond" w:eastAsiaTheme="minorEastAsia" w:hAnsi="Garamond" w:cs="Arial"/>
          <w:kern w:val="24"/>
          <w:sz w:val="24"/>
          <w:szCs w:val="24"/>
        </w:rPr>
        <w:t>ano</w:t>
      </w:r>
      <w:r w:rsidR="00EC682B" w:rsidRPr="002B6999">
        <w:rPr>
          <w:rFonts w:ascii="Garamond" w:eastAsiaTheme="minorEastAsia" w:hAnsi="Garamond" w:cs="Arial"/>
          <w:kern w:val="24"/>
          <w:sz w:val="24"/>
          <w:szCs w:val="24"/>
        </w:rPr>
        <w:t>s.</w:t>
      </w:r>
    </w:p>
    <w:p w:rsidR="00EC682B" w:rsidRPr="003A1174" w:rsidRDefault="00EC682B" w:rsidP="008719D4">
      <w:pPr>
        <w:spacing w:after="0" w:line="240" w:lineRule="auto"/>
        <w:jc w:val="both"/>
        <w:rPr>
          <w:rFonts w:ascii="Garamond" w:eastAsiaTheme="minorEastAsia" w:hAnsi="Garamond" w:cs="Arial"/>
          <w:kern w:val="24"/>
          <w:sz w:val="24"/>
          <w:szCs w:val="24"/>
        </w:rPr>
      </w:pPr>
    </w:p>
    <w:p w:rsidR="00EC682B" w:rsidRPr="003A1174" w:rsidRDefault="007A2492"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É </w:t>
      </w:r>
      <w:r w:rsidR="00EC682B" w:rsidRPr="003A1174">
        <w:rPr>
          <w:rFonts w:ascii="Garamond" w:eastAsiaTheme="minorHAnsi" w:hAnsi="Garamond" w:cs="Arial"/>
          <w:sz w:val="24"/>
          <w:szCs w:val="24"/>
        </w:rPr>
        <w:t>relevante mencionar que</w:t>
      </w:r>
      <w:r w:rsidR="005D52B0" w:rsidRPr="003A1174">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atual</w:t>
      </w:r>
      <w:r w:rsidRPr="003A1174">
        <w:rPr>
          <w:rFonts w:ascii="Garamond" w:eastAsiaTheme="minorHAnsi" w:hAnsi="Garamond" w:cs="Arial"/>
          <w:sz w:val="24"/>
          <w:szCs w:val="24"/>
        </w:rPr>
        <w:t>mente</w:t>
      </w:r>
      <w:r w:rsidR="005D52B0"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 </w:t>
      </w:r>
      <w:r w:rsidRPr="003A1174">
        <w:rPr>
          <w:rFonts w:ascii="Garamond" w:eastAsiaTheme="minorHAnsi" w:hAnsi="Garamond" w:cs="Arial"/>
          <w:sz w:val="24"/>
          <w:szCs w:val="24"/>
        </w:rPr>
        <w:t xml:space="preserve">Provedoria </w:t>
      </w:r>
      <w:r w:rsidR="00A862C2" w:rsidRPr="003A1174">
        <w:rPr>
          <w:rFonts w:ascii="Garamond" w:eastAsiaTheme="minorHAnsi" w:hAnsi="Garamond" w:cs="Arial"/>
          <w:sz w:val="24"/>
          <w:szCs w:val="24"/>
        </w:rPr>
        <w:t>está a dar o seu parecer sobre vário</w:t>
      </w:r>
      <w:r w:rsidR="00EC682B" w:rsidRPr="003A1174">
        <w:rPr>
          <w:rFonts w:ascii="Garamond" w:eastAsiaTheme="minorHAnsi" w:hAnsi="Garamond" w:cs="Arial"/>
          <w:sz w:val="24"/>
          <w:szCs w:val="24"/>
        </w:rPr>
        <w:t xml:space="preserve">s </w:t>
      </w:r>
      <w:r w:rsidR="00C30647" w:rsidRPr="003A1174">
        <w:rPr>
          <w:rFonts w:ascii="Garamond" w:eastAsiaTheme="minorHAnsi" w:hAnsi="Garamond" w:cs="Arial"/>
          <w:sz w:val="24"/>
          <w:szCs w:val="24"/>
        </w:rPr>
        <w:t>projeto</w:t>
      </w:r>
      <w:r w:rsidR="00EC682B" w:rsidRPr="003A1174">
        <w:rPr>
          <w:rFonts w:ascii="Garamond" w:eastAsiaTheme="minorHAnsi" w:hAnsi="Garamond" w:cs="Arial"/>
          <w:sz w:val="24"/>
          <w:szCs w:val="24"/>
        </w:rPr>
        <w:t xml:space="preserve">s de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que </w:t>
      </w:r>
      <w:r w:rsidR="00A862C2" w:rsidRPr="003A1174">
        <w:rPr>
          <w:rFonts w:ascii="Garamond" w:eastAsiaTheme="minorHAnsi" w:hAnsi="Garamond" w:cs="Arial"/>
          <w:sz w:val="24"/>
          <w:szCs w:val="24"/>
        </w:rPr>
        <w:t xml:space="preserve">dão ênfase a temas determinantes para </w:t>
      </w:r>
      <w:r w:rsidR="00EC682B" w:rsidRPr="003A1174">
        <w:rPr>
          <w:rFonts w:ascii="Garamond" w:eastAsiaTheme="minorHAnsi" w:hAnsi="Garamond" w:cs="Arial"/>
          <w:sz w:val="24"/>
          <w:szCs w:val="24"/>
        </w:rPr>
        <w:t xml:space="preserve">os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w:t>
      </w:r>
      <w:r w:rsidR="00530082">
        <w:rPr>
          <w:rFonts w:ascii="Garamond" w:eastAsiaTheme="minorHAnsi" w:hAnsi="Garamond" w:cs="Arial"/>
          <w:sz w:val="24"/>
          <w:szCs w:val="24"/>
        </w:rPr>
        <w:t>m</w:t>
      </w:r>
      <w:r w:rsidR="00EC682B" w:rsidRPr="003A1174">
        <w:rPr>
          <w:rFonts w:ascii="Garamond" w:eastAsiaTheme="minorHAnsi" w:hAnsi="Garamond" w:cs="Arial"/>
          <w:sz w:val="24"/>
          <w:szCs w:val="24"/>
        </w:rPr>
        <w:t xml:space="preserve">ediante </w:t>
      </w:r>
      <w:r w:rsidR="00A862C2" w:rsidRPr="003A1174">
        <w:rPr>
          <w:rFonts w:ascii="Garamond" w:eastAsiaTheme="minorHAnsi" w:hAnsi="Garamond" w:cs="Arial"/>
          <w:sz w:val="24"/>
          <w:szCs w:val="24"/>
        </w:rPr>
        <w:t>o</w:t>
      </w:r>
      <w:r w:rsidR="00EC682B" w:rsidRPr="003A1174">
        <w:rPr>
          <w:rFonts w:ascii="Garamond" w:eastAsiaTheme="minorHAnsi" w:hAnsi="Garamond" w:cs="Arial"/>
          <w:sz w:val="24"/>
          <w:szCs w:val="24"/>
        </w:rPr>
        <w:t xml:space="preserve"> </w:t>
      </w:r>
      <w:r w:rsidR="00C30647" w:rsidRPr="003A1174">
        <w:rPr>
          <w:rFonts w:ascii="Garamond" w:eastAsiaTheme="minorHAnsi" w:hAnsi="Garamond" w:cs="Arial"/>
          <w:sz w:val="24"/>
          <w:szCs w:val="24"/>
        </w:rPr>
        <w:t>Projeto</w:t>
      </w:r>
      <w:r w:rsidR="00EC682B" w:rsidRPr="003A1174">
        <w:rPr>
          <w:rFonts w:ascii="Garamond" w:eastAsiaTheme="minorHAnsi" w:hAnsi="Garamond" w:cs="Arial"/>
          <w:sz w:val="24"/>
          <w:szCs w:val="24"/>
        </w:rPr>
        <w:t xml:space="preserve"> de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530082">
        <w:rPr>
          <w:rFonts w:ascii="Garamond" w:eastAsiaTheme="minorHAnsi" w:hAnsi="Garamond" w:cs="Arial"/>
          <w:sz w:val="24"/>
          <w:szCs w:val="24"/>
        </w:rPr>
        <w:t>.</w:t>
      </w:r>
      <w:r w:rsidR="00EC682B" w:rsidRPr="003A1174">
        <w:rPr>
          <w:rFonts w:ascii="Garamond" w:eastAsiaTheme="minorHAnsi" w:hAnsi="Garamond" w:cs="Arial"/>
          <w:sz w:val="24"/>
          <w:szCs w:val="24"/>
        </w:rPr>
        <w:t>° 16</w:t>
      </w:r>
      <w:r w:rsidR="00530082">
        <w:rPr>
          <w:rFonts w:ascii="Garamond" w:eastAsiaTheme="minorHAnsi" w:hAnsi="Garamond" w:cs="Arial"/>
          <w:sz w:val="24"/>
          <w:szCs w:val="24"/>
        </w:rPr>
        <w:t xml:space="preserve"> </w:t>
      </w:r>
      <w:r w:rsidR="00EC682B" w:rsidRPr="003A1174">
        <w:rPr>
          <w:rFonts w:ascii="Garamond" w:eastAsiaTheme="minorHAnsi" w:hAnsi="Garamond" w:cs="Arial"/>
          <w:sz w:val="24"/>
          <w:szCs w:val="24"/>
        </w:rPr>
        <w:t>887, pretende</w:t>
      </w:r>
      <w:r w:rsidR="00A862C2" w:rsidRPr="003A1174">
        <w:rPr>
          <w:rFonts w:ascii="Garamond" w:eastAsiaTheme="minorHAnsi" w:hAnsi="Garamond" w:cs="Arial"/>
          <w:sz w:val="24"/>
          <w:szCs w:val="24"/>
        </w:rPr>
        <w:t>-se adicionar um</w:t>
      </w:r>
      <w:r w:rsidR="00EC682B" w:rsidRPr="003A1174">
        <w:rPr>
          <w:rFonts w:ascii="Garamond" w:eastAsiaTheme="minorHAnsi" w:hAnsi="Garamond" w:cs="Arial"/>
          <w:sz w:val="24"/>
          <w:szCs w:val="24"/>
        </w:rPr>
        <w:t xml:space="preserve"> </w:t>
      </w:r>
      <w:r w:rsidR="005D38DC" w:rsidRPr="003A1174">
        <w:rPr>
          <w:rFonts w:ascii="Garamond" w:eastAsiaTheme="minorHAnsi" w:hAnsi="Garamond" w:cs="Arial"/>
          <w:sz w:val="24"/>
          <w:szCs w:val="24"/>
        </w:rPr>
        <w:t>novo</w:t>
      </w:r>
      <w:r w:rsidR="00EC682B" w:rsidRPr="003A1174">
        <w:rPr>
          <w:rFonts w:ascii="Garamond" w:eastAsiaTheme="minorHAnsi" w:hAnsi="Garamond" w:cs="Arial"/>
          <w:sz w:val="24"/>
          <w:szCs w:val="24"/>
        </w:rPr>
        <w:t xml:space="preserve"> capítulo </w:t>
      </w:r>
      <w:r w:rsidR="00A862C2" w:rsidRPr="003A1174">
        <w:rPr>
          <w:rFonts w:ascii="Garamond" w:eastAsiaTheme="minorHAnsi" w:hAnsi="Garamond" w:cs="Arial"/>
          <w:sz w:val="24"/>
          <w:szCs w:val="24"/>
        </w:rPr>
        <w:t xml:space="preserve">à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w:t>
      </w:r>
      <w:r w:rsidR="00077461" w:rsidRPr="003A1174">
        <w:rPr>
          <w:rFonts w:ascii="Garamond" w:eastAsiaTheme="minorHAnsi" w:hAnsi="Garamond" w:cs="Arial"/>
          <w:sz w:val="24"/>
          <w:szCs w:val="24"/>
        </w:rPr>
        <w:t>Geral</w:t>
      </w:r>
      <w:r w:rsidR="00EC682B" w:rsidRPr="003A1174">
        <w:rPr>
          <w:rFonts w:ascii="Garamond" w:eastAsiaTheme="minorHAnsi" w:hAnsi="Garamond" w:cs="Arial"/>
          <w:sz w:val="24"/>
          <w:szCs w:val="24"/>
        </w:rPr>
        <w:t xml:space="preserve"> de </w:t>
      </w:r>
      <w:r w:rsidR="007C63D0" w:rsidRPr="003A1174">
        <w:rPr>
          <w:rFonts w:ascii="Garamond" w:eastAsiaTheme="minorHAnsi" w:hAnsi="Garamond" w:cs="Arial"/>
          <w:sz w:val="24"/>
          <w:szCs w:val="24"/>
        </w:rPr>
        <w:t>Saúde</w:t>
      </w:r>
      <w:r w:rsidR="00EC682B" w:rsidRPr="003A1174">
        <w:rPr>
          <w:rFonts w:ascii="Garamond" w:eastAsiaTheme="minorHAnsi" w:hAnsi="Garamond" w:cs="Arial"/>
          <w:sz w:val="24"/>
          <w:szCs w:val="24"/>
        </w:rPr>
        <w:t xml:space="preserve"> </w:t>
      </w:r>
      <w:r w:rsidR="002B6999">
        <w:rPr>
          <w:rFonts w:ascii="Garamond" w:eastAsiaTheme="minorHAnsi" w:hAnsi="Garamond" w:cs="Arial"/>
          <w:sz w:val="24"/>
          <w:szCs w:val="24"/>
        </w:rPr>
        <w:t>-</w:t>
      </w:r>
      <w:r w:rsidR="00A862C2" w:rsidRPr="003A1174">
        <w:rPr>
          <w:rFonts w:ascii="Garamond" w:eastAsiaTheme="minorHAnsi" w:hAnsi="Garamond" w:cs="Arial"/>
          <w:sz w:val="24"/>
          <w:szCs w:val="24"/>
        </w:rPr>
        <w:t xml:space="preserve">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530082">
        <w:rPr>
          <w:rFonts w:ascii="Garamond" w:eastAsiaTheme="minorHAnsi" w:hAnsi="Garamond" w:cs="Arial"/>
          <w:sz w:val="24"/>
          <w:szCs w:val="24"/>
        </w:rPr>
        <w:t>.</w:t>
      </w:r>
      <w:r w:rsidR="00EC682B" w:rsidRPr="003A1174">
        <w:rPr>
          <w:rFonts w:ascii="Garamond" w:eastAsiaTheme="minorHAnsi" w:hAnsi="Garamond" w:cs="Arial"/>
          <w:sz w:val="24"/>
          <w:szCs w:val="24"/>
        </w:rPr>
        <w:t>° 5395</w:t>
      </w:r>
      <w:r w:rsidR="00A862C2" w:rsidRPr="003A1174">
        <w:rPr>
          <w:rFonts w:ascii="Garamond" w:eastAsiaTheme="minorHAnsi" w:hAnsi="Garamond" w:cs="Arial"/>
          <w:sz w:val="24"/>
          <w:szCs w:val="24"/>
        </w:rPr>
        <w:t xml:space="preserve"> </w:t>
      </w:r>
      <w:r w:rsidR="002B6999">
        <w:rPr>
          <w:rFonts w:ascii="Garamond" w:eastAsiaTheme="minorHAnsi" w:hAnsi="Garamond" w:cs="Arial"/>
          <w:sz w:val="24"/>
          <w:szCs w:val="24"/>
        </w:rPr>
        <w:t>-</w:t>
      </w:r>
      <w:r w:rsidR="00EC682B" w:rsidRPr="003A1174">
        <w:rPr>
          <w:rFonts w:ascii="Garamond" w:eastAsiaTheme="minorHAnsi" w:hAnsi="Garamond" w:cs="Arial"/>
          <w:sz w:val="24"/>
          <w:szCs w:val="24"/>
        </w:rPr>
        <w:t xml:space="preserve"> e</w:t>
      </w:r>
      <w:r w:rsidR="00A862C2"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w:t>
      </w:r>
      <w:r w:rsidR="00EF645F" w:rsidRPr="003A1174">
        <w:rPr>
          <w:rFonts w:ascii="Garamond" w:eastAsiaTheme="minorHAnsi" w:hAnsi="Garamond" w:cs="Arial"/>
          <w:sz w:val="24"/>
          <w:szCs w:val="24"/>
        </w:rPr>
        <w:t>matéria</w:t>
      </w:r>
      <w:r w:rsidR="00EC682B" w:rsidRPr="003A1174">
        <w:rPr>
          <w:rFonts w:ascii="Garamond" w:eastAsiaTheme="minorHAnsi" w:hAnsi="Garamond" w:cs="Arial"/>
          <w:sz w:val="24"/>
          <w:szCs w:val="24"/>
        </w:rPr>
        <w:t xml:space="preserve"> de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 xml:space="preserve">s de </w:t>
      </w:r>
      <w:r w:rsidR="007C63D0" w:rsidRPr="003A1174">
        <w:rPr>
          <w:rFonts w:ascii="Garamond" w:eastAsiaTheme="minorHAnsi" w:hAnsi="Garamond" w:cs="Arial"/>
          <w:sz w:val="24"/>
          <w:szCs w:val="24"/>
        </w:rPr>
        <w:t>saúde</w:t>
      </w:r>
      <w:r w:rsidR="00EC682B" w:rsidRPr="003A1174">
        <w:rPr>
          <w:rFonts w:ascii="Garamond" w:eastAsiaTheme="minorHAnsi" w:hAnsi="Garamond" w:cs="Arial"/>
          <w:sz w:val="24"/>
          <w:szCs w:val="24"/>
        </w:rPr>
        <w:t xml:space="preserve"> sexual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reprodutiva</w:t>
      </w:r>
      <w:r w:rsidR="00EC682B" w:rsidRPr="003A1174">
        <w:rPr>
          <w:rFonts w:ascii="Garamond" w:eastAsiaTheme="minorHAnsi" w:hAnsi="Garamond" w:cs="Arial"/>
          <w:sz w:val="24"/>
          <w:szCs w:val="24"/>
        </w:rPr>
        <w:t>, a fi</w:t>
      </w:r>
      <w:r w:rsidR="00A862C2"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de</w:t>
      </w:r>
      <w:r w:rsidR="00A862C2" w:rsidRPr="003A1174">
        <w:rPr>
          <w:rFonts w:ascii="Garamond" w:eastAsiaTheme="minorHAnsi" w:hAnsi="Garamond" w:cs="Arial"/>
          <w:sz w:val="24"/>
          <w:szCs w:val="24"/>
        </w:rPr>
        <w:t xml:space="preserve"> tornar </w:t>
      </w:r>
      <w:r w:rsidR="00802ACC" w:rsidRPr="003A1174">
        <w:rPr>
          <w:rFonts w:ascii="Garamond" w:eastAsiaTheme="minorHAnsi" w:hAnsi="Garamond" w:cs="Arial"/>
          <w:sz w:val="24"/>
          <w:szCs w:val="24"/>
        </w:rPr>
        <w:t>efetivo</w:t>
      </w:r>
      <w:r w:rsidR="00A862C2" w:rsidRPr="003A1174">
        <w:rPr>
          <w:rFonts w:ascii="Garamond" w:eastAsiaTheme="minorHAnsi" w:hAnsi="Garamond" w:cs="Arial"/>
          <w:sz w:val="24"/>
          <w:szCs w:val="24"/>
        </w:rPr>
        <w:t xml:space="preserve">s </w:t>
      </w:r>
      <w:r w:rsidR="00EC682B" w:rsidRPr="003A1174">
        <w:rPr>
          <w:rFonts w:ascii="Garamond" w:eastAsiaTheme="minorHAnsi" w:hAnsi="Garamond" w:cs="Arial"/>
          <w:sz w:val="24"/>
          <w:szCs w:val="24"/>
        </w:rPr>
        <w:t xml:space="preserve">os </w:t>
      </w:r>
      <w:r w:rsidR="00731B19" w:rsidRPr="003A1174">
        <w:rPr>
          <w:rFonts w:ascii="Garamond" w:eastAsiaTheme="minorHAnsi" w:hAnsi="Garamond" w:cs="Arial"/>
          <w:sz w:val="24"/>
          <w:szCs w:val="24"/>
        </w:rPr>
        <w:t>compromisso</w:t>
      </w:r>
      <w:r w:rsidR="00EC682B" w:rsidRPr="003A1174">
        <w:rPr>
          <w:rFonts w:ascii="Garamond" w:eastAsiaTheme="minorHAnsi" w:hAnsi="Garamond" w:cs="Arial"/>
          <w:sz w:val="24"/>
          <w:szCs w:val="24"/>
        </w:rPr>
        <w:t xml:space="preserve">s </w:t>
      </w:r>
      <w:r w:rsidR="00EF645F" w:rsidRPr="003A1174">
        <w:rPr>
          <w:rFonts w:ascii="Garamond" w:eastAsiaTheme="minorHAnsi" w:hAnsi="Garamond" w:cs="Arial"/>
          <w:sz w:val="24"/>
          <w:szCs w:val="24"/>
        </w:rPr>
        <w:t>internacionais</w:t>
      </w:r>
      <w:r w:rsidR="00EC682B" w:rsidRPr="003A1174">
        <w:rPr>
          <w:rFonts w:ascii="Garamond" w:eastAsiaTheme="minorHAnsi" w:hAnsi="Garamond" w:cs="Arial"/>
          <w:sz w:val="24"/>
          <w:szCs w:val="24"/>
        </w:rPr>
        <w:t xml:space="preserve"> adquiridos pel</w:t>
      </w:r>
      <w:r w:rsidR="00A862C2" w:rsidRPr="003A1174">
        <w:rPr>
          <w:rFonts w:ascii="Garamond" w:eastAsiaTheme="minorHAnsi" w:hAnsi="Garamond" w:cs="Arial"/>
          <w:sz w:val="24"/>
          <w:szCs w:val="24"/>
        </w:rPr>
        <w:t>o</w:t>
      </w:r>
      <w:r w:rsidR="00EC682B" w:rsidRPr="003A1174">
        <w:rPr>
          <w:rFonts w:ascii="Garamond" w:eastAsiaTheme="minorHAnsi" w:hAnsi="Garamond" w:cs="Arial"/>
          <w:sz w:val="24"/>
          <w:szCs w:val="24"/>
        </w:rPr>
        <w:t xml:space="preserve"> Estado </w:t>
      </w:r>
      <w:r w:rsidR="00A862C2" w:rsidRPr="003A1174">
        <w:rPr>
          <w:rFonts w:ascii="Garamond" w:eastAsiaTheme="minorHAnsi" w:hAnsi="Garamond" w:cs="Arial"/>
          <w:sz w:val="24"/>
          <w:szCs w:val="24"/>
        </w:rPr>
        <w:t>costa-riquenho</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 xml:space="preserve">Concretamente, </w:t>
      </w:r>
      <w:r w:rsidR="00EC682B" w:rsidRPr="003A1174">
        <w:rPr>
          <w:rFonts w:ascii="Garamond" w:eastAsiaTheme="minorHAnsi" w:hAnsi="Garamond" w:cs="Arial"/>
          <w:sz w:val="24"/>
          <w:szCs w:val="24"/>
        </w:rPr>
        <w:t>recon</w:t>
      </w:r>
      <w:r w:rsidR="00A862C2" w:rsidRPr="003A1174">
        <w:rPr>
          <w:rFonts w:ascii="Garamond" w:eastAsiaTheme="minorHAnsi" w:hAnsi="Garamond" w:cs="Arial"/>
          <w:sz w:val="24"/>
          <w:szCs w:val="24"/>
        </w:rPr>
        <w:t xml:space="preserve">hecem-se </w:t>
      </w:r>
      <w:r w:rsidR="00EC682B" w:rsidRPr="003A1174">
        <w:rPr>
          <w:rFonts w:ascii="Garamond" w:eastAsiaTheme="minorHAnsi" w:hAnsi="Garamond" w:cs="Arial"/>
          <w:sz w:val="24"/>
          <w:szCs w:val="24"/>
        </w:rPr>
        <w:t xml:space="preserve">os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w:t>
      </w:r>
      <w:r w:rsidR="006C760C" w:rsidRPr="003A1174">
        <w:rPr>
          <w:rFonts w:ascii="Garamond" w:eastAsiaTheme="minorHAnsi" w:hAnsi="Garamond" w:cs="Arial"/>
          <w:sz w:val="24"/>
          <w:szCs w:val="24"/>
        </w:rPr>
        <w:t>pessoas</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 xml:space="preserve">à </w:t>
      </w:r>
      <w:r w:rsidR="007C63D0" w:rsidRPr="003A1174">
        <w:rPr>
          <w:rFonts w:ascii="Garamond" w:eastAsiaTheme="minorHAnsi" w:hAnsi="Garamond" w:cs="Arial"/>
          <w:sz w:val="24"/>
          <w:szCs w:val="24"/>
        </w:rPr>
        <w:t>saúde</w:t>
      </w:r>
      <w:r w:rsidR="00EC682B" w:rsidRPr="003A1174">
        <w:rPr>
          <w:rFonts w:ascii="Garamond" w:eastAsiaTheme="minorHAnsi" w:hAnsi="Garamond" w:cs="Arial"/>
          <w:sz w:val="24"/>
          <w:szCs w:val="24"/>
        </w:rPr>
        <w:t xml:space="preserve"> sexual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reprodutiva</w:t>
      </w:r>
      <w:r w:rsidR="004751F2" w:rsidRPr="003A1174">
        <w:rPr>
          <w:rFonts w:ascii="Garamond" w:eastAsiaTheme="minorHAnsi" w:hAnsi="Garamond" w:cs="Arial"/>
          <w:sz w:val="24"/>
          <w:szCs w:val="24"/>
        </w:rPr>
        <w:t>,</w:t>
      </w:r>
      <w:r w:rsidR="00EC682B" w:rsidRPr="003A1174">
        <w:rPr>
          <w:rFonts w:ascii="Garamond" w:eastAsiaTheme="minorHAnsi" w:hAnsi="Garamond" w:cs="Arial"/>
          <w:sz w:val="24"/>
          <w:szCs w:val="24"/>
        </w:rPr>
        <w:t xml:space="preserve"> responsabilizando </w:t>
      </w:r>
      <w:r w:rsidR="00A862C2" w:rsidRPr="003A1174">
        <w:rPr>
          <w:rFonts w:ascii="Garamond" w:eastAsiaTheme="minorHAnsi" w:hAnsi="Garamond" w:cs="Arial"/>
          <w:sz w:val="24"/>
          <w:szCs w:val="24"/>
        </w:rPr>
        <w:t xml:space="preserve">o </w:t>
      </w:r>
      <w:r w:rsidR="00EC682B" w:rsidRPr="003A1174">
        <w:rPr>
          <w:rFonts w:ascii="Garamond" w:eastAsiaTheme="minorHAnsi" w:hAnsi="Garamond" w:cs="Arial"/>
          <w:sz w:val="24"/>
          <w:szCs w:val="24"/>
        </w:rPr>
        <w:t xml:space="preserve">Estado como </w:t>
      </w:r>
      <w:r w:rsidR="00A862C2" w:rsidRPr="002B6999">
        <w:rPr>
          <w:rFonts w:ascii="Garamond" w:eastAsiaTheme="minorHAnsi" w:hAnsi="Garamond" w:cs="Arial"/>
          <w:sz w:val="24"/>
          <w:szCs w:val="24"/>
        </w:rPr>
        <w:t>entidade</w:t>
      </w:r>
      <w:r w:rsidR="00EC682B" w:rsidRPr="002B6999">
        <w:rPr>
          <w:rFonts w:ascii="Garamond" w:eastAsiaTheme="minorHAnsi" w:hAnsi="Garamond" w:cs="Arial"/>
          <w:sz w:val="24"/>
          <w:szCs w:val="24"/>
        </w:rPr>
        <w:t xml:space="preserve"> garante</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A862C2" w:rsidRPr="003A1174">
        <w:rPr>
          <w:rFonts w:ascii="Garamond" w:eastAsiaTheme="minorHAnsi" w:hAnsi="Garamond" w:cs="Arial"/>
          <w:sz w:val="24"/>
          <w:szCs w:val="24"/>
        </w:rPr>
        <w:t xml:space="preserve"> me</w:t>
      </w:r>
      <w:r w:rsidR="00EC682B" w:rsidRPr="003A1174">
        <w:rPr>
          <w:rFonts w:ascii="Garamond" w:eastAsiaTheme="minorHAnsi" w:hAnsi="Garamond" w:cs="Arial"/>
          <w:sz w:val="24"/>
          <w:szCs w:val="24"/>
        </w:rPr>
        <w:t xml:space="preserve">smos, </w:t>
      </w:r>
      <w:r w:rsidR="00A862C2" w:rsidRPr="003A1174">
        <w:rPr>
          <w:rFonts w:ascii="Garamond" w:eastAsiaTheme="minorHAnsi" w:hAnsi="Garamond" w:cs="Arial"/>
          <w:sz w:val="24"/>
          <w:szCs w:val="24"/>
        </w:rPr>
        <w:t>especialmente</w:t>
      </w:r>
      <w:r w:rsidR="00530082">
        <w:rPr>
          <w:rFonts w:ascii="Garamond" w:eastAsiaTheme="minorHAnsi" w:hAnsi="Garamond" w:cs="Arial"/>
          <w:sz w:val="24"/>
          <w:szCs w:val="24"/>
        </w:rPr>
        <w:t>,</w:t>
      </w:r>
      <w:r w:rsidR="00A862C2"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de grupos de </w:t>
      </w:r>
      <w:r w:rsidRPr="003A1174">
        <w:rPr>
          <w:rFonts w:ascii="Garamond" w:eastAsiaTheme="minorHAnsi" w:hAnsi="Garamond" w:cs="Arial"/>
          <w:sz w:val="24"/>
          <w:szCs w:val="24"/>
        </w:rPr>
        <w:t>população</w:t>
      </w:r>
      <w:r w:rsidR="00EC682B" w:rsidRPr="003A1174">
        <w:rPr>
          <w:rFonts w:ascii="Garamond" w:eastAsiaTheme="minorHAnsi" w:hAnsi="Garamond" w:cs="Arial"/>
          <w:sz w:val="24"/>
          <w:szCs w:val="24"/>
        </w:rPr>
        <w:t xml:space="preserve"> e</w:t>
      </w:r>
      <w:r w:rsidR="00A862C2"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w:t>
      </w:r>
      <w:r w:rsidR="004E3A1A" w:rsidRPr="003A1174">
        <w:rPr>
          <w:rFonts w:ascii="Garamond" w:eastAsiaTheme="minorHAnsi" w:hAnsi="Garamond" w:cs="Arial"/>
          <w:sz w:val="24"/>
          <w:szCs w:val="24"/>
        </w:rPr>
        <w:t>vulnerabilidade</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reconhecendo</w:t>
      </w:r>
      <w:r w:rsidR="00EC682B" w:rsidRPr="003A1174">
        <w:rPr>
          <w:rFonts w:ascii="Garamond" w:eastAsiaTheme="minorHAnsi" w:hAnsi="Garamond" w:cs="Arial"/>
          <w:sz w:val="24"/>
          <w:szCs w:val="24"/>
        </w:rPr>
        <w:t xml:space="preserve"> que </w:t>
      </w:r>
      <w:r w:rsidR="00A862C2" w:rsidRPr="003A1174">
        <w:rPr>
          <w:rFonts w:ascii="Garamond" w:eastAsiaTheme="minorHAnsi" w:hAnsi="Garamond" w:cs="Arial"/>
          <w:sz w:val="24"/>
          <w:szCs w:val="24"/>
        </w:rPr>
        <w:t>o</w:t>
      </w:r>
      <w:r w:rsidR="00EC682B" w:rsidRPr="003A1174">
        <w:rPr>
          <w:rFonts w:ascii="Garamond" w:eastAsiaTheme="minorHAnsi" w:hAnsi="Garamond" w:cs="Arial"/>
          <w:sz w:val="24"/>
          <w:szCs w:val="24"/>
        </w:rPr>
        <w:t xml:space="preserve"> </w:t>
      </w:r>
      <w:r w:rsidR="00731B19" w:rsidRPr="003A1174">
        <w:rPr>
          <w:rFonts w:ascii="Garamond" w:eastAsiaTheme="minorHAnsi" w:hAnsi="Garamond" w:cs="Arial"/>
          <w:sz w:val="24"/>
          <w:szCs w:val="24"/>
        </w:rPr>
        <w:t>exercício</w:t>
      </w:r>
      <w:r w:rsidR="00EC682B" w:rsidRPr="003A1174">
        <w:rPr>
          <w:rFonts w:ascii="Garamond" w:eastAsiaTheme="minorHAnsi" w:hAnsi="Garamond" w:cs="Arial"/>
          <w:sz w:val="24"/>
          <w:szCs w:val="24"/>
        </w:rPr>
        <w:t xml:space="preserve"> d</w:t>
      </w:r>
      <w:r w:rsidR="00A862C2" w:rsidRPr="003A1174">
        <w:rPr>
          <w:rFonts w:ascii="Garamond" w:eastAsiaTheme="minorHAnsi" w:hAnsi="Garamond" w:cs="Arial"/>
          <w:sz w:val="24"/>
          <w:szCs w:val="24"/>
        </w:rPr>
        <w:t>os referidos d</w:t>
      </w:r>
      <w:r w:rsidR="00886D6A" w:rsidRPr="003A1174">
        <w:rPr>
          <w:rFonts w:ascii="Garamond" w:eastAsiaTheme="minorHAnsi" w:hAnsi="Garamond" w:cs="Arial"/>
          <w:sz w:val="24"/>
          <w:szCs w:val="24"/>
        </w:rPr>
        <w:t>ireito</w:t>
      </w:r>
      <w:r w:rsidR="00EC682B" w:rsidRPr="003A1174">
        <w:rPr>
          <w:rFonts w:ascii="Garamond" w:eastAsiaTheme="minorHAnsi" w:hAnsi="Garamond" w:cs="Arial"/>
          <w:sz w:val="24"/>
          <w:szCs w:val="24"/>
        </w:rPr>
        <w:t>s se enc</w:t>
      </w:r>
      <w:r w:rsidR="00A862C2" w:rsidRPr="003A1174">
        <w:rPr>
          <w:rFonts w:ascii="Garamond" w:eastAsiaTheme="minorHAnsi" w:hAnsi="Garamond" w:cs="Arial"/>
          <w:sz w:val="24"/>
          <w:szCs w:val="24"/>
        </w:rPr>
        <w:t>o</w:t>
      </w:r>
      <w:r w:rsidR="00EC682B" w:rsidRPr="003A1174">
        <w:rPr>
          <w:rFonts w:ascii="Garamond" w:eastAsiaTheme="minorHAnsi" w:hAnsi="Garamond" w:cs="Arial"/>
          <w:sz w:val="24"/>
          <w:szCs w:val="24"/>
        </w:rPr>
        <w:t>ntra</w:t>
      </w:r>
      <w:r w:rsidR="00530082">
        <w:rPr>
          <w:rFonts w:ascii="Garamond" w:eastAsiaTheme="minorHAnsi" w:hAnsi="Garamond" w:cs="Arial"/>
          <w:sz w:val="24"/>
          <w:szCs w:val="24"/>
        </w:rPr>
        <w:t>,</w:t>
      </w:r>
      <w:r w:rsidR="00EC682B" w:rsidRPr="003A1174">
        <w:rPr>
          <w:rFonts w:ascii="Garamond" w:eastAsiaTheme="minorHAnsi" w:hAnsi="Garamond" w:cs="Arial"/>
          <w:sz w:val="24"/>
          <w:szCs w:val="24"/>
        </w:rPr>
        <w:t xml:space="preserve"> estre</w:t>
      </w:r>
      <w:r w:rsidR="00A862C2" w:rsidRPr="003A1174">
        <w:rPr>
          <w:rFonts w:ascii="Garamond" w:eastAsiaTheme="minorHAnsi" w:hAnsi="Garamond" w:cs="Arial"/>
          <w:sz w:val="24"/>
          <w:szCs w:val="24"/>
        </w:rPr>
        <w:t>ita</w:t>
      </w:r>
      <w:r w:rsidR="00EC682B" w:rsidRPr="003A1174">
        <w:rPr>
          <w:rFonts w:ascii="Garamond" w:eastAsiaTheme="minorHAnsi" w:hAnsi="Garamond" w:cs="Arial"/>
          <w:sz w:val="24"/>
          <w:szCs w:val="24"/>
        </w:rPr>
        <w:t>mente</w:t>
      </w:r>
      <w:r w:rsidR="00530082">
        <w:rPr>
          <w:rFonts w:ascii="Garamond" w:eastAsiaTheme="minorHAnsi" w:hAnsi="Garamond" w:cs="Arial"/>
          <w:sz w:val="24"/>
          <w:szCs w:val="24"/>
        </w:rPr>
        <w:t>,</w:t>
      </w:r>
      <w:r w:rsidR="00EC682B" w:rsidRPr="003A1174">
        <w:rPr>
          <w:rFonts w:ascii="Garamond" w:eastAsiaTheme="minorHAnsi" w:hAnsi="Garamond" w:cs="Arial"/>
          <w:sz w:val="24"/>
          <w:szCs w:val="24"/>
        </w:rPr>
        <w:t xml:space="preserve"> vinculado co</w:t>
      </w:r>
      <w:r w:rsidR="00A862C2" w:rsidRPr="003A1174">
        <w:rPr>
          <w:rFonts w:ascii="Garamond" w:eastAsiaTheme="minorHAnsi" w:hAnsi="Garamond" w:cs="Arial"/>
          <w:sz w:val="24"/>
          <w:szCs w:val="24"/>
        </w:rPr>
        <w:t xml:space="preserve">m </w:t>
      </w:r>
      <w:r w:rsidR="00EC682B" w:rsidRPr="003A1174">
        <w:rPr>
          <w:rFonts w:ascii="Garamond" w:eastAsiaTheme="minorHAnsi" w:hAnsi="Garamond" w:cs="Arial"/>
          <w:sz w:val="24"/>
          <w:szCs w:val="24"/>
        </w:rPr>
        <w:t xml:space="preserve">a </w:t>
      </w:r>
      <w:r w:rsidR="008843FD" w:rsidRPr="003A1174">
        <w:rPr>
          <w:rFonts w:ascii="Garamond" w:eastAsiaTheme="minorHAnsi" w:hAnsi="Garamond" w:cs="Arial"/>
          <w:sz w:val="24"/>
          <w:szCs w:val="24"/>
        </w:rPr>
        <w:t>possibilidade</w:t>
      </w:r>
      <w:r w:rsidR="00EC682B" w:rsidRPr="003A1174">
        <w:rPr>
          <w:rFonts w:ascii="Garamond" w:eastAsiaTheme="minorHAnsi" w:hAnsi="Garamond" w:cs="Arial"/>
          <w:sz w:val="24"/>
          <w:szCs w:val="24"/>
        </w:rPr>
        <w:t xml:space="preserve"> de </w:t>
      </w:r>
      <w:r w:rsidR="00A862C2" w:rsidRPr="003A1174">
        <w:rPr>
          <w:rFonts w:ascii="Garamond" w:eastAsiaTheme="minorHAnsi" w:hAnsi="Garamond" w:cs="Arial"/>
          <w:sz w:val="24"/>
          <w:szCs w:val="24"/>
        </w:rPr>
        <w:t>alcançar</w:t>
      </w:r>
      <w:r w:rsidR="00EC682B" w:rsidRPr="003A1174">
        <w:rPr>
          <w:rFonts w:ascii="Garamond" w:eastAsiaTheme="minorHAnsi" w:hAnsi="Garamond" w:cs="Arial"/>
          <w:sz w:val="24"/>
          <w:szCs w:val="24"/>
        </w:rPr>
        <w:t xml:space="preserve"> </w:t>
      </w:r>
      <w:r w:rsidR="00C04CA4" w:rsidRPr="003A1174">
        <w:rPr>
          <w:rFonts w:ascii="Garamond" w:eastAsiaTheme="minorHAnsi" w:hAnsi="Garamond" w:cs="Arial"/>
          <w:sz w:val="24"/>
          <w:szCs w:val="24"/>
        </w:rPr>
        <w:t>relações</w:t>
      </w:r>
      <w:r w:rsidR="00EC682B" w:rsidRPr="003A1174">
        <w:rPr>
          <w:rFonts w:ascii="Garamond" w:eastAsiaTheme="minorHAnsi" w:hAnsi="Garamond" w:cs="Arial"/>
          <w:sz w:val="24"/>
          <w:szCs w:val="24"/>
        </w:rPr>
        <w:t xml:space="preserve"> </w:t>
      </w:r>
      <w:r w:rsidR="00A862C2" w:rsidRPr="00334EF2">
        <w:rPr>
          <w:rFonts w:ascii="Garamond" w:eastAsiaTheme="minorHAnsi" w:hAnsi="Garamond" w:cs="Arial"/>
          <w:sz w:val="24"/>
          <w:szCs w:val="24"/>
        </w:rPr>
        <w:t>igualitária</w:t>
      </w:r>
      <w:r w:rsidR="00EC682B" w:rsidRPr="00334EF2">
        <w:rPr>
          <w:rFonts w:ascii="Garamond" w:eastAsiaTheme="minorHAnsi" w:hAnsi="Garamond" w:cs="Arial"/>
          <w:sz w:val="24"/>
          <w:szCs w:val="24"/>
        </w:rPr>
        <w:t>s</w:t>
      </w:r>
      <w:r w:rsidR="00EC682B" w:rsidRPr="003A1174">
        <w:rPr>
          <w:rFonts w:ascii="Garamond" w:eastAsiaTheme="minorHAnsi" w:hAnsi="Garamond" w:cs="Arial"/>
          <w:sz w:val="24"/>
          <w:szCs w:val="24"/>
        </w:rPr>
        <w:t xml:space="preserve"> entre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524936" w:rsidRPr="003A1174">
        <w:rPr>
          <w:rFonts w:ascii="Garamond" w:eastAsiaTheme="minorHAnsi" w:hAnsi="Garamond" w:cs="Arial"/>
          <w:sz w:val="24"/>
          <w:szCs w:val="24"/>
        </w:rPr>
        <w:t>homens</w:t>
      </w:r>
      <w:r w:rsidR="00EC682B" w:rsidRPr="003A1174">
        <w:rPr>
          <w:rFonts w:ascii="Garamond" w:eastAsiaTheme="minorHAnsi" w:hAnsi="Garamond" w:cs="Arial"/>
          <w:sz w:val="24"/>
          <w:szCs w:val="24"/>
        </w:rPr>
        <w:t xml:space="preserve">. </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A862C2"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Também se </w:t>
      </w:r>
      <w:r w:rsidR="00152A44" w:rsidRPr="003A1174">
        <w:rPr>
          <w:rFonts w:ascii="Garamond" w:eastAsiaTheme="minorHAnsi" w:hAnsi="Garamond" w:cs="Arial"/>
          <w:sz w:val="24"/>
          <w:szCs w:val="24"/>
        </w:rPr>
        <w:t>estabelece</w:t>
      </w:r>
      <w:r w:rsidR="00EC682B" w:rsidRPr="003A1174">
        <w:rPr>
          <w:rFonts w:ascii="Garamond" w:eastAsiaTheme="minorHAnsi" w:hAnsi="Garamond" w:cs="Arial"/>
          <w:sz w:val="24"/>
          <w:szCs w:val="24"/>
        </w:rPr>
        <w:t xml:space="preserve"> que</w:t>
      </w:r>
      <w:r w:rsidR="00530082">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através das </w:t>
      </w:r>
      <w:r w:rsidR="004751F2" w:rsidRPr="003A1174">
        <w:rPr>
          <w:rFonts w:ascii="Garamond" w:eastAsiaTheme="minorHAnsi" w:hAnsi="Garamond" w:cs="Arial"/>
          <w:sz w:val="24"/>
          <w:szCs w:val="24"/>
        </w:rPr>
        <w:t>su</w:t>
      </w:r>
      <w:r w:rsidRPr="003A1174">
        <w:rPr>
          <w:rFonts w:ascii="Garamond" w:eastAsiaTheme="minorHAnsi" w:hAnsi="Garamond" w:cs="Arial"/>
          <w:sz w:val="24"/>
          <w:szCs w:val="24"/>
        </w:rPr>
        <w:t>a</w:t>
      </w:r>
      <w:r w:rsidR="004751F2" w:rsidRPr="003A1174">
        <w:rPr>
          <w:rFonts w:ascii="Garamond" w:eastAsiaTheme="minorHAnsi" w:hAnsi="Garamond" w:cs="Arial"/>
          <w:sz w:val="24"/>
          <w:szCs w:val="24"/>
        </w:rPr>
        <w:t>s políticas</w:t>
      </w:r>
      <w:r w:rsidR="00530082">
        <w:rPr>
          <w:rFonts w:ascii="Garamond" w:eastAsiaTheme="minorHAnsi" w:hAnsi="Garamond" w:cs="Arial"/>
          <w:sz w:val="24"/>
          <w:szCs w:val="24"/>
        </w:rPr>
        <w:t>,</w:t>
      </w:r>
      <w:r w:rsidR="004751F2"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o </w:t>
      </w:r>
      <w:r w:rsidR="00EC682B" w:rsidRPr="003A1174">
        <w:rPr>
          <w:rFonts w:ascii="Garamond" w:eastAsiaTheme="minorHAnsi" w:hAnsi="Garamond" w:cs="Arial"/>
          <w:sz w:val="24"/>
          <w:szCs w:val="24"/>
        </w:rPr>
        <w:t xml:space="preserve">Estado </w:t>
      </w:r>
      <w:r w:rsidRPr="003A1174">
        <w:rPr>
          <w:rFonts w:ascii="Garamond" w:eastAsiaTheme="minorHAnsi" w:hAnsi="Garamond" w:cs="Arial"/>
          <w:sz w:val="24"/>
          <w:szCs w:val="24"/>
        </w:rPr>
        <w:t xml:space="preserve">deve procurar </w:t>
      </w:r>
      <w:r w:rsidR="00EC682B" w:rsidRPr="003A1174">
        <w:rPr>
          <w:rFonts w:ascii="Garamond" w:eastAsiaTheme="minorHAnsi" w:hAnsi="Garamond" w:cs="Arial"/>
          <w:sz w:val="24"/>
          <w:szCs w:val="24"/>
        </w:rPr>
        <w:t xml:space="preserve">a </w:t>
      </w:r>
      <w:r w:rsidR="007A2492" w:rsidRPr="003A1174">
        <w:rPr>
          <w:rFonts w:ascii="Garamond" w:eastAsiaTheme="minorHAnsi" w:hAnsi="Garamond" w:cs="Arial"/>
          <w:sz w:val="24"/>
          <w:szCs w:val="24"/>
        </w:rPr>
        <w:t>alteração</w:t>
      </w:r>
      <w:r w:rsidR="00EC682B" w:rsidRPr="003A1174">
        <w:rPr>
          <w:rFonts w:ascii="Garamond" w:eastAsiaTheme="minorHAnsi" w:hAnsi="Garamond" w:cs="Arial"/>
          <w:sz w:val="24"/>
          <w:szCs w:val="24"/>
        </w:rPr>
        <w:t xml:space="preserve"> de </w:t>
      </w:r>
      <w:r w:rsidR="003F012B" w:rsidRPr="003A1174">
        <w:rPr>
          <w:rFonts w:ascii="Garamond" w:eastAsiaTheme="minorHAnsi" w:hAnsi="Garamond" w:cs="Arial"/>
          <w:sz w:val="24"/>
          <w:szCs w:val="24"/>
        </w:rPr>
        <w:t>padrões</w:t>
      </w:r>
      <w:r w:rsidR="00EC682B" w:rsidRPr="003A1174">
        <w:rPr>
          <w:rFonts w:ascii="Garamond" w:eastAsiaTheme="minorHAnsi" w:hAnsi="Garamond" w:cs="Arial"/>
          <w:sz w:val="24"/>
          <w:szCs w:val="24"/>
        </w:rPr>
        <w:t xml:space="preserve"> estereotipados de </w:t>
      </w:r>
      <w:r w:rsidRPr="003A1174">
        <w:rPr>
          <w:rFonts w:ascii="Garamond" w:eastAsiaTheme="minorHAnsi" w:hAnsi="Garamond" w:cs="Arial"/>
          <w:sz w:val="24"/>
          <w:szCs w:val="24"/>
        </w:rPr>
        <w:t>comportamento</w:t>
      </w:r>
      <w:r w:rsidR="00EC682B" w:rsidRPr="003A1174">
        <w:rPr>
          <w:rFonts w:ascii="Garamond" w:eastAsiaTheme="minorHAnsi" w:hAnsi="Garamond" w:cs="Arial"/>
          <w:sz w:val="24"/>
          <w:szCs w:val="24"/>
        </w:rPr>
        <w:t xml:space="preserve"> de u</w:t>
      </w:r>
      <w:r w:rsidRPr="003A1174">
        <w:rPr>
          <w:rFonts w:ascii="Garamond" w:eastAsiaTheme="minorHAnsi" w:hAnsi="Garamond" w:cs="Arial"/>
          <w:sz w:val="24"/>
          <w:szCs w:val="24"/>
        </w:rPr>
        <w:t xml:space="preserve">m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de </w:t>
      </w:r>
      <w:r w:rsidR="001F2F8B" w:rsidRPr="003A1174">
        <w:rPr>
          <w:rFonts w:ascii="Garamond" w:eastAsiaTheme="minorHAnsi" w:hAnsi="Garamond" w:cs="Arial"/>
          <w:sz w:val="24"/>
          <w:szCs w:val="24"/>
        </w:rPr>
        <w:t>outro</w:t>
      </w:r>
      <w:r w:rsidR="00EC682B" w:rsidRPr="003A1174">
        <w:rPr>
          <w:rFonts w:ascii="Garamond" w:eastAsiaTheme="minorHAnsi" w:hAnsi="Garamond" w:cs="Arial"/>
          <w:sz w:val="24"/>
          <w:szCs w:val="24"/>
        </w:rPr>
        <w:t xml:space="preserve"> sexo</w:t>
      </w:r>
      <w:r w:rsidR="004751F2" w:rsidRPr="003A1174">
        <w:rPr>
          <w:rFonts w:ascii="Garamond" w:eastAsiaTheme="minorHAnsi" w:hAnsi="Garamond" w:cs="Arial"/>
          <w:sz w:val="24"/>
          <w:szCs w:val="24"/>
        </w:rPr>
        <w:t>, as</w:t>
      </w:r>
      <w:r w:rsidRPr="003A1174">
        <w:rPr>
          <w:rFonts w:ascii="Garamond" w:eastAsiaTheme="minorHAnsi" w:hAnsi="Garamond" w:cs="Arial"/>
          <w:sz w:val="24"/>
          <w:szCs w:val="24"/>
        </w:rPr>
        <w:t xml:space="preserve">sim </w:t>
      </w:r>
      <w:r w:rsidR="004751F2" w:rsidRPr="003A1174">
        <w:rPr>
          <w:rFonts w:ascii="Garamond" w:eastAsiaTheme="minorHAnsi" w:hAnsi="Garamond" w:cs="Arial"/>
          <w:sz w:val="24"/>
          <w:szCs w:val="24"/>
        </w:rPr>
        <w:t>como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a </w:t>
      </w:r>
      <w:r w:rsidR="00EC682B" w:rsidRPr="003A1174">
        <w:rPr>
          <w:rFonts w:ascii="Garamond" w:eastAsiaTheme="minorHAnsi" w:hAnsi="Garamond" w:cs="Arial"/>
          <w:sz w:val="24"/>
          <w:szCs w:val="24"/>
        </w:rPr>
        <w:t>su</w:t>
      </w:r>
      <w:r w:rsidRPr="003A1174">
        <w:rPr>
          <w:rFonts w:ascii="Garamond" w:eastAsiaTheme="minorHAnsi" w:hAnsi="Garamond" w:cs="Arial"/>
          <w:sz w:val="24"/>
          <w:szCs w:val="24"/>
        </w:rPr>
        <w:t>a</w:t>
      </w:r>
      <w:r w:rsidR="00EC682B" w:rsidRPr="003A1174">
        <w:rPr>
          <w:rFonts w:ascii="Garamond" w:eastAsiaTheme="minorHAnsi" w:hAnsi="Garamond" w:cs="Arial"/>
          <w:sz w:val="24"/>
          <w:szCs w:val="24"/>
        </w:rPr>
        <w:t xml:space="preserve"> valor</w:t>
      </w:r>
      <w:r w:rsidRPr="003A1174">
        <w:rPr>
          <w:rFonts w:ascii="Garamond" w:eastAsiaTheme="minorHAnsi" w:hAnsi="Garamond" w:cs="Arial"/>
          <w:sz w:val="24"/>
          <w:szCs w:val="24"/>
        </w:rPr>
        <w:t xml:space="preserve">ização social, eliminando </w:t>
      </w:r>
      <w:r w:rsidR="00EC682B" w:rsidRPr="003A1174">
        <w:rPr>
          <w:rFonts w:ascii="Garamond" w:eastAsiaTheme="minorHAnsi" w:hAnsi="Garamond" w:cs="Arial"/>
          <w:sz w:val="24"/>
          <w:szCs w:val="24"/>
        </w:rPr>
        <w:t>os pre</w:t>
      </w:r>
      <w:r w:rsidRPr="003A1174">
        <w:rPr>
          <w:rFonts w:ascii="Garamond" w:eastAsiaTheme="minorHAnsi" w:hAnsi="Garamond" w:cs="Arial"/>
          <w:sz w:val="24"/>
          <w:szCs w:val="24"/>
        </w:rPr>
        <w:t xml:space="preserve">conceitos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prática</w:t>
      </w:r>
      <w:r w:rsidR="00EC682B" w:rsidRPr="003A1174">
        <w:rPr>
          <w:rFonts w:ascii="Garamond" w:eastAsiaTheme="minorHAnsi" w:hAnsi="Garamond" w:cs="Arial"/>
          <w:sz w:val="24"/>
          <w:szCs w:val="24"/>
        </w:rPr>
        <w:t xml:space="preserve">s </w:t>
      </w:r>
      <w:r w:rsidRPr="003A1174">
        <w:rPr>
          <w:rFonts w:ascii="Garamond" w:eastAsiaTheme="minorHAnsi" w:hAnsi="Garamond" w:cs="Arial"/>
          <w:sz w:val="24"/>
          <w:szCs w:val="24"/>
        </w:rPr>
        <w:t>baseada</w:t>
      </w:r>
      <w:r w:rsidR="00EC682B" w:rsidRPr="003A1174">
        <w:rPr>
          <w:rFonts w:ascii="Garamond" w:eastAsiaTheme="minorHAnsi" w:hAnsi="Garamond" w:cs="Arial"/>
          <w:sz w:val="24"/>
          <w:szCs w:val="24"/>
        </w:rPr>
        <w:t>s e</w:t>
      </w:r>
      <w:r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w:t>
      </w:r>
      <w:r w:rsidR="004E3A1A" w:rsidRPr="003A1174">
        <w:rPr>
          <w:rFonts w:ascii="Garamond" w:eastAsiaTheme="minorHAnsi" w:hAnsi="Garamond" w:cs="Arial"/>
          <w:sz w:val="24"/>
          <w:szCs w:val="24"/>
        </w:rPr>
        <w:t>ideia</w:t>
      </w:r>
      <w:r w:rsidR="00EC682B" w:rsidRPr="003A1174">
        <w:rPr>
          <w:rFonts w:ascii="Garamond" w:eastAsiaTheme="minorHAnsi" w:hAnsi="Garamond" w:cs="Arial"/>
          <w:sz w:val="24"/>
          <w:szCs w:val="24"/>
        </w:rPr>
        <w:t xml:space="preserve">s de </w:t>
      </w:r>
      <w:r w:rsidRPr="003A1174">
        <w:rPr>
          <w:rFonts w:ascii="Garamond" w:eastAsiaTheme="minorHAnsi" w:hAnsi="Garamond" w:cs="Arial"/>
          <w:sz w:val="24"/>
          <w:szCs w:val="24"/>
        </w:rPr>
        <w:t>inferioridade</w:t>
      </w:r>
      <w:r w:rsidR="00EC682B" w:rsidRPr="003A1174">
        <w:rPr>
          <w:rFonts w:ascii="Garamond" w:eastAsiaTheme="minorHAnsi" w:hAnsi="Garamond" w:cs="Arial"/>
          <w:sz w:val="24"/>
          <w:szCs w:val="24"/>
        </w:rPr>
        <w:t xml:space="preserve"> o</w:t>
      </w:r>
      <w:r w:rsidRPr="003A1174">
        <w:rPr>
          <w:rFonts w:ascii="Garamond" w:eastAsiaTheme="minorHAnsi" w:hAnsi="Garamond" w:cs="Arial"/>
          <w:sz w:val="24"/>
          <w:szCs w:val="24"/>
        </w:rPr>
        <w:t>u</w:t>
      </w:r>
      <w:r w:rsidR="00EC682B" w:rsidRPr="003A1174">
        <w:rPr>
          <w:rFonts w:ascii="Garamond" w:eastAsiaTheme="minorHAnsi" w:hAnsi="Garamond" w:cs="Arial"/>
          <w:sz w:val="24"/>
          <w:szCs w:val="24"/>
        </w:rPr>
        <w:t xml:space="preserve"> superioridad</w:t>
      </w:r>
      <w:r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EC682B" w:rsidRPr="003A1174">
        <w:rPr>
          <w:rFonts w:ascii="Garamond" w:eastAsiaTheme="minorHAnsi" w:hAnsi="Garamond" w:cs="Arial"/>
          <w:sz w:val="24"/>
          <w:szCs w:val="24"/>
        </w:rPr>
        <w:t xml:space="preserve"> sexos.</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A862C2"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En</w:t>
      </w:r>
      <w:r w:rsidR="00F520D6" w:rsidRPr="003A1174">
        <w:rPr>
          <w:rFonts w:ascii="Garamond" w:eastAsiaTheme="minorHAnsi" w:hAnsi="Garamond" w:cs="Arial"/>
          <w:sz w:val="24"/>
          <w:szCs w:val="24"/>
        </w:rPr>
        <w:t>contra</w:t>
      </w:r>
      <w:r w:rsidRPr="003A1174">
        <w:rPr>
          <w:rFonts w:ascii="Garamond" w:eastAsiaTheme="minorHAnsi" w:hAnsi="Garamond" w:cs="Arial"/>
          <w:sz w:val="24"/>
          <w:szCs w:val="24"/>
        </w:rPr>
        <w:t>-se</w:t>
      </w:r>
      <w:r w:rsidR="00EC682B" w:rsidRPr="003A1174">
        <w:rPr>
          <w:rFonts w:ascii="Garamond" w:eastAsiaTheme="minorHAnsi" w:hAnsi="Garamond" w:cs="Arial"/>
          <w:sz w:val="24"/>
          <w:szCs w:val="24"/>
        </w:rPr>
        <w:t xml:space="preserve"> e</w:t>
      </w:r>
      <w:r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tramitação</w:t>
      </w:r>
      <w:r w:rsidR="00EC682B" w:rsidRPr="003A1174">
        <w:rPr>
          <w:rFonts w:ascii="Garamond" w:eastAsiaTheme="minorHAnsi" w:hAnsi="Garamond" w:cs="Arial"/>
          <w:sz w:val="24"/>
          <w:szCs w:val="24"/>
        </w:rPr>
        <w:t xml:space="preserve"> legislativ</w:t>
      </w:r>
      <w:r w:rsidRPr="003A1174">
        <w:rPr>
          <w:rFonts w:ascii="Garamond" w:eastAsiaTheme="minorHAnsi" w:hAnsi="Garamond" w:cs="Arial"/>
          <w:sz w:val="24"/>
          <w:szCs w:val="24"/>
        </w:rPr>
        <w:t xml:space="preserve">a um </w:t>
      </w:r>
      <w:r w:rsidR="00C30647" w:rsidRPr="003A1174">
        <w:rPr>
          <w:rFonts w:ascii="Garamond" w:eastAsiaTheme="minorHAnsi" w:hAnsi="Garamond" w:cs="Arial"/>
          <w:sz w:val="24"/>
          <w:szCs w:val="24"/>
        </w:rPr>
        <w:t>projeto</w:t>
      </w:r>
      <w:r w:rsidR="00EC682B" w:rsidRPr="003A1174">
        <w:rPr>
          <w:rFonts w:ascii="Garamond" w:eastAsiaTheme="minorHAnsi" w:hAnsi="Garamond" w:cs="Arial"/>
          <w:sz w:val="24"/>
          <w:szCs w:val="24"/>
        </w:rPr>
        <w:t xml:space="preserve"> que pretende </w:t>
      </w:r>
      <w:r w:rsidR="00306B73" w:rsidRPr="003A1174">
        <w:rPr>
          <w:rFonts w:ascii="Garamond" w:eastAsiaTheme="minorHAnsi" w:hAnsi="Garamond" w:cs="Arial"/>
          <w:sz w:val="24"/>
          <w:szCs w:val="24"/>
        </w:rPr>
        <w:t>cumprir</w:t>
      </w:r>
      <w:r w:rsidR="00EC682B" w:rsidRPr="003A1174">
        <w:rPr>
          <w:rFonts w:ascii="Garamond" w:eastAsiaTheme="minorHAnsi" w:hAnsi="Garamond" w:cs="Arial"/>
          <w:sz w:val="24"/>
          <w:szCs w:val="24"/>
        </w:rPr>
        <w:t xml:space="preserve"> co</w:t>
      </w:r>
      <w:r w:rsidRPr="003A1174">
        <w:rPr>
          <w:rFonts w:ascii="Garamond" w:eastAsiaTheme="minorHAnsi" w:hAnsi="Garamond" w:cs="Arial"/>
          <w:sz w:val="24"/>
          <w:szCs w:val="24"/>
        </w:rPr>
        <w:t xml:space="preserve">m o </w:t>
      </w:r>
      <w:r w:rsidR="00EC682B" w:rsidRPr="003A1174">
        <w:rPr>
          <w:rFonts w:ascii="Garamond" w:eastAsiaTheme="minorHAnsi" w:hAnsi="Garamond" w:cs="Arial"/>
          <w:sz w:val="24"/>
          <w:szCs w:val="24"/>
        </w:rPr>
        <w:t>mandato emitido p</w:t>
      </w:r>
      <w:r w:rsidRPr="003A1174">
        <w:rPr>
          <w:rFonts w:ascii="Garamond" w:eastAsiaTheme="minorHAnsi" w:hAnsi="Garamond" w:cs="Arial"/>
          <w:sz w:val="24"/>
          <w:szCs w:val="24"/>
        </w:rPr>
        <w:t>e</w:t>
      </w:r>
      <w:r w:rsidR="00EC682B" w:rsidRPr="003A1174">
        <w:rPr>
          <w:rFonts w:ascii="Garamond" w:eastAsiaTheme="minorHAnsi" w:hAnsi="Garamond" w:cs="Arial"/>
          <w:sz w:val="24"/>
          <w:szCs w:val="24"/>
        </w:rPr>
        <w:t>l</w:t>
      </w:r>
      <w:r w:rsidR="00935298">
        <w:rPr>
          <w:rFonts w:ascii="Garamond" w:eastAsiaTheme="minorHAnsi" w:hAnsi="Garamond" w:cs="Arial"/>
          <w:sz w:val="24"/>
          <w:szCs w:val="24"/>
        </w:rPr>
        <w:t>o</w:t>
      </w:r>
      <w:r w:rsidR="00042808">
        <w:rPr>
          <w:rFonts w:ascii="Garamond" w:eastAsiaTheme="minorHAnsi" w:hAnsi="Garamond" w:cs="Arial"/>
          <w:sz w:val="24"/>
          <w:szCs w:val="24"/>
        </w:rPr>
        <w:t xml:space="preserve"> </w:t>
      </w:r>
      <w:r w:rsidR="00935298">
        <w:rPr>
          <w:rFonts w:ascii="Garamond" w:eastAsiaTheme="minorHAnsi" w:hAnsi="Garamond" w:cs="Arial"/>
          <w:sz w:val="24"/>
          <w:szCs w:val="24"/>
        </w:rPr>
        <w:t>Tribunal</w:t>
      </w:r>
      <w:r w:rsidR="002A7FDD"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Interamerican</w:t>
      </w:r>
      <w:r w:rsidR="00935298">
        <w:rPr>
          <w:rFonts w:ascii="Garamond" w:eastAsiaTheme="minorHAnsi" w:hAnsi="Garamond" w:cs="Arial"/>
          <w:sz w:val="24"/>
          <w:szCs w:val="24"/>
        </w:rPr>
        <w:t>o</w:t>
      </w:r>
      <w:r w:rsidR="00EC682B" w:rsidRPr="003A1174">
        <w:rPr>
          <w:rFonts w:ascii="Garamond" w:eastAsiaTheme="minorHAnsi" w:hAnsi="Garamond" w:cs="Arial"/>
          <w:sz w:val="24"/>
          <w:szCs w:val="24"/>
        </w:rPr>
        <w:t xml:space="preserve"> de </w:t>
      </w:r>
      <w:r w:rsidR="00886D6A" w:rsidRPr="003A1174">
        <w:rPr>
          <w:rFonts w:ascii="Garamond" w:eastAsiaTheme="minorHAnsi" w:hAnsi="Garamond" w:cs="Arial"/>
          <w:sz w:val="24"/>
          <w:szCs w:val="24"/>
        </w:rPr>
        <w:t>Direito</w:t>
      </w:r>
      <w:r w:rsidR="00EC682B" w:rsidRPr="003A1174">
        <w:rPr>
          <w:rFonts w:ascii="Garamond" w:eastAsiaTheme="minorHAnsi" w:hAnsi="Garamond" w:cs="Arial"/>
          <w:sz w:val="24"/>
          <w:szCs w:val="24"/>
        </w:rPr>
        <w:t>s Humanos</w:t>
      </w:r>
      <w:r w:rsidR="00EC682B" w:rsidRPr="003A1174">
        <w:rPr>
          <w:rFonts w:ascii="Garamond" w:eastAsiaTheme="minorHAnsi" w:hAnsi="Garamond" w:cs="Arial"/>
          <w:sz w:val="24"/>
          <w:szCs w:val="24"/>
          <w:vertAlign w:val="superscript"/>
          <w:lang w:val="es-CR"/>
        </w:rPr>
        <w:footnoteReference w:id="62"/>
      </w:r>
      <w:r w:rsidR="00EC682B" w:rsidRPr="003A1174">
        <w:rPr>
          <w:rFonts w:ascii="Garamond" w:eastAsiaTheme="minorHAnsi" w:hAnsi="Garamond" w:cs="Arial"/>
          <w:sz w:val="24"/>
          <w:szCs w:val="24"/>
        </w:rPr>
        <w:t xml:space="preserve"> que </w:t>
      </w:r>
      <w:r w:rsidR="00530082">
        <w:rPr>
          <w:rFonts w:ascii="Garamond" w:eastAsiaTheme="minorHAnsi" w:hAnsi="Garamond" w:cs="Arial"/>
          <w:sz w:val="24"/>
          <w:szCs w:val="24"/>
        </w:rPr>
        <w:t xml:space="preserve">obriga o </w:t>
      </w:r>
      <w:r w:rsidR="00EC682B" w:rsidRPr="003A1174">
        <w:rPr>
          <w:rFonts w:ascii="Garamond" w:eastAsiaTheme="minorHAnsi" w:hAnsi="Garamond" w:cs="Arial"/>
          <w:sz w:val="24"/>
          <w:szCs w:val="24"/>
        </w:rPr>
        <w:t xml:space="preserve">Estado </w:t>
      </w:r>
      <w:r w:rsidRPr="003A1174">
        <w:rPr>
          <w:rFonts w:ascii="Garamond" w:eastAsiaTheme="minorHAnsi" w:hAnsi="Garamond" w:cs="Arial"/>
          <w:sz w:val="24"/>
          <w:szCs w:val="24"/>
        </w:rPr>
        <w:t>costa-riquenho</w:t>
      </w:r>
      <w:proofErr w:type="gramStart"/>
      <w:r w:rsidR="00EC682B" w:rsidRPr="003A1174">
        <w:rPr>
          <w:rFonts w:ascii="Garamond" w:eastAsiaTheme="minorHAnsi" w:hAnsi="Garamond" w:cs="Arial"/>
          <w:sz w:val="24"/>
          <w:szCs w:val="24"/>
        </w:rPr>
        <w:t xml:space="preserve"> </w:t>
      </w:r>
      <w:r w:rsidR="00334EF2">
        <w:rPr>
          <w:rFonts w:ascii="Garamond" w:eastAsiaTheme="minorHAnsi" w:hAnsi="Garamond" w:cs="Arial"/>
          <w:sz w:val="24"/>
          <w:szCs w:val="24"/>
        </w:rPr>
        <w:t xml:space="preserve"> </w:t>
      </w:r>
      <w:proofErr w:type="gramEnd"/>
      <w:r w:rsidR="00530082">
        <w:rPr>
          <w:rFonts w:ascii="Garamond" w:eastAsiaTheme="minorHAnsi" w:hAnsi="Garamond" w:cs="Arial"/>
          <w:sz w:val="24"/>
          <w:szCs w:val="24"/>
        </w:rPr>
        <w:t xml:space="preserve">a levantar </w:t>
      </w:r>
      <w:r w:rsidR="00EC682B" w:rsidRPr="003A1174">
        <w:rPr>
          <w:rFonts w:ascii="Garamond" w:eastAsiaTheme="minorHAnsi" w:hAnsi="Garamond" w:cs="Arial"/>
          <w:sz w:val="24"/>
          <w:szCs w:val="24"/>
        </w:rPr>
        <w:t xml:space="preserve">a </w:t>
      </w:r>
      <w:r w:rsidRPr="003A1174">
        <w:rPr>
          <w:rFonts w:ascii="Garamond" w:eastAsiaTheme="minorHAnsi" w:hAnsi="Garamond" w:cs="Arial"/>
          <w:sz w:val="24"/>
          <w:szCs w:val="24"/>
        </w:rPr>
        <w:t>proibição d</w:t>
      </w:r>
      <w:r w:rsidR="00EC682B" w:rsidRPr="003A1174">
        <w:rPr>
          <w:rFonts w:ascii="Garamond" w:eastAsiaTheme="minorHAnsi" w:hAnsi="Garamond" w:cs="Arial"/>
          <w:sz w:val="24"/>
          <w:szCs w:val="24"/>
        </w:rPr>
        <w:t xml:space="preserve">a </w:t>
      </w:r>
      <w:r w:rsidR="00B14AA6" w:rsidRPr="003A1174">
        <w:rPr>
          <w:rFonts w:ascii="Garamond" w:eastAsiaTheme="minorHAnsi" w:hAnsi="Garamond" w:cs="Arial"/>
          <w:sz w:val="24"/>
          <w:szCs w:val="24"/>
        </w:rPr>
        <w:t>aplicação</w:t>
      </w:r>
      <w:r w:rsidR="00EC682B" w:rsidRPr="003A1174">
        <w:rPr>
          <w:rFonts w:ascii="Garamond" w:eastAsiaTheme="minorHAnsi" w:hAnsi="Garamond" w:cs="Arial"/>
          <w:sz w:val="24"/>
          <w:szCs w:val="24"/>
        </w:rPr>
        <w:t xml:space="preserve"> da técnica de </w:t>
      </w:r>
      <w:r w:rsidR="00EC682B" w:rsidRPr="003A1174">
        <w:rPr>
          <w:rFonts w:ascii="Garamond" w:eastAsiaTheme="minorHAnsi" w:hAnsi="Garamond" w:cs="Arial"/>
          <w:i/>
          <w:sz w:val="24"/>
          <w:szCs w:val="24"/>
        </w:rPr>
        <w:t>Fecunda</w:t>
      </w:r>
      <w:r w:rsidR="00C751FC" w:rsidRPr="003A1174">
        <w:rPr>
          <w:rFonts w:ascii="Garamond" w:eastAsiaTheme="minorHAnsi" w:hAnsi="Garamond" w:cs="Arial"/>
          <w:i/>
          <w:sz w:val="24"/>
          <w:szCs w:val="24"/>
        </w:rPr>
        <w:t>ção</w:t>
      </w:r>
      <w:r w:rsidR="00EC682B" w:rsidRPr="003A1174">
        <w:rPr>
          <w:rFonts w:ascii="Garamond" w:eastAsiaTheme="minorHAnsi" w:hAnsi="Garamond" w:cs="Arial"/>
          <w:i/>
          <w:sz w:val="24"/>
          <w:szCs w:val="24"/>
        </w:rPr>
        <w:t xml:space="preserve"> In Vitro</w:t>
      </w:r>
      <w:r w:rsidR="00EC682B" w:rsidRPr="003A1174">
        <w:rPr>
          <w:rFonts w:ascii="Garamond" w:eastAsiaTheme="minorHAnsi" w:hAnsi="Garamond" w:cs="Arial"/>
          <w:sz w:val="24"/>
          <w:szCs w:val="24"/>
        </w:rPr>
        <w:t xml:space="preserve"> (FIV) </w:t>
      </w:r>
      <w:r w:rsidRPr="003A1174">
        <w:rPr>
          <w:rFonts w:ascii="Garamond" w:eastAsiaTheme="minorHAnsi" w:hAnsi="Garamond" w:cs="Arial"/>
          <w:sz w:val="24"/>
          <w:szCs w:val="24"/>
        </w:rPr>
        <w:t xml:space="preserve">no </w:t>
      </w:r>
      <w:r w:rsidR="00EC682B" w:rsidRPr="003A1174">
        <w:rPr>
          <w:rFonts w:ascii="Garamond" w:eastAsiaTheme="minorHAnsi" w:hAnsi="Garamond" w:cs="Arial"/>
          <w:sz w:val="24"/>
          <w:szCs w:val="24"/>
        </w:rPr>
        <w:t xml:space="preserve">país. </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EC682B" w:rsidP="00D4575C">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Por o</w:t>
      </w:r>
      <w:r w:rsidR="00A862C2" w:rsidRPr="003A1174">
        <w:rPr>
          <w:rFonts w:ascii="Garamond" w:eastAsiaTheme="minorHAnsi" w:hAnsi="Garamond" w:cs="Arial"/>
          <w:sz w:val="24"/>
          <w:szCs w:val="24"/>
        </w:rPr>
        <w:t>u</w:t>
      </w:r>
      <w:r w:rsidRPr="003A1174">
        <w:rPr>
          <w:rFonts w:ascii="Garamond" w:eastAsiaTheme="minorHAnsi" w:hAnsi="Garamond" w:cs="Arial"/>
          <w:sz w:val="24"/>
          <w:szCs w:val="24"/>
        </w:rPr>
        <w:t>tr</w:t>
      </w:r>
      <w:r w:rsidR="00A862C2" w:rsidRPr="003A1174">
        <w:rPr>
          <w:rFonts w:ascii="Garamond" w:eastAsiaTheme="minorHAnsi" w:hAnsi="Garamond" w:cs="Arial"/>
          <w:sz w:val="24"/>
          <w:szCs w:val="24"/>
        </w:rPr>
        <w:t>o lado</w:t>
      </w:r>
      <w:r w:rsidRPr="003A1174">
        <w:rPr>
          <w:rFonts w:ascii="Garamond" w:eastAsiaTheme="minorHAnsi" w:hAnsi="Garamond" w:cs="Arial"/>
          <w:sz w:val="24"/>
          <w:szCs w:val="24"/>
        </w:rPr>
        <w:t xml:space="preserve">, encontramos </w:t>
      </w:r>
      <w:r w:rsidR="00A862C2" w:rsidRPr="003A1174">
        <w:rPr>
          <w:rFonts w:ascii="Garamond" w:eastAsiaTheme="minorHAnsi" w:hAnsi="Garamond" w:cs="Arial"/>
          <w:sz w:val="24"/>
          <w:szCs w:val="24"/>
        </w:rPr>
        <w:t>o</w:t>
      </w:r>
      <w:r w:rsidRPr="003A1174">
        <w:rPr>
          <w:rFonts w:ascii="Garamond" w:eastAsiaTheme="minorHAnsi" w:hAnsi="Garamond" w:cs="Arial"/>
          <w:sz w:val="24"/>
          <w:szCs w:val="24"/>
        </w:rPr>
        <w:t xml:space="preserve"> </w:t>
      </w:r>
      <w:r w:rsidR="00C246B4" w:rsidRPr="003A1174">
        <w:rPr>
          <w:rFonts w:ascii="Garamond" w:eastAsiaTheme="minorHAnsi" w:hAnsi="Garamond" w:cs="Arial"/>
          <w:sz w:val="24"/>
          <w:szCs w:val="24"/>
        </w:rPr>
        <w:t>Projeto-</w:t>
      </w:r>
      <w:r w:rsidR="005E1D74">
        <w:rPr>
          <w:rFonts w:ascii="Garamond" w:eastAsiaTheme="minorHAnsi" w:hAnsi="Garamond" w:cs="Arial"/>
          <w:sz w:val="24"/>
          <w:szCs w:val="24"/>
        </w:rPr>
        <w:t>L</w:t>
      </w:r>
      <w:r w:rsidR="00C246B4" w:rsidRPr="003A1174">
        <w:rPr>
          <w:rFonts w:ascii="Garamond" w:eastAsiaTheme="minorHAnsi" w:hAnsi="Garamond" w:cs="Arial"/>
          <w:sz w:val="24"/>
          <w:szCs w:val="24"/>
        </w:rPr>
        <w:t>ei</w:t>
      </w:r>
      <w:r w:rsidRPr="003A1174">
        <w:rPr>
          <w:rFonts w:ascii="Garamond" w:eastAsiaTheme="minorHAnsi" w:hAnsi="Garamond" w:cs="Arial"/>
          <w:sz w:val="24"/>
          <w:szCs w:val="24"/>
        </w:rPr>
        <w:t xml:space="preserve"> N</w:t>
      </w:r>
      <w:r w:rsidR="00530082">
        <w:rPr>
          <w:rFonts w:ascii="Garamond" w:eastAsiaTheme="minorHAnsi" w:hAnsi="Garamond" w:cs="Arial"/>
          <w:sz w:val="24"/>
          <w:szCs w:val="24"/>
        </w:rPr>
        <w:t>.</w:t>
      </w:r>
      <w:r w:rsidRPr="003A1174">
        <w:rPr>
          <w:rFonts w:ascii="Garamond" w:eastAsiaTheme="minorHAnsi" w:hAnsi="Garamond" w:cs="Arial"/>
          <w:sz w:val="24"/>
          <w:szCs w:val="24"/>
        </w:rPr>
        <w:t>° 18</w:t>
      </w:r>
      <w:r w:rsidR="00530082">
        <w:rPr>
          <w:rFonts w:ascii="Garamond" w:eastAsiaTheme="minorHAnsi" w:hAnsi="Garamond" w:cs="Arial"/>
          <w:sz w:val="24"/>
          <w:szCs w:val="24"/>
        </w:rPr>
        <w:t xml:space="preserve"> </w:t>
      </w:r>
      <w:r w:rsidRPr="003A1174">
        <w:rPr>
          <w:rFonts w:ascii="Garamond" w:eastAsiaTheme="minorHAnsi" w:hAnsi="Garamond" w:cs="Arial"/>
          <w:sz w:val="24"/>
          <w:szCs w:val="24"/>
        </w:rPr>
        <w:t>719</w:t>
      </w:r>
      <w:r w:rsidR="001D237C" w:rsidRPr="003A1174">
        <w:rPr>
          <w:rFonts w:ascii="Garamond" w:eastAsiaTheme="minorHAnsi" w:hAnsi="Garamond" w:cs="Arial"/>
          <w:sz w:val="24"/>
          <w:szCs w:val="24"/>
        </w:rPr>
        <w:t>,</w:t>
      </w:r>
      <w:r w:rsidRPr="003A1174">
        <w:rPr>
          <w:rFonts w:ascii="Garamond" w:eastAsiaTheme="minorHAnsi" w:hAnsi="Garamond" w:cs="Arial"/>
          <w:sz w:val="24"/>
          <w:szCs w:val="24"/>
        </w:rPr>
        <w:t xml:space="preserve"> denominado </w:t>
      </w:r>
      <w:r w:rsidR="00D15AFF" w:rsidRPr="003A1174">
        <w:rPr>
          <w:rFonts w:ascii="Garamond" w:eastAsiaTheme="minorHAnsi" w:hAnsi="Garamond" w:cs="Arial"/>
          <w:i/>
          <w:sz w:val="24"/>
          <w:szCs w:val="24"/>
        </w:rPr>
        <w:t>Lei</w:t>
      </w:r>
      <w:r w:rsidRPr="003A1174">
        <w:rPr>
          <w:rFonts w:ascii="Garamond" w:eastAsiaTheme="minorHAnsi" w:hAnsi="Garamond" w:cs="Arial"/>
          <w:i/>
          <w:sz w:val="24"/>
          <w:szCs w:val="24"/>
        </w:rPr>
        <w:t xml:space="preserve"> contra </w:t>
      </w:r>
      <w:r w:rsidR="00A862C2" w:rsidRPr="003A1174">
        <w:rPr>
          <w:rFonts w:ascii="Garamond" w:eastAsiaTheme="minorHAnsi" w:hAnsi="Garamond" w:cs="Arial"/>
          <w:i/>
          <w:sz w:val="24"/>
          <w:szCs w:val="24"/>
        </w:rPr>
        <w:t>o</w:t>
      </w:r>
      <w:r w:rsidRPr="003A1174">
        <w:rPr>
          <w:rFonts w:ascii="Garamond" w:eastAsiaTheme="minorHAnsi" w:hAnsi="Garamond" w:cs="Arial"/>
          <w:i/>
          <w:sz w:val="24"/>
          <w:szCs w:val="24"/>
        </w:rPr>
        <w:t xml:space="preserve"> </w:t>
      </w:r>
      <w:r w:rsidR="00A41573" w:rsidRPr="003A1174">
        <w:rPr>
          <w:rFonts w:ascii="Garamond" w:eastAsiaTheme="minorHAnsi" w:hAnsi="Garamond" w:cs="Arial"/>
          <w:i/>
          <w:sz w:val="24"/>
          <w:szCs w:val="24"/>
        </w:rPr>
        <w:t>Assédio</w:t>
      </w:r>
      <w:r w:rsidRPr="003A1174">
        <w:rPr>
          <w:rFonts w:ascii="Garamond" w:eastAsiaTheme="minorHAnsi" w:hAnsi="Garamond" w:cs="Arial"/>
          <w:i/>
          <w:sz w:val="24"/>
          <w:szCs w:val="24"/>
        </w:rPr>
        <w:t xml:space="preserve"> </w:t>
      </w:r>
      <w:r w:rsidR="00497503" w:rsidRPr="003A1174">
        <w:rPr>
          <w:rFonts w:ascii="Garamond" w:eastAsiaTheme="minorHAnsi" w:hAnsi="Garamond" w:cs="Arial"/>
          <w:i/>
          <w:sz w:val="24"/>
          <w:szCs w:val="24"/>
        </w:rPr>
        <w:t>e</w:t>
      </w:r>
      <w:r w:rsidRPr="003A1174">
        <w:rPr>
          <w:rFonts w:ascii="Garamond" w:eastAsiaTheme="minorHAnsi" w:hAnsi="Garamond" w:cs="Arial"/>
          <w:i/>
          <w:sz w:val="24"/>
          <w:szCs w:val="24"/>
        </w:rPr>
        <w:t>/o</w:t>
      </w:r>
      <w:r w:rsidR="00A862C2" w:rsidRPr="003A1174">
        <w:rPr>
          <w:rFonts w:ascii="Garamond" w:eastAsiaTheme="minorHAnsi" w:hAnsi="Garamond" w:cs="Arial"/>
          <w:i/>
          <w:sz w:val="24"/>
          <w:szCs w:val="24"/>
        </w:rPr>
        <w:t>u</w:t>
      </w:r>
      <w:r w:rsidRPr="003A1174">
        <w:rPr>
          <w:rFonts w:ascii="Garamond" w:eastAsiaTheme="minorHAnsi" w:hAnsi="Garamond" w:cs="Arial"/>
          <w:i/>
          <w:sz w:val="24"/>
          <w:szCs w:val="24"/>
        </w:rPr>
        <w:t xml:space="preserve"> </w:t>
      </w:r>
      <w:r w:rsidR="000350B1" w:rsidRPr="003A1174">
        <w:rPr>
          <w:rFonts w:ascii="Garamond" w:eastAsiaTheme="minorHAnsi" w:hAnsi="Garamond" w:cs="Arial"/>
          <w:i/>
          <w:sz w:val="24"/>
          <w:szCs w:val="24"/>
        </w:rPr>
        <w:t>violência</w:t>
      </w:r>
      <w:r w:rsidR="00A862C2" w:rsidRPr="003A1174">
        <w:rPr>
          <w:rFonts w:ascii="Garamond" w:eastAsiaTheme="minorHAnsi" w:hAnsi="Garamond" w:cs="Arial"/>
          <w:i/>
          <w:sz w:val="24"/>
          <w:szCs w:val="24"/>
        </w:rPr>
        <w:t xml:space="preserve"> política contra </w:t>
      </w:r>
      <w:r w:rsidRPr="003A1174">
        <w:rPr>
          <w:rFonts w:ascii="Garamond" w:eastAsiaTheme="minorHAnsi" w:hAnsi="Garamond" w:cs="Arial"/>
          <w:i/>
          <w:sz w:val="24"/>
          <w:szCs w:val="24"/>
        </w:rPr>
        <w:t xml:space="preserve">as </w:t>
      </w:r>
      <w:r w:rsidR="00054EE0" w:rsidRPr="003A1174">
        <w:rPr>
          <w:rFonts w:ascii="Garamond" w:eastAsiaTheme="minorHAnsi" w:hAnsi="Garamond" w:cs="Arial"/>
          <w:i/>
          <w:sz w:val="24"/>
          <w:szCs w:val="24"/>
        </w:rPr>
        <w:t>mulheres</w:t>
      </w:r>
      <w:r w:rsidR="001D237C" w:rsidRPr="003A1174">
        <w:rPr>
          <w:rFonts w:ascii="Garamond" w:eastAsiaTheme="minorHAnsi" w:hAnsi="Garamond" w:cs="Arial"/>
          <w:i/>
          <w:sz w:val="24"/>
          <w:szCs w:val="24"/>
        </w:rPr>
        <w:t>,</w:t>
      </w:r>
      <w:r w:rsidR="001D237C" w:rsidRPr="003A1174">
        <w:rPr>
          <w:rFonts w:ascii="Garamond" w:eastAsiaTheme="minorHAnsi" w:hAnsi="Garamond" w:cs="Arial"/>
          <w:sz w:val="24"/>
          <w:szCs w:val="24"/>
        </w:rPr>
        <w:t xml:space="preserve"> que</w:t>
      </w:r>
      <w:r w:rsidRPr="003A1174">
        <w:rPr>
          <w:rFonts w:ascii="Garamond" w:eastAsiaTheme="minorHAnsi" w:hAnsi="Garamond" w:cs="Arial"/>
          <w:sz w:val="24"/>
          <w:szCs w:val="24"/>
        </w:rPr>
        <w:t xml:space="preserve"> tipifica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sanciona </w:t>
      </w:r>
      <w:r w:rsidR="00A862C2" w:rsidRPr="003A1174">
        <w:rPr>
          <w:rFonts w:ascii="Garamond" w:eastAsiaTheme="minorHAnsi" w:hAnsi="Garamond" w:cs="Arial"/>
          <w:sz w:val="24"/>
          <w:szCs w:val="24"/>
        </w:rPr>
        <w:t xml:space="preserve">o </w:t>
      </w:r>
      <w:r w:rsidR="00A41573" w:rsidRPr="003A1174">
        <w:rPr>
          <w:rFonts w:ascii="Garamond" w:eastAsiaTheme="minorHAnsi" w:hAnsi="Garamond" w:cs="Arial"/>
          <w:sz w:val="24"/>
          <w:szCs w:val="24"/>
        </w:rPr>
        <w:t>assédio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A862C2"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Pr="003A1174">
        <w:rPr>
          <w:rFonts w:ascii="Garamond" w:eastAsiaTheme="minorHAnsi" w:hAnsi="Garamond" w:cs="Arial"/>
          <w:sz w:val="24"/>
          <w:szCs w:val="24"/>
        </w:rPr>
        <w:t xml:space="preserve"> política</w:t>
      </w:r>
      <w:r w:rsidR="00530082">
        <w:rPr>
          <w:rFonts w:ascii="Garamond" w:eastAsiaTheme="minorHAnsi" w:hAnsi="Garamond" w:cs="Arial"/>
          <w:sz w:val="24"/>
          <w:szCs w:val="24"/>
        </w:rPr>
        <w:t>,</w:t>
      </w:r>
      <w:r w:rsidRPr="003A1174">
        <w:rPr>
          <w:rFonts w:ascii="Garamond" w:eastAsiaTheme="minorHAnsi" w:hAnsi="Garamond" w:cs="Arial"/>
          <w:sz w:val="24"/>
          <w:szCs w:val="24"/>
        </w:rPr>
        <w:t xml:space="preserve"> e</w:t>
      </w:r>
      <w:r w:rsidR="00A862C2"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4E3A1A" w:rsidRPr="003A1174">
        <w:rPr>
          <w:rFonts w:ascii="Garamond" w:eastAsiaTheme="minorHAnsi" w:hAnsi="Garamond" w:cs="Arial"/>
          <w:sz w:val="24"/>
          <w:szCs w:val="24"/>
        </w:rPr>
        <w:t>razão</w:t>
      </w:r>
      <w:r w:rsidRPr="003A1174">
        <w:rPr>
          <w:rFonts w:ascii="Garamond" w:eastAsiaTheme="minorHAnsi" w:hAnsi="Garamond" w:cs="Arial"/>
          <w:sz w:val="24"/>
          <w:szCs w:val="24"/>
        </w:rPr>
        <w:t xml:space="preserve"> de género</w:t>
      </w:r>
      <w:r w:rsidR="00530082">
        <w:rPr>
          <w:rFonts w:ascii="Garamond" w:eastAsiaTheme="minorHAnsi" w:hAnsi="Garamond" w:cs="Arial"/>
          <w:sz w:val="24"/>
          <w:szCs w:val="24"/>
        </w:rPr>
        <w:t>,</w:t>
      </w:r>
      <w:r w:rsidRPr="003A1174">
        <w:rPr>
          <w:rFonts w:ascii="Garamond" w:eastAsiaTheme="minorHAnsi" w:hAnsi="Garamond" w:cs="Arial"/>
          <w:sz w:val="24"/>
          <w:szCs w:val="24"/>
        </w:rPr>
        <w:t xml:space="preserve"> por ser</w:t>
      </w:r>
      <w:r w:rsidR="00A862C2" w:rsidRPr="003A1174">
        <w:rPr>
          <w:rFonts w:ascii="Garamond" w:eastAsiaTheme="minorHAnsi" w:hAnsi="Garamond" w:cs="Arial"/>
          <w:sz w:val="24"/>
          <w:szCs w:val="24"/>
        </w:rPr>
        <w:t>em</w:t>
      </w:r>
      <w:r w:rsidRPr="003A1174">
        <w:rPr>
          <w:rFonts w:ascii="Garamond" w:eastAsiaTheme="minorHAnsi" w:hAnsi="Garamond" w:cs="Arial"/>
          <w:sz w:val="24"/>
          <w:szCs w:val="24"/>
        </w:rPr>
        <w:t xml:space="preserve"> formas de </w:t>
      </w:r>
      <w:r w:rsidR="0017447A" w:rsidRPr="003A1174">
        <w:rPr>
          <w:rFonts w:ascii="Garamond" w:eastAsiaTheme="minorHAnsi" w:hAnsi="Garamond" w:cs="Arial"/>
          <w:sz w:val="24"/>
          <w:szCs w:val="24"/>
        </w:rPr>
        <w:t>discriminação</w:t>
      </w:r>
      <w:r w:rsidRPr="003A1174">
        <w:rPr>
          <w:rFonts w:ascii="Garamond" w:eastAsiaTheme="minorHAnsi" w:hAnsi="Garamond" w:cs="Arial"/>
          <w:sz w:val="24"/>
          <w:szCs w:val="24"/>
        </w:rPr>
        <w:t xml:space="preserve"> que </w:t>
      </w:r>
      <w:r w:rsidR="001647F2" w:rsidRPr="003A1174">
        <w:rPr>
          <w:rFonts w:ascii="Garamond" w:eastAsiaTheme="minorHAnsi" w:hAnsi="Garamond" w:cs="Arial"/>
          <w:sz w:val="24"/>
          <w:szCs w:val="24"/>
        </w:rPr>
        <w:t>estão</w:t>
      </w:r>
      <w:r w:rsidRPr="003A1174">
        <w:rPr>
          <w:rFonts w:ascii="Garamond" w:eastAsiaTheme="minorHAnsi" w:hAnsi="Garamond" w:cs="Arial"/>
          <w:sz w:val="24"/>
          <w:szCs w:val="24"/>
        </w:rPr>
        <w:t xml:space="preserve"> </w:t>
      </w:r>
      <w:r w:rsidR="00D4575C" w:rsidRPr="003A1174">
        <w:rPr>
          <w:rFonts w:ascii="Garamond" w:eastAsiaTheme="minorHAnsi" w:hAnsi="Garamond" w:cs="Arial"/>
          <w:sz w:val="24"/>
          <w:szCs w:val="24"/>
        </w:rPr>
        <w:t xml:space="preserve">a menosprezar </w:t>
      </w:r>
      <w:r w:rsidRPr="003A1174">
        <w:rPr>
          <w:rFonts w:ascii="Garamond" w:eastAsiaTheme="minorHAnsi" w:hAnsi="Garamond" w:cs="Arial"/>
          <w:sz w:val="24"/>
          <w:szCs w:val="24"/>
        </w:rPr>
        <w:t xml:space="preserve">a </w:t>
      </w:r>
      <w:r w:rsidR="002D1021" w:rsidRPr="003A1174">
        <w:rPr>
          <w:rFonts w:ascii="Garamond" w:eastAsiaTheme="minorHAnsi" w:hAnsi="Garamond" w:cs="Arial"/>
          <w:sz w:val="24"/>
          <w:szCs w:val="24"/>
        </w:rPr>
        <w:t>integridade</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Pr="003A1174">
        <w:rPr>
          <w:rFonts w:ascii="Garamond" w:eastAsiaTheme="minorHAnsi" w:hAnsi="Garamond" w:cs="Arial"/>
          <w:sz w:val="24"/>
          <w:szCs w:val="24"/>
        </w:rPr>
        <w:t xml:space="preserve"> </w:t>
      </w:r>
      <w:r w:rsidR="00054EE0" w:rsidRPr="002B6999">
        <w:rPr>
          <w:rFonts w:ascii="Garamond" w:eastAsiaTheme="minorHAnsi" w:hAnsi="Garamond" w:cs="Arial"/>
          <w:sz w:val="24"/>
          <w:szCs w:val="24"/>
        </w:rPr>
        <w:t>mulheres</w:t>
      </w:r>
      <w:r w:rsidRPr="002B6999">
        <w:rPr>
          <w:rFonts w:ascii="Garamond" w:eastAsiaTheme="minorHAnsi" w:hAnsi="Garamond" w:cs="Arial"/>
          <w:sz w:val="24"/>
          <w:szCs w:val="24"/>
        </w:rPr>
        <w:t xml:space="preserve"> políticas</w:t>
      </w:r>
      <w:r w:rsidRPr="003A1174">
        <w:rPr>
          <w:rFonts w:ascii="Garamond" w:eastAsiaTheme="minorHAnsi" w:hAnsi="Garamond" w:cs="Arial"/>
          <w:sz w:val="24"/>
          <w:szCs w:val="24"/>
        </w:rPr>
        <w:t xml:space="preserve"> </w:t>
      </w:r>
      <w:r w:rsidR="00D4575C" w:rsidRPr="003A1174">
        <w:rPr>
          <w:rFonts w:ascii="Garamond" w:eastAsiaTheme="minorHAnsi" w:hAnsi="Garamond" w:cs="Arial"/>
          <w:sz w:val="24"/>
          <w:szCs w:val="24"/>
        </w:rPr>
        <w:t>no país, impedi</w:t>
      </w:r>
      <w:r w:rsidRPr="003A1174">
        <w:rPr>
          <w:rFonts w:ascii="Garamond" w:eastAsiaTheme="minorHAnsi" w:hAnsi="Garamond" w:cs="Arial"/>
          <w:sz w:val="24"/>
          <w:szCs w:val="24"/>
        </w:rPr>
        <w:t>ndo</w:t>
      </w:r>
      <w:r w:rsidR="00530082">
        <w:rPr>
          <w:rFonts w:ascii="Garamond" w:eastAsiaTheme="minorHAnsi" w:hAnsi="Garamond" w:cs="Arial"/>
          <w:sz w:val="24"/>
          <w:szCs w:val="24"/>
        </w:rPr>
        <w:t>,</w:t>
      </w:r>
      <w:r w:rsidRPr="003A1174">
        <w:rPr>
          <w:rFonts w:ascii="Garamond" w:eastAsiaTheme="minorHAnsi" w:hAnsi="Garamond" w:cs="Arial"/>
          <w:sz w:val="24"/>
          <w:szCs w:val="24"/>
        </w:rPr>
        <w:t xml:space="preserve"> </w:t>
      </w:r>
      <w:r w:rsidR="001D237C" w:rsidRPr="003A1174">
        <w:rPr>
          <w:rFonts w:ascii="Garamond" w:eastAsiaTheme="minorHAnsi" w:hAnsi="Garamond" w:cs="Arial"/>
          <w:sz w:val="24"/>
          <w:szCs w:val="24"/>
        </w:rPr>
        <w:t>d</w:t>
      </w:r>
      <w:r w:rsidR="00D4575C" w:rsidRPr="003A1174">
        <w:rPr>
          <w:rFonts w:ascii="Garamond" w:eastAsiaTheme="minorHAnsi" w:hAnsi="Garamond" w:cs="Arial"/>
          <w:sz w:val="24"/>
          <w:szCs w:val="24"/>
        </w:rPr>
        <w:t>e</w:t>
      </w:r>
      <w:r w:rsidR="001D237C" w:rsidRPr="003A1174">
        <w:rPr>
          <w:rFonts w:ascii="Garamond" w:eastAsiaTheme="minorHAnsi" w:hAnsi="Garamond" w:cs="Arial"/>
          <w:sz w:val="24"/>
          <w:szCs w:val="24"/>
        </w:rPr>
        <w:t>ste modo</w:t>
      </w:r>
      <w:r w:rsidR="00530082">
        <w:rPr>
          <w:rFonts w:ascii="Garamond" w:eastAsiaTheme="minorHAnsi" w:hAnsi="Garamond" w:cs="Arial"/>
          <w:sz w:val="24"/>
          <w:szCs w:val="24"/>
        </w:rPr>
        <w:t>,</w:t>
      </w:r>
      <w:r w:rsidR="001D237C" w:rsidRPr="003A1174">
        <w:rPr>
          <w:rFonts w:ascii="Garamond" w:eastAsiaTheme="minorHAnsi" w:hAnsi="Garamond" w:cs="Arial"/>
          <w:sz w:val="24"/>
          <w:szCs w:val="24"/>
        </w:rPr>
        <w:t xml:space="preserve"> </w:t>
      </w:r>
      <w:r w:rsidR="00D4575C" w:rsidRPr="003A1174">
        <w:rPr>
          <w:rFonts w:ascii="Garamond" w:eastAsiaTheme="minorHAnsi" w:hAnsi="Garamond" w:cs="Arial"/>
          <w:sz w:val="24"/>
          <w:szCs w:val="24"/>
        </w:rPr>
        <w:t>o</w:t>
      </w:r>
      <w:r w:rsidRPr="003A1174">
        <w:rPr>
          <w:rFonts w:ascii="Garamond" w:eastAsiaTheme="minorHAnsi" w:hAnsi="Garamond" w:cs="Arial"/>
          <w:sz w:val="24"/>
          <w:szCs w:val="24"/>
        </w:rPr>
        <w:t xml:space="preserve"> </w:t>
      </w:r>
      <w:r w:rsidR="00731B19" w:rsidRPr="003A1174">
        <w:rPr>
          <w:rFonts w:ascii="Garamond" w:eastAsiaTheme="minorHAnsi" w:hAnsi="Garamond" w:cs="Arial"/>
          <w:sz w:val="24"/>
          <w:szCs w:val="24"/>
        </w:rPr>
        <w:t>exercício</w:t>
      </w:r>
      <w:r w:rsidRPr="003A1174">
        <w:rPr>
          <w:rFonts w:ascii="Garamond" w:eastAsiaTheme="minorHAnsi" w:hAnsi="Garamond" w:cs="Arial"/>
          <w:sz w:val="24"/>
          <w:szCs w:val="24"/>
        </w:rPr>
        <w:t xml:space="preserve"> d</w:t>
      </w:r>
      <w:r w:rsidR="00D4575C" w:rsidRPr="003A1174">
        <w:rPr>
          <w:rFonts w:ascii="Garamond" w:eastAsiaTheme="minorHAnsi" w:hAnsi="Garamond" w:cs="Arial"/>
          <w:sz w:val="24"/>
          <w:szCs w:val="24"/>
        </w:rPr>
        <w:t>a</w:t>
      </w:r>
      <w:r w:rsidRPr="003A1174">
        <w:rPr>
          <w:rFonts w:ascii="Garamond" w:eastAsiaTheme="minorHAnsi" w:hAnsi="Garamond" w:cs="Arial"/>
          <w:sz w:val="24"/>
          <w:szCs w:val="24"/>
        </w:rPr>
        <w:t xml:space="preserve"> su</w:t>
      </w:r>
      <w:r w:rsidR="00D4575C" w:rsidRPr="003A1174">
        <w:rPr>
          <w:rFonts w:ascii="Garamond" w:eastAsiaTheme="minorHAnsi" w:hAnsi="Garamond" w:cs="Arial"/>
          <w:sz w:val="24"/>
          <w:szCs w:val="24"/>
        </w:rPr>
        <w:t>a</w:t>
      </w:r>
      <w:r w:rsidRPr="003A1174">
        <w:rPr>
          <w:rFonts w:ascii="Garamond" w:eastAsiaTheme="minorHAnsi" w:hAnsi="Garamond" w:cs="Arial"/>
          <w:sz w:val="24"/>
          <w:szCs w:val="24"/>
        </w:rPr>
        <w:t xml:space="preserve"> plena </w:t>
      </w:r>
      <w:r w:rsidR="00C90370" w:rsidRPr="003A1174">
        <w:rPr>
          <w:rFonts w:ascii="Garamond" w:eastAsiaTheme="minorHAnsi" w:hAnsi="Garamond" w:cs="Arial"/>
          <w:sz w:val="24"/>
          <w:szCs w:val="24"/>
        </w:rPr>
        <w:t>cidadania</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ob</w:t>
      </w:r>
      <w:r w:rsidR="00D4575C" w:rsidRPr="003A1174">
        <w:rPr>
          <w:rFonts w:ascii="Garamond" w:eastAsiaTheme="minorHAnsi" w:hAnsi="Garamond" w:cs="Arial"/>
          <w:sz w:val="24"/>
          <w:szCs w:val="24"/>
        </w:rPr>
        <w:t>r</w:t>
      </w:r>
      <w:r w:rsidRPr="003A1174">
        <w:rPr>
          <w:rFonts w:ascii="Garamond" w:eastAsiaTheme="minorHAnsi" w:hAnsi="Garamond" w:cs="Arial"/>
          <w:sz w:val="24"/>
          <w:szCs w:val="24"/>
        </w:rPr>
        <w:t>ig</w:t>
      </w:r>
      <w:r w:rsidR="00D4575C" w:rsidRPr="003A1174">
        <w:rPr>
          <w:rFonts w:ascii="Garamond" w:eastAsiaTheme="minorHAnsi" w:hAnsi="Garamond" w:cs="Arial"/>
          <w:sz w:val="24"/>
          <w:szCs w:val="24"/>
        </w:rPr>
        <w:t xml:space="preserve">ando-as </w:t>
      </w:r>
      <w:r w:rsidRPr="003A1174">
        <w:rPr>
          <w:rFonts w:ascii="Garamond" w:eastAsiaTheme="minorHAnsi" w:hAnsi="Garamond" w:cs="Arial"/>
          <w:sz w:val="24"/>
          <w:szCs w:val="24"/>
        </w:rPr>
        <w:t xml:space="preserve">a realizar </w:t>
      </w:r>
      <w:r w:rsidR="00530082">
        <w:rPr>
          <w:rFonts w:ascii="Garamond" w:eastAsiaTheme="minorHAnsi" w:hAnsi="Garamond" w:cs="Arial"/>
          <w:sz w:val="24"/>
          <w:szCs w:val="24"/>
        </w:rPr>
        <w:t>-</w:t>
      </w:r>
      <w:r w:rsidR="00D4575C" w:rsidRPr="003A1174">
        <w:rPr>
          <w:rFonts w:ascii="Garamond" w:eastAsiaTheme="minorHAnsi" w:hAnsi="Garamond" w:cs="Arial"/>
          <w:sz w:val="24"/>
          <w:szCs w:val="24"/>
        </w:rPr>
        <w:t xml:space="preserve"> </w:t>
      </w:r>
      <w:r w:rsidRPr="003A1174">
        <w:rPr>
          <w:rFonts w:ascii="Garamond" w:eastAsiaTheme="minorHAnsi" w:hAnsi="Garamond" w:cs="Arial"/>
          <w:sz w:val="24"/>
          <w:szCs w:val="24"/>
        </w:rPr>
        <w:t>contra</w:t>
      </w:r>
      <w:r w:rsidR="00D4575C" w:rsidRPr="003A1174">
        <w:rPr>
          <w:rFonts w:ascii="Garamond" w:eastAsiaTheme="minorHAnsi" w:hAnsi="Garamond" w:cs="Arial"/>
          <w:sz w:val="24"/>
          <w:szCs w:val="24"/>
        </w:rPr>
        <w:t xml:space="preserve"> a sua</w:t>
      </w:r>
      <w:r w:rsidRPr="003A1174">
        <w:rPr>
          <w:rFonts w:ascii="Garamond" w:eastAsiaTheme="minorHAnsi" w:hAnsi="Garamond" w:cs="Arial"/>
          <w:sz w:val="24"/>
          <w:szCs w:val="24"/>
        </w:rPr>
        <w:t xml:space="preserve"> </w:t>
      </w:r>
      <w:r w:rsidR="002A59E7" w:rsidRPr="003A1174">
        <w:rPr>
          <w:rFonts w:ascii="Garamond" w:eastAsiaTheme="minorHAnsi" w:hAnsi="Garamond" w:cs="Arial"/>
          <w:sz w:val="24"/>
          <w:szCs w:val="24"/>
        </w:rPr>
        <w:t>vontade</w:t>
      </w:r>
      <w:r w:rsidR="00D4575C" w:rsidRPr="003A1174">
        <w:rPr>
          <w:rFonts w:ascii="Garamond" w:eastAsiaTheme="minorHAnsi" w:hAnsi="Garamond" w:cs="Arial"/>
          <w:sz w:val="24"/>
          <w:szCs w:val="24"/>
        </w:rPr>
        <w:t xml:space="preserve"> </w:t>
      </w:r>
      <w:r w:rsidR="00530082">
        <w:rPr>
          <w:rFonts w:ascii="Garamond" w:eastAsiaTheme="minorHAnsi" w:hAnsi="Garamond" w:cs="Arial"/>
          <w:sz w:val="24"/>
          <w:szCs w:val="24"/>
        </w:rPr>
        <w:t>-</w:t>
      </w:r>
      <w:r w:rsidR="00D4575C" w:rsidRPr="003A1174">
        <w:rPr>
          <w:rFonts w:ascii="Garamond" w:eastAsiaTheme="minorHAnsi" w:hAnsi="Garamond" w:cs="Arial"/>
          <w:sz w:val="24"/>
          <w:szCs w:val="24"/>
        </w:rPr>
        <w:t xml:space="preserve"> um</w:t>
      </w:r>
      <w:r w:rsidRPr="003A1174">
        <w:rPr>
          <w:rFonts w:ascii="Garamond" w:eastAsiaTheme="minorHAnsi" w:hAnsi="Garamond" w:cs="Arial"/>
          <w:sz w:val="24"/>
          <w:szCs w:val="24"/>
        </w:rPr>
        <w:t xml:space="preserve">a </w:t>
      </w:r>
      <w:r w:rsidR="00077461" w:rsidRPr="003A1174">
        <w:rPr>
          <w:rFonts w:ascii="Garamond" w:eastAsiaTheme="minorHAnsi" w:hAnsi="Garamond" w:cs="Arial"/>
          <w:sz w:val="24"/>
          <w:szCs w:val="24"/>
        </w:rPr>
        <w:t>ação</w:t>
      </w:r>
      <w:r w:rsidRPr="003A1174">
        <w:rPr>
          <w:rFonts w:ascii="Garamond" w:eastAsiaTheme="minorHAnsi" w:hAnsi="Garamond" w:cs="Arial"/>
          <w:sz w:val="24"/>
          <w:szCs w:val="24"/>
        </w:rPr>
        <w:t xml:space="preserve"> o</w:t>
      </w:r>
      <w:r w:rsidR="00D4575C" w:rsidRPr="003A1174">
        <w:rPr>
          <w:rFonts w:ascii="Garamond" w:eastAsiaTheme="minorHAnsi" w:hAnsi="Garamond" w:cs="Arial"/>
          <w:sz w:val="24"/>
          <w:szCs w:val="24"/>
        </w:rPr>
        <w:t>u um</w:t>
      </w:r>
      <w:r w:rsidRPr="003A1174">
        <w:rPr>
          <w:rFonts w:ascii="Garamond" w:eastAsiaTheme="minorHAnsi" w:hAnsi="Garamond" w:cs="Arial"/>
          <w:sz w:val="24"/>
          <w:szCs w:val="24"/>
        </w:rPr>
        <w:t xml:space="preserve">a </w:t>
      </w:r>
      <w:r w:rsidR="00190B59" w:rsidRPr="003A1174">
        <w:rPr>
          <w:rFonts w:ascii="Garamond" w:eastAsiaTheme="minorHAnsi" w:hAnsi="Garamond" w:cs="Arial"/>
          <w:sz w:val="24"/>
          <w:szCs w:val="24"/>
        </w:rPr>
        <w:t>omissão</w:t>
      </w:r>
      <w:r w:rsidRPr="003A1174">
        <w:rPr>
          <w:rFonts w:ascii="Garamond" w:eastAsiaTheme="minorHAnsi" w:hAnsi="Garamond" w:cs="Arial"/>
          <w:sz w:val="24"/>
          <w:szCs w:val="24"/>
        </w:rPr>
        <w:t xml:space="preserve"> </w:t>
      </w:r>
      <w:r w:rsidR="009461E1" w:rsidRPr="003A1174">
        <w:rPr>
          <w:rFonts w:ascii="Garamond" w:eastAsiaTheme="minorHAnsi" w:hAnsi="Garamond" w:cs="Arial"/>
          <w:sz w:val="24"/>
          <w:szCs w:val="24"/>
        </w:rPr>
        <w:t>contrária</w:t>
      </w:r>
      <w:r w:rsidRPr="003A1174">
        <w:rPr>
          <w:rFonts w:ascii="Garamond" w:eastAsiaTheme="minorHAnsi" w:hAnsi="Garamond" w:cs="Arial"/>
          <w:sz w:val="24"/>
          <w:szCs w:val="24"/>
        </w:rPr>
        <w:t xml:space="preserve"> a</w:t>
      </w:r>
      <w:r w:rsidR="00D4575C" w:rsidRPr="003A1174">
        <w:rPr>
          <w:rFonts w:ascii="Garamond" w:eastAsiaTheme="minorHAnsi" w:hAnsi="Garamond" w:cs="Arial"/>
          <w:sz w:val="24"/>
          <w:szCs w:val="24"/>
        </w:rPr>
        <w:t>o</w:t>
      </w:r>
      <w:r w:rsidRPr="003A1174">
        <w:rPr>
          <w:rFonts w:ascii="Garamond" w:eastAsiaTheme="minorHAnsi" w:hAnsi="Garamond" w:cs="Arial"/>
          <w:sz w:val="24"/>
          <w:szCs w:val="24"/>
        </w:rPr>
        <w:t xml:space="preserve"> </w:t>
      </w:r>
      <w:r w:rsidR="00AF192F" w:rsidRPr="003A1174">
        <w:rPr>
          <w:rFonts w:ascii="Garamond" w:eastAsiaTheme="minorHAnsi" w:hAnsi="Garamond" w:cs="Arial"/>
          <w:sz w:val="24"/>
          <w:szCs w:val="24"/>
        </w:rPr>
        <w:t>livre</w:t>
      </w:r>
      <w:r w:rsidRPr="003A1174">
        <w:rPr>
          <w:rFonts w:ascii="Garamond" w:eastAsiaTheme="minorHAnsi" w:hAnsi="Garamond" w:cs="Arial"/>
          <w:sz w:val="24"/>
          <w:szCs w:val="24"/>
        </w:rPr>
        <w:t xml:space="preserve"> </w:t>
      </w:r>
      <w:r w:rsidR="00731B19" w:rsidRPr="003A1174">
        <w:rPr>
          <w:rFonts w:ascii="Garamond" w:eastAsiaTheme="minorHAnsi" w:hAnsi="Garamond" w:cs="Arial"/>
          <w:sz w:val="24"/>
          <w:szCs w:val="24"/>
        </w:rPr>
        <w:t>exercício</w:t>
      </w:r>
      <w:r w:rsidRPr="003A1174">
        <w:rPr>
          <w:rFonts w:ascii="Garamond" w:eastAsiaTheme="minorHAnsi" w:hAnsi="Garamond" w:cs="Arial"/>
          <w:sz w:val="24"/>
          <w:szCs w:val="24"/>
        </w:rPr>
        <w:t xml:space="preserve"> d</w:t>
      </w:r>
      <w:r w:rsidR="00D4575C" w:rsidRPr="003A1174">
        <w:rPr>
          <w:rFonts w:ascii="Garamond" w:eastAsiaTheme="minorHAnsi" w:hAnsi="Garamond" w:cs="Arial"/>
          <w:sz w:val="24"/>
          <w:szCs w:val="24"/>
        </w:rPr>
        <w:t xml:space="preserve">os seus </w:t>
      </w:r>
      <w:r w:rsidR="00886D6A" w:rsidRPr="003A1174">
        <w:rPr>
          <w:rFonts w:ascii="Garamond" w:eastAsiaTheme="minorHAnsi" w:hAnsi="Garamond" w:cs="Arial"/>
          <w:sz w:val="24"/>
          <w:szCs w:val="24"/>
        </w:rPr>
        <w:t>direito</w:t>
      </w:r>
      <w:r w:rsidRPr="003A1174">
        <w:rPr>
          <w:rFonts w:ascii="Garamond" w:eastAsiaTheme="minorHAnsi" w:hAnsi="Garamond" w:cs="Arial"/>
          <w:sz w:val="24"/>
          <w:szCs w:val="24"/>
        </w:rPr>
        <w:t xml:space="preserve">s políticos. </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D96FD0" w:rsidP="008719D4">
      <w:pPr>
        <w:pStyle w:val="Prrafodelista"/>
        <w:numPr>
          <w:ilvl w:val="0"/>
          <w:numId w:val="13"/>
        </w:numPr>
        <w:spacing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D4575C" w:rsidRPr="003A1174">
        <w:rPr>
          <w:rFonts w:ascii="Garamond" w:hAnsi="Garamond" w:cs="Arial"/>
          <w:color w:val="auto"/>
          <w:sz w:val="24"/>
          <w:szCs w:val="24"/>
        </w:rPr>
        <w:t xml:space="preserve"> d</w:t>
      </w:r>
      <w:r w:rsidR="00EC682B" w:rsidRPr="003A1174">
        <w:rPr>
          <w:rFonts w:ascii="Garamond" w:hAnsi="Garamond" w:cs="Arial"/>
          <w:color w:val="auto"/>
          <w:sz w:val="24"/>
          <w:szCs w:val="24"/>
        </w:rPr>
        <w:t>a</w:t>
      </w:r>
      <w:r w:rsidR="00D4575C" w:rsidRPr="003A1174">
        <w:rPr>
          <w:rFonts w:ascii="Garamond" w:hAnsi="Garamond" w:cs="Arial"/>
          <w:color w:val="auto"/>
          <w:sz w:val="24"/>
          <w:szCs w:val="24"/>
        </w:rPr>
        <w:t>s</w:t>
      </w:r>
      <w:r w:rsidR="00EC682B"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EC682B" w:rsidRPr="003A1174">
        <w:rPr>
          <w:rFonts w:ascii="Garamond" w:hAnsi="Garamond" w:cs="Arial"/>
          <w:color w:val="auto"/>
          <w:sz w:val="24"/>
          <w:szCs w:val="24"/>
        </w:rPr>
        <w:t xml:space="preserve"> </w:t>
      </w:r>
    </w:p>
    <w:p w:rsidR="00EC682B" w:rsidRPr="003A1174" w:rsidRDefault="00D4575C"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No </w:t>
      </w:r>
      <w:r w:rsidR="00886D6A" w:rsidRPr="003A1174">
        <w:rPr>
          <w:rFonts w:ascii="Garamond" w:eastAsiaTheme="minorHAnsi" w:hAnsi="Garamond" w:cs="Arial"/>
          <w:sz w:val="24"/>
          <w:szCs w:val="24"/>
        </w:rPr>
        <w:t>acesso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à </w:t>
      </w:r>
      <w:r w:rsidR="00FC1F7F" w:rsidRPr="003A1174">
        <w:rPr>
          <w:rFonts w:ascii="Garamond" w:eastAsiaTheme="minorHAnsi" w:hAnsi="Garamond" w:cs="Arial"/>
          <w:sz w:val="24"/>
          <w:szCs w:val="24"/>
        </w:rPr>
        <w:t>justiça</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deram-</w:t>
      </w:r>
      <w:r w:rsidR="00EC682B" w:rsidRPr="003A1174">
        <w:rPr>
          <w:rFonts w:ascii="Garamond" w:eastAsiaTheme="minorHAnsi" w:hAnsi="Garamond" w:cs="Arial"/>
          <w:sz w:val="24"/>
          <w:szCs w:val="24"/>
        </w:rPr>
        <w:t xml:space="preserve">se </w:t>
      </w:r>
      <w:r w:rsidR="001F2F8B" w:rsidRPr="003A1174">
        <w:rPr>
          <w:rFonts w:ascii="Garamond" w:eastAsiaTheme="minorHAnsi" w:hAnsi="Garamond" w:cs="Arial"/>
          <w:sz w:val="24"/>
          <w:szCs w:val="24"/>
        </w:rPr>
        <w:t>passo</w:t>
      </w:r>
      <w:r w:rsidR="00EC682B" w:rsidRPr="003A1174">
        <w:rPr>
          <w:rFonts w:ascii="Garamond" w:eastAsiaTheme="minorHAnsi" w:hAnsi="Garamond" w:cs="Arial"/>
          <w:sz w:val="24"/>
          <w:szCs w:val="24"/>
        </w:rPr>
        <w:t>s concretos a fi</w:t>
      </w:r>
      <w:r w:rsidRPr="003A1174">
        <w:rPr>
          <w:rFonts w:ascii="Garamond" w:eastAsiaTheme="minorHAnsi" w:hAnsi="Garamond" w:cs="Arial"/>
          <w:sz w:val="24"/>
          <w:szCs w:val="24"/>
        </w:rPr>
        <w:t xml:space="preserve">m de proporcionar uma </w:t>
      </w:r>
      <w:r w:rsidR="008278C4" w:rsidRPr="003A1174">
        <w:rPr>
          <w:rFonts w:ascii="Garamond" w:eastAsiaTheme="minorHAnsi" w:hAnsi="Garamond" w:cs="Arial"/>
          <w:sz w:val="24"/>
          <w:szCs w:val="24"/>
        </w:rPr>
        <w:t>atenção</w:t>
      </w:r>
      <w:r w:rsidRPr="003A1174">
        <w:rPr>
          <w:rFonts w:ascii="Garamond" w:eastAsiaTheme="minorHAnsi" w:hAnsi="Garamond" w:cs="Arial"/>
          <w:sz w:val="24"/>
          <w:szCs w:val="24"/>
        </w:rPr>
        <w:t xml:space="preserve"> mai</w:t>
      </w:r>
      <w:r w:rsidR="00EC682B" w:rsidRPr="003A1174">
        <w:rPr>
          <w:rFonts w:ascii="Garamond" w:eastAsiaTheme="minorHAnsi" w:hAnsi="Garamond" w:cs="Arial"/>
          <w:sz w:val="24"/>
          <w:szCs w:val="24"/>
        </w:rPr>
        <w:t xml:space="preserve">s integral </w:t>
      </w:r>
      <w:r w:rsidRPr="003A1174">
        <w:rPr>
          <w:rFonts w:ascii="Garamond" w:eastAsiaTheme="minorHAnsi" w:hAnsi="Garamond" w:cs="Arial"/>
          <w:sz w:val="24"/>
          <w:szCs w:val="24"/>
        </w:rPr>
        <w:t>à</w:t>
      </w:r>
      <w:r w:rsidR="00EC682B" w:rsidRPr="003A1174">
        <w:rPr>
          <w:rFonts w:ascii="Garamond" w:eastAsiaTheme="minorHAnsi" w:hAnsi="Garamond" w:cs="Arial"/>
          <w:sz w:val="24"/>
          <w:szCs w:val="24"/>
        </w:rPr>
        <w:t xml:space="preserve">s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w:t>
      </w:r>
      <w:r w:rsidR="003F012B" w:rsidRPr="003A1174">
        <w:rPr>
          <w:rFonts w:ascii="Garamond" w:eastAsiaTheme="minorHAnsi" w:hAnsi="Garamond" w:cs="Arial"/>
          <w:sz w:val="24"/>
          <w:szCs w:val="24"/>
        </w:rPr>
        <w:t>vítima</w:t>
      </w:r>
      <w:r w:rsidR="00EC682B"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de eliminar </w:t>
      </w:r>
      <w:r w:rsidR="00EC682B"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EC682B" w:rsidRPr="003A1174">
        <w:rPr>
          <w:rFonts w:ascii="Garamond" w:eastAsiaTheme="minorHAnsi" w:hAnsi="Garamond" w:cs="Arial"/>
          <w:sz w:val="24"/>
          <w:szCs w:val="24"/>
        </w:rPr>
        <w:t xml:space="preserve"> estrutural </w:t>
      </w:r>
      <w:r w:rsidRPr="003A1174">
        <w:rPr>
          <w:rFonts w:ascii="Garamond" w:eastAsiaTheme="minorHAnsi" w:hAnsi="Garamond" w:cs="Arial"/>
          <w:sz w:val="24"/>
          <w:szCs w:val="24"/>
        </w:rPr>
        <w:t>que estas e</w:t>
      </w:r>
      <w:r w:rsidR="00EC682B" w:rsidRPr="003A1174">
        <w:rPr>
          <w:rFonts w:ascii="Garamond" w:eastAsiaTheme="minorHAnsi" w:hAnsi="Garamond" w:cs="Arial"/>
          <w:sz w:val="24"/>
          <w:szCs w:val="24"/>
        </w:rPr>
        <w:t>nfrenta</w:t>
      </w:r>
      <w:r w:rsidRPr="003A1174">
        <w:rPr>
          <w:rFonts w:ascii="Garamond" w:eastAsiaTheme="minorHAnsi" w:hAnsi="Garamond" w:cs="Arial"/>
          <w:sz w:val="24"/>
          <w:szCs w:val="24"/>
        </w:rPr>
        <w:t>m</w:t>
      </w:r>
      <w:r w:rsidR="00EC682B" w:rsidRPr="003A1174">
        <w:rPr>
          <w:rFonts w:ascii="Garamond" w:eastAsiaTheme="minorHAnsi" w:hAnsi="Garamond" w:cs="Arial"/>
          <w:sz w:val="24"/>
          <w:szCs w:val="24"/>
        </w:rPr>
        <w:t xml:space="preserve"> </w:t>
      </w:r>
      <w:r w:rsidR="00863197" w:rsidRPr="003A1174">
        <w:rPr>
          <w:rFonts w:ascii="Garamond" w:eastAsiaTheme="minorHAnsi" w:hAnsi="Garamond" w:cs="Arial"/>
          <w:sz w:val="24"/>
          <w:szCs w:val="24"/>
        </w:rPr>
        <w:t>quando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têm de recorrer ao </w:t>
      </w:r>
      <w:r w:rsidR="00EC682B" w:rsidRPr="003A1174">
        <w:rPr>
          <w:rFonts w:ascii="Garamond" w:eastAsiaTheme="minorHAnsi" w:hAnsi="Garamond" w:cs="Arial"/>
          <w:sz w:val="24"/>
          <w:szCs w:val="24"/>
        </w:rPr>
        <w:t xml:space="preserve">sistema de </w:t>
      </w:r>
      <w:r w:rsidR="00FC1F7F" w:rsidRPr="003A1174">
        <w:rPr>
          <w:rFonts w:ascii="Garamond" w:eastAsiaTheme="minorHAnsi" w:hAnsi="Garamond" w:cs="Arial"/>
          <w:sz w:val="24"/>
          <w:szCs w:val="24"/>
        </w:rPr>
        <w:t>justiça</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costa-riquenho</w:t>
      </w:r>
      <w:r w:rsidR="00EC682B" w:rsidRPr="003A1174">
        <w:rPr>
          <w:rFonts w:ascii="Garamond" w:eastAsiaTheme="minorHAnsi" w:hAnsi="Garamond" w:cs="Arial"/>
          <w:sz w:val="24"/>
          <w:szCs w:val="24"/>
        </w:rPr>
        <w:t>.</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D4575C" w:rsidP="00D4575C">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Relativamente à </w:t>
      </w:r>
      <w:r w:rsidR="000350B1" w:rsidRPr="003A1174">
        <w:rPr>
          <w:rFonts w:ascii="Garamond" w:eastAsiaTheme="minorHAnsi" w:hAnsi="Garamond" w:cs="Arial"/>
          <w:sz w:val="24"/>
          <w:szCs w:val="24"/>
        </w:rPr>
        <w:t>violência</w:t>
      </w:r>
      <w:r w:rsidR="00EC682B" w:rsidRPr="003A1174">
        <w:rPr>
          <w:rFonts w:ascii="Garamond" w:eastAsiaTheme="minorHAnsi" w:hAnsi="Garamond" w:cs="Arial"/>
          <w:sz w:val="24"/>
          <w:szCs w:val="24"/>
        </w:rPr>
        <w:t xml:space="preserve"> doméstica, </w:t>
      </w:r>
      <w:r w:rsidRPr="003A1174">
        <w:rPr>
          <w:rFonts w:ascii="Garamond" w:eastAsiaTheme="minorHAnsi" w:hAnsi="Garamond" w:cs="Arial"/>
          <w:sz w:val="24"/>
          <w:szCs w:val="24"/>
        </w:rPr>
        <w:t>no passado,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n</w:t>
      </w:r>
      <w:r w:rsidR="001D237C" w:rsidRPr="003A1174">
        <w:rPr>
          <w:rFonts w:ascii="Garamond" w:eastAsiaTheme="minorHAnsi" w:hAnsi="Garamond" w:cs="Arial"/>
          <w:sz w:val="24"/>
          <w:szCs w:val="24"/>
        </w:rPr>
        <w:t xml:space="preserve">a </w:t>
      </w:r>
      <w:r w:rsidR="00233514" w:rsidRPr="003A1174">
        <w:rPr>
          <w:rFonts w:ascii="Garamond" w:eastAsiaTheme="minorHAnsi" w:hAnsi="Garamond" w:cs="Arial"/>
          <w:sz w:val="24"/>
          <w:szCs w:val="24"/>
        </w:rPr>
        <w:t>maioria</w:t>
      </w:r>
      <w:r w:rsidR="001D237C"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1D237C" w:rsidRPr="003A1174">
        <w:rPr>
          <w:rFonts w:ascii="Garamond" w:eastAsiaTheme="minorHAnsi" w:hAnsi="Garamond" w:cs="Arial"/>
          <w:sz w:val="24"/>
          <w:szCs w:val="24"/>
        </w:rPr>
        <w:t xml:space="preserve"> casos</w:t>
      </w:r>
      <w:r w:rsidR="005E1D74">
        <w:rPr>
          <w:rFonts w:ascii="Garamond" w:eastAsiaTheme="minorHAnsi" w:hAnsi="Garamond" w:cs="Arial"/>
          <w:sz w:val="24"/>
          <w:szCs w:val="24"/>
        </w:rPr>
        <w:t>,</w:t>
      </w:r>
      <w:r w:rsidR="001D237C"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as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n</w:t>
      </w:r>
      <w:r w:rsidRPr="003A1174">
        <w:rPr>
          <w:rFonts w:ascii="Garamond" w:eastAsiaTheme="minorHAnsi" w:hAnsi="Garamond" w:cs="Arial"/>
          <w:sz w:val="24"/>
          <w:szCs w:val="24"/>
        </w:rPr>
        <w:t>ã</w:t>
      </w:r>
      <w:r w:rsidR="00EC682B" w:rsidRPr="003A1174">
        <w:rPr>
          <w:rFonts w:ascii="Garamond" w:eastAsiaTheme="minorHAnsi" w:hAnsi="Garamond" w:cs="Arial"/>
          <w:sz w:val="24"/>
          <w:szCs w:val="24"/>
        </w:rPr>
        <w:t>o conta</w:t>
      </w:r>
      <w:r w:rsidRPr="003A1174">
        <w:rPr>
          <w:rFonts w:ascii="Garamond" w:eastAsiaTheme="minorHAnsi" w:hAnsi="Garamond" w:cs="Arial"/>
          <w:sz w:val="24"/>
          <w:szCs w:val="24"/>
        </w:rPr>
        <w:t>vam</w:t>
      </w:r>
      <w:r w:rsidR="005E1D74">
        <w:rPr>
          <w:rFonts w:ascii="Garamond" w:eastAsiaTheme="minorHAnsi" w:hAnsi="Garamond" w:cs="Arial"/>
          <w:sz w:val="24"/>
          <w:szCs w:val="24"/>
        </w:rPr>
        <w:t>,</w:t>
      </w:r>
      <w:r w:rsidRPr="003A1174">
        <w:rPr>
          <w:rFonts w:ascii="Garamond" w:eastAsiaTheme="minorHAnsi" w:hAnsi="Garamond" w:cs="Arial"/>
          <w:sz w:val="24"/>
          <w:szCs w:val="24"/>
        </w:rPr>
        <w:t xml:space="preserve"> nem com o apoio jurídico</w:t>
      </w:r>
      <w:r w:rsidR="005E1D74">
        <w:rPr>
          <w:rFonts w:ascii="Garamond" w:eastAsiaTheme="minorHAnsi" w:hAnsi="Garamond" w:cs="Arial"/>
          <w:sz w:val="24"/>
          <w:szCs w:val="24"/>
        </w:rPr>
        <w:t>,</w:t>
      </w:r>
      <w:r w:rsidRPr="003A1174">
        <w:rPr>
          <w:rFonts w:ascii="Garamond" w:eastAsiaTheme="minorHAnsi" w:hAnsi="Garamond" w:cs="Arial"/>
          <w:sz w:val="24"/>
          <w:szCs w:val="24"/>
        </w:rPr>
        <w:t xml:space="preserve"> nem com </w:t>
      </w:r>
      <w:r w:rsidR="00EC682B" w:rsidRPr="003A1174">
        <w:rPr>
          <w:rFonts w:ascii="Garamond" w:eastAsiaTheme="minorHAnsi" w:hAnsi="Garamond" w:cs="Arial"/>
          <w:sz w:val="24"/>
          <w:szCs w:val="24"/>
        </w:rPr>
        <w:t xml:space="preserve">os </w:t>
      </w:r>
      <w:r w:rsidRPr="003A1174">
        <w:rPr>
          <w:rFonts w:ascii="Garamond" w:eastAsiaTheme="minorHAnsi" w:hAnsi="Garamond" w:cs="Arial"/>
          <w:sz w:val="24"/>
          <w:szCs w:val="24"/>
        </w:rPr>
        <w:t>meios</w:t>
      </w:r>
      <w:r w:rsidR="00EC682B" w:rsidRPr="003A1174">
        <w:rPr>
          <w:rFonts w:ascii="Garamond" w:eastAsiaTheme="minorHAnsi" w:hAnsi="Garamond" w:cs="Arial"/>
          <w:sz w:val="24"/>
          <w:szCs w:val="24"/>
        </w:rPr>
        <w:t xml:space="preserve"> económicos para contratar </w:t>
      </w:r>
      <w:r w:rsidRPr="003A1174">
        <w:rPr>
          <w:rFonts w:ascii="Garamond" w:eastAsiaTheme="minorHAnsi" w:hAnsi="Garamond" w:cs="Arial"/>
          <w:sz w:val="24"/>
          <w:szCs w:val="24"/>
        </w:rPr>
        <w:t xml:space="preserve">os </w:t>
      </w:r>
      <w:r w:rsidR="002B6999">
        <w:rPr>
          <w:rFonts w:ascii="Garamond" w:eastAsiaTheme="minorHAnsi" w:hAnsi="Garamond" w:cs="Arial"/>
          <w:sz w:val="24"/>
          <w:szCs w:val="24"/>
        </w:rPr>
        <w:t xml:space="preserve">referidos </w:t>
      </w:r>
      <w:r w:rsidR="00B531F2" w:rsidRPr="003A1174">
        <w:rPr>
          <w:rFonts w:ascii="Garamond" w:eastAsiaTheme="minorHAnsi" w:hAnsi="Garamond" w:cs="Arial"/>
          <w:sz w:val="24"/>
          <w:szCs w:val="24"/>
        </w:rPr>
        <w:t>serviço</w:t>
      </w:r>
      <w:r w:rsidR="00EC682B" w:rsidRPr="003A1174">
        <w:rPr>
          <w:rFonts w:ascii="Garamond" w:eastAsiaTheme="minorHAnsi" w:hAnsi="Garamond" w:cs="Arial"/>
          <w:sz w:val="24"/>
          <w:szCs w:val="24"/>
        </w:rPr>
        <w:t>s. Co</w:t>
      </w:r>
      <w:r w:rsidRPr="003A1174">
        <w:rPr>
          <w:rFonts w:ascii="Garamond" w:eastAsiaTheme="minorHAnsi" w:hAnsi="Garamond" w:cs="Arial"/>
          <w:sz w:val="24"/>
          <w:szCs w:val="24"/>
        </w:rPr>
        <w:t xml:space="preserve">m </w:t>
      </w:r>
      <w:r w:rsidR="00EC682B" w:rsidRPr="003A1174">
        <w:rPr>
          <w:rFonts w:ascii="Garamond" w:eastAsiaTheme="minorHAnsi" w:hAnsi="Garamond" w:cs="Arial"/>
          <w:sz w:val="24"/>
          <w:szCs w:val="24"/>
        </w:rPr>
        <w:t xml:space="preserve">a </w:t>
      </w:r>
      <w:r w:rsidR="003A2CD0">
        <w:rPr>
          <w:rFonts w:ascii="Garamond" w:eastAsiaTheme="minorHAnsi" w:hAnsi="Garamond" w:cs="Arial"/>
          <w:sz w:val="24"/>
          <w:szCs w:val="24"/>
        </w:rPr>
        <w:t xml:space="preserve">revisão </w:t>
      </w:r>
      <w:r w:rsidRPr="003A1174">
        <w:rPr>
          <w:rFonts w:ascii="Garamond" w:eastAsiaTheme="minorHAnsi" w:hAnsi="Garamond" w:cs="Arial"/>
          <w:sz w:val="24"/>
          <w:szCs w:val="24"/>
        </w:rPr>
        <w:t xml:space="preserve">da </w:t>
      </w:r>
      <w:r w:rsidR="00D15AFF" w:rsidRPr="003A1174">
        <w:rPr>
          <w:rFonts w:ascii="Garamond" w:eastAsiaTheme="minorHAnsi" w:hAnsi="Garamond" w:cs="Arial"/>
          <w:sz w:val="24"/>
          <w:szCs w:val="24"/>
        </w:rPr>
        <w:t>Lei</w:t>
      </w:r>
      <w:r w:rsidR="00EC682B" w:rsidRPr="003A1174">
        <w:rPr>
          <w:rFonts w:ascii="Garamond" w:eastAsiaTheme="minorHAnsi" w:hAnsi="Garamond" w:cs="Arial"/>
          <w:sz w:val="24"/>
          <w:szCs w:val="24"/>
        </w:rPr>
        <w:t xml:space="preserve"> N</w:t>
      </w:r>
      <w:r w:rsidR="005E1D74">
        <w:rPr>
          <w:rFonts w:ascii="Garamond" w:eastAsiaTheme="minorHAnsi" w:hAnsi="Garamond" w:cs="Arial"/>
          <w:sz w:val="24"/>
          <w:szCs w:val="24"/>
        </w:rPr>
        <w:t>.</w:t>
      </w:r>
      <w:r w:rsidR="00EC682B" w:rsidRPr="003A1174">
        <w:rPr>
          <w:rFonts w:ascii="Garamond" w:eastAsiaTheme="minorHAnsi" w:hAnsi="Garamond" w:cs="Arial"/>
          <w:sz w:val="24"/>
          <w:szCs w:val="24"/>
        </w:rPr>
        <w:t xml:space="preserve">° 8925, </w:t>
      </w:r>
      <w:r w:rsidRPr="003A1174">
        <w:rPr>
          <w:rFonts w:ascii="Garamond" w:eastAsiaTheme="minorHAnsi" w:hAnsi="Garamond" w:cs="Arial"/>
          <w:sz w:val="24"/>
          <w:szCs w:val="24"/>
        </w:rPr>
        <w:t>atribuiu-</w:t>
      </w:r>
      <w:r w:rsidR="00EC682B" w:rsidRPr="003A1174">
        <w:rPr>
          <w:rFonts w:ascii="Garamond" w:eastAsiaTheme="minorHAnsi" w:hAnsi="Garamond" w:cs="Arial"/>
          <w:sz w:val="24"/>
          <w:szCs w:val="24"/>
        </w:rPr>
        <w:t xml:space="preserve">se </w:t>
      </w:r>
      <w:r w:rsidRPr="003A1174">
        <w:rPr>
          <w:rFonts w:ascii="Garamond" w:eastAsiaTheme="minorHAnsi" w:hAnsi="Garamond" w:cs="Arial"/>
          <w:sz w:val="24"/>
          <w:szCs w:val="24"/>
        </w:rPr>
        <w:t xml:space="preserve">ao </w:t>
      </w:r>
      <w:r w:rsidR="00EC682B" w:rsidRPr="003A1174">
        <w:rPr>
          <w:rFonts w:ascii="Garamond" w:eastAsiaTheme="minorHAnsi" w:hAnsi="Garamond" w:cs="Arial"/>
          <w:sz w:val="24"/>
          <w:szCs w:val="24"/>
        </w:rPr>
        <w:t xml:space="preserve">Instituto Nacional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Pr="003A1174">
        <w:rPr>
          <w:rFonts w:ascii="Garamond" w:eastAsiaTheme="minorHAnsi" w:hAnsi="Garamond" w:cs="Arial"/>
          <w:sz w:val="24"/>
          <w:szCs w:val="24"/>
        </w:rPr>
        <w:t xml:space="preserve"> (INAMU) </w:t>
      </w:r>
      <w:r w:rsidR="00EC682B" w:rsidRPr="003A1174">
        <w:rPr>
          <w:rFonts w:ascii="Garamond" w:eastAsiaTheme="minorHAnsi" w:hAnsi="Garamond" w:cs="Arial"/>
          <w:sz w:val="24"/>
          <w:szCs w:val="24"/>
        </w:rPr>
        <w:t xml:space="preserve">a </w:t>
      </w:r>
      <w:r w:rsidR="00AF192F" w:rsidRPr="003A1174">
        <w:rPr>
          <w:rFonts w:ascii="Garamond" w:eastAsiaTheme="minorHAnsi" w:hAnsi="Garamond" w:cs="Arial"/>
          <w:sz w:val="24"/>
          <w:szCs w:val="24"/>
        </w:rPr>
        <w:t>obrigação</w:t>
      </w:r>
      <w:r w:rsidR="00EC682B" w:rsidRPr="003A1174">
        <w:rPr>
          <w:rFonts w:ascii="Garamond" w:eastAsiaTheme="minorHAnsi" w:hAnsi="Garamond" w:cs="Arial"/>
          <w:sz w:val="24"/>
          <w:szCs w:val="24"/>
        </w:rPr>
        <w:t xml:space="preserve"> de pro</w:t>
      </w:r>
      <w:r w:rsidRPr="003A1174">
        <w:rPr>
          <w:rFonts w:ascii="Garamond" w:eastAsiaTheme="minorHAnsi" w:hAnsi="Garamond" w:cs="Arial"/>
          <w:sz w:val="24"/>
          <w:szCs w:val="24"/>
        </w:rPr>
        <w:t xml:space="preserve">porcionar </w:t>
      </w:r>
      <w:r w:rsidR="003F012B" w:rsidRPr="003A1174">
        <w:rPr>
          <w:rFonts w:ascii="Garamond" w:eastAsiaTheme="minorHAnsi" w:hAnsi="Garamond" w:cs="Arial"/>
          <w:sz w:val="24"/>
          <w:szCs w:val="24"/>
        </w:rPr>
        <w:t>acompanhamento</w:t>
      </w:r>
      <w:r w:rsidR="00EC682B" w:rsidRPr="003A1174">
        <w:rPr>
          <w:rFonts w:ascii="Garamond" w:eastAsiaTheme="minorHAnsi" w:hAnsi="Garamond" w:cs="Arial"/>
          <w:sz w:val="24"/>
          <w:szCs w:val="24"/>
        </w:rPr>
        <w:t xml:space="preserve">, </w:t>
      </w:r>
      <w:r w:rsidR="00B531F2" w:rsidRPr="003A1174">
        <w:rPr>
          <w:rFonts w:ascii="Garamond" w:eastAsiaTheme="minorHAnsi" w:hAnsi="Garamond" w:cs="Arial"/>
          <w:sz w:val="24"/>
          <w:szCs w:val="24"/>
        </w:rPr>
        <w:t>assessor</w:t>
      </w:r>
      <w:r w:rsidR="005E1D74">
        <w:rPr>
          <w:rFonts w:ascii="Garamond" w:eastAsiaTheme="minorHAnsi" w:hAnsi="Garamond" w:cs="Arial"/>
          <w:sz w:val="24"/>
          <w:szCs w:val="24"/>
        </w:rPr>
        <w:t>ia</w:t>
      </w:r>
      <w:r w:rsidR="00EC682B" w:rsidRPr="003A1174">
        <w:rPr>
          <w:rFonts w:ascii="Garamond" w:eastAsiaTheme="minorHAnsi" w:hAnsi="Garamond" w:cs="Arial"/>
          <w:sz w:val="24"/>
          <w:szCs w:val="24"/>
        </w:rPr>
        <w:t xml:space="preserve"> jurídic</w:t>
      </w:r>
      <w:r w:rsidR="005E1D74">
        <w:rPr>
          <w:rFonts w:ascii="Garamond" w:eastAsiaTheme="minorHAnsi" w:hAnsi="Garamond" w:cs="Arial"/>
          <w:sz w:val="24"/>
          <w:szCs w:val="24"/>
        </w:rPr>
        <w:t>a</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a </w:t>
      </w:r>
      <w:r w:rsidR="0017447A" w:rsidRPr="003A1174">
        <w:rPr>
          <w:rFonts w:ascii="Garamond" w:eastAsiaTheme="minorHAnsi" w:hAnsi="Garamond" w:cs="Arial"/>
          <w:sz w:val="24"/>
          <w:szCs w:val="24"/>
        </w:rPr>
        <w:t>representação</w:t>
      </w:r>
      <w:r w:rsidR="00EC682B" w:rsidRPr="003A1174">
        <w:rPr>
          <w:rFonts w:ascii="Garamond" w:eastAsiaTheme="minorHAnsi" w:hAnsi="Garamond" w:cs="Arial"/>
          <w:sz w:val="24"/>
          <w:szCs w:val="24"/>
        </w:rPr>
        <w:t xml:space="preserve"> legal </w:t>
      </w:r>
      <w:r w:rsidR="007578C6" w:rsidRPr="003A1174">
        <w:rPr>
          <w:rFonts w:ascii="Garamond" w:eastAsiaTheme="minorHAnsi" w:hAnsi="Garamond" w:cs="Arial"/>
          <w:sz w:val="24"/>
          <w:szCs w:val="24"/>
        </w:rPr>
        <w:t>necessária</w:t>
      </w:r>
      <w:r w:rsidR="00EC682B" w:rsidRPr="003A1174">
        <w:rPr>
          <w:rFonts w:ascii="Garamond" w:eastAsiaTheme="minorHAnsi" w:hAnsi="Garamond" w:cs="Arial"/>
          <w:sz w:val="24"/>
          <w:szCs w:val="24"/>
        </w:rPr>
        <w:t xml:space="preserve"> para </w:t>
      </w:r>
      <w:r w:rsidR="00AF192F" w:rsidRPr="003A1174">
        <w:rPr>
          <w:rFonts w:ascii="Garamond" w:eastAsiaTheme="minorHAnsi" w:hAnsi="Garamond" w:cs="Arial"/>
          <w:sz w:val="24"/>
          <w:szCs w:val="24"/>
        </w:rPr>
        <w:t>garantir</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os </w:t>
      </w:r>
      <w:r w:rsidR="00886D6A" w:rsidRPr="003A1174">
        <w:rPr>
          <w:rFonts w:ascii="Garamond" w:eastAsiaTheme="minorHAnsi" w:hAnsi="Garamond" w:cs="Arial"/>
          <w:sz w:val="24"/>
          <w:szCs w:val="24"/>
        </w:rPr>
        <w:t>direito</w:t>
      </w:r>
      <w:r w:rsidRPr="003A1174">
        <w:rPr>
          <w:rFonts w:ascii="Garamond" w:eastAsiaTheme="minorHAnsi" w:hAnsi="Garamond" w:cs="Arial"/>
          <w:sz w:val="24"/>
          <w:szCs w:val="24"/>
        </w:rPr>
        <w:t>s de</w:t>
      </w:r>
      <w:r w:rsidR="00EC682B" w:rsidRPr="003A1174">
        <w:rPr>
          <w:rFonts w:ascii="Garamond" w:eastAsiaTheme="minorHAnsi" w:hAnsi="Garamond" w:cs="Arial"/>
          <w:sz w:val="24"/>
          <w:szCs w:val="24"/>
        </w:rPr>
        <w:t>stas e</w:t>
      </w:r>
      <w:r w:rsidRPr="003A1174">
        <w:rPr>
          <w:rFonts w:ascii="Garamond" w:eastAsiaTheme="minorHAnsi" w:hAnsi="Garamond" w:cs="Arial"/>
          <w:sz w:val="24"/>
          <w:szCs w:val="24"/>
        </w:rPr>
        <w:t>m cada um</w:t>
      </w:r>
      <w:r w:rsidR="00EC682B" w:rsidRPr="003A1174">
        <w:rPr>
          <w:rFonts w:ascii="Garamond" w:eastAsiaTheme="minorHAnsi" w:hAnsi="Garamond" w:cs="Arial"/>
          <w:sz w:val="24"/>
          <w:szCs w:val="24"/>
        </w:rPr>
        <w:t xml:space="preserve">a </w:t>
      </w:r>
      <w:r w:rsidR="00497503" w:rsidRPr="003A1174">
        <w:rPr>
          <w:rFonts w:ascii="Garamond" w:eastAsiaTheme="minorHAnsi" w:hAnsi="Garamond" w:cs="Arial"/>
          <w:sz w:val="24"/>
          <w:szCs w:val="24"/>
        </w:rPr>
        <w:t>das</w:t>
      </w:r>
      <w:r w:rsidR="00EC682B" w:rsidRPr="003A1174">
        <w:rPr>
          <w:rFonts w:ascii="Garamond" w:eastAsiaTheme="minorHAnsi" w:hAnsi="Garamond" w:cs="Arial"/>
          <w:sz w:val="24"/>
          <w:szCs w:val="24"/>
        </w:rPr>
        <w:t xml:space="preserve"> etapas </w:t>
      </w:r>
      <w:r w:rsidR="008A3DA2" w:rsidRPr="003A1174">
        <w:rPr>
          <w:rFonts w:ascii="Garamond" w:eastAsiaTheme="minorHAnsi" w:hAnsi="Garamond" w:cs="Arial"/>
          <w:sz w:val="24"/>
          <w:szCs w:val="24"/>
        </w:rPr>
        <w:t>do</w:t>
      </w:r>
      <w:r w:rsidR="00EC682B" w:rsidRPr="003A1174">
        <w:rPr>
          <w:rFonts w:ascii="Garamond" w:eastAsiaTheme="minorHAnsi" w:hAnsi="Garamond" w:cs="Arial"/>
          <w:sz w:val="24"/>
          <w:szCs w:val="24"/>
        </w:rPr>
        <w:t xml:space="preserve"> </w:t>
      </w:r>
      <w:r w:rsidR="002D1021" w:rsidRPr="003A1174">
        <w:rPr>
          <w:rFonts w:ascii="Garamond" w:eastAsiaTheme="minorHAnsi" w:hAnsi="Garamond" w:cs="Arial"/>
          <w:sz w:val="24"/>
          <w:szCs w:val="24"/>
        </w:rPr>
        <w:t>processo</w:t>
      </w:r>
      <w:r w:rsidR="00EC682B" w:rsidRPr="003A1174">
        <w:rPr>
          <w:rFonts w:ascii="Garamond" w:eastAsiaTheme="minorHAnsi" w:hAnsi="Garamond" w:cs="Arial"/>
          <w:sz w:val="24"/>
          <w:szCs w:val="24"/>
        </w:rPr>
        <w:t xml:space="preserve"> judicial </w:t>
      </w:r>
      <w:r w:rsidR="001D237C" w:rsidRPr="003A1174">
        <w:rPr>
          <w:rFonts w:ascii="Garamond" w:eastAsiaTheme="minorHAnsi" w:hAnsi="Garamond" w:cs="Arial"/>
          <w:sz w:val="24"/>
          <w:szCs w:val="24"/>
        </w:rPr>
        <w:t>por</w:t>
      </w:r>
      <w:r w:rsidR="00EC682B"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EC682B" w:rsidRPr="003A1174">
        <w:rPr>
          <w:rFonts w:ascii="Garamond" w:eastAsiaTheme="minorHAnsi" w:hAnsi="Garamond" w:cs="Arial"/>
          <w:sz w:val="24"/>
          <w:szCs w:val="24"/>
        </w:rPr>
        <w:t xml:space="preserve"> doméstica.</w:t>
      </w:r>
    </w:p>
    <w:p w:rsidR="00EC682B" w:rsidRPr="003A1174" w:rsidRDefault="00EC682B" w:rsidP="008719D4">
      <w:pPr>
        <w:spacing w:after="0" w:line="240" w:lineRule="auto"/>
        <w:jc w:val="both"/>
        <w:rPr>
          <w:rFonts w:ascii="Garamond" w:eastAsiaTheme="minorHAnsi" w:hAnsi="Garamond" w:cs="Arial"/>
          <w:sz w:val="24"/>
          <w:szCs w:val="24"/>
        </w:rPr>
      </w:pPr>
    </w:p>
    <w:p w:rsidR="00334EF2" w:rsidRDefault="00D4575C"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Quanto ao </w:t>
      </w:r>
      <w:r w:rsidR="00886D6A" w:rsidRPr="003A1174">
        <w:rPr>
          <w:rFonts w:ascii="Garamond" w:eastAsiaTheme="minorHAnsi" w:hAnsi="Garamond" w:cs="Arial"/>
          <w:sz w:val="24"/>
          <w:szCs w:val="24"/>
        </w:rPr>
        <w:t>acesso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à </w:t>
      </w:r>
      <w:r w:rsidR="00FC1F7F" w:rsidRPr="003A1174">
        <w:rPr>
          <w:rFonts w:ascii="Garamond" w:eastAsiaTheme="minorHAnsi" w:hAnsi="Garamond" w:cs="Arial"/>
          <w:sz w:val="24"/>
          <w:szCs w:val="24"/>
        </w:rPr>
        <w:t>justiça</w:t>
      </w:r>
      <w:r w:rsidR="00EC682B" w:rsidRPr="003A1174">
        <w:rPr>
          <w:rFonts w:ascii="Garamond" w:eastAsiaTheme="minorHAnsi" w:hAnsi="Garamond" w:cs="Arial"/>
          <w:sz w:val="24"/>
          <w:szCs w:val="24"/>
        </w:rPr>
        <w:t xml:space="preserve"> penal, </w:t>
      </w:r>
      <w:r w:rsidRPr="003A1174">
        <w:rPr>
          <w:rFonts w:ascii="Garamond" w:eastAsiaTheme="minorHAnsi" w:hAnsi="Garamond" w:cs="Arial"/>
          <w:sz w:val="24"/>
          <w:szCs w:val="24"/>
        </w:rPr>
        <w:t>cria-</w:t>
      </w:r>
      <w:r w:rsidR="00EC682B" w:rsidRPr="003A1174">
        <w:rPr>
          <w:rFonts w:ascii="Garamond" w:eastAsiaTheme="minorHAnsi" w:hAnsi="Garamond" w:cs="Arial"/>
          <w:sz w:val="24"/>
          <w:szCs w:val="24"/>
        </w:rPr>
        <w:t xml:space="preserve">se </w:t>
      </w:r>
      <w:r w:rsidRPr="003A1174">
        <w:rPr>
          <w:rFonts w:ascii="Garamond" w:eastAsiaTheme="minorHAnsi" w:hAnsi="Garamond" w:cs="Arial"/>
          <w:sz w:val="24"/>
          <w:szCs w:val="24"/>
        </w:rPr>
        <w:t xml:space="preserve">o Gabinete </w:t>
      </w:r>
      <w:r w:rsidR="00EC682B" w:rsidRPr="003A1174">
        <w:rPr>
          <w:rFonts w:ascii="Garamond" w:eastAsiaTheme="minorHAnsi" w:hAnsi="Garamond" w:cs="Arial"/>
          <w:sz w:val="24"/>
          <w:szCs w:val="24"/>
        </w:rPr>
        <w:t xml:space="preserve">de </w:t>
      </w:r>
      <w:r w:rsidR="008278C4" w:rsidRPr="003A1174">
        <w:rPr>
          <w:rFonts w:ascii="Garamond" w:eastAsiaTheme="minorHAnsi" w:hAnsi="Garamond" w:cs="Arial"/>
          <w:sz w:val="24"/>
          <w:szCs w:val="24"/>
        </w:rPr>
        <w:t>Atenção</w:t>
      </w:r>
      <w:r w:rsidR="00EC682B"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EC682B"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Proteção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à </w:t>
      </w:r>
      <w:r w:rsidR="003F012B" w:rsidRPr="003A1174">
        <w:rPr>
          <w:rFonts w:ascii="Garamond" w:eastAsiaTheme="minorHAnsi" w:hAnsi="Garamond" w:cs="Arial"/>
          <w:sz w:val="24"/>
          <w:szCs w:val="24"/>
        </w:rPr>
        <w:t>Vítima</w:t>
      </w:r>
      <w:r w:rsidR="00EC682B" w:rsidRPr="003A1174">
        <w:rPr>
          <w:rFonts w:ascii="Garamond" w:eastAsiaTheme="minorHAnsi" w:hAnsi="Garamond" w:cs="Arial"/>
          <w:sz w:val="24"/>
          <w:szCs w:val="24"/>
        </w:rPr>
        <w:t xml:space="preserve"> a cargo d</w:t>
      </w:r>
      <w:r w:rsidRPr="003A1174">
        <w:rPr>
          <w:rFonts w:ascii="Garamond" w:eastAsiaTheme="minorHAnsi" w:hAnsi="Garamond" w:cs="Arial"/>
          <w:sz w:val="24"/>
          <w:szCs w:val="24"/>
        </w:rPr>
        <w:t xml:space="preserve">o Ministério Público, </w:t>
      </w:r>
      <w:r w:rsidR="001D237C" w:rsidRPr="003A1174">
        <w:rPr>
          <w:rFonts w:ascii="Garamond" w:eastAsiaTheme="minorHAnsi" w:hAnsi="Garamond" w:cs="Arial"/>
          <w:sz w:val="24"/>
          <w:szCs w:val="24"/>
        </w:rPr>
        <w:t>que</w:t>
      </w:r>
      <w:r w:rsidRPr="003A1174">
        <w:rPr>
          <w:rFonts w:ascii="Garamond" w:eastAsiaTheme="minorHAnsi" w:hAnsi="Garamond" w:cs="Arial"/>
          <w:sz w:val="24"/>
          <w:szCs w:val="24"/>
        </w:rPr>
        <w:t xml:space="preserve"> at</w:t>
      </w:r>
      <w:r w:rsidR="00EC682B" w:rsidRPr="003A1174">
        <w:rPr>
          <w:rFonts w:ascii="Garamond" w:eastAsiaTheme="minorHAnsi" w:hAnsi="Garamond" w:cs="Arial"/>
          <w:sz w:val="24"/>
          <w:szCs w:val="24"/>
        </w:rPr>
        <w:t xml:space="preserve">ende as </w:t>
      </w:r>
      <w:r w:rsidR="006C760C" w:rsidRPr="003A1174">
        <w:rPr>
          <w:rFonts w:ascii="Garamond" w:eastAsiaTheme="minorHAnsi" w:hAnsi="Garamond" w:cs="Arial"/>
          <w:sz w:val="24"/>
          <w:szCs w:val="24"/>
        </w:rPr>
        <w:t>pessoas</w:t>
      </w:r>
      <w:r w:rsidR="00EC682B" w:rsidRPr="003A1174">
        <w:rPr>
          <w:rFonts w:ascii="Garamond" w:eastAsiaTheme="minorHAnsi" w:hAnsi="Garamond" w:cs="Arial"/>
          <w:sz w:val="24"/>
          <w:szCs w:val="24"/>
        </w:rPr>
        <w:t xml:space="preserve"> que</w:t>
      </w:r>
      <w:r w:rsidRPr="003A1174">
        <w:rPr>
          <w:rFonts w:ascii="Garamond" w:eastAsiaTheme="minorHAnsi" w:hAnsi="Garamond" w:cs="Arial"/>
          <w:sz w:val="24"/>
          <w:szCs w:val="24"/>
        </w:rPr>
        <w:t xml:space="preserve"> forem </w:t>
      </w:r>
      <w:r w:rsidR="00EC682B" w:rsidRPr="003A1174">
        <w:rPr>
          <w:rFonts w:ascii="Garamond" w:eastAsiaTheme="minorHAnsi" w:hAnsi="Garamond" w:cs="Arial"/>
          <w:sz w:val="24"/>
          <w:szCs w:val="24"/>
        </w:rPr>
        <w:t>parte-</w:t>
      </w:r>
      <w:r w:rsidR="003F012B" w:rsidRPr="003A1174">
        <w:rPr>
          <w:rFonts w:ascii="Garamond" w:eastAsiaTheme="minorHAnsi" w:hAnsi="Garamond" w:cs="Arial"/>
          <w:sz w:val="24"/>
          <w:szCs w:val="24"/>
        </w:rPr>
        <w:t>vítima</w:t>
      </w:r>
      <w:r w:rsidR="00EC682B" w:rsidRPr="003A1174">
        <w:rPr>
          <w:rFonts w:ascii="Garamond" w:eastAsiaTheme="minorHAnsi" w:hAnsi="Garamond" w:cs="Arial"/>
          <w:sz w:val="24"/>
          <w:szCs w:val="24"/>
        </w:rPr>
        <w:t xml:space="preserve"> de </w:t>
      </w:r>
      <w:r w:rsidR="007A2492" w:rsidRPr="003A1174">
        <w:rPr>
          <w:rFonts w:ascii="Garamond" w:eastAsiaTheme="minorHAnsi" w:hAnsi="Garamond" w:cs="Arial"/>
          <w:sz w:val="24"/>
          <w:szCs w:val="24"/>
        </w:rPr>
        <w:t>algum</w:t>
      </w:r>
      <w:r w:rsidR="00EC682B" w:rsidRPr="003A1174">
        <w:rPr>
          <w:rFonts w:ascii="Garamond" w:eastAsiaTheme="minorHAnsi" w:hAnsi="Garamond" w:cs="Arial"/>
          <w:sz w:val="24"/>
          <w:szCs w:val="24"/>
        </w:rPr>
        <w:t xml:space="preserve"> </w:t>
      </w:r>
      <w:r w:rsidR="002D1021" w:rsidRPr="003A1174">
        <w:rPr>
          <w:rFonts w:ascii="Garamond" w:eastAsiaTheme="minorHAnsi" w:hAnsi="Garamond" w:cs="Arial"/>
          <w:sz w:val="24"/>
          <w:szCs w:val="24"/>
        </w:rPr>
        <w:t>processo</w:t>
      </w:r>
      <w:r w:rsidR="00EC682B" w:rsidRPr="003A1174">
        <w:rPr>
          <w:rFonts w:ascii="Garamond" w:eastAsiaTheme="minorHAnsi" w:hAnsi="Garamond" w:cs="Arial"/>
          <w:sz w:val="24"/>
          <w:szCs w:val="24"/>
        </w:rPr>
        <w:t xml:space="preserve"> penal</w:t>
      </w:r>
      <w:r w:rsidR="001D237C"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o </w:t>
      </w:r>
      <w:r w:rsidRPr="003A1174">
        <w:rPr>
          <w:rFonts w:ascii="Garamond" w:eastAsiaTheme="minorHAnsi" w:hAnsi="Garamond" w:cs="Arial"/>
          <w:sz w:val="24"/>
          <w:szCs w:val="24"/>
        </w:rPr>
        <w:t xml:space="preserve">que </w:t>
      </w:r>
      <w:r w:rsidR="00152A44" w:rsidRPr="003A1174">
        <w:rPr>
          <w:rFonts w:ascii="Garamond" w:eastAsiaTheme="minorHAnsi" w:hAnsi="Garamond" w:cs="Arial"/>
          <w:sz w:val="24"/>
          <w:szCs w:val="24"/>
        </w:rPr>
        <w:t>inclui</w:t>
      </w:r>
      <w:r w:rsidRPr="003A1174">
        <w:rPr>
          <w:rFonts w:ascii="Garamond" w:eastAsiaTheme="minorHAnsi" w:hAnsi="Garamond" w:cs="Arial"/>
          <w:sz w:val="24"/>
          <w:szCs w:val="24"/>
        </w:rPr>
        <w:t>,</w:t>
      </w:r>
      <w:r w:rsidR="00EC682B" w:rsidRPr="003A1174">
        <w:rPr>
          <w:rFonts w:ascii="Garamond" w:eastAsiaTheme="minorHAnsi" w:hAnsi="Garamond" w:cs="Arial"/>
          <w:sz w:val="24"/>
          <w:szCs w:val="24"/>
        </w:rPr>
        <w:t xml:space="preserve"> evidentemente</w:t>
      </w:r>
      <w:r w:rsidRPr="003A1174">
        <w:rPr>
          <w:rFonts w:ascii="Garamond" w:eastAsiaTheme="minorHAnsi" w:hAnsi="Garamond" w:cs="Arial"/>
          <w:sz w:val="24"/>
          <w:szCs w:val="24"/>
        </w:rPr>
        <w:t>,</w:t>
      </w:r>
      <w:r w:rsidR="00EC682B" w:rsidRPr="003A1174">
        <w:rPr>
          <w:rFonts w:ascii="Garamond" w:eastAsiaTheme="minorHAnsi" w:hAnsi="Garamond" w:cs="Arial"/>
          <w:sz w:val="24"/>
          <w:szCs w:val="24"/>
        </w:rPr>
        <w:t xml:space="preserve"> as </w:t>
      </w:r>
      <w:r w:rsidR="00054EE0" w:rsidRPr="003A1174">
        <w:rPr>
          <w:rFonts w:ascii="Garamond" w:eastAsiaTheme="minorHAnsi" w:hAnsi="Garamond" w:cs="Arial"/>
          <w:sz w:val="24"/>
          <w:szCs w:val="24"/>
        </w:rPr>
        <w:t>mulheres</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quer seja para as </w:t>
      </w:r>
      <w:r w:rsidRPr="00334EF2">
        <w:rPr>
          <w:rFonts w:ascii="Garamond" w:eastAsiaTheme="minorHAnsi" w:hAnsi="Garamond" w:cs="Arial"/>
          <w:sz w:val="24"/>
          <w:szCs w:val="24"/>
        </w:rPr>
        <w:t>a</w:t>
      </w:r>
      <w:r w:rsidR="00FC1F7F" w:rsidRPr="00334EF2">
        <w:rPr>
          <w:rFonts w:ascii="Garamond" w:eastAsiaTheme="minorHAnsi" w:hAnsi="Garamond" w:cs="Arial"/>
          <w:sz w:val="24"/>
          <w:szCs w:val="24"/>
        </w:rPr>
        <w:t>ssessora</w:t>
      </w:r>
      <w:r w:rsidR="00EC682B" w:rsidRPr="00334EF2">
        <w:rPr>
          <w:rFonts w:ascii="Garamond" w:eastAsiaTheme="minorHAnsi" w:hAnsi="Garamond" w:cs="Arial"/>
          <w:sz w:val="24"/>
          <w:szCs w:val="24"/>
        </w:rPr>
        <w:t>r</w:t>
      </w:r>
      <w:r w:rsidRPr="00334EF2">
        <w:rPr>
          <w:rFonts w:ascii="Garamond" w:eastAsiaTheme="minorHAnsi" w:hAnsi="Garamond" w:cs="Arial"/>
          <w:sz w:val="24"/>
          <w:szCs w:val="24"/>
        </w:rPr>
        <w:t>,</w:t>
      </w:r>
      <w:r w:rsidRPr="003A1174">
        <w:rPr>
          <w:rFonts w:ascii="Garamond" w:eastAsiaTheme="minorHAnsi" w:hAnsi="Garamond" w:cs="Arial"/>
          <w:sz w:val="24"/>
          <w:szCs w:val="24"/>
        </w:rPr>
        <w:t xml:space="preserve"> quer seja para lhes </w:t>
      </w:r>
    </w:p>
    <w:p w:rsidR="00EC682B" w:rsidRPr="003A1174" w:rsidRDefault="00D4575C" w:rsidP="008719D4">
      <w:pPr>
        <w:spacing w:after="0" w:line="240" w:lineRule="auto"/>
        <w:jc w:val="both"/>
        <w:rPr>
          <w:rFonts w:ascii="Garamond" w:eastAsiaTheme="minorHAnsi" w:hAnsi="Garamond" w:cs="Arial"/>
          <w:sz w:val="24"/>
          <w:szCs w:val="24"/>
        </w:rPr>
      </w:pPr>
      <w:proofErr w:type="gramStart"/>
      <w:r w:rsidRPr="003A1174">
        <w:rPr>
          <w:rFonts w:ascii="Garamond" w:eastAsiaTheme="minorHAnsi" w:hAnsi="Garamond" w:cs="Arial"/>
          <w:sz w:val="24"/>
          <w:szCs w:val="24"/>
        </w:rPr>
        <w:lastRenderedPageBreak/>
        <w:t>proporcionar</w:t>
      </w:r>
      <w:proofErr w:type="gramEnd"/>
      <w:r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proteção</w:t>
      </w:r>
      <w:r w:rsidRPr="003A1174">
        <w:rPr>
          <w:rFonts w:ascii="Garamond" w:eastAsiaTheme="minorHAnsi" w:hAnsi="Garamond" w:cs="Arial"/>
          <w:sz w:val="24"/>
          <w:szCs w:val="24"/>
        </w:rPr>
        <w:t xml:space="preserve"> em</w:t>
      </w:r>
      <w:r w:rsidR="00EC682B" w:rsidRPr="003A1174">
        <w:rPr>
          <w:rFonts w:ascii="Garamond" w:eastAsiaTheme="minorHAnsi" w:hAnsi="Garamond" w:cs="Arial"/>
          <w:sz w:val="24"/>
          <w:szCs w:val="24"/>
        </w:rPr>
        <w:t xml:space="preserve"> casos de </w:t>
      </w:r>
      <w:r w:rsidR="008651AF" w:rsidRPr="003A1174">
        <w:rPr>
          <w:rFonts w:ascii="Garamond" w:eastAsiaTheme="minorHAnsi" w:hAnsi="Garamond" w:cs="Arial"/>
          <w:sz w:val="24"/>
          <w:szCs w:val="24"/>
        </w:rPr>
        <w:t>risco</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da </w:t>
      </w:r>
      <w:r w:rsidR="00EC682B" w:rsidRPr="003A1174">
        <w:rPr>
          <w:rFonts w:ascii="Garamond" w:eastAsiaTheme="minorHAnsi" w:hAnsi="Garamond" w:cs="Arial"/>
          <w:sz w:val="24"/>
          <w:szCs w:val="24"/>
        </w:rPr>
        <w:t>su</w:t>
      </w:r>
      <w:r w:rsidRPr="003A1174">
        <w:rPr>
          <w:rFonts w:ascii="Garamond" w:eastAsiaTheme="minorHAnsi" w:hAnsi="Garamond" w:cs="Arial"/>
          <w:sz w:val="24"/>
          <w:szCs w:val="24"/>
        </w:rPr>
        <w:t>a</w:t>
      </w:r>
      <w:r w:rsidR="00EC682B" w:rsidRPr="003A1174">
        <w:rPr>
          <w:rFonts w:ascii="Garamond" w:eastAsiaTheme="minorHAnsi" w:hAnsi="Garamond" w:cs="Arial"/>
          <w:sz w:val="24"/>
          <w:szCs w:val="24"/>
        </w:rPr>
        <w:t xml:space="preserve"> </w:t>
      </w:r>
      <w:r w:rsidR="002D1021" w:rsidRPr="003A1174">
        <w:rPr>
          <w:rFonts w:ascii="Garamond" w:eastAsiaTheme="minorHAnsi" w:hAnsi="Garamond" w:cs="Arial"/>
          <w:sz w:val="24"/>
          <w:szCs w:val="24"/>
        </w:rPr>
        <w:t>integridade</w:t>
      </w:r>
      <w:r w:rsidR="00EC682B" w:rsidRPr="003A1174">
        <w:rPr>
          <w:rFonts w:ascii="Garamond" w:eastAsiaTheme="minorHAnsi" w:hAnsi="Garamond" w:cs="Arial"/>
          <w:sz w:val="24"/>
          <w:szCs w:val="24"/>
        </w:rPr>
        <w:t xml:space="preserve"> física </w:t>
      </w:r>
      <w:r w:rsidR="005E1D74">
        <w:rPr>
          <w:rFonts w:ascii="Garamond" w:eastAsiaTheme="minorHAnsi" w:hAnsi="Garamond" w:cs="Arial"/>
          <w:sz w:val="24"/>
          <w:szCs w:val="24"/>
        </w:rPr>
        <w:t xml:space="preserve"> através do</w:t>
      </w:r>
      <w:r w:rsidRPr="003A1174">
        <w:rPr>
          <w:rFonts w:ascii="Garamond" w:eastAsiaTheme="minorHAnsi" w:hAnsi="Garamond" w:cs="Arial"/>
          <w:sz w:val="24"/>
          <w:szCs w:val="24"/>
        </w:rPr>
        <w:t xml:space="preserve"> </w:t>
      </w:r>
      <w:r w:rsidR="00EC682B" w:rsidRPr="003A1174">
        <w:rPr>
          <w:rFonts w:ascii="Garamond" w:eastAsiaTheme="minorHAnsi" w:hAnsi="Garamond" w:cs="Arial"/>
          <w:sz w:val="24"/>
          <w:szCs w:val="24"/>
        </w:rPr>
        <w:t xml:space="preserve">Programa de </w:t>
      </w:r>
      <w:r w:rsidR="00886D6A" w:rsidRPr="003A1174">
        <w:rPr>
          <w:rFonts w:ascii="Garamond" w:eastAsiaTheme="minorHAnsi" w:hAnsi="Garamond" w:cs="Arial"/>
          <w:sz w:val="24"/>
          <w:szCs w:val="24"/>
        </w:rPr>
        <w:t>Proteção</w:t>
      </w:r>
      <w:r w:rsidR="00EC682B" w:rsidRPr="003A1174">
        <w:rPr>
          <w:rFonts w:ascii="Garamond" w:eastAsiaTheme="minorHAnsi" w:hAnsi="Garamond" w:cs="Arial"/>
          <w:sz w:val="24"/>
          <w:szCs w:val="24"/>
        </w:rPr>
        <w:t xml:space="preserve"> de Test</w:t>
      </w:r>
      <w:r w:rsidRPr="003A1174">
        <w:rPr>
          <w:rFonts w:ascii="Garamond" w:eastAsiaTheme="minorHAnsi" w:hAnsi="Garamond" w:cs="Arial"/>
          <w:sz w:val="24"/>
          <w:szCs w:val="24"/>
        </w:rPr>
        <w:t xml:space="preserve">emunhas </w:t>
      </w:r>
      <w:r w:rsidR="008A3DA2" w:rsidRPr="003A1174">
        <w:rPr>
          <w:rFonts w:ascii="Garamond" w:eastAsiaTheme="minorHAnsi" w:hAnsi="Garamond" w:cs="Arial"/>
          <w:sz w:val="24"/>
          <w:szCs w:val="24"/>
        </w:rPr>
        <w:t>do</w:t>
      </w:r>
      <w:r w:rsidR="00EC682B" w:rsidRPr="003A1174">
        <w:rPr>
          <w:rFonts w:ascii="Garamond" w:eastAsiaTheme="minorHAnsi" w:hAnsi="Garamond" w:cs="Arial"/>
          <w:sz w:val="24"/>
          <w:szCs w:val="24"/>
        </w:rPr>
        <w:t xml:space="preserve"> Poder Judicial.</w:t>
      </w:r>
    </w:p>
    <w:p w:rsidR="00EC682B" w:rsidRPr="003A1174" w:rsidRDefault="00EC682B" w:rsidP="008719D4">
      <w:pPr>
        <w:spacing w:after="0" w:line="240" w:lineRule="auto"/>
        <w:jc w:val="both"/>
        <w:rPr>
          <w:rFonts w:ascii="Garamond" w:eastAsiaTheme="minorHAnsi" w:hAnsi="Garamond" w:cs="Arial"/>
          <w:sz w:val="24"/>
          <w:szCs w:val="24"/>
        </w:rPr>
      </w:pPr>
    </w:p>
    <w:p w:rsidR="00EC682B" w:rsidRPr="003A1174" w:rsidRDefault="00D4575C" w:rsidP="008719D4">
      <w:pPr>
        <w:spacing w:after="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Nessa </w:t>
      </w:r>
      <w:r w:rsidR="00524936" w:rsidRPr="003A1174">
        <w:rPr>
          <w:rFonts w:ascii="Garamond" w:eastAsiaTheme="minorHAnsi" w:hAnsi="Garamond" w:cs="Arial"/>
          <w:sz w:val="24"/>
          <w:szCs w:val="24"/>
        </w:rPr>
        <w:t>mesma</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linha</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criou-se</w:t>
      </w:r>
      <w:r w:rsidR="005E1D74">
        <w:rPr>
          <w:rFonts w:ascii="Garamond" w:eastAsiaTheme="minorHAnsi" w:hAnsi="Garamond" w:cs="Arial"/>
          <w:sz w:val="24"/>
          <w:szCs w:val="24"/>
        </w:rPr>
        <w:t>,</w:t>
      </w:r>
      <w:r w:rsidRPr="003A1174">
        <w:rPr>
          <w:rFonts w:ascii="Garamond" w:eastAsiaTheme="minorHAnsi" w:hAnsi="Garamond" w:cs="Arial"/>
          <w:sz w:val="24"/>
          <w:szCs w:val="24"/>
        </w:rPr>
        <w:t xml:space="preserve"> rec</w:t>
      </w:r>
      <w:r w:rsidR="00EC682B" w:rsidRPr="003A1174">
        <w:rPr>
          <w:rFonts w:ascii="Garamond" w:eastAsiaTheme="minorHAnsi" w:hAnsi="Garamond" w:cs="Arial"/>
          <w:sz w:val="24"/>
          <w:szCs w:val="24"/>
        </w:rPr>
        <w:t>entemente</w:t>
      </w:r>
      <w:r w:rsidR="005E1D74">
        <w:rPr>
          <w:rFonts w:ascii="Garamond" w:eastAsiaTheme="minorHAnsi" w:hAnsi="Garamond" w:cs="Arial"/>
          <w:sz w:val="24"/>
          <w:szCs w:val="24"/>
        </w:rPr>
        <w:t>,</w:t>
      </w:r>
      <w:r w:rsidR="00EC682B" w:rsidRPr="003A1174">
        <w:rPr>
          <w:rFonts w:ascii="Garamond" w:eastAsiaTheme="minorHAnsi" w:hAnsi="Garamond" w:cs="Arial"/>
          <w:sz w:val="24"/>
          <w:szCs w:val="24"/>
        </w:rPr>
        <w:t xml:space="preserve"> </w:t>
      </w:r>
      <w:r w:rsidRPr="003A1174">
        <w:rPr>
          <w:rFonts w:ascii="Garamond" w:eastAsiaTheme="minorHAnsi" w:hAnsi="Garamond" w:cs="Arial"/>
          <w:sz w:val="24"/>
          <w:szCs w:val="24"/>
        </w:rPr>
        <w:t>o</w:t>
      </w:r>
      <w:r w:rsidR="00EC682B" w:rsidRPr="003A1174">
        <w:rPr>
          <w:rFonts w:ascii="Garamond" w:eastAsiaTheme="minorHAnsi" w:hAnsi="Garamond" w:cs="Arial"/>
          <w:sz w:val="24"/>
          <w:szCs w:val="24"/>
        </w:rPr>
        <w:t xml:space="preserve"> </w:t>
      </w:r>
      <w:r w:rsidRPr="003A1174">
        <w:rPr>
          <w:rFonts w:ascii="Garamond" w:eastAsiaTheme="minorHAnsi" w:hAnsi="Garamond" w:cs="Arial"/>
          <w:i/>
          <w:sz w:val="24"/>
          <w:szCs w:val="24"/>
        </w:rPr>
        <w:t xml:space="preserve">Protocolo para </w:t>
      </w:r>
      <w:r w:rsidR="00EC682B" w:rsidRPr="003A1174">
        <w:rPr>
          <w:rFonts w:ascii="Garamond" w:eastAsiaTheme="minorHAnsi" w:hAnsi="Garamond" w:cs="Arial"/>
          <w:i/>
          <w:sz w:val="24"/>
          <w:szCs w:val="24"/>
        </w:rPr>
        <w:t xml:space="preserve">a </w:t>
      </w:r>
      <w:r w:rsidR="00886D6A" w:rsidRPr="003A1174">
        <w:rPr>
          <w:rFonts w:ascii="Garamond" w:eastAsiaTheme="minorHAnsi" w:hAnsi="Garamond" w:cs="Arial"/>
          <w:i/>
          <w:sz w:val="24"/>
          <w:szCs w:val="24"/>
        </w:rPr>
        <w:t>Investigação</w:t>
      </w:r>
      <w:r w:rsidR="00EC682B" w:rsidRPr="003A1174">
        <w:rPr>
          <w:rFonts w:ascii="Garamond" w:eastAsiaTheme="minorHAnsi" w:hAnsi="Garamond" w:cs="Arial"/>
          <w:i/>
          <w:sz w:val="24"/>
          <w:szCs w:val="24"/>
        </w:rPr>
        <w:t xml:space="preserve"> </w:t>
      </w:r>
      <w:r w:rsidR="00497503" w:rsidRPr="003A1174">
        <w:rPr>
          <w:rFonts w:ascii="Garamond" w:eastAsiaTheme="minorHAnsi" w:hAnsi="Garamond" w:cs="Arial"/>
          <w:i/>
          <w:sz w:val="24"/>
          <w:szCs w:val="24"/>
        </w:rPr>
        <w:t>dos</w:t>
      </w:r>
      <w:r w:rsidR="00EC682B" w:rsidRPr="003A1174">
        <w:rPr>
          <w:rFonts w:ascii="Garamond" w:eastAsiaTheme="minorHAnsi" w:hAnsi="Garamond" w:cs="Arial"/>
          <w:i/>
          <w:sz w:val="24"/>
          <w:szCs w:val="24"/>
        </w:rPr>
        <w:t xml:space="preserve"> delitos de </w:t>
      </w:r>
      <w:r w:rsidR="000350B1" w:rsidRPr="003A1174">
        <w:rPr>
          <w:rFonts w:ascii="Garamond" w:eastAsiaTheme="minorHAnsi" w:hAnsi="Garamond" w:cs="Arial"/>
          <w:i/>
          <w:sz w:val="24"/>
          <w:szCs w:val="24"/>
        </w:rPr>
        <w:t>violência</w:t>
      </w:r>
      <w:r w:rsidRPr="003A1174">
        <w:rPr>
          <w:rFonts w:ascii="Garamond" w:eastAsiaTheme="minorHAnsi" w:hAnsi="Garamond" w:cs="Arial"/>
          <w:i/>
          <w:sz w:val="24"/>
          <w:szCs w:val="24"/>
        </w:rPr>
        <w:t xml:space="preserve"> contra </w:t>
      </w:r>
      <w:r w:rsidR="00EC682B" w:rsidRPr="003A1174">
        <w:rPr>
          <w:rFonts w:ascii="Garamond" w:eastAsiaTheme="minorHAnsi" w:hAnsi="Garamond" w:cs="Arial"/>
          <w:i/>
          <w:sz w:val="24"/>
          <w:szCs w:val="24"/>
        </w:rPr>
        <w:t xml:space="preserve">as </w:t>
      </w:r>
      <w:r w:rsidR="00054EE0" w:rsidRPr="003A1174">
        <w:rPr>
          <w:rFonts w:ascii="Garamond" w:eastAsiaTheme="minorHAnsi" w:hAnsi="Garamond" w:cs="Arial"/>
          <w:i/>
          <w:sz w:val="24"/>
          <w:szCs w:val="24"/>
        </w:rPr>
        <w:t>Mulheres</w:t>
      </w:r>
      <w:r w:rsidR="00EC682B" w:rsidRPr="003A1174">
        <w:rPr>
          <w:rFonts w:ascii="Garamond" w:eastAsiaTheme="minorHAnsi" w:hAnsi="Garamond" w:cs="Arial"/>
          <w:i/>
          <w:sz w:val="24"/>
          <w:szCs w:val="24"/>
        </w:rPr>
        <w:t xml:space="preserve"> por </w:t>
      </w:r>
      <w:r w:rsidR="009D5ED8" w:rsidRPr="003A1174">
        <w:rPr>
          <w:rFonts w:ascii="Garamond" w:eastAsiaTheme="minorHAnsi" w:hAnsi="Garamond" w:cs="Arial"/>
          <w:i/>
          <w:sz w:val="24"/>
          <w:szCs w:val="24"/>
        </w:rPr>
        <w:t>razões</w:t>
      </w:r>
      <w:r w:rsidR="00EC682B" w:rsidRPr="003A1174">
        <w:rPr>
          <w:rFonts w:ascii="Garamond" w:eastAsiaTheme="minorHAnsi" w:hAnsi="Garamond" w:cs="Arial"/>
          <w:i/>
          <w:sz w:val="24"/>
          <w:szCs w:val="24"/>
        </w:rPr>
        <w:t xml:space="preserve"> de </w:t>
      </w:r>
      <w:r w:rsidR="001D237C" w:rsidRPr="003A1174">
        <w:rPr>
          <w:rFonts w:ascii="Garamond" w:eastAsiaTheme="minorHAnsi" w:hAnsi="Garamond" w:cs="Arial"/>
          <w:i/>
          <w:sz w:val="24"/>
          <w:szCs w:val="24"/>
        </w:rPr>
        <w:t>G</w:t>
      </w:r>
      <w:r w:rsidR="00EC682B" w:rsidRPr="003A1174">
        <w:rPr>
          <w:rFonts w:ascii="Garamond" w:eastAsiaTheme="minorHAnsi" w:hAnsi="Garamond" w:cs="Arial"/>
          <w:i/>
          <w:sz w:val="24"/>
          <w:szCs w:val="24"/>
        </w:rPr>
        <w:t>énero</w:t>
      </w:r>
      <w:r w:rsidR="00EC682B" w:rsidRPr="003A1174">
        <w:rPr>
          <w:rFonts w:ascii="Garamond" w:eastAsiaTheme="minorHAnsi" w:hAnsi="Garamond" w:cs="Arial"/>
          <w:sz w:val="24"/>
          <w:szCs w:val="24"/>
        </w:rPr>
        <w:t xml:space="preserve"> </w:t>
      </w:r>
      <w:r w:rsidR="001D237C" w:rsidRPr="003A1174">
        <w:rPr>
          <w:rFonts w:ascii="Garamond" w:eastAsiaTheme="minorHAnsi" w:hAnsi="Garamond" w:cs="Arial"/>
          <w:sz w:val="24"/>
          <w:szCs w:val="24"/>
        </w:rPr>
        <w:t>que</w:t>
      </w:r>
      <w:r w:rsidRPr="003A1174">
        <w:rPr>
          <w:rFonts w:ascii="Garamond" w:eastAsiaTheme="minorHAnsi" w:hAnsi="Garamond" w:cs="Arial"/>
          <w:sz w:val="24"/>
          <w:szCs w:val="24"/>
        </w:rPr>
        <w:t xml:space="preserve"> será</w:t>
      </w:r>
      <w:r w:rsidR="005D52B0" w:rsidRPr="003A1174">
        <w:rPr>
          <w:rFonts w:ascii="Garamond" w:eastAsiaTheme="minorHAnsi" w:hAnsi="Garamond" w:cs="Arial"/>
          <w:sz w:val="24"/>
          <w:szCs w:val="24"/>
        </w:rPr>
        <w:t xml:space="preserve">, em breve, </w:t>
      </w:r>
      <w:r w:rsidR="008A3DA2" w:rsidRPr="003A1174">
        <w:rPr>
          <w:rFonts w:ascii="Garamond" w:eastAsiaTheme="minorHAnsi" w:hAnsi="Garamond" w:cs="Arial"/>
          <w:sz w:val="24"/>
          <w:szCs w:val="24"/>
        </w:rPr>
        <w:t>do</w:t>
      </w:r>
      <w:r w:rsidR="00EC682B" w:rsidRPr="003A1174">
        <w:rPr>
          <w:rFonts w:ascii="Garamond" w:eastAsiaTheme="minorHAnsi" w:hAnsi="Garamond" w:cs="Arial"/>
          <w:sz w:val="24"/>
          <w:szCs w:val="24"/>
        </w:rPr>
        <w:t xml:space="preserve"> </w:t>
      </w:r>
      <w:r w:rsidR="003E6403" w:rsidRPr="003A1174">
        <w:rPr>
          <w:rFonts w:ascii="Garamond" w:eastAsiaTheme="minorHAnsi" w:hAnsi="Garamond" w:cs="Arial"/>
          <w:sz w:val="24"/>
          <w:szCs w:val="24"/>
        </w:rPr>
        <w:t>conhecimento</w:t>
      </w:r>
      <w:r w:rsidR="00EC682B" w:rsidRPr="003A1174">
        <w:rPr>
          <w:rFonts w:ascii="Garamond" w:eastAsiaTheme="minorHAnsi" w:hAnsi="Garamond" w:cs="Arial"/>
          <w:sz w:val="24"/>
          <w:szCs w:val="24"/>
        </w:rPr>
        <w:t xml:space="preserve"> </w:t>
      </w:r>
      <w:r w:rsidR="008A3DA2" w:rsidRPr="003A1174">
        <w:rPr>
          <w:rFonts w:ascii="Garamond" w:eastAsiaTheme="minorHAnsi" w:hAnsi="Garamond" w:cs="Arial"/>
          <w:sz w:val="24"/>
          <w:szCs w:val="24"/>
        </w:rPr>
        <w:t>do</w:t>
      </w:r>
      <w:r w:rsidR="00EC682B" w:rsidRPr="003A1174">
        <w:rPr>
          <w:rFonts w:ascii="Garamond" w:eastAsiaTheme="minorHAnsi" w:hAnsi="Garamond" w:cs="Arial"/>
          <w:sz w:val="24"/>
          <w:szCs w:val="24"/>
        </w:rPr>
        <w:t xml:space="preserve"> </w:t>
      </w:r>
      <w:r w:rsidR="004C1496" w:rsidRPr="003A1174">
        <w:rPr>
          <w:rFonts w:ascii="Garamond" w:eastAsiaTheme="minorHAnsi" w:hAnsi="Garamond" w:cs="Arial"/>
          <w:sz w:val="24"/>
          <w:szCs w:val="24"/>
        </w:rPr>
        <w:t>Conselho</w:t>
      </w:r>
      <w:r w:rsidR="00EC682B" w:rsidRPr="003A1174">
        <w:rPr>
          <w:rFonts w:ascii="Garamond" w:eastAsiaTheme="minorHAnsi" w:hAnsi="Garamond" w:cs="Arial"/>
          <w:sz w:val="24"/>
          <w:szCs w:val="24"/>
        </w:rPr>
        <w:t xml:space="preserve"> Nacional </w:t>
      </w:r>
      <w:r w:rsidR="008A3DA2" w:rsidRPr="003A1174">
        <w:rPr>
          <w:rFonts w:ascii="Garamond" w:eastAsiaTheme="minorHAnsi" w:hAnsi="Garamond" w:cs="Arial"/>
          <w:sz w:val="24"/>
          <w:szCs w:val="24"/>
        </w:rPr>
        <w:t>do</w:t>
      </w:r>
      <w:r w:rsidR="00EC682B" w:rsidRPr="003A1174">
        <w:rPr>
          <w:rFonts w:ascii="Garamond" w:eastAsiaTheme="minorHAnsi" w:hAnsi="Garamond" w:cs="Arial"/>
          <w:sz w:val="24"/>
          <w:szCs w:val="24"/>
        </w:rPr>
        <w:t xml:space="preserve"> Sistema PLANOVI</w:t>
      </w:r>
      <w:r w:rsidR="001D237C" w:rsidRPr="003A1174">
        <w:rPr>
          <w:rFonts w:ascii="Garamond" w:eastAsiaTheme="minorHAnsi" w:hAnsi="Garamond" w:cs="Arial"/>
          <w:sz w:val="24"/>
          <w:szCs w:val="24"/>
        </w:rPr>
        <w:t>,</w:t>
      </w:r>
      <w:r w:rsidR="00EC682B" w:rsidRPr="003A1174">
        <w:rPr>
          <w:rFonts w:ascii="Garamond" w:eastAsiaTheme="minorHAnsi" w:hAnsi="Garamond" w:cs="Arial"/>
          <w:sz w:val="24"/>
          <w:szCs w:val="24"/>
          <w:vertAlign w:val="superscript"/>
          <w:lang w:val="es-CR"/>
        </w:rPr>
        <w:footnoteReference w:id="63"/>
      </w:r>
      <w:r w:rsidR="00EC682B" w:rsidRPr="003A1174">
        <w:rPr>
          <w:rFonts w:ascii="Garamond" w:eastAsiaTheme="minorHAnsi" w:hAnsi="Garamond" w:cs="Arial"/>
          <w:sz w:val="24"/>
          <w:szCs w:val="24"/>
        </w:rPr>
        <w:t xml:space="preserve"> co</w:t>
      </w:r>
      <w:r w:rsidRPr="003A1174">
        <w:rPr>
          <w:rFonts w:ascii="Garamond" w:eastAsiaTheme="minorHAnsi" w:hAnsi="Garamond" w:cs="Arial"/>
          <w:sz w:val="24"/>
          <w:szCs w:val="24"/>
        </w:rPr>
        <w:t xml:space="preserve">m o </w:t>
      </w:r>
      <w:r w:rsidR="00EC682B" w:rsidRPr="003A1174">
        <w:rPr>
          <w:rFonts w:ascii="Garamond" w:eastAsiaTheme="minorHAnsi" w:hAnsi="Garamond" w:cs="Arial"/>
          <w:sz w:val="24"/>
          <w:szCs w:val="24"/>
        </w:rPr>
        <w:t xml:space="preserve">propósito </w:t>
      </w:r>
      <w:r w:rsidR="001D237C" w:rsidRPr="003A1174">
        <w:rPr>
          <w:rFonts w:ascii="Garamond" w:eastAsiaTheme="minorHAnsi" w:hAnsi="Garamond" w:cs="Arial"/>
          <w:sz w:val="24"/>
          <w:szCs w:val="24"/>
        </w:rPr>
        <w:t xml:space="preserve">de </w:t>
      </w:r>
      <w:r w:rsidR="00EC682B" w:rsidRPr="003A1174">
        <w:rPr>
          <w:rFonts w:ascii="Garamond" w:eastAsiaTheme="minorHAnsi" w:hAnsi="Garamond" w:cs="Arial"/>
          <w:sz w:val="24"/>
          <w:szCs w:val="24"/>
        </w:rPr>
        <w:t>que</w:t>
      </w:r>
      <w:r w:rsidRPr="003A1174">
        <w:rPr>
          <w:rFonts w:ascii="Garamond" w:eastAsiaTheme="minorHAnsi" w:hAnsi="Garamond" w:cs="Arial"/>
          <w:sz w:val="24"/>
          <w:szCs w:val="24"/>
        </w:rPr>
        <w:t xml:space="preserve"> o referido </w:t>
      </w:r>
      <w:r w:rsidR="00EC682B" w:rsidRPr="003A1174">
        <w:rPr>
          <w:rFonts w:ascii="Garamond" w:eastAsiaTheme="minorHAnsi" w:hAnsi="Garamond" w:cs="Arial"/>
          <w:sz w:val="24"/>
          <w:szCs w:val="24"/>
        </w:rPr>
        <w:t>instrumento se</w:t>
      </w:r>
      <w:r w:rsidRPr="003A1174">
        <w:rPr>
          <w:rFonts w:ascii="Garamond" w:eastAsiaTheme="minorHAnsi" w:hAnsi="Garamond" w:cs="Arial"/>
          <w:sz w:val="24"/>
          <w:szCs w:val="24"/>
        </w:rPr>
        <w:t xml:space="preserve">ja </w:t>
      </w:r>
      <w:r w:rsidR="00EC682B" w:rsidRPr="003A1174">
        <w:rPr>
          <w:rFonts w:ascii="Garamond" w:eastAsiaTheme="minorHAnsi" w:hAnsi="Garamond" w:cs="Arial"/>
          <w:sz w:val="24"/>
          <w:szCs w:val="24"/>
        </w:rPr>
        <w:t>levado a</w:t>
      </w:r>
      <w:r w:rsidRPr="003A1174">
        <w:rPr>
          <w:rFonts w:ascii="Garamond" w:eastAsiaTheme="minorHAnsi" w:hAnsi="Garamond" w:cs="Arial"/>
          <w:sz w:val="24"/>
          <w:szCs w:val="24"/>
        </w:rPr>
        <w:t>o</w:t>
      </w:r>
      <w:r w:rsidR="00EC682B" w:rsidRPr="003A1174">
        <w:rPr>
          <w:rFonts w:ascii="Garamond" w:eastAsiaTheme="minorHAnsi" w:hAnsi="Garamond" w:cs="Arial"/>
          <w:sz w:val="24"/>
          <w:szCs w:val="24"/>
        </w:rPr>
        <w:t xml:space="preserve"> </w:t>
      </w:r>
      <w:r w:rsidR="004C1496" w:rsidRPr="003A1174">
        <w:rPr>
          <w:rFonts w:ascii="Garamond" w:eastAsiaTheme="minorHAnsi" w:hAnsi="Garamond" w:cs="Arial"/>
          <w:sz w:val="24"/>
          <w:szCs w:val="24"/>
        </w:rPr>
        <w:t>Conselho</w:t>
      </w:r>
      <w:r w:rsidR="005D52B0" w:rsidRPr="003A1174">
        <w:rPr>
          <w:rFonts w:ascii="Garamond" w:eastAsiaTheme="minorHAnsi" w:hAnsi="Garamond" w:cs="Arial"/>
          <w:sz w:val="24"/>
          <w:szCs w:val="24"/>
        </w:rPr>
        <w:t xml:space="preserve"> do</w:t>
      </w:r>
      <w:r w:rsidR="00EC682B" w:rsidRPr="003A1174">
        <w:rPr>
          <w:rFonts w:ascii="Garamond" w:eastAsiaTheme="minorHAnsi" w:hAnsi="Garamond" w:cs="Arial"/>
          <w:sz w:val="24"/>
          <w:szCs w:val="24"/>
        </w:rPr>
        <w:t xml:space="preserve"> </w:t>
      </w:r>
      <w:r w:rsidR="006506C6" w:rsidRPr="003A1174">
        <w:rPr>
          <w:rFonts w:ascii="Garamond" w:eastAsiaTheme="minorHAnsi" w:hAnsi="Garamond" w:cs="Arial"/>
          <w:sz w:val="24"/>
          <w:szCs w:val="24"/>
        </w:rPr>
        <w:t>Governo</w:t>
      </w:r>
      <w:r w:rsidR="00EC682B" w:rsidRPr="003A1174">
        <w:rPr>
          <w:rFonts w:ascii="Garamond" w:eastAsiaTheme="minorHAnsi" w:hAnsi="Garamond" w:cs="Arial"/>
          <w:sz w:val="24"/>
          <w:szCs w:val="24"/>
        </w:rPr>
        <w:t xml:space="preserve"> </w:t>
      </w:r>
      <w:r w:rsidR="00A862C2" w:rsidRPr="003A1174">
        <w:rPr>
          <w:rFonts w:ascii="Garamond" w:eastAsiaTheme="minorHAnsi" w:hAnsi="Garamond" w:cs="Arial"/>
          <w:sz w:val="24"/>
          <w:szCs w:val="24"/>
        </w:rPr>
        <w:t>costa-riquenho</w:t>
      </w:r>
      <w:r w:rsidR="00EC682B" w:rsidRPr="003A1174">
        <w:rPr>
          <w:rFonts w:ascii="Garamond" w:eastAsiaTheme="minorHAnsi" w:hAnsi="Garamond" w:cs="Arial"/>
          <w:sz w:val="24"/>
          <w:szCs w:val="24"/>
        </w:rPr>
        <w:t xml:space="preserve"> </w:t>
      </w:r>
      <w:r w:rsidR="001D237C" w:rsidRPr="003A1174">
        <w:rPr>
          <w:rFonts w:ascii="Garamond" w:eastAsiaTheme="minorHAnsi" w:hAnsi="Garamond" w:cs="Arial"/>
          <w:sz w:val="24"/>
          <w:szCs w:val="24"/>
        </w:rPr>
        <w:t>para</w:t>
      </w:r>
      <w:r w:rsidR="00EC682B" w:rsidRPr="003A1174">
        <w:rPr>
          <w:rFonts w:ascii="Garamond" w:eastAsiaTheme="minorHAnsi" w:hAnsi="Garamond" w:cs="Arial"/>
          <w:sz w:val="24"/>
          <w:szCs w:val="24"/>
        </w:rPr>
        <w:t xml:space="preserve"> que l</w:t>
      </w:r>
      <w:r w:rsidRPr="003A1174">
        <w:rPr>
          <w:rFonts w:ascii="Garamond" w:eastAsiaTheme="minorHAnsi" w:hAnsi="Garamond" w:cs="Arial"/>
          <w:sz w:val="24"/>
          <w:szCs w:val="24"/>
        </w:rPr>
        <w:t>h</w:t>
      </w:r>
      <w:r w:rsidR="00EC682B" w:rsidRPr="003A1174">
        <w:rPr>
          <w:rFonts w:ascii="Garamond" w:eastAsiaTheme="minorHAnsi" w:hAnsi="Garamond" w:cs="Arial"/>
          <w:sz w:val="24"/>
          <w:szCs w:val="24"/>
        </w:rPr>
        <w:t>e se</w:t>
      </w:r>
      <w:r w:rsidRPr="003A1174">
        <w:rPr>
          <w:rFonts w:ascii="Garamond" w:eastAsiaTheme="minorHAnsi" w:hAnsi="Garamond" w:cs="Arial"/>
          <w:sz w:val="24"/>
          <w:szCs w:val="24"/>
        </w:rPr>
        <w:t>j</w:t>
      </w:r>
      <w:r w:rsidR="00EC682B" w:rsidRPr="003A1174">
        <w:rPr>
          <w:rFonts w:ascii="Garamond" w:eastAsiaTheme="minorHAnsi" w:hAnsi="Garamond" w:cs="Arial"/>
          <w:sz w:val="24"/>
          <w:szCs w:val="24"/>
        </w:rPr>
        <w:t xml:space="preserve">a </w:t>
      </w:r>
      <w:r w:rsidRPr="003A1174">
        <w:rPr>
          <w:rFonts w:ascii="Garamond" w:eastAsiaTheme="minorHAnsi" w:hAnsi="Garamond" w:cs="Arial"/>
          <w:sz w:val="24"/>
          <w:szCs w:val="24"/>
        </w:rPr>
        <w:t xml:space="preserve">atribuído estatuto de </w:t>
      </w:r>
      <w:r w:rsidR="00EC682B" w:rsidRPr="003A1174">
        <w:rPr>
          <w:rFonts w:ascii="Garamond" w:eastAsiaTheme="minorHAnsi" w:hAnsi="Garamond" w:cs="Arial"/>
          <w:sz w:val="24"/>
          <w:szCs w:val="24"/>
        </w:rPr>
        <w:t xml:space="preserve">Decreto </w:t>
      </w:r>
      <w:r w:rsidR="00F83BA2" w:rsidRPr="003A1174">
        <w:rPr>
          <w:rFonts w:ascii="Garamond" w:eastAsiaTheme="minorHAnsi" w:hAnsi="Garamond" w:cs="Arial"/>
          <w:sz w:val="24"/>
          <w:szCs w:val="24"/>
        </w:rPr>
        <w:t>Executivo</w:t>
      </w:r>
      <w:r w:rsidR="00EC682B" w:rsidRPr="003A1174">
        <w:rPr>
          <w:rFonts w:ascii="Garamond" w:eastAsiaTheme="minorHAnsi" w:hAnsi="Garamond" w:cs="Arial"/>
          <w:sz w:val="24"/>
          <w:szCs w:val="24"/>
        </w:rPr>
        <w:t xml:space="preserve">.  </w:t>
      </w:r>
    </w:p>
    <w:p w:rsidR="009D7A0B" w:rsidRPr="003A1174" w:rsidRDefault="009D7A0B" w:rsidP="008719D4">
      <w:pPr>
        <w:spacing w:after="0" w:line="240" w:lineRule="auto"/>
        <w:jc w:val="both"/>
        <w:rPr>
          <w:rFonts w:ascii="Garamond" w:eastAsiaTheme="minorHAnsi" w:hAnsi="Garamond" w:cs="Arial"/>
          <w:sz w:val="24"/>
          <w:szCs w:val="24"/>
        </w:rPr>
      </w:pPr>
    </w:p>
    <w:p w:rsidR="00C564AF" w:rsidRPr="003A1174" w:rsidRDefault="009D7A0B" w:rsidP="008719D4">
      <w:pPr>
        <w:pStyle w:val="Predeterminado"/>
        <w:spacing w:before="240" w:line="240" w:lineRule="auto"/>
        <w:jc w:val="both"/>
        <w:rPr>
          <w:rFonts w:ascii="Garamond" w:hAnsi="Garamond" w:cs="Arial"/>
          <w:b/>
          <w:color w:val="auto"/>
          <w:sz w:val="24"/>
          <w:szCs w:val="24"/>
        </w:rPr>
      </w:pPr>
      <w:r w:rsidRPr="003A1174">
        <w:rPr>
          <w:rFonts w:ascii="Garamond" w:hAnsi="Garamond" w:cs="Arial"/>
          <w:b/>
          <w:sz w:val="24"/>
          <w:szCs w:val="24"/>
          <w:lang w:val="es-CR"/>
        </w:rPr>
        <w:t>El Salvador</w:t>
      </w:r>
      <w:r w:rsidR="00C564AF" w:rsidRPr="003A1174">
        <w:rPr>
          <w:rStyle w:val="Refdenotaalpie"/>
          <w:rFonts w:ascii="Garamond" w:hAnsi="Garamond" w:cs="Arial"/>
          <w:b/>
          <w:color w:val="auto"/>
          <w:sz w:val="24"/>
          <w:szCs w:val="24"/>
        </w:rPr>
        <w:footnoteReference w:id="64"/>
      </w:r>
    </w:p>
    <w:p w:rsidR="007A6A6C" w:rsidRPr="003A1174" w:rsidRDefault="00B14AA6" w:rsidP="008719D4">
      <w:pPr>
        <w:pStyle w:val="Prrafodelista"/>
        <w:numPr>
          <w:ilvl w:val="0"/>
          <w:numId w:val="13"/>
        </w:numPr>
        <w:spacing w:after="0" w:line="240" w:lineRule="auto"/>
        <w:jc w:val="both"/>
        <w:rPr>
          <w:rFonts w:ascii="Garamond" w:eastAsiaTheme="minorHAnsi" w:hAnsi="Garamond" w:cs="Arial"/>
          <w:color w:val="auto"/>
          <w:sz w:val="24"/>
          <w:szCs w:val="24"/>
          <w:lang w:val="es-CR"/>
        </w:rPr>
      </w:pPr>
      <w:r w:rsidRPr="003A1174">
        <w:rPr>
          <w:rFonts w:ascii="Garamond" w:hAnsi="Garamond" w:cs="Arial"/>
          <w:color w:val="auto"/>
          <w:sz w:val="24"/>
          <w:szCs w:val="24"/>
          <w:lang w:val="pt-PT"/>
        </w:rPr>
        <w:t>Disposições</w:t>
      </w:r>
      <w:r w:rsidR="007A6A6C"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7A6A6C" w:rsidRPr="003A1174">
        <w:rPr>
          <w:rFonts w:ascii="Garamond" w:eastAsiaTheme="minorHAnsi" w:hAnsi="Garamond" w:cs="Arial"/>
          <w:color w:val="auto"/>
          <w:sz w:val="24"/>
          <w:szCs w:val="24"/>
          <w:lang w:val="es-CR"/>
        </w:rPr>
        <w:t xml:space="preserve"> </w:t>
      </w:r>
    </w:p>
    <w:p w:rsidR="007A6A6C" w:rsidRPr="003A1174" w:rsidRDefault="00D4575C" w:rsidP="008719D4">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7A6A6C" w:rsidRPr="003A1174">
        <w:rPr>
          <w:rFonts w:ascii="Garamond" w:hAnsi="Garamond" w:cs="Arial"/>
          <w:color w:val="auto"/>
          <w:sz w:val="24"/>
          <w:szCs w:val="24"/>
          <w:lang w:val="pt-PT"/>
        </w:rPr>
        <w:t xml:space="preserve">Estado de El Salvador </w:t>
      </w:r>
      <w:r w:rsidR="0074243F" w:rsidRPr="003A1174">
        <w:rPr>
          <w:rFonts w:ascii="Garamond" w:hAnsi="Garamond" w:cs="Arial"/>
          <w:color w:val="auto"/>
          <w:sz w:val="24"/>
          <w:szCs w:val="24"/>
          <w:lang w:val="pt-PT"/>
        </w:rPr>
        <w:t>ratificou</w:t>
      </w:r>
      <w:r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Pr="003A1174">
        <w:rPr>
          <w:rFonts w:ascii="Garamond" w:hAnsi="Garamond" w:cs="Arial"/>
          <w:color w:val="auto"/>
          <w:sz w:val="24"/>
          <w:szCs w:val="24"/>
          <w:lang w:val="pt-PT"/>
        </w:rPr>
        <w:t xml:space="preserve"> sobre </w:t>
      </w:r>
      <w:r w:rsidR="007A6A6C" w:rsidRPr="003A1174">
        <w:rPr>
          <w:rFonts w:ascii="Garamond" w:hAnsi="Garamond" w:cs="Arial"/>
          <w:color w:val="auto"/>
          <w:sz w:val="24"/>
          <w:szCs w:val="24"/>
          <w:lang w:val="pt-PT"/>
        </w:rPr>
        <w:t xml:space="preserve">a </w:t>
      </w:r>
      <w:r w:rsidR="008E7A2A" w:rsidRPr="003A1174">
        <w:rPr>
          <w:rFonts w:ascii="Garamond" w:hAnsi="Garamond" w:cs="Arial"/>
          <w:color w:val="auto"/>
          <w:sz w:val="24"/>
          <w:szCs w:val="24"/>
          <w:lang w:val="pt-PT"/>
        </w:rPr>
        <w:t>Eliminação</w:t>
      </w:r>
      <w:r w:rsidRPr="003A1174">
        <w:rPr>
          <w:rFonts w:ascii="Garamond" w:hAnsi="Garamond" w:cs="Arial"/>
          <w:color w:val="auto"/>
          <w:sz w:val="24"/>
          <w:szCs w:val="24"/>
          <w:lang w:val="pt-PT"/>
        </w:rPr>
        <w:t xml:space="preserve"> de todas </w:t>
      </w:r>
      <w:r w:rsidR="007A6A6C" w:rsidRPr="003A1174">
        <w:rPr>
          <w:rFonts w:ascii="Garamond" w:hAnsi="Garamond" w:cs="Arial"/>
          <w:color w:val="auto"/>
          <w:sz w:val="24"/>
          <w:szCs w:val="24"/>
          <w:lang w:val="pt-PT"/>
        </w:rPr>
        <w:t xml:space="preserve">as Formas de </w:t>
      </w:r>
      <w:r w:rsidR="0017447A" w:rsidRPr="003A1174">
        <w:rPr>
          <w:rFonts w:ascii="Garamond" w:hAnsi="Garamond" w:cs="Arial"/>
          <w:color w:val="auto"/>
          <w:sz w:val="24"/>
          <w:szCs w:val="24"/>
          <w:lang w:val="pt-PT"/>
        </w:rPr>
        <w:t>Discriminação</w:t>
      </w:r>
      <w:r w:rsidRPr="003A1174">
        <w:rPr>
          <w:rFonts w:ascii="Garamond" w:hAnsi="Garamond" w:cs="Arial"/>
          <w:color w:val="auto"/>
          <w:sz w:val="24"/>
          <w:szCs w:val="24"/>
          <w:lang w:val="pt-PT"/>
        </w:rPr>
        <w:t xml:space="preserve"> contra </w:t>
      </w:r>
      <w:r w:rsidR="007A6A6C"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2B6999">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 xml:space="preserve">2 de </w:t>
      </w:r>
      <w:r w:rsidR="00077461" w:rsidRPr="003A1174">
        <w:rPr>
          <w:rFonts w:ascii="Garamond" w:hAnsi="Garamond" w:cs="Arial"/>
          <w:color w:val="auto"/>
          <w:sz w:val="24"/>
          <w:szCs w:val="24"/>
          <w:lang w:val="pt-PT"/>
        </w:rPr>
        <w:t>junho</w:t>
      </w:r>
      <w:r w:rsidR="007A6A6C" w:rsidRPr="003A1174">
        <w:rPr>
          <w:rFonts w:ascii="Garamond" w:hAnsi="Garamond" w:cs="Arial"/>
          <w:color w:val="auto"/>
          <w:sz w:val="24"/>
          <w:szCs w:val="24"/>
          <w:lang w:val="pt-PT"/>
        </w:rPr>
        <w:t xml:space="preserve"> de 1981. </w:t>
      </w:r>
      <w:r w:rsidRPr="003A1174">
        <w:rPr>
          <w:rFonts w:ascii="Garamond" w:hAnsi="Garamond" w:cs="Arial"/>
          <w:color w:val="auto"/>
          <w:sz w:val="24"/>
          <w:szCs w:val="24"/>
          <w:lang w:val="pt-PT"/>
        </w:rPr>
        <w:t xml:space="preserve">Até à </w:t>
      </w:r>
      <w:r w:rsidR="0074243F" w:rsidRPr="003A1174">
        <w:rPr>
          <w:rFonts w:ascii="Garamond" w:hAnsi="Garamond" w:cs="Arial"/>
          <w:color w:val="auto"/>
          <w:sz w:val="24"/>
          <w:szCs w:val="24"/>
          <w:lang w:val="pt-PT"/>
        </w:rPr>
        <w:t>data</w:t>
      </w:r>
      <w:r w:rsidR="001D237C"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continua pendente </w:t>
      </w:r>
      <w:r w:rsidR="007A6A6C" w:rsidRPr="003A1174">
        <w:rPr>
          <w:rFonts w:ascii="Garamond" w:hAnsi="Garamond" w:cs="Arial"/>
          <w:color w:val="auto"/>
          <w:sz w:val="24"/>
          <w:szCs w:val="24"/>
          <w:lang w:val="pt-PT"/>
        </w:rPr>
        <w:t xml:space="preserve">a </w:t>
      </w:r>
      <w:r w:rsidR="00D96FD0" w:rsidRPr="003A1174">
        <w:rPr>
          <w:rFonts w:ascii="Garamond" w:hAnsi="Garamond" w:cs="Arial"/>
          <w:color w:val="auto"/>
          <w:sz w:val="24"/>
          <w:szCs w:val="24"/>
          <w:lang w:val="pt-PT"/>
        </w:rPr>
        <w:t>ratificação</w:t>
      </w:r>
      <w:r w:rsidR="007A6A6C"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 xml:space="preserve">o seu </w:t>
      </w:r>
      <w:r w:rsidR="007A6A6C" w:rsidRPr="003A1174">
        <w:rPr>
          <w:rFonts w:ascii="Garamond" w:hAnsi="Garamond" w:cs="Arial"/>
          <w:color w:val="auto"/>
          <w:sz w:val="24"/>
          <w:szCs w:val="24"/>
          <w:lang w:val="pt-PT"/>
        </w:rPr>
        <w:t xml:space="preserve">Protocolo </w:t>
      </w:r>
      <w:r w:rsidR="000456B2" w:rsidRPr="003A1174">
        <w:rPr>
          <w:rFonts w:ascii="Garamond" w:hAnsi="Garamond" w:cs="Arial"/>
          <w:color w:val="auto"/>
          <w:sz w:val="24"/>
          <w:szCs w:val="24"/>
          <w:lang w:val="pt-PT"/>
        </w:rPr>
        <w:t>Opcional</w:t>
      </w:r>
      <w:r w:rsidR="007A6A6C" w:rsidRPr="003A1174">
        <w:rPr>
          <w:rFonts w:ascii="Garamond" w:hAnsi="Garamond" w:cs="Arial"/>
          <w:color w:val="auto"/>
          <w:sz w:val="24"/>
          <w:szCs w:val="24"/>
          <w:lang w:val="pt-PT"/>
        </w:rPr>
        <w:t xml:space="preserve">, </w:t>
      </w:r>
      <w:r w:rsidR="00E539A2" w:rsidRPr="003A1174">
        <w:rPr>
          <w:rFonts w:ascii="Garamond" w:hAnsi="Garamond" w:cs="Arial"/>
          <w:color w:val="auto"/>
          <w:sz w:val="24"/>
          <w:szCs w:val="24"/>
          <w:lang w:val="pt-PT"/>
        </w:rPr>
        <w:t>sendo</w:t>
      </w:r>
      <w:r w:rsidRPr="003A1174">
        <w:rPr>
          <w:rFonts w:ascii="Garamond" w:hAnsi="Garamond" w:cs="Arial"/>
          <w:color w:val="auto"/>
          <w:sz w:val="24"/>
          <w:szCs w:val="24"/>
          <w:lang w:val="pt-PT"/>
        </w:rPr>
        <w:t xml:space="preserve"> um</w:t>
      </w:r>
      <w:r w:rsidR="007A6A6C"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prioridade</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na </w:t>
      </w:r>
      <w:r w:rsidR="00FB09CA" w:rsidRPr="003A1174">
        <w:rPr>
          <w:rFonts w:ascii="Garamond" w:hAnsi="Garamond" w:cs="Arial"/>
          <w:color w:val="auto"/>
          <w:sz w:val="24"/>
          <w:szCs w:val="24"/>
          <w:lang w:val="pt-PT"/>
        </w:rPr>
        <w:t>atual</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gestão</w:t>
      </w:r>
      <w:r w:rsidR="007A6A6C" w:rsidRPr="003A1174">
        <w:rPr>
          <w:rFonts w:ascii="Garamond" w:hAnsi="Garamond" w:cs="Arial"/>
          <w:color w:val="auto"/>
          <w:sz w:val="24"/>
          <w:szCs w:val="24"/>
          <w:lang w:val="pt-PT"/>
        </w:rPr>
        <w:t xml:space="preserve"> da </w:t>
      </w:r>
      <w:r w:rsidR="0096583F" w:rsidRPr="003A1174">
        <w:rPr>
          <w:rFonts w:ascii="Garamond" w:hAnsi="Garamond" w:cs="Arial"/>
          <w:color w:val="auto"/>
          <w:sz w:val="24"/>
          <w:szCs w:val="24"/>
          <w:lang w:val="pt-PT"/>
        </w:rPr>
        <w:t>Procuradoria</w:t>
      </w:r>
      <w:r w:rsidRPr="003A1174">
        <w:rPr>
          <w:rFonts w:ascii="Garamond" w:hAnsi="Garamond" w:cs="Arial"/>
          <w:color w:val="auto"/>
          <w:sz w:val="24"/>
          <w:szCs w:val="24"/>
          <w:lang w:val="pt-PT"/>
        </w:rPr>
        <w:t xml:space="preserve"> para </w:t>
      </w:r>
      <w:r w:rsidR="007A6A6C"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Defesa</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7A6A6C"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 xml:space="preserve">s Humanos.  </w:t>
      </w:r>
    </w:p>
    <w:p w:rsidR="007A6A6C" w:rsidRPr="003A1174" w:rsidRDefault="00D4575C"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802ACC" w:rsidRPr="003A1174">
        <w:rPr>
          <w:rFonts w:ascii="Garamond" w:hAnsi="Garamond" w:cs="Arial"/>
          <w:color w:val="auto"/>
          <w:sz w:val="24"/>
          <w:szCs w:val="24"/>
          <w:lang w:val="pt-PT"/>
        </w:rPr>
        <w:t>âmbito</w:t>
      </w:r>
      <w:r w:rsidRPr="003A1174">
        <w:rPr>
          <w:rFonts w:ascii="Garamond" w:hAnsi="Garamond" w:cs="Arial"/>
          <w:color w:val="auto"/>
          <w:sz w:val="24"/>
          <w:szCs w:val="24"/>
          <w:lang w:val="pt-PT"/>
        </w:rPr>
        <w:t xml:space="preserve"> regional, </w:t>
      </w:r>
      <w:r w:rsidR="007A6A6C"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7A6A6C" w:rsidRPr="003A1174">
        <w:rPr>
          <w:rFonts w:ascii="Garamond" w:hAnsi="Garamond" w:cs="Arial"/>
          <w:color w:val="auto"/>
          <w:sz w:val="24"/>
          <w:szCs w:val="24"/>
          <w:lang w:val="pt-PT"/>
        </w:rPr>
        <w:t xml:space="preserve"> Americana sobre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 xml:space="preserve">s Humanos </w:t>
      </w:r>
      <w:r w:rsidR="001D237C" w:rsidRPr="003A1174">
        <w:rPr>
          <w:rFonts w:ascii="Garamond" w:hAnsi="Garamond" w:cs="Arial"/>
          <w:color w:val="auto"/>
          <w:sz w:val="24"/>
          <w:szCs w:val="24"/>
          <w:lang w:val="pt-PT"/>
        </w:rPr>
        <w:t>f</w:t>
      </w:r>
      <w:r w:rsidRPr="003A1174">
        <w:rPr>
          <w:rFonts w:ascii="Garamond" w:hAnsi="Garamond" w:cs="Arial"/>
          <w:color w:val="auto"/>
          <w:sz w:val="24"/>
          <w:szCs w:val="24"/>
          <w:lang w:val="pt-PT"/>
        </w:rPr>
        <w:t>oi r</w:t>
      </w:r>
      <w:r w:rsidR="007A6A6C" w:rsidRPr="003A1174">
        <w:rPr>
          <w:rFonts w:ascii="Garamond" w:hAnsi="Garamond" w:cs="Arial"/>
          <w:color w:val="auto"/>
          <w:sz w:val="24"/>
          <w:szCs w:val="24"/>
          <w:lang w:val="pt-PT"/>
        </w:rPr>
        <w:t>atific</w:t>
      </w:r>
      <w:r w:rsidR="001D237C" w:rsidRPr="003A1174">
        <w:rPr>
          <w:rFonts w:ascii="Garamond" w:hAnsi="Garamond" w:cs="Arial"/>
          <w:color w:val="auto"/>
          <w:sz w:val="24"/>
          <w:szCs w:val="24"/>
          <w:lang w:val="pt-PT"/>
        </w:rPr>
        <w:t>ada</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 xml:space="preserve">15 de </w:t>
      </w:r>
      <w:r w:rsidR="00077461" w:rsidRPr="003A1174">
        <w:rPr>
          <w:rFonts w:ascii="Garamond" w:hAnsi="Garamond" w:cs="Arial"/>
          <w:color w:val="auto"/>
          <w:sz w:val="24"/>
          <w:szCs w:val="24"/>
          <w:lang w:val="pt-PT"/>
        </w:rPr>
        <w:t>junho</w:t>
      </w:r>
      <w:r w:rsidR="007A6A6C" w:rsidRPr="003A1174">
        <w:rPr>
          <w:rFonts w:ascii="Garamond" w:hAnsi="Garamond" w:cs="Arial"/>
          <w:color w:val="auto"/>
          <w:sz w:val="24"/>
          <w:szCs w:val="24"/>
          <w:lang w:val="pt-PT"/>
        </w:rPr>
        <w:t xml:space="preserve"> de 1978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reconheceu-</w:t>
      </w:r>
      <w:r w:rsidR="001D237C" w:rsidRPr="003A1174">
        <w:rPr>
          <w:rFonts w:ascii="Garamond" w:hAnsi="Garamond" w:cs="Arial"/>
          <w:color w:val="auto"/>
          <w:sz w:val="24"/>
          <w:szCs w:val="24"/>
          <w:lang w:val="pt-PT"/>
        </w:rPr>
        <w:t xml:space="preserve">se </w:t>
      </w:r>
      <w:r w:rsidR="007A6A6C" w:rsidRPr="003A1174">
        <w:rPr>
          <w:rFonts w:ascii="Garamond" w:hAnsi="Garamond" w:cs="Arial"/>
          <w:color w:val="auto"/>
          <w:sz w:val="24"/>
          <w:szCs w:val="24"/>
          <w:lang w:val="pt-PT"/>
        </w:rPr>
        <w:t xml:space="preserve">a </w:t>
      </w:r>
      <w:r w:rsidR="00C86C58" w:rsidRPr="003A1174">
        <w:rPr>
          <w:rFonts w:ascii="Garamond" w:hAnsi="Garamond" w:cs="Arial"/>
          <w:color w:val="auto"/>
          <w:sz w:val="24"/>
          <w:szCs w:val="24"/>
          <w:lang w:val="pt-PT"/>
        </w:rPr>
        <w:t>competência</w:t>
      </w:r>
      <w:r w:rsidR="00374785" w:rsidRPr="003A1174">
        <w:rPr>
          <w:rFonts w:ascii="Garamond" w:hAnsi="Garamond" w:cs="Arial"/>
          <w:color w:val="auto"/>
          <w:sz w:val="24"/>
          <w:szCs w:val="24"/>
          <w:lang w:val="pt-PT"/>
        </w:rPr>
        <w:t xml:space="preserve"> contenciosa d</w:t>
      </w:r>
      <w:r w:rsidR="00935298">
        <w:rPr>
          <w:rFonts w:ascii="Garamond" w:hAnsi="Garamond" w:cs="Arial"/>
          <w:color w:val="auto"/>
          <w:sz w:val="24"/>
          <w:szCs w:val="24"/>
          <w:lang w:val="pt-PT"/>
        </w:rPr>
        <w:t>o</w:t>
      </w:r>
      <w:r w:rsidR="00042808">
        <w:rPr>
          <w:rFonts w:ascii="Garamond" w:hAnsi="Garamond" w:cs="Arial"/>
          <w:color w:val="auto"/>
          <w:sz w:val="24"/>
          <w:szCs w:val="24"/>
          <w:lang w:val="pt-PT"/>
        </w:rPr>
        <w:t xml:space="preserve"> </w:t>
      </w:r>
      <w:r w:rsidR="00935298">
        <w:rPr>
          <w:rFonts w:ascii="Garamond" w:hAnsi="Garamond" w:cs="Arial"/>
          <w:color w:val="auto"/>
          <w:sz w:val="24"/>
          <w:szCs w:val="24"/>
          <w:lang w:val="pt-PT"/>
        </w:rPr>
        <w:t>Tribunal</w:t>
      </w:r>
      <w:r w:rsidR="002A7FDD"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Interamerican</w:t>
      </w:r>
      <w:r w:rsidR="00935298">
        <w:rPr>
          <w:rFonts w:ascii="Garamond" w:hAnsi="Garamond" w:cs="Arial"/>
          <w:color w:val="auto"/>
          <w:sz w:val="24"/>
          <w:szCs w:val="24"/>
          <w:lang w:val="pt-PT"/>
        </w:rPr>
        <w:t>o</w:t>
      </w:r>
      <w:r w:rsidR="007A6A6C"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s Humanos</w:t>
      </w:r>
      <w:r w:rsidR="00042808">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 xml:space="preserve">6 de </w:t>
      </w:r>
      <w:r w:rsidR="00077461" w:rsidRPr="003A1174">
        <w:rPr>
          <w:rFonts w:ascii="Garamond" w:hAnsi="Garamond" w:cs="Arial"/>
          <w:color w:val="auto"/>
          <w:sz w:val="24"/>
          <w:szCs w:val="24"/>
          <w:lang w:val="pt-PT"/>
        </w:rPr>
        <w:t>junho</w:t>
      </w:r>
      <w:r w:rsidR="007A6A6C" w:rsidRPr="003A1174">
        <w:rPr>
          <w:rFonts w:ascii="Garamond" w:hAnsi="Garamond" w:cs="Arial"/>
          <w:color w:val="auto"/>
          <w:sz w:val="24"/>
          <w:szCs w:val="24"/>
          <w:lang w:val="pt-PT"/>
        </w:rPr>
        <w:t xml:space="preserve"> de 1995. </w:t>
      </w:r>
      <w:r w:rsidR="00374785" w:rsidRPr="003A1174">
        <w:rPr>
          <w:rFonts w:ascii="Garamond" w:hAnsi="Garamond" w:cs="Arial"/>
          <w:color w:val="auto"/>
          <w:sz w:val="24"/>
          <w:szCs w:val="24"/>
          <w:lang w:val="pt-PT"/>
        </w:rPr>
        <w:t xml:space="preserve">Também faz </w:t>
      </w:r>
      <w:r w:rsidR="007A6A6C" w:rsidRPr="003A1174">
        <w:rPr>
          <w:rFonts w:ascii="Garamond" w:hAnsi="Garamond" w:cs="Arial"/>
          <w:color w:val="auto"/>
          <w:sz w:val="24"/>
          <w:szCs w:val="24"/>
          <w:lang w:val="pt-PT"/>
        </w:rPr>
        <w:t xml:space="preserve">parte </w:t>
      </w:r>
      <w:r w:rsidR="008A3DA2" w:rsidRPr="003A1174">
        <w:rPr>
          <w:rFonts w:ascii="Garamond" w:hAnsi="Garamond" w:cs="Arial"/>
          <w:color w:val="auto"/>
          <w:sz w:val="24"/>
          <w:szCs w:val="24"/>
          <w:lang w:val="pt-PT"/>
        </w:rPr>
        <w:t>do</w:t>
      </w:r>
      <w:r w:rsidR="007A6A6C" w:rsidRPr="003A1174">
        <w:rPr>
          <w:rFonts w:ascii="Garamond" w:hAnsi="Garamond" w:cs="Arial"/>
          <w:color w:val="auto"/>
          <w:sz w:val="24"/>
          <w:szCs w:val="24"/>
          <w:lang w:val="pt-PT"/>
        </w:rPr>
        <w:t xml:space="preserve"> </w:t>
      </w:r>
      <w:r w:rsidR="00C86C58" w:rsidRPr="003A1174">
        <w:rPr>
          <w:rFonts w:ascii="Garamond" w:hAnsi="Garamond" w:cs="Arial"/>
          <w:color w:val="auto"/>
          <w:sz w:val="24"/>
          <w:szCs w:val="24"/>
          <w:lang w:val="pt-PT"/>
        </w:rPr>
        <w:t>ordenamento</w:t>
      </w:r>
      <w:r w:rsidR="00374785" w:rsidRPr="003A1174">
        <w:rPr>
          <w:rFonts w:ascii="Garamond" w:hAnsi="Garamond" w:cs="Arial"/>
          <w:color w:val="auto"/>
          <w:sz w:val="24"/>
          <w:szCs w:val="24"/>
          <w:lang w:val="pt-PT"/>
        </w:rPr>
        <w:t xml:space="preserve"> jurídico nacional, </w:t>
      </w:r>
      <w:r w:rsidR="007A6A6C"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7A6A6C" w:rsidRPr="003A1174">
        <w:rPr>
          <w:rFonts w:ascii="Garamond" w:hAnsi="Garamond" w:cs="Arial"/>
          <w:color w:val="auto"/>
          <w:sz w:val="24"/>
          <w:szCs w:val="24"/>
          <w:lang w:val="pt-PT"/>
        </w:rPr>
        <w:t xml:space="preserve"> Interamericana para </w:t>
      </w:r>
      <w:r w:rsidR="003F493C" w:rsidRPr="003A1174">
        <w:rPr>
          <w:rFonts w:ascii="Garamond" w:hAnsi="Garamond" w:cs="Arial"/>
          <w:color w:val="auto"/>
          <w:sz w:val="24"/>
          <w:szCs w:val="24"/>
          <w:lang w:val="pt-PT"/>
        </w:rPr>
        <w:t>Prevenir, Punir e Erradicar</w:t>
      </w:r>
      <w:r w:rsidR="00374785"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374785" w:rsidRPr="003A1174">
        <w:rPr>
          <w:rFonts w:ascii="Garamond" w:hAnsi="Garamond" w:cs="Arial"/>
          <w:color w:val="auto"/>
          <w:sz w:val="24"/>
          <w:szCs w:val="24"/>
          <w:lang w:val="pt-PT"/>
        </w:rPr>
        <w:t xml:space="preserve"> contra </w:t>
      </w:r>
      <w:r w:rsidR="007A6A6C"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7A6A6C" w:rsidRPr="003A1174">
        <w:rPr>
          <w:rFonts w:ascii="Garamond" w:hAnsi="Garamond" w:cs="Arial"/>
          <w:color w:val="auto"/>
          <w:sz w:val="24"/>
          <w:szCs w:val="24"/>
          <w:lang w:val="pt-PT"/>
        </w:rPr>
        <w:t>, desde 23 de agosto de 1995.</w:t>
      </w:r>
    </w:p>
    <w:p w:rsidR="007A6A6C" w:rsidRPr="003A1174" w:rsidRDefault="00334EF2" w:rsidP="008719D4">
      <w:pPr>
        <w:pStyle w:val="Predeterminado"/>
        <w:spacing w:line="240" w:lineRule="auto"/>
        <w:jc w:val="both"/>
        <w:rPr>
          <w:rFonts w:ascii="Garamond" w:hAnsi="Garamond" w:cs="Arial"/>
          <w:color w:val="auto"/>
          <w:sz w:val="24"/>
          <w:szCs w:val="24"/>
          <w:lang w:val="pt-PT"/>
        </w:rPr>
      </w:pPr>
      <w:r w:rsidRPr="002B6999">
        <w:rPr>
          <w:rFonts w:ascii="Garamond" w:hAnsi="Garamond" w:cs="Arial"/>
          <w:color w:val="auto"/>
          <w:sz w:val="24"/>
          <w:szCs w:val="24"/>
          <w:lang w:val="pt-PT"/>
        </w:rPr>
        <w:t>Mais adiante</w:t>
      </w:r>
      <w:r w:rsidR="002B6999" w:rsidRPr="002B6999">
        <w:rPr>
          <w:rFonts w:ascii="Garamond" w:hAnsi="Garamond" w:cs="Arial"/>
          <w:color w:val="auto"/>
          <w:sz w:val="24"/>
          <w:szCs w:val="24"/>
          <w:lang w:val="pt-PT"/>
        </w:rPr>
        <w:t>,</w:t>
      </w:r>
      <w:r w:rsidRPr="002B6999">
        <w:rPr>
          <w:rFonts w:ascii="Garamond" w:hAnsi="Garamond" w:cs="Arial"/>
          <w:color w:val="auto"/>
          <w:sz w:val="24"/>
          <w:szCs w:val="24"/>
          <w:lang w:val="pt-PT"/>
        </w:rPr>
        <w:t xml:space="preserve"> </w:t>
      </w:r>
      <w:r w:rsidR="001D237C" w:rsidRPr="002B6999">
        <w:rPr>
          <w:rFonts w:ascii="Garamond" w:hAnsi="Garamond" w:cs="Arial"/>
          <w:color w:val="auto"/>
          <w:sz w:val="24"/>
          <w:szCs w:val="24"/>
          <w:lang w:val="pt-PT"/>
        </w:rPr>
        <w:t>mencionaremos</w:t>
      </w:r>
      <w:r w:rsidR="00374785"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 xml:space="preserve">os </w:t>
      </w:r>
      <w:r w:rsidR="000866B6" w:rsidRPr="003A1174">
        <w:rPr>
          <w:rFonts w:ascii="Garamond" w:hAnsi="Garamond" w:cs="Arial"/>
          <w:color w:val="auto"/>
          <w:sz w:val="24"/>
          <w:szCs w:val="24"/>
          <w:lang w:val="pt-PT"/>
        </w:rPr>
        <w:t>três</w:t>
      </w:r>
      <w:r w:rsidR="007A6A6C" w:rsidRPr="003A1174">
        <w:rPr>
          <w:rFonts w:ascii="Garamond" w:hAnsi="Garamond" w:cs="Arial"/>
          <w:color w:val="auto"/>
          <w:sz w:val="24"/>
          <w:szCs w:val="24"/>
          <w:lang w:val="pt-PT"/>
        </w:rPr>
        <w:t xml:space="preserve"> </w:t>
      </w:r>
      <w:r w:rsidR="002F5CD1" w:rsidRPr="003A1174">
        <w:rPr>
          <w:rFonts w:ascii="Garamond" w:hAnsi="Garamond" w:cs="Arial"/>
          <w:color w:val="auto"/>
          <w:sz w:val="24"/>
          <w:szCs w:val="24"/>
          <w:lang w:val="pt-PT"/>
        </w:rPr>
        <w:t>principais</w:t>
      </w:r>
      <w:r w:rsidR="007A6A6C" w:rsidRPr="003A1174">
        <w:rPr>
          <w:rFonts w:ascii="Garamond" w:hAnsi="Garamond" w:cs="Arial"/>
          <w:color w:val="auto"/>
          <w:sz w:val="24"/>
          <w:szCs w:val="24"/>
          <w:lang w:val="pt-PT"/>
        </w:rPr>
        <w:t xml:space="preserve"> c</w:t>
      </w:r>
      <w:r w:rsidR="00374785" w:rsidRPr="003A1174">
        <w:rPr>
          <w:rFonts w:ascii="Garamond" w:hAnsi="Garamond" w:cs="Arial"/>
          <w:color w:val="auto"/>
          <w:sz w:val="24"/>
          <w:szCs w:val="24"/>
          <w:lang w:val="pt-PT"/>
        </w:rPr>
        <w:t>o</w:t>
      </w:r>
      <w:r w:rsidR="007A6A6C" w:rsidRPr="003A1174">
        <w:rPr>
          <w:rFonts w:ascii="Garamond" w:hAnsi="Garamond" w:cs="Arial"/>
          <w:color w:val="auto"/>
          <w:sz w:val="24"/>
          <w:szCs w:val="24"/>
          <w:lang w:val="pt-PT"/>
        </w:rPr>
        <w:t>rpos normativos que recon</w:t>
      </w:r>
      <w:r w:rsidR="00374785" w:rsidRPr="003A1174">
        <w:rPr>
          <w:rFonts w:ascii="Garamond" w:hAnsi="Garamond" w:cs="Arial"/>
          <w:color w:val="auto"/>
          <w:sz w:val="24"/>
          <w:szCs w:val="24"/>
          <w:lang w:val="pt-PT"/>
        </w:rPr>
        <w:t xml:space="preserve">hecem </w:t>
      </w:r>
      <w:r w:rsidR="00886D6A" w:rsidRPr="003A1174">
        <w:rPr>
          <w:rFonts w:ascii="Garamond" w:hAnsi="Garamond" w:cs="Arial"/>
          <w:color w:val="auto"/>
          <w:sz w:val="24"/>
          <w:szCs w:val="24"/>
          <w:lang w:val="pt-PT"/>
        </w:rPr>
        <w:t>direito</w:t>
      </w:r>
      <w:r w:rsidR="00374785" w:rsidRPr="003A1174">
        <w:rPr>
          <w:rFonts w:ascii="Garamond" w:hAnsi="Garamond" w:cs="Arial"/>
          <w:color w:val="auto"/>
          <w:sz w:val="24"/>
          <w:szCs w:val="24"/>
          <w:lang w:val="pt-PT"/>
        </w:rPr>
        <w:t xml:space="preserve">s específicos para </w:t>
      </w:r>
      <w:r w:rsidR="007A6A6C"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(a) </w:t>
      </w:r>
      <w:r w:rsidR="00D15AFF" w:rsidRPr="003A1174">
        <w:rPr>
          <w:rFonts w:ascii="Garamond" w:hAnsi="Garamond" w:cs="Arial"/>
          <w:color w:val="auto"/>
          <w:sz w:val="24"/>
          <w:szCs w:val="24"/>
          <w:lang w:val="pt-PT"/>
        </w:rPr>
        <w:t>Lei</w:t>
      </w:r>
      <w:r w:rsidR="00374785" w:rsidRPr="003A1174">
        <w:rPr>
          <w:rFonts w:ascii="Garamond" w:hAnsi="Garamond" w:cs="Arial"/>
          <w:color w:val="auto"/>
          <w:sz w:val="24"/>
          <w:szCs w:val="24"/>
          <w:lang w:val="pt-PT"/>
        </w:rPr>
        <w:t xml:space="preserve"> contra </w:t>
      </w:r>
      <w:r w:rsidR="007A6A6C"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7A6A6C" w:rsidRPr="003A1174">
        <w:rPr>
          <w:rFonts w:ascii="Garamond" w:hAnsi="Garamond" w:cs="Arial"/>
          <w:color w:val="auto"/>
          <w:sz w:val="24"/>
          <w:szCs w:val="24"/>
          <w:lang w:val="pt-PT"/>
        </w:rPr>
        <w:t xml:space="preserve"> Intrafamiliar</w:t>
      </w:r>
      <w:r w:rsidR="007A6A6C" w:rsidRPr="003A1174">
        <w:rPr>
          <w:rStyle w:val="Refdenotaalpie"/>
          <w:rFonts w:ascii="Garamond" w:hAnsi="Garamond" w:cs="Arial"/>
          <w:color w:val="auto"/>
          <w:sz w:val="24"/>
          <w:szCs w:val="24"/>
          <w:lang w:val="es-CR"/>
        </w:rPr>
        <w:footnoteReference w:id="65"/>
      </w:r>
      <w:r w:rsidR="001D237C"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(b) </w:t>
      </w:r>
      <w:r w:rsidR="00D15AFF" w:rsidRPr="003A1174">
        <w:rPr>
          <w:rFonts w:ascii="Garamond" w:hAnsi="Garamond" w:cs="Arial"/>
          <w:color w:val="auto"/>
          <w:sz w:val="24"/>
          <w:szCs w:val="24"/>
          <w:lang w:val="pt-PT"/>
        </w:rPr>
        <w:t>Lei</w:t>
      </w:r>
      <w:r w:rsidR="007A6A6C"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Igualdade</w:t>
      </w:r>
      <w:r w:rsidR="007A6A6C" w:rsidRPr="003A1174">
        <w:rPr>
          <w:rFonts w:ascii="Garamond" w:hAnsi="Garamond" w:cs="Arial"/>
          <w:color w:val="auto"/>
          <w:sz w:val="24"/>
          <w:szCs w:val="24"/>
          <w:lang w:val="pt-PT"/>
        </w:rPr>
        <w:t xml:space="preserve">, </w:t>
      </w:r>
      <w:r w:rsidR="00C01806" w:rsidRPr="003A1174">
        <w:rPr>
          <w:rFonts w:ascii="Garamond" w:hAnsi="Garamond" w:cs="Arial"/>
          <w:color w:val="auto"/>
          <w:sz w:val="24"/>
          <w:szCs w:val="24"/>
          <w:lang w:val="pt-PT"/>
        </w:rPr>
        <w:t>Equidade</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Erradicação</w:t>
      </w:r>
      <w:r w:rsidR="00374785" w:rsidRPr="003A1174">
        <w:rPr>
          <w:rFonts w:ascii="Garamond" w:hAnsi="Garamond" w:cs="Arial"/>
          <w:color w:val="auto"/>
          <w:sz w:val="24"/>
          <w:szCs w:val="24"/>
          <w:lang w:val="pt-PT"/>
        </w:rPr>
        <w:t xml:space="preserve"> d</w:t>
      </w:r>
      <w:r w:rsidR="007A6A6C" w:rsidRPr="003A1174">
        <w:rPr>
          <w:rFonts w:ascii="Garamond" w:hAnsi="Garamond" w:cs="Arial"/>
          <w:color w:val="auto"/>
          <w:sz w:val="24"/>
          <w:szCs w:val="24"/>
          <w:lang w:val="pt-PT"/>
        </w:rPr>
        <w:t xml:space="preserve">a </w:t>
      </w:r>
      <w:r w:rsidR="0017447A" w:rsidRPr="003A1174">
        <w:rPr>
          <w:rFonts w:ascii="Garamond" w:hAnsi="Garamond" w:cs="Arial"/>
          <w:color w:val="auto"/>
          <w:sz w:val="24"/>
          <w:szCs w:val="24"/>
          <w:lang w:val="pt-PT"/>
        </w:rPr>
        <w:t>Discriminação</w:t>
      </w:r>
      <w:r w:rsidR="00374785" w:rsidRPr="003A1174">
        <w:rPr>
          <w:rFonts w:ascii="Garamond" w:hAnsi="Garamond" w:cs="Arial"/>
          <w:color w:val="auto"/>
          <w:sz w:val="24"/>
          <w:szCs w:val="24"/>
          <w:lang w:val="pt-PT"/>
        </w:rPr>
        <w:t xml:space="preserve"> contra </w:t>
      </w:r>
      <w:r w:rsidR="007A6A6C"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 LIE</w:t>
      </w:r>
      <w:r w:rsidR="007A6A6C" w:rsidRPr="003A1174">
        <w:rPr>
          <w:rStyle w:val="Refdenotaalpie"/>
          <w:rFonts w:ascii="Garamond" w:hAnsi="Garamond" w:cs="Arial"/>
          <w:color w:val="auto"/>
          <w:sz w:val="24"/>
          <w:szCs w:val="24"/>
          <w:lang w:val="es-CR"/>
        </w:rPr>
        <w:footnoteReference w:id="66"/>
      </w:r>
      <w:r w:rsidR="001D237C"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(c) </w:t>
      </w:r>
      <w:r w:rsidR="00D15AFF" w:rsidRPr="003A1174">
        <w:rPr>
          <w:rFonts w:ascii="Garamond" w:hAnsi="Garamond" w:cs="Arial"/>
          <w:color w:val="auto"/>
          <w:sz w:val="24"/>
          <w:szCs w:val="24"/>
          <w:lang w:val="pt-PT"/>
        </w:rPr>
        <w:t>Lei</w:t>
      </w:r>
      <w:r w:rsidR="007A6A6C" w:rsidRPr="003A1174">
        <w:rPr>
          <w:rFonts w:ascii="Garamond" w:hAnsi="Garamond" w:cs="Arial"/>
          <w:color w:val="auto"/>
          <w:sz w:val="24"/>
          <w:szCs w:val="24"/>
          <w:lang w:val="pt-PT"/>
        </w:rPr>
        <w:t xml:space="preserve"> Especial Integral para</w:t>
      </w:r>
      <w:r w:rsidR="00374785" w:rsidRPr="003A1174">
        <w:rPr>
          <w:rFonts w:ascii="Garamond" w:hAnsi="Garamond" w:cs="Arial"/>
          <w:color w:val="auto"/>
          <w:sz w:val="24"/>
          <w:szCs w:val="24"/>
          <w:lang w:val="pt-PT"/>
        </w:rPr>
        <w:t xml:space="preserve"> um</w:t>
      </w:r>
      <w:r w:rsidR="007A6A6C" w:rsidRPr="003A1174">
        <w:rPr>
          <w:rFonts w:ascii="Garamond" w:hAnsi="Garamond" w:cs="Arial"/>
          <w:color w:val="auto"/>
          <w:sz w:val="24"/>
          <w:szCs w:val="24"/>
          <w:lang w:val="pt-PT"/>
        </w:rPr>
        <w:t xml:space="preserve">a Vida </w:t>
      </w:r>
      <w:r w:rsidR="00AF192F" w:rsidRPr="003A1174">
        <w:rPr>
          <w:rFonts w:ascii="Garamond" w:hAnsi="Garamond" w:cs="Arial"/>
          <w:color w:val="auto"/>
          <w:sz w:val="24"/>
          <w:szCs w:val="24"/>
          <w:lang w:val="pt-PT"/>
        </w:rPr>
        <w:t>Livre</w:t>
      </w:r>
      <w:r w:rsidR="007A6A6C"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7A6A6C" w:rsidRPr="003A1174">
        <w:rPr>
          <w:rFonts w:ascii="Garamond" w:hAnsi="Garamond" w:cs="Arial"/>
          <w:color w:val="auto"/>
          <w:sz w:val="24"/>
          <w:szCs w:val="24"/>
          <w:lang w:val="pt-PT"/>
        </w:rPr>
        <w:t>-LEIV</w:t>
      </w:r>
      <w:r w:rsidR="001D237C" w:rsidRPr="003A1174">
        <w:rPr>
          <w:rFonts w:ascii="Garamond" w:hAnsi="Garamond" w:cs="Arial"/>
          <w:color w:val="auto"/>
          <w:sz w:val="24"/>
          <w:szCs w:val="24"/>
          <w:lang w:val="pt-PT"/>
        </w:rPr>
        <w:t>.</w:t>
      </w:r>
      <w:r w:rsidR="007A6A6C" w:rsidRPr="003A1174">
        <w:rPr>
          <w:rStyle w:val="Refdenotaalpie"/>
          <w:rFonts w:ascii="Garamond" w:hAnsi="Garamond" w:cs="Arial"/>
          <w:color w:val="auto"/>
          <w:sz w:val="24"/>
          <w:szCs w:val="24"/>
          <w:lang w:val="es-CR"/>
        </w:rPr>
        <w:footnoteReference w:id="67"/>
      </w:r>
      <w:r w:rsidR="007A6A6C" w:rsidRPr="003A1174">
        <w:rPr>
          <w:rFonts w:ascii="Garamond" w:hAnsi="Garamond" w:cs="Arial"/>
          <w:color w:val="auto"/>
          <w:sz w:val="24"/>
          <w:szCs w:val="24"/>
          <w:lang w:val="pt-PT"/>
        </w:rPr>
        <w:t xml:space="preserve">  </w:t>
      </w:r>
    </w:p>
    <w:p w:rsidR="007A6A6C" w:rsidRPr="003A1174" w:rsidRDefault="00374785"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 xml:space="preserve">LEIV </w:t>
      </w:r>
      <w:r w:rsidR="00334EF2">
        <w:rPr>
          <w:rFonts w:ascii="Garamond" w:hAnsi="Garamond" w:cs="Arial"/>
          <w:color w:val="auto"/>
          <w:sz w:val="24"/>
          <w:szCs w:val="24"/>
          <w:lang w:val="pt-PT"/>
        </w:rPr>
        <w:t xml:space="preserve">obriga </w:t>
      </w:r>
      <w:r w:rsidRPr="003A1174">
        <w:rPr>
          <w:rFonts w:ascii="Garamond" w:hAnsi="Garamond" w:cs="Arial"/>
          <w:color w:val="auto"/>
          <w:sz w:val="24"/>
          <w:szCs w:val="24"/>
          <w:lang w:val="pt-PT"/>
        </w:rPr>
        <w:t xml:space="preserve">os </w:t>
      </w:r>
      <w:r w:rsidR="007A6A6C" w:rsidRPr="003A1174">
        <w:rPr>
          <w:rFonts w:ascii="Garamond" w:hAnsi="Garamond" w:cs="Arial"/>
          <w:color w:val="auto"/>
          <w:sz w:val="24"/>
          <w:szCs w:val="24"/>
          <w:lang w:val="pt-PT"/>
        </w:rPr>
        <w:t>divers</w:t>
      </w:r>
      <w:r w:rsidRPr="003A1174">
        <w:rPr>
          <w:rFonts w:ascii="Garamond" w:hAnsi="Garamond" w:cs="Arial"/>
          <w:color w:val="auto"/>
          <w:sz w:val="24"/>
          <w:szCs w:val="24"/>
          <w:lang w:val="pt-PT"/>
        </w:rPr>
        <w:t>o</w:t>
      </w:r>
      <w:r w:rsidR="007A6A6C"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 xml:space="preserve">Departamentos Ministeriais do Estado </w:t>
      </w:r>
      <w:r w:rsidR="007A6A6C" w:rsidRPr="003A1174">
        <w:rPr>
          <w:rFonts w:ascii="Garamond" w:hAnsi="Garamond" w:cs="Arial"/>
          <w:color w:val="auto"/>
          <w:sz w:val="24"/>
          <w:szCs w:val="24"/>
          <w:lang w:val="pt-PT"/>
        </w:rPr>
        <w:t xml:space="preserve">a </w:t>
      </w:r>
      <w:r w:rsidR="00EB2F44" w:rsidRPr="003A1174">
        <w:rPr>
          <w:rFonts w:ascii="Garamond" w:hAnsi="Garamond" w:cs="Arial"/>
          <w:color w:val="auto"/>
          <w:sz w:val="24"/>
          <w:szCs w:val="24"/>
          <w:lang w:val="pt-PT"/>
        </w:rPr>
        <w:t>ado</w:t>
      </w:r>
      <w:r w:rsidR="00334EF2">
        <w:rPr>
          <w:rFonts w:ascii="Garamond" w:hAnsi="Garamond" w:cs="Arial"/>
          <w:color w:val="auto"/>
          <w:sz w:val="24"/>
          <w:szCs w:val="24"/>
          <w:lang w:val="pt-PT"/>
        </w:rPr>
        <w:t>tar</w:t>
      </w:r>
      <w:r w:rsidR="007A6A6C" w:rsidRPr="003A1174">
        <w:rPr>
          <w:rFonts w:ascii="Garamond" w:hAnsi="Garamond" w:cs="Arial"/>
          <w:color w:val="auto"/>
          <w:sz w:val="24"/>
          <w:szCs w:val="24"/>
          <w:lang w:val="pt-PT"/>
        </w:rPr>
        <w:t xml:space="preserve"> medidas preventivas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de re</w:t>
      </w:r>
      <w:r w:rsidR="005D52B0" w:rsidRPr="003A1174">
        <w:rPr>
          <w:rFonts w:ascii="Garamond" w:hAnsi="Garamond" w:cs="Arial"/>
          <w:color w:val="auto"/>
          <w:sz w:val="24"/>
          <w:szCs w:val="24"/>
          <w:lang w:val="pt-PT"/>
        </w:rPr>
        <w:t xml:space="preserve">abilitação </w:t>
      </w:r>
      <w:r w:rsidRPr="003A1174">
        <w:rPr>
          <w:rFonts w:ascii="Garamond" w:hAnsi="Garamond" w:cs="Arial"/>
          <w:color w:val="auto"/>
          <w:sz w:val="24"/>
          <w:szCs w:val="24"/>
          <w:lang w:val="pt-PT"/>
        </w:rPr>
        <w:t xml:space="preserve">nas </w:t>
      </w:r>
      <w:r w:rsidR="007A6A6C" w:rsidRPr="003A1174">
        <w:rPr>
          <w:rFonts w:ascii="Garamond" w:hAnsi="Garamond" w:cs="Arial"/>
          <w:color w:val="auto"/>
          <w:sz w:val="24"/>
          <w:szCs w:val="24"/>
          <w:lang w:val="pt-PT"/>
        </w:rPr>
        <w:t>áreas d</w:t>
      </w:r>
      <w:r w:rsidRPr="003A1174">
        <w:rPr>
          <w:rFonts w:ascii="Garamond" w:hAnsi="Garamond" w:cs="Arial"/>
          <w:color w:val="auto"/>
          <w:sz w:val="24"/>
          <w:szCs w:val="24"/>
          <w:lang w:val="pt-PT"/>
        </w:rPr>
        <w:t>a</w:t>
      </w:r>
      <w:r w:rsidR="007A6A6C" w:rsidRPr="003A1174">
        <w:rPr>
          <w:rFonts w:ascii="Garamond" w:hAnsi="Garamond" w:cs="Arial"/>
          <w:color w:val="auto"/>
          <w:sz w:val="24"/>
          <w:szCs w:val="24"/>
          <w:lang w:val="pt-PT"/>
        </w:rPr>
        <w:t xml:space="preserve"> </w:t>
      </w:r>
      <w:r w:rsidR="007C63D0" w:rsidRPr="003A1174">
        <w:rPr>
          <w:rFonts w:ascii="Garamond" w:hAnsi="Garamond" w:cs="Arial"/>
          <w:color w:val="auto"/>
          <w:sz w:val="24"/>
          <w:szCs w:val="24"/>
          <w:lang w:val="pt-PT"/>
        </w:rPr>
        <w:t>saúde</w:t>
      </w:r>
      <w:r w:rsidR="007A6A6C" w:rsidRPr="003A1174">
        <w:rPr>
          <w:rFonts w:ascii="Garamond" w:hAnsi="Garamond" w:cs="Arial"/>
          <w:color w:val="auto"/>
          <w:sz w:val="24"/>
          <w:szCs w:val="24"/>
          <w:lang w:val="pt-PT"/>
        </w:rPr>
        <w:t>,</w:t>
      </w:r>
      <w:r w:rsidR="001D237C" w:rsidRPr="003A1174">
        <w:rPr>
          <w:rFonts w:ascii="Garamond" w:hAnsi="Garamond" w:cs="Arial"/>
          <w:color w:val="auto"/>
          <w:sz w:val="24"/>
          <w:szCs w:val="24"/>
          <w:lang w:val="pt-PT"/>
        </w:rPr>
        <w:t xml:space="preserve"> </w:t>
      </w:r>
      <w:r w:rsidR="00802ACC" w:rsidRPr="003A1174">
        <w:rPr>
          <w:rFonts w:ascii="Garamond" w:hAnsi="Garamond" w:cs="Arial"/>
          <w:color w:val="auto"/>
          <w:sz w:val="24"/>
          <w:szCs w:val="24"/>
          <w:lang w:val="pt-PT"/>
        </w:rPr>
        <w:t>educação</w:t>
      </w:r>
      <w:r w:rsidR="001D237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00046E19" w:rsidRPr="003A1174">
        <w:rPr>
          <w:rFonts w:ascii="Garamond" w:hAnsi="Garamond" w:cs="Arial"/>
          <w:color w:val="auto"/>
          <w:sz w:val="24"/>
          <w:szCs w:val="24"/>
          <w:lang w:val="pt-PT"/>
        </w:rPr>
        <w:t>emprego</w:t>
      </w:r>
      <w:r w:rsidR="001D237C"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as</w:t>
      </w:r>
      <w:r w:rsidRPr="003A1174">
        <w:rPr>
          <w:rFonts w:ascii="Garamond" w:hAnsi="Garamond" w:cs="Arial"/>
          <w:color w:val="auto"/>
          <w:sz w:val="24"/>
          <w:szCs w:val="24"/>
          <w:lang w:val="pt-PT"/>
        </w:rPr>
        <w:t xml:space="preserve">sim </w:t>
      </w:r>
      <w:r w:rsidR="007A6A6C" w:rsidRPr="003A1174">
        <w:rPr>
          <w:rFonts w:ascii="Garamond" w:hAnsi="Garamond" w:cs="Arial"/>
          <w:color w:val="auto"/>
          <w:sz w:val="24"/>
          <w:szCs w:val="24"/>
          <w:lang w:val="pt-PT"/>
        </w:rPr>
        <w:t xml:space="preserve">como </w:t>
      </w:r>
      <w:r w:rsidRPr="003A1174">
        <w:rPr>
          <w:rFonts w:ascii="Garamond" w:hAnsi="Garamond" w:cs="Arial"/>
          <w:color w:val="auto"/>
          <w:sz w:val="24"/>
          <w:szCs w:val="24"/>
          <w:lang w:val="pt-PT"/>
        </w:rPr>
        <w:t>aos concelhos</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municipais</w:t>
      </w:r>
      <w:r w:rsidR="007A6A6C" w:rsidRPr="003A1174">
        <w:rPr>
          <w:rFonts w:ascii="Garamond" w:hAnsi="Garamond" w:cs="Arial"/>
          <w:color w:val="auto"/>
          <w:sz w:val="24"/>
          <w:szCs w:val="24"/>
          <w:lang w:val="pt-PT"/>
        </w:rPr>
        <w:t>.</w:t>
      </w:r>
    </w:p>
    <w:p w:rsidR="007A6A6C" w:rsidRPr="003A1174" w:rsidRDefault="007A6A6C"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U</w:t>
      </w:r>
      <w:r w:rsidR="00374785" w:rsidRPr="003A1174">
        <w:rPr>
          <w:rFonts w:ascii="Garamond" w:hAnsi="Garamond" w:cs="Arial"/>
          <w:color w:val="auto"/>
          <w:sz w:val="24"/>
          <w:szCs w:val="24"/>
          <w:lang w:val="pt-PT"/>
        </w:rPr>
        <w:t xml:space="preserve">ma </w:t>
      </w:r>
      <w:r w:rsidR="00497503" w:rsidRPr="003A1174">
        <w:rPr>
          <w:rFonts w:ascii="Garamond" w:hAnsi="Garamond" w:cs="Arial"/>
          <w:color w:val="auto"/>
          <w:sz w:val="24"/>
          <w:szCs w:val="24"/>
          <w:lang w:val="pt-PT"/>
        </w:rPr>
        <w:t>das</w:t>
      </w:r>
      <w:r w:rsidRPr="003A1174">
        <w:rPr>
          <w:rFonts w:ascii="Garamond" w:hAnsi="Garamond" w:cs="Arial"/>
          <w:color w:val="auto"/>
          <w:sz w:val="24"/>
          <w:szCs w:val="24"/>
          <w:lang w:val="pt-PT"/>
        </w:rPr>
        <w:t xml:space="preserve"> </w:t>
      </w:r>
      <w:r w:rsidR="002F5CD1" w:rsidRPr="003A1174">
        <w:rPr>
          <w:rFonts w:ascii="Garamond" w:hAnsi="Garamond" w:cs="Arial"/>
          <w:color w:val="auto"/>
          <w:sz w:val="24"/>
          <w:szCs w:val="24"/>
          <w:lang w:val="pt-PT"/>
        </w:rPr>
        <w:t>principais</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novidades d</w:t>
      </w:r>
      <w:r w:rsidRPr="003A1174">
        <w:rPr>
          <w:rFonts w:ascii="Garamond" w:hAnsi="Garamond" w:cs="Arial"/>
          <w:color w:val="auto"/>
          <w:sz w:val="24"/>
          <w:szCs w:val="24"/>
          <w:lang w:val="pt-PT"/>
        </w:rPr>
        <w:t xml:space="preserve">esta </w:t>
      </w:r>
      <w:r w:rsidR="005E1D74">
        <w:rPr>
          <w:rFonts w:ascii="Garamond" w:hAnsi="Garamond" w:cs="Arial"/>
          <w:color w:val="auto"/>
          <w:sz w:val="24"/>
          <w:szCs w:val="24"/>
          <w:lang w:val="pt-PT"/>
        </w:rPr>
        <w:t>l</w:t>
      </w:r>
      <w:r w:rsidR="00D15AFF" w:rsidRPr="003A1174">
        <w:rPr>
          <w:rFonts w:ascii="Garamond" w:hAnsi="Garamond" w:cs="Arial"/>
          <w:color w:val="auto"/>
          <w:sz w:val="24"/>
          <w:szCs w:val="24"/>
          <w:lang w:val="pt-PT"/>
        </w:rPr>
        <w:t>ei</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 xml:space="preserve">é o </w:t>
      </w:r>
      <w:r w:rsidR="002D1021" w:rsidRPr="003A1174">
        <w:rPr>
          <w:rFonts w:ascii="Garamond" w:hAnsi="Garamond" w:cs="Arial"/>
          <w:color w:val="auto"/>
          <w:sz w:val="24"/>
          <w:szCs w:val="24"/>
          <w:lang w:val="pt-PT"/>
        </w:rPr>
        <w:t>estabelecimento</w:t>
      </w:r>
      <w:r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delito de </w:t>
      </w:r>
      <w:r w:rsidR="005C051C" w:rsidRPr="003A1174">
        <w:rPr>
          <w:rFonts w:ascii="Garamond" w:hAnsi="Garamond" w:cs="Arial"/>
          <w:color w:val="auto"/>
          <w:sz w:val="24"/>
          <w:szCs w:val="24"/>
          <w:lang w:val="pt-PT"/>
        </w:rPr>
        <w:t>femicídio</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 xml:space="preserve">as </w:t>
      </w:r>
      <w:r w:rsidRPr="003A1174">
        <w:rPr>
          <w:rFonts w:ascii="Garamond" w:hAnsi="Garamond" w:cs="Arial"/>
          <w:color w:val="auto"/>
          <w:sz w:val="24"/>
          <w:szCs w:val="24"/>
          <w:lang w:val="pt-PT"/>
        </w:rPr>
        <w:t>su</w:t>
      </w:r>
      <w:r w:rsidR="00374785" w:rsidRPr="003A1174">
        <w:rPr>
          <w:rFonts w:ascii="Garamond" w:hAnsi="Garamond" w:cs="Arial"/>
          <w:color w:val="auto"/>
          <w:sz w:val="24"/>
          <w:szCs w:val="24"/>
          <w:lang w:val="pt-PT"/>
        </w:rPr>
        <w:t xml:space="preserve">as diversas modalidades, </w:t>
      </w:r>
      <w:r w:rsidR="005E1D74">
        <w:rPr>
          <w:rFonts w:ascii="Garamond" w:hAnsi="Garamond" w:cs="Arial"/>
          <w:color w:val="auto"/>
          <w:sz w:val="24"/>
          <w:szCs w:val="24"/>
          <w:lang w:val="pt-PT"/>
        </w:rPr>
        <w:t xml:space="preserve">em que </w:t>
      </w:r>
      <w:r w:rsidRPr="003A1174">
        <w:rPr>
          <w:rFonts w:ascii="Garamond" w:hAnsi="Garamond" w:cs="Arial"/>
          <w:color w:val="auto"/>
          <w:sz w:val="24"/>
          <w:szCs w:val="24"/>
          <w:lang w:val="pt-PT"/>
        </w:rPr>
        <w:t xml:space="preserve">se </w:t>
      </w:r>
      <w:r w:rsidR="00374785" w:rsidRPr="003A1174">
        <w:rPr>
          <w:rFonts w:ascii="Garamond" w:hAnsi="Garamond" w:cs="Arial"/>
          <w:color w:val="auto"/>
          <w:sz w:val="24"/>
          <w:szCs w:val="24"/>
          <w:lang w:val="pt-PT"/>
        </w:rPr>
        <w:t>reconhece</w:t>
      </w:r>
      <w:r w:rsidR="005E1D74">
        <w:rPr>
          <w:rFonts w:ascii="Garamond" w:hAnsi="Garamond" w:cs="Arial"/>
          <w:color w:val="auto"/>
          <w:sz w:val="24"/>
          <w:szCs w:val="24"/>
          <w:lang w:val="pt-PT"/>
        </w:rPr>
        <w:t>,</w:t>
      </w:r>
      <w:r w:rsidR="00374785" w:rsidRPr="003A1174">
        <w:rPr>
          <w:rFonts w:ascii="Garamond" w:hAnsi="Garamond" w:cs="Arial"/>
          <w:color w:val="auto"/>
          <w:sz w:val="24"/>
          <w:szCs w:val="24"/>
          <w:lang w:val="pt-PT"/>
        </w:rPr>
        <w:t xml:space="preserve"> legalmente</w:t>
      </w:r>
      <w:r w:rsidR="005E1D74">
        <w:rPr>
          <w:rFonts w:ascii="Garamond" w:hAnsi="Garamond" w:cs="Arial"/>
          <w:color w:val="auto"/>
          <w:sz w:val="24"/>
          <w:szCs w:val="24"/>
          <w:lang w:val="pt-PT"/>
        </w:rPr>
        <w:t>,</w:t>
      </w:r>
      <w:r w:rsidR="00374785"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7578C6" w:rsidRPr="003A1174">
        <w:rPr>
          <w:rFonts w:ascii="Garamond" w:hAnsi="Garamond" w:cs="Arial"/>
          <w:color w:val="auto"/>
          <w:sz w:val="24"/>
          <w:szCs w:val="24"/>
          <w:lang w:val="pt-PT"/>
        </w:rPr>
        <w:t>existência</w:t>
      </w:r>
      <w:r w:rsidRPr="003A1174">
        <w:rPr>
          <w:rFonts w:ascii="Garamond" w:hAnsi="Garamond" w:cs="Arial"/>
          <w:color w:val="auto"/>
          <w:sz w:val="24"/>
          <w:szCs w:val="24"/>
          <w:lang w:val="pt-PT"/>
        </w:rPr>
        <w:t xml:space="preserve"> de </w:t>
      </w:r>
      <w:r w:rsidR="00C04CA4" w:rsidRPr="003A1174">
        <w:rPr>
          <w:rFonts w:ascii="Garamond" w:hAnsi="Garamond" w:cs="Arial"/>
          <w:color w:val="auto"/>
          <w:sz w:val="24"/>
          <w:szCs w:val="24"/>
          <w:lang w:val="pt-PT"/>
        </w:rPr>
        <w:t>relações</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desiguais</w:t>
      </w:r>
      <w:r w:rsidRPr="003A1174">
        <w:rPr>
          <w:rFonts w:ascii="Garamond" w:hAnsi="Garamond" w:cs="Arial"/>
          <w:color w:val="auto"/>
          <w:sz w:val="24"/>
          <w:szCs w:val="24"/>
          <w:lang w:val="pt-PT"/>
        </w:rPr>
        <w:t xml:space="preserve"> de poder </w:t>
      </w:r>
      <w:r w:rsidR="00497503" w:rsidRPr="003A1174">
        <w:rPr>
          <w:rFonts w:ascii="Garamond" w:hAnsi="Garamond" w:cs="Arial"/>
          <w:color w:val="auto"/>
          <w:sz w:val="24"/>
          <w:szCs w:val="24"/>
          <w:lang w:val="pt-PT"/>
        </w:rPr>
        <w:t>e</w:t>
      </w:r>
      <w:r w:rsidR="00374785"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perde</w:t>
      </w:r>
      <w:r w:rsidR="00374785" w:rsidRPr="003A1174">
        <w:rPr>
          <w:rFonts w:ascii="Garamond" w:hAnsi="Garamond" w:cs="Arial"/>
          <w:color w:val="auto"/>
          <w:sz w:val="24"/>
          <w:szCs w:val="24"/>
          <w:lang w:val="pt-PT"/>
        </w:rPr>
        <w:t>m a vida n</w:t>
      </w:r>
      <w:r w:rsidRPr="003A1174">
        <w:rPr>
          <w:rFonts w:ascii="Garamond" w:hAnsi="Garamond" w:cs="Arial"/>
          <w:color w:val="auto"/>
          <w:sz w:val="24"/>
          <w:szCs w:val="24"/>
          <w:lang w:val="pt-PT"/>
        </w:rPr>
        <w:t xml:space="preserve">estas </w:t>
      </w:r>
      <w:r w:rsidR="002E2C71" w:rsidRPr="003A1174">
        <w:rPr>
          <w:rFonts w:ascii="Garamond" w:hAnsi="Garamond" w:cs="Arial"/>
          <w:color w:val="auto"/>
          <w:sz w:val="24"/>
          <w:szCs w:val="24"/>
          <w:lang w:val="pt-PT"/>
        </w:rPr>
        <w:t>circunstância</w:t>
      </w:r>
      <w:r w:rsidRPr="003A1174">
        <w:rPr>
          <w:rFonts w:ascii="Garamond" w:hAnsi="Garamond" w:cs="Arial"/>
          <w:color w:val="auto"/>
          <w:sz w:val="24"/>
          <w:szCs w:val="24"/>
          <w:lang w:val="pt-PT"/>
        </w:rPr>
        <w:t xml:space="preserve">s. </w:t>
      </w:r>
      <w:r w:rsidR="000350B1" w:rsidRPr="003A1174">
        <w:rPr>
          <w:rFonts w:ascii="Garamond" w:hAnsi="Garamond" w:cs="Arial"/>
          <w:color w:val="auto"/>
          <w:sz w:val="24"/>
          <w:szCs w:val="24"/>
          <w:lang w:val="pt-PT"/>
        </w:rPr>
        <w:t>Também</w:t>
      </w:r>
      <w:r w:rsidRPr="003A1174">
        <w:rPr>
          <w:rFonts w:ascii="Garamond" w:hAnsi="Garamond" w:cs="Arial"/>
          <w:color w:val="auto"/>
          <w:sz w:val="24"/>
          <w:szCs w:val="24"/>
          <w:lang w:val="pt-PT"/>
        </w:rPr>
        <w:t xml:space="preserve"> </w:t>
      </w:r>
      <w:r w:rsidRPr="00214498">
        <w:rPr>
          <w:rFonts w:ascii="Garamond" w:hAnsi="Garamond" w:cs="Arial"/>
          <w:color w:val="auto"/>
          <w:sz w:val="24"/>
          <w:szCs w:val="24"/>
          <w:lang w:val="pt-PT"/>
        </w:rPr>
        <w:t xml:space="preserve">se </w:t>
      </w:r>
      <w:r w:rsidR="00374785" w:rsidRPr="00214498">
        <w:rPr>
          <w:rFonts w:ascii="Garamond" w:hAnsi="Garamond" w:cs="Arial"/>
          <w:color w:val="auto"/>
          <w:sz w:val="24"/>
          <w:szCs w:val="24"/>
          <w:lang w:val="pt-PT"/>
        </w:rPr>
        <w:t>institu</w:t>
      </w:r>
      <w:r w:rsidR="005E1D74" w:rsidRPr="00214498">
        <w:rPr>
          <w:rFonts w:ascii="Garamond" w:hAnsi="Garamond" w:cs="Arial"/>
          <w:color w:val="auto"/>
          <w:sz w:val="24"/>
          <w:szCs w:val="24"/>
          <w:lang w:val="pt-PT"/>
        </w:rPr>
        <w:t>i</w:t>
      </w:r>
      <w:r w:rsidR="00374785" w:rsidRPr="00214498">
        <w:rPr>
          <w:rFonts w:ascii="Garamond" w:hAnsi="Garamond" w:cs="Arial"/>
          <w:color w:val="auto"/>
          <w:sz w:val="24"/>
          <w:szCs w:val="24"/>
          <w:lang w:val="pt-PT"/>
        </w:rPr>
        <w:t xml:space="preserve"> o</w:t>
      </w:r>
      <w:r w:rsidR="00374785"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delito de </w:t>
      </w:r>
      <w:r w:rsidR="00374785" w:rsidRPr="003A1174">
        <w:rPr>
          <w:rFonts w:ascii="Garamond" w:hAnsi="Garamond" w:cs="Arial"/>
          <w:color w:val="auto"/>
          <w:sz w:val="24"/>
          <w:szCs w:val="24"/>
          <w:lang w:val="pt-PT"/>
        </w:rPr>
        <w:t xml:space="preserve">dificultar </w:t>
      </w:r>
      <w:r w:rsidR="008A3DA2"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acesso</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à</w:t>
      </w:r>
      <w:r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Pr="003A1174">
        <w:rPr>
          <w:rFonts w:ascii="Garamond" w:hAnsi="Garamond" w:cs="Arial"/>
          <w:color w:val="auto"/>
          <w:sz w:val="24"/>
          <w:szCs w:val="24"/>
          <w:lang w:val="pt-PT"/>
        </w:rPr>
        <w:t>, para</w:t>
      </w:r>
      <w:r w:rsidR="00374785" w:rsidRPr="003A1174">
        <w:rPr>
          <w:rFonts w:ascii="Garamond" w:hAnsi="Garamond" w:cs="Arial"/>
          <w:color w:val="auto"/>
          <w:sz w:val="24"/>
          <w:szCs w:val="24"/>
          <w:lang w:val="pt-PT"/>
        </w:rPr>
        <w:t xml:space="preserve"> os que </w:t>
      </w:r>
      <w:r w:rsidRPr="003A1174">
        <w:rPr>
          <w:rFonts w:ascii="Garamond" w:hAnsi="Garamond" w:cs="Arial"/>
          <w:color w:val="auto"/>
          <w:sz w:val="24"/>
          <w:szCs w:val="24"/>
          <w:lang w:val="pt-PT"/>
        </w:rPr>
        <w:t>propicie</w:t>
      </w:r>
      <w:r w:rsidR="00374785"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promovam</w:t>
      </w:r>
      <w:r w:rsidRPr="003A1174">
        <w:rPr>
          <w:rFonts w:ascii="Garamond" w:hAnsi="Garamond" w:cs="Arial"/>
          <w:color w:val="auto"/>
          <w:sz w:val="24"/>
          <w:szCs w:val="24"/>
          <w:lang w:val="pt-PT"/>
        </w:rPr>
        <w:t xml:space="preserve"> o</w:t>
      </w:r>
      <w:r w:rsidR="00374785" w:rsidRPr="003A1174">
        <w:rPr>
          <w:rFonts w:ascii="Garamond" w:hAnsi="Garamond" w:cs="Arial"/>
          <w:color w:val="auto"/>
          <w:sz w:val="24"/>
          <w:szCs w:val="24"/>
          <w:lang w:val="pt-PT"/>
        </w:rPr>
        <w:t>u</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 xml:space="preserve">tolerem </w:t>
      </w:r>
      <w:r w:rsidRPr="003A1174">
        <w:rPr>
          <w:rFonts w:ascii="Garamond" w:hAnsi="Garamond" w:cs="Arial"/>
          <w:color w:val="auto"/>
          <w:sz w:val="24"/>
          <w:szCs w:val="24"/>
          <w:lang w:val="pt-PT"/>
        </w:rPr>
        <w:t xml:space="preserve">a </w:t>
      </w:r>
      <w:r w:rsidR="00276DCA" w:rsidRPr="003A1174">
        <w:rPr>
          <w:rFonts w:ascii="Garamond" w:hAnsi="Garamond" w:cs="Arial"/>
          <w:color w:val="auto"/>
          <w:sz w:val="24"/>
          <w:szCs w:val="24"/>
          <w:lang w:val="pt-PT"/>
        </w:rPr>
        <w:t>impunidade</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u </w:t>
      </w:r>
      <w:r w:rsidR="00374785" w:rsidRPr="003A1174">
        <w:rPr>
          <w:rFonts w:ascii="Garamond" w:hAnsi="Garamond" w:cs="Arial"/>
          <w:color w:val="auto"/>
          <w:sz w:val="24"/>
          <w:szCs w:val="24"/>
          <w:lang w:val="pt-PT"/>
        </w:rPr>
        <w:t xml:space="preserve">dificultem </w:t>
      </w:r>
      <w:r w:rsidRPr="003A1174">
        <w:rPr>
          <w:rFonts w:ascii="Garamond" w:hAnsi="Garamond" w:cs="Arial"/>
          <w:color w:val="auto"/>
          <w:sz w:val="24"/>
          <w:szCs w:val="24"/>
          <w:lang w:val="pt-PT"/>
        </w:rPr>
        <w:t xml:space="preserve">a </w:t>
      </w:r>
      <w:r w:rsidR="00886D6A" w:rsidRPr="003A1174">
        <w:rPr>
          <w:rFonts w:ascii="Garamond" w:hAnsi="Garamond" w:cs="Arial"/>
          <w:color w:val="auto"/>
          <w:sz w:val="24"/>
          <w:szCs w:val="24"/>
          <w:lang w:val="pt-PT"/>
        </w:rPr>
        <w:t>investigação</w:t>
      </w:r>
      <w:r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perseguição</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FC4727" w:rsidRPr="003A1174">
        <w:rPr>
          <w:rFonts w:ascii="Garamond" w:hAnsi="Garamond" w:cs="Arial"/>
          <w:color w:val="auto"/>
          <w:sz w:val="24"/>
          <w:szCs w:val="24"/>
          <w:lang w:val="pt-PT"/>
        </w:rPr>
        <w:t>punição</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delitos </w:t>
      </w:r>
      <w:r w:rsidR="00661ADB" w:rsidRPr="003A1174">
        <w:rPr>
          <w:rFonts w:ascii="Garamond" w:hAnsi="Garamond" w:cs="Arial"/>
          <w:color w:val="auto"/>
          <w:sz w:val="24"/>
          <w:szCs w:val="24"/>
          <w:lang w:val="pt-PT"/>
        </w:rPr>
        <w:t>estabelecido</w:t>
      </w:r>
      <w:r w:rsidRPr="003A1174">
        <w:rPr>
          <w:rFonts w:ascii="Garamond" w:hAnsi="Garamond" w:cs="Arial"/>
          <w:color w:val="auto"/>
          <w:sz w:val="24"/>
          <w:szCs w:val="24"/>
          <w:lang w:val="pt-PT"/>
        </w:rPr>
        <w:t xml:space="preserve">s </w:t>
      </w:r>
      <w:r w:rsidR="00374785" w:rsidRPr="003A1174">
        <w:rPr>
          <w:rFonts w:ascii="Garamond" w:hAnsi="Garamond" w:cs="Arial"/>
          <w:color w:val="auto"/>
          <w:sz w:val="24"/>
          <w:szCs w:val="24"/>
          <w:lang w:val="pt-PT"/>
        </w:rPr>
        <w:t>na referida lei</w:t>
      </w:r>
      <w:r w:rsidRPr="003A1174">
        <w:rPr>
          <w:rFonts w:ascii="Garamond" w:hAnsi="Garamond" w:cs="Arial"/>
          <w:color w:val="auto"/>
          <w:sz w:val="24"/>
          <w:szCs w:val="24"/>
          <w:lang w:val="pt-PT"/>
        </w:rPr>
        <w:t>.</w:t>
      </w:r>
    </w:p>
    <w:p w:rsidR="007A6A6C" w:rsidRPr="003A1174" w:rsidRDefault="00374785"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Rec</w:t>
      </w:r>
      <w:r w:rsidR="007A6A6C" w:rsidRPr="003A1174">
        <w:rPr>
          <w:rFonts w:ascii="Garamond" w:hAnsi="Garamond" w:cs="Arial"/>
          <w:color w:val="auto"/>
          <w:sz w:val="24"/>
          <w:szCs w:val="24"/>
          <w:lang w:val="pt-PT"/>
        </w:rPr>
        <w:t xml:space="preserve">entemente, </w:t>
      </w:r>
      <w:r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 xml:space="preserve">16 de </w:t>
      </w:r>
      <w:r w:rsidRPr="003A1174">
        <w:rPr>
          <w:rFonts w:ascii="Garamond" w:hAnsi="Garamond" w:cs="Arial"/>
          <w:color w:val="auto"/>
          <w:sz w:val="24"/>
          <w:szCs w:val="24"/>
          <w:lang w:val="pt-PT"/>
        </w:rPr>
        <w:t xml:space="preserve">outubro de 2014, </w:t>
      </w:r>
      <w:r w:rsidR="007A6A6C"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Assembleia</w:t>
      </w:r>
      <w:r w:rsidR="007A6A6C" w:rsidRPr="003A1174">
        <w:rPr>
          <w:rFonts w:ascii="Garamond" w:hAnsi="Garamond" w:cs="Arial"/>
          <w:color w:val="auto"/>
          <w:sz w:val="24"/>
          <w:szCs w:val="24"/>
          <w:lang w:val="pt-PT"/>
        </w:rPr>
        <w:t xml:space="preserve"> Legislativa </w:t>
      </w:r>
      <w:r w:rsidRPr="003A1174">
        <w:rPr>
          <w:rFonts w:ascii="Garamond" w:hAnsi="Garamond" w:cs="Arial"/>
          <w:color w:val="auto"/>
          <w:sz w:val="24"/>
          <w:szCs w:val="24"/>
          <w:lang w:val="pt-PT"/>
        </w:rPr>
        <w:t>aprovou</w:t>
      </w:r>
      <w:r w:rsidR="007A6A6C" w:rsidRPr="003A1174">
        <w:rPr>
          <w:rFonts w:ascii="Garamond" w:hAnsi="Garamond" w:cs="Arial"/>
          <w:color w:val="auto"/>
          <w:sz w:val="24"/>
          <w:szCs w:val="24"/>
          <w:lang w:val="pt-PT"/>
        </w:rPr>
        <w:t xml:space="preserve"> a </w:t>
      </w:r>
      <w:r w:rsidR="00D15AFF" w:rsidRPr="003A1174">
        <w:rPr>
          <w:rFonts w:ascii="Garamond" w:hAnsi="Garamond" w:cs="Arial"/>
          <w:color w:val="auto"/>
          <w:sz w:val="24"/>
          <w:szCs w:val="24"/>
          <w:lang w:val="pt-PT"/>
        </w:rPr>
        <w:t>Lei</w:t>
      </w:r>
      <w:r w:rsidR="007A6A6C" w:rsidRPr="003A1174">
        <w:rPr>
          <w:rFonts w:ascii="Garamond" w:hAnsi="Garamond" w:cs="Arial"/>
          <w:color w:val="auto"/>
          <w:sz w:val="24"/>
          <w:szCs w:val="24"/>
          <w:lang w:val="pt-PT"/>
        </w:rPr>
        <w:t xml:space="preserve"> Especial contra </w:t>
      </w:r>
      <w:r w:rsidRPr="003A1174">
        <w:rPr>
          <w:rFonts w:ascii="Garamond" w:hAnsi="Garamond" w:cs="Arial"/>
          <w:color w:val="auto"/>
          <w:sz w:val="24"/>
          <w:szCs w:val="24"/>
          <w:lang w:val="pt-PT"/>
        </w:rPr>
        <w:t xml:space="preserve">o Tráfico </w:t>
      </w:r>
      <w:r w:rsidR="007A6A6C" w:rsidRPr="00214498">
        <w:rPr>
          <w:rFonts w:ascii="Garamond" w:hAnsi="Garamond" w:cs="Arial"/>
          <w:color w:val="auto"/>
          <w:sz w:val="24"/>
          <w:szCs w:val="24"/>
          <w:lang w:val="pt-PT"/>
        </w:rPr>
        <w:t xml:space="preserve">de </w:t>
      </w:r>
      <w:r w:rsidR="006C760C" w:rsidRPr="00214498">
        <w:rPr>
          <w:rFonts w:ascii="Garamond" w:hAnsi="Garamond" w:cs="Arial"/>
          <w:color w:val="auto"/>
          <w:sz w:val="24"/>
          <w:szCs w:val="24"/>
          <w:lang w:val="pt-PT"/>
        </w:rPr>
        <w:t>Pessoas</w:t>
      </w:r>
      <w:r w:rsidRPr="00214498">
        <w:rPr>
          <w:rFonts w:ascii="Garamond" w:hAnsi="Garamond" w:cs="Arial"/>
          <w:color w:val="auto"/>
          <w:sz w:val="24"/>
          <w:szCs w:val="24"/>
          <w:lang w:val="pt-PT"/>
        </w:rPr>
        <w:t xml:space="preserve">, que </w:t>
      </w:r>
      <w:r w:rsidR="00334EF2" w:rsidRPr="00214498">
        <w:rPr>
          <w:rFonts w:ascii="Garamond" w:hAnsi="Garamond" w:cs="Arial"/>
          <w:color w:val="auto"/>
          <w:sz w:val="24"/>
          <w:szCs w:val="24"/>
          <w:lang w:val="pt-PT"/>
        </w:rPr>
        <w:t xml:space="preserve">determina </w:t>
      </w:r>
      <w:r w:rsidRPr="00214498">
        <w:rPr>
          <w:rFonts w:ascii="Garamond" w:hAnsi="Garamond" w:cs="Arial"/>
          <w:color w:val="auto"/>
          <w:sz w:val="24"/>
          <w:szCs w:val="24"/>
          <w:lang w:val="pt-PT"/>
        </w:rPr>
        <w:t>um</w:t>
      </w:r>
      <w:r w:rsidR="007A6A6C" w:rsidRPr="00214498">
        <w:rPr>
          <w:rFonts w:ascii="Garamond" w:hAnsi="Garamond" w:cs="Arial"/>
          <w:color w:val="auto"/>
          <w:sz w:val="24"/>
          <w:szCs w:val="24"/>
          <w:lang w:val="pt-PT"/>
        </w:rPr>
        <w:t xml:space="preserve">a pena máxima de </w:t>
      </w:r>
      <w:r w:rsidR="007A2492" w:rsidRPr="00214498">
        <w:rPr>
          <w:rFonts w:ascii="Garamond" w:hAnsi="Garamond" w:cs="Arial"/>
          <w:color w:val="auto"/>
          <w:sz w:val="24"/>
          <w:szCs w:val="24"/>
          <w:lang w:val="pt-PT"/>
        </w:rPr>
        <w:t>prisão</w:t>
      </w:r>
      <w:r w:rsidR="007A6A6C" w:rsidRPr="00214498">
        <w:rPr>
          <w:rFonts w:ascii="Garamond" w:hAnsi="Garamond" w:cs="Arial"/>
          <w:color w:val="auto"/>
          <w:sz w:val="24"/>
          <w:szCs w:val="24"/>
          <w:lang w:val="pt-PT"/>
        </w:rPr>
        <w:t xml:space="preserve"> de 25 </w:t>
      </w:r>
      <w:r w:rsidR="002C7510" w:rsidRPr="00214498">
        <w:rPr>
          <w:rFonts w:ascii="Garamond" w:hAnsi="Garamond" w:cs="Arial"/>
          <w:color w:val="auto"/>
          <w:sz w:val="24"/>
          <w:szCs w:val="24"/>
          <w:lang w:val="pt-PT"/>
        </w:rPr>
        <w:t>ano</w:t>
      </w:r>
      <w:r w:rsidR="007A6A6C" w:rsidRPr="00214498">
        <w:rPr>
          <w:rFonts w:ascii="Garamond" w:hAnsi="Garamond" w:cs="Arial"/>
          <w:color w:val="auto"/>
          <w:sz w:val="24"/>
          <w:szCs w:val="24"/>
          <w:lang w:val="pt-PT"/>
        </w:rPr>
        <w:t xml:space="preserve">s para </w:t>
      </w:r>
      <w:r w:rsidRPr="00214498">
        <w:rPr>
          <w:rFonts w:ascii="Garamond" w:hAnsi="Garamond" w:cs="Arial"/>
          <w:color w:val="auto"/>
          <w:sz w:val="24"/>
          <w:szCs w:val="24"/>
          <w:lang w:val="pt-PT"/>
        </w:rPr>
        <w:t xml:space="preserve">os que </w:t>
      </w:r>
      <w:r w:rsidR="007A6A6C" w:rsidRPr="00214498">
        <w:rPr>
          <w:rFonts w:ascii="Garamond" w:hAnsi="Garamond" w:cs="Arial"/>
          <w:color w:val="auto"/>
          <w:sz w:val="24"/>
          <w:szCs w:val="24"/>
          <w:lang w:val="pt-PT"/>
        </w:rPr>
        <w:t>entregue</w:t>
      </w:r>
      <w:r w:rsidRPr="00214498">
        <w:rPr>
          <w:rFonts w:ascii="Garamond" w:hAnsi="Garamond" w:cs="Arial"/>
          <w:color w:val="auto"/>
          <w:sz w:val="24"/>
          <w:szCs w:val="24"/>
          <w:lang w:val="pt-PT"/>
        </w:rPr>
        <w:t>m</w:t>
      </w:r>
      <w:r w:rsidR="007A6A6C" w:rsidRPr="00214498">
        <w:rPr>
          <w:rFonts w:ascii="Garamond" w:hAnsi="Garamond" w:cs="Arial"/>
          <w:color w:val="auto"/>
          <w:sz w:val="24"/>
          <w:szCs w:val="24"/>
          <w:lang w:val="pt-PT"/>
        </w:rPr>
        <w:t>, capt</w:t>
      </w:r>
      <w:r w:rsidRPr="00214498">
        <w:rPr>
          <w:rFonts w:ascii="Garamond" w:hAnsi="Garamond" w:cs="Arial"/>
          <w:color w:val="auto"/>
          <w:sz w:val="24"/>
          <w:szCs w:val="24"/>
          <w:lang w:val="pt-PT"/>
        </w:rPr>
        <w:t>urem</w:t>
      </w:r>
      <w:r w:rsidR="007A6A6C" w:rsidRPr="00214498">
        <w:rPr>
          <w:rFonts w:ascii="Garamond" w:hAnsi="Garamond" w:cs="Arial"/>
          <w:color w:val="auto"/>
          <w:sz w:val="24"/>
          <w:szCs w:val="24"/>
          <w:lang w:val="pt-PT"/>
        </w:rPr>
        <w:t>, transporte</w:t>
      </w:r>
      <w:r w:rsidRPr="00214498">
        <w:rPr>
          <w:rFonts w:ascii="Garamond" w:hAnsi="Garamond" w:cs="Arial"/>
          <w:color w:val="auto"/>
          <w:sz w:val="24"/>
          <w:szCs w:val="24"/>
          <w:lang w:val="pt-PT"/>
        </w:rPr>
        <w:t>m</w:t>
      </w:r>
      <w:r w:rsidR="007A6A6C" w:rsidRPr="00214498">
        <w:rPr>
          <w:rFonts w:ascii="Garamond" w:hAnsi="Garamond" w:cs="Arial"/>
          <w:color w:val="auto"/>
          <w:sz w:val="24"/>
          <w:szCs w:val="24"/>
          <w:lang w:val="pt-PT"/>
        </w:rPr>
        <w:t xml:space="preserve">, </w:t>
      </w:r>
      <w:r w:rsidRPr="00214498">
        <w:rPr>
          <w:rFonts w:ascii="Garamond" w:hAnsi="Garamond" w:cs="Arial"/>
          <w:color w:val="auto"/>
          <w:sz w:val="24"/>
          <w:szCs w:val="24"/>
          <w:lang w:val="pt-PT"/>
        </w:rPr>
        <w:t>promovam</w:t>
      </w:r>
      <w:r w:rsidR="007A6A6C" w:rsidRPr="00214498">
        <w:rPr>
          <w:rFonts w:ascii="Garamond" w:hAnsi="Garamond" w:cs="Arial"/>
          <w:color w:val="auto"/>
          <w:sz w:val="24"/>
          <w:szCs w:val="24"/>
          <w:lang w:val="pt-PT"/>
        </w:rPr>
        <w:t>, rec</w:t>
      </w:r>
      <w:r w:rsidRPr="00214498">
        <w:rPr>
          <w:rFonts w:ascii="Garamond" w:hAnsi="Garamond" w:cs="Arial"/>
          <w:color w:val="auto"/>
          <w:sz w:val="24"/>
          <w:szCs w:val="24"/>
          <w:lang w:val="pt-PT"/>
        </w:rPr>
        <w:t xml:space="preserve">ebam e acolham </w:t>
      </w:r>
      <w:r w:rsidR="006C760C" w:rsidRPr="00214498">
        <w:rPr>
          <w:rFonts w:ascii="Garamond" w:hAnsi="Garamond" w:cs="Arial"/>
          <w:color w:val="auto"/>
          <w:sz w:val="24"/>
          <w:szCs w:val="24"/>
          <w:lang w:val="pt-PT"/>
        </w:rPr>
        <w:t>pessoas</w:t>
      </w:r>
      <w:r w:rsidR="007A6A6C" w:rsidRPr="00214498">
        <w:rPr>
          <w:rFonts w:ascii="Garamond" w:hAnsi="Garamond" w:cs="Arial"/>
          <w:color w:val="auto"/>
          <w:sz w:val="24"/>
          <w:szCs w:val="24"/>
          <w:lang w:val="pt-PT"/>
        </w:rPr>
        <w:t xml:space="preserve"> para que </w:t>
      </w:r>
      <w:r w:rsidR="0017447A" w:rsidRPr="00214498">
        <w:rPr>
          <w:rFonts w:ascii="Garamond" w:hAnsi="Garamond" w:cs="Arial"/>
          <w:color w:val="auto"/>
          <w:sz w:val="24"/>
          <w:szCs w:val="24"/>
          <w:lang w:val="pt-PT"/>
        </w:rPr>
        <w:lastRenderedPageBreak/>
        <w:t>outras</w:t>
      </w:r>
      <w:r w:rsidR="007A6A6C" w:rsidRPr="00214498">
        <w:rPr>
          <w:rFonts w:ascii="Garamond" w:hAnsi="Garamond" w:cs="Arial"/>
          <w:color w:val="auto"/>
          <w:sz w:val="24"/>
          <w:szCs w:val="24"/>
          <w:lang w:val="pt-PT"/>
        </w:rPr>
        <w:t xml:space="preserve"> reali</w:t>
      </w:r>
      <w:r w:rsidRPr="00214498">
        <w:rPr>
          <w:rFonts w:ascii="Garamond" w:hAnsi="Garamond" w:cs="Arial"/>
          <w:color w:val="auto"/>
          <w:sz w:val="24"/>
          <w:szCs w:val="24"/>
          <w:lang w:val="pt-PT"/>
        </w:rPr>
        <w:t>zem</w:t>
      </w:r>
      <w:r w:rsidR="007A6A6C" w:rsidRPr="00214498">
        <w:rPr>
          <w:rFonts w:ascii="Garamond" w:hAnsi="Garamond" w:cs="Arial"/>
          <w:color w:val="auto"/>
          <w:sz w:val="24"/>
          <w:szCs w:val="24"/>
          <w:lang w:val="pt-PT"/>
        </w:rPr>
        <w:t xml:space="preserve"> </w:t>
      </w:r>
      <w:r w:rsidRPr="00214498">
        <w:rPr>
          <w:rFonts w:ascii="Garamond" w:hAnsi="Garamond" w:cs="Arial"/>
          <w:color w:val="auto"/>
          <w:sz w:val="24"/>
          <w:szCs w:val="24"/>
          <w:lang w:val="pt-PT"/>
        </w:rPr>
        <w:t>atividades</w:t>
      </w:r>
      <w:r w:rsidR="00153B09" w:rsidRPr="00214498">
        <w:rPr>
          <w:rFonts w:ascii="Garamond" w:hAnsi="Garamond" w:cs="Arial"/>
          <w:color w:val="auto"/>
          <w:sz w:val="24"/>
          <w:szCs w:val="24"/>
          <w:lang w:val="pt-PT"/>
        </w:rPr>
        <w:t xml:space="preserve"> de </w:t>
      </w:r>
      <w:r w:rsidRPr="00214498">
        <w:rPr>
          <w:rFonts w:ascii="Garamond" w:hAnsi="Garamond" w:cs="Arial"/>
          <w:color w:val="auto"/>
          <w:sz w:val="24"/>
          <w:szCs w:val="24"/>
          <w:lang w:val="pt-PT"/>
        </w:rPr>
        <w:t>ordem</w:t>
      </w:r>
      <w:r w:rsidR="007A6A6C" w:rsidRPr="00214498">
        <w:rPr>
          <w:rFonts w:ascii="Garamond" w:hAnsi="Garamond" w:cs="Arial"/>
          <w:color w:val="auto"/>
          <w:sz w:val="24"/>
          <w:szCs w:val="24"/>
          <w:lang w:val="pt-PT"/>
        </w:rPr>
        <w:t xml:space="preserve"> sexual, </w:t>
      </w:r>
      <w:r w:rsidR="0017447A" w:rsidRPr="00214498">
        <w:rPr>
          <w:rFonts w:ascii="Garamond" w:hAnsi="Garamond" w:cs="Arial"/>
          <w:color w:val="auto"/>
          <w:sz w:val="24"/>
          <w:szCs w:val="24"/>
          <w:lang w:val="pt-PT"/>
        </w:rPr>
        <w:t>trabalho</w:t>
      </w:r>
      <w:r w:rsidR="007A6A6C" w:rsidRPr="00214498">
        <w:rPr>
          <w:rFonts w:ascii="Garamond" w:hAnsi="Garamond" w:cs="Arial"/>
          <w:color w:val="auto"/>
          <w:sz w:val="24"/>
          <w:szCs w:val="24"/>
          <w:lang w:val="pt-PT"/>
        </w:rPr>
        <w:t xml:space="preserve">s </w:t>
      </w:r>
      <w:r w:rsidRPr="00214498">
        <w:rPr>
          <w:rFonts w:ascii="Garamond" w:hAnsi="Garamond" w:cs="Arial"/>
          <w:color w:val="auto"/>
          <w:sz w:val="24"/>
          <w:szCs w:val="24"/>
          <w:lang w:val="pt-PT"/>
        </w:rPr>
        <w:t>forçado</w:t>
      </w:r>
      <w:r w:rsidR="007A6A6C" w:rsidRPr="00214498">
        <w:rPr>
          <w:rFonts w:ascii="Garamond" w:hAnsi="Garamond" w:cs="Arial"/>
          <w:color w:val="auto"/>
          <w:sz w:val="24"/>
          <w:szCs w:val="24"/>
          <w:lang w:val="pt-PT"/>
        </w:rPr>
        <w:t>s, extr</w:t>
      </w:r>
      <w:r w:rsidR="00077461" w:rsidRPr="00214498">
        <w:rPr>
          <w:rFonts w:ascii="Garamond" w:hAnsi="Garamond" w:cs="Arial"/>
          <w:color w:val="auto"/>
          <w:sz w:val="24"/>
          <w:szCs w:val="24"/>
          <w:lang w:val="pt-PT"/>
        </w:rPr>
        <w:t>ação</w:t>
      </w:r>
      <w:r w:rsidR="007A6A6C" w:rsidRPr="00214498">
        <w:rPr>
          <w:rFonts w:ascii="Garamond" w:hAnsi="Garamond" w:cs="Arial"/>
          <w:color w:val="auto"/>
          <w:sz w:val="24"/>
          <w:szCs w:val="24"/>
          <w:lang w:val="pt-PT"/>
        </w:rPr>
        <w:t xml:space="preserve"> de </w:t>
      </w:r>
      <w:r w:rsidR="003F012B" w:rsidRPr="00214498">
        <w:rPr>
          <w:rFonts w:ascii="Garamond" w:hAnsi="Garamond" w:cs="Arial"/>
          <w:color w:val="auto"/>
          <w:sz w:val="24"/>
          <w:szCs w:val="24"/>
          <w:lang w:val="pt-PT"/>
        </w:rPr>
        <w:t>órgão</w:t>
      </w:r>
      <w:r w:rsidR="007A6A6C" w:rsidRPr="00214498">
        <w:rPr>
          <w:rFonts w:ascii="Garamond" w:hAnsi="Garamond" w:cs="Arial"/>
          <w:color w:val="auto"/>
          <w:sz w:val="24"/>
          <w:szCs w:val="24"/>
          <w:lang w:val="pt-PT"/>
        </w:rPr>
        <w:t xml:space="preserve">s, </w:t>
      </w:r>
      <w:r w:rsidRPr="00214498">
        <w:rPr>
          <w:rFonts w:ascii="Garamond" w:hAnsi="Garamond" w:cs="Arial"/>
          <w:color w:val="auto"/>
          <w:sz w:val="24"/>
          <w:szCs w:val="24"/>
          <w:lang w:val="pt-PT"/>
        </w:rPr>
        <w:t>escravidão</w:t>
      </w:r>
      <w:r w:rsidR="007A6A6C" w:rsidRPr="00214498">
        <w:rPr>
          <w:rFonts w:ascii="Garamond" w:hAnsi="Garamond" w:cs="Arial"/>
          <w:color w:val="auto"/>
          <w:sz w:val="24"/>
          <w:szCs w:val="24"/>
          <w:lang w:val="pt-PT"/>
        </w:rPr>
        <w:t xml:space="preserve"> moderna, etc.). Sanciona</w:t>
      </w:r>
      <w:r w:rsidRPr="00214498">
        <w:rPr>
          <w:rFonts w:ascii="Garamond" w:hAnsi="Garamond" w:cs="Arial"/>
          <w:color w:val="auto"/>
          <w:sz w:val="24"/>
          <w:szCs w:val="24"/>
          <w:lang w:val="pt-PT"/>
        </w:rPr>
        <w:t>-se</w:t>
      </w:r>
      <w:r w:rsidR="00153B09" w:rsidRPr="00214498">
        <w:rPr>
          <w:rFonts w:ascii="Garamond" w:hAnsi="Garamond" w:cs="Arial"/>
          <w:color w:val="auto"/>
          <w:sz w:val="24"/>
          <w:szCs w:val="24"/>
          <w:lang w:val="pt-PT"/>
        </w:rPr>
        <w:t>,</w:t>
      </w:r>
      <w:r w:rsidR="007A6A6C" w:rsidRPr="00214498">
        <w:rPr>
          <w:rFonts w:ascii="Garamond" w:hAnsi="Garamond" w:cs="Arial"/>
          <w:color w:val="auto"/>
          <w:sz w:val="24"/>
          <w:szCs w:val="24"/>
          <w:lang w:val="pt-PT"/>
        </w:rPr>
        <w:t xml:space="preserve"> a</w:t>
      </w:r>
      <w:r w:rsidRPr="00214498">
        <w:rPr>
          <w:rFonts w:ascii="Garamond" w:hAnsi="Garamond" w:cs="Arial"/>
          <w:color w:val="auto"/>
          <w:sz w:val="24"/>
          <w:szCs w:val="24"/>
          <w:lang w:val="pt-PT"/>
        </w:rPr>
        <w:t xml:space="preserve">lém disso, </w:t>
      </w:r>
      <w:r w:rsidR="007A6A6C" w:rsidRPr="00214498">
        <w:rPr>
          <w:rFonts w:ascii="Garamond" w:hAnsi="Garamond" w:cs="Arial"/>
          <w:color w:val="auto"/>
          <w:sz w:val="24"/>
          <w:szCs w:val="24"/>
          <w:lang w:val="pt-PT"/>
        </w:rPr>
        <w:t xml:space="preserve">a </w:t>
      </w:r>
      <w:r w:rsidRPr="00214498">
        <w:rPr>
          <w:rFonts w:ascii="Garamond" w:hAnsi="Garamond" w:cs="Arial"/>
          <w:color w:val="auto"/>
          <w:sz w:val="24"/>
          <w:szCs w:val="24"/>
          <w:lang w:val="pt-PT"/>
        </w:rPr>
        <w:t>remuneração</w:t>
      </w:r>
      <w:r w:rsidR="007A6A6C" w:rsidRPr="00214498">
        <w:rPr>
          <w:rFonts w:ascii="Garamond" w:hAnsi="Garamond" w:cs="Arial"/>
          <w:color w:val="auto"/>
          <w:sz w:val="24"/>
          <w:szCs w:val="24"/>
          <w:lang w:val="pt-PT"/>
        </w:rPr>
        <w:t xml:space="preserve"> d</w:t>
      </w:r>
      <w:r w:rsidRPr="00214498">
        <w:rPr>
          <w:rFonts w:ascii="Garamond" w:hAnsi="Garamond" w:cs="Arial"/>
          <w:color w:val="auto"/>
          <w:sz w:val="24"/>
          <w:szCs w:val="24"/>
          <w:lang w:val="pt-PT"/>
        </w:rPr>
        <w:t xml:space="preserve">o </w:t>
      </w:r>
      <w:r w:rsidR="00334EF2" w:rsidRPr="00214498">
        <w:rPr>
          <w:rFonts w:ascii="Garamond" w:hAnsi="Garamond" w:cs="Arial"/>
          <w:color w:val="auto"/>
          <w:sz w:val="24"/>
          <w:szCs w:val="24"/>
          <w:lang w:val="pt-PT"/>
        </w:rPr>
        <w:t>referido</w:t>
      </w:r>
      <w:r w:rsidRPr="00214498">
        <w:rPr>
          <w:rFonts w:ascii="Garamond" w:hAnsi="Garamond" w:cs="Arial"/>
          <w:color w:val="auto"/>
          <w:sz w:val="24"/>
          <w:szCs w:val="24"/>
          <w:lang w:val="pt-PT"/>
        </w:rPr>
        <w:t xml:space="preserve"> </w:t>
      </w:r>
      <w:r w:rsidR="007A6A6C" w:rsidRPr="00214498">
        <w:rPr>
          <w:rFonts w:ascii="Garamond" w:hAnsi="Garamond" w:cs="Arial"/>
          <w:color w:val="auto"/>
          <w:sz w:val="24"/>
          <w:szCs w:val="24"/>
          <w:lang w:val="pt-PT"/>
        </w:rPr>
        <w:t>delito.</w:t>
      </w:r>
    </w:p>
    <w:p w:rsidR="007A6A6C" w:rsidRPr="003A1174" w:rsidRDefault="00E3465B"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E</w:t>
      </w:r>
      <w:r w:rsidR="00201889" w:rsidRPr="003A1174">
        <w:rPr>
          <w:rFonts w:ascii="Garamond" w:hAnsi="Garamond" w:cs="Arial"/>
          <w:color w:val="auto"/>
          <w:sz w:val="24"/>
          <w:szCs w:val="24"/>
          <w:lang w:val="pt-PT"/>
        </w:rPr>
        <w:t xml:space="preserve">m </w:t>
      </w:r>
      <w:r w:rsidR="00152A44" w:rsidRPr="003A1174">
        <w:rPr>
          <w:rFonts w:ascii="Garamond" w:hAnsi="Garamond" w:cs="Arial"/>
          <w:color w:val="auto"/>
          <w:sz w:val="24"/>
          <w:szCs w:val="24"/>
          <w:lang w:val="pt-PT"/>
        </w:rPr>
        <w:t>relação</w:t>
      </w:r>
      <w:r w:rsidR="00201889" w:rsidRPr="003A1174">
        <w:rPr>
          <w:rFonts w:ascii="Garamond" w:hAnsi="Garamond" w:cs="Arial"/>
          <w:color w:val="auto"/>
          <w:sz w:val="24"/>
          <w:szCs w:val="24"/>
          <w:lang w:val="pt-PT"/>
        </w:rPr>
        <w:t xml:space="preserve"> ao </w:t>
      </w:r>
      <w:r w:rsidR="00D96FD0" w:rsidRPr="003A1174">
        <w:rPr>
          <w:rFonts w:ascii="Garamond" w:hAnsi="Garamond" w:cs="Arial"/>
          <w:color w:val="auto"/>
          <w:sz w:val="24"/>
          <w:szCs w:val="24"/>
          <w:lang w:val="pt-PT"/>
        </w:rPr>
        <w:t>cumprimento</w:t>
      </w:r>
      <w:r w:rsidR="007A6A6C" w:rsidRPr="003A1174">
        <w:rPr>
          <w:rFonts w:ascii="Garamond" w:hAnsi="Garamond" w:cs="Arial"/>
          <w:color w:val="auto"/>
          <w:sz w:val="24"/>
          <w:szCs w:val="24"/>
          <w:lang w:val="pt-PT"/>
        </w:rPr>
        <w:t xml:space="preserve"> de </w:t>
      </w:r>
      <w:r w:rsidR="001F2F8B" w:rsidRPr="003A1174">
        <w:rPr>
          <w:rFonts w:ascii="Garamond" w:hAnsi="Garamond" w:cs="Arial"/>
          <w:color w:val="auto"/>
          <w:sz w:val="24"/>
          <w:szCs w:val="24"/>
          <w:lang w:val="pt-PT"/>
        </w:rPr>
        <w:t>outro</w:t>
      </w:r>
      <w:r w:rsidR="007A6A6C" w:rsidRPr="003A1174">
        <w:rPr>
          <w:rFonts w:ascii="Garamond" w:hAnsi="Garamond" w:cs="Arial"/>
          <w:color w:val="auto"/>
          <w:sz w:val="24"/>
          <w:szCs w:val="24"/>
          <w:lang w:val="pt-PT"/>
        </w:rPr>
        <w:t xml:space="preserve">s </w:t>
      </w:r>
      <w:r w:rsidR="00886D6A" w:rsidRPr="003A1174">
        <w:rPr>
          <w:rFonts w:ascii="Garamond" w:hAnsi="Garamond" w:cs="Arial"/>
          <w:color w:val="auto"/>
          <w:sz w:val="24"/>
          <w:szCs w:val="24"/>
          <w:lang w:val="pt-PT"/>
        </w:rPr>
        <w:t>direito</w:t>
      </w:r>
      <w:r w:rsidR="00201889" w:rsidRPr="003A1174">
        <w:rPr>
          <w:rFonts w:ascii="Garamond" w:hAnsi="Garamond" w:cs="Arial"/>
          <w:color w:val="auto"/>
          <w:sz w:val="24"/>
          <w:szCs w:val="24"/>
          <w:lang w:val="pt-PT"/>
        </w:rPr>
        <w:t xml:space="preserve">s, </w:t>
      </w:r>
      <w:r w:rsidR="007A6A6C" w:rsidRPr="003A1174">
        <w:rPr>
          <w:rFonts w:ascii="Garamond" w:hAnsi="Garamond" w:cs="Arial"/>
          <w:color w:val="auto"/>
          <w:sz w:val="24"/>
          <w:szCs w:val="24"/>
          <w:lang w:val="pt-PT"/>
        </w:rPr>
        <w:t xml:space="preserve">a </w:t>
      </w:r>
      <w:r w:rsidR="0096583F" w:rsidRPr="003A1174">
        <w:rPr>
          <w:rFonts w:ascii="Garamond" w:hAnsi="Garamond" w:cs="Arial"/>
          <w:color w:val="auto"/>
          <w:sz w:val="24"/>
          <w:szCs w:val="24"/>
          <w:lang w:val="pt-PT"/>
        </w:rPr>
        <w:t>Procuradoria</w:t>
      </w:r>
      <w:r w:rsidR="00201889" w:rsidRPr="003A1174">
        <w:rPr>
          <w:rFonts w:ascii="Garamond" w:hAnsi="Garamond" w:cs="Arial"/>
          <w:color w:val="auto"/>
          <w:sz w:val="24"/>
          <w:szCs w:val="24"/>
          <w:lang w:val="pt-PT"/>
        </w:rPr>
        <w:t xml:space="preserve"> para </w:t>
      </w:r>
      <w:r w:rsidR="007A6A6C"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Defesa</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7A6A6C"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s Humanos</w:t>
      </w:r>
      <w:r w:rsidR="00FC1CD7">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e</w:t>
      </w:r>
      <w:r w:rsidR="00201889" w:rsidRPr="003A1174">
        <w:rPr>
          <w:rFonts w:ascii="Garamond" w:hAnsi="Garamond" w:cs="Arial"/>
          <w:color w:val="auto"/>
          <w:sz w:val="24"/>
          <w:szCs w:val="24"/>
          <w:lang w:val="pt-PT"/>
        </w:rPr>
        <w:t>m</w:t>
      </w:r>
      <w:r w:rsidR="007A6A6C" w:rsidRPr="003A1174">
        <w:rPr>
          <w:rFonts w:ascii="Garamond" w:hAnsi="Garamond" w:cs="Arial"/>
          <w:color w:val="auto"/>
          <w:sz w:val="24"/>
          <w:szCs w:val="24"/>
          <w:lang w:val="pt-PT"/>
        </w:rPr>
        <w:t xml:space="preserve"> El Salvador</w:t>
      </w:r>
      <w:r w:rsidR="00FC1CD7">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está </w:t>
      </w:r>
      <w:r w:rsidR="00201889" w:rsidRPr="003A1174">
        <w:rPr>
          <w:rFonts w:ascii="Garamond" w:hAnsi="Garamond" w:cs="Arial"/>
          <w:color w:val="auto"/>
          <w:sz w:val="24"/>
          <w:szCs w:val="24"/>
          <w:lang w:val="pt-PT"/>
        </w:rPr>
        <w:t xml:space="preserve">a </w:t>
      </w:r>
      <w:r w:rsidR="007A6A6C" w:rsidRPr="003A1174">
        <w:rPr>
          <w:rFonts w:ascii="Garamond" w:hAnsi="Garamond" w:cs="Arial"/>
          <w:color w:val="auto"/>
          <w:sz w:val="24"/>
          <w:szCs w:val="24"/>
          <w:lang w:val="pt-PT"/>
        </w:rPr>
        <w:t>acompa</w:t>
      </w:r>
      <w:r w:rsidR="00201889" w:rsidRPr="003A1174">
        <w:rPr>
          <w:rFonts w:ascii="Garamond" w:hAnsi="Garamond" w:cs="Arial"/>
          <w:color w:val="auto"/>
          <w:sz w:val="24"/>
          <w:szCs w:val="24"/>
          <w:lang w:val="pt-PT"/>
        </w:rPr>
        <w:t xml:space="preserve">nhar </w:t>
      </w:r>
      <w:r w:rsidR="002470B1" w:rsidRPr="003A1174">
        <w:rPr>
          <w:rFonts w:ascii="Garamond" w:hAnsi="Garamond" w:cs="Arial"/>
          <w:color w:val="auto"/>
          <w:sz w:val="24"/>
          <w:szCs w:val="24"/>
          <w:lang w:val="pt-PT"/>
        </w:rPr>
        <w:t>organizações</w:t>
      </w:r>
      <w:r w:rsidR="007A6A6C" w:rsidRPr="003A1174">
        <w:rPr>
          <w:rFonts w:ascii="Garamond" w:hAnsi="Garamond" w:cs="Arial"/>
          <w:color w:val="auto"/>
          <w:sz w:val="24"/>
          <w:szCs w:val="24"/>
          <w:lang w:val="pt-PT"/>
        </w:rPr>
        <w:t xml:space="preserve"> feministas e</w:t>
      </w:r>
      <w:r w:rsidR="00201889" w:rsidRPr="003A1174">
        <w:rPr>
          <w:rFonts w:ascii="Garamond" w:hAnsi="Garamond" w:cs="Arial"/>
          <w:color w:val="auto"/>
          <w:sz w:val="24"/>
          <w:szCs w:val="24"/>
          <w:lang w:val="pt-PT"/>
        </w:rPr>
        <w:t>m</w:t>
      </w:r>
      <w:r w:rsidR="007A6A6C" w:rsidRPr="003A1174">
        <w:rPr>
          <w:rFonts w:ascii="Garamond" w:hAnsi="Garamond" w:cs="Arial"/>
          <w:color w:val="auto"/>
          <w:sz w:val="24"/>
          <w:szCs w:val="24"/>
          <w:lang w:val="pt-PT"/>
        </w:rPr>
        <w:t xml:space="preserve"> </w:t>
      </w:r>
      <w:r w:rsidR="000866B6" w:rsidRPr="003A1174">
        <w:rPr>
          <w:rFonts w:ascii="Garamond" w:hAnsi="Garamond" w:cs="Arial"/>
          <w:color w:val="auto"/>
          <w:sz w:val="24"/>
          <w:szCs w:val="24"/>
          <w:lang w:val="pt-PT"/>
        </w:rPr>
        <w:t>três</w:t>
      </w:r>
      <w:r w:rsidR="007A6A6C" w:rsidRPr="003A1174">
        <w:rPr>
          <w:rFonts w:ascii="Garamond" w:hAnsi="Garamond" w:cs="Arial"/>
          <w:color w:val="auto"/>
          <w:sz w:val="24"/>
          <w:szCs w:val="24"/>
          <w:lang w:val="pt-PT"/>
        </w:rPr>
        <w:t xml:space="preserve"> iniciativas de </w:t>
      </w:r>
      <w:r w:rsidR="003A2CD0">
        <w:rPr>
          <w:rFonts w:ascii="Garamond" w:hAnsi="Garamond" w:cs="Arial"/>
          <w:color w:val="auto"/>
          <w:sz w:val="24"/>
          <w:szCs w:val="24"/>
          <w:lang w:val="pt-PT"/>
        </w:rPr>
        <w:t xml:space="preserve">revisão </w:t>
      </w:r>
      <w:r w:rsidR="007A6A6C" w:rsidRPr="003A1174">
        <w:rPr>
          <w:rFonts w:ascii="Garamond" w:hAnsi="Garamond" w:cs="Arial"/>
          <w:color w:val="auto"/>
          <w:sz w:val="24"/>
          <w:szCs w:val="24"/>
          <w:lang w:val="pt-PT"/>
        </w:rPr>
        <w:t xml:space="preserve">legislativa: (a) </w:t>
      </w:r>
      <w:r w:rsidR="00201889" w:rsidRPr="003A1174">
        <w:rPr>
          <w:rFonts w:ascii="Garamond" w:hAnsi="Garamond" w:cs="Arial"/>
          <w:color w:val="auto"/>
          <w:sz w:val="24"/>
          <w:szCs w:val="24"/>
          <w:lang w:val="pt-PT"/>
        </w:rPr>
        <w:t>proposta</w:t>
      </w:r>
      <w:r w:rsidR="007A6A6C" w:rsidRPr="003A1174">
        <w:rPr>
          <w:rFonts w:ascii="Garamond" w:hAnsi="Garamond" w:cs="Arial"/>
          <w:color w:val="auto"/>
          <w:sz w:val="24"/>
          <w:szCs w:val="24"/>
          <w:lang w:val="pt-PT"/>
        </w:rPr>
        <w:t xml:space="preserve"> de </w:t>
      </w:r>
      <w:r w:rsidR="003A2CD0">
        <w:rPr>
          <w:rFonts w:ascii="Garamond" w:hAnsi="Garamond" w:cs="Arial"/>
          <w:color w:val="auto"/>
          <w:sz w:val="24"/>
          <w:szCs w:val="24"/>
          <w:lang w:val="pt-PT"/>
        </w:rPr>
        <w:t xml:space="preserve">revisão </w:t>
      </w:r>
      <w:r w:rsidR="007A6A6C" w:rsidRPr="003A1174">
        <w:rPr>
          <w:rFonts w:ascii="Garamond" w:hAnsi="Garamond" w:cs="Arial"/>
          <w:color w:val="auto"/>
          <w:sz w:val="24"/>
          <w:szCs w:val="24"/>
          <w:lang w:val="pt-PT"/>
        </w:rPr>
        <w:t>a</w:t>
      </w:r>
      <w:r w:rsidR="00201889" w:rsidRPr="003A1174">
        <w:rPr>
          <w:rFonts w:ascii="Garamond" w:hAnsi="Garamond" w:cs="Arial"/>
          <w:color w:val="auto"/>
          <w:sz w:val="24"/>
          <w:szCs w:val="24"/>
          <w:lang w:val="pt-PT"/>
        </w:rPr>
        <w:t>o</w:t>
      </w:r>
      <w:r w:rsidR="007A6A6C" w:rsidRPr="003A1174">
        <w:rPr>
          <w:rFonts w:ascii="Garamond" w:hAnsi="Garamond" w:cs="Arial"/>
          <w:color w:val="auto"/>
          <w:sz w:val="24"/>
          <w:szCs w:val="24"/>
          <w:lang w:val="pt-PT"/>
        </w:rPr>
        <w:t xml:space="preserve"> Código Ele</w:t>
      </w:r>
      <w:r w:rsidR="00201889" w:rsidRPr="003A1174">
        <w:rPr>
          <w:rFonts w:ascii="Garamond" w:hAnsi="Garamond" w:cs="Arial"/>
          <w:color w:val="auto"/>
          <w:sz w:val="24"/>
          <w:szCs w:val="24"/>
          <w:lang w:val="pt-PT"/>
        </w:rPr>
        <w:t xml:space="preserve">itoral, sobre </w:t>
      </w:r>
      <w:r w:rsidR="007A6A6C" w:rsidRPr="003A1174">
        <w:rPr>
          <w:rFonts w:ascii="Garamond" w:hAnsi="Garamond" w:cs="Arial"/>
          <w:color w:val="auto"/>
          <w:sz w:val="24"/>
          <w:szCs w:val="24"/>
          <w:lang w:val="pt-PT"/>
        </w:rPr>
        <w:t xml:space="preserve">a </w:t>
      </w:r>
      <w:r w:rsidR="006F4B2C" w:rsidRPr="003A1174">
        <w:rPr>
          <w:rFonts w:ascii="Garamond" w:hAnsi="Garamond" w:cs="Arial"/>
          <w:color w:val="auto"/>
          <w:sz w:val="24"/>
          <w:szCs w:val="24"/>
          <w:lang w:val="pt-PT"/>
        </w:rPr>
        <w:t>integração</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201889" w:rsidRPr="003A1174">
        <w:rPr>
          <w:rFonts w:ascii="Garamond" w:hAnsi="Garamond" w:cs="Arial"/>
          <w:color w:val="auto"/>
          <w:sz w:val="24"/>
          <w:szCs w:val="24"/>
          <w:lang w:val="pt-PT"/>
        </w:rPr>
        <w:t xml:space="preserve"> Concelh</w:t>
      </w:r>
      <w:r w:rsidR="007A6A6C" w:rsidRPr="003A1174">
        <w:rPr>
          <w:rFonts w:ascii="Garamond" w:hAnsi="Garamond" w:cs="Arial"/>
          <w:color w:val="auto"/>
          <w:sz w:val="24"/>
          <w:szCs w:val="24"/>
          <w:lang w:val="pt-PT"/>
        </w:rPr>
        <w:t xml:space="preserve">os </w:t>
      </w:r>
      <w:r w:rsidR="00374785" w:rsidRPr="003A1174">
        <w:rPr>
          <w:rFonts w:ascii="Garamond" w:hAnsi="Garamond" w:cs="Arial"/>
          <w:color w:val="auto"/>
          <w:sz w:val="24"/>
          <w:szCs w:val="24"/>
          <w:lang w:val="pt-PT"/>
        </w:rPr>
        <w:t>Municipais</w:t>
      </w:r>
      <w:r w:rsidR="007A6A6C" w:rsidRPr="003A1174">
        <w:rPr>
          <w:rFonts w:ascii="Garamond" w:hAnsi="Garamond" w:cs="Arial"/>
          <w:color w:val="auto"/>
          <w:sz w:val="24"/>
          <w:szCs w:val="24"/>
          <w:lang w:val="pt-PT"/>
        </w:rPr>
        <w:t xml:space="preserve"> Plura</w:t>
      </w:r>
      <w:r w:rsidR="00201889" w:rsidRPr="003A1174">
        <w:rPr>
          <w:rFonts w:ascii="Garamond" w:hAnsi="Garamond" w:cs="Arial"/>
          <w:color w:val="auto"/>
          <w:sz w:val="24"/>
          <w:szCs w:val="24"/>
          <w:lang w:val="pt-PT"/>
        </w:rPr>
        <w:t>i</w:t>
      </w:r>
      <w:r w:rsidR="007A6A6C" w:rsidRPr="003A1174">
        <w:rPr>
          <w:rFonts w:ascii="Garamond" w:hAnsi="Garamond" w:cs="Arial"/>
          <w:color w:val="auto"/>
          <w:sz w:val="24"/>
          <w:szCs w:val="24"/>
          <w:lang w:val="pt-PT"/>
        </w:rPr>
        <w:t>s co</w:t>
      </w:r>
      <w:r w:rsidR="00201889" w:rsidRPr="003A1174">
        <w:rPr>
          <w:rFonts w:ascii="Garamond" w:hAnsi="Garamond" w:cs="Arial"/>
          <w:color w:val="auto"/>
          <w:sz w:val="24"/>
          <w:szCs w:val="24"/>
          <w:lang w:val="pt-PT"/>
        </w:rPr>
        <w:t>m</w:t>
      </w:r>
      <w:r w:rsidR="007A6A6C" w:rsidRPr="003A1174">
        <w:rPr>
          <w:rFonts w:ascii="Garamond" w:hAnsi="Garamond" w:cs="Arial"/>
          <w:color w:val="auto"/>
          <w:sz w:val="24"/>
          <w:szCs w:val="24"/>
          <w:lang w:val="pt-PT"/>
        </w:rPr>
        <w:t xml:space="preserve"> enfoque </w:t>
      </w:r>
      <w:r w:rsidR="00201889" w:rsidRPr="003A1174">
        <w:rPr>
          <w:rFonts w:ascii="Garamond" w:hAnsi="Garamond" w:cs="Arial"/>
          <w:color w:val="auto"/>
          <w:sz w:val="24"/>
          <w:szCs w:val="24"/>
          <w:lang w:val="pt-PT"/>
        </w:rPr>
        <w:t>na alternâ</w:t>
      </w:r>
      <w:r w:rsidR="007A6A6C" w:rsidRPr="003A1174">
        <w:rPr>
          <w:rFonts w:ascii="Garamond" w:hAnsi="Garamond" w:cs="Arial"/>
          <w:color w:val="auto"/>
          <w:sz w:val="24"/>
          <w:szCs w:val="24"/>
          <w:lang w:val="pt-PT"/>
        </w:rPr>
        <w:t>ncia de género</w:t>
      </w:r>
      <w:r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(b) </w:t>
      </w:r>
      <w:r w:rsidR="00201889" w:rsidRPr="003A1174">
        <w:rPr>
          <w:rFonts w:ascii="Garamond" w:hAnsi="Garamond" w:cs="Arial"/>
          <w:color w:val="auto"/>
          <w:sz w:val="24"/>
          <w:szCs w:val="24"/>
          <w:lang w:val="pt-PT"/>
        </w:rPr>
        <w:t xml:space="preserve">dois anteprojetos de </w:t>
      </w:r>
      <w:r w:rsidR="003A2CD0">
        <w:rPr>
          <w:rFonts w:ascii="Garamond" w:hAnsi="Garamond" w:cs="Arial"/>
          <w:color w:val="auto"/>
          <w:sz w:val="24"/>
          <w:szCs w:val="24"/>
          <w:lang w:val="pt-PT"/>
        </w:rPr>
        <w:t xml:space="preserve">revisão </w:t>
      </w:r>
      <w:r w:rsidR="00201889" w:rsidRPr="003A1174">
        <w:rPr>
          <w:rFonts w:ascii="Garamond" w:hAnsi="Garamond" w:cs="Arial"/>
          <w:color w:val="auto"/>
          <w:sz w:val="24"/>
          <w:szCs w:val="24"/>
          <w:lang w:val="pt-PT"/>
        </w:rPr>
        <w:t xml:space="preserve">ao Código de Trabalho cujo objetivo é regular </w:t>
      </w:r>
      <w:r w:rsidR="007A6A6C" w:rsidRPr="003A1174">
        <w:rPr>
          <w:rFonts w:ascii="Garamond" w:hAnsi="Garamond" w:cs="Arial"/>
          <w:color w:val="auto"/>
          <w:sz w:val="24"/>
          <w:szCs w:val="24"/>
          <w:lang w:val="pt-PT"/>
        </w:rPr>
        <w:t xml:space="preserve">a </w:t>
      </w:r>
      <w:r w:rsidR="0017447A" w:rsidRPr="003A1174">
        <w:rPr>
          <w:rFonts w:ascii="Garamond" w:hAnsi="Garamond" w:cs="Arial"/>
          <w:color w:val="auto"/>
          <w:sz w:val="24"/>
          <w:szCs w:val="24"/>
          <w:lang w:val="pt-PT"/>
        </w:rPr>
        <w:t>situação</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7A6A6C" w:rsidRPr="003A1174">
        <w:rPr>
          <w:rFonts w:ascii="Garamond" w:hAnsi="Garamond" w:cs="Arial"/>
          <w:color w:val="auto"/>
          <w:sz w:val="24"/>
          <w:szCs w:val="24"/>
          <w:lang w:val="pt-PT"/>
        </w:rPr>
        <w:t xml:space="preserve"> </w:t>
      </w:r>
      <w:r w:rsidR="006C760C" w:rsidRPr="003A1174">
        <w:rPr>
          <w:rFonts w:ascii="Garamond" w:hAnsi="Garamond" w:cs="Arial"/>
          <w:color w:val="auto"/>
          <w:sz w:val="24"/>
          <w:szCs w:val="24"/>
          <w:lang w:val="pt-PT"/>
        </w:rPr>
        <w:t>pessoas</w:t>
      </w:r>
      <w:r w:rsidR="007A6A6C" w:rsidRPr="003A1174">
        <w:rPr>
          <w:rFonts w:ascii="Garamond" w:hAnsi="Garamond" w:cs="Arial"/>
          <w:color w:val="auto"/>
          <w:sz w:val="24"/>
          <w:szCs w:val="24"/>
          <w:lang w:val="pt-PT"/>
        </w:rPr>
        <w:t xml:space="preserve"> </w:t>
      </w:r>
      <w:r w:rsidR="00AC63DF" w:rsidRPr="007B3401">
        <w:rPr>
          <w:rFonts w:ascii="Garamond" w:hAnsi="Garamond" w:cs="Arial"/>
          <w:color w:val="auto"/>
          <w:sz w:val="24"/>
          <w:szCs w:val="24"/>
          <w:lang w:val="pt-PT"/>
        </w:rPr>
        <w:t>trabalha</w:t>
      </w:r>
      <w:r w:rsidR="007A6A6C" w:rsidRPr="007B3401">
        <w:rPr>
          <w:rFonts w:ascii="Garamond" w:hAnsi="Garamond" w:cs="Arial"/>
          <w:color w:val="auto"/>
          <w:sz w:val="24"/>
          <w:szCs w:val="24"/>
          <w:lang w:val="pt-PT"/>
        </w:rPr>
        <w:t xml:space="preserve">doras </w:t>
      </w:r>
      <w:r w:rsidR="00201889" w:rsidRPr="007B3401">
        <w:rPr>
          <w:rFonts w:ascii="Garamond" w:hAnsi="Garamond" w:cs="Arial"/>
          <w:color w:val="auto"/>
          <w:sz w:val="24"/>
          <w:szCs w:val="24"/>
          <w:lang w:val="pt-PT"/>
        </w:rPr>
        <w:t xml:space="preserve">no lar, </w:t>
      </w:r>
      <w:r w:rsidR="007A6A6C" w:rsidRPr="007B3401">
        <w:rPr>
          <w:rFonts w:ascii="Garamond" w:hAnsi="Garamond" w:cs="Arial"/>
          <w:color w:val="auto"/>
          <w:sz w:val="24"/>
          <w:szCs w:val="24"/>
          <w:lang w:val="pt-PT"/>
        </w:rPr>
        <w:t>as</w:t>
      </w:r>
      <w:r w:rsidR="00201889" w:rsidRPr="007B3401">
        <w:rPr>
          <w:rFonts w:ascii="Garamond" w:hAnsi="Garamond" w:cs="Arial"/>
          <w:color w:val="auto"/>
          <w:sz w:val="24"/>
          <w:szCs w:val="24"/>
          <w:lang w:val="pt-PT"/>
        </w:rPr>
        <w:t xml:space="preserve">sim </w:t>
      </w:r>
      <w:r w:rsidR="007A6A6C" w:rsidRPr="007B3401">
        <w:rPr>
          <w:rFonts w:ascii="Garamond" w:hAnsi="Garamond" w:cs="Arial"/>
          <w:color w:val="auto"/>
          <w:sz w:val="24"/>
          <w:szCs w:val="24"/>
          <w:lang w:val="pt-PT"/>
        </w:rPr>
        <w:t xml:space="preserve">como </w:t>
      </w:r>
      <w:r w:rsidR="00497503" w:rsidRPr="007B3401">
        <w:rPr>
          <w:rFonts w:ascii="Garamond" w:hAnsi="Garamond" w:cs="Arial"/>
          <w:color w:val="auto"/>
          <w:sz w:val="24"/>
          <w:szCs w:val="24"/>
          <w:lang w:val="pt-PT"/>
        </w:rPr>
        <w:t>das</w:t>
      </w:r>
      <w:r w:rsidR="007A6A6C" w:rsidRPr="007B3401">
        <w:rPr>
          <w:rFonts w:ascii="Garamond" w:hAnsi="Garamond" w:cs="Arial"/>
          <w:color w:val="auto"/>
          <w:sz w:val="24"/>
          <w:szCs w:val="24"/>
          <w:lang w:val="pt-PT"/>
        </w:rPr>
        <w:t xml:space="preserve"> </w:t>
      </w:r>
      <w:r w:rsidR="006C760C" w:rsidRPr="007B3401">
        <w:rPr>
          <w:rFonts w:ascii="Garamond" w:hAnsi="Garamond" w:cs="Arial"/>
          <w:color w:val="auto"/>
          <w:sz w:val="24"/>
          <w:szCs w:val="24"/>
          <w:lang w:val="pt-PT"/>
        </w:rPr>
        <w:t>pessoas</w:t>
      </w:r>
      <w:r w:rsidR="007A6A6C" w:rsidRPr="007B3401">
        <w:rPr>
          <w:rFonts w:ascii="Garamond" w:hAnsi="Garamond" w:cs="Arial"/>
          <w:color w:val="auto"/>
          <w:sz w:val="24"/>
          <w:szCs w:val="24"/>
          <w:lang w:val="pt-PT"/>
        </w:rPr>
        <w:t xml:space="preserve"> </w:t>
      </w:r>
      <w:r w:rsidR="00AC63DF" w:rsidRPr="007B3401">
        <w:rPr>
          <w:rFonts w:ascii="Garamond" w:hAnsi="Garamond" w:cs="Arial"/>
          <w:color w:val="auto"/>
          <w:sz w:val="24"/>
          <w:szCs w:val="24"/>
          <w:lang w:val="pt-PT"/>
        </w:rPr>
        <w:t>trabalha</w:t>
      </w:r>
      <w:r w:rsidR="007A6A6C" w:rsidRPr="007B3401">
        <w:rPr>
          <w:rFonts w:ascii="Garamond" w:hAnsi="Garamond" w:cs="Arial"/>
          <w:color w:val="auto"/>
          <w:sz w:val="24"/>
          <w:szCs w:val="24"/>
          <w:lang w:val="pt-PT"/>
        </w:rPr>
        <w:t xml:space="preserve">doras </w:t>
      </w:r>
      <w:r w:rsidR="00833C78" w:rsidRPr="007B3401">
        <w:rPr>
          <w:rFonts w:ascii="Garamond" w:hAnsi="Garamond" w:cs="Arial"/>
          <w:color w:val="auto"/>
          <w:sz w:val="24"/>
          <w:szCs w:val="24"/>
          <w:lang w:val="pt-PT"/>
        </w:rPr>
        <w:t>n</w:t>
      </w:r>
      <w:r w:rsidR="00201889" w:rsidRPr="007B3401">
        <w:rPr>
          <w:rFonts w:ascii="Garamond" w:hAnsi="Garamond" w:cs="Arial"/>
          <w:color w:val="auto"/>
          <w:sz w:val="24"/>
          <w:szCs w:val="24"/>
          <w:lang w:val="pt-PT"/>
        </w:rPr>
        <w:t>o</w:t>
      </w:r>
      <w:r w:rsidR="007A6A6C" w:rsidRPr="007B3401">
        <w:rPr>
          <w:rFonts w:ascii="Garamond" w:hAnsi="Garamond" w:cs="Arial"/>
          <w:color w:val="auto"/>
          <w:sz w:val="24"/>
          <w:szCs w:val="24"/>
          <w:lang w:val="pt-PT"/>
        </w:rPr>
        <w:t xml:space="preserve"> </w:t>
      </w:r>
      <w:r w:rsidR="00152A44" w:rsidRPr="007B3401">
        <w:rPr>
          <w:rFonts w:ascii="Garamond" w:hAnsi="Garamond" w:cs="Arial"/>
          <w:color w:val="auto"/>
          <w:sz w:val="24"/>
          <w:szCs w:val="24"/>
          <w:lang w:val="pt-PT"/>
        </w:rPr>
        <w:t>domicílio</w:t>
      </w:r>
      <w:r w:rsidR="007A6A6C" w:rsidRPr="007B3401">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p>
    <w:p w:rsidR="007A6A6C" w:rsidRPr="003A1174" w:rsidRDefault="00D96FD0"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201889" w:rsidRPr="003A1174">
        <w:rPr>
          <w:rFonts w:ascii="Garamond" w:hAnsi="Garamond" w:cs="Arial"/>
          <w:color w:val="auto"/>
          <w:sz w:val="24"/>
          <w:szCs w:val="24"/>
        </w:rPr>
        <w:t xml:space="preserve"> d</w:t>
      </w:r>
      <w:r w:rsidR="007A6A6C" w:rsidRPr="003A1174">
        <w:rPr>
          <w:rFonts w:ascii="Garamond" w:hAnsi="Garamond" w:cs="Arial"/>
          <w:color w:val="auto"/>
          <w:sz w:val="24"/>
          <w:szCs w:val="24"/>
        </w:rPr>
        <w:t>a</w:t>
      </w:r>
      <w:r w:rsidR="00201889" w:rsidRPr="003A1174">
        <w:rPr>
          <w:rFonts w:ascii="Garamond" w:hAnsi="Garamond" w:cs="Arial"/>
          <w:color w:val="auto"/>
          <w:sz w:val="24"/>
          <w:szCs w:val="24"/>
        </w:rPr>
        <w:t>s</w:t>
      </w:r>
      <w:r w:rsidR="007A6A6C"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7A6A6C" w:rsidRPr="003A1174">
        <w:rPr>
          <w:rFonts w:ascii="Garamond" w:hAnsi="Garamond" w:cs="Arial"/>
          <w:color w:val="auto"/>
          <w:sz w:val="24"/>
          <w:szCs w:val="24"/>
        </w:rPr>
        <w:t xml:space="preserve"> </w:t>
      </w:r>
    </w:p>
    <w:p w:rsidR="007A6A6C" w:rsidRPr="003A1174" w:rsidRDefault="00201889" w:rsidP="008719D4">
      <w:pPr>
        <w:pStyle w:val="Predeterminado"/>
        <w:spacing w:line="240" w:lineRule="auto"/>
        <w:jc w:val="both"/>
        <w:rPr>
          <w:rFonts w:ascii="Garamond" w:hAnsi="Garamond" w:cs="Arial"/>
          <w:i/>
          <w:color w:val="auto"/>
          <w:sz w:val="24"/>
          <w:szCs w:val="24"/>
          <w:lang w:val="pt-PT"/>
        </w:rPr>
      </w:pPr>
      <w:r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Pr="003A1174">
        <w:rPr>
          <w:rFonts w:ascii="Garamond" w:hAnsi="Garamond" w:cs="Arial"/>
          <w:color w:val="auto"/>
          <w:sz w:val="24"/>
          <w:szCs w:val="24"/>
          <w:lang w:val="pt-PT"/>
        </w:rPr>
        <w:t xml:space="preserve"> Especial Integral para um</w:t>
      </w:r>
      <w:r w:rsidR="007A6A6C" w:rsidRPr="003A1174">
        <w:rPr>
          <w:rFonts w:ascii="Garamond" w:hAnsi="Garamond" w:cs="Arial"/>
          <w:color w:val="auto"/>
          <w:sz w:val="24"/>
          <w:szCs w:val="24"/>
          <w:lang w:val="pt-PT"/>
        </w:rPr>
        <w:t xml:space="preserve">a Vida </w:t>
      </w:r>
      <w:r w:rsidR="00AF192F" w:rsidRPr="003A1174">
        <w:rPr>
          <w:rFonts w:ascii="Garamond" w:hAnsi="Garamond" w:cs="Arial"/>
          <w:color w:val="auto"/>
          <w:sz w:val="24"/>
          <w:szCs w:val="24"/>
          <w:lang w:val="pt-PT"/>
        </w:rPr>
        <w:t>Livre</w:t>
      </w:r>
      <w:r w:rsidR="007A6A6C"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para </w:t>
      </w:r>
      <w:r w:rsidR="007A6A6C"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(LEIV),</w:t>
      </w:r>
      <w:r w:rsidR="00833C78">
        <w:rPr>
          <w:rFonts w:ascii="Garamond" w:hAnsi="Garamond" w:cs="Arial"/>
          <w:color w:val="auto"/>
          <w:sz w:val="24"/>
          <w:szCs w:val="24"/>
          <w:lang w:val="pt-PT"/>
        </w:rPr>
        <w:t xml:space="preserve"> cria </w:t>
      </w:r>
      <w:r w:rsidRPr="003A1174">
        <w:rPr>
          <w:rFonts w:ascii="Garamond" w:hAnsi="Garamond" w:cs="Arial"/>
          <w:color w:val="auto"/>
          <w:sz w:val="24"/>
          <w:szCs w:val="24"/>
          <w:lang w:val="pt-PT"/>
        </w:rPr>
        <w:t xml:space="preserve">uma </w:t>
      </w:r>
      <w:r w:rsidR="00C965B4" w:rsidRPr="003A1174">
        <w:rPr>
          <w:rFonts w:ascii="Garamond" w:hAnsi="Garamond" w:cs="Arial"/>
          <w:color w:val="auto"/>
          <w:sz w:val="24"/>
          <w:szCs w:val="24"/>
          <w:lang w:val="pt-PT"/>
        </w:rPr>
        <w:t>série</w:t>
      </w:r>
      <w:r w:rsidR="007A6A6C" w:rsidRPr="003A1174">
        <w:rPr>
          <w:rFonts w:ascii="Garamond" w:hAnsi="Garamond" w:cs="Arial"/>
          <w:color w:val="auto"/>
          <w:sz w:val="24"/>
          <w:szCs w:val="24"/>
          <w:lang w:val="pt-PT"/>
        </w:rPr>
        <w:t xml:space="preserve"> de </w:t>
      </w:r>
      <w:r w:rsidR="00A56F43" w:rsidRPr="003A1174">
        <w:rPr>
          <w:rFonts w:ascii="Garamond" w:hAnsi="Garamond" w:cs="Arial"/>
          <w:color w:val="auto"/>
          <w:sz w:val="24"/>
          <w:szCs w:val="24"/>
          <w:lang w:val="pt-PT"/>
        </w:rPr>
        <w:t>garantia</w:t>
      </w:r>
      <w:r w:rsidR="007A6A6C" w:rsidRPr="003A1174">
        <w:rPr>
          <w:rFonts w:ascii="Garamond" w:hAnsi="Garamond" w:cs="Arial"/>
          <w:color w:val="auto"/>
          <w:sz w:val="24"/>
          <w:szCs w:val="24"/>
          <w:lang w:val="pt-PT"/>
        </w:rPr>
        <w:t xml:space="preserve">s </w:t>
      </w:r>
      <w:r w:rsidR="00682C71" w:rsidRPr="003A1174">
        <w:rPr>
          <w:rFonts w:ascii="Garamond" w:hAnsi="Garamond" w:cs="Arial"/>
          <w:color w:val="auto"/>
          <w:sz w:val="24"/>
          <w:szCs w:val="24"/>
          <w:lang w:val="pt-PT"/>
        </w:rPr>
        <w:t>processuais</w:t>
      </w:r>
      <w:r w:rsidR="007A6A6C" w:rsidRPr="003A1174">
        <w:rPr>
          <w:rFonts w:ascii="Garamond" w:hAnsi="Garamond" w:cs="Arial"/>
          <w:color w:val="auto"/>
          <w:sz w:val="24"/>
          <w:szCs w:val="24"/>
          <w:lang w:val="pt-PT"/>
        </w:rPr>
        <w:t xml:space="preserve"> mínimas que </w:t>
      </w:r>
      <w:r w:rsidRPr="003A1174">
        <w:rPr>
          <w:rFonts w:ascii="Garamond" w:hAnsi="Garamond" w:cs="Arial"/>
          <w:color w:val="auto"/>
          <w:sz w:val="24"/>
          <w:szCs w:val="24"/>
          <w:lang w:val="pt-PT"/>
        </w:rPr>
        <w:t xml:space="preserve">os funcionários em </w:t>
      </w:r>
      <w:r w:rsidR="007A6A6C" w:rsidRPr="003A1174">
        <w:rPr>
          <w:rFonts w:ascii="Garamond" w:hAnsi="Garamond" w:cs="Arial"/>
          <w:color w:val="auto"/>
          <w:sz w:val="24"/>
          <w:szCs w:val="24"/>
          <w:lang w:val="pt-PT"/>
        </w:rPr>
        <w:t xml:space="preserve">sede administrativa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judicial </w:t>
      </w:r>
      <w:r w:rsidR="00A862C2" w:rsidRPr="003A1174">
        <w:rPr>
          <w:rFonts w:ascii="Garamond" w:hAnsi="Garamond" w:cs="Arial"/>
          <w:color w:val="auto"/>
          <w:sz w:val="24"/>
          <w:szCs w:val="24"/>
          <w:lang w:val="pt-PT"/>
        </w:rPr>
        <w:t>deve</w:t>
      </w:r>
      <w:r w:rsidRPr="003A1174">
        <w:rPr>
          <w:rFonts w:ascii="Garamond" w:hAnsi="Garamond" w:cs="Arial"/>
          <w:color w:val="auto"/>
          <w:sz w:val="24"/>
          <w:szCs w:val="24"/>
          <w:lang w:val="pt-PT"/>
        </w:rPr>
        <w:t>m</w:t>
      </w:r>
      <w:r w:rsidR="007A6A6C" w:rsidRPr="003A1174">
        <w:rPr>
          <w:rFonts w:ascii="Garamond" w:hAnsi="Garamond" w:cs="Arial"/>
          <w:color w:val="auto"/>
          <w:sz w:val="24"/>
          <w:szCs w:val="24"/>
          <w:lang w:val="pt-PT"/>
        </w:rPr>
        <w:t xml:space="preserve"> </w:t>
      </w:r>
      <w:r w:rsidR="006C760C" w:rsidRPr="003A1174">
        <w:rPr>
          <w:rFonts w:ascii="Garamond" w:hAnsi="Garamond" w:cs="Arial"/>
          <w:color w:val="auto"/>
          <w:sz w:val="24"/>
          <w:szCs w:val="24"/>
          <w:lang w:val="pt-PT"/>
        </w:rPr>
        <w:t>adotar</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w:t>
      </w:r>
      <w:r w:rsidR="007A6A6C" w:rsidRPr="003A1174">
        <w:rPr>
          <w:rFonts w:ascii="Garamond" w:hAnsi="Garamond" w:cs="Arial"/>
          <w:color w:val="auto"/>
          <w:sz w:val="24"/>
          <w:szCs w:val="24"/>
          <w:lang w:val="pt-PT"/>
        </w:rPr>
        <w:t xml:space="preserve">marco </w:t>
      </w:r>
      <w:r w:rsidR="008A3DA2" w:rsidRPr="003A1174">
        <w:rPr>
          <w:rFonts w:ascii="Garamond" w:hAnsi="Garamond" w:cs="Arial"/>
          <w:color w:val="auto"/>
          <w:sz w:val="24"/>
          <w:szCs w:val="24"/>
          <w:lang w:val="pt-PT"/>
        </w:rPr>
        <w:t>do</w:t>
      </w:r>
      <w:r w:rsidR="007A6A6C" w:rsidRPr="003A1174">
        <w:rPr>
          <w:rFonts w:ascii="Garamond" w:hAnsi="Garamond" w:cs="Arial"/>
          <w:color w:val="auto"/>
          <w:sz w:val="24"/>
          <w:szCs w:val="24"/>
          <w:lang w:val="pt-PT"/>
        </w:rPr>
        <w:t xml:space="preserve"> </w:t>
      </w:r>
      <w:r w:rsidR="006D0543" w:rsidRPr="003A1174">
        <w:rPr>
          <w:rFonts w:ascii="Garamond" w:hAnsi="Garamond" w:cs="Arial"/>
          <w:color w:val="auto"/>
          <w:sz w:val="24"/>
          <w:szCs w:val="24"/>
          <w:lang w:val="pt-PT"/>
        </w:rPr>
        <w:t>princípio</w:t>
      </w:r>
      <w:r w:rsidR="007A6A6C" w:rsidRPr="003A1174">
        <w:rPr>
          <w:rFonts w:ascii="Garamond" w:hAnsi="Garamond" w:cs="Arial"/>
          <w:color w:val="auto"/>
          <w:sz w:val="24"/>
          <w:szCs w:val="24"/>
          <w:lang w:val="pt-PT"/>
        </w:rPr>
        <w:t xml:space="preserve"> de </w:t>
      </w:r>
      <w:r w:rsidR="00CF4C35" w:rsidRPr="003A1174">
        <w:rPr>
          <w:rFonts w:ascii="Garamond" w:hAnsi="Garamond" w:cs="Arial"/>
          <w:i/>
          <w:color w:val="auto"/>
          <w:sz w:val="24"/>
          <w:szCs w:val="24"/>
          <w:lang w:val="pt-PT"/>
        </w:rPr>
        <w:t>Diligência Devida</w:t>
      </w:r>
      <w:r w:rsidR="007A6A6C" w:rsidRPr="003A1174">
        <w:rPr>
          <w:rFonts w:ascii="Garamond" w:hAnsi="Garamond" w:cs="Arial"/>
          <w:i/>
          <w:color w:val="auto"/>
          <w:sz w:val="24"/>
          <w:szCs w:val="24"/>
          <w:lang w:val="pt-PT"/>
        </w:rPr>
        <w:t>.</w:t>
      </w:r>
    </w:p>
    <w:p w:rsidR="007A6A6C" w:rsidRPr="003A1174" w:rsidRDefault="00E3465B" w:rsidP="00201889">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Entre</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estas</w:t>
      </w:r>
      <w:r w:rsidR="007A6A6C" w:rsidRPr="003A1174">
        <w:rPr>
          <w:rFonts w:ascii="Garamond" w:hAnsi="Garamond" w:cs="Arial"/>
          <w:color w:val="auto"/>
          <w:sz w:val="24"/>
          <w:szCs w:val="24"/>
          <w:lang w:val="pt-PT"/>
        </w:rPr>
        <w:t xml:space="preserve"> </w:t>
      </w:r>
      <w:proofErr w:type="gramStart"/>
      <w:r w:rsidR="00F520D6" w:rsidRPr="003A1174">
        <w:rPr>
          <w:rFonts w:ascii="Garamond" w:hAnsi="Garamond" w:cs="Arial"/>
          <w:color w:val="auto"/>
          <w:sz w:val="24"/>
          <w:szCs w:val="24"/>
          <w:lang w:val="pt-PT"/>
        </w:rPr>
        <w:t>encontram</w:t>
      </w:r>
      <w:r w:rsidR="00201889" w:rsidRPr="003A1174">
        <w:rPr>
          <w:rFonts w:ascii="Garamond" w:hAnsi="Garamond" w:cs="Arial"/>
          <w:color w:val="auto"/>
          <w:sz w:val="24"/>
          <w:szCs w:val="24"/>
          <w:lang w:val="pt-PT"/>
        </w:rPr>
        <w:t>-se</w:t>
      </w:r>
      <w:proofErr w:type="gramEnd"/>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201889" w:rsidRPr="003A1174">
        <w:rPr>
          <w:rFonts w:ascii="Garamond" w:hAnsi="Garamond" w:cs="Arial"/>
          <w:color w:val="auto"/>
          <w:sz w:val="24"/>
          <w:szCs w:val="24"/>
          <w:lang w:val="pt-PT"/>
        </w:rPr>
        <w:t>criação</w:t>
      </w:r>
      <w:r w:rsidR="007A6A6C" w:rsidRPr="003A1174">
        <w:rPr>
          <w:rFonts w:ascii="Garamond" w:hAnsi="Garamond" w:cs="Arial"/>
          <w:color w:val="auto"/>
          <w:sz w:val="24"/>
          <w:szCs w:val="24"/>
          <w:lang w:val="pt-PT"/>
        </w:rPr>
        <w:t xml:space="preserve"> de Unidades de </w:t>
      </w:r>
      <w:r w:rsidR="008278C4" w:rsidRPr="003A1174">
        <w:rPr>
          <w:rFonts w:ascii="Garamond" w:hAnsi="Garamond" w:cs="Arial"/>
          <w:color w:val="auto"/>
          <w:sz w:val="24"/>
          <w:szCs w:val="24"/>
          <w:lang w:val="pt-PT"/>
        </w:rPr>
        <w:t>Atenção</w:t>
      </w:r>
      <w:r w:rsidR="007A6A6C" w:rsidRPr="003A1174">
        <w:rPr>
          <w:rFonts w:ascii="Garamond" w:hAnsi="Garamond" w:cs="Arial"/>
          <w:color w:val="auto"/>
          <w:sz w:val="24"/>
          <w:szCs w:val="24"/>
          <w:lang w:val="pt-PT"/>
        </w:rPr>
        <w:t xml:space="preserve"> Especializada para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7A6A6C"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w:t>
      </w:r>
      <w:r w:rsidR="007A6A6C" w:rsidRPr="003A1174">
        <w:rPr>
          <w:rStyle w:val="Refdenotaalpie"/>
          <w:rFonts w:ascii="Garamond" w:hAnsi="Garamond" w:cs="Arial"/>
          <w:color w:val="auto"/>
          <w:sz w:val="24"/>
          <w:szCs w:val="24"/>
          <w:lang w:val="es-CR"/>
        </w:rPr>
        <w:footnoteReference w:id="68"/>
      </w:r>
      <w:r w:rsidR="00201889"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 xml:space="preserve">a </w:t>
      </w:r>
      <w:r w:rsidR="00CD707D" w:rsidRPr="003A1174">
        <w:rPr>
          <w:rFonts w:ascii="Garamond" w:hAnsi="Garamond" w:cs="Arial"/>
          <w:color w:val="auto"/>
          <w:sz w:val="24"/>
          <w:szCs w:val="24"/>
          <w:lang w:val="pt-PT"/>
        </w:rPr>
        <w:t>emissão</w:t>
      </w:r>
      <w:r w:rsidR="007A6A6C"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imediata</w:t>
      </w:r>
      <w:r w:rsidR="007A6A6C" w:rsidRPr="003A1174">
        <w:rPr>
          <w:rFonts w:ascii="Garamond" w:hAnsi="Garamond" w:cs="Arial"/>
          <w:color w:val="auto"/>
          <w:sz w:val="24"/>
          <w:szCs w:val="24"/>
          <w:lang w:val="pt-PT"/>
        </w:rPr>
        <w:t xml:space="preserve"> de medidas emergentes, de </w:t>
      </w:r>
      <w:r w:rsidR="00886D6A" w:rsidRPr="003A1174">
        <w:rPr>
          <w:rFonts w:ascii="Garamond" w:hAnsi="Garamond" w:cs="Arial"/>
          <w:color w:val="auto"/>
          <w:sz w:val="24"/>
          <w:szCs w:val="24"/>
          <w:lang w:val="pt-PT"/>
        </w:rPr>
        <w:t>proteção</w:t>
      </w:r>
      <w:r w:rsidR="007A6A6C" w:rsidRPr="003A1174">
        <w:rPr>
          <w:rFonts w:ascii="Garamond" w:hAnsi="Garamond" w:cs="Arial"/>
          <w:color w:val="auto"/>
          <w:sz w:val="24"/>
          <w:szCs w:val="24"/>
          <w:lang w:val="pt-PT"/>
        </w:rPr>
        <w:t xml:space="preserve"> o</w:t>
      </w:r>
      <w:r w:rsidR="00201889" w:rsidRPr="003A1174">
        <w:rPr>
          <w:rFonts w:ascii="Garamond" w:hAnsi="Garamond" w:cs="Arial"/>
          <w:color w:val="auto"/>
          <w:sz w:val="24"/>
          <w:szCs w:val="24"/>
          <w:lang w:val="pt-PT"/>
        </w:rPr>
        <w:t>u</w:t>
      </w:r>
      <w:r w:rsidR="007A6A6C" w:rsidRPr="003A1174">
        <w:rPr>
          <w:rFonts w:ascii="Garamond" w:hAnsi="Garamond" w:cs="Arial"/>
          <w:color w:val="auto"/>
          <w:sz w:val="24"/>
          <w:szCs w:val="24"/>
          <w:lang w:val="pt-PT"/>
        </w:rPr>
        <w:t xml:space="preserve"> cautelares </w:t>
      </w:r>
      <w:r w:rsidR="00201889" w:rsidRPr="003A1174">
        <w:rPr>
          <w:rFonts w:ascii="Garamond" w:hAnsi="Garamond" w:cs="Arial"/>
          <w:color w:val="auto"/>
          <w:sz w:val="24"/>
          <w:szCs w:val="24"/>
          <w:lang w:val="pt-PT"/>
        </w:rPr>
        <w:t xml:space="preserve">perante </w:t>
      </w:r>
      <w:r w:rsidR="007A6A6C" w:rsidRPr="003A1174">
        <w:rPr>
          <w:rFonts w:ascii="Garamond" w:hAnsi="Garamond" w:cs="Arial"/>
          <w:color w:val="auto"/>
          <w:sz w:val="24"/>
          <w:szCs w:val="24"/>
          <w:lang w:val="pt-PT"/>
        </w:rPr>
        <w:t xml:space="preserve">a </w:t>
      </w:r>
      <w:r w:rsidR="001B02AD" w:rsidRPr="003A1174">
        <w:rPr>
          <w:rFonts w:ascii="Garamond" w:hAnsi="Garamond" w:cs="Arial"/>
          <w:color w:val="auto"/>
          <w:sz w:val="24"/>
          <w:szCs w:val="24"/>
          <w:lang w:val="pt-PT"/>
        </w:rPr>
        <w:t>liberdade</w:t>
      </w:r>
      <w:r w:rsidR="007A6A6C"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antecipada</w:t>
      </w:r>
      <w:r w:rsidR="007A6A6C" w:rsidRPr="003A1174">
        <w:rPr>
          <w:rFonts w:ascii="Garamond" w:hAnsi="Garamond" w:cs="Arial"/>
          <w:color w:val="auto"/>
          <w:sz w:val="24"/>
          <w:szCs w:val="24"/>
          <w:lang w:val="pt-PT"/>
        </w:rPr>
        <w:t xml:space="preserve"> o</w:t>
      </w:r>
      <w:r w:rsidR="00201889" w:rsidRPr="003A1174">
        <w:rPr>
          <w:rFonts w:ascii="Garamond" w:hAnsi="Garamond" w:cs="Arial"/>
          <w:color w:val="auto"/>
          <w:sz w:val="24"/>
          <w:szCs w:val="24"/>
          <w:lang w:val="pt-PT"/>
        </w:rPr>
        <w:t>u</w:t>
      </w:r>
      <w:r w:rsidR="007A6A6C" w:rsidRPr="003A1174">
        <w:rPr>
          <w:rFonts w:ascii="Garamond" w:hAnsi="Garamond" w:cs="Arial"/>
          <w:color w:val="auto"/>
          <w:sz w:val="24"/>
          <w:szCs w:val="24"/>
          <w:lang w:val="pt-PT"/>
        </w:rPr>
        <w:t xml:space="preserve">torgada </w:t>
      </w:r>
      <w:r w:rsidR="00201889" w:rsidRPr="003A1174">
        <w:rPr>
          <w:rFonts w:ascii="Garamond" w:hAnsi="Garamond" w:cs="Arial"/>
          <w:color w:val="auto"/>
          <w:sz w:val="24"/>
          <w:szCs w:val="24"/>
          <w:lang w:val="pt-PT"/>
        </w:rPr>
        <w:t>à</w:t>
      </w:r>
      <w:r w:rsidR="007A6A6C" w:rsidRPr="003A1174">
        <w:rPr>
          <w:rFonts w:ascii="Garamond" w:hAnsi="Garamond" w:cs="Arial"/>
          <w:color w:val="auto"/>
          <w:sz w:val="24"/>
          <w:szCs w:val="24"/>
          <w:lang w:val="pt-PT"/>
        </w:rPr>
        <w:t xml:space="preserve"> </w:t>
      </w:r>
      <w:r w:rsidR="0005622E" w:rsidRPr="003A1174">
        <w:rPr>
          <w:rFonts w:ascii="Garamond" w:hAnsi="Garamond" w:cs="Arial"/>
          <w:color w:val="auto"/>
          <w:sz w:val="24"/>
          <w:szCs w:val="24"/>
          <w:lang w:val="pt-PT"/>
        </w:rPr>
        <w:t>pessoa</w:t>
      </w:r>
      <w:r w:rsidR="007A6A6C"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7A6A6C" w:rsidRPr="003A1174">
        <w:rPr>
          <w:rFonts w:ascii="Garamond" w:hAnsi="Garamond" w:cs="Arial"/>
          <w:color w:val="auto"/>
          <w:sz w:val="24"/>
          <w:szCs w:val="24"/>
          <w:lang w:val="pt-PT"/>
        </w:rPr>
        <w:t>a</w:t>
      </w:r>
      <w:r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as</w:t>
      </w:r>
      <w:r w:rsidR="00201889" w:rsidRPr="003A1174">
        <w:rPr>
          <w:rFonts w:ascii="Garamond" w:hAnsi="Garamond" w:cs="Arial"/>
          <w:color w:val="auto"/>
          <w:sz w:val="24"/>
          <w:szCs w:val="24"/>
          <w:lang w:val="pt-PT"/>
        </w:rPr>
        <w:t xml:space="preserve">sim </w:t>
      </w:r>
      <w:r w:rsidR="007A6A6C" w:rsidRPr="003A1174">
        <w:rPr>
          <w:rFonts w:ascii="Garamond" w:hAnsi="Garamond" w:cs="Arial"/>
          <w:color w:val="auto"/>
          <w:sz w:val="24"/>
          <w:szCs w:val="24"/>
          <w:lang w:val="pt-PT"/>
        </w:rPr>
        <w:t xml:space="preserve">como </w:t>
      </w:r>
      <w:r w:rsidR="00201889" w:rsidRPr="003A1174">
        <w:rPr>
          <w:rFonts w:ascii="Garamond" w:hAnsi="Garamond" w:cs="Arial"/>
          <w:color w:val="auto"/>
          <w:sz w:val="24"/>
          <w:szCs w:val="24"/>
          <w:lang w:val="pt-PT"/>
        </w:rPr>
        <w:t>n</w:t>
      </w:r>
      <w:r w:rsidR="0017447A" w:rsidRPr="003A1174">
        <w:rPr>
          <w:rFonts w:ascii="Garamond" w:hAnsi="Garamond" w:cs="Arial"/>
          <w:color w:val="auto"/>
          <w:sz w:val="24"/>
          <w:szCs w:val="24"/>
          <w:lang w:val="pt-PT"/>
        </w:rPr>
        <w:t>outras</w:t>
      </w:r>
      <w:r w:rsidR="007A6A6C" w:rsidRPr="003A1174">
        <w:rPr>
          <w:rFonts w:ascii="Garamond" w:hAnsi="Garamond" w:cs="Arial"/>
          <w:color w:val="auto"/>
          <w:sz w:val="24"/>
          <w:szCs w:val="24"/>
          <w:lang w:val="pt-PT"/>
        </w:rPr>
        <w:t xml:space="preserve"> </w:t>
      </w:r>
      <w:r w:rsidR="002E2C71" w:rsidRPr="003A1174">
        <w:rPr>
          <w:rFonts w:ascii="Garamond" w:hAnsi="Garamond" w:cs="Arial"/>
          <w:color w:val="auto"/>
          <w:sz w:val="24"/>
          <w:szCs w:val="24"/>
          <w:lang w:val="pt-PT"/>
        </w:rPr>
        <w:t>circunstância</w:t>
      </w:r>
      <w:r w:rsidR="007A6A6C" w:rsidRPr="003A1174">
        <w:rPr>
          <w:rFonts w:ascii="Garamond" w:hAnsi="Garamond" w:cs="Arial"/>
          <w:color w:val="auto"/>
          <w:sz w:val="24"/>
          <w:szCs w:val="24"/>
          <w:lang w:val="pt-PT"/>
        </w:rPr>
        <w:t>s</w:t>
      </w:r>
      <w:r w:rsidR="00FC1CD7">
        <w:rPr>
          <w:rFonts w:ascii="Garamond" w:hAnsi="Garamond" w:cs="Arial"/>
          <w:color w:val="auto"/>
          <w:sz w:val="24"/>
          <w:szCs w:val="24"/>
          <w:lang w:val="pt-PT"/>
        </w:rPr>
        <w:t>,</w:t>
      </w:r>
      <w:r w:rsidRPr="003A1174">
        <w:rPr>
          <w:rFonts w:ascii="Garamond" w:hAnsi="Garamond" w:cs="Arial"/>
          <w:color w:val="auto"/>
          <w:sz w:val="24"/>
          <w:szCs w:val="24"/>
          <w:lang w:val="pt-PT"/>
        </w:rPr>
        <w:t xml:space="preserve"> ta</w:t>
      </w:r>
      <w:r w:rsidR="00201889" w:rsidRPr="003A1174">
        <w:rPr>
          <w:rFonts w:ascii="Garamond" w:hAnsi="Garamond" w:cs="Arial"/>
          <w:color w:val="auto"/>
          <w:sz w:val="24"/>
          <w:szCs w:val="24"/>
          <w:lang w:val="pt-PT"/>
        </w:rPr>
        <w:t>i</w:t>
      </w:r>
      <w:r w:rsidRPr="003A1174">
        <w:rPr>
          <w:rFonts w:ascii="Garamond" w:hAnsi="Garamond" w:cs="Arial"/>
          <w:color w:val="auto"/>
          <w:sz w:val="24"/>
          <w:szCs w:val="24"/>
          <w:lang w:val="pt-PT"/>
        </w:rPr>
        <w:t>s como</w:t>
      </w:r>
      <w:r w:rsidR="00FC1CD7">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prestar test</w:t>
      </w:r>
      <w:r w:rsidR="00201889" w:rsidRPr="003A1174">
        <w:rPr>
          <w:rFonts w:ascii="Garamond" w:hAnsi="Garamond" w:cs="Arial"/>
          <w:color w:val="auto"/>
          <w:sz w:val="24"/>
          <w:szCs w:val="24"/>
          <w:lang w:val="pt-PT"/>
        </w:rPr>
        <w:t xml:space="preserve">emunho em </w:t>
      </w:r>
      <w:r w:rsidR="00AC3351" w:rsidRPr="003A1174">
        <w:rPr>
          <w:rFonts w:ascii="Garamond" w:hAnsi="Garamond" w:cs="Arial"/>
          <w:color w:val="auto"/>
          <w:sz w:val="24"/>
          <w:szCs w:val="24"/>
          <w:lang w:val="pt-PT"/>
        </w:rPr>
        <w:t>condições</w:t>
      </w:r>
      <w:r w:rsidR="007A6A6C"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especiais</w:t>
      </w:r>
      <w:r w:rsidR="007A6A6C"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201889" w:rsidRPr="003A1174">
        <w:rPr>
          <w:rFonts w:ascii="Garamond" w:hAnsi="Garamond" w:cs="Arial"/>
          <w:color w:val="auto"/>
          <w:sz w:val="24"/>
          <w:szCs w:val="24"/>
          <w:lang w:val="pt-PT"/>
        </w:rPr>
        <w:t xml:space="preserve"> cuidado, em</w:t>
      </w:r>
      <w:r w:rsidR="007A6A6C" w:rsidRPr="003A1174">
        <w:rPr>
          <w:rFonts w:ascii="Garamond" w:hAnsi="Garamond" w:cs="Arial"/>
          <w:color w:val="auto"/>
          <w:sz w:val="24"/>
          <w:szCs w:val="24"/>
          <w:lang w:val="pt-PT"/>
        </w:rPr>
        <w:t xml:space="preserve"> que se t</w:t>
      </w:r>
      <w:r w:rsidR="00201889" w:rsidRPr="003A1174">
        <w:rPr>
          <w:rFonts w:ascii="Garamond" w:hAnsi="Garamond" w:cs="Arial"/>
          <w:color w:val="auto"/>
          <w:sz w:val="24"/>
          <w:szCs w:val="24"/>
          <w:lang w:val="pt-PT"/>
        </w:rPr>
        <w:t xml:space="preserve">enha em </w:t>
      </w:r>
      <w:r w:rsidR="00BE591C" w:rsidRPr="003A1174">
        <w:rPr>
          <w:rFonts w:ascii="Garamond" w:hAnsi="Garamond" w:cs="Arial"/>
          <w:color w:val="auto"/>
          <w:sz w:val="24"/>
          <w:szCs w:val="24"/>
          <w:lang w:val="pt-PT"/>
        </w:rPr>
        <w:t>conta</w:t>
      </w:r>
      <w:r w:rsidR="007A6A6C"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 xml:space="preserve">o </w:t>
      </w:r>
      <w:r w:rsidR="007A6A6C" w:rsidRPr="003A1174">
        <w:rPr>
          <w:rFonts w:ascii="Garamond" w:hAnsi="Garamond" w:cs="Arial"/>
          <w:color w:val="auto"/>
          <w:sz w:val="24"/>
          <w:szCs w:val="24"/>
          <w:lang w:val="pt-PT"/>
        </w:rPr>
        <w:t>s</w:t>
      </w:r>
      <w:r w:rsidR="00201889"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u estado emocional para declarar </w:t>
      </w:r>
      <w:r w:rsidR="00201889" w:rsidRPr="003A1174">
        <w:rPr>
          <w:rFonts w:ascii="Garamond" w:hAnsi="Garamond" w:cs="Arial"/>
          <w:color w:val="auto"/>
          <w:sz w:val="24"/>
          <w:szCs w:val="24"/>
          <w:lang w:val="pt-PT"/>
        </w:rPr>
        <w:t xml:space="preserve">no julgamento, assim </w:t>
      </w:r>
      <w:r w:rsidR="007A6A6C" w:rsidRPr="003A1174">
        <w:rPr>
          <w:rFonts w:ascii="Garamond" w:hAnsi="Garamond" w:cs="Arial"/>
          <w:color w:val="auto"/>
          <w:sz w:val="24"/>
          <w:szCs w:val="24"/>
          <w:lang w:val="pt-PT"/>
        </w:rPr>
        <w:t xml:space="preserve">como medidas </w:t>
      </w:r>
      <w:r w:rsidR="00201889" w:rsidRPr="003A1174">
        <w:rPr>
          <w:rFonts w:ascii="Garamond" w:hAnsi="Garamond" w:cs="Arial"/>
          <w:color w:val="auto"/>
          <w:sz w:val="24"/>
          <w:szCs w:val="24"/>
          <w:lang w:val="pt-PT"/>
        </w:rPr>
        <w:t>especiais</w:t>
      </w:r>
      <w:r w:rsidR="007A6A6C" w:rsidRPr="003A1174">
        <w:rPr>
          <w:rFonts w:ascii="Garamond" w:hAnsi="Garamond" w:cs="Arial"/>
          <w:color w:val="auto"/>
          <w:sz w:val="24"/>
          <w:szCs w:val="24"/>
          <w:lang w:val="pt-PT"/>
        </w:rPr>
        <w:t xml:space="preserve"> para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que enfrenta</w:t>
      </w:r>
      <w:r w:rsidR="00201889" w:rsidRPr="003A1174">
        <w:rPr>
          <w:rFonts w:ascii="Garamond" w:hAnsi="Garamond" w:cs="Arial"/>
          <w:color w:val="auto"/>
          <w:sz w:val="24"/>
          <w:szCs w:val="24"/>
          <w:lang w:val="pt-PT"/>
        </w:rPr>
        <w:t xml:space="preserve">m o </w:t>
      </w:r>
      <w:r w:rsidR="007A6A6C" w:rsidRPr="003A1174">
        <w:rPr>
          <w:rFonts w:ascii="Garamond" w:hAnsi="Garamond" w:cs="Arial"/>
          <w:color w:val="auto"/>
          <w:sz w:val="24"/>
          <w:szCs w:val="24"/>
          <w:lang w:val="pt-PT"/>
        </w:rPr>
        <w:t>delito de tr</w:t>
      </w:r>
      <w:r w:rsidR="00201889" w:rsidRPr="003A1174">
        <w:rPr>
          <w:rFonts w:ascii="Garamond" w:hAnsi="Garamond" w:cs="Arial"/>
          <w:color w:val="auto"/>
          <w:sz w:val="24"/>
          <w:szCs w:val="24"/>
          <w:lang w:val="pt-PT"/>
        </w:rPr>
        <w:t>áfico</w:t>
      </w:r>
      <w:r w:rsidR="007A6A6C" w:rsidRPr="003A1174">
        <w:rPr>
          <w:rFonts w:ascii="Garamond" w:hAnsi="Garamond" w:cs="Arial"/>
          <w:color w:val="auto"/>
          <w:sz w:val="24"/>
          <w:szCs w:val="24"/>
          <w:lang w:val="pt-PT"/>
        </w:rPr>
        <w:t>.</w:t>
      </w:r>
    </w:p>
    <w:p w:rsidR="007A6A6C" w:rsidRPr="003A1174" w:rsidRDefault="007A6A6C" w:rsidP="00201889">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Desde </w:t>
      </w:r>
      <w:r w:rsidR="00201889" w:rsidRPr="003A1174">
        <w:rPr>
          <w:rFonts w:ascii="Garamond" w:hAnsi="Garamond" w:cs="Arial"/>
          <w:color w:val="auto"/>
          <w:sz w:val="24"/>
          <w:szCs w:val="24"/>
          <w:lang w:val="pt-PT"/>
        </w:rPr>
        <w:t xml:space="preserve">o </w:t>
      </w:r>
      <w:r w:rsidR="00731B19" w:rsidRPr="003A1174">
        <w:rPr>
          <w:rFonts w:ascii="Garamond" w:hAnsi="Garamond" w:cs="Arial"/>
          <w:color w:val="auto"/>
          <w:sz w:val="24"/>
          <w:szCs w:val="24"/>
          <w:lang w:val="pt-PT"/>
        </w:rPr>
        <w:t>exercício</w:t>
      </w:r>
      <w:r w:rsidRPr="003A1174">
        <w:rPr>
          <w:rFonts w:ascii="Garamond" w:hAnsi="Garamond" w:cs="Arial"/>
          <w:color w:val="auto"/>
          <w:sz w:val="24"/>
          <w:szCs w:val="24"/>
          <w:lang w:val="pt-PT"/>
        </w:rPr>
        <w:t xml:space="preserve"> d</w:t>
      </w:r>
      <w:r w:rsidR="00201889" w:rsidRPr="003A1174">
        <w:rPr>
          <w:rFonts w:ascii="Garamond" w:hAnsi="Garamond" w:cs="Arial"/>
          <w:color w:val="auto"/>
          <w:sz w:val="24"/>
          <w:szCs w:val="24"/>
          <w:lang w:val="pt-PT"/>
        </w:rPr>
        <w:t xml:space="preserve">o seu mandato constitucional, </w:t>
      </w:r>
      <w:r w:rsidRPr="003A1174">
        <w:rPr>
          <w:rFonts w:ascii="Garamond" w:hAnsi="Garamond" w:cs="Arial"/>
          <w:color w:val="auto"/>
          <w:sz w:val="24"/>
          <w:szCs w:val="24"/>
          <w:lang w:val="pt-PT"/>
        </w:rPr>
        <w:t xml:space="preserve">a </w:t>
      </w:r>
      <w:r w:rsidR="0096583F" w:rsidRPr="003A1174">
        <w:rPr>
          <w:rFonts w:ascii="Garamond" w:hAnsi="Garamond" w:cs="Arial"/>
          <w:color w:val="auto"/>
          <w:sz w:val="24"/>
          <w:szCs w:val="24"/>
          <w:lang w:val="pt-PT"/>
        </w:rPr>
        <w:t>Procuradoria</w:t>
      </w:r>
      <w:r w:rsidR="00201889"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Defesa</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Pr="003A1174">
        <w:rPr>
          <w:rFonts w:ascii="Garamond" w:hAnsi="Garamond" w:cs="Arial"/>
          <w:color w:val="auto"/>
          <w:sz w:val="24"/>
          <w:szCs w:val="24"/>
          <w:lang w:val="pt-PT"/>
        </w:rPr>
        <w:t>s Humanos (PDDH) verific</w:t>
      </w:r>
      <w:r w:rsidR="00201889" w:rsidRPr="003A1174">
        <w:rPr>
          <w:rFonts w:ascii="Garamond" w:hAnsi="Garamond" w:cs="Arial"/>
          <w:color w:val="auto"/>
          <w:sz w:val="24"/>
          <w:szCs w:val="24"/>
          <w:lang w:val="pt-PT"/>
        </w:rPr>
        <w:t xml:space="preserve">ou </w:t>
      </w:r>
      <w:r w:rsidRPr="003A1174">
        <w:rPr>
          <w:rFonts w:ascii="Garamond" w:hAnsi="Garamond" w:cs="Arial"/>
          <w:color w:val="auto"/>
          <w:sz w:val="24"/>
          <w:szCs w:val="24"/>
          <w:lang w:val="pt-PT"/>
        </w:rPr>
        <w:t xml:space="preserve">que </w:t>
      </w:r>
      <w:r w:rsidR="00201889" w:rsidRPr="003A1174">
        <w:rPr>
          <w:rFonts w:ascii="Garamond" w:hAnsi="Garamond" w:cs="Arial"/>
          <w:color w:val="auto"/>
          <w:sz w:val="24"/>
          <w:szCs w:val="24"/>
          <w:lang w:val="pt-PT"/>
        </w:rPr>
        <w:t xml:space="preserve">o </w:t>
      </w:r>
      <w:r w:rsidR="00886D6A" w:rsidRPr="003A1174">
        <w:rPr>
          <w:rFonts w:ascii="Garamond" w:hAnsi="Garamond" w:cs="Arial"/>
          <w:color w:val="auto"/>
          <w:sz w:val="24"/>
          <w:szCs w:val="24"/>
          <w:lang w:val="pt-PT"/>
        </w:rPr>
        <w:t>acesso</w:t>
      </w:r>
      <w:r w:rsidR="00201889" w:rsidRPr="003A1174">
        <w:rPr>
          <w:rFonts w:ascii="Garamond" w:hAnsi="Garamond" w:cs="Arial"/>
          <w:color w:val="auto"/>
          <w:sz w:val="24"/>
          <w:szCs w:val="24"/>
          <w:lang w:val="pt-PT"/>
        </w:rPr>
        <w:t xml:space="preserve"> a um</w:t>
      </w:r>
      <w:r w:rsidRPr="003A1174">
        <w:rPr>
          <w:rFonts w:ascii="Garamond" w:hAnsi="Garamond" w:cs="Arial"/>
          <w:color w:val="auto"/>
          <w:sz w:val="24"/>
          <w:szCs w:val="24"/>
          <w:lang w:val="pt-PT"/>
        </w:rPr>
        <w:t xml:space="preserve">a </w:t>
      </w:r>
      <w:r w:rsidR="00FC1F7F" w:rsidRPr="003A1174">
        <w:rPr>
          <w:rFonts w:ascii="Garamond" w:hAnsi="Garamond" w:cs="Arial"/>
          <w:color w:val="auto"/>
          <w:sz w:val="24"/>
          <w:szCs w:val="24"/>
          <w:lang w:val="pt-PT"/>
        </w:rPr>
        <w:t>justiça</w:t>
      </w:r>
      <w:r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livre</w:t>
      </w:r>
      <w:r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discriminação</w:t>
      </w:r>
      <w:r w:rsidR="00201889"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especialmente aquelas que enfrenta</w:t>
      </w:r>
      <w:r w:rsidR="00201889"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 xml:space="preserve">continua a </w:t>
      </w:r>
      <w:r w:rsidR="00E539A2" w:rsidRPr="003A1174">
        <w:rPr>
          <w:rFonts w:ascii="Garamond" w:hAnsi="Garamond" w:cs="Arial"/>
          <w:color w:val="auto"/>
          <w:sz w:val="24"/>
          <w:szCs w:val="24"/>
          <w:lang w:val="pt-PT"/>
        </w:rPr>
        <w:t>se</w:t>
      </w:r>
      <w:r w:rsidR="00201889" w:rsidRPr="003A1174">
        <w:rPr>
          <w:rFonts w:ascii="Garamond" w:hAnsi="Garamond" w:cs="Arial"/>
          <w:color w:val="auto"/>
          <w:sz w:val="24"/>
          <w:szCs w:val="24"/>
          <w:lang w:val="pt-PT"/>
        </w:rPr>
        <w:t xml:space="preserve">r um </w:t>
      </w:r>
      <w:r w:rsidR="005D38DC" w:rsidRPr="003A1174">
        <w:rPr>
          <w:rFonts w:ascii="Garamond" w:hAnsi="Garamond" w:cs="Arial"/>
          <w:color w:val="auto"/>
          <w:sz w:val="24"/>
          <w:szCs w:val="24"/>
          <w:lang w:val="pt-PT"/>
        </w:rPr>
        <w:t>aspeto</w:t>
      </w:r>
      <w:r w:rsidRPr="003A1174">
        <w:rPr>
          <w:rFonts w:ascii="Garamond" w:hAnsi="Garamond" w:cs="Arial"/>
          <w:color w:val="auto"/>
          <w:sz w:val="24"/>
          <w:szCs w:val="24"/>
          <w:lang w:val="pt-PT"/>
        </w:rPr>
        <w:t xml:space="preserve"> que </w:t>
      </w:r>
      <w:r w:rsidR="00A862C2" w:rsidRPr="003A1174">
        <w:rPr>
          <w:rFonts w:ascii="Garamond" w:hAnsi="Garamond" w:cs="Arial"/>
          <w:color w:val="auto"/>
          <w:sz w:val="24"/>
          <w:szCs w:val="24"/>
          <w:lang w:val="pt-PT"/>
        </w:rPr>
        <w:t>deve</w:t>
      </w:r>
      <w:r w:rsidRPr="003A1174">
        <w:rPr>
          <w:rFonts w:ascii="Garamond" w:hAnsi="Garamond" w:cs="Arial"/>
          <w:color w:val="auto"/>
          <w:sz w:val="24"/>
          <w:szCs w:val="24"/>
          <w:lang w:val="pt-PT"/>
        </w:rPr>
        <w:t xml:space="preserve"> fortalecer </w:t>
      </w:r>
      <w:r w:rsidR="00201889"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 xml:space="preserve">Estado </w:t>
      </w:r>
      <w:r w:rsidR="00201889" w:rsidRPr="003A1174">
        <w:rPr>
          <w:rFonts w:ascii="Garamond" w:hAnsi="Garamond" w:cs="Arial"/>
          <w:color w:val="auto"/>
          <w:sz w:val="24"/>
          <w:szCs w:val="24"/>
          <w:lang w:val="pt-PT"/>
        </w:rPr>
        <w:t>salvadorenho</w:t>
      </w:r>
      <w:r w:rsidRPr="003A1174">
        <w:rPr>
          <w:rFonts w:ascii="Garamond" w:hAnsi="Garamond" w:cs="Arial"/>
          <w:color w:val="auto"/>
          <w:sz w:val="24"/>
          <w:szCs w:val="24"/>
          <w:lang w:val="pt-PT"/>
        </w:rPr>
        <w:t>. Por</w:t>
      </w:r>
      <w:r w:rsidR="00201889" w:rsidRPr="003A1174">
        <w:rPr>
          <w:rFonts w:ascii="Garamond" w:hAnsi="Garamond" w:cs="Arial"/>
          <w:color w:val="auto"/>
          <w:sz w:val="24"/>
          <w:szCs w:val="24"/>
          <w:lang w:val="pt-PT"/>
        </w:rPr>
        <w:t xml:space="preserve"> esta </w:t>
      </w:r>
      <w:r w:rsidR="004E3A1A" w:rsidRPr="003A1174">
        <w:rPr>
          <w:rFonts w:ascii="Garamond" w:hAnsi="Garamond" w:cs="Arial"/>
          <w:color w:val="auto"/>
          <w:sz w:val="24"/>
          <w:szCs w:val="24"/>
          <w:lang w:val="pt-PT"/>
        </w:rPr>
        <w:t>razão</w:t>
      </w:r>
      <w:r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 xml:space="preserve">a partir da </w:t>
      </w:r>
      <w:r w:rsidR="0096583F" w:rsidRPr="007B3401">
        <w:rPr>
          <w:rFonts w:ascii="Garamond" w:hAnsi="Garamond" w:cs="Arial"/>
          <w:color w:val="auto"/>
          <w:sz w:val="24"/>
          <w:szCs w:val="24"/>
          <w:lang w:val="pt-PT"/>
        </w:rPr>
        <w:t>Procuradoria</w:t>
      </w:r>
      <w:r w:rsidR="00201889" w:rsidRPr="007B3401">
        <w:rPr>
          <w:rFonts w:ascii="Garamond" w:hAnsi="Garamond" w:cs="Arial"/>
          <w:color w:val="auto"/>
          <w:sz w:val="24"/>
          <w:szCs w:val="24"/>
          <w:lang w:val="pt-PT"/>
        </w:rPr>
        <w:t xml:space="preserve"> Adjunta para</w:t>
      </w:r>
      <w:r w:rsidR="00201889"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Defesa</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Pr="003A1174">
        <w:rPr>
          <w:rFonts w:ascii="Garamond" w:hAnsi="Garamond" w:cs="Arial"/>
          <w:color w:val="auto"/>
          <w:sz w:val="24"/>
          <w:szCs w:val="24"/>
          <w:lang w:val="pt-PT"/>
        </w:rPr>
        <w:t xml:space="preserve">s da </w:t>
      </w:r>
      <w:r w:rsidR="00AF192F" w:rsidRPr="00214498">
        <w:rPr>
          <w:rFonts w:ascii="Garamond" w:hAnsi="Garamond" w:cs="Arial"/>
          <w:color w:val="auto"/>
          <w:sz w:val="24"/>
          <w:szCs w:val="24"/>
          <w:lang w:val="pt-PT"/>
        </w:rPr>
        <w:t>Mulher</w:t>
      </w:r>
      <w:r w:rsidRPr="00214498">
        <w:rPr>
          <w:rFonts w:ascii="Garamond" w:hAnsi="Garamond" w:cs="Arial"/>
          <w:color w:val="auto"/>
          <w:sz w:val="24"/>
          <w:szCs w:val="24"/>
          <w:lang w:val="pt-PT"/>
        </w:rPr>
        <w:t xml:space="preserve"> </w:t>
      </w:r>
      <w:r w:rsidR="001647F2" w:rsidRPr="00214498">
        <w:rPr>
          <w:rFonts w:ascii="Garamond" w:hAnsi="Garamond" w:cs="Arial"/>
          <w:color w:val="auto"/>
          <w:sz w:val="24"/>
          <w:szCs w:val="24"/>
          <w:lang w:val="pt-PT"/>
        </w:rPr>
        <w:t>estão</w:t>
      </w:r>
      <w:r w:rsidR="00201889" w:rsidRPr="00214498">
        <w:rPr>
          <w:rFonts w:ascii="Garamond" w:hAnsi="Garamond" w:cs="Arial"/>
          <w:color w:val="auto"/>
          <w:sz w:val="24"/>
          <w:szCs w:val="24"/>
          <w:lang w:val="pt-PT"/>
        </w:rPr>
        <w:t xml:space="preserve"> a</w:t>
      </w:r>
      <w:r w:rsidR="00201889" w:rsidRPr="003A1174">
        <w:rPr>
          <w:rFonts w:ascii="Garamond" w:hAnsi="Garamond" w:cs="Arial"/>
          <w:color w:val="auto"/>
          <w:sz w:val="24"/>
          <w:szCs w:val="24"/>
          <w:lang w:val="pt-PT"/>
        </w:rPr>
        <w:t xml:space="preserve"> </w:t>
      </w:r>
      <w:r w:rsidR="00833C78">
        <w:rPr>
          <w:rFonts w:ascii="Garamond" w:hAnsi="Garamond" w:cs="Arial"/>
          <w:color w:val="auto"/>
          <w:sz w:val="24"/>
          <w:szCs w:val="24"/>
          <w:lang w:val="pt-PT"/>
        </w:rPr>
        <w:t xml:space="preserve">promover-se </w:t>
      </w:r>
      <w:r w:rsidR="002C7510" w:rsidRPr="003A1174">
        <w:rPr>
          <w:rFonts w:ascii="Garamond" w:hAnsi="Garamond" w:cs="Arial"/>
          <w:color w:val="auto"/>
          <w:sz w:val="24"/>
          <w:szCs w:val="24"/>
          <w:lang w:val="pt-PT"/>
        </w:rPr>
        <w:t>ações</w:t>
      </w:r>
      <w:r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pontuais</w:t>
      </w:r>
      <w:r w:rsidRPr="003A1174">
        <w:rPr>
          <w:rFonts w:ascii="Garamond" w:hAnsi="Garamond" w:cs="Arial"/>
          <w:color w:val="auto"/>
          <w:sz w:val="24"/>
          <w:szCs w:val="24"/>
          <w:lang w:val="pt-PT"/>
        </w:rPr>
        <w:t xml:space="preserve"> de </w:t>
      </w:r>
      <w:r w:rsidR="00201889" w:rsidRPr="003A1174">
        <w:rPr>
          <w:rFonts w:ascii="Garamond" w:hAnsi="Garamond" w:cs="Arial"/>
          <w:color w:val="auto"/>
          <w:sz w:val="24"/>
          <w:szCs w:val="24"/>
          <w:lang w:val="pt-PT"/>
        </w:rPr>
        <w:t>incidência</w:t>
      </w:r>
      <w:r w:rsidRPr="003A1174">
        <w:rPr>
          <w:rFonts w:ascii="Garamond" w:hAnsi="Garamond" w:cs="Arial"/>
          <w:color w:val="auto"/>
          <w:sz w:val="24"/>
          <w:szCs w:val="24"/>
          <w:lang w:val="pt-PT"/>
        </w:rPr>
        <w:t xml:space="preserve"> de alto </w:t>
      </w:r>
      <w:r w:rsidR="0017447A" w:rsidRPr="003A1174">
        <w:rPr>
          <w:rFonts w:ascii="Garamond" w:hAnsi="Garamond" w:cs="Arial"/>
          <w:color w:val="auto"/>
          <w:sz w:val="24"/>
          <w:szCs w:val="24"/>
          <w:lang w:val="pt-PT"/>
        </w:rPr>
        <w:t>nível</w:t>
      </w:r>
      <w:r w:rsidRPr="003A1174">
        <w:rPr>
          <w:rFonts w:ascii="Garamond" w:hAnsi="Garamond" w:cs="Arial"/>
          <w:color w:val="auto"/>
          <w:sz w:val="24"/>
          <w:szCs w:val="24"/>
          <w:lang w:val="pt-PT"/>
        </w:rPr>
        <w:t xml:space="preserve"> co</w:t>
      </w:r>
      <w:r w:rsidR="00201889"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3E6403" w:rsidRPr="003A1174">
        <w:rPr>
          <w:rFonts w:ascii="Garamond" w:hAnsi="Garamond" w:cs="Arial"/>
          <w:color w:val="auto"/>
          <w:sz w:val="24"/>
          <w:szCs w:val="24"/>
          <w:lang w:val="pt-PT"/>
        </w:rPr>
        <w:t>funcionári</w:t>
      </w:r>
      <w:r w:rsidRPr="003A1174">
        <w:rPr>
          <w:rFonts w:ascii="Garamond" w:hAnsi="Garamond" w:cs="Arial"/>
          <w:color w:val="auto"/>
          <w:sz w:val="24"/>
          <w:szCs w:val="24"/>
          <w:lang w:val="pt-PT"/>
        </w:rPr>
        <w:t xml:space="preserve">as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3E6403" w:rsidRPr="003A1174">
        <w:rPr>
          <w:rFonts w:ascii="Garamond" w:hAnsi="Garamond" w:cs="Arial"/>
          <w:color w:val="auto"/>
          <w:sz w:val="24"/>
          <w:szCs w:val="24"/>
          <w:lang w:val="pt-PT"/>
        </w:rPr>
        <w:t>funcionári</w:t>
      </w:r>
      <w:r w:rsidRPr="003A1174">
        <w:rPr>
          <w:rFonts w:ascii="Garamond" w:hAnsi="Garamond" w:cs="Arial"/>
          <w:color w:val="auto"/>
          <w:sz w:val="24"/>
          <w:szCs w:val="24"/>
          <w:lang w:val="pt-PT"/>
        </w:rPr>
        <w:t>os, a fi</w:t>
      </w:r>
      <w:r w:rsidR="00201889"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de </w:t>
      </w:r>
      <w:r w:rsidR="00201889" w:rsidRPr="003A1174">
        <w:rPr>
          <w:rFonts w:ascii="Garamond" w:hAnsi="Garamond" w:cs="Arial"/>
          <w:color w:val="auto"/>
          <w:sz w:val="24"/>
          <w:szCs w:val="24"/>
          <w:lang w:val="pt-PT"/>
        </w:rPr>
        <w:t xml:space="preserve">lhes </w:t>
      </w:r>
      <w:r w:rsidRPr="003A1174">
        <w:rPr>
          <w:rFonts w:ascii="Garamond" w:hAnsi="Garamond" w:cs="Arial"/>
          <w:color w:val="auto"/>
          <w:sz w:val="24"/>
          <w:szCs w:val="24"/>
          <w:lang w:val="pt-PT"/>
        </w:rPr>
        <w:t>recomendar</w:t>
      </w:r>
      <w:r w:rsidR="00201889"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erradicação</w:t>
      </w:r>
      <w:r w:rsidRPr="003A1174">
        <w:rPr>
          <w:rFonts w:ascii="Garamond" w:hAnsi="Garamond" w:cs="Arial"/>
          <w:color w:val="auto"/>
          <w:sz w:val="24"/>
          <w:szCs w:val="24"/>
          <w:lang w:val="pt-PT"/>
        </w:rPr>
        <w:t xml:space="preserve"> de </w:t>
      </w:r>
      <w:r w:rsidR="003F012B" w:rsidRPr="003A1174">
        <w:rPr>
          <w:rFonts w:ascii="Garamond" w:hAnsi="Garamond" w:cs="Arial"/>
          <w:color w:val="auto"/>
          <w:sz w:val="24"/>
          <w:szCs w:val="24"/>
          <w:lang w:val="pt-PT"/>
        </w:rPr>
        <w:t>padrões</w:t>
      </w:r>
      <w:r w:rsidRPr="003A1174">
        <w:rPr>
          <w:rFonts w:ascii="Garamond" w:hAnsi="Garamond" w:cs="Arial"/>
          <w:color w:val="auto"/>
          <w:sz w:val="24"/>
          <w:szCs w:val="24"/>
          <w:lang w:val="pt-PT"/>
        </w:rPr>
        <w:t xml:space="preserve"> sexistas presentes en</w:t>
      </w:r>
      <w:r w:rsidR="00E3465B" w:rsidRPr="003A1174">
        <w:rPr>
          <w:rFonts w:ascii="Garamond" w:hAnsi="Garamond" w:cs="Arial"/>
          <w:color w:val="auto"/>
          <w:sz w:val="24"/>
          <w:szCs w:val="24"/>
          <w:lang w:val="pt-PT"/>
        </w:rPr>
        <w:t>tre</w:t>
      </w:r>
      <w:r w:rsidRPr="003A1174">
        <w:rPr>
          <w:rFonts w:ascii="Garamond" w:hAnsi="Garamond" w:cs="Arial"/>
          <w:color w:val="auto"/>
          <w:sz w:val="24"/>
          <w:szCs w:val="24"/>
          <w:lang w:val="pt-PT"/>
        </w:rPr>
        <w:t xml:space="preserve"> servidoras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servidores públicos.</w:t>
      </w:r>
    </w:p>
    <w:p w:rsidR="007A6A6C" w:rsidRPr="003A1174" w:rsidRDefault="00201889"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w:t>
      </w:r>
      <w:r w:rsidR="007A6A6C" w:rsidRPr="003A1174">
        <w:rPr>
          <w:rFonts w:ascii="Garamond" w:hAnsi="Garamond" w:cs="Arial"/>
          <w:color w:val="auto"/>
          <w:sz w:val="24"/>
          <w:szCs w:val="24"/>
          <w:lang w:val="pt-PT"/>
        </w:rPr>
        <w:t xml:space="preserve">os casos </w:t>
      </w:r>
      <w:r w:rsidR="00E3465B" w:rsidRPr="003A1174">
        <w:rPr>
          <w:rFonts w:ascii="Garamond" w:hAnsi="Garamond" w:cs="Arial"/>
          <w:color w:val="auto"/>
          <w:sz w:val="24"/>
          <w:szCs w:val="24"/>
          <w:lang w:val="pt-PT"/>
        </w:rPr>
        <w:t>e</w:t>
      </w:r>
      <w:r w:rsidRPr="003A1174">
        <w:rPr>
          <w:rFonts w:ascii="Garamond" w:hAnsi="Garamond" w:cs="Arial"/>
          <w:color w:val="auto"/>
          <w:sz w:val="24"/>
          <w:szCs w:val="24"/>
          <w:lang w:val="pt-PT"/>
        </w:rPr>
        <w:t>m</w:t>
      </w:r>
      <w:r w:rsidR="00E3465B"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que</w:t>
      </w:r>
      <w:r w:rsidRPr="003A1174">
        <w:rPr>
          <w:rFonts w:ascii="Garamond" w:hAnsi="Garamond" w:cs="Arial"/>
          <w:color w:val="auto"/>
          <w:sz w:val="24"/>
          <w:szCs w:val="24"/>
          <w:lang w:val="pt-PT"/>
        </w:rPr>
        <w:t xml:space="preserve"> a</w:t>
      </w:r>
      <w:r w:rsidR="007A6A6C" w:rsidRPr="003A1174">
        <w:rPr>
          <w:rFonts w:ascii="Garamond" w:hAnsi="Garamond" w:cs="Arial"/>
          <w:color w:val="auto"/>
          <w:sz w:val="24"/>
          <w:szCs w:val="24"/>
          <w:lang w:val="pt-PT"/>
        </w:rPr>
        <w:t xml:space="preserve"> PDDH interve</w:t>
      </w:r>
      <w:r w:rsidRPr="003A1174">
        <w:rPr>
          <w:rFonts w:ascii="Garamond" w:hAnsi="Garamond" w:cs="Arial"/>
          <w:color w:val="auto"/>
          <w:sz w:val="24"/>
          <w:szCs w:val="24"/>
          <w:lang w:val="pt-PT"/>
        </w:rPr>
        <w:t xml:space="preserve">io, </w:t>
      </w:r>
      <w:r w:rsidR="00B936A7" w:rsidRPr="003A1174">
        <w:rPr>
          <w:rFonts w:ascii="Garamond" w:hAnsi="Garamond" w:cs="Arial"/>
          <w:color w:val="auto"/>
          <w:sz w:val="24"/>
          <w:szCs w:val="24"/>
          <w:lang w:val="pt-PT"/>
        </w:rPr>
        <w:t>precisamente</w:t>
      </w:r>
      <w:r w:rsidR="00FC1CD7">
        <w:rPr>
          <w:rFonts w:ascii="Garamond" w:hAnsi="Garamond" w:cs="Arial"/>
          <w:color w:val="auto"/>
          <w:sz w:val="24"/>
          <w:szCs w:val="24"/>
          <w:lang w:val="pt-PT"/>
        </w:rPr>
        <w:t>,</w:t>
      </w:r>
      <w:r w:rsidR="00B936A7" w:rsidRPr="003A1174">
        <w:rPr>
          <w:rFonts w:ascii="Garamond" w:hAnsi="Garamond" w:cs="Arial"/>
          <w:color w:val="auto"/>
          <w:sz w:val="24"/>
          <w:szCs w:val="24"/>
          <w:lang w:val="pt-PT"/>
        </w:rPr>
        <w:t xml:space="preserve"> por inobservâ</w:t>
      </w:r>
      <w:r w:rsidR="007A6A6C" w:rsidRPr="003A1174">
        <w:rPr>
          <w:rFonts w:ascii="Garamond" w:hAnsi="Garamond" w:cs="Arial"/>
          <w:color w:val="auto"/>
          <w:sz w:val="24"/>
          <w:szCs w:val="24"/>
          <w:lang w:val="pt-PT"/>
        </w:rPr>
        <w:t>ncia a</w:t>
      </w:r>
      <w:r w:rsidR="00B936A7" w:rsidRPr="003A1174">
        <w:rPr>
          <w:rFonts w:ascii="Garamond" w:hAnsi="Garamond" w:cs="Arial"/>
          <w:color w:val="auto"/>
          <w:sz w:val="24"/>
          <w:szCs w:val="24"/>
          <w:lang w:val="pt-PT"/>
        </w:rPr>
        <w:t>o</w:t>
      </w:r>
      <w:r w:rsidR="007A6A6C"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acesso</w:t>
      </w:r>
      <w:r w:rsidR="007A6A6C"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007A6A6C" w:rsidRPr="003A1174">
        <w:rPr>
          <w:rFonts w:ascii="Garamond" w:hAnsi="Garamond" w:cs="Arial"/>
          <w:color w:val="auto"/>
          <w:sz w:val="24"/>
          <w:szCs w:val="24"/>
          <w:lang w:val="pt-PT"/>
        </w:rPr>
        <w:t xml:space="preserve"> s</w:t>
      </w:r>
      <w:r w:rsidR="00B936A7" w:rsidRPr="003A1174">
        <w:rPr>
          <w:rFonts w:ascii="Garamond" w:hAnsi="Garamond" w:cs="Arial"/>
          <w:color w:val="auto"/>
          <w:sz w:val="24"/>
          <w:szCs w:val="24"/>
          <w:lang w:val="pt-PT"/>
        </w:rPr>
        <w:t>em</w:t>
      </w:r>
      <w:r w:rsidR="007A6A6C"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discriminação</w:t>
      </w:r>
      <w:r w:rsidR="007A6A6C"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 xml:space="preserve">as </w:t>
      </w:r>
      <w:r w:rsidR="007A6A6C" w:rsidRPr="003A1174">
        <w:rPr>
          <w:rFonts w:ascii="Garamond" w:hAnsi="Garamond" w:cs="Arial"/>
          <w:color w:val="auto"/>
          <w:sz w:val="24"/>
          <w:szCs w:val="24"/>
          <w:lang w:val="pt-PT"/>
        </w:rPr>
        <w:t>su</w:t>
      </w:r>
      <w:r w:rsidR="00B936A7" w:rsidRPr="003A1174">
        <w:rPr>
          <w:rFonts w:ascii="Garamond" w:hAnsi="Garamond" w:cs="Arial"/>
          <w:color w:val="auto"/>
          <w:sz w:val="24"/>
          <w:szCs w:val="24"/>
          <w:lang w:val="pt-PT"/>
        </w:rPr>
        <w:t>a</w:t>
      </w:r>
      <w:r w:rsidR="007A6A6C" w:rsidRPr="003A1174">
        <w:rPr>
          <w:rFonts w:ascii="Garamond" w:hAnsi="Garamond" w:cs="Arial"/>
          <w:color w:val="auto"/>
          <w:sz w:val="24"/>
          <w:szCs w:val="24"/>
          <w:lang w:val="pt-PT"/>
        </w:rPr>
        <w:t xml:space="preserve">s </w:t>
      </w:r>
      <w:r w:rsidR="008E7A2A" w:rsidRPr="003A1174">
        <w:rPr>
          <w:rFonts w:ascii="Garamond" w:hAnsi="Garamond" w:cs="Arial"/>
          <w:color w:val="auto"/>
          <w:sz w:val="24"/>
          <w:szCs w:val="24"/>
          <w:lang w:val="pt-PT"/>
        </w:rPr>
        <w:t>recomendações</w:t>
      </w:r>
      <w:r w:rsidR="007A6A6C" w:rsidRPr="003A1174">
        <w:rPr>
          <w:rFonts w:ascii="Garamond" w:hAnsi="Garamond" w:cs="Arial"/>
          <w:color w:val="auto"/>
          <w:sz w:val="24"/>
          <w:szCs w:val="24"/>
          <w:lang w:val="pt-PT"/>
        </w:rPr>
        <w:t xml:space="preserve"> enfatiza</w:t>
      </w:r>
      <w:r w:rsidR="00B936A7" w:rsidRPr="003A1174">
        <w:rPr>
          <w:rFonts w:ascii="Garamond" w:hAnsi="Garamond" w:cs="Arial"/>
          <w:color w:val="auto"/>
          <w:sz w:val="24"/>
          <w:szCs w:val="24"/>
          <w:lang w:val="pt-PT"/>
        </w:rPr>
        <w:t xml:space="preserve">ram o </w:t>
      </w:r>
      <w:r w:rsidR="00AF192F" w:rsidRPr="003A1174">
        <w:rPr>
          <w:rFonts w:ascii="Garamond" w:hAnsi="Garamond" w:cs="Arial"/>
          <w:color w:val="auto"/>
          <w:sz w:val="24"/>
          <w:szCs w:val="24"/>
          <w:lang w:val="pt-PT"/>
        </w:rPr>
        <w:t>dever</w:t>
      </w:r>
      <w:r w:rsidR="007A6A6C" w:rsidRPr="003A1174">
        <w:rPr>
          <w:rFonts w:ascii="Garamond" w:hAnsi="Garamond" w:cs="Arial"/>
          <w:color w:val="auto"/>
          <w:sz w:val="24"/>
          <w:szCs w:val="24"/>
          <w:lang w:val="pt-PT"/>
        </w:rPr>
        <w:t xml:space="preserve"> que </w:t>
      </w:r>
      <w:r w:rsidR="00D4575C" w:rsidRPr="003A1174">
        <w:rPr>
          <w:rFonts w:ascii="Garamond" w:hAnsi="Garamond" w:cs="Arial"/>
          <w:color w:val="auto"/>
          <w:sz w:val="24"/>
          <w:szCs w:val="24"/>
          <w:lang w:val="pt-PT"/>
        </w:rPr>
        <w:t>têm</w:t>
      </w:r>
      <w:r w:rsidR="007A6A6C"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juízas</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juízes</w:t>
      </w:r>
      <w:r w:rsidR="007A6A6C" w:rsidRPr="003A1174">
        <w:rPr>
          <w:rFonts w:ascii="Garamond" w:hAnsi="Garamond" w:cs="Arial"/>
          <w:color w:val="auto"/>
          <w:sz w:val="24"/>
          <w:szCs w:val="24"/>
          <w:lang w:val="pt-PT"/>
        </w:rPr>
        <w:t xml:space="preserve"> de </w:t>
      </w:r>
      <w:r w:rsidR="006C760C" w:rsidRPr="003A1174">
        <w:rPr>
          <w:rFonts w:ascii="Garamond" w:hAnsi="Garamond" w:cs="Arial"/>
          <w:color w:val="auto"/>
          <w:sz w:val="24"/>
          <w:szCs w:val="24"/>
          <w:lang w:val="pt-PT"/>
        </w:rPr>
        <w:t>adotar</w:t>
      </w:r>
      <w:r w:rsidR="007A6A6C" w:rsidRPr="003A1174">
        <w:rPr>
          <w:rFonts w:ascii="Garamond" w:hAnsi="Garamond" w:cs="Arial"/>
          <w:color w:val="auto"/>
          <w:sz w:val="24"/>
          <w:szCs w:val="24"/>
          <w:lang w:val="pt-PT"/>
        </w:rPr>
        <w:t xml:space="preserve"> medidas </w:t>
      </w:r>
      <w:r w:rsidR="00B936A7" w:rsidRPr="003A1174">
        <w:rPr>
          <w:rFonts w:ascii="Garamond" w:hAnsi="Garamond" w:cs="Arial"/>
          <w:color w:val="auto"/>
          <w:sz w:val="24"/>
          <w:szCs w:val="24"/>
          <w:lang w:val="pt-PT"/>
        </w:rPr>
        <w:t xml:space="preserve">em </w:t>
      </w:r>
      <w:r w:rsidR="00C031E1" w:rsidRPr="003A1174">
        <w:rPr>
          <w:rFonts w:ascii="Garamond" w:hAnsi="Garamond" w:cs="Arial"/>
          <w:color w:val="auto"/>
          <w:sz w:val="24"/>
          <w:szCs w:val="24"/>
          <w:lang w:val="pt-PT"/>
        </w:rPr>
        <w:t>conformidad</w:t>
      </w:r>
      <w:r w:rsidR="00B936A7"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00E3465B" w:rsidRPr="003A1174">
        <w:rPr>
          <w:rFonts w:ascii="Garamond" w:hAnsi="Garamond" w:cs="Arial"/>
          <w:color w:val="auto"/>
          <w:sz w:val="24"/>
          <w:szCs w:val="24"/>
          <w:lang w:val="pt-PT"/>
        </w:rPr>
        <w:t>co</w:t>
      </w:r>
      <w:r w:rsidR="00B936A7" w:rsidRPr="003A1174">
        <w:rPr>
          <w:rFonts w:ascii="Garamond" w:hAnsi="Garamond" w:cs="Arial"/>
          <w:color w:val="auto"/>
          <w:sz w:val="24"/>
          <w:szCs w:val="24"/>
          <w:lang w:val="pt-PT"/>
        </w:rPr>
        <w:t xml:space="preserve">m </w:t>
      </w:r>
      <w:r w:rsidR="007A6A6C" w:rsidRPr="003A1174">
        <w:rPr>
          <w:rFonts w:ascii="Garamond" w:hAnsi="Garamond" w:cs="Arial"/>
          <w:color w:val="auto"/>
          <w:sz w:val="24"/>
          <w:szCs w:val="24"/>
          <w:lang w:val="pt-PT"/>
        </w:rPr>
        <w:t xml:space="preserve">a </w:t>
      </w:r>
      <w:r w:rsidR="00CF4C35" w:rsidRPr="003A1174">
        <w:rPr>
          <w:rFonts w:ascii="Garamond" w:hAnsi="Garamond" w:cs="Arial"/>
          <w:i/>
          <w:color w:val="auto"/>
          <w:sz w:val="24"/>
          <w:szCs w:val="24"/>
          <w:lang w:val="pt-PT"/>
        </w:rPr>
        <w:t>Diligência Devida</w:t>
      </w:r>
      <w:r w:rsidR="00B936A7" w:rsidRPr="003A1174">
        <w:rPr>
          <w:rFonts w:ascii="Garamond" w:hAnsi="Garamond" w:cs="Arial"/>
          <w:color w:val="auto"/>
          <w:sz w:val="24"/>
          <w:szCs w:val="24"/>
          <w:lang w:val="pt-PT"/>
        </w:rPr>
        <w:t xml:space="preserve">, que preservem </w:t>
      </w:r>
      <w:r w:rsidR="007A6A6C" w:rsidRPr="003A1174">
        <w:rPr>
          <w:rFonts w:ascii="Garamond" w:hAnsi="Garamond" w:cs="Arial"/>
          <w:color w:val="auto"/>
          <w:sz w:val="24"/>
          <w:szCs w:val="24"/>
          <w:lang w:val="pt-PT"/>
        </w:rPr>
        <w:t>a vida e</w:t>
      </w:r>
      <w:r w:rsidR="00B936A7" w:rsidRPr="003A1174">
        <w:rPr>
          <w:rFonts w:ascii="Garamond" w:hAnsi="Garamond" w:cs="Arial"/>
          <w:color w:val="auto"/>
          <w:sz w:val="24"/>
          <w:szCs w:val="24"/>
          <w:lang w:val="pt-PT"/>
        </w:rPr>
        <w:t xml:space="preserve"> a</w:t>
      </w:r>
      <w:r w:rsidR="007A6A6C"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integridade</w:t>
      </w:r>
      <w:r w:rsidR="007A6A6C" w:rsidRPr="003A1174">
        <w:rPr>
          <w:rFonts w:ascii="Garamond" w:hAnsi="Garamond" w:cs="Arial"/>
          <w:color w:val="auto"/>
          <w:sz w:val="24"/>
          <w:szCs w:val="24"/>
          <w:lang w:val="pt-PT"/>
        </w:rPr>
        <w:t xml:space="preserve"> d</w:t>
      </w:r>
      <w:r w:rsidR="00B936A7" w:rsidRPr="003A1174">
        <w:rPr>
          <w:rFonts w:ascii="Garamond" w:hAnsi="Garamond" w:cs="Arial"/>
          <w:color w:val="auto"/>
          <w:sz w:val="24"/>
          <w:szCs w:val="24"/>
          <w:lang w:val="pt-PT"/>
        </w:rPr>
        <w:t xml:space="preserve">e quem se </w:t>
      </w:r>
      <w:r w:rsidR="007A6A6C" w:rsidRPr="003A1174">
        <w:rPr>
          <w:rFonts w:ascii="Garamond" w:hAnsi="Garamond" w:cs="Arial"/>
          <w:color w:val="auto"/>
          <w:sz w:val="24"/>
          <w:szCs w:val="24"/>
          <w:lang w:val="pt-PT"/>
        </w:rPr>
        <w:t>enc</w:t>
      </w:r>
      <w:r w:rsidR="00B936A7" w:rsidRPr="003A1174">
        <w:rPr>
          <w:rFonts w:ascii="Garamond" w:hAnsi="Garamond" w:cs="Arial"/>
          <w:color w:val="auto"/>
          <w:sz w:val="24"/>
          <w:szCs w:val="24"/>
          <w:lang w:val="pt-PT"/>
        </w:rPr>
        <w:t>ontra</w:t>
      </w:r>
      <w:r w:rsidR="005D52B0" w:rsidRPr="003A1174">
        <w:rPr>
          <w:rFonts w:ascii="Garamond" w:hAnsi="Garamond" w:cs="Arial"/>
          <w:color w:val="auto"/>
          <w:sz w:val="24"/>
          <w:szCs w:val="24"/>
          <w:lang w:val="pt-PT"/>
        </w:rPr>
        <w:t>r</w:t>
      </w:r>
      <w:r w:rsidR="00B936A7" w:rsidRPr="003A1174">
        <w:rPr>
          <w:rFonts w:ascii="Garamond" w:hAnsi="Garamond" w:cs="Arial"/>
          <w:color w:val="auto"/>
          <w:sz w:val="24"/>
          <w:szCs w:val="24"/>
          <w:lang w:val="pt-PT"/>
        </w:rPr>
        <w:t xml:space="preserve"> num </w:t>
      </w:r>
      <w:r w:rsidR="002D1021" w:rsidRPr="003A1174">
        <w:rPr>
          <w:rFonts w:ascii="Garamond" w:hAnsi="Garamond" w:cs="Arial"/>
          <w:color w:val="auto"/>
          <w:sz w:val="24"/>
          <w:szCs w:val="24"/>
          <w:lang w:val="pt-PT"/>
        </w:rPr>
        <w:t>perigo</w:t>
      </w:r>
      <w:r w:rsidR="007A6A6C"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iminente</w:t>
      </w:r>
      <w:r w:rsidR="007A6A6C" w:rsidRPr="003A1174">
        <w:rPr>
          <w:rFonts w:ascii="Garamond" w:hAnsi="Garamond" w:cs="Arial"/>
          <w:color w:val="auto"/>
          <w:sz w:val="24"/>
          <w:szCs w:val="24"/>
          <w:lang w:val="pt-PT"/>
        </w:rPr>
        <w:t>.</w:t>
      </w:r>
    </w:p>
    <w:p w:rsidR="007A6A6C" w:rsidRPr="003A1174" w:rsidRDefault="007A6A6C" w:rsidP="008719D4">
      <w:pPr>
        <w:pStyle w:val="Predeterminado"/>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Finalmente, co</w:t>
      </w:r>
      <w:r w:rsidR="00B936A7" w:rsidRPr="003A1174">
        <w:rPr>
          <w:rFonts w:ascii="Garamond" w:hAnsi="Garamond" w:cs="Arial"/>
          <w:color w:val="auto"/>
          <w:sz w:val="24"/>
          <w:szCs w:val="24"/>
          <w:lang w:val="pt-PT"/>
        </w:rPr>
        <w:t xml:space="preserve">m </w:t>
      </w:r>
      <w:r w:rsidRPr="003A1174">
        <w:rPr>
          <w:rFonts w:ascii="Garamond" w:hAnsi="Garamond" w:cs="Arial"/>
          <w:color w:val="auto"/>
          <w:sz w:val="24"/>
          <w:szCs w:val="24"/>
          <w:lang w:val="pt-PT"/>
        </w:rPr>
        <w:t xml:space="preserve">a </w:t>
      </w:r>
      <w:r w:rsidR="00201889" w:rsidRPr="003A1174">
        <w:rPr>
          <w:rFonts w:ascii="Garamond" w:hAnsi="Garamond" w:cs="Arial"/>
          <w:color w:val="auto"/>
          <w:sz w:val="24"/>
          <w:szCs w:val="24"/>
          <w:lang w:val="pt-PT"/>
        </w:rPr>
        <w:t>criação</w:t>
      </w:r>
      <w:r w:rsidRPr="003A1174">
        <w:rPr>
          <w:rFonts w:ascii="Garamond" w:hAnsi="Garamond" w:cs="Arial"/>
          <w:color w:val="auto"/>
          <w:sz w:val="24"/>
          <w:szCs w:val="24"/>
          <w:lang w:val="pt-PT"/>
        </w:rPr>
        <w:t xml:space="preserve"> da Unidad</w:t>
      </w:r>
      <w:r w:rsidR="00B936A7"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de </w:t>
      </w:r>
      <w:r w:rsidR="008278C4" w:rsidRPr="003A1174">
        <w:rPr>
          <w:rFonts w:ascii="Garamond" w:hAnsi="Garamond" w:cs="Arial"/>
          <w:color w:val="auto"/>
          <w:sz w:val="24"/>
          <w:szCs w:val="24"/>
          <w:lang w:val="pt-PT"/>
        </w:rPr>
        <w:t>Atenção</w:t>
      </w:r>
      <w:r w:rsidRPr="003A1174">
        <w:rPr>
          <w:rFonts w:ascii="Garamond" w:hAnsi="Garamond" w:cs="Arial"/>
          <w:color w:val="auto"/>
          <w:sz w:val="24"/>
          <w:szCs w:val="24"/>
          <w:lang w:val="pt-PT"/>
        </w:rPr>
        <w:t xml:space="preserve"> Especializada a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B936A7"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PDDH está </w:t>
      </w:r>
      <w:r w:rsidR="00B936A7"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monitor</w:t>
      </w:r>
      <w:r w:rsidR="00B936A7" w:rsidRPr="003A1174">
        <w:rPr>
          <w:rFonts w:ascii="Garamond" w:hAnsi="Garamond" w:cs="Arial"/>
          <w:color w:val="auto"/>
          <w:sz w:val="24"/>
          <w:szCs w:val="24"/>
          <w:lang w:val="pt-PT"/>
        </w:rPr>
        <w:t>izar</w:t>
      </w:r>
      <w:r w:rsidR="00FC1CD7">
        <w:rPr>
          <w:rFonts w:ascii="Garamond" w:hAnsi="Garamond" w:cs="Arial"/>
          <w:color w:val="auto"/>
          <w:sz w:val="24"/>
          <w:szCs w:val="24"/>
          <w:lang w:val="pt-PT"/>
        </w:rPr>
        <w:t>,</w:t>
      </w:r>
      <w:r w:rsidR="00B936A7" w:rsidRPr="003A1174">
        <w:rPr>
          <w:rFonts w:ascii="Garamond" w:hAnsi="Garamond" w:cs="Arial"/>
          <w:color w:val="auto"/>
          <w:sz w:val="24"/>
          <w:szCs w:val="24"/>
          <w:lang w:val="pt-PT"/>
        </w:rPr>
        <w:t xml:space="preserve"> de perto</w:t>
      </w:r>
      <w:r w:rsidR="00FC1CD7">
        <w:rPr>
          <w:rFonts w:ascii="Garamond" w:hAnsi="Garamond" w:cs="Arial"/>
          <w:color w:val="auto"/>
          <w:sz w:val="24"/>
          <w:szCs w:val="24"/>
          <w:lang w:val="pt-PT"/>
        </w:rPr>
        <w:t>,</w:t>
      </w:r>
      <w:r w:rsidR="00B936A7" w:rsidRPr="003A1174">
        <w:rPr>
          <w:rFonts w:ascii="Garamond" w:hAnsi="Garamond" w:cs="Arial"/>
          <w:color w:val="auto"/>
          <w:sz w:val="24"/>
          <w:szCs w:val="24"/>
          <w:lang w:val="pt-PT"/>
        </w:rPr>
        <w:t xml:space="preserve"> o </w:t>
      </w:r>
      <w:r w:rsidR="00D96FD0" w:rsidRPr="003A1174">
        <w:rPr>
          <w:rFonts w:ascii="Garamond" w:hAnsi="Garamond" w:cs="Arial"/>
          <w:color w:val="auto"/>
          <w:sz w:val="24"/>
          <w:szCs w:val="24"/>
          <w:lang w:val="pt-PT"/>
        </w:rPr>
        <w:t>cumprimento</w:t>
      </w:r>
      <w:r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Protocolo de </w:t>
      </w:r>
      <w:r w:rsidR="00886D6A" w:rsidRPr="003A1174">
        <w:rPr>
          <w:rFonts w:ascii="Garamond" w:hAnsi="Garamond" w:cs="Arial"/>
          <w:color w:val="auto"/>
          <w:sz w:val="24"/>
          <w:szCs w:val="24"/>
          <w:lang w:val="pt-PT"/>
        </w:rPr>
        <w:t>Investigação</w:t>
      </w:r>
      <w:r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w:t>
      </w:r>
      <w:r w:rsidR="005C051C" w:rsidRPr="003A1174">
        <w:rPr>
          <w:rFonts w:ascii="Garamond" w:hAnsi="Garamond" w:cs="Arial"/>
          <w:color w:val="auto"/>
          <w:sz w:val="24"/>
          <w:szCs w:val="24"/>
          <w:lang w:val="pt-PT"/>
        </w:rPr>
        <w:t>Femicídio</w:t>
      </w:r>
      <w:r w:rsidR="00B936A7" w:rsidRPr="003A1174">
        <w:rPr>
          <w:rFonts w:ascii="Garamond" w:hAnsi="Garamond" w:cs="Arial"/>
          <w:color w:val="auto"/>
          <w:sz w:val="24"/>
          <w:szCs w:val="24"/>
          <w:lang w:val="pt-PT"/>
        </w:rPr>
        <w:t xml:space="preserve"> por parte d</w:t>
      </w:r>
      <w:r w:rsidRPr="003A1174">
        <w:rPr>
          <w:rFonts w:ascii="Garamond" w:hAnsi="Garamond" w:cs="Arial"/>
          <w:color w:val="auto"/>
          <w:sz w:val="24"/>
          <w:szCs w:val="24"/>
          <w:lang w:val="pt-PT"/>
        </w:rPr>
        <w:t xml:space="preserve">a </w:t>
      </w:r>
      <w:r w:rsidR="00CF42A3" w:rsidRPr="003A1174">
        <w:rPr>
          <w:rFonts w:ascii="Garamond" w:hAnsi="Garamond" w:cs="Arial"/>
          <w:color w:val="auto"/>
          <w:sz w:val="24"/>
          <w:szCs w:val="24"/>
          <w:lang w:val="pt-PT"/>
        </w:rPr>
        <w:t>Polícia</w:t>
      </w:r>
      <w:r w:rsidRPr="003A1174">
        <w:rPr>
          <w:rFonts w:ascii="Garamond" w:hAnsi="Garamond" w:cs="Arial"/>
          <w:color w:val="auto"/>
          <w:sz w:val="24"/>
          <w:szCs w:val="24"/>
          <w:lang w:val="pt-PT"/>
        </w:rPr>
        <w:t xml:space="preserve"> Nacional Civil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 xml:space="preserve">do Ministério Público da </w:t>
      </w:r>
      <w:r w:rsidRPr="003A1174">
        <w:rPr>
          <w:rFonts w:ascii="Garamond" w:hAnsi="Garamond" w:cs="Arial"/>
          <w:color w:val="auto"/>
          <w:sz w:val="24"/>
          <w:szCs w:val="24"/>
          <w:lang w:val="pt-PT"/>
        </w:rPr>
        <w:t>República</w:t>
      </w:r>
      <w:r w:rsidR="00E3465B"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as</w:t>
      </w:r>
      <w:r w:rsidR="00B936A7" w:rsidRPr="003A1174">
        <w:rPr>
          <w:rFonts w:ascii="Garamond" w:hAnsi="Garamond" w:cs="Arial"/>
          <w:color w:val="auto"/>
          <w:sz w:val="24"/>
          <w:szCs w:val="24"/>
          <w:lang w:val="pt-PT"/>
        </w:rPr>
        <w:t xml:space="preserve">sim </w:t>
      </w:r>
      <w:r w:rsidRPr="003A1174">
        <w:rPr>
          <w:rFonts w:ascii="Garamond" w:hAnsi="Garamond" w:cs="Arial"/>
          <w:color w:val="auto"/>
          <w:sz w:val="24"/>
          <w:szCs w:val="24"/>
          <w:lang w:val="pt-PT"/>
        </w:rPr>
        <w:t xml:space="preserve">como da Política de </w:t>
      </w:r>
      <w:r w:rsidR="00374785" w:rsidRPr="003A1174">
        <w:rPr>
          <w:rFonts w:ascii="Garamond" w:hAnsi="Garamond" w:cs="Arial"/>
          <w:color w:val="auto"/>
          <w:sz w:val="24"/>
          <w:szCs w:val="24"/>
          <w:lang w:val="pt-PT"/>
        </w:rPr>
        <w:t>Perseguição</w:t>
      </w:r>
      <w:r w:rsidRPr="003A1174">
        <w:rPr>
          <w:rFonts w:ascii="Garamond" w:hAnsi="Garamond" w:cs="Arial"/>
          <w:color w:val="auto"/>
          <w:sz w:val="24"/>
          <w:szCs w:val="24"/>
          <w:lang w:val="pt-PT"/>
        </w:rPr>
        <w:t xml:space="preserve"> Penal que</w:t>
      </w:r>
      <w:r w:rsidR="00B936A7" w:rsidRPr="003A1174">
        <w:rPr>
          <w:rFonts w:ascii="Garamond" w:hAnsi="Garamond" w:cs="Arial"/>
          <w:color w:val="auto"/>
          <w:sz w:val="24"/>
          <w:szCs w:val="24"/>
          <w:lang w:val="pt-PT"/>
        </w:rPr>
        <w:t xml:space="preserve"> se</w:t>
      </w:r>
      <w:r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deve</w:t>
      </w:r>
      <w:r w:rsidRPr="003A1174">
        <w:rPr>
          <w:rFonts w:ascii="Garamond" w:hAnsi="Garamond" w:cs="Arial"/>
          <w:color w:val="auto"/>
          <w:sz w:val="24"/>
          <w:szCs w:val="24"/>
          <w:lang w:val="pt-PT"/>
        </w:rPr>
        <w:t xml:space="preserve"> elaborar </w:t>
      </w:r>
      <w:r w:rsidR="00497503" w:rsidRPr="003A1174">
        <w:rPr>
          <w:rFonts w:ascii="Garamond" w:hAnsi="Garamond" w:cs="Arial"/>
          <w:color w:val="auto"/>
          <w:sz w:val="24"/>
          <w:szCs w:val="24"/>
          <w:lang w:val="pt-PT"/>
        </w:rPr>
        <w:t>e</w:t>
      </w:r>
      <w:r w:rsidR="00B936A7" w:rsidRPr="003A1174">
        <w:rPr>
          <w:rFonts w:ascii="Garamond" w:hAnsi="Garamond" w:cs="Arial"/>
          <w:color w:val="auto"/>
          <w:sz w:val="24"/>
          <w:szCs w:val="24"/>
          <w:lang w:val="pt-PT"/>
        </w:rPr>
        <w:t xml:space="preserve"> ex</w:t>
      </w:r>
      <w:r w:rsidRPr="003A1174">
        <w:rPr>
          <w:rFonts w:ascii="Garamond" w:hAnsi="Garamond" w:cs="Arial"/>
          <w:color w:val="auto"/>
          <w:sz w:val="24"/>
          <w:szCs w:val="24"/>
          <w:lang w:val="pt-PT"/>
        </w:rPr>
        <w:t>ecutar</w:t>
      </w:r>
      <w:r w:rsidR="00B936A7" w:rsidRPr="003A1174">
        <w:rPr>
          <w:rFonts w:ascii="Garamond" w:hAnsi="Garamond" w:cs="Arial"/>
          <w:color w:val="auto"/>
          <w:sz w:val="24"/>
          <w:szCs w:val="24"/>
          <w:lang w:val="pt-PT"/>
        </w:rPr>
        <w:t xml:space="preserve"> no </w:t>
      </w:r>
      <w:r w:rsidR="00253B1D" w:rsidRPr="003A1174">
        <w:rPr>
          <w:rFonts w:ascii="Garamond" w:hAnsi="Garamond" w:cs="Arial"/>
          <w:color w:val="auto"/>
          <w:sz w:val="24"/>
          <w:szCs w:val="24"/>
          <w:lang w:val="pt-PT"/>
        </w:rPr>
        <w:t>quadro</w:t>
      </w:r>
      <w:r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w:t>
      </w:r>
      <w:r w:rsidR="00D96FD0" w:rsidRPr="003A1174">
        <w:rPr>
          <w:rFonts w:ascii="Garamond" w:hAnsi="Garamond" w:cs="Arial"/>
          <w:color w:val="auto"/>
          <w:sz w:val="24"/>
          <w:szCs w:val="24"/>
          <w:lang w:val="pt-PT"/>
        </w:rPr>
        <w:t>cumprimento</w:t>
      </w:r>
      <w:r w:rsidRPr="003A1174">
        <w:rPr>
          <w:rFonts w:ascii="Garamond" w:hAnsi="Garamond" w:cs="Arial"/>
          <w:color w:val="auto"/>
          <w:sz w:val="24"/>
          <w:szCs w:val="24"/>
          <w:lang w:val="pt-PT"/>
        </w:rPr>
        <w:t xml:space="preserve"> da LEIV. A</w:t>
      </w:r>
      <w:r w:rsidR="00B936A7" w:rsidRPr="003A1174">
        <w:rPr>
          <w:rFonts w:ascii="Garamond" w:hAnsi="Garamond" w:cs="Arial"/>
          <w:color w:val="auto"/>
          <w:sz w:val="24"/>
          <w:szCs w:val="24"/>
          <w:lang w:val="pt-PT"/>
        </w:rPr>
        <w:t xml:space="preserve">lém disso, </w:t>
      </w:r>
      <w:r w:rsidR="00E3465B" w:rsidRPr="003A1174">
        <w:rPr>
          <w:rFonts w:ascii="Garamond" w:hAnsi="Garamond" w:cs="Arial"/>
          <w:color w:val="auto"/>
          <w:sz w:val="24"/>
          <w:szCs w:val="24"/>
          <w:lang w:val="pt-PT"/>
        </w:rPr>
        <w:t>ocupa</w:t>
      </w:r>
      <w:r w:rsidR="00B936A7" w:rsidRPr="003A1174">
        <w:rPr>
          <w:rFonts w:ascii="Garamond" w:hAnsi="Garamond" w:cs="Arial"/>
          <w:color w:val="auto"/>
          <w:sz w:val="24"/>
          <w:szCs w:val="24"/>
          <w:lang w:val="pt-PT"/>
        </w:rPr>
        <w:t>-se</w:t>
      </w:r>
      <w:r w:rsidR="00E3465B"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da </w:t>
      </w:r>
      <w:r w:rsidR="008278C4" w:rsidRPr="003A1174">
        <w:rPr>
          <w:rFonts w:ascii="Garamond" w:hAnsi="Garamond" w:cs="Arial"/>
          <w:color w:val="auto"/>
          <w:sz w:val="24"/>
          <w:szCs w:val="24"/>
          <w:lang w:val="pt-PT"/>
        </w:rPr>
        <w:t>atenção</w:t>
      </w:r>
      <w:r w:rsidRPr="003A1174">
        <w:rPr>
          <w:rFonts w:ascii="Garamond" w:hAnsi="Garamond" w:cs="Arial"/>
          <w:color w:val="auto"/>
          <w:sz w:val="24"/>
          <w:szCs w:val="24"/>
          <w:lang w:val="pt-PT"/>
        </w:rPr>
        <w:t xml:space="preserve"> de casos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 xml:space="preserve">do </w:t>
      </w:r>
      <w:r w:rsidR="003F012B" w:rsidRPr="003A1174">
        <w:rPr>
          <w:rFonts w:ascii="Garamond" w:hAnsi="Garamond" w:cs="Arial"/>
          <w:color w:val="auto"/>
          <w:sz w:val="24"/>
          <w:szCs w:val="24"/>
          <w:lang w:val="pt-PT"/>
        </w:rPr>
        <w:t>acompanhamento</w:t>
      </w:r>
      <w:r w:rsidRPr="003A1174">
        <w:rPr>
          <w:rFonts w:ascii="Garamond" w:hAnsi="Garamond" w:cs="Arial"/>
          <w:color w:val="auto"/>
          <w:sz w:val="24"/>
          <w:szCs w:val="24"/>
          <w:lang w:val="pt-PT"/>
        </w:rPr>
        <w:t xml:space="preserve"> jurídico </w:t>
      </w:r>
      <w:r w:rsidR="00497503" w:rsidRPr="003A1174">
        <w:rPr>
          <w:rFonts w:ascii="Garamond" w:hAnsi="Garamond" w:cs="Arial"/>
          <w:color w:val="auto"/>
          <w:sz w:val="24"/>
          <w:szCs w:val="24"/>
          <w:lang w:val="pt-PT"/>
        </w:rPr>
        <w:t>e</w:t>
      </w:r>
      <w:r w:rsidR="00B936A7" w:rsidRPr="003A1174">
        <w:rPr>
          <w:rFonts w:ascii="Garamond" w:hAnsi="Garamond" w:cs="Arial"/>
          <w:color w:val="auto"/>
          <w:sz w:val="24"/>
          <w:szCs w:val="24"/>
          <w:lang w:val="pt-PT"/>
        </w:rPr>
        <w:t xml:space="preserve"> psicológico de</w:t>
      </w:r>
      <w:r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sobrevivente</w:t>
      </w:r>
      <w:r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w:t>
      </w:r>
    </w:p>
    <w:p w:rsidR="00F92EC2" w:rsidRPr="003A1174" w:rsidRDefault="00F92EC2" w:rsidP="008719D4">
      <w:pPr>
        <w:pStyle w:val="Prrafodelista"/>
        <w:autoSpaceDE w:val="0"/>
        <w:autoSpaceDN w:val="0"/>
        <w:adjustRightInd w:val="0"/>
        <w:spacing w:after="0" w:line="240" w:lineRule="auto"/>
        <w:jc w:val="both"/>
        <w:rPr>
          <w:rStyle w:val="Ttulo2Car"/>
          <w:rFonts w:ascii="Garamond" w:eastAsia="SimSun" w:hAnsi="Garamond" w:cs="Arial"/>
          <w:b w:val="0"/>
          <w:bCs w:val="0"/>
          <w:color w:val="auto"/>
          <w:sz w:val="24"/>
          <w:szCs w:val="24"/>
          <w:lang w:val="pt-PT"/>
        </w:rPr>
      </w:pPr>
    </w:p>
    <w:p w:rsidR="007A6A6C" w:rsidRPr="003A1174" w:rsidRDefault="0017447A" w:rsidP="008719D4">
      <w:pPr>
        <w:autoSpaceDE w:val="0"/>
        <w:autoSpaceDN w:val="0"/>
        <w:adjustRightInd w:val="0"/>
        <w:spacing w:after="0" w:line="240" w:lineRule="auto"/>
        <w:jc w:val="both"/>
        <w:rPr>
          <w:rStyle w:val="Ttulo4Car"/>
          <w:rFonts w:ascii="Garamond" w:hAnsi="Garamond"/>
          <w:sz w:val="24"/>
          <w:szCs w:val="24"/>
        </w:rPr>
      </w:pPr>
      <w:bookmarkStart w:id="22" w:name="_Toc421529710"/>
      <w:r w:rsidRPr="003A1174">
        <w:rPr>
          <w:rStyle w:val="Ttulo3Car"/>
          <w:rFonts w:ascii="Garamond" w:hAnsi="Garamond"/>
          <w:sz w:val="24"/>
          <w:szCs w:val="24"/>
        </w:rPr>
        <w:t>Espanha</w:t>
      </w:r>
      <w:bookmarkEnd w:id="22"/>
      <w:r w:rsidR="007A6A6C" w:rsidRPr="003A1174">
        <w:rPr>
          <w:rStyle w:val="Refdenotaalpie"/>
          <w:rFonts w:ascii="Garamond" w:hAnsi="Garamond" w:cs="Arial"/>
          <w:b/>
          <w:sz w:val="24"/>
          <w:szCs w:val="24"/>
        </w:rPr>
        <w:footnoteReference w:id="69"/>
      </w:r>
    </w:p>
    <w:p w:rsidR="009D7A0B" w:rsidRPr="003A1174" w:rsidRDefault="009D7A0B" w:rsidP="008719D4">
      <w:pPr>
        <w:autoSpaceDE w:val="0"/>
        <w:autoSpaceDN w:val="0"/>
        <w:adjustRightInd w:val="0"/>
        <w:spacing w:after="0" w:line="240" w:lineRule="auto"/>
        <w:jc w:val="both"/>
        <w:rPr>
          <w:rFonts w:ascii="Garamond" w:hAnsi="Garamond" w:cs="Arial"/>
          <w:sz w:val="24"/>
          <w:szCs w:val="24"/>
        </w:rPr>
      </w:pPr>
    </w:p>
    <w:p w:rsidR="007A6A6C" w:rsidRPr="003A1174" w:rsidRDefault="007A6A6C"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Como </w:t>
      </w:r>
      <w:r w:rsidR="00253B1D" w:rsidRPr="003A1174">
        <w:rPr>
          <w:rFonts w:ascii="Garamond" w:hAnsi="Garamond" w:cs="Arial"/>
          <w:sz w:val="24"/>
          <w:szCs w:val="24"/>
        </w:rPr>
        <w:t>quadro</w:t>
      </w:r>
      <w:r w:rsidRPr="003A1174">
        <w:rPr>
          <w:rFonts w:ascii="Garamond" w:hAnsi="Garamond" w:cs="Arial"/>
          <w:sz w:val="24"/>
          <w:szCs w:val="24"/>
        </w:rPr>
        <w:t xml:space="preserve"> de </w:t>
      </w:r>
      <w:r w:rsidR="00CB5DB2" w:rsidRPr="003A1174">
        <w:rPr>
          <w:rFonts w:ascii="Garamond" w:hAnsi="Garamond" w:cs="Arial"/>
          <w:sz w:val="24"/>
          <w:szCs w:val="24"/>
        </w:rPr>
        <w:t>referência</w:t>
      </w:r>
      <w:r w:rsidR="00B936A7" w:rsidRPr="003A1174">
        <w:rPr>
          <w:rFonts w:ascii="Garamond" w:hAnsi="Garamond" w:cs="Arial"/>
          <w:sz w:val="24"/>
          <w:szCs w:val="24"/>
        </w:rPr>
        <w:t xml:space="preserve"> pré</w:t>
      </w:r>
      <w:r w:rsidRPr="003A1174">
        <w:rPr>
          <w:rFonts w:ascii="Garamond" w:hAnsi="Garamond" w:cs="Arial"/>
          <w:sz w:val="24"/>
          <w:szCs w:val="24"/>
        </w:rPr>
        <w:t>vio</w:t>
      </w:r>
      <w:r w:rsidR="00E3465B" w:rsidRPr="003A1174">
        <w:rPr>
          <w:rFonts w:ascii="Garamond" w:hAnsi="Garamond" w:cs="Arial"/>
          <w:sz w:val="24"/>
          <w:szCs w:val="24"/>
        </w:rPr>
        <w:t xml:space="preserve">, </w:t>
      </w:r>
      <w:r w:rsidR="00B936A7" w:rsidRPr="003A1174">
        <w:rPr>
          <w:rFonts w:ascii="Garamond" w:hAnsi="Garamond" w:cs="Arial"/>
          <w:sz w:val="24"/>
          <w:szCs w:val="24"/>
        </w:rPr>
        <w:t xml:space="preserve">assinalamos </w:t>
      </w:r>
      <w:r w:rsidRPr="003A1174">
        <w:rPr>
          <w:rFonts w:ascii="Garamond" w:hAnsi="Garamond" w:cs="Arial"/>
          <w:sz w:val="24"/>
          <w:szCs w:val="24"/>
        </w:rPr>
        <w:t xml:space="preserve">que </w:t>
      </w:r>
      <w:r w:rsidR="0017447A" w:rsidRPr="003A1174">
        <w:rPr>
          <w:rFonts w:ascii="Garamond" w:hAnsi="Garamond" w:cs="Arial"/>
          <w:sz w:val="24"/>
          <w:szCs w:val="24"/>
        </w:rPr>
        <w:t>Espanha</w:t>
      </w:r>
      <w:r w:rsidRPr="003A1174">
        <w:rPr>
          <w:rFonts w:ascii="Garamond" w:hAnsi="Garamond" w:cs="Arial"/>
          <w:sz w:val="24"/>
          <w:szCs w:val="24"/>
        </w:rPr>
        <w:t xml:space="preserve"> ratific</w:t>
      </w:r>
      <w:r w:rsidR="00B936A7" w:rsidRPr="003A1174">
        <w:rPr>
          <w:rFonts w:ascii="Garamond" w:hAnsi="Garamond" w:cs="Arial"/>
          <w:sz w:val="24"/>
          <w:szCs w:val="24"/>
        </w:rPr>
        <w:t xml:space="preserve">ou </w:t>
      </w:r>
      <w:r w:rsidRPr="003A1174">
        <w:rPr>
          <w:rFonts w:ascii="Garamond" w:hAnsi="Garamond" w:cs="Arial"/>
          <w:sz w:val="24"/>
          <w:szCs w:val="24"/>
        </w:rPr>
        <w:t xml:space="preserve">a </w:t>
      </w:r>
      <w:r w:rsidR="00B14AA6" w:rsidRPr="003A1174">
        <w:rPr>
          <w:rFonts w:ascii="Garamond" w:hAnsi="Garamond" w:cs="Arial"/>
          <w:sz w:val="24"/>
          <w:szCs w:val="24"/>
        </w:rPr>
        <w:t>Convenção</w:t>
      </w:r>
      <w:r w:rsidR="00B936A7" w:rsidRPr="003A1174">
        <w:rPr>
          <w:rFonts w:ascii="Garamond" w:hAnsi="Garamond" w:cs="Arial"/>
          <w:sz w:val="24"/>
          <w:szCs w:val="24"/>
        </w:rPr>
        <w:t xml:space="preserve"> sobre </w:t>
      </w:r>
      <w:r w:rsidRPr="003A1174">
        <w:rPr>
          <w:rFonts w:ascii="Garamond" w:hAnsi="Garamond" w:cs="Arial"/>
          <w:sz w:val="24"/>
          <w:szCs w:val="24"/>
        </w:rPr>
        <w:t xml:space="preserve">a </w:t>
      </w:r>
      <w:r w:rsidR="008E7A2A" w:rsidRPr="003A1174">
        <w:rPr>
          <w:rFonts w:ascii="Garamond" w:hAnsi="Garamond" w:cs="Arial"/>
          <w:sz w:val="24"/>
          <w:szCs w:val="24"/>
        </w:rPr>
        <w:t>Eliminação</w:t>
      </w:r>
      <w:r w:rsidR="00B936A7" w:rsidRPr="003A1174">
        <w:rPr>
          <w:rFonts w:ascii="Garamond" w:hAnsi="Garamond" w:cs="Arial"/>
          <w:sz w:val="24"/>
          <w:szCs w:val="24"/>
        </w:rPr>
        <w:t xml:space="preserve"> de Todas </w:t>
      </w:r>
      <w:r w:rsidRPr="003A1174">
        <w:rPr>
          <w:rFonts w:ascii="Garamond" w:hAnsi="Garamond" w:cs="Arial"/>
          <w:sz w:val="24"/>
          <w:szCs w:val="24"/>
        </w:rPr>
        <w:t xml:space="preserve">as Formas de </w:t>
      </w:r>
      <w:r w:rsidR="0017447A" w:rsidRPr="003A1174">
        <w:rPr>
          <w:rFonts w:ascii="Garamond" w:hAnsi="Garamond" w:cs="Arial"/>
          <w:sz w:val="24"/>
          <w:szCs w:val="24"/>
        </w:rPr>
        <w:t>Discriminação</w:t>
      </w:r>
      <w:r w:rsidR="00B936A7" w:rsidRPr="003A1174">
        <w:rPr>
          <w:rFonts w:ascii="Garamond" w:hAnsi="Garamond" w:cs="Arial"/>
          <w:sz w:val="24"/>
          <w:szCs w:val="24"/>
        </w:rPr>
        <w:t xml:space="preserve"> Contra </w:t>
      </w:r>
      <w:r w:rsidRPr="003A1174">
        <w:rPr>
          <w:rFonts w:ascii="Garamond" w:hAnsi="Garamond" w:cs="Arial"/>
          <w:sz w:val="24"/>
          <w:szCs w:val="24"/>
        </w:rPr>
        <w:t xml:space="preserve">a </w:t>
      </w:r>
      <w:r w:rsidR="00AF192F" w:rsidRPr="003A1174">
        <w:rPr>
          <w:rFonts w:ascii="Garamond" w:hAnsi="Garamond" w:cs="Arial"/>
          <w:sz w:val="24"/>
          <w:szCs w:val="24"/>
        </w:rPr>
        <w:t>Mulher</w:t>
      </w:r>
      <w:r w:rsidR="007C474E">
        <w:rPr>
          <w:rFonts w:ascii="Garamond" w:hAnsi="Garamond" w:cs="Arial"/>
          <w:sz w:val="24"/>
          <w:szCs w:val="24"/>
        </w:rPr>
        <w:t>,</w:t>
      </w:r>
      <w:r w:rsidRPr="003A1174">
        <w:rPr>
          <w:rFonts w:ascii="Garamond" w:hAnsi="Garamond" w:cs="Arial"/>
          <w:sz w:val="24"/>
          <w:szCs w:val="24"/>
        </w:rPr>
        <w:t xml:space="preserve"> </w:t>
      </w:r>
      <w:r w:rsidR="00B936A7" w:rsidRPr="003A1174">
        <w:rPr>
          <w:rFonts w:ascii="Garamond" w:hAnsi="Garamond" w:cs="Arial"/>
          <w:sz w:val="24"/>
          <w:szCs w:val="24"/>
        </w:rPr>
        <w:t xml:space="preserve">a </w:t>
      </w:r>
      <w:r w:rsidRPr="003A1174">
        <w:rPr>
          <w:rFonts w:ascii="Garamond" w:hAnsi="Garamond" w:cs="Arial"/>
          <w:sz w:val="24"/>
          <w:szCs w:val="24"/>
        </w:rPr>
        <w:t xml:space="preserve">5 de </w:t>
      </w:r>
      <w:r w:rsidR="00B936A7" w:rsidRPr="003A1174">
        <w:rPr>
          <w:rFonts w:ascii="Garamond" w:hAnsi="Garamond" w:cs="Arial"/>
          <w:sz w:val="24"/>
          <w:szCs w:val="24"/>
        </w:rPr>
        <w:t>janeiro</w:t>
      </w:r>
      <w:r w:rsidRPr="003A1174">
        <w:rPr>
          <w:rFonts w:ascii="Garamond" w:hAnsi="Garamond" w:cs="Arial"/>
          <w:sz w:val="24"/>
          <w:szCs w:val="24"/>
        </w:rPr>
        <w:t xml:space="preserve"> de 1984. N</w:t>
      </w:r>
      <w:r w:rsidR="00B936A7" w:rsidRPr="003A1174">
        <w:rPr>
          <w:rFonts w:ascii="Garamond" w:hAnsi="Garamond" w:cs="Arial"/>
          <w:sz w:val="24"/>
          <w:szCs w:val="24"/>
        </w:rPr>
        <w:t>ã</w:t>
      </w:r>
      <w:r w:rsidRPr="003A1174">
        <w:rPr>
          <w:rFonts w:ascii="Garamond" w:hAnsi="Garamond" w:cs="Arial"/>
          <w:sz w:val="24"/>
          <w:szCs w:val="24"/>
        </w:rPr>
        <w:t>o ratific</w:t>
      </w:r>
      <w:r w:rsidR="00B936A7" w:rsidRPr="003A1174">
        <w:rPr>
          <w:rFonts w:ascii="Garamond" w:hAnsi="Garamond" w:cs="Arial"/>
          <w:sz w:val="24"/>
          <w:szCs w:val="24"/>
        </w:rPr>
        <w:t>ou nenhum TIDH</w:t>
      </w:r>
      <w:r w:rsidRPr="003A1174">
        <w:rPr>
          <w:rFonts w:ascii="Garamond" w:hAnsi="Garamond" w:cs="Arial"/>
          <w:sz w:val="24"/>
          <w:szCs w:val="24"/>
        </w:rPr>
        <w:t xml:space="preserve">, por </w:t>
      </w:r>
      <w:r w:rsidR="009D5ED8" w:rsidRPr="003A1174">
        <w:rPr>
          <w:rFonts w:ascii="Garamond" w:hAnsi="Garamond" w:cs="Arial"/>
          <w:sz w:val="24"/>
          <w:szCs w:val="24"/>
        </w:rPr>
        <w:t>razões</w:t>
      </w:r>
      <w:r w:rsidRPr="003A1174">
        <w:rPr>
          <w:rFonts w:ascii="Garamond" w:hAnsi="Garamond" w:cs="Arial"/>
          <w:sz w:val="24"/>
          <w:szCs w:val="24"/>
        </w:rPr>
        <w:t xml:space="preserve"> </w:t>
      </w:r>
      <w:r w:rsidR="007C474E" w:rsidRPr="003A1174">
        <w:rPr>
          <w:rFonts w:ascii="Garamond" w:hAnsi="Garamond" w:cs="Arial"/>
          <w:sz w:val="24"/>
          <w:szCs w:val="24"/>
        </w:rPr>
        <w:t>óbvias</w:t>
      </w:r>
      <w:r w:rsidR="007C474E">
        <w:rPr>
          <w:rFonts w:ascii="Garamond" w:hAnsi="Garamond" w:cs="Arial"/>
          <w:sz w:val="24"/>
          <w:szCs w:val="24"/>
        </w:rPr>
        <w:t xml:space="preserve">, </w:t>
      </w:r>
      <w:r w:rsidRPr="003A1174">
        <w:rPr>
          <w:rFonts w:ascii="Garamond" w:hAnsi="Garamond" w:cs="Arial"/>
          <w:sz w:val="24"/>
          <w:szCs w:val="24"/>
        </w:rPr>
        <w:t xml:space="preserve">geopolíticas </w:t>
      </w:r>
      <w:r w:rsidR="00497503" w:rsidRPr="003A1174">
        <w:rPr>
          <w:rFonts w:ascii="Garamond" w:hAnsi="Garamond" w:cs="Arial"/>
          <w:sz w:val="24"/>
          <w:szCs w:val="24"/>
        </w:rPr>
        <w:t>e</w:t>
      </w:r>
      <w:r w:rsidRPr="003A1174">
        <w:rPr>
          <w:rFonts w:ascii="Garamond" w:hAnsi="Garamond" w:cs="Arial"/>
          <w:sz w:val="24"/>
          <w:szCs w:val="24"/>
        </w:rPr>
        <w:t xml:space="preserve"> jurídicas</w:t>
      </w:r>
      <w:r w:rsidR="007C474E">
        <w:rPr>
          <w:rFonts w:ascii="Garamond" w:hAnsi="Garamond" w:cs="Arial"/>
          <w:sz w:val="24"/>
          <w:szCs w:val="24"/>
        </w:rPr>
        <w:t>,</w:t>
      </w:r>
      <w:r w:rsidRPr="003A1174">
        <w:rPr>
          <w:rFonts w:ascii="Garamond" w:hAnsi="Garamond" w:cs="Arial"/>
          <w:sz w:val="24"/>
          <w:szCs w:val="24"/>
        </w:rPr>
        <w:t xml:space="preserve"> de </w:t>
      </w:r>
      <w:r w:rsidR="00833C78">
        <w:rPr>
          <w:rFonts w:ascii="Garamond" w:hAnsi="Garamond" w:cs="Arial"/>
          <w:sz w:val="24"/>
          <w:szCs w:val="24"/>
        </w:rPr>
        <w:t xml:space="preserve">projeção </w:t>
      </w:r>
      <w:r w:rsidRPr="003A1174">
        <w:rPr>
          <w:rFonts w:ascii="Garamond" w:hAnsi="Garamond" w:cs="Arial"/>
          <w:sz w:val="24"/>
          <w:szCs w:val="24"/>
        </w:rPr>
        <w:t>interamerican</w:t>
      </w:r>
      <w:r w:rsidR="00833C78">
        <w:rPr>
          <w:rFonts w:ascii="Garamond" w:hAnsi="Garamond" w:cs="Arial"/>
          <w:sz w:val="24"/>
          <w:szCs w:val="24"/>
        </w:rPr>
        <w:t>a</w:t>
      </w:r>
      <w:r w:rsidRPr="003A1174">
        <w:rPr>
          <w:rFonts w:ascii="Garamond" w:hAnsi="Garamond" w:cs="Arial"/>
          <w:sz w:val="24"/>
          <w:szCs w:val="24"/>
        </w:rPr>
        <w:t>.</w:t>
      </w:r>
    </w:p>
    <w:p w:rsidR="007A6A6C" w:rsidRPr="003A1174" w:rsidRDefault="007A6A6C" w:rsidP="008719D4">
      <w:pPr>
        <w:spacing w:after="0" w:line="240" w:lineRule="auto"/>
        <w:jc w:val="both"/>
        <w:rPr>
          <w:rFonts w:ascii="Garamond" w:hAnsi="Garamond" w:cs="Arial"/>
          <w:sz w:val="24"/>
          <w:szCs w:val="24"/>
        </w:rPr>
      </w:pPr>
    </w:p>
    <w:p w:rsidR="0017186E" w:rsidRPr="003A1174" w:rsidRDefault="00471EC2" w:rsidP="008719D4">
      <w:pPr>
        <w:spacing w:after="0" w:line="240" w:lineRule="auto"/>
        <w:jc w:val="both"/>
        <w:rPr>
          <w:rFonts w:ascii="Garamond" w:hAnsi="Garamond" w:cs="Arial"/>
          <w:sz w:val="24"/>
          <w:szCs w:val="24"/>
        </w:rPr>
      </w:pPr>
      <w:r w:rsidRPr="00214498">
        <w:rPr>
          <w:rFonts w:ascii="Garamond" w:hAnsi="Garamond" w:cs="Arial"/>
          <w:sz w:val="24"/>
          <w:szCs w:val="24"/>
        </w:rPr>
        <w:t xml:space="preserve">Refere-se </w:t>
      </w:r>
      <w:r w:rsidR="007A6A6C" w:rsidRPr="00214498">
        <w:rPr>
          <w:rFonts w:ascii="Garamond" w:hAnsi="Garamond" w:cs="Arial"/>
          <w:sz w:val="24"/>
          <w:szCs w:val="24"/>
        </w:rPr>
        <w:t xml:space="preserve">que </w:t>
      </w:r>
      <w:r w:rsidRPr="00214498">
        <w:rPr>
          <w:rFonts w:ascii="Garamond" w:hAnsi="Garamond" w:cs="Arial"/>
          <w:sz w:val="24"/>
          <w:szCs w:val="24"/>
        </w:rPr>
        <w:t>o mito mai</w:t>
      </w:r>
      <w:r w:rsidR="007A6A6C" w:rsidRPr="00214498">
        <w:rPr>
          <w:rFonts w:ascii="Garamond" w:hAnsi="Garamond" w:cs="Arial"/>
          <w:sz w:val="24"/>
          <w:szCs w:val="24"/>
        </w:rPr>
        <w:t xml:space="preserve">s </w:t>
      </w:r>
      <w:r w:rsidRPr="00214498">
        <w:rPr>
          <w:rFonts w:ascii="Garamond" w:hAnsi="Garamond" w:cs="Arial"/>
          <w:sz w:val="24"/>
          <w:szCs w:val="24"/>
        </w:rPr>
        <w:t>enraizado</w:t>
      </w:r>
      <w:r w:rsidR="007A6A6C" w:rsidRPr="00214498">
        <w:rPr>
          <w:rFonts w:ascii="Garamond" w:hAnsi="Garamond" w:cs="Arial"/>
          <w:sz w:val="24"/>
          <w:szCs w:val="24"/>
        </w:rPr>
        <w:t>, e inclus</w:t>
      </w:r>
      <w:r w:rsidRPr="00214498">
        <w:rPr>
          <w:rFonts w:ascii="Garamond" w:hAnsi="Garamond" w:cs="Arial"/>
          <w:sz w:val="24"/>
          <w:szCs w:val="24"/>
        </w:rPr>
        <w:t>ivamente</w:t>
      </w:r>
      <w:r w:rsidR="007C474E" w:rsidRPr="00214498">
        <w:rPr>
          <w:rFonts w:ascii="Garamond" w:hAnsi="Garamond" w:cs="Arial"/>
          <w:sz w:val="24"/>
          <w:szCs w:val="24"/>
        </w:rPr>
        <w:t>,</w:t>
      </w:r>
      <w:r w:rsidRPr="00214498">
        <w:rPr>
          <w:rFonts w:ascii="Garamond" w:hAnsi="Garamond" w:cs="Arial"/>
          <w:sz w:val="24"/>
          <w:szCs w:val="24"/>
        </w:rPr>
        <w:t xml:space="preserve"> </w:t>
      </w:r>
      <w:r w:rsidR="005D52B0" w:rsidRPr="00214498">
        <w:rPr>
          <w:rFonts w:ascii="Garamond" w:hAnsi="Garamond" w:cs="Arial"/>
          <w:sz w:val="24"/>
          <w:szCs w:val="24"/>
        </w:rPr>
        <w:t xml:space="preserve">mais </w:t>
      </w:r>
      <w:r w:rsidR="007A6A6C" w:rsidRPr="00214498">
        <w:rPr>
          <w:rFonts w:ascii="Garamond" w:hAnsi="Garamond" w:cs="Arial"/>
          <w:sz w:val="24"/>
          <w:szCs w:val="24"/>
        </w:rPr>
        <w:t xml:space="preserve">utilizado por </w:t>
      </w:r>
      <w:r w:rsidR="00C30647" w:rsidRPr="00214498">
        <w:rPr>
          <w:rFonts w:ascii="Garamond" w:hAnsi="Garamond" w:cs="Arial"/>
          <w:sz w:val="24"/>
          <w:szCs w:val="24"/>
        </w:rPr>
        <w:t>membro</w:t>
      </w:r>
      <w:r w:rsidR="007A6A6C" w:rsidRPr="00214498">
        <w:rPr>
          <w:rFonts w:ascii="Garamond" w:hAnsi="Garamond" w:cs="Arial"/>
          <w:sz w:val="24"/>
          <w:szCs w:val="24"/>
        </w:rPr>
        <w:t xml:space="preserve">s </w:t>
      </w:r>
      <w:r w:rsidR="008A3DA2" w:rsidRPr="00214498">
        <w:rPr>
          <w:rFonts w:ascii="Garamond" w:hAnsi="Garamond" w:cs="Arial"/>
          <w:sz w:val="24"/>
          <w:szCs w:val="24"/>
        </w:rPr>
        <w:t>do</w:t>
      </w:r>
      <w:r w:rsidR="007A6A6C" w:rsidRPr="00214498">
        <w:rPr>
          <w:rFonts w:ascii="Garamond" w:hAnsi="Garamond" w:cs="Arial"/>
          <w:sz w:val="24"/>
          <w:szCs w:val="24"/>
        </w:rPr>
        <w:t xml:space="preserve"> poder judicial, </w:t>
      </w:r>
      <w:r w:rsidRPr="00214498">
        <w:rPr>
          <w:rFonts w:ascii="Garamond" w:hAnsi="Garamond" w:cs="Arial"/>
          <w:sz w:val="24"/>
          <w:szCs w:val="24"/>
        </w:rPr>
        <w:t xml:space="preserve">foi o </w:t>
      </w:r>
      <w:r w:rsidR="00497503" w:rsidRPr="00214498">
        <w:rPr>
          <w:rFonts w:ascii="Garamond" w:hAnsi="Garamond" w:cs="Arial"/>
          <w:sz w:val="24"/>
          <w:szCs w:val="24"/>
        </w:rPr>
        <w:t>das</w:t>
      </w:r>
      <w:r w:rsidR="007A6A6C" w:rsidRPr="00214498">
        <w:rPr>
          <w:rFonts w:ascii="Garamond" w:hAnsi="Garamond" w:cs="Arial"/>
          <w:sz w:val="24"/>
          <w:szCs w:val="24"/>
        </w:rPr>
        <w:t xml:space="preserve"> </w:t>
      </w:r>
      <w:r w:rsidR="008651AF" w:rsidRPr="00214498">
        <w:rPr>
          <w:rFonts w:ascii="Garamond" w:hAnsi="Garamond" w:cs="Arial"/>
          <w:sz w:val="24"/>
          <w:szCs w:val="24"/>
        </w:rPr>
        <w:t>denúncia</w:t>
      </w:r>
      <w:r w:rsidR="007A6A6C" w:rsidRPr="00214498">
        <w:rPr>
          <w:rFonts w:ascii="Garamond" w:hAnsi="Garamond" w:cs="Arial"/>
          <w:sz w:val="24"/>
          <w:szCs w:val="24"/>
        </w:rPr>
        <w:t xml:space="preserve">s falsas </w:t>
      </w:r>
      <w:r w:rsidR="00E3465B" w:rsidRPr="00214498">
        <w:rPr>
          <w:rFonts w:ascii="Garamond" w:hAnsi="Garamond" w:cs="Arial"/>
          <w:sz w:val="24"/>
          <w:szCs w:val="24"/>
        </w:rPr>
        <w:t>(</w:t>
      </w:r>
      <w:r w:rsidR="007A6A6C" w:rsidRPr="00214498">
        <w:rPr>
          <w:rFonts w:ascii="Garamond" w:hAnsi="Garamond" w:cs="Arial"/>
          <w:sz w:val="24"/>
          <w:szCs w:val="24"/>
        </w:rPr>
        <w:t xml:space="preserve">que </w:t>
      </w:r>
      <w:r w:rsidRPr="00214498">
        <w:rPr>
          <w:rFonts w:ascii="Garamond" w:hAnsi="Garamond" w:cs="Arial"/>
          <w:sz w:val="24"/>
          <w:szCs w:val="24"/>
        </w:rPr>
        <w:t xml:space="preserve">já se tornaram num </w:t>
      </w:r>
      <w:r w:rsidR="007A6A6C" w:rsidRPr="00214498">
        <w:rPr>
          <w:rFonts w:ascii="Garamond" w:hAnsi="Garamond" w:cs="Arial"/>
          <w:sz w:val="24"/>
          <w:szCs w:val="24"/>
        </w:rPr>
        <w:t>mito</w:t>
      </w:r>
      <w:r w:rsidR="00E3465B" w:rsidRPr="00214498">
        <w:rPr>
          <w:rFonts w:ascii="Garamond" w:hAnsi="Garamond" w:cs="Arial"/>
          <w:sz w:val="24"/>
          <w:szCs w:val="24"/>
        </w:rPr>
        <w:t>),</w:t>
      </w:r>
      <w:r w:rsidR="007A6A6C" w:rsidRPr="00214498">
        <w:rPr>
          <w:rFonts w:ascii="Garamond" w:hAnsi="Garamond" w:cs="Arial"/>
          <w:sz w:val="24"/>
          <w:szCs w:val="24"/>
        </w:rPr>
        <w:t xml:space="preserve"> </w:t>
      </w:r>
      <w:r w:rsidRPr="00214498">
        <w:rPr>
          <w:rFonts w:ascii="Garamond" w:hAnsi="Garamond" w:cs="Arial"/>
          <w:sz w:val="24"/>
          <w:szCs w:val="24"/>
        </w:rPr>
        <w:t xml:space="preserve">embora </w:t>
      </w:r>
      <w:r w:rsidR="007A6A6C" w:rsidRPr="00214498">
        <w:rPr>
          <w:rFonts w:ascii="Garamond" w:hAnsi="Garamond" w:cs="Arial"/>
          <w:sz w:val="24"/>
          <w:szCs w:val="24"/>
        </w:rPr>
        <w:t xml:space="preserve">as </w:t>
      </w:r>
      <w:r w:rsidRPr="00214498">
        <w:rPr>
          <w:rFonts w:ascii="Garamond" w:hAnsi="Garamond" w:cs="Arial"/>
          <w:sz w:val="24"/>
          <w:szCs w:val="24"/>
        </w:rPr>
        <w:t>memória</w:t>
      </w:r>
      <w:r w:rsidR="007A6A6C" w:rsidRPr="00214498">
        <w:rPr>
          <w:rFonts w:ascii="Garamond" w:hAnsi="Garamond" w:cs="Arial"/>
          <w:sz w:val="24"/>
          <w:szCs w:val="24"/>
        </w:rPr>
        <w:t xml:space="preserve">s </w:t>
      </w:r>
      <w:r w:rsidR="0017447A" w:rsidRPr="00214498">
        <w:rPr>
          <w:rFonts w:ascii="Garamond" w:hAnsi="Garamond" w:cs="Arial"/>
          <w:sz w:val="24"/>
          <w:szCs w:val="24"/>
        </w:rPr>
        <w:t>anuais</w:t>
      </w:r>
      <w:r w:rsidRPr="00214498">
        <w:rPr>
          <w:rFonts w:ascii="Garamond" w:hAnsi="Garamond" w:cs="Arial"/>
          <w:sz w:val="24"/>
          <w:szCs w:val="24"/>
        </w:rPr>
        <w:t xml:space="preserve"> d</w:t>
      </w:r>
      <w:r w:rsidR="007407BD" w:rsidRPr="00214498">
        <w:rPr>
          <w:rFonts w:ascii="Garamond" w:hAnsi="Garamond" w:cs="Arial"/>
          <w:sz w:val="24"/>
          <w:szCs w:val="24"/>
        </w:rPr>
        <w:t>estes</w:t>
      </w:r>
      <w:r w:rsidR="007A6A6C" w:rsidRPr="00214498">
        <w:rPr>
          <w:rFonts w:ascii="Garamond" w:hAnsi="Garamond" w:cs="Arial"/>
          <w:sz w:val="24"/>
          <w:szCs w:val="24"/>
        </w:rPr>
        <w:t xml:space="preserve"> organismos nunca </w:t>
      </w:r>
      <w:r w:rsidRPr="00214498">
        <w:rPr>
          <w:rFonts w:ascii="Garamond" w:hAnsi="Garamond" w:cs="Arial"/>
          <w:sz w:val="24"/>
          <w:szCs w:val="24"/>
        </w:rPr>
        <w:t>tenham conseguido provar</w:t>
      </w:r>
      <w:r w:rsidR="007A6A6C" w:rsidRPr="00214498">
        <w:rPr>
          <w:rFonts w:ascii="Garamond" w:hAnsi="Garamond" w:cs="Arial"/>
          <w:sz w:val="24"/>
          <w:szCs w:val="24"/>
        </w:rPr>
        <w:t xml:space="preserve"> es</w:t>
      </w:r>
      <w:r w:rsidRPr="00214498">
        <w:rPr>
          <w:rFonts w:ascii="Garamond" w:hAnsi="Garamond" w:cs="Arial"/>
          <w:sz w:val="24"/>
          <w:szCs w:val="24"/>
        </w:rPr>
        <w:t>s</w:t>
      </w:r>
      <w:r w:rsidR="007A6A6C" w:rsidRPr="00214498">
        <w:rPr>
          <w:rFonts w:ascii="Garamond" w:hAnsi="Garamond" w:cs="Arial"/>
          <w:sz w:val="24"/>
          <w:szCs w:val="24"/>
        </w:rPr>
        <w:t xml:space="preserve">as </w:t>
      </w:r>
      <w:r w:rsidRPr="00214498">
        <w:rPr>
          <w:rFonts w:ascii="Garamond" w:hAnsi="Garamond" w:cs="Arial"/>
          <w:sz w:val="24"/>
          <w:szCs w:val="24"/>
        </w:rPr>
        <w:t>acusações, muito pelo contrá</w:t>
      </w:r>
      <w:r w:rsidR="007A6A6C" w:rsidRPr="00214498">
        <w:rPr>
          <w:rFonts w:ascii="Garamond" w:hAnsi="Garamond" w:cs="Arial"/>
          <w:sz w:val="24"/>
          <w:szCs w:val="24"/>
        </w:rPr>
        <w:t>rio</w:t>
      </w:r>
      <w:r w:rsidRPr="00214498">
        <w:rPr>
          <w:rFonts w:ascii="Garamond" w:hAnsi="Garamond" w:cs="Arial"/>
          <w:sz w:val="24"/>
          <w:szCs w:val="24"/>
        </w:rPr>
        <w:t xml:space="preserve">, e </w:t>
      </w:r>
      <w:r w:rsidR="007A6A6C" w:rsidRPr="00214498">
        <w:rPr>
          <w:rFonts w:ascii="Garamond" w:hAnsi="Garamond" w:cs="Arial"/>
          <w:sz w:val="24"/>
          <w:szCs w:val="24"/>
        </w:rPr>
        <w:t>inclus</w:t>
      </w:r>
      <w:r w:rsidRPr="00214498">
        <w:rPr>
          <w:rFonts w:ascii="Garamond" w:hAnsi="Garamond" w:cs="Arial"/>
          <w:sz w:val="24"/>
          <w:szCs w:val="24"/>
        </w:rPr>
        <w:t>ivamente</w:t>
      </w:r>
      <w:r w:rsidR="007C474E" w:rsidRPr="00214498">
        <w:rPr>
          <w:rFonts w:ascii="Garamond" w:hAnsi="Garamond" w:cs="Arial"/>
          <w:sz w:val="24"/>
          <w:szCs w:val="24"/>
        </w:rPr>
        <w:t>,</w:t>
      </w:r>
      <w:r w:rsidRPr="00214498">
        <w:rPr>
          <w:rFonts w:ascii="Garamond" w:hAnsi="Garamond" w:cs="Arial"/>
          <w:sz w:val="24"/>
          <w:szCs w:val="24"/>
        </w:rPr>
        <w:t xml:space="preserve"> </w:t>
      </w:r>
      <w:r w:rsidR="007A6A6C" w:rsidRPr="00214498">
        <w:rPr>
          <w:rFonts w:ascii="Garamond" w:hAnsi="Garamond" w:cs="Arial"/>
          <w:sz w:val="24"/>
          <w:szCs w:val="24"/>
        </w:rPr>
        <w:t>est</w:t>
      </w:r>
      <w:r w:rsidRPr="00214498">
        <w:rPr>
          <w:rFonts w:ascii="Garamond" w:hAnsi="Garamond" w:cs="Arial"/>
          <w:sz w:val="24"/>
          <w:szCs w:val="24"/>
        </w:rPr>
        <w:t xml:space="preserve">ejam </w:t>
      </w:r>
      <w:r w:rsidR="00EE7406" w:rsidRPr="00214498">
        <w:rPr>
          <w:rFonts w:ascii="Garamond" w:hAnsi="Garamond" w:cs="Arial"/>
          <w:sz w:val="24"/>
          <w:szCs w:val="24"/>
        </w:rPr>
        <w:t xml:space="preserve">abaixo do que acontece com </w:t>
      </w:r>
      <w:r w:rsidR="001F2F8B" w:rsidRPr="00214498">
        <w:rPr>
          <w:rFonts w:ascii="Garamond" w:hAnsi="Garamond" w:cs="Arial"/>
          <w:sz w:val="24"/>
          <w:szCs w:val="24"/>
        </w:rPr>
        <w:t>outro</w:t>
      </w:r>
      <w:r w:rsidR="007A6A6C" w:rsidRPr="00214498">
        <w:rPr>
          <w:rFonts w:ascii="Garamond" w:hAnsi="Garamond" w:cs="Arial"/>
          <w:sz w:val="24"/>
          <w:szCs w:val="24"/>
        </w:rPr>
        <w:t xml:space="preserve">s delitos. Tanto </w:t>
      </w:r>
      <w:r w:rsidR="00EE7406" w:rsidRPr="00214498">
        <w:rPr>
          <w:rFonts w:ascii="Garamond" w:hAnsi="Garamond" w:cs="Arial"/>
          <w:sz w:val="24"/>
          <w:szCs w:val="24"/>
        </w:rPr>
        <w:t>é assim que, como demon</w:t>
      </w:r>
      <w:r w:rsidR="007A6A6C" w:rsidRPr="00214498">
        <w:rPr>
          <w:rFonts w:ascii="Garamond" w:hAnsi="Garamond" w:cs="Arial"/>
          <w:sz w:val="24"/>
          <w:szCs w:val="24"/>
        </w:rPr>
        <w:t xml:space="preserve">stra </w:t>
      </w:r>
      <w:r w:rsidR="00EE7406" w:rsidRPr="00214498">
        <w:rPr>
          <w:rFonts w:ascii="Garamond" w:hAnsi="Garamond" w:cs="Arial"/>
          <w:sz w:val="24"/>
          <w:szCs w:val="24"/>
        </w:rPr>
        <w:t xml:space="preserve">mais um </w:t>
      </w:r>
      <w:r w:rsidR="002C7510" w:rsidRPr="00214498">
        <w:rPr>
          <w:rFonts w:ascii="Garamond" w:hAnsi="Garamond" w:cs="Arial"/>
          <w:sz w:val="24"/>
          <w:szCs w:val="24"/>
        </w:rPr>
        <w:t>ano</w:t>
      </w:r>
      <w:r w:rsidR="00EE7406" w:rsidRPr="00214498">
        <w:rPr>
          <w:rFonts w:ascii="Garamond" w:hAnsi="Garamond" w:cs="Arial"/>
          <w:sz w:val="24"/>
          <w:szCs w:val="24"/>
        </w:rPr>
        <w:t xml:space="preserve">, </w:t>
      </w:r>
      <w:r w:rsidR="00833C78" w:rsidRPr="00214498">
        <w:rPr>
          <w:rFonts w:ascii="Garamond" w:hAnsi="Garamond" w:cs="Arial"/>
          <w:sz w:val="24"/>
          <w:szCs w:val="24"/>
        </w:rPr>
        <w:t xml:space="preserve">o relatório </w:t>
      </w:r>
      <w:r w:rsidR="007A6A6C" w:rsidRPr="00214498">
        <w:rPr>
          <w:rFonts w:ascii="Garamond" w:hAnsi="Garamond" w:cs="Arial"/>
          <w:sz w:val="24"/>
          <w:szCs w:val="24"/>
        </w:rPr>
        <w:t>de 2012 d</w:t>
      </w:r>
      <w:r w:rsidR="00EE7406" w:rsidRPr="00214498">
        <w:rPr>
          <w:rFonts w:ascii="Garamond" w:hAnsi="Garamond" w:cs="Arial"/>
          <w:sz w:val="24"/>
          <w:szCs w:val="24"/>
        </w:rPr>
        <w:t>o Gabinete do Procurador do Ministério Público</w:t>
      </w:r>
      <w:r w:rsidR="007A6A6C" w:rsidRPr="00214498">
        <w:rPr>
          <w:rFonts w:ascii="Garamond" w:hAnsi="Garamond" w:cs="Arial"/>
          <w:sz w:val="24"/>
          <w:szCs w:val="24"/>
        </w:rPr>
        <w:t xml:space="preserve">, </w:t>
      </w:r>
      <w:r w:rsidR="00EE7406" w:rsidRPr="00214498">
        <w:rPr>
          <w:rFonts w:ascii="Garamond" w:hAnsi="Garamond" w:cs="Arial"/>
          <w:sz w:val="24"/>
          <w:szCs w:val="24"/>
        </w:rPr>
        <w:t xml:space="preserve">assinala </w:t>
      </w:r>
      <w:r w:rsidR="007A6A6C" w:rsidRPr="00214498">
        <w:rPr>
          <w:rFonts w:ascii="Garamond" w:hAnsi="Garamond" w:cs="Arial"/>
          <w:sz w:val="24"/>
          <w:szCs w:val="24"/>
        </w:rPr>
        <w:t>que</w:t>
      </w:r>
      <w:r w:rsidR="00EE7406" w:rsidRPr="00214498">
        <w:rPr>
          <w:rFonts w:ascii="Garamond" w:hAnsi="Garamond" w:cs="Arial"/>
          <w:bCs/>
          <w:sz w:val="24"/>
          <w:szCs w:val="24"/>
        </w:rPr>
        <w:t xml:space="preserve"> </w:t>
      </w:r>
      <w:r w:rsidR="007A6A6C" w:rsidRPr="00214498">
        <w:rPr>
          <w:rFonts w:ascii="Garamond" w:hAnsi="Garamond" w:cs="Arial"/>
          <w:bCs/>
          <w:sz w:val="24"/>
          <w:szCs w:val="24"/>
        </w:rPr>
        <w:t xml:space="preserve">as </w:t>
      </w:r>
      <w:r w:rsidR="008651AF" w:rsidRPr="00214498">
        <w:rPr>
          <w:rFonts w:ascii="Garamond" w:hAnsi="Garamond" w:cs="Arial"/>
          <w:bCs/>
          <w:sz w:val="24"/>
          <w:szCs w:val="24"/>
        </w:rPr>
        <w:t>denúncia</w:t>
      </w:r>
      <w:r w:rsidR="007A6A6C" w:rsidRPr="00214498">
        <w:rPr>
          <w:rFonts w:ascii="Garamond" w:hAnsi="Garamond" w:cs="Arial"/>
          <w:bCs/>
          <w:sz w:val="24"/>
          <w:szCs w:val="24"/>
        </w:rPr>
        <w:t xml:space="preserve">s falsas </w:t>
      </w:r>
      <w:r w:rsidR="00EE7406" w:rsidRPr="00214498">
        <w:rPr>
          <w:rFonts w:ascii="Garamond" w:hAnsi="Garamond" w:cs="Arial"/>
          <w:bCs/>
          <w:sz w:val="24"/>
          <w:szCs w:val="24"/>
        </w:rPr>
        <w:t>n</w:t>
      </w:r>
      <w:r w:rsidR="007A6A6C" w:rsidRPr="00214498">
        <w:rPr>
          <w:rFonts w:ascii="Garamond" w:hAnsi="Garamond" w:cs="Arial"/>
          <w:bCs/>
          <w:sz w:val="24"/>
          <w:szCs w:val="24"/>
        </w:rPr>
        <w:t xml:space="preserve">os delitos de </w:t>
      </w:r>
      <w:r w:rsidR="000350B1" w:rsidRPr="00214498">
        <w:rPr>
          <w:rFonts w:ascii="Garamond" w:hAnsi="Garamond" w:cs="Arial"/>
          <w:bCs/>
          <w:sz w:val="24"/>
          <w:szCs w:val="24"/>
        </w:rPr>
        <w:t>violência</w:t>
      </w:r>
      <w:r w:rsidR="007A6A6C" w:rsidRPr="00214498">
        <w:rPr>
          <w:rFonts w:ascii="Garamond" w:hAnsi="Garamond" w:cs="Arial"/>
          <w:bCs/>
          <w:sz w:val="24"/>
          <w:szCs w:val="24"/>
        </w:rPr>
        <w:t xml:space="preserve"> de género </w:t>
      </w:r>
      <w:r w:rsidR="00EE7406" w:rsidRPr="00214498">
        <w:rPr>
          <w:rFonts w:ascii="Garamond" w:hAnsi="Garamond" w:cs="Arial"/>
          <w:bCs/>
          <w:sz w:val="24"/>
          <w:szCs w:val="24"/>
        </w:rPr>
        <w:t>são equivalentes a</w:t>
      </w:r>
      <w:r w:rsidR="007A6A6C" w:rsidRPr="00214498">
        <w:rPr>
          <w:rFonts w:ascii="Garamond" w:hAnsi="Garamond" w:cs="Arial"/>
          <w:bCs/>
          <w:sz w:val="24"/>
          <w:szCs w:val="24"/>
        </w:rPr>
        <w:t xml:space="preserve"> 0,</w:t>
      </w:r>
      <w:r w:rsidR="00EE7406" w:rsidRPr="00214498">
        <w:rPr>
          <w:rFonts w:ascii="Garamond" w:hAnsi="Garamond" w:cs="Arial"/>
          <w:bCs/>
          <w:sz w:val="24"/>
          <w:szCs w:val="24"/>
        </w:rPr>
        <w:t xml:space="preserve">008%. </w:t>
      </w:r>
      <w:r w:rsidR="00EE7406" w:rsidRPr="00214498">
        <w:rPr>
          <w:rFonts w:ascii="Garamond" w:hAnsi="Garamond" w:cs="Arial"/>
          <w:sz w:val="24"/>
          <w:szCs w:val="24"/>
        </w:rPr>
        <w:t>I</w:t>
      </w:r>
      <w:r w:rsidR="007A6A6C" w:rsidRPr="00214498">
        <w:rPr>
          <w:rFonts w:ascii="Garamond" w:hAnsi="Garamond" w:cs="Arial"/>
          <w:sz w:val="24"/>
          <w:szCs w:val="24"/>
        </w:rPr>
        <w:t xml:space="preserve">sto </w:t>
      </w:r>
      <w:r w:rsidR="00EE7406" w:rsidRPr="00214498">
        <w:rPr>
          <w:rFonts w:ascii="Garamond" w:hAnsi="Garamond" w:cs="Arial"/>
          <w:sz w:val="24"/>
          <w:szCs w:val="24"/>
        </w:rPr>
        <w:t>supõe</w:t>
      </w:r>
      <w:r w:rsidR="007A6A6C" w:rsidRPr="00214498">
        <w:rPr>
          <w:rFonts w:ascii="Garamond" w:hAnsi="Garamond" w:cs="Arial"/>
          <w:sz w:val="24"/>
          <w:szCs w:val="24"/>
        </w:rPr>
        <w:t xml:space="preserve"> que de u</w:t>
      </w:r>
      <w:r w:rsidR="00EE7406" w:rsidRPr="00214498">
        <w:rPr>
          <w:rFonts w:ascii="Garamond" w:hAnsi="Garamond" w:cs="Arial"/>
          <w:sz w:val="24"/>
          <w:szCs w:val="24"/>
        </w:rPr>
        <w:t>m</w:t>
      </w:r>
      <w:r w:rsidR="007A6A6C" w:rsidRPr="00214498">
        <w:rPr>
          <w:rFonts w:ascii="Garamond" w:hAnsi="Garamond" w:cs="Arial"/>
          <w:sz w:val="24"/>
          <w:szCs w:val="24"/>
        </w:rPr>
        <w:t xml:space="preserve"> total de 128</w:t>
      </w:r>
      <w:r w:rsidR="007C474E" w:rsidRPr="00214498">
        <w:rPr>
          <w:rFonts w:ascii="Garamond" w:hAnsi="Garamond" w:cs="Arial"/>
          <w:sz w:val="24"/>
          <w:szCs w:val="24"/>
        </w:rPr>
        <w:t xml:space="preserve"> </w:t>
      </w:r>
      <w:r w:rsidR="007A6A6C" w:rsidRPr="00214498">
        <w:rPr>
          <w:rFonts w:ascii="Garamond" w:hAnsi="Garamond" w:cs="Arial"/>
          <w:sz w:val="24"/>
          <w:szCs w:val="24"/>
        </w:rPr>
        <w:t xml:space="preserve">543 </w:t>
      </w:r>
      <w:r w:rsidR="003F012B" w:rsidRPr="00214498">
        <w:rPr>
          <w:rFonts w:ascii="Garamond" w:hAnsi="Garamond" w:cs="Arial"/>
          <w:sz w:val="24"/>
          <w:szCs w:val="24"/>
        </w:rPr>
        <w:t>proce</w:t>
      </w:r>
      <w:r w:rsidR="00EE7406" w:rsidRPr="00214498">
        <w:rPr>
          <w:rFonts w:ascii="Garamond" w:hAnsi="Garamond" w:cs="Arial"/>
          <w:sz w:val="24"/>
          <w:szCs w:val="24"/>
        </w:rPr>
        <w:t>ss</w:t>
      </w:r>
      <w:r w:rsidR="003F012B" w:rsidRPr="00214498">
        <w:rPr>
          <w:rFonts w:ascii="Garamond" w:hAnsi="Garamond" w:cs="Arial"/>
          <w:sz w:val="24"/>
          <w:szCs w:val="24"/>
        </w:rPr>
        <w:t>os</w:t>
      </w:r>
      <w:r w:rsidR="007A6A6C" w:rsidRPr="00214498">
        <w:rPr>
          <w:rFonts w:ascii="Garamond" w:hAnsi="Garamond" w:cs="Arial"/>
          <w:sz w:val="24"/>
          <w:szCs w:val="24"/>
        </w:rPr>
        <w:t xml:space="preserve">, </w:t>
      </w:r>
      <w:r w:rsidR="00EE7406" w:rsidRPr="00214498">
        <w:rPr>
          <w:rFonts w:ascii="Garamond" w:hAnsi="Garamond" w:cs="Arial"/>
          <w:sz w:val="24"/>
          <w:szCs w:val="24"/>
        </w:rPr>
        <w:t xml:space="preserve">apenas </w:t>
      </w:r>
      <w:r w:rsidR="007A6A6C" w:rsidRPr="00214498">
        <w:rPr>
          <w:rFonts w:ascii="Garamond" w:hAnsi="Garamond" w:cs="Arial"/>
          <w:sz w:val="24"/>
          <w:szCs w:val="24"/>
        </w:rPr>
        <w:t xml:space="preserve">32 casos se </w:t>
      </w:r>
      <w:r w:rsidR="00EE7406" w:rsidRPr="00214498">
        <w:rPr>
          <w:rFonts w:ascii="Garamond" w:hAnsi="Garamond" w:cs="Arial"/>
          <w:sz w:val="24"/>
          <w:szCs w:val="24"/>
        </w:rPr>
        <w:t xml:space="preserve">tenham </w:t>
      </w:r>
      <w:r w:rsidR="007A6A6C" w:rsidRPr="00214498">
        <w:rPr>
          <w:rFonts w:ascii="Garamond" w:hAnsi="Garamond" w:cs="Arial"/>
          <w:sz w:val="24"/>
          <w:szCs w:val="24"/>
        </w:rPr>
        <w:t xml:space="preserve">declarado </w:t>
      </w:r>
      <w:r w:rsidR="008651AF" w:rsidRPr="00214498">
        <w:rPr>
          <w:rFonts w:ascii="Garamond" w:hAnsi="Garamond" w:cs="Arial"/>
          <w:sz w:val="24"/>
          <w:szCs w:val="24"/>
        </w:rPr>
        <w:t>denúncia</w:t>
      </w:r>
      <w:r w:rsidR="007A6A6C" w:rsidRPr="00214498">
        <w:rPr>
          <w:rFonts w:ascii="Garamond" w:hAnsi="Garamond" w:cs="Arial"/>
          <w:sz w:val="24"/>
          <w:szCs w:val="24"/>
        </w:rPr>
        <w:t xml:space="preserve">s falsas. </w:t>
      </w:r>
      <w:r w:rsidR="00EE7406" w:rsidRPr="00214498">
        <w:rPr>
          <w:rFonts w:ascii="Garamond" w:hAnsi="Garamond" w:cs="Arial"/>
          <w:sz w:val="24"/>
          <w:szCs w:val="24"/>
        </w:rPr>
        <w:t>No entanto, o mito continu</w:t>
      </w:r>
      <w:r w:rsidR="007A6A6C" w:rsidRPr="00214498">
        <w:rPr>
          <w:rFonts w:ascii="Garamond" w:hAnsi="Garamond" w:cs="Arial"/>
          <w:sz w:val="24"/>
          <w:szCs w:val="24"/>
        </w:rPr>
        <w:t>a vivo.</w:t>
      </w:r>
    </w:p>
    <w:p w:rsidR="007A6A6C" w:rsidRPr="003A1174" w:rsidRDefault="007A6A6C" w:rsidP="008719D4">
      <w:pPr>
        <w:spacing w:after="0" w:line="240" w:lineRule="auto"/>
        <w:jc w:val="both"/>
        <w:rPr>
          <w:rFonts w:ascii="Garamond" w:hAnsi="Garamond"/>
          <w:sz w:val="24"/>
          <w:szCs w:val="24"/>
        </w:rPr>
      </w:pPr>
    </w:p>
    <w:p w:rsidR="007A6A6C" w:rsidRPr="00214498" w:rsidRDefault="00EE7406" w:rsidP="008719D4">
      <w:pPr>
        <w:spacing w:line="240" w:lineRule="auto"/>
        <w:jc w:val="both"/>
        <w:rPr>
          <w:rFonts w:ascii="Garamond" w:hAnsi="Garamond" w:cs="Arial"/>
          <w:sz w:val="24"/>
          <w:szCs w:val="24"/>
        </w:rPr>
      </w:pPr>
      <w:r w:rsidRPr="00214498">
        <w:rPr>
          <w:rFonts w:ascii="Garamond" w:hAnsi="Garamond" w:cs="Arial"/>
          <w:sz w:val="24"/>
          <w:szCs w:val="24"/>
        </w:rPr>
        <w:t>R</w:t>
      </w:r>
      <w:r w:rsidR="007A6A6C" w:rsidRPr="00214498">
        <w:rPr>
          <w:rFonts w:ascii="Garamond" w:hAnsi="Garamond" w:cs="Arial"/>
          <w:sz w:val="24"/>
          <w:szCs w:val="24"/>
        </w:rPr>
        <w:t>e</w:t>
      </w:r>
      <w:r w:rsidRPr="00214498">
        <w:rPr>
          <w:rFonts w:ascii="Garamond" w:hAnsi="Garamond" w:cs="Arial"/>
          <w:sz w:val="24"/>
          <w:szCs w:val="24"/>
        </w:rPr>
        <w:t>fere-se o</w:t>
      </w:r>
      <w:r w:rsidR="007A6A6C" w:rsidRPr="00214498">
        <w:rPr>
          <w:rFonts w:ascii="Garamond" w:hAnsi="Garamond" w:cs="Arial"/>
          <w:sz w:val="24"/>
          <w:szCs w:val="24"/>
        </w:rPr>
        <w:t xml:space="preserve"> fenómeno d</w:t>
      </w:r>
      <w:r w:rsidRPr="00214498">
        <w:rPr>
          <w:rFonts w:ascii="Garamond" w:hAnsi="Garamond" w:cs="Arial"/>
          <w:sz w:val="24"/>
          <w:szCs w:val="24"/>
        </w:rPr>
        <w:t xml:space="preserve">a retirada </w:t>
      </w:r>
      <w:r w:rsidR="007A6A6C" w:rsidRPr="00214498">
        <w:rPr>
          <w:rFonts w:ascii="Garamond" w:hAnsi="Garamond" w:cs="Arial"/>
          <w:sz w:val="24"/>
          <w:szCs w:val="24"/>
        </w:rPr>
        <w:t xml:space="preserve">de </w:t>
      </w:r>
      <w:r w:rsidR="008651AF" w:rsidRPr="00214498">
        <w:rPr>
          <w:rFonts w:ascii="Garamond" w:hAnsi="Garamond" w:cs="Arial"/>
          <w:sz w:val="24"/>
          <w:szCs w:val="24"/>
        </w:rPr>
        <w:t>denúncia</w:t>
      </w:r>
      <w:r w:rsidR="007A6A6C" w:rsidRPr="00214498">
        <w:rPr>
          <w:rFonts w:ascii="Garamond" w:hAnsi="Garamond" w:cs="Arial"/>
          <w:sz w:val="24"/>
          <w:szCs w:val="24"/>
        </w:rPr>
        <w:t xml:space="preserve">s. </w:t>
      </w:r>
      <w:r w:rsidRPr="00214498">
        <w:rPr>
          <w:rFonts w:ascii="Garamond" w:hAnsi="Garamond" w:cs="Arial"/>
          <w:sz w:val="24"/>
          <w:szCs w:val="24"/>
        </w:rPr>
        <w:t>O</w:t>
      </w:r>
      <w:r w:rsidR="007A6A6C" w:rsidRPr="00214498">
        <w:rPr>
          <w:rFonts w:ascii="Garamond" w:hAnsi="Garamond" w:cs="Arial"/>
          <w:sz w:val="24"/>
          <w:szCs w:val="24"/>
        </w:rPr>
        <w:t xml:space="preserve"> número de </w:t>
      </w:r>
      <w:r w:rsidRPr="00214498">
        <w:rPr>
          <w:rFonts w:ascii="Garamond" w:hAnsi="Garamond" w:cs="Arial"/>
          <w:sz w:val="24"/>
          <w:szCs w:val="24"/>
        </w:rPr>
        <w:t xml:space="preserve">requerimentos </w:t>
      </w:r>
      <w:r w:rsidR="007A6A6C" w:rsidRPr="00214498">
        <w:rPr>
          <w:rFonts w:ascii="Garamond" w:hAnsi="Garamond" w:cs="Arial"/>
          <w:sz w:val="24"/>
          <w:szCs w:val="24"/>
        </w:rPr>
        <w:t xml:space="preserve">de </w:t>
      </w:r>
      <w:r w:rsidR="00E150E9" w:rsidRPr="00214498">
        <w:rPr>
          <w:rFonts w:ascii="Garamond" w:hAnsi="Garamond" w:cs="Arial"/>
          <w:sz w:val="24"/>
          <w:szCs w:val="24"/>
        </w:rPr>
        <w:t>acusação</w:t>
      </w:r>
      <w:r w:rsidR="00214498" w:rsidRPr="00214498">
        <w:rPr>
          <w:rFonts w:ascii="Garamond" w:hAnsi="Garamond" w:cs="Arial"/>
          <w:sz w:val="24"/>
          <w:szCs w:val="24"/>
        </w:rPr>
        <w:t>,</w:t>
      </w:r>
      <w:r w:rsidR="007A6A6C" w:rsidRPr="00214498">
        <w:rPr>
          <w:rFonts w:ascii="Garamond" w:hAnsi="Garamond" w:cs="Arial"/>
          <w:sz w:val="24"/>
          <w:szCs w:val="24"/>
        </w:rPr>
        <w:t xml:space="preserve"> retirados p</w:t>
      </w:r>
      <w:r w:rsidRPr="00214498">
        <w:rPr>
          <w:rFonts w:ascii="Garamond" w:hAnsi="Garamond" w:cs="Arial"/>
          <w:sz w:val="24"/>
          <w:szCs w:val="24"/>
        </w:rPr>
        <w:t>e</w:t>
      </w:r>
      <w:r w:rsidR="007A6A6C" w:rsidRPr="00214498">
        <w:rPr>
          <w:rFonts w:ascii="Garamond" w:hAnsi="Garamond" w:cs="Arial"/>
          <w:sz w:val="24"/>
          <w:szCs w:val="24"/>
        </w:rPr>
        <w:t xml:space="preserve">las </w:t>
      </w:r>
      <w:r w:rsidR="00054EE0" w:rsidRPr="00214498">
        <w:rPr>
          <w:rFonts w:ascii="Garamond" w:hAnsi="Garamond" w:cs="Arial"/>
          <w:sz w:val="24"/>
          <w:szCs w:val="24"/>
        </w:rPr>
        <w:t>mulheres</w:t>
      </w:r>
      <w:r w:rsidR="00214498" w:rsidRPr="00214498">
        <w:rPr>
          <w:rFonts w:ascii="Garamond" w:hAnsi="Garamond" w:cs="Arial"/>
          <w:sz w:val="24"/>
          <w:szCs w:val="24"/>
        </w:rPr>
        <w:t>,</w:t>
      </w:r>
      <w:r w:rsidR="007A6A6C" w:rsidRPr="00214498">
        <w:rPr>
          <w:rFonts w:ascii="Garamond" w:hAnsi="Garamond" w:cs="Arial"/>
          <w:sz w:val="24"/>
          <w:szCs w:val="24"/>
        </w:rPr>
        <w:t xml:space="preserve"> </w:t>
      </w:r>
      <w:r w:rsidR="0017186E" w:rsidRPr="00214498">
        <w:rPr>
          <w:rFonts w:ascii="Garamond" w:hAnsi="Garamond" w:cs="Arial"/>
          <w:sz w:val="24"/>
          <w:szCs w:val="24"/>
        </w:rPr>
        <w:t>alcan</w:t>
      </w:r>
      <w:r w:rsidRPr="00214498">
        <w:rPr>
          <w:rFonts w:ascii="Garamond" w:hAnsi="Garamond" w:cs="Arial"/>
          <w:sz w:val="24"/>
          <w:szCs w:val="24"/>
        </w:rPr>
        <w:t xml:space="preserve">ça </w:t>
      </w:r>
      <w:r w:rsidR="0017186E" w:rsidRPr="00214498">
        <w:rPr>
          <w:rFonts w:ascii="Garamond" w:hAnsi="Garamond" w:cs="Arial"/>
          <w:sz w:val="24"/>
          <w:szCs w:val="24"/>
        </w:rPr>
        <w:t>os</w:t>
      </w:r>
      <w:r w:rsidRPr="00214498">
        <w:rPr>
          <w:rFonts w:ascii="Garamond" w:hAnsi="Garamond" w:cs="Arial"/>
          <w:sz w:val="24"/>
          <w:szCs w:val="24"/>
        </w:rPr>
        <w:t xml:space="preserve"> 243 </w:t>
      </w:r>
      <w:r w:rsidR="007A6A6C" w:rsidRPr="00214498">
        <w:rPr>
          <w:rFonts w:ascii="Garamond" w:hAnsi="Garamond" w:cs="Arial"/>
          <w:sz w:val="24"/>
          <w:szCs w:val="24"/>
        </w:rPr>
        <w:t>o que d</w:t>
      </w:r>
      <w:r w:rsidRPr="00214498">
        <w:rPr>
          <w:rFonts w:ascii="Garamond" w:hAnsi="Garamond" w:cs="Arial"/>
          <w:sz w:val="24"/>
          <w:szCs w:val="24"/>
        </w:rPr>
        <w:t>á um</w:t>
      </w:r>
      <w:r w:rsidR="0017186E" w:rsidRPr="00214498">
        <w:rPr>
          <w:rFonts w:ascii="Garamond" w:hAnsi="Garamond" w:cs="Arial"/>
          <w:sz w:val="24"/>
          <w:szCs w:val="24"/>
        </w:rPr>
        <w:t xml:space="preserve">a </w:t>
      </w:r>
      <w:r w:rsidR="004E3A1A" w:rsidRPr="00214498">
        <w:rPr>
          <w:rFonts w:ascii="Garamond" w:hAnsi="Garamond" w:cs="Arial"/>
          <w:sz w:val="24"/>
          <w:szCs w:val="24"/>
        </w:rPr>
        <w:t>ideia</w:t>
      </w:r>
      <w:r w:rsidR="007A6A6C" w:rsidRPr="00214498">
        <w:rPr>
          <w:rFonts w:ascii="Garamond" w:hAnsi="Garamond" w:cs="Arial"/>
          <w:sz w:val="24"/>
          <w:szCs w:val="24"/>
        </w:rPr>
        <w:t xml:space="preserve"> da </w:t>
      </w:r>
      <w:r w:rsidR="0017447A" w:rsidRPr="00214498">
        <w:rPr>
          <w:rFonts w:ascii="Garamond" w:hAnsi="Garamond" w:cs="Arial"/>
          <w:sz w:val="24"/>
          <w:szCs w:val="24"/>
        </w:rPr>
        <w:t>situação</w:t>
      </w:r>
      <w:r w:rsidR="007A6A6C" w:rsidRPr="00214498">
        <w:rPr>
          <w:rFonts w:ascii="Garamond" w:hAnsi="Garamond" w:cs="Arial"/>
          <w:sz w:val="24"/>
          <w:szCs w:val="24"/>
        </w:rPr>
        <w:t xml:space="preserve"> </w:t>
      </w:r>
      <w:r w:rsidR="00214498" w:rsidRPr="00214498">
        <w:rPr>
          <w:rFonts w:ascii="Garamond" w:hAnsi="Garamond" w:cs="Arial"/>
          <w:sz w:val="24"/>
          <w:szCs w:val="24"/>
        </w:rPr>
        <w:t xml:space="preserve">em que </w:t>
      </w:r>
      <w:r w:rsidR="007A6A6C" w:rsidRPr="00214498">
        <w:rPr>
          <w:rFonts w:ascii="Garamond" w:hAnsi="Garamond" w:cs="Arial"/>
          <w:sz w:val="24"/>
          <w:szCs w:val="24"/>
        </w:rPr>
        <w:t xml:space="preserve">as </w:t>
      </w:r>
      <w:r w:rsidR="00054EE0" w:rsidRPr="00214498">
        <w:rPr>
          <w:rFonts w:ascii="Garamond" w:hAnsi="Garamond" w:cs="Arial"/>
          <w:sz w:val="24"/>
          <w:szCs w:val="24"/>
        </w:rPr>
        <w:t>mulheres</w:t>
      </w:r>
      <w:r w:rsidR="00214498" w:rsidRPr="00214498">
        <w:rPr>
          <w:rFonts w:ascii="Garamond" w:hAnsi="Garamond" w:cs="Arial"/>
          <w:sz w:val="24"/>
          <w:szCs w:val="24"/>
        </w:rPr>
        <w:t xml:space="preserve"> se encontram</w:t>
      </w:r>
      <w:r w:rsidRPr="00214498">
        <w:rPr>
          <w:rFonts w:ascii="Garamond" w:hAnsi="Garamond" w:cs="Arial"/>
          <w:sz w:val="24"/>
          <w:szCs w:val="24"/>
        </w:rPr>
        <w:t xml:space="preserve"> </w:t>
      </w:r>
      <w:r w:rsidR="008D2F69" w:rsidRPr="00214498">
        <w:rPr>
          <w:rFonts w:ascii="Garamond" w:hAnsi="Garamond" w:cs="Arial"/>
          <w:sz w:val="24"/>
          <w:szCs w:val="24"/>
        </w:rPr>
        <w:t xml:space="preserve">quando denunciam </w:t>
      </w:r>
      <w:r w:rsidR="007407BD" w:rsidRPr="00214498">
        <w:rPr>
          <w:rFonts w:ascii="Garamond" w:hAnsi="Garamond" w:cs="Arial"/>
          <w:sz w:val="24"/>
          <w:szCs w:val="24"/>
        </w:rPr>
        <w:t>estes</w:t>
      </w:r>
      <w:r w:rsidR="007A6A6C" w:rsidRPr="00214498">
        <w:rPr>
          <w:rFonts w:ascii="Garamond" w:hAnsi="Garamond" w:cs="Arial"/>
          <w:sz w:val="24"/>
          <w:szCs w:val="24"/>
        </w:rPr>
        <w:t xml:space="preserve"> delitos, </w:t>
      </w:r>
      <w:r w:rsidRPr="00214498">
        <w:rPr>
          <w:rFonts w:ascii="Garamond" w:hAnsi="Garamond" w:cs="Arial"/>
          <w:sz w:val="24"/>
          <w:szCs w:val="24"/>
        </w:rPr>
        <w:t>apesar d</w:t>
      </w:r>
      <w:r w:rsidR="007A6A6C" w:rsidRPr="00214498">
        <w:rPr>
          <w:rFonts w:ascii="Garamond" w:hAnsi="Garamond" w:cs="Arial"/>
          <w:sz w:val="24"/>
          <w:szCs w:val="24"/>
        </w:rPr>
        <w:t xml:space="preserve">a </w:t>
      </w:r>
      <w:r w:rsidRPr="00214498">
        <w:rPr>
          <w:rFonts w:ascii="Garamond" w:hAnsi="Garamond" w:cs="Arial"/>
          <w:sz w:val="24"/>
          <w:szCs w:val="24"/>
        </w:rPr>
        <w:t>vitimização</w:t>
      </w:r>
      <w:r w:rsidR="007A6A6C" w:rsidRPr="00214498">
        <w:rPr>
          <w:rFonts w:ascii="Garamond" w:hAnsi="Garamond" w:cs="Arial"/>
          <w:sz w:val="24"/>
          <w:szCs w:val="24"/>
        </w:rPr>
        <w:t xml:space="preserve"> </w:t>
      </w:r>
      <w:r w:rsidRPr="00214498">
        <w:rPr>
          <w:rFonts w:ascii="Garamond" w:hAnsi="Garamond" w:cs="Arial"/>
          <w:sz w:val="24"/>
          <w:szCs w:val="24"/>
        </w:rPr>
        <w:t>secundária</w:t>
      </w:r>
      <w:r w:rsidR="007A6A6C" w:rsidRPr="00214498">
        <w:rPr>
          <w:rFonts w:ascii="Garamond" w:hAnsi="Garamond" w:cs="Arial"/>
          <w:sz w:val="24"/>
          <w:szCs w:val="24"/>
        </w:rPr>
        <w:t xml:space="preserve"> que </w:t>
      </w:r>
      <w:r w:rsidR="00A862C2" w:rsidRPr="00214498">
        <w:rPr>
          <w:rFonts w:ascii="Garamond" w:hAnsi="Garamond" w:cs="Arial"/>
          <w:sz w:val="24"/>
          <w:szCs w:val="24"/>
        </w:rPr>
        <w:t>deve</w:t>
      </w:r>
      <w:r w:rsidRPr="00214498">
        <w:rPr>
          <w:rFonts w:ascii="Garamond" w:hAnsi="Garamond" w:cs="Arial"/>
          <w:sz w:val="24"/>
          <w:szCs w:val="24"/>
        </w:rPr>
        <w:t>m</w:t>
      </w:r>
      <w:r w:rsidR="007A6A6C" w:rsidRPr="00214498">
        <w:rPr>
          <w:rFonts w:ascii="Garamond" w:hAnsi="Garamond" w:cs="Arial"/>
          <w:sz w:val="24"/>
          <w:szCs w:val="24"/>
        </w:rPr>
        <w:t xml:space="preserve"> </w:t>
      </w:r>
      <w:r w:rsidRPr="00214498">
        <w:rPr>
          <w:rFonts w:ascii="Garamond" w:hAnsi="Garamond" w:cs="Arial"/>
          <w:sz w:val="24"/>
          <w:szCs w:val="24"/>
        </w:rPr>
        <w:t>sofrer</w:t>
      </w:r>
      <w:r w:rsidR="007A6A6C" w:rsidRPr="00214498">
        <w:rPr>
          <w:rFonts w:ascii="Garamond" w:hAnsi="Garamond" w:cs="Arial"/>
          <w:sz w:val="24"/>
          <w:szCs w:val="24"/>
        </w:rPr>
        <w:t xml:space="preserve"> </w:t>
      </w:r>
      <w:r w:rsidRPr="00214498">
        <w:rPr>
          <w:rFonts w:ascii="Garamond" w:hAnsi="Garamond" w:cs="Arial"/>
          <w:sz w:val="24"/>
          <w:szCs w:val="24"/>
        </w:rPr>
        <w:t xml:space="preserve">no </w:t>
      </w:r>
      <w:r w:rsidR="007A6A6C" w:rsidRPr="00214498">
        <w:rPr>
          <w:rFonts w:ascii="Garamond" w:hAnsi="Garamond" w:cs="Arial"/>
          <w:sz w:val="24"/>
          <w:szCs w:val="24"/>
        </w:rPr>
        <w:t>proce</w:t>
      </w:r>
      <w:r w:rsidRPr="00214498">
        <w:rPr>
          <w:rFonts w:ascii="Garamond" w:hAnsi="Garamond" w:cs="Arial"/>
          <w:sz w:val="24"/>
          <w:szCs w:val="24"/>
        </w:rPr>
        <w:t xml:space="preserve">sso </w:t>
      </w:r>
      <w:r w:rsidR="00497503" w:rsidRPr="00214498">
        <w:rPr>
          <w:rFonts w:ascii="Garamond" w:hAnsi="Garamond" w:cs="Arial"/>
          <w:sz w:val="24"/>
          <w:szCs w:val="24"/>
        </w:rPr>
        <w:t>e</w:t>
      </w:r>
      <w:r w:rsidRPr="00214498">
        <w:rPr>
          <w:rFonts w:ascii="Garamond" w:hAnsi="Garamond" w:cs="Arial"/>
          <w:sz w:val="24"/>
          <w:szCs w:val="24"/>
        </w:rPr>
        <w:t xml:space="preserve"> d</w:t>
      </w:r>
      <w:r w:rsidR="007A6A6C" w:rsidRPr="00214498">
        <w:rPr>
          <w:rFonts w:ascii="Garamond" w:hAnsi="Garamond" w:cs="Arial"/>
          <w:sz w:val="24"/>
          <w:szCs w:val="24"/>
        </w:rPr>
        <w:t xml:space="preserve">a falta de </w:t>
      </w:r>
      <w:r w:rsidR="00D15AFF" w:rsidRPr="00214498">
        <w:rPr>
          <w:rFonts w:ascii="Garamond" w:hAnsi="Garamond" w:cs="Arial"/>
          <w:sz w:val="24"/>
          <w:szCs w:val="24"/>
        </w:rPr>
        <w:t>segurança</w:t>
      </w:r>
      <w:r w:rsidR="007A6A6C" w:rsidRPr="00214498">
        <w:rPr>
          <w:rFonts w:ascii="Garamond" w:hAnsi="Garamond" w:cs="Arial"/>
          <w:sz w:val="24"/>
          <w:szCs w:val="24"/>
        </w:rPr>
        <w:t xml:space="preserve"> que se l</w:t>
      </w:r>
      <w:r w:rsidRPr="00214498">
        <w:rPr>
          <w:rFonts w:ascii="Garamond" w:hAnsi="Garamond" w:cs="Arial"/>
          <w:sz w:val="24"/>
          <w:szCs w:val="24"/>
        </w:rPr>
        <w:t>h</w:t>
      </w:r>
      <w:r w:rsidR="007A6A6C" w:rsidRPr="00214498">
        <w:rPr>
          <w:rFonts w:ascii="Garamond" w:hAnsi="Garamond" w:cs="Arial"/>
          <w:sz w:val="24"/>
          <w:szCs w:val="24"/>
        </w:rPr>
        <w:t>es presta</w:t>
      </w:r>
      <w:r w:rsidR="0017186E" w:rsidRPr="00214498">
        <w:rPr>
          <w:rFonts w:ascii="Garamond" w:hAnsi="Garamond" w:cs="Arial"/>
          <w:sz w:val="24"/>
          <w:szCs w:val="24"/>
        </w:rPr>
        <w:t>,</w:t>
      </w:r>
      <w:r w:rsidR="007A6A6C" w:rsidRPr="00214498">
        <w:rPr>
          <w:rFonts w:ascii="Garamond" w:hAnsi="Garamond" w:cs="Arial"/>
          <w:sz w:val="24"/>
          <w:szCs w:val="24"/>
        </w:rPr>
        <w:t xml:space="preserve"> n</w:t>
      </w:r>
      <w:r w:rsidRPr="00214498">
        <w:rPr>
          <w:rFonts w:ascii="Garamond" w:hAnsi="Garamond" w:cs="Arial"/>
          <w:sz w:val="24"/>
          <w:szCs w:val="24"/>
        </w:rPr>
        <w:t>ã</w:t>
      </w:r>
      <w:r w:rsidR="007A6A6C" w:rsidRPr="00214498">
        <w:rPr>
          <w:rFonts w:ascii="Garamond" w:hAnsi="Garamond" w:cs="Arial"/>
          <w:sz w:val="24"/>
          <w:szCs w:val="24"/>
        </w:rPr>
        <w:t>o s</w:t>
      </w:r>
      <w:r w:rsidRPr="00214498">
        <w:rPr>
          <w:rFonts w:ascii="Garamond" w:hAnsi="Garamond" w:cs="Arial"/>
          <w:sz w:val="24"/>
          <w:szCs w:val="24"/>
        </w:rPr>
        <w:t xml:space="preserve">ó </w:t>
      </w:r>
      <w:r w:rsidR="007A6A6C" w:rsidRPr="00214498">
        <w:rPr>
          <w:rFonts w:ascii="Garamond" w:hAnsi="Garamond" w:cs="Arial"/>
          <w:sz w:val="24"/>
          <w:szCs w:val="24"/>
        </w:rPr>
        <w:t>p</w:t>
      </w:r>
      <w:r w:rsidRPr="00214498">
        <w:rPr>
          <w:rFonts w:ascii="Garamond" w:hAnsi="Garamond" w:cs="Arial"/>
          <w:sz w:val="24"/>
          <w:szCs w:val="24"/>
        </w:rPr>
        <w:t>e</w:t>
      </w:r>
      <w:r w:rsidR="007A6A6C" w:rsidRPr="00214498">
        <w:rPr>
          <w:rFonts w:ascii="Garamond" w:hAnsi="Garamond" w:cs="Arial"/>
          <w:sz w:val="24"/>
          <w:szCs w:val="24"/>
        </w:rPr>
        <w:t xml:space="preserve">la </w:t>
      </w:r>
      <w:r w:rsidR="00FB09CA" w:rsidRPr="00214498">
        <w:rPr>
          <w:rFonts w:ascii="Garamond" w:hAnsi="Garamond" w:cs="Arial"/>
          <w:sz w:val="24"/>
          <w:szCs w:val="24"/>
        </w:rPr>
        <w:t>administração</w:t>
      </w:r>
      <w:r w:rsidR="007A6A6C" w:rsidRPr="00214498">
        <w:rPr>
          <w:rFonts w:ascii="Garamond" w:hAnsi="Garamond" w:cs="Arial"/>
          <w:sz w:val="24"/>
          <w:szCs w:val="24"/>
        </w:rPr>
        <w:t xml:space="preserve"> de </w:t>
      </w:r>
      <w:r w:rsidR="00FC1F7F" w:rsidRPr="00214498">
        <w:rPr>
          <w:rFonts w:ascii="Garamond" w:hAnsi="Garamond" w:cs="Arial"/>
          <w:sz w:val="24"/>
          <w:szCs w:val="24"/>
        </w:rPr>
        <w:t>justiça</w:t>
      </w:r>
      <w:r w:rsidR="007C474E" w:rsidRPr="00214498">
        <w:rPr>
          <w:rFonts w:ascii="Garamond" w:hAnsi="Garamond" w:cs="Arial"/>
          <w:sz w:val="24"/>
          <w:szCs w:val="24"/>
        </w:rPr>
        <w:t>,</w:t>
      </w:r>
      <w:r w:rsidR="007A6A6C" w:rsidRPr="00214498">
        <w:rPr>
          <w:rFonts w:ascii="Garamond" w:hAnsi="Garamond" w:cs="Arial"/>
          <w:sz w:val="24"/>
          <w:szCs w:val="24"/>
        </w:rPr>
        <w:t xml:space="preserve"> </w:t>
      </w:r>
      <w:r w:rsidRPr="00214498">
        <w:rPr>
          <w:rFonts w:ascii="Garamond" w:hAnsi="Garamond" w:cs="Arial"/>
          <w:sz w:val="24"/>
          <w:szCs w:val="24"/>
        </w:rPr>
        <w:t>mas também</w:t>
      </w:r>
      <w:r w:rsidR="007C474E" w:rsidRPr="00214498">
        <w:rPr>
          <w:rFonts w:ascii="Garamond" w:hAnsi="Garamond" w:cs="Arial"/>
          <w:sz w:val="24"/>
          <w:szCs w:val="24"/>
        </w:rPr>
        <w:t>,</w:t>
      </w:r>
      <w:r w:rsidRPr="00214498">
        <w:rPr>
          <w:rFonts w:ascii="Garamond" w:hAnsi="Garamond" w:cs="Arial"/>
          <w:sz w:val="24"/>
          <w:szCs w:val="24"/>
        </w:rPr>
        <w:t xml:space="preserve"> pela </w:t>
      </w:r>
      <w:r w:rsidR="0017186E" w:rsidRPr="00214498">
        <w:rPr>
          <w:rFonts w:ascii="Garamond" w:hAnsi="Garamond" w:cs="Arial"/>
          <w:sz w:val="24"/>
          <w:szCs w:val="24"/>
        </w:rPr>
        <w:t>esca</w:t>
      </w:r>
      <w:r w:rsidRPr="00214498">
        <w:rPr>
          <w:rFonts w:ascii="Garamond" w:hAnsi="Garamond" w:cs="Arial"/>
          <w:sz w:val="24"/>
          <w:szCs w:val="24"/>
        </w:rPr>
        <w:t>s</w:t>
      </w:r>
      <w:r w:rsidR="0017186E" w:rsidRPr="00214498">
        <w:rPr>
          <w:rFonts w:ascii="Garamond" w:hAnsi="Garamond" w:cs="Arial"/>
          <w:sz w:val="24"/>
          <w:szCs w:val="24"/>
        </w:rPr>
        <w:t>sez</w:t>
      </w:r>
      <w:r w:rsidR="007A6A6C" w:rsidRPr="00214498">
        <w:rPr>
          <w:rFonts w:ascii="Garamond" w:hAnsi="Garamond" w:cs="Arial"/>
          <w:sz w:val="24"/>
          <w:szCs w:val="24"/>
        </w:rPr>
        <w:t xml:space="preserve"> de recursos que se </w:t>
      </w:r>
      <w:r w:rsidRPr="00214498">
        <w:rPr>
          <w:rFonts w:ascii="Garamond" w:hAnsi="Garamond" w:cs="Arial"/>
          <w:sz w:val="24"/>
          <w:szCs w:val="24"/>
        </w:rPr>
        <w:t>empregam</w:t>
      </w:r>
      <w:r w:rsidR="007A6A6C" w:rsidRPr="00214498">
        <w:rPr>
          <w:rFonts w:ascii="Garamond" w:hAnsi="Garamond" w:cs="Arial"/>
          <w:sz w:val="24"/>
          <w:szCs w:val="24"/>
        </w:rPr>
        <w:t>.</w:t>
      </w:r>
    </w:p>
    <w:p w:rsidR="007A6A6C" w:rsidRPr="003A1174" w:rsidRDefault="00EE7406" w:rsidP="008719D4">
      <w:pPr>
        <w:spacing w:line="240" w:lineRule="auto"/>
        <w:jc w:val="both"/>
        <w:rPr>
          <w:rFonts w:ascii="Garamond" w:hAnsi="Garamond" w:cs="Arial"/>
          <w:sz w:val="24"/>
          <w:szCs w:val="24"/>
        </w:rPr>
      </w:pPr>
      <w:r w:rsidRPr="00214498">
        <w:rPr>
          <w:rFonts w:ascii="Garamond" w:hAnsi="Garamond" w:cs="Arial"/>
          <w:sz w:val="24"/>
          <w:szCs w:val="24"/>
        </w:rPr>
        <w:t xml:space="preserve">Embora seja verdade que houve um aumento </w:t>
      </w:r>
      <w:r w:rsidRPr="00214498">
        <w:rPr>
          <w:rFonts w:ascii="Garamond" w:hAnsi="Garamond" w:cs="Arial"/>
          <w:bCs/>
          <w:sz w:val="24"/>
          <w:szCs w:val="24"/>
        </w:rPr>
        <w:t>considerável</w:t>
      </w:r>
      <w:r w:rsidR="007A6A6C" w:rsidRPr="00214498">
        <w:rPr>
          <w:rFonts w:ascii="Garamond" w:hAnsi="Garamond" w:cs="Arial"/>
          <w:bCs/>
          <w:sz w:val="24"/>
          <w:szCs w:val="24"/>
        </w:rPr>
        <w:t xml:space="preserve"> </w:t>
      </w:r>
      <w:r w:rsidR="00214498">
        <w:rPr>
          <w:rFonts w:ascii="Garamond" w:hAnsi="Garamond" w:cs="Arial"/>
          <w:bCs/>
          <w:sz w:val="24"/>
          <w:szCs w:val="24"/>
        </w:rPr>
        <w:t>do número de mulheres</w:t>
      </w:r>
      <w:r w:rsidR="007A6A6C" w:rsidRPr="00214498">
        <w:rPr>
          <w:rFonts w:ascii="Garamond" w:hAnsi="Garamond" w:cs="Arial"/>
          <w:bCs/>
          <w:sz w:val="24"/>
          <w:szCs w:val="24"/>
        </w:rPr>
        <w:t xml:space="preserve"> qu</w:t>
      </w:r>
      <w:r w:rsidRPr="00214498">
        <w:rPr>
          <w:rFonts w:ascii="Garamond" w:hAnsi="Garamond" w:cs="Arial"/>
          <w:bCs/>
          <w:sz w:val="24"/>
          <w:szCs w:val="24"/>
        </w:rPr>
        <w:t>e</w:t>
      </w:r>
      <w:r w:rsidR="007A6A6C" w:rsidRPr="00214498">
        <w:rPr>
          <w:rFonts w:ascii="Garamond" w:hAnsi="Garamond" w:cs="Arial"/>
          <w:bCs/>
          <w:sz w:val="24"/>
          <w:szCs w:val="24"/>
        </w:rPr>
        <w:t xml:space="preserve"> n</w:t>
      </w:r>
      <w:r w:rsidRPr="00214498">
        <w:rPr>
          <w:rFonts w:ascii="Garamond" w:hAnsi="Garamond" w:cs="Arial"/>
          <w:bCs/>
          <w:sz w:val="24"/>
          <w:szCs w:val="24"/>
        </w:rPr>
        <w:t>ã</w:t>
      </w:r>
      <w:r w:rsidR="007A6A6C" w:rsidRPr="00214498">
        <w:rPr>
          <w:rFonts w:ascii="Garamond" w:hAnsi="Garamond" w:cs="Arial"/>
          <w:bCs/>
          <w:sz w:val="24"/>
          <w:szCs w:val="24"/>
        </w:rPr>
        <w:t>o denuncia</w:t>
      </w:r>
      <w:r w:rsidR="0017186E" w:rsidRPr="00214498">
        <w:rPr>
          <w:rFonts w:ascii="Garamond" w:hAnsi="Garamond" w:cs="Arial"/>
          <w:bCs/>
          <w:sz w:val="24"/>
          <w:szCs w:val="24"/>
        </w:rPr>
        <w:t>,</w:t>
      </w:r>
      <w:r w:rsidR="007A6A6C" w:rsidRPr="00214498">
        <w:rPr>
          <w:rFonts w:ascii="Garamond" w:hAnsi="Garamond" w:cs="Arial"/>
          <w:bCs/>
          <w:sz w:val="24"/>
          <w:szCs w:val="24"/>
        </w:rPr>
        <w:t xml:space="preserve"> que</w:t>
      </w:r>
      <w:r w:rsidRPr="00214498">
        <w:rPr>
          <w:rFonts w:ascii="Garamond" w:hAnsi="Garamond" w:cs="Arial"/>
          <w:bCs/>
          <w:sz w:val="24"/>
          <w:szCs w:val="24"/>
        </w:rPr>
        <w:t xml:space="preserve"> alcançou os preocupantes</w:t>
      </w:r>
      <w:r w:rsidR="007A6A6C" w:rsidRPr="00214498">
        <w:rPr>
          <w:rFonts w:ascii="Garamond" w:hAnsi="Garamond" w:cs="Arial"/>
          <w:bCs/>
          <w:sz w:val="24"/>
          <w:szCs w:val="24"/>
        </w:rPr>
        <w:t xml:space="preserve"> 70%.</w:t>
      </w:r>
    </w:p>
    <w:p w:rsidR="007A6A6C" w:rsidRPr="003A1174" w:rsidRDefault="001F2F8B" w:rsidP="008719D4">
      <w:pPr>
        <w:spacing w:line="240" w:lineRule="auto"/>
        <w:jc w:val="both"/>
        <w:rPr>
          <w:rFonts w:ascii="Garamond" w:hAnsi="Garamond" w:cs="Arial"/>
          <w:sz w:val="24"/>
          <w:szCs w:val="24"/>
        </w:rPr>
      </w:pPr>
      <w:r w:rsidRPr="003A1174">
        <w:rPr>
          <w:rFonts w:ascii="Garamond" w:hAnsi="Garamond" w:cs="Arial"/>
          <w:sz w:val="24"/>
          <w:szCs w:val="24"/>
        </w:rPr>
        <w:t>Outro</w:t>
      </w:r>
      <w:r w:rsidR="00EE7406" w:rsidRPr="003A1174">
        <w:rPr>
          <w:rFonts w:ascii="Garamond" w:hAnsi="Garamond" w:cs="Arial"/>
          <w:sz w:val="24"/>
          <w:szCs w:val="24"/>
        </w:rPr>
        <w:t xml:space="preserve"> dado</w:t>
      </w:r>
      <w:r w:rsidR="007A6A6C" w:rsidRPr="003A1174">
        <w:rPr>
          <w:rFonts w:ascii="Garamond" w:hAnsi="Garamond" w:cs="Arial"/>
          <w:sz w:val="24"/>
          <w:szCs w:val="24"/>
        </w:rPr>
        <w:t xml:space="preserve"> inquietante </w:t>
      </w:r>
      <w:r w:rsidR="00EE7406" w:rsidRPr="003A1174">
        <w:rPr>
          <w:rFonts w:ascii="Garamond" w:hAnsi="Garamond" w:cs="Arial"/>
          <w:sz w:val="24"/>
          <w:szCs w:val="24"/>
        </w:rPr>
        <w:t xml:space="preserve">é o </w:t>
      </w:r>
      <w:r w:rsidR="008A3DA2" w:rsidRPr="003A1174">
        <w:rPr>
          <w:rFonts w:ascii="Garamond" w:hAnsi="Garamond" w:cs="Arial"/>
          <w:sz w:val="24"/>
          <w:szCs w:val="24"/>
        </w:rPr>
        <w:t>do</w:t>
      </w:r>
      <w:r w:rsidR="007A6A6C" w:rsidRPr="003A1174">
        <w:rPr>
          <w:rFonts w:ascii="Garamond" w:hAnsi="Garamond" w:cs="Arial"/>
          <w:sz w:val="24"/>
          <w:szCs w:val="24"/>
        </w:rPr>
        <w:t xml:space="preserve"> protocolo médico-forense de </w:t>
      </w:r>
      <w:r w:rsidR="00EE7406" w:rsidRPr="003A1174">
        <w:rPr>
          <w:rFonts w:ascii="Garamond" w:hAnsi="Garamond" w:cs="Arial"/>
          <w:sz w:val="24"/>
          <w:szCs w:val="24"/>
        </w:rPr>
        <w:t>avaliação</w:t>
      </w:r>
      <w:r w:rsidR="007A6A6C" w:rsidRPr="003A1174">
        <w:rPr>
          <w:rFonts w:ascii="Garamond" w:hAnsi="Garamond" w:cs="Arial"/>
          <w:sz w:val="24"/>
          <w:szCs w:val="24"/>
        </w:rPr>
        <w:t xml:space="preserve"> urgente </w:t>
      </w:r>
      <w:r w:rsidR="008A3DA2" w:rsidRPr="003A1174">
        <w:rPr>
          <w:rFonts w:ascii="Garamond" w:hAnsi="Garamond" w:cs="Arial"/>
          <w:sz w:val="24"/>
          <w:szCs w:val="24"/>
        </w:rPr>
        <w:t>do</w:t>
      </w:r>
      <w:r w:rsidR="007A6A6C" w:rsidRPr="003A1174">
        <w:rPr>
          <w:rFonts w:ascii="Garamond" w:hAnsi="Garamond" w:cs="Arial"/>
          <w:sz w:val="24"/>
          <w:szCs w:val="24"/>
        </w:rPr>
        <w:t xml:space="preserve"> </w:t>
      </w:r>
      <w:r w:rsidR="008651AF" w:rsidRPr="003A1174">
        <w:rPr>
          <w:rFonts w:ascii="Garamond" w:hAnsi="Garamond" w:cs="Arial"/>
          <w:sz w:val="24"/>
          <w:szCs w:val="24"/>
        </w:rPr>
        <w:t>risco</w:t>
      </w:r>
      <w:r w:rsidR="007A6A6C" w:rsidRPr="003A1174">
        <w:rPr>
          <w:rFonts w:ascii="Garamond" w:hAnsi="Garamond" w:cs="Arial"/>
          <w:sz w:val="24"/>
          <w:szCs w:val="24"/>
        </w:rPr>
        <w:t xml:space="preserve">, </w:t>
      </w:r>
      <w:r w:rsidRPr="003A1174">
        <w:rPr>
          <w:rFonts w:ascii="Garamond" w:hAnsi="Garamond" w:cs="Arial"/>
          <w:sz w:val="24"/>
          <w:szCs w:val="24"/>
        </w:rPr>
        <w:t>outro</w:t>
      </w:r>
      <w:r w:rsidR="007A6A6C" w:rsidRPr="003A1174">
        <w:rPr>
          <w:rFonts w:ascii="Garamond" w:hAnsi="Garamond" w:cs="Arial"/>
          <w:sz w:val="24"/>
          <w:szCs w:val="24"/>
        </w:rPr>
        <w:t xml:space="preserve"> importante </w:t>
      </w:r>
      <w:r w:rsidR="00D4575C" w:rsidRPr="003A1174">
        <w:rPr>
          <w:rFonts w:ascii="Garamond" w:hAnsi="Garamond" w:cs="Arial"/>
          <w:sz w:val="24"/>
          <w:szCs w:val="24"/>
        </w:rPr>
        <w:t>meio</w:t>
      </w:r>
      <w:r w:rsidR="007A6A6C" w:rsidRPr="003A1174">
        <w:rPr>
          <w:rFonts w:ascii="Garamond" w:hAnsi="Garamond" w:cs="Arial"/>
          <w:sz w:val="24"/>
          <w:szCs w:val="24"/>
        </w:rPr>
        <w:t xml:space="preserve"> </w:t>
      </w:r>
      <w:r w:rsidR="00661ADB" w:rsidRPr="003A1174">
        <w:rPr>
          <w:rFonts w:ascii="Garamond" w:hAnsi="Garamond" w:cs="Arial"/>
          <w:sz w:val="24"/>
          <w:szCs w:val="24"/>
        </w:rPr>
        <w:t>estabelecido</w:t>
      </w:r>
      <w:r w:rsidR="007A6A6C" w:rsidRPr="003A1174">
        <w:rPr>
          <w:rFonts w:ascii="Garamond" w:hAnsi="Garamond" w:cs="Arial"/>
          <w:sz w:val="24"/>
          <w:szCs w:val="24"/>
        </w:rPr>
        <w:t xml:space="preserve"> </w:t>
      </w:r>
      <w:r w:rsidR="00EE7406" w:rsidRPr="003A1174">
        <w:rPr>
          <w:rFonts w:ascii="Garamond" w:hAnsi="Garamond" w:cs="Arial"/>
          <w:sz w:val="24"/>
          <w:szCs w:val="24"/>
        </w:rPr>
        <w:t>n</w:t>
      </w:r>
      <w:r w:rsidR="007A6A6C" w:rsidRPr="003A1174">
        <w:rPr>
          <w:rFonts w:ascii="Garamond" w:hAnsi="Garamond" w:cs="Arial"/>
          <w:sz w:val="24"/>
          <w:szCs w:val="24"/>
        </w:rPr>
        <w:t xml:space="preserve">a </w:t>
      </w:r>
      <w:r w:rsidR="00D15AFF" w:rsidRPr="007B3401">
        <w:rPr>
          <w:rFonts w:ascii="Garamond" w:hAnsi="Garamond" w:cs="Arial"/>
          <w:sz w:val="24"/>
          <w:szCs w:val="24"/>
        </w:rPr>
        <w:t>lei</w:t>
      </w:r>
      <w:r w:rsidR="007A6A6C" w:rsidRPr="007B3401">
        <w:rPr>
          <w:rFonts w:ascii="Garamond" w:hAnsi="Garamond" w:cs="Arial"/>
          <w:sz w:val="24"/>
          <w:szCs w:val="24"/>
        </w:rPr>
        <w:t xml:space="preserve"> integral</w:t>
      </w:r>
      <w:r w:rsidR="007A6A6C" w:rsidRPr="003A1174">
        <w:rPr>
          <w:rFonts w:ascii="Garamond" w:hAnsi="Garamond" w:cs="Arial"/>
          <w:sz w:val="24"/>
          <w:szCs w:val="24"/>
        </w:rPr>
        <w:t xml:space="preserve"> para, </w:t>
      </w:r>
      <w:r w:rsidR="00EE7406" w:rsidRPr="003A1174">
        <w:rPr>
          <w:rFonts w:ascii="Garamond" w:hAnsi="Garamond" w:cs="Arial"/>
          <w:sz w:val="24"/>
          <w:szCs w:val="24"/>
        </w:rPr>
        <w:t>no momento em que se apresenta um</w:t>
      </w:r>
      <w:r w:rsidR="007A6A6C" w:rsidRPr="003A1174">
        <w:rPr>
          <w:rFonts w:ascii="Garamond" w:hAnsi="Garamond" w:cs="Arial"/>
          <w:sz w:val="24"/>
          <w:szCs w:val="24"/>
        </w:rPr>
        <w:t xml:space="preserve">a </w:t>
      </w:r>
      <w:r w:rsidR="008651AF" w:rsidRPr="003A1174">
        <w:rPr>
          <w:rFonts w:ascii="Garamond" w:hAnsi="Garamond" w:cs="Arial"/>
          <w:sz w:val="24"/>
          <w:szCs w:val="24"/>
        </w:rPr>
        <w:t>denúncia</w:t>
      </w:r>
      <w:r w:rsidR="00EE7406" w:rsidRPr="003A1174">
        <w:rPr>
          <w:rFonts w:ascii="Garamond" w:hAnsi="Garamond" w:cs="Arial"/>
          <w:sz w:val="24"/>
          <w:szCs w:val="24"/>
        </w:rPr>
        <w:t xml:space="preserve">, preservar </w:t>
      </w:r>
      <w:r w:rsidR="007A6A6C" w:rsidRPr="003A1174">
        <w:rPr>
          <w:rFonts w:ascii="Garamond" w:hAnsi="Garamond" w:cs="Arial"/>
          <w:sz w:val="24"/>
          <w:szCs w:val="24"/>
        </w:rPr>
        <w:t xml:space="preserve">a vida e </w:t>
      </w:r>
      <w:r w:rsidR="002D1021" w:rsidRPr="003A1174">
        <w:rPr>
          <w:rFonts w:ascii="Garamond" w:hAnsi="Garamond" w:cs="Arial"/>
          <w:sz w:val="24"/>
          <w:szCs w:val="24"/>
        </w:rPr>
        <w:t>integridade</w:t>
      </w:r>
      <w:r w:rsidR="007A6A6C" w:rsidRPr="003A1174">
        <w:rPr>
          <w:rFonts w:ascii="Garamond" w:hAnsi="Garamond" w:cs="Arial"/>
          <w:sz w:val="24"/>
          <w:szCs w:val="24"/>
        </w:rPr>
        <w:t xml:space="preserve"> física </w:t>
      </w:r>
      <w:r w:rsidR="00497503" w:rsidRPr="003A1174">
        <w:rPr>
          <w:rFonts w:ascii="Garamond" w:hAnsi="Garamond" w:cs="Arial"/>
          <w:sz w:val="24"/>
          <w:szCs w:val="24"/>
        </w:rPr>
        <w:t>das</w:t>
      </w:r>
      <w:r w:rsidR="007A6A6C" w:rsidRPr="003A1174">
        <w:rPr>
          <w:rFonts w:ascii="Garamond" w:hAnsi="Garamond" w:cs="Arial"/>
          <w:sz w:val="24"/>
          <w:szCs w:val="24"/>
        </w:rPr>
        <w:t xml:space="preserve"> </w:t>
      </w:r>
      <w:r w:rsidR="00054EE0" w:rsidRPr="003A1174">
        <w:rPr>
          <w:rFonts w:ascii="Garamond" w:hAnsi="Garamond" w:cs="Arial"/>
          <w:sz w:val="24"/>
          <w:szCs w:val="24"/>
        </w:rPr>
        <w:t>mulheres</w:t>
      </w:r>
      <w:r w:rsidR="007A6A6C" w:rsidRPr="003A1174">
        <w:rPr>
          <w:rFonts w:ascii="Garamond" w:hAnsi="Garamond" w:cs="Arial"/>
          <w:sz w:val="24"/>
          <w:szCs w:val="24"/>
        </w:rPr>
        <w:t xml:space="preserve"> maltratadas </w:t>
      </w:r>
      <w:r w:rsidR="00497503" w:rsidRPr="003A1174">
        <w:rPr>
          <w:rFonts w:ascii="Garamond" w:hAnsi="Garamond" w:cs="Arial"/>
          <w:sz w:val="24"/>
          <w:szCs w:val="24"/>
        </w:rPr>
        <w:t>e</w:t>
      </w:r>
      <w:r w:rsidR="00EE7406" w:rsidRPr="003A1174">
        <w:rPr>
          <w:rFonts w:ascii="Garamond" w:hAnsi="Garamond" w:cs="Arial"/>
          <w:sz w:val="24"/>
          <w:szCs w:val="24"/>
        </w:rPr>
        <w:t>, em muitas ocasiões, dos seus</w:t>
      </w:r>
      <w:r w:rsidR="007A6A6C" w:rsidRPr="003A1174">
        <w:rPr>
          <w:rFonts w:ascii="Garamond" w:hAnsi="Garamond" w:cs="Arial"/>
          <w:sz w:val="24"/>
          <w:szCs w:val="24"/>
        </w:rPr>
        <w:t xml:space="preserve"> </w:t>
      </w:r>
      <w:r w:rsidR="007A2492" w:rsidRPr="003A1174">
        <w:rPr>
          <w:rFonts w:ascii="Garamond" w:hAnsi="Garamond" w:cs="Arial"/>
          <w:sz w:val="24"/>
          <w:szCs w:val="24"/>
        </w:rPr>
        <w:t>filho</w:t>
      </w:r>
      <w:r w:rsidR="007A6A6C" w:rsidRPr="003A1174">
        <w:rPr>
          <w:rFonts w:ascii="Garamond" w:hAnsi="Garamond" w:cs="Arial"/>
          <w:sz w:val="24"/>
          <w:szCs w:val="24"/>
        </w:rPr>
        <w:t xml:space="preserve">s. </w:t>
      </w:r>
      <w:r w:rsidR="00120915" w:rsidRPr="003A1174">
        <w:rPr>
          <w:rFonts w:ascii="Garamond" w:hAnsi="Garamond" w:cs="Arial"/>
          <w:sz w:val="24"/>
          <w:szCs w:val="24"/>
        </w:rPr>
        <w:t>Pois</w:t>
      </w:r>
      <w:r w:rsidR="007A6A6C" w:rsidRPr="003A1174">
        <w:rPr>
          <w:rFonts w:ascii="Garamond" w:hAnsi="Garamond" w:cs="Arial"/>
          <w:sz w:val="24"/>
          <w:szCs w:val="24"/>
        </w:rPr>
        <w:t xml:space="preserve"> b</w:t>
      </w:r>
      <w:r w:rsidR="00EE7406" w:rsidRPr="003A1174">
        <w:rPr>
          <w:rFonts w:ascii="Garamond" w:hAnsi="Garamond" w:cs="Arial"/>
          <w:sz w:val="24"/>
          <w:szCs w:val="24"/>
        </w:rPr>
        <w:t>em</w:t>
      </w:r>
      <w:r w:rsidR="007A6A6C" w:rsidRPr="003A1174">
        <w:rPr>
          <w:rFonts w:ascii="Garamond" w:hAnsi="Garamond" w:cs="Arial"/>
          <w:sz w:val="24"/>
          <w:szCs w:val="24"/>
        </w:rPr>
        <w:t xml:space="preserve">, </w:t>
      </w:r>
      <w:r w:rsidR="00EE7406" w:rsidRPr="003A1174">
        <w:rPr>
          <w:rFonts w:ascii="Garamond" w:hAnsi="Garamond" w:cs="Arial"/>
          <w:sz w:val="24"/>
          <w:szCs w:val="24"/>
        </w:rPr>
        <w:t xml:space="preserve">o </w:t>
      </w:r>
      <w:r w:rsidR="007A6A6C" w:rsidRPr="003A1174">
        <w:rPr>
          <w:rFonts w:ascii="Garamond" w:hAnsi="Garamond" w:cs="Arial"/>
          <w:sz w:val="24"/>
          <w:szCs w:val="24"/>
        </w:rPr>
        <w:t>s</w:t>
      </w:r>
      <w:r w:rsidR="00EE7406" w:rsidRPr="003A1174">
        <w:rPr>
          <w:rFonts w:ascii="Garamond" w:hAnsi="Garamond" w:cs="Arial"/>
          <w:sz w:val="24"/>
          <w:szCs w:val="24"/>
        </w:rPr>
        <w:t>e</w:t>
      </w:r>
      <w:r w:rsidR="007A6A6C" w:rsidRPr="003A1174">
        <w:rPr>
          <w:rFonts w:ascii="Garamond" w:hAnsi="Garamond" w:cs="Arial"/>
          <w:sz w:val="24"/>
          <w:szCs w:val="24"/>
        </w:rPr>
        <w:t xml:space="preserve">u uso </w:t>
      </w:r>
      <w:r w:rsidR="00EE7406" w:rsidRPr="003A1174">
        <w:rPr>
          <w:rFonts w:ascii="Garamond" w:hAnsi="Garamond" w:cs="Arial"/>
          <w:sz w:val="24"/>
          <w:szCs w:val="24"/>
        </w:rPr>
        <w:t>é quase impercetível</w:t>
      </w:r>
      <w:r w:rsidR="007A6A6C" w:rsidRPr="003A1174">
        <w:rPr>
          <w:rFonts w:ascii="Garamond" w:hAnsi="Garamond" w:cs="Arial"/>
          <w:sz w:val="24"/>
          <w:szCs w:val="24"/>
        </w:rPr>
        <w:t>. E</w:t>
      </w:r>
      <w:r w:rsidR="00EE7406" w:rsidRPr="003A1174">
        <w:rPr>
          <w:rFonts w:ascii="Garamond" w:hAnsi="Garamond" w:cs="Arial"/>
          <w:sz w:val="24"/>
          <w:szCs w:val="24"/>
        </w:rPr>
        <w:t>m</w:t>
      </w:r>
      <w:r w:rsidR="007A6A6C" w:rsidRPr="003A1174">
        <w:rPr>
          <w:rFonts w:ascii="Garamond" w:hAnsi="Garamond" w:cs="Arial"/>
          <w:sz w:val="24"/>
          <w:szCs w:val="24"/>
        </w:rPr>
        <w:t xml:space="preserve"> todo </w:t>
      </w:r>
      <w:r w:rsidR="00EE7406" w:rsidRPr="003A1174">
        <w:rPr>
          <w:rFonts w:ascii="Garamond" w:hAnsi="Garamond" w:cs="Arial"/>
          <w:sz w:val="24"/>
          <w:szCs w:val="24"/>
        </w:rPr>
        <w:t xml:space="preserve">o </w:t>
      </w:r>
      <w:r w:rsidR="007A6A6C" w:rsidRPr="003A1174">
        <w:rPr>
          <w:rFonts w:ascii="Garamond" w:hAnsi="Garamond" w:cs="Arial"/>
          <w:sz w:val="24"/>
          <w:szCs w:val="24"/>
        </w:rPr>
        <w:t xml:space="preserve">país </w:t>
      </w:r>
      <w:r w:rsidR="00EE7406" w:rsidRPr="003A1174">
        <w:rPr>
          <w:rFonts w:ascii="Garamond" w:hAnsi="Garamond" w:cs="Arial"/>
          <w:sz w:val="24"/>
          <w:szCs w:val="24"/>
        </w:rPr>
        <w:t>efetuaram-</w:t>
      </w:r>
      <w:r w:rsidR="007A6A6C" w:rsidRPr="003A1174">
        <w:rPr>
          <w:rFonts w:ascii="Garamond" w:hAnsi="Garamond" w:cs="Arial"/>
          <w:sz w:val="24"/>
          <w:szCs w:val="24"/>
        </w:rPr>
        <w:t xml:space="preserve">se 366 </w:t>
      </w:r>
      <w:r w:rsidR="009E3E55" w:rsidRPr="003A1174">
        <w:rPr>
          <w:rFonts w:ascii="Garamond" w:hAnsi="Garamond" w:cs="Arial"/>
          <w:sz w:val="24"/>
          <w:szCs w:val="24"/>
        </w:rPr>
        <w:t>relatório</w:t>
      </w:r>
      <w:r w:rsidR="007A6A6C" w:rsidRPr="003A1174">
        <w:rPr>
          <w:rFonts w:ascii="Garamond" w:hAnsi="Garamond" w:cs="Arial"/>
          <w:sz w:val="24"/>
          <w:szCs w:val="24"/>
        </w:rPr>
        <w:t>s que corresponde</w:t>
      </w:r>
      <w:r w:rsidR="00EE7406" w:rsidRPr="003A1174">
        <w:rPr>
          <w:rFonts w:ascii="Garamond" w:hAnsi="Garamond" w:cs="Arial"/>
          <w:sz w:val="24"/>
          <w:szCs w:val="24"/>
        </w:rPr>
        <w:t>m à</w:t>
      </w:r>
      <w:r w:rsidR="007A6A6C" w:rsidRPr="003A1174">
        <w:rPr>
          <w:rFonts w:ascii="Garamond" w:hAnsi="Garamond" w:cs="Arial"/>
          <w:sz w:val="24"/>
          <w:szCs w:val="24"/>
        </w:rPr>
        <w:t xml:space="preserve">s </w:t>
      </w:r>
      <w:r w:rsidR="006F7276" w:rsidRPr="003A1174">
        <w:rPr>
          <w:rFonts w:ascii="Garamond" w:hAnsi="Garamond" w:cs="Arial"/>
          <w:sz w:val="24"/>
          <w:szCs w:val="24"/>
        </w:rPr>
        <w:t>seguintes</w:t>
      </w:r>
      <w:r w:rsidR="00EE7406" w:rsidRPr="003A1174">
        <w:rPr>
          <w:rFonts w:ascii="Garamond" w:hAnsi="Garamond" w:cs="Arial"/>
          <w:sz w:val="24"/>
          <w:szCs w:val="24"/>
        </w:rPr>
        <w:t xml:space="preserve"> comunidades autónomas: </w:t>
      </w:r>
      <w:r w:rsidR="00EE7406" w:rsidRPr="003A1174">
        <w:rPr>
          <w:rFonts w:ascii="Garamond" w:hAnsi="Garamond" w:cs="Arial"/>
          <w:i/>
          <w:sz w:val="24"/>
          <w:szCs w:val="24"/>
        </w:rPr>
        <w:t>Castilh</w:t>
      </w:r>
      <w:r w:rsidR="007A6A6C" w:rsidRPr="003A1174">
        <w:rPr>
          <w:rFonts w:ascii="Garamond" w:hAnsi="Garamond" w:cs="Arial"/>
          <w:i/>
          <w:sz w:val="24"/>
          <w:szCs w:val="24"/>
        </w:rPr>
        <w:t>a y León</w:t>
      </w:r>
      <w:r w:rsidR="007A6A6C" w:rsidRPr="003A1174">
        <w:rPr>
          <w:rFonts w:ascii="Garamond" w:hAnsi="Garamond" w:cs="Arial"/>
          <w:sz w:val="24"/>
          <w:szCs w:val="24"/>
        </w:rPr>
        <w:t xml:space="preserve"> 142, </w:t>
      </w:r>
      <w:r w:rsidR="007A6A6C" w:rsidRPr="003A1174">
        <w:rPr>
          <w:rFonts w:ascii="Garamond" w:hAnsi="Garamond" w:cs="Arial"/>
          <w:i/>
          <w:sz w:val="24"/>
          <w:szCs w:val="24"/>
        </w:rPr>
        <w:t>Extremadura</w:t>
      </w:r>
      <w:r w:rsidR="007A6A6C" w:rsidRPr="003A1174">
        <w:rPr>
          <w:rFonts w:ascii="Garamond" w:hAnsi="Garamond" w:cs="Arial"/>
          <w:sz w:val="24"/>
          <w:szCs w:val="24"/>
        </w:rPr>
        <w:t xml:space="preserve"> 122, Baleares 50, </w:t>
      </w:r>
      <w:r w:rsidR="00BA3CCE" w:rsidRPr="003A1174">
        <w:rPr>
          <w:rFonts w:ascii="Garamond" w:hAnsi="Garamond" w:cs="Arial"/>
          <w:i/>
          <w:sz w:val="24"/>
          <w:szCs w:val="24"/>
        </w:rPr>
        <w:t>Múrcia</w:t>
      </w:r>
      <w:r w:rsidR="007A6A6C" w:rsidRPr="003A1174">
        <w:rPr>
          <w:rFonts w:ascii="Garamond" w:hAnsi="Garamond" w:cs="Arial"/>
          <w:sz w:val="24"/>
          <w:szCs w:val="24"/>
        </w:rPr>
        <w:t xml:space="preserve"> 41, </w:t>
      </w:r>
      <w:r w:rsidR="007A6A6C" w:rsidRPr="003A1174">
        <w:rPr>
          <w:rFonts w:ascii="Garamond" w:hAnsi="Garamond" w:cs="Arial"/>
          <w:i/>
          <w:sz w:val="24"/>
          <w:szCs w:val="24"/>
        </w:rPr>
        <w:t>Castilla la</w:t>
      </w:r>
      <w:r w:rsidR="007A6A6C" w:rsidRPr="003A1174">
        <w:rPr>
          <w:rFonts w:ascii="Garamond" w:hAnsi="Garamond" w:cs="Arial"/>
          <w:sz w:val="24"/>
          <w:szCs w:val="24"/>
        </w:rPr>
        <w:t xml:space="preserve"> </w:t>
      </w:r>
      <w:r w:rsidR="007A6A6C" w:rsidRPr="003A1174">
        <w:rPr>
          <w:rFonts w:ascii="Garamond" w:hAnsi="Garamond" w:cs="Arial"/>
          <w:i/>
          <w:sz w:val="24"/>
          <w:szCs w:val="24"/>
        </w:rPr>
        <w:t>Mancha</w:t>
      </w:r>
      <w:r w:rsidR="007A6A6C" w:rsidRPr="003A1174">
        <w:rPr>
          <w:rFonts w:ascii="Garamond" w:hAnsi="Garamond" w:cs="Arial"/>
          <w:sz w:val="24"/>
          <w:szCs w:val="24"/>
        </w:rPr>
        <w:t xml:space="preserve"> 11. </w:t>
      </w:r>
      <w:r w:rsidR="00EE7406" w:rsidRPr="003A1174">
        <w:rPr>
          <w:rFonts w:ascii="Garamond" w:hAnsi="Garamond" w:cs="Arial"/>
          <w:sz w:val="24"/>
          <w:szCs w:val="24"/>
        </w:rPr>
        <w:t>Nestas comunidades tai</w:t>
      </w:r>
      <w:r w:rsidR="007A6A6C" w:rsidRPr="003A1174">
        <w:rPr>
          <w:rFonts w:ascii="Garamond" w:hAnsi="Garamond" w:cs="Arial"/>
          <w:sz w:val="24"/>
          <w:szCs w:val="24"/>
        </w:rPr>
        <w:t xml:space="preserve">s </w:t>
      </w:r>
      <w:r w:rsidR="009E3E55" w:rsidRPr="003A1174">
        <w:rPr>
          <w:rFonts w:ascii="Garamond" w:hAnsi="Garamond" w:cs="Arial"/>
          <w:sz w:val="24"/>
          <w:szCs w:val="24"/>
        </w:rPr>
        <w:t>relatório</w:t>
      </w:r>
      <w:r w:rsidR="007A6A6C" w:rsidRPr="003A1174">
        <w:rPr>
          <w:rFonts w:ascii="Garamond" w:hAnsi="Garamond" w:cs="Arial"/>
          <w:sz w:val="24"/>
          <w:szCs w:val="24"/>
        </w:rPr>
        <w:t>s alcan</w:t>
      </w:r>
      <w:r w:rsidR="00EE7406" w:rsidRPr="003A1174">
        <w:rPr>
          <w:rFonts w:ascii="Garamond" w:hAnsi="Garamond" w:cs="Arial"/>
          <w:sz w:val="24"/>
          <w:szCs w:val="24"/>
        </w:rPr>
        <w:t xml:space="preserve">çam </w:t>
      </w:r>
      <w:r w:rsidR="007A6A6C" w:rsidRPr="003A1174">
        <w:rPr>
          <w:rFonts w:ascii="Garamond" w:hAnsi="Garamond" w:cs="Arial"/>
          <w:sz w:val="24"/>
          <w:szCs w:val="24"/>
        </w:rPr>
        <w:t xml:space="preserve">7,21%. </w:t>
      </w:r>
      <w:r w:rsidR="00497503" w:rsidRPr="003A1174">
        <w:rPr>
          <w:rFonts w:ascii="Garamond" w:hAnsi="Garamond" w:cs="Arial"/>
          <w:sz w:val="24"/>
          <w:szCs w:val="24"/>
        </w:rPr>
        <w:t>E</w:t>
      </w:r>
      <w:r w:rsidR="007A6A6C" w:rsidRPr="003A1174">
        <w:rPr>
          <w:rFonts w:ascii="Garamond" w:hAnsi="Garamond" w:cs="Arial"/>
          <w:sz w:val="24"/>
          <w:szCs w:val="24"/>
        </w:rPr>
        <w:t xml:space="preserve"> </w:t>
      </w:r>
      <w:r w:rsidR="00EE7406" w:rsidRPr="003A1174">
        <w:rPr>
          <w:rFonts w:ascii="Garamond" w:hAnsi="Garamond" w:cs="Arial"/>
          <w:sz w:val="24"/>
          <w:szCs w:val="24"/>
        </w:rPr>
        <w:t>é</w:t>
      </w:r>
      <w:r w:rsidR="007A6A6C" w:rsidRPr="003A1174">
        <w:rPr>
          <w:rFonts w:ascii="Garamond" w:hAnsi="Garamond" w:cs="Arial"/>
          <w:sz w:val="24"/>
          <w:szCs w:val="24"/>
        </w:rPr>
        <w:t xml:space="preserve"> revelador </w:t>
      </w:r>
      <w:r w:rsidR="00EE7406" w:rsidRPr="003A1174">
        <w:rPr>
          <w:rFonts w:ascii="Garamond" w:hAnsi="Garamond" w:cs="Arial"/>
          <w:sz w:val="24"/>
          <w:szCs w:val="24"/>
        </w:rPr>
        <w:t xml:space="preserve">assinalar </w:t>
      </w:r>
      <w:r w:rsidR="007A6A6C" w:rsidRPr="003A1174">
        <w:rPr>
          <w:rFonts w:ascii="Garamond" w:hAnsi="Garamond" w:cs="Arial"/>
          <w:sz w:val="24"/>
          <w:szCs w:val="24"/>
        </w:rPr>
        <w:t xml:space="preserve">que </w:t>
      </w:r>
      <w:r w:rsidR="00EE7406" w:rsidRPr="003A1174">
        <w:rPr>
          <w:rFonts w:ascii="Garamond" w:hAnsi="Garamond" w:cs="Arial"/>
          <w:sz w:val="24"/>
          <w:szCs w:val="24"/>
        </w:rPr>
        <w:t xml:space="preserve">no </w:t>
      </w:r>
      <w:r w:rsidR="00276DCA" w:rsidRPr="003A1174">
        <w:rPr>
          <w:rFonts w:ascii="Garamond" w:hAnsi="Garamond" w:cs="Arial"/>
          <w:sz w:val="24"/>
          <w:szCs w:val="24"/>
        </w:rPr>
        <w:t>primeiro</w:t>
      </w:r>
      <w:r w:rsidR="007A6A6C" w:rsidRPr="003A1174">
        <w:rPr>
          <w:rFonts w:ascii="Garamond" w:hAnsi="Garamond" w:cs="Arial"/>
          <w:sz w:val="24"/>
          <w:szCs w:val="24"/>
        </w:rPr>
        <w:t xml:space="preserve"> trimestre </w:t>
      </w:r>
      <w:r w:rsidR="008A3DA2" w:rsidRPr="003A1174">
        <w:rPr>
          <w:rFonts w:ascii="Garamond" w:hAnsi="Garamond" w:cs="Arial"/>
          <w:sz w:val="24"/>
          <w:szCs w:val="24"/>
        </w:rPr>
        <w:t>do</w:t>
      </w:r>
      <w:r w:rsidR="007A6A6C" w:rsidRPr="003A1174">
        <w:rPr>
          <w:rFonts w:ascii="Garamond" w:hAnsi="Garamond" w:cs="Arial"/>
          <w:sz w:val="24"/>
          <w:szCs w:val="24"/>
        </w:rPr>
        <w:t xml:space="preserve"> </w:t>
      </w:r>
      <w:r w:rsidR="002C7510" w:rsidRPr="003A1174">
        <w:rPr>
          <w:rFonts w:ascii="Garamond" w:hAnsi="Garamond" w:cs="Arial"/>
          <w:sz w:val="24"/>
          <w:szCs w:val="24"/>
        </w:rPr>
        <w:t>ano</w:t>
      </w:r>
      <w:r w:rsidR="0017186E" w:rsidRPr="003A1174">
        <w:rPr>
          <w:rFonts w:ascii="Garamond" w:hAnsi="Garamond" w:cs="Arial"/>
          <w:sz w:val="24"/>
          <w:szCs w:val="24"/>
        </w:rPr>
        <w:t>,</w:t>
      </w:r>
      <w:r w:rsidR="007A6A6C" w:rsidRPr="003A1174">
        <w:rPr>
          <w:rFonts w:ascii="Garamond" w:hAnsi="Garamond" w:cs="Arial"/>
          <w:sz w:val="24"/>
          <w:szCs w:val="24"/>
        </w:rPr>
        <w:t xml:space="preserve"> </w:t>
      </w:r>
      <w:r w:rsidR="00497503" w:rsidRPr="003A1174">
        <w:rPr>
          <w:rFonts w:ascii="Garamond" w:hAnsi="Garamond" w:cs="Arial"/>
          <w:sz w:val="24"/>
          <w:szCs w:val="24"/>
        </w:rPr>
        <w:t>dos</w:t>
      </w:r>
      <w:r w:rsidR="007A6A6C" w:rsidRPr="003A1174">
        <w:rPr>
          <w:rFonts w:ascii="Garamond" w:hAnsi="Garamond" w:cs="Arial"/>
          <w:sz w:val="24"/>
          <w:szCs w:val="24"/>
        </w:rPr>
        <w:t xml:space="preserve"> 58 </w:t>
      </w:r>
      <w:r w:rsidR="009E3E55" w:rsidRPr="003A1174">
        <w:rPr>
          <w:rFonts w:ascii="Garamond" w:hAnsi="Garamond" w:cs="Arial"/>
          <w:sz w:val="24"/>
          <w:szCs w:val="24"/>
        </w:rPr>
        <w:t>relatório</w:t>
      </w:r>
      <w:r w:rsidR="007A6A6C" w:rsidRPr="003A1174">
        <w:rPr>
          <w:rFonts w:ascii="Garamond" w:hAnsi="Garamond" w:cs="Arial"/>
          <w:sz w:val="24"/>
          <w:szCs w:val="24"/>
        </w:rPr>
        <w:t xml:space="preserve">s </w:t>
      </w:r>
      <w:r w:rsidR="00EE7406" w:rsidRPr="003A1174">
        <w:rPr>
          <w:rFonts w:ascii="Garamond" w:hAnsi="Garamond" w:cs="Arial"/>
          <w:sz w:val="24"/>
          <w:szCs w:val="24"/>
        </w:rPr>
        <w:t>a</w:t>
      </w:r>
      <w:r w:rsidR="007A6A6C" w:rsidRPr="003A1174">
        <w:rPr>
          <w:rFonts w:ascii="Garamond" w:hAnsi="Garamond" w:cs="Arial"/>
          <w:sz w:val="24"/>
          <w:szCs w:val="24"/>
        </w:rPr>
        <w:t>presentados e</w:t>
      </w:r>
      <w:r w:rsidR="00EE7406" w:rsidRPr="003A1174">
        <w:rPr>
          <w:rFonts w:ascii="Garamond" w:hAnsi="Garamond" w:cs="Arial"/>
          <w:sz w:val="24"/>
          <w:szCs w:val="24"/>
        </w:rPr>
        <w:t xml:space="preserve">m </w:t>
      </w:r>
      <w:r w:rsidR="007A6A6C" w:rsidRPr="003A1174">
        <w:rPr>
          <w:rFonts w:ascii="Garamond" w:hAnsi="Garamond" w:cs="Arial"/>
          <w:sz w:val="24"/>
          <w:szCs w:val="24"/>
        </w:rPr>
        <w:t>toda</w:t>
      </w:r>
      <w:r w:rsidR="00EE7406" w:rsidRPr="003A1174">
        <w:rPr>
          <w:rFonts w:ascii="Garamond" w:hAnsi="Garamond" w:cs="Arial"/>
          <w:sz w:val="24"/>
          <w:szCs w:val="24"/>
        </w:rPr>
        <w:t xml:space="preserve"> a</w:t>
      </w:r>
      <w:r w:rsidR="007A6A6C" w:rsidRPr="003A1174">
        <w:rPr>
          <w:rFonts w:ascii="Garamond" w:hAnsi="Garamond" w:cs="Arial"/>
          <w:sz w:val="24"/>
          <w:szCs w:val="24"/>
        </w:rPr>
        <w:t xml:space="preserve"> </w:t>
      </w:r>
      <w:r w:rsidR="0017447A" w:rsidRPr="003A1174">
        <w:rPr>
          <w:rFonts w:ascii="Garamond" w:hAnsi="Garamond" w:cs="Arial"/>
          <w:sz w:val="24"/>
          <w:szCs w:val="24"/>
        </w:rPr>
        <w:t>Espanha</w:t>
      </w:r>
      <w:r w:rsidR="00EE7406" w:rsidRPr="003A1174">
        <w:rPr>
          <w:rFonts w:ascii="Garamond" w:hAnsi="Garamond" w:cs="Arial"/>
          <w:sz w:val="24"/>
          <w:szCs w:val="24"/>
        </w:rPr>
        <w:t xml:space="preserve">, </w:t>
      </w:r>
      <w:r w:rsidR="007A6A6C" w:rsidRPr="003A1174">
        <w:rPr>
          <w:rFonts w:ascii="Garamond" w:hAnsi="Garamond" w:cs="Arial"/>
          <w:sz w:val="24"/>
          <w:szCs w:val="24"/>
        </w:rPr>
        <w:t>36 f</w:t>
      </w:r>
      <w:r w:rsidR="00EE7406" w:rsidRPr="003A1174">
        <w:rPr>
          <w:rFonts w:ascii="Garamond" w:hAnsi="Garamond" w:cs="Arial"/>
          <w:sz w:val="24"/>
          <w:szCs w:val="24"/>
        </w:rPr>
        <w:t xml:space="preserve">oram nas </w:t>
      </w:r>
      <w:r w:rsidR="007A6A6C" w:rsidRPr="003A1174">
        <w:rPr>
          <w:rFonts w:ascii="Garamond" w:hAnsi="Garamond" w:cs="Arial"/>
          <w:sz w:val="24"/>
          <w:szCs w:val="24"/>
        </w:rPr>
        <w:t xml:space="preserve">Baleares. </w:t>
      </w:r>
      <w:r w:rsidR="00EE7406" w:rsidRPr="003A1174">
        <w:rPr>
          <w:rFonts w:ascii="Garamond" w:hAnsi="Garamond" w:cs="Arial"/>
          <w:sz w:val="24"/>
          <w:szCs w:val="24"/>
        </w:rPr>
        <w:t>Nesse me</w:t>
      </w:r>
      <w:r w:rsidR="007A6A6C" w:rsidRPr="003A1174">
        <w:rPr>
          <w:rFonts w:ascii="Garamond" w:hAnsi="Garamond" w:cs="Arial"/>
          <w:sz w:val="24"/>
          <w:szCs w:val="24"/>
        </w:rPr>
        <w:t xml:space="preserve">smo </w:t>
      </w:r>
      <w:r w:rsidR="002C7510" w:rsidRPr="003A1174">
        <w:rPr>
          <w:rFonts w:ascii="Garamond" w:hAnsi="Garamond" w:cs="Arial"/>
          <w:sz w:val="24"/>
          <w:szCs w:val="24"/>
        </w:rPr>
        <w:t>ano</w:t>
      </w:r>
      <w:r w:rsidR="0017186E" w:rsidRPr="003A1174">
        <w:rPr>
          <w:rFonts w:ascii="Garamond" w:hAnsi="Garamond" w:cs="Arial"/>
          <w:sz w:val="24"/>
          <w:szCs w:val="24"/>
        </w:rPr>
        <w:t>,</w:t>
      </w:r>
      <w:r w:rsidR="007A6A6C" w:rsidRPr="003A1174">
        <w:rPr>
          <w:rFonts w:ascii="Garamond" w:hAnsi="Garamond" w:cs="Arial"/>
          <w:sz w:val="24"/>
          <w:szCs w:val="24"/>
        </w:rPr>
        <w:t xml:space="preserve"> f</w:t>
      </w:r>
      <w:r w:rsidR="00EE7406" w:rsidRPr="003A1174">
        <w:rPr>
          <w:rFonts w:ascii="Garamond" w:hAnsi="Garamond" w:cs="Arial"/>
          <w:sz w:val="24"/>
          <w:szCs w:val="24"/>
        </w:rPr>
        <w:t xml:space="preserve">oram 52 </w:t>
      </w:r>
      <w:r w:rsidR="007A6A6C" w:rsidRPr="003A1174">
        <w:rPr>
          <w:rFonts w:ascii="Garamond" w:hAnsi="Garamond" w:cs="Arial"/>
          <w:sz w:val="24"/>
          <w:szCs w:val="24"/>
        </w:rPr>
        <w:t xml:space="preserve">as </w:t>
      </w:r>
      <w:r w:rsidR="00054EE0" w:rsidRPr="003A1174">
        <w:rPr>
          <w:rFonts w:ascii="Garamond" w:hAnsi="Garamond" w:cs="Arial"/>
          <w:sz w:val="24"/>
          <w:szCs w:val="24"/>
        </w:rPr>
        <w:t>mulheres</w:t>
      </w:r>
      <w:r w:rsidR="007A6A6C" w:rsidRPr="003A1174">
        <w:rPr>
          <w:rFonts w:ascii="Garamond" w:hAnsi="Garamond" w:cs="Arial"/>
          <w:sz w:val="24"/>
          <w:szCs w:val="24"/>
        </w:rPr>
        <w:t xml:space="preserve"> </w:t>
      </w:r>
      <w:r w:rsidR="00EE7406" w:rsidRPr="003A1174">
        <w:rPr>
          <w:rFonts w:ascii="Garamond" w:hAnsi="Garamond" w:cs="Arial"/>
          <w:sz w:val="24"/>
          <w:szCs w:val="24"/>
        </w:rPr>
        <w:t>assassinada</w:t>
      </w:r>
      <w:r w:rsidR="007A6A6C" w:rsidRPr="003A1174">
        <w:rPr>
          <w:rFonts w:ascii="Garamond" w:hAnsi="Garamond" w:cs="Arial"/>
          <w:sz w:val="24"/>
          <w:szCs w:val="24"/>
        </w:rPr>
        <w:t>s p</w:t>
      </w:r>
      <w:r w:rsidR="00EE7406" w:rsidRPr="003A1174">
        <w:rPr>
          <w:rFonts w:ascii="Garamond" w:hAnsi="Garamond" w:cs="Arial"/>
          <w:sz w:val="24"/>
          <w:szCs w:val="24"/>
        </w:rPr>
        <w:t xml:space="preserve">elos seus companheiros. No </w:t>
      </w:r>
      <w:r w:rsidR="002C7510" w:rsidRPr="003A1174">
        <w:rPr>
          <w:rFonts w:ascii="Garamond" w:hAnsi="Garamond" w:cs="Arial"/>
          <w:sz w:val="24"/>
          <w:szCs w:val="24"/>
        </w:rPr>
        <w:t>ano</w:t>
      </w:r>
      <w:r w:rsidR="007A6A6C" w:rsidRPr="003A1174">
        <w:rPr>
          <w:rFonts w:ascii="Garamond" w:hAnsi="Garamond" w:cs="Arial"/>
          <w:sz w:val="24"/>
          <w:szCs w:val="24"/>
        </w:rPr>
        <w:t xml:space="preserve"> </w:t>
      </w:r>
      <w:r w:rsidR="00EE7406" w:rsidRPr="003A1174">
        <w:rPr>
          <w:rFonts w:ascii="Garamond" w:hAnsi="Garamond" w:cs="Arial"/>
          <w:sz w:val="24"/>
          <w:szCs w:val="24"/>
        </w:rPr>
        <w:t xml:space="preserve">de </w:t>
      </w:r>
      <w:r w:rsidR="00FE7652" w:rsidRPr="003A1174">
        <w:rPr>
          <w:rFonts w:ascii="Garamond" w:hAnsi="Garamond" w:cs="Arial"/>
          <w:sz w:val="24"/>
          <w:szCs w:val="24"/>
        </w:rPr>
        <w:t xml:space="preserve">2014 </w:t>
      </w:r>
      <w:r w:rsidR="00EE7406" w:rsidRPr="003A1174">
        <w:rPr>
          <w:rFonts w:ascii="Garamond" w:hAnsi="Garamond" w:cs="Arial"/>
          <w:sz w:val="24"/>
          <w:szCs w:val="24"/>
        </w:rPr>
        <w:t>foram j</w:t>
      </w:r>
      <w:r w:rsidR="006A293D" w:rsidRPr="003A1174">
        <w:rPr>
          <w:rFonts w:ascii="Garamond" w:hAnsi="Garamond" w:cs="Arial"/>
          <w:sz w:val="24"/>
          <w:szCs w:val="24"/>
        </w:rPr>
        <w:t>á assassinada</w:t>
      </w:r>
      <w:r w:rsidR="0017186E" w:rsidRPr="003A1174">
        <w:rPr>
          <w:rFonts w:ascii="Garamond" w:hAnsi="Garamond" w:cs="Arial"/>
          <w:sz w:val="24"/>
          <w:szCs w:val="24"/>
        </w:rPr>
        <w:t xml:space="preserve">s </w:t>
      </w:r>
      <w:r w:rsidR="007A6A6C" w:rsidRPr="003A1174">
        <w:rPr>
          <w:rFonts w:ascii="Garamond" w:hAnsi="Garamond" w:cs="Arial"/>
          <w:sz w:val="24"/>
          <w:szCs w:val="24"/>
        </w:rPr>
        <w:t xml:space="preserve">43 </w:t>
      </w:r>
      <w:r w:rsidR="00054EE0" w:rsidRPr="003A1174">
        <w:rPr>
          <w:rFonts w:ascii="Garamond" w:hAnsi="Garamond" w:cs="Arial"/>
          <w:sz w:val="24"/>
          <w:szCs w:val="24"/>
        </w:rPr>
        <w:t>mulheres</w:t>
      </w:r>
      <w:r w:rsidR="007A6A6C" w:rsidRPr="003A1174">
        <w:rPr>
          <w:rFonts w:ascii="Garamond" w:hAnsi="Garamond" w:cs="Arial"/>
          <w:sz w:val="24"/>
          <w:szCs w:val="24"/>
        </w:rPr>
        <w:t xml:space="preserve"> </w:t>
      </w:r>
      <w:r w:rsidR="00497503" w:rsidRPr="003A1174">
        <w:rPr>
          <w:rFonts w:ascii="Garamond" w:hAnsi="Garamond" w:cs="Arial"/>
          <w:sz w:val="24"/>
          <w:szCs w:val="24"/>
        </w:rPr>
        <w:t>e</w:t>
      </w:r>
      <w:r w:rsidR="007A6A6C" w:rsidRPr="003A1174">
        <w:rPr>
          <w:rFonts w:ascii="Garamond" w:hAnsi="Garamond" w:cs="Arial"/>
          <w:sz w:val="24"/>
          <w:szCs w:val="24"/>
        </w:rPr>
        <w:t xml:space="preserve"> cinco menores</w:t>
      </w:r>
      <w:r w:rsidR="0017186E" w:rsidRPr="003A1174">
        <w:rPr>
          <w:rFonts w:ascii="Garamond" w:hAnsi="Garamond" w:cs="Arial"/>
          <w:sz w:val="24"/>
          <w:szCs w:val="24"/>
        </w:rPr>
        <w:t>,</w:t>
      </w:r>
      <w:r w:rsidR="00EE7406" w:rsidRPr="003A1174">
        <w:rPr>
          <w:rFonts w:ascii="Garamond" w:hAnsi="Garamond" w:cs="Arial"/>
          <w:sz w:val="24"/>
          <w:szCs w:val="24"/>
        </w:rPr>
        <w:t xml:space="preserve"> tendo aumentado 30% </w:t>
      </w:r>
      <w:r w:rsidR="007A6A6C" w:rsidRPr="003A1174">
        <w:rPr>
          <w:rFonts w:ascii="Garamond" w:hAnsi="Garamond" w:cs="Arial"/>
          <w:sz w:val="24"/>
          <w:szCs w:val="24"/>
        </w:rPr>
        <w:t xml:space="preserve">a </w:t>
      </w:r>
      <w:r w:rsidR="000350B1" w:rsidRPr="003A1174">
        <w:rPr>
          <w:rFonts w:ascii="Garamond" w:hAnsi="Garamond" w:cs="Arial"/>
          <w:sz w:val="24"/>
          <w:szCs w:val="24"/>
        </w:rPr>
        <w:t>violência</w:t>
      </w:r>
      <w:r w:rsidR="007A6A6C" w:rsidRPr="003A1174">
        <w:rPr>
          <w:rFonts w:ascii="Garamond" w:hAnsi="Garamond" w:cs="Arial"/>
          <w:sz w:val="24"/>
          <w:szCs w:val="24"/>
        </w:rPr>
        <w:t xml:space="preserve"> de género entre adolescentes.</w:t>
      </w:r>
    </w:p>
    <w:p w:rsidR="007A6A6C" w:rsidRPr="00625311" w:rsidRDefault="007A6A6C" w:rsidP="00EE7406">
      <w:pPr>
        <w:spacing w:line="240" w:lineRule="auto"/>
        <w:jc w:val="both"/>
        <w:rPr>
          <w:rFonts w:ascii="Garamond" w:hAnsi="Garamond" w:cs="Arial"/>
          <w:sz w:val="24"/>
          <w:szCs w:val="24"/>
        </w:rPr>
      </w:pPr>
      <w:r w:rsidRPr="00625311">
        <w:rPr>
          <w:rFonts w:ascii="Garamond" w:hAnsi="Garamond" w:cs="Arial"/>
          <w:sz w:val="24"/>
          <w:szCs w:val="24"/>
        </w:rPr>
        <w:t>D</w:t>
      </w:r>
      <w:r w:rsidR="00EE7406" w:rsidRPr="00625311">
        <w:rPr>
          <w:rFonts w:ascii="Garamond" w:hAnsi="Garamond" w:cs="Arial"/>
          <w:sz w:val="24"/>
          <w:szCs w:val="24"/>
        </w:rPr>
        <w:t xml:space="preserve">a nossa </w:t>
      </w:r>
      <w:r w:rsidR="0017447A" w:rsidRPr="00625311">
        <w:rPr>
          <w:rFonts w:ascii="Garamond" w:hAnsi="Garamond" w:cs="Arial"/>
          <w:sz w:val="24"/>
          <w:szCs w:val="24"/>
        </w:rPr>
        <w:t>experiência</w:t>
      </w:r>
      <w:r w:rsidRPr="00625311">
        <w:rPr>
          <w:rFonts w:ascii="Garamond" w:hAnsi="Garamond" w:cs="Arial"/>
          <w:sz w:val="24"/>
          <w:szCs w:val="24"/>
        </w:rPr>
        <w:t xml:space="preserve"> como </w:t>
      </w:r>
      <w:r w:rsidR="00EE7406" w:rsidRPr="00625311">
        <w:rPr>
          <w:rFonts w:ascii="Garamond" w:hAnsi="Garamond" w:cs="Arial"/>
          <w:sz w:val="24"/>
          <w:szCs w:val="24"/>
        </w:rPr>
        <w:t xml:space="preserve">Provedoria, </w:t>
      </w:r>
      <w:r w:rsidRPr="00625311">
        <w:rPr>
          <w:rFonts w:ascii="Garamond" w:hAnsi="Garamond" w:cs="Arial"/>
          <w:sz w:val="24"/>
          <w:szCs w:val="24"/>
        </w:rPr>
        <w:t>falta</w:t>
      </w:r>
      <w:r w:rsidR="00EE7406" w:rsidRPr="00625311">
        <w:rPr>
          <w:rFonts w:ascii="Garamond" w:hAnsi="Garamond" w:cs="Arial"/>
          <w:sz w:val="24"/>
          <w:szCs w:val="24"/>
        </w:rPr>
        <w:t>m</w:t>
      </w:r>
      <w:r w:rsidRPr="00625311">
        <w:rPr>
          <w:rFonts w:ascii="Garamond" w:hAnsi="Garamond" w:cs="Arial"/>
          <w:sz w:val="24"/>
          <w:szCs w:val="24"/>
        </w:rPr>
        <w:t xml:space="preserve"> </w:t>
      </w:r>
      <w:r w:rsidR="00682C71" w:rsidRPr="00625311">
        <w:rPr>
          <w:rFonts w:ascii="Garamond" w:hAnsi="Garamond" w:cs="Arial"/>
          <w:sz w:val="24"/>
          <w:szCs w:val="24"/>
        </w:rPr>
        <w:t>meios</w:t>
      </w:r>
      <w:r w:rsidRPr="00625311">
        <w:rPr>
          <w:rFonts w:ascii="Garamond" w:hAnsi="Garamond" w:cs="Arial"/>
          <w:sz w:val="24"/>
          <w:szCs w:val="24"/>
        </w:rPr>
        <w:t xml:space="preserve"> </w:t>
      </w:r>
      <w:r w:rsidR="00497503" w:rsidRPr="00625311">
        <w:rPr>
          <w:rFonts w:ascii="Garamond" w:hAnsi="Garamond" w:cs="Arial"/>
          <w:sz w:val="24"/>
          <w:szCs w:val="24"/>
        </w:rPr>
        <w:t>e</w:t>
      </w:r>
      <w:r w:rsidRPr="00625311">
        <w:rPr>
          <w:rFonts w:ascii="Garamond" w:hAnsi="Garamond" w:cs="Arial"/>
          <w:sz w:val="24"/>
          <w:szCs w:val="24"/>
        </w:rPr>
        <w:t xml:space="preserve"> recursos de tod</w:t>
      </w:r>
      <w:r w:rsidR="00EE7406" w:rsidRPr="00625311">
        <w:rPr>
          <w:rFonts w:ascii="Garamond" w:hAnsi="Garamond" w:cs="Arial"/>
          <w:sz w:val="24"/>
          <w:szCs w:val="24"/>
        </w:rPr>
        <w:t xml:space="preserve">a a </w:t>
      </w:r>
      <w:r w:rsidR="00374785" w:rsidRPr="00625311">
        <w:rPr>
          <w:rFonts w:ascii="Garamond" w:hAnsi="Garamond" w:cs="Arial"/>
          <w:sz w:val="24"/>
          <w:szCs w:val="24"/>
        </w:rPr>
        <w:t>ordem</w:t>
      </w:r>
      <w:r w:rsidRPr="00625311">
        <w:rPr>
          <w:rFonts w:ascii="Garamond" w:hAnsi="Garamond" w:cs="Arial"/>
          <w:sz w:val="24"/>
          <w:szCs w:val="24"/>
        </w:rPr>
        <w:t xml:space="preserve"> </w:t>
      </w:r>
      <w:r w:rsidR="00EE7406" w:rsidRPr="00625311">
        <w:rPr>
          <w:rFonts w:ascii="Garamond" w:hAnsi="Garamond" w:cs="Arial"/>
          <w:sz w:val="24"/>
          <w:szCs w:val="24"/>
        </w:rPr>
        <w:t>n</w:t>
      </w:r>
      <w:r w:rsidRPr="00625311">
        <w:rPr>
          <w:rFonts w:ascii="Garamond" w:hAnsi="Garamond" w:cs="Arial"/>
          <w:sz w:val="24"/>
          <w:szCs w:val="24"/>
        </w:rPr>
        <w:t xml:space="preserve">as </w:t>
      </w:r>
      <w:r w:rsidR="00EE7406" w:rsidRPr="00625311">
        <w:rPr>
          <w:rFonts w:ascii="Garamond" w:hAnsi="Garamond" w:cs="Arial"/>
          <w:sz w:val="24"/>
          <w:szCs w:val="24"/>
        </w:rPr>
        <w:t>administrações</w:t>
      </w:r>
      <w:r w:rsidRPr="00625311">
        <w:rPr>
          <w:rFonts w:ascii="Garamond" w:hAnsi="Garamond" w:cs="Arial"/>
          <w:sz w:val="24"/>
          <w:szCs w:val="24"/>
        </w:rPr>
        <w:t>, falta</w:t>
      </w:r>
      <w:r w:rsidR="00F15F4A" w:rsidRPr="00625311">
        <w:rPr>
          <w:rFonts w:ascii="Garamond" w:hAnsi="Garamond" w:cs="Arial"/>
          <w:sz w:val="24"/>
          <w:szCs w:val="24"/>
        </w:rPr>
        <w:t>m</w:t>
      </w:r>
      <w:r w:rsidRPr="00625311">
        <w:rPr>
          <w:rFonts w:ascii="Garamond" w:hAnsi="Garamond" w:cs="Arial"/>
          <w:sz w:val="24"/>
          <w:szCs w:val="24"/>
        </w:rPr>
        <w:t xml:space="preserve"> </w:t>
      </w:r>
      <w:r w:rsidR="00B80F99" w:rsidRPr="00625311">
        <w:rPr>
          <w:rFonts w:ascii="Garamond" w:hAnsi="Garamond" w:cs="Arial"/>
          <w:sz w:val="24"/>
          <w:szCs w:val="24"/>
        </w:rPr>
        <w:t>investigações</w:t>
      </w:r>
      <w:r w:rsidRPr="00625311">
        <w:rPr>
          <w:rFonts w:ascii="Garamond" w:hAnsi="Garamond" w:cs="Arial"/>
          <w:sz w:val="24"/>
          <w:szCs w:val="24"/>
        </w:rPr>
        <w:t xml:space="preserve"> </w:t>
      </w:r>
      <w:r w:rsidR="001F2F8B" w:rsidRPr="00625311">
        <w:rPr>
          <w:rFonts w:ascii="Garamond" w:hAnsi="Garamond" w:cs="Arial"/>
          <w:sz w:val="24"/>
          <w:szCs w:val="24"/>
        </w:rPr>
        <w:t>policiais</w:t>
      </w:r>
      <w:r w:rsidRPr="00625311">
        <w:rPr>
          <w:rFonts w:ascii="Garamond" w:hAnsi="Garamond" w:cs="Arial"/>
          <w:sz w:val="24"/>
          <w:szCs w:val="24"/>
        </w:rPr>
        <w:t xml:space="preserve"> </w:t>
      </w:r>
      <w:r w:rsidR="00497503" w:rsidRPr="00625311">
        <w:rPr>
          <w:rFonts w:ascii="Garamond" w:hAnsi="Garamond" w:cs="Arial"/>
          <w:sz w:val="24"/>
          <w:szCs w:val="24"/>
        </w:rPr>
        <w:t>dos</w:t>
      </w:r>
      <w:r w:rsidR="005A7F8D" w:rsidRPr="00625311">
        <w:rPr>
          <w:rFonts w:ascii="Garamond" w:hAnsi="Garamond" w:cs="Arial"/>
          <w:sz w:val="24"/>
          <w:szCs w:val="24"/>
        </w:rPr>
        <w:t xml:space="preserve"> </w:t>
      </w:r>
      <w:r w:rsidR="001647F2" w:rsidRPr="00625311">
        <w:rPr>
          <w:rFonts w:ascii="Garamond" w:hAnsi="Garamond" w:cs="Arial"/>
          <w:sz w:val="24"/>
          <w:szCs w:val="24"/>
        </w:rPr>
        <w:t>facto</w:t>
      </w:r>
      <w:r w:rsidR="005A7F8D" w:rsidRPr="00625311">
        <w:rPr>
          <w:rFonts w:ascii="Garamond" w:hAnsi="Garamond" w:cs="Arial"/>
          <w:sz w:val="24"/>
          <w:szCs w:val="24"/>
        </w:rPr>
        <w:t xml:space="preserve">s medianamente </w:t>
      </w:r>
      <w:r w:rsidR="00F15F4A" w:rsidRPr="00625311">
        <w:rPr>
          <w:rFonts w:ascii="Garamond" w:hAnsi="Garamond" w:cs="Arial"/>
          <w:sz w:val="24"/>
          <w:szCs w:val="24"/>
        </w:rPr>
        <w:t>aceitáveis</w:t>
      </w:r>
      <w:r w:rsidRPr="00625311">
        <w:rPr>
          <w:rFonts w:ascii="Garamond" w:hAnsi="Garamond" w:cs="Arial"/>
          <w:sz w:val="24"/>
          <w:szCs w:val="24"/>
        </w:rPr>
        <w:t>, as</w:t>
      </w:r>
      <w:r w:rsidR="00F15F4A" w:rsidRPr="00625311">
        <w:rPr>
          <w:rFonts w:ascii="Garamond" w:hAnsi="Garamond" w:cs="Arial"/>
          <w:sz w:val="24"/>
          <w:szCs w:val="24"/>
        </w:rPr>
        <w:t xml:space="preserve">sim </w:t>
      </w:r>
      <w:r w:rsidRPr="00625311">
        <w:rPr>
          <w:rFonts w:ascii="Garamond" w:hAnsi="Garamond" w:cs="Arial"/>
          <w:sz w:val="24"/>
          <w:szCs w:val="24"/>
        </w:rPr>
        <w:t xml:space="preserve">como centros de </w:t>
      </w:r>
      <w:r w:rsidR="00CF4C35" w:rsidRPr="00625311">
        <w:rPr>
          <w:rFonts w:ascii="Garamond" w:hAnsi="Garamond" w:cs="Arial"/>
          <w:sz w:val="24"/>
          <w:szCs w:val="24"/>
        </w:rPr>
        <w:t>reabilitação</w:t>
      </w:r>
      <w:r w:rsidRPr="00625311">
        <w:rPr>
          <w:rFonts w:ascii="Garamond" w:hAnsi="Garamond" w:cs="Arial"/>
          <w:sz w:val="24"/>
          <w:szCs w:val="24"/>
        </w:rPr>
        <w:t xml:space="preserve"> </w:t>
      </w:r>
      <w:r w:rsidR="00497503" w:rsidRPr="00625311">
        <w:rPr>
          <w:rFonts w:ascii="Garamond" w:hAnsi="Garamond" w:cs="Arial"/>
          <w:sz w:val="24"/>
          <w:szCs w:val="24"/>
        </w:rPr>
        <w:t>das</w:t>
      </w:r>
      <w:r w:rsidRPr="00625311">
        <w:rPr>
          <w:rFonts w:ascii="Garamond" w:hAnsi="Garamond" w:cs="Arial"/>
          <w:sz w:val="24"/>
          <w:szCs w:val="24"/>
        </w:rPr>
        <w:t xml:space="preserve"> </w:t>
      </w:r>
      <w:r w:rsidR="00054EE0" w:rsidRPr="00625311">
        <w:rPr>
          <w:rFonts w:ascii="Garamond" w:hAnsi="Garamond" w:cs="Arial"/>
          <w:sz w:val="24"/>
          <w:szCs w:val="24"/>
        </w:rPr>
        <w:t>mulheres</w:t>
      </w:r>
      <w:r w:rsidRPr="00625311">
        <w:rPr>
          <w:rFonts w:ascii="Garamond" w:hAnsi="Garamond" w:cs="Arial"/>
          <w:sz w:val="24"/>
          <w:szCs w:val="24"/>
        </w:rPr>
        <w:t xml:space="preserve"> maltratadas </w:t>
      </w:r>
      <w:r w:rsidR="00497503" w:rsidRPr="00625311">
        <w:rPr>
          <w:rFonts w:ascii="Garamond" w:hAnsi="Garamond" w:cs="Arial"/>
          <w:sz w:val="24"/>
          <w:szCs w:val="24"/>
        </w:rPr>
        <w:t>e</w:t>
      </w:r>
      <w:r w:rsidRPr="00625311">
        <w:rPr>
          <w:rFonts w:ascii="Garamond" w:hAnsi="Garamond" w:cs="Arial"/>
          <w:sz w:val="24"/>
          <w:szCs w:val="24"/>
        </w:rPr>
        <w:t xml:space="preserve"> </w:t>
      </w:r>
      <w:r w:rsidR="00F15F4A" w:rsidRPr="00625311">
        <w:rPr>
          <w:rFonts w:ascii="Garamond" w:hAnsi="Garamond" w:cs="Arial"/>
          <w:sz w:val="24"/>
          <w:szCs w:val="24"/>
        </w:rPr>
        <w:t xml:space="preserve">dos </w:t>
      </w:r>
      <w:r w:rsidRPr="00625311">
        <w:rPr>
          <w:rFonts w:ascii="Garamond" w:hAnsi="Garamond" w:cs="Arial"/>
          <w:sz w:val="24"/>
          <w:szCs w:val="24"/>
        </w:rPr>
        <w:t>s</w:t>
      </w:r>
      <w:r w:rsidR="00F15F4A" w:rsidRPr="00625311">
        <w:rPr>
          <w:rFonts w:ascii="Garamond" w:hAnsi="Garamond" w:cs="Arial"/>
          <w:sz w:val="24"/>
          <w:szCs w:val="24"/>
        </w:rPr>
        <w:t>e</w:t>
      </w:r>
      <w:r w:rsidRPr="00625311">
        <w:rPr>
          <w:rFonts w:ascii="Garamond" w:hAnsi="Garamond" w:cs="Arial"/>
          <w:sz w:val="24"/>
          <w:szCs w:val="24"/>
        </w:rPr>
        <w:t xml:space="preserve">us </w:t>
      </w:r>
      <w:r w:rsidR="007A2492" w:rsidRPr="00625311">
        <w:rPr>
          <w:rFonts w:ascii="Garamond" w:hAnsi="Garamond" w:cs="Arial"/>
          <w:sz w:val="24"/>
          <w:szCs w:val="24"/>
        </w:rPr>
        <w:t>filho</w:t>
      </w:r>
      <w:r w:rsidRPr="00625311">
        <w:rPr>
          <w:rFonts w:ascii="Garamond" w:hAnsi="Garamond" w:cs="Arial"/>
          <w:sz w:val="24"/>
          <w:szCs w:val="24"/>
        </w:rPr>
        <w:t xml:space="preserve">s. </w:t>
      </w:r>
      <w:r w:rsidR="0074243F" w:rsidRPr="00625311">
        <w:rPr>
          <w:rFonts w:ascii="Garamond" w:hAnsi="Garamond" w:cs="Arial"/>
          <w:sz w:val="24"/>
          <w:szCs w:val="24"/>
        </w:rPr>
        <w:t>Mas</w:t>
      </w:r>
      <w:r w:rsidR="00F320F4" w:rsidRPr="00625311">
        <w:rPr>
          <w:rFonts w:ascii="Garamond" w:hAnsi="Garamond" w:cs="Arial"/>
          <w:sz w:val="24"/>
          <w:szCs w:val="24"/>
        </w:rPr>
        <w:t>,</w:t>
      </w:r>
      <w:r w:rsidRPr="00625311">
        <w:rPr>
          <w:rFonts w:ascii="Garamond" w:hAnsi="Garamond" w:cs="Arial"/>
          <w:sz w:val="24"/>
          <w:szCs w:val="24"/>
        </w:rPr>
        <w:t xml:space="preserve"> </w:t>
      </w:r>
      <w:r w:rsidR="00F320F4" w:rsidRPr="00625311">
        <w:rPr>
          <w:rFonts w:ascii="Garamond" w:hAnsi="Garamond" w:cs="Arial"/>
          <w:sz w:val="24"/>
          <w:szCs w:val="24"/>
        </w:rPr>
        <w:t>sobretudo,</w:t>
      </w:r>
      <w:r w:rsidRPr="00625311">
        <w:rPr>
          <w:rFonts w:ascii="Garamond" w:hAnsi="Garamond" w:cs="Arial"/>
          <w:sz w:val="24"/>
          <w:szCs w:val="24"/>
        </w:rPr>
        <w:t xml:space="preserve"> </w:t>
      </w:r>
      <w:r w:rsidR="00F320F4" w:rsidRPr="00625311">
        <w:rPr>
          <w:rFonts w:ascii="Garamond" w:hAnsi="Garamond" w:cs="Arial"/>
          <w:sz w:val="24"/>
          <w:szCs w:val="24"/>
        </w:rPr>
        <w:t xml:space="preserve">faz </w:t>
      </w:r>
      <w:r w:rsidRPr="00625311">
        <w:rPr>
          <w:rFonts w:ascii="Garamond" w:hAnsi="Garamond" w:cs="Arial"/>
          <w:sz w:val="24"/>
          <w:szCs w:val="24"/>
        </w:rPr>
        <w:t xml:space="preserve">falta que se </w:t>
      </w:r>
      <w:r w:rsidR="00F320F4" w:rsidRPr="00625311">
        <w:rPr>
          <w:rFonts w:ascii="Garamond" w:hAnsi="Garamond" w:cs="Arial"/>
          <w:sz w:val="24"/>
          <w:szCs w:val="24"/>
        </w:rPr>
        <w:t xml:space="preserve">entenda que </w:t>
      </w:r>
      <w:r w:rsidRPr="00625311">
        <w:rPr>
          <w:rFonts w:ascii="Garamond" w:hAnsi="Garamond" w:cs="Arial"/>
          <w:sz w:val="24"/>
          <w:szCs w:val="24"/>
        </w:rPr>
        <w:t>a des</w:t>
      </w:r>
      <w:r w:rsidR="002C7510" w:rsidRPr="00625311">
        <w:rPr>
          <w:rFonts w:ascii="Garamond" w:hAnsi="Garamond" w:cs="Arial"/>
          <w:sz w:val="24"/>
          <w:szCs w:val="24"/>
        </w:rPr>
        <w:t>igualdade</w:t>
      </w:r>
      <w:r w:rsidRPr="00625311">
        <w:rPr>
          <w:rFonts w:ascii="Garamond" w:hAnsi="Garamond" w:cs="Arial"/>
          <w:sz w:val="24"/>
          <w:szCs w:val="24"/>
        </w:rPr>
        <w:t xml:space="preserve"> entre </w:t>
      </w:r>
      <w:r w:rsidR="00054EE0" w:rsidRPr="00625311">
        <w:rPr>
          <w:rFonts w:ascii="Garamond" w:hAnsi="Garamond" w:cs="Arial"/>
          <w:sz w:val="24"/>
          <w:szCs w:val="24"/>
        </w:rPr>
        <w:t>mulheres</w:t>
      </w:r>
      <w:r w:rsidRPr="00625311">
        <w:rPr>
          <w:rFonts w:ascii="Garamond" w:hAnsi="Garamond" w:cs="Arial"/>
          <w:sz w:val="24"/>
          <w:szCs w:val="24"/>
        </w:rPr>
        <w:t xml:space="preserve"> </w:t>
      </w:r>
      <w:r w:rsidR="00497503" w:rsidRPr="00625311">
        <w:rPr>
          <w:rFonts w:ascii="Garamond" w:hAnsi="Garamond" w:cs="Arial"/>
          <w:sz w:val="24"/>
          <w:szCs w:val="24"/>
        </w:rPr>
        <w:t>e</w:t>
      </w:r>
      <w:r w:rsidRPr="00625311">
        <w:rPr>
          <w:rFonts w:ascii="Garamond" w:hAnsi="Garamond" w:cs="Arial"/>
          <w:sz w:val="24"/>
          <w:szCs w:val="24"/>
        </w:rPr>
        <w:t xml:space="preserve"> </w:t>
      </w:r>
      <w:r w:rsidR="00524936" w:rsidRPr="00625311">
        <w:rPr>
          <w:rFonts w:ascii="Garamond" w:hAnsi="Garamond" w:cs="Arial"/>
          <w:sz w:val="24"/>
          <w:szCs w:val="24"/>
        </w:rPr>
        <w:t>homens</w:t>
      </w:r>
      <w:r w:rsidRPr="00625311">
        <w:rPr>
          <w:rFonts w:ascii="Garamond" w:hAnsi="Garamond" w:cs="Arial"/>
          <w:sz w:val="24"/>
          <w:szCs w:val="24"/>
        </w:rPr>
        <w:t xml:space="preserve"> </w:t>
      </w:r>
      <w:r w:rsidR="00F320F4" w:rsidRPr="00625311">
        <w:rPr>
          <w:rFonts w:ascii="Garamond" w:hAnsi="Garamond" w:cs="Arial"/>
          <w:sz w:val="24"/>
          <w:szCs w:val="24"/>
        </w:rPr>
        <w:t xml:space="preserve">é </w:t>
      </w:r>
      <w:r w:rsidRPr="00625311">
        <w:rPr>
          <w:rFonts w:ascii="Garamond" w:hAnsi="Garamond" w:cs="Arial"/>
          <w:sz w:val="24"/>
          <w:szCs w:val="24"/>
        </w:rPr>
        <w:t xml:space="preserve">específica </w:t>
      </w:r>
      <w:r w:rsidR="00497503" w:rsidRPr="00625311">
        <w:rPr>
          <w:rFonts w:ascii="Garamond" w:hAnsi="Garamond" w:cs="Arial"/>
          <w:sz w:val="24"/>
          <w:szCs w:val="24"/>
        </w:rPr>
        <w:t>e</w:t>
      </w:r>
      <w:r w:rsidRPr="00625311">
        <w:rPr>
          <w:rFonts w:ascii="Garamond" w:hAnsi="Garamond" w:cs="Arial"/>
          <w:sz w:val="24"/>
          <w:szCs w:val="24"/>
        </w:rPr>
        <w:t xml:space="preserve"> </w:t>
      </w:r>
      <w:r w:rsidR="00F320F4" w:rsidRPr="00625311">
        <w:rPr>
          <w:rFonts w:ascii="Garamond" w:hAnsi="Garamond" w:cs="Arial"/>
          <w:sz w:val="24"/>
          <w:szCs w:val="24"/>
        </w:rPr>
        <w:t xml:space="preserve">o </w:t>
      </w:r>
      <w:r w:rsidRPr="00625311">
        <w:rPr>
          <w:rFonts w:ascii="Garamond" w:hAnsi="Garamond" w:cs="Arial"/>
          <w:sz w:val="24"/>
          <w:szCs w:val="24"/>
        </w:rPr>
        <w:t>fenómeno d</w:t>
      </w:r>
      <w:r w:rsidR="00F320F4" w:rsidRPr="00625311">
        <w:rPr>
          <w:rFonts w:ascii="Garamond" w:hAnsi="Garamond" w:cs="Arial"/>
          <w:sz w:val="24"/>
          <w:szCs w:val="24"/>
        </w:rPr>
        <w:t xml:space="preserve">os </w:t>
      </w:r>
      <w:r w:rsidR="00190B59" w:rsidRPr="00625311">
        <w:rPr>
          <w:rFonts w:ascii="Garamond" w:hAnsi="Garamond" w:cs="Arial"/>
          <w:sz w:val="24"/>
          <w:szCs w:val="24"/>
        </w:rPr>
        <w:t>maus-tratos</w:t>
      </w:r>
      <w:r w:rsidRPr="00625311">
        <w:rPr>
          <w:rFonts w:ascii="Garamond" w:hAnsi="Garamond" w:cs="Arial"/>
          <w:sz w:val="24"/>
          <w:szCs w:val="24"/>
        </w:rPr>
        <w:t xml:space="preserve"> </w:t>
      </w:r>
      <w:r w:rsidR="007A2492" w:rsidRPr="00625311">
        <w:rPr>
          <w:rFonts w:ascii="Garamond" w:hAnsi="Garamond" w:cs="Arial"/>
          <w:sz w:val="24"/>
          <w:szCs w:val="24"/>
        </w:rPr>
        <w:t>tem</w:t>
      </w:r>
      <w:r w:rsidRPr="00625311">
        <w:rPr>
          <w:rFonts w:ascii="Garamond" w:hAnsi="Garamond" w:cs="Arial"/>
          <w:sz w:val="24"/>
          <w:szCs w:val="24"/>
        </w:rPr>
        <w:t xml:space="preserve"> </w:t>
      </w:r>
      <w:r w:rsidR="00F320F4" w:rsidRPr="00625311">
        <w:rPr>
          <w:rFonts w:ascii="Garamond" w:hAnsi="Garamond" w:cs="Arial"/>
          <w:sz w:val="24"/>
          <w:szCs w:val="24"/>
        </w:rPr>
        <w:t xml:space="preserve">as </w:t>
      </w:r>
      <w:r w:rsidRPr="00625311">
        <w:rPr>
          <w:rFonts w:ascii="Garamond" w:hAnsi="Garamond" w:cs="Arial"/>
          <w:sz w:val="24"/>
          <w:szCs w:val="24"/>
        </w:rPr>
        <w:t>su</w:t>
      </w:r>
      <w:r w:rsidR="00F320F4" w:rsidRPr="00625311">
        <w:rPr>
          <w:rFonts w:ascii="Garamond" w:hAnsi="Garamond" w:cs="Arial"/>
          <w:sz w:val="24"/>
          <w:szCs w:val="24"/>
        </w:rPr>
        <w:t>a</w:t>
      </w:r>
      <w:r w:rsidRPr="00625311">
        <w:rPr>
          <w:rFonts w:ascii="Garamond" w:hAnsi="Garamond" w:cs="Arial"/>
          <w:sz w:val="24"/>
          <w:szCs w:val="24"/>
        </w:rPr>
        <w:t xml:space="preserve">s </w:t>
      </w:r>
      <w:r w:rsidR="003F012B" w:rsidRPr="00625311">
        <w:rPr>
          <w:rFonts w:ascii="Garamond" w:hAnsi="Garamond" w:cs="Arial"/>
          <w:sz w:val="24"/>
          <w:szCs w:val="24"/>
        </w:rPr>
        <w:t>próprias</w:t>
      </w:r>
      <w:r w:rsidRPr="00625311">
        <w:rPr>
          <w:rFonts w:ascii="Garamond" w:hAnsi="Garamond" w:cs="Arial"/>
          <w:sz w:val="24"/>
          <w:szCs w:val="24"/>
        </w:rPr>
        <w:t xml:space="preserve"> </w:t>
      </w:r>
      <w:r w:rsidR="002720C5" w:rsidRPr="00625311">
        <w:rPr>
          <w:rFonts w:ascii="Garamond" w:hAnsi="Garamond" w:cs="Arial"/>
          <w:sz w:val="24"/>
          <w:szCs w:val="24"/>
        </w:rPr>
        <w:t>«</w:t>
      </w:r>
      <w:r w:rsidR="00F320F4" w:rsidRPr="00625311">
        <w:rPr>
          <w:rFonts w:ascii="Garamond" w:hAnsi="Garamond" w:cs="Arial"/>
          <w:sz w:val="24"/>
          <w:szCs w:val="24"/>
        </w:rPr>
        <w:t>leis</w:t>
      </w:r>
      <w:r w:rsidR="002720C5" w:rsidRPr="00625311">
        <w:rPr>
          <w:rFonts w:ascii="Garamond" w:hAnsi="Garamond" w:cs="Arial"/>
          <w:sz w:val="24"/>
          <w:szCs w:val="24"/>
        </w:rPr>
        <w:t>»</w:t>
      </w:r>
      <w:r w:rsidRPr="00625311">
        <w:rPr>
          <w:rFonts w:ascii="Garamond" w:hAnsi="Garamond" w:cs="Arial"/>
          <w:sz w:val="24"/>
          <w:szCs w:val="24"/>
        </w:rPr>
        <w:t xml:space="preserve">. </w:t>
      </w:r>
      <w:r w:rsidR="00F320F4" w:rsidRPr="00625311">
        <w:rPr>
          <w:rFonts w:ascii="Garamond" w:hAnsi="Garamond" w:cs="Arial"/>
          <w:sz w:val="24"/>
          <w:szCs w:val="24"/>
        </w:rPr>
        <w:t xml:space="preserve">Falta </w:t>
      </w:r>
      <w:r w:rsidRPr="00625311">
        <w:rPr>
          <w:rFonts w:ascii="Garamond" w:hAnsi="Garamond" w:cs="Arial"/>
          <w:sz w:val="24"/>
          <w:szCs w:val="24"/>
        </w:rPr>
        <w:t xml:space="preserve">a </w:t>
      </w:r>
      <w:r w:rsidR="009F035C" w:rsidRPr="00625311">
        <w:rPr>
          <w:rFonts w:ascii="Garamond" w:hAnsi="Garamond" w:cs="Arial"/>
          <w:sz w:val="24"/>
          <w:szCs w:val="24"/>
        </w:rPr>
        <w:t>comunidade</w:t>
      </w:r>
      <w:r w:rsidRPr="00625311">
        <w:rPr>
          <w:rFonts w:ascii="Garamond" w:hAnsi="Garamond" w:cs="Arial"/>
          <w:sz w:val="24"/>
          <w:szCs w:val="24"/>
        </w:rPr>
        <w:t xml:space="preserve"> científica </w:t>
      </w:r>
      <w:r w:rsidR="00F320F4" w:rsidRPr="00625311">
        <w:rPr>
          <w:rFonts w:ascii="Garamond" w:hAnsi="Garamond" w:cs="Arial"/>
          <w:sz w:val="24"/>
          <w:szCs w:val="24"/>
        </w:rPr>
        <w:t>aceit</w:t>
      </w:r>
      <w:r w:rsidR="008D2F69" w:rsidRPr="00625311">
        <w:rPr>
          <w:rFonts w:ascii="Garamond" w:hAnsi="Garamond" w:cs="Arial"/>
          <w:sz w:val="24"/>
          <w:szCs w:val="24"/>
        </w:rPr>
        <w:t xml:space="preserve">ar </w:t>
      </w:r>
      <w:r w:rsidRPr="00625311">
        <w:rPr>
          <w:rFonts w:ascii="Garamond" w:hAnsi="Garamond" w:cs="Arial"/>
          <w:sz w:val="24"/>
          <w:szCs w:val="24"/>
        </w:rPr>
        <w:t xml:space="preserve">a </w:t>
      </w:r>
      <w:r w:rsidR="00D96FD0" w:rsidRPr="00625311">
        <w:rPr>
          <w:rFonts w:ascii="Garamond" w:hAnsi="Garamond" w:cs="Arial"/>
          <w:sz w:val="24"/>
          <w:szCs w:val="24"/>
        </w:rPr>
        <w:t>perspetiva</w:t>
      </w:r>
      <w:r w:rsidRPr="00625311">
        <w:rPr>
          <w:rFonts w:ascii="Garamond" w:hAnsi="Garamond" w:cs="Arial"/>
          <w:sz w:val="24"/>
          <w:szCs w:val="24"/>
        </w:rPr>
        <w:t xml:space="preserve"> de género para </w:t>
      </w:r>
      <w:r w:rsidR="00C65DD5" w:rsidRPr="00625311">
        <w:rPr>
          <w:rFonts w:ascii="Garamond" w:hAnsi="Garamond" w:cs="Arial"/>
          <w:sz w:val="24"/>
          <w:szCs w:val="24"/>
        </w:rPr>
        <w:t>analisar</w:t>
      </w:r>
      <w:r w:rsidR="00F320F4" w:rsidRPr="00625311">
        <w:rPr>
          <w:rFonts w:ascii="Garamond" w:hAnsi="Garamond" w:cs="Arial"/>
          <w:sz w:val="24"/>
          <w:szCs w:val="24"/>
        </w:rPr>
        <w:t xml:space="preserve"> </w:t>
      </w:r>
      <w:r w:rsidRPr="00625311">
        <w:rPr>
          <w:rFonts w:ascii="Garamond" w:hAnsi="Garamond" w:cs="Arial"/>
          <w:sz w:val="24"/>
          <w:szCs w:val="24"/>
        </w:rPr>
        <w:t xml:space="preserve">a </w:t>
      </w:r>
      <w:r w:rsidR="002C7510" w:rsidRPr="00625311">
        <w:rPr>
          <w:rFonts w:ascii="Garamond" w:hAnsi="Garamond" w:cs="Arial"/>
          <w:sz w:val="24"/>
          <w:szCs w:val="24"/>
        </w:rPr>
        <w:t>realidade</w:t>
      </w:r>
      <w:r w:rsidRPr="00625311">
        <w:rPr>
          <w:rFonts w:ascii="Garamond" w:hAnsi="Garamond" w:cs="Arial"/>
          <w:sz w:val="24"/>
          <w:szCs w:val="24"/>
        </w:rPr>
        <w:t xml:space="preserve"> </w:t>
      </w:r>
      <w:r w:rsidR="00497503" w:rsidRPr="00625311">
        <w:rPr>
          <w:rFonts w:ascii="Garamond" w:hAnsi="Garamond" w:cs="Arial"/>
          <w:sz w:val="24"/>
          <w:szCs w:val="24"/>
        </w:rPr>
        <w:t>e</w:t>
      </w:r>
      <w:r w:rsidRPr="00625311">
        <w:rPr>
          <w:rFonts w:ascii="Garamond" w:hAnsi="Garamond" w:cs="Arial"/>
          <w:sz w:val="24"/>
          <w:szCs w:val="24"/>
        </w:rPr>
        <w:t xml:space="preserve"> </w:t>
      </w:r>
      <w:r w:rsidR="001F2F8B" w:rsidRPr="00625311">
        <w:rPr>
          <w:rFonts w:ascii="Garamond" w:hAnsi="Garamond" w:cs="Arial"/>
          <w:sz w:val="24"/>
          <w:szCs w:val="24"/>
        </w:rPr>
        <w:t>conhecer</w:t>
      </w:r>
      <w:r w:rsidRPr="00625311">
        <w:rPr>
          <w:rFonts w:ascii="Garamond" w:hAnsi="Garamond" w:cs="Arial"/>
          <w:sz w:val="24"/>
          <w:szCs w:val="24"/>
        </w:rPr>
        <w:t xml:space="preserve"> es</w:t>
      </w:r>
      <w:r w:rsidR="00F320F4" w:rsidRPr="00625311">
        <w:rPr>
          <w:rFonts w:ascii="Garamond" w:hAnsi="Garamond" w:cs="Arial"/>
          <w:sz w:val="24"/>
          <w:szCs w:val="24"/>
        </w:rPr>
        <w:t>s</w:t>
      </w:r>
      <w:r w:rsidRPr="00625311">
        <w:rPr>
          <w:rFonts w:ascii="Garamond" w:hAnsi="Garamond" w:cs="Arial"/>
          <w:sz w:val="24"/>
          <w:szCs w:val="24"/>
        </w:rPr>
        <w:t xml:space="preserve">e fenómeno, </w:t>
      </w:r>
      <w:r w:rsidR="00F320F4" w:rsidRPr="00625311">
        <w:rPr>
          <w:rFonts w:ascii="Garamond" w:hAnsi="Garamond" w:cs="Arial"/>
          <w:sz w:val="24"/>
          <w:szCs w:val="24"/>
        </w:rPr>
        <w:t xml:space="preserve">para que </w:t>
      </w:r>
      <w:r w:rsidRPr="00625311">
        <w:rPr>
          <w:rFonts w:ascii="Garamond" w:hAnsi="Garamond" w:cs="Arial"/>
          <w:sz w:val="24"/>
          <w:szCs w:val="24"/>
        </w:rPr>
        <w:t xml:space="preserve">a judicatura </w:t>
      </w:r>
      <w:r w:rsidR="00497503" w:rsidRPr="00625311">
        <w:rPr>
          <w:rFonts w:ascii="Garamond" w:hAnsi="Garamond" w:cs="Arial"/>
          <w:sz w:val="24"/>
          <w:szCs w:val="24"/>
        </w:rPr>
        <w:t>e</w:t>
      </w:r>
      <w:r w:rsidRPr="00625311">
        <w:rPr>
          <w:rFonts w:ascii="Garamond" w:hAnsi="Garamond" w:cs="Arial"/>
          <w:sz w:val="24"/>
          <w:szCs w:val="24"/>
        </w:rPr>
        <w:t xml:space="preserve"> </w:t>
      </w:r>
      <w:r w:rsidR="00F320F4" w:rsidRPr="00625311">
        <w:rPr>
          <w:rFonts w:ascii="Garamond" w:hAnsi="Garamond" w:cs="Arial"/>
          <w:sz w:val="24"/>
          <w:szCs w:val="24"/>
        </w:rPr>
        <w:t>o Ministério Público saibam o que</w:t>
      </w:r>
      <w:r w:rsidRPr="00625311">
        <w:rPr>
          <w:rFonts w:ascii="Garamond" w:hAnsi="Garamond" w:cs="Arial"/>
          <w:sz w:val="24"/>
          <w:szCs w:val="24"/>
        </w:rPr>
        <w:t xml:space="preserve"> </w:t>
      </w:r>
      <w:r w:rsidR="001647F2" w:rsidRPr="00625311">
        <w:rPr>
          <w:rFonts w:ascii="Garamond" w:hAnsi="Garamond" w:cs="Arial"/>
          <w:sz w:val="24"/>
          <w:szCs w:val="24"/>
        </w:rPr>
        <w:t>estão</w:t>
      </w:r>
      <w:r w:rsidRPr="00625311">
        <w:rPr>
          <w:rFonts w:ascii="Garamond" w:hAnsi="Garamond" w:cs="Arial"/>
          <w:sz w:val="24"/>
          <w:szCs w:val="24"/>
        </w:rPr>
        <w:t xml:space="preserve"> </w:t>
      </w:r>
      <w:r w:rsidR="00F320F4" w:rsidRPr="00625311">
        <w:rPr>
          <w:rFonts w:ascii="Garamond" w:hAnsi="Garamond" w:cs="Arial"/>
          <w:sz w:val="24"/>
          <w:szCs w:val="24"/>
        </w:rPr>
        <w:t xml:space="preserve">a </w:t>
      </w:r>
      <w:r w:rsidRPr="00625311">
        <w:rPr>
          <w:rFonts w:ascii="Garamond" w:hAnsi="Garamond" w:cs="Arial"/>
          <w:sz w:val="24"/>
          <w:szCs w:val="24"/>
        </w:rPr>
        <w:t>ju</w:t>
      </w:r>
      <w:r w:rsidR="00F320F4" w:rsidRPr="00625311">
        <w:rPr>
          <w:rFonts w:ascii="Garamond" w:hAnsi="Garamond" w:cs="Arial"/>
          <w:sz w:val="24"/>
          <w:szCs w:val="24"/>
        </w:rPr>
        <w:t>lgar</w:t>
      </w:r>
      <w:r w:rsidRPr="00625311">
        <w:rPr>
          <w:rFonts w:ascii="Garamond" w:hAnsi="Garamond" w:cs="Arial"/>
          <w:sz w:val="24"/>
          <w:szCs w:val="24"/>
        </w:rPr>
        <w:t xml:space="preserve">, </w:t>
      </w:r>
      <w:r w:rsidR="0074243F" w:rsidRPr="00625311">
        <w:rPr>
          <w:rFonts w:ascii="Garamond" w:hAnsi="Garamond" w:cs="Arial"/>
          <w:sz w:val="24"/>
          <w:szCs w:val="24"/>
        </w:rPr>
        <w:t>mas</w:t>
      </w:r>
      <w:r w:rsidR="00862235" w:rsidRPr="00625311">
        <w:rPr>
          <w:rFonts w:ascii="Garamond" w:hAnsi="Garamond" w:cs="Arial"/>
          <w:sz w:val="24"/>
          <w:szCs w:val="24"/>
        </w:rPr>
        <w:t>,</w:t>
      </w:r>
      <w:r w:rsidRPr="00625311">
        <w:rPr>
          <w:rFonts w:ascii="Garamond" w:hAnsi="Garamond" w:cs="Arial"/>
          <w:sz w:val="24"/>
          <w:szCs w:val="24"/>
        </w:rPr>
        <w:t xml:space="preserve"> que</w:t>
      </w:r>
      <w:r w:rsidR="00F320F4" w:rsidRPr="00625311">
        <w:rPr>
          <w:rFonts w:ascii="Garamond" w:hAnsi="Garamond" w:cs="Arial"/>
          <w:sz w:val="24"/>
          <w:szCs w:val="24"/>
        </w:rPr>
        <w:t xml:space="preserve"> </w:t>
      </w:r>
      <w:r w:rsidRPr="00625311">
        <w:rPr>
          <w:rFonts w:ascii="Garamond" w:hAnsi="Garamond" w:cs="Arial"/>
          <w:sz w:val="24"/>
          <w:szCs w:val="24"/>
        </w:rPr>
        <w:t>o s</w:t>
      </w:r>
      <w:r w:rsidR="00F320F4" w:rsidRPr="00625311">
        <w:rPr>
          <w:rFonts w:ascii="Garamond" w:hAnsi="Garamond" w:cs="Arial"/>
          <w:sz w:val="24"/>
          <w:szCs w:val="24"/>
        </w:rPr>
        <w:t>aibam também</w:t>
      </w:r>
      <w:r w:rsidR="00862235" w:rsidRPr="00625311">
        <w:rPr>
          <w:rFonts w:ascii="Garamond" w:hAnsi="Garamond" w:cs="Arial"/>
          <w:sz w:val="24"/>
          <w:szCs w:val="24"/>
        </w:rPr>
        <w:t>,</w:t>
      </w:r>
      <w:r w:rsidR="00F320F4" w:rsidRPr="00625311">
        <w:rPr>
          <w:rFonts w:ascii="Garamond" w:hAnsi="Garamond" w:cs="Arial"/>
          <w:sz w:val="24"/>
          <w:szCs w:val="24"/>
        </w:rPr>
        <w:t xml:space="preserve"> </w:t>
      </w:r>
      <w:r w:rsidR="0017186E" w:rsidRPr="00625311">
        <w:rPr>
          <w:rFonts w:ascii="Garamond" w:hAnsi="Garamond" w:cs="Arial"/>
          <w:sz w:val="24"/>
          <w:szCs w:val="24"/>
        </w:rPr>
        <w:t xml:space="preserve">os </w:t>
      </w:r>
      <w:r w:rsidR="000350B1" w:rsidRPr="00625311">
        <w:rPr>
          <w:rFonts w:ascii="Garamond" w:hAnsi="Garamond" w:cs="Arial"/>
          <w:sz w:val="24"/>
          <w:szCs w:val="24"/>
        </w:rPr>
        <w:t>profissionais</w:t>
      </w:r>
      <w:r w:rsidRPr="00625311">
        <w:rPr>
          <w:rFonts w:ascii="Garamond" w:hAnsi="Garamond" w:cs="Arial"/>
          <w:sz w:val="24"/>
          <w:szCs w:val="24"/>
        </w:rPr>
        <w:t xml:space="preserve"> d</w:t>
      </w:r>
      <w:r w:rsidR="00F320F4" w:rsidRPr="00625311">
        <w:rPr>
          <w:rFonts w:ascii="Garamond" w:hAnsi="Garamond" w:cs="Arial"/>
          <w:sz w:val="24"/>
          <w:szCs w:val="24"/>
        </w:rPr>
        <w:t>a medicina, d</w:t>
      </w:r>
      <w:r w:rsidRPr="00625311">
        <w:rPr>
          <w:rFonts w:ascii="Garamond" w:hAnsi="Garamond" w:cs="Arial"/>
          <w:sz w:val="24"/>
          <w:szCs w:val="24"/>
        </w:rPr>
        <w:t xml:space="preserve">a </w:t>
      </w:r>
      <w:r w:rsidR="000350B1" w:rsidRPr="00625311">
        <w:rPr>
          <w:rFonts w:ascii="Garamond" w:hAnsi="Garamond" w:cs="Arial"/>
          <w:sz w:val="24"/>
          <w:szCs w:val="24"/>
        </w:rPr>
        <w:t>psicologia</w:t>
      </w:r>
      <w:r w:rsidR="00F320F4" w:rsidRPr="00625311">
        <w:rPr>
          <w:rFonts w:ascii="Garamond" w:hAnsi="Garamond" w:cs="Arial"/>
          <w:sz w:val="24"/>
          <w:szCs w:val="24"/>
        </w:rPr>
        <w:t>, d</w:t>
      </w:r>
      <w:r w:rsidRPr="00625311">
        <w:rPr>
          <w:rFonts w:ascii="Garamond" w:hAnsi="Garamond" w:cs="Arial"/>
          <w:sz w:val="24"/>
          <w:szCs w:val="24"/>
        </w:rPr>
        <w:t xml:space="preserve">a </w:t>
      </w:r>
      <w:r w:rsidR="000350B1" w:rsidRPr="00625311">
        <w:rPr>
          <w:rFonts w:ascii="Garamond" w:hAnsi="Garamond" w:cs="Arial"/>
          <w:sz w:val="24"/>
          <w:szCs w:val="24"/>
        </w:rPr>
        <w:t>assistência</w:t>
      </w:r>
      <w:r w:rsidRPr="00625311">
        <w:rPr>
          <w:rFonts w:ascii="Garamond" w:hAnsi="Garamond" w:cs="Arial"/>
          <w:sz w:val="24"/>
          <w:szCs w:val="24"/>
        </w:rPr>
        <w:t xml:space="preserve"> social,</w:t>
      </w:r>
      <w:r w:rsidR="00F320F4" w:rsidRPr="00625311">
        <w:rPr>
          <w:rFonts w:ascii="Garamond" w:hAnsi="Garamond" w:cs="Arial"/>
          <w:sz w:val="24"/>
          <w:szCs w:val="24"/>
        </w:rPr>
        <w:t xml:space="preserve"> d</w:t>
      </w:r>
      <w:r w:rsidRPr="00625311">
        <w:rPr>
          <w:rFonts w:ascii="Garamond" w:hAnsi="Garamond" w:cs="Arial"/>
          <w:sz w:val="24"/>
          <w:szCs w:val="24"/>
        </w:rPr>
        <w:t xml:space="preserve">a </w:t>
      </w:r>
      <w:r w:rsidR="00F320F4" w:rsidRPr="00625311">
        <w:rPr>
          <w:rFonts w:ascii="Garamond" w:hAnsi="Garamond" w:cs="Arial"/>
          <w:sz w:val="24"/>
          <w:szCs w:val="24"/>
        </w:rPr>
        <w:t>educação, dos co</w:t>
      </w:r>
      <w:r w:rsidRPr="00625311">
        <w:rPr>
          <w:rFonts w:ascii="Garamond" w:hAnsi="Garamond" w:cs="Arial"/>
          <w:sz w:val="24"/>
          <w:szCs w:val="24"/>
        </w:rPr>
        <w:t xml:space="preserve">rpos de </w:t>
      </w:r>
      <w:r w:rsidR="00D15AFF" w:rsidRPr="00625311">
        <w:rPr>
          <w:rFonts w:ascii="Garamond" w:hAnsi="Garamond" w:cs="Arial"/>
          <w:sz w:val="24"/>
          <w:szCs w:val="24"/>
        </w:rPr>
        <w:t>segurança</w:t>
      </w:r>
      <w:r w:rsidR="0017186E" w:rsidRPr="00625311">
        <w:rPr>
          <w:rFonts w:ascii="Garamond" w:hAnsi="Garamond" w:cs="Arial"/>
          <w:sz w:val="24"/>
          <w:szCs w:val="24"/>
        </w:rPr>
        <w:t>…</w:t>
      </w:r>
      <w:r w:rsidR="00833C78" w:rsidRPr="00625311">
        <w:rPr>
          <w:rFonts w:ascii="Garamond" w:hAnsi="Garamond" w:cs="Arial"/>
          <w:sz w:val="24"/>
          <w:szCs w:val="24"/>
        </w:rPr>
        <w:t>etc. etc. etc.</w:t>
      </w:r>
      <w:r w:rsidRPr="00625311">
        <w:rPr>
          <w:rFonts w:ascii="Garamond" w:hAnsi="Garamond" w:cs="Arial"/>
          <w:sz w:val="24"/>
          <w:szCs w:val="24"/>
        </w:rPr>
        <w:t xml:space="preserve"> </w:t>
      </w:r>
      <w:r w:rsidR="00F320F4" w:rsidRPr="00625311">
        <w:rPr>
          <w:rFonts w:ascii="Garamond" w:hAnsi="Garamond" w:cs="Arial"/>
          <w:sz w:val="24"/>
          <w:szCs w:val="24"/>
        </w:rPr>
        <w:t>Enquanto não se der esta alteração n</w:t>
      </w:r>
      <w:r w:rsidRPr="00625311">
        <w:rPr>
          <w:rFonts w:ascii="Garamond" w:hAnsi="Garamond" w:cs="Arial"/>
          <w:sz w:val="24"/>
          <w:szCs w:val="24"/>
        </w:rPr>
        <w:t xml:space="preserve">os </w:t>
      </w:r>
      <w:r w:rsidR="003E6403" w:rsidRPr="00625311">
        <w:rPr>
          <w:rFonts w:ascii="Garamond" w:hAnsi="Garamond" w:cs="Arial"/>
          <w:sz w:val="24"/>
          <w:szCs w:val="24"/>
        </w:rPr>
        <w:t>conhecimento</w:t>
      </w:r>
      <w:r w:rsidR="00F320F4" w:rsidRPr="00625311">
        <w:rPr>
          <w:rFonts w:ascii="Garamond" w:hAnsi="Garamond" w:cs="Arial"/>
          <w:sz w:val="24"/>
          <w:szCs w:val="24"/>
        </w:rPr>
        <w:t>s universitá</w:t>
      </w:r>
      <w:r w:rsidRPr="00625311">
        <w:rPr>
          <w:rFonts w:ascii="Garamond" w:hAnsi="Garamond" w:cs="Arial"/>
          <w:sz w:val="24"/>
          <w:szCs w:val="24"/>
        </w:rPr>
        <w:t>rios</w:t>
      </w:r>
      <w:r w:rsidR="0017186E" w:rsidRPr="00625311">
        <w:rPr>
          <w:rFonts w:ascii="Garamond" w:hAnsi="Garamond" w:cs="Arial"/>
          <w:sz w:val="24"/>
          <w:szCs w:val="24"/>
        </w:rPr>
        <w:t>,</w:t>
      </w:r>
      <w:r w:rsidRPr="00625311">
        <w:rPr>
          <w:rFonts w:ascii="Garamond" w:hAnsi="Garamond" w:cs="Arial"/>
          <w:sz w:val="24"/>
          <w:szCs w:val="24"/>
        </w:rPr>
        <w:t xml:space="preserve"> n</w:t>
      </w:r>
      <w:r w:rsidR="00F320F4" w:rsidRPr="00625311">
        <w:rPr>
          <w:rFonts w:ascii="Garamond" w:hAnsi="Garamond" w:cs="Arial"/>
          <w:sz w:val="24"/>
          <w:szCs w:val="24"/>
        </w:rPr>
        <w:t>ã</w:t>
      </w:r>
      <w:r w:rsidRPr="00625311">
        <w:rPr>
          <w:rFonts w:ascii="Garamond" w:hAnsi="Garamond" w:cs="Arial"/>
          <w:sz w:val="24"/>
          <w:szCs w:val="24"/>
        </w:rPr>
        <w:t>o pod</w:t>
      </w:r>
      <w:r w:rsidR="00F320F4" w:rsidRPr="00625311">
        <w:rPr>
          <w:rFonts w:ascii="Garamond" w:hAnsi="Garamond" w:cs="Arial"/>
          <w:sz w:val="24"/>
          <w:szCs w:val="24"/>
        </w:rPr>
        <w:t>e</w:t>
      </w:r>
      <w:r w:rsidRPr="00625311">
        <w:rPr>
          <w:rFonts w:ascii="Garamond" w:hAnsi="Garamond" w:cs="Arial"/>
          <w:sz w:val="24"/>
          <w:szCs w:val="24"/>
        </w:rPr>
        <w:t>remos estar</w:t>
      </w:r>
      <w:r w:rsidR="00833C78" w:rsidRPr="00625311">
        <w:rPr>
          <w:rFonts w:ascii="Garamond" w:hAnsi="Garamond" w:cs="Arial"/>
          <w:sz w:val="24"/>
          <w:szCs w:val="24"/>
        </w:rPr>
        <w:t xml:space="preserve"> à espera </w:t>
      </w:r>
      <w:r w:rsidR="00F320F4" w:rsidRPr="00625311">
        <w:rPr>
          <w:rFonts w:ascii="Garamond" w:hAnsi="Garamond" w:cs="Arial"/>
          <w:sz w:val="24"/>
          <w:szCs w:val="24"/>
        </w:rPr>
        <w:t xml:space="preserve">de se </w:t>
      </w:r>
      <w:r w:rsidR="00833C78" w:rsidRPr="00625311">
        <w:rPr>
          <w:rFonts w:ascii="Garamond" w:hAnsi="Garamond" w:cs="Arial"/>
          <w:sz w:val="24"/>
          <w:szCs w:val="24"/>
        </w:rPr>
        <w:t>chegar à</w:t>
      </w:r>
      <w:r w:rsidR="00F320F4" w:rsidRPr="00625311">
        <w:rPr>
          <w:rFonts w:ascii="Garamond" w:hAnsi="Garamond" w:cs="Arial"/>
          <w:sz w:val="24"/>
          <w:szCs w:val="24"/>
        </w:rPr>
        <w:t xml:space="preserve"> mudança </w:t>
      </w:r>
      <w:r w:rsidR="00C30647" w:rsidRPr="00625311">
        <w:rPr>
          <w:rFonts w:ascii="Garamond" w:hAnsi="Garamond" w:cs="Arial"/>
          <w:sz w:val="24"/>
          <w:szCs w:val="24"/>
        </w:rPr>
        <w:t>necessári</w:t>
      </w:r>
      <w:r w:rsidR="00F320F4" w:rsidRPr="00625311">
        <w:rPr>
          <w:rFonts w:ascii="Garamond" w:hAnsi="Garamond" w:cs="Arial"/>
          <w:sz w:val="24"/>
          <w:szCs w:val="24"/>
        </w:rPr>
        <w:t xml:space="preserve">a para conseguirmos erradicar </w:t>
      </w:r>
      <w:r w:rsidRPr="00625311">
        <w:rPr>
          <w:rFonts w:ascii="Garamond" w:hAnsi="Garamond" w:cs="Arial"/>
          <w:sz w:val="24"/>
          <w:szCs w:val="24"/>
        </w:rPr>
        <w:t xml:space="preserve">a </w:t>
      </w:r>
      <w:r w:rsidR="000350B1" w:rsidRPr="00625311">
        <w:rPr>
          <w:rFonts w:ascii="Garamond" w:hAnsi="Garamond" w:cs="Arial"/>
          <w:sz w:val="24"/>
          <w:szCs w:val="24"/>
        </w:rPr>
        <w:t>violência</w:t>
      </w:r>
      <w:r w:rsidRPr="00625311">
        <w:rPr>
          <w:rFonts w:ascii="Garamond" w:hAnsi="Garamond" w:cs="Arial"/>
          <w:sz w:val="24"/>
          <w:szCs w:val="24"/>
        </w:rPr>
        <w:t xml:space="preserve"> de género. N</w:t>
      </w:r>
      <w:r w:rsidR="00F320F4" w:rsidRPr="00625311">
        <w:rPr>
          <w:rFonts w:ascii="Garamond" w:hAnsi="Garamond" w:cs="Arial"/>
          <w:sz w:val="24"/>
          <w:szCs w:val="24"/>
        </w:rPr>
        <w:t>ã</w:t>
      </w:r>
      <w:r w:rsidRPr="00625311">
        <w:rPr>
          <w:rFonts w:ascii="Garamond" w:hAnsi="Garamond" w:cs="Arial"/>
          <w:sz w:val="24"/>
          <w:szCs w:val="24"/>
        </w:rPr>
        <w:t xml:space="preserve">o se </w:t>
      </w:r>
      <w:r w:rsidR="007342D9" w:rsidRPr="00625311">
        <w:rPr>
          <w:rFonts w:ascii="Garamond" w:hAnsi="Garamond" w:cs="Arial"/>
          <w:sz w:val="24"/>
          <w:szCs w:val="24"/>
        </w:rPr>
        <w:t>pode</w:t>
      </w:r>
      <w:r w:rsidRPr="00625311">
        <w:rPr>
          <w:rFonts w:ascii="Garamond" w:hAnsi="Garamond" w:cs="Arial"/>
          <w:sz w:val="24"/>
          <w:szCs w:val="24"/>
        </w:rPr>
        <w:t xml:space="preserve"> </w:t>
      </w:r>
      <w:r w:rsidR="00BD6A0C" w:rsidRPr="00625311">
        <w:rPr>
          <w:rFonts w:ascii="Garamond" w:hAnsi="Garamond" w:cs="Arial"/>
          <w:sz w:val="24"/>
          <w:szCs w:val="24"/>
        </w:rPr>
        <w:t>começar</w:t>
      </w:r>
      <w:r w:rsidRPr="00625311">
        <w:rPr>
          <w:rFonts w:ascii="Garamond" w:hAnsi="Garamond" w:cs="Arial"/>
          <w:sz w:val="24"/>
          <w:szCs w:val="24"/>
        </w:rPr>
        <w:t xml:space="preserve"> p</w:t>
      </w:r>
      <w:r w:rsidR="00BD6A0C" w:rsidRPr="00625311">
        <w:rPr>
          <w:rFonts w:ascii="Garamond" w:hAnsi="Garamond" w:cs="Arial"/>
          <w:sz w:val="24"/>
          <w:szCs w:val="24"/>
        </w:rPr>
        <w:t>e</w:t>
      </w:r>
      <w:r w:rsidRPr="00625311">
        <w:rPr>
          <w:rFonts w:ascii="Garamond" w:hAnsi="Garamond" w:cs="Arial"/>
          <w:sz w:val="24"/>
          <w:szCs w:val="24"/>
        </w:rPr>
        <w:t>la e</w:t>
      </w:r>
      <w:r w:rsidR="00BD6A0C" w:rsidRPr="00625311">
        <w:rPr>
          <w:rFonts w:ascii="Garamond" w:hAnsi="Garamond" w:cs="Arial"/>
          <w:sz w:val="24"/>
          <w:szCs w:val="24"/>
        </w:rPr>
        <w:t>ducação</w:t>
      </w:r>
      <w:r w:rsidR="0017186E" w:rsidRPr="00625311">
        <w:rPr>
          <w:rFonts w:ascii="Garamond" w:hAnsi="Garamond" w:cs="Arial"/>
          <w:sz w:val="24"/>
          <w:szCs w:val="24"/>
        </w:rPr>
        <w:t>,</w:t>
      </w:r>
      <w:r w:rsidRPr="00625311">
        <w:rPr>
          <w:rFonts w:ascii="Garamond" w:hAnsi="Garamond" w:cs="Arial"/>
          <w:sz w:val="24"/>
          <w:szCs w:val="24"/>
        </w:rPr>
        <w:t xml:space="preserve"> porque n</w:t>
      </w:r>
      <w:r w:rsidR="00BD6A0C" w:rsidRPr="00625311">
        <w:rPr>
          <w:rFonts w:ascii="Garamond" w:hAnsi="Garamond" w:cs="Arial"/>
          <w:sz w:val="24"/>
          <w:szCs w:val="24"/>
        </w:rPr>
        <w:t>ã</w:t>
      </w:r>
      <w:r w:rsidRPr="00625311">
        <w:rPr>
          <w:rFonts w:ascii="Garamond" w:hAnsi="Garamond" w:cs="Arial"/>
          <w:sz w:val="24"/>
          <w:szCs w:val="24"/>
        </w:rPr>
        <w:t xml:space="preserve">o </w:t>
      </w:r>
      <w:r w:rsidR="00BD6A0C" w:rsidRPr="00625311">
        <w:rPr>
          <w:rFonts w:ascii="Garamond" w:hAnsi="Garamond" w:cs="Arial"/>
          <w:sz w:val="24"/>
          <w:szCs w:val="24"/>
        </w:rPr>
        <w:t>dispomos dos perfi</w:t>
      </w:r>
      <w:r w:rsidRPr="00625311">
        <w:rPr>
          <w:rFonts w:ascii="Garamond" w:hAnsi="Garamond" w:cs="Arial"/>
          <w:sz w:val="24"/>
          <w:szCs w:val="24"/>
        </w:rPr>
        <w:t xml:space="preserve">s </w:t>
      </w:r>
      <w:r w:rsidR="000350B1" w:rsidRPr="00625311">
        <w:rPr>
          <w:rFonts w:ascii="Garamond" w:hAnsi="Garamond" w:cs="Arial"/>
          <w:sz w:val="24"/>
          <w:szCs w:val="24"/>
        </w:rPr>
        <w:t>profissionais</w:t>
      </w:r>
      <w:r w:rsidRPr="00625311">
        <w:rPr>
          <w:rFonts w:ascii="Garamond" w:hAnsi="Garamond" w:cs="Arial"/>
          <w:sz w:val="24"/>
          <w:szCs w:val="24"/>
        </w:rPr>
        <w:t xml:space="preserve"> que se nece</w:t>
      </w:r>
      <w:r w:rsidR="00BD6A0C" w:rsidRPr="00625311">
        <w:rPr>
          <w:rFonts w:ascii="Garamond" w:hAnsi="Garamond" w:cs="Arial"/>
          <w:sz w:val="24"/>
          <w:szCs w:val="24"/>
        </w:rPr>
        <w:t>s</w:t>
      </w:r>
      <w:r w:rsidRPr="00625311">
        <w:rPr>
          <w:rFonts w:ascii="Garamond" w:hAnsi="Garamond" w:cs="Arial"/>
          <w:sz w:val="24"/>
          <w:szCs w:val="24"/>
        </w:rPr>
        <w:t>sita</w:t>
      </w:r>
      <w:r w:rsidR="00BD6A0C" w:rsidRPr="00625311">
        <w:rPr>
          <w:rFonts w:ascii="Garamond" w:hAnsi="Garamond" w:cs="Arial"/>
          <w:sz w:val="24"/>
          <w:szCs w:val="24"/>
        </w:rPr>
        <w:t>m</w:t>
      </w:r>
      <w:r w:rsidRPr="00625311">
        <w:rPr>
          <w:rFonts w:ascii="Garamond" w:hAnsi="Garamond" w:cs="Arial"/>
          <w:sz w:val="24"/>
          <w:szCs w:val="24"/>
        </w:rPr>
        <w:t xml:space="preserve"> para </w:t>
      </w:r>
      <w:r w:rsidR="00BD6A0C" w:rsidRPr="00625311">
        <w:rPr>
          <w:rFonts w:ascii="Garamond" w:hAnsi="Garamond" w:cs="Arial"/>
          <w:sz w:val="24"/>
          <w:szCs w:val="24"/>
        </w:rPr>
        <w:t xml:space="preserve">ensinar </w:t>
      </w:r>
      <w:r w:rsidRPr="00625311">
        <w:rPr>
          <w:rFonts w:ascii="Garamond" w:hAnsi="Garamond" w:cs="Arial"/>
          <w:sz w:val="24"/>
          <w:szCs w:val="24"/>
        </w:rPr>
        <w:t xml:space="preserve">a </w:t>
      </w:r>
      <w:r w:rsidR="002C7510" w:rsidRPr="00625311">
        <w:rPr>
          <w:rFonts w:ascii="Garamond" w:hAnsi="Garamond" w:cs="Arial"/>
          <w:sz w:val="24"/>
          <w:szCs w:val="24"/>
        </w:rPr>
        <w:t>igualdade</w:t>
      </w:r>
      <w:r w:rsidRPr="00625311">
        <w:rPr>
          <w:rFonts w:ascii="Garamond" w:hAnsi="Garamond" w:cs="Arial"/>
          <w:sz w:val="24"/>
          <w:szCs w:val="24"/>
        </w:rPr>
        <w:t xml:space="preserve"> de género</w:t>
      </w:r>
      <w:r w:rsidR="0017186E" w:rsidRPr="00625311">
        <w:rPr>
          <w:rFonts w:ascii="Garamond" w:hAnsi="Garamond" w:cs="Arial"/>
          <w:sz w:val="24"/>
          <w:szCs w:val="24"/>
        </w:rPr>
        <w:t>,</w:t>
      </w:r>
      <w:r w:rsidRPr="00625311">
        <w:rPr>
          <w:rFonts w:ascii="Garamond" w:hAnsi="Garamond" w:cs="Arial"/>
          <w:sz w:val="24"/>
          <w:szCs w:val="24"/>
        </w:rPr>
        <w:t xml:space="preserve"> que n</w:t>
      </w:r>
      <w:r w:rsidR="00BD6A0C" w:rsidRPr="00625311">
        <w:rPr>
          <w:rFonts w:ascii="Garamond" w:hAnsi="Garamond" w:cs="Arial"/>
          <w:sz w:val="24"/>
          <w:szCs w:val="24"/>
        </w:rPr>
        <w:t>ã</w:t>
      </w:r>
      <w:r w:rsidRPr="00625311">
        <w:rPr>
          <w:rFonts w:ascii="Garamond" w:hAnsi="Garamond" w:cs="Arial"/>
          <w:sz w:val="24"/>
          <w:szCs w:val="24"/>
        </w:rPr>
        <w:t xml:space="preserve">o </w:t>
      </w:r>
      <w:r w:rsidR="00BD6A0C" w:rsidRPr="00625311">
        <w:rPr>
          <w:rFonts w:ascii="Garamond" w:hAnsi="Garamond" w:cs="Arial"/>
          <w:sz w:val="24"/>
          <w:szCs w:val="24"/>
        </w:rPr>
        <w:t xml:space="preserve">é a tábua </w:t>
      </w:r>
      <w:r w:rsidRPr="00625311">
        <w:rPr>
          <w:rFonts w:ascii="Garamond" w:hAnsi="Garamond" w:cs="Arial"/>
          <w:sz w:val="24"/>
          <w:szCs w:val="24"/>
        </w:rPr>
        <w:t xml:space="preserve">rasa </w:t>
      </w:r>
      <w:r w:rsidR="008A3DA2" w:rsidRPr="00625311">
        <w:rPr>
          <w:rFonts w:ascii="Garamond" w:hAnsi="Garamond" w:cs="Arial"/>
          <w:sz w:val="24"/>
          <w:szCs w:val="24"/>
        </w:rPr>
        <w:t>d</w:t>
      </w:r>
      <w:r w:rsidR="00BD6A0C" w:rsidRPr="00625311">
        <w:rPr>
          <w:rFonts w:ascii="Garamond" w:hAnsi="Garamond" w:cs="Arial"/>
          <w:sz w:val="24"/>
          <w:szCs w:val="24"/>
        </w:rPr>
        <w:t>a igualdade</w:t>
      </w:r>
      <w:r w:rsidRPr="00625311">
        <w:rPr>
          <w:rFonts w:ascii="Garamond" w:hAnsi="Garamond" w:cs="Arial"/>
          <w:sz w:val="24"/>
          <w:szCs w:val="24"/>
        </w:rPr>
        <w:t>.</w:t>
      </w:r>
    </w:p>
    <w:p w:rsidR="007A6A6C" w:rsidRPr="003A1174" w:rsidRDefault="00862235" w:rsidP="008719D4">
      <w:pPr>
        <w:pStyle w:val="Predeterminado"/>
        <w:spacing w:line="240" w:lineRule="auto"/>
        <w:jc w:val="both"/>
        <w:rPr>
          <w:rFonts w:ascii="Garamond" w:hAnsi="Garamond" w:cs="Arial"/>
          <w:color w:val="auto"/>
          <w:sz w:val="24"/>
          <w:szCs w:val="24"/>
          <w:lang w:val="pt-PT"/>
        </w:rPr>
      </w:pPr>
      <w:r w:rsidRPr="00625311">
        <w:rPr>
          <w:rFonts w:ascii="Garamond" w:hAnsi="Garamond" w:cs="Arial"/>
          <w:color w:val="auto"/>
          <w:sz w:val="24"/>
          <w:szCs w:val="24"/>
          <w:lang w:val="pt-PT"/>
        </w:rPr>
        <w:lastRenderedPageBreak/>
        <w:t>Além disso</w:t>
      </w:r>
      <w:r w:rsidR="00625311">
        <w:rPr>
          <w:rFonts w:ascii="Garamond" w:hAnsi="Garamond" w:cs="Arial"/>
          <w:color w:val="auto"/>
          <w:sz w:val="24"/>
          <w:szCs w:val="24"/>
          <w:lang w:val="pt-PT"/>
        </w:rPr>
        <w:t>,</w:t>
      </w:r>
      <w:r w:rsidRPr="00625311">
        <w:rPr>
          <w:rFonts w:ascii="Garamond" w:hAnsi="Garamond" w:cs="Arial"/>
          <w:color w:val="auto"/>
          <w:sz w:val="24"/>
          <w:szCs w:val="24"/>
          <w:lang w:val="pt-PT"/>
        </w:rPr>
        <w:t xml:space="preserve"> e</w:t>
      </w:r>
      <w:r w:rsidR="00BD6A0C" w:rsidRPr="00625311">
        <w:rPr>
          <w:rFonts w:ascii="Garamond" w:hAnsi="Garamond" w:cs="Arial"/>
          <w:color w:val="auto"/>
          <w:sz w:val="24"/>
          <w:szCs w:val="24"/>
          <w:lang w:val="pt-PT"/>
        </w:rPr>
        <w:t>m</w:t>
      </w:r>
      <w:r w:rsidR="007A6A6C" w:rsidRPr="00625311">
        <w:rPr>
          <w:rFonts w:ascii="Garamond" w:hAnsi="Garamond" w:cs="Arial"/>
          <w:color w:val="auto"/>
          <w:sz w:val="24"/>
          <w:szCs w:val="24"/>
          <w:lang w:val="pt-PT"/>
        </w:rPr>
        <w:t xml:space="preserve"> </w:t>
      </w:r>
      <w:r w:rsidR="0017447A" w:rsidRPr="00625311">
        <w:rPr>
          <w:rFonts w:ascii="Garamond" w:hAnsi="Garamond" w:cs="Arial"/>
          <w:color w:val="auto"/>
          <w:sz w:val="24"/>
          <w:szCs w:val="24"/>
          <w:lang w:val="pt-PT"/>
        </w:rPr>
        <w:t>Espanha</w:t>
      </w:r>
      <w:r w:rsidR="0017186E" w:rsidRPr="00625311">
        <w:rPr>
          <w:rFonts w:ascii="Garamond" w:hAnsi="Garamond" w:cs="Arial"/>
          <w:color w:val="auto"/>
          <w:sz w:val="24"/>
          <w:szCs w:val="24"/>
          <w:lang w:val="pt-PT"/>
        </w:rPr>
        <w:t>,</w:t>
      </w:r>
      <w:r w:rsidR="00BD6A0C" w:rsidRPr="00625311">
        <w:rPr>
          <w:rFonts w:ascii="Garamond" w:hAnsi="Garamond" w:cs="Arial"/>
          <w:color w:val="auto"/>
          <w:sz w:val="24"/>
          <w:szCs w:val="24"/>
          <w:lang w:val="pt-PT"/>
        </w:rPr>
        <w:t xml:space="preserve"> </w:t>
      </w:r>
      <w:r w:rsidR="007A6A6C" w:rsidRPr="00625311">
        <w:rPr>
          <w:rFonts w:ascii="Garamond" w:hAnsi="Garamond" w:cs="Arial"/>
          <w:color w:val="auto"/>
          <w:sz w:val="24"/>
          <w:szCs w:val="24"/>
          <w:lang w:val="pt-PT"/>
        </w:rPr>
        <w:t>co</w:t>
      </w:r>
      <w:r w:rsidR="00BD6A0C" w:rsidRPr="00625311">
        <w:rPr>
          <w:rFonts w:ascii="Garamond" w:hAnsi="Garamond" w:cs="Arial"/>
          <w:color w:val="auto"/>
          <w:sz w:val="24"/>
          <w:szCs w:val="24"/>
          <w:lang w:val="pt-PT"/>
        </w:rPr>
        <w:t xml:space="preserve">m </w:t>
      </w:r>
      <w:r w:rsidR="007A6A6C" w:rsidRPr="00625311">
        <w:rPr>
          <w:rFonts w:ascii="Garamond" w:hAnsi="Garamond" w:cs="Arial"/>
          <w:color w:val="auto"/>
          <w:sz w:val="24"/>
          <w:szCs w:val="24"/>
          <w:lang w:val="pt-PT"/>
        </w:rPr>
        <w:t xml:space="preserve">a </w:t>
      </w:r>
      <w:r w:rsidR="002A59E7" w:rsidRPr="00625311">
        <w:rPr>
          <w:rFonts w:ascii="Garamond" w:hAnsi="Garamond" w:cs="Arial"/>
          <w:color w:val="auto"/>
          <w:sz w:val="24"/>
          <w:szCs w:val="24"/>
          <w:lang w:val="pt-PT"/>
        </w:rPr>
        <w:t>nova</w:t>
      </w:r>
      <w:r w:rsidR="007A6A6C" w:rsidRPr="00625311">
        <w:rPr>
          <w:rFonts w:ascii="Garamond" w:hAnsi="Garamond" w:cs="Arial"/>
          <w:color w:val="auto"/>
          <w:sz w:val="24"/>
          <w:szCs w:val="24"/>
          <w:lang w:val="pt-PT"/>
        </w:rPr>
        <w:t xml:space="preserve"> </w:t>
      </w:r>
      <w:r w:rsidR="00D15AFF" w:rsidRPr="00625311">
        <w:rPr>
          <w:rFonts w:ascii="Garamond" w:hAnsi="Garamond" w:cs="Arial"/>
          <w:color w:val="auto"/>
          <w:sz w:val="24"/>
          <w:szCs w:val="24"/>
          <w:lang w:val="pt-PT"/>
        </w:rPr>
        <w:t>lei</w:t>
      </w:r>
      <w:r w:rsidR="00BD6A0C" w:rsidRPr="00625311">
        <w:rPr>
          <w:rFonts w:ascii="Garamond" w:hAnsi="Garamond" w:cs="Arial"/>
          <w:color w:val="auto"/>
          <w:sz w:val="24"/>
          <w:szCs w:val="24"/>
          <w:lang w:val="pt-PT"/>
        </w:rPr>
        <w:t xml:space="preserve"> de tax</w:t>
      </w:r>
      <w:r w:rsidR="007A6A6C" w:rsidRPr="00625311">
        <w:rPr>
          <w:rFonts w:ascii="Garamond" w:hAnsi="Garamond" w:cs="Arial"/>
          <w:color w:val="auto"/>
          <w:sz w:val="24"/>
          <w:szCs w:val="24"/>
          <w:lang w:val="pt-PT"/>
        </w:rPr>
        <w:t>as que</w:t>
      </w:r>
      <w:r w:rsidRPr="00625311">
        <w:rPr>
          <w:rFonts w:ascii="Garamond" w:hAnsi="Garamond" w:cs="Arial"/>
          <w:color w:val="auto"/>
          <w:sz w:val="24"/>
          <w:szCs w:val="24"/>
          <w:lang w:val="pt-PT"/>
        </w:rPr>
        <w:t>,</w:t>
      </w:r>
      <w:r w:rsidR="007A6A6C" w:rsidRPr="00625311">
        <w:rPr>
          <w:rFonts w:ascii="Garamond" w:hAnsi="Garamond" w:cs="Arial"/>
          <w:color w:val="auto"/>
          <w:sz w:val="24"/>
          <w:szCs w:val="24"/>
          <w:lang w:val="pt-PT"/>
        </w:rPr>
        <w:t xml:space="preserve"> tanto </w:t>
      </w:r>
      <w:r w:rsidR="00BD6A0C" w:rsidRPr="00625311">
        <w:rPr>
          <w:rFonts w:ascii="Garamond" w:hAnsi="Garamond" w:cs="Arial"/>
          <w:color w:val="auto"/>
          <w:sz w:val="24"/>
          <w:szCs w:val="24"/>
          <w:lang w:val="pt-PT"/>
        </w:rPr>
        <w:t>o poder judicial como a</w:t>
      </w:r>
      <w:r w:rsidR="007A6A6C" w:rsidRPr="00625311">
        <w:rPr>
          <w:rFonts w:ascii="Garamond" w:hAnsi="Garamond" w:cs="Arial"/>
          <w:color w:val="auto"/>
          <w:sz w:val="24"/>
          <w:szCs w:val="24"/>
          <w:lang w:val="pt-PT"/>
        </w:rPr>
        <w:t xml:space="preserve">s </w:t>
      </w:r>
      <w:r w:rsidR="00BD6A0C" w:rsidRPr="00625311">
        <w:rPr>
          <w:rFonts w:ascii="Garamond" w:hAnsi="Garamond" w:cs="Arial"/>
          <w:color w:val="auto"/>
          <w:sz w:val="24"/>
          <w:szCs w:val="24"/>
          <w:lang w:val="pt-PT"/>
        </w:rPr>
        <w:t xml:space="preserve">ordens </w:t>
      </w:r>
      <w:r w:rsidR="007A6A6C" w:rsidRPr="00625311">
        <w:rPr>
          <w:rFonts w:ascii="Garamond" w:hAnsi="Garamond" w:cs="Arial"/>
          <w:color w:val="auto"/>
          <w:sz w:val="24"/>
          <w:szCs w:val="24"/>
          <w:lang w:val="pt-PT"/>
        </w:rPr>
        <w:t xml:space="preserve">de </w:t>
      </w:r>
      <w:r w:rsidR="009A0CC2" w:rsidRPr="00625311">
        <w:rPr>
          <w:rFonts w:ascii="Garamond" w:hAnsi="Garamond" w:cs="Arial"/>
          <w:color w:val="auto"/>
          <w:sz w:val="24"/>
          <w:szCs w:val="24"/>
          <w:lang w:val="pt-PT"/>
        </w:rPr>
        <w:t>advogado</w:t>
      </w:r>
      <w:r w:rsidR="007A6A6C" w:rsidRPr="00625311">
        <w:rPr>
          <w:rFonts w:ascii="Garamond" w:hAnsi="Garamond" w:cs="Arial"/>
          <w:color w:val="auto"/>
          <w:sz w:val="24"/>
          <w:szCs w:val="24"/>
          <w:lang w:val="pt-PT"/>
        </w:rPr>
        <w:t>s denuncia</w:t>
      </w:r>
      <w:r w:rsidR="00BD6A0C" w:rsidRPr="00625311">
        <w:rPr>
          <w:rFonts w:ascii="Garamond" w:hAnsi="Garamond" w:cs="Arial"/>
          <w:color w:val="auto"/>
          <w:sz w:val="24"/>
          <w:szCs w:val="24"/>
          <w:lang w:val="pt-PT"/>
        </w:rPr>
        <w:t>ram</w:t>
      </w:r>
      <w:r w:rsidR="00BD6A0C" w:rsidRPr="003A1174">
        <w:rPr>
          <w:rFonts w:ascii="Garamond" w:hAnsi="Garamond" w:cs="Arial"/>
          <w:color w:val="auto"/>
          <w:sz w:val="24"/>
          <w:szCs w:val="24"/>
          <w:lang w:val="pt-PT"/>
        </w:rPr>
        <w:t>, o</w:t>
      </w:r>
      <w:r w:rsidR="007A6A6C"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acesso</w:t>
      </w:r>
      <w:r w:rsidR="007A6A6C" w:rsidRPr="003A1174">
        <w:rPr>
          <w:rFonts w:ascii="Garamond" w:hAnsi="Garamond" w:cs="Arial"/>
          <w:color w:val="auto"/>
          <w:sz w:val="24"/>
          <w:szCs w:val="24"/>
          <w:lang w:val="pt-PT"/>
        </w:rPr>
        <w:t xml:space="preserve"> aos </w:t>
      </w:r>
      <w:r w:rsidR="00FB09CA" w:rsidRPr="003A1174">
        <w:rPr>
          <w:rFonts w:ascii="Garamond" w:hAnsi="Garamond" w:cs="Arial"/>
          <w:color w:val="auto"/>
          <w:sz w:val="24"/>
          <w:szCs w:val="24"/>
          <w:lang w:val="pt-PT"/>
        </w:rPr>
        <w:t>tribunais</w:t>
      </w:r>
      <w:r w:rsidR="007A6A6C" w:rsidRPr="003A1174">
        <w:rPr>
          <w:rFonts w:ascii="Garamond" w:hAnsi="Garamond" w:cs="Arial"/>
          <w:color w:val="auto"/>
          <w:sz w:val="24"/>
          <w:szCs w:val="24"/>
          <w:lang w:val="pt-PT"/>
        </w:rPr>
        <w:t xml:space="preserve"> </w:t>
      </w:r>
      <w:r w:rsidR="00BD6A0C" w:rsidRPr="003A1174">
        <w:rPr>
          <w:rFonts w:ascii="Garamond" w:hAnsi="Garamond" w:cs="Arial"/>
          <w:color w:val="auto"/>
          <w:sz w:val="24"/>
          <w:szCs w:val="24"/>
          <w:lang w:val="pt-PT"/>
        </w:rPr>
        <w:t xml:space="preserve">é </w:t>
      </w:r>
      <w:r w:rsidR="007A6A6C" w:rsidRPr="003A1174">
        <w:rPr>
          <w:rFonts w:ascii="Garamond" w:hAnsi="Garamond" w:cs="Arial"/>
          <w:color w:val="auto"/>
          <w:sz w:val="24"/>
          <w:szCs w:val="24"/>
          <w:lang w:val="pt-PT"/>
        </w:rPr>
        <w:t xml:space="preserve">cada </w:t>
      </w:r>
      <w:r w:rsidR="008D2F69" w:rsidRPr="003A1174">
        <w:rPr>
          <w:rFonts w:ascii="Garamond" w:hAnsi="Garamond" w:cs="Arial"/>
          <w:color w:val="auto"/>
          <w:sz w:val="24"/>
          <w:szCs w:val="24"/>
          <w:lang w:val="pt-PT"/>
        </w:rPr>
        <w:t xml:space="preserve">vez </w:t>
      </w:r>
      <w:r w:rsidR="00BD6A0C" w:rsidRPr="003A1174">
        <w:rPr>
          <w:rFonts w:ascii="Garamond" w:hAnsi="Garamond" w:cs="Arial"/>
          <w:color w:val="auto"/>
          <w:sz w:val="24"/>
          <w:szCs w:val="24"/>
          <w:lang w:val="pt-PT"/>
        </w:rPr>
        <w:t>mai</w:t>
      </w:r>
      <w:r w:rsidR="007A6A6C" w:rsidRPr="003A1174">
        <w:rPr>
          <w:rFonts w:ascii="Garamond" w:hAnsi="Garamond" w:cs="Arial"/>
          <w:color w:val="auto"/>
          <w:sz w:val="24"/>
          <w:szCs w:val="24"/>
          <w:lang w:val="pt-PT"/>
        </w:rPr>
        <w:t>s c</w:t>
      </w:r>
      <w:r w:rsidR="00BD6A0C" w:rsidRPr="003A1174">
        <w:rPr>
          <w:rFonts w:ascii="Garamond" w:hAnsi="Garamond" w:cs="Arial"/>
          <w:color w:val="auto"/>
          <w:sz w:val="24"/>
          <w:szCs w:val="24"/>
          <w:lang w:val="pt-PT"/>
        </w:rPr>
        <w:t xml:space="preserve">aro e mais </w:t>
      </w:r>
      <w:r w:rsidR="007A6A6C" w:rsidRPr="003A1174">
        <w:rPr>
          <w:rFonts w:ascii="Garamond" w:hAnsi="Garamond" w:cs="Arial"/>
          <w:color w:val="auto"/>
          <w:sz w:val="24"/>
          <w:szCs w:val="24"/>
          <w:lang w:val="pt-PT"/>
        </w:rPr>
        <w:t>elitista.</w:t>
      </w:r>
    </w:p>
    <w:p w:rsidR="00D01B8C" w:rsidRPr="003A1174" w:rsidRDefault="00BD6A0C"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17447A" w:rsidRPr="003A1174">
        <w:rPr>
          <w:rFonts w:ascii="Garamond" w:hAnsi="Garamond" w:cs="Arial"/>
          <w:color w:val="auto"/>
          <w:sz w:val="24"/>
          <w:szCs w:val="24"/>
          <w:lang w:val="pt-PT"/>
        </w:rPr>
        <w:t>situação</w:t>
      </w:r>
      <w:r w:rsidR="007A6A6C"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7A6A6C"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acesso</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007A6A6C" w:rsidRPr="003A1174">
        <w:rPr>
          <w:rFonts w:ascii="Garamond" w:hAnsi="Garamond" w:cs="Arial"/>
          <w:color w:val="auto"/>
          <w:sz w:val="24"/>
          <w:szCs w:val="24"/>
          <w:lang w:val="pt-PT"/>
        </w:rPr>
        <w:t xml:space="preserve"> por parte </w:t>
      </w:r>
      <w:r w:rsidR="00497503" w:rsidRPr="003A1174">
        <w:rPr>
          <w:rFonts w:ascii="Garamond" w:hAnsi="Garamond" w:cs="Arial"/>
          <w:color w:val="auto"/>
          <w:sz w:val="24"/>
          <w:szCs w:val="24"/>
          <w:lang w:val="pt-PT"/>
        </w:rPr>
        <w:t>das</w:t>
      </w:r>
      <w:r w:rsidR="007A6A6C"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é</w:t>
      </w:r>
      <w:r w:rsidR="00862235">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862235">
        <w:rPr>
          <w:rFonts w:ascii="Garamond" w:hAnsi="Garamond" w:cs="Arial"/>
          <w:color w:val="auto"/>
          <w:sz w:val="24"/>
          <w:szCs w:val="24"/>
          <w:lang w:val="pt-PT"/>
        </w:rPr>
        <w:t xml:space="preserve">na verdade, </w:t>
      </w:r>
      <w:r w:rsidR="007A6A6C" w:rsidRPr="003A1174">
        <w:rPr>
          <w:rFonts w:ascii="Garamond" w:hAnsi="Garamond" w:cs="Arial"/>
          <w:color w:val="auto"/>
          <w:sz w:val="24"/>
          <w:szCs w:val="24"/>
          <w:lang w:val="pt-PT"/>
        </w:rPr>
        <w:t xml:space="preserve">deficiente </w:t>
      </w:r>
      <w:r w:rsidRPr="003A1174">
        <w:rPr>
          <w:rFonts w:ascii="Garamond" w:hAnsi="Garamond" w:cs="Arial"/>
          <w:color w:val="auto"/>
          <w:sz w:val="24"/>
          <w:szCs w:val="24"/>
          <w:lang w:val="pt-PT"/>
        </w:rPr>
        <w:t>n</w:t>
      </w:r>
      <w:r w:rsidR="007A6A6C" w:rsidRPr="003A1174">
        <w:rPr>
          <w:rFonts w:ascii="Garamond" w:hAnsi="Garamond" w:cs="Arial"/>
          <w:color w:val="auto"/>
          <w:sz w:val="24"/>
          <w:szCs w:val="24"/>
          <w:lang w:val="pt-PT"/>
        </w:rPr>
        <w:t>estas latitudes</w:t>
      </w:r>
      <w:r w:rsidR="0017186E" w:rsidRPr="003A1174">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00EE7406" w:rsidRPr="003A1174">
        <w:rPr>
          <w:rFonts w:ascii="Garamond" w:hAnsi="Garamond" w:cs="Arial"/>
          <w:color w:val="auto"/>
          <w:sz w:val="24"/>
          <w:szCs w:val="24"/>
          <w:lang w:val="pt-PT"/>
        </w:rPr>
        <w:t>apesar</w:t>
      </w:r>
      <w:r w:rsidRPr="003A1174">
        <w:rPr>
          <w:rFonts w:ascii="Garamond" w:hAnsi="Garamond" w:cs="Arial"/>
          <w:color w:val="auto"/>
          <w:sz w:val="24"/>
          <w:szCs w:val="24"/>
          <w:lang w:val="pt-PT"/>
        </w:rPr>
        <w:t xml:space="preserve"> d</w:t>
      </w:r>
      <w:r w:rsidR="007A6A6C"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enorme quantidade</w:t>
      </w:r>
      <w:r w:rsidR="007A6A6C"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legislação</w:t>
      </w:r>
      <w:r w:rsidR="007A6A6C" w:rsidRPr="003A1174">
        <w:rPr>
          <w:rFonts w:ascii="Garamond" w:hAnsi="Garamond" w:cs="Arial"/>
          <w:color w:val="auto"/>
          <w:sz w:val="24"/>
          <w:szCs w:val="24"/>
          <w:lang w:val="pt-PT"/>
        </w:rPr>
        <w:t xml:space="preserve"> que existe</w:t>
      </w:r>
      <w:r w:rsidR="00862235">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n</w:t>
      </w:r>
      <w:r w:rsidRPr="003A1174">
        <w:rPr>
          <w:rFonts w:ascii="Garamond" w:hAnsi="Garamond" w:cs="Arial"/>
          <w:color w:val="auto"/>
          <w:sz w:val="24"/>
          <w:szCs w:val="24"/>
          <w:lang w:val="pt-PT"/>
        </w:rPr>
        <w:t>ã</w:t>
      </w:r>
      <w:r w:rsidR="007A6A6C" w:rsidRPr="003A1174">
        <w:rPr>
          <w:rFonts w:ascii="Garamond" w:hAnsi="Garamond" w:cs="Arial"/>
          <w:color w:val="auto"/>
          <w:sz w:val="24"/>
          <w:szCs w:val="24"/>
          <w:lang w:val="pt-PT"/>
        </w:rPr>
        <w:t>o s</w:t>
      </w:r>
      <w:r w:rsidRPr="003A1174">
        <w:rPr>
          <w:rFonts w:ascii="Garamond" w:hAnsi="Garamond" w:cs="Arial"/>
          <w:color w:val="auto"/>
          <w:sz w:val="24"/>
          <w:szCs w:val="24"/>
          <w:lang w:val="pt-PT"/>
        </w:rPr>
        <w:t xml:space="preserve">ó </w:t>
      </w:r>
      <w:r w:rsidR="007A6A6C" w:rsidRPr="003A1174">
        <w:rPr>
          <w:rFonts w:ascii="Garamond" w:hAnsi="Garamond" w:cs="Arial"/>
          <w:color w:val="auto"/>
          <w:sz w:val="24"/>
          <w:szCs w:val="24"/>
          <w:lang w:val="pt-PT"/>
        </w:rPr>
        <w:t xml:space="preserve">a </w:t>
      </w:r>
      <w:r w:rsidR="0017447A" w:rsidRPr="003A1174">
        <w:rPr>
          <w:rFonts w:ascii="Garamond" w:hAnsi="Garamond" w:cs="Arial"/>
          <w:color w:val="auto"/>
          <w:sz w:val="24"/>
          <w:szCs w:val="24"/>
          <w:lang w:val="pt-PT"/>
        </w:rPr>
        <w:t>nível</w:t>
      </w:r>
      <w:r w:rsidR="007A6A6C" w:rsidRPr="003A1174">
        <w:rPr>
          <w:rFonts w:ascii="Garamond" w:hAnsi="Garamond" w:cs="Arial"/>
          <w:color w:val="auto"/>
          <w:sz w:val="24"/>
          <w:szCs w:val="24"/>
          <w:lang w:val="pt-PT"/>
        </w:rPr>
        <w:t xml:space="preserve"> internacional</w:t>
      </w:r>
      <w:r w:rsidR="00862235">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como também,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00F320F4" w:rsidRPr="003A1174">
        <w:rPr>
          <w:rFonts w:ascii="Garamond" w:hAnsi="Garamond" w:cs="Arial"/>
          <w:color w:val="auto"/>
          <w:sz w:val="24"/>
          <w:szCs w:val="24"/>
          <w:lang w:val="pt-PT"/>
        </w:rPr>
        <w:t>sobretudo</w:t>
      </w:r>
      <w:r w:rsidR="007A6A6C"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a nível</w:t>
      </w:r>
      <w:r w:rsidR="007A6A6C" w:rsidRPr="003A1174">
        <w:rPr>
          <w:rFonts w:ascii="Garamond" w:hAnsi="Garamond" w:cs="Arial"/>
          <w:color w:val="auto"/>
          <w:sz w:val="24"/>
          <w:szCs w:val="24"/>
          <w:lang w:val="pt-PT"/>
        </w:rPr>
        <w:t xml:space="preserve"> europe</w:t>
      </w:r>
      <w:r w:rsidRPr="003A1174">
        <w:rPr>
          <w:rFonts w:ascii="Garamond" w:hAnsi="Garamond" w:cs="Arial"/>
          <w:color w:val="auto"/>
          <w:sz w:val="24"/>
          <w:szCs w:val="24"/>
          <w:lang w:val="pt-PT"/>
        </w:rPr>
        <w:t>u</w:t>
      </w:r>
      <w:r w:rsidR="007A6A6C" w:rsidRPr="003A1174">
        <w:rPr>
          <w:rFonts w:ascii="Garamond" w:hAnsi="Garamond" w:cs="Arial"/>
          <w:color w:val="auto"/>
          <w:sz w:val="24"/>
          <w:szCs w:val="24"/>
          <w:lang w:val="pt-PT"/>
        </w:rPr>
        <w:t xml:space="preserve">. </w:t>
      </w:r>
      <w:r w:rsidR="0074243F" w:rsidRPr="003A1174">
        <w:rPr>
          <w:rFonts w:ascii="Garamond" w:hAnsi="Garamond" w:cs="Arial"/>
          <w:color w:val="auto"/>
          <w:sz w:val="24"/>
          <w:szCs w:val="24"/>
          <w:lang w:val="pt-PT"/>
        </w:rPr>
        <w:t>Mas</w:t>
      </w:r>
      <w:r w:rsidR="00862235">
        <w:rPr>
          <w:rFonts w:ascii="Garamond" w:hAnsi="Garamond" w:cs="Arial"/>
          <w:color w:val="auto"/>
          <w:sz w:val="24"/>
          <w:szCs w:val="24"/>
          <w:lang w:val="pt-PT"/>
        </w:rPr>
        <w:t>,</w:t>
      </w:r>
      <w:r w:rsidR="007A6A6C" w:rsidRPr="003A1174">
        <w:rPr>
          <w:rFonts w:ascii="Garamond" w:hAnsi="Garamond" w:cs="Arial"/>
          <w:color w:val="auto"/>
          <w:sz w:val="24"/>
          <w:szCs w:val="24"/>
          <w:lang w:val="pt-PT"/>
        </w:rPr>
        <w:t xml:space="preserve"> rep</w:t>
      </w:r>
      <w:r w:rsidRPr="003A1174">
        <w:rPr>
          <w:rFonts w:ascii="Garamond" w:hAnsi="Garamond" w:cs="Arial"/>
          <w:color w:val="auto"/>
          <w:sz w:val="24"/>
          <w:szCs w:val="24"/>
          <w:lang w:val="pt-PT"/>
        </w:rPr>
        <w:t>etimos</w:t>
      </w:r>
      <w:r w:rsidR="00862235">
        <w:rPr>
          <w:rFonts w:ascii="Garamond" w:hAnsi="Garamond" w:cs="Arial"/>
          <w:color w:val="auto"/>
          <w:sz w:val="24"/>
          <w:szCs w:val="24"/>
          <w:lang w:val="pt-PT"/>
        </w:rPr>
        <w:t>,</w:t>
      </w:r>
      <w:r w:rsidRPr="003A1174">
        <w:rPr>
          <w:rFonts w:ascii="Garamond" w:hAnsi="Garamond" w:cs="Arial"/>
          <w:color w:val="auto"/>
          <w:sz w:val="24"/>
          <w:szCs w:val="24"/>
          <w:lang w:val="pt-PT"/>
        </w:rPr>
        <w:t xml:space="preserve"> que não é apenas o </w:t>
      </w:r>
      <w:r w:rsidR="00F520D6" w:rsidRPr="003A1174">
        <w:rPr>
          <w:rFonts w:ascii="Garamond" w:hAnsi="Garamond" w:cs="Arial"/>
          <w:color w:val="auto"/>
          <w:sz w:val="24"/>
          <w:szCs w:val="24"/>
          <w:lang w:val="pt-PT"/>
        </w:rPr>
        <w:t>reconhecimento</w:t>
      </w:r>
      <w:r w:rsidR="007A6A6C"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7A6A6C" w:rsidRPr="003A1174">
        <w:rPr>
          <w:rFonts w:ascii="Garamond" w:hAnsi="Garamond" w:cs="Arial"/>
          <w:color w:val="auto"/>
          <w:sz w:val="24"/>
          <w:szCs w:val="24"/>
          <w:lang w:val="pt-PT"/>
        </w:rPr>
        <w:t xml:space="preserve">s </w:t>
      </w:r>
      <w:r w:rsidR="00862235">
        <w:rPr>
          <w:rFonts w:ascii="Garamond" w:hAnsi="Garamond" w:cs="Arial"/>
          <w:color w:val="auto"/>
          <w:sz w:val="24"/>
          <w:szCs w:val="24"/>
          <w:lang w:val="pt-PT"/>
        </w:rPr>
        <w:t xml:space="preserve">de </w:t>
      </w:r>
      <w:r w:rsidR="007A6A6C" w:rsidRPr="003A1174">
        <w:rPr>
          <w:rFonts w:ascii="Garamond" w:hAnsi="Garamond" w:cs="Arial"/>
          <w:color w:val="auto"/>
          <w:sz w:val="24"/>
          <w:szCs w:val="24"/>
          <w:lang w:val="pt-PT"/>
        </w:rPr>
        <w:t>que nece</w:t>
      </w:r>
      <w:r w:rsidRPr="003A1174">
        <w:rPr>
          <w:rFonts w:ascii="Garamond" w:hAnsi="Garamond" w:cs="Arial"/>
          <w:color w:val="auto"/>
          <w:sz w:val="24"/>
          <w:szCs w:val="24"/>
          <w:lang w:val="pt-PT"/>
        </w:rPr>
        <w:t>s</w:t>
      </w:r>
      <w:r w:rsidR="007A6A6C" w:rsidRPr="003A1174">
        <w:rPr>
          <w:rFonts w:ascii="Garamond" w:hAnsi="Garamond" w:cs="Arial"/>
          <w:color w:val="auto"/>
          <w:sz w:val="24"/>
          <w:szCs w:val="24"/>
          <w:lang w:val="pt-PT"/>
        </w:rPr>
        <w:t>sitamos</w:t>
      </w:r>
      <w:r w:rsidR="008208DF"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mas</w:t>
      </w:r>
      <w:r w:rsidR="00862235">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também</w:t>
      </w:r>
      <w:r w:rsidR="00862235">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7A6A6C" w:rsidRPr="003A1174">
        <w:rPr>
          <w:rFonts w:ascii="Garamond" w:hAnsi="Garamond" w:cs="Arial"/>
          <w:color w:val="auto"/>
          <w:sz w:val="24"/>
          <w:szCs w:val="24"/>
          <w:lang w:val="pt-PT"/>
        </w:rPr>
        <w:t xml:space="preserve">as </w:t>
      </w:r>
      <w:r w:rsidR="00A56F43" w:rsidRPr="003A1174">
        <w:rPr>
          <w:rFonts w:ascii="Garamond" w:hAnsi="Garamond" w:cs="Arial"/>
          <w:color w:val="auto"/>
          <w:sz w:val="24"/>
          <w:szCs w:val="24"/>
          <w:lang w:val="pt-PT"/>
        </w:rPr>
        <w:t>garantia</w:t>
      </w:r>
      <w:r w:rsidR="007A6A6C" w:rsidRPr="003A1174">
        <w:rPr>
          <w:rFonts w:ascii="Garamond" w:hAnsi="Garamond" w:cs="Arial"/>
          <w:color w:val="auto"/>
          <w:sz w:val="24"/>
          <w:szCs w:val="24"/>
          <w:lang w:val="pt-PT"/>
        </w:rPr>
        <w:t>s para</w:t>
      </w:r>
      <w:r w:rsidRPr="003A1174">
        <w:rPr>
          <w:rFonts w:ascii="Garamond" w:hAnsi="Garamond" w:cs="Arial"/>
          <w:color w:val="auto"/>
          <w:sz w:val="24"/>
          <w:szCs w:val="24"/>
          <w:lang w:val="pt-PT"/>
        </w:rPr>
        <w:t xml:space="preserve"> os </w:t>
      </w:r>
      <w:r w:rsidR="007A6A6C" w:rsidRPr="003A1174">
        <w:rPr>
          <w:rFonts w:ascii="Garamond" w:hAnsi="Garamond" w:cs="Arial"/>
          <w:color w:val="auto"/>
          <w:sz w:val="24"/>
          <w:szCs w:val="24"/>
          <w:lang w:val="pt-PT"/>
        </w:rPr>
        <w:t xml:space="preserve">poder </w:t>
      </w:r>
      <w:r w:rsidR="00563640" w:rsidRPr="003A1174">
        <w:rPr>
          <w:rFonts w:ascii="Garamond" w:hAnsi="Garamond" w:cs="Arial"/>
          <w:color w:val="auto"/>
          <w:sz w:val="24"/>
          <w:szCs w:val="24"/>
          <w:lang w:val="pt-PT"/>
        </w:rPr>
        <w:t>exercer</w:t>
      </w:r>
      <w:r w:rsidR="007A6A6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7A6A6C"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é d</w:t>
      </w:r>
      <w:r w:rsidR="007A6A6C" w:rsidRPr="003A1174">
        <w:rPr>
          <w:rFonts w:ascii="Garamond" w:hAnsi="Garamond" w:cs="Arial"/>
          <w:color w:val="auto"/>
          <w:sz w:val="24"/>
          <w:szCs w:val="24"/>
          <w:lang w:val="pt-PT"/>
        </w:rPr>
        <w:t>e</w:t>
      </w:r>
      <w:r w:rsidRPr="003A1174">
        <w:rPr>
          <w:rFonts w:ascii="Garamond" w:hAnsi="Garamond" w:cs="Arial"/>
          <w:color w:val="auto"/>
          <w:sz w:val="24"/>
          <w:szCs w:val="24"/>
          <w:lang w:val="pt-PT"/>
        </w:rPr>
        <w:t>s</w:t>
      </w:r>
      <w:r w:rsidR="007A6A6C" w:rsidRPr="003A1174">
        <w:rPr>
          <w:rFonts w:ascii="Garamond" w:hAnsi="Garamond" w:cs="Arial"/>
          <w:color w:val="auto"/>
          <w:sz w:val="24"/>
          <w:szCs w:val="24"/>
          <w:lang w:val="pt-PT"/>
        </w:rPr>
        <w:t xml:space="preserve">sas </w:t>
      </w:r>
      <w:r w:rsidR="00A56F43" w:rsidRPr="003A1174">
        <w:rPr>
          <w:rFonts w:ascii="Garamond" w:hAnsi="Garamond" w:cs="Arial"/>
          <w:color w:val="auto"/>
          <w:sz w:val="24"/>
          <w:szCs w:val="24"/>
          <w:lang w:val="pt-PT"/>
        </w:rPr>
        <w:t>garantia</w:t>
      </w:r>
      <w:r w:rsidR="007A6A6C" w:rsidRPr="003A1174">
        <w:rPr>
          <w:rFonts w:ascii="Garamond" w:hAnsi="Garamond" w:cs="Arial"/>
          <w:color w:val="auto"/>
          <w:sz w:val="24"/>
          <w:szCs w:val="24"/>
          <w:lang w:val="pt-PT"/>
        </w:rPr>
        <w:t xml:space="preserve">s que </w:t>
      </w:r>
      <w:r w:rsidRPr="003A1174">
        <w:rPr>
          <w:rFonts w:ascii="Garamond" w:hAnsi="Garamond" w:cs="Arial"/>
          <w:color w:val="auto"/>
          <w:sz w:val="24"/>
          <w:szCs w:val="24"/>
          <w:lang w:val="pt-PT"/>
        </w:rPr>
        <w:t>padecemos</w:t>
      </w:r>
      <w:r w:rsidR="007A6A6C" w:rsidRPr="003A1174">
        <w:rPr>
          <w:rFonts w:ascii="Garamond" w:hAnsi="Garamond" w:cs="Arial"/>
          <w:color w:val="auto"/>
          <w:sz w:val="24"/>
          <w:szCs w:val="24"/>
          <w:lang w:val="pt-PT"/>
        </w:rPr>
        <w:t xml:space="preserve">. </w:t>
      </w:r>
      <w:r w:rsidR="008208DF" w:rsidRPr="003A1174">
        <w:rPr>
          <w:rFonts w:ascii="Garamond" w:hAnsi="Garamond" w:cs="Arial"/>
          <w:color w:val="auto"/>
          <w:sz w:val="24"/>
          <w:szCs w:val="24"/>
          <w:lang w:val="pt-PT"/>
        </w:rPr>
        <w:t>E</w:t>
      </w:r>
      <w:r w:rsidRPr="003A1174">
        <w:rPr>
          <w:rFonts w:ascii="Garamond" w:hAnsi="Garamond" w:cs="Arial"/>
          <w:color w:val="auto"/>
          <w:sz w:val="24"/>
          <w:szCs w:val="24"/>
          <w:lang w:val="pt-PT"/>
        </w:rPr>
        <w:t>s</w:t>
      </w:r>
      <w:r w:rsidR="007A6A6C" w:rsidRPr="003A1174">
        <w:rPr>
          <w:rFonts w:ascii="Garamond" w:hAnsi="Garamond" w:cs="Arial"/>
          <w:color w:val="auto"/>
          <w:sz w:val="24"/>
          <w:szCs w:val="24"/>
          <w:lang w:val="pt-PT"/>
        </w:rPr>
        <w:t xml:space="preserve">sa </w:t>
      </w:r>
      <w:r w:rsidRPr="003A1174">
        <w:rPr>
          <w:rFonts w:ascii="Garamond" w:hAnsi="Garamond" w:cs="Arial"/>
          <w:color w:val="auto"/>
          <w:sz w:val="24"/>
          <w:szCs w:val="24"/>
          <w:lang w:val="pt-PT"/>
        </w:rPr>
        <w:t xml:space="preserve">é </w:t>
      </w:r>
      <w:r w:rsidR="007A6A6C" w:rsidRPr="003A1174">
        <w:rPr>
          <w:rFonts w:ascii="Garamond" w:hAnsi="Garamond" w:cs="Arial"/>
          <w:color w:val="auto"/>
          <w:sz w:val="24"/>
          <w:szCs w:val="24"/>
          <w:lang w:val="pt-PT"/>
        </w:rPr>
        <w:t xml:space="preserve">a </w:t>
      </w:r>
      <w:r w:rsidR="00802ACC" w:rsidRPr="003A1174">
        <w:rPr>
          <w:rFonts w:ascii="Garamond" w:hAnsi="Garamond" w:cs="Arial"/>
          <w:color w:val="auto"/>
          <w:sz w:val="24"/>
          <w:szCs w:val="24"/>
          <w:lang w:val="pt-PT"/>
        </w:rPr>
        <w:t>exigência</w:t>
      </w:r>
      <w:r w:rsidR="007A6A6C" w:rsidRPr="003A1174">
        <w:rPr>
          <w:rFonts w:ascii="Garamond" w:hAnsi="Garamond" w:cs="Arial"/>
          <w:color w:val="auto"/>
          <w:sz w:val="24"/>
          <w:szCs w:val="24"/>
          <w:lang w:val="pt-PT"/>
        </w:rPr>
        <w:t xml:space="preserve">. </w:t>
      </w:r>
    </w:p>
    <w:p w:rsidR="00FD7EE6" w:rsidRPr="003A1174" w:rsidRDefault="00FD7EE6" w:rsidP="008719D4">
      <w:pPr>
        <w:pStyle w:val="Predeterminado"/>
        <w:spacing w:line="240" w:lineRule="auto"/>
        <w:jc w:val="both"/>
        <w:rPr>
          <w:rFonts w:ascii="Garamond" w:hAnsi="Garamond" w:cs="Arial"/>
          <w:color w:val="auto"/>
          <w:sz w:val="24"/>
          <w:szCs w:val="24"/>
          <w:lang w:val="pt-PT"/>
        </w:rPr>
      </w:pPr>
    </w:p>
    <w:p w:rsidR="00FE7652" w:rsidRPr="003A1174" w:rsidRDefault="00030174" w:rsidP="008719D4">
      <w:pPr>
        <w:pStyle w:val="Predeterminado"/>
        <w:spacing w:before="240" w:line="240" w:lineRule="auto"/>
        <w:jc w:val="both"/>
        <w:rPr>
          <w:rFonts w:ascii="Garamond" w:hAnsi="Garamond" w:cs="Arial"/>
          <w:b/>
          <w:color w:val="auto"/>
          <w:sz w:val="24"/>
          <w:szCs w:val="24"/>
          <w:lang w:val="pt-PT"/>
        </w:rPr>
      </w:pPr>
      <w:r w:rsidRPr="003A1174">
        <w:rPr>
          <w:rFonts w:ascii="Garamond" w:eastAsia="Calibri" w:hAnsi="Garamond" w:cs="Arial"/>
          <w:b/>
          <w:sz w:val="24"/>
          <w:szCs w:val="24"/>
          <w:lang w:val="pt-PT"/>
        </w:rPr>
        <w:t>Honduras</w:t>
      </w:r>
      <w:r w:rsidR="00FE7652" w:rsidRPr="003A1174">
        <w:rPr>
          <w:rStyle w:val="Refdenotaalpie"/>
          <w:rFonts w:ascii="Garamond" w:hAnsi="Garamond" w:cs="Arial"/>
          <w:b/>
          <w:color w:val="auto"/>
          <w:sz w:val="24"/>
          <w:szCs w:val="24"/>
        </w:rPr>
        <w:footnoteReference w:id="70"/>
      </w:r>
    </w:p>
    <w:p w:rsidR="00F92EC2" w:rsidRPr="003A1174" w:rsidRDefault="008D2F69" w:rsidP="00BD6A0C">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As </w:t>
      </w:r>
      <w:r w:rsidR="00F92EC2" w:rsidRPr="003A1174">
        <w:rPr>
          <w:rFonts w:ascii="Garamond" w:hAnsi="Garamond" w:cs="Arial"/>
          <w:color w:val="auto"/>
          <w:sz w:val="24"/>
          <w:szCs w:val="24"/>
          <w:lang w:val="pt-PT"/>
        </w:rPr>
        <w:t xml:space="preserve">Honduras como </w:t>
      </w:r>
      <w:r w:rsidR="00F92EC2" w:rsidRPr="00542E90">
        <w:rPr>
          <w:rFonts w:ascii="Garamond" w:hAnsi="Garamond" w:cs="Arial"/>
          <w:color w:val="auto"/>
          <w:sz w:val="24"/>
          <w:szCs w:val="24"/>
          <w:lang w:val="pt-PT"/>
        </w:rPr>
        <w:t>Estado</w:t>
      </w:r>
      <w:r w:rsidR="00542E90" w:rsidRPr="00542E90">
        <w:rPr>
          <w:rFonts w:ascii="Garamond" w:hAnsi="Garamond" w:cs="Arial"/>
          <w:color w:val="auto"/>
          <w:sz w:val="24"/>
          <w:szCs w:val="24"/>
          <w:lang w:val="pt-PT"/>
        </w:rPr>
        <w:t>-M</w:t>
      </w:r>
      <w:r w:rsidR="00C30647" w:rsidRPr="00542E90">
        <w:rPr>
          <w:rFonts w:ascii="Garamond" w:hAnsi="Garamond" w:cs="Arial"/>
          <w:color w:val="auto"/>
          <w:sz w:val="24"/>
          <w:szCs w:val="24"/>
          <w:lang w:val="pt-PT"/>
        </w:rPr>
        <w:t>embro</w:t>
      </w:r>
      <w:r w:rsidR="00BD6A0C" w:rsidRPr="003A1174">
        <w:rPr>
          <w:rFonts w:ascii="Garamond" w:hAnsi="Garamond" w:cs="Arial"/>
          <w:color w:val="auto"/>
          <w:sz w:val="24"/>
          <w:szCs w:val="24"/>
          <w:lang w:val="pt-PT"/>
        </w:rPr>
        <w:t xml:space="preserve"> d</w:t>
      </w:r>
      <w:r w:rsidR="00F92EC2" w:rsidRPr="003A1174">
        <w:rPr>
          <w:rFonts w:ascii="Garamond" w:hAnsi="Garamond" w:cs="Arial"/>
          <w:color w:val="auto"/>
          <w:sz w:val="24"/>
          <w:szCs w:val="24"/>
          <w:lang w:val="pt-PT"/>
        </w:rPr>
        <w:t xml:space="preserve">a </w:t>
      </w:r>
      <w:r w:rsidR="008E7A2A" w:rsidRPr="003A1174">
        <w:rPr>
          <w:rFonts w:ascii="Garamond" w:hAnsi="Garamond" w:cs="Arial"/>
          <w:color w:val="auto"/>
          <w:sz w:val="24"/>
          <w:szCs w:val="24"/>
          <w:lang w:val="pt-PT"/>
        </w:rPr>
        <w:t>Organização</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F92EC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Nações</w:t>
      </w:r>
      <w:r w:rsidR="00F92EC2" w:rsidRPr="003A1174">
        <w:rPr>
          <w:rFonts w:ascii="Garamond" w:hAnsi="Garamond" w:cs="Arial"/>
          <w:color w:val="auto"/>
          <w:sz w:val="24"/>
          <w:szCs w:val="24"/>
          <w:lang w:val="pt-PT"/>
        </w:rPr>
        <w:t xml:space="preserve"> Unidas (ONU)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da </w:t>
      </w:r>
      <w:r w:rsidR="008E7A2A" w:rsidRPr="003A1174">
        <w:rPr>
          <w:rFonts w:ascii="Garamond" w:hAnsi="Garamond" w:cs="Arial"/>
          <w:color w:val="auto"/>
          <w:sz w:val="24"/>
          <w:szCs w:val="24"/>
          <w:lang w:val="pt-PT"/>
        </w:rPr>
        <w:t>Organização</w:t>
      </w:r>
      <w:r w:rsidR="00F92EC2" w:rsidRPr="003A1174">
        <w:rPr>
          <w:rFonts w:ascii="Garamond" w:hAnsi="Garamond" w:cs="Arial"/>
          <w:color w:val="auto"/>
          <w:sz w:val="24"/>
          <w:szCs w:val="24"/>
          <w:lang w:val="pt-PT"/>
        </w:rPr>
        <w:t xml:space="preserve"> de Estados Americanos (OEA)</w:t>
      </w:r>
      <w:proofErr w:type="gramStart"/>
      <w:r w:rsidR="00F92EC2" w:rsidRPr="003A1174">
        <w:rPr>
          <w:rFonts w:ascii="Garamond" w:hAnsi="Garamond" w:cs="Arial"/>
          <w:color w:val="auto"/>
          <w:sz w:val="24"/>
          <w:szCs w:val="24"/>
          <w:lang w:val="pt-PT"/>
        </w:rPr>
        <w:t xml:space="preserve">, </w:t>
      </w:r>
      <w:r w:rsidR="00BD6A0C" w:rsidRPr="003A1174">
        <w:rPr>
          <w:rFonts w:ascii="Garamond" w:hAnsi="Garamond" w:cs="Arial"/>
          <w:color w:val="auto"/>
          <w:sz w:val="24"/>
          <w:szCs w:val="24"/>
          <w:lang w:val="pt-PT"/>
        </w:rPr>
        <w:t>subscreve</w:t>
      </w:r>
      <w:r w:rsidRPr="003A1174">
        <w:rPr>
          <w:rFonts w:ascii="Garamond" w:hAnsi="Garamond" w:cs="Arial"/>
          <w:color w:val="auto"/>
          <w:sz w:val="24"/>
          <w:szCs w:val="24"/>
          <w:lang w:val="pt-PT"/>
        </w:rPr>
        <w:t>ram</w:t>
      </w:r>
      <w:proofErr w:type="gramEnd"/>
      <w:r w:rsidR="00BD6A0C" w:rsidRPr="003A1174">
        <w:rPr>
          <w:rFonts w:ascii="Garamond" w:hAnsi="Garamond" w:cs="Arial"/>
          <w:color w:val="auto"/>
          <w:sz w:val="24"/>
          <w:szCs w:val="24"/>
          <w:lang w:val="pt-PT"/>
        </w:rPr>
        <w:t xml:space="preserve"> e </w:t>
      </w:r>
      <w:r w:rsidR="00F92EC2" w:rsidRPr="003A1174">
        <w:rPr>
          <w:rFonts w:ascii="Garamond" w:hAnsi="Garamond" w:cs="Arial"/>
          <w:color w:val="auto"/>
          <w:sz w:val="24"/>
          <w:szCs w:val="24"/>
          <w:lang w:val="pt-PT"/>
        </w:rPr>
        <w:t>ratific</w:t>
      </w:r>
      <w:r w:rsidRPr="003A1174">
        <w:rPr>
          <w:rFonts w:ascii="Garamond" w:hAnsi="Garamond" w:cs="Arial"/>
          <w:color w:val="auto"/>
          <w:sz w:val="24"/>
          <w:szCs w:val="24"/>
          <w:lang w:val="pt-PT"/>
        </w:rPr>
        <w:t>aram</w:t>
      </w:r>
      <w:r w:rsidR="00BD6A0C"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233514" w:rsidRPr="003A1174">
        <w:rPr>
          <w:rFonts w:ascii="Garamond" w:hAnsi="Garamond" w:cs="Arial"/>
          <w:color w:val="auto"/>
          <w:sz w:val="24"/>
          <w:szCs w:val="24"/>
          <w:lang w:val="pt-PT"/>
        </w:rPr>
        <w:t>maioria</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F92EC2" w:rsidRPr="003A1174">
        <w:rPr>
          <w:rFonts w:ascii="Garamond" w:hAnsi="Garamond" w:cs="Arial"/>
          <w:color w:val="auto"/>
          <w:sz w:val="24"/>
          <w:szCs w:val="24"/>
          <w:lang w:val="pt-PT"/>
        </w:rPr>
        <w:t xml:space="preserve"> Tratados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w:t>
      </w:r>
      <w:r w:rsidR="00EB2F44" w:rsidRPr="003A1174">
        <w:rPr>
          <w:rFonts w:ascii="Garamond" w:hAnsi="Garamond" w:cs="Arial"/>
          <w:color w:val="auto"/>
          <w:sz w:val="24"/>
          <w:szCs w:val="24"/>
          <w:lang w:val="pt-PT"/>
        </w:rPr>
        <w:t>Convenções</w:t>
      </w:r>
      <w:r w:rsidR="00F92EC2" w:rsidRPr="003A1174">
        <w:rPr>
          <w:rFonts w:ascii="Garamond" w:hAnsi="Garamond" w:cs="Arial"/>
          <w:color w:val="auto"/>
          <w:sz w:val="24"/>
          <w:szCs w:val="24"/>
          <w:lang w:val="pt-PT"/>
        </w:rPr>
        <w:t xml:space="preserve">, </w:t>
      </w:r>
      <w:r w:rsidR="00542E90">
        <w:rPr>
          <w:rFonts w:ascii="Garamond" w:hAnsi="Garamond" w:cs="Arial"/>
          <w:color w:val="auto"/>
          <w:sz w:val="24"/>
          <w:szCs w:val="24"/>
          <w:lang w:val="pt-PT"/>
        </w:rPr>
        <w:t xml:space="preserve">estando inscritas </w:t>
      </w:r>
      <w:r w:rsidR="00BD6A0C" w:rsidRPr="003A1174">
        <w:rPr>
          <w:rFonts w:ascii="Garamond" w:hAnsi="Garamond" w:cs="Arial"/>
          <w:color w:val="auto"/>
          <w:sz w:val="24"/>
          <w:szCs w:val="24"/>
          <w:lang w:val="pt-PT"/>
        </w:rPr>
        <w:t>n</w:t>
      </w:r>
      <w:r w:rsidR="00F92EC2" w:rsidRPr="003A1174">
        <w:rPr>
          <w:rFonts w:ascii="Garamond" w:hAnsi="Garamond" w:cs="Arial"/>
          <w:color w:val="auto"/>
          <w:sz w:val="24"/>
          <w:szCs w:val="24"/>
          <w:lang w:val="pt-PT"/>
        </w:rPr>
        <w:t xml:space="preserve">os Sistemas Universal e Interamericano de </w:t>
      </w:r>
      <w:r w:rsidR="00886D6A" w:rsidRPr="003A1174">
        <w:rPr>
          <w:rFonts w:ascii="Garamond" w:hAnsi="Garamond" w:cs="Arial"/>
          <w:color w:val="auto"/>
          <w:sz w:val="24"/>
          <w:szCs w:val="24"/>
          <w:lang w:val="pt-PT"/>
        </w:rPr>
        <w:t>Proteção</w:t>
      </w:r>
      <w:r w:rsidR="00F92EC2"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 xml:space="preserve">s Humanos. </w:t>
      </w:r>
      <w:r w:rsidR="00BD6A0C" w:rsidRPr="003A1174">
        <w:rPr>
          <w:rFonts w:ascii="Garamond" w:hAnsi="Garamond" w:cs="Arial"/>
          <w:color w:val="auto"/>
          <w:sz w:val="24"/>
          <w:szCs w:val="24"/>
          <w:lang w:val="pt-PT"/>
        </w:rPr>
        <w:t xml:space="preserve">Relativamente aos </w:t>
      </w:r>
      <w:r w:rsidR="00F92EC2" w:rsidRPr="003A1174">
        <w:rPr>
          <w:rFonts w:ascii="Garamond" w:hAnsi="Garamond" w:cs="Arial"/>
          <w:color w:val="auto"/>
          <w:sz w:val="24"/>
          <w:szCs w:val="24"/>
          <w:lang w:val="pt-PT"/>
        </w:rPr>
        <w:t xml:space="preserve">Tratados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w:t>
      </w:r>
      <w:r w:rsidR="00EB2F44" w:rsidRPr="003A1174">
        <w:rPr>
          <w:rFonts w:ascii="Garamond" w:hAnsi="Garamond" w:cs="Arial"/>
          <w:color w:val="auto"/>
          <w:sz w:val="24"/>
          <w:szCs w:val="24"/>
          <w:lang w:val="pt-PT"/>
        </w:rPr>
        <w:t>Convenções</w:t>
      </w:r>
      <w:r w:rsidR="00F92EC2"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 xml:space="preserve">s humanos </w:t>
      </w:r>
      <w:r w:rsidR="00497503" w:rsidRPr="003A1174">
        <w:rPr>
          <w:rFonts w:ascii="Garamond" w:hAnsi="Garamond" w:cs="Arial"/>
          <w:color w:val="auto"/>
          <w:sz w:val="24"/>
          <w:szCs w:val="24"/>
          <w:lang w:val="pt-PT"/>
        </w:rPr>
        <w:t>das</w:t>
      </w:r>
      <w:r w:rsidR="00F92EC2"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F92EC2" w:rsidRPr="003A1174">
        <w:rPr>
          <w:rFonts w:ascii="Garamond" w:hAnsi="Garamond" w:cs="Arial"/>
          <w:color w:val="auto"/>
          <w:sz w:val="24"/>
          <w:szCs w:val="24"/>
          <w:lang w:val="pt-PT"/>
        </w:rPr>
        <w:t xml:space="preserve">, </w:t>
      </w:r>
      <w:r w:rsidR="00BD6A0C" w:rsidRPr="003A1174">
        <w:rPr>
          <w:rFonts w:ascii="Garamond" w:hAnsi="Garamond" w:cs="Arial"/>
          <w:color w:val="auto"/>
          <w:sz w:val="24"/>
          <w:szCs w:val="24"/>
          <w:lang w:val="pt-PT"/>
        </w:rPr>
        <w:t xml:space="preserve">as </w:t>
      </w:r>
      <w:r w:rsidR="00F92EC2" w:rsidRPr="003A1174">
        <w:rPr>
          <w:rFonts w:ascii="Garamond" w:hAnsi="Garamond" w:cs="Arial"/>
          <w:color w:val="auto"/>
          <w:sz w:val="24"/>
          <w:szCs w:val="24"/>
          <w:lang w:val="pt-PT"/>
        </w:rPr>
        <w:t xml:space="preserve">Honduras </w:t>
      </w:r>
      <w:r w:rsidR="0074243F" w:rsidRPr="003A1174">
        <w:rPr>
          <w:rFonts w:ascii="Garamond" w:hAnsi="Garamond" w:cs="Arial"/>
          <w:color w:val="auto"/>
          <w:sz w:val="24"/>
          <w:szCs w:val="24"/>
          <w:lang w:val="pt-PT"/>
        </w:rPr>
        <w:t>ratific</w:t>
      </w:r>
      <w:r w:rsidR="00BD6A0C" w:rsidRPr="003A1174">
        <w:rPr>
          <w:rFonts w:ascii="Garamond" w:hAnsi="Garamond" w:cs="Arial"/>
          <w:color w:val="auto"/>
          <w:sz w:val="24"/>
          <w:szCs w:val="24"/>
          <w:lang w:val="pt-PT"/>
        </w:rPr>
        <w:t>aram</w:t>
      </w:r>
      <w:r w:rsidRPr="003A1174">
        <w:rPr>
          <w:rFonts w:ascii="Garamond" w:hAnsi="Garamond" w:cs="Arial"/>
          <w:color w:val="auto"/>
          <w:sz w:val="24"/>
          <w:szCs w:val="24"/>
          <w:lang w:val="pt-PT"/>
        </w:rPr>
        <w:t>,</w:t>
      </w:r>
      <w:r w:rsidR="00BD6A0C" w:rsidRPr="003A1174">
        <w:rPr>
          <w:rFonts w:ascii="Garamond" w:hAnsi="Garamond" w:cs="Arial"/>
          <w:color w:val="auto"/>
          <w:sz w:val="24"/>
          <w:szCs w:val="24"/>
          <w:lang w:val="pt-PT"/>
        </w:rPr>
        <w:t xml:space="preserve"> em 1983</w:t>
      </w:r>
      <w:r w:rsidRPr="003A1174">
        <w:rPr>
          <w:rFonts w:ascii="Garamond" w:hAnsi="Garamond" w:cs="Arial"/>
          <w:color w:val="auto"/>
          <w:sz w:val="24"/>
          <w:szCs w:val="24"/>
          <w:lang w:val="pt-PT"/>
        </w:rPr>
        <w:t>,</w:t>
      </w:r>
      <w:r w:rsidR="00BD6A0C"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BD6A0C" w:rsidRPr="003A1174">
        <w:rPr>
          <w:rFonts w:ascii="Garamond" w:hAnsi="Garamond" w:cs="Arial"/>
          <w:color w:val="auto"/>
          <w:sz w:val="24"/>
          <w:szCs w:val="24"/>
          <w:lang w:val="pt-PT"/>
        </w:rPr>
        <w:t xml:space="preserve"> Sobre </w:t>
      </w:r>
      <w:r w:rsidR="00F92EC2" w:rsidRPr="003A1174">
        <w:rPr>
          <w:rFonts w:ascii="Garamond" w:hAnsi="Garamond" w:cs="Arial"/>
          <w:color w:val="auto"/>
          <w:sz w:val="24"/>
          <w:szCs w:val="24"/>
          <w:lang w:val="pt-PT"/>
        </w:rPr>
        <w:t xml:space="preserve">a </w:t>
      </w:r>
      <w:r w:rsidR="008E7A2A" w:rsidRPr="003A1174">
        <w:rPr>
          <w:rFonts w:ascii="Garamond" w:hAnsi="Garamond" w:cs="Arial"/>
          <w:color w:val="auto"/>
          <w:sz w:val="24"/>
          <w:szCs w:val="24"/>
          <w:lang w:val="pt-PT"/>
        </w:rPr>
        <w:t>Eliminação</w:t>
      </w:r>
      <w:r w:rsidR="00BD6A0C" w:rsidRPr="003A1174">
        <w:rPr>
          <w:rFonts w:ascii="Garamond" w:hAnsi="Garamond" w:cs="Arial"/>
          <w:color w:val="auto"/>
          <w:sz w:val="24"/>
          <w:szCs w:val="24"/>
          <w:lang w:val="pt-PT"/>
        </w:rPr>
        <w:t xml:space="preserve"> de Todas </w:t>
      </w:r>
      <w:r w:rsidR="00F92EC2" w:rsidRPr="003A1174">
        <w:rPr>
          <w:rFonts w:ascii="Garamond" w:hAnsi="Garamond" w:cs="Arial"/>
          <w:color w:val="auto"/>
          <w:sz w:val="24"/>
          <w:szCs w:val="24"/>
          <w:lang w:val="pt-PT"/>
        </w:rPr>
        <w:t xml:space="preserve">as Formas de </w:t>
      </w:r>
      <w:r w:rsidR="0017447A" w:rsidRPr="003A1174">
        <w:rPr>
          <w:rFonts w:ascii="Garamond" w:hAnsi="Garamond" w:cs="Arial"/>
          <w:color w:val="auto"/>
          <w:sz w:val="24"/>
          <w:szCs w:val="24"/>
          <w:lang w:val="pt-PT"/>
        </w:rPr>
        <w:t>Discriminação</w:t>
      </w:r>
      <w:r w:rsidR="00BD6A0C" w:rsidRPr="003A1174">
        <w:rPr>
          <w:rFonts w:ascii="Garamond" w:hAnsi="Garamond" w:cs="Arial"/>
          <w:color w:val="auto"/>
          <w:sz w:val="24"/>
          <w:szCs w:val="24"/>
          <w:lang w:val="pt-PT"/>
        </w:rPr>
        <w:t xml:space="preserve"> contra </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F92EC2" w:rsidRPr="003A1174">
        <w:rPr>
          <w:rFonts w:ascii="Garamond" w:hAnsi="Garamond" w:cs="Arial"/>
          <w:color w:val="auto"/>
          <w:sz w:val="24"/>
          <w:szCs w:val="24"/>
          <w:lang w:val="pt-PT"/>
        </w:rPr>
        <w:t xml:space="preserve"> (CEDAW)</w:t>
      </w:r>
      <w:r w:rsidR="00862235">
        <w:rPr>
          <w:rFonts w:ascii="Garamond" w:hAnsi="Garamond" w:cs="Arial"/>
          <w:color w:val="auto"/>
          <w:sz w:val="24"/>
          <w:szCs w:val="24"/>
          <w:lang w:val="pt-PT"/>
        </w:rPr>
        <w:t>,</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e</w:t>
      </w:r>
      <w:r w:rsidR="00BD6A0C" w:rsidRPr="003A1174">
        <w:rPr>
          <w:rFonts w:ascii="Garamond" w:hAnsi="Garamond" w:cs="Arial"/>
          <w:color w:val="auto"/>
          <w:sz w:val="24"/>
          <w:szCs w:val="24"/>
          <w:lang w:val="pt-PT"/>
        </w:rPr>
        <w:t>m</w:t>
      </w:r>
      <w:r w:rsidR="00F92EC2" w:rsidRPr="003A1174">
        <w:rPr>
          <w:rFonts w:ascii="Garamond" w:hAnsi="Garamond" w:cs="Arial"/>
          <w:color w:val="auto"/>
          <w:sz w:val="24"/>
          <w:szCs w:val="24"/>
          <w:lang w:val="pt-PT"/>
        </w:rPr>
        <w:t xml:space="preserve"> 1995</w:t>
      </w:r>
      <w:r w:rsidR="00862235">
        <w:rPr>
          <w:rFonts w:ascii="Garamond" w:hAnsi="Garamond" w:cs="Arial"/>
          <w:color w:val="auto"/>
          <w:sz w:val="24"/>
          <w:szCs w:val="24"/>
          <w:lang w:val="pt-PT"/>
        </w:rPr>
        <w:t>,</w:t>
      </w:r>
      <w:r w:rsidR="00F92EC2" w:rsidRPr="003A1174">
        <w:rPr>
          <w:rFonts w:ascii="Garamond" w:hAnsi="Garamond" w:cs="Arial"/>
          <w:color w:val="auto"/>
          <w:sz w:val="24"/>
          <w:szCs w:val="24"/>
          <w:lang w:val="pt-PT"/>
        </w:rPr>
        <w:t xml:space="preserve"> </w:t>
      </w:r>
      <w:r w:rsidR="0074243F" w:rsidRPr="003A1174">
        <w:rPr>
          <w:rFonts w:ascii="Garamond" w:hAnsi="Garamond" w:cs="Arial"/>
          <w:color w:val="auto"/>
          <w:sz w:val="24"/>
          <w:szCs w:val="24"/>
          <w:lang w:val="pt-PT"/>
        </w:rPr>
        <w:t>ratific</w:t>
      </w:r>
      <w:r w:rsidR="00BD6A0C" w:rsidRPr="003A1174">
        <w:rPr>
          <w:rFonts w:ascii="Garamond" w:hAnsi="Garamond" w:cs="Arial"/>
          <w:color w:val="auto"/>
          <w:sz w:val="24"/>
          <w:szCs w:val="24"/>
          <w:lang w:val="pt-PT"/>
        </w:rPr>
        <w:t xml:space="preserve">aram </w:t>
      </w:r>
      <w:r w:rsidR="00F92EC2"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F92EC2" w:rsidRPr="003A1174">
        <w:rPr>
          <w:rFonts w:ascii="Garamond" w:hAnsi="Garamond" w:cs="Arial"/>
          <w:color w:val="auto"/>
          <w:sz w:val="24"/>
          <w:szCs w:val="24"/>
          <w:lang w:val="pt-PT"/>
        </w:rPr>
        <w:t xml:space="preserve"> Interamericana para </w:t>
      </w:r>
      <w:r w:rsidR="003F493C" w:rsidRPr="003A1174">
        <w:rPr>
          <w:rFonts w:ascii="Garamond" w:hAnsi="Garamond" w:cs="Arial"/>
          <w:color w:val="auto"/>
          <w:sz w:val="24"/>
          <w:szCs w:val="24"/>
          <w:lang w:val="pt-PT"/>
        </w:rPr>
        <w:t>Prevenir, Punir e Erradicar</w:t>
      </w:r>
      <w:r w:rsidR="00BD6A0C"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xml:space="preserve"> contra a </w:t>
      </w:r>
      <w:r w:rsidR="00AF192F" w:rsidRPr="003A1174">
        <w:rPr>
          <w:rFonts w:ascii="Garamond" w:hAnsi="Garamond" w:cs="Arial"/>
          <w:color w:val="auto"/>
          <w:sz w:val="24"/>
          <w:szCs w:val="24"/>
          <w:lang w:val="pt-PT"/>
        </w:rPr>
        <w:t>Mulher</w:t>
      </w:r>
      <w:r w:rsidR="00F92EC2" w:rsidRPr="003A1174">
        <w:rPr>
          <w:rFonts w:ascii="Garamond" w:hAnsi="Garamond" w:cs="Arial"/>
          <w:color w:val="auto"/>
          <w:sz w:val="24"/>
          <w:szCs w:val="24"/>
          <w:lang w:val="pt-PT"/>
        </w:rPr>
        <w:t xml:space="preserve"> (</w:t>
      </w:r>
      <w:r w:rsidR="00B14AA6" w:rsidRPr="003A1174">
        <w:rPr>
          <w:rFonts w:ascii="Garamond" w:hAnsi="Garamond" w:cs="Arial"/>
          <w:color w:val="auto"/>
          <w:sz w:val="24"/>
          <w:szCs w:val="24"/>
          <w:lang w:val="pt-PT"/>
        </w:rPr>
        <w:t>Convenção</w:t>
      </w:r>
      <w:r w:rsidR="00F92EC2" w:rsidRPr="003A1174">
        <w:rPr>
          <w:rFonts w:ascii="Garamond" w:hAnsi="Garamond" w:cs="Arial"/>
          <w:color w:val="auto"/>
          <w:sz w:val="24"/>
          <w:szCs w:val="24"/>
          <w:lang w:val="pt-PT"/>
        </w:rPr>
        <w:t xml:space="preserve"> de Belém do Pará). </w:t>
      </w:r>
      <w:r w:rsidR="00BD6A0C" w:rsidRPr="003A1174">
        <w:rPr>
          <w:rFonts w:ascii="Garamond" w:hAnsi="Garamond" w:cs="Arial"/>
          <w:color w:val="auto"/>
          <w:sz w:val="24"/>
          <w:szCs w:val="24"/>
          <w:lang w:val="pt-PT"/>
        </w:rPr>
        <w:t xml:space="preserve">Também, a </w:t>
      </w:r>
      <w:r w:rsidR="00F92EC2" w:rsidRPr="003A1174">
        <w:rPr>
          <w:rFonts w:ascii="Garamond" w:hAnsi="Garamond" w:cs="Arial"/>
          <w:color w:val="auto"/>
          <w:sz w:val="24"/>
          <w:szCs w:val="24"/>
          <w:lang w:val="pt-PT"/>
        </w:rPr>
        <w:t xml:space="preserve">5 de </w:t>
      </w:r>
      <w:r w:rsidR="00077461" w:rsidRPr="003A1174">
        <w:rPr>
          <w:rFonts w:ascii="Garamond" w:hAnsi="Garamond" w:cs="Arial"/>
          <w:color w:val="auto"/>
          <w:sz w:val="24"/>
          <w:szCs w:val="24"/>
          <w:lang w:val="pt-PT"/>
        </w:rPr>
        <w:t>setembro</w:t>
      </w:r>
      <w:r w:rsidR="00F92EC2" w:rsidRPr="003A1174">
        <w:rPr>
          <w:rFonts w:ascii="Garamond" w:hAnsi="Garamond" w:cs="Arial"/>
          <w:color w:val="auto"/>
          <w:sz w:val="24"/>
          <w:szCs w:val="24"/>
          <w:lang w:val="pt-PT"/>
        </w:rPr>
        <w:t xml:space="preserve"> de 1977, </w:t>
      </w:r>
      <w:r w:rsidR="0074243F" w:rsidRPr="003A1174">
        <w:rPr>
          <w:rFonts w:ascii="Garamond" w:hAnsi="Garamond" w:cs="Arial"/>
          <w:color w:val="auto"/>
          <w:sz w:val="24"/>
          <w:szCs w:val="24"/>
          <w:lang w:val="pt-PT"/>
        </w:rPr>
        <w:t>ratific</w:t>
      </w:r>
      <w:r w:rsidR="00BD6A0C" w:rsidRPr="003A1174">
        <w:rPr>
          <w:rFonts w:ascii="Garamond" w:hAnsi="Garamond" w:cs="Arial"/>
          <w:color w:val="auto"/>
          <w:sz w:val="24"/>
          <w:szCs w:val="24"/>
          <w:lang w:val="pt-PT"/>
        </w:rPr>
        <w:t xml:space="preserve">aram </w:t>
      </w:r>
      <w:r w:rsidR="00F92EC2"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Convenção</w:t>
      </w:r>
      <w:r w:rsidR="00F92EC2" w:rsidRPr="003A1174">
        <w:rPr>
          <w:rFonts w:ascii="Garamond" w:hAnsi="Garamond" w:cs="Arial"/>
          <w:color w:val="auto"/>
          <w:sz w:val="24"/>
          <w:szCs w:val="24"/>
          <w:lang w:val="pt-PT"/>
        </w:rPr>
        <w:t xml:space="preserve"> Americana sobre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 xml:space="preserve">s Humanos, </w:t>
      </w:r>
      <w:r w:rsidR="00497503" w:rsidRPr="003A1174">
        <w:rPr>
          <w:rFonts w:ascii="Garamond" w:hAnsi="Garamond" w:cs="Arial"/>
          <w:color w:val="auto"/>
          <w:sz w:val="24"/>
          <w:szCs w:val="24"/>
          <w:lang w:val="pt-PT"/>
        </w:rPr>
        <w:t>aceita</w:t>
      </w:r>
      <w:r w:rsidR="00BD6A0C" w:rsidRPr="003A1174">
        <w:rPr>
          <w:rFonts w:ascii="Garamond" w:hAnsi="Garamond" w:cs="Arial"/>
          <w:color w:val="auto"/>
          <w:sz w:val="24"/>
          <w:szCs w:val="24"/>
          <w:lang w:val="pt-PT"/>
        </w:rPr>
        <w:t xml:space="preserve">ndo </w:t>
      </w:r>
      <w:r w:rsidR="00F92EC2" w:rsidRPr="003A1174">
        <w:rPr>
          <w:rFonts w:ascii="Garamond" w:hAnsi="Garamond" w:cs="Arial"/>
          <w:color w:val="auto"/>
          <w:sz w:val="24"/>
          <w:szCs w:val="24"/>
          <w:lang w:val="pt-PT"/>
        </w:rPr>
        <w:t xml:space="preserve">a </w:t>
      </w:r>
      <w:r w:rsidR="00C86C58" w:rsidRPr="003A1174">
        <w:rPr>
          <w:rFonts w:ascii="Garamond" w:hAnsi="Garamond" w:cs="Arial"/>
          <w:color w:val="auto"/>
          <w:sz w:val="24"/>
          <w:szCs w:val="24"/>
          <w:lang w:val="pt-PT"/>
        </w:rPr>
        <w:t>competência</w:t>
      </w:r>
      <w:r w:rsidR="00F92EC2" w:rsidRPr="003A1174">
        <w:rPr>
          <w:rFonts w:ascii="Garamond" w:hAnsi="Garamond" w:cs="Arial"/>
          <w:color w:val="auto"/>
          <w:sz w:val="24"/>
          <w:szCs w:val="24"/>
          <w:lang w:val="pt-PT"/>
        </w:rPr>
        <w:t xml:space="preserve"> d</w:t>
      </w:r>
      <w:r w:rsidR="00935298">
        <w:rPr>
          <w:rFonts w:ascii="Garamond" w:hAnsi="Garamond" w:cs="Arial"/>
          <w:color w:val="auto"/>
          <w:sz w:val="24"/>
          <w:szCs w:val="24"/>
          <w:lang w:val="pt-PT"/>
        </w:rPr>
        <w:t>o</w:t>
      </w:r>
      <w:r w:rsidR="00042808">
        <w:rPr>
          <w:rFonts w:ascii="Garamond" w:hAnsi="Garamond" w:cs="Arial"/>
          <w:color w:val="auto"/>
          <w:sz w:val="24"/>
          <w:szCs w:val="24"/>
          <w:lang w:val="pt-PT"/>
        </w:rPr>
        <w:t xml:space="preserve"> </w:t>
      </w:r>
      <w:r w:rsidR="00935298">
        <w:rPr>
          <w:rFonts w:ascii="Garamond" w:hAnsi="Garamond" w:cs="Arial"/>
          <w:color w:val="auto"/>
          <w:sz w:val="24"/>
          <w:szCs w:val="24"/>
          <w:lang w:val="pt-PT"/>
        </w:rPr>
        <w:t>Tribunal</w:t>
      </w:r>
      <w:r w:rsidR="002A7FDD"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Interamerican</w:t>
      </w:r>
      <w:r w:rsidR="00935298">
        <w:rPr>
          <w:rFonts w:ascii="Garamond" w:hAnsi="Garamond" w:cs="Arial"/>
          <w:color w:val="auto"/>
          <w:sz w:val="24"/>
          <w:szCs w:val="24"/>
          <w:lang w:val="pt-PT"/>
        </w:rPr>
        <w:t>o</w:t>
      </w:r>
      <w:r w:rsidR="00F92EC2"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s Humanos.</w:t>
      </w:r>
    </w:p>
    <w:p w:rsidR="00F92EC2" w:rsidRPr="003A1174" w:rsidRDefault="00B14AA6" w:rsidP="008719D4">
      <w:pPr>
        <w:pStyle w:val="Prrafodelista"/>
        <w:numPr>
          <w:ilvl w:val="0"/>
          <w:numId w:val="13"/>
        </w:numPr>
        <w:spacing w:after="0" w:line="240" w:lineRule="auto"/>
        <w:jc w:val="both"/>
        <w:rPr>
          <w:rFonts w:ascii="Garamond" w:eastAsiaTheme="minorHAnsi" w:hAnsi="Garamond" w:cs="Arial"/>
          <w:color w:val="auto"/>
          <w:sz w:val="24"/>
          <w:szCs w:val="24"/>
          <w:lang w:val="es-CR"/>
        </w:rPr>
      </w:pPr>
      <w:r w:rsidRPr="003A1174">
        <w:rPr>
          <w:rFonts w:ascii="Garamond" w:hAnsi="Garamond" w:cs="Arial"/>
          <w:color w:val="auto"/>
          <w:sz w:val="24"/>
          <w:szCs w:val="24"/>
          <w:lang w:val="pt-PT"/>
        </w:rPr>
        <w:t>Disposições</w:t>
      </w:r>
      <w:r w:rsidR="00F92EC2"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F92EC2" w:rsidRPr="003A1174">
        <w:rPr>
          <w:rFonts w:ascii="Garamond" w:eastAsiaTheme="minorHAnsi" w:hAnsi="Garamond" w:cs="Arial"/>
          <w:color w:val="auto"/>
          <w:sz w:val="24"/>
          <w:szCs w:val="24"/>
          <w:lang w:val="es-CR"/>
        </w:rPr>
        <w:t xml:space="preserve"> </w:t>
      </w:r>
    </w:p>
    <w:p w:rsidR="00F92EC2" w:rsidRPr="003A1174" w:rsidRDefault="00F92EC2" w:rsidP="008719D4">
      <w:pPr>
        <w:pStyle w:val="Prrafodelista"/>
        <w:spacing w:after="0" w:line="240" w:lineRule="auto"/>
        <w:jc w:val="both"/>
        <w:rPr>
          <w:rFonts w:ascii="Garamond" w:eastAsiaTheme="minorHAnsi" w:hAnsi="Garamond" w:cs="Arial"/>
          <w:color w:val="auto"/>
          <w:sz w:val="24"/>
          <w:szCs w:val="24"/>
          <w:lang w:val="es-CR"/>
        </w:rPr>
      </w:pPr>
    </w:p>
    <w:p w:rsidR="00F92EC2" w:rsidRPr="003A1174" w:rsidRDefault="00F92EC2" w:rsidP="008719D4">
      <w:pPr>
        <w:spacing w:line="240" w:lineRule="auto"/>
        <w:jc w:val="both"/>
        <w:rPr>
          <w:rFonts w:ascii="Garamond" w:hAnsi="Garamond" w:cs="Arial"/>
          <w:sz w:val="24"/>
          <w:szCs w:val="24"/>
        </w:rPr>
      </w:pPr>
      <w:r w:rsidRPr="003A1174">
        <w:rPr>
          <w:rFonts w:ascii="Garamond" w:hAnsi="Garamond" w:cs="Arial"/>
          <w:sz w:val="24"/>
          <w:szCs w:val="24"/>
        </w:rPr>
        <w:t xml:space="preserve">Como </w:t>
      </w:r>
      <w:r w:rsidR="00253B1D" w:rsidRPr="003A1174">
        <w:rPr>
          <w:rFonts w:ascii="Garamond" w:hAnsi="Garamond" w:cs="Arial"/>
          <w:sz w:val="24"/>
          <w:szCs w:val="24"/>
        </w:rPr>
        <w:t>quadro</w:t>
      </w:r>
      <w:r w:rsidRPr="003A1174">
        <w:rPr>
          <w:rFonts w:ascii="Garamond" w:hAnsi="Garamond" w:cs="Arial"/>
          <w:sz w:val="24"/>
          <w:szCs w:val="24"/>
        </w:rPr>
        <w:t xml:space="preserve"> de </w:t>
      </w:r>
      <w:r w:rsidR="00CB5DB2" w:rsidRPr="003A1174">
        <w:rPr>
          <w:rFonts w:ascii="Garamond" w:hAnsi="Garamond" w:cs="Arial"/>
          <w:sz w:val="24"/>
          <w:szCs w:val="24"/>
        </w:rPr>
        <w:t>referência</w:t>
      </w:r>
      <w:r w:rsidR="008208DF" w:rsidRPr="003A1174">
        <w:rPr>
          <w:rFonts w:ascii="Garamond" w:hAnsi="Garamond" w:cs="Arial"/>
          <w:sz w:val="24"/>
          <w:szCs w:val="24"/>
        </w:rPr>
        <w:t>,</w:t>
      </w:r>
      <w:r w:rsidRPr="003A1174">
        <w:rPr>
          <w:rFonts w:ascii="Garamond" w:hAnsi="Garamond" w:cs="Arial"/>
          <w:sz w:val="24"/>
          <w:szCs w:val="24"/>
        </w:rPr>
        <w:t xml:space="preserve"> </w:t>
      </w:r>
      <w:r w:rsidR="00BD6A0C" w:rsidRPr="003A1174">
        <w:rPr>
          <w:rFonts w:ascii="Garamond" w:hAnsi="Garamond" w:cs="Arial"/>
          <w:sz w:val="24"/>
          <w:szCs w:val="24"/>
        </w:rPr>
        <w:t>é</w:t>
      </w:r>
      <w:r w:rsidRPr="003A1174">
        <w:rPr>
          <w:rFonts w:ascii="Garamond" w:hAnsi="Garamond" w:cs="Arial"/>
          <w:sz w:val="24"/>
          <w:szCs w:val="24"/>
        </w:rPr>
        <w:t xml:space="preserve"> importante </w:t>
      </w:r>
      <w:r w:rsidR="00BD6A0C" w:rsidRPr="003A1174">
        <w:rPr>
          <w:rFonts w:ascii="Garamond" w:hAnsi="Garamond" w:cs="Arial"/>
          <w:sz w:val="24"/>
          <w:szCs w:val="24"/>
        </w:rPr>
        <w:t xml:space="preserve">referir </w:t>
      </w:r>
      <w:r w:rsidRPr="003A1174">
        <w:rPr>
          <w:rFonts w:ascii="Garamond" w:hAnsi="Garamond" w:cs="Arial"/>
          <w:sz w:val="24"/>
          <w:szCs w:val="24"/>
        </w:rPr>
        <w:t xml:space="preserve">que a </w:t>
      </w:r>
      <w:r w:rsidR="002C7510" w:rsidRPr="003A1174">
        <w:rPr>
          <w:rFonts w:ascii="Garamond" w:hAnsi="Garamond" w:cs="Arial"/>
          <w:sz w:val="24"/>
          <w:szCs w:val="24"/>
        </w:rPr>
        <w:t>legislação</w:t>
      </w:r>
      <w:r w:rsidRPr="003A1174">
        <w:rPr>
          <w:rFonts w:ascii="Garamond" w:hAnsi="Garamond" w:cs="Arial"/>
          <w:sz w:val="24"/>
          <w:szCs w:val="24"/>
        </w:rPr>
        <w:t xml:space="preserve"> nacional e</w:t>
      </w:r>
      <w:r w:rsidR="00BD6A0C"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2F5CD1" w:rsidRPr="003A1174">
        <w:rPr>
          <w:rFonts w:ascii="Garamond" w:hAnsi="Garamond" w:cs="Arial"/>
          <w:sz w:val="24"/>
          <w:szCs w:val="24"/>
        </w:rPr>
        <w:t>promoção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886D6A" w:rsidRPr="003A1174">
        <w:rPr>
          <w:rFonts w:ascii="Garamond" w:hAnsi="Garamond" w:cs="Arial"/>
          <w:sz w:val="24"/>
          <w:szCs w:val="24"/>
        </w:rPr>
        <w:t>proteção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008208DF" w:rsidRPr="003A1174">
        <w:rPr>
          <w:rFonts w:ascii="Garamond" w:hAnsi="Garamond" w:cs="Arial"/>
          <w:sz w:val="24"/>
          <w:szCs w:val="24"/>
        </w:rPr>
        <w:t>,</w:t>
      </w:r>
      <w:r w:rsidRPr="003A1174">
        <w:rPr>
          <w:rFonts w:ascii="Garamond" w:hAnsi="Garamond" w:cs="Arial"/>
          <w:sz w:val="24"/>
          <w:szCs w:val="24"/>
        </w:rPr>
        <w:t xml:space="preserve"> se enc</w:t>
      </w:r>
      <w:r w:rsidR="00BD6A0C" w:rsidRPr="003A1174">
        <w:rPr>
          <w:rFonts w:ascii="Garamond" w:hAnsi="Garamond" w:cs="Arial"/>
          <w:sz w:val="24"/>
          <w:szCs w:val="24"/>
        </w:rPr>
        <w:t>o</w:t>
      </w:r>
      <w:r w:rsidRPr="003A1174">
        <w:rPr>
          <w:rFonts w:ascii="Garamond" w:hAnsi="Garamond" w:cs="Arial"/>
          <w:sz w:val="24"/>
          <w:szCs w:val="24"/>
        </w:rPr>
        <w:t xml:space="preserve">ntra </w:t>
      </w:r>
      <w:r w:rsidR="00BD6A0C" w:rsidRPr="003A1174">
        <w:rPr>
          <w:rFonts w:ascii="Garamond" w:hAnsi="Garamond" w:cs="Arial"/>
          <w:sz w:val="24"/>
          <w:szCs w:val="24"/>
        </w:rPr>
        <w:t xml:space="preserve">regulada num </w:t>
      </w:r>
      <w:r w:rsidRPr="003A1174">
        <w:rPr>
          <w:rFonts w:ascii="Garamond" w:hAnsi="Garamond" w:cs="Arial"/>
          <w:sz w:val="24"/>
          <w:szCs w:val="24"/>
        </w:rPr>
        <w:t xml:space="preserve">conjunto de </w:t>
      </w:r>
      <w:r w:rsidR="00F320F4" w:rsidRPr="003A1174">
        <w:rPr>
          <w:rFonts w:ascii="Garamond" w:hAnsi="Garamond" w:cs="Arial"/>
          <w:sz w:val="24"/>
          <w:szCs w:val="24"/>
        </w:rPr>
        <w:t>leis</w:t>
      </w:r>
      <w:r w:rsidRPr="003A1174">
        <w:rPr>
          <w:rFonts w:ascii="Garamond" w:hAnsi="Garamond" w:cs="Arial"/>
          <w:sz w:val="24"/>
          <w:szCs w:val="24"/>
        </w:rPr>
        <w:t xml:space="preserve"> </w:t>
      </w:r>
      <w:r w:rsidR="00862235">
        <w:rPr>
          <w:rFonts w:ascii="Garamond" w:hAnsi="Garamond" w:cs="Arial"/>
          <w:sz w:val="24"/>
          <w:szCs w:val="24"/>
        </w:rPr>
        <w:t xml:space="preserve">resultantes </w:t>
      </w:r>
      <w:r w:rsidR="00BD6A0C" w:rsidRPr="003A1174">
        <w:rPr>
          <w:rFonts w:ascii="Garamond" w:hAnsi="Garamond" w:cs="Arial"/>
          <w:sz w:val="24"/>
          <w:szCs w:val="24"/>
        </w:rPr>
        <w:t>de um</w:t>
      </w:r>
      <w:r w:rsidRPr="003A1174">
        <w:rPr>
          <w:rFonts w:ascii="Garamond" w:hAnsi="Garamond" w:cs="Arial"/>
          <w:sz w:val="24"/>
          <w:szCs w:val="24"/>
        </w:rPr>
        <w:t xml:space="preserve"> </w:t>
      </w:r>
      <w:r w:rsidR="00BD6A0C" w:rsidRPr="003A1174">
        <w:rPr>
          <w:rFonts w:ascii="Garamond" w:hAnsi="Garamond" w:cs="Arial"/>
          <w:sz w:val="24"/>
          <w:szCs w:val="24"/>
        </w:rPr>
        <w:t>amplo</w:t>
      </w:r>
      <w:r w:rsidRPr="003A1174">
        <w:rPr>
          <w:rFonts w:ascii="Garamond" w:hAnsi="Garamond" w:cs="Arial"/>
          <w:sz w:val="24"/>
          <w:szCs w:val="24"/>
        </w:rPr>
        <w:t xml:space="preserve"> </w:t>
      </w:r>
      <w:r w:rsidR="002D1021" w:rsidRPr="003A1174">
        <w:rPr>
          <w:rFonts w:ascii="Garamond" w:hAnsi="Garamond" w:cs="Arial"/>
          <w:sz w:val="24"/>
          <w:szCs w:val="24"/>
        </w:rPr>
        <w:t>processo</w:t>
      </w:r>
      <w:r w:rsidRPr="003A1174">
        <w:rPr>
          <w:rFonts w:ascii="Garamond" w:hAnsi="Garamond" w:cs="Arial"/>
          <w:sz w:val="24"/>
          <w:szCs w:val="24"/>
        </w:rPr>
        <w:t xml:space="preserve"> de </w:t>
      </w:r>
      <w:r w:rsidR="00201889" w:rsidRPr="003A1174">
        <w:rPr>
          <w:rFonts w:ascii="Garamond" w:hAnsi="Garamond" w:cs="Arial"/>
          <w:sz w:val="24"/>
          <w:szCs w:val="24"/>
        </w:rPr>
        <w:t>incidência</w:t>
      </w:r>
      <w:r w:rsidRPr="003A1174">
        <w:rPr>
          <w:rFonts w:ascii="Garamond" w:hAnsi="Garamond" w:cs="Arial"/>
          <w:sz w:val="24"/>
          <w:szCs w:val="24"/>
        </w:rPr>
        <w:t>, alian</w:t>
      </w:r>
      <w:r w:rsidR="00BD6A0C" w:rsidRPr="003A1174">
        <w:rPr>
          <w:rFonts w:ascii="Garamond" w:hAnsi="Garamond" w:cs="Arial"/>
          <w:sz w:val="24"/>
          <w:szCs w:val="24"/>
        </w:rPr>
        <w:t>ç</w:t>
      </w:r>
      <w:r w:rsidRPr="003A1174">
        <w:rPr>
          <w:rFonts w:ascii="Garamond" w:hAnsi="Garamond" w:cs="Arial"/>
          <w:sz w:val="24"/>
          <w:szCs w:val="24"/>
        </w:rPr>
        <w:t xml:space="preserve">as </w:t>
      </w:r>
      <w:r w:rsidR="00497503" w:rsidRPr="003A1174">
        <w:rPr>
          <w:rFonts w:ascii="Garamond" w:hAnsi="Garamond" w:cs="Arial"/>
          <w:sz w:val="24"/>
          <w:szCs w:val="24"/>
        </w:rPr>
        <w:t>e</w:t>
      </w:r>
      <w:r w:rsidRPr="003A1174">
        <w:rPr>
          <w:rFonts w:ascii="Garamond" w:hAnsi="Garamond" w:cs="Arial"/>
          <w:sz w:val="24"/>
          <w:szCs w:val="24"/>
        </w:rPr>
        <w:t xml:space="preserve"> </w:t>
      </w:r>
      <w:r w:rsidR="00BD6A0C" w:rsidRPr="003A1174">
        <w:rPr>
          <w:rFonts w:ascii="Garamond" w:hAnsi="Garamond" w:cs="Arial"/>
          <w:sz w:val="24"/>
          <w:szCs w:val="24"/>
        </w:rPr>
        <w:t>concertaç</w:t>
      </w:r>
      <w:r w:rsidR="008D2F69" w:rsidRPr="003A1174">
        <w:rPr>
          <w:rFonts w:ascii="Garamond" w:hAnsi="Garamond" w:cs="Arial"/>
          <w:sz w:val="24"/>
          <w:szCs w:val="24"/>
        </w:rPr>
        <w:t xml:space="preserve">ões </w:t>
      </w:r>
      <w:r w:rsidRPr="003A1174">
        <w:rPr>
          <w:rFonts w:ascii="Garamond" w:hAnsi="Garamond" w:cs="Arial"/>
          <w:sz w:val="24"/>
          <w:szCs w:val="24"/>
        </w:rPr>
        <w:t xml:space="preserve">entre </w:t>
      </w:r>
      <w:r w:rsidR="00BD6A0C" w:rsidRPr="003A1174">
        <w:rPr>
          <w:rFonts w:ascii="Garamond" w:hAnsi="Garamond" w:cs="Arial"/>
          <w:sz w:val="24"/>
          <w:szCs w:val="24"/>
        </w:rPr>
        <w:t>o</w:t>
      </w:r>
      <w:r w:rsidRPr="003A1174">
        <w:rPr>
          <w:rFonts w:ascii="Garamond" w:hAnsi="Garamond" w:cs="Arial"/>
          <w:sz w:val="24"/>
          <w:szCs w:val="24"/>
        </w:rPr>
        <w:t xml:space="preserve"> </w:t>
      </w:r>
      <w:r w:rsidR="002470B1" w:rsidRPr="003A1174">
        <w:rPr>
          <w:rFonts w:ascii="Garamond" w:hAnsi="Garamond" w:cs="Arial"/>
          <w:sz w:val="24"/>
          <w:szCs w:val="24"/>
        </w:rPr>
        <w:t>movimento</w:t>
      </w:r>
      <w:r w:rsidRPr="003A1174">
        <w:rPr>
          <w:rFonts w:ascii="Garamond" w:hAnsi="Garamond" w:cs="Arial"/>
          <w:sz w:val="24"/>
          <w:szCs w:val="24"/>
        </w:rPr>
        <w:t xml:space="preserve"> feminista </w:t>
      </w:r>
      <w:r w:rsidR="00497503" w:rsidRPr="003A1174">
        <w:rPr>
          <w:rFonts w:ascii="Garamond" w:hAnsi="Garamond" w:cs="Arial"/>
          <w:sz w:val="24"/>
          <w:szCs w:val="24"/>
        </w:rPr>
        <w:t>e</w:t>
      </w:r>
      <w:r w:rsidRPr="003A1174">
        <w:rPr>
          <w:rFonts w:ascii="Garamond" w:hAnsi="Garamond" w:cs="Arial"/>
          <w:sz w:val="24"/>
          <w:szCs w:val="24"/>
        </w:rPr>
        <w:t xml:space="preserve"> de </w:t>
      </w:r>
      <w:r w:rsidR="00054EE0" w:rsidRPr="003A1174">
        <w:rPr>
          <w:rFonts w:ascii="Garamond" w:hAnsi="Garamond" w:cs="Arial"/>
          <w:sz w:val="24"/>
          <w:szCs w:val="24"/>
        </w:rPr>
        <w:t>mulheres</w:t>
      </w:r>
      <w:r w:rsidRPr="003A1174">
        <w:rPr>
          <w:rFonts w:ascii="Garamond" w:hAnsi="Garamond" w:cs="Arial"/>
          <w:sz w:val="24"/>
          <w:szCs w:val="24"/>
        </w:rPr>
        <w:t xml:space="preserve">, </w:t>
      </w:r>
      <w:r w:rsidR="001F2F8B" w:rsidRPr="003A1174">
        <w:rPr>
          <w:rFonts w:ascii="Garamond" w:hAnsi="Garamond" w:cs="Arial"/>
          <w:sz w:val="24"/>
          <w:szCs w:val="24"/>
        </w:rPr>
        <w:t>outro</w:t>
      </w:r>
      <w:r w:rsidRPr="003A1174">
        <w:rPr>
          <w:rFonts w:ascii="Garamond" w:hAnsi="Garamond" w:cs="Arial"/>
          <w:sz w:val="24"/>
          <w:szCs w:val="24"/>
        </w:rPr>
        <w:t xml:space="preserve">s setores </w:t>
      </w:r>
      <w:r w:rsidR="003F012B" w:rsidRPr="003A1174">
        <w:rPr>
          <w:rFonts w:ascii="Garamond" w:hAnsi="Garamond" w:cs="Arial"/>
          <w:sz w:val="24"/>
          <w:szCs w:val="24"/>
        </w:rPr>
        <w:t>sociais</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país</w:t>
      </w:r>
      <w:r w:rsidR="008208DF" w:rsidRPr="003A1174">
        <w:rPr>
          <w:rFonts w:ascii="Garamond" w:hAnsi="Garamond" w:cs="Arial"/>
          <w:sz w:val="24"/>
          <w:szCs w:val="24"/>
        </w:rPr>
        <w:t>,</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BD6A0C" w:rsidRPr="003A1174">
        <w:rPr>
          <w:rFonts w:ascii="Garamond" w:hAnsi="Garamond" w:cs="Arial"/>
          <w:sz w:val="24"/>
          <w:szCs w:val="24"/>
        </w:rPr>
        <w:t xml:space="preserve">o </w:t>
      </w:r>
      <w:r w:rsidRPr="003A1174">
        <w:rPr>
          <w:rFonts w:ascii="Garamond" w:hAnsi="Garamond" w:cs="Arial"/>
          <w:sz w:val="24"/>
          <w:szCs w:val="24"/>
        </w:rPr>
        <w:t>apo</w:t>
      </w:r>
      <w:r w:rsidR="00BD6A0C" w:rsidRPr="003A1174">
        <w:rPr>
          <w:rFonts w:ascii="Garamond" w:hAnsi="Garamond" w:cs="Arial"/>
          <w:sz w:val="24"/>
          <w:szCs w:val="24"/>
        </w:rPr>
        <w:t>i</w:t>
      </w:r>
      <w:r w:rsidRPr="003A1174">
        <w:rPr>
          <w:rFonts w:ascii="Garamond" w:hAnsi="Garamond" w:cs="Arial"/>
          <w:sz w:val="24"/>
          <w:szCs w:val="24"/>
        </w:rPr>
        <w:t xml:space="preserve">o da </w:t>
      </w:r>
      <w:r w:rsidR="00C30647" w:rsidRPr="003A1174">
        <w:rPr>
          <w:rFonts w:ascii="Garamond" w:hAnsi="Garamond" w:cs="Arial"/>
          <w:sz w:val="24"/>
          <w:szCs w:val="24"/>
        </w:rPr>
        <w:t>cooperação</w:t>
      </w:r>
      <w:r w:rsidRPr="003A1174">
        <w:rPr>
          <w:rFonts w:ascii="Garamond" w:hAnsi="Garamond" w:cs="Arial"/>
          <w:sz w:val="24"/>
          <w:szCs w:val="24"/>
        </w:rPr>
        <w:t xml:space="preserve"> internacional, ta</w:t>
      </w:r>
      <w:r w:rsidR="00BD6A0C" w:rsidRPr="003A1174">
        <w:rPr>
          <w:rFonts w:ascii="Garamond" w:hAnsi="Garamond" w:cs="Arial"/>
          <w:sz w:val="24"/>
          <w:szCs w:val="24"/>
        </w:rPr>
        <w:t>i</w:t>
      </w:r>
      <w:r w:rsidRPr="003A1174">
        <w:rPr>
          <w:rFonts w:ascii="Garamond" w:hAnsi="Garamond" w:cs="Arial"/>
          <w:sz w:val="24"/>
          <w:szCs w:val="24"/>
        </w:rPr>
        <w:t>s como:</w:t>
      </w:r>
    </w:p>
    <w:p w:rsidR="00F92EC2" w:rsidRPr="003A1174" w:rsidRDefault="00BD6A0C" w:rsidP="002720C5">
      <w:pPr>
        <w:pStyle w:val="Prrafodelista"/>
        <w:numPr>
          <w:ilvl w:val="0"/>
          <w:numId w:val="22"/>
        </w:numPr>
        <w:tabs>
          <w:tab w:val="clear" w:pos="708"/>
        </w:tabs>
        <w:suppressAutoHyphens w:val="0"/>
        <w:spacing w:line="240" w:lineRule="auto"/>
        <w:ind w:left="567" w:firstLine="0"/>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E150E9" w:rsidRPr="003A1174">
        <w:rPr>
          <w:rFonts w:ascii="Garamond" w:hAnsi="Garamond" w:cs="Arial"/>
          <w:color w:val="auto"/>
          <w:sz w:val="24"/>
          <w:szCs w:val="24"/>
          <w:lang w:val="pt-PT"/>
        </w:rPr>
        <w:t>Constituição</w:t>
      </w:r>
      <w:r w:rsidRPr="003A1174">
        <w:rPr>
          <w:rFonts w:ascii="Garamond" w:hAnsi="Garamond" w:cs="Arial"/>
          <w:color w:val="auto"/>
          <w:sz w:val="24"/>
          <w:szCs w:val="24"/>
          <w:lang w:val="pt-PT"/>
        </w:rPr>
        <w:t xml:space="preserve"> d</w:t>
      </w:r>
      <w:r w:rsidR="00F92EC2" w:rsidRPr="003A1174">
        <w:rPr>
          <w:rFonts w:ascii="Garamond" w:hAnsi="Garamond" w:cs="Arial"/>
          <w:color w:val="auto"/>
          <w:sz w:val="24"/>
          <w:szCs w:val="24"/>
          <w:lang w:val="pt-PT"/>
        </w:rPr>
        <w:t>a República</w:t>
      </w:r>
      <w:r w:rsidR="008208DF" w:rsidRPr="003A1174">
        <w:rPr>
          <w:rFonts w:ascii="Garamond" w:hAnsi="Garamond" w:cs="Arial"/>
          <w:color w:val="auto"/>
          <w:sz w:val="24"/>
          <w:szCs w:val="24"/>
          <w:lang w:val="pt-PT"/>
        </w:rPr>
        <w:t>,</w:t>
      </w:r>
      <w:r w:rsidR="00F92EC2" w:rsidRPr="003A1174">
        <w:rPr>
          <w:rFonts w:ascii="Garamond" w:hAnsi="Garamond" w:cs="Arial"/>
          <w:color w:val="auto"/>
          <w:sz w:val="24"/>
          <w:szCs w:val="24"/>
          <w:lang w:val="pt-PT"/>
        </w:rPr>
        <w:t xml:space="preserve"> </w:t>
      </w:r>
      <w:r w:rsidR="00862235">
        <w:rPr>
          <w:rFonts w:ascii="Garamond" w:hAnsi="Garamond" w:cs="Arial"/>
          <w:color w:val="auto"/>
          <w:sz w:val="24"/>
          <w:szCs w:val="24"/>
          <w:lang w:val="pt-PT"/>
        </w:rPr>
        <w:t>D</w:t>
      </w:r>
      <w:r w:rsidR="00F92EC2" w:rsidRPr="003A1174">
        <w:rPr>
          <w:rFonts w:ascii="Garamond" w:hAnsi="Garamond" w:cs="Arial"/>
          <w:color w:val="auto"/>
          <w:sz w:val="24"/>
          <w:szCs w:val="24"/>
          <w:lang w:val="pt-PT"/>
        </w:rPr>
        <w:t xml:space="preserve">ecreto 131-1982, </w:t>
      </w:r>
      <w:r w:rsidR="00383B3F" w:rsidRPr="003A1174">
        <w:rPr>
          <w:rFonts w:ascii="Garamond" w:hAnsi="Garamond" w:cs="Arial"/>
          <w:color w:val="auto"/>
          <w:sz w:val="24"/>
          <w:szCs w:val="24"/>
          <w:lang w:val="pt-PT"/>
        </w:rPr>
        <w:t>Art.</w:t>
      </w:r>
      <w:r w:rsidR="00F92EC2" w:rsidRPr="003A1174">
        <w:rPr>
          <w:rFonts w:ascii="Garamond" w:hAnsi="Garamond" w:cs="Arial"/>
          <w:color w:val="auto"/>
          <w:sz w:val="24"/>
          <w:szCs w:val="24"/>
          <w:lang w:val="pt-PT"/>
        </w:rPr>
        <w:t xml:space="preserve"> 59: </w:t>
      </w:r>
      <w:r w:rsidR="002720C5">
        <w:rPr>
          <w:rFonts w:ascii="Garamond" w:hAnsi="Garamond" w:cs="Arial"/>
          <w:color w:val="auto"/>
          <w:sz w:val="24"/>
          <w:szCs w:val="24"/>
          <w:lang w:val="pt-PT"/>
        </w:rPr>
        <w:t>«</w:t>
      </w:r>
      <w:r w:rsidRPr="003A1174">
        <w:rPr>
          <w:rFonts w:ascii="Garamond" w:hAnsi="Garamond" w:cs="Arial"/>
          <w:color w:val="auto"/>
          <w:sz w:val="24"/>
          <w:szCs w:val="24"/>
          <w:lang w:val="pt-PT"/>
        </w:rPr>
        <w:t xml:space="preserve">A </w:t>
      </w:r>
      <w:r w:rsidR="0005622E" w:rsidRPr="003A1174">
        <w:rPr>
          <w:rFonts w:ascii="Garamond" w:hAnsi="Garamond" w:cs="Arial"/>
          <w:color w:val="auto"/>
          <w:sz w:val="24"/>
          <w:szCs w:val="24"/>
          <w:lang w:val="pt-PT"/>
        </w:rPr>
        <w:t>pessoa</w:t>
      </w:r>
      <w:r w:rsidR="00F92EC2" w:rsidRPr="003A1174">
        <w:rPr>
          <w:rFonts w:ascii="Garamond" w:hAnsi="Garamond" w:cs="Arial"/>
          <w:color w:val="auto"/>
          <w:sz w:val="24"/>
          <w:szCs w:val="24"/>
          <w:lang w:val="pt-PT"/>
        </w:rPr>
        <w:t xml:space="preserve"> humana </w:t>
      </w:r>
      <w:r w:rsidRPr="003A1174">
        <w:rPr>
          <w:rFonts w:ascii="Garamond" w:hAnsi="Garamond" w:cs="Arial"/>
          <w:color w:val="auto"/>
          <w:sz w:val="24"/>
          <w:szCs w:val="24"/>
          <w:lang w:val="pt-PT"/>
        </w:rPr>
        <w:t xml:space="preserve">é o </w:t>
      </w:r>
      <w:r w:rsidR="00F92EC2" w:rsidRPr="003A1174">
        <w:rPr>
          <w:rFonts w:ascii="Garamond" w:hAnsi="Garamond" w:cs="Arial"/>
          <w:color w:val="auto"/>
          <w:sz w:val="24"/>
          <w:szCs w:val="24"/>
          <w:lang w:val="pt-PT"/>
        </w:rPr>
        <w:t>fi</w:t>
      </w:r>
      <w:r w:rsidRPr="003A1174">
        <w:rPr>
          <w:rFonts w:ascii="Garamond" w:hAnsi="Garamond" w:cs="Arial"/>
          <w:color w:val="auto"/>
          <w:sz w:val="24"/>
          <w:szCs w:val="24"/>
          <w:lang w:val="pt-PT"/>
        </w:rPr>
        <w:t>m</w:t>
      </w:r>
      <w:r w:rsidR="00F92EC2" w:rsidRPr="003A1174">
        <w:rPr>
          <w:rFonts w:ascii="Garamond" w:hAnsi="Garamond" w:cs="Arial"/>
          <w:color w:val="auto"/>
          <w:sz w:val="24"/>
          <w:szCs w:val="24"/>
          <w:lang w:val="pt-PT"/>
        </w:rPr>
        <w:t xml:space="preserve"> supremo da </w:t>
      </w:r>
      <w:r w:rsidR="002C7510" w:rsidRPr="003A1174">
        <w:rPr>
          <w:rFonts w:ascii="Garamond" w:hAnsi="Garamond" w:cs="Arial"/>
          <w:color w:val="auto"/>
          <w:sz w:val="24"/>
          <w:szCs w:val="24"/>
          <w:lang w:val="pt-PT"/>
        </w:rPr>
        <w:t>sociedade</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Estado. Todos </w:t>
      </w:r>
      <w:r w:rsidR="00D4575C" w:rsidRPr="003A1174">
        <w:rPr>
          <w:rFonts w:ascii="Garamond" w:hAnsi="Garamond" w:cs="Arial"/>
          <w:color w:val="auto"/>
          <w:sz w:val="24"/>
          <w:szCs w:val="24"/>
          <w:lang w:val="pt-PT"/>
        </w:rPr>
        <w:t>têm</w:t>
      </w:r>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obrigação</w:t>
      </w:r>
      <w:r w:rsidR="00F92EC2" w:rsidRPr="003A1174">
        <w:rPr>
          <w:rFonts w:ascii="Garamond" w:hAnsi="Garamond" w:cs="Arial"/>
          <w:color w:val="auto"/>
          <w:sz w:val="24"/>
          <w:szCs w:val="24"/>
          <w:lang w:val="pt-PT"/>
        </w:rPr>
        <w:t xml:space="preserve"> de </w:t>
      </w:r>
      <w:r w:rsidRPr="003A1174">
        <w:rPr>
          <w:rFonts w:ascii="Garamond" w:hAnsi="Garamond" w:cs="Arial"/>
          <w:color w:val="auto"/>
          <w:sz w:val="24"/>
          <w:szCs w:val="24"/>
          <w:lang w:val="pt-PT"/>
        </w:rPr>
        <w:t xml:space="preserve">a </w:t>
      </w:r>
      <w:r w:rsidR="00661ADB" w:rsidRPr="003A1174">
        <w:rPr>
          <w:rFonts w:ascii="Garamond" w:hAnsi="Garamond" w:cs="Arial"/>
          <w:color w:val="auto"/>
          <w:sz w:val="24"/>
          <w:szCs w:val="24"/>
          <w:lang w:val="pt-PT"/>
        </w:rPr>
        <w:t>respeitar</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defender. </w:t>
      </w:r>
      <w:r w:rsidRPr="003A1174">
        <w:rPr>
          <w:rFonts w:ascii="Garamond" w:hAnsi="Garamond" w:cs="Arial"/>
          <w:color w:val="auto"/>
          <w:sz w:val="24"/>
          <w:szCs w:val="24"/>
          <w:lang w:val="pt-PT"/>
        </w:rPr>
        <w:t>A dignidade</w:t>
      </w:r>
      <w:r w:rsidR="00F92EC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ser humano </w:t>
      </w:r>
      <w:r w:rsidRPr="003A1174">
        <w:rPr>
          <w:rFonts w:ascii="Garamond" w:hAnsi="Garamond" w:cs="Arial"/>
          <w:color w:val="auto"/>
          <w:sz w:val="24"/>
          <w:szCs w:val="24"/>
          <w:lang w:val="pt-PT"/>
        </w:rPr>
        <w:t>é inviolável</w:t>
      </w:r>
      <w:r w:rsidR="002720C5">
        <w:rPr>
          <w:rFonts w:ascii="Garamond" w:hAnsi="Garamond" w:cs="Arial"/>
          <w:color w:val="auto"/>
          <w:sz w:val="24"/>
          <w:szCs w:val="24"/>
          <w:lang w:val="pt-PT"/>
        </w:rPr>
        <w:t>»</w:t>
      </w:r>
      <w:r w:rsidR="00F92EC2" w:rsidRPr="003A1174">
        <w:rPr>
          <w:rFonts w:ascii="Garamond" w:hAnsi="Garamond" w:cs="Arial"/>
          <w:color w:val="auto"/>
          <w:sz w:val="24"/>
          <w:szCs w:val="24"/>
          <w:lang w:val="pt-PT"/>
        </w:rPr>
        <w:t>.</w:t>
      </w:r>
    </w:p>
    <w:p w:rsidR="00F92EC2" w:rsidRPr="003A1174" w:rsidRDefault="00BD6A0C" w:rsidP="002720C5">
      <w:pPr>
        <w:pStyle w:val="Prrafodelista"/>
        <w:numPr>
          <w:ilvl w:val="0"/>
          <w:numId w:val="22"/>
        </w:numPr>
        <w:tabs>
          <w:tab w:val="clear" w:pos="708"/>
        </w:tabs>
        <w:suppressAutoHyphens w:val="0"/>
        <w:spacing w:line="240" w:lineRule="auto"/>
        <w:ind w:left="567" w:firstLine="0"/>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Pr="003A1174">
        <w:rPr>
          <w:rFonts w:ascii="Garamond" w:hAnsi="Garamond" w:cs="Arial"/>
          <w:color w:val="auto"/>
          <w:sz w:val="24"/>
          <w:szCs w:val="24"/>
          <w:lang w:val="pt-PT"/>
        </w:rPr>
        <w:t xml:space="preserve"> contra </w:t>
      </w:r>
      <w:r w:rsidR="00F92EC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xml:space="preserve"> Doméstica (1997) </w:t>
      </w:r>
      <w:r w:rsidR="00497503" w:rsidRPr="00625311">
        <w:rPr>
          <w:rFonts w:ascii="Garamond" w:hAnsi="Garamond" w:cs="Arial"/>
          <w:color w:val="auto"/>
          <w:sz w:val="24"/>
          <w:szCs w:val="24"/>
          <w:lang w:val="pt-PT"/>
        </w:rPr>
        <w:t>e</w:t>
      </w:r>
      <w:r w:rsidR="00F92EC2" w:rsidRPr="00625311">
        <w:rPr>
          <w:rFonts w:ascii="Garamond" w:hAnsi="Garamond" w:cs="Arial"/>
          <w:color w:val="auto"/>
          <w:sz w:val="24"/>
          <w:szCs w:val="24"/>
          <w:lang w:val="pt-PT"/>
        </w:rPr>
        <w:t xml:space="preserve"> </w:t>
      </w:r>
      <w:r w:rsidRPr="00625311">
        <w:rPr>
          <w:rFonts w:ascii="Garamond" w:hAnsi="Garamond" w:cs="Arial"/>
          <w:color w:val="auto"/>
          <w:sz w:val="24"/>
          <w:szCs w:val="24"/>
          <w:lang w:val="pt-PT"/>
        </w:rPr>
        <w:t xml:space="preserve">as </w:t>
      </w:r>
      <w:r w:rsidR="00F92EC2" w:rsidRPr="00625311">
        <w:rPr>
          <w:rFonts w:ascii="Garamond" w:hAnsi="Garamond" w:cs="Arial"/>
          <w:color w:val="auto"/>
          <w:sz w:val="24"/>
          <w:szCs w:val="24"/>
          <w:lang w:val="pt-PT"/>
        </w:rPr>
        <w:t>su</w:t>
      </w:r>
      <w:r w:rsidRPr="00625311">
        <w:rPr>
          <w:rFonts w:ascii="Garamond" w:hAnsi="Garamond" w:cs="Arial"/>
          <w:color w:val="auto"/>
          <w:sz w:val="24"/>
          <w:szCs w:val="24"/>
          <w:lang w:val="pt-PT"/>
        </w:rPr>
        <w:t>a</w:t>
      </w:r>
      <w:r w:rsidR="00F92EC2" w:rsidRPr="00625311">
        <w:rPr>
          <w:rFonts w:ascii="Garamond" w:hAnsi="Garamond" w:cs="Arial"/>
          <w:color w:val="auto"/>
          <w:sz w:val="24"/>
          <w:szCs w:val="24"/>
          <w:lang w:val="pt-PT"/>
        </w:rPr>
        <w:t>s</w:t>
      </w:r>
      <w:r w:rsidR="00542E90" w:rsidRPr="00625311">
        <w:rPr>
          <w:rFonts w:ascii="Garamond" w:hAnsi="Garamond" w:cs="Arial"/>
          <w:color w:val="auto"/>
          <w:sz w:val="24"/>
          <w:szCs w:val="24"/>
          <w:lang w:val="pt-PT"/>
        </w:rPr>
        <w:t xml:space="preserve"> alterações</w:t>
      </w:r>
      <w:r w:rsidR="00F92EC2" w:rsidRPr="003A1174">
        <w:rPr>
          <w:rFonts w:ascii="Garamond" w:hAnsi="Garamond" w:cs="Arial"/>
          <w:color w:val="auto"/>
          <w:sz w:val="24"/>
          <w:szCs w:val="24"/>
          <w:lang w:val="pt-PT"/>
        </w:rPr>
        <w:t xml:space="preserve"> (2005), que </w:t>
      </w:r>
      <w:r w:rsidRPr="003A1174">
        <w:rPr>
          <w:rFonts w:ascii="Garamond" w:hAnsi="Garamond" w:cs="Arial"/>
          <w:color w:val="auto"/>
          <w:sz w:val="24"/>
          <w:szCs w:val="24"/>
          <w:lang w:val="pt-PT"/>
        </w:rPr>
        <w:t>promovem</w:t>
      </w:r>
      <w:r w:rsidR="00F92EC2" w:rsidRPr="003A1174">
        <w:rPr>
          <w:rFonts w:ascii="Garamond" w:hAnsi="Garamond" w:cs="Arial"/>
          <w:color w:val="auto"/>
          <w:sz w:val="24"/>
          <w:szCs w:val="24"/>
          <w:lang w:val="pt-PT"/>
        </w:rPr>
        <w:t xml:space="preserve"> u</w:t>
      </w:r>
      <w:r w:rsidRPr="003A1174">
        <w:rPr>
          <w:rFonts w:ascii="Garamond" w:hAnsi="Garamond" w:cs="Arial"/>
          <w:color w:val="auto"/>
          <w:sz w:val="24"/>
          <w:szCs w:val="24"/>
          <w:lang w:val="pt-PT"/>
        </w:rPr>
        <w:t xml:space="preserve">ma mudança nos </w:t>
      </w:r>
      <w:r w:rsidR="00F92EC2" w:rsidRPr="003A1174">
        <w:rPr>
          <w:rFonts w:ascii="Garamond" w:hAnsi="Garamond" w:cs="Arial"/>
          <w:color w:val="auto"/>
          <w:sz w:val="24"/>
          <w:szCs w:val="24"/>
          <w:lang w:val="pt-PT"/>
        </w:rPr>
        <w:t xml:space="preserve">valores vigentes,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que </w:t>
      </w:r>
      <w:r w:rsidR="00152A44" w:rsidRPr="003A1174">
        <w:rPr>
          <w:rFonts w:ascii="Garamond" w:hAnsi="Garamond" w:cs="Arial"/>
          <w:color w:val="auto"/>
          <w:sz w:val="24"/>
          <w:szCs w:val="24"/>
          <w:lang w:val="pt-PT"/>
        </w:rPr>
        <w:t>estabelece</w:t>
      </w:r>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obrigação</w:t>
      </w:r>
      <w:r w:rsidR="00F92EC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Estado de </w:t>
      </w:r>
      <w:r w:rsidRPr="003A1174">
        <w:rPr>
          <w:rFonts w:ascii="Garamond" w:hAnsi="Garamond" w:cs="Arial"/>
          <w:color w:val="auto"/>
          <w:sz w:val="24"/>
          <w:szCs w:val="24"/>
          <w:lang w:val="pt-PT"/>
        </w:rPr>
        <w:t>executa</w:t>
      </w:r>
      <w:r w:rsidR="00F92EC2" w:rsidRPr="003A1174">
        <w:rPr>
          <w:rFonts w:ascii="Garamond" w:hAnsi="Garamond" w:cs="Arial"/>
          <w:color w:val="auto"/>
          <w:sz w:val="24"/>
          <w:szCs w:val="24"/>
          <w:lang w:val="pt-PT"/>
        </w:rPr>
        <w:t>r políticas públicas que garant</w:t>
      </w:r>
      <w:r w:rsidRPr="003A1174">
        <w:rPr>
          <w:rFonts w:ascii="Garamond" w:hAnsi="Garamond" w:cs="Arial"/>
          <w:color w:val="auto"/>
          <w:sz w:val="24"/>
          <w:szCs w:val="24"/>
          <w:lang w:val="pt-PT"/>
        </w:rPr>
        <w:t xml:space="preserve">am </w:t>
      </w:r>
      <w:r w:rsidR="00F92EC2" w:rsidRPr="003A1174">
        <w:rPr>
          <w:rFonts w:ascii="Garamond" w:hAnsi="Garamond" w:cs="Arial"/>
          <w:color w:val="auto"/>
          <w:sz w:val="24"/>
          <w:szCs w:val="24"/>
          <w:lang w:val="pt-PT"/>
        </w:rPr>
        <w:t xml:space="preserve">a </w:t>
      </w:r>
      <w:r w:rsidR="008E7A2A" w:rsidRPr="003A1174">
        <w:rPr>
          <w:rFonts w:ascii="Garamond" w:hAnsi="Garamond" w:cs="Arial"/>
          <w:color w:val="auto"/>
          <w:sz w:val="24"/>
          <w:szCs w:val="24"/>
          <w:lang w:val="pt-PT"/>
        </w:rPr>
        <w:t>eliminação</w:t>
      </w:r>
      <w:r w:rsidRPr="003A1174">
        <w:rPr>
          <w:rFonts w:ascii="Garamond" w:hAnsi="Garamond" w:cs="Arial"/>
          <w:color w:val="auto"/>
          <w:sz w:val="24"/>
          <w:szCs w:val="24"/>
          <w:lang w:val="pt-PT"/>
        </w:rPr>
        <w:t xml:space="preserve"> d</w:t>
      </w:r>
      <w:r w:rsidR="00F92EC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xml:space="preserve"> doméstica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886D6A" w:rsidRPr="003A1174">
        <w:rPr>
          <w:rFonts w:ascii="Garamond" w:hAnsi="Garamond" w:cs="Arial"/>
          <w:color w:val="auto"/>
          <w:sz w:val="24"/>
          <w:szCs w:val="24"/>
          <w:lang w:val="pt-PT"/>
        </w:rPr>
        <w:t>proteção</w:t>
      </w:r>
      <w:r w:rsidR="00F92EC2" w:rsidRPr="003A1174">
        <w:rPr>
          <w:rFonts w:ascii="Garamond" w:hAnsi="Garamond" w:cs="Arial"/>
          <w:color w:val="auto"/>
          <w:sz w:val="24"/>
          <w:szCs w:val="24"/>
          <w:lang w:val="pt-PT"/>
        </w:rPr>
        <w:t xml:space="preserve"> da </w:t>
      </w:r>
      <w:r w:rsidR="006C7AF1" w:rsidRPr="003A1174">
        <w:rPr>
          <w:rFonts w:ascii="Garamond" w:hAnsi="Garamond" w:cs="Arial"/>
          <w:color w:val="auto"/>
          <w:sz w:val="24"/>
          <w:szCs w:val="24"/>
          <w:lang w:val="pt-PT"/>
        </w:rPr>
        <w:t>família</w:t>
      </w:r>
      <w:r w:rsidR="00F92EC2" w:rsidRPr="003A1174">
        <w:rPr>
          <w:rFonts w:ascii="Garamond" w:hAnsi="Garamond" w:cs="Arial"/>
          <w:color w:val="auto"/>
          <w:sz w:val="24"/>
          <w:szCs w:val="24"/>
          <w:lang w:val="pt-PT"/>
        </w:rPr>
        <w:t>.</w:t>
      </w:r>
    </w:p>
    <w:p w:rsidR="00F92EC2" w:rsidRPr="003A1174" w:rsidRDefault="00BD6A0C" w:rsidP="002720C5">
      <w:pPr>
        <w:pStyle w:val="Prrafodelista"/>
        <w:numPr>
          <w:ilvl w:val="0"/>
          <w:numId w:val="22"/>
        </w:numPr>
        <w:tabs>
          <w:tab w:val="clear" w:pos="708"/>
        </w:tabs>
        <w:suppressAutoHyphens w:val="0"/>
        <w:spacing w:line="240" w:lineRule="auto"/>
        <w:ind w:left="567" w:firstLine="0"/>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F92EC2" w:rsidRPr="003A1174">
        <w:rPr>
          <w:rFonts w:ascii="Garamond" w:hAnsi="Garamond" w:cs="Arial"/>
          <w:color w:val="auto"/>
          <w:sz w:val="24"/>
          <w:szCs w:val="24"/>
          <w:lang w:val="pt-PT"/>
        </w:rPr>
        <w:t xml:space="preserve">Código Penal as </w:t>
      </w:r>
      <w:r w:rsidR="003A2CD0">
        <w:rPr>
          <w:rFonts w:ascii="Garamond" w:hAnsi="Garamond" w:cs="Arial"/>
          <w:color w:val="auto"/>
          <w:sz w:val="24"/>
          <w:szCs w:val="24"/>
          <w:lang w:val="pt-PT"/>
        </w:rPr>
        <w:t>revisões efetuadas</w:t>
      </w:r>
      <w:r w:rsidR="00F92EC2"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F92EC2" w:rsidRPr="003A1174">
        <w:rPr>
          <w:rFonts w:ascii="Garamond" w:hAnsi="Garamond" w:cs="Arial"/>
          <w:color w:val="auto"/>
          <w:sz w:val="24"/>
          <w:szCs w:val="24"/>
          <w:lang w:val="pt-PT"/>
        </w:rPr>
        <w:t xml:space="preserve"> 1996, 1997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2005 </w:t>
      </w:r>
      <w:r w:rsidR="00462B11" w:rsidRPr="003A1174">
        <w:rPr>
          <w:rFonts w:ascii="Garamond" w:hAnsi="Garamond" w:cs="Arial"/>
          <w:color w:val="auto"/>
          <w:sz w:val="24"/>
          <w:szCs w:val="24"/>
          <w:lang w:val="pt-PT"/>
        </w:rPr>
        <w:t xml:space="preserve">contribuem para </w:t>
      </w:r>
      <w:r w:rsidR="00F92EC2" w:rsidRPr="003A1174">
        <w:rPr>
          <w:rFonts w:ascii="Garamond" w:hAnsi="Garamond" w:cs="Arial"/>
          <w:color w:val="auto"/>
          <w:sz w:val="24"/>
          <w:szCs w:val="24"/>
          <w:lang w:val="pt-PT"/>
        </w:rPr>
        <w:t xml:space="preserve">a </w:t>
      </w:r>
      <w:r w:rsidR="00A56F43" w:rsidRPr="003A1174">
        <w:rPr>
          <w:rFonts w:ascii="Garamond" w:hAnsi="Garamond" w:cs="Arial"/>
          <w:color w:val="auto"/>
          <w:sz w:val="24"/>
          <w:szCs w:val="24"/>
          <w:lang w:val="pt-PT"/>
        </w:rPr>
        <w:t>garantia</w:t>
      </w:r>
      <w:r w:rsidR="00F92EC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 xml:space="preserve">à </w:t>
      </w:r>
      <w:r w:rsidR="00F92EC2" w:rsidRPr="003A1174">
        <w:rPr>
          <w:rFonts w:ascii="Garamond" w:hAnsi="Garamond" w:cs="Arial"/>
          <w:color w:val="auto"/>
          <w:sz w:val="24"/>
          <w:szCs w:val="24"/>
          <w:lang w:val="pt-PT"/>
        </w:rPr>
        <w:t xml:space="preserve">paz </w:t>
      </w:r>
      <w:r w:rsidR="00497503" w:rsidRPr="003A1174">
        <w:rPr>
          <w:rFonts w:ascii="Garamond" w:hAnsi="Garamond" w:cs="Arial"/>
          <w:color w:val="auto"/>
          <w:sz w:val="24"/>
          <w:szCs w:val="24"/>
          <w:lang w:val="pt-PT"/>
        </w:rPr>
        <w:t>e</w:t>
      </w:r>
      <w:r w:rsidR="00462B11" w:rsidRPr="003A1174">
        <w:rPr>
          <w:rFonts w:ascii="Garamond" w:hAnsi="Garamond" w:cs="Arial"/>
          <w:color w:val="auto"/>
          <w:sz w:val="24"/>
          <w:szCs w:val="24"/>
          <w:lang w:val="pt-PT"/>
        </w:rPr>
        <w:t xml:space="preserve"> a um</w:t>
      </w:r>
      <w:r w:rsidR="00F92EC2" w:rsidRPr="003A1174">
        <w:rPr>
          <w:rFonts w:ascii="Garamond" w:hAnsi="Garamond" w:cs="Arial"/>
          <w:color w:val="auto"/>
          <w:sz w:val="24"/>
          <w:szCs w:val="24"/>
          <w:lang w:val="pt-PT"/>
        </w:rPr>
        <w:t xml:space="preserve">a vida </w:t>
      </w:r>
      <w:r w:rsidR="00AF192F" w:rsidRPr="003A1174">
        <w:rPr>
          <w:rFonts w:ascii="Garamond" w:hAnsi="Garamond" w:cs="Arial"/>
          <w:color w:val="auto"/>
          <w:sz w:val="24"/>
          <w:szCs w:val="24"/>
          <w:lang w:val="pt-PT"/>
        </w:rPr>
        <w:t>livre</w:t>
      </w:r>
      <w:r w:rsidR="00F92EC2"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particularmente</w:t>
      </w:r>
      <w:r w:rsidR="00862235">
        <w:rPr>
          <w:rFonts w:ascii="Garamond" w:hAnsi="Garamond" w:cs="Arial"/>
          <w:color w:val="auto"/>
          <w:sz w:val="24"/>
          <w:szCs w:val="24"/>
          <w:lang w:val="pt-PT"/>
        </w:rPr>
        <w:t>,</w:t>
      </w:r>
      <w:r w:rsidR="00F92EC2" w:rsidRPr="003A1174">
        <w:rPr>
          <w:rFonts w:ascii="Garamond" w:hAnsi="Garamond" w:cs="Arial"/>
          <w:color w:val="auto"/>
          <w:sz w:val="24"/>
          <w:szCs w:val="24"/>
          <w:lang w:val="pt-PT"/>
        </w:rPr>
        <w:t xml:space="preserve"> da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xml:space="preserve"> sexual.</w:t>
      </w:r>
    </w:p>
    <w:p w:rsidR="00F92EC2" w:rsidRPr="003A1174" w:rsidRDefault="00462B11" w:rsidP="002720C5">
      <w:pPr>
        <w:pStyle w:val="Prrafodelista"/>
        <w:numPr>
          <w:ilvl w:val="0"/>
          <w:numId w:val="22"/>
        </w:numPr>
        <w:tabs>
          <w:tab w:val="clear" w:pos="708"/>
        </w:tabs>
        <w:suppressAutoHyphens w:val="0"/>
        <w:spacing w:line="240" w:lineRule="auto"/>
        <w:ind w:left="567" w:firstLine="0"/>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00F92EC2"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Igualdade</w:t>
      </w:r>
      <w:r w:rsidRPr="003A1174">
        <w:rPr>
          <w:rFonts w:ascii="Garamond" w:hAnsi="Garamond" w:cs="Arial"/>
          <w:color w:val="auto"/>
          <w:sz w:val="24"/>
          <w:szCs w:val="24"/>
          <w:lang w:val="pt-PT"/>
        </w:rPr>
        <w:t xml:space="preserve"> de Oportunidades para </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F92EC2" w:rsidRPr="003A1174">
        <w:rPr>
          <w:rFonts w:ascii="Garamond" w:hAnsi="Garamond" w:cs="Arial"/>
          <w:color w:val="auto"/>
          <w:sz w:val="24"/>
          <w:szCs w:val="24"/>
          <w:lang w:val="pt-PT"/>
        </w:rPr>
        <w:t xml:space="preserve"> (LIOM-2000)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F92EC2" w:rsidRPr="003A1174">
        <w:rPr>
          <w:rFonts w:ascii="Garamond" w:hAnsi="Garamond" w:cs="Arial"/>
          <w:color w:val="auto"/>
          <w:sz w:val="24"/>
          <w:szCs w:val="24"/>
          <w:lang w:val="pt-PT"/>
        </w:rPr>
        <w:t>s</w:t>
      </w:r>
      <w:r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u </w:t>
      </w:r>
      <w:r w:rsidR="00CD707D" w:rsidRPr="003A1174">
        <w:rPr>
          <w:rFonts w:ascii="Garamond" w:hAnsi="Garamond" w:cs="Arial"/>
          <w:color w:val="auto"/>
          <w:sz w:val="24"/>
          <w:szCs w:val="24"/>
          <w:lang w:val="pt-PT"/>
        </w:rPr>
        <w:t>regulamento</w:t>
      </w:r>
      <w:r w:rsidR="00F92EC2" w:rsidRPr="003A1174">
        <w:rPr>
          <w:rFonts w:ascii="Garamond" w:hAnsi="Garamond" w:cs="Arial"/>
          <w:color w:val="auto"/>
          <w:sz w:val="24"/>
          <w:szCs w:val="24"/>
          <w:lang w:val="pt-PT"/>
        </w:rPr>
        <w:t xml:space="preserve"> (2008), </w:t>
      </w:r>
      <w:r w:rsidR="00152A44" w:rsidRPr="003A1174">
        <w:rPr>
          <w:rFonts w:ascii="Garamond" w:hAnsi="Garamond" w:cs="Arial"/>
          <w:color w:val="auto"/>
          <w:sz w:val="24"/>
          <w:szCs w:val="24"/>
          <w:lang w:val="pt-PT"/>
        </w:rPr>
        <w:t>estabelece</w:t>
      </w:r>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obrigação</w:t>
      </w:r>
      <w:r w:rsidR="00F92EC2" w:rsidRPr="003A1174">
        <w:rPr>
          <w:rFonts w:ascii="Garamond" w:hAnsi="Garamond" w:cs="Arial"/>
          <w:color w:val="auto"/>
          <w:sz w:val="24"/>
          <w:szCs w:val="24"/>
          <w:lang w:val="pt-PT"/>
        </w:rPr>
        <w:t xml:space="preserve"> </w:t>
      </w:r>
      <w:proofErr w:type="gramStart"/>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Estado </w:t>
      </w:r>
      <w:r w:rsidRPr="003A1174">
        <w:rPr>
          <w:rFonts w:ascii="Garamond" w:hAnsi="Garamond" w:cs="Arial"/>
          <w:color w:val="auto"/>
          <w:sz w:val="24"/>
          <w:szCs w:val="24"/>
          <w:lang w:val="pt-PT"/>
        </w:rPr>
        <w:t>promover</w:t>
      </w:r>
      <w:proofErr w:type="gramEnd"/>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igualdade</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 xml:space="preserve">a </w:t>
      </w:r>
      <w:r w:rsidR="00C01806" w:rsidRPr="003A1174">
        <w:rPr>
          <w:rFonts w:ascii="Garamond" w:hAnsi="Garamond" w:cs="Arial"/>
          <w:color w:val="auto"/>
          <w:sz w:val="24"/>
          <w:szCs w:val="24"/>
          <w:lang w:val="pt-PT"/>
        </w:rPr>
        <w:t>equidade</w:t>
      </w:r>
      <w:r w:rsidRPr="003A1174">
        <w:rPr>
          <w:rFonts w:ascii="Garamond" w:hAnsi="Garamond" w:cs="Arial"/>
          <w:color w:val="auto"/>
          <w:sz w:val="24"/>
          <w:szCs w:val="24"/>
          <w:lang w:val="pt-PT"/>
        </w:rPr>
        <w:t xml:space="preserve"> de género, proteger </w:t>
      </w:r>
      <w:r w:rsidR="00F92EC2" w:rsidRPr="003A1174">
        <w:rPr>
          <w:rFonts w:ascii="Garamond" w:hAnsi="Garamond" w:cs="Arial"/>
          <w:color w:val="auto"/>
          <w:sz w:val="24"/>
          <w:szCs w:val="24"/>
          <w:lang w:val="pt-PT"/>
        </w:rPr>
        <w:t xml:space="preserve">os </w:t>
      </w:r>
      <w:r w:rsidR="00886D6A" w:rsidRPr="003A1174">
        <w:rPr>
          <w:rFonts w:ascii="Garamond" w:hAnsi="Garamond" w:cs="Arial"/>
          <w:color w:val="auto"/>
          <w:sz w:val="24"/>
          <w:szCs w:val="24"/>
          <w:lang w:val="pt-PT"/>
        </w:rPr>
        <w:t>direito</w:t>
      </w:r>
      <w:r w:rsidR="00F92EC2"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das</w:t>
      </w:r>
      <w:r w:rsidR="00F92EC2"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F92EC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w:t>
      </w:r>
      <w:r w:rsidR="00F92EC2" w:rsidRPr="003A1174">
        <w:rPr>
          <w:rFonts w:ascii="Garamond" w:hAnsi="Garamond" w:cs="Arial"/>
          <w:color w:val="auto"/>
          <w:sz w:val="24"/>
          <w:szCs w:val="24"/>
          <w:lang w:val="pt-PT"/>
        </w:rPr>
        <w:t xml:space="preserve">os diferentes </w:t>
      </w:r>
      <w:r w:rsidR="00802ACC" w:rsidRPr="003A1174">
        <w:rPr>
          <w:rFonts w:ascii="Garamond" w:hAnsi="Garamond" w:cs="Arial"/>
          <w:color w:val="auto"/>
          <w:sz w:val="24"/>
          <w:szCs w:val="24"/>
          <w:lang w:val="pt-PT"/>
        </w:rPr>
        <w:t>âmbito</w:t>
      </w:r>
      <w:r w:rsidR="00F92EC2" w:rsidRPr="003A1174">
        <w:rPr>
          <w:rFonts w:ascii="Garamond" w:hAnsi="Garamond" w:cs="Arial"/>
          <w:color w:val="auto"/>
          <w:sz w:val="24"/>
          <w:szCs w:val="24"/>
          <w:lang w:val="pt-PT"/>
        </w:rPr>
        <w:t xml:space="preserve">s: </w:t>
      </w:r>
      <w:r w:rsidR="006C7AF1" w:rsidRPr="003A1174">
        <w:rPr>
          <w:rFonts w:ascii="Garamond" w:hAnsi="Garamond" w:cs="Arial"/>
          <w:color w:val="auto"/>
          <w:sz w:val="24"/>
          <w:szCs w:val="24"/>
          <w:lang w:val="pt-PT"/>
        </w:rPr>
        <w:t>família</w:t>
      </w:r>
      <w:r w:rsidR="00F92EC2" w:rsidRPr="003A1174">
        <w:rPr>
          <w:rFonts w:ascii="Garamond" w:hAnsi="Garamond" w:cs="Arial"/>
          <w:color w:val="auto"/>
          <w:sz w:val="24"/>
          <w:szCs w:val="24"/>
          <w:lang w:val="pt-PT"/>
        </w:rPr>
        <w:t xml:space="preserve">, </w:t>
      </w:r>
      <w:r w:rsidR="007C63D0" w:rsidRPr="003A1174">
        <w:rPr>
          <w:rFonts w:ascii="Garamond" w:hAnsi="Garamond" w:cs="Arial"/>
          <w:color w:val="auto"/>
          <w:sz w:val="24"/>
          <w:szCs w:val="24"/>
          <w:lang w:val="pt-PT"/>
        </w:rPr>
        <w:t>saúde</w:t>
      </w:r>
      <w:r w:rsidR="00F92EC2" w:rsidRPr="003A1174">
        <w:rPr>
          <w:rFonts w:ascii="Garamond" w:hAnsi="Garamond" w:cs="Arial"/>
          <w:color w:val="auto"/>
          <w:sz w:val="24"/>
          <w:szCs w:val="24"/>
          <w:lang w:val="pt-PT"/>
        </w:rPr>
        <w:t xml:space="preserve">, </w:t>
      </w:r>
      <w:r w:rsidR="00802ACC" w:rsidRPr="003A1174">
        <w:rPr>
          <w:rFonts w:ascii="Garamond" w:hAnsi="Garamond" w:cs="Arial"/>
          <w:color w:val="auto"/>
          <w:sz w:val="24"/>
          <w:szCs w:val="24"/>
          <w:lang w:val="pt-PT"/>
        </w:rPr>
        <w:lastRenderedPageBreak/>
        <w:t>educação</w:t>
      </w:r>
      <w:r w:rsidR="00F92EC2" w:rsidRPr="003A1174">
        <w:rPr>
          <w:rFonts w:ascii="Garamond" w:hAnsi="Garamond" w:cs="Arial"/>
          <w:color w:val="auto"/>
          <w:sz w:val="24"/>
          <w:szCs w:val="24"/>
          <w:lang w:val="pt-PT"/>
        </w:rPr>
        <w:t xml:space="preserve">, cultura, </w:t>
      </w:r>
      <w:r w:rsidR="0017447A" w:rsidRPr="003A1174">
        <w:rPr>
          <w:rFonts w:ascii="Garamond" w:hAnsi="Garamond" w:cs="Arial"/>
          <w:color w:val="auto"/>
          <w:sz w:val="24"/>
          <w:szCs w:val="24"/>
          <w:lang w:val="pt-PT"/>
        </w:rPr>
        <w:t>trabalho</w:t>
      </w:r>
      <w:r w:rsidR="00F92EC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segurança</w:t>
      </w:r>
      <w:r w:rsidR="00F92EC2" w:rsidRPr="003A1174">
        <w:rPr>
          <w:rFonts w:ascii="Garamond" w:hAnsi="Garamond" w:cs="Arial"/>
          <w:color w:val="auto"/>
          <w:sz w:val="24"/>
          <w:szCs w:val="24"/>
          <w:lang w:val="pt-PT"/>
        </w:rPr>
        <w:t xml:space="preserve"> social, </w:t>
      </w:r>
      <w:r w:rsidRPr="003A1174">
        <w:rPr>
          <w:rFonts w:ascii="Garamond" w:hAnsi="Garamond" w:cs="Arial"/>
          <w:color w:val="auto"/>
          <w:sz w:val="24"/>
          <w:szCs w:val="24"/>
          <w:lang w:val="pt-PT"/>
        </w:rPr>
        <w:t>propriedade da t</w:t>
      </w:r>
      <w:r w:rsidR="00F92EC2" w:rsidRPr="003A1174">
        <w:rPr>
          <w:rFonts w:ascii="Garamond" w:hAnsi="Garamond" w:cs="Arial"/>
          <w:color w:val="auto"/>
          <w:sz w:val="24"/>
          <w:szCs w:val="24"/>
          <w:lang w:val="pt-PT"/>
        </w:rPr>
        <w:t xml:space="preserve">erra, </w:t>
      </w:r>
      <w:r w:rsidR="00886D6A" w:rsidRPr="003A1174">
        <w:rPr>
          <w:rFonts w:ascii="Garamond" w:hAnsi="Garamond" w:cs="Arial"/>
          <w:color w:val="auto"/>
          <w:sz w:val="24"/>
          <w:szCs w:val="24"/>
          <w:lang w:val="pt-PT"/>
        </w:rPr>
        <w:t>acesso</w:t>
      </w:r>
      <w:r w:rsidR="00F92EC2"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F92EC2" w:rsidRPr="003A1174">
        <w:rPr>
          <w:rFonts w:ascii="Garamond" w:hAnsi="Garamond" w:cs="Arial"/>
          <w:color w:val="auto"/>
          <w:sz w:val="24"/>
          <w:szCs w:val="24"/>
          <w:lang w:val="pt-PT"/>
        </w:rPr>
        <w:t xml:space="preserve"> crédito, </w:t>
      </w:r>
      <w:r w:rsidRPr="003A1174">
        <w:rPr>
          <w:rFonts w:ascii="Garamond" w:hAnsi="Garamond" w:cs="Arial"/>
          <w:color w:val="auto"/>
          <w:sz w:val="24"/>
          <w:szCs w:val="24"/>
          <w:lang w:val="pt-PT"/>
        </w:rPr>
        <w:t xml:space="preserve">à habitação, </w:t>
      </w:r>
      <w:r w:rsidR="008D2F69" w:rsidRPr="003A1174">
        <w:rPr>
          <w:rFonts w:ascii="Garamond" w:hAnsi="Garamond" w:cs="Arial"/>
          <w:color w:val="auto"/>
          <w:sz w:val="24"/>
          <w:szCs w:val="24"/>
          <w:lang w:val="pt-PT"/>
        </w:rPr>
        <w:t xml:space="preserve">à </w:t>
      </w:r>
      <w:r w:rsidR="0017447A" w:rsidRPr="003A1174">
        <w:rPr>
          <w:rFonts w:ascii="Garamond" w:hAnsi="Garamond" w:cs="Arial"/>
          <w:color w:val="auto"/>
          <w:sz w:val="24"/>
          <w:szCs w:val="24"/>
          <w:lang w:val="pt-PT"/>
        </w:rPr>
        <w:t>participação</w:t>
      </w:r>
      <w:r w:rsidR="00F92EC2" w:rsidRPr="003A1174">
        <w:rPr>
          <w:rFonts w:ascii="Garamond" w:hAnsi="Garamond" w:cs="Arial"/>
          <w:color w:val="auto"/>
          <w:sz w:val="24"/>
          <w:szCs w:val="24"/>
          <w:lang w:val="pt-PT"/>
        </w:rPr>
        <w:t xml:space="preserve"> política </w:t>
      </w:r>
      <w:r w:rsidR="00497503" w:rsidRPr="003A1174">
        <w:rPr>
          <w:rFonts w:ascii="Garamond" w:hAnsi="Garamond" w:cs="Arial"/>
          <w:color w:val="auto"/>
          <w:sz w:val="24"/>
          <w:szCs w:val="24"/>
          <w:lang w:val="pt-PT"/>
        </w:rPr>
        <w:t>e</w:t>
      </w:r>
      <w:r w:rsidR="00F92EC2" w:rsidRPr="003A1174">
        <w:rPr>
          <w:rFonts w:ascii="Garamond" w:hAnsi="Garamond" w:cs="Arial"/>
          <w:color w:val="auto"/>
          <w:sz w:val="24"/>
          <w:szCs w:val="24"/>
          <w:lang w:val="pt-PT"/>
        </w:rPr>
        <w:t xml:space="preserve"> toma</w:t>
      </w:r>
      <w:r w:rsidRPr="003A1174">
        <w:rPr>
          <w:rFonts w:ascii="Garamond" w:hAnsi="Garamond" w:cs="Arial"/>
          <w:color w:val="auto"/>
          <w:sz w:val="24"/>
          <w:szCs w:val="24"/>
          <w:lang w:val="pt-PT"/>
        </w:rPr>
        <w:t>da</w:t>
      </w:r>
      <w:r w:rsidR="00F92EC2" w:rsidRPr="003A1174">
        <w:rPr>
          <w:rFonts w:ascii="Garamond" w:hAnsi="Garamond" w:cs="Arial"/>
          <w:color w:val="auto"/>
          <w:sz w:val="24"/>
          <w:szCs w:val="24"/>
          <w:lang w:val="pt-PT"/>
        </w:rPr>
        <w:t xml:space="preserve"> de </w:t>
      </w:r>
      <w:r w:rsidR="005D38DC" w:rsidRPr="003A1174">
        <w:rPr>
          <w:rFonts w:ascii="Garamond" w:hAnsi="Garamond" w:cs="Arial"/>
          <w:color w:val="auto"/>
          <w:sz w:val="24"/>
          <w:szCs w:val="24"/>
          <w:lang w:val="pt-PT"/>
        </w:rPr>
        <w:t>decisões</w:t>
      </w:r>
      <w:r w:rsidR="008208DF"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w:t>
      </w:r>
      <w:r w:rsidR="00F92EC2" w:rsidRPr="003A1174">
        <w:rPr>
          <w:rFonts w:ascii="Garamond" w:hAnsi="Garamond" w:cs="Arial"/>
          <w:color w:val="auto"/>
          <w:sz w:val="24"/>
          <w:szCs w:val="24"/>
          <w:lang w:val="pt-PT"/>
        </w:rPr>
        <w:t xml:space="preserve">as </w:t>
      </w:r>
      <w:r w:rsidRPr="003A1174">
        <w:rPr>
          <w:rFonts w:ascii="Garamond" w:hAnsi="Garamond" w:cs="Arial"/>
          <w:color w:val="auto"/>
          <w:sz w:val="24"/>
          <w:szCs w:val="24"/>
          <w:lang w:val="pt-PT"/>
        </w:rPr>
        <w:t>estrutura</w:t>
      </w:r>
      <w:r w:rsidR="00F92EC2" w:rsidRPr="003A1174">
        <w:rPr>
          <w:rFonts w:ascii="Garamond" w:hAnsi="Garamond" w:cs="Arial"/>
          <w:color w:val="auto"/>
          <w:sz w:val="24"/>
          <w:szCs w:val="24"/>
          <w:lang w:val="pt-PT"/>
        </w:rPr>
        <w:t>s de poder.</w:t>
      </w:r>
    </w:p>
    <w:p w:rsidR="00F92EC2" w:rsidRPr="003A1174" w:rsidRDefault="00462B11" w:rsidP="008719D4">
      <w:pPr>
        <w:pStyle w:val="Prrafodelista"/>
        <w:numPr>
          <w:ilvl w:val="0"/>
          <w:numId w:val="22"/>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00F92EC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F92EC2" w:rsidRPr="003A1174">
        <w:rPr>
          <w:rFonts w:ascii="Garamond" w:hAnsi="Garamond" w:cs="Arial"/>
          <w:color w:val="auto"/>
          <w:sz w:val="24"/>
          <w:szCs w:val="24"/>
          <w:lang w:val="pt-PT"/>
        </w:rPr>
        <w:t xml:space="preserve"> Instituto Nacional da </w:t>
      </w:r>
      <w:r w:rsidR="00AF192F" w:rsidRPr="003A1174">
        <w:rPr>
          <w:rFonts w:ascii="Garamond" w:hAnsi="Garamond" w:cs="Arial"/>
          <w:color w:val="auto"/>
          <w:sz w:val="24"/>
          <w:szCs w:val="24"/>
          <w:lang w:val="pt-PT"/>
        </w:rPr>
        <w:t>Mulher</w:t>
      </w:r>
      <w:r w:rsidR="00F92EC2" w:rsidRPr="003A1174">
        <w:rPr>
          <w:rFonts w:ascii="Garamond" w:hAnsi="Garamond" w:cs="Arial"/>
          <w:color w:val="auto"/>
          <w:sz w:val="24"/>
          <w:szCs w:val="24"/>
          <w:lang w:val="pt-PT"/>
        </w:rPr>
        <w:t xml:space="preserve">, INAM, </w:t>
      </w:r>
      <w:r w:rsidR="00CD707D" w:rsidRPr="003A1174">
        <w:rPr>
          <w:rFonts w:ascii="Garamond" w:hAnsi="Garamond" w:cs="Arial"/>
          <w:color w:val="auto"/>
          <w:sz w:val="24"/>
          <w:szCs w:val="24"/>
          <w:lang w:val="pt-PT"/>
        </w:rPr>
        <w:t>aprovad</w:t>
      </w:r>
      <w:r w:rsidR="00F92EC2"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 xml:space="preserve">através do </w:t>
      </w:r>
      <w:r w:rsidR="00862235">
        <w:rPr>
          <w:rFonts w:ascii="Garamond" w:hAnsi="Garamond" w:cs="Arial"/>
          <w:color w:val="auto"/>
          <w:sz w:val="24"/>
          <w:szCs w:val="24"/>
          <w:lang w:val="pt-PT"/>
        </w:rPr>
        <w:t>D</w:t>
      </w:r>
      <w:r w:rsidR="00F92EC2" w:rsidRPr="003A1174">
        <w:rPr>
          <w:rFonts w:ascii="Garamond" w:hAnsi="Garamond" w:cs="Arial"/>
          <w:color w:val="auto"/>
          <w:sz w:val="24"/>
          <w:szCs w:val="24"/>
          <w:lang w:val="pt-PT"/>
        </w:rPr>
        <w:t xml:space="preserve">ecreto </w:t>
      </w:r>
      <w:r w:rsidR="00862235">
        <w:rPr>
          <w:rFonts w:ascii="Garamond" w:hAnsi="Garamond" w:cs="Arial"/>
          <w:color w:val="auto"/>
          <w:sz w:val="24"/>
          <w:szCs w:val="24"/>
          <w:lang w:val="pt-PT"/>
        </w:rPr>
        <w:t>L</w:t>
      </w:r>
      <w:r w:rsidR="00F92EC2" w:rsidRPr="003A1174">
        <w:rPr>
          <w:rFonts w:ascii="Garamond" w:hAnsi="Garamond" w:cs="Arial"/>
          <w:color w:val="auto"/>
          <w:sz w:val="24"/>
          <w:szCs w:val="24"/>
          <w:lang w:val="pt-PT"/>
        </w:rPr>
        <w:t xml:space="preserve">egislativo </w:t>
      </w:r>
      <w:r w:rsidR="008208DF" w:rsidRPr="003A1174">
        <w:rPr>
          <w:rFonts w:ascii="Garamond" w:hAnsi="Garamond" w:cs="Arial"/>
          <w:color w:val="auto"/>
          <w:sz w:val="24"/>
          <w:szCs w:val="24"/>
          <w:lang w:val="pt-PT"/>
        </w:rPr>
        <w:t>N</w:t>
      </w:r>
      <w:r w:rsidR="00862235">
        <w:rPr>
          <w:rFonts w:ascii="Garamond" w:hAnsi="Garamond" w:cs="Arial"/>
          <w:color w:val="auto"/>
          <w:sz w:val="24"/>
          <w:szCs w:val="24"/>
          <w:lang w:val="pt-PT"/>
        </w:rPr>
        <w:t>.</w:t>
      </w:r>
      <w:r w:rsidR="008208DF"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232-98</w:t>
      </w:r>
      <w:r w:rsidR="00862235">
        <w:rPr>
          <w:rFonts w:ascii="Garamond" w:hAnsi="Garamond" w:cs="Arial"/>
          <w:color w:val="auto"/>
          <w:sz w:val="24"/>
          <w:szCs w:val="24"/>
          <w:lang w:val="pt-PT"/>
        </w:rPr>
        <w:t>,</w:t>
      </w:r>
      <w:r w:rsidRPr="003A1174">
        <w:rPr>
          <w:rFonts w:ascii="Garamond" w:hAnsi="Garamond" w:cs="Arial"/>
          <w:color w:val="auto"/>
          <w:sz w:val="24"/>
          <w:szCs w:val="24"/>
          <w:lang w:val="pt-PT"/>
        </w:rPr>
        <w:t xml:space="preserve"> de</w:t>
      </w:r>
      <w:r w:rsidR="00F92EC2" w:rsidRPr="003A1174">
        <w:rPr>
          <w:rFonts w:ascii="Garamond" w:hAnsi="Garamond" w:cs="Arial"/>
          <w:color w:val="auto"/>
          <w:sz w:val="24"/>
          <w:szCs w:val="24"/>
          <w:lang w:val="pt-PT"/>
        </w:rPr>
        <w:t xml:space="preserve"> 11 de </w:t>
      </w:r>
      <w:r w:rsidR="00497503" w:rsidRPr="003A1174">
        <w:rPr>
          <w:rFonts w:ascii="Garamond" w:hAnsi="Garamond" w:cs="Arial"/>
          <w:color w:val="auto"/>
          <w:sz w:val="24"/>
          <w:szCs w:val="24"/>
          <w:lang w:val="pt-PT"/>
        </w:rPr>
        <w:t>fevereiro</w:t>
      </w:r>
      <w:r w:rsidR="00F92EC2" w:rsidRPr="003A1174">
        <w:rPr>
          <w:rFonts w:ascii="Garamond" w:hAnsi="Garamond" w:cs="Arial"/>
          <w:color w:val="auto"/>
          <w:sz w:val="24"/>
          <w:szCs w:val="24"/>
          <w:lang w:val="pt-PT"/>
        </w:rPr>
        <w:t xml:space="preserve"> de 1999.</w:t>
      </w:r>
    </w:p>
    <w:p w:rsidR="00F92EC2" w:rsidRPr="003A1174" w:rsidRDefault="00D15AFF" w:rsidP="008719D4">
      <w:pPr>
        <w:pStyle w:val="Prrafodelista"/>
        <w:numPr>
          <w:ilvl w:val="0"/>
          <w:numId w:val="22"/>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Lei</w:t>
      </w:r>
      <w:r w:rsidR="00F92EC2" w:rsidRPr="003A1174">
        <w:rPr>
          <w:rFonts w:ascii="Garamond" w:hAnsi="Garamond" w:cs="Arial"/>
          <w:color w:val="auto"/>
          <w:sz w:val="24"/>
          <w:szCs w:val="24"/>
          <w:lang w:val="pt-PT"/>
        </w:rPr>
        <w:t xml:space="preserve"> contra </w:t>
      </w:r>
      <w:r w:rsidR="00462B11" w:rsidRPr="003A1174">
        <w:rPr>
          <w:rFonts w:ascii="Garamond" w:hAnsi="Garamond" w:cs="Arial"/>
          <w:color w:val="auto"/>
          <w:sz w:val="24"/>
          <w:szCs w:val="24"/>
          <w:lang w:val="pt-PT"/>
        </w:rPr>
        <w:t>o</w:t>
      </w:r>
      <w:r w:rsidR="00F92EC2" w:rsidRPr="003A1174">
        <w:rPr>
          <w:rFonts w:ascii="Garamond" w:hAnsi="Garamond" w:cs="Arial"/>
          <w:color w:val="auto"/>
          <w:sz w:val="24"/>
          <w:szCs w:val="24"/>
          <w:lang w:val="pt-PT"/>
        </w:rPr>
        <w:t xml:space="preserve"> Tr</w:t>
      </w:r>
      <w:r w:rsidR="00462B11" w:rsidRPr="003A1174">
        <w:rPr>
          <w:rFonts w:ascii="Garamond" w:hAnsi="Garamond" w:cs="Arial"/>
          <w:color w:val="auto"/>
          <w:sz w:val="24"/>
          <w:szCs w:val="24"/>
          <w:lang w:val="pt-PT"/>
        </w:rPr>
        <w:t xml:space="preserve">áfico </w:t>
      </w:r>
      <w:r w:rsidR="00F92EC2" w:rsidRPr="003A1174">
        <w:rPr>
          <w:rFonts w:ascii="Garamond" w:hAnsi="Garamond" w:cs="Arial"/>
          <w:color w:val="auto"/>
          <w:sz w:val="24"/>
          <w:szCs w:val="24"/>
          <w:lang w:val="pt-PT"/>
        </w:rPr>
        <w:t xml:space="preserve">de </w:t>
      </w:r>
      <w:r w:rsidR="006C760C" w:rsidRPr="003A1174">
        <w:rPr>
          <w:rFonts w:ascii="Garamond" w:hAnsi="Garamond" w:cs="Arial"/>
          <w:color w:val="auto"/>
          <w:sz w:val="24"/>
          <w:szCs w:val="24"/>
          <w:lang w:val="pt-PT"/>
        </w:rPr>
        <w:t>Pessoas</w:t>
      </w:r>
      <w:r w:rsidR="00F92EC2" w:rsidRPr="003A1174">
        <w:rPr>
          <w:rFonts w:ascii="Garamond" w:hAnsi="Garamond" w:cs="Arial"/>
          <w:color w:val="auto"/>
          <w:sz w:val="24"/>
          <w:szCs w:val="24"/>
          <w:lang w:val="pt-PT"/>
        </w:rPr>
        <w:t xml:space="preserve"> (</w:t>
      </w:r>
      <w:r w:rsidR="00862235">
        <w:rPr>
          <w:rFonts w:ascii="Garamond" w:hAnsi="Garamond" w:cs="Arial"/>
          <w:color w:val="auto"/>
          <w:sz w:val="24"/>
          <w:szCs w:val="24"/>
          <w:lang w:val="pt-PT"/>
        </w:rPr>
        <w:t>D</w:t>
      </w:r>
      <w:r w:rsidR="00F92EC2" w:rsidRPr="003A1174">
        <w:rPr>
          <w:rFonts w:ascii="Garamond" w:hAnsi="Garamond" w:cs="Arial"/>
          <w:color w:val="auto"/>
          <w:sz w:val="24"/>
          <w:szCs w:val="24"/>
          <w:lang w:val="pt-PT"/>
        </w:rPr>
        <w:t xml:space="preserve">ecreto </w:t>
      </w:r>
      <w:r w:rsidR="00862235">
        <w:rPr>
          <w:rFonts w:ascii="Garamond" w:hAnsi="Garamond" w:cs="Arial"/>
          <w:color w:val="auto"/>
          <w:sz w:val="24"/>
          <w:szCs w:val="24"/>
          <w:lang w:val="pt-PT"/>
        </w:rPr>
        <w:t>L</w:t>
      </w:r>
      <w:r w:rsidR="00F92EC2" w:rsidRPr="003A1174">
        <w:rPr>
          <w:rFonts w:ascii="Garamond" w:hAnsi="Garamond" w:cs="Arial"/>
          <w:color w:val="auto"/>
          <w:sz w:val="24"/>
          <w:szCs w:val="24"/>
          <w:lang w:val="pt-PT"/>
        </w:rPr>
        <w:t>egislativo N</w:t>
      </w:r>
      <w:r w:rsidR="00862235">
        <w:rPr>
          <w:rFonts w:ascii="Garamond" w:hAnsi="Garamond" w:cs="Arial"/>
          <w:color w:val="auto"/>
          <w:sz w:val="24"/>
          <w:szCs w:val="24"/>
          <w:lang w:val="pt-PT"/>
        </w:rPr>
        <w:t>.</w:t>
      </w:r>
      <w:r w:rsidR="008208DF" w:rsidRPr="003A1174">
        <w:rPr>
          <w:rFonts w:ascii="Garamond" w:hAnsi="Garamond" w:cs="Arial"/>
          <w:color w:val="auto"/>
          <w:sz w:val="24"/>
          <w:szCs w:val="24"/>
          <w:lang w:val="pt-PT"/>
        </w:rPr>
        <w:t>°</w:t>
      </w:r>
      <w:r w:rsidR="00862235">
        <w:rPr>
          <w:rFonts w:ascii="Garamond" w:hAnsi="Garamond" w:cs="Arial"/>
          <w:color w:val="auto"/>
          <w:sz w:val="24"/>
          <w:szCs w:val="24"/>
          <w:lang w:val="pt-PT"/>
        </w:rPr>
        <w:t xml:space="preserve"> </w:t>
      </w:r>
      <w:r w:rsidR="00F92EC2" w:rsidRPr="003A1174">
        <w:rPr>
          <w:rFonts w:ascii="Garamond" w:hAnsi="Garamond" w:cs="Arial"/>
          <w:color w:val="auto"/>
          <w:sz w:val="24"/>
          <w:szCs w:val="24"/>
          <w:lang w:val="pt-PT"/>
        </w:rPr>
        <w:t>59-2012)</w:t>
      </w:r>
      <w:r w:rsidR="008208DF" w:rsidRPr="003A1174">
        <w:rPr>
          <w:rFonts w:ascii="Garamond" w:hAnsi="Garamond" w:cs="Arial"/>
          <w:color w:val="auto"/>
          <w:sz w:val="24"/>
          <w:szCs w:val="24"/>
          <w:lang w:val="pt-PT"/>
        </w:rPr>
        <w:t>.</w:t>
      </w:r>
    </w:p>
    <w:p w:rsidR="00F92EC2" w:rsidRPr="003A1174" w:rsidRDefault="00462B11" w:rsidP="008719D4">
      <w:pPr>
        <w:pStyle w:val="Prrafodelista"/>
        <w:numPr>
          <w:ilvl w:val="0"/>
          <w:numId w:val="22"/>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Política Nacional d</w:t>
      </w:r>
      <w:r w:rsidR="00F92EC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8208DF" w:rsidRPr="003A1174">
        <w:rPr>
          <w:rFonts w:ascii="Garamond" w:hAnsi="Garamond" w:cs="Arial"/>
          <w:color w:val="auto"/>
          <w:sz w:val="24"/>
          <w:szCs w:val="24"/>
          <w:lang w:val="pt-PT"/>
        </w:rPr>
        <w:t>.</w:t>
      </w:r>
      <w:r w:rsidR="00F92EC2" w:rsidRPr="003A1174">
        <w:rPr>
          <w:rFonts w:ascii="Garamond" w:hAnsi="Garamond" w:cs="Arial"/>
          <w:color w:val="auto"/>
          <w:sz w:val="24"/>
          <w:szCs w:val="24"/>
          <w:lang w:val="pt-PT"/>
        </w:rPr>
        <w:t xml:space="preserve"> </w:t>
      </w:r>
      <w:r w:rsidR="00276DCA" w:rsidRPr="003A1174">
        <w:rPr>
          <w:rFonts w:ascii="Garamond" w:hAnsi="Garamond" w:cs="Arial"/>
          <w:color w:val="auto"/>
          <w:sz w:val="24"/>
          <w:szCs w:val="24"/>
          <w:lang w:val="pt-PT"/>
        </w:rPr>
        <w:t>Primeiro</w:t>
      </w:r>
      <w:r w:rsidR="00F92EC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Plano</w:t>
      </w:r>
      <w:r w:rsidR="00F92EC2" w:rsidRPr="003A1174">
        <w:rPr>
          <w:rFonts w:ascii="Garamond" w:hAnsi="Garamond" w:cs="Arial"/>
          <w:color w:val="auto"/>
          <w:sz w:val="24"/>
          <w:szCs w:val="24"/>
          <w:lang w:val="pt-PT"/>
        </w:rPr>
        <w:t xml:space="preserve"> Nacional de </w:t>
      </w:r>
      <w:r w:rsidR="002C7510" w:rsidRPr="003A1174">
        <w:rPr>
          <w:rFonts w:ascii="Garamond" w:hAnsi="Garamond" w:cs="Arial"/>
          <w:color w:val="auto"/>
          <w:sz w:val="24"/>
          <w:szCs w:val="24"/>
          <w:lang w:val="pt-PT"/>
        </w:rPr>
        <w:t>Igualdade</w:t>
      </w:r>
      <w:r w:rsidR="00F92EC2" w:rsidRPr="003A1174">
        <w:rPr>
          <w:rFonts w:ascii="Garamond" w:hAnsi="Garamond" w:cs="Arial"/>
          <w:color w:val="auto"/>
          <w:sz w:val="24"/>
          <w:szCs w:val="24"/>
          <w:lang w:val="pt-PT"/>
        </w:rPr>
        <w:t xml:space="preserve"> de Oportunidades</w:t>
      </w:r>
      <w:r w:rsidR="008208DF" w:rsidRPr="003A1174">
        <w:rPr>
          <w:rFonts w:ascii="Garamond" w:hAnsi="Garamond" w:cs="Arial"/>
          <w:color w:val="auto"/>
          <w:sz w:val="24"/>
          <w:szCs w:val="24"/>
          <w:lang w:val="pt-PT"/>
        </w:rPr>
        <w:t>.</w:t>
      </w:r>
    </w:p>
    <w:p w:rsidR="00030174" w:rsidRPr="003A1174" w:rsidRDefault="00462B11" w:rsidP="008719D4">
      <w:pPr>
        <w:pStyle w:val="Prrafodelista"/>
        <w:numPr>
          <w:ilvl w:val="0"/>
          <w:numId w:val="22"/>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Plano Nacional contra </w:t>
      </w:r>
      <w:r w:rsidR="00F92EC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F92EC2" w:rsidRPr="003A1174">
        <w:rPr>
          <w:rFonts w:ascii="Garamond" w:hAnsi="Garamond" w:cs="Arial"/>
          <w:color w:val="auto"/>
          <w:sz w:val="24"/>
          <w:szCs w:val="24"/>
          <w:lang w:val="pt-PT"/>
        </w:rPr>
        <w:t xml:space="preserve"> </w:t>
      </w:r>
      <w:r w:rsidRPr="00542E90">
        <w:rPr>
          <w:rFonts w:ascii="Garamond" w:hAnsi="Garamond" w:cs="Arial"/>
          <w:color w:val="auto"/>
          <w:sz w:val="24"/>
          <w:szCs w:val="24"/>
          <w:lang w:val="pt-PT"/>
        </w:rPr>
        <w:t>para com</w:t>
      </w:r>
      <w:r w:rsidRPr="003A1174">
        <w:rPr>
          <w:rFonts w:ascii="Garamond" w:hAnsi="Garamond" w:cs="Arial"/>
          <w:color w:val="auto"/>
          <w:sz w:val="24"/>
          <w:szCs w:val="24"/>
          <w:lang w:val="pt-PT"/>
        </w:rPr>
        <w:t xml:space="preserve"> a</w:t>
      </w:r>
      <w:r w:rsidR="00F92EC2"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Mulher</w:t>
      </w:r>
      <w:r w:rsidR="00F92EC2" w:rsidRPr="003A1174">
        <w:rPr>
          <w:rFonts w:ascii="Garamond" w:hAnsi="Garamond" w:cs="Arial"/>
          <w:color w:val="auto"/>
          <w:sz w:val="24"/>
          <w:szCs w:val="24"/>
          <w:lang w:val="pt-PT"/>
        </w:rPr>
        <w:t xml:space="preserve"> (2006-2010)</w:t>
      </w:r>
      <w:r w:rsidR="008208DF" w:rsidRPr="003A1174">
        <w:rPr>
          <w:rFonts w:ascii="Garamond" w:hAnsi="Garamond" w:cs="Arial"/>
          <w:color w:val="auto"/>
          <w:sz w:val="24"/>
          <w:szCs w:val="24"/>
          <w:lang w:val="pt-PT"/>
        </w:rPr>
        <w:t>.</w:t>
      </w:r>
    </w:p>
    <w:p w:rsidR="00F92EC2" w:rsidRPr="003A1174" w:rsidRDefault="00F92EC2" w:rsidP="008719D4">
      <w:pPr>
        <w:pStyle w:val="Prrafodelista"/>
        <w:numPr>
          <w:ilvl w:val="0"/>
          <w:numId w:val="22"/>
        </w:numPr>
        <w:tabs>
          <w:tab w:val="clear" w:pos="708"/>
        </w:tabs>
        <w:suppressAutoHyphens w:val="0"/>
        <w:spacing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II </w:t>
      </w:r>
      <w:r w:rsidR="00462B11" w:rsidRPr="003A1174">
        <w:rPr>
          <w:rFonts w:ascii="Garamond" w:hAnsi="Garamond" w:cs="Arial"/>
          <w:color w:val="auto"/>
          <w:sz w:val="24"/>
          <w:szCs w:val="24"/>
          <w:lang w:val="pt-PT"/>
        </w:rPr>
        <w:t>Plano</w:t>
      </w:r>
      <w:r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Igualdade</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C01806" w:rsidRPr="003A1174">
        <w:rPr>
          <w:rFonts w:ascii="Garamond" w:hAnsi="Garamond" w:cs="Arial"/>
          <w:color w:val="auto"/>
          <w:sz w:val="24"/>
          <w:szCs w:val="24"/>
          <w:lang w:val="pt-PT"/>
        </w:rPr>
        <w:t>Equidade</w:t>
      </w:r>
      <w:r w:rsidRPr="003A1174">
        <w:rPr>
          <w:rFonts w:ascii="Garamond" w:hAnsi="Garamond" w:cs="Arial"/>
          <w:color w:val="auto"/>
          <w:sz w:val="24"/>
          <w:szCs w:val="24"/>
          <w:lang w:val="pt-PT"/>
        </w:rPr>
        <w:t xml:space="preserve"> de Género d</w:t>
      </w:r>
      <w:r w:rsidR="00462B11" w:rsidRPr="003A1174">
        <w:rPr>
          <w:rFonts w:ascii="Garamond" w:hAnsi="Garamond" w:cs="Arial"/>
          <w:color w:val="auto"/>
          <w:sz w:val="24"/>
          <w:szCs w:val="24"/>
          <w:lang w:val="pt-PT"/>
        </w:rPr>
        <w:t>as</w:t>
      </w:r>
      <w:r w:rsidRPr="003A1174">
        <w:rPr>
          <w:rFonts w:ascii="Garamond" w:hAnsi="Garamond" w:cs="Arial"/>
          <w:color w:val="auto"/>
          <w:sz w:val="24"/>
          <w:szCs w:val="24"/>
          <w:lang w:val="pt-PT"/>
        </w:rPr>
        <w:t xml:space="preserve"> Honduras (2010-2022)</w:t>
      </w:r>
      <w:r w:rsidR="008208DF" w:rsidRPr="003A1174">
        <w:rPr>
          <w:rFonts w:ascii="Garamond" w:hAnsi="Garamond" w:cs="Arial"/>
          <w:color w:val="auto"/>
          <w:sz w:val="24"/>
          <w:szCs w:val="24"/>
          <w:lang w:val="pt-PT"/>
        </w:rPr>
        <w:t>.</w:t>
      </w:r>
    </w:p>
    <w:p w:rsidR="00F92EC2" w:rsidRPr="00625311" w:rsidRDefault="0017447A" w:rsidP="008719D4">
      <w:pPr>
        <w:spacing w:line="240" w:lineRule="auto"/>
        <w:jc w:val="both"/>
        <w:rPr>
          <w:rFonts w:ascii="Garamond" w:hAnsi="Garamond" w:cs="Arial"/>
          <w:sz w:val="24"/>
          <w:szCs w:val="24"/>
        </w:rPr>
      </w:pPr>
      <w:r w:rsidRPr="003A1174">
        <w:rPr>
          <w:rFonts w:ascii="Garamond" w:hAnsi="Garamond" w:cs="Arial"/>
          <w:sz w:val="24"/>
          <w:szCs w:val="24"/>
        </w:rPr>
        <w:t>Outras</w:t>
      </w:r>
      <w:r w:rsidR="00F92EC2" w:rsidRPr="003A1174">
        <w:rPr>
          <w:rFonts w:ascii="Garamond" w:hAnsi="Garamond" w:cs="Arial"/>
          <w:sz w:val="24"/>
          <w:szCs w:val="24"/>
        </w:rPr>
        <w:t xml:space="preserve"> </w:t>
      </w:r>
      <w:r w:rsidR="00F320F4" w:rsidRPr="003A1174">
        <w:rPr>
          <w:rFonts w:ascii="Garamond" w:hAnsi="Garamond" w:cs="Arial"/>
          <w:sz w:val="24"/>
          <w:szCs w:val="24"/>
        </w:rPr>
        <w:t>leis</w:t>
      </w:r>
      <w:r w:rsidR="00F92EC2" w:rsidRPr="003A1174">
        <w:rPr>
          <w:rFonts w:ascii="Garamond" w:hAnsi="Garamond" w:cs="Arial"/>
          <w:sz w:val="24"/>
          <w:szCs w:val="24"/>
        </w:rPr>
        <w:t xml:space="preserve"> vigentes ta</w:t>
      </w:r>
      <w:r w:rsidR="00462B11" w:rsidRPr="003A1174">
        <w:rPr>
          <w:rFonts w:ascii="Garamond" w:hAnsi="Garamond" w:cs="Arial"/>
          <w:sz w:val="24"/>
          <w:szCs w:val="24"/>
        </w:rPr>
        <w:t>i</w:t>
      </w:r>
      <w:r w:rsidR="00F92EC2" w:rsidRPr="003A1174">
        <w:rPr>
          <w:rFonts w:ascii="Garamond" w:hAnsi="Garamond" w:cs="Arial"/>
          <w:sz w:val="24"/>
          <w:szCs w:val="24"/>
        </w:rPr>
        <w:t xml:space="preserve">s como </w:t>
      </w:r>
      <w:r w:rsidR="00462B11" w:rsidRPr="003A1174">
        <w:rPr>
          <w:rFonts w:ascii="Garamond" w:hAnsi="Garamond" w:cs="Arial"/>
          <w:sz w:val="24"/>
          <w:szCs w:val="24"/>
        </w:rPr>
        <w:t xml:space="preserve">o </w:t>
      </w:r>
      <w:r w:rsidR="00F92EC2" w:rsidRPr="003A1174">
        <w:rPr>
          <w:rFonts w:ascii="Garamond" w:hAnsi="Garamond" w:cs="Arial"/>
          <w:sz w:val="24"/>
          <w:szCs w:val="24"/>
        </w:rPr>
        <w:t xml:space="preserve">Código de </w:t>
      </w:r>
      <w:r w:rsidR="006C7AF1" w:rsidRPr="003A1174">
        <w:rPr>
          <w:rFonts w:ascii="Garamond" w:hAnsi="Garamond" w:cs="Arial"/>
          <w:sz w:val="24"/>
          <w:szCs w:val="24"/>
        </w:rPr>
        <w:t>Família</w:t>
      </w:r>
      <w:r w:rsidR="00F92EC2" w:rsidRPr="003A1174">
        <w:rPr>
          <w:rFonts w:ascii="Garamond" w:hAnsi="Garamond" w:cs="Arial"/>
          <w:sz w:val="24"/>
          <w:szCs w:val="24"/>
        </w:rPr>
        <w:t xml:space="preserve">, </w:t>
      </w:r>
      <w:r w:rsidR="00462B11" w:rsidRPr="003A1174">
        <w:rPr>
          <w:rFonts w:ascii="Garamond" w:hAnsi="Garamond" w:cs="Arial"/>
          <w:sz w:val="24"/>
          <w:szCs w:val="24"/>
        </w:rPr>
        <w:t xml:space="preserve">o </w:t>
      </w:r>
      <w:r w:rsidR="00F92EC2" w:rsidRPr="003A1174">
        <w:rPr>
          <w:rFonts w:ascii="Garamond" w:hAnsi="Garamond" w:cs="Arial"/>
          <w:sz w:val="24"/>
          <w:szCs w:val="24"/>
        </w:rPr>
        <w:t xml:space="preserve">Código </w:t>
      </w:r>
      <w:r w:rsidR="008A3DA2" w:rsidRPr="003A1174">
        <w:rPr>
          <w:rFonts w:ascii="Garamond" w:hAnsi="Garamond" w:cs="Arial"/>
          <w:sz w:val="24"/>
          <w:szCs w:val="24"/>
        </w:rPr>
        <w:t>do</w:t>
      </w:r>
      <w:r w:rsidR="00F92EC2" w:rsidRPr="003A1174">
        <w:rPr>
          <w:rFonts w:ascii="Garamond" w:hAnsi="Garamond" w:cs="Arial"/>
          <w:sz w:val="24"/>
          <w:szCs w:val="24"/>
        </w:rPr>
        <w:t xml:space="preserve"> </w:t>
      </w:r>
      <w:r w:rsidRPr="003A1174">
        <w:rPr>
          <w:rFonts w:ascii="Garamond" w:hAnsi="Garamond" w:cs="Arial"/>
          <w:sz w:val="24"/>
          <w:szCs w:val="24"/>
        </w:rPr>
        <w:t>Trabalho</w:t>
      </w:r>
      <w:r w:rsidR="00462B11" w:rsidRPr="003A1174">
        <w:rPr>
          <w:rFonts w:ascii="Garamond" w:hAnsi="Garamond" w:cs="Arial"/>
          <w:sz w:val="24"/>
          <w:szCs w:val="24"/>
        </w:rPr>
        <w:t xml:space="preserve">, </w:t>
      </w:r>
      <w:r w:rsidR="00F92EC2" w:rsidRPr="003A1174">
        <w:rPr>
          <w:rFonts w:ascii="Garamond" w:hAnsi="Garamond" w:cs="Arial"/>
          <w:sz w:val="24"/>
          <w:szCs w:val="24"/>
        </w:rPr>
        <w:t xml:space="preserve">a </w:t>
      </w:r>
      <w:r w:rsidR="00D15AFF" w:rsidRPr="003A1174">
        <w:rPr>
          <w:rFonts w:ascii="Garamond" w:hAnsi="Garamond" w:cs="Arial"/>
          <w:sz w:val="24"/>
          <w:szCs w:val="24"/>
        </w:rPr>
        <w:t>Lei</w:t>
      </w:r>
      <w:r w:rsidR="00F92EC2" w:rsidRPr="003A1174">
        <w:rPr>
          <w:rFonts w:ascii="Garamond" w:hAnsi="Garamond" w:cs="Arial"/>
          <w:sz w:val="24"/>
          <w:szCs w:val="24"/>
        </w:rPr>
        <w:t xml:space="preserve"> </w:t>
      </w:r>
      <w:r w:rsidR="00462B11" w:rsidRPr="003A1174">
        <w:rPr>
          <w:rFonts w:ascii="Garamond" w:hAnsi="Garamond" w:cs="Arial"/>
          <w:sz w:val="24"/>
          <w:szCs w:val="24"/>
        </w:rPr>
        <w:t>Especial sobre</w:t>
      </w:r>
      <w:r w:rsidR="00F92EC2" w:rsidRPr="003A1174">
        <w:rPr>
          <w:rFonts w:ascii="Garamond" w:hAnsi="Garamond" w:cs="Arial"/>
          <w:sz w:val="24"/>
          <w:szCs w:val="24"/>
        </w:rPr>
        <w:t xml:space="preserve"> VIH </w:t>
      </w:r>
      <w:r w:rsidR="00497503" w:rsidRPr="003A1174">
        <w:rPr>
          <w:rFonts w:ascii="Garamond" w:hAnsi="Garamond" w:cs="Arial"/>
          <w:sz w:val="24"/>
          <w:szCs w:val="24"/>
        </w:rPr>
        <w:t>e</w:t>
      </w:r>
      <w:r w:rsidR="00F92EC2" w:rsidRPr="003A1174">
        <w:rPr>
          <w:rFonts w:ascii="Garamond" w:hAnsi="Garamond" w:cs="Arial"/>
          <w:sz w:val="24"/>
          <w:szCs w:val="24"/>
        </w:rPr>
        <w:t xml:space="preserve"> sida, </w:t>
      </w:r>
      <w:r w:rsidR="00462B11" w:rsidRPr="003A1174">
        <w:rPr>
          <w:rFonts w:ascii="Garamond" w:hAnsi="Garamond" w:cs="Arial"/>
          <w:sz w:val="24"/>
          <w:szCs w:val="24"/>
        </w:rPr>
        <w:t>incluem</w:t>
      </w:r>
      <w:r w:rsidR="00F92EC2" w:rsidRPr="003A1174">
        <w:rPr>
          <w:rFonts w:ascii="Garamond" w:hAnsi="Garamond" w:cs="Arial"/>
          <w:sz w:val="24"/>
          <w:szCs w:val="24"/>
        </w:rPr>
        <w:t xml:space="preserve"> </w:t>
      </w:r>
      <w:r w:rsidR="002C7510" w:rsidRPr="003A1174">
        <w:rPr>
          <w:rFonts w:ascii="Garamond" w:hAnsi="Garamond" w:cs="Arial"/>
          <w:sz w:val="24"/>
          <w:szCs w:val="24"/>
        </w:rPr>
        <w:t>ações</w:t>
      </w:r>
      <w:r w:rsidR="00F92EC2" w:rsidRPr="003A1174">
        <w:rPr>
          <w:rFonts w:ascii="Garamond" w:hAnsi="Garamond" w:cs="Arial"/>
          <w:sz w:val="24"/>
          <w:szCs w:val="24"/>
        </w:rPr>
        <w:t xml:space="preserve"> afirmativas para </w:t>
      </w:r>
      <w:r w:rsidR="00AF192F" w:rsidRPr="003A1174">
        <w:rPr>
          <w:rFonts w:ascii="Garamond" w:hAnsi="Garamond" w:cs="Arial"/>
          <w:sz w:val="24"/>
          <w:szCs w:val="24"/>
        </w:rPr>
        <w:t>garantir</w:t>
      </w:r>
      <w:r w:rsidR="00F92EC2" w:rsidRPr="003A1174">
        <w:rPr>
          <w:rFonts w:ascii="Garamond" w:hAnsi="Garamond" w:cs="Arial"/>
          <w:sz w:val="24"/>
          <w:szCs w:val="24"/>
        </w:rPr>
        <w:t xml:space="preserve"> </w:t>
      </w:r>
      <w:r w:rsidR="00462B11" w:rsidRPr="003A1174">
        <w:rPr>
          <w:rFonts w:ascii="Garamond" w:hAnsi="Garamond" w:cs="Arial"/>
          <w:sz w:val="24"/>
          <w:szCs w:val="24"/>
        </w:rPr>
        <w:t>o</w:t>
      </w:r>
      <w:r w:rsidR="00F92EC2" w:rsidRPr="003A1174">
        <w:rPr>
          <w:rFonts w:ascii="Garamond" w:hAnsi="Garamond" w:cs="Arial"/>
          <w:sz w:val="24"/>
          <w:szCs w:val="24"/>
        </w:rPr>
        <w:t xml:space="preserve"> </w:t>
      </w:r>
      <w:r w:rsidR="00731B19" w:rsidRPr="003A1174">
        <w:rPr>
          <w:rFonts w:ascii="Garamond" w:hAnsi="Garamond" w:cs="Arial"/>
          <w:sz w:val="24"/>
          <w:szCs w:val="24"/>
        </w:rPr>
        <w:t>exercício</w:t>
      </w:r>
      <w:r w:rsidR="00F92EC2" w:rsidRPr="003A1174">
        <w:rPr>
          <w:rFonts w:ascii="Garamond" w:hAnsi="Garamond" w:cs="Arial"/>
          <w:sz w:val="24"/>
          <w:szCs w:val="24"/>
        </w:rPr>
        <w:t xml:space="preserve"> </w:t>
      </w:r>
      <w:r w:rsidR="00497503" w:rsidRPr="003A1174">
        <w:rPr>
          <w:rFonts w:ascii="Garamond" w:hAnsi="Garamond" w:cs="Arial"/>
          <w:sz w:val="24"/>
          <w:szCs w:val="24"/>
        </w:rPr>
        <w:t>dos</w:t>
      </w:r>
      <w:r w:rsidR="00F92EC2" w:rsidRPr="003A1174">
        <w:rPr>
          <w:rFonts w:ascii="Garamond" w:hAnsi="Garamond" w:cs="Arial"/>
          <w:sz w:val="24"/>
          <w:szCs w:val="24"/>
        </w:rPr>
        <w:t xml:space="preserve"> </w:t>
      </w:r>
      <w:r w:rsidR="00886D6A" w:rsidRPr="003A1174">
        <w:rPr>
          <w:rFonts w:ascii="Garamond" w:hAnsi="Garamond" w:cs="Arial"/>
          <w:sz w:val="24"/>
          <w:szCs w:val="24"/>
        </w:rPr>
        <w:t>direito</w:t>
      </w:r>
      <w:r w:rsidR="00F92EC2" w:rsidRPr="003A1174">
        <w:rPr>
          <w:rFonts w:ascii="Garamond" w:hAnsi="Garamond" w:cs="Arial"/>
          <w:sz w:val="24"/>
          <w:szCs w:val="24"/>
        </w:rPr>
        <w:t xml:space="preserve">s </w:t>
      </w:r>
      <w:r w:rsidR="00497503" w:rsidRPr="003A1174">
        <w:rPr>
          <w:rFonts w:ascii="Garamond" w:hAnsi="Garamond" w:cs="Arial"/>
          <w:sz w:val="24"/>
          <w:szCs w:val="24"/>
        </w:rPr>
        <w:t>das</w:t>
      </w:r>
      <w:r w:rsidR="00F92EC2" w:rsidRPr="003A1174">
        <w:rPr>
          <w:rFonts w:ascii="Garamond" w:hAnsi="Garamond" w:cs="Arial"/>
          <w:sz w:val="24"/>
          <w:szCs w:val="24"/>
        </w:rPr>
        <w:t xml:space="preserve"> </w:t>
      </w:r>
      <w:r w:rsidR="00054EE0" w:rsidRPr="003A1174">
        <w:rPr>
          <w:rFonts w:ascii="Garamond" w:hAnsi="Garamond" w:cs="Arial"/>
          <w:sz w:val="24"/>
          <w:szCs w:val="24"/>
        </w:rPr>
        <w:t>mulheres</w:t>
      </w:r>
      <w:r w:rsidR="00F92EC2" w:rsidRPr="003A1174">
        <w:rPr>
          <w:rFonts w:ascii="Garamond" w:hAnsi="Garamond" w:cs="Arial"/>
          <w:sz w:val="24"/>
          <w:szCs w:val="24"/>
        </w:rPr>
        <w:t xml:space="preserve"> </w:t>
      </w:r>
      <w:r w:rsidR="00462B11" w:rsidRPr="00625311">
        <w:rPr>
          <w:rFonts w:ascii="Garamond" w:hAnsi="Garamond" w:cs="Arial"/>
          <w:sz w:val="24"/>
          <w:szCs w:val="24"/>
        </w:rPr>
        <w:t xml:space="preserve">nos </w:t>
      </w:r>
      <w:r w:rsidR="00F92EC2" w:rsidRPr="00625311">
        <w:rPr>
          <w:rFonts w:ascii="Garamond" w:hAnsi="Garamond" w:cs="Arial"/>
          <w:sz w:val="24"/>
          <w:szCs w:val="24"/>
        </w:rPr>
        <w:t>s</w:t>
      </w:r>
      <w:r w:rsidR="00462B11" w:rsidRPr="00625311">
        <w:rPr>
          <w:rFonts w:ascii="Garamond" w:hAnsi="Garamond" w:cs="Arial"/>
          <w:sz w:val="24"/>
          <w:szCs w:val="24"/>
        </w:rPr>
        <w:t>e</w:t>
      </w:r>
      <w:r w:rsidR="00F92EC2" w:rsidRPr="00625311">
        <w:rPr>
          <w:rFonts w:ascii="Garamond" w:hAnsi="Garamond" w:cs="Arial"/>
          <w:sz w:val="24"/>
          <w:szCs w:val="24"/>
        </w:rPr>
        <w:t xml:space="preserve">us </w:t>
      </w:r>
      <w:r w:rsidR="00542E90" w:rsidRPr="00625311">
        <w:rPr>
          <w:rFonts w:ascii="Garamond" w:hAnsi="Garamond" w:cs="Arial"/>
          <w:sz w:val="24"/>
          <w:szCs w:val="24"/>
        </w:rPr>
        <w:t xml:space="preserve">objetivos </w:t>
      </w:r>
      <w:r w:rsidR="00F92EC2" w:rsidRPr="00625311">
        <w:rPr>
          <w:rFonts w:ascii="Garamond" w:hAnsi="Garamond" w:cs="Arial"/>
          <w:sz w:val="24"/>
          <w:szCs w:val="24"/>
        </w:rPr>
        <w:t>específicos.</w:t>
      </w:r>
    </w:p>
    <w:p w:rsidR="00F92EC2" w:rsidRPr="003A1174" w:rsidRDefault="00F92EC2" w:rsidP="008719D4">
      <w:pPr>
        <w:pStyle w:val="Sinespaciado"/>
        <w:jc w:val="both"/>
        <w:rPr>
          <w:rFonts w:ascii="Garamond" w:hAnsi="Garamond" w:cs="Arial"/>
          <w:sz w:val="24"/>
          <w:szCs w:val="24"/>
          <w:lang w:val="pt-PT"/>
        </w:rPr>
      </w:pPr>
      <w:r w:rsidRPr="00625311">
        <w:rPr>
          <w:rFonts w:ascii="Garamond" w:hAnsi="Garamond" w:cs="Arial"/>
          <w:sz w:val="24"/>
          <w:szCs w:val="24"/>
          <w:lang w:val="pt-PT"/>
        </w:rPr>
        <w:t xml:space="preserve">Durante </w:t>
      </w:r>
      <w:r w:rsidR="00462B11" w:rsidRPr="00625311">
        <w:rPr>
          <w:rFonts w:ascii="Garamond" w:hAnsi="Garamond" w:cs="Arial"/>
          <w:sz w:val="24"/>
          <w:szCs w:val="24"/>
          <w:lang w:val="pt-PT"/>
        </w:rPr>
        <w:t>o</w:t>
      </w:r>
      <w:r w:rsidRPr="00625311">
        <w:rPr>
          <w:rFonts w:ascii="Garamond" w:hAnsi="Garamond" w:cs="Arial"/>
          <w:sz w:val="24"/>
          <w:szCs w:val="24"/>
          <w:lang w:val="pt-PT"/>
        </w:rPr>
        <w:t xml:space="preserve"> período objeto de</w:t>
      </w:r>
      <w:r w:rsidR="00862235" w:rsidRPr="00625311">
        <w:rPr>
          <w:rFonts w:ascii="Garamond" w:hAnsi="Garamond" w:cs="Arial"/>
          <w:sz w:val="24"/>
          <w:szCs w:val="24"/>
          <w:lang w:val="pt-PT"/>
        </w:rPr>
        <w:t>ste</w:t>
      </w:r>
      <w:r w:rsidRPr="00625311">
        <w:rPr>
          <w:rFonts w:ascii="Garamond" w:hAnsi="Garamond" w:cs="Arial"/>
          <w:sz w:val="24"/>
          <w:szCs w:val="24"/>
          <w:lang w:val="pt-PT"/>
        </w:rPr>
        <w:t xml:space="preserve"> </w:t>
      </w:r>
      <w:r w:rsidR="003F012B" w:rsidRPr="00625311">
        <w:rPr>
          <w:rFonts w:ascii="Garamond" w:hAnsi="Garamond" w:cs="Arial"/>
          <w:sz w:val="24"/>
          <w:szCs w:val="24"/>
          <w:lang w:val="pt-PT"/>
        </w:rPr>
        <w:t>estudo</w:t>
      </w:r>
      <w:r w:rsidR="008208DF" w:rsidRPr="003A1174">
        <w:rPr>
          <w:rFonts w:ascii="Garamond" w:hAnsi="Garamond" w:cs="Arial"/>
          <w:sz w:val="24"/>
          <w:szCs w:val="24"/>
          <w:lang w:val="pt-PT"/>
        </w:rPr>
        <w:t>,</w:t>
      </w:r>
      <w:r w:rsidRPr="003A1174">
        <w:rPr>
          <w:rFonts w:ascii="Garamond" w:hAnsi="Garamond" w:cs="Arial"/>
          <w:sz w:val="24"/>
          <w:szCs w:val="24"/>
          <w:lang w:val="pt-PT"/>
        </w:rPr>
        <w:t xml:space="preserve"> </w:t>
      </w:r>
      <w:r w:rsidR="00462B11" w:rsidRPr="003A1174">
        <w:rPr>
          <w:rFonts w:ascii="Garamond" w:hAnsi="Garamond" w:cs="Arial"/>
          <w:sz w:val="24"/>
          <w:szCs w:val="24"/>
          <w:lang w:val="pt-PT"/>
        </w:rPr>
        <w:t xml:space="preserve">é </w:t>
      </w:r>
      <w:r w:rsidRPr="003A1174">
        <w:rPr>
          <w:rFonts w:ascii="Garamond" w:hAnsi="Garamond" w:cs="Arial"/>
          <w:sz w:val="24"/>
          <w:szCs w:val="24"/>
          <w:lang w:val="pt-PT"/>
        </w:rPr>
        <w:t xml:space="preserve">importante </w:t>
      </w:r>
      <w:r w:rsidR="00462B11" w:rsidRPr="003A1174">
        <w:rPr>
          <w:rFonts w:ascii="Garamond" w:hAnsi="Garamond" w:cs="Arial"/>
          <w:sz w:val="24"/>
          <w:szCs w:val="24"/>
          <w:lang w:val="pt-PT"/>
        </w:rPr>
        <w:t xml:space="preserve">referir </w:t>
      </w:r>
      <w:r w:rsidRPr="003A1174">
        <w:rPr>
          <w:rFonts w:ascii="Garamond" w:hAnsi="Garamond" w:cs="Arial"/>
          <w:sz w:val="24"/>
          <w:szCs w:val="24"/>
          <w:lang w:val="pt-PT"/>
        </w:rPr>
        <w:t xml:space="preserve">as </w:t>
      </w:r>
      <w:r w:rsidR="003A2CD0">
        <w:rPr>
          <w:rFonts w:ascii="Garamond" w:hAnsi="Garamond" w:cs="Arial"/>
          <w:sz w:val="24"/>
          <w:szCs w:val="24"/>
          <w:lang w:val="pt-PT"/>
        </w:rPr>
        <w:t xml:space="preserve">revisões </w:t>
      </w:r>
      <w:r w:rsidRPr="003A1174">
        <w:rPr>
          <w:rFonts w:ascii="Garamond" w:hAnsi="Garamond" w:cs="Arial"/>
          <w:sz w:val="24"/>
          <w:szCs w:val="24"/>
          <w:lang w:val="pt-PT"/>
        </w:rPr>
        <w:t>a</w:t>
      </w:r>
      <w:r w:rsidR="00462B11" w:rsidRPr="003A1174">
        <w:rPr>
          <w:rFonts w:ascii="Garamond" w:hAnsi="Garamond" w:cs="Arial"/>
          <w:sz w:val="24"/>
          <w:szCs w:val="24"/>
          <w:lang w:val="pt-PT"/>
        </w:rPr>
        <w:t>o</w:t>
      </w:r>
      <w:r w:rsidRPr="003A1174">
        <w:rPr>
          <w:rFonts w:ascii="Garamond" w:hAnsi="Garamond" w:cs="Arial"/>
          <w:sz w:val="24"/>
          <w:szCs w:val="24"/>
          <w:lang w:val="pt-PT"/>
        </w:rPr>
        <w:t xml:space="preserve"> Código Penal Hondure</w:t>
      </w:r>
      <w:r w:rsidR="00462B11" w:rsidRPr="003A1174">
        <w:rPr>
          <w:rFonts w:ascii="Garamond" w:hAnsi="Garamond" w:cs="Arial"/>
          <w:sz w:val="24"/>
          <w:szCs w:val="24"/>
          <w:lang w:val="pt-PT"/>
        </w:rPr>
        <w:t>nho</w:t>
      </w:r>
      <w:r w:rsidR="003A2CD0">
        <w:rPr>
          <w:rFonts w:ascii="Garamond" w:hAnsi="Garamond" w:cs="Arial"/>
          <w:sz w:val="24"/>
          <w:szCs w:val="24"/>
          <w:lang w:val="pt-PT"/>
        </w:rPr>
        <w:t>,</w:t>
      </w:r>
      <w:r w:rsidRPr="003A1174">
        <w:rPr>
          <w:rFonts w:ascii="Garamond" w:hAnsi="Garamond" w:cs="Arial"/>
          <w:sz w:val="24"/>
          <w:szCs w:val="24"/>
          <w:lang w:val="pt-PT"/>
        </w:rPr>
        <w:t xml:space="preserve"> </w:t>
      </w:r>
      <w:r w:rsidR="00462B11" w:rsidRPr="003A1174">
        <w:rPr>
          <w:rFonts w:ascii="Garamond" w:hAnsi="Garamond" w:cs="Arial"/>
          <w:sz w:val="24"/>
          <w:szCs w:val="24"/>
          <w:lang w:val="pt-PT"/>
        </w:rPr>
        <w:t xml:space="preserve">através do </w:t>
      </w:r>
      <w:r w:rsidRPr="003A1174">
        <w:rPr>
          <w:rFonts w:ascii="Garamond" w:hAnsi="Garamond" w:cs="Arial"/>
          <w:sz w:val="24"/>
          <w:szCs w:val="24"/>
          <w:lang w:val="pt-PT"/>
        </w:rPr>
        <w:t>Decreto Legislativo N</w:t>
      </w:r>
      <w:r w:rsidR="00862235">
        <w:rPr>
          <w:rFonts w:ascii="Garamond" w:hAnsi="Garamond" w:cs="Arial"/>
          <w:sz w:val="24"/>
          <w:szCs w:val="24"/>
          <w:lang w:val="pt-PT"/>
        </w:rPr>
        <w:t>.</w:t>
      </w:r>
      <w:r w:rsidR="008208DF" w:rsidRPr="003A1174">
        <w:rPr>
          <w:rFonts w:ascii="Garamond" w:hAnsi="Garamond" w:cs="Arial"/>
          <w:sz w:val="24"/>
          <w:szCs w:val="24"/>
          <w:lang w:val="pt-PT"/>
        </w:rPr>
        <w:t>°</w:t>
      </w:r>
      <w:r w:rsidRPr="003A1174">
        <w:rPr>
          <w:rFonts w:ascii="Garamond" w:hAnsi="Garamond" w:cs="Arial"/>
          <w:sz w:val="24"/>
          <w:szCs w:val="24"/>
          <w:lang w:val="pt-PT"/>
        </w:rPr>
        <w:t xml:space="preserve"> 23-2013, </w:t>
      </w:r>
      <w:r w:rsidR="003A2CD0">
        <w:rPr>
          <w:rFonts w:ascii="Garamond" w:hAnsi="Garamond" w:cs="Arial"/>
          <w:sz w:val="24"/>
          <w:szCs w:val="24"/>
          <w:lang w:val="pt-PT"/>
        </w:rPr>
        <w:t xml:space="preserve">revisão </w:t>
      </w:r>
      <w:r w:rsidR="00542E90">
        <w:rPr>
          <w:rFonts w:ascii="Garamond" w:hAnsi="Garamond" w:cs="Arial"/>
          <w:sz w:val="24"/>
          <w:szCs w:val="24"/>
          <w:lang w:val="pt-PT"/>
        </w:rPr>
        <w:t xml:space="preserve">que aditou o </w:t>
      </w:r>
      <w:r w:rsidR="00383B3F" w:rsidRPr="003A1174">
        <w:rPr>
          <w:rFonts w:ascii="Garamond" w:hAnsi="Garamond" w:cs="Arial"/>
          <w:sz w:val="24"/>
          <w:szCs w:val="24"/>
          <w:lang w:val="pt-PT"/>
        </w:rPr>
        <w:t>Art.</w:t>
      </w:r>
      <w:r w:rsidRPr="003A1174">
        <w:rPr>
          <w:rFonts w:ascii="Garamond" w:hAnsi="Garamond" w:cs="Arial"/>
          <w:sz w:val="24"/>
          <w:szCs w:val="24"/>
          <w:lang w:val="pt-PT"/>
        </w:rPr>
        <w:t xml:space="preserve"> 118-A, </w:t>
      </w:r>
      <w:r w:rsidR="008208DF" w:rsidRPr="003A1174">
        <w:rPr>
          <w:rFonts w:ascii="Garamond" w:hAnsi="Garamond" w:cs="Arial"/>
          <w:sz w:val="24"/>
          <w:szCs w:val="24"/>
          <w:lang w:val="pt-PT"/>
        </w:rPr>
        <w:t>que</w:t>
      </w:r>
      <w:r w:rsidRPr="003A1174">
        <w:rPr>
          <w:rFonts w:ascii="Garamond" w:hAnsi="Garamond" w:cs="Arial"/>
          <w:sz w:val="24"/>
          <w:szCs w:val="24"/>
          <w:lang w:val="pt-PT"/>
        </w:rPr>
        <w:t xml:space="preserve"> </w:t>
      </w:r>
      <w:r w:rsidR="00542E90">
        <w:rPr>
          <w:rFonts w:ascii="Garamond" w:hAnsi="Garamond" w:cs="Arial"/>
          <w:sz w:val="24"/>
          <w:szCs w:val="24"/>
          <w:lang w:val="pt-PT"/>
        </w:rPr>
        <w:t xml:space="preserve">acrescenta </w:t>
      </w:r>
      <w:r w:rsidR="00462B11" w:rsidRPr="003A1174">
        <w:rPr>
          <w:rFonts w:ascii="Garamond" w:hAnsi="Garamond" w:cs="Arial"/>
          <w:sz w:val="24"/>
          <w:szCs w:val="24"/>
          <w:lang w:val="pt-PT"/>
        </w:rPr>
        <w:t>à</w:t>
      </w:r>
      <w:r w:rsidRPr="003A1174">
        <w:rPr>
          <w:rFonts w:ascii="Garamond" w:hAnsi="Garamond" w:cs="Arial"/>
          <w:sz w:val="24"/>
          <w:szCs w:val="24"/>
          <w:lang w:val="pt-PT"/>
        </w:rPr>
        <w:t xml:space="preserve"> </w:t>
      </w:r>
      <w:r w:rsidR="00462B11" w:rsidRPr="003A1174">
        <w:rPr>
          <w:rFonts w:ascii="Garamond" w:hAnsi="Garamond" w:cs="Arial"/>
          <w:sz w:val="24"/>
          <w:szCs w:val="24"/>
          <w:lang w:val="pt-PT"/>
        </w:rPr>
        <w:t>nossa</w:t>
      </w:r>
      <w:r w:rsidRPr="003A1174">
        <w:rPr>
          <w:rFonts w:ascii="Garamond" w:hAnsi="Garamond" w:cs="Arial"/>
          <w:sz w:val="24"/>
          <w:szCs w:val="24"/>
          <w:lang w:val="pt-PT"/>
        </w:rPr>
        <w:t xml:space="preserve"> </w:t>
      </w:r>
      <w:r w:rsidR="002C7510" w:rsidRPr="003A1174">
        <w:rPr>
          <w:rFonts w:ascii="Garamond" w:hAnsi="Garamond" w:cs="Arial"/>
          <w:sz w:val="24"/>
          <w:szCs w:val="24"/>
          <w:lang w:val="pt-PT"/>
        </w:rPr>
        <w:t>legislação</w:t>
      </w:r>
      <w:r w:rsidRPr="003A1174">
        <w:rPr>
          <w:rFonts w:ascii="Garamond" w:hAnsi="Garamond" w:cs="Arial"/>
          <w:sz w:val="24"/>
          <w:szCs w:val="24"/>
          <w:lang w:val="pt-PT"/>
        </w:rPr>
        <w:t xml:space="preserve"> nacional </w:t>
      </w:r>
      <w:r w:rsidR="00462B11" w:rsidRPr="003A1174">
        <w:rPr>
          <w:rFonts w:ascii="Garamond" w:hAnsi="Garamond" w:cs="Arial"/>
          <w:sz w:val="24"/>
          <w:szCs w:val="24"/>
          <w:lang w:val="pt-PT"/>
        </w:rPr>
        <w:t xml:space="preserve">o </w:t>
      </w:r>
      <w:r w:rsidRPr="003A1174">
        <w:rPr>
          <w:rFonts w:ascii="Garamond" w:hAnsi="Garamond" w:cs="Arial"/>
          <w:sz w:val="24"/>
          <w:szCs w:val="24"/>
          <w:lang w:val="pt-PT"/>
        </w:rPr>
        <w:t xml:space="preserve">tipo penal de </w:t>
      </w:r>
      <w:r w:rsidR="005C051C" w:rsidRPr="003A1174">
        <w:rPr>
          <w:rFonts w:ascii="Garamond" w:hAnsi="Garamond" w:cs="Arial"/>
          <w:sz w:val="24"/>
          <w:szCs w:val="24"/>
          <w:lang w:val="pt-PT"/>
        </w:rPr>
        <w:t>femicídio</w:t>
      </w:r>
      <w:r w:rsidR="008208DF" w:rsidRPr="003A1174">
        <w:rPr>
          <w:rFonts w:ascii="Garamond" w:hAnsi="Garamond" w:cs="Arial"/>
          <w:sz w:val="24"/>
          <w:szCs w:val="24"/>
          <w:lang w:val="pt-PT"/>
        </w:rPr>
        <w:t>,</w:t>
      </w:r>
      <w:r w:rsidRPr="003A1174">
        <w:rPr>
          <w:rFonts w:ascii="Garamond" w:hAnsi="Garamond" w:cs="Arial"/>
          <w:sz w:val="24"/>
          <w:szCs w:val="24"/>
          <w:lang w:val="pt-PT"/>
        </w:rPr>
        <w:t xml:space="preserve"> co</w:t>
      </w:r>
      <w:r w:rsidR="00462B11" w:rsidRPr="003A1174">
        <w:rPr>
          <w:rFonts w:ascii="Garamond" w:hAnsi="Garamond" w:cs="Arial"/>
          <w:sz w:val="24"/>
          <w:szCs w:val="24"/>
          <w:lang w:val="pt-PT"/>
        </w:rPr>
        <w:t>m</w:t>
      </w:r>
      <w:r w:rsidRPr="003A1174">
        <w:rPr>
          <w:rFonts w:ascii="Garamond" w:hAnsi="Garamond" w:cs="Arial"/>
          <w:sz w:val="24"/>
          <w:szCs w:val="24"/>
          <w:lang w:val="pt-PT"/>
        </w:rPr>
        <w:t xml:space="preserve"> penas</w:t>
      </w:r>
      <w:r w:rsidR="00625311">
        <w:rPr>
          <w:rFonts w:ascii="Garamond" w:hAnsi="Garamond" w:cs="Arial"/>
          <w:sz w:val="24"/>
          <w:szCs w:val="24"/>
          <w:lang w:val="pt-PT"/>
        </w:rPr>
        <w:t>,</w:t>
      </w:r>
      <w:r w:rsidRPr="003A1174">
        <w:rPr>
          <w:rFonts w:ascii="Garamond" w:hAnsi="Garamond" w:cs="Arial"/>
          <w:sz w:val="24"/>
          <w:szCs w:val="24"/>
          <w:lang w:val="pt-PT"/>
        </w:rPr>
        <w:t xml:space="preserve"> entre </w:t>
      </w:r>
      <w:r w:rsidR="00462B11" w:rsidRPr="003A1174">
        <w:rPr>
          <w:rFonts w:ascii="Garamond" w:hAnsi="Garamond" w:cs="Arial"/>
          <w:sz w:val="24"/>
          <w:szCs w:val="24"/>
          <w:lang w:val="pt-PT"/>
        </w:rPr>
        <w:t xml:space="preserve">os </w:t>
      </w:r>
      <w:r w:rsidRPr="003A1174">
        <w:rPr>
          <w:rFonts w:ascii="Garamond" w:hAnsi="Garamond" w:cs="Arial"/>
          <w:sz w:val="24"/>
          <w:szCs w:val="24"/>
          <w:lang w:val="pt-PT"/>
        </w:rPr>
        <w:t xml:space="preserve">30 </w:t>
      </w:r>
      <w:r w:rsidR="00497503" w:rsidRPr="003A1174">
        <w:rPr>
          <w:rFonts w:ascii="Garamond" w:hAnsi="Garamond" w:cs="Arial"/>
          <w:sz w:val="24"/>
          <w:szCs w:val="24"/>
          <w:lang w:val="pt-PT"/>
        </w:rPr>
        <w:t>e</w:t>
      </w:r>
      <w:r w:rsidRPr="003A1174">
        <w:rPr>
          <w:rFonts w:ascii="Garamond" w:hAnsi="Garamond" w:cs="Arial"/>
          <w:sz w:val="24"/>
          <w:szCs w:val="24"/>
          <w:lang w:val="pt-PT"/>
        </w:rPr>
        <w:t xml:space="preserve"> </w:t>
      </w:r>
      <w:r w:rsidR="00462B11" w:rsidRPr="003A1174">
        <w:rPr>
          <w:rFonts w:ascii="Garamond" w:hAnsi="Garamond" w:cs="Arial"/>
          <w:sz w:val="24"/>
          <w:szCs w:val="24"/>
          <w:lang w:val="pt-PT"/>
        </w:rPr>
        <w:t xml:space="preserve">os </w:t>
      </w:r>
      <w:r w:rsidRPr="003A1174">
        <w:rPr>
          <w:rFonts w:ascii="Garamond" w:hAnsi="Garamond" w:cs="Arial"/>
          <w:sz w:val="24"/>
          <w:szCs w:val="24"/>
          <w:lang w:val="pt-PT"/>
        </w:rPr>
        <w:t xml:space="preserve">40 </w:t>
      </w:r>
      <w:r w:rsidR="002C7510" w:rsidRPr="003A1174">
        <w:rPr>
          <w:rFonts w:ascii="Garamond" w:hAnsi="Garamond" w:cs="Arial"/>
          <w:sz w:val="24"/>
          <w:szCs w:val="24"/>
          <w:lang w:val="pt-PT"/>
        </w:rPr>
        <w:t>ano</w:t>
      </w:r>
      <w:r w:rsidR="00462B11" w:rsidRPr="003A1174">
        <w:rPr>
          <w:rFonts w:ascii="Garamond" w:hAnsi="Garamond" w:cs="Arial"/>
          <w:sz w:val="24"/>
          <w:szCs w:val="24"/>
          <w:lang w:val="pt-PT"/>
        </w:rPr>
        <w:t>s</w:t>
      </w:r>
      <w:r w:rsidR="00625311">
        <w:rPr>
          <w:rFonts w:ascii="Garamond" w:hAnsi="Garamond" w:cs="Arial"/>
          <w:sz w:val="24"/>
          <w:szCs w:val="24"/>
          <w:lang w:val="pt-PT"/>
        </w:rPr>
        <w:t>,</w:t>
      </w:r>
      <w:r w:rsidR="00462B11" w:rsidRPr="003A1174">
        <w:rPr>
          <w:rFonts w:ascii="Garamond" w:hAnsi="Garamond" w:cs="Arial"/>
          <w:sz w:val="24"/>
          <w:szCs w:val="24"/>
          <w:lang w:val="pt-PT"/>
        </w:rPr>
        <w:t xml:space="preserve"> </w:t>
      </w:r>
      <w:r w:rsidR="00625311">
        <w:rPr>
          <w:rFonts w:ascii="Garamond" w:hAnsi="Garamond" w:cs="Arial"/>
          <w:sz w:val="24"/>
          <w:szCs w:val="24"/>
          <w:lang w:val="pt-PT"/>
        </w:rPr>
        <w:t>a</w:t>
      </w:r>
      <w:r w:rsidRPr="003A1174">
        <w:rPr>
          <w:rFonts w:ascii="Garamond" w:hAnsi="Garamond" w:cs="Arial"/>
          <w:sz w:val="24"/>
          <w:szCs w:val="24"/>
          <w:lang w:val="pt-PT"/>
        </w:rPr>
        <w:t xml:space="preserve">os </w:t>
      </w:r>
      <w:r w:rsidR="00EB78D9" w:rsidRPr="003A1174">
        <w:rPr>
          <w:rFonts w:ascii="Garamond" w:hAnsi="Garamond" w:cs="Arial"/>
          <w:sz w:val="24"/>
          <w:szCs w:val="24"/>
          <w:lang w:val="pt-PT"/>
        </w:rPr>
        <w:t>a</w:t>
      </w:r>
      <w:r w:rsidR="00625311">
        <w:rPr>
          <w:rFonts w:ascii="Garamond" w:hAnsi="Garamond" w:cs="Arial"/>
          <w:sz w:val="24"/>
          <w:szCs w:val="24"/>
          <w:lang w:val="pt-PT"/>
        </w:rPr>
        <w:t>u</w:t>
      </w:r>
      <w:r w:rsidR="00EB78D9" w:rsidRPr="003A1174">
        <w:rPr>
          <w:rFonts w:ascii="Garamond" w:hAnsi="Garamond" w:cs="Arial"/>
          <w:sz w:val="24"/>
          <w:szCs w:val="24"/>
          <w:lang w:val="pt-PT"/>
        </w:rPr>
        <w:t>tores</w:t>
      </w:r>
      <w:r w:rsidRPr="003A1174">
        <w:rPr>
          <w:rFonts w:ascii="Garamond" w:hAnsi="Garamond" w:cs="Arial"/>
          <w:sz w:val="24"/>
          <w:szCs w:val="24"/>
          <w:lang w:val="pt-PT"/>
        </w:rPr>
        <w:t xml:space="preserve"> de </w:t>
      </w:r>
      <w:r w:rsidR="007C63D0" w:rsidRPr="003A1174">
        <w:rPr>
          <w:rFonts w:ascii="Garamond" w:hAnsi="Garamond" w:cs="Arial"/>
          <w:sz w:val="24"/>
          <w:szCs w:val="24"/>
          <w:lang w:val="pt-PT"/>
        </w:rPr>
        <w:t>morte</w:t>
      </w:r>
      <w:r w:rsidRPr="003A1174">
        <w:rPr>
          <w:rFonts w:ascii="Garamond" w:hAnsi="Garamond" w:cs="Arial"/>
          <w:sz w:val="24"/>
          <w:szCs w:val="24"/>
          <w:lang w:val="pt-PT"/>
        </w:rPr>
        <w:t xml:space="preserve">s violentas de </w:t>
      </w:r>
      <w:r w:rsidR="00054EE0" w:rsidRPr="003A1174">
        <w:rPr>
          <w:rFonts w:ascii="Garamond" w:hAnsi="Garamond" w:cs="Arial"/>
          <w:sz w:val="24"/>
          <w:szCs w:val="24"/>
          <w:lang w:val="pt-PT"/>
        </w:rPr>
        <w:t>mulheres</w:t>
      </w:r>
      <w:r w:rsidRPr="003A1174">
        <w:rPr>
          <w:rFonts w:ascii="Garamond" w:hAnsi="Garamond" w:cs="Arial"/>
          <w:sz w:val="24"/>
          <w:szCs w:val="24"/>
          <w:lang w:val="pt-PT"/>
        </w:rPr>
        <w:t xml:space="preserve">. </w:t>
      </w:r>
      <w:r w:rsidR="00462B11" w:rsidRPr="003A1174">
        <w:rPr>
          <w:rFonts w:ascii="Garamond" w:hAnsi="Garamond" w:cs="Arial"/>
          <w:sz w:val="24"/>
          <w:szCs w:val="24"/>
          <w:lang w:val="pt-PT"/>
        </w:rPr>
        <w:t>Apesar disso, todos os anos</w:t>
      </w:r>
      <w:r w:rsidR="00625311">
        <w:rPr>
          <w:rFonts w:ascii="Garamond" w:hAnsi="Garamond" w:cs="Arial"/>
          <w:sz w:val="24"/>
          <w:szCs w:val="24"/>
          <w:lang w:val="pt-PT"/>
        </w:rPr>
        <w:t>,</w:t>
      </w:r>
      <w:r w:rsidR="00462B11" w:rsidRPr="003A1174">
        <w:rPr>
          <w:rFonts w:ascii="Garamond" w:hAnsi="Garamond" w:cs="Arial"/>
          <w:sz w:val="24"/>
          <w:szCs w:val="24"/>
          <w:lang w:val="pt-PT"/>
        </w:rPr>
        <w:t xml:space="preserve"> o númer</w:t>
      </w:r>
      <w:r w:rsidRPr="003A1174">
        <w:rPr>
          <w:rFonts w:ascii="Garamond" w:hAnsi="Garamond" w:cs="Arial"/>
          <w:sz w:val="24"/>
          <w:szCs w:val="24"/>
          <w:lang w:val="pt-PT"/>
        </w:rPr>
        <w:t xml:space="preserve">o de </w:t>
      </w:r>
      <w:r w:rsidR="007C63D0" w:rsidRPr="003A1174">
        <w:rPr>
          <w:rFonts w:ascii="Garamond" w:hAnsi="Garamond" w:cs="Arial"/>
          <w:sz w:val="24"/>
          <w:szCs w:val="24"/>
          <w:lang w:val="pt-PT"/>
        </w:rPr>
        <w:t>morte</w:t>
      </w:r>
      <w:r w:rsidRPr="003A1174">
        <w:rPr>
          <w:rFonts w:ascii="Garamond" w:hAnsi="Garamond" w:cs="Arial"/>
          <w:sz w:val="24"/>
          <w:szCs w:val="24"/>
          <w:lang w:val="pt-PT"/>
        </w:rPr>
        <w:t xml:space="preserve">s violentas de </w:t>
      </w:r>
      <w:r w:rsidR="00054EE0" w:rsidRPr="003A1174">
        <w:rPr>
          <w:rFonts w:ascii="Garamond" w:hAnsi="Garamond" w:cs="Arial"/>
          <w:sz w:val="24"/>
          <w:szCs w:val="24"/>
          <w:lang w:val="pt-PT"/>
        </w:rPr>
        <w:t>mulheres</w:t>
      </w:r>
      <w:r w:rsidR="00462B11" w:rsidRPr="003A1174">
        <w:rPr>
          <w:rFonts w:ascii="Garamond" w:hAnsi="Garamond" w:cs="Arial"/>
          <w:sz w:val="24"/>
          <w:szCs w:val="24"/>
          <w:lang w:val="pt-PT"/>
        </w:rPr>
        <w:t xml:space="preserve"> vai aumentando</w:t>
      </w:r>
      <w:r w:rsidRPr="003A1174">
        <w:rPr>
          <w:rFonts w:ascii="Garamond" w:hAnsi="Garamond" w:cs="Arial"/>
          <w:sz w:val="24"/>
          <w:szCs w:val="24"/>
          <w:lang w:val="pt-PT"/>
        </w:rPr>
        <w:t>.</w:t>
      </w:r>
    </w:p>
    <w:p w:rsidR="00F92EC2" w:rsidRPr="003A1174" w:rsidRDefault="00462B11" w:rsidP="008719D4">
      <w:pPr>
        <w:tabs>
          <w:tab w:val="left" w:pos="284"/>
        </w:tabs>
        <w:spacing w:before="240" w:after="0" w:line="240" w:lineRule="auto"/>
        <w:contextualSpacing/>
        <w:jc w:val="both"/>
        <w:rPr>
          <w:rFonts w:ascii="Garamond" w:hAnsi="Garamond" w:cs="Arial"/>
          <w:sz w:val="24"/>
          <w:szCs w:val="24"/>
          <w:lang w:eastAsia="es-ES"/>
        </w:rPr>
      </w:pPr>
      <w:r w:rsidRPr="003A1174">
        <w:rPr>
          <w:rFonts w:ascii="Garamond" w:hAnsi="Garamond" w:cs="Arial"/>
          <w:sz w:val="24"/>
          <w:szCs w:val="24"/>
        </w:rPr>
        <w:t>A</w:t>
      </w:r>
      <w:r w:rsidR="00374785" w:rsidRPr="003A1174">
        <w:rPr>
          <w:rFonts w:ascii="Garamond" w:hAnsi="Garamond" w:cs="Arial"/>
          <w:sz w:val="24"/>
          <w:szCs w:val="24"/>
        </w:rPr>
        <w:t>provou</w:t>
      </w:r>
      <w:r w:rsidRPr="003A1174">
        <w:rPr>
          <w:rFonts w:ascii="Garamond" w:hAnsi="Garamond" w:cs="Arial"/>
          <w:sz w:val="24"/>
          <w:szCs w:val="24"/>
        </w:rPr>
        <w:t>-se</w:t>
      </w:r>
      <w:r w:rsidR="004F03CF">
        <w:rPr>
          <w:rFonts w:ascii="Garamond" w:hAnsi="Garamond" w:cs="Arial"/>
          <w:sz w:val="24"/>
          <w:szCs w:val="24"/>
        </w:rPr>
        <w:t>,</w:t>
      </w:r>
      <w:r w:rsidRPr="003A1174">
        <w:rPr>
          <w:rFonts w:ascii="Garamond" w:hAnsi="Garamond" w:cs="Arial"/>
          <w:sz w:val="24"/>
          <w:szCs w:val="24"/>
        </w:rPr>
        <w:t xml:space="preserve"> a </w:t>
      </w:r>
      <w:r w:rsidR="00F92EC2" w:rsidRPr="003A1174">
        <w:rPr>
          <w:rFonts w:ascii="Garamond" w:hAnsi="Garamond" w:cs="Arial"/>
          <w:sz w:val="24"/>
          <w:szCs w:val="24"/>
        </w:rPr>
        <w:t xml:space="preserve">21 de </w:t>
      </w:r>
      <w:r w:rsidR="00497503" w:rsidRPr="003A1174">
        <w:rPr>
          <w:rFonts w:ascii="Garamond" w:hAnsi="Garamond" w:cs="Arial"/>
          <w:sz w:val="24"/>
          <w:szCs w:val="24"/>
        </w:rPr>
        <w:t>fevereiro</w:t>
      </w:r>
      <w:r w:rsidR="00F92EC2" w:rsidRPr="003A1174">
        <w:rPr>
          <w:rFonts w:ascii="Garamond" w:hAnsi="Garamond" w:cs="Arial"/>
          <w:sz w:val="24"/>
          <w:szCs w:val="24"/>
        </w:rPr>
        <w:t xml:space="preserve"> de 2013</w:t>
      </w:r>
      <w:r w:rsidR="004F03CF">
        <w:rPr>
          <w:rFonts w:ascii="Garamond" w:hAnsi="Garamond" w:cs="Arial"/>
          <w:sz w:val="24"/>
          <w:szCs w:val="24"/>
        </w:rPr>
        <w:t>,</w:t>
      </w:r>
      <w:r w:rsidR="00F92EC2" w:rsidRPr="003A1174">
        <w:rPr>
          <w:rFonts w:ascii="Garamond" w:hAnsi="Garamond" w:cs="Arial"/>
          <w:sz w:val="24"/>
          <w:szCs w:val="24"/>
        </w:rPr>
        <w:t xml:space="preserve"> </w:t>
      </w:r>
      <w:r w:rsidRPr="003A1174">
        <w:rPr>
          <w:rFonts w:ascii="Garamond" w:hAnsi="Garamond" w:cs="Arial"/>
          <w:sz w:val="24"/>
          <w:szCs w:val="24"/>
        </w:rPr>
        <w:t>um</w:t>
      </w:r>
      <w:r w:rsidR="00F92EC2" w:rsidRPr="003A1174">
        <w:rPr>
          <w:rFonts w:ascii="Garamond" w:hAnsi="Garamond" w:cs="Arial"/>
          <w:sz w:val="24"/>
          <w:szCs w:val="24"/>
        </w:rPr>
        <w:t xml:space="preserve">a </w:t>
      </w:r>
      <w:r w:rsidR="003A2CD0">
        <w:rPr>
          <w:rFonts w:ascii="Garamond" w:hAnsi="Garamond" w:cs="Arial"/>
          <w:sz w:val="24"/>
          <w:szCs w:val="24"/>
        </w:rPr>
        <w:t xml:space="preserve">revisão </w:t>
      </w:r>
      <w:r w:rsidR="00F92EC2" w:rsidRPr="003A1174">
        <w:rPr>
          <w:rFonts w:ascii="Garamond" w:hAnsi="Garamond" w:cs="Arial"/>
          <w:sz w:val="24"/>
          <w:szCs w:val="24"/>
        </w:rPr>
        <w:t>a</w:t>
      </w:r>
      <w:r w:rsidRPr="003A1174">
        <w:rPr>
          <w:rFonts w:ascii="Garamond" w:hAnsi="Garamond" w:cs="Arial"/>
          <w:sz w:val="24"/>
          <w:szCs w:val="24"/>
        </w:rPr>
        <w:t>o</w:t>
      </w:r>
      <w:r w:rsidR="00F92EC2" w:rsidRPr="003A1174">
        <w:rPr>
          <w:rFonts w:ascii="Garamond" w:hAnsi="Garamond" w:cs="Arial"/>
          <w:sz w:val="24"/>
          <w:szCs w:val="24"/>
        </w:rPr>
        <w:t xml:space="preserve"> Código Penal</w:t>
      </w:r>
      <w:r w:rsidR="003A2CD0">
        <w:rPr>
          <w:rFonts w:ascii="Garamond" w:hAnsi="Garamond" w:cs="Arial"/>
          <w:sz w:val="24"/>
          <w:szCs w:val="24"/>
        </w:rPr>
        <w:t>,</w:t>
      </w:r>
      <w:r w:rsidR="00F92EC2" w:rsidRPr="003A1174">
        <w:rPr>
          <w:rFonts w:ascii="Garamond" w:hAnsi="Garamond" w:cs="Arial"/>
          <w:sz w:val="24"/>
          <w:szCs w:val="24"/>
        </w:rPr>
        <w:t xml:space="preserve"> adicionando </w:t>
      </w:r>
      <w:r w:rsidRPr="003A1174">
        <w:rPr>
          <w:rFonts w:ascii="Garamond" w:hAnsi="Garamond" w:cs="Arial"/>
          <w:sz w:val="24"/>
          <w:szCs w:val="24"/>
        </w:rPr>
        <w:t xml:space="preserve">ao </w:t>
      </w:r>
      <w:r w:rsidR="00383B3F" w:rsidRPr="003A1174">
        <w:rPr>
          <w:rFonts w:ascii="Garamond" w:hAnsi="Garamond" w:cs="Arial"/>
          <w:sz w:val="24"/>
          <w:szCs w:val="24"/>
        </w:rPr>
        <w:t>Art.</w:t>
      </w:r>
      <w:r w:rsidR="00F92EC2" w:rsidRPr="003A1174">
        <w:rPr>
          <w:rFonts w:ascii="Garamond" w:hAnsi="Garamond" w:cs="Arial"/>
          <w:sz w:val="24"/>
          <w:szCs w:val="24"/>
        </w:rPr>
        <w:t xml:space="preserve"> 27 u</w:t>
      </w:r>
      <w:r w:rsidRPr="003A1174">
        <w:rPr>
          <w:rFonts w:ascii="Garamond" w:hAnsi="Garamond" w:cs="Arial"/>
          <w:sz w:val="24"/>
          <w:szCs w:val="24"/>
        </w:rPr>
        <w:t>m</w:t>
      </w:r>
      <w:r w:rsidR="004F03CF">
        <w:rPr>
          <w:rFonts w:ascii="Garamond" w:hAnsi="Garamond" w:cs="Arial"/>
          <w:sz w:val="24"/>
          <w:szCs w:val="24"/>
        </w:rPr>
        <w:t>a</w:t>
      </w:r>
      <w:r w:rsidRPr="003A1174">
        <w:rPr>
          <w:rFonts w:ascii="Garamond" w:hAnsi="Garamond" w:cs="Arial"/>
          <w:sz w:val="24"/>
          <w:szCs w:val="24"/>
        </w:rPr>
        <w:t xml:space="preserve"> </w:t>
      </w:r>
      <w:r w:rsidR="00F92EC2" w:rsidRPr="003A1174">
        <w:rPr>
          <w:rFonts w:ascii="Garamond" w:hAnsi="Garamond" w:cs="Arial"/>
          <w:sz w:val="24"/>
          <w:szCs w:val="24"/>
        </w:rPr>
        <w:t>agravante</w:t>
      </w:r>
      <w:r w:rsidR="003A2CD0">
        <w:rPr>
          <w:rFonts w:ascii="Garamond" w:hAnsi="Garamond" w:cs="Arial"/>
          <w:sz w:val="24"/>
          <w:szCs w:val="24"/>
        </w:rPr>
        <w:t>,</w:t>
      </w:r>
      <w:r w:rsidR="00F92EC2" w:rsidRPr="003A1174">
        <w:rPr>
          <w:rFonts w:ascii="Garamond" w:hAnsi="Garamond" w:cs="Arial"/>
          <w:sz w:val="24"/>
          <w:szCs w:val="24"/>
        </w:rPr>
        <w:t xml:space="preserve"> </w:t>
      </w:r>
      <w:r w:rsidR="008208DF" w:rsidRPr="003A1174">
        <w:rPr>
          <w:rFonts w:ascii="Garamond" w:hAnsi="Garamond" w:cs="Arial"/>
          <w:sz w:val="24"/>
          <w:szCs w:val="24"/>
        </w:rPr>
        <w:t xml:space="preserve">que </w:t>
      </w:r>
      <w:r w:rsidR="00F92EC2" w:rsidRPr="003A1174">
        <w:rPr>
          <w:rFonts w:ascii="Garamond" w:hAnsi="Garamond" w:cs="Arial"/>
          <w:sz w:val="24"/>
          <w:szCs w:val="24"/>
        </w:rPr>
        <w:t>consiste e</w:t>
      </w:r>
      <w:r w:rsidRPr="003A1174">
        <w:rPr>
          <w:rFonts w:ascii="Garamond" w:hAnsi="Garamond" w:cs="Arial"/>
          <w:sz w:val="24"/>
          <w:szCs w:val="24"/>
        </w:rPr>
        <w:t>m</w:t>
      </w:r>
      <w:r w:rsidR="00F92EC2" w:rsidRPr="003A1174">
        <w:rPr>
          <w:rFonts w:ascii="Garamond" w:hAnsi="Garamond" w:cs="Arial"/>
          <w:sz w:val="24"/>
          <w:szCs w:val="24"/>
        </w:rPr>
        <w:t xml:space="preserve"> </w:t>
      </w:r>
      <w:r w:rsidR="002720C5">
        <w:rPr>
          <w:rFonts w:ascii="Garamond" w:hAnsi="Garamond" w:cs="Arial"/>
          <w:sz w:val="24"/>
          <w:szCs w:val="24"/>
        </w:rPr>
        <w:t>«</w:t>
      </w:r>
      <w:r w:rsidR="00F92EC2" w:rsidRPr="003A1174">
        <w:rPr>
          <w:rStyle w:val="nfasis"/>
          <w:rFonts w:ascii="Garamond" w:hAnsi="Garamond" w:cs="Arial"/>
          <w:i w:val="0"/>
          <w:sz w:val="24"/>
          <w:szCs w:val="24"/>
        </w:rPr>
        <w:t xml:space="preserve">Cometer </w:t>
      </w:r>
      <w:r w:rsidRPr="003A1174">
        <w:rPr>
          <w:rStyle w:val="nfasis"/>
          <w:rFonts w:ascii="Garamond" w:hAnsi="Garamond" w:cs="Arial"/>
          <w:i w:val="0"/>
          <w:sz w:val="24"/>
          <w:szCs w:val="24"/>
        </w:rPr>
        <w:t xml:space="preserve">o </w:t>
      </w:r>
      <w:r w:rsidR="00F92EC2" w:rsidRPr="003A1174">
        <w:rPr>
          <w:rStyle w:val="nfasis"/>
          <w:rFonts w:ascii="Garamond" w:hAnsi="Garamond" w:cs="Arial"/>
          <w:i w:val="0"/>
          <w:sz w:val="24"/>
          <w:szCs w:val="24"/>
        </w:rPr>
        <w:t>delito co</w:t>
      </w:r>
      <w:r w:rsidRPr="003A1174">
        <w:rPr>
          <w:rStyle w:val="nfasis"/>
          <w:rFonts w:ascii="Garamond" w:hAnsi="Garamond" w:cs="Arial"/>
          <w:i w:val="0"/>
          <w:sz w:val="24"/>
          <w:szCs w:val="24"/>
        </w:rPr>
        <w:t>m ó</w:t>
      </w:r>
      <w:r w:rsidR="00F92EC2" w:rsidRPr="003A1174">
        <w:rPr>
          <w:rStyle w:val="nfasis"/>
          <w:rFonts w:ascii="Garamond" w:hAnsi="Garamond" w:cs="Arial"/>
          <w:i w:val="0"/>
          <w:sz w:val="24"/>
          <w:szCs w:val="24"/>
        </w:rPr>
        <w:t>dio o</w:t>
      </w:r>
      <w:r w:rsidRPr="003A1174">
        <w:rPr>
          <w:rStyle w:val="nfasis"/>
          <w:rFonts w:ascii="Garamond" w:hAnsi="Garamond" w:cs="Arial"/>
          <w:i w:val="0"/>
          <w:sz w:val="24"/>
          <w:szCs w:val="24"/>
        </w:rPr>
        <w:t>u</w:t>
      </w:r>
      <w:r w:rsidR="00F92EC2" w:rsidRPr="003A1174">
        <w:rPr>
          <w:rStyle w:val="nfasis"/>
          <w:rFonts w:ascii="Garamond" w:hAnsi="Garamond" w:cs="Arial"/>
          <w:i w:val="0"/>
          <w:sz w:val="24"/>
          <w:szCs w:val="24"/>
        </w:rPr>
        <w:t xml:space="preserve"> despre</w:t>
      </w:r>
      <w:r w:rsidRPr="003A1174">
        <w:rPr>
          <w:rStyle w:val="nfasis"/>
          <w:rFonts w:ascii="Garamond" w:hAnsi="Garamond" w:cs="Arial"/>
          <w:i w:val="0"/>
          <w:sz w:val="24"/>
          <w:szCs w:val="24"/>
        </w:rPr>
        <w:t>z</w:t>
      </w:r>
      <w:r w:rsidR="00F92EC2" w:rsidRPr="003A1174">
        <w:rPr>
          <w:rStyle w:val="nfasis"/>
          <w:rFonts w:ascii="Garamond" w:hAnsi="Garamond" w:cs="Arial"/>
          <w:i w:val="0"/>
          <w:sz w:val="24"/>
          <w:szCs w:val="24"/>
        </w:rPr>
        <w:t xml:space="preserve">o </w:t>
      </w:r>
      <w:r w:rsidRPr="003A1174">
        <w:rPr>
          <w:rStyle w:val="nfasis"/>
          <w:rFonts w:ascii="Garamond" w:hAnsi="Garamond" w:cs="Arial"/>
          <w:i w:val="0"/>
          <w:sz w:val="24"/>
          <w:szCs w:val="24"/>
        </w:rPr>
        <w:t>por r</w:t>
      </w:r>
      <w:r w:rsidR="004E3A1A" w:rsidRPr="003A1174">
        <w:rPr>
          <w:rStyle w:val="nfasis"/>
          <w:rFonts w:ascii="Garamond" w:hAnsi="Garamond" w:cs="Arial"/>
          <w:i w:val="0"/>
          <w:sz w:val="24"/>
          <w:szCs w:val="24"/>
        </w:rPr>
        <w:t>az</w:t>
      </w:r>
      <w:r w:rsidRPr="003A1174">
        <w:rPr>
          <w:rStyle w:val="nfasis"/>
          <w:rFonts w:ascii="Garamond" w:hAnsi="Garamond" w:cs="Arial"/>
          <w:i w:val="0"/>
          <w:sz w:val="24"/>
          <w:szCs w:val="24"/>
        </w:rPr>
        <w:t xml:space="preserve">ões de </w:t>
      </w:r>
      <w:r w:rsidR="00F92EC2" w:rsidRPr="003A1174">
        <w:rPr>
          <w:rStyle w:val="nfasis"/>
          <w:rFonts w:ascii="Garamond" w:hAnsi="Garamond" w:cs="Arial"/>
          <w:i w:val="0"/>
          <w:sz w:val="24"/>
          <w:szCs w:val="24"/>
        </w:rPr>
        <w:t>sexo, género, religi</w:t>
      </w:r>
      <w:r w:rsidRPr="003A1174">
        <w:rPr>
          <w:rStyle w:val="nfasis"/>
          <w:rFonts w:ascii="Garamond" w:hAnsi="Garamond" w:cs="Arial"/>
          <w:i w:val="0"/>
          <w:sz w:val="24"/>
          <w:szCs w:val="24"/>
        </w:rPr>
        <w:t>ão</w:t>
      </w:r>
      <w:r w:rsidR="00F92EC2" w:rsidRPr="003A1174">
        <w:rPr>
          <w:rStyle w:val="nfasis"/>
          <w:rFonts w:ascii="Garamond" w:hAnsi="Garamond" w:cs="Arial"/>
          <w:i w:val="0"/>
          <w:sz w:val="24"/>
          <w:szCs w:val="24"/>
        </w:rPr>
        <w:t>, orige</w:t>
      </w:r>
      <w:r w:rsidRPr="003A1174">
        <w:rPr>
          <w:rStyle w:val="nfasis"/>
          <w:rFonts w:ascii="Garamond" w:hAnsi="Garamond" w:cs="Arial"/>
          <w:i w:val="0"/>
          <w:sz w:val="24"/>
          <w:szCs w:val="24"/>
        </w:rPr>
        <w:t>m</w:t>
      </w:r>
      <w:r w:rsidR="00F92EC2" w:rsidRPr="003A1174">
        <w:rPr>
          <w:rStyle w:val="nfasis"/>
          <w:rFonts w:ascii="Garamond" w:hAnsi="Garamond" w:cs="Arial"/>
          <w:i w:val="0"/>
          <w:sz w:val="24"/>
          <w:szCs w:val="24"/>
        </w:rPr>
        <w:t xml:space="preserve"> nacional, </w:t>
      </w:r>
      <w:r w:rsidR="00BA3CCE" w:rsidRPr="003A1174">
        <w:rPr>
          <w:rStyle w:val="nfasis"/>
          <w:rFonts w:ascii="Garamond" w:hAnsi="Garamond" w:cs="Arial"/>
          <w:i w:val="0"/>
          <w:sz w:val="24"/>
          <w:szCs w:val="24"/>
        </w:rPr>
        <w:t>pertença</w:t>
      </w:r>
      <w:r w:rsidR="00F92EC2" w:rsidRPr="003A1174">
        <w:rPr>
          <w:rStyle w:val="nfasis"/>
          <w:rFonts w:ascii="Garamond" w:hAnsi="Garamond" w:cs="Arial"/>
          <w:i w:val="0"/>
          <w:sz w:val="24"/>
          <w:szCs w:val="24"/>
        </w:rPr>
        <w:t xml:space="preserve"> a p</w:t>
      </w:r>
      <w:r w:rsidRPr="003A1174">
        <w:rPr>
          <w:rStyle w:val="nfasis"/>
          <w:rFonts w:ascii="Garamond" w:hAnsi="Garamond" w:cs="Arial"/>
          <w:i w:val="0"/>
          <w:sz w:val="24"/>
          <w:szCs w:val="24"/>
        </w:rPr>
        <w:t>ovos</w:t>
      </w:r>
      <w:r w:rsidR="00F92EC2" w:rsidRPr="003A1174">
        <w:rPr>
          <w:rStyle w:val="nfasis"/>
          <w:rFonts w:ascii="Garamond" w:hAnsi="Garamond" w:cs="Arial"/>
          <w:i w:val="0"/>
          <w:sz w:val="24"/>
          <w:szCs w:val="24"/>
        </w:rPr>
        <w:t xml:space="preserve"> indígenas </w:t>
      </w:r>
      <w:r w:rsidR="00497503" w:rsidRPr="003A1174">
        <w:rPr>
          <w:rStyle w:val="nfasis"/>
          <w:rFonts w:ascii="Garamond" w:hAnsi="Garamond" w:cs="Arial"/>
          <w:i w:val="0"/>
          <w:sz w:val="24"/>
          <w:szCs w:val="24"/>
        </w:rPr>
        <w:t>e</w:t>
      </w:r>
      <w:r w:rsidR="00F92EC2" w:rsidRPr="003A1174">
        <w:rPr>
          <w:rStyle w:val="nfasis"/>
          <w:rFonts w:ascii="Garamond" w:hAnsi="Garamond" w:cs="Arial"/>
          <w:i w:val="0"/>
          <w:sz w:val="24"/>
          <w:szCs w:val="24"/>
        </w:rPr>
        <w:t xml:space="preserve"> afro</w:t>
      </w:r>
      <w:r w:rsidRPr="003A1174">
        <w:rPr>
          <w:rStyle w:val="nfasis"/>
          <w:rFonts w:ascii="Garamond" w:hAnsi="Garamond" w:cs="Arial"/>
          <w:i w:val="0"/>
          <w:sz w:val="24"/>
          <w:szCs w:val="24"/>
        </w:rPr>
        <w:t>-</w:t>
      </w:r>
      <w:r w:rsidR="00F92EC2" w:rsidRPr="003A1174">
        <w:rPr>
          <w:rStyle w:val="nfasis"/>
          <w:rFonts w:ascii="Garamond" w:hAnsi="Garamond" w:cs="Arial"/>
          <w:i w:val="0"/>
          <w:sz w:val="24"/>
          <w:szCs w:val="24"/>
        </w:rPr>
        <w:t>hondure</w:t>
      </w:r>
      <w:r w:rsidRPr="003A1174">
        <w:rPr>
          <w:rStyle w:val="nfasis"/>
          <w:rFonts w:ascii="Garamond" w:hAnsi="Garamond" w:cs="Arial"/>
          <w:i w:val="0"/>
          <w:sz w:val="24"/>
          <w:szCs w:val="24"/>
        </w:rPr>
        <w:t>nh</w:t>
      </w:r>
      <w:r w:rsidR="00F92EC2" w:rsidRPr="003A1174">
        <w:rPr>
          <w:rStyle w:val="nfasis"/>
          <w:rFonts w:ascii="Garamond" w:hAnsi="Garamond" w:cs="Arial"/>
          <w:i w:val="0"/>
          <w:sz w:val="24"/>
          <w:szCs w:val="24"/>
        </w:rPr>
        <w:t xml:space="preserve">os, </w:t>
      </w:r>
      <w:r w:rsidR="00081B57" w:rsidRPr="003A1174">
        <w:rPr>
          <w:rStyle w:val="nfasis"/>
          <w:rFonts w:ascii="Garamond" w:hAnsi="Garamond" w:cs="Arial"/>
          <w:i w:val="0"/>
          <w:sz w:val="24"/>
          <w:szCs w:val="24"/>
        </w:rPr>
        <w:t>orientação</w:t>
      </w:r>
      <w:r w:rsidR="00F92EC2" w:rsidRPr="003A1174">
        <w:rPr>
          <w:rStyle w:val="nfasis"/>
          <w:rFonts w:ascii="Garamond" w:hAnsi="Garamond" w:cs="Arial"/>
          <w:i w:val="0"/>
          <w:sz w:val="24"/>
          <w:szCs w:val="24"/>
        </w:rPr>
        <w:t xml:space="preserve"> sexual o</w:t>
      </w:r>
      <w:r w:rsidRPr="003A1174">
        <w:rPr>
          <w:rStyle w:val="nfasis"/>
          <w:rFonts w:ascii="Garamond" w:hAnsi="Garamond" w:cs="Arial"/>
          <w:i w:val="0"/>
          <w:sz w:val="24"/>
          <w:szCs w:val="24"/>
        </w:rPr>
        <w:t>u</w:t>
      </w:r>
      <w:r w:rsidR="00F92EC2" w:rsidRPr="003A1174">
        <w:rPr>
          <w:rStyle w:val="nfasis"/>
          <w:rFonts w:ascii="Garamond" w:hAnsi="Garamond" w:cs="Arial"/>
          <w:i w:val="0"/>
          <w:sz w:val="24"/>
          <w:szCs w:val="24"/>
        </w:rPr>
        <w:t xml:space="preserve"> </w:t>
      </w:r>
      <w:r w:rsidR="007C44AC" w:rsidRPr="003A1174">
        <w:rPr>
          <w:rStyle w:val="nfasis"/>
          <w:rFonts w:ascii="Garamond" w:hAnsi="Garamond" w:cs="Arial"/>
          <w:i w:val="0"/>
          <w:sz w:val="24"/>
          <w:szCs w:val="24"/>
        </w:rPr>
        <w:t>identidade</w:t>
      </w:r>
      <w:r w:rsidR="00F92EC2" w:rsidRPr="003A1174">
        <w:rPr>
          <w:rStyle w:val="nfasis"/>
          <w:rFonts w:ascii="Garamond" w:hAnsi="Garamond" w:cs="Arial"/>
          <w:i w:val="0"/>
          <w:sz w:val="24"/>
          <w:szCs w:val="24"/>
        </w:rPr>
        <w:t xml:space="preserve"> de género</w:t>
      </w:r>
      <w:r w:rsidR="00F92EC2" w:rsidRPr="003A1174">
        <w:rPr>
          <w:rStyle w:val="nfasis"/>
          <w:rFonts w:ascii="Garamond" w:hAnsi="Garamond" w:cs="Arial"/>
          <w:sz w:val="24"/>
          <w:szCs w:val="24"/>
        </w:rPr>
        <w:t xml:space="preserve">, </w:t>
      </w:r>
      <w:r w:rsidR="007342D9" w:rsidRPr="003A1174">
        <w:rPr>
          <w:rStyle w:val="nfasis"/>
          <w:rFonts w:ascii="Garamond" w:hAnsi="Garamond" w:cs="Arial"/>
          <w:i w:val="0"/>
          <w:sz w:val="24"/>
          <w:szCs w:val="24"/>
        </w:rPr>
        <w:t>idade</w:t>
      </w:r>
      <w:r w:rsidR="00F92EC2" w:rsidRPr="003A1174">
        <w:rPr>
          <w:rStyle w:val="nfasis"/>
          <w:rFonts w:ascii="Garamond" w:hAnsi="Garamond" w:cs="Arial"/>
          <w:i w:val="0"/>
          <w:sz w:val="24"/>
          <w:szCs w:val="24"/>
        </w:rPr>
        <w:t>, estado civil o</w:t>
      </w:r>
      <w:r w:rsidRPr="003A1174">
        <w:rPr>
          <w:rStyle w:val="nfasis"/>
          <w:rFonts w:ascii="Garamond" w:hAnsi="Garamond" w:cs="Arial"/>
          <w:i w:val="0"/>
          <w:sz w:val="24"/>
          <w:szCs w:val="24"/>
        </w:rPr>
        <w:t>u</w:t>
      </w:r>
      <w:r w:rsidR="00F92EC2" w:rsidRPr="003A1174">
        <w:rPr>
          <w:rStyle w:val="nfasis"/>
          <w:rFonts w:ascii="Garamond" w:hAnsi="Garamond" w:cs="Arial"/>
          <w:i w:val="0"/>
          <w:sz w:val="24"/>
          <w:szCs w:val="24"/>
        </w:rPr>
        <w:t xml:space="preserve"> </w:t>
      </w:r>
      <w:r w:rsidR="007A2492" w:rsidRPr="003A1174">
        <w:rPr>
          <w:rStyle w:val="nfasis"/>
          <w:rFonts w:ascii="Garamond" w:hAnsi="Garamond" w:cs="Arial"/>
          <w:i w:val="0"/>
          <w:sz w:val="24"/>
          <w:szCs w:val="24"/>
        </w:rPr>
        <w:t>incapacidade</w:t>
      </w:r>
      <w:r w:rsidRPr="003A1174">
        <w:rPr>
          <w:rStyle w:val="nfasis"/>
          <w:rFonts w:ascii="Garamond" w:hAnsi="Garamond" w:cs="Arial"/>
          <w:i w:val="0"/>
          <w:sz w:val="24"/>
          <w:szCs w:val="24"/>
        </w:rPr>
        <w:t>, ideologi</w:t>
      </w:r>
      <w:r w:rsidR="00F92EC2" w:rsidRPr="003A1174">
        <w:rPr>
          <w:rStyle w:val="nfasis"/>
          <w:rFonts w:ascii="Garamond" w:hAnsi="Garamond" w:cs="Arial"/>
          <w:i w:val="0"/>
          <w:sz w:val="24"/>
          <w:szCs w:val="24"/>
        </w:rPr>
        <w:t xml:space="preserve">a </w:t>
      </w:r>
      <w:r w:rsidRPr="003A1174">
        <w:rPr>
          <w:rStyle w:val="nfasis"/>
          <w:rFonts w:ascii="Garamond" w:hAnsi="Garamond" w:cs="Arial"/>
          <w:i w:val="0"/>
          <w:sz w:val="24"/>
          <w:szCs w:val="24"/>
        </w:rPr>
        <w:t>o</w:t>
      </w:r>
      <w:r w:rsidR="00F92EC2" w:rsidRPr="003A1174">
        <w:rPr>
          <w:rStyle w:val="nfasis"/>
          <w:rFonts w:ascii="Garamond" w:hAnsi="Garamond" w:cs="Arial"/>
          <w:i w:val="0"/>
          <w:sz w:val="24"/>
          <w:szCs w:val="24"/>
        </w:rPr>
        <w:t xml:space="preserve">u </w:t>
      </w:r>
      <w:r w:rsidR="008537B6" w:rsidRPr="003A1174">
        <w:rPr>
          <w:rStyle w:val="nfasis"/>
          <w:rFonts w:ascii="Garamond" w:hAnsi="Garamond" w:cs="Arial"/>
          <w:i w:val="0"/>
          <w:sz w:val="24"/>
          <w:szCs w:val="24"/>
        </w:rPr>
        <w:t>opinião</w:t>
      </w:r>
      <w:r w:rsidRPr="003A1174">
        <w:rPr>
          <w:rStyle w:val="nfasis"/>
          <w:rFonts w:ascii="Garamond" w:hAnsi="Garamond" w:cs="Arial"/>
          <w:i w:val="0"/>
          <w:sz w:val="24"/>
          <w:szCs w:val="24"/>
        </w:rPr>
        <w:t xml:space="preserve"> política d</w:t>
      </w:r>
      <w:r w:rsidR="00F92EC2" w:rsidRPr="003A1174">
        <w:rPr>
          <w:rStyle w:val="nfasis"/>
          <w:rFonts w:ascii="Garamond" w:hAnsi="Garamond" w:cs="Arial"/>
          <w:i w:val="0"/>
          <w:sz w:val="24"/>
          <w:szCs w:val="24"/>
        </w:rPr>
        <w:t xml:space="preserve">a </w:t>
      </w:r>
      <w:r w:rsidR="003F012B" w:rsidRPr="003A1174">
        <w:rPr>
          <w:rStyle w:val="nfasis"/>
          <w:rFonts w:ascii="Garamond" w:hAnsi="Garamond" w:cs="Arial"/>
          <w:i w:val="0"/>
          <w:sz w:val="24"/>
          <w:szCs w:val="24"/>
        </w:rPr>
        <w:t>vítima</w:t>
      </w:r>
      <w:r w:rsidR="002720C5">
        <w:rPr>
          <w:rStyle w:val="nfasis"/>
          <w:rFonts w:ascii="Garamond" w:hAnsi="Garamond" w:cs="Arial"/>
          <w:i w:val="0"/>
          <w:sz w:val="24"/>
          <w:szCs w:val="24"/>
        </w:rPr>
        <w:t>»</w:t>
      </w:r>
      <w:r w:rsidR="00F92EC2" w:rsidRPr="003A1174">
        <w:rPr>
          <w:rFonts w:ascii="Garamond" w:hAnsi="Garamond" w:cs="Arial"/>
          <w:i/>
          <w:sz w:val="24"/>
          <w:szCs w:val="24"/>
        </w:rPr>
        <w:t xml:space="preserve">. </w:t>
      </w:r>
      <w:r w:rsidRPr="003A1174">
        <w:rPr>
          <w:rFonts w:ascii="Garamond" w:hAnsi="Garamond" w:cs="Arial"/>
          <w:sz w:val="24"/>
          <w:szCs w:val="24"/>
        </w:rPr>
        <w:t xml:space="preserve">Também, </w:t>
      </w:r>
      <w:r w:rsidR="00F92EC2" w:rsidRPr="003A1174">
        <w:rPr>
          <w:rFonts w:ascii="Garamond" w:hAnsi="Garamond" w:cs="Arial"/>
          <w:sz w:val="24"/>
          <w:szCs w:val="24"/>
        </w:rPr>
        <w:t xml:space="preserve">a </w:t>
      </w:r>
      <w:r w:rsidR="003A2CD0">
        <w:rPr>
          <w:rFonts w:ascii="Garamond" w:hAnsi="Garamond" w:cs="Arial"/>
          <w:sz w:val="24"/>
          <w:szCs w:val="24"/>
        </w:rPr>
        <w:t xml:space="preserve">alteração </w:t>
      </w:r>
      <w:r w:rsidR="00F92EC2" w:rsidRPr="003A1174">
        <w:rPr>
          <w:rFonts w:ascii="Garamond" w:hAnsi="Garamond" w:cs="Arial"/>
          <w:sz w:val="24"/>
          <w:szCs w:val="24"/>
        </w:rPr>
        <w:t>a</w:t>
      </w:r>
      <w:r w:rsidRPr="003A1174">
        <w:rPr>
          <w:rFonts w:ascii="Garamond" w:hAnsi="Garamond" w:cs="Arial"/>
          <w:sz w:val="24"/>
          <w:szCs w:val="24"/>
        </w:rPr>
        <w:t>o</w:t>
      </w:r>
      <w:r w:rsidR="00F92EC2" w:rsidRPr="003A1174">
        <w:rPr>
          <w:rFonts w:ascii="Garamond" w:hAnsi="Garamond" w:cs="Arial"/>
          <w:sz w:val="24"/>
          <w:szCs w:val="24"/>
        </w:rPr>
        <w:t xml:space="preserve"> </w:t>
      </w:r>
      <w:r w:rsidR="00383B3F" w:rsidRPr="003A1174">
        <w:rPr>
          <w:rFonts w:ascii="Garamond" w:hAnsi="Garamond" w:cs="Arial"/>
          <w:sz w:val="24"/>
          <w:szCs w:val="24"/>
        </w:rPr>
        <w:t>Art.</w:t>
      </w:r>
      <w:r w:rsidR="00F92EC2" w:rsidRPr="003A1174">
        <w:rPr>
          <w:rFonts w:ascii="Garamond" w:hAnsi="Garamond" w:cs="Arial"/>
          <w:sz w:val="24"/>
          <w:szCs w:val="24"/>
        </w:rPr>
        <w:t xml:space="preserve"> 321 </w:t>
      </w:r>
      <w:r w:rsidR="008A3DA2" w:rsidRPr="003A1174">
        <w:rPr>
          <w:rFonts w:ascii="Garamond" w:hAnsi="Garamond" w:cs="Arial"/>
          <w:sz w:val="24"/>
          <w:szCs w:val="24"/>
        </w:rPr>
        <w:t>do</w:t>
      </w:r>
      <w:r w:rsidR="00F92EC2" w:rsidRPr="003A1174">
        <w:rPr>
          <w:rFonts w:ascii="Garamond" w:hAnsi="Garamond" w:cs="Arial"/>
          <w:sz w:val="24"/>
          <w:szCs w:val="24"/>
        </w:rPr>
        <w:t xml:space="preserve"> Código Penal e</w:t>
      </w:r>
      <w:r w:rsidRPr="003A1174">
        <w:rPr>
          <w:rFonts w:ascii="Garamond" w:hAnsi="Garamond" w:cs="Arial"/>
          <w:sz w:val="24"/>
          <w:szCs w:val="24"/>
        </w:rPr>
        <w:t>m</w:t>
      </w:r>
      <w:r w:rsidR="00F92EC2" w:rsidRPr="003A1174">
        <w:rPr>
          <w:rFonts w:ascii="Garamond" w:hAnsi="Garamond" w:cs="Arial"/>
          <w:sz w:val="24"/>
          <w:szCs w:val="24"/>
        </w:rPr>
        <w:t xml:space="preserve"> </w:t>
      </w:r>
      <w:r w:rsidR="00152A44" w:rsidRPr="003A1174">
        <w:rPr>
          <w:rFonts w:ascii="Garamond" w:hAnsi="Garamond" w:cs="Arial"/>
          <w:sz w:val="24"/>
          <w:szCs w:val="24"/>
        </w:rPr>
        <w:t>relação</w:t>
      </w:r>
      <w:r w:rsidR="00F92EC2" w:rsidRPr="003A1174">
        <w:rPr>
          <w:rFonts w:ascii="Garamond" w:hAnsi="Garamond" w:cs="Arial"/>
          <w:sz w:val="24"/>
          <w:szCs w:val="24"/>
        </w:rPr>
        <w:t xml:space="preserve"> a</w:t>
      </w:r>
      <w:r w:rsidRPr="003A1174">
        <w:rPr>
          <w:rFonts w:ascii="Garamond" w:hAnsi="Garamond" w:cs="Arial"/>
          <w:sz w:val="24"/>
          <w:szCs w:val="24"/>
        </w:rPr>
        <w:t>o</w:t>
      </w:r>
      <w:r w:rsidR="00F92EC2" w:rsidRPr="003A1174">
        <w:rPr>
          <w:rFonts w:ascii="Garamond" w:hAnsi="Garamond" w:cs="Arial"/>
          <w:sz w:val="24"/>
          <w:szCs w:val="24"/>
        </w:rPr>
        <w:t xml:space="preserve"> delito de </w:t>
      </w:r>
      <w:r w:rsidR="0017447A" w:rsidRPr="003A1174">
        <w:rPr>
          <w:rFonts w:ascii="Garamond" w:hAnsi="Garamond" w:cs="Arial"/>
          <w:sz w:val="24"/>
          <w:szCs w:val="24"/>
        </w:rPr>
        <w:t>discriminação</w:t>
      </w:r>
      <w:r w:rsidR="008208DF" w:rsidRPr="003A1174">
        <w:rPr>
          <w:rFonts w:ascii="Garamond" w:hAnsi="Garamond" w:cs="Arial"/>
          <w:sz w:val="24"/>
          <w:szCs w:val="24"/>
        </w:rPr>
        <w:t>,</w:t>
      </w:r>
      <w:r w:rsidR="00F92EC2" w:rsidRPr="003A1174">
        <w:rPr>
          <w:rFonts w:ascii="Garamond" w:hAnsi="Garamond" w:cs="Arial"/>
          <w:sz w:val="24"/>
          <w:szCs w:val="24"/>
        </w:rPr>
        <w:t xml:space="preserve"> </w:t>
      </w:r>
      <w:r w:rsidR="00863197" w:rsidRPr="003A1174">
        <w:rPr>
          <w:rFonts w:ascii="Garamond" w:hAnsi="Garamond" w:cs="Arial"/>
          <w:sz w:val="24"/>
          <w:szCs w:val="24"/>
        </w:rPr>
        <w:t>quando</w:t>
      </w:r>
      <w:r w:rsidR="00F92EC2" w:rsidRPr="003A1174">
        <w:rPr>
          <w:rFonts w:ascii="Garamond" w:hAnsi="Garamond" w:cs="Arial"/>
          <w:sz w:val="24"/>
          <w:szCs w:val="24"/>
        </w:rPr>
        <w:t xml:space="preserve"> </w:t>
      </w:r>
      <w:r w:rsidR="00100435" w:rsidRPr="003A1174">
        <w:rPr>
          <w:rFonts w:ascii="Garamond" w:hAnsi="Garamond" w:cs="Arial"/>
          <w:sz w:val="24"/>
          <w:szCs w:val="24"/>
        </w:rPr>
        <w:t>arbitrária</w:t>
      </w:r>
      <w:r w:rsidR="00F92EC2" w:rsidRPr="003A1174">
        <w:rPr>
          <w:rFonts w:ascii="Garamond" w:hAnsi="Garamond" w:cs="Arial"/>
          <w:sz w:val="24"/>
          <w:szCs w:val="24"/>
        </w:rPr>
        <w:t xml:space="preserve"> e ilegalmente se obstrua, restrinja, </w:t>
      </w:r>
      <w:r w:rsidR="00BA3CCE" w:rsidRPr="003A1174">
        <w:rPr>
          <w:rFonts w:ascii="Garamond" w:hAnsi="Garamond" w:cs="Arial"/>
          <w:sz w:val="24"/>
          <w:szCs w:val="24"/>
        </w:rPr>
        <w:t>diminua</w:t>
      </w:r>
      <w:r w:rsidR="00F92EC2" w:rsidRPr="003A1174">
        <w:rPr>
          <w:rFonts w:ascii="Garamond" w:hAnsi="Garamond" w:cs="Arial"/>
          <w:sz w:val="24"/>
          <w:szCs w:val="24"/>
        </w:rPr>
        <w:t>, imp</w:t>
      </w:r>
      <w:r w:rsidRPr="003A1174">
        <w:rPr>
          <w:rFonts w:ascii="Garamond" w:hAnsi="Garamond" w:cs="Arial"/>
          <w:sz w:val="24"/>
          <w:szCs w:val="24"/>
        </w:rPr>
        <w:t>eç</w:t>
      </w:r>
      <w:r w:rsidR="00F92EC2" w:rsidRPr="003A1174">
        <w:rPr>
          <w:rFonts w:ascii="Garamond" w:hAnsi="Garamond" w:cs="Arial"/>
          <w:sz w:val="24"/>
          <w:szCs w:val="24"/>
        </w:rPr>
        <w:t>a o</w:t>
      </w:r>
      <w:r w:rsidRPr="003A1174">
        <w:rPr>
          <w:rFonts w:ascii="Garamond" w:hAnsi="Garamond" w:cs="Arial"/>
          <w:sz w:val="24"/>
          <w:szCs w:val="24"/>
        </w:rPr>
        <w:t>u</w:t>
      </w:r>
      <w:r w:rsidR="00F92EC2" w:rsidRPr="003A1174">
        <w:rPr>
          <w:rFonts w:ascii="Garamond" w:hAnsi="Garamond" w:cs="Arial"/>
          <w:sz w:val="24"/>
          <w:szCs w:val="24"/>
        </w:rPr>
        <w:t xml:space="preserve"> anule </w:t>
      </w:r>
      <w:r w:rsidRPr="003A1174">
        <w:rPr>
          <w:rFonts w:ascii="Garamond" w:hAnsi="Garamond" w:cs="Arial"/>
          <w:sz w:val="24"/>
          <w:szCs w:val="24"/>
        </w:rPr>
        <w:t xml:space="preserve">o </w:t>
      </w:r>
      <w:r w:rsidR="00731B19" w:rsidRPr="003A1174">
        <w:rPr>
          <w:rFonts w:ascii="Garamond" w:hAnsi="Garamond" w:cs="Arial"/>
          <w:sz w:val="24"/>
          <w:szCs w:val="24"/>
        </w:rPr>
        <w:t>exercício</w:t>
      </w:r>
      <w:r w:rsidR="00F92EC2" w:rsidRPr="003A1174">
        <w:rPr>
          <w:rFonts w:ascii="Garamond" w:hAnsi="Garamond" w:cs="Arial"/>
          <w:sz w:val="24"/>
          <w:szCs w:val="24"/>
        </w:rPr>
        <w:t xml:space="preserve"> </w:t>
      </w:r>
      <w:r w:rsidR="00497503" w:rsidRPr="003A1174">
        <w:rPr>
          <w:rFonts w:ascii="Garamond" w:hAnsi="Garamond" w:cs="Arial"/>
          <w:sz w:val="24"/>
          <w:szCs w:val="24"/>
        </w:rPr>
        <w:t>dos</w:t>
      </w:r>
      <w:r w:rsidR="00F92EC2" w:rsidRPr="003A1174">
        <w:rPr>
          <w:rFonts w:ascii="Garamond" w:hAnsi="Garamond" w:cs="Arial"/>
          <w:sz w:val="24"/>
          <w:szCs w:val="24"/>
        </w:rPr>
        <w:t xml:space="preserve"> </w:t>
      </w:r>
      <w:r w:rsidR="00886D6A" w:rsidRPr="003A1174">
        <w:rPr>
          <w:rFonts w:ascii="Garamond" w:hAnsi="Garamond" w:cs="Arial"/>
          <w:sz w:val="24"/>
          <w:szCs w:val="24"/>
        </w:rPr>
        <w:t>direito</w:t>
      </w:r>
      <w:r w:rsidR="00F92EC2" w:rsidRPr="003A1174">
        <w:rPr>
          <w:rFonts w:ascii="Garamond" w:hAnsi="Garamond" w:cs="Arial"/>
          <w:sz w:val="24"/>
          <w:szCs w:val="24"/>
        </w:rPr>
        <w:t xml:space="preserve">s </w:t>
      </w:r>
      <w:r w:rsidRPr="003A1174">
        <w:rPr>
          <w:rFonts w:ascii="Garamond" w:hAnsi="Garamond" w:cs="Arial"/>
          <w:sz w:val="24"/>
          <w:szCs w:val="24"/>
        </w:rPr>
        <w:t>individuais</w:t>
      </w:r>
      <w:r w:rsidR="00F92EC2" w:rsidRPr="003A1174">
        <w:rPr>
          <w:rFonts w:ascii="Garamond" w:hAnsi="Garamond" w:cs="Arial"/>
          <w:sz w:val="24"/>
          <w:szCs w:val="24"/>
        </w:rPr>
        <w:t xml:space="preserve"> </w:t>
      </w:r>
      <w:r w:rsidR="00497503" w:rsidRPr="003A1174">
        <w:rPr>
          <w:rFonts w:ascii="Garamond" w:hAnsi="Garamond" w:cs="Arial"/>
          <w:sz w:val="24"/>
          <w:szCs w:val="24"/>
        </w:rPr>
        <w:t>e</w:t>
      </w:r>
      <w:r w:rsidR="00F92EC2" w:rsidRPr="003A1174">
        <w:rPr>
          <w:rFonts w:ascii="Garamond" w:hAnsi="Garamond" w:cs="Arial"/>
          <w:sz w:val="24"/>
          <w:szCs w:val="24"/>
        </w:rPr>
        <w:t xml:space="preserve"> </w:t>
      </w:r>
      <w:r w:rsidRPr="003A1174">
        <w:rPr>
          <w:rFonts w:ascii="Garamond" w:hAnsi="Garamond" w:cs="Arial"/>
          <w:sz w:val="24"/>
          <w:szCs w:val="24"/>
        </w:rPr>
        <w:t>coletivo</w:t>
      </w:r>
      <w:r w:rsidR="00F92EC2" w:rsidRPr="003A1174">
        <w:rPr>
          <w:rFonts w:ascii="Garamond" w:hAnsi="Garamond" w:cs="Arial"/>
          <w:sz w:val="24"/>
          <w:szCs w:val="24"/>
        </w:rPr>
        <w:t>s o</w:t>
      </w:r>
      <w:r w:rsidRPr="003A1174">
        <w:rPr>
          <w:rFonts w:ascii="Garamond" w:hAnsi="Garamond" w:cs="Arial"/>
          <w:sz w:val="24"/>
          <w:szCs w:val="24"/>
        </w:rPr>
        <w:t xml:space="preserve">u </w:t>
      </w:r>
      <w:r w:rsidRPr="00625311">
        <w:rPr>
          <w:rFonts w:ascii="Garamond" w:hAnsi="Garamond" w:cs="Arial"/>
          <w:sz w:val="24"/>
          <w:szCs w:val="24"/>
        </w:rPr>
        <w:t>negue</w:t>
      </w:r>
      <w:r w:rsidRPr="003A1174">
        <w:rPr>
          <w:rFonts w:ascii="Garamond" w:hAnsi="Garamond" w:cs="Arial"/>
          <w:sz w:val="24"/>
          <w:szCs w:val="24"/>
        </w:rPr>
        <w:t xml:space="preserve"> </w:t>
      </w:r>
      <w:r w:rsidR="00F92EC2" w:rsidRPr="003A1174">
        <w:rPr>
          <w:rFonts w:ascii="Garamond" w:hAnsi="Garamond" w:cs="Arial"/>
          <w:sz w:val="24"/>
          <w:szCs w:val="24"/>
        </w:rPr>
        <w:t xml:space="preserve">a </w:t>
      </w:r>
      <w:r w:rsidRPr="003A1174">
        <w:rPr>
          <w:rFonts w:ascii="Garamond" w:hAnsi="Garamond" w:cs="Arial"/>
          <w:sz w:val="24"/>
          <w:szCs w:val="24"/>
        </w:rPr>
        <w:t>prestação</w:t>
      </w:r>
      <w:r w:rsidR="00F92EC2" w:rsidRPr="003A1174">
        <w:rPr>
          <w:rFonts w:ascii="Garamond" w:hAnsi="Garamond" w:cs="Arial"/>
          <w:sz w:val="24"/>
          <w:szCs w:val="24"/>
        </w:rPr>
        <w:t xml:space="preserve"> de u</w:t>
      </w:r>
      <w:r w:rsidRPr="003A1174">
        <w:rPr>
          <w:rFonts w:ascii="Garamond" w:hAnsi="Garamond" w:cs="Arial"/>
          <w:sz w:val="24"/>
          <w:szCs w:val="24"/>
        </w:rPr>
        <w:t>m</w:t>
      </w:r>
      <w:r w:rsidR="00F92EC2" w:rsidRPr="003A1174">
        <w:rPr>
          <w:rFonts w:ascii="Garamond" w:hAnsi="Garamond" w:cs="Arial"/>
          <w:sz w:val="24"/>
          <w:szCs w:val="24"/>
        </w:rPr>
        <w:t xml:space="preserve"> </w:t>
      </w:r>
      <w:r w:rsidR="00B531F2" w:rsidRPr="003A1174">
        <w:rPr>
          <w:rFonts w:ascii="Garamond" w:hAnsi="Garamond" w:cs="Arial"/>
          <w:sz w:val="24"/>
          <w:szCs w:val="24"/>
        </w:rPr>
        <w:t>serviço</w:t>
      </w:r>
      <w:r w:rsidR="00F92EC2" w:rsidRPr="003A1174">
        <w:rPr>
          <w:rFonts w:ascii="Garamond" w:hAnsi="Garamond" w:cs="Arial"/>
          <w:sz w:val="24"/>
          <w:szCs w:val="24"/>
        </w:rPr>
        <w:t xml:space="preserve"> </w:t>
      </w:r>
      <w:r w:rsidR="00C553E2" w:rsidRPr="003A1174">
        <w:rPr>
          <w:rFonts w:ascii="Garamond" w:hAnsi="Garamond" w:cs="Arial"/>
          <w:sz w:val="24"/>
          <w:szCs w:val="24"/>
        </w:rPr>
        <w:t>profissional</w:t>
      </w:r>
      <w:r w:rsidR="00F92EC2" w:rsidRPr="003A1174">
        <w:rPr>
          <w:rFonts w:ascii="Garamond" w:hAnsi="Garamond" w:cs="Arial"/>
          <w:sz w:val="24"/>
          <w:szCs w:val="24"/>
        </w:rPr>
        <w:t xml:space="preserve"> por motivos de sexo, género, </w:t>
      </w:r>
      <w:r w:rsidR="007342D9" w:rsidRPr="003A1174">
        <w:rPr>
          <w:rFonts w:ascii="Garamond" w:hAnsi="Garamond" w:cs="Arial"/>
          <w:sz w:val="24"/>
          <w:szCs w:val="24"/>
        </w:rPr>
        <w:t>idade</w:t>
      </w:r>
      <w:r w:rsidR="00F92EC2" w:rsidRPr="003A1174">
        <w:rPr>
          <w:rFonts w:ascii="Garamond" w:hAnsi="Garamond" w:cs="Arial"/>
          <w:sz w:val="24"/>
          <w:szCs w:val="24"/>
        </w:rPr>
        <w:t xml:space="preserve">, </w:t>
      </w:r>
      <w:r w:rsidR="00081B57" w:rsidRPr="003A1174">
        <w:rPr>
          <w:rFonts w:ascii="Garamond" w:hAnsi="Garamond" w:cs="Arial"/>
          <w:sz w:val="24"/>
          <w:szCs w:val="24"/>
        </w:rPr>
        <w:t>orientação</w:t>
      </w:r>
      <w:r w:rsidR="00F92EC2" w:rsidRPr="003A1174">
        <w:rPr>
          <w:rFonts w:ascii="Garamond" w:hAnsi="Garamond" w:cs="Arial"/>
          <w:sz w:val="24"/>
          <w:szCs w:val="24"/>
        </w:rPr>
        <w:t xml:space="preserve"> sexual o</w:t>
      </w:r>
      <w:r w:rsidRPr="003A1174">
        <w:rPr>
          <w:rFonts w:ascii="Garamond" w:hAnsi="Garamond" w:cs="Arial"/>
          <w:sz w:val="24"/>
          <w:szCs w:val="24"/>
        </w:rPr>
        <w:t>u</w:t>
      </w:r>
      <w:r w:rsidR="00F92EC2" w:rsidRPr="003A1174">
        <w:rPr>
          <w:rFonts w:ascii="Garamond" w:hAnsi="Garamond" w:cs="Arial"/>
          <w:sz w:val="24"/>
          <w:szCs w:val="24"/>
        </w:rPr>
        <w:t xml:space="preserve"> </w:t>
      </w:r>
      <w:r w:rsidR="007C44AC" w:rsidRPr="003A1174">
        <w:rPr>
          <w:rFonts w:ascii="Garamond" w:hAnsi="Garamond" w:cs="Arial"/>
          <w:sz w:val="24"/>
          <w:szCs w:val="24"/>
        </w:rPr>
        <w:t>identidade</w:t>
      </w:r>
      <w:r w:rsidRPr="003A1174">
        <w:rPr>
          <w:rFonts w:ascii="Garamond" w:hAnsi="Garamond" w:cs="Arial"/>
          <w:sz w:val="24"/>
          <w:szCs w:val="24"/>
        </w:rPr>
        <w:t xml:space="preserve"> de género, militâ</w:t>
      </w:r>
      <w:r w:rsidR="00F92EC2" w:rsidRPr="003A1174">
        <w:rPr>
          <w:rFonts w:ascii="Garamond" w:hAnsi="Garamond" w:cs="Arial"/>
          <w:sz w:val="24"/>
          <w:szCs w:val="24"/>
        </w:rPr>
        <w:t>ncia partid</w:t>
      </w:r>
      <w:r w:rsidRPr="003A1174">
        <w:rPr>
          <w:rFonts w:ascii="Garamond" w:hAnsi="Garamond" w:cs="Arial"/>
          <w:sz w:val="24"/>
          <w:szCs w:val="24"/>
        </w:rPr>
        <w:t>ári</w:t>
      </w:r>
      <w:r w:rsidR="00F92EC2" w:rsidRPr="003A1174">
        <w:rPr>
          <w:rFonts w:ascii="Garamond" w:hAnsi="Garamond" w:cs="Arial"/>
          <w:sz w:val="24"/>
          <w:szCs w:val="24"/>
        </w:rPr>
        <w:t>a, estado civil, perten</w:t>
      </w:r>
      <w:r w:rsidRPr="003A1174">
        <w:rPr>
          <w:rFonts w:ascii="Garamond" w:hAnsi="Garamond" w:cs="Arial"/>
          <w:sz w:val="24"/>
          <w:szCs w:val="24"/>
        </w:rPr>
        <w:t>ç</w:t>
      </w:r>
      <w:r w:rsidR="00F92EC2" w:rsidRPr="003A1174">
        <w:rPr>
          <w:rFonts w:ascii="Garamond" w:hAnsi="Garamond" w:cs="Arial"/>
          <w:sz w:val="24"/>
          <w:szCs w:val="24"/>
        </w:rPr>
        <w:t>a a p</w:t>
      </w:r>
      <w:r w:rsidRPr="003A1174">
        <w:rPr>
          <w:rFonts w:ascii="Garamond" w:hAnsi="Garamond" w:cs="Arial"/>
          <w:sz w:val="24"/>
          <w:szCs w:val="24"/>
        </w:rPr>
        <w:t>ov</w:t>
      </w:r>
      <w:r w:rsidR="00F92EC2" w:rsidRPr="003A1174">
        <w:rPr>
          <w:rFonts w:ascii="Garamond" w:hAnsi="Garamond" w:cs="Arial"/>
          <w:sz w:val="24"/>
          <w:szCs w:val="24"/>
        </w:rPr>
        <w:t xml:space="preserve">os indígenas </w:t>
      </w:r>
      <w:r w:rsidR="00497503" w:rsidRPr="003A1174">
        <w:rPr>
          <w:rFonts w:ascii="Garamond" w:hAnsi="Garamond" w:cs="Arial"/>
          <w:sz w:val="24"/>
          <w:szCs w:val="24"/>
        </w:rPr>
        <w:t>e</w:t>
      </w:r>
      <w:r w:rsidR="00F92EC2" w:rsidRPr="003A1174">
        <w:rPr>
          <w:rFonts w:ascii="Garamond" w:hAnsi="Garamond" w:cs="Arial"/>
          <w:sz w:val="24"/>
          <w:szCs w:val="24"/>
        </w:rPr>
        <w:t xml:space="preserve"> afro</w:t>
      </w:r>
      <w:r w:rsidRPr="003A1174">
        <w:rPr>
          <w:rFonts w:ascii="Garamond" w:hAnsi="Garamond" w:cs="Arial"/>
          <w:sz w:val="24"/>
          <w:szCs w:val="24"/>
        </w:rPr>
        <w:t>-</w:t>
      </w:r>
      <w:r w:rsidR="00F92EC2" w:rsidRPr="003A1174">
        <w:rPr>
          <w:rFonts w:ascii="Garamond" w:hAnsi="Garamond" w:cs="Arial"/>
          <w:sz w:val="24"/>
          <w:szCs w:val="24"/>
        </w:rPr>
        <w:t>hondure</w:t>
      </w:r>
      <w:r w:rsidRPr="003A1174">
        <w:rPr>
          <w:rFonts w:ascii="Garamond" w:hAnsi="Garamond" w:cs="Arial"/>
          <w:sz w:val="24"/>
          <w:szCs w:val="24"/>
        </w:rPr>
        <w:t>nh</w:t>
      </w:r>
      <w:r w:rsidR="00F92EC2" w:rsidRPr="003A1174">
        <w:rPr>
          <w:rFonts w:ascii="Garamond" w:hAnsi="Garamond" w:cs="Arial"/>
          <w:sz w:val="24"/>
          <w:szCs w:val="24"/>
        </w:rPr>
        <w:t xml:space="preserve">os, </w:t>
      </w:r>
      <w:r w:rsidRPr="003A1174">
        <w:rPr>
          <w:rFonts w:ascii="Garamond" w:hAnsi="Garamond" w:cs="Arial"/>
          <w:sz w:val="24"/>
          <w:szCs w:val="24"/>
        </w:rPr>
        <w:t>língua</w:t>
      </w:r>
      <w:r w:rsidR="00F92EC2" w:rsidRPr="003A1174">
        <w:rPr>
          <w:rFonts w:ascii="Garamond" w:hAnsi="Garamond" w:cs="Arial"/>
          <w:sz w:val="24"/>
          <w:szCs w:val="24"/>
        </w:rPr>
        <w:t xml:space="preserve">, </w:t>
      </w:r>
      <w:r w:rsidRPr="003A1174">
        <w:rPr>
          <w:rFonts w:ascii="Garamond" w:hAnsi="Garamond" w:cs="Arial"/>
          <w:sz w:val="24"/>
          <w:szCs w:val="24"/>
        </w:rPr>
        <w:t>religião, aparê</w:t>
      </w:r>
      <w:r w:rsidR="00F92EC2" w:rsidRPr="003A1174">
        <w:rPr>
          <w:rFonts w:ascii="Garamond" w:hAnsi="Garamond" w:cs="Arial"/>
          <w:sz w:val="24"/>
          <w:szCs w:val="24"/>
        </w:rPr>
        <w:t xml:space="preserve">ncia física, </w:t>
      </w:r>
      <w:r w:rsidR="007A2492" w:rsidRPr="003A1174">
        <w:rPr>
          <w:rFonts w:ascii="Garamond" w:hAnsi="Garamond" w:cs="Arial"/>
          <w:sz w:val="24"/>
          <w:szCs w:val="24"/>
        </w:rPr>
        <w:t>incapacidade</w:t>
      </w:r>
      <w:r w:rsidR="00F92EC2" w:rsidRPr="003A1174">
        <w:rPr>
          <w:rFonts w:ascii="Garamond" w:hAnsi="Garamond" w:cs="Arial"/>
          <w:sz w:val="24"/>
          <w:szCs w:val="24"/>
        </w:rPr>
        <w:t xml:space="preserve"> </w:t>
      </w:r>
      <w:r w:rsidR="00497503" w:rsidRPr="003A1174">
        <w:rPr>
          <w:rFonts w:ascii="Garamond" w:hAnsi="Garamond" w:cs="Arial"/>
          <w:sz w:val="24"/>
          <w:szCs w:val="24"/>
        </w:rPr>
        <w:t>e</w:t>
      </w:r>
      <w:r w:rsidR="00F92EC2" w:rsidRPr="003A1174">
        <w:rPr>
          <w:rFonts w:ascii="Garamond" w:hAnsi="Garamond" w:cs="Arial"/>
          <w:sz w:val="24"/>
          <w:szCs w:val="24"/>
        </w:rPr>
        <w:t xml:space="preserve"> </w:t>
      </w:r>
      <w:r w:rsidR="00AC3351" w:rsidRPr="003A1174">
        <w:rPr>
          <w:rFonts w:ascii="Garamond" w:hAnsi="Garamond" w:cs="Arial"/>
          <w:sz w:val="24"/>
          <w:szCs w:val="24"/>
        </w:rPr>
        <w:t>condições</w:t>
      </w:r>
      <w:r w:rsidR="00F92EC2" w:rsidRPr="003A1174">
        <w:rPr>
          <w:rFonts w:ascii="Garamond" w:hAnsi="Garamond" w:cs="Arial"/>
          <w:sz w:val="24"/>
          <w:szCs w:val="24"/>
        </w:rPr>
        <w:t xml:space="preserve"> de </w:t>
      </w:r>
      <w:r w:rsidR="007C63D0" w:rsidRPr="003A1174">
        <w:rPr>
          <w:rFonts w:ascii="Garamond" w:hAnsi="Garamond" w:cs="Arial"/>
          <w:sz w:val="24"/>
          <w:szCs w:val="24"/>
        </w:rPr>
        <w:t>saúde</w:t>
      </w:r>
      <w:r w:rsidR="00F92EC2" w:rsidRPr="003A1174">
        <w:rPr>
          <w:rFonts w:ascii="Garamond" w:hAnsi="Garamond" w:cs="Arial"/>
          <w:sz w:val="24"/>
          <w:szCs w:val="24"/>
        </w:rPr>
        <w:t xml:space="preserve">, entre </w:t>
      </w:r>
      <w:r w:rsidR="0017447A" w:rsidRPr="003A1174">
        <w:rPr>
          <w:rFonts w:ascii="Garamond" w:hAnsi="Garamond" w:cs="Arial"/>
          <w:sz w:val="24"/>
          <w:szCs w:val="24"/>
        </w:rPr>
        <w:t>outras</w:t>
      </w:r>
      <w:r w:rsidR="00F92EC2" w:rsidRPr="003A1174">
        <w:rPr>
          <w:rFonts w:ascii="Garamond" w:hAnsi="Garamond" w:cs="Arial"/>
          <w:sz w:val="24"/>
          <w:szCs w:val="24"/>
        </w:rPr>
        <w:t>.</w:t>
      </w:r>
    </w:p>
    <w:p w:rsidR="00F92EC2" w:rsidRPr="003A1174" w:rsidRDefault="00F92EC2" w:rsidP="008719D4">
      <w:pPr>
        <w:spacing w:after="0" w:line="240" w:lineRule="auto"/>
        <w:jc w:val="both"/>
        <w:rPr>
          <w:rFonts w:ascii="Garamond" w:hAnsi="Garamond" w:cs="Arial"/>
          <w:i/>
          <w:sz w:val="24"/>
          <w:szCs w:val="24"/>
        </w:rPr>
      </w:pPr>
    </w:p>
    <w:p w:rsidR="00F92EC2" w:rsidRPr="003A1174" w:rsidRDefault="00462B11" w:rsidP="008719D4">
      <w:pPr>
        <w:spacing w:after="0" w:line="240" w:lineRule="auto"/>
        <w:jc w:val="both"/>
        <w:rPr>
          <w:rFonts w:ascii="Garamond" w:hAnsi="Garamond" w:cs="Arial"/>
          <w:sz w:val="24"/>
          <w:szCs w:val="24"/>
        </w:rPr>
      </w:pPr>
      <w:r w:rsidRPr="00625311">
        <w:rPr>
          <w:rFonts w:ascii="Garamond" w:hAnsi="Garamond" w:cs="Arial"/>
          <w:sz w:val="24"/>
          <w:szCs w:val="24"/>
        </w:rPr>
        <w:t xml:space="preserve">Através do </w:t>
      </w:r>
      <w:r w:rsidR="008208DF" w:rsidRPr="00625311">
        <w:rPr>
          <w:rFonts w:ascii="Garamond" w:hAnsi="Garamond" w:cs="Arial"/>
          <w:sz w:val="24"/>
          <w:szCs w:val="24"/>
        </w:rPr>
        <w:t>D</w:t>
      </w:r>
      <w:r w:rsidR="00F92EC2" w:rsidRPr="00625311">
        <w:rPr>
          <w:rFonts w:ascii="Garamond" w:hAnsi="Garamond" w:cs="Arial"/>
          <w:sz w:val="24"/>
          <w:szCs w:val="24"/>
        </w:rPr>
        <w:t xml:space="preserve">ecreto </w:t>
      </w:r>
      <w:r w:rsidR="008208DF" w:rsidRPr="00625311">
        <w:rPr>
          <w:rFonts w:ascii="Garamond" w:hAnsi="Garamond" w:cs="Arial"/>
          <w:sz w:val="24"/>
          <w:szCs w:val="24"/>
        </w:rPr>
        <w:t>L</w:t>
      </w:r>
      <w:r w:rsidR="00F92EC2" w:rsidRPr="00625311">
        <w:rPr>
          <w:rFonts w:ascii="Garamond" w:hAnsi="Garamond" w:cs="Arial"/>
          <w:sz w:val="24"/>
          <w:szCs w:val="24"/>
        </w:rPr>
        <w:t>egislativo N</w:t>
      </w:r>
      <w:r w:rsidR="004F03CF" w:rsidRPr="00625311">
        <w:rPr>
          <w:rFonts w:ascii="Garamond" w:hAnsi="Garamond" w:cs="Arial"/>
          <w:sz w:val="24"/>
          <w:szCs w:val="24"/>
        </w:rPr>
        <w:t xml:space="preserve">. </w:t>
      </w:r>
      <w:r w:rsidR="008208DF" w:rsidRPr="00625311">
        <w:rPr>
          <w:rFonts w:ascii="Garamond" w:hAnsi="Garamond" w:cs="Arial"/>
          <w:sz w:val="24"/>
          <w:szCs w:val="24"/>
        </w:rPr>
        <w:t>°</w:t>
      </w:r>
      <w:r w:rsidR="00F92EC2" w:rsidRPr="00625311">
        <w:rPr>
          <w:rFonts w:ascii="Garamond" w:hAnsi="Garamond" w:cs="Arial"/>
          <w:sz w:val="24"/>
          <w:szCs w:val="24"/>
        </w:rPr>
        <w:t>92-2013</w:t>
      </w:r>
      <w:r w:rsidR="00625311" w:rsidRPr="00625311">
        <w:rPr>
          <w:rFonts w:ascii="Garamond" w:hAnsi="Garamond" w:cs="Arial"/>
          <w:sz w:val="24"/>
          <w:szCs w:val="24"/>
        </w:rPr>
        <w:t>,</w:t>
      </w:r>
      <w:r w:rsidR="00F92EC2" w:rsidRPr="00625311">
        <w:rPr>
          <w:rFonts w:ascii="Garamond" w:hAnsi="Garamond" w:cs="Arial"/>
          <w:sz w:val="24"/>
          <w:szCs w:val="24"/>
        </w:rPr>
        <w:t xml:space="preserve"> </w:t>
      </w:r>
      <w:r w:rsidRPr="00625311">
        <w:rPr>
          <w:rFonts w:ascii="Garamond" w:hAnsi="Garamond" w:cs="Arial"/>
          <w:sz w:val="24"/>
          <w:szCs w:val="24"/>
        </w:rPr>
        <w:t>foi</w:t>
      </w:r>
      <w:r w:rsidR="00F92EC2" w:rsidRPr="00625311">
        <w:rPr>
          <w:rFonts w:ascii="Garamond" w:hAnsi="Garamond" w:cs="Arial"/>
          <w:sz w:val="24"/>
          <w:szCs w:val="24"/>
        </w:rPr>
        <w:t xml:space="preserve"> </w:t>
      </w:r>
      <w:r w:rsidR="00CD707D" w:rsidRPr="00625311">
        <w:rPr>
          <w:rFonts w:ascii="Garamond" w:hAnsi="Garamond" w:cs="Arial"/>
          <w:sz w:val="24"/>
          <w:szCs w:val="24"/>
        </w:rPr>
        <w:t>aprovad</w:t>
      </w:r>
      <w:r w:rsidRPr="00625311">
        <w:rPr>
          <w:rFonts w:ascii="Garamond" w:hAnsi="Garamond" w:cs="Arial"/>
          <w:sz w:val="24"/>
          <w:szCs w:val="24"/>
        </w:rPr>
        <w:t xml:space="preserve">a </w:t>
      </w:r>
      <w:r w:rsidR="00F92EC2" w:rsidRPr="00625311">
        <w:rPr>
          <w:rFonts w:ascii="Garamond" w:hAnsi="Garamond" w:cs="Arial"/>
          <w:sz w:val="24"/>
          <w:szCs w:val="24"/>
        </w:rPr>
        <w:t xml:space="preserve">a </w:t>
      </w:r>
      <w:r w:rsidR="00D15AFF" w:rsidRPr="00625311">
        <w:rPr>
          <w:rFonts w:ascii="Garamond" w:hAnsi="Garamond" w:cs="Arial"/>
          <w:sz w:val="24"/>
          <w:szCs w:val="24"/>
        </w:rPr>
        <w:t>Lei</w:t>
      </w:r>
      <w:r w:rsidRPr="00625311">
        <w:rPr>
          <w:rFonts w:ascii="Garamond" w:hAnsi="Garamond" w:cs="Arial"/>
          <w:sz w:val="24"/>
          <w:szCs w:val="24"/>
        </w:rPr>
        <w:t xml:space="preserve"> Especial para um</w:t>
      </w:r>
      <w:r w:rsidR="00F92EC2" w:rsidRPr="00625311">
        <w:rPr>
          <w:rFonts w:ascii="Garamond" w:hAnsi="Garamond" w:cs="Arial"/>
          <w:sz w:val="24"/>
          <w:szCs w:val="24"/>
        </w:rPr>
        <w:t xml:space="preserve">a </w:t>
      </w:r>
      <w:r w:rsidRPr="00625311">
        <w:rPr>
          <w:rFonts w:ascii="Garamond" w:hAnsi="Garamond" w:cs="Arial"/>
          <w:sz w:val="24"/>
          <w:szCs w:val="24"/>
        </w:rPr>
        <w:t>Maternidade</w:t>
      </w:r>
      <w:r w:rsidR="00F92EC2" w:rsidRPr="00625311">
        <w:rPr>
          <w:rFonts w:ascii="Garamond" w:hAnsi="Garamond" w:cs="Arial"/>
          <w:sz w:val="24"/>
          <w:szCs w:val="24"/>
        </w:rPr>
        <w:t xml:space="preserve"> </w:t>
      </w:r>
      <w:r w:rsidR="00497503" w:rsidRPr="00625311">
        <w:rPr>
          <w:rFonts w:ascii="Garamond" w:hAnsi="Garamond" w:cs="Arial"/>
          <w:sz w:val="24"/>
          <w:szCs w:val="24"/>
        </w:rPr>
        <w:t>e</w:t>
      </w:r>
      <w:r w:rsidR="00F92EC2" w:rsidRPr="00625311">
        <w:rPr>
          <w:rFonts w:ascii="Garamond" w:hAnsi="Garamond" w:cs="Arial"/>
          <w:sz w:val="24"/>
          <w:szCs w:val="24"/>
        </w:rPr>
        <w:t xml:space="preserve"> </w:t>
      </w:r>
      <w:r w:rsidRPr="00625311">
        <w:rPr>
          <w:rFonts w:ascii="Garamond" w:hAnsi="Garamond" w:cs="Arial"/>
          <w:sz w:val="24"/>
          <w:szCs w:val="24"/>
        </w:rPr>
        <w:t>Paternidade</w:t>
      </w:r>
      <w:r w:rsidR="00F92EC2" w:rsidRPr="00625311">
        <w:rPr>
          <w:rFonts w:ascii="Garamond" w:hAnsi="Garamond" w:cs="Arial"/>
          <w:sz w:val="24"/>
          <w:szCs w:val="24"/>
        </w:rPr>
        <w:t xml:space="preserve"> </w:t>
      </w:r>
      <w:r w:rsidR="006F7276" w:rsidRPr="00625311">
        <w:rPr>
          <w:rFonts w:ascii="Garamond" w:hAnsi="Garamond" w:cs="Arial"/>
          <w:sz w:val="24"/>
          <w:szCs w:val="24"/>
        </w:rPr>
        <w:t>Responsáveis</w:t>
      </w:r>
      <w:r w:rsidR="00F92EC2" w:rsidRPr="00625311">
        <w:rPr>
          <w:rFonts w:ascii="Garamond" w:hAnsi="Garamond" w:cs="Arial"/>
          <w:sz w:val="24"/>
          <w:szCs w:val="24"/>
        </w:rPr>
        <w:t xml:space="preserve">, </w:t>
      </w:r>
      <w:r w:rsidRPr="00625311">
        <w:rPr>
          <w:rFonts w:ascii="Garamond" w:hAnsi="Garamond" w:cs="Arial"/>
          <w:sz w:val="24"/>
          <w:szCs w:val="24"/>
        </w:rPr>
        <w:t>cuj</w:t>
      </w:r>
      <w:r w:rsidR="004F5B28" w:rsidRPr="00625311">
        <w:rPr>
          <w:rFonts w:ascii="Garamond" w:hAnsi="Garamond" w:cs="Arial"/>
          <w:sz w:val="24"/>
          <w:szCs w:val="24"/>
        </w:rPr>
        <w:t>o</w:t>
      </w:r>
      <w:r w:rsidR="00F92EC2" w:rsidRPr="00625311">
        <w:rPr>
          <w:rFonts w:ascii="Garamond" w:hAnsi="Garamond" w:cs="Arial"/>
          <w:sz w:val="24"/>
          <w:szCs w:val="24"/>
        </w:rPr>
        <w:t xml:space="preserve"> objet</w:t>
      </w:r>
      <w:r w:rsidR="00BE4EB8" w:rsidRPr="00625311">
        <w:rPr>
          <w:rFonts w:ascii="Garamond" w:hAnsi="Garamond" w:cs="Arial"/>
          <w:sz w:val="24"/>
          <w:szCs w:val="24"/>
        </w:rPr>
        <w:t>iv</w:t>
      </w:r>
      <w:r w:rsidR="00F92EC2" w:rsidRPr="00625311">
        <w:rPr>
          <w:rFonts w:ascii="Garamond" w:hAnsi="Garamond" w:cs="Arial"/>
          <w:sz w:val="24"/>
          <w:szCs w:val="24"/>
        </w:rPr>
        <w:t xml:space="preserve">o </w:t>
      </w:r>
      <w:r w:rsidR="00BE4EB8" w:rsidRPr="00625311">
        <w:rPr>
          <w:rFonts w:ascii="Garamond" w:hAnsi="Garamond" w:cs="Arial"/>
          <w:sz w:val="24"/>
          <w:szCs w:val="24"/>
        </w:rPr>
        <w:t xml:space="preserve">é </w:t>
      </w:r>
      <w:r w:rsidR="002F5CD1" w:rsidRPr="00625311">
        <w:rPr>
          <w:rFonts w:ascii="Garamond" w:hAnsi="Garamond" w:cs="Arial"/>
          <w:sz w:val="24"/>
          <w:szCs w:val="24"/>
        </w:rPr>
        <w:t>estabelecer</w:t>
      </w:r>
      <w:r w:rsidR="00BE4EB8" w:rsidRPr="00625311">
        <w:rPr>
          <w:rFonts w:ascii="Garamond" w:hAnsi="Garamond" w:cs="Arial"/>
          <w:sz w:val="24"/>
          <w:szCs w:val="24"/>
        </w:rPr>
        <w:t xml:space="preserve"> </w:t>
      </w:r>
      <w:r w:rsidR="00F92EC2" w:rsidRPr="00625311">
        <w:rPr>
          <w:rFonts w:ascii="Garamond" w:hAnsi="Garamond" w:cs="Arial"/>
          <w:sz w:val="24"/>
          <w:szCs w:val="24"/>
        </w:rPr>
        <w:t xml:space="preserve">os mecanismos </w:t>
      </w:r>
      <w:r w:rsidR="00497503" w:rsidRPr="00625311">
        <w:rPr>
          <w:rFonts w:ascii="Garamond" w:hAnsi="Garamond" w:cs="Arial"/>
          <w:sz w:val="24"/>
          <w:szCs w:val="24"/>
        </w:rPr>
        <w:t>e</w:t>
      </w:r>
      <w:r w:rsidR="00F92EC2" w:rsidRPr="00625311">
        <w:rPr>
          <w:rFonts w:ascii="Garamond" w:hAnsi="Garamond" w:cs="Arial"/>
          <w:sz w:val="24"/>
          <w:szCs w:val="24"/>
        </w:rPr>
        <w:t xml:space="preserve"> </w:t>
      </w:r>
      <w:r w:rsidR="00BE4EB8" w:rsidRPr="00625311">
        <w:rPr>
          <w:rFonts w:ascii="Garamond" w:hAnsi="Garamond" w:cs="Arial"/>
          <w:sz w:val="24"/>
          <w:szCs w:val="24"/>
        </w:rPr>
        <w:t>o</w:t>
      </w:r>
      <w:r w:rsidR="00E34DB3" w:rsidRPr="00625311">
        <w:rPr>
          <w:rFonts w:ascii="Garamond" w:hAnsi="Garamond" w:cs="Arial"/>
          <w:sz w:val="24"/>
          <w:szCs w:val="24"/>
        </w:rPr>
        <w:t>s</w:t>
      </w:r>
      <w:r w:rsidR="00BE4EB8" w:rsidRPr="00625311">
        <w:rPr>
          <w:rFonts w:ascii="Garamond" w:hAnsi="Garamond" w:cs="Arial"/>
          <w:sz w:val="24"/>
          <w:szCs w:val="24"/>
        </w:rPr>
        <w:t xml:space="preserve"> procedimento</w:t>
      </w:r>
      <w:r w:rsidR="00E34DB3" w:rsidRPr="00625311">
        <w:rPr>
          <w:rFonts w:ascii="Garamond" w:hAnsi="Garamond" w:cs="Arial"/>
          <w:sz w:val="24"/>
          <w:szCs w:val="24"/>
        </w:rPr>
        <w:t>s</w:t>
      </w:r>
      <w:r w:rsidR="00F92EC2" w:rsidRPr="00625311">
        <w:rPr>
          <w:rFonts w:ascii="Garamond" w:hAnsi="Garamond" w:cs="Arial"/>
          <w:sz w:val="24"/>
          <w:szCs w:val="24"/>
        </w:rPr>
        <w:t xml:space="preserve"> para </w:t>
      </w:r>
      <w:r w:rsidR="00AF192F" w:rsidRPr="00625311">
        <w:rPr>
          <w:rFonts w:ascii="Garamond" w:hAnsi="Garamond" w:cs="Arial"/>
          <w:sz w:val="24"/>
          <w:szCs w:val="24"/>
        </w:rPr>
        <w:t>garantir</w:t>
      </w:r>
      <w:r w:rsidR="00F92EC2" w:rsidRPr="00625311">
        <w:rPr>
          <w:rFonts w:ascii="Garamond" w:hAnsi="Garamond" w:cs="Arial"/>
          <w:sz w:val="24"/>
          <w:szCs w:val="24"/>
        </w:rPr>
        <w:t xml:space="preserve"> que toda </w:t>
      </w:r>
      <w:r w:rsidR="00BE4EB8" w:rsidRPr="00625311">
        <w:rPr>
          <w:rFonts w:ascii="Garamond" w:hAnsi="Garamond" w:cs="Arial"/>
          <w:sz w:val="24"/>
          <w:szCs w:val="24"/>
        </w:rPr>
        <w:t xml:space="preserve">a criança seja </w:t>
      </w:r>
      <w:r w:rsidR="00F92EC2" w:rsidRPr="00625311">
        <w:rPr>
          <w:rFonts w:ascii="Garamond" w:hAnsi="Garamond" w:cs="Arial"/>
          <w:sz w:val="24"/>
          <w:szCs w:val="24"/>
        </w:rPr>
        <w:t>re</w:t>
      </w:r>
      <w:r w:rsidR="00BE4EB8" w:rsidRPr="00625311">
        <w:rPr>
          <w:rFonts w:ascii="Garamond" w:hAnsi="Garamond" w:cs="Arial"/>
          <w:sz w:val="24"/>
          <w:szCs w:val="24"/>
        </w:rPr>
        <w:t>conhecida</w:t>
      </w:r>
      <w:r w:rsidR="00625311" w:rsidRPr="00625311">
        <w:rPr>
          <w:rFonts w:ascii="Garamond" w:hAnsi="Garamond" w:cs="Arial"/>
          <w:sz w:val="24"/>
          <w:szCs w:val="24"/>
        </w:rPr>
        <w:t>,</w:t>
      </w:r>
      <w:r w:rsidR="00F92EC2" w:rsidRPr="00625311">
        <w:rPr>
          <w:rFonts w:ascii="Garamond" w:hAnsi="Garamond" w:cs="Arial"/>
          <w:sz w:val="24"/>
          <w:szCs w:val="24"/>
        </w:rPr>
        <w:t xml:space="preserve"> legalmente</w:t>
      </w:r>
      <w:r w:rsidR="00625311" w:rsidRPr="00625311">
        <w:rPr>
          <w:rFonts w:ascii="Garamond" w:hAnsi="Garamond" w:cs="Arial"/>
          <w:sz w:val="24"/>
          <w:szCs w:val="24"/>
        </w:rPr>
        <w:t>,</w:t>
      </w:r>
      <w:r w:rsidR="00F92EC2" w:rsidRPr="00625311">
        <w:rPr>
          <w:rFonts w:ascii="Garamond" w:hAnsi="Garamond" w:cs="Arial"/>
          <w:sz w:val="24"/>
          <w:szCs w:val="24"/>
        </w:rPr>
        <w:t xml:space="preserve"> por parte d</w:t>
      </w:r>
      <w:r w:rsidR="00BE4EB8" w:rsidRPr="00625311">
        <w:rPr>
          <w:rFonts w:ascii="Garamond" w:hAnsi="Garamond" w:cs="Arial"/>
          <w:sz w:val="24"/>
          <w:szCs w:val="24"/>
        </w:rPr>
        <w:t xml:space="preserve">os seus pais e </w:t>
      </w:r>
      <w:r w:rsidR="004F5B28" w:rsidRPr="00625311">
        <w:rPr>
          <w:rFonts w:ascii="Garamond" w:hAnsi="Garamond" w:cs="Arial"/>
          <w:sz w:val="24"/>
          <w:szCs w:val="24"/>
        </w:rPr>
        <w:t>que</w:t>
      </w:r>
      <w:r w:rsidR="00E34DB3" w:rsidRPr="00625311">
        <w:rPr>
          <w:rFonts w:ascii="Garamond" w:hAnsi="Garamond" w:cs="Arial"/>
          <w:sz w:val="24"/>
          <w:szCs w:val="24"/>
        </w:rPr>
        <w:t>,</w:t>
      </w:r>
      <w:r w:rsidR="004F5B28" w:rsidRPr="00625311">
        <w:rPr>
          <w:rFonts w:ascii="Garamond" w:hAnsi="Garamond" w:cs="Arial"/>
          <w:sz w:val="24"/>
          <w:szCs w:val="24"/>
        </w:rPr>
        <w:t xml:space="preserve"> </w:t>
      </w:r>
      <w:r w:rsidR="00F92EC2" w:rsidRPr="00625311">
        <w:rPr>
          <w:rFonts w:ascii="Garamond" w:hAnsi="Garamond" w:cs="Arial"/>
          <w:sz w:val="24"/>
          <w:szCs w:val="24"/>
        </w:rPr>
        <w:t xml:space="preserve">para </w:t>
      </w:r>
      <w:r w:rsidR="00625311" w:rsidRPr="00625311">
        <w:rPr>
          <w:rFonts w:ascii="Garamond" w:hAnsi="Garamond" w:cs="Arial"/>
          <w:sz w:val="24"/>
          <w:szCs w:val="24"/>
        </w:rPr>
        <w:t xml:space="preserve">que, </w:t>
      </w:r>
      <w:r w:rsidR="00863197" w:rsidRPr="00625311">
        <w:rPr>
          <w:rFonts w:ascii="Garamond" w:hAnsi="Garamond" w:cs="Arial"/>
          <w:sz w:val="24"/>
          <w:szCs w:val="24"/>
        </w:rPr>
        <w:t>quando</w:t>
      </w:r>
      <w:r w:rsidR="00F92EC2" w:rsidRPr="00625311">
        <w:rPr>
          <w:rFonts w:ascii="Garamond" w:hAnsi="Garamond" w:cs="Arial"/>
          <w:sz w:val="24"/>
          <w:szCs w:val="24"/>
        </w:rPr>
        <w:t xml:space="preserve"> </w:t>
      </w:r>
      <w:r w:rsidR="00BE4EB8" w:rsidRPr="00625311">
        <w:rPr>
          <w:rFonts w:ascii="Garamond" w:hAnsi="Garamond" w:cs="Arial"/>
          <w:sz w:val="24"/>
          <w:szCs w:val="24"/>
        </w:rPr>
        <w:t xml:space="preserve">for </w:t>
      </w:r>
      <w:r w:rsidR="00C30647" w:rsidRPr="00625311">
        <w:rPr>
          <w:rFonts w:ascii="Garamond" w:hAnsi="Garamond" w:cs="Arial"/>
          <w:sz w:val="24"/>
          <w:szCs w:val="24"/>
        </w:rPr>
        <w:t>necessário</w:t>
      </w:r>
      <w:r w:rsidR="00F92EC2" w:rsidRPr="00625311">
        <w:rPr>
          <w:rFonts w:ascii="Garamond" w:hAnsi="Garamond" w:cs="Arial"/>
          <w:sz w:val="24"/>
          <w:szCs w:val="24"/>
        </w:rPr>
        <w:t>, se determine</w:t>
      </w:r>
      <w:r w:rsidR="004F03CF" w:rsidRPr="00625311">
        <w:rPr>
          <w:rFonts w:ascii="Garamond" w:hAnsi="Garamond" w:cs="Arial"/>
          <w:sz w:val="24"/>
          <w:szCs w:val="24"/>
        </w:rPr>
        <w:t>,</w:t>
      </w:r>
      <w:r w:rsidR="00F92EC2" w:rsidRPr="00625311">
        <w:rPr>
          <w:rFonts w:ascii="Garamond" w:hAnsi="Garamond" w:cs="Arial"/>
          <w:sz w:val="24"/>
          <w:szCs w:val="24"/>
        </w:rPr>
        <w:t xml:space="preserve"> co</w:t>
      </w:r>
      <w:r w:rsidR="00BE4EB8" w:rsidRPr="00625311">
        <w:rPr>
          <w:rFonts w:ascii="Garamond" w:hAnsi="Garamond" w:cs="Arial"/>
          <w:sz w:val="24"/>
          <w:szCs w:val="24"/>
        </w:rPr>
        <w:t>m certeza jurídica</w:t>
      </w:r>
      <w:r w:rsidR="004F03CF" w:rsidRPr="00625311">
        <w:rPr>
          <w:rFonts w:ascii="Garamond" w:hAnsi="Garamond" w:cs="Arial"/>
          <w:sz w:val="24"/>
          <w:szCs w:val="24"/>
        </w:rPr>
        <w:t>,</w:t>
      </w:r>
      <w:r w:rsidR="00BE4EB8" w:rsidRPr="00625311">
        <w:rPr>
          <w:rFonts w:ascii="Garamond" w:hAnsi="Garamond" w:cs="Arial"/>
          <w:sz w:val="24"/>
          <w:szCs w:val="24"/>
        </w:rPr>
        <w:t xml:space="preserve"> </w:t>
      </w:r>
      <w:r w:rsidR="00F92EC2" w:rsidRPr="00625311">
        <w:rPr>
          <w:rFonts w:ascii="Garamond" w:hAnsi="Garamond" w:cs="Arial"/>
          <w:sz w:val="24"/>
          <w:szCs w:val="24"/>
        </w:rPr>
        <w:t xml:space="preserve">a </w:t>
      </w:r>
      <w:r w:rsidR="004F03CF" w:rsidRPr="00625311">
        <w:rPr>
          <w:rFonts w:ascii="Garamond" w:hAnsi="Garamond" w:cs="Arial"/>
          <w:sz w:val="24"/>
          <w:szCs w:val="24"/>
        </w:rPr>
        <w:t>m</w:t>
      </w:r>
      <w:r w:rsidRPr="00625311">
        <w:rPr>
          <w:rFonts w:ascii="Garamond" w:hAnsi="Garamond" w:cs="Arial"/>
          <w:sz w:val="24"/>
          <w:szCs w:val="24"/>
        </w:rPr>
        <w:t>aternidade</w:t>
      </w:r>
      <w:r w:rsidR="00F92EC2" w:rsidRPr="00625311">
        <w:rPr>
          <w:rFonts w:ascii="Garamond" w:hAnsi="Garamond" w:cs="Arial"/>
          <w:sz w:val="24"/>
          <w:szCs w:val="24"/>
        </w:rPr>
        <w:t xml:space="preserve"> o</w:t>
      </w:r>
      <w:r w:rsidR="00BE4EB8" w:rsidRPr="00625311">
        <w:rPr>
          <w:rFonts w:ascii="Garamond" w:hAnsi="Garamond" w:cs="Arial"/>
          <w:sz w:val="24"/>
          <w:szCs w:val="24"/>
        </w:rPr>
        <w:t>u</w:t>
      </w:r>
      <w:r w:rsidR="00F92EC2" w:rsidRPr="00625311">
        <w:rPr>
          <w:rFonts w:ascii="Garamond" w:hAnsi="Garamond" w:cs="Arial"/>
          <w:sz w:val="24"/>
          <w:szCs w:val="24"/>
        </w:rPr>
        <w:t xml:space="preserve"> </w:t>
      </w:r>
      <w:r w:rsidRPr="00625311">
        <w:rPr>
          <w:rFonts w:ascii="Garamond" w:hAnsi="Garamond" w:cs="Arial"/>
          <w:sz w:val="24"/>
          <w:szCs w:val="24"/>
        </w:rPr>
        <w:t>paternidade</w:t>
      </w:r>
      <w:r w:rsidR="00BE4EB8" w:rsidRPr="00625311">
        <w:rPr>
          <w:rFonts w:ascii="Garamond" w:hAnsi="Garamond" w:cs="Arial"/>
          <w:sz w:val="24"/>
          <w:szCs w:val="24"/>
        </w:rPr>
        <w:t>, permiti</w:t>
      </w:r>
      <w:r w:rsidR="00F92EC2" w:rsidRPr="00625311">
        <w:rPr>
          <w:rFonts w:ascii="Garamond" w:hAnsi="Garamond" w:cs="Arial"/>
          <w:sz w:val="24"/>
          <w:szCs w:val="24"/>
        </w:rPr>
        <w:t>ndo</w:t>
      </w:r>
      <w:r w:rsidR="004F03CF" w:rsidRPr="00625311">
        <w:rPr>
          <w:rFonts w:ascii="Garamond" w:hAnsi="Garamond" w:cs="Arial"/>
          <w:sz w:val="24"/>
          <w:szCs w:val="24"/>
        </w:rPr>
        <w:t>,</w:t>
      </w:r>
      <w:r w:rsidR="00F92EC2" w:rsidRPr="00625311">
        <w:rPr>
          <w:rFonts w:ascii="Garamond" w:hAnsi="Garamond" w:cs="Arial"/>
          <w:sz w:val="24"/>
          <w:szCs w:val="24"/>
        </w:rPr>
        <w:t xml:space="preserve"> co</w:t>
      </w:r>
      <w:r w:rsidR="00BE4EB8" w:rsidRPr="00625311">
        <w:rPr>
          <w:rFonts w:ascii="Garamond" w:hAnsi="Garamond" w:cs="Arial"/>
          <w:sz w:val="24"/>
          <w:szCs w:val="24"/>
        </w:rPr>
        <w:t>m isto</w:t>
      </w:r>
      <w:r w:rsidR="004F03CF" w:rsidRPr="00625311">
        <w:rPr>
          <w:rFonts w:ascii="Garamond" w:hAnsi="Garamond" w:cs="Arial"/>
          <w:sz w:val="24"/>
          <w:szCs w:val="24"/>
        </w:rPr>
        <w:t>,</w:t>
      </w:r>
      <w:r w:rsidR="00BE4EB8" w:rsidRPr="00625311">
        <w:rPr>
          <w:rFonts w:ascii="Garamond" w:hAnsi="Garamond" w:cs="Arial"/>
          <w:sz w:val="24"/>
          <w:szCs w:val="24"/>
        </w:rPr>
        <w:t xml:space="preserve"> um</w:t>
      </w:r>
      <w:r w:rsidR="00F92EC2" w:rsidRPr="00625311">
        <w:rPr>
          <w:rFonts w:ascii="Garamond" w:hAnsi="Garamond" w:cs="Arial"/>
          <w:sz w:val="24"/>
          <w:szCs w:val="24"/>
        </w:rPr>
        <w:t xml:space="preserve">a </w:t>
      </w:r>
      <w:r w:rsidR="004F03CF" w:rsidRPr="00625311">
        <w:rPr>
          <w:rFonts w:ascii="Garamond" w:hAnsi="Garamond" w:cs="Arial"/>
          <w:sz w:val="24"/>
          <w:szCs w:val="24"/>
        </w:rPr>
        <w:t>m</w:t>
      </w:r>
      <w:r w:rsidRPr="00625311">
        <w:rPr>
          <w:rFonts w:ascii="Garamond" w:hAnsi="Garamond" w:cs="Arial"/>
          <w:sz w:val="24"/>
          <w:szCs w:val="24"/>
        </w:rPr>
        <w:t>aternidade</w:t>
      </w:r>
      <w:r w:rsidR="00F92EC2" w:rsidRPr="00625311">
        <w:rPr>
          <w:rFonts w:ascii="Garamond" w:hAnsi="Garamond" w:cs="Arial"/>
          <w:sz w:val="24"/>
          <w:szCs w:val="24"/>
        </w:rPr>
        <w:t xml:space="preserve"> </w:t>
      </w:r>
      <w:r w:rsidR="00497503" w:rsidRPr="00625311">
        <w:rPr>
          <w:rFonts w:ascii="Garamond" w:hAnsi="Garamond" w:cs="Arial"/>
          <w:sz w:val="24"/>
          <w:szCs w:val="24"/>
        </w:rPr>
        <w:t>e</w:t>
      </w:r>
      <w:r w:rsidR="00F92EC2" w:rsidRPr="00625311">
        <w:rPr>
          <w:rFonts w:ascii="Garamond" w:hAnsi="Garamond" w:cs="Arial"/>
          <w:sz w:val="24"/>
          <w:szCs w:val="24"/>
        </w:rPr>
        <w:t xml:space="preserve"> </w:t>
      </w:r>
      <w:r w:rsidRPr="00625311">
        <w:rPr>
          <w:rFonts w:ascii="Garamond" w:hAnsi="Garamond" w:cs="Arial"/>
          <w:sz w:val="24"/>
          <w:szCs w:val="24"/>
        </w:rPr>
        <w:t>paternidade</w:t>
      </w:r>
      <w:r w:rsidR="00F92EC2" w:rsidRPr="00625311">
        <w:rPr>
          <w:rFonts w:ascii="Garamond" w:hAnsi="Garamond" w:cs="Arial"/>
          <w:sz w:val="24"/>
          <w:szCs w:val="24"/>
        </w:rPr>
        <w:t xml:space="preserve"> </w:t>
      </w:r>
      <w:r w:rsidR="00FC1F7F" w:rsidRPr="00625311">
        <w:rPr>
          <w:rFonts w:ascii="Garamond" w:hAnsi="Garamond" w:cs="Arial"/>
          <w:sz w:val="24"/>
          <w:szCs w:val="24"/>
        </w:rPr>
        <w:t>responsáve</w:t>
      </w:r>
      <w:r w:rsidR="004F03CF" w:rsidRPr="00625311">
        <w:rPr>
          <w:rFonts w:ascii="Garamond" w:hAnsi="Garamond" w:cs="Arial"/>
          <w:sz w:val="24"/>
          <w:szCs w:val="24"/>
        </w:rPr>
        <w:t>is</w:t>
      </w:r>
      <w:r w:rsidR="00F92EC2" w:rsidRPr="00625311">
        <w:rPr>
          <w:rFonts w:ascii="Garamond" w:hAnsi="Garamond" w:cs="Arial"/>
          <w:sz w:val="24"/>
          <w:szCs w:val="24"/>
        </w:rPr>
        <w:t>.</w:t>
      </w:r>
    </w:p>
    <w:p w:rsidR="00F92EC2" w:rsidRPr="003A1174" w:rsidRDefault="00F92EC2" w:rsidP="008719D4">
      <w:pPr>
        <w:pStyle w:val="Sinespaciado"/>
        <w:jc w:val="both"/>
        <w:rPr>
          <w:rFonts w:ascii="Garamond" w:hAnsi="Garamond" w:cs="Arial"/>
          <w:sz w:val="24"/>
          <w:szCs w:val="24"/>
          <w:lang w:val="pt-PT"/>
        </w:rPr>
      </w:pPr>
    </w:p>
    <w:p w:rsidR="00625311" w:rsidRDefault="00BE4EB8"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É </w:t>
      </w:r>
      <w:r w:rsidR="00F92EC2" w:rsidRPr="003A1174">
        <w:rPr>
          <w:rFonts w:ascii="Garamond" w:hAnsi="Garamond" w:cs="Arial"/>
          <w:sz w:val="24"/>
          <w:szCs w:val="24"/>
        </w:rPr>
        <w:t>relevante s</w:t>
      </w:r>
      <w:r w:rsidRPr="003A1174">
        <w:rPr>
          <w:rFonts w:ascii="Garamond" w:hAnsi="Garamond" w:cs="Arial"/>
          <w:sz w:val="24"/>
          <w:szCs w:val="24"/>
        </w:rPr>
        <w:t xml:space="preserve">alientar </w:t>
      </w:r>
      <w:r w:rsidR="00F92EC2" w:rsidRPr="003A1174">
        <w:rPr>
          <w:rFonts w:ascii="Garamond" w:hAnsi="Garamond" w:cs="Arial"/>
          <w:sz w:val="24"/>
          <w:szCs w:val="24"/>
        </w:rPr>
        <w:t>que</w:t>
      </w:r>
      <w:r w:rsidR="004F03CF">
        <w:rPr>
          <w:rFonts w:ascii="Garamond" w:hAnsi="Garamond" w:cs="Arial"/>
          <w:sz w:val="24"/>
          <w:szCs w:val="24"/>
        </w:rPr>
        <w:t>,</w:t>
      </w:r>
      <w:r w:rsidR="00F92EC2" w:rsidRPr="003A1174">
        <w:rPr>
          <w:rFonts w:ascii="Garamond" w:hAnsi="Garamond" w:cs="Arial"/>
          <w:sz w:val="24"/>
          <w:szCs w:val="24"/>
        </w:rPr>
        <w:t xml:space="preserve"> </w:t>
      </w:r>
      <w:r w:rsidRPr="003A1174">
        <w:rPr>
          <w:rFonts w:ascii="Garamond" w:hAnsi="Garamond" w:cs="Arial"/>
          <w:sz w:val="24"/>
          <w:szCs w:val="24"/>
        </w:rPr>
        <w:t>per</w:t>
      </w:r>
      <w:r w:rsidR="00F92EC2" w:rsidRPr="003A1174">
        <w:rPr>
          <w:rFonts w:ascii="Garamond" w:hAnsi="Garamond" w:cs="Arial"/>
          <w:sz w:val="24"/>
          <w:szCs w:val="24"/>
        </w:rPr>
        <w:t xml:space="preserve">ante </w:t>
      </w:r>
      <w:r w:rsidRPr="003A1174">
        <w:rPr>
          <w:rFonts w:ascii="Garamond" w:hAnsi="Garamond" w:cs="Arial"/>
          <w:sz w:val="24"/>
          <w:szCs w:val="24"/>
        </w:rPr>
        <w:t xml:space="preserve">o </w:t>
      </w:r>
      <w:r w:rsidR="00C30647" w:rsidRPr="003A1174">
        <w:rPr>
          <w:rFonts w:ascii="Garamond" w:hAnsi="Garamond" w:cs="Arial"/>
          <w:sz w:val="24"/>
          <w:szCs w:val="24"/>
        </w:rPr>
        <w:t>projeto</w:t>
      </w:r>
      <w:r w:rsidR="00F92EC2" w:rsidRPr="003A1174">
        <w:rPr>
          <w:rFonts w:ascii="Garamond" w:hAnsi="Garamond" w:cs="Arial"/>
          <w:sz w:val="24"/>
          <w:szCs w:val="24"/>
        </w:rPr>
        <w:t xml:space="preserve"> de </w:t>
      </w:r>
      <w:r w:rsidR="00D15AFF" w:rsidRPr="003A1174">
        <w:rPr>
          <w:rFonts w:ascii="Garamond" w:hAnsi="Garamond" w:cs="Arial"/>
          <w:sz w:val="24"/>
          <w:szCs w:val="24"/>
        </w:rPr>
        <w:t>Lei</w:t>
      </w:r>
      <w:r w:rsidR="00F92EC2" w:rsidRPr="003A1174">
        <w:rPr>
          <w:rFonts w:ascii="Garamond" w:hAnsi="Garamond" w:cs="Arial"/>
          <w:sz w:val="24"/>
          <w:szCs w:val="24"/>
        </w:rPr>
        <w:t xml:space="preserve"> </w:t>
      </w:r>
      <w:r w:rsidRPr="003A1174">
        <w:rPr>
          <w:rFonts w:ascii="Garamond" w:hAnsi="Garamond" w:cs="Arial"/>
          <w:sz w:val="24"/>
          <w:szCs w:val="24"/>
        </w:rPr>
        <w:t>a</w:t>
      </w:r>
      <w:r w:rsidR="00F92EC2" w:rsidRPr="003A1174">
        <w:rPr>
          <w:rFonts w:ascii="Garamond" w:hAnsi="Garamond" w:cs="Arial"/>
          <w:sz w:val="24"/>
          <w:szCs w:val="24"/>
        </w:rPr>
        <w:t>presentado</w:t>
      </w:r>
      <w:r w:rsidR="004F03CF">
        <w:rPr>
          <w:rFonts w:ascii="Garamond" w:hAnsi="Garamond" w:cs="Arial"/>
          <w:sz w:val="24"/>
          <w:szCs w:val="24"/>
        </w:rPr>
        <w:t>,</w:t>
      </w:r>
      <w:r w:rsidR="00F92EC2" w:rsidRPr="003A1174">
        <w:rPr>
          <w:rFonts w:ascii="Garamond" w:hAnsi="Garamond" w:cs="Arial"/>
          <w:sz w:val="24"/>
          <w:szCs w:val="24"/>
        </w:rPr>
        <w:t xml:space="preserve"> e</w:t>
      </w:r>
      <w:r w:rsidRPr="003A1174">
        <w:rPr>
          <w:rFonts w:ascii="Garamond" w:hAnsi="Garamond" w:cs="Arial"/>
          <w:sz w:val="24"/>
          <w:szCs w:val="24"/>
        </w:rPr>
        <w:t>m</w:t>
      </w:r>
      <w:r w:rsidR="00F92EC2" w:rsidRPr="003A1174">
        <w:rPr>
          <w:rFonts w:ascii="Garamond" w:hAnsi="Garamond" w:cs="Arial"/>
          <w:sz w:val="24"/>
          <w:szCs w:val="24"/>
        </w:rPr>
        <w:t xml:space="preserve"> </w:t>
      </w:r>
      <w:r w:rsidR="00C553E2" w:rsidRPr="003A1174">
        <w:rPr>
          <w:rFonts w:ascii="Garamond" w:hAnsi="Garamond" w:cs="Arial"/>
          <w:sz w:val="24"/>
          <w:szCs w:val="24"/>
        </w:rPr>
        <w:t>março</w:t>
      </w:r>
      <w:r w:rsidR="00F92EC2" w:rsidRPr="003A1174">
        <w:rPr>
          <w:rFonts w:ascii="Garamond" w:hAnsi="Garamond" w:cs="Arial"/>
          <w:sz w:val="24"/>
          <w:szCs w:val="24"/>
        </w:rPr>
        <w:t xml:space="preserve"> de 2014</w:t>
      </w:r>
      <w:r w:rsidR="004F03CF">
        <w:rPr>
          <w:rFonts w:ascii="Garamond" w:hAnsi="Garamond" w:cs="Arial"/>
          <w:sz w:val="24"/>
          <w:szCs w:val="24"/>
        </w:rPr>
        <w:t>,</w:t>
      </w:r>
      <w:r w:rsidR="00F92EC2" w:rsidRPr="003A1174">
        <w:rPr>
          <w:rFonts w:ascii="Garamond" w:hAnsi="Garamond" w:cs="Arial"/>
          <w:sz w:val="24"/>
          <w:szCs w:val="24"/>
        </w:rPr>
        <w:t xml:space="preserve"> a</w:t>
      </w:r>
      <w:r w:rsidRPr="003A1174">
        <w:rPr>
          <w:rFonts w:ascii="Garamond" w:hAnsi="Garamond" w:cs="Arial"/>
          <w:sz w:val="24"/>
          <w:szCs w:val="24"/>
        </w:rPr>
        <w:t>o</w:t>
      </w:r>
      <w:r w:rsidR="00F92EC2" w:rsidRPr="003A1174">
        <w:rPr>
          <w:rFonts w:ascii="Garamond" w:hAnsi="Garamond" w:cs="Arial"/>
          <w:sz w:val="24"/>
          <w:szCs w:val="24"/>
        </w:rPr>
        <w:t xml:space="preserve"> </w:t>
      </w:r>
      <w:r w:rsidR="003F012B" w:rsidRPr="003A1174">
        <w:rPr>
          <w:rFonts w:ascii="Garamond" w:hAnsi="Garamond" w:cs="Arial"/>
          <w:sz w:val="24"/>
          <w:szCs w:val="24"/>
        </w:rPr>
        <w:t>Congresso</w:t>
      </w:r>
      <w:r w:rsidR="00F92EC2" w:rsidRPr="003A1174">
        <w:rPr>
          <w:rFonts w:ascii="Garamond" w:hAnsi="Garamond" w:cs="Arial"/>
          <w:sz w:val="24"/>
          <w:szCs w:val="24"/>
        </w:rPr>
        <w:t xml:space="preserve"> Nacional d</w:t>
      </w:r>
      <w:r w:rsidRPr="003A1174">
        <w:rPr>
          <w:rFonts w:ascii="Garamond" w:hAnsi="Garamond" w:cs="Arial"/>
          <w:sz w:val="24"/>
          <w:szCs w:val="24"/>
        </w:rPr>
        <w:t xml:space="preserve">as Honduras, sobre </w:t>
      </w:r>
      <w:r w:rsidR="00F92EC2" w:rsidRPr="003A1174">
        <w:rPr>
          <w:rFonts w:ascii="Garamond" w:hAnsi="Garamond" w:cs="Arial"/>
          <w:sz w:val="24"/>
          <w:szCs w:val="24"/>
        </w:rPr>
        <w:t xml:space="preserve">a </w:t>
      </w:r>
      <w:r w:rsidRPr="003A1174">
        <w:rPr>
          <w:rFonts w:ascii="Garamond" w:hAnsi="Garamond" w:cs="Arial"/>
          <w:sz w:val="24"/>
          <w:szCs w:val="24"/>
        </w:rPr>
        <w:t>legalização d</w:t>
      </w:r>
      <w:r w:rsidR="00F92EC2" w:rsidRPr="003A1174">
        <w:rPr>
          <w:rFonts w:ascii="Garamond" w:hAnsi="Garamond" w:cs="Arial"/>
          <w:sz w:val="24"/>
          <w:szCs w:val="24"/>
        </w:rPr>
        <w:t>a Píl</w:t>
      </w:r>
      <w:r w:rsidR="00E34DB3" w:rsidRPr="003A1174">
        <w:rPr>
          <w:rFonts w:ascii="Garamond" w:hAnsi="Garamond" w:cs="Arial"/>
          <w:sz w:val="24"/>
          <w:szCs w:val="24"/>
        </w:rPr>
        <w:t>u</w:t>
      </w:r>
      <w:r w:rsidRPr="003A1174">
        <w:rPr>
          <w:rFonts w:ascii="Garamond" w:hAnsi="Garamond" w:cs="Arial"/>
          <w:sz w:val="24"/>
          <w:szCs w:val="24"/>
        </w:rPr>
        <w:t>l</w:t>
      </w:r>
      <w:r w:rsidR="00F92EC2" w:rsidRPr="003A1174">
        <w:rPr>
          <w:rFonts w:ascii="Garamond" w:hAnsi="Garamond" w:cs="Arial"/>
          <w:sz w:val="24"/>
          <w:szCs w:val="24"/>
        </w:rPr>
        <w:t>a Anticonce</w:t>
      </w:r>
      <w:r w:rsidRPr="003A1174">
        <w:rPr>
          <w:rFonts w:ascii="Garamond" w:hAnsi="Garamond" w:cs="Arial"/>
          <w:sz w:val="24"/>
          <w:szCs w:val="24"/>
        </w:rPr>
        <w:t>cional</w:t>
      </w:r>
      <w:r w:rsidR="00F92EC2" w:rsidRPr="003A1174">
        <w:rPr>
          <w:rFonts w:ascii="Garamond" w:hAnsi="Garamond" w:cs="Arial"/>
          <w:sz w:val="24"/>
          <w:szCs w:val="24"/>
        </w:rPr>
        <w:t xml:space="preserve"> de </w:t>
      </w:r>
      <w:r w:rsidR="009E3E55" w:rsidRPr="003A1174">
        <w:rPr>
          <w:rFonts w:ascii="Garamond" w:hAnsi="Garamond" w:cs="Arial"/>
          <w:sz w:val="24"/>
          <w:szCs w:val="24"/>
        </w:rPr>
        <w:t>Emergência</w:t>
      </w:r>
      <w:r w:rsidR="00F92EC2" w:rsidRPr="003A1174">
        <w:rPr>
          <w:rFonts w:ascii="Garamond" w:hAnsi="Garamond" w:cs="Arial"/>
          <w:sz w:val="24"/>
          <w:szCs w:val="24"/>
        </w:rPr>
        <w:t xml:space="preserve"> (PAE), </w:t>
      </w:r>
      <w:r w:rsidRPr="003A1174">
        <w:rPr>
          <w:rFonts w:ascii="Garamond" w:hAnsi="Garamond" w:cs="Arial"/>
          <w:sz w:val="24"/>
          <w:szCs w:val="24"/>
        </w:rPr>
        <w:t>o Comissário</w:t>
      </w:r>
      <w:r w:rsidR="00F92EC2" w:rsidRPr="003A1174">
        <w:rPr>
          <w:rFonts w:ascii="Garamond" w:hAnsi="Garamond" w:cs="Arial"/>
          <w:sz w:val="24"/>
          <w:szCs w:val="24"/>
        </w:rPr>
        <w:t xml:space="preserve"> Nacional </w:t>
      </w:r>
      <w:r w:rsidR="00497503" w:rsidRPr="003A1174">
        <w:rPr>
          <w:rFonts w:ascii="Garamond" w:hAnsi="Garamond" w:cs="Arial"/>
          <w:sz w:val="24"/>
          <w:szCs w:val="24"/>
        </w:rPr>
        <w:t>dos</w:t>
      </w:r>
      <w:r w:rsidR="00F92EC2" w:rsidRPr="003A1174">
        <w:rPr>
          <w:rFonts w:ascii="Garamond" w:hAnsi="Garamond" w:cs="Arial"/>
          <w:sz w:val="24"/>
          <w:szCs w:val="24"/>
        </w:rPr>
        <w:t xml:space="preserve"> </w:t>
      </w:r>
      <w:r w:rsidR="00886D6A" w:rsidRPr="003A1174">
        <w:rPr>
          <w:rFonts w:ascii="Garamond" w:hAnsi="Garamond" w:cs="Arial"/>
          <w:sz w:val="24"/>
          <w:szCs w:val="24"/>
        </w:rPr>
        <w:t>Direito</w:t>
      </w:r>
      <w:r w:rsidR="00F92EC2" w:rsidRPr="003A1174">
        <w:rPr>
          <w:rFonts w:ascii="Garamond" w:hAnsi="Garamond" w:cs="Arial"/>
          <w:sz w:val="24"/>
          <w:szCs w:val="24"/>
        </w:rPr>
        <w:t>s Humanos (CONADEH) pronunci</w:t>
      </w:r>
      <w:r w:rsidRPr="003A1174">
        <w:rPr>
          <w:rFonts w:ascii="Garamond" w:hAnsi="Garamond" w:cs="Arial"/>
          <w:sz w:val="24"/>
          <w:szCs w:val="24"/>
        </w:rPr>
        <w:t xml:space="preserve">ou-se perante </w:t>
      </w:r>
      <w:r w:rsidR="00F92EC2" w:rsidRPr="003A1174">
        <w:rPr>
          <w:rFonts w:ascii="Garamond" w:hAnsi="Garamond" w:cs="Arial"/>
          <w:sz w:val="24"/>
          <w:szCs w:val="24"/>
        </w:rPr>
        <w:t xml:space="preserve">a </w:t>
      </w:r>
      <w:r w:rsidR="00FC1F7F" w:rsidRPr="003A1174">
        <w:rPr>
          <w:rFonts w:ascii="Garamond" w:hAnsi="Garamond" w:cs="Arial"/>
          <w:sz w:val="24"/>
          <w:szCs w:val="24"/>
        </w:rPr>
        <w:t>Comissão</w:t>
      </w:r>
      <w:r w:rsidR="00F92EC2" w:rsidRPr="003A1174">
        <w:rPr>
          <w:rFonts w:ascii="Garamond" w:hAnsi="Garamond" w:cs="Arial"/>
          <w:sz w:val="24"/>
          <w:szCs w:val="24"/>
        </w:rPr>
        <w:t xml:space="preserve"> de </w:t>
      </w:r>
      <w:r w:rsidR="007C63D0" w:rsidRPr="003A1174">
        <w:rPr>
          <w:rFonts w:ascii="Garamond" w:hAnsi="Garamond" w:cs="Arial"/>
          <w:sz w:val="24"/>
          <w:szCs w:val="24"/>
        </w:rPr>
        <w:t>Saúde</w:t>
      </w:r>
      <w:r w:rsidR="00F92EC2" w:rsidRPr="003A1174">
        <w:rPr>
          <w:rFonts w:ascii="Garamond" w:hAnsi="Garamond" w:cs="Arial"/>
          <w:sz w:val="24"/>
          <w:szCs w:val="24"/>
        </w:rPr>
        <w:t xml:space="preserve"> Legislativa</w:t>
      </w:r>
      <w:r w:rsidR="004F03CF">
        <w:rPr>
          <w:rFonts w:ascii="Garamond" w:hAnsi="Garamond" w:cs="Arial"/>
          <w:sz w:val="24"/>
          <w:szCs w:val="24"/>
        </w:rPr>
        <w:t>,</w:t>
      </w:r>
      <w:r w:rsidR="004F5B28" w:rsidRPr="003A1174">
        <w:rPr>
          <w:rFonts w:ascii="Garamond" w:hAnsi="Garamond" w:cs="Arial"/>
          <w:sz w:val="24"/>
          <w:szCs w:val="24"/>
        </w:rPr>
        <w:t xml:space="preserve"> afirmando</w:t>
      </w:r>
      <w:r w:rsidR="00F92EC2" w:rsidRPr="003A1174">
        <w:rPr>
          <w:rFonts w:ascii="Garamond" w:hAnsi="Garamond" w:cs="Arial"/>
          <w:sz w:val="24"/>
          <w:szCs w:val="24"/>
        </w:rPr>
        <w:t xml:space="preserve"> que esta </w:t>
      </w:r>
      <w:r w:rsidR="00800D59" w:rsidRPr="003A1174">
        <w:rPr>
          <w:rFonts w:ascii="Garamond" w:hAnsi="Garamond" w:cs="Arial"/>
          <w:sz w:val="24"/>
          <w:szCs w:val="24"/>
        </w:rPr>
        <w:t>instituição</w:t>
      </w:r>
      <w:r w:rsidR="00F92EC2" w:rsidRPr="003A1174">
        <w:rPr>
          <w:rFonts w:ascii="Garamond" w:hAnsi="Garamond" w:cs="Arial"/>
          <w:sz w:val="24"/>
          <w:szCs w:val="24"/>
        </w:rPr>
        <w:t xml:space="preserve"> </w:t>
      </w:r>
      <w:r w:rsidR="00625311">
        <w:rPr>
          <w:rFonts w:ascii="Garamond" w:hAnsi="Garamond" w:cs="Arial"/>
          <w:sz w:val="24"/>
          <w:szCs w:val="24"/>
        </w:rPr>
        <w:t xml:space="preserve">defende </w:t>
      </w:r>
      <w:r w:rsidR="008A3DA2" w:rsidRPr="003A1174">
        <w:rPr>
          <w:rFonts w:ascii="Garamond" w:hAnsi="Garamond" w:cs="Arial"/>
          <w:sz w:val="24"/>
          <w:szCs w:val="24"/>
        </w:rPr>
        <w:t>o</w:t>
      </w:r>
      <w:r w:rsidR="00F92EC2"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 à </w:t>
      </w:r>
      <w:r w:rsidR="007C63D0" w:rsidRPr="003A1174">
        <w:rPr>
          <w:rFonts w:ascii="Garamond" w:hAnsi="Garamond" w:cs="Arial"/>
          <w:sz w:val="24"/>
          <w:szCs w:val="24"/>
        </w:rPr>
        <w:t>saúde</w:t>
      </w:r>
      <w:r w:rsidR="00F92EC2" w:rsidRPr="003A1174">
        <w:rPr>
          <w:rFonts w:ascii="Garamond" w:hAnsi="Garamond" w:cs="Arial"/>
          <w:sz w:val="24"/>
          <w:szCs w:val="24"/>
        </w:rPr>
        <w:t xml:space="preserve"> que compr</w:t>
      </w:r>
      <w:r w:rsidRPr="003A1174">
        <w:rPr>
          <w:rFonts w:ascii="Garamond" w:hAnsi="Garamond" w:cs="Arial"/>
          <w:sz w:val="24"/>
          <w:szCs w:val="24"/>
        </w:rPr>
        <w:t>e</w:t>
      </w:r>
      <w:r w:rsidR="00F92EC2" w:rsidRPr="003A1174">
        <w:rPr>
          <w:rFonts w:ascii="Garamond" w:hAnsi="Garamond" w:cs="Arial"/>
          <w:sz w:val="24"/>
          <w:szCs w:val="24"/>
        </w:rPr>
        <w:t xml:space="preserve">ende </w:t>
      </w:r>
      <w:r w:rsidR="00886D6A" w:rsidRPr="003A1174">
        <w:rPr>
          <w:rFonts w:ascii="Garamond" w:hAnsi="Garamond" w:cs="Arial"/>
          <w:sz w:val="24"/>
          <w:szCs w:val="24"/>
        </w:rPr>
        <w:t>direito</w:t>
      </w:r>
      <w:r w:rsidR="00F92EC2" w:rsidRPr="003A1174">
        <w:rPr>
          <w:rFonts w:ascii="Garamond" w:hAnsi="Garamond" w:cs="Arial"/>
          <w:sz w:val="24"/>
          <w:szCs w:val="24"/>
        </w:rPr>
        <w:t>s sexua</w:t>
      </w:r>
      <w:r w:rsidRPr="003A1174">
        <w:rPr>
          <w:rFonts w:ascii="Garamond" w:hAnsi="Garamond" w:cs="Arial"/>
          <w:sz w:val="24"/>
          <w:szCs w:val="24"/>
        </w:rPr>
        <w:t>i</w:t>
      </w:r>
      <w:r w:rsidR="00F92EC2" w:rsidRPr="003A1174">
        <w:rPr>
          <w:rFonts w:ascii="Garamond" w:hAnsi="Garamond" w:cs="Arial"/>
          <w:sz w:val="24"/>
          <w:szCs w:val="24"/>
        </w:rPr>
        <w:t xml:space="preserve">s </w:t>
      </w:r>
      <w:r w:rsidR="00497503" w:rsidRPr="003A1174">
        <w:rPr>
          <w:rFonts w:ascii="Garamond" w:hAnsi="Garamond" w:cs="Arial"/>
          <w:sz w:val="24"/>
          <w:szCs w:val="24"/>
        </w:rPr>
        <w:t>e</w:t>
      </w:r>
      <w:r w:rsidRPr="003A1174">
        <w:rPr>
          <w:rFonts w:ascii="Garamond" w:hAnsi="Garamond" w:cs="Arial"/>
          <w:sz w:val="24"/>
          <w:szCs w:val="24"/>
        </w:rPr>
        <w:t xml:space="preserve"> reprodu</w:t>
      </w:r>
      <w:r w:rsidR="00F92EC2" w:rsidRPr="003A1174">
        <w:rPr>
          <w:rFonts w:ascii="Garamond" w:hAnsi="Garamond" w:cs="Arial"/>
          <w:sz w:val="24"/>
          <w:szCs w:val="24"/>
        </w:rPr>
        <w:t xml:space="preserve">tivos da </w:t>
      </w:r>
      <w:r w:rsidR="00AF192F" w:rsidRPr="003A1174">
        <w:rPr>
          <w:rFonts w:ascii="Garamond" w:hAnsi="Garamond" w:cs="Arial"/>
          <w:sz w:val="24"/>
          <w:szCs w:val="24"/>
        </w:rPr>
        <w:t>mulher</w:t>
      </w:r>
      <w:r w:rsidR="004F5B28" w:rsidRPr="003A1174">
        <w:rPr>
          <w:rFonts w:ascii="Garamond" w:hAnsi="Garamond" w:cs="Arial"/>
          <w:sz w:val="24"/>
          <w:szCs w:val="24"/>
        </w:rPr>
        <w:t>,</w:t>
      </w:r>
      <w:r w:rsidR="00F92EC2" w:rsidRPr="003A1174">
        <w:rPr>
          <w:rFonts w:ascii="Garamond" w:hAnsi="Garamond" w:cs="Arial"/>
          <w:sz w:val="24"/>
          <w:szCs w:val="24"/>
        </w:rPr>
        <w:t xml:space="preserve"> </w:t>
      </w:r>
      <w:r w:rsidRPr="003A1174">
        <w:rPr>
          <w:rFonts w:ascii="Garamond" w:hAnsi="Garamond" w:cs="Arial"/>
          <w:sz w:val="24"/>
          <w:szCs w:val="24"/>
        </w:rPr>
        <w:t xml:space="preserve">tendo em vista </w:t>
      </w:r>
      <w:r w:rsidR="00F92EC2" w:rsidRPr="003A1174">
        <w:rPr>
          <w:rFonts w:ascii="Garamond" w:hAnsi="Garamond" w:cs="Arial"/>
          <w:sz w:val="24"/>
          <w:szCs w:val="24"/>
        </w:rPr>
        <w:t xml:space="preserve">a </w:t>
      </w:r>
      <w:r w:rsidRPr="003A1174">
        <w:rPr>
          <w:rFonts w:ascii="Garamond" w:hAnsi="Garamond" w:cs="Arial"/>
          <w:sz w:val="24"/>
          <w:szCs w:val="24"/>
        </w:rPr>
        <w:t>oposição</w:t>
      </w:r>
      <w:r w:rsidR="00F92EC2" w:rsidRPr="003A1174">
        <w:rPr>
          <w:rFonts w:ascii="Garamond" w:hAnsi="Garamond" w:cs="Arial"/>
          <w:sz w:val="24"/>
          <w:szCs w:val="24"/>
        </w:rPr>
        <w:t xml:space="preserve"> de </w:t>
      </w:r>
      <w:r w:rsidRPr="003A1174">
        <w:rPr>
          <w:rFonts w:ascii="Garamond" w:hAnsi="Garamond" w:cs="Arial"/>
          <w:sz w:val="24"/>
          <w:szCs w:val="24"/>
        </w:rPr>
        <w:t>setores</w:t>
      </w:r>
      <w:r w:rsidR="00F92EC2" w:rsidRPr="003A1174">
        <w:rPr>
          <w:rFonts w:ascii="Garamond" w:hAnsi="Garamond" w:cs="Arial"/>
          <w:sz w:val="24"/>
          <w:szCs w:val="24"/>
        </w:rPr>
        <w:t xml:space="preserve"> </w:t>
      </w:r>
      <w:r w:rsidR="003F012B" w:rsidRPr="003A1174">
        <w:rPr>
          <w:rFonts w:ascii="Garamond" w:hAnsi="Garamond" w:cs="Arial"/>
          <w:sz w:val="24"/>
          <w:szCs w:val="24"/>
        </w:rPr>
        <w:t>sociais</w:t>
      </w:r>
      <w:r w:rsidR="00F92EC2" w:rsidRPr="003A1174">
        <w:rPr>
          <w:rFonts w:ascii="Garamond" w:hAnsi="Garamond" w:cs="Arial"/>
          <w:sz w:val="24"/>
          <w:szCs w:val="24"/>
        </w:rPr>
        <w:t xml:space="preserve"> </w:t>
      </w:r>
      <w:r w:rsidR="00E34DB3" w:rsidRPr="00542E90">
        <w:rPr>
          <w:rFonts w:ascii="Garamond" w:hAnsi="Garamond" w:cs="Arial"/>
          <w:sz w:val="24"/>
          <w:szCs w:val="24"/>
        </w:rPr>
        <w:t xml:space="preserve">relativamente </w:t>
      </w:r>
      <w:r w:rsidR="00F92EC2" w:rsidRPr="00542E90">
        <w:rPr>
          <w:rFonts w:ascii="Garamond" w:hAnsi="Garamond" w:cs="Arial"/>
          <w:sz w:val="24"/>
          <w:szCs w:val="24"/>
        </w:rPr>
        <w:t>a s</w:t>
      </w:r>
      <w:r w:rsidRPr="00542E90">
        <w:rPr>
          <w:rFonts w:ascii="Garamond" w:hAnsi="Garamond" w:cs="Arial"/>
          <w:sz w:val="24"/>
          <w:szCs w:val="24"/>
        </w:rPr>
        <w:t xml:space="preserve">e </w:t>
      </w:r>
      <w:r w:rsidR="00F92EC2" w:rsidRPr="00542E90">
        <w:rPr>
          <w:rFonts w:ascii="Garamond" w:hAnsi="Garamond" w:cs="Arial"/>
          <w:sz w:val="24"/>
          <w:szCs w:val="24"/>
        </w:rPr>
        <w:t xml:space="preserve">a PAE </w:t>
      </w:r>
      <w:r w:rsidRPr="00542E90">
        <w:rPr>
          <w:rFonts w:ascii="Garamond" w:hAnsi="Garamond" w:cs="Arial"/>
          <w:sz w:val="24"/>
          <w:szCs w:val="24"/>
        </w:rPr>
        <w:t>é</w:t>
      </w:r>
      <w:r w:rsidR="00E34DB3" w:rsidRPr="00542E90">
        <w:rPr>
          <w:rFonts w:ascii="Garamond" w:hAnsi="Garamond" w:cs="Arial"/>
          <w:sz w:val="24"/>
          <w:szCs w:val="24"/>
        </w:rPr>
        <w:t>,</w:t>
      </w:r>
      <w:r w:rsidRPr="00542E90">
        <w:rPr>
          <w:rFonts w:ascii="Garamond" w:hAnsi="Garamond" w:cs="Arial"/>
          <w:sz w:val="24"/>
          <w:szCs w:val="24"/>
        </w:rPr>
        <w:t xml:space="preserve"> ou não</w:t>
      </w:r>
      <w:r w:rsidR="00E34DB3" w:rsidRPr="00542E90">
        <w:rPr>
          <w:rFonts w:ascii="Garamond" w:hAnsi="Garamond" w:cs="Arial"/>
          <w:sz w:val="24"/>
          <w:szCs w:val="24"/>
        </w:rPr>
        <w:t>,</w:t>
      </w:r>
      <w:r w:rsidRPr="00542E90">
        <w:rPr>
          <w:rFonts w:ascii="Garamond" w:hAnsi="Garamond" w:cs="Arial"/>
          <w:sz w:val="24"/>
          <w:szCs w:val="24"/>
        </w:rPr>
        <w:t xml:space="preserve"> um </w:t>
      </w:r>
      <w:r w:rsidR="00F92EC2" w:rsidRPr="00542E90">
        <w:rPr>
          <w:rFonts w:ascii="Garamond" w:hAnsi="Garamond" w:cs="Arial"/>
          <w:sz w:val="24"/>
          <w:szCs w:val="24"/>
        </w:rPr>
        <w:t>método anticonce</w:t>
      </w:r>
      <w:r w:rsidRPr="00542E90">
        <w:rPr>
          <w:rFonts w:ascii="Garamond" w:hAnsi="Garamond" w:cs="Arial"/>
          <w:sz w:val="24"/>
          <w:szCs w:val="24"/>
        </w:rPr>
        <w:t xml:space="preserve">cional, </w:t>
      </w:r>
      <w:r w:rsidR="00F92EC2" w:rsidRPr="00542E90">
        <w:rPr>
          <w:rFonts w:ascii="Garamond" w:hAnsi="Garamond" w:cs="Arial"/>
          <w:sz w:val="24"/>
          <w:szCs w:val="24"/>
        </w:rPr>
        <w:t>recomend</w:t>
      </w:r>
      <w:r w:rsidRPr="00542E90">
        <w:rPr>
          <w:rFonts w:ascii="Garamond" w:hAnsi="Garamond" w:cs="Arial"/>
          <w:sz w:val="24"/>
          <w:szCs w:val="24"/>
        </w:rPr>
        <w:t>ou</w:t>
      </w:r>
      <w:r w:rsidR="00F92EC2" w:rsidRPr="00542E90">
        <w:rPr>
          <w:rFonts w:ascii="Garamond" w:hAnsi="Garamond" w:cs="Arial"/>
          <w:sz w:val="24"/>
          <w:szCs w:val="24"/>
        </w:rPr>
        <w:t xml:space="preserve"> a esta </w:t>
      </w:r>
      <w:r w:rsidR="00FC1F7F" w:rsidRPr="00542E90">
        <w:rPr>
          <w:rFonts w:ascii="Garamond" w:hAnsi="Garamond" w:cs="Arial"/>
          <w:sz w:val="24"/>
          <w:szCs w:val="24"/>
        </w:rPr>
        <w:t>comissão</w:t>
      </w:r>
      <w:r w:rsidR="00F92EC2" w:rsidRPr="00542E90">
        <w:rPr>
          <w:rFonts w:ascii="Garamond" w:hAnsi="Garamond" w:cs="Arial"/>
          <w:sz w:val="24"/>
          <w:szCs w:val="24"/>
        </w:rPr>
        <w:t xml:space="preserve"> legislativa </w:t>
      </w:r>
      <w:r w:rsidRPr="00542E90">
        <w:rPr>
          <w:rFonts w:ascii="Garamond" w:hAnsi="Garamond" w:cs="Arial"/>
          <w:sz w:val="24"/>
          <w:szCs w:val="24"/>
        </w:rPr>
        <w:t xml:space="preserve">que </w:t>
      </w:r>
      <w:r w:rsidR="00F92EC2" w:rsidRPr="00542E90">
        <w:rPr>
          <w:rFonts w:ascii="Garamond" w:hAnsi="Garamond" w:cs="Arial"/>
          <w:sz w:val="24"/>
          <w:szCs w:val="24"/>
        </w:rPr>
        <w:t>toma</w:t>
      </w:r>
      <w:r w:rsidRPr="00542E90">
        <w:rPr>
          <w:rFonts w:ascii="Garamond" w:hAnsi="Garamond" w:cs="Arial"/>
          <w:sz w:val="24"/>
          <w:szCs w:val="24"/>
        </w:rPr>
        <w:t xml:space="preserve">sse </w:t>
      </w:r>
      <w:r w:rsidR="005D38DC" w:rsidRPr="00542E90">
        <w:rPr>
          <w:rFonts w:ascii="Garamond" w:hAnsi="Garamond" w:cs="Arial"/>
          <w:sz w:val="24"/>
          <w:szCs w:val="24"/>
        </w:rPr>
        <w:t>decisões</w:t>
      </w:r>
      <w:r w:rsidR="00F92EC2" w:rsidRPr="00542E90">
        <w:rPr>
          <w:rFonts w:ascii="Garamond" w:hAnsi="Garamond" w:cs="Arial"/>
          <w:sz w:val="24"/>
          <w:szCs w:val="24"/>
        </w:rPr>
        <w:t xml:space="preserve"> sustentadas </w:t>
      </w:r>
      <w:r w:rsidRPr="00542E90">
        <w:rPr>
          <w:rFonts w:ascii="Garamond" w:hAnsi="Garamond" w:cs="Arial"/>
          <w:sz w:val="24"/>
          <w:szCs w:val="24"/>
        </w:rPr>
        <w:t>na evidê</w:t>
      </w:r>
      <w:r w:rsidR="00F92EC2" w:rsidRPr="00542E90">
        <w:rPr>
          <w:rFonts w:ascii="Garamond" w:hAnsi="Garamond" w:cs="Arial"/>
          <w:sz w:val="24"/>
          <w:szCs w:val="24"/>
        </w:rPr>
        <w:t xml:space="preserve">ncia científica que resultará da </w:t>
      </w:r>
      <w:r w:rsidR="008537B6" w:rsidRPr="00542E90">
        <w:rPr>
          <w:rFonts w:ascii="Garamond" w:hAnsi="Garamond" w:cs="Arial"/>
          <w:sz w:val="24"/>
          <w:szCs w:val="24"/>
        </w:rPr>
        <w:t>opinião</w:t>
      </w:r>
      <w:r w:rsidR="00F92EC2" w:rsidRPr="00542E90">
        <w:rPr>
          <w:rFonts w:ascii="Garamond" w:hAnsi="Garamond" w:cs="Arial"/>
          <w:sz w:val="24"/>
          <w:szCs w:val="24"/>
        </w:rPr>
        <w:t xml:space="preserve"> </w:t>
      </w:r>
      <w:r w:rsidR="00FB09CA" w:rsidRPr="00542E90">
        <w:rPr>
          <w:rFonts w:ascii="Garamond" w:hAnsi="Garamond" w:cs="Arial"/>
          <w:sz w:val="24"/>
          <w:szCs w:val="24"/>
        </w:rPr>
        <w:t>atual</w:t>
      </w:r>
      <w:r w:rsidR="00F92EC2" w:rsidRPr="00542E90">
        <w:rPr>
          <w:rFonts w:ascii="Garamond" w:hAnsi="Garamond" w:cs="Arial"/>
          <w:sz w:val="24"/>
          <w:szCs w:val="24"/>
        </w:rPr>
        <w:t xml:space="preserve">izada da </w:t>
      </w:r>
      <w:r w:rsidR="008E7A2A" w:rsidRPr="00542E90">
        <w:rPr>
          <w:rFonts w:ascii="Garamond" w:hAnsi="Garamond" w:cs="Arial"/>
          <w:sz w:val="24"/>
          <w:szCs w:val="24"/>
        </w:rPr>
        <w:t>Organização</w:t>
      </w:r>
      <w:r w:rsidRPr="00542E90">
        <w:rPr>
          <w:rFonts w:ascii="Garamond" w:hAnsi="Garamond" w:cs="Arial"/>
          <w:sz w:val="24"/>
          <w:szCs w:val="24"/>
        </w:rPr>
        <w:t xml:space="preserve"> Mundial de </w:t>
      </w:r>
      <w:r w:rsidR="007C63D0" w:rsidRPr="00542E90">
        <w:rPr>
          <w:rFonts w:ascii="Garamond" w:hAnsi="Garamond" w:cs="Arial"/>
          <w:sz w:val="24"/>
          <w:szCs w:val="24"/>
        </w:rPr>
        <w:t>Saúde</w:t>
      </w:r>
      <w:r w:rsidR="00F92EC2" w:rsidRPr="00542E90">
        <w:rPr>
          <w:rFonts w:ascii="Garamond" w:hAnsi="Garamond" w:cs="Arial"/>
          <w:sz w:val="24"/>
          <w:szCs w:val="24"/>
        </w:rPr>
        <w:t xml:space="preserve"> (OMS) </w:t>
      </w:r>
      <w:r w:rsidR="00497503" w:rsidRPr="00542E90">
        <w:rPr>
          <w:rFonts w:ascii="Garamond" w:hAnsi="Garamond" w:cs="Arial"/>
          <w:sz w:val="24"/>
          <w:szCs w:val="24"/>
        </w:rPr>
        <w:t>e</w:t>
      </w:r>
      <w:r w:rsidR="00F92EC2" w:rsidRPr="00542E90">
        <w:rPr>
          <w:rFonts w:ascii="Garamond" w:hAnsi="Garamond" w:cs="Arial"/>
          <w:sz w:val="24"/>
          <w:szCs w:val="24"/>
        </w:rPr>
        <w:t xml:space="preserve"> </w:t>
      </w:r>
      <w:r w:rsidR="004F5B28" w:rsidRPr="00542E90">
        <w:rPr>
          <w:rFonts w:ascii="Garamond" w:hAnsi="Garamond" w:cs="Arial"/>
          <w:sz w:val="24"/>
          <w:szCs w:val="24"/>
        </w:rPr>
        <w:t>d</w:t>
      </w:r>
      <w:r w:rsidR="00F92EC2" w:rsidRPr="00542E90">
        <w:rPr>
          <w:rFonts w:ascii="Garamond" w:hAnsi="Garamond" w:cs="Arial"/>
          <w:sz w:val="24"/>
          <w:szCs w:val="24"/>
        </w:rPr>
        <w:t xml:space="preserve">a </w:t>
      </w:r>
      <w:r w:rsidR="008E7A2A" w:rsidRPr="00542E90">
        <w:rPr>
          <w:rFonts w:ascii="Garamond" w:hAnsi="Garamond" w:cs="Arial"/>
          <w:sz w:val="24"/>
          <w:szCs w:val="24"/>
        </w:rPr>
        <w:t>Organização</w:t>
      </w:r>
      <w:r w:rsidR="00F92EC2" w:rsidRPr="00542E90">
        <w:rPr>
          <w:rFonts w:ascii="Garamond" w:hAnsi="Garamond" w:cs="Arial"/>
          <w:sz w:val="24"/>
          <w:szCs w:val="24"/>
        </w:rPr>
        <w:t xml:space="preserve"> Panamericana d</w:t>
      </w:r>
      <w:r w:rsidRPr="00542E90">
        <w:rPr>
          <w:rFonts w:ascii="Garamond" w:hAnsi="Garamond" w:cs="Arial"/>
          <w:sz w:val="24"/>
          <w:szCs w:val="24"/>
        </w:rPr>
        <w:t>a</w:t>
      </w:r>
      <w:r w:rsidR="00F92EC2" w:rsidRPr="00542E90">
        <w:rPr>
          <w:rFonts w:ascii="Garamond" w:hAnsi="Garamond" w:cs="Arial"/>
          <w:sz w:val="24"/>
          <w:szCs w:val="24"/>
        </w:rPr>
        <w:t xml:space="preserve"> </w:t>
      </w:r>
      <w:r w:rsidR="007C63D0" w:rsidRPr="00542E90">
        <w:rPr>
          <w:rFonts w:ascii="Garamond" w:hAnsi="Garamond" w:cs="Arial"/>
          <w:sz w:val="24"/>
          <w:szCs w:val="24"/>
        </w:rPr>
        <w:t>Saúde</w:t>
      </w:r>
      <w:r w:rsidR="00F92EC2" w:rsidRPr="00542E90">
        <w:rPr>
          <w:rFonts w:ascii="Garamond" w:hAnsi="Garamond" w:cs="Arial"/>
          <w:sz w:val="24"/>
          <w:szCs w:val="24"/>
        </w:rPr>
        <w:t xml:space="preserve"> (OPS), </w:t>
      </w:r>
      <w:r w:rsidRPr="00542E90">
        <w:rPr>
          <w:rFonts w:ascii="Garamond" w:hAnsi="Garamond" w:cs="Arial"/>
          <w:sz w:val="24"/>
          <w:szCs w:val="24"/>
        </w:rPr>
        <w:t xml:space="preserve">como </w:t>
      </w:r>
      <w:r w:rsidR="002C7510" w:rsidRPr="00542E90">
        <w:rPr>
          <w:rFonts w:ascii="Garamond" w:hAnsi="Garamond" w:cs="Arial"/>
          <w:sz w:val="24"/>
          <w:szCs w:val="24"/>
        </w:rPr>
        <w:t>instituições</w:t>
      </w:r>
      <w:r w:rsidRPr="00542E90">
        <w:rPr>
          <w:rFonts w:ascii="Garamond" w:hAnsi="Garamond" w:cs="Arial"/>
          <w:sz w:val="24"/>
          <w:szCs w:val="24"/>
        </w:rPr>
        <w:t xml:space="preserve"> internacionalmente qu</w:t>
      </w:r>
      <w:r w:rsidR="00F92EC2" w:rsidRPr="00542E90">
        <w:rPr>
          <w:rFonts w:ascii="Garamond" w:hAnsi="Garamond" w:cs="Arial"/>
          <w:sz w:val="24"/>
          <w:szCs w:val="24"/>
        </w:rPr>
        <w:t>a</w:t>
      </w:r>
      <w:r w:rsidRPr="00542E90">
        <w:rPr>
          <w:rFonts w:ascii="Garamond" w:hAnsi="Garamond" w:cs="Arial"/>
          <w:sz w:val="24"/>
          <w:szCs w:val="24"/>
        </w:rPr>
        <w:t xml:space="preserve">lificadas para </w:t>
      </w:r>
      <w:r w:rsidRPr="00542E90">
        <w:rPr>
          <w:rFonts w:ascii="Garamond" w:hAnsi="Garamond" w:cs="Arial"/>
          <w:sz w:val="24"/>
          <w:szCs w:val="24"/>
        </w:rPr>
        <w:lastRenderedPageBreak/>
        <w:t>certificar</w:t>
      </w:r>
      <w:r w:rsidR="004F03CF" w:rsidRPr="00542E90">
        <w:rPr>
          <w:rFonts w:ascii="Garamond" w:hAnsi="Garamond" w:cs="Arial"/>
          <w:sz w:val="24"/>
          <w:szCs w:val="24"/>
        </w:rPr>
        <w:t>,</w:t>
      </w:r>
      <w:r w:rsidRPr="00542E90">
        <w:rPr>
          <w:rFonts w:ascii="Garamond" w:hAnsi="Garamond" w:cs="Arial"/>
          <w:sz w:val="24"/>
          <w:szCs w:val="24"/>
        </w:rPr>
        <w:t xml:space="preserve"> cientificamente</w:t>
      </w:r>
      <w:r w:rsidR="004F03CF" w:rsidRPr="00542E90">
        <w:rPr>
          <w:rFonts w:ascii="Garamond" w:hAnsi="Garamond" w:cs="Arial"/>
          <w:sz w:val="24"/>
          <w:szCs w:val="24"/>
        </w:rPr>
        <w:t>,</w:t>
      </w:r>
      <w:r w:rsidRPr="00542E90">
        <w:rPr>
          <w:rFonts w:ascii="Garamond" w:hAnsi="Garamond" w:cs="Arial"/>
          <w:sz w:val="24"/>
          <w:szCs w:val="24"/>
        </w:rPr>
        <w:t xml:space="preserve"> </w:t>
      </w:r>
      <w:r w:rsidR="00F92EC2" w:rsidRPr="00542E90">
        <w:rPr>
          <w:rFonts w:ascii="Garamond" w:hAnsi="Garamond" w:cs="Arial"/>
          <w:sz w:val="24"/>
          <w:szCs w:val="24"/>
        </w:rPr>
        <w:t>os métodos</w:t>
      </w:r>
      <w:r w:rsidR="00F92EC2" w:rsidRPr="003A1174">
        <w:rPr>
          <w:rFonts w:ascii="Garamond" w:hAnsi="Garamond" w:cs="Arial"/>
          <w:sz w:val="24"/>
          <w:szCs w:val="24"/>
        </w:rPr>
        <w:t xml:space="preserve"> anticonce</w:t>
      </w:r>
      <w:r w:rsidRPr="003A1174">
        <w:rPr>
          <w:rFonts w:ascii="Garamond" w:hAnsi="Garamond" w:cs="Arial"/>
          <w:sz w:val="24"/>
          <w:szCs w:val="24"/>
        </w:rPr>
        <w:t xml:space="preserve">cionais </w:t>
      </w:r>
      <w:r w:rsidR="00F92EC2" w:rsidRPr="003A1174">
        <w:rPr>
          <w:rFonts w:ascii="Garamond" w:hAnsi="Garamond" w:cs="Arial"/>
          <w:sz w:val="24"/>
          <w:szCs w:val="24"/>
        </w:rPr>
        <w:t xml:space="preserve">de </w:t>
      </w:r>
      <w:r w:rsidR="009E3E55" w:rsidRPr="003A1174">
        <w:rPr>
          <w:rFonts w:ascii="Garamond" w:hAnsi="Garamond" w:cs="Arial"/>
          <w:sz w:val="24"/>
          <w:szCs w:val="24"/>
        </w:rPr>
        <w:t>emergência</w:t>
      </w:r>
      <w:r w:rsidR="00F92EC2" w:rsidRPr="003A1174">
        <w:rPr>
          <w:rFonts w:ascii="Garamond" w:hAnsi="Garamond" w:cs="Arial"/>
          <w:sz w:val="24"/>
          <w:szCs w:val="24"/>
        </w:rPr>
        <w:t xml:space="preserve">. </w:t>
      </w:r>
      <w:r w:rsidR="00FB09CA" w:rsidRPr="003A1174">
        <w:rPr>
          <w:rFonts w:ascii="Garamond" w:hAnsi="Garamond" w:cs="Arial"/>
          <w:sz w:val="24"/>
          <w:szCs w:val="24"/>
        </w:rPr>
        <w:t>Atual</w:t>
      </w:r>
      <w:r w:rsidR="00F92EC2" w:rsidRPr="003A1174">
        <w:rPr>
          <w:rFonts w:ascii="Garamond" w:hAnsi="Garamond" w:cs="Arial"/>
          <w:sz w:val="24"/>
          <w:szCs w:val="24"/>
        </w:rPr>
        <w:t>mente enc</w:t>
      </w:r>
      <w:r w:rsidRPr="003A1174">
        <w:rPr>
          <w:rFonts w:ascii="Garamond" w:hAnsi="Garamond" w:cs="Arial"/>
          <w:sz w:val="24"/>
          <w:szCs w:val="24"/>
        </w:rPr>
        <w:t xml:space="preserve">ontra-se pendente </w:t>
      </w:r>
      <w:r w:rsidR="00F92EC2" w:rsidRPr="003A1174">
        <w:rPr>
          <w:rFonts w:ascii="Garamond" w:hAnsi="Garamond" w:cs="Arial"/>
          <w:sz w:val="24"/>
          <w:szCs w:val="24"/>
        </w:rPr>
        <w:t xml:space="preserve">a </w:t>
      </w:r>
      <w:r w:rsidRPr="003A1174">
        <w:rPr>
          <w:rFonts w:ascii="Garamond" w:hAnsi="Garamond" w:cs="Arial"/>
          <w:sz w:val="24"/>
          <w:szCs w:val="24"/>
        </w:rPr>
        <w:t>discussão d</w:t>
      </w:r>
      <w:r w:rsidR="00F92EC2" w:rsidRPr="003A1174">
        <w:rPr>
          <w:rFonts w:ascii="Garamond" w:hAnsi="Garamond" w:cs="Arial"/>
          <w:sz w:val="24"/>
          <w:szCs w:val="24"/>
        </w:rPr>
        <w:t xml:space="preserve">este </w:t>
      </w:r>
      <w:r w:rsidR="00C30647" w:rsidRPr="003A1174">
        <w:rPr>
          <w:rFonts w:ascii="Garamond" w:hAnsi="Garamond" w:cs="Arial"/>
          <w:sz w:val="24"/>
          <w:szCs w:val="24"/>
        </w:rPr>
        <w:t>projeto</w:t>
      </w:r>
      <w:r w:rsidR="00F92EC2" w:rsidRPr="003A1174">
        <w:rPr>
          <w:rFonts w:ascii="Garamond" w:hAnsi="Garamond" w:cs="Arial"/>
          <w:sz w:val="24"/>
          <w:szCs w:val="24"/>
        </w:rPr>
        <w:t xml:space="preserve"> de </w:t>
      </w:r>
      <w:r w:rsidR="00D15AFF" w:rsidRPr="003A1174">
        <w:rPr>
          <w:rFonts w:ascii="Garamond" w:hAnsi="Garamond" w:cs="Arial"/>
          <w:sz w:val="24"/>
          <w:szCs w:val="24"/>
        </w:rPr>
        <w:t>lei</w:t>
      </w:r>
      <w:r w:rsidR="00F92EC2" w:rsidRPr="003A1174">
        <w:rPr>
          <w:rFonts w:ascii="Garamond" w:hAnsi="Garamond" w:cs="Arial"/>
          <w:sz w:val="24"/>
          <w:szCs w:val="24"/>
        </w:rPr>
        <w:t>.</w:t>
      </w:r>
    </w:p>
    <w:p w:rsidR="00625311" w:rsidRDefault="00625311">
      <w:pPr>
        <w:rPr>
          <w:rFonts w:ascii="Garamond" w:hAnsi="Garamond" w:cs="Arial"/>
          <w:sz w:val="24"/>
          <w:szCs w:val="24"/>
        </w:rPr>
      </w:pPr>
      <w:r>
        <w:rPr>
          <w:rFonts w:ascii="Garamond" w:hAnsi="Garamond" w:cs="Arial"/>
          <w:sz w:val="24"/>
          <w:szCs w:val="24"/>
        </w:rPr>
        <w:br w:type="page"/>
      </w:r>
    </w:p>
    <w:p w:rsidR="00F92EC2" w:rsidRPr="00625311" w:rsidRDefault="00D96FD0" w:rsidP="008719D4">
      <w:pPr>
        <w:pStyle w:val="Prrafodelista"/>
        <w:numPr>
          <w:ilvl w:val="0"/>
          <w:numId w:val="13"/>
        </w:numPr>
        <w:spacing w:before="240" w:line="240" w:lineRule="auto"/>
        <w:jc w:val="both"/>
        <w:rPr>
          <w:rFonts w:ascii="Garamond" w:hAnsi="Garamond" w:cs="Arial"/>
          <w:b/>
          <w:color w:val="auto"/>
          <w:sz w:val="24"/>
          <w:szCs w:val="24"/>
        </w:rPr>
      </w:pPr>
      <w:r w:rsidRPr="00625311">
        <w:rPr>
          <w:rFonts w:ascii="Garamond" w:hAnsi="Garamond" w:cs="Arial"/>
          <w:b/>
          <w:color w:val="auto"/>
          <w:sz w:val="24"/>
          <w:szCs w:val="24"/>
          <w:lang w:val="pt-PT"/>
        </w:rPr>
        <w:lastRenderedPageBreak/>
        <w:t>Cumprimento</w:t>
      </w:r>
      <w:r w:rsidR="00BE4EB8" w:rsidRPr="00625311">
        <w:rPr>
          <w:rFonts w:ascii="Garamond" w:hAnsi="Garamond" w:cs="Arial"/>
          <w:b/>
          <w:color w:val="auto"/>
          <w:sz w:val="24"/>
          <w:szCs w:val="24"/>
        </w:rPr>
        <w:t xml:space="preserve"> d</w:t>
      </w:r>
      <w:r w:rsidR="00F92EC2" w:rsidRPr="00625311">
        <w:rPr>
          <w:rFonts w:ascii="Garamond" w:hAnsi="Garamond" w:cs="Arial"/>
          <w:b/>
          <w:color w:val="auto"/>
          <w:sz w:val="24"/>
          <w:szCs w:val="24"/>
        </w:rPr>
        <w:t>a</w:t>
      </w:r>
      <w:r w:rsidR="00BE4EB8" w:rsidRPr="00625311">
        <w:rPr>
          <w:rFonts w:ascii="Garamond" w:hAnsi="Garamond" w:cs="Arial"/>
          <w:b/>
          <w:color w:val="auto"/>
          <w:sz w:val="24"/>
          <w:szCs w:val="24"/>
        </w:rPr>
        <w:t>s</w:t>
      </w:r>
      <w:r w:rsidR="00F92EC2" w:rsidRPr="00625311">
        <w:rPr>
          <w:rFonts w:ascii="Garamond" w:hAnsi="Garamond" w:cs="Arial"/>
          <w:b/>
          <w:color w:val="auto"/>
          <w:sz w:val="24"/>
          <w:szCs w:val="24"/>
        </w:rPr>
        <w:t xml:space="preserve"> </w:t>
      </w:r>
      <w:r w:rsidR="00FB76BE" w:rsidRPr="00625311">
        <w:rPr>
          <w:rFonts w:ascii="Garamond" w:hAnsi="Garamond" w:cs="Arial"/>
          <w:b/>
          <w:color w:val="auto"/>
          <w:sz w:val="24"/>
          <w:szCs w:val="24"/>
        </w:rPr>
        <w:t>normas</w:t>
      </w:r>
      <w:r w:rsidR="00F92EC2" w:rsidRPr="00625311">
        <w:rPr>
          <w:rFonts w:ascii="Garamond" w:hAnsi="Garamond" w:cs="Arial"/>
          <w:b/>
          <w:color w:val="auto"/>
          <w:sz w:val="24"/>
          <w:szCs w:val="24"/>
        </w:rPr>
        <w:t xml:space="preserve"> </w:t>
      </w:r>
    </w:p>
    <w:p w:rsidR="00F92EC2" w:rsidRPr="003A1174" w:rsidRDefault="00BE4EB8"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O </w:t>
      </w:r>
      <w:r w:rsidR="00F92EC2" w:rsidRPr="003A1174">
        <w:rPr>
          <w:rFonts w:ascii="Garamond" w:hAnsi="Garamond" w:cs="Arial"/>
          <w:sz w:val="24"/>
          <w:szCs w:val="24"/>
        </w:rPr>
        <w:t xml:space="preserve">Instituto Nacional da </w:t>
      </w:r>
      <w:r w:rsidR="00AF192F" w:rsidRPr="003A1174">
        <w:rPr>
          <w:rFonts w:ascii="Garamond" w:hAnsi="Garamond" w:cs="Arial"/>
          <w:sz w:val="24"/>
          <w:szCs w:val="24"/>
        </w:rPr>
        <w:t>Mulher</w:t>
      </w:r>
      <w:r w:rsidR="00F92EC2" w:rsidRPr="003A1174">
        <w:rPr>
          <w:rFonts w:ascii="Garamond" w:hAnsi="Garamond" w:cs="Arial"/>
          <w:sz w:val="24"/>
          <w:szCs w:val="24"/>
        </w:rPr>
        <w:t xml:space="preserve"> (INAM) </w:t>
      </w:r>
      <w:r w:rsidRPr="003A1174">
        <w:rPr>
          <w:rFonts w:ascii="Garamond" w:hAnsi="Garamond" w:cs="Arial"/>
          <w:sz w:val="24"/>
          <w:szCs w:val="24"/>
        </w:rPr>
        <w:t xml:space="preserve">é </w:t>
      </w:r>
      <w:r w:rsidR="00F92EC2" w:rsidRPr="003A1174">
        <w:rPr>
          <w:rFonts w:ascii="Garamond" w:hAnsi="Garamond" w:cs="Arial"/>
          <w:sz w:val="24"/>
          <w:szCs w:val="24"/>
        </w:rPr>
        <w:t xml:space="preserve">a </w:t>
      </w:r>
      <w:r w:rsidR="00800D59" w:rsidRPr="003A1174">
        <w:rPr>
          <w:rFonts w:ascii="Garamond" w:hAnsi="Garamond" w:cs="Arial"/>
          <w:sz w:val="24"/>
          <w:szCs w:val="24"/>
        </w:rPr>
        <w:t>instituição</w:t>
      </w:r>
      <w:r w:rsidR="00F92EC2" w:rsidRPr="003A1174">
        <w:rPr>
          <w:rFonts w:ascii="Garamond" w:hAnsi="Garamond" w:cs="Arial"/>
          <w:sz w:val="24"/>
          <w:szCs w:val="24"/>
        </w:rPr>
        <w:t xml:space="preserve"> </w:t>
      </w:r>
      <w:r w:rsidR="008A3DA2" w:rsidRPr="003A1174">
        <w:rPr>
          <w:rFonts w:ascii="Garamond" w:hAnsi="Garamond" w:cs="Arial"/>
          <w:sz w:val="24"/>
          <w:szCs w:val="24"/>
        </w:rPr>
        <w:t>do</w:t>
      </w:r>
      <w:r w:rsidR="00F92EC2" w:rsidRPr="003A1174">
        <w:rPr>
          <w:rFonts w:ascii="Garamond" w:hAnsi="Garamond" w:cs="Arial"/>
          <w:sz w:val="24"/>
          <w:szCs w:val="24"/>
        </w:rPr>
        <w:t xml:space="preserve"> Estado </w:t>
      </w:r>
      <w:r w:rsidR="00FC1F7F" w:rsidRPr="003A1174">
        <w:rPr>
          <w:rFonts w:ascii="Garamond" w:hAnsi="Garamond" w:cs="Arial"/>
          <w:sz w:val="24"/>
          <w:szCs w:val="24"/>
        </w:rPr>
        <w:t>responsável</w:t>
      </w:r>
      <w:r w:rsidR="00F92EC2" w:rsidRPr="003A1174">
        <w:rPr>
          <w:rFonts w:ascii="Garamond" w:hAnsi="Garamond" w:cs="Arial"/>
          <w:sz w:val="24"/>
          <w:szCs w:val="24"/>
        </w:rPr>
        <w:t xml:space="preserve"> </w:t>
      </w:r>
      <w:r w:rsidRPr="003A1174">
        <w:rPr>
          <w:rFonts w:ascii="Garamond" w:hAnsi="Garamond" w:cs="Arial"/>
          <w:sz w:val="24"/>
          <w:szCs w:val="24"/>
        </w:rPr>
        <w:t xml:space="preserve">por </w:t>
      </w:r>
      <w:r w:rsidR="00F92EC2" w:rsidRPr="003A1174">
        <w:rPr>
          <w:rFonts w:ascii="Garamond" w:hAnsi="Garamond" w:cs="Arial"/>
          <w:sz w:val="24"/>
          <w:szCs w:val="24"/>
        </w:rPr>
        <w:t>formular, des</w:t>
      </w:r>
      <w:r w:rsidRPr="003A1174">
        <w:rPr>
          <w:rFonts w:ascii="Garamond" w:hAnsi="Garamond" w:cs="Arial"/>
          <w:sz w:val="24"/>
          <w:szCs w:val="24"/>
        </w:rPr>
        <w:t xml:space="preserve">envolver, </w:t>
      </w:r>
      <w:r w:rsidR="00F92EC2" w:rsidRPr="003A1174">
        <w:rPr>
          <w:rFonts w:ascii="Garamond" w:hAnsi="Garamond" w:cs="Arial"/>
          <w:sz w:val="24"/>
          <w:szCs w:val="24"/>
        </w:rPr>
        <w:t xml:space="preserve">promover </w:t>
      </w:r>
      <w:r w:rsidR="00497503" w:rsidRPr="003A1174">
        <w:rPr>
          <w:rFonts w:ascii="Garamond" w:hAnsi="Garamond" w:cs="Arial"/>
          <w:sz w:val="24"/>
          <w:szCs w:val="24"/>
        </w:rPr>
        <w:t>e</w:t>
      </w:r>
      <w:r w:rsidR="00F92EC2" w:rsidRPr="003A1174">
        <w:rPr>
          <w:rFonts w:ascii="Garamond" w:hAnsi="Garamond" w:cs="Arial"/>
          <w:sz w:val="24"/>
          <w:szCs w:val="24"/>
        </w:rPr>
        <w:t xml:space="preserve"> </w:t>
      </w:r>
      <w:r w:rsidR="00FC4A4E" w:rsidRPr="003A1174">
        <w:rPr>
          <w:rFonts w:ascii="Garamond" w:hAnsi="Garamond" w:cs="Arial"/>
          <w:sz w:val="24"/>
          <w:szCs w:val="24"/>
        </w:rPr>
        <w:t>coordenar</w:t>
      </w:r>
      <w:r w:rsidRPr="003A1174">
        <w:rPr>
          <w:rFonts w:ascii="Garamond" w:hAnsi="Garamond" w:cs="Arial"/>
          <w:sz w:val="24"/>
          <w:szCs w:val="24"/>
        </w:rPr>
        <w:t xml:space="preserve"> </w:t>
      </w:r>
      <w:r w:rsidR="00F92EC2" w:rsidRPr="003A1174">
        <w:rPr>
          <w:rFonts w:ascii="Garamond" w:hAnsi="Garamond" w:cs="Arial"/>
          <w:sz w:val="24"/>
          <w:szCs w:val="24"/>
        </w:rPr>
        <w:t xml:space="preserve">a </w:t>
      </w:r>
      <w:r w:rsidR="00EB78D9" w:rsidRPr="003A1174">
        <w:rPr>
          <w:rFonts w:ascii="Garamond" w:hAnsi="Garamond" w:cs="Arial"/>
          <w:sz w:val="24"/>
          <w:szCs w:val="24"/>
        </w:rPr>
        <w:t>execução</w:t>
      </w:r>
      <w:r w:rsidR="00F92EC2" w:rsidRPr="003A1174">
        <w:rPr>
          <w:rFonts w:ascii="Garamond" w:hAnsi="Garamond" w:cs="Arial"/>
          <w:sz w:val="24"/>
          <w:szCs w:val="24"/>
        </w:rPr>
        <w:t xml:space="preserve"> </w:t>
      </w:r>
      <w:r w:rsidR="00497503" w:rsidRPr="003A1174">
        <w:rPr>
          <w:rFonts w:ascii="Garamond" w:hAnsi="Garamond" w:cs="Arial"/>
          <w:sz w:val="24"/>
          <w:szCs w:val="24"/>
        </w:rPr>
        <w:t>e</w:t>
      </w:r>
      <w:proofErr w:type="gramStart"/>
      <w:r w:rsidR="00F92EC2" w:rsidRPr="003A1174">
        <w:rPr>
          <w:rFonts w:ascii="Garamond" w:hAnsi="Garamond" w:cs="Arial"/>
          <w:sz w:val="24"/>
          <w:szCs w:val="24"/>
        </w:rPr>
        <w:t xml:space="preserve"> </w:t>
      </w:r>
      <w:r w:rsidR="00542E90">
        <w:rPr>
          <w:rFonts w:ascii="Garamond" w:hAnsi="Garamond" w:cs="Arial"/>
          <w:sz w:val="24"/>
          <w:szCs w:val="24"/>
        </w:rPr>
        <w:t xml:space="preserve"> </w:t>
      </w:r>
      <w:proofErr w:type="gramEnd"/>
      <w:r w:rsidR="00542E90">
        <w:rPr>
          <w:rFonts w:ascii="Garamond" w:hAnsi="Garamond" w:cs="Arial"/>
          <w:sz w:val="24"/>
          <w:szCs w:val="24"/>
        </w:rPr>
        <w:t xml:space="preserve">prosseguimento </w:t>
      </w:r>
      <w:r w:rsidRPr="003A1174">
        <w:rPr>
          <w:rFonts w:ascii="Garamond" w:hAnsi="Garamond" w:cs="Arial"/>
          <w:sz w:val="24"/>
          <w:szCs w:val="24"/>
        </w:rPr>
        <w:t>d</w:t>
      </w:r>
      <w:r w:rsidR="00F92EC2" w:rsidRPr="003A1174">
        <w:rPr>
          <w:rFonts w:ascii="Garamond" w:hAnsi="Garamond" w:cs="Arial"/>
          <w:sz w:val="24"/>
          <w:szCs w:val="24"/>
        </w:rPr>
        <w:t xml:space="preserve">a Política Nacional da </w:t>
      </w:r>
      <w:r w:rsidR="00AF192F" w:rsidRPr="003A1174">
        <w:rPr>
          <w:rFonts w:ascii="Garamond" w:hAnsi="Garamond" w:cs="Arial"/>
          <w:sz w:val="24"/>
          <w:szCs w:val="24"/>
        </w:rPr>
        <w:t>Mulher</w:t>
      </w:r>
      <w:r w:rsidR="00F92EC2" w:rsidRPr="003A1174">
        <w:rPr>
          <w:rFonts w:ascii="Garamond" w:hAnsi="Garamond" w:cs="Arial"/>
          <w:sz w:val="24"/>
          <w:szCs w:val="24"/>
        </w:rPr>
        <w:t xml:space="preserve">, </w:t>
      </w:r>
      <w:r w:rsidR="00497503" w:rsidRPr="003A1174">
        <w:rPr>
          <w:rFonts w:ascii="Garamond" w:hAnsi="Garamond" w:cs="Arial"/>
          <w:sz w:val="24"/>
          <w:szCs w:val="24"/>
        </w:rPr>
        <w:t>e</w:t>
      </w:r>
      <w:r w:rsidR="00F92EC2" w:rsidRPr="003A1174">
        <w:rPr>
          <w:rFonts w:ascii="Garamond" w:hAnsi="Garamond" w:cs="Arial"/>
          <w:sz w:val="24"/>
          <w:szCs w:val="24"/>
        </w:rPr>
        <w:t xml:space="preserve"> </w:t>
      </w:r>
      <w:r w:rsidR="008A3DA2" w:rsidRPr="003A1174">
        <w:rPr>
          <w:rFonts w:ascii="Garamond" w:hAnsi="Garamond" w:cs="Arial"/>
          <w:sz w:val="24"/>
          <w:szCs w:val="24"/>
        </w:rPr>
        <w:t>do</w:t>
      </w:r>
      <w:r w:rsidR="00F92EC2" w:rsidRPr="003A1174">
        <w:rPr>
          <w:rFonts w:ascii="Garamond" w:hAnsi="Garamond" w:cs="Arial"/>
          <w:sz w:val="24"/>
          <w:szCs w:val="24"/>
        </w:rPr>
        <w:t xml:space="preserve"> II </w:t>
      </w:r>
      <w:r w:rsidR="00462B11" w:rsidRPr="003A1174">
        <w:rPr>
          <w:rFonts w:ascii="Garamond" w:hAnsi="Garamond" w:cs="Arial"/>
          <w:sz w:val="24"/>
          <w:szCs w:val="24"/>
        </w:rPr>
        <w:t>Plano</w:t>
      </w:r>
      <w:r w:rsidR="00F92EC2" w:rsidRPr="003A1174">
        <w:rPr>
          <w:rFonts w:ascii="Garamond" w:hAnsi="Garamond" w:cs="Arial"/>
          <w:sz w:val="24"/>
          <w:szCs w:val="24"/>
        </w:rPr>
        <w:t xml:space="preserve"> de </w:t>
      </w:r>
      <w:r w:rsidR="002C7510" w:rsidRPr="003A1174">
        <w:rPr>
          <w:rFonts w:ascii="Garamond" w:hAnsi="Garamond" w:cs="Arial"/>
          <w:sz w:val="24"/>
          <w:szCs w:val="24"/>
        </w:rPr>
        <w:t>Igualdade</w:t>
      </w:r>
      <w:r w:rsidR="00F92EC2" w:rsidRPr="003A1174">
        <w:rPr>
          <w:rFonts w:ascii="Garamond" w:hAnsi="Garamond" w:cs="Arial"/>
          <w:sz w:val="24"/>
          <w:szCs w:val="24"/>
        </w:rPr>
        <w:t xml:space="preserve"> </w:t>
      </w:r>
      <w:r w:rsidR="00497503" w:rsidRPr="003A1174">
        <w:rPr>
          <w:rFonts w:ascii="Garamond" w:hAnsi="Garamond" w:cs="Arial"/>
          <w:sz w:val="24"/>
          <w:szCs w:val="24"/>
        </w:rPr>
        <w:t>e</w:t>
      </w:r>
      <w:r w:rsidR="00F92EC2" w:rsidRPr="003A1174">
        <w:rPr>
          <w:rFonts w:ascii="Garamond" w:hAnsi="Garamond" w:cs="Arial"/>
          <w:sz w:val="24"/>
          <w:szCs w:val="24"/>
        </w:rPr>
        <w:t xml:space="preserve"> </w:t>
      </w:r>
      <w:r w:rsidR="00C01806" w:rsidRPr="003A1174">
        <w:rPr>
          <w:rFonts w:ascii="Garamond" w:hAnsi="Garamond" w:cs="Arial"/>
          <w:sz w:val="24"/>
          <w:szCs w:val="24"/>
        </w:rPr>
        <w:t>Equidade</w:t>
      </w:r>
      <w:r w:rsidR="00F92EC2" w:rsidRPr="003A1174">
        <w:rPr>
          <w:rFonts w:ascii="Garamond" w:hAnsi="Garamond" w:cs="Arial"/>
          <w:sz w:val="24"/>
          <w:szCs w:val="24"/>
        </w:rPr>
        <w:t xml:space="preserve"> de Género d</w:t>
      </w:r>
      <w:r w:rsidRPr="003A1174">
        <w:rPr>
          <w:rFonts w:ascii="Garamond" w:hAnsi="Garamond" w:cs="Arial"/>
          <w:sz w:val="24"/>
          <w:szCs w:val="24"/>
        </w:rPr>
        <w:t>as</w:t>
      </w:r>
      <w:r w:rsidR="00F92EC2" w:rsidRPr="003A1174">
        <w:rPr>
          <w:rFonts w:ascii="Garamond" w:hAnsi="Garamond" w:cs="Arial"/>
          <w:sz w:val="24"/>
          <w:szCs w:val="24"/>
        </w:rPr>
        <w:t xml:space="preserve"> Honduras.</w:t>
      </w:r>
    </w:p>
    <w:p w:rsidR="00F92EC2" w:rsidRPr="003A1174" w:rsidRDefault="00F92EC2" w:rsidP="008719D4">
      <w:pPr>
        <w:spacing w:after="0" w:line="240" w:lineRule="auto"/>
        <w:jc w:val="both"/>
        <w:rPr>
          <w:rFonts w:ascii="Garamond" w:hAnsi="Garamond" w:cs="Arial"/>
          <w:sz w:val="24"/>
          <w:szCs w:val="24"/>
        </w:rPr>
      </w:pPr>
    </w:p>
    <w:p w:rsidR="00F92EC2" w:rsidRPr="003A1174" w:rsidRDefault="00F92EC2" w:rsidP="00CA1D1A">
      <w:pPr>
        <w:spacing w:after="0" w:line="240" w:lineRule="auto"/>
        <w:jc w:val="both"/>
        <w:rPr>
          <w:rFonts w:ascii="Garamond" w:hAnsi="Garamond" w:cs="Arial"/>
          <w:sz w:val="24"/>
          <w:szCs w:val="24"/>
        </w:rPr>
      </w:pPr>
      <w:r w:rsidRPr="003A1174">
        <w:rPr>
          <w:rFonts w:ascii="Garamond" w:hAnsi="Garamond" w:cs="Arial"/>
          <w:sz w:val="24"/>
          <w:szCs w:val="24"/>
        </w:rPr>
        <w:t xml:space="preserve">Entre </w:t>
      </w:r>
      <w:r w:rsidR="004F5B28" w:rsidRPr="003A1174">
        <w:rPr>
          <w:rFonts w:ascii="Garamond" w:hAnsi="Garamond" w:cs="Arial"/>
          <w:sz w:val="24"/>
          <w:szCs w:val="24"/>
        </w:rPr>
        <w:t xml:space="preserve">os </w:t>
      </w:r>
      <w:r w:rsidR="00FC1F7F" w:rsidRPr="003A1174">
        <w:rPr>
          <w:rFonts w:ascii="Garamond" w:hAnsi="Garamond" w:cs="Arial"/>
          <w:sz w:val="24"/>
          <w:szCs w:val="24"/>
        </w:rPr>
        <w:t>avanços</w:t>
      </w:r>
      <w:r w:rsidRPr="003A1174">
        <w:rPr>
          <w:rFonts w:ascii="Garamond" w:hAnsi="Garamond" w:cs="Arial"/>
          <w:sz w:val="24"/>
          <w:szCs w:val="24"/>
        </w:rPr>
        <w:t xml:space="preserve"> importantes </w:t>
      </w:r>
      <w:r w:rsidR="00CA1D1A" w:rsidRPr="003A1174">
        <w:rPr>
          <w:rFonts w:ascii="Garamond" w:hAnsi="Garamond" w:cs="Arial"/>
          <w:sz w:val="24"/>
          <w:szCs w:val="24"/>
        </w:rPr>
        <w:t>n</w:t>
      </w:r>
      <w:r w:rsidRPr="003A1174">
        <w:rPr>
          <w:rFonts w:ascii="Garamond" w:hAnsi="Garamond" w:cs="Arial"/>
          <w:sz w:val="24"/>
          <w:szCs w:val="24"/>
        </w:rPr>
        <w:t xml:space="preserve">a </w:t>
      </w:r>
      <w:r w:rsidR="002F5CD1" w:rsidRPr="003A1174">
        <w:rPr>
          <w:rFonts w:ascii="Garamond" w:hAnsi="Garamond" w:cs="Arial"/>
          <w:sz w:val="24"/>
          <w:szCs w:val="24"/>
        </w:rPr>
        <w:t>promoção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886D6A" w:rsidRPr="003A1174">
        <w:rPr>
          <w:rFonts w:ascii="Garamond" w:hAnsi="Garamond" w:cs="Arial"/>
          <w:sz w:val="24"/>
          <w:szCs w:val="24"/>
        </w:rPr>
        <w:t>proteção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w:t>
      </w:r>
      <w:r w:rsidR="00F520D6" w:rsidRPr="003A1174">
        <w:rPr>
          <w:rFonts w:ascii="Garamond" w:hAnsi="Garamond" w:cs="Arial"/>
          <w:sz w:val="24"/>
          <w:szCs w:val="24"/>
        </w:rPr>
        <w:t>encontram</w:t>
      </w:r>
      <w:r w:rsidR="00CA1D1A" w:rsidRPr="003A1174">
        <w:rPr>
          <w:rFonts w:ascii="Garamond" w:hAnsi="Garamond" w:cs="Arial"/>
          <w:sz w:val="24"/>
          <w:szCs w:val="24"/>
        </w:rPr>
        <w:t xml:space="preserve">-se </w:t>
      </w:r>
      <w:r w:rsidRPr="003A1174">
        <w:rPr>
          <w:rFonts w:ascii="Garamond" w:hAnsi="Garamond" w:cs="Arial"/>
          <w:sz w:val="24"/>
          <w:szCs w:val="24"/>
        </w:rPr>
        <w:t xml:space="preserve">a </w:t>
      </w:r>
      <w:r w:rsidR="00201889" w:rsidRPr="003A1174">
        <w:rPr>
          <w:rFonts w:ascii="Garamond" w:hAnsi="Garamond" w:cs="Arial"/>
          <w:sz w:val="24"/>
          <w:szCs w:val="24"/>
        </w:rPr>
        <w:t>criação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2470B1" w:rsidRPr="003A1174">
        <w:rPr>
          <w:rFonts w:ascii="Garamond" w:hAnsi="Garamond" w:cs="Arial"/>
          <w:sz w:val="24"/>
          <w:szCs w:val="24"/>
        </w:rPr>
        <w:t>Tribunais</w:t>
      </w:r>
      <w:r w:rsidRPr="003A1174">
        <w:rPr>
          <w:rFonts w:ascii="Garamond" w:hAnsi="Garamond" w:cs="Arial"/>
          <w:sz w:val="24"/>
          <w:szCs w:val="24"/>
        </w:rPr>
        <w:t xml:space="preserve"> de </w:t>
      </w:r>
      <w:r w:rsidR="006C7AF1" w:rsidRPr="003A1174">
        <w:rPr>
          <w:rFonts w:ascii="Garamond" w:hAnsi="Garamond" w:cs="Arial"/>
          <w:sz w:val="24"/>
          <w:szCs w:val="24"/>
        </w:rPr>
        <w:t>Família</w:t>
      </w:r>
      <w:r w:rsidRPr="003A1174">
        <w:rPr>
          <w:rFonts w:ascii="Garamond" w:hAnsi="Garamond" w:cs="Arial"/>
          <w:sz w:val="24"/>
          <w:szCs w:val="24"/>
        </w:rPr>
        <w:t xml:space="preserve">, </w:t>
      </w:r>
      <w:r w:rsidR="002470B1" w:rsidRPr="003A1174">
        <w:rPr>
          <w:rFonts w:ascii="Garamond" w:hAnsi="Garamond" w:cs="Arial"/>
          <w:sz w:val="24"/>
          <w:szCs w:val="24"/>
        </w:rPr>
        <w:t>Tribunais</w:t>
      </w:r>
      <w:r w:rsidR="00CA1D1A" w:rsidRPr="003A1174">
        <w:rPr>
          <w:rFonts w:ascii="Garamond" w:hAnsi="Garamond" w:cs="Arial"/>
          <w:sz w:val="24"/>
          <w:szCs w:val="24"/>
        </w:rPr>
        <w:t xml:space="preserve"> Especializados contra </w:t>
      </w:r>
      <w:r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Doméstica </w:t>
      </w:r>
      <w:r w:rsidR="00CA1D1A" w:rsidRPr="003A1174">
        <w:rPr>
          <w:rFonts w:ascii="Garamond" w:hAnsi="Garamond" w:cs="Arial"/>
          <w:sz w:val="24"/>
          <w:szCs w:val="24"/>
        </w:rPr>
        <w:t xml:space="preserve">no </w:t>
      </w:r>
      <w:r w:rsidRPr="003A1174">
        <w:rPr>
          <w:rFonts w:ascii="Garamond" w:hAnsi="Garamond" w:cs="Arial"/>
          <w:sz w:val="24"/>
          <w:szCs w:val="24"/>
        </w:rPr>
        <w:t>Poder Judicial</w:t>
      </w:r>
      <w:r w:rsidR="004F5B28" w:rsidRPr="003A1174">
        <w:rPr>
          <w:rFonts w:ascii="Garamond" w:hAnsi="Garamond" w:cs="Arial"/>
          <w:sz w:val="24"/>
          <w:szCs w:val="24"/>
        </w:rPr>
        <w:t>;</w:t>
      </w:r>
      <w:r w:rsidR="00CA1D1A" w:rsidRPr="003A1174">
        <w:rPr>
          <w:rFonts w:ascii="Garamond" w:hAnsi="Garamond" w:cs="Arial"/>
          <w:sz w:val="24"/>
          <w:szCs w:val="24"/>
        </w:rPr>
        <w:t xml:space="preserve"> </w:t>
      </w:r>
      <w:r w:rsidRPr="003A1174">
        <w:rPr>
          <w:rFonts w:ascii="Garamond" w:hAnsi="Garamond" w:cs="Arial"/>
          <w:sz w:val="24"/>
          <w:szCs w:val="24"/>
        </w:rPr>
        <w:t xml:space="preserve">a </w:t>
      </w:r>
      <w:r w:rsidR="00201889" w:rsidRPr="003A1174">
        <w:rPr>
          <w:rFonts w:ascii="Garamond" w:hAnsi="Garamond" w:cs="Arial"/>
          <w:sz w:val="24"/>
          <w:szCs w:val="24"/>
        </w:rPr>
        <w:t>criação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D75A07" w:rsidRPr="003A1174">
        <w:rPr>
          <w:rFonts w:ascii="Garamond" w:hAnsi="Garamond" w:cs="Arial"/>
          <w:sz w:val="24"/>
          <w:szCs w:val="24"/>
        </w:rPr>
        <w:t xml:space="preserve">Assessorias </w:t>
      </w:r>
      <w:r w:rsidRPr="003A1174">
        <w:rPr>
          <w:rFonts w:ascii="Garamond" w:hAnsi="Garamond" w:cs="Arial"/>
          <w:sz w:val="24"/>
          <w:szCs w:val="24"/>
        </w:rPr>
        <w:t xml:space="preserve">de </w:t>
      </w:r>
      <w:r w:rsidR="006C7AF1" w:rsidRPr="003A1174">
        <w:rPr>
          <w:rFonts w:ascii="Garamond" w:hAnsi="Garamond" w:cs="Arial"/>
          <w:sz w:val="24"/>
          <w:szCs w:val="24"/>
        </w:rPr>
        <w:t>Família</w:t>
      </w:r>
      <w:r w:rsidRPr="003A1174">
        <w:rPr>
          <w:rFonts w:ascii="Garamond" w:hAnsi="Garamond" w:cs="Arial"/>
          <w:sz w:val="24"/>
          <w:szCs w:val="24"/>
        </w:rPr>
        <w:t xml:space="preserve"> </w:t>
      </w:r>
      <w:r w:rsidR="00D75A07" w:rsidRPr="003A1174">
        <w:rPr>
          <w:rFonts w:ascii="Garamond" w:hAnsi="Garamond" w:cs="Arial"/>
          <w:sz w:val="24"/>
          <w:szCs w:val="24"/>
        </w:rPr>
        <w:t>n</w:t>
      </w:r>
      <w:r w:rsidRPr="003A1174">
        <w:rPr>
          <w:rFonts w:ascii="Garamond" w:hAnsi="Garamond" w:cs="Arial"/>
          <w:sz w:val="24"/>
          <w:szCs w:val="24"/>
        </w:rPr>
        <w:t xml:space="preserve">os Centros de </w:t>
      </w:r>
      <w:r w:rsidR="007C63D0" w:rsidRPr="003A1174">
        <w:rPr>
          <w:rFonts w:ascii="Garamond" w:hAnsi="Garamond" w:cs="Arial"/>
          <w:sz w:val="24"/>
          <w:szCs w:val="24"/>
        </w:rPr>
        <w:t>Saúde</w:t>
      </w:r>
      <w:r w:rsidR="004F5B28" w:rsidRPr="003A1174">
        <w:rPr>
          <w:rFonts w:ascii="Garamond" w:hAnsi="Garamond" w:cs="Arial"/>
          <w:sz w:val="24"/>
          <w:szCs w:val="24"/>
        </w:rPr>
        <w:t xml:space="preserve">; </w:t>
      </w:r>
      <w:r w:rsidR="00D75A07" w:rsidRPr="003A1174">
        <w:rPr>
          <w:rFonts w:ascii="Garamond" w:hAnsi="Garamond" w:cs="Arial"/>
          <w:sz w:val="24"/>
          <w:szCs w:val="24"/>
        </w:rPr>
        <w:t xml:space="preserve">O Ministério Público </w:t>
      </w:r>
      <w:r w:rsidRPr="003A1174">
        <w:rPr>
          <w:rFonts w:ascii="Garamond" w:hAnsi="Garamond" w:cs="Arial"/>
          <w:sz w:val="24"/>
          <w:szCs w:val="24"/>
        </w:rPr>
        <w:t xml:space="preserve">Especial da </w:t>
      </w:r>
      <w:r w:rsidR="00AF192F" w:rsidRPr="003A1174">
        <w:rPr>
          <w:rFonts w:ascii="Garamond" w:hAnsi="Garamond" w:cs="Arial"/>
          <w:sz w:val="24"/>
          <w:szCs w:val="24"/>
        </w:rPr>
        <w:t>Mulher</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D75A07" w:rsidRPr="003A1174">
        <w:rPr>
          <w:rFonts w:ascii="Garamond" w:hAnsi="Garamond" w:cs="Arial"/>
          <w:sz w:val="24"/>
          <w:szCs w:val="24"/>
        </w:rPr>
        <w:t>o</w:t>
      </w:r>
      <w:r w:rsidRPr="003A1174">
        <w:rPr>
          <w:rFonts w:ascii="Garamond" w:hAnsi="Garamond" w:cs="Arial"/>
          <w:sz w:val="24"/>
          <w:szCs w:val="24"/>
        </w:rPr>
        <w:t xml:space="preserve"> Modelo de </w:t>
      </w:r>
      <w:r w:rsidR="008278C4" w:rsidRPr="003A1174">
        <w:rPr>
          <w:rFonts w:ascii="Garamond" w:hAnsi="Garamond" w:cs="Arial"/>
          <w:sz w:val="24"/>
          <w:szCs w:val="24"/>
        </w:rPr>
        <w:t>Atenção</w:t>
      </w:r>
      <w:r w:rsidRPr="003A1174">
        <w:rPr>
          <w:rFonts w:ascii="Garamond" w:hAnsi="Garamond" w:cs="Arial"/>
          <w:sz w:val="24"/>
          <w:szCs w:val="24"/>
        </w:rPr>
        <w:t xml:space="preserve"> Integral </w:t>
      </w:r>
      <w:r w:rsidR="008A3DA2" w:rsidRPr="003A1174">
        <w:rPr>
          <w:rFonts w:ascii="Garamond" w:hAnsi="Garamond" w:cs="Arial"/>
          <w:sz w:val="24"/>
          <w:szCs w:val="24"/>
        </w:rPr>
        <w:t>do</w:t>
      </w:r>
      <w:r w:rsidRPr="003A1174">
        <w:rPr>
          <w:rFonts w:ascii="Garamond" w:hAnsi="Garamond" w:cs="Arial"/>
          <w:sz w:val="24"/>
          <w:szCs w:val="24"/>
        </w:rPr>
        <w:t xml:space="preserve"> </w:t>
      </w:r>
      <w:r w:rsidR="00D77C19" w:rsidRPr="003A1174">
        <w:rPr>
          <w:rFonts w:ascii="Garamond" w:hAnsi="Garamond" w:cs="Arial"/>
          <w:sz w:val="24"/>
          <w:szCs w:val="24"/>
        </w:rPr>
        <w:t>Ministério</w:t>
      </w:r>
      <w:r w:rsidR="00D75A07" w:rsidRPr="003A1174">
        <w:rPr>
          <w:rFonts w:ascii="Garamond" w:hAnsi="Garamond" w:cs="Arial"/>
          <w:sz w:val="24"/>
          <w:szCs w:val="24"/>
        </w:rPr>
        <w:t xml:space="preserve"> Público, </w:t>
      </w:r>
      <w:r w:rsidRPr="003A1174">
        <w:rPr>
          <w:rFonts w:ascii="Garamond" w:hAnsi="Garamond" w:cs="Arial"/>
          <w:sz w:val="24"/>
          <w:szCs w:val="24"/>
        </w:rPr>
        <w:t xml:space="preserve">as Unidades de Género </w:t>
      </w:r>
      <w:r w:rsidR="00D75A07" w:rsidRPr="003A1174">
        <w:rPr>
          <w:rFonts w:ascii="Garamond" w:hAnsi="Garamond" w:cs="Arial"/>
          <w:sz w:val="24"/>
          <w:szCs w:val="24"/>
        </w:rPr>
        <w:t>n</w:t>
      </w:r>
      <w:r w:rsidRPr="003A1174">
        <w:rPr>
          <w:rFonts w:ascii="Garamond" w:hAnsi="Garamond" w:cs="Arial"/>
          <w:sz w:val="24"/>
          <w:szCs w:val="24"/>
        </w:rPr>
        <w:t xml:space="preserve">as </w:t>
      </w:r>
      <w:r w:rsidR="00D75A07" w:rsidRPr="003A1174">
        <w:rPr>
          <w:rFonts w:ascii="Garamond" w:hAnsi="Garamond" w:cs="Arial"/>
          <w:sz w:val="24"/>
          <w:szCs w:val="24"/>
        </w:rPr>
        <w:t>secretaria</w:t>
      </w:r>
      <w:r w:rsidRPr="003A1174">
        <w:rPr>
          <w:rFonts w:ascii="Garamond" w:hAnsi="Garamond" w:cs="Arial"/>
          <w:sz w:val="24"/>
          <w:szCs w:val="24"/>
        </w:rPr>
        <w:t xml:space="preserve">s de Estado </w:t>
      </w:r>
      <w:r w:rsidR="00497503" w:rsidRPr="003A1174">
        <w:rPr>
          <w:rFonts w:ascii="Garamond" w:hAnsi="Garamond" w:cs="Arial"/>
          <w:sz w:val="24"/>
          <w:szCs w:val="24"/>
        </w:rPr>
        <w:t>e</w:t>
      </w:r>
      <w:r w:rsidRPr="003A1174">
        <w:rPr>
          <w:rFonts w:ascii="Garamond" w:hAnsi="Garamond" w:cs="Arial"/>
          <w:sz w:val="24"/>
          <w:szCs w:val="24"/>
        </w:rPr>
        <w:t xml:space="preserve"> </w:t>
      </w:r>
      <w:r w:rsidR="00D75A07" w:rsidRPr="003A1174">
        <w:rPr>
          <w:rFonts w:ascii="Garamond" w:hAnsi="Garamond" w:cs="Arial"/>
          <w:sz w:val="24"/>
          <w:szCs w:val="24"/>
        </w:rPr>
        <w:t>o</w:t>
      </w:r>
      <w:r w:rsidRPr="003A1174">
        <w:rPr>
          <w:rFonts w:ascii="Garamond" w:hAnsi="Garamond" w:cs="Arial"/>
          <w:sz w:val="24"/>
          <w:szCs w:val="24"/>
        </w:rPr>
        <w:t xml:space="preserve">s </w:t>
      </w:r>
      <w:r w:rsidR="00D75A07" w:rsidRPr="003A1174">
        <w:rPr>
          <w:rFonts w:ascii="Garamond" w:hAnsi="Garamond" w:cs="Arial"/>
          <w:sz w:val="24"/>
          <w:szCs w:val="24"/>
        </w:rPr>
        <w:t xml:space="preserve">Gabinetes </w:t>
      </w:r>
      <w:r w:rsidR="00374785" w:rsidRPr="003A1174">
        <w:rPr>
          <w:rFonts w:ascii="Garamond" w:hAnsi="Garamond" w:cs="Arial"/>
          <w:sz w:val="24"/>
          <w:szCs w:val="24"/>
        </w:rPr>
        <w:t>Municipais</w:t>
      </w:r>
      <w:r w:rsidRPr="003A1174">
        <w:rPr>
          <w:rFonts w:ascii="Garamond" w:hAnsi="Garamond" w:cs="Arial"/>
          <w:sz w:val="24"/>
          <w:szCs w:val="24"/>
        </w:rPr>
        <w:t xml:space="preserve"> da </w:t>
      </w:r>
      <w:r w:rsidR="00AF192F" w:rsidRPr="003A1174">
        <w:rPr>
          <w:rFonts w:ascii="Garamond" w:hAnsi="Garamond" w:cs="Arial"/>
          <w:sz w:val="24"/>
          <w:szCs w:val="24"/>
        </w:rPr>
        <w:t>Mulher</w:t>
      </w:r>
      <w:r w:rsidR="004F5B28" w:rsidRPr="003A1174">
        <w:rPr>
          <w:rFonts w:ascii="Garamond" w:hAnsi="Garamond" w:cs="Arial"/>
          <w:sz w:val="24"/>
          <w:szCs w:val="24"/>
        </w:rPr>
        <w:t>.</w:t>
      </w:r>
      <w:r w:rsidRPr="003A1174">
        <w:rPr>
          <w:rFonts w:ascii="Garamond" w:hAnsi="Garamond" w:cs="Arial"/>
          <w:sz w:val="24"/>
          <w:szCs w:val="24"/>
        </w:rPr>
        <w:t xml:space="preserve"> </w:t>
      </w:r>
      <w:r w:rsidR="004F5B28" w:rsidRPr="003A1174">
        <w:rPr>
          <w:rFonts w:ascii="Garamond" w:hAnsi="Garamond" w:cs="Arial"/>
          <w:sz w:val="24"/>
          <w:szCs w:val="24"/>
        </w:rPr>
        <w:t>E</w:t>
      </w:r>
      <w:r w:rsidR="00D75A07" w:rsidRPr="003A1174">
        <w:rPr>
          <w:rFonts w:ascii="Garamond" w:hAnsi="Garamond" w:cs="Arial"/>
          <w:sz w:val="24"/>
          <w:szCs w:val="24"/>
        </w:rPr>
        <w:t>stes último</w:t>
      </w:r>
      <w:r w:rsidRPr="003A1174">
        <w:rPr>
          <w:rFonts w:ascii="Garamond" w:hAnsi="Garamond" w:cs="Arial"/>
          <w:sz w:val="24"/>
          <w:szCs w:val="24"/>
        </w:rPr>
        <w:t xml:space="preserve">s </w:t>
      </w:r>
      <w:r w:rsidR="00D75A07" w:rsidRPr="003A1174">
        <w:rPr>
          <w:rFonts w:ascii="Garamond" w:hAnsi="Garamond" w:cs="Arial"/>
          <w:sz w:val="24"/>
          <w:szCs w:val="24"/>
        </w:rPr>
        <w:t>são</w:t>
      </w:r>
      <w:r w:rsidRPr="003A1174">
        <w:rPr>
          <w:rFonts w:ascii="Garamond" w:hAnsi="Garamond" w:cs="Arial"/>
          <w:sz w:val="24"/>
          <w:szCs w:val="24"/>
        </w:rPr>
        <w:t xml:space="preserve"> mecanismos </w:t>
      </w:r>
      <w:r w:rsidR="00D75A07" w:rsidRPr="003A1174">
        <w:rPr>
          <w:rFonts w:ascii="Garamond" w:hAnsi="Garamond" w:cs="Arial"/>
          <w:sz w:val="24"/>
          <w:szCs w:val="24"/>
        </w:rPr>
        <w:t>locais</w:t>
      </w:r>
      <w:r w:rsidRPr="003A1174">
        <w:rPr>
          <w:rFonts w:ascii="Garamond" w:hAnsi="Garamond" w:cs="Arial"/>
          <w:sz w:val="24"/>
          <w:szCs w:val="24"/>
        </w:rPr>
        <w:t xml:space="preserve"> </w:t>
      </w:r>
      <w:r w:rsidR="004F5B28" w:rsidRPr="003A1174">
        <w:rPr>
          <w:rFonts w:ascii="Garamond" w:hAnsi="Garamond" w:cs="Arial"/>
          <w:sz w:val="24"/>
          <w:szCs w:val="24"/>
        </w:rPr>
        <w:t>destinados a</w:t>
      </w:r>
      <w:r w:rsidRPr="003A1174">
        <w:rPr>
          <w:rFonts w:ascii="Garamond" w:hAnsi="Garamond" w:cs="Arial"/>
          <w:sz w:val="24"/>
          <w:szCs w:val="24"/>
        </w:rPr>
        <w:t xml:space="preserve"> abordar </w:t>
      </w:r>
      <w:r w:rsidR="00497503" w:rsidRPr="003A1174">
        <w:rPr>
          <w:rFonts w:ascii="Garamond" w:hAnsi="Garamond" w:cs="Arial"/>
          <w:sz w:val="24"/>
          <w:szCs w:val="24"/>
        </w:rPr>
        <w:t>e</w:t>
      </w:r>
      <w:r w:rsidRPr="003A1174">
        <w:rPr>
          <w:rFonts w:ascii="Garamond" w:hAnsi="Garamond" w:cs="Arial"/>
          <w:sz w:val="24"/>
          <w:szCs w:val="24"/>
        </w:rPr>
        <w:t xml:space="preserve"> </w:t>
      </w:r>
      <w:r w:rsidR="00D75A07" w:rsidRPr="003A1174">
        <w:rPr>
          <w:rFonts w:ascii="Garamond" w:hAnsi="Garamond" w:cs="Arial"/>
          <w:sz w:val="24"/>
          <w:szCs w:val="24"/>
        </w:rPr>
        <w:t>desenvolver</w:t>
      </w:r>
      <w:r w:rsidRPr="003A1174">
        <w:rPr>
          <w:rFonts w:ascii="Garamond" w:hAnsi="Garamond" w:cs="Arial"/>
          <w:sz w:val="24"/>
          <w:szCs w:val="24"/>
        </w:rPr>
        <w:t xml:space="preserve"> </w:t>
      </w:r>
      <w:r w:rsidR="002C7510" w:rsidRPr="003A1174">
        <w:rPr>
          <w:rFonts w:ascii="Garamond" w:hAnsi="Garamond" w:cs="Arial"/>
          <w:sz w:val="24"/>
          <w:szCs w:val="24"/>
        </w:rPr>
        <w:t>ações</w:t>
      </w:r>
      <w:r w:rsidRPr="003A1174">
        <w:rPr>
          <w:rFonts w:ascii="Garamond" w:hAnsi="Garamond" w:cs="Arial"/>
          <w:sz w:val="24"/>
          <w:szCs w:val="24"/>
        </w:rPr>
        <w:t xml:space="preserve"> que </w:t>
      </w:r>
      <w:r w:rsidR="00D75A07" w:rsidRPr="003A1174">
        <w:rPr>
          <w:rFonts w:ascii="Garamond" w:hAnsi="Garamond" w:cs="Arial"/>
          <w:sz w:val="24"/>
          <w:szCs w:val="24"/>
        </w:rPr>
        <w:t>contribuam</w:t>
      </w:r>
      <w:r w:rsidRPr="003A1174">
        <w:rPr>
          <w:rFonts w:ascii="Garamond" w:hAnsi="Garamond" w:cs="Arial"/>
          <w:sz w:val="24"/>
          <w:szCs w:val="24"/>
        </w:rPr>
        <w:t xml:space="preserve"> </w:t>
      </w:r>
      <w:r w:rsidR="00D75A07" w:rsidRPr="003A1174">
        <w:rPr>
          <w:rFonts w:ascii="Garamond" w:hAnsi="Garamond" w:cs="Arial"/>
          <w:sz w:val="24"/>
          <w:szCs w:val="24"/>
        </w:rPr>
        <w:t>para o</w:t>
      </w:r>
      <w:r w:rsidRPr="003A1174">
        <w:rPr>
          <w:rFonts w:ascii="Garamond" w:hAnsi="Garamond" w:cs="Arial"/>
          <w:sz w:val="24"/>
          <w:szCs w:val="24"/>
        </w:rPr>
        <w:t xml:space="preserve"> </w:t>
      </w:r>
      <w:r w:rsidR="00731B19" w:rsidRPr="003A1174">
        <w:rPr>
          <w:rFonts w:ascii="Garamond" w:hAnsi="Garamond" w:cs="Arial"/>
          <w:sz w:val="24"/>
          <w:szCs w:val="24"/>
        </w:rPr>
        <w:t>exercício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w:t>
      </w:r>
      <w:r w:rsidR="00D75A07" w:rsidRPr="003A1174">
        <w:rPr>
          <w:rFonts w:ascii="Garamond" w:hAnsi="Garamond" w:cs="Arial"/>
          <w:sz w:val="24"/>
          <w:szCs w:val="24"/>
        </w:rPr>
        <w:t xml:space="preserve">Apesar do </w:t>
      </w:r>
      <w:r w:rsidR="00C30647" w:rsidRPr="003A1174">
        <w:rPr>
          <w:rFonts w:ascii="Garamond" w:hAnsi="Garamond" w:cs="Arial"/>
          <w:sz w:val="24"/>
          <w:szCs w:val="24"/>
        </w:rPr>
        <w:t>esforço</w:t>
      </w:r>
      <w:r w:rsidR="004F5B28" w:rsidRPr="003A1174">
        <w:rPr>
          <w:rFonts w:ascii="Garamond" w:hAnsi="Garamond" w:cs="Arial"/>
          <w:sz w:val="24"/>
          <w:szCs w:val="24"/>
        </w:rPr>
        <w:t xml:space="preserve"> </w:t>
      </w:r>
      <w:r w:rsidR="00D75A07" w:rsidRPr="003A1174">
        <w:rPr>
          <w:rFonts w:ascii="Garamond" w:hAnsi="Garamond" w:cs="Arial"/>
          <w:sz w:val="24"/>
          <w:szCs w:val="24"/>
        </w:rPr>
        <w:t xml:space="preserve">realizado, </w:t>
      </w:r>
      <w:r w:rsidRPr="003A1174">
        <w:rPr>
          <w:rFonts w:ascii="Garamond" w:hAnsi="Garamond" w:cs="Arial"/>
          <w:sz w:val="24"/>
          <w:szCs w:val="24"/>
        </w:rPr>
        <w:t xml:space="preserve">a </w:t>
      </w:r>
      <w:r w:rsidR="00233514" w:rsidRPr="003A1174">
        <w:rPr>
          <w:rFonts w:ascii="Garamond" w:hAnsi="Garamond" w:cs="Arial"/>
          <w:sz w:val="24"/>
          <w:szCs w:val="24"/>
        </w:rPr>
        <w:t>maioria</w:t>
      </w:r>
      <w:r w:rsidR="00D75A07" w:rsidRPr="003A1174">
        <w:rPr>
          <w:rFonts w:ascii="Garamond" w:hAnsi="Garamond" w:cs="Arial"/>
          <w:sz w:val="24"/>
          <w:szCs w:val="24"/>
        </w:rPr>
        <w:t xml:space="preserve"> d</w:t>
      </w:r>
      <w:r w:rsidR="007407BD" w:rsidRPr="003A1174">
        <w:rPr>
          <w:rFonts w:ascii="Garamond" w:hAnsi="Garamond" w:cs="Arial"/>
          <w:sz w:val="24"/>
          <w:szCs w:val="24"/>
        </w:rPr>
        <w:t>estes</w:t>
      </w:r>
      <w:r w:rsidR="00D75A07" w:rsidRPr="003A1174">
        <w:rPr>
          <w:rFonts w:ascii="Garamond" w:hAnsi="Garamond" w:cs="Arial"/>
          <w:sz w:val="24"/>
          <w:szCs w:val="24"/>
        </w:rPr>
        <w:t xml:space="preserve"> mecanismos </w:t>
      </w:r>
      <w:r w:rsidRPr="003A1174">
        <w:rPr>
          <w:rFonts w:ascii="Garamond" w:hAnsi="Garamond" w:cs="Arial"/>
          <w:sz w:val="24"/>
          <w:szCs w:val="24"/>
        </w:rPr>
        <w:t>concentra</w:t>
      </w:r>
      <w:r w:rsidR="00D75A07" w:rsidRPr="003A1174">
        <w:rPr>
          <w:rFonts w:ascii="Garamond" w:hAnsi="Garamond" w:cs="Arial"/>
          <w:sz w:val="24"/>
          <w:szCs w:val="24"/>
        </w:rPr>
        <w:t>m-se n</w:t>
      </w:r>
      <w:r w:rsidRPr="003A1174">
        <w:rPr>
          <w:rFonts w:ascii="Garamond" w:hAnsi="Garamond" w:cs="Arial"/>
          <w:sz w:val="24"/>
          <w:szCs w:val="24"/>
        </w:rPr>
        <w:t xml:space="preserve">as </w:t>
      </w:r>
      <w:r w:rsidR="008651AF" w:rsidRPr="003A1174">
        <w:rPr>
          <w:rFonts w:ascii="Garamond" w:hAnsi="Garamond" w:cs="Arial"/>
          <w:sz w:val="24"/>
          <w:szCs w:val="24"/>
        </w:rPr>
        <w:t>cidades</w:t>
      </w:r>
      <w:r w:rsidRPr="003A1174">
        <w:rPr>
          <w:rFonts w:ascii="Garamond" w:hAnsi="Garamond" w:cs="Arial"/>
          <w:sz w:val="24"/>
          <w:szCs w:val="24"/>
        </w:rPr>
        <w:t xml:space="preserve"> </w:t>
      </w:r>
      <w:r w:rsidR="002F5CD1" w:rsidRPr="003A1174">
        <w:rPr>
          <w:rFonts w:ascii="Garamond" w:hAnsi="Garamond" w:cs="Arial"/>
          <w:sz w:val="24"/>
          <w:szCs w:val="24"/>
        </w:rPr>
        <w:t>principais</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país como: Tegucigalpa, San Pedro Sula </w:t>
      </w:r>
      <w:r w:rsidR="00497503" w:rsidRPr="003A1174">
        <w:rPr>
          <w:rFonts w:ascii="Garamond" w:hAnsi="Garamond" w:cs="Arial"/>
          <w:sz w:val="24"/>
          <w:szCs w:val="24"/>
        </w:rPr>
        <w:t>e</w:t>
      </w:r>
      <w:r w:rsidRPr="003A1174">
        <w:rPr>
          <w:rFonts w:ascii="Garamond" w:hAnsi="Garamond" w:cs="Arial"/>
          <w:sz w:val="24"/>
          <w:szCs w:val="24"/>
        </w:rPr>
        <w:t xml:space="preserve"> La Ceiba. </w:t>
      </w:r>
    </w:p>
    <w:p w:rsidR="00F92EC2" w:rsidRPr="003A1174" w:rsidRDefault="00F92EC2" w:rsidP="008719D4">
      <w:pPr>
        <w:spacing w:after="0" w:line="240" w:lineRule="auto"/>
        <w:jc w:val="both"/>
        <w:rPr>
          <w:rFonts w:ascii="Garamond" w:hAnsi="Garamond" w:cs="Arial"/>
          <w:sz w:val="24"/>
          <w:szCs w:val="24"/>
        </w:rPr>
      </w:pPr>
    </w:p>
    <w:p w:rsidR="00F92EC2" w:rsidRPr="003A1174" w:rsidRDefault="00F92EC2"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Entre </w:t>
      </w:r>
      <w:r w:rsidR="00CD707D" w:rsidRPr="003A1174">
        <w:rPr>
          <w:rFonts w:ascii="Garamond" w:hAnsi="Garamond" w:cs="Arial"/>
          <w:sz w:val="24"/>
          <w:szCs w:val="24"/>
        </w:rPr>
        <w:t>alguma</w:t>
      </w:r>
      <w:r w:rsidRPr="003A1174">
        <w:rPr>
          <w:rFonts w:ascii="Garamond" w:hAnsi="Garamond" w:cs="Arial"/>
          <w:sz w:val="24"/>
          <w:szCs w:val="24"/>
        </w:rPr>
        <w:t xml:space="preserve">s </w:t>
      </w:r>
      <w:r w:rsidR="0096260A">
        <w:rPr>
          <w:rFonts w:ascii="Garamond" w:hAnsi="Garamond" w:cs="Arial"/>
          <w:sz w:val="24"/>
          <w:szCs w:val="24"/>
        </w:rPr>
        <w:t xml:space="preserve">das </w:t>
      </w:r>
      <w:r w:rsidR="002C7510" w:rsidRPr="003A1174">
        <w:rPr>
          <w:rFonts w:ascii="Garamond" w:hAnsi="Garamond" w:cs="Arial"/>
          <w:sz w:val="24"/>
          <w:szCs w:val="24"/>
        </w:rPr>
        <w:t>comissões</w:t>
      </w:r>
      <w:r w:rsidRPr="003A1174">
        <w:rPr>
          <w:rFonts w:ascii="Garamond" w:hAnsi="Garamond" w:cs="Arial"/>
          <w:sz w:val="24"/>
          <w:szCs w:val="24"/>
        </w:rPr>
        <w:t xml:space="preserve"> que realiza</w:t>
      </w:r>
      <w:r w:rsidR="00D75A07" w:rsidRPr="003A1174">
        <w:rPr>
          <w:rFonts w:ascii="Garamond" w:hAnsi="Garamond" w:cs="Arial"/>
          <w:sz w:val="24"/>
          <w:szCs w:val="24"/>
        </w:rPr>
        <w:t>m</w:t>
      </w:r>
      <w:r w:rsidRPr="003A1174">
        <w:rPr>
          <w:rFonts w:ascii="Garamond" w:hAnsi="Garamond" w:cs="Arial"/>
          <w:sz w:val="24"/>
          <w:szCs w:val="24"/>
        </w:rPr>
        <w:t xml:space="preserve"> </w:t>
      </w:r>
      <w:r w:rsidR="002C7510" w:rsidRPr="003A1174">
        <w:rPr>
          <w:rFonts w:ascii="Garamond" w:hAnsi="Garamond" w:cs="Arial"/>
          <w:sz w:val="24"/>
          <w:szCs w:val="24"/>
        </w:rPr>
        <w:t>ações</w:t>
      </w:r>
      <w:r w:rsidRPr="003A1174">
        <w:rPr>
          <w:rFonts w:ascii="Garamond" w:hAnsi="Garamond" w:cs="Arial"/>
          <w:sz w:val="24"/>
          <w:szCs w:val="24"/>
        </w:rPr>
        <w:t xml:space="preserve"> </w:t>
      </w:r>
      <w:r w:rsidR="004F5B28" w:rsidRPr="003A1174">
        <w:rPr>
          <w:rFonts w:ascii="Garamond" w:hAnsi="Garamond" w:cs="Arial"/>
          <w:sz w:val="24"/>
          <w:szCs w:val="24"/>
        </w:rPr>
        <w:t>para</w:t>
      </w:r>
      <w:r w:rsidR="00D75A07" w:rsidRPr="003A1174">
        <w:rPr>
          <w:rFonts w:ascii="Garamond" w:hAnsi="Garamond" w:cs="Arial"/>
          <w:sz w:val="24"/>
          <w:szCs w:val="24"/>
        </w:rPr>
        <w:t xml:space="preserve"> </w:t>
      </w:r>
      <w:r w:rsidRPr="003A1174">
        <w:rPr>
          <w:rFonts w:ascii="Garamond" w:hAnsi="Garamond" w:cs="Arial"/>
          <w:sz w:val="24"/>
          <w:szCs w:val="24"/>
        </w:rPr>
        <w:t xml:space="preserve">a </w:t>
      </w:r>
      <w:r w:rsidR="002F5CD1" w:rsidRPr="003A1174">
        <w:rPr>
          <w:rFonts w:ascii="Garamond" w:hAnsi="Garamond" w:cs="Arial"/>
          <w:sz w:val="24"/>
          <w:szCs w:val="24"/>
        </w:rPr>
        <w:t>promoção</w:t>
      </w:r>
      <w:r w:rsidRPr="003A1174">
        <w:rPr>
          <w:rFonts w:ascii="Garamond" w:hAnsi="Garamond" w:cs="Arial"/>
          <w:sz w:val="24"/>
          <w:szCs w:val="24"/>
        </w:rPr>
        <w:t xml:space="preserve"> </w:t>
      </w:r>
      <w:r w:rsidR="00497503" w:rsidRPr="003A1174">
        <w:rPr>
          <w:rFonts w:ascii="Garamond" w:hAnsi="Garamond" w:cs="Arial"/>
          <w:sz w:val="24"/>
          <w:szCs w:val="24"/>
        </w:rPr>
        <w:t>dos</w:t>
      </w:r>
      <w:r w:rsidR="004F5B28"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004F5B28" w:rsidRPr="003A1174">
        <w:rPr>
          <w:rFonts w:ascii="Garamond" w:hAnsi="Garamond" w:cs="Arial"/>
          <w:sz w:val="24"/>
          <w:szCs w:val="24"/>
        </w:rPr>
        <w:t xml:space="preserve">, </w:t>
      </w:r>
      <w:r w:rsidR="00D4575C" w:rsidRPr="003A1174">
        <w:rPr>
          <w:rFonts w:ascii="Garamond" w:hAnsi="Garamond" w:cs="Arial"/>
          <w:sz w:val="24"/>
          <w:szCs w:val="24"/>
        </w:rPr>
        <w:t>têm</w:t>
      </w:r>
      <w:r w:rsidR="004F5B28" w:rsidRPr="003A1174">
        <w:rPr>
          <w:rFonts w:ascii="Garamond" w:hAnsi="Garamond" w:cs="Arial"/>
          <w:sz w:val="24"/>
          <w:szCs w:val="24"/>
        </w:rPr>
        <w:t xml:space="preserve"> </w:t>
      </w:r>
      <w:r w:rsidR="002E2C71" w:rsidRPr="003A1174">
        <w:rPr>
          <w:rFonts w:ascii="Garamond" w:hAnsi="Garamond" w:cs="Arial"/>
          <w:sz w:val="24"/>
          <w:szCs w:val="24"/>
        </w:rPr>
        <w:t>relevância</w:t>
      </w:r>
      <w:r w:rsidRPr="003A1174">
        <w:rPr>
          <w:rFonts w:ascii="Garamond" w:hAnsi="Garamond" w:cs="Arial"/>
          <w:sz w:val="24"/>
          <w:szCs w:val="24"/>
        </w:rPr>
        <w:t xml:space="preserve"> a </w:t>
      </w:r>
      <w:r w:rsidR="00FC1F7F" w:rsidRPr="003A1174">
        <w:rPr>
          <w:rFonts w:ascii="Garamond" w:hAnsi="Garamond" w:cs="Arial"/>
          <w:sz w:val="24"/>
          <w:szCs w:val="24"/>
        </w:rPr>
        <w:t>Comissão</w:t>
      </w:r>
      <w:r w:rsidRPr="003A1174">
        <w:rPr>
          <w:rFonts w:ascii="Garamond" w:hAnsi="Garamond" w:cs="Arial"/>
          <w:sz w:val="24"/>
          <w:szCs w:val="24"/>
        </w:rPr>
        <w:t xml:space="preserve"> Interinstitucional de </w:t>
      </w:r>
      <w:r w:rsidR="00C01806" w:rsidRPr="003A1174">
        <w:rPr>
          <w:rFonts w:ascii="Garamond" w:hAnsi="Garamond" w:cs="Arial"/>
          <w:sz w:val="24"/>
          <w:szCs w:val="24"/>
        </w:rPr>
        <w:t>Seguimento</w:t>
      </w:r>
      <w:r w:rsidRPr="003A1174">
        <w:rPr>
          <w:rFonts w:ascii="Garamond" w:hAnsi="Garamond" w:cs="Arial"/>
          <w:sz w:val="24"/>
          <w:szCs w:val="24"/>
        </w:rPr>
        <w:t xml:space="preserve"> </w:t>
      </w:r>
      <w:r w:rsidR="00D75A07" w:rsidRPr="003A1174">
        <w:rPr>
          <w:rFonts w:ascii="Garamond" w:hAnsi="Garamond" w:cs="Arial"/>
          <w:sz w:val="24"/>
          <w:szCs w:val="24"/>
        </w:rPr>
        <w:t xml:space="preserve">à </w:t>
      </w:r>
      <w:r w:rsidR="00B14AA6" w:rsidRPr="003A1174">
        <w:rPr>
          <w:rFonts w:ascii="Garamond" w:hAnsi="Garamond" w:cs="Arial"/>
          <w:sz w:val="24"/>
          <w:szCs w:val="24"/>
        </w:rPr>
        <w:t>Aplicação</w:t>
      </w:r>
      <w:r w:rsidRPr="003A1174">
        <w:rPr>
          <w:rFonts w:ascii="Garamond" w:hAnsi="Garamond" w:cs="Arial"/>
          <w:sz w:val="24"/>
          <w:szCs w:val="24"/>
        </w:rPr>
        <w:t xml:space="preserve"> da </w:t>
      </w:r>
      <w:r w:rsidR="0096260A">
        <w:rPr>
          <w:rFonts w:ascii="Garamond" w:hAnsi="Garamond" w:cs="Arial"/>
          <w:sz w:val="24"/>
          <w:szCs w:val="24"/>
        </w:rPr>
        <w:t>L</w:t>
      </w:r>
      <w:r w:rsidR="00D15AFF" w:rsidRPr="003A1174">
        <w:rPr>
          <w:rFonts w:ascii="Garamond" w:hAnsi="Garamond" w:cs="Arial"/>
          <w:sz w:val="24"/>
          <w:szCs w:val="24"/>
        </w:rPr>
        <w:t>ei</w:t>
      </w:r>
      <w:r w:rsidR="00D75A07" w:rsidRPr="003A1174">
        <w:rPr>
          <w:rFonts w:ascii="Garamond" w:hAnsi="Garamond" w:cs="Arial"/>
          <w:sz w:val="24"/>
          <w:szCs w:val="24"/>
        </w:rPr>
        <w:t xml:space="preserve"> </w:t>
      </w:r>
      <w:r w:rsidR="0096260A">
        <w:rPr>
          <w:rFonts w:ascii="Garamond" w:hAnsi="Garamond" w:cs="Arial"/>
          <w:sz w:val="24"/>
          <w:szCs w:val="24"/>
        </w:rPr>
        <w:t>C</w:t>
      </w:r>
      <w:r w:rsidR="00D75A07" w:rsidRPr="003A1174">
        <w:rPr>
          <w:rFonts w:ascii="Garamond" w:hAnsi="Garamond" w:cs="Arial"/>
          <w:sz w:val="24"/>
          <w:szCs w:val="24"/>
        </w:rPr>
        <w:t xml:space="preserve">ontra </w:t>
      </w:r>
      <w:r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Doméstica (1998) </w:t>
      </w:r>
      <w:r w:rsidR="00497503" w:rsidRPr="003A1174">
        <w:rPr>
          <w:rFonts w:ascii="Garamond" w:hAnsi="Garamond" w:cs="Arial"/>
          <w:sz w:val="24"/>
          <w:szCs w:val="24"/>
        </w:rPr>
        <w:t>e</w:t>
      </w:r>
      <w:r w:rsidR="00D75A07" w:rsidRPr="003A1174">
        <w:rPr>
          <w:rFonts w:ascii="Garamond" w:hAnsi="Garamond" w:cs="Arial"/>
          <w:sz w:val="24"/>
          <w:szCs w:val="24"/>
        </w:rPr>
        <w:t xml:space="preserve"> </w:t>
      </w:r>
      <w:r w:rsidRPr="003A1174">
        <w:rPr>
          <w:rFonts w:ascii="Garamond" w:hAnsi="Garamond" w:cs="Arial"/>
          <w:sz w:val="24"/>
          <w:szCs w:val="24"/>
        </w:rPr>
        <w:t xml:space="preserve">a </w:t>
      </w:r>
      <w:r w:rsidR="00FC1F7F" w:rsidRPr="003A1174">
        <w:rPr>
          <w:rFonts w:ascii="Garamond" w:hAnsi="Garamond" w:cs="Arial"/>
          <w:sz w:val="24"/>
          <w:szCs w:val="24"/>
        </w:rPr>
        <w:t>Comissão</w:t>
      </w:r>
      <w:r w:rsidR="00D75A07" w:rsidRPr="003A1174">
        <w:rPr>
          <w:rFonts w:ascii="Garamond" w:hAnsi="Garamond" w:cs="Arial"/>
          <w:sz w:val="24"/>
          <w:szCs w:val="24"/>
        </w:rPr>
        <w:t xml:space="preserve"> Interinstitucional Contra </w:t>
      </w:r>
      <w:r w:rsidRPr="003A1174">
        <w:rPr>
          <w:rFonts w:ascii="Garamond" w:hAnsi="Garamond" w:cs="Arial"/>
          <w:sz w:val="24"/>
          <w:szCs w:val="24"/>
        </w:rPr>
        <w:t xml:space="preserve">a </w:t>
      </w:r>
      <w:r w:rsidR="0096583F" w:rsidRPr="003A1174">
        <w:rPr>
          <w:rFonts w:ascii="Garamond" w:hAnsi="Garamond" w:cs="Arial"/>
          <w:sz w:val="24"/>
          <w:szCs w:val="24"/>
        </w:rPr>
        <w:t>Exploração</w:t>
      </w:r>
      <w:r w:rsidRPr="003A1174">
        <w:rPr>
          <w:rFonts w:ascii="Garamond" w:hAnsi="Garamond" w:cs="Arial"/>
          <w:sz w:val="24"/>
          <w:szCs w:val="24"/>
        </w:rPr>
        <w:t xml:space="preserve"> Sexual Comercial </w:t>
      </w:r>
      <w:r w:rsidR="00497503" w:rsidRPr="003A1174">
        <w:rPr>
          <w:rFonts w:ascii="Garamond" w:hAnsi="Garamond" w:cs="Arial"/>
          <w:sz w:val="24"/>
          <w:szCs w:val="24"/>
        </w:rPr>
        <w:t>e</w:t>
      </w:r>
      <w:r w:rsidRPr="003A1174">
        <w:rPr>
          <w:rFonts w:ascii="Garamond" w:hAnsi="Garamond" w:cs="Arial"/>
          <w:sz w:val="24"/>
          <w:szCs w:val="24"/>
        </w:rPr>
        <w:t xml:space="preserve"> Tr</w:t>
      </w:r>
      <w:r w:rsidR="00D75A07" w:rsidRPr="003A1174">
        <w:rPr>
          <w:rFonts w:ascii="Garamond" w:hAnsi="Garamond" w:cs="Arial"/>
          <w:sz w:val="24"/>
          <w:szCs w:val="24"/>
        </w:rPr>
        <w:t xml:space="preserve">áfico </w:t>
      </w:r>
      <w:r w:rsidRPr="003A1174">
        <w:rPr>
          <w:rFonts w:ascii="Garamond" w:hAnsi="Garamond" w:cs="Arial"/>
          <w:sz w:val="24"/>
          <w:szCs w:val="24"/>
        </w:rPr>
        <w:t xml:space="preserve">de </w:t>
      </w:r>
      <w:r w:rsidR="006C760C" w:rsidRPr="003A1174">
        <w:rPr>
          <w:rFonts w:ascii="Garamond" w:hAnsi="Garamond" w:cs="Arial"/>
          <w:sz w:val="24"/>
          <w:szCs w:val="24"/>
        </w:rPr>
        <w:t>Pessoas</w:t>
      </w:r>
      <w:r w:rsidRPr="003A1174">
        <w:rPr>
          <w:rFonts w:ascii="Garamond" w:hAnsi="Garamond" w:cs="Arial"/>
          <w:sz w:val="24"/>
          <w:szCs w:val="24"/>
        </w:rPr>
        <w:t xml:space="preserve"> (2003).</w:t>
      </w:r>
    </w:p>
    <w:p w:rsidR="00F92EC2" w:rsidRPr="003A1174" w:rsidRDefault="00F92EC2" w:rsidP="008719D4">
      <w:pPr>
        <w:spacing w:after="0" w:line="240" w:lineRule="auto"/>
        <w:jc w:val="both"/>
        <w:rPr>
          <w:rFonts w:ascii="Garamond" w:hAnsi="Garamond" w:cs="Arial"/>
          <w:sz w:val="24"/>
          <w:szCs w:val="24"/>
        </w:rPr>
      </w:pPr>
    </w:p>
    <w:p w:rsidR="00F92EC2" w:rsidRPr="003A1174" w:rsidRDefault="00F92EC2" w:rsidP="00791197">
      <w:pPr>
        <w:spacing w:line="240" w:lineRule="auto"/>
        <w:jc w:val="both"/>
        <w:rPr>
          <w:rFonts w:ascii="Garamond" w:hAnsi="Garamond" w:cs="Arial"/>
          <w:sz w:val="24"/>
          <w:szCs w:val="24"/>
        </w:rPr>
      </w:pPr>
      <w:r w:rsidRPr="003A1174">
        <w:rPr>
          <w:rFonts w:ascii="Garamond" w:hAnsi="Garamond" w:cs="Arial"/>
          <w:sz w:val="24"/>
          <w:szCs w:val="24"/>
        </w:rPr>
        <w:t>E</w:t>
      </w:r>
      <w:r w:rsidR="00D75A07" w:rsidRPr="003A1174">
        <w:rPr>
          <w:rFonts w:ascii="Garamond" w:hAnsi="Garamond" w:cs="Arial"/>
          <w:sz w:val="24"/>
          <w:szCs w:val="24"/>
        </w:rPr>
        <w:t>m</w:t>
      </w:r>
      <w:r w:rsidRPr="003A1174">
        <w:rPr>
          <w:rFonts w:ascii="Garamond" w:hAnsi="Garamond" w:cs="Arial"/>
          <w:sz w:val="24"/>
          <w:szCs w:val="24"/>
        </w:rPr>
        <w:t xml:space="preserve"> 2013</w:t>
      </w:r>
      <w:r w:rsidR="0096260A">
        <w:rPr>
          <w:rFonts w:ascii="Garamond" w:hAnsi="Garamond" w:cs="Arial"/>
          <w:sz w:val="24"/>
          <w:szCs w:val="24"/>
        </w:rPr>
        <w:t>,</w:t>
      </w:r>
      <w:r w:rsidRPr="003A1174">
        <w:rPr>
          <w:rFonts w:ascii="Garamond" w:hAnsi="Garamond" w:cs="Arial"/>
          <w:sz w:val="24"/>
          <w:szCs w:val="24"/>
        </w:rPr>
        <w:t xml:space="preserve"> </w:t>
      </w:r>
      <w:r w:rsidR="00D75A07" w:rsidRPr="003A1174">
        <w:rPr>
          <w:rFonts w:ascii="Garamond" w:hAnsi="Garamond" w:cs="Arial"/>
          <w:sz w:val="24"/>
          <w:szCs w:val="24"/>
        </w:rPr>
        <w:t>realizou-se</w:t>
      </w:r>
      <w:r w:rsidRPr="003A1174">
        <w:rPr>
          <w:rFonts w:ascii="Garamond" w:hAnsi="Garamond" w:cs="Arial"/>
          <w:sz w:val="24"/>
          <w:szCs w:val="24"/>
        </w:rPr>
        <w:t xml:space="preserve"> u</w:t>
      </w:r>
      <w:r w:rsidR="00D75A07" w:rsidRPr="003A1174">
        <w:rPr>
          <w:rFonts w:ascii="Garamond" w:hAnsi="Garamond" w:cs="Arial"/>
          <w:sz w:val="24"/>
          <w:szCs w:val="24"/>
        </w:rPr>
        <w:t>m</w:t>
      </w:r>
      <w:r w:rsidRPr="003A1174">
        <w:rPr>
          <w:rFonts w:ascii="Garamond" w:hAnsi="Garamond" w:cs="Arial"/>
          <w:sz w:val="24"/>
          <w:szCs w:val="24"/>
        </w:rPr>
        <w:t xml:space="preserve"> </w:t>
      </w:r>
      <w:r w:rsidR="0017447A" w:rsidRPr="003A1174">
        <w:rPr>
          <w:rFonts w:ascii="Garamond" w:hAnsi="Garamond" w:cs="Arial"/>
          <w:sz w:val="24"/>
          <w:szCs w:val="24"/>
        </w:rPr>
        <w:t>trabalho</w:t>
      </w:r>
      <w:r w:rsidRPr="003A1174">
        <w:rPr>
          <w:rFonts w:ascii="Garamond" w:hAnsi="Garamond" w:cs="Arial"/>
          <w:sz w:val="24"/>
          <w:szCs w:val="24"/>
        </w:rPr>
        <w:t xml:space="preserve"> de </w:t>
      </w:r>
      <w:r w:rsidR="00F83BA2" w:rsidRPr="003A1174">
        <w:rPr>
          <w:rFonts w:ascii="Garamond" w:hAnsi="Garamond" w:cs="Arial"/>
          <w:sz w:val="24"/>
          <w:szCs w:val="24"/>
        </w:rPr>
        <w:t>reflexão</w:t>
      </w:r>
      <w:r w:rsidRPr="003A1174">
        <w:rPr>
          <w:rFonts w:ascii="Garamond" w:hAnsi="Garamond" w:cs="Arial"/>
          <w:sz w:val="24"/>
          <w:szCs w:val="24"/>
        </w:rPr>
        <w:t xml:space="preserve"> conjunta, </w:t>
      </w:r>
      <w:r w:rsidR="00D75A07" w:rsidRPr="003A1174">
        <w:rPr>
          <w:rFonts w:ascii="Garamond" w:hAnsi="Garamond" w:cs="Arial"/>
          <w:sz w:val="24"/>
          <w:szCs w:val="24"/>
        </w:rPr>
        <w:t>coordenado</w:t>
      </w:r>
      <w:r w:rsidRPr="003A1174">
        <w:rPr>
          <w:rFonts w:ascii="Garamond" w:hAnsi="Garamond" w:cs="Arial"/>
          <w:sz w:val="24"/>
          <w:szCs w:val="24"/>
        </w:rPr>
        <w:t xml:space="preserve"> pel</w:t>
      </w:r>
      <w:r w:rsidR="00D75A07" w:rsidRPr="003A1174">
        <w:rPr>
          <w:rFonts w:ascii="Garamond" w:hAnsi="Garamond" w:cs="Arial"/>
          <w:sz w:val="24"/>
          <w:szCs w:val="24"/>
        </w:rPr>
        <w:t>o</w:t>
      </w:r>
      <w:r w:rsidRPr="003A1174">
        <w:rPr>
          <w:rFonts w:ascii="Garamond" w:hAnsi="Garamond" w:cs="Arial"/>
          <w:sz w:val="24"/>
          <w:szCs w:val="24"/>
        </w:rPr>
        <w:t xml:space="preserve"> Poder Judicial </w:t>
      </w:r>
      <w:r w:rsidR="00497503" w:rsidRPr="003A1174">
        <w:rPr>
          <w:rFonts w:ascii="Garamond" w:hAnsi="Garamond" w:cs="Arial"/>
          <w:sz w:val="24"/>
          <w:szCs w:val="24"/>
        </w:rPr>
        <w:t>e</w:t>
      </w:r>
      <w:r w:rsidRPr="003A1174">
        <w:rPr>
          <w:rFonts w:ascii="Garamond" w:hAnsi="Garamond" w:cs="Arial"/>
          <w:sz w:val="24"/>
          <w:szCs w:val="24"/>
        </w:rPr>
        <w:t xml:space="preserve"> </w:t>
      </w:r>
      <w:r w:rsidR="00791197" w:rsidRPr="003A1174">
        <w:rPr>
          <w:rFonts w:ascii="Garamond" w:hAnsi="Garamond" w:cs="Arial"/>
          <w:sz w:val="24"/>
          <w:szCs w:val="24"/>
        </w:rPr>
        <w:t xml:space="preserve">com </w:t>
      </w:r>
      <w:r w:rsidR="00BA3CCE" w:rsidRPr="00542E90">
        <w:rPr>
          <w:rFonts w:ascii="Garamond" w:hAnsi="Garamond" w:cs="Arial"/>
          <w:sz w:val="24"/>
          <w:szCs w:val="24"/>
        </w:rPr>
        <w:t>consenso</w:t>
      </w:r>
      <w:r w:rsidR="00791197" w:rsidRPr="00542E90">
        <w:rPr>
          <w:rFonts w:ascii="Garamond" w:hAnsi="Garamond" w:cs="Arial"/>
          <w:sz w:val="24"/>
          <w:szCs w:val="24"/>
        </w:rPr>
        <w:t xml:space="preserve"> entre </w:t>
      </w:r>
      <w:r w:rsidRPr="00542E90">
        <w:rPr>
          <w:rFonts w:ascii="Garamond" w:hAnsi="Garamond" w:cs="Arial"/>
          <w:sz w:val="24"/>
          <w:szCs w:val="24"/>
        </w:rPr>
        <w:t xml:space="preserve">as </w:t>
      </w:r>
      <w:r w:rsidR="002C7510" w:rsidRPr="00542E90">
        <w:rPr>
          <w:rFonts w:ascii="Garamond" w:hAnsi="Garamond" w:cs="Arial"/>
          <w:sz w:val="24"/>
          <w:szCs w:val="24"/>
        </w:rPr>
        <w:t>instituições</w:t>
      </w:r>
      <w:r w:rsidRPr="00542E90">
        <w:rPr>
          <w:rFonts w:ascii="Garamond" w:hAnsi="Garamond" w:cs="Arial"/>
          <w:sz w:val="24"/>
          <w:szCs w:val="24"/>
        </w:rPr>
        <w:t xml:space="preserve"> públicas </w:t>
      </w:r>
      <w:r w:rsidR="00497503" w:rsidRPr="00542E90">
        <w:rPr>
          <w:rFonts w:ascii="Garamond" w:hAnsi="Garamond" w:cs="Arial"/>
          <w:sz w:val="24"/>
          <w:szCs w:val="24"/>
        </w:rPr>
        <w:t>e</w:t>
      </w:r>
      <w:r w:rsidRPr="00542E90">
        <w:rPr>
          <w:rFonts w:ascii="Garamond" w:hAnsi="Garamond" w:cs="Arial"/>
          <w:sz w:val="24"/>
          <w:szCs w:val="24"/>
        </w:rPr>
        <w:t xml:space="preserve"> </w:t>
      </w:r>
      <w:r w:rsidR="00EB78D9" w:rsidRPr="00542E90">
        <w:rPr>
          <w:rFonts w:ascii="Garamond" w:hAnsi="Garamond" w:cs="Arial"/>
          <w:sz w:val="24"/>
          <w:szCs w:val="24"/>
        </w:rPr>
        <w:t>atores</w:t>
      </w:r>
      <w:r w:rsidRPr="003A1174">
        <w:rPr>
          <w:rFonts w:ascii="Garamond" w:hAnsi="Garamond" w:cs="Arial"/>
          <w:sz w:val="24"/>
          <w:szCs w:val="24"/>
        </w:rPr>
        <w:t xml:space="preserve"> da </w:t>
      </w:r>
      <w:r w:rsidR="002C7510" w:rsidRPr="003A1174">
        <w:rPr>
          <w:rFonts w:ascii="Garamond" w:hAnsi="Garamond" w:cs="Arial"/>
          <w:sz w:val="24"/>
          <w:szCs w:val="24"/>
        </w:rPr>
        <w:t>sociedade</w:t>
      </w:r>
      <w:r w:rsidRPr="003A1174">
        <w:rPr>
          <w:rFonts w:ascii="Garamond" w:hAnsi="Garamond" w:cs="Arial"/>
          <w:sz w:val="24"/>
          <w:szCs w:val="24"/>
        </w:rPr>
        <w:t xml:space="preserve"> civil participantes da </w:t>
      </w:r>
      <w:r w:rsidR="00FC1F7F" w:rsidRPr="003A1174">
        <w:rPr>
          <w:rFonts w:ascii="Garamond" w:hAnsi="Garamond" w:cs="Arial"/>
          <w:sz w:val="24"/>
          <w:szCs w:val="24"/>
        </w:rPr>
        <w:t>Comissão</w:t>
      </w:r>
      <w:r w:rsidRPr="003A1174">
        <w:rPr>
          <w:rFonts w:ascii="Garamond" w:hAnsi="Garamond" w:cs="Arial"/>
          <w:sz w:val="24"/>
          <w:szCs w:val="24"/>
        </w:rPr>
        <w:t xml:space="preserve"> Interinstitucional de </w:t>
      </w:r>
      <w:r w:rsidR="00C01806" w:rsidRPr="003A1174">
        <w:rPr>
          <w:rFonts w:ascii="Garamond" w:hAnsi="Garamond" w:cs="Arial"/>
          <w:sz w:val="24"/>
          <w:szCs w:val="24"/>
        </w:rPr>
        <w:t>Seguimento</w:t>
      </w:r>
      <w:r w:rsidRPr="003A1174">
        <w:rPr>
          <w:rFonts w:ascii="Garamond" w:hAnsi="Garamond" w:cs="Arial"/>
          <w:sz w:val="24"/>
          <w:szCs w:val="24"/>
        </w:rPr>
        <w:t xml:space="preserve"> </w:t>
      </w:r>
      <w:r w:rsidR="00791197" w:rsidRPr="003A1174">
        <w:rPr>
          <w:rFonts w:ascii="Garamond" w:hAnsi="Garamond" w:cs="Arial"/>
          <w:sz w:val="24"/>
          <w:szCs w:val="24"/>
        </w:rPr>
        <w:t xml:space="preserve">à </w:t>
      </w:r>
      <w:r w:rsidR="00B14AA6" w:rsidRPr="003A1174">
        <w:rPr>
          <w:rFonts w:ascii="Garamond" w:hAnsi="Garamond" w:cs="Arial"/>
          <w:sz w:val="24"/>
          <w:szCs w:val="24"/>
        </w:rPr>
        <w:t>Aplicação</w:t>
      </w:r>
      <w:r w:rsidR="00791197" w:rsidRPr="003A1174">
        <w:rPr>
          <w:rFonts w:ascii="Garamond" w:hAnsi="Garamond" w:cs="Arial"/>
          <w:sz w:val="24"/>
          <w:szCs w:val="24"/>
        </w:rPr>
        <w:t xml:space="preserve"> d</w:t>
      </w:r>
      <w:r w:rsidRPr="003A1174">
        <w:rPr>
          <w:rFonts w:ascii="Garamond" w:hAnsi="Garamond" w:cs="Arial"/>
          <w:sz w:val="24"/>
          <w:szCs w:val="24"/>
        </w:rPr>
        <w:t xml:space="preserve">a </w:t>
      </w:r>
      <w:r w:rsidR="00D15AFF" w:rsidRPr="003A1174">
        <w:rPr>
          <w:rFonts w:ascii="Garamond" w:hAnsi="Garamond" w:cs="Arial"/>
          <w:sz w:val="24"/>
          <w:szCs w:val="24"/>
        </w:rPr>
        <w:t>Lei</w:t>
      </w:r>
      <w:r w:rsidR="00791197" w:rsidRPr="003A1174">
        <w:rPr>
          <w:rFonts w:ascii="Garamond" w:hAnsi="Garamond" w:cs="Arial"/>
          <w:sz w:val="24"/>
          <w:szCs w:val="24"/>
        </w:rPr>
        <w:t xml:space="preserve"> Contra </w:t>
      </w:r>
      <w:r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Doméstica, co</w:t>
      </w:r>
      <w:r w:rsidR="00791197" w:rsidRPr="003A1174">
        <w:rPr>
          <w:rFonts w:ascii="Garamond" w:hAnsi="Garamond" w:cs="Arial"/>
          <w:sz w:val="24"/>
          <w:szCs w:val="24"/>
        </w:rPr>
        <w:t>m o apoio</w:t>
      </w:r>
      <w:r w:rsidRPr="003A1174">
        <w:rPr>
          <w:rFonts w:ascii="Garamond" w:hAnsi="Garamond" w:cs="Arial"/>
          <w:sz w:val="24"/>
          <w:szCs w:val="24"/>
        </w:rPr>
        <w:t xml:space="preserve"> de consultores </w:t>
      </w:r>
      <w:r w:rsidR="00EF645F" w:rsidRPr="003A1174">
        <w:rPr>
          <w:rFonts w:ascii="Garamond" w:hAnsi="Garamond" w:cs="Arial"/>
          <w:sz w:val="24"/>
          <w:szCs w:val="24"/>
        </w:rPr>
        <w:t>internacionais</w:t>
      </w:r>
      <w:r w:rsidR="0096260A">
        <w:rPr>
          <w:rFonts w:ascii="Garamond" w:hAnsi="Garamond" w:cs="Arial"/>
          <w:sz w:val="24"/>
          <w:szCs w:val="24"/>
        </w:rPr>
        <w:t>,</w:t>
      </w:r>
      <w:r w:rsidRPr="003A1174">
        <w:rPr>
          <w:rFonts w:ascii="Garamond" w:hAnsi="Garamond" w:cs="Arial"/>
          <w:sz w:val="24"/>
          <w:szCs w:val="24"/>
        </w:rPr>
        <w:t xml:space="preserve"> </w:t>
      </w:r>
      <w:r w:rsidR="009A0CC2" w:rsidRPr="003A1174">
        <w:rPr>
          <w:rFonts w:ascii="Garamond" w:hAnsi="Garamond" w:cs="Arial"/>
          <w:sz w:val="24"/>
          <w:szCs w:val="24"/>
        </w:rPr>
        <w:t>através</w:t>
      </w:r>
      <w:r w:rsidRPr="003A1174">
        <w:rPr>
          <w:rFonts w:ascii="Garamond" w:hAnsi="Garamond" w:cs="Arial"/>
          <w:sz w:val="24"/>
          <w:szCs w:val="24"/>
        </w:rPr>
        <w:t xml:space="preserve"> de </w:t>
      </w:r>
      <w:r w:rsidR="000350B1" w:rsidRPr="003A1174">
        <w:rPr>
          <w:rFonts w:ascii="Garamond" w:hAnsi="Garamond" w:cs="Arial"/>
          <w:sz w:val="24"/>
          <w:szCs w:val="24"/>
        </w:rPr>
        <w:t>assistência</w:t>
      </w:r>
      <w:r w:rsidRPr="003A1174">
        <w:rPr>
          <w:rFonts w:ascii="Garamond" w:hAnsi="Garamond" w:cs="Arial"/>
          <w:sz w:val="24"/>
          <w:szCs w:val="24"/>
        </w:rPr>
        <w:t>s técnicas financiadas p</w:t>
      </w:r>
      <w:r w:rsidR="00791197" w:rsidRPr="003A1174">
        <w:rPr>
          <w:rFonts w:ascii="Garamond" w:hAnsi="Garamond" w:cs="Arial"/>
          <w:sz w:val="24"/>
          <w:szCs w:val="24"/>
        </w:rPr>
        <w:t xml:space="preserve">elo </w:t>
      </w:r>
      <w:r w:rsidRPr="00205BD6">
        <w:rPr>
          <w:rFonts w:ascii="Garamond" w:hAnsi="Garamond" w:cs="Arial"/>
          <w:sz w:val="24"/>
          <w:szCs w:val="24"/>
        </w:rPr>
        <w:t>EUROsociAL.</w:t>
      </w:r>
      <w:r w:rsidRPr="003A1174">
        <w:rPr>
          <w:rFonts w:ascii="Garamond" w:hAnsi="Garamond" w:cs="Arial"/>
          <w:sz w:val="24"/>
          <w:szCs w:val="24"/>
        </w:rPr>
        <w:t xml:space="preserve"> </w:t>
      </w:r>
      <w:r w:rsidR="00791197" w:rsidRPr="003A1174">
        <w:rPr>
          <w:rFonts w:ascii="Garamond" w:hAnsi="Garamond" w:cs="Arial"/>
          <w:sz w:val="24"/>
          <w:szCs w:val="24"/>
        </w:rPr>
        <w:t xml:space="preserve">O </w:t>
      </w:r>
      <w:r w:rsidRPr="003A1174">
        <w:rPr>
          <w:rFonts w:ascii="Garamond" w:hAnsi="Garamond" w:cs="Arial"/>
          <w:sz w:val="24"/>
          <w:szCs w:val="24"/>
        </w:rPr>
        <w:t xml:space="preserve">resultado </w:t>
      </w:r>
      <w:r w:rsidR="00462B11" w:rsidRPr="003A1174">
        <w:rPr>
          <w:rFonts w:ascii="Garamond" w:hAnsi="Garamond" w:cs="Arial"/>
          <w:sz w:val="24"/>
          <w:szCs w:val="24"/>
        </w:rPr>
        <w:t>foi</w:t>
      </w:r>
      <w:r w:rsidRPr="003A1174">
        <w:rPr>
          <w:rFonts w:ascii="Garamond" w:hAnsi="Garamond" w:cs="Arial"/>
          <w:sz w:val="24"/>
          <w:szCs w:val="24"/>
        </w:rPr>
        <w:t xml:space="preserve"> </w:t>
      </w:r>
      <w:r w:rsidR="00791197" w:rsidRPr="003A1174">
        <w:rPr>
          <w:rFonts w:ascii="Garamond" w:hAnsi="Garamond" w:cs="Arial"/>
          <w:sz w:val="24"/>
          <w:szCs w:val="24"/>
        </w:rPr>
        <w:t>o arranque e f</w:t>
      </w:r>
      <w:r w:rsidR="00FB09CA" w:rsidRPr="003A1174">
        <w:rPr>
          <w:rFonts w:ascii="Garamond" w:hAnsi="Garamond" w:cs="Arial"/>
          <w:sz w:val="24"/>
          <w:szCs w:val="24"/>
        </w:rPr>
        <w:t>uncionamento</w:t>
      </w:r>
      <w:r w:rsidRPr="003A1174">
        <w:rPr>
          <w:rFonts w:ascii="Garamond" w:hAnsi="Garamond" w:cs="Arial"/>
          <w:sz w:val="24"/>
          <w:szCs w:val="24"/>
        </w:rPr>
        <w:t xml:space="preserve">, </w:t>
      </w:r>
      <w:r w:rsidR="00791197" w:rsidRPr="003A1174">
        <w:rPr>
          <w:rFonts w:ascii="Garamond" w:hAnsi="Garamond" w:cs="Arial"/>
          <w:sz w:val="24"/>
          <w:szCs w:val="24"/>
        </w:rPr>
        <w:t>no mê</w:t>
      </w:r>
      <w:r w:rsidRPr="003A1174">
        <w:rPr>
          <w:rFonts w:ascii="Garamond" w:hAnsi="Garamond" w:cs="Arial"/>
          <w:sz w:val="24"/>
          <w:szCs w:val="24"/>
        </w:rPr>
        <w:t xml:space="preserve">s de </w:t>
      </w:r>
      <w:r w:rsidR="00C553E2" w:rsidRPr="003A1174">
        <w:rPr>
          <w:rFonts w:ascii="Garamond" w:hAnsi="Garamond" w:cs="Arial"/>
          <w:sz w:val="24"/>
          <w:szCs w:val="24"/>
        </w:rPr>
        <w:t>março</w:t>
      </w:r>
      <w:r w:rsidRPr="003A1174">
        <w:rPr>
          <w:rFonts w:ascii="Garamond" w:hAnsi="Garamond" w:cs="Arial"/>
          <w:sz w:val="24"/>
          <w:szCs w:val="24"/>
        </w:rPr>
        <w:t xml:space="preserve"> de 2014</w:t>
      </w:r>
      <w:r w:rsidR="004F5B28" w:rsidRPr="003A1174">
        <w:rPr>
          <w:rFonts w:ascii="Garamond" w:hAnsi="Garamond" w:cs="Arial"/>
          <w:sz w:val="24"/>
          <w:szCs w:val="24"/>
        </w:rPr>
        <w:t>,</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Centro de </w:t>
      </w:r>
      <w:r w:rsidR="008278C4" w:rsidRPr="003A1174">
        <w:rPr>
          <w:rFonts w:ascii="Garamond" w:hAnsi="Garamond" w:cs="Arial"/>
          <w:sz w:val="24"/>
          <w:szCs w:val="24"/>
        </w:rPr>
        <w:t>Atenção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886D6A" w:rsidRPr="003A1174">
        <w:rPr>
          <w:rFonts w:ascii="Garamond" w:hAnsi="Garamond" w:cs="Arial"/>
          <w:sz w:val="24"/>
          <w:szCs w:val="24"/>
        </w:rPr>
        <w:t>Proteção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(CAPRODEM) como </w:t>
      </w:r>
      <w:r w:rsidR="00791197" w:rsidRPr="003A1174">
        <w:rPr>
          <w:rFonts w:ascii="Garamond" w:hAnsi="Garamond" w:cs="Arial"/>
          <w:sz w:val="24"/>
          <w:szCs w:val="24"/>
        </w:rPr>
        <w:t>projeto-piloto n</w:t>
      </w:r>
      <w:r w:rsidRPr="003A1174">
        <w:rPr>
          <w:rFonts w:ascii="Garamond" w:hAnsi="Garamond" w:cs="Arial"/>
          <w:sz w:val="24"/>
          <w:szCs w:val="24"/>
        </w:rPr>
        <w:t xml:space="preserve">a </w:t>
      </w:r>
      <w:r w:rsidR="008651AF" w:rsidRPr="003A1174">
        <w:rPr>
          <w:rFonts w:ascii="Garamond" w:hAnsi="Garamond" w:cs="Arial"/>
          <w:sz w:val="24"/>
          <w:szCs w:val="24"/>
        </w:rPr>
        <w:t>cidade</w:t>
      </w:r>
      <w:r w:rsidRPr="003A1174">
        <w:rPr>
          <w:rFonts w:ascii="Garamond" w:hAnsi="Garamond" w:cs="Arial"/>
          <w:sz w:val="24"/>
          <w:szCs w:val="24"/>
        </w:rPr>
        <w:t xml:space="preserve"> de Comayagüela, Francisco Morazán. </w:t>
      </w:r>
      <w:r w:rsidR="00791197" w:rsidRPr="003A1174">
        <w:rPr>
          <w:rFonts w:ascii="Garamond" w:hAnsi="Garamond" w:cs="Arial"/>
          <w:sz w:val="24"/>
          <w:szCs w:val="24"/>
        </w:rPr>
        <w:t>O</w:t>
      </w:r>
      <w:r w:rsidRPr="003A1174">
        <w:rPr>
          <w:rFonts w:ascii="Garamond" w:hAnsi="Garamond" w:cs="Arial"/>
          <w:sz w:val="24"/>
          <w:szCs w:val="24"/>
        </w:rPr>
        <w:t xml:space="preserve"> Centro de </w:t>
      </w:r>
      <w:r w:rsidR="008278C4" w:rsidRPr="003A1174">
        <w:rPr>
          <w:rFonts w:ascii="Garamond" w:hAnsi="Garamond" w:cs="Arial"/>
          <w:sz w:val="24"/>
          <w:szCs w:val="24"/>
        </w:rPr>
        <w:t>Atenção</w:t>
      </w:r>
      <w:r w:rsidRPr="003A1174">
        <w:rPr>
          <w:rFonts w:ascii="Garamond" w:hAnsi="Garamond" w:cs="Arial"/>
          <w:sz w:val="24"/>
          <w:szCs w:val="24"/>
        </w:rPr>
        <w:t xml:space="preserve"> </w:t>
      </w:r>
      <w:r w:rsidR="007A2492" w:rsidRPr="003A1174">
        <w:rPr>
          <w:rFonts w:ascii="Garamond" w:hAnsi="Garamond" w:cs="Arial"/>
          <w:sz w:val="24"/>
          <w:szCs w:val="24"/>
        </w:rPr>
        <w:t>tem</w:t>
      </w:r>
      <w:r w:rsidRPr="003A1174">
        <w:rPr>
          <w:rFonts w:ascii="Garamond" w:hAnsi="Garamond" w:cs="Arial"/>
          <w:sz w:val="24"/>
          <w:szCs w:val="24"/>
        </w:rPr>
        <w:t xml:space="preserve"> como objetivo central </w:t>
      </w:r>
      <w:r w:rsidR="00791197" w:rsidRPr="003A1174">
        <w:rPr>
          <w:rFonts w:ascii="Garamond" w:hAnsi="Garamond" w:cs="Arial"/>
          <w:sz w:val="24"/>
          <w:szCs w:val="24"/>
        </w:rPr>
        <w:t xml:space="preserve">proporcionar </w:t>
      </w:r>
      <w:r w:rsidR="00081B57" w:rsidRPr="003A1174">
        <w:rPr>
          <w:rFonts w:ascii="Garamond" w:hAnsi="Garamond" w:cs="Arial"/>
          <w:sz w:val="24"/>
          <w:szCs w:val="24"/>
        </w:rPr>
        <w:t>orientação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0350B1" w:rsidRPr="003A1174">
        <w:rPr>
          <w:rFonts w:ascii="Garamond" w:hAnsi="Garamond" w:cs="Arial"/>
          <w:sz w:val="24"/>
          <w:szCs w:val="24"/>
        </w:rPr>
        <w:t>assistência</w:t>
      </w:r>
      <w:r w:rsidRPr="003A1174">
        <w:rPr>
          <w:rFonts w:ascii="Garamond" w:hAnsi="Garamond" w:cs="Arial"/>
          <w:sz w:val="24"/>
          <w:szCs w:val="24"/>
        </w:rPr>
        <w:t xml:space="preserve"> técnico-jurídica</w:t>
      </w:r>
      <w:r w:rsidR="006B461E">
        <w:rPr>
          <w:rFonts w:ascii="Garamond" w:hAnsi="Garamond" w:cs="Arial"/>
          <w:sz w:val="24"/>
          <w:szCs w:val="24"/>
        </w:rPr>
        <w:t>,</w:t>
      </w:r>
      <w:r w:rsidRPr="003A1174">
        <w:rPr>
          <w:rFonts w:ascii="Garamond" w:hAnsi="Garamond" w:cs="Arial"/>
          <w:sz w:val="24"/>
          <w:szCs w:val="24"/>
        </w:rPr>
        <w:t xml:space="preserve"> </w:t>
      </w:r>
      <w:r w:rsidR="00201889" w:rsidRPr="003A1174">
        <w:rPr>
          <w:rFonts w:ascii="Garamond" w:hAnsi="Garamond" w:cs="Arial"/>
          <w:sz w:val="24"/>
          <w:szCs w:val="24"/>
        </w:rPr>
        <w:t>imediata</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gratuita</w:t>
      </w:r>
      <w:r w:rsidR="006B461E">
        <w:rPr>
          <w:rFonts w:ascii="Garamond" w:hAnsi="Garamond" w:cs="Arial"/>
          <w:sz w:val="24"/>
          <w:szCs w:val="24"/>
        </w:rPr>
        <w:t>,</w:t>
      </w:r>
      <w:r w:rsidRPr="003A1174">
        <w:rPr>
          <w:rFonts w:ascii="Garamond" w:hAnsi="Garamond" w:cs="Arial"/>
          <w:sz w:val="24"/>
          <w:szCs w:val="24"/>
        </w:rPr>
        <w:t xml:space="preserve"> </w:t>
      </w:r>
      <w:r w:rsidR="00791197" w:rsidRPr="003A1174">
        <w:rPr>
          <w:rFonts w:ascii="Garamond" w:hAnsi="Garamond" w:cs="Arial"/>
          <w:sz w:val="24"/>
          <w:szCs w:val="24"/>
        </w:rPr>
        <w:t>às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Pr="003A1174">
        <w:rPr>
          <w:rFonts w:ascii="Garamond" w:hAnsi="Garamond" w:cs="Arial"/>
          <w:sz w:val="24"/>
          <w:szCs w:val="24"/>
        </w:rPr>
        <w:t xml:space="preserve"> Doméstica (física, sexual, psicológica, patrimonial </w:t>
      </w:r>
      <w:r w:rsidR="00497503" w:rsidRPr="003A1174">
        <w:rPr>
          <w:rFonts w:ascii="Garamond" w:hAnsi="Garamond" w:cs="Arial"/>
          <w:sz w:val="24"/>
          <w:szCs w:val="24"/>
        </w:rPr>
        <w:t>e</w:t>
      </w:r>
      <w:r w:rsidRPr="003A1174">
        <w:rPr>
          <w:rFonts w:ascii="Garamond" w:hAnsi="Garamond" w:cs="Arial"/>
          <w:sz w:val="24"/>
          <w:szCs w:val="24"/>
        </w:rPr>
        <w:t>/o</w:t>
      </w:r>
      <w:r w:rsidR="00791197" w:rsidRPr="003A1174">
        <w:rPr>
          <w:rFonts w:ascii="Garamond" w:hAnsi="Garamond" w:cs="Arial"/>
          <w:sz w:val="24"/>
          <w:szCs w:val="24"/>
        </w:rPr>
        <w:t>u</w:t>
      </w:r>
      <w:r w:rsidRPr="003A1174">
        <w:rPr>
          <w:rFonts w:ascii="Garamond" w:hAnsi="Garamond" w:cs="Arial"/>
          <w:sz w:val="24"/>
          <w:szCs w:val="24"/>
        </w:rPr>
        <w:t xml:space="preserve"> económica) </w:t>
      </w:r>
      <w:r w:rsidR="00497503" w:rsidRPr="003A1174">
        <w:rPr>
          <w:rFonts w:ascii="Garamond" w:hAnsi="Garamond" w:cs="Arial"/>
          <w:sz w:val="24"/>
          <w:szCs w:val="24"/>
        </w:rPr>
        <w:t>e</w:t>
      </w:r>
      <w:r w:rsidRPr="003A1174">
        <w:rPr>
          <w:rFonts w:ascii="Garamond" w:hAnsi="Garamond" w:cs="Arial"/>
          <w:sz w:val="24"/>
          <w:szCs w:val="24"/>
        </w:rPr>
        <w:t xml:space="preserve"> </w:t>
      </w:r>
      <w:r w:rsidR="000350B1" w:rsidRPr="003A1174">
        <w:rPr>
          <w:rFonts w:ascii="Garamond" w:hAnsi="Garamond" w:cs="Arial"/>
          <w:sz w:val="24"/>
          <w:szCs w:val="24"/>
        </w:rPr>
        <w:t>Violência</w:t>
      </w:r>
      <w:r w:rsidRPr="003A1174">
        <w:rPr>
          <w:rFonts w:ascii="Garamond" w:hAnsi="Garamond" w:cs="Arial"/>
          <w:sz w:val="24"/>
          <w:szCs w:val="24"/>
        </w:rPr>
        <w:t xml:space="preserve"> Intrafamiliar; </w:t>
      </w:r>
      <w:r w:rsidR="00791197" w:rsidRPr="003A1174">
        <w:rPr>
          <w:rFonts w:ascii="Garamond" w:hAnsi="Garamond" w:cs="Arial"/>
          <w:sz w:val="24"/>
          <w:szCs w:val="24"/>
        </w:rPr>
        <w:t>oferecer</w:t>
      </w:r>
      <w:r w:rsidRPr="003A1174">
        <w:rPr>
          <w:rFonts w:ascii="Garamond" w:hAnsi="Garamond" w:cs="Arial"/>
          <w:sz w:val="24"/>
          <w:szCs w:val="24"/>
        </w:rPr>
        <w:t xml:space="preserve"> </w:t>
      </w:r>
      <w:r w:rsidR="00791197" w:rsidRPr="003A1174">
        <w:rPr>
          <w:rFonts w:ascii="Garamond" w:hAnsi="Garamond" w:cs="Arial"/>
          <w:sz w:val="24"/>
          <w:szCs w:val="24"/>
        </w:rPr>
        <w:t>apoio</w:t>
      </w:r>
      <w:r w:rsidRPr="003A1174">
        <w:rPr>
          <w:rFonts w:ascii="Garamond" w:hAnsi="Garamond" w:cs="Arial"/>
          <w:sz w:val="24"/>
          <w:szCs w:val="24"/>
        </w:rPr>
        <w:t xml:space="preserve"> especializado e </w:t>
      </w:r>
      <w:r w:rsidR="0017447A" w:rsidRPr="003A1174">
        <w:rPr>
          <w:rFonts w:ascii="Garamond" w:hAnsi="Garamond" w:cs="Arial"/>
          <w:sz w:val="24"/>
          <w:szCs w:val="24"/>
        </w:rPr>
        <w:t>informação</w:t>
      </w:r>
      <w:r w:rsidRPr="003A1174">
        <w:rPr>
          <w:rFonts w:ascii="Garamond" w:hAnsi="Garamond" w:cs="Arial"/>
          <w:sz w:val="24"/>
          <w:szCs w:val="24"/>
        </w:rPr>
        <w:t xml:space="preserve"> </w:t>
      </w:r>
      <w:r w:rsidR="007578C6" w:rsidRPr="003A1174">
        <w:rPr>
          <w:rFonts w:ascii="Garamond" w:hAnsi="Garamond" w:cs="Arial"/>
          <w:sz w:val="24"/>
          <w:szCs w:val="24"/>
        </w:rPr>
        <w:t>necessária</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D84A9F" w:rsidRPr="003A1174">
        <w:rPr>
          <w:rFonts w:ascii="Garamond" w:hAnsi="Garamond" w:cs="Arial"/>
          <w:sz w:val="24"/>
          <w:szCs w:val="24"/>
        </w:rPr>
        <w:t>efetiva</w:t>
      </w:r>
      <w:r w:rsidRPr="003A1174">
        <w:rPr>
          <w:rFonts w:ascii="Garamond" w:hAnsi="Garamond" w:cs="Arial"/>
          <w:sz w:val="24"/>
          <w:szCs w:val="24"/>
        </w:rPr>
        <w:t xml:space="preserve">, para </w:t>
      </w:r>
      <w:r w:rsidR="00791197" w:rsidRPr="003A1174">
        <w:rPr>
          <w:rFonts w:ascii="Garamond" w:hAnsi="Garamond" w:cs="Arial"/>
          <w:sz w:val="24"/>
          <w:szCs w:val="24"/>
        </w:rPr>
        <w:t xml:space="preserve">fazer </w:t>
      </w:r>
      <w:r w:rsidRPr="003A1174">
        <w:rPr>
          <w:rFonts w:ascii="Garamond" w:hAnsi="Garamond" w:cs="Arial"/>
          <w:sz w:val="24"/>
          <w:szCs w:val="24"/>
        </w:rPr>
        <w:t xml:space="preserve">valer </w:t>
      </w:r>
      <w:r w:rsidR="00791197" w:rsidRPr="003A1174">
        <w:rPr>
          <w:rFonts w:ascii="Garamond" w:hAnsi="Garamond" w:cs="Arial"/>
          <w:sz w:val="24"/>
          <w:szCs w:val="24"/>
        </w:rPr>
        <w:t xml:space="preserve">os </w:t>
      </w:r>
      <w:r w:rsidRPr="003A1174">
        <w:rPr>
          <w:rFonts w:ascii="Garamond" w:hAnsi="Garamond" w:cs="Arial"/>
          <w:sz w:val="24"/>
          <w:szCs w:val="24"/>
        </w:rPr>
        <w:t>s</w:t>
      </w:r>
      <w:r w:rsidR="00791197" w:rsidRPr="003A1174">
        <w:rPr>
          <w:rFonts w:ascii="Garamond" w:hAnsi="Garamond" w:cs="Arial"/>
          <w:sz w:val="24"/>
          <w:szCs w:val="24"/>
        </w:rPr>
        <w:t>e</w:t>
      </w:r>
      <w:r w:rsidRPr="003A1174">
        <w:rPr>
          <w:rFonts w:ascii="Garamond" w:hAnsi="Garamond" w:cs="Arial"/>
          <w:sz w:val="24"/>
          <w:szCs w:val="24"/>
        </w:rPr>
        <w:t xml:space="preserve">us </w:t>
      </w:r>
      <w:r w:rsidR="00886D6A" w:rsidRPr="003A1174">
        <w:rPr>
          <w:rFonts w:ascii="Garamond" w:hAnsi="Garamond" w:cs="Arial"/>
          <w:sz w:val="24"/>
          <w:szCs w:val="24"/>
        </w:rPr>
        <w:t>direito</w:t>
      </w:r>
      <w:r w:rsidRPr="003A1174">
        <w:rPr>
          <w:rFonts w:ascii="Garamond" w:hAnsi="Garamond" w:cs="Arial"/>
          <w:sz w:val="24"/>
          <w:szCs w:val="24"/>
        </w:rPr>
        <w:t>s;</w:t>
      </w:r>
      <w:r w:rsidR="00791197" w:rsidRPr="003A1174">
        <w:rPr>
          <w:rFonts w:ascii="Garamond" w:hAnsi="Garamond" w:cs="Arial"/>
          <w:sz w:val="24"/>
          <w:szCs w:val="24"/>
        </w:rPr>
        <w:t xml:space="preserve"> proporcionar-lhes </w:t>
      </w:r>
      <w:r w:rsidR="000350B1" w:rsidRPr="003A1174">
        <w:rPr>
          <w:rFonts w:ascii="Garamond" w:hAnsi="Garamond" w:cs="Arial"/>
          <w:sz w:val="24"/>
          <w:szCs w:val="24"/>
        </w:rPr>
        <w:t>assistência</w:t>
      </w:r>
      <w:r w:rsidR="006B461E">
        <w:rPr>
          <w:rFonts w:ascii="Garamond" w:hAnsi="Garamond" w:cs="Arial"/>
          <w:sz w:val="24"/>
          <w:szCs w:val="24"/>
        </w:rPr>
        <w:t>,</w:t>
      </w:r>
      <w:r w:rsidRPr="003A1174">
        <w:rPr>
          <w:rFonts w:ascii="Garamond" w:hAnsi="Garamond" w:cs="Arial"/>
          <w:sz w:val="24"/>
          <w:szCs w:val="24"/>
        </w:rPr>
        <w:t xml:space="preserve"> psicológica </w:t>
      </w:r>
      <w:r w:rsidR="00497503" w:rsidRPr="003A1174">
        <w:rPr>
          <w:rFonts w:ascii="Garamond" w:hAnsi="Garamond" w:cs="Arial"/>
          <w:sz w:val="24"/>
          <w:szCs w:val="24"/>
        </w:rPr>
        <w:t>e</w:t>
      </w:r>
      <w:r w:rsidRPr="003A1174">
        <w:rPr>
          <w:rFonts w:ascii="Garamond" w:hAnsi="Garamond" w:cs="Arial"/>
          <w:sz w:val="24"/>
          <w:szCs w:val="24"/>
        </w:rPr>
        <w:t xml:space="preserve"> social, para enfrentar</w:t>
      </w:r>
      <w:r w:rsidR="00791197" w:rsidRPr="003A1174">
        <w:rPr>
          <w:rFonts w:ascii="Garamond" w:hAnsi="Garamond" w:cs="Arial"/>
          <w:sz w:val="24"/>
          <w:szCs w:val="24"/>
        </w:rPr>
        <w:t xml:space="preserve">em </w:t>
      </w:r>
      <w:r w:rsidRPr="003A1174">
        <w:rPr>
          <w:rFonts w:ascii="Garamond" w:hAnsi="Garamond" w:cs="Arial"/>
          <w:sz w:val="24"/>
          <w:szCs w:val="24"/>
        </w:rPr>
        <w:t>as con</w:t>
      </w:r>
      <w:r w:rsidR="00661ADB" w:rsidRPr="003A1174">
        <w:rPr>
          <w:rFonts w:ascii="Garamond" w:hAnsi="Garamond" w:cs="Arial"/>
          <w:sz w:val="24"/>
          <w:szCs w:val="24"/>
        </w:rPr>
        <w:t>sequência</w:t>
      </w:r>
      <w:r w:rsidRPr="003A1174">
        <w:rPr>
          <w:rFonts w:ascii="Garamond" w:hAnsi="Garamond" w:cs="Arial"/>
          <w:sz w:val="24"/>
          <w:szCs w:val="24"/>
        </w:rPr>
        <w:t xml:space="preserve">s </w:t>
      </w:r>
      <w:r w:rsidR="00497503" w:rsidRPr="003A1174">
        <w:rPr>
          <w:rFonts w:ascii="Garamond" w:hAnsi="Garamond" w:cs="Arial"/>
          <w:sz w:val="24"/>
          <w:szCs w:val="24"/>
        </w:rPr>
        <w:t>dos</w:t>
      </w:r>
      <w:r w:rsidRPr="003A1174">
        <w:rPr>
          <w:rFonts w:ascii="Garamond" w:hAnsi="Garamond" w:cs="Arial"/>
          <w:sz w:val="24"/>
          <w:szCs w:val="24"/>
        </w:rPr>
        <w:t xml:space="preserve"> </w:t>
      </w:r>
      <w:r w:rsidR="006B461E">
        <w:rPr>
          <w:rFonts w:ascii="Garamond" w:hAnsi="Garamond" w:cs="Arial"/>
          <w:sz w:val="24"/>
          <w:szCs w:val="24"/>
        </w:rPr>
        <w:t>atos</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w:t>
      </w:r>
      <w:r w:rsidR="00497503" w:rsidRPr="003A1174">
        <w:rPr>
          <w:rFonts w:ascii="Garamond" w:hAnsi="Garamond" w:cs="Arial"/>
          <w:sz w:val="24"/>
          <w:szCs w:val="24"/>
        </w:rPr>
        <w:t>d</w:t>
      </w:r>
      <w:r w:rsidR="00791197" w:rsidRPr="003A1174">
        <w:rPr>
          <w:rFonts w:ascii="Garamond" w:hAnsi="Garamond" w:cs="Arial"/>
          <w:sz w:val="24"/>
          <w:szCs w:val="24"/>
        </w:rPr>
        <w:t xml:space="preserve">e que </w:t>
      </w:r>
      <w:r w:rsidR="006B461E" w:rsidRPr="00DB2452">
        <w:rPr>
          <w:rFonts w:ascii="Garamond" w:hAnsi="Garamond" w:cs="Arial"/>
          <w:sz w:val="24"/>
          <w:szCs w:val="24"/>
        </w:rPr>
        <w:t xml:space="preserve">foram </w:t>
      </w:r>
      <w:r w:rsidR="003F012B" w:rsidRPr="00DB2452">
        <w:rPr>
          <w:rFonts w:ascii="Garamond" w:hAnsi="Garamond" w:cs="Arial"/>
          <w:sz w:val="24"/>
          <w:szCs w:val="24"/>
        </w:rPr>
        <w:t>vítima</w:t>
      </w:r>
      <w:r w:rsidRPr="00DB2452">
        <w:rPr>
          <w:rFonts w:ascii="Garamond" w:hAnsi="Garamond" w:cs="Arial"/>
          <w:sz w:val="24"/>
          <w:szCs w:val="24"/>
        </w:rPr>
        <w:t>s</w:t>
      </w:r>
      <w:r w:rsidR="00DB2452" w:rsidRPr="00DB2452">
        <w:rPr>
          <w:rFonts w:ascii="Garamond" w:hAnsi="Garamond" w:cs="Arial"/>
          <w:sz w:val="24"/>
          <w:szCs w:val="24"/>
        </w:rPr>
        <w:t>.</w:t>
      </w:r>
    </w:p>
    <w:p w:rsidR="00F92EC2" w:rsidRPr="003A1174" w:rsidRDefault="00F92EC2" w:rsidP="008719D4">
      <w:pPr>
        <w:spacing w:after="0" w:line="240" w:lineRule="auto"/>
        <w:jc w:val="both"/>
        <w:rPr>
          <w:rFonts w:ascii="Garamond" w:hAnsi="Garamond" w:cs="Arial"/>
          <w:sz w:val="24"/>
          <w:szCs w:val="24"/>
        </w:rPr>
      </w:pPr>
      <w:r w:rsidRPr="003A1174">
        <w:rPr>
          <w:rFonts w:ascii="Garamond" w:hAnsi="Garamond" w:cs="Arial"/>
          <w:sz w:val="24"/>
          <w:szCs w:val="24"/>
        </w:rPr>
        <w:t>S</w:t>
      </w:r>
      <w:r w:rsidR="00791197" w:rsidRPr="003A1174">
        <w:rPr>
          <w:rFonts w:ascii="Garamond" w:hAnsi="Garamond" w:cs="Arial"/>
          <w:sz w:val="24"/>
          <w:szCs w:val="24"/>
        </w:rPr>
        <w:t xml:space="preserve">em dúvida, </w:t>
      </w:r>
      <w:r w:rsidRPr="003A1174">
        <w:rPr>
          <w:rFonts w:ascii="Garamond" w:hAnsi="Garamond" w:cs="Arial"/>
          <w:sz w:val="24"/>
          <w:szCs w:val="24"/>
        </w:rPr>
        <w:t xml:space="preserve">os </w:t>
      </w:r>
      <w:r w:rsidR="00FC1F7F" w:rsidRPr="003A1174">
        <w:rPr>
          <w:rFonts w:ascii="Garamond" w:hAnsi="Garamond" w:cs="Arial"/>
          <w:sz w:val="24"/>
          <w:szCs w:val="24"/>
        </w:rPr>
        <w:t>avanços</w:t>
      </w:r>
      <w:r w:rsidRPr="003A1174">
        <w:rPr>
          <w:rFonts w:ascii="Garamond" w:hAnsi="Garamond" w:cs="Arial"/>
          <w:sz w:val="24"/>
          <w:szCs w:val="24"/>
        </w:rPr>
        <w:t xml:space="preserve"> </w:t>
      </w:r>
      <w:r w:rsidR="00791197" w:rsidRPr="003A1174">
        <w:rPr>
          <w:rFonts w:ascii="Garamond" w:hAnsi="Garamond" w:cs="Arial"/>
          <w:sz w:val="24"/>
          <w:szCs w:val="24"/>
        </w:rPr>
        <w:t>alcançado</w:t>
      </w:r>
      <w:r w:rsidRPr="003A1174">
        <w:rPr>
          <w:rFonts w:ascii="Garamond" w:hAnsi="Garamond" w:cs="Arial"/>
          <w:sz w:val="24"/>
          <w:szCs w:val="24"/>
        </w:rPr>
        <w:t>s e</w:t>
      </w:r>
      <w:r w:rsidR="00791197" w:rsidRPr="003A1174">
        <w:rPr>
          <w:rFonts w:ascii="Garamond" w:hAnsi="Garamond" w:cs="Arial"/>
          <w:sz w:val="24"/>
          <w:szCs w:val="24"/>
        </w:rPr>
        <w:t>m</w:t>
      </w:r>
      <w:r w:rsidRPr="003A1174">
        <w:rPr>
          <w:rFonts w:ascii="Garamond" w:hAnsi="Garamond" w:cs="Arial"/>
          <w:sz w:val="24"/>
          <w:szCs w:val="24"/>
        </w:rPr>
        <w:t xml:space="preserve"> </w:t>
      </w:r>
      <w:r w:rsidR="00DB2452">
        <w:rPr>
          <w:rFonts w:ascii="Garamond" w:hAnsi="Garamond" w:cs="Arial"/>
          <w:sz w:val="24"/>
          <w:szCs w:val="24"/>
        </w:rPr>
        <w:t xml:space="preserve">revisões </w:t>
      </w:r>
      <w:r w:rsidR="002D1021" w:rsidRPr="003A1174">
        <w:rPr>
          <w:rFonts w:ascii="Garamond" w:hAnsi="Garamond" w:cs="Arial"/>
          <w:sz w:val="24"/>
          <w:szCs w:val="24"/>
        </w:rPr>
        <w:t>leg</w:t>
      </w:r>
      <w:r w:rsidR="00DB2452">
        <w:rPr>
          <w:rFonts w:ascii="Garamond" w:hAnsi="Garamond" w:cs="Arial"/>
          <w:sz w:val="24"/>
          <w:szCs w:val="24"/>
        </w:rPr>
        <w:t>islativas</w:t>
      </w:r>
      <w:r w:rsidRPr="003A1174">
        <w:rPr>
          <w:rFonts w:ascii="Garamond" w:hAnsi="Garamond" w:cs="Arial"/>
          <w:sz w:val="24"/>
          <w:szCs w:val="24"/>
        </w:rPr>
        <w:t xml:space="preserve">, políticas públicas </w:t>
      </w:r>
      <w:r w:rsidR="00497503" w:rsidRPr="003A1174">
        <w:rPr>
          <w:rFonts w:ascii="Garamond" w:hAnsi="Garamond" w:cs="Arial"/>
          <w:sz w:val="24"/>
          <w:szCs w:val="24"/>
        </w:rPr>
        <w:t>e</w:t>
      </w:r>
      <w:r w:rsidRPr="003A1174">
        <w:rPr>
          <w:rFonts w:ascii="Garamond" w:hAnsi="Garamond" w:cs="Arial"/>
          <w:sz w:val="24"/>
          <w:szCs w:val="24"/>
        </w:rPr>
        <w:t xml:space="preserve"> mecanismos </w:t>
      </w:r>
      <w:r w:rsidR="00C04CA4" w:rsidRPr="003A1174">
        <w:rPr>
          <w:rFonts w:ascii="Garamond" w:hAnsi="Garamond" w:cs="Arial"/>
          <w:sz w:val="24"/>
          <w:szCs w:val="24"/>
        </w:rPr>
        <w:t>institucionais</w:t>
      </w:r>
      <w:r w:rsidR="006B461E">
        <w:rPr>
          <w:rFonts w:ascii="Garamond" w:hAnsi="Garamond" w:cs="Arial"/>
          <w:sz w:val="24"/>
          <w:szCs w:val="24"/>
        </w:rPr>
        <w:t>,</w:t>
      </w:r>
      <w:r w:rsidRPr="003A1174">
        <w:rPr>
          <w:rFonts w:ascii="Garamond" w:hAnsi="Garamond" w:cs="Arial"/>
          <w:sz w:val="24"/>
          <w:szCs w:val="24"/>
        </w:rPr>
        <w:t xml:space="preserve"> </w:t>
      </w:r>
      <w:r w:rsidR="00791197" w:rsidRPr="003A1174">
        <w:rPr>
          <w:rFonts w:ascii="Garamond" w:hAnsi="Garamond" w:cs="Arial"/>
          <w:sz w:val="24"/>
          <w:szCs w:val="24"/>
        </w:rPr>
        <w:t>contribuíram para o</w:t>
      </w:r>
      <w:r w:rsidRPr="003A1174">
        <w:rPr>
          <w:rFonts w:ascii="Garamond" w:hAnsi="Garamond" w:cs="Arial"/>
          <w:sz w:val="24"/>
          <w:szCs w:val="24"/>
        </w:rPr>
        <w:t xml:space="preserve"> </w:t>
      </w:r>
      <w:r w:rsidR="00F520D6" w:rsidRPr="003A1174">
        <w:rPr>
          <w:rFonts w:ascii="Garamond" w:hAnsi="Garamond" w:cs="Arial"/>
          <w:sz w:val="24"/>
          <w:szCs w:val="24"/>
        </w:rPr>
        <w:t>reconhecimento</w:t>
      </w:r>
      <w:r w:rsidRPr="003A1174">
        <w:rPr>
          <w:rFonts w:ascii="Garamond" w:hAnsi="Garamond" w:cs="Arial"/>
          <w:sz w:val="24"/>
          <w:szCs w:val="24"/>
        </w:rPr>
        <w:t xml:space="preserve"> </w:t>
      </w:r>
      <w:r w:rsidR="00497503" w:rsidRPr="003A1174">
        <w:rPr>
          <w:rFonts w:ascii="Garamond" w:hAnsi="Garamond" w:cs="Arial"/>
          <w:sz w:val="24"/>
          <w:szCs w:val="24"/>
        </w:rPr>
        <w:t>e</w:t>
      </w:r>
      <w:r w:rsidR="00791197" w:rsidRPr="003A1174">
        <w:rPr>
          <w:rFonts w:ascii="Garamond" w:hAnsi="Garamond" w:cs="Arial"/>
          <w:sz w:val="24"/>
          <w:szCs w:val="24"/>
        </w:rPr>
        <w:t xml:space="preserve"> </w:t>
      </w:r>
      <w:r w:rsidRPr="003A1174">
        <w:rPr>
          <w:rFonts w:ascii="Garamond" w:hAnsi="Garamond" w:cs="Arial"/>
          <w:sz w:val="24"/>
          <w:szCs w:val="24"/>
        </w:rPr>
        <w:t xml:space="preserve">a </w:t>
      </w:r>
      <w:r w:rsidR="00886D6A" w:rsidRPr="003A1174">
        <w:rPr>
          <w:rFonts w:ascii="Garamond" w:hAnsi="Garamond" w:cs="Arial"/>
          <w:sz w:val="24"/>
          <w:szCs w:val="24"/>
        </w:rPr>
        <w:t>proteção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a </w:t>
      </w:r>
      <w:r w:rsidR="00AC3351" w:rsidRPr="00DB2452">
        <w:rPr>
          <w:rFonts w:ascii="Garamond" w:hAnsi="Garamond" w:cs="Arial"/>
          <w:sz w:val="24"/>
          <w:szCs w:val="24"/>
        </w:rPr>
        <w:t>viver</w:t>
      </w:r>
      <w:r w:rsidR="00791197" w:rsidRPr="00DB2452">
        <w:rPr>
          <w:rFonts w:ascii="Garamond" w:hAnsi="Garamond" w:cs="Arial"/>
          <w:sz w:val="24"/>
          <w:szCs w:val="24"/>
        </w:rPr>
        <w:t>em</w:t>
      </w:r>
      <w:r w:rsidRPr="00DB2452">
        <w:rPr>
          <w:rFonts w:ascii="Garamond" w:hAnsi="Garamond" w:cs="Arial"/>
          <w:sz w:val="24"/>
          <w:szCs w:val="24"/>
        </w:rPr>
        <w:t xml:space="preserve"> </w:t>
      </w:r>
      <w:r w:rsidR="00AF192F" w:rsidRPr="00DB2452">
        <w:rPr>
          <w:rFonts w:ascii="Garamond" w:hAnsi="Garamond" w:cs="Arial"/>
          <w:sz w:val="24"/>
          <w:szCs w:val="24"/>
        </w:rPr>
        <w:t>livre</w:t>
      </w:r>
      <w:r w:rsidRPr="00DB2452">
        <w:rPr>
          <w:rFonts w:ascii="Garamond" w:hAnsi="Garamond" w:cs="Arial"/>
          <w:sz w:val="24"/>
          <w:szCs w:val="24"/>
        </w:rPr>
        <w:t>s</w:t>
      </w:r>
      <w:r w:rsidRPr="003A1174">
        <w:rPr>
          <w:rFonts w:ascii="Garamond" w:hAnsi="Garamond" w:cs="Arial"/>
          <w:sz w:val="24"/>
          <w:szCs w:val="24"/>
        </w:rPr>
        <w:t xml:space="preserve"> de </w:t>
      </w:r>
      <w:r w:rsidR="0017447A" w:rsidRPr="003A1174">
        <w:rPr>
          <w:rFonts w:ascii="Garamond" w:hAnsi="Garamond" w:cs="Arial"/>
          <w:sz w:val="24"/>
          <w:szCs w:val="24"/>
        </w:rPr>
        <w:t>discriminação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0350B1" w:rsidRPr="003A1174">
        <w:rPr>
          <w:rFonts w:ascii="Garamond" w:hAnsi="Garamond" w:cs="Arial"/>
          <w:sz w:val="24"/>
          <w:szCs w:val="24"/>
        </w:rPr>
        <w:t>violência</w:t>
      </w:r>
      <w:r w:rsidRPr="003A1174">
        <w:rPr>
          <w:rFonts w:ascii="Garamond" w:hAnsi="Garamond" w:cs="Arial"/>
          <w:sz w:val="24"/>
          <w:szCs w:val="24"/>
        </w:rPr>
        <w:t xml:space="preserve">, </w:t>
      </w:r>
      <w:r w:rsidR="0074243F" w:rsidRPr="003A1174">
        <w:rPr>
          <w:rFonts w:ascii="Garamond" w:hAnsi="Garamond" w:cs="Arial"/>
          <w:sz w:val="24"/>
          <w:szCs w:val="24"/>
        </w:rPr>
        <w:t>mas</w:t>
      </w:r>
      <w:r w:rsidR="006B461E">
        <w:rPr>
          <w:rFonts w:ascii="Garamond" w:hAnsi="Garamond" w:cs="Arial"/>
          <w:sz w:val="24"/>
          <w:szCs w:val="24"/>
        </w:rPr>
        <w:t>,</w:t>
      </w:r>
      <w:r w:rsidRPr="003A1174">
        <w:rPr>
          <w:rFonts w:ascii="Garamond" w:hAnsi="Garamond" w:cs="Arial"/>
          <w:sz w:val="24"/>
          <w:szCs w:val="24"/>
        </w:rPr>
        <w:t xml:space="preserve"> e</w:t>
      </w:r>
      <w:r w:rsidR="00791197" w:rsidRPr="003A1174">
        <w:rPr>
          <w:rFonts w:ascii="Garamond" w:hAnsi="Garamond" w:cs="Arial"/>
          <w:sz w:val="24"/>
          <w:szCs w:val="24"/>
        </w:rPr>
        <w:t>m</w:t>
      </w:r>
      <w:r w:rsidRPr="003A1174">
        <w:rPr>
          <w:rFonts w:ascii="Garamond" w:hAnsi="Garamond" w:cs="Arial"/>
          <w:sz w:val="24"/>
          <w:szCs w:val="24"/>
        </w:rPr>
        <w:t xml:space="preserve"> </w:t>
      </w:r>
      <w:r w:rsidR="00731B19" w:rsidRPr="003A1174">
        <w:rPr>
          <w:rFonts w:ascii="Garamond" w:hAnsi="Garamond" w:cs="Arial"/>
          <w:sz w:val="24"/>
          <w:szCs w:val="24"/>
        </w:rPr>
        <w:t>termos</w:t>
      </w:r>
      <w:r w:rsidRPr="003A1174">
        <w:rPr>
          <w:rFonts w:ascii="Garamond" w:hAnsi="Garamond" w:cs="Arial"/>
          <w:sz w:val="24"/>
          <w:szCs w:val="24"/>
        </w:rPr>
        <w:t xml:space="preserve"> </w:t>
      </w:r>
      <w:r w:rsidR="008A3DA2" w:rsidRPr="003A1174">
        <w:rPr>
          <w:rFonts w:ascii="Garamond" w:hAnsi="Garamond" w:cs="Arial"/>
          <w:sz w:val="24"/>
          <w:szCs w:val="24"/>
        </w:rPr>
        <w:t>d</w:t>
      </w:r>
      <w:r w:rsidR="00791197" w:rsidRPr="003A1174">
        <w:rPr>
          <w:rFonts w:ascii="Garamond" w:hAnsi="Garamond" w:cs="Arial"/>
          <w:sz w:val="24"/>
          <w:szCs w:val="24"/>
        </w:rPr>
        <w:t>e</w:t>
      </w:r>
      <w:r w:rsidRPr="003A1174">
        <w:rPr>
          <w:rFonts w:ascii="Garamond" w:hAnsi="Garamond" w:cs="Arial"/>
          <w:sz w:val="24"/>
          <w:szCs w:val="24"/>
        </w:rPr>
        <w:t xml:space="preserve"> </w:t>
      </w:r>
      <w:r w:rsidR="00F520D6" w:rsidRPr="003A1174">
        <w:rPr>
          <w:rFonts w:ascii="Garamond" w:hAnsi="Garamond" w:cs="Arial"/>
          <w:sz w:val="24"/>
          <w:szCs w:val="24"/>
        </w:rPr>
        <w:t>reconhecimento</w:t>
      </w:r>
      <w:r w:rsidRPr="003A1174">
        <w:rPr>
          <w:rFonts w:ascii="Garamond" w:hAnsi="Garamond" w:cs="Arial"/>
          <w:sz w:val="24"/>
          <w:szCs w:val="24"/>
        </w:rPr>
        <w:t xml:space="preserve"> da </w:t>
      </w:r>
      <w:r w:rsidR="00B14AA6" w:rsidRPr="003A1174">
        <w:rPr>
          <w:rFonts w:ascii="Garamond" w:hAnsi="Garamond" w:cs="Arial"/>
          <w:sz w:val="24"/>
          <w:szCs w:val="24"/>
        </w:rPr>
        <w:t>aplicação</w:t>
      </w:r>
      <w:r w:rsidRPr="003A1174">
        <w:rPr>
          <w:rFonts w:ascii="Garamond" w:hAnsi="Garamond" w:cs="Arial"/>
          <w:sz w:val="24"/>
          <w:szCs w:val="24"/>
        </w:rPr>
        <w:t xml:space="preserve"> da </w:t>
      </w:r>
      <w:r w:rsidR="002C7510" w:rsidRPr="003A1174">
        <w:rPr>
          <w:rFonts w:ascii="Garamond" w:hAnsi="Garamond" w:cs="Arial"/>
          <w:sz w:val="24"/>
          <w:szCs w:val="24"/>
        </w:rPr>
        <w:t>legislação</w:t>
      </w:r>
      <w:r w:rsidRPr="003A1174">
        <w:rPr>
          <w:rFonts w:ascii="Garamond" w:hAnsi="Garamond" w:cs="Arial"/>
          <w:sz w:val="24"/>
          <w:szCs w:val="24"/>
        </w:rPr>
        <w:t xml:space="preserve"> internacional</w:t>
      </w:r>
      <w:r w:rsidR="006B461E">
        <w:rPr>
          <w:rFonts w:ascii="Garamond" w:hAnsi="Garamond" w:cs="Arial"/>
          <w:sz w:val="24"/>
          <w:szCs w:val="24"/>
        </w:rPr>
        <w:t>,</w:t>
      </w:r>
      <w:r w:rsidRPr="003A1174">
        <w:rPr>
          <w:rFonts w:ascii="Garamond" w:hAnsi="Garamond" w:cs="Arial"/>
          <w:sz w:val="24"/>
          <w:szCs w:val="24"/>
        </w:rPr>
        <w:t xml:space="preserve"> </w:t>
      </w:r>
      <w:r w:rsidR="00791197" w:rsidRPr="003A1174">
        <w:rPr>
          <w:rFonts w:ascii="Garamond" w:hAnsi="Garamond" w:cs="Arial"/>
          <w:sz w:val="24"/>
          <w:szCs w:val="24"/>
        </w:rPr>
        <w:t>torna-</w:t>
      </w:r>
      <w:r w:rsidRPr="003A1174">
        <w:rPr>
          <w:rFonts w:ascii="Garamond" w:hAnsi="Garamond" w:cs="Arial"/>
          <w:sz w:val="24"/>
          <w:szCs w:val="24"/>
        </w:rPr>
        <w:t xml:space="preserve">se </w:t>
      </w:r>
      <w:r w:rsidR="00C30647" w:rsidRPr="003A1174">
        <w:rPr>
          <w:rFonts w:ascii="Garamond" w:hAnsi="Garamond" w:cs="Arial"/>
          <w:sz w:val="24"/>
          <w:szCs w:val="24"/>
        </w:rPr>
        <w:t>necessári</w:t>
      </w:r>
      <w:r w:rsidR="00791197" w:rsidRPr="003A1174">
        <w:rPr>
          <w:rFonts w:ascii="Garamond" w:hAnsi="Garamond" w:cs="Arial"/>
          <w:sz w:val="24"/>
          <w:szCs w:val="24"/>
        </w:rPr>
        <w:t xml:space="preserve">a </w:t>
      </w:r>
      <w:r w:rsidRPr="003A1174">
        <w:rPr>
          <w:rFonts w:ascii="Garamond" w:hAnsi="Garamond" w:cs="Arial"/>
          <w:sz w:val="24"/>
          <w:szCs w:val="24"/>
        </w:rPr>
        <w:t xml:space="preserve">a </w:t>
      </w:r>
      <w:r w:rsidR="00D96FD0" w:rsidRPr="003A1174">
        <w:rPr>
          <w:rFonts w:ascii="Garamond" w:hAnsi="Garamond" w:cs="Arial"/>
          <w:sz w:val="24"/>
          <w:szCs w:val="24"/>
        </w:rPr>
        <w:t>ratificação</w:t>
      </w:r>
      <w:r w:rsidRPr="003A1174">
        <w:rPr>
          <w:rFonts w:ascii="Garamond" w:hAnsi="Garamond" w:cs="Arial"/>
          <w:sz w:val="24"/>
          <w:szCs w:val="24"/>
        </w:rPr>
        <w:t xml:space="preserve"> por parte </w:t>
      </w:r>
      <w:r w:rsidR="008A3DA2" w:rsidRPr="003A1174">
        <w:rPr>
          <w:rFonts w:ascii="Garamond" w:hAnsi="Garamond" w:cs="Arial"/>
          <w:sz w:val="24"/>
          <w:szCs w:val="24"/>
        </w:rPr>
        <w:t>do</w:t>
      </w:r>
      <w:r w:rsidRPr="003A1174">
        <w:rPr>
          <w:rFonts w:ascii="Garamond" w:hAnsi="Garamond" w:cs="Arial"/>
          <w:sz w:val="24"/>
          <w:szCs w:val="24"/>
        </w:rPr>
        <w:t xml:space="preserve"> Estado </w:t>
      </w:r>
      <w:r w:rsidR="008A3DA2" w:rsidRPr="003A1174">
        <w:rPr>
          <w:rFonts w:ascii="Garamond" w:hAnsi="Garamond" w:cs="Arial"/>
          <w:sz w:val="24"/>
          <w:szCs w:val="24"/>
        </w:rPr>
        <w:t>do</w:t>
      </w:r>
      <w:r w:rsidR="00791197" w:rsidRPr="003A1174">
        <w:rPr>
          <w:rFonts w:ascii="Garamond" w:hAnsi="Garamond" w:cs="Arial"/>
          <w:sz w:val="24"/>
          <w:szCs w:val="24"/>
        </w:rPr>
        <w:t xml:space="preserve"> Protocolo </w:t>
      </w:r>
      <w:r w:rsidR="000456B2" w:rsidRPr="003A1174">
        <w:rPr>
          <w:rFonts w:ascii="Garamond" w:hAnsi="Garamond" w:cs="Arial"/>
          <w:sz w:val="24"/>
          <w:szCs w:val="24"/>
        </w:rPr>
        <w:t>Opcional</w:t>
      </w:r>
      <w:r w:rsidR="00791197" w:rsidRPr="003A1174">
        <w:rPr>
          <w:rFonts w:ascii="Garamond" w:hAnsi="Garamond" w:cs="Arial"/>
          <w:sz w:val="24"/>
          <w:szCs w:val="24"/>
        </w:rPr>
        <w:t xml:space="preserve"> d</w:t>
      </w:r>
      <w:r w:rsidRPr="003A1174">
        <w:rPr>
          <w:rFonts w:ascii="Garamond" w:hAnsi="Garamond" w:cs="Arial"/>
          <w:sz w:val="24"/>
          <w:szCs w:val="24"/>
        </w:rPr>
        <w:t>a CEDAW.</w:t>
      </w:r>
    </w:p>
    <w:p w:rsidR="009B7DC1" w:rsidRPr="003A1174" w:rsidRDefault="009B7DC1" w:rsidP="008719D4">
      <w:pPr>
        <w:spacing w:after="0" w:line="240" w:lineRule="auto"/>
        <w:jc w:val="both"/>
        <w:rPr>
          <w:rFonts w:ascii="Garamond" w:hAnsi="Garamond" w:cs="Arial"/>
          <w:sz w:val="24"/>
          <w:szCs w:val="24"/>
        </w:rPr>
      </w:pPr>
    </w:p>
    <w:p w:rsidR="009B7DC1" w:rsidRPr="003A1174" w:rsidRDefault="00030174" w:rsidP="008719D4">
      <w:pPr>
        <w:pStyle w:val="Predeterminado"/>
        <w:spacing w:line="240" w:lineRule="auto"/>
        <w:jc w:val="both"/>
        <w:rPr>
          <w:rFonts w:ascii="Garamond" w:hAnsi="Garamond" w:cs="Arial"/>
          <w:color w:val="auto"/>
          <w:sz w:val="24"/>
          <w:szCs w:val="24"/>
          <w:lang w:val="pt-PT"/>
        </w:rPr>
      </w:pPr>
      <w:bookmarkStart w:id="23" w:name="_Toc421529711"/>
      <w:r w:rsidRPr="003A1174">
        <w:rPr>
          <w:rStyle w:val="Ttulo3Car"/>
          <w:rFonts w:ascii="Garamond" w:hAnsi="Garamond"/>
          <w:sz w:val="24"/>
          <w:szCs w:val="24"/>
          <w:lang w:val="pt-PT"/>
        </w:rPr>
        <w:t>México</w:t>
      </w:r>
      <w:bookmarkEnd w:id="23"/>
      <w:r w:rsidR="009B7DC1" w:rsidRPr="003A1174">
        <w:rPr>
          <w:rStyle w:val="Refdenotaalpie"/>
          <w:rFonts w:ascii="Garamond" w:hAnsi="Garamond" w:cs="Arial"/>
          <w:color w:val="auto"/>
          <w:sz w:val="24"/>
          <w:szCs w:val="24"/>
        </w:rPr>
        <w:footnoteReference w:id="71"/>
      </w:r>
    </w:p>
    <w:p w:rsidR="009B7DC1" w:rsidRPr="003A1174" w:rsidRDefault="009B7DC1"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00791197" w:rsidRPr="003A1174">
        <w:rPr>
          <w:rFonts w:ascii="Garamond" w:hAnsi="Garamond" w:cs="Arial"/>
          <w:color w:val="auto"/>
          <w:sz w:val="24"/>
          <w:szCs w:val="24"/>
        </w:rPr>
        <w:t xml:space="preserve"> pré</w:t>
      </w:r>
      <w:r w:rsidRPr="003A1174">
        <w:rPr>
          <w:rFonts w:ascii="Garamond" w:hAnsi="Garamond" w:cs="Arial"/>
          <w:color w:val="auto"/>
          <w:sz w:val="24"/>
          <w:szCs w:val="24"/>
        </w:rPr>
        <w:t>vio</w:t>
      </w:r>
      <w:r w:rsidR="00211C90" w:rsidRPr="003A1174">
        <w:rPr>
          <w:rFonts w:ascii="Garamond" w:hAnsi="Garamond" w:cs="Arial"/>
          <w:color w:val="auto"/>
          <w:sz w:val="24"/>
          <w:szCs w:val="24"/>
        </w:rPr>
        <w:t xml:space="preserve">, </w:t>
      </w:r>
      <w:r w:rsidRPr="003A1174">
        <w:rPr>
          <w:rFonts w:ascii="Garamond" w:hAnsi="Garamond" w:cs="Arial"/>
          <w:color w:val="auto"/>
          <w:sz w:val="24"/>
          <w:szCs w:val="24"/>
        </w:rPr>
        <w:t>indica</w:t>
      </w:r>
      <w:r w:rsidR="00791197" w:rsidRPr="003A1174">
        <w:rPr>
          <w:rFonts w:ascii="Garamond" w:hAnsi="Garamond" w:cs="Arial"/>
          <w:color w:val="auto"/>
          <w:sz w:val="24"/>
          <w:szCs w:val="24"/>
        </w:rPr>
        <w:t xml:space="preserve">mos </w:t>
      </w:r>
      <w:r w:rsidRPr="003A1174">
        <w:rPr>
          <w:rFonts w:ascii="Garamond" w:hAnsi="Garamond" w:cs="Arial"/>
          <w:color w:val="auto"/>
          <w:sz w:val="24"/>
          <w:szCs w:val="24"/>
        </w:rPr>
        <w:t xml:space="preserve">que </w:t>
      </w:r>
      <w:r w:rsidR="0074243F" w:rsidRPr="003A1174">
        <w:rPr>
          <w:rFonts w:ascii="Garamond" w:hAnsi="Garamond" w:cs="Arial"/>
          <w:color w:val="auto"/>
          <w:sz w:val="24"/>
          <w:szCs w:val="24"/>
        </w:rPr>
        <w:t>ratificou</w:t>
      </w:r>
      <w:r w:rsidR="0079119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6B461E">
        <w:rPr>
          <w:rFonts w:ascii="Garamond" w:hAnsi="Garamond" w:cs="Arial"/>
          <w:color w:val="auto"/>
          <w:sz w:val="24"/>
          <w:szCs w:val="24"/>
        </w:rPr>
        <w:t>,</w:t>
      </w:r>
      <w:r w:rsidRPr="003A1174">
        <w:rPr>
          <w:rFonts w:ascii="Garamond" w:hAnsi="Garamond" w:cs="Arial"/>
          <w:color w:val="auto"/>
          <w:sz w:val="24"/>
          <w:szCs w:val="24"/>
        </w:rPr>
        <w:t xml:space="preserve"> </w:t>
      </w:r>
      <w:r w:rsidR="006B461E">
        <w:rPr>
          <w:rFonts w:ascii="Garamond" w:hAnsi="Garamond" w:cs="Arial"/>
          <w:color w:val="auto"/>
          <w:sz w:val="24"/>
          <w:szCs w:val="24"/>
        </w:rPr>
        <w:t>em</w:t>
      </w:r>
      <w:r w:rsidR="00791197" w:rsidRPr="003A1174">
        <w:rPr>
          <w:rFonts w:ascii="Garamond" w:hAnsi="Garamond" w:cs="Arial"/>
          <w:color w:val="auto"/>
          <w:sz w:val="24"/>
          <w:szCs w:val="24"/>
        </w:rPr>
        <w:t xml:space="preserve"> </w:t>
      </w:r>
      <w:r w:rsidRPr="003A1174">
        <w:rPr>
          <w:rFonts w:ascii="Garamond" w:hAnsi="Garamond" w:cs="Arial"/>
          <w:color w:val="auto"/>
          <w:sz w:val="24"/>
          <w:szCs w:val="24"/>
        </w:rPr>
        <w:t>3 de abril de 1982</w:t>
      </w:r>
      <w:r w:rsidR="00F45A34">
        <w:rPr>
          <w:rFonts w:ascii="Garamond" w:hAnsi="Garamond" w:cs="Arial"/>
          <w:color w:val="auto"/>
          <w:sz w:val="24"/>
          <w:szCs w:val="24"/>
        </w:rPr>
        <w:t>,</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79119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w:t>
      </w:r>
      <w:r w:rsidR="00042808">
        <w:rPr>
          <w:rFonts w:ascii="Garamond" w:hAnsi="Garamond" w:cs="Arial"/>
          <w:color w:val="auto"/>
          <w:sz w:val="24"/>
          <w:szCs w:val="24"/>
        </w:rPr>
        <w:t xml:space="preserve"> </w:t>
      </w:r>
      <w:r w:rsidR="00935298">
        <w:rPr>
          <w:rFonts w:ascii="Garamond" w:hAnsi="Garamond" w:cs="Arial"/>
          <w:color w:val="auto"/>
          <w:sz w:val="24"/>
          <w:szCs w:val="24"/>
        </w:rPr>
        <w:t>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6B461E">
        <w:rPr>
          <w:rFonts w:ascii="Garamond" w:hAnsi="Garamond" w:cs="Arial"/>
          <w:color w:val="auto"/>
          <w:sz w:val="24"/>
          <w:szCs w:val="24"/>
        </w:rPr>
        <w:t>, em</w:t>
      </w:r>
      <w:r w:rsidR="00791197" w:rsidRPr="003A1174">
        <w:rPr>
          <w:rFonts w:ascii="Garamond" w:hAnsi="Garamond" w:cs="Arial"/>
          <w:color w:val="auto"/>
          <w:sz w:val="24"/>
          <w:szCs w:val="24"/>
        </w:rPr>
        <w:t xml:space="preserve"> </w:t>
      </w:r>
      <w:r w:rsidRPr="003A1174">
        <w:rPr>
          <w:rFonts w:ascii="Garamond" w:hAnsi="Garamond" w:cs="Arial"/>
          <w:color w:val="auto"/>
          <w:sz w:val="24"/>
          <w:szCs w:val="24"/>
        </w:rPr>
        <w:t xml:space="preserve">16 de </w:t>
      </w:r>
      <w:r w:rsidR="0094067E" w:rsidRPr="003A1174">
        <w:rPr>
          <w:rFonts w:ascii="Garamond" w:hAnsi="Garamond" w:cs="Arial"/>
          <w:color w:val="auto"/>
          <w:sz w:val="24"/>
          <w:szCs w:val="24"/>
        </w:rPr>
        <w:t>dezembro</w:t>
      </w:r>
      <w:r w:rsidRPr="003A1174">
        <w:rPr>
          <w:rFonts w:ascii="Garamond" w:hAnsi="Garamond" w:cs="Arial"/>
          <w:color w:val="auto"/>
          <w:sz w:val="24"/>
          <w:szCs w:val="24"/>
        </w:rPr>
        <w:t xml:space="preserve"> de 1998. </w:t>
      </w:r>
    </w:p>
    <w:p w:rsidR="009B7DC1" w:rsidRPr="003A1174" w:rsidRDefault="009B7DC1" w:rsidP="008719D4">
      <w:pPr>
        <w:pStyle w:val="Prrafodelista1"/>
        <w:spacing w:after="0" w:line="240" w:lineRule="auto"/>
        <w:jc w:val="both"/>
        <w:rPr>
          <w:rFonts w:ascii="Garamond" w:hAnsi="Garamond" w:cs="Arial"/>
          <w:color w:val="auto"/>
          <w:sz w:val="24"/>
          <w:szCs w:val="24"/>
        </w:rPr>
      </w:pPr>
    </w:p>
    <w:p w:rsidR="009B7DC1" w:rsidRPr="003A1174" w:rsidRDefault="0074243F"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lastRenderedPageBreak/>
        <w:t>Ratificou</w:t>
      </w:r>
      <w:r w:rsidR="00791197" w:rsidRPr="003A1174">
        <w:rPr>
          <w:rFonts w:ascii="Garamond" w:hAnsi="Garamond" w:cs="Arial"/>
          <w:color w:val="auto"/>
          <w:sz w:val="24"/>
          <w:szCs w:val="24"/>
        </w:rPr>
        <w:t xml:space="preserve"> </w:t>
      </w:r>
      <w:r w:rsidR="009B7DC1"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791197" w:rsidRPr="003A1174">
        <w:rPr>
          <w:rFonts w:ascii="Garamond" w:hAnsi="Garamond" w:cs="Arial"/>
          <w:color w:val="auto"/>
          <w:sz w:val="24"/>
          <w:szCs w:val="24"/>
        </w:rPr>
        <w:t xml:space="preserve"> sobre </w:t>
      </w:r>
      <w:r w:rsidR="009B7DC1"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791197" w:rsidRPr="003A1174">
        <w:rPr>
          <w:rFonts w:ascii="Garamond" w:hAnsi="Garamond" w:cs="Arial"/>
          <w:color w:val="auto"/>
          <w:sz w:val="24"/>
          <w:szCs w:val="24"/>
        </w:rPr>
        <w:t xml:space="preserve"> de Todas </w:t>
      </w:r>
      <w:r w:rsidR="009B7DC1"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791197" w:rsidRPr="003A1174">
        <w:rPr>
          <w:rFonts w:ascii="Garamond" w:hAnsi="Garamond" w:cs="Arial"/>
          <w:color w:val="auto"/>
          <w:sz w:val="24"/>
          <w:szCs w:val="24"/>
        </w:rPr>
        <w:t xml:space="preserve"> Contra </w:t>
      </w:r>
      <w:r w:rsidR="009B7DC1"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6B461E">
        <w:rPr>
          <w:rFonts w:ascii="Garamond" w:hAnsi="Garamond" w:cs="Arial"/>
          <w:color w:val="auto"/>
          <w:sz w:val="24"/>
          <w:szCs w:val="24"/>
        </w:rPr>
        <w:t>,</w:t>
      </w:r>
      <w:r w:rsidR="009B7DC1" w:rsidRPr="003A1174">
        <w:rPr>
          <w:rFonts w:ascii="Garamond" w:hAnsi="Garamond" w:cs="Arial"/>
          <w:color w:val="auto"/>
          <w:sz w:val="24"/>
          <w:szCs w:val="24"/>
        </w:rPr>
        <w:t xml:space="preserve"> </w:t>
      </w:r>
      <w:r w:rsidR="006B461E">
        <w:rPr>
          <w:rFonts w:ascii="Garamond" w:hAnsi="Garamond" w:cs="Arial"/>
          <w:color w:val="auto"/>
          <w:sz w:val="24"/>
          <w:szCs w:val="24"/>
        </w:rPr>
        <w:t>em</w:t>
      </w:r>
      <w:r w:rsidR="00791197" w:rsidRPr="003A1174">
        <w:rPr>
          <w:rFonts w:ascii="Garamond" w:hAnsi="Garamond" w:cs="Arial"/>
          <w:color w:val="auto"/>
          <w:sz w:val="24"/>
          <w:szCs w:val="24"/>
        </w:rPr>
        <w:t xml:space="preserve"> </w:t>
      </w:r>
      <w:r w:rsidR="009B7DC1" w:rsidRPr="003A1174">
        <w:rPr>
          <w:rFonts w:ascii="Garamond" w:hAnsi="Garamond" w:cs="Arial"/>
          <w:color w:val="auto"/>
          <w:sz w:val="24"/>
          <w:szCs w:val="24"/>
        </w:rPr>
        <w:t xml:space="preserve">23 de </w:t>
      </w:r>
      <w:r w:rsidR="00C553E2" w:rsidRPr="003A1174">
        <w:rPr>
          <w:rFonts w:ascii="Garamond" w:hAnsi="Garamond" w:cs="Arial"/>
          <w:color w:val="auto"/>
          <w:sz w:val="24"/>
          <w:szCs w:val="24"/>
        </w:rPr>
        <w:t>março</w:t>
      </w:r>
      <w:r w:rsidR="009B7DC1" w:rsidRPr="003A1174">
        <w:rPr>
          <w:rFonts w:ascii="Garamond" w:hAnsi="Garamond" w:cs="Arial"/>
          <w:color w:val="auto"/>
          <w:sz w:val="24"/>
          <w:szCs w:val="24"/>
        </w:rPr>
        <w:t xml:space="preserve"> de 1981</w:t>
      </w:r>
      <w:r w:rsidR="00211C90" w:rsidRPr="003A1174">
        <w:rPr>
          <w:rFonts w:ascii="Garamond" w:hAnsi="Garamond" w:cs="Arial"/>
          <w:color w:val="auto"/>
          <w:sz w:val="24"/>
          <w:szCs w:val="24"/>
        </w:rPr>
        <w:t>;</w:t>
      </w:r>
      <w:r w:rsidR="009B7DC1"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791197" w:rsidRPr="003A1174">
        <w:rPr>
          <w:rFonts w:ascii="Garamond" w:hAnsi="Garamond" w:cs="Arial"/>
          <w:color w:val="auto"/>
          <w:sz w:val="24"/>
          <w:szCs w:val="24"/>
        </w:rPr>
        <w:t xml:space="preserve"> </w:t>
      </w:r>
      <w:r w:rsidR="009B7DC1"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9B7DC1"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791197" w:rsidRPr="003A1174">
        <w:rPr>
          <w:rFonts w:ascii="Garamond" w:hAnsi="Garamond" w:cs="Arial"/>
          <w:color w:val="auto"/>
          <w:sz w:val="24"/>
          <w:szCs w:val="24"/>
        </w:rPr>
        <w:t xml:space="preserve"> </w:t>
      </w:r>
      <w:r w:rsidR="009B7DC1"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791197" w:rsidRPr="003A1174">
        <w:rPr>
          <w:rFonts w:ascii="Garamond" w:hAnsi="Garamond" w:cs="Arial"/>
          <w:color w:val="auto"/>
          <w:sz w:val="24"/>
          <w:szCs w:val="24"/>
        </w:rPr>
        <w:t xml:space="preserve"> contra </w:t>
      </w:r>
      <w:r w:rsidR="009B7DC1"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9B7DC1" w:rsidRPr="003A1174">
        <w:rPr>
          <w:rFonts w:ascii="Garamond" w:hAnsi="Garamond" w:cs="Arial"/>
          <w:color w:val="auto"/>
          <w:sz w:val="24"/>
          <w:szCs w:val="24"/>
        </w:rPr>
        <w:t xml:space="preserve"> </w:t>
      </w:r>
      <w:r w:rsidR="002720C5">
        <w:rPr>
          <w:rFonts w:ascii="Garamond" w:hAnsi="Garamond" w:cs="Arial"/>
          <w:color w:val="auto"/>
          <w:sz w:val="24"/>
          <w:szCs w:val="24"/>
        </w:rPr>
        <w:t>«</w:t>
      </w:r>
      <w:r w:rsidR="00B14AA6" w:rsidRPr="003A1174">
        <w:rPr>
          <w:rFonts w:ascii="Garamond" w:hAnsi="Garamond" w:cs="Arial"/>
          <w:color w:val="auto"/>
          <w:sz w:val="24"/>
          <w:szCs w:val="24"/>
        </w:rPr>
        <w:t>Convenção</w:t>
      </w:r>
      <w:r w:rsidR="009B7DC1" w:rsidRPr="003A1174">
        <w:rPr>
          <w:rFonts w:ascii="Garamond" w:hAnsi="Garamond" w:cs="Arial"/>
          <w:color w:val="auto"/>
          <w:sz w:val="24"/>
          <w:szCs w:val="24"/>
        </w:rPr>
        <w:t xml:space="preserve"> de Belém do Pará</w:t>
      </w:r>
      <w:r w:rsidR="002720C5">
        <w:rPr>
          <w:rFonts w:ascii="Garamond" w:hAnsi="Garamond" w:cs="Arial"/>
          <w:color w:val="auto"/>
          <w:sz w:val="24"/>
          <w:szCs w:val="24"/>
        </w:rPr>
        <w:t>»</w:t>
      </w:r>
      <w:r w:rsidR="006B461E">
        <w:rPr>
          <w:rFonts w:ascii="Garamond" w:hAnsi="Garamond" w:cs="Arial"/>
          <w:color w:val="auto"/>
          <w:sz w:val="24"/>
          <w:szCs w:val="24"/>
        </w:rPr>
        <w:t>,</w:t>
      </w:r>
      <w:r w:rsidR="009B7DC1" w:rsidRPr="003A1174">
        <w:rPr>
          <w:rFonts w:ascii="Garamond" w:hAnsi="Garamond" w:cs="Arial"/>
          <w:color w:val="auto"/>
          <w:sz w:val="24"/>
          <w:szCs w:val="24"/>
        </w:rPr>
        <w:t xml:space="preserve"> </w:t>
      </w:r>
      <w:r w:rsidR="006B461E">
        <w:rPr>
          <w:rFonts w:ascii="Garamond" w:hAnsi="Garamond" w:cs="Arial"/>
          <w:color w:val="auto"/>
          <w:sz w:val="24"/>
          <w:szCs w:val="24"/>
        </w:rPr>
        <w:t>em</w:t>
      </w:r>
      <w:r w:rsidR="00791197" w:rsidRPr="003A1174">
        <w:rPr>
          <w:rFonts w:ascii="Garamond" w:hAnsi="Garamond" w:cs="Arial"/>
          <w:color w:val="auto"/>
          <w:sz w:val="24"/>
          <w:szCs w:val="24"/>
        </w:rPr>
        <w:t xml:space="preserve"> </w:t>
      </w:r>
      <w:r w:rsidR="009B7DC1" w:rsidRPr="003A1174">
        <w:rPr>
          <w:rFonts w:ascii="Garamond" w:hAnsi="Garamond" w:cs="Arial"/>
          <w:color w:val="auto"/>
          <w:sz w:val="24"/>
          <w:szCs w:val="24"/>
        </w:rPr>
        <w:t xml:space="preserve">12 de </w:t>
      </w:r>
      <w:r w:rsidR="009E3E55" w:rsidRPr="003A1174">
        <w:rPr>
          <w:rFonts w:ascii="Garamond" w:hAnsi="Garamond" w:cs="Arial"/>
          <w:color w:val="auto"/>
          <w:sz w:val="24"/>
          <w:szCs w:val="24"/>
        </w:rPr>
        <w:t>novembro</w:t>
      </w:r>
      <w:r w:rsidR="009B7DC1" w:rsidRPr="003A1174">
        <w:rPr>
          <w:rFonts w:ascii="Garamond" w:hAnsi="Garamond" w:cs="Arial"/>
          <w:color w:val="auto"/>
          <w:sz w:val="24"/>
          <w:szCs w:val="24"/>
        </w:rPr>
        <w:t xml:space="preserve"> de 1998.</w:t>
      </w:r>
    </w:p>
    <w:p w:rsidR="009B7DC1" w:rsidRPr="003A1174" w:rsidRDefault="00B14AA6"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9B7DC1" w:rsidRPr="003A1174">
        <w:rPr>
          <w:rFonts w:ascii="Garamond" w:hAnsi="Garamond" w:cs="Arial"/>
          <w:color w:val="auto"/>
          <w:sz w:val="24"/>
          <w:szCs w:val="24"/>
        </w:rPr>
        <w:tab/>
      </w:r>
    </w:p>
    <w:p w:rsidR="009B7DC1" w:rsidRPr="00F45A34" w:rsidRDefault="00791197" w:rsidP="00791197">
      <w:pPr>
        <w:pStyle w:val="Predeterminado"/>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Dispõe de </w:t>
      </w:r>
      <w:r w:rsidR="00FB76BE" w:rsidRPr="00F45A34">
        <w:rPr>
          <w:rFonts w:ascii="Garamond" w:hAnsi="Garamond" w:cs="Arial"/>
          <w:color w:val="auto"/>
          <w:sz w:val="24"/>
          <w:szCs w:val="24"/>
          <w:lang w:val="pt-PT"/>
        </w:rPr>
        <w:t>normas</w:t>
      </w:r>
      <w:r w:rsidR="009B7DC1" w:rsidRPr="00F45A34">
        <w:rPr>
          <w:rFonts w:ascii="Garamond" w:hAnsi="Garamond" w:cs="Arial"/>
          <w:color w:val="auto"/>
          <w:sz w:val="24"/>
          <w:szCs w:val="24"/>
          <w:lang w:val="pt-PT"/>
        </w:rPr>
        <w:t xml:space="preserve"> </w:t>
      </w:r>
      <w:r w:rsidR="00524936" w:rsidRPr="00F45A34">
        <w:rPr>
          <w:rFonts w:ascii="Garamond" w:hAnsi="Garamond" w:cs="Arial"/>
          <w:color w:val="auto"/>
          <w:sz w:val="24"/>
          <w:szCs w:val="24"/>
          <w:lang w:val="pt-PT"/>
        </w:rPr>
        <w:t>expressa</w:t>
      </w:r>
      <w:r w:rsidRPr="00F45A34">
        <w:rPr>
          <w:rFonts w:ascii="Garamond" w:hAnsi="Garamond" w:cs="Arial"/>
          <w:color w:val="auto"/>
          <w:sz w:val="24"/>
          <w:szCs w:val="24"/>
          <w:lang w:val="pt-PT"/>
        </w:rPr>
        <w:t>s</w:t>
      </w:r>
      <w:r w:rsidR="006B461E"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001F2F8B" w:rsidRPr="00F45A34">
        <w:rPr>
          <w:rFonts w:ascii="Garamond" w:hAnsi="Garamond" w:cs="Arial"/>
          <w:color w:val="auto"/>
          <w:sz w:val="24"/>
          <w:szCs w:val="24"/>
          <w:lang w:val="pt-PT"/>
        </w:rPr>
        <w:t>re</w:t>
      </w:r>
      <w:r w:rsidRPr="00F45A34">
        <w:rPr>
          <w:rFonts w:ascii="Garamond" w:hAnsi="Garamond" w:cs="Arial"/>
          <w:color w:val="auto"/>
          <w:sz w:val="24"/>
          <w:szCs w:val="24"/>
          <w:lang w:val="pt-PT"/>
        </w:rPr>
        <w:t xml:space="preserve">lativamente à </w:t>
      </w:r>
      <w:r w:rsidR="000350B1" w:rsidRPr="00F45A34">
        <w:rPr>
          <w:rFonts w:ascii="Garamond" w:hAnsi="Garamond" w:cs="Arial"/>
          <w:color w:val="auto"/>
          <w:sz w:val="24"/>
          <w:szCs w:val="24"/>
          <w:lang w:val="pt-PT"/>
        </w:rPr>
        <w:t>Violência</w:t>
      </w:r>
      <w:r w:rsidRPr="00F45A34">
        <w:rPr>
          <w:rFonts w:ascii="Garamond" w:hAnsi="Garamond" w:cs="Arial"/>
          <w:color w:val="auto"/>
          <w:sz w:val="24"/>
          <w:szCs w:val="24"/>
          <w:lang w:val="pt-PT"/>
        </w:rPr>
        <w:t xml:space="preserve"> contra </w:t>
      </w:r>
      <w:r w:rsidR="009B7DC1" w:rsidRPr="00F45A34">
        <w:rPr>
          <w:rFonts w:ascii="Garamond" w:hAnsi="Garamond" w:cs="Arial"/>
          <w:color w:val="auto"/>
          <w:sz w:val="24"/>
          <w:szCs w:val="24"/>
          <w:lang w:val="pt-PT"/>
        </w:rPr>
        <w:t xml:space="preserve">a </w:t>
      </w:r>
      <w:r w:rsidR="00AF192F" w:rsidRPr="00F45A34">
        <w:rPr>
          <w:rFonts w:ascii="Garamond" w:hAnsi="Garamond" w:cs="Arial"/>
          <w:color w:val="auto"/>
          <w:sz w:val="24"/>
          <w:szCs w:val="24"/>
          <w:lang w:val="pt-PT"/>
        </w:rPr>
        <w:t>Mulher</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reunidas</w:t>
      </w:r>
      <w:r w:rsidR="006B461E"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principalmente</w:t>
      </w:r>
      <w:r w:rsidR="00542E90"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 xml:space="preserve">na </w:t>
      </w:r>
      <w:r w:rsidR="00D15AFF" w:rsidRPr="00F45A34">
        <w:rPr>
          <w:rFonts w:ascii="Garamond" w:hAnsi="Garamond" w:cs="Arial"/>
          <w:color w:val="auto"/>
          <w:sz w:val="24"/>
          <w:szCs w:val="24"/>
          <w:lang w:val="pt-PT"/>
        </w:rPr>
        <w:t>Lei</w:t>
      </w:r>
      <w:r w:rsidR="009B7DC1" w:rsidRPr="00F45A34">
        <w:rPr>
          <w:rFonts w:ascii="Garamond" w:hAnsi="Garamond" w:cs="Arial"/>
          <w:color w:val="auto"/>
          <w:sz w:val="24"/>
          <w:szCs w:val="24"/>
          <w:lang w:val="pt-PT"/>
        </w:rPr>
        <w:t xml:space="preserve"> </w:t>
      </w:r>
      <w:r w:rsidR="00077461" w:rsidRPr="00F45A34">
        <w:rPr>
          <w:rFonts w:ascii="Garamond" w:hAnsi="Garamond" w:cs="Arial"/>
          <w:color w:val="auto"/>
          <w:sz w:val="24"/>
          <w:szCs w:val="24"/>
          <w:lang w:val="pt-PT"/>
        </w:rPr>
        <w:t>Geral</w:t>
      </w:r>
      <w:r w:rsidR="009B7DC1" w:rsidRPr="00F45A34">
        <w:rPr>
          <w:rFonts w:ascii="Garamond" w:hAnsi="Garamond" w:cs="Arial"/>
          <w:color w:val="auto"/>
          <w:sz w:val="24"/>
          <w:szCs w:val="24"/>
          <w:lang w:val="pt-PT"/>
        </w:rPr>
        <w:t xml:space="preserve"> para </w:t>
      </w:r>
      <w:r w:rsidRPr="00F45A34">
        <w:rPr>
          <w:rFonts w:ascii="Garamond" w:hAnsi="Garamond" w:cs="Arial"/>
          <w:color w:val="auto"/>
          <w:sz w:val="24"/>
          <w:szCs w:val="24"/>
          <w:lang w:val="pt-PT"/>
        </w:rPr>
        <w:t>o</w:t>
      </w:r>
      <w:r w:rsidR="009B7DC1" w:rsidRPr="00F45A34">
        <w:rPr>
          <w:rFonts w:ascii="Garamond" w:hAnsi="Garamond" w:cs="Arial"/>
          <w:color w:val="auto"/>
          <w:sz w:val="24"/>
          <w:szCs w:val="24"/>
          <w:lang w:val="pt-PT"/>
        </w:rPr>
        <w:t xml:space="preserve"> </w:t>
      </w:r>
      <w:r w:rsidR="00886D6A" w:rsidRPr="00F45A34">
        <w:rPr>
          <w:rFonts w:ascii="Garamond" w:hAnsi="Garamond" w:cs="Arial"/>
          <w:color w:val="auto"/>
          <w:sz w:val="24"/>
          <w:szCs w:val="24"/>
          <w:lang w:val="pt-PT"/>
        </w:rPr>
        <w:t>Acesso</w:t>
      </w:r>
      <w:r w:rsidR="009B7DC1" w:rsidRPr="00F45A34">
        <w:rPr>
          <w:rFonts w:ascii="Garamond" w:hAnsi="Garamond" w:cs="Arial"/>
          <w:color w:val="auto"/>
          <w:sz w:val="24"/>
          <w:szCs w:val="24"/>
          <w:lang w:val="pt-PT"/>
        </w:rPr>
        <w:t xml:space="preserve"> </w:t>
      </w:r>
      <w:r w:rsidR="00497503" w:rsidRPr="00F45A34">
        <w:rPr>
          <w:rFonts w:ascii="Garamond" w:hAnsi="Garamond" w:cs="Arial"/>
          <w:color w:val="auto"/>
          <w:sz w:val="24"/>
          <w:szCs w:val="24"/>
          <w:lang w:val="pt-PT"/>
        </w:rPr>
        <w:t>das</w:t>
      </w:r>
      <w:r w:rsidR="009B7DC1" w:rsidRPr="00F45A34">
        <w:rPr>
          <w:rFonts w:ascii="Garamond" w:hAnsi="Garamond" w:cs="Arial"/>
          <w:color w:val="auto"/>
          <w:sz w:val="24"/>
          <w:szCs w:val="24"/>
          <w:lang w:val="pt-PT"/>
        </w:rPr>
        <w:t xml:space="preserve"> </w:t>
      </w:r>
      <w:r w:rsidR="00054EE0" w:rsidRPr="00F45A34">
        <w:rPr>
          <w:rFonts w:ascii="Garamond" w:hAnsi="Garamond" w:cs="Arial"/>
          <w:color w:val="auto"/>
          <w:sz w:val="24"/>
          <w:szCs w:val="24"/>
          <w:lang w:val="pt-PT"/>
        </w:rPr>
        <w:t>Mulheres</w:t>
      </w:r>
      <w:r w:rsidRPr="00F45A34">
        <w:rPr>
          <w:rFonts w:ascii="Garamond" w:hAnsi="Garamond" w:cs="Arial"/>
          <w:color w:val="auto"/>
          <w:sz w:val="24"/>
          <w:szCs w:val="24"/>
          <w:lang w:val="pt-PT"/>
        </w:rPr>
        <w:t xml:space="preserve"> a Um</w:t>
      </w:r>
      <w:r w:rsidR="009B7DC1" w:rsidRPr="00F45A34">
        <w:rPr>
          <w:rFonts w:ascii="Garamond" w:hAnsi="Garamond" w:cs="Arial"/>
          <w:color w:val="auto"/>
          <w:sz w:val="24"/>
          <w:szCs w:val="24"/>
          <w:lang w:val="pt-PT"/>
        </w:rPr>
        <w:t xml:space="preserve">a Vida </w:t>
      </w:r>
      <w:r w:rsidR="00AF192F" w:rsidRPr="00F45A34">
        <w:rPr>
          <w:rFonts w:ascii="Garamond" w:hAnsi="Garamond" w:cs="Arial"/>
          <w:color w:val="auto"/>
          <w:sz w:val="24"/>
          <w:szCs w:val="24"/>
          <w:lang w:val="pt-PT"/>
        </w:rPr>
        <w:t>Livre</w:t>
      </w:r>
      <w:r w:rsidR="009B7DC1" w:rsidRPr="00F45A34">
        <w:rPr>
          <w:rFonts w:ascii="Garamond" w:hAnsi="Garamond" w:cs="Arial"/>
          <w:color w:val="auto"/>
          <w:sz w:val="24"/>
          <w:szCs w:val="24"/>
          <w:lang w:val="pt-PT"/>
        </w:rPr>
        <w:t xml:space="preserve"> de </w:t>
      </w:r>
      <w:r w:rsidR="000350B1" w:rsidRPr="00F45A34">
        <w:rPr>
          <w:rFonts w:ascii="Garamond" w:hAnsi="Garamond" w:cs="Arial"/>
          <w:color w:val="auto"/>
          <w:sz w:val="24"/>
          <w:szCs w:val="24"/>
          <w:lang w:val="pt-PT"/>
        </w:rPr>
        <w:t>Violência</w:t>
      </w:r>
      <w:r w:rsidR="00211C90" w:rsidRPr="00F45A34">
        <w:rPr>
          <w:rFonts w:ascii="Garamond" w:hAnsi="Garamond" w:cs="Arial"/>
          <w:color w:val="auto"/>
          <w:sz w:val="24"/>
          <w:szCs w:val="24"/>
          <w:lang w:val="pt-PT"/>
        </w:rPr>
        <w:t>,</w:t>
      </w:r>
      <w:r w:rsidRPr="00F45A34">
        <w:rPr>
          <w:rFonts w:ascii="Garamond" w:hAnsi="Garamond" w:cs="Arial"/>
          <w:color w:val="auto"/>
          <w:sz w:val="24"/>
          <w:szCs w:val="24"/>
          <w:lang w:val="pt-PT"/>
        </w:rPr>
        <w:t xml:space="preserve"> cuj</w:t>
      </w:r>
      <w:r w:rsidR="009B7DC1" w:rsidRPr="00F45A34">
        <w:rPr>
          <w:rFonts w:ascii="Garamond" w:hAnsi="Garamond" w:cs="Arial"/>
          <w:color w:val="auto"/>
          <w:sz w:val="24"/>
          <w:szCs w:val="24"/>
          <w:lang w:val="pt-PT"/>
        </w:rPr>
        <w:t xml:space="preserve">o </w:t>
      </w:r>
      <w:r w:rsidR="00CD707D" w:rsidRPr="00F45A34">
        <w:rPr>
          <w:rFonts w:ascii="Garamond" w:hAnsi="Garamond" w:cs="Arial"/>
          <w:color w:val="auto"/>
          <w:sz w:val="24"/>
          <w:szCs w:val="24"/>
          <w:lang w:val="pt-PT"/>
        </w:rPr>
        <w:t>Regulamento</w:t>
      </w:r>
      <w:r w:rsidR="009B7DC1" w:rsidRPr="00F45A34">
        <w:rPr>
          <w:rFonts w:ascii="Garamond" w:hAnsi="Garamond" w:cs="Arial"/>
          <w:color w:val="auto"/>
          <w:sz w:val="24"/>
          <w:szCs w:val="24"/>
          <w:lang w:val="pt-PT"/>
        </w:rPr>
        <w:t xml:space="preserve"> </w:t>
      </w:r>
      <w:r w:rsidR="006B461E" w:rsidRPr="00F45A34">
        <w:rPr>
          <w:rFonts w:ascii="Garamond" w:hAnsi="Garamond" w:cs="Arial"/>
          <w:color w:val="auto"/>
          <w:sz w:val="24"/>
          <w:szCs w:val="24"/>
          <w:lang w:val="pt-PT"/>
        </w:rPr>
        <w:t>-</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de </w:t>
      </w:r>
      <w:r w:rsidRPr="00F45A34">
        <w:rPr>
          <w:rFonts w:ascii="Garamond" w:hAnsi="Garamond" w:cs="Arial"/>
          <w:color w:val="auto"/>
          <w:sz w:val="24"/>
          <w:szCs w:val="24"/>
          <w:lang w:val="pt-PT"/>
        </w:rPr>
        <w:t xml:space="preserve">importância </w:t>
      </w:r>
      <w:r w:rsidR="009B7DC1" w:rsidRPr="00F45A34">
        <w:rPr>
          <w:rFonts w:ascii="Garamond" w:hAnsi="Garamond" w:cs="Arial"/>
          <w:color w:val="auto"/>
          <w:sz w:val="24"/>
          <w:szCs w:val="24"/>
          <w:lang w:val="pt-PT"/>
        </w:rPr>
        <w:t>significativa</w:t>
      </w:r>
      <w:r w:rsidRPr="00F45A34">
        <w:rPr>
          <w:rFonts w:ascii="Garamond" w:hAnsi="Garamond" w:cs="Arial"/>
          <w:color w:val="auto"/>
          <w:sz w:val="24"/>
          <w:szCs w:val="24"/>
          <w:lang w:val="pt-PT"/>
        </w:rPr>
        <w:t xml:space="preserve"> </w:t>
      </w:r>
      <w:r w:rsidR="006B461E"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so</w:t>
      </w:r>
      <w:r w:rsidR="009B7DC1" w:rsidRPr="00F45A34">
        <w:rPr>
          <w:rFonts w:ascii="Garamond" w:hAnsi="Garamond" w:cs="Arial"/>
          <w:color w:val="auto"/>
          <w:sz w:val="24"/>
          <w:szCs w:val="24"/>
          <w:lang w:val="pt-PT"/>
        </w:rPr>
        <w:t>fr</w:t>
      </w:r>
      <w:r w:rsidRPr="00F45A34">
        <w:rPr>
          <w:rFonts w:ascii="Garamond" w:hAnsi="Garamond" w:cs="Arial"/>
          <w:color w:val="auto"/>
          <w:sz w:val="24"/>
          <w:szCs w:val="24"/>
          <w:lang w:val="pt-PT"/>
        </w:rPr>
        <w:t xml:space="preserve">eu </w:t>
      </w:r>
      <w:r w:rsidR="009B7DC1" w:rsidRPr="00F45A34">
        <w:rPr>
          <w:rFonts w:ascii="Garamond" w:hAnsi="Garamond" w:cs="Arial"/>
          <w:color w:val="auto"/>
          <w:sz w:val="24"/>
          <w:szCs w:val="24"/>
          <w:lang w:val="pt-PT"/>
        </w:rPr>
        <w:t xml:space="preserve">numerosas </w:t>
      </w:r>
      <w:r w:rsidRPr="00F45A34">
        <w:rPr>
          <w:rFonts w:ascii="Garamond" w:hAnsi="Garamond" w:cs="Arial"/>
          <w:color w:val="auto"/>
          <w:sz w:val="24"/>
          <w:szCs w:val="24"/>
          <w:lang w:val="pt-PT"/>
        </w:rPr>
        <w:t>modificações</w:t>
      </w:r>
      <w:r w:rsidR="006B461E" w:rsidRPr="00F45A34">
        <w:rPr>
          <w:rFonts w:ascii="Garamond" w:hAnsi="Garamond" w:cs="Arial"/>
          <w:color w:val="auto"/>
          <w:sz w:val="24"/>
          <w:szCs w:val="24"/>
          <w:lang w:val="pt-PT"/>
        </w:rPr>
        <w:t>,</w:t>
      </w:r>
      <w:r w:rsidRPr="00F45A34">
        <w:rPr>
          <w:rFonts w:ascii="Garamond" w:hAnsi="Garamond" w:cs="Arial"/>
          <w:color w:val="auto"/>
          <w:sz w:val="24"/>
          <w:szCs w:val="24"/>
          <w:lang w:val="pt-PT"/>
        </w:rPr>
        <w:t xml:space="preserve"> </w:t>
      </w:r>
      <w:r w:rsidR="006B461E" w:rsidRPr="00F45A34">
        <w:rPr>
          <w:rFonts w:ascii="Garamond" w:hAnsi="Garamond" w:cs="Arial"/>
          <w:color w:val="auto"/>
          <w:sz w:val="24"/>
          <w:szCs w:val="24"/>
          <w:lang w:val="pt-PT"/>
        </w:rPr>
        <w:t>em</w:t>
      </w:r>
      <w:r w:rsidR="009B7DC1" w:rsidRPr="00F45A34">
        <w:rPr>
          <w:rFonts w:ascii="Garamond" w:hAnsi="Garamond" w:cs="Arial"/>
          <w:color w:val="auto"/>
          <w:sz w:val="24"/>
          <w:szCs w:val="24"/>
          <w:lang w:val="pt-PT"/>
        </w:rPr>
        <w:t xml:space="preserve"> 25 de </w:t>
      </w:r>
      <w:r w:rsidR="009E3E55" w:rsidRPr="00F45A34">
        <w:rPr>
          <w:rFonts w:ascii="Garamond" w:hAnsi="Garamond" w:cs="Arial"/>
          <w:color w:val="auto"/>
          <w:sz w:val="24"/>
          <w:szCs w:val="24"/>
          <w:lang w:val="pt-PT"/>
        </w:rPr>
        <w:t>novembro</w:t>
      </w:r>
      <w:r w:rsidR="009B7DC1" w:rsidRPr="00F45A34">
        <w:rPr>
          <w:rFonts w:ascii="Garamond" w:hAnsi="Garamond" w:cs="Arial"/>
          <w:color w:val="auto"/>
          <w:sz w:val="24"/>
          <w:szCs w:val="24"/>
          <w:lang w:val="pt-PT"/>
        </w:rPr>
        <w:t xml:space="preserve"> de 2013. Entre </w:t>
      </w:r>
      <w:r w:rsidR="00211C90"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stas</w:t>
      </w:r>
      <w:r w:rsidR="00211C90" w:rsidRPr="00F45A34">
        <w:rPr>
          <w:rFonts w:ascii="Garamond" w:hAnsi="Garamond" w:cs="Arial"/>
          <w:color w:val="auto"/>
          <w:sz w:val="24"/>
          <w:szCs w:val="24"/>
          <w:lang w:val="pt-PT"/>
        </w:rPr>
        <w:t>,</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as que </w:t>
      </w:r>
      <w:r w:rsidRPr="00F45A34">
        <w:rPr>
          <w:rFonts w:ascii="Garamond" w:hAnsi="Garamond" w:cs="Arial"/>
          <w:color w:val="auto"/>
          <w:sz w:val="24"/>
          <w:szCs w:val="24"/>
          <w:lang w:val="pt-PT"/>
        </w:rPr>
        <w:t xml:space="preserve">mostram </w:t>
      </w:r>
      <w:r w:rsidR="00863197" w:rsidRPr="00F45A34">
        <w:rPr>
          <w:rFonts w:ascii="Garamond" w:hAnsi="Garamond" w:cs="Arial"/>
          <w:color w:val="auto"/>
          <w:sz w:val="24"/>
          <w:szCs w:val="24"/>
          <w:lang w:val="pt-PT"/>
        </w:rPr>
        <w:t>maior</w:t>
      </w:r>
      <w:r w:rsidR="009B7DC1" w:rsidRPr="00F45A34">
        <w:rPr>
          <w:rFonts w:ascii="Garamond" w:hAnsi="Garamond" w:cs="Arial"/>
          <w:color w:val="auto"/>
          <w:sz w:val="24"/>
          <w:szCs w:val="24"/>
          <w:lang w:val="pt-PT"/>
        </w:rPr>
        <w:t xml:space="preserve"> </w:t>
      </w:r>
      <w:r w:rsidR="002E2C71" w:rsidRPr="00F45A34">
        <w:rPr>
          <w:rFonts w:ascii="Garamond" w:hAnsi="Garamond" w:cs="Arial"/>
          <w:color w:val="auto"/>
          <w:sz w:val="24"/>
          <w:szCs w:val="24"/>
          <w:lang w:val="pt-PT"/>
        </w:rPr>
        <w:t>relevância</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q</w:t>
      </w:r>
      <w:r w:rsidR="009B7DC1" w:rsidRPr="00F45A34">
        <w:rPr>
          <w:rFonts w:ascii="Garamond" w:hAnsi="Garamond" w:cs="Arial"/>
          <w:color w:val="auto"/>
          <w:sz w:val="24"/>
          <w:szCs w:val="24"/>
          <w:lang w:val="pt-PT"/>
        </w:rPr>
        <w:t xml:space="preserve">uanto </w:t>
      </w:r>
      <w:r w:rsidRPr="00F45A34">
        <w:rPr>
          <w:rFonts w:ascii="Garamond" w:hAnsi="Garamond" w:cs="Arial"/>
          <w:color w:val="auto"/>
          <w:sz w:val="24"/>
          <w:szCs w:val="24"/>
          <w:lang w:val="pt-PT"/>
        </w:rPr>
        <w:t>à problemática d</w:t>
      </w:r>
      <w:r w:rsidR="009B7DC1" w:rsidRPr="00F45A34">
        <w:rPr>
          <w:rFonts w:ascii="Garamond" w:hAnsi="Garamond" w:cs="Arial"/>
          <w:color w:val="auto"/>
          <w:sz w:val="24"/>
          <w:szCs w:val="24"/>
          <w:lang w:val="pt-PT"/>
        </w:rPr>
        <w:t xml:space="preserve">a </w:t>
      </w:r>
      <w:r w:rsidR="000350B1" w:rsidRPr="00F45A34">
        <w:rPr>
          <w:rFonts w:ascii="Garamond" w:hAnsi="Garamond" w:cs="Arial"/>
          <w:color w:val="auto"/>
          <w:sz w:val="24"/>
          <w:szCs w:val="24"/>
          <w:lang w:val="pt-PT"/>
        </w:rPr>
        <w:t>Violência</w:t>
      </w:r>
      <w:r w:rsidR="009B7DC1" w:rsidRPr="00F45A34">
        <w:rPr>
          <w:rFonts w:ascii="Garamond" w:hAnsi="Garamond" w:cs="Arial"/>
          <w:color w:val="auto"/>
          <w:sz w:val="24"/>
          <w:szCs w:val="24"/>
          <w:lang w:val="pt-PT"/>
        </w:rPr>
        <w:t xml:space="preserve"> Intrafamiliar,</w:t>
      </w:r>
      <w:r w:rsidR="00211C90" w:rsidRPr="00F45A34">
        <w:rPr>
          <w:rFonts w:ascii="Garamond" w:hAnsi="Garamond" w:cs="Arial"/>
          <w:color w:val="auto"/>
          <w:sz w:val="24"/>
          <w:szCs w:val="24"/>
          <w:lang w:val="pt-PT"/>
        </w:rPr>
        <w:t xml:space="preserve"> </w:t>
      </w:r>
      <w:r w:rsidR="00D75A07" w:rsidRPr="00F45A34">
        <w:rPr>
          <w:rFonts w:ascii="Garamond" w:hAnsi="Garamond" w:cs="Arial"/>
          <w:color w:val="auto"/>
          <w:sz w:val="24"/>
          <w:szCs w:val="24"/>
          <w:lang w:val="pt-PT"/>
        </w:rPr>
        <w:t>são</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as indicadas a </w:t>
      </w:r>
      <w:r w:rsidRPr="00F45A34">
        <w:rPr>
          <w:rFonts w:ascii="Garamond" w:hAnsi="Garamond" w:cs="Arial"/>
          <w:color w:val="auto"/>
          <w:sz w:val="24"/>
          <w:szCs w:val="24"/>
          <w:lang w:val="pt-PT"/>
        </w:rPr>
        <w:t>seguir</w:t>
      </w:r>
      <w:r w:rsidR="009B7DC1" w:rsidRPr="00F45A34">
        <w:rPr>
          <w:rFonts w:ascii="Garamond" w:hAnsi="Garamond" w:cs="Arial"/>
          <w:color w:val="auto"/>
          <w:sz w:val="24"/>
          <w:szCs w:val="24"/>
          <w:lang w:val="pt-PT"/>
        </w:rPr>
        <w:t>:</w:t>
      </w:r>
    </w:p>
    <w:p w:rsidR="009B7DC1" w:rsidRPr="00F45A34" w:rsidRDefault="00791197" w:rsidP="002720C5">
      <w:pPr>
        <w:pStyle w:val="Predeterminado"/>
        <w:numPr>
          <w:ilvl w:val="0"/>
          <w:numId w:val="23"/>
        </w:numPr>
        <w:tabs>
          <w:tab w:val="clear" w:pos="708"/>
        </w:tabs>
        <w:spacing w:line="240" w:lineRule="auto"/>
        <w:ind w:left="567" w:firstLine="0"/>
        <w:jc w:val="both"/>
        <w:rPr>
          <w:rFonts w:ascii="Garamond" w:hAnsi="Garamond" w:cs="Arial"/>
          <w:color w:val="auto"/>
          <w:sz w:val="24"/>
          <w:szCs w:val="24"/>
          <w:lang w:val="pt-PT"/>
        </w:rPr>
      </w:pPr>
      <w:r w:rsidRPr="00F45A34">
        <w:rPr>
          <w:rFonts w:ascii="Garamond" w:hAnsi="Garamond" w:cs="Arial"/>
          <w:color w:val="auto"/>
          <w:sz w:val="24"/>
          <w:szCs w:val="24"/>
          <w:lang w:val="pt-PT"/>
        </w:rPr>
        <w:t>A</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supressão</w:t>
      </w:r>
      <w:r w:rsidR="009B7DC1" w:rsidRPr="00F45A34">
        <w:rPr>
          <w:rFonts w:ascii="Garamond" w:hAnsi="Garamond" w:cs="Arial"/>
          <w:color w:val="auto"/>
          <w:sz w:val="24"/>
          <w:szCs w:val="24"/>
          <w:lang w:val="pt-PT"/>
        </w:rPr>
        <w:t xml:space="preserve"> </w:t>
      </w:r>
      <w:r w:rsidR="008A3DA2" w:rsidRPr="00F45A34">
        <w:rPr>
          <w:rFonts w:ascii="Garamond" w:hAnsi="Garamond" w:cs="Arial"/>
          <w:color w:val="auto"/>
          <w:sz w:val="24"/>
          <w:szCs w:val="24"/>
          <w:lang w:val="pt-PT"/>
        </w:rPr>
        <w:t>do</w:t>
      </w:r>
      <w:r w:rsidR="009B7DC1" w:rsidRPr="00F45A34">
        <w:rPr>
          <w:rFonts w:ascii="Garamond" w:hAnsi="Garamond" w:cs="Arial"/>
          <w:color w:val="auto"/>
          <w:sz w:val="24"/>
          <w:szCs w:val="24"/>
          <w:lang w:val="pt-PT"/>
        </w:rPr>
        <w:t xml:space="preserve"> voc</w:t>
      </w:r>
      <w:r w:rsidRPr="00F45A34">
        <w:rPr>
          <w:rFonts w:ascii="Garamond" w:hAnsi="Garamond" w:cs="Arial"/>
          <w:color w:val="auto"/>
          <w:sz w:val="24"/>
          <w:szCs w:val="24"/>
          <w:lang w:val="pt-PT"/>
        </w:rPr>
        <w:t>ábu</w:t>
      </w:r>
      <w:r w:rsidR="009B7DC1" w:rsidRPr="00F45A34">
        <w:rPr>
          <w:rFonts w:ascii="Garamond" w:hAnsi="Garamond" w:cs="Arial"/>
          <w:color w:val="auto"/>
          <w:sz w:val="24"/>
          <w:szCs w:val="24"/>
          <w:lang w:val="pt-PT"/>
        </w:rPr>
        <w:t xml:space="preserve">lo </w:t>
      </w:r>
      <w:r w:rsidR="002720C5"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extrema</w:t>
      </w:r>
      <w:r w:rsidR="002720C5"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no parágrafo</w:t>
      </w:r>
      <w:r w:rsidR="009B7DC1" w:rsidRPr="00F45A34">
        <w:rPr>
          <w:rFonts w:ascii="Garamond" w:hAnsi="Garamond" w:cs="Arial"/>
          <w:color w:val="auto"/>
          <w:sz w:val="24"/>
          <w:szCs w:val="24"/>
          <w:lang w:val="pt-PT"/>
        </w:rPr>
        <w:t xml:space="preserve"> sobre </w:t>
      </w:r>
      <w:r w:rsidR="000350B1" w:rsidRPr="00F45A34">
        <w:rPr>
          <w:rFonts w:ascii="Garamond" w:hAnsi="Garamond" w:cs="Arial"/>
          <w:color w:val="auto"/>
          <w:sz w:val="24"/>
          <w:szCs w:val="24"/>
          <w:lang w:val="pt-PT"/>
        </w:rPr>
        <w:t>Violência</w:t>
      </w:r>
      <w:r w:rsidR="009B7DC1" w:rsidRPr="00F45A34">
        <w:rPr>
          <w:rFonts w:ascii="Garamond" w:hAnsi="Garamond" w:cs="Arial"/>
          <w:color w:val="auto"/>
          <w:sz w:val="24"/>
          <w:szCs w:val="24"/>
          <w:lang w:val="pt-PT"/>
        </w:rPr>
        <w:t xml:space="preserve"> Familiar.</w:t>
      </w:r>
    </w:p>
    <w:p w:rsidR="009B7DC1" w:rsidRPr="003A1174" w:rsidRDefault="00791197" w:rsidP="002720C5">
      <w:pPr>
        <w:pStyle w:val="Predeterminado"/>
        <w:numPr>
          <w:ilvl w:val="0"/>
          <w:numId w:val="23"/>
        </w:numPr>
        <w:spacing w:line="240" w:lineRule="auto"/>
        <w:ind w:left="567" w:firstLine="0"/>
        <w:jc w:val="both"/>
        <w:rPr>
          <w:rFonts w:ascii="Garamond" w:hAnsi="Garamond" w:cs="Arial"/>
          <w:color w:val="auto"/>
          <w:sz w:val="24"/>
          <w:szCs w:val="24"/>
          <w:lang w:val="pt-PT"/>
        </w:rPr>
      </w:pPr>
      <w:r w:rsidRPr="00F45A34">
        <w:rPr>
          <w:rFonts w:ascii="Garamond" w:hAnsi="Garamond" w:cs="Arial"/>
          <w:color w:val="auto"/>
          <w:sz w:val="24"/>
          <w:szCs w:val="24"/>
          <w:lang w:val="pt-PT"/>
        </w:rPr>
        <w:t>A marcação</w:t>
      </w:r>
      <w:r w:rsidR="009B7DC1" w:rsidRPr="00F45A34">
        <w:rPr>
          <w:rFonts w:ascii="Garamond" w:hAnsi="Garamond" w:cs="Arial"/>
          <w:color w:val="auto"/>
          <w:sz w:val="24"/>
          <w:szCs w:val="24"/>
          <w:lang w:val="pt-PT"/>
        </w:rPr>
        <w:t xml:space="preserve"> de </w:t>
      </w:r>
      <w:r w:rsidR="00976FB8" w:rsidRPr="00F45A34">
        <w:rPr>
          <w:rFonts w:ascii="Garamond" w:hAnsi="Garamond" w:cs="Arial"/>
          <w:color w:val="auto"/>
          <w:sz w:val="24"/>
          <w:szCs w:val="24"/>
          <w:lang w:val="pt-PT"/>
        </w:rPr>
        <w:t>Eixo</w:t>
      </w:r>
      <w:r w:rsidR="009B7DC1" w:rsidRPr="00F45A34">
        <w:rPr>
          <w:rFonts w:ascii="Garamond" w:hAnsi="Garamond" w:cs="Arial"/>
          <w:color w:val="auto"/>
          <w:sz w:val="24"/>
          <w:szCs w:val="24"/>
          <w:lang w:val="pt-PT"/>
        </w:rPr>
        <w:t xml:space="preserve">s de </w:t>
      </w:r>
      <w:r w:rsidR="00077461" w:rsidRPr="00F45A34">
        <w:rPr>
          <w:rFonts w:ascii="Garamond" w:hAnsi="Garamond" w:cs="Arial"/>
          <w:color w:val="auto"/>
          <w:sz w:val="24"/>
          <w:szCs w:val="24"/>
          <w:lang w:val="pt-PT"/>
        </w:rPr>
        <w:t>Ação</w:t>
      </w:r>
      <w:r w:rsidR="009B7DC1" w:rsidRPr="00F45A34">
        <w:rPr>
          <w:rFonts w:ascii="Garamond" w:hAnsi="Garamond" w:cs="Arial"/>
          <w:color w:val="auto"/>
          <w:sz w:val="24"/>
          <w:szCs w:val="24"/>
          <w:lang w:val="pt-PT"/>
        </w:rPr>
        <w:t xml:space="preserve"> concebidos como </w:t>
      </w:r>
      <w:r w:rsidR="00A56F43" w:rsidRPr="00F45A34">
        <w:rPr>
          <w:rFonts w:ascii="Garamond" w:hAnsi="Garamond" w:cs="Arial"/>
          <w:color w:val="auto"/>
          <w:sz w:val="24"/>
          <w:szCs w:val="24"/>
          <w:lang w:val="pt-PT"/>
        </w:rPr>
        <w:t>estratégia</w:t>
      </w:r>
      <w:r w:rsidR="009B7DC1" w:rsidRPr="00F45A34">
        <w:rPr>
          <w:rFonts w:ascii="Garamond" w:hAnsi="Garamond" w:cs="Arial"/>
          <w:color w:val="auto"/>
          <w:sz w:val="24"/>
          <w:szCs w:val="24"/>
          <w:lang w:val="pt-PT"/>
        </w:rPr>
        <w:t xml:space="preserve">s </w:t>
      </w:r>
      <w:r w:rsidR="002720C5" w:rsidRPr="00F45A34">
        <w:rPr>
          <w:rFonts w:ascii="Garamond" w:hAnsi="Garamond" w:cs="Arial"/>
          <w:color w:val="auto"/>
          <w:sz w:val="24"/>
          <w:szCs w:val="24"/>
          <w:lang w:val="pt-PT"/>
        </w:rPr>
        <w:t>«</w:t>
      </w:r>
      <w:r w:rsidR="00976FB8" w:rsidRPr="00F45A34">
        <w:rPr>
          <w:rFonts w:ascii="Garamond" w:hAnsi="Garamond" w:cs="Arial"/>
          <w:color w:val="auto"/>
          <w:sz w:val="24"/>
          <w:szCs w:val="24"/>
          <w:lang w:val="pt-PT"/>
        </w:rPr>
        <w:t>transversais</w:t>
      </w:r>
      <w:r w:rsidR="002720C5"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relativas a políticas públicas </w:t>
      </w:r>
      <w:r w:rsidR="00497503" w:rsidRPr="00F45A34">
        <w:rPr>
          <w:rFonts w:ascii="Garamond" w:hAnsi="Garamond" w:cs="Arial"/>
          <w:color w:val="auto"/>
          <w:sz w:val="24"/>
          <w:szCs w:val="24"/>
          <w:lang w:val="pt-PT"/>
        </w:rPr>
        <w:t>dos</w:t>
      </w:r>
      <w:r w:rsidR="009B7DC1" w:rsidRPr="00F45A34">
        <w:rPr>
          <w:rFonts w:ascii="Garamond" w:hAnsi="Garamond" w:cs="Arial"/>
          <w:color w:val="auto"/>
          <w:sz w:val="24"/>
          <w:szCs w:val="24"/>
          <w:lang w:val="pt-PT"/>
        </w:rPr>
        <w:t xml:space="preserve"> di</w:t>
      </w:r>
      <w:r w:rsidR="00976FB8" w:rsidRPr="00F45A34">
        <w:rPr>
          <w:rFonts w:ascii="Garamond" w:hAnsi="Garamond" w:cs="Arial"/>
          <w:color w:val="auto"/>
          <w:sz w:val="24"/>
          <w:szCs w:val="24"/>
          <w:lang w:val="pt-PT"/>
        </w:rPr>
        <w:t xml:space="preserve">ferentes </w:t>
      </w:r>
      <w:r w:rsidR="003F012B" w:rsidRPr="00F45A34">
        <w:rPr>
          <w:rFonts w:ascii="Garamond" w:hAnsi="Garamond" w:cs="Arial"/>
          <w:color w:val="auto"/>
          <w:sz w:val="24"/>
          <w:szCs w:val="24"/>
          <w:lang w:val="pt-PT"/>
        </w:rPr>
        <w:t>níveis</w:t>
      </w:r>
      <w:r w:rsidR="009B7DC1" w:rsidRPr="00F45A34">
        <w:rPr>
          <w:rFonts w:ascii="Garamond" w:hAnsi="Garamond" w:cs="Arial"/>
          <w:color w:val="auto"/>
          <w:sz w:val="24"/>
          <w:szCs w:val="24"/>
          <w:lang w:val="pt-PT"/>
        </w:rPr>
        <w:t xml:space="preserve"> de </w:t>
      </w:r>
      <w:r w:rsidR="006506C6" w:rsidRPr="00F45A34">
        <w:rPr>
          <w:rFonts w:ascii="Garamond" w:hAnsi="Garamond" w:cs="Arial"/>
          <w:color w:val="auto"/>
          <w:sz w:val="24"/>
          <w:szCs w:val="24"/>
          <w:lang w:val="pt-PT"/>
        </w:rPr>
        <w:t>governo</w:t>
      </w:r>
      <w:r w:rsidR="009B7DC1" w:rsidRPr="00F45A34">
        <w:rPr>
          <w:rFonts w:ascii="Garamond" w:hAnsi="Garamond" w:cs="Arial"/>
          <w:color w:val="auto"/>
          <w:sz w:val="24"/>
          <w:szCs w:val="24"/>
          <w:lang w:val="pt-PT"/>
        </w:rPr>
        <w:t xml:space="preserve">, orientadas </w:t>
      </w:r>
      <w:r w:rsidR="00976FB8" w:rsidRPr="00F45A34">
        <w:rPr>
          <w:rFonts w:ascii="Garamond" w:hAnsi="Garamond" w:cs="Arial"/>
          <w:color w:val="auto"/>
          <w:sz w:val="24"/>
          <w:szCs w:val="24"/>
          <w:lang w:val="pt-PT"/>
        </w:rPr>
        <w:t>par</w:t>
      </w:r>
      <w:r w:rsidR="009B7DC1" w:rsidRPr="00F45A34">
        <w:rPr>
          <w:rFonts w:ascii="Garamond" w:hAnsi="Garamond" w:cs="Arial"/>
          <w:color w:val="auto"/>
          <w:sz w:val="24"/>
          <w:szCs w:val="24"/>
          <w:lang w:val="pt-PT"/>
        </w:rPr>
        <w:t xml:space="preserve">a prevenir, atender, </w:t>
      </w:r>
      <w:r w:rsidR="003F493C" w:rsidRPr="00F45A34">
        <w:rPr>
          <w:rFonts w:ascii="Garamond" w:hAnsi="Garamond" w:cs="Arial"/>
          <w:color w:val="auto"/>
          <w:sz w:val="24"/>
          <w:szCs w:val="24"/>
          <w:lang w:val="pt-PT"/>
        </w:rPr>
        <w:t>punir</w:t>
      </w:r>
      <w:r w:rsidR="009B7DC1" w:rsidRPr="00F45A34">
        <w:rPr>
          <w:rFonts w:ascii="Garamond" w:hAnsi="Garamond" w:cs="Arial"/>
          <w:color w:val="auto"/>
          <w:sz w:val="24"/>
          <w:szCs w:val="24"/>
          <w:lang w:val="pt-PT"/>
        </w:rPr>
        <w:t xml:space="preserve"> </w:t>
      </w:r>
      <w:r w:rsidR="00497503" w:rsidRPr="00F45A34">
        <w:rPr>
          <w:rFonts w:ascii="Garamond" w:hAnsi="Garamond" w:cs="Arial"/>
          <w:color w:val="auto"/>
          <w:sz w:val="24"/>
          <w:szCs w:val="24"/>
          <w:lang w:val="pt-PT"/>
        </w:rPr>
        <w:t>e</w:t>
      </w:r>
      <w:r w:rsidR="00976FB8" w:rsidRPr="00F45A34">
        <w:rPr>
          <w:rFonts w:ascii="Garamond" w:hAnsi="Garamond" w:cs="Arial"/>
          <w:color w:val="auto"/>
          <w:sz w:val="24"/>
          <w:szCs w:val="24"/>
          <w:lang w:val="pt-PT"/>
        </w:rPr>
        <w:t xml:space="preserve"> erradicar </w:t>
      </w:r>
      <w:r w:rsidR="009B7DC1" w:rsidRPr="00F45A34">
        <w:rPr>
          <w:rFonts w:ascii="Garamond" w:hAnsi="Garamond" w:cs="Arial"/>
          <w:color w:val="auto"/>
          <w:sz w:val="24"/>
          <w:szCs w:val="24"/>
          <w:lang w:val="pt-PT"/>
        </w:rPr>
        <w:t xml:space="preserve">os diversos tipos de VCM. </w:t>
      </w:r>
      <w:r w:rsidR="00976FB8" w:rsidRPr="00F45A34">
        <w:rPr>
          <w:rFonts w:ascii="Garamond" w:hAnsi="Garamond" w:cs="Arial"/>
          <w:color w:val="auto"/>
          <w:sz w:val="24"/>
          <w:szCs w:val="24"/>
          <w:lang w:val="pt-PT"/>
        </w:rPr>
        <w:t xml:space="preserve">Também, </w:t>
      </w:r>
      <w:r w:rsidR="009B7DC1" w:rsidRPr="00F45A34">
        <w:rPr>
          <w:rFonts w:ascii="Garamond" w:hAnsi="Garamond" w:cs="Arial"/>
          <w:color w:val="auto"/>
          <w:sz w:val="24"/>
          <w:szCs w:val="24"/>
          <w:lang w:val="pt-PT"/>
        </w:rPr>
        <w:t xml:space="preserve">a </w:t>
      </w:r>
      <w:r w:rsidR="00976FB8" w:rsidRPr="00F45A34">
        <w:rPr>
          <w:rFonts w:ascii="Garamond" w:hAnsi="Garamond" w:cs="Arial"/>
          <w:color w:val="auto"/>
          <w:sz w:val="24"/>
          <w:szCs w:val="24"/>
          <w:lang w:val="pt-PT"/>
        </w:rPr>
        <w:t>inclusão</w:t>
      </w:r>
      <w:r w:rsidR="009B7DC1" w:rsidRPr="00F45A34">
        <w:rPr>
          <w:rFonts w:ascii="Garamond" w:hAnsi="Garamond" w:cs="Arial"/>
          <w:color w:val="auto"/>
          <w:sz w:val="24"/>
          <w:szCs w:val="24"/>
          <w:lang w:val="pt-PT"/>
        </w:rPr>
        <w:t xml:space="preserve"> </w:t>
      </w:r>
      <w:r w:rsidR="008A3DA2" w:rsidRPr="00F45A34">
        <w:rPr>
          <w:rFonts w:ascii="Garamond" w:hAnsi="Garamond" w:cs="Arial"/>
          <w:color w:val="auto"/>
          <w:sz w:val="24"/>
          <w:szCs w:val="24"/>
          <w:lang w:val="pt-PT"/>
        </w:rPr>
        <w:t>do</w:t>
      </w:r>
      <w:r w:rsidR="009B7DC1" w:rsidRPr="00F45A34">
        <w:rPr>
          <w:rFonts w:ascii="Garamond" w:hAnsi="Garamond" w:cs="Arial"/>
          <w:color w:val="auto"/>
          <w:sz w:val="24"/>
          <w:szCs w:val="24"/>
          <w:lang w:val="pt-PT"/>
        </w:rPr>
        <w:t xml:space="preserve"> </w:t>
      </w:r>
      <w:r w:rsidR="00AF192F" w:rsidRPr="00F45A34">
        <w:rPr>
          <w:rFonts w:ascii="Garamond" w:hAnsi="Garamond" w:cs="Arial"/>
          <w:color w:val="auto"/>
          <w:sz w:val="24"/>
          <w:szCs w:val="24"/>
          <w:lang w:val="pt-PT"/>
        </w:rPr>
        <w:t>conceito</w:t>
      </w:r>
      <w:r w:rsidR="009B7DC1" w:rsidRPr="00F45A34">
        <w:rPr>
          <w:rFonts w:ascii="Garamond" w:hAnsi="Garamond" w:cs="Arial"/>
          <w:color w:val="auto"/>
          <w:sz w:val="24"/>
          <w:szCs w:val="24"/>
          <w:lang w:val="pt-PT"/>
        </w:rPr>
        <w:t xml:space="preserve"> de </w:t>
      </w:r>
      <w:r w:rsidR="00BD6A0C" w:rsidRPr="00F45A34">
        <w:rPr>
          <w:rFonts w:ascii="Garamond" w:hAnsi="Garamond" w:cs="Arial"/>
          <w:color w:val="auto"/>
          <w:sz w:val="24"/>
          <w:szCs w:val="24"/>
          <w:lang w:val="pt-PT"/>
        </w:rPr>
        <w:t>Dignidade</w:t>
      </w:r>
      <w:r w:rsidR="00211C90"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00F45A34" w:rsidRPr="00F45A34">
        <w:rPr>
          <w:rFonts w:ascii="Garamond" w:hAnsi="Garamond" w:cs="Arial"/>
          <w:color w:val="auto"/>
          <w:sz w:val="24"/>
          <w:szCs w:val="24"/>
          <w:lang w:val="pt-PT"/>
        </w:rPr>
        <w:t xml:space="preserve">entendida </w:t>
      </w:r>
      <w:r w:rsidR="00976FB8" w:rsidRPr="00F45A34">
        <w:rPr>
          <w:rFonts w:ascii="Garamond" w:hAnsi="Garamond" w:cs="Arial"/>
          <w:color w:val="auto"/>
          <w:sz w:val="24"/>
          <w:szCs w:val="24"/>
          <w:lang w:val="pt-PT"/>
        </w:rPr>
        <w:t xml:space="preserve">no </w:t>
      </w:r>
      <w:r w:rsidR="009B7DC1" w:rsidRPr="00F45A34">
        <w:rPr>
          <w:rFonts w:ascii="Garamond" w:hAnsi="Garamond" w:cs="Arial"/>
          <w:color w:val="auto"/>
          <w:sz w:val="24"/>
          <w:szCs w:val="24"/>
          <w:lang w:val="pt-PT"/>
        </w:rPr>
        <w:t xml:space="preserve">sentido de valor, </w:t>
      </w:r>
      <w:r w:rsidR="00886D6A" w:rsidRPr="00F45A34">
        <w:rPr>
          <w:rFonts w:ascii="Garamond" w:hAnsi="Garamond" w:cs="Arial"/>
          <w:color w:val="auto"/>
          <w:sz w:val="24"/>
          <w:szCs w:val="24"/>
          <w:lang w:val="pt-PT"/>
        </w:rPr>
        <w:t>direito</w:t>
      </w:r>
      <w:r w:rsidR="009B7DC1" w:rsidRPr="00F45A34">
        <w:rPr>
          <w:rFonts w:ascii="Garamond" w:hAnsi="Garamond" w:cs="Arial"/>
          <w:color w:val="auto"/>
          <w:sz w:val="24"/>
          <w:szCs w:val="24"/>
          <w:lang w:val="pt-PT"/>
        </w:rPr>
        <w:t xml:space="preserve"> fundamental </w:t>
      </w:r>
      <w:r w:rsidR="00497503"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 xml:space="preserve"> </w:t>
      </w:r>
      <w:r w:rsidR="006D0543" w:rsidRPr="00F45A34">
        <w:rPr>
          <w:rFonts w:ascii="Garamond" w:hAnsi="Garamond" w:cs="Arial"/>
          <w:color w:val="auto"/>
          <w:sz w:val="24"/>
          <w:szCs w:val="24"/>
          <w:lang w:val="pt-PT"/>
        </w:rPr>
        <w:t>princípio</w:t>
      </w:r>
      <w:r w:rsidR="009B7DC1" w:rsidRPr="003A1174">
        <w:rPr>
          <w:rFonts w:ascii="Garamond" w:hAnsi="Garamond" w:cs="Arial"/>
          <w:color w:val="auto"/>
          <w:sz w:val="24"/>
          <w:szCs w:val="24"/>
          <w:lang w:val="pt-PT"/>
        </w:rPr>
        <w:t xml:space="preserve"> que implica </w:t>
      </w:r>
      <w:r w:rsidR="00976FB8" w:rsidRPr="003A1174">
        <w:rPr>
          <w:rFonts w:ascii="Garamond" w:hAnsi="Garamond" w:cs="Arial"/>
          <w:color w:val="auto"/>
          <w:sz w:val="24"/>
          <w:szCs w:val="24"/>
          <w:lang w:val="pt-PT"/>
        </w:rPr>
        <w:t xml:space="preserve">o não </w:t>
      </w:r>
      <w:r w:rsidR="009B7DC1" w:rsidRPr="003A1174">
        <w:rPr>
          <w:rFonts w:ascii="Garamond" w:hAnsi="Garamond" w:cs="Arial"/>
          <w:color w:val="auto"/>
          <w:sz w:val="24"/>
          <w:szCs w:val="24"/>
          <w:lang w:val="pt-PT"/>
        </w:rPr>
        <w:t xml:space="preserve">ser objeto de </w:t>
      </w:r>
      <w:r w:rsidR="000350B1" w:rsidRPr="003A1174">
        <w:rPr>
          <w:rFonts w:ascii="Garamond" w:hAnsi="Garamond" w:cs="Arial"/>
          <w:color w:val="auto"/>
          <w:sz w:val="24"/>
          <w:szCs w:val="24"/>
          <w:lang w:val="pt-PT"/>
        </w:rPr>
        <w:t>violência</w:t>
      </w:r>
      <w:r w:rsidR="009B7DC1" w:rsidRPr="003A1174">
        <w:rPr>
          <w:rFonts w:ascii="Garamond" w:hAnsi="Garamond" w:cs="Arial"/>
          <w:color w:val="auto"/>
          <w:sz w:val="24"/>
          <w:szCs w:val="24"/>
          <w:lang w:val="pt-PT"/>
        </w:rPr>
        <w:t xml:space="preserve"> por parte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Estado o</w:t>
      </w:r>
      <w:r w:rsidR="00976FB8" w:rsidRPr="003A1174">
        <w:rPr>
          <w:rFonts w:ascii="Garamond" w:hAnsi="Garamond" w:cs="Arial"/>
          <w:color w:val="auto"/>
          <w:sz w:val="24"/>
          <w:szCs w:val="24"/>
          <w:lang w:val="pt-PT"/>
        </w:rPr>
        <w:t xml:space="preserve">u de </w:t>
      </w:r>
      <w:r w:rsidR="009B7DC1" w:rsidRPr="003A1174">
        <w:rPr>
          <w:rFonts w:ascii="Garamond" w:hAnsi="Garamond" w:cs="Arial"/>
          <w:color w:val="auto"/>
          <w:sz w:val="24"/>
          <w:szCs w:val="24"/>
          <w:lang w:val="pt-PT"/>
        </w:rPr>
        <w:t xml:space="preserve">particulares. </w:t>
      </w:r>
    </w:p>
    <w:p w:rsidR="009B7DC1" w:rsidRPr="003A1174" w:rsidRDefault="00976FB8" w:rsidP="002720C5">
      <w:pPr>
        <w:pStyle w:val="Predeterminado"/>
        <w:numPr>
          <w:ilvl w:val="0"/>
          <w:numId w:val="23"/>
        </w:numPr>
        <w:spacing w:line="240" w:lineRule="auto"/>
        <w:ind w:left="567" w:firstLine="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9B7DC1" w:rsidRPr="003A1174">
        <w:rPr>
          <w:rFonts w:ascii="Garamond" w:hAnsi="Garamond" w:cs="Arial"/>
          <w:color w:val="auto"/>
          <w:sz w:val="24"/>
          <w:szCs w:val="24"/>
          <w:lang w:val="pt-PT"/>
        </w:rPr>
        <w:t>explicita</w:t>
      </w:r>
      <w:r w:rsidRPr="003A1174">
        <w:rPr>
          <w:rFonts w:ascii="Garamond" w:hAnsi="Garamond" w:cs="Arial"/>
          <w:color w:val="auto"/>
          <w:sz w:val="24"/>
          <w:szCs w:val="24"/>
          <w:lang w:val="pt-PT"/>
        </w:rPr>
        <w:t xml:space="preserve">ção de que </w:t>
      </w:r>
      <w:r w:rsidR="009B7DC1" w:rsidRPr="003A1174">
        <w:rPr>
          <w:rFonts w:ascii="Garamond" w:hAnsi="Garamond" w:cs="Arial"/>
          <w:color w:val="auto"/>
          <w:sz w:val="24"/>
          <w:szCs w:val="24"/>
          <w:lang w:val="pt-PT"/>
        </w:rPr>
        <w:t xml:space="preserve">as </w:t>
      </w:r>
      <w:r w:rsidR="002C7510" w:rsidRPr="003A1174">
        <w:rPr>
          <w:rFonts w:ascii="Garamond" w:hAnsi="Garamond" w:cs="Arial"/>
          <w:color w:val="auto"/>
          <w:sz w:val="24"/>
          <w:szCs w:val="24"/>
          <w:lang w:val="pt-PT"/>
        </w:rPr>
        <w:t>ações</w:t>
      </w:r>
      <w:r w:rsidR="009B7DC1" w:rsidRPr="003A1174">
        <w:rPr>
          <w:rFonts w:ascii="Garamond" w:hAnsi="Garamond" w:cs="Arial"/>
          <w:color w:val="auto"/>
          <w:sz w:val="24"/>
          <w:szCs w:val="24"/>
          <w:lang w:val="pt-PT"/>
        </w:rPr>
        <w:t xml:space="preserve"> preventivas</w:t>
      </w:r>
      <w:r w:rsidR="006B461E">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re</w:t>
      </w:r>
      <w:r w:rsidRPr="003A1174">
        <w:rPr>
          <w:rFonts w:ascii="Garamond" w:hAnsi="Garamond" w:cs="Arial"/>
          <w:color w:val="auto"/>
          <w:sz w:val="24"/>
          <w:szCs w:val="24"/>
          <w:lang w:val="pt-PT"/>
        </w:rPr>
        <w:t xml:space="preserve">lativamente à </w:t>
      </w:r>
      <w:r w:rsidR="009B7DC1" w:rsidRPr="003A1174">
        <w:rPr>
          <w:rFonts w:ascii="Garamond" w:hAnsi="Garamond" w:cs="Arial"/>
          <w:color w:val="auto"/>
          <w:sz w:val="24"/>
          <w:szCs w:val="24"/>
          <w:lang w:val="pt-PT"/>
        </w:rPr>
        <w:t xml:space="preserve">VCM </w:t>
      </w:r>
      <w:r w:rsidR="00211C90" w:rsidRPr="003A1174">
        <w:rPr>
          <w:rFonts w:ascii="Garamond" w:hAnsi="Garamond" w:cs="Arial"/>
          <w:color w:val="auto"/>
          <w:sz w:val="24"/>
          <w:szCs w:val="24"/>
          <w:lang w:val="pt-PT"/>
        </w:rPr>
        <w:t>n</w:t>
      </w:r>
      <w:r w:rsidRPr="003A1174">
        <w:rPr>
          <w:rFonts w:ascii="Garamond" w:hAnsi="Garamond" w:cs="Arial"/>
          <w:color w:val="auto"/>
          <w:sz w:val="24"/>
          <w:szCs w:val="24"/>
          <w:lang w:val="pt-PT"/>
        </w:rPr>
        <w:t>ã</w:t>
      </w:r>
      <w:r w:rsidR="00211C90"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 xml:space="preserve">abrangem apenas </w:t>
      </w:r>
      <w:r w:rsidR="009B7DC1" w:rsidRPr="003A1174">
        <w:rPr>
          <w:rFonts w:ascii="Garamond" w:hAnsi="Garamond" w:cs="Arial"/>
          <w:color w:val="auto"/>
          <w:sz w:val="24"/>
          <w:szCs w:val="24"/>
          <w:lang w:val="pt-PT"/>
        </w:rPr>
        <w:t xml:space="preserve">os </w:t>
      </w:r>
      <w:r w:rsidR="00802ACC" w:rsidRPr="003A1174">
        <w:rPr>
          <w:rFonts w:ascii="Garamond" w:hAnsi="Garamond" w:cs="Arial"/>
          <w:color w:val="auto"/>
          <w:sz w:val="24"/>
          <w:szCs w:val="24"/>
          <w:lang w:val="pt-PT"/>
        </w:rPr>
        <w:t>âmbito</w:t>
      </w:r>
      <w:r w:rsidR="009B7DC1" w:rsidRPr="003A1174">
        <w:rPr>
          <w:rFonts w:ascii="Garamond" w:hAnsi="Garamond" w:cs="Arial"/>
          <w:color w:val="auto"/>
          <w:sz w:val="24"/>
          <w:szCs w:val="24"/>
          <w:lang w:val="pt-PT"/>
        </w:rPr>
        <w:t xml:space="preserve">s laboral, docente </w:t>
      </w:r>
      <w:r w:rsidR="00497503" w:rsidRPr="003A1174">
        <w:rPr>
          <w:rFonts w:ascii="Garamond" w:hAnsi="Garamond" w:cs="Arial"/>
          <w:color w:val="auto"/>
          <w:sz w:val="24"/>
          <w:szCs w:val="24"/>
          <w:lang w:val="pt-PT"/>
        </w:rPr>
        <w:t>e</w:t>
      </w:r>
      <w:r w:rsidR="00E34DB3" w:rsidRPr="003A1174">
        <w:rPr>
          <w:rFonts w:ascii="Garamond" w:hAnsi="Garamond" w:cs="Arial"/>
          <w:color w:val="auto"/>
          <w:sz w:val="24"/>
          <w:szCs w:val="24"/>
          <w:lang w:val="pt-PT"/>
        </w:rPr>
        <w:t xml:space="preserve"> comunitá</w:t>
      </w:r>
      <w:r w:rsidR="009B7DC1" w:rsidRPr="003A1174">
        <w:rPr>
          <w:rFonts w:ascii="Garamond" w:hAnsi="Garamond" w:cs="Arial"/>
          <w:color w:val="auto"/>
          <w:sz w:val="24"/>
          <w:szCs w:val="24"/>
          <w:lang w:val="pt-PT"/>
        </w:rPr>
        <w:t xml:space="preserve">rio, </w:t>
      </w:r>
      <w:r w:rsidRPr="003A1174">
        <w:rPr>
          <w:rFonts w:ascii="Garamond" w:hAnsi="Garamond" w:cs="Arial"/>
          <w:color w:val="auto"/>
          <w:sz w:val="24"/>
          <w:szCs w:val="24"/>
          <w:lang w:val="pt-PT"/>
        </w:rPr>
        <w:t xml:space="preserve">mas também o </w:t>
      </w:r>
      <w:r w:rsidR="009B7DC1" w:rsidRPr="003A1174">
        <w:rPr>
          <w:rFonts w:ascii="Garamond" w:hAnsi="Garamond" w:cs="Arial"/>
          <w:color w:val="auto"/>
          <w:sz w:val="24"/>
          <w:szCs w:val="24"/>
          <w:lang w:val="pt-PT"/>
        </w:rPr>
        <w:t xml:space="preserve">institucional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concreto, </w:t>
      </w:r>
      <w:r w:rsidRPr="003A1174">
        <w:rPr>
          <w:rFonts w:ascii="Garamond" w:hAnsi="Garamond" w:cs="Arial"/>
          <w:color w:val="auto"/>
          <w:sz w:val="24"/>
          <w:szCs w:val="24"/>
          <w:lang w:val="pt-PT"/>
        </w:rPr>
        <w:t xml:space="preserve">o </w:t>
      </w:r>
      <w:r w:rsidR="009B7DC1" w:rsidRPr="003A1174">
        <w:rPr>
          <w:rFonts w:ascii="Garamond" w:hAnsi="Garamond" w:cs="Arial"/>
          <w:color w:val="auto"/>
          <w:sz w:val="24"/>
          <w:szCs w:val="24"/>
          <w:lang w:val="pt-PT"/>
        </w:rPr>
        <w:t xml:space="preserve">familiar, esferas </w:t>
      </w:r>
      <w:r w:rsidR="00211C90"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m que ficou autorizada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intervenção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B7DC1" w:rsidRPr="003A1174">
        <w:rPr>
          <w:rFonts w:ascii="Garamond" w:hAnsi="Garamond" w:cs="Arial"/>
          <w:color w:val="auto"/>
          <w:sz w:val="24"/>
          <w:szCs w:val="24"/>
          <w:lang w:val="pt-PT"/>
        </w:rPr>
        <w:t xml:space="preserve"> entidades federa</w:t>
      </w:r>
      <w:r w:rsidRPr="003A1174">
        <w:rPr>
          <w:rFonts w:ascii="Garamond" w:hAnsi="Garamond" w:cs="Arial"/>
          <w:color w:val="auto"/>
          <w:sz w:val="24"/>
          <w:szCs w:val="24"/>
          <w:lang w:val="pt-PT"/>
        </w:rPr>
        <w:t>i</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municipais</w:t>
      </w:r>
      <w:r w:rsidR="009B7DC1" w:rsidRPr="003A1174">
        <w:rPr>
          <w:rFonts w:ascii="Garamond" w:hAnsi="Garamond" w:cs="Arial"/>
          <w:color w:val="auto"/>
          <w:sz w:val="24"/>
          <w:szCs w:val="24"/>
          <w:lang w:val="pt-PT"/>
        </w:rPr>
        <w:t xml:space="preserve">. </w:t>
      </w:r>
    </w:p>
    <w:p w:rsidR="009B7DC1" w:rsidRPr="003A1174" w:rsidRDefault="00976FB8" w:rsidP="002720C5">
      <w:pPr>
        <w:pStyle w:val="Predeterminado"/>
        <w:numPr>
          <w:ilvl w:val="0"/>
          <w:numId w:val="23"/>
        </w:numPr>
        <w:spacing w:line="240" w:lineRule="auto"/>
        <w:ind w:left="567" w:firstLine="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Em conjunto com os </w:t>
      </w:r>
      <w:r w:rsidR="009B7DC1" w:rsidRPr="003A1174">
        <w:rPr>
          <w:rFonts w:ascii="Garamond" w:hAnsi="Garamond" w:cs="Arial"/>
          <w:color w:val="auto"/>
          <w:sz w:val="24"/>
          <w:szCs w:val="24"/>
          <w:lang w:val="pt-PT"/>
        </w:rPr>
        <w:t xml:space="preserve">servidores </w:t>
      </w:r>
      <w:r w:rsidR="00497503" w:rsidRPr="00F45A34">
        <w:rPr>
          <w:rFonts w:ascii="Garamond" w:hAnsi="Garamond" w:cs="Arial"/>
          <w:color w:val="auto"/>
          <w:sz w:val="24"/>
          <w:szCs w:val="24"/>
          <w:lang w:val="pt-PT"/>
        </w:rPr>
        <w:t>dos</w:t>
      </w:r>
      <w:r w:rsidR="009B7DC1" w:rsidRPr="00F45A34">
        <w:rPr>
          <w:rFonts w:ascii="Garamond" w:hAnsi="Garamond" w:cs="Arial"/>
          <w:color w:val="auto"/>
          <w:sz w:val="24"/>
          <w:szCs w:val="24"/>
          <w:lang w:val="pt-PT"/>
        </w:rPr>
        <w:t xml:space="preserve"> </w:t>
      </w:r>
      <w:r w:rsidR="002A71E1" w:rsidRPr="00F45A34">
        <w:rPr>
          <w:rFonts w:ascii="Garamond" w:hAnsi="Garamond" w:cs="Arial"/>
          <w:color w:val="auto"/>
          <w:sz w:val="24"/>
          <w:szCs w:val="24"/>
          <w:lang w:val="pt-PT"/>
        </w:rPr>
        <w:t xml:space="preserve">órgãos </w:t>
      </w:r>
      <w:r w:rsidR="009B7DC1" w:rsidRPr="00F45A34">
        <w:rPr>
          <w:rFonts w:ascii="Garamond" w:hAnsi="Garamond" w:cs="Arial"/>
          <w:color w:val="auto"/>
          <w:sz w:val="24"/>
          <w:szCs w:val="24"/>
          <w:lang w:val="pt-PT"/>
        </w:rPr>
        <w:t xml:space="preserve">de </w:t>
      </w:r>
      <w:r w:rsidR="00FC1F7F" w:rsidRPr="00F45A34">
        <w:rPr>
          <w:rFonts w:ascii="Garamond" w:hAnsi="Garamond" w:cs="Arial"/>
          <w:color w:val="auto"/>
          <w:sz w:val="24"/>
          <w:szCs w:val="24"/>
          <w:lang w:val="pt-PT"/>
        </w:rPr>
        <w:t>justiça</w:t>
      </w:r>
      <w:r w:rsidR="009B7DC1" w:rsidRPr="00F45A34">
        <w:rPr>
          <w:rFonts w:ascii="Garamond" w:hAnsi="Garamond" w:cs="Arial"/>
          <w:color w:val="auto"/>
          <w:sz w:val="24"/>
          <w:szCs w:val="24"/>
          <w:lang w:val="pt-PT"/>
        </w:rPr>
        <w:t xml:space="preserve"> </w:t>
      </w:r>
      <w:r w:rsidR="00497503"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 xml:space="preserve">de </w:t>
      </w:r>
      <w:r w:rsidR="00D15AFF" w:rsidRPr="00F45A34">
        <w:rPr>
          <w:rFonts w:ascii="Garamond" w:hAnsi="Garamond" w:cs="Arial"/>
          <w:color w:val="auto"/>
          <w:sz w:val="24"/>
          <w:szCs w:val="24"/>
          <w:lang w:val="pt-PT"/>
        </w:rPr>
        <w:t>segurança</w:t>
      </w:r>
      <w:r w:rsidR="009B7DC1" w:rsidRPr="00F45A34">
        <w:rPr>
          <w:rFonts w:ascii="Garamond" w:hAnsi="Garamond" w:cs="Arial"/>
          <w:color w:val="auto"/>
          <w:sz w:val="24"/>
          <w:szCs w:val="24"/>
          <w:lang w:val="pt-PT"/>
        </w:rPr>
        <w:t xml:space="preserve"> pública, </w:t>
      </w:r>
      <w:r w:rsidRPr="00F45A34">
        <w:rPr>
          <w:rFonts w:ascii="Garamond" w:hAnsi="Garamond" w:cs="Arial"/>
          <w:color w:val="auto"/>
          <w:sz w:val="24"/>
          <w:szCs w:val="24"/>
          <w:lang w:val="pt-PT"/>
        </w:rPr>
        <w:t>juntou-</w:t>
      </w:r>
      <w:r w:rsidR="009B7DC1" w:rsidRPr="00F45A34">
        <w:rPr>
          <w:rFonts w:ascii="Garamond" w:hAnsi="Garamond" w:cs="Arial"/>
          <w:color w:val="auto"/>
          <w:sz w:val="24"/>
          <w:szCs w:val="24"/>
          <w:lang w:val="pt-PT"/>
        </w:rPr>
        <w:t xml:space="preserve">se como </w:t>
      </w:r>
      <w:r w:rsidR="006F4B2C" w:rsidRPr="00F45A34">
        <w:rPr>
          <w:rFonts w:ascii="Garamond" w:hAnsi="Garamond" w:cs="Arial"/>
          <w:color w:val="auto"/>
          <w:sz w:val="24"/>
          <w:szCs w:val="24"/>
          <w:lang w:val="pt-PT"/>
        </w:rPr>
        <w:t>destinatário</w:t>
      </w:r>
      <w:r w:rsidR="009B7DC1" w:rsidRPr="00F45A34">
        <w:rPr>
          <w:rFonts w:ascii="Garamond" w:hAnsi="Garamond" w:cs="Arial"/>
          <w:color w:val="auto"/>
          <w:sz w:val="24"/>
          <w:szCs w:val="24"/>
          <w:lang w:val="pt-PT"/>
        </w:rPr>
        <w:t xml:space="preserve">s </w:t>
      </w:r>
      <w:r w:rsidR="00497503" w:rsidRPr="00F45A34">
        <w:rPr>
          <w:rFonts w:ascii="Garamond" w:hAnsi="Garamond" w:cs="Arial"/>
          <w:color w:val="auto"/>
          <w:sz w:val="24"/>
          <w:szCs w:val="24"/>
          <w:lang w:val="pt-PT"/>
        </w:rPr>
        <w:t>das</w:t>
      </w:r>
      <w:r w:rsidR="009B7DC1" w:rsidRPr="00F45A34">
        <w:rPr>
          <w:rFonts w:ascii="Garamond" w:hAnsi="Garamond" w:cs="Arial"/>
          <w:color w:val="auto"/>
          <w:sz w:val="24"/>
          <w:szCs w:val="24"/>
          <w:lang w:val="pt-PT"/>
        </w:rPr>
        <w:t xml:space="preserve"> </w:t>
      </w:r>
      <w:r w:rsidR="002C7510" w:rsidRPr="00F45A34">
        <w:rPr>
          <w:rFonts w:ascii="Garamond" w:hAnsi="Garamond" w:cs="Arial"/>
          <w:color w:val="auto"/>
          <w:sz w:val="24"/>
          <w:szCs w:val="24"/>
          <w:lang w:val="pt-PT"/>
        </w:rPr>
        <w:t>ações</w:t>
      </w:r>
      <w:r w:rsidR="009B7DC1" w:rsidRPr="00F45A34">
        <w:rPr>
          <w:rFonts w:ascii="Garamond" w:hAnsi="Garamond" w:cs="Arial"/>
          <w:color w:val="auto"/>
          <w:sz w:val="24"/>
          <w:szCs w:val="24"/>
          <w:lang w:val="pt-PT"/>
        </w:rPr>
        <w:t xml:space="preserve"> de </w:t>
      </w:r>
      <w:r w:rsidRPr="00F45A34">
        <w:rPr>
          <w:rFonts w:ascii="Garamond" w:hAnsi="Garamond" w:cs="Arial"/>
          <w:color w:val="auto"/>
          <w:sz w:val="24"/>
          <w:szCs w:val="24"/>
          <w:lang w:val="pt-PT"/>
        </w:rPr>
        <w:t>sensibilização</w:t>
      </w:r>
      <w:r w:rsidR="009B7DC1" w:rsidRPr="00F45A34">
        <w:rPr>
          <w:rFonts w:ascii="Garamond" w:hAnsi="Garamond" w:cs="Arial"/>
          <w:color w:val="auto"/>
          <w:sz w:val="24"/>
          <w:szCs w:val="24"/>
          <w:lang w:val="pt-PT"/>
        </w:rPr>
        <w:t xml:space="preserve">, </w:t>
      </w:r>
      <w:r w:rsidR="002A71E1" w:rsidRPr="00F45A34">
        <w:rPr>
          <w:rFonts w:ascii="Garamond" w:hAnsi="Garamond" w:cs="Arial"/>
          <w:color w:val="auto"/>
          <w:sz w:val="24"/>
          <w:szCs w:val="24"/>
          <w:lang w:val="pt-PT"/>
        </w:rPr>
        <w:t xml:space="preserve">formação </w:t>
      </w:r>
      <w:r w:rsidR="00497503"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profissionalização</w:t>
      </w:r>
      <w:r w:rsidR="009B7DC1" w:rsidRPr="00F45A34">
        <w:rPr>
          <w:rFonts w:ascii="Garamond" w:hAnsi="Garamond" w:cs="Arial"/>
          <w:color w:val="auto"/>
          <w:sz w:val="24"/>
          <w:szCs w:val="24"/>
          <w:lang w:val="pt-PT"/>
        </w:rPr>
        <w:t xml:space="preserve"> e</w:t>
      </w:r>
      <w:r w:rsidRPr="00F45A34">
        <w:rPr>
          <w:rFonts w:ascii="Garamond" w:hAnsi="Garamond" w:cs="Arial"/>
          <w:color w:val="auto"/>
          <w:sz w:val="24"/>
          <w:szCs w:val="24"/>
          <w:lang w:val="pt-PT"/>
        </w:rPr>
        <w:t>m</w:t>
      </w:r>
      <w:r w:rsidR="009B7DC1" w:rsidRPr="00F45A34">
        <w:rPr>
          <w:rFonts w:ascii="Garamond" w:hAnsi="Garamond" w:cs="Arial"/>
          <w:color w:val="auto"/>
          <w:sz w:val="24"/>
          <w:szCs w:val="24"/>
          <w:lang w:val="pt-PT"/>
        </w:rPr>
        <w:t xml:space="preserve"> </w:t>
      </w:r>
      <w:r w:rsidR="00EF645F" w:rsidRPr="00F45A34">
        <w:rPr>
          <w:rFonts w:ascii="Garamond" w:hAnsi="Garamond" w:cs="Arial"/>
          <w:color w:val="auto"/>
          <w:sz w:val="24"/>
          <w:szCs w:val="24"/>
          <w:lang w:val="pt-PT"/>
        </w:rPr>
        <w:t>matéria</w:t>
      </w:r>
      <w:r w:rsidRPr="00F45A34">
        <w:rPr>
          <w:rFonts w:ascii="Garamond" w:hAnsi="Garamond" w:cs="Arial"/>
          <w:color w:val="auto"/>
          <w:sz w:val="24"/>
          <w:szCs w:val="24"/>
          <w:lang w:val="pt-PT"/>
        </w:rPr>
        <w:t xml:space="preserve"> de VCM </w:t>
      </w:r>
      <w:r w:rsidR="009B7DC1" w:rsidRPr="00F45A34">
        <w:rPr>
          <w:rFonts w:ascii="Garamond" w:hAnsi="Garamond" w:cs="Arial"/>
          <w:color w:val="auto"/>
          <w:sz w:val="24"/>
          <w:szCs w:val="24"/>
          <w:lang w:val="pt-PT"/>
        </w:rPr>
        <w:t>n</w:t>
      </w:r>
      <w:r w:rsidRPr="00F45A34">
        <w:rPr>
          <w:rFonts w:ascii="Garamond" w:hAnsi="Garamond" w:cs="Arial"/>
          <w:color w:val="auto"/>
          <w:sz w:val="24"/>
          <w:szCs w:val="24"/>
          <w:lang w:val="pt-PT"/>
        </w:rPr>
        <w:t>as suas diferentes modalidades, os</w:t>
      </w:r>
      <w:r w:rsidR="00542E90" w:rsidRPr="00F45A34">
        <w:rPr>
          <w:rFonts w:ascii="Garamond" w:hAnsi="Garamond" w:cs="Arial"/>
          <w:color w:val="auto"/>
          <w:sz w:val="24"/>
          <w:szCs w:val="24"/>
          <w:lang w:val="pt-PT"/>
        </w:rPr>
        <w:t xml:space="preserve"> servidores</w:t>
      </w:r>
      <w:r w:rsidR="00542E90">
        <w:rPr>
          <w:rFonts w:ascii="Garamond" w:hAnsi="Garamond" w:cs="Arial"/>
          <w:color w:val="auto"/>
          <w:sz w:val="24"/>
          <w:szCs w:val="24"/>
          <w:lang w:val="pt-PT"/>
        </w:rPr>
        <w:t xml:space="preserve"> </w:t>
      </w:r>
      <w:r w:rsidRPr="003A1174">
        <w:rPr>
          <w:rFonts w:ascii="Garamond" w:hAnsi="Garamond" w:cs="Arial"/>
          <w:color w:val="auto"/>
          <w:sz w:val="24"/>
          <w:szCs w:val="24"/>
          <w:lang w:val="pt-PT"/>
        </w:rPr>
        <w:t>d</w:t>
      </w:r>
      <w:r w:rsidR="009B7DC1" w:rsidRPr="003A1174">
        <w:rPr>
          <w:rFonts w:ascii="Garamond" w:hAnsi="Garamond" w:cs="Arial"/>
          <w:color w:val="auto"/>
          <w:sz w:val="24"/>
          <w:szCs w:val="24"/>
          <w:lang w:val="pt-PT"/>
        </w:rPr>
        <w:t xml:space="preserve">a </w:t>
      </w:r>
      <w:r w:rsidR="00FB09CA" w:rsidRPr="003A1174">
        <w:rPr>
          <w:rFonts w:ascii="Garamond" w:hAnsi="Garamond" w:cs="Arial"/>
          <w:color w:val="auto"/>
          <w:sz w:val="24"/>
          <w:szCs w:val="24"/>
          <w:lang w:val="pt-PT"/>
        </w:rPr>
        <w:t>Administração</w:t>
      </w:r>
      <w:r w:rsidR="009B7DC1" w:rsidRPr="003A1174">
        <w:rPr>
          <w:rFonts w:ascii="Garamond" w:hAnsi="Garamond" w:cs="Arial"/>
          <w:color w:val="auto"/>
          <w:sz w:val="24"/>
          <w:szCs w:val="24"/>
          <w:lang w:val="pt-PT"/>
        </w:rPr>
        <w:t xml:space="preserve"> Pública Federal, </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encarregados pela</w:t>
      </w:r>
      <w:r w:rsidR="009B7DC1"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assistência</w:t>
      </w:r>
      <w:r w:rsidR="009B7DC1" w:rsidRPr="003A1174">
        <w:rPr>
          <w:rFonts w:ascii="Garamond" w:hAnsi="Garamond" w:cs="Arial"/>
          <w:color w:val="auto"/>
          <w:sz w:val="24"/>
          <w:szCs w:val="24"/>
          <w:lang w:val="pt-PT"/>
        </w:rPr>
        <w:t xml:space="preserve"> legal </w:t>
      </w:r>
      <w:r w:rsidRPr="003A1174">
        <w:rPr>
          <w:rFonts w:ascii="Garamond" w:hAnsi="Garamond" w:cs="Arial"/>
          <w:color w:val="auto"/>
          <w:sz w:val="24"/>
          <w:szCs w:val="24"/>
          <w:lang w:val="pt-PT"/>
        </w:rPr>
        <w:t>à</w:t>
      </w:r>
      <w:r w:rsidR="009B7DC1" w:rsidRPr="003A1174">
        <w:rPr>
          <w:rFonts w:ascii="Garamond" w:hAnsi="Garamond" w:cs="Arial"/>
          <w:color w:val="auto"/>
          <w:sz w:val="24"/>
          <w:szCs w:val="24"/>
          <w:lang w:val="pt-PT"/>
        </w:rPr>
        <w:t xml:space="preserve">s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outro</w:t>
      </w:r>
      <w:r w:rsidR="009B7DC1" w:rsidRPr="003A1174">
        <w:rPr>
          <w:rFonts w:ascii="Garamond" w:hAnsi="Garamond" w:cs="Arial"/>
          <w:color w:val="auto"/>
          <w:sz w:val="24"/>
          <w:szCs w:val="24"/>
          <w:lang w:val="pt-PT"/>
        </w:rPr>
        <w:t>s servidores co</w:t>
      </w:r>
      <w:r w:rsidRPr="003A1174">
        <w:rPr>
          <w:rFonts w:ascii="Garamond" w:hAnsi="Garamond" w:cs="Arial"/>
          <w:color w:val="auto"/>
          <w:sz w:val="24"/>
          <w:szCs w:val="24"/>
          <w:lang w:val="pt-PT"/>
        </w:rPr>
        <w:t>m funções análogas</w:t>
      </w:r>
      <w:r w:rsidR="009B7DC1" w:rsidRPr="003A1174">
        <w:rPr>
          <w:rFonts w:ascii="Garamond" w:hAnsi="Garamond" w:cs="Arial"/>
          <w:color w:val="auto"/>
          <w:sz w:val="24"/>
          <w:szCs w:val="24"/>
          <w:lang w:val="pt-PT"/>
        </w:rPr>
        <w:t xml:space="preserve">. </w:t>
      </w:r>
      <w:r w:rsidR="00120915" w:rsidRPr="003A1174">
        <w:rPr>
          <w:rFonts w:ascii="Garamond" w:hAnsi="Garamond" w:cs="Arial"/>
          <w:color w:val="auto"/>
          <w:sz w:val="24"/>
          <w:szCs w:val="24"/>
          <w:lang w:val="pt-PT"/>
        </w:rPr>
        <w:t>Porém</w:t>
      </w:r>
      <w:r w:rsidR="009B7DC1" w:rsidRPr="003A1174">
        <w:rPr>
          <w:rFonts w:ascii="Garamond" w:hAnsi="Garamond" w:cs="Arial"/>
          <w:color w:val="auto"/>
          <w:sz w:val="24"/>
          <w:szCs w:val="24"/>
          <w:lang w:val="pt-PT"/>
        </w:rPr>
        <w:t>, preocupa</w:t>
      </w:r>
      <w:r w:rsidRPr="003A1174">
        <w:rPr>
          <w:rFonts w:ascii="Garamond" w:hAnsi="Garamond" w:cs="Arial"/>
          <w:color w:val="auto"/>
          <w:sz w:val="24"/>
          <w:szCs w:val="24"/>
          <w:lang w:val="pt-PT"/>
        </w:rPr>
        <w:t>-nos</w:t>
      </w:r>
      <w:r w:rsidR="009B7DC1" w:rsidRPr="003A1174">
        <w:rPr>
          <w:rFonts w:ascii="Garamond" w:hAnsi="Garamond" w:cs="Arial"/>
          <w:color w:val="auto"/>
          <w:sz w:val="24"/>
          <w:szCs w:val="24"/>
          <w:lang w:val="pt-PT"/>
        </w:rPr>
        <w:t xml:space="preserve"> que se </w:t>
      </w:r>
      <w:r w:rsidRPr="003A1174">
        <w:rPr>
          <w:rFonts w:ascii="Garamond" w:hAnsi="Garamond" w:cs="Arial"/>
          <w:color w:val="auto"/>
          <w:sz w:val="24"/>
          <w:szCs w:val="24"/>
          <w:lang w:val="pt-PT"/>
        </w:rPr>
        <w:t xml:space="preserve">tenha suprimido </w:t>
      </w:r>
      <w:r w:rsidR="009B7DC1" w:rsidRPr="003A1174">
        <w:rPr>
          <w:rFonts w:ascii="Garamond" w:hAnsi="Garamond" w:cs="Arial"/>
          <w:color w:val="auto"/>
          <w:sz w:val="24"/>
          <w:szCs w:val="24"/>
          <w:lang w:val="pt-PT"/>
        </w:rPr>
        <w:t xml:space="preserve">a </w:t>
      </w:r>
      <w:r w:rsidR="002A71E1">
        <w:rPr>
          <w:rFonts w:ascii="Garamond" w:hAnsi="Garamond" w:cs="Arial"/>
          <w:color w:val="auto"/>
          <w:sz w:val="24"/>
          <w:szCs w:val="24"/>
          <w:lang w:val="pt-PT"/>
        </w:rPr>
        <w:t>formação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agentes </w:t>
      </w:r>
      <w:r w:rsidRPr="003A1174">
        <w:rPr>
          <w:rFonts w:ascii="Garamond" w:hAnsi="Garamond" w:cs="Arial"/>
          <w:color w:val="auto"/>
          <w:sz w:val="24"/>
          <w:szCs w:val="24"/>
          <w:lang w:val="pt-PT"/>
        </w:rPr>
        <w:t>encarregado</w:t>
      </w:r>
      <w:r w:rsidR="009B7DC1" w:rsidRPr="003A1174">
        <w:rPr>
          <w:rFonts w:ascii="Garamond" w:hAnsi="Garamond" w:cs="Arial"/>
          <w:color w:val="auto"/>
          <w:sz w:val="24"/>
          <w:szCs w:val="24"/>
          <w:lang w:val="pt-PT"/>
        </w:rPr>
        <w:t xml:space="preserve">s da </w:t>
      </w:r>
      <w:r w:rsidR="00D15AFF" w:rsidRPr="003A1174">
        <w:rPr>
          <w:rFonts w:ascii="Garamond" w:hAnsi="Garamond" w:cs="Arial"/>
          <w:color w:val="auto"/>
          <w:sz w:val="24"/>
          <w:szCs w:val="24"/>
          <w:lang w:val="pt-PT"/>
        </w:rPr>
        <w:t>segurança</w:t>
      </w:r>
      <w:r w:rsidR="009B7DC1" w:rsidRPr="003A1174">
        <w:rPr>
          <w:rFonts w:ascii="Garamond" w:hAnsi="Garamond" w:cs="Arial"/>
          <w:color w:val="auto"/>
          <w:sz w:val="24"/>
          <w:szCs w:val="24"/>
          <w:lang w:val="pt-PT"/>
        </w:rPr>
        <w:t xml:space="preserve"> nacional. </w:t>
      </w:r>
    </w:p>
    <w:p w:rsidR="009B7DC1" w:rsidRPr="003A1174" w:rsidRDefault="00976FB8" w:rsidP="002720C5">
      <w:pPr>
        <w:pStyle w:val="Predeterminado"/>
        <w:numPr>
          <w:ilvl w:val="0"/>
          <w:numId w:val="23"/>
        </w:numPr>
        <w:spacing w:line="240" w:lineRule="auto"/>
        <w:ind w:left="567" w:firstLine="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denominado </w:t>
      </w:r>
      <w:r w:rsidR="002720C5">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Modelo de </w:t>
      </w:r>
      <w:r w:rsidR="008278C4" w:rsidRPr="003A1174">
        <w:rPr>
          <w:rFonts w:ascii="Garamond" w:hAnsi="Garamond" w:cs="Arial"/>
          <w:color w:val="auto"/>
          <w:sz w:val="24"/>
          <w:szCs w:val="24"/>
          <w:lang w:val="pt-PT"/>
        </w:rPr>
        <w:t>Atenção</w:t>
      </w:r>
      <w:r w:rsidR="002720C5">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 xml:space="preserve">prevê que se ofereça </w:t>
      </w:r>
      <w:r w:rsidR="00B531F2" w:rsidRPr="003A1174">
        <w:rPr>
          <w:rFonts w:ascii="Garamond" w:hAnsi="Garamond" w:cs="Arial"/>
          <w:color w:val="auto"/>
          <w:sz w:val="24"/>
          <w:szCs w:val="24"/>
          <w:lang w:val="pt-PT"/>
        </w:rPr>
        <w:t>serviço</w:t>
      </w:r>
      <w:r w:rsidR="009B7DC1" w:rsidRPr="003A1174">
        <w:rPr>
          <w:rFonts w:ascii="Garamond" w:hAnsi="Garamond" w:cs="Arial"/>
          <w:color w:val="auto"/>
          <w:sz w:val="24"/>
          <w:szCs w:val="24"/>
          <w:lang w:val="pt-PT"/>
        </w:rPr>
        <w:t xml:space="preserve">s especializados </w:t>
      </w:r>
      <w:r w:rsidRPr="003A1174">
        <w:rPr>
          <w:rFonts w:ascii="Garamond" w:hAnsi="Garamond" w:cs="Arial"/>
          <w:color w:val="auto"/>
          <w:sz w:val="24"/>
          <w:szCs w:val="24"/>
          <w:lang w:val="pt-PT"/>
        </w:rPr>
        <w:t>à</w:t>
      </w:r>
      <w:r w:rsidR="009B7DC1" w:rsidRPr="003A1174">
        <w:rPr>
          <w:rFonts w:ascii="Garamond" w:hAnsi="Garamond" w:cs="Arial"/>
          <w:color w:val="auto"/>
          <w:sz w:val="24"/>
          <w:szCs w:val="24"/>
          <w:lang w:val="pt-PT"/>
        </w:rPr>
        <w:t xml:space="preserve">s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s da </w:t>
      </w:r>
      <w:r w:rsidR="000350B1" w:rsidRPr="003A1174">
        <w:rPr>
          <w:rFonts w:ascii="Garamond" w:hAnsi="Garamond" w:cs="Arial"/>
          <w:color w:val="auto"/>
          <w:sz w:val="24"/>
          <w:szCs w:val="24"/>
          <w:lang w:val="pt-PT"/>
        </w:rPr>
        <w:t>violência</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os</w:t>
      </w:r>
      <w:r w:rsidR="009B7DC1" w:rsidRPr="003A1174">
        <w:rPr>
          <w:rFonts w:ascii="Garamond" w:hAnsi="Garamond" w:cs="Arial"/>
          <w:color w:val="auto"/>
          <w:sz w:val="24"/>
          <w:szCs w:val="24"/>
          <w:lang w:val="pt-PT"/>
        </w:rPr>
        <w:t xml:space="preserve"> s</w:t>
      </w:r>
      <w:r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us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es, </w:t>
      </w:r>
      <w:r w:rsidRPr="003A1174">
        <w:rPr>
          <w:rFonts w:ascii="Garamond" w:hAnsi="Garamond" w:cs="Arial"/>
          <w:color w:val="auto"/>
          <w:sz w:val="24"/>
          <w:szCs w:val="24"/>
          <w:lang w:val="pt-PT"/>
        </w:rPr>
        <w:t>incluiu-</w:t>
      </w:r>
      <w:r w:rsidR="009B7DC1" w:rsidRPr="003A1174">
        <w:rPr>
          <w:rFonts w:ascii="Garamond" w:hAnsi="Garamond" w:cs="Arial"/>
          <w:color w:val="auto"/>
          <w:sz w:val="24"/>
          <w:szCs w:val="24"/>
          <w:lang w:val="pt-PT"/>
        </w:rPr>
        <w:t>se</w:t>
      </w:r>
      <w:r w:rsidR="006B461E">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na </w:t>
      </w:r>
      <w:r w:rsidR="008278C4" w:rsidRPr="003A1174">
        <w:rPr>
          <w:rFonts w:ascii="Garamond" w:hAnsi="Garamond" w:cs="Arial"/>
          <w:color w:val="auto"/>
          <w:sz w:val="24"/>
          <w:szCs w:val="24"/>
          <w:lang w:val="pt-PT"/>
        </w:rPr>
        <w:t>qualidade</w:t>
      </w:r>
      <w:r w:rsidR="009B7DC1" w:rsidRPr="003A1174">
        <w:rPr>
          <w:rFonts w:ascii="Garamond" w:hAnsi="Garamond" w:cs="Arial"/>
          <w:color w:val="auto"/>
          <w:sz w:val="24"/>
          <w:szCs w:val="24"/>
          <w:lang w:val="pt-PT"/>
        </w:rPr>
        <w:t xml:space="preserve"> de </w:t>
      </w:r>
      <w:r w:rsidR="006F4B2C" w:rsidRPr="003A1174">
        <w:rPr>
          <w:rFonts w:ascii="Garamond" w:hAnsi="Garamond" w:cs="Arial"/>
          <w:color w:val="auto"/>
          <w:sz w:val="24"/>
          <w:szCs w:val="24"/>
          <w:lang w:val="pt-PT"/>
        </w:rPr>
        <w:t>destinatário</w:t>
      </w:r>
      <w:r w:rsidR="009B7DC1" w:rsidRPr="003A1174">
        <w:rPr>
          <w:rFonts w:ascii="Garamond" w:hAnsi="Garamond" w:cs="Arial"/>
          <w:color w:val="auto"/>
          <w:sz w:val="24"/>
          <w:szCs w:val="24"/>
          <w:lang w:val="pt-PT"/>
        </w:rPr>
        <w:t>s</w:t>
      </w:r>
      <w:r w:rsidR="006B461E">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os </w:t>
      </w:r>
      <w:r w:rsidR="007A2492" w:rsidRPr="003A1174">
        <w:rPr>
          <w:rFonts w:ascii="Garamond" w:hAnsi="Garamond" w:cs="Arial"/>
          <w:color w:val="auto"/>
          <w:sz w:val="24"/>
          <w:szCs w:val="24"/>
          <w:lang w:val="pt-PT"/>
        </w:rPr>
        <w:t>filho</w:t>
      </w:r>
      <w:r w:rsidR="009B7DC1" w:rsidRPr="003A1174">
        <w:rPr>
          <w:rFonts w:ascii="Garamond" w:hAnsi="Garamond" w:cs="Arial"/>
          <w:color w:val="auto"/>
          <w:sz w:val="24"/>
          <w:szCs w:val="24"/>
          <w:lang w:val="pt-PT"/>
        </w:rPr>
        <w:t xml:space="preserve">s e </w:t>
      </w:r>
      <w:r w:rsidR="007A2492" w:rsidRPr="003A1174">
        <w:rPr>
          <w:rFonts w:ascii="Garamond" w:hAnsi="Garamond" w:cs="Arial"/>
          <w:color w:val="auto"/>
          <w:sz w:val="24"/>
          <w:szCs w:val="24"/>
          <w:lang w:val="pt-PT"/>
        </w:rPr>
        <w:t>filha</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m</w:t>
      </w:r>
      <w:r w:rsidR="00E34DB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smos, precis</w:t>
      </w:r>
      <w:r w:rsidRPr="003A1174">
        <w:rPr>
          <w:rFonts w:ascii="Garamond" w:hAnsi="Garamond" w:cs="Arial"/>
          <w:color w:val="auto"/>
          <w:sz w:val="24"/>
          <w:szCs w:val="24"/>
          <w:lang w:val="pt-PT"/>
        </w:rPr>
        <w:t>an</w:t>
      </w:r>
      <w:r w:rsidR="009B7DC1"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-se que </w:t>
      </w:r>
      <w:r w:rsidR="009B7DC1" w:rsidRPr="003A1174">
        <w:rPr>
          <w:rFonts w:ascii="Garamond" w:hAnsi="Garamond" w:cs="Arial"/>
          <w:color w:val="auto"/>
          <w:sz w:val="24"/>
          <w:szCs w:val="24"/>
          <w:lang w:val="pt-PT"/>
        </w:rPr>
        <w:t xml:space="preserve">os componentes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Modelo </w:t>
      </w:r>
      <w:r w:rsidR="00A862C2" w:rsidRPr="003A1174">
        <w:rPr>
          <w:rFonts w:ascii="Garamond" w:hAnsi="Garamond" w:cs="Arial"/>
          <w:color w:val="auto"/>
          <w:sz w:val="24"/>
          <w:szCs w:val="24"/>
          <w:lang w:val="pt-PT"/>
        </w:rPr>
        <w:t>deve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orientar</w:t>
      </w:r>
      <w:r w:rsidRPr="003A11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se </w:t>
      </w:r>
      <w:r w:rsidRPr="003A1174">
        <w:rPr>
          <w:rFonts w:ascii="Garamond" w:hAnsi="Garamond" w:cs="Arial"/>
          <w:color w:val="auto"/>
          <w:sz w:val="24"/>
          <w:szCs w:val="24"/>
          <w:lang w:val="pt-PT"/>
        </w:rPr>
        <w:t>n</w:t>
      </w:r>
      <w:r w:rsidR="009B7DC1" w:rsidRPr="003A1174">
        <w:rPr>
          <w:rFonts w:ascii="Garamond" w:hAnsi="Garamond" w:cs="Arial"/>
          <w:color w:val="auto"/>
          <w:sz w:val="24"/>
          <w:szCs w:val="24"/>
          <w:lang w:val="pt-PT"/>
        </w:rPr>
        <w:t>a constru</w:t>
      </w:r>
      <w:r w:rsidRPr="003A1174">
        <w:rPr>
          <w:rFonts w:ascii="Garamond" w:hAnsi="Garamond" w:cs="Arial"/>
          <w:color w:val="auto"/>
          <w:sz w:val="24"/>
          <w:szCs w:val="24"/>
          <w:lang w:val="pt-PT"/>
        </w:rPr>
        <w:t xml:space="preserve">ção de </w:t>
      </w:r>
      <w:r w:rsidR="007C63D0" w:rsidRPr="003A1174">
        <w:rPr>
          <w:rFonts w:ascii="Garamond" w:hAnsi="Garamond" w:cs="Arial"/>
          <w:color w:val="auto"/>
          <w:sz w:val="24"/>
          <w:szCs w:val="24"/>
          <w:lang w:val="pt-PT"/>
        </w:rPr>
        <w:t>comportamento</w:t>
      </w:r>
      <w:r w:rsidR="009B7DC1" w:rsidRPr="003A1174">
        <w:rPr>
          <w:rFonts w:ascii="Garamond" w:hAnsi="Garamond" w:cs="Arial"/>
          <w:color w:val="auto"/>
          <w:sz w:val="24"/>
          <w:szCs w:val="24"/>
          <w:lang w:val="pt-PT"/>
        </w:rPr>
        <w:t>s n</w:t>
      </w:r>
      <w:r w:rsidRPr="003A1174">
        <w:rPr>
          <w:rFonts w:ascii="Garamond" w:hAnsi="Garamond" w:cs="Arial"/>
          <w:color w:val="auto"/>
          <w:sz w:val="24"/>
          <w:szCs w:val="24"/>
          <w:lang w:val="pt-PT"/>
        </w:rPr>
        <w:t>ã</w:t>
      </w:r>
      <w:r w:rsidR="009B7DC1" w:rsidRPr="003A1174">
        <w:rPr>
          <w:rFonts w:ascii="Garamond" w:hAnsi="Garamond" w:cs="Arial"/>
          <w:color w:val="auto"/>
          <w:sz w:val="24"/>
          <w:szCs w:val="24"/>
          <w:lang w:val="pt-PT"/>
        </w:rPr>
        <w:t>o vi</w:t>
      </w:r>
      <w:r w:rsidRPr="003A1174">
        <w:rPr>
          <w:rFonts w:ascii="Garamond" w:hAnsi="Garamond" w:cs="Arial"/>
          <w:color w:val="auto"/>
          <w:sz w:val="24"/>
          <w:szCs w:val="24"/>
          <w:lang w:val="pt-PT"/>
        </w:rPr>
        <w:t>olento</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equitativo</w:t>
      </w:r>
      <w:r w:rsidR="009B7DC1" w:rsidRPr="003A1174">
        <w:rPr>
          <w:rFonts w:ascii="Garamond" w:hAnsi="Garamond" w:cs="Arial"/>
          <w:color w:val="auto"/>
          <w:sz w:val="24"/>
          <w:szCs w:val="24"/>
          <w:lang w:val="pt-PT"/>
        </w:rPr>
        <w:t xml:space="preserve">s de parte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homens</w:t>
      </w:r>
      <w:r w:rsidR="009B7DC1" w:rsidRPr="003A1174">
        <w:rPr>
          <w:rFonts w:ascii="Garamond" w:hAnsi="Garamond" w:cs="Arial"/>
          <w:color w:val="auto"/>
          <w:sz w:val="24"/>
          <w:szCs w:val="24"/>
          <w:lang w:val="pt-PT"/>
        </w:rPr>
        <w:t xml:space="preserve">. </w:t>
      </w:r>
    </w:p>
    <w:p w:rsidR="009B7DC1" w:rsidRPr="003A1174" w:rsidRDefault="00976FB8"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Por </w:t>
      </w:r>
      <w:r w:rsidR="001F2F8B" w:rsidRPr="003A1174">
        <w:rPr>
          <w:rFonts w:ascii="Garamond" w:hAnsi="Garamond" w:cs="Arial"/>
          <w:color w:val="auto"/>
          <w:sz w:val="24"/>
          <w:szCs w:val="24"/>
          <w:lang w:val="pt-PT"/>
        </w:rPr>
        <w:t>outro</w:t>
      </w:r>
      <w:r w:rsidR="009B7DC1" w:rsidRPr="003A1174">
        <w:rPr>
          <w:rFonts w:ascii="Garamond" w:hAnsi="Garamond" w:cs="Arial"/>
          <w:color w:val="auto"/>
          <w:sz w:val="24"/>
          <w:szCs w:val="24"/>
          <w:lang w:val="pt-PT"/>
        </w:rPr>
        <w:t xml:space="preserve"> lado, </w:t>
      </w:r>
      <w:r w:rsidR="00306B73" w:rsidRPr="003A1174">
        <w:rPr>
          <w:rFonts w:ascii="Garamond" w:hAnsi="Garamond" w:cs="Arial"/>
          <w:color w:val="auto"/>
          <w:sz w:val="24"/>
          <w:szCs w:val="24"/>
          <w:lang w:val="pt-PT"/>
        </w:rPr>
        <w:t>sempre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w:t>
      </w:r>
      <w:r w:rsidR="009B7DC1" w:rsidRPr="003A1174">
        <w:rPr>
          <w:rFonts w:ascii="Garamond" w:hAnsi="Garamond" w:cs="Arial"/>
          <w:color w:val="auto"/>
          <w:sz w:val="24"/>
          <w:szCs w:val="24"/>
          <w:lang w:val="pt-PT"/>
        </w:rPr>
        <w:t>contexto d</w:t>
      </w:r>
      <w:r w:rsidRPr="003A1174">
        <w:rPr>
          <w:rFonts w:ascii="Garamond" w:hAnsi="Garamond" w:cs="Arial"/>
          <w:color w:val="auto"/>
          <w:sz w:val="24"/>
          <w:szCs w:val="24"/>
          <w:lang w:val="pt-PT"/>
        </w:rPr>
        <w:t xml:space="preserve">o referido </w:t>
      </w:r>
      <w:r w:rsidR="00497874">
        <w:rPr>
          <w:rFonts w:ascii="Garamond" w:hAnsi="Garamond" w:cs="Arial"/>
          <w:color w:val="auto"/>
          <w:sz w:val="24"/>
          <w:szCs w:val="24"/>
          <w:lang w:val="pt-PT"/>
        </w:rPr>
        <w:t>m</w:t>
      </w:r>
      <w:r w:rsidR="009B7DC1" w:rsidRPr="003A1174">
        <w:rPr>
          <w:rFonts w:ascii="Garamond" w:hAnsi="Garamond" w:cs="Arial"/>
          <w:color w:val="auto"/>
          <w:sz w:val="24"/>
          <w:szCs w:val="24"/>
          <w:lang w:val="pt-PT"/>
        </w:rPr>
        <w:t>odelo</w:t>
      </w:r>
      <w:r w:rsidR="00211C90" w:rsidRPr="003A11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referiu-</w:t>
      </w:r>
      <w:r w:rsidR="009B7DC1" w:rsidRPr="003A1174">
        <w:rPr>
          <w:rFonts w:ascii="Garamond" w:hAnsi="Garamond" w:cs="Arial"/>
          <w:color w:val="auto"/>
          <w:sz w:val="24"/>
          <w:szCs w:val="24"/>
          <w:lang w:val="pt-PT"/>
        </w:rPr>
        <w:t xml:space="preserve">se </w:t>
      </w:r>
      <w:r w:rsidRPr="003A1174">
        <w:rPr>
          <w:rFonts w:ascii="Garamond" w:hAnsi="Garamond" w:cs="Arial"/>
          <w:color w:val="auto"/>
          <w:sz w:val="24"/>
          <w:szCs w:val="24"/>
          <w:lang w:val="pt-PT"/>
        </w:rPr>
        <w:t>a oferta g</w:t>
      </w:r>
      <w:r w:rsidR="009B7DC1" w:rsidRPr="003A1174">
        <w:rPr>
          <w:rFonts w:ascii="Garamond" w:hAnsi="Garamond" w:cs="Arial"/>
          <w:color w:val="auto"/>
          <w:sz w:val="24"/>
          <w:szCs w:val="24"/>
          <w:lang w:val="pt-PT"/>
        </w:rPr>
        <w:t>ratuit</w:t>
      </w:r>
      <w:r w:rsidRPr="003A1174">
        <w:rPr>
          <w:rFonts w:ascii="Garamond" w:hAnsi="Garamond" w:cs="Arial"/>
          <w:color w:val="auto"/>
          <w:sz w:val="24"/>
          <w:szCs w:val="24"/>
          <w:lang w:val="pt-PT"/>
        </w:rPr>
        <w:t>a de um</w:t>
      </w:r>
      <w:r w:rsidR="009B7DC1" w:rsidRPr="003A1174">
        <w:rPr>
          <w:rFonts w:ascii="Garamond" w:hAnsi="Garamond" w:cs="Arial"/>
          <w:color w:val="auto"/>
          <w:sz w:val="24"/>
          <w:szCs w:val="24"/>
          <w:lang w:val="pt-PT"/>
        </w:rPr>
        <w:t xml:space="preserve">a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envolva a localização acessível</w:t>
      </w:r>
      <w:r w:rsidR="009B7DC1" w:rsidRPr="003A1174">
        <w:rPr>
          <w:rFonts w:ascii="Garamond" w:hAnsi="Garamond" w:cs="Arial"/>
          <w:color w:val="auto"/>
          <w:sz w:val="24"/>
          <w:szCs w:val="24"/>
          <w:lang w:val="pt-PT"/>
        </w:rPr>
        <w:t xml:space="preserve"> de </w:t>
      </w:r>
      <w:r w:rsidR="003F012B" w:rsidRPr="003A1174">
        <w:rPr>
          <w:rFonts w:ascii="Garamond" w:hAnsi="Garamond" w:cs="Arial"/>
          <w:color w:val="auto"/>
          <w:sz w:val="24"/>
          <w:szCs w:val="24"/>
          <w:lang w:val="pt-PT"/>
        </w:rPr>
        <w:t>linhas</w:t>
      </w:r>
      <w:r w:rsidR="009B7DC1" w:rsidRPr="003A1174">
        <w:rPr>
          <w:rFonts w:ascii="Garamond" w:hAnsi="Garamond" w:cs="Arial"/>
          <w:color w:val="auto"/>
          <w:sz w:val="24"/>
          <w:szCs w:val="24"/>
          <w:lang w:val="pt-PT"/>
        </w:rPr>
        <w:t xml:space="preserve"> telefónicas de </w:t>
      </w:r>
      <w:r w:rsidR="000672E8" w:rsidRPr="003A1174">
        <w:rPr>
          <w:rFonts w:ascii="Garamond" w:hAnsi="Garamond" w:cs="Arial"/>
          <w:color w:val="auto"/>
          <w:sz w:val="24"/>
          <w:szCs w:val="24"/>
          <w:lang w:val="pt-PT"/>
        </w:rPr>
        <w:t>ajuda</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de centros de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cris</w:t>
      </w:r>
      <w:r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as</w:t>
      </w:r>
      <w:r w:rsidRPr="003A1174">
        <w:rPr>
          <w:rFonts w:ascii="Garamond" w:hAnsi="Garamond" w:cs="Arial"/>
          <w:color w:val="auto"/>
          <w:sz w:val="24"/>
          <w:szCs w:val="24"/>
          <w:lang w:val="pt-PT"/>
        </w:rPr>
        <w:t xml:space="preserve">sim </w:t>
      </w:r>
      <w:r w:rsidR="009B7DC1" w:rsidRPr="003A1174">
        <w:rPr>
          <w:rFonts w:ascii="Garamond" w:hAnsi="Garamond" w:cs="Arial"/>
          <w:color w:val="auto"/>
          <w:sz w:val="24"/>
          <w:szCs w:val="24"/>
          <w:lang w:val="pt-PT"/>
        </w:rPr>
        <w:t xml:space="preserve">como </w:t>
      </w:r>
      <w:r w:rsidR="00791197" w:rsidRPr="003A1174">
        <w:rPr>
          <w:rFonts w:ascii="Garamond" w:hAnsi="Garamond" w:cs="Arial"/>
          <w:color w:val="auto"/>
          <w:sz w:val="24"/>
          <w:szCs w:val="24"/>
          <w:lang w:val="pt-PT"/>
        </w:rPr>
        <w:t>apoio</w:t>
      </w:r>
      <w:r w:rsidR="009B7DC1" w:rsidRPr="003A1174">
        <w:rPr>
          <w:rFonts w:ascii="Garamond" w:hAnsi="Garamond" w:cs="Arial"/>
          <w:color w:val="auto"/>
          <w:sz w:val="24"/>
          <w:szCs w:val="24"/>
          <w:lang w:val="pt-PT"/>
        </w:rPr>
        <w:t>s a</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046E19" w:rsidRPr="003A1174">
        <w:rPr>
          <w:rFonts w:ascii="Garamond" w:hAnsi="Garamond" w:cs="Arial"/>
          <w:color w:val="auto"/>
          <w:sz w:val="24"/>
          <w:szCs w:val="24"/>
          <w:lang w:val="pt-PT"/>
        </w:rPr>
        <w:t>emprego</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e à habitação;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instalação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manutenção de </w:t>
      </w:r>
      <w:r w:rsidR="009B7DC1" w:rsidRPr="003A1174">
        <w:rPr>
          <w:rFonts w:ascii="Garamond" w:hAnsi="Garamond" w:cs="Arial"/>
          <w:color w:val="auto"/>
          <w:sz w:val="24"/>
          <w:szCs w:val="24"/>
          <w:lang w:val="pt-PT"/>
        </w:rPr>
        <w:t xml:space="preserve">casas de </w:t>
      </w:r>
      <w:r w:rsidR="00B936A7" w:rsidRPr="003A1174">
        <w:rPr>
          <w:rFonts w:ascii="Garamond" w:hAnsi="Garamond" w:cs="Arial"/>
          <w:color w:val="auto"/>
          <w:sz w:val="24"/>
          <w:szCs w:val="24"/>
          <w:lang w:val="pt-PT"/>
        </w:rPr>
        <w:t>abrigo</w:t>
      </w:r>
      <w:r w:rsidR="009B7DC1" w:rsidRPr="003A1174">
        <w:rPr>
          <w:rFonts w:ascii="Garamond" w:hAnsi="Garamond" w:cs="Arial"/>
          <w:color w:val="auto"/>
          <w:sz w:val="24"/>
          <w:szCs w:val="24"/>
          <w:lang w:val="pt-PT"/>
        </w:rPr>
        <w:t xml:space="preserve">; </w:t>
      </w:r>
      <w:r w:rsidR="002720C5">
        <w:rPr>
          <w:rFonts w:ascii="Garamond" w:hAnsi="Garamond" w:cs="Arial"/>
          <w:color w:val="auto"/>
          <w:sz w:val="24"/>
          <w:szCs w:val="24"/>
          <w:lang w:val="pt-PT"/>
        </w:rPr>
        <w:t>a</w:t>
      </w:r>
      <w:r w:rsidRPr="003A1174">
        <w:rPr>
          <w:rFonts w:ascii="Garamond" w:hAnsi="Garamond" w:cs="Arial"/>
          <w:color w:val="auto"/>
          <w:sz w:val="24"/>
          <w:szCs w:val="24"/>
          <w:lang w:val="pt-PT"/>
        </w:rPr>
        <w:t xml:space="preserve"> </w:t>
      </w:r>
      <w:r w:rsidR="00B531F2" w:rsidRPr="003A1174">
        <w:rPr>
          <w:rFonts w:ascii="Garamond" w:hAnsi="Garamond" w:cs="Arial"/>
          <w:color w:val="auto"/>
          <w:sz w:val="24"/>
          <w:szCs w:val="24"/>
          <w:lang w:val="pt-PT"/>
        </w:rPr>
        <w:t>assessor</w:t>
      </w:r>
      <w:r w:rsidR="002720C5">
        <w:rPr>
          <w:rFonts w:ascii="Garamond" w:hAnsi="Garamond" w:cs="Arial"/>
          <w:color w:val="auto"/>
          <w:sz w:val="24"/>
          <w:szCs w:val="24"/>
          <w:lang w:val="pt-PT"/>
        </w:rPr>
        <w:t>i</w:t>
      </w:r>
      <w:r w:rsidR="00B531F2" w:rsidRPr="003A1174">
        <w:rPr>
          <w:rFonts w:ascii="Garamond" w:hAnsi="Garamond" w:cs="Arial"/>
          <w:color w:val="auto"/>
          <w:sz w:val="24"/>
          <w:szCs w:val="24"/>
          <w:lang w:val="pt-PT"/>
        </w:rPr>
        <w:t>a</w:t>
      </w:r>
      <w:r w:rsidRPr="003A1174">
        <w:rPr>
          <w:rFonts w:ascii="Garamond" w:hAnsi="Garamond" w:cs="Arial"/>
          <w:color w:val="auto"/>
          <w:sz w:val="24"/>
          <w:szCs w:val="24"/>
          <w:lang w:val="pt-PT"/>
        </w:rPr>
        <w:t xml:space="preserve"> jurídic</w:t>
      </w:r>
      <w:r w:rsidR="002720C5">
        <w:rPr>
          <w:rFonts w:ascii="Garamond" w:hAnsi="Garamond" w:cs="Arial"/>
          <w:color w:val="auto"/>
          <w:sz w:val="24"/>
          <w:szCs w:val="24"/>
          <w:lang w:val="pt-PT"/>
        </w:rPr>
        <w:t>a</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a </w:t>
      </w:r>
      <w:r w:rsidR="00886D6A" w:rsidRPr="003A1174">
        <w:rPr>
          <w:rFonts w:ascii="Garamond" w:hAnsi="Garamond" w:cs="Arial"/>
          <w:color w:val="auto"/>
          <w:sz w:val="24"/>
          <w:szCs w:val="24"/>
          <w:lang w:val="pt-PT"/>
        </w:rPr>
        <w:t>proteção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das</w:t>
      </w:r>
      <w:r w:rsidR="009B7DC1"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9B7DC1" w:rsidRPr="003A1174">
        <w:rPr>
          <w:rFonts w:ascii="Garamond" w:hAnsi="Garamond" w:cs="Arial"/>
          <w:color w:val="auto"/>
          <w:sz w:val="24"/>
          <w:szCs w:val="24"/>
          <w:lang w:val="pt-PT"/>
        </w:rPr>
        <w:t xml:space="preserve"> indígenas, migrantes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situação</w:t>
      </w:r>
      <w:r w:rsidR="009B7DC1" w:rsidRPr="003A1174">
        <w:rPr>
          <w:rFonts w:ascii="Garamond" w:hAnsi="Garamond" w:cs="Arial"/>
          <w:color w:val="auto"/>
          <w:sz w:val="24"/>
          <w:szCs w:val="24"/>
          <w:lang w:val="pt-PT"/>
        </w:rPr>
        <w:t xml:space="preserve"> de </w:t>
      </w:r>
      <w:r w:rsidR="004E3A1A" w:rsidRPr="003A1174">
        <w:rPr>
          <w:rFonts w:ascii="Garamond" w:hAnsi="Garamond" w:cs="Arial"/>
          <w:color w:val="auto"/>
          <w:sz w:val="24"/>
          <w:szCs w:val="24"/>
          <w:lang w:val="pt-PT"/>
        </w:rPr>
        <w:t>vulnerabilidade</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provisão</w:t>
      </w:r>
      <w:r w:rsidR="009B7DC1" w:rsidRPr="003A1174">
        <w:rPr>
          <w:rFonts w:ascii="Garamond" w:hAnsi="Garamond" w:cs="Arial"/>
          <w:color w:val="auto"/>
          <w:sz w:val="24"/>
          <w:szCs w:val="24"/>
          <w:lang w:val="pt-PT"/>
        </w:rPr>
        <w:t xml:space="preserve"> de </w:t>
      </w:r>
      <w:r w:rsidR="008278C4" w:rsidRPr="003A1174">
        <w:rPr>
          <w:rFonts w:ascii="Garamond" w:hAnsi="Garamond" w:cs="Arial"/>
          <w:color w:val="auto"/>
          <w:sz w:val="24"/>
          <w:szCs w:val="24"/>
          <w:lang w:val="pt-PT"/>
        </w:rPr>
        <w:t>pessoal</w:t>
      </w:r>
      <w:r w:rsidR="009B7DC1" w:rsidRPr="003A1174">
        <w:rPr>
          <w:rFonts w:ascii="Garamond" w:hAnsi="Garamond" w:cs="Arial"/>
          <w:color w:val="auto"/>
          <w:sz w:val="24"/>
          <w:szCs w:val="24"/>
          <w:lang w:val="pt-PT"/>
        </w:rPr>
        <w:t xml:space="preserve"> especializado </w:t>
      </w:r>
      <w:r w:rsidRPr="003A1174">
        <w:rPr>
          <w:rFonts w:ascii="Garamond" w:hAnsi="Garamond" w:cs="Arial"/>
          <w:color w:val="auto"/>
          <w:sz w:val="24"/>
          <w:szCs w:val="24"/>
          <w:lang w:val="pt-PT"/>
        </w:rPr>
        <w:t xml:space="preserve">para </w:t>
      </w:r>
      <w:r w:rsidR="009B7DC1" w:rsidRPr="003A1174">
        <w:rPr>
          <w:rFonts w:ascii="Garamond" w:hAnsi="Garamond" w:cs="Arial"/>
          <w:color w:val="auto"/>
          <w:sz w:val="24"/>
          <w:szCs w:val="24"/>
          <w:lang w:val="pt-PT"/>
        </w:rPr>
        <w:t xml:space="preserve">a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B7DC1"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dos </w:t>
      </w:r>
      <w:r w:rsidR="009B7DC1" w:rsidRPr="003A1174">
        <w:rPr>
          <w:rFonts w:ascii="Garamond" w:hAnsi="Garamond" w:cs="Arial"/>
          <w:color w:val="auto"/>
          <w:sz w:val="24"/>
          <w:szCs w:val="24"/>
          <w:lang w:val="pt-PT"/>
        </w:rPr>
        <w:t>s</w:t>
      </w:r>
      <w:r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us casos e</w:t>
      </w:r>
      <w:r w:rsidRPr="003A1174">
        <w:rPr>
          <w:rFonts w:ascii="Garamond" w:hAnsi="Garamond" w:cs="Arial"/>
          <w:color w:val="auto"/>
          <w:sz w:val="24"/>
          <w:szCs w:val="24"/>
          <w:lang w:val="pt-PT"/>
        </w:rPr>
        <w:t xml:space="preserve">m todas </w:t>
      </w:r>
      <w:r w:rsidR="009B7DC1" w:rsidRPr="003A1174">
        <w:rPr>
          <w:rFonts w:ascii="Garamond" w:hAnsi="Garamond" w:cs="Arial"/>
          <w:color w:val="auto"/>
          <w:sz w:val="24"/>
          <w:szCs w:val="24"/>
          <w:lang w:val="pt-PT"/>
        </w:rPr>
        <w:t xml:space="preserve">as etapas </w:t>
      </w:r>
      <w:r w:rsidR="00682C71" w:rsidRPr="003A1174">
        <w:rPr>
          <w:rFonts w:ascii="Garamond" w:hAnsi="Garamond" w:cs="Arial"/>
          <w:color w:val="auto"/>
          <w:sz w:val="24"/>
          <w:szCs w:val="24"/>
          <w:lang w:val="pt-PT"/>
        </w:rPr>
        <w:t>processuais</w:t>
      </w:r>
      <w:r w:rsidR="009B7DC1"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esta</w:t>
      </w:r>
      <w:r w:rsidR="007407BD" w:rsidRPr="003A1174">
        <w:rPr>
          <w:rFonts w:ascii="Garamond" w:hAnsi="Garamond" w:cs="Arial"/>
          <w:color w:val="auto"/>
          <w:sz w:val="24"/>
          <w:szCs w:val="24"/>
          <w:lang w:val="pt-PT"/>
        </w:rPr>
        <w:t>s</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necessitarem</w:t>
      </w:r>
      <w:r w:rsidR="009B7DC1" w:rsidRPr="003A1174">
        <w:rPr>
          <w:rFonts w:ascii="Garamond" w:hAnsi="Garamond" w:cs="Arial"/>
          <w:color w:val="auto"/>
          <w:sz w:val="24"/>
          <w:szCs w:val="24"/>
          <w:lang w:val="pt-PT"/>
        </w:rPr>
        <w:t>.</w:t>
      </w:r>
    </w:p>
    <w:p w:rsidR="009B7DC1" w:rsidRPr="003A1174" w:rsidRDefault="00976FB8" w:rsidP="00976FB8">
      <w:pPr>
        <w:pStyle w:val="Predeterminado"/>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Relativamente </w:t>
      </w:r>
      <w:r w:rsidR="00F45A34" w:rsidRPr="00F45A34">
        <w:rPr>
          <w:rFonts w:ascii="Garamond" w:hAnsi="Garamond" w:cs="Arial"/>
          <w:color w:val="auto"/>
          <w:sz w:val="24"/>
          <w:szCs w:val="24"/>
          <w:lang w:val="pt-PT"/>
        </w:rPr>
        <w:t xml:space="preserve">à </w:t>
      </w:r>
      <w:r w:rsidRPr="00F45A34">
        <w:rPr>
          <w:rFonts w:ascii="Garamond" w:hAnsi="Garamond" w:cs="Arial"/>
          <w:color w:val="auto"/>
          <w:sz w:val="24"/>
          <w:szCs w:val="24"/>
          <w:lang w:val="pt-PT"/>
        </w:rPr>
        <w:t>outorga</w:t>
      </w:r>
      <w:r w:rsidR="009B7DC1" w:rsidRPr="00F45A34">
        <w:rPr>
          <w:rFonts w:ascii="Garamond" w:hAnsi="Garamond" w:cs="Arial"/>
          <w:color w:val="auto"/>
          <w:sz w:val="24"/>
          <w:szCs w:val="24"/>
          <w:lang w:val="pt-PT"/>
        </w:rPr>
        <w:t xml:space="preserve"> de </w:t>
      </w:r>
      <w:r w:rsidRPr="00F45A34">
        <w:rPr>
          <w:rFonts w:ascii="Garamond" w:hAnsi="Garamond" w:cs="Arial"/>
          <w:color w:val="auto"/>
          <w:sz w:val="24"/>
          <w:szCs w:val="24"/>
          <w:lang w:val="pt-PT"/>
        </w:rPr>
        <w:t>Ordens</w:t>
      </w:r>
      <w:r w:rsidR="009B7DC1" w:rsidRPr="00F45A34">
        <w:rPr>
          <w:rFonts w:ascii="Garamond" w:hAnsi="Garamond" w:cs="Arial"/>
          <w:color w:val="auto"/>
          <w:sz w:val="24"/>
          <w:szCs w:val="24"/>
          <w:lang w:val="pt-PT"/>
        </w:rPr>
        <w:t xml:space="preserve"> de </w:t>
      </w:r>
      <w:r w:rsidR="00886D6A" w:rsidRPr="00F45A34">
        <w:rPr>
          <w:rFonts w:ascii="Garamond" w:hAnsi="Garamond" w:cs="Arial"/>
          <w:color w:val="auto"/>
          <w:sz w:val="24"/>
          <w:szCs w:val="24"/>
          <w:lang w:val="pt-PT"/>
        </w:rPr>
        <w:t>Proteção</w:t>
      </w:r>
      <w:r w:rsidR="009B7DC1" w:rsidRPr="00F45A34">
        <w:rPr>
          <w:rFonts w:ascii="Garamond" w:hAnsi="Garamond" w:cs="Arial"/>
          <w:color w:val="auto"/>
          <w:sz w:val="24"/>
          <w:szCs w:val="24"/>
          <w:lang w:val="pt-PT"/>
        </w:rPr>
        <w:t xml:space="preserve"> de </w:t>
      </w:r>
      <w:r w:rsidR="00120915" w:rsidRPr="00F45A34">
        <w:rPr>
          <w:rFonts w:ascii="Garamond" w:hAnsi="Garamond" w:cs="Arial"/>
          <w:color w:val="auto"/>
          <w:sz w:val="24"/>
          <w:szCs w:val="24"/>
          <w:lang w:val="pt-PT"/>
        </w:rPr>
        <w:t>caráter</w:t>
      </w:r>
      <w:r w:rsidR="00F45A34"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emergente o</w:t>
      </w:r>
      <w:r w:rsidRPr="00F45A34">
        <w:rPr>
          <w:rFonts w:ascii="Garamond" w:hAnsi="Garamond" w:cs="Arial"/>
          <w:color w:val="auto"/>
          <w:sz w:val="24"/>
          <w:szCs w:val="24"/>
          <w:lang w:val="pt-PT"/>
        </w:rPr>
        <w:t>u</w:t>
      </w:r>
      <w:r w:rsidR="009B7DC1" w:rsidRPr="00F45A34">
        <w:rPr>
          <w:rFonts w:ascii="Garamond" w:hAnsi="Garamond" w:cs="Arial"/>
          <w:color w:val="auto"/>
          <w:sz w:val="24"/>
          <w:szCs w:val="24"/>
          <w:lang w:val="pt-PT"/>
        </w:rPr>
        <w:t xml:space="preserve"> preventivo</w:t>
      </w:r>
      <w:r w:rsidR="00F45A34"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 xml:space="preserve">perante </w:t>
      </w:r>
      <w:r w:rsidR="007342D9" w:rsidRPr="00F45A34">
        <w:rPr>
          <w:rFonts w:ascii="Garamond" w:hAnsi="Garamond" w:cs="Arial"/>
          <w:color w:val="auto"/>
          <w:sz w:val="24"/>
          <w:szCs w:val="24"/>
          <w:lang w:val="pt-PT"/>
        </w:rPr>
        <w:t>situações</w:t>
      </w:r>
      <w:r w:rsidR="009B7DC1" w:rsidRPr="00F45A34">
        <w:rPr>
          <w:rFonts w:ascii="Garamond" w:hAnsi="Garamond" w:cs="Arial"/>
          <w:color w:val="auto"/>
          <w:sz w:val="24"/>
          <w:szCs w:val="24"/>
          <w:lang w:val="pt-PT"/>
        </w:rPr>
        <w:t xml:space="preserve"> de </w:t>
      </w:r>
      <w:r w:rsidR="000350B1" w:rsidRPr="00F45A34">
        <w:rPr>
          <w:rFonts w:ascii="Garamond" w:hAnsi="Garamond" w:cs="Arial"/>
          <w:color w:val="auto"/>
          <w:sz w:val="24"/>
          <w:szCs w:val="24"/>
          <w:lang w:val="pt-PT"/>
        </w:rPr>
        <w:t>violência</w:t>
      </w:r>
      <w:r w:rsidR="009B7DC1" w:rsidRPr="00F45A34">
        <w:rPr>
          <w:rFonts w:ascii="Garamond" w:hAnsi="Garamond" w:cs="Arial"/>
          <w:color w:val="auto"/>
          <w:sz w:val="24"/>
          <w:szCs w:val="24"/>
          <w:lang w:val="pt-PT"/>
        </w:rPr>
        <w:t xml:space="preserve">, </w:t>
      </w:r>
      <w:r w:rsidR="00F45A34" w:rsidRPr="00F45A34">
        <w:rPr>
          <w:rFonts w:ascii="Garamond" w:hAnsi="Garamond" w:cs="Arial"/>
          <w:color w:val="auto"/>
          <w:sz w:val="24"/>
          <w:szCs w:val="24"/>
          <w:lang w:val="pt-PT"/>
        </w:rPr>
        <w:t>determina</w:t>
      </w:r>
      <w:r w:rsidRPr="00F45A34">
        <w:rPr>
          <w:rFonts w:ascii="Garamond" w:hAnsi="Garamond" w:cs="Arial"/>
          <w:color w:val="auto"/>
          <w:sz w:val="24"/>
          <w:szCs w:val="24"/>
          <w:lang w:val="pt-PT"/>
        </w:rPr>
        <w:t>-se</w:t>
      </w:r>
      <w:r w:rsidR="009B7DC1" w:rsidRPr="00F45A34">
        <w:rPr>
          <w:rFonts w:ascii="Garamond" w:hAnsi="Garamond" w:cs="Arial"/>
          <w:color w:val="auto"/>
          <w:sz w:val="24"/>
          <w:szCs w:val="24"/>
          <w:lang w:val="pt-PT"/>
        </w:rPr>
        <w:t xml:space="preserve"> que </w:t>
      </w:r>
      <w:r w:rsidRPr="00F45A34">
        <w:rPr>
          <w:rFonts w:ascii="Garamond" w:hAnsi="Garamond" w:cs="Arial"/>
          <w:color w:val="auto"/>
          <w:sz w:val="24"/>
          <w:szCs w:val="24"/>
          <w:lang w:val="pt-PT"/>
        </w:rPr>
        <w:t xml:space="preserve">se </w:t>
      </w:r>
      <w:r w:rsidR="00AF192F" w:rsidRPr="00F45A34">
        <w:rPr>
          <w:rFonts w:ascii="Garamond" w:hAnsi="Garamond" w:cs="Arial"/>
          <w:color w:val="auto"/>
          <w:sz w:val="24"/>
          <w:szCs w:val="24"/>
          <w:lang w:val="pt-PT"/>
        </w:rPr>
        <w:t>dever</w:t>
      </w:r>
      <w:r w:rsidR="009B7DC1" w:rsidRPr="00F45A34">
        <w:rPr>
          <w:rFonts w:ascii="Garamond" w:hAnsi="Garamond" w:cs="Arial"/>
          <w:color w:val="auto"/>
          <w:sz w:val="24"/>
          <w:szCs w:val="24"/>
          <w:lang w:val="pt-PT"/>
        </w:rPr>
        <w:t xml:space="preserve">á </w:t>
      </w:r>
      <w:r w:rsidR="00F45A34">
        <w:rPr>
          <w:rFonts w:ascii="Garamond" w:hAnsi="Garamond" w:cs="Arial"/>
          <w:color w:val="auto"/>
          <w:sz w:val="24"/>
          <w:szCs w:val="24"/>
          <w:lang w:val="pt-PT"/>
        </w:rPr>
        <w:t xml:space="preserve">ter em consideração </w:t>
      </w:r>
      <w:r w:rsidRPr="00F45A34">
        <w:rPr>
          <w:rFonts w:ascii="Garamond" w:hAnsi="Garamond" w:cs="Arial"/>
          <w:color w:val="auto"/>
          <w:sz w:val="24"/>
          <w:szCs w:val="24"/>
          <w:lang w:val="pt-PT"/>
        </w:rPr>
        <w:t xml:space="preserve">se a </w:t>
      </w:r>
      <w:r w:rsidR="003F012B" w:rsidRPr="00F45A34">
        <w:rPr>
          <w:rFonts w:ascii="Garamond" w:hAnsi="Garamond" w:cs="Arial"/>
          <w:color w:val="auto"/>
          <w:sz w:val="24"/>
          <w:szCs w:val="24"/>
          <w:lang w:val="pt-PT"/>
        </w:rPr>
        <w:t>vítima</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 xml:space="preserve">foi </w:t>
      </w:r>
      <w:r w:rsidR="009B7DC1" w:rsidRPr="00F45A34">
        <w:rPr>
          <w:rFonts w:ascii="Garamond" w:hAnsi="Garamond" w:cs="Arial"/>
          <w:color w:val="auto"/>
          <w:sz w:val="24"/>
          <w:szCs w:val="24"/>
          <w:lang w:val="pt-PT"/>
        </w:rPr>
        <w:t xml:space="preserve">objeto de </w:t>
      </w:r>
      <w:r w:rsidR="000350B1" w:rsidRPr="00F45A34">
        <w:rPr>
          <w:rFonts w:ascii="Garamond" w:hAnsi="Garamond" w:cs="Arial"/>
          <w:color w:val="auto"/>
          <w:sz w:val="24"/>
          <w:szCs w:val="24"/>
          <w:lang w:val="pt-PT"/>
        </w:rPr>
        <w:t>violência</w:t>
      </w:r>
      <w:r w:rsidRPr="00F45A34">
        <w:rPr>
          <w:rFonts w:ascii="Garamond" w:hAnsi="Garamond" w:cs="Arial"/>
          <w:color w:val="auto"/>
          <w:sz w:val="24"/>
          <w:szCs w:val="24"/>
          <w:lang w:val="pt-PT"/>
        </w:rPr>
        <w:t xml:space="preserve"> reco</w:t>
      </w:r>
      <w:r w:rsidR="009B7DC1" w:rsidRPr="00F45A34">
        <w:rPr>
          <w:rFonts w:ascii="Garamond" w:hAnsi="Garamond" w:cs="Arial"/>
          <w:color w:val="auto"/>
          <w:sz w:val="24"/>
          <w:szCs w:val="24"/>
          <w:lang w:val="pt-PT"/>
        </w:rPr>
        <w:t xml:space="preserve">rrente </w:t>
      </w:r>
      <w:r w:rsidR="00497503" w:rsidRPr="00F45A34">
        <w:rPr>
          <w:rFonts w:ascii="Garamond" w:hAnsi="Garamond" w:cs="Arial"/>
          <w:color w:val="auto"/>
          <w:sz w:val="24"/>
          <w:szCs w:val="24"/>
          <w:lang w:val="pt-PT"/>
        </w:rPr>
        <w:t>e</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a </w:t>
      </w:r>
      <w:r w:rsidR="008843FD" w:rsidRPr="00F45A34">
        <w:rPr>
          <w:rFonts w:ascii="Garamond" w:hAnsi="Garamond" w:cs="Arial"/>
          <w:color w:val="auto"/>
          <w:sz w:val="24"/>
          <w:szCs w:val="24"/>
          <w:lang w:val="pt-PT"/>
        </w:rPr>
        <w:t>possibilidade</w:t>
      </w:r>
      <w:r w:rsidR="009B7DC1" w:rsidRPr="00F45A34">
        <w:rPr>
          <w:rFonts w:ascii="Garamond" w:hAnsi="Garamond" w:cs="Arial"/>
          <w:color w:val="auto"/>
          <w:sz w:val="24"/>
          <w:szCs w:val="24"/>
          <w:lang w:val="pt-PT"/>
        </w:rPr>
        <w:t xml:space="preserve"> (o</w:t>
      </w:r>
      <w:r w:rsidRPr="00F45A34">
        <w:rPr>
          <w:rFonts w:ascii="Garamond" w:hAnsi="Garamond" w:cs="Arial"/>
          <w:color w:val="auto"/>
          <w:sz w:val="24"/>
          <w:szCs w:val="24"/>
          <w:lang w:val="pt-PT"/>
        </w:rPr>
        <w:t>u</w:t>
      </w:r>
      <w:r w:rsidR="009B7DC1" w:rsidRPr="00F45A34">
        <w:rPr>
          <w:rFonts w:ascii="Garamond" w:hAnsi="Garamond" w:cs="Arial"/>
          <w:color w:val="auto"/>
          <w:sz w:val="24"/>
          <w:szCs w:val="24"/>
          <w:lang w:val="pt-PT"/>
        </w:rPr>
        <w:t xml:space="preserve"> im</w:t>
      </w:r>
      <w:r w:rsidR="008843FD" w:rsidRPr="00F45A34">
        <w:rPr>
          <w:rFonts w:ascii="Garamond" w:hAnsi="Garamond" w:cs="Arial"/>
          <w:color w:val="auto"/>
          <w:sz w:val="24"/>
          <w:szCs w:val="24"/>
          <w:lang w:val="pt-PT"/>
        </w:rPr>
        <w:t>possibilidade</w:t>
      </w:r>
      <w:r w:rsidRPr="00F45A34">
        <w:rPr>
          <w:rFonts w:ascii="Garamond" w:hAnsi="Garamond" w:cs="Arial"/>
          <w:color w:val="auto"/>
          <w:sz w:val="24"/>
          <w:szCs w:val="24"/>
          <w:lang w:val="pt-PT"/>
        </w:rPr>
        <w:t xml:space="preserve">) para </w:t>
      </w:r>
      <w:r w:rsidR="009B7DC1" w:rsidRPr="00F45A34">
        <w:rPr>
          <w:rFonts w:ascii="Garamond" w:hAnsi="Garamond" w:cs="Arial"/>
          <w:color w:val="auto"/>
          <w:sz w:val="24"/>
          <w:szCs w:val="24"/>
          <w:lang w:val="pt-PT"/>
        </w:rPr>
        <w:t xml:space="preserve">a </w:t>
      </w:r>
      <w:r w:rsidR="003F012B" w:rsidRPr="00F45A34">
        <w:rPr>
          <w:rFonts w:ascii="Garamond" w:hAnsi="Garamond" w:cs="Arial"/>
          <w:color w:val="auto"/>
          <w:sz w:val="24"/>
          <w:szCs w:val="24"/>
          <w:lang w:val="pt-PT"/>
        </w:rPr>
        <w:t>vítima</w:t>
      </w:r>
      <w:r w:rsidR="009B7DC1" w:rsidRPr="00F45A34">
        <w:rPr>
          <w:rFonts w:ascii="Garamond" w:hAnsi="Garamond" w:cs="Arial"/>
          <w:color w:val="auto"/>
          <w:sz w:val="24"/>
          <w:szCs w:val="24"/>
          <w:lang w:val="pt-PT"/>
        </w:rPr>
        <w:t xml:space="preserve"> de</w:t>
      </w:r>
      <w:r w:rsidRPr="00F45A34">
        <w:rPr>
          <w:rFonts w:ascii="Garamond" w:hAnsi="Garamond" w:cs="Arial"/>
          <w:color w:val="auto"/>
          <w:sz w:val="24"/>
          <w:szCs w:val="24"/>
          <w:lang w:val="pt-PT"/>
        </w:rPr>
        <w:t xml:space="preserve"> se</w:t>
      </w:r>
      <w:r w:rsidR="009B7DC1" w:rsidRPr="00F45A34">
        <w:rPr>
          <w:rFonts w:ascii="Garamond" w:hAnsi="Garamond" w:cs="Arial"/>
          <w:color w:val="auto"/>
          <w:sz w:val="24"/>
          <w:szCs w:val="24"/>
          <w:lang w:val="pt-PT"/>
        </w:rPr>
        <w:t xml:space="preserve"> li</w:t>
      </w:r>
      <w:r w:rsidRPr="00F45A34">
        <w:rPr>
          <w:rFonts w:ascii="Garamond" w:hAnsi="Garamond" w:cs="Arial"/>
          <w:color w:val="auto"/>
          <w:sz w:val="24"/>
          <w:szCs w:val="24"/>
          <w:lang w:val="pt-PT"/>
        </w:rPr>
        <w:t>vrar</w:t>
      </w:r>
      <w:r w:rsidRPr="003A1174">
        <w:rPr>
          <w:rFonts w:ascii="Garamond" w:hAnsi="Garamond" w:cs="Arial"/>
          <w:color w:val="auto"/>
          <w:sz w:val="24"/>
          <w:szCs w:val="24"/>
          <w:lang w:val="pt-PT"/>
        </w:rPr>
        <w:t xml:space="preserve"> d</w:t>
      </w:r>
      <w:r w:rsidR="005433BA" w:rsidRPr="003A1174">
        <w:rPr>
          <w:rFonts w:ascii="Garamond" w:hAnsi="Garamond" w:cs="Arial"/>
          <w:color w:val="auto"/>
          <w:sz w:val="24"/>
          <w:szCs w:val="24"/>
          <w:lang w:val="pt-PT"/>
        </w:rPr>
        <w:t>esta</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Também se estabeleceram </w:t>
      </w:r>
      <w:r w:rsidR="009B7DC1" w:rsidRPr="003A1174">
        <w:rPr>
          <w:rFonts w:ascii="Garamond" w:hAnsi="Garamond" w:cs="Arial"/>
          <w:color w:val="auto"/>
          <w:sz w:val="24"/>
          <w:szCs w:val="24"/>
          <w:lang w:val="pt-PT"/>
        </w:rPr>
        <w:t xml:space="preserve">as </w:t>
      </w:r>
      <w:r w:rsidR="006F7276" w:rsidRPr="003A1174">
        <w:rPr>
          <w:rFonts w:ascii="Garamond" w:hAnsi="Garamond" w:cs="Arial"/>
          <w:color w:val="auto"/>
          <w:sz w:val="24"/>
          <w:szCs w:val="24"/>
          <w:lang w:val="pt-PT"/>
        </w:rPr>
        <w:t>seguintes</w:t>
      </w:r>
      <w:r w:rsidR="009B7DC1" w:rsidRPr="003A1174">
        <w:rPr>
          <w:rFonts w:ascii="Garamond" w:hAnsi="Garamond" w:cs="Arial"/>
          <w:color w:val="auto"/>
          <w:sz w:val="24"/>
          <w:szCs w:val="24"/>
          <w:lang w:val="pt-PT"/>
        </w:rPr>
        <w:t xml:space="preserve"> </w:t>
      </w:r>
      <w:r w:rsidR="00233514" w:rsidRPr="003A1174">
        <w:rPr>
          <w:rFonts w:ascii="Garamond" w:hAnsi="Garamond" w:cs="Arial"/>
          <w:color w:val="auto"/>
          <w:sz w:val="24"/>
          <w:szCs w:val="24"/>
          <w:lang w:val="pt-PT"/>
        </w:rPr>
        <w:t>regra</w:t>
      </w:r>
      <w:r w:rsidR="009B7DC1" w:rsidRPr="003A1174">
        <w:rPr>
          <w:rFonts w:ascii="Garamond" w:hAnsi="Garamond" w:cs="Arial"/>
          <w:color w:val="auto"/>
          <w:sz w:val="24"/>
          <w:szCs w:val="24"/>
          <w:lang w:val="pt-PT"/>
        </w:rPr>
        <w:t xml:space="preserve">s: </w:t>
      </w:r>
    </w:p>
    <w:p w:rsidR="009B7DC1" w:rsidRPr="00F45A34" w:rsidRDefault="00976FB8" w:rsidP="00976FB8">
      <w:pPr>
        <w:pStyle w:val="Predeterminado"/>
        <w:numPr>
          <w:ilvl w:val="0"/>
          <w:numId w:val="3"/>
        </w:numPr>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As d</w:t>
      </w:r>
      <w:r w:rsidR="007A2492" w:rsidRPr="003A1174">
        <w:rPr>
          <w:rFonts w:ascii="Garamond" w:hAnsi="Garamond" w:cs="Arial"/>
          <w:color w:val="auto"/>
          <w:sz w:val="24"/>
          <w:szCs w:val="24"/>
          <w:lang w:val="pt-PT"/>
        </w:rPr>
        <w:t>ependência</w:t>
      </w:r>
      <w:r w:rsidR="009B7DC1" w:rsidRPr="003A1174">
        <w:rPr>
          <w:rFonts w:ascii="Garamond" w:hAnsi="Garamond" w:cs="Arial"/>
          <w:color w:val="auto"/>
          <w:sz w:val="24"/>
          <w:szCs w:val="24"/>
          <w:lang w:val="pt-PT"/>
        </w:rPr>
        <w:t xml:space="preserve">s da </w:t>
      </w:r>
      <w:r w:rsidR="00FB09CA" w:rsidRPr="003A1174">
        <w:rPr>
          <w:rFonts w:ascii="Garamond" w:hAnsi="Garamond" w:cs="Arial"/>
          <w:color w:val="auto"/>
          <w:sz w:val="24"/>
          <w:szCs w:val="24"/>
          <w:lang w:val="pt-PT"/>
        </w:rPr>
        <w:t>Administração</w:t>
      </w:r>
      <w:r w:rsidR="009B7DC1" w:rsidRPr="003A1174">
        <w:rPr>
          <w:rFonts w:ascii="Garamond" w:hAnsi="Garamond" w:cs="Arial"/>
          <w:color w:val="auto"/>
          <w:sz w:val="24"/>
          <w:szCs w:val="24"/>
          <w:lang w:val="pt-PT"/>
        </w:rPr>
        <w:t xml:space="preserve"> Pública Federal relacionadas co</w:t>
      </w:r>
      <w:r w:rsidRPr="003A1174">
        <w:rPr>
          <w:rFonts w:ascii="Garamond" w:hAnsi="Garamond" w:cs="Arial"/>
          <w:color w:val="auto"/>
          <w:sz w:val="24"/>
          <w:szCs w:val="24"/>
          <w:lang w:val="pt-PT"/>
        </w:rPr>
        <w:t xml:space="preserve">m </w:t>
      </w:r>
      <w:r w:rsidR="009B7DC1" w:rsidRPr="003A1174">
        <w:rPr>
          <w:rFonts w:ascii="Garamond" w:hAnsi="Garamond" w:cs="Arial"/>
          <w:color w:val="auto"/>
          <w:sz w:val="24"/>
          <w:szCs w:val="24"/>
          <w:lang w:val="pt-PT"/>
        </w:rPr>
        <w:t xml:space="preserve">a problemática da VCM </w:t>
      </w:r>
      <w:r w:rsidRPr="003A1174">
        <w:rPr>
          <w:rFonts w:ascii="Garamond" w:hAnsi="Garamond" w:cs="Arial"/>
          <w:color w:val="auto"/>
          <w:sz w:val="24"/>
          <w:szCs w:val="24"/>
          <w:lang w:val="pt-PT"/>
        </w:rPr>
        <w:t xml:space="preserve">são </w:t>
      </w:r>
      <w:r w:rsidR="007342D9" w:rsidRPr="003A1174">
        <w:rPr>
          <w:rFonts w:ascii="Garamond" w:hAnsi="Garamond" w:cs="Arial"/>
          <w:color w:val="auto"/>
          <w:sz w:val="24"/>
          <w:szCs w:val="24"/>
          <w:lang w:val="pt-PT"/>
        </w:rPr>
        <w:t>obriga</w:t>
      </w:r>
      <w:r w:rsidR="009B7DC1" w:rsidRPr="003A1174">
        <w:rPr>
          <w:rFonts w:ascii="Garamond" w:hAnsi="Garamond" w:cs="Arial"/>
          <w:color w:val="auto"/>
          <w:sz w:val="24"/>
          <w:szCs w:val="24"/>
          <w:lang w:val="pt-PT"/>
        </w:rPr>
        <w:t xml:space="preserve">das a informar a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 sobre </w:t>
      </w:r>
      <w:r w:rsidR="009B7DC1" w:rsidRPr="003A1174">
        <w:rPr>
          <w:rFonts w:ascii="Garamond" w:hAnsi="Garamond" w:cs="Arial"/>
          <w:color w:val="auto"/>
          <w:sz w:val="24"/>
          <w:szCs w:val="24"/>
          <w:lang w:val="pt-PT"/>
        </w:rPr>
        <w:t xml:space="preserve">a </w:t>
      </w:r>
      <w:r w:rsidR="007578C6" w:rsidRPr="003A1174">
        <w:rPr>
          <w:rFonts w:ascii="Garamond" w:hAnsi="Garamond" w:cs="Arial"/>
          <w:color w:val="auto"/>
          <w:sz w:val="24"/>
          <w:szCs w:val="24"/>
          <w:lang w:val="pt-PT"/>
        </w:rPr>
        <w:t>existência</w:t>
      </w:r>
      <w:r w:rsidR="009B7DC1" w:rsidRPr="003A1174">
        <w:rPr>
          <w:rFonts w:ascii="Garamond" w:hAnsi="Garamond" w:cs="Arial"/>
          <w:color w:val="auto"/>
          <w:sz w:val="24"/>
          <w:szCs w:val="24"/>
          <w:lang w:val="pt-PT"/>
        </w:rPr>
        <w:t xml:space="preserve"> de </w:t>
      </w:r>
      <w:r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a</w:t>
      </w:r>
      <w:r w:rsidR="009B7DC1" w:rsidRPr="003A1174">
        <w:rPr>
          <w:rFonts w:ascii="Garamond" w:hAnsi="Garamond" w:cs="Arial"/>
          <w:color w:val="auto"/>
          <w:sz w:val="24"/>
          <w:szCs w:val="24"/>
          <w:lang w:val="pt-PT"/>
        </w:rPr>
        <w:t xml:space="preserve"> orient</w:t>
      </w:r>
      <w:r w:rsidRPr="003A1174">
        <w:rPr>
          <w:rFonts w:ascii="Garamond" w:hAnsi="Garamond" w:cs="Arial"/>
          <w:color w:val="auto"/>
          <w:sz w:val="24"/>
          <w:szCs w:val="24"/>
          <w:lang w:val="pt-PT"/>
        </w:rPr>
        <w:t>á-</w:t>
      </w:r>
      <w:r w:rsidR="009B7DC1" w:rsidRPr="003A1174">
        <w:rPr>
          <w:rFonts w:ascii="Garamond" w:hAnsi="Garamond" w:cs="Arial"/>
          <w:color w:val="auto"/>
          <w:sz w:val="24"/>
          <w:szCs w:val="24"/>
          <w:lang w:val="pt-PT"/>
        </w:rPr>
        <w:t xml:space="preserve">la </w:t>
      </w:r>
      <w:r w:rsidRPr="003A1174">
        <w:rPr>
          <w:rFonts w:ascii="Garamond" w:hAnsi="Garamond" w:cs="Arial"/>
          <w:color w:val="auto"/>
          <w:sz w:val="24"/>
          <w:szCs w:val="24"/>
          <w:lang w:val="pt-PT"/>
        </w:rPr>
        <w:t xml:space="preserve">para </w:t>
      </w:r>
      <w:r w:rsidR="009B7DC1" w:rsidRPr="003A1174">
        <w:rPr>
          <w:rFonts w:ascii="Garamond" w:hAnsi="Garamond" w:cs="Arial"/>
          <w:color w:val="auto"/>
          <w:sz w:val="24"/>
          <w:szCs w:val="24"/>
          <w:lang w:val="pt-PT"/>
        </w:rPr>
        <w:t xml:space="preserve">a </w:t>
      </w:r>
      <w:r w:rsidR="00FB09CA" w:rsidRPr="003A1174">
        <w:rPr>
          <w:rFonts w:ascii="Garamond" w:hAnsi="Garamond" w:cs="Arial"/>
          <w:color w:val="auto"/>
          <w:sz w:val="24"/>
          <w:szCs w:val="24"/>
          <w:lang w:val="pt-PT"/>
        </w:rPr>
        <w:t>instância</w:t>
      </w:r>
      <w:r w:rsidR="009B7DC1" w:rsidRPr="003A1174">
        <w:rPr>
          <w:rFonts w:ascii="Garamond" w:hAnsi="Garamond" w:cs="Arial"/>
          <w:color w:val="auto"/>
          <w:sz w:val="24"/>
          <w:szCs w:val="24"/>
          <w:lang w:val="pt-PT"/>
        </w:rPr>
        <w:t xml:space="preserve"> competente para </w:t>
      </w:r>
      <w:r w:rsidRPr="003A1174">
        <w:rPr>
          <w:rFonts w:ascii="Garamond" w:hAnsi="Garamond" w:cs="Arial"/>
          <w:color w:val="auto"/>
          <w:sz w:val="24"/>
          <w:szCs w:val="24"/>
          <w:lang w:val="pt-PT"/>
        </w:rPr>
        <w:t xml:space="preserve">a </w:t>
      </w:r>
      <w:r w:rsidR="009B7DC1" w:rsidRPr="003A1174">
        <w:rPr>
          <w:rFonts w:ascii="Garamond" w:hAnsi="Garamond" w:cs="Arial"/>
          <w:color w:val="auto"/>
          <w:sz w:val="24"/>
          <w:szCs w:val="24"/>
          <w:lang w:val="pt-PT"/>
        </w:rPr>
        <w:t>su</w:t>
      </w:r>
      <w:r w:rsidRPr="003A1174">
        <w:rPr>
          <w:rFonts w:ascii="Garamond" w:hAnsi="Garamond" w:cs="Arial"/>
          <w:color w:val="auto"/>
          <w:sz w:val="24"/>
          <w:szCs w:val="24"/>
          <w:lang w:val="pt-PT"/>
        </w:rPr>
        <w:t>a</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implementação apropriad</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 xml:space="preserve">Além disso, </w:t>
      </w:r>
      <w:r w:rsidR="009B7DC1" w:rsidRPr="003A1174">
        <w:rPr>
          <w:rFonts w:ascii="Garamond" w:hAnsi="Garamond" w:cs="Arial"/>
          <w:color w:val="auto"/>
          <w:sz w:val="24"/>
          <w:szCs w:val="24"/>
          <w:lang w:val="pt-PT"/>
        </w:rPr>
        <w:t xml:space="preserve">as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s pod</w:t>
      </w:r>
      <w:r w:rsidRPr="003A1174">
        <w:rPr>
          <w:rFonts w:ascii="Garamond" w:hAnsi="Garamond" w:cs="Arial"/>
          <w:color w:val="auto"/>
          <w:sz w:val="24"/>
          <w:szCs w:val="24"/>
          <w:lang w:val="pt-PT"/>
        </w:rPr>
        <w:t xml:space="preserve">erão </w:t>
      </w:r>
      <w:r w:rsidR="009B7DC1" w:rsidRPr="003A1174">
        <w:rPr>
          <w:rFonts w:ascii="Garamond" w:hAnsi="Garamond" w:cs="Arial"/>
          <w:color w:val="auto"/>
          <w:sz w:val="24"/>
          <w:szCs w:val="24"/>
          <w:lang w:val="pt-PT"/>
        </w:rPr>
        <w:t>ser representadas legalmente</w:t>
      </w:r>
      <w:r w:rsidRPr="003A11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863197" w:rsidRPr="003A1174">
        <w:rPr>
          <w:rFonts w:ascii="Garamond" w:hAnsi="Garamond" w:cs="Arial"/>
          <w:color w:val="auto"/>
          <w:sz w:val="24"/>
          <w:szCs w:val="24"/>
          <w:lang w:val="pt-PT"/>
        </w:rPr>
        <w:t>quando</w:t>
      </w:r>
      <w:r w:rsidR="009B7DC1" w:rsidRPr="003A1174">
        <w:rPr>
          <w:rFonts w:ascii="Garamond" w:hAnsi="Garamond" w:cs="Arial"/>
          <w:color w:val="auto"/>
          <w:sz w:val="24"/>
          <w:szCs w:val="24"/>
          <w:lang w:val="pt-PT"/>
        </w:rPr>
        <w:t xml:space="preserve"> as</w:t>
      </w:r>
      <w:r w:rsidRPr="003A1174">
        <w:rPr>
          <w:rFonts w:ascii="Garamond" w:hAnsi="Garamond" w:cs="Arial"/>
          <w:color w:val="auto"/>
          <w:sz w:val="24"/>
          <w:szCs w:val="24"/>
          <w:lang w:val="pt-PT"/>
        </w:rPr>
        <w:t xml:space="preserve">sim o pretenderem, pelo seu </w:t>
      </w:r>
      <w:r w:rsidR="009A0CC2" w:rsidRPr="003A1174">
        <w:rPr>
          <w:rFonts w:ascii="Garamond" w:hAnsi="Garamond" w:cs="Arial"/>
          <w:color w:val="auto"/>
          <w:sz w:val="24"/>
          <w:szCs w:val="24"/>
          <w:lang w:val="pt-PT"/>
        </w:rPr>
        <w:t>advogado</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pelo delegado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009B7DC1" w:rsidRPr="003A1174">
        <w:rPr>
          <w:rFonts w:ascii="Garamond" w:hAnsi="Garamond" w:cs="Arial"/>
          <w:color w:val="auto"/>
          <w:sz w:val="24"/>
          <w:szCs w:val="24"/>
          <w:lang w:val="pt-PT"/>
        </w:rPr>
        <w:t xml:space="preserve"> Público da </w:t>
      </w:r>
      <w:r w:rsidR="00C30647" w:rsidRPr="003A1174">
        <w:rPr>
          <w:rFonts w:ascii="Garamond" w:hAnsi="Garamond" w:cs="Arial"/>
          <w:color w:val="auto"/>
          <w:sz w:val="24"/>
          <w:szCs w:val="24"/>
          <w:lang w:val="pt-PT"/>
        </w:rPr>
        <w:t>Federação</w:t>
      </w:r>
      <w:r w:rsidR="009B7DC1"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 xml:space="preserve">u por </w:t>
      </w:r>
      <w:r w:rsidR="007342D9" w:rsidRPr="003A1174">
        <w:rPr>
          <w:rFonts w:ascii="Garamond" w:hAnsi="Garamond" w:cs="Arial"/>
          <w:color w:val="auto"/>
          <w:sz w:val="24"/>
          <w:szCs w:val="24"/>
          <w:lang w:val="pt-PT"/>
        </w:rPr>
        <w:t>qualquer</w:t>
      </w:r>
      <w:r w:rsidR="009B7DC1" w:rsidRPr="003A1174">
        <w:rPr>
          <w:rFonts w:ascii="Garamond" w:hAnsi="Garamond" w:cs="Arial"/>
          <w:color w:val="auto"/>
          <w:sz w:val="24"/>
          <w:szCs w:val="24"/>
          <w:lang w:val="pt-PT"/>
        </w:rPr>
        <w:t xml:space="preserve"> servidor público especialista </w:t>
      </w:r>
      <w:r w:rsidRPr="00F45A34">
        <w:rPr>
          <w:rFonts w:ascii="Garamond" w:hAnsi="Garamond" w:cs="Arial"/>
          <w:color w:val="auto"/>
          <w:sz w:val="24"/>
          <w:szCs w:val="24"/>
          <w:lang w:val="pt-PT"/>
        </w:rPr>
        <w:t>n</w:t>
      </w:r>
      <w:r w:rsidR="009B7DC1" w:rsidRPr="00F45A34">
        <w:rPr>
          <w:rFonts w:ascii="Garamond" w:hAnsi="Garamond" w:cs="Arial"/>
          <w:color w:val="auto"/>
          <w:sz w:val="24"/>
          <w:szCs w:val="24"/>
          <w:lang w:val="pt-PT"/>
        </w:rPr>
        <w:t xml:space="preserve">a </w:t>
      </w:r>
      <w:r w:rsidR="00D96FD0" w:rsidRPr="00F45A34">
        <w:rPr>
          <w:rFonts w:ascii="Garamond" w:hAnsi="Garamond" w:cs="Arial"/>
          <w:color w:val="auto"/>
          <w:sz w:val="24"/>
          <w:szCs w:val="24"/>
          <w:lang w:val="pt-PT"/>
        </w:rPr>
        <w:t>perspetiva</w:t>
      </w:r>
      <w:r w:rsidR="009B7DC1" w:rsidRPr="00F45A34">
        <w:rPr>
          <w:rFonts w:ascii="Garamond" w:hAnsi="Garamond" w:cs="Arial"/>
          <w:color w:val="auto"/>
          <w:sz w:val="24"/>
          <w:szCs w:val="24"/>
          <w:lang w:val="pt-PT"/>
        </w:rPr>
        <w:t xml:space="preserve"> de género.</w:t>
      </w:r>
    </w:p>
    <w:p w:rsidR="009B7DC1" w:rsidRPr="00F45A34" w:rsidRDefault="00976FB8" w:rsidP="008719D4">
      <w:pPr>
        <w:pStyle w:val="Predeterminado"/>
        <w:numPr>
          <w:ilvl w:val="0"/>
          <w:numId w:val="3"/>
        </w:numPr>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O pedido </w:t>
      </w:r>
      <w:r w:rsidR="00497503" w:rsidRPr="00F45A34">
        <w:rPr>
          <w:rFonts w:ascii="Garamond" w:hAnsi="Garamond" w:cs="Arial"/>
          <w:color w:val="auto"/>
          <w:sz w:val="24"/>
          <w:szCs w:val="24"/>
          <w:lang w:val="pt-PT"/>
        </w:rPr>
        <w:t>das</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Ordens</w:t>
      </w:r>
      <w:r w:rsidR="009B7DC1" w:rsidRPr="00F45A34">
        <w:rPr>
          <w:rFonts w:ascii="Garamond" w:hAnsi="Garamond" w:cs="Arial"/>
          <w:color w:val="auto"/>
          <w:sz w:val="24"/>
          <w:szCs w:val="24"/>
          <w:lang w:val="pt-PT"/>
        </w:rPr>
        <w:t xml:space="preserve"> de </w:t>
      </w:r>
      <w:r w:rsidR="00886D6A" w:rsidRPr="00F45A34">
        <w:rPr>
          <w:rFonts w:ascii="Garamond" w:hAnsi="Garamond" w:cs="Arial"/>
          <w:color w:val="auto"/>
          <w:sz w:val="24"/>
          <w:szCs w:val="24"/>
          <w:lang w:val="pt-PT"/>
        </w:rPr>
        <w:t>Proteção</w:t>
      </w:r>
      <w:r w:rsidR="009B7DC1" w:rsidRPr="00F45A34">
        <w:rPr>
          <w:rFonts w:ascii="Garamond" w:hAnsi="Garamond" w:cs="Arial"/>
          <w:color w:val="auto"/>
          <w:sz w:val="24"/>
          <w:szCs w:val="24"/>
          <w:lang w:val="pt-PT"/>
        </w:rPr>
        <w:t xml:space="preserve"> </w:t>
      </w:r>
      <w:r w:rsidR="007342D9" w:rsidRPr="00F45A34">
        <w:rPr>
          <w:rFonts w:ascii="Garamond" w:hAnsi="Garamond" w:cs="Arial"/>
          <w:color w:val="auto"/>
          <w:sz w:val="24"/>
          <w:szCs w:val="24"/>
          <w:lang w:val="pt-PT"/>
        </w:rPr>
        <w:t>pode</w:t>
      </w:r>
      <w:r w:rsidR="009B7DC1" w:rsidRPr="00F45A34">
        <w:rPr>
          <w:rFonts w:ascii="Garamond" w:hAnsi="Garamond" w:cs="Arial"/>
          <w:color w:val="auto"/>
          <w:sz w:val="24"/>
          <w:szCs w:val="24"/>
          <w:lang w:val="pt-PT"/>
        </w:rPr>
        <w:t xml:space="preserve"> </w:t>
      </w:r>
      <w:r w:rsidR="004C71E0" w:rsidRPr="00F45A34">
        <w:rPr>
          <w:rFonts w:ascii="Garamond" w:hAnsi="Garamond" w:cs="Arial"/>
          <w:color w:val="auto"/>
          <w:sz w:val="24"/>
          <w:szCs w:val="24"/>
          <w:lang w:val="pt-PT"/>
        </w:rPr>
        <w:t>efetua</w:t>
      </w:r>
      <w:r w:rsidR="009B7DC1" w:rsidRPr="00F45A34">
        <w:rPr>
          <w:rFonts w:ascii="Garamond" w:hAnsi="Garamond" w:cs="Arial"/>
          <w:color w:val="auto"/>
          <w:sz w:val="24"/>
          <w:szCs w:val="24"/>
          <w:lang w:val="pt-PT"/>
        </w:rPr>
        <w:t>r</w:t>
      </w:r>
      <w:r w:rsidR="002B6C5B" w:rsidRP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se </w:t>
      </w:r>
      <w:r w:rsidR="002B6C5B" w:rsidRPr="00F45A34">
        <w:rPr>
          <w:rFonts w:ascii="Garamond" w:hAnsi="Garamond" w:cs="Arial"/>
          <w:color w:val="auto"/>
          <w:sz w:val="24"/>
          <w:szCs w:val="24"/>
          <w:lang w:val="pt-PT"/>
        </w:rPr>
        <w:t xml:space="preserve">de </w:t>
      </w:r>
      <w:r w:rsidR="009B7DC1" w:rsidRPr="00F45A34">
        <w:rPr>
          <w:rFonts w:ascii="Garamond" w:hAnsi="Garamond" w:cs="Arial"/>
          <w:color w:val="auto"/>
          <w:sz w:val="24"/>
          <w:szCs w:val="24"/>
          <w:lang w:val="pt-PT"/>
        </w:rPr>
        <w:t>forma verbal o</w:t>
      </w:r>
      <w:r w:rsidR="002B6C5B" w:rsidRPr="00F45A34">
        <w:rPr>
          <w:rFonts w:ascii="Garamond" w:hAnsi="Garamond" w:cs="Arial"/>
          <w:color w:val="auto"/>
          <w:sz w:val="24"/>
          <w:szCs w:val="24"/>
          <w:lang w:val="pt-PT"/>
        </w:rPr>
        <w:t>u</w:t>
      </w:r>
      <w:r w:rsidR="009B7DC1" w:rsidRPr="00F45A34">
        <w:rPr>
          <w:rFonts w:ascii="Garamond" w:hAnsi="Garamond" w:cs="Arial"/>
          <w:color w:val="auto"/>
          <w:sz w:val="24"/>
          <w:szCs w:val="24"/>
          <w:lang w:val="pt-PT"/>
        </w:rPr>
        <w:t xml:space="preserve"> escrita</w:t>
      </w:r>
      <w:r w:rsidR="005433BA" w:rsidRPr="00F45A34">
        <w:rPr>
          <w:rFonts w:ascii="Garamond" w:hAnsi="Garamond" w:cs="Arial"/>
          <w:color w:val="auto"/>
          <w:sz w:val="24"/>
          <w:szCs w:val="24"/>
          <w:lang w:val="pt-PT"/>
        </w:rPr>
        <w:t>,</w:t>
      </w:r>
      <w:r w:rsidR="002B6C5B"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p</w:t>
      </w:r>
      <w:r w:rsidR="002B6C5B"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 xml:space="preserve">la </w:t>
      </w:r>
      <w:r w:rsidR="003F012B" w:rsidRPr="00F45A34">
        <w:rPr>
          <w:rFonts w:ascii="Garamond" w:hAnsi="Garamond" w:cs="Arial"/>
          <w:color w:val="auto"/>
          <w:sz w:val="24"/>
          <w:szCs w:val="24"/>
          <w:lang w:val="pt-PT"/>
        </w:rPr>
        <w:t>vítima</w:t>
      </w:r>
      <w:r w:rsidR="009B7DC1" w:rsidRPr="00F45A34">
        <w:rPr>
          <w:rFonts w:ascii="Garamond" w:hAnsi="Garamond" w:cs="Arial"/>
          <w:color w:val="auto"/>
          <w:sz w:val="24"/>
          <w:szCs w:val="24"/>
          <w:lang w:val="pt-PT"/>
        </w:rPr>
        <w:t xml:space="preserve"> </w:t>
      </w:r>
      <w:r w:rsidR="002B6C5B" w:rsidRPr="00F45A34">
        <w:rPr>
          <w:rFonts w:ascii="Garamond" w:hAnsi="Garamond" w:cs="Arial"/>
          <w:color w:val="auto"/>
          <w:sz w:val="24"/>
          <w:szCs w:val="24"/>
          <w:lang w:val="pt-PT"/>
        </w:rPr>
        <w:t xml:space="preserve">ou </w:t>
      </w:r>
      <w:r w:rsidR="009B7DC1" w:rsidRPr="00F45A34">
        <w:rPr>
          <w:rFonts w:ascii="Garamond" w:hAnsi="Garamond" w:cs="Arial"/>
          <w:color w:val="auto"/>
          <w:sz w:val="24"/>
          <w:szCs w:val="24"/>
          <w:lang w:val="pt-PT"/>
        </w:rPr>
        <w:t xml:space="preserve">por </w:t>
      </w:r>
      <w:r w:rsidR="007342D9" w:rsidRPr="00F45A34">
        <w:rPr>
          <w:rFonts w:ascii="Garamond" w:hAnsi="Garamond" w:cs="Arial"/>
          <w:color w:val="auto"/>
          <w:sz w:val="24"/>
          <w:szCs w:val="24"/>
          <w:lang w:val="pt-PT"/>
        </w:rPr>
        <w:t>qualquer</w:t>
      </w:r>
      <w:r w:rsidR="009B7DC1" w:rsidRPr="00F45A34">
        <w:rPr>
          <w:rFonts w:ascii="Garamond" w:hAnsi="Garamond" w:cs="Arial"/>
          <w:color w:val="auto"/>
          <w:sz w:val="24"/>
          <w:szCs w:val="24"/>
          <w:lang w:val="pt-PT"/>
        </w:rPr>
        <w:t xml:space="preserve"> </w:t>
      </w:r>
      <w:r w:rsidR="002B6C5B" w:rsidRPr="00F45A34">
        <w:rPr>
          <w:rFonts w:ascii="Garamond" w:hAnsi="Garamond" w:cs="Arial"/>
          <w:color w:val="auto"/>
          <w:sz w:val="24"/>
          <w:szCs w:val="24"/>
          <w:lang w:val="pt-PT"/>
        </w:rPr>
        <w:t xml:space="preserve">outra </w:t>
      </w:r>
      <w:r w:rsidR="0005622E" w:rsidRPr="00F45A34">
        <w:rPr>
          <w:rFonts w:ascii="Garamond" w:hAnsi="Garamond" w:cs="Arial"/>
          <w:color w:val="auto"/>
          <w:sz w:val="24"/>
          <w:szCs w:val="24"/>
          <w:lang w:val="pt-PT"/>
        </w:rPr>
        <w:t>pessoa</w:t>
      </w:r>
      <w:r w:rsidR="009B7DC1" w:rsidRPr="00F45A34">
        <w:rPr>
          <w:rFonts w:ascii="Garamond" w:hAnsi="Garamond" w:cs="Arial"/>
          <w:color w:val="auto"/>
          <w:sz w:val="24"/>
          <w:szCs w:val="24"/>
          <w:lang w:val="pt-PT"/>
        </w:rPr>
        <w:t xml:space="preserve"> que t</w:t>
      </w:r>
      <w:r w:rsidR="002B6C5B" w:rsidRPr="00F45A34">
        <w:rPr>
          <w:rFonts w:ascii="Garamond" w:hAnsi="Garamond" w:cs="Arial"/>
          <w:color w:val="auto"/>
          <w:sz w:val="24"/>
          <w:szCs w:val="24"/>
          <w:lang w:val="pt-PT"/>
        </w:rPr>
        <w:t xml:space="preserve">iver </w:t>
      </w:r>
      <w:r w:rsidR="003E6403" w:rsidRPr="00F45A34">
        <w:rPr>
          <w:rFonts w:ascii="Garamond" w:hAnsi="Garamond" w:cs="Arial"/>
          <w:color w:val="auto"/>
          <w:sz w:val="24"/>
          <w:szCs w:val="24"/>
          <w:lang w:val="pt-PT"/>
        </w:rPr>
        <w:t>conhecimento</w:t>
      </w:r>
      <w:r w:rsidR="009B7DC1" w:rsidRPr="00F45A34">
        <w:rPr>
          <w:rFonts w:ascii="Garamond" w:hAnsi="Garamond" w:cs="Arial"/>
          <w:color w:val="auto"/>
          <w:sz w:val="24"/>
          <w:szCs w:val="24"/>
          <w:lang w:val="pt-PT"/>
        </w:rPr>
        <w:t xml:space="preserve"> de u</w:t>
      </w:r>
      <w:r w:rsidR="002B6C5B" w:rsidRPr="00F45A34">
        <w:rPr>
          <w:rFonts w:ascii="Garamond" w:hAnsi="Garamond" w:cs="Arial"/>
          <w:color w:val="auto"/>
          <w:sz w:val="24"/>
          <w:szCs w:val="24"/>
          <w:lang w:val="pt-PT"/>
        </w:rPr>
        <w:t>m</w:t>
      </w:r>
      <w:r w:rsidR="009B7DC1" w:rsidRPr="00F45A34">
        <w:rPr>
          <w:rFonts w:ascii="Garamond" w:hAnsi="Garamond" w:cs="Arial"/>
          <w:color w:val="auto"/>
          <w:sz w:val="24"/>
          <w:szCs w:val="24"/>
          <w:lang w:val="pt-PT"/>
        </w:rPr>
        <w:t xml:space="preserve"> estado de </w:t>
      </w:r>
      <w:r w:rsidR="008651AF" w:rsidRPr="00F45A34">
        <w:rPr>
          <w:rFonts w:ascii="Garamond" w:hAnsi="Garamond" w:cs="Arial"/>
          <w:color w:val="auto"/>
          <w:sz w:val="24"/>
          <w:szCs w:val="24"/>
          <w:lang w:val="pt-PT"/>
        </w:rPr>
        <w:t>risco</w:t>
      </w:r>
      <w:r w:rsidR="009B7DC1" w:rsidRPr="00F45A34">
        <w:rPr>
          <w:rFonts w:ascii="Garamond" w:hAnsi="Garamond" w:cs="Arial"/>
          <w:color w:val="auto"/>
          <w:sz w:val="24"/>
          <w:szCs w:val="24"/>
          <w:lang w:val="pt-PT"/>
        </w:rPr>
        <w:t xml:space="preserve"> o</w:t>
      </w:r>
      <w:r w:rsidR="002B6C5B" w:rsidRPr="00F45A34">
        <w:rPr>
          <w:rFonts w:ascii="Garamond" w:hAnsi="Garamond" w:cs="Arial"/>
          <w:color w:val="auto"/>
          <w:sz w:val="24"/>
          <w:szCs w:val="24"/>
          <w:lang w:val="pt-PT"/>
        </w:rPr>
        <w:t>u</w:t>
      </w:r>
      <w:r w:rsidR="009B7DC1" w:rsidRPr="00F45A34">
        <w:rPr>
          <w:rFonts w:ascii="Garamond" w:hAnsi="Garamond" w:cs="Arial"/>
          <w:color w:val="auto"/>
          <w:sz w:val="24"/>
          <w:szCs w:val="24"/>
          <w:lang w:val="pt-PT"/>
        </w:rPr>
        <w:t xml:space="preserve"> </w:t>
      </w:r>
      <w:r w:rsidR="007342D9" w:rsidRPr="00F45A34">
        <w:rPr>
          <w:rFonts w:ascii="Garamond" w:hAnsi="Garamond" w:cs="Arial"/>
          <w:color w:val="auto"/>
          <w:sz w:val="24"/>
          <w:szCs w:val="24"/>
          <w:lang w:val="pt-PT"/>
        </w:rPr>
        <w:t>qualquer</w:t>
      </w:r>
      <w:r w:rsidR="009B7DC1" w:rsidRPr="00F45A34">
        <w:rPr>
          <w:rFonts w:ascii="Garamond" w:hAnsi="Garamond" w:cs="Arial"/>
          <w:color w:val="auto"/>
          <w:sz w:val="24"/>
          <w:szCs w:val="24"/>
          <w:lang w:val="pt-PT"/>
        </w:rPr>
        <w:t xml:space="preserve"> </w:t>
      </w:r>
      <w:r w:rsidR="002B6C5B" w:rsidRPr="00F45A34">
        <w:rPr>
          <w:rFonts w:ascii="Garamond" w:hAnsi="Garamond" w:cs="Arial"/>
          <w:color w:val="auto"/>
          <w:sz w:val="24"/>
          <w:szCs w:val="24"/>
          <w:lang w:val="pt-PT"/>
        </w:rPr>
        <w:t>outra</w:t>
      </w:r>
      <w:r w:rsidR="009B7DC1" w:rsidRPr="00F45A34">
        <w:rPr>
          <w:rFonts w:ascii="Garamond" w:hAnsi="Garamond" w:cs="Arial"/>
          <w:color w:val="auto"/>
          <w:sz w:val="24"/>
          <w:szCs w:val="24"/>
          <w:lang w:val="pt-PT"/>
        </w:rPr>
        <w:t xml:space="preserve"> </w:t>
      </w:r>
      <w:r w:rsidR="002E2C71" w:rsidRPr="00F45A34">
        <w:rPr>
          <w:rFonts w:ascii="Garamond" w:hAnsi="Garamond" w:cs="Arial"/>
          <w:color w:val="auto"/>
          <w:sz w:val="24"/>
          <w:szCs w:val="24"/>
          <w:lang w:val="pt-PT"/>
        </w:rPr>
        <w:t>circunstância</w:t>
      </w:r>
      <w:r w:rsidR="009B7DC1" w:rsidRPr="00F45A34">
        <w:rPr>
          <w:rFonts w:ascii="Garamond" w:hAnsi="Garamond" w:cs="Arial"/>
          <w:color w:val="auto"/>
          <w:sz w:val="24"/>
          <w:szCs w:val="24"/>
          <w:lang w:val="pt-PT"/>
        </w:rPr>
        <w:t xml:space="preserve"> que gere </w:t>
      </w:r>
      <w:r w:rsidR="000350B1" w:rsidRPr="00F45A34">
        <w:rPr>
          <w:rFonts w:ascii="Garamond" w:hAnsi="Garamond" w:cs="Arial"/>
          <w:color w:val="auto"/>
          <w:sz w:val="24"/>
          <w:szCs w:val="24"/>
          <w:lang w:val="pt-PT"/>
        </w:rPr>
        <w:t>violência</w:t>
      </w:r>
      <w:r w:rsidR="002B6C5B" w:rsidRPr="00F45A34">
        <w:rPr>
          <w:rFonts w:ascii="Garamond" w:hAnsi="Garamond" w:cs="Arial"/>
          <w:color w:val="auto"/>
          <w:sz w:val="24"/>
          <w:szCs w:val="24"/>
          <w:lang w:val="pt-PT"/>
        </w:rPr>
        <w:t xml:space="preserve"> contra </w:t>
      </w:r>
      <w:r w:rsidR="009B7DC1" w:rsidRPr="00F45A34">
        <w:rPr>
          <w:rFonts w:ascii="Garamond" w:hAnsi="Garamond" w:cs="Arial"/>
          <w:color w:val="auto"/>
          <w:sz w:val="24"/>
          <w:szCs w:val="24"/>
          <w:lang w:val="pt-PT"/>
        </w:rPr>
        <w:t xml:space="preserve">as </w:t>
      </w:r>
      <w:r w:rsidR="00054EE0" w:rsidRPr="00F45A34">
        <w:rPr>
          <w:rFonts w:ascii="Garamond" w:hAnsi="Garamond" w:cs="Arial"/>
          <w:color w:val="auto"/>
          <w:sz w:val="24"/>
          <w:szCs w:val="24"/>
          <w:lang w:val="pt-PT"/>
        </w:rPr>
        <w:t>mulheres</w:t>
      </w:r>
      <w:r w:rsidR="009B7DC1" w:rsidRPr="00F45A34">
        <w:rPr>
          <w:rFonts w:ascii="Garamond" w:hAnsi="Garamond" w:cs="Arial"/>
          <w:color w:val="auto"/>
          <w:sz w:val="24"/>
          <w:szCs w:val="24"/>
          <w:lang w:val="pt-PT"/>
        </w:rPr>
        <w:t>.</w:t>
      </w:r>
    </w:p>
    <w:p w:rsidR="009B7DC1" w:rsidRPr="00F45A34" w:rsidRDefault="002B6C5B" w:rsidP="002B6C5B">
      <w:pPr>
        <w:pStyle w:val="Predeterminado"/>
        <w:numPr>
          <w:ilvl w:val="0"/>
          <w:numId w:val="3"/>
        </w:numPr>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Quando requerido pela </w:t>
      </w:r>
      <w:r w:rsidR="003F012B" w:rsidRPr="00F45A34">
        <w:rPr>
          <w:rFonts w:ascii="Garamond" w:hAnsi="Garamond" w:cs="Arial"/>
          <w:color w:val="auto"/>
          <w:sz w:val="24"/>
          <w:szCs w:val="24"/>
          <w:lang w:val="pt-PT"/>
        </w:rPr>
        <w:t>vítima</w:t>
      </w:r>
      <w:r w:rsidR="009B7DC1" w:rsidRPr="00F45A34">
        <w:rPr>
          <w:rFonts w:ascii="Garamond" w:hAnsi="Garamond" w:cs="Arial"/>
          <w:color w:val="auto"/>
          <w:sz w:val="24"/>
          <w:szCs w:val="24"/>
          <w:lang w:val="pt-PT"/>
        </w:rPr>
        <w:t>, n</w:t>
      </w:r>
      <w:r w:rsidRPr="00F45A34">
        <w:rPr>
          <w:rFonts w:ascii="Garamond" w:hAnsi="Garamond" w:cs="Arial"/>
          <w:color w:val="auto"/>
          <w:sz w:val="24"/>
          <w:szCs w:val="24"/>
          <w:lang w:val="pt-PT"/>
        </w:rPr>
        <w:t>ã</w:t>
      </w:r>
      <w:r w:rsidR="009B7DC1" w:rsidRPr="00F45A34">
        <w:rPr>
          <w:rFonts w:ascii="Garamond" w:hAnsi="Garamond" w:cs="Arial"/>
          <w:color w:val="auto"/>
          <w:sz w:val="24"/>
          <w:szCs w:val="24"/>
          <w:lang w:val="pt-PT"/>
        </w:rPr>
        <w:t xml:space="preserve">o será </w:t>
      </w:r>
      <w:r w:rsidR="007578C6" w:rsidRPr="00F45A34">
        <w:rPr>
          <w:rFonts w:ascii="Garamond" w:hAnsi="Garamond" w:cs="Arial"/>
          <w:color w:val="auto"/>
          <w:sz w:val="24"/>
          <w:szCs w:val="24"/>
          <w:lang w:val="pt-PT"/>
        </w:rPr>
        <w:t>necessária</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a </w:t>
      </w:r>
      <w:r w:rsidR="005D38DC" w:rsidRPr="00F45A34">
        <w:rPr>
          <w:rFonts w:ascii="Garamond" w:hAnsi="Garamond" w:cs="Arial"/>
          <w:color w:val="auto"/>
          <w:sz w:val="24"/>
          <w:szCs w:val="24"/>
          <w:lang w:val="pt-PT"/>
        </w:rPr>
        <w:t>apresentação</w:t>
      </w:r>
      <w:r w:rsidR="009B7DC1" w:rsidRPr="00F45A34">
        <w:rPr>
          <w:rFonts w:ascii="Garamond" w:hAnsi="Garamond" w:cs="Arial"/>
          <w:color w:val="auto"/>
          <w:sz w:val="24"/>
          <w:szCs w:val="24"/>
          <w:lang w:val="pt-PT"/>
        </w:rPr>
        <w:t xml:space="preserve"> de </w:t>
      </w:r>
      <w:r w:rsidRPr="00F45A34">
        <w:rPr>
          <w:rFonts w:ascii="Garamond" w:hAnsi="Garamond" w:cs="Arial"/>
          <w:color w:val="auto"/>
          <w:sz w:val="24"/>
          <w:szCs w:val="24"/>
          <w:lang w:val="pt-PT"/>
        </w:rPr>
        <w:t xml:space="preserve">provas para acreditar </w:t>
      </w:r>
      <w:r w:rsidR="009B7DC1" w:rsidRPr="00F45A34">
        <w:rPr>
          <w:rFonts w:ascii="Garamond" w:hAnsi="Garamond" w:cs="Arial"/>
          <w:color w:val="auto"/>
          <w:sz w:val="24"/>
          <w:szCs w:val="24"/>
          <w:lang w:val="pt-PT"/>
        </w:rPr>
        <w:t xml:space="preserve">os </w:t>
      </w:r>
      <w:r w:rsidR="001647F2" w:rsidRPr="00F45A34">
        <w:rPr>
          <w:rFonts w:ascii="Garamond" w:hAnsi="Garamond" w:cs="Arial"/>
          <w:color w:val="auto"/>
          <w:sz w:val="24"/>
          <w:szCs w:val="24"/>
          <w:lang w:val="pt-PT"/>
        </w:rPr>
        <w:t>facto</w:t>
      </w:r>
      <w:r w:rsidR="009B7DC1" w:rsidRPr="00F45A34">
        <w:rPr>
          <w:rFonts w:ascii="Garamond" w:hAnsi="Garamond" w:cs="Arial"/>
          <w:color w:val="auto"/>
          <w:sz w:val="24"/>
          <w:szCs w:val="24"/>
          <w:lang w:val="pt-PT"/>
        </w:rPr>
        <w:t xml:space="preserve">s de </w:t>
      </w:r>
      <w:r w:rsidR="000350B1" w:rsidRPr="00F45A34">
        <w:rPr>
          <w:rFonts w:ascii="Garamond" w:hAnsi="Garamond" w:cs="Arial"/>
          <w:color w:val="auto"/>
          <w:sz w:val="24"/>
          <w:szCs w:val="24"/>
          <w:lang w:val="pt-PT"/>
        </w:rPr>
        <w:t>violência</w:t>
      </w:r>
      <w:r w:rsidR="009B7DC1" w:rsidRPr="00F45A34">
        <w:rPr>
          <w:rFonts w:ascii="Garamond" w:hAnsi="Garamond" w:cs="Arial"/>
          <w:color w:val="auto"/>
          <w:sz w:val="24"/>
          <w:szCs w:val="24"/>
          <w:lang w:val="pt-PT"/>
        </w:rPr>
        <w:t>.</w:t>
      </w:r>
    </w:p>
    <w:p w:rsidR="009B7DC1" w:rsidRPr="00F45A34" w:rsidRDefault="002B6C5B" w:rsidP="008719D4">
      <w:pPr>
        <w:pStyle w:val="Predeterminado"/>
        <w:numPr>
          <w:ilvl w:val="0"/>
          <w:numId w:val="3"/>
        </w:numPr>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É </w:t>
      </w:r>
      <w:r w:rsidR="00DE5AF4" w:rsidRPr="00F45A34">
        <w:rPr>
          <w:rFonts w:ascii="Garamond" w:hAnsi="Garamond" w:cs="Arial"/>
          <w:color w:val="auto"/>
          <w:sz w:val="24"/>
          <w:szCs w:val="24"/>
          <w:lang w:val="pt-PT"/>
        </w:rPr>
        <w:t>possível</w:t>
      </w:r>
      <w:r w:rsidRPr="00F45A34">
        <w:rPr>
          <w:rFonts w:ascii="Garamond" w:hAnsi="Garamond" w:cs="Arial"/>
          <w:color w:val="auto"/>
          <w:sz w:val="24"/>
          <w:szCs w:val="24"/>
          <w:lang w:val="pt-PT"/>
        </w:rPr>
        <w:t xml:space="preserve"> </w:t>
      </w:r>
      <w:r w:rsidR="009B7DC1" w:rsidRPr="00F45A34">
        <w:rPr>
          <w:rFonts w:ascii="Garamond" w:hAnsi="Garamond" w:cs="Arial"/>
          <w:color w:val="auto"/>
          <w:sz w:val="24"/>
          <w:szCs w:val="24"/>
          <w:lang w:val="pt-PT"/>
        </w:rPr>
        <w:t xml:space="preserve">a </w:t>
      </w:r>
      <w:r w:rsidRPr="00F45A34">
        <w:rPr>
          <w:rFonts w:ascii="Garamond" w:hAnsi="Garamond" w:cs="Arial"/>
          <w:color w:val="auto"/>
          <w:sz w:val="24"/>
          <w:szCs w:val="24"/>
          <w:lang w:val="pt-PT"/>
        </w:rPr>
        <w:t>expedição</w:t>
      </w:r>
      <w:r w:rsidR="009B7DC1" w:rsidRPr="00F45A34">
        <w:rPr>
          <w:rFonts w:ascii="Garamond" w:hAnsi="Garamond" w:cs="Arial"/>
          <w:color w:val="auto"/>
          <w:sz w:val="24"/>
          <w:szCs w:val="24"/>
          <w:lang w:val="pt-PT"/>
        </w:rPr>
        <w:t xml:space="preserve"> de </w:t>
      </w:r>
      <w:r w:rsidR="002A59E7" w:rsidRPr="00F45A34">
        <w:rPr>
          <w:rFonts w:ascii="Garamond" w:hAnsi="Garamond" w:cs="Arial"/>
          <w:color w:val="auto"/>
          <w:sz w:val="24"/>
          <w:szCs w:val="24"/>
          <w:lang w:val="pt-PT"/>
        </w:rPr>
        <w:t>nova</w:t>
      </w:r>
      <w:r w:rsidR="009B7DC1" w:rsidRPr="00F45A34">
        <w:rPr>
          <w:rFonts w:ascii="Garamond" w:hAnsi="Garamond" w:cs="Arial"/>
          <w:color w:val="auto"/>
          <w:sz w:val="24"/>
          <w:szCs w:val="24"/>
          <w:lang w:val="pt-PT"/>
        </w:rPr>
        <w:t xml:space="preserve">s </w:t>
      </w:r>
      <w:r w:rsidR="00976FB8" w:rsidRPr="00F45A34">
        <w:rPr>
          <w:rFonts w:ascii="Garamond" w:hAnsi="Garamond" w:cs="Arial"/>
          <w:color w:val="auto"/>
          <w:sz w:val="24"/>
          <w:szCs w:val="24"/>
          <w:lang w:val="pt-PT"/>
        </w:rPr>
        <w:t>Ordens</w:t>
      </w:r>
      <w:r w:rsidR="009B7DC1" w:rsidRPr="00F45A34">
        <w:rPr>
          <w:rFonts w:ascii="Garamond" w:hAnsi="Garamond" w:cs="Arial"/>
          <w:color w:val="auto"/>
          <w:sz w:val="24"/>
          <w:szCs w:val="24"/>
          <w:lang w:val="pt-PT"/>
        </w:rPr>
        <w:t xml:space="preserve"> de </w:t>
      </w:r>
      <w:r w:rsidR="00886D6A" w:rsidRPr="00F45A34">
        <w:rPr>
          <w:rFonts w:ascii="Garamond" w:hAnsi="Garamond" w:cs="Arial"/>
          <w:color w:val="auto"/>
          <w:sz w:val="24"/>
          <w:szCs w:val="24"/>
          <w:lang w:val="pt-PT"/>
        </w:rPr>
        <w:t>Proteção</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até que cesse</w:t>
      </w:r>
      <w:r w:rsidR="00497874" w:rsidRPr="00F45A34">
        <w:rPr>
          <w:rFonts w:ascii="Garamond" w:hAnsi="Garamond" w:cs="Arial"/>
          <w:color w:val="auto"/>
          <w:sz w:val="24"/>
          <w:szCs w:val="24"/>
          <w:lang w:val="pt-PT"/>
        </w:rPr>
        <w:t>,</w:t>
      </w:r>
      <w:r w:rsidRPr="00F45A34">
        <w:rPr>
          <w:rFonts w:ascii="Garamond" w:hAnsi="Garamond" w:cs="Arial"/>
          <w:color w:val="auto"/>
          <w:sz w:val="24"/>
          <w:szCs w:val="24"/>
          <w:lang w:val="pt-PT"/>
        </w:rPr>
        <w:t xml:space="preserve"> </w:t>
      </w:r>
      <w:r w:rsidR="00497874" w:rsidRPr="00F45A34">
        <w:rPr>
          <w:rFonts w:ascii="Garamond" w:hAnsi="Garamond" w:cs="Arial"/>
          <w:color w:val="auto"/>
          <w:sz w:val="24"/>
          <w:szCs w:val="24"/>
          <w:lang w:val="pt-PT"/>
        </w:rPr>
        <w:t>de facto,</w:t>
      </w:r>
      <w:r w:rsidRPr="00F45A34">
        <w:rPr>
          <w:rFonts w:ascii="Garamond" w:hAnsi="Garamond" w:cs="Arial"/>
          <w:color w:val="auto"/>
          <w:sz w:val="24"/>
          <w:szCs w:val="24"/>
          <w:lang w:val="pt-PT"/>
        </w:rPr>
        <w:t xml:space="preserve"> </w:t>
      </w:r>
      <w:r w:rsidR="008A3DA2" w:rsidRPr="00F45A34">
        <w:rPr>
          <w:rFonts w:ascii="Garamond" w:hAnsi="Garamond" w:cs="Arial"/>
          <w:color w:val="auto"/>
          <w:sz w:val="24"/>
          <w:szCs w:val="24"/>
          <w:lang w:val="pt-PT"/>
        </w:rPr>
        <w:t>o</w:t>
      </w:r>
      <w:r w:rsidR="009B7DC1" w:rsidRPr="00F45A34">
        <w:rPr>
          <w:rFonts w:ascii="Garamond" w:hAnsi="Garamond" w:cs="Arial"/>
          <w:color w:val="auto"/>
          <w:sz w:val="24"/>
          <w:szCs w:val="24"/>
          <w:lang w:val="pt-PT"/>
        </w:rPr>
        <w:t xml:space="preserve"> </w:t>
      </w:r>
      <w:r w:rsidR="008651AF" w:rsidRPr="00F45A34">
        <w:rPr>
          <w:rFonts w:ascii="Garamond" w:hAnsi="Garamond" w:cs="Arial"/>
          <w:color w:val="auto"/>
          <w:sz w:val="24"/>
          <w:szCs w:val="24"/>
          <w:lang w:val="pt-PT"/>
        </w:rPr>
        <w:t>risco</w:t>
      </w:r>
      <w:r w:rsidR="009B7DC1" w:rsidRPr="00F45A34">
        <w:rPr>
          <w:rFonts w:ascii="Garamond" w:hAnsi="Garamond" w:cs="Arial"/>
          <w:color w:val="auto"/>
          <w:sz w:val="24"/>
          <w:szCs w:val="24"/>
          <w:lang w:val="pt-PT"/>
        </w:rPr>
        <w:t xml:space="preserve"> da </w:t>
      </w:r>
      <w:r w:rsidR="003F012B" w:rsidRPr="00F45A34">
        <w:rPr>
          <w:rFonts w:ascii="Garamond" w:hAnsi="Garamond" w:cs="Arial"/>
          <w:color w:val="auto"/>
          <w:sz w:val="24"/>
          <w:szCs w:val="24"/>
          <w:lang w:val="pt-PT"/>
        </w:rPr>
        <w:t>vítima</w:t>
      </w:r>
      <w:r w:rsidR="009B7DC1" w:rsidRPr="00F45A34">
        <w:rPr>
          <w:rStyle w:val="Refdenotaalpie"/>
          <w:rFonts w:ascii="Garamond" w:hAnsi="Garamond" w:cs="Arial"/>
          <w:color w:val="auto"/>
          <w:sz w:val="24"/>
          <w:szCs w:val="24"/>
        </w:rPr>
        <w:footnoteReference w:id="72"/>
      </w:r>
      <w:r w:rsidR="009B7DC1" w:rsidRPr="00F45A34">
        <w:rPr>
          <w:rFonts w:ascii="Garamond" w:hAnsi="Garamond" w:cs="Arial"/>
          <w:color w:val="auto"/>
          <w:sz w:val="24"/>
          <w:szCs w:val="24"/>
          <w:lang w:val="pt-PT"/>
        </w:rPr>
        <w:t>.</w:t>
      </w:r>
    </w:p>
    <w:p w:rsidR="009B7DC1" w:rsidRPr="003A1174" w:rsidRDefault="002B6C5B" w:rsidP="008719D4">
      <w:pPr>
        <w:pStyle w:val="Predeterminado"/>
        <w:numPr>
          <w:ilvl w:val="0"/>
          <w:numId w:val="3"/>
        </w:numPr>
        <w:spacing w:line="240" w:lineRule="auto"/>
        <w:jc w:val="both"/>
        <w:rPr>
          <w:rFonts w:ascii="Garamond" w:hAnsi="Garamond" w:cs="Arial"/>
          <w:color w:val="auto"/>
          <w:sz w:val="24"/>
          <w:szCs w:val="24"/>
          <w:lang w:val="pt-PT"/>
        </w:rPr>
      </w:pPr>
      <w:r w:rsidRPr="00F45A34">
        <w:rPr>
          <w:rFonts w:ascii="Garamond" w:hAnsi="Garamond" w:cs="Arial"/>
          <w:color w:val="auto"/>
          <w:sz w:val="24"/>
          <w:szCs w:val="24"/>
          <w:lang w:val="pt-PT"/>
        </w:rPr>
        <w:t xml:space="preserve">Relativamente à </w:t>
      </w:r>
      <w:r w:rsidR="002F62B0" w:rsidRPr="00F45A34">
        <w:rPr>
          <w:rFonts w:ascii="Garamond" w:hAnsi="Garamond" w:cs="Arial"/>
          <w:color w:val="auto"/>
          <w:sz w:val="24"/>
          <w:szCs w:val="24"/>
          <w:lang w:val="pt-PT"/>
        </w:rPr>
        <w:t>autoridade</w:t>
      </w:r>
      <w:r w:rsidR="009B7DC1" w:rsidRPr="00F45A34">
        <w:rPr>
          <w:rFonts w:ascii="Garamond" w:hAnsi="Garamond" w:cs="Arial"/>
          <w:color w:val="auto"/>
          <w:sz w:val="24"/>
          <w:szCs w:val="24"/>
          <w:lang w:val="pt-PT"/>
        </w:rPr>
        <w:t xml:space="preserve"> </w:t>
      </w:r>
      <w:r w:rsidR="001F2F8B" w:rsidRPr="00F45A34">
        <w:rPr>
          <w:rFonts w:ascii="Garamond" w:hAnsi="Garamond" w:cs="Arial"/>
          <w:color w:val="auto"/>
          <w:sz w:val="24"/>
          <w:szCs w:val="24"/>
          <w:lang w:val="pt-PT"/>
        </w:rPr>
        <w:t>jurisdicional</w:t>
      </w:r>
      <w:r w:rsidR="00F45A34">
        <w:rPr>
          <w:rFonts w:ascii="Garamond" w:hAnsi="Garamond" w:cs="Arial"/>
          <w:color w:val="auto"/>
          <w:sz w:val="24"/>
          <w:szCs w:val="24"/>
          <w:lang w:val="pt-PT"/>
        </w:rPr>
        <w:t>,</w:t>
      </w:r>
      <w:r w:rsidR="009B7DC1" w:rsidRPr="00F45A34">
        <w:rPr>
          <w:rFonts w:ascii="Garamond" w:hAnsi="Garamond" w:cs="Arial"/>
          <w:color w:val="auto"/>
          <w:sz w:val="24"/>
          <w:szCs w:val="24"/>
          <w:lang w:val="pt-PT"/>
        </w:rPr>
        <w:t xml:space="preserve"> prop</w:t>
      </w:r>
      <w:r w:rsidRPr="00F45A34">
        <w:rPr>
          <w:rFonts w:ascii="Garamond" w:hAnsi="Garamond" w:cs="Arial"/>
          <w:color w:val="auto"/>
          <w:sz w:val="24"/>
          <w:szCs w:val="24"/>
          <w:lang w:val="pt-PT"/>
        </w:rPr>
        <w:t>r</w:t>
      </w:r>
      <w:r w:rsidR="009B7DC1" w:rsidRPr="00F45A34">
        <w:rPr>
          <w:rFonts w:ascii="Garamond" w:hAnsi="Garamond" w:cs="Arial"/>
          <w:color w:val="auto"/>
          <w:sz w:val="24"/>
          <w:szCs w:val="24"/>
          <w:lang w:val="pt-PT"/>
        </w:rPr>
        <w:t>iamente di</w:t>
      </w:r>
      <w:r w:rsidRPr="00F45A34">
        <w:rPr>
          <w:rFonts w:ascii="Garamond" w:hAnsi="Garamond" w:cs="Arial"/>
          <w:color w:val="auto"/>
          <w:sz w:val="24"/>
          <w:szCs w:val="24"/>
          <w:lang w:val="pt-PT"/>
        </w:rPr>
        <w:t>t</w:t>
      </w:r>
      <w:r w:rsidR="009B7DC1" w:rsidRPr="00F45A34">
        <w:rPr>
          <w:rFonts w:ascii="Garamond" w:hAnsi="Garamond" w:cs="Arial"/>
          <w:color w:val="auto"/>
          <w:sz w:val="24"/>
          <w:szCs w:val="24"/>
          <w:lang w:val="pt-PT"/>
        </w:rPr>
        <w:t>a, pod</w:t>
      </w:r>
      <w:r w:rsidRPr="00F45A34">
        <w:rPr>
          <w:rFonts w:ascii="Garamond" w:hAnsi="Garamond" w:cs="Arial"/>
          <w:color w:val="auto"/>
          <w:sz w:val="24"/>
          <w:szCs w:val="24"/>
          <w:lang w:val="pt-PT"/>
        </w:rPr>
        <w:t>e</w:t>
      </w:r>
      <w:r w:rsidR="009B7DC1" w:rsidRPr="00F45A34">
        <w:rPr>
          <w:rFonts w:ascii="Garamond" w:hAnsi="Garamond" w:cs="Arial"/>
          <w:color w:val="auto"/>
          <w:sz w:val="24"/>
          <w:szCs w:val="24"/>
          <w:lang w:val="pt-PT"/>
        </w:rPr>
        <w:t>rá dispor</w:t>
      </w:r>
      <w:r w:rsidRPr="00F45A34">
        <w:rPr>
          <w:rFonts w:ascii="Garamond" w:hAnsi="Garamond" w:cs="Arial"/>
          <w:color w:val="auto"/>
          <w:sz w:val="24"/>
          <w:szCs w:val="24"/>
          <w:lang w:val="pt-PT"/>
        </w:rPr>
        <w:t xml:space="preserve"> de</w:t>
      </w:r>
      <w:r w:rsidR="009B7DC1" w:rsidRPr="00F45A34">
        <w:rPr>
          <w:rFonts w:ascii="Garamond" w:hAnsi="Garamond" w:cs="Arial"/>
          <w:color w:val="auto"/>
          <w:sz w:val="24"/>
          <w:szCs w:val="24"/>
          <w:lang w:val="pt-PT"/>
        </w:rPr>
        <w:t xml:space="preserve"> </w:t>
      </w:r>
      <w:r w:rsidR="00976FB8" w:rsidRPr="00F45A34">
        <w:rPr>
          <w:rFonts w:ascii="Garamond" w:hAnsi="Garamond" w:cs="Arial"/>
          <w:color w:val="auto"/>
          <w:sz w:val="24"/>
          <w:szCs w:val="24"/>
          <w:lang w:val="pt-PT"/>
        </w:rPr>
        <w:t>Ordens</w:t>
      </w:r>
      <w:r w:rsidR="009B7DC1" w:rsidRPr="00F45A34">
        <w:rPr>
          <w:rFonts w:ascii="Garamond" w:hAnsi="Garamond" w:cs="Arial"/>
          <w:color w:val="auto"/>
          <w:sz w:val="24"/>
          <w:szCs w:val="24"/>
          <w:lang w:val="pt-PT"/>
        </w:rPr>
        <w:t xml:space="preserve"> de </w:t>
      </w:r>
      <w:r w:rsidR="00886D6A" w:rsidRPr="00F45A34">
        <w:rPr>
          <w:rFonts w:ascii="Garamond" w:hAnsi="Garamond" w:cs="Arial"/>
          <w:color w:val="auto"/>
          <w:sz w:val="24"/>
          <w:szCs w:val="24"/>
          <w:lang w:val="pt-PT"/>
        </w:rPr>
        <w:t>Proteção</w:t>
      </w:r>
      <w:r w:rsidR="009B7DC1" w:rsidRPr="00F45A34">
        <w:rPr>
          <w:rFonts w:ascii="Garamond" w:hAnsi="Garamond" w:cs="Arial"/>
          <w:color w:val="auto"/>
          <w:sz w:val="24"/>
          <w:szCs w:val="24"/>
          <w:lang w:val="pt-PT"/>
        </w:rPr>
        <w:t xml:space="preserve"> </w:t>
      </w:r>
      <w:r w:rsidRPr="00F45A34">
        <w:rPr>
          <w:rFonts w:ascii="Garamond" w:hAnsi="Garamond" w:cs="Arial"/>
          <w:color w:val="auto"/>
          <w:sz w:val="24"/>
          <w:szCs w:val="24"/>
          <w:lang w:val="pt-PT"/>
        </w:rPr>
        <w:t xml:space="preserve">quando na </w:t>
      </w:r>
      <w:r w:rsidR="00C30647" w:rsidRPr="00F45A34">
        <w:rPr>
          <w:rFonts w:ascii="Garamond" w:hAnsi="Garamond" w:cs="Arial"/>
          <w:color w:val="auto"/>
          <w:sz w:val="24"/>
          <w:szCs w:val="24"/>
          <w:lang w:val="pt-PT"/>
        </w:rPr>
        <w:t>declaração</w:t>
      </w:r>
      <w:r w:rsidR="009B7DC1" w:rsidRPr="00F45A34">
        <w:rPr>
          <w:rFonts w:ascii="Garamond" w:hAnsi="Garamond" w:cs="Arial"/>
          <w:color w:val="auto"/>
          <w:sz w:val="24"/>
          <w:szCs w:val="24"/>
          <w:lang w:val="pt-PT"/>
        </w:rPr>
        <w:t xml:space="preserve"> o</w:t>
      </w:r>
      <w:r w:rsidRPr="00F45A34">
        <w:rPr>
          <w:rFonts w:ascii="Garamond" w:hAnsi="Garamond" w:cs="Arial"/>
          <w:color w:val="auto"/>
          <w:sz w:val="24"/>
          <w:szCs w:val="24"/>
          <w:lang w:val="pt-PT"/>
        </w:rPr>
        <w:t>u na</w:t>
      </w:r>
      <w:r w:rsidR="009B7DC1" w:rsidRPr="00F45A34">
        <w:rPr>
          <w:rFonts w:ascii="Garamond" w:hAnsi="Garamond" w:cs="Arial"/>
          <w:color w:val="auto"/>
          <w:sz w:val="24"/>
          <w:szCs w:val="24"/>
          <w:lang w:val="pt-PT"/>
        </w:rPr>
        <w:t xml:space="preserve"> entrevista co</w:t>
      </w:r>
      <w:r w:rsidRPr="00F45A34">
        <w:rPr>
          <w:rFonts w:ascii="Garamond" w:hAnsi="Garamond" w:cs="Arial"/>
          <w:color w:val="auto"/>
          <w:sz w:val="24"/>
          <w:szCs w:val="24"/>
          <w:lang w:val="pt-PT"/>
        </w:rPr>
        <w:t xml:space="preserve">m </w:t>
      </w:r>
      <w:r w:rsidR="009B7DC1" w:rsidRPr="00F45A34">
        <w:rPr>
          <w:rFonts w:ascii="Garamond" w:hAnsi="Garamond" w:cs="Arial"/>
          <w:color w:val="auto"/>
          <w:sz w:val="24"/>
          <w:szCs w:val="24"/>
          <w:lang w:val="pt-PT"/>
        </w:rPr>
        <w:t xml:space="preserve">a </w:t>
      </w:r>
      <w:r w:rsidR="003F012B" w:rsidRPr="00F45A34">
        <w:rPr>
          <w:rFonts w:ascii="Garamond" w:hAnsi="Garamond" w:cs="Arial"/>
          <w:color w:val="auto"/>
          <w:sz w:val="24"/>
          <w:szCs w:val="24"/>
          <w:lang w:val="pt-PT"/>
        </w:rPr>
        <w:t>vítima</w:t>
      </w:r>
      <w:r w:rsidR="009B7DC1" w:rsidRPr="00F45A34">
        <w:rPr>
          <w:rFonts w:ascii="Garamond" w:hAnsi="Garamond" w:cs="Arial"/>
          <w:color w:val="auto"/>
          <w:sz w:val="24"/>
          <w:szCs w:val="24"/>
          <w:lang w:val="pt-PT"/>
        </w:rPr>
        <w:t xml:space="preserve"> o</w:t>
      </w:r>
      <w:r w:rsidRPr="00F45A34">
        <w:rPr>
          <w:rFonts w:ascii="Garamond" w:hAnsi="Garamond" w:cs="Arial"/>
          <w:color w:val="auto"/>
          <w:sz w:val="24"/>
          <w:szCs w:val="24"/>
          <w:lang w:val="pt-PT"/>
        </w:rPr>
        <w:t>u</w:t>
      </w:r>
      <w:r w:rsidR="009B7DC1" w:rsidRPr="00F45A34">
        <w:rPr>
          <w:rFonts w:ascii="Garamond" w:hAnsi="Garamond" w:cs="Arial"/>
          <w:color w:val="auto"/>
          <w:sz w:val="24"/>
          <w:szCs w:val="24"/>
          <w:lang w:val="pt-PT"/>
        </w:rPr>
        <w:t xml:space="preserve"> </w:t>
      </w:r>
      <w:r w:rsidR="00497874" w:rsidRPr="00F45A34">
        <w:rPr>
          <w:rFonts w:ascii="Garamond" w:hAnsi="Garamond" w:cs="Arial"/>
          <w:color w:val="auto"/>
          <w:sz w:val="24"/>
          <w:szCs w:val="24"/>
          <w:lang w:val="pt-PT"/>
        </w:rPr>
        <w:t>solicitador</w:t>
      </w:r>
      <w:r w:rsidR="009B7DC1" w:rsidRPr="003A1174">
        <w:rPr>
          <w:rFonts w:ascii="Garamond" w:hAnsi="Garamond" w:cs="Arial"/>
          <w:color w:val="auto"/>
          <w:sz w:val="24"/>
          <w:szCs w:val="24"/>
          <w:lang w:val="pt-PT"/>
        </w:rPr>
        <w:t xml:space="preserve"> se </w:t>
      </w:r>
      <w:r w:rsidR="00BA3CCE" w:rsidRPr="003A1174">
        <w:rPr>
          <w:rFonts w:ascii="Garamond" w:hAnsi="Garamond" w:cs="Arial"/>
          <w:color w:val="auto"/>
          <w:sz w:val="24"/>
          <w:szCs w:val="24"/>
          <w:lang w:val="pt-PT"/>
        </w:rPr>
        <w:t>depreender</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a </w:t>
      </w:r>
      <w:r w:rsidR="007578C6" w:rsidRPr="003A1174">
        <w:rPr>
          <w:rFonts w:ascii="Garamond" w:hAnsi="Garamond" w:cs="Arial"/>
          <w:color w:val="auto"/>
          <w:sz w:val="24"/>
          <w:szCs w:val="24"/>
          <w:lang w:val="pt-PT"/>
        </w:rPr>
        <w:t>existência</w:t>
      </w:r>
      <w:r w:rsidR="009B7DC1" w:rsidRPr="003A1174">
        <w:rPr>
          <w:rFonts w:ascii="Garamond" w:hAnsi="Garamond" w:cs="Arial"/>
          <w:color w:val="auto"/>
          <w:sz w:val="24"/>
          <w:szCs w:val="24"/>
          <w:lang w:val="pt-PT"/>
        </w:rPr>
        <w:t xml:space="preserve"> de algu</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seguintes</w:t>
      </w:r>
      <w:r w:rsidR="009B7DC1" w:rsidRPr="003A1174">
        <w:rPr>
          <w:rFonts w:ascii="Garamond" w:hAnsi="Garamond" w:cs="Arial"/>
          <w:color w:val="auto"/>
          <w:sz w:val="24"/>
          <w:szCs w:val="24"/>
          <w:lang w:val="pt-PT"/>
        </w:rPr>
        <w:t xml:space="preserve"> </w:t>
      </w:r>
      <w:r w:rsidR="00497874">
        <w:rPr>
          <w:rFonts w:ascii="Garamond" w:hAnsi="Garamond" w:cs="Arial"/>
          <w:color w:val="auto"/>
          <w:sz w:val="24"/>
          <w:szCs w:val="24"/>
          <w:lang w:val="pt-PT"/>
        </w:rPr>
        <w:t>pres</w:t>
      </w:r>
      <w:r w:rsidR="009B7DC1" w:rsidRPr="003A1174">
        <w:rPr>
          <w:rFonts w:ascii="Garamond" w:hAnsi="Garamond" w:cs="Arial"/>
          <w:color w:val="auto"/>
          <w:sz w:val="24"/>
          <w:szCs w:val="24"/>
          <w:lang w:val="pt-PT"/>
        </w:rPr>
        <w:t>sup</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stos: </w:t>
      </w:r>
    </w:p>
    <w:p w:rsidR="009B7DC1" w:rsidRPr="003A1174" w:rsidRDefault="002B6C5B" w:rsidP="008719D4">
      <w:pPr>
        <w:spacing w:after="0" w:line="240" w:lineRule="auto"/>
        <w:ind w:left="1416"/>
        <w:jc w:val="both"/>
        <w:rPr>
          <w:rFonts w:ascii="Garamond" w:hAnsi="Garamond" w:cs="Arial"/>
          <w:sz w:val="24"/>
          <w:szCs w:val="24"/>
        </w:rPr>
      </w:pPr>
      <w:r w:rsidRPr="003A1174">
        <w:rPr>
          <w:rFonts w:ascii="Garamond" w:hAnsi="Garamond" w:cs="Arial"/>
          <w:sz w:val="24"/>
          <w:szCs w:val="24"/>
        </w:rPr>
        <w:t>a) Ataques pré</w:t>
      </w:r>
      <w:r w:rsidR="009B7DC1" w:rsidRPr="003A1174">
        <w:rPr>
          <w:rFonts w:ascii="Garamond" w:hAnsi="Garamond" w:cs="Arial"/>
          <w:sz w:val="24"/>
          <w:szCs w:val="24"/>
        </w:rPr>
        <w:t>vios co</w:t>
      </w:r>
      <w:r w:rsidRPr="003A1174">
        <w:rPr>
          <w:rFonts w:ascii="Garamond" w:hAnsi="Garamond" w:cs="Arial"/>
          <w:sz w:val="24"/>
          <w:szCs w:val="24"/>
        </w:rPr>
        <w:t>m</w:t>
      </w:r>
      <w:r w:rsidR="009B7DC1" w:rsidRPr="003A1174">
        <w:rPr>
          <w:rFonts w:ascii="Garamond" w:hAnsi="Garamond" w:cs="Arial"/>
          <w:sz w:val="24"/>
          <w:szCs w:val="24"/>
        </w:rPr>
        <w:t xml:space="preserve"> </w:t>
      </w:r>
      <w:r w:rsidR="008651AF" w:rsidRPr="003A1174">
        <w:rPr>
          <w:rFonts w:ascii="Garamond" w:hAnsi="Garamond" w:cs="Arial"/>
          <w:sz w:val="24"/>
          <w:szCs w:val="24"/>
        </w:rPr>
        <w:t>risco</w:t>
      </w:r>
      <w:r w:rsidR="009B7DC1" w:rsidRPr="003A1174">
        <w:rPr>
          <w:rFonts w:ascii="Garamond" w:hAnsi="Garamond" w:cs="Arial"/>
          <w:sz w:val="24"/>
          <w:szCs w:val="24"/>
        </w:rPr>
        <w:t xml:space="preserve"> mortal, </w:t>
      </w:r>
      <w:r w:rsidR="001B02AD" w:rsidRPr="003A1174">
        <w:rPr>
          <w:rFonts w:ascii="Garamond" w:hAnsi="Garamond" w:cs="Arial"/>
          <w:sz w:val="24"/>
          <w:szCs w:val="24"/>
        </w:rPr>
        <w:t>ameaça</w:t>
      </w:r>
      <w:r w:rsidR="009B7DC1" w:rsidRPr="003A1174">
        <w:rPr>
          <w:rFonts w:ascii="Garamond" w:hAnsi="Garamond" w:cs="Arial"/>
          <w:sz w:val="24"/>
          <w:szCs w:val="24"/>
        </w:rPr>
        <w:t xml:space="preserve">s de </w:t>
      </w:r>
      <w:r w:rsidR="007C63D0" w:rsidRPr="003A1174">
        <w:rPr>
          <w:rFonts w:ascii="Garamond" w:hAnsi="Garamond" w:cs="Arial"/>
          <w:sz w:val="24"/>
          <w:szCs w:val="24"/>
        </w:rPr>
        <w:t>morte</w:t>
      </w:r>
      <w:r w:rsidR="009B7DC1" w:rsidRPr="003A1174">
        <w:rPr>
          <w:rFonts w:ascii="Garamond" w:hAnsi="Garamond" w:cs="Arial"/>
          <w:sz w:val="24"/>
          <w:szCs w:val="24"/>
        </w:rPr>
        <w:t xml:space="preserve"> o</w:t>
      </w:r>
      <w:r w:rsidRPr="003A1174">
        <w:rPr>
          <w:rFonts w:ascii="Garamond" w:hAnsi="Garamond" w:cs="Arial"/>
          <w:sz w:val="24"/>
          <w:szCs w:val="24"/>
        </w:rPr>
        <w:t xml:space="preserve">u o </w:t>
      </w:r>
      <w:r w:rsidR="009B7DC1" w:rsidRPr="003A1174">
        <w:rPr>
          <w:rFonts w:ascii="Garamond" w:hAnsi="Garamond" w:cs="Arial"/>
          <w:sz w:val="24"/>
          <w:szCs w:val="24"/>
        </w:rPr>
        <w:t xml:space="preserve">temor da </w:t>
      </w:r>
      <w:r w:rsidR="003F012B" w:rsidRPr="003A1174">
        <w:rPr>
          <w:rFonts w:ascii="Garamond" w:hAnsi="Garamond" w:cs="Arial"/>
          <w:sz w:val="24"/>
          <w:szCs w:val="24"/>
        </w:rPr>
        <w:t>vítima</w:t>
      </w:r>
      <w:r w:rsidR="009B7DC1" w:rsidRPr="003A1174">
        <w:rPr>
          <w:rFonts w:ascii="Garamond" w:hAnsi="Garamond" w:cs="Arial"/>
          <w:sz w:val="24"/>
          <w:szCs w:val="24"/>
        </w:rPr>
        <w:t xml:space="preserve"> </w:t>
      </w:r>
      <w:r w:rsidR="00497874">
        <w:rPr>
          <w:rFonts w:ascii="Garamond" w:hAnsi="Garamond" w:cs="Arial"/>
          <w:sz w:val="24"/>
          <w:szCs w:val="24"/>
        </w:rPr>
        <w:t>de ser morta pelo agressor.</w:t>
      </w:r>
      <w:r w:rsidR="009B7DC1" w:rsidRPr="003A1174">
        <w:rPr>
          <w:rFonts w:ascii="Garamond" w:hAnsi="Garamond" w:cs="Arial"/>
          <w:sz w:val="24"/>
          <w:szCs w:val="24"/>
        </w:rPr>
        <w:t xml:space="preserve"> </w:t>
      </w:r>
    </w:p>
    <w:p w:rsidR="009B7DC1" w:rsidRPr="003A1174" w:rsidRDefault="006D4D0B" w:rsidP="008719D4">
      <w:pPr>
        <w:spacing w:after="0" w:line="240" w:lineRule="auto"/>
        <w:ind w:left="1416"/>
        <w:jc w:val="both"/>
        <w:rPr>
          <w:rFonts w:ascii="Garamond" w:hAnsi="Garamond" w:cs="Arial"/>
          <w:sz w:val="24"/>
          <w:szCs w:val="24"/>
        </w:rPr>
      </w:pPr>
      <w:r w:rsidRPr="003A1174">
        <w:rPr>
          <w:rFonts w:ascii="Garamond" w:hAnsi="Garamond" w:cs="Arial"/>
          <w:sz w:val="24"/>
          <w:szCs w:val="24"/>
        </w:rPr>
        <w:t xml:space="preserve">b) Que </w:t>
      </w:r>
      <w:r w:rsidR="009B7DC1" w:rsidRPr="003A1174">
        <w:rPr>
          <w:rFonts w:ascii="Garamond" w:hAnsi="Garamond" w:cs="Arial"/>
          <w:sz w:val="24"/>
          <w:szCs w:val="24"/>
        </w:rPr>
        <w:t xml:space="preserve">a </w:t>
      </w:r>
      <w:r w:rsidR="003F012B" w:rsidRPr="003A1174">
        <w:rPr>
          <w:rFonts w:ascii="Garamond" w:hAnsi="Garamond" w:cs="Arial"/>
          <w:sz w:val="24"/>
          <w:szCs w:val="24"/>
        </w:rPr>
        <w:t>vítima</w:t>
      </w:r>
      <w:r w:rsidR="009B7DC1" w:rsidRPr="003A1174">
        <w:rPr>
          <w:rFonts w:ascii="Garamond" w:hAnsi="Garamond" w:cs="Arial"/>
          <w:sz w:val="24"/>
          <w:szCs w:val="24"/>
        </w:rPr>
        <w:t xml:space="preserve"> se </w:t>
      </w:r>
      <w:r w:rsidRPr="003A1174">
        <w:rPr>
          <w:rFonts w:ascii="Garamond" w:hAnsi="Garamond" w:cs="Arial"/>
          <w:sz w:val="24"/>
          <w:szCs w:val="24"/>
        </w:rPr>
        <w:t>encontre</w:t>
      </w:r>
      <w:r w:rsidR="009B7DC1" w:rsidRPr="003A1174">
        <w:rPr>
          <w:rFonts w:ascii="Garamond" w:hAnsi="Garamond" w:cs="Arial"/>
          <w:sz w:val="24"/>
          <w:szCs w:val="24"/>
        </w:rPr>
        <w:t xml:space="preserve"> e</w:t>
      </w:r>
      <w:r w:rsidRPr="003A1174">
        <w:rPr>
          <w:rFonts w:ascii="Garamond" w:hAnsi="Garamond" w:cs="Arial"/>
          <w:sz w:val="24"/>
          <w:szCs w:val="24"/>
        </w:rPr>
        <w:t>m</w:t>
      </w:r>
      <w:r w:rsidR="009B7DC1" w:rsidRPr="003A1174">
        <w:rPr>
          <w:rFonts w:ascii="Garamond" w:hAnsi="Garamond" w:cs="Arial"/>
          <w:sz w:val="24"/>
          <w:szCs w:val="24"/>
        </w:rPr>
        <w:t xml:space="preserve"> </w:t>
      </w:r>
      <w:r w:rsidRPr="003A1174">
        <w:rPr>
          <w:rFonts w:ascii="Garamond" w:hAnsi="Garamond" w:cs="Arial"/>
          <w:sz w:val="24"/>
          <w:szCs w:val="24"/>
        </w:rPr>
        <w:t xml:space="preserve">situação de </w:t>
      </w:r>
      <w:r w:rsidR="00F6477C">
        <w:rPr>
          <w:rFonts w:ascii="Garamond" w:hAnsi="Garamond" w:cs="Arial"/>
          <w:sz w:val="24"/>
          <w:szCs w:val="24"/>
        </w:rPr>
        <w:t xml:space="preserve">sequestro </w:t>
      </w:r>
      <w:r w:rsidR="009B7DC1" w:rsidRPr="003A1174">
        <w:rPr>
          <w:rFonts w:ascii="Garamond" w:hAnsi="Garamond" w:cs="Arial"/>
          <w:sz w:val="24"/>
          <w:szCs w:val="24"/>
        </w:rPr>
        <w:t>o</w:t>
      </w:r>
      <w:r w:rsidRPr="003A1174">
        <w:rPr>
          <w:rFonts w:ascii="Garamond" w:hAnsi="Garamond" w:cs="Arial"/>
          <w:sz w:val="24"/>
          <w:szCs w:val="24"/>
        </w:rPr>
        <w:t>u</w:t>
      </w:r>
      <w:r w:rsidR="009B7DC1" w:rsidRPr="003A1174">
        <w:rPr>
          <w:rFonts w:ascii="Garamond" w:hAnsi="Garamond" w:cs="Arial"/>
          <w:sz w:val="24"/>
          <w:szCs w:val="24"/>
        </w:rPr>
        <w:t xml:space="preserve"> </w:t>
      </w:r>
      <w:r w:rsidR="00497874">
        <w:rPr>
          <w:rFonts w:ascii="Garamond" w:hAnsi="Garamond" w:cs="Arial"/>
          <w:sz w:val="24"/>
          <w:szCs w:val="24"/>
        </w:rPr>
        <w:t xml:space="preserve">de </w:t>
      </w:r>
      <w:r w:rsidRPr="003A1174">
        <w:rPr>
          <w:rFonts w:ascii="Garamond" w:hAnsi="Garamond" w:cs="Arial"/>
          <w:sz w:val="24"/>
          <w:szCs w:val="24"/>
        </w:rPr>
        <w:t>isolamento</w:t>
      </w:r>
      <w:r w:rsidR="00497874">
        <w:rPr>
          <w:rFonts w:ascii="Garamond" w:hAnsi="Garamond" w:cs="Arial"/>
          <w:sz w:val="24"/>
          <w:szCs w:val="24"/>
        </w:rPr>
        <w:t>, por iniciativa do</w:t>
      </w:r>
      <w:r w:rsidR="009B7DC1" w:rsidRPr="003A1174">
        <w:rPr>
          <w:rFonts w:ascii="Garamond" w:hAnsi="Garamond" w:cs="Arial"/>
          <w:sz w:val="24"/>
          <w:szCs w:val="24"/>
        </w:rPr>
        <w:t xml:space="preserve"> </w:t>
      </w:r>
      <w:r w:rsidR="002D1021" w:rsidRPr="003A1174">
        <w:rPr>
          <w:rFonts w:ascii="Garamond" w:hAnsi="Garamond" w:cs="Arial"/>
          <w:sz w:val="24"/>
          <w:szCs w:val="24"/>
        </w:rPr>
        <w:t>agressor</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contra </w:t>
      </w:r>
      <w:r w:rsidRPr="003A1174">
        <w:rPr>
          <w:rFonts w:ascii="Garamond" w:hAnsi="Garamond" w:cs="Arial"/>
          <w:sz w:val="24"/>
          <w:szCs w:val="24"/>
        </w:rPr>
        <w:t xml:space="preserve">a </w:t>
      </w:r>
      <w:r w:rsidR="009B7DC1" w:rsidRPr="003A1174">
        <w:rPr>
          <w:rFonts w:ascii="Garamond" w:hAnsi="Garamond" w:cs="Arial"/>
          <w:sz w:val="24"/>
          <w:szCs w:val="24"/>
        </w:rPr>
        <w:t>su</w:t>
      </w:r>
      <w:r w:rsidRPr="003A1174">
        <w:rPr>
          <w:rFonts w:ascii="Garamond" w:hAnsi="Garamond" w:cs="Arial"/>
          <w:sz w:val="24"/>
          <w:szCs w:val="24"/>
        </w:rPr>
        <w:t>a</w:t>
      </w:r>
      <w:r w:rsidR="009B7DC1" w:rsidRPr="003A1174">
        <w:rPr>
          <w:rFonts w:ascii="Garamond" w:hAnsi="Garamond" w:cs="Arial"/>
          <w:sz w:val="24"/>
          <w:szCs w:val="24"/>
        </w:rPr>
        <w:t xml:space="preserve"> </w:t>
      </w:r>
      <w:r w:rsidR="002A59E7" w:rsidRPr="003A1174">
        <w:rPr>
          <w:rFonts w:ascii="Garamond" w:hAnsi="Garamond" w:cs="Arial"/>
          <w:sz w:val="24"/>
          <w:szCs w:val="24"/>
        </w:rPr>
        <w:t>vontade</w:t>
      </w:r>
      <w:r w:rsidR="00F6477C">
        <w:rPr>
          <w:rFonts w:ascii="Garamond" w:hAnsi="Garamond" w:cs="Arial"/>
          <w:sz w:val="24"/>
          <w:szCs w:val="24"/>
        </w:rPr>
        <w:t>.</w:t>
      </w:r>
    </w:p>
    <w:p w:rsidR="009B7DC1" w:rsidRPr="003A1174" w:rsidRDefault="006D4D0B" w:rsidP="008719D4">
      <w:pPr>
        <w:spacing w:after="0" w:line="240" w:lineRule="auto"/>
        <w:ind w:left="1134" w:firstLine="282"/>
        <w:jc w:val="both"/>
        <w:rPr>
          <w:rFonts w:ascii="Garamond" w:hAnsi="Garamond" w:cs="Arial"/>
          <w:sz w:val="24"/>
          <w:szCs w:val="24"/>
        </w:rPr>
      </w:pPr>
      <w:r w:rsidRPr="003A1174">
        <w:rPr>
          <w:rFonts w:ascii="Garamond" w:hAnsi="Garamond" w:cs="Arial"/>
          <w:sz w:val="24"/>
          <w:szCs w:val="24"/>
        </w:rPr>
        <w:t>c) Aumento d</w:t>
      </w:r>
      <w:r w:rsidR="009B7DC1" w:rsidRPr="003A1174">
        <w:rPr>
          <w:rFonts w:ascii="Garamond" w:hAnsi="Garamond" w:cs="Arial"/>
          <w:sz w:val="24"/>
          <w:szCs w:val="24"/>
        </w:rPr>
        <w:t xml:space="preserve">a </w:t>
      </w:r>
      <w:r w:rsidR="00190B59" w:rsidRPr="003A1174">
        <w:rPr>
          <w:rFonts w:ascii="Garamond" w:hAnsi="Garamond" w:cs="Arial"/>
          <w:sz w:val="24"/>
          <w:szCs w:val="24"/>
        </w:rPr>
        <w:t>frequência</w:t>
      </w:r>
      <w:r w:rsidR="009B7DC1" w:rsidRPr="003A1174">
        <w:rPr>
          <w:rFonts w:ascii="Garamond" w:hAnsi="Garamond" w:cs="Arial"/>
          <w:sz w:val="24"/>
          <w:szCs w:val="24"/>
        </w:rPr>
        <w:t xml:space="preserve"> o</w:t>
      </w:r>
      <w:r w:rsidRPr="003A1174">
        <w:rPr>
          <w:rFonts w:ascii="Garamond" w:hAnsi="Garamond" w:cs="Arial"/>
          <w:sz w:val="24"/>
          <w:szCs w:val="24"/>
        </w:rPr>
        <w:t>u gravi</w:t>
      </w:r>
      <w:r w:rsidR="009B7DC1" w:rsidRPr="003A1174">
        <w:rPr>
          <w:rFonts w:ascii="Garamond" w:hAnsi="Garamond" w:cs="Arial"/>
          <w:sz w:val="24"/>
          <w:szCs w:val="24"/>
        </w:rPr>
        <w:t>dad</w:t>
      </w:r>
      <w:r w:rsidRPr="003A1174">
        <w:rPr>
          <w:rFonts w:ascii="Garamond" w:hAnsi="Garamond" w:cs="Arial"/>
          <w:sz w:val="24"/>
          <w:szCs w:val="24"/>
        </w:rPr>
        <w:t>e</w:t>
      </w:r>
      <w:r w:rsidR="009B7DC1" w:rsidRPr="003A1174">
        <w:rPr>
          <w:rFonts w:ascii="Garamond" w:hAnsi="Garamond" w:cs="Arial"/>
          <w:sz w:val="24"/>
          <w:szCs w:val="24"/>
        </w:rPr>
        <w:t xml:space="preserve"> da </w:t>
      </w:r>
      <w:r w:rsidR="000350B1" w:rsidRPr="003A1174">
        <w:rPr>
          <w:rFonts w:ascii="Garamond" w:hAnsi="Garamond" w:cs="Arial"/>
          <w:sz w:val="24"/>
          <w:szCs w:val="24"/>
        </w:rPr>
        <w:t>violência</w:t>
      </w:r>
      <w:r w:rsidR="009B7DC1" w:rsidRPr="003A1174">
        <w:rPr>
          <w:rFonts w:ascii="Garamond" w:hAnsi="Garamond" w:cs="Arial"/>
          <w:sz w:val="24"/>
          <w:szCs w:val="24"/>
        </w:rPr>
        <w:t xml:space="preserve">. </w:t>
      </w:r>
    </w:p>
    <w:p w:rsidR="009B7DC1" w:rsidRPr="003A1174" w:rsidRDefault="006D4D0B" w:rsidP="008719D4">
      <w:pPr>
        <w:spacing w:after="0" w:line="240" w:lineRule="auto"/>
        <w:ind w:left="1416"/>
        <w:jc w:val="both"/>
        <w:rPr>
          <w:rFonts w:ascii="Garamond" w:hAnsi="Garamond" w:cs="Arial"/>
          <w:sz w:val="24"/>
          <w:szCs w:val="24"/>
        </w:rPr>
      </w:pPr>
      <w:r w:rsidRPr="003A1174">
        <w:rPr>
          <w:rFonts w:ascii="Garamond" w:hAnsi="Garamond" w:cs="Arial"/>
          <w:sz w:val="24"/>
          <w:szCs w:val="24"/>
        </w:rPr>
        <w:t xml:space="preserve">d) Que </w:t>
      </w:r>
      <w:r w:rsidR="009B7DC1" w:rsidRPr="003A1174">
        <w:rPr>
          <w:rFonts w:ascii="Garamond" w:hAnsi="Garamond" w:cs="Arial"/>
          <w:sz w:val="24"/>
          <w:szCs w:val="24"/>
        </w:rPr>
        <w:t xml:space="preserve">a </w:t>
      </w:r>
      <w:r w:rsidR="003F012B" w:rsidRPr="003A1174">
        <w:rPr>
          <w:rFonts w:ascii="Garamond" w:hAnsi="Garamond" w:cs="Arial"/>
          <w:sz w:val="24"/>
          <w:szCs w:val="24"/>
        </w:rPr>
        <w:t>vítima</w:t>
      </w:r>
      <w:r w:rsidR="009B7DC1" w:rsidRPr="003A1174">
        <w:rPr>
          <w:rFonts w:ascii="Garamond" w:hAnsi="Garamond" w:cs="Arial"/>
          <w:sz w:val="24"/>
          <w:szCs w:val="24"/>
        </w:rPr>
        <w:t xml:space="preserve">, </w:t>
      </w:r>
      <w:r w:rsidRPr="003A1174">
        <w:rPr>
          <w:rFonts w:ascii="Garamond" w:hAnsi="Garamond" w:cs="Arial"/>
          <w:sz w:val="24"/>
          <w:szCs w:val="24"/>
        </w:rPr>
        <w:t xml:space="preserve">em </w:t>
      </w:r>
      <w:r w:rsidR="009B7DC1" w:rsidRPr="003A1174">
        <w:rPr>
          <w:rFonts w:ascii="Garamond" w:hAnsi="Garamond" w:cs="Arial"/>
          <w:sz w:val="24"/>
          <w:szCs w:val="24"/>
        </w:rPr>
        <w:t>con</w:t>
      </w:r>
      <w:r w:rsidR="00661ADB" w:rsidRPr="003A1174">
        <w:rPr>
          <w:rFonts w:ascii="Garamond" w:hAnsi="Garamond" w:cs="Arial"/>
          <w:sz w:val="24"/>
          <w:szCs w:val="24"/>
        </w:rPr>
        <w:t>sequência</w:t>
      </w:r>
      <w:r w:rsidR="009B7DC1" w:rsidRPr="003A1174">
        <w:rPr>
          <w:rFonts w:ascii="Garamond" w:hAnsi="Garamond" w:cs="Arial"/>
          <w:sz w:val="24"/>
          <w:szCs w:val="24"/>
        </w:rPr>
        <w:t xml:space="preserve"> </w:t>
      </w:r>
      <w:r w:rsidR="00497503" w:rsidRPr="003A1174">
        <w:rPr>
          <w:rFonts w:ascii="Garamond" w:hAnsi="Garamond" w:cs="Arial"/>
          <w:sz w:val="24"/>
          <w:szCs w:val="24"/>
        </w:rPr>
        <w:t>das</w:t>
      </w:r>
      <w:r w:rsidR="009B7DC1" w:rsidRPr="003A1174">
        <w:rPr>
          <w:rFonts w:ascii="Garamond" w:hAnsi="Garamond" w:cs="Arial"/>
          <w:sz w:val="24"/>
          <w:szCs w:val="24"/>
        </w:rPr>
        <w:t xml:space="preserve"> </w:t>
      </w:r>
      <w:r w:rsidRPr="003A1174">
        <w:rPr>
          <w:rFonts w:ascii="Garamond" w:hAnsi="Garamond" w:cs="Arial"/>
          <w:sz w:val="24"/>
          <w:szCs w:val="24"/>
        </w:rPr>
        <w:t>agressões</w:t>
      </w:r>
      <w:r w:rsidR="009B7DC1" w:rsidRPr="003A1174">
        <w:rPr>
          <w:rFonts w:ascii="Garamond" w:hAnsi="Garamond" w:cs="Arial"/>
          <w:sz w:val="24"/>
          <w:szCs w:val="24"/>
        </w:rPr>
        <w:t xml:space="preserve"> </w:t>
      </w:r>
      <w:r w:rsidRPr="003A1174">
        <w:rPr>
          <w:rFonts w:ascii="Garamond" w:hAnsi="Garamond" w:cs="Arial"/>
          <w:sz w:val="24"/>
          <w:szCs w:val="24"/>
        </w:rPr>
        <w:t>sofrida</w:t>
      </w:r>
      <w:r w:rsidR="009B7DC1" w:rsidRPr="003A1174">
        <w:rPr>
          <w:rFonts w:ascii="Garamond" w:hAnsi="Garamond" w:cs="Arial"/>
          <w:sz w:val="24"/>
          <w:szCs w:val="24"/>
        </w:rPr>
        <w:t xml:space="preserve">s, </w:t>
      </w:r>
      <w:r w:rsidRPr="003A1174">
        <w:rPr>
          <w:rFonts w:ascii="Garamond" w:hAnsi="Garamond" w:cs="Arial"/>
          <w:sz w:val="24"/>
          <w:szCs w:val="24"/>
        </w:rPr>
        <w:t xml:space="preserve">tenha </w:t>
      </w:r>
      <w:r w:rsidR="009B7DC1" w:rsidRPr="003A1174">
        <w:rPr>
          <w:rFonts w:ascii="Garamond" w:hAnsi="Garamond" w:cs="Arial"/>
          <w:sz w:val="24"/>
          <w:szCs w:val="24"/>
        </w:rPr>
        <w:t xml:space="preserve">estado </w:t>
      </w:r>
      <w:r w:rsidRPr="003A1174">
        <w:rPr>
          <w:rFonts w:ascii="Garamond" w:hAnsi="Garamond" w:cs="Arial"/>
          <w:sz w:val="24"/>
          <w:szCs w:val="24"/>
        </w:rPr>
        <w:t xml:space="preserve">a </w:t>
      </w:r>
      <w:r w:rsidR="009B7DC1" w:rsidRPr="003A1174">
        <w:rPr>
          <w:rFonts w:ascii="Garamond" w:hAnsi="Garamond" w:cs="Arial"/>
          <w:sz w:val="24"/>
          <w:szCs w:val="24"/>
        </w:rPr>
        <w:t>rec</w:t>
      </w:r>
      <w:r w:rsidRPr="003A1174">
        <w:rPr>
          <w:rFonts w:ascii="Garamond" w:hAnsi="Garamond" w:cs="Arial"/>
          <w:sz w:val="24"/>
          <w:szCs w:val="24"/>
        </w:rPr>
        <w:t xml:space="preserve">eber ou </w:t>
      </w:r>
      <w:r w:rsidR="009B7DC1" w:rsidRPr="003A1174">
        <w:rPr>
          <w:rFonts w:ascii="Garamond" w:hAnsi="Garamond" w:cs="Arial"/>
          <w:sz w:val="24"/>
          <w:szCs w:val="24"/>
        </w:rPr>
        <w:t>rec</w:t>
      </w:r>
      <w:r w:rsidRPr="003A1174">
        <w:rPr>
          <w:rFonts w:ascii="Garamond" w:hAnsi="Garamond" w:cs="Arial"/>
          <w:sz w:val="24"/>
          <w:szCs w:val="24"/>
        </w:rPr>
        <w:t>e</w:t>
      </w:r>
      <w:r w:rsidR="009B7DC1" w:rsidRPr="003A1174">
        <w:rPr>
          <w:rFonts w:ascii="Garamond" w:hAnsi="Garamond" w:cs="Arial"/>
          <w:sz w:val="24"/>
          <w:szCs w:val="24"/>
        </w:rPr>
        <w:t xml:space="preserve">ba </w:t>
      </w:r>
      <w:r w:rsidR="008278C4" w:rsidRPr="003A1174">
        <w:rPr>
          <w:rFonts w:ascii="Garamond" w:hAnsi="Garamond" w:cs="Arial"/>
          <w:sz w:val="24"/>
          <w:szCs w:val="24"/>
        </w:rPr>
        <w:t>atenção</w:t>
      </w:r>
      <w:r w:rsidR="009B7DC1" w:rsidRPr="003A1174">
        <w:rPr>
          <w:rFonts w:ascii="Garamond" w:hAnsi="Garamond" w:cs="Arial"/>
          <w:sz w:val="24"/>
          <w:szCs w:val="24"/>
        </w:rPr>
        <w:t xml:space="preserve"> médica. </w:t>
      </w:r>
    </w:p>
    <w:p w:rsidR="009B7DC1" w:rsidRPr="003A1174" w:rsidRDefault="009B7DC1" w:rsidP="008719D4">
      <w:pPr>
        <w:spacing w:after="0" w:line="240" w:lineRule="auto"/>
        <w:ind w:left="1416"/>
        <w:jc w:val="both"/>
        <w:rPr>
          <w:rFonts w:ascii="Garamond" w:hAnsi="Garamond" w:cs="Arial"/>
          <w:sz w:val="24"/>
          <w:szCs w:val="24"/>
        </w:rPr>
      </w:pPr>
      <w:r w:rsidRPr="003A1174">
        <w:rPr>
          <w:rFonts w:ascii="Garamond" w:hAnsi="Garamond" w:cs="Arial"/>
          <w:sz w:val="24"/>
          <w:szCs w:val="24"/>
        </w:rPr>
        <w:t xml:space="preserve">e) </w:t>
      </w:r>
      <w:r w:rsidR="006D4D0B" w:rsidRPr="003A1174">
        <w:rPr>
          <w:rFonts w:ascii="Garamond" w:hAnsi="Garamond" w:cs="Arial"/>
          <w:sz w:val="24"/>
          <w:szCs w:val="24"/>
        </w:rPr>
        <w:t xml:space="preserve">Tentativa ou </w:t>
      </w:r>
      <w:r w:rsidR="001B02AD" w:rsidRPr="003A1174">
        <w:rPr>
          <w:rFonts w:ascii="Garamond" w:hAnsi="Garamond" w:cs="Arial"/>
          <w:sz w:val="24"/>
          <w:szCs w:val="24"/>
        </w:rPr>
        <w:t>ameaça</w:t>
      </w:r>
      <w:r w:rsidRPr="003A1174">
        <w:rPr>
          <w:rFonts w:ascii="Garamond" w:hAnsi="Garamond" w:cs="Arial"/>
          <w:sz w:val="24"/>
          <w:szCs w:val="24"/>
        </w:rPr>
        <w:t xml:space="preserve">s de </w:t>
      </w:r>
      <w:r w:rsidR="006D4D0B" w:rsidRPr="003A1174">
        <w:rPr>
          <w:rFonts w:ascii="Garamond" w:hAnsi="Garamond" w:cs="Arial"/>
          <w:sz w:val="24"/>
          <w:szCs w:val="24"/>
        </w:rPr>
        <w:t>suicídio</w:t>
      </w:r>
      <w:r w:rsidRPr="003A1174">
        <w:rPr>
          <w:rFonts w:ascii="Garamond" w:hAnsi="Garamond" w:cs="Arial"/>
          <w:sz w:val="24"/>
          <w:szCs w:val="24"/>
        </w:rPr>
        <w:t>, o</w:t>
      </w:r>
      <w:r w:rsidR="006D4D0B" w:rsidRPr="003A1174">
        <w:rPr>
          <w:rFonts w:ascii="Garamond" w:hAnsi="Garamond" w:cs="Arial"/>
          <w:sz w:val="24"/>
          <w:szCs w:val="24"/>
        </w:rPr>
        <w:t>u</w:t>
      </w:r>
      <w:r w:rsidRPr="003A1174">
        <w:rPr>
          <w:rFonts w:ascii="Garamond" w:hAnsi="Garamond" w:cs="Arial"/>
          <w:sz w:val="24"/>
          <w:szCs w:val="24"/>
        </w:rPr>
        <w:t xml:space="preserve"> </w:t>
      </w:r>
      <w:r w:rsidR="007342D9" w:rsidRPr="003A1174">
        <w:rPr>
          <w:rFonts w:ascii="Garamond" w:hAnsi="Garamond" w:cs="Arial"/>
          <w:sz w:val="24"/>
          <w:szCs w:val="24"/>
        </w:rPr>
        <w:t>qualquer</w:t>
      </w:r>
      <w:r w:rsidRPr="003A1174">
        <w:rPr>
          <w:rFonts w:ascii="Garamond" w:hAnsi="Garamond" w:cs="Arial"/>
          <w:sz w:val="24"/>
          <w:szCs w:val="24"/>
        </w:rPr>
        <w:t xml:space="preserve"> </w:t>
      </w:r>
      <w:r w:rsidR="002B6C5B" w:rsidRPr="003A1174">
        <w:rPr>
          <w:rFonts w:ascii="Garamond" w:hAnsi="Garamond" w:cs="Arial"/>
          <w:sz w:val="24"/>
          <w:szCs w:val="24"/>
        </w:rPr>
        <w:t>outra</w:t>
      </w:r>
      <w:r w:rsidRPr="003A1174">
        <w:rPr>
          <w:rFonts w:ascii="Garamond" w:hAnsi="Garamond" w:cs="Arial"/>
          <w:sz w:val="24"/>
          <w:szCs w:val="24"/>
        </w:rPr>
        <w:t xml:space="preserve"> forma de medida </w:t>
      </w:r>
      <w:r w:rsidR="006D4D0B" w:rsidRPr="003A1174">
        <w:rPr>
          <w:rFonts w:ascii="Garamond" w:hAnsi="Garamond" w:cs="Arial"/>
          <w:sz w:val="24"/>
          <w:szCs w:val="24"/>
        </w:rPr>
        <w:t>intimidatória</w:t>
      </w:r>
      <w:r w:rsidRPr="003A1174">
        <w:rPr>
          <w:rFonts w:ascii="Garamond" w:hAnsi="Garamond" w:cs="Arial"/>
          <w:sz w:val="24"/>
          <w:szCs w:val="24"/>
        </w:rPr>
        <w:t xml:space="preserve"> por parte </w:t>
      </w:r>
      <w:r w:rsidR="008A3DA2" w:rsidRPr="003A1174">
        <w:rPr>
          <w:rFonts w:ascii="Garamond" w:hAnsi="Garamond" w:cs="Arial"/>
          <w:sz w:val="24"/>
          <w:szCs w:val="24"/>
        </w:rPr>
        <w:t>do</w:t>
      </w:r>
      <w:r w:rsidRPr="003A1174">
        <w:rPr>
          <w:rFonts w:ascii="Garamond" w:hAnsi="Garamond" w:cs="Arial"/>
          <w:sz w:val="24"/>
          <w:szCs w:val="24"/>
        </w:rPr>
        <w:t xml:space="preserve"> </w:t>
      </w:r>
      <w:r w:rsidR="002D1021" w:rsidRPr="003A1174">
        <w:rPr>
          <w:rFonts w:ascii="Garamond" w:hAnsi="Garamond" w:cs="Arial"/>
          <w:sz w:val="24"/>
          <w:szCs w:val="24"/>
        </w:rPr>
        <w:t>agressor</w:t>
      </w:r>
      <w:r w:rsidRPr="003A1174">
        <w:rPr>
          <w:rFonts w:ascii="Garamond" w:hAnsi="Garamond" w:cs="Arial"/>
          <w:sz w:val="24"/>
          <w:szCs w:val="24"/>
        </w:rPr>
        <w:t xml:space="preserve">. </w:t>
      </w:r>
    </w:p>
    <w:p w:rsidR="009B7DC1" w:rsidRPr="003A1174" w:rsidRDefault="009B7DC1" w:rsidP="008719D4">
      <w:pPr>
        <w:spacing w:after="0" w:line="240" w:lineRule="auto"/>
        <w:ind w:left="1416"/>
        <w:jc w:val="both"/>
        <w:rPr>
          <w:rFonts w:ascii="Garamond" w:hAnsi="Garamond" w:cs="Arial"/>
          <w:sz w:val="24"/>
          <w:szCs w:val="24"/>
        </w:rPr>
      </w:pPr>
      <w:r w:rsidRPr="003A1174">
        <w:rPr>
          <w:rFonts w:ascii="Garamond" w:hAnsi="Garamond" w:cs="Arial"/>
          <w:sz w:val="24"/>
          <w:szCs w:val="24"/>
        </w:rPr>
        <w:t xml:space="preserve">f) Que </w:t>
      </w:r>
      <w:r w:rsidR="006D4D0B" w:rsidRPr="003A1174">
        <w:rPr>
          <w:rFonts w:ascii="Garamond" w:hAnsi="Garamond" w:cs="Arial"/>
          <w:sz w:val="24"/>
          <w:szCs w:val="24"/>
        </w:rPr>
        <w:t>o</w:t>
      </w:r>
      <w:r w:rsidRPr="003A1174">
        <w:rPr>
          <w:rFonts w:ascii="Garamond" w:hAnsi="Garamond" w:cs="Arial"/>
          <w:sz w:val="24"/>
          <w:szCs w:val="24"/>
        </w:rPr>
        <w:t xml:space="preserve"> </w:t>
      </w:r>
      <w:r w:rsidR="002D1021" w:rsidRPr="003A1174">
        <w:rPr>
          <w:rFonts w:ascii="Garamond" w:hAnsi="Garamond" w:cs="Arial"/>
          <w:sz w:val="24"/>
          <w:szCs w:val="24"/>
        </w:rPr>
        <w:t>agressor</w:t>
      </w:r>
      <w:r w:rsidRPr="003A1174">
        <w:rPr>
          <w:rFonts w:ascii="Garamond" w:hAnsi="Garamond" w:cs="Arial"/>
          <w:sz w:val="24"/>
          <w:szCs w:val="24"/>
        </w:rPr>
        <w:t xml:space="preserve"> </w:t>
      </w:r>
      <w:r w:rsidR="002D1021" w:rsidRPr="003A1174">
        <w:rPr>
          <w:rFonts w:ascii="Garamond" w:hAnsi="Garamond" w:cs="Arial"/>
          <w:sz w:val="24"/>
          <w:szCs w:val="24"/>
        </w:rPr>
        <w:t>tenha</w:t>
      </w:r>
      <w:r w:rsidR="006D4D0B" w:rsidRPr="003A1174">
        <w:rPr>
          <w:rFonts w:ascii="Garamond" w:hAnsi="Garamond" w:cs="Arial"/>
          <w:sz w:val="24"/>
          <w:szCs w:val="24"/>
        </w:rPr>
        <w:t xml:space="preserve"> um</w:t>
      </w:r>
      <w:r w:rsidRPr="003A1174">
        <w:rPr>
          <w:rFonts w:ascii="Garamond" w:hAnsi="Garamond" w:cs="Arial"/>
          <w:sz w:val="24"/>
          <w:szCs w:val="24"/>
        </w:rPr>
        <w:t xml:space="preserve">a </w:t>
      </w:r>
      <w:r w:rsidR="00E150E9" w:rsidRPr="003A1174">
        <w:rPr>
          <w:rFonts w:ascii="Garamond" w:hAnsi="Garamond" w:cs="Arial"/>
          <w:sz w:val="24"/>
          <w:szCs w:val="24"/>
        </w:rPr>
        <w:t>acusação</w:t>
      </w:r>
      <w:r w:rsidRPr="003A1174">
        <w:rPr>
          <w:rFonts w:ascii="Garamond" w:hAnsi="Garamond" w:cs="Arial"/>
          <w:sz w:val="24"/>
          <w:szCs w:val="24"/>
        </w:rPr>
        <w:t xml:space="preserve"> o</w:t>
      </w:r>
      <w:r w:rsidR="006D4D0B" w:rsidRPr="003A1174">
        <w:rPr>
          <w:rFonts w:ascii="Garamond" w:hAnsi="Garamond" w:cs="Arial"/>
          <w:sz w:val="24"/>
          <w:szCs w:val="24"/>
        </w:rPr>
        <w:t>u</w:t>
      </w:r>
      <w:r w:rsidRPr="003A1174">
        <w:rPr>
          <w:rFonts w:ascii="Garamond" w:hAnsi="Garamond" w:cs="Arial"/>
          <w:sz w:val="24"/>
          <w:szCs w:val="24"/>
        </w:rPr>
        <w:t xml:space="preserve"> condena</w:t>
      </w:r>
      <w:r w:rsidR="006D4D0B" w:rsidRPr="003A1174">
        <w:rPr>
          <w:rFonts w:ascii="Garamond" w:hAnsi="Garamond" w:cs="Arial"/>
          <w:sz w:val="24"/>
          <w:szCs w:val="24"/>
        </w:rPr>
        <w:t xml:space="preserve">ção anterior por delitos contra </w:t>
      </w:r>
      <w:r w:rsidRPr="003A1174">
        <w:rPr>
          <w:rFonts w:ascii="Garamond" w:hAnsi="Garamond" w:cs="Arial"/>
          <w:sz w:val="24"/>
          <w:szCs w:val="24"/>
        </w:rPr>
        <w:t xml:space="preserve">a </w:t>
      </w:r>
      <w:r w:rsidR="002D1021" w:rsidRPr="003A1174">
        <w:rPr>
          <w:rFonts w:ascii="Garamond" w:hAnsi="Garamond" w:cs="Arial"/>
          <w:sz w:val="24"/>
          <w:szCs w:val="24"/>
        </w:rPr>
        <w:t>integridade</w:t>
      </w:r>
      <w:r w:rsidRPr="003A1174">
        <w:rPr>
          <w:rFonts w:ascii="Garamond" w:hAnsi="Garamond" w:cs="Arial"/>
          <w:sz w:val="24"/>
          <w:szCs w:val="24"/>
        </w:rPr>
        <w:t xml:space="preserve"> física o</w:t>
      </w:r>
      <w:r w:rsidR="006D4D0B" w:rsidRPr="003A1174">
        <w:rPr>
          <w:rFonts w:ascii="Garamond" w:hAnsi="Garamond" w:cs="Arial"/>
          <w:sz w:val="24"/>
          <w:szCs w:val="24"/>
        </w:rPr>
        <w:t>u</w:t>
      </w:r>
      <w:r w:rsidRPr="003A1174">
        <w:rPr>
          <w:rFonts w:ascii="Garamond" w:hAnsi="Garamond" w:cs="Arial"/>
          <w:sz w:val="24"/>
          <w:szCs w:val="24"/>
        </w:rPr>
        <w:t xml:space="preserve"> sexual de </w:t>
      </w:r>
      <w:r w:rsidR="006C760C" w:rsidRPr="003A1174">
        <w:rPr>
          <w:rFonts w:ascii="Garamond" w:hAnsi="Garamond" w:cs="Arial"/>
          <w:sz w:val="24"/>
          <w:szCs w:val="24"/>
        </w:rPr>
        <w:t>pessoas</w:t>
      </w:r>
      <w:r w:rsidRPr="003A1174">
        <w:rPr>
          <w:rFonts w:ascii="Garamond" w:hAnsi="Garamond" w:cs="Arial"/>
          <w:sz w:val="24"/>
          <w:szCs w:val="24"/>
        </w:rPr>
        <w:t xml:space="preserve">; que </w:t>
      </w:r>
      <w:r w:rsidR="006D4D0B" w:rsidRPr="003A1174">
        <w:rPr>
          <w:rFonts w:ascii="Garamond" w:hAnsi="Garamond" w:cs="Arial"/>
          <w:sz w:val="24"/>
          <w:szCs w:val="24"/>
        </w:rPr>
        <w:t xml:space="preserve">tenha </w:t>
      </w:r>
      <w:r w:rsidRPr="003A1174">
        <w:rPr>
          <w:rFonts w:ascii="Garamond" w:hAnsi="Garamond" w:cs="Arial"/>
          <w:sz w:val="24"/>
          <w:szCs w:val="24"/>
        </w:rPr>
        <w:t xml:space="preserve">antecedentes de </w:t>
      </w:r>
      <w:r w:rsidR="00976FB8" w:rsidRPr="003A1174">
        <w:rPr>
          <w:rFonts w:ascii="Garamond" w:hAnsi="Garamond" w:cs="Arial"/>
          <w:sz w:val="24"/>
          <w:szCs w:val="24"/>
        </w:rPr>
        <w:t>Ordens</w:t>
      </w:r>
      <w:r w:rsidRPr="003A1174">
        <w:rPr>
          <w:rFonts w:ascii="Garamond" w:hAnsi="Garamond" w:cs="Arial"/>
          <w:sz w:val="24"/>
          <w:szCs w:val="24"/>
        </w:rPr>
        <w:t xml:space="preserve"> de </w:t>
      </w:r>
      <w:r w:rsidR="00886D6A" w:rsidRPr="003A1174">
        <w:rPr>
          <w:rFonts w:ascii="Garamond" w:hAnsi="Garamond" w:cs="Arial"/>
          <w:sz w:val="24"/>
          <w:szCs w:val="24"/>
        </w:rPr>
        <w:t>Proteção</w:t>
      </w:r>
      <w:r w:rsidR="006D4D0B" w:rsidRPr="003A1174">
        <w:rPr>
          <w:rFonts w:ascii="Garamond" w:hAnsi="Garamond" w:cs="Arial"/>
          <w:sz w:val="24"/>
          <w:szCs w:val="24"/>
        </w:rPr>
        <w:t xml:space="preserve"> proferidas </w:t>
      </w:r>
      <w:r w:rsidRPr="003A1174">
        <w:rPr>
          <w:rFonts w:ascii="Garamond" w:hAnsi="Garamond" w:cs="Arial"/>
          <w:sz w:val="24"/>
          <w:szCs w:val="24"/>
        </w:rPr>
        <w:t>contra</w:t>
      </w:r>
      <w:r w:rsidR="006D4D0B" w:rsidRPr="003A1174">
        <w:rPr>
          <w:rFonts w:ascii="Garamond" w:hAnsi="Garamond" w:cs="Arial"/>
          <w:sz w:val="24"/>
          <w:szCs w:val="24"/>
        </w:rPr>
        <w:t xml:space="preserve"> si</w:t>
      </w:r>
      <w:r w:rsidRPr="003A1174">
        <w:rPr>
          <w:rFonts w:ascii="Garamond" w:hAnsi="Garamond" w:cs="Arial"/>
          <w:sz w:val="24"/>
          <w:szCs w:val="24"/>
        </w:rPr>
        <w:t xml:space="preserve">; que </w:t>
      </w:r>
      <w:r w:rsidR="006D4D0B" w:rsidRPr="003A1174">
        <w:rPr>
          <w:rFonts w:ascii="Garamond" w:hAnsi="Garamond" w:cs="Arial"/>
          <w:sz w:val="24"/>
          <w:szCs w:val="24"/>
        </w:rPr>
        <w:t xml:space="preserve">tenha </w:t>
      </w:r>
      <w:r w:rsidRPr="003A1174">
        <w:rPr>
          <w:rFonts w:ascii="Garamond" w:hAnsi="Garamond" w:cs="Arial"/>
          <w:sz w:val="24"/>
          <w:szCs w:val="24"/>
        </w:rPr>
        <w:t xml:space="preserve">antecedentes de </w:t>
      </w:r>
      <w:r w:rsidR="000350B1" w:rsidRPr="003A1174">
        <w:rPr>
          <w:rFonts w:ascii="Garamond" w:hAnsi="Garamond" w:cs="Arial"/>
          <w:sz w:val="24"/>
          <w:szCs w:val="24"/>
        </w:rPr>
        <w:t>violência</w:t>
      </w:r>
      <w:r w:rsidRPr="003A1174">
        <w:rPr>
          <w:rFonts w:ascii="Garamond" w:hAnsi="Garamond" w:cs="Arial"/>
          <w:sz w:val="24"/>
          <w:szCs w:val="24"/>
        </w:rPr>
        <w:t xml:space="preserve"> que implique</w:t>
      </w:r>
      <w:r w:rsidR="006D4D0B" w:rsidRPr="003A1174">
        <w:rPr>
          <w:rFonts w:ascii="Garamond" w:hAnsi="Garamond" w:cs="Arial"/>
          <w:sz w:val="24"/>
          <w:szCs w:val="24"/>
        </w:rPr>
        <w:t xml:space="preserve">m um </w:t>
      </w:r>
      <w:r w:rsidR="007C63D0" w:rsidRPr="003A1174">
        <w:rPr>
          <w:rFonts w:ascii="Garamond" w:hAnsi="Garamond" w:cs="Arial"/>
          <w:sz w:val="24"/>
          <w:szCs w:val="24"/>
        </w:rPr>
        <w:t>comportamento</w:t>
      </w:r>
      <w:r w:rsidRPr="003A1174">
        <w:rPr>
          <w:rFonts w:ascii="Garamond" w:hAnsi="Garamond" w:cs="Arial"/>
          <w:sz w:val="24"/>
          <w:szCs w:val="24"/>
        </w:rPr>
        <w:t xml:space="preserve"> </w:t>
      </w:r>
      <w:r w:rsidR="006D4D0B" w:rsidRPr="003A1174">
        <w:rPr>
          <w:rFonts w:ascii="Garamond" w:hAnsi="Garamond" w:cs="Arial"/>
          <w:sz w:val="24"/>
          <w:szCs w:val="24"/>
        </w:rPr>
        <w:t xml:space="preserve">agressivo ou </w:t>
      </w:r>
      <w:r w:rsidR="002D1021" w:rsidRPr="003A1174">
        <w:rPr>
          <w:rFonts w:ascii="Garamond" w:hAnsi="Garamond" w:cs="Arial"/>
          <w:sz w:val="24"/>
          <w:szCs w:val="24"/>
        </w:rPr>
        <w:t>perigo</w:t>
      </w:r>
      <w:r w:rsidRPr="003A1174">
        <w:rPr>
          <w:rFonts w:ascii="Garamond" w:hAnsi="Garamond" w:cs="Arial"/>
          <w:sz w:val="24"/>
          <w:szCs w:val="24"/>
        </w:rPr>
        <w:t>s</w:t>
      </w:r>
      <w:r w:rsidR="006D4D0B" w:rsidRPr="003A1174">
        <w:rPr>
          <w:rFonts w:ascii="Garamond" w:hAnsi="Garamond" w:cs="Arial"/>
          <w:sz w:val="24"/>
          <w:szCs w:val="24"/>
        </w:rPr>
        <w:t>o</w:t>
      </w:r>
      <w:r w:rsidRPr="003A1174">
        <w:rPr>
          <w:rFonts w:ascii="Garamond" w:hAnsi="Garamond" w:cs="Arial"/>
          <w:sz w:val="24"/>
          <w:szCs w:val="24"/>
        </w:rPr>
        <w:t>, o</w:t>
      </w:r>
      <w:r w:rsidR="006D4D0B" w:rsidRPr="003A1174">
        <w:rPr>
          <w:rFonts w:ascii="Garamond" w:hAnsi="Garamond" w:cs="Arial"/>
          <w:sz w:val="24"/>
          <w:szCs w:val="24"/>
        </w:rPr>
        <w:t>u</w:t>
      </w:r>
      <w:r w:rsidRPr="003A1174">
        <w:rPr>
          <w:rFonts w:ascii="Garamond" w:hAnsi="Garamond" w:cs="Arial"/>
          <w:sz w:val="24"/>
          <w:szCs w:val="24"/>
        </w:rPr>
        <w:t xml:space="preserve"> que </w:t>
      </w:r>
      <w:r w:rsidR="006D4D0B" w:rsidRPr="003A1174">
        <w:rPr>
          <w:rFonts w:ascii="Garamond" w:hAnsi="Garamond" w:cs="Arial"/>
          <w:sz w:val="24"/>
          <w:szCs w:val="24"/>
        </w:rPr>
        <w:t xml:space="preserve">se </w:t>
      </w:r>
      <w:r w:rsidR="002D1021" w:rsidRPr="003A1174">
        <w:rPr>
          <w:rFonts w:ascii="Garamond" w:hAnsi="Garamond" w:cs="Arial"/>
          <w:sz w:val="24"/>
          <w:szCs w:val="24"/>
        </w:rPr>
        <w:t>tenha</w:t>
      </w:r>
      <w:r w:rsidRPr="003A1174">
        <w:rPr>
          <w:rFonts w:ascii="Garamond" w:hAnsi="Garamond" w:cs="Arial"/>
          <w:sz w:val="24"/>
          <w:szCs w:val="24"/>
        </w:rPr>
        <w:t xml:space="preserve"> </w:t>
      </w:r>
      <w:r w:rsidR="003E6403" w:rsidRPr="003A1174">
        <w:rPr>
          <w:rFonts w:ascii="Garamond" w:hAnsi="Garamond" w:cs="Arial"/>
          <w:sz w:val="24"/>
          <w:szCs w:val="24"/>
        </w:rPr>
        <w:t>conhecimento</w:t>
      </w:r>
      <w:r w:rsidRPr="003A1174">
        <w:rPr>
          <w:rFonts w:ascii="Garamond" w:hAnsi="Garamond" w:cs="Arial"/>
          <w:sz w:val="24"/>
          <w:szCs w:val="24"/>
        </w:rPr>
        <w:t xml:space="preserve"> </w:t>
      </w:r>
      <w:r w:rsidR="00097A9B">
        <w:rPr>
          <w:rFonts w:ascii="Garamond" w:hAnsi="Garamond" w:cs="Arial"/>
          <w:sz w:val="24"/>
          <w:szCs w:val="24"/>
        </w:rPr>
        <w:t>de</w:t>
      </w:r>
      <w:r w:rsidR="006D4D0B" w:rsidRPr="003A1174">
        <w:rPr>
          <w:rFonts w:ascii="Garamond" w:hAnsi="Garamond" w:cs="Arial"/>
          <w:sz w:val="24"/>
          <w:szCs w:val="24"/>
        </w:rPr>
        <w:t xml:space="preserve"> </w:t>
      </w:r>
      <w:r w:rsidRPr="003A1174">
        <w:rPr>
          <w:rFonts w:ascii="Garamond" w:hAnsi="Garamond" w:cs="Arial"/>
          <w:sz w:val="24"/>
          <w:szCs w:val="24"/>
        </w:rPr>
        <w:t xml:space="preserve">uso de armas, </w:t>
      </w:r>
      <w:r w:rsidR="006D4D0B" w:rsidRPr="003A1174">
        <w:rPr>
          <w:rFonts w:ascii="Garamond" w:hAnsi="Garamond" w:cs="Arial"/>
          <w:sz w:val="24"/>
          <w:szCs w:val="24"/>
        </w:rPr>
        <w:t xml:space="preserve">o </w:t>
      </w:r>
      <w:r w:rsidR="00886D6A" w:rsidRPr="003A1174">
        <w:rPr>
          <w:rFonts w:ascii="Garamond" w:hAnsi="Garamond" w:cs="Arial"/>
          <w:sz w:val="24"/>
          <w:szCs w:val="24"/>
        </w:rPr>
        <w:t>acesso</w:t>
      </w:r>
      <w:r w:rsidRPr="003A1174">
        <w:rPr>
          <w:rFonts w:ascii="Garamond" w:hAnsi="Garamond" w:cs="Arial"/>
          <w:sz w:val="24"/>
          <w:szCs w:val="24"/>
        </w:rPr>
        <w:t xml:space="preserve"> a elas o</w:t>
      </w:r>
      <w:r w:rsidR="006D4D0B" w:rsidRPr="003A1174">
        <w:rPr>
          <w:rFonts w:ascii="Garamond" w:hAnsi="Garamond" w:cs="Arial"/>
          <w:sz w:val="24"/>
          <w:szCs w:val="24"/>
        </w:rPr>
        <w:t>u</w:t>
      </w:r>
      <w:r w:rsidRPr="003A1174">
        <w:rPr>
          <w:rFonts w:ascii="Garamond" w:hAnsi="Garamond" w:cs="Arial"/>
          <w:sz w:val="24"/>
          <w:szCs w:val="24"/>
        </w:rPr>
        <w:t xml:space="preserve"> que </w:t>
      </w:r>
      <w:r w:rsidR="00097A9B">
        <w:rPr>
          <w:rFonts w:ascii="Garamond" w:hAnsi="Garamond" w:cs="Arial"/>
          <w:sz w:val="24"/>
          <w:szCs w:val="24"/>
        </w:rPr>
        <w:t xml:space="preserve">possua </w:t>
      </w:r>
      <w:r w:rsidR="00CD707D" w:rsidRPr="003A1174">
        <w:rPr>
          <w:rFonts w:ascii="Garamond" w:hAnsi="Garamond" w:cs="Arial"/>
          <w:sz w:val="24"/>
          <w:szCs w:val="24"/>
        </w:rPr>
        <w:t>alguma</w:t>
      </w:r>
      <w:r w:rsidRPr="003A1174">
        <w:rPr>
          <w:rFonts w:ascii="Garamond" w:hAnsi="Garamond" w:cs="Arial"/>
          <w:sz w:val="24"/>
          <w:szCs w:val="24"/>
        </w:rPr>
        <w:t>.</w:t>
      </w:r>
    </w:p>
    <w:p w:rsidR="009B7DC1" w:rsidRPr="003A1174" w:rsidRDefault="009B7DC1" w:rsidP="008719D4">
      <w:pPr>
        <w:spacing w:after="0" w:line="240" w:lineRule="auto"/>
        <w:ind w:left="1416"/>
        <w:jc w:val="both"/>
        <w:rPr>
          <w:rFonts w:ascii="Garamond" w:hAnsi="Garamond" w:cs="Arial"/>
          <w:sz w:val="24"/>
          <w:szCs w:val="24"/>
        </w:rPr>
      </w:pPr>
      <w:r w:rsidRPr="003A1174">
        <w:rPr>
          <w:rFonts w:ascii="Garamond" w:hAnsi="Garamond" w:cs="Arial"/>
          <w:sz w:val="24"/>
          <w:szCs w:val="24"/>
        </w:rPr>
        <w:t>g) Que exista</w:t>
      </w:r>
      <w:r w:rsidR="006D4D0B" w:rsidRPr="003A1174">
        <w:rPr>
          <w:rFonts w:ascii="Garamond" w:hAnsi="Garamond" w:cs="Arial"/>
          <w:sz w:val="24"/>
          <w:szCs w:val="24"/>
        </w:rPr>
        <w:t>m</w:t>
      </w:r>
      <w:r w:rsidRPr="003A1174">
        <w:rPr>
          <w:rFonts w:ascii="Garamond" w:hAnsi="Garamond" w:cs="Arial"/>
          <w:sz w:val="24"/>
          <w:szCs w:val="24"/>
        </w:rPr>
        <w:t xml:space="preserve"> antecedentes de abuso físico o</w:t>
      </w:r>
      <w:r w:rsidR="006D4D0B" w:rsidRPr="003A1174">
        <w:rPr>
          <w:rFonts w:ascii="Garamond" w:hAnsi="Garamond" w:cs="Arial"/>
          <w:sz w:val="24"/>
          <w:szCs w:val="24"/>
        </w:rPr>
        <w:t>u</w:t>
      </w:r>
      <w:r w:rsidRPr="003A1174">
        <w:rPr>
          <w:rFonts w:ascii="Garamond" w:hAnsi="Garamond" w:cs="Arial"/>
          <w:sz w:val="24"/>
          <w:szCs w:val="24"/>
        </w:rPr>
        <w:t xml:space="preserve"> sexual </w:t>
      </w:r>
      <w:r w:rsidR="008A3DA2" w:rsidRPr="003A1174">
        <w:rPr>
          <w:rFonts w:ascii="Garamond" w:hAnsi="Garamond" w:cs="Arial"/>
          <w:sz w:val="24"/>
          <w:szCs w:val="24"/>
        </w:rPr>
        <w:t>do</w:t>
      </w:r>
      <w:r w:rsidRPr="003A1174">
        <w:rPr>
          <w:rFonts w:ascii="Garamond" w:hAnsi="Garamond" w:cs="Arial"/>
          <w:sz w:val="24"/>
          <w:szCs w:val="24"/>
        </w:rPr>
        <w:t xml:space="preserve"> </w:t>
      </w:r>
      <w:r w:rsidR="002D1021" w:rsidRPr="003A1174">
        <w:rPr>
          <w:rFonts w:ascii="Garamond" w:hAnsi="Garamond" w:cs="Arial"/>
          <w:sz w:val="24"/>
          <w:szCs w:val="24"/>
        </w:rPr>
        <w:t>agressor</w:t>
      </w:r>
      <w:r w:rsidRPr="003A1174">
        <w:rPr>
          <w:rFonts w:ascii="Garamond" w:hAnsi="Garamond" w:cs="Arial"/>
          <w:sz w:val="24"/>
          <w:szCs w:val="24"/>
        </w:rPr>
        <w:t xml:space="preserve"> contra </w:t>
      </w:r>
      <w:r w:rsidR="006D4D0B" w:rsidRPr="003A1174">
        <w:rPr>
          <w:rFonts w:ascii="Garamond" w:hAnsi="Garamond" w:cs="Arial"/>
          <w:sz w:val="24"/>
          <w:szCs w:val="24"/>
        </w:rPr>
        <w:t>ascendente</w:t>
      </w:r>
      <w:r w:rsidRPr="003A1174">
        <w:rPr>
          <w:rFonts w:ascii="Garamond" w:hAnsi="Garamond" w:cs="Arial"/>
          <w:sz w:val="24"/>
          <w:szCs w:val="24"/>
        </w:rPr>
        <w:t xml:space="preserve">s, </w:t>
      </w:r>
      <w:r w:rsidR="006D4D0B" w:rsidRPr="003A1174">
        <w:rPr>
          <w:rFonts w:ascii="Garamond" w:hAnsi="Garamond" w:cs="Arial"/>
          <w:sz w:val="24"/>
          <w:szCs w:val="24"/>
        </w:rPr>
        <w:t>descendente</w:t>
      </w:r>
      <w:r w:rsidRPr="003A1174">
        <w:rPr>
          <w:rFonts w:ascii="Garamond" w:hAnsi="Garamond" w:cs="Arial"/>
          <w:sz w:val="24"/>
          <w:szCs w:val="24"/>
        </w:rPr>
        <w:t>s o</w:t>
      </w:r>
      <w:r w:rsidR="006D4D0B" w:rsidRPr="003A1174">
        <w:rPr>
          <w:rFonts w:ascii="Garamond" w:hAnsi="Garamond" w:cs="Arial"/>
          <w:sz w:val="24"/>
          <w:szCs w:val="24"/>
        </w:rPr>
        <w:t>u</w:t>
      </w:r>
      <w:r w:rsidRPr="003A1174">
        <w:rPr>
          <w:rFonts w:ascii="Garamond" w:hAnsi="Garamond" w:cs="Arial"/>
          <w:sz w:val="24"/>
          <w:szCs w:val="24"/>
        </w:rPr>
        <w:t xml:space="preserve"> familiares da </w:t>
      </w:r>
      <w:r w:rsidR="003F012B" w:rsidRPr="003A1174">
        <w:rPr>
          <w:rFonts w:ascii="Garamond" w:hAnsi="Garamond" w:cs="Arial"/>
          <w:sz w:val="24"/>
          <w:szCs w:val="24"/>
        </w:rPr>
        <w:t>vítima</w:t>
      </w:r>
      <w:r w:rsidRPr="003A1174">
        <w:rPr>
          <w:rFonts w:ascii="Garamond" w:hAnsi="Garamond" w:cs="Arial"/>
          <w:sz w:val="24"/>
          <w:szCs w:val="24"/>
        </w:rPr>
        <w:t xml:space="preserve">;  </w:t>
      </w:r>
    </w:p>
    <w:p w:rsidR="009B7DC1" w:rsidRPr="003A1174" w:rsidRDefault="009B7DC1" w:rsidP="008719D4">
      <w:pPr>
        <w:spacing w:after="0" w:line="240" w:lineRule="auto"/>
        <w:ind w:left="1416"/>
        <w:jc w:val="both"/>
        <w:rPr>
          <w:rFonts w:ascii="Garamond" w:hAnsi="Garamond" w:cs="Arial"/>
          <w:sz w:val="24"/>
          <w:szCs w:val="24"/>
        </w:rPr>
      </w:pPr>
      <w:r w:rsidRPr="003A1174">
        <w:rPr>
          <w:rFonts w:ascii="Garamond" w:hAnsi="Garamond" w:cs="Arial"/>
          <w:sz w:val="24"/>
          <w:szCs w:val="24"/>
        </w:rPr>
        <w:t>h) Que exista</w:t>
      </w:r>
      <w:r w:rsidR="00E34DB3" w:rsidRPr="003A1174">
        <w:rPr>
          <w:rFonts w:ascii="Garamond" w:hAnsi="Garamond" w:cs="Arial"/>
          <w:sz w:val="24"/>
          <w:szCs w:val="24"/>
        </w:rPr>
        <w:t>,</w:t>
      </w:r>
      <w:r w:rsidRPr="003A1174">
        <w:rPr>
          <w:rFonts w:ascii="Garamond" w:hAnsi="Garamond" w:cs="Arial"/>
          <w:sz w:val="24"/>
          <w:szCs w:val="24"/>
        </w:rPr>
        <w:t xml:space="preserve"> o</w:t>
      </w:r>
      <w:r w:rsidR="006D4D0B" w:rsidRPr="003A1174">
        <w:rPr>
          <w:rFonts w:ascii="Garamond" w:hAnsi="Garamond" w:cs="Arial"/>
          <w:sz w:val="24"/>
          <w:szCs w:val="24"/>
        </w:rPr>
        <w:t xml:space="preserve">u tenha </w:t>
      </w:r>
      <w:r w:rsidRPr="003A1174">
        <w:rPr>
          <w:rFonts w:ascii="Garamond" w:hAnsi="Garamond" w:cs="Arial"/>
          <w:sz w:val="24"/>
          <w:szCs w:val="24"/>
        </w:rPr>
        <w:t xml:space="preserve">existido </w:t>
      </w:r>
      <w:r w:rsidR="001B02AD" w:rsidRPr="003A1174">
        <w:rPr>
          <w:rFonts w:ascii="Garamond" w:hAnsi="Garamond" w:cs="Arial"/>
          <w:sz w:val="24"/>
          <w:szCs w:val="24"/>
        </w:rPr>
        <w:t>ameaça</w:t>
      </w:r>
      <w:r w:rsidR="00097A9B">
        <w:rPr>
          <w:rFonts w:ascii="Garamond" w:hAnsi="Garamond" w:cs="Arial"/>
          <w:sz w:val="24"/>
          <w:szCs w:val="24"/>
        </w:rPr>
        <w:t>,</w:t>
      </w:r>
      <w:r w:rsidRPr="003A1174">
        <w:rPr>
          <w:rFonts w:ascii="Garamond" w:hAnsi="Garamond" w:cs="Arial"/>
          <w:sz w:val="24"/>
          <w:szCs w:val="24"/>
        </w:rPr>
        <w:t xml:space="preserve"> por parte </w:t>
      </w:r>
      <w:r w:rsidR="008A3DA2" w:rsidRPr="003A1174">
        <w:rPr>
          <w:rFonts w:ascii="Garamond" w:hAnsi="Garamond" w:cs="Arial"/>
          <w:sz w:val="24"/>
          <w:szCs w:val="24"/>
        </w:rPr>
        <w:t>do</w:t>
      </w:r>
      <w:r w:rsidRPr="003A1174">
        <w:rPr>
          <w:rFonts w:ascii="Garamond" w:hAnsi="Garamond" w:cs="Arial"/>
          <w:sz w:val="24"/>
          <w:szCs w:val="24"/>
        </w:rPr>
        <w:t xml:space="preserve"> </w:t>
      </w:r>
      <w:r w:rsidR="002D1021" w:rsidRPr="003A1174">
        <w:rPr>
          <w:rFonts w:ascii="Garamond" w:hAnsi="Garamond" w:cs="Arial"/>
          <w:sz w:val="24"/>
          <w:szCs w:val="24"/>
        </w:rPr>
        <w:t>agressor</w:t>
      </w:r>
      <w:r w:rsidR="00097A9B">
        <w:rPr>
          <w:rFonts w:ascii="Garamond" w:hAnsi="Garamond" w:cs="Arial"/>
          <w:sz w:val="24"/>
          <w:szCs w:val="24"/>
        </w:rPr>
        <w:t>,</w:t>
      </w:r>
      <w:r w:rsidRPr="003A1174">
        <w:rPr>
          <w:rFonts w:ascii="Garamond" w:hAnsi="Garamond" w:cs="Arial"/>
          <w:sz w:val="24"/>
          <w:szCs w:val="24"/>
        </w:rPr>
        <w:t xml:space="preserve"> </w:t>
      </w:r>
      <w:r w:rsidR="001A584C" w:rsidRPr="003A1174">
        <w:rPr>
          <w:rFonts w:ascii="Garamond" w:hAnsi="Garamond" w:cs="Arial"/>
          <w:sz w:val="24"/>
          <w:szCs w:val="24"/>
        </w:rPr>
        <w:t>relativa</w:t>
      </w:r>
      <w:r w:rsidR="006D4D0B" w:rsidRPr="003A1174">
        <w:rPr>
          <w:rFonts w:ascii="Garamond" w:hAnsi="Garamond" w:cs="Arial"/>
          <w:sz w:val="24"/>
          <w:szCs w:val="24"/>
        </w:rPr>
        <w:t xml:space="preserve">mente </w:t>
      </w:r>
      <w:r w:rsidR="001A584C" w:rsidRPr="003A1174">
        <w:rPr>
          <w:rFonts w:ascii="Garamond" w:hAnsi="Garamond" w:cs="Arial"/>
          <w:sz w:val="24"/>
          <w:szCs w:val="24"/>
        </w:rPr>
        <w:t>a</w:t>
      </w:r>
      <w:r w:rsidR="006D4D0B" w:rsidRPr="003A1174">
        <w:rPr>
          <w:rFonts w:ascii="Garamond" w:hAnsi="Garamond" w:cs="Arial"/>
          <w:sz w:val="24"/>
          <w:szCs w:val="24"/>
        </w:rPr>
        <w:t xml:space="preserve"> </w:t>
      </w:r>
      <w:r w:rsidRPr="003A1174">
        <w:rPr>
          <w:rFonts w:ascii="Garamond" w:hAnsi="Garamond" w:cs="Arial"/>
          <w:sz w:val="24"/>
          <w:szCs w:val="24"/>
        </w:rPr>
        <w:t>levar</w:t>
      </w:r>
      <w:r w:rsidR="006D4D0B" w:rsidRPr="003A1174">
        <w:rPr>
          <w:rFonts w:ascii="Garamond" w:hAnsi="Garamond" w:cs="Arial"/>
          <w:sz w:val="24"/>
          <w:szCs w:val="24"/>
        </w:rPr>
        <w:t xml:space="preserve"> </w:t>
      </w:r>
      <w:r w:rsidRPr="003A1174">
        <w:rPr>
          <w:rFonts w:ascii="Garamond" w:hAnsi="Garamond" w:cs="Arial"/>
          <w:sz w:val="24"/>
          <w:szCs w:val="24"/>
        </w:rPr>
        <w:t xml:space="preserve">os </w:t>
      </w:r>
      <w:r w:rsidR="007A2492" w:rsidRPr="003A1174">
        <w:rPr>
          <w:rFonts w:ascii="Garamond" w:hAnsi="Garamond" w:cs="Arial"/>
          <w:sz w:val="24"/>
          <w:szCs w:val="24"/>
        </w:rPr>
        <w:t>filho</w:t>
      </w:r>
      <w:r w:rsidRPr="003A1174">
        <w:rPr>
          <w:rFonts w:ascii="Garamond" w:hAnsi="Garamond" w:cs="Arial"/>
          <w:sz w:val="24"/>
          <w:szCs w:val="24"/>
        </w:rPr>
        <w:t xml:space="preserve">s da </w:t>
      </w:r>
      <w:r w:rsidR="003F012B" w:rsidRPr="003A1174">
        <w:rPr>
          <w:rFonts w:ascii="Garamond" w:hAnsi="Garamond" w:cs="Arial"/>
          <w:sz w:val="24"/>
          <w:szCs w:val="24"/>
        </w:rPr>
        <w:t>vítima</w:t>
      </w:r>
      <w:r w:rsidRPr="003A1174">
        <w:rPr>
          <w:rFonts w:ascii="Garamond" w:hAnsi="Garamond" w:cs="Arial"/>
          <w:sz w:val="24"/>
          <w:szCs w:val="24"/>
        </w:rPr>
        <w:t>,</w:t>
      </w:r>
      <w:r w:rsidR="00F6477C">
        <w:rPr>
          <w:rFonts w:ascii="Garamond" w:hAnsi="Garamond" w:cs="Arial"/>
          <w:sz w:val="24"/>
          <w:szCs w:val="24"/>
        </w:rPr>
        <w:t xml:space="preserve"> por um motivo qualquer.</w:t>
      </w:r>
    </w:p>
    <w:p w:rsidR="009B7DC1" w:rsidRPr="003A1174" w:rsidRDefault="009B7DC1" w:rsidP="008719D4">
      <w:pPr>
        <w:pStyle w:val="Predeterminado"/>
        <w:spacing w:line="240" w:lineRule="auto"/>
        <w:jc w:val="both"/>
        <w:rPr>
          <w:rFonts w:ascii="Garamond" w:hAnsi="Garamond" w:cs="Arial"/>
          <w:color w:val="auto"/>
          <w:sz w:val="24"/>
          <w:szCs w:val="24"/>
          <w:lang w:val="pt-PT"/>
        </w:rPr>
      </w:pPr>
    </w:p>
    <w:p w:rsidR="009B7DC1" w:rsidRPr="003A1174" w:rsidRDefault="006D4D0B" w:rsidP="006D4D0B">
      <w:pPr>
        <w:pStyle w:val="Predeterminado"/>
        <w:numPr>
          <w:ilvl w:val="0"/>
          <w:numId w:val="2"/>
        </w:numPr>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E</w:t>
      </w:r>
      <w:r w:rsidR="00152A44" w:rsidRPr="003A1174">
        <w:rPr>
          <w:rFonts w:ascii="Garamond" w:hAnsi="Garamond" w:cs="Arial"/>
          <w:color w:val="auto"/>
          <w:sz w:val="24"/>
          <w:szCs w:val="24"/>
          <w:lang w:val="pt-PT"/>
        </w:rPr>
        <w:t>stabelece</w:t>
      </w:r>
      <w:r w:rsidRPr="003A1174">
        <w:rPr>
          <w:rFonts w:ascii="Garamond" w:hAnsi="Garamond" w:cs="Arial"/>
          <w:color w:val="auto"/>
          <w:sz w:val="24"/>
          <w:szCs w:val="24"/>
          <w:lang w:val="pt-PT"/>
        </w:rPr>
        <w:t xml:space="preserve">-se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autorização</w:t>
      </w:r>
      <w:r w:rsidR="009B7DC1" w:rsidRPr="003A1174">
        <w:rPr>
          <w:rFonts w:ascii="Garamond" w:hAnsi="Garamond" w:cs="Arial"/>
          <w:color w:val="auto"/>
          <w:sz w:val="24"/>
          <w:szCs w:val="24"/>
          <w:lang w:val="pt-PT"/>
        </w:rPr>
        <w:t xml:space="preserve"> </w:t>
      </w:r>
      <w:r w:rsidR="001A584C" w:rsidRPr="003A1174">
        <w:rPr>
          <w:rFonts w:ascii="Garamond" w:hAnsi="Garamond" w:cs="Arial"/>
          <w:color w:val="auto"/>
          <w:sz w:val="24"/>
          <w:szCs w:val="24"/>
          <w:lang w:val="pt-PT"/>
        </w:rPr>
        <w:t>para</w:t>
      </w:r>
      <w:r w:rsidRPr="003A1174">
        <w:rPr>
          <w:rFonts w:ascii="Garamond" w:hAnsi="Garamond" w:cs="Arial"/>
          <w:color w:val="auto"/>
          <w:sz w:val="24"/>
          <w:szCs w:val="24"/>
          <w:lang w:val="pt-PT"/>
        </w:rPr>
        <w:t xml:space="preserve"> que </w:t>
      </w:r>
      <w:r w:rsidR="009B7DC1" w:rsidRPr="003A1174">
        <w:rPr>
          <w:rFonts w:ascii="Garamond" w:hAnsi="Garamond" w:cs="Arial"/>
          <w:color w:val="auto"/>
          <w:sz w:val="24"/>
          <w:szCs w:val="24"/>
          <w:lang w:val="pt-PT"/>
        </w:rPr>
        <w:t xml:space="preserve">as autoridades de </w:t>
      </w:r>
      <w:r w:rsidR="00D15AFF" w:rsidRPr="003A1174">
        <w:rPr>
          <w:rFonts w:ascii="Garamond" w:hAnsi="Garamond" w:cs="Arial"/>
          <w:color w:val="auto"/>
          <w:sz w:val="24"/>
          <w:szCs w:val="24"/>
          <w:lang w:val="pt-PT"/>
        </w:rPr>
        <w:t>segurança</w:t>
      </w:r>
      <w:r w:rsidR="009B7DC1" w:rsidRPr="003A1174">
        <w:rPr>
          <w:rFonts w:ascii="Garamond" w:hAnsi="Garamond" w:cs="Arial"/>
          <w:color w:val="auto"/>
          <w:sz w:val="24"/>
          <w:szCs w:val="24"/>
          <w:lang w:val="pt-PT"/>
        </w:rPr>
        <w:t xml:space="preserve"> pública Federal, </w:t>
      </w:r>
      <w:r w:rsidRPr="003A1174">
        <w:rPr>
          <w:rFonts w:ascii="Garamond" w:hAnsi="Garamond" w:cs="Arial"/>
          <w:color w:val="auto"/>
          <w:sz w:val="24"/>
          <w:szCs w:val="24"/>
          <w:lang w:val="pt-PT"/>
        </w:rPr>
        <w:t>per</w:t>
      </w:r>
      <w:r w:rsidR="009B7DC1" w:rsidRPr="003A1174">
        <w:rPr>
          <w:rFonts w:ascii="Garamond" w:hAnsi="Garamond" w:cs="Arial"/>
          <w:color w:val="auto"/>
          <w:sz w:val="24"/>
          <w:szCs w:val="24"/>
          <w:lang w:val="pt-PT"/>
        </w:rPr>
        <w:t xml:space="preserve">ante </w:t>
      </w:r>
      <w:r w:rsidR="001647F2" w:rsidRPr="003A1174">
        <w:rPr>
          <w:rFonts w:ascii="Garamond" w:hAnsi="Garamond" w:cs="Arial"/>
          <w:color w:val="auto"/>
          <w:sz w:val="24"/>
          <w:szCs w:val="24"/>
          <w:lang w:val="pt-PT"/>
        </w:rPr>
        <w:t>facto</w:t>
      </w:r>
      <w:r w:rsidR="009B7DC1"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flagrante contra </w:t>
      </w:r>
      <w:r w:rsidR="009B7DC1" w:rsidRPr="003A1174">
        <w:rPr>
          <w:rFonts w:ascii="Garamond" w:hAnsi="Garamond" w:cs="Arial"/>
          <w:color w:val="auto"/>
          <w:sz w:val="24"/>
          <w:szCs w:val="24"/>
          <w:lang w:val="pt-PT"/>
        </w:rPr>
        <w:t xml:space="preserve">as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s, p</w:t>
      </w:r>
      <w:r w:rsidRPr="003A1174">
        <w:rPr>
          <w:rFonts w:ascii="Garamond" w:hAnsi="Garamond" w:cs="Arial"/>
          <w:color w:val="auto"/>
          <w:sz w:val="24"/>
          <w:szCs w:val="24"/>
          <w:lang w:val="pt-PT"/>
        </w:rPr>
        <w:t xml:space="preserve">ossam </w:t>
      </w:r>
      <w:r w:rsidR="00E86725" w:rsidRPr="003A1174">
        <w:rPr>
          <w:rFonts w:ascii="Garamond" w:hAnsi="Garamond" w:cs="Arial"/>
          <w:color w:val="auto"/>
          <w:sz w:val="24"/>
          <w:szCs w:val="24"/>
          <w:lang w:val="pt-PT"/>
        </w:rPr>
        <w:t xml:space="preserve">entrar no </w:t>
      </w:r>
      <w:r w:rsidR="00152A44" w:rsidRPr="003A1174">
        <w:rPr>
          <w:rFonts w:ascii="Garamond" w:hAnsi="Garamond" w:cs="Arial"/>
          <w:color w:val="auto"/>
          <w:sz w:val="24"/>
          <w:szCs w:val="24"/>
          <w:lang w:val="pt-PT"/>
        </w:rPr>
        <w:t>domicílio</w:t>
      </w:r>
      <w:r w:rsidR="00E86725"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onde ta</w:t>
      </w:r>
      <w:r w:rsidR="00E86725" w:rsidRPr="003A1174">
        <w:rPr>
          <w:rFonts w:ascii="Garamond" w:hAnsi="Garamond" w:cs="Arial"/>
          <w:color w:val="auto"/>
          <w:sz w:val="24"/>
          <w:szCs w:val="24"/>
          <w:lang w:val="pt-PT"/>
        </w:rPr>
        <w:t>i</w:t>
      </w:r>
      <w:r w:rsidR="009B7DC1" w:rsidRPr="003A1174">
        <w:rPr>
          <w:rFonts w:ascii="Garamond" w:hAnsi="Garamond" w:cs="Arial"/>
          <w:color w:val="auto"/>
          <w:sz w:val="24"/>
          <w:szCs w:val="24"/>
          <w:lang w:val="pt-PT"/>
        </w:rPr>
        <w:t xml:space="preserve">s </w:t>
      </w:r>
      <w:r w:rsidR="001647F2" w:rsidRPr="003A1174">
        <w:rPr>
          <w:rFonts w:ascii="Garamond" w:hAnsi="Garamond" w:cs="Arial"/>
          <w:color w:val="auto"/>
          <w:sz w:val="24"/>
          <w:szCs w:val="24"/>
          <w:lang w:val="pt-PT"/>
        </w:rPr>
        <w:t>facto</w:t>
      </w:r>
      <w:r w:rsidR="009B7DC1" w:rsidRPr="003A1174">
        <w:rPr>
          <w:rFonts w:ascii="Garamond" w:hAnsi="Garamond" w:cs="Arial"/>
          <w:color w:val="auto"/>
          <w:sz w:val="24"/>
          <w:szCs w:val="24"/>
          <w:lang w:val="pt-PT"/>
        </w:rPr>
        <w:t xml:space="preserve">s </w:t>
      </w:r>
      <w:r w:rsidR="002D1021" w:rsidRPr="003A1174">
        <w:rPr>
          <w:rFonts w:ascii="Garamond" w:hAnsi="Garamond" w:cs="Arial"/>
          <w:color w:val="auto"/>
          <w:sz w:val="24"/>
          <w:szCs w:val="24"/>
          <w:lang w:val="pt-PT"/>
        </w:rPr>
        <w:t>tenha</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curso </w:t>
      </w:r>
      <w:r w:rsidRPr="003A1174">
        <w:rPr>
          <w:rFonts w:ascii="Garamond" w:hAnsi="Garamond" w:cs="Arial"/>
          <w:color w:val="auto"/>
          <w:sz w:val="24"/>
          <w:szCs w:val="24"/>
          <w:lang w:val="pt-PT"/>
        </w:rPr>
        <w:t>per</w:t>
      </w:r>
      <w:r w:rsidR="009B7DC1" w:rsidRPr="003A1174">
        <w:rPr>
          <w:rFonts w:ascii="Garamond" w:hAnsi="Garamond" w:cs="Arial"/>
          <w:color w:val="auto"/>
          <w:sz w:val="24"/>
          <w:szCs w:val="24"/>
          <w:lang w:val="pt-PT"/>
        </w:rPr>
        <w:t xml:space="preserve">ante </w:t>
      </w:r>
      <w:r w:rsidRPr="003A1174">
        <w:rPr>
          <w:rFonts w:ascii="Garamond" w:hAnsi="Garamond" w:cs="Arial"/>
          <w:color w:val="auto"/>
          <w:sz w:val="24"/>
          <w:szCs w:val="24"/>
          <w:lang w:val="pt-PT"/>
        </w:rPr>
        <w:t xml:space="preserve">o </w:t>
      </w:r>
      <w:r w:rsidR="002D1021" w:rsidRPr="003A1174">
        <w:rPr>
          <w:rFonts w:ascii="Garamond" w:hAnsi="Garamond" w:cs="Arial"/>
          <w:color w:val="auto"/>
          <w:sz w:val="24"/>
          <w:szCs w:val="24"/>
          <w:lang w:val="pt-PT"/>
        </w:rPr>
        <w:t>perigo</w:t>
      </w:r>
      <w:r w:rsidR="009B7DC1" w:rsidRPr="003A1174">
        <w:rPr>
          <w:rFonts w:ascii="Garamond" w:hAnsi="Garamond" w:cs="Arial"/>
          <w:color w:val="auto"/>
          <w:sz w:val="24"/>
          <w:szCs w:val="24"/>
          <w:lang w:val="pt-PT"/>
        </w:rPr>
        <w:t xml:space="preserve"> </w:t>
      </w:r>
      <w:r w:rsidR="00B936A7" w:rsidRPr="003A1174">
        <w:rPr>
          <w:rFonts w:ascii="Garamond" w:hAnsi="Garamond" w:cs="Arial"/>
          <w:color w:val="auto"/>
          <w:sz w:val="24"/>
          <w:szCs w:val="24"/>
          <w:lang w:val="pt-PT"/>
        </w:rPr>
        <w:t>iminente</w:t>
      </w:r>
      <w:r w:rsidR="009B7DC1" w:rsidRPr="003A1174">
        <w:rPr>
          <w:rFonts w:ascii="Garamond" w:hAnsi="Garamond" w:cs="Arial"/>
          <w:color w:val="auto"/>
          <w:sz w:val="24"/>
          <w:szCs w:val="24"/>
          <w:lang w:val="pt-PT"/>
        </w:rPr>
        <w:t xml:space="preserve"> de </w:t>
      </w:r>
      <w:r w:rsidR="007C63D0" w:rsidRPr="003A1174">
        <w:rPr>
          <w:rFonts w:ascii="Garamond" w:hAnsi="Garamond" w:cs="Arial"/>
          <w:color w:val="auto"/>
          <w:sz w:val="24"/>
          <w:szCs w:val="24"/>
          <w:lang w:val="pt-PT"/>
        </w:rPr>
        <w:t>morte</w:t>
      </w:r>
      <w:r w:rsidR="009B7DC1"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w:t>
      </w:r>
      <w:r w:rsidR="007342D9" w:rsidRPr="003A1174">
        <w:rPr>
          <w:rFonts w:ascii="Garamond" w:hAnsi="Garamond" w:cs="Arial"/>
          <w:color w:val="auto"/>
          <w:sz w:val="24"/>
          <w:szCs w:val="24"/>
          <w:lang w:val="pt-PT"/>
        </w:rPr>
        <w:t>lesões</w:t>
      </w:r>
      <w:r w:rsidRPr="003A1174">
        <w:rPr>
          <w:rFonts w:ascii="Garamond" w:hAnsi="Garamond" w:cs="Arial"/>
          <w:color w:val="auto"/>
          <w:sz w:val="24"/>
          <w:szCs w:val="24"/>
          <w:lang w:val="pt-PT"/>
        </w:rPr>
        <w:t xml:space="preserve"> d</w:t>
      </w:r>
      <w:r w:rsidR="009B7DC1" w:rsidRPr="003A1174">
        <w:rPr>
          <w:rFonts w:ascii="Garamond" w:hAnsi="Garamond" w:cs="Arial"/>
          <w:color w:val="auto"/>
          <w:sz w:val="24"/>
          <w:szCs w:val="24"/>
          <w:lang w:val="pt-PT"/>
        </w:rPr>
        <w:t xml:space="preserve">aquelas. </w:t>
      </w:r>
    </w:p>
    <w:p w:rsidR="009B7DC1" w:rsidRPr="003A1174" w:rsidRDefault="00E86725" w:rsidP="008719D4">
      <w:pPr>
        <w:pStyle w:val="Predeterminado"/>
        <w:numPr>
          <w:ilvl w:val="0"/>
          <w:numId w:val="2"/>
        </w:numPr>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E</w:t>
      </w:r>
      <w:r w:rsidR="00152A44" w:rsidRPr="003A1174">
        <w:rPr>
          <w:rFonts w:ascii="Garamond" w:hAnsi="Garamond" w:cs="Arial"/>
          <w:color w:val="auto"/>
          <w:sz w:val="24"/>
          <w:szCs w:val="24"/>
          <w:lang w:val="pt-PT"/>
        </w:rPr>
        <w:t>stabelece</w:t>
      </w:r>
      <w:r w:rsidRPr="003A1174">
        <w:rPr>
          <w:rFonts w:ascii="Garamond" w:hAnsi="Garamond" w:cs="Arial"/>
          <w:color w:val="auto"/>
          <w:sz w:val="24"/>
          <w:szCs w:val="24"/>
          <w:lang w:val="pt-PT"/>
        </w:rPr>
        <w:t>-se,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por fim,</w:t>
      </w:r>
      <w:r w:rsidR="009B7DC1" w:rsidRPr="003A1174">
        <w:rPr>
          <w:rFonts w:ascii="Garamond" w:hAnsi="Garamond" w:cs="Arial"/>
          <w:color w:val="auto"/>
          <w:sz w:val="24"/>
          <w:szCs w:val="24"/>
          <w:lang w:val="pt-PT"/>
        </w:rPr>
        <w:t xml:space="preserve"> que e</w:t>
      </w:r>
      <w:r w:rsidRPr="003A1174">
        <w:rPr>
          <w:rFonts w:ascii="Garamond" w:hAnsi="Garamond" w:cs="Arial"/>
          <w:color w:val="auto"/>
          <w:sz w:val="24"/>
          <w:szCs w:val="24"/>
          <w:lang w:val="pt-PT"/>
        </w:rPr>
        <w:t>m nenhum</w:t>
      </w:r>
      <w:r w:rsidR="009B7DC1" w:rsidRPr="003A1174">
        <w:rPr>
          <w:rFonts w:ascii="Garamond" w:hAnsi="Garamond" w:cs="Arial"/>
          <w:color w:val="auto"/>
          <w:sz w:val="24"/>
          <w:szCs w:val="24"/>
          <w:lang w:val="pt-PT"/>
        </w:rPr>
        <w:t xml:space="preserve"> sup</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sto se</w:t>
      </w:r>
      <w:r w:rsidRPr="003A1174">
        <w:rPr>
          <w:rFonts w:ascii="Garamond" w:hAnsi="Garamond" w:cs="Arial"/>
          <w:color w:val="auto"/>
          <w:sz w:val="24"/>
          <w:szCs w:val="24"/>
          <w:lang w:val="pt-PT"/>
        </w:rPr>
        <w:t xml:space="preserve">ja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9B7DC1" w:rsidRPr="003A1174">
        <w:rPr>
          <w:rFonts w:ascii="Garamond" w:hAnsi="Garamond" w:cs="Arial"/>
          <w:color w:val="auto"/>
          <w:sz w:val="24"/>
          <w:szCs w:val="24"/>
          <w:lang w:val="pt-PT"/>
        </w:rPr>
        <w:t>efe</w:t>
      </w:r>
      <w:r w:rsidRPr="003A1174">
        <w:rPr>
          <w:rFonts w:ascii="Garamond" w:hAnsi="Garamond" w:cs="Arial"/>
          <w:color w:val="auto"/>
          <w:sz w:val="24"/>
          <w:szCs w:val="24"/>
          <w:lang w:val="pt-PT"/>
        </w:rPr>
        <w:t xml:space="preserve">tuar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notificação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B7DC1"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9B7DC1"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w:t>
      </w:r>
    </w:p>
    <w:p w:rsidR="009B7DC1" w:rsidRPr="003A1174" w:rsidRDefault="00E86725"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Contudo, no </w:t>
      </w:r>
      <w:r w:rsidR="009B7DC1" w:rsidRPr="003A1174">
        <w:rPr>
          <w:rFonts w:ascii="Garamond" w:hAnsi="Garamond" w:cs="Arial"/>
          <w:color w:val="auto"/>
          <w:sz w:val="24"/>
          <w:szCs w:val="24"/>
          <w:lang w:val="pt-PT"/>
        </w:rPr>
        <w:t>plano esta</w:t>
      </w:r>
      <w:r w:rsidRPr="003A1174">
        <w:rPr>
          <w:rFonts w:ascii="Garamond" w:hAnsi="Garamond" w:cs="Arial"/>
          <w:color w:val="auto"/>
          <w:sz w:val="24"/>
          <w:szCs w:val="24"/>
          <w:lang w:val="pt-PT"/>
        </w:rPr>
        <w:t>t</w:t>
      </w:r>
      <w:r w:rsidR="009B7DC1" w:rsidRPr="003A1174">
        <w:rPr>
          <w:rFonts w:ascii="Garamond" w:hAnsi="Garamond" w:cs="Arial"/>
          <w:color w:val="auto"/>
          <w:sz w:val="24"/>
          <w:szCs w:val="24"/>
          <w:lang w:val="pt-PT"/>
        </w:rPr>
        <w:t xml:space="preserve">al </w:t>
      </w:r>
      <w:r w:rsidRPr="003A1174">
        <w:rPr>
          <w:rFonts w:ascii="Garamond" w:hAnsi="Garamond" w:cs="Arial"/>
          <w:color w:val="auto"/>
          <w:sz w:val="24"/>
          <w:szCs w:val="24"/>
          <w:lang w:val="pt-PT"/>
        </w:rPr>
        <w:t>produziram-</w:t>
      </w:r>
      <w:r w:rsidR="009B7DC1" w:rsidRPr="003A1174">
        <w:rPr>
          <w:rFonts w:ascii="Garamond" w:hAnsi="Garamond" w:cs="Arial"/>
          <w:color w:val="auto"/>
          <w:sz w:val="24"/>
          <w:szCs w:val="24"/>
          <w:lang w:val="pt-PT"/>
        </w:rPr>
        <w:t xml:space="preserve">se </w:t>
      </w:r>
      <w:r w:rsidR="000350B1" w:rsidRPr="003A1174">
        <w:rPr>
          <w:rFonts w:ascii="Garamond" w:hAnsi="Garamond" w:cs="Arial"/>
          <w:color w:val="auto"/>
          <w:sz w:val="24"/>
          <w:szCs w:val="24"/>
          <w:lang w:val="pt-PT"/>
        </w:rPr>
        <w:t>também</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alterações à lei no que se refere às </w:t>
      </w:r>
      <w:r w:rsidR="00976FB8"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6B29BF" w:rsidRPr="003A1174">
        <w:rPr>
          <w:rFonts w:ascii="Garamond" w:hAnsi="Garamond" w:cs="Arial"/>
          <w:color w:val="auto"/>
          <w:sz w:val="24"/>
          <w:szCs w:val="24"/>
          <w:lang w:val="pt-PT"/>
        </w:rPr>
        <w:t xml:space="preserve">, </w:t>
      </w:r>
      <w:r w:rsidR="009F0311" w:rsidRPr="003A1174">
        <w:rPr>
          <w:rFonts w:ascii="Garamond" w:hAnsi="Garamond" w:cs="Arial"/>
          <w:color w:val="auto"/>
          <w:sz w:val="24"/>
          <w:szCs w:val="24"/>
          <w:lang w:val="pt-PT"/>
        </w:rPr>
        <w:t>vale a pena mencionar</w:t>
      </w:r>
      <w:r w:rsidR="006B29BF" w:rsidRPr="003A1174">
        <w:rPr>
          <w:rFonts w:ascii="Garamond" w:hAnsi="Garamond" w:cs="Arial"/>
          <w:color w:val="auto"/>
          <w:sz w:val="24"/>
          <w:szCs w:val="24"/>
          <w:lang w:val="pt-PT"/>
        </w:rPr>
        <w:t xml:space="preserve"> a</w:t>
      </w:r>
      <w:r w:rsidR="009B7DC1" w:rsidRPr="003A1174">
        <w:rPr>
          <w:rFonts w:ascii="Garamond" w:hAnsi="Garamond" w:cs="Arial"/>
          <w:color w:val="auto"/>
          <w:sz w:val="24"/>
          <w:szCs w:val="24"/>
          <w:lang w:val="pt-PT"/>
        </w:rPr>
        <w:t xml:space="preserve">s </w:t>
      </w:r>
      <w:r w:rsidR="006F7276" w:rsidRPr="003A1174">
        <w:rPr>
          <w:rFonts w:ascii="Garamond" w:hAnsi="Garamond" w:cs="Arial"/>
          <w:color w:val="auto"/>
          <w:sz w:val="24"/>
          <w:szCs w:val="24"/>
          <w:lang w:val="pt-PT"/>
        </w:rPr>
        <w:t>seguintes</w:t>
      </w:r>
      <w:r w:rsidR="009B7DC1" w:rsidRPr="003A1174">
        <w:rPr>
          <w:rFonts w:ascii="Garamond" w:hAnsi="Garamond" w:cs="Arial"/>
          <w:color w:val="auto"/>
          <w:sz w:val="24"/>
          <w:szCs w:val="24"/>
          <w:lang w:val="pt-PT"/>
        </w:rPr>
        <w:t>:</w:t>
      </w:r>
    </w:p>
    <w:p w:rsidR="009B7DC1" w:rsidRPr="003A1174" w:rsidRDefault="006B29BF"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9B7DC1" w:rsidRPr="003A1174">
        <w:rPr>
          <w:rFonts w:ascii="Garamond" w:hAnsi="Garamond" w:cs="Arial"/>
          <w:i/>
          <w:color w:val="auto"/>
          <w:sz w:val="24"/>
          <w:szCs w:val="24"/>
          <w:lang w:val="pt-PT"/>
        </w:rPr>
        <w:t>Estado de Sonora</w:t>
      </w:r>
      <w:r w:rsidR="0028289A" w:rsidRPr="003A1174">
        <w:rPr>
          <w:rFonts w:ascii="Garamond" w:hAnsi="Garamond" w:cs="Arial"/>
          <w:i/>
          <w:color w:val="auto"/>
          <w:sz w:val="24"/>
          <w:szCs w:val="24"/>
          <w:lang w:val="pt-PT"/>
        </w:rPr>
        <w:t>,</w:t>
      </w:r>
      <w:r w:rsidRPr="003A1174">
        <w:rPr>
          <w:rFonts w:ascii="Garamond" w:hAnsi="Garamond" w:cs="Arial"/>
          <w:color w:val="auto"/>
          <w:sz w:val="24"/>
          <w:szCs w:val="24"/>
          <w:lang w:val="pt-PT"/>
        </w:rPr>
        <w:t xml:space="preserve"> a partir de</w:t>
      </w:r>
      <w:r w:rsidR="009B7DC1" w:rsidRPr="003A1174">
        <w:rPr>
          <w:rFonts w:ascii="Garamond" w:hAnsi="Garamond" w:cs="Arial"/>
          <w:color w:val="auto"/>
          <w:sz w:val="24"/>
          <w:szCs w:val="24"/>
          <w:lang w:val="pt-PT"/>
        </w:rPr>
        <w:t xml:space="preserve"> 23 de </w:t>
      </w:r>
      <w:r w:rsidR="0094067E" w:rsidRPr="003A1174">
        <w:rPr>
          <w:rFonts w:ascii="Garamond" w:hAnsi="Garamond" w:cs="Arial"/>
          <w:color w:val="auto"/>
          <w:sz w:val="24"/>
          <w:szCs w:val="24"/>
          <w:lang w:val="pt-PT"/>
        </w:rPr>
        <w:t>dezembro</w:t>
      </w:r>
      <w:r w:rsidR="009B7DC1" w:rsidRPr="003A1174">
        <w:rPr>
          <w:rFonts w:ascii="Garamond" w:hAnsi="Garamond" w:cs="Arial"/>
          <w:color w:val="auto"/>
          <w:sz w:val="24"/>
          <w:szCs w:val="24"/>
          <w:lang w:val="pt-PT"/>
        </w:rPr>
        <w:t xml:space="preserve"> de 2013</w:t>
      </w:r>
      <w:r w:rsidR="00F45A3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F45A34">
        <w:rPr>
          <w:rFonts w:ascii="Garamond" w:hAnsi="Garamond" w:cs="Arial"/>
          <w:color w:val="auto"/>
          <w:sz w:val="24"/>
          <w:szCs w:val="24"/>
          <w:lang w:val="pt-PT"/>
        </w:rPr>
        <w:t xml:space="preserve">decidiu-se </w:t>
      </w:r>
      <w:r w:rsidR="009B7DC1"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redução</w:t>
      </w:r>
      <w:r w:rsidR="009B7DC1" w:rsidRPr="003A1174">
        <w:rPr>
          <w:rFonts w:ascii="Garamond" w:hAnsi="Garamond" w:cs="Arial"/>
          <w:color w:val="auto"/>
          <w:sz w:val="24"/>
          <w:szCs w:val="24"/>
          <w:lang w:val="pt-PT"/>
        </w:rPr>
        <w:t xml:space="preserve"> de 12 </w:t>
      </w:r>
      <w:r w:rsidRPr="003A1174">
        <w:rPr>
          <w:rFonts w:ascii="Garamond" w:hAnsi="Garamond" w:cs="Arial"/>
          <w:color w:val="auto"/>
          <w:sz w:val="24"/>
          <w:szCs w:val="24"/>
          <w:lang w:val="pt-PT"/>
        </w:rPr>
        <w:t>par</w:t>
      </w:r>
      <w:r w:rsidR="009B7DC1" w:rsidRPr="003A1174">
        <w:rPr>
          <w:rFonts w:ascii="Garamond" w:hAnsi="Garamond" w:cs="Arial"/>
          <w:color w:val="auto"/>
          <w:sz w:val="24"/>
          <w:szCs w:val="24"/>
          <w:lang w:val="pt-PT"/>
        </w:rPr>
        <w:t xml:space="preserve">a 8 horas </w:t>
      </w:r>
      <w:r w:rsidRPr="003A1174">
        <w:rPr>
          <w:rFonts w:ascii="Garamond" w:hAnsi="Garamond" w:cs="Arial"/>
          <w:color w:val="auto"/>
          <w:sz w:val="24"/>
          <w:szCs w:val="24"/>
          <w:lang w:val="pt-PT"/>
        </w:rPr>
        <w:t xml:space="preserve">no </w:t>
      </w:r>
      <w:r w:rsidR="0005622E" w:rsidRPr="003A1174">
        <w:rPr>
          <w:rFonts w:ascii="Garamond" w:hAnsi="Garamond" w:cs="Arial"/>
          <w:color w:val="auto"/>
          <w:sz w:val="24"/>
          <w:szCs w:val="24"/>
          <w:lang w:val="pt-PT"/>
        </w:rPr>
        <w:t>prazo</w:t>
      </w:r>
      <w:r w:rsidRPr="003A1174">
        <w:rPr>
          <w:rFonts w:ascii="Garamond" w:hAnsi="Garamond" w:cs="Arial"/>
          <w:color w:val="auto"/>
          <w:sz w:val="24"/>
          <w:szCs w:val="24"/>
          <w:lang w:val="pt-PT"/>
        </w:rPr>
        <w:t xml:space="preserve"> para </w:t>
      </w:r>
      <w:r w:rsidR="009B7DC1" w:rsidRPr="003A1174">
        <w:rPr>
          <w:rFonts w:ascii="Garamond" w:hAnsi="Garamond" w:cs="Arial"/>
          <w:color w:val="auto"/>
          <w:sz w:val="24"/>
          <w:szCs w:val="24"/>
          <w:lang w:val="pt-PT"/>
        </w:rPr>
        <w:t xml:space="preserve">a </w:t>
      </w:r>
      <w:r w:rsidR="00CD707D" w:rsidRPr="003A1174">
        <w:rPr>
          <w:rFonts w:ascii="Garamond" w:hAnsi="Garamond" w:cs="Arial"/>
          <w:color w:val="auto"/>
          <w:sz w:val="24"/>
          <w:szCs w:val="24"/>
          <w:lang w:val="pt-PT"/>
        </w:rPr>
        <w:t>emissão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B7DC1" w:rsidRPr="003A1174">
        <w:rPr>
          <w:rFonts w:ascii="Garamond" w:hAnsi="Garamond" w:cs="Arial"/>
          <w:color w:val="auto"/>
          <w:sz w:val="24"/>
          <w:szCs w:val="24"/>
          <w:lang w:val="pt-PT"/>
        </w:rPr>
        <w:t xml:space="preserve"> ta</w:t>
      </w:r>
      <w:r w:rsidRPr="003A1174">
        <w:rPr>
          <w:rFonts w:ascii="Garamond" w:hAnsi="Garamond" w:cs="Arial"/>
          <w:color w:val="auto"/>
          <w:sz w:val="24"/>
          <w:szCs w:val="24"/>
          <w:lang w:val="pt-PT"/>
        </w:rPr>
        <w:t>i</w:t>
      </w:r>
      <w:r w:rsidR="009B7DC1" w:rsidRPr="003A1174">
        <w:rPr>
          <w:rFonts w:ascii="Garamond" w:hAnsi="Garamond" w:cs="Arial"/>
          <w:color w:val="auto"/>
          <w:sz w:val="24"/>
          <w:szCs w:val="24"/>
          <w:lang w:val="pt-PT"/>
        </w:rPr>
        <w:t xml:space="preserve">s </w:t>
      </w:r>
      <w:r w:rsidR="00976FB8"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Também</w:t>
      </w:r>
      <w:r w:rsidR="009B7DC1" w:rsidRPr="003A1174">
        <w:rPr>
          <w:rFonts w:ascii="Garamond" w:hAnsi="Garamond" w:cs="Arial"/>
          <w:color w:val="auto"/>
          <w:sz w:val="24"/>
          <w:szCs w:val="24"/>
          <w:lang w:val="pt-PT"/>
        </w:rPr>
        <w:t xml:space="preserve"> se </w:t>
      </w:r>
      <w:r w:rsidRPr="003A1174">
        <w:rPr>
          <w:rFonts w:ascii="Garamond" w:hAnsi="Garamond" w:cs="Arial"/>
          <w:color w:val="auto"/>
          <w:sz w:val="24"/>
          <w:szCs w:val="24"/>
          <w:lang w:val="pt-PT"/>
        </w:rPr>
        <w:t xml:space="preserve">estabeleceu </w:t>
      </w:r>
      <w:r w:rsidR="009B7DC1" w:rsidRPr="003A1174">
        <w:rPr>
          <w:rFonts w:ascii="Garamond" w:hAnsi="Garamond" w:cs="Arial"/>
          <w:color w:val="auto"/>
          <w:sz w:val="24"/>
          <w:szCs w:val="24"/>
          <w:lang w:val="pt-PT"/>
        </w:rPr>
        <w:t>a i</w:t>
      </w:r>
      <w:r w:rsidRPr="003A1174">
        <w:rPr>
          <w:rFonts w:ascii="Garamond" w:hAnsi="Garamond" w:cs="Arial"/>
          <w:color w:val="auto"/>
          <w:sz w:val="24"/>
          <w:szCs w:val="24"/>
          <w:lang w:val="pt-PT"/>
        </w:rPr>
        <w:t>mediata separação</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152A44" w:rsidRPr="003A1174">
        <w:rPr>
          <w:rFonts w:ascii="Garamond" w:hAnsi="Garamond" w:cs="Arial"/>
          <w:color w:val="auto"/>
          <w:sz w:val="24"/>
          <w:szCs w:val="24"/>
          <w:lang w:val="pt-PT"/>
        </w:rPr>
        <w:t>domicílio</w:t>
      </w:r>
      <w:r w:rsidRPr="003A1174">
        <w:rPr>
          <w:rFonts w:ascii="Garamond" w:hAnsi="Garamond" w:cs="Arial"/>
          <w:color w:val="auto"/>
          <w:sz w:val="24"/>
          <w:szCs w:val="24"/>
          <w:lang w:val="pt-PT"/>
        </w:rPr>
        <w:t xml:space="preserve"> onde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E34DB3" w:rsidRPr="003A1174">
        <w:rPr>
          <w:rFonts w:ascii="Garamond" w:hAnsi="Garamond" w:cs="Arial"/>
          <w:color w:val="auto"/>
          <w:sz w:val="24"/>
          <w:szCs w:val="24"/>
          <w:lang w:val="pt-PT"/>
        </w:rPr>
        <w:t xml:space="preserve"> habitar</w:t>
      </w:r>
      <w:r w:rsidR="009B7DC1"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as</w:t>
      </w:r>
      <w:r w:rsidRPr="003A1174">
        <w:rPr>
          <w:rFonts w:ascii="Garamond" w:hAnsi="Garamond" w:cs="Arial"/>
          <w:color w:val="auto"/>
          <w:sz w:val="24"/>
          <w:szCs w:val="24"/>
          <w:lang w:val="pt-PT"/>
        </w:rPr>
        <w:t xml:space="preserve">sim como </w:t>
      </w:r>
      <w:r w:rsidR="009B7DC1" w:rsidRPr="003A1174">
        <w:rPr>
          <w:rFonts w:ascii="Garamond" w:hAnsi="Garamond" w:cs="Arial"/>
          <w:color w:val="auto"/>
          <w:sz w:val="24"/>
          <w:szCs w:val="24"/>
          <w:lang w:val="pt-PT"/>
        </w:rPr>
        <w:t xml:space="preserve">a </w:t>
      </w:r>
      <w:r w:rsidR="00A862C2" w:rsidRPr="003A1174">
        <w:rPr>
          <w:rFonts w:ascii="Garamond" w:hAnsi="Garamond" w:cs="Arial"/>
          <w:color w:val="auto"/>
          <w:sz w:val="24"/>
          <w:szCs w:val="24"/>
          <w:lang w:val="pt-PT"/>
        </w:rPr>
        <w:t>proibição</w:t>
      </w:r>
      <w:r w:rsidR="009B7DC1"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 xml:space="preserve">o </w:t>
      </w:r>
      <w:r w:rsidR="009B7DC1" w:rsidRPr="003A1174">
        <w:rPr>
          <w:rFonts w:ascii="Garamond" w:hAnsi="Garamond" w:cs="Arial"/>
          <w:color w:val="auto"/>
          <w:sz w:val="24"/>
          <w:szCs w:val="24"/>
          <w:lang w:val="pt-PT"/>
        </w:rPr>
        <w:t>pro</w:t>
      </w:r>
      <w:r w:rsidRPr="003A1174">
        <w:rPr>
          <w:rFonts w:ascii="Garamond" w:hAnsi="Garamond" w:cs="Arial"/>
          <w:color w:val="auto"/>
          <w:sz w:val="24"/>
          <w:szCs w:val="24"/>
          <w:lang w:val="pt-PT"/>
        </w:rPr>
        <w:t xml:space="preserve">vável </w:t>
      </w:r>
      <w:r w:rsidR="00FC1F7F" w:rsidRPr="003A1174">
        <w:rPr>
          <w:rFonts w:ascii="Garamond" w:hAnsi="Garamond" w:cs="Arial"/>
          <w:color w:val="auto"/>
          <w:sz w:val="24"/>
          <w:szCs w:val="24"/>
          <w:lang w:val="pt-PT"/>
        </w:rPr>
        <w:t>responsável</w:t>
      </w:r>
      <w:r w:rsidR="009B7DC1" w:rsidRPr="003A1174">
        <w:rPr>
          <w:rFonts w:ascii="Garamond" w:hAnsi="Garamond" w:cs="Arial"/>
          <w:color w:val="auto"/>
          <w:sz w:val="24"/>
          <w:szCs w:val="24"/>
          <w:lang w:val="pt-PT"/>
        </w:rPr>
        <w:t xml:space="preserve"> de </w:t>
      </w:r>
      <w:r w:rsidRPr="003A1174">
        <w:rPr>
          <w:rFonts w:ascii="Garamond" w:hAnsi="Garamond" w:cs="Arial"/>
          <w:color w:val="auto"/>
          <w:sz w:val="24"/>
          <w:szCs w:val="24"/>
          <w:lang w:val="pt-PT"/>
        </w:rPr>
        <w:t xml:space="preserve">se aproximar do </w:t>
      </w:r>
      <w:r w:rsidR="00152A44" w:rsidRPr="003A1174">
        <w:rPr>
          <w:rFonts w:ascii="Garamond" w:hAnsi="Garamond" w:cs="Arial"/>
          <w:color w:val="auto"/>
          <w:sz w:val="24"/>
          <w:szCs w:val="24"/>
          <w:lang w:val="pt-PT"/>
        </w:rPr>
        <w:t>domicílio</w:t>
      </w:r>
      <w:r w:rsidR="009B7DC1"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local</w:t>
      </w:r>
      <w:r w:rsidR="009B7DC1"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trabalho</w:t>
      </w:r>
      <w:r w:rsidR="009B7DC1"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de </w:t>
      </w:r>
      <w:r w:rsidR="003F012B" w:rsidRPr="003A1174">
        <w:rPr>
          <w:rFonts w:ascii="Garamond" w:hAnsi="Garamond" w:cs="Arial"/>
          <w:color w:val="auto"/>
          <w:sz w:val="24"/>
          <w:szCs w:val="24"/>
          <w:lang w:val="pt-PT"/>
        </w:rPr>
        <w:t>estudo</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6D4D0B" w:rsidRPr="003A1174">
        <w:rPr>
          <w:rFonts w:ascii="Garamond" w:hAnsi="Garamond" w:cs="Arial"/>
          <w:color w:val="auto"/>
          <w:sz w:val="24"/>
          <w:szCs w:val="24"/>
          <w:lang w:val="pt-PT"/>
        </w:rPr>
        <w:t>ascendente</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6D4D0B" w:rsidRPr="003A1174">
        <w:rPr>
          <w:rFonts w:ascii="Garamond" w:hAnsi="Garamond" w:cs="Arial"/>
          <w:color w:val="auto"/>
          <w:sz w:val="24"/>
          <w:szCs w:val="24"/>
          <w:lang w:val="pt-PT"/>
        </w:rPr>
        <w:t>descendente</w:t>
      </w:r>
      <w:r w:rsidR="009B7DC1" w:rsidRPr="003A1174">
        <w:rPr>
          <w:rFonts w:ascii="Garamond" w:hAnsi="Garamond" w:cs="Arial"/>
          <w:color w:val="auto"/>
          <w:sz w:val="24"/>
          <w:szCs w:val="24"/>
          <w:lang w:val="pt-PT"/>
        </w:rPr>
        <w:t>s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w:t>
      </w:r>
      <w:r w:rsidR="0028289A" w:rsidRPr="003A1174">
        <w:rPr>
          <w:rFonts w:ascii="Garamond" w:hAnsi="Garamond" w:cs="Arial"/>
          <w:color w:val="auto"/>
          <w:sz w:val="24"/>
          <w:szCs w:val="24"/>
          <w:lang w:val="pt-PT"/>
        </w:rPr>
        <w:t xml:space="preserve">de </w:t>
      </w:r>
      <w:r w:rsidR="007342D9" w:rsidRPr="003A1174">
        <w:rPr>
          <w:rFonts w:ascii="Garamond" w:hAnsi="Garamond" w:cs="Arial"/>
          <w:color w:val="auto"/>
          <w:sz w:val="24"/>
          <w:szCs w:val="24"/>
          <w:lang w:val="pt-PT"/>
        </w:rPr>
        <w:t>qualquer</w:t>
      </w:r>
      <w:r w:rsidR="009B7DC1" w:rsidRPr="003A1174">
        <w:rPr>
          <w:rFonts w:ascii="Garamond" w:hAnsi="Garamond" w:cs="Arial"/>
          <w:color w:val="auto"/>
          <w:sz w:val="24"/>
          <w:szCs w:val="24"/>
          <w:lang w:val="pt-PT"/>
        </w:rPr>
        <w:t xml:space="preserve"> </w:t>
      </w:r>
      <w:r w:rsidR="002B6C5B" w:rsidRPr="003A1174">
        <w:rPr>
          <w:rFonts w:ascii="Garamond" w:hAnsi="Garamond" w:cs="Arial"/>
          <w:color w:val="auto"/>
          <w:sz w:val="24"/>
          <w:szCs w:val="24"/>
          <w:lang w:val="pt-PT"/>
        </w:rPr>
        <w:t>outra</w:t>
      </w:r>
      <w:r w:rsidR="009B7DC1" w:rsidRPr="003A1174">
        <w:rPr>
          <w:rFonts w:ascii="Garamond" w:hAnsi="Garamond" w:cs="Arial"/>
          <w:color w:val="auto"/>
          <w:sz w:val="24"/>
          <w:szCs w:val="24"/>
          <w:lang w:val="pt-PT"/>
        </w:rPr>
        <w:t xml:space="preserve"> </w:t>
      </w:r>
      <w:r w:rsidR="0005622E" w:rsidRPr="003A1174">
        <w:rPr>
          <w:rFonts w:ascii="Garamond" w:hAnsi="Garamond" w:cs="Arial"/>
          <w:color w:val="auto"/>
          <w:sz w:val="24"/>
          <w:szCs w:val="24"/>
          <w:lang w:val="pt-PT"/>
        </w:rPr>
        <w:t>pessoa</w:t>
      </w:r>
      <w:r w:rsidRPr="003A1174">
        <w:rPr>
          <w:rFonts w:ascii="Garamond" w:hAnsi="Garamond" w:cs="Arial"/>
          <w:color w:val="auto"/>
          <w:sz w:val="24"/>
          <w:szCs w:val="24"/>
          <w:lang w:val="pt-PT"/>
        </w:rPr>
        <w:t xml:space="preserve"> que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 freq</w:t>
      </w:r>
      <w:r w:rsidR="009B7DC1" w:rsidRPr="003A1174">
        <w:rPr>
          <w:rFonts w:ascii="Garamond" w:hAnsi="Garamond" w:cs="Arial"/>
          <w:color w:val="auto"/>
          <w:sz w:val="24"/>
          <w:szCs w:val="24"/>
          <w:lang w:val="pt-PT"/>
        </w:rPr>
        <w:t xml:space="preserve">uente. </w:t>
      </w:r>
    </w:p>
    <w:p w:rsidR="009B7DC1" w:rsidRPr="003A1174" w:rsidRDefault="006B29BF"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9B7DC1" w:rsidRPr="003A1174">
        <w:rPr>
          <w:rFonts w:ascii="Garamond" w:hAnsi="Garamond" w:cs="Arial"/>
          <w:i/>
          <w:color w:val="auto"/>
          <w:sz w:val="24"/>
          <w:szCs w:val="24"/>
          <w:lang w:val="pt-PT"/>
        </w:rPr>
        <w:t>Estado de Hidalgo</w:t>
      </w:r>
      <w:r w:rsidR="0028289A" w:rsidRPr="003A1174">
        <w:rPr>
          <w:rFonts w:ascii="Garamond" w:hAnsi="Garamond" w:cs="Arial"/>
          <w:i/>
          <w:color w:val="auto"/>
          <w:sz w:val="24"/>
          <w:szCs w:val="24"/>
          <w:lang w:val="pt-PT"/>
        </w:rPr>
        <w:t>,</w:t>
      </w:r>
      <w:r w:rsidR="009B7DC1" w:rsidRPr="003A1174">
        <w:rPr>
          <w:rFonts w:ascii="Garamond" w:hAnsi="Garamond" w:cs="Arial"/>
          <w:i/>
          <w:color w:val="auto"/>
          <w:sz w:val="24"/>
          <w:szCs w:val="24"/>
          <w:lang w:val="pt-PT"/>
        </w:rPr>
        <w:t xml:space="preserve"> </w:t>
      </w:r>
      <w:r w:rsidRPr="003A1174">
        <w:rPr>
          <w:rFonts w:ascii="Garamond" w:hAnsi="Garamond" w:cs="Arial"/>
          <w:color w:val="auto"/>
          <w:sz w:val="24"/>
          <w:szCs w:val="24"/>
          <w:lang w:val="pt-PT"/>
        </w:rPr>
        <w:t>a partir de</w:t>
      </w:r>
      <w:r w:rsidR="009B7DC1" w:rsidRPr="003A1174">
        <w:rPr>
          <w:rFonts w:ascii="Garamond" w:hAnsi="Garamond" w:cs="Arial"/>
          <w:color w:val="auto"/>
          <w:sz w:val="24"/>
          <w:szCs w:val="24"/>
          <w:lang w:val="pt-PT"/>
        </w:rPr>
        <w:t xml:space="preserve"> 31 de </w:t>
      </w:r>
      <w:r w:rsidR="0094067E" w:rsidRPr="003A1174">
        <w:rPr>
          <w:rFonts w:ascii="Garamond" w:hAnsi="Garamond" w:cs="Arial"/>
          <w:color w:val="auto"/>
          <w:sz w:val="24"/>
          <w:szCs w:val="24"/>
          <w:lang w:val="pt-PT"/>
        </w:rPr>
        <w:t>dezembro</w:t>
      </w:r>
      <w:r w:rsidRPr="003A1174">
        <w:rPr>
          <w:rFonts w:ascii="Garamond" w:hAnsi="Garamond" w:cs="Arial"/>
          <w:color w:val="auto"/>
          <w:sz w:val="24"/>
          <w:szCs w:val="24"/>
          <w:lang w:val="pt-PT"/>
        </w:rPr>
        <w:t xml:space="preserve"> de</w:t>
      </w:r>
      <w:r w:rsidR="009B7DC1" w:rsidRPr="003A1174">
        <w:rPr>
          <w:rFonts w:ascii="Garamond" w:hAnsi="Garamond" w:cs="Arial"/>
          <w:color w:val="auto"/>
          <w:sz w:val="24"/>
          <w:szCs w:val="24"/>
          <w:lang w:val="pt-PT"/>
        </w:rPr>
        <w:t xml:space="preserve"> 201</w:t>
      </w:r>
      <w:r w:rsidR="00E55BB9" w:rsidRPr="003A1174">
        <w:rPr>
          <w:rFonts w:ascii="Garamond" w:hAnsi="Garamond" w:cs="Arial"/>
          <w:color w:val="auto"/>
          <w:sz w:val="24"/>
          <w:szCs w:val="24"/>
          <w:lang w:val="pt-PT"/>
        </w:rPr>
        <w:t>3</w:t>
      </w:r>
      <w:r w:rsidR="00F45A3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F45A34">
        <w:rPr>
          <w:rFonts w:ascii="Garamond" w:hAnsi="Garamond" w:cs="Arial"/>
          <w:color w:val="auto"/>
          <w:sz w:val="24"/>
          <w:szCs w:val="24"/>
          <w:lang w:val="pt-PT"/>
        </w:rPr>
        <w:t>determinou-</w:t>
      </w:r>
      <w:r w:rsidRPr="003A1174">
        <w:rPr>
          <w:rFonts w:ascii="Garamond" w:hAnsi="Garamond" w:cs="Arial"/>
          <w:color w:val="auto"/>
          <w:sz w:val="24"/>
          <w:szCs w:val="24"/>
          <w:lang w:val="pt-PT"/>
        </w:rPr>
        <w:t xml:space="preserve">se que </w:t>
      </w:r>
      <w:r w:rsidR="009B7DC1" w:rsidRPr="003A1174">
        <w:rPr>
          <w:rFonts w:ascii="Garamond" w:hAnsi="Garamond" w:cs="Arial"/>
          <w:color w:val="auto"/>
          <w:sz w:val="24"/>
          <w:szCs w:val="24"/>
          <w:lang w:val="pt-PT"/>
        </w:rPr>
        <w:t xml:space="preserve">as </w:t>
      </w:r>
      <w:r w:rsidR="00976FB8"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9B7DC1"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deve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durar todo </w:t>
      </w:r>
      <w:r w:rsidRPr="003A1174">
        <w:rPr>
          <w:rFonts w:ascii="Garamond" w:hAnsi="Garamond" w:cs="Arial"/>
          <w:color w:val="auto"/>
          <w:sz w:val="24"/>
          <w:szCs w:val="24"/>
          <w:lang w:val="pt-PT"/>
        </w:rPr>
        <w:t xml:space="preserve">o </w:t>
      </w:r>
      <w:r w:rsidR="003F012B" w:rsidRPr="003A1174">
        <w:rPr>
          <w:rFonts w:ascii="Garamond" w:hAnsi="Garamond" w:cs="Arial"/>
          <w:color w:val="auto"/>
          <w:sz w:val="24"/>
          <w:szCs w:val="24"/>
          <w:lang w:val="pt-PT"/>
        </w:rPr>
        <w:t>tempo</w:t>
      </w:r>
      <w:r w:rsidRPr="003A1174">
        <w:rPr>
          <w:rFonts w:ascii="Garamond" w:hAnsi="Garamond" w:cs="Arial"/>
          <w:color w:val="auto"/>
          <w:sz w:val="24"/>
          <w:szCs w:val="24"/>
          <w:lang w:val="pt-PT"/>
        </w:rPr>
        <w:t xml:space="preserve"> que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 se </w:t>
      </w:r>
      <w:r w:rsidR="006D4D0B" w:rsidRPr="003A1174">
        <w:rPr>
          <w:rFonts w:ascii="Garamond" w:hAnsi="Garamond" w:cs="Arial"/>
          <w:color w:val="auto"/>
          <w:sz w:val="24"/>
          <w:szCs w:val="24"/>
          <w:lang w:val="pt-PT"/>
        </w:rPr>
        <w:t>encontr</w:t>
      </w:r>
      <w:r w:rsidRPr="003A1174">
        <w:rPr>
          <w:rFonts w:ascii="Garamond" w:hAnsi="Garamond" w:cs="Arial"/>
          <w:color w:val="auto"/>
          <w:sz w:val="24"/>
          <w:szCs w:val="24"/>
          <w:lang w:val="pt-PT"/>
        </w:rPr>
        <w:t>ar exposta</w:t>
      </w:r>
      <w:r w:rsidR="009B7DC1"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8651AF" w:rsidRPr="003A1174">
        <w:rPr>
          <w:rFonts w:ascii="Garamond" w:hAnsi="Garamond" w:cs="Arial"/>
          <w:color w:val="auto"/>
          <w:sz w:val="24"/>
          <w:szCs w:val="24"/>
          <w:lang w:val="pt-PT"/>
        </w:rPr>
        <w:t>risco</w:t>
      </w:r>
      <w:r w:rsidR="009B7DC1" w:rsidRPr="003A1174">
        <w:rPr>
          <w:rFonts w:ascii="Garamond" w:hAnsi="Garamond" w:cs="Arial"/>
          <w:color w:val="auto"/>
          <w:sz w:val="24"/>
          <w:szCs w:val="24"/>
          <w:lang w:val="pt-PT"/>
        </w:rPr>
        <w:t>.</w:t>
      </w:r>
    </w:p>
    <w:p w:rsidR="009B7DC1" w:rsidRPr="003A1174" w:rsidRDefault="006B29BF"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No</w:t>
      </w:r>
      <w:r w:rsidR="009B7DC1" w:rsidRPr="003A1174">
        <w:rPr>
          <w:rFonts w:ascii="Garamond" w:hAnsi="Garamond" w:cs="Arial"/>
          <w:color w:val="auto"/>
          <w:sz w:val="24"/>
          <w:szCs w:val="24"/>
          <w:lang w:val="pt-PT"/>
        </w:rPr>
        <w:t xml:space="preserve"> </w:t>
      </w:r>
      <w:r w:rsidR="009B7DC1" w:rsidRPr="003A1174">
        <w:rPr>
          <w:rFonts w:ascii="Garamond" w:hAnsi="Garamond" w:cs="Arial"/>
          <w:i/>
          <w:color w:val="auto"/>
          <w:sz w:val="24"/>
          <w:szCs w:val="24"/>
          <w:lang w:val="pt-PT"/>
        </w:rPr>
        <w:t xml:space="preserve">Estado de </w:t>
      </w:r>
      <w:r w:rsidRPr="003A1174">
        <w:rPr>
          <w:rFonts w:ascii="Garamond" w:hAnsi="Garamond" w:cs="Arial"/>
          <w:i/>
          <w:color w:val="auto"/>
          <w:sz w:val="24"/>
          <w:szCs w:val="24"/>
          <w:lang w:val="pt-PT"/>
        </w:rPr>
        <w:t>Yucatán,</w:t>
      </w:r>
      <w:r w:rsidRPr="003A1174">
        <w:rPr>
          <w:rFonts w:ascii="Garamond" w:hAnsi="Garamond" w:cs="Arial"/>
          <w:color w:val="auto"/>
          <w:sz w:val="24"/>
          <w:szCs w:val="24"/>
          <w:lang w:val="pt-PT"/>
        </w:rPr>
        <w:t xml:space="preserve"> estabeleceu-se</w:t>
      </w:r>
      <w:r w:rsidR="009B7DC1" w:rsidRPr="003A1174">
        <w:rPr>
          <w:rFonts w:ascii="Garamond" w:hAnsi="Garamond" w:cs="Arial"/>
          <w:color w:val="auto"/>
          <w:sz w:val="24"/>
          <w:szCs w:val="24"/>
          <w:lang w:val="pt-PT"/>
        </w:rPr>
        <w:t xml:space="preserve"> que a partir de 1 de </w:t>
      </w:r>
      <w:r w:rsidR="00077461" w:rsidRPr="003A1174">
        <w:rPr>
          <w:rFonts w:ascii="Garamond" w:hAnsi="Garamond" w:cs="Arial"/>
          <w:color w:val="auto"/>
          <w:sz w:val="24"/>
          <w:szCs w:val="24"/>
          <w:lang w:val="pt-PT"/>
        </w:rPr>
        <w:t>junho</w:t>
      </w:r>
      <w:r w:rsidRPr="003A1174">
        <w:rPr>
          <w:rFonts w:ascii="Garamond" w:hAnsi="Garamond" w:cs="Arial"/>
          <w:color w:val="auto"/>
          <w:sz w:val="24"/>
          <w:szCs w:val="24"/>
          <w:lang w:val="pt-PT"/>
        </w:rPr>
        <w:t xml:space="preserve"> de 2014, </w:t>
      </w:r>
      <w:r w:rsidR="009B7DC1" w:rsidRPr="003A1174">
        <w:rPr>
          <w:rFonts w:ascii="Garamond" w:hAnsi="Garamond" w:cs="Arial"/>
          <w:color w:val="auto"/>
          <w:sz w:val="24"/>
          <w:szCs w:val="24"/>
          <w:lang w:val="pt-PT"/>
        </w:rPr>
        <w:t xml:space="preserve">as </w:t>
      </w:r>
      <w:r w:rsidR="00976FB8" w:rsidRPr="003A1174">
        <w:rPr>
          <w:rFonts w:ascii="Garamond" w:hAnsi="Garamond" w:cs="Arial"/>
          <w:color w:val="auto"/>
          <w:sz w:val="24"/>
          <w:szCs w:val="24"/>
          <w:lang w:val="pt-PT"/>
        </w:rPr>
        <w:t>Ordens</w:t>
      </w:r>
      <w:r w:rsidR="009B7D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009B7DC1" w:rsidRPr="003A1174">
        <w:rPr>
          <w:rFonts w:ascii="Garamond" w:hAnsi="Garamond" w:cs="Arial"/>
          <w:color w:val="auto"/>
          <w:sz w:val="24"/>
          <w:szCs w:val="24"/>
          <w:lang w:val="pt-PT"/>
        </w:rPr>
        <w:t xml:space="preserve"> obedece</w:t>
      </w:r>
      <w:r w:rsidRPr="003A1174">
        <w:rPr>
          <w:rFonts w:ascii="Garamond" w:hAnsi="Garamond" w:cs="Arial"/>
          <w:color w:val="auto"/>
          <w:sz w:val="24"/>
          <w:szCs w:val="24"/>
          <w:lang w:val="pt-PT"/>
        </w:rPr>
        <w:t>m à seguinte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cat</w:t>
      </w:r>
      <w:r w:rsidR="00E34DB3" w:rsidRPr="003A1174">
        <w:rPr>
          <w:rFonts w:ascii="Garamond" w:hAnsi="Garamond" w:cs="Arial"/>
          <w:color w:val="auto"/>
          <w:sz w:val="24"/>
          <w:szCs w:val="24"/>
          <w:lang w:val="pt-PT"/>
        </w:rPr>
        <w:t xml:space="preserve">alogação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8843FD" w:rsidRPr="003A1174">
        <w:rPr>
          <w:rFonts w:ascii="Garamond" w:hAnsi="Garamond" w:cs="Arial"/>
          <w:color w:val="auto"/>
          <w:sz w:val="24"/>
          <w:szCs w:val="24"/>
          <w:lang w:val="pt-PT"/>
        </w:rPr>
        <w:t>caraterística</w:t>
      </w:r>
      <w:r w:rsidR="009B7DC1" w:rsidRPr="003A1174">
        <w:rPr>
          <w:rFonts w:ascii="Garamond" w:hAnsi="Garamond" w:cs="Arial"/>
          <w:color w:val="auto"/>
          <w:sz w:val="24"/>
          <w:szCs w:val="24"/>
          <w:lang w:val="pt-PT"/>
        </w:rPr>
        <w:t xml:space="preserve">s: </w:t>
      </w:r>
    </w:p>
    <w:p w:rsidR="009B7DC1" w:rsidRPr="003A1174" w:rsidRDefault="009B7DC1" w:rsidP="002720C5">
      <w:pPr>
        <w:pStyle w:val="Predeterminado"/>
        <w:numPr>
          <w:ilvl w:val="0"/>
          <w:numId w:val="4"/>
        </w:numPr>
        <w:tabs>
          <w:tab w:val="clear" w:pos="708"/>
        </w:tabs>
        <w:spacing w:line="240" w:lineRule="auto"/>
        <w:ind w:left="567" w:firstLine="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De </w:t>
      </w:r>
      <w:r w:rsidR="002720C5">
        <w:rPr>
          <w:rFonts w:ascii="Garamond" w:hAnsi="Garamond" w:cs="Arial"/>
          <w:color w:val="auto"/>
          <w:sz w:val="24"/>
          <w:szCs w:val="24"/>
          <w:lang w:val="pt-PT"/>
        </w:rPr>
        <w:t>«</w:t>
      </w:r>
      <w:r w:rsidR="009E3E55" w:rsidRPr="003A1174">
        <w:rPr>
          <w:rFonts w:ascii="Garamond" w:hAnsi="Garamond" w:cs="Arial"/>
          <w:color w:val="auto"/>
          <w:sz w:val="24"/>
          <w:szCs w:val="24"/>
          <w:lang w:val="pt-PT"/>
        </w:rPr>
        <w:t>Emergência</w:t>
      </w:r>
      <w:r w:rsidR="002720C5">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São</w:t>
      </w:r>
      <w:r w:rsidRPr="003A1174">
        <w:rPr>
          <w:rFonts w:ascii="Garamond" w:hAnsi="Garamond" w:cs="Arial"/>
          <w:color w:val="auto"/>
          <w:sz w:val="24"/>
          <w:szCs w:val="24"/>
          <w:lang w:val="pt-PT"/>
        </w:rPr>
        <w:t xml:space="preserve"> </w:t>
      </w:r>
      <w:r w:rsidR="006B29BF" w:rsidRPr="003A1174">
        <w:rPr>
          <w:rFonts w:ascii="Garamond" w:hAnsi="Garamond" w:cs="Arial"/>
          <w:color w:val="auto"/>
          <w:sz w:val="24"/>
          <w:szCs w:val="24"/>
          <w:lang w:val="pt-PT"/>
        </w:rPr>
        <w:t>aquela</w:t>
      </w:r>
      <w:r w:rsidRPr="003A1174">
        <w:rPr>
          <w:rFonts w:ascii="Garamond" w:hAnsi="Garamond" w:cs="Arial"/>
          <w:color w:val="auto"/>
          <w:sz w:val="24"/>
          <w:szCs w:val="24"/>
          <w:lang w:val="pt-PT"/>
        </w:rPr>
        <w:t>s emitidas pel</w:t>
      </w:r>
      <w:r w:rsidR="006B29BF"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Pr="003A1174">
        <w:rPr>
          <w:rFonts w:ascii="Garamond" w:hAnsi="Garamond" w:cs="Arial"/>
          <w:color w:val="auto"/>
          <w:sz w:val="24"/>
          <w:szCs w:val="24"/>
          <w:lang w:val="pt-PT"/>
        </w:rPr>
        <w:t xml:space="preserve"> Público o</w:t>
      </w:r>
      <w:r w:rsidR="006B29BF" w:rsidRPr="003A1174">
        <w:rPr>
          <w:rFonts w:ascii="Garamond" w:hAnsi="Garamond" w:cs="Arial"/>
          <w:color w:val="auto"/>
          <w:sz w:val="24"/>
          <w:szCs w:val="24"/>
          <w:lang w:val="pt-PT"/>
        </w:rPr>
        <w:t>u</w:t>
      </w:r>
      <w:r w:rsidRPr="003A1174">
        <w:rPr>
          <w:rFonts w:ascii="Garamond" w:hAnsi="Garamond" w:cs="Arial"/>
          <w:color w:val="auto"/>
          <w:sz w:val="24"/>
          <w:szCs w:val="24"/>
          <w:lang w:val="pt-PT"/>
        </w:rPr>
        <w:t xml:space="preserve">, </w:t>
      </w:r>
      <w:r w:rsidR="006B29BF" w:rsidRPr="003A1174">
        <w:rPr>
          <w:rFonts w:ascii="Garamond" w:hAnsi="Garamond" w:cs="Arial"/>
          <w:color w:val="auto"/>
          <w:sz w:val="24"/>
          <w:szCs w:val="24"/>
          <w:lang w:val="pt-PT"/>
        </w:rPr>
        <w:t xml:space="preserve">se for o </w:t>
      </w:r>
      <w:r w:rsidRPr="003A1174">
        <w:rPr>
          <w:rFonts w:ascii="Garamond" w:hAnsi="Garamond" w:cs="Arial"/>
          <w:color w:val="auto"/>
          <w:sz w:val="24"/>
          <w:szCs w:val="24"/>
          <w:lang w:val="pt-PT"/>
        </w:rPr>
        <w:t>caso</w:t>
      </w:r>
      <w:r w:rsidR="00E34DB3"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p</w:t>
      </w:r>
      <w:r w:rsidR="006B29BF" w:rsidRPr="003A1174">
        <w:rPr>
          <w:rFonts w:ascii="Garamond" w:hAnsi="Garamond" w:cs="Arial"/>
          <w:color w:val="auto"/>
          <w:sz w:val="24"/>
          <w:szCs w:val="24"/>
          <w:lang w:val="pt-PT"/>
        </w:rPr>
        <w:t>el</w:t>
      </w:r>
      <w:r w:rsidRPr="003A1174">
        <w:rPr>
          <w:rFonts w:ascii="Garamond" w:hAnsi="Garamond" w:cs="Arial"/>
          <w:color w:val="auto"/>
          <w:sz w:val="24"/>
          <w:szCs w:val="24"/>
          <w:lang w:val="pt-PT"/>
        </w:rPr>
        <w:t xml:space="preserve">a </w:t>
      </w:r>
      <w:r w:rsidR="002F62B0" w:rsidRPr="003A1174">
        <w:rPr>
          <w:rFonts w:ascii="Garamond" w:hAnsi="Garamond" w:cs="Arial"/>
          <w:color w:val="auto"/>
          <w:sz w:val="24"/>
          <w:szCs w:val="24"/>
          <w:lang w:val="pt-PT"/>
        </w:rPr>
        <w:t>autoridade</w:t>
      </w:r>
      <w:r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jurisdicional</w:t>
      </w:r>
      <w:r w:rsidRPr="003A1174">
        <w:rPr>
          <w:rFonts w:ascii="Garamond" w:hAnsi="Garamond" w:cs="Arial"/>
          <w:color w:val="auto"/>
          <w:sz w:val="24"/>
          <w:szCs w:val="24"/>
          <w:lang w:val="pt-PT"/>
        </w:rPr>
        <w:t xml:space="preserve"> dentro </w:t>
      </w:r>
      <w:r w:rsidR="00497503" w:rsidRPr="003A1174">
        <w:rPr>
          <w:rFonts w:ascii="Garamond" w:hAnsi="Garamond" w:cs="Arial"/>
          <w:color w:val="auto"/>
          <w:sz w:val="24"/>
          <w:szCs w:val="24"/>
          <w:lang w:val="pt-PT"/>
        </w:rPr>
        <w:t>das</w:t>
      </w:r>
      <w:r w:rsidRPr="003A1174">
        <w:rPr>
          <w:rFonts w:ascii="Garamond" w:hAnsi="Garamond" w:cs="Arial"/>
          <w:color w:val="auto"/>
          <w:sz w:val="24"/>
          <w:szCs w:val="24"/>
          <w:lang w:val="pt-PT"/>
        </w:rPr>
        <w:t xml:space="preserve"> o</w:t>
      </w:r>
      <w:r w:rsidR="006B29BF" w:rsidRPr="003A1174">
        <w:rPr>
          <w:rFonts w:ascii="Garamond" w:hAnsi="Garamond" w:cs="Arial"/>
          <w:color w:val="auto"/>
          <w:sz w:val="24"/>
          <w:szCs w:val="24"/>
          <w:lang w:val="pt-PT"/>
        </w:rPr>
        <w:t>ito (</w:t>
      </w:r>
      <w:r w:rsidRPr="003A1174">
        <w:rPr>
          <w:rFonts w:ascii="Garamond" w:hAnsi="Garamond" w:cs="Arial"/>
          <w:color w:val="auto"/>
          <w:sz w:val="24"/>
          <w:szCs w:val="24"/>
          <w:lang w:val="pt-PT"/>
        </w:rPr>
        <w:t>8</w:t>
      </w:r>
      <w:r w:rsidR="006B29BF"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horas </w:t>
      </w:r>
      <w:r w:rsidR="008A3DA2"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w:t>
      </w:r>
      <w:r w:rsidR="003E6403" w:rsidRPr="003A1174">
        <w:rPr>
          <w:rFonts w:ascii="Garamond" w:hAnsi="Garamond" w:cs="Arial"/>
          <w:color w:val="auto"/>
          <w:sz w:val="24"/>
          <w:szCs w:val="24"/>
          <w:lang w:val="pt-PT"/>
        </w:rPr>
        <w:t>conhecimento</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w:t>
      </w:r>
      <w:r w:rsidR="001647F2" w:rsidRPr="003A1174">
        <w:rPr>
          <w:rFonts w:ascii="Garamond" w:hAnsi="Garamond" w:cs="Arial"/>
          <w:color w:val="auto"/>
          <w:sz w:val="24"/>
          <w:szCs w:val="24"/>
          <w:lang w:val="pt-PT"/>
        </w:rPr>
        <w:t>facto</w:t>
      </w:r>
      <w:r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pos</w:t>
      </w:r>
      <w:r w:rsidR="006B29BF" w:rsidRPr="003A1174">
        <w:rPr>
          <w:rFonts w:ascii="Garamond" w:hAnsi="Garamond" w:cs="Arial"/>
          <w:color w:val="auto"/>
          <w:sz w:val="24"/>
          <w:szCs w:val="24"/>
          <w:lang w:val="pt-PT"/>
        </w:rPr>
        <w:t>suem uma duração</w:t>
      </w:r>
      <w:r w:rsidRPr="003A1174">
        <w:rPr>
          <w:rFonts w:ascii="Garamond" w:hAnsi="Garamond" w:cs="Arial"/>
          <w:color w:val="auto"/>
          <w:sz w:val="24"/>
          <w:szCs w:val="24"/>
          <w:lang w:val="pt-PT"/>
        </w:rPr>
        <w:t xml:space="preserve"> de 72</w:t>
      </w:r>
      <w:r w:rsidR="0028289A"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horas prorrog</w:t>
      </w:r>
      <w:r w:rsidR="006B29BF" w:rsidRPr="003A1174">
        <w:rPr>
          <w:rFonts w:ascii="Garamond" w:hAnsi="Garamond" w:cs="Arial"/>
          <w:color w:val="auto"/>
          <w:sz w:val="24"/>
          <w:szCs w:val="24"/>
          <w:lang w:val="pt-PT"/>
        </w:rPr>
        <w:t xml:space="preserve">áveis até </w:t>
      </w:r>
      <w:r w:rsidRPr="003A1174">
        <w:rPr>
          <w:rFonts w:ascii="Garamond" w:hAnsi="Garamond" w:cs="Arial"/>
          <w:color w:val="auto"/>
          <w:sz w:val="24"/>
          <w:szCs w:val="24"/>
          <w:lang w:val="pt-PT"/>
        </w:rPr>
        <w:t>se formali</w:t>
      </w:r>
      <w:r w:rsidR="006B29BF" w:rsidRPr="003A1174">
        <w:rPr>
          <w:rFonts w:ascii="Garamond" w:hAnsi="Garamond" w:cs="Arial"/>
          <w:color w:val="auto"/>
          <w:sz w:val="24"/>
          <w:szCs w:val="24"/>
          <w:lang w:val="pt-PT"/>
        </w:rPr>
        <w:t xml:space="preserve">zarem, de acordo com o que corresponder, </w:t>
      </w:r>
      <w:r w:rsidR="001F2F8B" w:rsidRPr="003A1174">
        <w:rPr>
          <w:rFonts w:ascii="Garamond" w:hAnsi="Garamond" w:cs="Arial"/>
          <w:color w:val="auto"/>
          <w:sz w:val="24"/>
          <w:szCs w:val="24"/>
          <w:lang w:val="pt-PT"/>
        </w:rPr>
        <w:t>outro</w:t>
      </w:r>
      <w:r w:rsidRPr="003A1174">
        <w:rPr>
          <w:rFonts w:ascii="Garamond" w:hAnsi="Garamond" w:cs="Arial"/>
          <w:color w:val="auto"/>
          <w:sz w:val="24"/>
          <w:szCs w:val="24"/>
          <w:lang w:val="pt-PT"/>
        </w:rPr>
        <w:t xml:space="preserve">s tipos de </w:t>
      </w:r>
      <w:r w:rsidR="00976FB8" w:rsidRPr="003A1174">
        <w:rPr>
          <w:rFonts w:ascii="Garamond" w:hAnsi="Garamond" w:cs="Arial"/>
          <w:color w:val="auto"/>
          <w:sz w:val="24"/>
          <w:szCs w:val="24"/>
          <w:lang w:val="pt-PT"/>
        </w:rPr>
        <w:t>ordens</w:t>
      </w:r>
      <w:r w:rsidR="006B29BF" w:rsidRPr="003A1174">
        <w:rPr>
          <w:rFonts w:ascii="Garamond" w:hAnsi="Garamond" w:cs="Arial"/>
          <w:color w:val="auto"/>
          <w:sz w:val="24"/>
          <w:szCs w:val="24"/>
          <w:lang w:val="pt-PT"/>
        </w:rPr>
        <w:t xml:space="preserve"> como </w:t>
      </w:r>
      <w:r w:rsidR="0028289A" w:rsidRPr="003A1174">
        <w:rPr>
          <w:rFonts w:ascii="Garamond" w:hAnsi="Garamond" w:cs="Arial"/>
          <w:color w:val="auto"/>
          <w:sz w:val="24"/>
          <w:szCs w:val="24"/>
          <w:lang w:val="pt-PT"/>
        </w:rPr>
        <w:t>a</w:t>
      </w:r>
      <w:r w:rsidRPr="003A1174">
        <w:rPr>
          <w:rFonts w:ascii="Garamond" w:hAnsi="Garamond" w:cs="Arial"/>
          <w:color w:val="auto"/>
          <w:sz w:val="24"/>
          <w:szCs w:val="24"/>
          <w:lang w:val="pt-PT"/>
        </w:rPr>
        <w:t>s que se menciona</w:t>
      </w:r>
      <w:r w:rsidR="006B29BF" w:rsidRPr="003A1174">
        <w:rPr>
          <w:rFonts w:ascii="Garamond" w:hAnsi="Garamond" w:cs="Arial"/>
          <w:color w:val="auto"/>
          <w:sz w:val="24"/>
          <w:szCs w:val="24"/>
          <w:lang w:val="pt-PT"/>
        </w:rPr>
        <w:t>m em seguida</w:t>
      </w:r>
      <w:r w:rsidRPr="003A1174">
        <w:rPr>
          <w:rFonts w:ascii="Garamond" w:hAnsi="Garamond" w:cs="Arial"/>
          <w:color w:val="auto"/>
          <w:sz w:val="24"/>
          <w:szCs w:val="24"/>
          <w:lang w:val="pt-PT"/>
        </w:rPr>
        <w:t>.</w:t>
      </w:r>
    </w:p>
    <w:p w:rsidR="009B7DC1" w:rsidRPr="003A1174" w:rsidRDefault="002720C5" w:rsidP="002720C5">
      <w:pPr>
        <w:pStyle w:val="Predeterminado"/>
        <w:numPr>
          <w:ilvl w:val="0"/>
          <w:numId w:val="4"/>
        </w:numPr>
        <w:tabs>
          <w:tab w:val="clear" w:pos="708"/>
        </w:tabs>
        <w:spacing w:line="240" w:lineRule="auto"/>
        <w:ind w:left="567" w:firstLine="0"/>
        <w:jc w:val="both"/>
        <w:rPr>
          <w:rFonts w:ascii="Garamond" w:hAnsi="Garamond" w:cs="Arial"/>
          <w:color w:val="auto"/>
          <w:sz w:val="24"/>
          <w:szCs w:val="24"/>
          <w:lang w:val="pt-PT"/>
        </w:rPr>
      </w:pPr>
      <w:r>
        <w:rPr>
          <w:rFonts w:ascii="Garamond" w:hAnsi="Garamond" w:cs="Arial"/>
          <w:color w:val="auto"/>
          <w:sz w:val="24"/>
          <w:szCs w:val="24"/>
          <w:lang w:val="pt-PT"/>
        </w:rPr>
        <w:t>«</w:t>
      </w:r>
      <w:r w:rsidR="009B7DC1" w:rsidRPr="003A1174">
        <w:rPr>
          <w:rFonts w:ascii="Garamond" w:hAnsi="Garamond" w:cs="Arial"/>
          <w:color w:val="auto"/>
          <w:sz w:val="24"/>
          <w:szCs w:val="24"/>
          <w:lang w:val="pt-PT"/>
        </w:rPr>
        <w:t>Cautelares</w:t>
      </w:r>
      <w:r>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São</w:t>
      </w:r>
      <w:r w:rsidR="006B29BF"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as emitidas por u</w:t>
      </w:r>
      <w:r w:rsidR="006B29BF"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28289A" w:rsidRPr="003A1174">
        <w:rPr>
          <w:rFonts w:ascii="Garamond" w:hAnsi="Garamond" w:cs="Arial"/>
          <w:color w:val="auto"/>
          <w:sz w:val="24"/>
          <w:szCs w:val="24"/>
          <w:lang w:val="pt-PT"/>
        </w:rPr>
        <w:t xml:space="preserve">tribunal </w:t>
      </w:r>
      <w:r w:rsidR="006B29BF"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9B7DC1" w:rsidRPr="003A1174">
        <w:rPr>
          <w:rFonts w:ascii="Garamond" w:hAnsi="Garamond" w:cs="Arial"/>
          <w:color w:val="auto"/>
          <w:sz w:val="24"/>
          <w:szCs w:val="24"/>
          <w:lang w:val="pt-PT"/>
        </w:rPr>
        <w:t xml:space="preserve"> de u</w:t>
      </w:r>
      <w:r w:rsidR="006B29BF"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processo</w:t>
      </w:r>
      <w:r w:rsidR="009B7DC1"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jurisdicional</w:t>
      </w:r>
      <w:r w:rsidR="0028289A" w:rsidRPr="003A11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6B29BF" w:rsidRPr="003A1174">
        <w:rPr>
          <w:rFonts w:ascii="Garamond" w:hAnsi="Garamond" w:cs="Arial"/>
          <w:color w:val="auto"/>
          <w:sz w:val="24"/>
          <w:szCs w:val="24"/>
          <w:lang w:val="pt-PT"/>
        </w:rPr>
        <w:t xml:space="preserve">quer seja no </w:t>
      </w:r>
      <w:r w:rsidR="00802ACC" w:rsidRPr="003A1174">
        <w:rPr>
          <w:rFonts w:ascii="Garamond" w:hAnsi="Garamond" w:cs="Arial"/>
          <w:color w:val="auto"/>
          <w:sz w:val="24"/>
          <w:szCs w:val="24"/>
          <w:lang w:val="pt-PT"/>
        </w:rPr>
        <w:t>âmbito</w:t>
      </w:r>
      <w:r w:rsidR="009B7DC1" w:rsidRPr="003A1174">
        <w:rPr>
          <w:rFonts w:ascii="Garamond" w:hAnsi="Garamond" w:cs="Arial"/>
          <w:color w:val="auto"/>
          <w:sz w:val="24"/>
          <w:szCs w:val="24"/>
          <w:lang w:val="pt-PT"/>
        </w:rPr>
        <w:t xml:space="preserve"> Penal o</w:t>
      </w:r>
      <w:r w:rsidR="006B29BF" w:rsidRPr="003A1174">
        <w:rPr>
          <w:rFonts w:ascii="Garamond" w:hAnsi="Garamond" w:cs="Arial"/>
          <w:color w:val="auto"/>
          <w:sz w:val="24"/>
          <w:szCs w:val="24"/>
          <w:lang w:val="pt-PT"/>
        </w:rPr>
        <w:t xml:space="preserve">u no </w:t>
      </w:r>
      <w:r w:rsidR="009B7DC1" w:rsidRPr="003A1174">
        <w:rPr>
          <w:rFonts w:ascii="Garamond" w:hAnsi="Garamond" w:cs="Arial"/>
          <w:color w:val="auto"/>
          <w:sz w:val="24"/>
          <w:szCs w:val="24"/>
          <w:lang w:val="pt-PT"/>
        </w:rPr>
        <w:t xml:space="preserve">Familiar,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pos</w:t>
      </w:r>
      <w:r w:rsidR="006B29BF" w:rsidRPr="003A1174">
        <w:rPr>
          <w:rFonts w:ascii="Garamond" w:hAnsi="Garamond" w:cs="Arial"/>
          <w:color w:val="auto"/>
          <w:sz w:val="24"/>
          <w:szCs w:val="24"/>
          <w:lang w:val="pt-PT"/>
        </w:rPr>
        <w:t>suem um</w:t>
      </w:r>
      <w:r w:rsidR="009B7DC1" w:rsidRPr="003A1174">
        <w:rPr>
          <w:rFonts w:ascii="Garamond" w:hAnsi="Garamond" w:cs="Arial"/>
          <w:color w:val="auto"/>
          <w:sz w:val="24"/>
          <w:szCs w:val="24"/>
          <w:lang w:val="pt-PT"/>
        </w:rPr>
        <w:t xml:space="preserve">a </w:t>
      </w:r>
      <w:r w:rsidR="006B29BF" w:rsidRPr="003A1174">
        <w:rPr>
          <w:rFonts w:ascii="Garamond" w:hAnsi="Garamond" w:cs="Arial"/>
          <w:color w:val="auto"/>
          <w:sz w:val="24"/>
          <w:szCs w:val="24"/>
          <w:lang w:val="pt-PT"/>
        </w:rPr>
        <w:t>duração</w:t>
      </w:r>
      <w:r w:rsidR="009B7DC1" w:rsidRPr="003A1174">
        <w:rPr>
          <w:rFonts w:ascii="Garamond" w:hAnsi="Garamond" w:cs="Arial"/>
          <w:color w:val="auto"/>
          <w:sz w:val="24"/>
          <w:szCs w:val="24"/>
          <w:lang w:val="pt-PT"/>
        </w:rPr>
        <w:t xml:space="preserve"> n</w:t>
      </w:r>
      <w:r w:rsidR="006B29BF" w:rsidRPr="003A1174">
        <w:rPr>
          <w:rFonts w:ascii="Garamond" w:hAnsi="Garamond" w:cs="Arial"/>
          <w:color w:val="auto"/>
          <w:sz w:val="24"/>
          <w:szCs w:val="24"/>
          <w:lang w:val="pt-PT"/>
        </w:rPr>
        <w:t>ã</w:t>
      </w:r>
      <w:r w:rsidR="009B7DC1" w:rsidRPr="003A1174">
        <w:rPr>
          <w:rFonts w:ascii="Garamond" w:hAnsi="Garamond" w:cs="Arial"/>
          <w:color w:val="auto"/>
          <w:sz w:val="24"/>
          <w:szCs w:val="24"/>
          <w:lang w:val="pt-PT"/>
        </w:rPr>
        <w:t xml:space="preserve">o </w:t>
      </w:r>
      <w:r w:rsidR="00863197" w:rsidRPr="003A1174">
        <w:rPr>
          <w:rFonts w:ascii="Garamond" w:hAnsi="Garamond" w:cs="Arial"/>
          <w:color w:val="auto"/>
          <w:sz w:val="24"/>
          <w:szCs w:val="24"/>
          <w:lang w:val="pt-PT"/>
        </w:rPr>
        <w:t>maior</w:t>
      </w:r>
      <w:r w:rsidR="009B7DC1" w:rsidRPr="003A1174">
        <w:rPr>
          <w:rFonts w:ascii="Garamond" w:hAnsi="Garamond" w:cs="Arial"/>
          <w:color w:val="auto"/>
          <w:sz w:val="24"/>
          <w:szCs w:val="24"/>
          <w:lang w:val="pt-PT"/>
        </w:rPr>
        <w:t xml:space="preserve"> </w:t>
      </w:r>
      <w:r w:rsidR="006B29BF" w:rsidRPr="003A1174">
        <w:rPr>
          <w:rFonts w:ascii="Garamond" w:hAnsi="Garamond" w:cs="Arial"/>
          <w:color w:val="auto"/>
          <w:sz w:val="24"/>
          <w:szCs w:val="24"/>
          <w:lang w:val="pt-PT"/>
        </w:rPr>
        <w:t xml:space="preserve">do que a </w:t>
      </w:r>
      <w:r w:rsidR="009B7DC1" w:rsidRPr="003A1174">
        <w:rPr>
          <w:rFonts w:ascii="Garamond" w:hAnsi="Garamond" w:cs="Arial"/>
          <w:color w:val="auto"/>
          <w:sz w:val="24"/>
          <w:szCs w:val="24"/>
          <w:lang w:val="pt-PT"/>
        </w:rPr>
        <w:t>que alcan</w:t>
      </w:r>
      <w:r w:rsidR="006B29BF" w:rsidRPr="003A1174">
        <w:rPr>
          <w:rFonts w:ascii="Garamond" w:hAnsi="Garamond" w:cs="Arial"/>
          <w:color w:val="auto"/>
          <w:sz w:val="24"/>
          <w:szCs w:val="24"/>
          <w:lang w:val="pt-PT"/>
        </w:rPr>
        <w:t xml:space="preserve">çar o </w:t>
      </w:r>
      <w:r w:rsidR="002D1021" w:rsidRPr="003A1174">
        <w:rPr>
          <w:rFonts w:ascii="Garamond" w:hAnsi="Garamond" w:cs="Arial"/>
          <w:color w:val="auto"/>
          <w:sz w:val="24"/>
          <w:szCs w:val="24"/>
          <w:lang w:val="pt-PT"/>
        </w:rPr>
        <w:t>processo</w:t>
      </w:r>
      <w:r w:rsidR="009B7DC1" w:rsidRPr="003A1174">
        <w:rPr>
          <w:rFonts w:ascii="Garamond" w:hAnsi="Garamond" w:cs="Arial"/>
          <w:color w:val="auto"/>
          <w:sz w:val="24"/>
          <w:szCs w:val="24"/>
          <w:lang w:val="pt-PT"/>
        </w:rPr>
        <w:t>.</w:t>
      </w:r>
    </w:p>
    <w:p w:rsidR="009B7DC1" w:rsidRPr="003A1174" w:rsidRDefault="002720C5" w:rsidP="002720C5">
      <w:pPr>
        <w:pStyle w:val="Predeterminado"/>
        <w:numPr>
          <w:ilvl w:val="0"/>
          <w:numId w:val="4"/>
        </w:numPr>
        <w:tabs>
          <w:tab w:val="clear" w:pos="708"/>
        </w:tabs>
        <w:spacing w:line="240" w:lineRule="auto"/>
        <w:ind w:left="567" w:firstLine="0"/>
        <w:jc w:val="both"/>
        <w:rPr>
          <w:rFonts w:ascii="Garamond" w:hAnsi="Garamond" w:cs="Arial"/>
          <w:color w:val="auto"/>
          <w:sz w:val="24"/>
          <w:szCs w:val="24"/>
          <w:lang w:val="pt-PT"/>
        </w:rPr>
      </w:pPr>
      <w:r>
        <w:rPr>
          <w:rFonts w:ascii="Garamond" w:hAnsi="Garamond" w:cs="Arial"/>
          <w:color w:val="auto"/>
          <w:sz w:val="24"/>
          <w:szCs w:val="24"/>
          <w:lang w:val="pt-PT"/>
        </w:rPr>
        <w:t>«</w:t>
      </w:r>
      <w:r w:rsidR="009B7DC1" w:rsidRPr="003A1174">
        <w:rPr>
          <w:rFonts w:ascii="Garamond" w:hAnsi="Garamond" w:cs="Arial"/>
          <w:color w:val="auto"/>
          <w:sz w:val="24"/>
          <w:szCs w:val="24"/>
          <w:lang w:val="pt-PT"/>
        </w:rPr>
        <w:t>Definitivas</w:t>
      </w:r>
      <w:r>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006B29BF" w:rsidRPr="003A1174">
        <w:rPr>
          <w:rFonts w:ascii="Garamond" w:hAnsi="Garamond" w:cs="Arial"/>
          <w:color w:val="auto"/>
          <w:sz w:val="24"/>
          <w:szCs w:val="24"/>
          <w:lang w:val="pt-PT"/>
        </w:rPr>
        <w:t xml:space="preserve">Profere-as um </w:t>
      </w:r>
      <w:r w:rsidR="0028289A" w:rsidRPr="003A1174">
        <w:rPr>
          <w:rFonts w:ascii="Garamond" w:hAnsi="Garamond" w:cs="Arial"/>
          <w:color w:val="auto"/>
          <w:sz w:val="24"/>
          <w:szCs w:val="24"/>
          <w:lang w:val="pt-PT"/>
        </w:rPr>
        <w:t xml:space="preserve">tribunal </w:t>
      </w:r>
      <w:r w:rsidR="006B29BF"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6B29BF" w:rsidRPr="003A1174">
        <w:rPr>
          <w:rFonts w:ascii="Garamond" w:hAnsi="Garamond" w:cs="Arial"/>
          <w:color w:val="auto"/>
          <w:sz w:val="24"/>
          <w:szCs w:val="24"/>
          <w:lang w:val="pt-PT"/>
        </w:rPr>
        <w:t xml:space="preserve"> de um</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processo</w:t>
      </w:r>
      <w:r w:rsidR="009B7DC1"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jurisdicional</w:t>
      </w:r>
      <w:r w:rsidR="006B29BF" w:rsidRPr="003A1174">
        <w:rPr>
          <w:rFonts w:ascii="Garamond" w:hAnsi="Garamond" w:cs="Arial"/>
          <w:color w:val="auto"/>
          <w:sz w:val="24"/>
          <w:szCs w:val="24"/>
          <w:lang w:val="pt-PT"/>
        </w:rPr>
        <w:t xml:space="preserve"> no </w:t>
      </w:r>
      <w:r w:rsidR="009B7DC1" w:rsidRPr="003A1174">
        <w:rPr>
          <w:rFonts w:ascii="Garamond" w:hAnsi="Garamond" w:cs="Arial"/>
          <w:color w:val="auto"/>
          <w:sz w:val="24"/>
          <w:szCs w:val="24"/>
          <w:lang w:val="pt-PT"/>
        </w:rPr>
        <w:t xml:space="preserve">momento de </w:t>
      </w:r>
      <w:r w:rsidR="006B29BF" w:rsidRPr="003A1174">
        <w:rPr>
          <w:rFonts w:ascii="Garamond" w:hAnsi="Garamond" w:cs="Arial"/>
          <w:color w:val="auto"/>
          <w:sz w:val="24"/>
          <w:szCs w:val="24"/>
          <w:lang w:val="pt-PT"/>
        </w:rPr>
        <w:t xml:space="preserve">proferir a </w:t>
      </w:r>
      <w:r w:rsidR="00FC1F7F" w:rsidRPr="003A1174">
        <w:rPr>
          <w:rFonts w:ascii="Garamond" w:hAnsi="Garamond" w:cs="Arial"/>
          <w:color w:val="auto"/>
          <w:sz w:val="24"/>
          <w:szCs w:val="24"/>
          <w:lang w:val="pt-PT"/>
        </w:rPr>
        <w:t>sentença</w:t>
      </w:r>
      <w:r w:rsidR="009B7DC1" w:rsidRPr="003A1174">
        <w:rPr>
          <w:rFonts w:ascii="Garamond" w:hAnsi="Garamond" w:cs="Arial"/>
          <w:color w:val="auto"/>
          <w:sz w:val="24"/>
          <w:szCs w:val="24"/>
          <w:lang w:val="pt-PT"/>
        </w:rPr>
        <w:t xml:space="preserve"> o</w:t>
      </w:r>
      <w:r w:rsidR="006B29BF" w:rsidRPr="003A1174">
        <w:rPr>
          <w:rFonts w:ascii="Garamond" w:hAnsi="Garamond" w:cs="Arial"/>
          <w:color w:val="auto"/>
          <w:sz w:val="24"/>
          <w:szCs w:val="24"/>
          <w:lang w:val="pt-PT"/>
        </w:rPr>
        <w:t xml:space="preserve">u de </w:t>
      </w:r>
      <w:r w:rsidR="009B7DC1" w:rsidRPr="003A1174">
        <w:rPr>
          <w:rFonts w:ascii="Garamond" w:hAnsi="Garamond" w:cs="Arial"/>
          <w:color w:val="auto"/>
          <w:sz w:val="24"/>
          <w:szCs w:val="24"/>
          <w:lang w:val="pt-PT"/>
        </w:rPr>
        <w:t xml:space="preserve">forma autónoma. </w:t>
      </w:r>
      <w:r w:rsidR="006B29BF" w:rsidRPr="003A1174">
        <w:rPr>
          <w:rFonts w:ascii="Garamond" w:hAnsi="Garamond" w:cs="Arial"/>
          <w:color w:val="auto"/>
          <w:sz w:val="24"/>
          <w:szCs w:val="24"/>
          <w:lang w:val="pt-PT"/>
        </w:rPr>
        <w:t>A sua duração</w:t>
      </w:r>
      <w:r w:rsidR="009B7DC1" w:rsidRPr="003A1174">
        <w:rPr>
          <w:rFonts w:ascii="Garamond" w:hAnsi="Garamond" w:cs="Arial"/>
          <w:color w:val="auto"/>
          <w:sz w:val="24"/>
          <w:szCs w:val="24"/>
          <w:lang w:val="pt-PT"/>
        </w:rPr>
        <w:t xml:space="preserve"> dependerá do que a </w:t>
      </w:r>
      <w:r w:rsidR="00DE6DF6" w:rsidRPr="003A1174">
        <w:rPr>
          <w:rFonts w:ascii="Garamond" w:hAnsi="Garamond" w:cs="Arial"/>
          <w:color w:val="auto"/>
          <w:sz w:val="24"/>
          <w:szCs w:val="24"/>
          <w:lang w:val="pt-PT"/>
        </w:rPr>
        <w:t>respetiva</w:t>
      </w:r>
      <w:r w:rsidR="009B7DC1" w:rsidRPr="003A1174">
        <w:rPr>
          <w:rFonts w:ascii="Garamond" w:hAnsi="Garamond" w:cs="Arial"/>
          <w:color w:val="auto"/>
          <w:sz w:val="24"/>
          <w:szCs w:val="24"/>
          <w:lang w:val="pt-PT"/>
        </w:rPr>
        <w:t xml:space="preserve"> </w:t>
      </w:r>
      <w:r w:rsidR="002F62B0" w:rsidRPr="003A1174">
        <w:rPr>
          <w:rFonts w:ascii="Garamond" w:hAnsi="Garamond" w:cs="Arial"/>
          <w:color w:val="auto"/>
          <w:sz w:val="24"/>
          <w:szCs w:val="24"/>
          <w:lang w:val="pt-PT"/>
        </w:rPr>
        <w:t>autoridade</w:t>
      </w:r>
      <w:r w:rsidR="00E34DB3" w:rsidRPr="003A1174">
        <w:rPr>
          <w:rFonts w:ascii="Garamond" w:hAnsi="Garamond" w:cs="Arial"/>
          <w:color w:val="auto"/>
          <w:sz w:val="24"/>
          <w:szCs w:val="24"/>
          <w:lang w:val="pt-PT"/>
        </w:rPr>
        <w:t xml:space="preserve"> estabelecer</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são</w:t>
      </w:r>
      <w:r w:rsidR="009B7DC1"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suscetíveis</w:t>
      </w:r>
      <w:r w:rsidR="009B7DC1" w:rsidRPr="003A1174">
        <w:rPr>
          <w:rFonts w:ascii="Garamond" w:hAnsi="Garamond" w:cs="Arial"/>
          <w:color w:val="auto"/>
          <w:sz w:val="24"/>
          <w:szCs w:val="24"/>
          <w:lang w:val="pt-PT"/>
        </w:rPr>
        <w:t xml:space="preserve"> de recur</w:t>
      </w:r>
      <w:r w:rsidR="006B29BF" w:rsidRPr="003A1174">
        <w:rPr>
          <w:rFonts w:ascii="Garamond" w:hAnsi="Garamond" w:cs="Arial"/>
          <w:color w:val="auto"/>
          <w:sz w:val="24"/>
          <w:szCs w:val="24"/>
          <w:lang w:val="pt-PT"/>
        </w:rPr>
        <w:t xml:space="preserve">so </w:t>
      </w:r>
      <w:r w:rsidR="009B7DC1" w:rsidRPr="003A1174">
        <w:rPr>
          <w:rFonts w:ascii="Garamond" w:hAnsi="Garamond" w:cs="Arial"/>
          <w:color w:val="auto"/>
          <w:sz w:val="24"/>
          <w:szCs w:val="24"/>
          <w:lang w:val="pt-PT"/>
        </w:rPr>
        <w:t>p</w:t>
      </w:r>
      <w:r w:rsidR="006B29BF"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las partes </w:t>
      </w:r>
      <w:r w:rsidR="00BA3CCE" w:rsidRPr="003A1174">
        <w:rPr>
          <w:rFonts w:ascii="Garamond" w:hAnsi="Garamond" w:cs="Arial"/>
          <w:color w:val="auto"/>
          <w:sz w:val="24"/>
          <w:szCs w:val="24"/>
          <w:lang w:val="pt-PT"/>
        </w:rPr>
        <w:t>interessadas</w:t>
      </w:r>
      <w:r w:rsidR="009B7DC1" w:rsidRPr="003A1174">
        <w:rPr>
          <w:rFonts w:ascii="Garamond" w:hAnsi="Garamond" w:cs="Arial"/>
          <w:color w:val="auto"/>
          <w:sz w:val="24"/>
          <w:szCs w:val="24"/>
          <w:lang w:val="pt-PT"/>
        </w:rPr>
        <w:t>.</w:t>
      </w:r>
    </w:p>
    <w:p w:rsidR="009B7DC1" w:rsidRPr="003A1174" w:rsidRDefault="006B29BF"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9B7DC1" w:rsidRPr="003A1174">
        <w:rPr>
          <w:rFonts w:ascii="Garamond" w:hAnsi="Garamond" w:cs="Arial"/>
          <w:i/>
          <w:color w:val="auto"/>
          <w:sz w:val="24"/>
          <w:szCs w:val="24"/>
          <w:lang w:val="pt-PT"/>
        </w:rPr>
        <w:t>Estado de Baja California</w:t>
      </w:r>
      <w:r w:rsidR="0028289A" w:rsidRPr="003A1174">
        <w:rPr>
          <w:rFonts w:ascii="Garamond" w:hAnsi="Garamond" w:cs="Arial"/>
          <w:i/>
          <w:color w:val="auto"/>
          <w:sz w:val="24"/>
          <w:szCs w:val="24"/>
          <w:lang w:val="pt-PT"/>
        </w:rPr>
        <w:t>,</w:t>
      </w:r>
      <w:r w:rsidRPr="003A1174">
        <w:rPr>
          <w:rFonts w:ascii="Garamond" w:hAnsi="Garamond" w:cs="Arial"/>
          <w:color w:val="auto"/>
          <w:sz w:val="24"/>
          <w:szCs w:val="24"/>
          <w:lang w:val="pt-PT"/>
        </w:rPr>
        <w:t xml:space="preserve"> a partir de</w:t>
      </w:r>
      <w:r w:rsidR="009B7DC1" w:rsidRPr="003A1174">
        <w:rPr>
          <w:rFonts w:ascii="Garamond" w:hAnsi="Garamond" w:cs="Arial"/>
          <w:color w:val="auto"/>
          <w:sz w:val="24"/>
          <w:szCs w:val="24"/>
          <w:lang w:val="pt-PT"/>
        </w:rPr>
        <w:t xml:space="preserve"> 30 de abril de 2014</w:t>
      </w:r>
      <w:r w:rsidR="00000655">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dispõe-</w:t>
      </w:r>
      <w:r w:rsidR="009B7DC1" w:rsidRPr="003A1174">
        <w:rPr>
          <w:rFonts w:ascii="Garamond" w:hAnsi="Garamond" w:cs="Arial"/>
          <w:color w:val="auto"/>
          <w:sz w:val="24"/>
          <w:szCs w:val="24"/>
          <w:lang w:val="pt-PT"/>
        </w:rPr>
        <w:t xml:space="preserve">se, como </w:t>
      </w:r>
      <w:r w:rsidRPr="003A1174">
        <w:rPr>
          <w:rFonts w:ascii="Garamond" w:hAnsi="Garamond" w:cs="Arial"/>
          <w:color w:val="auto"/>
          <w:sz w:val="24"/>
          <w:szCs w:val="24"/>
          <w:lang w:val="pt-PT"/>
        </w:rPr>
        <w:t>n</w:t>
      </w:r>
      <w:r w:rsidR="009B7DC1" w:rsidRPr="003A1174">
        <w:rPr>
          <w:rFonts w:ascii="Garamond" w:hAnsi="Garamond" w:cs="Arial"/>
          <w:color w:val="auto"/>
          <w:sz w:val="24"/>
          <w:szCs w:val="24"/>
          <w:lang w:val="pt-PT"/>
        </w:rPr>
        <w:t>a</w:t>
      </w:r>
      <w:r w:rsidRPr="003A1174">
        <w:rPr>
          <w:rFonts w:ascii="Garamond" w:hAnsi="Garamond" w:cs="Arial"/>
          <w:color w:val="auto"/>
          <w:sz w:val="24"/>
          <w:szCs w:val="24"/>
          <w:lang w:val="pt-PT"/>
        </w:rPr>
        <w:t xml:space="preserve"> lei já </w:t>
      </w:r>
      <w:r w:rsidR="00D1487B" w:rsidRPr="003A1174">
        <w:rPr>
          <w:rFonts w:ascii="Garamond" w:hAnsi="Garamond" w:cs="Arial"/>
          <w:color w:val="auto"/>
          <w:sz w:val="24"/>
          <w:szCs w:val="24"/>
          <w:lang w:val="pt-PT"/>
        </w:rPr>
        <w:t xml:space="preserve">indicada </w:t>
      </w:r>
      <w:r w:rsidR="009B7DC1" w:rsidRPr="003A1174">
        <w:rPr>
          <w:rFonts w:ascii="Garamond" w:hAnsi="Garamond" w:cs="Arial"/>
          <w:color w:val="auto"/>
          <w:sz w:val="24"/>
          <w:szCs w:val="24"/>
          <w:lang w:val="pt-PT"/>
        </w:rPr>
        <w:t xml:space="preserve">de Sonora, a </w:t>
      </w:r>
      <w:r w:rsidRPr="003A1174">
        <w:rPr>
          <w:rFonts w:ascii="Garamond" w:hAnsi="Garamond" w:cs="Arial"/>
          <w:color w:val="auto"/>
          <w:sz w:val="24"/>
          <w:szCs w:val="24"/>
          <w:lang w:val="pt-PT"/>
        </w:rPr>
        <w:t>separação</w:t>
      </w:r>
      <w:r w:rsidR="009B7DC1"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imediata</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152A44" w:rsidRPr="003A1174">
        <w:rPr>
          <w:rFonts w:ascii="Garamond" w:hAnsi="Garamond" w:cs="Arial"/>
          <w:color w:val="auto"/>
          <w:sz w:val="24"/>
          <w:szCs w:val="24"/>
          <w:lang w:val="pt-PT"/>
        </w:rPr>
        <w:t>domicílio</w:t>
      </w:r>
      <w:r w:rsidR="00D1487B"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onde </w:t>
      </w:r>
      <w:r w:rsidR="00D1487B" w:rsidRPr="003A1174">
        <w:rPr>
          <w:rFonts w:ascii="Garamond" w:hAnsi="Garamond" w:cs="Arial"/>
          <w:color w:val="auto"/>
          <w:sz w:val="24"/>
          <w:szCs w:val="24"/>
          <w:lang w:val="pt-PT"/>
        </w:rPr>
        <w:t xml:space="preserve">vive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as</w:t>
      </w:r>
      <w:r w:rsidR="00D1487B" w:rsidRPr="003A1174">
        <w:rPr>
          <w:rFonts w:ascii="Garamond" w:hAnsi="Garamond" w:cs="Arial"/>
          <w:color w:val="auto"/>
          <w:sz w:val="24"/>
          <w:szCs w:val="24"/>
          <w:lang w:val="pt-PT"/>
        </w:rPr>
        <w:t xml:space="preserve">sim como </w:t>
      </w:r>
      <w:r w:rsidR="009B7DC1" w:rsidRPr="003A1174">
        <w:rPr>
          <w:rFonts w:ascii="Garamond" w:hAnsi="Garamond" w:cs="Arial"/>
          <w:color w:val="auto"/>
          <w:sz w:val="24"/>
          <w:szCs w:val="24"/>
          <w:lang w:val="pt-PT"/>
        </w:rPr>
        <w:t xml:space="preserve">a </w:t>
      </w:r>
      <w:r w:rsidR="00A862C2" w:rsidRPr="003A1174">
        <w:rPr>
          <w:rFonts w:ascii="Garamond" w:hAnsi="Garamond" w:cs="Arial"/>
          <w:color w:val="auto"/>
          <w:sz w:val="24"/>
          <w:szCs w:val="24"/>
          <w:lang w:val="pt-PT"/>
        </w:rPr>
        <w:t>proibição</w:t>
      </w:r>
      <w:r w:rsidR="00D1487B" w:rsidRPr="003A1174">
        <w:rPr>
          <w:rFonts w:ascii="Garamond" w:hAnsi="Garamond" w:cs="Arial"/>
          <w:color w:val="auto"/>
          <w:sz w:val="24"/>
          <w:szCs w:val="24"/>
          <w:lang w:val="pt-PT"/>
        </w:rPr>
        <w:t xml:space="preserve"> ao</w:t>
      </w:r>
      <w:r w:rsidR="009B7DC1" w:rsidRPr="003A1174">
        <w:rPr>
          <w:rFonts w:ascii="Garamond" w:hAnsi="Garamond" w:cs="Arial"/>
          <w:color w:val="auto"/>
          <w:sz w:val="24"/>
          <w:szCs w:val="24"/>
          <w:lang w:val="pt-PT"/>
        </w:rPr>
        <w:t xml:space="preserve"> </w:t>
      </w:r>
      <w:r w:rsidR="00D1487B" w:rsidRPr="003A1174">
        <w:rPr>
          <w:rFonts w:ascii="Garamond" w:hAnsi="Garamond" w:cs="Arial"/>
          <w:color w:val="auto"/>
          <w:sz w:val="24"/>
          <w:szCs w:val="24"/>
          <w:lang w:val="pt-PT"/>
        </w:rPr>
        <w:t>provável</w:t>
      </w:r>
      <w:r w:rsidR="009B7DC1"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responsável</w:t>
      </w:r>
      <w:r w:rsidR="009B7DC1" w:rsidRPr="003A1174">
        <w:rPr>
          <w:rFonts w:ascii="Garamond" w:hAnsi="Garamond" w:cs="Arial"/>
          <w:color w:val="auto"/>
          <w:sz w:val="24"/>
          <w:szCs w:val="24"/>
          <w:lang w:val="pt-PT"/>
        </w:rPr>
        <w:t xml:space="preserve"> de </w:t>
      </w:r>
      <w:r w:rsidR="00D1487B" w:rsidRPr="003A1174">
        <w:rPr>
          <w:rFonts w:ascii="Garamond" w:hAnsi="Garamond" w:cs="Arial"/>
          <w:color w:val="auto"/>
          <w:sz w:val="24"/>
          <w:szCs w:val="24"/>
          <w:lang w:val="pt-PT"/>
        </w:rPr>
        <w:t xml:space="preserve">se aproximar do </w:t>
      </w:r>
      <w:r w:rsidR="00152A44" w:rsidRPr="003A1174">
        <w:rPr>
          <w:rFonts w:ascii="Garamond" w:hAnsi="Garamond" w:cs="Arial"/>
          <w:color w:val="auto"/>
          <w:sz w:val="24"/>
          <w:szCs w:val="24"/>
          <w:lang w:val="pt-PT"/>
        </w:rPr>
        <w:t>domicílio</w:t>
      </w:r>
      <w:r w:rsidR="009B7DC1"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local</w:t>
      </w:r>
      <w:r w:rsidR="009B7DC1"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trabalho</w:t>
      </w:r>
      <w:r w:rsidR="009B7DC1" w:rsidRPr="003A1174">
        <w:rPr>
          <w:rFonts w:ascii="Garamond" w:hAnsi="Garamond" w:cs="Arial"/>
          <w:color w:val="auto"/>
          <w:sz w:val="24"/>
          <w:szCs w:val="24"/>
          <w:lang w:val="pt-PT"/>
        </w:rPr>
        <w:t xml:space="preserve"> o</w:t>
      </w:r>
      <w:r w:rsidR="00D1487B"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de </w:t>
      </w:r>
      <w:r w:rsidR="003F012B" w:rsidRPr="003A1174">
        <w:rPr>
          <w:rFonts w:ascii="Garamond" w:hAnsi="Garamond" w:cs="Arial"/>
          <w:color w:val="auto"/>
          <w:sz w:val="24"/>
          <w:szCs w:val="24"/>
          <w:lang w:val="pt-PT"/>
        </w:rPr>
        <w:t>estudo</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6D4D0B" w:rsidRPr="003A1174">
        <w:rPr>
          <w:rFonts w:ascii="Garamond" w:hAnsi="Garamond" w:cs="Arial"/>
          <w:color w:val="auto"/>
          <w:sz w:val="24"/>
          <w:szCs w:val="24"/>
          <w:lang w:val="pt-PT"/>
        </w:rPr>
        <w:t>ascendente</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6D4D0B" w:rsidRPr="003A1174">
        <w:rPr>
          <w:rFonts w:ascii="Garamond" w:hAnsi="Garamond" w:cs="Arial"/>
          <w:color w:val="auto"/>
          <w:sz w:val="24"/>
          <w:szCs w:val="24"/>
          <w:lang w:val="pt-PT"/>
        </w:rPr>
        <w:t>descendente</w:t>
      </w:r>
      <w:r w:rsidR="009B7DC1" w:rsidRPr="003A1174">
        <w:rPr>
          <w:rFonts w:ascii="Garamond" w:hAnsi="Garamond" w:cs="Arial"/>
          <w:color w:val="auto"/>
          <w:sz w:val="24"/>
          <w:szCs w:val="24"/>
          <w:lang w:val="pt-PT"/>
        </w:rPr>
        <w:t>s o</w:t>
      </w:r>
      <w:r w:rsidR="00D1487B"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w:t>
      </w:r>
      <w:r w:rsidR="0028289A" w:rsidRPr="003A1174">
        <w:rPr>
          <w:rFonts w:ascii="Garamond" w:hAnsi="Garamond" w:cs="Arial"/>
          <w:color w:val="auto"/>
          <w:sz w:val="24"/>
          <w:szCs w:val="24"/>
          <w:lang w:val="pt-PT"/>
        </w:rPr>
        <w:t xml:space="preserve">de </w:t>
      </w:r>
      <w:r w:rsidR="007342D9" w:rsidRPr="003A1174">
        <w:rPr>
          <w:rFonts w:ascii="Garamond" w:hAnsi="Garamond" w:cs="Arial"/>
          <w:color w:val="auto"/>
          <w:sz w:val="24"/>
          <w:szCs w:val="24"/>
          <w:lang w:val="pt-PT"/>
        </w:rPr>
        <w:t>qualquer</w:t>
      </w:r>
      <w:r w:rsidR="009B7DC1" w:rsidRPr="003A1174">
        <w:rPr>
          <w:rFonts w:ascii="Garamond" w:hAnsi="Garamond" w:cs="Arial"/>
          <w:color w:val="auto"/>
          <w:sz w:val="24"/>
          <w:szCs w:val="24"/>
          <w:lang w:val="pt-PT"/>
        </w:rPr>
        <w:t xml:space="preserve"> </w:t>
      </w:r>
      <w:r w:rsidR="002B6C5B" w:rsidRPr="003A1174">
        <w:rPr>
          <w:rFonts w:ascii="Garamond" w:hAnsi="Garamond" w:cs="Arial"/>
          <w:color w:val="auto"/>
          <w:sz w:val="24"/>
          <w:szCs w:val="24"/>
          <w:lang w:val="pt-PT"/>
        </w:rPr>
        <w:t>outra</w:t>
      </w:r>
      <w:r w:rsidR="009B7DC1" w:rsidRPr="003A1174">
        <w:rPr>
          <w:rFonts w:ascii="Garamond" w:hAnsi="Garamond" w:cs="Arial"/>
          <w:color w:val="auto"/>
          <w:sz w:val="24"/>
          <w:szCs w:val="24"/>
          <w:lang w:val="pt-PT"/>
        </w:rPr>
        <w:t xml:space="preserve"> </w:t>
      </w:r>
      <w:r w:rsidR="0005622E" w:rsidRPr="003A1174">
        <w:rPr>
          <w:rFonts w:ascii="Garamond" w:hAnsi="Garamond" w:cs="Arial"/>
          <w:color w:val="auto"/>
          <w:sz w:val="24"/>
          <w:szCs w:val="24"/>
          <w:lang w:val="pt-PT"/>
        </w:rPr>
        <w:t>pessoa</w:t>
      </w:r>
      <w:r w:rsidR="00D1487B" w:rsidRPr="003A1174">
        <w:rPr>
          <w:rFonts w:ascii="Garamond" w:hAnsi="Garamond" w:cs="Arial"/>
          <w:color w:val="auto"/>
          <w:sz w:val="24"/>
          <w:szCs w:val="24"/>
          <w:lang w:val="pt-PT"/>
        </w:rPr>
        <w:t xml:space="preserve"> que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D1487B" w:rsidRPr="003A1174">
        <w:rPr>
          <w:rFonts w:ascii="Garamond" w:hAnsi="Garamond" w:cs="Arial"/>
          <w:color w:val="auto"/>
          <w:sz w:val="24"/>
          <w:szCs w:val="24"/>
          <w:lang w:val="pt-PT"/>
        </w:rPr>
        <w:t xml:space="preserve"> freq</w:t>
      </w:r>
      <w:r w:rsidR="009B7DC1" w:rsidRPr="003A1174">
        <w:rPr>
          <w:rFonts w:ascii="Garamond" w:hAnsi="Garamond" w:cs="Arial"/>
          <w:color w:val="auto"/>
          <w:sz w:val="24"/>
          <w:szCs w:val="24"/>
          <w:lang w:val="pt-PT"/>
        </w:rPr>
        <w:t xml:space="preserve">uente. </w:t>
      </w:r>
    </w:p>
    <w:p w:rsidR="009B7DC1" w:rsidRPr="003A1174" w:rsidRDefault="00D1487B"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Q</w:t>
      </w:r>
      <w:r w:rsidR="009B7DC1" w:rsidRPr="003A1174">
        <w:rPr>
          <w:rFonts w:ascii="Garamond" w:hAnsi="Garamond" w:cs="Arial"/>
          <w:color w:val="auto"/>
          <w:sz w:val="24"/>
          <w:szCs w:val="24"/>
          <w:lang w:val="pt-PT"/>
        </w:rPr>
        <w:t>uanto a</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28289A" w:rsidRPr="003A1174">
        <w:rPr>
          <w:rFonts w:ascii="Garamond" w:hAnsi="Garamond" w:cs="Arial"/>
          <w:i/>
          <w:color w:val="auto"/>
          <w:sz w:val="24"/>
          <w:szCs w:val="24"/>
          <w:lang w:val="pt-PT"/>
        </w:rPr>
        <w:t>E</w:t>
      </w:r>
      <w:r w:rsidR="009B7DC1" w:rsidRPr="003A1174">
        <w:rPr>
          <w:rFonts w:ascii="Garamond" w:hAnsi="Garamond" w:cs="Arial"/>
          <w:i/>
          <w:color w:val="auto"/>
          <w:sz w:val="24"/>
          <w:szCs w:val="24"/>
          <w:lang w:val="pt-PT"/>
        </w:rPr>
        <w:t>stado de Guanajuato</w:t>
      </w:r>
      <w:r w:rsidR="009B7DC1" w:rsidRPr="003A1174">
        <w:rPr>
          <w:rFonts w:ascii="Garamond" w:hAnsi="Garamond" w:cs="Arial"/>
          <w:color w:val="auto"/>
          <w:sz w:val="24"/>
          <w:szCs w:val="24"/>
          <w:lang w:val="pt-PT"/>
        </w:rPr>
        <w:t xml:space="preserve"> reporta</w:t>
      </w:r>
      <w:r w:rsidRPr="003A1174">
        <w:rPr>
          <w:rFonts w:ascii="Garamond" w:hAnsi="Garamond" w:cs="Arial"/>
          <w:color w:val="auto"/>
          <w:sz w:val="24"/>
          <w:szCs w:val="24"/>
          <w:lang w:val="pt-PT"/>
        </w:rPr>
        <w:t>-se</w:t>
      </w:r>
      <w:r w:rsidR="0028289A" w:rsidRPr="003A1174">
        <w:rPr>
          <w:rFonts w:ascii="Garamond" w:hAnsi="Garamond" w:cs="Arial"/>
          <w:color w:val="auto"/>
          <w:sz w:val="24"/>
          <w:szCs w:val="24"/>
          <w:lang w:val="pt-PT"/>
        </w:rPr>
        <w:t>,</w:t>
      </w:r>
      <w:r w:rsidR="009B7DC1" w:rsidRPr="003A1174">
        <w:rPr>
          <w:rStyle w:val="Refdenotaalpie"/>
          <w:rFonts w:ascii="Garamond" w:hAnsi="Garamond" w:cs="Arial"/>
          <w:color w:val="auto"/>
          <w:sz w:val="24"/>
          <w:szCs w:val="24"/>
        </w:rPr>
        <w:footnoteReference w:id="73"/>
      </w:r>
      <w:r w:rsidR="009B7DC1"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731B19" w:rsidRPr="003A1174">
        <w:rPr>
          <w:rFonts w:ascii="Garamond" w:hAnsi="Garamond" w:cs="Arial"/>
          <w:color w:val="auto"/>
          <w:sz w:val="24"/>
          <w:szCs w:val="24"/>
          <w:lang w:val="pt-PT"/>
        </w:rPr>
        <w:t>termos</w:t>
      </w:r>
      <w:r w:rsidR="009B7DC1" w:rsidRPr="003A1174">
        <w:rPr>
          <w:rFonts w:ascii="Garamond" w:hAnsi="Garamond" w:cs="Arial"/>
          <w:color w:val="auto"/>
          <w:sz w:val="24"/>
          <w:szCs w:val="24"/>
          <w:lang w:val="pt-PT"/>
        </w:rPr>
        <w:t xml:space="preserve"> normativos </w:t>
      </w:r>
      <w:r w:rsidR="00077461" w:rsidRPr="003A1174">
        <w:rPr>
          <w:rFonts w:ascii="Garamond" w:hAnsi="Garamond" w:cs="Arial"/>
          <w:color w:val="auto"/>
          <w:sz w:val="24"/>
          <w:szCs w:val="24"/>
          <w:lang w:val="pt-PT"/>
        </w:rPr>
        <w:t>gera</w:t>
      </w:r>
      <w:r w:rsidRPr="003A1174">
        <w:rPr>
          <w:rFonts w:ascii="Garamond" w:hAnsi="Garamond" w:cs="Arial"/>
          <w:color w:val="auto"/>
          <w:sz w:val="24"/>
          <w:szCs w:val="24"/>
          <w:lang w:val="pt-PT"/>
        </w:rPr>
        <w:t xml:space="preserve">is, que </w:t>
      </w:r>
      <w:r w:rsidR="009B7DC1" w:rsidRPr="003A1174">
        <w:rPr>
          <w:rFonts w:ascii="Garamond" w:hAnsi="Garamond" w:cs="Arial"/>
          <w:color w:val="auto"/>
          <w:sz w:val="24"/>
          <w:szCs w:val="24"/>
          <w:lang w:val="pt-PT"/>
        </w:rPr>
        <w:t xml:space="preserve">a </w:t>
      </w:r>
      <w:r w:rsidR="00BA3CCE" w:rsidRPr="003A1174">
        <w:rPr>
          <w:rFonts w:ascii="Garamond" w:hAnsi="Garamond" w:cs="Arial"/>
          <w:color w:val="auto"/>
          <w:sz w:val="24"/>
          <w:szCs w:val="24"/>
          <w:lang w:val="pt-PT"/>
        </w:rPr>
        <w:t>Procuradoria-Geral</w:t>
      </w:r>
      <w:r w:rsidR="009B7DC1"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9B7DC1" w:rsidRPr="003A1174">
        <w:rPr>
          <w:rFonts w:ascii="Garamond" w:hAnsi="Garamond" w:cs="Arial"/>
          <w:color w:val="auto"/>
          <w:sz w:val="24"/>
          <w:szCs w:val="24"/>
          <w:lang w:val="pt-PT"/>
        </w:rPr>
        <w:t xml:space="preserve"> emiti</w:t>
      </w:r>
      <w:r w:rsidRPr="003A1174">
        <w:rPr>
          <w:rFonts w:ascii="Garamond" w:hAnsi="Garamond" w:cs="Arial"/>
          <w:color w:val="auto"/>
          <w:sz w:val="24"/>
          <w:szCs w:val="24"/>
          <w:lang w:val="pt-PT"/>
        </w:rPr>
        <w:t xml:space="preserve">u </w:t>
      </w:r>
      <w:r w:rsidR="009B7DC1" w:rsidRPr="003A1174">
        <w:rPr>
          <w:rFonts w:ascii="Garamond" w:hAnsi="Garamond" w:cs="Arial"/>
          <w:color w:val="auto"/>
          <w:sz w:val="24"/>
          <w:szCs w:val="24"/>
          <w:lang w:val="pt-PT"/>
        </w:rPr>
        <w:t xml:space="preserve">a Circular 1/2013 sobre </w:t>
      </w:r>
      <w:r w:rsidRPr="003A1174">
        <w:rPr>
          <w:rFonts w:ascii="Garamond" w:hAnsi="Garamond" w:cs="Arial"/>
          <w:color w:val="auto"/>
          <w:sz w:val="24"/>
          <w:szCs w:val="24"/>
          <w:lang w:val="pt-PT"/>
        </w:rPr>
        <w:t>instrumentalização</w:t>
      </w:r>
      <w:r w:rsidR="009B7DC1" w:rsidRPr="003A1174">
        <w:rPr>
          <w:rFonts w:ascii="Garamond" w:hAnsi="Garamond" w:cs="Arial"/>
          <w:color w:val="auto"/>
          <w:sz w:val="24"/>
          <w:szCs w:val="24"/>
          <w:lang w:val="pt-PT"/>
        </w:rPr>
        <w:t xml:space="preserve"> de políticas de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m</w:t>
      </w:r>
      <w:r w:rsidR="009B7DC1" w:rsidRPr="003A1174">
        <w:rPr>
          <w:rFonts w:ascii="Garamond" w:hAnsi="Garamond" w:cs="Arial"/>
          <w:color w:val="auto"/>
          <w:sz w:val="24"/>
          <w:szCs w:val="24"/>
          <w:lang w:val="pt-PT"/>
        </w:rPr>
        <w:t xml:space="preserve"> </w:t>
      </w:r>
      <w:r w:rsidR="00D96FD0" w:rsidRPr="003A1174">
        <w:rPr>
          <w:rFonts w:ascii="Garamond" w:hAnsi="Garamond" w:cs="Arial"/>
          <w:color w:val="auto"/>
          <w:sz w:val="24"/>
          <w:szCs w:val="24"/>
          <w:lang w:val="pt-PT"/>
        </w:rPr>
        <w:t>perspetiva</w:t>
      </w:r>
      <w:r w:rsidR="009B7DC1" w:rsidRPr="003A1174">
        <w:rPr>
          <w:rFonts w:ascii="Garamond" w:hAnsi="Garamond" w:cs="Arial"/>
          <w:color w:val="auto"/>
          <w:sz w:val="24"/>
          <w:szCs w:val="24"/>
          <w:lang w:val="pt-PT"/>
        </w:rPr>
        <w:t xml:space="preserve"> de género; </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Acordo</w:t>
      </w:r>
      <w:r w:rsidR="009B7DC1" w:rsidRPr="003A1174">
        <w:rPr>
          <w:rFonts w:ascii="Garamond" w:hAnsi="Garamond" w:cs="Arial"/>
          <w:color w:val="auto"/>
          <w:sz w:val="24"/>
          <w:szCs w:val="24"/>
          <w:lang w:val="pt-PT"/>
        </w:rPr>
        <w:t xml:space="preserve"> 2/2014 que </w:t>
      </w:r>
      <w:r w:rsidR="00FB09CA" w:rsidRPr="003A1174">
        <w:rPr>
          <w:rFonts w:ascii="Garamond" w:hAnsi="Garamond" w:cs="Arial"/>
          <w:color w:val="auto"/>
          <w:sz w:val="24"/>
          <w:szCs w:val="24"/>
          <w:lang w:val="pt-PT"/>
        </w:rPr>
        <w:t>constitui</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as Unidades de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integral </w:t>
      </w:r>
      <w:r w:rsidRPr="003A1174">
        <w:rPr>
          <w:rFonts w:ascii="Garamond" w:hAnsi="Garamond" w:cs="Arial"/>
          <w:color w:val="auto"/>
          <w:sz w:val="24"/>
          <w:szCs w:val="24"/>
          <w:lang w:val="pt-PT"/>
        </w:rPr>
        <w:t xml:space="preserve">à </w:t>
      </w:r>
      <w:r w:rsidR="00AF192F" w:rsidRPr="003A1174">
        <w:rPr>
          <w:rFonts w:ascii="Garamond" w:hAnsi="Garamond" w:cs="Arial"/>
          <w:color w:val="auto"/>
          <w:sz w:val="24"/>
          <w:szCs w:val="24"/>
          <w:lang w:val="pt-PT"/>
        </w:rPr>
        <w:t>Mulher</w:t>
      </w:r>
      <w:r w:rsidR="009B7DC1" w:rsidRPr="003A1174">
        <w:rPr>
          <w:rFonts w:ascii="Garamond" w:hAnsi="Garamond" w:cs="Arial"/>
          <w:color w:val="auto"/>
          <w:sz w:val="24"/>
          <w:szCs w:val="24"/>
          <w:lang w:val="pt-PT"/>
        </w:rPr>
        <w:t>, as</w:t>
      </w:r>
      <w:r w:rsidRPr="003A1174">
        <w:rPr>
          <w:rFonts w:ascii="Garamond" w:hAnsi="Garamond" w:cs="Arial"/>
          <w:color w:val="auto"/>
          <w:sz w:val="24"/>
          <w:szCs w:val="24"/>
          <w:lang w:val="pt-PT"/>
        </w:rPr>
        <w:t xml:space="preserve">sim como </w:t>
      </w:r>
      <w:r w:rsidR="009B7DC1" w:rsidRPr="003A1174">
        <w:rPr>
          <w:rFonts w:ascii="Garamond" w:hAnsi="Garamond" w:cs="Arial"/>
          <w:color w:val="auto"/>
          <w:sz w:val="24"/>
          <w:szCs w:val="24"/>
          <w:lang w:val="pt-PT"/>
        </w:rPr>
        <w:t xml:space="preserve">a Circular 5/2014 sobre </w:t>
      </w:r>
      <w:r w:rsidR="008278C4" w:rsidRPr="003A1174">
        <w:rPr>
          <w:rFonts w:ascii="Garamond" w:hAnsi="Garamond" w:cs="Arial"/>
          <w:color w:val="auto"/>
          <w:sz w:val="24"/>
          <w:szCs w:val="24"/>
          <w:lang w:val="pt-PT"/>
        </w:rPr>
        <w:t>atenção</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à</w:t>
      </w:r>
      <w:r w:rsidR="009B7DC1" w:rsidRPr="003A1174">
        <w:rPr>
          <w:rFonts w:ascii="Garamond" w:hAnsi="Garamond" w:cs="Arial"/>
          <w:color w:val="auto"/>
          <w:sz w:val="24"/>
          <w:szCs w:val="24"/>
          <w:lang w:val="pt-PT"/>
        </w:rPr>
        <w:t xml:space="preserve">s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s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delito. </w:t>
      </w:r>
    </w:p>
    <w:p w:rsidR="009B7DC1" w:rsidRPr="003A1174" w:rsidRDefault="00D1487B" w:rsidP="008719D4">
      <w:pPr>
        <w:spacing w:after="0" w:line="240" w:lineRule="auto"/>
        <w:jc w:val="both"/>
        <w:rPr>
          <w:rFonts w:ascii="Garamond" w:hAnsi="Garamond" w:cs="Arial"/>
          <w:sz w:val="24"/>
          <w:szCs w:val="24"/>
        </w:rPr>
      </w:pPr>
      <w:r w:rsidRPr="003A1174">
        <w:rPr>
          <w:rFonts w:ascii="Garamond" w:hAnsi="Garamond" w:cs="Arial"/>
          <w:sz w:val="24"/>
          <w:szCs w:val="24"/>
        </w:rPr>
        <w:t>No</w:t>
      </w:r>
      <w:r w:rsidR="009B7DC1" w:rsidRPr="003A1174">
        <w:rPr>
          <w:rFonts w:ascii="Garamond" w:hAnsi="Garamond" w:cs="Arial"/>
          <w:sz w:val="24"/>
          <w:szCs w:val="24"/>
        </w:rPr>
        <w:t xml:space="preserve"> </w:t>
      </w:r>
      <w:r w:rsidR="00802ACC" w:rsidRPr="003A1174">
        <w:rPr>
          <w:rFonts w:ascii="Garamond" w:hAnsi="Garamond" w:cs="Arial"/>
          <w:sz w:val="24"/>
          <w:szCs w:val="24"/>
        </w:rPr>
        <w:t>âmbito</w:t>
      </w:r>
      <w:r w:rsidR="009B7DC1" w:rsidRPr="003A1174">
        <w:rPr>
          <w:rFonts w:ascii="Garamond" w:hAnsi="Garamond" w:cs="Arial"/>
          <w:sz w:val="24"/>
          <w:szCs w:val="24"/>
        </w:rPr>
        <w:t xml:space="preserve"> legislativo</w:t>
      </w:r>
      <w:r w:rsidR="0028289A" w:rsidRPr="003A1174">
        <w:rPr>
          <w:rFonts w:ascii="Garamond" w:hAnsi="Garamond" w:cs="Arial"/>
          <w:sz w:val="24"/>
          <w:szCs w:val="24"/>
        </w:rPr>
        <w:t>,</w:t>
      </w:r>
      <w:r w:rsidR="009B7DC1" w:rsidRPr="003A1174">
        <w:rPr>
          <w:rFonts w:ascii="Garamond" w:hAnsi="Garamond" w:cs="Arial"/>
          <w:sz w:val="24"/>
          <w:szCs w:val="24"/>
        </w:rPr>
        <w:t xml:space="preserve"> </w:t>
      </w:r>
      <w:r w:rsidR="0028289A" w:rsidRPr="003A1174">
        <w:rPr>
          <w:rFonts w:ascii="Garamond" w:hAnsi="Garamond" w:cs="Arial"/>
          <w:sz w:val="24"/>
          <w:szCs w:val="24"/>
        </w:rPr>
        <w:t>e</w:t>
      </w:r>
      <w:r w:rsidRPr="003A1174">
        <w:rPr>
          <w:rFonts w:ascii="Garamond" w:hAnsi="Garamond" w:cs="Arial"/>
          <w:sz w:val="24"/>
          <w:szCs w:val="24"/>
        </w:rPr>
        <w:t>m</w:t>
      </w:r>
      <w:r w:rsidR="009B7DC1" w:rsidRPr="003A1174">
        <w:rPr>
          <w:rFonts w:ascii="Garamond" w:hAnsi="Garamond" w:cs="Arial"/>
          <w:sz w:val="24"/>
          <w:szCs w:val="24"/>
        </w:rPr>
        <w:t xml:space="preserve"> </w:t>
      </w:r>
      <w:r w:rsidR="00077461" w:rsidRPr="003A1174">
        <w:rPr>
          <w:rFonts w:ascii="Garamond" w:hAnsi="Garamond" w:cs="Arial"/>
          <w:sz w:val="24"/>
          <w:szCs w:val="24"/>
        </w:rPr>
        <w:t>junho</w:t>
      </w:r>
      <w:r w:rsidR="009B7DC1" w:rsidRPr="003A1174">
        <w:rPr>
          <w:rFonts w:ascii="Garamond" w:hAnsi="Garamond" w:cs="Arial"/>
          <w:sz w:val="24"/>
          <w:szCs w:val="24"/>
        </w:rPr>
        <w:t xml:space="preserve"> de 2014</w:t>
      </w:r>
      <w:r w:rsidR="00E34DB3" w:rsidRPr="003A1174">
        <w:rPr>
          <w:rFonts w:ascii="Garamond" w:hAnsi="Garamond" w:cs="Arial"/>
          <w:sz w:val="24"/>
          <w:szCs w:val="24"/>
        </w:rPr>
        <w:t>,</w:t>
      </w:r>
      <w:r w:rsidR="009B7DC1" w:rsidRPr="003A1174">
        <w:rPr>
          <w:rFonts w:ascii="Garamond" w:hAnsi="Garamond" w:cs="Arial"/>
          <w:sz w:val="24"/>
          <w:szCs w:val="24"/>
        </w:rPr>
        <w:t xml:space="preserve"> </w:t>
      </w:r>
      <w:r w:rsidR="00462B11" w:rsidRPr="003A1174">
        <w:rPr>
          <w:rFonts w:ascii="Garamond" w:hAnsi="Garamond" w:cs="Arial"/>
          <w:sz w:val="24"/>
          <w:szCs w:val="24"/>
        </w:rPr>
        <w:t>foi</w:t>
      </w:r>
      <w:r w:rsidR="00000655">
        <w:rPr>
          <w:rFonts w:ascii="Garamond" w:hAnsi="Garamond" w:cs="Arial"/>
          <w:sz w:val="24"/>
          <w:szCs w:val="24"/>
        </w:rPr>
        <w:t>,</w:t>
      </w:r>
      <w:r w:rsidRPr="003A1174">
        <w:rPr>
          <w:rFonts w:ascii="Garamond" w:hAnsi="Garamond" w:cs="Arial"/>
          <w:sz w:val="24"/>
          <w:szCs w:val="24"/>
        </w:rPr>
        <w:t xml:space="preserve"> oficialmente</w:t>
      </w:r>
      <w:r w:rsidR="00000655">
        <w:rPr>
          <w:rFonts w:ascii="Garamond" w:hAnsi="Garamond" w:cs="Arial"/>
          <w:sz w:val="24"/>
          <w:szCs w:val="24"/>
        </w:rPr>
        <w:t>,</w:t>
      </w:r>
      <w:r w:rsidRPr="003A1174">
        <w:rPr>
          <w:rFonts w:ascii="Garamond" w:hAnsi="Garamond" w:cs="Arial"/>
          <w:sz w:val="24"/>
          <w:szCs w:val="24"/>
        </w:rPr>
        <w:t xml:space="preserve"> publicada </w:t>
      </w:r>
      <w:r w:rsidR="009B7DC1" w:rsidRPr="003A1174">
        <w:rPr>
          <w:rFonts w:ascii="Garamond" w:hAnsi="Garamond" w:cs="Arial"/>
          <w:sz w:val="24"/>
          <w:szCs w:val="24"/>
        </w:rPr>
        <w:t xml:space="preserve">a </w:t>
      </w:r>
      <w:r w:rsidR="00D15AFF" w:rsidRPr="003A1174">
        <w:rPr>
          <w:rFonts w:ascii="Garamond" w:hAnsi="Garamond" w:cs="Arial"/>
          <w:sz w:val="24"/>
          <w:szCs w:val="24"/>
        </w:rPr>
        <w:t>Lei</w:t>
      </w:r>
      <w:r w:rsidR="009B7DC1" w:rsidRPr="003A1174">
        <w:rPr>
          <w:rFonts w:ascii="Garamond" w:hAnsi="Garamond" w:cs="Arial"/>
          <w:sz w:val="24"/>
          <w:szCs w:val="24"/>
        </w:rPr>
        <w:t xml:space="preserve"> para Prevenir, Atender </w:t>
      </w:r>
      <w:r w:rsidR="00497503" w:rsidRPr="003A1174">
        <w:rPr>
          <w:rFonts w:ascii="Garamond" w:hAnsi="Garamond" w:cs="Arial"/>
          <w:sz w:val="24"/>
          <w:szCs w:val="24"/>
        </w:rPr>
        <w:t>e</w:t>
      </w:r>
      <w:r w:rsidRPr="003A1174">
        <w:rPr>
          <w:rFonts w:ascii="Garamond" w:hAnsi="Garamond" w:cs="Arial"/>
          <w:sz w:val="24"/>
          <w:szCs w:val="24"/>
        </w:rPr>
        <w:t xml:space="preserve"> Erradicar </w:t>
      </w:r>
      <w:r w:rsidR="009B7DC1" w:rsidRPr="003A1174">
        <w:rPr>
          <w:rFonts w:ascii="Garamond" w:hAnsi="Garamond" w:cs="Arial"/>
          <w:sz w:val="24"/>
          <w:szCs w:val="24"/>
        </w:rPr>
        <w:t xml:space="preserve">a </w:t>
      </w:r>
      <w:r w:rsidR="0017447A" w:rsidRPr="003A1174">
        <w:rPr>
          <w:rFonts w:ascii="Garamond" w:hAnsi="Garamond" w:cs="Arial"/>
          <w:sz w:val="24"/>
          <w:szCs w:val="24"/>
        </w:rPr>
        <w:t>Discriminação</w:t>
      </w:r>
      <w:r w:rsidR="009B7DC1" w:rsidRPr="003A1174">
        <w:rPr>
          <w:rFonts w:ascii="Garamond" w:hAnsi="Garamond" w:cs="Arial"/>
          <w:sz w:val="24"/>
          <w:szCs w:val="24"/>
        </w:rPr>
        <w:t xml:space="preserve"> </w:t>
      </w:r>
      <w:r w:rsidRPr="003A1174">
        <w:rPr>
          <w:rFonts w:ascii="Garamond" w:hAnsi="Garamond" w:cs="Arial"/>
          <w:sz w:val="24"/>
          <w:szCs w:val="24"/>
        </w:rPr>
        <w:t xml:space="preserve">no </w:t>
      </w:r>
      <w:r w:rsidR="009B7DC1" w:rsidRPr="003A1174">
        <w:rPr>
          <w:rFonts w:ascii="Garamond" w:hAnsi="Garamond" w:cs="Arial"/>
          <w:sz w:val="24"/>
          <w:szCs w:val="24"/>
        </w:rPr>
        <w:t>Estado de Guanajuato</w:t>
      </w:r>
      <w:r w:rsidR="0028289A" w:rsidRPr="003A1174">
        <w:rPr>
          <w:rFonts w:ascii="Garamond" w:hAnsi="Garamond" w:cs="Arial"/>
          <w:sz w:val="24"/>
          <w:szCs w:val="24"/>
        </w:rPr>
        <w:t>,</w:t>
      </w:r>
      <w:r w:rsidRPr="003A1174">
        <w:rPr>
          <w:rFonts w:ascii="Garamond" w:hAnsi="Garamond" w:cs="Arial"/>
          <w:sz w:val="24"/>
          <w:szCs w:val="24"/>
        </w:rPr>
        <w:t xml:space="preserve"> </w:t>
      </w:r>
      <w:r w:rsidR="00000655">
        <w:rPr>
          <w:rFonts w:ascii="Garamond" w:hAnsi="Garamond" w:cs="Arial"/>
          <w:sz w:val="24"/>
          <w:szCs w:val="24"/>
        </w:rPr>
        <w:t>em que</w:t>
      </w:r>
      <w:r w:rsidR="00E34DB3" w:rsidRPr="003A1174">
        <w:rPr>
          <w:rFonts w:ascii="Garamond" w:hAnsi="Garamond" w:cs="Arial"/>
          <w:sz w:val="24"/>
          <w:szCs w:val="24"/>
        </w:rPr>
        <w:t>,</w:t>
      </w:r>
      <w:r w:rsidRPr="003A1174">
        <w:rPr>
          <w:rFonts w:ascii="Garamond" w:hAnsi="Garamond" w:cs="Arial"/>
          <w:sz w:val="24"/>
          <w:szCs w:val="24"/>
        </w:rPr>
        <w:t xml:space="preserve"> entre </w:t>
      </w:r>
      <w:r w:rsidR="009B7DC1" w:rsidRPr="003A1174">
        <w:rPr>
          <w:rFonts w:ascii="Garamond" w:hAnsi="Garamond" w:cs="Arial"/>
          <w:sz w:val="24"/>
          <w:szCs w:val="24"/>
        </w:rPr>
        <w:t xml:space="preserve">as </w:t>
      </w:r>
      <w:r w:rsidRPr="003A1174">
        <w:rPr>
          <w:rFonts w:ascii="Garamond" w:hAnsi="Garamond" w:cs="Arial"/>
          <w:sz w:val="24"/>
          <w:szCs w:val="24"/>
        </w:rPr>
        <w:t>proibições</w:t>
      </w:r>
      <w:r w:rsidR="009B7DC1" w:rsidRPr="003A1174">
        <w:rPr>
          <w:rFonts w:ascii="Garamond" w:hAnsi="Garamond" w:cs="Arial"/>
          <w:sz w:val="24"/>
          <w:szCs w:val="24"/>
        </w:rPr>
        <w:t xml:space="preserve"> a</w:t>
      </w:r>
      <w:r w:rsidRPr="003A1174">
        <w:rPr>
          <w:rFonts w:ascii="Garamond" w:hAnsi="Garamond" w:cs="Arial"/>
          <w:sz w:val="24"/>
          <w:szCs w:val="24"/>
        </w:rPr>
        <w:t>os</w:t>
      </w:r>
      <w:r w:rsidR="009B7DC1" w:rsidRPr="003A1174">
        <w:rPr>
          <w:rFonts w:ascii="Garamond" w:hAnsi="Garamond" w:cs="Arial"/>
          <w:sz w:val="24"/>
          <w:szCs w:val="24"/>
        </w:rPr>
        <w:t xml:space="preserve"> </w:t>
      </w:r>
      <w:r w:rsidR="007C63D0" w:rsidRPr="003A1174">
        <w:rPr>
          <w:rFonts w:ascii="Garamond" w:hAnsi="Garamond" w:cs="Arial"/>
          <w:sz w:val="24"/>
          <w:szCs w:val="24"/>
        </w:rPr>
        <w:t>comportamento</w:t>
      </w:r>
      <w:r w:rsidRPr="003A1174">
        <w:rPr>
          <w:rFonts w:ascii="Garamond" w:hAnsi="Garamond" w:cs="Arial"/>
          <w:sz w:val="24"/>
          <w:szCs w:val="24"/>
        </w:rPr>
        <w:t>s discriminatório</w:t>
      </w:r>
      <w:r w:rsidR="009B7DC1" w:rsidRPr="003A1174">
        <w:rPr>
          <w:rFonts w:ascii="Garamond" w:hAnsi="Garamond" w:cs="Arial"/>
          <w:sz w:val="24"/>
          <w:szCs w:val="24"/>
        </w:rPr>
        <w:t>s</w:t>
      </w:r>
      <w:r w:rsidR="00E34DB3" w:rsidRPr="003A1174">
        <w:rPr>
          <w:rFonts w:ascii="Garamond" w:hAnsi="Garamond" w:cs="Arial"/>
          <w:sz w:val="24"/>
          <w:szCs w:val="24"/>
        </w:rPr>
        <w:t>,</w:t>
      </w:r>
      <w:r w:rsidR="009B7DC1" w:rsidRPr="003A1174">
        <w:rPr>
          <w:rFonts w:ascii="Garamond" w:hAnsi="Garamond" w:cs="Arial"/>
          <w:sz w:val="24"/>
          <w:szCs w:val="24"/>
        </w:rPr>
        <w:t xml:space="preserve"> se </w:t>
      </w:r>
      <w:r w:rsidRPr="003A1174">
        <w:rPr>
          <w:rFonts w:ascii="Garamond" w:hAnsi="Garamond" w:cs="Arial"/>
          <w:sz w:val="24"/>
          <w:szCs w:val="24"/>
        </w:rPr>
        <w:t>menciona</w:t>
      </w:r>
      <w:r w:rsidR="00067744">
        <w:rPr>
          <w:rFonts w:ascii="Garamond" w:hAnsi="Garamond" w:cs="Arial"/>
          <w:sz w:val="24"/>
          <w:szCs w:val="24"/>
        </w:rPr>
        <w:t>,</w:t>
      </w:r>
      <w:r w:rsidRPr="003A1174">
        <w:rPr>
          <w:rFonts w:ascii="Garamond" w:hAnsi="Garamond" w:cs="Arial"/>
          <w:sz w:val="24"/>
          <w:szCs w:val="24"/>
        </w:rPr>
        <w:t xml:space="preserve"> </w:t>
      </w:r>
      <w:r w:rsidR="00524936" w:rsidRPr="003A1174">
        <w:rPr>
          <w:rFonts w:ascii="Garamond" w:hAnsi="Garamond" w:cs="Arial"/>
          <w:sz w:val="24"/>
          <w:szCs w:val="24"/>
        </w:rPr>
        <w:t>expressa</w:t>
      </w:r>
      <w:r w:rsidR="009B7DC1" w:rsidRPr="003A1174">
        <w:rPr>
          <w:rFonts w:ascii="Garamond" w:hAnsi="Garamond" w:cs="Arial"/>
          <w:sz w:val="24"/>
          <w:szCs w:val="24"/>
        </w:rPr>
        <w:t>mente</w:t>
      </w:r>
      <w:r w:rsidR="00067744">
        <w:rPr>
          <w:rFonts w:ascii="Garamond" w:hAnsi="Garamond" w:cs="Arial"/>
          <w:sz w:val="24"/>
          <w:szCs w:val="24"/>
        </w:rPr>
        <w:t>,</w:t>
      </w:r>
      <w:r w:rsidR="009B7DC1" w:rsidRPr="003A1174">
        <w:rPr>
          <w:rFonts w:ascii="Garamond" w:hAnsi="Garamond" w:cs="Arial"/>
          <w:sz w:val="24"/>
          <w:szCs w:val="24"/>
        </w:rPr>
        <w:t xml:space="preserve"> </w:t>
      </w:r>
      <w:r w:rsidRPr="003A1174">
        <w:rPr>
          <w:rFonts w:ascii="Garamond" w:hAnsi="Garamond" w:cs="Arial"/>
          <w:sz w:val="24"/>
          <w:szCs w:val="24"/>
        </w:rPr>
        <w:t>o</w:t>
      </w:r>
      <w:r w:rsidR="009B7DC1" w:rsidRPr="003A1174">
        <w:rPr>
          <w:rFonts w:ascii="Garamond" w:hAnsi="Garamond" w:cs="Arial"/>
          <w:sz w:val="24"/>
          <w:szCs w:val="24"/>
        </w:rPr>
        <w:t xml:space="preserve"> impedimento </w:t>
      </w:r>
      <w:r w:rsidRPr="003A1174">
        <w:rPr>
          <w:rFonts w:ascii="Garamond" w:hAnsi="Garamond" w:cs="Arial"/>
          <w:sz w:val="24"/>
          <w:szCs w:val="24"/>
        </w:rPr>
        <w:t>d</w:t>
      </w:r>
      <w:r w:rsidR="009B7DC1" w:rsidRPr="003A1174">
        <w:rPr>
          <w:rFonts w:ascii="Garamond" w:hAnsi="Garamond" w:cs="Arial"/>
          <w:sz w:val="24"/>
          <w:szCs w:val="24"/>
        </w:rPr>
        <w:t xml:space="preserve">as </w:t>
      </w:r>
      <w:r w:rsidR="00054EE0" w:rsidRPr="003A1174">
        <w:rPr>
          <w:rFonts w:ascii="Garamond" w:hAnsi="Garamond" w:cs="Arial"/>
          <w:sz w:val="24"/>
          <w:szCs w:val="24"/>
        </w:rPr>
        <w:t>mulheres</w:t>
      </w:r>
      <w:r w:rsidR="009B7DC1" w:rsidRPr="003A1174">
        <w:rPr>
          <w:rFonts w:ascii="Garamond" w:hAnsi="Garamond" w:cs="Arial"/>
          <w:sz w:val="24"/>
          <w:szCs w:val="24"/>
        </w:rPr>
        <w:t xml:space="preserve"> </w:t>
      </w:r>
      <w:r w:rsidRPr="003A1174">
        <w:rPr>
          <w:rFonts w:ascii="Garamond" w:hAnsi="Garamond" w:cs="Arial"/>
          <w:sz w:val="24"/>
          <w:szCs w:val="24"/>
        </w:rPr>
        <w:t>grávida</w:t>
      </w:r>
      <w:r w:rsidR="009B7DC1" w:rsidRPr="003A1174">
        <w:rPr>
          <w:rFonts w:ascii="Garamond" w:hAnsi="Garamond" w:cs="Arial"/>
          <w:sz w:val="24"/>
          <w:szCs w:val="24"/>
        </w:rPr>
        <w:t>s de continuar</w:t>
      </w:r>
      <w:r w:rsidRPr="003A1174">
        <w:rPr>
          <w:rFonts w:ascii="Garamond" w:hAnsi="Garamond" w:cs="Arial"/>
          <w:sz w:val="24"/>
          <w:szCs w:val="24"/>
        </w:rPr>
        <w:t>em</w:t>
      </w:r>
      <w:r w:rsidR="009B7DC1" w:rsidRPr="003A1174">
        <w:rPr>
          <w:rFonts w:ascii="Garamond" w:hAnsi="Garamond" w:cs="Arial"/>
          <w:sz w:val="24"/>
          <w:szCs w:val="24"/>
        </w:rPr>
        <w:t xml:space="preserve"> co</w:t>
      </w:r>
      <w:r w:rsidRPr="003A1174">
        <w:rPr>
          <w:rFonts w:ascii="Garamond" w:hAnsi="Garamond" w:cs="Arial"/>
          <w:sz w:val="24"/>
          <w:szCs w:val="24"/>
        </w:rPr>
        <w:t xml:space="preserve">m os </w:t>
      </w:r>
      <w:r w:rsidR="009B7DC1" w:rsidRPr="003A1174">
        <w:rPr>
          <w:rFonts w:ascii="Garamond" w:hAnsi="Garamond" w:cs="Arial"/>
          <w:sz w:val="24"/>
          <w:szCs w:val="24"/>
        </w:rPr>
        <w:t>s</w:t>
      </w:r>
      <w:r w:rsidRPr="003A1174">
        <w:rPr>
          <w:rFonts w:ascii="Garamond" w:hAnsi="Garamond" w:cs="Arial"/>
          <w:sz w:val="24"/>
          <w:szCs w:val="24"/>
        </w:rPr>
        <w:t>e</w:t>
      </w:r>
      <w:r w:rsidR="009B7DC1" w:rsidRPr="003A1174">
        <w:rPr>
          <w:rFonts w:ascii="Garamond" w:hAnsi="Garamond" w:cs="Arial"/>
          <w:sz w:val="24"/>
          <w:szCs w:val="24"/>
        </w:rPr>
        <w:t xml:space="preserve">us </w:t>
      </w:r>
      <w:r w:rsidR="003F012B" w:rsidRPr="003A1174">
        <w:rPr>
          <w:rFonts w:ascii="Garamond" w:hAnsi="Garamond" w:cs="Arial"/>
          <w:sz w:val="24"/>
          <w:szCs w:val="24"/>
        </w:rPr>
        <w:t>estudo</w:t>
      </w:r>
      <w:r w:rsidR="009B7DC1" w:rsidRPr="003A1174">
        <w:rPr>
          <w:rFonts w:ascii="Garamond" w:hAnsi="Garamond" w:cs="Arial"/>
          <w:sz w:val="24"/>
          <w:szCs w:val="24"/>
        </w:rPr>
        <w:t>s</w:t>
      </w:r>
      <w:r w:rsidR="00E55BB9" w:rsidRPr="003A1174">
        <w:rPr>
          <w:rFonts w:ascii="Garamond" w:hAnsi="Garamond" w:cs="Arial"/>
          <w:sz w:val="24"/>
          <w:szCs w:val="24"/>
        </w:rPr>
        <w:t xml:space="preserve">. </w:t>
      </w:r>
    </w:p>
    <w:p w:rsidR="00E55BB9" w:rsidRPr="003A1174" w:rsidRDefault="00E55BB9" w:rsidP="008719D4">
      <w:pPr>
        <w:spacing w:after="0" w:line="240" w:lineRule="auto"/>
        <w:jc w:val="both"/>
        <w:rPr>
          <w:rFonts w:ascii="Garamond" w:hAnsi="Garamond" w:cs="Arial"/>
          <w:sz w:val="24"/>
          <w:szCs w:val="24"/>
        </w:rPr>
      </w:pPr>
    </w:p>
    <w:p w:rsidR="009B7DC1" w:rsidRPr="003A1174" w:rsidRDefault="00D1487B" w:rsidP="00D148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lastRenderedPageBreak/>
        <w:t xml:space="preserve">No que se refere à </w:t>
      </w:r>
      <w:r w:rsidR="00067744">
        <w:rPr>
          <w:rFonts w:ascii="Garamond" w:hAnsi="Garamond" w:cs="Arial"/>
          <w:sz w:val="24"/>
          <w:szCs w:val="24"/>
        </w:rPr>
        <w:t>alteração à</w:t>
      </w:r>
      <w:r w:rsidRPr="003A1174">
        <w:rPr>
          <w:rFonts w:ascii="Garamond" w:hAnsi="Garamond" w:cs="Arial"/>
          <w:sz w:val="24"/>
          <w:szCs w:val="24"/>
        </w:rPr>
        <w:t xml:space="preserve"> </w:t>
      </w:r>
      <w:r w:rsidR="00D15AFF" w:rsidRPr="003A1174">
        <w:rPr>
          <w:rFonts w:ascii="Garamond" w:hAnsi="Garamond" w:cs="Arial"/>
          <w:sz w:val="24"/>
          <w:szCs w:val="24"/>
        </w:rPr>
        <w:t>Lei</w:t>
      </w:r>
      <w:r w:rsidR="009B7DC1" w:rsidRPr="003A1174">
        <w:rPr>
          <w:rFonts w:ascii="Garamond" w:hAnsi="Garamond" w:cs="Arial"/>
          <w:sz w:val="24"/>
          <w:szCs w:val="24"/>
        </w:rPr>
        <w:t xml:space="preserve"> de </w:t>
      </w:r>
      <w:r w:rsidR="00886D6A" w:rsidRPr="003A1174">
        <w:rPr>
          <w:rFonts w:ascii="Garamond" w:hAnsi="Garamond" w:cs="Arial"/>
          <w:sz w:val="24"/>
          <w:szCs w:val="24"/>
        </w:rPr>
        <w:t>Acesso</w:t>
      </w:r>
      <w:r w:rsidR="009B7DC1" w:rsidRPr="003A1174">
        <w:rPr>
          <w:rFonts w:ascii="Garamond" w:hAnsi="Garamond" w:cs="Arial"/>
          <w:sz w:val="24"/>
          <w:szCs w:val="24"/>
        </w:rPr>
        <w:t xml:space="preserve"> </w:t>
      </w:r>
      <w:r w:rsidR="00497503" w:rsidRPr="003A1174">
        <w:rPr>
          <w:rFonts w:ascii="Garamond" w:hAnsi="Garamond" w:cs="Arial"/>
          <w:sz w:val="24"/>
          <w:szCs w:val="24"/>
        </w:rPr>
        <w:t>das</w:t>
      </w:r>
      <w:r w:rsidR="009B7DC1"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a um</w:t>
      </w:r>
      <w:r w:rsidR="009B7DC1" w:rsidRPr="003A1174">
        <w:rPr>
          <w:rFonts w:ascii="Garamond" w:hAnsi="Garamond" w:cs="Arial"/>
          <w:sz w:val="24"/>
          <w:szCs w:val="24"/>
        </w:rPr>
        <w:t xml:space="preserve">a Vida </w:t>
      </w:r>
      <w:r w:rsidR="00AF192F" w:rsidRPr="003A1174">
        <w:rPr>
          <w:rFonts w:ascii="Garamond" w:hAnsi="Garamond" w:cs="Arial"/>
          <w:sz w:val="24"/>
          <w:szCs w:val="24"/>
        </w:rPr>
        <w:t>Livre</w:t>
      </w:r>
      <w:r w:rsidR="009B7DC1" w:rsidRPr="003A1174">
        <w:rPr>
          <w:rFonts w:ascii="Garamond" w:hAnsi="Garamond" w:cs="Arial"/>
          <w:sz w:val="24"/>
          <w:szCs w:val="24"/>
        </w:rPr>
        <w:t xml:space="preserve"> de </w:t>
      </w:r>
      <w:r w:rsidR="000350B1" w:rsidRPr="003A1174">
        <w:rPr>
          <w:rFonts w:ascii="Garamond" w:hAnsi="Garamond" w:cs="Arial"/>
          <w:sz w:val="24"/>
          <w:szCs w:val="24"/>
        </w:rPr>
        <w:t>Violência</w:t>
      </w:r>
      <w:r w:rsidR="009B7DC1" w:rsidRPr="003A1174">
        <w:rPr>
          <w:rFonts w:ascii="Garamond" w:hAnsi="Garamond" w:cs="Arial"/>
          <w:sz w:val="24"/>
          <w:szCs w:val="24"/>
        </w:rPr>
        <w:t xml:space="preserve"> para </w:t>
      </w:r>
      <w:r w:rsidRPr="003A1174">
        <w:rPr>
          <w:rFonts w:ascii="Garamond" w:hAnsi="Garamond" w:cs="Arial"/>
          <w:sz w:val="24"/>
          <w:szCs w:val="24"/>
        </w:rPr>
        <w:t>o</w:t>
      </w:r>
      <w:r w:rsidR="009B7DC1" w:rsidRPr="003A1174">
        <w:rPr>
          <w:rFonts w:ascii="Garamond" w:hAnsi="Garamond" w:cs="Arial"/>
          <w:sz w:val="24"/>
          <w:szCs w:val="24"/>
        </w:rPr>
        <w:t xml:space="preserve"> Estado de Guanajuato</w:t>
      </w:r>
      <w:r w:rsidR="003107ED">
        <w:rPr>
          <w:rFonts w:ascii="Garamond" w:hAnsi="Garamond" w:cs="Arial"/>
          <w:sz w:val="24"/>
          <w:szCs w:val="24"/>
        </w:rPr>
        <w:t>,</w:t>
      </w:r>
      <w:r w:rsidRPr="003A1174">
        <w:rPr>
          <w:rFonts w:ascii="Garamond" w:hAnsi="Garamond" w:cs="Arial"/>
          <w:sz w:val="24"/>
          <w:szCs w:val="24"/>
        </w:rPr>
        <w:t xml:space="preserve"> em </w:t>
      </w:r>
      <w:r w:rsidR="0094067E" w:rsidRPr="003A1174">
        <w:rPr>
          <w:rFonts w:ascii="Garamond" w:hAnsi="Garamond" w:cs="Arial"/>
          <w:sz w:val="24"/>
          <w:szCs w:val="24"/>
        </w:rPr>
        <w:t>dezembro</w:t>
      </w:r>
      <w:r w:rsidR="009B7DC1" w:rsidRPr="003A1174">
        <w:rPr>
          <w:rFonts w:ascii="Garamond" w:hAnsi="Garamond" w:cs="Arial"/>
          <w:sz w:val="24"/>
          <w:szCs w:val="24"/>
        </w:rPr>
        <w:t xml:space="preserve"> de 2013, </w:t>
      </w:r>
      <w:r w:rsidRPr="003A1174">
        <w:rPr>
          <w:rFonts w:ascii="Garamond" w:hAnsi="Garamond" w:cs="Arial"/>
          <w:sz w:val="24"/>
          <w:szCs w:val="24"/>
        </w:rPr>
        <w:t xml:space="preserve">é </w:t>
      </w:r>
      <w:r w:rsidR="0028289A" w:rsidRPr="003A1174">
        <w:rPr>
          <w:rFonts w:ascii="Garamond" w:hAnsi="Garamond" w:cs="Arial"/>
          <w:sz w:val="24"/>
          <w:szCs w:val="24"/>
        </w:rPr>
        <w:t>importante</w:t>
      </w:r>
      <w:r w:rsidRPr="003A1174">
        <w:rPr>
          <w:rFonts w:ascii="Garamond" w:hAnsi="Garamond" w:cs="Arial"/>
          <w:sz w:val="24"/>
          <w:szCs w:val="24"/>
        </w:rPr>
        <w:t xml:space="preserve"> destacar que esta contempla </w:t>
      </w:r>
      <w:r w:rsidR="009B7DC1" w:rsidRPr="003A1174">
        <w:rPr>
          <w:rFonts w:ascii="Garamond" w:hAnsi="Garamond" w:cs="Arial"/>
          <w:sz w:val="24"/>
          <w:szCs w:val="24"/>
        </w:rPr>
        <w:t xml:space="preserve">as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886D6A" w:rsidRPr="003A1174">
        <w:rPr>
          <w:rFonts w:ascii="Garamond" w:hAnsi="Garamond" w:cs="Arial"/>
          <w:sz w:val="24"/>
          <w:szCs w:val="24"/>
        </w:rPr>
        <w:t>Proteção</w:t>
      </w:r>
      <w:r w:rsidR="009B7DC1" w:rsidRPr="003A1174">
        <w:rPr>
          <w:rFonts w:ascii="Garamond" w:hAnsi="Garamond" w:cs="Arial"/>
          <w:sz w:val="24"/>
          <w:szCs w:val="24"/>
        </w:rPr>
        <w:t xml:space="preserve"> como </w:t>
      </w:r>
      <w:r w:rsidR="005D38DC" w:rsidRPr="003A1174">
        <w:rPr>
          <w:rFonts w:ascii="Garamond" w:hAnsi="Garamond" w:cs="Arial"/>
          <w:sz w:val="24"/>
          <w:szCs w:val="24"/>
        </w:rPr>
        <w:t>decisões</w:t>
      </w:r>
      <w:r w:rsidR="009B7DC1" w:rsidRPr="003A1174">
        <w:rPr>
          <w:rFonts w:ascii="Garamond" w:hAnsi="Garamond" w:cs="Arial"/>
          <w:sz w:val="24"/>
          <w:szCs w:val="24"/>
        </w:rPr>
        <w:t xml:space="preserve"> de </w:t>
      </w:r>
      <w:r w:rsidRPr="003A1174">
        <w:rPr>
          <w:rFonts w:ascii="Garamond" w:hAnsi="Garamond" w:cs="Arial"/>
          <w:sz w:val="24"/>
          <w:szCs w:val="24"/>
        </w:rPr>
        <w:t xml:space="preserve">aplicação </w:t>
      </w:r>
      <w:r w:rsidR="009B7DC1" w:rsidRPr="003A1174">
        <w:rPr>
          <w:rFonts w:ascii="Garamond" w:hAnsi="Garamond" w:cs="Arial"/>
          <w:sz w:val="24"/>
          <w:szCs w:val="24"/>
        </w:rPr>
        <w:t>urgente e</w:t>
      </w:r>
      <w:r w:rsidRPr="003A1174">
        <w:rPr>
          <w:rFonts w:ascii="Garamond" w:hAnsi="Garamond" w:cs="Arial"/>
          <w:sz w:val="24"/>
          <w:szCs w:val="24"/>
        </w:rPr>
        <w:t>m</w:t>
      </w:r>
      <w:r w:rsidR="009B7DC1" w:rsidRPr="003A1174">
        <w:rPr>
          <w:rFonts w:ascii="Garamond" w:hAnsi="Garamond" w:cs="Arial"/>
          <w:sz w:val="24"/>
          <w:szCs w:val="24"/>
        </w:rPr>
        <w:t xml:space="preserve"> </w:t>
      </w:r>
      <w:r w:rsidR="002E2C71" w:rsidRPr="003A1174">
        <w:rPr>
          <w:rFonts w:ascii="Garamond" w:hAnsi="Garamond" w:cs="Arial"/>
          <w:sz w:val="24"/>
          <w:szCs w:val="24"/>
        </w:rPr>
        <w:t>função</w:t>
      </w:r>
      <w:r w:rsidR="009B7DC1" w:rsidRPr="003A1174">
        <w:rPr>
          <w:rFonts w:ascii="Garamond" w:hAnsi="Garamond" w:cs="Arial"/>
          <w:sz w:val="24"/>
          <w:szCs w:val="24"/>
        </w:rPr>
        <w:t xml:space="preserve"> </w:t>
      </w:r>
      <w:r w:rsidR="008A3DA2" w:rsidRPr="003A1174">
        <w:rPr>
          <w:rFonts w:ascii="Garamond" w:hAnsi="Garamond" w:cs="Arial"/>
          <w:sz w:val="24"/>
          <w:szCs w:val="24"/>
        </w:rPr>
        <w:t>do</w:t>
      </w:r>
      <w:r w:rsidR="009B7DC1" w:rsidRPr="003A1174">
        <w:rPr>
          <w:rFonts w:ascii="Garamond" w:hAnsi="Garamond" w:cs="Arial"/>
          <w:sz w:val="24"/>
          <w:szCs w:val="24"/>
        </w:rPr>
        <w:t xml:space="preserve"> </w:t>
      </w:r>
      <w:r w:rsidR="00EF645F" w:rsidRPr="003A1174">
        <w:rPr>
          <w:rFonts w:ascii="Garamond" w:hAnsi="Garamond" w:cs="Arial"/>
          <w:sz w:val="24"/>
          <w:szCs w:val="24"/>
        </w:rPr>
        <w:t>interesse</w:t>
      </w:r>
      <w:r w:rsidRPr="003A1174">
        <w:rPr>
          <w:rFonts w:ascii="Garamond" w:hAnsi="Garamond" w:cs="Arial"/>
          <w:sz w:val="24"/>
          <w:szCs w:val="24"/>
        </w:rPr>
        <w:t xml:space="preserve"> superior d</w:t>
      </w:r>
      <w:r w:rsidR="009B7DC1" w:rsidRPr="003A1174">
        <w:rPr>
          <w:rFonts w:ascii="Garamond" w:hAnsi="Garamond" w:cs="Arial"/>
          <w:sz w:val="24"/>
          <w:szCs w:val="24"/>
        </w:rPr>
        <w:t xml:space="preserve">a </w:t>
      </w:r>
      <w:r w:rsidR="003F012B" w:rsidRPr="003A1174">
        <w:rPr>
          <w:rFonts w:ascii="Garamond" w:hAnsi="Garamond" w:cs="Arial"/>
          <w:sz w:val="24"/>
          <w:szCs w:val="24"/>
        </w:rPr>
        <w:t>vítima</w:t>
      </w:r>
      <w:r w:rsidR="009B7DC1" w:rsidRPr="003A1174">
        <w:rPr>
          <w:rFonts w:ascii="Garamond" w:hAnsi="Garamond" w:cs="Arial"/>
          <w:sz w:val="24"/>
          <w:szCs w:val="24"/>
        </w:rPr>
        <w:t>, co</w:t>
      </w:r>
      <w:r w:rsidRPr="003A1174">
        <w:rPr>
          <w:rFonts w:ascii="Garamond" w:hAnsi="Garamond" w:cs="Arial"/>
          <w:sz w:val="24"/>
          <w:szCs w:val="24"/>
        </w:rPr>
        <w:t xml:space="preserve">m o </w:t>
      </w:r>
      <w:r w:rsidR="00120915" w:rsidRPr="003A1174">
        <w:rPr>
          <w:rFonts w:ascii="Garamond" w:hAnsi="Garamond" w:cs="Arial"/>
          <w:sz w:val="24"/>
          <w:szCs w:val="24"/>
        </w:rPr>
        <w:t>caráter</w:t>
      </w:r>
      <w:r w:rsidR="009B7DC1" w:rsidRPr="003A1174">
        <w:rPr>
          <w:rFonts w:ascii="Garamond" w:hAnsi="Garamond" w:cs="Arial"/>
          <w:sz w:val="24"/>
          <w:szCs w:val="24"/>
        </w:rPr>
        <w:t xml:space="preserve"> fundamental de precau</w:t>
      </w:r>
      <w:r w:rsidRPr="003A1174">
        <w:rPr>
          <w:rFonts w:ascii="Garamond" w:hAnsi="Garamond" w:cs="Arial"/>
          <w:sz w:val="24"/>
          <w:szCs w:val="24"/>
        </w:rPr>
        <w:t xml:space="preserve">ção </w:t>
      </w:r>
      <w:r w:rsidR="00497503" w:rsidRPr="003A1174">
        <w:rPr>
          <w:rFonts w:ascii="Garamond" w:hAnsi="Garamond" w:cs="Arial"/>
          <w:sz w:val="24"/>
          <w:szCs w:val="24"/>
        </w:rPr>
        <w:t>e</w:t>
      </w:r>
      <w:r w:rsidR="009B7DC1" w:rsidRPr="003A1174">
        <w:rPr>
          <w:rFonts w:ascii="Garamond" w:hAnsi="Garamond" w:cs="Arial"/>
          <w:sz w:val="24"/>
          <w:szCs w:val="24"/>
        </w:rPr>
        <w:t xml:space="preserve"> cautelares, a</w:t>
      </w:r>
      <w:r w:rsidRPr="003A1174">
        <w:rPr>
          <w:rFonts w:ascii="Garamond" w:hAnsi="Garamond" w:cs="Arial"/>
          <w:sz w:val="24"/>
          <w:szCs w:val="24"/>
        </w:rPr>
        <w:t xml:space="preserve">lém </w:t>
      </w:r>
      <w:r w:rsidR="009B7DC1" w:rsidRPr="003A1174">
        <w:rPr>
          <w:rFonts w:ascii="Garamond" w:hAnsi="Garamond" w:cs="Arial"/>
          <w:sz w:val="24"/>
          <w:szCs w:val="24"/>
        </w:rPr>
        <w:t>de pe</w:t>
      </w:r>
      <w:r w:rsidRPr="003A1174">
        <w:rPr>
          <w:rFonts w:ascii="Garamond" w:hAnsi="Garamond" w:cs="Arial"/>
          <w:sz w:val="24"/>
          <w:szCs w:val="24"/>
        </w:rPr>
        <w:t xml:space="preserve">ssoais e </w:t>
      </w:r>
      <w:r w:rsidR="009B7DC1" w:rsidRPr="003A1174">
        <w:rPr>
          <w:rFonts w:ascii="Garamond" w:hAnsi="Garamond" w:cs="Arial"/>
          <w:sz w:val="24"/>
          <w:szCs w:val="24"/>
        </w:rPr>
        <w:t>intransfer</w:t>
      </w:r>
      <w:r w:rsidRPr="003A1174">
        <w:rPr>
          <w:rFonts w:ascii="Garamond" w:hAnsi="Garamond" w:cs="Arial"/>
          <w:sz w:val="24"/>
          <w:szCs w:val="24"/>
        </w:rPr>
        <w:t>íveis</w:t>
      </w:r>
      <w:r w:rsidR="009B7DC1" w:rsidRPr="003A1174">
        <w:rPr>
          <w:rFonts w:ascii="Garamond" w:hAnsi="Garamond" w:cs="Arial"/>
          <w:sz w:val="24"/>
          <w:szCs w:val="24"/>
        </w:rPr>
        <w:t xml:space="preserve">. </w:t>
      </w:r>
      <w:r w:rsidRPr="003A1174">
        <w:rPr>
          <w:rFonts w:ascii="Garamond" w:hAnsi="Garamond" w:cs="Arial"/>
          <w:sz w:val="24"/>
          <w:szCs w:val="24"/>
        </w:rPr>
        <w:t xml:space="preserve">Classificam-se em </w:t>
      </w:r>
      <w:r w:rsidR="00AD32C5">
        <w:rPr>
          <w:rFonts w:ascii="Garamond" w:hAnsi="Garamond" w:cs="Arial"/>
          <w:sz w:val="24"/>
          <w:szCs w:val="24"/>
        </w:rPr>
        <w:t>«</w:t>
      </w:r>
      <w:r w:rsidR="009B7DC1" w:rsidRPr="003A1174">
        <w:rPr>
          <w:rFonts w:ascii="Garamond" w:hAnsi="Garamond" w:cs="Arial"/>
          <w:sz w:val="24"/>
          <w:szCs w:val="24"/>
        </w:rPr>
        <w:t xml:space="preserve">de </w:t>
      </w:r>
      <w:r w:rsidR="009E3E55" w:rsidRPr="003A1174">
        <w:rPr>
          <w:rFonts w:ascii="Garamond" w:hAnsi="Garamond" w:cs="Arial"/>
          <w:sz w:val="24"/>
          <w:szCs w:val="24"/>
        </w:rPr>
        <w:t>emergência</w:t>
      </w:r>
      <w:r w:rsidR="00AD32C5">
        <w:rPr>
          <w:rFonts w:ascii="Garamond" w:hAnsi="Garamond" w:cs="Arial"/>
          <w:sz w:val="24"/>
          <w:szCs w:val="24"/>
        </w:rPr>
        <w:t>»</w:t>
      </w:r>
      <w:r w:rsidR="009B7DC1" w:rsidRPr="003A1174">
        <w:rPr>
          <w:rFonts w:ascii="Garamond" w:hAnsi="Garamond" w:cs="Arial"/>
          <w:sz w:val="24"/>
          <w:szCs w:val="24"/>
        </w:rPr>
        <w:t xml:space="preserve">, </w:t>
      </w:r>
      <w:r w:rsidR="00AD32C5">
        <w:rPr>
          <w:rFonts w:ascii="Garamond" w:hAnsi="Garamond" w:cs="Arial"/>
          <w:sz w:val="24"/>
          <w:szCs w:val="24"/>
        </w:rPr>
        <w:t>«</w:t>
      </w:r>
      <w:r w:rsidR="009B7DC1" w:rsidRPr="003A1174">
        <w:rPr>
          <w:rFonts w:ascii="Garamond" w:hAnsi="Garamond" w:cs="Arial"/>
          <w:sz w:val="24"/>
          <w:szCs w:val="24"/>
        </w:rPr>
        <w:t>preventivas</w:t>
      </w:r>
      <w:r w:rsidR="00AD32C5">
        <w:rPr>
          <w:rFonts w:ascii="Garamond" w:hAnsi="Garamond" w:cs="Arial"/>
          <w:sz w:val="24"/>
          <w:szCs w:val="24"/>
        </w:rPr>
        <w:t>»</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w:t>
      </w:r>
      <w:r w:rsidR="00AD32C5">
        <w:rPr>
          <w:rFonts w:ascii="Garamond" w:hAnsi="Garamond" w:cs="Arial"/>
          <w:sz w:val="24"/>
          <w:szCs w:val="24"/>
        </w:rPr>
        <w:t>«</w:t>
      </w:r>
      <w:r w:rsidR="009B7DC1" w:rsidRPr="003A1174">
        <w:rPr>
          <w:rFonts w:ascii="Garamond" w:hAnsi="Garamond" w:cs="Arial"/>
          <w:sz w:val="24"/>
          <w:szCs w:val="24"/>
        </w:rPr>
        <w:t xml:space="preserve">de </w:t>
      </w:r>
      <w:r w:rsidR="00C6493E" w:rsidRPr="003A1174">
        <w:rPr>
          <w:rFonts w:ascii="Garamond" w:hAnsi="Garamond" w:cs="Arial"/>
          <w:sz w:val="24"/>
          <w:szCs w:val="24"/>
        </w:rPr>
        <w:t>natureza</w:t>
      </w:r>
      <w:r w:rsidRPr="003A1174">
        <w:rPr>
          <w:rFonts w:ascii="Garamond" w:hAnsi="Garamond" w:cs="Arial"/>
          <w:sz w:val="24"/>
          <w:szCs w:val="24"/>
        </w:rPr>
        <w:t xml:space="preserve"> civil</w:t>
      </w:r>
      <w:r w:rsidR="00AD32C5">
        <w:rPr>
          <w:rFonts w:ascii="Garamond" w:hAnsi="Garamond" w:cs="Arial"/>
          <w:sz w:val="24"/>
          <w:szCs w:val="24"/>
        </w:rPr>
        <w:t>»</w:t>
      </w:r>
      <w:r w:rsidRPr="003A1174">
        <w:rPr>
          <w:rFonts w:ascii="Garamond" w:hAnsi="Garamond" w:cs="Arial"/>
          <w:sz w:val="24"/>
          <w:szCs w:val="24"/>
        </w:rPr>
        <w:t>, correspond</w:t>
      </w:r>
      <w:r w:rsidR="009B7DC1" w:rsidRPr="003A1174">
        <w:rPr>
          <w:rFonts w:ascii="Garamond" w:hAnsi="Garamond" w:cs="Arial"/>
          <w:sz w:val="24"/>
          <w:szCs w:val="24"/>
        </w:rPr>
        <w:t xml:space="preserve">endo </w:t>
      </w:r>
      <w:r w:rsidRPr="003A1174">
        <w:rPr>
          <w:rFonts w:ascii="Garamond" w:hAnsi="Garamond" w:cs="Arial"/>
          <w:sz w:val="24"/>
          <w:szCs w:val="24"/>
        </w:rPr>
        <w:t>à</w:t>
      </w:r>
      <w:r w:rsidR="009B7DC1" w:rsidRPr="003A1174">
        <w:rPr>
          <w:rFonts w:ascii="Garamond" w:hAnsi="Garamond" w:cs="Arial"/>
          <w:sz w:val="24"/>
          <w:szCs w:val="24"/>
        </w:rPr>
        <w:t>s autoridades competentes t</w:t>
      </w:r>
      <w:r w:rsidRPr="003A1174">
        <w:rPr>
          <w:rFonts w:ascii="Garamond" w:hAnsi="Garamond" w:cs="Arial"/>
          <w:sz w:val="24"/>
          <w:szCs w:val="24"/>
        </w:rPr>
        <w:t>e</w:t>
      </w:r>
      <w:r w:rsidR="009B7DC1" w:rsidRPr="003A1174">
        <w:rPr>
          <w:rFonts w:ascii="Garamond" w:hAnsi="Garamond" w:cs="Arial"/>
          <w:sz w:val="24"/>
          <w:szCs w:val="24"/>
        </w:rPr>
        <w:t>r</w:t>
      </w:r>
      <w:r w:rsidR="00067744">
        <w:rPr>
          <w:rFonts w:ascii="Garamond" w:hAnsi="Garamond" w:cs="Arial"/>
          <w:sz w:val="24"/>
          <w:szCs w:val="24"/>
        </w:rPr>
        <w:t>em</w:t>
      </w:r>
      <w:r w:rsidR="009B7DC1" w:rsidRPr="003A1174">
        <w:rPr>
          <w:rFonts w:ascii="Garamond" w:hAnsi="Garamond" w:cs="Arial"/>
          <w:sz w:val="24"/>
          <w:szCs w:val="24"/>
        </w:rPr>
        <w:t xml:space="preserve"> e</w:t>
      </w:r>
      <w:r w:rsidRPr="003A1174">
        <w:rPr>
          <w:rFonts w:ascii="Garamond" w:hAnsi="Garamond" w:cs="Arial"/>
          <w:sz w:val="24"/>
          <w:szCs w:val="24"/>
        </w:rPr>
        <w:t>m</w:t>
      </w:r>
      <w:r w:rsidR="009B7DC1" w:rsidRPr="003A1174">
        <w:rPr>
          <w:rFonts w:ascii="Garamond" w:hAnsi="Garamond" w:cs="Arial"/>
          <w:sz w:val="24"/>
          <w:szCs w:val="24"/>
        </w:rPr>
        <w:t xml:space="preserve"> </w:t>
      </w:r>
      <w:r w:rsidR="00863197" w:rsidRPr="003A1174">
        <w:rPr>
          <w:rFonts w:ascii="Garamond" w:hAnsi="Garamond" w:cs="Arial"/>
          <w:sz w:val="24"/>
          <w:szCs w:val="24"/>
        </w:rPr>
        <w:t>consideração</w:t>
      </w:r>
      <w:r w:rsidR="009B7DC1" w:rsidRPr="003A1174">
        <w:rPr>
          <w:rFonts w:ascii="Garamond" w:hAnsi="Garamond" w:cs="Arial"/>
          <w:sz w:val="24"/>
          <w:szCs w:val="24"/>
        </w:rPr>
        <w:t xml:space="preserve"> </w:t>
      </w:r>
      <w:r w:rsidRPr="003A1174">
        <w:rPr>
          <w:rFonts w:ascii="Garamond" w:hAnsi="Garamond" w:cs="Arial"/>
          <w:sz w:val="24"/>
          <w:szCs w:val="24"/>
        </w:rPr>
        <w:t xml:space="preserve">o </w:t>
      </w:r>
      <w:r w:rsidR="008651AF" w:rsidRPr="003A1174">
        <w:rPr>
          <w:rFonts w:ascii="Garamond" w:hAnsi="Garamond" w:cs="Arial"/>
          <w:sz w:val="24"/>
          <w:szCs w:val="24"/>
        </w:rPr>
        <w:t>risco</w:t>
      </w:r>
      <w:r w:rsidR="009B7DC1" w:rsidRPr="003A1174">
        <w:rPr>
          <w:rFonts w:ascii="Garamond" w:hAnsi="Garamond" w:cs="Arial"/>
          <w:sz w:val="24"/>
          <w:szCs w:val="24"/>
        </w:rPr>
        <w:t xml:space="preserve"> o</w:t>
      </w:r>
      <w:r w:rsidRPr="003A1174">
        <w:rPr>
          <w:rFonts w:ascii="Garamond" w:hAnsi="Garamond" w:cs="Arial"/>
          <w:sz w:val="24"/>
          <w:szCs w:val="24"/>
        </w:rPr>
        <w:t>u</w:t>
      </w:r>
      <w:r w:rsidR="009B7DC1" w:rsidRPr="003A1174">
        <w:rPr>
          <w:rFonts w:ascii="Garamond" w:hAnsi="Garamond" w:cs="Arial"/>
          <w:sz w:val="24"/>
          <w:szCs w:val="24"/>
        </w:rPr>
        <w:t xml:space="preserve"> </w:t>
      </w:r>
      <w:r w:rsidR="002D1021" w:rsidRPr="003A1174">
        <w:rPr>
          <w:rFonts w:ascii="Garamond" w:hAnsi="Garamond" w:cs="Arial"/>
          <w:sz w:val="24"/>
          <w:szCs w:val="24"/>
        </w:rPr>
        <w:t>perigo</w:t>
      </w:r>
      <w:r w:rsidRPr="003A1174">
        <w:rPr>
          <w:rFonts w:ascii="Garamond" w:hAnsi="Garamond" w:cs="Arial"/>
          <w:sz w:val="24"/>
          <w:szCs w:val="24"/>
        </w:rPr>
        <w:t xml:space="preserve"> existente, </w:t>
      </w:r>
      <w:r w:rsidR="009B7DC1" w:rsidRPr="003A1174">
        <w:rPr>
          <w:rFonts w:ascii="Garamond" w:hAnsi="Garamond" w:cs="Arial"/>
          <w:sz w:val="24"/>
          <w:szCs w:val="24"/>
        </w:rPr>
        <w:t xml:space="preserve">a </w:t>
      </w:r>
      <w:r w:rsidR="00D15AFF" w:rsidRPr="003A1174">
        <w:rPr>
          <w:rFonts w:ascii="Garamond" w:hAnsi="Garamond" w:cs="Arial"/>
          <w:sz w:val="24"/>
          <w:szCs w:val="24"/>
        </w:rPr>
        <w:t>segurança</w:t>
      </w:r>
      <w:r w:rsidR="009B7DC1" w:rsidRPr="003A1174">
        <w:rPr>
          <w:rFonts w:ascii="Garamond" w:hAnsi="Garamond" w:cs="Arial"/>
          <w:sz w:val="24"/>
          <w:szCs w:val="24"/>
        </w:rPr>
        <w:t xml:space="preserve"> da </w:t>
      </w:r>
      <w:r w:rsidR="003F012B" w:rsidRPr="003A1174">
        <w:rPr>
          <w:rFonts w:ascii="Garamond" w:hAnsi="Garamond" w:cs="Arial"/>
          <w:sz w:val="24"/>
          <w:szCs w:val="24"/>
        </w:rPr>
        <w:t>vítima</w:t>
      </w:r>
      <w:r w:rsidRPr="003A1174">
        <w:rPr>
          <w:rFonts w:ascii="Garamond" w:hAnsi="Garamond" w:cs="Arial"/>
          <w:sz w:val="24"/>
          <w:szCs w:val="24"/>
        </w:rPr>
        <w:t xml:space="preserve">, </w:t>
      </w:r>
      <w:r w:rsidR="009B7DC1" w:rsidRPr="003A1174">
        <w:rPr>
          <w:rFonts w:ascii="Garamond" w:hAnsi="Garamond" w:cs="Arial"/>
          <w:sz w:val="24"/>
          <w:szCs w:val="24"/>
        </w:rPr>
        <w:t xml:space="preserve">os antecedentes </w:t>
      </w:r>
      <w:r w:rsidR="008A3DA2" w:rsidRPr="003A1174">
        <w:rPr>
          <w:rFonts w:ascii="Garamond" w:hAnsi="Garamond" w:cs="Arial"/>
          <w:sz w:val="24"/>
          <w:szCs w:val="24"/>
        </w:rPr>
        <w:t>do</w:t>
      </w:r>
      <w:r w:rsidR="009B7DC1" w:rsidRPr="003A1174">
        <w:rPr>
          <w:rFonts w:ascii="Garamond" w:hAnsi="Garamond" w:cs="Arial"/>
          <w:sz w:val="24"/>
          <w:szCs w:val="24"/>
        </w:rPr>
        <w:t xml:space="preserve"> </w:t>
      </w:r>
      <w:r w:rsidR="002D1021" w:rsidRPr="003A1174">
        <w:rPr>
          <w:rFonts w:ascii="Garamond" w:hAnsi="Garamond" w:cs="Arial"/>
          <w:sz w:val="24"/>
          <w:szCs w:val="24"/>
        </w:rPr>
        <w:t>agressor</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w:t>
      </w:r>
      <w:r w:rsidR="001F2F8B" w:rsidRPr="003A1174">
        <w:rPr>
          <w:rFonts w:ascii="Garamond" w:hAnsi="Garamond" w:cs="Arial"/>
          <w:sz w:val="24"/>
          <w:szCs w:val="24"/>
        </w:rPr>
        <w:t>outro</w:t>
      </w:r>
      <w:r w:rsidR="009B7DC1" w:rsidRPr="003A1174">
        <w:rPr>
          <w:rFonts w:ascii="Garamond" w:hAnsi="Garamond" w:cs="Arial"/>
          <w:sz w:val="24"/>
          <w:szCs w:val="24"/>
        </w:rPr>
        <w:t xml:space="preserve">s elementos </w:t>
      </w:r>
      <w:r w:rsidR="00AB73F6" w:rsidRPr="003A1174">
        <w:rPr>
          <w:rFonts w:ascii="Garamond" w:hAnsi="Garamond" w:cs="Arial"/>
          <w:sz w:val="24"/>
          <w:szCs w:val="24"/>
        </w:rPr>
        <w:t>que considere</w:t>
      </w:r>
      <w:r w:rsidRPr="003A1174">
        <w:rPr>
          <w:rFonts w:ascii="Garamond" w:hAnsi="Garamond" w:cs="Arial"/>
          <w:sz w:val="24"/>
          <w:szCs w:val="24"/>
        </w:rPr>
        <w:t>m</w:t>
      </w:r>
      <w:r w:rsidR="00AB73F6" w:rsidRPr="003A1174">
        <w:rPr>
          <w:rFonts w:ascii="Garamond" w:hAnsi="Garamond" w:cs="Arial"/>
          <w:sz w:val="24"/>
          <w:szCs w:val="24"/>
        </w:rPr>
        <w:t xml:space="preserve"> importantes.</w:t>
      </w:r>
    </w:p>
    <w:p w:rsidR="009B7DC1" w:rsidRPr="003A1174" w:rsidRDefault="009B7DC1" w:rsidP="008719D4">
      <w:pPr>
        <w:tabs>
          <w:tab w:val="left" w:pos="540"/>
        </w:tabs>
        <w:spacing w:after="0" w:line="240" w:lineRule="auto"/>
        <w:ind w:left="-1134"/>
        <w:jc w:val="both"/>
        <w:rPr>
          <w:rFonts w:ascii="Garamond" w:hAnsi="Garamond" w:cs="Arial"/>
          <w:sz w:val="24"/>
          <w:szCs w:val="24"/>
        </w:rPr>
      </w:pPr>
    </w:p>
    <w:p w:rsidR="009B7DC1" w:rsidRPr="003A1174" w:rsidRDefault="00D1487B" w:rsidP="00D1487B">
      <w:pPr>
        <w:tabs>
          <w:tab w:val="left" w:pos="540"/>
        </w:tabs>
        <w:spacing w:after="0" w:line="240" w:lineRule="auto"/>
        <w:jc w:val="both"/>
        <w:rPr>
          <w:rFonts w:ascii="Garamond" w:hAnsi="Garamond" w:cs="Arial"/>
          <w:sz w:val="24"/>
          <w:szCs w:val="24"/>
        </w:rPr>
      </w:pPr>
      <w:r w:rsidRPr="003A1174">
        <w:rPr>
          <w:rFonts w:ascii="Garamond" w:hAnsi="Garamond" w:cs="Arial"/>
          <w:sz w:val="24"/>
          <w:szCs w:val="24"/>
        </w:rPr>
        <w:t>A</w:t>
      </w:r>
      <w:r w:rsidR="009B7DC1" w:rsidRPr="003A1174">
        <w:rPr>
          <w:rFonts w:ascii="Garamond" w:hAnsi="Garamond" w:cs="Arial"/>
          <w:sz w:val="24"/>
          <w:szCs w:val="24"/>
        </w:rPr>
        <w:t xml:space="preserve">s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886D6A" w:rsidRPr="003A1174">
        <w:rPr>
          <w:rFonts w:ascii="Garamond" w:hAnsi="Garamond" w:cs="Arial"/>
          <w:sz w:val="24"/>
          <w:szCs w:val="24"/>
        </w:rPr>
        <w:t>proteção</w:t>
      </w:r>
      <w:r w:rsidR="009B7DC1" w:rsidRPr="003A1174">
        <w:rPr>
          <w:rFonts w:ascii="Garamond" w:hAnsi="Garamond" w:cs="Arial"/>
          <w:sz w:val="24"/>
          <w:szCs w:val="24"/>
        </w:rPr>
        <w:t xml:space="preserve"> de </w:t>
      </w:r>
      <w:r w:rsidR="009E3E55" w:rsidRPr="003A1174">
        <w:rPr>
          <w:rFonts w:ascii="Garamond" w:hAnsi="Garamond" w:cs="Arial"/>
          <w:sz w:val="24"/>
          <w:szCs w:val="24"/>
        </w:rPr>
        <w:t>emergência</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preventivas </w:t>
      </w:r>
      <w:r w:rsidR="00D4575C" w:rsidRPr="003A1174">
        <w:rPr>
          <w:rFonts w:ascii="Garamond" w:hAnsi="Garamond" w:cs="Arial"/>
          <w:sz w:val="24"/>
          <w:szCs w:val="24"/>
        </w:rPr>
        <w:t>têm</w:t>
      </w:r>
      <w:r w:rsidR="009B7DC1" w:rsidRPr="003A1174">
        <w:rPr>
          <w:rFonts w:ascii="Garamond" w:hAnsi="Garamond" w:cs="Arial"/>
          <w:sz w:val="24"/>
          <w:szCs w:val="24"/>
        </w:rPr>
        <w:t xml:space="preserve"> u</w:t>
      </w:r>
      <w:r w:rsidRPr="003A1174">
        <w:rPr>
          <w:rFonts w:ascii="Garamond" w:hAnsi="Garamond" w:cs="Arial"/>
          <w:sz w:val="24"/>
          <w:szCs w:val="24"/>
        </w:rPr>
        <w:t xml:space="preserve">ma duração não superior a </w:t>
      </w:r>
      <w:r w:rsidR="009B7DC1" w:rsidRPr="003A1174">
        <w:rPr>
          <w:rFonts w:ascii="Garamond" w:hAnsi="Garamond" w:cs="Arial"/>
          <w:sz w:val="24"/>
          <w:szCs w:val="24"/>
        </w:rPr>
        <w:t xml:space="preserve">62 horas </w:t>
      </w:r>
      <w:r w:rsidR="00067744">
        <w:rPr>
          <w:rFonts w:ascii="Garamond" w:hAnsi="Garamond" w:cs="Arial"/>
          <w:sz w:val="24"/>
          <w:szCs w:val="24"/>
        </w:rPr>
        <w:t>a partir</w:t>
      </w:r>
      <w:r w:rsidR="009B7DC1" w:rsidRPr="003A1174">
        <w:rPr>
          <w:rFonts w:ascii="Garamond" w:hAnsi="Garamond" w:cs="Arial"/>
          <w:sz w:val="24"/>
          <w:szCs w:val="24"/>
        </w:rPr>
        <w:t xml:space="preserve"> </w:t>
      </w:r>
      <w:r w:rsidR="00497503" w:rsidRPr="003A1174">
        <w:rPr>
          <w:rFonts w:ascii="Garamond" w:hAnsi="Garamond" w:cs="Arial"/>
          <w:sz w:val="24"/>
          <w:szCs w:val="24"/>
        </w:rPr>
        <w:t>das</w:t>
      </w:r>
      <w:r w:rsidR="009B7DC1" w:rsidRPr="003A1174">
        <w:rPr>
          <w:rFonts w:ascii="Garamond" w:hAnsi="Garamond" w:cs="Arial"/>
          <w:sz w:val="24"/>
          <w:szCs w:val="24"/>
        </w:rPr>
        <w:t xml:space="preserve"> 8 horas </w:t>
      </w:r>
      <w:r w:rsidR="006F7276" w:rsidRPr="003A1174">
        <w:rPr>
          <w:rFonts w:ascii="Garamond" w:hAnsi="Garamond" w:cs="Arial"/>
          <w:sz w:val="24"/>
          <w:szCs w:val="24"/>
        </w:rPr>
        <w:t>seguintes</w:t>
      </w:r>
      <w:r w:rsidR="009B7DC1" w:rsidRPr="003A1174">
        <w:rPr>
          <w:rFonts w:ascii="Garamond" w:hAnsi="Garamond" w:cs="Arial"/>
          <w:sz w:val="24"/>
          <w:szCs w:val="24"/>
        </w:rPr>
        <w:t xml:space="preserve"> </w:t>
      </w:r>
      <w:r w:rsidR="00E34DB3" w:rsidRPr="003A1174">
        <w:rPr>
          <w:rFonts w:ascii="Garamond" w:hAnsi="Garamond" w:cs="Arial"/>
          <w:sz w:val="24"/>
          <w:szCs w:val="24"/>
        </w:rPr>
        <w:t>a</w:t>
      </w:r>
      <w:r w:rsidRPr="003A1174">
        <w:rPr>
          <w:rFonts w:ascii="Garamond" w:hAnsi="Garamond" w:cs="Arial"/>
          <w:sz w:val="24"/>
          <w:szCs w:val="24"/>
        </w:rPr>
        <w:t xml:space="preserve">o </w:t>
      </w:r>
      <w:r w:rsidR="003E6403" w:rsidRPr="003A1174">
        <w:rPr>
          <w:rFonts w:ascii="Garamond" w:hAnsi="Garamond" w:cs="Arial"/>
          <w:sz w:val="24"/>
          <w:szCs w:val="24"/>
        </w:rPr>
        <w:t>conhecimento</w:t>
      </w:r>
      <w:r w:rsidR="009B7DC1" w:rsidRPr="003A1174">
        <w:rPr>
          <w:rFonts w:ascii="Garamond" w:hAnsi="Garamond" w:cs="Arial"/>
          <w:sz w:val="24"/>
          <w:szCs w:val="24"/>
        </w:rPr>
        <w:t xml:space="preserve"> </w:t>
      </w:r>
      <w:r w:rsidR="00497503" w:rsidRPr="003A1174">
        <w:rPr>
          <w:rFonts w:ascii="Garamond" w:hAnsi="Garamond" w:cs="Arial"/>
          <w:sz w:val="24"/>
          <w:szCs w:val="24"/>
        </w:rPr>
        <w:t>dos</w:t>
      </w:r>
      <w:r w:rsidR="009B7DC1" w:rsidRPr="003A1174">
        <w:rPr>
          <w:rFonts w:ascii="Garamond" w:hAnsi="Garamond" w:cs="Arial"/>
          <w:sz w:val="24"/>
          <w:szCs w:val="24"/>
        </w:rPr>
        <w:t xml:space="preserve"> </w:t>
      </w:r>
      <w:r w:rsidR="001647F2" w:rsidRPr="003A1174">
        <w:rPr>
          <w:rFonts w:ascii="Garamond" w:hAnsi="Garamond" w:cs="Arial"/>
          <w:sz w:val="24"/>
          <w:szCs w:val="24"/>
        </w:rPr>
        <w:t>facto</w:t>
      </w:r>
      <w:r w:rsidRPr="003A1174">
        <w:rPr>
          <w:rFonts w:ascii="Garamond" w:hAnsi="Garamond" w:cs="Arial"/>
          <w:sz w:val="24"/>
          <w:szCs w:val="24"/>
        </w:rPr>
        <w:t xml:space="preserve">s que </w:t>
      </w:r>
      <w:r w:rsidR="009B7DC1" w:rsidRPr="003A1174">
        <w:rPr>
          <w:rFonts w:ascii="Garamond" w:hAnsi="Garamond" w:cs="Arial"/>
          <w:sz w:val="24"/>
          <w:szCs w:val="24"/>
        </w:rPr>
        <w:t xml:space="preserve">as </w:t>
      </w:r>
      <w:r w:rsidRPr="003A1174">
        <w:rPr>
          <w:rFonts w:ascii="Garamond" w:hAnsi="Garamond" w:cs="Arial"/>
          <w:sz w:val="24"/>
          <w:szCs w:val="24"/>
        </w:rPr>
        <w:t>produzem</w:t>
      </w:r>
      <w:r w:rsidR="009B7DC1" w:rsidRPr="003A1174">
        <w:rPr>
          <w:rFonts w:ascii="Garamond" w:hAnsi="Garamond" w:cs="Arial"/>
          <w:sz w:val="24"/>
          <w:szCs w:val="24"/>
        </w:rPr>
        <w:t xml:space="preserve">; </w:t>
      </w:r>
      <w:r w:rsidR="00D75A07" w:rsidRPr="003A1174">
        <w:rPr>
          <w:rFonts w:ascii="Garamond" w:hAnsi="Garamond" w:cs="Arial"/>
          <w:sz w:val="24"/>
          <w:szCs w:val="24"/>
        </w:rPr>
        <w:t>são</w:t>
      </w:r>
      <w:r w:rsidR="009B7DC1" w:rsidRPr="003A1174">
        <w:rPr>
          <w:rFonts w:ascii="Garamond" w:hAnsi="Garamond" w:cs="Arial"/>
          <w:sz w:val="24"/>
          <w:szCs w:val="24"/>
        </w:rPr>
        <w:t xml:space="preserve"> </w:t>
      </w:r>
      <w:r w:rsidR="00C031E1" w:rsidRPr="003A1174">
        <w:rPr>
          <w:rFonts w:ascii="Garamond" w:hAnsi="Garamond" w:cs="Arial"/>
          <w:sz w:val="24"/>
          <w:szCs w:val="24"/>
        </w:rPr>
        <w:t>e</w:t>
      </w:r>
      <w:r w:rsidRPr="003A1174">
        <w:rPr>
          <w:rFonts w:ascii="Garamond" w:hAnsi="Garamond" w:cs="Arial"/>
          <w:sz w:val="24"/>
          <w:szCs w:val="24"/>
        </w:rPr>
        <w:t xml:space="preserve">mitidas pelo </w:t>
      </w:r>
      <w:r w:rsidR="00D77C19" w:rsidRPr="003A1174">
        <w:rPr>
          <w:rFonts w:ascii="Garamond" w:hAnsi="Garamond" w:cs="Arial"/>
          <w:sz w:val="24"/>
          <w:szCs w:val="24"/>
        </w:rPr>
        <w:t>Ministério</w:t>
      </w:r>
      <w:r w:rsidR="009B7DC1" w:rsidRPr="003A1174">
        <w:rPr>
          <w:rFonts w:ascii="Garamond" w:hAnsi="Garamond" w:cs="Arial"/>
          <w:sz w:val="24"/>
          <w:szCs w:val="24"/>
        </w:rPr>
        <w:t xml:space="preserve"> Público</w:t>
      </w:r>
      <w:r w:rsidRPr="003A1174">
        <w:rPr>
          <w:rFonts w:ascii="Garamond" w:hAnsi="Garamond" w:cs="Arial"/>
          <w:sz w:val="24"/>
          <w:szCs w:val="24"/>
        </w:rPr>
        <w:t xml:space="preserve"> e </w:t>
      </w:r>
      <w:r w:rsidR="009B7DC1" w:rsidRPr="003A1174">
        <w:rPr>
          <w:rFonts w:ascii="Garamond" w:hAnsi="Garamond" w:cs="Arial"/>
          <w:sz w:val="24"/>
          <w:szCs w:val="24"/>
        </w:rPr>
        <w:t>cont</w:t>
      </w:r>
      <w:r w:rsidR="005D0494" w:rsidRPr="003A1174">
        <w:rPr>
          <w:rFonts w:ascii="Garamond" w:hAnsi="Garamond" w:cs="Arial"/>
          <w:sz w:val="24"/>
          <w:szCs w:val="24"/>
        </w:rPr>
        <w:t>a</w:t>
      </w:r>
      <w:r w:rsidRPr="003A1174">
        <w:rPr>
          <w:rFonts w:ascii="Garamond" w:hAnsi="Garamond" w:cs="Arial"/>
          <w:sz w:val="24"/>
          <w:szCs w:val="24"/>
        </w:rPr>
        <w:t>m</w:t>
      </w:r>
      <w:r w:rsidR="00E77A9C">
        <w:rPr>
          <w:rFonts w:ascii="Garamond" w:hAnsi="Garamond" w:cs="Arial"/>
          <w:sz w:val="24"/>
          <w:szCs w:val="24"/>
        </w:rPr>
        <w:t>,</w:t>
      </w:r>
      <w:r w:rsidRPr="003A1174">
        <w:rPr>
          <w:rFonts w:ascii="Garamond" w:hAnsi="Garamond" w:cs="Arial"/>
          <w:sz w:val="24"/>
          <w:szCs w:val="24"/>
        </w:rPr>
        <w:t xml:space="preserve"> </w:t>
      </w:r>
      <w:r w:rsidR="00E34DB3" w:rsidRPr="003A1174">
        <w:rPr>
          <w:rFonts w:ascii="Garamond" w:hAnsi="Garamond" w:cs="Arial"/>
          <w:sz w:val="24"/>
          <w:szCs w:val="24"/>
        </w:rPr>
        <w:t>n</w:t>
      </w:r>
      <w:r w:rsidRPr="003A1174">
        <w:rPr>
          <w:rFonts w:ascii="Garamond" w:hAnsi="Garamond" w:cs="Arial"/>
          <w:sz w:val="24"/>
          <w:szCs w:val="24"/>
        </w:rPr>
        <w:t xml:space="preserve">a sua </w:t>
      </w:r>
      <w:r w:rsidR="006C760C" w:rsidRPr="003A1174">
        <w:rPr>
          <w:rFonts w:ascii="Garamond" w:hAnsi="Garamond" w:cs="Arial"/>
          <w:sz w:val="24"/>
          <w:szCs w:val="24"/>
        </w:rPr>
        <w:t>implementação</w:t>
      </w:r>
      <w:r w:rsidR="00E77A9C">
        <w:rPr>
          <w:rFonts w:ascii="Garamond" w:hAnsi="Garamond" w:cs="Arial"/>
          <w:sz w:val="24"/>
          <w:szCs w:val="24"/>
        </w:rPr>
        <w:t>,</w:t>
      </w:r>
      <w:r w:rsidR="009B7DC1" w:rsidRPr="003A1174">
        <w:rPr>
          <w:rFonts w:ascii="Garamond" w:hAnsi="Garamond" w:cs="Arial"/>
          <w:sz w:val="24"/>
          <w:szCs w:val="24"/>
        </w:rPr>
        <w:t xml:space="preserve"> co</w:t>
      </w:r>
      <w:r w:rsidRPr="003A1174">
        <w:rPr>
          <w:rFonts w:ascii="Garamond" w:hAnsi="Garamond" w:cs="Arial"/>
          <w:sz w:val="24"/>
          <w:szCs w:val="24"/>
        </w:rPr>
        <w:t>m o auxílio</w:t>
      </w:r>
      <w:r w:rsidR="009B7DC1" w:rsidRPr="003A1174">
        <w:rPr>
          <w:rFonts w:ascii="Garamond" w:hAnsi="Garamond" w:cs="Arial"/>
          <w:sz w:val="24"/>
          <w:szCs w:val="24"/>
        </w:rPr>
        <w:t xml:space="preserve"> </w:t>
      </w:r>
      <w:r w:rsidR="00497503" w:rsidRPr="003A1174">
        <w:rPr>
          <w:rFonts w:ascii="Garamond" w:hAnsi="Garamond" w:cs="Arial"/>
          <w:sz w:val="24"/>
          <w:szCs w:val="24"/>
        </w:rPr>
        <w:t>dos</w:t>
      </w:r>
      <w:r w:rsidR="009B7DC1" w:rsidRPr="003A1174">
        <w:rPr>
          <w:rFonts w:ascii="Garamond" w:hAnsi="Garamond" w:cs="Arial"/>
          <w:sz w:val="24"/>
          <w:szCs w:val="24"/>
        </w:rPr>
        <w:t xml:space="preserve"> </w:t>
      </w:r>
      <w:r w:rsidRPr="003A1174">
        <w:rPr>
          <w:rFonts w:ascii="Garamond" w:hAnsi="Garamond" w:cs="Arial"/>
          <w:sz w:val="24"/>
          <w:szCs w:val="24"/>
        </w:rPr>
        <w:t>corpo</w:t>
      </w:r>
      <w:r w:rsidR="009B7DC1" w:rsidRPr="003A1174">
        <w:rPr>
          <w:rFonts w:ascii="Garamond" w:hAnsi="Garamond" w:cs="Arial"/>
          <w:sz w:val="24"/>
          <w:szCs w:val="24"/>
        </w:rPr>
        <w:t xml:space="preserve">s </w:t>
      </w:r>
      <w:r w:rsidR="001F2F8B" w:rsidRPr="003A1174">
        <w:rPr>
          <w:rFonts w:ascii="Garamond" w:hAnsi="Garamond" w:cs="Arial"/>
          <w:sz w:val="24"/>
          <w:szCs w:val="24"/>
        </w:rPr>
        <w:t>policiais</w:t>
      </w:r>
      <w:r w:rsidR="009B7DC1" w:rsidRPr="003A1174">
        <w:rPr>
          <w:rFonts w:ascii="Garamond" w:hAnsi="Garamond" w:cs="Arial"/>
          <w:sz w:val="24"/>
          <w:szCs w:val="24"/>
        </w:rPr>
        <w:t>.</w:t>
      </w:r>
    </w:p>
    <w:p w:rsidR="009B7DC1" w:rsidRPr="003A1174" w:rsidRDefault="009B7DC1" w:rsidP="008719D4">
      <w:pPr>
        <w:tabs>
          <w:tab w:val="left" w:pos="540"/>
        </w:tabs>
        <w:spacing w:after="0" w:line="240" w:lineRule="auto"/>
        <w:jc w:val="both"/>
        <w:rPr>
          <w:rFonts w:ascii="Garamond" w:hAnsi="Garamond" w:cs="Arial"/>
          <w:sz w:val="24"/>
          <w:szCs w:val="24"/>
        </w:rPr>
      </w:pPr>
    </w:p>
    <w:p w:rsidR="009B7DC1" w:rsidRPr="003A1174" w:rsidRDefault="00D1487B"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Relativamente às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886D6A" w:rsidRPr="003A1174">
        <w:rPr>
          <w:rFonts w:ascii="Garamond" w:hAnsi="Garamond" w:cs="Arial"/>
          <w:sz w:val="24"/>
          <w:szCs w:val="24"/>
        </w:rPr>
        <w:t>proteção</w:t>
      </w:r>
      <w:r w:rsidR="009B7DC1" w:rsidRPr="003A1174">
        <w:rPr>
          <w:rFonts w:ascii="Garamond" w:hAnsi="Garamond" w:cs="Arial"/>
          <w:sz w:val="24"/>
          <w:szCs w:val="24"/>
        </w:rPr>
        <w:t xml:space="preserve"> de </w:t>
      </w:r>
      <w:r w:rsidR="009E3E55" w:rsidRPr="003A1174">
        <w:rPr>
          <w:rFonts w:ascii="Garamond" w:hAnsi="Garamond" w:cs="Arial"/>
          <w:sz w:val="24"/>
          <w:szCs w:val="24"/>
        </w:rPr>
        <w:t>emergência</w:t>
      </w:r>
      <w:r w:rsidR="005D0494" w:rsidRPr="003A1174">
        <w:rPr>
          <w:rFonts w:ascii="Garamond" w:hAnsi="Garamond" w:cs="Arial"/>
          <w:sz w:val="24"/>
          <w:szCs w:val="24"/>
        </w:rPr>
        <w:t>,</w:t>
      </w:r>
      <w:r w:rsidR="009B7DC1" w:rsidRPr="003A1174">
        <w:rPr>
          <w:rFonts w:ascii="Garamond" w:hAnsi="Garamond" w:cs="Arial"/>
          <w:sz w:val="24"/>
          <w:szCs w:val="24"/>
        </w:rPr>
        <w:t xml:space="preserve"> </w:t>
      </w:r>
      <w:r w:rsidR="00152A44" w:rsidRPr="003A1174">
        <w:rPr>
          <w:rFonts w:ascii="Garamond" w:hAnsi="Garamond" w:cs="Arial"/>
          <w:sz w:val="24"/>
          <w:szCs w:val="24"/>
        </w:rPr>
        <w:t>estabelece</w:t>
      </w:r>
      <w:r w:rsidRPr="003A1174">
        <w:rPr>
          <w:rFonts w:ascii="Garamond" w:hAnsi="Garamond" w:cs="Arial"/>
          <w:sz w:val="24"/>
          <w:szCs w:val="24"/>
        </w:rPr>
        <w:t>m-se</w:t>
      </w:r>
      <w:r w:rsidR="00E77A9C">
        <w:rPr>
          <w:rFonts w:ascii="Garamond" w:hAnsi="Garamond" w:cs="Arial"/>
          <w:sz w:val="24"/>
          <w:szCs w:val="24"/>
        </w:rPr>
        <w:t>,</w:t>
      </w:r>
      <w:r w:rsidRPr="003A1174">
        <w:rPr>
          <w:rFonts w:ascii="Garamond" w:hAnsi="Garamond" w:cs="Arial"/>
          <w:sz w:val="24"/>
          <w:szCs w:val="24"/>
        </w:rPr>
        <w:t xml:space="preserve"> </w:t>
      </w:r>
      <w:r w:rsidR="009B133A" w:rsidRPr="003A1174">
        <w:rPr>
          <w:rFonts w:ascii="Garamond" w:hAnsi="Garamond" w:cs="Arial"/>
          <w:sz w:val="24"/>
          <w:szCs w:val="24"/>
        </w:rPr>
        <w:t>especificamente</w:t>
      </w:r>
      <w:r w:rsidR="00E77A9C">
        <w:rPr>
          <w:rFonts w:ascii="Garamond" w:hAnsi="Garamond" w:cs="Arial"/>
          <w:sz w:val="24"/>
          <w:szCs w:val="24"/>
        </w:rPr>
        <w:t>,</w:t>
      </w:r>
      <w:r w:rsidRPr="003A1174">
        <w:rPr>
          <w:rFonts w:ascii="Garamond" w:hAnsi="Garamond" w:cs="Arial"/>
          <w:sz w:val="24"/>
          <w:szCs w:val="24"/>
        </w:rPr>
        <w:t xml:space="preserve"> </w:t>
      </w:r>
      <w:r w:rsidR="009B7DC1" w:rsidRPr="003A1174">
        <w:rPr>
          <w:rFonts w:ascii="Garamond" w:hAnsi="Garamond" w:cs="Arial"/>
          <w:sz w:val="24"/>
          <w:szCs w:val="24"/>
        </w:rPr>
        <w:t xml:space="preserve">as </w:t>
      </w:r>
      <w:r w:rsidR="006F7276" w:rsidRPr="003A1174">
        <w:rPr>
          <w:rFonts w:ascii="Garamond" w:hAnsi="Garamond" w:cs="Arial"/>
          <w:sz w:val="24"/>
          <w:szCs w:val="24"/>
        </w:rPr>
        <w:t>seguintes</w:t>
      </w:r>
      <w:r w:rsidR="009B7DC1" w:rsidRPr="003A1174">
        <w:rPr>
          <w:rFonts w:ascii="Garamond" w:hAnsi="Garamond" w:cs="Arial"/>
          <w:sz w:val="24"/>
          <w:szCs w:val="24"/>
        </w:rPr>
        <w:t>:</w:t>
      </w:r>
    </w:p>
    <w:p w:rsidR="009B7DC1" w:rsidRPr="003A1174" w:rsidRDefault="009B7DC1" w:rsidP="008719D4">
      <w:pPr>
        <w:tabs>
          <w:tab w:val="left" w:pos="540"/>
        </w:tabs>
        <w:spacing w:after="0" w:line="240" w:lineRule="auto"/>
        <w:ind w:left="-1134"/>
        <w:jc w:val="both"/>
        <w:rPr>
          <w:rFonts w:ascii="Garamond" w:hAnsi="Garamond" w:cs="Arial"/>
          <w:sz w:val="24"/>
          <w:szCs w:val="24"/>
        </w:rPr>
      </w:pPr>
    </w:p>
    <w:p w:rsidR="009B7DC1" w:rsidRPr="003A1174" w:rsidRDefault="00A862C2" w:rsidP="008719D4">
      <w:pPr>
        <w:pStyle w:val="Prrafodelista"/>
        <w:numPr>
          <w:ilvl w:val="0"/>
          <w:numId w:val="5"/>
        </w:numPr>
        <w:tabs>
          <w:tab w:val="left" w:pos="540"/>
        </w:tabs>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Proibição</w:t>
      </w:r>
      <w:r w:rsidR="009B7DC1" w:rsidRPr="003A1174">
        <w:rPr>
          <w:rFonts w:ascii="Garamond" w:hAnsi="Garamond" w:cs="Arial"/>
          <w:color w:val="auto"/>
          <w:sz w:val="24"/>
          <w:szCs w:val="24"/>
          <w:lang w:val="pt-PT"/>
        </w:rPr>
        <w:t xml:space="preserve"> a</w:t>
      </w:r>
      <w:r w:rsidR="00D1487B"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E77A9C">
        <w:rPr>
          <w:rFonts w:ascii="Garamond" w:hAnsi="Garamond" w:cs="Arial"/>
          <w:color w:val="auto"/>
          <w:sz w:val="24"/>
          <w:szCs w:val="24"/>
          <w:lang w:val="pt-PT"/>
        </w:rPr>
        <w:t xml:space="preserve">presumível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de </w:t>
      </w:r>
      <w:r w:rsidR="00D1487B" w:rsidRPr="003A1174">
        <w:rPr>
          <w:rFonts w:ascii="Garamond" w:hAnsi="Garamond" w:cs="Arial"/>
          <w:color w:val="auto"/>
          <w:sz w:val="24"/>
          <w:szCs w:val="24"/>
          <w:lang w:val="pt-PT"/>
        </w:rPr>
        <w:t xml:space="preserve">se aproximar do </w:t>
      </w:r>
      <w:r w:rsidR="00152A44" w:rsidRPr="003A1174">
        <w:rPr>
          <w:rFonts w:ascii="Garamond" w:hAnsi="Garamond" w:cs="Arial"/>
          <w:color w:val="auto"/>
          <w:sz w:val="24"/>
          <w:szCs w:val="24"/>
          <w:lang w:val="pt-PT"/>
        </w:rPr>
        <w:t>domicílio</w:t>
      </w:r>
      <w:r w:rsidR="009B7DC1"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local</w:t>
      </w:r>
      <w:r w:rsidR="009B7DC1"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trabalho</w:t>
      </w:r>
      <w:r w:rsidR="009B7DC1" w:rsidRPr="003A1174">
        <w:rPr>
          <w:rFonts w:ascii="Garamond" w:hAnsi="Garamond" w:cs="Arial"/>
          <w:color w:val="auto"/>
          <w:sz w:val="24"/>
          <w:szCs w:val="24"/>
          <w:lang w:val="pt-PT"/>
        </w:rPr>
        <w:t xml:space="preserve">, </w:t>
      </w:r>
      <w:r w:rsidR="00E77A9C">
        <w:rPr>
          <w:rFonts w:ascii="Garamond" w:hAnsi="Garamond" w:cs="Arial"/>
          <w:color w:val="auto"/>
          <w:sz w:val="24"/>
          <w:szCs w:val="24"/>
          <w:lang w:val="pt-PT"/>
        </w:rPr>
        <w:t xml:space="preserve">estabelecimento de ensino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D1487B" w:rsidRPr="003A1174">
        <w:rPr>
          <w:rFonts w:ascii="Garamond" w:hAnsi="Garamond" w:cs="Arial"/>
          <w:color w:val="auto"/>
          <w:sz w:val="24"/>
          <w:szCs w:val="24"/>
          <w:lang w:val="pt-PT"/>
        </w:rPr>
        <w:t xml:space="preserve">do </w:t>
      </w:r>
      <w:r w:rsidR="00152A44" w:rsidRPr="003A1174">
        <w:rPr>
          <w:rFonts w:ascii="Garamond" w:hAnsi="Garamond" w:cs="Arial"/>
          <w:color w:val="auto"/>
          <w:sz w:val="24"/>
          <w:szCs w:val="24"/>
          <w:lang w:val="pt-PT"/>
        </w:rPr>
        <w:t>domicílio</w:t>
      </w:r>
      <w:r w:rsidR="009B7DC1" w:rsidRPr="003A1174">
        <w:rPr>
          <w:rFonts w:ascii="Garamond" w:hAnsi="Garamond" w:cs="Arial"/>
          <w:color w:val="auto"/>
          <w:sz w:val="24"/>
          <w:szCs w:val="24"/>
          <w:lang w:val="pt-PT"/>
        </w:rPr>
        <w:t xml:space="preserve"> </w:t>
      </w:r>
      <w:r w:rsidR="00D1487B" w:rsidRPr="003A1174">
        <w:rPr>
          <w:rFonts w:ascii="Garamond" w:hAnsi="Garamond" w:cs="Arial"/>
          <w:color w:val="auto"/>
          <w:sz w:val="24"/>
          <w:szCs w:val="24"/>
          <w:lang w:val="pt-PT"/>
        </w:rPr>
        <w:t>d</w:t>
      </w:r>
      <w:r w:rsidR="009B7DC1" w:rsidRPr="003A1174">
        <w:rPr>
          <w:rFonts w:ascii="Garamond" w:hAnsi="Garamond" w:cs="Arial"/>
          <w:color w:val="auto"/>
          <w:sz w:val="24"/>
          <w:szCs w:val="24"/>
          <w:lang w:val="pt-PT"/>
        </w:rPr>
        <w:t xml:space="preserve">os </w:t>
      </w:r>
      <w:r w:rsidR="006D4D0B" w:rsidRPr="003A1174">
        <w:rPr>
          <w:rFonts w:ascii="Garamond" w:hAnsi="Garamond" w:cs="Arial"/>
          <w:color w:val="auto"/>
          <w:sz w:val="24"/>
          <w:szCs w:val="24"/>
          <w:lang w:val="pt-PT"/>
        </w:rPr>
        <w:t>ascendente</w:t>
      </w:r>
      <w:r w:rsidR="009B7DC1"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6D4D0B" w:rsidRPr="003A1174">
        <w:rPr>
          <w:rFonts w:ascii="Garamond" w:hAnsi="Garamond" w:cs="Arial"/>
          <w:color w:val="auto"/>
          <w:sz w:val="24"/>
          <w:szCs w:val="24"/>
          <w:lang w:val="pt-PT"/>
        </w:rPr>
        <w:t>descendente</w:t>
      </w:r>
      <w:r w:rsidR="009B7DC1" w:rsidRPr="003A1174">
        <w:rPr>
          <w:rFonts w:ascii="Garamond" w:hAnsi="Garamond" w:cs="Arial"/>
          <w:color w:val="auto"/>
          <w:sz w:val="24"/>
          <w:szCs w:val="24"/>
          <w:lang w:val="pt-PT"/>
        </w:rPr>
        <w:t>s.</w:t>
      </w:r>
    </w:p>
    <w:p w:rsidR="009B7DC1" w:rsidRPr="003A1174" w:rsidRDefault="009B7DC1" w:rsidP="008719D4">
      <w:pPr>
        <w:pStyle w:val="Prrafodelista"/>
        <w:tabs>
          <w:tab w:val="left" w:pos="540"/>
        </w:tabs>
        <w:spacing w:after="0" w:line="240" w:lineRule="auto"/>
        <w:ind w:left="1260"/>
        <w:jc w:val="both"/>
        <w:rPr>
          <w:rFonts w:ascii="Garamond" w:hAnsi="Garamond" w:cs="Arial"/>
          <w:color w:val="auto"/>
          <w:sz w:val="24"/>
          <w:szCs w:val="24"/>
          <w:lang w:val="pt-PT"/>
        </w:rPr>
      </w:pPr>
    </w:p>
    <w:p w:rsidR="005D0494" w:rsidRPr="003A1174" w:rsidRDefault="00A862C2" w:rsidP="00D1487B">
      <w:pPr>
        <w:pStyle w:val="Prrafodelista"/>
        <w:numPr>
          <w:ilvl w:val="0"/>
          <w:numId w:val="5"/>
        </w:numPr>
        <w:spacing w:line="240" w:lineRule="auto"/>
        <w:jc w:val="both"/>
        <w:rPr>
          <w:rFonts w:ascii="Garamond" w:hAnsi="Garamond"/>
          <w:sz w:val="24"/>
          <w:szCs w:val="24"/>
          <w:lang w:val="pt-PT"/>
        </w:rPr>
      </w:pPr>
      <w:r w:rsidRPr="003A1174">
        <w:rPr>
          <w:rFonts w:ascii="Garamond" w:hAnsi="Garamond" w:cs="Arial"/>
          <w:color w:val="auto"/>
          <w:sz w:val="24"/>
          <w:szCs w:val="24"/>
          <w:lang w:val="pt-PT"/>
        </w:rPr>
        <w:t>Proibição</w:t>
      </w:r>
      <w:r w:rsidR="009B7DC1" w:rsidRPr="003A1174">
        <w:rPr>
          <w:rFonts w:ascii="Garamond" w:hAnsi="Garamond" w:cs="Arial"/>
          <w:color w:val="auto"/>
          <w:sz w:val="24"/>
          <w:szCs w:val="24"/>
          <w:lang w:val="pt-PT"/>
        </w:rPr>
        <w:t xml:space="preserve"> de intimidar o</w:t>
      </w:r>
      <w:r w:rsidR="00D1487B" w:rsidRPr="003A1174">
        <w:rPr>
          <w:rFonts w:ascii="Garamond" w:hAnsi="Garamond" w:cs="Arial"/>
          <w:color w:val="auto"/>
          <w:sz w:val="24"/>
          <w:szCs w:val="24"/>
          <w:lang w:val="pt-PT"/>
        </w:rPr>
        <w:t xml:space="preserve">u incomodar 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 </w:t>
      </w:r>
      <w:r w:rsidR="00D1487B" w:rsidRPr="003A1174">
        <w:rPr>
          <w:rFonts w:ascii="Garamond" w:hAnsi="Garamond" w:cs="Arial"/>
          <w:color w:val="auto"/>
          <w:sz w:val="24"/>
          <w:szCs w:val="24"/>
          <w:lang w:val="pt-PT"/>
        </w:rPr>
        <w:t xml:space="preserve">no seu ambiente </w:t>
      </w:r>
      <w:r w:rsidR="009B7DC1" w:rsidRPr="003A1174">
        <w:rPr>
          <w:rFonts w:ascii="Garamond" w:hAnsi="Garamond" w:cs="Arial"/>
          <w:color w:val="auto"/>
          <w:sz w:val="24"/>
          <w:szCs w:val="24"/>
          <w:lang w:val="pt-PT"/>
        </w:rPr>
        <w:t>social, as</w:t>
      </w:r>
      <w:r w:rsidR="00D1487B" w:rsidRPr="003A1174">
        <w:rPr>
          <w:rFonts w:ascii="Garamond" w:hAnsi="Garamond" w:cs="Arial"/>
          <w:color w:val="auto"/>
          <w:sz w:val="24"/>
          <w:szCs w:val="24"/>
          <w:lang w:val="pt-PT"/>
        </w:rPr>
        <w:t xml:space="preserve">sim </w:t>
      </w:r>
      <w:r w:rsidR="009B7DC1" w:rsidRPr="003A1174">
        <w:rPr>
          <w:rFonts w:ascii="Garamond" w:hAnsi="Garamond" w:cs="Arial"/>
          <w:color w:val="auto"/>
          <w:sz w:val="24"/>
          <w:szCs w:val="24"/>
          <w:lang w:val="pt-PT"/>
        </w:rPr>
        <w:t xml:space="preserve">como a </w:t>
      </w:r>
      <w:r w:rsidR="007342D9" w:rsidRPr="003A1174">
        <w:rPr>
          <w:rFonts w:ascii="Garamond" w:hAnsi="Garamond" w:cs="Arial"/>
          <w:color w:val="auto"/>
          <w:sz w:val="24"/>
          <w:szCs w:val="24"/>
          <w:lang w:val="pt-PT"/>
        </w:rPr>
        <w:t>qualquer</w:t>
      </w:r>
      <w:r w:rsidR="009B7DC1" w:rsidRPr="003A1174">
        <w:rPr>
          <w:rFonts w:ascii="Garamond" w:hAnsi="Garamond" w:cs="Arial"/>
          <w:color w:val="auto"/>
          <w:sz w:val="24"/>
          <w:szCs w:val="24"/>
          <w:lang w:val="pt-PT"/>
        </w:rPr>
        <w:t xml:space="preserve"> </w:t>
      </w:r>
      <w:r w:rsidR="003107ED">
        <w:rPr>
          <w:rFonts w:ascii="Garamond" w:hAnsi="Garamond" w:cs="Arial"/>
          <w:color w:val="auto"/>
          <w:sz w:val="24"/>
          <w:szCs w:val="24"/>
          <w:lang w:val="pt-PT"/>
        </w:rPr>
        <w:t>familiar.</w:t>
      </w:r>
    </w:p>
    <w:p w:rsidR="009B7DC1" w:rsidRPr="003A1174" w:rsidRDefault="009B7DC1" w:rsidP="00D1487B">
      <w:pPr>
        <w:pStyle w:val="Prrafodelista"/>
        <w:tabs>
          <w:tab w:val="left" w:pos="540"/>
        </w:tabs>
        <w:spacing w:after="0" w:line="240" w:lineRule="auto"/>
        <w:ind w:left="1260"/>
        <w:jc w:val="both"/>
        <w:rPr>
          <w:rFonts w:ascii="Garamond" w:hAnsi="Garamond" w:cs="Arial"/>
          <w:color w:val="auto"/>
          <w:sz w:val="24"/>
          <w:szCs w:val="24"/>
          <w:lang w:val="pt-PT"/>
        </w:rPr>
      </w:pPr>
    </w:p>
    <w:p w:rsidR="005D0494" w:rsidRPr="003A1174" w:rsidRDefault="00023AD6" w:rsidP="00D1487B">
      <w:pPr>
        <w:pStyle w:val="Prrafodelista"/>
        <w:numPr>
          <w:ilvl w:val="0"/>
          <w:numId w:val="5"/>
        </w:numPr>
        <w:spacing w:line="240" w:lineRule="auto"/>
        <w:jc w:val="both"/>
        <w:rPr>
          <w:rFonts w:ascii="Garamond" w:hAnsi="Garamond"/>
          <w:sz w:val="24"/>
          <w:szCs w:val="24"/>
          <w:lang w:val="pt-PT"/>
        </w:rPr>
      </w:pPr>
      <w:r w:rsidRPr="003A1174">
        <w:rPr>
          <w:rFonts w:ascii="Garamond" w:hAnsi="Garamond" w:cs="Arial"/>
          <w:sz w:val="24"/>
          <w:szCs w:val="24"/>
          <w:lang w:val="pt-PT"/>
        </w:rPr>
        <w:t xml:space="preserve">Instalação da </w:t>
      </w:r>
      <w:r w:rsidR="003F012B" w:rsidRPr="003A1174">
        <w:rPr>
          <w:rFonts w:ascii="Garamond" w:hAnsi="Garamond" w:cs="Arial"/>
          <w:sz w:val="24"/>
          <w:szCs w:val="24"/>
          <w:lang w:val="pt-PT"/>
        </w:rPr>
        <w:t>vítima</w:t>
      </w:r>
      <w:r w:rsidR="009B7DC1"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9B7DC1" w:rsidRPr="003A1174">
        <w:rPr>
          <w:rFonts w:ascii="Garamond" w:hAnsi="Garamond" w:cs="Arial"/>
          <w:sz w:val="24"/>
          <w:szCs w:val="24"/>
          <w:lang w:val="pt-PT"/>
        </w:rPr>
        <w:t xml:space="preserve"> d</w:t>
      </w:r>
      <w:r w:rsidRPr="003A1174">
        <w:rPr>
          <w:rFonts w:ascii="Garamond" w:hAnsi="Garamond" w:cs="Arial"/>
          <w:sz w:val="24"/>
          <w:szCs w:val="24"/>
          <w:lang w:val="pt-PT"/>
        </w:rPr>
        <w:t xml:space="preserve">os </w:t>
      </w:r>
      <w:r w:rsidR="009B7DC1" w:rsidRPr="003A1174">
        <w:rPr>
          <w:rFonts w:ascii="Garamond" w:hAnsi="Garamond" w:cs="Arial"/>
          <w:sz w:val="24"/>
          <w:szCs w:val="24"/>
          <w:lang w:val="pt-PT"/>
        </w:rPr>
        <w:t>s</w:t>
      </w:r>
      <w:r w:rsidRPr="003A1174">
        <w:rPr>
          <w:rFonts w:ascii="Garamond" w:hAnsi="Garamond" w:cs="Arial"/>
          <w:sz w:val="24"/>
          <w:szCs w:val="24"/>
          <w:lang w:val="pt-PT"/>
        </w:rPr>
        <w:t>e</w:t>
      </w:r>
      <w:r w:rsidR="009B7DC1" w:rsidRPr="003A1174">
        <w:rPr>
          <w:rFonts w:ascii="Garamond" w:hAnsi="Garamond" w:cs="Arial"/>
          <w:sz w:val="24"/>
          <w:szCs w:val="24"/>
          <w:lang w:val="pt-PT"/>
        </w:rPr>
        <w:t xml:space="preserve">us </w:t>
      </w:r>
      <w:r w:rsidRPr="003A1174">
        <w:rPr>
          <w:rFonts w:ascii="Garamond" w:hAnsi="Garamond" w:cs="Arial"/>
          <w:sz w:val="24"/>
          <w:szCs w:val="24"/>
          <w:lang w:val="pt-PT"/>
        </w:rPr>
        <w:t>filho</w:t>
      </w:r>
      <w:r w:rsidR="009B7DC1" w:rsidRPr="003A1174">
        <w:rPr>
          <w:rFonts w:ascii="Garamond" w:hAnsi="Garamond" w:cs="Arial"/>
          <w:sz w:val="24"/>
          <w:szCs w:val="24"/>
          <w:lang w:val="pt-PT"/>
        </w:rPr>
        <w:t xml:space="preserve">s </w:t>
      </w:r>
      <w:r w:rsidRPr="003A1174">
        <w:rPr>
          <w:rFonts w:ascii="Garamond" w:hAnsi="Garamond" w:cs="Arial"/>
          <w:sz w:val="24"/>
          <w:szCs w:val="24"/>
          <w:lang w:val="pt-PT"/>
        </w:rPr>
        <w:t xml:space="preserve">num </w:t>
      </w:r>
      <w:r w:rsidR="00B936A7" w:rsidRPr="003A1174">
        <w:rPr>
          <w:rFonts w:ascii="Garamond" w:hAnsi="Garamond" w:cs="Arial"/>
          <w:sz w:val="24"/>
          <w:szCs w:val="24"/>
          <w:lang w:val="pt-PT"/>
        </w:rPr>
        <w:t>abrigo</w:t>
      </w:r>
      <w:r w:rsidR="009B7DC1" w:rsidRPr="003A1174">
        <w:rPr>
          <w:rFonts w:ascii="Garamond" w:hAnsi="Garamond" w:cs="Arial"/>
          <w:sz w:val="24"/>
          <w:szCs w:val="24"/>
          <w:lang w:val="pt-PT"/>
        </w:rPr>
        <w:t xml:space="preserve"> que garant</w:t>
      </w:r>
      <w:r w:rsidRPr="003A1174">
        <w:rPr>
          <w:rFonts w:ascii="Garamond" w:hAnsi="Garamond" w:cs="Arial"/>
          <w:sz w:val="24"/>
          <w:szCs w:val="24"/>
          <w:lang w:val="pt-PT"/>
        </w:rPr>
        <w:t xml:space="preserve">a a </w:t>
      </w:r>
      <w:r w:rsidR="009B7DC1" w:rsidRPr="003A1174">
        <w:rPr>
          <w:rFonts w:ascii="Garamond" w:hAnsi="Garamond" w:cs="Arial"/>
          <w:sz w:val="24"/>
          <w:szCs w:val="24"/>
          <w:lang w:val="pt-PT"/>
        </w:rPr>
        <w:t>su</w:t>
      </w:r>
      <w:r w:rsidRPr="003A1174">
        <w:rPr>
          <w:rFonts w:ascii="Garamond" w:hAnsi="Garamond" w:cs="Arial"/>
          <w:sz w:val="24"/>
          <w:szCs w:val="24"/>
          <w:lang w:val="pt-PT"/>
        </w:rPr>
        <w:t>a</w:t>
      </w:r>
      <w:r w:rsidR="009B7DC1" w:rsidRPr="003A1174">
        <w:rPr>
          <w:rFonts w:ascii="Garamond" w:hAnsi="Garamond" w:cs="Arial"/>
          <w:sz w:val="24"/>
          <w:szCs w:val="24"/>
          <w:lang w:val="pt-PT"/>
        </w:rPr>
        <w:t xml:space="preserve"> </w:t>
      </w:r>
      <w:r w:rsidR="002D1021" w:rsidRPr="003A1174">
        <w:rPr>
          <w:rFonts w:ascii="Garamond" w:hAnsi="Garamond" w:cs="Arial"/>
          <w:sz w:val="24"/>
          <w:szCs w:val="24"/>
          <w:lang w:val="pt-PT"/>
        </w:rPr>
        <w:t>integridade</w:t>
      </w:r>
      <w:r w:rsidR="009B7DC1" w:rsidRPr="003A1174">
        <w:rPr>
          <w:rFonts w:ascii="Garamond" w:hAnsi="Garamond" w:cs="Arial"/>
          <w:sz w:val="24"/>
          <w:szCs w:val="24"/>
          <w:lang w:val="pt-PT"/>
        </w:rPr>
        <w:t xml:space="preserve"> </w:t>
      </w:r>
      <w:r w:rsidR="008278C4" w:rsidRPr="003A1174">
        <w:rPr>
          <w:rFonts w:ascii="Garamond" w:hAnsi="Garamond" w:cs="Arial"/>
          <w:sz w:val="24"/>
          <w:szCs w:val="24"/>
          <w:lang w:val="pt-PT"/>
        </w:rPr>
        <w:t>pessoal</w:t>
      </w:r>
      <w:r w:rsidR="009B7DC1" w:rsidRPr="003A1174">
        <w:rPr>
          <w:rFonts w:ascii="Garamond" w:hAnsi="Garamond" w:cs="Arial"/>
          <w:sz w:val="24"/>
          <w:szCs w:val="24"/>
          <w:lang w:val="pt-PT"/>
        </w:rPr>
        <w:t>.</w:t>
      </w:r>
    </w:p>
    <w:p w:rsidR="005D0494" w:rsidRPr="003A1174" w:rsidRDefault="00374785" w:rsidP="00D1487B">
      <w:pPr>
        <w:pStyle w:val="Prrafodelista"/>
        <w:numPr>
          <w:ilvl w:val="0"/>
          <w:numId w:val="5"/>
        </w:numPr>
        <w:spacing w:line="240" w:lineRule="auto"/>
        <w:jc w:val="both"/>
        <w:rPr>
          <w:rFonts w:ascii="Garamond" w:hAnsi="Garamond" w:cs="Arial"/>
          <w:sz w:val="24"/>
          <w:szCs w:val="24"/>
          <w:lang w:val="pt-PT"/>
        </w:rPr>
      </w:pPr>
      <w:r w:rsidRPr="003A1174">
        <w:rPr>
          <w:rFonts w:ascii="Garamond" w:hAnsi="Garamond" w:cs="Arial"/>
          <w:sz w:val="24"/>
          <w:szCs w:val="24"/>
          <w:lang w:val="pt-PT"/>
        </w:rPr>
        <w:t>Ordem</w:t>
      </w:r>
      <w:r w:rsidR="009B7DC1" w:rsidRPr="003A1174">
        <w:rPr>
          <w:rFonts w:ascii="Garamond" w:hAnsi="Garamond" w:cs="Arial"/>
          <w:sz w:val="24"/>
          <w:szCs w:val="24"/>
          <w:lang w:val="pt-PT"/>
        </w:rPr>
        <w:t xml:space="preserve"> de entrega </w:t>
      </w:r>
      <w:r w:rsidR="00201889" w:rsidRPr="003A1174">
        <w:rPr>
          <w:rFonts w:ascii="Garamond" w:hAnsi="Garamond" w:cs="Arial"/>
          <w:sz w:val="24"/>
          <w:szCs w:val="24"/>
          <w:lang w:val="pt-PT"/>
        </w:rPr>
        <w:t>imediata</w:t>
      </w:r>
      <w:r w:rsidR="009B7DC1" w:rsidRPr="003A1174">
        <w:rPr>
          <w:rFonts w:ascii="Garamond" w:hAnsi="Garamond" w:cs="Arial"/>
          <w:sz w:val="24"/>
          <w:szCs w:val="24"/>
          <w:lang w:val="pt-PT"/>
        </w:rPr>
        <w:t xml:space="preserve"> de objetos de uso </w:t>
      </w:r>
      <w:r w:rsidR="008278C4" w:rsidRPr="003A1174">
        <w:rPr>
          <w:rFonts w:ascii="Garamond" w:hAnsi="Garamond" w:cs="Arial"/>
          <w:sz w:val="24"/>
          <w:szCs w:val="24"/>
          <w:lang w:val="pt-PT"/>
        </w:rPr>
        <w:t>pessoal</w:t>
      </w:r>
      <w:r w:rsidR="009B7DC1"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9B7DC1" w:rsidRPr="003A1174">
        <w:rPr>
          <w:rFonts w:ascii="Garamond" w:hAnsi="Garamond" w:cs="Arial"/>
          <w:sz w:val="24"/>
          <w:szCs w:val="24"/>
          <w:lang w:val="pt-PT"/>
        </w:rPr>
        <w:t xml:space="preserve"> documentos de </w:t>
      </w:r>
      <w:r w:rsidR="007C44AC" w:rsidRPr="003A1174">
        <w:rPr>
          <w:rFonts w:ascii="Garamond" w:hAnsi="Garamond" w:cs="Arial"/>
          <w:sz w:val="24"/>
          <w:szCs w:val="24"/>
          <w:lang w:val="pt-PT"/>
        </w:rPr>
        <w:t>identidade</w:t>
      </w:r>
      <w:r w:rsidR="00023AD6" w:rsidRPr="003A1174">
        <w:rPr>
          <w:rFonts w:ascii="Garamond" w:hAnsi="Garamond" w:cs="Arial"/>
          <w:sz w:val="24"/>
          <w:szCs w:val="24"/>
          <w:lang w:val="pt-PT"/>
        </w:rPr>
        <w:t xml:space="preserve"> d</w:t>
      </w:r>
      <w:r w:rsidR="009B7DC1" w:rsidRPr="003A1174">
        <w:rPr>
          <w:rFonts w:ascii="Garamond" w:hAnsi="Garamond" w:cs="Arial"/>
          <w:sz w:val="24"/>
          <w:szCs w:val="24"/>
          <w:lang w:val="pt-PT"/>
        </w:rPr>
        <w:t xml:space="preserve">a </w:t>
      </w:r>
      <w:r w:rsidR="003F012B" w:rsidRPr="003A1174">
        <w:rPr>
          <w:rFonts w:ascii="Garamond" w:hAnsi="Garamond" w:cs="Arial"/>
          <w:sz w:val="24"/>
          <w:szCs w:val="24"/>
          <w:lang w:val="pt-PT"/>
        </w:rPr>
        <w:t>vítima</w:t>
      </w:r>
      <w:r w:rsidR="009B7DC1" w:rsidRPr="003A1174">
        <w:rPr>
          <w:rFonts w:ascii="Garamond" w:hAnsi="Garamond" w:cs="Arial"/>
          <w:sz w:val="24"/>
          <w:szCs w:val="24"/>
          <w:lang w:val="pt-PT"/>
        </w:rPr>
        <w:t>.</w:t>
      </w:r>
    </w:p>
    <w:p w:rsidR="009B7DC1" w:rsidRPr="003A1174" w:rsidRDefault="00023AD6" w:rsidP="00D1487B">
      <w:pPr>
        <w:pStyle w:val="Prrafodelista"/>
        <w:numPr>
          <w:ilvl w:val="0"/>
          <w:numId w:val="5"/>
        </w:numPr>
        <w:spacing w:line="240" w:lineRule="auto"/>
        <w:jc w:val="both"/>
        <w:rPr>
          <w:rFonts w:ascii="Garamond" w:hAnsi="Garamond" w:cs="Arial"/>
          <w:sz w:val="24"/>
          <w:szCs w:val="24"/>
          <w:lang w:val="pt-PT"/>
        </w:rPr>
      </w:pPr>
      <w:r w:rsidRPr="003A1174">
        <w:rPr>
          <w:rFonts w:ascii="Garamond" w:hAnsi="Garamond" w:cs="Arial"/>
          <w:sz w:val="24"/>
          <w:szCs w:val="24"/>
          <w:lang w:val="pt-PT"/>
        </w:rPr>
        <w:t>Desocupação</w:t>
      </w:r>
      <w:r w:rsidR="009B7DC1" w:rsidRPr="003A1174">
        <w:rPr>
          <w:rFonts w:ascii="Garamond" w:hAnsi="Garamond" w:cs="Arial"/>
          <w:sz w:val="24"/>
          <w:szCs w:val="24"/>
          <w:lang w:val="pt-PT"/>
        </w:rPr>
        <w:t xml:space="preserve"> por </w:t>
      </w:r>
      <w:r w:rsidRPr="003A1174">
        <w:rPr>
          <w:rFonts w:ascii="Garamond" w:hAnsi="Garamond" w:cs="Arial"/>
          <w:sz w:val="24"/>
          <w:szCs w:val="24"/>
          <w:lang w:val="pt-PT"/>
        </w:rPr>
        <w:t xml:space="preserve">parte do </w:t>
      </w:r>
      <w:r w:rsidR="002D1021" w:rsidRPr="003A1174">
        <w:rPr>
          <w:rFonts w:ascii="Garamond" w:hAnsi="Garamond" w:cs="Arial"/>
          <w:sz w:val="24"/>
          <w:szCs w:val="24"/>
          <w:lang w:val="pt-PT"/>
        </w:rPr>
        <w:t>agressor</w:t>
      </w:r>
      <w:r w:rsidR="009B7DC1" w:rsidRPr="003A1174">
        <w:rPr>
          <w:rFonts w:ascii="Garamond" w:hAnsi="Garamond" w:cs="Arial"/>
          <w:sz w:val="24"/>
          <w:szCs w:val="24"/>
          <w:lang w:val="pt-PT"/>
        </w:rPr>
        <w:t xml:space="preserve">, </w:t>
      </w:r>
      <w:r w:rsidR="008A3DA2" w:rsidRPr="003A1174">
        <w:rPr>
          <w:rFonts w:ascii="Garamond" w:hAnsi="Garamond" w:cs="Arial"/>
          <w:sz w:val="24"/>
          <w:szCs w:val="24"/>
          <w:lang w:val="pt-PT"/>
        </w:rPr>
        <w:t>do</w:t>
      </w:r>
      <w:r w:rsidR="009B7DC1" w:rsidRPr="003A1174">
        <w:rPr>
          <w:rFonts w:ascii="Garamond" w:hAnsi="Garamond" w:cs="Arial"/>
          <w:sz w:val="24"/>
          <w:szCs w:val="24"/>
          <w:lang w:val="pt-PT"/>
        </w:rPr>
        <w:t xml:space="preserve"> </w:t>
      </w:r>
      <w:r w:rsidR="00152A44" w:rsidRPr="003A1174">
        <w:rPr>
          <w:rFonts w:ascii="Garamond" w:hAnsi="Garamond" w:cs="Arial"/>
          <w:sz w:val="24"/>
          <w:szCs w:val="24"/>
          <w:lang w:val="pt-PT"/>
        </w:rPr>
        <w:t>domicílio</w:t>
      </w:r>
      <w:r w:rsidR="009B7DC1" w:rsidRPr="003A1174">
        <w:rPr>
          <w:rFonts w:ascii="Garamond" w:hAnsi="Garamond" w:cs="Arial"/>
          <w:sz w:val="24"/>
          <w:szCs w:val="24"/>
          <w:lang w:val="pt-PT"/>
        </w:rPr>
        <w:t xml:space="preserve"> </w:t>
      </w:r>
      <w:r w:rsidRPr="003A1174">
        <w:rPr>
          <w:rFonts w:ascii="Garamond" w:hAnsi="Garamond" w:cs="Arial"/>
          <w:sz w:val="24"/>
          <w:szCs w:val="24"/>
          <w:lang w:val="pt-PT"/>
        </w:rPr>
        <w:t>conjugal</w:t>
      </w:r>
      <w:r w:rsidR="009B7DC1" w:rsidRPr="003A1174">
        <w:rPr>
          <w:rFonts w:ascii="Garamond" w:hAnsi="Garamond" w:cs="Arial"/>
          <w:sz w:val="24"/>
          <w:szCs w:val="24"/>
          <w:lang w:val="pt-PT"/>
        </w:rPr>
        <w:t xml:space="preserve"> o</w:t>
      </w:r>
      <w:r w:rsidRPr="003A1174">
        <w:rPr>
          <w:rFonts w:ascii="Garamond" w:hAnsi="Garamond" w:cs="Arial"/>
          <w:sz w:val="24"/>
          <w:szCs w:val="24"/>
          <w:lang w:val="pt-PT"/>
        </w:rPr>
        <w:t xml:space="preserve">u do local onde viver </w:t>
      </w:r>
      <w:r w:rsidR="009B7DC1" w:rsidRPr="003A1174">
        <w:rPr>
          <w:rFonts w:ascii="Garamond" w:hAnsi="Garamond" w:cs="Arial"/>
          <w:sz w:val="24"/>
          <w:szCs w:val="24"/>
          <w:lang w:val="pt-PT"/>
        </w:rPr>
        <w:t xml:space="preserve">a </w:t>
      </w:r>
      <w:r w:rsidR="003F012B" w:rsidRPr="003A1174">
        <w:rPr>
          <w:rFonts w:ascii="Garamond" w:hAnsi="Garamond" w:cs="Arial"/>
          <w:sz w:val="24"/>
          <w:szCs w:val="24"/>
          <w:lang w:val="pt-PT"/>
        </w:rPr>
        <w:t>vítima</w:t>
      </w:r>
      <w:r w:rsidR="009B7DC1" w:rsidRPr="003A1174">
        <w:rPr>
          <w:rFonts w:ascii="Garamond" w:hAnsi="Garamond" w:cs="Arial"/>
          <w:sz w:val="24"/>
          <w:szCs w:val="24"/>
          <w:lang w:val="pt-PT"/>
        </w:rPr>
        <w:t xml:space="preserve">, </w:t>
      </w:r>
      <w:r w:rsidR="00AC3351" w:rsidRPr="003A1174">
        <w:rPr>
          <w:rFonts w:ascii="Garamond" w:hAnsi="Garamond" w:cs="Arial"/>
          <w:sz w:val="24"/>
          <w:szCs w:val="24"/>
          <w:lang w:val="pt-PT"/>
        </w:rPr>
        <w:t>independentemente</w:t>
      </w:r>
      <w:r w:rsidR="003107ED">
        <w:rPr>
          <w:rFonts w:ascii="Garamond" w:hAnsi="Garamond" w:cs="Arial"/>
          <w:sz w:val="24"/>
          <w:szCs w:val="24"/>
          <w:lang w:val="pt-PT"/>
        </w:rPr>
        <w:t>,</w:t>
      </w:r>
      <w:r w:rsidRPr="003A1174">
        <w:rPr>
          <w:rFonts w:ascii="Garamond" w:hAnsi="Garamond" w:cs="Arial"/>
          <w:sz w:val="24"/>
          <w:szCs w:val="24"/>
          <w:lang w:val="pt-PT"/>
        </w:rPr>
        <w:t xml:space="preserve"> d</w:t>
      </w:r>
      <w:r w:rsidR="009B7DC1" w:rsidRPr="003A1174">
        <w:rPr>
          <w:rFonts w:ascii="Garamond" w:hAnsi="Garamond" w:cs="Arial"/>
          <w:sz w:val="24"/>
          <w:szCs w:val="24"/>
          <w:lang w:val="pt-PT"/>
        </w:rPr>
        <w:t xml:space="preserve">a </w:t>
      </w:r>
      <w:r w:rsidR="00935474">
        <w:rPr>
          <w:rFonts w:ascii="Garamond" w:hAnsi="Garamond" w:cs="Arial"/>
          <w:sz w:val="24"/>
          <w:szCs w:val="24"/>
          <w:lang w:val="pt-PT"/>
        </w:rPr>
        <w:t xml:space="preserve">posse da </w:t>
      </w:r>
      <w:r w:rsidRPr="003A1174">
        <w:rPr>
          <w:rFonts w:ascii="Garamond" w:hAnsi="Garamond" w:cs="Arial"/>
          <w:sz w:val="24"/>
          <w:szCs w:val="24"/>
          <w:lang w:val="pt-PT"/>
        </w:rPr>
        <w:t>propriedade</w:t>
      </w:r>
      <w:r w:rsidR="009B7DC1" w:rsidRPr="003A1174">
        <w:rPr>
          <w:rFonts w:ascii="Garamond" w:hAnsi="Garamond" w:cs="Arial"/>
          <w:sz w:val="24"/>
          <w:szCs w:val="24"/>
          <w:lang w:val="pt-PT"/>
        </w:rPr>
        <w:t xml:space="preserve"> o</w:t>
      </w:r>
      <w:r w:rsidRPr="003A1174">
        <w:rPr>
          <w:rFonts w:ascii="Garamond" w:hAnsi="Garamond" w:cs="Arial"/>
          <w:sz w:val="24"/>
          <w:szCs w:val="24"/>
          <w:lang w:val="pt-PT"/>
        </w:rPr>
        <w:t xml:space="preserve">u </w:t>
      </w:r>
      <w:r w:rsidR="00935474">
        <w:rPr>
          <w:rFonts w:ascii="Garamond" w:hAnsi="Garamond" w:cs="Arial"/>
          <w:sz w:val="24"/>
          <w:szCs w:val="24"/>
          <w:lang w:val="pt-PT"/>
        </w:rPr>
        <w:t>do</w:t>
      </w:r>
      <w:proofErr w:type="gramStart"/>
      <w:r w:rsidR="00935474">
        <w:rPr>
          <w:rFonts w:ascii="Garamond" w:hAnsi="Garamond" w:cs="Arial"/>
          <w:sz w:val="24"/>
          <w:szCs w:val="24"/>
          <w:lang w:val="pt-PT"/>
        </w:rPr>
        <w:t xml:space="preserve"> </w:t>
      </w:r>
      <w:r w:rsidRPr="003A1174">
        <w:rPr>
          <w:rFonts w:ascii="Garamond" w:hAnsi="Garamond" w:cs="Arial"/>
          <w:sz w:val="24"/>
          <w:szCs w:val="24"/>
          <w:lang w:val="pt-PT"/>
        </w:rPr>
        <w:t xml:space="preserve"> </w:t>
      </w:r>
      <w:proofErr w:type="gramEnd"/>
      <w:r w:rsidRPr="003A1174">
        <w:rPr>
          <w:rFonts w:ascii="Garamond" w:hAnsi="Garamond" w:cs="Arial"/>
          <w:sz w:val="24"/>
          <w:szCs w:val="24"/>
          <w:lang w:val="pt-PT"/>
        </w:rPr>
        <w:t>imóvel</w:t>
      </w:r>
      <w:r w:rsidR="009B7DC1" w:rsidRPr="003A1174">
        <w:rPr>
          <w:rFonts w:ascii="Garamond" w:hAnsi="Garamond" w:cs="Arial"/>
          <w:sz w:val="24"/>
          <w:szCs w:val="24"/>
          <w:lang w:val="pt-PT"/>
        </w:rPr>
        <w:t xml:space="preserve">, </w:t>
      </w:r>
      <w:r w:rsidR="00935474">
        <w:rPr>
          <w:rFonts w:ascii="Garamond" w:hAnsi="Garamond" w:cs="Arial"/>
          <w:sz w:val="24"/>
          <w:szCs w:val="24"/>
          <w:lang w:val="pt-PT"/>
        </w:rPr>
        <w:t xml:space="preserve">ou </w:t>
      </w:r>
      <w:r w:rsidRPr="003A1174">
        <w:rPr>
          <w:rFonts w:ascii="Garamond" w:hAnsi="Garamond" w:cs="Arial"/>
          <w:sz w:val="24"/>
          <w:szCs w:val="24"/>
          <w:lang w:val="pt-PT"/>
        </w:rPr>
        <w:t>mesmo</w:t>
      </w:r>
      <w:r w:rsidR="00935474">
        <w:rPr>
          <w:rFonts w:ascii="Garamond" w:hAnsi="Garamond" w:cs="Arial"/>
          <w:sz w:val="24"/>
          <w:szCs w:val="24"/>
          <w:lang w:val="pt-PT"/>
        </w:rPr>
        <w:t>,</w:t>
      </w:r>
      <w:r w:rsidRPr="003A1174">
        <w:rPr>
          <w:rFonts w:ascii="Garamond" w:hAnsi="Garamond" w:cs="Arial"/>
          <w:sz w:val="24"/>
          <w:szCs w:val="24"/>
          <w:lang w:val="pt-PT"/>
        </w:rPr>
        <w:t xml:space="preserve"> nos casos de arrendam</w:t>
      </w:r>
      <w:r w:rsidR="009B7DC1" w:rsidRPr="003A1174">
        <w:rPr>
          <w:rFonts w:ascii="Garamond" w:hAnsi="Garamond" w:cs="Arial"/>
          <w:sz w:val="24"/>
          <w:szCs w:val="24"/>
          <w:lang w:val="pt-PT"/>
        </w:rPr>
        <w:t>ento</w:t>
      </w:r>
      <w:r w:rsidR="00935474">
        <w:rPr>
          <w:rFonts w:ascii="Garamond" w:hAnsi="Garamond" w:cs="Arial"/>
          <w:sz w:val="24"/>
          <w:szCs w:val="24"/>
          <w:lang w:val="pt-PT"/>
        </w:rPr>
        <w:t>.</w:t>
      </w:r>
    </w:p>
    <w:p w:rsidR="009B7DC1" w:rsidRPr="003A1174" w:rsidRDefault="009B7DC1" w:rsidP="00D1487B">
      <w:pPr>
        <w:pStyle w:val="Prrafodelista"/>
        <w:numPr>
          <w:ilvl w:val="0"/>
          <w:numId w:val="5"/>
        </w:numPr>
        <w:spacing w:line="240" w:lineRule="auto"/>
        <w:jc w:val="both"/>
        <w:rPr>
          <w:rFonts w:ascii="Garamond" w:hAnsi="Garamond" w:cs="Arial"/>
          <w:sz w:val="24"/>
          <w:szCs w:val="24"/>
          <w:lang w:val="pt-PT"/>
        </w:rPr>
      </w:pPr>
      <w:r w:rsidRPr="003A1174">
        <w:rPr>
          <w:rFonts w:ascii="Garamond" w:hAnsi="Garamond" w:cs="Arial"/>
          <w:sz w:val="24"/>
          <w:szCs w:val="24"/>
          <w:lang w:val="pt-PT"/>
        </w:rPr>
        <w:t>Reingres</w:t>
      </w:r>
      <w:r w:rsidR="00023AD6" w:rsidRPr="003A1174">
        <w:rPr>
          <w:rFonts w:ascii="Garamond" w:hAnsi="Garamond" w:cs="Arial"/>
          <w:sz w:val="24"/>
          <w:szCs w:val="24"/>
          <w:lang w:val="pt-PT"/>
        </w:rPr>
        <w:t>s</w:t>
      </w:r>
      <w:r w:rsidRPr="003A1174">
        <w:rPr>
          <w:rFonts w:ascii="Garamond" w:hAnsi="Garamond" w:cs="Arial"/>
          <w:sz w:val="24"/>
          <w:szCs w:val="24"/>
          <w:lang w:val="pt-PT"/>
        </w:rPr>
        <w:t xml:space="preserve">o da </w:t>
      </w:r>
      <w:r w:rsidR="003F012B" w:rsidRPr="003A1174">
        <w:rPr>
          <w:rFonts w:ascii="Garamond" w:hAnsi="Garamond" w:cs="Arial"/>
          <w:sz w:val="24"/>
          <w:szCs w:val="24"/>
          <w:lang w:val="pt-PT"/>
        </w:rPr>
        <w:t>vítima</w:t>
      </w:r>
      <w:r w:rsidRPr="003A1174">
        <w:rPr>
          <w:rFonts w:ascii="Garamond" w:hAnsi="Garamond" w:cs="Arial"/>
          <w:sz w:val="24"/>
          <w:szCs w:val="24"/>
          <w:lang w:val="pt-PT"/>
        </w:rPr>
        <w:t xml:space="preserve"> a</w:t>
      </w:r>
      <w:r w:rsidR="00023AD6" w:rsidRPr="003A1174">
        <w:rPr>
          <w:rFonts w:ascii="Garamond" w:hAnsi="Garamond" w:cs="Arial"/>
          <w:sz w:val="24"/>
          <w:szCs w:val="24"/>
          <w:lang w:val="pt-PT"/>
        </w:rPr>
        <w:t>o</w:t>
      </w:r>
      <w:r w:rsidRPr="003A1174">
        <w:rPr>
          <w:rFonts w:ascii="Garamond" w:hAnsi="Garamond" w:cs="Arial"/>
          <w:sz w:val="24"/>
          <w:szCs w:val="24"/>
          <w:lang w:val="pt-PT"/>
        </w:rPr>
        <w:t xml:space="preserve"> </w:t>
      </w:r>
      <w:r w:rsidR="00152A44" w:rsidRPr="003A1174">
        <w:rPr>
          <w:rFonts w:ascii="Garamond" w:hAnsi="Garamond" w:cs="Arial"/>
          <w:sz w:val="24"/>
          <w:szCs w:val="24"/>
          <w:lang w:val="pt-PT"/>
        </w:rPr>
        <w:t>domicílio</w:t>
      </w:r>
      <w:r w:rsidRPr="003A1174">
        <w:rPr>
          <w:rFonts w:ascii="Garamond" w:hAnsi="Garamond" w:cs="Arial"/>
          <w:sz w:val="24"/>
          <w:szCs w:val="24"/>
          <w:lang w:val="pt-PT"/>
        </w:rPr>
        <w:t xml:space="preserve">, </w:t>
      </w:r>
      <w:r w:rsidR="00023AD6" w:rsidRPr="003A1174">
        <w:rPr>
          <w:rFonts w:ascii="Garamond" w:hAnsi="Garamond" w:cs="Arial"/>
          <w:sz w:val="24"/>
          <w:szCs w:val="24"/>
          <w:lang w:val="pt-PT"/>
        </w:rPr>
        <w:t xml:space="preserve">quando </w:t>
      </w:r>
      <w:r w:rsidRPr="003A1174">
        <w:rPr>
          <w:rFonts w:ascii="Garamond" w:hAnsi="Garamond" w:cs="Arial"/>
          <w:sz w:val="24"/>
          <w:szCs w:val="24"/>
          <w:lang w:val="pt-PT"/>
        </w:rPr>
        <w:t>se salvaguard</w:t>
      </w:r>
      <w:r w:rsidR="00023AD6" w:rsidRPr="003A1174">
        <w:rPr>
          <w:rFonts w:ascii="Garamond" w:hAnsi="Garamond" w:cs="Arial"/>
          <w:sz w:val="24"/>
          <w:szCs w:val="24"/>
          <w:lang w:val="pt-PT"/>
        </w:rPr>
        <w:t xml:space="preserve">ar a sua </w:t>
      </w:r>
      <w:r w:rsidR="00D15AFF" w:rsidRPr="003A1174">
        <w:rPr>
          <w:rFonts w:ascii="Garamond" w:hAnsi="Garamond" w:cs="Arial"/>
          <w:sz w:val="24"/>
          <w:szCs w:val="24"/>
          <w:lang w:val="pt-PT"/>
        </w:rPr>
        <w:t>segurança</w:t>
      </w:r>
      <w:r w:rsidRPr="003A1174">
        <w:rPr>
          <w:rFonts w:ascii="Garamond" w:hAnsi="Garamond" w:cs="Arial"/>
          <w:sz w:val="24"/>
          <w:szCs w:val="24"/>
          <w:lang w:val="pt-PT"/>
        </w:rPr>
        <w:t>.</w:t>
      </w:r>
    </w:p>
    <w:p w:rsidR="009B7DC1" w:rsidRPr="003A1174" w:rsidRDefault="009B7DC1" w:rsidP="008719D4">
      <w:pPr>
        <w:tabs>
          <w:tab w:val="left" w:pos="540"/>
        </w:tabs>
        <w:spacing w:after="0" w:line="240" w:lineRule="auto"/>
        <w:jc w:val="both"/>
        <w:rPr>
          <w:rFonts w:ascii="Garamond" w:hAnsi="Garamond" w:cs="Arial"/>
          <w:sz w:val="24"/>
          <w:szCs w:val="24"/>
        </w:rPr>
      </w:pPr>
    </w:p>
    <w:p w:rsidR="009B7DC1" w:rsidRPr="003A1174" w:rsidRDefault="00023AD6" w:rsidP="008719D4">
      <w:pPr>
        <w:tabs>
          <w:tab w:val="left" w:pos="540"/>
        </w:tabs>
        <w:spacing w:after="0" w:line="240" w:lineRule="auto"/>
        <w:jc w:val="both"/>
        <w:rPr>
          <w:rFonts w:ascii="Garamond" w:hAnsi="Garamond" w:cs="Arial"/>
          <w:sz w:val="24"/>
          <w:szCs w:val="24"/>
        </w:rPr>
      </w:pPr>
      <w:r w:rsidRPr="003A1174">
        <w:rPr>
          <w:rFonts w:ascii="Garamond" w:hAnsi="Garamond" w:cs="Arial"/>
          <w:sz w:val="24"/>
          <w:szCs w:val="24"/>
        </w:rPr>
        <w:t xml:space="preserve">Quanto às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886D6A" w:rsidRPr="003A1174">
        <w:rPr>
          <w:rFonts w:ascii="Garamond" w:hAnsi="Garamond" w:cs="Arial"/>
          <w:sz w:val="24"/>
          <w:szCs w:val="24"/>
        </w:rPr>
        <w:t>proteção</w:t>
      </w:r>
      <w:r w:rsidR="009B7DC1" w:rsidRPr="003A1174">
        <w:rPr>
          <w:rFonts w:ascii="Garamond" w:hAnsi="Garamond" w:cs="Arial"/>
          <w:sz w:val="24"/>
          <w:szCs w:val="24"/>
        </w:rPr>
        <w:t xml:space="preserve"> preventivas, que </w:t>
      </w:r>
      <w:r w:rsidR="007407BD" w:rsidRPr="003A1174">
        <w:rPr>
          <w:rFonts w:ascii="Garamond" w:hAnsi="Garamond" w:cs="Arial"/>
          <w:sz w:val="24"/>
          <w:szCs w:val="24"/>
        </w:rPr>
        <w:t>podem</w:t>
      </w:r>
      <w:r w:rsidR="009B7DC1" w:rsidRPr="003A1174">
        <w:rPr>
          <w:rFonts w:ascii="Garamond" w:hAnsi="Garamond" w:cs="Arial"/>
          <w:sz w:val="24"/>
          <w:szCs w:val="24"/>
        </w:rPr>
        <w:t xml:space="preserve"> ser solicitadas por </w:t>
      </w:r>
      <w:r w:rsidR="007342D9" w:rsidRPr="003A1174">
        <w:rPr>
          <w:rFonts w:ascii="Garamond" w:hAnsi="Garamond" w:cs="Arial"/>
          <w:sz w:val="24"/>
          <w:szCs w:val="24"/>
        </w:rPr>
        <w:t>qualquer</w:t>
      </w:r>
      <w:r w:rsidR="009B7DC1" w:rsidRPr="003A1174">
        <w:rPr>
          <w:rFonts w:ascii="Garamond" w:hAnsi="Garamond" w:cs="Arial"/>
          <w:sz w:val="24"/>
          <w:szCs w:val="24"/>
        </w:rPr>
        <w:t xml:space="preserve"> </w:t>
      </w:r>
      <w:r w:rsidR="0005622E" w:rsidRPr="003A1174">
        <w:rPr>
          <w:rFonts w:ascii="Garamond" w:hAnsi="Garamond" w:cs="Arial"/>
          <w:sz w:val="24"/>
          <w:szCs w:val="24"/>
        </w:rPr>
        <w:t>pessoa</w:t>
      </w:r>
      <w:r w:rsidR="009B7DC1" w:rsidRPr="003A1174">
        <w:rPr>
          <w:rFonts w:ascii="Garamond" w:hAnsi="Garamond" w:cs="Arial"/>
          <w:sz w:val="24"/>
          <w:szCs w:val="24"/>
        </w:rPr>
        <w:t xml:space="preserve"> que t</w:t>
      </w:r>
      <w:r w:rsidRPr="003A1174">
        <w:rPr>
          <w:rFonts w:ascii="Garamond" w:hAnsi="Garamond" w:cs="Arial"/>
          <w:sz w:val="24"/>
          <w:szCs w:val="24"/>
        </w:rPr>
        <w:t xml:space="preserve">iver </w:t>
      </w:r>
      <w:r w:rsidR="003E6403" w:rsidRPr="003A1174">
        <w:rPr>
          <w:rFonts w:ascii="Garamond" w:hAnsi="Garamond" w:cs="Arial"/>
          <w:sz w:val="24"/>
          <w:szCs w:val="24"/>
        </w:rPr>
        <w:t>conhecimento</w:t>
      </w:r>
      <w:r w:rsidR="009B7DC1" w:rsidRPr="003A1174">
        <w:rPr>
          <w:rFonts w:ascii="Garamond" w:hAnsi="Garamond" w:cs="Arial"/>
          <w:sz w:val="24"/>
          <w:szCs w:val="24"/>
        </w:rPr>
        <w:t xml:space="preserve"> </w:t>
      </w:r>
      <w:r w:rsidR="008A3DA2" w:rsidRPr="003A1174">
        <w:rPr>
          <w:rFonts w:ascii="Garamond" w:hAnsi="Garamond" w:cs="Arial"/>
          <w:sz w:val="24"/>
          <w:szCs w:val="24"/>
        </w:rPr>
        <w:t>do</w:t>
      </w:r>
      <w:r w:rsidR="009B7DC1" w:rsidRPr="003A1174">
        <w:rPr>
          <w:rFonts w:ascii="Garamond" w:hAnsi="Garamond" w:cs="Arial"/>
          <w:sz w:val="24"/>
          <w:szCs w:val="24"/>
        </w:rPr>
        <w:t xml:space="preserve"> </w:t>
      </w:r>
      <w:r w:rsidR="008651AF" w:rsidRPr="003A1174">
        <w:rPr>
          <w:rFonts w:ascii="Garamond" w:hAnsi="Garamond" w:cs="Arial"/>
          <w:sz w:val="24"/>
          <w:szCs w:val="24"/>
        </w:rPr>
        <w:t>risco</w:t>
      </w:r>
      <w:r w:rsidR="009B7DC1" w:rsidRPr="003A1174">
        <w:rPr>
          <w:rFonts w:ascii="Garamond" w:hAnsi="Garamond" w:cs="Arial"/>
          <w:sz w:val="24"/>
          <w:szCs w:val="24"/>
        </w:rPr>
        <w:t xml:space="preserve"> e</w:t>
      </w:r>
      <w:r w:rsidRPr="003A1174">
        <w:rPr>
          <w:rFonts w:ascii="Garamond" w:hAnsi="Garamond" w:cs="Arial"/>
          <w:sz w:val="24"/>
          <w:szCs w:val="24"/>
        </w:rPr>
        <w:t>m</w:t>
      </w:r>
      <w:r w:rsidR="009B7DC1" w:rsidRPr="003A1174">
        <w:rPr>
          <w:rFonts w:ascii="Garamond" w:hAnsi="Garamond" w:cs="Arial"/>
          <w:sz w:val="24"/>
          <w:szCs w:val="24"/>
        </w:rPr>
        <w:t xml:space="preserve"> que se </w:t>
      </w:r>
      <w:r w:rsidR="006D4D0B" w:rsidRPr="003A1174">
        <w:rPr>
          <w:rFonts w:ascii="Garamond" w:hAnsi="Garamond" w:cs="Arial"/>
          <w:sz w:val="24"/>
          <w:szCs w:val="24"/>
        </w:rPr>
        <w:t>encontr</w:t>
      </w:r>
      <w:r w:rsidRPr="003A1174">
        <w:rPr>
          <w:rFonts w:ascii="Garamond" w:hAnsi="Garamond" w:cs="Arial"/>
          <w:sz w:val="24"/>
          <w:szCs w:val="24"/>
        </w:rPr>
        <w:t>ar um</w:t>
      </w:r>
      <w:r w:rsidR="009B7DC1" w:rsidRPr="003A1174">
        <w:rPr>
          <w:rFonts w:ascii="Garamond" w:hAnsi="Garamond" w:cs="Arial"/>
          <w:sz w:val="24"/>
          <w:szCs w:val="24"/>
        </w:rPr>
        <w:t xml:space="preserve">a </w:t>
      </w:r>
      <w:r w:rsidR="00AF192F" w:rsidRPr="003A1174">
        <w:rPr>
          <w:rFonts w:ascii="Garamond" w:hAnsi="Garamond" w:cs="Arial"/>
          <w:sz w:val="24"/>
          <w:szCs w:val="24"/>
        </w:rPr>
        <w:t>mulher</w:t>
      </w:r>
      <w:r w:rsidR="009B7DC1" w:rsidRPr="003A1174">
        <w:rPr>
          <w:rFonts w:ascii="Garamond" w:hAnsi="Garamond" w:cs="Arial"/>
          <w:sz w:val="24"/>
          <w:szCs w:val="24"/>
        </w:rPr>
        <w:t xml:space="preserve">, </w:t>
      </w:r>
      <w:r w:rsidR="00152A44" w:rsidRPr="003A1174">
        <w:rPr>
          <w:rFonts w:ascii="Garamond" w:hAnsi="Garamond" w:cs="Arial"/>
          <w:sz w:val="24"/>
          <w:szCs w:val="24"/>
        </w:rPr>
        <w:t>estabelece</w:t>
      </w:r>
      <w:r w:rsidRPr="003A1174">
        <w:rPr>
          <w:rFonts w:ascii="Garamond" w:hAnsi="Garamond" w:cs="Arial"/>
          <w:sz w:val="24"/>
          <w:szCs w:val="24"/>
        </w:rPr>
        <w:t xml:space="preserve">m-se as </w:t>
      </w:r>
      <w:r w:rsidR="006F7276" w:rsidRPr="003A1174">
        <w:rPr>
          <w:rFonts w:ascii="Garamond" w:hAnsi="Garamond" w:cs="Arial"/>
          <w:sz w:val="24"/>
          <w:szCs w:val="24"/>
        </w:rPr>
        <w:t>seguintes</w:t>
      </w:r>
      <w:r w:rsidR="005D0494" w:rsidRPr="003A1174">
        <w:rPr>
          <w:rFonts w:ascii="Garamond" w:hAnsi="Garamond" w:cs="Arial"/>
          <w:sz w:val="24"/>
          <w:szCs w:val="24"/>
        </w:rPr>
        <w:t xml:space="preserve"> </w:t>
      </w:r>
      <w:r w:rsidRPr="003A1174">
        <w:rPr>
          <w:rFonts w:ascii="Garamond" w:hAnsi="Garamond" w:cs="Arial"/>
          <w:sz w:val="24"/>
          <w:szCs w:val="24"/>
        </w:rPr>
        <w:t>especificações</w:t>
      </w:r>
      <w:r w:rsidR="009B7DC1" w:rsidRPr="003A1174">
        <w:rPr>
          <w:rFonts w:ascii="Garamond" w:hAnsi="Garamond" w:cs="Arial"/>
          <w:sz w:val="24"/>
          <w:szCs w:val="24"/>
        </w:rPr>
        <w:t>:</w:t>
      </w:r>
    </w:p>
    <w:p w:rsidR="009B7DC1" w:rsidRPr="003A1174" w:rsidRDefault="009B7DC1" w:rsidP="008719D4">
      <w:pPr>
        <w:tabs>
          <w:tab w:val="left" w:pos="540"/>
        </w:tabs>
        <w:spacing w:after="0" w:line="240" w:lineRule="auto"/>
        <w:jc w:val="both"/>
        <w:rPr>
          <w:rFonts w:ascii="Garamond" w:hAnsi="Garamond" w:cs="Arial"/>
          <w:sz w:val="24"/>
          <w:szCs w:val="24"/>
        </w:rPr>
      </w:pPr>
    </w:p>
    <w:p w:rsidR="009B7DC1" w:rsidRPr="003A1174" w:rsidRDefault="00023AD6"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Retenção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apreensão</w:t>
      </w:r>
      <w:r w:rsidR="009B7DC1" w:rsidRPr="003A1174">
        <w:rPr>
          <w:rFonts w:ascii="Garamond" w:hAnsi="Garamond" w:cs="Arial"/>
          <w:color w:val="auto"/>
          <w:sz w:val="24"/>
          <w:szCs w:val="24"/>
          <w:lang w:val="pt-PT"/>
        </w:rPr>
        <w:t xml:space="preserve"> de armas de </w:t>
      </w:r>
      <w:r w:rsidRPr="003A1174">
        <w:rPr>
          <w:rFonts w:ascii="Garamond" w:hAnsi="Garamond" w:cs="Arial"/>
          <w:color w:val="auto"/>
          <w:sz w:val="24"/>
          <w:szCs w:val="24"/>
          <w:lang w:val="pt-PT"/>
        </w:rPr>
        <w:t>fogo</w:t>
      </w:r>
      <w:r w:rsidR="009B7DC1" w:rsidRPr="003A1174">
        <w:rPr>
          <w:rFonts w:ascii="Garamond" w:hAnsi="Garamond" w:cs="Arial"/>
          <w:color w:val="auto"/>
          <w:sz w:val="24"/>
          <w:szCs w:val="24"/>
          <w:lang w:val="pt-PT"/>
        </w:rPr>
        <w:t xml:space="preserve"> </w:t>
      </w:r>
      <w:r w:rsidR="00935474">
        <w:rPr>
          <w:rFonts w:ascii="Garamond" w:hAnsi="Garamond" w:cs="Arial"/>
          <w:color w:val="auto"/>
          <w:sz w:val="24"/>
          <w:szCs w:val="24"/>
          <w:lang w:val="pt-PT"/>
        </w:rPr>
        <w:t xml:space="preserve">na posse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de </w:t>
      </w:r>
      <w:r w:rsidR="00CD707D" w:rsidRPr="003A1174">
        <w:rPr>
          <w:rFonts w:ascii="Garamond" w:hAnsi="Garamond" w:cs="Arial"/>
          <w:color w:val="auto"/>
          <w:sz w:val="24"/>
          <w:szCs w:val="24"/>
          <w:lang w:val="pt-PT"/>
        </w:rPr>
        <w:t>alguma</w:t>
      </w:r>
      <w:r w:rsidR="009B7DC1" w:rsidRPr="003A1174">
        <w:rPr>
          <w:rFonts w:ascii="Garamond" w:hAnsi="Garamond" w:cs="Arial"/>
          <w:color w:val="auto"/>
          <w:sz w:val="24"/>
          <w:szCs w:val="24"/>
          <w:lang w:val="pt-PT"/>
        </w:rPr>
        <w:t xml:space="preserve"> </w:t>
      </w:r>
      <w:r w:rsidR="00800D59" w:rsidRPr="003A1174">
        <w:rPr>
          <w:rFonts w:ascii="Garamond" w:hAnsi="Garamond" w:cs="Arial"/>
          <w:color w:val="auto"/>
          <w:sz w:val="24"/>
          <w:szCs w:val="24"/>
          <w:lang w:val="pt-PT"/>
        </w:rPr>
        <w:t>instituição</w:t>
      </w:r>
      <w:r w:rsidR="009B7DC1" w:rsidRPr="003A1174">
        <w:rPr>
          <w:rFonts w:ascii="Garamond" w:hAnsi="Garamond" w:cs="Arial"/>
          <w:color w:val="auto"/>
          <w:sz w:val="24"/>
          <w:szCs w:val="24"/>
          <w:lang w:val="pt-PT"/>
        </w:rPr>
        <w:t xml:space="preserve"> privada de </w:t>
      </w:r>
      <w:r w:rsidR="00D15AFF" w:rsidRPr="003A1174">
        <w:rPr>
          <w:rFonts w:ascii="Garamond" w:hAnsi="Garamond" w:cs="Arial"/>
          <w:color w:val="auto"/>
          <w:sz w:val="24"/>
          <w:szCs w:val="24"/>
          <w:lang w:val="pt-PT"/>
        </w:rPr>
        <w:t>segurança</w:t>
      </w:r>
      <w:r w:rsidR="009B7DC1" w:rsidRPr="003A1174">
        <w:rPr>
          <w:rFonts w:ascii="Garamond" w:hAnsi="Garamond" w:cs="Arial"/>
          <w:color w:val="auto"/>
          <w:sz w:val="24"/>
          <w:szCs w:val="24"/>
          <w:lang w:val="pt-PT"/>
        </w:rPr>
        <w:t xml:space="preserve">, </w:t>
      </w:r>
      <w:r w:rsidR="00AC3351" w:rsidRPr="003A1174">
        <w:rPr>
          <w:rFonts w:ascii="Garamond" w:hAnsi="Garamond" w:cs="Arial"/>
          <w:color w:val="auto"/>
          <w:sz w:val="24"/>
          <w:szCs w:val="24"/>
          <w:lang w:val="pt-PT"/>
        </w:rPr>
        <w:t>independentemente</w:t>
      </w:r>
      <w:r w:rsidR="009B7DC1" w:rsidRPr="003A1174">
        <w:rPr>
          <w:rFonts w:ascii="Garamond" w:hAnsi="Garamond" w:cs="Arial"/>
          <w:color w:val="auto"/>
          <w:sz w:val="24"/>
          <w:szCs w:val="24"/>
          <w:lang w:val="pt-PT"/>
        </w:rPr>
        <w:t xml:space="preserve"> das </w:t>
      </w:r>
      <w:r w:rsidR="00524936" w:rsidRPr="003A1174">
        <w:rPr>
          <w:rFonts w:ascii="Garamond" w:hAnsi="Garamond" w:cs="Arial"/>
          <w:color w:val="auto"/>
          <w:sz w:val="24"/>
          <w:szCs w:val="24"/>
          <w:lang w:val="pt-PT"/>
        </w:rPr>
        <w:t>mesma</w:t>
      </w:r>
      <w:r w:rsidR="009B7DC1" w:rsidRPr="003A1174">
        <w:rPr>
          <w:rFonts w:ascii="Garamond" w:hAnsi="Garamond" w:cs="Arial"/>
          <w:color w:val="auto"/>
          <w:sz w:val="24"/>
          <w:szCs w:val="24"/>
          <w:lang w:val="pt-PT"/>
        </w:rPr>
        <w:t>s</w:t>
      </w:r>
      <w:r w:rsidR="009354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se </w:t>
      </w:r>
      <w:r w:rsidR="006D4D0B" w:rsidRPr="003A1174">
        <w:rPr>
          <w:rFonts w:ascii="Garamond" w:hAnsi="Garamond" w:cs="Arial"/>
          <w:color w:val="auto"/>
          <w:sz w:val="24"/>
          <w:szCs w:val="24"/>
          <w:lang w:val="pt-PT"/>
        </w:rPr>
        <w:t>encontr</w:t>
      </w:r>
      <w:r w:rsidRPr="003A1174">
        <w:rPr>
          <w:rFonts w:ascii="Garamond" w:hAnsi="Garamond" w:cs="Arial"/>
          <w:color w:val="auto"/>
          <w:sz w:val="24"/>
          <w:szCs w:val="24"/>
          <w:lang w:val="pt-PT"/>
        </w:rPr>
        <w:t>arem</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registada</w:t>
      </w:r>
      <w:r w:rsidR="009B7DC1"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de acordo com a lei</w:t>
      </w:r>
      <w:r w:rsidR="009354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w:t>
      </w:r>
      <w:r w:rsidR="009B7DC1" w:rsidRPr="003A1174">
        <w:rPr>
          <w:rFonts w:ascii="Garamond" w:hAnsi="Garamond" w:cs="Arial"/>
          <w:color w:val="auto"/>
          <w:sz w:val="24"/>
          <w:szCs w:val="24"/>
          <w:lang w:val="pt-PT"/>
        </w:rPr>
        <w:t>plica</w:t>
      </w:r>
      <w:r w:rsidRPr="003A1174">
        <w:rPr>
          <w:rFonts w:ascii="Garamond" w:hAnsi="Garamond" w:cs="Arial"/>
          <w:color w:val="auto"/>
          <w:sz w:val="24"/>
          <w:szCs w:val="24"/>
          <w:lang w:val="pt-PT"/>
        </w:rPr>
        <w:t>-se o mesmo</w:t>
      </w:r>
      <w:r w:rsidR="009B7DC1" w:rsidRPr="003A1174">
        <w:rPr>
          <w:rFonts w:ascii="Garamond" w:hAnsi="Garamond" w:cs="Arial"/>
          <w:color w:val="auto"/>
          <w:sz w:val="24"/>
          <w:szCs w:val="24"/>
          <w:lang w:val="pt-PT"/>
        </w:rPr>
        <w:t xml:space="preserve"> </w:t>
      </w:r>
      <w:r w:rsidR="00CB5DB2" w:rsidRPr="003A1174">
        <w:rPr>
          <w:rFonts w:ascii="Garamond" w:hAnsi="Garamond" w:cs="Arial"/>
          <w:color w:val="auto"/>
          <w:sz w:val="24"/>
          <w:szCs w:val="24"/>
          <w:lang w:val="pt-PT"/>
        </w:rPr>
        <w:t>critério</w:t>
      </w:r>
      <w:r w:rsidR="009B7DC1"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re</w:t>
      </w:r>
      <w:r w:rsidRPr="003A1174">
        <w:rPr>
          <w:rFonts w:ascii="Garamond" w:hAnsi="Garamond" w:cs="Arial"/>
          <w:color w:val="auto"/>
          <w:sz w:val="24"/>
          <w:szCs w:val="24"/>
          <w:lang w:val="pt-PT"/>
        </w:rPr>
        <w:t xml:space="preserve">lativamente às </w:t>
      </w:r>
      <w:r w:rsidR="009B7DC1" w:rsidRPr="003A1174">
        <w:rPr>
          <w:rFonts w:ascii="Garamond" w:hAnsi="Garamond" w:cs="Arial"/>
          <w:color w:val="auto"/>
          <w:sz w:val="24"/>
          <w:szCs w:val="24"/>
          <w:lang w:val="pt-PT"/>
        </w:rPr>
        <w:t xml:space="preserve">armas </w:t>
      </w:r>
      <w:r w:rsidRPr="003A1174">
        <w:rPr>
          <w:rFonts w:ascii="Garamond" w:hAnsi="Garamond" w:cs="Arial"/>
          <w:color w:val="auto"/>
          <w:sz w:val="24"/>
          <w:szCs w:val="24"/>
          <w:lang w:val="pt-PT"/>
        </w:rPr>
        <w:t>brancas</w:t>
      </w:r>
      <w:r w:rsidR="009354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cortantes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contundentes</w:t>
      </w:r>
      <w:r w:rsidR="005D0494" w:rsidRPr="003A11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w:t>
      </w:r>
      <w:r w:rsidR="00E34DB3" w:rsidRPr="003A1174">
        <w:rPr>
          <w:rFonts w:ascii="Garamond" w:hAnsi="Garamond" w:cs="Arial"/>
          <w:color w:val="auto"/>
          <w:sz w:val="24"/>
          <w:szCs w:val="24"/>
          <w:lang w:val="pt-PT"/>
        </w:rPr>
        <w:t xml:space="preserve">a </w:t>
      </w:r>
      <w:r w:rsidR="007342D9" w:rsidRPr="003A1174">
        <w:rPr>
          <w:rFonts w:ascii="Garamond" w:hAnsi="Garamond" w:cs="Arial"/>
          <w:color w:val="auto"/>
          <w:sz w:val="24"/>
          <w:szCs w:val="24"/>
          <w:lang w:val="pt-PT"/>
        </w:rPr>
        <w:t>qualquer</w:t>
      </w:r>
      <w:r w:rsidR="009B7DC1" w:rsidRPr="003A1174">
        <w:rPr>
          <w:rFonts w:ascii="Garamond" w:hAnsi="Garamond" w:cs="Arial"/>
          <w:color w:val="auto"/>
          <w:sz w:val="24"/>
          <w:szCs w:val="24"/>
          <w:lang w:val="pt-PT"/>
        </w:rPr>
        <w:t xml:space="preserve"> </w:t>
      </w:r>
      <w:r w:rsidR="002B6C5B" w:rsidRPr="003A1174">
        <w:rPr>
          <w:rFonts w:ascii="Garamond" w:hAnsi="Garamond" w:cs="Arial"/>
          <w:color w:val="auto"/>
          <w:sz w:val="24"/>
          <w:szCs w:val="24"/>
          <w:lang w:val="pt-PT"/>
        </w:rPr>
        <w:t>outra</w:t>
      </w:r>
      <w:r w:rsidR="009B7DC1" w:rsidRPr="003A1174">
        <w:rPr>
          <w:rFonts w:ascii="Garamond" w:hAnsi="Garamond" w:cs="Arial"/>
          <w:color w:val="auto"/>
          <w:sz w:val="24"/>
          <w:szCs w:val="24"/>
          <w:lang w:val="pt-PT"/>
        </w:rPr>
        <w:t xml:space="preserve"> que </w:t>
      </w:r>
      <w:r w:rsidR="009354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AC3351" w:rsidRPr="003A1174">
        <w:rPr>
          <w:rFonts w:ascii="Garamond" w:hAnsi="Garamond" w:cs="Arial"/>
          <w:color w:val="auto"/>
          <w:sz w:val="24"/>
          <w:szCs w:val="24"/>
          <w:lang w:val="pt-PT"/>
        </w:rPr>
        <w:t>independentemente</w:t>
      </w:r>
      <w:r w:rsidR="009B7DC1"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 xml:space="preserve">a sua utilização </w:t>
      </w:r>
      <w:r w:rsidR="00935474">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tenha </w:t>
      </w:r>
      <w:r w:rsidR="009B7DC1" w:rsidRPr="003A1174">
        <w:rPr>
          <w:rFonts w:ascii="Garamond" w:hAnsi="Garamond" w:cs="Arial"/>
          <w:color w:val="auto"/>
          <w:sz w:val="24"/>
          <w:szCs w:val="24"/>
          <w:lang w:val="pt-PT"/>
        </w:rPr>
        <w:t xml:space="preserve">sido </w:t>
      </w:r>
      <w:r w:rsidRPr="003A1174">
        <w:rPr>
          <w:rFonts w:ascii="Garamond" w:hAnsi="Garamond" w:cs="Arial"/>
          <w:color w:val="auto"/>
          <w:sz w:val="24"/>
          <w:szCs w:val="24"/>
          <w:lang w:val="pt-PT"/>
        </w:rPr>
        <w:t xml:space="preserve">utilizada </w:t>
      </w:r>
      <w:r w:rsidR="009B7DC1" w:rsidRPr="003A1174">
        <w:rPr>
          <w:rFonts w:ascii="Garamond" w:hAnsi="Garamond" w:cs="Arial"/>
          <w:color w:val="auto"/>
          <w:sz w:val="24"/>
          <w:szCs w:val="24"/>
          <w:lang w:val="pt-PT"/>
        </w:rPr>
        <w:t xml:space="preserve">para </w:t>
      </w:r>
      <w:r w:rsidR="001B02AD" w:rsidRPr="003A1174">
        <w:rPr>
          <w:rFonts w:ascii="Garamond" w:hAnsi="Garamond" w:cs="Arial"/>
          <w:color w:val="auto"/>
          <w:sz w:val="24"/>
          <w:szCs w:val="24"/>
          <w:lang w:val="pt-PT"/>
        </w:rPr>
        <w:t>ameaça</w:t>
      </w:r>
      <w:r w:rsidR="009B7DC1" w:rsidRPr="003A1174">
        <w:rPr>
          <w:rFonts w:ascii="Garamond" w:hAnsi="Garamond" w:cs="Arial"/>
          <w:color w:val="auto"/>
          <w:sz w:val="24"/>
          <w:szCs w:val="24"/>
          <w:lang w:val="pt-PT"/>
        </w:rPr>
        <w:t>r o</w:t>
      </w:r>
      <w:r w:rsidRPr="003A1174">
        <w:rPr>
          <w:rFonts w:ascii="Garamond" w:hAnsi="Garamond" w:cs="Arial"/>
          <w:color w:val="auto"/>
          <w:sz w:val="24"/>
          <w:szCs w:val="24"/>
          <w:lang w:val="pt-PT"/>
        </w:rPr>
        <w:t>u</w:t>
      </w:r>
      <w:r w:rsidR="009B7DC1" w:rsidRPr="003A1174">
        <w:rPr>
          <w:rFonts w:ascii="Garamond" w:hAnsi="Garamond" w:cs="Arial"/>
          <w:color w:val="auto"/>
          <w:sz w:val="24"/>
          <w:szCs w:val="24"/>
          <w:lang w:val="pt-PT"/>
        </w:rPr>
        <w:t xml:space="preserve"> lesionar 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w:t>
      </w:r>
    </w:p>
    <w:p w:rsidR="005D0494" w:rsidRPr="003A1174" w:rsidRDefault="005D0494" w:rsidP="008719D4">
      <w:pPr>
        <w:pStyle w:val="Prrafodelista"/>
        <w:spacing w:after="0" w:line="240" w:lineRule="auto"/>
        <w:ind w:left="1428"/>
        <w:jc w:val="both"/>
        <w:rPr>
          <w:rFonts w:ascii="Garamond" w:hAnsi="Garamond" w:cs="Arial"/>
          <w:color w:val="auto"/>
          <w:sz w:val="24"/>
          <w:szCs w:val="24"/>
          <w:lang w:val="pt-PT"/>
        </w:rPr>
      </w:pPr>
    </w:p>
    <w:p w:rsidR="009B7DC1" w:rsidRPr="003A1174" w:rsidRDefault="00C30647"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Realização</w:t>
      </w:r>
      <w:r w:rsidR="009B7DC1" w:rsidRPr="003A1174">
        <w:rPr>
          <w:rFonts w:ascii="Garamond" w:hAnsi="Garamond" w:cs="Arial"/>
          <w:bCs/>
          <w:color w:val="auto"/>
          <w:sz w:val="24"/>
          <w:szCs w:val="24"/>
          <w:lang w:val="pt-PT"/>
        </w:rPr>
        <w:t xml:space="preserve"> de u</w:t>
      </w:r>
      <w:r w:rsidR="00023AD6" w:rsidRPr="003A1174">
        <w:rPr>
          <w:rFonts w:ascii="Garamond" w:hAnsi="Garamond" w:cs="Arial"/>
          <w:bCs/>
          <w:color w:val="auto"/>
          <w:sz w:val="24"/>
          <w:szCs w:val="24"/>
          <w:lang w:val="pt-PT"/>
        </w:rPr>
        <w:t>m</w:t>
      </w:r>
      <w:r w:rsidR="009B7DC1" w:rsidRPr="003A1174">
        <w:rPr>
          <w:rFonts w:ascii="Garamond" w:hAnsi="Garamond" w:cs="Arial"/>
          <w:bCs/>
          <w:color w:val="auto"/>
          <w:sz w:val="24"/>
          <w:szCs w:val="24"/>
          <w:lang w:val="pt-PT"/>
        </w:rPr>
        <w:t xml:space="preserve"> </w:t>
      </w:r>
      <w:r w:rsidR="00023AD6" w:rsidRPr="003A1174">
        <w:rPr>
          <w:rFonts w:ascii="Garamond" w:hAnsi="Garamond" w:cs="Arial"/>
          <w:color w:val="auto"/>
          <w:sz w:val="24"/>
          <w:szCs w:val="24"/>
          <w:lang w:val="pt-PT"/>
        </w:rPr>
        <w:t>inventário</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9B7DC1" w:rsidRPr="003A1174">
        <w:rPr>
          <w:rFonts w:ascii="Garamond" w:hAnsi="Garamond" w:cs="Arial"/>
          <w:color w:val="auto"/>
          <w:sz w:val="24"/>
          <w:szCs w:val="24"/>
          <w:lang w:val="pt-PT"/>
        </w:rPr>
        <w:t xml:space="preserve"> </w:t>
      </w:r>
      <w:r w:rsidR="00023AD6" w:rsidRPr="003A1174">
        <w:rPr>
          <w:rFonts w:ascii="Garamond" w:hAnsi="Garamond" w:cs="Arial"/>
          <w:color w:val="auto"/>
          <w:sz w:val="24"/>
          <w:szCs w:val="24"/>
          <w:lang w:val="pt-PT"/>
        </w:rPr>
        <w:t>bens</w:t>
      </w:r>
      <w:r w:rsidR="009B7DC1" w:rsidRPr="003A1174">
        <w:rPr>
          <w:rFonts w:ascii="Garamond" w:hAnsi="Garamond" w:cs="Arial"/>
          <w:color w:val="auto"/>
          <w:sz w:val="24"/>
          <w:szCs w:val="24"/>
          <w:lang w:val="pt-PT"/>
        </w:rPr>
        <w:t xml:space="preserve"> </w:t>
      </w:r>
      <w:r w:rsidR="00023AD6" w:rsidRPr="003A1174">
        <w:rPr>
          <w:rFonts w:ascii="Garamond" w:hAnsi="Garamond" w:cs="Arial"/>
          <w:color w:val="auto"/>
          <w:sz w:val="24"/>
          <w:szCs w:val="24"/>
          <w:lang w:val="pt-PT"/>
        </w:rPr>
        <w:t>móveis</w:t>
      </w:r>
      <w:r w:rsidR="009B7DC1" w:rsidRPr="003A1174">
        <w:rPr>
          <w:rFonts w:ascii="Garamond" w:hAnsi="Garamond" w:cs="Arial"/>
          <w:color w:val="auto"/>
          <w:sz w:val="24"/>
          <w:szCs w:val="24"/>
          <w:lang w:val="pt-PT"/>
        </w:rPr>
        <w:t xml:space="preserve"> e </w:t>
      </w:r>
      <w:r w:rsidR="00023AD6" w:rsidRPr="003A1174">
        <w:rPr>
          <w:rFonts w:ascii="Garamond" w:hAnsi="Garamond" w:cs="Arial"/>
          <w:color w:val="auto"/>
          <w:sz w:val="24"/>
          <w:szCs w:val="24"/>
          <w:lang w:val="pt-PT"/>
        </w:rPr>
        <w:t>imóveis</w:t>
      </w:r>
      <w:r w:rsidR="009B7DC1" w:rsidRPr="003A1174">
        <w:rPr>
          <w:rFonts w:ascii="Garamond" w:hAnsi="Garamond" w:cs="Arial"/>
          <w:color w:val="auto"/>
          <w:sz w:val="24"/>
          <w:szCs w:val="24"/>
          <w:lang w:val="pt-PT"/>
        </w:rPr>
        <w:t xml:space="preserve"> de </w:t>
      </w:r>
      <w:r w:rsidR="00023AD6" w:rsidRPr="003A1174">
        <w:rPr>
          <w:rFonts w:ascii="Garamond" w:hAnsi="Garamond" w:cs="Arial"/>
          <w:color w:val="auto"/>
          <w:sz w:val="24"/>
          <w:szCs w:val="24"/>
          <w:lang w:val="pt-PT"/>
        </w:rPr>
        <w:t>propriedade</w:t>
      </w:r>
      <w:r w:rsidR="009B7DC1" w:rsidRPr="003A1174">
        <w:rPr>
          <w:rFonts w:ascii="Garamond" w:hAnsi="Garamond" w:cs="Arial"/>
          <w:color w:val="auto"/>
          <w:sz w:val="24"/>
          <w:szCs w:val="24"/>
          <w:lang w:val="pt-PT"/>
        </w:rPr>
        <w:t xml:space="preserve"> </w:t>
      </w:r>
      <w:r w:rsidR="00023AD6" w:rsidRPr="003A1174">
        <w:rPr>
          <w:rFonts w:ascii="Garamond" w:hAnsi="Garamond" w:cs="Arial"/>
          <w:color w:val="auto"/>
          <w:sz w:val="24"/>
          <w:szCs w:val="24"/>
          <w:lang w:val="pt-PT"/>
        </w:rPr>
        <w:t>comum</w:t>
      </w:r>
      <w:r w:rsidR="009B7DC1" w:rsidRPr="003A1174">
        <w:rPr>
          <w:rFonts w:ascii="Garamond" w:hAnsi="Garamond" w:cs="Arial"/>
          <w:color w:val="auto"/>
          <w:sz w:val="24"/>
          <w:szCs w:val="24"/>
          <w:lang w:val="pt-PT"/>
        </w:rPr>
        <w:t xml:space="preserve">, </w:t>
      </w:r>
      <w:r w:rsidR="00152A44" w:rsidRPr="003A1174">
        <w:rPr>
          <w:rFonts w:ascii="Garamond" w:hAnsi="Garamond" w:cs="Arial"/>
          <w:color w:val="auto"/>
          <w:sz w:val="24"/>
          <w:szCs w:val="24"/>
          <w:lang w:val="pt-PT"/>
        </w:rPr>
        <w:t>inclui</w:t>
      </w:r>
      <w:r w:rsidR="00023AD6" w:rsidRPr="003A1174">
        <w:rPr>
          <w:rFonts w:ascii="Garamond" w:hAnsi="Garamond" w:cs="Arial"/>
          <w:color w:val="auto"/>
          <w:sz w:val="24"/>
          <w:szCs w:val="24"/>
          <w:lang w:val="pt-PT"/>
        </w:rPr>
        <w:t xml:space="preserve">ndo </w:t>
      </w:r>
      <w:r w:rsidR="009B7DC1" w:rsidRPr="003A1174">
        <w:rPr>
          <w:rFonts w:ascii="Garamond" w:hAnsi="Garamond" w:cs="Arial"/>
          <w:color w:val="auto"/>
          <w:sz w:val="24"/>
          <w:szCs w:val="24"/>
          <w:lang w:val="pt-PT"/>
        </w:rPr>
        <w:t xml:space="preserve">os </w:t>
      </w:r>
      <w:r w:rsidR="00935474">
        <w:rPr>
          <w:rFonts w:ascii="Garamond" w:hAnsi="Garamond" w:cs="Arial"/>
          <w:color w:val="auto"/>
          <w:sz w:val="24"/>
          <w:szCs w:val="24"/>
          <w:lang w:val="pt-PT"/>
        </w:rPr>
        <w:t>rendimentos</w:t>
      </w:r>
      <w:r w:rsidR="009B7DC1"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trabalho</w:t>
      </w:r>
      <w:r w:rsidR="005275B0" w:rsidRPr="003A1174">
        <w:rPr>
          <w:rFonts w:ascii="Garamond" w:hAnsi="Garamond" w:cs="Arial"/>
          <w:color w:val="auto"/>
          <w:sz w:val="24"/>
          <w:szCs w:val="24"/>
          <w:lang w:val="pt-PT"/>
        </w:rPr>
        <w:t xml:space="preserve"> d</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w:t>
      </w:r>
    </w:p>
    <w:p w:rsidR="00840CF5" w:rsidRPr="003A1174" w:rsidRDefault="00840CF5" w:rsidP="008719D4">
      <w:pPr>
        <w:spacing w:after="0" w:line="240" w:lineRule="auto"/>
        <w:jc w:val="both"/>
        <w:rPr>
          <w:rFonts w:ascii="Garamond" w:hAnsi="Garamond" w:cs="Arial"/>
          <w:sz w:val="24"/>
          <w:szCs w:val="24"/>
        </w:rPr>
      </w:pPr>
    </w:p>
    <w:p w:rsidR="00840CF5" w:rsidRPr="003A1174" w:rsidRDefault="00A56F43"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lastRenderedPageBreak/>
        <w:t>Garantia</w:t>
      </w:r>
      <w:r w:rsidR="009B7DC1" w:rsidRPr="003A1174">
        <w:rPr>
          <w:rFonts w:ascii="Garamond" w:hAnsi="Garamond" w:cs="Arial"/>
          <w:bCs/>
          <w:color w:val="auto"/>
          <w:sz w:val="24"/>
          <w:szCs w:val="24"/>
          <w:lang w:val="pt-PT"/>
        </w:rPr>
        <w:t xml:space="preserve"> </w:t>
      </w:r>
      <w:r w:rsidR="008A3DA2" w:rsidRPr="003A1174">
        <w:rPr>
          <w:rFonts w:ascii="Garamond" w:hAnsi="Garamond" w:cs="Arial"/>
          <w:bCs/>
          <w:color w:val="auto"/>
          <w:sz w:val="24"/>
          <w:szCs w:val="24"/>
          <w:lang w:val="pt-PT"/>
        </w:rPr>
        <w:t>do</w:t>
      </w:r>
      <w:r w:rsidR="009B7DC1" w:rsidRPr="003A1174">
        <w:rPr>
          <w:rFonts w:ascii="Garamond" w:hAnsi="Garamond" w:cs="Arial"/>
          <w:bCs/>
          <w:color w:val="auto"/>
          <w:sz w:val="24"/>
          <w:szCs w:val="24"/>
          <w:lang w:val="pt-PT"/>
        </w:rPr>
        <w:t xml:space="preserve"> </w:t>
      </w:r>
      <w:r w:rsidR="005275B0" w:rsidRPr="003A1174">
        <w:rPr>
          <w:rFonts w:ascii="Garamond" w:hAnsi="Garamond" w:cs="Arial"/>
          <w:bCs/>
          <w:color w:val="auto"/>
          <w:sz w:val="24"/>
          <w:szCs w:val="24"/>
          <w:lang w:val="pt-PT"/>
        </w:rPr>
        <w:t>usufruto</w:t>
      </w:r>
      <w:r w:rsidR="009B7DC1" w:rsidRPr="003A1174">
        <w:rPr>
          <w:rFonts w:ascii="Garamond" w:hAnsi="Garamond" w:cs="Arial"/>
          <w:color w:val="auto"/>
          <w:sz w:val="24"/>
          <w:szCs w:val="24"/>
          <w:lang w:val="pt-PT"/>
        </w:rPr>
        <w:t xml:space="preserve"> de </w:t>
      </w:r>
      <w:r w:rsidR="00023AD6" w:rsidRPr="003A1174">
        <w:rPr>
          <w:rFonts w:ascii="Garamond" w:hAnsi="Garamond" w:cs="Arial"/>
          <w:color w:val="auto"/>
          <w:sz w:val="24"/>
          <w:szCs w:val="24"/>
          <w:lang w:val="pt-PT"/>
        </w:rPr>
        <w:t>bens</w:t>
      </w:r>
      <w:r w:rsidR="009B7DC1" w:rsidRPr="003A1174">
        <w:rPr>
          <w:rFonts w:ascii="Garamond" w:hAnsi="Garamond" w:cs="Arial"/>
          <w:color w:val="auto"/>
          <w:sz w:val="24"/>
          <w:szCs w:val="24"/>
          <w:lang w:val="pt-PT"/>
        </w:rPr>
        <w:t xml:space="preserve"> </w:t>
      </w:r>
      <w:r w:rsidR="00023AD6" w:rsidRPr="003A1174">
        <w:rPr>
          <w:rFonts w:ascii="Garamond" w:hAnsi="Garamond" w:cs="Arial"/>
          <w:color w:val="auto"/>
          <w:sz w:val="24"/>
          <w:szCs w:val="24"/>
          <w:lang w:val="pt-PT"/>
        </w:rPr>
        <w:t>móveis</w:t>
      </w:r>
      <w:r w:rsidR="009B7DC1" w:rsidRPr="003A1174">
        <w:rPr>
          <w:rFonts w:ascii="Garamond" w:hAnsi="Garamond" w:cs="Arial"/>
          <w:color w:val="auto"/>
          <w:sz w:val="24"/>
          <w:szCs w:val="24"/>
          <w:lang w:val="pt-PT"/>
        </w:rPr>
        <w:t xml:space="preserve"> que se </w:t>
      </w:r>
      <w:r w:rsidR="006D4D0B" w:rsidRPr="003A1174">
        <w:rPr>
          <w:rFonts w:ascii="Garamond" w:hAnsi="Garamond" w:cs="Arial"/>
          <w:color w:val="auto"/>
          <w:sz w:val="24"/>
          <w:szCs w:val="24"/>
          <w:lang w:val="pt-PT"/>
        </w:rPr>
        <w:t>encontre</w:t>
      </w:r>
      <w:r w:rsidR="005275B0" w:rsidRPr="003A1174">
        <w:rPr>
          <w:rFonts w:ascii="Garamond" w:hAnsi="Garamond" w:cs="Arial"/>
          <w:color w:val="auto"/>
          <w:sz w:val="24"/>
          <w:szCs w:val="24"/>
          <w:lang w:val="pt-PT"/>
        </w:rPr>
        <w:t xml:space="preserve">m no </w:t>
      </w:r>
      <w:r w:rsidR="00023AD6" w:rsidRPr="003A1174">
        <w:rPr>
          <w:rFonts w:ascii="Garamond" w:hAnsi="Garamond" w:cs="Arial"/>
          <w:color w:val="auto"/>
          <w:sz w:val="24"/>
          <w:szCs w:val="24"/>
          <w:lang w:val="pt-PT"/>
        </w:rPr>
        <w:t>imóvel</w:t>
      </w:r>
      <w:r w:rsidR="009B7DC1" w:rsidRPr="003A1174">
        <w:rPr>
          <w:rFonts w:ascii="Garamond" w:hAnsi="Garamond" w:cs="Arial"/>
          <w:color w:val="auto"/>
          <w:sz w:val="24"/>
          <w:szCs w:val="24"/>
          <w:lang w:val="pt-PT"/>
        </w:rPr>
        <w:t xml:space="preserve"> que sirva de </w:t>
      </w:r>
      <w:r w:rsidR="00152A44" w:rsidRPr="003A1174">
        <w:rPr>
          <w:rFonts w:ascii="Garamond" w:hAnsi="Garamond" w:cs="Arial"/>
          <w:color w:val="auto"/>
          <w:sz w:val="24"/>
          <w:szCs w:val="24"/>
          <w:lang w:val="pt-PT"/>
        </w:rPr>
        <w:t>domicílio</w:t>
      </w:r>
      <w:r w:rsidR="009B7DC1" w:rsidRPr="003A1174">
        <w:rPr>
          <w:rFonts w:ascii="Garamond" w:hAnsi="Garamond" w:cs="Arial"/>
          <w:color w:val="auto"/>
          <w:sz w:val="24"/>
          <w:szCs w:val="24"/>
          <w:lang w:val="pt-PT"/>
        </w:rPr>
        <w:t xml:space="preserve"> </w:t>
      </w:r>
      <w:r w:rsidR="005275B0" w:rsidRPr="003A1174">
        <w:rPr>
          <w:rFonts w:ascii="Garamond" w:hAnsi="Garamond" w:cs="Arial"/>
          <w:color w:val="auto"/>
          <w:sz w:val="24"/>
          <w:szCs w:val="24"/>
          <w:lang w:val="pt-PT"/>
        </w:rPr>
        <w:t xml:space="preserve">à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w:t>
      </w:r>
    </w:p>
    <w:p w:rsidR="009B7DC1" w:rsidRPr="003A1174" w:rsidRDefault="00E34DB3"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Autorização de acesso</w:t>
      </w:r>
      <w:r w:rsidR="00935474">
        <w:rPr>
          <w:rFonts w:ascii="Garamond" w:hAnsi="Garamond" w:cs="Arial"/>
          <w:color w:val="auto"/>
          <w:sz w:val="24"/>
          <w:szCs w:val="24"/>
          <w:lang w:val="pt-PT"/>
        </w:rPr>
        <w:t xml:space="preserve"> ao domicílio comum</w:t>
      </w:r>
      <w:r w:rsidR="00000655">
        <w:rPr>
          <w:rFonts w:ascii="Garamond" w:hAnsi="Garamond" w:cs="Arial"/>
          <w:color w:val="auto"/>
          <w:sz w:val="24"/>
          <w:szCs w:val="24"/>
          <w:lang w:val="pt-PT"/>
        </w:rPr>
        <w:t>,</w:t>
      </w:r>
      <w:r w:rsidRPr="003A1174">
        <w:rPr>
          <w:rFonts w:ascii="Garamond" w:hAnsi="Garamond" w:cs="Arial"/>
          <w:color w:val="auto"/>
          <w:sz w:val="24"/>
          <w:szCs w:val="24"/>
          <w:lang w:val="pt-PT"/>
        </w:rPr>
        <w:t xml:space="preserve"> pelas autoridades policiais</w:t>
      </w:r>
      <w:r w:rsidR="00000655">
        <w:rPr>
          <w:rFonts w:ascii="Garamond" w:hAnsi="Garamond" w:cs="Arial"/>
          <w:color w:val="auto"/>
          <w:sz w:val="24"/>
          <w:szCs w:val="24"/>
          <w:lang w:val="pt-PT"/>
        </w:rPr>
        <w:t>,</w:t>
      </w:r>
      <w:r w:rsidR="005275B0" w:rsidRPr="003A1174">
        <w:rPr>
          <w:rFonts w:ascii="Garamond" w:hAnsi="Garamond" w:cs="Arial"/>
          <w:color w:val="auto"/>
          <w:sz w:val="24"/>
          <w:szCs w:val="24"/>
          <w:lang w:val="pt-PT"/>
        </w:rPr>
        <w:t xml:space="preserve"> ou </w:t>
      </w:r>
      <w:r w:rsidRPr="003A1174">
        <w:rPr>
          <w:rFonts w:ascii="Garamond" w:hAnsi="Garamond" w:cs="Arial"/>
          <w:color w:val="auto"/>
          <w:sz w:val="24"/>
          <w:szCs w:val="24"/>
          <w:lang w:val="pt-PT"/>
        </w:rPr>
        <w:t xml:space="preserve">por </w:t>
      </w:r>
      <w:r w:rsidR="006C760C" w:rsidRPr="003A1174">
        <w:rPr>
          <w:rFonts w:ascii="Garamond" w:hAnsi="Garamond" w:cs="Arial"/>
          <w:color w:val="auto"/>
          <w:sz w:val="24"/>
          <w:szCs w:val="24"/>
          <w:lang w:val="pt-PT"/>
        </w:rPr>
        <w:t>pessoas</w:t>
      </w:r>
      <w:r w:rsidR="009B7DC1" w:rsidRPr="003A1174">
        <w:rPr>
          <w:rFonts w:ascii="Garamond" w:hAnsi="Garamond" w:cs="Arial"/>
          <w:color w:val="auto"/>
          <w:sz w:val="24"/>
          <w:szCs w:val="24"/>
          <w:lang w:val="pt-PT"/>
        </w:rPr>
        <w:t xml:space="preserve"> que auxilie</w:t>
      </w:r>
      <w:r w:rsidR="005275B0" w:rsidRPr="003A1174">
        <w:rPr>
          <w:rFonts w:ascii="Garamond" w:hAnsi="Garamond" w:cs="Arial"/>
          <w:color w:val="auto"/>
          <w:sz w:val="24"/>
          <w:szCs w:val="24"/>
          <w:lang w:val="pt-PT"/>
        </w:rPr>
        <w:t xml:space="preserve">m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 a </w:t>
      </w:r>
      <w:r w:rsidR="005275B0" w:rsidRPr="003A1174">
        <w:rPr>
          <w:rFonts w:ascii="Garamond" w:hAnsi="Garamond" w:cs="Arial"/>
          <w:color w:val="auto"/>
          <w:sz w:val="24"/>
          <w:szCs w:val="24"/>
          <w:lang w:val="pt-PT"/>
        </w:rPr>
        <w:t>trazer os</w:t>
      </w:r>
      <w:r w:rsidR="009B7DC1" w:rsidRPr="003A1174">
        <w:rPr>
          <w:rFonts w:ascii="Garamond" w:hAnsi="Garamond" w:cs="Arial"/>
          <w:color w:val="auto"/>
          <w:sz w:val="24"/>
          <w:szCs w:val="24"/>
          <w:lang w:val="pt-PT"/>
        </w:rPr>
        <w:t xml:space="preserve"> s</w:t>
      </w:r>
      <w:r w:rsidR="005275B0"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us </w:t>
      </w:r>
      <w:r w:rsidR="005275B0" w:rsidRPr="003A1174">
        <w:rPr>
          <w:rFonts w:ascii="Garamond" w:hAnsi="Garamond" w:cs="Arial"/>
          <w:color w:val="auto"/>
          <w:sz w:val="24"/>
          <w:szCs w:val="24"/>
          <w:lang w:val="pt-PT"/>
        </w:rPr>
        <w:t>pertences</w:t>
      </w:r>
      <w:r w:rsidR="009B7DC1" w:rsidRPr="003A1174">
        <w:rPr>
          <w:rFonts w:ascii="Garamond" w:hAnsi="Garamond" w:cs="Arial"/>
          <w:color w:val="auto"/>
          <w:sz w:val="24"/>
          <w:szCs w:val="24"/>
          <w:lang w:val="pt-PT"/>
        </w:rPr>
        <w:t xml:space="preserve"> </w:t>
      </w:r>
      <w:r w:rsidR="005275B0" w:rsidRPr="003A1174">
        <w:rPr>
          <w:rFonts w:ascii="Garamond" w:hAnsi="Garamond" w:cs="Arial"/>
          <w:color w:val="auto"/>
          <w:sz w:val="24"/>
          <w:szCs w:val="24"/>
          <w:lang w:val="pt-PT"/>
        </w:rPr>
        <w:t>pessoais</w:t>
      </w:r>
      <w:r w:rsidR="009B7D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9B7DC1" w:rsidRPr="003A1174">
        <w:rPr>
          <w:rFonts w:ascii="Garamond" w:hAnsi="Garamond" w:cs="Arial"/>
          <w:color w:val="auto"/>
          <w:sz w:val="24"/>
          <w:szCs w:val="24"/>
          <w:lang w:val="pt-PT"/>
        </w:rPr>
        <w:t xml:space="preserve"> </w:t>
      </w:r>
      <w:r w:rsidR="00935474">
        <w:rPr>
          <w:rFonts w:ascii="Garamond" w:hAnsi="Garamond" w:cs="Arial"/>
          <w:color w:val="auto"/>
          <w:sz w:val="24"/>
          <w:szCs w:val="24"/>
          <w:lang w:val="pt-PT"/>
        </w:rPr>
        <w:t xml:space="preserve">dos seus </w:t>
      </w:r>
      <w:r w:rsidR="007A2492" w:rsidRPr="003A1174">
        <w:rPr>
          <w:rFonts w:ascii="Garamond" w:hAnsi="Garamond" w:cs="Arial"/>
          <w:color w:val="auto"/>
          <w:sz w:val="24"/>
          <w:szCs w:val="24"/>
          <w:lang w:val="pt-PT"/>
        </w:rPr>
        <w:t>filho</w:t>
      </w:r>
      <w:r w:rsidR="009B7DC1" w:rsidRPr="003A1174">
        <w:rPr>
          <w:rFonts w:ascii="Garamond" w:hAnsi="Garamond" w:cs="Arial"/>
          <w:color w:val="auto"/>
          <w:sz w:val="24"/>
          <w:szCs w:val="24"/>
          <w:lang w:val="pt-PT"/>
        </w:rPr>
        <w:t>s</w:t>
      </w:r>
      <w:r w:rsidR="00573C1E">
        <w:rPr>
          <w:rFonts w:ascii="Garamond" w:hAnsi="Garamond" w:cs="Arial"/>
          <w:color w:val="auto"/>
          <w:sz w:val="24"/>
          <w:szCs w:val="24"/>
          <w:lang w:val="pt-PT"/>
        </w:rPr>
        <w:t>.</w:t>
      </w:r>
    </w:p>
    <w:p w:rsidR="009B7DC1" w:rsidRPr="003A1174" w:rsidRDefault="009B7DC1"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Entrega </w:t>
      </w:r>
      <w:r w:rsidR="00201889" w:rsidRPr="003A1174">
        <w:rPr>
          <w:rFonts w:ascii="Garamond" w:hAnsi="Garamond" w:cs="Arial"/>
          <w:color w:val="auto"/>
          <w:sz w:val="24"/>
          <w:szCs w:val="24"/>
          <w:lang w:val="pt-PT"/>
        </w:rPr>
        <w:t>imediata</w:t>
      </w:r>
      <w:r w:rsidRPr="003A1174">
        <w:rPr>
          <w:rFonts w:ascii="Garamond" w:hAnsi="Garamond" w:cs="Arial"/>
          <w:color w:val="auto"/>
          <w:sz w:val="24"/>
          <w:szCs w:val="24"/>
          <w:lang w:val="pt-PT"/>
        </w:rPr>
        <w:t xml:space="preserve"> de objetos de uso </w:t>
      </w:r>
      <w:r w:rsidR="008278C4" w:rsidRPr="003A1174">
        <w:rPr>
          <w:rFonts w:ascii="Garamond" w:hAnsi="Garamond" w:cs="Arial"/>
          <w:color w:val="auto"/>
          <w:sz w:val="24"/>
          <w:szCs w:val="24"/>
          <w:lang w:val="pt-PT"/>
        </w:rPr>
        <w:t>pessoal</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documentos de </w:t>
      </w:r>
      <w:r w:rsidR="007C44AC" w:rsidRPr="003A1174">
        <w:rPr>
          <w:rFonts w:ascii="Garamond" w:hAnsi="Garamond" w:cs="Arial"/>
          <w:color w:val="auto"/>
          <w:sz w:val="24"/>
          <w:szCs w:val="24"/>
          <w:lang w:val="pt-PT"/>
        </w:rPr>
        <w:t>identidade</w:t>
      </w:r>
      <w:r w:rsidR="005275B0"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d</w:t>
      </w:r>
      <w:r w:rsidR="005275B0" w:rsidRPr="003A1174">
        <w:rPr>
          <w:rFonts w:ascii="Garamond" w:hAnsi="Garamond" w:cs="Arial"/>
          <w:color w:val="auto"/>
          <w:sz w:val="24"/>
          <w:szCs w:val="24"/>
          <w:lang w:val="pt-PT"/>
        </w:rPr>
        <w:t xml:space="preserve">os </w:t>
      </w:r>
      <w:r w:rsidRPr="003A1174">
        <w:rPr>
          <w:rFonts w:ascii="Garamond" w:hAnsi="Garamond" w:cs="Arial"/>
          <w:color w:val="auto"/>
          <w:sz w:val="24"/>
          <w:szCs w:val="24"/>
          <w:lang w:val="pt-PT"/>
        </w:rPr>
        <w:t>s</w:t>
      </w:r>
      <w:r w:rsidR="005275B0"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us </w:t>
      </w:r>
      <w:r w:rsidR="005275B0" w:rsidRPr="003A1174">
        <w:rPr>
          <w:rFonts w:ascii="Garamond" w:hAnsi="Garamond" w:cs="Arial"/>
          <w:color w:val="auto"/>
          <w:sz w:val="24"/>
          <w:szCs w:val="24"/>
          <w:lang w:val="pt-PT"/>
        </w:rPr>
        <w:t>filho</w:t>
      </w:r>
      <w:r w:rsidRPr="003A1174">
        <w:rPr>
          <w:rFonts w:ascii="Garamond" w:hAnsi="Garamond" w:cs="Arial"/>
          <w:color w:val="auto"/>
          <w:sz w:val="24"/>
          <w:szCs w:val="24"/>
          <w:lang w:val="pt-PT"/>
        </w:rPr>
        <w:t>s</w:t>
      </w:r>
      <w:r w:rsidR="00573C1E">
        <w:rPr>
          <w:rFonts w:ascii="Garamond" w:hAnsi="Garamond" w:cs="Arial"/>
          <w:color w:val="auto"/>
          <w:sz w:val="24"/>
          <w:szCs w:val="24"/>
          <w:lang w:val="pt-PT"/>
        </w:rPr>
        <w:t>.</w:t>
      </w:r>
    </w:p>
    <w:p w:rsidR="009B7DC1" w:rsidRPr="003A1174" w:rsidRDefault="005275B0" w:rsidP="008719D4">
      <w:pPr>
        <w:pStyle w:val="Prrafodelista"/>
        <w:numPr>
          <w:ilvl w:val="0"/>
          <w:numId w:val="6"/>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Auxílio</w:t>
      </w:r>
      <w:r w:rsidR="009B7DC1" w:rsidRPr="003A1174">
        <w:rPr>
          <w:rFonts w:ascii="Garamond" w:hAnsi="Garamond" w:cs="Arial"/>
          <w:color w:val="auto"/>
          <w:sz w:val="24"/>
          <w:szCs w:val="24"/>
          <w:lang w:val="pt-PT"/>
        </w:rPr>
        <w:t xml:space="preserve"> polic</w:t>
      </w:r>
      <w:r w:rsidRPr="003A1174">
        <w:rPr>
          <w:rFonts w:ascii="Garamond" w:hAnsi="Garamond" w:cs="Arial"/>
          <w:color w:val="auto"/>
          <w:sz w:val="24"/>
          <w:szCs w:val="24"/>
          <w:lang w:val="pt-PT"/>
        </w:rPr>
        <w:t>ial a favor d</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573C1E">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 xml:space="preserve">m </w:t>
      </w:r>
      <w:r w:rsidR="006D4D0B" w:rsidRPr="003A1174">
        <w:rPr>
          <w:rFonts w:ascii="Garamond" w:hAnsi="Garamond" w:cs="Arial"/>
          <w:color w:val="auto"/>
          <w:sz w:val="24"/>
          <w:szCs w:val="24"/>
          <w:lang w:val="pt-PT"/>
        </w:rPr>
        <w:t>autorização</w:t>
      </w:r>
      <w:r w:rsidR="009B7DC1"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expressa</w:t>
      </w:r>
      <w:r w:rsidRPr="003A1174">
        <w:rPr>
          <w:rFonts w:ascii="Garamond" w:hAnsi="Garamond" w:cs="Arial"/>
          <w:color w:val="auto"/>
          <w:sz w:val="24"/>
          <w:szCs w:val="24"/>
          <w:lang w:val="pt-PT"/>
        </w:rPr>
        <w:t xml:space="preserve"> de</w:t>
      </w:r>
      <w:r w:rsidR="009B7DC1" w:rsidRPr="003A1174">
        <w:rPr>
          <w:rFonts w:ascii="Garamond" w:hAnsi="Garamond" w:cs="Arial"/>
          <w:color w:val="auto"/>
          <w:sz w:val="24"/>
          <w:szCs w:val="24"/>
          <w:lang w:val="pt-PT"/>
        </w:rPr>
        <w:t>sta</w:t>
      </w:r>
      <w:r w:rsidR="00573C1E">
        <w:rPr>
          <w:rFonts w:ascii="Garamond" w:hAnsi="Garamond" w:cs="Arial"/>
          <w:color w:val="auto"/>
          <w:sz w:val="24"/>
          <w:szCs w:val="24"/>
          <w:lang w:val="pt-PT"/>
        </w:rPr>
        <w:t>,</w:t>
      </w:r>
      <w:r w:rsidR="009B7DC1" w:rsidRPr="003A1174">
        <w:rPr>
          <w:rFonts w:ascii="Garamond" w:hAnsi="Garamond" w:cs="Arial"/>
          <w:color w:val="auto"/>
          <w:sz w:val="24"/>
          <w:szCs w:val="24"/>
          <w:lang w:val="pt-PT"/>
        </w:rPr>
        <w:t xml:space="preserve"> de</w:t>
      </w:r>
      <w:r w:rsidRPr="003A1174">
        <w:rPr>
          <w:rFonts w:ascii="Garamond" w:hAnsi="Garamond" w:cs="Arial"/>
          <w:color w:val="auto"/>
          <w:sz w:val="24"/>
          <w:szCs w:val="24"/>
          <w:lang w:val="pt-PT"/>
        </w:rPr>
        <w:t xml:space="preserve"> entrada no </w:t>
      </w:r>
      <w:r w:rsidR="00152A44" w:rsidRPr="003A1174">
        <w:rPr>
          <w:rFonts w:ascii="Garamond" w:hAnsi="Garamond" w:cs="Arial"/>
          <w:color w:val="auto"/>
          <w:sz w:val="24"/>
          <w:szCs w:val="24"/>
          <w:lang w:val="pt-PT"/>
        </w:rPr>
        <w:t>domicílio</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onde </w:t>
      </w:r>
      <w:r w:rsidR="00573C1E">
        <w:rPr>
          <w:rFonts w:ascii="Garamond" w:hAnsi="Garamond" w:cs="Arial"/>
          <w:color w:val="auto"/>
          <w:sz w:val="24"/>
          <w:szCs w:val="24"/>
          <w:lang w:val="pt-PT"/>
        </w:rPr>
        <w:t xml:space="preserve">resida </w:t>
      </w:r>
      <w:r w:rsidRPr="003A1174">
        <w:rPr>
          <w:rFonts w:ascii="Garamond" w:hAnsi="Garamond" w:cs="Arial"/>
          <w:color w:val="auto"/>
          <w:sz w:val="24"/>
          <w:szCs w:val="24"/>
          <w:lang w:val="pt-PT"/>
        </w:rPr>
        <w:t xml:space="preserve">ou </w:t>
      </w:r>
      <w:r w:rsidR="009B7DC1" w:rsidRPr="003A1174">
        <w:rPr>
          <w:rFonts w:ascii="Garamond" w:hAnsi="Garamond" w:cs="Arial"/>
          <w:color w:val="auto"/>
          <w:sz w:val="24"/>
          <w:szCs w:val="24"/>
          <w:lang w:val="pt-PT"/>
        </w:rPr>
        <w:t xml:space="preserve">se </w:t>
      </w:r>
      <w:r w:rsidR="006D4D0B" w:rsidRPr="003A1174">
        <w:rPr>
          <w:rFonts w:ascii="Garamond" w:hAnsi="Garamond" w:cs="Arial"/>
          <w:color w:val="auto"/>
          <w:sz w:val="24"/>
          <w:szCs w:val="24"/>
          <w:lang w:val="pt-PT"/>
        </w:rPr>
        <w:t>encontr</w:t>
      </w:r>
      <w:r w:rsidR="00573C1E">
        <w:rPr>
          <w:rFonts w:ascii="Garamond" w:hAnsi="Garamond" w:cs="Arial"/>
          <w:color w:val="auto"/>
          <w:sz w:val="24"/>
          <w:szCs w:val="24"/>
          <w:lang w:val="pt-PT"/>
        </w:rPr>
        <w:t>e</w:t>
      </w:r>
      <w:r w:rsidR="009B7DC1" w:rsidRPr="003A1174">
        <w:rPr>
          <w:rFonts w:ascii="Garamond" w:hAnsi="Garamond" w:cs="Arial"/>
          <w:color w:val="auto"/>
          <w:sz w:val="24"/>
          <w:szCs w:val="24"/>
          <w:lang w:val="pt-PT"/>
        </w:rPr>
        <w:t>.</w:t>
      </w:r>
    </w:p>
    <w:p w:rsidR="009B7DC1" w:rsidRPr="003A1174" w:rsidRDefault="009B7DC1" w:rsidP="008719D4">
      <w:pPr>
        <w:spacing w:after="0" w:line="240" w:lineRule="auto"/>
        <w:ind w:left="-1134" w:hanging="540"/>
        <w:jc w:val="both"/>
        <w:rPr>
          <w:rFonts w:ascii="Garamond" w:hAnsi="Garamond" w:cs="Arial"/>
          <w:sz w:val="24"/>
          <w:szCs w:val="24"/>
        </w:rPr>
      </w:pPr>
    </w:p>
    <w:p w:rsidR="009B7DC1" w:rsidRPr="003A1174" w:rsidRDefault="00497503" w:rsidP="005275B0">
      <w:pPr>
        <w:spacing w:after="0" w:line="240" w:lineRule="auto"/>
        <w:jc w:val="both"/>
        <w:rPr>
          <w:rFonts w:ascii="Garamond" w:hAnsi="Garamond" w:cs="Arial"/>
          <w:sz w:val="24"/>
          <w:szCs w:val="24"/>
        </w:rPr>
      </w:pPr>
      <w:r w:rsidRPr="003A1174">
        <w:rPr>
          <w:rFonts w:ascii="Garamond" w:hAnsi="Garamond" w:cs="Arial"/>
          <w:sz w:val="24"/>
          <w:szCs w:val="24"/>
        </w:rPr>
        <w:t>E</w:t>
      </w:r>
      <w:r w:rsidR="009B7DC1" w:rsidRPr="003A1174">
        <w:rPr>
          <w:rFonts w:ascii="Garamond" w:hAnsi="Garamond" w:cs="Arial"/>
          <w:sz w:val="24"/>
          <w:szCs w:val="24"/>
        </w:rPr>
        <w:t xml:space="preserve"> por s</w:t>
      </w:r>
      <w:r w:rsidR="005275B0" w:rsidRPr="003A1174">
        <w:rPr>
          <w:rFonts w:ascii="Garamond" w:hAnsi="Garamond" w:cs="Arial"/>
          <w:sz w:val="24"/>
          <w:szCs w:val="24"/>
        </w:rPr>
        <w:t>e</w:t>
      </w:r>
      <w:r w:rsidR="009B7DC1" w:rsidRPr="003A1174">
        <w:rPr>
          <w:rFonts w:ascii="Garamond" w:hAnsi="Garamond" w:cs="Arial"/>
          <w:sz w:val="24"/>
          <w:szCs w:val="24"/>
        </w:rPr>
        <w:t xml:space="preserve">u </w:t>
      </w:r>
      <w:r w:rsidR="005275B0" w:rsidRPr="003A1174">
        <w:rPr>
          <w:rFonts w:ascii="Garamond" w:hAnsi="Garamond" w:cs="Arial"/>
          <w:sz w:val="24"/>
          <w:szCs w:val="24"/>
        </w:rPr>
        <w:t>lado</w:t>
      </w:r>
      <w:r w:rsidR="00840CF5" w:rsidRPr="003A1174">
        <w:rPr>
          <w:rFonts w:ascii="Garamond" w:hAnsi="Garamond" w:cs="Arial"/>
          <w:sz w:val="24"/>
          <w:szCs w:val="24"/>
        </w:rPr>
        <w:t>,</w:t>
      </w:r>
      <w:r w:rsidR="005275B0" w:rsidRPr="003A1174">
        <w:rPr>
          <w:rFonts w:ascii="Garamond" w:hAnsi="Garamond" w:cs="Arial"/>
          <w:sz w:val="24"/>
          <w:szCs w:val="24"/>
        </w:rPr>
        <w:t xml:space="preserve"> </w:t>
      </w:r>
      <w:r w:rsidR="009B7DC1" w:rsidRPr="003A1174">
        <w:rPr>
          <w:rFonts w:ascii="Garamond" w:hAnsi="Garamond" w:cs="Arial"/>
          <w:sz w:val="24"/>
          <w:szCs w:val="24"/>
        </w:rPr>
        <w:t xml:space="preserve">as </w:t>
      </w:r>
      <w:r w:rsidR="00861B8A">
        <w:rPr>
          <w:rFonts w:ascii="Garamond" w:hAnsi="Garamond" w:cs="Arial"/>
          <w:sz w:val="24"/>
          <w:szCs w:val="24"/>
        </w:rPr>
        <w:t>medidas</w:t>
      </w:r>
      <w:r w:rsidR="00000655">
        <w:rPr>
          <w:rFonts w:ascii="Garamond" w:hAnsi="Garamond" w:cs="Arial"/>
          <w:sz w:val="24"/>
          <w:szCs w:val="24"/>
        </w:rPr>
        <w:t xml:space="preserve"> </w:t>
      </w:r>
      <w:r w:rsidR="009B7DC1" w:rsidRPr="003A1174">
        <w:rPr>
          <w:rFonts w:ascii="Garamond" w:hAnsi="Garamond" w:cs="Arial"/>
          <w:sz w:val="24"/>
          <w:szCs w:val="24"/>
        </w:rPr>
        <w:t xml:space="preserve">de </w:t>
      </w:r>
      <w:r w:rsidR="00886D6A" w:rsidRPr="003A1174">
        <w:rPr>
          <w:rFonts w:ascii="Garamond" w:hAnsi="Garamond" w:cs="Arial"/>
          <w:sz w:val="24"/>
          <w:szCs w:val="24"/>
        </w:rPr>
        <w:t>proteção</w:t>
      </w:r>
      <w:r w:rsidR="009B7DC1" w:rsidRPr="003A1174">
        <w:rPr>
          <w:rFonts w:ascii="Garamond" w:hAnsi="Garamond" w:cs="Arial"/>
          <w:sz w:val="24"/>
          <w:szCs w:val="24"/>
        </w:rPr>
        <w:t xml:space="preserve"> civil </w:t>
      </w:r>
      <w:r w:rsidR="00D75A07" w:rsidRPr="003A1174">
        <w:rPr>
          <w:rFonts w:ascii="Garamond" w:hAnsi="Garamond" w:cs="Arial"/>
          <w:sz w:val="24"/>
          <w:szCs w:val="24"/>
        </w:rPr>
        <w:t>são</w:t>
      </w:r>
      <w:r w:rsidR="009B7DC1" w:rsidRPr="003A1174">
        <w:rPr>
          <w:rFonts w:ascii="Garamond" w:hAnsi="Garamond" w:cs="Arial"/>
          <w:sz w:val="24"/>
          <w:szCs w:val="24"/>
        </w:rPr>
        <w:t xml:space="preserve"> </w:t>
      </w:r>
      <w:r w:rsidR="005275B0" w:rsidRPr="003A1174">
        <w:rPr>
          <w:rFonts w:ascii="Garamond" w:hAnsi="Garamond" w:cs="Arial"/>
          <w:sz w:val="24"/>
          <w:szCs w:val="24"/>
        </w:rPr>
        <w:t>proferidas pe</w:t>
      </w:r>
      <w:r w:rsidR="009B7DC1" w:rsidRPr="003A1174">
        <w:rPr>
          <w:rFonts w:ascii="Garamond" w:hAnsi="Garamond" w:cs="Arial"/>
          <w:sz w:val="24"/>
          <w:szCs w:val="24"/>
        </w:rPr>
        <w:t xml:space="preserve">los </w:t>
      </w:r>
      <w:r w:rsidR="00BA3CCE" w:rsidRPr="003A1174">
        <w:rPr>
          <w:rFonts w:ascii="Garamond" w:hAnsi="Garamond" w:cs="Arial"/>
          <w:sz w:val="24"/>
          <w:szCs w:val="24"/>
        </w:rPr>
        <w:t>Juízes</w:t>
      </w:r>
      <w:r w:rsidR="009B7DC1" w:rsidRPr="003A1174">
        <w:rPr>
          <w:rFonts w:ascii="Garamond" w:hAnsi="Garamond" w:cs="Arial"/>
          <w:sz w:val="24"/>
          <w:szCs w:val="24"/>
        </w:rPr>
        <w:t xml:space="preserve"> e</w:t>
      </w:r>
      <w:r w:rsidR="005275B0" w:rsidRPr="003A1174">
        <w:rPr>
          <w:rFonts w:ascii="Garamond" w:hAnsi="Garamond" w:cs="Arial"/>
          <w:sz w:val="24"/>
          <w:szCs w:val="24"/>
        </w:rPr>
        <w:t>m</w:t>
      </w:r>
      <w:r w:rsidR="009B7DC1" w:rsidRPr="003A1174">
        <w:rPr>
          <w:rFonts w:ascii="Garamond" w:hAnsi="Garamond" w:cs="Arial"/>
          <w:sz w:val="24"/>
          <w:szCs w:val="24"/>
        </w:rPr>
        <w:t xml:space="preserve"> </w:t>
      </w:r>
      <w:r w:rsidR="005275B0" w:rsidRPr="003A1174">
        <w:rPr>
          <w:rFonts w:ascii="Garamond" w:hAnsi="Garamond" w:cs="Arial"/>
          <w:sz w:val="24"/>
          <w:szCs w:val="24"/>
        </w:rPr>
        <w:t>matéria</w:t>
      </w:r>
      <w:r w:rsidR="009B7DC1" w:rsidRPr="003A1174">
        <w:rPr>
          <w:rFonts w:ascii="Garamond" w:hAnsi="Garamond" w:cs="Arial"/>
          <w:sz w:val="24"/>
          <w:szCs w:val="24"/>
        </w:rPr>
        <w:t xml:space="preserve"> Civil </w:t>
      </w:r>
      <w:r w:rsidR="008A3DA2" w:rsidRPr="003A1174">
        <w:rPr>
          <w:rFonts w:ascii="Garamond" w:hAnsi="Garamond" w:cs="Arial"/>
          <w:sz w:val="24"/>
          <w:szCs w:val="24"/>
        </w:rPr>
        <w:t>do</w:t>
      </w:r>
      <w:r w:rsidR="009B7DC1" w:rsidRPr="003A1174">
        <w:rPr>
          <w:rFonts w:ascii="Garamond" w:hAnsi="Garamond" w:cs="Arial"/>
          <w:sz w:val="24"/>
          <w:szCs w:val="24"/>
        </w:rPr>
        <w:t xml:space="preserve"> </w:t>
      </w:r>
      <w:r w:rsidR="00840CF5" w:rsidRPr="003A1174">
        <w:rPr>
          <w:rFonts w:ascii="Garamond" w:hAnsi="Garamond" w:cs="Arial"/>
          <w:sz w:val="24"/>
          <w:szCs w:val="24"/>
        </w:rPr>
        <w:t>E</w:t>
      </w:r>
      <w:r w:rsidR="009B7DC1" w:rsidRPr="003A1174">
        <w:rPr>
          <w:rFonts w:ascii="Garamond" w:hAnsi="Garamond" w:cs="Arial"/>
          <w:sz w:val="24"/>
          <w:szCs w:val="24"/>
        </w:rPr>
        <w:t>stado, estab</w:t>
      </w:r>
      <w:r w:rsidR="005275B0" w:rsidRPr="003A1174">
        <w:rPr>
          <w:rFonts w:ascii="Garamond" w:hAnsi="Garamond" w:cs="Arial"/>
          <w:sz w:val="24"/>
          <w:szCs w:val="24"/>
        </w:rPr>
        <w:t>e</w:t>
      </w:r>
      <w:r w:rsidR="009B7DC1" w:rsidRPr="003A1174">
        <w:rPr>
          <w:rFonts w:ascii="Garamond" w:hAnsi="Garamond" w:cs="Arial"/>
          <w:sz w:val="24"/>
          <w:szCs w:val="24"/>
        </w:rPr>
        <w:t>lec</w:t>
      </w:r>
      <w:r w:rsidR="005275B0" w:rsidRPr="003A1174">
        <w:rPr>
          <w:rFonts w:ascii="Garamond" w:hAnsi="Garamond" w:cs="Arial"/>
          <w:sz w:val="24"/>
          <w:szCs w:val="24"/>
        </w:rPr>
        <w:t>e</w:t>
      </w:r>
      <w:r w:rsidR="009B7DC1" w:rsidRPr="003A1174">
        <w:rPr>
          <w:rFonts w:ascii="Garamond" w:hAnsi="Garamond" w:cs="Arial"/>
          <w:sz w:val="24"/>
          <w:szCs w:val="24"/>
        </w:rPr>
        <w:t>ndo</w:t>
      </w:r>
      <w:r w:rsidR="005275B0" w:rsidRPr="003A1174">
        <w:rPr>
          <w:rFonts w:ascii="Garamond" w:hAnsi="Garamond" w:cs="Arial"/>
          <w:sz w:val="24"/>
          <w:szCs w:val="24"/>
        </w:rPr>
        <w:t xml:space="preserve">-se </w:t>
      </w:r>
      <w:r w:rsidR="009B7DC1" w:rsidRPr="003A1174">
        <w:rPr>
          <w:rFonts w:ascii="Garamond" w:hAnsi="Garamond" w:cs="Arial"/>
          <w:sz w:val="24"/>
          <w:szCs w:val="24"/>
        </w:rPr>
        <w:t xml:space="preserve">as </w:t>
      </w:r>
      <w:r w:rsidR="006F7276" w:rsidRPr="003A1174">
        <w:rPr>
          <w:rFonts w:ascii="Garamond" w:hAnsi="Garamond" w:cs="Arial"/>
          <w:sz w:val="24"/>
          <w:szCs w:val="24"/>
        </w:rPr>
        <w:t>seguintes</w:t>
      </w:r>
      <w:r w:rsidR="009B7DC1" w:rsidRPr="003A1174">
        <w:rPr>
          <w:rFonts w:ascii="Garamond" w:hAnsi="Garamond" w:cs="Arial"/>
          <w:sz w:val="24"/>
          <w:szCs w:val="24"/>
        </w:rPr>
        <w:t>:</w:t>
      </w:r>
    </w:p>
    <w:p w:rsidR="009B7DC1" w:rsidRPr="003A1174" w:rsidRDefault="009B7DC1" w:rsidP="008719D4">
      <w:pPr>
        <w:spacing w:after="0" w:line="240" w:lineRule="auto"/>
        <w:jc w:val="both"/>
        <w:rPr>
          <w:rFonts w:ascii="Garamond" w:hAnsi="Garamond" w:cs="Arial"/>
          <w:sz w:val="24"/>
          <w:szCs w:val="24"/>
        </w:rPr>
      </w:pPr>
    </w:p>
    <w:p w:rsidR="009B7DC1" w:rsidRPr="003A1174" w:rsidRDefault="005275B0" w:rsidP="005275B0">
      <w:pPr>
        <w:pStyle w:val="Prrafodelista"/>
        <w:numPr>
          <w:ilvl w:val="0"/>
          <w:numId w:val="7"/>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Custódia de menores, que implicaria </w:t>
      </w:r>
      <w:r w:rsidR="009B7DC1" w:rsidRPr="003A1174">
        <w:rPr>
          <w:rFonts w:ascii="Garamond" w:hAnsi="Garamond" w:cs="Arial"/>
          <w:color w:val="auto"/>
          <w:sz w:val="24"/>
          <w:szCs w:val="24"/>
          <w:lang w:val="pt-PT"/>
        </w:rPr>
        <w:t xml:space="preserve">a </w:t>
      </w:r>
      <w:r w:rsidR="008612FC" w:rsidRPr="003A1174">
        <w:rPr>
          <w:rFonts w:ascii="Garamond" w:hAnsi="Garamond" w:cs="Arial"/>
          <w:color w:val="auto"/>
          <w:sz w:val="24"/>
          <w:szCs w:val="24"/>
          <w:lang w:val="pt-PT"/>
        </w:rPr>
        <w:t>suspensão</w:t>
      </w:r>
      <w:r w:rsidR="009B7DC1" w:rsidRPr="003A1174">
        <w:rPr>
          <w:rFonts w:ascii="Garamond" w:hAnsi="Garamond" w:cs="Arial"/>
          <w:color w:val="auto"/>
          <w:sz w:val="24"/>
          <w:szCs w:val="24"/>
          <w:lang w:val="pt-PT"/>
        </w:rPr>
        <w:t xml:space="preserve"> </w:t>
      </w:r>
      <w:r w:rsidR="00E34DB3" w:rsidRPr="003A1174">
        <w:rPr>
          <w:rFonts w:ascii="Garamond" w:hAnsi="Garamond" w:cs="Arial"/>
          <w:color w:val="auto"/>
          <w:sz w:val="24"/>
          <w:szCs w:val="24"/>
          <w:lang w:val="pt-PT"/>
        </w:rPr>
        <w:t>temporária</w:t>
      </w:r>
      <w:r w:rsidR="009B7DC1"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073FB7" w:rsidRPr="003A1174">
        <w:rPr>
          <w:rFonts w:ascii="Garamond" w:hAnsi="Garamond" w:cs="Arial"/>
          <w:color w:val="auto"/>
          <w:sz w:val="24"/>
          <w:szCs w:val="24"/>
          <w:lang w:val="pt-PT"/>
        </w:rPr>
        <w:t>regime</w:t>
      </w:r>
      <w:r w:rsidR="009B7DC1" w:rsidRPr="003A1174">
        <w:rPr>
          <w:rFonts w:ascii="Garamond" w:hAnsi="Garamond" w:cs="Arial"/>
          <w:color w:val="auto"/>
          <w:sz w:val="24"/>
          <w:szCs w:val="24"/>
          <w:lang w:val="pt-PT"/>
        </w:rPr>
        <w:t xml:space="preserve"> de visitas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convivê</w:t>
      </w:r>
      <w:r w:rsidR="009B7DC1" w:rsidRPr="003A1174">
        <w:rPr>
          <w:rFonts w:ascii="Garamond" w:hAnsi="Garamond" w:cs="Arial"/>
          <w:color w:val="auto"/>
          <w:sz w:val="24"/>
          <w:szCs w:val="24"/>
          <w:lang w:val="pt-PT"/>
        </w:rPr>
        <w:t>ncia co</w:t>
      </w:r>
      <w:r w:rsidRPr="003A1174">
        <w:rPr>
          <w:rFonts w:ascii="Garamond" w:hAnsi="Garamond" w:cs="Arial"/>
          <w:color w:val="auto"/>
          <w:sz w:val="24"/>
          <w:szCs w:val="24"/>
          <w:lang w:val="pt-PT"/>
        </w:rPr>
        <w:t>m os se</w:t>
      </w:r>
      <w:r w:rsidR="009B7DC1" w:rsidRPr="003A1174">
        <w:rPr>
          <w:rFonts w:ascii="Garamond" w:hAnsi="Garamond" w:cs="Arial"/>
          <w:color w:val="auto"/>
          <w:sz w:val="24"/>
          <w:szCs w:val="24"/>
          <w:lang w:val="pt-PT"/>
        </w:rPr>
        <w:t xml:space="preserve">us </w:t>
      </w:r>
      <w:r w:rsidR="006D4D0B" w:rsidRPr="003A1174">
        <w:rPr>
          <w:rFonts w:ascii="Garamond" w:hAnsi="Garamond" w:cs="Arial"/>
          <w:color w:val="auto"/>
          <w:sz w:val="24"/>
          <w:szCs w:val="24"/>
          <w:lang w:val="pt-PT"/>
        </w:rPr>
        <w:t>descendente</w:t>
      </w:r>
      <w:r w:rsidR="009B7DC1" w:rsidRPr="003A1174">
        <w:rPr>
          <w:rFonts w:ascii="Garamond" w:hAnsi="Garamond" w:cs="Arial"/>
          <w:color w:val="auto"/>
          <w:sz w:val="24"/>
          <w:szCs w:val="24"/>
          <w:lang w:val="pt-PT"/>
        </w:rPr>
        <w:t xml:space="preserve">s, </w:t>
      </w:r>
      <w:r w:rsidR="00863197" w:rsidRPr="003A1174">
        <w:rPr>
          <w:rFonts w:ascii="Garamond" w:hAnsi="Garamond" w:cs="Arial"/>
          <w:color w:val="auto"/>
          <w:sz w:val="24"/>
          <w:szCs w:val="24"/>
          <w:lang w:val="pt-PT"/>
        </w:rPr>
        <w:t>quando</w:t>
      </w:r>
      <w:r w:rsidRPr="003A1174">
        <w:rPr>
          <w:rFonts w:ascii="Garamond" w:hAnsi="Garamond" w:cs="Arial"/>
          <w:color w:val="auto"/>
          <w:sz w:val="24"/>
          <w:szCs w:val="24"/>
          <w:lang w:val="pt-PT"/>
        </w:rPr>
        <w:t xml:space="preserve"> </w:t>
      </w:r>
      <w:r w:rsidR="009B7DC1"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B7DC1" w:rsidRPr="003A1174">
        <w:rPr>
          <w:rFonts w:ascii="Garamond" w:hAnsi="Garamond" w:cs="Arial"/>
          <w:color w:val="auto"/>
          <w:sz w:val="24"/>
          <w:szCs w:val="24"/>
          <w:lang w:val="pt-PT"/>
        </w:rPr>
        <w:t xml:space="preserve"> se </w:t>
      </w:r>
      <w:r w:rsidR="006D4D0B" w:rsidRPr="003A1174">
        <w:rPr>
          <w:rFonts w:ascii="Garamond" w:hAnsi="Garamond" w:cs="Arial"/>
          <w:color w:val="auto"/>
          <w:sz w:val="24"/>
          <w:szCs w:val="24"/>
          <w:lang w:val="pt-PT"/>
        </w:rPr>
        <w:t>encontr</w:t>
      </w:r>
      <w:r w:rsidRPr="003A1174">
        <w:rPr>
          <w:rFonts w:ascii="Garamond" w:hAnsi="Garamond" w:cs="Arial"/>
          <w:color w:val="auto"/>
          <w:sz w:val="24"/>
          <w:szCs w:val="24"/>
          <w:lang w:val="pt-PT"/>
        </w:rPr>
        <w:t xml:space="preserve">ar num </w:t>
      </w:r>
      <w:r w:rsidR="00B936A7" w:rsidRPr="003A1174">
        <w:rPr>
          <w:rFonts w:ascii="Garamond" w:hAnsi="Garamond" w:cs="Arial"/>
          <w:color w:val="auto"/>
          <w:sz w:val="24"/>
          <w:szCs w:val="24"/>
          <w:lang w:val="pt-PT"/>
        </w:rPr>
        <w:t>abrigo</w:t>
      </w:r>
      <w:r w:rsidR="009B7DC1" w:rsidRPr="003A1174">
        <w:rPr>
          <w:rFonts w:ascii="Garamond" w:hAnsi="Garamond" w:cs="Arial"/>
          <w:color w:val="auto"/>
          <w:sz w:val="24"/>
          <w:szCs w:val="24"/>
          <w:lang w:val="pt-PT"/>
        </w:rPr>
        <w:t>.</w:t>
      </w:r>
    </w:p>
    <w:p w:rsidR="00030174" w:rsidRPr="003A1174" w:rsidRDefault="00861B8A" w:rsidP="005275B0">
      <w:pPr>
        <w:pStyle w:val="Prrafodelista"/>
        <w:numPr>
          <w:ilvl w:val="0"/>
          <w:numId w:val="7"/>
        </w:numPr>
        <w:spacing w:after="0" w:line="240" w:lineRule="auto"/>
        <w:jc w:val="both"/>
        <w:rPr>
          <w:rFonts w:ascii="Garamond" w:hAnsi="Garamond" w:cs="Arial"/>
          <w:sz w:val="24"/>
          <w:szCs w:val="24"/>
          <w:lang w:val="pt-PT"/>
        </w:rPr>
      </w:pPr>
      <w:r>
        <w:rPr>
          <w:rFonts w:ascii="Garamond" w:hAnsi="Garamond" w:cs="Arial"/>
          <w:color w:val="auto"/>
          <w:sz w:val="24"/>
          <w:szCs w:val="24"/>
          <w:lang w:val="pt-PT"/>
        </w:rPr>
        <w:t>Apreensão</w:t>
      </w:r>
      <w:r w:rsidR="009B7DC1" w:rsidRPr="003A1174">
        <w:rPr>
          <w:rFonts w:ascii="Garamond" w:hAnsi="Garamond" w:cs="Arial"/>
          <w:color w:val="auto"/>
          <w:sz w:val="24"/>
          <w:szCs w:val="24"/>
          <w:lang w:val="pt-PT"/>
        </w:rPr>
        <w:t xml:space="preserve"> de </w:t>
      </w:r>
      <w:r w:rsidR="00023AD6" w:rsidRPr="003A1174">
        <w:rPr>
          <w:rFonts w:ascii="Garamond" w:hAnsi="Garamond" w:cs="Arial"/>
          <w:color w:val="auto"/>
          <w:sz w:val="24"/>
          <w:szCs w:val="24"/>
          <w:lang w:val="pt-PT"/>
        </w:rPr>
        <w:t>bens</w:t>
      </w:r>
      <w:r w:rsidR="009B7DC1" w:rsidRPr="003A1174">
        <w:rPr>
          <w:rFonts w:ascii="Garamond" w:hAnsi="Garamond" w:cs="Arial"/>
          <w:color w:val="auto"/>
          <w:sz w:val="24"/>
          <w:szCs w:val="24"/>
          <w:lang w:val="pt-PT"/>
        </w:rPr>
        <w:t xml:space="preserve"> suficientes </w:t>
      </w:r>
      <w:r w:rsidR="008A3DA2" w:rsidRPr="003A1174">
        <w:rPr>
          <w:rFonts w:ascii="Garamond" w:hAnsi="Garamond" w:cs="Arial"/>
          <w:color w:val="auto"/>
          <w:sz w:val="24"/>
          <w:szCs w:val="24"/>
          <w:lang w:val="pt-PT"/>
        </w:rPr>
        <w:t>do</w:t>
      </w:r>
      <w:r w:rsidR="009B7DC1"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B7DC1" w:rsidRPr="003A1174">
        <w:rPr>
          <w:rFonts w:ascii="Garamond" w:hAnsi="Garamond" w:cs="Arial"/>
          <w:color w:val="auto"/>
          <w:sz w:val="24"/>
          <w:szCs w:val="24"/>
          <w:lang w:val="pt-PT"/>
        </w:rPr>
        <w:t xml:space="preserve"> para </w:t>
      </w:r>
      <w:r w:rsidR="00AF192F" w:rsidRPr="003A1174">
        <w:rPr>
          <w:rFonts w:ascii="Garamond" w:hAnsi="Garamond" w:cs="Arial"/>
          <w:color w:val="auto"/>
          <w:sz w:val="24"/>
          <w:szCs w:val="24"/>
          <w:lang w:val="pt-PT"/>
        </w:rPr>
        <w:t>garantir</w:t>
      </w:r>
      <w:r w:rsidR="009B7DC1" w:rsidRPr="003A1174">
        <w:rPr>
          <w:rFonts w:ascii="Garamond" w:hAnsi="Garamond" w:cs="Arial"/>
          <w:color w:val="auto"/>
          <w:sz w:val="24"/>
          <w:szCs w:val="24"/>
          <w:lang w:val="pt-PT"/>
        </w:rPr>
        <w:t xml:space="preserve"> </w:t>
      </w:r>
      <w:r w:rsidR="005275B0" w:rsidRPr="003A1174">
        <w:rPr>
          <w:rFonts w:ascii="Garamond" w:hAnsi="Garamond" w:cs="Arial"/>
          <w:color w:val="auto"/>
          <w:sz w:val="24"/>
          <w:szCs w:val="24"/>
          <w:lang w:val="pt-PT"/>
        </w:rPr>
        <w:t>o</w:t>
      </w:r>
      <w:r w:rsidR="009B7DC1" w:rsidRPr="003A1174">
        <w:rPr>
          <w:rFonts w:ascii="Garamond" w:hAnsi="Garamond" w:cs="Arial"/>
          <w:color w:val="auto"/>
          <w:sz w:val="24"/>
          <w:szCs w:val="24"/>
          <w:lang w:val="pt-PT"/>
        </w:rPr>
        <w:t xml:space="preserve"> </w:t>
      </w:r>
      <w:r w:rsidR="00D96FD0" w:rsidRPr="003A1174">
        <w:rPr>
          <w:rFonts w:ascii="Garamond" w:hAnsi="Garamond" w:cs="Arial"/>
          <w:color w:val="auto"/>
          <w:sz w:val="24"/>
          <w:szCs w:val="24"/>
          <w:lang w:val="pt-PT"/>
        </w:rPr>
        <w:t>cumprimento</w:t>
      </w:r>
      <w:r w:rsidR="009B7DC1" w:rsidRPr="003A1174">
        <w:rPr>
          <w:rFonts w:ascii="Garamond" w:hAnsi="Garamond" w:cs="Arial"/>
          <w:color w:val="auto"/>
          <w:sz w:val="24"/>
          <w:szCs w:val="24"/>
          <w:lang w:val="pt-PT"/>
        </w:rPr>
        <w:t xml:space="preserve"> d</w:t>
      </w:r>
      <w:r w:rsidR="005275B0" w:rsidRPr="003A1174">
        <w:rPr>
          <w:rFonts w:ascii="Garamond" w:hAnsi="Garamond" w:cs="Arial"/>
          <w:color w:val="auto"/>
          <w:sz w:val="24"/>
          <w:szCs w:val="24"/>
          <w:lang w:val="pt-PT"/>
        </w:rPr>
        <w:t>a</w:t>
      </w:r>
      <w:r w:rsidR="009B7DC1"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obrigação</w:t>
      </w:r>
      <w:r w:rsidR="005275B0" w:rsidRPr="003A1174">
        <w:rPr>
          <w:rFonts w:ascii="Garamond" w:hAnsi="Garamond" w:cs="Arial"/>
          <w:color w:val="auto"/>
          <w:sz w:val="24"/>
          <w:szCs w:val="24"/>
          <w:lang w:val="pt-PT"/>
        </w:rPr>
        <w:t xml:space="preserve"> alimentar</w:t>
      </w:r>
      <w:r w:rsidR="009B7DC1" w:rsidRPr="003A1174">
        <w:rPr>
          <w:rFonts w:ascii="Garamond" w:hAnsi="Garamond" w:cs="Arial"/>
          <w:color w:val="auto"/>
          <w:sz w:val="24"/>
          <w:szCs w:val="24"/>
          <w:lang w:val="pt-PT"/>
        </w:rPr>
        <w:t>.</w:t>
      </w:r>
    </w:p>
    <w:p w:rsidR="009B7DC1" w:rsidRPr="003A1174" w:rsidRDefault="0017447A" w:rsidP="005275B0">
      <w:pPr>
        <w:pStyle w:val="Prrafodelista"/>
        <w:numPr>
          <w:ilvl w:val="0"/>
          <w:numId w:val="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Outras</w:t>
      </w:r>
      <w:r w:rsidR="009B7DC1" w:rsidRPr="003A1174">
        <w:rPr>
          <w:rFonts w:ascii="Garamond" w:hAnsi="Garamond" w:cs="Arial"/>
          <w:sz w:val="24"/>
          <w:szCs w:val="24"/>
          <w:lang w:val="pt-PT"/>
        </w:rPr>
        <w:t xml:space="preserve"> </w:t>
      </w:r>
      <w:r w:rsidR="00861B8A">
        <w:rPr>
          <w:rFonts w:ascii="Garamond" w:hAnsi="Garamond" w:cs="Arial"/>
          <w:sz w:val="24"/>
          <w:szCs w:val="24"/>
          <w:lang w:val="pt-PT"/>
        </w:rPr>
        <w:t xml:space="preserve">medidas </w:t>
      </w:r>
      <w:r w:rsidR="00B14AA6" w:rsidRPr="003A1174">
        <w:rPr>
          <w:rFonts w:ascii="Garamond" w:hAnsi="Garamond" w:cs="Arial"/>
          <w:sz w:val="24"/>
          <w:szCs w:val="24"/>
          <w:lang w:val="pt-PT"/>
        </w:rPr>
        <w:t>contidas</w:t>
      </w:r>
      <w:r w:rsidR="009B7DC1" w:rsidRPr="003A1174">
        <w:rPr>
          <w:rFonts w:ascii="Garamond" w:hAnsi="Garamond" w:cs="Arial"/>
          <w:sz w:val="24"/>
          <w:szCs w:val="24"/>
          <w:lang w:val="pt-PT"/>
        </w:rPr>
        <w:t xml:space="preserve"> </w:t>
      </w:r>
      <w:r w:rsidR="005275B0" w:rsidRPr="003A1174">
        <w:rPr>
          <w:rFonts w:ascii="Garamond" w:hAnsi="Garamond" w:cs="Arial"/>
          <w:sz w:val="24"/>
          <w:szCs w:val="24"/>
          <w:lang w:val="pt-PT"/>
        </w:rPr>
        <w:t>n</w:t>
      </w:r>
      <w:r w:rsidR="009B7DC1" w:rsidRPr="003A1174">
        <w:rPr>
          <w:rFonts w:ascii="Garamond" w:hAnsi="Garamond" w:cs="Arial"/>
          <w:sz w:val="24"/>
          <w:szCs w:val="24"/>
          <w:lang w:val="pt-PT"/>
        </w:rPr>
        <w:t xml:space="preserve">a </w:t>
      </w:r>
      <w:r w:rsidR="002C7510" w:rsidRPr="003A1174">
        <w:rPr>
          <w:rFonts w:ascii="Garamond" w:hAnsi="Garamond" w:cs="Arial"/>
          <w:sz w:val="24"/>
          <w:szCs w:val="24"/>
          <w:lang w:val="pt-PT"/>
        </w:rPr>
        <w:t>legislação</w:t>
      </w:r>
      <w:r w:rsidR="009B7DC1" w:rsidRPr="003A1174">
        <w:rPr>
          <w:rFonts w:ascii="Garamond" w:hAnsi="Garamond" w:cs="Arial"/>
          <w:sz w:val="24"/>
          <w:szCs w:val="24"/>
          <w:lang w:val="pt-PT"/>
        </w:rPr>
        <w:t xml:space="preserve"> civil.</w:t>
      </w:r>
    </w:p>
    <w:p w:rsidR="009B7DC1" w:rsidRPr="003A1174" w:rsidRDefault="009B7DC1" w:rsidP="005275B0">
      <w:pPr>
        <w:spacing w:after="0" w:line="240" w:lineRule="auto"/>
        <w:ind w:left="-1134" w:hanging="540"/>
        <w:jc w:val="both"/>
        <w:rPr>
          <w:rFonts w:ascii="Garamond" w:hAnsi="Garamond" w:cs="Arial"/>
          <w:sz w:val="24"/>
          <w:szCs w:val="24"/>
        </w:rPr>
      </w:pPr>
    </w:p>
    <w:p w:rsidR="009B7DC1" w:rsidRPr="003A1174" w:rsidRDefault="009B7DC1" w:rsidP="005275B0">
      <w:pPr>
        <w:tabs>
          <w:tab w:val="left" w:pos="2625"/>
        </w:tabs>
        <w:spacing w:before="240" w:after="0" w:line="240" w:lineRule="auto"/>
        <w:jc w:val="both"/>
        <w:rPr>
          <w:rFonts w:ascii="Garamond" w:hAnsi="Garamond" w:cs="Arial"/>
          <w:sz w:val="24"/>
          <w:szCs w:val="24"/>
        </w:rPr>
      </w:pPr>
      <w:r w:rsidRPr="003A1174">
        <w:rPr>
          <w:rFonts w:ascii="Garamond" w:hAnsi="Garamond" w:cs="Arial"/>
          <w:sz w:val="24"/>
          <w:szCs w:val="24"/>
        </w:rPr>
        <w:t xml:space="preserve">Por último, </w:t>
      </w:r>
      <w:r w:rsidR="005275B0" w:rsidRPr="003A1174">
        <w:rPr>
          <w:rFonts w:ascii="Garamond" w:hAnsi="Garamond" w:cs="Arial"/>
          <w:sz w:val="24"/>
          <w:szCs w:val="24"/>
        </w:rPr>
        <w:t xml:space="preserve">referimos o </w:t>
      </w:r>
      <w:r w:rsidR="002D1021" w:rsidRPr="003A1174">
        <w:rPr>
          <w:rFonts w:ascii="Garamond" w:hAnsi="Garamond" w:cs="Arial"/>
          <w:sz w:val="24"/>
          <w:szCs w:val="24"/>
        </w:rPr>
        <w:t>estabelecimento</w:t>
      </w:r>
      <w:r w:rsidRPr="003A1174">
        <w:rPr>
          <w:rFonts w:ascii="Garamond" w:hAnsi="Garamond" w:cs="Arial"/>
          <w:sz w:val="24"/>
          <w:szCs w:val="24"/>
        </w:rPr>
        <w:t xml:space="preserve"> de </w:t>
      </w:r>
      <w:r w:rsidR="00861B8A">
        <w:rPr>
          <w:rFonts w:ascii="Garamond" w:hAnsi="Garamond" w:cs="Arial"/>
          <w:sz w:val="24"/>
          <w:szCs w:val="24"/>
        </w:rPr>
        <w:t xml:space="preserve">medidas </w:t>
      </w:r>
      <w:r w:rsidRPr="003A1174">
        <w:rPr>
          <w:rFonts w:ascii="Garamond" w:hAnsi="Garamond" w:cs="Arial"/>
          <w:sz w:val="24"/>
          <w:szCs w:val="24"/>
        </w:rPr>
        <w:t xml:space="preserve">de </w:t>
      </w:r>
      <w:r w:rsidR="00886D6A" w:rsidRPr="003A1174">
        <w:rPr>
          <w:rFonts w:ascii="Garamond" w:hAnsi="Garamond" w:cs="Arial"/>
          <w:sz w:val="24"/>
          <w:szCs w:val="24"/>
        </w:rPr>
        <w:t>proteção</w:t>
      </w:r>
      <w:r w:rsidRPr="003A1174">
        <w:rPr>
          <w:rFonts w:ascii="Garamond" w:hAnsi="Garamond" w:cs="Arial"/>
          <w:sz w:val="24"/>
          <w:szCs w:val="24"/>
        </w:rPr>
        <w:t xml:space="preserve"> para </w:t>
      </w:r>
      <w:r w:rsidR="003F012B" w:rsidRPr="003A1174">
        <w:rPr>
          <w:rFonts w:ascii="Garamond" w:hAnsi="Garamond" w:cs="Arial"/>
          <w:sz w:val="24"/>
          <w:szCs w:val="24"/>
        </w:rPr>
        <w:t>vítima</w:t>
      </w:r>
      <w:r w:rsidRPr="003A1174">
        <w:rPr>
          <w:rFonts w:ascii="Garamond" w:hAnsi="Garamond" w:cs="Arial"/>
          <w:sz w:val="24"/>
          <w:szCs w:val="24"/>
        </w:rPr>
        <w:t xml:space="preserve">s menores de </w:t>
      </w:r>
      <w:r w:rsidR="007342D9" w:rsidRPr="003A1174">
        <w:rPr>
          <w:rFonts w:ascii="Garamond" w:hAnsi="Garamond" w:cs="Arial"/>
          <w:sz w:val="24"/>
          <w:szCs w:val="24"/>
        </w:rPr>
        <w:t>idade</w:t>
      </w:r>
      <w:r w:rsidRPr="003A1174">
        <w:rPr>
          <w:rFonts w:ascii="Garamond" w:hAnsi="Garamond" w:cs="Arial"/>
          <w:sz w:val="24"/>
          <w:szCs w:val="24"/>
        </w:rPr>
        <w:t xml:space="preserve"> que</w:t>
      </w:r>
      <w:r w:rsidR="007407BD" w:rsidRPr="003A1174">
        <w:rPr>
          <w:rFonts w:ascii="Garamond" w:hAnsi="Garamond" w:cs="Arial"/>
          <w:sz w:val="24"/>
          <w:szCs w:val="24"/>
        </w:rPr>
        <w:t>podem</w:t>
      </w:r>
      <w:r w:rsidRPr="003A1174">
        <w:rPr>
          <w:rFonts w:ascii="Garamond" w:hAnsi="Garamond" w:cs="Arial"/>
          <w:sz w:val="24"/>
          <w:szCs w:val="24"/>
        </w:rPr>
        <w:t xml:space="preserve"> ser </w:t>
      </w:r>
      <w:r w:rsidR="005275B0" w:rsidRPr="003A1174">
        <w:rPr>
          <w:rFonts w:ascii="Garamond" w:hAnsi="Garamond" w:cs="Arial"/>
          <w:sz w:val="24"/>
          <w:szCs w:val="24"/>
        </w:rPr>
        <w:t>proferidas</w:t>
      </w:r>
      <w:r w:rsidR="00861B8A">
        <w:rPr>
          <w:rFonts w:ascii="Garamond" w:hAnsi="Garamond" w:cs="Arial"/>
          <w:sz w:val="24"/>
          <w:szCs w:val="24"/>
        </w:rPr>
        <w:t xml:space="preserve"> ofi</w:t>
      </w:r>
      <w:r w:rsidR="00521F96">
        <w:rPr>
          <w:rFonts w:ascii="Garamond" w:hAnsi="Garamond" w:cs="Arial"/>
          <w:sz w:val="24"/>
          <w:szCs w:val="24"/>
        </w:rPr>
        <w:t>ci</w:t>
      </w:r>
      <w:r w:rsidR="00861B8A">
        <w:rPr>
          <w:rFonts w:ascii="Garamond" w:hAnsi="Garamond" w:cs="Arial"/>
          <w:sz w:val="24"/>
          <w:szCs w:val="24"/>
        </w:rPr>
        <w:t>osamente</w:t>
      </w:r>
      <w:r w:rsidR="005275B0" w:rsidRPr="003A1174">
        <w:rPr>
          <w:rFonts w:ascii="Garamond" w:hAnsi="Garamond" w:cs="Arial"/>
          <w:sz w:val="24"/>
          <w:szCs w:val="24"/>
        </w:rPr>
        <w:t xml:space="preserve"> pelo </w:t>
      </w:r>
      <w:r w:rsidR="00D77C19" w:rsidRPr="003A1174">
        <w:rPr>
          <w:rFonts w:ascii="Garamond" w:hAnsi="Garamond" w:cs="Arial"/>
          <w:sz w:val="24"/>
          <w:szCs w:val="24"/>
        </w:rPr>
        <w:t>Ministério</w:t>
      </w:r>
      <w:r w:rsidRPr="003A1174">
        <w:rPr>
          <w:rFonts w:ascii="Garamond" w:hAnsi="Garamond" w:cs="Arial"/>
          <w:sz w:val="24"/>
          <w:szCs w:val="24"/>
        </w:rPr>
        <w:t xml:space="preserve"> Público.</w:t>
      </w:r>
    </w:p>
    <w:p w:rsidR="009B7DC1" w:rsidRPr="003A1174" w:rsidRDefault="00D96FD0"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5275B0" w:rsidRPr="003A1174">
        <w:rPr>
          <w:rFonts w:ascii="Garamond" w:hAnsi="Garamond" w:cs="Arial"/>
          <w:color w:val="auto"/>
          <w:sz w:val="24"/>
          <w:szCs w:val="24"/>
        </w:rPr>
        <w:t xml:space="preserve"> d</w:t>
      </w:r>
      <w:r w:rsidR="009B7DC1" w:rsidRPr="003A1174">
        <w:rPr>
          <w:rFonts w:ascii="Garamond" w:hAnsi="Garamond" w:cs="Arial"/>
          <w:color w:val="auto"/>
          <w:sz w:val="24"/>
          <w:szCs w:val="24"/>
        </w:rPr>
        <w:t>a</w:t>
      </w:r>
      <w:r w:rsidR="005275B0" w:rsidRPr="003A1174">
        <w:rPr>
          <w:rFonts w:ascii="Garamond" w:hAnsi="Garamond" w:cs="Arial"/>
          <w:color w:val="auto"/>
          <w:sz w:val="24"/>
          <w:szCs w:val="24"/>
        </w:rPr>
        <w:t>s</w:t>
      </w:r>
      <w:r w:rsidR="009B7DC1"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9B7DC1" w:rsidRPr="003A1174">
        <w:rPr>
          <w:rFonts w:ascii="Garamond" w:hAnsi="Garamond" w:cs="Arial"/>
          <w:color w:val="auto"/>
          <w:sz w:val="24"/>
          <w:szCs w:val="24"/>
        </w:rPr>
        <w:t xml:space="preserve"> </w:t>
      </w:r>
    </w:p>
    <w:p w:rsidR="00000655" w:rsidRDefault="005275B0" w:rsidP="008719D4">
      <w:pPr>
        <w:spacing w:after="0" w:line="240" w:lineRule="auto"/>
        <w:jc w:val="both"/>
        <w:rPr>
          <w:rFonts w:ascii="Garamond" w:eastAsia="Times New Roman" w:hAnsi="Garamond" w:cs="Arial"/>
          <w:sz w:val="24"/>
          <w:szCs w:val="24"/>
          <w:lang w:eastAsia="es-MX"/>
        </w:rPr>
      </w:pPr>
      <w:r w:rsidRPr="003A1174">
        <w:rPr>
          <w:rFonts w:ascii="Garamond" w:hAnsi="Garamond" w:cs="Arial"/>
          <w:sz w:val="24"/>
          <w:szCs w:val="24"/>
        </w:rPr>
        <w:t xml:space="preserve">No que se refere ao cumprimento das </w:t>
      </w:r>
      <w:r w:rsidR="00FB76BE" w:rsidRPr="003A1174">
        <w:rPr>
          <w:rFonts w:ascii="Garamond" w:hAnsi="Garamond" w:cs="Arial"/>
          <w:sz w:val="24"/>
          <w:szCs w:val="24"/>
        </w:rPr>
        <w:t>normas</w:t>
      </w:r>
      <w:r w:rsidRPr="003A1174">
        <w:rPr>
          <w:rFonts w:ascii="Garamond" w:hAnsi="Garamond" w:cs="Arial"/>
          <w:sz w:val="24"/>
          <w:szCs w:val="24"/>
        </w:rPr>
        <w:t>,</w:t>
      </w:r>
      <w:r w:rsidR="009B7DC1" w:rsidRPr="003A1174">
        <w:rPr>
          <w:rFonts w:ascii="Garamond" w:hAnsi="Garamond" w:cs="Arial"/>
          <w:sz w:val="24"/>
          <w:szCs w:val="24"/>
        </w:rPr>
        <w:t xml:space="preserve"> especial</w:t>
      </w:r>
      <w:r w:rsidRPr="003A1174">
        <w:rPr>
          <w:rFonts w:ascii="Garamond" w:hAnsi="Garamond" w:cs="Arial"/>
          <w:sz w:val="24"/>
          <w:szCs w:val="24"/>
        </w:rPr>
        <w:t>mente</w:t>
      </w:r>
      <w:r w:rsidR="00521F96">
        <w:rPr>
          <w:rFonts w:ascii="Garamond" w:hAnsi="Garamond" w:cs="Arial"/>
          <w:sz w:val="24"/>
          <w:szCs w:val="24"/>
        </w:rPr>
        <w:t>,</w:t>
      </w:r>
      <w:r w:rsidRPr="003A1174">
        <w:rPr>
          <w:rFonts w:ascii="Garamond" w:hAnsi="Garamond" w:cs="Arial"/>
          <w:sz w:val="24"/>
          <w:szCs w:val="24"/>
        </w:rPr>
        <w:t xml:space="preserve"> no que diz </w:t>
      </w:r>
      <w:r w:rsidR="006F4B2C" w:rsidRPr="003A1174">
        <w:rPr>
          <w:rFonts w:ascii="Garamond" w:hAnsi="Garamond" w:cs="Arial"/>
          <w:sz w:val="24"/>
          <w:szCs w:val="24"/>
        </w:rPr>
        <w:t>respeito</w:t>
      </w:r>
      <w:r w:rsidR="009B7DC1" w:rsidRPr="003A1174">
        <w:rPr>
          <w:rFonts w:ascii="Garamond" w:hAnsi="Garamond" w:cs="Arial"/>
          <w:sz w:val="24"/>
          <w:szCs w:val="24"/>
        </w:rPr>
        <w:t xml:space="preserve"> a</w:t>
      </w:r>
      <w:r w:rsidRPr="003A1174">
        <w:rPr>
          <w:rFonts w:ascii="Garamond" w:hAnsi="Garamond" w:cs="Arial"/>
          <w:sz w:val="24"/>
          <w:szCs w:val="24"/>
        </w:rPr>
        <w:t>o</w:t>
      </w:r>
      <w:r w:rsidR="009B7DC1" w:rsidRPr="003A1174">
        <w:rPr>
          <w:rFonts w:ascii="Garamond" w:hAnsi="Garamond" w:cs="Arial"/>
          <w:sz w:val="24"/>
          <w:szCs w:val="24"/>
        </w:rPr>
        <w:t xml:space="preserve"> </w:t>
      </w:r>
      <w:r w:rsidR="00886D6A" w:rsidRPr="003A1174">
        <w:rPr>
          <w:rFonts w:ascii="Garamond" w:hAnsi="Garamond" w:cs="Arial"/>
          <w:sz w:val="24"/>
          <w:szCs w:val="24"/>
        </w:rPr>
        <w:t>Acesso</w:t>
      </w:r>
      <w:r w:rsidR="009B7DC1"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009B7DC1" w:rsidRPr="003A1174">
        <w:rPr>
          <w:rFonts w:ascii="Garamond" w:hAnsi="Garamond" w:cs="Arial"/>
          <w:sz w:val="24"/>
          <w:szCs w:val="24"/>
        </w:rPr>
        <w:t xml:space="preserve"> </w:t>
      </w:r>
      <w:r w:rsidR="00521F96">
        <w:rPr>
          <w:rFonts w:ascii="Garamond" w:hAnsi="Garamond" w:cs="Arial"/>
          <w:sz w:val="24"/>
          <w:szCs w:val="24"/>
        </w:rPr>
        <w:t xml:space="preserve">por parte </w:t>
      </w:r>
      <w:r w:rsidR="00497503" w:rsidRPr="003A1174">
        <w:rPr>
          <w:rFonts w:ascii="Garamond" w:hAnsi="Garamond" w:cs="Arial"/>
          <w:sz w:val="24"/>
          <w:szCs w:val="24"/>
        </w:rPr>
        <w:t>das</w:t>
      </w:r>
      <w:r w:rsidR="009B7DC1" w:rsidRPr="003A1174">
        <w:rPr>
          <w:rFonts w:ascii="Garamond" w:hAnsi="Garamond" w:cs="Arial"/>
          <w:sz w:val="24"/>
          <w:szCs w:val="24"/>
        </w:rPr>
        <w:t xml:space="preserve"> </w:t>
      </w:r>
      <w:r w:rsidR="00054EE0" w:rsidRPr="003A1174">
        <w:rPr>
          <w:rFonts w:ascii="Garamond" w:hAnsi="Garamond" w:cs="Arial"/>
          <w:sz w:val="24"/>
          <w:szCs w:val="24"/>
        </w:rPr>
        <w:t>mulheres</w:t>
      </w:r>
      <w:r w:rsidR="009B7DC1" w:rsidRPr="003A1174">
        <w:rPr>
          <w:rFonts w:ascii="Garamond" w:hAnsi="Garamond" w:cs="Arial"/>
          <w:sz w:val="24"/>
          <w:szCs w:val="24"/>
        </w:rPr>
        <w:t xml:space="preserve"> </w:t>
      </w:r>
      <w:r w:rsidR="003F012B" w:rsidRPr="003A1174">
        <w:rPr>
          <w:rFonts w:ascii="Garamond" w:hAnsi="Garamond" w:cs="Arial"/>
          <w:sz w:val="24"/>
          <w:szCs w:val="24"/>
        </w:rPr>
        <w:t>vítima</w:t>
      </w:r>
      <w:r w:rsidR="009B7DC1" w:rsidRPr="003A1174">
        <w:rPr>
          <w:rFonts w:ascii="Garamond" w:hAnsi="Garamond" w:cs="Arial"/>
          <w:sz w:val="24"/>
          <w:szCs w:val="24"/>
        </w:rPr>
        <w:t xml:space="preserve">s de </w:t>
      </w:r>
      <w:r w:rsidR="000350B1" w:rsidRPr="003A1174">
        <w:rPr>
          <w:rFonts w:ascii="Garamond" w:hAnsi="Garamond" w:cs="Arial"/>
          <w:sz w:val="24"/>
          <w:szCs w:val="24"/>
        </w:rPr>
        <w:t>violência</w:t>
      </w:r>
      <w:r w:rsidR="009B7DC1" w:rsidRPr="003A1174">
        <w:rPr>
          <w:rFonts w:ascii="Garamond" w:hAnsi="Garamond" w:cs="Arial"/>
          <w:sz w:val="24"/>
          <w:szCs w:val="24"/>
        </w:rPr>
        <w:t xml:space="preserve"> intrafamiliar, </w:t>
      </w:r>
      <w:r w:rsidR="00521F96">
        <w:rPr>
          <w:rFonts w:ascii="Garamond" w:hAnsi="Garamond" w:cs="Arial"/>
          <w:sz w:val="24"/>
          <w:szCs w:val="24"/>
        </w:rPr>
        <w:t xml:space="preserve">referenciou-se </w:t>
      </w:r>
      <w:r w:rsidR="009B7DC1" w:rsidRPr="003A1174">
        <w:rPr>
          <w:rFonts w:ascii="Garamond" w:hAnsi="Garamond" w:cs="Arial"/>
          <w:sz w:val="24"/>
          <w:szCs w:val="24"/>
        </w:rPr>
        <w:t>que</w:t>
      </w:r>
      <w:r w:rsidR="00521F96">
        <w:rPr>
          <w:rFonts w:ascii="Garamond" w:hAnsi="Garamond" w:cs="Arial"/>
          <w:sz w:val="24"/>
          <w:szCs w:val="24"/>
        </w:rPr>
        <w:t>,</w:t>
      </w:r>
      <w:r w:rsidR="009B7DC1" w:rsidRPr="003A1174">
        <w:rPr>
          <w:rFonts w:ascii="Garamond" w:hAnsi="Garamond" w:cs="Arial"/>
          <w:sz w:val="24"/>
          <w:szCs w:val="24"/>
        </w:rPr>
        <w:t xml:space="preserve"> </w:t>
      </w:r>
      <w:r w:rsidRPr="003A1174">
        <w:rPr>
          <w:rFonts w:ascii="Garamond" w:hAnsi="Garamond" w:cs="Arial"/>
          <w:sz w:val="24"/>
          <w:szCs w:val="24"/>
        </w:rPr>
        <w:t>no México</w:t>
      </w:r>
      <w:r w:rsidR="00521F96">
        <w:rPr>
          <w:rFonts w:ascii="Garamond" w:hAnsi="Garamond" w:cs="Arial"/>
          <w:sz w:val="24"/>
          <w:szCs w:val="24"/>
        </w:rPr>
        <w:t>,</w:t>
      </w:r>
      <w:r w:rsidRPr="003A1174">
        <w:rPr>
          <w:rFonts w:ascii="Garamond" w:hAnsi="Garamond" w:cs="Arial"/>
          <w:sz w:val="24"/>
          <w:szCs w:val="24"/>
        </w:rPr>
        <w:t xml:space="preserve"> </w:t>
      </w:r>
      <w:r w:rsidR="009B7DC1" w:rsidRPr="003A1174">
        <w:rPr>
          <w:rFonts w:ascii="Garamond" w:hAnsi="Garamond" w:cs="Arial"/>
          <w:sz w:val="24"/>
          <w:szCs w:val="24"/>
        </w:rPr>
        <w:t>u</w:t>
      </w:r>
      <w:r w:rsidRPr="003A1174">
        <w:rPr>
          <w:rFonts w:ascii="Garamond" w:hAnsi="Garamond" w:cs="Arial"/>
          <w:sz w:val="24"/>
          <w:szCs w:val="24"/>
        </w:rPr>
        <w:t>m</w:t>
      </w:r>
      <w:r w:rsidR="009B7DC1"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problemas mai</w:t>
      </w:r>
      <w:r w:rsidR="009B7DC1" w:rsidRPr="003A1174">
        <w:rPr>
          <w:rFonts w:ascii="Garamond" w:hAnsi="Garamond" w:cs="Arial"/>
          <w:sz w:val="24"/>
          <w:szCs w:val="24"/>
        </w:rPr>
        <w:t xml:space="preserve">s significativos </w:t>
      </w:r>
      <w:r w:rsidRPr="003A1174">
        <w:rPr>
          <w:rFonts w:ascii="Garamond" w:hAnsi="Garamond" w:cs="Arial"/>
          <w:sz w:val="24"/>
          <w:szCs w:val="24"/>
        </w:rPr>
        <w:t xml:space="preserve">tem sido </w:t>
      </w:r>
      <w:r w:rsidR="00521F96">
        <w:rPr>
          <w:rFonts w:ascii="Garamond" w:hAnsi="Garamond" w:cs="Arial"/>
          <w:sz w:val="24"/>
          <w:szCs w:val="24"/>
        </w:rPr>
        <w:t xml:space="preserve">o desconhecimento por parte das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886D6A" w:rsidRPr="003A1174">
        <w:rPr>
          <w:rFonts w:ascii="Garamond" w:hAnsi="Garamond" w:cs="Arial"/>
          <w:sz w:val="24"/>
          <w:szCs w:val="24"/>
        </w:rPr>
        <w:t>Proteção</w:t>
      </w:r>
      <w:r w:rsidR="009B7DC1" w:rsidRPr="003A1174">
        <w:rPr>
          <w:rFonts w:ascii="Garamond" w:hAnsi="Garamond" w:cs="Arial"/>
          <w:sz w:val="24"/>
          <w:szCs w:val="24"/>
        </w:rPr>
        <w:t>, particularmente</w:t>
      </w:r>
      <w:r w:rsidR="00521F96">
        <w:rPr>
          <w:rFonts w:ascii="Garamond" w:hAnsi="Garamond" w:cs="Arial"/>
          <w:sz w:val="24"/>
          <w:szCs w:val="24"/>
        </w:rPr>
        <w:t>,</w:t>
      </w:r>
      <w:r w:rsidR="009B7DC1" w:rsidRPr="003A1174">
        <w:rPr>
          <w:rFonts w:ascii="Garamond" w:hAnsi="Garamond" w:cs="Arial"/>
          <w:sz w:val="24"/>
          <w:szCs w:val="24"/>
        </w:rPr>
        <w:t xml:space="preserve"> </w:t>
      </w:r>
      <w:r w:rsidRPr="003A1174">
        <w:rPr>
          <w:rFonts w:ascii="Garamond" w:hAnsi="Garamond" w:cs="Arial"/>
          <w:sz w:val="24"/>
          <w:szCs w:val="24"/>
        </w:rPr>
        <w:t xml:space="preserve">no que toca à </w:t>
      </w:r>
      <w:r w:rsidR="00C86C58" w:rsidRPr="003A1174">
        <w:rPr>
          <w:rFonts w:ascii="Garamond" w:hAnsi="Garamond" w:cs="Arial"/>
          <w:sz w:val="24"/>
          <w:szCs w:val="24"/>
        </w:rPr>
        <w:t>competência</w:t>
      </w:r>
      <w:r w:rsidR="009B7DC1" w:rsidRPr="003A1174">
        <w:rPr>
          <w:rFonts w:ascii="Garamond" w:hAnsi="Garamond" w:cs="Arial"/>
          <w:sz w:val="24"/>
          <w:szCs w:val="24"/>
        </w:rPr>
        <w:t xml:space="preserve"> </w:t>
      </w:r>
      <w:r w:rsidR="00497503" w:rsidRPr="003A1174">
        <w:rPr>
          <w:rFonts w:ascii="Garamond" w:hAnsi="Garamond" w:cs="Arial"/>
          <w:sz w:val="24"/>
          <w:szCs w:val="24"/>
        </w:rPr>
        <w:t>das</w:t>
      </w:r>
      <w:r w:rsidR="009B7DC1" w:rsidRPr="003A1174">
        <w:rPr>
          <w:rFonts w:ascii="Garamond" w:hAnsi="Garamond" w:cs="Arial"/>
          <w:sz w:val="24"/>
          <w:szCs w:val="24"/>
        </w:rPr>
        <w:t xml:space="preserve"> autoridades. Tan</w:t>
      </w:r>
      <w:r w:rsidRPr="003A1174">
        <w:rPr>
          <w:rFonts w:ascii="Garamond" w:hAnsi="Garamond" w:cs="Arial"/>
          <w:sz w:val="24"/>
          <w:szCs w:val="24"/>
        </w:rPr>
        <w:t xml:space="preserve">to é assim </w:t>
      </w:r>
      <w:r w:rsidR="009B7DC1" w:rsidRPr="003A1174">
        <w:rPr>
          <w:rFonts w:ascii="Garamond" w:hAnsi="Garamond" w:cs="Arial"/>
          <w:sz w:val="24"/>
          <w:szCs w:val="24"/>
        </w:rPr>
        <w:t>que</w:t>
      </w:r>
      <w:r w:rsidRPr="003A1174">
        <w:rPr>
          <w:rFonts w:ascii="Garamond" w:hAnsi="Garamond" w:cs="Arial"/>
          <w:sz w:val="24"/>
          <w:szCs w:val="24"/>
        </w:rPr>
        <w:t>,</w:t>
      </w:r>
      <w:r w:rsidR="009B7DC1" w:rsidRPr="003A1174">
        <w:rPr>
          <w:rFonts w:ascii="Garamond" w:hAnsi="Garamond" w:cs="Arial"/>
          <w:sz w:val="24"/>
          <w:szCs w:val="24"/>
        </w:rPr>
        <w:t xml:space="preserve"> inclus</w:t>
      </w:r>
      <w:r w:rsidRPr="003A1174">
        <w:rPr>
          <w:rFonts w:ascii="Garamond" w:hAnsi="Garamond" w:cs="Arial"/>
          <w:sz w:val="24"/>
          <w:szCs w:val="24"/>
        </w:rPr>
        <w:t>ivamente, entre estas últimas</w:t>
      </w:r>
      <w:r w:rsidR="009B7DC1" w:rsidRPr="003A1174">
        <w:rPr>
          <w:rFonts w:ascii="Garamond" w:hAnsi="Garamond" w:cs="Arial"/>
          <w:sz w:val="24"/>
          <w:szCs w:val="24"/>
        </w:rPr>
        <w:t xml:space="preserve"> que emit</w:t>
      </w:r>
      <w:r w:rsidRPr="003A1174">
        <w:rPr>
          <w:rFonts w:ascii="Garamond" w:hAnsi="Garamond" w:cs="Arial"/>
          <w:sz w:val="24"/>
          <w:szCs w:val="24"/>
        </w:rPr>
        <w:t xml:space="preserve">iam </w:t>
      </w:r>
      <w:r w:rsidR="00976FB8" w:rsidRPr="003A1174">
        <w:rPr>
          <w:rFonts w:ascii="Garamond" w:hAnsi="Garamond" w:cs="Arial"/>
          <w:sz w:val="24"/>
          <w:szCs w:val="24"/>
        </w:rPr>
        <w:t>Ordens</w:t>
      </w:r>
      <w:r w:rsidR="009B7DC1" w:rsidRPr="003A1174">
        <w:rPr>
          <w:rFonts w:ascii="Garamond" w:hAnsi="Garamond" w:cs="Arial"/>
          <w:sz w:val="24"/>
          <w:szCs w:val="24"/>
        </w:rPr>
        <w:t xml:space="preserve"> de </w:t>
      </w:r>
      <w:r w:rsidR="00521F96">
        <w:rPr>
          <w:rFonts w:ascii="Garamond" w:hAnsi="Garamond" w:cs="Arial"/>
          <w:sz w:val="24"/>
          <w:szCs w:val="24"/>
        </w:rPr>
        <w:t>«</w:t>
      </w:r>
      <w:r w:rsidR="009E3E55" w:rsidRPr="003A1174">
        <w:rPr>
          <w:rFonts w:ascii="Garamond" w:hAnsi="Garamond" w:cs="Arial"/>
          <w:sz w:val="24"/>
          <w:szCs w:val="24"/>
        </w:rPr>
        <w:t>Emergência</w:t>
      </w:r>
      <w:r w:rsidR="00521F96">
        <w:rPr>
          <w:rFonts w:ascii="Garamond" w:hAnsi="Garamond" w:cs="Arial"/>
          <w:sz w:val="24"/>
          <w:szCs w:val="24"/>
        </w:rPr>
        <w:t>»</w:t>
      </w:r>
      <w:r w:rsidR="009B7DC1" w:rsidRPr="003A1174">
        <w:rPr>
          <w:rFonts w:ascii="Garamond" w:hAnsi="Garamond" w:cs="Arial"/>
          <w:sz w:val="24"/>
          <w:szCs w:val="24"/>
        </w:rPr>
        <w:t xml:space="preserve">, </w:t>
      </w:r>
      <w:r w:rsidRPr="003A1174">
        <w:rPr>
          <w:rFonts w:ascii="Garamond" w:hAnsi="Garamond" w:cs="Arial"/>
          <w:sz w:val="24"/>
          <w:szCs w:val="24"/>
        </w:rPr>
        <w:t xml:space="preserve">32% considerava que </w:t>
      </w:r>
      <w:r w:rsidR="009B7DC1" w:rsidRPr="003A1174">
        <w:rPr>
          <w:rFonts w:ascii="Garamond" w:hAnsi="Garamond" w:cs="Arial"/>
          <w:sz w:val="24"/>
          <w:szCs w:val="24"/>
        </w:rPr>
        <w:t xml:space="preserve">a </w:t>
      </w:r>
      <w:r w:rsidR="00C86C58" w:rsidRPr="003A1174">
        <w:rPr>
          <w:rFonts w:ascii="Garamond" w:hAnsi="Garamond" w:cs="Arial"/>
          <w:sz w:val="24"/>
          <w:szCs w:val="24"/>
        </w:rPr>
        <w:t>competência</w:t>
      </w:r>
      <w:r w:rsidR="009B7DC1" w:rsidRPr="003A1174">
        <w:rPr>
          <w:rFonts w:ascii="Garamond" w:hAnsi="Garamond" w:cs="Arial"/>
          <w:sz w:val="24"/>
          <w:szCs w:val="24"/>
        </w:rPr>
        <w:t xml:space="preserve"> recaía </w:t>
      </w:r>
      <w:r w:rsidRPr="003A1174">
        <w:rPr>
          <w:rFonts w:ascii="Garamond" w:hAnsi="Garamond" w:cs="Arial"/>
          <w:sz w:val="24"/>
          <w:szCs w:val="24"/>
        </w:rPr>
        <w:t xml:space="preserve">nos </w:t>
      </w:r>
      <w:r w:rsidR="00BA3CCE" w:rsidRPr="003A1174">
        <w:rPr>
          <w:rFonts w:ascii="Garamond" w:hAnsi="Garamond" w:cs="Arial"/>
          <w:sz w:val="24"/>
          <w:szCs w:val="24"/>
        </w:rPr>
        <w:t>juízes</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w:t>
      </w:r>
      <w:r w:rsidR="00521F96">
        <w:rPr>
          <w:rFonts w:ascii="Garamond" w:hAnsi="Garamond" w:cs="Arial"/>
          <w:sz w:val="24"/>
          <w:szCs w:val="24"/>
        </w:rPr>
        <w:t xml:space="preserve">no </w:t>
      </w:r>
      <w:r w:rsidR="00D77C19" w:rsidRPr="003A1174">
        <w:rPr>
          <w:rFonts w:ascii="Garamond" w:hAnsi="Garamond" w:cs="Arial"/>
          <w:sz w:val="24"/>
          <w:szCs w:val="24"/>
        </w:rPr>
        <w:t>Ministério</w:t>
      </w:r>
      <w:r w:rsidR="009B7DC1" w:rsidRPr="003A1174">
        <w:rPr>
          <w:rFonts w:ascii="Garamond" w:hAnsi="Garamond" w:cs="Arial"/>
          <w:sz w:val="24"/>
          <w:szCs w:val="24"/>
        </w:rPr>
        <w:t xml:space="preserve"> Público, </w:t>
      </w:r>
      <w:r w:rsidRPr="003A1174">
        <w:rPr>
          <w:rFonts w:ascii="Garamond" w:hAnsi="Garamond" w:cs="Arial"/>
          <w:sz w:val="24"/>
          <w:szCs w:val="24"/>
        </w:rPr>
        <w:t xml:space="preserve">enquanto </w:t>
      </w:r>
      <w:r w:rsidR="009B7DC1" w:rsidRPr="003A1174">
        <w:rPr>
          <w:rFonts w:ascii="Garamond" w:hAnsi="Garamond" w:cs="Arial"/>
          <w:sz w:val="24"/>
          <w:szCs w:val="24"/>
        </w:rPr>
        <w:t>25% considera</w:t>
      </w:r>
      <w:r w:rsidRPr="003A1174">
        <w:rPr>
          <w:rFonts w:ascii="Garamond" w:hAnsi="Garamond" w:cs="Arial"/>
          <w:sz w:val="24"/>
          <w:szCs w:val="24"/>
        </w:rPr>
        <w:t xml:space="preserve">va apenas </w:t>
      </w:r>
      <w:r w:rsidR="009B7DC1" w:rsidRPr="003A1174">
        <w:rPr>
          <w:rFonts w:ascii="Garamond" w:hAnsi="Garamond" w:cs="Arial"/>
          <w:sz w:val="24"/>
          <w:szCs w:val="24"/>
        </w:rPr>
        <w:t xml:space="preserve">os </w:t>
      </w:r>
      <w:r w:rsidR="00BA3CCE" w:rsidRPr="003A1174">
        <w:rPr>
          <w:rFonts w:ascii="Garamond" w:hAnsi="Garamond" w:cs="Arial"/>
          <w:sz w:val="24"/>
          <w:szCs w:val="24"/>
        </w:rPr>
        <w:t>juízes</w:t>
      </w:r>
      <w:r w:rsidR="009B7DC1" w:rsidRPr="003A1174">
        <w:rPr>
          <w:rFonts w:ascii="Garamond" w:hAnsi="Garamond" w:cs="Arial"/>
          <w:sz w:val="24"/>
          <w:szCs w:val="24"/>
        </w:rPr>
        <w:t xml:space="preserve">, 25% </w:t>
      </w:r>
      <w:r w:rsidRPr="003A1174">
        <w:rPr>
          <w:rFonts w:ascii="Garamond" w:hAnsi="Garamond" w:cs="Arial"/>
          <w:sz w:val="24"/>
          <w:szCs w:val="24"/>
        </w:rPr>
        <w:t xml:space="preserve">apenas </w:t>
      </w:r>
      <w:r w:rsidR="00521F96">
        <w:rPr>
          <w:rFonts w:ascii="Garamond" w:hAnsi="Garamond" w:cs="Arial"/>
          <w:sz w:val="24"/>
          <w:szCs w:val="24"/>
        </w:rPr>
        <w:t xml:space="preserve">o </w:t>
      </w:r>
      <w:r w:rsidR="00D77C19" w:rsidRPr="003A1174">
        <w:rPr>
          <w:rFonts w:ascii="Garamond" w:hAnsi="Garamond" w:cs="Arial"/>
          <w:sz w:val="24"/>
          <w:szCs w:val="24"/>
        </w:rPr>
        <w:t>Ministério</w:t>
      </w:r>
      <w:r w:rsidR="009B7DC1" w:rsidRPr="003A1174">
        <w:rPr>
          <w:rFonts w:ascii="Garamond" w:hAnsi="Garamond" w:cs="Arial"/>
          <w:sz w:val="24"/>
          <w:szCs w:val="24"/>
        </w:rPr>
        <w:t xml:space="preserve"> Público, </w:t>
      </w:r>
      <w:r w:rsidR="00497503" w:rsidRPr="003A1174">
        <w:rPr>
          <w:rFonts w:ascii="Garamond" w:hAnsi="Garamond" w:cs="Arial"/>
          <w:sz w:val="24"/>
          <w:szCs w:val="24"/>
        </w:rPr>
        <w:t>e</w:t>
      </w:r>
      <w:r w:rsidR="009B7DC1" w:rsidRPr="003A1174">
        <w:rPr>
          <w:rFonts w:ascii="Garamond" w:hAnsi="Garamond" w:cs="Arial"/>
          <w:sz w:val="24"/>
          <w:szCs w:val="24"/>
        </w:rPr>
        <w:t xml:space="preserve"> 18% n</w:t>
      </w:r>
      <w:r w:rsidRPr="003A1174">
        <w:rPr>
          <w:rFonts w:ascii="Garamond" w:hAnsi="Garamond" w:cs="Arial"/>
          <w:sz w:val="24"/>
          <w:szCs w:val="24"/>
        </w:rPr>
        <w:t xml:space="preserve">ão </w:t>
      </w:r>
      <w:r w:rsidR="00521F96">
        <w:rPr>
          <w:rFonts w:ascii="Garamond" w:hAnsi="Garamond" w:cs="Arial"/>
          <w:sz w:val="24"/>
          <w:szCs w:val="24"/>
        </w:rPr>
        <w:t>tinha conhecimento</w:t>
      </w:r>
      <w:r w:rsidR="009B7DC1" w:rsidRPr="003A1174">
        <w:rPr>
          <w:rFonts w:ascii="Garamond" w:hAnsi="Garamond" w:cs="Arial"/>
          <w:sz w:val="24"/>
          <w:szCs w:val="24"/>
        </w:rPr>
        <w:t xml:space="preserve"> sobre </w:t>
      </w:r>
      <w:r w:rsidR="00CD707D" w:rsidRPr="003A1174">
        <w:rPr>
          <w:rFonts w:ascii="Garamond" w:hAnsi="Garamond" w:cs="Arial"/>
          <w:sz w:val="24"/>
          <w:szCs w:val="24"/>
        </w:rPr>
        <w:t>alguma</w:t>
      </w:r>
      <w:r w:rsidR="009B7DC1" w:rsidRPr="003A1174">
        <w:rPr>
          <w:rFonts w:ascii="Garamond" w:hAnsi="Garamond" w:cs="Arial"/>
          <w:sz w:val="24"/>
          <w:szCs w:val="24"/>
        </w:rPr>
        <w:t xml:space="preserve"> </w:t>
      </w:r>
      <w:r w:rsidR="002F62B0" w:rsidRPr="003A1174">
        <w:rPr>
          <w:rFonts w:ascii="Garamond" w:hAnsi="Garamond" w:cs="Arial"/>
          <w:sz w:val="24"/>
          <w:szCs w:val="24"/>
        </w:rPr>
        <w:t>autoridade</w:t>
      </w:r>
      <w:r w:rsidR="009B7DC1" w:rsidRPr="003A1174">
        <w:rPr>
          <w:rFonts w:ascii="Garamond" w:hAnsi="Garamond" w:cs="Arial"/>
          <w:sz w:val="24"/>
          <w:szCs w:val="24"/>
        </w:rPr>
        <w:t xml:space="preserve"> específica. </w:t>
      </w:r>
      <w:r w:rsidRPr="003A1174">
        <w:rPr>
          <w:rFonts w:ascii="Garamond" w:hAnsi="Garamond" w:cs="Arial"/>
          <w:sz w:val="24"/>
          <w:szCs w:val="24"/>
        </w:rPr>
        <w:t xml:space="preserve">Relativamente aos que </w:t>
      </w:r>
      <w:r w:rsidR="009B7DC1" w:rsidRPr="003A1174">
        <w:rPr>
          <w:rFonts w:ascii="Garamond" w:eastAsia="Times New Roman" w:hAnsi="Garamond" w:cs="Arial"/>
          <w:sz w:val="24"/>
          <w:szCs w:val="24"/>
          <w:lang w:eastAsia="es-MX"/>
        </w:rPr>
        <w:t>emit</w:t>
      </w:r>
      <w:r w:rsidRPr="003A1174">
        <w:rPr>
          <w:rFonts w:ascii="Garamond" w:eastAsia="Times New Roman" w:hAnsi="Garamond" w:cs="Arial"/>
          <w:sz w:val="24"/>
          <w:szCs w:val="24"/>
          <w:lang w:eastAsia="es-MX"/>
        </w:rPr>
        <w:t xml:space="preserve">iam </w:t>
      </w:r>
      <w:r w:rsidR="00840CF5" w:rsidRPr="003A1174">
        <w:rPr>
          <w:rFonts w:ascii="Garamond" w:eastAsia="Times New Roman" w:hAnsi="Garamond" w:cs="Arial"/>
          <w:sz w:val="24"/>
          <w:szCs w:val="24"/>
          <w:lang w:eastAsia="es-MX"/>
        </w:rPr>
        <w:t xml:space="preserve">as </w:t>
      </w:r>
      <w:r w:rsidR="00976FB8" w:rsidRPr="003A1174">
        <w:rPr>
          <w:rFonts w:ascii="Garamond" w:eastAsia="Times New Roman" w:hAnsi="Garamond" w:cs="Arial"/>
          <w:sz w:val="24"/>
          <w:szCs w:val="24"/>
          <w:lang w:eastAsia="es-MX"/>
        </w:rPr>
        <w:t>Ordens</w:t>
      </w:r>
      <w:r w:rsidR="009B7DC1" w:rsidRPr="003A1174">
        <w:rPr>
          <w:rFonts w:ascii="Garamond" w:eastAsia="Times New Roman" w:hAnsi="Garamond" w:cs="Arial"/>
          <w:sz w:val="24"/>
          <w:szCs w:val="24"/>
          <w:lang w:eastAsia="es-MX"/>
        </w:rPr>
        <w:t xml:space="preserve"> de </w:t>
      </w:r>
      <w:r w:rsidR="00886D6A" w:rsidRPr="003A1174">
        <w:rPr>
          <w:rFonts w:ascii="Garamond" w:eastAsia="Times New Roman" w:hAnsi="Garamond" w:cs="Arial"/>
          <w:sz w:val="24"/>
          <w:szCs w:val="24"/>
          <w:lang w:eastAsia="es-MX"/>
        </w:rPr>
        <w:t>Proteção</w:t>
      </w:r>
      <w:r w:rsidR="009B7DC1" w:rsidRPr="003A1174">
        <w:rPr>
          <w:rFonts w:ascii="Garamond" w:eastAsia="Times New Roman" w:hAnsi="Garamond" w:cs="Arial"/>
          <w:sz w:val="24"/>
          <w:szCs w:val="24"/>
          <w:lang w:eastAsia="es-MX"/>
        </w:rPr>
        <w:t xml:space="preserve"> </w:t>
      </w:r>
      <w:r w:rsidR="00521F96">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Preventivas</w:t>
      </w:r>
      <w:r w:rsidR="00521F96">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 xml:space="preserve">, </w:t>
      </w:r>
      <w:r w:rsidR="00840CF5" w:rsidRPr="003A1174">
        <w:rPr>
          <w:rFonts w:ascii="Garamond" w:eastAsia="Times New Roman" w:hAnsi="Garamond" w:cs="Arial"/>
          <w:sz w:val="24"/>
          <w:szCs w:val="24"/>
          <w:lang w:eastAsia="es-MX"/>
        </w:rPr>
        <w:t>de igual m</w:t>
      </w:r>
      <w:r w:rsidRPr="003A1174">
        <w:rPr>
          <w:rFonts w:ascii="Garamond" w:eastAsia="Times New Roman" w:hAnsi="Garamond" w:cs="Arial"/>
          <w:sz w:val="24"/>
          <w:szCs w:val="24"/>
          <w:lang w:eastAsia="es-MX"/>
        </w:rPr>
        <w:t>odo</w:t>
      </w:r>
      <w:r w:rsidR="00E34DB3" w:rsidRPr="003A1174">
        <w:rPr>
          <w:rFonts w:ascii="Garamond" w:eastAsia="Times New Roman" w:hAnsi="Garamond" w:cs="Arial"/>
          <w:sz w:val="24"/>
          <w:szCs w:val="24"/>
          <w:lang w:eastAsia="es-MX"/>
        </w:rPr>
        <w:t>,</w:t>
      </w:r>
      <w:r w:rsidRPr="003A1174">
        <w:rPr>
          <w:rFonts w:ascii="Garamond" w:eastAsia="Times New Roman" w:hAnsi="Garamond" w:cs="Arial"/>
          <w:sz w:val="24"/>
          <w:szCs w:val="24"/>
          <w:lang w:eastAsia="es-MX"/>
        </w:rPr>
        <w:t xml:space="preserve"> 32% considerav</w:t>
      </w:r>
      <w:r w:rsidR="009B7DC1" w:rsidRPr="003A1174">
        <w:rPr>
          <w:rFonts w:ascii="Garamond" w:eastAsia="Times New Roman" w:hAnsi="Garamond" w:cs="Arial"/>
          <w:sz w:val="24"/>
          <w:szCs w:val="24"/>
          <w:lang w:eastAsia="es-MX"/>
        </w:rPr>
        <w:t xml:space="preserve">a </w:t>
      </w:r>
      <w:r w:rsidRPr="003A1174">
        <w:rPr>
          <w:rFonts w:ascii="Garamond" w:eastAsia="Times New Roman" w:hAnsi="Garamond" w:cs="Arial"/>
          <w:sz w:val="24"/>
          <w:szCs w:val="24"/>
          <w:lang w:eastAsia="es-MX"/>
        </w:rPr>
        <w:t xml:space="preserve">que eram </w:t>
      </w:r>
      <w:r w:rsidR="009B7DC1" w:rsidRPr="003A1174">
        <w:rPr>
          <w:rFonts w:ascii="Garamond" w:eastAsia="Times New Roman" w:hAnsi="Garamond" w:cs="Arial"/>
          <w:sz w:val="24"/>
          <w:szCs w:val="24"/>
          <w:lang w:eastAsia="es-MX"/>
        </w:rPr>
        <w:t xml:space="preserve">os </w:t>
      </w:r>
      <w:r w:rsidR="00BA3CCE" w:rsidRPr="003A1174">
        <w:rPr>
          <w:rFonts w:ascii="Garamond" w:hAnsi="Garamond" w:cs="Arial"/>
          <w:sz w:val="24"/>
          <w:szCs w:val="24"/>
        </w:rPr>
        <w:t>juízes</w:t>
      </w:r>
      <w:r w:rsidR="009B7DC1" w:rsidRPr="003A1174">
        <w:rPr>
          <w:rFonts w:ascii="Garamond" w:hAnsi="Garamond" w:cs="Arial"/>
          <w:sz w:val="24"/>
          <w:szCs w:val="24"/>
        </w:rPr>
        <w:t xml:space="preserve"> </w:t>
      </w:r>
      <w:r w:rsidR="00497503" w:rsidRPr="003A1174">
        <w:rPr>
          <w:rFonts w:ascii="Garamond" w:hAnsi="Garamond" w:cs="Arial"/>
          <w:sz w:val="24"/>
          <w:szCs w:val="24"/>
        </w:rPr>
        <w:t>e</w:t>
      </w:r>
      <w:r w:rsidR="009B7DC1" w:rsidRPr="003A1174">
        <w:rPr>
          <w:rFonts w:ascii="Garamond" w:hAnsi="Garamond" w:cs="Arial"/>
          <w:sz w:val="24"/>
          <w:szCs w:val="24"/>
        </w:rPr>
        <w:t xml:space="preserve"> </w:t>
      </w:r>
      <w:r w:rsidR="00521F96">
        <w:rPr>
          <w:rFonts w:ascii="Garamond" w:hAnsi="Garamond" w:cs="Arial"/>
          <w:sz w:val="24"/>
          <w:szCs w:val="24"/>
        </w:rPr>
        <w:t xml:space="preserve">o </w:t>
      </w:r>
      <w:r w:rsidR="00D77C19" w:rsidRPr="003A1174">
        <w:rPr>
          <w:rFonts w:ascii="Garamond" w:hAnsi="Garamond" w:cs="Arial"/>
          <w:sz w:val="24"/>
          <w:szCs w:val="24"/>
        </w:rPr>
        <w:t>Ministério</w:t>
      </w:r>
      <w:r w:rsidR="009B7DC1" w:rsidRPr="003A1174">
        <w:rPr>
          <w:rFonts w:ascii="Garamond" w:hAnsi="Garamond" w:cs="Arial"/>
          <w:sz w:val="24"/>
          <w:szCs w:val="24"/>
        </w:rPr>
        <w:t xml:space="preserve"> Público</w:t>
      </w:r>
      <w:r w:rsidR="009B7DC1" w:rsidRPr="003A1174">
        <w:rPr>
          <w:rFonts w:ascii="Garamond" w:eastAsia="Times New Roman" w:hAnsi="Garamond" w:cs="Arial"/>
          <w:sz w:val="24"/>
          <w:szCs w:val="24"/>
          <w:lang w:eastAsia="es-MX"/>
        </w:rPr>
        <w:t xml:space="preserve">, </w:t>
      </w:r>
      <w:r w:rsidRPr="003A1174">
        <w:rPr>
          <w:rFonts w:ascii="Garamond" w:eastAsia="Times New Roman" w:hAnsi="Garamond" w:cs="Arial"/>
          <w:sz w:val="24"/>
          <w:szCs w:val="24"/>
          <w:lang w:eastAsia="es-MX"/>
        </w:rPr>
        <w:t>32% considerav</w:t>
      </w:r>
      <w:r w:rsidR="009B7DC1" w:rsidRPr="003A1174">
        <w:rPr>
          <w:rFonts w:ascii="Garamond" w:eastAsia="Times New Roman" w:hAnsi="Garamond" w:cs="Arial"/>
          <w:sz w:val="24"/>
          <w:szCs w:val="24"/>
          <w:lang w:eastAsia="es-MX"/>
        </w:rPr>
        <w:t xml:space="preserve">a </w:t>
      </w:r>
      <w:r w:rsidRPr="003A1174">
        <w:rPr>
          <w:rFonts w:ascii="Garamond" w:eastAsia="Times New Roman" w:hAnsi="Garamond" w:cs="Arial"/>
          <w:sz w:val="24"/>
          <w:szCs w:val="24"/>
          <w:lang w:eastAsia="es-MX"/>
        </w:rPr>
        <w:t xml:space="preserve">apenas </w:t>
      </w:r>
      <w:r w:rsidR="009B7DC1" w:rsidRPr="003A1174">
        <w:rPr>
          <w:rFonts w:ascii="Garamond" w:eastAsia="Times New Roman" w:hAnsi="Garamond" w:cs="Arial"/>
          <w:sz w:val="24"/>
          <w:szCs w:val="24"/>
          <w:lang w:eastAsia="es-MX"/>
        </w:rPr>
        <w:t xml:space="preserve">os </w:t>
      </w:r>
      <w:r w:rsidR="00BA3CCE" w:rsidRPr="003A1174">
        <w:rPr>
          <w:rFonts w:ascii="Garamond" w:eastAsia="Times New Roman" w:hAnsi="Garamond" w:cs="Arial"/>
          <w:sz w:val="24"/>
          <w:szCs w:val="24"/>
          <w:lang w:eastAsia="es-MX"/>
        </w:rPr>
        <w:t>juízes</w:t>
      </w:r>
      <w:r w:rsidR="009B7DC1" w:rsidRPr="003A1174">
        <w:rPr>
          <w:rFonts w:ascii="Garamond" w:eastAsia="Times New Roman" w:hAnsi="Garamond" w:cs="Arial"/>
          <w:sz w:val="24"/>
          <w:szCs w:val="24"/>
          <w:lang w:eastAsia="es-MX"/>
        </w:rPr>
        <w:t>, 14%</w:t>
      </w:r>
      <w:r w:rsidR="00521F96">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 xml:space="preserve"> exclusivamente</w:t>
      </w:r>
      <w:r w:rsidR="00521F96">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 xml:space="preserve"> </w:t>
      </w:r>
      <w:r w:rsidR="00521F96">
        <w:rPr>
          <w:rFonts w:ascii="Garamond" w:eastAsia="Times New Roman" w:hAnsi="Garamond" w:cs="Arial"/>
          <w:sz w:val="24"/>
          <w:szCs w:val="24"/>
          <w:lang w:eastAsia="es-MX"/>
        </w:rPr>
        <w:t xml:space="preserve">o </w:t>
      </w:r>
      <w:r w:rsidR="00D77C19" w:rsidRPr="003A1174">
        <w:rPr>
          <w:rFonts w:ascii="Garamond" w:eastAsia="Times New Roman" w:hAnsi="Garamond" w:cs="Arial"/>
          <w:sz w:val="24"/>
          <w:szCs w:val="24"/>
          <w:lang w:eastAsia="es-MX"/>
        </w:rPr>
        <w:t>Ministério</w:t>
      </w:r>
      <w:r w:rsidR="009B7DC1" w:rsidRPr="003A1174">
        <w:rPr>
          <w:rFonts w:ascii="Garamond" w:eastAsia="Times New Roman" w:hAnsi="Garamond" w:cs="Arial"/>
          <w:sz w:val="24"/>
          <w:szCs w:val="24"/>
          <w:lang w:eastAsia="es-MX"/>
        </w:rPr>
        <w:t xml:space="preserve"> Público </w:t>
      </w:r>
      <w:r w:rsidR="00497503" w:rsidRPr="003A1174">
        <w:rPr>
          <w:rFonts w:ascii="Garamond" w:eastAsia="Times New Roman" w:hAnsi="Garamond" w:cs="Arial"/>
          <w:sz w:val="24"/>
          <w:szCs w:val="24"/>
          <w:lang w:eastAsia="es-MX"/>
        </w:rPr>
        <w:t>e</w:t>
      </w:r>
      <w:r w:rsidR="009B7DC1" w:rsidRPr="003A1174">
        <w:rPr>
          <w:rFonts w:ascii="Garamond" w:eastAsia="Times New Roman" w:hAnsi="Garamond" w:cs="Arial"/>
          <w:sz w:val="24"/>
          <w:szCs w:val="24"/>
          <w:lang w:eastAsia="es-MX"/>
        </w:rPr>
        <w:t xml:space="preserve"> 22% n</w:t>
      </w:r>
      <w:r w:rsidRPr="003A1174">
        <w:rPr>
          <w:rFonts w:ascii="Garamond" w:eastAsia="Times New Roman" w:hAnsi="Garamond" w:cs="Arial"/>
          <w:sz w:val="24"/>
          <w:szCs w:val="24"/>
          <w:lang w:eastAsia="es-MX"/>
        </w:rPr>
        <w:t>ã</w:t>
      </w:r>
      <w:r w:rsidR="009B7DC1" w:rsidRPr="003A1174">
        <w:rPr>
          <w:rFonts w:ascii="Garamond" w:eastAsia="Times New Roman" w:hAnsi="Garamond" w:cs="Arial"/>
          <w:sz w:val="24"/>
          <w:szCs w:val="24"/>
          <w:lang w:eastAsia="es-MX"/>
        </w:rPr>
        <w:t xml:space="preserve">o </w:t>
      </w:r>
      <w:r w:rsidR="00524936" w:rsidRPr="003A1174">
        <w:rPr>
          <w:rFonts w:ascii="Garamond" w:eastAsia="Times New Roman" w:hAnsi="Garamond" w:cs="Arial"/>
          <w:sz w:val="24"/>
          <w:szCs w:val="24"/>
          <w:lang w:eastAsia="es-MX"/>
        </w:rPr>
        <w:t>expressa</w:t>
      </w:r>
      <w:r w:rsidRPr="003A1174">
        <w:rPr>
          <w:rFonts w:ascii="Garamond" w:eastAsia="Times New Roman" w:hAnsi="Garamond" w:cs="Arial"/>
          <w:sz w:val="24"/>
          <w:szCs w:val="24"/>
          <w:lang w:eastAsia="es-MX"/>
        </w:rPr>
        <w:t>v</w:t>
      </w:r>
      <w:r w:rsidR="009B7DC1" w:rsidRPr="003A1174">
        <w:rPr>
          <w:rFonts w:ascii="Garamond" w:eastAsia="Times New Roman" w:hAnsi="Garamond" w:cs="Arial"/>
          <w:sz w:val="24"/>
          <w:szCs w:val="24"/>
          <w:lang w:eastAsia="es-MX"/>
        </w:rPr>
        <w:t xml:space="preserve">a </w:t>
      </w:r>
      <w:r w:rsidR="00521F96">
        <w:rPr>
          <w:rFonts w:ascii="Garamond" w:eastAsia="Times New Roman" w:hAnsi="Garamond" w:cs="Arial"/>
          <w:sz w:val="24"/>
          <w:szCs w:val="24"/>
          <w:lang w:eastAsia="es-MX"/>
        </w:rPr>
        <w:t xml:space="preserve">qualquer </w:t>
      </w:r>
      <w:r w:rsidR="006E4D0E">
        <w:rPr>
          <w:rFonts w:ascii="Garamond" w:eastAsia="Times New Roman" w:hAnsi="Garamond" w:cs="Arial"/>
          <w:sz w:val="24"/>
          <w:szCs w:val="24"/>
          <w:lang w:eastAsia="es-MX"/>
        </w:rPr>
        <w:t>conhecimento.</w:t>
      </w:r>
      <w:r w:rsidR="009B7DC1" w:rsidRPr="003A1174">
        <w:rPr>
          <w:rStyle w:val="Refdenotaalpie"/>
          <w:rFonts w:ascii="Garamond" w:eastAsia="Times New Roman" w:hAnsi="Garamond" w:cs="Arial"/>
          <w:sz w:val="24"/>
          <w:szCs w:val="24"/>
          <w:lang w:val="es-ES" w:eastAsia="es-MX"/>
        </w:rPr>
        <w:footnoteReference w:id="74"/>
      </w:r>
      <w:r w:rsidR="00030174" w:rsidRPr="003A1174">
        <w:rPr>
          <w:rFonts w:ascii="Garamond" w:eastAsia="Times New Roman" w:hAnsi="Garamond" w:cs="Arial"/>
          <w:sz w:val="24"/>
          <w:szCs w:val="24"/>
          <w:lang w:eastAsia="es-MX"/>
        </w:rPr>
        <w:t xml:space="preserve"> </w:t>
      </w:r>
      <w:r w:rsidRPr="003A1174">
        <w:rPr>
          <w:rFonts w:ascii="Garamond" w:eastAsia="Times New Roman" w:hAnsi="Garamond" w:cs="Arial"/>
          <w:sz w:val="24"/>
          <w:szCs w:val="24"/>
          <w:lang w:eastAsia="es-MX"/>
        </w:rPr>
        <w:t xml:space="preserve">Por sua </w:t>
      </w:r>
      <w:r w:rsidR="009B7DC1" w:rsidRPr="003A1174">
        <w:rPr>
          <w:rFonts w:ascii="Garamond" w:eastAsia="Times New Roman" w:hAnsi="Garamond" w:cs="Arial"/>
          <w:sz w:val="24"/>
          <w:szCs w:val="24"/>
          <w:lang w:eastAsia="es-MX"/>
        </w:rPr>
        <w:t>vez</w:t>
      </w:r>
      <w:r w:rsidR="00840CF5" w:rsidRPr="003A1174">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 xml:space="preserve"> </w:t>
      </w:r>
      <w:r w:rsidRPr="003A1174">
        <w:rPr>
          <w:rFonts w:ascii="Garamond" w:eastAsia="Times New Roman" w:hAnsi="Garamond" w:cs="Arial"/>
          <w:sz w:val="24"/>
          <w:szCs w:val="24"/>
          <w:lang w:eastAsia="es-MX"/>
        </w:rPr>
        <w:t xml:space="preserve">no que toca </w:t>
      </w:r>
      <w:r w:rsidR="009B7DC1" w:rsidRPr="003A1174">
        <w:rPr>
          <w:rFonts w:ascii="Garamond" w:eastAsia="Times New Roman" w:hAnsi="Garamond" w:cs="Arial"/>
          <w:sz w:val="24"/>
          <w:szCs w:val="24"/>
          <w:lang w:eastAsia="es-MX"/>
        </w:rPr>
        <w:t>especialmente a</w:t>
      </w:r>
      <w:r w:rsidRPr="003A1174">
        <w:rPr>
          <w:rFonts w:ascii="Garamond" w:eastAsia="Times New Roman" w:hAnsi="Garamond" w:cs="Arial"/>
          <w:sz w:val="24"/>
          <w:szCs w:val="24"/>
          <w:lang w:eastAsia="es-MX"/>
        </w:rPr>
        <w:t>o</w:t>
      </w:r>
      <w:r w:rsidR="009B7DC1" w:rsidRPr="003A1174">
        <w:rPr>
          <w:rFonts w:ascii="Garamond" w:eastAsia="Times New Roman" w:hAnsi="Garamond" w:cs="Arial"/>
          <w:sz w:val="24"/>
          <w:szCs w:val="24"/>
          <w:lang w:eastAsia="es-MX"/>
        </w:rPr>
        <w:t xml:space="preserve"> </w:t>
      </w:r>
      <w:r w:rsidR="00840CF5" w:rsidRPr="003A1174">
        <w:rPr>
          <w:rFonts w:ascii="Garamond" w:eastAsia="Times New Roman" w:hAnsi="Garamond" w:cs="Arial"/>
          <w:sz w:val="24"/>
          <w:szCs w:val="24"/>
          <w:lang w:eastAsia="es-MX"/>
        </w:rPr>
        <w:t>E</w:t>
      </w:r>
      <w:r w:rsidR="009B7DC1" w:rsidRPr="003A1174">
        <w:rPr>
          <w:rFonts w:ascii="Garamond" w:eastAsia="Times New Roman" w:hAnsi="Garamond" w:cs="Arial"/>
          <w:sz w:val="24"/>
          <w:szCs w:val="24"/>
          <w:lang w:eastAsia="es-MX"/>
        </w:rPr>
        <w:t>stado de Guanajuato,</w:t>
      </w:r>
      <w:r w:rsidRPr="003A1174">
        <w:rPr>
          <w:rFonts w:ascii="Garamond" w:eastAsia="Times New Roman" w:hAnsi="Garamond" w:cs="Arial"/>
          <w:sz w:val="24"/>
          <w:szCs w:val="24"/>
          <w:lang w:eastAsia="es-MX"/>
        </w:rPr>
        <w:t xml:space="preserve"> a </w:t>
      </w:r>
      <w:r w:rsidR="009B7DC1" w:rsidRPr="003A1174">
        <w:rPr>
          <w:rFonts w:ascii="Garamond" w:eastAsia="Times New Roman" w:hAnsi="Garamond" w:cs="Arial"/>
          <w:sz w:val="24"/>
          <w:szCs w:val="24"/>
          <w:lang w:eastAsia="es-MX"/>
        </w:rPr>
        <w:t>su</w:t>
      </w:r>
      <w:r w:rsidRPr="003A1174">
        <w:rPr>
          <w:rFonts w:ascii="Garamond" w:eastAsia="Times New Roman" w:hAnsi="Garamond" w:cs="Arial"/>
          <w:sz w:val="24"/>
          <w:szCs w:val="24"/>
          <w:lang w:eastAsia="es-MX"/>
        </w:rPr>
        <w:t>a</w:t>
      </w:r>
      <w:r w:rsidR="009B7DC1" w:rsidRPr="003A1174">
        <w:rPr>
          <w:rFonts w:ascii="Garamond" w:eastAsia="Times New Roman" w:hAnsi="Garamond" w:cs="Arial"/>
          <w:sz w:val="24"/>
          <w:szCs w:val="24"/>
          <w:lang w:eastAsia="es-MX"/>
        </w:rPr>
        <w:t xml:space="preserve"> </w:t>
      </w:r>
      <w:r w:rsidR="0096583F" w:rsidRPr="003A1174">
        <w:rPr>
          <w:rFonts w:ascii="Garamond" w:eastAsia="Times New Roman" w:hAnsi="Garamond" w:cs="Arial"/>
          <w:sz w:val="24"/>
          <w:szCs w:val="24"/>
          <w:lang w:eastAsia="es-MX"/>
        </w:rPr>
        <w:t>Procuradoria</w:t>
      </w:r>
      <w:r w:rsidR="009B7DC1" w:rsidRPr="003A1174">
        <w:rPr>
          <w:rFonts w:ascii="Garamond" w:eastAsia="Times New Roman" w:hAnsi="Garamond" w:cs="Arial"/>
          <w:sz w:val="24"/>
          <w:szCs w:val="24"/>
          <w:lang w:eastAsia="es-MX"/>
        </w:rPr>
        <w:t xml:space="preserve"> </w:t>
      </w:r>
      <w:r w:rsidR="00147717" w:rsidRPr="003A1174">
        <w:rPr>
          <w:rFonts w:ascii="Garamond" w:eastAsia="Times New Roman" w:hAnsi="Garamond" w:cs="Arial"/>
          <w:sz w:val="24"/>
          <w:szCs w:val="24"/>
          <w:lang w:eastAsia="es-MX"/>
        </w:rPr>
        <w:t xml:space="preserve">estabelecia </w:t>
      </w:r>
      <w:r w:rsidR="009B7DC1" w:rsidRPr="003A1174">
        <w:rPr>
          <w:rFonts w:ascii="Garamond" w:eastAsia="Times New Roman" w:hAnsi="Garamond" w:cs="Arial"/>
          <w:sz w:val="24"/>
          <w:szCs w:val="24"/>
          <w:lang w:eastAsia="es-MX"/>
        </w:rPr>
        <w:t>que e</w:t>
      </w:r>
      <w:r w:rsidR="00147717" w:rsidRPr="003A1174">
        <w:rPr>
          <w:rFonts w:ascii="Garamond" w:eastAsia="Times New Roman" w:hAnsi="Garamond" w:cs="Arial"/>
          <w:sz w:val="24"/>
          <w:szCs w:val="24"/>
          <w:lang w:eastAsia="es-MX"/>
        </w:rPr>
        <w:t>m</w:t>
      </w:r>
      <w:r w:rsidR="009B7DC1" w:rsidRPr="003A1174">
        <w:rPr>
          <w:rFonts w:ascii="Garamond" w:eastAsia="Times New Roman" w:hAnsi="Garamond" w:cs="Arial"/>
          <w:sz w:val="24"/>
          <w:szCs w:val="24"/>
          <w:lang w:eastAsia="es-MX"/>
        </w:rPr>
        <w:t xml:space="preserve"> </w:t>
      </w:r>
      <w:r w:rsidR="00731B19" w:rsidRPr="003A1174">
        <w:rPr>
          <w:rFonts w:ascii="Garamond" w:eastAsia="Times New Roman" w:hAnsi="Garamond" w:cs="Arial"/>
          <w:sz w:val="24"/>
          <w:szCs w:val="24"/>
          <w:lang w:eastAsia="es-MX"/>
        </w:rPr>
        <w:t>termos</w:t>
      </w:r>
      <w:r w:rsidR="009B7DC1" w:rsidRPr="003A1174">
        <w:rPr>
          <w:rFonts w:ascii="Garamond" w:eastAsia="Times New Roman" w:hAnsi="Garamond" w:cs="Arial"/>
          <w:sz w:val="24"/>
          <w:szCs w:val="24"/>
          <w:lang w:eastAsia="es-MX"/>
        </w:rPr>
        <w:t xml:space="preserve"> </w:t>
      </w:r>
      <w:r w:rsidR="009E3E55" w:rsidRPr="003A1174">
        <w:rPr>
          <w:rFonts w:ascii="Garamond" w:eastAsia="Times New Roman" w:hAnsi="Garamond" w:cs="Arial"/>
          <w:sz w:val="24"/>
          <w:szCs w:val="24"/>
          <w:lang w:eastAsia="es-MX"/>
        </w:rPr>
        <w:t>gerais</w:t>
      </w:r>
      <w:r w:rsidR="009B7DC1" w:rsidRPr="003A1174">
        <w:rPr>
          <w:rFonts w:ascii="Garamond" w:eastAsia="Times New Roman" w:hAnsi="Garamond" w:cs="Arial"/>
          <w:sz w:val="24"/>
          <w:szCs w:val="24"/>
          <w:lang w:eastAsia="es-MX"/>
        </w:rPr>
        <w:t xml:space="preserve"> </w:t>
      </w:r>
      <w:r w:rsidR="006E4D0E">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a</w:t>
      </w:r>
      <w:r w:rsidR="00147717" w:rsidRPr="003A1174">
        <w:rPr>
          <w:rFonts w:ascii="Garamond" w:eastAsia="Times New Roman" w:hAnsi="Garamond" w:cs="Arial"/>
          <w:sz w:val="24"/>
          <w:szCs w:val="24"/>
          <w:lang w:eastAsia="es-MX"/>
        </w:rPr>
        <w:t>inda falta um longo caminho para percorrer</w:t>
      </w:r>
      <w:r w:rsidR="009B7DC1" w:rsidRPr="003A1174">
        <w:rPr>
          <w:rFonts w:ascii="Garamond" w:eastAsia="Times New Roman" w:hAnsi="Garamond" w:cs="Arial"/>
          <w:sz w:val="24"/>
          <w:szCs w:val="24"/>
          <w:lang w:eastAsia="es-MX"/>
        </w:rPr>
        <w:t>.</w:t>
      </w:r>
      <w:r w:rsidR="006E4D0E">
        <w:rPr>
          <w:rFonts w:ascii="Garamond" w:eastAsia="Times New Roman" w:hAnsi="Garamond" w:cs="Arial"/>
          <w:sz w:val="24"/>
          <w:szCs w:val="24"/>
          <w:lang w:eastAsia="es-MX"/>
        </w:rPr>
        <w:t>»</w:t>
      </w:r>
      <w:r w:rsidR="00147717" w:rsidRPr="003A1174">
        <w:rPr>
          <w:rFonts w:ascii="Garamond" w:eastAsia="Times New Roman" w:hAnsi="Garamond" w:cs="Arial"/>
          <w:sz w:val="24"/>
          <w:szCs w:val="24"/>
          <w:lang w:eastAsia="es-MX"/>
        </w:rPr>
        <w:t xml:space="preserve"> É </w:t>
      </w:r>
      <w:r w:rsidR="009B7DC1" w:rsidRPr="003A1174">
        <w:rPr>
          <w:rFonts w:ascii="Garamond" w:eastAsia="Times New Roman" w:hAnsi="Garamond" w:cs="Arial"/>
          <w:sz w:val="24"/>
          <w:szCs w:val="24"/>
          <w:lang w:eastAsia="es-MX"/>
        </w:rPr>
        <w:t xml:space="preserve">de esperar que </w:t>
      </w:r>
      <w:r w:rsidR="00147717" w:rsidRPr="003A1174">
        <w:rPr>
          <w:rFonts w:ascii="Garamond" w:eastAsia="Times New Roman" w:hAnsi="Garamond" w:cs="Arial"/>
          <w:sz w:val="24"/>
          <w:szCs w:val="24"/>
          <w:lang w:eastAsia="es-MX"/>
        </w:rPr>
        <w:t xml:space="preserve">o </w:t>
      </w:r>
      <w:r w:rsidR="00D96FD0" w:rsidRPr="003A1174">
        <w:rPr>
          <w:rFonts w:ascii="Garamond" w:eastAsia="Times New Roman" w:hAnsi="Garamond" w:cs="Arial"/>
          <w:sz w:val="24"/>
          <w:szCs w:val="24"/>
          <w:lang w:eastAsia="es-MX"/>
        </w:rPr>
        <w:t>cumprimento</w:t>
      </w:r>
      <w:r w:rsidR="009B7DC1" w:rsidRPr="003A1174">
        <w:rPr>
          <w:rFonts w:ascii="Garamond" w:eastAsia="Times New Roman" w:hAnsi="Garamond" w:cs="Arial"/>
          <w:sz w:val="24"/>
          <w:szCs w:val="24"/>
          <w:lang w:eastAsia="es-MX"/>
        </w:rPr>
        <w:t xml:space="preserve"> </w:t>
      </w:r>
      <w:r w:rsidR="00497503" w:rsidRPr="003A1174">
        <w:rPr>
          <w:rFonts w:ascii="Garamond" w:eastAsia="Times New Roman" w:hAnsi="Garamond" w:cs="Arial"/>
          <w:sz w:val="24"/>
          <w:szCs w:val="24"/>
          <w:lang w:eastAsia="es-MX"/>
        </w:rPr>
        <w:t>das</w:t>
      </w:r>
      <w:r w:rsidR="009B7DC1" w:rsidRPr="003A1174">
        <w:rPr>
          <w:rFonts w:ascii="Garamond" w:eastAsia="Times New Roman" w:hAnsi="Garamond" w:cs="Arial"/>
          <w:sz w:val="24"/>
          <w:szCs w:val="24"/>
          <w:lang w:eastAsia="es-MX"/>
        </w:rPr>
        <w:t xml:space="preserve"> </w:t>
      </w:r>
      <w:r w:rsidR="002A59E7" w:rsidRPr="003A1174">
        <w:rPr>
          <w:rFonts w:ascii="Garamond" w:eastAsia="Times New Roman" w:hAnsi="Garamond" w:cs="Arial"/>
          <w:sz w:val="24"/>
          <w:szCs w:val="24"/>
          <w:lang w:eastAsia="es-MX"/>
        </w:rPr>
        <w:t>nova</w:t>
      </w:r>
      <w:r w:rsidR="009B7DC1" w:rsidRPr="003A1174">
        <w:rPr>
          <w:rFonts w:ascii="Garamond" w:eastAsia="Times New Roman" w:hAnsi="Garamond" w:cs="Arial"/>
          <w:sz w:val="24"/>
          <w:szCs w:val="24"/>
          <w:lang w:eastAsia="es-MX"/>
        </w:rPr>
        <w:t xml:space="preserve">s </w:t>
      </w:r>
      <w:r w:rsidR="00B14AA6" w:rsidRPr="003A1174">
        <w:rPr>
          <w:rFonts w:ascii="Garamond" w:eastAsia="Times New Roman" w:hAnsi="Garamond" w:cs="Arial"/>
          <w:sz w:val="24"/>
          <w:szCs w:val="24"/>
          <w:lang w:eastAsia="es-MX"/>
        </w:rPr>
        <w:t>disposições</w:t>
      </w:r>
      <w:r w:rsidR="009B7DC1" w:rsidRPr="003A1174">
        <w:rPr>
          <w:rFonts w:ascii="Garamond" w:eastAsia="Times New Roman" w:hAnsi="Garamond" w:cs="Arial"/>
          <w:sz w:val="24"/>
          <w:szCs w:val="24"/>
          <w:lang w:eastAsia="es-MX"/>
        </w:rPr>
        <w:t xml:space="preserve"> </w:t>
      </w:r>
      <w:r w:rsidR="00147717" w:rsidRPr="003A1174">
        <w:rPr>
          <w:rFonts w:ascii="Garamond" w:eastAsia="Times New Roman" w:hAnsi="Garamond" w:cs="Arial"/>
          <w:sz w:val="24"/>
          <w:szCs w:val="24"/>
          <w:lang w:eastAsia="es-MX"/>
        </w:rPr>
        <w:t xml:space="preserve">proferidas, </w:t>
      </w:r>
      <w:r w:rsidR="009B7DC1" w:rsidRPr="003A1174">
        <w:rPr>
          <w:rFonts w:ascii="Garamond" w:eastAsia="Times New Roman" w:hAnsi="Garamond" w:cs="Arial"/>
          <w:sz w:val="24"/>
          <w:szCs w:val="24"/>
          <w:lang w:eastAsia="es-MX"/>
        </w:rPr>
        <w:t>que parecer</w:t>
      </w:r>
      <w:r w:rsidR="00147717" w:rsidRPr="003A1174">
        <w:rPr>
          <w:rFonts w:ascii="Garamond" w:eastAsia="Times New Roman" w:hAnsi="Garamond" w:cs="Arial"/>
          <w:sz w:val="24"/>
          <w:szCs w:val="24"/>
          <w:lang w:eastAsia="es-MX"/>
        </w:rPr>
        <w:t>em</w:t>
      </w:r>
      <w:r w:rsidR="009B7DC1" w:rsidRPr="003A1174">
        <w:rPr>
          <w:rFonts w:ascii="Garamond" w:eastAsia="Times New Roman" w:hAnsi="Garamond" w:cs="Arial"/>
          <w:sz w:val="24"/>
          <w:szCs w:val="24"/>
          <w:lang w:eastAsia="es-MX"/>
        </w:rPr>
        <w:t xml:space="preserve"> ge</w:t>
      </w:r>
      <w:r w:rsidR="00147717" w:rsidRPr="003A1174">
        <w:rPr>
          <w:rFonts w:ascii="Garamond" w:eastAsia="Times New Roman" w:hAnsi="Garamond" w:cs="Arial"/>
          <w:sz w:val="24"/>
          <w:szCs w:val="24"/>
          <w:lang w:eastAsia="es-MX"/>
        </w:rPr>
        <w:t xml:space="preserve">rar uma </w:t>
      </w:r>
      <w:r w:rsidR="00863197" w:rsidRPr="003A1174">
        <w:rPr>
          <w:rFonts w:ascii="Garamond" w:eastAsia="Times New Roman" w:hAnsi="Garamond" w:cs="Arial"/>
          <w:sz w:val="24"/>
          <w:szCs w:val="24"/>
          <w:lang w:eastAsia="es-MX"/>
        </w:rPr>
        <w:t>maior</w:t>
      </w:r>
      <w:r w:rsidR="009B7DC1" w:rsidRPr="003A1174">
        <w:rPr>
          <w:rFonts w:ascii="Garamond" w:eastAsia="Times New Roman" w:hAnsi="Garamond" w:cs="Arial"/>
          <w:sz w:val="24"/>
          <w:szCs w:val="24"/>
          <w:lang w:eastAsia="es-MX"/>
        </w:rPr>
        <w:t xml:space="preserve"> clar</w:t>
      </w:r>
      <w:r w:rsidR="00147717" w:rsidRPr="003A1174">
        <w:rPr>
          <w:rFonts w:ascii="Garamond" w:eastAsia="Times New Roman" w:hAnsi="Garamond" w:cs="Arial"/>
          <w:sz w:val="24"/>
          <w:szCs w:val="24"/>
          <w:lang w:eastAsia="es-MX"/>
        </w:rPr>
        <w:t xml:space="preserve">eza e </w:t>
      </w:r>
      <w:r w:rsidR="009B7DC1" w:rsidRPr="003A1174">
        <w:rPr>
          <w:rFonts w:ascii="Garamond" w:eastAsia="Times New Roman" w:hAnsi="Garamond" w:cs="Arial"/>
          <w:sz w:val="24"/>
          <w:szCs w:val="24"/>
          <w:lang w:eastAsia="es-MX"/>
        </w:rPr>
        <w:t xml:space="preserve">certeza, </w:t>
      </w:r>
      <w:r w:rsidR="00030174" w:rsidRPr="003A1174">
        <w:rPr>
          <w:rFonts w:ascii="Garamond" w:eastAsia="Times New Roman" w:hAnsi="Garamond" w:cs="Arial"/>
          <w:sz w:val="24"/>
          <w:szCs w:val="24"/>
          <w:lang w:eastAsia="es-MX"/>
        </w:rPr>
        <w:t>s</w:t>
      </w:r>
      <w:r w:rsidR="00E34DB3" w:rsidRPr="003A1174">
        <w:rPr>
          <w:rFonts w:ascii="Garamond" w:eastAsia="Times New Roman" w:hAnsi="Garamond" w:cs="Arial"/>
          <w:sz w:val="24"/>
          <w:szCs w:val="24"/>
          <w:lang w:eastAsia="es-MX"/>
        </w:rPr>
        <w:t>e</w:t>
      </w:r>
      <w:r w:rsidR="00147717" w:rsidRPr="003A1174">
        <w:rPr>
          <w:rFonts w:ascii="Garamond" w:eastAsia="Times New Roman" w:hAnsi="Garamond" w:cs="Arial"/>
          <w:sz w:val="24"/>
          <w:szCs w:val="24"/>
          <w:lang w:eastAsia="es-MX"/>
        </w:rPr>
        <w:t>j</w:t>
      </w:r>
      <w:r w:rsidR="00030174" w:rsidRPr="003A1174">
        <w:rPr>
          <w:rFonts w:ascii="Garamond" w:eastAsia="Times New Roman" w:hAnsi="Garamond" w:cs="Arial"/>
          <w:sz w:val="24"/>
          <w:szCs w:val="24"/>
          <w:lang w:eastAsia="es-MX"/>
        </w:rPr>
        <w:t>a</w:t>
      </w:r>
      <w:r w:rsidR="009B7DC1" w:rsidRPr="003A1174">
        <w:rPr>
          <w:rFonts w:ascii="Garamond" w:eastAsia="Times New Roman" w:hAnsi="Garamond" w:cs="Arial"/>
          <w:sz w:val="24"/>
          <w:szCs w:val="24"/>
          <w:lang w:eastAsia="es-MX"/>
        </w:rPr>
        <w:t xml:space="preserve"> </w:t>
      </w:r>
      <w:r w:rsidR="00030174" w:rsidRPr="003A1174">
        <w:rPr>
          <w:rFonts w:ascii="Garamond" w:eastAsia="Times New Roman" w:hAnsi="Garamond" w:cs="Arial"/>
          <w:sz w:val="24"/>
          <w:szCs w:val="24"/>
          <w:lang w:eastAsia="es-MX"/>
        </w:rPr>
        <w:t>aplicada</w:t>
      </w:r>
      <w:r w:rsidR="00147717" w:rsidRPr="003A1174">
        <w:rPr>
          <w:rFonts w:ascii="Garamond" w:eastAsia="Times New Roman" w:hAnsi="Garamond" w:cs="Arial"/>
          <w:sz w:val="24"/>
          <w:szCs w:val="24"/>
          <w:lang w:eastAsia="es-MX"/>
        </w:rPr>
        <w:t xml:space="preserve"> com </w:t>
      </w:r>
      <w:r w:rsidR="009B7DC1" w:rsidRPr="003A1174">
        <w:rPr>
          <w:rFonts w:ascii="Garamond" w:eastAsia="Times New Roman" w:hAnsi="Garamond" w:cs="Arial"/>
          <w:sz w:val="24"/>
          <w:szCs w:val="24"/>
          <w:lang w:eastAsia="es-MX"/>
        </w:rPr>
        <w:t xml:space="preserve">a </w:t>
      </w:r>
      <w:r w:rsidR="00CF4C35" w:rsidRPr="003A1174">
        <w:rPr>
          <w:rFonts w:ascii="Garamond" w:eastAsia="Times New Roman" w:hAnsi="Garamond" w:cs="Arial"/>
          <w:sz w:val="24"/>
          <w:szCs w:val="24"/>
          <w:lang w:eastAsia="es-MX"/>
        </w:rPr>
        <w:t>Diligência Devida</w:t>
      </w:r>
      <w:r w:rsidR="00000655">
        <w:rPr>
          <w:rFonts w:ascii="Garamond" w:eastAsia="Times New Roman" w:hAnsi="Garamond" w:cs="Arial"/>
          <w:sz w:val="24"/>
          <w:szCs w:val="24"/>
          <w:lang w:eastAsia="es-MX"/>
        </w:rPr>
        <w:t>,</w:t>
      </w:r>
      <w:r w:rsidR="009B7DC1" w:rsidRPr="003A1174">
        <w:rPr>
          <w:rFonts w:ascii="Garamond" w:eastAsia="Times New Roman" w:hAnsi="Garamond" w:cs="Arial"/>
          <w:sz w:val="24"/>
          <w:szCs w:val="24"/>
          <w:lang w:eastAsia="es-MX"/>
        </w:rPr>
        <w:t xml:space="preserve"> para </w:t>
      </w:r>
      <w:r w:rsidR="00147717" w:rsidRPr="003A1174">
        <w:rPr>
          <w:rFonts w:ascii="Garamond" w:eastAsia="Times New Roman" w:hAnsi="Garamond" w:cs="Arial"/>
          <w:sz w:val="24"/>
          <w:szCs w:val="24"/>
          <w:lang w:eastAsia="es-MX"/>
        </w:rPr>
        <w:t xml:space="preserve">que se consiga reverter </w:t>
      </w:r>
      <w:proofErr w:type="gramStart"/>
      <w:r w:rsidR="00147717" w:rsidRPr="003A1174">
        <w:rPr>
          <w:rFonts w:ascii="Garamond" w:eastAsia="Times New Roman" w:hAnsi="Garamond" w:cs="Arial"/>
          <w:sz w:val="24"/>
          <w:szCs w:val="24"/>
          <w:lang w:eastAsia="es-MX"/>
        </w:rPr>
        <w:t>a</w:t>
      </w:r>
      <w:proofErr w:type="gramEnd"/>
      <w:r w:rsidR="00147717" w:rsidRPr="003A1174">
        <w:rPr>
          <w:rFonts w:ascii="Garamond" w:eastAsia="Times New Roman" w:hAnsi="Garamond" w:cs="Arial"/>
          <w:sz w:val="24"/>
          <w:szCs w:val="24"/>
          <w:lang w:eastAsia="es-MX"/>
        </w:rPr>
        <w:t xml:space="preserve"> </w:t>
      </w:r>
      <w:r w:rsidR="0017447A" w:rsidRPr="003A1174">
        <w:rPr>
          <w:rFonts w:ascii="Garamond" w:eastAsia="Times New Roman" w:hAnsi="Garamond" w:cs="Arial"/>
          <w:sz w:val="24"/>
          <w:szCs w:val="24"/>
          <w:lang w:eastAsia="es-MX"/>
        </w:rPr>
        <w:t>situação</w:t>
      </w:r>
      <w:r w:rsidR="009B7DC1" w:rsidRPr="003A1174">
        <w:rPr>
          <w:rFonts w:ascii="Garamond" w:eastAsia="Times New Roman" w:hAnsi="Garamond" w:cs="Arial"/>
          <w:sz w:val="24"/>
          <w:szCs w:val="24"/>
          <w:lang w:eastAsia="es-MX"/>
        </w:rPr>
        <w:t xml:space="preserve"> descrita </w:t>
      </w:r>
      <w:r w:rsidR="00497503" w:rsidRPr="003A1174">
        <w:rPr>
          <w:rFonts w:ascii="Garamond" w:eastAsia="Times New Roman" w:hAnsi="Garamond" w:cs="Arial"/>
          <w:sz w:val="24"/>
          <w:szCs w:val="24"/>
          <w:lang w:eastAsia="es-MX"/>
        </w:rPr>
        <w:t>e</w:t>
      </w:r>
      <w:r w:rsidR="006E4D0E">
        <w:rPr>
          <w:rFonts w:ascii="Garamond" w:eastAsia="Times New Roman" w:hAnsi="Garamond" w:cs="Arial"/>
          <w:sz w:val="24"/>
          <w:szCs w:val="24"/>
          <w:lang w:eastAsia="es-MX"/>
        </w:rPr>
        <w:t>,</w:t>
      </w:r>
      <w:r w:rsidR="00840CF5" w:rsidRPr="003A1174">
        <w:rPr>
          <w:rFonts w:ascii="Garamond" w:eastAsia="Times New Roman" w:hAnsi="Garamond" w:cs="Arial"/>
          <w:sz w:val="24"/>
          <w:szCs w:val="24"/>
          <w:lang w:eastAsia="es-MX"/>
        </w:rPr>
        <w:t xml:space="preserve"> </w:t>
      </w:r>
      <w:r w:rsidR="00147717" w:rsidRPr="003A1174">
        <w:rPr>
          <w:rFonts w:ascii="Garamond" w:eastAsia="Times New Roman" w:hAnsi="Garamond" w:cs="Arial"/>
          <w:sz w:val="24"/>
          <w:szCs w:val="24"/>
          <w:lang w:eastAsia="es-MX"/>
        </w:rPr>
        <w:t>desta forma</w:t>
      </w:r>
      <w:r w:rsidR="006E4D0E">
        <w:rPr>
          <w:rFonts w:ascii="Garamond" w:eastAsia="Times New Roman" w:hAnsi="Garamond" w:cs="Arial"/>
          <w:sz w:val="24"/>
          <w:szCs w:val="24"/>
          <w:lang w:eastAsia="es-MX"/>
        </w:rPr>
        <w:t>,</w:t>
      </w:r>
      <w:r w:rsidR="00147717" w:rsidRPr="003A1174">
        <w:rPr>
          <w:rFonts w:ascii="Garamond" w:eastAsia="Times New Roman" w:hAnsi="Garamond" w:cs="Arial"/>
          <w:sz w:val="24"/>
          <w:szCs w:val="24"/>
          <w:lang w:eastAsia="es-MX"/>
        </w:rPr>
        <w:t xml:space="preserve"> po</w:t>
      </w:r>
      <w:r w:rsidR="00840CF5" w:rsidRPr="003A1174">
        <w:rPr>
          <w:rFonts w:ascii="Garamond" w:eastAsia="Times New Roman" w:hAnsi="Garamond" w:cs="Arial"/>
          <w:sz w:val="24"/>
          <w:szCs w:val="24"/>
          <w:lang w:eastAsia="es-MX"/>
        </w:rPr>
        <w:t>der</w:t>
      </w:r>
      <w:r w:rsidR="009B7DC1" w:rsidRPr="003A1174">
        <w:rPr>
          <w:rFonts w:ascii="Garamond" w:eastAsia="Times New Roman" w:hAnsi="Garamond" w:cs="Arial"/>
          <w:sz w:val="24"/>
          <w:szCs w:val="24"/>
          <w:lang w:eastAsia="es-MX"/>
        </w:rPr>
        <w:t xml:space="preserve"> materializar </w:t>
      </w:r>
      <w:r w:rsidR="00147717" w:rsidRPr="003A1174">
        <w:rPr>
          <w:rFonts w:ascii="Garamond" w:eastAsia="Times New Roman" w:hAnsi="Garamond" w:cs="Arial"/>
          <w:sz w:val="24"/>
          <w:szCs w:val="24"/>
          <w:lang w:eastAsia="es-MX"/>
        </w:rPr>
        <w:t xml:space="preserve">o </w:t>
      </w:r>
      <w:r w:rsidR="00886D6A" w:rsidRPr="003A1174">
        <w:rPr>
          <w:rFonts w:ascii="Garamond" w:eastAsia="Times New Roman" w:hAnsi="Garamond" w:cs="Arial"/>
          <w:sz w:val="24"/>
          <w:szCs w:val="24"/>
          <w:lang w:eastAsia="es-MX"/>
        </w:rPr>
        <w:t>Acesso</w:t>
      </w:r>
      <w:r w:rsidR="009B7DC1" w:rsidRPr="003A1174">
        <w:rPr>
          <w:rFonts w:ascii="Garamond" w:eastAsia="Times New Roman" w:hAnsi="Garamond" w:cs="Arial"/>
          <w:sz w:val="24"/>
          <w:szCs w:val="24"/>
          <w:lang w:eastAsia="es-MX"/>
        </w:rPr>
        <w:t xml:space="preserve"> </w:t>
      </w:r>
      <w:r w:rsidR="00147717" w:rsidRPr="003A1174">
        <w:rPr>
          <w:rFonts w:ascii="Garamond" w:eastAsia="Times New Roman" w:hAnsi="Garamond" w:cs="Arial"/>
          <w:sz w:val="24"/>
          <w:szCs w:val="24"/>
          <w:lang w:eastAsia="es-MX"/>
        </w:rPr>
        <w:t xml:space="preserve">à </w:t>
      </w:r>
      <w:r w:rsidR="00FC1F7F" w:rsidRPr="003A1174">
        <w:rPr>
          <w:rFonts w:ascii="Garamond" w:eastAsia="Times New Roman" w:hAnsi="Garamond" w:cs="Arial"/>
          <w:sz w:val="24"/>
          <w:szCs w:val="24"/>
          <w:lang w:eastAsia="es-MX"/>
        </w:rPr>
        <w:t>Justiça</w:t>
      </w:r>
      <w:r w:rsidR="009B7DC1" w:rsidRPr="003A1174">
        <w:rPr>
          <w:rFonts w:ascii="Garamond" w:eastAsia="Times New Roman" w:hAnsi="Garamond" w:cs="Arial"/>
          <w:sz w:val="24"/>
          <w:szCs w:val="24"/>
          <w:lang w:eastAsia="es-MX"/>
        </w:rPr>
        <w:t xml:space="preserve"> </w:t>
      </w:r>
      <w:r w:rsidR="00000655">
        <w:rPr>
          <w:rFonts w:ascii="Garamond" w:eastAsia="Times New Roman" w:hAnsi="Garamond" w:cs="Arial"/>
          <w:sz w:val="24"/>
          <w:szCs w:val="24"/>
          <w:lang w:eastAsia="es-MX"/>
        </w:rPr>
        <w:t xml:space="preserve">por parte </w:t>
      </w:r>
      <w:r w:rsidR="00497503" w:rsidRPr="003A1174">
        <w:rPr>
          <w:rFonts w:ascii="Garamond" w:eastAsia="Times New Roman" w:hAnsi="Garamond" w:cs="Arial"/>
          <w:sz w:val="24"/>
          <w:szCs w:val="24"/>
          <w:lang w:eastAsia="es-MX"/>
        </w:rPr>
        <w:t>das</w:t>
      </w:r>
      <w:r w:rsidR="009B7DC1" w:rsidRPr="003A1174">
        <w:rPr>
          <w:rFonts w:ascii="Garamond" w:eastAsia="Times New Roman" w:hAnsi="Garamond" w:cs="Arial"/>
          <w:sz w:val="24"/>
          <w:szCs w:val="24"/>
          <w:lang w:eastAsia="es-MX"/>
        </w:rPr>
        <w:t xml:space="preserve"> </w:t>
      </w:r>
      <w:r w:rsidR="003F012B" w:rsidRPr="003A1174">
        <w:rPr>
          <w:rFonts w:ascii="Garamond" w:eastAsia="Times New Roman" w:hAnsi="Garamond" w:cs="Arial"/>
          <w:sz w:val="24"/>
          <w:szCs w:val="24"/>
          <w:lang w:eastAsia="es-MX"/>
        </w:rPr>
        <w:t>vítima</w:t>
      </w:r>
      <w:r w:rsidR="009B7DC1" w:rsidRPr="003A1174">
        <w:rPr>
          <w:rFonts w:ascii="Garamond" w:eastAsia="Times New Roman" w:hAnsi="Garamond" w:cs="Arial"/>
          <w:sz w:val="24"/>
          <w:szCs w:val="24"/>
          <w:lang w:eastAsia="es-MX"/>
        </w:rPr>
        <w:t xml:space="preserve">s. </w:t>
      </w:r>
      <w:r w:rsidR="006E4D0E">
        <w:rPr>
          <w:rFonts w:ascii="Garamond" w:eastAsia="Times New Roman" w:hAnsi="Garamond" w:cs="Arial"/>
          <w:sz w:val="24"/>
          <w:szCs w:val="24"/>
          <w:lang w:eastAsia="es-MX"/>
        </w:rPr>
        <w:t>Contudo,</w:t>
      </w:r>
      <w:r w:rsidR="00147717" w:rsidRPr="003A1174">
        <w:rPr>
          <w:rFonts w:ascii="Garamond" w:eastAsia="Times New Roman" w:hAnsi="Garamond" w:cs="Arial"/>
          <w:sz w:val="24"/>
          <w:szCs w:val="24"/>
          <w:lang w:eastAsia="es-MX"/>
        </w:rPr>
        <w:t xml:space="preserve"> i</w:t>
      </w:r>
      <w:r w:rsidR="009B7DC1" w:rsidRPr="003A1174">
        <w:rPr>
          <w:rFonts w:ascii="Garamond" w:eastAsia="Times New Roman" w:hAnsi="Garamond" w:cs="Arial"/>
          <w:sz w:val="24"/>
          <w:szCs w:val="24"/>
          <w:lang w:eastAsia="es-MX"/>
        </w:rPr>
        <w:t xml:space="preserve">sto </w:t>
      </w:r>
      <w:r w:rsidR="00147717" w:rsidRPr="003A1174">
        <w:rPr>
          <w:rFonts w:ascii="Garamond" w:eastAsia="Times New Roman" w:hAnsi="Garamond" w:cs="Arial"/>
          <w:sz w:val="24"/>
          <w:szCs w:val="24"/>
          <w:lang w:eastAsia="es-MX"/>
        </w:rPr>
        <w:t xml:space="preserve">ainda é uma </w:t>
      </w:r>
      <w:r w:rsidR="006E4D0E">
        <w:rPr>
          <w:rFonts w:ascii="Garamond" w:eastAsia="Times New Roman" w:hAnsi="Garamond" w:cs="Arial"/>
          <w:sz w:val="24"/>
          <w:szCs w:val="24"/>
          <w:lang w:eastAsia="es-MX"/>
        </w:rPr>
        <w:t xml:space="preserve">mera </w:t>
      </w:r>
      <w:r w:rsidR="00682C71" w:rsidRPr="003A1174">
        <w:rPr>
          <w:rFonts w:ascii="Garamond" w:eastAsia="Times New Roman" w:hAnsi="Garamond" w:cs="Arial"/>
          <w:sz w:val="24"/>
          <w:szCs w:val="24"/>
          <w:lang w:eastAsia="es-MX"/>
        </w:rPr>
        <w:t>expe</w:t>
      </w:r>
      <w:r w:rsidR="006E4D0E">
        <w:rPr>
          <w:rFonts w:ascii="Garamond" w:eastAsia="Times New Roman" w:hAnsi="Garamond" w:cs="Arial"/>
          <w:sz w:val="24"/>
          <w:szCs w:val="24"/>
          <w:lang w:eastAsia="es-MX"/>
        </w:rPr>
        <w:t>c</w:t>
      </w:r>
      <w:r w:rsidR="00682C71" w:rsidRPr="003A1174">
        <w:rPr>
          <w:rFonts w:ascii="Garamond" w:eastAsia="Times New Roman" w:hAnsi="Garamond" w:cs="Arial"/>
          <w:sz w:val="24"/>
          <w:szCs w:val="24"/>
          <w:lang w:eastAsia="es-MX"/>
        </w:rPr>
        <w:t>tativa</w:t>
      </w:r>
      <w:r w:rsidR="009B7DC1" w:rsidRPr="003A1174">
        <w:rPr>
          <w:rFonts w:ascii="Garamond" w:eastAsia="Times New Roman" w:hAnsi="Garamond" w:cs="Arial"/>
          <w:sz w:val="24"/>
          <w:szCs w:val="24"/>
          <w:lang w:eastAsia="es-MX"/>
        </w:rPr>
        <w:t xml:space="preserve">. </w:t>
      </w:r>
    </w:p>
    <w:p w:rsidR="00000655" w:rsidRDefault="00000655">
      <w:pPr>
        <w:rPr>
          <w:rFonts w:ascii="Garamond" w:eastAsia="Times New Roman" w:hAnsi="Garamond" w:cs="Arial"/>
          <w:sz w:val="24"/>
          <w:szCs w:val="24"/>
          <w:lang w:eastAsia="es-MX"/>
        </w:rPr>
      </w:pPr>
      <w:r>
        <w:rPr>
          <w:rFonts w:ascii="Garamond" w:eastAsia="Times New Roman" w:hAnsi="Garamond" w:cs="Arial"/>
          <w:sz w:val="24"/>
          <w:szCs w:val="24"/>
          <w:lang w:eastAsia="es-MX"/>
        </w:rPr>
        <w:br w:type="page"/>
      </w:r>
    </w:p>
    <w:p w:rsidR="009B7DC1" w:rsidRPr="003A1174" w:rsidRDefault="009B7DC1" w:rsidP="008719D4">
      <w:pPr>
        <w:spacing w:after="0" w:line="240" w:lineRule="auto"/>
        <w:jc w:val="both"/>
        <w:rPr>
          <w:rFonts w:ascii="Garamond" w:eastAsia="Times New Roman" w:hAnsi="Garamond" w:cs="Arial"/>
          <w:sz w:val="24"/>
          <w:szCs w:val="24"/>
          <w:lang w:eastAsia="es-MX"/>
        </w:rPr>
      </w:pPr>
    </w:p>
    <w:p w:rsidR="00CA39B2" w:rsidRPr="003A1174" w:rsidRDefault="00C30647" w:rsidP="008719D4">
      <w:pPr>
        <w:spacing w:before="240" w:line="240" w:lineRule="auto"/>
        <w:jc w:val="both"/>
        <w:rPr>
          <w:rFonts w:ascii="Garamond" w:hAnsi="Garamond" w:cs="Arial"/>
          <w:sz w:val="24"/>
          <w:szCs w:val="24"/>
        </w:rPr>
      </w:pPr>
      <w:bookmarkStart w:id="24" w:name="_Toc421529712"/>
      <w:r w:rsidRPr="003A1174">
        <w:rPr>
          <w:rStyle w:val="Ttulo3Car"/>
          <w:rFonts w:ascii="Garamond" w:hAnsi="Garamond"/>
          <w:sz w:val="24"/>
          <w:szCs w:val="24"/>
        </w:rPr>
        <w:t>Paraguai</w:t>
      </w:r>
      <w:bookmarkEnd w:id="24"/>
      <w:r w:rsidR="00CA39B2" w:rsidRPr="003A1174">
        <w:rPr>
          <w:rStyle w:val="Refdenotaalpie"/>
          <w:rFonts w:ascii="Garamond" w:hAnsi="Garamond" w:cs="Arial"/>
          <w:sz w:val="24"/>
          <w:szCs w:val="24"/>
        </w:rPr>
        <w:footnoteReference w:id="75"/>
      </w:r>
    </w:p>
    <w:p w:rsidR="00373002" w:rsidRPr="003A1174" w:rsidRDefault="00373002" w:rsidP="008719D4">
      <w:pPr>
        <w:pStyle w:val="Prrafodelista1"/>
        <w:spacing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CB5DB2" w:rsidRPr="003A1174">
        <w:rPr>
          <w:rFonts w:ascii="Garamond" w:hAnsi="Garamond" w:cs="Arial"/>
          <w:color w:val="auto"/>
          <w:sz w:val="24"/>
          <w:szCs w:val="24"/>
        </w:rPr>
        <w:t>referência</w:t>
      </w:r>
      <w:r w:rsidR="00147717" w:rsidRPr="003A1174">
        <w:rPr>
          <w:rFonts w:ascii="Garamond" w:hAnsi="Garamond" w:cs="Arial"/>
          <w:color w:val="auto"/>
          <w:sz w:val="24"/>
          <w:szCs w:val="24"/>
        </w:rPr>
        <w:t xml:space="preserve"> pré</w:t>
      </w:r>
      <w:r w:rsidRPr="003A1174">
        <w:rPr>
          <w:rFonts w:ascii="Garamond" w:hAnsi="Garamond" w:cs="Arial"/>
          <w:color w:val="auto"/>
          <w:sz w:val="24"/>
          <w:szCs w:val="24"/>
        </w:rPr>
        <w:t>vi</w:t>
      </w:r>
      <w:r w:rsidR="006E4D0E">
        <w:rPr>
          <w:rFonts w:ascii="Garamond" w:hAnsi="Garamond" w:cs="Arial"/>
          <w:color w:val="auto"/>
          <w:sz w:val="24"/>
          <w:szCs w:val="24"/>
        </w:rPr>
        <w:t>a</w:t>
      </w:r>
      <w:r w:rsidR="000F7C74" w:rsidRPr="003A1174">
        <w:rPr>
          <w:rFonts w:ascii="Garamond" w:hAnsi="Garamond" w:cs="Arial"/>
          <w:color w:val="auto"/>
          <w:sz w:val="24"/>
          <w:szCs w:val="24"/>
        </w:rPr>
        <w:t xml:space="preserve">, </w:t>
      </w:r>
      <w:r w:rsidR="006E4D0E">
        <w:rPr>
          <w:rFonts w:ascii="Garamond" w:hAnsi="Garamond" w:cs="Arial"/>
          <w:color w:val="auto"/>
          <w:sz w:val="24"/>
          <w:szCs w:val="24"/>
        </w:rPr>
        <w:t>adiantamos</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que </w:t>
      </w:r>
      <w:r w:rsidR="006E4D0E">
        <w:rPr>
          <w:rFonts w:ascii="Garamond" w:hAnsi="Garamond" w:cs="Arial"/>
          <w:color w:val="auto"/>
          <w:sz w:val="24"/>
          <w:szCs w:val="24"/>
        </w:rPr>
        <w:t xml:space="preserve">o Paraguai </w:t>
      </w:r>
      <w:r w:rsidR="0074243F" w:rsidRPr="003A1174">
        <w:rPr>
          <w:rFonts w:ascii="Garamond" w:hAnsi="Garamond" w:cs="Arial"/>
          <w:color w:val="auto"/>
          <w:sz w:val="24"/>
          <w:szCs w:val="24"/>
        </w:rPr>
        <w:t>ratificou</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6E4D0E">
        <w:rPr>
          <w:rFonts w:ascii="Garamond" w:hAnsi="Garamond" w:cs="Arial"/>
          <w:color w:val="auto"/>
          <w:sz w:val="24"/>
          <w:szCs w:val="24"/>
        </w:rPr>
        <w:t>,</w:t>
      </w:r>
      <w:r w:rsidRPr="003A1174">
        <w:rPr>
          <w:rFonts w:ascii="Garamond" w:hAnsi="Garamond" w:cs="Arial"/>
          <w:color w:val="auto"/>
          <w:sz w:val="24"/>
          <w:szCs w:val="24"/>
        </w:rPr>
        <w:t xml:space="preserve"> </w:t>
      </w:r>
      <w:r w:rsidR="00147717" w:rsidRPr="003A1174">
        <w:rPr>
          <w:rFonts w:ascii="Garamond" w:hAnsi="Garamond" w:cs="Arial"/>
          <w:color w:val="auto"/>
          <w:sz w:val="24"/>
          <w:szCs w:val="24"/>
        </w:rPr>
        <w:t xml:space="preserve">a </w:t>
      </w:r>
      <w:r w:rsidRPr="003A1174">
        <w:rPr>
          <w:rFonts w:ascii="Garamond" w:hAnsi="Garamond" w:cs="Arial"/>
          <w:color w:val="auto"/>
          <w:sz w:val="24"/>
          <w:szCs w:val="24"/>
        </w:rPr>
        <w:t>24 de agosto de 1984</w:t>
      </w:r>
      <w:r w:rsidR="006E4D0E">
        <w:rPr>
          <w:rFonts w:ascii="Garamond" w:hAnsi="Garamond" w:cs="Arial"/>
          <w:color w:val="auto"/>
          <w:sz w:val="24"/>
          <w:szCs w:val="24"/>
        </w:rPr>
        <w:t>,</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w:t>
      </w:r>
      <w:r w:rsidR="00042808">
        <w:rPr>
          <w:rFonts w:ascii="Garamond" w:hAnsi="Garamond" w:cs="Arial"/>
          <w:color w:val="auto"/>
          <w:sz w:val="24"/>
          <w:szCs w:val="24"/>
        </w:rPr>
        <w:t xml:space="preserve"> </w:t>
      </w:r>
      <w:r w:rsidR="00935298">
        <w:rPr>
          <w:rFonts w:ascii="Garamond" w:hAnsi="Garamond" w:cs="Arial"/>
          <w:color w:val="auto"/>
          <w:sz w:val="24"/>
          <w:szCs w:val="24"/>
        </w:rPr>
        <w:t>T</w:t>
      </w:r>
      <w:r w:rsidR="002B33D4">
        <w:rPr>
          <w:rFonts w:ascii="Garamond" w:hAnsi="Garamond" w:cs="Arial"/>
          <w:color w:val="auto"/>
          <w:sz w:val="24"/>
          <w:szCs w:val="24"/>
        </w:rPr>
        <w:t>r</w:t>
      </w:r>
      <w:r w:rsidR="00935298">
        <w:rPr>
          <w:rFonts w:ascii="Garamond" w:hAnsi="Garamond" w:cs="Arial"/>
          <w:color w:val="auto"/>
          <w:sz w:val="24"/>
          <w:szCs w:val="24"/>
        </w:rPr>
        <w:t>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6E4D0E">
        <w:rPr>
          <w:rFonts w:ascii="Garamond" w:hAnsi="Garamond" w:cs="Arial"/>
          <w:color w:val="auto"/>
          <w:sz w:val="24"/>
          <w:szCs w:val="24"/>
        </w:rPr>
        <w:t>,</w:t>
      </w:r>
      <w:r w:rsidRPr="003A1174">
        <w:rPr>
          <w:rFonts w:ascii="Garamond" w:hAnsi="Garamond" w:cs="Arial"/>
          <w:color w:val="auto"/>
          <w:sz w:val="24"/>
          <w:szCs w:val="24"/>
        </w:rPr>
        <w:t xml:space="preserve"> </w:t>
      </w:r>
      <w:r w:rsidR="00147717" w:rsidRPr="003A1174">
        <w:rPr>
          <w:rFonts w:ascii="Garamond" w:hAnsi="Garamond" w:cs="Arial"/>
          <w:color w:val="auto"/>
          <w:sz w:val="24"/>
          <w:szCs w:val="24"/>
        </w:rPr>
        <w:t xml:space="preserve">a </w:t>
      </w:r>
      <w:r w:rsidRPr="003A1174">
        <w:rPr>
          <w:rFonts w:ascii="Garamond" w:hAnsi="Garamond" w:cs="Arial"/>
          <w:color w:val="auto"/>
          <w:sz w:val="24"/>
          <w:szCs w:val="24"/>
        </w:rPr>
        <w:t xml:space="preserve">26 de </w:t>
      </w:r>
      <w:r w:rsidR="00C553E2" w:rsidRPr="003A1174">
        <w:rPr>
          <w:rFonts w:ascii="Garamond" w:hAnsi="Garamond" w:cs="Arial"/>
          <w:color w:val="auto"/>
          <w:sz w:val="24"/>
          <w:szCs w:val="24"/>
        </w:rPr>
        <w:t>março</w:t>
      </w:r>
      <w:r w:rsidRPr="003A1174">
        <w:rPr>
          <w:rFonts w:ascii="Garamond" w:hAnsi="Garamond" w:cs="Arial"/>
          <w:color w:val="auto"/>
          <w:sz w:val="24"/>
          <w:szCs w:val="24"/>
        </w:rPr>
        <w:t xml:space="preserve"> de 1993.</w:t>
      </w:r>
      <w:r w:rsidR="00046CE9" w:rsidRPr="003A1174">
        <w:rPr>
          <w:rFonts w:ascii="Garamond" w:hAnsi="Garamond" w:cs="Arial"/>
          <w:color w:val="auto"/>
          <w:sz w:val="24"/>
          <w:szCs w:val="24"/>
        </w:rPr>
        <w:t xml:space="preserve"> </w:t>
      </w:r>
      <w:r w:rsidR="0074243F" w:rsidRPr="003A1174">
        <w:rPr>
          <w:rFonts w:ascii="Garamond" w:hAnsi="Garamond" w:cs="Arial"/>
          <w:color w:val="auto"/>
          <w:sz w:val="24"/>
          <w:szCs w:val="24"/>
        </w:rPr>
        <w:t>Ratificou</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147717" w:rsidRPr="003A1174">
        <w:rPr>
          <w:rFonts w:ascii="Garamond" w:hAnsi="Garamond" w:cs="Arial"/>
          <w:color w:val="auto"/>
          <w:sz w:val="24"/>
          <w:szCs w:val="24"/>
        </w:rPr>
        <w:t xml:space="preserve"> sobre </w:t>
      </w:r>
      <w:r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147717" w:rsidRPr="003A1174">
        <w:rPr>
          <w:rFonts w:ascii="Garamond" w:hAnsi="Garamond" w:cs="Arial"/>
          <w:color w:val="auto"/>
          <w:sz w:val="24"/>
          <w:szCs w:val="24"/>
        </w:rPr>
        <w:t xml:space="preserve"> de Todas </w:t>
      </w:r>
      <w:r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147717" w:rsidRPr="003A1174">
        <w:rPr>
          <w:rFonts w:ascii="Garamond" w:hAnsi="Garamond" w:cs="Arial"/>
          <w:color w:val="auto"/>
          <w:sz w:val="24"/>
          <w:szCs w:val="24"/>
        </w:rPr>
        <w:t xml:space="preserve"> Contra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6E4D0E">
        <w:rPr>
          <w:rFonts w:ascii="Garamond" w:hAnsi="Garamond" w:cs="Arial"/>
          <w:color w:val="auto"/>
          <w:sz w:val="24"/>
          <w:szCs w:val="24"/>
        </w:rPr>
        <w:t>,</w:t>
      </w:r>
      <w:r w:rsidRPr="003A1174">
        <w:rPr>
          <w:rFonts w:ascii="Garamond" w:hAnsi="Garamond" w:cs="Arial"/>
          <w:color w:val="auto"/>
          <w:sz w:val="24"/>
          <w:szCs w:val="24"/>
        </w:rPr>
        <w:t xml:space="preserve"> </w:t>
      </w:r>
      <w:r w:rsidR="00147717" w:rsidRPr="003A1174">
        <w:rPr>
          <w:rFonts w:ascii="Garamond" w:hAnsi="Garamond" w:cs="Arial"/>
          <w:color w:val="auto"/>
          <w:sz w:val="24"/>
          <w:szCs w:val="24"/>
        </w:rPr>
        <w:t xml:space="preserve">a </w:t>
      </w:r>
      <w:r w:rsidRPr="003A1174">
        <w:rPr>
          <w:rFonts w:ascii="Garamond" w:hAnsi="Garamond" w:cs="Arial"/>
          <w:color w:val="auto"/>
          <w:sz w:val="24"/>
          <w:szCs w:val="24"/>
        </w:rPr>
        <w:t>6 de abril de 1987</w:t>
      </w:r>
      <w:r w:rsidR="006E4D0E">
        <w:rPr>
          <w:rFonts w:ascii="Garamond" w:hAnsi="Garamond" w:cs="Arial"/>
          <w:color w:val="auto"/>
          <w:sz w:val="24"/>
          <w:szCs w:val="24"/>
        </w:rPr>
        <w:t>,</w:t>
      </w:r>
      <w:r w:rsidR="000F7C74"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147717"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147717" w:rsidRPr="003A1174">
        <w:rPr>
          <w:rFonts w:ascii="Garamond" w:hAnsi="Garamond" w:cs="Arial"/>
          <w:color w:val="auto"/>
          <w:sz w:val="24"/>
          <w:szCs w:val="24"/>
        </w:rPr>
        <w:t xml:space="preserve"> </w:t>
      </w:r>
      <w:r w:rsidR="006E4D0E">
        <w:rPr>
          <w:rFonts w:ascii="Garamond" w:hAnsi="Garamond" w:cs="Arial"/>
          <w:color w:val="auto"/>
          <w:sz w:val="24"/>
          <w:szCs w:val="24"/>
        </w:rPr>
        <w:t>C</w:t>
      </w:r>
      <w:r w:rsidR="00147717" w:rsidRPr="003A1174">
        <w:rPr>
          <w:rFonts w:ascii="Garamond" w:hAnsi="Garamond" w:cs="Arial"/>
          <w:color w:val="auto"/>
          <w:sz w:val="24"/>
          <w:szCs w:val="24"/>
        </w:rPr>
        <w:t xml:space="preserve">ontra </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0F7C74" w:rsidRPr="003A1174">
        <w:rPr>
          <w:rFonts w:ascii="Garamond" w:hAnsi="Garamond" w:cs="Arial"/>
          <w:color w:val="auto"/>
          <w:sz w:val="24"/>
          <w:szCs w:val="24"/>
        </w:rPr>
        <w:t>,</w:t>
      </w:r>
      <w:r w:rsidRPr="003A1174">
        <w:rPr>
          <w:rFonts w:ascii="Garamond" w:hAnsi="Garamond" w:cs="Arial"/>
          <w:color w:val="auto"/>
          <w:sz w:val="24"/>
          <w:szCs w:val="24"/>
        </w:rPr>
        <w:t xml:space="preserve"> </w:t>
      </w:r>
      <w:r w:rsidR="006E4D0E">
        <w:rPr>
          <w:rFonts w:ascii="Garamond" w:hAnsi="Garamond" w:cs="Arial"/>
          <w:color w:val="auto"/>
          <w:sz w:val="24"/>
          <w:szCs w:val="24"/>
        </w:rPr>
        <w:t>«</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de Belém do Pará</w:t>
      </w:r>
      <w:r w:rsidR="006E4D0E">
        <w:rPr>
          <w:rFonts w:ascii="Garamond" w:hAnsi="Garamond" w:cs="Arial"/>
          <w:color w:val="auto"/>
          <w:sz w:val="24"/>
          <w:szCs w:val="24"/>
        </w:rPr>
        <w:t>»</w:t>
      </w:r>
      <w:r w:rsidR="000F7C74" w:rsidRPr="003A1174">
        <w:rPr>
          <w:rFonts w:ascii="Garamond" w:hAnsi="Garamond" w:cs="Arial"/>
          <w:color w:val="auto"/>
          <w:sz w:val="24"/>
          <w:szCs w:val="24"/>
        </w:rPr>
        <w:t>,</w:t>
      </w:r>
      <w:r w:rsidR="00147717" w:rsidRPr="003A1174">
        <w:rPr>
          <w:rFonts w:ascii="Garamond" w:hAnsi="Garamond" w:cs="Arial"/>
          <w:color w:val="auto"/>
          <w:sz w:val="24"/>
          <w:szCs w:val="24"/>
        </w:rPr>
        <w:t xml:space="preserve"> a</w:t>
      </w:r>
      <w:r w:rsidRPr="003A1174">
        <w:rPr>
          <w:rFonts w:ascii="Garamond" w:hAnsi="Garamond" w:cs="Arial"/>
          <w:color w:val="auto"/>
          <w:sz w:val="24"/>
          <w:szCs w:val="24"/>
        </w:rPr>
        <w:t xml:space="preserve"> 18 de </w:t>
      </w:r>
      <w:r w:rsidR="00374785" w:rsidRPr="003A1174">
        <w:rPr>
          <w:rFonts w:ascii="Garamond" w:hAnsi="Garamond" w:cs="Arial"/>
          <w:color w:val="auto"/>
          <w:sz w:val="24"/>
          <w:szCs w:val="24"/>
        </w:rPr>
        <w:t>outubro</w:t>
      </w:r>
      <w:r w:rsidRPr="003A1174">
        <w:rPr>
          <w:rFonts w:ascii="Garamond" w:hAnsi="Garamond" w:cs="Arial"/>
          <w:color w:val="auto"/>
          <w:sz w:val="24"/>
          <w:szCs w:val="24"/>
        </w:rPr>
        <w:t xml:space="preserve"> de 1995.</w:t>
      </w:r>
    </w:p>
    <w:p w:rsidR="00F950B2" w:rsidRPr="003A1174" w:rsidRDefault="00B14AA6"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F950B2"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F950B2" w:rsidRPr="003A1174">
        <w:rPr>
          <w:rFonts w:ascii="Garamond" w:hAnsi="Garamond" w:cs="Arial"/>
          <w:color w:val="auto"/>
          <w:sz w:val="24"/>
          <w:szCs w:val="24"/>
        </w:rPr>
        <w:tab/>
      </w:r>
    </w:p>
    <w:p w:rsidR="00CA39B2" w:rsidRPr="003A1174" w:rsidRDefault="00147717" w:rsidP="00147717">
      <w:pPr>
        <w:pStyle w:val="Predeterminado"/>
        <w:spacing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 xml:space="preserve">Informa-se </w:t>
      </w:r>
      <w:r w:rsidR="00CA39B2" w:rsidRPr="003A1174">
        <w:rPr>
          <w:rFonts w:ascii="Garamond" w:hAnsi="Garamond" w:cs="Arial"/>
          <w:bCs/>
          <w:color w:val="auto"/>
          <w:sz w:val="24"/>
          <w:szCs w:val="24"/>
          <w:lang w:val="pt-PT"/>
        </w:rPr>
        <w:t>que existe u</w:t>
      </w:r>
      <w:r w:rsidRPr="003A1174">
        <w:rPr>
          <w:rFonts w:ascii="Garamond" w:hAnsi="Garamond" w:cs="Arial"/>
          <w:bCs/>
          <w:color w:val="auto"/>
          <w:sz w:val="24"/>
          <w:szCs w:val="24"/>
          <w:lang w:val="pt-PT"/>
        </w:rPr>
        <w:t>m</w:t>
      </w:r>
      <w:r w:rsidR="00CA39B2" w:rsidRPr="003A1174">
        <w:rPr>
          <w:rFonts w:ascii="Garamond" w:hAnsi="Garamond" w:cs="Arial"/>
          <w:bCs/>
          <w:color w:val="auto"/>
          <w:sz w:val="24"/>
          <w:szCs w:val="24"/>
          <w:lang w:val="pt-PT"/>
        </w:rPr>
        <w:t xml:space="preserve"> </w:t>
      </w:r>
      <w:r w:rsidR="00C30647" w:rsidRPr="003A1174">
        <w:rPr>
          <w:rFonts w:ascii="Garamond" w:hAnsi="Garamond" w:cs="Arial"/>
          <w:bCs/>
          <w:color w:val="auto"/>
          <w:sz w:val="24"/>
          <w:szCs w:val="24"/>
          <w:lang w:val="pt-PT"/>
        </w:rPr>
        <w:t>projeto</w:t>
      </w:r>
      <w:r w:rsidR="00CA39B2" w:rsidRPr="003A1174">
        <w:rPr>
          <w:rFonts w:ascii="Garamond" w:hAnsi="Garamond" w:cs="Arial"/>
          <w:bCs/>
          <w:color w:val="auto"/>
          <w:sz w:val="24"/>
          <w:szCs w:val="24"/>
          <w:lang w:val="pt-PT"/>
        </w:rPr>
        <w:t xml:space="preserve"> de </w:t>
      </w:r>
      <w:r w:rsidR="00D15AFF" w:rsidRPr="003A1174">
        <w:rPr>
          <w:rFonts w:ascii="Garamond" w:hAnsi="Garamond" w:cs="Arial"/>
          <w:bCs/>
          <w:color w:val="auto"/>
          <w:sz w:val="24"/>
          <w:szCs w:val="24"/>
          <w:lang w:val="pt-PT"/>
        </w:rPr>
        <w:t>Lei</w:t>
      </w:r>
      <w:r w:rsidR="00CA39B2" w:rsidRPr="003A1174">
        <w:rPr>
          <w:rFonts w:ascii="Garamond" w:hAnsi="Garamond" w:cs="Arial"/>
          <w:bCs/>
          <w:color w:val="auto"/>
          <w:sz w:val="24"/>
          <w:szCs w:val="24"/>
          <w:lang w:val="pt-PT"/>
        </w:rPr>
        <w:t xml:space="preserve"> Integral</w:t>
      </w:r>
      <w:r w:rsidR="00025C7F" w:rsidRPr="003A1174">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xml:space="preserve"> resultado de u</w:t>
      </w:r>
      <w:r w:rsidRPr="003A1174">
        <w:rPr>
          <w:rFonts w:ascii="Garamond" w:hAnsi="Garamond" w:cs="Arial"/>
          <w:bCs/>
          <w:color w:val="auto"/>
          <w:sz w:val="24"/>
          <w:szCs w:val="24"/>
          <w:lang w:val="pt-PT"/>
        </w:rPr>
        <w:t>m</w:t>
      </w:r>
      <w:r w:rsidR="00CA39B2" w:rsidRPr="003A1174">
        <w:rPr>
          <w:rFonts w:ascii="Garamond" w:hAnsi="Garamond" w:cs="Arial"/>
          <w:bCs/>
          <w:color w:val="auto"/>
          <w:sz w:val="24"/>
          <w:szCs w:val="24"/>
          <w:lang w:val="pt-PT"/>
        </w:rPr>
        <w:t xml:space="preserve"> </w:t>
      </w:r>
      <w:r w:rsidR="002D1021" w:rsidRPr="003A1174">
        <w:rPr>
          <w:rFonts w:ascii="Garamond" w:hAnsi="Garamond" w:cs="Arial"/>
          <w:bCs/>
          <w:color w:val="auto"/>
          <w:sz w:val="24"/>
          <w:szCs w:val="24"/>
          <w:lang w:val="pt-PT"/>
        </w:rPr>
        <w:t>processo</w:t>
      </w:r>
      <w:r w:rsidRPr="003A1174">
        <w:rPr>
          <w:rFonts w:ascii="Garamond" w:hAnsi="Garamond" w:cs="Arial"/>
          <w:bCs/>
          <w:color w:val="auto"/>
          <w:sz w:val="24"/>
          <w:szCs w:val="24"/>
          <w:lang w:val="pt-PT"/>
        </w:rPr>
        <w:t xml:space="preserve"> iniciado em</w:t>
      </w:r>
      <w:r w:rsidR="00CA39B2" w:rsidRPr="003A1174">
        <w:rPr>
          <w:rFonts w:ascii="Garamond" w:hAnsi="Garamond" w:cs="Arial"/>
          <w:bCs/>
          <w:color w:val="auto"/>
          <w:sz w:val="24"/>
          <w:szCs w:val="24"/>
          <w:lang w:val="pt-PT"/>
        </w:rPr>
        <w:t xml:space="preserve"> </w:t>
      </w:r>
      <w:r w:rsidR="009445A0" w:rsidRPr="003A1174">
        <w:rPr>
          <w:rFonts w:ascii="Garamond" w:hAnsi="Garamond" w:cs="Arial"/>
          <w:bCs/>
          <w:color w:val="auto"/>
          <w:sz w:val="24"/>
          <w:szCs w:val="24"/>
          <w:lang w:val="pt-PT"/>
        </w:rPr>
        <w:t>finais</w:t>
      </w:r>
      <w:r w:rsidR="00CA39B2" w:rsidRPr="003A1174">
        <w:rPr>
          <w:rFonts w:ascii="Garamond" w:hAnsi="Garamond" w:cs="Arial"/>
          <w:bCs/>
          <w:color w:val="auto"/>
          <w:sz w:val="24"/>
          <w:szCs w:val="24"/>
          <w:lang w:val="pt-PT"/>
        </w:rPr>
        <w:t xml:space="preserve"> de 2008. Para </w:t>
      </w:r>
      <w:r w:rsidRPr="003A1174">
        <w:rPr>
          <w:rFonts w:ascii="Garamond" w:hAnsi="Garamond" w:cs="Arial"/>
          <w:bCs/>
          <w:color w:val="auto"/>
          <w:sz w:val="24"/>
          <w:szCs w:val="24"/>
          <w:lang w:val="pt-PT"/>
        </w:rPr>
        <w:t xml:space="preserve">a </w:t>
      </w:r>
      <w:r w:rsidR="00CA39B2" w:rsidRPr="003A1174">
        <w:rPr>
          <w:rFonts w:ascii="Garamond" w:hAnsi="Garamond" w:cs="Arial"/>
          <w:bCs/>
          <w:color w:val="auto"/>
          <w:sz w:val="24"/>
          <w:szCs w:val="24"/>
          <w:lang w:val="pt-PT"/>
        </w:rPr>
        <w:t>su</w:t>
      </w:r>
      <w:r w:rsidRPr="003A1174">
        <w:rPr>
          <w:rFonts w:ascii="Garamond" w:hAnsi="Garamond" w:cs="Arial"/>
          <w:bCs/>
          <w:color w:val="auto"/>
          <w:sz w:val="24"/>
          <w:szCs w:val="24"/>
          <w:lang w:val="pt-PT"/>
        </w:rPr>
        <w:t>a</w:t>
      </w:r>
      <w:r w:rsidR="00CA39B2" w:rsidRPr="003A1174">
        <w:rPr>
          <w:rFonts w:ascii="Garamond" w:hAnsi="Garamond" w:cs="Arial"/>
          <w:bCs/>
          <w:color w:val="auto"/>
          <w:sz w:val="24"/>
          <w:szCs w:val="24"/>
          <w:lang w:val="pt-PT"/>
        </w:rPr>
        <w:t xml:space="preserve"> </w:t>
      </w:r>
      <w:r w:rsidR="006E4D0E">
        <w:rPr>
          <w:rFonts w:ascii="Garamond" w:hAnsi="Garamond" w:cs="Arial"/>
          <w:bCs/>
          <w:color w:val="auto"/>
          <w:sz w:val="24"/>
          <w:szCs w:val="24"/>
          <w:lang w:val="pt-PT"/>
        </w:rPr>
        <w:t>elaboração</w:t>
      </w:r>
      <w:r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 xml:space="preserve">a </w:t>
      </w:r>
      <w:r w:rsidR="00FC1F7F" w:rsidRPr="003A1174">
        <w:rPr>
          <w:rFonts w:ascii="Garamond" w:hAnsi="Garamond" w:cs="Arial"/>
          <w:bCs/>
          <w:color w:val="auto"/>
          <w:sz w:val="24"/>
          <w:szCs w:val="24"/>
          <w:lang w:val="pt-PT"/>
        </w:rPr>
        <w:t>comissão</w:t>
      </w:r>
      <w:r w:rsidRPr="003A1174">
        <w:rPr>
          <w:rFonts w:ascii="Garamond" w:hAnsi="Garamond" w:cs="Arial"/>
          <w:bCs/>
          <w:color w:val="auto"/>
          <w:sz w:val="24"/>
          <w:szCs w:val="24"/>
          <w:lang w:val="pt-PT"/>
        </w:rPr>
        <w:t xml:space="preserve"> reda</w:t>
      </w:r>
      <w:r w:rsidR="00CA39B2" w:rsidRPr="003A1174">
        <w:rPr>
          <w:rFonts w:ascii="Garamond" w:hAnsi="Garamond" w:cs="Arial"/>
          <w:bCs/>
          <w:color w:val="auto"/>
          <w:sz w:val="24"/>
          <w:szCs w:val="24"/>
          <w:lang w:val="pt-PT"/>
        </w:rPr>
        <w:t>tora (</w:t>
      </w:r>
      <w:r w:rsidR="003125FA">
        <w:rPr>
          <w:rFonts w:ascii="Garamond" w:hAnsi="Garamond" w:cs="Arial"/>
          <w:bCs/>
          <w:color w:val="auto"/>
          <w:sz w:val="24"/>
          <w:szCs w:val="24"/>
          <w:lang w:val="pt-PT"/>
        </w:rPr>
        <w:t xml:space="preserve">composta por </w:t>
      </w:r>
      <w:r w:rsidR="00CA39B2" w:rsidRPr="003A1174">
        <w:rPr>
          <w:rFonts w:ascii="Garamond" w:hAnsi="Garamond" w:cs="Arial"/>
          <w:bCs/>
          <w:color w:val="auto"/>
          <w:sz w:val="24"/>
          <w:szCs w:val="24"/>
          <w:lang w:val="pt-PT"/>
        </w:rPr>
        <w:t xml:space="preserve">representantes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Poder Judicial, </w:t>
      </w:r>
      <w:r w:rsidRPr="003A1174">
        <w:rPr>
          <w:rFonts w:ascii="Garamond" w:hAnsi="Garamond" w:cs="Arial"/>
          <w:bCs/>
          <w:color w:val="auto"/>
          <w:sz w:val="24"/>
          <w:szCs w:val="24"/>
          <w:lang w:val="pt-PT"/>
        </w:rPr>
        <w:t xml:space="preserve">do </w:t>
      </w:r>
      <w:r w:rsidR="00F83BA2" w:rsidRPr="003A1174">
        <w:rPr>
          <w:rFonts w:ascii="Garamond" w:hAnsi="Garamond" w:cs="Arial"/>
          <w:bCs/>
          <w:color w:val="auto"/>
          <w:sz w:val="24"/>
          <w:szCs w:val="24"/>
          <w:lang w:val="pt-PT"/>
        </w:rPr>
        <w:t>Executivo</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w:t>
      </w:r>
      <w:r w:rsidR="003F012B" w:rsidRPr="003A1174">
        <w:rPr>
          <w:rFonts w:ascii="Garamond" w:hAnsi="Garamond" w:cs="Arial"/>
          <w:bCs/>
          <w:color w:val="auto"/>
          <w:sz w:val="24"/>
          <w:szCs w:val="24"/>
          <w:lang w:val="pt-PT"/>
        </w:rPr>
        <w:t>Congresso</w:t>
      </w:r>
      <w:r w:rsidR="00CA39B2" w:rsidRPr="003A1174">
        <w:rPr>
          <w:rFonts w:ascii="Garamond" w:hAnsi="Garamond" w:cs="Arial"/>
          <w:bCs/>
          <w:color w:val="auto"/>
          <w:sz w:val="24"/>
          <w:szCs w:val="24"/>
          <w:lang w:val="pt-PT"/>
        </w:rPr>
        <w:t xml:space="preserve"> Nacional) cont</w:t>
      </w:r>
      <w:r w:rsidRPr="003A1174">
        <w:rPr>
          <w:rFonts w:ascii="Garamond" w:hAnsi="Garamond" w:cs="Arial"/>
          <w:bCs/>
          <w:color w:val="auto"/>
          <w:sz w:val="24"/>
          <w:szCs w:val="24"/>
          <w:lang w:val="pt-PT"/>
        </w:rPr>
        <w:t xml:space="preserve">ou </w:t>
      </w:r>
      <w:r w:rsidR="00CA39B2" w:rsidRPr="003A1174">
        <w:rPr>
          <w:rFonts w:ascii="Garamond" w:hAnsi="Garamond" w:cs="Arial"/>
          <w:bCs/>
          <w:color w:val="auto"/>
          <w:sz w:val="24"/>
          <w:szCs w:val="24"/>
          <w:lang w:val="pt-PT"/>
        </w:rPr>
        <w:t>co</w:t>
      </w:r>
      <w:r w:rsidRPr="003A1174">
        <w:rPr>
          <w:rFonts w:ascii="Garamond" w:hAnsi="Garamond" w:cs="Arial"/>
          <w:bCs/>
          <w:color w:val="auto"/>
          <w:sz w:val="24"/>
          <w:szCs w:val="24"/>
          <w:lang w:val="pt-PT"/>
        </w:rPr>
        <w:t xml:space="preserve">m o </w:t>
      </w:r>
      <w:r w:rsidR="00791197" w:rsidRPr="003A1174">
        <w:rPr>
          <w:rFonts w:ascii="Garamond" w:hAnsi="Garamond" w:cs="Arial"/>
          <w:bCs/>
          <w:color w:val="auto"/>
          <w:sz w:val="24"/>
          <w:szCs w:val="24"/>
          <w:lang w:val="pt-PT"/>
        </w:rPr>
        <w:t>apoio</w:t>
      </w:r>
      <w:r w:rsidR="00CA39B2" w:rsidRPr="003A1174">
        <w:rPr>
          <w:rFonts w:ascii="Garamond" w:hAnsi="Garamond" w:cs="Arial"/>
          <w:bCs/>
          <w:color w:val="auto"/>
          <w:sz w:val="24"/>
          <w:szCs w:val="24"/>
          <w:lang w:val="pt-PT"/>
        </w:rPr>
        <w:t xml:space="preserve"> da </w:t>
      </w:r>
      <w:r w:rsidR="00C30647" w:rsidRPr="003A1174">
        <w:rPr>
          <w:rFonts w:ascii="Garamond" w:hAnsi="Garamond" w:cs="Arial"/>
          <w:bCs/>
          <w:color w:val="auto"/>
          <w:sz w:val="24"/>
          <w:szCs w:val="24"/>
          <w:lang w:val="pt-PT"/>
        </w:rPr>
        <w:t>cooperação</w:t>
      </w:r>
      <w:r w:rsidR="00CA39B2" w:rsidRPr="003A1174">
        <w:rPr>
          <w:rFonts w:ascii="Garamond" w:hAnsi="Garamond" w:cs="Arial"/>
          <w:bCs/>
          <w:color w:val="auto"/>
          <w:sz w:val="24"/>
          <w:szCs w:val="24"/>
          <w:lang w:val="pt-PT"/>
        </w:rPr>
        <w:t xml:space="preserve"> internacional, </w:t>
      </w:r>
      <w:r w:rsidRPr="003A1174">
        <w:rPr>
          <w:rFonts w:ascii="Garamond" w:hAnsi="Garamond" w:cs="Arial"/>
          <w:bCs/>
          <w:color w:val="auto"/>
          <w:sz w:val="24"/>
          <w:szCs w:val="24"/>
          <w:lang w:val="pt-PT"/>
        </w:rPr>
        <w:t xml:space="preserve">no </w:t>
      </w:r>
      <w:r w:rsidR="00D96FD0" w:rsidRPr="003A1174">
        <w:rPr>
          <w:rFonts w:ascii="Garamond" w:hAnsi="Garamond" w:cs="Arial"/>
          <w:bCs/>
          <w:color w:val="auto"/>
          <w:sz w:val="24"/>
          <w:szCs w:val="24"/>
          <w:lang w:val="pt-PT"/>
        </w:rPr>
        <w:t>cumprimento</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das</w:t>
      </w:r>
      <w:r w:rsidR="00CA39B2" w:rsidRPr="003A1174">
        <w:rPr>
          <w:rFonts w:ascii="Garamond" w:hAnsi="Garamond" w:cs="Arial"/>
          <w:bCs/>
          <w:color w:val="auto"/>
          <w:sz w:val="24"/>
          <w:szCs w:val="24"/>
          <w:lang w:val="pt-PT"/>
        </w:rPr>
        <w:t xml:space="preserve"> </w:t>
      </w:r>
      <w:r w:rsidR="008E7A2A" w:rsidRPr="003A1174">
        <w:rPr>
          <w:rFonts w:ascii="Garamond" w:hAnsi="Garamond" w:cs="Arial"/>
          <w:bCs/>
          <w:color w:val="auto"/>
          <w:sz w:val="24"/>
          <w:szCs w:val="24"/>
          <w:lang w:val="pt-PT"/>
        </w:rPr>
        <w:t>recomendações</w:t>
      </w:r>
      <w:r w:rsidRPr="003A1174">
        <w:rPr>
          <w:rFonts w:ascii="Garamond" w:hAnsi="Garamond" w:cs="Arial"/>
          <w:bCs/>
          <w:color w:val="auto"/>
          <w:sz w:val="24"/>
          <w:szCs w:val="24"/>
          <w:lang w:val="pt-PT"/>
        </w:rPr>
        <w:t xml:space="preserve"> que </w:t>
      </w:r>
      <w:r w:rsidR="00CA39B2" w:rsidRPr="003A1174">
        <w:rPr>
          <w:rFonts w:ascii="Garamond" w:hAnsi="Garamond" w:cs="Arial"/>
          <w:bCs/>
          <w:color w:val="auto"/>
          <w:sz w:val="24"/>
          <w:szCs w:val="24"/>
          <w:lang w:val="pt-PT"/>
        </w:rPr>
        <w:t xml:space="preserve">os </w:t>
      </w:r>
      <w:r w:rsidR="003F012B" w:rsidRPr="003A1174">
        <w:rPr>
          <w:rFonts w:ascii="Garamond" w:hAnsi="Garamond" w:cs="Arial"/>
          <w:bCs/>
          <w:color w:val="auto"/>
          <w:sz w:val="24"/>
          <w:szCs w:val="24"/>
          <w:lang w:val="pt-PT"/>
        </w:rPr>
        <w:t>órgão</w:t>
      </w:r>
      <w:r w:rsidRPr="003A1174">
        <w:rPr>
          <w:rFonts w:ascii="Garamond" w:hAnsi="Garamond" w:cs="Arial"/>
          <w:bCs/>
          <w:color w:val="auto"/>
          <w:sz w:val="24"/>
          <w:szCs w:val="24"/>
          <w:lang w:val="pt-PT"/>
        </w:rPr>
        <w:t>s de vigilâ</w:t>
      </w:r>
      <w:r w:rsidR="00CA39B2" w:rsidRPr="003A1174">
        <w:rPr>
          <w:rFonts w:ascii="Garamond" w:hAnsi="Garamond" w:cs="Arial"/>
          <w:bCs/>
          <w:color w:val="auto"/>
          <w:sz w:val="24"/>
          <w:szCs w:val="24"/>
          <w:lang w:val="pt-PT"/>
        </w:rPr>
        <w:t>ncia e</w:t>
      </w:r>
      <w:r w:rsidRPr="003A1174">
        <w:rPr>
          <w:rFonts w:ascii="Garamond" w:hAnsi="Garamond" w:cs="Arial"/>
          <w:bCs/>
          <w:color w:val="auto"/>
          <w:sz w:val="24"/>
          <w:szCs w:val="24"/>
          <w:lang w:val="pt-PT"/>
        </w:rPr>
        <w:t>m</w:t>
      </w:r>
      <w:r w:rsidR="00CA39B2" w:rsidRPr="003A1174">
        <w:rPr>
          <w:rFonts w:ascii="Garamond" w:hAnsi="Garamond" w:cs="Arial"/>
          <w:bCs/>
          <w:color w:val="auto"/>
          <w:sz w:val="24"/>
          <w:szCs w:val="24"/>
          <w:lang w:val="pt-PT"/>
        </w:rPr>
        <w:t xml:space="preserve"> </w:t>
      </w:r>
      <w:r w:rsidR="00886D6A" w:rsidRPr="003A1174">
        <w:rPr>
          <w:rFonts w:ascii="Garamond" w:hAnsi="Garamond" w:cs="Arial"/>
          <w:bCs/>
          <w:color w:val="auto"/>
          <w:sz w:val="24"/>
          <w:szCs w:val="24"/>
          <w:lang w:val="pt-PT"/>
        </w:rPr>
        <w:t>Direito</w:t>
      </w:r>
      <w:r w:rsidR="00CA39B2" w:rsidRPr="003A1174">
        <w:rPr>
          <w:rFonts w:ascii="Garamond" w:hAnsi="Garamond" w:cs="Arial"/>
          <w:bCs/>
          <w:color w:val="auto"/>
          <w:sz w:val="24"/>
          <w:szCs w:val="24"/>
          <w:lang w:val="pt-PT"/>
        </w:rPr>
        <w:t xml:space="preserve">s Humanos </w:t>
      </w:r>
      <w:r w:rsidRPr="003A1174">
        <w:rPr>
          <w:rFonts w:ascii="Garamond" w:hAnsi="Garamond" w:cs="Arial"/>
          <w:bCs/>
          <w:color w:val="auto"/>
          <w:sz w:val="24"/>
          <w:szCs w:val="24"/>
          <w:lang w:val="pt-PT"/>
        </w:rPr>
        <w:t xml:space="preserve">tinham feito ao </w:t>
      </w:r>
      <w:r w:rsidR="00CA39B2" w:rsidRPr="003A1174">
        <w:rPr>
          <w:rFonts w:ascii="Garamond" w:hAnsi="Garamond" w:cs="Arial"/>
          <w:bCs/>
          <w:color w:val="auto"/>
          <w:sz w:val="24"/>
          <w:szCs w:val="24"/>
          <w:lang w:val="pt-PT"/>
        </w:rPr>
        <w:t>país.</w:t>
      </w:r>
      <w:r w:rsidR="00030174" w:rsidRPr="003A1174">
        <w:rPr>
          <w:rFonts w:ascii="Garamond" w:hAnsi="Garamond" w:cs="Arial"/>
          <w:bCs/>
          <w:color w:val="auto"/>
          <w:sz w:val="24"/>
          <w:szCs w:val="24"/>
          <w:lang w:val="pt-PT"/>
        </w:rPr>
        <w:t xml:space="preserve"> </w:t>
      </w:r>
      <w:r w:rsidR="00FB09CA" w:rsidRPr="003A1174">
        <w:rPr>
          <w:rFonts w:ascii="Garamond" w:hAnsi="Garamond" w:cs="Arial"/>
          <w:bCs/>
          <w:color w:val="auto"/>
          <w:sz w:val="24"/>
          <w:szCs w:val="24"/>
          <w:lang w:val="pt-PT"/>
        </w:rPr>
        <w:t>Atual</w:t>
      </w:r>
      <w:r w:rsidR="00CA39B2" w:rsidRPr="003A1174">
        <w:rPr>
          <w:rFonts w:ascii="Garamond" w:hAnsi="Garamond" w:cs="Arial"/>
          <w:bCs/>
          <w:color w:val="auto"/>
          <w:sz w:val="24"/>
          <w:szCs w:val="24"/>
          <w:lang w:val="pt-PT"/>
        </w:rPr>
        <w:t>mente</w:t>
      </w:r>
      <w:r w:rsidR="00E34DB3" w:rsidRPr="003A1174">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o</w:t>
      </w:r>
      <w:r w:rsidR="00CA39B2" w:rsidRPr="003A1174">
        <w:rPr>
          <w:rFonts w:ascii="Garamond" w:hAnsi="Garamond" w:cs="Arial"/>
          <w:bCs/>
          <w:color w:val="auto"/>
          <w:sz w:val="24"/>
          <w:szCs w:val="24"/>
          <w:lang w:val="pt-PT"/>
        </w:rPr>
        <w:t xml:space="preserve"> mencionado </w:t>
      </w:r>
      <w:r w:rsidR="00C30647" w:rsidRPr="003A1174">
        <w:rPr>
          <w:rFonts w:ascii="Garamond" w:hAnsi="Garamond" w:cs="Arial"/>
          <w:bCs/>
          <w:color w:val="auto"/>
          <w:sz w:val="24"/>
          <w:szCs w:val="24"/>
          <w:lang w:val="pt-PT"/>
        </w:rPr>
        <w:t>projeto</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enco</w:t>
      </w:r>
      <w:r w:rsidR="00CA39B2" w:rsidRPr="003A1174">
        <w:rPr>
          <w:rFonts w:ascii="Garamond" w:hAnsi="Garamond" w:cs="Arial"/>
          <w:bCs/>
          <w:color w:val="auto"/>
          <w:sz w:val="24"/>
          <w:szCs w:val="24"/>
          <w:lang w:val="pt-PT"/>
        </w:rPr>
        <w:t>ntra</w:t>
      </w:r>
      <w:r w:rsidRPr="003A1174">
        <w:rPr>
          <w:rFonts w:ascii="Garamond" w:hAnsi="Garamond" w:cs="Arial"/>
          <w:bCs/>
          <w:color w:val="auto"/>
          <w:sz w:val="24"/>
          <w:szCs w:val="24"/>
          <w:lang w:val="pt-PT"/>
        </w:rPr>
        <w:t>-se</w:t>
      </w:r>
      <w:r w:rsidR="00CA39B2" w:rsidRPr="003A1174">
        <w:rPr>
          <w:rFonts w:ascii="Garamond" w:hAnsi="Garamond" w:cs="Arial"/>
          <w:bCs/>
          <w:color w:val="auto"/>
          <w:sz w:val="24"/>
          <w:szCs w:val="24"/>
          <w:lang w:val="pt-PT"/>
        </w:rPr>
        <w:t xml:space="preserve"> e</w:t>
      </w:r>
      <w:r w:rsidRPr="003A1174">
        <w:rPr>
          <w:rFonts w:ascii="Garamond" w:hAnsi="Garamond" w:cs="Arial"/>
          <w:bCs/>
          <w:color w:val="auto"/>
          <w:sz w:val="24"/>
          <w:szCs w:val="24"/>
          <w:lang w:val="pt-PT"/>
        </w:rPr>
        <w:t>m</w:t>
      </w:r>
      <w:r w:rsidR="00CA39B2" w:rsidRPr="003A1174">
        <w:rPr>
          <w:rFonts w:ascii="Garamond" w:hAnsi="Garamond" w:cs="Arial"/>
          <w:bCs/>
          <w:color w:val="auto"/>
          <w:sz w:val="24"/>
          <w:szCs w:val="24"/>
          <w:lang w:val="pt-PT"/>
        </w:rPr>
        <w:t xml:space="preserve"> </w:t>
      </w:r>
      <w:r w:rsidR="003F012B" w:rsidRPr="003A1174">
        <w:rPr>
          <w:rFonts w:ascii="Garamond" w:hAnsi="Garamond" w:cs="Arial"/>
          <w:bCs/>
          <w:color w:val="auto"/>
          <w:sz w:val="24"/>
          <w:szCs w:val="24"/>
          <w:lang w:val="pt-PT"/>
        </w:rPr>
        <w:t>estudo</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n</w:t>
      </w:r>
      <w:r w:rsidR="00CA39B2" w:rsidRPr="003A1174">
        <w:rPr>
          <w:rFonts w:ascii="Garamond" w:hAnsi="Garamond" w:cs="Arial"/>
          <w:bCs/>
          <w:color w:val="auto"/>
          <w:sz w:val="24"/>
          <w:szCs w:val="24"/>
          <w:lang w:val="pt-PT"/>
        </w:rPr>
        <w:t xml:space="preserve">a </w:t>
      </w:r>
      <w:r w:rsidR="00FC1F7F" w:rsidRPr="003A1174">
        <w:rPr>
          <w:rFonts w:ascii="Garamond" w:hAnsi="Garamond" w:cs="Arial"/>
          <w:bCs/>
          <w:color w:val="auto"/>
          <w:sz w:val="24"/>
          <w:szCs w:val="24"/>
          <w:lang w:val="pt-PT"/>
        </w:rPr>
        <w:t>Comissão</w:t>
      </w:r>
      <w:r w:rsidR="00CA39B2" w:rsidRPr="003A1174">
        <w:rPr>
          <w:rFonts w:ascii="Garamond" w:hAnsi="Garamond" w:cs="Arial"/>
          <w:bCs/>
          <w:color w:val="auto"/>
          <w:sz w:val="24"/>
          <w:szCs w:val="24"/>
          <w:lang w:val="pt-PT"/>
        </w:rPr>
        <w:t xml:space="preserve"> de </w:t>
      </w:r>
      <w:r w:rsidR="00C01806" w:rsidRPr="003A1174">
        <w:rPr>
          <w:rFonts w:ascii="Garamond" w:hAnsi="Garamond" w:cs="Arial"/>
          <w:bCs/>
          <w:color w:val="auto"/>
          <w:sz w:val="24"/>
          <w:szCs w:val="24"/>
          <w:lang w:val="pt-PT"/>
        </w:rPr>
        <w:t>Equidade</w:t>
      </w:r>
      <w:r w:rsidR="00CA39B2" w:rsidRPr="003A1174">
        <w:rPr>
          <w:rFonts w:ascii="Garamond" w:hAnsi="Garamond" w:cs="Arial"/>
          <w:bCs/>
          <w:color w:val="auto"/>
          <w:sz w:val="24"/>
          <w:szCs w:val="24"/>
          <w:lang w:val="pt-PT"/>
        </w:rPr>
        <w:t xml:space="preserve"> Social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Género da </w:t>
      </w:r>
      <w:r w:rsidRPr="003A1174">
        <w:rPr>
          <w:rFonts w:ascii="Garamond" w:hAnsi="Garamond" w:cs="Arial"/>
          <w:bCs/>
          <w:color w:val="auto"/>
          <w:sz w:val="24"/>
          <w:szCs w:val="24"/>
          <w:lang w:val="pt-PT"/>
        </w:rPr>
        <w:t>Câmara</w:t>
      </w:r>
      <w:r w:rsidR="00CA39B2" w:rsidRPr="003A1174">
        <w:rPr>
          <w:rFonts w:ascii="Garamond" w:hAnsi="Garamond" w:cs="Arial"/>
          <w:bCs/>
          <w:color w:val="auto"/>
          <w:sz w:val="24"/>
          <w:szCs w:val="24"/>
          <w:lang w:val="pt-PT"/>
        </w:rPr>
        <w:t xml:space="preserve"> de </w:t>
      </w:r>
      <w:r w:rsidRPr="003A1174">
        <w:rPr>
          <w:rFonts w:ascii="Garamond" w:hAnsi="Garamond" w:cs="Arial"/>
          <w:bCs/>
          <w:color w:val="auto"/>
          <w:sz w:val="24"/>
          <w:szCs w:val="24"/>
          <w:lang w:val="pt-PT"/>
        </w:rPr>
        <w:t>Deputado</w:t>
      </w:r>
      <w:r w:rsidR="00CA39B2" w:rsidRPr="003A1174">
        <w:rPr>
          <w:rFonts w:ascii="Garamond" w:hAnsi="Garamond" w:cs="Arial"/>
          <w:bCs/>
          <w:color w:val="auto"/>
          <w:sz w:val="24"/>
          <w:szCs w:val="24"/>
          <w:lang w:val="pt-PT"/>
        </w:rPr>
        <w:t>s.</w:t>
      </w:r>
    </w:p>
    <w:p w:rsidR="00F950B2" w:rsidRPr="003A1174" w:rsidRDefault="00D96FD0" w:rsidP="008719D4">
      <w:pPr>
        <w:pStyle w:val="Prrafodelista"/>
        <w:numPr>
          <w:ilvl w:val="0"/>
          <w:numId w:val="14"/>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147717" w:rsidRPr="003A1174">
        <w:rPr>
          <w:rFonts w:ascii="Garamond" w:hAnsi="Garamond" w:cs="Arial"/>
          <w:color w:val="auto"/>
          <w:sz w:val="24"/>
          <w:szCs w:val="24"/>
        </w:rPr>
        <w:t xml:space="preserve"> d</w:t>
      </w:r>
      <w:r w:rsidR="00F950B2" w:rsidRPr="003A1174">
        <w:rPr>
          <w:rFonts w:ascii="Garamond" w:hAnsi="Garamond" w:cs="Arial"/>
          <w:color w:val="auto"/>
          <w:sz w:val="24"/>
          <w:szCs w:val="24"/>
        </w:rPr>
        <w:t>a</w:t>
      </w:r>
      <w:r w:rsidR="00147717" w:rsidRPr="003A1174">
        <w:rPr>
          <w:rFonts w:ascii="Garamond" w:hAnsi="Garamond" w:cs="Arial"/>
          <w:color w:val="auto"/>
          <w:sz w:val="24"/>
          <w:szCs w:val="24"/>
        </w:rPr>
        <w:t>s</w:t>
      </w:r>
      <w:r w:rsidR="00F950B2"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F950B2" w:rsidRPr="003A1174">
        <w:rPr>
          <w:rFonts w:ascii="Garamond" w:hAnsi="Garamond" w:cs="Arial"/>
          <w:color w:val="auto"/>
          <w:sz w:val="24"/>
          <w:szCs w:val="24"/>
        </w:rPr>
        <w:t xml:space="preserve"> </w:t>
      </w:r>
      <w:r w:rsidR="00F950B2" w:rsidRPr="003A1174">
        <w:rPr>
          <w:rFonts w:ascii="Garamond" w:hAnsi="Garamond" w:cs="Arial"/>
          <w:color w:val="auto"/>
          <w:sz w:val="24"/>
          <w:szCs w:val="24"/>
        </w:rPr>
        <w:tab/>
      </w:r>
    </w:p>
    <w:p w:rsidR="00CA39B2" w:rsidRPr="003A1174" w:rsidRDefault="00147717" w:rsidP="008719D4">
      <w:pPr>
        <w:pStyle w:val="Predeterminado"/>
        <w:spacing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 xml:space="preserve">Relativamente a </w:t>
      </w:r>
      <w:r w:rsidR="00CA39B2" w:rsidRPr="003A1174">
        <w:rPr>
          <w:rFonts w:ascii="Garamond" w:hAnsi="Garamond" w:cs="Arial"/>
          <w:bCs/>
          <w:color w:val="auto"/>
          <w:sz w:val="24"/>
          <w:szCs w:val="24"/>
          <w:lang w:val="pt-PT"/>
        </w:rPr>
        <w:t>este tema</w:t>
      </w:r>
      <w:r w:rsidR="00025C7F" w:rsidRPr="003A1174">
        <w:rPr>
          <w:rFonts w:ascii="Garamond" w:hAnsi="Garamond" w:cs="Arial"/>
          <w:bCs/>
          <w:color w:val="auto"/>
          <w:sz w:val="24"/>
          <w:szCs w:val="24"/>
          <w:lang w:val="pt-PT"/>
        </w:rPr>
        <w:t>,</w:t>
      </w:r>
      <w:r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 xml:space="preserve">a </w:t>
      </w:r>
      <w:r w:rsidR="00C04CA4" w:rsidRPr="003A1174">
        <w:rPr>
          <w:rFonts w:ascii="Garamond" w:hAnsi="Garamond" w:cs="Arial"/>
          <w:bCs/>
          <w:color w:val="auto"/>
          <w:sz w:val="24"/>
          <w:szCs w:val="24"/>
          <w:lang w:val="pt-PT"/>
        </w:rPr>
        <w:t>Provedoria de Justiça</w:t>
      </w:r>
      <w:r w:rsidR="00CA39B2" w:rsidRPr="003A1174">
        <w:rPr>
          <w:rFonts w:ascii="Garamond" w:hAnsi="Garamond" w:cs="Arial"/>
          <w:bCs/>
          <w:color w:val="auto"/>
          <w:sz w:val="24"/>
          <w:szCs w:val="24"/>
          <w:lang w:val="pt-PT"/>
        </w:rPr>
        <w:t xml:space="preserve">, </w:t>
      </w:r>
      <w:r w:rsidR="009A0CC2" w:rsidRPr="003A1174">
        <w:rPr>
          <w:rFonts w:ascii="Garamond" w:hAnsi="Garamond" w:cs="Arial"/>
          <w:bCs/>
          <w:color w:val="auto"/>
          <w:sz w:val="24"/>
          <w:szCs w:val="24"/>
          <w:lang w:val="pt-PT"/>
        </w:rPr>
        <w:t>através</w:t>
      </w:r>
      <w:r w:rsidR="00CA39B2" w:rsidRPr="003A1174">
        <w:rPr>
          <w:rFonts w:ascii="Garamond" w:hAnsi="Garamond" w:cs="Arial"/>
          <w:bCs/>
          <w:color w:val="auto"/>
          <w:sz w:val="24"/>
          <w:szCs w:val="24"/>
          <w:lang w:val="pt-PT"/>
        </w:rPr>
        <w:t xml:space="preserve">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Departamento de </w:t>
      </w:r>
      <w:r w:rsidR="00886D6A" w:rsidRPr="003A1174">
        <w:rPr>
          <w:rFonts w:ascii="Garamond" w:hAnsi="Garamond" w:cs="Arial"/>
          <w:bCs/>
          <w:color w:val="auto"/>
          <w:sz w:val="24"/>
          <w:szCs w:val="24"/>
          <w:lang w:val="pt-PT"/>
        </w:rPr>
        <w:t>Direito</w:t>
      </w:r>
      <w:r w:rsidR="00CA39B2" w:rsidRPr="003A1174">
        <w:rPr>
          <w:rFonts w:ascii="Garamond" w:hAnsi="Garamond" w:cs="Arial"/>
          <w:bCs/>
          <w:color w:val="auto"/>
          <w:sz w:val="24"/>
          <w:szCs w:val="24"/>
          <w:lang w:val="pt-PT"/>
        </w:rPr>
        <w:t xml:space="preserve">s da </w:t>
      </w:r>
      <w:r w:rsidR="00AF192F" w:rsidRPr="003A1174">
        <w:rPr>
          <w:rFonts w:ascii="Garamond" w:hAnsi="Garamond" w:cs="Arial"/>
          <w:bCs/>
          <w:color w:val="auto"/>
          <w:sz w:val="24"/>
          <w:szCs w:val="24"/>
          <w:lang w:val="pt-PT"/>
        </w:rPr>
        <w:t>Mulher</w:t>
      </w:r>
      <w:r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a</w:t>
      </w:r>
      <w:r w:rsidRPr="003A1174">
        <w:rPr>
          <w:rFonts w:ascii="Garamond" w:hAnsi="Garamond" w:cs="Arial"/>
          <w:bCs/>
          <w:color w:val="auto"/>
          <w:sz w:val="24"/>
          <w:szCs w:val="24"/>
          <w:lang w:val="pt-PT"/>
        </w:rPr>
        <w:t>s</w:t>
      </w:r>
      <w:r w:rsidR="00CA39B2" w:rsidRPr="003A1174">
        <w:rPr>
          <w:rFonts w:ascii="Garamond" w:hAnsi="Garamond" w:cs="Arial"/>
          <w:bCs/>
          <w:color w:val="auto"/>
          <w:sz w:val="24"/>
          <w:szCs w:val="24"/>
          <w:lang w:val="pt-PT"/>
        </w:rPr>
        <w:t>ses</w:t>
      </w:r>
      <w:r w:rsidRPr="003A1174">
        <w:rPr>
          <w:rFonts w:ascii="Garamond" w:hAnsi="Garamond" w:cs="Arial"/>
          <w:bCs/>
          <w:color w:val="auto"/>
          <w:sz w:val="24"/>
          <w:szCs w:val="24"/>
          <w:lang w:val="pt-PT"/>
        </w:rPr>
        <w:t>s</w:t>
      </w:r>
      <w:r w:rsidR="00CA39B2" w:rsidRPr="003A1174">
        <w:rPr>
          <w:rFonts w:ascii="Garamond" w:hAnsi="Garamond" w:cs="Arial"/>
          <w:bCs/>
          <w:color w:val="auto"/>
          <w:sz w:val="24"/>
          <w:szCs w:val="24"/>
          <w:lang w:val="pt-PT"/>
        </w:rPr>
        <w:t>or</w:t>
      </w:r>
      <w:r w:rsidRPr="003A1174">
        <w:rPr>
          <w:rFonts w:ascii="Garamond" w:hAnsi="Garamond" w:cs="Arial"/>
          <w:bCs/>
          <w:color w:val="auto"/>
          <w:sz w:val="24"/>
          <w:szCs w:val="24"/>
          <w:lang w:val="pt-PT"/>
        </w:rPr>
        <w:t xml:space="preserve">ou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acompa</w:t>
      </w:r>
      <w:r w:rsidRPr="003A1174">
        <w:rPr>
          <w:rFonts w:ascii="Garamond" w:hAnsi="Garamond" w:cs="Arial"/>
          <w:bCs/>
          <w:color w:val="auto"/>
          <w:sz w:val="24"/>
          <w:szCs w:val="24"/>
          <w:lang w:val="pt-PT"/>
        </w:rPr>
        <w:t xml:space="preserve">nhou </w:t>
      </w:r>
      <w:r w:rsidR="00CA39B2" w:rsidRPr="003A1174">
        <w:rPr>
          <w:rFonts w:ascii="Garamond" w:hAnsi="Garamond" w:cs="Arial"/>
          <w:bCs/>
          <w:color w:val="auto"/>
          <w:sz w:val="24"/>
          <w:szCs w:val="24"/>
          <w:lang w:val="pt-PT"/>
        </w:rPr>
        <w:t xml:space="preserve">as </w:t>
      </w:r>
      <w:r w:rsidR="003F012B" w:rsidRPr="003A1174">
        <w:rPr>
          <w:rFonts w:ascii="Garamond" w:hAnsi="Garamond" w:cs="Arial"/>
          <w:bCs/>
          <w:color w:val="auto"/>
          <w:sz w:val="24"/>
          <w:szCs w:val="24"/>
          <w:lang w:val="pt-PT"/>
        </w:rPr>
        <w:t>vítima</w:t>
      </w:r>
      <w:r w:rsidR="00CA39B2" w:rsidRPr="003A1174">
        <w:rPr>
          <w:rFonts w:ascii="Garamond" w:hAnsi="Garamond" w:cs="Arial"/>
          <w:bCs/>
          <w:color w:val="auto"/>
          <w:sz w:val="24"/>
          <w:szCs w:val="24"/>
          <w:lang w:val="pt-PT"/>
        </w:rPr>
        <w:t xml:space="preserve">s de </w:t>
      </w:r>
      <w:r w:rsidR="000350B1" w:rsidRPr="003A1174">
        <w:rPr>
          <w:rFonts w:ascii="Garamond" w:hAnsi="Garamond" w:cs="Arial"/>
          <w:bCs/>
          <w:color w:val="auto"/>
          <w:sz w:val="24"/>
          <w:szCs w:val="24"/>
          <w:lang w:val="pt-PT"/>
        </w:rPr>
        <w:t>violência</w:t>
      </w:r>
      <w:r w:rsidR="00CA39B2" w:rsidRPr="003A1174">
        <w:rPr>
          <w:rFonts w:ascii="Garamond" w:hAnsi="Garamond" w:cs="Arial"/>
          <w:bCs/>
          <w:color w:val="auto"/>
          <w:sz w:val="24"/>
          <w:szCs w:val="24"/>
          <w:lang w:val="pt-PT"/>
        </w:rPr>
        <w:t xml:space="preserve"> intrafamiliar, </w:t>
      </w:r>
      <w:r w:rsidR="003125FA">
        <w:rPr>
          <w:rFonts w:ascii="Garamond" w:hAnsi="Garamond" w:cs="Arial"/>
          <w:bCs/>
          <w:color w:val="auto"/>
          <w:sz w:val="24"/>
          <w:szCs w:val="24"/>
          <w:lang w:val="pt-PT"/>
        </w:rPr>
        <w:t xml:space="preserve">podendo mesmo afirmar-se </w:t>
      </w:r>
      <w:r w:rsidR="00CA39B2" w:rsidRPr="003A1174">
        <w:rPr>
          <w:rFonts w:ascii="Garamond" w:hAnsi="Garamond" w:cs="Arial"/>
          <w:bCs/>
          <w:color w:val="auto"/>
          <w:sz w:val="24"/>
          <w:szCs w:val="24"/>
          <w:lang w:val="pt-PT"/>
        </w:rPr>
        <w:t>que</w:t>
      </w:r>
      <w:r w:rsidR="003125FA">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 xml:space="preserve">perante </w:t>
      </w:r>
      <w:r w:rsidR="00CA39B2" w:rsidRPr="003A1174">
        <w:rPr>
          <w:rFonts w:ascii="Garamond" w:hAnsi="Garamond" w:cs="Arial"/>
          <w:bCs/>
          <w:color w:val="auto"/>
          <w:sz w:val="24"/>
          <w:szCs w:val="24"/>
          <w:lang w:val="pt-PT"/>
        </w:rPr>
        <w:t xml:space="preserve">as </w:t>
      </w:r>
      <w:r w:rsidR="008651AF" w:rsidRPr="003A1174">
        <w:rPr>
          <w:rFonts w:ascii="Garamond" w:hAnsi="Garamond" w:cs="Arial"/>
          <w:bCs/>
          <w:color w:val="auto"/>
          <w:sz w:val="24"/>
          <w:szCs w:val="24"/>
          <w:lang w:val="pt-PT"/>
        </w:rPr>
        <w:t>denúncia</w:t>
      </w:r>
      <w:r w:rsidR="00CA39B2" w:rsidRPr="003A1174">
        <w:rPr>
          <w:rFonts w:ascii="Garamond" w:hAnsi="Garamond" w:cs="Arial"/>
          <w:bCs/>
          <w:color w:val="auto"/>
          <w:sz w:val="24"/>
          <w:szCs w:val="24"/>
          <w:lang w:val="pt-PT"/>
        </w:rPr>
        <w:t xml:space="preserve">s </w:t>
      </w:r>
      <w:r w:rsidRPr="003A1174">
        <w:rPr>
          <w:rFonts w:ascii="Garamond" w:hAnsi="Garamond" w:cs="Arial"/>
          <w:bCs/>
          <w:color w:val="auto"/>
          <w:sz w:val="24"/>
          <w:szCs w:val="24"/>
          <w:lang w:val="pt-PT"/>
        </w:rPr>
        <w:t>a</w:t>
      </w:r>
      <w:r w:rsidR="00CA39B2" w:rsidRPr="003A1174">
        <w:rPr>
          <w:rFonts w:ascii="Garamond" w:hAnsi="Garamond" w:cs="Arial"/>
          <w:bCs/>
          <w:color w:val="auto"/>
          <w:sz w:val="24"/>
          <w:szCs w:val="24"/>
          <w:lang w:val="pt-PT"/>
        </w:rPr>
        <w:t xml:space="preserve">presentadas </w:t>
      </w:r>
      <w:r w:rsidRPr="003A1174">
        <w:rPr>
          <w:rFonts w:ascii="Garamond" w:hAnsi="Garamond" w:cs="Arial"/>
          <w:bCs/>
          <w:color w:val="auto"/>
          <w:sz w:val="24"/>
          <w:szCs w:val="24"/>
          <w:lang w:val="pt-PT"/>
        </w:rPr>
        <w:t>n</w:t>
      </w:r>
      <w:r w:rsidR="00CA39B2" w:rsidRPr="003A1174">
        <w:rPr>
          <w:rFonts w:ascii="Garamond" w:hAnsi="Garamond" w:cs="Arial"/>
          <w:bCs/>
          <w:color w:val="auto"/>
          <w:sz w:val="24"/>
          <w:szCs w:val="24"/>
          <w:lang w:val="pt-PT"/>
        </w:rPr>
        <w:t xml:space="preserve">os </w:t>
      </w:r>
      <w:r w:rsidR="002470B1" w:rsidRPr="003A1174">
        <w:rPr>
          <w:rFonts w:ascii="Garamond" w:hAnsi="Garamond" w:cs="Arial"/>
          <w:bCs/>
          <w:color w:val="auto"/>
          <w:sz w:val="24"/>
          <w:szCs w:val="24"/>
          <w:lang w:val="pt-PT"/>
        </w:rPr>
        <w:t>Tribunais</w:t>
      </w:r>
      <w:r w:rsidR="00CA39B2" w:rsidRPr="003A1174">
        <w:rPr>
          <w:rFonts w:ascii="Garamond" w:hAnsi="Garamond" w:cs="Arial"/>
          <w:bCs/>
          <w:color w:val="auto"/>
          <w:sz w:val="24"/>
          <w:szCs w:val="24"/>
          <w:lang w:val="pt-PT"/>
        </w:rPr>
        <w:t xml:space="preserve"> d</w:t>
      </w:r>
      <w:r w:rsidRPr="003A1174">
        <w:rPr>
          <w:rFonts w:ascii="Garamond" w:hAnsi="Garamond" w:cs="Arial"/>
          <w:bCs/>
          <w:color w:val="auto"/>
          <w:sz w:val="24"/>
          <w:szCs w:val="24"/>
          <w:lang w:val="pt-PT"/>
        </w:rPr>
        <w:t>a Paz, em</w:t>
      </w:r>
      <w:r w:rsidR="00CA39B2" w:rsidRPr="003A1174">
        <w:rPr>
          <w:rFonts w:ascii="Garamond" w:hAnsi="Garamond" w:cs="Arial"/>
          <w:bCs/>
          <w:color w:val="auto"/>
          <w:sz w:val="24"/>
          <w:szCs w:val="24"/>
          <w:lang w:val="pt-PT"/>
        </w:rPr>
        <w:t xml:space="preserve"> </w:t>
      </w:r>
      <w:r w:rsidR="00C30647" w:rsidRPr="003A1174">
        <w:rPr>
          <w:rFonts w:ascii="Garamond" w:hAnsi="Garamond" w:cs="Arial"/>
          <w:bCs/>
          <w:color w:val="auto"/>
          <w:sz w:val="24"/>
          <w:szCs w:val="24"/>
          <w:lang w:val="pt-PT"/>
        </w:rPr>
        <w:t>muitos</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dos</w:t>
      </w:r>
      <w:r w:rsidRPr="003A1174">
        <w:rPr>
          <w:rFonts w:ascii="Garamond" w:hAnsi="Garamond" w:cs="Arial"/>
          <w:bCs/>
          <w:color w:val="auto"/>
          <w:sz w:val="24"/>
          <w:szCs w:val="24"/>
          <w:lang w:val="pt-PT"/>
        </w:rPr>
        <w:t xml:space="preserve"> casos</w:t>
      </w:r>
      <w:r w:rsidR="00E34DB3" w:rsidRPr="003A1174">
        <w:rPr>
          <w:rFonts w:ascii="Garamond" w:hAnsi="Garamond" w:cs="Arial"/>
          <w:bCs/>
          <w:color w:val="auto"/>
          <w:sz w:val="24"/>
          <w:szCs w:val="24"/>
          <w:lang w:val="pt-PT"/>
        </w:rPr>
        <w:t>,</w:t>
      </w:r>
      <w:r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 xml:space="preserve">os </w:t>
      </w:r>
      <w:r w:rsidR="00BA3CCE" w:rsidRPr="003A1174">
        <w:rPr>
          <w:rFonts w:ascii="Garamond" w:hAnsi="Garamond" w:cs="Arial"/>
          <w:bCs/>
          <w:color w:val="auto"/>
          <w:sz w:val="24"/>
          <w:szCs w:val="24"/>
          <w:lang w:val="pt-PT"/>
        </w:rPr>
        <w:t>juízes</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 xml:space="preserve">proferem </w:t>
      </w:r>
      <w:r w:rsidR="00CA39B2" w:rsidRPr="003A1174">
        <w:rPr>
          <w:rFonts w:ascii="Garamond" w:hAnsi="Garamond" w:cs="Arial"/>
          <w:bCs/>
          <w:color w:val="auto"/>
          <w:sz w:val="24"/>
          <w:szCs w:val="24"/>
          <w:lang w:val="pt-PT"/>
        </w:rPr>
        <w:t xml:space="preserve">as medidas cautelares de forma </w:t>
      </w:r>
      <w:r w:rsidR="00201889" w:rsidRPr="003A1174">
        <w:rPr>
          <w:rFonts w:ascii="Garamond" w:hAnsi="Garamond" w:cs="Arial"/>
          <w:bCs/>
          <w:color w:val="auto"/>
          <w:sz w:val="24"/>
          <w:szCs w:val="24"/>
          <w:lang w:val="pt-PT"/>
        </w:rPr>
        <w:t>imediata</w:t>
      </w:r>
      <w:r w:rsidR="00CA39B2" w:rsidRPr="003A1174">
        <w:rPr>
          <w:rFonts w:ascii="Garamond" w:hAnsi="Garamond" w:cs="Arial"/>
          <w:bCs/>
          <w:color w:val="auto"/>
          <w:sz w:val="24"/>
          <w:szCs w:val="24"/>
          <w:lang w:val="pt-PT"/>
        </w:rPr>
        <w:t>.</w:t>
      </w:r>
    </w:p>
    <w:p w:rsidR="00CA39B2" w:rsidRPr="003A1174" w:rsidRDefault="00147717" w:rsidP="008719D4">
      <w:pPr>
        <w:pStyle w:val="Predeterminado"/>
        <w:spacing w:before="240" w:after="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 xml:space="preserve">Por </w:t>
      </w:r>
      <w:r w:rsidR="001F2F8B" w:rsidRPr="003A1174">
        <w:rPr>
          <w:rFonts w:ascii="Garamond" w:hAnsi="Garamond" w:cs="Arial"/>
          <w:bCs/>
          <w:color w:val="auto"/>
          <w:sz w:val="24"/>
          <w:szCs w:val="24"/>
          <w:lang w:val="pt-PT"/>
        </w:rPr>
        <w:t>outro</w:t>
      </w:r>
      <w:r w:rsidR="00CA39B2" w:rsidRPr="003A1174">
        <w:rPr>
          <w:rFonts w:ascii="Garamond" w:hAnsi="Garamond" w:cs="Arial"/>
          <w:bCs/>
          <w:color w:val="auto"/>
          <w:sz w:val="24"/>
          <w:szCs w:val="24"/>
          <w:lang w:val="pt-PT"/>
        </w:rPr>
        <w:t xml:space="preserve"> lado</w:t>
      </w:r>
      <w:r w:rsidR="00025C7F"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 xml:space="preserve">para </w:t>
      </w:r>
      <w:r w:rsidRPr="003A1174">
        <w:rPr>
          <w:rFonts w:ascii="Garamond" w:hAnsi="Garamond" w:cs="Arial"/>
          <w:bCs/>
          <w:color w:val="auto"/>
          <w:sz w:val="24"/>
          <w:szCs w:val="24"/>
          <w:lang w:val="pt-PT"/>
        </w:rPr>
        <w:t>atenuar a</w:t>
      </w:r>
      <w:r w:rsidR="00CA39B2" w:rsidRPr="003A1174">
        <w:rPr>
          <w:rFonts w:ascii="Garamond" w:hAnsi="Garamond" w:cs="Arial"/>
          <w:bCs/>
          <w:color w:val="auto"/>
          <w:sz w:val="24"/>
          <w:szCs w:val="24"/>
          <w:lang w:val="pt-PT"/>
        </w:rPr>
        <w:t xml:space="preserve"> falta de </w:t>
      </w:r>
      <w:r w:rsidR="0017447A" w:rsidRPr="003A1174">
        <w:rPr>
          <w:rFonts w:ascii="Garamond" w:hAnsi="Garamond" w:cs="Arial"/>
          <w:bCs/>
          <w:color w:val="auto"/>
          <w:sz w:val="24"/>
          <w:szCs w:val="24"/>
          <w:lang w:val="pt-PT"/>
        </w:rPr>
        <w:t>informação</w:t>
      </w:r>
      <w:r w:rsidRPr="003A1174">
        <w:rPr>
          <w:rFonts w:ascii="Garamond" w:hAnsi="Garamond" w:cs="Arial"/>
          <w:bCs/>
          <w:color w:val="auto"/>
          <w:sz w:val="24"/>
          <w:szCs w:val="24"/>
          <w:lang w:val="pt-PT"/>
        </w:rPr>
        <w:t xml:space="preserve"> i</w:t>
      </w:r>
      <w:r w:rsidR="00CA39B2" w:rsidRPr="003A1174">
        <w:rPr>
          <w:rFonts w:ascii="Garamond" w:hAnsi="Garamond" w:cs="Arial"/>
          <w:bCs/>
          <w:color w:val="auto"/>
          <w:sz w:val="24"/>
          <w:szCs w:val="24"/>
          <w:lang w:val="pt-PT"/>
        </w:rPr>
        <w:t>ntegra</w:t>
      </w:r>
      <w:r w:rsidRPr="003A1174">
        <w:rPr>
          <w:rFonts w:ascii="Garamond" w:hAnsi="Garamond" w:cs="Arial"/>
          <w:bCs/>
          <w:color w:val="auto"/>
          <w:sz w:val="24"/>
          <w:szCs w:val="24"/>
          <w:lang w:val="pt-PT"/>
        </w:rPr>
        <w:t>l</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w:t>
      </w:r>
      <w:r w:rsidR="00FB09CA" w:rsidRPr="003A1174">
        <w:rPr>
          <w:rFonts w:ascii="Garamond" w:hAnsi="Garamond" w:cs="Arial"/>
          <w:bCs/>
          <w:color w:val="auto"/>
          <w:sz w:val="24"/>
          <w:szCs w:val="24"/>
          <w:lang w:val="pt-PT"/>
        </w:rPr>
        <w:t>atual</w:t>
      </w:r>
      <w:r w:rsidR="00CA39B2" w:rsidRPr="003A1174">
        <w:rPr>
          <w:rFonts w:ascii="Garamond" w:hAnsi="Garamond" w:cs="Arial"/>
          <w:bCs/>
          <w:color w:val="auto"/>
          <w:sz w:val="24"/>
          <w:szCs w:val="24"/>
          <w:lang w:val="pt-PT"/>
        </w:rPr>
        <w:t>izada e</w:t>
      </w:r>
      <w:r w:rsidRPr="003A1174">
        <w:rPr>
          <w:rFonts w:ascii="Garamond" w:hAnsi="Garamond" w:cs="Arial"/>
          <w:bCs/>
          <w:color w:val="auto"/>
          <w:sz w:val="24"/>
          <w:szCs w:val="24"/>
          <w:lang w:val="pt-PT"/>
        </w:rPr>
        <w:t>m</w:t>
      </w:r>
      <w:r w:rsidR="00CA39B2" w:rsidRPr="003A1174">
        <w:rPr>
          <w:rFonts w:ascii="Garamond" w:hAnsi="Garamond" w:cs="Arial"/>
          <w:bCs/>
          <w:color w:val="auto"/>
          <w:sz w:val="24"/>
          <w:szCs w:val="24"/>
          <w:lang w:val="pt-PT"/>
        </w:rPr>
        <w:t xml:space="preserve"> </w:t>
      </w:r>
      <w:r w:rsidR="00EF645F" w:rsidRPr="003A1174">
        <w:rPr>
          <w:rFonts w:ascii="Garamond" w:hAnsi="Garamond" w:cs="Arial"/>
          <w:bCs/>
          <w:color w:val="auto"/>
          <w:sz w:val="24"/>
          <w:szCs w:val="24"/>
          <w:lang w:val="pt-PT"/>
        </w:rPr>
        <w:t>matéria</w:t>
      </w:r>
      <w:r w:rsidR="00CA39B2" w:rsidRPr="003A1174">
        <w:rPr>
          <w:rFonts w:ascii="Garamond" w:hAnsi="Garamond" w:cs="Arial"/>
          <w:bCs/>
          <w:color w:val="auto"/>
          <w:sz w:val="24"/>
          <w:szCs w:val="24"/>
          <w:lang w:val="pt-PT"/>
        </w:rPr>
        <w:t xml:space="preserve"> de </w:t>
      </w:r>
      <w:r w:rsidR="008651AF" w:rsidRPr="003A1174">
        <w:rPr>
          <w:rFonts w:ascii="Garamond" w:hAnsi="Garamond" w:cs="Arial"/>
          <w:bCs/>
          <w:color w:val="auto"/>
          <w:sz w:val="24"/>
          <w:szCs w:val="24"/>
          <w:lang w:val="pt-PT"/>
        </w:rPr>
        <w:t>denúncia</w:t>
      </w:r>
      <w:r w:rsidR="00CA39B2" w:rsidRPr="003A1174">
        <w:rPr>
          <w:rFonts w:ascii="Garamond" w:hAnsi="Garamond" w:cs="Arial"/>
          <w:bCs/>
          <w:color w:val="auto"/>
          <w:sz w:val="24"/>
          <w:szCs w:val="24"/>
          <w:lang w:val="pt-PT"/>
        </w:rPr>
        <w:t xml:space="preserve">s de casos de </w:t>
      </w:r>
      <w:r w:rsidR="000350B1" w:rsidRPr="003A1174">
        <w:rPr>
          <w:rFonts w:ascii="Garamond" w:hAnsi="Garamond" w:cs="Arial"/>
          <w:bCs/>
          <w:color w:val="auto"/>
          <w:sz w:val="24"/>
          <w:szCs w:val="24"/>
          <w:lang w:val="pt-PT"/>
        </w:rPr>
        <w:t>violência</w:t>
      </w:r>
      <w:r w:rsidR="00CA39B2" w:rsidRPr="003A1174">
        <w:rPr>
          <w:rFonts w:ascii="Garamond" w:hAnsi="Garamond" w:cs="Arial"/>
          <w:bCs/>
          <w:color w:val="auto"/>
          <w:sz w:val="24"/>
          <w:szCs w:val="24"/>
          <w:lang w:val="pt-PT"/>
        </w:rPr>
        <w:t xml:space="preserve"> doméstica, </w:t>
      </w:r>
      <w:r w:rsidR="00025C7F" w:rsidRPr="003A1174">
        <w:rPr>
          <w:rFonts w:ascii="Garamond" w:hAnsi="Garamond" w:cs="Arial"/>
          <w:bCs/>
          <w:color w:val="auto"/>
          <w:sz w:val="24"/>
          <w:szCs w:val="24"/>
          <w:lang w:val="pt-PT"/>
        </w:rPr>
        <w:t xml:space="preserve">a </w:t>
      </w:r>
      <w:r w:rsidR="00FF6A3F" w:rsidRPr="003A1174">
        <w:rPr>
          <w:rFonts w:ascii="Garamond" w:hAnsi="Garamond" w:cs="Arial"/>
          <w:bCs/>
          <w:color w:val="auto"/>
          <w:sz w:val="24"/>
          <w:szCs w:val="24"/>
          <w:lang w:val="pt-PT"/>
        </w:rPr>
        <w:t>Comissão</w:t>
      </w:r>
      <w:r w:rsidR="00025C7F" w:rsidRPr="003A1174">
        <w:rPr>
          <w:rFonts w:ascii="Garamond" w:hAnsi="Garamond" w:cs="Arial"/>
          <w:bCs/>
          <w:color w:val="auto"/>
          <w:sz w:val="24"/>
          <w:szCs w:val="24"/>
          <w:lang w:val="pt-PT"/>
        </w:rPr>
        <w:t xml:space="preserve"> Suprema de </w:t>
      </w:r>
      <w:r w:rsidR="00FC1F7F" w:rsidRPr="003A1174">
        <w:rPr>
          <w:rFonts w:ascii="Garamond" w:hAnsi="Garamond" w:cs="Arial"/>
          <w:bCs/>
          <w:color w:val="auto"/>
          <w:sz w:val="24"/>
          <w:szCs w:val="24"/>
          <w:lang w:val="pt-PT"/>
        </w:rPr>
        <w:t>Justiça</w:t>
      </w:r>
      <w:r w:rsidR="00025C7F"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emiti</w:t>
      </w:r>
      <w:r w:rsidRPr="003A1174">
        <w:rPr>
          <w:rFonts w:ascii="Garamond" w:hAnsi="Garamond" w:cs="Arial"/>
          <w:bCs/>
          <w:color w:val="auto"/>
          <w:sz w:val="24"/>
          <w:szCs w:val="24"/>
          <w:lang w:val="pt-PT"/>
        </w:rPr>
        <w:t xml:space="preserve">u uma circular dirigida a todos </w:t>
      </w:r>
      <w:r w:rsidR="00CA39B2" w:rsidRPr="003A1174">
        <w:rPr>
          <w:rFonts w:ascii="Garamond" w:hAnsi="Garamond" w:cs="Arial"/>
          <w:bCs/>
          <w:color w:val="auto"/>
          <w:sz w:val="24"/>
          <w:szCs w:val="24"/>
          <w:lang w:val="pt-PT"/>
        </w:rPr>
        <w:t xml:space="preserve">os </w:t>
      </w:r>
      <w:r w:rsidR="002470B1" w:rsidRPr="003A1174">
        <w:rPr>
          <w:rFonts w:ascii="Garamond" w:hAnsi="Garamond" w:cs="Arial"/>
          <w:bCs/>
          <w:color w:val="auto"/>
          <w:sz w:val="24"/>
          <w:szCs w:val="24"/>
          <w:lang w:val="pt-PT"/>
        </w:rPr>
        <w:t>Tribunais</w:t>
      </w:r>
      <w:r w:rsidRPr="003A1174">
        <w:rPr>
          <w:rFonts w:ascii="Garamond" w:hAnsi="Garamond" w:cs="Arial"/>
          <w:bCs/>
          <w:color w:val="auto"/>
          <w:sz w:val="24"/>
          <w:szCs w:val="24"/>
          <w:lang w:val="pt-PT"/>
        </w:rPr>
        <w:t xml:space="preserve"> da</w:t>
      </w:r>
      <w:r w:rsidR="00CA39B2" w:rsidRPr="003A1174">
        <w:rPr>
          <w:rFonts w:ascii="Garamond" w:hAnsi="Garamond" w:cs="Arial"/>
          <w:bCs/>
          <w:color w:val="auto"/>
          <w:sz w:val="24"/>
          <w:szCs w:val="24"/>
          <w:lang w:val="pt-PT"/>
        </w:rPr>
        <w:t xml:space="preserve"> Paz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país, </w:t>
      </w:r>
      <w:r w:rsidRPr="003A1174">
        <w:rPr>
          <w:rFonts w:ascii="Garamond" w:hAnsi="Garamond" w:cs="Arial"/>
          <w:bCs/>
          <w:color w:val="auto"/>
          <w:sz w:val="24"/>
          <w:szCs w:val="24"/>
          <w:lang w:val="pt-PT"/>
        </w:rPr>
        <w:t xml:space="preserve">lembrando a </w:t>
      </w:r>
      <w:r w:rsidR="00CD707D" w:rsidRPr="003A1174">
        <w:rPr>
          <w:rFonts w:ascii="Garamond" w:hAnsi="Garamond" w:cs="Arial"/>
          <w:bCs/>
          <w:color w:val="auto"/>
          <w:sz w:val="24"/>
          <w:szCs w:val="24"/>
          <w:lang w:val="pt-PT"/>
        </w:rPr>
        <w:t>vigência</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w:t>
      </w:r>
      <w:r w:rsidR="00EB2F44" w:rsidRPr="003A1174">
        <w:rPr>
          <w:rFonts w:ascii="Garamond" w:hAnsi="Garamond" w:cs="Arial"/>
          <w:bCs/>
          <w:color w:val="auto"/>
          <w:sz w:val="24"/>
          <w:szCs w:val="24"/>
          <w:lang w:val="pt-PT"/>
        </w:rPr>
        <w:t>obrigatoriedade</w:t>
      </w:r>
      <w:r w:rsidR="00CA39B2" w:rsidRPr="003A1174">
        <w:rPr>
          <w:rFonts w:ascii="Garamond" w:hAnsi="Garamond" w:cs="Arial"/>
          <w:bCs/>
          <w:color w:val="auto"/>
          <w:sz w:val="24"/>
          <w:szCs w:val="24"/>
          <w:lang w:val="pt-PT"/>
        </w:rPr>
        <w:t xml:space="preserve">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w:t>
      </w:r>
      <w:r w:rsidR="00D96FD0" w:rsidRPr="003A1174">
        <w:rPr>
          <w:rFonts w:ascii="Garamond" w:hAnsi="Garamond" w:cs="Arial"/>
          <w:bCs/>
          <w:color w:val="auto"/>
          <w:sz w:val="24"/>
          <w:szCs w:val="24"/>
          <w:lang w:val="pt-PT"/>
        </w:rPr>
        <w:t>cumprimento</w:t>
      </w:r>
      <w:r w:rsidR="00CA39B2" w:rsidRPr="003A1174">
        <w:rPr>
          <w:rFonts w:ascii="Garamond" w:hAnsi="Garamond" w:cs="Arial"/>
          <w:bCs/>
          <w:color w:val="auto"/>
          <w:sz w:val="24"/>
          <w:szCs w:val="24"/>
          <w:lang w:val="pt-PT"/>
        </w:rPr>
        <w:t xml:space="preserve"> </w:t>
      </w:r>
      <w:r w:rsidR="003125FA">
        <w:rPr>
          <w:rFonts w:ascii="Garamond" w:hAnsi="Garamond" w:cs="Arial"/>
          <w:bCs/>
          <w:color w:val="auto"/>
          <w:sz w:val="24"/>
          <w:szCs w:val="24"/>
          <w:lang w:val="pt-PT"/>
        </w:rPr>
        <w:t xml:space="preserve">do Acórdão </w:t>
      </w:r>
      <w:r w:rsidR="00CA39B2" w:rsidRPr="003A1174">
        <w:rPr>
          <w:rFonts w:ascii="Garamond" w:hAnsi="Garamond" w:cs="Arial"/>
          <w:bCs/>
          <w:color w:val="auto"/>
          <w:sz w:val="24"/>
          <w:szCs w:val="24"/>
          <w:lang w:val="pt-PT"/>
        </w:rPr>
        <w:t>N</w:t>
      </w:r>
      <w:r w:rsidR="003125FA">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xml:space="preserve">º 454/2007 da </w:t>
      </w:r>
      <w:r w:rsidR="00FF6A3F" w:rsidRPr="003A1174">
        <w:rPr>
          <w:rFonts w:ascii="Garamond" w:hAnsi="Garamond" w:cs="Arial"/>
          <w:bCs/>
          <w:color w:val="auto"/>
          <w:sz w:val="24"/>
          <w:szCs w:val="24"/>
          <w:lang w:val="pt-PT"/>
        </w:rPr>
        <w:t>Comissão</w:t>
      </w:r>
      <w:r w:rsidR="00CA39B2" w:rsidRPr="003A1174">
        <w:rPr>
          <w:rFonts w:ascii="Garamond" w:hAnsi="Garamond" w:cs="Arial"/>
          <w:bCs/>
          <w:color w:val="auto"/>
          <w:sz w:val="24"/>
          <w:szCs w:val="24"/>
          <w:lang w:val="pt-PT"/>
        </w:rPr>
        <w:t xml:space="preserve"> Suprema de </w:t>
      </w:r>
      <w:r w:rsidR="00FC1F7F" w:rsidRPr="003A1174">
        <w:rPr>
          <w:rFonts w:ascii="Garamond" w:hAnsi="Garamond" w:cs="Arial"/>
          <w:bCs/>
          <w:color w:val="auto"/>
          <w:sz w:val="24"/>
          <w:szCs w:val="24"/>
          <w:lang w:val="pt-PT"/>
        </w:rPr>
        <w:t>Justiça</w:t>
      </w:r>
      <w:r w:rsidR="00CA39B2" w:rsidRPr="003A1174">
        <w:rPr>
          <w:rFonts w:ascii="Garamond" w:hAnsi="Garamond" w:cs="Arial"/>
          <w:bCs/>
          <w:color w:val="auto"/>
          <w:sz w:val="24"/>
          <w:szCs w:val="24"/>
          <w:lang w:val="pt-PT"/>
        </w:rPr>
        <w:t xml:space="preserve">, </w:t>
      </w:r>
      <w:r w:rsidR="00025C7F" w:rsidRPr="003A1174">
        <w:rPr>
          <w:rFonts w:ascii="Garamond" w:hAnsi="Garamond" w:cs="Arial"/>
          <w:bCs/>
          <w:color w:val="auto"/>
          <w:sz w:val="24"/>
          <w:szCs w:val="24"/>
          <w:lang w:val="pt-PT"/>
        </w:rPr>
        <w:t>que</w:t>
      </w:r>
      <w:r w:rsidR="00CA39B2" w:rsidRPr="003A1174">
        <w:rPr>
          <w:rFonts w:ascii="Garamond" w:hAnsi="Garamond" w:cs="Arial"/>
          <w:bCs/>
          <w:color w:val="auto"/>
          <w:sz w:val="24"/>
          <w:szCs w:val="24"/>
          <w:lang w:val="pt-PT"/>
        </w:rPr>
        <w:t xml:space="preserve"> </w:t>
      </w:r>
      <w:r w:rsidR="003125FA">
        <w:rPr>
          <w:rFonts w:ascii="Garamond" w:hAnsi="Garamond" w:cs="Arial"/>
          <w:bCs/>
          <w:color w:val="auto"/>
          <w:sz w:val="24"/>
          <w:szCs w:val="24"/>
          <w:lang w:val="pt-PT"/>
        </w:rPr>
        <w:t xml:space="preserve">determina </w:t>
      </w:r>
      <w:r w:rsidRPr="003A1174">
        <w:rPr>
          <w:rFonts w:ascii="Garamond" w:hAnsi="Garamond" w:cs="Arial"/>
          <w:bCs/>
          <w:color w:val="auto"/>
          <w:sz w:val="24"/>
          <w:szCs w:val="24"/>
          <w:lang w:val="pt-PT"/>
        </w:rPr>
        <w:t xml:space="preserve">o </w:t>
      </w:r>
      <w:r w:rsidR="00CA39B2" w:rsidRPr="003A1174">
        <w:rPr>
          <w:rFonts w:ascii="Garamond" w:hAnsi="Garamond" w:cs="Arial"/>
          <w:bCs/>
          <w:color w:val="auto"/>
          <w:sz w:val="24"/>
          <w:szCs w:val="24"/>
          <w:lang w:val="pt-PT"/>
        </w:rPr>
        <w:t xml:space="preserve">uso </w:t>
      </w:r>
      <w:r w:rsidR="00D96FD0" w:rsidRPr="003A1174">
        <w:rPr>
          <w:rFonts w:ascii="Garamond" w:hAnsi="Garamond" w:cs="Arial"/>
          <w:bCs/>
          <w:color w:val="auto"/>
          <w:sz w:val="24"/>
          <w:szCs w:val="24"/>
          <w:lang w:val="pt-PT"/>
        </w:rPr>
        <w:t>obrigatório</w:t>
      </w:r>
      <w:r w:rsidR="00CA39B2" w:rsidRPr="003A1174">
        <w:rPr>
          <w:rFonts w:ascii="Garamond" w:hAnsi="Garamond" w:cs="Arial"/>
          <w:bCs/>
          <w:color w:val="auto"/>
          <w:sz w:val="24"/>
          <w:szCs w:val="24"/>
          <w:lang w:val="pt-PT"/>
        </w:rPr>
        <w:t xml:space="preserve"> </w:t>
      </w:r>
      <w:r w:rsidR="008A3DA2" w:rsidRPr="003A1174">
        <w:rPr>
          <w:rFonts w:ascii="Garamond" w:hAnsi="Garamond" w:cs="Arial"/>
          <w:bCs/>
          <w:color w:val="auto"/>
          <w:sz w:val="24"/>
          <w:szCs w:val="24"/>
          <w:lang w:val="pt-PT"/>
        </w:rPr>
        <w:t>do</w:t>
      </w:r>
      <w:r w:rsidR="00CA39B2" w:rsidRPr="003A1174">
        <w:rPr>
          <w:rFonts w:ascii="Garamond" w:hAnsi="Garamond" w:cs="Arial"/>
          <w:bCs/>
          <w:color w:val="auto"/>
          <w:sz w:val="24"/>
          <w:szCs w:val="24"/>
          <w:lang w:val="pt-PT"/>
        </w:rPr>
        <w:t xml:space="preserve"> </w:t>
      </w:r>
      <w:r w:rsidR="003125FA">
        <w:rPr>
          <w:rFonts w:ascii="Garamond" w:hAnsi="Garamond" w:cs="Arial"/>
          <w:bCs/>
          <w:color w:val="auto"/>
          <w:sz w:val="24"/>
          <w:szCs w:val="24"/>
          <w:lang w:val="pt-PT"/>
        </w:rPr>
        <w:t>«</w:t>
      </w:r>
      <w:r w:rsidR="00C01806" w:rsidRPr="003A1174">
        <w:rPr>
          <w:rFonts w:ascii="Garamond" w:hAnsi="Garamond" w:cs="Arial"/>
          <w:bCs/>
          <w:color w:val="auto"/>
          <w:sz w:val="24"/>
          <w:szCs w:val="24"/>
          <w:lang w:val="pt-PT"/>
        </w:rPr>
        <w:t>Formulário</w:t>
      </w:r>
      <w:r w:rsidR="00CA39B2" w:rsidRPr="003A1174">
        <w:rPr>
          <w:rFonts w:ascii="Garamond" w:hAnsi="Garamond" w:cs="Arial"/>
          <w:bCs/>
          <w:color w:val="auto"/>
          <w:sz w:val="24"/>
          <w:szCs w:val="24"/>
          <w:lang w:val="pt-PT"/>
        </w:rPr>
        <w:t xml:space="preserve"> de </w:t>
      </w:r>
      <w:r w:rsidR="00077461" w:rsidRPr="003A1174">
        <w:rPr>
          <w:rFonts w:ascii="Garamond" w:hAnsi="Garamond" w:cs="Arial"/>
          <w:bCs/>
          <w:color w:val="auto"/>
          <w:sz w:val="24"/>
          <w:szCs w:val="24"/>
          <w:lang w:val="pt-PT"/>
        </w:rPr>
        <w:t>Registo</w:t>
      </w:r>
      <w:r w:rsidR="00CA39B2" w:rsidRPr="003A1174">
        <w:rPr>
          <w:rFonts w:ascii="Garamond" w:hAnsi="Garamond" w:cs="Arial"/>
          <w:bCs/>
          <w:color w:val="auto"/>
          <w:sz w:val="24"/>
          <w:szCs w:val="24"/>
          <w:lang w:val="pt-PT"/>
        </w:rPr>
        <w:t xml:space="preserve"> de </w:t>
      </w:r>
      <w:r w:rsidR="000350B1" w:rsidRPr="003A1174">
        <w:rPr>
          <w:rFonts w:ascii="Garamond" w:hAnsi="Garamond" w:cs="Arial"/>
          <w:bCs/>
          <w:color w:val="auto"/>
          <w:sz w:val="24"/>
          <w:szCs w:val="24"/>
          <w:lang w:val="pt-PT"/>
        </w:rPr>
        <w:t>Violência</w:t>
      </w:r>
      <w:r w:rsidR="003125FA">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n</w:t>
      </w:r>
      <w:r w:rsidR="00CA39B2" w:rsidRPr="003A1174">
        <w:rPr>
          <w:rFonts w:ascii="Garamond" w:hAnsi="Garamond" w:cs="Arial"/>
          <w:bCs/>
          <w:color w:val="auto"/>
          <w:sz w:val="24"/>
          <w:szCs w:val="24"/>
          <w:lang w:val="pt-PT"/>
        </w:rPr>
        <w:t xml:space="preserve">os </w:t>
      </w:r>
      <w:r w:rsidR="002470B1" w:rsidRPr="003A1174">
        <w:rPr>
          <w:rFonts w:ascii="Garamond" w:hAnsi="Garamond" w:cs="Arial"/>
          <w:bCs/>
          <w:color w:val="auto"/>
          <w:sz w:val="24"/>
          <w:szCs w:val="24"/>
          <w:lang w:val="pt-PT"/>
        </w:rPr>
        <w:t>Tribunais</w:t>
      </w:r>
      <w:r w:rsidRPr="003A1174">
        <w:rPr>
          <w:rFonts w:ascii="Garamond" w:hAnsi="Garamond" w:cs="Arial"/>
          <w:bCs/>
          <w:color w:val="auto"/>
          <w:sz w:val="24"/>
          <w:szCs w:val="24"/>
          <w:lang w:val="pt-PT"/>
        </w:rPr>
        <w:t xml:space="preserve"> da Paz de todas </w:t>
      </w:r>
      <w:r w:rsidR="00CA39B2" w:rsidRPr="003A1174">
        <w:rPr>
          <w:rFonts w:ascii="Garamond" w:hAnsi="Garamond" w:cs="Arial"/>
          <w:bCs/>
          <w:color w:val="auto"/>
          <w:sz w:val="24"/>
          <w:szCs w:val="24"/>
          <w:lang w:val="pt-PT"/>
        </w:rPr>
        <w:t>a</w:t>
      </w:r>
      <w:r w:rsidRPr="003A1174">
        <w:rPr>
          <w:rFonts w:ascii="Garamond" w:hAnsi="Garamond" w:cs="Arial"/>
          <w:bCs/>
          <w:color w:val="auto"/>
          <w:sz w:val="24"/>
          <w:szCs w:val="24"/>
          <w:lang w:val="pt-PT"/>
        </w:rPr>
        <w:t>s</w:t>
      </w:r>
      <w:r w:rsidR="00CA39B2" w:rsidRPr="003A1174">
        <w:rPr>
          <w:rFonts w:ascii="Garamond" w:hAnsi="Garamond" w:cs="Arial"/>
          <w:bCs/>
          <w:color w:val="auto"/>
          <w:sz w:val="24"/>
          <w:szCs w:val="24"/>
          <w:lang w:val="pt-PT"/>
        </w:rPr>
        <w:t xml:space="preserve"> </w:t>
      </w:r>
      <w:r w:rsidR="00202D4B" w:rsidRPr="003A1174">
        <w:rPr>
          <w:rFonts w:ascii="Garamond" w:hAnsi="Garamond" w:cs="Arial"/>
          <w:bCs/>
          <w:color w:val="auto"/>
          <w:sz w:val="24"/>
          <w:szCs w:val="24"/>
          <w:lang w:val="pt-PT"/>
        </w:rPr>
        <w:t>Circunscrições</w:t>
      </w:r>
      <w:r w:rsidR="00CA39B2" w:rsidRPr="003A1174">
        <w:rPr>
          <w:rFonts w:ascii="Garamond" w:hAnsi="Garamond" w:cs="Arial"/>
          <w:bCs/>
          <w:color w:val="auto"/>
          <w:sz w:val="24"/>
          <w:szCs w:val="24"/>
          <w:lang w:val="pt-PT"/>
        </w:rPr>
        <w:t xml:space="preserve"> </w:t>
      </w:r>
      <w:r w:rsidR="002D1021" w:rsidRPr="003A1174">
        <w:rPr>
          <w:rFonts w:ascii="Garamond" w:hAnsi="Garamond" w:cs="Arial"/>
          <w:bCs/>
          <w:color w:val="auto"/>
          <w:sz w:val="24"/>
          <w:szCs w:val="24"/>
          <w:lang w:val="pt-PT"/>
        </w:rPr>
        <w:t>Judiciais</w:t>
      </w:r>
      <w:r w:rsidR="00202D4B" w:rsidRPr="003A1174">
        <w:rPr>
          <w:rFonts w:ascii="Garamond" w:hAnsi="Garamond" w:cs="Arial"/>
          <w:bCs/>
          <w:color w:val="auto"/>
          <w:sz w:val="24"/>
          <w:szCs w:val="24"/>
          <w:lang w:val="pt-PT"/>
        </w:rPr>
        <w:t xml:space="preserve"> d</w:t>
      </w:r>
      <w:r w:rsidR="00CA39B2" w:rsidRPr="003A1174">
        <w:rPr>
          <w:rFonts w:ascii="Garamond" w:hAnsi="Garamond" w:cs="Arial"/>
          <w:bCs/>
          <w:color w:val="auto"/>
          <w:sz w:val="24"/>
          <w:szCs w:val="24"/>
          <w:lang w:val="pt-PT"/>
        </w:rPr>
        <w:t>a República</w:t>
      </w:r>
      <w:r w:rsidR="00025C7F" w:rsidRPr="003A1174">
        <w:rPr>
          <w:rFonts w:ascii="Garamond" w:hAnsi="Garamond" w:cs="Arial"/>
          <w:bCs/>
          <w:color w:val="auto"/>
          <w:sz w:val="24"/>
          <w:szCs w:val="24"/>
          <w:lang w:val="pt-PT"/>
        </w:rPr>
        <w:t xml:space="preserve">. Tal </w:t>
      </w:r>
      <w:r w:rsidR="00C01806" w:rsidRPr="003A1174">
        <w:rPr>
          <w:rFonts w:ascii="Garamond" w:hAnsi="Garamond" w:cs="Arial"/>
          <w:bCs/>
          <w:color w:val="auto"/>
          <w:sz w:val="24"/>
          <w:szCs w:val="24"/>
          <w:lang w:val="pt-PT"/>
        </w:rPr>
        <w:t>formulário</w:t>
      </w:r>
      <w:r w:rsidR="00CA39B2" w:rsidRPr="003A1174">
        <w:rPr>
          <w:rFonts w:ascii="Garamond" w:hAnsi="Garamond" w:cs="Arial"/>
          <w:bCs/>
          <w:color w:val="auto"/>
          <w:sz w:val="24"/>
          <w:szCs w:val="24"/>
          <w:lang w:val="pt-PT"/>
        </w:rPr>
        <w:t xml:space="preserve"> </w:t>
      </w:r>
      <w:r w:rsidR="003125FA">
        <w:rPr>
          <w:rFonts w:ascii="Garamond" w:hAnsi="Garamond" w:cs="Arial"/>
          <w:bCs/>
          <w:color w:val="auto"/>
          <w:sz w:val="24"/>
          <w:szCs w:val="24"/>
          <w:lang w:val="pt-PT"/>
        </w:rPr>
        <w:t xml:space="preserve">deverá ser </w:t>
      </w:r>
      <w:r w:rsidR="00202D4B" w:rsidRPr="003A1174">
        <w:rPr>
          <w:rFonts w:ascii="Garamond" w:hAnsi="Garamond" w:cs="Arial"/>
          <w:bCs/>
          <w:color w:val="auto"/>
          <w:sz w:val="24"/>
          <w:szCs w:val="24"/>
          <w:lang w:val="pt-PT"/>
        </w:rPr>
        <w:t xml:space="preserve">pelo </w:t>
      </w:r>
      <w:r w:rsidR="003E6403" w:rsidRPr="003A1174">
        <w:rPr>
          <w:rFonts w:ascii="Garamond" w:hAnsi="Garamond" w:cs="Arial"/>
          <w:bCs/>
          <w:color w:val="auto"/>
          <w:sz w:val="24"/>
          <w:szCs w:val="24"/>
          <w:lang w:val="pt-PT"/>
        </w:rPr>
        <w:t>funcionári</w:t>
      </w:r>
      <w:r w:rsidR="00CA39B2" w:rsidRPr="003A1174">
        <w:rPr>
          <w:rFonts w:ascii="Garamond" w:hAnsi="Garamond" w:cs="Arial"/>
          <w:bCs/>
          <w:color w:val="auto"/>
          <w:sz w:val="24"/>
          <w:szCs w:val="24"/>
          <w:lang w:val="pt-PT"/>
        </w:rPr>
        <w:t xml:space="preserve">o </w:t>
      </w:r>
      <w:r w:rsidR="00FC1F7F" w:rsidRPr="003A1174">
        <w:rPr>
          <w:rFonts w:ascii="Garamond" w:hAnsi="Garamond" w:cs="Arial"/>
          <w:bCs/>
          <w:color w:val="auto"/>
          <w:sz w:val="24"/>
          <w:szCs w:val="24"/>
          <w:lang w:val="pt-PT"/>
        </w:rPr>
        <w:t>responsável</w:t>
      </w:r>
      <w:r w:rsidR="00CA39B2"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e</w:t>
      </w:r>
      <w:r w:rsidR="00CA39B2" w:rsidRPr="003A1174">
        <w:rPr>
          <w:rFonts w:ascii="Garamond" w:hAnsi="Garamond" w:cs="Arial"/>
          <w:bCs/>
          <w:color w:val="auto"/>
          <w:sz w:val="24"/>
          <w:szCs w:val="24"/>
          <w:lang w:val="pt-PT"/>
        </w:rPr>
        <w:t xml:space="preserve"> os </w:t>
      </w:r>
      <w:r w:rsidR="002470B1" w:rsidRPr="003A1174">
        <w:rPr>
          <w:rFonts w:ascii="Garamond" w:hAnsi="Garamond" w:cs="Arial"/>
          <w:bCs/>
          <w:color w:val="auto"/>
          <w:sz w:val="24"/>
          <w:szCs w:val="24"/>
          <w:lang w:val="pt-PT"/>
        </w:rPr>
        <w:t>Tribunais</w:t>
      </w:r>
      <w:r w:rsidR="00CA39B2" w:rsidRPr="003A1174">
        <w:rPr>
          <w:rFonts w:ascii="Garamond" w:hAnsi="Garamond" w:cs="Arial"/>
          <w:bCs/>
          <w:color w:val="auto"/>
          <w:sz w:val="24"/>
          <w:szCs w:val="24"/>
          <w:lang w:val="pt-PT"/>
        </w:rPr>
        <w:t xml:space="preserve"> d</w:t>
      </w:r>
      <w:r w:rsidR="00202D4B" w:rsidRPr="003A1174">
        <w:rPr>
          <w:rFonts w:ascii="Garamond" w:hAnsi="Garamond" w:cs="Arial"/>
          <w:bCs/>
          <w:color w:val="auto"/>
          <w:sz w:val="24"/>
          <w:szCs w:val="24"/>
          <w:lang w:val="pt-PT"/>
        </w:rPr>
        <w:t>a</w:t>
      </w:r>
      <w:r w:rsidR="00CA39B2" w:rsidRPr="003A1174">
        <w:rPr>
          <w:rFonts w:ascii="Garamond" w:hAnsi="Garamond" w:cs="Arial"/>
          <w:bCs/>
          <w:color w:val="auto"/>
          <w:sz w:val="24"/>
          <w:szCs w:val="24"/>
          <w:lang w:val="pt-PT"/>
        </w:rPr>
        <w:t xml:space="preserve"> Paz </w:t>
      </w:r>
      <w:r w:rsidR="00497503" w:rsidRPr="003A1174">
        <w:rPr>
          <w:rFonts w:ascii="Garamond" w:hAnsi="Garamond" w:cs="Arial"/>
          <w:bCs/>
          <w:color w:val="auto"/>
          <w:sz w:val="24"/>
          <w:szCs w:val="24"/>
          <w:lang w:val="pt-PT"/>
        </w:rPr>
        <w:t>das</w:t>
      </w:r>
      <w:r w:rsidR="00CA39B2" w:rsidRPr="003A1174">
        <w:rPr>
          <w:rFonts w:ascii="Garamond" w:hAnsi="Garamond" w:cs="Arial"/>
          <w:bCs/>
          <w:color w:val="auto"/>
          <w:sz w:val="24"/>
          <w:szCs w:val="24"/>
          <w:lang w:val="pt-PT"/>
        </w:rPr>
        <w:t xml:space="preserve"> di</w:t>
      </w:r>
      <w:r w:rsidR="00202D4B" w:rsidRPr="003A1174">
        <w:rPr>
          <w:rFonts w:ascii="Garamond" w:hAnsi="Garamond" w:cs="Arial"/>
          <w:bCs/>
          <w:color w:val="auto"/>
          <w:sz w:val="24"/>
          <w:szCs w:val="24"/>
          <w:lang w:val="pt-PT"/>
        </w:rPr>
        <w:t>ferentes Circunscrições</w:t>
      </w:r>
      <w:r w:rsidR="00CA39B2" w:rsidRPr="003A1174">
        <w:rPr>
          <w:rFonts w:ascii="Garamond" w:hAnsi="Garamond" w:cs="Arial"/>
          <w:bCs/>
          <w:color w:val="auto"/>
          <w:sz w:val="24"/>
          <w:szCs w:val="24"/>
          <w:lang w:val="pt-PT"/>
        </w:rPr>
        <w:t xml:space="preserve"> </w:t>
      </w:r>
      <w:r w:rsidR="002D1021" w:rsidRPr="003A1174">
        <w:rPr>
          <w:rFonts w:ascii="Garamond" w:hAnsi="Garamond" w:cs="Arial"/>
          <w:bCs/>
          <w:color w:val="auto"/>
          <w:sz w:val="24"/>
          <w:szCs w:val="24"/>
          <w:lang w:val="pt-PT"/>
        </w:rPr>
        <w:t>Judiciais</w:t>
      </w:r>
      <w:r w:rsidR="00CA39B2" w:rsidRPr="003A1174">
        <w:rPr>
          <w:rFonts w:ascii="Garamond" w:hAnsi="Garamond" w:cs="Arial"/>
          <w:bCs/>
          <w:color w:val="auto"/>
          <w:sz w:val="24"/>
          <w:szCs w:val="24"/>
          <w:lang w:val="pt-PT"/>
        </w:rPr>
        <w:t xml:space="preserve"> </w:t>
      </w:r>
      <w:r w:rsidR="003125FA">
        <w:rPr>
          <w:rFonts w:ascii="Garamond" w:hAnsi="Garamond" w:cs="Arial"/>
          <w:bCs/>
          <w:color w:val="auto"/>
          <w:sz w:val="24"/>
          <w:szCs w:val="24"/>
          <w:lang w:val="pt-PT"/>
        </w:rPr>
        <w:t>deverão enviar,</w:t>
      </w:r>
      <w:r w:rsidR="00CA39B2" w:rsidRPr="003A1174">
        <w:rPr>
          <w:rFonts w:ascii="Garamond" w:hAnsi="Garamond" w:cs="Arial"/>
          <w:bCs/>
          <w:color w:val="auto"/>
          <w:sz w:val="24"/>
          <w:szCs w:val="24"/>
          <w:lang w:val="pt-PT"/>
        </w:rPr>
        <w:t xml:space="preserve"> mens</w:t>
      </w:r>
      <w:r w:rsidR="00202D4B" w:rsidRPr="003A1174">
        <w:rPr>
          <w:rFonts w:ascii="Garamond" w:hAnsi="Garamond" w:cs="Arial"/>
          <w:bCs/>
          <w:color w:val="auto"/>
          <w:sz w:val="24"/>
          <w:szCs w:val="24"/>
          <w:lang w:val="pt-PT"/>
        </w:rPr>
        <w:t>almente</w:t>
      </w:r>
      <w:r w:rsidR="003125FA">
        <w:rPr>
          <w:rFonts w:ascii="Garamond" w:hAnsi="Garamond" w:cs="Arial"/>
          <w:bCs/>
          <w:color w:val="auto"/>
          <w:sz w:val="24"/>
          <w:szCs w:val="24"/>
          <w:lang w:val="pt-PT"/>
        </w:rPr>
        <w:t>,</w:t>
      </w:r>
      <w:r w:rsidR="00202D4B" w:rsidRPr="003A1174">
        <w:rPr>
          <w:rFonts w:ascii="Garamond" w:hAnsi="Garamond" w:cs="Arial"/>
          <w:bCs/>
          <w:color w:val="auto"/>
          <w:sz w:val="24"/>
          <w:szCs w:val="24"/>
          <w:lang w:val="pt-PT"/>
        </w:rPr>
        <w:t xml:space="preserve"> </w:t>
      </w:r>
      <w:r w:rsidR="00CA39B2" w:rsidRPr="003A1174">
        <w:rPr>
          <w:rFonts w:ascii="Garamond" w:hAnsi="Garamond" w:cs="Arial"/>
          <w:bCs/>
          <w:color w:val="auto"/>
          <w:sz w:val="24"/>
          <w:szCs w:val="24"/>
          <w:lang w:val="pt-PT"/>
        </w:rPr>
        <w:t xml:space="preserve">os </w:t>
      </w:r>
      <w:r w:rsidR="003125FA">
        <w:rPr>
          <w:rFonts w:ascii="Garamond" w:hAnsi="Garamond" w:cs="Arial"/>
          <w:bCs/>
          <w:color w:val="auto"/>
          <w:sz w:val="24"/>
          <w:szCs w:val="24"/>
          <w:lang w:val="pt-PT"/>
        </w:rPr>
        <w:t>«</w:t>
      </w:r>
      <w:r w:rsidR="00C01806" w:rsidRPr="003A1174">
        <w:rPr>
          <w:rFonts w:ascii="Garamond" w:hAnsi="Garamond" w:cs="Arial"/>
          <w:bCs/>
          <w:color w:val="auto"/>
          <w:sz w:val="24"/>
          <w:szCs w:val="24"/>
          <w:lang w:val="pt-PT"/>
        </w:rPr>
        <w:t>Formulário</w:t>
      </w:r>
      <w:r w:rsidR="00CA39B2" w:rsidRPr="003A1174">
        <w:rPr>
          <w:rFonts w:ascii="Garamond" w:hAnsi="Garamond" w:cs="Arial"/>
          <w:bCs/>
          <w:color w:val="auto"/>
          <w:sz w:val="24"/>
          <w:szCs w:val="24"/>
          <w:lang w:val="pt-PT"/>
        </w:rPr>
        <w:t xml:space="preserve">s de </w:t>
      </w:r>
      <w:r w:rsidR="00077461" w:rsidRPr="003A1174">
        <w:rPr>
          <w:rFonts w:ascii="Garamond" w:hAnsi="Garamond" w:cs="Arial"/>
          <w:bCs/>
          <w:color w:val="auto"/>
          <w:sz w:val="24"/>
          <w:szCs w:val="24"/>
          <w:lang w:val="pt-PT"/>
        </w:rPr>
        <w:t>Registo</w:t>
      </w:r>
      <w:r w:rsidR="00CA39B2" w:rsidRPr="003A1174">
        <w:rPr>
          <w:rFonts w:ascii="Garamond" w:hAnsi="Garamond" w:cs="Arial"/>
          <w:bCs/>
          <w:color w:val="auto"/>
          <w:sz w:val="24"/>
          <w:szCs w:val="24"/>
          <w:lang w:val="pt-PT"/>
        </w:rPr>
        <w:t xml:space="preserve"> de </w:t>
      </w:r>
      <w:r w:rsidR="000350B1" w:rsidRPr="003A1174">
        <w:rPr>
          <w:rFonts w:ascii="Garamond" w:hAnsi="Garamond" w:cs="Arial"/>
          <w:bCs/>
          <w:color w:val="auto"/>
          <w:sz w:val="24"/>
          <w:szCs w:val="24"/>
          <w:lang w:val="pt-PT"/>
        </w:rPr>
        <w:t>Violência</w:t>
      </w:r>
      <w:r w:rsidR="003125FA">
        <w:rPr>
          <w:rFonts w:ascii="Garamond" w:hAnsi="Garamond" w:cs="Arial"/>
          <w:bCs/>
          <w:color w:val="auto"/>
          <w:sz w:val="24"/>
          <w:szCs w:val="24"/>
          <w:lang w:val="pt-PT"/>
        </w:rPr>
        <w:t>»</w:t>
      </w:r>
      <w:r w:rsidR="00CA39B2" w:rsidRPr="003A1174">
        <w:rPr>
          <w:rFonts w:ascii="Garamond" w:hAnsi="Garamond" w:cs="Arial"/>
          <w:bCs/>
          <w:color w:val="auto"/>
          <w:sz w:val="24"/>
          <w:szCs w:val="24"/>
          <w:lang w:val="pt-PT"/>
        </w:rPr>
        <w:t>, de</w:t>
      </w:r>
      <w:r w:rsidR="00202D4B" w:rsidRPr="003A1174">
        <w:rPr>
          <w:rFonts w:ascii="Garamond" w:hAnsi="Garamond" w:cs="Arial"/>
          <w:bCs/>
          <w:color w:val="auto"/>
          <w:sz w:val="24"/>
          <w:szCs w:val="24"/>
          <w:lang w:val="pt-PT"/>
        </w:rPr>
        <w:t>v</w:t>
      </w:r>
      <w:r w:rsidR="00CA39B2" w:rsidRPr="003A1174">
        <w:rPr>
          <w:rFonts w:ascii="Garamond" w:hAnsi="Garamond" w:cs="Arial"/>
          <w:bCs/>
          <w:color w:val="auto"/>
          <w:sz w:val="24"/>
          <w:szCs w:val="24"/>
          <w:lang w:val="pt-PT"/>
        </w:rPr>
        <w:t xml:space="preserve">idamente </w:t>
      </w:r>
      <w:r w:rsidR="00202D4B" w:rsidRPr="003A1174">
        <w:rPr>
          <w:rFonts w:ascii="Garamond" w:hAnsi="Garamond" w:cs="Arial"/>
          <w:bCs/>
          <w:color w:val="auto"/>
          <w:sz w:val="24"/>
          <w:szCs w:val="24"/>
          <w:lang w:val="pt-PT"/>
        </w:rPr>
        <w:t xml:space="preserve">preenchidos, para o Gabinete </w:t>
      </w:r>
      <w:r w:rsidR="00CA39B2" w:rsidRPr="003A1174">
        <w:rPr>
          <w:rFonts w:ascii="Garamond" w:hAnsi="Garamond" w:cs="Arial"/>
          <w:bCs/>
          <w:color w:val="auto"/>
          <w:sz w:val="24"/>
          <w:szCs w:val="24"/>
          <w:lang w:val="pt-PT"/>
        </w:rPr>
        <w:t xml:space="preserve">de </w:t>
      </w:r>
      <w:r w:rsidR="00190B59" w:rsidRPr="003A1174">
        <w:rPr>
          <w:rFonts w:ascii="Garamond" w:hAnsi="Garamond" w:cs="Arial"/>
          <w:bCs/>
          <w:color w:val="auto"/>
          <w:sz w:val="24"/>
          <w:szCs w:val="24"/>
          <w:lang w:val="pt-PT"/>
        </w:rPr>
        <w:t>Estatísticas</w:t>
      </w:r>
      <w:r w:rsidR="00CA39B2" w:rsidRPr="003A1174">
        <w:rPr>
          <w:rFonts w:ascii="Garamond" w:hAnsi="Garamond" w:cs="Arial"/>
          <w:bCs/>
          <w:color w:val="auto"/>
          <w:sz w:val="24"/>
          <w:szCs w:val="24"/>
          <w:lang w:val="pt-PT"/>
        </w:rPr>
        <w:t xml:space="preserve"> </w:t>
      </w:r>
      <w:r w:rsidR="002D1021" w:rsidRPr="003A1174">
        <w:rPr>
          <w:rFonts w:ascii="Garamond" w:hAnsi="Garamond" w:cs="Arial"/>
          <w:bCs/>
          <w:color w:val="auto"/>
          <w:sz w:val="24"/>
          <w:szCs w:val="24"/>
          <w:lang w:val="pt-PT"/>
        </w:rPr>
        <w:t>Judiciais</w:t>
      </w:r>
      <w:r w:rsidR="00CA39B2" w:rsidRPr="003A1174">
        <w:rPr>
          <w:rFonts w:ascii="Garamond" w:hAnsi="Garamond" w:cs="Arial"/>
          <w:bCs/>
          <w:color w:val="auto"/>
          <w:sz w:val="24"/>
          <w:szCs w:val="24"/>
          <w:lang w:val="pt-PT"/>
        </w:rPr>
        <w:t xml:space="preserve"> da </w:t>
      </w:r>
      <w:r w:rsidR="00FF6A3F" w:rsidRPr="003A1174">
        <w:rPr>
          <w:rFonts w:ascii="Garamond" w:hAnsi="Garamond" w:cs="Arial"/>
          <w:bCs/>
          <w:color w:val="auto"/>
          <w:sz w:val="24"/>
          <w:szCs w:val="24"/>
          <w:lang w:val="pt-PT"/>
        </w:rPr>
        <w:t>Comissão</w:t>
      </w:r>
      <w:r w:rsidR="00CA39B2" w:rsidRPr="003A1174">
        <w:rPr>
          <w:rFonts w:ascii="Garamond" w:hAnsi="Garamond" w:cs="Arial"/>
          <w:bCs/>
          <w:color w:val="auto"/>
          <w:sz w:val="24"/>
          <w:szCs w:val="24"/>
          <w:lang w:val="pt-PT"/>
        </w:rPr>
        <w:t xml:space="preserve"> Suprema de </w:t>
      </w:r>
      <w:r w:rsidR="00FC1F7F" w:rsidRPr="003A1174">
        <w:rPr>
          <w:rFonts w:ascii="Garamond" w:hAnsi="Garamond" w:cs="Arial"/>
          <w:bCs/>
          <w:color w:val="auto"/>
          <w:sz w:val="24"/>
          <w:szCs w:val="24"/>
          <w:lang w:val="pt-PT"/>
        </w:rPr>
        <w:t>Justiça</w:t>
      </w:r>
      <w:r w:rsidR="00CA39B2" w:rsidRPr="003A1174">
        <w:rPr>
          <w:rFonts w:ascii="Garamond" w:hAnsi="Garamond" w:cs="Arial"/>
          <w:bCs/>
          <w:color w:val="auto"/>
          <w:sz w:val="24"/>
          <w:szCs w:val="24"/>
          <w:lang w:val="pt-PT"/>
        </w:rPr>
        <w:t>.</w:t>
      </w:r>
    </w:p>
    <w:p w:rsidR="00440A7D" w:rsidRPr="003A1174" w:rsidRDefault="00440A7D" w:rsidP="008719D4">
      <w:pPr>
        <w:spacing w:line="240" w:lineRule="auto"/>
        <w:jc w:val="both"/>
        <w:rPr>
          <w:rFonts w:ascii="Garamond" w:hAnsi="Garamond" w:cs="Arial"/>
          <w:sz w:val="24"/>
          <w:szCs w:val="24"/>
        </w:rPr>
      </w:pPr>
    </w:p>
    <w:p w:rsidR="00030174" w:rsidRPr="003A1174" w:rsidRDefault="00C30647" w:rsidP="008719D4">
      <w:pPr>
        <w:spacing w:line="240" w:lineRule="auto"/>
        <w:jc w:val="both"/>
        <w:rPr>
          <w:rStyle w:val="Ttulo3Car"/>
          <w:rFonts w:ascii="Garamond" w:hAnsi="Garamond"/>
          <w:sz w:val="24"/>
          <w:szCs w:val="24"/>
        </w:rPr>
      </w:pPr>
      <w:bookmarkStart w:id="25" w:name="_Toc421529713"/>
      <w:r w:rsidRPr="003A1174">
        <w:rPr>
          <w:rStyle w:val="Ttulo3Car"/>
          <w:rFonts w:ascii="Garamond" w:hAnsi="Garamond"/>
          <w:sz w:val="24"/>
          <w:szCs w:val="24"/>
        </w:rPr>
        <w:t>Peru</w:t>
      </w:r>
      <w:bookmarkEnd w:id="25"/>
      <w:r w:rsidR="00D01B8C" w:rsidRPr="003A1174">
        <w:rPr>
          <w:rStyle w:val="Refdenotaalpie"/>
          <w:rFonts w:ascii="Garamond" w:hAnsi="Garamond" w:cs="Arial"/>
          <w:b/>
          <w:sz w:val="24"/>
          <w:szCs w:val="24"/>
        </w:rPr>
        <w:footnoteReference w:id="76"/>
      </w:r>
    </w:p>
    <w:p w:rsidR="00D01B8C" w:rsidRPr="003A1174" w:rsidRDefault="00D01B8C" w:rsidP="008719D4">
      <w:pPr>
        <w:spacing w:line="240" w:lineRule="auto"/>
        <w:jc w:val="both"/>
        <w:rPr>
          <w:rFonts w:ascii="Garamond" w:hAnsi="Garamond" w:cs="Arial"/>
          <w:sz w:val="24"/>
          <w:szCs w:val="24"/>
        </w:rPr>
      </w:pPr>
      <w:r w:rsidRPr="003A1174">
        <w:rPr>
          <w:rFonts w:ascii="Garamond" w:hAnsi="Garamond" w:cs="Arial"/>
          <w:sz w:val="24"/>
          <w:szCs w:val="24"/>
        </w:rPr>
        <w:t xml:space="preserve">Como </w:t>
      </w:r>
      <w:r w:rsidR="00CB5DB2" w:rsidRPr="003A1174">
        <w:rPr>
          <w:rFonts w:ascii="Garamond" w:hAnsi="Garamond" w:cs="Arial"/>
          <w:sz w:val="24"/>
          <w:szCs w:val="24"/>
        </w:rPr>
        <w:t>referência</w:t>
      </w:r>
      <w:r w:rsidR="00202D4B" w:rsidRPr="003A1174">
        <w:rPr>
          <w:rFonts w:ascii="Garamond" w:hAnsi="Garamond" w:cs="Arial"/>
          <w:sz w:val="24"/>
          <w:szCs w:val="24"/>
        </w:rPr>
        <w:t xml:space="preserve"> pré</w:t>
      </w:r>
      <w:r w:rsidRPr="003A1174">
        <w:rPr>
          <w:rFonts w:ascii="Garamond" w:hAnsi="Garamond" w:cs="Arial"/>
          <w:sz w:val="24"/>
          <w:szCs w:val="24"/>
        </w:rPr>
        <w:t>vi</w:t>
      </w:r>
      <w:r w:rsidR="00474050">
        <w:rPr>
          <w:rFonts w:ascii="Garamond" w:hAnsi="Garamond" w:cs="Arial"/>
          <w:sz w:val="24"/>
          <w:szCs w:val="24"/>
        </w:rPr>
        <w:t>a</w:t>
      </w:r>
      <w:r w:rsidR="00025C7F" w:rsidRPr="003A1174">
        <w:rPr>
          <w:rFonts w:ascii="Garamond" w:hAnsi="Garamond" w:cs="Arial"/>
          <w:sz w:val="24"/>
          <w:szCs w:val="24"/>
        </w:rPr>
        <w:t xml:space="preserve">, </w:t>
      </w:r>
      <w:r w:rsidR="00474050">
        <w:rPr>
          <w:rFonts w:ascii="Garamond" w:hAnsi="Garamond" w:cs="Arial"/>
          <w:sz w:val="24"/>
          <w:szCs w:val="24"/>
        </w:rPr>
        <w:t xml:space="preserve">salientamos </w:t>
      </w:r>
      <w:r w:rsidRPr="003A1174">
        <w:rPr>
          <w:rFonts w:ascii="Garamond" w:hAnsi="Garamond" w:cs="Arial"/>
          <w:sz w:val="24"/>
          <w:szCs w:val="24"/>
        </w:rPr>
        <w:t xml:space="preserve">que </w:t>
      </w:r>
      <w:r w:rsidR="00474050">
        <w:rPr>
          <w:rFonts w:ascii="Garamond" w:hAnsi="Garamond" w:cs="Arial"/>
          <w:sz w:val="24"/>
          <w:szCs w:val="24"/>
        </w:rPr>
        <w:t xml:space="preserve">o Peru </w:t>
      </w:r>
      <w:r w:rsidR="0074243F" w:rsidRPr="003A1174">
        <w:rPr>
          <w:rFonts w:ascii="Garamond" w:hAnsi="Garamond" w:cs="Arial"/>
          <w:sz w:val="24"/>
          <w:szCs w:val="24"/>
        </w:rPr>
        <w:t>ratificou</w:t>
      </w:r>
      <w:r w:rsidR="00202D4B" w:rsidRPr="003A1174">
        <w:rPr>
          <w:rFonts w:ascii="Garamond" w:hAnsi="Garamond" w:cs="Arial"/>
          <w:sz w:val="24"/>
          <w:szCs w:val="24"/>
        </w:rPr>
        <w:t xml:space="preserve"> </w:t>
      </w:r>
      <w:r w:rsidRPr="003A1174">
        <w:rPr>
          <w:rFonts w:ascii="Garamond" w:hAnsi="Garamond" w:cs="Arial"/>
          <w:sz w:val="24"/>
          <w:szCs w:val="24"/>
        </w:rPr>
        <w:t xml:space="preserve">a </w:t>
      </w:r>
      <w:r w:rsidR="00B14AA6" w:rsidRPr="003A1174">
        <w:rPr>
          <w:rFonts w:ascii="Garamond" w:hAnsi="Garamond" w:cs="Arial"/>
          <w:sz w:val="24"/>
          <w:szCs w:val="24"/>
        </w:rPr>
        <w:t>Convenção</w:t>
      </w:r>
      <w:r w:rsidRPr="003A1174">
        <w:rPr>
          <w:rFonts w:ascii="Garamond" w:hAnsi="Garamond" w:cs="Arial"/>
          <w:sz w:val="24"/>
          <w:szCs w:val="24"/>
        </w:rPr>
        <w:t xml:space="preserve"> Americana sobre </w:t>
      </w:r>
      <w:r w:rsidR="00886D6A" w:rsidRPr="003A1174">
        <w:rPr>
          <w:rFonts w:ascii="Garamond" w:hAnsi="Garamond" w:cs="Arial"/>
          <w:sz w:val="24"/>
          <w:szCs w:val="24"/>
        </w:rPr>
        <w:t>Direito</w:t>
      </w:r>
      <w:r w:rsidRPr="003A1174">
        <w:rPr>
          <w:rFonts w:ascii="Garamond" w:hAnsi="Garamond" w:cs="Arial"/>
          <w:sz w:val="24"/>
          <w:szCs w:val="24"/>
        </w:rPr>
        <w:t>s Humanos</w:t>
      </w:r>
      <w:r w:rsidR="00474050">
        <w:rPr>
          <w:rFonts w:ascii="Garamond" w:hAnsi="Garamond" w:cs="Arial"/>
          <w:sz w:val="24"/>
          <w:szCs w:val="24"/>
        </w:rPr>
        <w:t>,</w:t>
      </w:r>
      <w:r w:rsidRPr="003A1174">
        <w:rPr>
          <w:rFonts w:ascii="Garamond" w:hAnsi="Garamond" w:cs="Arial"/>
          <w:sz w:val="24"/>
          <w:szCs w:val="24"/>
        </w:rPr>
        <w:t xml:space="preserve"> </w:t>
      </w:r>
      <w:r w:rsidR="00202D4B" w:rsidRPr="003A1174">
        <w:rPr>
          <w:rFonts w:ascii="Garamond" w:hAnsi="Garamond" w:cs="Arial"/>
          <w:sz w:val="24"/>
          <w:szCs w:val="24"/>
        </w:rPr>
        <w:t xml:space="preserve">a </w:t>
      </w:r>
      <w:r w:rsidRPr="003A1174">
        <w:rPr>
          <w:rFonts w:ascii="Garamond" w:hAnsi="Garamond" w:cs="Arial"/>
          <w:sz w:val="24"/>
          <w:szCs w:val="24"/>
        </w:rPr>
        <w:t xml:space="preserve">28 de </w:t>
      </w:r>
      <w:r w:rsidR="009E3E55" w:rsidRPr="003A1174">
        <w:rPr>
          <w:rFonts w:ascii="Garamond" w:hAnsi="Garamond" w:cs="Arial"/>
          <w:sz w:val="24"/>
          <w:szCs w:val="24"/>
        </w:rPr>
        <w:t>julho</w:t>
      </w:r>
      <w:r w:rsidRPr="003A1174">
        <w:rPr>
          <w:rFonts w:ascii="Garamond" w:hAnsi="Garamond" w:cs="Arial"/>
          <w:sz w:val="24"/>
          <w:szCs w:val="24"/>
        </w:rPr>
        <w:t xml:space="preserve"> de 1978</w:t>
      </w:r>
      <w:r w:rsidR="00000655">
        <w:rPr>
          <w:rFonts w:ascii="Garamond" w:hAnsi="Garamond" w:cs="Arial"/>
          <w:sz w:val="24"/>
          <w:szCs w:val="24"/>
        </w:rPr>
        <w:t>,</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74243F" w:rsidRPr="003A1174">
        <w:rPr>
          <w:rFonts w:ascii="Garamond" w:hAnsi="Garamond" w:cs="Arial"/>
          <w:sz w:val="24"/>
          <w:szCs w:val="24"/>
        </w:rPr>
        <w:t>aceitou</w:t>
      </w:r>
      <w:r w:rsidR="00202D4B" w:rsidRPr="003A1174">
        <w:rPr>
          <w:rFonts w:ascii="Garamond" w:hAnsi="Garamond" w:cs="Arial"/>
          <w:sz w:val="24"/>
          <w:szCs w:val="24"/>
        </w:rPr>
        <w:t xml:space="preserve"> </w:t>
      </w:r>
      <w:r w:rsidRPr="003A1174">
        <w:rPr>
          <w:rFonts w:ascii="Garamond" w:hAnsi="Garamond" w:cs="Arial"/>
          <w:sz w:val="24"/>
          <w:szCs w:val="24"/>
        </w:rPr>
        <w:t xml:space="preserve">a </w:t>
      </w:r>
      <w:r w:rsidR="00C86C58" w:rsidRPr="003A1174">
        <w:rPr>
          <w:rFonts w:ascii="Garamond" w:hAnsi="Garamond" w:cs="Arial"/>
          <w:sz w:val="24"/>
          <w:szCs w:val="24"/>
        </w:rPr>
        <w:t>competência</w:t>
      </w:r>
      <w:r w:rsidRPr="003A1174">
        <w:rPr>
          <w:rFonts w:ascii="Garamond" w:hAnsi="Garamond" w:cs="Arial"/>
          <w:sz w:val="24"/>
          <w:szCs w:val="24"/>
        </w:rPr>
        <w:t xml:space="preserve"> d</w:t>
      </w:r>
      <w:r w:rsidR="00935298">
        <w:rPr>
          <w:rFonts w:ascii="Garamond" w:hAnsi="Garamond" w:cs="Arial"/>
          <w:sz w:val="24"/>
          <w:szCs w:val="24"/>
        </w:rPr>
        <w:t>o</w:t>
      </w:r>
      <w:r w:rsidR="00042808">
        <w:rPr>
          <w:rFonts w:ascii="Garamond" w:hAnsi="Garamond" w:cs="Arial"/>
          <w:sz w:val="24"/>
          <w:szCs w:val="24"/>
        </w:rPr>
        <w:t xml:space="preserve"> </w:t>
      </w:r>
      <w:r w:rsidR="00935298">
        <w:rPr>
          <w:rFonts w:ascii="Garamond" w:hAnsi="Garamond" w:cs="Arial"/>
          <w:sz w:val="24"/>
          <w:szCs w:val="24"/>
        </w:rPr>
        <w:t>Tribunal</w:t>
      </w:r>
      <w:r w:rsidR="002A7FDD" w:rsidRPr="003A1174">
        <w:rPr>
          <w:rFonts w:ascii="Garamond" w:hAnsi="Garamond" w:cs="Arial"/>
          <w:sz w:val="24"/>
          <w:szCs w:val="24"/>
        </w:rPr>
        <w:t xml:space="preserve"> </w:t>
      </w:r>
      <w:r w:rsidRPr="003A1174">
        <w:rPr>
          <w:rFonts w:ascii="Garamond" w:hAnsi="Garamond" w:cs="Arial"/>
          <w:sz w:val="24"/>
          <w:szCs w:val="24"/>
        </w:rPr>
        <w:t>Interamerican</w:t>
      </w:r>
      <w:r w:rsidR="00935298">
        <w:rPr>
          <w:rFonts w:ascii="Garamond" w:hAnsi="Garamond" w:cs="Arial"/>
          <w:sz w:val="24"/>
          <w:szCs w:val="24"/>
        </w:rPr>
        <w:t>o</w:t>
      </w:r>
      <w:r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w:t>
      </w:r>
      <w:r w:rsidR="00474050">
        <w:rPr>
          <w:rFonts w:ascii="Garamond" w:hAnsi="Garamond" w:cs="Arial"/>
          <w:sz w:val="24"/>
          <w:szCs w:val="24"/>
        </w:rPr>
        <w:t>,</w:t>
      </w:r>
      <w:r w:rsidRPr="003A1174">
        <w:rPr>
          <w:rFonts w:ascii="Garamond" w:hAnsi="Garamond" w:cs="Arial"/>
          <w:sz w:val="24"/>
          <w:szCs w:val="24"/>
        </w:rPr>
        <w:t xml:space="preserve"> </w:t>
      </w:r>
      <w:r w:rsidR="00202D4B" w:rsidRPr="003A1174">
        <w:rPr>
          <w:rFonts w:ascii="Garamond" w:hAnsi="Garamond" w:cs="Arial"/>
          <w:sz w:val="24"/>
          <w:szCs w:val="24"/>
        </w:rPr>
        <w:t xml:space="preserve">a </w:t>
      </w:r>
      <w:r w:rsidRPr="003A1174">
        <w:rPr>
          <w:rFonts w:ascii="Garamond" w:hAnsi="Garamond" w:cs="Arial"/>
          <w:sz w:val="24"/>
          <w:szCs w:val="24"/>
        </w:rPr>
        <w:t xml:space="preserve">21 de </w:t>
      </w:r>
      <w:r w:rsidR="00B936A7" w:rsidRPr="003A1174">
        <w:rPr>
          <w:rFonts w:ascii="Garamond" w:hAnsi="Garamond" w:cs="Arial"/>
          <w:sz w:val="24"/>
          <w:szCs w:val="24"/>
        </w:rPr>
        <w:t>janeiro</w:t>
      </w:r>
      <w:r w:rsidRPr="003A1174">
        <w:rPr>
          <w:rFonts w:ascii="Garamond" w:hAnsi="Garamond" w:cs="Arial"/>
          <w:sz w:val="24"/>
          <w:szCs w:val="24"/>
        </w:rPr>
        <w:t xml:space="preserve"> de 1991.</w:t>
      </w:r>
    </w:p>
    <w:p w:rsidR="00D01B8C" w:rsidRPr="003A1174" w:rsidRDefault="0074243F" w:rsidP="008719D4">
      <w:pPr>
        <w:pStyle w:val="Prrafodelista1"/>
        <w:spacing w:after="0" w:line="240" w:lineRule="auto"/>
        <w:jc w:val="both"/>
        <w:rPr>
          <w:rFonts w:ascii="Garamond" w:hAnsi="Garamond"/>
          <w:sz w:val="24"/>
          <w:szCs w:val="24"/>
        </w:rPr>
      </w:pPr>
      <w:r w:rsidRPr="003A1174">
        <w:rPr>
          <w:rFonts w:ascii="Garamond" w:hAnsi="Garamond" w:cs="Arial"/>
          <w:color w:val="auto"/>
          <w:sz w:val="24"/>
          <w:szCs w:val="24"/>
        </w:rPr>
        <w:lastRenderedPageBreak/>
        <w:t>Ratificou</w:t>
      </w:r>
      <w:r w:rsidR="00474050">
        <w:rPr>
          <w:rFonts w:ascii="Garamond" w:hAnsi="Garamond" w:cs="Arial"/>
          <w:color w:val="auto"/>
          <w:sz w:val="24"/>
          <w:szCs w:val="24"/>
        </w:rPr>
        <w:t xml:space="preserve">, ainda, </w:t>
      </w:r>
      <w:r w:rsidR="00D01B8C"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202D4B" w:rsidRPr="003A1174">
        <w:rPr>
          <w:rFonts w:ascii="Garamond" w:hAnsi="Garamond" w:cs="Arial"/>
          <w:color w:val="auto"/>
          <w:sz w:val="24"/>
          <w:szCs w:val="24"/>
        </w:rPr>
        <w:t xml:space="preserve"> sobre </w:t>
      </w:r>
      <w:r w:rsidR="00D01B8C"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202D4B" w:rsidRPr="003A1174">
        <w:rPr>
          <w:rFonts w:ascii="Garamond" w:hAnsi="Garamond" w:cs="Arial"/>
          <w:color w:val="auto"/>
          <w:sz w:val="24"/>
          <w:szCs w:val="24"/>
        </w:rPr>
        <w:t xml:space="preserve"> de Todas </w:t>
      </w:r>
      <w:r w:rsidR="00D01B8C"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202D4B" w:rsidRPr="003A1174">
        <w:rPr>
          <w:rFonts w:ascii="Garamond" w:hAnsi="Garamond" w:cs="Arial"/>
          <w:color w:val="auto"/>
          <w:sz w:val="24"/>
          <w:szCs w:val="24"/>
        </w:rPr>
        <w:t xml:space="preserve"> Contra </w:t>
      </w:r>
      <w:r w:rsidR="00D01B8C" w:rsidRPr="003A1174">
        <w:rPr>
          <w:rFonts w:ascii="Garamond" w:hAnsi="Garamond" w:cs="Arial"/>
          <w:color w:val="auto"/>
          <w:sz w:val="24"/>
          <w:szCs w:val="24"/>
        </w:rPr>
        <w:t xml:space="preserve">a </w:t>
      </w:r>
      <w:r w:rsidR="00474050" w:rsidRPr="003A1174">
        <w:rPr>
          <w:rFonts w:ascii="Garamond" w:hAnsi="Garamond" w:cs="Arial"/>
          <w:color w:val="auto"/>
          <w:sz w:val="24"/>
          <w:szCs w:val="24"/>
        </w:rPr>
        <w:t>Mulhe</w:t>
      </w:r>
      <w:r w:rsidR="002B33D4">
        <w:rPr>
          <w:rFonts w:ascii="Garamond" w:hAnsi="Garamond" w:cs="Arial"/>
          <w:color w:val="auto"/>
          <w:sz w:val="24"/>
          <w:szCs w:val="24"/>
        </w:rPr>
        <w:t>r</w:t>
      </w:r>
      <w:r w:rsidR="00474050">
        <w:rPr>
          <w:rFonts w:ascii="Garamond" w:hAnsi="Garamond" w:cs="Arial"/>
          <w:color w:val="auto"/>
          <w:sz w:val="24"/>
          <w:szCs w:val="24"/>
        </w:rPr>
        <w:t>,</w:t>
      </w:r>
      <w:r w:rsidR="00474050" w:rsidRPr="003A1174">
        <w:rPr>
          <w:rFonts w:ascii="Garamond" w:hAnsi="Garamond" w:cs="Arial"/>
          <w:color w:val="auto"/>
          <w:sz w:val="24"/>
          <w:szCs w:val="24"/>
        </w:rPr>
        <w:t xml:space="preserve"> </w:t>
      </w:r>
      <w:r w:rsidR="00202D4B" w:rsidRPr="003A1174">
        <w:rPr>
          <w:rFonts w:ascii="Garamond" w:hAnsi="Garamond" w:cs="Arial"/>
          <w:color w:val="auto"/>
          <w:sz w:val="24"/>
          <w:szCs w:val="24"/>
        </w:rPr>
        <w:t xml:space="preserve">a </w:t>
      </w:r>
      <w:r w:rsidR="00D01B8C" w:rsidRPr="003A1174">
        <w:rPr>
          <w:rFonts w:ascii="Garamond" w:hAnsi="Garamond" w:cs="Arial"/>
          <w:color w:val="auto"/>
          <w:sz w:val="24"/>
          <w:szCs w:val="24"/>
        </w:rPr>
        <w:t>6 de abril de 1987</w:t>
      </w:r>
      <w:r w:rsidR="00025C7F"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202D4B" w:rsidRPr="003A1174">
        <w:rPr>
          <w:rFonts w:ascii="Garamond" w:hAnsi="Garamond" w:cs="Arial"/>
          <w:color w:val="auto"/>
          <w:sz w:val="24"/>
          <w:szCs w:val="24"/>
        </w:rPr>
        <w:t xml:space="preserve"> </w:t>
      </w:r>
      <w:r w:rsidR="00D01B8C"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D01B8C"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202D4B" w:rsidRPr="003A1174">
        <w:rPr>
          <w:rFonts w:ascii="Garamond" w:hAnsi="Garamond" w:cs="Arial"/>
          <w:color w:val="auto"/>
          <w:sz w:val="24"/>
          <w:szCs w:val="24"/>
        </w:rPr>
        <w:t xml:space="preserve"> </w:t>
      </w:r>
      <w:r w:rsidR="00D01B8C"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202D4B" w:rsidRPr="003A1174">
        <w:rPr>
          <w:rFonts w:ascii="Garamond" w:hAnsi="Garamond" w:cs="Arial"/>
          <w:color w:val="auto"/>
          <w:sz w:val="24"/>
          <w:szCs w:val="24"/>
        </w:rPr>
        <w:t xml:space="preserve"> contra </w:t>
      </w:r>
      <w:r w:rsidR="00D01B8C"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025C7F" w:rsidRPr="003A1174">
        <w:rPr>
          <w:rFonts w:ascii="Garamond" w:hAnsi="Garamond" w:cs="Arial"/>
          <w:color w:val="auto"/>
          <w:sz w:val="24"/>
          <w:szCs w:val="24"/>
        </w:rPr>
        <w:t>,</w:t>
      </w:r>
      <w:r w:rsidR="00D01B8C" w:rsidRPr="003A1174">
        <w:rPr>
          <w:rFonts w:ascii="Garamond" w:hAnsi="Garamond" w:cs="Arial"/>
          <w:color w:val="auto"/>
          <w:sz w:val="24"/>
          <w:szCs w:val="24"/>
        </w:rPr>
        <w:t xml:space="preserve"> </w:t>
      </w:r>
      <w:r w:rsidR="00474050">
        <w:rPr>
          <w:rFonts w:ascii="Garamond" w:hAnsi="Garamond" w:cs="Arial"/>
          <w:color w:val="auto"/>
          <w:sz w:val="24"/>
          <w:szCs w:val="24"/>
        </w:rPr>
        <w:t>«</w:t>
      </w:r>
      <w:r w:rsidR="00B14AA6" w:rsidRPr="003A1174">
        <w:rPr>
          <w:rFonts w:ascii="Garamond" w:hAnsi="Garamond" w:cs="Arial"/>
          <w:color w:val="auto"/>
          <w:sz w:val="24"/>
          <w:szCs w:val="24"/>
        </w:rPr>
        <w:t>Convenção</w:t>
      </w:r>
      <w:r w:rsidR="00D01B8C" w:rsidRPr="003A1174">
        <w:rPr>
          <w:rFonts w:ascii="Garamond" w:hAnsi="Garamond" w:cs="Arial"/>
          <w:color w:val="auto"/>
          <w:sz w:val="24"/>
          <w:szCs w:val="24"/>
        </w:rPr>
        <w:t xml:space="preserve"> de Belém do Pará</w:t>
      </w:r>
      <w:r w:rsidR="00474050">
        <w:rPr>
          <w:rFonts w:ascii="Garamond" w:hAnsi="Garamond" w:cs="Arial"/>
          <w:color w:val="auto"/>
          <w:sz w:val="24"/>
          <w:szCs w:val="24"/>
        </w:rPr>
        <w:t>»</w:t>
      </w:r>
      <w:r w:rsidR="00025C7F" w:rsidRPr="003A1174">
        <w:rPr>
          <w:rFonts w:ascii="Garamond" w:hAnsi="Garamond" w:cs="Arial"/>
          <w:color w:val="auto"/>
          <w:sz w:val="24"/>
          <w:szCs w:val="24"/>
        </w:rPr>
        <w:t>,</w:t>
      </w:r>
      <w:r w:rsidR="00202D4B" w:rsidRPr="003A1174">
        <w:rPr>
          <w:rFonts w:ascii="Garamond" w:hAnsi="Garamond" w:cs="Arial"/>
          <w:color w:val="auto"/>
          <w:sz w:val="24"/>
          <w:szCs w:val="24"/>
        </w:rPr>
        <w:t xml:space="preserve"> a</w:t>
      </w:r>
      <w:r w:rsidR="00D01B8C" w:rsidRPr="003A1174">
        <w:rPr>
          <w:rFonts w:ascii="Garamond" w:hAnsi="Garamond" w:cs="Arial"/>
          <w:color w:val="auto"/>
          <w:sz w:val="24"/>
          <w:szCs w:val="24"/>
        </w:rPr>
        <w:t xml:space="preserve"> </w:t>
      </w:r>
      <w:r w:rsidR="00D01B8C" w:rsidRPr="007B3401">
        <w:rPr>
          <w:rFonts w:ascii="Garamond" w:hAnsi="Garamond" w:cs="Arial"/>
          <w:color w:val="auto"/>
          <w:sz w:val="24"/>
          <w:szCs w:val="24"/>
        </w:rPr>
        <w:t xml:space="preserve">18 de </w:t>
      </w:r>
      <w:r w:rsidR="00374785" w:rsidRPr="007B3401">
        <w:rPr>
          <w:rFonts w:ascii="Garamond" w:hAnsi="Garamond" w:cs="Arial"/>
          <w:color w:val="auto"/>
          <w:sz w:val="24"/>
          <w:szCs w:val="24"/>
        </w:rPr>
        <w:t>outubro</w:t>
      </w:r>
      <w:r w:rsidR="00D01B8C" w:rsidRPr="007B3401">
        <w:rPr>
          <w:rFonts w:ascii="Garamond" w:hAnsi="Garamond" w:cs="Arial"/>
          <w:color w:val="auto"/>
          <w:sz w:val="24"/>
          <w:szCs w:val="24"/>
        </w:rPr>
        <w:t xml:space="preserve"> </w:t>
      </w:r>
      <w:r w:rsidR="009E3E55" w:rsidRPr="007B3401">
        <w:rPr>
          <w:rFonts w:ascii="Garamond" w:hAnsi="Garamond" w:cs="Arial"/>
          <w:color w:val="auto"/>
          <w:sz w:val="24"/>
          <w:szCs w:val="24"/>
        </w:rPr>
        <w:t>julho</w:t>
      </w:r>
      <w:r w:rsidR="00D01B8C" w:rsidRPr="007B3401">
        <w:rPr>
          <w:rFonts w:ascii="Garamond" w:hAnsi="Garamond" w:cs="Arial"/>
          <w:color w:val="auto"/>
          <w:sz w:val="24"/>
          <w:szCs w:val="24"/>
        </w:rPr>
        <w:t xml:space="preserve"> </w:t>
      </w:r>
      <w:r w:rsidR="00D01B8C" w:rsidRPr="00000655">
        <w:rPr>
          <w:rFonts w:ascii="Garamond" w:hAnsi="Garamond" w:cs="Arial"/>
          <w:color w:val="auto"/>
          <w:sz w:val="24"/>
          <w:szCs w:val="24"/>
        </w:rPr>
        <w:t>de 1995.</w:t>
      </w:r>
    </w:p>
    <w:p w:rsidR="00D01B8C" w:rsidRPr="003A1174" w:rsidRDefault="00D01B8C" w:rsidP="008719D4">
      <w:pPr>
        <w:spacing w:after="0" w:line="240" w:lineRule="auto"/>
        <w:jc w:val="both"/>
        <w:rPr>
          <w:rFonts w:ascii="Garamond" w:hAnsi="Garamond" w:cs="Arial"/>
          <w:sz w:val="24"/>
          <w:szCs w:val="24"/>
        </w:rPr>
      </w:pPr>
    </w:p>
    <w:p w:rsidR="00D01B8C" w:rsidRPr="003A1174" w:rsidRDefault="00B14AA6" w:rsidP="008719D4">
      <w:pPr>
        <w:pStyle w:val="Prrafodelista"/>
        <w:numPr>
          <w:ilvl w:val="0"/>
          <w:numId w:val="13"/>
        </w:numPr>
        <w:spacing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D01B8C"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D01B8C" w:rsidRPr="003A1174">
        <w:rPr>
          <w:rFonts w:ascii="Garamond" w:hAnsi="Garamond" w:cs="Arial"/>
          <w:color w:val="auto"/>
          <w:sz w:val="24"/>
          <w:szCs w:val="24"/>
        </w:rPr>
        <w:tab/>
      </w:r>
    </w:p>
    <w:p w:rsidR="00D01B8C" w:rsidRPr="003A1174" w:rsidRDefault="00D01B8C"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Durante </w:t>
      </w:r>
      <w:r w:rsidR="00202D4B" w:rsidRPr="003A1174">
        <w:rPr>
          <w:rFonts w:ascii="Garamond" w:hAnsi="Garamond" w:cs="Arial"/>
          <w:sz w:val="24"/>
          <w:szCs w:val="24"/>
        </w:rPr>
        <w:t>o</w:t>
      </w:r>
      <w:r w:rsidRPr="003A1174">
        <w:rPr>
          <w:rFonts w:ascii="Garamond" w:hAnsi="Garamond" w:cs="Arial"/>
          <w:sz w:val="24"/>
          <w:szCs w:val="24"/>
        </w:rPr>
        <w:t xml:space="preserve"> período de </w:t>
      </w:r>
      <w:r w:rsidR="0017447A" w:rsidRPr="003A1174">
        <w:rPr>
          <w:rFonts w:ascii="Garamond" w:hAnsi="Garamond" w:cs="Arial"/>
          <w:sz w:val="24"/>
          <w:szCs w:val="24"/>
        </w:rPr>
        <w:t>análise</w:t>
      </w:r>
      <w:r w:rsidR="00000655">
        <w:rPr>
          <w:rFonts w:ascii="Garamond" w:hAnsi="Garamond" w:cs="Arial"/>
          <w:sz w:val="24"/>
          <w:szCs w:val="24"/>
        </w:rPr>
        <w:t>,</w:t>
      </w:r>
      <w:r w:rsidRPr="003A1174">
        <w:rPr>
          <w:rFonts w:ascii="Garamond" w:hAnsi="Garamond" w:cs="Arial"/>
          <w:sz w:val="24"/>
          <w:szCs w:val="24"/>
        </w:rPr>
        <w:t xml:space="preserve"> </w:t>
      </w:r>
      <w:r w:rsidR="00202D4B" w:rsidRPr="003A1174">
        <w:rPr>
          <w:rFonts w:ascii="Garamond" w:hAnsi="Garamond" w:cs="Arial"/>
          <w:sz w:val="24"/>
          <w:szCs w:val="24"/>
        </w:rPr>
        <w:t xml:space="preserve">é importante </w:t>
      </w:r>
      <w:r w:rsidRPr="003A1174">
        <w:rPr>
          <w:rFonts w:ascii="Garamond" w:hAnsi="Garamond" w:cs="Arial"/>
          <w:sz w:val="24"/>
          <w:szCs w:val="24"/>
        </w:rPr>
        <w:t xml:space="preserve">mencionar </w:t>
      </w:r>
      <w:r w:rsidR="00202D4B" w:rsidRPr="003A1174">
        <w:rPr>
          <w:rFonts w:ascii="Garamond" w:hAnsi="Garamond" w:cs="Arial"/>
          <w:sz w:val="24"/>
          <w:szCs w:val="24"/>
        </w:rPr>
        <w:t xml:space="preserve">o proferido nos </w:t>
      </w:r>
      <w:r w:rsidR="006F7276" w:rsidRPr="003A1174">
        <w:rPr>
          <w:rFonts w:ascii="Garamond" w:hAnsi="Garamond" w:cs="Arial"/>
          <w:sz w:val="24"/>
          <w:szCs w:val="24"/>
        </w:rPr>
        <w:t>seguintes</w:t>
      </w:r>
      <w:r w:rsidRPr="003A1174">
        <w:rPr>
          <w:rFonts w:ascii="Garamond" w:hAnsi="Garamond" w:cs="Arial"/>
          <w:sz w:val="24"/>
          <w:szCs w:val="24"/>
        </w:rPr>
        <w:t xml:space="preserve"> textos normativos:</w:t>
      </w:r>
    </w:p>
    <w:p w:rsidR="00815AEE" w:rsidRPr="003A1174" w:rsidRDefault="0091213A" w:rsidP="008719D4">
      <w:pPr>
        <w:spacing w:before="240" w:line="240" w:lineRule="auto"/>
        <w:contextualSpacing/>
        <w:jc w:val="both"/>
        <w:rPr>
          <w:rFonts w:ascii="Garamond" w:hAnsi="Garamond" w:cs="Arial"/>
          <w:sz w:val="24"/>
          <w:szCs w:val="24"/>
        </w:rPr>
      </w:pPr>
      <w:r w:rsidRPr="003A1174">
        <w:rPr>
          <w:rFonts w:ascii="Garamond" w:hAnsi="Garamond" w:cs="Arial"/>
          <w:i/>
          <w:sz w:val="24"/>
          <w:szCs w:val="24"/>
        </w:rPr>
        <w:t xml:space="preserve">A </w:t>
      </w:r>
      <w:r w:rsidR="00D15AFF" w:rsidRPr="003A1174">
        <w:rPr>
          <w:rFonts w:ascii="Garamond" w:hAnsi="Garamond" w:cs="Arial"/>
          <w:i/>
          <w:sz w:val="24"/>
          <w:szCs w:val="24"/>
        </w:rPr>
        <w:t>Lei</w:t>
      </w:r>
      <w:r w:rsidR="00D01B8C" w:rsidRPr="003A1174">
        <w:rPr>
          <w:rFonts w:ascii="Garamond" w:hAnsi="Garamond" w:cs="Arial"/>
          <w:i/>
          <w:sz w:val="24"/>
          <w:szCs w:val="24"/>
        </w:rPr>
        <w:t xml:space="preserve"> N</w:t>
      </w:r>
      <w:r w:rsidR="00474050">
        <w:rPr>
          <w:rFonts w:ascii="Garamond" w:hAnsi="Garamond" w:cs="Arial"/>
          <w:i/>
          <w:sz w:val="24"/>
          <w:szCs w:val="24"/>
        </w:rPr>
        <w:t>.</w:t>
      </w:r>
      <w:r w:rsidR="00D01B8C" w:rsidRPr="003A1174">
        <w:rPr>
          <w:rFonts w:ascii="Garamond" w:hAnsi="Garamond" w:cs="Arial"/>
          <w:i/>
          <w:sz w:val="24"/>
          <w:szCs w:val="24"/>
        </w:rPr>
        <w:t xml:space="preserve">º 30068, </w:t>
      </w:r>
      <w:r w:rsidRPr="003A1174">
        <w:rPr>
          <w:rFonts w:ascii="Garamond" w:hAnsi="Garamond" w:cs="Arial"/>
          <w:i/>
          <w:sz w:val="24"/>
          <w:szCs w:val="24"/>
        </w:rPr>
        <w:t>com</w:t>
      </w:r>
      <w:r w:rsidR="00D01B8C" w:rsidRPr="003A1174">
        <w:rPr>
          <w:rFonts w:ascii="Garamond" w:hAnsi="Garamond" w:cs="Arial"/>
          <w:i/>
          <w:sz w:val="24"/>
          <w:szCs w:val="24"/>
        </w:rPr>
        <w:t xml:space="preserve"> </w:t>
      </w:r>
      <w:r w:rsidR="0074243F" w:rsidRPr="003A1174">
        <w:rPr>
          <w:rFonts w:ascii="Garamond" w:hAnsi="Garamond" w:cs="Arial"/>
          <w:i/>
          <w:sz w:val="24"/>
          <w:szCs w:val="24"/>
        </w:rPr>
        <w:t>data</w:t>
      </w:r>
      <w:r w:rsidR="00D01B8C" w:rsidRPr="003A1174">
        <w:rPr>
          <w:rFonts w:ascii="Garamond" w:hAnsi="Garamond" w:cs="Arial"/>
          <w:i/>
          <w:sz w:val="24"/>
          <w:szCs w:val="24"/>
        </w:rPr>
        <w:t xml:space="preserve"> </w:t>
      </w:r>
      <w:r w:rsidRPr="003A1174">
        <w:rPr>
          <w:rFonts w:ascii="Garamond" w:hAnsi="Garamond" w:cs="Arial"/>
          <w:i/>
          <w:sz w:val="24"/>
          <w:szCs w:val="24"/>
        </w:rPr>
        <w:t xml:space="preserve">de </w:t>
      </w:r>
      <w:r w:rsidR="00D01B8C" w:rsidRPr="003A1174">
        <w:rPr>
          <w:rFonts w:ascii="Garamond" w:hAnsi="Garamond" w:cs="Arial"/>
          <w:i/>
          <w:sz w:val="24"/>
          <w:szCs w:val="24"/>
        </w:rPr>
        <w:t xml:space="preserve">18 de </w:t>
      </w:r>
      <w:r w:rsidR="009E3E55" w:rsidRPr="003A1174">
        <w:rPr>
          <w:rFonts w:ascii="Garamond" w:hAnsi="Garamond" w:cs="Arial"/>
          <w:i/>
          <w:sz w:val="24"/>
          <w:szCs w:val="24"/>
        </w:rPr>
        <w:t>julho</w:t>
      </w:r>
      <w:r w:rsidR="00D01B8C" w:rsidRPr="003A1174">
        <w:rPr>
          <w:rFonts w:ascii="Garamond" w:hAnsi="Garamond" w:cs="Arial"/>
          <w:i/>
          <w:sz w:val="24"/>
          <w:szCs w:val="24"/>
        </w:rPr>
        <w:t xml:space="preserve"> de 2013</w:t>
      </w:r>
      <w:r w:rsidR="00E34DB3" w:rsidRPr="003A1174">
        <w:rPr>
          <w:rFonts w:ascii="Garamond" w:hAnsi="Garamond" w:cs="Arial"/>
          <w:i/>
          <w:sz w:val="24"/>
          <w:szCs w:val="24"/>
        </w:rPr>
        <w:t xml:space="preserve">, </w:t>
      </w:r>
      <w:r w:rsidR="00474050">
        <w:rPr>
          <w:rFonts w:ascii="Garamond" w:hAnsi="Garamond" w:cs="Arial"/>
          <w:sz w:val="24"/>
          <w:szCs w:val="24"/>
        </w:rPr>
        <w:t xml:space="preserve">adita </w:t>
      </w:r>
      <w:r w:rsidRPr="003A1174">
        <w:rPr>
          <w:rFonts w:ascii="Garamond" w:hAnsi="Garamond" w:cs="Arial"/>
          <w:sz w:val="24"/>
          <w:szCs w:val="24"/>
        </w:rPr>
        <w:t>o</w:t>
      </w:r>
      <w:r w:rsidR="00D01B8C" w:rsidRPr="003A1174">
        <w:rPr>
          <w:rFonts w:ascii="Garamond" w:hAnsi="Garamond" w:cs="Arial"/>
          <w:sz w:val="24"/>
          <w:szCs w:val="24"/>
        </w:rPr>
        <w:t xml:space="preserve"> </w:t>
      </w:r>
      <w:r w:rsidR="00383B3F" w:rsidRPr="003A1174">
        <w:rPr>
          <w:rFonts w:ascii="Garamond" w:hAnsi="Garamond" w:cs="Arial"/>
          <w:sz w:val="24"/>
          <w:szCs w:val="24"/>
        </w:rPr>
        <w:t>Art.</w:t>
      </w:r>
      <w:r w:rsidR="00D01B8C" w:rsidRPr="003A1174">
        <w:rPr>
          <w:rFonts w:ascii="Garamond" w:hAnsi="Garamond" w:cs="Arial"/>
          <w:sz w:val="24"/>
          <w:szCs w:val="24"/>
        </w:rPr>
        <w:t xml:space="preserve"> 108-B a</w:t>
      </w:r>
      <w:r w:rsidRPr="003A1174">
        <w:rPr>
          <w:rFonts w:ascii="Garamond" w:hAnsi="Garamond" w:cs="Arial"/>
          <w:sz w:val="24"/>
          <w:szCs w:val="24"/>
        </w:rPr>
        <w:t>o</w:t>
      </w:r>
      <w:r w:rsidR="00D01B8C" w:rsidRPr="003A1174">
        <w:rPr>
          <w:rFonts w:ascii="Garamond" w:hAnsi="Garamond" w:cs="Arial"/>
          <w:sz w:val="24"/>
          <w:szCs w:val="24"/>
        </w:rPr>
        <w:t xml:space="preserve"> Código Penal </w:t>
      </w:r>
      <w:r w:rsidR="00497503" w:rsidRPr="003A1174">
        <w:rPr>
          <w:rFonts w:ascii="Garamond" w:hAnsi="Garamond" w:cs="Arial"/>
          <w:sz w:val="24"/>
          <w:szCs w:val="24"/>
        </w:rPr>
        <w:t>e</w:t>
      </w:r>
      <w:r w:rsidRPr="003A1174">
        <w:rPr>
          <w:rFonts w:ascii="Garamond" w:hAnsi="Garamond" w:cs="Arial"/>
          <w:sz w:val="24"/>
          <w:szCs w:val="24"/>
        </w:rPr>
        <w:t xml:space="preserve"> </w:t>
      </w:r>
      <w:r w:rsidR="00474050">
        <w:rPr>
          <w:rFonts w:ascii="Garamond" w:hAnsi="Garamond" w:cs="Arial"/>
          <w:sz w:val="24"/>
          <w:szCs w:val="24"/>
        </w:rPr>
        <w:t xml:space="preserve">altera </w:t>
      </w:r>
      <w:r w:rsidR="00D01B8C" w:rsidRPr="003A1174">
        <w:rPr>
          <w:rFonts w:ascii="Garamond" w:hAnsi="Garamond" w:cs="Arial"/>
          <w:sz w:val="24"/>
          <w:szCs w:val="24"/>
        </w:rPr>
        <w:t xml:space="preserve">os </w:t>
      </w:r>
      <w:r w:rsidR="00383B3F" w:rsidRPr="003A1174">
        <w:rPr>
          <w:rFonts w:ascii="Garamond" w:hAnsi="Garamond" w:cs="Arial"/>
          <w:sz w:val="24"/>
          <w:szCs w:val="24"/>
        </w:rPr>
        <w:t>Art</w:t>
      </w:r>
      <w:r w:rsidR="00025C7F" w:rsidRPr="003A1174">
        <w:rPr>
          <w:rFonts w:ascii="Garamond" w:hAnsi="Garamond" w:cs="Arial"/>
          <w:sz w:val="24"/>
          <w:szCs w:val="24"/>
        </w:rPr>
        <w:t>s</w:t>
      </w:r>
      <w:r w:rsidR="00383B3F" w:rsidRPr="003A1174">
        <w:rPr>
          <w:rFonts w:ascii="Garamond" w:hAnsi="Garamond" w:cs="Arial"/>
          <w:sz w:val="24"/>
          <w:szCs w:val="24"/>
        </w:rPr>
        <w:t>.</w:t>
      </w:r>
      <w:r w:rsidR="00D01B8C" w:rsidRPr="003A1174">
        <w:rPr>
          <w:rFonts w:ascii="Garamond" w:hAnsi="Garamond" w:cs="Arial"/>
          <w:sz w:val="24"/>
          <w:szCs w:val="24"/>
        </w:rPr>
        <w:t xml:space="preserve"> </w:t>
      </w:r>
      <w:proofErr w:type="gramStart"/>
      <w:r w:rsidR="00D01B8C" w:rsidRPr="003A1174">
        <w:rPr>
          <w:rFonts w:ascii="Garamond" w:hAnsi="Garamond" w:cs="Arial"/>
          <w:sz w:val="24"/>
          <w:szCs w:val="24"/>
        </w:rPr>
        <w:t xml:space="preserve">107, 46-B </w:t>
      </w:r>
      <w:r w:rsidR="00497503" w:rsidRPr="003A1174">
        <w:rPr>
          <w:rFonts w:ascii="Garamond" w:hAnsi="Garamond" w:cs="Arial"/>
          <w:sz w:val="24"/>
          <w:szCs w:val="24"/>
        </w:rPr>
        <w:t>e</w:t>
      </w:r>
      <w:r w:rsidR="00D01B8C" w:rsidRPr="003A1174">
        <w:rPr>
          <w:rFonts w:ascii="Garamond" w:hAnsi="Garamond" w:cs="Arial"/>
          <w:sz w:val="24"/>
          <w:szCs w:val="24"/>
        </w:rPr>
        <w:t xml:space="preserve"> 46-C</w:t>
      </w:r>
      <w:proofErr w:type="gramEnd"/>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w:t>
      </w:r>
      <w:r w:rsidR="00023AD6" w:rsidRPr="003A1174">
        <w:rPr>
          <w:rFonts w:ascii="Garamond" w:hAnsi="Garamond" w:cs="Arial"/>
          <w:sz w:val="24"/>
          <w:szCs w:val="24"/>
        </w:rPr>
        <w:t>mesmo</w:t>
      </w:r>
      <w:r w:rsidR="00D01B8C" w:rsidRPr="003A1174">
        <w:rPr>
          <w:rFonts w:ascii="Garamond" w:hAnsi="Garamond" w:cs="Arial"/>
          <w:sz w:val="24"/>
          <w:szCs w:val="24"/>
        </w:rPr>
        <w:t xml:space="preserve"> Código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 xml:space="preserve">o </w:t>
      </w:r>
      <w:r w:rsidR="00383B3F" w:rsidRPr="003A1174">
        <w:rPr>
          <w:rFonts w:ascii="Garamond" w:hAnsi="Garamond" w:cs="Arial"/>
          <w:sz w:val="24"/>
          <w:szCs w:val="24"/>
        </w:rPr>
        <w:t>Art.</w:t>
      </w:r>
      <w:r w:rsidR="00D01B8C" w:rsidRPr="003A1174">
        <w:rPr>
          <w:rFonts w:ascii="Garamond" w:hAnsi="Garamond" w:cs="Arial"/>
          <w:sz w:val="24"/>
          <w:szCs w:val="24"/>
        </w:rPr>
        <w:t xml:space="preserve"> 46 </w:t>
      </w:r>
      <w:r w:rsidR="008A3DA2" w:rsidRPr="003A1174">
        <w:rPr>
          <w:rFonts w:ascii="Garamond" w:hAnsi="Garamond" w:cs="Arial"/>
          <w:sz w:val="24"/>
          <w:szCs w:val="24"/>
        </w:rPr>
        <w:t>do</w:t>
      </w:r>
      <w:r w:rsidR="00D01B8C" w:rsidRPr="003A1174">
        <w:rPr>
          <w:rFonts w:ascii="Garamond" w:hAnsi="Garamond" w:cs="Arial"/>
          <w:sz w:val="24"/>
          <w:szCs w:val="24"/>
        </w:rPr>
        <w:t xml:space="preserve"> Código de </w:t>
      </w:r>
      <w:r w:rsidR="00EB78D9" w:rsidRPr="003A1174">
        <w:rPr>
          <w:rFonts w:ascii="Garamond" w:hAnsi="Garamond" w:cs="Arial"/>
          <w:sz w:val="24"/>
          <w:szCs w:val="24"/>
        </w:rPr>
        <w:t>Execução</w:t>
      </w:r>
      <w:r w:rsidR="00D01B8C" w:rsidRPr="003A1174">
        <w:rPr>
          <w:rFonts w:ascii="Garamond" w:hAnsi="Garamond" w:cs="Arial"/>
          <w:sz w:val="24"/>
          <w:szCs w:val="24"/>
        </w:rPr>
        <w:t xml:space="preserve"> Penal, co</w:t>
      </w:r>
      <w:r w:rsidRPr="003A1174">
        <w:rPr>
          <w:rFonts w:ascii="Garamond" w:hAnsi="Garamond" w:cs="Arial"/>
          <w:sz w:val="24"/>
          <w:szCs w:val="24"/>
        </w:rPr>
        <w:t xml:space="preserve">m o fim </w:t>
      </w:r>
      <w:r w:rsidR="00D01B8C" w:rsidRPr="003A1174">
        <w:rPr>
          <w:rFonts w:ascii="Garamond" w:hAnsi="Garamond" w:cs="Arial"/>
          <w:sz w:val="24"/>
          <w:szCs w:val="24"/>
        </w:rPr>
        <w:t xml:space="preserve">de </w:t>
      </w:r>
      <w:r w:rsidR="003F493C" w:rsidRPr="003A1174">
        <w:rPr>
          <w:rFonts w:ascii="Garamond" w:hAnsi="Garamond" w:cs="Arial"/>
          <w:sz w:val="24"/>
          <w:szCs w:val="24"/>
        </w:rPr>
        <w:t>Prevenir, Punir e Erradicar</w:t>
      </w:r>
      <w:r w:rsidR="00D01B8C" w:rsidRPr="003A1174">
        <w:rPr>
          <w:rFonts w:ascii="Garamond" w:hAnsi="Garamond" w:cs="Arial"/>
          <w:sz w:val="24"/>
          <w:szCs w:val="24"/>
        </w:rPr>
        <w:t xml:space="preserve"> </w:t>
      </w:r>
      <w:r w:rsidRPr="003A1174">
        <w:rPr>
          <w:rFonts w:ascii="Garamond" w:hAnsi="Garamond" w:cs="Arial"/>
          <w:sz w:val="24"/>
          <w:szCs w:val="24"/>
        </w:rPr>
        <w:t>o</w:t>
      </w:r>
      <w:r w:rsidR="00D01B8C" w:rsidRPr="003A1174">
        <w:rPr>
          <w:rFonts w:ascii="Garamond" w:hAnsi="Garamond" w:cs="Arial"/>
          <w:sz w:val="24"/>
          <w:szCs w:val="24"/>
        </w:rPr>
        <w:t xml:space="preserve"> </w:t>
      </w:r>
      <w:r w:rsidR="005C051C" w:rsidRPr="003A1174">
        <w:rPr>
          <w:rFonts w:ascii="Garamond" w:hAnsi="Garamond" w:cs="Arial"/>
          <w:sz w:val="24"/>
          <w:szCs w:val="24"/>
        </w:rPr>
        <w:t>femicídio</w:t>
      </w:r>
      <w:r w:rsidR="00D01B8C" w:rsidRPr="003A1174">
        <w:rPr>
          <w:rFonts w:ascii="Garamond" w:hAnsi="Garamond" w:cs="Arial"/>
          <w:sz w:val="24"/>
          <w:szCs w:val="24"/>
        </w:rPr>
        <w:t xml:space="preserve">. </w:t>
      </w:r>
      <w:r w:rsidRPr="003A1174">
        <w:rPr>
          <w:rFonts w:ascii="Garamond" w:hAnsi="Garamond" w:cs="Arial"/>
          <w:sz w:val="24"/>
          <w:szCs w:val="24"/>
        </w:rPr>
        <w:t xml:space="preserve">É </w:t>
      </w:r>
      <w:r w:rsidR="00025C7F" w:rsidRPr="003A1174">
        <w:rPr>
          <w:rFonts w:ascii="Garamond" w:hAnsi="Garamond" w:cs="Arial"/>
          <w:sz w:val="24"/>
          <w:szCs w:val="24"/>
        </w:rPr>
        <w:t>importante</w:t>
      </w:r>
      <w:r w:rsidR="00D01B8C" w:rsidRPr="003A1174">
        <w:rPr>
          <w:rFonts w:ascii="Garamond" w:hAnsi="Garamond" w:cs="Arial"/>
          <w:sz w:val="24"/>
          <w:szCs w:val="24"/>
        </w:rPr>
        <w:t xml:space="preserve"> </w:t>
      </w:r>
      <w:r w:rsidR="00E86EBB">
        <w:rPr>
          <w:rFonts w:ascii="Garamond" w:hAnsi="Garamond" w:cs="Arial"/>
          <w:sz w:val="24"/>
          <w:szCs w:val="24"/>
        </w:rPr>
        <w:t xml:space="preserve">sublinhar </w:t>
      </w:r>
      <w:r w:rsidR="00D01B8C" w:rsidRPr="003A1174">
        <w:rPr>
          <w:rFonts w:ascii="Garamond" w:hAnsi="Garamond" w:cs="Arial"/>
          <w:sz w:val="24"/>
          <w:szCs w:val="24"/>
        </w:rPr>
        <w:t xml:space="preserve">que esta </w:t>
      </w:r>
      <w:r w:rsidR="00D15AFF" w:rsidRPr="003A1174">
        <w:rPr>
          <w:rFonts w:ascii="Garamond" w:hAnsi="Garamond" w:cs="Arial"/>
          <w:sz w:val="24"/>
          <w:szCs w:val="24"/>
        </w:rPr>
        <w:t>lei</w:t>
      </w:r>
      <w:r w:rsidR="00D01B8C" w:rsidRPr="003A1174">
        <w:rPr>
          <w:rFonts w:ascii="Garamond" w:hAnsi="Garamond" w:cs="Arial"/>
          <w:sz w:val="24"/>
          <w:szCs w:val="24"/>
        </w:rPr>
        <w:t xml:space="preserve"> recon</w:t>
      </w:r>
      <w:r w:rsidRPr="003A1174">
        <w:rPr>
          <w:rFonts w:ascii="Garamond" w:hAnsi="Garamond" w:cs="Arial"/>
          <w:sz w:val="24"/>
          <w:szCs w:val="24"/>
        </w:rPr>
        <w:t xml:space="preserve">hece o </w:t>
      </w:r>
      <w:r w:rsidR="005C051C" w:rsidRPr="003A1174">
        <w:rPr>
          <w:rFonts w:ascii="Garamond" w:hAnsi="Garamond" w:cs="Arial"/>
          <w:sz w:val="24"/>
          <w:szCs w:val="24"/>
        </w:rPr>
        <w:t>femicídio</w:t>
      </w:r>
      <w:r w:rsidR="00D01B8C" w:rsidRPr="003A1174">
        <w:rPr>
          <w:rFonts w:ascii="Garamond" w:hAnsi="Garamond" w:cs="Arial"/>
          <w:sz w:val="24"/>
          <w:szCs w:val="24"/>
        </w:rPr>
        <w:t xml:space="preserve"> n</w:t>
      </w:r>
      <w:r w:rsidRPr="003A1174">
        <w:rPr>
          <w:rFonts w:ascii="Garamond" w:hAnsi="Garamond" w:cs="Arial"/>
          <w:sz w:val="24"/>
          <w:szCs w:val="24"/>
        </w:rPr>
        <w:t>ã</w:t>
      </w:r>
      <w:r w:rsidR="00D01B8C" w:rsidRPr="003A1174">
        <w:rPr>
          <w:rFonts w:ascii="Garamond" w:hAnsi="Garamond" w:cs="Arial"/>
          <w:sz w:val="24"/>
          <w:szCs w:val="24"/>
        </w:rPr>
        <w:t xml:space="preserve">o íntimo, </w:t>
      </w:r>
      <w:r w:rsidR="00AE3F78" w:rsidRPr="003A1174">
        <w:rPr>
          <w:rFonts w:ascii="Garamond" w:hAnsi="Garamond" w:cs="Arial"/>
          <w:sz w:val="24"/>
          <w:szCs w:val="24"/>
        </w:rPr>
        <w:t>punindo</w:t>
      </w:r>
      <w:r w:rsidR="00D01B8C" w:rsidRPr="003A1174">
        <w:rPr>
          <w:rFonts w:ascii="Garamond" w:hAnsi="Garamond" w:cs="Arial"/>
          <w:sz w:val="24"/>
          <w:szCs w:val="24"/>
        </w:rPr>
        <w:t xml:space="preserve"> </w:t>
      </w:r>
      <w:r w:rsidRPr="003A1174">
        <w:rPr>
          <w:rFonts w:ascii="Garamond" w:hAnsi="Garamond" w:cs="Arial"/>
          <w:sz w:val="24"/>
          <w:szCs w:val="24"/>
        </w:rPr>
        <w:t xml:space="preserve">o </w:t>
      </w:r>
      <w:r w:rsidR="009A0CC2" w:rsidRPr="003A1174">
        <w:rPr>
          <w:rFonts w:ascii="Garamond" w:hAnsi="Garamond" w:cs="Arial"/>
          <w:sz w:val="24"/>
          <w:szCs w:val="24"/>
        </w:rPr>
        <w:t>homicídio</w:t>
      </w:r>
      <w:r w:rsidRPr="003A1174">
        <w:rPr>
          <w:rFonts w:ascii="Garamond" w:hAnsi="Garamond" w:cs="Arial"/>
          <w:sz w:val="24"/>
          <w:szCs w:val="24"/>
        </w:rPr>
        <w:t xml:space="preserve"> de um</w:t>
      </w:r>
      <w:r w:rsidR="00D01B8C" w:rsidRPr="003A1174">
        <w:rPr>
          <w:rFonts w:ascii="Garamond" w:hAnsi="Garamond" w:cs="Arial"/>
          <w:sz w:val="24"/>
          <w:szCs w:val="24"/>
        </w:rPr>
        <w:t xml:space="preserve">a </w:t>
      </w:r>
      <w:r w:rsidR="00AF192F" w:rsidRPr="003A1174">
        <w:rPr>
          <w:rFonts w:ascii="Garamond" w:hAnsi="Garamond" w:cs="Arial"/>
          <w:sz w:val="24"/>
          <w:szCs w:val="24"/>
        </w:rPr>
        <w:t>mulher</w:t>
      </w:r>
      <w:r w:rsidR="00D01B8C" w:rsidRPr="003A1174">
        <w:rPr>
          <w:rFonts w:ascii="Garamond" w:hAnsi="Garamond" w:cs="Arial"/>
          <w:sz w:val="24"/>
          <w:szCs w:val="24"/>
        </w:rPr>
        <w:t xml:space="preserve"> p</w:t>
      </w:r>
      <w:r w:rsidRPr="003A1174">
        <w:rPr>
          <w:rFonts w:ascii="Garamond" w:hAnsi="Garamond" w:cs="Arial"/>
          <w:sz w:val="24"/>
          <w:szCs w:val="24"/>
        </w:rPr>
        <w:t xml:space="preserve">ela sua </w:t>
      </w:r>
      <w:r w:rsidR="00E86EBB">
        <w:rPr>
          <w:rFonts w:ascii="Garamond" w:hAnsi="Garamond" w:cs="Arial"/>
          <w:sz w:val="24"/>
          <w:szCs w:val="24"/>
        </w:rPr>
        <w:t xml:space="preserve">própria </w:t>
      </w:r>
      <w:r w:rsidR="004E3A1A" w:rsidRPr="003A1174">
        <w:rPr>
          <w:rFonts w:ascii="Garamond" w:hAnsi="Garamond" w:cs="Arial"/>
          <w:sz w:val="24"/>
          <w:szCs w:val="24"/>
        </w:rPr>
        <w:t>condição</w:t>
      </w:r>
      <w:r w:rsidR="00E86EBB">
        <w:rPr>
          <w:rFonts w:ascii="Garamond" w:hAnsi="Garamond" w:cs="Arial"/>
          <w:sz w:val="24"/>
          <w:szCs w:val="24"/>
        </w:rPr>
        <w:t>.</w:t>
      </w:r>
      <w:r w:rsidR="00D01B8C" w:rsidRPr="003A1174">
        <w:rPr>
          <w:rFonts w:ascii="Garamond" w:hAnsi="Garamond" w:cs="Arial"/>
          <w:sz w:val="24"/>
          <w:szCs w:val="24"/>
        </w:rPr>
        <w:t xml:space="preserve"> </w:t>
      </w:r>
    </w:p>
    <w:p w:rsidR="00D01B8C" w:rsidRPr="003A1174" w:rsidRDefault="0091213A" w:rsidP="008719D4">
      <w:pPr>
        <w:spacing w:before="240" w:line="240" w:lineRule="auto"/>
        <w:contextualSpacing/>
        <w:jc w:val="both"/>
        <w:rPr>
          <w:rFonts w:ascii="Garamond" w:hAnsi="Garamond" w:cs="Arial"/>
          <w:sz w:val="24"/>
          <w:szCs w:val="24"/>
        </w:rPr>
      </w:pPr>
      <w:r w:rsidRPr="003A1174">
        <w:rPr>
          <w:rFonts w:ascii="Garamond" w:hAnsi="Garamond" w:cs="Arial"/>
          <w:i/>
          <w:sz w:val="24"/>
          <w:szCs w:val="24"/>
        </w:rPr>
        <w:t xml:space="preserve">O </w:t>
      </w:r>
      <w:r w:rsidR="00D01B8C" w:rsidRPr="003A1174">
        <w:rPr>
          <w:rFonts w:ascii="Garamond" w:hAnsi="Garamond" w:cs="Arial"/>
          <w:i/>
          <w:sz w:val="24"/>
          <w:szCs w:val="24"/>
        </w:rPr>
        <w:t>Decreto Supremo N</w:t>
      </w:r>
      <w:r w:rsidR="00E86EBB">
        <w:rPr>
          <w:rFonts w:ascii="Garamond" w:hAnsi="Garamond" w:cs="Arial"/>
          <w:i/>
          <w:sz w:val="24"/>
          <w:szCs w:val="24"/>
        </w:rPr>
        <w:t>.</w:t>
      </w:r>
      <w:r w:rsidR="00D01B8C" w:rsidRPr="003A1174">
        <w:rPr>
          <w:rFonts w:ascii="Garamond" w:hAnsi="Garamond" w:cs="Arial"/>
          <w:i/>
          <w:sz w:val="24"/>
          <w:szCs w:val="24"/>
        </w:rPr>
        <w:t xml:space="preserve">º 005-2014-JUS, </w:t>
      </w:r>
      <w:r w:rsidR="00462B11" w:rsidRPr="003A1174">
        <w:rPr>
          <w:rFonts w:ascii="Garamond" w:hAnsi="Garamond" w:cs="Arial"/>
          <w:i/>
          <w:sz w:val="24"/>
          <w:szCs w:val="24"/>
        </w:rPr>
        <w:t>Plano</w:t>
      </w:r>
      <w:r w:rsidR="00D01B8C" w:rsidRPr="003A1174">
        <w:rPr>
          <w:rFonts w:ascii="Garamond" w:hAnsi="Garamond" w:cs="Arial"/>
          <w:i/>
          <w:sz w:val="24"/>
          <w:szCs w:val="24"/>
        </w:rPr>
        <w:t xml:space="preserve"> Nacional de </w:t>
      </w:r>
      <w:r w:rsidR="00886D6A" w:rsidRPr="003A1174">
        <w:rPr>
          <w:rFonts w:ascii="Garamond" w:hAnsi="Garamond" w:cs="Arial"/>
          <w:i/>
          <w:sz w:val="24"/>
          <w:szCs w:val="24"/>
        </w:rPr>
        <w:t>Direito</w:t>
      </w:r>
      <w:r w:rsidR="00D01B8C" w:rsidRPr="003A1174">
        <w:rPr>
          <w:rFonts w:ascii="Garamond" w:hAnsi="Garamond" w:cs="Arial"/>
          <w:i/>
          <w:sz w:val="24"/>
          <w:szCs w:val="24"/>
        </w:rPr>
        <w:t xml:space="preserve">s Humanos 2014-2016, </w:t>
      </w:r>
      <w:r w:rsidR="00A639E9">
        <w:rPr>
          <w:rFonts w:ascii="Garamond" w:hAnsi="Garamond" w:cs="Arial"/>
          <w:i/>
          <w:sz w:val="24"/>
          <w:szCs w:val="24"/>
        </w:rPr>
        <w:t xml:space="preserve">publicado </w:t>
      </w:r>
      <w:r w:rsidRPr="003A1174">
        <w:rPr>
          <w:rFonts w:ascii="Garamond" w:hAnsi="Garamond" w:cs="Arial"/>
          <w:i/>
          <w:sz w:val="24"/>
          <w:szCs w:val="24"/>
        </w:rPr>
        <w:t xml:space="preserve">a </w:t>
      </w:r>
      <w:r w:rsidR="00D01B8C" w:rsidRPr="003A1174">
        <w:rPr>
          <w:rFonts w:ascii="Garamond" w:hAnsi="Garamond" w:cs="Arial"/>
          <w:i/>
          <w:sz w:val="24"/>
          <w:szCs w:val="24"/>
        </w:rPr>
        <w:t xml:space="preserve">5 de </w:t>
      </w:r>
      <w:r w:rsidR="009E3E55" w:rsidRPr="003A1174">
        <w:rPr>
          <w:rFonts w:ascii="Garamond" w:hAnsi="Garamond" w:cs="Arial"/>
          <w:i/>
          <w:sz w:val="24"/>
          <w:szCs w:val="24"/>
        </w:rPr>
        <w:t>julho</w:t>
      </w:r>
      <w:r w:rsidR="00D01B8C" w:rsidRPr="003A1174">
        <w:rPr>
          <w:rFonts w:ascii="Garamond" w:hAnsi="Garamond" w:cs="Arial"/>
          <w:i/>
          <w:sz w:val="24"/>
          <w:szCs w:val="24"/>
        </w:rPr>
        <w:t xml:space="preserve"> de 2014.</w:t>
      </w:r>
      <w:r w:rsidR="00D01B8C" w:rsidRPr="003A1174">
        <w:rPr>
          <w:rFonts w:ascii="Garamond" w:hAnsi="Garamond" w:cs="Arial"/>
          <w:sz w:val="24"/>
          <w:szCs w:val="24"/>
        </w:rPr>
        <w:t xml:space="preserve"> Cont</w:t>
      </w:r>
      <w:r w:rsidRPr="003A1174">
        <w:rPr>
          <w:rFonts w:ascii="Garamond" w:hAnsi="Garamond" w:cs="Arial"/>
          <w:sz w:val="24"/>
          <w:szCs w:val="24"/>
        </w:rPr>
        <w:t xml:space="preserve">ém </w:t>
      </w:r>
      <w:r w:rsidR="00D01B8C" w:rsidRPr="003A1174">
        <w:rPr>
          <w:rFonts w:ascii="Garamond" w:hAnsi="Garamond" w:cs="Arial"/>
          <w:sz w:val="24"/>
          <w:szCs w:val="24"/>
        </w:rPr>
        <w:t xml:space="preserve">as políticas de Estado relativas </w:t>
      </w:r>
      <w:r w:rsidRPr="003A1174">
        <w:rPr>
          <w:rFonts w:ascii="Garamond" w:hAnsi="Garamond" w:cs="Arial"/>
          <w:sz w:val="24"/>
          <w:szCs w:val="24"/>
        </w:rPr>
        <w:t xml:space="preserve">à </w:t>
      </w:r>
      <w:r w:rsidR="002C7510" w:rsidRPr="003A1174">
        <w:rPr>
          <w:rFonts w:ascii="Garamond" w:hAnsi="Garamond" w:cs="Arial"/>
          <w:sz w:val="24"/>
          <w:szCs w:val="24"/>
        </w:rPr>
        <w:t>defesa</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 xml:space="preserve">à </w:t>
      </w:r>
      <w:r w:rsidR="00886D6A" w:rsidRPr="003A1174">
        <w:rPr>
          <w:rFonts w:ascii="Garamond" w:hAnsi="Garamond" w:cs="Arial"/>
          <w:sz w:val="24"/>
          <w:szCs w:val="24"/>
        </w:rPr>
        <w:t>proteção</w:t>
      </w:r>
      <w:r w:rsidR="00D01B8C" w:rsidRPr="003A1174">
        <w:rPr>
          <w:rFonts w:ascii="Garamond" w:hAnsi="Garamond" w:cs="Arial"/>
          <w:sz w:val="24"/>
          <w:szCs w:val="24"/>
        </w:rPr>
        <w:t xml:space="preserve">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886D6A" w:rsidRPr="003A1174">
        <w:rPr>
          <w:rFonts w:ascii="Garamond" w:hAnsi="Garamond" w:cs="Arial"/>
          <w:sz w:val="24"/>
          <w:szCs w:val="24"/>
        </w:rPr>
        <w:t>direito</w:t>
      </w:r>
      <w:r w:rsidR="00D01B8C" w:rsidRPr="003A1174">
        <w:rPr>
          <w:rFonts w:ascii="Garamond" w:hAnsi="Garamond" w:cs="Arial"/>
          <w:sz w:val="24"/>
          <w:szCs w:val="24"/>
        </w:rPr>
        <w:t>s h</w:t>
      </w:r>
      <w:r w:rsidRPr="003A1174">
        <w:rPr>
          <w:rFonts w:ascii="Garamond" w:hAnsi="Garamond" w:cs="Arial"/>
          <w:sz w:val="24"/>
          <w:szCs w:val="24"/>
        </w:rPr>
        <w:t>umanos, usando</w:t>
      </w:r>
      <w:r w:rsidR="00A639E9">
        <w:rPr>
          <w:rFonts w:ascii="Garamond" w:hAnsi="Garamond" w:cs="Arial"/>
          <w:sz w:val="24"/>
          <w:szCs w:val="24"/>
        </w:rPr>
        <w:t>,</w:t>
      </w:r>
      <w:r w:rsidRPr="003A1174">
        <w:rPr>
          <w:rFonts w:ascii="Garamond" w:hAnsi="Garamond" w:cs="Arial"/>
          <w:sz w:val="24"/>
          <w:szCs w:val="24"/>
        </w:rPr>
        <w:t xml:space="preserve"> como </w:t>
      </w:r>
      <w:r w:rsidR="00A639E9">
        <w:rPr>
          <w:rFonts w:ascii="Garamond" w:hAnsi="Garamond" w:cs="Arial"/>
          <w:sz w:val="24"/>
          <w:szCs w:val="24"/>
        </w:rPr>
        <w:t xml:space="preserve">referência, </w:t>
      </w:r>
      <w:r w:rsidR="00D01B8C" w:rsidRPr="003A1174">
        <w:rPr>
          <w:rFonts w:ascii="Garamond" w:hAnsi="Garamond" w:cs="Arial"/>
          <w:sz w:val="24"/>
          <w:szCs w:val="24"/>
        </w:rPr>
        <w:t xml:space="preserve">os tratados </w:t>
      </w:r>
      <w:r w:rsidR="00EF645F" w:rsidRPr="003A1174">
        <w:rPr>
          <w:rFonts w:ascii="Garamond" w:hAnsi="Garamond" w:cs="Arial"/>
          <w:sz w:val="24"/>
          <w:szCs w:val="24"/>
        </w:rPr>
        <w:t>internacionais</w:t>
      </w:r>
      <w:r w:rsidR="00D01B8C" w:rsidRPr="003A1174">
        <w:rPr>
          <w:rFonts w:ascii="Garamond" w:hAnsi="Garamond" w:cs="Arial"/>
          <w:sz w:val="24"/>
          <w:szCs w:val="24"/>
        </w:rPr>
        <w:t xml:space="preserve">. </w:t>
      </w:r>
    </w:p>
    <w:p w:rsidR="00D01B8C" w:rsidRPr="003A1174" w:rsidRDefault="00D01B8C" w:rsidP="008719D4">
      <w:pPr>
        <w:spacing w:after="0" w:line="240" w:lineRule="auto"/>
        <w:contextualSpacing/>
        <w:jc w:val="both"/>
        <w:rPr>
          <w:rFonts w:ascii="Garamond" w:hAnsi="Garamond" w:cs="Arial"/>
          <w:sz w:val="24"/>
          <w:szCs w:val="24"/>
        </w:rPr>
      </w:pPr>
    </w:p>
    <w:p w:rsidR="00D01B8C" w:rsidRPr="003A1174" w:rsidRDefault="00D96FD0" w:rsidP="008719D4">
      <w:pPr>
        <w:pStyle w:val="Prrafodelista"/>
        <w:numPr>
          <w:ilvl w:val="0"/>
          <w:numId w:val="13"/>
        </w:numPr>
        <w:spacing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91213A" w:rsidRPr="003A1174">
        <w:rPr>
          <w:rFonts w:ascii="Garamond" w:hAnsi="Garamond" w:cs="Arial"/>
          <w:color w:val="auto"/>
          <w:sz w:val="24"/>
          <w:szCs w:val="24"/>
        </w:rPr>
        <w:t xml:space="preserve"> d</w:t>
      </w:r>
      <w:r w:rsidR="00D01B8C" w:rsidRPr="003A1174">
        <w:rPr>
          <w:rFonts w:ascii="Garamond" w:hAnsi="Garamond" w:cs="Arial"/>
          <w:color w:val="auto"/>
          <w:sz w:val="24"/>
          <w:szCs w:val="24"/>
        </w:rPr>
        <w:t>a</w:t>
      </w:r>
      <w:r w:rsidR="0091213A" w:rsidRPr="003A1174">
        <w:rPr>
          <w:rFonts w:ascii="Garamond" w:hAnsi="Garamond" w:cs="Arial"/>
          <w:color w:val="auto"/>
          <w:sz w:val="24"/>
          <w:szCs w:val="24"/>
        </w:rPr>
        <w:t>s</w:t>
      </w:r>
      <w:r w:rsidR="00D01B8C"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D01B8C" w:rsidRPr="003A1174">
        <w:rPr>
          <w:rFonts w:ascii="Garamond" w:hAnsi="Garamond" w:cs="Arial"/>
          <w:color w:val="auto"/>
          <w:sz w:val="24"/>
          <w:szCs w:val="24"/>
        </w:rPr>
        <w:t xml:space="preserve"> </w:t>
      </w:r>
    </w:p>
    <w:p w:rsidR="00D01B8C" w:rsidRPr="003A1174" w:rsidRDefault="0091213A" w:rsidP="008719D4">
      <w:pPr>
        <w:spacing w:after="0" w:line="240" w:lineRule="auto"/>
        <w:contextualSpacing/>
        <w:jc w:val="both"/>
        <w:rPr>
          <w:rFonts w:ascii="Garamond" w:hAnsi="Garamond" w:cs="Arial"/>
          <w:sz w:val="24"/>
          <w:szCs w:val="24"/>
        </w:rPr>
      </w:pPr>
      <w:r w:rsidRPr="003A1174">
        <w:rPr>
          <w:rFonts w:ascii="Garamond" w:hAnsi="Garamond" w:cs="Arial"/>
          <w:sz w:val="24"/>
          <w:szCs w:val="24"/>
        </w:rPr>
        <w:t xml:space="preserve">É importante destacar </w:t>
      </w:r>
      <w:r w:rsidR="00D01B8C" w:rsidRPr="003A1174">
        <w:rPr>
          <w:rFonts w:ascii="Garamond" w:hAnsi="Garamond" w:cs="Arial"/>
          <w:sz w:val="24"/>
          <w:szCs w:val="24"/>
        </w:rPr>
        <w:t xml:space="preserve">que </w:t>
      </w:r>
      <w:r w:rsidRPr="003A1174">
        <w:rPr>
          <w:rFonts w:ascii="Garamond" w:hAnsi="Garamond" w:cs="Arial"/>
          <w:sz w:val="24"/>
          <w:szCs w:val="24"/>
        </w:rPr>
        <w:t xml:space="preserve">o </w:t>
      </w:r>
      <w:r w:rsidR="00462B11" w:rsidRPr="003A1174">
        <w:rPr>
          <w:rFonts w:ascii="Garamond" w:hAnsi="Garamond" w:cs="Arial"/>
          <w:sz w:val="24"/>
          <w:szCs w:val="24"/>
        </w:rPr>
        <w:t>Plano</w:t>
      </w:r>
      <w:r w:rsidR="00D01B8C" w:rsidRPr="003A1174">
        <w:rPr>
          <w:rFonts w:ascii="Garamond" w:hAnsi="Garamond" w:cs="Arial"/>
          <w:sz w:val="24"/>
          <w:szCs w:val="24"/>
        </w:rPr>
        <w:t xml:space="preserve"> Nacional </w:t>
      </w:r>
      <w:r w:rsidRPr="003A1174">
        <w:rPr>
          <w:rFonts w:ascii="Garamond" w:hAnsi="Garamond" w:cs="Arial"/>
          <w:sz w:val="24"/>
          <w:szCs w:val="24"/>
        </w:rPr>
        <w:t xml:space="preserve">refere </w:t>
      </w:r>
      <w:r w:rsidR="00D01B8C" w:rsidRPr="003A1174">
        <w:rPr>
          <w:rFonts w:ascii="Garamond" w:hAnsi="Garamond" w:cs="Arial"/>
          <w:sz w:val="24"/>
          <w:szCs w:val="24"/>
        </w:rPr>
        <w:t xml:space="preserve">como </w:t>
      </w:r>
      <w:r w:rsidR="003D2CA7" w:rsidRPr="003A1174">
        <w:rPr>
          <w:rFonts w:ascii="Garamond" w:hAnsi="Garamond" w:cs="Arial"/>
          <w:sz w:val="24"/>
          <w:szCs w:val="24"/>
        </w:rPr>
        <w:t>o</w:t>
      </w:r>
      <w:r w:rsidRPr="003A1174">
        <w:rPr>
          <w:rFonts w:ascii="Garamond" w:hAnsi="Garamond" w:cs="Arial"/>
          <w:sz w:val="24"/>
          <w:szCs w:val="24"/>
        </w:rPr>
        <w:t>bjetivo estratégico N</w:t>
      </w:r>
      <w:r w:rsidR="00A639E9">
        <w:rPr>
          <w:rFonts w:ascii="Garamond" w:hAnsi="Garamond" w:cs="Arial"/>
          <w:sz w:val="24"/>
          <w:szCs w:val="24"/>
        </w:rPr>
        <w:t>.</w:t>
      </w:r>
      <w:r w:rsidRPr="003A1174">
        <w:rPr>
          <w:rFonts w:ascii="Garamond" w:hAnsi="Garamond" w:cs="Arial"/>
          <w:sz w:val="24"/>
          <w:szCs w:val="24"/>
        </w:rPr>
        <w:t xml:space="preserve">º 13 </w:t>
      </w:r>
      <w:r w:rsidR="00D01B8C" w:rsidRPr="003A1174">
        <w:rPr>
          <w:rFonts w:ascii="Garamond" w:hAnsi="Garamond" w:cs="Arial"/>
          <w:sz w:val="24"/>
          <w:szCs w:val="24"/>
        </w:rPr>
        <w:t xml:space="preserve">a </w:t>
      </w:r>
      <w:r w:rsidR="006B29BF" w:rsidRPr="003A1174">
        <w:rPr>
          <w:rFonts w:ascii="Garamond" w:hAnsi="Garamond" w:cs="Arial"/>
          <w:sz w:val="24"/>
          <w:szCs w:val="24"/>
        </w:rPr>
        <w:t>redução</w:t>
      </w:r>
      <w:r w:rsidR="00D01B8C" w:rsidRPr="003A1174">
        <w:rPr>
          <w:rFonts w:ascii="Garamond" w:hAnsi="Garamond" w:cs="Arial"/>
          <w:sz w:val="24"/>
          <w:szCs w:val="24"/>
        </w:rPr>
        <w:t xml:space="preserve"> </w:t>
      </w:r>
      <w:r w:rsidR="00497503" w:rsidRPr="003A1174">
        <w:rPr>
          <w:rFonts w:ascii="Garamond" w:hAnsi="Garamond" w:cs="Arial"/>
          <w:sz w:val="24"/>
          <w:szCs w:val="24"/>
        </w:rPr>
        <w:t>dos</w:t>
      </w:r>
      <w:r w:rsidR="00D01B8C" w:rsidRPr="003A1174">
        <w:rPr>
          <w:rFonts w:ascii="Garamond" w:hAnsi="Garamond" w:cs="Arial"/>
          <w:bCs/>
          <w:sz w:val="24"/>
          <w:szCs w:val="24"/>
        </w:rPr>
        <w:t xml:space="preserve"> índices de </w:t>
      </w:r>
      <w:r w:rsidR="000350B1" w:rsidRPr="003A1174">
        <w:rPr>
          <w:rFonts w:ascii="Garamond" w:hAnsi="Garamond" w:cs="Arial"/>
          <w:bCs/>
          <w:sz w:val="24"/>
          <w:szCs w:val="24"/>
        </w:rPr>
        <w:t>violência</w:t>
      </w:r>
      <w:r w:rsidR="00D01B8C" w:rsidRPr="003A1174">
        <w:rPr>
          <w:rFonts w:ascii="Garamond" w:hAnsi="Garamond" w:cs="Arial"/>
          <w:bCs/>
          <w:sz w:val="24"/>
          <w:szCs w:val="24"/>
        </w:rPr>
        <w:t xml:space="preserve"> </w:t>
      </w:r>
      <w:r w:rsidR="007C63D0" w:rsidRPr="003A1174">
        <w:rPr>
          <w:rFonts w:ascii="Garamond" w:hAnsi="Garamond" w:cs="Arial"/>
          <w:bCs/>
          <w:sz w:val="24"/>
          <w:szCs w:val="24"/>
        </w:rPr>
        <w:t>baseada</w:t>
      </w:r>
      <w:r w:rsidR="00D01B8C" w:rsidRPr="003A1174">
        <w:rPr>
          <w:rFonts w:ascii="Garamond" w:hAnsi="Garamond" w:cs="Arial"/>
          <w:bCs/>
          <w:sz w:val="24"/>
          <w:szCs w:val="24"/>
        </w:rPr>
        <w:t xml:space="preserve"> e</w:t>
      </w:r>
      <w:r w:rsidRPr="003A1174">
        <w:rPr>
          <w:rFonts w:ascii="Garamond" w:hAnsi="Garamond" w:cs="Arial"/>
          <w:bCs/>
          <w:sz w:val="24"/>
          <w:szCs w:val="24"/>
        </w:rPr>
        <w:t>m</w:t>
      </w:r>
      <w:r w:rsidR="00D01B8C" w:rsidRPr="003A1174">
        <w:rPr>
          <w:rFonts w:ascii="Garamond" w:hAnsi="Garamond" w:cs="Arial"/>
          <w:bCs/>
          <w:sz w:val="24"/>
          <w:szCs w:val="24"/>
        </w:rPr>
        <w:t xml:space="preserve"> </w:t>
      </w:r>
      <w:r w:rsidR="009D5ED8" w:rsidRPr="003A1174">
        <w:rPr>
          <w:rFonts w:ascii="Garamond" w:hAnsi="Garamond" w:cs="Arial"/>
          <w:bCs/>
          <w:sz w:val="24"/>
          <w:szCs w:val="24"/>
        </w:rPr>
        <w:t>razões</w:t>
      </w:r>
      <w:r w:rsidR="00D01B8C" w:rsidRPr="003A1174">
        <w:rPr>
          <w:rFonts w:ascii="Garamond" w:hAnsi="Garamond" w:cs="Arial"/>
          <w:bCs/>
          <w:sz w:val="24"/>
          <w:szCs w:val="24"/>
        </w:rPr>
        <w:t xml:space="preserve"> de género. Existe</w:t>
      </w:r>
      <w:r w:rsidRPr="003A1174">
        <w:rPr>
          <w:rFonts w:ascii="Garamond" w:hAnsi="Garamond" w:cs="Arial"/>
          <w:bCs/>
          <w:sz w:val="24"/>
          <w:szCs w:val="24"/>
        </w:rPr>
        <w:t>m</w:t>
      </w:r>
      <w:r w:rsidR="003D2CA7" w:rsidRPr="003A1174">
        <w:rPr>
          <w:rFonts w:ascii="Garamond" w:hAnsi="Garamond" w:cs="Arial"/>
          <w:bCs/>
          <w:sz w:val="24"/>
          <w:szCs w:val="24"/>
        </w:rPr>
        <w:t>,</w:t>
      </w:r>
      <w:r w:rsidR="00D01B8C" w:rsidRPr="003A1174">
        <w:rPr>
          <w:rFonts w:ascii="Garamond" w:hAnsi="Garamond" w:cs="Arial"/>
          <w:bCs/>
          <w:sz w:val="24"/>
          <w:szCs w:val="24"/>
        </w:rPr>
        <w:t xml:space="preserve"> </w:t>
      </w:r>
      <w:r w:rsidRPr="003A1174">
        <w:rPr>
          <w:rFonts w:ascii="Garamond" w:hAnsi="Garamond" w:cs="Arial"/>
          <w:bCs/>
          <w:sz w:val="24"/>
          <w:szCs w:val="24"/>
        </w:rPr>
        <w:t>no entanto, d</w:t>
      </w:r>
      <w:r w:rsidR="00D01B8C" w:rsidRPr="003A1174">
        <w:rPr>
          <w:rFonts w:ascii="Garamond" w:hAnsi="Garamond" w:cs="Arial"/>
          <w:bCs/>
          <w:sz w:val="24"/>
          <w:szCs w:val="24"/>
        </w:rPr>
        <w:t xml:space="preserve">iversas </w:t>
      </w:r>
      <w:r w:rsidRPr="00CE2763">
        <w:rPr>
          <w:rFonts w:ascii="Garamond" w:hAnsi="Garamond" w:cs="Arial"/>
          <w:bCs/>
          <w:sz w:val="24"/>
          <w:szCs w:val="24"/>
        </w:rPr>
        <w:t>observações</w:t>
      </w:r>
      <w:r w:rsidR="00D01B8C" w:rsidRPr="00CE2763">
        <w:rPr>
          <w:rFonts w:ascii="Garamond" w:hAnsi="Garamond" w:cs="Arial"/>
          <w:bCs/>
          <w:sz w:val="24"/>
          <w:szCs w:val="24"/>
        </w:rPr>
        <w:t xml:space="preserve"> </w:t>
      </w:r>
      <w:r w:rsidRPr="00CE2763">
        <w:rPr>
          <w:rFonts w:ascii="Garamond" w:hAnsi="Garamond" w:cs="Arial"/>
          <w:bCs/>
          <w:sz w:val="24"/>
          <w:szCs w:val="24"/>
        </w:rPr>
        <w:t xml:space="preserve">a </w:t>
      </w:r>
      <w:r w:rsidR="001F2F8B" w:rsidRPr="00CE2763">
        <w:rPr>
          <w:rFonts w:ascii="Garamond" w:hAnsi="Garamond" w:cs="Arial"/>
          <w:bCs/>
          <w:sz w:val="24"/>
          <w:szCs w:val="24"/>
        </w:rPr>
        <w:t>respeito</w:t>
      </w:r>
      <w:r w:rsidR="00D01B8C" w:rsidRPr="00CE2763">
        <w:rPr>
          <w:rFonts w:ascii="Garamond" w:hAnsi="Garamond" w:cs="Arial"/>
          <w:bCs/>
          <w:sz w:val="24"/>
          <w:szCs w:val="24"/>
        </w:rPr>
        <w:t xml:space="preserve"> </w:t>
      </w:r>
      <w:r w:rsidRPr="00CE2763">
        <w:rPr>
          <w:rFonts w:ascii="Garamond" w:hAnsi="Garamond" w:cs="Arial"/>
          <w:bCs/>
          <w:sz w:val="24"/>
          <w:szCs w:val="24"/>
        </w:rPr>
        <w:t>d</w:t>
      </w:r>
      <w:r w:rsidR="00D01B8C" w:rsidRPr="00CE2763">
        <w:rPr>
          <w:rFonts w:ascii="Garamond" w:hAnsi="Garamond" w:cs="Arial"/>
          <w:bCs/>
          <w:sz w:val="24"/>
          <w:szCs w:val="24"/>
        </w:rPr>
        <w:t xml:space="preserve">este </w:t>
      </w:r>
      <w:r w:rsidR="00462B11" w:rsidRPr="00CE2763">
        <w:rPr>
          <w:rFonts w:ascii="Garamond" w:hAnsi="Garamond" w:cs="Arial"/>
          <w:bCs/>
          <w:sz w:val="24"/>
          <w:szCs w:val="24"/>
        </w:rPr>
        <w:t>Plano</w:t>
      </w:r>
      <w:r w:rsidR="00D01B8C" w:rsidRPr="00CE2763">
        <w:rPr>
          <w:rFonts w:ascii="Garamond" w:hAnsi="Garamond" w:cs="Arial"/>
          <w:bCs/>
          <w:sz w:val="24"/>
          <w:szCs w:val="24"/>
        </w:rPr>
        <w:t>. Concretamente, e</w:t>
      </w:r>
      <w:r w:rsidRPr="00CE2763">
        <w:rPr>
          <w:rFonts w:ascii="Garamond" w:hAnsi="Garamond" w:cs="Arial"/>
          <w:bCs/>
          <w:sz w:val="24"/>
          <w:szCs w:val="24"/>
        </w:rPr>
        <w:t>m</w:t>
      </w:r>
      <w:r w:rsidR="00D01B8C" w:rsidRPr="00CE2763">
        <w:rPr>
          <w:rFonts w:ascii="Garamond" w:hAnsi="Garamond" w:cs="Arial"/>
          <w:bCs/>
          <w:sz w:val="24"/>
          <w:szCs w:val="24"/>
        </w:rPr>
        <w:t xml:space="preserve"> </w:t>
      </w:r>
      <w:r w:rsidR="00EF645F" w:rsidRPr="00CE2763">
        <w:rPr>
          <w:rFonts w:ascii="Garamond" w:hAnsi="Garamond" w:cs="Arial"/>
          <w:bCs/>
          <w:sz w:val="24"/>
          <w:szCs w:val="24"/>
        </w:rPr>
        <w:t>matéria</w:t>
      </w:r>
      <w:r w:rsidR="00D01B8C" w:rsidRPr="00CE2763">
        <w:rPr>
          <w:rFonts w:ascii="Garamond" w:hAnsi="Garamond" w:cs="Arial"/>
          <w:bCs/>
          <w:sz w:val="24"/>
          <w:szCs w:val="24"/>
        </w:rPr>
        <w:t xml:space="preserve"> de </w:t>
      </w:r>
      <w:r w:rsidR="00886D6A" w:rsidRPr="00CE2763">
        <w:rPr>
          <w:rFonts w:ascii="Garamond" w:hAnsi="Garamond" w:cs="Arial"/>
          <w:bCs/>
          <w:sz w:val="24"/>
          <w:szCs w:val="24"/>
        </w:rPr>
        <w:t>direito</w:t>
      </w:r>
      <w:r w:rsidR="00D01B8C" w:rsidRPr="00CE2763">
        <w:rPr>
          <w:rFonts w:ascii="Garamond" w:hAnsi="Garamond" w:cs="Arial"/>
          <w:bCs/>
          <w:sz w:val="24"/>
          <w:szCs w:val="24"/>
        </w:rPr>
        <w:t xml:space="preserve">s da </w:t>
      </w:r>
      <w:r w:rsidR="00AF192F" w:rsidRPr="00CE2763">
        <w:rPr>
          <w:rFonts w:ascii="Garamond" w:hAnsi="Garamond" w:cs="Arial"/>
          <w:bCs/>
          <w:sz w:val="24"/>
          <w:szCs w:val="24"/>
        </w:rPr>
        <w:t>mulher</w:t>
      </w:r>
      <w:r w:rsidR="003D2CA7" w:rsidRPr="00CE2763">
        <w:rPr>
          <w:rFonts w:ascii="Garamond" w:hAnsi="Garamond" w:cs="Arial"/>
          <w:bCs/>
          <w:sz w:val="24"/>
          <w:szCs w:val="24"/>
        </w:rPr>
        <w:t>,</w:t>
      </w:r>
      <w:r w:rsidR="00D01B8C" w:rsidRPr="00CE2763">
        <w:rPr>
          <w:rFonts w:ascii="Garamond" w:hAnsi="Garamond" w:cs="Arial"/>
          <w:bCs/>
          <w:sz w:val="24"/>
          <w:szCs w:val="24"/>
        </w:rPr>
        <w:t xml:space="preserve"> </w:t>
      </w:r>
      <w:r w:rsidR="00A639E9" w:rsidRPr="00CE2763">
        <w:rPr>
          <w:rFonts w:ascii="Garamond" w:hAnsi="Garamond" w:cs="Arial"/>
          <w:bCs/>
          <w:sz w:val="24"/>
          <w:szCs w:val="24"/>
        </w:rPr>
        <w:t xml:space="preserve">causam-nos alguma </w:t>
      </w:r>
      <w:r w:rsidR="00D01B8C" w:rsidRPr="00CE2763">
        <w:rPr>
          <w:rFonts w:ascii="Garamond" w:hAnsi="Garamond" w:cs="Arial"/>
          <w:bCs/>
          <w:sz w:val="24"/>
          <w:szCs w:val="24"/>
        </w:rPr>
        <w:t>preocupa</w:t>
      </w:r>
      <w:r w:rsidR="00A639E9" w:rsidRPr="00CE2763">
        <w:rPr>
          <w:rFonts w:ascii="Garamond" w:hAnsi="Garamond" w:cs="Arial"/>
          <w:bCs/>
          <w:sz w:val="24"/>
          <w:szCs w:val="24"/>
        </w:rPr>
        <w:t>ção determinados</w:t>
      </w:r>
      <w:r w:rsidR="00D01B8C" w:rsidRPr="00CE2763">
        <w:rPr>
          <w:rFonts w:ascii="Garamond" w:hAnsi="Garamond" w:cs="Arial"/>
          <w:bCs/>
          <w:sz w:val="24"/>
          <w:szCs w:val="24"/>
        </w:rPr>
        <w:t xml:space="preserve"> </w:t>
      </w:r>
      <w:r w:rsidR="005D38DC" w:rsidRPr="00CE2763">
        <w:rPr>
          <w:rFonts w:ascii="Garamond" w:hAnsi="Garamond" w:cs="Arial"/>
          <w:bCs/>
          <w:sz w:val="24"/>
          <w:szCs w:val="24"/>
        </w:rPr>
        <w:t>aspeto</w:t>
      </w:r>
      <w:r w:rsidRPr="00CE2763">
        <w:rPr>
          <w:rFonts w:ascii="Garamond" w:hAnsi="Garamond" w:cs="Arial"/>
          <w:bCs/>
          <w:sz w:val="24"/>
          <w:szCs w:val="24"/>
        </w:rPr>
        <w:t>s</w:t>
      </w:r>
      <w:r w:rsidR="00A639E9" w:rsidRPr="00CE2763">
        <w:rPr>
          <w:rFonts w:ascii="Garamond" w:hAnsi="Garamond" w:cs="Arial"/>
          <w:bCs/>
          <w:sz w:val="24"/>
          <w:szCs w:val="24"/>
        </w:rPr>
        <w:t xml:space="preserve">, tais como, </w:t>
      </w:r>
      <w:r w:rsidR="00D01B8C" w:rsidRPr="00CE2763">
        <w:rPr>
          <w:rFonts w:ascii="Garamond" w:hAnsi="Garamond" w:cs="Arial"/>
          <w:bCs/>
          <w:sz w:val="24"/>
          <w:szCs w:val="24"/>
        </w:rPr>
        <w:t xml:space="preserve">a falta de </w:t>
      </w:r>
      <w:r w:rsidR="00E32404" w:rsidRPr="00CE2763">
        <w:rPr>
          <w:rFonts w:ascii="Garamond" w:hAnsi="Garamond" w:cs="Arial"/>
          <w:bCs/>
          <w:sz w:val="24"/>
          <w:szCs w:val="24"/>
        </w:rPr>
        <w:t xml:space="preserve">utilização </w:t>
      </w:r>
      <w:r w:rsidR="00D01B8C" w:rsidRPr="00CE2763">
        <w:rPr>
          <w:rFonts w:ascii="Garamond" w:hAnsi="Garamond" w:cs="Arial"/>
          <w:bCs/>
          <w:sz w:val="24"/>
          <w:szCs w:val="24"/>
        </w:rPr>
        <w:t xml:space="preserve">de </w:t>
      </w:r>
      <w:r w:rsidR="00D01B8C" w:rsidRPr="00CE2763">
        <w:rPr>
          <w:rFonts w:ascii="Garamond" w:hAnsi="Garamond" w:cs="Arial"/>
          <w:sz w:val="24"/>
          <w:szCs w:val="24"/>
        </w:rPr>
        <w:t>l</w:t>
      </w:r>
      <w:r w:rsidRPr="00CE2763">
        <w:rPr>
          <w:rFonts w:ascii="Garamond" w:hAnsi="Garamond" w:cs="Arial"/>
          <w:sz w:val="24"/>
          <w:szCs w:val="24"/>
        </w:rPr>
        <w:t xml:space="preserve">inguagem </w:t>
      </w:r>
      <w:r w:rsidR="00D01B8C" w:rsidRPr="00CE2763">
        <w:rPr>
          <w:rFonts w:ascii="Garamond" w:hAnsi="Garamond" w:cs="Arial"/>
          <w:sz w:val="24"/>
          <w:szCs w:val="24"/>
        </w:rPr>
        <w:t>inclusiv</w:t>
      </w:r>
      <w:r w:rsidRPr="00CE2763">
        <w:rPr>
          <w:rFonts w:ascii="Garamond" w:hAnsi="Garamond" w:cs="Arial"/>
          <w:sz w:val="24"/>
          <w:szCs w:val="24"/>
        </w:rPr>
        <w:t>a</w:t>
      </w:r>
      <w:r w:rsidR="00CE2763" w:rsidRPr="00CE2763">
        <w:rPr>
          <w:rFonts w:ascii="Garamond" w:hAnsi="Garamond" w:cs="Arial"/>
          <w:sz w:val="24"/>
          <w:szCs w:val="24"/>
        </w:rPr>
        <w:t>,</w:t>
      </w:r>
      <w:r w:rsidRPr="00CE2763">
        <w:rPr>
          <w:rFonts w:ascii="Garamond" w:hAnsi="Garamond" w:cs="Arial"/>
          <w:sz w:val="24"/>
          <w:szCs w:val="24"/>
        </w:rPr>
        <w:t xml:space="preserve"> em </w:t>
      </w:r>
      <w:r w:rsidR="00D01B8C" w:rsidRPr="00CE2763">
        <w:rPr>
          <w:rFonts w:ascii="Garamond" w:hAnsi="Garamond" w:cs="Arial"/>
          <w:sz w:val="24"/>
          <w:szCs w:val="24"/>
        </w:rPr>
        <w:t>todo</w:t>
      </w:r>
      <w:r w:rsidRPr="00CE2763">
        <w:rPr>
          <w:rFonts w:ascii="Garamond" w:hAnsi="Garamond" w:cs="Arial"/>
          <w:sz w:val="24"/>
          <w:szCs w:val="24"/>
        </w:rPr>
        <w:t xml:space="preserve"> o </w:t>
      </w:r>
      <w:r w:rsidR="00D01B8C" w:rsidRPr="00CE2763">
        <w:rPr>
          <w:rFonts w:ascii="Garamond" w:hAnsi="Garamond" w:cs="Arial"/>
          <w:sz w:val="24"/>
          <w:szCs w:val="24"/>
        </w:rPr>
        <w:t xml:space="preserve">documento, </w:t>
      </w:r>
      <w:r w:rsidR="00EE7406" w:rsidRPr="00CE2763">
        <w:rPr>
          <w:rFonts w:ascii="Garamond" w:hAnsi="Garamond" w:cs="Arial"/>
          <w:sz w:val="24"/>
          <w:szCs w:val="24"/>
        </w:rPr>
        <w:t>apesar</w:t>
      </w:r>
      <w:r w:rsidR="00D01B8C" w:rsidRPr="00CE2763">
        <w:rPr>
          <w:rFonts w:ascii="Garamond" w:hAnsi="Garamond" w:cs="Arial"/>
          <w:sz w:val="24"/>
          <w:szCs w:val="24"/>
        </w:rPr>
        <w:t xml:space="preserve"> da </w:t>
      </w:r>
      <w:r w:rsidR="00D15AFF" w:rsidRPr="00CE2763">
        <w:rPr>
          <w:rFonts w:ascii="Garamond" w:hAnsi="Garamond" w:cs="Arial"/>
          <w:sz w:val="24"/>
          <w:szCs w:val="24"/>
        </w:rPr>
        <w:t>Lei</w:t>
      </w:r>
      <w:r w:rsidR="00D01B8C" w:rsidRPr="00CE2763">
        <w:rPr>
          <w:rFonts w:ascii="Garamond" w:hAnsi="Garamond" w:cs="Arial"/>
          <w:sz w:val="24"/>
          <w:szCs w:val="24"/>
        </w:rPr>
        <w:t xml:space="preserve"> N</w:t>
      </w:r>
      <w:r w:rsidR="00A639E9" w:rsidRPr="00CE2763">
        <w:rPr>
          <w:rFonts w:ascii="Garamond" w:hAnsi="Garamond" w:cs="Arial"/>
          <w:sz w:val="24"/>
          <w:szCs w:val="24"/>
        </w:rPr>
        <w:t>.</w:t>
      </w:r>
      <w:r w:rsidR="00D01B8C" w:rsidRPr="00CE2763">
        <w:rPr>
          <w:rFonts w:ascii="Garamond" w:hAnsi="Garamond" w:cs="Arial"/>
          <w:sz w:val="24"/>
          <w:szCs w:val="24"/>
        </w:rPr>
        <w:t xml:space="preserve">° 28983 </w:t>
      </w:r>
      <w:r w:rsidR="00CE2763" w:rsidRPr="00CE2763">
        <w:rPr>
          <w:rFonts w:ascii="Garamond" w:hAnsi="Garamond" w:cs="Arial"/>
          <w:sz w:val="24"/>
          <w:szCs w:val="24"/>
        </w:rPr>
        <w:t>-</w:t>
      </w:r>
      <w:r w:rsidRPr="00CE2763">
        <w:rPr>
          <w:rFonts w:ascii="Garamond" w:hAnsi="Garamond" w:cs="Arial"/>
          <w:sz w:val="24"/>
          <w:szCs w:val="24"/>
        </w:rPr>
        <w:t xml:space="preserve"> </w:t>
      </w:r>
      <w:r w:rsidR="00D15AFF" w:rsidRPr="00CE2763">
        <w:rPr>
          <w:rFonts w:ascii="Garamond" w:hAnsi="Garamond" w:cs="Arial"/>
          <w:sz w:val="24"/>
          <w:szCs w:val="24"/>
        </w:rPr>
        <w:t>Lei</w:t>
      </w:r>
      <w:r w:rsidR="00D01B8C" w:rsidRPr="00CE2763">
        <w:rPr>
          <w:rFonts w:ascii="Garamond" w:hAnsi="Garamond" w:cs="Arial"/>
          <w:sz w:val="24"/>
          <w:szCs w:val="24"/>
        </w:rPr>
        <w:t xml:space="preserve"> de </w:t>
      </w:r>
      <w:r w:rsidR="002C7510" w:rsidRPr="00CE2763">
        <w:rPr>
          <w:rFonts w:ascii="Garamond" w:hAnsi="Garamond" w:cs="Arial"/>
          <w:sz w:val="24"/>
          <w:szCs w:val="24"/>
        </w:rPr>
        <w:t>Igualdade</w:t>
      </w:r>
      <w:r w:rsidR="00D01B8C" w:rsidRPr="00CE2763">
        <w:rPr>
          <w:rFonts w:ascii="Garamond" w:hAnsi="Garamond" w:cs="Arial"/>
          <w:sz w:val="24"/>
          <w:szCs w:val="24"/>
        </w:rPr>
        <w:t xml:space="preserve"> de Oportunidades entre </w:t>
      </w:r>
      <w:r w:rsidR="00054EE0" w:rsidRPr="00CE2763">
        <w:rPr>
          <w:rFonts w:ascii="Garamond" w:hAnsi="Garamond" w:cs="Arial"/>
          <w:sz w:val="24"/>
          <w:szCs w:val="24"/>
        </w:rPr>
        <w:t>mulheres</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w:t>
      </w:r>
      <w:r w:rsidR="00524936" w:rsidRPr="00CE2763">
        <w:rPr>
          <w:rFonts w:ascii="Garamond" w:hAnsi="Garamond" w:cs="Arial"/>
          <w:sz w:val="24"/>
          <w:szCs w:val="24"/>
        </w:rPr>
        <w:t>homens</w:t>
      </w:r>
      <w:r w:rsidRPr="00CE2763">
        <w:rPr>
          <w:rFonts w:ascii="Garamond" w:hAnsi="Garamond" w:cs="Arial"/>
          <w:sz w:val="24"/>
          <w:szCs w:val="24"/>
        </w:rPr>
        <w:t xml:space="preserve"> </w:t>
      </w:r>
      <w:r w:rsidR="00CE2763" w:rsidRPr="00CE2763">
        <w:rPr>
          <w:rFonts w:ascii="Garamond" w:hAnsi="Garamond" w:cs="Arial"/>
          <w:sz w:val="24"/>
          <w:szCs w:val="24"/>
        </w:rPr>
        <w:t>-</w:t>
      </w:r>
      <w:r w:rsidR="00D01B8C" w:rsidRPr="00CE2763">
        <w:rPr>
          <w:rFonts w:ascii="Garamond" w:hAnsi="Garamond" w:cs="Arial"/>
          <w:sz w:val="24"/>
          <w:szCs w:val="24"/>
        </w:rPr>
        <w:t xml:space="preserve"> </w:t>
      </w:r>
      <w:r w:rsidR="00152A44" w:rsidRPr="00CE2763">
        <w:rPr>
          <w:rFonts w:ascii="Garamond" w:hAnsi="Garamond" w:cs="Arial"/>
          <w:sz w:val="24"/>
          <w:szCs w:val="24"/>
        </w:rPr>
        <w:t>estabelece</w:t>
      </w:r>
      <w:r w:rsidRPr="00CE2763">
        <w:rPr>
          <w:rFonts w:ascii="Garamond" w:hAnsi="Garamond" w:cs="Arial"/>
          <w:sz w:val="24"/>
          <w:szCs w:val="24"/>
        </w:rPr>
        <w:t>r a</w:t>
      </w:r>
      <w:r w:rsidR="00D01B8C" w:rsidRPr="00CE2763">
        <w:rPr>
          <w:rFonts w:ascii="Garamond" w:hAnsi="Garamond" w:cs="Arial"/>
          <w:sz w:val="24"/>
          <w:szCs w:val="24"/>
        </w:rPr>
        <w:t xml:space="preserve"> su</w:t>
      </w:r>
      <w:r w:rsidRPr="00CE2763">
        <w:rPr>
          <w:rFonts w:ascii="Garamond" w:hAnsi="Garamond" w:cs="Arial"/>
          <w:sz w:val="24"/>
          <w:szCs w:val="24"/>
        </w:rPr>
        <w:t>a</w:t>
      </w:r>
      <w:r w:rsidR="00D01B8C" w:rsidRPr="00CE2763">
        <w:rPr>
          <w:rFonts w:ascii="Garamond" w:hAnsi="Garamond" w:cs="Arial"/>
          <w:sz w:val="24"/>
          <w:szCs w:val="24"/>
        </w:rPr>
        <w:t xml:space="preserve"> </w:t>
      </w:r>
      <w:r w:rsidR="00EB2F44" w:rsidRPr="00CE2763">
        <w:rPr>
          <w:rFonts w:ascii="Garamond" w:hAnsi="Garamond" w:cs="Arial"/>
          <w:sz w:val="24"/>
          <w:szCs w:val="24"/>
        </w:rPr>
        <w:t>obrigatoriedade</w:t>
      </w:r>
      <w:r w:rsidR="00D01B8C" w:rsidRPr="00CE2763">
        <w:rPr>
          <w:rFonts w:ascii="Garamond" w:hAnsi="Garamond" w:cs="Arial"/>
          <w:sz w:val="24"/>
          <w:szCs w:val="24"/>
        </w:rPr>
        <w:t xml:space="preserve"> (</w:t>
      </w:r>
      <w:r w:rsidR="009C45E6" w:rsidRPr="00CE2763">
        <w:rPr>
          <w:rFonts w:ascii="Garamond" w:hAnsi="Garamond" w:cs="Arial"/>
          <w:sz w:val="24"/>
          <w:szCs w:val="24"/>
        </w:rPr>
        <w:t xml:space="preserve">N.º 3 do </w:t>
      </w:r>
      <w:r w:rsidR="003D2CA7" w:rsidRPr="00CE2763">
        <w:rPr>
          <w:rFonts w:ascii="Garamond" w:hAnsi="Garamond" w:cs="Arial"/>
          <w:sz w:val="24"/>
          <w:szCs w:val="24"/>
        </w:rPr>
        <w:t>A</w:t>
      </w:r>
      <w:r w:rsidR="00D01B8C" w:rsidRPr="00CE2763">
        <w:rPr>
          <w:rFonts w:ascii="Garamond" w:hAnsi="Garamond" w:cs="Arial"/>
          <w:sz w:val="24"/>
          <w:szCs w:val="24"/>
        </w:rPr>
        <w:t>rt.4</w:t>
      </w:r>
      <w:r w:rsidR="00FB6BBE" w:rsidRPr="00CE2763">
        <w:rPr>
          <w:rFonts w:ascii="Garamond" w:hAnsi="Garamond" w:cs="Arial"/>
          <w:sz w:val="24"/>
          <w:szCs w:val="24"/>
        </w:rPr>
        <w:t xml:space="preserve">, </w:t>
      </w:r>
      <w:r w:rsidR="00CE2763" w:rsidRPr="00CE2763">
        <w:rPr>
          <w:rFonts w:ascii="Garamond" w:hAnsi="Garamond" w:cs="Arial"/>
          <w:sz w:val="24"/>
          <w:szCs w:val="24"/>
        </w:rPr>
        <w:t>alínea</w:t>
      </w:r>
      <w:r w:rsidR="00D01B8C" w:rsidRPr="00CE2763">
        <w:rPr>
          <w:rFonts w:ascii="Garamond" w:hAnsi="Garamond" w:cs="Arial"/>
          <w:sz w:val="24"/>
          <w:szCs w:val="24"/>
        </w:rPr>
        <w:t xml:space="preserve"> 3). </w:t>
      </w:r>
      <w:r w:rsidRPr="00CE2763">
        <w:rPr>
          <w:rFonts w:ascii="Garamond" w:hAnsi="Garamond" w:cs="Arial"/>
          <w:sz w:val="24"/>
          <w:szCs w:val="24"/>
        </w:rPr>
        <w:t xml:space="preserve">Também o </w:t>
      </w:r>
      <w:r w:rsidR="00462B11" w:rsidRPr="00CE2763">
        <w:rPr>
          <w:rFonts w:ascii="Garamond" w:hAnsi="Garamond" w:cs="Arial"/>
          <w:sz w:val="24"/>
          <w:szCs w:val="24"/>
        </w:rPr>
        <w:t>Plano</w:t>
      </w:r>
      <w:r w:rsidR="00D01B8C" w:rsidRPr="00CE2763">
        <w:rPr>
          <w:rFonts w:ascii="Garamond" w:hAnsi="Garamond" w:cs="Arial"/>
          <w:sz w:val="24"/>
          <w:szCs w:val="24"/>
        </w:rPr>
        <w:t xml:space="preserve"> Nacional de </w:t>
      </w:r>
      <w:r w:rsidR="00886D6A" w:rsidRPr="00CE2763">
        <w:rPr>
          <w:rFonts w:ascii="Garamond" w:hAnsi="Garamond" w:cs="Arial"/>
          <w:sz w:val="24"/>
          <w:szCs w:val="24"/>
        </w:rPr>
        <w:t>Direito</w:t>
      </w:r>
      <w:r w:rsidR="00D01B8C" w:rsidRPr="00CE2763">
        <w:rPr>
          <w:rFonts w:ascii="Garamond" w:hAnsi="Garamond" w:cs="Arial"/>
          <w:sz w:val="24"/>
          <w:szCs w:val="24"/>
        </w:rPr>
        <w:t>s Humanos n</w:t>
      </w:r>
      <w:r w:rsidRPr="00CE2763">
        <w:rPr>
          <w:rFonts w:ascii="Garamond" w:hAnsi="Garamond" w:cs="Arial"/>
          <w:sz w:val="24"/>
          <w:szCs w:val="24"/>
        </w:rPr>
        <w:t>ã</w:t>
      </w:r>
      <w:r w:rsidR="00D01B8C" w:rsidRPr="00CE2763">
        <w:rPr>
          <w:rFonts w:ascii="Garamond" w:hAnsi="Garamond" w:cs="Arial"/>
          <w:sz w:val="24"/>
          <w:szCs w:val="24"/>
        </w:rPr>
        <w:t xml:space="preserve">o </w:t>
      </w:r>
      <w:r w:rsidR="00E32404" w:rsidRPr="00CE2763">
        <w:rPr>
          <w:rFonts w:ascii="Garamond" w:hAnsi="Garamond" w:cs="Arial"/>
          <w:sz w:val="24"/>
          <w:szCs w:val="24"/>
        </w:rPr>
        <w:t xml:space="preserve">contemplou </w:t>
      </w:r>
      <w:r w:rsidR="00D01B8C" w:rsidRPr="00CE2763">
        <w:rPr>
          <w:rFonts w:ascii="Garamond" w:hAnsi="Garamond" w:cs="Arial"/>
          <w:sz w:val="24"/>
          <w:szCs w:val="24"/>
        </w:rPr>
        <w:t xml:space="preserve">a </w:t>
      </w:r>
      <w:r w:rsidR="00D96FD0" w:rsidRPr="00CE2763">
        <w:rPr>
          <w:rFonts w:ascii="Garamond" w:hAnsi="Garamond" w:cs="Arial"/>
          <w:sz w:val="24"/>
          <w:szCs w:val="24"/>
        </w:rPr>
        <w:t>perspetiva</w:t>
      </w:r>
      <w:r w:rsidR="00D01B8C" w:rsidRPr="00CE2763">
        <w:rPr>
          <w:rFonts w:ascii="Garamond" w:hAnsi="Garamond" w:cs="Arial"/>
          <w:sz w:val="24"/>
          <w:szCs w:val="24"/>
        </w:rPr>
        <w:t xml:space="preserve"> de género de </w:t>
      </w:r>
      <w:r w:rsidRPr="00CE2763">
        <w:rPr>
          <w:rFonts w:ascii="Garamond" w:hAnsi="Garamond" w:cs="Arial"/>
          <w:sz w:val="24"/>
          <w:szCs w:val="24"/>
        </w:rPr>
        <w:t xml:space="preserve">forma </w:t>
      </w:r>
      <w:r w:rsidR="00D01B8C" w:rsidRPr="00CE2763">
        <w:rPr>
          <w:rFonts w:ascii="Garamond" w:hAnsi="Garamond" w:cs="Arial"/>
          <w:sz w:val="24"/>
          <w:szCs w:val="24"/>
        </w:rPr>
        <w:t xml:space="preserve">transversal. </w:t>
      </w:r>
      <w:r w:rsidRPr="00CE2763">
        <w:rPr>
          <w:rFonts w:ascii="Garamond" w:hAnsi="Garamond" w:cs="Arial"/>
          <w:sz w:val="24"/>
          <w:szCs w:val="24"/>
        </w:rPr>
        <w:t xml:space="preserve">De resto, o </w:t>
      </w:r>
      <w:r w:rsidR="00D01B8C" w:rsidRPr="00CE2763">
        <w:rPr>
          <w:rFonts w:ascii="Garamond" w:hAnsi="Garamond" w:cs="Arial"/>
          <w:sz w:val="24"/>
          <w:szCs w:val="24"/>
        </w:rPr>
        <w:t>Objetivo estratégico N</w:t>
      </w:r>
      <w:r w:rsidR="009C45E6" w:rsidRPr="00CE2763">
        <w:rPr>
          <w:rFonts w:ascii="Garamond" w:hAnsi="Garamond" w:cs="Arial"/>
          <w:sz w:val="24"/>
          <w:szCs w:val="24"/>
        </w:rPr>
        <w:t>.</w:t>
      </w:r>
      <w:r w:rsidR="00D01B8C" w:rsidRPr="00CE2763">
        <w:rPr>
          <w:rFonts w:ascii="Garamond" w:hAnsi="Garamond" w:cs="Arial"/>
          <w:sz w:val="24"/>
          <w:szCs w:val="24"/>
        </w:rPr>
        <w:t>° 13</w:t>
      </w:r>
      <w:r w:rsidR="009C45E6" w:rsidRPr="00CE2763">
        <w:rPr>
          <w:rFonts w:ascii="Garamond" w:hAnsi="Garamond" w:cs="Arial"/>
          <w:sz w:val="24"/>
          <w:szCs w:val="24"/>
        </w:rPr>
        <w:t>, atrás</w:t>
      </w:r>
      <w:r w:rsidR="003D2CA7" w:rsidRPr="00CE2763">
        <w:rPr>
          <w:rFonts w:ascii="Garamond" w:hAnsi="Garamond" w:cs="Arial"/>
          <w:sz w:val="24"/>
          <w:szCs w:val="24"/>
        </w:rPr>
        <w:t xml:space="preserve"> </w:t>
      </w:r>
      <w:r w:rsidRPr="00CE2763">
        <w:rPr>
          <w:rFonts w:ascii="Garamond" w:hAnsi="Garamond" w:cs="Arial"/>
          <w:sz w:val="24"/>
          <w:szCs w:val="24"/>
        </w:rPr>
        <w:t>mencionado</w:t>
      </w:r>
      <w:r w:rsidR="00D01B8C" w:rsidRPr="00CE2763">
        <w:rPr>
          <w:rFonts w:ascii="Garamond" w:hAnsi="Garamond" w:cs="Arial"/>
          <w:sz w:val="24"/>
          <w:szCs w:val="24"/>
        </w:rPr>
        <w:t>, tam</w:t>
      </w:r>
      <w:r w:rsidRPr="00CE2763">
        <w:rPr>
          <w:rFonts w:ascii="Garamond" w:hAnsi="Garamond" w:cs="Arial"/>
          <w:sz w:val="24"/>
          <w:szCs w:val="24"/>
        </w:rPr>
        <w:t xml:space="preserve">bém não </w:t>
      </w:r>
      <w:r w:rsidR="00D01B8C" w:rsidRPr="00CE2763">
        <w:rPr>
          <w:rFonts w:ascii="Garamond" w:hAnsi="Garamond" w:cs="Arial"/>
          <w:sz w:val="24"/>
          <w:szCs w:val="24"/>
        </w:rPr>
        <w:t>consider</w:t>
      </w:r>
      <w:r w:rsidRPr="00CE2763">
        <w:rPr>
          <w:rFonts w:ascii="Garamond" w:hAnsi="Garamond" w:cs="Arial"/>
          <w:sz w:val="24"/>
          <w:szCs w:val="24"/>
        </w:rPr>
        <w:t>ou</w:t>
      </w:r>
      <w:r w:rsidR="009C45E6" w:rsidRPr="00CE2763">
        <w:rPr>
          <w:rFonts w:ascii="Garamond" w:hAnsi="Garamond" w:cs="Arial"/>
          <w:sz w:val="24"/>
          <w:szCs w:val="24"/>
        </w:rPr>
        <w:t>,</w:t>
      </w:r>
      <w:r w:rsidRPr="00CE2763">
        <w:rPr>
          <w:rFonts w:ascii="Garamond" w:hAnsi="Garamond" w:cs="Arial"/>
          <w:sz w:val="24"/>
          <w:szCs w:val="24"/>
        </w:rPr>
        <w:t xml:space="preserve"> </w:t>
      </w:r>
      <w:r w:rsidR="00D01B8C" w:rsidRPr="00CE2763">
        <w:rPr>
          <w:rFonts w:ascii="Garamond" w:hAnsi="Garamond" w:cs="Arial"/>
          <w:sz w:val="24"/>
          <w:szCs w:val="24"/>
        </w:rPr>
        <w:t xml:space="preserve">de </w:t>
      </w:r>
      <w:r w:rsidRPr="00CE2763">
        <w:rPr>
          <w:rFonts w:ascii="Garamond" w:hAnsi="Garamond" w:cs="Arial"/>
          <w:sz w:val="24"/>
          <w:szCs w:val="24"/>
        </w:rPr>
        <w:t xml:space="preserve">forma </w:t>
      </w:r>
      <w:r w:rsidR="00D01B8C" w:rsidRPr="00CE2763">
        <w:rPr>
          <w:rFonts w:ascii="Garamond" w:hAnsi="Garamond" w:cs="Arial"/>
          <w:sz w:val="24"/>
          <w:szCs w:val="24"/>
        </w:rPr>
        <w:t>específica</w:t>
      </w:r>
      <w:r w:rsidR="009C45E6" w:rsidRPr="00CE2763">
        <w:rPr>
          <w:rFonts w:ascii="Garamond" w:hAnsi="Garamond" w:cs="Arial"/>
          <w:sz w:val="24"/>
          <w:szCs w:val="24"/>
        </w:rPr>
        <w:t>,</w:t>
      </w:r>
      <w:r w:rsidR="00D01B8C" w:rsidRPr="00CE2763">
        <w:rPr>
          <w:rFonts w:ascii="Garamond" w:hAnsi="Garamond" w:cs="Arial"/>
          <w:sz w:val="24"/>
          <w:szCs w:val="24"/>
        </w:rPr>
        <w:t xml:space="preserve"> </w:t>
      </w:r>
      <w:r w:rsidR="009C45E6" w:rsidRPr="00CE2763">
        <w:rPr>
          <w:rFonts w:ascii="Garamond" w:hAnsi="Garamond" w:cs="Arial"/>
          <w:sz w:val="24"/>
          <w:szCs w:val="24"/>
        </w:rPr>
        <w:t xml:space="preserve">as </w:t>
      </w:r>
      <w:r w:rsidR="002C7510" w:rsidRPr="00CE2763">
        <w:rPr>
          <w:rFonts w:ascii="Garamond" w:hAnsi="Garamond" w:cs="Arial"/>
          <w:sz w:val="24"/>
          <w:szCs w:val="24"/>
        </w:rPr>
        <w:t>ações</w:t>
      </w:r>
      <w:r w:rsidR="00D01B8C" w:rsidRPr="00CE2763">
        <w:rPr>
          <w:rFonts w:ascii="Garamond" w:hAnsi="Garamond" w:cs="Arial"/>
          <w:sz w:val="24"/>
          <w:szCs w:val="24"/>
        </w:rPr>
        <w:t xml:space="preserve"> destinadas a </w:t>
      </w:r>
      <w:r w:rsidR="00AF192F" w:rsidRPr="00CE2763">
        <w:rPr>
          <w:rFonts w:ascii="Garamond" w:hAnsi="Garamond" w:cs="Arial"/>
          <w:sz w:val="24"/>
          <w:szCs w:val="24"/>
        </w:rPr>
        <w:t>garantir</w:t>
      </w:r>
      <w:r w:rsidRPr="00CE2763">
        <w:rPr>
          <w:rFonts w:ascii="Garamond" w:hAnsi="Garamond" w:cs="Arial"/>
          <w:sz w:val="24"/>
          <w:szCs w:val="24"/>
        </w:rPr>
        <w:t xml:space="preserve"> </w:t>
      </w:r>
      <w:r w:rsidR="00D01B8C" w:rsidRPr="00CE2763">
        <w:rPr>
          <w:rFonts w:ascii="Garamond" w:hAnsi="Garamond" w:cs="Arial"/>
          <w:sz w:val="24"/>
          <w:szCs w:val="24"/>
        </w:rPr>
        <w:t xml:space="preserve">a </w:t>
      </w:r>
      <w:r w:rsidR="00454353" w:rsidRPr="00CE2763">
        <w:rPr>
          <w:rFonts w:ascii="Garamond" w:hAnsi="Garamond" w:cs="Arial"/>
          <w:sz w:val="24"/>
          <w:szCs w:val="24"/>
        </w:rPr>
        <w:t>eficácia</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w:t>
      </w:r>
      <w:r w:rsidRPr="00CE2763">
        <w:rPr>
          <w:rFonts w:ascii="Garamond" w:hAnsi="Garamond" w:cs="Arial"/>
          <w:sz w:val="24"/>
          <w:szCs w:val="24"/>
        </w:rPr>
        <w:t>efetividade</w:t>
      </w:r>
      <w:r w:rsidR="00D01B8C" w:rsidRPr="00CE2763">
        <w:rPr>
          <w:rFonts w:ascii="Garamond" w:hAnsi="Garamond" w:cs="Arial"/>
          <w:sz w:val="24"/>
          <w:szCs w:val="24"/>
        </w:rPr>
        <w:t xml:space="preserve"> </w:t>
      </w:r>
      <w:r w:rsidR="00497503" w:rsidRPr="00CE2763">
        <w:rPr>
          <w:rFonts w:ascii="Garamond" w:hAnsi="Garamond" w:cs="Arial"/>
          <w:sz w:val="24"/>
          <w:szCs w:val="24"/>
        </w:rPr>
        <w:t>das</w:t>
      </w:r>
      <w:r w:rsidR="00D01B8C" w:rsidRPr="00CE2763">
        <w:rPr>
          <w:rFonts w:ascii="Garamond" w:hAnsi="Garamond" w:cs="Arial"/>
          <w:sz w:val="24"/>
          <w:szCs w:val="24"/>
        </w:rPr>
        <w:t xml:space="preserve"> medidas de </w:t>
      </w:r>
      <w:r w:rsidR="00886D6A" w:rsidRPr="00CE2763">
        <w:rPr>
          <w:rFonts w:ascii="Garamond" w:hAnsi="Garamond" w:cs="Arial"/>
          <w:sz w:val="24"/>
          <w:szCs w:val="24"/>
        </w:rPr>
        <w:t>proteção</w:t>
      </w:r>
      <w:r w:rsidR="00D01B8C" w:rsidRPr="00CE2763">
        <w:rPr>
          <w:rFonts w:ascii="Garamond" w:hAnsi="Garamond" w:cs="Arial"/>
          <w:sz w:val="24"/>
          <w:szCs w:val="24"/>
        </w:rPr>
        <w:t xml:space="preserve"> a </w:t>
      </w:r>
      <w:r w:rsidR="00054EE0" w:rsidRPr="00CE2763">
        <w:rPr>
          <w:rFonts w:ascii="Garamond" w:hAnsi="Garamond" w:cs="Arial"/>
          <w:sz w:val="24"/>
          <w:szCs w:val="24"/>
        </w:rPr>
        <w:t>mulheres</w:t>
      </w:r>
      <w:r w:rsidR="00D01B8C" w:rsidRPr="00CE2763">
        <w:rPr>
          <w:rFonts w:ascii="Garamond" w:hAnsi="Garamond" w:cs="Arial"/>
          <w:sz w:val="24"/>
          <w:szCs w:val="24"/>
        </w:rPr>
        <w:t xml:space="preserve"> </w:t>
      </w:r>
      <w:r w:rsidR="003F012B" w:rsidRPr="00CE2763">
        <w:rPr>
          <w:rFonts w:ascii="Garamond" w:hAnsi="Garamond" w:cs="Arial"/>
          <w:sz w:val="24"/>
          <w:szCs w:val="24"/>
        </w:rPr>
        <w:t>vítima</w:t>
      </w:r>
      <w:r w:rsidR="00D01B8C" w:rsidRPr="00CE2763">
        <w:rPr>
          <w:rFonts w:ascii="Garamond" w:hAnsi="Garamond" w:cs="Arial"/>
          <w:sz w:val="24"/>
          <w:szCs w:val="24"/>
        </w:rPr>
        <w:t xml:space="preserve">s de </w:t>
      </w:r>
      <w:r w:rsidR="000350B1" w:rsidRPr="00CE2763">
        <w:rPr>
          <w:rFonts w:ascii="Garamond" w:hAnsi="Garamond" w:cs="Arial"/>
          <w:sz w:val="24"/>
          <w:szCs w:val="24"/>
        </w:rPr>
        <w:t>violência</w:t>
      </w:r>
      <w:r w:rsidR="00D01B8C" w:rsidRPr="00CE2763">
        <w:rPr>
          <w:rFonts w:ascii="Garamond" w:hAnsi="Garamond" w:cs="Arial"/>
          <w:sz w:val="24"/>
          <w:szCs w:val="24"/>
        </w:rPr>
        <w:t xml:space="preserve"> de género. </w:t>
      </w:r>
      <w:r w:rsidRPr="00CE2763">
        <w:rPr>
          <w:rFonts w:ascii="Garamond" w:hAnsi="Garamond" w:cs="Arial"/>
          <w:sz w:val="24"/>
          <w:szCs w:val="24"/>
        </w:rPr>
        <w:t>I</w:t>
      </w:r>
      <w:r w:rsidR="00D01B8C" w:rsidRPr="00CE2763">
        <w:rPr>
          <w:rFonts w:ascii="Garamond" w:hAnsi="Garamond" w:cs="Arial"/>
          <w:sz w:val="24"/>
          <w:szCs w:val="24"/>
        </w:rPr>
        <w:t>s</w:t>
      </w:r>
      <w:r w:rsidR="003D2CA7" w:rsidRPr="00CE2763">
        <w:rPr>
          <w:rFonts w:ascii="Garamond" w:hAnsi="Garamond" w:cs="Arial"/>
          <w:sz w:val="24"/>
          <w:szCs w:val="24"/>
        </w:rPr>
        <w:t>to</w:t>
      </w:r>
      <w:r w:rsidR="00D01B8C" w:rsidRPr="00CE2763">
        <w:rPr>
          <w:rFonts w:ascii="Garamond" w:hAnsi="Garamond" w:cs="Arial"/>
          <w:sz w:val="24"/>
          <w:szCs w:val="24"/>
        </w:rPr>
        <w:t xml:space="preserve"> </w:t>
      </w:r>
      <w:r w:rsidRPr="00CE2763">
        <w:rPr>
          <w:rFonts w:ascii="Garamond" w:hAnsi="Garamond" w:cs="Arial"/>
          <w:sz w:val="24"/>
          <w:szCs w:val="24"/>
        </w:rPr>
        <w:t xml:space="preserve">é </w:t>
      </w:r>
      <w:r w:rsidR="00D01B8C" w:rsidRPr="00CE2763">
        <w:rPr>
          <w:rFonts w:ascii="Garamond" w:hAnsi="Garamond" w:cs="Arial"/>
          <w:sz w:val="24"/>
          <w:szCs w:val="24"/>
        </w:rPr>
        <w:t xml:space="preserve">indicador </w:t>
      </w:r>
      <w:r w:rsidR="003D2CA7" w:rsidRPr="00CE2763">
        <w:rPr>
          <w:rFonts w:ascii="Garamond" w:hAnsi="Garamond" w:cs="Arial"/>
          <w:sz w:val="24"/>
          <w:szCs w:val="24"/>
        </w:rPr>
        <w:t>d</w:t>
      </w:r>
      <w:r w:rsidR="00D01B8C" w:rsidRPr="00CE2763">
        <w:rPr>
          <w:rFonts w:ascii="Garamond" w:hAnsi="Garamond" w:cs="Arial"/>
          <w:sz w:val="24"/>
          <w:szCs w:val="24"/>
        </w:rPr>
        <w:t xml:space="preserve">e que </w:t>
      </w:r>
      <w:r w:rsidRPr="00CE2763">
        <w:rPr>
          <w:rFonts w:ascii="Garamond" w:hAnsi="Garamond" w:cs="Arial"/>
          <w:sz w:val="24"/>
          <w:szCs w:val="24"/>
        </w:rPr>
        <w:t xml:space="preserve">o </w:t>
      </w:r>
      <w:r w:rsidR="00462B11" w:rsidRPr="00CE2763">
        <w:rPr>
          <w:rFonts w:ascii="Garamond" w:hAnsi="Garamond" w:cs="Arial"/>
          <w:sz w:val="24"/>
          <w:szCs w:val="24"/>
        </w:rPr>
        <w:t>Plano</w:t>
      </w:r>
      <w:r w:rsidR="00D01B8C" w:rsidRPr="00CE2763">
        <w:rPr>
          <w:rFonts w:ascii="Garamond" w:hAnsi="Garamond" w:cs="Arial"/>
          <w:sz w:val="24"/>
          <w:szCs w:val="24"/>
        </w:rPr>
        <w:t xml:space="preserve"> n</w:t>
      </w:r>
      <w:r w:rsidRPr="00CE2763">
        <w:rPr>
          <w:rFonts w:ascii="Garamond" w:hAnsi="Garamond" w:cs="Arial"/>
          <w:sz w:val="24"/>
          <w:szCs w:val="24"/>
        </w:rPr>
        <w:t>ã</w:t>
      </w:r>
      <w:r w:rsidR="00D01B8C" w:rsidRPr="00CE2763">
        <w:rPr>
          <w:rFonts w:ascii="Garamond" w:hAnsi="Garamond" w:cs="Arial"/>
          <w:sz w:val="24"/>
          <w:szCs w:val="24"/>
        </w:rPr>
        <w:t xml:space="preserve">o </w:t>
      </w:r>
      <w:r w:rsidRPr="00CE2763">
        <w:rPr>
          <w:rFonts w:ascii="Garamond" w:hAnsi="Garamond" w:cs="Arial"/>
          <w:sz w:val="24"/>
          <w:szCs w:val="24"/>
        </w:rPr>
        <w:t xml:space="preserve">reconhece </w:t>
      </w:r>
      <w:r w:rsidR="00D01B8C" w:rsidRPr="00CE2763">
        <w:rPr>
          <w:rFonts w:ascii="Garamond" w:hAnsi="Garamond" w:cs="Arial"/>
          <w:sz w:val="24"/>
          <w:szCs w:val="24"/>
        </w:rPr>
        <w:t xml:space="preserve">a </w:t>
      </w:r>
      <w:r w:rsidR="006506C6" w:rsidRPr="00CE2763">
        <w:rPr>
          <w:rFonts w:ascii="Garamond" w:hAnsi="Garamond" w:cs="Arial"/>
          <w:sz w:val="24"/>
          <w:szCs w:val="24"/>
        </w:rPr>
        <w:t>necessidade</w:t>
      </w:r>
      <w:r w:rsidR="00D01B8C" w:rsidRPr="00CE2763">
        <w:rPr>
          <w:rFonts w:ascii="Garamond" w:hAnsi="Garamond" w:cs="Arial"/>
          <w:sz w:val="24"/>
          <w:szCs w:val="24"/>
        </w:rPr>
        <w:t xml:space="preserve"> de </w:t>
      </w:r>
      <w:r w:rsidRPr="00CE2763">
        <w:rPr>
          <w:rFonts w:ascii="Garamond" w:hAnsi="Garamond" w:cs="Arial"/>
          <w:sz w:val="24"/>
          <w:szCs w:val="24"/>
        </w:rPr>
        <w:t>criar mai</w:t>
      </w:r>
      <w:r w:rsidR="00D01B8C" w:rsidRPr="00CE2763">
        <w:rPr>
          <w:rFonts w:ascii="Garamond" w:hAnsi="Garamond" w:cs="Arial"/>
          <w:sz w:val="24"/>
          <w:szCs w:val="24"/>
        </w:rPr>
        <w:t xml:space="preserve">s casas </w:t>
      </w:r>
      <w:r w:rsidR="00B936A7" w:rsidRPr="00CE2763">
        <w:rPr>
          <w:rFonts w:ascii="Garamond" w:hAnsi="Garamond" w:cs="Arial"/>
          <w:sz w:val="24"/>
          <w:szCs w:val="24"/>
        </w:rPr>
        <w:t>abrigo</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w:t>
      </w:r>
      <w:r w:rsidR="002D1021" w:rsidRPr="00CE2763">
        <w:rPr>
          <w:rFonts w:ascii="Garamond" w:hAnsi="Garamond" w:cs="Arial"/>
          <w:sz w:val="24"/>
          <w:szCs w:val="24"/>
        </w:rPr>
        <w:t>assegurar</w:t>
      </w:r>
      <w:r w:rsidRPr="00CE2763">
        <w:rPr>
          <w:rFonts w:ascii="Garamond" w:hAnsi="Garamond" w:cs="Arial"/>
          <w:sz w:val="24"/>
          <w:szCs w:val="24"/>
        </w:rPr>
        <w:t xml:space="preserve"> </w:t>
      </w:r>
      <w:r w:rsidR="00D01B8C" w:rsidRPr="00CE2763">
        <w:rPr>
          <w:rFonts w:ascii="Garamond" w:hAnsi="Garamond" w:cs="Arial"/>
          <w:sz w:val="24"/>
          <w:szCs w:val="24"/>
        </w:rPr>
        <w:t xml:space="preserve">a </w:t>
      </w:r>
      <w:r w:rsidR="00454353" w:rsidRPr="00CE2763">
        <w:rPr>
          <w:rFonts w:ascii="Garamond" w:hAnsi="Garamond" w:cs="Arial"/>
          <w:sz w:val="24"/>
          <w:szCs w:val="24"/>
        </w:rPr>
        <w:t>eficácia</w:t>
      </w:r>
      <w:r w:rsidR="00D01B8C" w:rsidRPr="00CE2763">
        <w:rPr>
          <w:rFonts w:ascii="Garamond" w:hAnsi="Garamond" w:cs="Arial"/>
          <w:sz w:val="24"/>
          <w:szCs w:val="24"/>
        </w:rPr>
        <w:t xml:space="preserve"> </w:t>
      </w:r>
      <w:r w:rsidR="00497503" w:rsidRPr="00CE2763">
        <w:rPr>
          <w:rFonts w:ascii="Garamond" w:hAnsi="Garamond" w:cs="Arial"/>
          <w:sz w:val="24"/>
          <w:szCs w:val="24"/>
        </w:rPr>
        <w:t>dos</w:t>
      </w:r>
      <w:r w:rsidR="00D01B8C" w:rsidRPr="00CE2763">
        <w:rPr>
          <w:rFonts w:ascii="Garamond" w:hAnsi="Garamond" w:cs="Arial"/>
          <w:sz w:val="24"/>
          <w:szCs w:val="24"/>
        </w:rPr>
        <w:t xml:space="preserve"> </w:t>
      </w:r>
      <w:r w:rsidR="00B531F2" w:rsidRPr="00CE2763">
        <w:rPr>
          <w:rFonts w:ascii="Garamond" w:hAnsi="Garamond" w:cs="Arial"/>
          <w:sz w:val="24"/>
          <w:szCs w:val="24"/>
        </w:rPr>
        <w:t>serviço</w:t>
      </w:r>
      <w:r w:rsidR="00D01B8C" w:rsidRPr="00CE2763">
        <w:rPr>
          <w:rFonts w:ascii="Garamond" w:hAnsi="Garamond" w:cs="Arial"/>
          <w:sz w:val="24"/>
          <w:szCs w:val="24"/>
        </w:rPr>
        <w:t xml:space="preserve">s </w:t>
      </w:r>
      <w:r w:rsidRPr="00CE2763">
        <w:rPr>
          <w:rFonts w:ascii="Garamond" w:hAnsi="Garamond" w:cs="Arial"/>
          <w:sz w:val="24"/>
          <w:szCs w:val="24"/>
        </w:rPr>
        <w:t xml:space="preserve">proporcionados às </w:t>
      </w:r>
      <w:r w:rsidR="00054EE0" w:rsidRPr="00CE2763">
        <w:rPr>
          <w:rFonts w:ascii="Garamond" w:hAnsi="Garamond" w:cs="Arial"/>
          <w:sz w:val="24"/>
          <w:szCs w:val="24"/>
        </w:rPr>
        <w:t>mulheres</w:t>
      </w:r>
      <w:r w:rsidR="00D01B8C" w:rsidRPr="00CE2763">
        <w:rPr>
          <w:rFonts w:ascii="Garamond" w:hAnsi="Garamond" w:cs="Arial"/>
          <w:sz w:val="24"/>
          <w:szCs w:val="24"/>
        </w:rPr>
        <w:t>.</w:t>
      </w:r>
    </w:p>
    <w:p w:rsidR="00D01B8C" w:rsidRPr="003A1174" w:rsidRDefault="00D01B8C" w:rsidP="008719D4">
      <w:pPr>
        <w:pStyle w:val="Prrafodelista"/>
        <w:spacing w:after="0" w:line="240" w:lineRule="auto"/>
        <w:ind w:left="786"/>
        <w:jc w:val="both"/>
        <w:rPr>
          <w:rFonts w:ascii="Garamond" w:hAnsi="Garamond" w:cs="Arial"/>
          <w:color w:val="auto"/>
          <w:sz w:val="24"/>
          <w:szCs w:val="24"/>
          <w:u w:val="single"/>
          <w:lang w:val="pt-PT"/>
        </w:rPr>
      </w:pPr>
    </w:p>
    <w:p w:rsidR="00D01B8C" w:rsidRPr="003A1174" w:rsidRDefault="003D2CA7" w:rsidP="008719D4">
      <w:pPr>
        <w:spacing w:after="0" w:line="240" w:lineRule="auto"/>
        <w:jc w:val="both"/>
        <w:rPr>
          <w:rFonts w:ascii="Garamond" w:hAnsi="Garamond" w:cs="Arial"/>
          <w:sz w:val="24"/>
          <w:szCs w:val="24"/>
        </w:rPr>
      </w:pPr>
      <w:r w:rsidRPr="003A1174">
        <w:rPr>
          <w:rFonts w:ascii="Garamond" w:hAnsi="Garamond" w:cs="Arial"/>
          <w:sz w:val="24"/>
          <w:szCs w:val="24"/>
        </w:rPr>
        <w:t>F</w:t>
      </w:r>
      <w:r w:rsidR="00D01B8C" w:rsidRPr="003A1174">
        <w:rPr>
          <w:rFonts w:ascii="Garamond" w:hAnsi="Garamond" w:cs="Arial"/>
          <w:sz w:val="24"/>
          <w:szCs w:val="24"/>
        </w:rPr>
        <w:t>inalmente</w:t>
      </w:r>
      <w:r w:rsidRPr="003A1174">
        <w:rPr>
          <w:rFonts w:ascii="Garamond" w:hAnsi="Garamond" w:cs="Arial"/>
          <w:sz w:val="24"/>
          <w:szCs w:val="24"/>
        </w:rPr>
        <w:t>,</w:t>
      </w:r>
      <w:r w:rsidR="00D01B8C" w:rsidRPr="003A1174">
        <w:rPr>
          <w:rFonts w:ascii="Garamond" w:hAnsi="Garamond" w:cs="Arial"/>
          <w:sz w:val="24"/>
          <w:szCs w:val="24"/>
        </w:rPr>
        <w:t xml:space="preserve"> </w:t>
      </w:r>
      <w:r w:rsidR="0091213A" w:rsidRPr="003A1174">
        <w:rPr>
          <w:rFonts w:ascii="Garamond" w:hAnsi="Garamond" w:cs="Arial"/>
          <w:sz w:val="24"/>
          <w:szCs w:val="24"/>
        </w:rPr>
        <w:t xml:space="preserve">é importante </w:t>
      </w:r>
      <w:r w:rsidR="00D01B8C" w:rsidRPr="003A1174">
        <w:rPr>
          <w:rFonts w:ascii="Garamond" w:hAnsi="Garamond" w:cs="Arial"/>
          <w:sz w:val="24"/>
          <w:szCs w:val="24"/>
        </w:rPr>
        <w:t>destacar que</w:t>
      </w:r>
      <w:r w:rsidR="00E34DB3" w:rsidRPr="003A1174">
        <w:rPr>
          <w:rFonts w:ascii="Garamond" w:hAnsi="Garamond" w:cs="Arial"/>
          <w:sz w:val="24"/>
          <w:szCs w:val="24"/>
        </w:rPr>
        <w:t>,</w:t>
      </w:r>
      <w:r w:rsidR="00D01B8C" w:rsidRPr="003A1174">
        <w:rPr>
          <w:rFonts w:ascii="Garamond" w:hAnsi="Garamond" w:cs="Arial"/>
          <w:sz w:val="24"/>
          <w:szCs w:val="24"/>
        </w:rPr>
        <w:t xml:space="preserve"> durante 2014</w:t>
      </w:r>
      <w:r w:rsidR="00E22989" w:rsidRPr="003A1174">
        <w:rPr>
          <w:rFonts w:ascii="Garamond" w:hAnsi="Garamond" w:cs="Arial"/>
          <w:sz w:val="24"/>
          <w:szCs w:val="24"/>
        </w:rPr>
        <w:t>,</w:t>
      </w:r>
      <w:r w:rsidR="0091213A" w:rsidRPr="003A1174">
        <w:rPr>
          <w:rFonts w:ascii="Garamond" w:hAnsi="Garamond" w:cs="Arial"/>
          <w:sz w:val="24"/>
          <w:szCs w:val="24"/>
        </w:rPr>
        <w:t xml:space="preserve"> </w:t>
      </w:r>
      <w:r w:rsidR="00D01B8C" w:rsidRPr="003A1174">
        <w:rPr>
          <w:rFonts w:ascii="Garamond" w:hAnsi="Garamond" w:cs="Arial"/>
          <w:sz w:val="24"/>
          <w:szCs w:val="24"/>
        </w:rPr>
        <w:t xml:space="preserve">a Mesa </w:t>
      </w:r>
      <w:r w:rsidR="00BA3CCE" w:rsidRPr="003A1174">
        <w:rPr>
          <w:rFonts w:ascii="Garamond" w:hAnsi="Garamond" w:cs="Arial"/>
          <w:sz w:val="24"/>
          <w:szCs w:val="24"/>
        </w:rPr>
        <w:t>Intersectorial</w:t>
      </w:r>
      <w:r w:rsidR="00D01B8C" w:rsidRPr="003A1174">
        <w:rPr>
          <w:rFonts w:ascii="Garamond" w:hAnsi="Garamond" w:cs="Arial"/>
          <w:sz w:val="24"/>
          <w:szCs w:val="24"/>
        </w:rPr>
        <w:t xml:space="preserve"> contra </w:t>
      </w:r>
      <w:r w:rsidR="0091213A" w:rsidRPr="003A1174">
        <w:rPr>
          <w:rFonts w:ascii="Garamond" w:hAnsi="Garamond" w:cs="Arial"/>
          <w:sz w:val="24"/>
          <w:szCs w:val="24"/>
        </w:rPr>
        <w:t xml:space="preserve">o </w:t>
      </w:r>
      <w:r w:rsidR="005C051C" w:rsidRPr="003A1174">
        <w:rPr>
          <w:rFonts w:ascii="Garamond" w:hAnsi="Garamond" w:cs="Arial"/>
          <w:sz w:val="24"/>
          <w:szCs w:val="24"/>
        </w:rPr>
        <w:t>Femicídio</w:t>
      </w:r>
      <w:r w:rsidRPr="003A1174">
        <w:rPr>
          <w:rFonts w:ascii="Garamond" w:hAnsi="Garamond" w:cs="Arial"/>
          <w:sz w:val="24"/>
          <w:szCs w:val="24"/>
        </w:rPr>
        <w:t>,</w:t>
      </w:r>
      <w:r w:rsidR="00D01B8C" w:rsidRPr="003A1174">
        <w:rPr>
          <w:rFonts w:ascii="Garamond" w:hAnsi="Garamond" w:cs="Arial"/>
          <w:sz w:val="24"/>
          <w:szCs w:val="24"/>
        </w:rPr>
        <w:t xml:space="preserve"> impuls</w:t>
      </w:r>
      <w:r w:rsidR="0091213A" w:rsidRPr="003A1174">
        <w:rPr>
          <w:rFonts w:ascii="Garamond" w:hAnsi="Garamond" w:cs="Arial"/>
          <w:sz w:val="24"/>
          <w:szCs w:val="24"/>
        </w:rPr>
        <w:t>ion</w:t>
      </w:r>
      <w:r w:rsidR="00D01B8C" w:rsidRPr="003A1174">
        <w:rPr>
          <w:rFonts w:ascii="Garamond" w:hAnsi="Garamond" w:cs="Arial"/>
          <w:sz w:val="24"/>
          <w:szCs w:val="24"/>
        </w:rPr>
        <w:t>ada pel</w:t>
      </w:r>
      <w:r w:rsidR="0091213A" w:rsidRPr="003A1174">
        <w:rPr>
          <w:rFonts w:ascii="Garamond" w:hAnsi="Garamond" w:cs="Arial"/>
          <w:sz w:val="24"/>
          <w:szCs w:val="24"/>
        </w:rPr>
        <w:t>o</w:t>
      </w:r>
      <w:r w:rsidR="00D01B8C" w:rsidRPr="003A1174">
        <w:rPr>
          <w:rFonts w:ascii="Garamond" w:hAnsi="Garamond" w:cs="Arial"/>
          <w:sz w:val="24"/>
          <w:szCs w:val="24"/>
        </w:rPr>
        <w:t xml:space="preserve"> </w:t>
      </w:r>
      <w:r w:rsidR="00D77C19" w:rsidRPr="003A1174">
        <w:rPr>
          <w:rFonts w:ascii="Garamond" w:hAnsi="Garamond" w:cs="Arial"/>
          <w:sz w:val="24"/>
          <w:szCs w:val="24"/>
        </w:rPr>
        <w:t>Ministério</w:t>
      </w:r>
      <w:r w:rsidR="00D01B8C" w:rsidRPr="003A1174">
        <w:rPr>
          <w:rFonts w:ascii="Garamond" w:hAnsi="Garamond" w:cs="Arial"/>
          <w:sz w:val="24"/>
          <w:szCs w:val="24"/>
        </w:rPr>
        <w:t xml:space="preserve"> da </w:t>
      </w:r>
      <w:r w:rsidR="00AF192F" w:rsidRPr="003A1174">
        <w:rPr>
          <w:rFonts w:ascii="Garamond" w:hAnsi="Garamond" w:cs="Arial"/>
          <w:sz w:val="24"/>
          <w:szCs w:val="24"/>
        </w:rPr>
        <w:t>Mulher</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91213A" w:rsidRPr="003A1174">
        <w:rPr>
          <w:rFonts w:ascii="Garamond" w:hAnsi="Garamond" w:cs="Arial"/>
          <w:sz w:val="24"/>
          <w:szCs w:val="24"/>
        </w:rPr>
        <w:t>Populações</w:t>
      </w:r>
      <w:r w:rsidR="00D01B8C" w:rsidRPr="003A1174">
        <w:rPr>
          <w:rFonts w:ascii="Garamond" w:hAnsi="Garamond" w:cs="Arial"/>
          <w:sz w:val="24"/>
          <w:szCs w:val="24"/>
        </w:rPr>
        <w:t xml:space="preserve"> </w:t>
      </w:r>
      <w:r w:rsidR="003F012B" w:rsidRPr="003A1174">
        <w:rPr>
          <w:rFonts w:ascii="Garamond" w:hAnsi="Garamond" w:cs="Arial"/>
          <w:sz w:val="24"/>
          <w:szCs w:val="24"/>
        </w:rPr>
        <w:t>Vulneráveis</w:t>
      </w:r>
      <w:r w:rsidR="00D01B8C" w:rsidRPr="003A1174">
        <w:rPr>
          <w:rFonts w:ascii="Garamond" w:hAnsi="Garamond" w:cs="Arial"/>
          <w:sz w:val="24"/>
          <w:szCs w:val="24"/>
        </w:rPr>
        <w:t xml:space="preserve"> (MIMP), elabor</w:t>
      </w:r>
      <w:r w:rsidR="0091213A" w:rsidRPr="003A1174">
        <w:rPr>
          <w:rFonts w:ascii="Garamond" w:hAnsi="Garamond" w:cs="Arial"/>
          <w:sz w:val="24"/>
          <w:szCs w:val="24"/>
        </w:rPr>
        <w:t xml:space="preserve">ou um </w:t>
      </w:r>
      <w:r w:rsidR="009C45E6">
        <w:rPr>
          <w:rFonts w:ascii="Garamond" w:hAnsi="Garamond" w:cs="Arial"/>
          <w:sz w:val="24"/>
          <w:szCs w:val="24"/>
        </w:rPr>
        <w:t>«</w:t>
      </w:r>
      <w:r w:rsidR="00D01B8C" w:rsidRPr="003A1174">
        <w:rPr>
          <w:rFonts w:ascii="Garamond" w:hAnsi="Garamond" w:cs="Arial"/>
          <w:sz w:val="24"/>
          <w:szCs w:val="24"/>
        </w:rPr>
        <w:t xml:space="preserve">Protocolo </w:t>
      </w:r>
      <w:r w:rsidR="0091213A" w:rsidRPr="003A1174">
        <w:rPr>
          <w:rFonts w:ascii="Garamond" w:hAnsi="Garamond" w:cs="Arial"/>
          <w:sz w:val="24"/>
          <w:szCs w:val="24"/>
          <w:shd w:val="clear" w:color="auto" w:fill="FFFFFF"/>
        </w:rPr>
        <w:t xml:space="preserve">para </w:t>
      </w:r>
      <w:r w:rsidR="00D01B8C" w:rsidRPr="003A1174">
        <w:rPr>
          <w:rFonts w:ascii="Garamond" w:hAnsi="Garamond" w:cs="Arial"/>
          <w:sz w:val="24"/>
          <w:szCs w:val="24"/>
          <w:shd w:val="clear" w:color="auto" w:fill="FFFFFF"/>
        </w:rPr>
        <w:t xml:space="preserve">a </w:t>
      </w:r>
      <w:r w:rsidR="00CE2763">
        <w:rPr>
          <w:rFonts w:ascii="Garamond" w:hAnsi="Garamond" w:cs="Arial"/>
          <w:sz w:val="24"/>
          <w:szCs w:val="24"/>
          <w:shd w:val="clear" w:color="auto" w:fill="FFFFFF"/>
        </w:rPr>
        <w:t xml:space="preserve">Prevenção </w:t>
      </w:r>
      <w:r w:rsidR="008A3DA2" w:rsidRPr="003A1174">
        <w:rPr>
          <w:rFonts w:ascii="Garamond" w:hAnsi="Garamond" w:cs="Arial"/>
          <w:sz w:val="24"/>
          <w:szCs w:val="24"/>
          <w:shd w:val="clear" w:color="auto" w:fill="FFFFFF"/>
        </w:rPr>
        <w:t>do</w:t>
      </w:r>
      <w:r w:rsidR="00D01B8C" w:rsidRPr="003A1174">
        <w:rPr>
          <w:rFonts w:ascii="Garamond" w:hAnsi="Garamond" w:cs="Arial"/>
          <w:sz w:val="24"/>
          <w:szCs w:val="24"/>
          <w:shd w:val="clear" w:color="auto" w:fill="FFFFFF"/>
        </w:rPr>
        <w:t xml:space="preserve"> </w:t>
      </w:r>
      <w:r w:rsidR="005C051C" w:rsidRPr="003A1174">
        <w:rPr>
          <w:rFonts w:ascii="Garamond" w:hAnsi="Garamond" w:cs="Arial"/>
          <w:sz w:val="24"/>
          <w:szCs w:val="24"/>
          <w:shd w:val="clear" w:color="auto" w:fill="FFFFFF"/>
        </w:rPr>
        <w:t>Femicídio</w:t>
      </w:r>
      <w:r w:rsidR="00C031E1" w:rsidRPr="003A1174">
        <w:rPr>
          <w:rFonts w:ascii="Garamond" w:hAnsi="Garamond" w:cs="Arial"/>
          <w:sz w:val="24"/>
          <w:szCs w:val="24"/>
          <w:shd w:val="clear" w:color="auto" w:fill="FFFFFF"/>
        </w:rPr>
        <w:t>, Tentativa</w:t>
      </w:r>
      <w:r w:rsidR="00D01B8C" w:rsidRPr="003A1174">
        <w:rPr>
          <w:rFonts w:ascii="Garamond" w:hAnsi="Garamond" w:cs="Arial"/>
          <w:sz w:val="24"/>
          <w:szCs w:val="24"/>
          <w:shd w:val="clear" w:color="auto" w:fill="FFFFFF"/>
        </w:rPr>
        <w:t xml:space="preserve"> de </w:t>
      </w:r>
      <w:r w:rsidR="005C051C" w:rsidRPr="003A1174">
        <w:rPr>
          <w:rFonts w:ascii="Garamond" w:hAnsi="Garamond" w:cs="Arial"/>
          <w:sz w:val="24"/>
          <w:szCs w:val="24"/>
          <w:shd w:val="clear" w:color="auto" w:fill="FFFFFF"/>
        </w:rPr>
        <w:t>Femicídio</w:t>
      </w:r>
      <w:r w:rsidR="00D01B8C" w:rsidRPr="003A1174">
        <w:rPr>
          <w:rFonts w:ascii="Garamond" w:hAnsi="Garamond" w:cs="Arial"/>
          <w:sz w:val="24"/>
          <w:szCs w:val="24"/>
          <w:shd w:val="clear" w:color="auto" w:fill="FFFFFF"/>
        </w:rPr>
        <w:t xml:space="preserve"> </w:t>
      </w:r>
      <w:r w:rsidR="00497503" w:rsidRPr="003A1174">
        <w:rPr>
          <w:rFonts w:ascii="Garamond" w:hAnsi="Garamond" w:cs="Arial"/>
          <w:sz w:val="24"/>
          <w:szCs w:val="24"/>
          <w:shd w:val="clear" w:color="auto" w:fill="FFFFFF"/>
        </w:rPr>
        <w:t>e</w:t>
      </w:r>
      <w:r w:rsidR="00D01B8C" w:rsidRPr="003A1174">
        <w:rPr>
          <w:rFonts w:ascii="Garamond" w:hAnsi="Garamond" w:cs="Arial"/>
          <w:sz w:val="24"/>
          <w:szCs w:val="24"/>
          <w:shd w:val="clear" w:color="auto" w:fill="FFFFFF"/>
        </w:rPr>
        <w:t xml:space="preserve"> </w:t>
      </w:r>
      <w:r w:rsidR="000350B1" w:rsidRPr="003A1174">
        <w:rPr>
          <w:rFonts w:ascii="Garamond" w:hAnsi="Garamond" w:cs="Arial"/>
          <w:sz w:val="24"/>
          <w:szCs w:val="24"/>
          <w:shd w:val="clear" w:color="auto" w:fill="FFFFFF"/>
        </w:rPr>
        <w:t>Violência</w:t>
      </w:r>
      <w:r w:rsidR="00D01B8C" w:rsidRPr="003A1174">
        <w:rPr>
          <w:rFonts w:ascii="Garamond" w:hAnsi="Garamond" w:cs="Arial"/>
          <w:sz w:val="24"/>
          <w:szCs w:val="24"/>
          <w:shd w:val="clear" w:color="auto" w:fill="FFFFFF"/>
        </w:rPr>
        <w:t xml:space="preserve"> de </w:t>
      </w:r>
      <w:r w:rsidR="0091213A" w:rsidRPr="003A1174">
        <w:rPr>
          <w:rFonts w:ascii="Garamond" w:hAnsi="Garamond" w:cs="Arial"/>
          <w:sz w:val="24"/>
          <w:szCs w:val="24"/>
          <w:shd w:val="clear" w:color="auto" w:fill="FFFFFF"/>
        </w:rPr>
        <w:t xml:space="preserve">Casal </w:t>
      </w:r>
      <w:r w:rsidR="00D01B8C" w:rsidRPr="003A1174">
        <w:rPr>
          <w:rFonts w:ascii="Garamond" w:hAnsi="Garamond" w:cs="Arial"/>
          <w:sz w:val="24"/>
          <w:szCs w:val="24"/>
          <w:shd w:val="clear" w:color="auto" w:fill="FFFFFF"/>
        </w:rPr>
        <w:t xml:space="preserve">de Alto </w:t>
      </w:r>
      <w:r w:rsidR="008651AF" w:rsidRPr="003A1174">
        <w:rPr>
          <w:rFonts w:ascii="Garamond" w:hAnsi="Garamond" w:cs="Arial"/>
          <w:sz w:val="24"/>
          <w:szCs w:val="24"/>
          <w:shd w:val="clear" w:color="auto" w:fill="FFFFFF"/>
        </w:rPr>
        <w:t>Risco</w:t>
      </w:r>
      <w:r w:rsidR="00D01B8C" w:rsidRPr="003A1174">
        <w:rPr>
          <w:rFonts w:ascii="Garamond" w:hAnsi="Garamond" w:cs="Arial"/>
          <w:sz w:val="24"/>
          <w:szCs w:val="24"/>
          <w:shd w:val="clear" w:color="auto" w:fill="FFFFFF"/>
        </w:rPr>
        <w:t>.</w:t>
      </w:r>
      <w:r w:rsidR="009C45E6">
        <w:rPr>
          <w:rFonts w:ascii="Garamond" w:hAnsi="Garamond" w:cs="Arial"/>
          <w:sz w:val="24"/>
          <w:szCs w:val="24"/>
          <w:shd w:val="clear" w:color="auto" w:fill="FFFFFF"/>
        </w:rPr>
        <w:t>»</w:t>
      </w:r>
      <w:r w:rsidR="00D01B8C" w:rsidRPr="003A1174">
        <w:rPr>
          <w:rFonts w:ascii="Garamond" w:hAnsi="Garamond" w:cs="Arial"/>
          <w:sz w:val="24"/>
          <w:szCs w:val="24"/>
          <w:shd w:val="clear" w:color="auto" w:fill="FFFFFF"/>
        </w:rPr>
        <w:t xml:space="preserve"> </w:t>
      </w:r>
      <w:r w:rsidR="0091213A" w:rsidRPr="003A1174">
        <w:rPr>
          <w:rFonts w:ascii="Garamond" w:hAnsi="Garamond" w:cs="Arial"/>
          <w:sz w:val="24"/>
          <w:szCs w:val="24"/>
          <w:shd w:val="clear" w:color="auto" w:fill="FFFFFF"/>
        </w:rPr>
        <w:t>Trata-se de um</w:t>
      </w:r>
      <w:r w:rsidR="00D01B8C" w:rsidRPr="003A1174">
        <w:rPr>
          <w:rFonts w:ascii="Garamond" w:hAnsi="Garamond" w:cs="Arial"/>
          <w:sz w:val="24"/>
          <w:szCs w:val="24"/>
          <w:shd w:val="clear" w:color="auto" w:fill="FFFFFF"/>
        </w:rPr>
        <w:t xml:space="preserve">a </w:t>
      </w:r>
      <w:r w:rsidR="00201889" w:rsidRPr="003A1174">
        <w:rPr>
          <w:rFonts w:ascii="Garamond" w:hAnsi="Garamond" w:cs="Arial"/>
          <w:sz w:val="24"/>
          <w:szCs w:val="24"/>
          <w:shd w:val="clear" w:color="auto" w:fill="FFFFFF"/>
        </w:rPr>
        <w:t>proposta</w:t>
      </w:r>
      <w:r w:rsidR="00D01B8C" w:rsidRPr="003A1174">
        <w:rPr>
          <w:rFonts w:ascii="Garamond" w:hAnsi="Garamond" w:cs="Arial"/>
          <w:sz w:val="24"/>
          <w:szCs w:val="24"/>
          <w:shd w:val="clear" w:color="auto" w:fill="FFFFFF"/>
        </w:rPr>
        <w:t xml:space="preserve"> elaborada</w:t>
      </w:r>
      <w:r w:rsidR="009C45E6">
        <w:rPr>
          <w:rFonts w:ascii="Garamond" w:hAnsi="Garamond" w:cs="Arial"/>
          <w:sz w:val="24"/>
          <w:szCs w:val="24"/>
          <w:shd w:val="clear" w:color="auto" w:fill="FFFFFF"/>
        </w:rPr>
        <w:t>,</w:t>
      </w:r>
      <w:r w:rsidR="00D01B8C" w:rsidRPr="003A1174">
        <w:rPr>
          <w:rFonts w:ascii="Garamond" w:hAnsi="Garamond" w:cs="Arial"/>
          <w:sz w:val="24"/>
          <w:szCs w:val="24"/>
          <w:shd w:val="clear" w:color="auto" w:fill="FFFFFF"/>
        </w:rPr>
        <w:t xml:space="preserve"> </w:t>
      </w:r>
      <w:r w:rsidR="0091213A" w:rsidRPr="003A1174">
        <w:rPr>
          <w:rFonts w:ascii="Garamond" w:hAnsi="Garamond" w:cs="Arial"/>
          <w:sz w:val="24"/>
          <w:szCs w:val="24"/>
          <w:shd w:val="clear" w:color="auto" w:fill="FFFFFF"/>
        </w:rPr>
        <w:t xml:space="preserve">em </w:t>
      </w:r>
      <w:r w:rsidR="00D01B8C" w:rsidRPr="003A1174">
        <w:rPr>
          <w:rFonts w:ascii="Garamond" w:hAnsi="Garamond" w:cs="Arial"/>
          <w:sz w:val="24"/>
          <w:szCs w:val="24"/>
          <w:shd w:val="clear" w:color="auto" w:fill="FFFFFF"/>
        </w:rPr>
        <w:t>conjunt</w:t>
      </w:r>
      <w:r w:rsidR="0091213A" w:rsidRPr="003A1174">
        <w:rPr>
          <w:rFonts w:ascii="Garamond" w:hAnsi="Garamond" w:cs="Arial"/>
          <w:sz w:val="24"/>
          <w:szCs w:val="24"/>
          <w:shd w:val="clear" w:color="auto" w:fill="FFFFFF"/>
        </w:rPr>
        <w:t>o</w:t>
      </w:r>
      <w:r w:rsidR="009C45E6">
        <w:rPr>
          <w:rFonts w:ascii="Garamond" w:hAnsi="Garamond" w:cs="Arial"/>
          <w:sz w:val="24"/>
          <w:szCs w:val="24"/>
          <w:shd w:val="clear" w:color="auto" w:fill="FFFFFF"/>
        </w:rPr>
        <w:t>,</w:t>
      </w:r>
      <w:r w:rsidR="0091213A" w:rsidRPr="003A1174">
        <w:rPr>
          <w:rFonts w:ascii="Garamond" w:hAnsi="Garamond" w:cs="Arial"/>
          <w:sz w:val="24"/>
          <w:szCs w:val="24"/>
          <w:shd w:val="clear" w:color="auto" w:fill="FFFFFF"/>
        </w:rPr>
        <w:t xml:space="preserve"> </w:t>
      </w:r>
      <w:r w:rsidR="00D01B8C" w:rsidRPr="003A1174">
        <w:rPr>
          <w:rFonts w:ascii="Garamond" w:hAnsi="Garamond" w:cs="Arial"/>
          <w:sz w:val="24"/>
          <w:szCs w:val="24"/>
          <w:shd w:val="clear" w:color="auto" w:fill="FFFFFF"/>
        </w:rPr>
        <w:t>por r</w:t>
      </w:r>
      <w:r w:rsidR="00D01B8C" w:rsidRPr="003A1174">
        <w:rPr>
          <w:rFonts w:ascii="Garamond" w:hAnsi="Garamond" w:cs="Arial"/>
          <w:sz w:val="24"/>
          <w:szCs w:val="24"/>
        </w:rPr>
        <w:t xml:space="preserve">epresentantes </w:t>
      </w:r>
      <w:r w:rsidR="008A3DA2" w:rsidRPr="003A1174">
        <w:rPr>
          <w:rFonts w:ascii="Garamond" w:hAnsi="Garamond" w:cs="Arial"/>
          <w:sz w:val="24"/>
          <w:szCs w:val="24"/>
        </w:rPr>
        <w:t>do</w:t>
      </w:r>
      <w:r w:rsidR="00D01B8C" w:rsidRPr="003A1174">
        <w:rPr>
          <w:rFonts w:ascii="Garamond" w:hAnsi="Garamond" w:cs="Arial"/>
          <w:sz w:val="24"/>
          <w:szCs w:val="24"/>
        </w:rPr>
        <w:t xml:space="preserve"> MIMP, </w:t>
      </w:r>
      <w:r w:rsidR="008A3DA2" w:rsidRPr="003A1174">
        <w:rPr>
          <w:rFonts w:ascii="Garamond" w:hAnsi="Garamond" w:cs="Arial"/>
          <w:sz w:val="24"/>
          <w:szCs w:val="24"/>
        </w:rPr>
        <w:t>do</w:t>
      </w:r>
      <w:r w:rsidRPr="003A1174">
        <w:rPr>
          <w:rFonts w:ascii="Garamond" w:hAnsi="Garamond" w:cs="Arial"/>
          <w:sz w:val="24"/>
          <w:szCs w:val="24"/>
        </w:rPr>
        <w:t xml:space="preserve"> </w:t>
      </w:r>
      <w:r w:rsidR="00D77C19" w:rsidRPr="003A1174">
        <w:rPr>
          <w:rFonts w:ascii="Garamond" w:hAnsi="Garamond" w:cs="Arial"/>
          <w:sz w:val="24"/>
          <w:szCs w:val="24"/>
        </w:rPr>
        <w:t>Ministério</w:t>
      </w:r>
      <w:r w:rsidR="00D01B8C" w:rsidRPr="003A1174">
        <w:rPr>
          <w:rFonts w:ascii="Garamond" w:hAnsi="Garamond" w:cs="Arial"/>
          <w:sz w:val="24"/>
          <w:szCs w:val="24"/>
        </w:rPr>
        <w:t xml:space="preserve"> Público, </w:t>
      </w:r>
      <w:r w:rsidR="00D77C19" w:rsidRPr="003A1174">
        <w:rPr>
          <w:rFonts w:ascii="Garamond" w:hAnsi="Garamond" w:cs="Arial"/>
          <w:sz w:val="24"/>
          <w:szCs w:val="24"/>
        </w:rPr>
        <w:t>Ministério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Interior </w:t>
      </w:r>
      <w:r w:rsidRPr="003A1174">
        <w:rPr>
          <w:rFonts w:ascii="Garamond" w:hAnsi="Garamond" w:cs="Arial"/>
          <w:sz w:val="24"/>
          <w:szCs w:val="24"/>
        </w:rPr>
        <w:t>(</w:t>
      </w:r>
      <w:r w:rsidR="00D01B8C" w:rsidRPr="003A1174">
        <w:rPr>
          <w:rFonts w:ascii="Garamond" w:hAnsi="Garamond" w:cs="Arial"/>
          <w:sz w:val="24"/>
          <w:szCs w:val="24"/>
        </w:rPr>
        <w:t>PNP</w:t>
      </w:r>
      <w:r w:rsidRPr="003A1174">
        <w:rPr>
          <w:rFonts w:ascii="Garamond" w:hAnsi="Garamond" w:cs="Arial"/>
          <w:sz w:val="24"/>
          <w:szCs w:val="24"/>
        </w:rPr>
        <w:t>),</w:t>
      </w:r>
      <w:r w:rsidR="00D01B8C" w:rsidRPr="003A1174">
        <w:rPr>
          <w:rFonts w:ascii="Garamond" w:hAnsi="Garamond" w:cs="Arial"/>
          <w:sz w:val="24"/>
          <w:szCs w:val="24"/>
        </w:rPr>
        <w:t xml:space="preserve"> </w:t>
      </w:r>
      <w:r w:rsidR="00D77C19" w:rsidRPr="003A1174">
        <w:rPr>
          <w:rFonts w:ascii="Garamond" w:hAnsi="Garamond" w:cs="Arial"/>
          <w:sz w:val="24"/>
          <w:szCs w:val="24"/>
        </w:rPr>
        <w:t>Ministério</w:t>
      </w:r>
      <w:r w:rsidR="00D01B8C" w:rsidRPr="003A1174">
        <w:rPr>
          <w:rFonts w:ascii="Garamond" w:hAnsi="Garamond" w:cs="Arial"/>
          <w:sz w:val="24"/>
          <w:szCs w:val="24"/>
        </w:rPr>
        <w:t xml:space="preserve"> d</w:t>
      </w:r>
      <w:r w:rsidR="0091213A" w:rsidRPr="003A1174">
        <w:rPr>
          <w:rFonts w:ascii="Garamond" w:hAnsi="Garamond" w:cs="Arial"/>
          <w:sz w:val="24"/>
          <w:szCs w:val="24"/>
        </w:rPr>
        <w:t>a</w:t>
      </w:r>
      <w:r w:rsidR="00D01B8C" w:rsidRPr="003A1174">
        <w:rPr>
          <w:rFonts w:ascii="Garamond" w:hAnsi="Garamond" w:cs="Arial"/>
          <w:sz w:val="24"/>
          <w:szCs w:val="24"/>
        </w:rPr>
        <w:t xml:space="preserve"> </w:t>
      </w:r>
      <w:r w:rsidR="007C63D0" w:rsidRPr="003A1174">
        <w:rPr>
          <w:rFonts w:ascii="Garamond" w:hAnsi="Garamond" w:cs="Arial"/>
          <w:sz w:val="24"/>
          <w:szCs w:val="24"/>
        </w:rPr>
        <w:t>Saúde</w:t>
      </w:r>
      <w:r w:rsidR="00D01B8C" w:rsidRPr="003A1174">
        <w:rPr>
          <w:rFonts w:ascii="Garamond" w:hAnsi="Garamond" w:cs="Arial"/>
          <w:sz w:val="24"/>
          <w:szCs w:val="24"/>
        </w:rPr>
        <w:t xml:space="preserve">, </w:t>
      </w:r>
      <w:r w:rsidR="00D77C19" w:rsidRPr="003A1174">
        <w:rPr>
          <w:rFonts w:ascii="Garamond" w:hAnsi="Garamond" w:cs="Arial"/>
          <w:sz w:val="24"/>
          <w:szCs w:val="24"/>
        </w:rPr>
        <w:t>Ministério</w:t>
      </w:r>
      <w:r w:rsidR="0091213A" w:rsidRPr="003A1174">
        <w:rPr>
          <w:rFonts w:ascii="Garamond" w:hAnsi="Garamond" w:cs="Arial"/>
          <w:sz w:val="24"/>
          <w:szCs w:val="24"/>
        </w:rPr>
        <w:t xml:space="preserve"> da</w:t>
      </w:r>
      <w:r w:rsidR="00D01B8C" w:rsidRPr="003A1174">
        <w:rPr>
          <w:rFonts w:ascii="Garamond" w:hAnsi="Garamond" w:cs="Arial"/>
          <w:sz w:val="24"/>
          <w:szCs w:val="24"/>
        </w:rPr>
        <w:t xml:space="preserve"> </w:t>
      </w:r>
      <w:r w:rsidR="00802ACC" w:rsidRPr="003A1174">
        <w:rPr>
          <w:rFonts w:ascii="Garamond" w:hAnsi="Garamond" w:cs="Arial"/>
          <w:sz w:val="24"/>
          <w:szCs w:val="24"/>
        </w:rPr>
        <w:t>Educação</w:t>
      </w:r>
      <w:r w:rsidR="00D01B8C" w:rsidRPr="003A1174">
        <w:rPr>
          <w:rFonts w:ascii="Garamond" w:hAnsi="Garamond" w:cs="Arial"/>
          <w:sz w:val="24"/>
          <w:szCs w:val="24"/>
        </w:rPr>
        <w:t xml:space="preserve">, </w:t>
      </w:r>
      <w:r w:rsidR="00D77C19" w:rsidRPr="003A1174">
        <w:rPr>
          <w:rFonts w:ascii="Garamond" w:hAnsi="Garamond" w:cs="Arial"/>
          <w:sz w:val="24"/>
          <w:szCs w:val="24"/>
        </w:rPr>
        <w:t>Ministério</w:t>
      </w:r>
      <w:r w:rsidR="00D01B8C" w:rsidRPr="003A1174">
        <w:rPr>
          <w:rFonts w:ascii="Garamond" w:hAnsi="Garamond" w:cs="Arial"/>
          <w:sz w:val="24"/>
          <w:szCs w:val="24"/>
        </w:rPr>
        <w:t xml:space="preserve"> de </w:t>
      </w:r>
      <w:r w:rsidR="00C04CA4" w:rsidRPr="003A1174">
        <w:rPr>
          <w:rFonts w:ascii="Garamond" w:hAnsi="Garamond" w:cs="Arial"/>
          <w:sz w:val="24"/>
          <w:szCs w:val="24"/>
        </w:rPr>
        <w:t>Relações</w:t>
      </w:r>
      <w:r w:rsidR="00D01B8C" w:rsidRPr="003A1174">
        <w:rPr>
          <w:rFonts w:ascii="Garamond" w:hAnsi="Garamond" w:cs="Arial"/>
          <w:sz w:val="24"/>
          <w:szCs w:val="24"/>
        </w:rPr>
        <w:t xml:space="preserve"> Exteriores, </w:t>
      </w:r>
      <w:r w:rsidR="00D77C19" w:rsidRPr="003A1174">
        <w:rPr>
          <w:rFonts w:ascii="Garamond" w:hAnsi="Garamond" w:cs="Arial"/>
          <w:sz w:val="24"/>
          <w:szCs w:val="24"/>
        </w:rPr>
        <w:t>Ministério</w:t>
      </w:r>
      <w:r w:rsidR="00D01B8C" w:rsidRPr="003A1174">
        <w:rPr>
          <w:rFonts w:ascii="Garamond" w:hAnsi="Garamond" w:cs="Arial"/>
          <w:sz w:val="24"/>
          <w:szCs w:val="24"/>
        </w:rPr>
        <w:t xml:space="preserve"> d</w:t>
      </w:r>
      <w:r w:rsidR="0091213A" w:rsidRPr="003A1174">
        <w:rPr>
          <w:rFonts w:ascii="Garamond" w:hAnsi="Garamond" w:cs="Arial"/>
          <w:sz w:val="24"/>
          <w:szCs w:val="24"/>
        </w:rPr>
        <w:t>a</w:t>
      </w:r>
      <w:r w:rsidR="00D01B8C" w:rsidRPr="003A1174">
        <w:rPr>
          <w:rFonts w:ascii="Garamond" w:hAnsi="Garamond" w:cs="Arial"/>
          <w:sz w:val="24"/>
          <w:szCs w:val="24"/>
        </w:rPr>
        <w:t xml:space="preserve"> </w:t>
      </w:r>
      <w:r w:rsidR="00FC1F7F" w:rsidRPr="003A1174">
        <w:rPr>
          <w:rFonts w:ascii="Garamond" w:hAnsi="Garamond" w:cs="Arial"/>
          <w:sz w:val="24"/>
          <w:szCs w:val="24"/>
        </w:rPr>
        <w:t>Justiça</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E34DB3" w:rsidRPr="003A1174">
        <w:rPr>
          <w:rFonts w:ascii="Garamond" w:hAnsi="Garamond" w:cs="Arial"/>
          <w:sz w:val="24"/>
          <w:szCs w:val="24"/>
        </w:rPr>
        <w:t xml:space="preserve"> Poder J</w:t>
      </w:r>
      <w:r w:rsidR="00D01B8C" w:rsidRPr="003A1174">
        <w:rPr>
          <w:rFonts w:ascii="Garamond" w:hAnsi="Garamond" w:cs="Arial"/>
          <w:sz w:val="24"/>
          <w:szCs w:val="24"/>
        </w:rPr>
        <w:t xml:space="preserve">udicial. </w:t>
      </w:r>
      <w:r w:rsidR="0091213A"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D01B8C" w:rsidRPr="003A1174">
        <w:rPr>
          <w:rFonts w:ascii="Garamond" w:hAnsi="Garamond" w:cs="Arial"/>
          <w:sz w:val="24"/>
          <w:szCs w:val="24"/>
        </w:rPr>
        <w:t xml:space="preserve"> particip</w:t>
      </w:r>
      <w:r w:rsidR="0091213A" w:rsidRPr="003A1174">
        <w:rPr>
          <w:rFonts w:ascii="Garamond" w:hAnsi="Garamond" w:cs="Arial"/>
          <w:sz w:val="24"/>
          <w:szCs w:val="24"/>
        </w:rPr>
        <w:t xml:space="preserve">ou na </w:t>
      </w:r>
      <w:r w:rsidR="008278C4" w:rsidRPr="003A1174">
        <w:rPr>
          <w:rFonts w:ascii="Garamond" w:hAnsi="Garamond" w:cs="Arial"/>
          <w:sz w:val="24"/>
          <w:szCs w:val="24"/>
        </w:rPr>
        <w:t>qualidade</w:t>
      </w:r>
      <w:r w:rsidR="00D01B8C" w:rsidRPr="003A1174">
        <w:rPr>
          <w:rFonts w:ascii="Garamond" w:hAnsi="Garamond" w:cs="Arial"/>
          <w:sz w:val="24"/>
          <w:szCs w:val="24"/>
        </w:rPr>
        <w:t xml:space="preserve"> de </w:t>
      </w:r>
      <w:r w:rsidR="00C30647" w:rsidRPr="003A1174">
        <w:rPr>
          <w:rFonts w:ascii="Garamond" w:hAnsi="Garamond" w:cs="Arial"/>
          <w:sz w:val="24"/>
          <w:szCs w:val="24"/>
        </w:rPr>
        <w:t>membro</w:t>
      </w:r>
      <w:r w:rsidR="00D01B8C" w:rsidRPr="003A1174">
        <w:rPr>
          <w:rFonts w:ascii="Garamond" w:hAnsi="Garamond" w:cs="Arial"/>
          <w:sz w:val="24"/>
          <w:szCs w:val="24"/>
        </w:rPr>
        <w:t xml:space="preserve"> </w:t>
      </w:r>
      <w:r w:rsidR="0091213A" w:rsidRPr="003A1174">
        <w:rPr>
          <w:rFonts w:ascii="Garamond" w:hAnsi="Garamond" w:cs="Arial"/>
          <w:sz w:val="24"/>
          <w:szCs w:val="24"/>
        </w:rPr>
        <w:t>supranumerário</w:t>
      </w:r>
      <w:r w:rsidR="00D01B8C" w:rsidRPr="003A1174">
        <w:rPr>
          <w:rFonts w:ascii="Garamond" w:hAnsi="Garamond" w:cs="Arial"/>
          <w:sz w:val="24"/>
          <w:szCs w:val="24"/>
        </w:rPr>
        <w:t>. A</w:t>
      </w:r>
      <w:r w:rsidR="0091213A" w:rsidRPr="003A1174">
        <w:rPr>
          <w:rFonts w:ascii="Garamond" w:hAnsi="Garamond" w:cs="Arial"/>
          <w:sz w:val="24"/>
          <w:szCs w:val="24"/>
        </w:rPr>
        <w:t xml:space="preserve">té à </w:t>
      </w:r>
      <w:r w:rsidR="0074243F" w:rsidRPr="003A1174">
        <w:rPr>
          <w:rFonts w:ascii="Garamond" w:hAnsi="Garamond" w:cs="Arial"/>
          <w:sz w:val="24"/>
          <w:szCs w:val="24"/>
        </w:rPr>
        <w:t>data</w:t>
      </w:r>
      <w:r w:rsidR="00D01B8C" w:rsidRPr="003A1174">
        <w:rPr>
          <w:rFonts w:ascii="Garamond" w:hAnsi="Garamond" w:cs="Arial"/>
          <w:sz w:val="24"/>
          <w:szCs w:val="24"/>
        </w:rPr>
        <w:t xml:space="preserve"> esta </w:t>
      </w:r>
      <w:r w:rsidR="00201889" w:rsidRPr="003A1174">
        <w:rPr>
          <w:rFonts w:ascii="Garamond" w:hAnsi="Garamond" w:cs="Arial"/>
          <w:sz w:val="24"/>
          <w:szCs w:val="24"/>
        </w:rPr>
        <w:t>proposta</w:t>
      </w:r>
      <w:r w:rsidR="00D01B8C" w:rsidRPr="003A1174">
        <w:rPr>
          <w:rFonts w:ascii="Garamond" w:hAnsi="Garamond" w:cs="Arial"/>
          <w:sz w:val="24"/>
          <w:szCs w:val="24"/>
        </w:rPr>
        <w:t xml:space="preserve"> enc</w:t>
      </w:r>
      <w:r w:rsidR="0091213A" w:rsidRPr="003A1174">
        <w:rPr>
          <w:rFonts w:ascii="Garamond" w:hAnsi="Garamond" w:cs="Arial"/>
          <w:sz w:val="24"/>
          <w:szCs w:val="24"/>
        </w:rPr>
        <w:t>o</w:t>
      </w:r>
      <w:r w:rsidR="00D01B8C" w:rsidRPr="003A1174">
        <w:rPr>
          <w:rFonts w:ascii="Garamond" w:hAnsi="Garamond" w:cs="Arial"/>
          <w:sz w:val="24"/>
          <w:szCs w:val="24"/>
        </w:rPr>
        <w:t>ntra</w:t>
      </w:r>
      <w:r w:rsidR="0091213A" w:rsidRPr="003A1174">
        <w:rPr>
          <w:rFonts w:ascii="Garamond" w:hAnsi="Garamond" w:cs="Arial"/>
          <w:sz w:val="24"/>
          <w:szCs w:val="24"/>
        </w:rPr>
        <w:t>-se</w:t>
      </w:r>
      <w:r w:rsidR="00D01B8C" w:rsidRPr="003A1174">
        <w:rPr>
          <w:rFonts w:ascii="Garamond" w:hAnsi="Garamond" w:cs="Arial"/>
          <w:sz w:val="24"/>
          <w:szCs w:val="24"/>
        </w:rPr>
        <w:t xml:space="preserve"> e</w:t>
      </w:r>
      <w:r w:rsidR="0091213A" w:rsidRPr="003A1174">
        <w:rPr>
          <w:rFonts w:ascii="Garamond" w:hAnsi="Garamond" w:cs="Arial"/>
          <w:sz w:val="24"/>
          <w:szCs w:val="24"/>
        </w:rPr>
        <w:t>m</w:t>
      </w:r>
      <w:r w:rsidR="00D01B8C" w:rsidRPr="003A1174">
        <w:rPr>
          <w:rFonts w:ascii="Garamond" w:hAnsi="Garamond" w:cs="Arial"/>
          <w:sz w:val="24"/>
          <w:szCs w:val="24"/>
        </w:rPr>
        <w:t xml:space="preserve"> </w:t>
      </w:r>
      <w:r w:rsidR="009C45E6">
        <w:rPr>
          <w:rFonts w:ascii="Garamond" w:hAnsi="Garamond" w:cs="Arial"/>
          <w:sz w:val="24"/>
          <w:szCs w:val="24"/>
        </w:rPr>
        <w:t xml:space="preserve">fase </w:t>
      </w:r>
      <w:r w:rsidR="00D01B8C" w:rsidRPr="003A1174">
        <w:rPr>
          <w:rFonts w:ascii="Garamond" w:hAnsi="Garamond" w:cs="Arial"/>
          <w:sz w:val="24"/>
          <w:szCs w:val="24"/>
        </w:rPr>
        <w:t xml:space="preserve">de </w:t>
      </w:r>
      <w:r w:rsidR="009C45E6">
        <w:rPr>
          <w:rFonts w:ascii="Garamond" w:hAnsi="Garamond" w:cs="Arial"/>
          <w:sz w:val="24"/>
          <w:szCs w:val="24"/>
        </w:rPr>
        <w:t>experiência</w:t>
      </w:r>
      <w:r w:rsidR="00D01B8C" w:rsidRPr="003A1174">
        <w:rPr>
          <w:rFonts w:ascii="Garamond" w:hAnsi="Garamond" w:cs="Arial"/>
          <w:sz w:val="24"/>
          <w:szCs w:val="24"/>
        </w:rPr>
        <w:t xml:space="preserve"> piloto, </w:t>
      </w:r>
      <w:r w:rsidR="00497503" w:rsidRPr="003A1174">
        <w:rPr>
          <w:rFonts w:ascii="Garamond" w:hAnsi="Garamond" w:cs="Arial"/>
          <w:sz w:val="24"/>
          <w:szCs w:val="24"/>
        </w:rPr>
        <w:t>e</w:t>
      </w:r>
      <w:r w:rsidR="0091213A" w:rsidRPr="003A1174">
        <w:rPr>
          <w:rFonts w:ascii="Garamond" w:hAnsi="Garamond" w:cs="Arial"/>
          <w:sz w:val="24"/>
          <w:szCs w:val="24"/>
        </w:rPr>
        <w:t xml:space="preserve"> pend</w:t>
      </w:r>
      <w:r w:rsidR="00D01B8C" w:rsidRPr="003A1174">
        <w:rPr>
          <w:rFonts w:ascii="Garamond" w:hAnsi="Garamond" w:cs="Arial"/>
          <w:sz w:val="24"/>
          <w:szCs w:val="24"/>
        </w:rPr>
        <w:t xml:space="preserve">ente de </w:t>
      </w:r>
      <w:r w:rsidR="007A2492" w:rsidRPr="003A1174">
        <w:rPr>
          <w:rFonts w:ascii="Garamond" w:hAnsi="Garamond" w:cs="Arial"/>
          <w:sz w:val="24"/>
          <w:szCs w:val="24"/>
        </w:rPr>
        <w:t>aprovação</w:t>
      </w:r>
      <w:r w:rsidR="00D01B8C" w:rsidRPr="003A1174">
        <w:rPr>
          <w:rFonts w:ascii="Garamond" w:hAnsi="Garamond" w:cs="Arial"/>
          <w:sz w:val="24"/>
          <w:szCs w:val="24"/>
        </w:rPr>
        <w:t xml:space="preserve">. </w:t>
      </w:r>
    </w:p>
    <w:p w:rsidR="00E22989" w:rsidRPr="003A1174" w:rsidRDefault="00E22989" w:rsidP="008719D4">
      <w:pPr>
        <w:spacing w:after="0" w:line="240" w:lineRule="auto"/>
        <w:jc w:val="both"/>
        <w:rPr>
          <w:rFonts w:ascii="Garamond" w:hAnsi="Garamond" w:cs="Arial"/>
          <w:sz w:val="24"/>
          <w:szCs w:val="24"/>
        </w:rPr>
      </w:pPr>
    </w:p>
    <w:p w:rsidR="00D01B8C" w:rsidRPr="003A1174" w:rsidRDefault="00D01B8C" w:rsidP="008719D4">
      <w:pPr>
        <w:spacing w:line="240" w:lineRule="auto"/>
        <w:jc w:val="both"/>
        <w:rPr>
          <w:rFonts w:ascii="Garamond" w:hAnsi="Garamond" w:cs="Arial"/>
          <w:sz w:val="24"/>
          <w:szCs w:val="24"/>
        </w:rPr>
      </w:pPr>
      <w:r w:rsidRPr="003A1174">
        <w:rPr>
          <w:rFonts w:ascii="Garamond" w:hAnsi="Garamond" w:cs="Arial"/>
          <w:sz w:val="24"/>
          <w:szCs w:val="24"/>
        </w:rPr>
        <w:t>D</w:t>
      </w:r>
      <w:r w:rsidR="0091213A" w:rsidRPr="003A1174">
        <w:rPr>
          <w:rFonts w:ascii="Garamond" w:hAnsi="Garamond" w:cs="Arial"/>
          <w:sz w:val="24"/>
          <w:szCs w:val="24"/>
        </w:rPr>
        <w:t xml:space="preserve">o </w:t>
      </w:r>
      <w:r w:rsidR="009C45E6">
        <w:rPr>
          <w:rFonts w:ascii="Garamond" w:hAnsi="Garamond" w:cs="Arial"/>
          <w:sz w:val="24"/>
          <w:szCs w:val="24"/>
        </w:rPr>
        <w:t xml:space="preserve">ponto de vista </w:t>
      </w:r>
      <w:r w:rsidR="008A3DA2" w:rsidRPr="003A1174">
        <w:rPr>
          <w:rFonts w:ascii="Garamond" w:hAnsi="Garamond" w:cs="Arial"/>
          <w:sz w:val="24"/>
          <w:szCs w:val="24"/>
        </w:rPr>
        <w:t>do</w:t>
      </w:r>
      <w:r w:rsidRPr="003A1174">
        <w:rPr>
          <w:rFonts w:ascii="Garamond" w:hAnsi="Garamond" w:cs="Arial"/>
          <w:sz w:val="24"/>
          <w:szCs w:val="24"/>
        </w:rPr>
        <w:t xml:space="preserve"> </w:t>
      </w:r>
      <w:r w:rsidR="00D96FD0" w:rsidRPr="003A1174">
        <w:rPr>
          <w:rFonts w:ascii="Garamond" w:hAnsi="Garamond" w:cs="Arial"/>
          <w:sz w:val="24"/>
          <w:szCs w:val="24"/>
        </w:rPr>
        <w:t>cumprimento</w:t>
      </w:r>
      <w:r w:rsidR="0091213A" w:rsidRPr="003A1174">
        <w:rPr>
          <w:rFonts w:ascii="Garamond" w:hAnsi="Garamond" w:cs="Arial"/>
          <w:sz w:val="24"/>
          <w:szCs w:val="24"/>
        </w:rPr>
        <w:t xml:space="preserve"> d</w:t>
      </w:r>
      <w:r w:rsidRPr="003A1174">
        <w:rPr>
          <w:rFonts w:ascii="Garamond" w:hAnsi="Garamond" w:cs="Arial"/>
          <w:sz w:val="24"/>
          <w:szCs w:val="24"/>
        </w:rPr>
        <w:t>a</w:t>
      </w:r>
      <w:r w:rsidR="0091213A" w:rsidRPr="003A1174">
        <w:rPr>
          <w:rFonts w:ascii="Garamond" w:hAnsi="Garamond" w:cs="Arial"/>
          <w:sz w:val="24"/>
          <w:szCs w:val="24"/>
        </w:rPr>
        <w:t>s</w:t>
      </w:r>
      <w:r w:rsidRPr="003A1174">
        <w:rPr>
          <w:rFonts w:ascii="Garamond" w:hAnsi="Garamond" w:cs="Arial"/>
          <w:sz w:val="24"/>
          <w:szCs w:val="24"/>
        </w:rPr>
        <w:t xml:space="preserve"> </w:t>
      </w:r>
      <w:r w:rsidR="00FB76BE" w:rsidRPr="003A1174">
        <w:rPr>
          <w:rFonts w:ascii="Garamond" w:hAnsi="Garamond" w:cs="Arial"/>
          <w:sz w:val="24"/>
          <w:szCs w:val="24"/>
        </w:rPr>
        <w:t>normas</w:t>
      </w:r>
      <w:r w:rsidRPr="003A1174">
        <w:rPr>
          <w:rFonts w:ascii="Garamond" w:hAnsi="Garamond" w:cs="Arial"/>
          <w:sz w:val="24"/>
          <w:szCs w:val="24"/>
        </w:rPr>
        <w:t xml:space="preserve">, </w:t>
      </w:r>
      <w:r w:rsidR="0091213A" w:rsidRPr="003A1174">
        <w:rPr>
          <w:rFonts w:ascii="Garamond" w:hAnsi="Garamond" w:cs="Arial"/>
          <w:sz w:val="24"/>
          <w:szCs w:val="24"/>
        </w:rPr>
        <w:t xml:space="preserve">o </w:t>
      </w:r>
      <w:r w:rsidRPr="003A1174">
        <w:rPr>
          <w:rFonts w:ascii="Garamond" w:hAnsi="Garamond" w:cs="Arial"/>
          <w:sz w:val="24"/>
          <w:szCs w:val="24"/>
        </w:rPr>
        <w:t xml:space="preserve">panorama </w:t>
      </w:r>
      <w:r w:rsidR="00077461" w:rsidRPr="003A1174">
        <w:rPr>
          <w:rFonts w:ascii="Garamond" w:hAnsi="Garamond" w:cs="Arial"/>
          <w:sz w:val="24"/>
          <w:szCs w:val="24"/>
        </w:rPr>
        <w:t>geral</w:t>
      </w:r>
      <w:r w:rsidRPr="003A1174">
        <w:rPr>
          <w:rFonts w:ascii="Garamond" w:hAnsi="Garamond" w:cs="Arial"/>
          <w:sz w:val="24"/>
          <w:szCs w:val="24"/>
        </w:rPr>
        <w:t xml:space="preserve"> m</w:t>
      </w:r>
      <w:r w:rsidR="0091213A" w:rsidRPr="003A1174">
        <w:rPr>
          <w:rFonts w:ascii="Garamond" w:hAnsi="Garamond" w:cs="Arial"/>
          <w:sz w:val="24"/>
          <w:szCs w:val="24"/>
        </w:rPr>
        <w:t>o</w:t>
      </w:r>
      <w:r w:rsidRPr="003A1174">
        <w:rPr>
          <w:rFonts w:ascii="Garamond" w:hAnsi="Garamond" w:cs="Arial"/>
          <w:sz w:val="24"/>
          <w:szCs w:val="24"/>
        </w:rPr>
        <w:t>stra que</w:t>
      </w:r>
      <w:r w:rsidR="00E34DB3" w:rsidRPr="003A1174">
        <w:rPr>
          <w:rFonts w:ascii="Garamond" w:hAnsi="Garamond" w:cs="Arial"/>
          <w:sz w:val="24"/>
          <w:szCs w:val="24"/>
        </w:rPr>
        <w:t>,</w:t>
      </w:r>
      <w:r w:rsidRPr="003A1174">
        <w:rPr>
          <w:rFonts w:ascii="Garamond" w:hAnsi="Garamond" w:cs="Arial"/>
          <w:sz w:val="24"/>
          <w:szCs w:val="24"/>
        </w:rPr>
        <w:t xml:space="preserve"> </w:t>
      </w:r>
      <w:r w:rsidR="00EE7406" w:rsidRPr="003A1174">
        <w:rPr>
          <w:rFonts w:ascii="Garamond" w:hAnsi="Garamond" w:cs="Arial"/>
          <w:sz w:val="24"/>
          <w:szCs w:val="24"/>
        </w:rPr>
        <w:t>apesar</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FC1F7F" w:rsidRPr="003A1174">
        <w:rPr>
          <w:rFonts w:ascii="Garamond" w:hAnsi="Garamond" w:cs="Arial"/>
          <w:sz w:val="24"/>
          <w:szCs w:val="24"/>
        </w:rPr>
        <w:t>avanços</w:t>
      </w:r>
      <w:r w:rsidRPr="003A1174">
        <w:rPr>
          <w:rFonts w:ascii="Garamond" w:hAnsi="Garamond" w:cs="Arial"/>
          <w:sz w:val="24"/>
          <w:szCs w:val="24"/>
        </w:rPr>
        <w:t xml:space="preserve"> d</w:t>
      </w:r>
      <w:r w:rsidR="006B29BF" w:rsidRPr="003A1174">
        <w:rPr>
          <w:rFonts w:ascii="Garamond" w:hAnsi="Garamond" w:cs="Arial"/>
          <w:sz w:val="24"/>
          <w:szCs w:val="24"/>
        </w:rPr>
        <w:t>aquela</w:t>
      </w:r>
      <w:r w:rsidR="0091213A" w:rsidRPr="003A1174">
        <w:rPr>
          <w:rFonts w:ascii="Garamond" w:hAnsi="Garamond" w:cs="Arial"/>
          <w:sz w:val="24"/>
          <w:szCs w:val="24"/>
        </w:rPr>
        <w:t xml:space="preserve">s, </w:t>
      </w:r>
      <w:r w:rsidRPr="003A1174">
        <w:rPr>
          <w:rFonts w:ascii="Garamond" w:hAnsi="Garamond" w:cs="Arial"/>
          <w:sz w:val="24"/>
          <w:szCs w:val="24"/>
        </w:rPr>
        <w:t xml:space="preserve">a </w:t>
      </w:r>
      <w:r w:rsidR="000350B1" w:rsidRPr="003A1174">
        <w:rPr>
          <w:rFonts w:ascii="Garamond" w:hAnsi="Garamond" w:cs="Arial"/>
          <w:sz w:val="24"/>
          <w:szCs w:val="24"/>
        </w:rPr>
        <w:t>violência</w:t>
      </w:r>
      <w:r w:rsidR="0091213A" w:rsidRPr="003A1174">
        <w:rPr>
          <w:rFonts w:ascii="Garamond" w:hAnsi="Garamond" w:cs="Arial"/>
          <w:sz w:val="24"/>
          <w:szCs w:val="24"/>
        </w:rPr>
        <w:t xml:space="preserve"> contra </w:t>
      </w:r>
      <w:r w:rsidRPr="003A1174">
        <w:rPr>
          <w:rFonts w:ascii="Garamond" w:hAnsi="Garamond" w:cs="Arial"/>
          <w:sz w:val="24"/>
          <w:szCs w:val="24"/>
        </w:rPr>
        <w:t xml:space="preserve">a </w:t>
      </w:r>
      <w:r w:rsidR="00AF192F" w:rsidRPr="003A1174">
        <w:rPr>
          <w:rFonts w:ascii="Garamond" w:hAnsi="Garamond" w:cs="Arial"/>
          <w:sz w:val="24"/>
          <w:szCs w:val="24"/>
        </w:rPr>
        <w:t>mulher</w:t>
      </w:r>
      <w:r w:rsidRPr="003A1174">
        <w:rPr>
          <w:rFonts w:ascii="Garamond" w:hAnsi="Garamond" w:cs="Arial"/>
          <w:sz w:val="24"/>
          <w:szCs w:val="24"/>
        </w:rPr>
        <w:t xml:space="preserve"> </w:t>
      </w:r>
      <w:r w:rsidR="0091213A" w:rsidRPr="003A1174">
        <w:rPr>
          <w:rFonts w:ascii="Garamond" w:hAnsi="Garamond" w:cs="Arial"/>
          <w:sz w:val="24"/>
          <w:szCs w:val="24"/>
        </w:rPr>
        <w:t>mantém</w:t>
      </w:r>
      <w:r w:rsidRPr="003A1174">
        <w:rPr>
          <w:rFonts w:ascii="Garamond" w:hAnsi="Garamond" w:cs="Arial"/>
          <w:sz w:val="24"/>
          <w:szCs w:val="24"/>
        </w:rPr>
        <w:t xml:space="preserve"> </w:t>
      </w:r>
      <w:r w:rsidR="003D2CA7" w:rsidRPr="003A1174">
        <w:rPr>
          <w:rFonts w:ascii="Garamond" w:hAnsi="Garamond" w:cs="Arial"/>
          <w:sz w:val="24"/>
          <w:szCs w:val="24"/>
        </w:rPr>
        <w:t xml:space="preserve">altos </w:t>
      </w:r>
      <w:r w:rsidRPr="003A1174">
        <w:rPr>
          <w:rFonts w:ascii="Garamond" w:hAnsi="Garamond" w:cs="Arial"/>
          <w:sz w:val="24"/>
          <w:szCs w:val="24"/>
        </w:rPr>
        <w:t xml:space="preserve">índices </w:t>
      </w:r>
      <w:r w:rsidR="0091213A" w:rsidRPr="003A1174">
        <w:rPr>
          <w:rFonts w:ascii="Garamond" w:hAnsi="Garamond" w:cs="Arial"/>
          <w:sz w:val="24"/>
          <w:szCs w:val="24"/>
        </w:rPr>
        <w:t xml:space="preserve">no </w:t>
      </w:r>
      <w:r w:rsidRPr="003A1174">
        <w:rPr>
          <w:rFonts w:ascii="Garamond" w:hAnsi="Garamond" w:cs="Arial"/>
          <w:sz w:val="24"/>
          <w:szCs w:val="24"/>
        </w:rPr>
        <w:t>país e</w:t>
      </w:r>
      <w:r w:rsidR="009C45E6">
        <w:rPr>
          <w:rFonts w:ascii="Garamond" w:hAnsi="Garamond" w:cs="Arial"/>
          <w:sz w:val="24"/>
          <w:szCs w:val="24"/>
        </w:rPr>
        <w:t>,</w:t>
      </w:r>
      <w:r w:rsidRPr="003A1174">
        <w:rPr>
          <w:rFonts w:ascii="Garamond" w:hAnsi="Garamond" w:cs="Arial"/>
          <w:sz w:val="24"/>
          <w:szCs w:val="24"/>
        </w:rPr>
        <w:t xml:space="preserve"> inclusiv</w:t>
      </w:r>
      <w:r w:rsidR="0091213A" w:rsidRPr="003A1174">
        <w:rPr>
          <w:rFonts w:ascii="Garamond" w:hAnsi="Garamond" w:cs="Arial"/>
          <w:sz w:val="24"/>
          <w:szCs w:val="24"/>
        </w:rPr>
        <w:t>am</w:t>
      </w:r>
      <w:r w:rsidRPr="003A1174">
        <w:rPr>
          <w:rFonts w:ascii="Garamond" w:hAnsi="Garamond" w:cs="Arial"/>
          <w:sz w:val="24"/>
          <w:szCs w:val="24"/>
        </w:rPr>
        <w:t>e</w:t>
      </w:r>
      <w:r w:rsidR="0091213A" w:rsidRPr="003A1174">
        <w:rPr>
          <w:rFonts w:ascii="Garamond" w:hAnsi="Garamond" w:cs="Arial"/>
          <w:sz w:val="24"/>
          <w:szCs w:val="24"/>
        </w:rPr>
        <w:t>nte</w:t>
      </w:r>
      <w:r w:rsidR="009C45E6">
        <w:rPr>
          <w:rFonts w:ascii="Garamond" w:hAnsi="Garamond" w:cs="Arial"/>
          <w:sz w:val="24"/>
          <w:szCs w:val="24"/>
        </w:rPr>
        <w:t>,</w:t>
      </w:r>
      <w:r w:rsidR="0091213A" w:rsidRPr="003A1174">
        <w:rPr>
          <w:rFonts w:ascii="Garamond" w:hAnsi="Garamond" w:cs="Arial"/>
          <w:sz w:val="24"/>
          <w:szCs w:val="24"/>
        </w:rPr>
        <w:t xml:space="preserve"> t</w:t>
      </w:r>
      <w:r w:rsidRPr="003A1174">
        <w:rPr>
          <w:rFonts w:ascii="Garamond" w:hAnsi="Garamond" w:cs="Arial"/>
          <w:sz w:val="24"/>
          <w:szCs w:val="24"/>
        </w:rPr>
        <w:t>ende a agravar</w:t>
      </w:r>
      <w:r w:rsidR="0091213A" w:rsidRPr="003A1174">
        <w:rPr>
          <w:rFonts w:ascii="Garamond" w:hAnsi="Garamond" w:cs="Arial"/>
          <w:sz w:val="24"/>
          <w:szCs w:val="24"/>
        </w:rPr>
        <w:t>-</w:t>
      </w:r>
      <w:r w:rsidRPr="003A1174">
        <w:rPr>
          <w:rFonts w:ascii="Garamond" w:hAnsi="Garamond" w:cs="Arial"/>
          <w:sz w:val="24"/>
          <w:szCs w:val="24"/>
        </w:rPr>
        <w:t>se e</w:t>
      </w:r>
      <w:r w:rsidR="0091213A" w:rsidRPr="003A1174">
        <w:rPr>
          <w:rFonts w:ascii="Garamond" w:hAnsi="Garamond" w:cs="Arial"/>
          <w:sz w:val="24"/>
          <w:szCs w:val="24"/>
        </w:rPr>
        <w:t>m</w:t>
      </w:r>
      <w:r w:rsidRPr="003A1174">
        <w:rPr>
          <w:rFonts w:ascii="Garamond" w:hAnsi="Garamond" w:cs="Arial"/>
          <w:sz w:val="24"/>
          <w:szCs w:val="24"/>
        </w:rPr>
        <w:t xml:space="preserve"> </w:t>
      </w:r>
      <w:r w:rsidR="00CD707D" w:rsidRPr="003A1174">
        <w:rPr>
          <w:rFonts w:ascii="Garamond" w:hAnsi="Garamond" w:cs="Arial"/>
          <w:sz w:val="24"/>
          <w:szCs w:val="24"/>
        </w:rPr>
        <w:t>alguma</w:t>
      </w:r>
      <w:r w:rsidRPr="003A1174">
        <w:rPr>
          <w:rFonts w:ascii="Garamond" w:hAnsi="Garamond" w:cs="Arial"/>
          <w:sz w:val="24"/>
          <w:szCs w:val="24"/>
        </w:rPr>
        <w:t>s d</w:t>
      </w:r>
      <w:r w:rsidR="0091213A" w:rsidRPr="003A1174">
        <w:rPr>
          <w:rFonts w:ascii="Garamond" w:hAnsi="Garamond" w:cs="Arial"/>
          <w:sz w:val="24"/>
          <w:szCs w:val="24"/>
        </w:rPr>
        <w:t>as</w:t>
      </w:r>
      <w:r w:rsidRPr="003A1174">
        <w:rPr>
          <w:rFonts w:ascii="Garamond" w:hAnsi="Garamond" w:cs="Arial"/>
          <w:sz w:val="24"/>
          <w:szCs w:val="24"/>
        </w:rPr>
        <w:t xml:space="preserve"> su</w:t>
      </w:r>
      <w:r w:rsidR="0091213A" w:rsidRPr="003A1174">
        <w:rPr>
          <w:rFonts w:ascii="Garamond" w:hAnsi="Garamond" w:cs="Arial"/>
          <w:sz w:val="24"/>
          <w:szCs w:val="24"/>
        </w:rPr>
        <w:t>a</w:t>
      </w:r>
      <w:r w:rsidRPr="003A1174">
        <w:rPr>
          <w:rFonts w:ascii="Garamond" w:hAnsi="Garamond" w:cs="Arial"/>
          <w:sz w:val="24"/>
          <w:szCs w:val="24"/>
        </w:rPr>
        <w:t xml:space="preserve">s </w:t>
      </w:r>
      <w:r w:rsidR="00C30647" w:rsidRPr="003A1174">
        <w:rPr>
          <w:rFonts w:ascii="Garamond" w:hAnsi="Garamond" w:cs="Arial"/>
          <w:sz w:val="24"/>
          <w:szCs w:val="24"/>
        </w:rPr>
        <w:t>manifestações</w:t>
      </w:r>
      <w:r w:rsidRPr="003A1174">
        <w:rPr>
          <w:rFonts w:ascii="Garamond" w:hAnsi="Garamond" w:cs="Arial"/>
          <w:sz w:val="24"/>
          <w:szCs w:val="24"/>
        </w:rPr>
        <w:t xml:space="preserve"> </w:t>
      </w:r>
      <w:r w:rsidR="0091213A" w:rsidRPr="003A1174">
        <w:rPr>
          <w:rFonts w:ascii="Garamond" w:hAnsi="Garamond" w:cs="Arial"/>
          <w:sz w:val="24"/>
          <w:szCs w:val="24"/>
        </w:rPr>
        <w:t xml:space="preserve">até chegar </w:t>
      </w:r>
      <w:proofErr w:type="gramStart"/>
      <w:r w:rsidR="0091213A" w:rsidRPr="003A1174">
        <w:rPr>
          <w:rFonts w:ascii="Garamond" w:hAnsi="Garamond" w:cs="Arial"/>
          <w:sz w:val="24"/>
          <w:szCs w:val="24"/>
        </w:rPr>
        <w:t>à</w:t>
      </w:r>
      <w:proofErr w:type="gramEnd"/>
      <w:r w:rsidR="0091213A" w:rsidRPr="003A1174">
        <w:rPr>
          <w:rFonts w:ascii="Garamond" w:hAnsi="Garamond" w:cs="Arial"/>
          <w:sz w:val="24"/>
          <w:szCs w:val="24"/>
        </w:rPr>
        <w:t xml:space="preserve"> mais </w:t>
      </w:r>
      <w:r w:rsidRPr="003A1174">
        <w:rPr>
          <w:rFonts w:ascii="Garamond" w:hAnsi="Garamond" w:cs="Arial"/>
          <w:sz w:val="24"/>
          <w:szCs w:val="24"/>
        </w:rPr>
        <w:t xml:space="preserve">grave </w:t>
      </w:r>
      <w:r w:rsidR="0091213A" w:rsidRPr="003A1174">
        <w:rPr>
          <w:rFonts w:ascii="Garamond" w:hAnsi="Garamond" w:cs="Arial"/>
          <w:sz w:val="24"/>
          <w:szCs w:val="24"/>
        </w:rPr>
        <w:t>manifestação</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que </w:t>
      </w:r>
      <w:r w:rsidR="0091213A" w:rsidRPr="003A1174">
        <w:rPr>
          <w:rFonts w:ascii="Garamond" w:hAnsi="Garamond" w:cs="Arial"/>
          <w:sz w:val="24"/>
          <w:szCs w:val="24"/>
        </w:rPr>
        <w:t xml:space="preserve">é o </w:t>
      </w:r>
      <w:r w:rsidR="005C051C" w:rsidRPr="003A1174">
        <w:rPr>
          <w:rFonts w:ascii="Garamond" w:hAnsi="Garamond" w:cs="Arial"/>
          <w:sz w:val="24"/>
          <w:szCs w:val="24"/>
        </w:rPr>
        <w:t>femicídio</w:t>
      </w:r>
      <w:r w:rsidRPr="003A1174">
        <w:rPr>
          <w:rFonts w:ascii="Garamond" w:hAnsi="Garamond" w:cs="Arial"/>
          <w:sz w:val="24"/>
          <w:szCs w:val="24"/>
        </w:rPr>
        <w:t xml:space="preserve">. </w:t>
      </w:r>
    </w:p>
    <w:p w:rsidR="00D01B8C" w:rsidRPr="003A1174" w:rsidRDefault="00D01B8C" w:rsidP="008719D4">
      <w:pPr>
        <w:spacing w:after="0" w:line="240" w:lineRule="auto"/>
        <w:jc w:val="both"/>
        <w:rPr>
          <w:rFonts w:ascii="Garamond" w:hAnsi="Garamond" w:cs="Arial"/>
          <w:sz w:val="24"/>
          <w:szCs w:val="24"/>
        </w:rPr>
      </w:pPr>
      <w:r w:rsidRPr="003A1174">
        <w:rPr>
          <w:rFonts w:ascii="Garamond" w:hAnsi="Garamond" w:cs="Arial"/>
          <w:sz w:val="24"/>
          <w:szCs w:val="24"/>
        </w:rPr>
        <w:lastRenderedPageBreak/>
        <w:t>As</w:t>
      </w:r>
      <w:r w:rsidR="0091213A" w:rsidRPr="003A1174">
        <w:rPr>
          <w:rFonts w:ascii="Garamond" w:hAnsi="Garamond" w:cs="Arial"/>
          <w:sz w:val="24"/>
          <w:szCs w:val="24"/>
        </w:rPr>
        <w:t xml:space="preserve">sim o </w:t>
      </w:r>
      <w:r w:rsidRPr="003A1174">
        <w:rPr>
          <w:rFonts w:ascii="Garamond" w:hAnsi="Garamond" w:cs="Arial"/>
          <w:sz w:val="24"/>
          <w:szCs w:val="24"/>
        </w:rPr>
        <w:t>evidencia</w:t>
      </w:r>
      <w:r w:rsidR="0091213A" w:rsidRPr="003A1174">
        <w:rPr>
          <w:rFonts w:ascii="Garamond" w:hAnsi="Garamond" w:cs="Arial"/>
          <w:sz w:val="24"/>
          <w:szCs w:val="24"/>
        </w:rPr>
        <w:t>m</w:t>
      </w:r>
      <w:r w:rsidRPr="003A1174">
        <w:rPr>
          <w:rFonts w:ascii="Garamond" w:hAnsi="Garamond" w:cs="Arial"/>
          <w:sz w:val="24"/>
          <w:szCs w:val="24"/>
        </w:rPr>
        <w:t xml:space="preserve"> </w:t>
      </w:r>
      <w:r w:rsidR="00067AA4" w:rsidRPr="003A1174">
        <w:rPr>
          <w:rFonts w:ascii="Garamond" w:hAnsi="Garamond" w:cs="Arial"/>
          <w:sz w:val="24"/>
          <w:szCs w:val="24"/>
        </w:rPr>
        <w:t>vária</w:t>
      </w:r>
      <w:r w:rsidRPr="003A1174">
        <w:rPr>
          <w:rFonts w:ascii="Garamond" w:hAnsi="Garamond" w:cs="Arial"/>
          <w:sz w:val="24"/>
          <w:szCs w:val="24"/>
        </w:rPr>
        <w:t xml:space="preserve">s </w:t>
      </w:r>
      <w:r w:rsidR="009C45E6">
        <w:rPr>
          <w:rFonts w:ascii="Garamond" w:hAnsi="Garamond" w:cs="Arial"/>
          <w:sz w:val="24"/>
          <w:szCs w:val="24"/>
        </w:rPr>
        <w:t xml:space="preserve">estatísticas </w:t>
      </w:r>
      <w:r w:rsidR="00190B59" w:rsidRPr="003A1174">
        <w:rPr>
          <w:rFonts w:ascii="Garamond" w:hAnsi="Garamond" w:cs="Arial"/>
          <w:sz w:val="24"/>
          <w:szCs w:val="24"/>
        </w:rPr>
        <w:t>nacionais</w:t>
      </w:r>
      <w:r w:rsidR="009C45E6">
        <w:rPr>
          <w:rFonts w:ascii="Garamond" w:hAnsi="Garamond" w:cs="Arial"/>
          <w:sz w:val="24"/>
          <w:szCs w:val="24"/>
        </w:rPr>
        <w:t xml:space="preserve"> elaboradas</w:t>
      </w:r>
      <w:r w:rsidRPr="003A1174">
        <w:rPr>
          <w:rFonts w:ascii="Garamond" w:hAnsi="Garamond" w:cs="Arial"/>
          <w:sz w:val="24"/>
          <w:szCs w:val="24"/>
        </w:rPr>
        <w:t xml:space="preserve"> a partir </w:t>
      </w:r>
      <w:r w:rsidR="00067AA4" w:rsidRPr="003A1174">
        <w:rPr>
          <w:rFonts w:ascii="Garamond" w:hAnsi="Garamond" w:cs="Arial"/>
          <w:sz w:val="24"/>
          <w:szCs w:val="24"/>
        </w:rPr>
        <w:t>do último</w:t>
      </w:r>
      <w:r w:rsidRPr="003A1174">
        <w:rPr>
          <w:rFonts w:ascii="Garamond" w:hAnsi="Garamond" w:cs="Arial"/>
          <w:sz w:val="24"/>
          <w:szCs w:val="24"/>
        </w:rPr>
        <w:t xml:space="preserve"> </w:t>
      </w:r>
      <w:r w:rsidR="00067AA4" w:rsidRPr="003A1174">
        <w:rPr>
          <w:rFonts w:ascii="Garamond" w:hAnsi="Garamond" w:cs="Arial"/>
          <w:sz w:val="24"/>
          <w:szCs w:val="24"/>
        </w:rPr>
        <w:t xml:space="preserve">Inquérito </w:t>
      </w:r>
      <w:r w:rsidR="00E34DB3" w:rsidRPr="003A1174">
        <w:rPr>
          <w:rFonts w:ascii="Garamond" w:hAnsi="Garamond" w:cs="Arial"/>
          <w:sz w:val="24"/>
          <w:szCs w:val="24"/>
        </w:rPr>
        <w:t>Demográfico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de </w:t>
      </w:r>
      <w:r w:rsidR="007C63D0" w:rsidRPr="003A1174">
        <w:rPr>
          <w:rFonts w:ascii="Garamond" w:hAnsi="Garamond" w:cs="Arial"/>
          <w:sz w:val="24"/>
          <w:szCs w:val="24"/>
        </w:rPr>
        <w:t>Saúde</w:t>
      </w:r>
      <w:r w:rsidRPr="003A1174">
        <w:rPr>
          <w:rFonts w:ascii="Garamond" w:hAnsi="Garamond" w:cs="Arial"/>
          <w:sz w:val="24"/>
          <w:szCs w:val="24"/>
        </w:rPr>
        <w:t xml:space="preserve"> Familiar (ENDES 2013), seg</w:t>
      </w:r>
      <w:r w:rsidR="00067AA4" w:rsidRPr="003A1174">
        <w:rPr>
          <w:rFonts w:ascii="Garamond" w:hAnsi="Garamond" w:cs="Arial"/>
          <w:sz w:val="24"/>
          <w:szCs w:val="24"/>
        </w:rPr>
        <w:t xml:space="preserve">undo o qual </w:t>
      </w:r>
      <w:r w:rsidRPr="003A1174">
        <w:rPr>
          <w:rFonts w:ascii="Garamond" w:hAnsi="Garamond" w:cs="Arial"/>
          <w:sz w:val="24"/>
          <w:szCs w:val="24"/>
        </w:rPr>
        <w:t xml:space="preserve">36,4%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00067AA4" w:rsidRPr="003A1174">
        <w:rPr>
          <w:rFonts w:ascii="Garamond" w:hAnsi="Garamond" w:cs="Arial"/>
          <w:sz w:val="24"/>
          <w:szCs w:val="24"/>
        </w:rPr>
        <w:t>,</w:t>
      </w:r>
      <w:r w:rsidRPr="003A1174">
        <w:rPr>
          <w:rFonts w:ascii="Garamond" w:hAnsi="Garamond" w:cs="Arial"/>
          <w:sz w:val="24"/>
          <w:szCs w:val="24"/>
        </w:rPr>
        <w:t xml:space="preserve"> </w:t>
      </w:r>
      <w:r w:rsidR="00067AA4" w:rsidRPr="003A1174">
        <w:rPr>
          <w:rFonts w:ascii="Garamond" w:hAnsi="Garamond" w:cs="Arial"/>
          <w:sz w:val="24"/>
          <w:szCs w:val="24"/>
        </w:rPr>
        <w:t xml:space="preserve">que </w:t>
      </w:r>
      <w:r w:rsidR="00CD707D" w:rsidRPr="003A1174">
        <w:rPr>
          <w:rFonts w:ascii="Garamond" w:hAnsi="Garamond" w:cs="Arial"/>
          <w:sz w:val="24"/>
          <w:szCs w:val="24"/>
        </w:rPr>
        <w:t>alguma</w:t>
      </w:r>
      <w:r w:rsidR="00067AA4" w:rsidRPr="003A1174">
        <w:rPr>
          <w:rFonts w:ascii="Garamond" w:hAnsi="Garamond" w:cs="Arial"/>
          <w:sz w:val="24"/>
          <w:szCs w:val="24"/>
        </w:rPr>
        <w:t xml:space="preserve"> vez viveram com um companheiro, manif</w:t>
      </w:r>
      <w:r w:rsidRPr="003A1174">
        <w:rPr>
          <w:rFonts w:ascii="Garamond" w:hAnsi="Garamond" w:cs="Arial"/>
          <w:sz w:val="24"/>
          <w:szCs w:val="24"/>
        </w:rPr>
        <w:t>esta</w:t>
      </w:r>
      <w:r w:rsidR="00067AA4" w:rsidRPr="003A1174">
        <w:rPr>
          <w:rFonts w:ascii="Garamond" w:hAnsi="Garamond" w:cs="Arial"/>
          <w:sz w:val="24"/>
          <w:szCs w:val="24"/>
        </w:rPr>
        <w:t>m ter so</w:t>
      </w:r>
      <w:r w:rsidRPr="003A1174">
        <w:rPr>
          <w:rFonts w:ascii="Garamond" w:hAnsi="Garamond" w:cs="Arial"/>
          <w:sz w:val="24"/>
          <w:szCs w:val="24"/>
        </w:rPr>
        <w:t xml:space="preserve">frido </w:t>
      </w:r>
      <w:r w:rsidR="000350B1" w:rsidRPr="003A1174">
        <w:rPr>
          <w:rFonts w:ascii="Garamond" w:hAnsi="Garamond" w:cs="Arial"/>
          <w:sz w:val="24"/>
          <w:szCs w:val="24"/>
        </w:rPr>
        <w:t>violência</w:t>
      </w:r>
      <w:r w:rsidRPr="003A1174">
        <w:rPr>
          <w:rFonts w:ascii="Garamond" w:hAnsi="Garamond" w:cs="Arial"/>
          <w:sz w:val="24"/>
          <w:szCs w:val="24"/>
        </w:rPr>
        <w:t xml:space="preserve"> física o</w:t>
      </w:r>
      <w:r w:rsidR="00067AA4" w:rsidRPr="003A1174">
        <w:rPr>
          <w:rFonts w:ascii="Garamond" w:hAnsi="Garamond" w:cs="Arial"/>
          <w:sz w:val="24"/>
          <w:szCs w:val="24"/>
        </w:rPr>
        <w:t>u</w:t>
      </w:r>
      <w:r w:rsidRPr="003A1174">
        <w:rPr>
          <w:rFonts w:ascii="Garamond" w:hAnsi="Garamond" w:cs="Arial"/>
          <w:sz w:val="24"/>
          <w:szCs w:val="24"/>
        </w:rPr>
        <w:t xml:space="preserve"> sexual</w:t>
      </w:r>
      <w:r w:rsidR="009C45E6">
        <w:rPr>
          <w:rFonts w:ascii="Garamond" w:hAnsi="Garamond" w:cs="Arial"/>
          <w:sz w:val="24"/>
          <w:szCs w:val="24"/>
        </w:rPr>
        <w:t>,</w:t>
      </w:r>
      <w:r w:rsidRPr="003A1174">
        <w:rPr>
          <w:rFonts w:ascii="Garamond" w:hAnsi="Garamond" w:cs="Arial"/>
          <w:sz w:val="24"/>
          <w:szCs w:val="24"/>
        </w:rPr>
        <w:t xml:space="preserve"> por parte d</w:t>
      </w:r>
      <w:r w:rsidR="00067AA4" w:rsidRPr="003A1174">
        <w:rPr>
          <w:rFonts w:ascii="Garamond" w:hAnsi="Garamond" w:cs="Arial"/>
          <w:sz w:val="24"/>
          <w:szCs w:val="24"/>
        </w:rPr>
        <w:t xml:space="preserve">o </w:t>
      </w:r>
      <w:r w:rsidR="009C45E6">
        <w:rPr>
          <w:rFonts w:ascii="Garamond" w:hAnsi="Garamond" w:cs="Arial"/>
          <w:sz w:val="24"/>
          <w:szCs w:val="24"/>
        </w:rPr>
        <w:t xml:space="preserve">marido </w:t>
      </w:r>
      <w:r w:rsidRPr="003A1174">
        <w:rPr>
          <w:rFonts w:ascii="Garamond" w:hAnsi="Garamond" w:cs="Arial"/>
          <w:sz w:val="24"/>
          <w:szCs w:val="24"/>
        </w:rPr>
        <w:t>o</w:t>
      </w:r>
      <w:r w:rsidR="00067AA4" w:rsidRPr="003A1174">
        <w:rPr>
          <w:rFonts w:ascii="Garamond" w:hAnsi="Garamond" w:cs="Arial"/>
          <w:sz w:val="24"/>
          <w:szCs w:val="24"/>
        </w:rPr>
        <w:t>u</w:t>
      </w:r>
      <w:r w:rsidRPr="003A1174">
        <w:rPr>
          <w:rFonts w:ascii="Garamond" w:hAnsi="Garamond" w:cs="Arial"/>
          <w:sz w:val="24"/>
          <w:szCs w:val="24"/>
        </w:rPr>
        <w:t xml:space="preserve"> compa</w:t>
      </w:r>
      <w:r w:rsidR="00067AA4" w:rsidRPr="003A1174">
        <w:rPr>
          <w:rFonts w:ascii="Garamond" w:hAnsi="Garamond" w:cs="Arial"/>
          <w:sz w:val="24"/>
          <w:szCs w:val="24"/>
        </w:rPr>
        <w:t>nhei</w:t>
      </w:r>
      <w:r w:rsidRPr="003A1174">
        <w:rPr>
          <w:rFonts w:ascii="Garamond" w:hAnsi="Garamond" w:cs="Arial"/>
          <w:sz w:val="24"/>
          <w:szCs w:val="24"/>
        </w:rPr>
        <w:t xml:space="preserve">ro, </w:t>
      </w:r>
      <w:r w:rsidR="00067AA4" w:rsidRPr="003A1174">
        <w:rPr>
          <w:rFonts w:ascii="Garamond" w:hAnsi="Garamond" w:cs="Arial"/>
          <w:sz w:val="24"/>
          <w:szCs w:val="24"/>
        </w:rPr>
        <w:t xml:space="preserve">enquanto </w:t>
      </w:r>
      <w:r w:rsidRPr="003A1174">
        <w:rPr>
          <w:rFonts w:ascii="Garamond" w:hAnsi="Garamond" w:cs="Arial"/>
          <w:sz w:val="24"/>
          <w:szCs w:val="24"/>
        </w:rPr>
        <w:t xml:space="preserve">62,9%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indic</w:t>
      </w:r>
      <w:r w:rsidR="00067AA4" w:rsidRPr="003A1174">
        <w:rPr>
          <w:rFonts w:ascii="Garamond" w:hAnsi="Garamond" w:cs="Arial"/>
          <w:sz w:val="24"/>
          <w:szCs w:val="24"/>
        </w:rPr>
        <w:t>ou ter so</w:t>
      </w:r>
      <w:r w:rsidRPr="003A1174">
        <w:rPr>
          <w:rFonts w:ascii="Garamond" w:hAnsi="Garamond" w:cs="Arial"/>
          <w:sz w:val="24"/>
          <w:szCs w:val="24"/>
        </w:rPr>
        <w:t xml:space="preserve">frido fenómenos de </w:t>
      </w:r>
      <w:r w:rsidR="00253B1D" w:rsidRPr="003A1174">
        <w:rPr>
          <w:rFonts w:ascii="Garamond" w:hAnsi="Garamond" w:cs="Arial"/>
          <w:sz w:val="24"/>
          <w:szCs w:val="24"/>
        </w:rPr>
        <w:t>controlo</w:t>
      </w:r>
      <w:r w:rsidRPr="003A1174">
        <w:rPr>
          <w:rFonts w:ascii="Garamond" w:hAnsi="Garamond" w:cs="Arial"/>
          <w:sz w:val="24"/>
          <w:szCs w:val="24"/>
        </w:rPr>
        <w:t xml:space="preserve"> (</w:t>
      </w:r>
      <w:r w:rsidR="00067AA4" w:rsidRPr="003A1174">
        <w:rPr>
          <w:rFonts w:ascii="Garamond" w:hAnsi="Garamond" w:cs="Arial"/>
          <w:sz w:val="24"/>
          <w:szCs w:val="24"/>
        </w:rPr>
        <w:t xml:space="preserve">ou seja, </w:t>
      </w:r>
      <w:r w:rsidR="000350B1" w:rsidRPr="003A1174">
        <w:rPr>
          <w:rFonts w:ascii="Garamond" w:hAnsi="Garamond" w:cs="Arial"/>
          <w:sz w:val="24"/>
          <w:szCs w:val="24"/>
        </w:rPr>
        <w:t>violência</w:t>
      </w:r>
      <w:r w:rsidRPr="003A1174">
        <w:rPr>
          <w:rFonts w:ascii="Garamond" w:hAnsi="Garamond" w:cs="Arial"/>
          <w:sz w:val="24"/>
          <w:szCs w:val="24"/>
        </w:rPr>
        <w:t xml:space="preserve"> psicológica) </w:t>
      </w:r>
      <w:r w:rsidR="00067AA4" w:rsidRPr="003A1174">
        <w:rPr>
          <w:rFonts w:ascii="Garamond" w:hAnsi="Garamond" w:cs="Arial"/>
          <w:sz w:val="24"/>
          <w:szCs w:val="24"/>
        </w:rPr>
        <w:t xml:space="preserve">por </w:t>
      </w:r>
      <w:r w:rsidRPr="003A1174">
        <w:rPr>
          <w:rFonts w:ascii="Garamond" w:hAnsi="Garamond" w:cs="Arial"/>
          <w:sz w:val="24"/>
          <w:szCs w:val="24"/>
        </w:rPr>
        <w:t>parte d</w:t>
      </w:r>
      <w:r w:rsidR="00067AA4" w:rsidRPr="003A1174">
        <w:rPr>
          <w:rFonts w:ascii="Garamond" w:hAnsi="Garamond" w:cs="Arial"/>
          <w:sz w:val="24"/>
          <w:szCs w:val="24"/>
        </w:rPr>
        <w:t xml:space="preserve">o </w:t>
      </w:r>
      <w:r w:rsidR="009C45E6">
        <w:rPr>
          <w:rFonts w:ascii="Garamond" w:hAnsi="Garamond" w:cs="Arial"/>
          <w:sz w:val="24"/>
          <w:szCs w:val="24"/>
        </w:rPr>
        <w:t xml:space="preserve">marido </w:t>
      </w:r>
      <w:r w:rsidRPr="003A1174">
        <w:rPr>
          <w:rFonts w:ascii="Garamond" w:hAnsi="Garamond" w:cs="Arial"/>
          <w:sz w:val="24"/>
          <w:szCs w:val="24"/>
        </w:rPr>
        <w:t>o</w:t>
      </w:r>
      <w:r w:rsidR="00067AA4" w:rsidRPr="003A1174">
        <w:rPr>
          <w:rFonts w:ascii="Garamond" w:hAnsi="Garamond" w:cs="Arial"/>
          <w:sz w:val="24"/>
          <w:szCs w:val="24"/>
        </w:rPr>
        <w:t>u</w:t>
      </w:r>
      <w:r w:rsidRPr="003A1174">
        <w:rPr>
          <w:rFonts w:ascii="Garamond" w:hAnsi="Garamond" w:cs="Arial"/>
          <w:sz w:val="24"/>
          <w:szCs w:val="24"/>
        </w:rPr>
        <w:t xml:space="preserve"> compa</w:t>
      </w:r>
      <w:r w:rsidR="00067AA4" w:rsidRPr="003A1174">
        <w:rPr>
          <w:rFonts w:ascii="Garamond" w:hAnsi="Garamond" w:cs="Arial"/>
          <w:sz w:val="24"/>
          <w:szCs w:val="24"/>
        </w:rPr>
        <w:t>nhei</w:t>
      </w:r>
      <w:r w:rsidRPr="003A1174">
        <w:rPr>
          <w:rFonts w:ascii="Garamond" w:hAnsi="Garamond" w:cs="Arial"/>
          <w:sz w:val="24"/>
          <w:szCs w:val="24"/>
        </w:rPr>
        <w:t>ro</w:t>
      </w:r>
      <w:r w:rsidR="003D2CA7" w:rsidRPr="003A1174">
        <w:rPr>
          <w:rFonts w:ascii="Garamond" w:hAnsi="Garamond" w:cs="Arial"/>
          <w:sz w:val="24"/>
          <w:szCs w:val="24"/>
        </w:rPr>
        <w:t>.</w:t>
      </w:r>
      <w:r w:rsidRPr="003A1174">
        <w:rPr>
          <w:rStyle w:val="Refdenotaalpie"/>
          <w:rFonts w:ascii="Garamond" w:hAnsi="Garamond" w:cs="Arial"/>
          <w:sz w:val="24"/>
          <w:szCs w:val="24"/>
        </w:rPr>
        <w:footnoteReference w:id="77"/>
      </w:r>
    </w:p>
    <w:p w:rsidR="00D01B8C" w:rsidRPr="003A1174" w:rsidRDefault="00D01B8C" w:rsidP="008719D4">
      <w:pPr>
        <w:spacing w:after="0" w:line="240" w:lineRule="auto"/>
        <w:jc w:val="both"/>
        <w:rPr>
          <w:rFonts w:ascii="Garamond" w:hAnsi="Garamond" w:cs="Arial"/>
          <w:sz w:val="24"/>
          <w:szCs w:val="24"/>
        </w:rPr>
      </w:pPr>
    </w:p>
    <w:p w:rsidR="00D01B8C" w:rsidRPr="003A1174" w:rsidRDefault="007342D9" w:rsidP="008719D4">
      <w:pPr>
        <w:spacing w:after="0" w:line="240" w:lineRule="auto"/>
        <w:jc w:val="both"/>
        <w:rPr>
          <w:rFonts w:ascii="Garamond" w:hAnsi="Garamond" w:cs="Arial"/>
          <w:sz w:val="24"/>
          <w:szCs w:val="24"/>
        </w:rPr>
      </w:pPr>
      <w:r w:rsidRPr="003A1174">
        <w:rPr>
          <w:rFonts w:ascii="Garamond" w:hAnsi="Garamond" w:cs="Arial"/>
          <w:sz w:val="24"/>
          <w:szCs w:val="24"/>
        </w:rPr>
        <w:t>Pode</w:t>
      </w:r>
      <w:r w:rsidR="00D01B8C" w:rsidRPr="003A1174">
        <w:rPr>
          <w:rFonts w:ascii="Garamond" w:hAnsi="Garamond" w:cs="Arial"/>
          <w:sz w:val="24"/>
          <w:szCs w:val="24"/>
        </w:rPr>
        <w:t xml:space="preserve"> afirmar</w:t>
      </w:r>
      <w:r w:rsidR="00067AA4" w:rsidRPr="003A1174">
        <w:rPr>
          <w:rFonts w:ascii="Garamond" w:hAnsi="Garamond" w:cs="Arial"/>
          <w:sz w:val="24"/>
          <w:szCs w:val="24"/>
        </w:rPr>
        <w:t>-</w:t>
      </w:r>
      <w:r w:rsidR="00D01B8C" w:rsidRPr="003A1174">
        <w:rPr>
          <w:rFonts w:ascii="Garamond" w:hAnsi="Garamond" w:cs="Arial"/>
          <w:sz w:val="24"/>
          <w:szCs w:val="24"/>
        </w:rPr>
        <w:t>se que</w:t>
      </w:r>
      <w:r w:rsidR="00E34DB3" w:rsidRPr="003A1174">
        <w:rPr>
          <w:rFonts w:ascii="Garamond" w:hAnsi="Garamond" w:cs="Arial"/>
          <w:sz w:val="24"/>
          <w:szCs w:val="24"/>
        </w:rPr>
        <w:t>,</w:t>
      </w:r>
      <w:r w:rsidR="00D01B8C" w:rsidRPr="003A1174">
        <w:rPr>
          <w:rFonts w:ascii="Garamond" w:hAnsi="Garamond" w:cs="Arial"/>
          <w:sz w:val="24"/>
          <w:szCs w:val="24"/>
        </w:rPr>
        <w:t xml:space="preserve"> </w:t>
      </w:r>
      <w:r w:rsidR="00067AA4" w:rsidRPr="003A1174">
        <w:rPr>
          <w:rFonts w:ascii="Garamond" w:hAnsi="Garamond" w:cs="Arial"/>
          <w:sz w:val="24"/>
          <w:szCs w:val="24"/>
        </w:rPr>
        <w:t>apesar d</w:t>
      </w:r>
      <w:r w:rsidR="00D01B8C" w:rsidRPr="003A1174">
        <w:rPr>
          <w:rFonts w:ascii="Garamond" w:hAnsi="Garamond" w:cs="Arial"/>
          <w:sz w:val="24"/>
          <w:szCs w:val="24"/>
        </w:rPr>
        <w:t xml:space="preserve">os </w:t>
      </w:r>
      <w:r w:rsidR="00381336" w:rsidRPr="003A1174">
        <w:rPr>
          <w:rFonts w:ascii="Garamond" w:hAnsi="Garamond" w:cs="Arial"/>
          <w:sz w:val="24"/>
          <w:szCs w:val="24"/>
        </w:rPr>
        <w:t>progresso</w:t>
      </w:r>
      <w:r w:rsidR="00D01B8C" w:rsidRPr="003A1174">
        <w:rPr>
          <w:rFonts w:ascii="Garamond" w:hAnsi="Garamond" w:cs="Arial"/>
          <w:sz w:val="24"/>
          <w:szCs w:val="24"/>
        </w:rPr>
        <w:t xml:space="preserve">s </w:t>
      </w:r>
      <w:r w:rsidR="00497503" w:rsidRPr="003A1174">
        <w:rPr>
          <w:rFonts w:ascii="Garamond" w:hAnsi="Garamond" w:cs="Arial"/>
          <w:sz w:val="24"/>
          <w:szCs w:val="24"/>
        </w:rPr>
        <w:t>e</w:t>
      </w:r>
      <w:r w:rsidR="00D01B8C" w:rsidRPr="003A1174">
        <w:rPr>
          <w:rFonts w:ascii="Garamond" w:hAnsi="Garamond" w:cs="Arial"/>
          <w:sz w:val="24"/>
          <w:szCs w:val="24"/>
        </w:rPr>
        <w:t xml:space="preserve"> me</w:t>
      </w:r>
      <w:r w:rsidR="00067AA4" w:rsidRPr="003A1174">
        <w:rPr>
          <w:rFonts w:ascii="Garamond" w:hAnsi="Garamond" w:cs="Arial"/>
          <w:sz w:val="24"/>
          <w:szCs w:val="24"/>
        </w:rPr>
        <w:t xml:space="preserve">lhorias nas leis </w:t>
      </w:r>
      <w:r w:rsidR="00D01B8C" w:rsidRPr="003A1174">
        <w:rPr>
          <w:rFonts w:ascii="Garamond" w:hAnsi="Garamond" w:cs="Arial"/>
          <w:sz w:val="24"/>
          <w:szCs w:val="24"/>
        </w:rPr>
        <w:t>forma</w:t>
      </w:r>
      <w:r w:rsidR="00067AA4" w:rsidRPr="003A1174">
        <w:rPr>
          <w:rFonts w:ascii="Garamond" w:hAnsi="Garamond" w:cs="Arial"/>
          <w:sz w:val="24"/>
          <w:szCs w:val="24"/>
        </w:rPr>
        <w:t>is</w:t>
      </w:r>
      <w:r w:rsidR="00D3768C">
        <w:rPr>
          <w:rFonts w:ascii="Garamond" w:hAnsi="Garamond" w:cs="Arial"/>
          <w:sz w:val="24"/>
          <w:szCs w:val="24"/>
        </w:rPr>
        <w:t>,</w:t>
      </w:r>
      <w:r w:rsidR="00067AA4" w:rsidRPr="003A1174">
        <w:rPr>
          <w:rFonts w:ascii="Garamond" w:hAnsi="Garamond" w:cs="Arial"/>
          <w:sz w:val="24"/>
          <w:szCs w:val="24"/>
        </w:rPr>
        <w:t xml:space="preserve"> relativamente</w:t>
      </w:r>
      <w:r w:rsidR="00D3768C">
        <w:rPr>
          <w:rFonts w:ascii="Garamond" w:hAnsi="Garamond" w:cs="Arial"/>
          <w:sz w:val="24"/>
          <w:szCs w:val="24"/>
        </w:rPr>
        <w:t>,</w:t>
      </w:r>
      <w:r w:rsidR="00067AA4" w:rsidRPr="003A1174">
        <w:rPr>
          <w:rFonts w:ascii="Garamond" w:hAnsi="Garamond" w:cs="Arial"/>
          <w:sz w:val="24"/>
          <w:szCs w:val="24"/>
        </w:rPr>
        <w:t xml:space="preserve"> à salvaguarda d</w:t>
      </w:r>
      <w:r w:rsidR="00D01B8C" w:rsidRPr="003A1174">
        <w:rPr>
          <w:rFonts w:ascii="Garamond" w:hAnsi="Garamond" w:cs="Arial"/>
          <w:sz w:val="24"/>
          <w:szCs w:val="24"/>
        </w:rPr>
        <w:t xml:space="preserve">os </w:t>
      </w:r>
      <w:r w:rsidR="00886D6A" w:rsidRPr="003A1174">
        <w:rPr>
          <w:rFonts w:ascii="Garamond" w:hAnsi="Garamond" w:cs="Arial"/>
          <w:sz w:val="24"/>
          <w:szCs w:val="24"/>
        </w:rPr>
        <w:t>direito</w:t>
      </w:r>
      <w:r w:rsidR="00D01B8C" w:rsidRPr="003A1174">
        <w:rPr>
          <w:rFonts w:ascii="Garamond" w:hAnsi="Garamond" w:cs="Arial"/>
          <w:sz w:val="24"/>
          <w:szCs w:val="24"/>
        </w:rPr>
        <w:t xml:space="preserve">s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3F012B" w:rsidRPr="003A1174">
        <w:rPr>
          <w:rFonts w:ascii="Garamond" w:hAnsi="Garamond" w:cs="Arial"/>
          <w:sz w:val="24"/>
          <w:szCs w:val="24"/>
        </w:rPr>
        <w:t>vítima</w:t>
      </w:r>
      <w:r w:rsidR="00D01B8C" w:rsidRPr="003A1174">
        <w:rPr>
          <w:rFonts w:ascii="Garamond" w:hAnsi="Garamond" w:cs="Arial"/>
          <w:sz w:val="24"/>
          <w:szCs w:val="24"/>
        </w:rPr>
        <w:t xml:space="preserve">s de </w:t>
      </w:r>
      <w:r w:rsidR="000350B1" w:rsidRPr="003A1174">
        <w:rPr>
          <w:rFonts w:ascii="Garamond" w:hAnsi="Garamond" w:cs="Arial"/>
          <w:sz w:val="24"/>
          <w:szCs w:val="24"/>
        </w:rPr>
        <w:t>violência</w:t>
      </w:r>
      <w:r w:rsidR="00D01B8C" w:rsidRPr="003A1174">
        <w:rPr>
          <w:rFonts w:ascii="Garamond" w:hAnsi="Garamond" w:cs="Arial"/>
          <w:sz w:val="24"/>
          <w:szCs w:val="24"/>
        </w:rPr>
        <w:t xml:space="preserve">, </w:t>
      </w:r>
      <w:r w:rsidR="00067AA4" w:rsidRPr="003A1174">
        <w:rPr>
          <w:rFonts w:ascii="Garamond" w:hAnsi="Garamond" w:cs="Arial"/>
          <w:sz w:val="24"/>
          <w:szCs w:val="24"/>
        </w:rPr>
        <w:t xml:space="preserve">a </w:t>
      </w:r>
      <w:r w:rsidR="00D01B8C" w:rsidRPr="003A1174">
        <w:rPr>
          <w:rFonts w:ascii="Garamond" w:hAnsi="Garamond" w:cs="Arial"/>
          <w:sz w:val="24"/>
          <w:szCs w:val="24"/>
        </w:rPr>
        <w:t>su</w:t>
      </w:r>
      <w:r w:rsidR="00067AA4" w:rsidRPr="003A1174">
        <w:rPr>
          <w:rFonts w:ascii="Garamond" w:hAnsi="Garamond" w:cs="Arial"/>
          <w:sz w:val="24"/>
          <w:szCs w:val="24"/>
        </w:rPr>
        <w:t>a</w:t>
      </w:r>
      <w:r w:rsidR="00D01B8C" w:rsidRPr="003A1174">
        <w:rPr>
          <w:rFonts w:ascii="Garamond" w:hAnsi="Garamond" w:cs="Arial"/>
          <w:sz w:val="24"/>
          <w:szCs w:val="24"/>
        </w:rPr>
        <w:t xml:space="preserve"> </w:t>
      </w:r>
      <w:r w:rsidR="00454353" w:rsidRPr="003A1174">
        <w:rPr>
          <w:rFonts w:ascii="Garamond" w:hAnsi="Garamond" w:cs="Arial"/>
          <w:sz w:val="24"/>
          <w:szCs w:val="24"/>
        </w:rPr>
        <w:t>eficácia</w:t>
      </w:r>
      <w:r w:rsidR="00D01B8C" w:rsidRPr="003A1174">
        <w:rPr>
          <w:rFonts w:ascii="Garamond" w:hAnsi="Garamond" w:cs="Arial"/>
          <w:sz w:val="24"/>
          <w:szCs w:val="24"/>
        </w:rPr>
        <w:t xml:space="preserve"> </w:t>
      </w:r>
      <w:r w:rsidR="00067AA4" w:rsidRPr="003A1174">
        <w:rPr>
          <w:rFonts w:ascii="Garamond" w:hAnsi="Garamond" w:cs="Arial"/>
          <w:sz w:val="24"/>
          <w:szCs w:val="24"/>
        </w:rPr>
        <w:t>é muito</w:t>
      </w:r>
      <w:r w:rsidR="00D01B8C" w:rsidRPr="003A1174">
        <w:rPr>
          <w:rFonts w:ascii="Garamond" w:hAnsi="Garamond" w:cs="Arial"/>
          <w:sz w:val="24"/>
          <w:szCs w:val="24"/>
        </w:rPr>
        <w:t xml:space="preserve"> limitada</w:t>
      </w:r>
      <w:r w:rsidR="00D3768C">
        <w:rPr>
          <w:rFonts w:ascii="Garamond" w:hAnsi="Garamond" w:cs="Arial"/>
          <w:sz w:val="24"/>
          <w:szCs w:val="24"/>
        </w:rPr>
        <w:t>,</w:t>
      </w:r>
      <w:r w:rsidR="00D01B8C" w:rsidRPr="003A1174">
        <w:rPr>
          <w:rFonts w:ascii="Garamond" w:hAnsi="Garamond" w:cs="Arial"/>
          <w:sz w:val="24"/>
          <w:szCs w:val="24"/>
        </w:rPr>
        <w:t xml:space="preserve"> </w:t>
      </w:r>
      <w:r w:rsidR="00067AA4" w:rsidRPr="003A1174">
        <w:rPr>
          <w:rFonts w:ascii="Garamond" w:hAnsi="Garamond" w:cs="Arial"/>
          <w:sz w:val="24"/>
          <w:szCs w:val="24"/>
        </w:rPr>
        <w:t>uma vez que</w:t>
      </w:r>
      <w:r w:rsidR="00D3768C">
        <w:rPr>
          <w:rFonts w:ascii="Garamond" w:hAnsi="Garamond" w:cs="Arial"/>
          <w:sz w:val="24"/>
          <w:szCs w:val="24"/>
        </w:rPr>
        <w:t>,</w:t>
      </w:r>
      <w:r w:rsidR="00067AA4" w:rsidRPr="003A1174">
        <w:rPr>
          <w:rFonts w:ascii="Garamond" w:hAnsi="Garamond" w:cs="Arial"/>
          <w:sz w:val="24"/>
          <w:szCs w:val="24"/>
        </w:rPr>
        <w:t xml:space="preserve"> não </w:t>
      </w:r>
      <w:r w:rsidR="00D01B8C" w:rsidRPr="003A1174">
        <w:rPr>
          <w:rFonts w:ascii="Garamond" w:hAnsi="Garamond" w:cs="Arial"/>
          <w:sz w:val="24"/>
          <w:szCs w:val="24"/>
        </w:rPr>
        <w:t>se suscita</w:t>
      </w:r>
      <w:r w:rsidR="00067AA4" w:rsidRPr="003A1174">
        <w:rPr>
          <w:rFonts w:ascii="Garamond" w:hAnsi="Garamond" w:cs="Arial"/>
          <w:sz w:val="24"/>
          <w:szCs w:val="24"/>
        </w:rPr>
        <w:t>ram mudanças estruturais</w:t>
      </w:r>
      <w:r w:rsidR="00D01B8C" w:rsidRPr="003A1174">
        <w:rPr>
          <w:rFonts w:ascii="Garamond" w:hAnsi="Garamond" w:cs="Arial"/>
          <w:sz w:val="24"/>
          <w:szCs w:val="24"/>
        </w:rPr>
        <w:t xml:space="preserve"> </w:t>
      </w:r>
      <w:r w:rsidR="00067AA4" w:rsidRPr="003A1174">
        <w:rPr>
          <w:rFonts w:ascii="Garamond" w:hAnsi="Garamond" w:cs="Arial"/>
          <w:sz w:val="24"/>
          <w:szCs w:val="24"/>
        </w:rPr>
        <w:t xml:space="preserve">na </w:t>
      </w:r>
      <w:r w:rsidR="002C7510" w:rsidRPr="003A1174">
        <w:rPr>
          <w:rFonts w:ascii="Garamond" w:hAnsi="Garamond" w:cs="Arial"/>
          <w:sz w:val="24"/>
          <w:szCs w:val="24"/>
        </w:rPr>
        <w:t>sociedade</w:t>
      </w:r>
      <w:r w:rsidR="00D01B8C" w:rsidRPr="003A1174">
        <w:rPr>
          <w:rFonts w:ascii="Garamond" w:hAnsi="Garamond" w:cs="Arial"/>
          <w:sz w:val="24"/>
          <w:szCs w:val="24"/>
        </w:rPr>
        <w:t xml:space="preserve"> que elimin</w:t>
      </w:r>
      <w:r w:rsidR="00E34DB3" w:rsidRPr="003A1174">
        <w:rPr>
          <w:rFonts w:ascii="Garamond" w:hAnsi="Garamond" w:cs="Arial"/>
          <w:sz w:val="24"/>
          <w:szCs w:val="24"/>
        </w:rPr>
        <w:t>asse</w:t>
      </w:r>
      <w:r w:rsidR="00067AA4" w:rsidRPr="003A1174">
        <w:rPr>
          <w:rFonts w:ascii="Garamond" w:hAnsi="Garamond" w:cs="Arial"/>
          <w:sz w:val="24"/>
          <w:szCs w:val="24"/>
        </w:rPr>
        <w:t xml:space="preserve">m </w:t>
      </w:r>
      <w:r w:rsidR="00D01B8C" w:rsidRPr="003A1174">
        <w:rPr>
          <w:rFonts w:ascii="Garamond" w:hAnsi="Garamond" w:cs="Arial"/>
          <w:sz w:val="24"/>
          <w:szCs w:val="24"/>
        </w:rPr>
        <w:t xml:space="preserve">os </w:t>
      </w:r>
      <w:r w:rsidR="00067AA4" w:rsidRPr="003A1174">
        <w:rPr>
          <w:rFonts w:ascii="Garamond" w:hAnsi="Garamond" w:cs="Arial"/>
          <w:sz w:val="24"/>
          <w:szCs w:val="24"/>
        </w:rPr>
        <w:t>estereótipo</w:t>
      </w:r>
      <w:r w:rsidR="00D01B8C" w:rsidRPr="003A1174">
        <w:rPr>
          <w:rFonts w:ascii="Garamond" w:hAnsi="Garamond" w:cs="Arial"/>
          <w:sz w:val="24"/>
          <w:szCs w:val="24"/>
        </w:rPr>
        <w:t xml:space="preserve">s </w:t>
      </w:r>
      <w:r w:rsidR="00A862C2" w:rsidRPr="003A1174">
        <w:rPr>
          <w:rFonts w:ascii="Garamond" w:hAnsi="Garamond" w:cs="Arial"/>
          <w:sz w:val="24"/>
          <w:szCs w:val="24"/>
        </w:rPr>
        <w:t>baseado</w:t>
      </w:r>
      <w:r w:rsidR="00D01B8C" w:rsidRPr="003A1174">
        <w:rPr>
          <w:rFonts w:ascii="Garamond" w:hAnsi="Garamond" w:cs="Arial"/>
          <w:sz w:val="24"/>
          <w:szCs w:val="24"/>
        </w:rPr>
        <w:t>s e</w:t>
      </w:r>
      <w:r w:rsidR="00067AA4" w:rsidRPr="003A1174">
        <w:rPr>
          <w:rFonts w:ascii="Garamond" w:hAnsi="Garamond" w:cs="Arial"/>
          <w:sz w:val="24"/>
          <w:szCs w:val="24"/>
        </w:rPr>
        <w:t>m</w:t>
      </w:r>
      <w:r w:rsidR="00D01B8C" w:rsidRPr="003A1174">
        <w:rPr>
          <w:rFonts w:ascii="Garamond" w:hAnsi="Garamond" w:cs="Arial"/>
          <w:sz w:val="24"/>
          <w:szCs w:val="24"/>
        </w:rPr>
        <w:t xml:space="preserve"> </w:t>
      </w:r>
      <w:r w:rsidR="003F012B" w:rsidRPr="003A1174">
        <w:rPr>
          <w:rFonts w:ascii="Garamond" w:hAnsi="Garamond" w:cs="Arial"/>
          <w:sz w:val="24"/>
          <w:szCs w:val="24"/>
        </w:rPr>
        <w:t>padrões</w:t>
      </w:r>
      <w:r w:rsidR="00D01B8C" w:rsidRPr="003A1174">
        <w:rPr>
          <w:rFonts w:ascii="Garamond" w:hAnsi="Garamond" w:cs="Arial"/>
          <w:sz w:val="24"/>
          <w:szCs w:val="24"/>
        </w:rPr>
        <w:t xml:space="preserve"> social </w:t>
      </w:r>
      <w:r w:rsidR="00497503" w:rsidRPr="003A1174">
        <w:rPr>
          <w:rFonts w:ascii="Garamond" w:hAnsi="Garamond" w:cs="Arial"/>
          <w:sz w:val="24"/>
          <w:szCs w:val="24"/>
        </w:rPr>
        <w:t>e</w:t>
      </w:r>
      <w:r w:rsidR="00D01B8C" w:rsidRPr="003A1174">
        <w:rPr>
          <w:rFonts w:ascii="Garamond" w:hAnsi="Garamond" w:cs="Arial"/>
          <w:sz w:val="24"/>
          <w:szCs w:val="24"/>
        </w:rPr>
        <w:t xml:space="preserve"> culturalmente </w:t>
      </w:r>
      <w:r w:rsidR="00067AA4" w:rsidRPr="003A1174">
        <w:rPr>
          <w:rFonts w:ascii="Garamond" w:hAnsi="Garamond" w:cs="Arial"/>
          <w:sz w:val="24"/>
          <w:szCs w:val="24"/>
        </w:rPr>
        <w:t>enraizados</w:t>
      </w:r>
      <w:r w:rsidR="00D01B8C" w:rsidRPr="003A1174">
        <w:rPr>
          <w:rFonts w:ascii="Garamond" w:hAnsi="Garamond" w:cs="Arial"/>
          <w:sz w:val="24"/>
          <w:szCs w:val="24"/>
        </w:rPr>
        <w:t>, as</w:t>
      </w:r>
      <w:r w:rsidR="00067AA4" w:rsidRPr="003A1174">
        <w:rPr>
          <w:rFonts w:ascii="Garamond" w:hAnsi="Garamond" w:cs="Arial"/>
          <w:sz w:val="24"/>
          <w:szCs w:val="24"/>
        </w:rPr>
        <w:t>sim</w:t>
      </w:r>
      <w:r w:rsidR="00D01B8C" w:rsidRPr="003A1174">
        <w:rPr>
          <w:rFonts w:ascii="Garamond" w:hAnsi="Garamond" w:cs="Arial"/>
          <w:sz w:val="24"/>
          <w:szCs w:val="24"/>
        </w:rPr>
        <w:t xml:space="preserve"> como políticas públicas</w:t>
      </w:r>
      <w:r w:rsidR="00D3768C">
        <w:rPr>
          <w:rFonts w:ascii="Garamond" w:hAnsi="Garamond" w:cs="Arial"/>
          <w:sz w:val="24"/>
          <w:szCs w:val="24"/>
        </w:rPr>
        <w:t>,</w:t>
      </w:r>
      <w:r w:rsidR="00D01B8C" w:rsidRPr="003A1174">
        <w:rPr>
          <w:rFonts w:ascii="Garamond" w:hAnsi="Garamond" w:cs="Arial"/>
          <w:sz w:val="24"/>
          <w:szCs w:val="24"/>
        </w:rPr>
        <w:t xml:space="preserve"> implementadas co</w:t>
      </w:r>
      <w:r w:rsidR="00067AA4" w:rsidRPr="003A1174">
        <w:rPr>
          <w:rFonts w:ascii="Garamond" w:hAnsi="Garamond" w:cs="Arial"/>
          <w:sz w:val="24"/>
          <w:szCs w:val="24"/>
        </w:rPr>
        <w:t xml:space="preserve">m o objetivo de enfrentar </w:t>
      </w:r>
      <w:r w:rsidR="00D01B8C" w:rsidRPr="003A1174">
        <w:rPr>
          <w:rFonts w:ascii="Garamond" w:hAnsi="Garamond" w:cs="Arial"/>
          <w:sz w:val="24"/>
          <w:szCs w:val="24"/>
        </w:rPr>
        <w:t xml:space="preserve">a </w:t>
      </w:r>
      <w:r w:rsidR="000350B1" w:rsidRPr="003A1174">
        <w:rPr>
          <w:rFonts w:ascii="Garamond" w:hAnsi="Garamond" w:cs="Arial"/>
          <w:sz w:val="24"/>
          <w:szCs w:val="24"/>
        </w:rPr>
        <w:t>violência</w:t>
      </w:r>
      <w:r w:rsidR="00067AA4" w:rsidRPr="003A1174">
        <w:rPr>
          <w:rFonts w:ascii="Garamond" w:hAnsi="Garamond" w:cs="Arial"/>
          <w:sz w:val="24"/>
          <w:szCs w:val="24"/>
        </w:rPr>
        <w:t xml:space="preserve"> contra </w:t>
      </w:r>
      <w:r w:rsidR="00D01B8C" w:rsidRPr="003A1174">
        <w:rPr>
          <w:rFonts w:ascii="Garamond" w:hAnsi="Garamond" w:cs="Arial"/>
          <w:sz w:val="24"/>
          <w:szCs w:val="24"/>
        </w:rPr>
        <w:t xml:space="preserve">as </w:t>
      </w:r>
      <w:r w:rsidR="00054EE0" w:rsidRPr="003A1174">
        <w:rPr>
          <w:rFonts w:ascii="Garamond" w:hAnsi="Garamond" w:cs="Arial"/>
          <w:sz w:val="24"/>
          <w:szCs w:val="24"/>
        </w:rPr>
        <w:t>mulheres</w:t>
      </w:r>
      <w:r w:rsidR="00D01B8C" w:rsidRPr="003A1174">
        <w:rPr>
          <w:rFonts w:ascii="Garamond" w:hAnsi="Garamond" w:cs="Arial"/>
          <w:sz w:val="24"/>
          <w:szCs w:val="24"/>
        </w:rPr>
        <w:t>.</w:t>
      </w:r>
    </w:p>
    <w:p w:rsidR="00D01B8C" w:rsidRPr="003A1174" w:rsidRDefault="00D01B8C" w:rsidP="008719D4">
      <w:pPr>
        <w:spacing w:after="0" w:line="240" w:lineRule="auto"/>
        <w:jc w:val="both"/>
        <w:rPr>
          <w:rFonts w:ascii="Garamond" w:hAnsi="Garamond" w:cs="Arial"/>
          <w:sz w:val="24"/>
          <w:szCs w:val="24"/>
        </w:rPr>
      </w:pPr>
    </w:p>
    <w:p w:rsidR="00D01B8C" w:rsidRPr="003A1174" w:rsidRDefault="00067AA4" w:rsidP="008719D4">
      <w:pPr>
        <w:spacing w:after="0" w:line="240" w:lineRule="auto"/>
        <w:jc w:val="both"/>
        <w:rPr>
          <w:rFonts w:ascii="Garamond" w:hAnsi="Garamond" w:cs="Arial"/>
          <w:sz w:val="24"/>
          <w:szCs w:val="24"/>
        </w:rPr>
      </w:pPr>
      <w:r w:rsidRPr="003A1174">
        <w:rPr>
          <w:rFonts w:ascii="Garamond" w:hAnsi="Garamond" w:cs="Arial"/>
          <w:sz w:val="24"/>
          <w:szCs w:val="24"/>
        </w:rPr>
        <w:t>N</w:t>
      </w:r>
      <w:r w:rsidR="00D01B8C" w:rsidRPr="003A1174">
        <w:rPr>
          <w:rFonts w:ascii="Garamond" w:hAnsi="Garamond" w:cs="Arial"/>
          <w:sz w:val="24"/>
          <w:szCs w:val="24"/>
        </w:rPr>
        <w:t>este sentido</w:t>
      </w:r>
      <w:r w:rsidR="003D2CA7" w:rsidRPr="003A1174">
        <w:rPr>
          <w:rFonts w:ascii="Garamond" w:hAnsi="Garamond" w:cs="Arial"/>
          <w:sz w:val="24"/>
          <w:szCs w:val="24"/>
        </w:rPr>
        <w:t>,</w:t>
      </w:r>
      <w:r w:rsidR="00D01B8C" w:rsidRPr="003A1174">
        <w:rPr>
          <w:rFonts w:ascii="Garamond" w:hAnsi="Garamond" w:cs="Arial"/>
          <w:sz w:val="24"/>
          <w:szCs w:val="24"/>
        </w:rPr>
        <w:t xml:space="preserve"> </w:t>
      </w:r>
      <w:r w:rsidRPr="003A1174">
        <w:rPr>
          <w:rFonts w:ascii="Garamond" w:hAnsi="Garamond" w:cs="Arial"/>
          <w:sz w:val="24"/>
          <w:szCs w:val="24"/>
        </w:rPr>
        <w:t>é importante referir que</w:t>
      </w:r>
      <w:r w:rsidR="00CE2763">
        <w:rPr>
          <w:rFonts w:ascii="Garamond" w:hAnsi="Garamond" w:cs="Arial"/>
          <w:sz w:val="24"/>
          <w:szCs w:val="24"/>
        </w:rPr>
        <w:t>,</w:t>
      </w:r>
      <w:r w:rsidRPr="003A1174">
        <w:rPr>
          <w:rFonts w:ascii="Garamond" w:hAnsi="Garamond" w:cs="Arial"/>
          <w:sz w:val="24"/>
          <w:szCs w:val="24"/>
        </w:rPr>
        <w:t xml:space="preserve"> num </w:t>
      </w:r>
      <w:r w:rsidR="00D01B8C" w:rsidRPr="003A1174">
        <w:rPr>
          <w:rFonts w:ascii="Garamond" w:hAnsi="Garamond" w:cs="Arial"/>
          <w:sz w:val="24"/>
          <w:szCs w:val="24"/>
        </w:rPr>
        <w:t>balan</w:t>
      </w:r>
      <w:r w:rsidRPr="003A1174">
        <w:rPr>
          <w:rFonts w:ascii="Garamond" w:hAnsi="Garamond" w:cs="Arial"/>
          <w:sz w:val="24"/>
          <w:szCs w:val="24"/>
        </w:rPr>
        <w:t>ço</w:t>
      </w:r>
      <w:r w:rsidR="00D01B8C" w:rsidRPr="003A1174">
        <w:rPr>
          <w:rFonts w:ascii="Garamond" w:hAnsi="Garamond" w:cs="Arial"/>
          <w:sz w:val="24"/>
          <w:szCs w:val="24"/>
        </w:rPr>
        <w:t xml:space="preserve"> </w:t>
      </w:r>
      <w:r w:rsidRPr="003A1174">
        <w:rPr>
          <w:rFonts w:ascii="Garamond" w:hAnsi="Garamond" w:cs="Arial"/>
          <w:sz w:val="24"/>
          <w:szCs w:val="24"/>
        </w:rPr>
        <w:t>a</w:t>
      </w:r>
      <w:r w:rsidR="00D01B8C" w:rsidRPr="003A1174">
        <w:rPr>
          <w:rFonts w:ascii="Garamond" w:hAnsi="Garamond" w:cs="Arial"/>
          <w:sz w:val="24"/>
          <w:szCs w:val="24"/>
        </w:rPr>
        <w:t>presentado e</w:t>
      </w:r>
      <w:r w:rsidRPr="003A1174">
        <w:rPr>
          <w:rFonts w:ascii="Garamond" w:hAnsi="Garamond" w:cs="Arial"/>
          <w:sz w:val="24"/>
          <w:szCs w:val="24"/>
        </w:rPr>
        <w:t xml:space="preserve">m </w:t>
      </w:r>
      <w:r w:rsidR="00D01B8C" w:rsidRPr="003A1174">
        <w:rPr>
          <w:rFonts w:ascii="Garamond" w:hAnsi="Garamond" w:cs="Arial"/>
          <w:sz w:val="24"/>
          <w:szCs w:val="24"/>
        </w:rPr>
        <w:t>2013</w:t>
      </w:r>
      <w:r w:rsidR="00CE2763">
        <w:rPr>
          <w:rFonts w:ascii="Garamond" w:hAnsi="Garamond" w:cs="Arial"/>
          <w:sz w:val="24"/>
          <w:szCs w:val="24"/>
        </w:rPr>
        <w:t>,</w:t>
      </w:r>
      <w:r w:rsidR="00D01B8C" w:rsidRPr="003A1174">
        <w:rPr>
          <w:rFonts w:ascii="Garamond" w:hAnsi="Garamond" w:cs="Arial"/>
          <w:sz w:val="24"/>
          <w:szCs w:val="24"/>
        </w:rPr>
        <w:t xml:space="preserve"> p</w:t>
      </w:r>
      <w:r w:rsidRPr="003A1174">
        <w:rPr>
          <w:rFonts w:ascii="Garamond" w:hAnsi="Garamond" w:cs="Arial"/>
          <w:sz w:val="24"/>
          <w:szCs w:val="24"/>
        </w:rPr>
        <w:t>e</w:t>
      </w:r>
      <w:r w:rsidR="00D01B8C" w:rsidRPr="003A1174">
        <w:rPr>
          <w:rFonts w:ascii="Garamond" w:hAnsi="Garamond" w:cs="Arial"/>
          <w:sz w:val="24"/>
          <w:szCs w:val="24"/>
        </w:rPr>
        <w:t xml:space="preserve">la </w:t>
      </w:r>
      <w:r w:rsidR="00C04CA4" w:rsidRPr="003A1174">
        <w:rPr>
          <w:rFonts w:ascii="Garamond" w:hAnsi="Garamond" w:cs="Arial"/>
          <w:sz w:val="24"/>
          <w:szCs w:val="24"/>
        </w:rPr>
        <w:t>Provedoria de Justiça</w:t>
      </w:r>
      <w:r w:rsidR="00D01B8C" w:rsidRPr="003A1174">
        <w:rPr>
          <w:rFonts w:ascii="Garamond" w:hAnsi="Garamond" w:cs="Arial"/>
          <w:sz w:val="24"/>
          <w:szCs w:val="24"/>
        </w:rPr>
        <w:t xml:space="preserve"> sobre </w:t>
      </w:r>
      <w:r w:rsidRPr="003A1174">
        <w:rPr>
          <w:rFonts w:ascii="Garamond" w:hAnsi="Garamond" w:cs="Arial"/>
          <w:sz w:val="24"/>
          <w:szCs w:val="24"/>
        </w:rPr>
        <w:t>o</w:t>
      </w:r>
      <w:r w:rsidR="00D01B8C" w:rsidRPr="003A1174">
        <w:rPr>
          <w:rFonts w:ascii="Garamond" w:hAnsi="Garamond" w:cs="Arial"/>
          <w:sz w:val="24"/>
          <w:szCs w:val="24"/>
        </w:rPr>
        <w:t xml:space="preserve"> </w:t>
      </w:r>
      <w:r w:rsidR="00D96FD0" w:rsidRPr="003A1174">
        <w:rPr>
          <w:rFonts w:ascii="Garamond" w:hAnsi="Garamond" w:cs="Arial"/>
          <w:sz w:val="24"/>
          <w:szCs w:val="24"/>
        </w:rPr>
        <w:t>Cumprimento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w:t>
      </w:r>
      <w:r w:rsidR="00D3768C">
        <w:rPr>
          <w:rFonts w:ascii="Garamond" w:hAnsi="Garamond" w:cs="Arial"/>
          <w:sz w:val="24"/>
          <w:szCs w:val="24"/>
        </w:rPr>
        <w:t>«</w:t>
      </w:r>
      <w:r w:rsidR="00462B11" w:rsidRPr="003A1174">
        <w:rPr>
          <w:rFonts w:ascii="Garamond" w:hAnsi="Garamond" w:cs="Arial"/>
          <w:sz w:val="24"/>
          <w:szCs w:val="24"/>
        </w:rPr>
        <w:t>Plano</w:t>
      </w:r>
      <w:r w:rsidRPr="003A1174">
        <w:rPr>
          <w:rFonts w:ascii="Garamond" w:hAnsi="Garamond" w:cs="Arial"/>
          <w:sz w:val="24"/>
          <w:szCs w:val="24"/>
        </w:rPr>
        <w:t xml:space="preserve"> Nacional contra </w:t>
      </w:r>
      <w:r w:rsidR="00D01B8C" w:rsidRPr="003A1174">
        <w:rPr>
          <w:rFonts w:ascii="Garamond" w:hAnsi="Garamond" w:cs="Arial"/>
          <w:sz w:val="24"/>
          <w:szCs w:val="24"/>
        </w:rPr>
        <w:t xml:space="preserve">a </w:t>
      </w:r>
      <w:r w:rsidR="000350B1" w:rsidRPr="003A1174">
        <w:rPr>
          <w:rFonts w:ascii="Garamond" w:hAnsi="Garamond" w:cs="Arial"/>
          <w:sz w:val="24"/>
          <w:szCs w:val="24"/>
        </w:rPr>
        <w:t>Violência</w:t>
      </w:r>
      <w:r w:rsidR="00D01B8C" w:rsidRPr="003A1174">
        <w:rPr>
          <w:rFonts w:ascii="Garamond" w:hAnsi="Garamond" w:cs="Arial"/>
          <w:sz w:val="24"/>
          <w:szCs w:val="24"/>
        </w:rPr>
        <w:t xml:space="preserve"> </w:t>
      </w:r>
      <w:r w:rsidRPr="003A1174">
        <w:rPr>
          <w:rFonts w:ascii="Garamond" w:hAnsi="Garamond" w:cs="Arial"/>
          <w:sz w:val="24"/>
          <w:szCs w:val="24"/>
        </w:rPr>
        <w:t xml:space="preserve">para com a </w:t>
      </w:r>
      <w:r w:rsidR="00AF192F" w:rsidRPr="003A1174">
        <w:rPr>
          <w:rFonts w:ascii="Garamond" w:hAnsi="Garamond" w:cs="Arial"/>
          <w:sz w:val="24"/>
          <w:szCs w:val="24"/>
        </w:rPr>
        <w:t>Mulher</w:t>
      </w:r>
      <w:r w:rsidR="00D01B8C" w:rsidRPr="003A1174">
        <w:rPr>
          <w:rFonts w:ascii="Garamond" w:hAnsi="Garamond" w:cs="Arial"/>
          <w:sz w:val="24"/>
          <w:szCs w:val="24"/>
        </w:rPr>
        <w:t xml:space="preserve"> 2009-2015</w:t>
      </w:r>
      <w:r w:rsidR="00D3768C">
        <w:rPr>
          <w:rFonts w:ascii="Garamond" w:hAnsi="Garamond" w:cs="Arial"/>
          <w:sz w:val="24"/>
          <w:szCs w:val="24"/>
        </w:rPr>
        <w:t>»</w:t>
      </w:r>
      <w:r w:rsidR="00F73CFB" w:rsidRPr="003A1174">
        <w:rPr>
          <w:rFonts w:ascii="Garamond" w:hAnsi="Garamond" w:cs="Arial"/>
          <w:sz w:val="24"/>
          <w:szCs w:val="24"/>
        </w:rPr>
        <w:t>,</w:t>
      </w:r>
      <w:r w:rsidR="00D01B8C" w:rsidRPr="003A1174">
        <w:rPr>
          <w:rFonts w:ascii="Garamond" w:hAnsi="Garamond" w:cs="Arial"/>
          <w:sz w:val="24"/>
          <w:szCs w:val="24"/>
        </w:rPr>
        <w:t xml:space="preserve"> </w:t>
      </w:r>
      <w:r w:rsidRPr="003A1174">
        <w:rPr>
          <w:rFonts w:ascii="Garamond" w:hAnsi="Garamond" w:cs="Arial"/>
          <w:sz w:val="24"/>
          <w:szCs w:val="24"/>
        </w:rPr>
        <w:t>compreende-</w:t>
      </w:r>
      <w:r w:rsidR="00D01B8C" w:rsidRPr="003A1174">
        <w:rPr>
          <w:rFonts w:ascii="Garamond" w:hAnsi="Garamond" w:cs="Arial"/>
          <w:sz w:val="24"/>
          <w:szCs w:val="24"/>
        </w:rPr>
        <w:t xml:space="preserve">se </w:t>
      </w:r>
      <w:r w:rsidRPr="003A1174">
        <w:rPr>
          <w:rFonts w:ascii="Garamond" w:hAnsi="Garamond" w:cs="Arial"/>
          <w:sz w:val="24"/>
          <w:szCs w:val="24"/>
        </w:rPr>
        <w:t>que ainda existe um</w:t>
      </w:r>
      <w:r w:rsidR="00D01B8C" w:rsidRPr="003A1174">
        <w:rPr>
          <w:rFonts w:ascii="Garamond" w:hAnsi="Garamond" w:cs="Arial"/>
          <w:sz w:val="24"/>
          <w:szCs w:val="24"/>
        </w:rPr>
        <w:t>a</w:t>
      </w:r>
      <w:r w:rsidR="00E34DB3" w:rsidRPr="003A1174">
        <w:rPr>
          <w:rFonts w:ascii="Garamond" w:hAnsi="Garamond"/>
          <w:sz w:val="24"/>
          <w:szCs w:val="24"/>
        </w:rPr>
        <w:t xml:space="preserve"> </w:t>
      </w:r>
      <w:r w:rsidR="00E34DB3" w:rsidRPr="003A1174">
        <w:rPr>
          <w:rFonts w:ascii="Garamond" w:hAnsi="Garamond" w:cs="Arial"/>
          <w:sz w:val="24"/>
          <w:szCs w:val="24"/>
        </w:rPr>
        <w:t>vontade política</w:t>
      </w:r>
      <w:r w:rsidR="00D01B8C" w:rsidRPr="003A1174">
        <w:rPr>
          <w:rFonts w:ascii="Garamond" w:hAnsi="Garamond" w:cs="Arial"/>
          <w:sz w:val="24"/>
          <w:szCs w:val="24"/>
        </w:rPr>
        <w:t xml:space="preserve"> insuficiente por parte de </w:t>
      </w:r>
      <w:r w:rsidR="006F4B2C" w:rsidRPr="003A1174">
        <w:rPr>
          <w:rFonts w:ascii="Garamond" w:hAnsi="Garamond" w:cs="Arial"/>
          <w:sz w:val="24"/>
          <w:szCs w:val="24"/>
        </w:rPr>
        <w:t>alguns</w:t>
      </w:r>
      <w:r w:rsidR="00D01B8C" w:rsidRPr="003A1174">
        <w:rPr>
          <w:rFonts w:ascii="Garamond" w:hAnsi="Garamond" w:cs="Arial"/>
          <w:sz w:val="24"/>
          <w:szCs w:val="24"/>
        </w:rPr>
        <w:t xml:space="preserve"> </w:t>
      </w:r>
      <w:r w:rsidR="00BE4EB8" w:rsidRPr="003A1174">
        <w:rPr>
          <w:rFonts w:ascii="Garamond" w:hAnsi="Garamond" w:cs="Arial"/>
          <w:sz w:val="24"/>
          <w:szCs w:val="24"/>
        </w:rPr>
        <w:t>setores</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Estado para enfrenta</w:t>
      </w:r>
      <w:r w:rsidRPr="003A1174">
        <w:rPr>
          <w:rFonts w:ascii="Garamond" w:hAnsi="Garamond" w:cs="Arial"/>
          <w:sz w:val="24"/>
          <w:szCs w:val="24"/>
        </w:rPr>
        <w:t xml:space="preserve">rem </w:t>
      </w:r>
      <w:r w:rsidR="00D01B8C" w:rsidRPr="003A1174">
        <w:rPr>
          <w:rFonts w:ascii="Garamond" w:hAnsi="Garamond" w:cs="Arial"/>
          <w:sz w:val="24"/>
          <w:szCs w:val="24"/>
        </w:rPr>
        <w:t xml:space="preserve">a problemática da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D01B8C" w:rsidRPr="003A1174">
        <w:rPr>
          <w:rFonts w:ascii="Garamond" w:hAnsi="Garamond" w:cs="Arial"/>
          <w:sz w:val="24"/>
          <w:szCs w:val="24"/>
        </w:rPr>
        <w:t xml:space="preserve">as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Pr="003A1174">
        <w:rPr>
          <w:rFonts w:ascii="Garamond" w:hAnsi="Garamond" w:cs="Arial"/>
          <w:sz w:val="24"/>
          <w:szCs w:val="24"/>
        </w:rPr>
        <w:t xml:space="preserve">Também é </w:t>
      </w:r>
      <w:r w:rsidR="00D01B8C" w:rsidRPr="003A1174">
        <w:rPr>
          <w:rFonts w:ascii="Garamond" w:hAnsi="Garamond" w:cs="Arial"/>
          <w:sz w:val="24"/>
          <w:szCs w:val="24"/>
        </w:rPr>
        <w:t xml:space="preserve">preocupante que este </w:t>
      </w:r>
      <w:r w:rsidR="003F012B" w:rsidRPr="003A1174">
        <w:rPr>
          <w:rFonts w:ascii="Garamond" w:hAnsi="Garamond" w:cs="Arial"/>
          <w:sz w:val="24"/>
          <w:szCs w:val="24"/>
        </w:rPr>
        <w:t>estudo</w:t>
      </w:r>
      <w:r w:rsidR="00D01B8C" w:rsidRPr="003A1174">
        <w:rPr>
          <w:rFonts w:ascii="Garamond" w:hAnsi="Garamond" w:cs="Arial"/>
          <w:sz w:val="24"/>
          <w:szCs w:val="24"/>
        </w:rPr>
        <w:t xml:space="preserve"> revele que gran</w:t>
      </w:r>
      <w:r w:rsidRPr="003A1174">
        <w:rPr>
          <w:rFonts w:ascii="Garamond" w:hAnsi="Garamond" w:cs="Arial"/>
          <w:sz w:val="24"/>
          <w:szCs w:val="24"/>
        </w:rPr>
        <w:t>de</w:t>
      </w:r>
      <w:r w:rsidR="00D01B8C" w:rsidRPr="003A1174">
        <w:rPr>
          <w:rFonts w:ascii="Garamond" w:hAnsi="Garamond" w:cs="Arial"/>
          <w:sz w:val="24"/>
          <w:szCs w:val="24"/>
        </w:rPr>
        <w:t xml:space="preserve"> parte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BE4EB8" w:rsidRPr="003A1174">
        <w:rPr>
          <w:rFonts w:ascii="Garamond" w:hAnsi="Garamond" w:cs="Arial"/>
          <w:sz w:val="24"/>
          <w:szCs w:val="24"/>
        </w:rPr>
        <w:t>setores</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Estado n</w:t>
      </w:r>
      <w:r w:rsidRPr="003A1174">
        <w:rPr>
          <w:rFonts w:ascii="Garamond" w:hAnsi="Garamond" w:cs="Arial"/>
          <w:sz w:val="24"/>
          <w:szCs w:val="24"/>
        </w:rPr>
        <w:t>ã</w:t>
      </w:r>
      <w:r w:rsidR="00D01B8C" w:rsidRPr="003A1174">
        <w:rPr>
          <w:rFonts w:ascii="Garamond" w:hAnsi="Garamond" w:cs="Arial"/>
          <w:sz w:val="24"/>
          <w:szCs w:val="24"/>
        </w:rPr>
        <w:t>o</w:t>
      </w:r>
      <w:r w:rsidRPr="003A1174">
        <w:rPr>
          <w:rFonts w:ascii="Garamond" w:hAnsi="Garamond" w:cs="Arial"/>
          <w:sz w:val="24"/>
          <w:szCs w:val="24"/>
        </w:rPr>
        <w:t xml:space="preserve"> atribui orçamento ao tema d</w:t>
      </w:r>
      <w:r w:rsidR="00F73CFB" w:rsidRPr="003A1174">
        <w:rPr>
          <w:rFonts w:ascii="Garamond" w:hAnsi="Garamond" w:cs="Arial"/>
          <w:sz w:val="24"/>
          <w:szCs w:val="24"/>
        </w:rPr>
        <w:t xml:space="preserve">a </w:t>
      </w:r>
      <w:r w:rsidR="002C7510" w:rsidRPr="003A1174">
        <w:rPr>
          <w:rFonts w:ascii="Garamond" w:hAnsi="Garamond" w:cs="Arial"/>
          <w:sz w:val="24"/>
          <w:szCs w:val="24"/>
        </w:rPr>
        <w:t>defesa</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2F5CD1" w:rsidRPr="003A1174">
        <w:rPr>
          <w:rFonts w:ascii="Garamond" w:hAnsi="Garamond" w:cs="Arial"/>
          <w:sz w:val="24"/>
          <w:szCs w:val="24"/>
        </w:rPr>
        <w:t>promoção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w:t>
      </w:r>
      <w:r w:rsidR="00886D6A" w:rsidRPr="003A1174">
        <w:rPr>
          <w:rFonts w:ascii="Garamond" w:hAnsi="Garamond" w:cs="Arial"/>
          <w:sz w:val="24"/>
          <w:szCs w:val="24"/>
        </w:rPr>
        <w:t>direito</w:t>
      </w:r>
      <w:r w:rsidR="00D01B8C" w:rsidRPr="003A1174">
        <w:rPr>
          <w:rFonts w:ascii="Garamond" w:hAnsi="Garamond" w:cs="Arial"/>
          <w:sz w:val="24"/>
          <w:szCs w:val="24"/>
        </w:rPr>
        <w:t xml:space="preserve">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a um</w:t>
      </w:r>
      <w:r w:rsidR="00D01B8C" w:rsidRPr="003A1174">
        <w:rPr>
          <w:rFonts w:ascii="Garamond" w:hAnsi="Garamond" w:cs="Arial"/>
          <w:sz w:val="24"/>
          <w:szCs w:val="24"/>
        </w:rPr>
        <w:t xml:space="preserve">a vida </w:t>
      </w:r>
      <w:r w:rsidR="00AF192F" w:rsidRPr="003A1174">
        <w:rPr>
          <w:rFonts w:ascii="Garamond" w:hAnsi="Garamond" w:cs="Arial"/>
          <w:sz w:val="24"/>
          <w:szCs w:val="24"/>
        </w:rPr>
        <w:t>livre</w:t>
      </w:r>
      <w:r w:rsidR="00D01B8C" w:rsidRPr="003A1174">
        <w:rPr>
          <w:rFonts w:ascii="Garamond" w:hAnsi="Garamond" w:cs="Arial"/>
          <w:sz w:val="24"/>
          <w:szCs w:val="24"/>
        </w:rPr>
        <w:t xml:space="preserve"> de </w:t>
      </w:r>
      <w:r w:rsidR="000350B1" w:rsidRPr="003A1174">
        <w:rPr>
          <w:rFonts w:ascii="Garamond" w:hAnsi="Garamond" w:cs="Arial"/>
          <w:sz w:val="24"/>
          <w:szCs w:val="24"/>
        </w:rPr>
        <w:t>violência</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3768C">
        <w:rPr>
          <w:rFonts w:ascii="Garamond" w:hAnsi="Garamond" w:cs="Arial"/>
          <w:sz w:val="24"/>
          <w:szCs w:val="24"/>
        </w:rPr>
        <w:t>,</w:t>
      </w:r>
      <w:r w:rsidR="00D01B8C" w:rsidRPr="003A1174">
        <w:rPr>
          <w:rFonts w:ascii="Garamond" w:hAnsi="Garamond" w:cs="Arial"/>
          <w:sz w:val="24"/>
          <w:szCs w:val="24"/>
        </w:rPr>
        <w:t xml:space="preserve"> </w:t>
      </w:r>
      <w:r w:rsidRPr="003A1174">
        <w:rPr>
          <w:rFonts w:ascii="Garamond" w:hAnsi="Garamond" w:cs="Arial"/>
          <w:sz w:val="24"/>
          <w:szCs w:val="24"/>
        </w:rPr>
        <w:t>n</w:t>
      </w:r>
      <w:r w:rsidR="00D01B8C" w:rsidRPr="003A1174">
        <w:rPr>
          <w:rFonts w:ascii="Garamond" w:hAnsi="Garamond" w:cs="Arial"/>
          <w:sz w:val="24"/>
          <w:szCs w:val="24"/>
        </w:rPr>
        <w:t xml:space="preserve">os casos </w:t>
      </w:r>
      <w:r w:rsidR="00F73CFB" w:rsidRPr="003A1174">
        <w:rPr>
          <w:rFonts w:ascii="Garamond" w:hAnsi="Garamond" w:cs="Arial"/>
          <w:sz w:val="24"/>
          <w:szCs w:val="24"/>
        </w:rPr>
        <w:t>e</w:t>
      </w:r>
      <w:r w:rsidRPr="003A1174">
        <w:rPr>
          <w:rFonts w:ascii="Garamond" w:hAnsi="Garamond" w:cs="Arial"/>
          <w:sz w:val="24"/>
          <w:szCs w:val="24"/>
        </w:rPr>
        <w:t>m</w:t>
      </w:r>
      <w:r w:rsidR="00F73CFB" w:rsidRPr="003A1174">
        <w:rPr>
          <w:rFonts w:ascii="Garamond" w:hAnsi="Garamond" w:cs="Arial"/>
          <w:sz w:val="24"/>
          <w:szCs w:val="24"/>
        </w:rPr>
        <w:t xml:space="preserve"> </w:t>
      </w:r>
      <w:r w:rsidRPr="003A1174">
        <w:rPr>
          <w:rFonts w:ascii="Garamond" w:hAnsi="Garamond" w:cs="Arial"/>
          <w:sz w:val="24"/>
          <w:szCs w:val="24"/>
        </w:rPr>
        <w:t>que ele é atribuído</w:t>
      </w:r>
      <w:r w:rsidR="00D3768C">
        <w:rPr>
          <w:rFonts w:ascii="Garamond" w:hAnsi="Garamond" w:cs="Arial"/>
          <w:sz w:val="24"/>
          <w:szCs w:val="24"/>
        </w:rPr>
        <w:t>,</w:t>
      </w:r>
      <w:r w:rsidRPr="003A1174">
        <w:rPr>
          <w:rFonts w:ascii="Garamond" w:hAnsi="Garamond" w:cs="Arial"/>
          <w:sz w:val="24"/>
          <w:szCs w:val="24"/>
        </w:rPr>
        <w:t xml:space="preserve"> é </w:t>
      </w:r>
      <w:r w:rsidR="00D01B8C" w:rsidRPr="003A1174">
        <w:rPr>
          <w:rFonts w:ascii="Garamond" w:hAnsi="Garamond" w:cs="Arial"/>
          <w:sz w:val="24"/>
          <w:szCs w:val="24"/>
        </w:rPr>
        <w:t xml:space="preserve">insuficiente para </w:t>
      </w:r>
      <w:r w:rsidR="00D75A07" w:rsidRPr="003A1174">
        <w:rPr>
          <w:rFonts w:ascii="Garamond" w:hAnsi="Garamond" w:cs="Arial"/>
          <w:sz w:val="24"/>
          <w:szCs w:val="24"/>
        </w:rPr>
        <w:t>desenvolver</w:t>
      </w:r>
      <w:r w:rsidRPr="003A1174">
        <w:rPr>
          <w:rFonts w:ascii="Garamond" w:hAnsi="Garamond" w:cs="Arial"/>
          <w:sz w:val="24"/>
          <w:szCs w:val="24"/>
        </w:rPr>
        <w:t xml:space="preserve"> </w:t>
      </w:r>
      <w:r w:rsidR="00D01B8C" w:rsidRPr="003A1174">
        <w:rPr>
          <w:rFonts w:ascii="Garamond" w:hAnsi="Garamond" w:cs="Arial"/>
          <w:sz w:val="24"/>
          <w:szCs w:val="24"/>
        </w:rPr>
        <w:t xml:space="preserve">as </w:t>
      </w:r>
      <w:r w:rsidR="00374785" w:rsidRPr="003A1174">
        <w:rPr>
          <w:rFonts w:ascii="Garamond" w:hAnsi="Garamond" w:cs="Arial"/>
          <w:sz w:val="24"/>
          <w:szCs w:val="24"/>
        </w:rPr>
        <w:t>atividades</w:t>
      </w:r>
      <w:r w:rsidR="00D01B8C" w:rsidRPr="003A1174">
        <w:rPr>
          <w:rFonts w:ascii="Garamond" w:hAnsi="Garamond" w:cs="Arial"/>
          <w:sz w:val="24"/>
          <w:szCs w:val="24"/>
        </w:rPr>
        <w:t xml:space="preserve"> previstas </w:t>
      </w:r>
      <w:r w:rsidRPr="003A1174">
        <w:rPr>
          <w:rFonts w:ascii="Garamond" w:hAnsi="Garamond" w:cs="Arial"/>
          <w:sz w:val="24"/>
          <w:szCs w:val="24"/>
        </w:rPr>
        <w:t>no respetivo</w:t>
      </w:r>
      <w:r w:rsidR="00D01B8C" w:rsidRPr="003A1174">
        <w:rPr>
          <w:rFonts w:ascii="Garamond" w:hAnsi="Garamond" w:cs="Arial"/>
          <w:sz w:val="24"/>
          <w:szCs w:val="24"/>
        </w:rPr>
        <w:t xml:space="preserve"> setor </w:t>
      </w:r>
      <w:r w:rsidR="00E34DB3" w:rsidRPr="003A1174">
        <w:rPr>
          <w:rFonts w:ascii="Garamond" w:hAnsi="Garamond" w:cs="Arial"/>
          <w:sz w:val="24"/>
          <w:szCs w:val="24"/>
        </w:rPr>
        <w:t>apesar de</w:t>
      </w:r>
      <w:r w:rsidRPr="003A1174">
        <w:rPr>
          <w:rFonts w:ascii="Garamond" w:hAnsi="Garamond" w:cs="Arial"/>
          <w:sz w:val="24"/>
          <w:szCs w:val="24"/>
        </w:rPr>
        <w:t xml:space="preserve">stas serem contempladas no </w:t>
      </w:r>
      <w:r w:rsidR="00462B11" w:rsidRPr="003A1174">
        <w:rPr>
          <w:rFonts w:ascii="Garamond" w:hAnsi="Garamond" w:cs="Arial"/>
          <w:sz w:val="24"/>
          <w:szCs w:val="24"/>
        </w:rPr>
        <w:t>Plano</w:t>
      </w:r>
      <w:r w:rsidRPr="003A1174">
        <w:rPr>
          <w:rFonts w:ascii="Garamond" w:hAnsi="Garamond" w:cs="Arial"/>
          <w:sz w:val="24"/>
          <w:szCs w:val="24"/>
        </w:rPr>
        <w:t xml:space="preserve"> Nacional contra </w:t>
      </w:r>
      <w:r w:rsidR="00D01B8C" w:rsidRPr="003A1174">
        <w:rPr>
          <w:rFonts w:ascii="Garamond" w:hAnsi="Garamond" w:cs="Arial"/>
          <w:sz w:val="24"/>
          <w:szCs w:val="24"/>
        </w:rPr>
        <w:t xml:space="preserve">a </w:t>
      </w:r>
      <w:r w:rsidR="000350B1" w:rsidRPr="003A1174">
        <w:rPr>
          <w:rFonts w:ascii="Garamond" w:hAnsi="Garamond" w:cs="Arial"/>
          <w:sz w:val="24"/>
          <w:szCs w:val="24"/>
        </w:rPr>
        <w:t>Violência</w:t>
      </w:r>
      <w:r w:rsidR="00D01B8C" w:rsidRPr="003A1174">
        <w:rPr>
          <w:rFonts w:ascii="Garamond" w:hAnsi="Garamond" w:cs="Arial"/>
          <w:sz w:val="24"/>
          <w:szCs w:val="24"/>
        </w:rPr>
        <w:t xml:space="preserve"> </w:t>
      </w:r>
      <w:r w:rsidRPr="003A1174">
        <w:rPr>
          <w:rFonts w:ascii="Garamond" w:hAnsi="Garamond" w:cs="Arial"/>
          <w:sz w:val="24"/>
          <w:szCs w:val="24"/>
        </w:rPr>
        <w:t>para com a Mulher</w:t>
      </w:r>
      <w:r w:rsidR="00D01B8C" w:rsidRPr="003A1174">
        <w:rPr>
          <w:rFonts w:ascii="Garamond" w:hAnsi="Garamond" w:cs="Arial"/>
          <w:sz w:val="24"/>
          <w:szCs w:val="24"/>
        </w:rPr>
        <w:t xml:space="preserve"> 2009-2015.</w:t>
      </w:r>
    </w:p>
    <w:p w:rsidR="00D01B8C" w:rsidRPr="003A1174" w:rsidRDefault="00D01B8C" w:rsidP="008719D4">
      <w:pPr>
        <w:spacing w:after="0" w:line="240" w:lineRule="auto"/>
        <w:jc w:val="both"/>
        <w:rPr>
          <w:rFonts w:ascii="Garamond" w:hAnsi="Garamond" w:cs="Arial"/>
          <w:sz w:val="24"/>
          <w:szCs w:val="24"/>
        </w:rPr>
      </w:pPr>
    </w:p>
    <w:p w:rsidR="00D01B8C" w:rsidRPr="003A1174" w:rsidRDefault="00067AA4"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Perante </w:t>
      </w:r>
      <w:r w:rsidR="00D01B8C" w:rsidRPr="003A1174">
        <w:rPr>
          <w:rFonts w:ascii="Garamond" w:hAnsi="Garamond" w:cs="Arial"/>
          <w:sz w:val="24"/>
          <w:szCs w:val="24"/>
        </w:rPr>
        <w:t>d</w:t>
      </w:r>
      <w:r w:rsidR="00501083" w:rsidRPr="003A1174">
        <w:rPr>
          <w:rFonts w:ascii="Garamond" w:hAnsi="Garamond" w:cs="Arial"/>
          <w:sz w:val="24"/>
          <w:szCs w:val="24"/>
        </w:rPr>
        <w:t>iversos fracassos identificado</w:t>
      </w:r>
      <w:r w:rsidR="00D01B8C" w:rsidRPr="003A1174">
        <w:rPr>
          <w:rFonts w:ascii="Garamond" w:hAnsi="Garamond" w:cs="Arial"/>
          <w:sz w:val="24"/>
          <w:szCs w:val="24"/>
        </w:rPr>
        <w:t xml:space="preserve">s </w:t>
      </w:r>
      <w:r w:rsidR="00501083" w:rsidRPr="003A1174">
        <w:rPr>
          <w:rFonts w:ascii="Garamond" w:hAnsi="Garamond" w:cs="Arial"/>
          <w:sz w:val="24"/>
          <w:szCs w:val="24"/>
        </w:rPr>
        <w:t xml:space="preserve">nos </w:t>
      </w:r>
      <w:r w:rsidR="00D01B8C" w:rsidRPr="003A1174">
        <w:rPr>
          <w:rFonts w:ascii="Garamond" w:hAnsi="Garamond" w:cs="Arial"/>
          <w:sz w:val="24"/>
          <w:szCs w:val="24"/>
        </w:rPr>
        <w:t>s</w:t>
      </w:r>
      <w:r w:rsidR="00501083" w:rsidRPr="003A1174">
        <w:rPr>
          <w:rFonts w:ascii="Garamond" w:hAnsi="Garamond" w:cs="Arial"/>
          <w:sz w:val="24"/>
          <w:szCs w:val="24"/>
        </w:rPr>
        <w:t>e</w:t>
      </w:r>
      <w:r w:rsidR="00D01B8C" w:rsidRPr="003A1174">
        <w:rPr>
          <w:rFonts w:ascii="Garamond" w:hAnsi="Garamond" w:cs="Arial"/>
          <w:sz w:val="24"/>
          <w:szCs w:val="24"/>
        </w:rPr>
        <w:t xml:space="preserve">us </w:t>
      </w:r>
      <w:r w:rsidR="00D3768C">
        <w:rPr>
          <w:rFonts w:ascii="Garamond" w:hAnsi="Garamond" w:cs="Arial"/>
          <w:sz w:val="24"/>
          <w:szCs w:val="24"/>
        </w:rPr>
        <w:t xml:space="preserve">múltiplos </w:t>
      </w:r>
      <w:r w:rsidR="003F012B" w:rsidRPr="003A1174">
        <w:rPr>
          <w:rFonts w:ascii="Garamond" w:hAnsi="Garamond" w:cs="Arial"/>
          <w:sz w:val="24"/>
          <w:szCs w:val="24"/>
        </w:rPr>
        <w:t>estudo</w:t>
      </w:r>
      <w:r w:rsidR="00D01B8C" w:rsidRPr="003A1174">
        <w:rPr>
          <w:rFonts w:ascii="Garamond" w:hAnsi="Garamond" w:cs="Arial"/>
          <w:sz w:val="24"/>
          <w:szCs w:val="24"/>
        </w:rPr>
        <w:t xml:space="preserve">s </w:t>
      </w:r>
      <w:r w:rsidR="00501083" w:rsidRPr="003A1174">
        <w:rPr>
          <w:rFonts w:ascii="Garamond" w:hAnsi="Garamond" w:cs="Arial"/>
          <w:sz w:val="24"/>
          <w:szCs w:val="24"/>
        </w:rPr>
        <w:t xml:space="preserve">em </w:t>
      </w:r>
      <w:r w:rsidR="00D01B8C" w:rsidRPr="003A1174">
        <w:rPr>
          <w:rFonts w:ascii="Garamond" w:hAnsi="Garamond" w:cs="Arial"/>
          <w:sz w:val="24"/>
          <w:szCs w:val="24"/>
        </w:rPr>
        <w:t>torno</w:t>
      </w:r>
      <w:r w:rsidR="00501083" w:rsidRPr="003A1174">
        <w:rPr>
          <w:rFonts w:ascii="Garamond" w:hAnsi="Garamond" w:cs="Arial"/>
          <w:sz w:val="24"/>
          <w:szCs w:val="24"/>
        </w:rPr>
        <w:t xml:space="preserve"> d</w:t>
      </w:r>
      <w:r w:rsidR="00D01B8C" w:rsidRPr="003A1174">
        <w:rPr>
          <w:rFonts w:ascii="Garamond" w:hAnsi="Garamond" w:cs="Arial"/>
          <w:sz w:val="24"/>
          <w:szCs w:val="24"/>
        </w:rPr>
        <w:t xml:space="preserve">a </w:t>
      </w:r>
      <w:r w:rsidR="000350B1" w:rsidRPr="003A1174">
        <w:rPr>
          <w:rFonts w:ascii="Garamond" w:hAnsi="Garamond" w:cs="Arial"/>
          <w:sz w:val="24"/>
          <w:szCs w:val="24"/>
        </w:rPr>
        <w:t>violência</w:t>
      </w:r>
      <w:r w:rsidR="00501083" w:rsidRPr="003A1174">
        <w:rPr>
          <w:rFonts w:ascii="Garamond" w:hAnsi="Garamond" w:cs="Arial"/>
          <w:sz w:val="24"/>
          <w:szCs w:val="24"/>
        </w:rPr>
        <w:t xml:space="preserve"> contra </w:t>
      </w:r>
      <w:r w:rsidR="00D01B8C" w:rsidRPr="003A1174">
        <w:rPr>
          <w:rFonts w:ascii="Garamond" w:hAnsi="Garamond" w:cs="Arial"/>
          <w:sz w:val="24"/>
          <w:szCs w:val="24"/>
        </w:rPr>
        <w:t xml:space="preserve">a </w:t>
      </w:r>
      <w:r w:rsidR="00AF192F" w:rsidRPr="003A1174">
        <w:rPr>
          <w:rFonts w:ascii="Garamond" w:hAnsi="Garamond" w:cs="Arial"/>
          <w:sz w:val="24"/>
          <w:szCs w:val="24"/>
        </w:rPr>
        <w:t>mulher</w:t>
      </w:r>
      <w:r w:rsidR="00501083" w:rsidRPr="003A1174">
        <w:rPr>
          <w:rFonts w:ascii="Garamond" w:hAnsi="Garamond" w:cs="Arial"/>
          <w:sz w:val="24"/>
          <w:szCs w:val="24"/>
        </w:rPr>
        <w:t>,</w:t>
      </w:r>
      <w:r w:rsidR="00D01B8C" w:rsidRPr="003A1174">
        <w:rPr>
          <w:rFonts w:ascii="Garamond" w:hAnsi="Garamond" w:cs="Arial"/>
          <w:sz w:val="24"/>
          <w:szCs w:val="24"/>
        </w:rPr>
        <w:t xml:space="preserve"> </w:t>
      </w:r>
      <w:r w:rsidR="00F73CFB" w:rsidRPr="003A1174">
        <w:rPr>
          <w:rFonts w:ascii="Garamond" w:hAnsi="Garamond" w:cs="Arial"/>
          <w:sz w:val="24"/>
          <w:szCs w:val="24"/>
        </w:rPr>
        <w:t xml:space="preserve">a </w:t>
      </w:r>
      <w:r w:rsidR="00C04CA4" w:rsidRPr="003A1174">
        <w:rPr>
          <w:rFonts w:ascii="Garamond" w:hAnsi="Garamond" w:cs="Arial"/>
          <w:iCs/>
          <w:sz w:val="24"/>
          <w:szCs w:val="24"/>
        </w:rPr>
        <w:t>Provedoria de Justiça</w:t>
      </w:r>
      <w:r w:rsidR="00F73CFB" w:rsidRPr="003A1174">
        <w:rPr>
          <w:rFonts w:ascii="Garamond" w:hAnsi="Garamond" w:cs="Arial"/>
          <w:iCs/>
          <w:sz w:val="24"/>
          <w:szCs w:val="24"/>
        </w:rPr>
        <w:t xml:space="preserve"> </w:t>
      </w:r>
      <w:r w:rsidR="00BA3CCE" w:rsidRPr="003A1174">
        <w:rPr>
          <w:rFonts w:ascii="Garamond" w:hAnsi="Garamond" w:cs="Arial"/>
          <w:sz w:val="24"/>
          <w:szCs w:val="24"/>
        </w:rPr>
        <w:t>emitiu</w:t>
      </w:r>
      <w:r w:rsidR="00501083" w:rsidRPr="003A1174">
        <w:rPr>
          <w:rFonts w:ascii="Garamond" w:hAnsi="Garamond" w:cs="Arial"/>
          <w:sz w:val="24"/>
          <w:szCs w:val="24"/>
        </w:rPr>
        <w:t xml:space="preserve"> </w:t>
      </w:r>
      <w:r w:rsidR="008E7A2A" w:rsidRPr="003A1174">
        <w:rPr>
          <w:rFonts w:ascii="Garamond" w:hAnsi="Garamond" w:cs="Arial"/>
          <w:sz w:val="24"/>
          <w:szCs w:val="24"/>
        </w:rPr>
        <w:t>recomendações</w:t>
      </w:r>
      <w:r w:rsidR="00501083" w:rsidRPr="003A1174">
        <w:rPr>
          <w:rFonts w:ascii="Garamond" w:hAnsi="Garamond" w:cs="Arial"/>
          <w:sz w:val="24"/>
          <w:szCs w:val="24"/>
        </w:rPr>
        <w:t xml:space="preserve"> </w:t>
      </w:r>
      <w:r w:rsidR="00D3768C">
        <w:rPr>
          <w:rFonts w:ascii="Garamond" w:hAnsi="Garamond" w:cs="Arial"/>
          <w:sz w:val="24"/>
          <w:szCs w:val="24"/>
        </w:rPr>
        <w:t xml:space="preserve">no sentido de serem criadas </w:t>
      </w:r>
      <w:r w:rsidR="00D01B8C" w:rsidRPr="003A1174">
        <w:rPr>
          <w:rFonts w:ascii="Garamond" w:hAnsi="Garamond" w:cs="Arial"/>
          <w:sz w:val="24"/>
          <w:szCs w:val="24"/>
        </w:rPr>
        <w:t xml:space="preserve">e casas </w:t>
      </w:r>
      <w:r w:rsidR="00B936A7" w:rsidRPr="003A1174">
        <w:rPr>
          <w:rFonts w:ascii="Garamond" w:hAnsi="Garamond" w:cs="Arial"/>
          <w:sz w:val="24"/>
          <w:szCs w:val="24"/>
        </w:rPr>
        <w:t>abrigo</w:t>
      </w:r>
      <w:r w:rsidR="00D01B8C" w:rsidRPr="003A1174">
        <w:rPr>
          <w:rFonts w:ascii="Garamond" w:hAnsi="Garamond" w:cs="Arial"/>
          <w:sz w:val="24"/>
          <w:szCs w:val="24"/>
        </w:rPr>
        <w:t xml:space="preserve">, </w:t>
      </w:r>
      <w:r w:rsidR="00D3768C">
        <w:rPr>
          <w:rFonts w:ascii="Garamond" w:hAnsi="Garamond" w:cs="Arial"/>
          <w:sz w:val="24"/>
          <w:szCs w:val="24"/>
        </w:rPr>
        <w:t xml:space="preserve">e </w:t>
      </w:r>
      <w:r w:rsidR="00501083" w:rsidRPr="003A1174">
        <w:rPr>
          <w:rFonts w:ascii="Garamond" w:hAnsi="Garamond" w:cs="Arial"/>
          <w:sz w:val="24"/>
          <w:szCs w:val="24"/>
        </w:rPr>
        <w:t xml:space="preserve">salientou </w:t>
      </w:r>
      <w:r w:rsidR="00D01B8C" w:rsidRPr="003A1174">
        <w:rPr>
          <w:rFonts w:ascii="Garamond" w:hAnsi="Garamond" w:cs="Arial"/>
          <w:sz w:val="24"/>
          <w:szCs w:val="24"/>
        </w:rPr>
        <w:t xml:space="preserve">a </w:t>
      </w:r>
      <w:r w:rsidR="006506C6" w:rsidRPr="003A1174">
        <w:rPr>
          <w:rFonts w:ascii="Garamond" w:hAnsi="Garamond" w:cs="Arial"/>
          <w:sz w:val="24"/>
          <w:szCs w:val="24"/>
        </w:rPr>
        <w:t>necessidade</w:t>
      </w:r>
      <w:r w:rsidR="00D01B8C" w:rsidRPr="003A1174">
        <w:rPr>
          <w:rFonts w:ascii="Garamond" w:hAnsi="Garamond" w:cs="Arial"/>
          <w:sz w:val="24"/>
          <w:szCs w:val="24"/>
        </w:rPr>
        <w:t xml:space="preserve"> de </w:t>
      </w:r>
      <w:r w:rsidR="0091213A" w:rsidRPr="003A1174">
        <w:rPr>
          <w:rFonts w:ascii="Garamond" w:hAnsi="Garamond" w:cs="Arial"/>
          <w:sz w:val="24"/>
          <w:szCs w:val="24"/>
        </w:rPr>
        <w:t>criar</w:t>
      </w:r>
      <w:r w:rsidR="00D01B8C" w:rsidRPr="003A1174">
        <w:rPr>
          <w:rFonts w:ascii="Garamond" w:hAnsi="Garamond" w:cs="Arial"/>
          <w:sz w:val="24"/>
          <w:szCs w:val="24"/>
        </w:rPr>
        <w:t xml:space="preserve"> e </w:t>
      </w:r>
      <w:proofErr w:type="gramStart"/>
      <w:r w:rsidR="00D01B8C" w:rsidRPr="003A1174">
        <w:rPr>
          <w:rFonts w:ascii="Garamond" w:hAnsi="Garamond" w:cs="Arial"/>
          <w:sz w:val="24"/>
          <w:szCs w:val="24"/>
        </w:rPr>
        <w:t>implementa</w:t>
      </w:r>
      <w:r w:rsidR="00F73CFB" w:rsidRPr="003A1174">
        <w:rPr>
          <w:rFonts w:ascii="Garamond" w:hAnsi="Garamond" w:cs="Arial"/>
          <w:sz w:val="24"/>
          <w:szCs w:val="24"/>
        </w:rPr>
        <w:t>r</w:t>
      </w:r>
      <w:proofErr w:type="gramEnd"/>
      <w:r w:rsidR="00501083" w:rsidRPr="003A1174">
        <w:rPr>
          <w:rFonts w:ascii="Garamond" w:hAnsi="Garamond" w:cs="Arial"/>
          <w:sz w:val="24"/>
          <w:szCs w:val="24"/>
        </w:rPr>
        <w:t xml:space="preserve"> um</w:t>
      </w:r>
      <w:r w:rsidR="00D01B8C" w:rsidRPr="003A1174">
        <w:rPr>
          <w:rFonts w:ascii="Garamond" w:hAnsi="Garamond" w:cs="Arial"/>
          <w:sz w:val="24"/>
          <w:szCs w:val="24"/>
        </w:rPr>
        <w:t xml:space="preserve">a base </w:t>
      </w:r>
      <w:r w:rsidR="00E34DB3" w:rsidRPr="003A1174">
        <w:rPr>
          <w:rFonts w:ascii="Garamond" w:hAnsi="Garamond" w:cs="Arial"/>
          <w:sz w:val="24"/>
          <w:szCs w:val="24"/>
        </w:rPr>
        <w:t xml:space="preserve">de </w:t>
      </w:r>
      <w:r w:rsidR="00EE7406" w:rsidRPr="003A1174">
        <w:rPr>
          <w:rFonts w:ascii="Garamond" w:hAnsi="Garamond" w:cs="Arial"/>
          <w:sz w:val="24"/>
          <w:szCs w:val="24"/>
        </w:rPr>
        <w:t>dado</w:t>
      </w:r>
      <w:r w:rsidR="00D01B8C" w:rsidRPr="003A1174">
        <w:rPr>
          <w:rFonts w:ascii="Garamond" w:hAnsi="Garamond" w:cs="Arial"/>
          <w:sz w:val="24"/>
          <w:szCs w:val="24"/>
        </w:rPr>
        <w:t xml:space="preserve">s única e integrada que permita </w:t>
      </w:r>
      <w:r w:rsidR="00501083" w:rsidRPr="003A1174">
        <w:rPr>
          <w:rFonts w:ascii="Garamond" w:hAnsi="Garamond" w:cs="Arial"/>
          <w:sz w:val="24"/>
          <w:szCs w:val="24"/>
        </w:rPr>
        <w:t>colocar à disposição</w:t>
      </w:r>
      <w:r w:rsidR="00D3768C">
        <w:rPr>
          <w:rFonts w:ascii="Garamond" w:hAnsi="Garamond" w:cs="Arial"/>
          <w:sz w:val="24"/>
          <w:szCs w:val="24"/>
        </w:rPr>
        <w:t xml:space="preserve"> toda </w:t>
      </w:r>
      <w:r w:rsidR="00501083" w:rsidRPr="003A1174">
        <w:rPr>
          <w:rFonts w:ascii="Garamond" w:hAnsi="Garamond" w:cs="Arial"/>
          <w:sz w:val="24"/>
          <w:szCs w:val="24"/>
        </w:rPr>
        <w:t>a</w:t>
      </w:r>
      <w:r w:rsidR="00D01B8C" w:rsidRPr="003A1174">
        <w:rPr>
          <w:rFonts w:ascii="Garamond" w:hAnsi="Garamond" w:cs="Arial"/>
          <w:sz w:val="24"/>
          <w:szCs w:val="24"/>
        </w:rPr>
        <w:t xml:space="preserve"> </w:t>
      </w:r>
      <w:r w:rsidR="0017447A" w:rsidRPr="003A1174">
        <w:rPr>
          <w:rFonts w:ascii="Garamond" w:hAnsi="Garamond" w:cs="Arial"/>
          <w:sz w:val="24"/>
          <w:szCs w:val="24"/>
        </w:rPr>
        <w:t>informação</w:t>
      </w:r>
      <w:r w:rsidR="00501083" w:rsidRPr="003A1174">
        <w:rPr>
          <w:rFonts w:ascii="Garamond" w:hAnsi="Garamond" w:cs="Arial"/>
          <w:sz w:val="24"/>
          <w:szCs w:val="24"/>
        </w:rPr>
        <w:t xml:space="preserve"> </w:t>
      </w:r>
      <w:r w:rsidR="00D3768C">
        <w:rPr>
          <w:rFonts w:ascii="Garamond" w:hAnsi="Garamond" w:cs="Arial"/>
          <w:sz w:val="24"/>
          <w:szCs w:val="24"/>
        </w:rPr>
        <w:t xml:space="preserve">relativa </w:t>
      </w:r>
      <w:r w:rsidR="00501083" w:rsidRPr="003A1174">
        <w:rPr>
          <w:rFonts w:ascii="Garamond" w:hAnsi="Garamond" w:cs="Arial"/>
          <w:sz w:val="24"/>
          <w:szCs w:val="24"/>
        </w:rPr>
        <w:t xml:space="preserve"> </w:t>
      </w:r>
      <w:r w:rsidR="00D3768C">
        <w:rPr>
          <w:rFonts w:ascii="Garamond" w:hAnsi="Garamond" w:cs="Arial"/>
          <w:sz w:val="24"/>
          <w:szCs w:val="24"/>
        </w:rPr>
        <w:t>à</w:t>
      </w:r>
      <w:r w:rsidR="00D01B8C" w:rsidRPr="003A1174">
        <w:rPr>
          <w:rFonts w:ascii="Garamond" w:hAnsi="Garamond" w:cs="Arial"/>
          <w:sz w:val="24"/>
          <w:szCs w:val="24"/>
        </w:rPr>
        <w:t xml:space="preserve"> </w:t>
      </w:r>
      <w:r w:rsidR="00501083" w:rsidRPr="003A1174">
        <w:rPr>
          <w:rFonts w:ascii="Garamond" w:hAnsi="Garamond" w:cs="Arial"/>
          <w:sz w:val="24"/>
          <w:szCs w:val="24"/>
        </w:rPr>
        <w:t>história d</w:t>
      </w:r>
      <w:r w:rsidR="00D3768C">
        <w:rPr>
          <w:rFonts w:ascii="Garamond" w:hAnsi="Garamond" w:cs="Arial"/>
          <w:sz w:val="24"/>
          <w:szCs w:val="24"/>
        </w:rPr>
        <w:t>e</w:t>
      </w:r>
      <w:r w:rsidR="00F73CFB" w:rsidRPr="003A1174">
        <w:rPr>
          <w:rFonts w:ascii="Garamond" w:hAnsi="Garamond" w:cs="Arial"/>
          <w:sz w:val="24"/>
          <w:szCs w:val="24"/>
        </w:rPr>
        <w:t xml:space="preserve"> </w:t>
      </w:r>
      <w:r w:rsidR="000350B1" w:rsidRPr="003A1174">
        <w:rPr>
          <w:rFonts w:ascii="Garamond" w:hAnsi="Garamond" w:cs="Arial"/>
          <w:sz w:val="24"/>
          <w:szCs w:val="24"/>
        </w:rPr>
        <w:t>violência</w:t>
      </w:r>
      <w:r w:rsidR="00D01B8C" w:rsidRPr="003A1174">
        <w:rPr>
          <w:rFonts w:ascii="Garamond" w:hAnsi="Garamond" w:cs="Arial"/>
          <w:sz w:val="24"/>
          <w:szCs w:val="24"/>
        </w:rPr>
        <w:t xml:space="preserve"> de cada u</w:t>
      </w:r>
      <w:r w:rsidR="00501083" w:rsidRPr="003A1174">
        <w:rPr>
          <w:rFonts w:ascii="Garamond" w:hAnsi="Garamond" w:cs="Arial"/>
          <w:sz w:val="24"/>
          <w:szCs w:val="24"/>
        </w:rPr>
        <w:t>m</w:t>
      </w:r>
      <w:r w:rsidR="00D01B8C" w:rsidRPr="003A1174">
        <w:rPr>
          <w:rFonts w:ascii="Garamond" w:hAnsi="Garamond" w:cs="Arial"/>
          <w:sz w:val="24"/>
          <w:szCs w:val="24"/>
        </w:rPr>
        <w:t xml:space="preserve">a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3F012B" w:rsidRPr="003A1174">
        <w:rPr>
          <w:rFonts w:ascii="Garamond" w:hAnsi="Garamond" w:cs="Arial"/>
          <w:sz w:val="24"/>
          <w:szCs w:val="24"/>
        </w:rPr>
        <w:t>vítima</w:t>
      </w:r>
      <w:r w:rsidR="00D01B8C" w:rsidRPr="003A1174">
        <w:rPr>
          <w:rFonts w:ascii="Garamond" w:hAnsi="Garamond" w:cs="Arial"/>
          <w:sz w:val="24"/>
          <w:szCs w:val="24"/>
        </w:rPr>
        <w:t xml:space="preserve">s, </w:t>
      </w:r>
      <w:r w:rsidR="00497503" w:rsidRPr="003A1174">
        <w:rPr>
          <w:rFonts w:ascii="Garamond" w:hAnsi="Garamond" w:cs="Arial"/>
          <w:sz w:val="24"/>
          <w:szCs w:val="24"/>
        </w:rPr>
        <w:t>e</w:t>
      </w:r>
      <w:r w:rsidR="00501083" w:rsidRPr="003A1174">
        <w:rPr>
          <w:rFonts w:ascii="Garamond" w:hAnsi="Garamond" w:cs="Arial"/>
          <w:sz w:val="24"/>
          <w:szCs w:val="24"/>
        </w:rPr>
        <w:t xml:space="preserve"> </w:t>
      </w:r>
      <w:r w:rsidR="00D01B8C" w:rsidRPr="003A1174">
        <w:rPr>
          <w:rFonts w:ascii="Garamond" w:hAnsi="Garamond" w:cs="Arial"/>
          <w:sz w:val="24"/>
          <w:szCs w:val="24"/>
        </w:rPr>
        <w:t xml:space="preserve">a </w:t>
      </w:r>
      <w:r w:rsidR="00EB2F44" w:rsidRPr="003A1174">
        <w:rPr>
          <w:rFonts w:ascii="Garamond" w:hAnsi="Garamond" w:cs="Arial"/>
          <w:sz w:val="24"/>
          <w:szCs w:val="24"/>
        </w:rPr>
        <w:t>adoção</w:t>
      </w:r>
      <w:r w:rsidR="00D01B8C" w:rsidRPr="003A1174">
        <w:rPr>
          <w:rFonts w:ascii="Garamond" w:hAnsi="Garamond" w:cs="Arial"/>
          <w:sz w:val="24"/>
          <w:szCs w:val="24"/>
        </w:rPr>
        <w:t xml:space="preserve"> de políticas públicas </w:t>
      </w:r>
      <w:r w:rsidR="00501083" w:rsidRPr="003A1174">
        <w:rPr>
          <w:rFonts w:ascii="Garamond" w:hAnsi="Garamond" w:cs="Arial"/>
          <w:sz w:val="24"/>
          <w:szCs w:val="24"/>
        </w:rPr>
        <w:t>integrais</w:t>
      </w:r>
      <w:r w:rsidR="00D01B8C" w:rsidRPr="003A1174">
        <w:rPr>
          <w:rFonts w:ascii="Garamond" w:hAnsi="Garamond" w:cs="Arial"/>
          <w:sz w:val="24"/>
          <w:szCs w:val="24"/>
        </w:rPr>
        <w:t xml:space="preserve">. </w:t>
      </w:r>
      <w:r w:rsidR="00501083" w:rsidRPr="003A1174">
        <w:rPr>
          <w:rFonts w:ascii="Garamond" w:hAnsi="Garamond" w:cs="Arial"/>
          <w:sz w:val="24"/>
          <w:szCs w:val="24"/>
        </w:rPr>
        <w:t xml:space="preserve">Também se </w:t>
      </w:r>
      <w:r w:rsidR="00D01B8C" w:rsidRPr="003A1174">
        <w:rPr>
          <w:rFonts w:ascii="Garamond" w:hAnsi="Garamond" w:cs="Arial"/>
          <w:sz w:val="24"/>
          <w:szCs w:val="24"/>
        </w:rPr>
        <w:t>recomend</w:t>
      </w:r>
      <w:r w:rsidR="00501083" w:rsidRPr="003A1174">
        <w:rPr>
          <w:rFonts w:ascii="Garamond" w:hAnsi="Garamond" w:cs="Arial"/>
          <w:sz w:val="24"/>
          <w:szCs w:val="24"/>
        </w:rPr>
        <w:t xml:space="preserve">ou a </w:t>
      </w:r>
      <w:r w:rsidR="00D3768C">
        <w:rPr>
          <w:rFonts w:ascii="Garamond" w:hAnsi="Garamond" w:cs="Arial"/>
          <w:sz w:val="24"/>
          <w:szCs w:val="24"/>
        </w:rPr>
        <w:t xml:space="preserve">criação urgente </w:t>
      </w:r>
      <w:r w:rsidR="00D01B8C" w:rsidRPr="003A1174">
        <w:rPr>
          <w:rFonts w:ascii="Garamond" w:hAnsi="Garamond" w:cs="Arial"/>
          <w:sz w:val="24"/>
          <w:szCs w:val="24"/>
        </w:rPr>
        <w:t>d</w:t>
      </w:r>
      <w:r w:rsidR="00501083" w:rsidRPr="003A1174">
        <w:rPr>
          <w:rFonts w:ascii="Garamond" w:hAnsi="Garamond" w:cs="Arial"/>
          <w:sz w:val="24"/>
          <w:szCs w:val="24"/>
        </w:rPr>
        <w:t xml:space="preserve">o </w:t>
      </w:r>
      <w:r w:rsidR="00D3768C">
        <w:rPr>
          <w:rFonts w:ascii="Garamond" w:hAnsi="Garamond" w:cs="Arial"/>
          <w:sz w:val="24"/>
          <w:szCs w:val="24"/>
        </w:rPr>
        <w:t>«</w:t>
      </w:r>
      <w:r w:rsidR="00501083" w:rsidRPr="003A1174">
        <w:rPr>
          <w:rFonts w:ascii="Garamond" w:hAnsi="Garamond" w:cs="Arial"/>
          <w:sz w:val="24"/>
          <w:szCs w:val="24"/>
        </w:rPr>
        <w:t>Guia</w:t>
      </w:r>
      <w:r w:rsidR="00D01B8C" w:rsidRPr="003A1174">
        <w:rPr>
          <w:rFonts w:ascii="Garamond" w:hAnsi="Garamond" w:cs="Arial"/>
          <w:sz w:val="24"/>
          <w:szCs w:val="24"/>
        </w:rPr>
        <w:t xml:space="preserve"> de </w:t>
      </w:r>
      <w:r w:rsidR="00EE7406" w:rsidRPr="003A1174">
        <w:rPr>
          <w:rFonts w:ascii="Garamond" w:hAnsi="Garamond" w:cs="Arial"/>
          <w:sz w:val="24"/>
          <w:szCs w:val="24"/>
        </w:rPr>
        <w:t>avaliação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d</w:t>
      </w:r>
      <w:r w:rsidR="002C7510" w:rsidRPr="003A1174">
        <w:rPr>
          <w:rFonts w:ascii="Garamond" w:hAnsi="Garamond" w:cs="Arial"/>
          <w:sz w:val="24"/>
          <w:szCs w:val="24"/>
        </w:rPr>
        <w:t>ano</w:t>
      </w:r>
      <w:r w:rsidR="00D01B8C" w:rsidRPr="003A1174">
        <w:rPr>
          <w:rFonts w:ascii="Garamond" w:hAnsi="Garamond" w:cs="Arial"/>
          <w:sz w:val="24"/>
          <w:szCs w:val="24"/>
        </w:rPr>
        <w:t xml:space="preserve"> psíquico e</w:t>
      </w:r>
      <w:r w:rsidR="00501083" w:rsidRPr="003A1174">
        <w:rPr>
          <w:rFonts w:ascii="Garamond" w:hAnsi="Garamond" w:cs="Arial"/>
          <w:sz w:val="24"/>
          <w:szCs w:val="24"/>
        </w:rPr>
        <w:t>m</w:t>
      </w:r>
      <w:r w:rsidR="00D01B8C" w:rsidRPr="003A1174">
        <w:rPr>
          <w:rFonts w:ascii="Garamond" w:hAnsi="Garamond" w:cs="Arial"/>
          <w:sz w:val="24"/>
          <w:szCs w:val="24"/>
        </w:rPr>
        <w:t xml:space="preserve"> </w:t>
      </w:r>
      <w:r w:rsidR="003F012B" w:rsidRPr="003A1174">
        <w:rPr>
          <w:rFonts w:ascii="Garamond" w:hAnsi="Garamond" w:cs="Arial"/>
          <w:sz w:val="24"/>
          <w:szCs w:val="24"/>
        </w:rPr>
        <w:t>vítima</w:t>
      </w:r>
      <w:r w:rsidR="00D01B8C" w:rsidRPr="003A1174">
        <w:rPr>
          <w:rFonts w:ascii="Garamond" w:hAnsi="Garamond" w:cs="Arial"/>
          <w:sz w:val="24"/>
          <w:szCs w:val="24"/>
        </w:rPr>
        <w:t xml:space="preserve">s adultas de </w:t>
      </w:r>
      <w:r w:rsidR="000350B1" w:rsidRPr="003A1174">
        <w:rPr>
          <w:rFonts w:ascii="Garamond" w:hAnsi="Garamond" w:cs="Arial"/>
          <w:sz w:val="24"/>
          <w:szCs w:val="24"/>
        </w:rPr>
        <w:t>violência</w:t>
      </w:r>
      <w:r w:rsidR="00D01B8C" w:rsidRPr="003A1174">
        <w:rPr>
          <w:rFonts w:ascii="Garamond" w:hAnsi="Garamond" w:cs="Arial"/>
          <w:sz w:val="24"/>
          <w:szCs w:val="24"/>
        </w:rPr>
        <w:t xml:space="preserve"> familiar, sexual, tortura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17447A" w:rsidRPr="003A1174">
        <w:rPr>
          <w:rFonts w:ascii="Garamond" w:hAnsi="Garamond" w:cs="Arial"/>
          <w:sz w:val="24"/>
          <w:szCs w:val="24"/>
        </w:rPr>
        <w:t>outras</w:t>
      </w:r>
      <w:r w:rsidR="00D01B8C" w:rsidRPr="003A1174">
        <w:rPr>
          <w:rFonts w:ascii="Garamond" w:hAnsi="Garamond" w:cs="Arial"/>
          <w:sz w:val="24"/>
          <w:szCs w:val="24"/>
        </w:rPr>
        <w:t xml:space="preserve"> formas de </w:t>
      </w:r>
      <w:r w:rsidR="000350B1" w:rsidRPr="003A1174">
        <w:rPr>
          <w:rFonts w:ascii="Garamond" w:hAnsi="Garamond" w:cs="Arial"/>
          <w:sz w:val="24"/>
          <w:szCs w:val="24"/>
        </w:rPr>
        <w:t>violência</w:t>
      </w:r>
      <w:r w:rsidR="00D01B8C" w:rsidRPr="003A1174">
        <w:rPr>
          <w:rFonts w:ascii="Garamond" w:hAnsi="Garamond" w:cs="Arial"/>
          <w:sz w:val="24"/>
          <w:szCs w:val="24"/>
        </w:rPr>
        <w:t xml:space="preserve"> intencional</w:t>
      </w:r>
      <w:r w:rsidR="00D3768C">
        <w:rPr>
          <w:rFonts w:ascii="Garamond" w:hAnsi="Garamond" w:cs="Arial"/>
          <w:sz w:val="24"/>
          <w:szCs w:val="24"/>
        </w:rPr>
        <w:t>»</w:t>
      </w:r>
      <w:r w:rsidR="00D01B8C" w:rsidRPr="003A1174">
        <w:rPr>
          <w:rFonts w:ascii="Garamond" w:hAnsi="Garamond" w:cs="Arial"/>
          <w:sz w:val="24"/>
          <w:szCs w:val="24"/>
        </w:rPr>
        <w:t xml:space="preserve">, </w:t>
      </w:r>
      <w:r w:rsidR="00501083" w:rsidRPr="003A1174">
        <w:rPr>
          <w:rFonts w:ascii="Garamond" w:hAnsi="Garamond" w:cs="Arial"/>
          <w:sz w:val="24"/>
          <w:szCs w:val="24"/>
        </w:rPr>
        <w:t>uma vez que</w:t>
      </w:r>
      <w:r w:rsidR="00D3768C">
        <w:rPr>
          <w:rFonts w:ascii="Garamond" w:hAnsi="Garamond" w:cs="Arial"/>
          <w:sz w:val="24"/>
          <w:szCs w:val="24"/>
        </w:rPr>
        <w:t>,</w:t>
      </w:r>
      <w:r w:rsidR="00501083" w:rsidRPr="003A1174">
        <w:rPr>
          <w:rFonts w:ascii="Garamond" w:hAnsi="Garamond" w:cs="Arial"/>
          <w:sz w:val="24"/>
          <w:szCs w:val="24"/>
        </w:rPr>
        <w:t xml:space="preserve"> o</w:t>
      </w:r>
      <w:r w:rsidR="00D01B8C" w:rsidRPr="003A1174">
        <w:rPr>
          <w:rFonts w:ascii="Garamond" w:hAnsi="Garamond" w:cs="Arial"/>
          <w:sz w:val="24"/>
          <w:szCs w:val="24"/>
        </w:rPr>
        <w:t xml:space="preserve"> </w:t>
      </w:r>
      <w:r w:rsidR="008843FD" w:rsidRPr="003A1174">
        <w:rPr>
          <w:rFonts w:ascii="Garamond" w:hAnsi="Garamond" w:cs="Arial"/>
          <w:sz w:val="24"/>
          <w:szCs w:val="24"/>
        </w:rPr>
        <w:t>respeito</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501083" w:rsidRPr="003A1174">
        <w:rPr>
          <w:rFonts w:ascii="Garamond" w:hAnsi="Garamond" w:cs="Arial"/>
          <w:sz w:val="24"/>
          <w:szCs w:val="24"/>
        </w:rPr>
        <w:t xml:space="preserve"> </w:t>
      </w:r>
      <w:r w:rsidR="00D01B8C" w:rsidRPr="003A1174">
        <w:rPr>
          <w:rFonts w:ascii="Garamond" w:hAnsi="Garamond" w:cs="Arial"/>
          <w:sz w:val="24"/>
          <w:szCs w:val="24"/>
        </w:rPr>
        <w:t xml:space="preserve">a </w:t>
      </w:r>
      <w:r w:rsidR="00886D6A" w:rsidRPr="003A1174">
        <w:rPr>
          <w:rFonts w:ascii="Garamond" w:hAnsi="Garamond" w:cs="Arial"/>
          <w:sz w:val="24"/>
          <w:szCs w:val="24"/>
        </w:rPr>
        <w:t>proteção</w:t>
      </w:r>
      <w:r w:rsidR="00D01B8C" w:rsidRPr="003A1174">
        <w:rPr>
          <w:rFonts w:ascii="Garamond" w:hAnsi="Garamond" w:cs="Arial"/>
          <w:sz w:val="24"/>
          <w:szCs w:val="24"/>
        </w:rPr>
        <w:t xml:space="preserve"> </w:t>
      </w:r>
      <w:r w:rsidR="00501083" w:rsidRPr="003A1174">
        <w:rPr>
          <w:rFonts w:ascii="Garamond" w:hAnsi="Garamond" w:cs="Arial"/>
          <w:sz w:val="24"/>
          <w:szCs w:val="24"/>
        </w:rPr>
        <w:t>d</w:t>
      </w:r>
      <w:r w:rsidR="00D01B8C" w:rsidRPr="003A1174">
        <w:rPr>
          <w:rFonts w:ascii="Garamond" w:hAnsi="Garamond" w:cs="Arial"/>
          <w:sz w:val="24"/>
          <w:szCs w:val="24"/>
        </w:rPr>
        <w:t xml:space="preserve">a </w:t>
      </w:r>
      <w:r w:rsidR="007C63D0" w:rsidRPr="003A1174">
        <w:rPr>
          <w:rFonts w:ascii="Garamond" w:hAnsi="Garamond" w:cs="Arial"/>
          <w:sz w:val="24"/>
          <w:szCs w:val="24"/>
        </w:rPr>
        <w:t>saúde</w:t>
      </w:r>
      <w:r w:rsidR="00D01B8C" w:rsidRPr="003A1174">
        <w:rPr>
          <w:rFonts w:ascii="Garamond" w:hAnsi="Garamond" w:cs="Arial"/>
          <w:sz w:val="24"/>
          <w:szCs w:val="24"/>
        </w:rPr>
        <w:t xml:space="preserve"> mental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3F012B" w:rsidRPr="003A1174">
        <w:rPr>
          <w:rFonts w:ascii="Garamond" w:hAnsi="Garamond" w:cs="Arial"/>
          <w:sz w:val="24"/>
          <w:szCs w:val="24"/>
        </w:rPr>
        <w:t>vítima</w:t>
      </w:r>
      <w:r w:rsidR="00D01B8C" w:rsidRPr="003A1174">
        <w:rPr>
          <w:rFonts w:ascii="Garamond" w:hAnsi="Garamond" w:cs="Arial"/>
          <w:sz w:val="24"/>
          <w:szCs w:val="24"/>
        </w:rPr>
        <w:t xml:space="preserve">s de </w:t>
      </w:r>
      <w:r w:rsidR="000350B1" w:rsidRPr="003A1174">
        <w:rPr>
          <w:rFonts w:ascii="Garamond" w:hAnsi="Garamond" w:cs="Arial"/>
          <w:sz w:val="24"/>
          <w:szCs w:val="24"/>
        </w:rPr>
        <w:t>violência</w:t>
      </w:r>
      <w:r w:rsidR="00D3768C">
        <w:rPr>
          <w:rFonts w:ascii="Garamond" w:hAnsi="Garamond" w:cs="Arial"/>
          <w:sz w:val="24"/>
          <w:szCs w:val="24"/>
        </w:rPr>
        <w:t>,</w:t>
      </w:r>
      <w:r w:rsidR="00D01B8C" w:rsidRPr="003A1174">
        <w:rPr>
          <w:rFonts w:ascii="Garamond" w:hAnsi="Garamond" w:cs="Arial"/>
          <w:sz w:val="24"/>
          <w:szCs w:val="24"/>
        </w:rPr>
        <w:t xml:space="preserve"> </w:t>
      </w:r>
      <w:r w:rsidR="00501083" w:rsidRPr="003A1174">
        <w:rPr>
          <w:rFonts w:ascii="Garamond" w:hAnsi="Garamond" w:cs="Arial"/>
          <w:sz w:val="24"/>
          <w:szCs w:val="24"/>
        </w:rPr>
        <w:t>é um d</w:t>
      </w:r>
      <w:r w:rsidR="00886D6A" w:rsidRPr="003A1174">
        <w:rPr>
          <w:rFonts w:ascii="Garamond" w:hAnsi="Garamond" w:cs="Arial"/>
          <w:sz w:val="24"/>
          <w:szCs w:val="24"/>
        </w:rPr>
        <w:t>ireito</w:t>
      </w:r>
      <w:r w:rsidR="00501083" w:rsidRPr="003A1174">
        <w:rPr>
          <w:rFonts w:ascii="Garamond" w:hAnsi="Garamond" w:cs="Arial"/>
          <w:sz w:val="24"/>
          <w:szCs w:val="24"/>
        </w:rPr>
        <w:t xml:space="preserve"> humano, doutro modo </w:t>
      </w:r>
      <w:r w:rsidR="00D01B8C" w:rsidRPr="003A1174">
        <w:rPr>
          <w:rFonts w:ascii="Garamond" w:hAnsi="Garamond" w:cs="Arial"/>
          <w:sz w:val="24"/>
          <w:szCs w:val="24"/>
        </w:rPr>
        <w:t>a n</w:t>
      </w:r>
      <w:r w:rsidR="00501083" w:rsidRPr="003A1174">
        <w:rPr>
          <w:rFonts w:ascii="Garamond" w:hAnsi="Garamond" w:cs="Arial"/>
          <w:sz w:val="24"/>
          <w:szCs w:val="24"/>
        </w:rPr>
        <w:t>ã</w:t>
      </w:r>
      <w:r w:rsidR="00D01B8C" w:rsidRPr="003A1174">
        <w:rPr>
          <w:rFonts w:ascii="Garamond" w:hAnsi="Garamond" w:cs="Arial"/>
          <w:sz w:val="24"/>
          <w:szCs w:val="24"/>
        </w:rPr>
        <w:t xml:space="preserve">o </w:t>
      </w:r>
      <w:r w:rsidR="00D3768C">
        <w:rPr>
          <w:rFonts w:ascii="Garamond" w:hAnsi="Garamond" w:cs="Arial"/>
          <w:sz w:val="24"/>
          <w:szCs w:val="24"/>
        </w:rPr>
        <w:t xml:space="preserve">elaboração </w:t>
      </w:r>
      <w:r w:rsidR="00D01B8C" w:rsidRPr="003A1174">
        <w:rPr>
          <w:rFonts w:ascii="Garamond" w:hAnsi="Garamond" w:cs="Arial"/>
          <w:sz w:val="24"/>
          <w:szCs w:val="24"/>
        </w:rPr>
        <w:t>d</w:t>
      </w:r>
      <w:r w:rsidR="00501083" w:rsidRPr="003A1174">
        <w:rPr>
          <w:rFonts w:ascii="Garamond" w:hAnsi="Garamond" w:cs="Arial"/>
          <w:sz w:val="24"/>
          <w:szCs w:val="24"/>
        </w:rPr>
        <w:t>o</w:t>
      </w:r>
      <w:r w:rsidR="00D01B8C" w:rsidRPr="003A1174">
        <w:rPr>
          <w:rFonts w:ascii="Garamond" w:hAnsi="Garamond" w:cs="Arial"/>
          <w:sz w:val="24"/>
          <w:szCs w:val="24"/>
        </w:rPr>
        <w:t xml:space="preserve"> </w:t>
      </w:r>
      <w:r w:rsidR="00501083" w:rsidRPr="003A1174">
        <w:rPr>
          <w:rFonts w:ascii="Garamond" w:hAnsi="Garamond" w:cs="Arial"/>
          <w:sz w:val="24"/>
          <w:szCs w:val="24"/>
        </w:rPr>
        <w:t>Guia</w:t>
      </w:r>
      <w:r w:rsidR="00D01B8C" w:rsidRPr="003A1174">
        <w:rPr>
          <w:rFonts w:ascii="Garamond" w:hAnsi="Garamond" w:cs="Arial"/>
          <w:sz w:val="24"/>
          <w:szCs w:val="24"/>
        </w:rPr>
        <w:t xml:space="preserve"> </w:t>
      </w:r>
      <w:r w:rsidR="00D3768C">
        <w:rPr>
          <w:rFonts w:ascii="Garamond" w:hAnsi="Garamond" w:cs="Arial"/>
          <w:sz w:val="24"/>
          <w:szCs w:val="24"/>
        </w:rPr>
        <w:t xml:space="preserve">permitirá </w:t>
      </w:r>
      <w:r w:rsidR="00D01B8C" w:rsidRPr="003A1174">
        <w:rPr>
          <w:rFonts w:ascii="Garamond" w:hAnsi="Garamond" w:cs="Arial"/>
          <w:sz w:val="24"/>
          <w:szCs w:val="24"/>
        </w:rPr>
        <w:t>mante</w:t>
      </w:r>
      <w:r w:rsidR="00501083" w:rsidRPr="003A1174">
        <w:rPr>
          <w:rFonts w:ascii="Garamond" w:hAnsi="Garamond" w:cs="Arial"/>
          <w:sz w:val="24"/>
          <w:szCs w:val="24"/>
        </w:rPr>
        <w:t xml:space="preserve">r </w:t>
      </w:r>
      <w:r w:rsidR="00D3768C">
        <w:rPr>
          <w:rFonts w:ascii="Garamond" w:hAnsi="Garamond" w:cs="Arial"/>
          <w:sz w:val="24"/>
          <w:szCs w:val="24"/>
        </w:rPr>
        <w:t xml:space="preserve">a falta do devido </w:t>
      </w:r>
      <w:r w:rsidR="001C2738" w:rsidRPr="003A1174">
        <w:rPr>
          <w:rFonts w:ascii="Garamond" w:hAnsi="Garamond" w:cs="Arial"/>
          <w:sz w:val="24"/>
          <w:szCs w:val="24"/>
        </w:rPr>
        <w:t>tratamento</w:t>
      </w:r>
      <w:r w:rsidR="00E358F8" w:rsidRPr="003A1174">
        <w:rPr>
          <w:rFonts w:ascii="Garamond" w:hAnsi="Garamond" w:cs="Arial"/>
          <w:sz w:val="24"/>
          <w:szCs w:val="24"/>
        </w:rPr>
        <w:t xml:space="preserve"> </w:t>
      </w:r>
      <w:r w:rsidR="00501083" w:rsidRPr="007B3401">
        <w:rPr>
          <w:rFonts w:ascii="Garamond" w:hAnsi="Garamond" w:cs="Arial"/>
          <w:sz w:val="24"/>
          <w:szCs w:val="24"/>
        </w:rPr>
        <w:t>à lesão</w:t>
      </w:r>
      <w:r w:rsidR="00501083" w:rsidRPr="003A1174">
        <w:rPr>
          <w:rFonts w:ascii="Garamond" w:hAnsi="Garamond" w:cs="Arial"/>
          <w:sz w:val="24"/>
          <w:szCs w:val="24"/>
        </w:rPr>
        <w:t xml:space="preserve"> da </w:t>
      </w:r>
      <w:r w:rsidR="002D1021" w:rsidRPr="003A1174">
        <w:rPr>
          <w:rFonts w:ascii="Garamond" w:hAnsi="Garamond" w:cs="Arial"/>
          <w:sz w:val="24"/>
          <w:szCs w:val="24"/>
        </w:rPr>
        <w:t>integridade</w:t>
      </w:r>
      <w:r w:rsidR="00D01B8C" w:rsidRPr="003A1174">
        <w:rPr>
          <w:rFonts w:ascii="Garamond" w:hAnsi="Garamond" w:cs="Arial"/>
          <w:sz w:val="24"/>
          <w:szCs w:val="24"/>
        </w:rPr>
        <w:t xml:space="preserve"> psicológica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3F012B" w:rsidRPr="003A1174">
        <w:rPr>
          <w:rFonts w:ascii="Garamond" w:hAnsi="Garamond" w:cs="Arial"/>
          <w:sz w:val="24"/>
          <w:szCs w:val="24"/>
        </w:rPr>
        <w:t>vítima</w:t>
      </w:r>
      <w:r w:rsidR="00D01B8C" w:rsidRPr="003A1174">
        <w:rPr>
          <w:rFonts w:ascii="Garamond" w:hAnsi="Garamond" w:cs="Arial"/>
          <w:sz w:val="24"/>
          <w:szCs w:val="24"/>
        </w:rPr>
        <w:t xml:space="preserve">s. </w:t>
      </w:r>
    </w:p>
    <w:p w:rsidR="00D01B8C" w:rsidRPr="003A1174" w:rsidRDefault="00D01B8C" w:rsidP="008719D4">
      <w:pPr>
        <w:spacing w:after="0" w:line="240" w:lineRule="auto"/>
        <w:jc w:val="both"/>
        <w:rPr>
          <w:rFonts w:ascii="Garamond" w:hAnsi="Garamond" w:cs="Arial"/>
          <w:sz w:val="24"/>
          <w:szCs w:val="24"/>
        </w:rPr>
      </w:pPr>
    </w:p>
    <w:p w:rsidR="00CA39B2" w:rsidRPr="003A1174" w:rsidRDefault="000350B1" w:rsidP="008719D4">
      <w:pPr>
        <w:spacing w:line="240" w:lineRule="auto"/>
        <w:jc w:val="both"/>
        <w:rPr>
          <w:rFonts w:ascii="Garamond" w:hAnsi="Garamond" w:cs="Arial"/>
          <w:sz w:val="24"/>
          <w:szCs w:val="24"/>
          <w:lang w:eastAsia="es-ES"/>
        </w:rPr>
      </w:pPr>
      <w:r w:rsidRPr="003A1174">
        <w:rPr>
          <w:rFonts w:ascii="Garamond" w:hAnsi="Garamond" w:cs="Arial"/>
          <w:sz w:val="24"/>
          <w:szCs w:val="24"/>
        </w:rPr>
        <w:t>Também</w:t>
      </w:r>
      <w:r w:rsidR="00D01B8C" w:rsidRPr="003A1174">
        <w:rPr>
          <w:rFonts w:ascii="Garamond" w:hAnsi="Garamond" w:cs="Arial"/>
          <w:sz w:val="24"/>
          <w:szCs w:val="24"/>
        </w:rPr>
        <w:t xml:space="preserve"> se recomend</w:t>
      </w:r>
      <w:r w:rsidR="00501083" w:rsidRPr="003A1174">
        <w:rPr>
          <w:rFonts w:ascii="Garamond" w:hAnsi="Garamond" w:cs="Arial"/>
          <w:sz w:val="24"/>
          <w:szCs w:val="24"/>
        </w:rPr>
        <w:t xml:space="preserve">ou que todos </w:t>
      </w:r>
      <w:r w:rsidR="00D01B8C" w:rsidRPr="003A1174">
        <w:rPr>
          <w:rFonts w:ascii="Garamond" w:hAnsi="Garamond" w:cs="Arial"/>
          <w:sz w:val="24"/>
          <w:szCs w:val="24"/>
        </w:rPr>
        <w:t xml:space="preserve">os </w:t>
      </w:r>
      <w:r w:rsidR="003F012B" w:rsidRPr="003A1174">
        <w:rPr>
          <w:rFonts w:ascii="Garamond" w:hAnsi="Garamond" w:cs="Arial"/>
          <w:sz w:val="24"/>
          <w:szCs w:val="24"/>
        </w:rPr>
        <w:t>níveis</w:t>
      </w:r>
      <w:r w:rsidR="00D01B8C" w:rsidRPr="003A1174">
        <w:rPr>
          <w:rFonts w:ascii="Garamond" w:hAnsi="Garamond" w:cs="Arial"/>
          <w:sz w:val="24"/>
          <w:szCs w:val="24"/>
        </w:rPr>
        <w:t xml:space="preserve"> de </w:t>
      </w:r>
      <w:r w:rsidR="006506C6" w:rsidRPr="003A1174">
        <w:rPr>
          <w:rFonts w:ascii="Garamond" w:hAnsi="Garamond" w:cs="Arial"/>
          <w:sz w:val="24"/>
          <w:szCs w:val="24"/>
        </w:rPr>
        <w:t>governo</w:t>
      </w:r>
      <w:r w:rsidR="00D01B8C" w:rsidRPr="003A1174">
        <w:rPr>
          <w:rFonts w:ascii="Garamond" w:hAnsi="Garamond" w:cs="Arial"/>
          <w:sz w:val="24"/>
          <w:szCs w:val="24"/>
        </w:rPr>
        <w:t xml:space="preserve"> (</w:t>
      </w:r>
      <w:r w:rsidR="006506C6" w:rsidRPr="003A1174">
        <w:rPr>
          <w:rFonts w:ascii="Garamond" w:hAnsi="Garamond" w:cs="Arial"/>
          <w:sz w:val="24"/>
          <w:szCs w:val="24"/>
        </w:rPr>
        <w:t>Governo</w:t>
      </w:r>
      <w:r w:rsidR="00D01B8C" w:rsidRPr="003A1174">
        <w:rPr>
          <w:rFonts w:ascii="Garamond" w:hAnsi="Garamond" w:cs="Arial"/>
          <w:sz w:val="24"/>
          <w:szCs w:val="24"/>
        </w:rPr>
        <w:t xml:space="preserve"> Central, Regional </w:t>
      </w:r>
      <w:r w:rsidR="00497503" w:rsidRPr="003A1174">
        <w:rPr>
          <w:rFonts w:ascii="Garamond" w:hAnsi="Garamond" w:cs="Arial"/>
          <w:sz w:val="24"/>
          <w:szCs w:val="24"/>
        </w:rPr>
        <w:t>e</w:t>
      </w:r>
      <w:r w:rsidR="00D01B8C" w:rsidRPr="003A1174">
        <w:rPr>
          <w:rFonts w:ascii="Garamond" w:hAnsi="Garamond" w:cs="Arial"/>
          <w:sz w:val="24"/>
          <w:szCs w:val="24"/>
        </w:rPr>
        <w:t xml:space="preserve"> Local) se comprometa</w:t>
      </w:r>
      <w:r w:rsidR="00501083" w:rsidRPr="003A1174">
        <w:rPr>
          <w:rFonts w:ascii="Garamond" w:hAnsi="Garamond" w:cs="Arial"/>
          <w:sz w:val="24"/>
          <w:szCs w:val="24"/>
        </w:rPr>
        <w:t xml:space="preserve">m na </w:t>
      </w:r>
      <w:r w:rsidR="001C2738" w:rsidRPr="003A1174">
        <w:rPr>
          <w:rFonts w:ascii="Garamond" w:hAnsi="Garamond" w:cs="Arial"/>
          <w:sz w:val="24"/>
          <w:szCs w:val="24"/>
        </w:rPr>
        <w:t>luta</w:t>
      </w:r>
      <w:r w:rsidR="00501083" w:rsidRPr="003A1174">
        <w:rPr>
          <w:rFonts w:ascii="Garamond" w:hAnsi="Garamond" w:cs="Arial"/>
          <w:sz w:val="24"/>
          <w:szCs w:val="24"/>
        </w:rPr>
        <w:t xml:space="preserve"> contra </w:t>
      </w:r>
      <w:r w:rsidR="00D01B8C" w:rsidRPr="003A1174">
        <w:rPr>
          <w:rFonts w:ascii="Garamond" w:hAnsi="Garamond" w:cs="Arial"/>
          <w:sz w:val="24"/>
          <w:szCs w:val="24"/>
        </w:rPr>
        <w:t xml:space="preserve">as diversas formas de </w:t>
      </w:r>
      <w:r w:rsidRPr="003A1174">
        <w:rPr>
          <w:rFonts w:ascii="Garamond" w:hAnsi="Garamond" w:cs="Arial"/>
          <w:sz w:val="24"/>
          <w:szCs w:val="24"/>
        </w:rPr>
        <w:t>violência</w:t>
      </w:r>
      <w:r w:rsidR="00D01B8C" w:rsidRPr="003A1174">
        <w:rPr>
          <w:rFonts w:ascii="Garamond" w:hAnsi="Garamond" w:cs="Arial"/>
          <w:sz w:val="24"/>
          <w:szCs w:val="24"/>
        </w:rPr>
        <w:t xml:space="preserve"> </w:t>
      </w:r>
      <w:r w:rsidR="007C63D0" w:rsidRPr="003A1174">
        <w:rPr>
          <w:rFonts w:ascii="Garamond" w:hAnsi="Garamond" w:cs="Arial"/>
          <w:sz w:val="24"/>
          <w:szCs w:val="24"/>
        </w:rPr>
        <w:t>baseada</w:t>
      </w:r>
      <w:r w:rsidR="00501083" w:rsidRPr="003A1174">
        <w:rPr>
          <w:rFonts w:ascii="Garamond" w:hAnsi="Garamond" w:cs="Arial"/>
          <w:sz w:val="24"/>
          <w:szCs w:val="24"/>
        </w:rPr>
        <w:t xml:space="preserve"> em</w:t>
      </w:r>
      <w:r w:rsidR="00D01B8C" w:rsidRPr="003A1174">
        <w:rPr>
          <w:rFonts w:ascii="Garamond" w:hAnsi="Garamond" w:cs="Arial"/>
          <w:sz w:val="24"/>
          <w:szCs w:val="24"/>
        </w:rPr>
        <w:t xml:space="preserve"> género, a partir </w:t>
      </w:r>
      <w:r w:rsidR="008A3DA2" w:rsidRPr="003A1174">
        <w:rPr>
          <w:rFonts w:ascii="Garamond" w:hAnsi="Garamond" w:cs="Arial"/>
          <w:sz w:val="24"/>
          <w:szCs w:val="24"/>
        </w:rPr>
        <w:t>d</w:t>
      </w:r>
      <w:r w:rsidR="00501083" w:rsidRPr="003A1174">
        <w:rPr>
          <w:rFonts w:ascii="Garamond" w:hAnsi="Garamond" w:cs="Arial"/>
          <w:sz w:val="24"/>
          <w:szCs w:val="24"/>
        </w:rPr>
        <w:t>a conceção e execução de</w:t>
      </w:r>
      <w:r w:rsidR="00D01B8C" w:rsidRPr="003A1174">
        <w:rPr>
          <w:rFonts w:ascii="Garamond" w:hAnsi="Garamond" w:cs="Arial"/>
          <w:sz w:val="24"/>
          <w:szCs w:val="24"/>
        </w:rPr>
        <w:t xml:space="preserve"> políticas públicas </w:t>
      </w:r>
      <w:r w:rsidR="00501083" w:rsidRPr="003A1174">
        <w:rPr>
          <w:rFonts w:ascii="Garamond" w:hAnsi="Garamond" w:cs="Arial"/>
          <w:sz w:val="24"/>
          <w:szCs w:val="24"/>
        </w:rPr>
        <w:t>adequada</w:t>
      </w:r>
      <w:r w:rsidR="00F73CFB" w:rsidRPr="003A1174">
        <w:rPr>
          <w:rFonts w:ascii="Garamond" w:hAnsi="Garamond" w:cs="Arial"/>
          <w:sz w:val="24"/>
          <w:szCs w:val="24"/>
        </w:rPr>
        <w:t xml:space="preserve">s. </w:t>
      </w:r>
      <w:r w:rsidR="00501083" w:rsidRPr="003A1174">
        <w:rPr>
          <w:rFonts w:ascii="Garamond" w:hAnsi="Garamond" w:cs="Arial"/>
          <w:sz w:val="24"/>
          <w:szCs w:val="24"/>
          <w:lang w:eastAsia="es-ES"/>
        </w:rPr>
        <w:t>I</w:t>
      </w:r>
      <w:r w:rsidR="00F73CFB" w:rsidRPr="003A1174">
        <w:rPr>
          <w:rFonts w:ascii="Garamond" w:hAnsi="Garamond" w:cs="Arial"/>
          <w:sz w:val="24"/>
          <w:szCs w:val="24"/>
          <w:lang w:eastAsia="es-ES"/>
        </w:rPr>
        <w:t>sto</w:t>
      </w:r>
      <w:r w:rsidR="00D01B8C" w:rsidRPr="003A1174">
        <w:rPr>
          <w:rFonts w:ascii="Garamond" w:hAnsi="Garamond" w:cs="Arial"/>
          <w:sz w:val="24"/>
          <w:szCs w:val="24"/>
          <w:lang w:eastAsia="es-ES"/>
        </w:rPr>
        <w:t xml:space="preserve"> </w:t>
      </w:r>
      <w:r w:rsidR="00A862C2" w:rsidRPr="003A1174">
        <w:rPr>
          <w:rFonts w:ascii="Garamond" w:hAnsi="Garamond" w:cs="Arial"/>
          <w:sz w:val="24"/>
          <w:szCs w:val="24"/>
          <w:lang w:eastAsia="es-ES"/>
        </w:rPr>
        <w:t>deve</w:t>
      </w:r>
      <w:r w:rsidR="00D01B8C" w:rsidRPr="003A1174">
        <w:rPr>
          <w:rFonts w:ascii="Garamond" w:hAnsi="Garamond" w:cs="Arial"/>
          <w:sz w:val="24"/>
          <w:szCs w:val="24"/>
          <w:lang w:eastAsia="es-ES"/>
        </w:rPr>
        <w:t xml:space="preserve"> </w:t>
      </w:r>
      <w:r w:rsidR="00501083" w:rsidRPr="003A1174">
        <w:rPr>
          <w:rFonts w:ascii="Garamond" w:hAnsi="Garamond" w:cs="Arial"/>
          <w:sz w:val="24"/>
          <w:szCs w:val="24"/>
          <w:lang w:eastAsia="es-ES"/>
        </w:rPr>
        <w:t xml:space="preserve">implicar </w:t>
      </w:r>
      <w:r w:rsidR="00D01B8C" w:rsidRPr="003A1174">
        <w:rPr>
          <w:rFonts w:ascii="Garamond" w:hAnsi="Garamond" w:cs="Arial"/>
          <w:sz w:val="24"/>
          <w:szCs w:val="24"/>
          <w:lang w:eastAsia="es-ES"/>
        </w:rPr>
        <w:t xml:space="preserve">a </w:t>
      </w:r>
      <w:r w:rsidR="00501083" w:rsidRPr="003A1174">
        <w:rPr>
          <w:rFonts w:ascii="Garamond" w:hAnsi="Garamond" w:cs="Arial"/>
          <w:sz w:val="24"/>
          <w:szCs w:val="24"/>
          <w:lang w:eastAsia="es-ES"/>
        </w:rPr>
        <w:t>atribuição de orçamentos adequado</w:t>
      </w:r>
      <w:r w:rsidR="00D01B8C" w:rsidRPr="003A1174">
        <w:rPr>
          <w:rFonts w:ascii="Garamond" w:hAnsi="Garamond" w:cs="Arial"/>
          <w:sz w:val="24"/>
          <w:szCs w:val="24"/>
          <w:lang w:eastAsia="es-ES"/>
        </w:rPr>
        <w:t xml:space="preserve">s </w:t>
      </w:r>
      <w:r w:rsidR="00497503" w:rsidRPr="003A1174">
        <w:rPr>
          <w:rFonts w:ascii="Garamond" w:hAnsi="Garamond" w:cs="Arial"/>
          <w:sz w:val="24"/>
          <w:szCs w:val="24"/>
          <w:lang w:eastAsia="es-ES"/>
        </w:rPr>
        <w:t>e</w:t>
      </w:r>
      <w:r w:rsidR="00D01B8C" w:rsidRPr="003A1174">
        <w:rPr>
          <w:rFonts w:ascii="Garamond" w:hAnsi="Garamond" w:cs="Arial"/>
          <w:sz w:val="24"/>
          <w:szCs w:val="24"/>
          <w:lang w:eastAsia="es-ES"/>
        </w:rPr>
        <w:t xml:space="preserve"> suficientes para </w:t>
      </w:r>
      <w:r w:rsidR="00501083" w:rsidRPr="003A1174">
        <w:rPr>
          <w:rFonts w:ascii="Garamond" w:hAnsi="Garamond" w:cs="Arial"/>
          <w:sz w:val="24"/>
          <w:szCs w:val="24"/>
          <w:lang w:eastAsia="es-ES"/>
        </w:rPr>
        <w:t xml:space="preserve">o </w:t>
      </w:r>
      <w:r w:rsidR="00D96FD0" w:rsidRPr="003A1174">
        <w:rPr>
          <w:rFonts w:ascii="Garamond" w:hAnsi="Garamond" w:cs="Arial"/>
          <w:sz w:val="24"/>
          <w:szCs w:val="24"/>
          <w:lang w:eastAsia="es-ES"/>
        </w:rPr>
        <w:t>cumprimento</w:t>
      </w:r>
      <w:r w:rsidR="00D01B8C" w:rsidRPr="003A1174">
        <w:rPr>
          <w:rFonts w:ascii="Garamond" w:hAnsi="Garamond" w:cs="Arial"/>
          <w:sz w:val="24"/>
          <w:szCs w:val="24"/>
          <w:lang w:eastAsia="es-ES"/>
        </w:rPr>
        <w:t xml:space="preserve"> </w:t>
      </w:r>
      <w:r w:rsidR="00497503" w:rsidRPr="003A1174">
        <w:rPr>
          <w:rFonts w:ascii="Garamond" w:hAnsi="Garamond" w:cs="Arial"/>
          <w:sz w:val="24"/>
          <w:szCs w:val="24"/>
          <w:lang w:eastAsia="es-ES"/>
        </w:rPr>
        <w:t>dos</w:t>
      </w:r>
      <w:r w:rsidR="00D01B8C" w:rsidRPr="003A1174">
        <w:rPr>
          <w:rFonts w:ascii="Garamond" w:hAnsi="Garamond" w:cs="Arial"/>
          <w:sz w:val="24"/>
          <w:szCs w:val="24"/>
          <w:lang w:eastAsia="es-ES"/>
        </w:rPr>
        <w:t xml:space="preserve"> </w:t>
      </w:r>
      <w:r w:rsidR="00CD707D" w:rsidRPr="003A1174">
        <w:rPr>
          <w:rFonts w:ascii="Garamond" w:hAnsi="Garamond" w:cs="Arial"/>
          <w:sz w:val="24"/>
          <w:szCs w:val="24"/>
          <w:lang w:eastAsia="es-ES"/>
        </w:rPr>
        <w:t>plano</w:t>
      </w:r>
      <w:r w:rsidR="00D01B8C" w:rsidRPr="003A1174">
        <w:rPr>
          <w:rFonts w:ascii="Garamond" w:hAnsi="Garamond" w:cs="Arial"/>
          <w:sz w:val="24"/>
          <w:szCs w:val="24"/>
          <w:lang w:eastAsia="es-ES"/>
        </w:rPr>
        <w:t xml:space="preserve">s; </w:t>
      </w:r>
      <w:r w:rsidR="00501083" w:rsidRPr="003A1174">
        <w:rPr>
          <w:rFonts w:ascii="Garamond" w:hAnsi="Garamond" w:cs="Arial"/>
          <w:sz w:val="24"/>
          <w:szCs w:val="24"/>
          <w:lang w:eastAsia="es-ES"/>
        </w:rPr>
        <w:t>o</w:t>
      </w:r>
      <w:r w:rsidR="00D01B8C" w:rsidRPr="003A1174">
        <w:rPr>
          <w:rFonts w:ascii="Garamond" w:hAnsi="Garamond" w:cs="Arial"/>
          <w:sz w:val="24"/>
          <w:szCs w:val="24"/>
          <w:lang w:eastAsia="es-ES"/>
        </w:rPr>
        <w:t xml:space="preserve"> </w:t>
      </w:r>
      <w:r w:rsidR="002D1021" w:rsidRPr="003A1174">
        <w:rPr>
          <w:rFonts w:ascii="Garamond" w:hAnsi="Garamond" w:cs="Arial"/>
          <w:sz w:val="24"/>
          <w:szCs w:val="24"/>
          <w:lang w:eastAsia="es-ES"/>
        </w:rPr>
        <w:t>estabelecimento</w:t>
      </w:r>
      <w:r w:rsidR="00F73CFB" w:rsidRPr="003A1174">
        <w:rPr>
          <w:rFonts w:ascii="Garamond" w:hAnsi="Garamond" w:cs="Arial"/>
          <w:sz w:val="24"/>
          <w:szCs w:val="24"/>
          <w:lang w:eastAsia="es-ES"/>
        </w:rPr>
        <w:t xml:space="preserve"> </w:t>
      </w:r>
      <w:r w:rsidR="00D3768C">
        <w:rPr>
          <w:rFonts w:ascii="Garamond" w:hAnsi="Garamond" w:cs="Arial"/>
          <w:sz w:val="24"/>
          <w:szCs w:val="24"/>
          <w:lang w:eastAsia="es-ES"/>
        </w:rPr>
        <w:t>-</w:t>
      </w:r>
      <w:r w:rsidR="00501083" w:rsidRPr="003A1174">
        <w:rPr>
          <w:rFonts w:ascii="Garamond" w:hAnsi="Garamond" w:cs="Arial"/>
          <w:sz w:val="24"/>
          <w:szCs w:val="24"/>
          <w:lang w:eastAsia="es-ES"/>
        </w:rPr>
        <w:t xml:space="preserve"> </w:t>
      </w:r>
      <w:r w:rsidR="00F73CFB" w:rsidRPr="003A1174">
        <w:rPr>
          <w:rFonts w:ascii="Garamond" w:hAnsi="Garamond" w:cs="Arial"/>
          <w:sz w:val="24"/>
          <w:szCs w:val="24"/>
          <w:lang w:eastAsia="es-ES"/>
        </w:rPr>
        <w:t>mediante</w:t>
      </w:r>
      <w:r w:rsidR="00501083" w:rsidRPr="003A1174">
        <w:rPr>
          <w:rFonts w:ascii="Garamond" w:hAnsi="Garamond" w:cs="Arial"/>
          <w:sz w:val="24"/>
          <w:szCs w:val="24"/>
          <w:lang w:eastAsia="es-ES"/>
        </w:rPr>
        <w:t xml:space="preserve"> </w:t>
      </w:r>
      <w:r w:rsidR="00D01B8C" w:rsidRPr="003A1174">
        <w:rPr>
          <w:rFonts w:ascii="Garamond" w:hAnsi="Garamond" w:cs="Arial"/>
          <w:sz w:val="24"/>
          <w:szCs w:val="24"/>
          <w:lang w:eastAsia="es-ES"/>
        </w:rPr>
        <w:t xml:space="preserve">a </w:t>
      </w:r>
      <w:r w:rsidR="00CD707D" w:rsidRPr="003A1174">
        <w:rPr>
          <w:rFonts w:ascii="Garamond" w:hAnsi="Garamond" w:cs="Arial"/>
          <w:sz w:val="24"/>
          <w:szCs w:val="24"/>
          <w:lang w:eastAsia="es-ES"/>
        </w:rPr>
        <w:t>emissão</w:t>
      </w:r>
      <w:r w:rsidR="00D01B8C" w:rsidRPr="003A1174">
        <w:rPr>
          <w:rFonts w:ascii="Garamond" w:hAnsi="Garamond" w:cs="Arial"/>
          <w:sz w:val="24"/>
          <w:szCs w:val="24"/>
          <w:lang w:eastAsia="es-ES"/>
        </w:rPr>
        <w:t xml:space="preserve"> d</w:t>
      </w:r>
      <w:r w:rsidR="00E32404">
        <w:rPr>
          <w:rFonts w:ascii="Garamond" w:hAnsi="Garamond" w:cs="Arial"/>
          <w:sz w:val="24"/>
          <w:szCs w:val="24"/>
          <w:lang w:eastAsia="es-ES"/>
        </w:rPr>
        <w:t>e</w:t>
      </w:r>
      <w:r w:rsidR="00D01B8C" w:rsidRPr="003A1174">
        <w:rPr>
          <w:rFonts w:ascii="Garamond" w:hAnsi="Garamond" w:cs="Arial"/>
          <w:sz w:val="24"/>
          <w:szCs w:val="24"/>
          <w:lang w:eastAsia="es-ES"/>
        </w:rPr>
        <w:t xml:space="preserve"> norma</w:t>
      </w:r>
      <w:r w:rsidR="00501083" w:rsidRPr="003A1174">
        <w:rPr>
          <w:rFonts w:ascii="Garamond" w:hAnsi="Garamond" w:cs="Arial"/>
          <w:sz w:val="24"/>
          <w:szCs w:val="24"/>
          <w:lang w:eastAsia="es-ES"/>
        </w:rPr>
        <w:t xml:space="preserve">s </w:t>
      </w:r>
      <w:r w:rsidR="003E1D8A" w:rsidRPr="003A1174">
        <w:rPr>
          <w:rFonts w:ascii="Garamond" w:hAnsi="Garamond" w:cs="Arial"/>
          <w:sz w:val="24"/>
          <w:szCs w:val="24"/>
          <w:lang w:eastAsia="es-ES"/>
        </w:rPr>
        <w:t>correspondente</w:t>
      </w:r>
      <w:r w:rsidR="00501083" w:rsidRPr="003A1174">
        <w:rPr>
          <w:rFonts w:ascii="Garamond" w:hAnsi="Garamond" w:cs="Arial"/>
          <w:sz w:val="24"/>
          <w:szCs w:val="24"/>
          <w:lang w:eastAsia="es-ES"/>
        </w:rPr>
        <w:t xml:space="preserve">s </w:t>
      </w:r>
      <w:r w:rsidR="00D3768C">
        <w:rPr>
          <w:rFonts w:ascii="Garamond" w:hAnsi="Garamond" w:cs="Arial"/>
          <w:sz w:val="24"/>
          <w:szCs w:val="24"/>
          <w:lang w:eastAsia="es-ES"/>
        </w:rPr>
        <w:t>-</w:t>
      </w:r>
      <w:r w:rsidR="00D01B8C" w:rsidRPr="003A1174">
        <w:rPr>
          <w:rFonts w:ascii="Garamond" w:hAnsi="Garamond" w:cs="Arial"/>
          <w:sz w:val="24"/>
          <w:szCs w:val="24"/>
          <w:lang w:eastAsia="es-ES"/>
        </w:rPr>
        <w:t xml:space="preserve"> de </w:t>
      </w:r>
      <w:r w:rsidR="003E1D8A" w:rsidRPr="003A1174">
        <w:rPr>
          <w:rFonts w:ascii="Garamond" w:hAnsi="Garamond" w:cs="Arial"/>
          <w:sz w:val="24"/>
          <w:szCs w:val="24"/>
          <w:lang w:eastAsia="es-ES"/>
        </w:rPr>
        <w:t>sanções</w:t>
      </w:r>
      <w:r w:rsidR="00D01B8C" w:rsidRPr="003A1174">
        <w:rPr>
          <w:rFonts w:ascii="Garamond" w:hAnsi="Garamond" w:cs="Arial"/>
          <w:sz w:val="24"/>
          <w:szCs w:val="24"/>
          <w:lang w:eastAsia="es-ES"/>
        </w:rPr>
        <w:t xml:space="preserve"> administrativas o</w:t>
      </w:r>
      <w:r w:rsidR="00501083" w:rsidRPr="003A1174">
        <w:rPr>
          <w:rFonts w:ascii="Garamond" w:hAnsi="Garamond" w:cs="Arial"/>
          <w:sz w:val="24"/>
          <w:szCs w:val="24"/>
          <w:lang w:eastAsia="es-ES"/>
        </w:rPr>
        <w:t>u</w:t>
      </w:r>
      <w:r w:rsidR="00D01B8C" w:rsidRPr="003A1174">
        <w:rPr>
          <w:rFonts w:ascii="Garamond" w:hAnsi="Garamond" w:cs="Arial"/>
          <w:sz w:val="24"/>
          <w:szCs w:val="24"/>
          <w:lang w:eastAsia="es-ES"/>
        </w:rPr>
        <w:t xml:space="preserve"> </w:t>
      </w:r>
      <w:r w:rsidR="009A0CC2" w:rsidRPr="003A1174">
        <w:rPr>
          <w:rFonts w:ascii="Garamond" w:hAnsi="Garamond" w:cs="Arial"/>
          <w:sz w:val="24"/>
          <w:szCs w:val="24"/>
          <w:lang w:eastAsia="es-ES"/>
        </w:rPr>
        <w:t>penais</w:t>
      </w:r>
      <w:r w:rsidR="00D01B8C" w:rsidRPr="003A1174">
        <w:rPr>
          <w:rFonts w:ascii="Garamond" w:hAnsi="Garamond" w:cs="Arial"/>
          <w:sz w:val="24"/>
          <w:szCs w:val="24"/>
          <w:lang w:eastAsia="es-ES"/>
        </w:rPr>
        <w:t xml:space="preserve"> para </w:t>
      </w:r>
      <w:r w:rsidR="00367022">
        <w:rPr>
          <w:rFonts w:ascii="Garamond" w:hAnsi="Garamond" w:cs="Arial"/>
          <w:sz w:val="24"/>
          <w:szCs w:val="24"/>
          <w:lang w:eastAsia="es-ES"/>
        </w:rPr>
        <w:t xml:space="preserve">os </w:t>
      </w:r>
      <w:r w:rsidR="003E6403" w:rsidRPr="003A1174">
        <w:rPr>
          <w:rFonts w:ascii="Garamond" w:hAnsi="Garamond" w:cs="Arial"/>
          <w:sz w:val="24"/>
          <w:szCs w:val="24"/>
          <w:lang w:eastAsia="es-ES"/>
        </w:rPr>
        <w:t>funcionári</w:t>
      </w:r>
      <w:r w:rsidR="00D01B8C" w:rsidRPr="003A1174">
        <w:rPr>
          <w:rFonts w:ascii="Garamond" w:hAnsi="Garamond" w:cs="Arial"/>
          <w:sz w:val="24"/>
          <w:szCs w:val="24"/>
          <w:lang w:eastAsia="es-ES"/>
        </w:rPr>
        <w:t>os/operadores/</w:t>
      </w:r>
      <w:r w:rsidR="00367022">
        <w:rPr>
          <w:rFonts w:ascii="Garamond" w:hAnsi="Garamond" w:cs="Arial"/>
          <w:sz w:val="24"/>
          <w:szCs w:val="24"/>
          <w:lang w:eastAsia="es-ES"/>
        </w:rPr>
        <w:t xml:space="preserve">todos aqueles </w:t>
      </w:r>
      <w:r w:rsidR="00D01B8C" w:rsidRPr="003A1174">
        <w:rPr>
          <w:rFonts w:ascii="Garamond" w:hAnsi="Garamond" w:cs="Arial"/>
          <w:sz w:val="24"/>
          <w:szCs w:val="24"/>
          <w:lang w:eastAsia="es-ES"/>
        </w:rPr>
        <w:t xml:space="preserve">que </w:t>
      </w:r>
      <w:r w:rsidR="00501083" w:rsidRPr="003A1174">
        <w:rPr>
          <w:rFonts w:ascii="Garamond" w:hAnsi="Garamond" w:cs="Arial"/>
          <w:sz w:val="24"/>
          <w:szCs w:val="24"/>
          <w:lang w:eastAsia="es-ES"/>
        </w:rPr>
        <w:t xml:space="preserve">não cumpram com as </w:t>
      </w:r>
      <w:r w:rsidR="00D01B8C" w:rsidRPr="003A1174">
        <w:rPr>
          <w:rFonts w:ascii="Garamond" w:hAnsi="Garamond" w:cs="Arial"/>
          <w:sz w:val="24"/>
          <w:szCs w:val="24"/>
          <w:lang w:eastAsia="es-ES"/>
        </w:rPr>
        <w:t>su</w:t>
      </w:r>
      <w:r w:rsidR="00501083" w:rsidRPr="003A1174">
        <w:rPr>
          <w:rFonts w:ascii="Garamond" w:hAnsi="Garamond" w:cs="Arial"/>
          <w:sz w:val="24"/>
          <w:szCs w:val="24"/>
          <w:lang w:eastAsia="es-ES"/>
        </w:rPr>
        <w:t>a</w:t>
      </w:r>
      <w:r w:rsidR="00D01B8C" w:rsidRPr="003A1174">
        <w:rPr>
          <w:rFonts w:ascii="Garamond" w:hAnsi="Garamond" w:cs="Arial"/>
          <w:sz w:val="24"/>
          <w:szCs w:val="24"/>
          <w:lang w:eastAsia="es-ES"/>
        </w:rPr>
        <w:t xml:space="preserve">s </w:t>
      </w:r>
      <w:r w:rsidR="00E150E9" w:rsidRPr="003A1174">
        <w:rPr>
          <w:rFonts w:ascii="Garamond" w:hAnsi="Garamond" w:cs="Arial"/>
          <w:sz w:val="24"/>
          <w:szCs w:val="24"/>
          <w:lang w:eastAsia="es-ES"/>
        </w:rPr>
        <w:t>funções</w:t>
      </w:r>
      <w:r w:rsidR="00D01B8C" w:rsidRPr="003A1174">
        <w:rPr>
          <w:rFonts w:ascii="Garamond" w:hAnsi="Garamond" w:cs="Arial"/>
          <w:sz w:val="24"/>
          <w:szCs w:val="24"/>
          <w:lang w:eastAsia="es-ES"/>
        </w:rPr>
        <w:t xml:space="preserve"> de salvaguardar </w:t>
      </w:r>
      <w:r w:rsidR="00497503" w:rsidRPr="003A1174">
        <w:rPr>
          <w:rFonts w:ascii="Garamond" w:hAnsi="Garamond" w:cs="Arial"/>
          <w:sz w:val="24"/>
          <w:szCs w:val="24"/>
          <w:lang w:eastAsia="es-ES"/>
        </w:rPr>
        <w:t>e</w:t>
      </w:r>
      <w:r w:rsidR="00D01B8C" w:rsidRPr="003A1174">
        <w:rPr>
          <w:rFonts w:ascii="Garamond" w:hAnsi="Garamond" w:cs="Arial"/>
          <w:sz w:val="24"/>
          <w:szCs w:val="24"/>
          <w:lang w:eastAsia="es-ES"/>
        </w:rPr>
        <w:t xml:space="preserve"> </w:t>
      </w:r>
      <w:r w:rsidR="00501083" w:rsidRPr="003A1174">
        <w:rPr>
          <w:rFonts w:ascii="Garamond" w:hAnsi="Garamond" w:cs="Arial"/>
          <w:sz w:val="24"/>
          <w:szCs w:val="24"/>
          <w:lang w:eastAsia="es-ES"/>
        </w:rPr>
        <w:t xml:space="preserve">proporcionar a </w:t>
      </w:r>
      <w:r w:rsidR="008278C4" w:rsidRPr="003A1174">
        <w:rPr>
          <w:rFonts w:ascii="Garamond" w:hAnsi="Garamond" w:cs="Arial"/>
          <w:sz w:val="24"/>
          <w:szCs w:val="24"/>
          <w:lang w:eastAsia="es-ES"/>
        </w:rPr>
        <w:t>atenção</w:t>
      </w:r>
      <w:r w:rsidR="00D01B8C" w:rsidRPr="003A1174">
        <w:rPr>
          <w:rFonts w:ascii="Garamond" w:hAnsi="Garamond" w:cs="Arial"/>
          <w:sz w:val="24"/>
          <w:szCs w:val="24"/>
          <w:lang w:eastAsia="es-ES"/>
        </w:rPr>
        <w:t xml:space="preserve"> </w:t>
      </w:r>
      <w:r w:rsidR="00201889" w:rsidRPr="003A1174">
        <w:rPr>
          <w:rFonts w:ascii="Garamond" w:hAnsi="Garamond" w:cs="Arial"/>
          <w:sz w:val="24"/>
          <w:szCs w:val="24"/>
          <w:lang w:eastAsia="es-ES"/>
        </w:rPr>
        <w:t>imediata</w:t>
      </w:r>
      <w:r w:rsidR="00D01B8C" w:rsidRPr="003A1174">
        <w:rPr>
          <w:rFonts w:ascii="Garamond" w:hAnsi="Garamond" w:cs="Arial"/>
          <w:sz w:val="24"/>
          <w:szCs w:val="24"/>
          <w:lang w:eastAsia="es-ES"/>
        </w:rPr>
        <w:t xml:space="preserve"> </w:t>
      </w:r>
      <w:r w:rsidR="00497503" w:rsidRPr="003A1174">
        <w:rPr>
          <w:rFonts w:ascii="Garamond" w:hAnsi="Garamond" w:cs="Arial"/>
          <w:sz w:val="24"/>
          <w:szCs w:val="24"/>
          <w:lang w:eastAsia="es-ES"/>
        </w:rPr>
        <w:t>e</w:t>
      </w:r>
      <w:r w:rsidR="00D01B8C" w:rsidRPr="003A1174">
        <w:rPr>
          <w:rFonts w:ascii="Garamond" w:hAnsi="Garamond" w:cs="Arial"/>
          <w:sz w:val="24"/>
          <w:szCs w:val="24"/>
          <w:lang w:eastAsia="es-ES"/>
        </w:rPr>
        <w:t xml:space="preserve"> </w:t>
      </w:r>
      <w:r w:rsidR="007578C6" w:rsidRPr="003A1174">
        <w:rPr>
          <w:rFonts w:ascii="Garamond" w:hAnsi="Garamond" w:cs="Arial"/>
          <w:sz w:val="24"/>
          <w:szCs w:val="24"/>
          <w:lang w:eastAsia="es-ES"/>
        </w:rPr>
        <w:t>necessária</w:t>
      </w:r>
      <w:r w:rsidR="00D01B8C" w:rsidRPr="003A1174">
        <w:rPr>
          <w:rFonts w:ascii="Garamond" w:hAnsi="Garamond" w:cs="Arial"/>
          <w:sz w:val="24"/>
          <w:szCs w:val="24"/>
          <w:lang w:eastAsia="es-ES"/>
        </w:rPr>
        <w:t xml:space="preserve"> </w:t>
      </w:r>
      <w:r w:rsidR="00501083" w:rsidRPr="003A1174">
        <w:rPr>
          <w:rFonts w:ascii="Garamond" w:hAnsi="Garamond" w:cs="Arial"/>
          <w:sz w:val="24"/>
          <w:szCs w:val="24"/>
          <w:lang w:eastAsia="es-ES"/>
        </w:rPr>
        <w:t>à</w:t>
      </w:r>
      <w:r w:rsidR="00D01B8C" w:rsidRPr="003A1174">
        <w:rPr>
          <w:rFonts w:ascii="Garamond" w:hAnsi="Garamond" w:cs="Arial"/>
          <w:sz w:val="24"/>
          <w:szCs w:val="24"/>
          <w:lang w:eastAsia="es-ES"/>
        </w:rPr>
        <w:t xml:space="preserve">s </w:t>
      </w:r>
      <w:r w:rsidR="00054EE0" w:rsidRPr="003A1174">
        <w:rPr>
          <w:rFonts w:ascii="Garamond" w:hAnsi="Garamond" w:cs="Arial"/>
          <w:sz w:val="24"/>
          <w:szCs w:val="24"/>
          <w:lang w:eastAsia="es-ES"/>
        </w:rPr>
        <w:t>mulheres</w:t>
      </w:r>
      <w:r w:rsidR="00D01B8C" w:rsidRPr="003A1174">
        <w:rPr>
          <w:rFonts w:ascii="Garamond" w:hAnsi="Garamond" w:cs="Arial"/>
          <w:sz w:val="24"/>
          <w:szCs w:val="24"/>
          <w:lang w:eastAsia="es-ES"/>
        </w:rPr>
        <w:t xml:space="preserve"> </w:t>
      </w:r>
      <w:r w:rsidR="003F012B" w:rsidRPr="003A1174">
        <w:rPr>
          <w:rFonts w:ascii="Garamond" w:hAnsi="Garamond" w:cs="Arial"/>
          <w:sz w:val="24"/>
          <w:szCs w:val="24"/>
          <w:lang w:eastAsia="es-ES"/>
        </w:rPr>
        <w:t>vítima</w:t>
      </w:r>
      <w:r w:rsidR="00D01B8C" w:rsidRPr="003A1174">
        <w:rPr>
          <w:rFonts w:ascii="Garamond" w:hAnsi="Garamond" w:cs="Arial"/>
          <w:sz w:val="24"/>
          <w:szCs w:val="24"/>
          <w:lang w:eastAsia="es-ES"/>
        </w:rPr>
        <w:t xml:space="preserve">s de </w:t>
      </w:r>
      <w:r w:rsidRPr="003A1174">
        <w:rPr>
          <w:rFonts w:ascii="Garamond" w:hAnsi="Garamond" w:cs="Arial"/>
          <w:sz w:val="24"/>
          <w:szCs w:val="24"/>
          <w:lang w:eastAsia="es-ES"/>
        </w:rPr>
        <w:t>violência</w:t>
      </w:r>
      <w:r w:rsidR="00D01B8C" w:rsidRPr="003A1174">
        <w:rPr>
          <w:rFonts w:ascii="Garamond" w:hAnsi="Garamond" w:cs="Arial"/>
          <w:sz w:val="24"/>
          <w:szCs w:val="24"/>
          <w:lang w:eastAsia="es-ES"/>
        </w:rPr>
        <w:t xml:space="preserve">; </w:t>
      </w:r>
      <w:r w:rsidR="00497503" w:rsidRPr="003A1174">
        <w:rPr>
          <w:rFonts w:ascii="Garamond" w:hAnsi="Garamond" w:cs="Arial"/>
          <w:sz w:val="24"/>
          <w:szCs w:val="24"/>
          <w:lang w:eastAsia="es-ES"/>
        </w:rPr>
        <w:t>e</w:t>
      </w:r>
      <w:r w:rsidR="00501083" w:rsidRPr="003A1174">
        <w:rPr>
          <w:rFonts w:ascii="Garamond" w:hAnsi="Garamond" w:cs="Arial"/>
          <w:sz w:val="24"/>
          <w:szCs w:val="24"/>
          <w:lang w:eastAsia="es-ES"/>
        </w:rPr>
        <w:t xml:space="preserve">, </w:t>
      </w:r>
      <w:r w:rsidR="008A3DA2" w:rsidRPr="003A1174">
        <w:rPr>
          <w:rFonts w:ascii="Garamond" w:hAnsi="Garamond" w:cs="Arial"/>
          <w:sz w:val="24"/>
          <w:szCs w:val="24"/>
          <w:lang w:eastAsia="es-ES"/>
        </w:rPr>
        <w:t>do</w:t>
      </w:r>
      <w:r w:rsidR="00F73CFB" w:rsidRPr="003A1174">
        <w:rPr>
          <w:rFonts w:ascii="Garamond" w:hAnsi="Garamond" w:cs="Arial"/>
          <w:sz w:val="24"/>
          <w:szCs w:val="24"/>
          <w:lang w:eastAsia="es-ES"/>
        </w:rPr>
        <w:t xml:space="preserve"> </w:t>
      </w:r>
      <w:r w:rsidR="00023AD6" w:rsidRPr="003A1174">
        <w:rPr>
          <w:rFonts w:ascii="Garamond" w:hAnsi="Garamond" w:cs="Arial"/>
          <w:sz w:val="24"/>
          <w:szCs w:val="24"/>
          <w:lang w:eastAsia="es-ES"/>
        </w:rPr>
        <w:t>mesmo</w:t>
      </w:r>
      <w:r w:rsidR="00F73CFB" w:rsidRPr="003A1174">
        <w:rPr>
          <w:rFonts w:ascii="Garamond" w:hAnsi="Garamond" w:cs="Arial"/>
          <w:sz w:val="24"/>
          <w:szCs w:val="24"/>
          <w:lang w:eastAsia="es-ES"/>
        </w:rPr>
        <w:t xml:space="preserve"> modo, </w:t>
      </w:r>
      <w:r w:rsidR="00501083" w:rsidRPr="003A1174">
        <w:rPr>
          <w:rFonts w:ascii="Garamond" w:hAnsi="Garamond" w:cs="Arial"/>
          <w:sz w:val="24"/>
          <w:szCs w:val="24"/>
          <w:lang w:eastAsia="es-ES"/>
        </w:rPr>
        <w:t xml:space="preserve">o </w:t>
      </w:r>
      <w:r w:rsidR="00DC5DA7" w:rsidRPr="003A1174">
        <w:rPr>
          <w:rFonts w:ascii="Garamond" w:hAnsi="Garamond" w:cs="Arial"/>
          <w:sz w:val="24"/>
          <w:szCs w:val="24"/>
          <w:lang w:eastAsia="es-ES"/>
        </w:rPr>
        <w:t>fortalecimento</w:t>
      </w:r>
      <w:r w:rsidR="00D01B8C" w:rsidRPr="003A1174">
        <w:rPr>
          <w:rFonts w:ascii="Garamond" w:hAnsi="Garamond" w:cs="Arial"/>
          <w:sz w:val="24"/>
          <w:szCs w:val="24"/>
          <w:lang w:eastAsia="es-ES"/>
        </w:rPr>
        <w:t xml:space="preserve"> da </w:t>
      </w:r>
      <w:r w:rsidR="00D96FD0" w:rsidRPr="003A1174">
        <w:rPr>
          <w:rFonts w:ascii="Garamond" w:hAnsi="Garamond" w:cs="Arial"/>
          <w:sz w:val="24"/>
          <w:szCs w:val="24"/>
          <w:lang w:eastAsia="es-ES"/>
        </w:rPr>
        <w:t>perspetiva</w:t>
      </w:r>
      <w:r w:rsidR="00D01B8C" w:rsidRPr="003A1174">
        <w:rPr>
          <w:rFonts w:ascii="Garamond" w:hAnsi="Garamond" w:cs="Arial"/>
          <w:sz w:val="24"/>
          <w:szCs w:val="24"/>
          <w:lang w:eastAsia="es-ES"/>
        </w:rPr>
        <w:t xml:space="preserve"> de género e</w:t>
      </w:r>
      <w:r w:rsidR="00501083" w:rsidRPr="003A1174">
        <w:rPr>
          <w:rFonts w:ascii="Garamond" w:hAnsi="Garamond" w:cs="Arial"/>
          <w:sz w:val="24"/>
          <w:szCs w:val="24"/>
          <w:lang w:eastAsia="es-ES"/>
        </w:rPr>
        <w:t xml:space="preserve">m todos </w:t>
      </w:r>
      <w:r w:rsidR="00D01B8C" w:rsidRPr="003A1174">
        <w:rPr>
          <w:rFonts w:ascii="Garamond" w:hAnsi="Garamond" w:cs="Arial"/>
          <w:sz w:val="24"/>
          <w:szCs w:val="24"/>
          <w:lang w:eastAsia="es-ES"/>
        </w:rPr>
        <w:t xml:space="preserve">os </w:t>
      </w:r>
      <w:r w:rsidR="003F012B" w:rsidRPr="003A1174">
        <w:rPr>
          <w:rFonts w:ascii="Garamond" w:hAnsi="Garamond" w:cs="Arial"/>
          <w:sz w:val="24"/>
          <w:szCs w:val="24"/>
          <w:lang w:eastAsia="es-ES"/>
        </w:rPr>
        <w:t>níveis</w:t>
      </w:r>
      <w:r w:rsidR="00D01B8C" w:rsidRPr="003A1174">
        <w:rPr>
          <w:rFonts w:ascii="Garamond" w:hAnsi="Garamond" w:cs="Arial"/>
          <w:sz w:val="24"/>
          <w:szCs w:val="24"/>
          <w:lang w:eastAsia="es-ES"/>
        </w:rPr>
        <w:t xml:space="preserve"> de </w:t>
      </w:r>
      <w:r w:rsidR="00802ACC" w:rsidRPr="003A1174">
        <w:rPr>
          <w:rFonts w:ascii="Garamond" w:hAnsi="Garamond" w:cs="Arial"/>
          <w:sz w:val="24"/>
          <w:szCs w:val="24"/>
          <w:lang w:eastAsia="es-ES"/>
        </w:rPr>
        <w:t>educação</w:t>
      </w:r>
      <w:r w:rsidR="00F73CFB" w:rsidRPr="003A1174">
        <w:rPr>
          <w:rFonts w:ascii="Garamond" w:hAnsi="Garamond" w:cs="Arial"/>
          <w:sz w:val="24"/>
          <w:szCs w:val="24"/>
          <w:lang w:eastAsia="es-ES"/>
        </w:rPr>
        <w:t>,</w:t>
      </w:r>
      <w:r w:rsidR="00501083" w:rsidRPr="003A1174">
        <w:rPr>
          <w:rFonts w:ascii="Garamond" w:hAnsi="Garamond" w:cs="Arial"/>
          <w:sz w:val="24"/>
          <w:szCs w:val="24"/>
          <w:lang w:eastAsia="es-ES"/>
        </w:rPr>
        <w:t xml:space="preserve"> dando </w:t>
      </w:r>
      <w:r w:rsidR="00D01B8C" w:rsidRPr="003A1174">
        <w:rPr>
          <w:rFonts w:ascii="Garamond" w:hAnsi="Garamond" w:cs="Arial"/>
          <w:sz w:val="24"/>
          <w:szCs w:val="24"/>
          <w:lang w:eastAsia="es-ES"/>
        </w:rPr>
        <w:t xml:space="preserve">especial </w:t>
      </w:r>
      <w:r w:rsidR="008278C4" w:rsidRPr="003A1174">
        <w:rPr>
          <w:rFonts w:ascii="Garamond" w:hAnsi="Garamond" w:cs="Arial"/>
          <w:sz w:val="24"/>
          <w:szCs w:val="24"/>
          <w:lang w:eastAsia="es-ES"/>
        </w:rPr>
        <w:t>atenção</w:t>
      </w:r>
      <w:r w:rsidR="00D01B8C" w:rsidRPr="003A1174">
        <w:rPr>
          <w:rFonts w:ascii="Garamond" w:hAnsi="Garamond" w:cs="Arial"/>
          <w:sz w:val="24"/>
          <w:szCs w:val="24"/>
          <w:lang w:eastAsia="es-ES"/>
        </w:rPr>
        <w:t xml:space="preserve"> </w:t>
      </w:r>
      <w:r w:rsidR="00501083" w:rsidRPr="003A1174">
        <w:rPr>
          <w:rFonts w:ascii="Garamond" w:hAnsi="Garamond" w:cs="Arial"/>
          <w:sz w:val="24"/>
          <w:szCs w:val="24"/>
          <w:lang w:eastAsia="es-ES"/>
        </w:rPr>
        <w:t>a</w:t>
      </w:r>
      <w:r w:rsidR="00D01B8C" w:rsidRPr="003A1174">
        <w:rPr>
          <w:rFonts w:ascii="Garamond" w:hAnsi="Garamond" w:cs="Arial"/>
          <w:sz w:val="24"/>
          <w:szCs w:val="24"/>
          <w:lang w:eastAsia="es-ES"/>
        </w:rPr>
        <w:t xml:space="preserve">os </w:t>
      </w:r>
      <w:r w:rsidR="003F012B" w:rsidRPr="003A1174">
        <w:rPr>
          <w:rFonts w:ascii="Garamond" w:hAnsi="Garamond" w:cs="Arial"/>
          <w:sz w:val="24"/>
          <w:szCs w:val="24"/>
          <w:lang w:eastAsia="es-ES"/>
        </w:rPr>
        <w:t>níveis</w:t>
      </w:r>
      <w:r w:rsidR="00D01B8C" w:rsidRPr="003A1174">
        <w:rPr>
          <w:rFonts w:ascii="Garamond" w:hAnsi="Garamond" w:cs="Arial"/>
          <w:sz w:val="24"/>
          <w:szCs w:val="24"/>
          <w:lang w:eastAsia="es-ES"/>
        </w:rPr>
        <w:t xml:space="preserve"> de </w:t>
      </w:r>
      <w:r w:rsidR="00802ACC" w:rsidRPr="003A1174">
        <w:rPr>
          <w:rFonts w:ascii="Garamond" w:hAnsi="Garamond" w:cs="Arial"/>
          <w:sz w:val="24"/>
          <w:szCs w:val="24"/>
          <w:lang w:eastAsia="es-ES"/>
        </w:rPr>
        <w:t>educação</w:t>
      </w:r>
      <w:r w:rsidR="00D01B8C" w:rsidRPr="003A1174">
        <w:rPr>
          <w:rFonts w:ascii="Garamond" w:hAnsi="Garamond" w:cs="Arial"/>
          <w:sz w:val="24"/>
          <w:szCs w:val="24"/>
          <w:lang w:eastAsia="es-ES"/>
        </w:rPr>
        <w:t xml:space="preserve"> prim</w:t>
      </w:r>
      <w:r w:rsidR="00501083" w:rsidRPr="003A1174">
        <w:rPr>
          <w:rFonts w:ascii="Garamond" w:hAnsi="Garamond" w:cs="Arial"/>
          <w:sz w:val="24"/>
          <w:szCs w:val="24"/>
          <w:lang w:eastAsia="es-ES"/>
        </w:rPr>
        <w:t>á</w:t>
      </w:r>
      <w:r w:rsidR="00D01B8C" w:rsidRPr="003A1174">
        <w:rPr>
          <w:rFonts w:ascii="Garamond" w:hAnsi="Garamond" w:cs="Arial"/>
          <w:sz w:val="24"/>
          <w:szCs w:val="24"/>
          <w:lang w:eastAsia="es-ES"/>
        </w:rPr>
        <w:t xml:space="preserve">ria </w:t>
      </w:r>
      <w:r w:rsidR="00497503" w:rsidRPr="003A1174">
        <w:rPr>
          <w:rFonts w:ascii="Garamond" w:hAnsi="Garamond" w:cs="Arial"/>
          <w:sz w:val="24"/>
          <w:szCs w:val="24"/>
          <w:lang w:eastAsia="es-ES"/>
        </w:rPr>
        <w:t>e</w:t>
      </w:r>
      <w:r w:rsidR="00D01B8C" w:rsidRPr="003A1174">
        <w:rPr>
          <w:rFonts w:ascii="Garamond" w:hAnsi="Garamond" w:cs="Arial"/>
          <w:sz w:val="24"/>
          <w:szCs w:val="24"/>
          <w:lang w:eastAsia="es-ES"/>
        </w:rPr>
        <w:t xml:space="preserve"> </w:t>
      </w:r>
      <w:r w:rsidR="00EE7406" w:rsidRPr="003A1174">
        <w:rPr>
          <w:rFonts w:ascii="Garamond" w:hAnsi="Garamond" w:cs="Arial"/>
          <w:sz w:val="24"/>
          <w:szCs w:val="24"/>
          <w:lang w:eastAsia="es-ES"/>
        </w:rPr>
        <w:t>secundária</w:t>
      </w:r>
      <w:r w:rsidR="00D01B8C" w:rsidRPr="003A1174">
        <w:rPr>
          <w:rFonts w:ascii="Garamond" w:hAnsi="Garamond" w:cs="Arial"/>
          <w:sz w:val="24"/>
          <w:szCs w:val="24"/>
          <w:lang w:eastAsia="es-ES"/>
        </w:rPr>
        <w:t>.</w:t>
      </w:r>
    </w:p>
    <w:p w:rsidR="00D01B8C" w:rsidRPr="003A1174" w:rsidRDefault="00D01B8C" w:rsidP="008719D4">
      <w:pPr>
        <w:pStyle w:val="Predeterminado"/>
        <w:spacing w:line="240" w:lineRule="auto"/>
        <w:jc w:val="both"/>
        <w:rPr>
          <w:rFonts w:ascii="Garamond" w:hAnsi="Garamond" w:cs="Arial"/>
          <w:color w:val="auto"/>
          <w:sz w:val="24"/>
          <w:szCs w:val="24"/>
          <w:lang w:val="pt-PT"/>
        </w:rPr>
      </w:pPr>
    </w:p>
    <w:p w:rsidR="00D01B8C" w:rsidRPr="003A1174" w:rsidRDefault="0017447A" w:rsidP="008719D4">
      <w:pPr>
        <w:spacing w:line="240" w:lineRule="auto"/>
        <w:jc w:val="both"/>
        <w:rPr>
          <w:rFonts w:ascii="Garamond" w:hAnsi="Garamond" w:cs="Arial"/>
          <w:sz w:val="24"/>
          <w:szCs w:val="24"/>
        </w:rPr>
      </w:pPr>
      <w:bookmarkStart w:id="26" w:name="_Toc421529714"/>
      <w:r w:rsidRPr="003A1174">
        <w:rPr>
          <w:rStyle w:val="Ttulo3Car"/>
          <w:rFonts w:ascii="Garamond" w:hAnsi="Garamond"/>
          <w:sz w:val="24"/>
          <w:szCs w:val="24"/>
        </w:rPr>
        <w:lastRenderedPageBreak/>
        <w:t>Porto</w:t>
      </w:r>
      <w:r w:rsidR="00815AEE" w:rsidRPr="003A1174">
        <w:rPr>
          <w:rStyle w:val="Ttulo3Car"/>
          <w:rFonts w:ascii="Garamond" w:hAnsi="Garamond"/>
          <w:sz w:val="24"/>
          <w:szCs w:val="24"/>
        </w:rPr>
        <w:t xml:space="preserve"> Rico</w:t>
      </w:r>
      <w:bookmarkEnd w:id="26"/>
      <w:r w:rsidR="00D01B8C" w:rsidRPr="003A1174">
        <w:rPr>
          <w:rStyle w:val="Refdenotaalpie"/>
          <w:rFonts w:ascii="Garamond" w:hAnsi="Garamond" w:cs="Arial"/>
          <w:sz w:val="24"/>
          <w:szCs w:val="24"/>
        </w:rPr>
        <w:footnoteReference w:id="78"/>
      </w:r>
    </w:p>
    <w:p w:rsidR="00D01B8C" w:rsidRPr="003A1174" w:rsidRDefault="00B14AA6" w:rsidP="008719D4">
      <w:pPr>
        <w:pStyle w:val="Prrafodelista"/>
        <w:numPr>
          <w:ilvl w:val="0"/>
          <w:numId w:val="16"/>
        </w:numPr>
        <w:spacing w:after="0" w:line="240" w:lineRule="auto"/>
        <w:jc w:val="both"/>
        <w:rPr>
          <w:rFonts w:ascii="Garamond" w:hAnsi="Garamond" w:cs="Arial"/>
          <w:b/>
          <w:sz w:val="24"/>
          <w:szCs w:val="24"/>
          <w:lang w:val="pt-PT"/>
        </w:rPr>
      </w:pPr>
      <w:r w:rsidRPr="003A1174">
        <w:rPr>
          <w:rFonts w:ascii="Garamond" w:hAnsi="Garamond" w:cs="Arial"/>
          <w:b/>
          <w:sz w:val="24"/>
          <w:szCs w:val="24"/>
          <w:lang w:val="pt-PT"/>
        </w:rPr>
        <w:t>Disposições</w:t>
      </w:r>
      <w:r w:rsidR="005C7695" w:rsidRPr="003A1174">
        <w:rPr>
          <w:rFonts w:ascii="Garamond" w:hAnsi="Garamond" w:cs="Arial"/>
          <w:b/>
          <w:sz w:val="24"/>
          <w:szCs w:val="24"/>
          <w:lang w:val="pt-PT"/>
        </w:rPr>
        <w:t xml:space="preserve"> </w:t>
      </w:r>
      <w:r w:rsidR="002D1021" w:rsidRPr="003A1174">
        <w:rPr>
          <w:rFonts w:ascii="Garamond" w:hAnsi="Garamond" w:cs="Arial"/>
          <w:b/>
          <w:sz w:val="24"/>
          <w:szCs w:val="24"/>
          <w:lang w:val="pt-PT"/>
        </w:rPr>
        <w:t>legais</w:t>
      </w:r>
      <w:r w:rsidR="005C7695" w:rsidRPr="003A1174">
        <w:rPr>
          <w:rFonts w:ascii="Garamond" w:hAnsi="Garamond" w:cs="Arial"/>
          <w:b/>
          <w:sz w:val="24"/>
          <w:szCs w:val="24"/>
          <w:lang w:val="pt-PT"/>
        </w:rPr>
        <w:t xml:space="preserve"> </w:t>
      </w:r>
      <w:r w:rsidR="00497503" w:rsidRPr="003A1174">
        <w:rPr>
          <w:rFonts w:ascii="Garamond" w:hAnsi="Garamond" w:cs="Arial"/>
          <w:b/>
          <w:sz w:val="24"/>
          <w:szCs w:val="24"/>
          <w:lang w:val="pt-PT"/>
        </w:rPr>
        <w:t>e</w:t>
      </w:r>
      <w:r w:rsidR="005C7695" w:rsidRPr="003A1174">
        <w:rPr>
          <w:rFonts w:ascii="Garamond" w:hAnsi="Garamond" w:cs="Arial"/>
          <w:b/>
          <w:sz w:val="24"/>
          <w:szCs w:val="24"/>
          <w:lang w:val="pt-PT"/>
        </w:rPr>
        <w:t xml:space="preserve"> </w:t>
      </w:r>
      <w:r w:rsidR="00D96FD0" w:rsidRPr="003A1174">
        <w:rPr>
          <w:rFonts w:ascii="Garamond" w:hAnsi="Garamond" w:cs="Arial"/>
          <w:b/>
          <w:sz w:val="24"/>
          <w:szCs w:val="24"/>
          <w:lang w:val="pt-PT"/>
        </w:rPr>
        <w:t>cumprimento</w:t>
      </w:r>
      <w:r w:rsidR="00501083" w:rsidRPr="003A1174">
        <w:rPr>
          <w:rFonts w:ascii="Garamond" w:hAnsi="Garamond" w:cs="Arial"/>
          <w:b/>
          <w:sz w:val="24"/>
          <w:szCs w:val="24"/>
          <w:lang w:val="pt-PT"/>
        </w:rPr>
        <w:t xml:space="preserve"> d</w:t>
      </w:r>
      <w:r w:rsidR="005C7695" w:rsidRPr="003A1174">
        <w:rPr>
          <w:rFonts w:ascii="Garamond" w:hAnsi="Garamond" w:cs="Arial"/>
          <w:b/>
          <w:sz w:val="24"/>
          <w:szCs w:val="24"/>
          <w:lang w:val="pt-PT"/>
        </w:rPr>
        <w:t>a</w:t>
      </w:r>
      <w:r w:rsidR="00501083" w:rsidRPr="003A1174">
        <w:rPr>
          <w:rFonts w:ascii="Garamond" w:hAnsi="Garamond" w:cs="Arial"/>
          <w:b/>
          <w:sz w:val="24"/>
          <w:szCs w:val="24"/>
          <w:lang w:val="pt-PT"/>
        </w:rPr>
        <w:t>s</w:t>
      </w:r>
      <w:r w:rsidR="005C7695" w:rsidRPr="003A1174">
        <w:rPr>
          <w:rFonts w:ascii="Garamond" w:hAnsi="Garamond" w:cs="Arial"/>
          <w:b/>
          <w:sz w:val="24"/>
          <w:szCs w:val="24"/>
          <w:lang w:val="pt-PT"/>
        </w:rPr>
        <w:t xml:space="preserve"> </w:t>
      </w:r>
      <w:r w:rsidR="00FB76BE" w:rsidRPr="003A1174">
        <w:rPr>
          <w:rFonts w:ascii="Garamond" w:hAnsi="Garamond" w:cs="Arial"/>
          <w:b/>
          <w:sz w:val="24"/>
          <w:szCs w:val="24"/>
          <w:lang w:val="pt-PT"/>
        </w:rPr>
        <w:t>normas</w:t>
      </w:r>
    </w:p>
    <w:p w:rsidR="00D01B8C" w:rsidRPr="003A1174" w:rsidRDefault="00501083"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A </w:t>
      </w:r>
      <w:r w:rsidR="00E150E9" w:rsidRPr="003A1174">
        <w:rPr>
          <w:rFonts w:ascii="Garamond" w:hAnsi="Garamond" w:cs="Arial"/>
          <w:sz w:val="24"/>
          <w:szCs w:val="24"/>
        </w:rPr>
        <w:t>Constituição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Estado </w:t>
      </w:r>
      <w:r w:rsidR="00AF192F" w:rsidRPr="003A1174">
        <w:rPr>
          <w:rFonts w:ascii="Garamond" w:hAnsi="Garamond" w:cs="Arial"/>
          <w:sz w:val="24"/>
          <w:szCs w:val="24"/>
        </w:rPr>
        <w:t>Livre</w:t>
      </w:r>
      <w:r w:rsidR="00D01B8C" w:rsidRPr="003A1174">
        <w:rPr>
          <w:rFonts w:ascii="Garamond" w:hAnsi="Garamond" w:cs="Arial"/>
          <w:sz w:val="24"/>
          <w:szCs w:val="24"/>
        </w:rPr>
        <w:t xml:space="preserve"> </w:t>
      </w:r>
      <w:r w:rsidR="00800D59" w:rsidRPr="003A1174">
        <w:rPr>
          <w:rFonts w:ascii="Garamond" w:hAnsi="Garamond" w:cs="Arial"/>
          <w:sz w:val="24"/>
          <w:szCs w:val="24"/>
        </w:rPr>
        <w:t>Associado</w:t>
      </w:r>
      <w:r w:rsidR="00D01B8C" w:rsidRPr="003A1174">
        <w:rPr>
          <w:rFonts w:ascii="Garamond" w:hAnsi="Garamond" w:cs="Arial"/>
          <w:sz w:val="24"/>
          <w:szCs w:val="24"/>
        </w:rPr>
        <w:t xml:space="preserve"> de </w:t>
      </w:r>
      <w:r w:rsidR="0017447A" w:rsidRPr="003A1174">
        <w:rPr>
          <w:rFonts w:ascii="Garamond" w:hAnsi="Garamond" w:cs="Arial"/>
          <w:sz w:val="24"/>
          <w:szCs w:val="24"/>
        </w:rPr>
        <w:t>Porto</w:t>
      </w:r>
      <w:r w:rsidR="00D01B8C" w:rsidRPr="003A1174">
        <w:rPr>
          <w:rFonts w:ascii="Garamond" w:hAnsi="Garamond" w:cs="Arial"/>
          <w:sz w:val="24"/>
          <w:szCs w:val="24"/>
        </w:rPr>
        <w:t xml:space="preserve"> Rico</w:t>
      </w:r>
      <w:proofErr w:type="gramStart"/>
      <w:r w:rsidR="00D01B8C" w:rsidRPr="003A1174">
        <w:rPr>
          <w:rFonts w:ascii="Garamond" w:hAnsi="Garamond" w:cs="Arial"/>
          <w:sz w:val="24"/>
          <w:szCs w:val="24"/>
        </w:rPr>
        <w:t>, disp</w:t>
      </w:r>
      <w:r w:rsidRPr="003A1174">
        <w:rPr>
          <w:rFonts w:ascii="Garamond" w:hAnsi="Garamond" w:cs="Arial"/>
          <w:sz w:val="24"/>
          <w:szCs w:val="24"/>
        </w:rPr>
        <w:t>õe</w:t>
      </w:r>
      <w:proofErr w:type="gramEnd"/>
      <w:r w:rsidRPr="003A1174">
        <w:rPr>
          <w:rFonts w:ascii="Garamond" w:hAnsi="Garamond" w:cs="Arial"/>
          <w:sz w:val="24"/>
          <w:szCs w:val="24"/>
        </w:rPr>
        <w:t xml:space="preserve"> no seu </w:t>
      </w:r>
      <w:r w:rsidR="00276DCA" w:rsidRPr="003A1174">
        <w:rPr>
          <w:rFonts w:ascii="Garamond" w:hAnsi="Garamond" w:cs="Arial"/>
          <w:sz w:val="24"/>
          <w:szCs w:val="24"/>
        </w:rPr>
        <w:t>primeiro</w:t>
      </w:r>
      <w:r w:rsidR="00D01B8C" w:rsidRPr="003A1174">
        <w:rPr>
          <w:rFonts w:ascii="Garamond" w:hAnsi="Garamond" w:cs="Arial"/>
          <w:sz w:val="24"/>
          <w:szCs w:val="24"/>
        </w:rPr>
        <w:t xml:space="preserve"> </w:t>
      </w:r>
      <w:r w:rsidR="00383B3F" w:rsidRPr="003A1174">
        <w:rPr>
          <w:rFonts w:ascii="Garamond" w:hAnsi="Garamond" w:cs="Arial"/>
          <w:sz w:val="24"/>
          <w:szCs w:val="24"/>
        </w:rPr>
        <w:t>Art.</w:t>
      </w:r>
      <w:r w:rsidR="00D01B8C" w:rsidRPr="003A1174">
        <w:rPr>
          <w:rFonts w:ascii="Garamond" w:hAnsi="Garamond" w:cs="Arial"/>
          <w:sz w:val="24"/>
          <w:szCs w:val="24"/>
        </w:rPr>
        <w:t xml:space="preserve"> da Carta de </w:t>
      </w:r>
      <w:r w:rsidR="00886D6A" w:rsidRPr="003A1174">
        <w:rPr>
          <w:rFonts w:ascii="Garamond" w:hAnsi="Garamond" w:cs="Arial"/>
          <w:sz w:val="24"/>
          <w:szCs w:val="24"/>
        </w:rPr>
        <w:t>Direito</w:t>
      </w:r>
      <w:r w:rsidR="00D01B8C" w:rsidRPr="003A1174">
        <w:rPr>
          <w:rFonts w:ascii="Garamond" w:hAnsi="Garamond" w:cs="Arial"/>
          <w:sz w:val="24"/>
          <w:szCs w:val="24"/>
        </w:rPr>
        <w:t>s que</w:t>
      </w:r>
      <w:r w:rsidR="00F73CFB" w:rsidRPr="003A1174">
        <w:rPr>
          <w:rFonts w:ascii="Garamond" w:hAnsi="Garamond" w:cs="Arial"/>
          <w:sz w:val="24"/>
          <w:szCs w:val="24"/>
        </w:rPr>
        <w:t>:</w:t>
      </w:r>
      <w:r w:rsidR="00D01B8C" w:rsidRPr="003A1174">
        <w:rPr>
          <w:rFonts w:ascii="Garamond" w:hAnsi="Garamond" w:cs="Arial"/>
          <w:sz w:val="24"/>
          <w:szCs w:val="24"/>
        </w:rPr>
        <w:t xml:space="preserve"> </w:t>
      </w:r>
      <w:r w:rsidR="0044479C" w:rsidRPr="0044479C">
        <w:rPr>
          <w:rFonts w:ascii="Garamond" w:hAnsi="Garamond" w:cs="Arial"/>
          <w:sz w:val="24"/>
          <w:szCs w:val="24"/>
        </w:rPr>
        <w:t>«</w:t>
      </w:r>
      <w:r w:rsidRPr="0044479C">
        <w:rPr>
          <w:rFonts w:ascii="Garamond" w:hAnsi="Garamond" w:cs="Arial"/>
          <w:sz w:val="24"/>
          <w:szCs w:val="24"/>
        </w:rPr>
        <w:t xml:space="preserve">A </w:t>
      </w:r>
      <w:r w:rsidR="00BD6A0C" w:rsidRPr="0044479C">
        <w:rPr>
          <w:rFonts w:ascii="Garamond" w:hAnsi="Garamond" w:cs="Arial"/>
          <w:sz w:val="24"/>
          <w:szCs w:val="24"/>
        </w:rPr>
        <w:t>dignidade</w:t>
      </w:r>
      <w:r w:rsidR="00D01B8C" w:rsidRPr="0044479C">
        <w:rPr>
          <w:rFonts w:ascii="Garamond" w:hAnsi="Garamond" w:cs="Arial"/>
          <w:sz w:val="24"/>
          <w:szCs w:val="24"/>
        </w:rPr>
        <w:t xml:space="preserve"> </w:t>
      </w:r>
      <w:r w:rsidR="008A3DA2" w:rsidRPr="0044479C">
        <w:rPr>
          <w:rFonts w:ascii="Garamond" w:hAnsi="Garamond" w:cs="Arial"/>
          <w:sz w:val="24"/>
          <w:szCs w:val="24"/>
        </w:rPr>
        <w:t>do</w:t>
      </w:r>
      <w:r w:rsidR="00D01B8C" w:rsidRPr="0044479C">
        <w:rPr>
          <w:rFonts w:ascii="Garamond" w:hAnsi="Garamond" w:cs="Arial"/>
          <w:sz w:val="24"/>
          <w:szCs w:val="24"/>
        </w:rPr>
        <w:t xml:space="preserve"> ser humano </w:t>
      </w:r>
      <w:r w:rsidRPr="0044479C">
        <w:rPr>
          <w:rFonts w:ascii="Garamond" w:hAnsi="Garamond" w:cs="Arial"/>
          <w:sz w:val="24"/>
          <w:szCs w:val="24"/>
        </w:rPr>
        <w:t xml:space="preserve">é </w:t>
      </w:r>
      <w:r w:rsidR="00BD6A0C" w:rsidRPr="0044479C">
        <w:rPr>
          <w:rFonts w:ascii="Garamond" w:hAnsi="Garamond" w:cs="Arial"/>
          <w:sz w:val="24"/>
          <w:szCs w:val="24"/>
        </w:rPr>
        <w:t>inviolável</w:t>
      </w:r>
      <w:r w:rsidR="00D01B8C" w:rsidRPr="0044479C">
        <w:rPr>
          <w:rFonts w:ascii="Garamond" w:hAnsi="Garamond" w:cs="Arial"/>
          <w:sz w:val="24"/>
          <w:szCs w:val="24"/>
        </w:rPr>
        <w:t xml:space="preserve">. </w:t>
      </w:r>
      <w:r w:rsidRPr="0044479C">
        <w:rPr>
          <w:rFonts w:ascii="Garamond" w:hAnsi="Garamond" w:cs="Arial"/>
          <w:sz w:val="24"/>
          <w:szCs w:val="24"/>
        </w:rPr>
        <w:t xml:space="preserve">Todos </w:t>
      </w:r>
      <w:r w:rsidR="00D01B8C" w:rsidRPr="0044479C">
        <w:rPr>
          <w:rFonts w:ascii="Garamond" w:hAnsi="Garamond" w:cs="Arial"/>
          <w:sz w:val="24"/>
          <w:szCs w:val="24"/>
        </w:rPr>
        <w:t xml:space="preserve">os </w:t>
      </w:r>
      <w:r w:rsidR="00524936" w:rsidRPr="0044479C">
        <w:rPr>
          <w:rFonts w:ascii="Garamond" w:hAnsi="Garamond" w:cs="Arial"/>
          <w:sz w:val="24"/>
          <w:szCs w:val="24"/>
        </w:rPr>
        <w:t>homens</w:t>
      </w:r>
      <w:r w:rsidR="00D01B8C" w:rsidRPr="0044479C">
        <w:rPr>
          <w:rFonts w:ascii="Garamond" w:hAnsi="Garamond" w:cs="Arial"/>
          <w:sz w:val="24"/>
          <w:szCs w:val="24"/>
        </w:rPr>
        <w:t xml:space="preserve"> </w:t>
      </w:r>
      <w:r w:rsidR="00D75A07" w:rsidRPr="0044479C">
        <w:rPr>
          <w:rFonts w:ascii="Garamond" w:hAnsi="Garamond" w:cs="Arial"/>
          <w:sz w:val="24"/>
          <w:szCs w:val="24"/>
        </w:rPr>
        <w:t>são</w:t>
      </w:r>
      <w:r w:rsidR="00D01B8C" w:rsidRPr="0044479C">
        <w:rPr>
          <w:rFonts w:ascii="Garamond" w:hAnsi="Garamond" w:cs="Arial"/>
          <w:sz w:val="24"/>
          <w:szCs w:val="24"/>
        </w:rPr>
        <w:t xml:space="preserve"> </w:t>
      </w:r>
      <w:r w:rsidRPr="0044479C">
        <w:rPr>
          <w:rFonts w:ascii="Garamond" w:hAnsi="Garamond" w:cs="Arial"/>
          <w:sz w:val="24"/>
          <w:szCs w:val="24"/>
        </w:rPr>
        <w:t>iguais</w:t>
      </w:r>
      <w:r w:rsidR="00D01B8C" w:rsidRPr="0044479C">
        <w:rPr>
          <w:rFonts w:ascii="Garamond" w:hAnsi="Garamond" w:cs="Arial"/>
          <w:sz w:val="24"/>
          <w:szCs w:val="24"/>
        </w:rPr>
        <w:t xml:space="preserve"> </w:t>
      </w:r>
      <w:r w:rsidRPr="0044479C">
        <w:rPr>
          <w:rFonts w:ascii="Garamond" w:hAnsi="Garamond" w:cs="Arial"/>
          <w:sz w:val="24"/>
          <w:szCs w:val="24"/>
        </w:rPr>
        <w:t xml:space="preserve">perante </w:t>
      </w:r>
      <w:r w:rsidR="00D01B8C" w:rsidRPr="0044479C">
        <w:rPr>
          <w:rFonts w:ascii="Garamond" w:hAnsi="Garamond" w:cs="Arial"/>
          <w:sz w:val="24"/>
          <w:szCs w:val="24"/>
        </w:rPr>
        <w:t xml:space="preserve">a </w:t>
      </w:r>
      <w:r w:rsidR="00D15AFF" w:rsidRPr="0044479C">
        <w:rPr>
          <w:rFonts w:ascii="Garamond" w:hAnsi="Garamond" w:cs="Arial"/>
          <w:sz w:val="24"/>
          <w:szCs w:val="24"/>
        </w:rPr>
        <w:t>Lei</w:t>
      </w:r>
      <w:r w:rsidR="00D01B8C" w:rsidRPr="0044479C">
        <w:rPr>
          <w:rFonts w:ascii="Garamond" w:hAnsi="Garamond" w:cs="Arial"/>
          <w:sz w:val="24"/>
          <w:szCs w:val="24"/>
        </w:rPr>
        <w:t>. N</w:t>
      </w:r>
      <w:r w:rsidRPr="0044479C">
        <w:rPr>
          <w:rFonts w:ascii="Garamond" w:hAnsi="Garamond" w:cs="Arial"/>
          <w:sz w:val="24"/>
          <w:szCs w:val="24"/>
        </w:rPr>
        <w:t>ã</w:t>
      </w:r>
      <w:r w:rsidR="00D01B8C" w:rsidRPr="0044479C">
        <w:rPr>
          <w:rFonts w:ascii="Garamond" w:hAnsi="Garamond" w:cs="Arial"/>
          <w:sz w:val="24"/>
          <w:szCs w:val="24"/>
        </w:rPr>
        <w:t xml:space="preserve">o </w:t>
      </w:r>
      <w:r w:rsidRPr="0044479C">
        <w:rPr>
          <w:rFonts w:ascii="Garamond" w:hAnsi="Garamond" w:cs="Arial"/>
          <w:sz w:val="24"/>
          <w:szCs w:val="24"/>
        </w:rPr>
        <w:t xml:space="preserve">se </w:t>
      </w:r>
      <w:r w:rsidR="00D01B8C" w:rsidRPr="0044479C">
        <w:rPr>
          <w:rFonts w:ascii="Garamond" w:hAnsi="Garamond" w:cs="Arial"/>
          <w:sz w:val="24"/>
          <w:szCs w:val="24"/>
        </w:rPr>
        <w:t>pod</w:t>
      </w:r>
      <w:r w:rsidRPr="0044479C">
        <w:rPr>
          <w:rFonts w:ascii="Garamond" w:hAnsi="Garamond" w:cs="Arial"/>
          <w:sz w:val="24"/>
          <w:szCs w:val="24"/>
        </w:rPr>
        <w:t>e</w:t>
      </w:r>
      <w:r w:rsidR="00D01B8C" w:rsidRPr="0044479C">
        <w:rPr>
          <w:rFonts w:ascii="Garamond" w:hAnsi="Garamond" w:cs="Arial"/>
          <w:sz w:val="24"/>
          <w:szCs w:val="24"/>
        </w:rPr>
        <w:t xml:space="preserve">rá </w:t>
      </w:r>
      <w:r w:rsidR="002F5CD1" w:rsidRPr="0044479C">
        <w:rPr>
          <w:rFonts w:ascii="Garamond" w:hAnsi="Garamond" w:cs="Arial"/>
          <w:sz w:val="24"/>
          <w:szCs w:val="24"/>
        </w:rPr>
        <w:t>estabelecer</w:t>
      </w:r>
      <w:r w:rsidRPr="0044479C">
        <w:rPr>
          <w:rFonts w:ascii="Garamond" w:hAnsi="Garamond" w:cs="Arial"/>
          <w:sz w:val="24"/>
          <w:szCs w:val="24"/>
        </w:rPr>
        <w:t xml:space="preserve"> qualquer </w:t>
      </w:r>
      <w:r w:rsidR="001B47E3" w:rsidRPr="0044479C">
        <w:rPr>
          <w:rFonts w:ascii="Garamond" w:hAnsi="Garamond" w:cs="Arial"/>
          <w:sz w:val="24"/>
          <w:szCs w:val="24"/>
        </w:rPr>
        <w:t xml:space="preserve">tipo de </w:t>
      </w:r>
      <w:r w:rsidR="00D01B8C" w:rsidRPr="0044479C">
        <w:rPr>
          <w:rFonts w:ascii="Garamond" w:hAnsi="Garamond" w:cs="Arial"/>
          <w:sz w:val="24"/>
          <w:szCs w:val="24"/>
        </w:rPr>
        <w:t>discrim</w:t>
      </w:r>
      <w:r w:rsidR="001B47E3" w:rsidRPr="0044479C">
        <w:rPr>
          <w:rFonts w:ascii="Garamond" w:hAnsi="Garamond" w:cs="Arial"/>
          <w:sz w:val="24"/>
          <w:szCs w:val="24"/>
        </w:rPr>
        <w:t xml:space="preserve">inação </w:t>
      </w:r>
      <w:r w:rsidR="00D01B8C" w:rsidRPr="0044479C">
        <w:rPr>
          <w:rFonts w:ascii="Garamond" w:hAnsi="Garamond" w:cs="Arial"/>
          <w:sz w:val="24"/>
          <w:szCs w:val="24"/>
        </w:rPr>
        <w:t xml:space="preserve">por motivo de </w:t>
      </w:r>
      <w:r w:rsidR="00AC3351" w:rsidRPr="0044479C">
        <w:rPr>
          <w:rFonts w:ascii="Garamond" w:hAnsi="Garamond" w:cs="Arial"/>
          <w:sz w:val="24"/>
          <w:szCs w:val="24"/>
        </w:rPr>
        <w:t>raça</w:t>
      </w:r>
      <w:r w:rsidR="00D01B8C" w:rsidRPr="0044479C">
        <w:rPr>
          <w:rFonts w:ascii="Garamond" w:hAnsi="Garamond" w:cs="Arial"/>
          <w:sz w:val="24"/>
          <w:szCs w:val="24"/>
        </w:rPr>
        <w:t xml:space="preserve">, </w:t>
      </w:r>
      <w:r w:rsidR="001B47E3" w:rsidRPr="0044479C">
        <w:rPr>
          <w:rFonts w:ascii="Garamond" w:hAnsi="Garamond" w:cs="Arial"/>
          <w:sz w:val="24"/>
          <w:szCs w:val="24"/>
        </w:rPr>
        <w:t>cor</w:t>
      </w:r>
      <w:r w:rsidR="00D01B8C" w:rsidRPr="0044479C">
        <w:rPr>
          <w:rFonts w:ascii="Garamond" w:hAnsi="Garamond" w:cs="Arial"/>
          <w:sz w:val="24"/>
          <w:szCs w:val="24"/>
        </w:rPr>
        <w:t xml:space="preserve">, sexo, </w:t>
      </w:r>
      <w:r w:rsidR="001B47E3" w:rsidRPr="0044479C">
        <w:rPr>
          <w:rFonts w:ascii="Garamond" w:hAnsi="Garamond" w:cs="Arial"/>
          <w:sz w:val="24"/>
          <w:szCs w:val="24"/>
        </w:rPr>
        <w:t>nascimento</w:t>
      </w:r>
      <w:r w:rsidR="00D01B8C" w:rsidRPr="0044479C">
        <w:rPr>
          <w:rFonts w:ascii="Garamond" w:hAnsi="Garamond" w:cs="Arial"/>
          <w:sz w:val="24"/>
          <w:szCs w:val="24"/>
        </w:rPr>
        <w:t xml:space="preserve">, </w:t>
      </w:r>
      <w:r w:rsidR="001B47E3" w:rsidRPr="0044479C">
        <w:rPr>
          <w:rFonts w:ascii="Garamond" w:hAnsi="Garamond" w:cs="Arial"/>
          <w:sz w:val="24"/>
          <w:szCs w:val="24"/>
        </w:rPr>
        <w:t>origem</w:t>
      </w:r>
      <w:r w:rsidR="00D01B8C" w:rsidRPr="0044479C">
        <w:rPr>
          <w:rFonts w:ascii="Garamond" w:hAnsi="Garamond" w:cs="Arial"/>
          <w:sz w:val="24"/>
          <w:szCs w:val="24"/>
        </w:rPr>
        <w:t xml:space="preserve"> o</w:t>
      </w:r>
      <w:r w:rsidR="001B47E3" w:rsidRPr="0044479C">
        <w:rPr>
          <w:rFonts w:ascii="Garamond" w:hAnsi="Garamond" w:cs="Arial"/>
          <w:sz w:val="24"/>
          <w:szCs w:val="24"/>
        </w:rPr>
        <w:t>u</w:t>
      </w:r>
      <w:r w:rsidR="00D01B8C" w:rsidRPr="0044479C">
        <w:rPr>
          <w:rFonts w:ascii="Garamond" w:hAnsi="Garamond" w:cs="Arial"/>
          <w:sz w:val="24"/>
          <w:szCs w:val="24"/>
        </w:rPr>
        <w:t xml:space="preserve"> </w:t>
      </w:r>
      <w:r w:rsidR="004E3A1A" w:rsidRPr="0044479C">
        <w:rPr>
          <w:rFonts w:ascii="Garamond" w:hAnsi="Garamond" w:cs="Arial"/>
          <w:sz w:val="24"/>
          <w:szCs w:val="24"/>
        </w:rPr>
        <w:t>condição</w:t>
      </w:r>
      <w:r w:rsidR="00D01B8C" w:rsidRPr="0044479C">
        <w:rPr>
          <w:rFonts w:ascii="Garamond" w:hAnsi="Garamond" w:cs="Arial"/>
          <w:sz w:val="24"/>
          <w:szCs w:val="24"/>
        </w:rPr>
        <w:t xml:space="preserve"> social, n</w:t>
      </w:r>
      <w:r w:rsidR="001B47E3" w:rsidRPr="0044479C">
        <w:rPr>
          <w:rFonts w:ascii="Garamond" w:hAnsi="Garamond" w:cs="Arial"/>
          <w:sz w:val="24"/>
          <w:szCs w:val="24"/>
        </w:rPr>
        <w:t xml:space="preserve">em </w:t>
      </w:r>
      <w:r w:rsidR="004E3A1A" w:rsidRPr="0044479C">
        <w:rPr>
          <w:rFonts w:ascii="Garamond" w:hAnsi="Garamond" w:cs="Arial"/>
          <w:sz w:val="24"/>
          <w:szCs w:val="24"/>
        </w:rPr>
        <w:t>ideia</w:t>
      </w:r>
      <w:r w:rsidR="00D01B8C" w:rsidRPr="0044479C">
        <w:rPr>
          <w:rFonts w:ascii="Garamond" w:hAnsi="Garamond" w:cs="Arial"/>
          <w:sz w:val="24"/>
          <w:szCs w:val="24"/>
        </w:rPr>
        <w:t>s políticas o</w:t>
      </w:r>
      <w:r w:rsidR="001B47E3" w:rsidRPr="0044479C">
        <w:rPr>
          <w:rFonts w:ascii="Garamond" w:hAnsi="Garamond" w:cs="Arial"/>
          <w:sz w:val="24"/>
          <w:szCs w:val="24"/>
        </w:rPr>
        <w:t>u</w:t>
      </w:r>
      <w:r w:rsidR="00D01B8C" w:rsidRPr="0044479C">
        <w:rPr>
          <w:rFonts w:ascii="Garamond" w:hAnsi="Garamond" w:cs="Arial"/>
          <w:sz w:val="24"/>
          <w:szCs w:val="24"/>
        </w:rPr>
        <w:t xml:space="preserve"> religiosas.</w:t>
      </w:r>
      <w:r w:rsidR="0044479C" w:rsidRPr="0044479C">
        <w:rPr>
          <w:rFonts w:ascii="Garamond" w:hAnsi="Garamond" w:cs="Arial"/>
          <w:sz w:val="24"/>
          <w:szCs w:val="24"/>
        </w:rPr>
        <w:t>»</w:t>
      </w:r>
      <w:r w:rsidR="00D01B8C" w:rsidRPr="003A1174">
        <w:rPr>
          <w:rFonts w:ascii="Garamond" w:hAnsi="Garamond" w:cs="Arial"/>
          <w:i/>
          <w:sz w:val="24"/>
          <w:szCs w:val="24"/>
        </w:rPr>
        <w:t xml:space="preserve"> </w:t>
      </w:r>
      <w:r w:rsidR="00BA3CCE" w:rsidRPr="003A1174">
        <w:rPr>
          <w:rFonts w:ascii="Garamond" w:hAnsi="Garamond" w:cs="Arial"/>
          <w:sz w:val="24"/>
          <w:szCs w:val="24"/>
        </w:rPr>
        <w:t>Relativamente</w:t>
      </w:r>
      <w:r w:rsidR="001B47E3" w:rsidRPr="003A1174">
        <w:rPr>
          <w:rFonts w:ascii="Garamond" w:hAnsi="Garamond" w:cs="Arial"/>
          <w:sz w:val="24"/>
          <w:szCs w:val="24"/>
        </w:rPr>
        <w:t xml:space="preserve"> </w:t>
      </w:r>
      <w:r w:rsidR="00D01B8C" w:rsidRPr="003A1174">
        <w:rPr>
          <w:rFonts w:ascii="Garamond" w:hAnsi="Garamond" w:cs="Arial"/>
          <w:sz w:val="24"/>
          <w:szCs w:val="24"/>
        </w:rPr>
        <w:t xml:space="preserve">a este </w:t>
      </w:r>
      <w:r w:rsidR="00383B3F" w:rsidRPr="003A1174">
        <w:rPr>
          <w:rFonts w:ascii="Garamond" w:hAnsi="Garamond" w:cs="Arial"/>
          <w:sz w:val="24"/>
          <w:szCs w:val="24"/>
        </w:rPr>
        <w:t>Art.</w:t>
      </w:r>
      <w:r w:rsidR="00D01B8C" w:rsidRPr="003A1174">
        <w:rPr>
          <w:rFonts w:ascii="Garamond" w:hAnsi="Garamond" w:cs="Arial"/>
          <w:sz w:val="24"/>
          <w:szCs w:val="24"/>
        </w:rPr>
        <w:t xml:space="preserve">, </w:t>
      </w:r>
      <w:r w:rsidR="001B47E3" w:rsidRPr="003A1174">
        <w:rPr>
          <w:rFonts w:ascii="Garamond" w:hAnsi="Garamond" w:cs="Arial"/>
          <w:sz w:val="24"/>
          <w:szCs w:val="24"/>
        </w:rPr>
        <w:t xml:space="preserve">o </w:t>
      </w:r>
      <w:r w:rsidR="00F73CFB" w:rsidRPr="003A1174">
        <w:rPr>
          <w:rFonts w:ascii="Garamond" w:hAnsi="Garamond" w:cs="Arial"/>
          <w:sz w:val="24"/>
          <w:szCs w:val="24"/>
        </w:rPr>
        <w:t>s</w:t>
      </w:r>
      <w:r w:rsidR="001B47E3" w:rsidRPr="003A1174">
        <w:rPr>
          <w:rFonts w:ascii="Garamond" w:hAnsi="Garamond" w:cs="Arial"/>
          <w:sz w:val="24"/>
          <w:szCs w:val="24"/>
        </w:rPr>
        <w:t>e</w:t>
      </w:r>
      <w:r w:rsidR="00F73CFB" w:rsidRPr="003A1174">
        <w:rPr>
          <w:rFonts w:ascii="Garamond" w:hAnsi="Garamond" w:cs="Arial"/>
          <w:sz w:val="24"/>
          <w:szCs w:val="24"/>
        </w:rPr>
        <w:t>u</w:t>
      </w:r>
      <w:r w:rsidR="00D01B8C" w:rsidRPr="003A1174">
        <w:rPr>
          <w:rFonts w:ascii="Garamond" w:hAnsi="Garamond" w:cs="Arial"/>
          <w:sz w:val="24"/>
          <w:szCs w:val="24"/>
        </w:rPr>
        <w:t xml:space="preserve"> m</w:t>
      </w:r>
      <w:r w:rsidR="001B47E3" w:rsidRPr="003A1174">
        <w:rPr>
          <w:rFonts w:ascii="Garamond" w:hAnsi="Garamond" w:cs="Arial"/>
          <w:sz w:val="24"/>
          <w:szCs w:val="24"/>
        </w:rPr>
        <w:t>ai</w:t>
      </w:r>
      <w:r w:rsidR="00D01B8C" w:rsidRPr="003A1174">
        <w:rPr>
          <w:rFonts w:ascii="Garamond" w:hAnsi="Garamond" w:cs="Arial"/>
          <w:sz w:val="24"/>
          <w:szCs w:val="24"/>
        </w:rPr>
        <w:t xml:space="preserve">s alto foro judicial </w:t>
      </w:r>
      <w:r w:rsidR="00524936" w:rsidRPr="003A1174">
        <w:rPr>
          <w:rFonts w:ascii="Garamond" w:hAnsi="Garamond" w:cs="Arial"/>
          <w:sz w:val="24"/>
          <w:szCs w:val="24"/>
        </w:rPr>
        <w:t>express</w:t>
      </w:r>
      <w:r w:rsidR="001B47E3" w:rsidRPr="003A1174">
        <w:rPr>
          <w:rFonts w:ascii="Garamond" w:hAnsi="Garamond" w:cs="Arial"/>
          <w:sz w:val="24"/>
          <w:szCs w:val="24"/>
        </w:rPr>
        <w:t xml:space="preserve">ou </w:t>
      </w:r>
      <w:r w:rsidR="00D01B8C" w:rsidRPr="003A1174">
        <w:rPr>
          <w:rFonts w:ascii="Garamond" w:hAnsi="Garamond" w:cs="Arial"/>
          <w:sz w:val="24"/>
          <w:szCs w:val="24"/>
        </w:rPr>
        <w:t xml:space="preserve">que a </w:t>
      </w:r>
      <w:r w:rsidR="00E150E9" w:rsidRPr="003A1174">
        <w:rPr>
          <w:rFonts w:ascii="Garamond" w:hAnsi="Garamond" w:cs="Arial"/>
          <w:sz w:val="24"/>
          <w:szCs w:val="24"/>
        </w:rPr>
        <w:t>Constituição</w:t>
      </w:r>
      <w:r w:rsidR="00D01B8C" w:rsidRPr="003A1174">
        <w:rPr>
          <w:rFonts w:ascii="Garamond" w:hAnsi="Garamond" w:cs="Arial"/>
          <w:sz w:val="24"/>
          <w:szCs w:val="24"/>
        </w:rPr>
        <w:t xml:space="preserve"> n</w:t>
      </w:r>
      <w:r w:rsidR="001B47E3" w:rsidRPr="003A1174">
        <w:rPr>
          <w:rFonts w:ascii="Garamond" w:hAnsi="Garamond" w:cs="Arial"/>
          <w:sz w:val="24"/>
          <w:szCs w:val="24"/>
        </w:rPr>
        <w:t>ã</w:t>
      </w:r>
      <w:r w:rsidR="00D01B8C" w:rsidRPr="003A1174">
        <w:rPr>
          <w:rFonts w:ascii="Garamond" w:hAnsi="Garamond" w:cs="Arial"/>
          <w:sz w:val="24"/>
          <w:szCs w:val="24"/>
        </w:rPr>
        <w:t>o s</w:t>
      </w:r>
      <w:r w:rsidR="001B47E3" w:rsidRPr="003A1174">
        <w:rPr>
          <w:rFonts w:ascii="Garamond" w:hAnsi="Garamond" w:cs="Arial"/>
          <w:sz w:val="24"/>
          <w:szCs w:val="24"/>
        </w:rPr>
        <w:t xml:space="preserve">ó </w:t>
      </w:r>
      <w:r w:rsidR="00D01B8C" w:rsidRPr="003A1174">
        <w:rPr>
          <w:rFonts w:ascii="Garamond" w:hAnsi="Garamond" w:cs="Arial"/>
          <w:sz w:val="24"/>
          <w:szCs w:val="24"/>
        </w:rPr>
        <w:t>garant</w:t>
      </w:r>
      <w:r w:rsidR="001B47E3" w:rsidRPr="003A1174">
        <w:rPr>
          <w:rFonts w:ascii="Garamond" w:hAnsi="Garamond" w:cs="Arial"/>
          <w:sz w:val="24"/>
          <w:szCs w:val="24"/>
        </w:rPr>
        <w:t xml:space="preserve">e </w:t>
      </w:r>
      <w:r w:rsidR="00D01B8C" w:rsidRPr="003A1174">
        <w:rPr>
          <w:rFonts w:ascii="Garamond" w:hAnsi="Garamond" w:cs="Arial"/>
          <w:sz w:val="24"/>
          <w:szCs w:val="24"/>
        </w:rPr>
        <w:t xml:space="preserve">a igual </w:t>
      </w:r>
      <w:r w:rsidR="00886D6A" w:rsidRPr="003A1174">
        <w:rPr>
          <w:rFonts w:ascii="Garamond" w:hAnsi="Garamond" w:cs="Arial"/>
          <w:sz w:val="24"/>
          <w:szCs w:val="24"/>
        </w:rPr>
        <w:t>proteção</w:t>
      </w:r>
      <w:r w:rsidR="00D01B8C" w:rsidRPr="003A1174">
        <w:rPr>
          <w:rFonts w:ascii="Garamond" w:hAnsi="Garamond" w:cs="Arial"/>
          <w:sz w:val="24"/>
          <w:szCs w:val="24"/>
        </w:rPr>
        <w:t xml:space="preserve">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F320F4" w:rsidRPr="003A1174">
        <w:rPr>
          <w:rFonts w:ascii="Garamond" w:hAnsi="Garamond" w:cs="Arial"/>
          <w:sz w:val="24"/>
          <w:szCs w:val="24"/>
        </w:rPr>
        <w:t>leis</w:t>
      </w:r>
      <w:r w:rsidR="00D01B8C" w:rsidRPr="003A1174">
        <w:rPr>
          <w:rFonts w:ascii="Garamond" w:hAnsi="Garamond" w:cs="Arial"/>
          <w:sz w:val="24"/>
          <w:szCs w:val="24"/>
        </w:rPr>
        <w:t xml:space="preserve">, </w:t>
      </w:r>
      <w:r w:rsidR="001B47E3" w:rsidRPr="003A1174">
        <w:rPr>
          <w:rFonts w:ascii="Garamond" w:hAnsi="Garamond" w:cs="Arial"/>
          <w:sz w:val="24"/>
          <w:szCs w:val="24"/>
        </w:rPr>
        <w:t xml:space="preserve">mas também </w:t>
      </w:r>
      <w:r w:rsidR="00D01B8C" w:rsidRPr="003A1174">
        <w:rPr>
          <w:rFonts w:ascii="Garamond" w:hAnsi="Garamond" w:cs="Arial"/>
          <w:sz w:val="24"/>
          <w:szCs w:val="24"/>
        </w:rPr>
        <w:t xml:space="preserve">que, </w:t>
      </w:r>
      <w:r w:rsidR="001B47E3" w:rsidRPr="003A1174">
        <w:rPr>
          <w:rFonts w:ascii="Garamond" w:hAnsi="Garamond" w:cs="Arial"/>
          <w:sz w:val="24"/>
          <w:szCs w:val="24"/>
        </w:rPr>
        <w:t>contra</w:t>
      </w:r>
      <w:r w:rsidR="009461E1" w:rsidRPr="003A1174">
        <w:rPr>
          <w:rFonts w:ascii="Garamond" w:hAnsi="Garamond" w:cs="Arial"/>
          <w:sz w:val="24"/>
          <w:szCs w:val="24"/>
        </w:rPr>
        <w:t>ria</w:t>
      </w:r>
      <w:r w:rsidR="00F73CFB" w:rsidRPr="003A1174">
        <w:rPr>
          <w:rFonts w:ascii="Garamond" w:hAnsi="Garamond" w:cs="Arial"/>
          <w:sz w:val="24"/>
          <w:szCs w:val="24"/>
        </w:rPr>
        <w:t>mente</w:t>
      </w:r>
      <w:r w:rsidR="00D01B8C" w:rsidRPr="003A1174">
        <w:rPr>
          <w:rFonts w:ascii="Garamond" w:hAnsi="Garamond" w:cs="Arial"/>
          <w:sz w:val="24"/>
          <w:szCs w:val="24"/>
        </w:rPr>
        <w:t xml:space="preserve"> </w:t>
      </w:r>
      <w:r w:rsidR="001B47E3" w:rsidRPr="003A1174">
        <w:rPr>
          <w:rFonts w:ascii="Garamond" w:hAnsi="Garamond" w:cs="Arial"/>
          <w:sz w:val="24"/>
          <w:szCs w:val="24"/>
        </w:rPr>
        <w:t>à norte-americana</w:t>
      </w:r>
      <w:r w:rsidR="00D01B8C" w:rsidRPr="003A1174">
        <w:rPr>
          <w:rFonts w:ascii="Garamond" w:hAnsi="Garamond" w:cs="Arial"/>
          <w:sz w:val="24"/>
          <w:szCs w:val="24"/>
        </w:rPr>
        <w:t xml:space="preserve">, </w:t>
      </w:r>
      <w:r w:rsidR="00BA3CCE" w:rsidRPr="003A1174">
        <w:rPr>
          <w:rFonts w:ascii="Garamond" w:hAnsi="Garamond" w:cs="Arial"/>
          <w:sz w:val="24"/>
          <w:szCs w:val="24"/>
        </w:rPr>
        <w:t>proíbe</w:t>
      </w:r>
      <w:r w:rsidR="00D01B8C" w:rsidRPr="003A1174">
        <w:rPr>
          <w:rFonts w:ascii="Garamond" w:hAnsi="Garamond" w:cs="Arial"/>
          <w:sz w:val="24"/>
          <w:szCs w:val="24"/>
        </w:rPr>
        <w:t xml:space="preserve"> </w:t>
      </w:r>
      <w:r w:rsidR="00524936" w:rsidRPr="003A1174">
        <w:rPr>
          <w:rFonts w:ascii="Garamond" w:hAnsi="Garamond" w:cs="Arial"/>
          <w:sz w:val="24"/>
          <w:szCs w:val="24"/>
        </w:rPr>
        <w:t>expressa</w:t>
      </w:r>
      <w:r w:rsidR="00D01B8C" w:rsidRPr="003A1174">
        <w:rPr>
          <w:rFonts w:ascii="Garamond" w:hAnsi="Garamond" w:cs="Arial"/>
          <w:sz w:val="24"/>
          <w:szCs w:val="24"/>
        </w:rPr>
        <w:t xml:space="preserve">mente </w:t>
      </w:r>
      <w:r w:rsidR="00B7372C" w:rsidRPr="003A1174">
        <w:rPr>
          <w:rFonts w:ascii="Garamond" w:hAnsi="Garamond" w:cs="Arial"/>
          <w:sz w:val="24"/>
          <w:szCs w:val="24"/>
        </w:rPr>
        <w:t xml:space="preserve">a </w:t>
      </w:r>
      <w:r w:rsidR="0017447A" w:rsidRPr="003A1174">
        <w:rPr>
          <w:rFonts w:ascii="Garamond" w:hAnsi="Garamond" w:cs="Arial"/>
          <w:sz w:val="24"/>
          <w:szCs w:val="24"/>
        </w:rPr>
        <w:t>discriminação</w:t>
      </w:r>
      <w:r w:rsidR="00D01B8C" w:rsidRPr="003A1174">
        <w:rPr>
          <w:rFonts w:ascii="Garamond" w:hAnsi="Garamond" w:cs="Arial"/>
          <w:sz w:val="24"/>
          <w:szCs w:val="24"/>
        </w:rPr>
        <w:t xml:space="preserve"> por </w:t>
      </w:r>
      <w:r w:rsidR="004E3A1A" w:rsidRPr="003A1174">
        <w:rPr>
          <w:rFonts w:ascii="Garamond" w:hAnsi="Garamond" w:cs="Arial"/>
          <w:sz w:val="24"/>
          <w:szCs w:val="24"/>
        </w:rPr>
        <w:t>razão</w:t>
      </w:r>
      <w:r w:rsidR="00D01B8C" w:rsidRPr="003A1174">
        <w:rPr>
          <w:rFonts w:ascii="Garamond" w:hAnsi="Garamond" w:cs="Arial"/>
          <w:sz w:val="24"/>
          <w:szCs w:val="24"/>
        </w:rPr>
        <w:t xml:space="preserve"> de sexo</w:t>
      </w:r>
      <w:r w:rsidR="00D01B8C" w:rsidRPr="003A1174">
        <w:rPr>
          <w:rStyle w:val="Refdenotaalpie"/>
          <w:rFonts w:ascii="Garamond" w:hAnsi="Garamond" w:cs="Arial"/>
          <w:sz w:val="24"/>
          <w:szCs w:val="24"/>
        </w:rPr>
        <w:footnoteReference w:id="79"/>
      </w:r>
      <w:r w:rsidR="00D01B8C" w:rsidRPr="003A1174">
        <w:rPr>
          <w:rFonts w:ascii="Garamond" w:hAnsi="Garamond" w:cs="Arial"/>
          <w:sz w:val="24"/>
          <w:szCs w:val="24"/>
        </w:rPr>
        <w:t xml:space="preserve"> Por </w:t>
      </w:r>
      <w:r w:rsidR="001B47E3" w:rsidRPr="003A1174">
        <w:rPr>
          <w:rFonts w:ascii="Garamond" w:hAnsi="Garamond" w:cs="Arial"/>
          <w:sz w:val="24"/>
          <w:szCs w:val="24"/>
        </w:rPr>
        <w:t xml:space="preserve">esta </w:t>
      </w:r>
      <w:r w:rsidR="004E3A1A" w:rsidRPr="003A1174">
        <w:rPr>
          <w:rFonts w:ascii="Garamond" w:hAnsi="Garamond" w:cs="Arial"/>
          <w:sz w:val="24"/>
          <w:szCs w:val="24"/>
        </w:rPr>
        <w:t>razão</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e</w:t>
      </w:r>
      <w:r w:rsidR="001B47E3" w:rsidRPr="003A1174">
        <w:rPr>
          <w:rFonts w:ascii="Garamond" w:hAnsi="Garamond" w:cs="Arial"/>
          <w:sz w:val="24"/>
          <w:szCs w:val="24"/>
        </w:rPr>
        <w:t>m concordâ</w:t>
      </w:r>
      <w:r w:rsidR="00D01B8C" w:rsidRPr="003A1174">
        <w:rPr>
          <w:rFonts w:ascii="Garamond" w:hAnsi="Garamond" w:cs="Arial"/>
          <w:sz w:val="24"/>
          <w:szCs w:val="24"/>
        </w:rPr>
        <w:t>ncia co</w:t>
      </w:r>
      <w:r w:rsidR="001B47E3" w:rsidRPr="003A1174">
        <w:rPr>
          <w:rFonts w:ascii="Garamond" w:hAnsi="Garamond" w:cs="Arial"/>
          <w:sz w:val="24"/>
          <w:szCs w:val="24"/>
        </w:rPr>
        <w:t xml:space="preserve">m </w:t>
      </w:r>
      <w:r w:rsidR="00D01B8C" w:rsidRPr="003A1174">
        <w:rPr>
          <w:rFonts w:ascii="Garamond" w:hAnsi="Garamond" w:cs="Arial"/>
          <w:sz w:val="24"/>
          <w:szCs w:val="24"/>
        </w:rPr>
        <w:t xml:space="preserve">o </w:t>
      </w:r>
      <w:r w:rsidR="00F73CFB" w:rsidRPr="003A1174">
        <w:rPr>
          <w:rFonts w:ascii="Garamond" w:hAnsi="Garamond" w:cs="Arial"/>
          <w:sz w:val="24"/>
          <w:szCs w:val="24"/>
        </w:rPr>
        <w:t>exp</w:t>
      </w:r>
      <w:r w:rsidR="001B47E3" w:rsidRPr="003A1174">
        <w:rPr>
          <w:rFonts w:ascii="Garamond" w:hAnsi="Garamond" w:cs="Arial"/>
          <w:sz w:val="24"/>
          <w:szCs w:val="24"/>
        </w:rPr>
        <w:t>o</w:t>
      </w:r>
      <w:r w:rsidR="00F73CFB" w:rsidRPr="003A1174">
        <w:rPr>
          <w:rFonts w:ascii="Garamond" w:hAnsi="Garamond" w:cs="Arial"/>
          <w:sz w:val="24"/>
          <w:szCs w:val="24"/>
        </w:rPr>
        <w:t>sto</w:t>
      </w:r>
      <w:r w:rsidR="00D01B8C" w:rsidRPr="003A1174">
        <w:rPr>
          <w:rFonts w:ascii="Garamond" w:hAnsi="Garamond" w:cs="Arial"/>
          <w:sz w:val="24"/>
          <w:szCs w:val="24"/>
        </w:rPr>
        <w:t xml:space="preserve"> anteriormente, </w:t>
      </w:r>
      <w:r w:rsidR="0017447A" w:rsidRPr="003A1174">
        <w:rPr>
          <w:rFonts w:ascii="Garamond" w:hAnsi="Garamond" w:cs="Arial"/>
          <w:sz w:val="24"/>
          <w:szCs w:val="24"/>
        </w:rPr>
        <w:t>Porto</w:t>
      </w:r>
      <w:r w:rsidR="00D01B8C" w:rsidRPr="003A1174">
        <w:rPr>
          <w:rFonts w:ascii="Garamond" w:hAnsi="Garamond" w:cs="Arial"/>
          <w:sz w:val="24"/>
          <w:szCs w:val="24"/>
        </w:rPr>
        <w:t xml:space="preserve"> Rico contin</w:t>
      </w:r>
      <w:r w:rsidR="001B47E3" w:rsidRPr="003A1174">
        <w:rPr>
          <w:rFonts w:ascii="Garamond" w:hAnsi="Garamond" w:cs="Arial"/>
          <w:sz w:val="24"/>
          <w:szCs w:val="24"/>
        </w:rPr>
        <w:t xml:space="preserve">ua a </w:t>
      </w:r>
      <w:r w:rsidR="00D01B8C" w:rsidRPr="003A1174">
        <w:rPr>
          <w:rFonts w:ascii="Garamond" w:hAnsi="Garamond" w:cs="Arial"/>
          <w:sz w:val="24"/>
          <w:szCs w:val="24"/>
        </w:rPr>
        <w:t>confia</w:t>
      </w:r>
      <w:r w:rsidR="001B47E3" w:rsidRPr="003A1174">
        <w:rPr>
          <w:rFonts w:ascii="Garamond" w:hAnsi="Garamond" w:cs="Arial"/>
          <w:sz w:val="24"/>
          <w:szCs w:val="24"/>
        </w:rPr>
        <w:t xml:space="preserve">r no </w:t>
      </w:r>
      <w:r w:rsidR="00D01B8C" w:rsidRPr="003A1174">
        <w:rPr>
          <w:rFonts w:ascii="Garamond" w:hAnsi="Garamond" w:cs="Arial"/>
          <w:sz w:val="24"/>
          <w:szCs w:val="24"/>
        </w:rPr>
        <w:t xml:space="preserve">sistema judicial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1B47E3" w:rsidRPr="003A1174">
        <w:rPr>
          <w:rFonts w:ascii="Garamond" w:hAnsi="Garamond" w:cs="Arial"/>
          <w:sz w:val="24"/>
          <w:szCs w:val="24"/>
        </w:rPr>
        <w:t xml:space="preserve">no </w:t>
      </w:r>
      <w:r w:rsidR="00C86C58" w:rsidRPr="003A1174">
        <w:rPr>
          <w:rFonts w:ascii="Garamond" w:hAnsi="Garamond" w:cs="Arial"/>
          <w:sz w:val="24"/>
          <w:szCs w:val="24"/>
        </w:rPr>
        <w:t>ordenamento</w:t>
      </w:r>
      <w:r w:rsidR="001B47E3" w:rsidRPr="003A1174">
        <w:rPr>
          <w:rFonts w:ascii="Garamond" w:hAnsi="Garamond" w:cs="Arial"/>
          <w:sz w:val="24"/>
          <w:szCs w:val="24"/>
        </w:rPr>
        <w:t xml:space="preserve"> jurídico que lhe diz respeito</w:t>
      </w:r>
      <w:r w:rsidR="00B7372C" w:rsidRPr="003A1174">
        <w:rPr>
          <w:rFonts w:ascii="Garamond" w:hAnsi="Garamond" w:cs="Arial"/>
          <w:sz w:val="24"/>
          <w:szCs w:val="24"/>
        </w:rPr>
        <w:t xml:space="preserve"> </w:t>
      </w:r>
      <w:r w:rsidR="00D01B8C" w:rsidRPr="003A1174">
        <w:rPr>
          <w:rFonts w:ascii="Garamond" w:hAnsi="Garamond" w:cs="Arial"/>
          <w:sz w:val="24"/>
          <w:szCs w:val="24"/>
        </w:rPr>
        <w:t>para salvagua</w:t>
      </w:r>
      <w:r w:rsidR="001B47E3" w:rsidRPr="003A1174">
        <w:rPr>
          <w:rFonts w:ascii="Garamond" w:hAnsi="Garamond" w:cs="Arial"/>
          <w:sz w:val="24"/>
          <w:szCs w:val="24"/>
        </w:rPr>
        <w:t xml:space="preserve">rdar </w:t>
      </w:r>
      <w:r w:rsidR="00D01B8C" w:rsidRPr="003A1174">
        <w:rPr>
          <w:rFonts w:ascii="Garamond" w:hAnsi="Garamond" w:cs="Arial"/>
          <w:sz w:val="24"/>
          <w:szCs w:val="24"/>
        </w:rPr>
        <w:t xml:space="preserve">os </w:t>
      </w:r>
      <w:r w:rsidR="00886D6A" w:rsidRPr="003A1174">
        <w:rPr>
          <w:rFonts w:ascii="Garamond" w:hAnsi="Garamond" w:cs="Arial"/>
          <w:sz w:val="24"/>
          <w:szCs w:val="24"/>
        </w:rPr>
        <w:t>direito</w:t>
      </w:r>
      <w:r w:rsidR="00D01B8C" w:rsidRPr="003A1174">
        <w:rPr>
          <w:rFonts w:ascii="Garamond" w:hAnsi="Garamond" w:cs="Arial"/>
          <w:sz w:val="24"/>
          <w:szCs w:val="24"/>
        </w:rPr>
        <w:t xml:space="preserve">s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1B47E3" w:rsidRPr="003A1174">
        <w:rPr>
          <w:rFonts w:ascii="Garamond" w:hAnsi="Garamond" w:cs="Arial"/>
          <w:sz w:val="24"/>
          <w:szCs w:val="24"/>
        </w:rPr>
        <w:t xml:space="preserve">assegurar </w:t>
      </w:r>
      <w:r w:rsidR="00D01B8C" w:rsidRPr="003A1174">
        <w:rPr>
          <w:rFonts w:ascii="Garamond" w:hAnsi="Garamond" w:cs="Arial"/>
          <w:sz w:val="24"/>
          <w:szCs w:val="24"/>
        </w:rPr>
        <w:t xml:space="preserve">as </w:t>
      </w:r>
      <w:r w:rsidR="00B14AA6" w:rsidRPr="003A1174">
        <w:rPr>
          <w:rFonts w:ascii="Garamond" w:hAnsi="Garamond" w:cs="Arial"/>
          <w:sz w:val="24"/>
          <w:szCs w:val="24"/>
        </w:rPr>
        <w:t>disposições</w:t>
      </w:r>
      <w:r w:rsidR="00D01B8C" w:rsidRPr="003A1174">
        <w:rPr>
          <w:rFonts w:ascii="Garamond" w:hAnsi="Garamond" w:cs="Arial"/>
          <w:sz w:val="24"/>
          <w:szCs w:val="24"/>
        </w:rPr>
        <w:t xml:space="preserve"> </w:t>
      </w:r>
      <w:r w:rsidR="00745303" w:rsidRPr="003A1174">
        <w:rPr>
          <w:rFonts w:ascii="Garamond" w:hAnsi="Garamond" w:cs="Arial"/>
          <w:sz w:val="24"/>
          <w:szCs w:val="24"/>
        </w:rPr>
        <w:t>constitucionais</w:t>
      </w:r>
      <w:r w:rsidR="00D01B8C" w:rsidRPr="003A1174">
        <w:rPr>
          <w:rFonts w:ascii="Garamond" w:hAnsi="Garamond" w:cs="Arial"/>
          <w:sz w:val="24"/>
          <w:szCs w:val="24"/>
        </w:rPr>
        <w:t xml:space="preserve"> que </w:t>
      </w:r>
      <w:r w:rsidR="001B47E3" w:rsidRPr="003A1174">
        <w:rPr>
          <w:rFonts w:ascii="Garamond" w:hAnsi="Garamond" w:cs="Arial"/>
          <w:sz w:val="24"/>
          <w:szCs w:val="24"/>
        </w:rPr>
        <w:t xml:space="preserve">proíbem </w:t>
      </w:r>
      <w:r w:rsidR="00B7372C" w:rsidRPr="003A1174">
        <w:rPr>
          <w:rFonts w:ascii="Garamond" w:hAnsi="Garamond" w:cs="Arial"/>
          <w:sz w:val="24"/>
          <w:szCs w:val="24"/>
        </w:rPr>
        <w:t xml:space="preserve">a </w:t>
      </w:r>
      <w:r w:rsidR="0017447A" w:rsidRPr="003A1174">
        <w:rPr>
          <w:rFonts w:ascii="Garamond" w:hAnsi="Garamond" w:cs="Arial"/>
          <w:sz w:val="24"/>
          <w:szCs w:val="24"/>
        </w:rPr>
        <w:t>discriminação</w:t>
      </w:r>
      <w:r w:rsidR="001B47E3" w:rsidRPr="003A1174">
        <w:rPr>
          <w:rFonts w:ascii="Garamond" w:hAnsi="Garamond" w:cs="Arial"/>
          <w:sz w:val="24"/>
          <w:szCs w:val="24"/>
        </w:rPr>
        <w:t xml:space="preserve"> contra </w:t>
      </w:r>
      <w:r w:rsidR="00D01B8C" w:rsidRPr="003A1174">
        <w:rPr>
          <w:rFonts w:ascii="Garamond" w:hAnsi="Garamond" w:cs="Arial"/>
          <w:sz w:val="24"/>
          <w:szCs w:val="24"/>
        </w:rPr>
        <w:t xml:space="preserve">a </w:t>
      </w:r>
      <w:r w:rsidR="00AF192F" w:rsidRPr="003A1174">
        <w:rPr>
          <w:rFonts w:ascii="Garamond" w:hAnsi="Garamond" w:cs="Arial"/>
          <w:sz w:val="24"/>
          <w:szCs w:val="24"/>
        </w:rPr>
        <w:t>mulher</w:t>
      </w:r>
      <w:r w:rsidR="00D01B8C" w:rsidRPr="003A1174">
        <w:rPr>
          <w:rFonts w:ascii="Garamond" w:hAnsi="Garamond" w:cs="Arial"/>
          <w:sz w:val="24"/>
          <w:szCs w:val="24"/>
        </w:rPr>
        <w:t xml:space="preserve"> e</w:t>
      </w:r>
      <w:r w:rsidR="001B47E3" w:rsidRPr="003A1174">
        <w:rPr>
          <w:rFonts w:ascii="Garamond" w:hAnsi="Garamond" w:cs="Arial"/>
          <w:sz w:val="24"/>
          <w:szCs w:val="24"/>
        </w:rPr>
        <w:t>m</w:t>
      </w:r>
      <w:r w:rsidR="00D01B8C" w:rsidRPr="003A1174">
        <w:rPr>
          <w:rFonts w:ascii="Garamond" w:hAnsi="Garamond" w:cs="Arial"/>
          <w:sz w:val="24"/>
          <w:szCs w:val="24"/>
        </w:rPr>
        <w:t xml:space="preserve"> todas</w:t>
      </w:r>
      <w:r w:rsidR="001B47E3" w:rsidRPr="003A1174">
        <w:rPr>
          <w:rFonts w:ascii="Garamond" w:hAnsi="Garamond" w:cs="Arial"/>
          <w:sz w:val="24"/>
          <w:szCs w:val="24"/>
        </w:rPr>
        <w:t xml:space="preserve"> as</w:t>
      </w:r>
      <w:r w:rsidR="00D01B8C" w:rsidRPr="003A1174">
        <w:rPr>
          <w:rFonts w:ascii="Garamond" w:hAnsi="Garamond" w:cs="Arial"/>
          <w:sz w:val="24"/>
          <w:szCs w:val="24"/>
        </w:rPr>
        <w:t xml:space="preserve"> su</w:t>
      </w:r>
      <w:r w:rsidR="001B47E3" w:rsidRPr="003A1174">
        <w:rPr>
          <w:rFonts w:ascii="Garamond" w:hAnsi="Garamond" w:cs="Arial"/>
          <w:sz w:val="24"/>
          <w:szCs w:val="24"/>
        </w:rPr>
        <w:t>a</w:t>
      </w:r>
      <w:r w:rsidR="00D01B8C" w:rsidRPr="003A1174">
        <w:rPr>
          <w:rFonts w:ascii="Garamond" w:hAnsi="Garamond" w:cs="Arial"/>
          <w:sz w:val="24"/>
          <w:szCs w:val="24"/>
        </w:rPr>
        <w:t xml:space="preserve">s </w:t>
      </w:r>
      <w:r w:rsidR="00C30647" w:rsidRPr="003A1174">
        <w:rPr>
          <w:rFonts w:ascii="Garamond" w:hAnsi="Garamond" w:cs="Arial"/>
          <w:sz w:val="24"/>
          <w:szCs w:val="24"/>
        </w:rPr>
        <w:t>manifestações</w:t>
      </w:r>
      <w:r w:rsidR="00D01B8C" w:rsidRPr="003A1174">
        <w:rPr>
          <w:rFonts w:ascii="Garamond" w:hAnsi="Garamond" w:cs="Arial"/>
          <w:sz w:val="24"/>
          <w:szCs w:val="24"/>
        </w:rPr>
        <w:t>.</w:t>
      </w:r>
    </w:p>
    <w:p w:rsidR="00D01B8C" w:rsidRPr="003A1174" w:rsidRDefault="0017447A" w:rsidP="008719D4">
      <w:pPr>
        <w:spacing w:before="240" w:line="240" w:lineRule="auto"/>
        <w:jc w:val="both"/>
        <w:rPr>
          <w:rFonts w:ascii="Garamond" w:hAnsi="Garamond" w:cs="Arial"/>
          <w:sz w:val="24"/>
          <w:szCs w:val="24"/>
        </w:rPr>
      </w:pPr>
      <w:r w:rsidRPr="00CE2763">
        <w:rPr>
          <w:rFonts w:ascii="Garamond" w:hAnsi="Garamond" w:cs="Arial"/>
          <w:sz w:val="24"/>
          <w:szCs w:val="24"/>
        </w:rPr>
        <w:t>Porto</w:t>
      </w:r>
      <w:r w:rsidR="00D01B8C" w:rsidRPr="00CE2763">
        <w:rPr>
          <w:rFonts w:ascii="Garamond" w:hAnsi="Garamond" w:cs="Arial"/>
          <w:sz w:val="24"/>
          <w:szCs w:val="24"/>
        </w:rPr>
        <w:t xml:space="preserve"> Rico </w:t>
      </w:r>
      <w:r w:rsidR="007A2492" w:rsidRPr="00CE2763">
        <w:rPr>
          <w:rFonts w:ascii="Garamond" w:hAnsi="Garamond" w:cs="Arial"/>
          <w:sz w:val="24"/>
          <w:szCs w:val="24"/>
        </w:rPr>
        <w:t>tem</w:t>
      </w:r>
      <w:r w:rsidR="001B47E3" w:rsidRPr="00CE2763">
        <w:rPr>
          <w:rFonts w:ascii="Garamond" w:hAnsi="Garamond" w:cs="Arial"/>
          <w:sz w:val="24"/>
          <w:szCs w:val="24"/>
        </w:rPr>
        <w:t xml:space="preserve"> um</w:t>
      </w:r>
      <w:r w:rsidR="00D01B8C" w:rsidRPr="00CE2763">
        <w:rPr>
          <w:rFonts w:ascii="Garamond" w:hAnsi="Garamond" w:cs="Arial"/>
          <w:sz w:val="24"/>
          <w:szCs w:val="24"/>
        </w:rPr>
        <w:t xml:space="preserve">a </w:t>
      </w:r>
      <w:r w:rsidR="00152A44" w:rsidRPr="00CE2763">
        <w:rPr>
          <w:rFonts w:ascii="Garamond" w:hAnsi="Garamond" w:cs="Arial"/>
          <w:sz w:val="24"/>
          <w:szCs w:val="24"/>
        </w:rPr>
        <w:t>relação</w:t>
      </w:r>
      <w:r w:rsidR="00D01B8C" w:rsidRPr="00CE2763">
        <w:rPr>
          <w:rFonts w:ascii="Garamond" w:hAnsi="Garamond" w:cs="Arial"/>
          <w:sz w:val="24"/>
          <w:szCs w:val="24"/>
        </w:rPr>
        <w:t xml:space="preserve"> política especial co</w:t>
      </w:r>
      <w:r w:rsidR="001B47E3" w:rsidRPr="00CE2763">
        <w:rPr>
          <w:rFonts w:ascii="Garamond" w:hAnsi="Garamond" w:cs="Arial"/>
          <w:sz w:val="24"/>
          <w:szCs w:val="24"/>
        </w:rPr>
        <w:t xml:space="preserve">m </w:t>
      </w:r>
      <w:r w:rsidR="00D01B8C" w:rsidRPr="00CE2763">
        <w:rPr>
          <w:rFonts w:ascii="Garamond" w:hAnsi="Garamond" w:cs="Arial"/>
          <w:sz w:val="24"/>
          <w:szCs w:val="24"/>
        </w:rPr>
        <w:t>os Estados Unidos d</w:t>
      </w:r>
      <w:r w:rsidR="001B47E3" w:rsidRPr="00CE2763">
        <w:rPr>
          <w:rFonts w:ascii="Garamond" w:hAnsi="Garamond" w:cs="Arial"/>
          <w:sz w:val="24"/>
          <w:szCs w:val="24"/>
        </w:rPr>
        <w:t xml:space="preserve">a América </w:t>
      </w:r>
      <w:r w:rsidR="008B60D1" w:rsidRPr="00CE2763">
        <w:rPr>
          <w:rFonts w:ascii="Garamond" w:hAnsi="Garamond" w:cs="Arial"/>
          <w:sz w:val="24"/>
          <w:szCs w:val="24"/>
        </w:rPr>
        <w:t xml:space="preserve">através da </w:t>
      </w:r>
      <w:r w:rsidR="001B47E3" w:rsidRPr="00CE2763">
        <w:rPr>
          <w:rFonts w:ascii="Garamond" w:hAnsi="Garamond" w:cs="Arial"/>
          <w:sz w:val="24"/>
          <w:szCs w:val="24"/>
        </w:rPr>
        <w:t xml:space="preserve">qual </w:t>
      </w:r>
      <w:r w:rsidR="00CE2763" w:rsidRPr="00CE2763">
        <w:rPr>
          <w:rFonts w:ascii="Garamond" w:hAnsi="Garamond" w:cs="Arial"/>
          <w:sz w:val="24"/>
          <w:szCs w:val="24"/>
        </w:rPr>
        <w:t>-</w:t>
      </w:r>
      <w:r w:rsidR="001B47E3" w:rsidRPr="00CE2763">
        <w:rPr>
          <w:rFonts w:ascii="Garamond" w:hAnsi="Garamond" w:cs="Arial"/>
          <w:sz w:val="24"/>
          <w:szCs w:val="24"/>
        </w:rPr>
        <w:t xml:space="preserve"> em </w:t>
      </w:r>
      <w:r w:rsidR="00D01B8C" w:rsidRPr="00CE2763">
        <w:rPr>
          <w:rFonts w:ascii="Garamond" w:hAnsi="Garamond" w:cs="Arial"/>
          <w:sz w:val="24"/>
          <w:szCs w:val="24"/>
        </w:rPr>
        <w:t>virtud</w:t>
      </w:r>
      <w:r w:rsidR="001B47E3" w:rsidRPr="00CE2763">
        <w:rPr>
          <w:rFonts w:ascii="Garamond" w:hAnsi="Garamond" w:cs="Arial"/>
          <w:sz w:val="24"/>
          <w:szCs w:val="24"/>
        </w:rPr>
        <w:t>e</w:t>
      </w:r>
      <w:r w:rsidR="00D01B8C" w:rsidRPr="00CE2763">
        <w:rPr>
          <w:rFonts w:ascii="Garamond" w:hAnsi="Garamond" w:cs="Arial"/>
          <w:sz w:val="24"/>
          <w:szCs w:val="24"/>
        </w:rPr>
        <w:t xml:space="preserve"> da cláusula de supremac</w:t>
      </w:r>
      <w:r w:rsidR="001B47E3" w:rsidRPr="00CE2763">
        <w:rPr>
          <w:rFonts w:ascii="Garamond" w:hAnsi="Garamond" w:cs="Arial"/>
          <w:sz w:val="24"/>
          <w:szCs w:val="24"/>
        </w:rPr>
        <w:t>i</w:t>
      </w:r>
      <w:r w:rsidR="00D01B8C" w:rsidRPr="00CE2763">
        <w:rPr>
          <w:rFonts w:ascii="Garamond" w:hAnsi="Garamond" w:cs="Arial"/>
          <w:sz w:val="24"/>
          <w:szCs w:val="24"/>
        </w:rPr>
        <w:t xml:space="preserve">a </w:t>
      </w:r>
      <w:r w:rsidR="001B47E3" w:rsidRPr="00CE2763">
        <w:rPr>
          <w:rFonts w:ascii="Garamond" w:hAnsi="Garamond" w:cs="Arial"/>
          <w:sz w:val="24"/>
          <w:szCs w:val="24"/>
        </w:rPr>
        <w:t xml:space="preserve">na </w:t>
      </w:r>
      <w:r w:rsidR="00E150E9" w:rsidRPr="00CE2763">
        <w:rPr>
          <w:rFonts w:ascii="Garamond" w:hAnsi="Garamond" w:cs="Arial"/>
          <w:sz w:val="24"/>
          <w:szCs w:val="24"/>
        </w:rPr>
        <w:t>Constituição</w:t>
      </w:r>
      <w:r w:rsidR="00CE2763" w:rsidRPr="00CE2763">
        <w:rPr>
          <w:rFonts w:ascii="Garamond" w:hAnsi="Garamond" w:cs="Arial"/>
          <w:sz w:val="24"/>
          <w:szCs w:val="24"/>
        </w:rPr>
        <w:t xml:space="preserve"> norteamericana -</w:t>
      </w:r>
      <w:r w:rsidR="001B47E3" w:rsidRPr="00CE2763">
        <w:rPr>
          <w:rFonts w:ascii="Garamond" w:hAnsi="Garamond" w:cs="Arial"/>
          <w:sz w:val="24"/>
          <w:szCs w:val="24"/>
        </w:rPr>
        <w:t xml:space="preserve"> se re</w:t>
      </w:r>
      <w:r w:rsidR="00D01B8C" w:rsidRPr="00CE2763">
        <w:rPr>
          <w:rFonts w:ascii="Garamond" w:hAnsi="Garamond" w:cs="Arial"/>
          <w:sz w:val="24"/>
          <w:szCs w:val="24"/>
        </w:rPr>
        <w:t>ge</w:t>
      </w:r>
      <w:r w:rsidR="00CE2763" w:rsidRPr="00CE2763">
        <w:rPr>
          <w:rFonts w:ascii="Garamond" w:hAnsi="Garamond" w:cs="Arial"/>
          <w:sz w:val="24"/>
          <w:szCs w:val="24"/>
        </w:rPr>
        <w:t>r</w:t>
      </w:r>
      <w:r w:rsidR="00D01B8C" w:rsidRPr="00CE2763">
        <w:rPr>
          <w:rFonts w:ascii="Garamond" w:hAnsi="Garamond" w:cs="Arial"/>
          <w:sz w:val="24"/>
          <w:szCs w:val="24"/>
        </w:rPr>
        <w:t xml:space="preserve"> </w:t>
      </w:r>
      <w:r w:rsidR="001B47E3" w:rsidRPr="00CE2763">
        <w:rPr>
          <w:rFonts w:ascii="Garamond" w:hAnsi="Garamond" w:cs="Arial"/>
          <w:sz w:val="24"/>
          <w:szCs w:val="24"/>
        </w:rPr>
        <w:t>no território</w:t>
      </w:r>
      <w:r w:rsidR="00D01B8C" w:rsidRPr="00CE2763">
        <w:rPr>
          <w:rFonts w:ascii="Garamond" w:hAnsi="Garamond" w:cs="Arial"/>
          <w:sz w:val="24"/>
          <w:szCs w:val="24"/>
        </w:rPr>
        <w:t xml:space="preserve"> </w:t>
      </w:r>
      <w:r w:rsidR="008B60D1" w:rsidRPr="00CE2763">
        <w:rPr>
          <w:rFonts w:ascii="Garamond" w:hAnsi="Garamond" w:cs="Arial"/>
          <w:sz w:val="24"/>
          <w:szCs w:val="24"/>
        </w:rPr>
        <w:t>porto-riquenho</w:t>
      </w:r>
      <w:r w:rsidR="00CE2763">
        <w:rPr>
          <w:rFonts w:ascii="Garamond" w:hAnsi="Garamond" w:cs="Arial"/>
          <w:sz w:val="24"/>
          <w:szCs w:val="24"/>
        </w:rPr>
        <w:t>,</w:t>
      </w:r>
      <w:r w:rsidR="001B47E3" w:rsidRPr="00CE2763">
        <w:rPr>
          <w:rFonts w:ascii="Garamond" w:hAnsi="Garamond" w:cs="Arial"/>
          <w:sz w:val="24"/>
          <w:szCs w:val="24"/>
        </w:rPr>
        <w:t xml:space="preserve"> </w:t>
      </w:r>
      <w:r w:rsidR="00D01B8C" w:rsidRPr="00CE2763">
        <w:rPr>
          <w:rFonts w:ascii="Garamond" w:hAnsi="Garamond" w:cs="Arial"/>
          <w:sz w:val="24"/>
          <w:szCs w:val="24"/>
        </w:rPr>
        <w:t xml:space="preserve">a </w:t>
      </w:r>
      <w:r w:rsidR="002C7510" w:rsidRPr="00CE2763">
        <w:rPr>
          <w:rFonts w:ascii="Garamond" w:hAnsi="Garamond" w:cs="Arial"/>
          <w:sz w:val="24"/>
          <w:szCs w:val="24"/>
        </w:rPr>
        <w:t>legislação</w:t>
      </w:r>
      <w:r w:rsidR="00D01B8C" w:rsidRPr="00CE2763">
        <w:rPr>
          <w:rFonts w:ascii="Garamond" w:hAnsi="Garamond" w:cs="Arial"/>
          <w:sz w:val="24"/>
          <w:szCs w:val="24"/>
        </w:rPr>
        <w:t xml:space="preserve"> </w:t>
      </w:r>
      <w:r w:rsidR="001B47E3" w:rsidRPr="00CE2763">
        <w:rPr>
          <w:rFonts w:ascii="Garamond" w:hAnsi="Garamond" w:cs="Arial"/>
          <w:sz w:val="24"/>
          <w:szCs w:val="24"/>
        </w:rPr>
        <w:t xml:space="preserve">do </w:t>
      </w:r>
      <w:r w:rsidR="00D01B8C" w:rsidRPr="00CE2763">
        <w:rPr>
          <w:rFonts w:ascii="Garamond" w:hAnsi="Garamond" w:cs="Arial"/>
          <w:sz w:val="24"/>
          <w:szCs w:val="24"/>
        </w:rPr>
        <w:t>congre</w:t>
      </w:r>
      <w:r w:rsidR="001B47E3" w:rsidRPr="00CE2763">
        <w:rPr>
          <w:rFonts w:ascii="Garamond" w:hAnsi="Garamond" w:cs="Arial"/>
          <w:sz w:val="24"/>
          <w:szCs w:val="24"/>
        </w:rPr>
        <w:t>ss</w:t>
      </w:r>
      <w:r w:rsidR="00D01B8C" w:rsidRPr="00CE2763">
        <w:rPr>
          <w:rFonts w:ascii="Garamond" w:hAnsi="Garamond" w:cs="Arial"/>
          <w:sz w:val="24"/>
          <w:szCs w:val="24"/>
        </w:rPr>
        <w:t xml:space="preserve">o </w:t>
      </w:r>
      <w:r w:rsidR="00F13A73" w:rsidRPr="00CE2763">
        <w:rPr>
          <w:rFonts w:ascii="Garamond" w:hAnsi="Garamond" w:cs="Arial"/>
          <w:sz w:val="24"/>
          <w:szCs w:val="24"/>
        </w:rPr>
        <w:t>norteamericano</w:t>
      </w:r>
      <w:r w:rsidR="00D01B8C" w:rsidRPr="00CE2763">
        <w:rPr>
          <w:rFonts w:ascii="Garamond" w:hAnsi="Garamond" w:cs="Arial"/>
          <w:sz w:val="24"/>
          <w:szCs w:val="24"/>
        </w:rPr>
        <w:t xml:space="preserve">, </w:t>
      </w:r>
      <w:r w:rsidR="00152A44" w:rsidRPr="00CE2763">
        <w:rPr>
          <w:rFonts w:ascii="Garamond" w:hAnsi="Garamond" w:cs="Arial"/>
          <w:sz w:val="24"/>
          <w:szCs w:val="24"/>
        </w:rPr>
        <w:t>inclui</w:t>
      </w:r>
      <w:r w:rsidR="001B47E3" w:rsidRPr="00CE2763">
        <w:rPr>
          <w:rFonts w:ascii="Garamond" w:hAnsi="Garamond" w:cs="Arial"/>
          <w:sz w:val="24"/>
          <w:szCs w:val="24"/>
        </w:rPr>
        <w:t xml:space="preserve">ndo os vínculos e </w:t>
      </w:r>
      <w:r w:rsidR="00D01B8C" w:rsidRPr="00CE2763">
        <w:rPr>
          <w:rFonts w:ascii="Garamond" w:hAnsi="Garamond" w:cs="Arial"/>
          <w:sz w:val="24"/>
          <w:szCs w:val="24"/>
        </w:rPr>
        <w:t>a</w:t>
      </w:r>
      <w:r w:rsidR="001B47E3" w:rsidRPr="00CE2763">
        <w:rPr>
          <w:rFonts w:ascii="Garamond" w:hAnsi="Garamond" w:cs="Arial"/>
          <w:sz w:val="24"/>
          <w:szCs w:val="24"/>
        </w:rPr>
        <w:t xml:space="preserve"> assinatura </w:t>
      </w:r>
      <w:r w:rsidR="00497503" w:rsidRPr="00CE2763">
        <w:rPr>
          <w:rFonts w:ascii="Garamond" w:hAnsi="Garamond" w:cs="Arial"/>
          <w:sz w:val="24"/>
          <w:szCs w:val="24"/>
        </w:rPr>
        <w:t>dos</w:t>
      </w:r>
      <w:r w:rsidR="00D01B8C" w:rsidRPr="00CE2763">
        <w:rPr>
          <w:rFonts w:ascii="Garamond" w:hAnsi="Garamond" w:cs="Arial"/>
          <w:sz w:val="24"/>
          <w:szCs w:val="24"/>
        </w:rPr>
        <w:t xml:space="preserve"> tratados </w:t>
      </w:r>
      <w:r w:rsidR="001B47E3" w:rsidRPr="00CE2763">
        <w:rPr>
          <w:rFonts w:ascii="Garamond" w:hAnsi="Garamond" w:cs="Arial"/>
          <w:sz w:val="24"/>
          <w:szCs w:val="24"/>
        </w:rPr>
        <w:t>internacionais. Nes</w:t>
      </w:r>
      <w:r w:rsidR="00D01B8C" w:rsidRPr="00CE2763">
        <w:rPr>
          <w:rFonts w:ascii="Garamond" w:hAnsi="Garamond" w:cs="Arial"/>
          <w:sz w:val="24"/>
          <w:szCs w:val="24"/>
        </w:rPr>
        <w:t xml:space="preserve">se sentido, </w:t>
      </w:r>
      <w:r w:rsidR="00B7372C" w:rsidRPr="00CE2763">
        <w:rPr>
          <w:rFonts w:ascii="Garamond" w:hAnsi="Garamond" w:cs="Arial"/>
          <w:sz w:val="24"/>
          <w:szCs w:val="24"/>
        </w:rPr>
        <w:t>a</w:t>
      </w:r>
      <w:r w:rsidR="001B47E3" w:rsidRPr="00CE2763">
        <w:rPr>
          <w:rFonts w:ascii="Garamond" w:hAnsi="Garamond" w:cs="Arial"/>
          <w:sz w:val="24"/>
          <w:szCs w:val="24"/>
        </w:rPr>
        <w:t xml:space="preserve">té ao </w:t>
      </w:r>
      <w:r w:rsidR="00B7372C" w:rsidRPr="00CE2763">
        <w:rPr>
          <w:rFonts w:ascii="Garamond" w:hAnsi="Garamond" w:cs="Arial"/>
          <w:sz w:val="24"/>
          <w:szCs w:val="24"/>
        </w:rPr>
        <w:t>momento</w:t>
      </w:r>
      <w:r w:rsidR="00E34DB3" w:rsidRPr="00CE2763">
        <w:rPr>
          <w:rFonts w:ascii="Garamond" w:hAnsi="Garamond" w:cs="Arial"/>
          <w:sz w:val="24"/>
          <w:szCs w:val="24"/>
        </w:rPr>
        <w:t>,</w:t>
      </w:r>
      <w:r w:rsidR="00B7372C" w:rsidRPr="00CE2763">
        <w:rPr>
          <w:rFonts w:ascii="Garamond" w:hAnsi="Garamond" w:cs="Arial"/>
          <w:sz w:val="24"/>
          <w:szCs w:val="24"/>
        </w:rPr>
        <w:t xml:space="preserve"> </w:t>
      </w:r>
      <w:r w:rsidR="00D01B8C" w:rsidRPr="00CE2763">
        <w:rPr>
          <w:rFonts w:ascii="Garamond" w:hAnsi="Garamond" w:cs="Arial"/>
          <w:sz w:val="24"/>
          <w:szCs w:val="24"/>
        </w:rPr>
        <w:t xml:space="preserve">os Estados </w:t>
      </w:r>
      <w:r w:rsidR="001B47E3" w:rsidRPr="00CE2763">
        <w:rPr>
          <w:rFonts w:ascii="Garamond" w:hAnsi="Garamond" w:cs="Arial"/>
          <w:sz w:val="24"/>
          <w:szCs w:val="24"/>
        </w:rPr>
        <w:t>Unidos não</w:t>
      </w:r>
      <w:r w:rsidR="00D01B8C" w:rsidRPr="00CE2763">
        <w:rPr>
          <w:rFonts w:ascii="Garamond" w:hAnsi="Garamond" w:cs="Arial"/>
          <w:sz w:val="24"/>
          <w:szCs w:val="24"/>
        </w:rPr>
        <w:t xml:space="preserve"> ratifica</w:t>
      </w:r>
      <w:r w:rsidR="001B47E3" w:rsidRPr="00CE2763">
        <w:rPr>
          <w:rFonts w:ascii="Garamond" w:hAnsi="Garamond" w:cs="Arial"/>
          <w:sz w:val="24"/>
          <w:szCs w:val="24"/>
        </w:rPr>
        <w:t xml:space="preserve">ram </w:t>
      </w:r>
      <w:r w:rsidR="00D01B8C" w:rsidRPr="00CE2763">
        <w:rPr>
          <w:rFonts w:ascii="Garamond" w:hAnsi="Garamond" w:cs="Arial"/>
          <w:sz w:val="24"/>
          <w:szCs w:val="24"/>
        </w:rPr>
        <w:t xml:space="preserve">a </w:t>
      </w:r>
      <w:r w:rsidR="00B14AA6" w:rsidRPr="00CE2763">
        <w:rPr>
          <w:rFonts w:ascii="Garamond" w:hAnsi="Garamond" w:cs="Arial"/>
          <w:sz w:val="24"/>
          <w:szCs w:val="24"/>
        </w:rPr>
        <w:t>Convenção</w:t>
      </w:r>
      <w:r w:rsidR="00D01B8C" w:rsidRPr="00CE2763">
        <w:rPr>
          <w:rFonts w:ascii="Garamond" w:hAnsi="Garamond" w:cs="Arial"/>
          <w:sz w:val="24"/>
          <w:szCs w:val="24"/>
        </w:rPr>
        <w:t xml:space="preserve"> Americana sobre </w:t>
      </w:r>
      <w:r w:rsidR="00886D6A" w:rsidRPr="00CE2763">
        <w:rPr>
          <w:rFonts w:ascii="Garamond" w:hAnsi="Garamond" w:cs="Arial"/>
          <w:sz w:val="24"/>
          <w:szCs w:val="24"/>
        </w:rPr>
        <w:t>Direito</w:t>
      </w:r>
      <w:r w:rsidR="00D01B8C" w:rsidRPr="00CE2763">
        <w:rPr>
          <w:rFonts w:ascii="Garamond" w:hAnsi="Garamond" w:cs="Arial"/>
          <w:sz w:val="24"/>
          <w:szCs w:val="24"/>
        </w:rPr>
        <w:t>s Humanos, n</w:t>
      </w:r>
      <w:r w:rsidR="001B47E3" w:rsidRPr="00CE2763">
        <w:rPr>
          <w:rFonts w:ascii="Garamond" w:hAnsi="Garamond" w:cs="Arial"/>
          <w:sz w:val="24"/>
          <w:szCs w:val="24"/>
        </w:rPr>
        <w:t xml:space="preserve">em </w:t>
      </w:r>
      <w:r w:rsidR="00D01B8C" w:rsidRPr="00CE2763">
        <w:rPr>
          <w:rFonts w:ascii="Garamond" w:hAnsi="Garamond" w:cs="Arial"/>
          <w:sz w:val="24"/>
          <w:szCs w:val="24"/>
        </w:rPr>
        <w:t xml:space="preserve">a </w:t>
      </w:r>
      <w:r w:rsidR="00B14AA6" w:rsidRPr="00CE2763">
        <w:rPr>
          <w:rFonts w:ascii="Garamond" w:hAnsi="Garamond" w:cs="Arial"/>
          <w:sz w:val="24"/>
          <w:szCs w:val="24"/>
        </w:rPr>
        <w:t>Convenção</w:t>
      </w:r>
      <w:r w:rsidR="00D01B8C" w:rsidRPr="00CE2763">
        <w:rPr>
          <w:rFonts w:ascii="Garamond" w:hAnsi="Garamond" w:cs="Arial"/>
          <w:sz w:val="24"/>
          <w:szCs w:val="24"/>
        </w:rPr>
        <w:t xml:space="preserve"> Interamericana para </w:t>
      </w:r>
      <w:r w:rsidR="003F493C" w:rsidRPr="00CE2763">
        <w:rPr>
          <w:rFonts w:ascii="Garamond" w:hAnsi="Garamond" w:cs="Arial"/>
          <w:sz w:val="24"/>
          <w:szCs w:val="24"/>
        </w:rPr>
        <w:t>Prevenir, Punir e Erradicar</w:t>
      </w:r>
      <w:r w:rsidR="001B47E3" w:rsidRPr="00CE2763">
        <w:rPr>
          <w:rFonts w:ascii="Garamond" w:hAnsi="Garamond" w:cs="Arial"/>
          <w:sz w:val="24"/>
          <w:szCs w:val="24"/>
        </w:rPr>
        <w:t xml:space="preserve"> </w:t>
      </w:r>
      <w:r w:rsidR="00D01B8C" w:rsidRPr="00CE2763">
        <w:rPr>
          <w:rFonts w:ascii="Garamond" w:hAnsi="Garamond" w:cs="Arial"/>
          <w:sz w:val="24"/>
          <w:szCs w:val="24"/>
        </w:rPr>
        <w:t xml:space="preserve">a </w:t>
      </w:r>
      <w:r w:rsidR="000350B1" w:rsidRPr="00CE2763">
        <w:rPr>
          <w:rFonts w:ascii="Garamond" w:hAnsi="Garamond" w:cs="Arial"/>
          <w:sz w:val="24"/>
          <w:szCs w:val="24"/>
        </w:rPr>
        <w:t>Violência</w:t>
      </w:r>
      <w:r w:rsidR="001B47E3" w:rsidRPr="00CE2763">
        <w:rPr>
          <w:rFonts w:ascii="Garamond" w:hAnsi="Garamond" w:cs="Arial"/>
          <w:sz w:val="24"/>
          <w:szCs w:val="24"/>
        </w:rPr>
        <w:t xml:space="preserve"> contra </w:t>
      </w:r>
      <w:r w:rsidR="00D01B8C" w:rsidRPr="00CE2763">
        <w:rPr>
          <w:rFonts w:ascii="Garamond" w:hAnsi="Garamond" w:cs="Arial"/>
          <w:sz w:val="24"/>
          <w:szCs w:val="24"/>
        </w:rPr>
        <w:t xml:space="preserve">a </w:t>
      </w:r>
      <w:r w:rsidR="00AF192F" w:rsidRPr="00CE2763">
        <w:rPr>
          <w:rFonts w:ascii="Garamond" w:hAnsi="Garamond" w:cs="Arial"/>
          <w:sz w:val="24"/>
          <w:szCs w:val="24"/>
        </w:rPr>
        <w:t>Mulher</w:t>
      </w:r>
      <w:r w:rsidR="00D01B8C" w:rsidRPr="00CE2763">
        <w:rPr>
          <w:rFonts w:ascii="Garamond" w:hAnsi="Garamond" w:cs="Arial"/>
          <w:sz w:val="24"/>
          <w:szCs w:val="24"/>
        </w:rPr>
        <w:t xml:space="preserve"> (</w:t>
      </w:r>
      <w:r w:rsidR="008B60D1" w:rsidRPr="00CE2763">
        <w:rPr>
          <w:rFonts w:ascii="Garamond" w:hAnsi="Garamond" w:cs="Arial"/>
          <w:sz w:val="24"/>
          <w:szCs w:val="24"/>
        </w:rPr>
        <w:t>«</w:t>
      </w:r>
      <w:r w:rsidR="00B14AA6" w:rsidRPr="00CE2763">
        <w:rPr>
          <w:rFonts w:ascii="Garamond" w:hAnsi="Garamond" w:cs="Arial"/>
          <w:sz w:val="24"/>
          <w:szCs w:val="24"/>
        </w:rPr>
        <w:t>Convenção</w:t>
      </w:r>
      <w:r w:rsidR="00D01B8C" w:rsidRPr="00CE2763">
        <w:rPr>
          <w:rFonts w:ascii="Garamond" w:hAnsi="Garamond" w:cs="Arial"/>
          <w:sz w:val="24"/>
          <w:szCs w:val="24"/>
        </w:rPr>
        <w:t xml:space="preserve"> de </w:t>
      </w:r>
      <w:r w:rsidR="00BA3CCE" w:rsidRPr="00CE2763">
        <w:rPr>
          <w:rFonts w:ascii="Garamond" w:hAnsi="Garamond" w:cs="Arial"/>
          <w:sz w:val="24"/>
          <w:szCs w:val="24"/>
        </w:rPr>
        <w:t>Belém</w:t>
      </w:r>
      <w:r w:rsidR="00D01B8C" w:rsidRPr="00CE2763">
        <w:rPr>
          <w:rFonts w:ascii="Garamond" w:hAnsi="Garamond" w:cs="Arial"/>
          <w:sz w:val="24"/>
          <w:szCs w:val="24"/>
        </w:rPr>
        <w:t xml:space="preserve"> do Pará</w:t>
      </w:r>
      <w:r w:rsidR="008B60D1" w:rsidRPr="00CE2763">
        <w:rPr>
          <w:rFonts w:ascii="Garamond" w:hAnsi="Garamond" w:cs="Arial"/>
          <w:sz w:val="24"/>
          <w:szCs w:val="24"/>
        </w:rPr>
        <w:t>»</w:t>
      </w:r>
      <w:r w:rsidR="00D01B8C" w:rsidRPr="00CE2763">
        <w:rPr>
          <w:rFonts w:ascii="Garamond" w:hAnsi="Garamond" w:cs="Arial"/>
          <w:sz w:val="24"/>
          <w:szCs w:val="24"/>
        </w:rPr>
        <w:t xml:space="preserve">). </w:t>
      </w:r>
      <w:r w:rsidR="00F13A73" w:rsidRPr="00CE2763">
        <w:rPr>
          <w:rFonts w:ascii="Garamond" w:hAnsi="Garamond" w:cs="Arial"/>
          <w:sz w:val="24"/>
          <w:szCs w:val="24"/>
        </w:rPr>
        <w:t>Da mesma forma,</w:t>
      </w:r>
      <w:r w:rsidR="001B47E3" w:rsidRPr="00CE2763">
        <w:rPr>
          <w:rFonts w:ascii="Garamond" w:hAnsi="Garamond" w:cs="Arial"/>
          <w:sz w:val="24"/>
          <w:szCs w:val="24"/>
        </w:rPr>
        <w:t xml:space="preserve"> embora tenha sido o </w:t>
      </w:r>
      <w:r w:rsidR="00F96DD1" w:rsidRPr="00CE2763">
        <w:rPr>
          <w:rFonts w:ascii="Garamond" w:hAnsi="Garamond" w:cs="Arial"/>
          <w:sz w:val="24"/>
          <w:szCs w:val="24"/>
        </w:rPr>
        <w:t>signatário</w:t>
      </w:r>
      <w:r w:rsidR="00D01B8C" w:rsidRPr="00CE2763">
        <w:rPr>
          <w:rFonts w:ascii="Garamond" w:hAnsi="Garamond" w:cs="Arial"/>
          <w:sz w:val="24"/>
          <w:szCs w:val="24"/>
        </w:rPr>
        <w:t xml:space="preserve"> original da </w:t>
      </w:r>
      <w:r w:rsidR="00B14AA6" w:rsidRPr="00CE2763">
        <w:rPr>
          <w:rFonts w:ascii="Garamond" w:hAnsi="Garamond" w:cs="Arial"/>
          <w:sz w:val="24"/>
          <w:szCs w:val="24"/>
        </w:rPr>
        <w:t>Convenção</w:t>
      </w:r>
      <w:r w:rsidR="00F96DD1" w:rsidRPr="00CE2763">
        <w:rPr>
          <w:rFonts w:ascii="Garamond" w:hAnsi="Garamond" w:cs="Arial"/>
          <w:sz w:val="24"/>
          <w:szCs w:val="24"/>
        </w:rPr>
        <w:t xml:space="preserve"> sobre </w:t>
      </w:r>
      <w:r w:rsidR="00D01B8C" w:rsidRPr="00CE2763">
        <w:rPr>
          <w:rFonts w:ascii="Garamond" w:hAnsi="Garamond" w:cs="Arial"/>
          <w:sz w:val="24"/>
          <w:szCs w:val="24"/>
        </w:rPr>
        <w:t xml:space="preserve">a </w:t>
      </w:r>
      <w:r w:rsidR="008E7A2A" w:rsidRPr="00CE2763">
        <w:rPr>
          <w:rFonts w:ascii="Garamond" w:hAnsi="Garamond" w:cs="Arial"/>
          <w:sz w:val="24"/>
          <w:szCs w:val="24"/>
        </w:rPr>
        <w:t>Eliminação</w:t>
      </w:r>
      <w:r w:rsidR="00F96DD1" w:rsidRPr="00CE2763">
        <w:rPr>
          <w:rFonts w:ascii="Garamond" w:hAnsi="Garamond" w:cs="Arial"/>
          <w:sz w:val="24"/>
          <w:szCs w:val="24"/>
        </w:rPr>
        <w:t xml:space="preserve"> de Todas </w:t>
      </w:r>
      <w:r w:rsidR="00D01B8C" w:rsidRPr="00CE2763">
        <w:rPr>
          <w:rFonts w:ascii="Garamond" w:hAnsi="Garamond" w:cs="Arial"/>
          <w:sz w:val="24"/>
          <w:szCs w:val="24"/>
        </w:rPr>
        <w:t xml:space="preserve">as Formas de </w:t>
      </w:r>
      <w:r w:rsidRPr="00CE2763">
        <w:rPr>
          <w:rFonts w:ascii="Garamond" w:hAnsi="Garamond" w:cs="Arial"/>
          <w:sz w:val="24"/>
          <w:szCs w:val="24"/>
        </w:rPr>
        <w:t>Discriminação</w:t>
      </w:r>
      <w:r w:rsidR="00F96DD1" w:rsidRPr="00CE2763">
        <w:rPr>
          <w:rFonts w:ascii="Garamond" w:hAnsi="Garamond" w:cs="Arial"/>
          <w:sz w:val="24"/>
          <w:szCs w:val="24"/>
        </w:rPr>
        <w:t xml:space="preserve"> Contra </w:t>
      </w:r>
      <w:r w:rsidR="00D01B8C" w:rsidRPr="00CE2763">
        <w:rPr>
          <w:rFonts w:ascii="Garamond" w:hAnsi="Garamond" w:cs="Arial"/>
          <w:sz w:val="24"/>
          <w:szCs w:val="24"/>
        </w:rPr>
        <w:t xml:space="preserve">a </w:t>
      </w:r>
      <w:r w:rsidR="00AF192F" w:rsidRPr="00CE2763">
        <w:rPr>
          <w:rFonts w:ascii="Garamond" w:hAnsi="Garamond" w:cs="Arial"/>
          <w:sz w:val="24"/>
          <w:szCs w:val="24"/>
        </w:rPr>
        <w:t>Mulher</w:t>
      </w:r>
      <w:r w:rsidR="00D01B8C" w:rsidRPr="00CE2763">
        <w:rPr>
          <w:rFonts w:ascii="Garamond" w:hAnsi="Garamond" w:cs="Arial"/>
          <w:sz w:val="24"/>
          <w:szCs w:val="24"/>
        </w:rPr>
        <w:t xml:space="preserve"> (CEDAW, p</w:t>
      </w:r>
      <w:r w:rsidR="00F96DD1" w:rsidRPr="00CE2763">
        <w:rPr>
          <w:rFonts w:ascii="Garamond" w:hAnsi="Garamond" w:cs="Arial"/>
          <w:sz w:val="24"/>
          <w:szCs w:val="24"/>
        </w:rPr>
        <w:t xml:space="preserve">elas </w:t>
      </w:r>
      <w:r w:rsidR="00D01B8C" w:rsidRPr="00CE2763">
        <w:rPr>
          <w:rFonts w:ascii="Garamond" w:hAnsi="Garamond" w:cs="Arial"/>
          <w:sz w:val="24"/>
          <w:szCs w:val="24"/>
        </w:rPr>
        <w:t>su</w:t>
      </w:r>
      <w:r w:rsidR="00F96DD1" w:rsidRPr="00CE2763">
        <w:rPr>
          <w:rFonts w:ascii="Garamond" w:hAnsi="Garamond" w:cs="Arial"/>
          <w:sz w:val="24"/>
          <w:szCs w:val="24"/>
        </w:rPr>
        <w:t>a</w:t>
      </w:r>
      <w:r w:rsidR="00D01B8C" w:rsidRPr="00CE2763">
        <w:rPr>
          <w:rFonts w:ascii="Garamond" w:hAnsi="Garamond" w:cs="Arial"/>
          <w:sz w:val="24"/>
          <w:szCs w:val="24"/>
        </w:rPr>
        <w:t xml:space="preserve">s siglas </w:t>
      </w:r>
      <w:r w:rsidR="00F96DD1" w:rsidRPr="00CE2763">
        <w:rPr>
          <w:rFonts w:ascii="Garamond" w:hAnsi="Garamond" w:cs="Arial"/>
          <w:sz w:val="24"/>
          <w:szCs w:val="24"/>
        </w:rPr>
        <w:t>na língua inglesa</w:t>
      </w:r>
      <w:r w:rsidR="00D01B8C" w:rsidRPr="00CE2763">
        <w:rPr>
          <w:rFonts w:ascii="Garamond" w:hAnsi="Garamond" w:cs="Arial"/>
          <w:sz w:val="24"/>
          <w:szCs w:val="24"/>
        </w:rPr>
        <w:t xml:space="preserve">) </w:t>
      </w:r>
      <w:r w:rsidR="00F96DD1" w:rsidRPr="00CE2763">
        <w:rPr>
          <w:rFonts w:ascii="Garamond" w:hAnsi="Garamond" w:cs="Arial"/>
          <w:sz w:val="24"/>
          <w:szCs w:val="24"/>
        </w:rPr>
        <w:t xml:space="preserve">no </w:t>
      </w:r>
      <w:r w:rsidR="002C7510" w:rsidRPr="00CE2763">
        <w:rPr>
          <w:rFonts w:ascii="Garamond" w:hAnsi="Garamond" w:cs="Arial"/>
          <w:sz w:val="24"/>
          <w:szCs w:val="24"/>
        </w:rPr>
        <w:t>ano</w:t>
      </w:r>
      <w:r w:rsidR="00F96DD1" w:rsidRPr="00CE2763">
        <w:rPr>
          <w:rFonts w:ascii="Garamond" w:hAnsi="Garamond" w:cs="Arial"/>
          <w:sz w:val="24"/>
          <w:szCs w:val="24"/>
        </w:rPr>
        <w:t xml:space="preserve"> de</w:t>
      </w:r>
      <w:r w:rsidR="00D01B8C" w:rsidRPr="00CE2763">
        <w:rPr>
          <w:rFonts w:ascii="Garamond" w:hAnsi="Garamond" w:cs="Arial"/>
          <w:sz w:val="24"/>
          <w:szCs w:val="24"/>
        </w:rPr>
        <w:t xml:space="preserve"> 1980, n</w:t>
      </w:r>
      <w:r w:rsidR="00F96DD1" w:rsidRPr="00CE2763">
        <w:rPr>
          <w:rFonts w:ascii="Garamond" w:hAnsi="Garamond" w:cs="Arial"/>
          <w:sz w:val="24"/>
          <w:szCs w:val="24"/>
        </w:rPr>
        <w:t>ã</w:t>
      </w:r>
      <w:r w:rsidR="00D01B8C" w:rsidRPr="00CE2763">
        <w:rPr>
          <w:rFonts w:ascii="Garamond" w:hAnsi="Garamond" w:cs="Arial"/>
          <w:sz w:val="24"/>
          <w:szCs w:val="24"/>
        </w:rPr>
        <w:t xml:space="preserve">o </w:t>
      </w:r>
      <w:r w:rsidR="00B7372C" w:rsidRPr="00CE2763">
        <w:rPr>
          <w:rFonts w:ascii="Garamond" w:hAnsi="Garamond" w:cs="Arial"/>
          <w:sz w:val="24"/>
          <w:szCs w:val="24"/>
        </w:rPr>
        <w:t>particip</w:t>
      </w:r>
      <w:r w:rsidR="00F96DD1" w:rsidRPr="00CE2763">
        <w:rPr>
          <w:rFonts w:ascii="Garamond" w:hAnsi="Garamond" w:cs="Arial"/>
          <w:sz w:val="24"/>
          <w:szCs w:val="24"/>
        </w:rPr>
        <w:t xml:space="preserve">ou na </w:t>
      </w:r>
      <w:r w:rsidR="00D01B8C" w:rsidRPr="00CE2763">
        <w:rPr>
          <w:rFonts w:ascii="Garamond" w:hAnsi="Garamond" w:cs="Arial"/>
          <w:sz w:val="24"/>
          <w:szCs w:val="24"/>
        </w:rPr>
        <w:t>su</w:t>
      </w:r>
      <w:r w:rsidR="00F96DD1" w:rsidRPr="00CE2763">
        <w:rPr>
          <w:rFonts w:ascii="Garamond" w:hAnsi="Garamond" w:cs="Arial"/>
          <w:sz w:val="24"/>
          <w:szCs w:val="24"/>
        </w:rPr>
        <w:t>a</w:t>
      </w:r>
      <w:r w:rsidR="00D01B8C" w:rsidRPr="00CE2763">
        <w:rPr>
          <w:rFonts w:ascii="Garamond" w:hAnsi="Garamond" w:cs="Arial"/>
          <w:sz w:val="24"/>
          <w:szCs w:val="24"/>
        </w:rPr>
        <w:t xml:space="preserve"> </w:t>
      </w:r>
      <w:r w:rsidR="00F13A73" w:rsidRPr="00CE2763">
        <w:rPr>
          <w:rFonts w:ascii="Garamond" w:hAnsi="Garamond" w:cs="Arial"/>
          <w:sz w:val="24"/>
          <w:szCs w:val="24"/>
        </w:rPr>
        <w:t xml:space="preserve">consequente </w:t>
      </w:r>
      <w:r w:rsidR="00D96FD0" w:rsidRPr="00CE2763">
        <w:rPr>
          <w:rFonts w:ascii="Garamond" w:hAnsi="Garamond" w:cs="Arial"/>
          <w:sz w:val="24"/>
          <w:szCs w:val="24"/>
        </w:rPr>
        <w:t>ratificação</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w:t>
      </w:r>
      <w:r w:rsidR="00B14AA6" w:rsidRPr="00CE2763">
        <w:rPr>
          <w:rFonts w:ascii="Garamond" w:hAnsi="Garamond" w:cs="Arial"/>
          <w:sz w:val="24"/>
          <w:szCs w:val="24"/>
        </w:rPr>
        <w:t>exigibilidade</w:t>
      </w:r>
      <w:r w:rsidR="00D01B8C" w:rsidRPr="00CE2763">
        <w:rPr>
          <w:rFonts w:ascii="Garamond" w:hAnsi="Garamond" w:cs="Arial"/>
          <w:sz w:val="24"/>
          <w:szCs w:val="24"/>
        </w:rPr>
        <w:t xml:space="preserve">. </w:t>
      </w:r>
      <w:r w:rsidR="00F13A73" w:rsidRPr="00CE2763">
        <w:rPr>
          <w:rFonts w:ascii="Garamond" w:hAnsi="Garamond" w:cs="Arial"/>
          <w:sz w:val="24"/>
          <w:szCs w:val="24"/>
        </w:rPr>
        <w:t xml:space="preserve">Por conseguinte, </w:t>
      </w:r>
      <w:r w:rsidR="00B7372C" w:rsidRPr="00CE2763">
        <w:rPr>
          <w:rFonts w:ascii="Garamond" w:hAnsi="Garamond" w:cs="Arial"/>
          <w:sz w:val="24"/>
          <w:szCs w:val="24"/>
        </w:rPr>
        <w:t>e</w:t>
      </w:r>
      <w:r w:rsidR="00D01B8C" w:rsidRPr="00CE2763">
        <w:rPr>
          <w:rFonts w:ascii="Garamond" w:hAnsi="Garamond" w:cs="Arial"/>
          <w:sz w:val="24"/>
          <w:szCs w:val="24"/>
        </w:rPr>
        <w:t xml:space="preserve">stas </w:t>
      </w:r>
      <w:r w:rsidR="002C7510" w:rsidRPr="00CE2763">
        <w:rPr>
          <w:rFonts w:ascii="Garamond" w:hAnsi="Garamond" w:cs="Arial"/>
          <w:sz w:val="24"/>
          <w:szCs w:val="24"/>
        </w:rPr>
        <w:t>ações</w:t>
      </w:r>
      <w:r w:rsidR="00D01B8C" w:rsidRPr="00CE2763">
        <w:rPr>
          <w:rFonts w:ascii="Garamond" w:hAnsi="Garamond" w:cs="Arial"/>
          <w:sz w:val="24"/>
          <w:szCs w:val="24"/>
        </w:rPr>
        <w:t xml:space="preserve"> </w:t>
      </w:r>
      <w:r w:rsidR="003F012B" w:rsidRPr="00CE2763">
        <w:rPr>
          <w:rFonts w:ascii="Garamond" w:hAnsi="Garamond" w:cs="Arial"/>
          <w:sz w:val="24"/>
          <w:szCs w:val="24"/>
        </w:rPr>
        <w:t>afetam</w:t>
      </w:r>
      <w:r w:rsidR="00F96DD1" w:rsidRPr="00CE2763">
        <w:rPr>
          <w:rFonts w:ascii="Garamond" w:hAnsi="Garamond" w:cs="Arial"/>
          <w:sz w:val="24"/>
          <w:szCs w:val="24"/>
        </w:rPr>
        <w:t xml:space="preserve"> </w:t>
      </w:r>
      <w:r w:rsidRPr="00CE2763">
        <w:rPr>
          <w:rFonts w:ascii="Garamond" w:hAnsi="Garamond" w:cs="Arial"/>
          <w:sz w:val="24"/>
          <w:szCs w:val="24"/>
        </w:rPr>
        <w:t>Porto</w:t>
      </w:r>
      <w:r w:rsidR="00D01B8C" w:rsidRPr="00CE2763">
        <w:rPr>
          <w:rFonts w:ascii="Garamond" w:hAnsi="Garamond" w:cs="Arial"/>
          <w:sz w:val="24"/>
          <w:szCs w:val="24"/>
        </w:rPr>
        <w:t xml:space="preserve"> Rico </w:t>
      </w:r>
      <w:r w:rsidR="00F96DD1" w:rsidRPr="00CE2763">
        <w:rPr>
          <w:rFonts w:ascii="Garamond" w:hAnsi="Garamond" w:cs="Arial"/>
          <w:sz w:val="24"/>
          <w:szCs w:val="24"/>
        </w:rPr>
        <w:t xml:space="preserve">na </w:t>
      </w:r>
      <w:r w:rsidR="00D01B8C" w:rsidRPr="00CE2763">
        <w:rPr>
          <w:rFonts w:ascii="Garamond" w:hAnsi="Garamond" w:cs="Arial"/>
          <w:sz w:val="24"/>
          <w:szCs w:val="24"/>
        </w:rPr>
        <w:t>su</w:t>
      </w:r>
      <w:r w:rsidR="00F96DD1" w:rsidRPr="00CE2763">
        <w:rPr>
          <w:rFonts w:ascii="Garamond" w:hAnsi="Garamond" w:cs="Arial"/>
          <w:sz w:val="24"/>
          <w:szCs w:val="24"/>
        </w:rPr>
        <w:t>a</w:t>
      </w:r>
      <w:r w:rsidR="00D01B8C" w:rsidRPr="00CE2763">
        <w:rPr>
          <w:rFonts w:ascii="Garamond" w:hAnsi="Garamond" w:cs="Arial"/>
          <w:sz w:val="24"/>
          <w:szCs w:val="24"/>
        </w:rPr>
        <w:t xml:space="preserve"> </w:t>
      </w:r>
      <w:r w:rsidR="00B14AA6" w:rsidRPr="00CE2763">
        <w:rPr>
          <w:rFonts w:ascii="Garamond" w:hAnsi="Garamond" w:cs="Arial"/>
          <w:sz w:val="24"/>
          <w:szCs w:val="24"/>
        </w:rPr>
        <w:t>aplicação</w:t>
      </w:r>
      <w:r w:rsidR="00B7372C" w:rsidRPr="00CE2763">
        <w:rPr>
          <w:rFonts w:ascii="Garamond" w:hAnsi="Garamond" w:cs="Arial"/>
          <w:sz w:val="24"/>
          <w:szCs w:val="24"/>
        </w:rPr>
        <w:t>,</w:t>
      </w:r>
      <w:r w:rsidR="00B30286" w:rsidRPr="00CE2763">
        <w:rPr>
          <w:rFonts w:ascii="Garamond" w:hAnsi="Garamond" w:cs="Arial"/>
          <w:sz w:val="24"/>
          <w:szCs w:val="24"/>
        </w:rPr>
        <w:t xml:space="preserve"> p</w:t>
      </w:r>
      <w:r w:rsidR="00F96DD1" w:rsidRPr="00CE2763">
        <w:rPr>
          <w:rFonts w:ascii="Garamond" w:hAnsi="Garamond" w:cs="Arial"/>
          <w:sz w:val="24"/>
          <w:szCs w:val="24"/>
        </w:rPr>
        <w:t>e</w:t>
      </w:r>
      <w:r w:rsidR="00B30286" w:rsidRPr="00CE2763">
        <w:rPr>
          <w:rFonts w:ascii="Garamond" w:hAnsi="Garamond" w:cs="Arial"/>
          <w:sz w:val="24"/>
          <w:szCs w:val="24"/>
        </w:rPr>
        <w:t>lo que</w:t>
      </w:r>
      <w:r w:rsidR="00F96DD1" w:rsidRPr="00CE2763">
        <w:rPr>
          <w:rFonts w:ascii="Garamond" w:hAnsi="Garamond" w:cs="Arial"/>
          <w:sz w:val="24"/>
          <w:szCs w:val="24"/>
        </w:rPr>
        <w:t xml:space="preserve"> </w:t>
      </w:r>
      <w:r w:rsidR="00D01B8C" w:rsidRPr="00CE2763">
        <w:rPr>
          <w:rFonts w:ascii="Garamond" w:hAnsi="Garamond" w:cs="Arial"/>
          <w:sz w:val="24"/>
          <w:szCs w:val="24"/>
        </w:rPr>
        <w:t xml:space="preserve">a falta de </w:t>
      </w:r>
      <w:r w:rsidR="00D96FD0" w:rsidRPr="00CE2763">
        <w:rPr>
          <w:rFonts w:ascii="Garamond" w:hAnsi="Garamond" w:cs="Arial"/>
          <w:sz w:val="24"/>
          <w:szCs w:val="24"/>
        </w:rPr>
        <w:t>ratificação</w:t>
      </w:r>
      <w:r w:rsidR="00D01B8C" w:rsidRPr="00CE2763">
        <w:rPr>
          <w:rFonts w:ascii="Garamond" w:hAnsi="Garamond" w:cs="Arial"/>
          <w:sz w:val="24"/>
          <w:szCs w:val="24"/>
        </w:rPr>
        <w:t xml:space="preserve"> d</w:t>
      </w:r>
      <w:r w:rsidR="00B30286" w:rsidRPr="00CE2763">
        <w:rPr>
          <w:rFonts w:ascii="Garamond" w:hAnsi="Garamond" w:cs="Arial"/>
          <w:sz w:val="24"/>
          <w:szCs w:val="24"/>
        </w:rPr>
        <w:t>este</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w:t>
      </w:r>
      <w:r w:rsidR="00F96DD1" w:rsidRPr="00CE2763">
        <w:rPr>
          <w:rFonts w:ascii="Garamond" w:hAnsi="Garamond" w:cs="Arial"/>
          <w:sz w:val="24"/>
          <w:szCs w:val="24"/>
        </w:rPr>
        <w:t xml:space="preserve">de </w:t>
      </w:r>
      <w:r w:rsidR="001F2F8B" w:rsidRPr="00CE2763">
        <w:rPr>
          <w:rFonts w:ascii="Garamond" w:hAnsi="Garamond" w:cs="Arial"/>
          <w:sz w:val="24"/>
          <w:szCs w:val="24"/>
        </w:rPr>
        <w:t>outro</w:t>
      </w:r>
      <w:r w:rsidR="00D01B8C" w:rsidRPr="00CE2763">
        <w:rPr>
          <w:rFonts w:ascii="Garamond" w:hAnsi="Garamond" w:cs="Arial"/>
          <w:sz w:val="24"/>
          <w:szCs w:val="24"/>
        </w:rPr>
        <w:t>s tratados fundamenta</w:t>
      </w:r>
      <w:r w:rsidR="00F96DD1" w:rsidRPr="00CE2763">
        <w:rPr>
          <w:rFonts w:ascii="Garamond" w:hAnsi="Garamond" w:cs="Arial"/>
          <w:sz w:val="24"/>
          <w:szCs w:val="24"/>
        </w:rPr>
        <w:t xml:space="preserve">-se na </w:t>
      </w:r>
      <w:r w:rsidR="007578C6" w:rsidRPr="00CE2763">
        <w:rPr>
          <w:rFonts w:ascii="Garamond" w:hAnsi="Garamond" w:cs="Arial"/>
          <w:sz w:val="24"/>
          <w:szCs w:val="24"/>
        </w:rPr>
        <w:t>existência</w:t>
      </w:r>
      <w:r w:rsidR="00D01B8C" w:rsidRPr="00CE2763">
        <w:rPr>
          <w:rFonts w:ascii="Garamond" w:hAnsi="Garamond" w:cs="Arial"/>
          <w:sz w:val="24"/>
          <w:szCs w:val="24"/>
        </w:rPr>
        <w:t xml:space="preserve"> de </w:t>
      </w:r>
      <w:r w:rsidR="002C7510" w:rsidRPr="00CE2763">
        <w:rPr>
          <w:rFonts w:ascii="Garamond" w:hAnsi="Garamond" w:cs="Arial"/>
          <w:sz w:val="24"/>
          <w:szCs w:val="24"/>
        </w:rPr>
        <w:t>legislação</w:t>
      </w:r>
      <w:r w:rsidR="00D01B8C" w:rsidRPr="00CE2763">
        <w:rPr>
          <w:rFonts w:ascii="Garamond" w:hAnsi="Garamond" w:cs="Arial"/>
          <w:sz w:val="24"/>
          <w:szCs w:val="24"/>
        </w:rPr>
        <w:t xml:space="preserve"> </w:t>
      </w:r>
      <w:r w:rsidR="00F96DD1" w:rsidRPr="00CE2763">
        <w:rPr>
          <w:rFonts w:ascii="Garamond" w:hAnsi="Garamond" w:cs="Arial"/>
          <w:sz w:val="24"/>
          <w:szCs w:val="24"/>
        </w:rPr>
        <w:t>ampla</w:t>
      </w:r>
      <w:r w:rsidR="00D01B8C" w:rsidRPr="00CE2763">
        <w:rPr>
          <w:rFonts w:ascii="Garamond" w:hAnsi="Garamond" w:cs="Arial"/>
          <w:sz w:val="24"/>
          <w:szCs w:val="24"/>
        </w:rPr>
        <w:t xml:space="preserve"> </w:t>
      </w:r>
      <w:r w:rsidR="00497503" w:rsidRPr="00CE2763">
        <w:rPr>
          <w:rFonts w:ascii="Garamond" w:hAnsi="Garamond" w:cs="Arial"/>
          <w:sz w:val="24"/>
          <w:szCs w:val="24"/>
        </w:rPr>
        <w:t>e</w:t>
      </w:r>
      <w:r w:rsidR="00D01B8C" w:rsidRPr="00CE2763">
        <w:rPr>
          <w:rFonts w:ascii="Garamond" w:hAnsi="Garamond" w:cs="Arial"/>
          <w:sz w:val="24"/>
          <w:szCs w:val="24"/>
        </w:rPr>
        <w:t xml:space="preserve"> robusta, a </w:t>
      </w:r>
      <w:r w:rsidRPr="00CE2763">
        <w:rPr>
          <w:rFonts w:ascii="Garamond" w:hAnsi="Garamond" w:cs="Arial"/>
          <w:sz w:val="24"/>
          <w:szCs w:val="24"/>
        </w:rPr>
        <w:t>nível</w:t>
      </w:r>
      <w:r w:rsidR="00D01B8C" w:rsidRPr="00CE2763">
        <w:rPr>
          <w:rFonts w:ascii="Garamond" w:hAnsi="Garamond" w:cs="Arial"/>
          <w:sz w:val="24"/>
          <w:szCs w:val="24"/>
        </w:rPr>
        <w:t xml:space="preserve"> nacional </w:t>
      </w:r>
      <w:r w:rsidR="00497503" w:rsidRPr="00CE2763">
        <w:rPr>
          <w:rFonts w:ascii="Garamond" w:hAnsi="Garamond" w:cs="Arial"/>
          <w:sz w:val="24"/>
          <w:szCs w:val="24"/>
        </w:rPr>
        <w:t>e</w:t>
      </w:r>
      <w:r w:rsidR="00D01B8C" w:rsidRPr="00CE2763">
        <w:rPr>
          <w:rFonts w:ascii="Garamond" w:hAnsi="Garamond" w:cs="Arial"/>
          <w:sz w:val="24"/>
          <w:szCs w:val="24"/>
        </w:rPr>
        <w:t xml:space="preserve"> estatal.</w:t>
      </w:r>
    </w:p>
    <w:p w:rsidR="00B30286" w:rsidRPr="003A1174" w:rsidRDefault="00F96DD1" w:rsidP="00F96DD1">
      <w:pPr>
        <w:spacing w:before="240" w:line="240" w:lineRule="auto"/>
        <w:jc w:val="both"/>
        <w:rPr>
          <w:rFonts w:ascii="Garamond" w:hAnsi="Garamond" w:cs="Arial"/>
          <w:sz w:val="24"/>
          <w:szCs w:val="24"/>
        </w:rPr>
      </w:pPr>
      <w:r w:rsidRPr="003A1174">
        <w:rPr>
          <w:rFonts w:ascii="Garamond" w:hAnsi="Garamond" w:cs="Arial"/>
          <w:sz w:val="24"/>
          <w:szCs w:val="24"/>
        </w:rPr>
        <w:t>Embora</w:t>
      </w:r>
      <w:r w:rsidR="00054C2B">
        <w:rPr>
          <w:rFonts w:ascii="Garamond" w:hAnsi="Garamond" w:cs="Arial"/>
          <w:sz w:val="24"/>
          <w:szCs w:val="24"/>
        </w:rPr>
        <w:t>,</w:t>
      </w:r>
      <w:r w:rsidRPr="003A1174">
        <w:rPr>
          <w:rFonts w:ascii="Garamond" w:hAnsi="Garamond" w:cs="Arial"/>
          <w:sz w:val="24"/>
          <w:szCs w:val="24"/>
        </w:rPr>
        <w:t xml:space="preserve"> </w:t>
      </w:r>
      <w:r w:rsidR="00FB09CA" w:rsidRPr="003A1174">
        <w:rPr>
          <w:rFonts w:ascii="Garamond" w:hAnsi="Garamond" w:cs="Arial"/>
          <w:sz w:val="24"/>
          <w:szCs w:val="24"/>
        </w:rPr>
        <w:t>atual</w:t>
      </w:r>
      <w:r w:rsidR="00D01B8C" w:rsidRPr="003A1174">
        <w:rPr>
          <w:rFonts w:ascii="Garamond" w:hAnsi="Garamond" w:cs="Arial"/>
          <w:sz w:val="24"/>
          <w:szCs w:val="24"/>
        </w:rPr>
        <w:t>mente</w:t>
      </w:r>
      <w:r w:rsidR="00054C2B">
        <w:rPr>
          <w:rFonts w:ascii="Garamond" w:hAnsi="Garamond" w:cs="Arial"/>
          <w:sz w:val="24"/>
          <w:szCs w:val="24"/>
        </w:rPr>
        <w:t>,</w:t>
      </w:r>
      <w:r w:rsidR="00D01B8C" w:rsidRPr="003A1174">
        <w:rPr>
          <w:rFonts w:ascii="Garamond" w:hAnsi="Garamond" w:cs="Arial"/>
          <w:sz w:val="24"/>
          <w:szCs w:val="24"/>
        </w:rPr>
        <w:t xml:space="preserve"> nos </w:t>
      </w:r>
      <w:r w:rsidR="00B30286" w:rsidRPr="003A1174">
        <w:rPr>
          <w:rFonts w:ascii="Garamond" w:hAnsi="Garamond" w:cs="Arial"/>
          <w:sz w:val="24"/>
          <w:szCs w:val="24"/>
        </w:rPr>
        <w:t>apo</w:t>
      </w:r>
      <w:r w:rsidRPr="003A1174">
        <w:rPr>
          <w:rFonts w:ascii="Garamond" w:hAnsi="Garamond" w:cs="Arial"/>
          <w:sz w:val="24"/>
          <w:szCs w:val="24"/>
        </w:rPr>
        <w:t xml:space="preserve">iemos na </w:t>
      </w:r>
      <w:r w:rsidR="00D15AFF" w:rsidRPr="003A1174">
        <w:rPr>
          <w:rFonts w:ascii="Garamond" w:hAnsi="Garamond" w:cs="Arial"/>
          <w:sz w:val="24"/>
          <w:szCs w:val="24"/>
        </w:rPr>
        <w:t>segurança</w:t>
      </w:r>
      <w:r w:rsidR="00E34DB3" w:rsidRPr="003A1174">
        <w:rPr>
          <w:rFonts w:ascii="Garamond" w:hAnsi="Garamond" w:cs="Arial"/>
          <w:sz w:val="24"/>
          <w:szCs w:val="24"/>
        </w:rPr>
        <w:t>,</w:t>
      </w:r>
      <w:r w:rsidR="00D01B8C" w:rsidRPr="003A1174">
        <w:rPr>
          <w:rFonts w:ascii="Garamond" w:hAnsi="Garamond" w:cs="Arial"/>
          <w:sz w:val="24"/>
          <w:szCs w:val="24"/>
        </w:rPr>
        <w:t xml:space="preserve"> que nos </w:t>
      </w:r>
      <w:r w:rsidRPr="003A1174">
        <w:rPr>
          <w:rFonts w:ascii="Garamond" w:hAnsi="Garamond" w:cs="Arial"/>
          <w:sz w:val="24"/>
          <w:szCs w:val="24"/>
        </w:rPr>
        <w:t xml:space="preserve">proporciona o </w:t>
      </w:r>
      <w:r w:rsidR="00D01B8C" w:rsidRPr="003A1174">
        <w:rPr>
          <w:rFonts w:ascii="Garamond" w:hAnsi="Garamond" w:cs="Arial"/>
          <w:sz w:val="24"/>
          <w:szCs w:val="24"/>
        </w:rPr>
        <w:t xml:space="preserve">sistema judicial para </w:t>
      </w:r>
      <w:r w:rsidRPr="003A1174">
        <w:rPr>
          <w:rFonts w:ascii="Garamond" w:hAnsi="Garamond" w:cs="Arial"/>
          <w:sz w:val="24"/>
          <w:szCs w:val="24"/>
        </w:rPr>
        <w:t xml:space="preserve">assegurar o </w:t>
      </w:r>
      <w:r w:rsidR="00C86C58" w:rsidRPr="003A1174">
        <w:rPr>
          <w:rFonts w:ascii="Garamond" w:hAnsi="Garamond" w:cs="Arial"/>
          <w:sz w:val="24"/>
          <w:szCs w:val="24"/>
        </w:rPr>
        <w:t>ordenamento</w:t>
      </w:r>
      <w:r w:rsidR="00D01B8C" w:rsidRPr="003A1174">
        <w:rPr>
          <w:rFonts w:ascii="Garamond" w:hAnsi="Garamond" w:cs="Arial"/>
          <w:sz w:val="24"/>
          <w:szCs w:val="24"/>
        </w:rPr>
        <w:t xml:space="preserve"> </w:t>
      </w:r>
      <w:r w:rsidR="00BA3CCE" w:rsidRPr="003A1174">
        <w:rPr>
          <w:rFonts w:ascii="Garamond" w:hAnsi="Garamond" w:cs="Arial"/>
          <w:sz w:val="24"/>
          <w:szCs w:val="24"/>
        </w:rPr>
        <w:t>construído</w:t>
      </w:r>
      <w:r w:rsidR="00D01B8C" w:rsidRPr="003A1174">
        <w:rPr>
          <w:rFonts w:ascii="Garamond" w:hAnsi="Garamond" w:cs="Arial"/>
          <w:sz w:val="24"/>
          <w:szCs w:val="24"/>
        </w:rPr>
        <w:t xml:space="preserve">, </w:t>
      </w:r>
      <w:r w:rsidRPr="003A1174">
        <w:rPr>
          <w:rFonts w:ascii="Garamond" w:hAnsi="Garamond" w:cs="Arial"/>
          <w:sz w:val="24"/>
          <w:szCs w:val="24"/>
        </w:rPr>
        <w:t>i</w:t>
      </w:r>
      <w:r w:rsidR="00D01B8C" w:rsidRPr="003A1174">
        <w:rPr>
          <w:rFonts w:ascii="Garamond" w:hAnsi="Garamond" w:cs="Arial"/>
          <w:sz w:val="24"/>
          <w:szCs w:val="24"/>
        </w:rPr>
        <w:t>st</w:t>
      </w:r>
      <w:r w:rsidRPr="003A1174">
        <w:rPr>
          <w:rFonts w:ascii="Garamond" w:hAnsi="Garamond" w:cs="Arial"/>
          <w:sz w:val="24"/>
          <w:szCs w:val="24"/>
        </w:rPr>
        <w:t xml:space="preserve">o </w:t>
      </w:r>
      <w:r w:rsidR="00D01B8C" w:rsidRPr="003A1174">
        <w:rPr>
          <w:rFonts w:ascii="Garamond" w:hAnsi="Garamond" w:cs="Arial"/>
          <w:sz w:val="24"/>
          <w:szCs w:val="24"/>
        </w:rPr>
        <w:t>n</w:t>
      </w:r>
      <w:r w:rsidRPr="003A1174">
        <w:rPr>
          <w:rFonts w:ascii="Garamond" w:hAnsi="Garamond" w:cs="Arial"/>
          <w:sz w:val="24"/>
          <w:szCs w:val="24"/>
        </w:rPr>
        <w:t>ã</w:t>
      </w:r>
      <w:r w:rsidR="00D01B8C" w:rsidRPr="003A1174">
        <w:rPr>
          <w:rFonts w:ascii="Garamond" w:hAnsi="Garamond" w:cs="Arial"/>
          <w:sz w:val="24"/>
          <w:szCs w:val="24"/>
        </w:rPr>
        <w:t xml:space="preserve">o </w:t>
      </w:r>
      <w:r w:rsidRPr="003A1174">
        <w:rPr>
          <w:rFonts w:ascii="Garamond" w:hAnsi="Garamond" w:cs="Arial"/>
          <w:sz w:val="24"/>
          <w:szCs w:val="24"/>
        </w:rPr>
        <w:t xml:space="preserve">advém </w:t>
      </w:r>
      <w:r w:rsidR="008A3DA2" w:rsidRPr="003A1174">
        <w:rPr>
          <w:rFonts w:ascii="Garamond" w:hAnsi="Garamond" w:cs="Arial"/>
          <w:sz w:val="24"/>
          <w:szCs w:val="24"/>
        </w:rPr>
        <w:t>do</w:t>
      </w:r>
      <w:r w:rsidR="00D01B8C" w:rsidRPr="003A1174">
        <w:rPr>
          <w:rFonts w:ascii="Garamond" w:hAnsi="Garamond" w:cs="Arial"/>
          <w:sz w:val="24"/>
          <w:szCs w:val="24"/>
        </w:rPr>
        <w:t xml:space="preserve"> va</w:t>
      </w:r>
      <w:r w:rsidRPr="003A1174">
        <w:rPr>
          <w:rFonts w:ascii="Garamond" w:hAnsi="Garamond" w:cs="Arial"/>
          <w:sz w:val="24"/>
          <w:szCs w:val="24"/>
        </w:rPr>
        <w:t>zio</w:t>
      </w:r>
      <w:r w:rsidR="00F13A73">
        <w:rPr>
          <w:rFonts w:ascii="Garamond" w:hAnsi="Garamond" w:cs="Arial"/>
          <w:sz w:val="24"/>
          <w:szCs w:val="24"/>
        </w:rPr>
        <w:t>,</w:t>
      </w:r>
      <w:r w:rsidRPr="003A1174">
        <w:rPr>
          <w:rFonts w:ascii="Garamond" w:hAnsi="Garamond" w:cs="Arial"/>
          <w:sz w:val="24"/>
          <w:szCs w:val="24"/>
        </w:rPr>
        <w:t xml:space="preserve"> mas sim</w:t>
      </w:r>
      <w:r w:rsidR="00054C2B">
        <w:rPr>
          <w:rFonts w:ascii="Garamond" w:hAnsi="Garamond" w:cs="Arial"/>
          <w:sz w:val="24"/>
          <w:szCs w:val="24"/>
        </w:rPr>
        <w:t>,</w:t>
      </w:r>
      <w:r w:rsidRPr="003A1174">
        <w:rPr>
          <w:rFonts w:ascii="Garamond" w:hAnsi="Garamond" w:cs="Arial"/>
          <w:sz w:val="24"/>
          <w:szCs w:val="24"/>
        </w:rPr>
        <w:t xml:space="preserve"> de </w:t>
      </w:r>
      <w:r w:rsidR="00B30286" w:rsidRPr="003A1174">
        <w:rPr>
          <w:rFonts w:ascii="Garamond" w:hAnsi="Garamond" w:cs="Arial"/>
          <w:sz w:val="24"/>
          <w:szCs w:val="24"/>
        </w:rPr>
        <w:t xml:space="preserve">intensas </w:t>
      </w:r>
      <w:r w:rsidR="001C2738" w:rsidRPr="003A1174">
        <w:rPr>
          <w:rFonts w:ascii="Garamond" w:hAnsi="Garamond" w:cs="Arial"/>
          <w:sz w:val="24"/>
          <w:szCs w:val="24"/>
        </w:rPr>
        <w:t>luta</w:t>
      </w:r>
      <w:r w:rsidR="00D01B8C" w:rsidRPr="003A1174">
        <w:rPr>
          <w:rFonts w:ascii="Garamond" w:hAnsi="Garamond" w:cs="Arial"/>
          <w:sz w:val="24"/>
          <w:szCs w:val="24"/>
        </w:rPr>
        <w:t xml:space="preserve">s de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F13A73" w:rsidRPr="003A1174">
        <w:rPr>
          <w:rFonts w:ascii="Garamond" w:hAnsi="Garamond" w:cs="Arial"/>
          <w:sz w:val="24"/>
          <w:szCs w:val="24"/>
        </w:rPr>
        <w:t>porto-riquenhas</w:t>
      </w:r>
      <w:r w:rsidR="00D01B8C" w:rsidRPr="003A1174">
        <w:rPr>
          <w:rFonts w:ascii="Garamond" w:hAnsi="Garamond" w:cs="Arial"/>
          <w:sz w:val="24"/>
          <w:szCs w:val="24"/>
        </w:rPr>
        <w:t xml:space="preserve"> </w:t>
      </w:r>
      <w:r w:rsidR="00B30286" w:rsidRPr="003A1174">
        <w:rPr>
          <w:rFonts w:ascii="Garamond" w:hAnsi="Garamond" w:cs="Arial"/>
          <w:sz w:val="24"/>
          <w:szCs w:val="24"/>
        </w:rPr>
        <w:t>p</w:t>
      </w:r>
      <w:r w:rsidRPr="003A1174">
        <w:rPr>
          <w:rFonts w:ascii="Garamond" w:hAnsi="Garamond" w:cs="Arial"/>
          <w:sz w:val="24"/>
          <w:szCs w:val="24"/>
        </w:rPr>
        <w:t xml:space="preserve">ara que se </w:t>
      </w:r>
      <w:r w:rsidR="00D01B8C" w:rsidRPr="003A1174">
        <w:rPr>
          <w:rFonts w:ascii="Garamond" w:hAnsi="Garamond" w:cs="Arial"/>
          <w:sz w:val="24"/>
          <w:szCs w:val="24"/>
        </w:rPr>
        <w:t>re</w:t>
      </w:r>
      <w:r w:rsidR="001F2F8B" w:rsidRPr="003A1174">
        <w:rPr>
          <w:rFonts w:ascii="Garamond" w:hAnsi="Garamond" w:cs="Arial"/>
          <w:sz w:val="24"/>
          <w:szCs w:val="24"/>
        </w:rPr>
        <w:t>conhece</w:t>
      </w:r>
      <w:r w:rsidRPr="003A1174">
        <w:rPr>
          <w:rFonts w:ascii="Garamond" w:hAnsi="Garamond" w:cs="Arial"/>
          <w:sz w:val="24"/>
          <w:szCs w:val="24"/>
        </w:rPr>
        <w:t xml:space="preserve">ssem os </w:t>
      </w:r>
      <w:r w:rsidR="00D01B8C" w:rsidRPr="003A1174">
        <w:rPr>
          <w:rFonts w:ascii="Garamond" w:hAnsi="Garamond" w:cs="Arial"/>
          <w:sz w:val="24"/>
          <w:szCs w:val="24"/>
        </w:rPr>
        <w:t>s</w:t>
      </w:r>
      <w:r w:rsidRPr="003A1174">
        <w:rPr>
          <w:rFonts w:ascii="Garamond" w:hAnsi="Garamond" w:cs="Arial"/>
          <w:sz w:val="24"/>
          <w:szCs w:val="24"/>
        </w:rPr>
        <w:t>e</w:t>
      </w:r>
      <w:r w:rsidR="00D01B8C" w:rsidRPr="003A1174">
        <w:rPr>
          <w:rFonts w:ascii="Garamond" w:hAnsi="Garamond" w:cs="Arial"/>
          <w:sz w:val="24"/>
          <w:szCs w:val="24"/>
        </w:rPr>
        <w:t xml:space="preserve">us </w:t>
      </w:r>
      <w:r w:rsidR="00886D6A" w:rsidRPr="003A1174">
        <w:rPr>
          <w:rFonts w:ascii="Garamond" w:hAnsi="Garamond" w:cs="Arial"/>
          <w:sz w:val="24"/>
          <w:szCs w:val="24"/>
        </w:rPr>
        <w:t>direito</w:t>
      </w:r>
      <w:r w:rsidR="00D01B8C" w:rsidRPr="003A1174">
        <w:rPr>
          <w:rFonts w:ascii="Garamond" w:hAnsi="Garamond" w:cs="Arial"/>
          <w:sz w:val="24"/>
          <w:szCs w:val="24"/>
        </w:rPr>
        <w:t xml:space="preserve">s. </w:t>
      </w:r>
      <w:r w:rsidR="002C7510" w:rsidRPr="003A1174">
        <w:rPr>
          <w:rFonts w:ascii="Garamond" w:hAnsi="Garamond" w:cs="Arial"/>
          <w:sz w:val="24"/>
          <w:szCs w:val="24"/>
        </w:rPr>
        <w:t>Graças</w:t>
      </w:r>
      <w:r w:rsidR="00B30286" w:rsidRPr="003A1174">
        <w:rPr>
          <w:rFonts w:ascii="Garamond" w:hAnsi="Garamond" w:cs="Arial"/>
          <w:sz w:val="24"/>
          <w:szCs w:val="24"/>
        </w:rPr>
        <w:t xml:space="preserve"> a e</w:t>
      </w:r>
      <w:r w:rsidRPr="003A1174">
        <w:rPr>
          <w:rFonts w:ascii="Garamond" w:hAnsi="Garamond" w:cs="Arial"/>
          <w:sz w:val="24"/>
          <w:szCs w:val="24"/>
        </w:rPr>
        <w:t>s</w:t>
      </w:r>
      <w:r w:rsidR="00B30286" w:rsidRPr="003A1174">
        <w:rPr>
          <w:rFonts w:ascii="Garamond" w:hAnsi="Garamond" w:cs="Arial"/>
          <w:sz w:val="24"/>
          <w:szCs w:val="24"/>
        </w:rPr>
        <w:t xml:space="preserve">sa </w:t>
      </w:r>
      <w:r w:rsidR="001C2738" w:rsidRPr="003A1174">
        <w:rPr>
          <w:rFonts w:ascii="Garamond" w:hAnsi="Garamond" w:cs="Arial"/>
          <w:sz w:val="24"/>
          <w:szCs w:val="24"/>
        </w:rPr>
        <w:t>luta</w:t>
      </w:r>
      <w:r w:rsidRPr="003A1174">
        <w:rPr>
          <w:rFonts w:ascii="Garamond" w:hAnsi="Garamond" w:cs="Arial"/>
          <w:sz w:val="24"/>
          <w:szCs w:val="24"/>
        </w:rPr>
        <w:t xml:space="preserve"> surge </w:t>
      </w:r>
      <w:r w:rsidR="00D01B8C" w:rsidRPr="003A1174">
        <w:rPr>
          <w:rFonts w:ascii="Garamond" w:hAnsi="Garamond" w:cs="Arial"/>
          <w:sz w:val="24"/>
          <w:szCs w:val="24"/>
        </w:rPr>
        <w:t xml:space="preserve">a </w:t>
      </w:r>
      <w:r w:rsidR="007A2492" w:rsidRPr="003A1174">
        <w:rPr>
          <w:rFonts w:ascii="Garamond" w:hAnsi="Garamond" w:cs="Arial"/>
          <w:sz w:val="24"/>
          <w:szCs w:val="24"/>
        </w:rPr>
        <w:t>aprovação</w:t>
      </w:r>
      <w:r w:rsidR="00D01B8C" w:rsidRPr="003A1174">
        <w:rPr>
          <w:rFonts w:ascii="Garamond" w:hAnsi="Garamond" w:cs="Arial"/>
          <w:sz w:val="24"/>
          <w:szCs w:val="24"/>
        </w:rPr>
        <w:t xml:space="preserve"> d</w:t>
      </w:r>
      <w:r w:rsidRPr="003A1174">
        <w:rPr>
          <w:rFonts w:ascii="Garamond" w:hAnsi="Garamond" w:cs="Arial"/>
          <w:sz w:val="24"/>
          <w:szCs w:val="24"/>
        </w:rPr>
        <w:t>a</w:t>
      </w:r>
      <w:r w:rsidR="00D01B8C" w:rsidRPr="003A1174">
        <w:rPr>
          <w:rFonts w:ascii="Garamond" w:hAnsi="Garamond" w:cs="Arial"/>
          <w:sz w:val="24"/>
          <w:szCs w:val="24"/>
        </w:rPr>
        <w:t xml:space="preserve"> </w:t>
      </w:r>
      <w:r w:rsidR="00462B11" w:rsidRPr="003A1174">
        <w:rPr>
          <w:rFonts w:ascii="Garamond" w:hAnsi="Garamond" w:cs="Arial"/>
          <w:sz w:val="24"/>
          <w:szCs w:val="24"/>
        </w:rPr>
        <w:t>nossa</w:t>
      </w:r>
      <w:r w:rsidR="00D01B8C" w:rsidRPr="003A1174">
        <w:rPr>
          <w:rFonts w:ascii="Garamond" w:hAnsi="Garamond" w:cs="Arial"/>
          <w:sz w:val="24"/>
          <w:szCs w:val="24"/>
        </w:rPr>
        <w:t xml:space="preserve"> </w:t>
      </w:r>
      <w:r w:rsidR="00D15AFF" w:rsidRPr="003A1174">
        <w:rPr>
          <w:rFonts w:ascii="Garamond" w:hAnsi="Garamond" w:cs="Arial"/>
          <w:sz w:val="24"/>
          <w:szCs w:val="24"/>
        </w:rPr>
        <w:t>Lei</w:t>
      </w:r>
      <w:r w:rsidRPr="003A1174">
        <w:rPr>
          <w:rFonts w:ascii="Garamond" w:hAnsi="Garamond" w:cs="Arial"/>
          <w:sz w:val="24"/>
          <w:szCs w:val="24"/>
        </w:rPr>
        <w:t xml:space="preserve"> para </w:t>
      </w:r>
      <w:r w:rsidR="00D01B8C" w:rsidRPr="003A1174">
        <w:rPr>
          <w:rFonts w:ascii="Garamond" w:hAnsi="Garamond" w:cs="Arial"/>
          <w:sz w:val="24"/>
          <w:szCs w:val="24"/>
        </w:rPr>
        <w:t xml:space="preserve">a </w:t>
      </w:r>
      <w:r w:rsidR="007578C6" w:rsidRPr="003A1174">
        <w:rPr>
          <w:rFonts w:ascii="Garamond" w:hAnsi="Garamond" w:cs="Arial"/>
          <w:sz w:val="24"/>
          <w:szCs w:val="24"/>
        </w:rPr>
        <w:t>Prevenção</w:t>
      </w:r>
      <w:r w:rsidR="00D01B8C" w:rsidRPr="003A1174">
        <w:rPr>
          <w:rFonts w:ascii="Garamond" w:hAnsi="Garamond" w:cs="Arial"/>
          <w:sz w:val="24"/>
          <w:szCs w:val="24"/>
        </w:rPr>
        <w:t xml:space="preserve"> e </w:t>
      </w:r>
      <w:r w:rsidR="00976FB8" w:rsidRPr="003A1174">
        <w:rPr>
          <w:rFonts w:ascii="Garamond" w:hAnsi="Garamond" w:cs="Arial"/>
          <w:sz w:val="24"/>
          <w:szCs w:val="24"/>
        </w:rPr>
        <w:t>Intervenção</w:t>
      </w:r>
      <w:r w:rsidR="00D01B8C" w:rsidRPr="003A1174">
        <w:rPr>
          <w:rFonts w:ascii="Garamond" w:hAnsi="Garamond" w:cs="Arial"/>
          <w:sz w:val="24"/>
          <w:szCs w:val="24"/>
        </w:rPr>
        <w:t xml:space="preserve"> co</w:t>
      </w:r>
      <w:r w:rsidRPr="003A1174">
        <w:rPr>
          <w:rFonts w:ascii="Garamond" w:hAnsi="Garamond" w:cs="Arial"/>
          <w:sz w:val="24"/>
          <w:szCs w:val="24"/>
        </w:rPr>
        <w:t xml:space="preserve">m </w:t>
      </w:r>
      <w:r w:rsidR="00D01B8C" w:rsidRPr="003A1174">
        <w:rPr>
          <w:rFonts w:ascii="Garamond" w:hAnsi="Garamond" w:cs="Arial"/>
          <w:sz w:val="24"/>
          <w:szCs w:val="24"/>
        </w:rPr>
        <w:t xml:space="preserve">a </w:t>
      </w:r>
      <w:r w:rsidR="000350B1" w:rsidRPr="003A1174">
        <w:rPr>
          <w:rFonts w:ascii="Garamond" w:hAnsi="Garamond" w:cs="Arial"/>
          <w:sz w:val="24"/>
          <w:szCs w:val="24"/>
        </w:rPr>
        <w:t>Violência</w:t>
      </w:r>
      <w:r w:rsidR="00D01B8C" w:rsidRPr="003A1174">
        <w:rPr>
          <w:rFonts w:ascii="Garamond" w:hAnsi="Garamond" w:cs="Arial"/>
          <w:sz w:val="24"/>
          <w:szCs w:val="24"/>
        </w:rPr>
        <w:t xml:space="preserve"> Doméstica</w:t>
      </w:r>
      <w:r w:rsidR="00F13A73">
        <w:rPr>
          <w:rFonts w:ascii="Garamond" w:hAnsi="Garamond" w:cs="Arial"/>
          <w:sz w:val="24"/>
          <w:szCs w:val="24"/>
        </w:rPr>
        <w:t>,</w:t>
      </w:r>
      <w:r w:rsidR="00D01B8C" w:rsidRPr="003A1174">
        <w:rPr>
          <w:rStyle w:val="Refdenotaalpie"/>
          <w:rFonts w:ascii="Garamond" w:hAnsi="Garamond" w:cs="Arial"/>
          <w:sz w:val="24"/>
          <w:szCs w:val="24"/>
          <w:lang w:val="es-PR"/>
        </w:rPr>
        <w:footnoteReference w:id="80"/>
      </w:r>
      <w:r w:rsidR="00D01B8C" w:rsidRPr="003A1174">
        <w:rPr>
          <w:rFonts w:ascii="Garamond" w:hAnsi="Garamond" w:cs="Arial"/>
          <w:sz w:val="24"/>
          <w:szCs w:val="24"/>
        </w:rPr>
        <w:t xml:space="preserve"> </w:t>
      </w:r>
      <w:r w:rsidR="00F13A73">
        <w:rPr>
          <w:rFonts w:ascii="Garamond" w:hAnsi="Garamond" w:cs="Arial"/>
          <w:sz w:val="24"/>
          <w:szCs w:val="24"/>
        </w:rPr>
        <w:t>graças à</w:t>
      </w:r>
      <w:r w:rsidRPr="003A1174">
        <w:rPr>
          <w:rFonts w:ascii="Garamond" w:hAnsi="Garamond" w:cs="Arial"/>
          <w:sz w:val="24"/>
          <w:szCs w:val="24"/>
        </w:rPr>
        <w:t xml:space="preserve"> q</w:t>
      </w:r>
      <w:r w:rsidR="00D01B8C" w:rsidRPr="003A1174">
        <w:rPr>
          <w:rFonts w:ascii="Garamond" w:hAnsi="Garamond" w:cs="Arial"/>
          <w:sz w:val="24"/>
          <w:szCs w:val="24"/>
        </w:rPr>
        <w:t>ual</w:t>
      </w:r>
      <w:r w:rsidR="00F13A73">
        <w:rPr>
          <w:rFonts w:ascii="Garamond" w:hAnsi="Garamond" w:cs="Arial"/>
          <w:sz w:val="24"/>
          <w:szCs w:val="24"/>
        </w:rPr>
        <w:t xml:space="preserve">, </w:t>
      </w:r>
      <w:proofErr w:type="gramStart"/>
      <w:r w:rsidR="00F13A73">
        <w:rPr>
          <w:rFonts w:ascii="Garamond" w:hAnsi="Garamond" w:cs="Arial"/>
          <w:sz w:val="24"/>
          <w:szCs w:val="24"/>
        </w:rPr>
        <w:t>há</w:t>
      </w:r>
      <w:r w:rsidR="00D01B8C" w:rsidRPr="003A1174">
        <w:rPr>
          <w:rFonts w:ascii="Garamond" w:hAnsi="Garamond" w:cs="Arial"/>
          <w:sz w:val="24"/>
          <w:szCs w:val="24"/>
        </w:rPr>
        <w:t xml:space="preserve"> 25</w:t>
      </w:r>
      <w:r w:rsidR="00D01B8C" w:rsidRPr="003A1174">
        <w:rPr>
          <w:rFonts w:ascii="Garamond" w:hAnsi="Garamond" w:cs="Arial"/>
          <w:spacing w:val="-4"/>
          <w:sz w:val="24"/>
          <w:szCs w:val="24"/>
        </w:rPr>
        <w:t xml:space="preserve"> </w:t>
      </w:r>
      <w:r w:rsidR="002C7510" w:rsidRPr="003A1174">
        <w:rPr>
          <w:rFonts w:ascii="Garamond" w:hAnsi="Garamond" w:cs="Arial"/>
          <w:spacing w:val="1"/>
          <w:sz w:val="24"/>
          <w:szCs w:val="24"/>
        </w:rPr>
        <w:t>ano</w:t>
      </w:r>
      <w:r w:rsidR="00D01B8C" w:rsidRPr="003A1174">
        <w:rPr>
          <w:rFonts w:ascii="Garamond" w:hAnsi="Garamond" w:cs="Arial"/>
          <w:sz w:val="24"/>
          <w:szCs w:val="24"/>
        </w:rPr>
        <w:t>s</w:t>
      </w:r>
      <w:r w:rsidR="00D01B8C" w:rsidRPr="003A1174">
        <w:rPr>
          <w:rFonts w:ascii="Garamond" w:hAnsi="Garamond" w:cs="Arial"/>
          <w:spacing w:val="1"/>
          <w:sz w:val="24"/>
          <w:szCs w:val="24"/>
        </w:rPr>
        <w:t xml:space="preserve"> a</w:t>
      </w:r>
      <w:r w:rsidR="00D01B8C" w:rsidRPr="003A1174">
        <w:rPr>
          <w:rFonts w:ascii="Garamond" w:hAnsi="Garamond" w:cs="Arial"/>
          <w:spacing w:val="-6"/>
          <w:sz w:val="24"/>
          <w:szCs w:val="24"/>
        </w:rPr>
        <w:t>t</w:t>
      </w:r>
      <w:r w:rsidR="00D01B8C" w:rsidRPr="003A1174">
        <w:rPr>
          <w:rFonts w:ascii="Garamond" w:hAnsi="Garamond" w:cs="Arial"/>
          <w:spacing w:val="1"/>
          <w:sz w:val="24"/>
          <w:szCs w:val="24"/>
        </w:rPr>
        <w:t>rá</w:t>
      </w:r>
      <w:r w:rsidR="00D01B8C" w:rsidRPr="003A1174">
        <w:rPr>
          <w:rFonts w:ascii="Garamond" w:hAnsi="Garamond" w:cs="Arial"/>
          <w:sz w:val="24"/>
          <w:szCs w:val="24"/>
        </w:rPr>
        <w:t>s</w:t>
      </w:r>
      <w:proofErr w:type="gramEnd"/>
      <w:r w:rsidR="00F13A73">
        <w:rPr>
          <w:rFonts w:ascii="Garamond" w:hAnsi="Garamond" w:cs="Arial"/>
          <w:sz w:val="24"/>
          <w:szCs w:val="24"/>
        </w:rPr>
        <w:t>,</w:t>
      </w:r>
      <w:r w:rsidR="00D01B8C" w:rsidRPr="003A1174">
        <w:rPr>
          <w:rFonts w:ascii="Garamond" w:hAnsi="Garamond" w:cs="Arial"/>
          <w:spacing w:val="53"/>
          <w:sz w:val="24"/>
          <w:szCs w:val="24"/>
        </w:rPr>
        <w:t xml:space="preserve"> </w:t>
      </w:r>
      <w:r w:rsidR="0017447A" w:rsidRPr="003A1174">
        <w:rPr>
          <w:rFonts w:ascii="Garamond" w:hAnsi="Garamond" w:cs="Arial"/>
          <w:sz w:val="24"/>
          <w:szCs w:val="24"/>
        </w:rPr>
        <w:t>Porto</w:t>
      </w:r>
      <w:r w:rsidR="00D01B8C" w:rsidRPr="003A1174">
        <w:rPr>
          <w:rFonts w:ascii="Garamond" w:hAnsi="Garamond" w:cs="Arial"/>
          <w:spacing w:val="5"/>
          <w:sz w:val="24"/>
          <w:szCs w:val="24"/>
        </w:rPr>
        <w:t xml:space="preserve"> </w:t>
      </w:r>
      <w:r w:rsidR="00D01B8C" w:rsidRPr="003A1174">
        <w:rPr>
          <w:rFonts w:ascii="Garamond" w:hAnsi="Garamond" w:cs="Arial"/>
          <w:spacing w:val="-8"/>
          <w:sz w:val="24"/>
          <w:szCs w:val="24"/>
        </w:rPr>
        <w:t>R</w:t>
      </w:r>
      <w:r w:rsidR="00D01B8C" w:rsidRPr="003A1174">
        <w:rPr>
          <w:rFonts w:ascii="Garamond" w:hAnsi="Garamond" w:cs="Arial"/>
          <w:spacing w:val="2"/>
          <w:sz w:val="24"/>
          <w:szCs w:val="24"/>
        </w:rPr>
        <w:t>i</w:t>
      </w:r>
      <w:r w:rsidR="00D01B8C" w:rsidRPr="003A1174">
        <w:rPr>
          <w:rFonts w:ascii="Garamond" w:hAnsi="Garamond" w:cs="Arial"/>
          <w:spacing w:val="-1"/>
          <w:sz w:val="24"/>
          <w:szCs w:val="24"/>
        </w:rPr>
        <w:t>c</w:t>
      </w:r>
      <w:r w:rsidR="00D01B8C" w:rsidRPr="003A1174">
        <w:rPr>
          <w:rFonts w:ascii="Garamond" w:hAnsi="Garamond" w:cs="Arial"/>
          <w:sz w:val="24"/>
          <w:szCs w:val="24"/>
        </w:rPr>
        <w:t xml:space="preserve">o </w:t>
      </w:r>
      <w:r w:rsidRPr="003A1174">
        <w:rPr>
          <w:rFonts w:ascii="Garamond" w:hAnsi="Garamond" w:cs="Arial"/>
          <w:sz w:val="24"/>
          <w:szCs w:val="24"/>
        </w:rPr>
        <w:t xml:space="preserve">fez </w:t>
      </w:r>
      <w:r w:rsidR="00501083" w:rsidRPr="003A1174">
        <w:rPr>
          <w:rFonts w:ascii="Garamond" w:hAnsi="Garamond" w:cs="Arial"/>
          <w:spacing w:val="-3"/>
          <w:sz w:val="24"/>
          <w:szCs w:val="24"/>
        </w:rPr>
        <w:t>história</w:t>
      </w:r>
      <w:r w:rsidR="00054C2B">
        <w:rPr>
          <w:rFonts w:ascii="Garamond" w:hAnsi="Garamond" w:cs="Arial"/>
          <w:spacing w:val="-3"/>
          <w:sz w:val="24"/>
          <w:szCs w:val="24"/>
        </w:rPr>
        <w:t>,</w:t>
      </w:r>
      <w:r w:rsidR="00D01B8C" w:rsidRPr="003A1174">
        <w:rPr>
          <w:rFonts w:ascii="Garamond" w:hAnsi="Garamond" w:cs="Arial"/>
          <w:spacing w:val="4"/>
          <w:sz w:val="24"/>
          <w:szCs w:val="24"/>
        </w:rPr>
        <w:t xml:space="preserve"> </w:t>
      </w:r>
      <w:r w:rsidR="00863197" w:rsidRPr="003A1174">
        <w:rPr>
          <w:rFonts w:ascii="Garamond" w:hAnsi="Garamond" w:cs="Arial"/>
          <w:spacing w:val="-6"/>
          <w:sz w:val="24"/>
          <w:szCs w:val="24"/>
        </w:rPr>
        <w:t>quando</w:t>
      </w:r>
      <w:r w:rsidR="00D01B8C" w:rsidRPr="003A1174">
        <w:rPr>
          <w:rFonts w:ascii="Garamond" w:hAnsi="Garamond" w:cs="Arial"/>
          <w:sz w:val="24"/>
          <w:szCs w:val="24"/>
        </w:rPr>
        <w:t xml:space="preserve"> </w:t>
      </w:r>
      <w:r w:rsidR="002470B1" w:rsidRPr="003A1174">
        <w:rPr>
          <w:rFonts w:ascii="Garamond" w:hAnsi="Garamond" w:cs="Arial"/>
          <w:spacing w:val="-3"/>
          <w:sz w:val="24"/>
          <w:szCs w:val="24"/>
        </w:rPr>
        <w:t>organizações</w:t>
      </w:r>
      <w:r w:rsidR="00D01B8C" w:rsidRPr="003A1174">
        <w:rPr>
          <w:rFonts w:ascii="Garamond" w:hAnsi="Garamond" w:cs="Arial"/>
          <w:spacing w:val="2"/>
          <w:sz w:val="24"/>
          <w:szCs w:val="24"/>
        </w:rPr>
        <w:t xml:space="preserve"> </w:t>
      </w:r>
      <w:r w:rsidR="00D01B8C" w:rsidRPr="003A1174">
        <w:rPr>
          <w:rFonts w:ascii="Garamond" w:hAnsi="Garamond" w:cs="Arial"/>
          <w:spacing w:val="-2"/>
          <w:sz w:val="24"/>
          <w:szCs w:val="24"/>
        </w:rPr>
        <w:t>s</w:t>
      </w:r>
      <w:r w:rsidRPr="003A1174">
        <w:rPr>
          <w:rFonts w:ascii="Garamond" w:hAnsi="Garamond" w:cs="Arial"/>
          <w:spacing w:val="-2"/>
          <w:sz w:val="24"/>
          <w:szCs w:val="24"/>
        </w:rPr>
        <w:t xml:space="preserve">em </w:t>
      </w:r>
      <w:r w:rsidR="00D01B8C" w:rsidRPr="003A1174">
        <w:rPr>
          <w:rFonts w:ascii="Garamond" w:hAnsi="Garamond" w:cs="Arial"/>
          <w:spacing w:val="-6"/>
          <w:sz w:val="24"/>
          <w:szCs w:val="24"/>
        </w:rPr>
        <w:t>f</w:t>
      </w:r>
      <w:r w:rsidR="00D01B8C" w:rsidRPr="003A1174">
        <w:rPr>
          <w:rFonts w:ascii="Garamond" w:hAnsi="Garamond" w:cs="Arial"/>
          <w:spacing w:val="2"/>
          <w:sz w:val="24"/>
          <w:szCs w:val="24"/>
        </w:rPr>
        <w:t>i</w:t>
      </w:r>
      <w:r w:rsidR="00D01B8C" w:rsidRPr="003A1174">
        <w:rPr>
          <w:rFonts w:ascii="Garamond" w:hAnsi="Garamond" w:cs="Arial"/>
          <w:spacing w:val="1"/>
          <w:sz w:val="24"/>
          <w:szCs w:val="24"/>
        </w:rPr>
        <w:t>n</w:t>
      </w:r>
      <w:r w:rsidR="00D01B8C" w:rsidRPr="003A1174">
        <w:rPr>
          <w:rFonts w:ascii="Garamond" w:hAnsi="Garamond" w:cs="Arial"/>
          <w:sz w:val="24"/>
          <w:szCs w:val="24"/>
        </w:rPr>
        <w:t>s</w:t>
      </w:r>
      <w:r w:rsidR="00D01B8C" w:rsidRPr="003A1174">
        <w:rPr>
          <w:rFonts w:ascii="Garamond" w:hAnsi="Garamond" w:cs="Arial"/>
          <w:spacing w:val="1"/>
          <w:sz w:val="24"/>
          <w:szCs w:val="24"/>
        </w:rPr>
        <w:t xml:space="preserve"> </w:t>
      </w:r>
      <w:r w:rsidRPr="003A1174">
        <w:rPr>
          <w:rFonts w:ascii="Garamond" w:hAnsi="Garamond" w:cs="Arial"/>
          <w:spacing w:val="1"/>
          <w:sz w:val="24"/>
          <w:szCs w:val="24"/>
        </w:rPr>
        <w:t xml:space="preserve">lucrativos e um </w:t>
      </w:r>
      <w:r w:rsidR="00054C2B">
        <w:rPr>
          <w:rFonts w:ascii="Garamond" w:hAnsi="Garamond" w:cs="Arial"/>
          <w:spacing w:val="1"/>
          <w:sz w:val="24"/>
          <w:szCs w:val="24"/>
        </w:rPr>
        <w:t xml:space="preserve">poderoso e forte </w:t>
      </w:r>
      <w:r w:rsidRPr="003A1174">
        <w:rPr>
          <w:rFonts w:ascii="Garamond" w:hAnsi="Garamond" w:cs="Arial"/>
          <w:spacing w:val="-7"/>
          <w:sz w:val="24"/>
          <w:szCs w:val="24"/>
        </w:rPr>
        <w:t>movimento</w:t>
      </w:r>
      <w:r w:rsidR="00D01B8C" w:rsidRPr="003A1174">
        <w:rPr>
          <w:rFonts w:ascii="Garamond" w:hAnsi="Garamond" w:cs="Arial"/>
          <w:spacing w:val="22"/>
          <w:sz w:val="24"/>
          <w:szCs w:val="24"/>
        </w:rPr>
        <w:t xml:space="preserve"> </w:t>
      </w:r>
      <w:r w:rsidR="00D01B8C" w:rsidRPr="003A1174">
        <w:rPr>
          <w:rFonts w:ascii="Garamond" w:hAnsi="Garamond" w:cs="Arial"/>
          <w:spacing w:val="1"/>
          <w:sz w:val="24"/>
          <w:szCs w:val="24"/>
        </w:rPr>
        <w:t>d</w:t>
      </w:r>
      <w:r w:rsidR="00D01B8C" w:rsidRPr="003A1174">
        <w:rPr>
          <w:rFonts w:ascii="Garamond" w:hAnsi="Garamond" w:cs="Arial"/>
          <w:sz w:val="24"/>
          <w:szCs w:val="24"/>
        </w:rPr>
        <w:t>e</w:t>
      </w:r>
      <w:r w:rsidR="00D01B8C" w:rsidRPr="003A1174">
        <w:rPr>
          <w:rFonts w:ascii="Garamond" w:hAnsi="Garamond" w:cs="Arial"/>
          <w:spacing w:val="22"/>
          <w:sz w:val="24"/>
          <w:szCs w:val="24"/>
        </w:rPr>
        <w:t xml:space="preserve"> </w:t>
      </w:r>
      <w:r w:rsidR="00054EE0" w:rsidRPr="003A1174">
        <w:rPr>
          <w:rFonts w:ascii="Garamond" w:hAnsi="Garamond" w:cs="Arial"/>
          <w:spacing w:val="-2"/>
          <w:sz w:val="24"/>
          <w:szCs w:val="24"/>
        </w:rPr>
        <w:t>mulheres</w:t>
      </w:r>
      <w:r w:rsidR="00054C2B">
        <w:rPr>
          <w:rFonts w:ascii="Garamond" w:hAnsi="Garamond" w:cs="Arial"/>
          <w:spacing w:val="-2"/>
          <w:sz w:val="24"/>
          <w:szCs w:val="24"/>
        </w:rPr>
        <w:t>, juntamente</w:t>
      </w:r>
      <w:r w:rsidR="00D01B8C" w:rsidRPr="003A1174">
        <w:rPr>
          <w:rFonts w:ascii="Garamond" w:hAnsi="Garamond" w:cs="Arial"/>
          <w:spacing w:val="23"/>
          <w:sz w:val="24"/>
          <w:szCs w:val="24"/>
        </w:rPr>
        <w:t xml:space="preserve"> </w:t>
      </w:r>
      <w:r w:rsidR="00054C2B">
        <w:rPr>
          <w:rFonts w:ascii="Garamond" w:hAnsi="Garamond" w:cs="Arial"/>
          <w:spacing w:val="20"/>
          <w:sz w:val="24"/>
          <w:szCs w:val="24"/>
        </w:rPr>
        <w:t xml:space="preserve">com homens e mulheres </w:t>
      </w:r>
      <w:r w:rsidR="00D01B8C" w:rsidRPr="003A1174">
        <w:rPr>
          <w:rFonts w:ascii="Garamond" w:hAnsi="Garamond" w:cs="Arial"/>
          <w:spacing w:val="-2"/>
          <w:sz w:val="24"/>
          <w:szCs w:val="24"/>
        </w:rPr>
        <w:t>v</w:t>
      </w:r>
      <w:r w:rsidR="00D01B8C" w:rsidRPr="003A1174">
        <w:rPr>
          <w:rFonts w:ascii="Garamond" w:hAnsi="Garamond" w:cs="Arial"/>
          <w:spacing w:val="1"/>
          <w:sz w:val="24"/>
          <w:szCs w:val="24"/>
        </w:rPr>
        <w:t>a</w:t>
      </w:r>
      <w:r w:rsidR="00D01B8C" w:rsidRPr="003A1174">
        <w:rPr>
          <w:rFonts w:ascii="Garamond" w:hAnsi="Garamond" w:cs="Arial"/>
          <w:spacing w:val="-3"/>
          <w:sz w:val="24"/>
          <w:szCs w:val="24"/>
        </w:rPr>
        <w:t>l</w:t>
      </w:r>
      <w:r w:rsidR="00D01B8C" w:rsidRPr="003A1174">
        <w:rPr>
          <w:rFonts w:ascii="Garamond" w:hAnsi="Garamond" w:cs="Arial"/>
          <w:spacing w:val="-2"/>
          <w:sz w:val="24"/>
          <w:szCs w:val="24"/>
        </w:rPr>
        <w:t>e</w:t>
      </w:r>
      <w:r w:rsidR="00D01B8C" w:rsidRPr="003A1174">
        <w:rPr>
          <w:rFonts w:ascii="Garamond" w:hAnsi="Garamond" w:cs="Arial"/>
          <w:spacing w:val="1"/>
          <w:sz w:val="24"/>
          <w:szCs w:val="24"/>
        </w:rPr>
        <w:t>n</w:t>
      </w:r>
      <w:r w:rsidR="00D01B8C" w:rsidRPr="003A1174">
        <w:rPr>
          <w:rFonts w:ascii="Garamond" w:hAnsi="Garamond" w:cs="Arial"/>
          <w:spacing w:val="-2"/>
          <w:sz w:val="24"/>
          <w:szCs w:val="24"/>
        </w:rPr>
        <w:t>te</w:t>
      </w:r>
      <w:r w:rsidR="00D01B8C" w:rsidRPr="003A1174">
        <w:rPr>
          <w:rFonts w:ascii="Garamond" w:hAnsi="Garamond" w:cs="Arial"/>
          <w:sz w:val="24"/>
          <w:szCs w:val="24"/>
        </w:rPr>
        <w:t>s</w:t>
      </w:r>
      <w:r w:rsidR="00D01B8C" w:rsidRPr="003A1174">
        <w:rPr>
          <w:rFonts w:ascii="Garamond" w:hAnsi="Garamond" w:cs="Arial"/>
          <w:spacing w:val="18"/>
          <w:sz w:val="24"/>
          <w:szCs w:val="24"/>
        </w:rPr>
        <w:t xml:space="preserve"> </w:t>
      </w:r>
      <w:r w:rsidR="00497503" w:rsidRPr="003A1174">
        <w:rPr>
          <w:rFonts w:ascii="Garamond" w:hAnsi="Garamond" w:cs="Arial"/>
          <w:sz w:val="24"/>
          <w:szCs w:val="24"/>
        </w:rPr>
        <w:t>e</w:t>
      </w:r>
      <w:r w:rsidR="00D01B8C" w:rsidRPr="003A1174">
        <w:rPr>
          <w:rFonts w:ascii="Garamond" w:hAnsi="Garamond" w:cs="Arial"/>
          <w:spacing w:val="25"/>
          <w:sz w:val="24"/>
          <w:szCs w:val="24"/>
        </w:rPr>
        <w:t xml:space="preserve"> </w:t>
      </w:r>
      <w:r w:rsidR="00D01B8C" w:rsidRPr="003A1174">
        <w:rPr>
          <w:rFonts w:ascii="Garamond" w:hAnsi="Garamond" w:cs="Arial"/>
          <w:spacing w:val="-2"/>
          <w:sz w:val="24"/>
          <w:szCs w:val="24"/>
        </w:rPr>
        <w:t>se</w:t>
      </w:r>
      <w:r w:rsidR="00D01B8C" w:rsidRPr="003A1174">
        <w:rPr>
          <w:rFonts w:ascii="Garamond" w:hAnsi="Garamond" w:cs="Arial"/>
          <w:spacing w:val="1"/>
          <w:sz w:val="24"/>
          <w:szCs w:val="24"/>
        </w:rPr>
        <w:t>n</w:t>
      </w:r>
      <w:r w:rsidR="00D01B8C" w:rsidRPr="003A1174">
        <w:rPr>
          <w:rFonts w:ascii="Garamond" w:hAnsi="Garamond" w:cs="Arial"/>
          <w:spacing w:val="-2"/>
          <w:sz w:val="24"/>
          <w:szCs w:val="24"/>
        </w:rPr>
        <w:t>s</w:t>
      </w:r>
      <w:r w:rsidRPr="003A1174">
        <w:rPr>
          <w:rFonts w:ascii="Garamond" w:hAnsi="Garamond" w:cs="Arial"/>
          <w:spacing w:val="-2"/>
          <w:sz w:val="24"/>
          <w:szCs w:val="24"/>
        </w:rPr>
        <w:t xml:space="preserve">íveis </w:t>
      </w:r>
      <w:r w:rsidR="00D01B8C" w:rsidRPr="003A1174">
        <w:rPr>
          <w:rFonts w:ascii="Garamond" w:hAnsi="Garamond" w:cs="Arial"/>
          <w:spacing w:val="1"/>
          <w:sz w:val="24"/>
          <w:szCs w:val="24"/>
        </w:rPr>
        <w:t>d</w:t>
      </w:r>
      <w:r w:rsidR="00D01B8C" w:rsidRPr="003A1174">
        <w:rPr>
          <w:rFonts w:ascii="Garamond" w:hAnsi="Garamond" w:cs="Arial"/>
          <w:sz w:val="24"/>
          <w:szCs w:val="24"/>
        </w:rPr>
        <w:t>a</w:t>
      </w:r>
      <w:r w:rsidR="00D01B8C" w:rsidRPr="003A1174">
        <w:rPr>
          <w:rFonts w:ascii="Garamond" w:hAnsi="Garamond" w:cs="Arial"/>
          <w:spacing w:val="40"/>
          <w:sz w:val="24"/>
          <w:szCs w:val="24"/>
        </w:rPr>
        <w:t xml:space="preserve"> </w:t>
      </w:r>
      <w:r w:rsidR="00D01B8C" w:rsidRPr="003A1174">
        <w:rPr>
          <w:rFonts w:ascii="Garamond" w:hAnsi="Garamond" w:cs="Arial"/>
          <w:spacing w:val="-2"/>
          <w:sz w:val="24"/>
          <w:szCs w:val="24"/>
        </w:rPr>
        <w:t>Le</w:t>
      </w:r>
      <w:r w:rsidR="00D01B8C" w:rsidRPr="003A1174">
        <w:rPr>
          <w:rFonts w:ascii="Garamond" w:hAnsi="Garamond" w:cs="Arial"/>
          <w:spacing w:val="-6"/>
          <w:sz w:val="24"/>
          <w:szCs w:val="24"/>
        </w:rPr>
        <w:t>g</w:t>
      </w:r>
      <w:r w:rsidR="00D01B8C" w:rsidRPr="003A1174">
        <w:rPr>
          <w:rFonts w:ascii="Garamond" w:hAnsi="Garamond" w:cs="Arial"/>
          <w:spacing w:val="2"/>
          <w:sz w:val="24"/>
          <w:szCs w:val="24"/>
        </w:rPr>
        <w:t>i</w:t>
      </w:r>
      <w:r w:rsidR="00D01B8C" w:rsidRPr="003A1174">
        <w:rPr>
          <w:rFonts w:ascii="Garamond" w:hAnsi="Garamond" w:cs="Arial"/>
          <w:spacing w:val="-2"/>
          <w:sz w:val="24"/>
          <w:szCs w:val="24"/>
        </w:rPr>
        <w:t>s</w:t>
      </w:r>
      <w:r w:rsidR="00D01B8C" w:rsidRPr="003A1174">
        <w:rPr>
          <w:rFonts w:ascii="Garamond" w:hAnsi="Garamond" w:cs="Arial"/>
          <w:spacing w:val="-3"/>
          <w:sz w:val="24"/>
          <w:szCs w:val="24"/>
        </w:rPr>
        <w:t>l</w:t>
      </w:r>
      <w:r w:rsidR="00D01B8C" w:rsidRPr="003A1174">
        <w:rPr>
          <w:rFonts w:ascii="Garamond" w:hAnsi="Garamond" w:cs="Arial"/>
          <w:spacing w:val="1"/>
          <w:sz w:val="24"/>
          <w:szCs w:val="24"/>
        </w:rPr>
        <w:t>a</w:t>
      </w:r>
      <w:r w:rsidR="00D01B8C" w:rsidRPr="003A1174">
        <w:rPr>
          <w:rFonts w:ascii="Garamond" w:hAnsi="Garamond" w:cs="Arial"/>
          <w:spacing w:val="-2"/>
          <w:sz w:val="24"/>
          <w:szCs w:val="24"/>
        </w:rPr>
        <w:t>t</w:t>
      </w:r>
      <w:r w:rsidR="00D01B8C" w:rsidRPr="003A1174">
        <w:rPr>
          <w:rFonts w:ascii="Garamond" w:hAnsi="Garamond" w:cs="Arial"/>
          <w:spacing w:val="-3"/>
          <w:sz w:val="24"/>
          <w:szCs w:val="24"/>
        </w:rPr>
        <w:t>u</w:t>
      </w:r>
      <w:r w:rsidR="00D01B8C" w:rsidRPr="003A1174">
        <w:rPr>
          <w:rFonts w:ascii="Garamond" w:hAnsi="Garamond" w:cs="Arial"/>
          <w:spacing w:val="1"/>
          <w:sz w:val="24"/>
          <w:szCs w:val="24"/>
        </w:rPr>
        <w:t>r</w:t>
      </w:r>
      <w:r w:rsidR="00D01B8C" w:rsidRPr="003A1174">
        <w:rPr>
          <w:rFonts w:ascii="Garamond" w:hAnsi="Garamond" w:cs="Arial"/>
          <w:sz w:val="24"/>
          <w:szCs w:val="24"/>
        </w:rPr>
        <w:t>a</w:t>
      </w:r>
      <w:r w:rsidR="00D01B8C" w:rsidRPr="003A1174">
        <w:rPr>
          <w:rFonts w:ascii="Garamond" w:hAnsi="Garamond" w:cs="Arial"/>
          <w:spacing w:val="40"/>
          <w:sz w:val="24"/>
          <w:szCs w:val="24"/>
        </w:rPr>
        <w:t xml:space="preserve"> </w:t>
      </w:r>
      <w:r w:rsidR="00054C2B" w:rsidRPr="003A1174">
        <w:rPr>
          <w:rFonts w:ascii="Garamond" w:hAnsi="Garamond" w:cs="Arial"/>
          <w:spacing w:val="40"/>
          <w:sz w:val="24"/>
          <w:szCs w:val="24"/>
        </w:rPr>
        <w:t>por</w:t>
      </w:r>
      <w:r w:rsidR="00054C2B" w:rsidRPr="003A1174">
        <w:rPr>
          <w:rFonts w:ascii="Garamond" w:hAnsi="Garamond" w:cs="Arial"/>
          <w:spacing w:val="-2"/>
          <w:sz w:val="24"/>
          <w:szCs w:val="24"/>
        </w:rPr>
        <w:t>t</w:t>
      </w:r>
      <w:r w:rsidR="00054C2B" w:rsidRPr="003A1174">
        <w:rPr>
          <w:rFonts w:ascii="Garamond" w:hAnsi="Garamond" w:cs="Arial"/>
          <w:spacing w:val="-3"/>
          <w:sz w:val="24"/>
          <w:szCs w:val="24"/>
        </w:rPr>
        <w:t>o</w:t>
      </w:r>
      <w:r w:rsidR="00054C2B" w:rsidRPr="003A1174">
        <w:rPr>
          <w:rFonts w:ascii="Garamond" w:hAnsi="Garamond" w:cs="Arial"/>
          <w:spacing w:val="1"/>
          <w:sz w:val="24"/>
          <w:szCs w:val="24"/>
        </w:rPr>
        <w:t>-</w:t>
      </w:r>
      <w:r w:rsidR="00054C2B" w:rsidRPr="003A1174">
        <w:rPr>
          <w:rFonts w:ascii="Garamond" w:hAnsi="Garamond" w:cs="Arial"/>
          <w:spacing w:val="-3"/>
          <w:sz w:val="24"/>
          <w:szCs w:val="24"/>
        </w:rPr>
        <w:t>ri</w:t>
      </w:r>
      <w:r w:rsidR="00054C2B" w:rsidRPr="003A1174">
        <w:rPr>
          <w:rFonts w:ascii="Garamond" w:hAnsi="Garamond" w:cs="Arial"/>
          <w:spacing w:val="1"/>
          <w:sz w:val="24"/>
          <w:szCs w:val="24"/>
        </w:rPr>
        <w:t>q</w:t>
      </w:r>
      <w:r w:rsidR="00054C2B" w:rsidRPr="003A1174">
        <w:rPr>
          <w:rFonts w:ascii="Garamond" w:hAnsi="Garamond" w:cs="Arial"/>
          <w:spacing w:val="2"/>
          <w:sz w:val="24"/>
          <w:szCs w:val="24"/>
        </w:rPr>
        <w:t>u</w:t>
      </w:r>
      <w:r w:rsidR="00054C2B" w:rsidRPr="003A1174">
        <w:rPr>
          <w:rFonts w:ascii="Garamond" w:hAnsi="Garamond" w:cs="Arial"/>
          <w:spacing w:val="-7"/>
          <w:sz w:val="24"/>
          <w:szCs w:val="24"/>
        </w:rPr>
        <w:t>enh</w:t>
      </w:r>
      <w:r w:rsidR="00054C2B" w:rsidRPr="003A1174">
        <w:rPr>
          <w:rFonts w:ascii="Garamond" w:hAnsi="Garamond" w:cs="Arial"/>
          <w:spacing w:val="1"/>
          <w:sz w:val="24"/>
          <w:szCs w:val="24"/>
        </w:rPr>
        <w:t>a</w:t>
      </w:r>
      <w:r w:rsidR="00054C2B">
        <w:rPr>
          <w:rFonts w:ascii="Garamond" w:hAnsi="Garamond" w:cs="Arial"/>
          <w:spacing w:val="1"/>
          <w:sz w:val="24"/>
          <w:szCs w:val="24"/>
        </w:rPr>
        <w:t>,</w:t>
      </w:r>
      <w:r w:rsidRPr="003A1174">
        <w:rPr>
          <w:rFonts w:ascii="Garamond" w:hAnsi="Garamond" w:cs="Arial"/>
          <w:spacing w:val="1"/>
          <w:sz w:val="24"/>
          <w:szCs w:val="24"/>
        </w:rPr>
        <w:t xml:space="preserve"> </w:t>
      </w:r>
      <w:r w:rsidR="00E34DB3" w:rsidRPr="003A1174">
        <w:rPr>
          <w:rFonts w:ascii="Garamond" w:hAnsi="Garamond" w:cs="Arial"/>
          <w:spacing w:val="36"/>
          <w:sz w:val="24"/>
          <w:szCs w:val="24"/>
        </w:rPr>
        <w:t xml:space="preserve">a </w:t>
      </w:r>
      <w:r w:rsidR="00D01B8C" w:rsidRPr="003A1174">
        <w:rPr>
          <w:rFonts w:ascii="Garamond" w:hAnsi="Garamond" w:cs="Arial"/>
          <w:spacing w:val="-4"/>
          <w:sz w:val="24"/>
          <w:szCs w:val="24"/>
        </w:rPr>
        <w:t>p</w:t>
      </w:r>
      <w:r w:rsidR="00D01B8C" w:rsidRPr="003A1174">
        <w:rPr>
          <w:rFonts w:ascii="Garamond" w:hAnsi="Garamond" w:cs="Arial"/>
          <w:spacing w:val="1"/>
          <w:sz w:val="24"/>
          <w:szCs w:val="24"/>
        </w:rPr>
        <w:t>r</w:t>
      </w:r>
      <w:r w:rsidR="00D01B8C" w:rsidRPr="003A1174">
        <w:rPr>
          <w:rFonts w:ascii="Garamond" w:hAnsi="Garamond" w:cs="Arial"/>
          <w:spacing w:val="2"/>
          <w:sz w:val="24"/>
          <w:szCs w:val="24"/>
        </w:rPr>
        <w:t>o</w:t>
      </w:r>
      <w:r w:rsidR="00D01B8C" w:rsidRPr="003A1174">
        <w:rPr>
          <w:rFonts w:ascii="Garamond" w:hAnsi="Garamond" w:cs="Arial"/>
          <w:spacing w:val="-7"/>
          <w:sz w:val="24"/>
          <w:szCs w:val="24"/>
        </w:rPr>
        <w:t>m</w:t>
      </w:r>
      <w:r w:rsidR="00D01B8C" w:rsidRPr="003A1174">
        <w:rPr>
          <w:rFonts w:ascii="Garamond" w:hAnsi="Garamond" w:cs="Arial"/>
          <w:spacing w:val="-3"/>
          <w:sz w:val="24"/>
          <w:szCs w:val="24"/>
        </w:rPr>
        <w:t>u</w:t>
      </w:r>
      <w:r w:rsidR="00D01B8C" w:rsidRPr="003A1174">
        <w:rPr>
          <w:rFonts w:ascii="Garamond" w:hAnsi="Garamond" w:cs="Arial"/>
          <w:spacing w:val="2"/>
          <w:sz w:val="24"/>
          <w:szCs w:val="24"/>
        </w:rPr>
        <w:t>l</w:t>
      </w:r>
      <w:r w:rsidR="00D01B8C" w:rsidRPr="003A1174">
        <w:rPr>
          <w:rFonts w:ascii="Garamond" w:hAnsi="Garamond" w:cs="Arial"/>
          <w:spacing w:val="-2"/>
          <w:sz w:val="24"/>
          <w:szCs w:val="24"/>
        </w:rPr>
        <w:t>g</w:t>
      </w:r>
      <w:r w:rsidR="00D01B8C" w:rsidRPr="003A1174">
        <w:rPr>
          <w:rFonts w:ascii="Garamond" w:hAnsi="Garamond" w:cs="Arial"/>
          <w:spacing w:val="-4"/>
          <w:sz w:val="24"/>
          <w:szCs w:val="24"/>
        </w:rPr>
        <w:t>a</w:t>
      </w:r>
      <w:r w:rsidR="00D01B8C" w:rsidRPr="003A1174">
        <w:rPr>
          <w:rFonts w:ascii="Garamond" w:hAnsi="Garamond" w:cs="Arial"/>
          <w:spacing w:val="1"/>
          <w:sz w:val="24"/>
          <w:szCs w:val="24"/>
        </w:rPr>
        <w:t>r</w:t>
      </w:r>
      <w:r w:rsidR="00E34DB3" w:rsidRPr="003A1174">
        <w:rPr>
          <w:rFonts w:ascii="Garamond" w:hAnsi="Garamond" w:cs="Arial"/>
          <w:spacing w:val="1"/>
          <w:sz w:val="24"/>
          <w:szCs w:val="24"/>
        </w:rPr>
        <w:t>am</w:t>
      </w:r>
      <w:r w:rsidRPr="003A1174">
        <w:rPr>
          <w:rFonts w:ascii="Garamond" w:hAnsi="Garamond" w:cs="Arial"/>
          <w:spacing w:val="1"/>
          <w:sz w:val="24"/>
          <w:szCs w:val="24"/>
        </w:rPr>
        <w:t xml:space="preserve"> </w:t>
      </w:r>
      <w:r w:rsidR="00054C2B">
        <w:rPr>
          <w:rFonts w:ascii="Garamond" w:hAnsi="Garamond" w:cs="Arial"/>
          <w:spacing w:val="21"/>
          <w:sz w:val="24"/>
          <w:szCs w:val="24"/>
        </w:rPr>
        <w:t xml:space="preserve">movidos </w:t>
      </w:r>
      <w:r w:rsidR="00D01B8C" w:rsidRPr="003A1174">
        <w:rPr>
          <w:rFonts w:ascii="Garamond" w:hAnsi="Garamond" w:cs="Arial"/>
          <w:spacing w:val="-4"/>
          <w:sz w:val="24"/>
          <w:szCs w:val="24"/>
        </w:rPr>
        <w:t>p</w:t>
      </w:r>
      <w:r w:rsidR="00D01B8C" w:rsidRPr="003A1174">
        <w:rPr>
          <w:rFonts w:ascii="Garamond" w:hAnsi="Garamond" w:cs="Arial"/>
          <w:spacing w:val="2"/>
          <w:sz w:val="24"/>
          <w:szCs w:val="24"/>
        </w:rPr>
        <w:t>o</w:t>
      </w:r>
      <w:r w:rsidR="00D01B8C" w:rsidRPr="003A1174">
        <w:rPr>
          <w:rFonts w:ascii="Garamond" w:hAnsi="Garamond" w:cs="Arial"/>
          <w:sz w:val="24"/>
          <w:szCs w:val="24"/>
        </w:rPr>
        <w:t>r</w:t>
      </w:r>
      <w:r w:rsidR="00D01B8C" w:rsidRPr="003A1174">
        <w:rPr>
          <w:rFonts w:ascii="Garamond" w:hAnsi="Garamond" w:cs="Arial"/>
          <w:spacing w:val="23"/>
          <w:sz w:val="24"/>
          <w:szCs w:val="24"/>
        </w:rPr>
        <w:t xml:space="preserve"> </w:t>
      </w:r>
      <w:r w:rsidR="00D01B8C" w:rsidRPr="003A1174">
        <w:rPr>
          <w:rFonts w:ascii="Garamond" w:hAnsi="Garamond" w:cs="Arial"/>
          <w:spacing w:val="-3"/>
          <w:sz w:val="24"/>
          <w:szCs w:val="24"/>
        </w:rPr>
        <w:t>u</w:t>
      </w:r>
      <w:r w:rsidRPr="003A1174">
        <w:rPr>
          <w:rFonts w:ascii="Garamond" w:hAnsi="Garamond" w:cs="Arial"/>
          <w:spacing w:val="1"/>
          <w:sz w:val="24"/>
          <w:szCs w:val="24"/>
        </w:rPr>
        <w:t>m</w:t>
      </w:r>
      <w:r w:rsidR="00D01B8C" w:rsidRPr="003A1174">
        <w:rPr>
          <w:rFonts w:ascii="Garamond" w:hAnsi="Garamond" w:cs="Arial"/>
          <w:sz w:val="24"/>
          <w:szCs w:val="24"/>
        </w:rPr>
        <w:t xml:space="preserve">a </w:t>
      </w:r>
      <w:r w:rsidR="00B30286" w:rsidRPr="003A1174">
        <w:rPr>
          <w:rFonts w:ascii="Garamond" w:hAnsi="Garamond" w:cs="Arial"/>
          <w:sz w:val="24"/>
          <w:szCs w:val="24"/>
        </w:rPr>
        <w:t>cre</w:t>
      </w:r>
      <w:r w:rsidRPr="003A1174">
        <w:rPr>
          <w:rFonts w:ascii="Garamond" w:hAnsi="Garamond" w:cs="Arial"/>
          <w:sz w:val="24"/>
          <w:szCs w:val="24"/>
        </w:rPr>
        <w:t>sc</w:t>
      </w:r>
      <w:r w:rsidR="00B30286" w:rsidRPr="003A1174">
        <w:rPr>
          <w:rFonts w:ascii="Garamond" w:hAnsi="Garamond" w:cs="Arial"/>
          <w:sz w:val="24"/>
          <w:szCs w:val="24"/>
        </w:rPr>
        <w:t>ente</w:t>
      </w:r>
      <w:r w:rsidR="00D01B8C" w:rsidRPr="003A1174">
        <w:rPr>
          <w:rFonts w:ascii="Garamond" w:hAnsi="Garamond" w:cs="Arial"/>
          <w:spacing w:val="6"/>
          <w:sz w:val="24"/>
          <w:szCs w:val="24"/>
        </w:rPr>
        <w:t xml:space="preserve"> </w:t>
      </w:r>
      <w:r w:rsidR="000350B1" w:rsidRPr="003A1174">
        <w:rPr>
          <w:rFonts w:ascii="Garamond" w:hAnsi="Garamond" w:cs="Arial"/>
          <w:spacing w:val="-2"/>
          <w:sz w:val="24"/>
          <w:szCs w:val="24"/>
        </w:rPr>
        <w:t>violência</w:t>
      </w:r>
      <w:r w:rsidR="00D01B8C" w:rsidRPr="003A1174">
        <w:rPr>
          <w:rFonts w:ascii="Garamond" w:hAnsi="Garamond" w:cs="Arial"/>
          <w:spacing w:val="9"/>
          <w:sz w:val="24"/>
          <w:szCs w:val="24"/>
        </w:rPr>
        <w:t xml:space="preserve"> </w:t>
      </w:r>
      <w:r w:rsidR="00D01B8C" w:rsidRPr="003A1174">
        <w:rPr>
          <w:rFonts w:ascii="Garamond" w:hAnsi="Garamond" w:cs="Arial"/>
          <w:spacing w:val="-6"/>
          <w:sz w:val="24"/>
          <w:szCs w:val="24"/>
        </w:rPr>
        <w:t>c</w:t>
      </w:r>
      <w:r w:rsidR="00D01B8C" w:rsidRPr="003A1174">
        <w:rPr>
          <w:rFonts w:ascii="Garamond" w:hAnsi="Garamond" w:cs="Arial"/>
          <w:spacing w:val="2"/>
          <w:sz w:val="24"/>
          <w:szCs w:val="24"/>
        </w:rPr>
        <w:t>o</w:t>
      </w:r>
      <w:r w:rsidR="00D01B8C" w:rsidRPr="003A1174">
        <w:rPr>
          <w:rFonts w:ascii="Garamond" w:hAnsi="Garamond" w:cs="Arial"/>
          <w:spacing w:val="1"/>
          <w:sz w:val="24"/>
          <w:szCs w:val="24"/>
        </w:rPr>
        <w:t>n</w:t>
      </w:r>
      <w:r w:rsidR="00D01B8C" w:rsidRPr="003A1174">
        <w:rPr>
          <w:rFonts w:ascii="Garamond" w:hAnsi="Garamond" w:cs="Arial"/>
          <w:spacing w:val="-6"/>
          <w:sz w:val="24"/>
          <w:szCs w:val="24"/>
        </w:rPr>
        <w:t>t</w:t>
      </w:r>
      <w:r w:rsidR="00D01B8C" w:rsidRPr="003A1174">
        <w:rPr>
          <w:rFonts w:ascii="Garamond" w:hAnsi="Garamond" w:cs="Arial"/>
          <w:spacing w:val="1"/>
          <w:sz w:val="24"/>
          <w:szCs w:val="24"/>
        </w:rPr>
        <w:t>r</w:t>
      </w:r>
      <w:r w:rsidR="00D01B8C" w:rsidRPr="003A1174">
        <w:rPr>
          <w:rFonts w:ascii="Garamond" w:hAnsi="Garamond" w:cs="Arial"/>
          <w:sz w:val="24"/>
          <w:szCs w:val="24"/>
        </w:rPr>
        <w:t>a</w:t>
      </w:r>
      <w:r w:rsidR="00D01B8C" w:rsidRPr="003A1174">
        <w:rPr>
          <w:rFonts w:ascii="Garamond" w:hAnsi="Garamond" w:cs="Arial"/>
          <w:spacing w:val="4"/>
          <w:sz w:val="24"/>
          <w:szCs w:val="24"/>
        </w:rPr>
        <w:t xml:space="preserve"> </w:t>
      </w:r>
      <w:r w:rsidR="00D01B8C" w:rsidRPr="003A1174">
        <w:rPr>
          <w:rFonts w:ascii="Garamond" w:hAnsi="Garamond" w:cs="Arial"/>
          <w:sz w:val="24"/>
          <w:szCs w:val="24"/>
        </w:rPr>
        <w:t>a</w:t>
      </w:r>
      <w:r w:rsidR="00D01B8C" w:rsidRPr="003A1174">
        <w:rPr>
          <w:rFonts w:ascii="Garamond" w:hAnsi="Garamond" w:cs="Arial"/>
          <w:spacing w:val="8"/>
          <w:sz w:val="24"/>
          <w:szCs w:val="24"/>
        </w:rPr>
        <w:t xml:space="preserve"> </w:t>
      </w:r>
      <w:r w:rsidR="00AF192F" w:rsidRPr="003A1174">
        <w:rPr>
          <w:rFonts w:ascii="Garamond" w:hAnsi="Garamond" w:cs="Arial"/>
          <w:spacing w:val="-7"/>
          <w:sz w:val="24"/>
          <w:szCs w:val="24"/>
        </w:rPr>
        <w:t>mulher</w:t>
      </w:r>
      <w:r w:rsidR="00D01B8C" w:rsidRPr="003A1174">
        <w:rPr>
          <w:rFonts w:ascii="Garamond" w:hAnsi="Garamond" w:cs="Arial"/>
          <w:spacing w:val="11"/>
          <w:sz w:val="24"/>
          <w:szCs w:val="24"/>
        </w:rPr>
        <w:t xml:space="preserve"> </w:t>
      </w:r>
      <w:r w:rsidR="00497503" w:rsidRPr="003A1174">
        <w:rPr>
          <w:rFonts w:ascii="Garamond" w:hAnsi="Garamond" w:cs="Arial"/>
          <w:sz w:val="24"/>
          <w:szCs w:val="24"/>
        </w:rPr>
        <w:t>e</w:t>
      </w:r>
      <w:r w:rsidR="00D01B8C" w:rsidRPr="003A1174">
        <w:rPr>
          <w:rFonts w:ascii="Garamond" w:hAnsi="Garamond" w:cs="Arial"/>
          <w:spacing w:val="9"/>
          <w:sz w:val="24"/>
          <w:szCs w:val="24"/>
        </w:rPr>
        <w:t xml:space="preserve"> </w:t>
      </w:r>
      <w:r w:rsidR="00A862C2" w:rsidRPr="003A1174">
        <w:rPr>
          <w:rFonts w:ascii="Garamond" w:hAnsi="Garamond" w:cs="Arial"/>
          <w:spacing w:val="1"/>
          <w:sz w:val="24"/>
          <w:szCs w:val="24"/>
        </w:rPr>
        <w:t>reconhecendo</w:t>
      </w:r>
      <w:r w:rsidR="00D01B8C" w:rsidRPr="003A1174">
        <w:rPr>
          <w:rFonts w:ascii="Garamond" w:hAnsi="Garamond" w:cs="Arial"/>
          <w:spacing w:val="6"/>
          <w:sz w:val="24"/>
          <w:szCs w:val="24"/>
        </w:rPr>
        <w:t xml:space="preserve"> </w:t>
      </w:r>
      <w:r w:rsidR="00D01B8C" w:rsidRPr="003A1174">
        <w:rPr>
          <w:rFonts w:ascii="Garamond" w:hAnsi="Garamond" w:cs="Arial"/>
          <w:spacing w:val="1"/>
          <w:sz w:val="24"/>
          <w:szCs w:val="24"/>
        </w:rPr>
        <w:t>q</w:t>
      </w:r>
      <w:r w:rsidR="00D01B8C" w:rsidRPr="003A1174">
        <w:rPr>
          <w:rFonts w:ascii="Garamond" w:hAnsi="Garamond" w:cs="Arial"/>
          <w:spacing w:val="2"/>
          <w:sz w:val="24"/>
          <w:szCs w:val="24"/>
        </w:rPr>
        <w:t>u</w:t>
      </w:r>
      <w:r w:rsidR="00D01B8C" w:rsidRPr="003A1174">
        <w:rPr>
          <w:rFonts w:ascii="Garamond" w:hAnsi="Garamond" w:cs="Arial"/>
          <w:sz w:val="24"/>
          <w:szCs w:val="24"/>
        </w:rPr>
        <w:t>e</w:t>
      </w:r>
      <w:r w:rsidR="00D01B8C" w:rsidRPr="003A1174">
        <w:rPr>
          <w:rFonts w:ascii="Garamond" w:hAnsi="Garamond" w:cs="Arial"/>
          <w:spacing w:val="1"/>
          <w:sz w:val="24"/>
          <w:szCs w:val="24"/>
        </w:rPr>
        <w:t xml:space="preserve"> </w:t>
      </w:r>
      <w:r w:rsidR="00D01B8C" w:rsidRPr="003A1174">
        <w:rPr>
          <w:rFonts w:ascii="Garamond" w:hAnsi="Garamond" w:cs="Arial"/>
          <w:sz w:val="24"/>
          <w:szCs w:val="24"/>
        </w:rPr>
        <w:t>a</w:t>
      </w:r>
      <w:r w:rsidR="00D01B8C" w:rsidRPr="003A1174">
        <w:rPr>
          <w:rFonts w:ascii="Garamond" w:hAnsi="Garamond" w:cs="Arial"/>
          <w:spacing w:val="4"/>
          <w:sz w:val="24"/>
          <w:szCs w:val="24"/>
        </w:rPr>
        <w:t xml:space="preserve"> </w:t>
      </w:r>
      <w:r w:rsidR="000350B1" w:rsidRPr="003A1174">
        <w:rPr>
          <w:rFonts w:ascii="Garamond" w:hAnsi="Garamond" w:cs="Arial"/>
          <w:spacing w:val="-2"/>
          <w:sz w:val="24"/>
          <w:szCs w:val="24"/>
        </w:rPr>
        <w:t>violência</w:t>
      </w:r>
      <w:r w:rsidR="00D01B8C" w:rsidRPr="003A1174">
        <w:rPr>
          <w:rFonts w:ascii="Garamond" w:hAnsi="Garamond" w:cs="Arial"/>
          <w:spacing w:val="9"/>
          <w:sz w:val="24"/>
          <w:szCs w:val="24"/>
        </w:rPr>
        <w:t xml:space="preserve"> </w:t>
      </w:r>
      <w:r w:rsidR="00D01B8C" w:rsidRPr="003A1174">
        <w:rPr>
          <w:rFonts w:ascii="Garamond" w:hAnsi="Garamond" w:cs="Arial"/>
          <w:spacing w:val="-4"/>
          <w:sz w:val="24"/>
          <w:szCs w:val="24"/>
        </w:rPr>
        <w:t>d</w:t>
      </w:r>
      <w:r w:rsidR="00D01B8C" w:rsidRPr="003A1174">
        <w:rPr>
          <w:rFonts w:ascii="Garamond" w:hAnsi="Garamond" w:cs="Arial"/>
          <w:spacing w:val="2"/>
          <w:sz w:val="24"/>
          <w:szCs w:val="24"/>
        </w:rPr>
        <w:t>o</w:t>
      </w:r>
      <w:r w:rsidR="00D01B8C" w:rsidRPr="003A1174">
        <w:rPr>
          <w:rFonts w:ascii="Garamond" w:hAnsi="Garamond" w:cs="Arial"/>
          <w:spacing w:val="-2"/>
          <w:sz w:val="24"/>
          <w:szCs w:val="24"/>
        </w:rPr>
        <w:t>mést</w:t>
      </w:r>
      <w:r w:rsidR="00D01B8C" w:rsidRPr="003A1174">
        <w:rPr>
          <w:rFonts w:ascii="Garamond" w:hAnsi="Garamond" w:cs="Arial"/>
          <w:spacing w:val="2"/>
          <w:sz w:val="24"/>
          <w:szCs w:val="24"/>
        </w:rPr>
        <w:t>i</w:t>
      </w:r>
      <w:r w:rsidR="00D01B8C" w:rsidRPr="003A1174">
        <w:rPr>
          <w:rFonts w:ascii="Garamond" w:hAnsi="Garamond" w:cs="Arial"/>
          <w:spacing w:val="-6"/>
          <w:sz w:val="24"/>
          <w:szCs w:val="24"/>
        </w:rPr>
        <w:t>c</w:t>
      </w:r>
      <w:r w:rsidR="00D01B8C" w:rsidRPr="003A1174">
        <w:rPr>
          <w:rFonts w:ascii="Garamond" w:hAnsi="Garamond" w:cs="Arial"/>
          <w:sz w:val="24"/>
          <w:szCs w:val="24"/>
        </w:rPr>
        <w:t>a</w:t>
      </w:r>
      <w:r w:rsidR="00D01B8C" w:rsidRPr="003A1174">
        <w:rPr>
          <w:rFonts w:ascii="Garamond" w:hAnsi="Garamond" w:cs="Arial"/>
          <w:spacing w:val="9"/>
          <w:sz w:val="24"/>
          <w:szCs w:val="24"/>
        </w:rPr>
        <w:t xml:space="preserve"> </w:t>
      </w:r>
      <w:r w:rsidR="00D01B8C" w:rsidRPr="003A1174">
        <w:rPr>
          <w:rFonts w:ascii="Garamond" w:hAnsi="Garamond" w:cs="Arial"/>
          <w:spacing w:val="-2"/>
          <w:sz w:val="24"/>
          <w:szCs w:val="24"/>
        </w:rPr>
        <w:t>e</w:t>
      </w:r>
      <w:r w:rsidR="00D01B8C" w:rsidRPr="003A1174">
        <w:rPr>
          <w:rFonts w:ascii="Garamond" w:hAnsi="Garamond" w:cs="Arial"/>
          <w:spacing w:val="1"/>
          <w:sz w:val="24"/>
          <w:szCs w:val="24"/>
        </w:rPr>
        <w:t>r</w:t>
      </w:r>
      <w:r w:rsidR="00D01B8C" w:rsidRPr="003A1174">
        <w:rPr>
          <w:rFonts w:ascii="Garamond" w:hAnsi="Garamond" w:cs="Arial"/>
          <w:sz w:val="24"/>
          <w:szCs w:val="24"/>
        </w:rPr>
        <w:t>a</w:t>
      </w:r>
      <w:r w:rsidR="00D01B8C" w:rsidRPr="003A1174">
        <w:rPr>
          <w:rFonts w:ascii="Garamond" w:hAnsi="Garamond" w:cs="Arial"/>
          <w:spacing w:val="4"/>
          <w:sz w:val="24"/>
          <w:szCs w:val="24"/>
        </w:rPr>
        <w:t xml:space="preserve"> </w:t>
      </w:r>
      <w:r w:rsidR="00D01B8C" w:rsidRPr="003A1174">
        <w:rPr>
          <w:rFonts w:ascii="Garamond" w:hAnsi="Garamond" w:cs="Arial"/>
          <w:spacing w:val="2"/>
          <w:sz w:val="24"/>
          <w:szCs w:val="24"/>
        </w:rPr>
        <w:t>u</w:t>
      </w:r>
      <w:r w:rsidRPr="003A1174">
        <w:rPr>
          <w:rFonts w:ascii="Garamond" w:hAnsi="Garamond" w:cs="Arial"/>
          <w:spacing w:val="2"/>
          <w:sz w:val="24"/>
          <w:szCs w:val="24"/>
        </w:rPr>
        <w:t xml:space="preserve">m </w:t>
      </w:r>
      <w:r w:rsidR="00497503" w:rsidRPr="003A1174">
        <w:rPr>
          <w:rFonts w:ascii="Garamond" w:hAnsi="Garamond" w:cs="Arial"/>
          <w:spacing w:val="1"/>
          <w:sz w:val="24"/>
          <w:szCs w:val="24"/>
        </w:rPr>
        <w:t>dos</w:t>
      </w:r>
      <w:r w:rsidR="00D01B8C" w:rsidRPr="003A1174">
        <w:rPr>
          <w:rFonts w:ascii="Garamond" w:hAnsi="Garamond" w:cs="Arial"/>
          <w:spacing w:val="-4"/>
          <w:sz w:val="24"/>
          <w:szCs w:val="24"/>
        </w:rPr>
        <w:t xml:space="preserve"> </w:t>
      </w:r>
      <w:r w:rsidR="001B02AD" w:rsidRPr="003A1174">
        <w:rPr>
          <w:rFonts w:ascii="Garamond" w:hAnsi="Garamond" w:cs="Arial"/>
          <w:spacing w:val="1"/>
          <w:sz w:val="24"/>
          <w:szCs w:val="24"/>
        </w:rPr>
        <w:t>atos</w:t>
      </w:r>
      <w:r w:rsidR="00D01B8C" w:rsidRPr="003A1174">
        <w:rPr>
          <w:rFonts w:ascii="Garamond" w:hAnsi="Garamond" w:cs="Arial"/>
          <w:spacing w:val="1"/>
          <w:sz w:val="24"/>
          <w:szCs w:val="24"/>
        </w:rPr>
        <w:t xml:space="preserve"> </w:t>
      </w:r>
      <w:r w:rsidR="00D01B8C" w:rsidRPr="003A1174">
        <w:rPr>
          <w:rFonts w:ascii="Garamond" w:hAnsi="Garamond" w:cs="Arial"/>
          <w:spacing w:val="-2"/>
          <w:sz w:val="24"/>
          <w:szCs w:val="24"/>
        </w:rPr>
        <w:t>m</w:t>
      </w:r>
      <w:r w:rsidRPr="003A1174">
        <w:rPr>
          <w:rFonts w:ascii="Garamond" w:hAnsi="Garamond" w:cs="Arial"/>
          <w:spacing w:val="-2"/>
          <w:sz w:val="24"/>
          <w:szCs w:val="24"/>
        </w:rPr>
        <w:t>ai</w:t>
      </w:r>
      <w:r w:rsidR="00D01B8C" w:rsidRPr="003A1174">
        <w:rPr>
          <w:rFonts w:ascii="Garamond" w:hAnsi="Garamond" w:cs="Arial"/>
          <w:sz w:val="24"/>
          <w:szCs w:val="24"/>
        </w:rPr>
        <w:t>s</w:t>
      </w:r>
      <w:r w:rsidR="00D01B8C" w:rsidRPr="003A1174">
        <w:rPr>
          <w:rFonts w:ascii="Garamond" w:hAnsi="Garamond" w:cs="Arial"/>
          <w:spacing w:val="-4"/>
          <w:sz w:val="24"/>
          <w:szCs w:val="24"/>
        </w:rPr>
        <w:t xml:space="preserve"> </w:t>
      </w:r>
      <w:r w:rsidRPr="003A1174">
        <w:rPr>
          <w:rFonts w:ascii="Garamond" w:hAnsi="Garamond" w:cs="Arial"/>
          <w:spacing w:val="-1"/>
          <w:sz w:val="24"/>
          <w:szCs w:val="24"/>
        </w:rPr>
        <w:t>complexo</w:t>
      </w:r>
      <w:r w:rsidR="00D01B8C" w:rsidRPr="003A1174">
        <w:rPr>
          <w:rFonts w:ascii="Garamond" w:hAnsi="Garamond" w:cs="Arial"/>
          <w:sz w:val="24"/>
          <w:szCs w:val="24"/>
        </w:rPr>
        <w:t>s</w:t>
      </w:r>
      <w:r w:rsidR="00D01B8C" w:rsidRPr="003A1174">
        <w:rPr>
          <w:rFonts w:ascii="Garamond" w:hAnsi="Garamond" w:cs="Arial"/>
          <w:spacing w:val="-3"/>
          <w:sz w:val="24"/>
          <w:szCs w:val="24"/>
        </w:rPr>
        <w:t xml:space="preserve"> </w:t>
      </w:r>
      <w:r w:rsidR="00D01B8C" w:rsidRPr="003A1174">
        <w:rPr>
          <w:rFonts w:ascii="Garamond" w:hAnsi="Garamond" w:cs="Arial"/>
          <w:spacing w:val="1"/>
          <w:sz w:val="24"/>
          <w:szCs w:val="24"/>
        </w:rPr>
        <w:t>q</w:t>
      </w:r>
      <w:r w:rsidR="00D01B8C" w:rsidRPr="003A1174">
        <w:rPr>
          <w:rFonts w:ascii="Garamond" w:hAnsi="Garamond" w:cs="Arial"/>
          <w:spacing w:val="2"/>
          <w:sz w:val="24"/>
          <w:szCs w:val="24"/>
        </w:rPr>
        <w:t>u</w:t>
      </w:r>
      <w:r w:rsidR="00D01B8C" w:rsidRPr="003A1174">
        <w:rPr>
          <w:rFonts w:ascii="Garamond" w:hAnsi="Garamond" w:cs="Arial"/>
          <w:sz w:val="24"/>
          <w:szCs w:val="24"/>
        </w:rPr>
        <w:t>e</w:t>
      </w:r>
      <w:r w:rsidR="00D01B8C" w:rsidRPr="003A1174">
        <w:rPr>
          <w:rFonts w:ascii="Garamond" w:hAnsi="Garamond" w:cs="Arial"/>
          <w:spacing w:val="-4"/>
          <w:sz w:val="24"/>
          <w:szCs w:val="24"/>
        </w:rPr>
        <w:t xml:space="preserve"> </w:t>
      </w:r>
      <w:r w:rsidRPr="003A1174">
        <w:rPr>
          <w:rFonts w:ascii="Garamond" w:hAnsi="Garamond" w:cs="Arial"/>
          <w:spacing w:val="-2"/>
          <w:sz w:val="24"/>
          <w:szCs w:val="24"/>
        </w:rPr>
        <w:t>a</w:t>
      </w:r>
      <w:r w:rsidR="00D01B8C" w:rsidRPr="003A1174">
        <w:rPr>
          <w:rFonts w:ascii="Garamond" w:hAnsi="Garamond" w:cs="Arial"/>
          <w:spacing w:val="-1"/>
          <w:sz w:val="24"/>
          <w:szCs w:val="24"/>
        </w:rPr>
        <w:t xml:space="preserve"> </w:t>
      </w:r>
      <w:r w:rsidR="00462B11" w:rsidRPr="003A1174">
        <w:rPr>
          <w:rFonts w:ascii="Garamond" w:hAnsi="Garamond" w:cs="Arial"/>
          <w:spacing w:val="1"/>
          <w:sz w:val="24"/>
          <w:szCs w:val="24"/>
        </w:rPr>
        <w:t>nossa</w:t>
      </w:r>
      <w:r w:rsidR="00D01B8C" w:rsidRPr="003A1174">
        <w:rPr>
          <w:rFonts w:ascii="Garamond" w:hAnsi="Garamond" w:cs="Arial"/>
          <w:spacing w:val="4"/>
          <w:sz w:val="24"/>
          <w:szCs w:val="24"/>
        </w:rPr>
        <w:t xml:space="preserve"> </w:t>
      </w:r>
      <w:r w:rsidR="002C7510" w:rsidRPr="003A1174">
        <w:rPr>
          <w:rFonts w:ascii="Garamond" w:hAnsi="Garamond" w:cs="Arial"/>
          <w:spacing w:val="-7"/>
          <w:sz w:val="24"/>
          <w:szCs w:val="24"/>
        </w:rPr>
        <w:t>sociedade</w:t>
      </w:r>
      <w:r w:rsidRPr="003A1174">
        <w:rPr>
          <w:rFonts w:ascii="Garamond" w:hAnsi="Garamond" w:cs="Arial"/>
          <w:spacing w:val="-7"/>
          <w:sz w:val="24"/>
          <w:szCs w:val="24"/>
        </w:rPr>
        <w:t xml:space="preserve"> </w:t>
      </w:r>
      <w:r w:rsidRPr="003A1174">
        <w:rPr>
          <w:rFonts w:ascii="Garamond" w:hAnsi="Garamond" w:cs="Arial"/>
          <w:spacing w:val="-2"/>
          <w:sz w:val="24"/>
          <w:szCs w:val="24"/>
        </w:rPr>
        <w:t>e</w:t>
      </w:r>
      <w:r w:rsidRPr="003A1174">
        <w:rPr>
          <w:rFonts w:ascii="Garamond" w:hAnsi="Garamond" w:cs="Arial"/>
          <w:spacing w:val="1"/>
          <w:sz w:val="24"/>
          <w:szCs w:val="24"/>
        </w:rPr>
        <w:t>n</w:t>
      </w:r>
      <w:r w:rsidRPr="003A1174">
        <w:rPr>
          <w:rFonts w:ascii="Garamond" w:hAnsi="Garamond" w:cs="Arial"/>
          <w:spacing w:val="-6"/>
          <w:sz w:val="24"/>
          <w:szCs w:val="24"/>
        </w:rPr>
        <w:t>f</w:t>
      </w:r>
      <w:r w:rsidRPr="003A1174">
        <w:rPr>
          <w:rFonts w:ascii="Garamond" w:hAnsi="Garamond" w:cs="Arial"/>
          <w:spacing w:val="1"/>
          <w:sz w:val="24"/>
          <w:szCs w:val="24"/>
        </w:rPr>
        <w:t>r</w:t>
      </w:r>
      <w:r w:rsidRPr="003A1174">
        <w:rPr>
          <w:rFonts w:ascii="Garamond" w:hAnsi="Garamond" w:cs="Arial"/>
          <w:spacing w:val="-2"/>
          <w:sz w:val="24"/>
          <w:szCs w:val="24"/>
        </w:rPr>
        <w:t>e</w:t>
      </w:r>
      <w:r w:rsidRPr="003A1174">
        <w:rPr>
          <w:rFonts w:ascii="Garamond" w:hAnsi="Garamond" w:cs="Arial"/>
          <w:spacing w:val="1"/>
          <w:sz w:val="24"/>
          <w:szCs w:val="24"/>
        </w:rPr>
        <w:t>n</w:t>
      </w:r>
      <w:r w:rsidRPr="003A1174">
        <w:rPr>
          <w:rFonts w:ascii="Garamond" w:hAnsi="Garamond" w:cs="Arial"/>
          <w:spacing w:val="-2"/>
          <w:sz w:val="24"/>
          <w:szCs w:val="24"/>
        </w:rPr>
        <w:t>t</w:t>
      </w:r>
      <w:r w:rsidRPr="003A1174">
        <w:rPr>
          <w:rFonts w:ascii="Garamond" w:hAnsi="Garamond" w:cs="Arial"/>
          <w:spacing w:val="-4"/>
          <w:sz w:val="24"/>
          <w:szCs w:val="24"/>
        </w:rPr>
        <w:t>av</w:t>
      </w:r>
      <w:r w:rsidRPr="003A1174">
        <w:rPr>
          <w:rFonts w:ascii="Garamond" w:hAnsi="Garamond" w:cs="Arial"/>
          <w:sz w:val="24"/>
          <w:szCs w:val="24"/>
        </w:rPr>
        <w:t>a</w:t>
      </w:r>
      <w:r w:rsidR="00D01B8C" w:rsidRPr="003A1174">
        <w:rPr>
          <w:rFonts w:ascii="Garamond" w:hAnsi="Garamond" w:cs="Arial"/>
          <w:sz w:val="24"/>
          <w:szCs w:val="24"/>
        </w:rPr>
        <w:t xml:space="preserve">.  </w:t>
      </w:r>
    </w:p>
    <w:p w:rsidR="00054C2B" w:rsidRDefault="00F96DD1" w:rsidP="00F96DD1">
      <w:pPr>
        <w:spacing w:before="240" w:line="240" w:lineRule="auto"/>
        <w:jc w:val="both"/>
        <w:rPr>
          <w:rFonts w:ascii="Garamond" w:hAnsi="Garamond" w:cs="Arial"/>
          <w:sz w:val="24"/>
          <w:szCs w:val="24"/>
        </w:rPr>
      </w:pPr>
      <w:r w:rsidRPr="003A1174">
        <w:rPr>
          <w:rFonts w:ascii="Garamond" w:hAnsi="Garamond" w:cs="Arial"/>
          <w:sz w:val="24"/>
          <w:szCs w:val="24"/>
        </w:rPr>
        <w:t xml:space="preserve">Naquela época, </w:t>
      </w:r>
      <w:r w:rsidR="00D01B8C" w:rsidRPr="003A1174">
        <w:rPr>
          <w:rFonts w:ascii="Garamond" w:hAnsi="Garamond" w:cs="Arial"/>
          <w:sz w:val="24"/>
          <w:szCs w:val="24"/>
        </w:rPr>
        <w:t>a</w:t>
      </w:r>
      <w:r w:rsidR="00D01B8C" w:rsidRPr="003A1174">
        <w:rPr>
          <w:rFonts w:ascii="Garamond" w:hAnsi="Garamond" w:cs="Arial"/>
          <w:spacing w:val="-2"/>
          <w:sz w:val="24"/>
          <w:szCs w:val="24"/>
        </w:rPr>
        <w:t xml:space="preserve"> </w:t>
      </w:r>
      <w:r w:rsidRPr="003A1174">
        <w:rPr>
          <w:rFonts w:ascii="Garamond" w:hAnsi="Garamond" w:cs="Arial"/>
          <w:spacing w:val="2"/>
          <w:sz w:val="24"/>
          <w:szCs w:val="24"/>
        </w:rPr>
        <w:t>Exposição</w:t>
      </w:r>
      <w:r w:rsidR="00D01B8C" w:rsidRPr="003A1174">
        <w:rPr>
          <w:rFonts w:ascii="Garamond" w:hAnsi="Garamond" w:cs="Arial"/>
          <w:spacing w:val="1"/>
          <w:sz w:val="24"/>
          <w:szCs w:val="24"/>
        </w:rPr>
        <w:t xml:space="preserve"> d</w:t>
      </w:r>
      <w:r w:rsidR="00D01B8C" w:rsidRPr="003A1174">
        <w:rPr>
          <w:rFonts w:ascii="Garamond" w:hAnsi="Garamond" w:cs="Arial"/>
          <w:sz w:val="24"/>
          <w:szCs w:val="24"/>
        </w:rPr>
        <w:t xml:space="preserve">e </w:t>
      </w:r>
      <w:r w:rsidR="00D01B8C" w:rsidRPr="003A1174">
        <w:rPr>
          <w:rFonts w:ascii="Garamond" w:hAnsi="Garamond" w:cs="Arial"/>
          <w:spacing w:val="-8"/>
          <w:sz w:val="24"/>
          <w:szCs w:val="24"/>
        </w:rPr>
        <w:t>M</w:t>
      </w:r>
      <w:r w:rsidR="00D01B8C" w:rsidRPr="003A1174">
        <w:rPr>
          <w:rFonts w:ascii="Garamond" w:hAnsi="Garamond" w:cs="Arial"/>
          <w:spacing w:val="2"/>
          <w:sz w:val="24"/>
          <w:szCs w:val="24"/>
        </w:rPr>
        <w:t>o</w:t>
      </w:r>
      <w:r w:rsidR="00D01B8C" w:rsidRPr="003A1174">
        <w:rPr>
          <w:rFonts w:ascii="Garamond" w:hAnsi="Garamond" w:cs="Arial"/>
          <w:spacing w:val="-2"/>
          <w:sz w:val="24"/>
          <w:szCs w:val="24"/>
        </w:rPr>
        <w:t>t</w:t>
      </w:r>
      <w:r w:rsidR="00D01B8C" w:rsidRPr="003A1174">
        <w:rPr>
          <w:rFonts w:ascii="Garamond" w:hAnsi="Garamond" w:cs="Arial"/>
          <w:spacing w:val="-3"/>
          <w:sz w:val="24"/>
          <w:szCs w:val="24"/>
        </w:rPr>
        <w:t>i</w:t>
      </w:r>
      <w:r w:rsidR="00D01B8C" w:rsidRPr="003A1174">
        <w:rPr>
          <w:rFonts w:ascii="Garamond" w:hAnsi="Garamond" w:cs="Arial"/>
          <w:spacing w:val="-2"/>
          <w:sz w:val="24"/>
          <w:szCs w:val="24"/>
        </w:rPr>
        <w:t>v</w:t>
      </w:r>
      <w:r w:rsidR="00D01B8C" w:rsidRPr="003A1174">
        <w:rPr>
          <w:rFonts w:ascii="Garamond" w:hAnsi="Garamond" w:cs="Arial"/>
          <w:spacing w:val="2"/>
          <w:sz w:val="24"/>
          <w:szCs w:val="24"/>
        </w:rPr>
        <w:t>o</w:t>
      </w:r>
      <w:r w:rsidR="00D01B8C" w:rsidRPr="003A1174">
        <w:rPr>
          <w:rFonts w:ascii="Garamond" w:hAnsi="Garamond" w:cs="Arial"/>
          <w:sz w:val="24"/>
          <w:szCs w:val="24"/>
        </w:rPr>
        <w:t>s</w:t>
      </w:r>
      <w:r w:rsidR="00D01B8C" w:rsidRPr="003A1174">
        <w:rPr>
          <w:rFonts w:ascii="Garamond" w:hAnsi="Garamond" w:cs="Arial"/>
          <w:spacing w:val="1"/>
          <w:sz w:val="24"/>
          <w:szCs w:val="24"/>
        </w:rPr>
        <w:t xml:space="preserve"> </w:t>
      </w:r>
      <w:r w:rsidR="00D01B8C" w:rsidRPr="003A1174">
        <w:rPr>
          <w:rFonts w:ascii="Garamond" w:hAnsi="Garamond" w:cs="Arial"/>
          <w:spacing w:val="-2"/>
          <w:sz w:val="24"/>
          <w:szCs w:val="24"/>
        </w:rPr>
        <w:t>e</w:t>
      </w:r>
      <w:r w:rsidR="00D01B8C" w:rsidRPr="003A1174">
        <w:rPr>
          <w:rFonts w:ascii="Garamond" w:hAnsi="Garamond" w:cs="Arial"/>
          <w:spacing w:val="-7"/>
          <w:sz w:val="24"/>
          <w:szCs w:val="24"/>
        </w:rPr>
        <w:t>s</w:t>
      </w:r>
      <w:r w:rsidR="00D01B8C" w:rsidRPr="003A1174">
        <w:rPr>
          <w:rFonts w:ascii="Garamond" w:hAnsi="Garamond" w:cs="Arial"/>
          <w:spacing w:val="1"/>
          <w:sz w:val="24"/>
          <w:szCs w:val="24"/>
        </w:rPr>
        <w:t>p</w:t>
      </w:r>
      <w:r w:rsidR="00D01B8C" w:rsidRPr="003A1174">
        <w:rPr>
          <w:rFonts w:ascii="Garamond" w:hAnsi="Garamond" w:cs="Arial"/>
          <w:spacing w:val="-2"/>
          <w:sz w:val="24"/>
          <w:szCs w:val="24"/>
        </w:rPr>
        <w:t>e</w:t>
      </w:r>
      <w:r w:rsidR="00D01B8C" w:rsidRPr="003A1174">
        <w:rPr>
          <w:rFonts w:ascii="Garamond" w:hAnsi="Garamond" w:cs="Arial"/>
          <w:spacing w:val="-1"/>
          <w:sz w:val="24"/>
          <w:szCs w:val="24"/>
        </w:rPr>
        <w:t>c</w:t>
      </w:r>
      <w:r w:rsidR="00D01B8C" w:rsidRPr="003A1174">
        <w:rPr>
          <w:rFonts w:ascii="Garamond" w:hAnsi="Garamond" w:cs="Arial"/>
          <w:spacing w:val="2"/>
          <w:sz w:val="24"/>
          <w:szCs w:val="24"/>
        </w:rPr>
        <w:t>i</w:t>
      </w:r>
      <w:r w:rsidR="00D01B8C" w:rsidRPr="003A1174">
        <w:rPr>
          <w:rFonts w:ascii="Garamond" w:hAnsi="Garamond" w:cs="Arial"/>
          <w:spacing w:val="-6"/>
          <w:sz w:val="24"/>
          <w:szCs w:val="24"/>
        </w:rPr>
        <w:t>f</w:t>
      </w:r>
      <w:r w:rsidR="00D01B8C" w:rsidRPr="003A1174">
        <w:rPr>
          <w:rFonts w:ascii="Garamond" w:hAnsi="Garamond" w:cs="Arial"/>
          <w:spacing w:val="2"/>
          <w:sz w:val="24"/>
          <w:szCs w:val="24"/>
        </w:rPr>
        <w:t>i</w:t>
      </w:r>
      <w:r w:rsidR="00D01B8C" w:rsidRPr="003A1174">
        <w:rPr>
          <w:rFonts w:ascii="Garamond" w:hAnsi="Garamond" w:cs="Arial"/>
          <w:spacing w:val="-6"/>
          <w:sz w:val="24"/>
          <w:szCs w:val="24"/>
        </w:rPr>
        <w:t>c</w:t>
      </w:r>
      <w:r w:rsidRPr="003A1174">
        <w:rPr>
          <w:rFonts w:ascii="Garamond" w:hAnsi="Garamond" w:cs="Arial"/>
          <w:spacing w:val="-6"/>
          <w:sz w:val="24"/>
          <w:szCs w:val="24"/>
        </w:rPr>
        <w:t xml:space="preserve">ou </w:t>
      </w:r>
      <w:r w:rsidR="00D01B8C" w:rsidRPr="003A1174">
        <w:rPr>
          <w:rFonts w:ascii="Garamond" w:hAnsi="Garamond" w:cs="Arial"/>
          <w:sz w:val="24"/>
          <w:szCs w:val="24"/>
        </w:rPr>
        <w:t>o</w:t>
      </w:r>
      <w:r w:rsidR="00D01B8C" w:rsidRPr="003A1174">
        <w:rPr>
          <w:rFonts w:ascii="Garamond" w:hAnsi="Garamond" w:cs="Arial"/>
          <w:spacing w:val="4"/>
          <w:sz w:val="24"/>
          <w:szCs w:val="24"/>
        </w:rPr>
        <w:t xml:space="preserve"> </w:t>
      </w:r>
      <w:r w:rsidR="006B29BF" w:rsidRPr="003A1174">
        <w:rPr>
          <w:rFonts w:ascii="Garamond" w:hAnsi="Garamond" w:cs="Arial"/>
          <w:spacing w:val="-7"/>
          <w:sz w:val="24"/>
          <w:szCs w:val="24"/>
        </w:rPr>
        <w:t>seguinte</w:t>
      </w:r>
      <w:r w:rsidR="00B30286" w:rsidRPr="003A1174">
        <w:rPr>
          <w:rFonts w:ascii="Garamond" w:hAnsi="Garamond" w:cs="Arial"/>
          <w:sz w:val="24"/>
          <w:szCs w:val="24"/>
        </w:rPr>
        <w:t>:</w:t>
      </w:r>
      <w:r w:rsidR="00D01B8C" w:rsidRPr="003A1174">
        <w:rPr>
          <w:rFonts w:ascii="Garamond" w:hAnsi="Garamond" w:cs="Arial"/>
          <w:sz w:val="24"/>
          <w:szCs w:val="24"/>
        </w:rPr>
        <w:t xml:space="preserve"> </w:t>
      </w:r>
    </w:p>
    <w:p w:rsidR="00D01B8C" w:rsidRPr="00054C2B" w:rsidRDefault="00054C2B" w:rsidP="00054C2B">
      <w:pPr>
        <w:spacing w:before="240" w:line="240" w:lineRule="auto"/>
        <w:ind w:left="567"/>
        <w:jc w:val="both"/>
        <w:rPr>
          <w:rFonts w:ascii="Garamond" w:eastAsia="Century Gothic" w:hAnsi="Garamond" w:cs="Arial"/>
        </w:rPr>
      </w:pPr>
      <w:r w:rsidRPr="00054C2B">
        <w:rPr>
          <w:rFonts w:ascii="Garamond" w:eastAsia="Century Gothic" w:hAnsi="Garamond" w:cs="Arial"/>
          <w:spacing w:val="-6"/>
        </w:rPr>
        <w:t>«</w:t>
      </w:r>
      <w:r w:rsidR="00D01B8C" w:rsidRPr="00054C2B">
        <w:rPr>
          <w:rFonts w:ascii="Garamond" w:eastAsia="Century Gothic" w:hAnsi="Garamond" w:cs="Arial"/>
          <w:spacing w:val="-1"/>
        </w:rPr>
        <w:t>N</w:t>
      </w:r>
      <w:r w:rsidR="00F96DD1" w:rsidRPr="00054C2B">
        <w:rPr>
          <w:rFonts w:ascii="Garamond" w:eastAsia="Century Gothic" w:hAnsi="Garamond" w:cs="Arial"/>
          <w:spacing w:val="-1"/>
        </w:rPr>
        <w:t>ã</w:t>
      </w:r>
      <w:r w:rsidR="00D01B8C" w:rsidRPr="00054C2B">
        <w:rPr>
          <w:rFonts w:ascii="Garamond" w:eastAsia="Century Gothic" w:hAnsi="Garamond" w:cs="Arial"/>
        </w:rPr>
        <w:t>o</w:t>
      </w:r>
      <w:r w:rsidR="00D01B8C" w:rsidRPr="00054C2B">
        <w:rPr>
          <w:rFonts w:ascii="Garamond" w:eastAsia="Century Gothic" w:hAnsi="Garamond" w:cs="Arial"/>
          <w:spacing w:val="23"/>
        </w:rPr>
        <w:t xml:space="preserve"> </w:t>
      </w:r>
      <w:r w:rsidR="00F96DD1" w:rsidRPr="00054C2B">
        <w:rPr>
          <w:rFonts w:ascii="Garamond" w:eastAsia="Century Gothic" w:hAnsi="Garamond" w:cs="Arial"/>
          <w:spacing w:val="-3"/>
        </w:rPr>
        <w:t>há</w:t>
      </w:r>
      <w:r w:rsidR="00D01B8C" w:rsidRPr="00054C2B">
        <w:rPr>
          <w:rFonts w:ascii="Garamond" w:eastAsia="Century Gothic" w:hAnsi="Garamond" w:cs="Arial"/>
          <w:spacing w:val="24"/>
        </w:rPr>
        <w:t xml:space="preserve"> </w:t>
      </w:r>
      <w:r w:rsidR="00F96DD1" w:rsidRPr="00054C2B">
        <w:rPr>
          <w:rFonts w:ascii="Garamond" w:eastAsia="Century Gothic" w:hAnsi="Garamond" w:cs="Arial"/>
          <w:spacing w:val="-4"/>
        </w:rPr>
        <w:t>dúvida</w:t>
      </w:r>
      <w:r w:rsidR="00D01B8C" w:rsidRPr="00054C2B">
        <w:rPr>
          <w:rFonts w:ascii="Garamond" w:eastAsia="Century Gothic" w:hAnsi="Garamond" w:cs="Arial"/>
          <w:spacing w:val="27"/>
        </w:rPr>
        <w:t xml:space="preserve"> </w:t>
      </w:r>
      <w:r w:rsidR="00D01B8C" w:rsidRPr="00054C2B">
        <w:rPr>
          <w:rFonts w:ascii="Garamond" w:eastAsia="Century Gothic" w:hAnsi="Garamond" w:cs="Arial"/>
          <w:spacing w:val="1"/>
        </w:rPr>
        <w:t>d</w:t>
      </w:r>
      <w:r w:rsidR="00D01B8C" w:rsidRPr="00054C2B">
        <w:rPr>
          <w:rFonts w:ascii="Garamond" w:eastAsia="Century Gothic" w:hAnsi="Garamond" w:cs="Arial"/>
        </w:rPr>
        <w:t>e</w:t>
      </w:r>
      <w:r w:rsidR="00D01B8C" w:rsidRPr="00054C2B">
        <w:rPr>
          <w:rFonts w:ascii="Garamond" w:eastAsia="Century Gothic" w:hAnsi="Garamond" w:cs="Arial"/>
          <w:spacing w:val="19"/>
        </w:rPr>
        <w:t xml:space="preserve"> </w:t>
      </w:r>
      <w:r w:rsidR="00D01B8C" w:rsidRPr="00054C2B">
        <w:rPr>
          <w:rFonts w:ascii="Garamond" w:eastAsia="Century Gothic" w:hAnsi="Garamond" w:cs="Arial"/>
          <w:spacing w:val="-4"/>
        </w:rPr>
        <w:t>q</w:t>
      </w:r>
      <w:r w:rsidR="00D01B8C" w:rsidRPr="00054C2B">
        <w:rPr>
          <w:rFonts w:ascii="Garamond" w:eastAsia="Century Gothic" w:hAnsi="Garamond" w:cs="Arial"/>
          <w:spacing w:val="2"/>
        </w:rPr>
        <w:t>u</w:t>
      </w:r>
      <w:r w:rsidR="00D01B8C" w:rsidRPr="00054C2B">
        <w:rPr>
          <w:rFonts w:ascii="Garamond" w:eastAsia="Century Gothic" w:hAnsi="Garamond" w:cs="Arial"/>
        </w:rPr>
        <w:t>e</w:t>
      </w:r>
      <w:r w:rsidR="00D01B8C" w:rsidRPr="00054C2B">
        <w:rPr>
          <w:rFonts w:ascii="Garamond" w:eastAsia="Century Gothic" w:hAnsi="Garamond" w:cs="Arial"/>
          <w:spacing w:val="25"/>
        </w:rPr>
        <w:t xml:space="preserve"> </w:t>
      </w:r>
      <w:r w:rsidR="00D01B8C" w:rsidRPr="00054C2B">
        <w:rPr>
          <w:rFonts w:ascii="Garamond" w:eastAsia="Century Gothic" w:hAnsi="Garamond" w:cs="Arial"/>
          <w:spacing w:val="-4"/>
        </w:rPr>
        <w:t>p</w:t>
      </w:r>
      <w:r w:rsidR="00D01B8C" w:rsidRPr="00054C2B">
        <w:rPr>
          <w:rFonts w:ascii="Garamond" w:eastAsia="Century Gothic" w:hAnsi="Garamond" w:cs="Arial"/>
          <w:spacing w:val="1"/>
        </w:rPr>
        <w:t>a</w:t>
      </w:r>
      <w:r w:rsidR="00D01B8C" w:rsidRPr="00054C2B">
        <w:rPr>
          <w:rFonts w:ascii="Garamond" w:eastAsia="Century Gothic" w:hAnsi="Garamond" w:cs="Arial"/>
          <w:spacing w:val="-3"/>
        </w:rPr>
        <w:t>r</w:t>
      </w:r>
      <w:r w:rsidR="00D01B8C" w:rsidRPr="00054C2B">
        <w:rPr>
          <w:rFonts w:ascii="Garamond" w:eastAsia="Century Gothic" w:hAnsi="Garamond" w:cs="Arial"/>
        </w:rPr>
        <w:t>a</w:t>
      </w:r>
      <w:r w:rsidR="00D01B8C" w:rsidRPr="00054C2B">
        <w:rPr>
          <w:rFonts w:ascii="Garamond" w:eastAsia="Century Gothic" w:hAnsi="Garamond" w:cs="Arial"/>
          <w:spacing w:val="27"/>
        </w:rPr>
        <w:t xml:space="preserve"> </w:t>
      </w:r>
      <w:r w:rsidR="00F96DD1" w:rsidRPr="00054C2B">
        <w:rPr>
          <w:rFonts w:ascii="Garamond" w:eastAsia="Century Gothic" w:hAnsi="Garamond" w:cs="Arial"/>
          <w:spacing w:val="27"/>
        </w:rPr>
        <w:t xml:space="preserve">enfrentar </w:t>
      </w:r>
      <w:r w:rsidR="00D01B8C" w:rsidRPr="00054C2B">
        <w:rPr>
          <w:rFonts w:ascii="Garamond" w:eastAsia="Century Gothic" w:hAnsi="Garamond" w:cs="Arial"/>
          <w:spacing w:val="-2"/>
        </w:rPr>
        <w:t>est</w:t>
      </w:r>
      <w:r w:rsidR="00D01B8C" w:rsidRPr="00054C2B">
        <w:rPr>
          <w:rFonts w:ascii="Garamond" w:eastAsia="Century Gothic" w:hAnsi="Garamond" w:cs="Arial"/>
        </w:rPr>
        <w:t>e</w:t>
      </w:r>
      <w:r w:rsidR="00D01B8C" w:rsidRPr="00054C2B">
        <w:rPr>
          <w:rFonts w:ascii="Garamond" w:eastAsia="Century Gothic" w:hAnsi="Garamond" w:cs="Arial"/>
          <w:spacing w:val="20"/>
        </w:rPr>
        <w:t xml:space="preserve"> </w:t>
      </w:r>
      <w:r w:rsidR="00D01B8C" w:rsidRPr="00054C2B">
        <w:rPr>
          <w:rFonts w:ascii="Garamond" w:eastAsia="Century Gothic" w:hAnsi="Garamond" w:cs="Arial"/>
          <w:spacing w:val="-4"/>
        </w:rPr>
        <w:t>p</w:t>
      </w:r>
      <w:r w:rsidR="00D01B8C" w:rsidRPr="00054C2B">
        <w:rPr>
          <w:rFonts w:ascii="Garamond" w:eastAsia="Century Gothic" w:hAnsi="Garamond" w:cs="Arial"/>
          <w:spacing w:val="1"/>
        </w:rPr>
        <w:t>r</w:t>
      </w:r>
      <w:r w:rsidR="00D01B8C" w:rsidRPr="00054C2B">
        <w:rPr>
          <w:rFonts w:ascii="Garamond" w:eastAsia="Century Gothic" w:hAnsi="Garamond" w:cs="Arial"/>
          <w:spacing w:val="-3"/>
        </w:rPr>
        <w:t>o</w:t>
      </w:r>
      <w:r w:rsidR="00D01B8C" w:rsidRPr="00054C2B">
        <w:rPr>
          <w:rFonts w:ascii="Garamond" w:eastAsia="Century Gothic" w:hAnsi="Garamond" w:cs="Arial"/>
          <w:spacing w:val="1"/>
        </w:rPr>
        <w:t>b</w:t>
      </w:r>
      <w:r w:rsidR="00D01B8C" w:rsidRPr="00054C2B">
        <w:rPr>
          <w:rFonts w:ascii="Garamond" w:eastAsia="Century Gothic" w:hAnsi="Garamond" w:cs="Arial"/>
          <w:spacing w:val="2"/>
        </w:rPr>
        <w:t>l</w:t>
      </w:r>
      <w:r w:rsidR="00D01B8C" w:rsidRPr="00054C2B">
        <w:rPr>
          <w:rFonts w:ascii="Garamond" w:eastAsia="Century Gothic" w:hAnsi="Garamond" w:cs="Arial"/>
          <w:spacing w:val="-7"/>
        </w:rPr>
        <w:t>e</w:t>
      </w:r>
      <w:r w:rsidR="00D01B8C" w:rsidRPr="00054C2B">
        <w:rPr>
          <w:rFonts w:ascii="Garamond" w:eastAsia="Century Gothic" w:hAnsi="Garamond" w:cs="Arial"/>
          <w:spacing w:val="-2"/>
        </w:rPr>
        <w:t>m</w:t>
      </w:r>
      <w:r w:rsidR="00D01B8C" w:rsidRPr="00054C2B">
        <w:rPr>
          <w:rFonts w:ascii="Garamond" w:eastAsia="Century Gothic" w:hAnsi="Garamond" w:cs="Arial"/>
        </w:rPr>
        <w:t>a</w:t>
      </w:r>
      <w:r w:rsidR="00E34DB3" w:rsidRPr="00054C2B">
        <w:rPr>
          <w:rFonts w:ascii="Garamond" w:eastAsia="Century Gothic" w:hAnsi="Garamond" w:cs="Arial"/>
        </w:rPr>
        <w:t>,</w:t>
      </w:r>
      <w:r w:rsidR="00D01B8C" w:rsidRPr="00054C2B">
        <w:rPr>
          <w:rFonts w:ascii="Garamond" w:eastAsia="Century Gothic" w:hAnsi="Garamond" w:cs="Arial"/>
          <w:spacing w:val="27"/>
        </w:rPr>
        <w:t xml:space="preserve"> </w:t>
      </w:r>
      <w:r w:rsidR="00D84A9F" w:rsidRPr="00054C2B">
        <w:rPr>
          <w:rFonts w:ascii="Garamond" w:eastAsia="Century Gothic" w:hAnsi="Garamond" w:cs="Arial"/>
          <w:spacing w:val="-7"/>
        </w:rPr>
        <w:t>efetiva</w:t>
      </w:r>
      <w:r w:rsidR="00D01B8C" w:rsidRPr="00054C2B">
        <w:rPr>
          <w:rFonts w:ascii="Garamond" w:eastAsia="Century Gothic" w:hAnsi="Garamond" w:cs="Arial"/>
          <w:spacing w:val="2"/>
        </w:rPr>
        <w:t>m</w:t>
      </w:r>
      <w:r w:rsidR="00D01B8C" w:rsidRPr="00054C2B">
        <w:rPr>
          <w:rFonts w:ascii="Garamond" w:eastAsia="Century Gothic" w:hAnsi="Garamond" w:cs="Arial"/>
          <w:spacing w:val="-2"/>
        </w:rPr>
        <w:t>e</w:t>
      </w:r>
      <w:r w:rsidR="00D01B8C" w:rsidRPr="00054C2B">
        <w:rPr>
          <w:rFonts w:ascii="Garamond" w:eastAsia="Century Gothic" w:hAnsi="Garamond" w:cs="Arial"/>
          <w:spacing w:val="1"/>
        </w:rPr>
        <w:t>n</w:t>
      </w:r>
      <w:r w:rsidR="00D01B8C" w:rsidRPr="00054C2B">
        <w:rPr>
          <w:rFonts w:ascii="Garamond" w:eastAsia="Century Gothic" w:hAnsi="Garamond" w:cs="Arial"/>
          <w:spacing w:val="-2"/>
        </w:rPr>
        <w:t>t</w:t>
      </w:r>
      <w:r w:rsidR="00D01B8C" w:rsidRPr="00054C2B">
        <w:rPr>
          <w:rFonts w:ascii="Garamond" w:eastAsia="Century Gothic" w:hAnsi="Garamond" w:cs="Arial"/>
          <w:spacing w:val="-7"/>
        </w:rPr>
        <w:t>e</w:t>
      </w:r>
      <w:r w:rsidR="00D01B8C" w:rsidRPr="00054C2B">
        <w:rPr>
          <w:rFonts w:ascii="Garamond" w:eastAsia="Century Gothic" w:hAnsi="Garamond" w:cs="Arial"/>
        </w:rPr>
        <w:t>,</w:t>
      </w:r>
      <w:r w:rsidR="00D01B8C" w:rsidRPr="00054C2B">
        <w:rPr>
          <w:rFonts w:ascii="Garamond" w:eastAsia="Century Gothic" w:hAnsi="Garamond" w:cs="Arial"/>
          <w:spacing w:val="30"/>
        </w:rPr>
        <w:t xml:space="preserve"> </w:t>
      </w:r>
      <w:r w:rsidR="00E34DB3" w:rsidRPr="00054C2B">
        <w:rPr>
          <w:rFonts w:ascii="Garamond" w:eastAsia="Century Gothic" w:hAnsi="Garamond" w:cs="Arial"/>
          <w:spacing w:val="30"/>
        </w:rPr>
        <w:t xml:space="preserve">se </w:t>
      </w:r>
      <w:r w:rsidR="00F96DD1" w:rsidRPr="00054C2B">
        <w:rPr>
          <w:rFonts w:ascii="Garamond" w:eastAsia="Century Gothic" w:hAnsi="Garamond" w:cs="Arial"/>
          <w:spacing w:val="30"/>
        </w:rPr>
        <w:t>necessita</w:t>
      </w:r>
      <w:r w:rsidR="00E34DB3" w:rsidRPr="00054C2B">
        <w:rPr>
          <w:rFonts w:ascii="Garamond" w:eastAsia="Century Gothic" w:hAnsi="Garamond" w:cs="Arial"/>
          <w:spacing w:val="30"/>
        </w:rPr>
        <w:t xml:space="preserve"> </w:t>
      </w:r>
      <w:r w:rsidR="00F96DD1" w:rsidRPr="00054C2B">
        <w:rPr>
          <w:rFonts w:ascii="Garamond" w:eastAsia="Century Gothic" w:hAnsi="Garamond" w:cs="Arial"/>
          <w:spacing w:val="30"/>
        </w:rPr>
        <w:t xml:space="preserve">da </w:t>
      </w:r>
      <w:r w:rsidR="002A59E7" w:rsidRPr="00054C2B">
        <w:rPr>
          <w:rFonts w:ascii="Garamond" w:eastAsia="Century Gothic" w:hAnsi="Garamond" w:cs="Arial"/>
          <w:spacing w:val="-2"/>
        </w:rPr>
        <w:t>vontade</w:t>
      </w:r>
      <w:r w:rsidR="00D01B8C" w:rsidRPr="00054C2B">
        <w:rPr>
          <w:rFonts w:ascii="Garamond" w:eastAsia="Century Gothic" w:hAnsi="Garamond" w:cs="Arial"/>
          <w:spacing w:val="51"/>
        </w:rPr>
        <w:t xml:space="preserve"> </w:t>
      </w:r>
      <w:r w:rsidR="00D01B8C" w:rsidRPr="00054C2B">
        <w:rPr>
          <w:rFonts w:ascii="Garamond" w:eastAsia="Century Gothic" w:hAnsi="Garamond" w:cs="Arial"/>
          <w:spacing w:val="1"/>
        </w:rPr>
        <w:t>d</w:t>
      </w:r>
      <w:r w:rsidR="00D01B8C" w:rsidRPr="00054C2B">
        <w:rPr>
          <w:rFonts w:ascii="Garamond" w:eastAsia="Century Gothic" w:hAnsi="Garamond" w:cs="Arial"/>
        </w:rPr>
        <w:t>e</w:t>
      </w:r>
      <w:r w:rsidR="00D01B8C" w:rsidRPr="00054C2B">
        <w:rPr>
          <w:rFonts w:ascii="Garamond" w:eastAsia="Century Gothic" w:hAnsi="Garamond" w:cs="Arial"/>
          <w:spacing w:val="53"/>
        </w:rPr>
        <w:t xml:space="preserve"> </w:t>
      </w:r>
      <w:r w:rsidR="00D01B8C" w:rsidRPr="00054C2B">
        <w:rPr>
          <w:rFonts w:ascii="Garamond" w:eastAsia="Century Gothic" w:hAnsi="Garamond" w:cs="Arial"/>
          <w:spacing w:val="2"/>
        </w:rPr>
        <w:t>u</w:t>
      </w:r>
      <w:r w:rsidR="00D01B8C" w:rsidRPr="00054C2B">
        <w:rPr>
          <w:rFonts w:ascii="Garamond" w:eastAsia="Century Gothic" w:hAnsi="Garamond" w:cs="Arial"/>
          <w:spacing w:val="-3"/>
        </w:rPr>
        <w:t>n</w:t>
      </w:r>
      <w:r w:rsidR="00D01B8C" w:rsidRPr="00054C2B">
        <w:rPr>
          <w:rFonts w:ascii="Garamond" w:eastAsia="Century Gothic" w:hAnsi="Garamond" w:cs="Arial"/>
          <w:spacing w:val="2"/>
        </w:rPr>
        <w:t>i</w:t>
      </w:r>
      <w:r w:rsidR="00D01B8C" w:rsidRPr="00054C2B">
        <w:rPr>
          <w:rFonts w:ascii="Garamond" w:eastAsia="Century Gothic" w:hAnsi="Garamond" w:cs="Arial"/>
        </w:rPr>
        <w:t>r</w:t>
      </w:r>
      <w:r w:rsidR="00D01B8C" w:rsidRPr="00054C2B">
        <w:rPr>
          <w:rFonts w:ascii="Garamond" w:eastAsia="Century Gothic" w:hAnsi="Garamond" w:cs="Arial"/>
          <w:spacing w:val="1"/>
        </w:rPr>
        <w:t xml:space="preserve"> </w:t>
      </w:r>
      <w:r w:rsidR="00C30647" w:rsidRPr="00054C2B">
        <w:rPr>
          <w:rFonts w:ascii="Garamond" w:eastAsia="Century Gothic" w:hAnsi="Garamond" w:cs="Arial"/>
          <w:spacing w:val="-2"/>
        </w:rPr>
        <w:t>esforço</w:t>
      </w:r>
      <w:r w:rsidR="00D01B8C" w:rsidRPr="00054C2B">
        <w:rPr>
          <w:rFonts w:ascii="Garamond" w:eastAsia="Century Gothic" w:hAnsi="Garamond" w:cs="Arial"/>
        </w:rPr>
        <w:t>s</w:t>
      </w:r>
      <w:r w:rsidR="00D01B8C" w:rsidRPr="00054C2B">
        <w:rPr>
          <w:rFonts w:ascii="Garamond" w:eastAsia="Century Gothic" w:hAnsi="Garamond" w:cs="Arial"/>
          <w:spacing w:val="55"/>
        </w:rPr>
        <w:t xml:space="preserve"> </w:t>
      </w:r>
      <w:r w:rsidR="00497503" w:rsidRPr="00054C2B">
        <w:rPr>
          <w:rFonts w:ascii="Garamond" w:eastAsia="Century Gothic" w:hAnsi="Garamond" w:cs="Arial"/>
        </w:rPr>
        <w:t>e</w:t>
      </w:r>
      <w:r w:rsidR="00D01B8C" w:rsidRPr="00054C2B">
        <w:rPr>
          <w:rFonts w:ascii="Garamond" w:eastAsia="Century Gothic" w:hAnsi="Garamond" w:cs="Arial"/>
          <w:spacing w:val="52"/>
        </w:rPr>
        <w:t xml:space="preserve"> </w:t>
      </w:r>
      <w:r w:rsidR="00D01B8C" w:rsidRPr="00054C2B">
        <w:rPr>
          <w:rFonts w:ascii="Garamond" w:eastAsia="Century Gothic" w:hAnsi="Garamond" w:cs="Arial"/>
          <w:spacing w:val="1"/>
        </w:rPr>
        <w:t>pr</w:t>
      </w:r>
      <w:r w:rsidR="00D01B8C" w:rsidRPr="00054C2B">
        <w:rPr>
          <w:rFonts w:ascii="Garamond" w:eastAsia="Century Gothic" w:hAnsi="Garamond" w:cs="Arial"/>
          <w:spacing w:val="-3"/>
        </w:rPr>
        <w:t>o</w:t>
      </w:r>
      <w:r w:rsidR="00D01B8C" w:rsidRPr="00054C2B">
        <w:rPr>
          <w:rFonts w:ascii="Garamond" w:eastAsia="Century Gothic" w:hAnsi="Garamond" w:cs="Arial"/>
          <w:spacing w:val="-4"/>
        </w:rPr>
        <w:t>p</w:t>
      </w:r>
      <w:r w:rsidR="00D01B8C" w:rsidRPr="00054C2B">
        <w:rPr>
          <w:rFonts w:ascii="Garamond" w:eastAsia="Century Gothic" w:hAnsi="Garamond" w:cs="Arial"/>
          <w:spacing w:val="2"/>
        </w:rPr>
        <w:t>ó</w:t>
      </w:r>
      <w:r w:rsidR="00D01B8C" w:rsidRPr="00054C2B">
        <w:rPr>
          <w:rFonts w:ascii="Garamond" w:eastAsia="Century Gothic" w:hAnsi="Garamond" w:cs="Arial"/>
          <w:spacing w:val="-7"/>
        </w:rPr>
        <w:t>s</w:t>
      </w:r>
      <w:r w:rsidR="00D01B8C" w:rsidRPr="00054C2B">
        <w:rPr>
          <w:rFonts w:ascii="Garamond" w:eastAsia="Century Gothic" w:hAnsi="Garamond" w:cs="Arial"/>
          <w:spacing w:val="7"/>
        </w:rPr>
        <w:t>i</w:t>
      </w:r>
      <w:r w:rsidR="00D01B8C" w:rsidRPr="00054C2B">
        <w:rPr>
          <w:rFonts w:ascii="Garamond" w:eastAsia="Century Gothic" w:hAnsi="Garamond" w:cs="Arial"/>
          <w:spacing w:val="-6"/>
        </w:rPr>
        <w:t>t</w:t>
      </w:r>
      <w:r w:rsidR="00D01B8C" w:rsidRPr="00054C2B">
        <w:rPr>
          <w:rFonts w:ascii="Garamond" w:eastAsia="Century Gothic" w:hAnsi="Garamond" w:cs="Arial"/>
          <w:spacing w:val="2"/>
        </w:rPr>
        <w:t>o</w:t>
      </w:r>
      <w:r w:rsidR="00D01B8C" w:rsidRPr="00054C2B">
        <w:rPr>
          <w:rFonts w:ascii="Garamond" w:eastAsia="Century Gothic" w:hAnsi="Garamond" w:cs="Arial"/>
        </w:rPr>
        <w:t>s</w:t>
      </w:r>
      <w:r w:rsidR="00D01B8C" w:rsidRPr="00054C2B">
        <w:rPr>
          <w:rFonts w:ascii="Garamond" w:eastAsia="Century Gothic" w:hAnsi="Garamond" w:cs="Arial"/>
          <w:spacing w:val="55"/>
        </w:rPr>
        <w:t xml:space="preserve"> </w:t>
      </w:r>
      <w:r w:rsidR="00D01B8C" w:rsidRPr="00054C2B">
        <w:rPr>
          <w:rFonts w:ascii="Garamond" w:eastAsia="Century Gothic" w:hAnsi="Garamond" w:cs="Arial"/>
          <w:spacing w:val="-2"/>
        </w:rPr>
        <w:t>e</w:t>
      </w:r>
      <w:r w:rsidR="00D01B8C" w:rsidRPr="00054C2B">
        <w:rPr>
          <w:rFonts w:ascii="Garamond" w:eastAsia="Century Gothic" w:hAnsi="Garamond" w:cs="Arial"/>
          <w:spacing w:val="1"/>
        </w:rPr>
        <w:t>n</w:t>
      </w:r>
      <w:r w:rsidR="00D01B8C" w:rsidRPr="00054C2B">
        <w:rPr>
          <w:rFonts w:ascii="Garamond" w:eastAsia="Century Gothic" w:hAnsi="Garamond" w:cs="Arial"/>
          <w:spacing w:val="-2"/>
        </w:rPr>
        <w:t>t</w:t>
      </w:r>
      <w:r w:rsidR="00D01B8C" w:rsidRPr="00054C2B">
        <w:rPr>
          <w:rFonts w:ascii="Garamond" w:eastAsia="Century Gothic" w:hAnsi="Garamond" w:cs="Arial"/>
          <w:spacing w:val="1"/>
        </w:rPr>
        <w:t>r</w:t>
      </w:r>
      <w:r w:rsidR="00D01B8C" w:rsidRPr="00054C2B">
        <w:rPr>
          <w:rFonts w:ascii="Garamond" w:eastAsia="Century Gothic" w:hAnsi="Garamond" w:cs="Arial"/>
        </w:rPr>
        <w:t>e</w:t>
      </w:r>
      <w:r w:rsidR="00D01B8C" w:rsidRPr="00054C2B">
        <w:rPr>
          <w:rFonts w:ascii="Garamond" w:eastAsia="Century Gothic" w:hAnsi="Garamond" w:cs="Arial"/>
          <w:spacing w:val="53"/>
        </w:rPr>
        <w:t xml:space="preserve"> </w:t>
      </w:r>
      <w:r w:rsidR="00F96DD1" w:rsidRPr="00054C2B">
        <w:rPr>
          <w:rFonts w:ascii="Garamond" w:eastAsia="Century Gothic" w:hAnsi="Garamond" w:cs="Arial"/>
          <w:spacing w:val="53"/>
        </w:rPr>
        <w:t>o</w:t>
      </w:r>
      <w:r w:rsidR="00F96DD1" w:rsidRPr="00054C2B">
        <w:rPr>
          <w:rFonts w:ascii="Garamond" w:eastAsia="Century Gothic" w:hAnsi="Garamond" w:cs="Arial"/>
          <w:spacing w:val="-2"/>
        </w:rPr>
        <w:t>setor</w:t>
      </w:r>
      <w:r w:rsidR="00D01B8C" w:rsidRPr="00054C2B">
        <w:rPr>
          <w:rFonts w:ascii="Garamond" w:eastAsia="Century Gothic" w:hAnsi="Garamond" w:cs="Arial"/>
          <w:spacing w:val="1"/>
        </w:rPr>
        <w:t xml:space="preserve"> </w:t>
      </w:r>
      <w:r w:rsidR="00D01B8C" w:rsidRPr="00054C2B">
        <w:rPr>
          <w:rFonts w:ascii="Garamond" w:eastAsia="Century Gothic" w:hAnsi="Garamond" w:cs="Arial"/>
          <w:spacing w:val="-4"/>
        </w:rPr>
        <w:t>p</w:t>
      </w:r>
      <w:r w:rsidR="00D01B8C" w:rsidRPr="00054C2B">
        <w:rPr>
          <w:rFonts w:ascii="Garamond" w:eastAsia="Century Gothic" w:hAnsi="Garamond" w:cs="Arial"/>
          <w:spacing w:val="-3"/>
        </w:rPr>
        <w:t>ú</w:t>
      </w:r>
      <w:r w:rsidR="00D01B8C" w:rsidRPr="00054C2B">
        <w:rPr>
          <w:rFonts w:ascii="Garamond" w:eastAsia="Century Gothic" w:hAnsi="Garamond" w:cs="Arial"/>
          <w:spacing w:val="1"/>
        </w:rPr>
        <w:t>b</w:t>
      </w:r>
      <w:r w:rsidR="00D01B8C" w:rsidRPr="00054C2B">
        <w:rPr>
          <w:rFonts w:ascii="Garamond" w:eastAsia="Century Gothic" w:hAnsi="Garamond" w:cs="Arial"/>
          <w:spacing w:val="-3"/>
        </w:rPr>
        <w:t>l</w:t>
      </w:r>
      <w:r w:rsidR="00D01B8C" w:rsidRPr="00054C2B">
        <w:rPr>
          <w:rFonts w:ascii="Garamond" w:eastAsia="Century Gothic" w:hAnsi="Garamond" w:cs="Arial"/>
          <w:spacing w:val="2"/>
        </w:rPr>
        <w:t>i</w:t>
      </w:r>
      <w:r w:rsidR="00D01B8C" w:rsidRPr="00054C2B">
        <w:rPr>
          <w:rFonts w:ascii="Garamond" w:eastAsia="Century Gothic" w:hAnsi="Garamond" w:cs="Arial"/>
          <w:spacing w:val="-6"/>
        </w:rPr>
        <w:t>c</w:t>
      </w:r>
      <w:r w:rsidR="00D01B8C" w:rsidRPr="00054C2B">
        <w:rPr>
          <w:rFonts w:ascii="Garamond" w:eastAsia="Century Gothic" w:hAnsi="Garamond" w:cs="Arial"/>
          <w:spacing w:val="-3"/>
        </w:rPr>
        <w:t>o</w:t>
      </w:r>
      <w:r w:rsidR="00D01B8C" w:rsidRPr="00054C2B">
        <w:rPr>
          <w:rFonts w:ascii="Garamond" w:eastAsia="Century Gothic" w:hAnsi="Garamond" w:cs="Arial"/>
        </w:rPr>
        <w:t>,</w:t>
      </w:r>
      <w:r w:rsidR="00D01B8C" w:rsidRPr="00054C2B">
        <w:rPr>
          <w:rFonts w:ascii="Garamond" w:eastAsia="Century Gothic" w:hAnsi="Garamond" w:cs="Arial"/>
          <w:spacing w:val="7"/>
        </w:rPr>
        <w:t xml:space="preserve"> </w:t>
      </w:r>
      <w:r w:rsidR="00F96DD1" w:rsidRPr="00054C2B">
        <w:rPr>
          <w:rFonts w:ascii="Garamond" w:eastAsia="Century Gothic" w:hAnsi="Garamond" w:cs="Arial"/>
          <w:spacing w:val="7"/>
        </w:rPr>
        <w:t>o</w:t>
      </w:r>
      <w:r w:rsidR="00D01B8C" w:rsidRPr="00054C2B">
        <w:rPr>
          <w:rFonts w:ascii="Garamond" w:eastAsia="Century Gothic" w:hAnsi="Garamond" w:cs="Arial"/>
          <w:spacing w:val="2"/>
        </w:rPr>
        <w:t xml:space="preserve"> </w:t>
      </w:r>
      <w:r w:rsidR="00F96DD1" w:rsidRPr="00054C2B">
        <w:rPr>
          <w:rFonts w:ascii="Garamond" w:eastAsia="Century Gothic" w:hAnsi="Garamond" w:cs="Arial"/>
          <w:spacing w:val="-2"/>
        </w:rPr>
        <w:t>setor</w:t>
      </w:r>
      <w:r w:rsidR="00D01B8C" w:rsidRPr="00054C2B">
        <w:rPr>
          <w:rFonts w:ascii="Garamond" w:eastAsia="Century Gothic" w:hAnsi="Garamond" w:cs="Arial"/>
          <w:spacing w:val="1"/>
        </w:rPr>
        <w:t xml:space="preserve"> p</w:t>
      </w:r>
      <w:r w:rsidR="00D01B8C" w:rsidRPr="00054C2B">
        <w:rPr>
          <w:rFonts w:ascii="Garamond" w:eastAsia="Century Gothic" w:hAnsi="Garamond" w:cs="Arial"/>
          <w:spacing w:val="-3"/>
        </w:rPr>
        <w:t>r</w:t>
      </w:r>
      <w:r w:rsidR="00D01B8C" w:rsidRPr="00054C2B">
        <w:rPr>
          <w:rFonts w:ascii="Garamond" w:eastAsia="Century Gothic" w:hAnsi="Garamond" w:cs="Arial"/>
          <w:spacing w:val="2"/>
        </w:rPr>
        <w:t>i</w:t>
      </w:r>
      <w:r w:rsidR="00D01B8C" w:rsidRPr="00054C2B">
        <w:rPr>
          <w:rFonts w:ascii="Garamond" w:eastAsia="Century Gothic" w:hAnsi="Garamond" w:cs="Arial"/>
          <w:spacing w:val="-7"/>
        </w:rPr>
        <w:t>v</w:t>
      </w:r>
      <w:r w:rsidR="00D01B8C" w:rsidRPr="00054C2B">
        <w:rPr>
          <w:rFonts w:ascii="Garamond" w:eastAsia="Century Gothic" w:hAnsi="Garamond" w:cs="Arial"/>
          <w:spacing w:val="1"/>
        </w:rPr>
        <w:t>a</w:t>
      </w:r>
      <w:r w:rsidR="00D01B8C" w:rsidRPr="00054C2B">
        <w:rPr>
          <w:rFonts w:ascii="Garamond" w:eastAsia="Century Gothic" w:hAnsi="Garamond" w:cs="Arial"/>
          <w:spacing w:val="-4"/>
        </w:rPr>
        <w:t>d</w:t>
      </w:r>
      <w:r w:rsidR="00D01B8C" w:rsidRPr="00054C2B">
        <w:rPr>
          <w:rFonts w:ascii="Garamond" w:eastAsia="Century Gothic" w:hAnsi="Garamond" w:cs="Arial"/>
          <w:spacing w:val="-3"/>
        </w:rPr>
        <w:t>o</w:t>
      </w:r>
      <w:r w:rsidR="00D01B8C" w:rsidRPr="00054C2B">
        <w:rPr>
          <w:rFonts w:ascii="Garamond" w:eastAsia="Century Gothic" w:hAnsi="Garamond" w:cs="Arial"/>
        </w:rPr>
        <w:t>,</w:t>
      </w:r>
      <w:r w:rsidR="00D01B8C" w:rsidRPr="00054C2B">
        <w:rPr>
          <w:rFonts w:ascii="Garamond" w:eastAsia="Century Gothic" w:hAnsi="Garamond" w:cs="Arial"/>
          <w:spacing w:val="7"/>
        </w:rPr>
        <w:t xml:space="preserve"> </w:t>
      </w:r>
      <w:r w:rsidR="00D01B8C" w:rsidRPr="00054C2B">
        <w:rPr>
          <w:rFonts w:ascii="Garamond" w:eastAsia="Century Gothic" w:hAnsi="Garamond" w:cs="Arial"/>
          <w:spacing w:val="-2"/>
        </w:rPr>
        <w:t xml:space="preserve">a </w:t>
      </w:r>
      <w:r w:rsidR="00CF42A3" w:rsidRPr="00054C2B">
        <w:rPr>
          <w:rFonts w:ascii="Garamond" w:eastAsia="Century Gothic" w:hAnsi="Garamond" w:cs="Arial"/>
        </w:rPr>
        <w:t>polícia</w:t>
      </w:r>
      <w:r w:rsidR="00D01B8C" w:rsidRPr="00054C2B">
        <w:rPr>
          <w:rFonts w:ascii="Garamond" w:eastAsia="Century Gothic" w:hAnsi="Garamond" w:cs="Arial"/>
        </w:rPr>
        <w:t>,</w:t>
      </w:r>
      <w:r w:rsidR="00D01B8C" w:rsidRPr="00054C2B">
        <w:rPr>
          <w:rFonts w:ascii="Garamond" w:eastAsia="Century Gothic" w:hAnsi="Garamond" w:cs="Arial"/>
          <w:spacing w:val="35"/>
        </w:rPr>
        <w:t xml:space="preserve"> </w:t>
      </w:r>
      <w:r w:rsidR="00D01B8C" w:rsidRPr="00054C2B">
        <w:rPr>
          <w:rFonts w:ascii="Garamond" w:eastAsia="Century Gothic" w:hAnsi="Garamond" w:cs="Arial"/>
          <w:spacing w:val="2"/>
        </w:rPr>
        <w:t>o</w:t>
      </w:r>
      <w:r w:rsidR="00D01B8C" w:rsidRPr="00054C2B">
        <w:rPr>
          <w:rFonts w:ascii="Garamond" w:eastAsia="Century Gothic" w:hAnsi="Garamond" w:cs="Arial"/>
        </w:rPr>
        <w:t>s</w:t>
      </w:r>
      <w:r w:rsidR="00D01B8C" w:rsidRPr="00054C2B">
        <w:rPr>
          <w:rFonts w:ascii="Garamond" w:eastAsia="Century Gothic" w:hAnsi="Garamond" w:cs="Arial"/>
          <w:spacing w:val="27"/>
        </w:rPr>
        <w:t xml:space="preserve"> </w:t>
      </w:r>
      <w:r w:rsidR="00FB09CA" w:rsidRPr="00054C2B">
        <w:rPr>
          <w:rFonts w:ascii="Garamond" w:eastAsia="Century Gothic" w:hAnsi="Garamond" w:cs="Arial"/>
          <w:spacing w:val="-2"/>
        </w:rPr>
        <w:t>tribunais</w:t>
      </w:r>
      <w:r w:rsidR="00D01B8C" w:rsidRPr="00054C2B">
        <w:rPr>
          <w:rFonts w:ascii="Garamond" w:eastAsia="Century Gothic" w:hAnsi="Garamond" w:cs="Arial"/>
        </w:rPr>
        <w:t>,</w:t>
      </w:r>
      <w:r w:rsidR="00D01B8C" w:rsidRPr="00054C2B">
        <w:rPr>
          <w:rFonts w:ascii="Garamond" w:eastAsia="Century Gothic" w:hAnsi="Garamond" w:cs="Arial"/>
          <w:spacing w:val="31"/>
        </w:rPr>
        <w:t xml:space="preserve"> </w:t>
      </w:r>
      <w:r w:rsidR="00D01B8C" w:rsidRPr="00054C2B">
        <w:rPr>
          <w:rFonts w:ascii="Garamond" w:eastAsia="Century Gothic" w:hAnsi="Garamond" w:cs="Arial"/>
          <w:spacing w:val="2"/>
        </w:rPr>
        <w:t>o</w:t>
      </w:r>
      <w:r w:rsidR="00D01B8C" w:rsidRPr="00054C2B">
        <w:rPr>
          <w:rFonts w:ascii="Garamond" w:eastAsia="Century Gothic" w:hAnsi="Garamond" w:cs="Arial"/>
        </w:rPr>
        <w:t>s</w:t>
      </w:r>
      <w:r w:rsidR="00D01B8C" w:rsidRPr="00054C2B">
        <w:rPr>
          <w:rFonts w:ascii="Garamond" w:eastAsia="Century Gothic" w:hAnsi="Garamond" w:cs="Arial"/>
          <w:spacing w:val="27"/>
        </w:rPr>
        <w:t xml:space="preserve"> </w:t>
      </w:r>
      <w:r w:rsidR="000350B1" w:rsidRPr="00054C2B">
        <w:rPr>
          <w:rFonts w:ascii="Garamond" w:eastAsia="Century Gothic" w:hAnsi="Garamond" w:cs="Arial"/>
          <w:spacing w:val="1"/>
        </w:rPr>
        <w:t>profissionais</w:t>
      </w:r>
      <w:r w:rsidR="00D01B8C" w:rsidRPr="00054C2B">
        <w:rPr>
          <w:rFonts w:ascii="Garamond" w:eastAsia="Century Gothic" w:hAnsi="Garamond" w:cs="Arial"/>
          <w:spacing w:val="29"/>
        </w:rPr>
        <w:t xml:space="preserve"> </w:t>
      </w:r>
      <w:r w:rsidR="00D01B8C" w:rsidRPr="00054C2B">
        <w:rPr>
          <w:rFonts w:ascii="Garamond" w:eastAsia="Century Gothic" w:hAnsi="Garamond" w:cs="Arial"/>
          <w:spacing w:val="1"/>
        </w:rPr>
        <w:t>d</w:t>
      </w:r>
      <w:r w:rsidR="00D01B8C" w:rsidRPr="00054C2B">
        <w:rPr>
          <w:rFonts w:ascii="Garamond" w:eastAsia="Century Gothic" w:hAnsi="Garamond" w:cs="Arial"/>
        </w:rPr>
        <w:t>e</w:t>
      </w:r>
      <w:r w:rsidR="00D01B8C" w:rsidRPr="00054C2B">
        <w:rPr>
          <w:rFonts w:ascii="Garamond" w:eastAsia="Century Gothic" w:hAnsi="Garamond" w:cs="Arial"/>
          <w:spacing w:val="26"/>
        </w:rPr>
        <w:t xml:space="preserve"> </w:t>
      </w:r>
      <w:r w:rsidR="000672E8" w:rsidRPr="00054C2B">
        <w:rPr>
          <w:rFonts w:ascii="Garamond" w:eastAsia="Century Gothic" w:hAnsi="Garamond" w:cs="Arial"/>
          <w:spacing w:val="1"/>
        </w:rPr>
        <w:t>ajuda</w:t>
      </w:r>
      <w:r w:rsidR="00D01B8C" w:rsidRPr="00054C2B">
        <w:rPr>
          <w:rFonts w:ascii="Garamond" w:eastAsia="Century Gothic" w:hAnsi="Garamond" w:cs="Arial"/>
          <w:spacing w:val="30"/>
        </w:rPr>
        <w:t xml:space="preserve"> </w:t>
      </w:r>
      <w:r w:rsidR="00497503" w:rsidRPr="00054C2B">
        <w:rPr>
          <w:rFonts w:ascii="Garamond" w:eastAsia="Century Gothic" w:hAnsi="Garamond" w:cs="Arial"/>
        </w:rPr>
        <w:t>e</w:t>
      </w:r>
      <w:r w:rsidR="00D01B8C" w:rsidRPr="00054C2B">
        <w:rPr>
          <w:rFonts w:ascii="Garamond" w:eastAsia="Century Gothic" w:hAnsi="Garamond" w:cs="Arial"/>
          <w:spacing w:val="25"/>
        </w:rPr>
        <w:t xml:space="preserve"> </w:t>
      </w:r>
      <w:r w:rsidR="00D01B8C" w:rsidRPr="00054C2B">
        <w:rPr>
          <w:rFonts w:ascii="Garamond" w:eastAsia="Century Gothic" w:hAnsi="Garamond" w:cs="Arial"/>
        </w:rPr>
        <w:t>a</w:t>
      </w:r>
      <w:r w:rsidR="00D01B8C" w:rsidRPr="00054C2B">
        <w:rPr>
          <w:rFonts w:ascii="Garamond" w:eastAsia="Century Gothic" w:hAnsi="Garamond" w:cs="Arial"/>
          <w:spacing w:val="30"/>
        </w:rPr>
        <w:t xml:space="preserve"> </w:t>
      </w:r>
      <w:r w:rsidR="009F035C" w:rsidRPr="00054C2B">
        <w:rPr>
          <w:rFonts w:ascii="Garamond" w:eastAsia="Century Gothic" w:hAnsi="Garamond" w:cs="Arial"/>
          <w:spacing w:val="-1"/>
        </w:rPr>
        <w:t>comunidade</w:t>
      </w:r>
      <w:r w:rsidR="00D01B8C" w:rsidRPr="00054C2B">
        <w:rPr>
          <w:rFonts w:ascii="Garamond" w:eastAsia="Century Gothic" w:hAnsi="Garamond" w:cs="Arial"/>
          <w:spacing w:val="30"/>
        </w:rPr>
        <w:t xml:space="preserve"> </w:t>
      </w:r>
      <w:r w:rsidR="00D01B8C" w:rsidRPr="00054C2B">
        <w:rPr>
          <w:rFonts w:ascii="Garamond" w:eastAsia="Century Gothic" w:hAnsi="Garamond" w:cs="Arial"/>
          <w:spacing w:val="-2"/>
        </w:rPr>
        <w:t>e</w:t>
      </w:r>
      <w:r w:rsidR="00F96DD1" w:rsidRPr="00054C2B">
        <w:rPr>
          <w:rFonts w:ascii="Garamond" w:eastAsia="Century Gothic" w:hAnsi="Garamond" w:cs="Arial"/>
          <w:spacing w:val="-2"/>
        </w:rPr>
        <w:t>m</w:t>
      </w:r>
      <w:r w:rsidR="00D01B8C" w:rsidRPr="00054C2B">
        <w:rPr>
          <w:rFonts w:ascii="Garamond" w:eastAsia="Century Gothic" w:hAnsi="Garamond" w:cs="Arial"/>
          <w:spacing w:val="29"/>
        </w:rPr>
        <w:t xml:space="preserve"> </w:t>
      </w:r>
      <w:r w:rsidR="00077461" w:rsidRPr="00054C2B">
        <w:rPr>
          <w:rFonts w:ascii="Garamond" w:eastAsia="Century Gothic" w:hAnsi="Garamond" w:cs="Arial"/>
          <w:spacing w:val="-2"/>
        </w:rPr>
        <w:t>geral</w:t>
      </w:r>
      <w:r w:rsidR="00D01B8C" w:rsidRPr="00054C2B">
        <w:rPr>
          <w:rFonts w:ascii="Garamond" w:eastAsia="Century Gothic" w:hAnsi="Garamond" w:cs="Arial"/>
        </w:rPr>
        <w:t>.</w:t>
      </w:r>
      <w:r w:rsidR="00D01B8C" w:rsidRPr="00054C2B">
        <w:rPr>
          <w:rFonts w:ascii="Garamond" w:eastAsia="Century Gothic" w:hAnsi="Garamond" w:cs="Arial"/>
          <w:spacing w:val="26"/>
        </w:rPr>
        <w:t xml:space="preserve"> </w:t>
      </w:r>
      <w:r w:rsidR="00F96DD1" w:rsidRPr="00054C2B">
        <w:rPr>
          <w:rFonts w:ascii="Garamond" w:eastAsia="Century Gothic" w:hAnsi="Garamond" w:cs="Arial"/>
          <w:spacing w:val="26"/>
        </w:rPr>
        <w:t xml:space="preserve">É </w:t>
      </w:r>
      <w:r w:rsidR="00F96DD1" w:rsidRPr="00054C2B">
        <w:rPr>
          <w:rFonts w:ascii="Garamond" w:eastAsia="Century Gothic" w:hAnsi="Garamond" w:cs="Arial"/>
          <w:spacing w:val="2"/>
        </w:rPr>
        <w:t>imprescindível</w:t>
      </w:r>
      <w:r w:rsidR="00D01B8C" w:rsidRPr="00054C2B">
        <w:rPr>
          <w:rFonts w:ascii="Garamond" w:eastAsia="Century Gothic" w:hAnsi="Garamond" w:cs="Arial"/>
          <w:spacing w:val="23"/>
        </w:rPr>
        <w:t xml:space="preserve"> </w:t>
      </w:r>
      <w:r w:rsidR="00D01B8C" w:rsidRPr="00054C2B">
        <w:rPr>
          <w:rFonts w:ascii="Garamond" w:eastAsia="Century Gothic" w:hAnsi="Garamond" w:cs="Arial"/>
          <w:spacing w:val="-7"/>
        </w:rPr>
        <w:t>e</w:t>
      </w:r>
      <w:r w:rsidR="00D01B8C" w:rsidRPr="00054C2B">
        <w:rPr>
          <w:rFonts w:ascii="Garamond" w:eastAsia="Century Gothic" w:hAnsi="Garamond" w:cs="Arial"/>
          <w:spacing w:val="-3"/>
        </w:rPr>
        <w:t>n</w:t>
      </w:r>
      <w:r w:rsidR="00D01B8C" w:rsidRPr="00054C2B">
        <w:rPr>
          <w:rFonts w:ascii="Garamond" w:eastAsia="Century Gothic" w:hAnsi="Garamond" w:cs="Arial"/>
          <w:spacing w:val="3"/>
        </w:rPr>
        <w:t>f</w:t>
      </w:r>
      <w:r w:rsidR="00D01B8C" w:rsidRPr="00054C2B">
        <w:rPr>
          <w:rFonts w:ascii="Garamond" w:eastAsia="Century Gothic" w:hAnsi="Garamond" w:cs="Arial"/>
          <w:spacing w:val="1"/>
        </w:rPr>
        <w:t>r</w:t>
      </w:r>
      <w:r w:rsidR="00D01B8C" w:rsidRPr="00054C2B">
        <w:rPr>
          <w:rFonts w:ascii="Garamond" w:eastAsia="Century Gothic" w:hAnsi="Garamond" w:cs="Arial"/>
          <w:spacing w:val="-7"/>
        </w:rPr>
        <w:t>e</w:t>
      </w:r>
      <w:r w:rsidR="00D01B8C" w:rsidRPr="00054C2B">
        <w:rPr>
          <w:rFonts w:ascii="Garamond" w:eastAsia="Century Gothic" w:hAnsi="Garamond" w:cs="Arial"/>
          <w:spacing w:val="1"/>
        </w:rPr>
        <w:t>n</w:t>
      </w:r>
      <w:r w:rsidR="00D01B8C" w:rsidRPr="00054C2B">
        <w:rPr>
          <w:rFonts w:ascii="Garamond" w:eastAsia="Century Gothic" w:hAnsi="Garamond" w:cs="Arial"/>
          <w:spacing w:val="-2"/>
        </w:rPr>
        <w:t>t</w:t>
      </w:r>
      <w:r w:rsidR="00F96DD1" w:rsidRPr="00054C2B">
        <w:rPr>
          <w:rFonts w:ascii="Garamond" w:eastAsia="Century Gothic" w:hAnsi="Garamond" w:cs="Arial"/>
          <w:spacing w:val="-2"/>
        </w:rPr>
        <w:t xml:space="preserve">armos </w:t>
      </w:r>
      <w:r w:rsidR="00D01B8C" w:rsidRPr="00054C2B">
        <w:rPr>
          <w:rFonts w:ascii="Garamond" w:eastAsia="Century Gothic" w:hAnsi="Garamond" w:cs="Arial"/>
          <w:spacing w:val="-2"/>
        </w:rPr>
        <w:lastRenderedPageBreak/>
        <w:t>est</w:t>
      </w:r>
      <w:r w:rsidR="00D01B8C" w:rsidRPr="00054C2B">
        <w:rPr>
          <w:rFonts w:ascii="Garamond" w:eastAsia="Century Gothic" w:hAnsi="Garamond" w:cs="Arial"/>
        </w:rPr>
        <w:t>a</w:t>
      </w:r>
      <w:r w:rsidR="00D01B8C" w:rsidRPr="00054C2B">
        <w:rPr>
          <w:rFonts w:ascii="Garamond" w:eastAsia="Century Gothic" w:hAnsi="Garamond" w:cs="Arial"/>
          <w:spacing w:val="25"/>
        </w:rPr>
        <w:t xml:space="preserve"> </w:t>
      </w:r>
      <w:r w:rsidR="00D01B8C" w:rsidRPr="00054C2B">
        <w:rPr>
          <w:rFonts w:ascii="Garamond" w:eastAsia="Century Gothic" w:hAnsi="Garamond" w:cs="Arial"/>
          <w:spacing w:val="1"/>
        </w:rPr>
        <w:t>p</w:t>
      </w:r>
      <w:r w:rsidR="00D01B8C" w:rsidRPr="00054C2B">
        <w:rPr>
          <w:rFonts w:ascii="Garamond" w:eastAsia="Century Gothic" w:hAnsi="Garamond" w:cs="Arial"/>
          <w:spacing w:val="-3"/>
        </w:rPr>
        <w:t>ro</w:t>
      </w:r>
      <w:r w:rsidR="00D01B8C" w:rsidRPr="00054C2B">
        <w:rPr>
          <w:rFonts w:ascii="Garamond" w:eastAsia="Century Gothic" w:hAnsi="Garamond" w:cs="Arial"/>
          <w:spacing w:val="1"/>
        </w:rPr>
        <w:t>b</w:t>
      </w:r>
      <w:r w:rsidR="00D01B8C" w:rsidRPr="00054C2B">
        <w:rPr>
          <w:rFonts w:ascii="Garamond" w:eastAsia="Century Gothic" w:hAnsi="Garamond" w:cs="Arial"/>
          <w:spacing w:val="2"/>
        </w:rPr>
        <w:t>l</w:t>
      </w:r>
      <w:r w:rsidR="00D01B8C" w:rsidRPr="00054C2B">
        <w:rPr>
          <w:rFonts w:ascii="Garamond" w:eastAsia="Century Gothic" w:hAnsi="Garamond" w:cs="Arial"/>
          <w:spacing w:val="-7"/>
        </w:rPr>
        <w:t>e</w:t>
      </w:r>
      <w:r w:rsidR="00D01B8C" w:rsidRPr="00054C2B">
        <w:rPr>
          <w:rFonts w:ascii="Garamond" w:eastAsia="Century Gothic" w:hAnsi="Garamond" w:cs="Arial"/>
          <w:spacing w:val="-2"/>
        </w:rPr>
        <w:t>m</w:t>
      </w:r>
      <w:r w:rsidR="00D01B8C" w:rsidRPr="00054C2B">
        <w:rPr>
          <w:rFonts w:ascii="Garamond" w:eastAsia="Century Gothic" w:hAnsi="Garamond" w:cs="Arial"/>
          <w:spacing w:val="1"/>
        </w:rPr>
        <w:t>á</w:t>
      </w:r>
      <w:r w:rsidR="00D01B8C" w:rsidRPr="00054C2B">
        <w:rPr>
          <w:rFonts w:ascii="Garamond" w:eastAsia="Century Gothic" w:hAnsi="Garamond" w:cs="Arial"/>
          <w:spacing w:val="-6"/>
        </w:rPr>
        <w:t>t</w:t>
      </w:r>
      <w:r w:rsidR="00D01B8C" w:rsidRPr="00054C2B">
        <w:rPr>
          <w:rFonts w:ascii="Garamond" w:eastAsia="Century Gothic" w:hAnsi="Garamond" w:cs="Arial"/>
          <w:spacing w:val="7"/>
        </w:rPr>
        <w:t>i</w:t>
      </w:r>
      <w:r w:rsidR="00D01B8C" w:rsidRPr="00054C2B">
        <w:rPr>
          <w:rFonts w:ascii="Garamond" w:eastAsia="Century Gothic" w:hAnsi="Garamond" w:cs="Arial"/>
          <w:spacing w:val="-6"/>
        </w:rPr>
        <w:t>c</w:t>
      </w:r>
      <w:r w:rsidR="00D01B8C" w:rsidRPr="00054C2B">
        <w:rPr>
          <w:rFonts w:ascii="Garamond" w:eastAsia="Century Gothic" w:hAnsi="Garamond" w:cs="Arial"/>
        </w:rPr>
        <w:t>a</w:t>
      </w:r>
      <w:r w:rsidR="002B5F3A">
        <w:rPr>
          <w:rFonts w:ascii="Garamond" w:eastAsia="Century Gothic" w:hAnsi="Garamond" w:cs="Arial"/>
        </w:rPr>
        <w:t>,</w:t>
      </w:r>
      <w:r w:rsidR="00D01B8C" w:rsidRPr="00054C2B">
        <w:rPr>
          <w:rFonts w:ascii="Garamond" w:eastAsia="Century Gothic" w:hAnsi="Garamond" w:cs="Arial"/>
          <w:spacing w:val="26"/>
        </w:rPr>
        <w:t xml:space="preserve"> </w:t>
      </w:r>
      <w:r w:rsidR="00D01B8C" w:rsidRPr="00054C2B">
        <w:rPr>
          <w:rFonts w:ascii="Garamond" w:eastAsia="Century Gothic" w:hAnsi="Garamond" w:cs="Arial"/>
          <w:spacing w:val="-1"/>
        </w:rPr>
        <w:t>f</w:t>
      </w:r>
      <w:r w:rsidR="00F96DD1" w:rsidRPr="00054C2B">
        <w:rPr>
          <w:rFonts w:ascii="Garamond" w:eastAsia="Century Gothic" w:hAnsi="Garamond" w:cs="Arial"/>
          <w:spacing w:val="2"/>
        </w:rPr>
        <w:t>ix</w:t>
      </w:r>
      <w:r w:rsidR="00D01B8C" w:rsidRPr="00054C2B">
        <w:rPr>
          <w:rFonts w:ascii="Garamond" w:eastAsia="Century Gothic" w:hAnsi="Garamond" w:cs="Arial"/>
          <w:spacing w:val="-4"/>
        </w:rPr>
        <w:t>a</w:t>
      </w:r>
      <w:r w:rsidR="00D01B8C" w:rsidRPr="00054C2B">
        <w:rPr>
          <w:rFonts w:ascii="Garamond" w:eastAsia="Century Gothic" w:hAnsi="Garamond" w:cs="Arial"/>
          <w:spacing w:val="1"/>
        </w:rPr>
        <w:t>n</w:t>
      </w:r>
      <w:r w:rsidR="00D01B8C" w:rsidRPr="00054C2B">
        <w:rPr>
          <w:rFonts w:ascii="Garamond" w:eastAsia="Century Gothic" w:hAnsi="Garamond" w:cs="Arial"/>
          <w:spacing w:val="-4"/>
        </w:rPr>
        <w:t>d</w:t>
      </w:r>
      <w:r w:rsidR="00D01B8C" w:rsidRPr="00054C2B">
        <w:rPr>
          <w:rFonts w:ascii="Garamond" w:eastAsia="Century Gothic" w:hAnsi="Garamond" w:cs="Arial"/>
        </w:rPr>
        <w:t>o</w:t>
      </w:r>
      <w:r w:rsidR="00D01B8C" w:rsidRPr="00054C2B">
        <w:rPr>
          <w:rFonts w:ascii="Garamond" w:eastAsia="Century Gothic" w:hAnsi="Garamond" w:cs="Arial"/>
          <w:spacing w:val="27"/>
        </w:rPr>
        <w:t xml:space="preserve"> </w:t>
      </w:r>
      <w:r w:rsidR="00F96DD1" w:rsidRPr="00054C2B">
        <w:rPr>
          <w:rFonts w:ascii="Garamond" w:eastAsia="Century Gothic" w:hAnsi="Garamond" w:cs="Arial"/>
          <w:spacing w:val="27"/>
        </w:rPr>
        <w:t xml:space="preserve">a </w:t>
      </w:r>
      <w:r w:rsidR="00462B11" w:rsidRPr="00054C2B">
        <w:rPr>
          <w:rFonts w:ascii="Garamond" w:eastAsia="Century Gothic" w:hAnsi="Garamond" w:cs="Arial"/>
          <w:spacing w:val="1"/>
        </w:rPr>
        <w:t>nossa</w:t>
      </w:r>
      <w:r w:rsidR="00D01B8C" w:rsidRPr="00054C2B">
        <w:rPr>
          <w:rFonts w:ascii="Garamond" w:eastAsia="Century Gothic" w:hAnsi="Garamond" w:cs="Arial"/>
          <w:spacing w:val="25"/>
        </w:rPr>
        <w:t xml:space="preserve"> </w:t>
      </w:r>
      <w:r w:rsidR="008278C4" w:rsidRPr="00054C2B">
        <w:rPr>
          <w:rFonts w:ascii="Garamond" w:eastAsia="Century Gothic" w:hAnsi="Garamond" w:cs="Arial"/>
          <w:spacing w:val="1"/>
        </w:rPr>
        <w:t>atenção</w:t>
      </w:r>
      <w:r w:rsidR="00D01B8C" w:rsidRPr="00054C2B">
        <w:rPr>
          <w:rFonts w:ascii="Garamond" w:eastAsia="Century Gothic" w:hAnsi="Garamond" w:cs="Arial"/>
          <w:spacing w:val="30"/>
        </w:rPr>
        <w:t xml:space="preserve"> </w:t>
      </w:r>
      <w:r w:rsidR="00F96DD1" w:rsidRPr="00054C2B">
        <w:rPr>
          <w:rFonts w:ascii="Garamond" w:eastAsia="Century Gothic" w:hAnsi="Garamond" w:cs="Arial"/>
          <w:spacing w:val="30"/>
        </w:rPr>
        <w:t xml:space="preserve">na sua </w:t>
      </w:r>
      <w:r w:rsidR="00C6493E" w:rsidRPr="00054C2B">
        <w:rPr>
          <w:rFonts w:ascii="Garamond" w:eastAsia="Century Gothic" w:hAnsi="Garamond" w:cs="Arial"/>
          <w:spacing w:val="1"/>
        </w:rPr>
        <w:t>natureza</w:t>
      </w:r>
      <w:r w:rsidR="00D01B8C" w:rsidRPr="00054C2B">
        <w:rPr>
          <w:rFonts w:ascii="Garamond" w:eastAsia="Century Gothic" w:hAnsi="Garamond" w:cs="Arial"/>
          <w:spacing w:val="42"/>
        </w:rPr>
        <w:t xml:space="preserve"> </w:t>
      </w:r>
      <w:r w:rsidR="00D01B8C" w:rsidRPr="00054C2B">
        <w:rPr>
          <w:rFonts w:ascii="Garamond" w:eastAsia="Century Gothic" w:hAnsi="Garamond" w:cs="Arial"/>
          <w:spacing w:val="-7"/>
        </w:rPr>
        <w:t>v</w:t>
      </w:r>
      <w:r w:rsidR="00D01B8C" w:rsidRPr="00054C2B">
        <w:rPr>
          <w:rFonts w:ascii="Garamond" w:eastAsia="Century Gothic" w:hAnsi="Garamond" w:cs="Arial"/>
          <w:spacing w:val="2"/>
        </w:rPr>
        <w:t>i</w:t>
      </w:r>
      <w:r w:rsidR="00D01B8C" w:rsidRPr="00054C2B">
        <w:rPr>
          <w:rFonts w:ascii="Garamond" w:eastAsia="Century Gothic" w:hAnsi="Garamond" w:cs="Arial"/>
          <w:spacing w:val="-3"/>
        </w:rPr>
        <w:t>o</w:t>
      </w:r>
      <w:r w:rsidR="00D01B8C" w:rsidRPr="00054C2B">
        <w:rPr>
          <w:rFonts w:ascii="Garamond" w:eastAsia="Century Gothic" w:hAnsi="Garamond" w:cs="Arial"/>
          <w:spacing w:val="2"/>
        </w:rPr>
        <w:t>l</w:t>
      </w:r>
      <w:r w:rsidR="00D01B8C" w:rsidRPr="00054C2B">
        <w:rPr>
          <w:rFonts w:ascii="Garamond" w:eastAsia="Century Gothic" w:hAnsi="Garamond" w:cs="Arial"/>
          <w:spacing w:val="-2"/>
        </w:rPr>
        <w:t>e</w:t>
      </w:r>
      <w:r w:rsidR="00D01B8C" w:rsidRPr="00054C2B">
        <w:rPr>
          <w:rFonts w:ascii="Garamond" w:eastAsia="Century Gothic" w:hAnsi="Garamond" w:cs="Arial"/>
          <w:spacing w:val="1"/>
        </w:rPr>
        <w:t>n</w:t>
      </w:r>
      <w:r w:rsidR="00D01B8C" w:rsidRPr="00054C2B">
        <w:rPr>
          <w:rFonts w:ascii="Garamond" w:eastAsia="Century Gothic" w:hAnsi="Garamond" w:cs="Arial"/>
          <w:spacing w:val="-6"/>
        </w:rPr>
        <w:t>t</w:t>
      </w:r>
      <w:r w:rsidR="00D01B8C" w:rsidRPr="00054C2B">
        <w:rPr>
          <w:rFonts w:ascii="Garamond" w:eastAsia="Century Gothic" w:hAnsi="Garamond" w:cs="Arial"/>
        </w:rPr>
        <w:t>a</w:t>
      </w:r>
      <w:r w:rsidR="00D01B8C" w:rsidRPr="00054C2B">
        <w:rPr>
          <w:rFonts w:ascii="Garamond" w:eastAsia="Century Gothic" w:hAnsi="Garamond" w:cs="Arial"/>
          <w:spacing w:val="42"/>
        </w:rPr>
        <w:t xml:space="preserve"> </w:t>
      </w:r>
      <w:r w:rsidR="00497503" w:rsidRPr="00054C2B">
        <w:rPr>
          <w:rFonts w:ascii="Garamond" w:eastAsia="Century Gothic" w:hAnsi="Garamond" w:cs="Arial"/>
        </w:rPr>
        <w:t>e</w:t>
      </w:r>
      <w:r w:rsidR="002B5F3A">
        <w:rPr>
          <w:rFonts w:ascii="Garamond" w:eastAsia="Century Gothic" w:hAnsi="Garamond" w:cs="Arial"/>
        </w:rPr>
        <w:t xml:space="preserve"> delituosa</w:t>
      </w:r>
      <w:r w:rsidR="00B30286" w:rsidRPr="00054C2B">
        <w:rPr>
          <w:rFonts w:ascii="Garamond" w:eastAsia="Century Gothic" w:hAnsi="Garamond" w:cs="Arial"/>
        </w:rPr>
        <w:t>,</w:t>
      </w:r>
      <w:r w:rsidR="00FB00DD" w:rsidRPr="00054C2B">
        <w:rPr>
          <w:rFonts w:ascii="Garamond" w:eastAsia="Century Gothic" w:hAnsi="Garamond" w:cs="Arial"/>
          <w:spacing w:val="42"/>
        </w:rPr>
        <w:t xml:space="preserve"> </w:t>
      </w:r>
      <w:r w:rsidR="00497503" w:rsidRPr="00054C2B">
        <w:rPr>
          <w:rFonts w:ascii="Garamond" w:eastAsia="Century Gothic" w:hAnsi="Garamond" w:cs="Arial"/>
        </w:rPr>
        <w:t>e</w:t>
      </w:r>
      <w:r w:rsidR="00D01B8C" w:rsidRPr="00054C2B">
        <w:rPr>
          <w:rFonts w:ascii="Garamond" w:eastAsia="Century Gothic" w:hAnsi="Garamond" w:cs="Arial"/>
          <w:spacing w:val="38"/>
        </w:rPr>
        <w:t xml:space="preserve"> </w:t>
      </w:r>
      <w:r w:rsidR="00D01B8C" w:rsidRPr="00054C2B">
        <w:rPr>
          <w:rFonts w:ascii="Garamond" w:eastAsia="Century Gothic" w:hAnsi="Garamond" w:cs="Arial"/>
          <w:spacing w:val="1"/>
        </w:rPr>
        <w:t>q</w:t>
      </w:r>
      <w:r w:rsidR="00D01B8C" w:rsidRPr="00054C2B">
        <w:rPr>
          <w:rFonts w:ascii="Garamond" w:eastAsia="Century Gothic" w:hAnsi="Garamond" w:cs="Arial"/>
          <w:spacing w:val="2"/>
        </w:rPr>
        <w:t>u</w:t>
      </w:r>
      <w:r w:rsidR="00D01B8C" w:rsidRPr="00054C2B">
        <w:rPr>
          <w:rFonts w:ascii="Garamond" w:eastAsia="Century Gothic" w:hAnsi="Garamond" w:cs="Arial"/>
        </w:rPr>
        <w:t>e</w:t>
      </w:r>
      <w:r w:rsidR="00D01B8C" w:rsidRPr="00054C2B">
        <w:rPr>
          <w:rFonts w:ascii="Garamond" w:eastAsia="Century Gothic" w:hAnsi="Garamond" w:cs="Arial"/>
          <w:spacing w:val="39"/>
        </w:rPr>
        <w:t xml:space="preserve"> </w:t>
      </w:r>
      <w:r w:rsidR="00455D57" w:rsidRPr="00054C2B">
        <w:rPr>
          <w:rFonts w:ascii="Garamond" w:eastAsia="Century Gothic" w:hAnsi="Garamond" w:cs="Arial"/>
          <w:spacing w:val="1"/>
        </w:rPr>
        <w:t xml:space="preserve">se concebam </w:t>
      </w:r>
      <w:r w:rsidR="00D01B8C" w:rsidRPr="00054C2B">
        <w:rPr>
          <w:rFonts w:ascii="Garamond" w:eastAsia="Century Gothic" w:hAnsi="Garamond" w:cs="Arial"/>
          <w:spacing w:val="2"/>
        </w:rPr>
        <w:t>m</w:t>
      </w:r>
      <w:r w:rsidR="00D01B8C" w:rsidRPr="00054C2B">
        <w:rPr>
          <w:rFonts w:ascii="Garamond" w:eastAsia="Century Gothic" w:hAnsi="Garamond" w:cs="Arial"/>
          <w:spacing w:val="-2"/>
        </w:rPr>
        <w:t>e</w:t>
      </w:r>
      <w:r w:rsidR="00D01B8C" w:rsidRPr="00054C2B">
        <w:rPr>
          <w:rFonts w:ascii="Garamond" w:eastAsia="Century Gothic" w:hAnsi="Garamond" w:cs="Arial"/>
          <w:spacing w:val="-4"/>
        </w:rPr>
        <w:t>d</w:t>
      </w:r>
      <w:r w:rsidR="00D01B8C" w:rsidRPr="00054C2B">
        <w:rPr>
          <w:rFonts w:ascii="Garamond" w:eastAsia="Century Gothic" w:hAnsi="Garamond" w:cs="Arial"/>
          <w:spacing w:val="2"/>
        </w:rPr>
        <w:t>i</w:t>
      </w:r>
      <w:r w:rsidR="00D01B8C" w:rsidRPr="00054C2B">
        <w:rPr>
          <w:rFonts w:ascii="Garamond" w:eastAsia="Century Gothic" w:hAnsi="Garamond" w:cs="Arial"/>
          <w:spacing w:val="-4"/>
        </w:rPr>
        <w:t>d</w:t>
      </w:r>
      <w:r w:rsidR="00D01B8C" w:rsidRPr="00054C2B">
        <w:rPr>
          <w:rFonts w:ascii="Garamond" w:eastAsia="Century Gothic" w:hAnsi="Garamond" w:cs="Arial"/>
          <w:spacing w:val="1"/>
        </w:rPr>
        <w:t>a</w:t>
      </w:r>
      <w:r w:rsidR="00D01B8C" w:rsidRPr="00054C2B">
        <w:rPr>
          <w:rFonts w:ascii="Garamond" w:eastAsia="Century Gothic" w:hAnsi="Garamond" w:cs="Arial"/>
        </w:rPr>
        <w:t>s</w:t>
      </w:r>
      <w:r w:rsidR="00D01B8C" w:rsidRPr="00054C2B">
        <w:rPr>
          <w:rFonts w:ascii="Garamond" w:eastAsia="Century Gothic" w:hAnsi="Garamond" w:cs="Arial"/>
          <w:spacing w:val="41"/>
        </w:rPr>
        <w:t xml:space="preserve"> </w:t>
      </w:r>
      <w:r w:rsidR="00D01B8C" w:rsidRPr="00054C2B">
        <w:rPr>
          <w:rFonts w:ascii="Garamond" w:eastAsia="Century Gothic" w:hAnsi="Garamond" w:cs="Arial"/>
          <w:spacing w:val="-4"/>
        </w:rPr>
        <w:t>d</w:t>
      </w:r>
      <w:r w:rsidR="00D01B8C" w:rsidRPr="00054C2B">
        <w:rPr>
          <w:rFonts w:ascii="Garamond" w:eastAsia="Century Gothic" w:hAnsi="Garamond" w:cs="Arial"/>
          <w:spacing w:val="2"/>
        </w:rPr>
        <w:t>i</w:t>
      </w:r>
      <w:r w:rsidR="00D01B8C" w:rsidRPr="00054C2B">
        <w:rPr>
          <w:rFonts w:ascii="Garamond" w:eastAsia="Century Gothic" w:hAnsi="Garamond" w:cs="Arial"/>
          <w:spacing w:val="-3"/>
        </w:rPr>
        <w:t>r</w:t>
      </w:r>
      <w:r w:rsidR="00D01B8C" w:rsidRPr="00054C2B">
        <w:rPr>
          <w:rFonts w:ascii="Garamond" w:eastAsia="Century Gothic" w:hAnsi="Garamond" w:cs="Arial"/>
          <w:spacing w:val="2"/>
        </w:rPr>
        <w:t>i</w:t>
      </w:r>
      <w:r w:rsidR="00D01B8C" w:rsidRPr="00054C2B">
        <w:rPr>
          <w:rFonts w:ascii="Garamond" w:eastAsia="Century Gothic" w:hAnsi="Garamond" w:cs="Arial"/>
          <w:spacing w:val="-6"/>
        </w:rPr>
        <w:t>g</w:t>
      </w:r>
      <w:r w:rsidR="00D01B8C" w:rsidRPr="00054C2B">
        <w:rPr>
          <w:rFonts w:ascii="Garamond" w:eastAsia="Century Gothic" w:hAnsi="Garamond" w:cs="Arial"/>
          <w:spacing w:val="2"/>
        </w:rPr>
        <w:t>i</w:t>
      </w:r>
      <w:r w:rsidR="00D01B8C" w:rsidRPr="00054C2B">
        <w:rPr>
          <w:rFonts w:ascii="Garamond" w:eastAsia="Century Gothic" w:hAnsi="Garamond" w:cs="Arial"/>
        </w:rPr>
        <w:t>d</w:t>
      </w:r>
      <w:r w:rsidR="00D01B8C" w:rsidRPr="00054C2B">
        <w:rPr>
          <w:rFonts w:ascii="Garamond" w:eastAsia="Century Gothic" w:hAnsi="Garamond" w:cs="Arial"/>
          <w:spacing w:val="1"/>
        </w:rPr>
        <w:t>a</w:t>
      </w:r>
      <w:r w:rsidR="00D01B8C" w:rsidRPr="00054C2B">
        <w:rPr>
          <w:rFonts w:ascii="Garamond" w:eastAsia="Century Gothic" w:hAnsi="Garamond" w:cs="Arial"/>
        </w:rPr>
        <w:t>s</w:t>
      </w:r>
      <w:r w:rsidR="00D01B8C" w:rsidRPr="00054C2B">
        <w:rPr>
          <w:rFonts w:ascii="Garamond" w:eastAsia="Century Gothic" w:hAnsi="Garamond" w:cs="Arial"/>
          <w:spacing w:val="39"/>
        </w:rPr>
        <w:t xml:space="preserve"> </w:t>
      </w:r>
      <w:r w:rsidR="00D01B8C" w:rsidRPr="00054C2B">
        <w:rPr>
          <w:rFonts w:ascii="Garamond" w:eastAsia="Century Gothic" w:hAnsi="Garamond" w:cs="Arial"/>
        </w:rPr>
        <w:t>a</w:t>
      </w:r>
      <w:r w:rsidR="00D01B8C" w:rsidRPr="00054C2B">
        <w:rPr>
          <w:rFonts w:ascii="Garamond" w:eastAsia="Century Gothic" w:hAnsi="Garamond" w:cs="Arial"/>
          <w:spacing w:val="2"/>
        </w:rPr>
        <w:t>o</w:t>
      </w:r>
      <w:r w:rsidR="00D01B8C" w:rsidRPr="00054C2B">
        <w:rPr>
          <w:rFonts w:ascii="Garamond" w:eastAsia="Century Gothic" w:hAnsi="Garamond" w:cs="Arial"/>
        </w:rPr>
        <w:t>s</w:t>
      </w:r>
      <w:r w:rsidR="00D01B8C" w:rsidRPr="00054C2B">
        <w:rPr>
          <w:rFonts w:ascii="Garamond" w:eastAsia="Century Gothic" w:hAnsi="Garamond" w:cs="Arial"/>
          <w:spacing w:val="39"/>
        </w:rPr>
        <w:t xml:space="preserve"> </w:t>
      </w:r>
      <w:r w:rsidR="002D1021" w:rsidRPr="00054C2B">
        <w:rPr>
          <w:rFonts w:ascii="Garamond" w:eastAsia="Century Gothic" w:hAnsi="Garamond" w:cs="Arial"/>
          <w:spacing w:val="1"/>
        </w:rPr>
        <w:t>agressor</w:t>
      </w:r>
      <w:r w:rsidR="00D01B8C" w:rsidRPr="00054C2B">
        <w:rPr>
          <w:rFonts w:ascii="Garamond" w:eastAsia="Century Gothic" w:hAnsi="Garamond" w:cs="Arial"/>
          <w:spacing w:val="-2"/>
        </w:rPr>
        <w:t>e</w:t>
      </w:r>
      <w:r w:rsidR="00D01B8C" w:rsidRPr="00054C2B">
        <w:rPr>
          <w:rFonts w:ascii="Garamond" w:eastAsia="Century Gothic" w:hAnsi="Garamond" w:cs="Arial"/>
        </w:rPr>
        <w:t>s</w:t>
      </w:r>
      <w:r w:rsidR="00D01B8C" w:rsidRPr="00054C2B">
        <w:rPr>
          <w:rFonts w:ascii="Garamond" w:eastAsia="Century Gothic" w:hAnsi="Garamond" w:cs="Arial"/>
          <w:spacing w:val="39"/>
        </w:rPr>
        <w:t xml:space="preserve"> </w:t>
      </w:r>
      <w:r w:rsidR="00497503" w:rsidRPr="00054C2B">
        <w:rPr>
          <w:rFonts w:ascii="Garamond" w:eastAsia="Century Gothic" w:hAnsi="Garamond" w:cs="Arial"/>
        </w:rPr>
        <w:t>e</w:t>
      </w:r>
      <w:r w:rsidR="00D01B8C" w:rsidRPr="00054C2B">
        <w:rPr>
          <w:rFonts w:ascii="Garamond" w:eastAsia="Century Gothic" w:hAnsi="Garamond" w:cs="Arial"/>
        </w:rPr>
        <w:t xml:space="preserve"> </w:t>
      </w:r>
      <w:r w:rsidR="00D01B8C" w:rsidRPr="00054C2B">
        <w:rPr>
          <w:rFonts w:ascii="Garamond" w:eastAsia="Century Gothic" w:hAnsi="Garamond" w:cs="Arial"/>
          <w:spacing w:val="2"/>
        </w:rPr>
        <w:t>m</w:t>
      </w:r>
      <w:r w:rsidR="00D01B8C" w:rsidRPr="00054C2B">
        <w:rPr>
          <w:rFonts w:ascii="Garamond" w:eastAsia="Century Gothic" w:hAnsi="Garamond" w:cs="Arial"/>
          <w:spacing w:val="-2"/>
        </w:rPr>
        <w:t>e</w:t>
      </w:r>
      <w:r w:rsidR="00D01B8C" w:rsidRPr="00054C2B">
        <w:rPr>
          <w:rFonts w:ascii="Garamond" w:eastAsia="Century Gothic" w:hAnsi="Garamond" w:cs="Arial"/>
          <w:spacing w:val="-4"/>
        </w:rPr>
        <w:t>d</w:t>
      </w:r>
      <w:r w:rsidR="00D01B8C" w:rsidRPr="00054C2B">
        <w:rPr>
          <w:rFonts w:ascii="Garamond" w:eastAsia="Century Gothic" w:hAnsi="Garamond" w:cs="Arial"/>
          <w:spacing w:val="2"/>
        </w:rPr>
        <w:t>i</w:t>
      </w:r>
      <w:r w:rsidR="00D01B8C" w:rsidRPr="00054C2B">
        <w:rPr>
          <w:rFonts w:ascii="Garamond" w:eastAsia="Century Gothic" w:hAnsi="Garamond" w:cs="Arial"/>
          <w:spacing w:val="-4"/>
        </w:rPr>
        <w:t>d</w:t>
      </w:r>
      <w:r w:rsidR="00D01B8C" w:rsidRPr="00054C2B">
        <w:rPr>
          <w:rFonts w:ascii="Garamond" w:eastAsia="Century Gothic" w:hAnsi="Garamond" w:cs="Arial"/>
          <w:spacing w:val="1"/>
        </w:rPr>
        <w:t>a</w:t>
      </w:r>
      <w:r w:rsidR="00D01B8C" w:rsidRPr="00054C2B">
        <w:rPr>
          <w:rFonts w:ascii="Garamond" w:eastAsia="Century Gothic" w:hAnsi="Garamond" w:cs="Arial"/>
        </w:rPr>
        <w:t>s</w:t>
      </w:r>
      <w:r w:rsidR="00D01B8C" w:rsidRPr="00054C2B">
        <w:rPr>
          <w:rFonts w:ascii="Garamond" w:eastAsia="Century Gothic" w:hAnsi="Garamond" w:cs="Arial"/>
          <w:spacing w:val="-4"/>
        </w:rPr>
        <w:t xml:space="preserve"> </w:t>
      </w:r>
      <w:r w:rsidR="00D01B8C" w:rsidRPr="00054C2B">
        <w:rPr>
          <w:rFonts w:ascii="Garamond" w:eastAsia="Century Gothic" w:hAnsi="Garamond" w:cs="Arial"/>
          <w:spacing w:val="1"/>
        </w:rPr>
        <w:t>d</w:t>
      </w:r>
      <w:r w:rsidR="00D01B8C" w:rsidRPr="00054C2B">
        <w:rPr>
          <w:rFonts w:ascii="Garamond" w:eastAsia="Century Gothic" w:hAnsi="Garamond" w:cs="Arial"/>
        </w:rPr>
        <w:t>e</w:t>
      </w:r>
      <w:r w:rsidR="00D01B8C" w:rsidRPr="00054C2B">
        <w:rPr>
          <w:rFonts w:ascii="Garamond" w:eastAsia="Century Gothic" w:hAnsi="Garamond" w:cs="Arial"/>
          <w:spacing w:val="-4"/>
        </w:rPr>
        <w:t xml:space="preserve"> </w:t>
      </w:r>
      <w:r w:rsidR="00886D6A" w:rsidRPr="00054C2B">
        <w:rPr>
          <w:rFonts w:ascii="Garamond" w:eastAsia="Century Gothic" w:hAnsi="Garamond" w:cs="Arial"/>
          <w:spacing w:val="1"/>
        </w:rPr>
        <w:t>proteção</w:t>
      </w:r>
      <w:r w:rsidR="00D01B8C" w:rsidRPr="00054C2B">
        <w:rPr>
          <w:rFonts w:ascii="Garamond" w:eastAsia="Century Gothic" w:hAnsi="Garamond" w:cs="Arial"/>
        </w:rPr>
        <w:t xml:space="preserve"> </w:t>
      </w:r>
      <w:r w:rsidR="00D01B8C" w:rsidRPr="00054C2B">
        <w:rPr>
          <w:rFonts w:ascii="Garamond" w:eastAsia="Century Gothic" w:hAnsi="Garamond" w:cs="Arial"/>
          <w:spacing w:val="1"/>
        </w:rPr>
        <w:t>p</w:t>
      </w:r>
      <w:r w:rsidR="00D01B8C" w:rsidRPr="00054C2B">
        <w:rPr>
          <w:rFonts w:ascii="Garamond" w:eastAsia="Century Gothic" w:hAnsi="Garamond" w:cs="Arial"/>
          <w:spacing w:val="-4"/>
        </w:rPr>
        <w:t>a</w:t>
      </w:r>
      <w:r w:rsidR="00D01B8C" w:rsidRPr="00054C2B">
        <w:rPr>
          <w:rFonts w:ascii="Garamond" w:eastAsia="Century Gothic" w:hAnsi="Garamond" w:cs="Arial"/>
          <w:spacing w:val="1"/>
        </w:rPr>
        <w:t>r</w:t>
      </w:r>
      <w:r w:rsidR="00D01B8C" w:rsidRPr="00054C2B">
        <w:rPr>
          <w:rFonts w:ascii="Garamond" w:eastAsia="Century Gothic" w:hAnsi="Garamond" w:cs="Arial"/>
        </w:rPr>
        <w:t>a</w:t>
      </w:r>
      <w:r w:rsidR="00D01B8C" w:rsidRPr="00054C2B">
        <w:rPr>
          <w:rFonts w:ascii="Garamond" w:eastAsia="Century Gothic" w:hAnsi="Garamond" w:cs="Arial"/>
          <w:spacing w:val="-1"/>
        </w:rPr>
        <w:t xml:space="preserve"> </w:t>
      </w:r>
      <w:r w:rsidR="00D01B8C" w:rsidRPr="00054C2B">
        <w:rPr>
          <w:rFonts w:ascii="Garamond" w:eastAsia="Century Gothic" w:hAnsi="Garamond" w:cs="Arial"/>
          <w:spacing w:val="1"/>
        </w:rPr>
        <w:t>a</w:t>
      </w:r>
      <w:r w:rsidR="00D01B8C" w:rsidRPr="00054C2B">
        <w:rPr>
          <w:rFonts w:ascii="Garamond" w:eastAsia="Century Gothic" w:hAnsi="Garamond" w:cs="Arial"/>
        </w:rPr>
        <w:t>s</w:t>
      </w:r>
      <w:r w:rsidR="00D01B8C" w:rsidRPr="00054C2B">
        <w:rPr>
          <w:rFonts w:ascii="Garamond" w:eastAsia="Century Gothic" w:hAnsi="Garamond" w:cs="Arial"/>
          <w:spacing w:val="1"/>
        </w:rPr>
        <w:t xml:space="preserve"> </w:t>
      </w:r>
      <w:r w:rsidR="003F012B" w:rsidRPr="00054C2B">
        <w:rPr>
          <w:rFonts w:ascii="Garamond" w:eastAsia="Century Gothic" w:hAnsi="Garamond" w:cs="Arial"/>
          <w:spacing w:val="-2"/>
        </w:rPr>
        <w:t>vítima</w:t>
      </w:r>
      <w:r w:rsidR="00D01B8C" w:rsidRPr="00054C2B">
        <w:rPr>
          <w:rFonts w:ascii="Garamond" w:eastAsia="Century Gothic" w:hAnsi="Garamond" w:cs="Arial"/>
          <w:spacing w:val="-1"/>
        </w:rPr>
        <w:t>s</w:t>
      </w:r>
      <w:r w:rsidRPr="00054C2B">
        <w:rPr>
          <w:rFonts w:ascii="Garamond" w:eastAsia="Century Gothic" w:hAnsi="Garamond" w:cs="Arial"/>
          <w:spacing w:val="-1"/>
        </w:rPr>
        <w:t>»</w:t>
      </w:r>
      <w:r w:rsidR="00D01B8C" w:rsidRPr="00054C2B">
        <w:rPr>
          <w:rFonts w:ascii="Garamond" w:eastAsia="Century Gothic" w:hAnsi="Garamond" w:cs="Arial"/>
        </w:rPr>
        <w:t>.</w:t>
      </w:r>
    </w:p>
    <w:p w:rsidR="00D01B8C" w:rsidRPr="003A1174" w:rsidRDefault="00455D57" w:rsidP="008719D4">
      <w:pPr>
        <w:spacing w:before="240" w:line="240" w:lineRule="auto"/>
        <w:jc w:val="both"/>
        <w:rPr>
          <w:rFonts w:ascii="Garamond" w:eastAsia="Century Gothic" w:hAnsi="Garamond" w:cs="Arial"/>
          <w:sz w:val="24"/>
          <w:szCs w:val="24"/>
        </w:rPr>
      </w:pPr>
      <w:r w:rsidRPr="003A1174">
        <w:rPr>
          <w:rFonts w:ascii="Garamond" w:eastAsia="Century Gothic" w:hAnsi="Garamond" w:cs="Arial"/>
          <w:sz w:val="24"/>
          <w:szCs w:val="24"/>
        </w:rPr>
        <w:t xml:space="preserve">Embora em </w:t>
      </w:r>
      <w:r w:rsidR="00731B19" w:rsidRPr="003A1174">
        <w:rPr>
          <w:rFonts w:ascii="Garamond" w:eastAsia="Century Gothic" w:hAnsi="Garamond" w:cs="Arial"/>
          <w:sz w:val="24"/>
          <w:szCs w:val="24"/>
        </w:rPr>
        <w:t>termos</w:t>
      </w:r>
      <w:r w:rsidR="00D01B8C" w:rsidRPr="003A1174">
        <w:rPr>
          <w:rFonts w:ascii="Garamond" w:eastAsia="Century Gothic" w:hAnsi="Garamond" w:cs="Arial"/>
          <w:sz w:val="24"/>
          <w:szCs w:val="24"/>
        </w:rPr>
        <w:t xml:space="preserve"> de </w:t>
      </w:r>
      <w:r w:rsidR="002C7510" w:rsidRPr="003A1174">
        <w:rPr>
          <w:rFonts w:ascii="Garamond" w:eastAsia="Century Gothic" w:hAnsi="Garamond" w:cs="Arial"/>
          <w:sz w:val="24"/>
          <w:szCs w:val="24"/>
        </w:rPr>
        <w:t>legislação</w:t>
      </w:r>
      <w:r w:rsidR="00D01B8C" w:rsidRPr="003A1174">
        <w:rPr>
          <w:rFonts w:ascii="Garamond" w:eastAsia="Century Gothic" w:hAnsi="Garamond" w:cs="Arial"/>
          <w:sz w:val="24"/>
          <w:szCs w:val="24"/>
        </w:rPr>
        <w:t xml:space="preserve"> </w:t>
      </w:r>
      <w:r w:rsidRPr="003A1174">
        <w:rPr>
          <w:rFonts w:ascii="Garamond" w:eastAsia="Century Gothic" w:hAnsi="Garamond" w:cs="Arial"/>
          <w:sz w:val="24"/>
          <w:szCs w:val="24"/>
        </w:rPr>
        <w:t>protecionista</w:t>
      </w:r>
      <w:r w:rsidR="0066571D">
        <w:rPr>
          <w:rFonts w:ascii="Garamond" w:eastAsia="Century Gothic" w:hAnsi="Garamond" w:cs="Arial"/>
          <w:sz w:val="24"/>
          <w:szCs w:val="24"/>
        </w:rPr>
        <w:t>,</w:t>
      </w:r>
      <w:r w:rsidRPr="003A1174">
        <w:rPr>
          <w:rFonts w:ascii="Garamond" w:eastAsia="Century Gothic" w:hAnsi="Garamond" w:cs="Arial"/>
          <w:sz w:val="24"/>
          <w:szCs w:val="24"/>
        </w:rPr>
        <w:t xml:space="preserve"> </w:t>
      </w:r>
      <w:r w:rsidR="00D01B8C" w:rsidRPr="003A1174">
        <w:rPr>
          <w:rFonts w:ascii="Garamond" w:eastAsia="Century Gothic" w:hAnsi="Garamond" w:cs="Arial"/>
          <w:sz w:val="24"/>
          <w:szCs w:val="24"/>
        </w:rPr>
        <w:t xml:space="preserve">a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54 n</w:t>
      </w:r>
      <w:r w:rsidRPr="003A1174">
        <w:rPr>
          <w:rFonts w:ascii="Garamond" w:eastAsia="Century Gothic" w:hAnsi="Garamond" w:cs="Arial"/>
          <w:sz w:val="24"/>
          <w:szCs w:val="24"/>
        </w:rPr>
        <w:t>ã</w:t>
      </w:r>
      <w:r w:rsidR="00D01B8C" w:rsidRPr="003A1174">
        <w:rPr>
          <w:rFonts w:ascii="Garamond" w:eastAsia="Century Gothic" w:hAnsi="Garamond" w:cs="Arial"/>
          <w:sz w:val="24"/>
          <w:szCs w:val="24"/>
        </w:rPr>
        <w:t xml:space="preserve">o </w:t>
      </w:r>
      <w:r w:rsidRPr="003A1174">
        <w:rPr>
          <w:rFonts w:ascii="Garamond" w:eastAsia="Century Gothic" w:hAnsi="Garamond" w:cs="Arial"/>
          <w:sz w:val="24"/>
          <w:szCs w:val="24"/>
        </w:rPr>
        <w:t xml:space="preserve">tenha sido </w:t>
      </w:r>
      <w:r w:rsidR="00D01B8C" w:rsidRPr="003A1174">
        <w:rPr>
          <w:rFonts w:ascii="Garamond" w:eastAsia="Century Gothic" w:hAnsi="Garamond" w:cs="Arial"/>
          <w:sz w:val="24"/>
          <w:szCs w:val="24"/>
        </w:rPr>
        <w:t xml:space="preserve">a </w:t>
      </w:r>
      <w:r w:rsidR="004C1496" w:rsidRPr="003A1174">
        <w:rPr>
          <w:rFonts w:ascii="Garamond" w:eastAsia="Century Gothic" w:hAnsi="Garamond" w:cs="Arial"/>
          <w:sz w:val="24"/>
          <w:szCs w:val="24"/>
        </w:rPr>
        <w:t>primeira</w:t>
      </w:r>
      <w:r w:rsidR="00D01B8C" w:rsidRPr="003A1174">
        <w:rPr>
          <w:rFonts w:ascii="Garamond" w:eastAsia="Century Gothic" w:hAnsi="Garamond" w:cs="Arial"/>
          <w:sz w:val="24"/>
          <w:szCs w:val="24"/>
        </w:rPr>
        <w:t xml:space="preserve">, </w:t>
      </w:r>
      <w:r w:rsidR="00FB00DD" w:rsidRPr="003A1174">
        <w:rPr>
          <w:rFonts w:ascii="Garamond" w:eastAsia="Century Gothic" w:hAnsi="Garamond" w:cs="Arial"/>
          <w:sz w:val="24"/>
          <w:szCs w:val="24"/>
        </w:rPr>
        <w:t xml:space="preserve">porque se </w:t>
      </w:r>
      <w:r w:rsidRPr="003A1174">
        <w:rPr>
          <w:rFonts w:ascii="Garamond" w:eastAsia="Century Gothic" w:hAnsi="Garamond" w:cs="Arial"/>
          <w:sz w:val="24"/>
          <w:szCs w:val="24"/>
        </w:rPr>
        <w:t xml:space="preserve">criaram </w:t>
      </w:r>
      <w:r w:rsidR="00F320F4" w:rsidRPr="003A1174">
        <w:rPr>
          <w:rFonts w:ascii="Garamond" w:eastAsia="Century Gothic" w:hAnsi="Garamond" w:cs="Arial"/>
          <w:sz w:val="24"/>
          <w:szCs w:val="24"/>
        </w:rPr>
        <w:t>leis</w:t>
      </w:r>
      <w:r w:rsidR="00D01B8C" w:rsidRPr="003A1174">
        <w:rPr>
          <w:rFonts w:ascii="Garamond" w:eastAsia="Century Gothic" w:hAnsi="Garamond" w:cs="Arial"/>
          <w:sz w:val="24"/>
          <w:szCs w:val="24"/>
        </w:rPr>
        <w:t xml:space="preserve"> </w:t>
      </w:r>
      <w:r w:rsidRPr="003A1174">
        <w:rPr>
          <w:rFonts w:ascii="Garamond" w:eastAsia="Century Gothic" w:hAnsi="Garamond" w:cs="Arial"/>
          <w:sz w:val="24"/>
          <w:szCs w:val="24"/>
        </w:rPr>
        <w:t>laborais</w:t>
      </w:r>
      <w:r w:rsidR="00D01B8C" w:rsidRPr="003A1174">
        <w:rPr>
          <w:rFonts w:ascii="Garamond" w:eastAsia="Century Gothic" w:hAnsi="Garamond" w:cs="Arial"/>
          <w:sz w:val="24"/>
          <w:szCs w:val="24"/>
        </w:rPr>
        <w:t xml:space="preserve"> e</w:t>
      </w:r>
      <w:r w:rsidRPr="003A1174">
        <w:rPr>
          <w:rFonts w:ascii="Garamond" w:eastAsia="Century Gothic" w:hAnsi="Garamond" w:cs="Arial"/>
          <w:sz w:val="24"/>
          <w:szCs w:val="24"/>
        </w:rPr>
        <w:t>m</w:t>
      </w:r>
      <w:r w:rsidR="00D01B8C" w:rsidRPr="003A1174">
        <w:rPr>
          <w:rFonts w:ascii="Garamond" w:eastAsia="Century Gothic" w:hAnsi="Garamond" w:cs="Arial"/>
          <w:sz w:val="24"/>
          <w:szCs w:val="24"/>
        </w:rPr>
        <w:t xml:space="preserve"> temas de </w:t>
      </w:r>
      <w:r w:rsidR="00886D6A" w:rsidRPr="003A1174">
        <w:rPr>
          <w:rFonts w:ascii="Garamond" w:eastAsia="Century Gothic" w:hAnsi="Garamond" w:cs="Arial"/>
          <w:sz w:val="24"/>
          <w:szCs w:val="24"/>
        </w:rPr>
        <w:t>proteção</w:t>
      </w:r>
      <w:r w:rsidR="00D01B8C" w:rsidRPr="003A1174">
        <w:rPr>
          <w:rFonts w:ascii="Garamond" w:eastAsia="Century Gothic" w:hAnsi="Garamond" w:cs="Arial"/>
          <w:sz w:val="24"/>
          <w:szCs w:val="24"/>
        </w:rPr>
        <w:t xml:space="preserve"> a m</w:t>
      </w:r>
      <w:r w:rsidRPr="003A1174">
        <w:rPr>
          <w:rFonts w:ascii="Garamond" w:eastAsia="Century Gothic" w:hAnsi="Garamond" w:cs="Arial"/>
          <w:sz w:val="24"/>
          <w:szCs w:val="24"/>
        </w:rPr>
        <w:t xml:space="preserve">ães trabalhadoras </w:t>
      </w:r>
      <w:r w:rsidR="00497503" w:rsidRPr="003A1174">
        <w:rPr>
          <w:rFonts w:ascii="Garamond" w:eastAsia="Century Gothic" w:hAnsi="Garamond" w:cs="Arial"/>
          <w:sz w:val="24"/>
          <w:szCs w:val="24"/>
        </w:rPr>
        <w:t>e</w:t>
      </w:r>
      <w:r w:rsidR="00D01B8C" w:rsidRPr="003A1174">
        <w:rPr>
          <w:rFonts w:ascii="Garamond" w:eastAsia="Century Gothic" w:hAnsi="Garamond" w:cs="Arial"/>
          <w:sz w:val="24"/>
          <w:szCs w:val="24"/>
        </w:rPr>
        <w:t xml:space="preserve"> </w:t>
      </w:r>
      <w:r w:rsidR="00B14AA6" w:rsidRPr="003A1174">
        <w:rPr>
          <w:rFonts w:ascii="Garamond" w:eastAsia="Century Gothic" w:hAnsi="Garamond" w:cs="Arial"/>
          <w:sz w:val="24"/>
          <w:szCs w:val="24"/>
        </w:rPr>
        <w:t>disposições</w:t>
      </w:r>
      <w:r w:rsidR="00D01B8C" w:rsidRPr="003A1174">
        <w:rPr>
          <w:rFonts w:ascii="Garamond" w:eastAsia="Century Gothic" w:hAnsi="Garamond" w:cs="Arial"/>
          <w:sz w:val="24"/>
          <w:szCs w:val="24"/>
        </w:rPr>
        <w:t xml:space="preserve"> contra </w:t>
      </w:r>
      <w:r w:rsidRPr="003A1174">
        <w:rPr>
          <w:rFonts w:ascii="Garamond" w:eastAsia="Century Gothic" w:hAnsi="Garamond" w:cs="Arial"/>
          <w:sz w:val="24"/>
          <w:szCs w:val="24"/>
        </w:rPr>
        <w:t xml:space="preserve">o </w:t>
      </w:r>
      <w:r w:rsidR="001A53AD" w:rsidRPr="003A1174">
        <w:rPr>
          <w:rFonts w:ascii="Garamond" w:eastAsia="Century Gothic" w:hAnsi="Garamond" w:cs="Arial"/>
          <w:sz w:val="24"/>
          <w:szCs w:val="24"/>
        </w:rPr>
        <w:t>Assédio Sexual</w:t>
      </w:r>
      <w:r w:rsidRPr="003A1174">
        <w:rPr>
          <w:rFonts w:ascii="Garamond" w:eastAsia="Century Gothic" w:hAnsi="Garamond" w:cs="Arial"/>
          <w:sz w:val="24"/>
          <w:szCs w:val="24"/>
        </w:rPr>
        <w:t xml:space="preserve">, </w:t>
      </w:r>
      <w:r w:rsidR="00D01B8C" w:rsidRPr="003A1174">
        <w:rPr>
          <w:rFonts w:ascii="Garamond" w:eastAsia="Century Gothic" w:hAnsi="Garamond" w:cs="Arial"/>
          <w:sz w:val="24"/>
          <w:szCs w:val="24"/>
        </w:rPr>
        <w:t xml:space="preserve">as </w:t>
      </w:r>
      <w:r w:rsidR="00524936" w:rsidRPr="003A1174">
        <w:rPr>
          <w:rFonts w:ascii="Garamond" w:eastAsia="Century Gothic" w:hAnsi="Garamond" w:cs="Arial"/>
          <w:sz w:val="24"/>
          <w:szCs w:val="24"/>
        </w:rPr>
        <w:t>mesma</w:t>
      </w:r>
      <w:r w:rsidR="00D01B8C" w:rsidRPr="003A1174">
        <w:rPr>
          <w:rFonts w:ascii="Garamond" w:eastAsia="Century Gothic" w:hAnsi="Garamond" w:cs="Arial"/>
          <w:sz w:val="24"/>
          <w:szCs w:val="24"/>
        </w:rPr>
        <w:t>s abri</w:t>
      </w:r>
      <w:r w:rsidRPr="003A1174">
        <w:rPr>
          <w:rFonts w:ascii="Garamond" w:eastAsia="Century Gothic" w:hAnsi="Garamond" w:cs="Arial"/>
          <w:sz w:val="24"/>
          <w:szCs w:val="24"/>
        </w:rPr>
        <w:t>ram caminho</w:t>
      </w:r>
      <w:r w:rsidR="00D01B8C" w:rsidRPr="003A1174">
        <w:rPr>
          <w:rFonts w:ascii="Garamond" w:eastAsia="Century Gothic" w:hAnsi="Garamond" w:cs="Arial"/>
          <w:sz w:val="24"/>
          <w:szCs w:val="24"/>
        </w:rPr>
        <w:t xml:space="preserve"> a </w:t>
      </w:r>
      <w:r w:rsidR="0017447A" w:rsidRPr="003A1174">
        <w:rPr>
          <w:rFonts w:ascii="Garamond" w:eastAsia="Century Gothic" w:hAnsi="Garamond" w:cs="Arial"/>
          <w:sz w:val="24"/>
          <w:szCs w:val="24"/>
        </w:rPr>
        <w:t>outras</w:t>
      </w:r>
      <w:r w:rsidR="00D01B8C" w:rsidRPr="003A1174">
        <w:rPr>
          <w:rFonts w:ascii="Garamond" w:eastAsia="Century Gothic" w:hAnsi="Garamond" w:cs="Arial"/>
          <w:sz w:val="24"/>
          <w:szCs w:val="24"/>
        </w:rPr>
        <w:t xml:space="preserve"> </w:t>
      </w:r>
      <w:r w:rsidRPr="003A1174">
        <w:rPr>
          <w:rFonts w:ascii="Garamond" w:eastAsia="Century Gothic" w:hAnsi="Garamond" w:cs="Arial"/>
          <w:sz w:val="24"/>
          <w:szCs w:val="24"/>
        </w:rPr>
        <w:t>proteções</w:t>
      </w:r>
      <w:r w:rsidR="00D01B8C" w:rsidRPr="003A1174">
        <w:rPr>
          <w:rFonts w:ascii="Garamond" w:eastAsia="Century Gothic" w:hAnsi="Garamond" w:cs="Arial"/>
          <w:sz w:val="24"/>
          <w:szCs w:val="24"/>
        </w:rPr>
        <w:t xml:space="preserve"> e</w:t>
      </w:r>
      <w:r w:rsidRPr="003A1174">
        <w:rPr>
          <w:rFonts w:ascii="Garamond" w:eastAsia="Century Gothic" w:hAnsi="Garamond" w:cs="Arial"/>
          <w:sz w:val="24"/>
          <w:szCs w:val="24"/>
        </w:rPr>
        <w:t xml:space="preserve">m diferentes </w:t>
      </w:r>
      <w:r w:rsidR="00802ACC" w:rsidRPr="003A1174">
        <w:rPr>
          <w:rFonts w:ascii="Garamond" w:eastAsia="Century Gothic" w:hAnsi="Garamond" w:cs="Arial"/>
          <w:sz w:val="24"/>
          <w:szCs w:val="24"/>
        </w:rPr>
        <w:t>âmbito</w:t>
      </w:r>
      <w:r w:rsidR="00D01B8C" w:rsidRPr="003A1174">
        <w:rPr>
          <w:rFonts w:ascii="Garamond" w:eastAsia="Century Gothic" w:hAnsi="Garamond" w:cs="Arial"/>
          <w:sz w:val="24"/>
          <w:szCs w:val="24"/>
        </w:rPr>
        <w:t xml:space="preserve">s, </w:t>
      </w:r>
      <w:r w:rsidR="00152A44" w:rsidRPr="003A1174">
        <w:rPr>
          <w:rFonts w:ascii="Garamond" w:eastAsia="Century Gothic" w:hAnsi="Garamond" w:cs="Arial"/>
          <w:sz w:val="24"/>
          <w:szCs w:val="24"/>
        </w:rPr>
        <w:t>inclui</w:t>
      </w:r>
      <w:r w:rsidRPr="003A1174">
        <w:rPr>
          <w:rFonts w:ascii="Garamond" w:eastAsia="Century Gothic" w:hAnsi="Garamond" w:cs="Arial"/>
          <w:sz w:val="24"/>
          <w:szCs w:val="24"/>
        </w:rPr>
        <w:t xml:space="preserve">ndo </w:t>
      </w:r>
      <w:r w:rsidR="00D01B8C" w:rsidRPr="003A1174">
        <w:rPr>
          <w:rFonts w:ascii="Garamond" w:eastAsia="Century Gothic" w:hAnsi="Garamond" w:cs="Arial"/>
          <w:sz w:val="24"/>
          <w:szCs w:val="24"/>
        </w:rPr>
        <w:t xml:space="preserve">a </w:t>
      </w:r>
      <w:r w:rsidR="00054C2B">
        <w:rPr>
          <w:rFonts w:ascii="Garamond" w:eastAsia="Century Gothic" w:hAnsi="Garamond" w:cs="Arial"/>
          <w:sz w:val="24"/>
          <w:szCs w:val="24"/>
        </w:rPr>
        <w:t xml:space="preserve">própria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54</w:t>
      </w:r>
      <w:r w:rsidR="00054C2B">
        <w:rPr>
          <w:rFonts w:ascii="Garamond" w:eastAsia="Century Gothic" w:hAnsi="Garamond" w:cs="Arial"/>
          <w:sz w:val="24"/>
          <w:szCs w:val="24"/>
        </w:rPr>
        <w:t>.</w:t>
      </w:r>
      <w:r w:rsidRPr="003A1174">
        <w:rPr>
          <w:rFonts w:ascii="Garamond" w:eastAsia="Century Gothic" w:hAnsi="Garamond" w:cs="Arial"/>
          <w:sz w:val="24"/>
          <w:szCs w:val="24"/>
        </w:rPr>
        <w:t xml:space="preserve"> No </w:t>
      </w:r>
      <w:r w:rsidR="00D01B8C" w:rsidRPr="003A1174">
        <w:rPr>
          <w:rFonts w:ascii="Garamond" w:eastAsia="Century Gothic" w:hAnsi="Garamond" w:cs="Arial"/>
          <w:sz w:val="24"/>
          <w:szCs w:val="24"/>
        </w:rPr>
        <w:t>per</w:t>
      </w:r>
      <w:r w:rsidR="00FB00DD" w:rsidRPr="003A1174">
        <w:rPr>
          <w:rFonts w:ascii="Garamond" w:eastAsia="Century Gothic" w:hAnsi="Garamond" w:cs="Arial"/>
          <w:sz w:val="24"/>
          <w:szCs w:val="24"/>
        </w:rPr>
        <w:t>í</w:t>
      </w:r>
      <w:r w:rsidR="00D01B8C" w:rsidRPr="003A1174">
        <w:rPr>
          <w:rFonts w:ascii="Garamond" w:eastAsia="Century Gothic" w:hAnsi="Garamond" w:cs="Arial"/>
          <w:sz w:val="24"/>
          <w:szCs w:val="24"/>
        </w:rPr>
        <w:t xml:space="preserve">odo de </w:t>
      </w:r>
      <w:r w:rsidR="0017447A" w:rsidRPr="003A1174">
        <w:rPr>
          <w:rFonts w:ascii="Garamond" w:eastAsia="Century Gothic" w:hAnsi="Garamond" w:cs="Arial"/>
          <w:sz w:val="24"/>
          <w:szCs w:val="24"/>
        </w:rPr>
        <w:t>análise</w:t>
      </w:r>
      <w:r w:rsidR="0066571D">
        <w:rPr>
          <w:rFonts w:ascii="Garamond" w:eastAsia="Century Gothic" w:hAnsi="Garamond" w:cs="Arial"/>
          <w:sz w:val="24"/>
          <w:szCs w:val="24"/>
        </w:rPr>
        <w:t>,</w:t>
      </w:r>
      <w:r w:rsidR="00D01B8C" w:rsidRPr="003A1174">
        <w:rPr>
          <w:rFonts w:ascii="Garamond" w:eastAsia="Century Gothic" w:hAnsi="Garamond" w:cs="Arial"/>
          <w:sz w:val="24"/>
          <w:szCs w:val="24"/>
        </w:rPr>
        <w:t xml:space="preserve"> a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54 </w:t>
      </w:r>
      <w:r w:rsidR="00462B11" w:rsidRPr="003A1174">
        <w:rPr>
          <w:rFonts w:ascii="Garamond" w:eastAsia="Century Gothic" w:hAnsi="Garamond" w:cs="Arial"/>
          <w:sz w:val="24"/>
          <w:szCs w:val="24"/>
        </w:rPr>
        <w:t>foi</w:t>
      </w:r>
      <w:r w:rsidR="00D01B8C" w:rsidRPr="003A1174">
        <w:rPr>
          <w:rFonts w:ascii="Garamond" w:eastAsia="Century Gothic" w:hAnsi="Garamond" w:cs="Arial"/>
          <w:sz w:val="24"/>
          <w:szCs w:val="24"/>
        </w:rPr>
        <w:t xml:space="preserve"> objeto de </w:t>
      </w:r>
      <w:r w:rsidRPr="003A1174">
        <w:rPr>
          <w:rFonts w:ascii="Garamond" w:eastAsia="Century Gothic" w:hAnsi="Garamond" w:cs="Arial"/>
          <w:sz w:val="24"/>
          <w:szCs w:val="24"/>
        </w:rPr>
        <w:t>um</w:t>
      </w:r>
      <w:r w:rsidR="00FB00DD" w:rsidRPr="003A1174">
        <w:rPr>
          <w:rFonts w:ascii="Garamond" w:eastAsia="Century Gothic" w:hAnsi="Garamond" w:cs="Arial"/>
          <w:sz w:val="24"/>
          <w:szCs w:val="24"/>
        </w:rPr>
        <w:t xml:space="preserve">a </w:t>
      </w:r>
      <w:r w:rsidR="0066571D">
        <w:rPr>
          <w:rFonts w:ascii="Garamond" w:eastAsia="Century Gothic" w:hAnsi="Garamond" w:cs="Arial"/>
          <w:sz w:val="24"/>
          <w:szCs w:val="24"/>
        </w:rPr>
        <w:t xml:space="preserve">alteração </w:t>
      </w:r>
      <w:r w:rsidRPr="003A1174">
        <w:rPr>
          <w:rFonts w:ascii="Garamond" w:eastAsia="Century Gothic" w:hAnsi="Garamond" w:cs="Arial"/>
          <w:sz w:val="24"/>
          <w:szCs w:val="24"/>
        </w:rPr>
        <w:t xml:space="preserve">que </w:t>
      </w:r>
      <w:r w:rsidR="00D01B8C" w:rsidRPr="003A1174">
        <w:rPr>
          <w:rFonts w:ascii="Garamond" w:eastAsia="Century Gothic" w:hAnsi="Garamond" w:cs="Arial"/>
          <w:sz w:val="24"/>
          <w:szCs w:val="24"/>
        </w:rPr>
        <w:t>a coloca</w:t>
      </w:r>
      <w:r w:rsidR="0066571D">
        <w:rPr>
          <w:rFonts w:ascii="Garamond" w:eastAsia="Century Gothic" w:hAnsi="Garamond" w:cs="Arial"/>
          <w:sz w:val="24"/>
          <w:szCs w:val="24"/>
        </w:rPr>
        <w:t>,</w:t>
      </w:r>
      <w:r w:rsidR="00D01B8C" w:rsidRPr="003A1174">
        <w:rPr>
          <w:rFonts w:ascii="Garamond" w:eastAsia="Century Gothic" w:hAnsi="Garamond" w:cs="Arial"/>
          <w:sz w:val="24"/>
          <w:szCs w:val="24"/>
        </w:rPr>
        <w:t xml:space="preserve"> </w:t>
      </w:r>
      <w:r w:rsidR="002A59E7" w:rsidRPr="003A1174">
        <w:rPr>
          <w:rFonts w:ascii="Garamond" w:eastAsia="Century Gothic" w:hAnsi="Garamond" w:cs="Arial"/>
          <w:sz w:val="24"/>
          <w:szCs w:val="24"/>
        </w:rPr>
        <w:t>nova</w:t>
      </w:r>
      <w:r w:rsidR="00D01B8C" w:rsidRPr="003A1174">
        <w:rPr>
          <w:rFonts w:ascii="Garamond" w:eastAsia="Century Gothic" w:hAnsi="Garamond" w:cs="Arial"/>
          <w:sz w:val="24"/>
          <w:szCs w:val="24"/>
        </w:rPr>
        <w:t>mente</w:t>
      </w:r>
      <w:r w:rsidR="0066571D">
        <w:rPr>
          <w:rFonts w:ascii="Garamond" w:eastAsia="Century Gothic" w:hAnsi="Garamond" w:cs="Arial"/>
          <w:sz w:val="24"/>
          <w:szCs w:val="24"/>
        </w:rPr>
        <w:t>,</w:t>
      </w:r>
      <w:r w:rsidR="00D01B8C" w:rsidRPr="003A1174">
        <w:rPr>
          <w:rFonts w:ascii="Garamond" w:eastAsia="Century Gothic" w:hAnsi="Garamond" w:cs="Arial"/>
          <w:sz w:val="24"/>
          <w:szCs w:val="24"/>
        </w:rPr>
        <w:t xml:space="preserve"> </w:t>
      </w:r>
      <w:r w:rsidRPr="003A1174">
        <w:rPr>
          <w:rFonts w:ascii="Garamond" w:eastAsia="Century Gothic" w:hAnsi="Garamond" w:cs="Arial"/>
          <w:sz w:val="24"/>
          <w:szCs w:val="24"/>
        </w:rPr>
        <w:t xml:space="preserve">numa </w:t>
      </w:r>
      <w:r w:rsidR="002C7510" w:rsidRPr="003A1174">
        <w:rPr>
          <w:rFonts w:ascii="Garamond" w:eastAsia="Century Gothic" w:hAnsi="Garamond" w:cs="Arial"/>
          <w:sz w:val="24"/>
          <w:szCs w:val="24"/>
        </w:rPr>
        <w:t>legislação</w:t>
      </w:r>
      <w:r w:rsidRPr="003A1174">
        <w:rPr>
          <w:rFonts w:ascii="Garamond" w:eastAsia="Century Gothic" w:hAnsi="Garamond" w:cs="Arial"/>
          <w:sz w:val="24"/>
          <w:szCs w:val="24"/>
        </w:rPr>
        <w:t xml:space="preserve"> de vanguard</w:t>
      </w:r>
      <w:r w:rsidR="00D01B8C" w:rsidRPr="003A1174">
        <w:rPr>
          <w:rFonts w:ascii="Garamond" w:eastAsia="Century Gothic" w:hAnsi="Garamond" w:cs="Arial"/>
          <w:sz w:val="24"/>
          <w:szCs w:val="24"/>
        </w:rPr>
        <w:t xml:space="preserve">a </w:t>
      </w:r>
      <w:r w:rsidRPr="003A1174">
        <w:rPr>
          <w:rFonts w:ascii="Garamond" w:eastAsia="Century Gothic" w:hAnsi="Garamond" w:cs="Arial"/>
          <w:sz w:val="24"/>
          <w:szCs w:val="24"/>
        </w:rPr>
        <w:t xml:space="preserve">no </w:t>
      </w:r>
      <w:r w:rsidR="00D01B8C" w:rsidRPr="003A1174">
        <w:rPr>
          <w:rFonts w:ascii="Garamond" w:eastAsia="Century Gothic" w:hAnsi="Garamond" w:cs="Arial"/>
          <w:sz w:val="24"/>
          <w:szCs w:val="24"/>
        </w:rPr>
        <w:t>h</w:t>
      </w:r>
      <w:r w:rsidR="00E34DB3" w:rsidRPr="003A1174">
        <w:rPr>
          <w:rFonts w:ascii="Garamond" w:eastAsia="Century Gothic" w:hAnsi="Garamond" w:cs="Arial"/>
          <w:sz w:val="24"/>
          <w:szCs w:val="24"/>
        </w:rPr>
        <w:t>emisfé</w:t>
      </w:r>
      <w:r w:rsidR="00D01B8C" w:rsidRPr="003A1174">
        <w:rPr>
          <w:rFonts w:ascii="Garamond" w:eastAsia="Century Gothic" w:hAnsi="Garamond" w:cs="Arial"/>
          <w:sz w:val="24"/>
          <w:szCs w:val="24"/>
        </w:rPr>
        <w:t>rio,</w:t>
      </w:r>
      <w:r w:rsidR="00FB00DD" w:rsidRPr="003A1174">
        <w:rPr>
          <w:rFonts w:ascii="Garamond" w:eastAsia="Century Gothic" w:hAnsi="Garamond" w:cs="Arial"/>
          <w:sz w:val="24"/>
          <w:szCs w:val="24"/>
        </w:rPr>
        <w:t xml:space="preserve"> </w:t>
      </w:r>
      <w:r w:rsidR="00D01B8C" w:rsidRPr="003A1174">
        <w:rPr>
          <w:rFonts w:ascii="Garamond" w:eastAsia="Century Gothic" w:hAnsi="Garamond" w:cs="Arial"/>
          <w:sz w:val="24"/>
          <w:szCs w:val="24"/>
        </w:rPr>
        <w:t>a</w:t>
      </w:r>
      <w:r w:rsidRPr="003A1174">
        <w:rPr>
          <w:rFonts w:ascii="Garamond" w:eastAsia="Century Gothic" w:hAnsi="Garamond" w:cs="Arial"/>
          <w:sz w:val="24"/>
          <w:szCs w:val="24"/>
        </w:rPr>
        <w:t xml:space="preserve">o proporcionar </w:t>
      </w:r>
      <w:r w:rsidR="00886D6A" w:rsidRPr="003A1174">
        <w:rPr>
          <w:rFonts w:ascii="Garamond" w:eastAsia="Century Gothic" w:hAnsi="Garamond" w:cs="Arial"/>
          <w:sz w:val="24"/>
          <w:szCs w:val="24"/>
        </w:rPr>
        <w:t>proteção</w:t>
      </w:r>
      <w:r w:rsidR="00FB00DD" w:rsidRPr="003A1174">
        <w:rPr>
          <w:rFonts w:ascii="Garamond" w:eastAsia="Century Gothic" w:hAnsi="Garamond" w:cs="Arial"/>
          <w:sz w:val="24"/>
          <w:szCs w:val="24"/>
        </w:rPr>
        <w:t xml:space="preserve"> a</w:t>
      </w:r>
      <w:r w:rsidRPr="003A1174">
        <w:rPr>
          <w:rFonts w:ascii="Garamond" w:eastAsia="Century Gothic" w:hAnsi="Garamond" w:cs="Arial"/>
          <w:sz w:val="24"/>
          <w:szCs w:val="24"/>
        </w:rPr>
        <w:t xml:space="preserve"> um</w:t>
      </w:r>
      <w:r w:rsidR="00D01B8C" w:rsidRPr="003A1174">
        <w:rPr>
          <w:rFonts w:ascii="Garamond" w:eastAsia="Century Gothic" w:hAnsi="Garamond" w:cs="Arial"/>
          <w:sz w:val="24"/>
          <w:szCs w:val="24"/>
        </w:rPr>
        <w:t xml:space="preserve">a </w:t>
      </w:r>
      <w:r w:rsidR="002A59E7" w:rsidRPr="003A1174">
        <w:rPr>
          <w:rFonts w:ascii="Garamond" w:eastAsia="Century Gothic" w:hAnsi="Garamond" w:cs="Arial"/>
          <w:sz w:val="24"/>
          <w:szCs w:val="24"/>
        </w:rPr>
        <w:t>nova</w:t>
      </w:r>
      <w:r w:rsidR="00D01B8C" w:rsidRPr="003A1174">
        <w:rPr>
          <w:rFonts w:ascii="Garamond" w:eastAsia="Century Gothic" w:hAnsi="Garamond" w:cs="Arial"/>
          <w:sz w:val="24"/>
          <w:szCs w:val="24"/>
        </w:rPr>
        <w:t xml:space="preserve"> gama de </w:t>
      </w:r>
      <w:r w:rsidR="00BA3CCE" w:rsidRPr="003A1174">
        <w:rPr>
          <w:rFonts w:ascii="Garamond" w:eastAsia="Century Gothic" w:hAnsi="Garamond" w:cs="Arial"/>
          <w:sz w:val="24"/>
          <w:szCs w:val="24"/>
        </w:rPr>
        <w:t>sujeitos</w:t>
      </w:r>
      <w:r w:rsidR="0066571D">
        <w:rPr>
          <w:rFonts w:ascii="Garamond" w:eastAsia="Century Gothic" w:hAnsi="Garamond" w:cs="Arial"/>
          <w:sz w:val="24"/>
          <w:szCs w:val="24"/>
        </w:rPr>
        <w:t>,</w:t>
      </w:r>
      <w:r w:rsidR="00D01B8C" w:rsidRPr="003A1174">
        <w:rPr>
          <w:rFonts w:ascii="Garamond" w:eastAsia="Century Gothic" w:hAnsi="Garamond" w:cs="Arial"/>
          <w:sz w:val="24"/>
          <w:szCs w:val="24"/>
        </w:rPr>
        <w:t xml:space="preserve"> tradicionalmente</w:t>
      </w:r>
      <w:r w:rsidR="0066571D">
        <w:rPr>
          <w:rFonts w:ascii="Garamond" w:eastAsia="Century Gothic" w:hAnsi="Garamond" w:cs="Arial"/>
          <w:sz w:val="24"/>
          <w:szCs w:val="24"/>
        </w:rPr>
        <w:t>,</w:t>
      </w:r>
      <w:r w:rsidR="00D01B8C" w:rsidRPr="003A1174">
        <w:rPr>
          <w:rFonts w:ascii="Garamond" w:eastAsia="Century Gothic" w:hAnsi="Garamond" w:cs="Arial"/>
          <w:sz w:val="24"/>
          <w:szCs w:val="24"/>
        </w:rPr>
        <w:t xml:space="preserve"> n</w:t>
      </w:r>
      <w:r w:rsidRPr="003A1174">
        <w:rPr>
          <w:rFonts w:ascii="Garamond" w:eastAsia="Century Gothic" w:hAnsi="Garamond" w:cs="Arial"/>
          <w:sz w:val="24"/>
          <w:szCs w:val="24"/>
        </w:rPr>
        <w:t>ã</w:t>
      </w:r>
      <w:r w:rsidR="00D01B8C" w:rsidRPr="003A1174">
        <w:rPr>
          <w:rFonts w:ascii="Garamond" w:eastAsia="Century Gothic" w:hAnsi="Garamond" w:cs="Arial"/>
          <w:sz w:val="24"/>
          <w:szCs w:val="24"/>
        </w:rPr>
        <w:t xml:space="preserve">o considerados. </w:t>
      </w:r>
      <w:r w:rsidRPr="003A1174">
        <w:rPr>
          <w:rFonts w:ascii="Garamond" w:eastAsia="Century Gothic" w:hAnsi="Garamond" w:cs="Arial"/>
          <w:sz w:val="24"/>
          <w:szCs w:val="24"/>
        </w:rPr>
        <w:t>Histo</w:t>
      </w:r>
      <w:r w:rsidR="00D01B8C" w:rsidRPr="003A1174">
        <w:rPr>
          <w:rFonts w:ascii="Garamond" w:eastAsia="Century Gothic" w:hAnsi="Garamond" w:cs="Arial"/>
          <w:sz w:val="24"/>
          <w:szCs w:val="24"/>
        </w:rPr>
        <w:t>ricamente</w:t>
      </w:r>
      <w:r w:rsidR="002B5F3A">
        <w:rPr>
          <w:rFonts w:ascii="Garamond" w:eastAsia="Century Gothic" w:hAnsi="Garamond" w:cs="Arial"/>
          <w:sz w:val="24"/>
          <w:szCs w:val="24"/>
        </w:rPr>
        <w:t>,</w:t>
      </w:r>
      <w:r w:rsidR="00D01B8C" w:rsidRPr="003A1174">
        <w:rPr>
          <w:rFonts w:ascii="Garamond" w:eastAsia="Century Gothic" w:hAnsi="Garamond" w:cs="Arial"/>
          <w:sz w:val="24"/>
          <w:szCs w:val="24"/>
        </w:rPr>
        <w:t xml:space="preserve"> aplicada a </w:t>
      </w:r>
      <w:r w:rsidR="00054EE0" w:rsidRPr="003A1174">
        <w:rPr>
          <w:rFonts w:ascii="Garamond" w:eastAsia="Century Gothic" w:hAnsi="Garamond" w:cs="Arial"/>
          <w:sz w:val="24"/>
          <w:szCs w:val="24"/>
        </w:rPr>
        <w:t>mulheres</w:t>
      </w:r>
      <w:r w:rsidR="00D01B8C" w:rsidRPr="003A1174">
        <w:rPr>
          <w:rFonts w:ascii="Garamond" w:eastAsia="Century Gothic" w:hAnsi="Garamond" w:cs="Arial"/>
          <w:sz w:val="24"/>
          <w:szCs w:val="24"/>
        </w:rPr>
        <w:t xml:space="preserve"> </w:t>
      </w:r>
      <w:r w:rsidR="00497503" w:rsidRPr="003A1174">
        <w:rPr>
          <w:rFonts w:ascii="Garamond" w:eastAsia="Century Gothic" w:hAnsi="Garamond" w:cs="Arial"/>
          <w:sz w:val="24"/>
          <w:szCs w:val="24"/>
        </w:rPr>
        <w:t>e</w:t>
      </w:r>
      <w:r w:rsidR="00D01B8C" w:rsidRPr="003A1174">
        <w:rPr>
          <w:rFonts w:ascii="Garamond" w:eastAsia="Century Gothic" w:hAnsi="Garamond" w:cs="Arial"/>
          <w:sz w:val="24"/>
          <w:szCs w:val="24"/>
        </w:rPr>
        <w:t xml:space="preserve"> a </w:t>
      </w:r>
      <w:r w:rsidR="00524936" w:rsidRPr="003A1174">
        <w:rPr>
          <w:rFonts w:ascii="Garamond" w:eastAsia="Century Gothic" w:hAnsi="Garamond" w:cs="Arial"/>
          <w:sz w:val="24"/>
          <w:szCs w:val="24"/>
        </w:rPr>
        <w:t>homens</w:t>
      </w:r>
      <w:r w:rsidR="00D01B8C" w:rsidRPr="003A1174">
        <w:rPr>
          <w:rFonts w:ascii="Garamond" w:eastAsia="Century Gothic" w:hAnsi="Garamond" w:cs="Arial"/>
          <w:sz w:val="24"/>
          <w:szCs w:val="24"/>
        </w:rPr>
        <w:t xml:space="preserve"> </w:t>
      </w:r>
      <w:r w:rsidR="002B5F3A">
        <w:rPr>
          <w:rFonts w:ascii="Garamond" w:eastAsia="Century Gothic" w:hAnsi="Garamond" w:cs="Arial"/>
          <w:sz w:val="24"/>
          <w:szCs w:val="24"/>
        </w:rPr>
        <w:t>-</w:t>
      </w:r>
      <w:r w:rsidRPr="003A1174">
        <w:rPr>
          <w:rFonts w:ascii="Garamond" w:eastAsia="Century Gothic" w:hAnsi="Garamond" w:cs="Arial"/>
          <w:sz w:val="24"/>
          <w:szCs w:val="24"/>
        </w:rPr>
        <w:t xml:space="preserve"> </w:t>
      </w:r>
      <w:r w:rsidR="00E539A2" w:rsidRPr="003A1174">
        <w:rPr>
          <w:rFonts w:ascii="Garamond" w:eastAsia="Century Gothic" w:hAnsi="Garamond" w:cs="Arial"/>
          <w:sz w:val="24"/>
          <w:szCs w:val="24"/>
        </w:rPr>
        <w:t>sendo</w:t>
      </w:r>
      <w:r w:rsidR="00FB00DD" w:rsidRPr="003A1174">
        <w:rPr>
          <w:rFonts w:ascii="Garamond" w:eastAsia="Century Gothic" w:hAnsi="Garamond" w:cs="Arial"/>
          <w:sz w:val="24"/>
          <w:szCs w:val="24"/>
        </w:rPr>
        <w:t xml:space="preserve"> </w:t>
      </w:r>
      <w:r w:rsidR="007407BD" w:rsidRPr="003A1174">
        <w:rPr>
          <w:rFonts w:ascii="Garamond" w:eastAsia="Century Gothic" w:hAnsi="Garamond" w:cs="Arial"/>
          <w:sz w:val="24"/>
          <w:szCs w:val="24"/>
        </w:rPr>
        <w:t>estes</w:t>
      </w:r>
      <w:r w:rsidR="00D01B8C" w:rsidRPr="003A1174">
        <w:rPr>
          <w:rFonts w:ascii="Garamond" w:eastAsia="Century Gothic" w:hAnsi="Garamond" w:cs="Arial"/>
          <w:sz w:val="24"/>
          <w:szCs w:val="24"/>
        </w:rPr>
        <w:t xml:space="preserve"> últimos </w:t>
      </w:r>
      <w:r w:rsidR="003F012B" w:rsidRPr="003A1174">
        <w:rPr>
          <w:rFonts w:ascii="Garamond" w:eastAsia="Century Gothic" w:hAnsi="Garamond" w:cs="Arial"/>
          <w:sz w:val="24"/>
          <w:szCs w:val="24"/>
        </w:rPr>
        <w:t>muito</w:t>
      </w:r>
      <w:r w:rsidR="00D01B8C" w:rsidRPr="003A1174">
        <w:rPr>
          <w:rFonts w:ascii="Garamond" w:eastAsia="Century Gothic" w:hAnsi="Garamond" w:cs="Arial"/>
          <w:sz w:val="24"/>
          <w:szCs w:val="24"/>
        </w:rPr>
        <w:t xml:space="preserve"> menos re</w:t>
      </w:r>
      <w:r w:rsidRPr="003A1174">
        <w:rPr>
          <w:rFonts w:ascii="Garamond" w:eastAsia="Century Gothic" w:hAnsi="Garamond" w:cs="Arial"/>
          <w:sz w:val="24"/>
          <w:szCs w:val="24"/>
        </w:rPr>
        <w:t xml:space="preserve">feridos </w:t>
      </w:r>
      <w:r w:rsidR="002B5F3A">
        <w:rPr>
          <w:rFonts w:ascii="Garamond" w:eastAsia="Century Gothic" w:hAnsi="Garamond" w:cs="Arial"/>
          <w:sz w:val="24"/>
          <w:szCs w:val="24"/>
        </w:rPr>
        <w:t>-</w:t>
      </w:r>
      <w:r w:rsidR="00D01B8C" w:rsidRPr="003A1174">
        <w:rPr>
          <w:rFonts w:ascii="Garamond" w:eastAsia="Century Gothic" w:hAnsi="Garamond" w:cs="Arial"/>
          <w:sz w:val="24"/>
          <w:szCs w:val="24"/>
        </w:rPr>
        <w:t xml:space="preserve"> </w:t>
      </w:r>
      <w:r w:rsidR="003F012B" w:rsidRPr="003A1174">
        <w:rPr>
          <w:rFonts w:ascii="Garamond" w:eastAsia="Century Gothic" w:hAnsi="Garamond" w:cs="Arial"/>
          <w:sz w:val="24"/>
          <w:szCs w:val="24"/>
        </w:rPr>
        <w:t>vítima</w:t>
      </w:r>
      <w:r w:rsidR="00D01B8C" w:rsidRPr="003A1174">
        <w:rPr>
          <w:rFonts w:ascii="Garamond" w:eastAsia="Century Gothic" w:hAnsi="Garamond" w:cs="Arial"/>
          <w:sz w:val="24"/>
          <w:szCs w:val="24"/>
        </w:rPr>
        <w:t xml:space="preserve">s de </w:t>
      </w:r>
      <w:r w:rsidR="000350B1" w:rsidRPr="003A1174">
        <w:rPr>
          <w:rFonts w:ascii="Garamond" w:eastAsia="Century Gothic" w:hAnsi="Garamond" w:cs="Arial"/>
          <w:sz w:val="24"/>
          <w:szCs w:val="24"/>
        </w:rPr>
        <w:t>violência</w:t>
      </w:r>
      <w:r w:rsidR="00D01B8C" w:rsidRPr="003A1174">
        <w:rPr>
          <w:rFonts w:ascii="Garamond" w:eastAsia="Century Gothic" w:hAnsi="Garamond" w:cs="Arial"/>
          <w:sz w:val="24"/>
          <w:szCs w:val="24"/>
        </w:rPr>
        <w:t xml:space="preserve"> familiar </w:t>
      </w:r>
      <w:r w:rsidRPr="003A1174">
        <w:rPr>
          <w:rFonts w:ascii="Garamond" w:eastAsia="Century Gothic" w:hAnsi="Garamond" w:cs="Arial"/>
          <w:sz w:val="24"/>
          <w:szCs w:val="24"/>
        </w:rPr>
        <w:t xml:space="preserve">numa </w:t>
      </w:r>
      <w:r w:rsidR="00152A44" w:rsidRPr="003A1174">
        <w:rPr>
          <w:rFonts w:ascii="Garamond" w:eastAsia="Century Gothic" w:hAnsi="Garamond" w:cs="Arial"/>
          <w:sz w:val="24"/>
          <w:szCs w:val="24"/>
        </w:rPr>
        <w:t>relação</w:t>
      </w:r>
      <w:r w:rsidR="00D01B8C" w:rsidRPr="003A1174">
        <w:rPr>
          <w:rFonts w:ascii="Garamond" w:eastAsia="Century Gothic" w:hAnsi="Garamond" w:cs="Arial"/>
          <w:sz w:val="24"/>
          <w:szCs w:val="24"/>
        </w:rPr>
        <w:t xml:space="preserve"> de n</w:t>
      </w:r>
      <w:r w:rsidRPr="003A1174">
        <w:rPr>
          <w:rFonts w:ascii="Garamond" w:eastAsia="Century Gothic" w:hAnsi="Garamond" w:cs="Arial"/>
          <w:sz w:val="24"/>
          <w:szCs w:val="24"/>
        </w:rPr>
        <w:t xml:space="preserve">amoro ou casamento, </w:t>
      </w:r>
      <w:r w:rsidR="00FB09CA" w:rsidRPr="003A1174">
        <w:rPr>
          <w:rFonts w:ascii="Garamond" w:eastAsia="Century Gothic" w:hAnsi="Garamond" w:cs="Arial"/>
          <w:sz w:val="24"/>
          <w:szCs w:val="24"/>
        </w:rPr>
        <w:t>atual</w:t>
      </w:r>
      <w:r w:rsidR="00D01B8C" w:rsidRPr="003A1174">
        <w:rPr>
          <w:rFonts w:ascii="Garamond" w:eastAsia="Century Gothic" w:hAnsi="Garamond" w:cs="Arial"/>
          <w:sz w:val="24"/>
          <w:szCs w:val="24"/>
        </w:rPr>
        <w:t xml:space="preserve"> o</w:t>
      </w:r>
      <w:r w:rsidRPr="003A1174">
        <w:rPr>
          <w:rFonts w:ascii="Garamond" w:eastAsia="Century Gothic" w:hAnsi="Garamond" w:cs="Arial"/>
          <w:sz w:val="24"/>
          <w:szCs w:val="24"/>
        </w:rPr>
        <w:t>u</w:t>
      </w:r>
      <w:r w:rsidR="00D01B8C" w:rsidRPr="003A1174">
        <w:rPr>
          <w:rFonts w:ascii="Garamond" w:eastAsia="Century Gothic" w:hAnsi="Garamond" w:cs="Arial"/>
          <w:sz w:val="24"/>
          <w:szCs w:val="24"/>
        </w:rPr>
        <w:t xml:space="preserve"> </w:t>
      </w:r>
      <w:r w:rsidR="00D4575C" w:rsidRPr="003A1174">
        <w:rPr>
          <w:rFonts w:ascii="Garamond" w:eastAsia="Century Gothic" w:hAnsi="Garamond" w:cs="Arial"/>
          <w:sz w:val="24"/>
          <w:szCs w:val="24"/>
        </w:rPr>
        <w:t>passado</w:t>
      </w:r>
      <w:r w:rsidR="00D01B8C" w:rsidRPr="003A1174">
        <w:rPr>
          <w:rFonts w:ascii="Garamond" w:eastAsia="Century Gothic" w:hAnsi="Garamond" w:cs="Arial"/>
          <w:sz w:val="24"/>
          <w:szCs w:val="24"/>
        </w:rPr>
        <w:t>, co</w:t>
      </w:r>
      <w:r w:rsidRPr="003A1174">
        <w:rPr>
          <w:rFonts w:ascii="Garamond" w:eastAsia="Century Gothic" w:hAnsi="Garamond" w:cs="Arial"/>
          <w:sz w:val="24"/>
          <w:szCs w:val="24"/>
        </w:rPr>
        <w:t xml:space="preserve">m </w:t>
      </w:r>
      <w:r w:rsidR="00D01B8C" w:rsidRPr="003A1174">
        <w:rPr>
          <w:rFonts w:ascii="Garamond" w:eastAsia="Century Gothic" w:hAnsi="Garamond" w:cs="Arial"/>
          <w:sz w:val="24"/>
          <w:szCs w:val="24"/>
        </w:rPr>
        <w:t xml:space="preserve">a </w:t>
      </w:r>
      <w:r w:rsidR="002A59E7" w:rsidRPr="003A1174">
        <w:rPr>
          <w:rFonts w:ascii="Garamond" w:eastAsia="Century Gothic" w:hAnsi="Garamond" w:cs="Arial"/>
          <w:sz w:val="24"/>
          <w:szCs w:val="24"/>
        </w:rPr>
        <w:t>nova</w:t>
      </w:r>
      <w:r w:rsidR="00D01B8C" w:rsidRPr="003A1174">
        <w:rPr>
          <w:rFonts w:ascii="Garamond" w:eastAsia="Century Gothic" w:hAnsi="Garamond" w:cs="Arial"/>
          <w:sz w:val="24"/>
          <w:szCs w:val="24"/>
        </w:rPr>
        <w:t xml:space="preserve"> </w:t>
      </w:r>
      <w:r w:rsidR="00016652">
        <w:rPr>
          <w:rFonts w:ascii="Garamond" w:eastAsia="Century Gothic" w:hAnsi="Garamond" w:cs="Arial"/>
          <w:sz w:val="24"/>
          <w:szCs w:val="24"/>
        </w:rPr>
        <w:t xml:space="preserve">alteração </w:t>
      </w:r>
      <w:r w:rsidR="00D01B8C" w:rsidRPr="003A1174">
        <w:rPr>
          <w:rFonts w:ascii="Garamond" w:eastAsia="Century Gothic" w:hAnsi="Garamond" w:cs="Arial"/>
          <w:sz w:val="24"/>
          <w:szCs w:val="24"/>
        </w:rPr>
        <w:t xml:space="preserve">a </w:t>
      </w:r>
      <w:r w:rsidR="00886D6A" w:rsidRPr="003A1174">
        <w:rPr>
          <w:rFonts w:ascii="Garamond" w:eastAsia="Century Gothic" w:hAnsi="Garamond" w:cs="Arial"/>
          <w:sz w:val="24"/>
          <w:szCs w:val="24"/>
        </w:rPr>
        <w:t>proteção</w:t>
      </w:r>
      <w:r w:rsidR="00D01B8C" w:rsidRPr="003A1174">
        <w:rPr>
          <w:rFonts w:ascii="Garamond" w:eastAsia="Century Gothic" w:hAnsi="Garamond" w:cs="Arial"/>
          <w:sz w:val="24"/>
          <w:szCs w:val="24"/>
        </w:rPr>
        <w:t xml:space="preserve"> da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54 </w:t>
      </w:r>
      <w:r w:rsidR="007342D9" w:rsidRPr="003A1174">
        <w:rPr>
          <w:rFonts w:ascii="Garamond" w:eastAsia="Century Gothic" w:hAnsi="Garamond" w:cs="Arial"/>
          <w:sz w:val="24"/>
          <w:szCs w:val="24"/>
        </w:rPr>
        <w:t>pode</w:t>
      </w:r>
      <w:r w:rsidR="00D01B8C" w:rsidRPr="003A1174">
        <w:rPr>
          <w:rFonts w:ascii="Garamond" w:eastAsia="Century Gothic" w:hAnsi="Garamond" w:cs="Arial"/>
          <w:sz w:val="24"/>
          <w:szCs w:val="24"/>
        </w:rPr>
        <w:t xml:space="preserve"> </w:t>
      </w:r>
      <w:r w:rsidR="00016652">
        <w:rPr>
          <w:rFonts w:ascii="Garamond" w:eastAsia="Century Gothic" w:hAnsi="Garamond" w:cs="Arial"/>
          <w:sz w:val="24"/>
          <w:szCs w:val="24"/>
        </w:rPr>
        <w:t xml:space="preserve">abranger </w:t>
      </w:r>
      <w:r w:rsidR="00FB00DD" w:rsidRPr="003A1174">
        <w:rPr>
          <w:rFonts w:ascii="Garamond" w:eastAsia="Century Gothic" w:hAnsi="Garamond" w:cs="Arial"/>
          <w:sz w:val="24"/>
          <w:szCs w:val="24"/>
        </w:rPr>
        <w:t xml:space="preserve">todas </w:t>
      </w:r>
      <w:r w:rsidR="00D01B8C" w:rsidRPr="003A1174">
        <w:rPr>
          <w:rFonts w:ascii="Garamond" w:eastAsia="Century Gothic" w:hAnsi="Garamond" w:cs="Arial"/>
          <w:sz w:val="24"/>
          <w:szCs w:val="24"/>
        </w:rPr>
        <w:t xml:space="preserve">as </w:t>
      </w:r>
      <w:r w:rsidR="006C760C" w:rsidRPr="003A1174">
        <w:rPr>
          <w:rFonts w:ascii="Garamond" w:eastAsia="Century Gothic" w:hAnsi="Garamond" w:cs="Arial"/>
          <w:sz w:val="24"/>
          <w:szCs w:val="24"/>
        </w:rPr>
        <w:t>pessoas</w:t>
      </w:r>
      <w:r w:rsidR="00FB00DD" w:rsidRPr="003A1174">
        <w:rPr>
          <w:rFonts w:ascii="Garamond" w:eastAsia="Century Gothic" w:hAnsi="Garamond" w:cs="Arial"/>
          <w:sz w:val="24"/>
          <w:szCs w:val="24"/>
        </w:rPr>
        <w:t>,</w:t>
      </w:r>
      <w:r w:rsidR="00D01B8C" w:rsidRPr="003A1174">
        <w:rPr>
          <w:rFonts w:ascii="Garamond" w:eastAsia="Century Gothic" w:hAnsi="Garamond" w:cs="Arial"/>
          <w:sz w:val="24"/>
          <w:szCs w:val="24"/>
        </w:rPr>
        <w:t xml:space="preserve"> </w:t>
      </w:r>
      <w:r w:rsidR="00016652">
        <w:rPr>
          <w:rFonts w:ascii="Garamond" w:eastAsia="Century Gothic" w:hAnsi="Garamond" w:cs="Arial"/>
          <w:sz w:val="24"/>
          <w:szCs w:val="24"/>
        </w:rPr>
        <w:t xml:space="preserve">independentemente do </w:t>
      </w:r>
      <w:r w:rsidR="00D01B8C" w:rsidRPr="003A1174">
        <w:rPr>
          <w:rFonts w:ascii="Garamond" w:eastAsia="Century Gothic" w:hAnsi="Garamond" w:cs="Arial"/>
          <w:sz w:val="24"/>
          <w:szCs w:val="24"/>
        </w:rPr>
        <w:t>s</w:t>
      </w:r>
      <w:r w:rsidRPr="003A1174">
        <w:rPr>
          <w:rFonts w:ascii="Garamond" w:eastAsia="Century Gothic" w:hAnsi="Garamond" w:cs="Arial"/>
          <w:sz w:val="24"/>
          <w:szCs w:val="24"/>
        </w:rPr>
        <w:t>e</w:t>
      </w:r>
      <w:r w:rsidR="00D01B8C" w:rsidRPr="003A1174">
        <w:rPr>
          <w:rFonts w:ascii="Garamond" w:eastAsia="Century Gothic" w:hAnsi="Garamond" w:cs="Arial"/>
          <w:sz w:val="24"/>
          <w:szCs w:val="24"/>
        </w:rPr>
        <w:t xml:space="preserve">u estado civil, </w:t>
      </w:r>
      <w:r w:rsidR="00081B57" w:rsidRPr="003A1174">
        <w:rPr>
          <w:rFonts w:ascii="Garamond" w:eastAsia="Century Gothic" w:hAnsi="Garamond" w:cs="Arial"/>
          <w:sz w:val="24"/>
          <w:szCs w:val="24"/>
        </w:rPr>
        <w:t>orientação</w:t>
      </w:r>
      <w:r w:rsidR="00D01B8C" w:rsidRPr="003A1174">
        <w:rPr>
          <w:rFonts w:ascii="Garamond" w:eastAsia="Century Gothic" w:hAnsi="Garamond" w:cs="Arial"/>
          <w:sz w:val="24"/>
          <w:szCs w:val="24"/>
        </w:rPr>
        <w:t xml:space="preserve"> sexual, género o</w:t>
      </w:r>
      <w:r w:rsidRPr="003A1174">
        <w:rPr>
          <w:rFonts w:ascii="Garamond" w:eastAsia="Century Gothic" w:hAnsi="Garamond" w:cs="Arial"/>
          <w:sz w:val="24"/>
          <w:szCs w:val="24"/>
        </w:rPr>
        <w:t>u estado migrató</w:t>
      </w:r>
      <w:r w:rsidR="00D01B8C" w:rsidRPr="003A1174">
        <w:rPr>
          <w:rFonts w:ascii="Garamond" w:eastAsia="Century Gothic" w:hAnsi="Garamond" w:cs="Arial"/>
          <w:sz w:val="24"/>
          <w:szCs w:val="24"/>
        </w:rPr>
        <w:t>rio. A</w:t>
      </w:r>
      <w:r w:rsidRPr="003A1174">
        <w:rPr>
          <w:rFonts w:ascii="Garamond" w:eastAsia="Century Gothic" w:hAnsi="Garamond" w:cs="Arial"/>
          <w:sz w:val="24"/>
          <w:szCs w:val="24"/>
        </w:rPr>
        <w:t xml:space="preserve">lém disso, </w:t>
      </w:r>
      <w:r w:rsidR="002B6C5B" w:rsidRPr="003A1174">
        <w:rPr>
          <w:rFonts w:ascii="Garamond" w:eastAsia="Century Gothic" w:hAnsi="Garamond" w:cs="Arial"/>
          <w:sz w:val="24"/>
          <w:szCs w:val="24"/>
        </w:rPr>
        <w:t>outra</w:t>
      </w:r>
      <w:r w:rsidR="00D01B8C" w:rsidRPr="003A1174">
        <w:rPr>
          <w:rFonts w:ascii="Garamond" w:eastAsia="Century Gothic" w:hAnsi="Garamond" w:cs="Arial"/>
          <w:sz w:val="24"/>
          <w:szCs w:val="24"/>
        </w:rPr>
        <w:t xml:space="preserve"> </w:t>
      </w:r>
      <w:r w:rsidR="00016652">
        <w:rPr>
          <w:rFonts w:ascii="Garamond" w:eastAsia="Century Gothic" w:hAnsi="Garamond" w:cs="Arial"/>
          <w:sz w:val="24"/>
          <w:szCs w:val="24"/>
        </w:rPr>
        <w:t xml:space="preserve">alteração </w:t>
      </w:r>
      <w:r w:rsidRPr="003A1174">
        <w:rPr>
          <w:rFonts w:ascii="Garamond" w:eastAsia="Century Gothic" w:hAnsi="Garamond" w:cs="Arial"/>
          <w:sz w:val="24"/>
          <w:szCs w:val="24"/>
        </w:rPr>
        <w:t xml:space="preserve">à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54 </w:t>
      </w:r>
      <w:r w:rsidR="002B5F3A">
        <w:rPr>
          <w:rFonts w:ascii="Garamond" w:eastAsia="Century Gothic" w:hAnsi="Garamond" w:cs="Arial"/>
          <w:sz w:val="24"/>
          <w:szCs w:val="24"/>
        </w:rPr>
        <w:t>-</w:t>
      </w:r>
      <w:r w:rsidRPr="003A1174">
        <w:rPr>
          <w:rFonts w:ascii="Garamond" w:eastAsia="Century Gothic" w:hAnsi="Garamond" w:cs="Arial"/>
          <w:sz w:val="24"/>
          <w:szCs w:val="24"/>
        </w:rPr>
        <w:t xml:space="preserve"> através da </w:t>
      </w:r>
      <w:r w:rsidR="00D15AFF" w:rsidRPr="003A1174">
        <w:rPr>
          <w:rFonts w:ascii="Garamond" w:eastAsia="Century Gothic" w:hAnsi="Garamond" w:cs="Arial"/>
          <w:sz w:val="24"/>
          <w:szCs w:val="24"/>
        </w:rPr>
        <w:t>Lei</w:t>
      </w:r>
      <w:r w:rsidR="00D01B8C" w:rsidRPr="003A1174">
        <w:rPr>
          <w:rFonts w:ascii="Garamond" w:eastAsia="Century Gothic" w:hAnsi="Garamond" w:cs="Arial"/>
          <w:sz w:val="24"/>
          <w:szCs w:val="24"/>
        </w:rPr>
        <w:t xml:space="preserve"> N</w:t>
      </w:r>
      <w:r w:rsidR="00016652">
        <w:rPr>
          <w:rFonts w:ascii="Garamond" w:eastAsia="Century Gothic" w:hAnsi="Garamond" w:cs="Arial"/>
          <w:sz w:val="24"/>
          <w:szCs w:val="24"/>
        </w:rPr>
        <w:t>.</w:t>
      </w:r>
      <w:r w:rsidR="00FB00DD" w:rsidRPr="003A1174">
        <w:rPr>
          <w:rFonts w:ascii="Garamond" w:eastAsia="Century Gothic" w:hAnsi="Garamond" w:cs="Arial"/>
          <w:sz w:val="24"/>
          <w:szCs w:val="24"/>
        </w:rPr>
        <w:t>°</w:t>
      </w:r>
      <w:r w:rsidR="00D01B8C" w:rsidRPr="003A1174">
        <w:rPr>
          <w:rFonts w:ascii="Garamond" w:eastAsia="Century Gothic" w:hAnsi="Garamond" w:cs="Arial"/>
          <w:sz w:val="24"/>
          <w:szCs w:val="24"/>
        </w:rPr>
        <w:t xml:space="preserve"> 166</w:t>
      </w:r>
      <w:r w:rsidR="00016652">
        <w:rPr>
          <w:rFonts w:ascii="Garamond" w:eastAsia="Century Gothic" w:hAnsi="Garamond" w:cs="Arial"/>
          <w:sz w:val="24"/>
          <w:szCs w:val="24"/>
        </w:rPr>
        <w:t>,</w:t>
      </w:r>
      <w:r w:rsidR="00D01B8C" w:rsidRPr="003A1174">
        <w:rPr>
          <w:rFonts w:ascii="Garamond" w:eastAsia="Century Gothic" w:hAnsi="Garamond" w:cs="Arial"/>
          <w:sz w:val="24"/>
          <w:szCs w:val="24"/>
        </w:rPr>
        <w:t xml:space="preserve"> de 2014</w:t>
      </w:r>
      <w:r w:rsidRPr="003A1174">
        <w:rPr>
          <w:rFonts w:ascii="Garamond" w:eastAsia="Century Gothic" w:hAnsi="Garamond" w:cs="Arial"/>
          <w:sz w:val="24"/>
          <w:szCs w:val="24"/>
        </w:rPr>
        <w:t xml:space="preserve"> </w:t>
      </w:r>
      <w:r w:rsidR="002B5F3A">
        <w:rPr>
          <w:rFonts w:ascii="Garamond" w:eastAsia="Century Gothic" w:hAnsi="Garamond" w:cs="Arial"/>
          <w:sz w:val="24"/>
          <w:szCs w:val="24"/>
        </w:rPr>
        <w:t>-</w:t>
      </w:r>
      <w:r w:rsidR="00D01B8C" w:rsidRPr="003A1174">
        <w:rPr>
          <w:rFonts w:ascii="Garamond" w:eastAsia="Century Gothic" w:hAnsi="Garamond" w:cs="Arial"/>
          <w:sz w:val="24"/>
          <w:szCs w:val="24"/>
        </w:rPr>
        <w:t xml:space="preserve"> </w:t>
      </w:r>
      <w:r w:rsidR="00152A44" w:rsidRPr="003A1174">
        <w:rPr>
          <w:rFonts w:ascii="Garamond" w:eastAsia="Century Gothic" w:hAnsi="Garamond" w:cs="Arial"/>
          <w:sz w:val="24"/>
          <w:szCs w:val="24"/>
        </w:rPr>
        <w:t>estabelece</w:t>
      </w:r>
      <w:r w:rsidRPr="003A1174">
        <w:rPr>
          <w:rFonts w:ascii="Garamond" w:eastAsia="Century Gothic" w:hAnsi="Garamond" w:cs="Arial"/>
          <w:sz w:val="24"/>
          <w:szCs w:val="24"/>
        </w:rPr>
        <w:t xml:space="preserve"> </w:t>
      </w:r>
      <w:r w:rsidR="00D01B8C" w:rsidRPr="003A1174">
        <w:rPr>
          <w:rFonts w:ascii="Garamond" w:eastAsia="Century Gothic" w:hAnsi="Garamond" w:cs="Arial"/>
          <w:sz w:val="24"/>
          <w:szCs w:val="24"/>
        </w:rPr>
        <w:t xml:space="preserve">a </w:t>
      </w:r>
      <w:r w:rsidR="00AF192F" w:rsidRPr="003A1174">
        <w:rPr>
          <w:rFonts w:ascii="Garamond" w:eastAsia="Century Gothic" w:hAnsi="Garamond" w:cs="Arial"/>
          <w:sz w:val="24"/>
          <w:szCs w:val="24"/>
        </w:rPr>
        <w:t>obrigação</w:t>
      </w:r>
      <w:r w:rsidR="00D01B8C" w:rsidRPr="003A1174">
        <w:rPr>
          <w:rFonts w:ascii="Garamond" w:eastAsia="Century Gothic" w:hAnsi="Garamond" w:cs="Arial"/>
          <w:sz w:val="24"/>
          <w:szCs w:val="24"/>
        </w:rPr>
        <w:t xml:space="preserve"> </w:t>
      </w:r>
      <w:r w:rsidR="008A3DA2" w:rsidRPr="003A1174">
        <w:rPr>
          <w:rFonts w:ascii="Garamond" w:eastAsia="Century Gothic" w:hAnsi="Garamond" w:cs="Arial"/>
          <w:sz w:val="24"/>
          <w:szCs w:val="24"/>
        </w:rPr>
        <w:t>do</w:t>
      </w:r>
      <w:r w:rsidR="00D01B8C" w:rsidRPr="003A1174">
        <w:rPr>
          <w:rFonts w:ascii="Garamond" w:eastAsia="Century Gothic" w:hAnsi="Garamond" w:cs="Arial"/>
          <w:sz w:val="24"/>
          <w:szCs w:val="24"/>
        </w:rPr>
        <w:t xml:space="preserve"> Departamento de Corre</w:t>
      </w:r>
      <w:r w:rsidRPr="003A1174">
        <w:rPr>
          <w:rFonts w:ascii="Garamond" w:eastAsia="Century Gothic" w:hAnsi="Garamond" w:cs="Arial"/>
          <w:sz w:val="24"/>
          <w:szCs w:val="24"/>
        </w:rPr>
        <w:t>ção e Re</w:t>
      </w:r>
      <w:r w:rsidR="00D01B8C" w:rsidRPr="003A1174">
        <w:rPr>
          <w:rFonts w:ascii="Garamond" w:eastAsia="Century Gothic" w:hAnsi="Garamond" w:cs="Arial"/>
          <w:sz w:val="24"/>
          <w:szCs w:val="24"/>
        </w:rPr>
        <w:t>abilita</w:t>
      </w:r>
      <w:r w:rsidRPr="003A1174">
        <w:rPr>
          <w:rFonts w:ascii="Garamond" w:eastAsia="Century Gothic" w:hAnsi="Garamond" w:cs="Arial"/>
          <w:sz w:val="24"/>
          <w:szCs w:val="24"/>
        </w:rPr>
        <w:t xml:space="preserve">ção notificar a </w:t>
      </w:r>
      <w:r w:rsidR="003F012B" w:rsidRPr="003A1174">
        <w:rPr>
          <w:rFonts w:ascii="Garamond" w:eastAsia="Century Gothic" w:hAnsi="Garamond" w:cs="Arial"/>
          <w:sz w:val="24"/>
          <w:szCs w:val="24"/>
        </w:rPr>
        <w:t>vítima</w:t>
      </w:r>
      <w:r w:rsidR="00D01B8C" w:rsidRPr="003A1174">
        <w:rPr>
          <w:rFonts w:ascii="Garamond" w:eastAsia="Century Gothic" w:hAnsi="Garamond" w:cs="Arial"/>
          <w:sz w:val="24"/>
          <w:szCs w:val="24"/>
        </w:rPr>
        <w:t xml:space="preserve"> d</w:t>
      </w:r>
      <w:r w:rsidR="00016652">
        <w:rPr>
          <w:rFonts w:ascii="Garamond" w:eastAsia="Century Gothic" w:hAnsi="Garamond" w:cs="Arial"/>
          <w:sz w:val="24"/>
          <w:szCs w:val="24"/>
        </w:rPr>
        <w:t>e</w:t>
      </w:r>
      <w:r w:rsidR="00D01B8C" w:rsidRPr="003A1174">
        <w:rPr>
          <w:rFonts w:ascii="Garamond" w:eastAsia="Century Gothic" w:hAnsi="Garamond" w:cs="Arial"/>
          <w:sz w:val="24"/>
          <w:szCs w:val="24"/>
        </w:rPr>
        <w:t xml:space="preserve"> </w:t>
      </w:r>
      <w:r w:rsidR="000350B1" w:rsidRPr="003A1174">
        <w:rPr>
          <w:rFonts w:ascii="Garamond" w:eastAsia="Century Gothic" w:hAnsi="Garamond" w:cs="Arial"/>
          <w:sz w:val="24"/>
          <w:szCs w:val="24"/>
        </w:rPr>
        <w:t>violência</w:t>
      </w:r>
      <w:r w:rsidR="00D01B8C" w:rsidRPr="003A1174">
        <w:rPr>
          <w:rFonts w:ascii="Garamond" w:eastAsia="Century Gothic" w:hAnsi="Garamond" w:cs="Arial"/>
          <w:sz w:val="24"/>
          <w:szCs w:val="24"/>
        </w:rPr>
        <w:t xml:space="preserve"> </w:t>
      </w:r>
      <w:r w:rsidR="00016652">
        <w:rPr>
          <w:rFonts w:ascii="Garamond" w:eastAsia="Century Gothic" w:hAnsi="Garamond" w:cs="Arial"/>
          <w:sz w:val="24"/>
          <w:szCs w:val="24"/>
        </w:rPr>
        <w:t xml:space="preserve">da </w:t>
      </w:r>
      <w:r w:rsidR="00853E4C" w:rsidRPr="003A1174">
        <w:rPr>
          <w:rFonts w:ascii="Garamond" w:eastAsia="Century Gothic" w:hAnsi="Garamond" w:cs="Arial"/>
          <w:sz w:val="24"/>
          <w:szCs w:val="24"/>
        </w:rPr>
        <w:t xml:space="preserve">saída da prisão </w:t>
      </w:r>
      <w:r w:rsidR="008A3DA2" w:rsidRPr="003A1174">
        <w:rPr>
          <w:rFonts w:ascii="Garamond" w:eastAsia="Century Gothic" w:hAnsi="Garamond" w:cs="Arial"/>
          <w:sz w:val="24"/>
          <w:szCs w:val="24"/>
        </w:rPr>
        <w:t>do</w:t>
      </w:r>
      <w:r w:rsidR="00D01B8C" w:rsidRPr="003A1174">
        <w:rPr>
          <w:rFonts w:ascii="Garamond" w:eastAsia="Century Gothic" w:hAnsi="Garamond" w:cs="Arial"/>
          <w:sz w:val="24"/>
          <w:szCs w:val="24"/>
        </w:rPr>
        <w:t xml:space="preserve"> </w:t>
      </w:r>
      <w:r w:rsidR="002D1021" w:rsidRPr="003A1174">
        <w:rPr>
          <w:rFonts w:ascii="Garamond" w:eastAsia="Century Gothic" w:hAnsi="Garamond" w:cs="Arial"/>
          <w:sz w:val="24"/>
          <w:szCs w:val="24"/>
        </w:rPr>
        <w:t>agressor</w:t>
      </w:r>
      <w:r w:rsidR="00D01B8C" w:rsidRPr="003A1174">
        <w:rPr>
          <w:rFonts w:ascii="Garamond" w:eastAsia="Century Gothic" w:hAnsi="Garamond" w:cs="Arial"/>
          <w:sz w:val="24"/>
          <w:szCs w:val="24"/>
        </w:rPr>
        <w:t xml:space="preserve">.  </w:t>
      </w:r>
    </w:p>
    <w:p w:rsidR="00D01B8C" w:rsidRPr="003A1174" w:rsidRDefault="00D01B8C" w:rsidP="008719D4">
      <w:pPr>
        <w:spacing w:before="240" w:line="240" w:lineRule="auto"/>
        <w:jc w:val="both"/>
        <w:rPr>
          <w:rFonts w:ascii="Garamond" w:eastAsia="Times New Roman" w:hAnsi="Garamond" w:cs="Arial"/>
          <w:sz w:val="24"/>
          <w:szCs w:val="24"/>
        </w:rPr>
      </w:pPr>
      <w:r w:rsidRPr="003A1174">
        <w:rPr>
          <w:rFonts w:ascii="Garamond" w:eastAsia="Century Gothic" w:hAnsi="Garamond" w:cs="Arial"/>
          <w:sz w:val="24"/>
          <w:szCs w:val="24"/>
        </w:rPr>
        <w:t>Por o</w:t>
      </w:r>
      <w:r w:rsidR="002470B1" w:rsidRPr="003A1174">
        <w:rPr>
          <w:rFonts w:ascii="Garamond" w:eastAsia="Century Gothic" w:hAnsi="Garamond" w:cs="Arial"/>
          <w:sz w:val="24"/>
          <w:szCs w:val="24"/>
        </w:rPr>
        <w:t>u</w:t>
      </w:r>
      <w:r w:rsidR="00F305C7" w:rsidRPr="003A1174">
        <w:rPr>
          <w:rFonts w:ascii="Garamond" w:eastAsia="Century Gothic" w:hAnsi="Garamond" w:cs="Arial"/>
          <w:sz w:val="24"/>
          <w:szCs w:val="24"/>
        </w:rPr>
        <w:t xml:space="preserve">tro lado, </w:t>
      </w:r>
      <w:r w:rsidRPr="003A1174">
        <w:rPr>
          <w:rFonts w:ascii="Garamond" w:eastAsia="Century Gothic" w:hAnsi="Garamond" w:cs="Arial"/>
          <w:sz w:val="24"/>
          <w:szCs w:val="24"/>
        </w:rPr>
        <w:t xml:space="preserve">a </w:t>
      </w:r>
      <w:r w:rsidR="00F305C7" w:rsidRPr="003A1174">
        <w:rPr>
          <w:rFonts w:ascii="Garamond" w:eastAsia="Century Gothic" w:hAnsi="Garamond" w:cs="Arial"/>
          <w:sz w:val="24"/>
          <w:szCs w:val="24"/>
        </w:rPr>
        <w:t>recém</w:t>
      </w:r>
      <w:r w:rsidR="00016652">
        <w:rPr>
          <w:rFonts w:ascii="Garamond" w:eastAsia="Century Gothic" w:hAnsi="Garamond" w:cs="Arial"/>
          <w:sz w:val="24"/>
          <w:szCs w:val="24"/>
        </w:rPr>
        <w:t>-</w:t>
      </w:r>
      <w:r w:rsidR="00CD707D" w:rsidRPr="003A1174">
        <w:rPr>
          <w:rFonts w:ascii="Garamond" w:eastAsia="Century Gothic" w:hAnsi="Garamond" w:cs="Arial"/>
          <w:sz w:val="24"/>
          <w:szCs w:val="24"/>
        </w:rPr>
        <w:t>aprovad</w:t>
      </w:r>
      <w:r w:rsidRPr="003A1174">
        <w:rPr>
          <w:rFonts w:ascii="Garamond" w:eastAsia="Century Gothic" w:hAnsi="Garamond" w:cs="Arial"/>
          <w:sz w:val="24"/>
          <w:szCs w:val="24"/>
        </w:rPr>
        <w:t xml:space="preserve">a </w:t>
      </w:r>
      <w:r w:rsidR="00D15AFF" w:rsidRPr="003A1174">
        <w:rPr>
          <w:rFonts w:ascii="Garamond" w:eastAsia="Century Gothic" w:hAnsi="Garamond" w:cs="Arial"/>
          <w:sz w:val="24"/>
          <w:szCs w:val="24"/>
        </w:rPr>
        <w:t>Lei</w:t>
      </w:r>
      <w:r w:rsidR="00F305C7" w:rsidRPr="003A1174">
        <w:rPr>
          <w:rFonts w:ascii="Garamond" w:eastAsia="Century Gothic" w:hAnsi="Garamond" w:cs="Arial"/>
          <w:sz w:val="24"/>
          <w:szCs w:val="24"/>
        </w:rPr>
        <w:t xml:space="preserve"> para </w:t>
      </w:r>
      <w:r w:rsidRPr="003A1174">
        <w:rPr>
          <w:rFonts w:ascii="Garamond" w:eastAsia="Century Gothic" w:hAnsi="Garamond" w:cs="Arial"/>
          <w:sz w:val="24"/>
          <w:szCs w:val="24"/>
        </w:rPr>
        <w:t xml:space="preserve">a </w:t>
      </w:r>
      <w:r w:rsidR="00D15AFF" w:rsidRPr="003A1174">
        <w:rPr>
          <w:rFonts w:ascii="Garamond" w:eastAsia="Century Gothic" w:hAnsi="Garamond" w:cs="Arial"/>
          <w:sz w:val="24"/>
          <w:szCs w:val="24"/>
        </w:rPr>
        <w:t>Segurança</w:t>
      </w:r>
      <w:r w:rsidRPr="003A1174">
        <w:rPr>
          <w:rFonts w:ascii="Garamond" w:eastAsia="Century Gothic" w:hAnsi="Garamond" w:cs="Arial"/>
          <w:sz w:val="24"/>
          <w:szCs w:val="24"/>
        </w:rPr>
        <w:t xml:space="preserve">, </w:t>
      </w:r>
      <w:r w:rsidR="00F305C7" w:rsidRPr="003A1174">
        <w:rPr>
          <w:rFonts w:ascii="Garamond" w:eastAsia="Century Gothic" w:hAnsi="Garamond" w:cs="Arial"/>
          <w:sz w:val="24"/>
          <w:szCs w:val="24"/>
        </w:rPr>
        <w:t>Bem-estar</w:t>
      </w:r>
      <w:r w:rsidRPr="003A1174">
        <w:rPr>
          <w:rFonts w:ascii="Garamond" w:eastAsia="Century Gothic" w:hAnsi="Garamond" w:cs="Arial"/>
          <w:sz w:val="24"/>
          <w:szCs w:val="24"/>
        </w:rPr>
        <w:t xml:space="preserve"> </w:t>
      </w:r>
      <w:r w:rsidR="00497503" w:rsidRPr="003A1174">
        <w:rPr>
          <w:rFonts w:ascii="Garamond" w:eastAsia="Century Gothic" w:hAnsi="Garamond" w:cs="Arial"/>
          <w:sz w:val="24"/>
          <w:szCs w:val="24"/>
        </w:rPr>
        <w:t>e</w:t>
      </w:r>
      <w:r w:rsidRPr="003A1174">
        <w:rPr>
          <w:rFonts w:ascii="Garamond" w:eastAsia="Century Gothic" w:hAnsi="Garamond" w:cs="Arial"/>
          <w:sz w:val="24"/>
          <w:szCs w:val="24"/>
        </w:rPr>
        <w:t xml:space="preserve"> </w:t>
      </w:r>
      <w:r w:rsidR="00886D6A" w:rsidRPr="003A1174">
        <w:rPr>
          <w:rFonts w:ascii="Garamond" w:eastAsia="Century Gothic" w:hAnsi="Garamond" w:cs="Arial"/>
          <w:sz w:val="24"/>
          <w:szCs w:val="24"/>
        </w:rPr>
        <w:t>Proteção</w:t>
      </w:r>
      <w:r w:rsidRPr="003A1174">
        <w:rPr>
          <w:rFonts w:ascii="Garamond" w:eastAsia="Century Gothic" w:hAnsi="Garamond" w:cs="Arial"/>
          <w:sz w:val="24"/>
          <w:szCs w:val="24"/>
        </w:rPr>
        <w:t xml:space="preserve"> de Menores, </w:t>
      </w:r>
      <w:r w:rsidR="00D15AFF" w:rsidRPr="003A1174">
        <w:rPr>
          <w:rFonts w:ascii="Garamond" w:eastAsia="Century Gothic" w:hAnsi="Garamond" w:cs="Arial"/>
          <w:sz w:val="24"/>
          <w:szCs w:val="24"/>
        </w:rPr>
        <w:t>Lei</w:t>
      </w:r>
      <w:r w:rsidRPr="003A1174">
        <w:rPr>
          <w:rFonts w:ascii="Garamond" w:eastAsia="Century Gothic" w:hAnsi="Garamond" w:cs="Arial"/>
          <w:sz w:val="24"/>
          <w:szCs w:val="24"/>
        </w:rPr>
        <w:t xml:space="preserve"> 246</w:t>
      </w:r>
      <w:r w:rsidR="00016652">
        <w:rPr>
          <w:rFonts w:ascii="Garamond" w:eastAsia="Century Gothic" w:hAnsi="Garamond" w:cs="Arial"/>
          <w:sz w:val="24"/>
          <w:szCs w:val="24"/>
        </w:rPr>
        <w:t>,</w:t>
      </w:r>
      <w:r w:rsidRPr="003A1174">
        <w:rPr>
          <w:rFonts w:ascii="Garamond" w:eastAsia="Century Gothic" w:hAnsi="Garamond" w:cs="Arial"/>
          <w:sz w:val="24"/>
          <w:szCs w:val="24"/>
        </w:rPr>
        <w:t xml:space="preserve"> de 2011,</w:t>
      </w:r>
      <w:r w:rsidR="00016652">
        <w:rPr>
          <w:rFonts w:ascii="Garamond" w:eastAsia="Century Gothic" w:hAnsi="Garamond" w:cs="Arial"/>
          <w:sz w:val="24"/>
          <w:szCs w:val="24"/>
        </w:rPr>
        <w:t xml:space="preserve"> já em vigor,</w:t>
      </w:r>
      <w:r w:rsidRPr="003A1174">
        <w:rPr>
          <w:rFonts w:ascii="Garamond" w:eastAsia="Century Gothic" w:hAnsi="Garamond" w:cs="Arial"/>
          <w:sz w:val="24"/>
          <w:szCs w:val="24"/>
        </w:rPr>
        <w:t xml:space="preserve"> responsabiliza </w:t>
      </w:r>
      <w:r w:rsidR="00F305C7" w:rsidRPr="003A1174">
        <w:rPr>
          <w:rFonts w:ascii="Garamond" w:eastAsia="Century Gothic" w:hAnsi="Garamond" w:cs="Arial"/>
          <w:sz w:val="24"/>
          <w:szCs w:val="24"/>
        </w:rPr>
        <w:t>o Departamento d</w:t>
      </w:r>
      <w:r w:rsidRPr="003A1174">
        <w:rPr>
          <w:rFonts w:ascii="Garamond" w:eastAsia="Century Gothic" w:hAnsi="Garamond" w:cs="Arial"/>
          <w:sz w:val="24"/>
          <w:szCs w:val="24"/>
        </w:rPr>
        <w:t xml:space="preserve">a </w:t>
      </w:r>
      <w:r w:rsidR="006C7AF1" w:rsidRPr="003A1174">
        <w:rPr>
          <w:rFonts w:ascii="Garamond" w:eastAsia="Century Gothic" w:hAnsi="Garamond" w:cs="Arial"/>
          <w:sz w:val="24"/>
          <w:szCs w:val="24"/>
        </w:rPr>
        <w:t>Família</w:t>
      </w:r>
      <w:r w:rsidRPr="003A1174">
        <w:rPr>
          <w:rFonts w:ascii="Garamond" w:eastAsia="Century Gothic" w:hAnsi="Garamond" w:cs="Arial"/>
          <w:sz w:val="24"/>
          <w:szCs w:val="24"/>
        </w:rPr>
        <w:t xml:space="preserve"> </w:t>
      </w:r>
      <w:r w:rsidR="00FB00DD" w:rsidRPr="003A1174">
        <w:rPr>
          <w:rFonts w:ascii="Garamond" w:eastAsia="Century Gothic" w:hAnsi="Garamond" w:cs="Arial"/>
          <w:sz w:val="24"/>
          <w:szCs w:val="24"/>
        </w:rPr>
        <w:t>de</w:t>
      </w:r>
      <w:r w:rsidRPr="003A1174">
        <w:rPr>
          <w:rFonts w:ascii="Garamond" w:eastAsia="Century Gothic" w:hAnsi="Garamond" w:cs="Arial"/>
          <w:sz w:val="24"/>
          <w:szCs w:val="24"/>
        </w:rPr>
        <w:t xml:space="preserve"> verificar </w:t>
      </w:r>
      <w:r w:rsidR="003F012B" w:rsidRPr="003A1174">
        <w:rPr>
          <w:rFonts w:ascii="Garamond" w:eastAsia="Century Gothic" w:hAnsi="Garamond" w:cs="Arial"/>
          <w:sz w:val="24"/>
          <w:szCs w:val="24"/>
        </w:rPr>
        <w:t>padrões</w:t>
      </w:r>
      <w:r w:rsidRPr="003A1174">
        <w:rPr>
          <w:rFonts w:ascii="Garamond" w:eastAsia="Century Gothic" w:hAnsi="Garamond" w:cs="Arial"/>
          <w:sz w:val="24"/>
          <w:szCs w:val="24"/>
        </w:rPr>
        <w:t xml:space="preserve"> de </w:t>
      </w:r>
      <w:r w:rsidR="000350B1" w:rsidRPr="003A1174">
        <w:rPr>
          <w:rFonts w:ascii="Garamond" w:eastAsia="Century Gothic" w:hAnsi="Garamond" w:cs="Arial"/>
          <w:sz w:val="24"/>
          <w:szCs w:val="24"/>
        </w:rPr>
        <w:t>violência</w:t>
      </w:r>
      <w:r w:rsidRPr="003A1174">
        <w:rPr>
          <w:rFonts w:ascii="Garamond" w:eastAsia="Century Gothic" w:hAnsi="Garamond" w:cs="Arial"/>
          <w:sz w:val="24"/>
          <w:szCs w:val="24"/>
        </w:rPr>
        <w:t xml:space="preserve"> doméstica </w:t>
      </w:r>
      <w:r w:rsidR="00F305C7" w:rsidRPr="003A1174">
        <w:rPr>
          <w:rFonts w:ascii="Garamond" w:eastAsia="Century Gothic" w:hAnsi="Garamond" w:cs="Arial"/>
          <w:sz w:val="24"/>
          <w:szCs w:val="24"/>
        </w:rPr>
        <w:t>n</w:t>
      </w:r>
      <w:r w:rsidRPr="003A1174">
        <w:rPr>
          <w:rFonts w:ascii="Garamond" w:eastAsia="Century Gothic" w:hAnsi="Garamond" w:cs="Arial"/>
          <w:sz w:val="24"/>
          <w:szCs w:val="24"/>
        </w:rPr>
        <w:t xml:space="preserve">os casos de </w:t>
      </w:r>
      <w:r w:rsidR="00190B59" w:rsidRPr="003A1174">
        <w:rPr>
          <w:rFonts w:ascii="Garamond" w:eastAsia="Century Gothic" w:hAnsi="Garamond" w:cs="Arial"/>
          <w:sz w:val="24"/>
          <w:szCs w:val="24"/>
        </w:rPr>
        <w:t>maus-tratos</w:t>
      </w:r>
      <w:r w:rsidRPr="003A1174">
        <w:rPr>
          <w:rFonts w:ascii="Garamond" w:eastAsia="Century Gothic" w:hAnsi="Garamond" w:cs="Arial"/>
          <w:sz w:val="24"/>
          <w:szCs w:val="24"/>
        </w:rPr>
        <w:t xml:space="preserve"> o</w:t>
      </w:r>
      <w:r w:rsidR="00F305C7" w:rsidRPr="003A1174">
        <w:rPr>
          <w:rFonts w:ascii="Garamond" w:eastAsia="Century Gothic" w:hAnsi="Garamond" w:cs="Arial"/>
          <w:sz w:val="24"/>
          <w:szCs w:val="24"/>
        </w:rPr>
        <w:t>u</w:t>
      </w:r>
      <w:r w:rsidRPr="003A1174">
        <w:rPr>
          <w:rFonts w:ascii="Garamond" w:eastAsia="Century Gothic" w:hAnsi="Garamond" w:cs="Arial"/>
          <w:sz w:val="24"/>
          <w:szCs w:val="24"/>
        </w:rPr>
        <w:t xml:space="preserve"> </w:t>
      </w:r>
      <w:r w:rsidR="000350B1" w:rsidRPr="003A1174">
        <w:rPr>
          <w:rFonts w:ascii="Garamond" w:eastAsia="Century Gothic" w:hAnsi="Garamond" w:cs="Arial"/>
          <w:sz w:val="24"/>
          <w:szCs w:val="24"/>
        </w:rPr>
        <w:t>violência</w:t>
      </w:r>
      <w:r w:rsidRPr="003A1174">
        <w:rPr>
          <w:rFonts w:ascii="Garamond" w:eastAsia="Century Gothic" w:hAnsi="Garamond" w:cs="Arial"/>
          <w:sz w:val="24"/>
          <w:szCs w:val="24"/>
        </w:rPr>
        <w:t xml:space="preserve"> a menores o</w:t>
      </w:r>
      <w:r w:rsidR="00F305C7" w:rsidRPr="003A1174">
        <w:rPr>
          <w:rFonts w:ascii="Garamond" w:eastAsia="Century Gothic" w:hAnsi="Garamond" w:cs="Arial"/>
          <w:sz w:val="24"/>
          <w:szCs w:val="24"/>
        </w:rPr>
        <w:t>u</w:t>
      </w:r>
      <w:r w:rsidRPr="003A1174">
        <w:rPr>
          <w:rFonts w:ascii="Garamond" w:eastAsia="Century Gothic" w:hAnsi="Garamond" w:cs="Arial"/>
          <w:sz w:val="24"/>
          <w:szCs w:val="24"/>
        </w:rPr>
        <w:t xml:space="preserve"> intrafamil</w:t>
      </w:r>
      <w:r w:rsidR="00F305C7" w:rsidRPr="003A1174">
        <w:rPr>
          <w:rFonts w:ascii="Garamond" w:eastAsia="Century Gothic" w:hAnsi="Garamond" w:cs="Arial"/>
          <w:sz w:val="24"/>
          <w:szCs w:val="24"/>
        </w:rPr>
        <w:t xml:space="preserve">iar, </w:t>
      </w:r>
      <w:r w:rsidR="00016652">
        <w:rPr>
          <w:rFonts w:ascii="Garamond" w:eastAsia="Century Gothic" w:hAnsi="Garamond" w:cs="Arial"/>
          <w:sz w:val="24"/>
          <w:szCs w:val="24"/>
        </w:rPr>
        <w:t xml:space="preserve">em que </w:t>
      </w:r>
      <w:r w:rsidRPr="003A1174">
        <w:rPr>
          <w:rFonts w:ascii="Garamond" w:eastAsia="Century Gothic" w:hAnsi="Garamond" w:cs="Arial"/>
          <w:sz w:val="24"/>
          <w:szCs w:val="24"/>
        </w:rPr>
        <w:t xml:space="preserve">a </w:t>
      </w:r>
      <w:r w:rsidR="003F012B" w:rsidRPr="003A1174">
        <w:rPr>
          <w:rFonts w:ascii="Garamond" w:eastAsia="Century Gothic" w:hAnsi="Garamond" w:cs="Arial"/>
          <w:sz w:val="24"/>
          <w:szCs w:val="24"/>
        </w:rPr>
        <w:t>vítima</w:t>
      </w:r>
      <w:r w:rsidRPr="003A1174">
        <w:rPr>
          <w:rFonts w:ascii="Garamond" w:eastAsia="Century Gothic" w:hAnsi="Garamond" w:cs="Arial"/>
          <w:sz w:val="24"/>
          <w:szCs w:val="24"/>
        </w:rPr>
        <w:t xml:space="preserve"> n</w:t>
      </w:r>
      <w:r w:rsidR="00F305C7" w:rsidRPr="003A1174">
        <w:rPr>
          <w:rFonts w:ascii="Garamond" w:eastAsia="Century Gothic" w:hAnsi="Garamond" w:cs="Arial"/>
          <w:sz w:val="24"/>
          <w:szCs w:val="24"/>
        </w:rPr>
        <w:t>ã</w:t>
      </w:r>
      <w:r w:rsidRPr="003A1174">
        <w:rPr>
          <w:rFonts w:ascii="Garamond" w:eastAsia="Century Gothic" w:hAnsi="Garamond" w:cs="Arial"/>
          <w:sz w:val="24"/>
          <w:szCs w:val="24"/>
        </w:rPr>
        <w:t>o se</w:t>
      </w:r>
      <w:r w:rsidR="00F305C7" w:rsidRPr="003A1174">
        <w:rPr>
          <w:rFonts w:ascii="Garamond" w:eastAsia="Century Gothic" w:hAnsi="Garamond" w:cs="Arial"/>
          <w:sz w:val="24"/>
          <w:szCs w:val="24"/>
        </w:rPr>
        <w:t xml:space="preserve">ja </w:t>
      </w:r>
      <w:r w:rsidRPr="003A1174">
        <w:rPr>
          <w:rFonts w:ascii="Garamond" w:eastAsia="Century Gothic" w:hAnsi="Garamond" w:cs="Arial"/>
          <w:sz w:val="24"/>
          <w:szCs w:val="24"/>
        </w:rPr>
        <w:t>a causa</w:t>
      </w:r>
      <w:r w:rsidR="00BF36B3">
        <w:rPr>
          <w:rFonts w:ascii="Garamond" w:eastAsia="Century Gothic" w:hAnsi="Garamond" w:cs="Arial"/>
          <w:sz w:val="24"/>
          <w:szCs w:val="24"/>
        </w:rPr>
        <w:t>dora</w:t>
      </w:r>
      <w:r w:rsidRPr="003A1174">
        <w:rPr>
          <w:rFonts w:ascii="Garamond" w:eastAsia="Century Gothic" w:hAnsi="Garamond" w:cs="Arial"/>
          <w:sz w:val="24"/>
          <w:szCs w:val="24"/>
        </w:rPr>
        <w:t xml:space="preserve"> d</w:t>
      </w:r>
      <w:r w:rsidR="00F305C7" w:rsidRPr="003A1174">
        <w:rPr>
          <w:rFonts w:ascii="Garamond" w:eastAsia="Century Gothic" w:hAnsi="Garamond" w:cs="Arial"/>
          <w:sz w:val="24"/>
          <w:szCs w:val="24"/>
        </w:rPr>
        <w:t xml:space="preserve">os </w:t>
      </w:r>
      <w:r w:rsidR="00190B59" w:rsidRPr="003A1174">
        <w:rPr>
          <w:rFonts w:ascii="Garamond" w:eastAsia="Century Gothic" w:hAnsi="Garamond" w:cs="Arial"/>
          <w:sz w:val="24"/>
          <w:szCs w:val="24"/>
        </w:rPr>
        <w:t>maus-tratos</w:t>
      </w:r>
      <w:r w:rsidRPr="003A1174">
        <w:rPr>
          <w:rFonts w:ascii="Garamond" w:eastAsia="Century Gothic" w:hAnsi="Garamond" w:cs="Arial"/>
          <w:sz w:val="24"/>
          <w:szCs w:val="24"/>
        </w:rPr>
        <w:t xml:space="preserve"> a menores</w:t>
      </w:r>
      <w:r w:rsidR="00BF36B3">
        <w:rPr>
          <w:rFonts w:ascii="Garamond" w:eastAsia="Century Gothic" w:hAnsi="Garamond" w:cs="Arial"/>
          <w:sz w:val="24"/>
          <w:szCs w:val="24"/>
        </w:rPr>
        <w:t>,</w:t>
      </w:r>
      <w:r w:rsidRPr="003A1174">
        <w:rPr>
          <w:rFonts w:ascii="Garamond" w:eastAsia="Century Gothic" w:hAnsi="Garamond" w:cs="Arial"/>
          <w:sz w:val="24"/>
          <w:szCs w:val="24"/>
        </w:rPr>
        <w:t xml:space="preserve"> </w:t>
      </w:r>
      <w:r w:rsidR="00F305C7" w:rsidRPr="003A1174">
        <w:rPr>
          <w:rFonts w:ascii="Garamond" w:eastAsia="Century Gothic" w:hAnsi="Garamond" w:cs="Arial"/>
          <w:sz w:val="24"/>
          <w:szCs w:val="24"/>
        </w:rPr>
        <w:t>com vista a</w:t>
      </w:r>
      <w:r w:rsidRPr="003A1174">
        <w:rPr>
          <w:rFonts w:ascii="Garamond" w:eastAsia="Century Gothic" w:hAnsi="Garamond" w:cs="Arial"/>
          <w:sz w:val="24"/>
          <w:szCs w:val="24"/>
        </w:rPr>
        <w:t xml:space="preserve"> que </w:t>
      </w:r>
      <w:r w:rsidR="00F305C7" w:rsidRPr="003A1174">
        <w:rPr>
          <w:rFonts w:ascii="Garamond" w:eastAsia="Century Gothic" w:hAnsi="Garamond" w:cs="Arial"/>
          <w:sz w:val="24"/>
          <w:szCs w:val="24"/>
        </w:rPr>
        <w:t>se obtenh</w:t>
      </w:r>
      <w:r w:rsidR="00FB00DD" w:rsidRPr="003A1174">
        <w:rPr>
          <w:rFonts w:ascii="Garamond" w:eastAsia="Century Gothic" w:hAnsi="Garamond" w:cs="Arial"/>
          <w:sz w:val="24"/>
          <w:szCs w:val="24"/>
        </w:rPr>
        <w:t>a</w:t>
      </w:r>
      <w:r w:rsidR="00F305C7" w:rsidRPr="003A1174">
        <w:rPr>
          <w:rFonts w:ascii="Garamond" w:eastAsia="Century Gothic" w:hAnsi="Garamond" w:cs="Arial"/>
          <w:sz w:val="24"/>
          <w:szCs w:val="24"/>
        </w:rPr>
        <w:t xml:space="preserve"> </w:t>
      </w:r>
      <w:r w:rsidRPr="003A1174">
        <w:rPr>
          <w:rFonts w:ascii="Garamond" w:eastAsia="Century Gothic" w:hAnsi="Garamond" w:cs="Arial"/>
          <w:sz w:val="24"/>
          <w:szCs w:val="24"/>
        </w:rPr>
        <w:t xml:space="preserve">a </w:t>
      </w:r>
      <w:r w:rsidR="00F305C7" w:rsidRPr="003A1174">
        <w:rPr>
          <w:rFonts w:ascii="Garamond" w:eastAsia="Century Gothic" w:hAnsi="Garamond" w:cs="Arial"/>
          <w:sz w:val="24"/>
          <w:szCs w:val="24"/>
        </w:rPr>
        <w:t>retirada</w:t>
      </w:r>
      <w:r w:rsidRPr="003A1174">
        <w:rPr>
          <w:rFonts w:ascii="Garamond" w:eastAsia="Century Gothic" w:hAnsi="Garamond" w:cs="Arial"/>
          <w:sz w:val="24"/>
          <w:szCs w:val="24"/>
        </w:rPr>
        <w:t xml:space="preserve"> </w:t>
      </w:r>
      <w:r w:rsidR="00497503" w:rsidRPr="003A1174">
        <w:rPr>
          <w:rFonts w:ascii="Garamond" w:eastAsia="Century Gothic" w:hAnsi="Garamond" w:cs="Arial"/>
          <w:sz w:val="24"/>
          <w:szCs w:val="24"/>
        </w:rPr>
        <w:t>dos</w:t>
      </w:r>
      <w:r w:rsidRPr="003A1174">
        <w:rPr>
          <w:rFonts w:ascii="Garamond" w:eastAsia="Century Gothic" w:hAnsi="Garamond" w:cs="Arial"/>
          <w:sz w:val="24"/>
          <w:szCs w:val="24"/>
        </w:rPr>
        <w:t xml:space="preserve"> menores </w:t>
      </w:r>
      <w:r w:rsidR="008A3DA2" w:rsidRPr="003A1174">
        <w:rPr>
          <w:rFonts w:ascii="Garamond" w:eastAsia="Century Gothic" w:hAnsi="Garamond" w:cs="Arial"/>
          <w:sz w:val="24"/>
          <w:szCs w:val="24"/>
        </w:rPr>
        <w:t>do</w:t>
      </w:r>
      <w:r w:rsidRPr="003A1174">
        <w:rPr>
          <w:rFonts w:ascii="Garamond" w:eastAsia="Century Gothic" w:hAnsi="Garamond" w:cs="Arial"/>
          <w:sz w:val="24"/>
          <w:szCs w:val="24"/>
        </w:rPr>
        <w:t xml:space="preserve"> </w:t>
      </w:r>
      <w:r w:rsidR="00F305C7" w:rsidRPr="003A1174">
        <w:rPr>
          <w:rFonts w:ascii="Garamond" w:eastAsia="Century Gothic" w:hAnsi="Garamond" w:cs="Arial"/>
          <w:sz w:val="24"/>
          <w:szCs w:val="24"/>
        </w:rPr>
        <w:t>l</w:t>
      </w:r>
      <w:r w:rsidRPr="003A1174">
        <w:rPr>
          <w:rFonts w:ascii="Garamond" w:eastAsia="Century Gothic" w:hAnsi="Garamond" w:cs="Arial"/>
          <w:sz w:val="24"/>
          <w:szCs w:val="24"/>
        </w:rPr>
        <w:t>ar</w:t>
      </w:r>
      <w:r w:rsidR="00FB00DD" w:rsidRPr="003A1174">
        <w:rPr>
          <w:rFonts w:ascii="Garamond" w:eastAsia="Century Gothic" w:hAnsi="Garamond" w:cs="Arial"/>
          <w:sz w:val="24"/>
          <w:szCs w:val="24"/>
        </w:rPr>
        <w:t>,</w:t>
      </w:r>
      <w:r w:rsidRPr="003A1174">
        <w:rPr>
          <w:rFonts w:ascii="Garamond" w:eastAsia="Century Gothic" w:hAnsi="Garamond" w:cs="Arial"/>
          <w:sz w:val="24"/>
          <w:szCs w:val="24"/>
        </w:rPr>
        <w:t xml:space="preserve"> s</w:t>
      </w:r>
      <w:r w:rsidR="00F305C7" w:rsidRPr="003A1174">
        <w:rPr>
          <w:rFonts w:ascii="Garamond" w:eastAsia="Century Gothic" w:hAnsi="Garamond" w:cs="Arial"/>
          <w:sz w:val="24"/>
          <w:szCs w:val="24"/>
        </w:rPr>
        <w:t xml:space="preserve">em antes proporcionar </w:t>
      </w:r>
      <w:r w:rsidRPr="003A1174">
        <w:rPr>
          <w:rFonts w:ascii="Garamond" w:eastAsia="Century Gothic" w:hAnsi="Garamond" w:cs="Arial"/>
          <w:sz w:val="24"/>
          <w:szCs w:val="24"/>
        </w:rPr>
        <w:t xml:space="preserve">os </w:t>
      </w:r>
      <w:r w:rsidR="00B531F2" w:rsidRPr="003A1174">
        <w:rPr>
          <w:rFonts w:ascii="Garamond" w:eastAsia="Century Gothic" w:hAnsi="Garamond" w:cs="Arial"/>
          <w:sz w:val="24"/>
          <w:szCs w:val="24"/>
        </w:rPr>
        <w:t>serviço</w:t>
      </w:r>
      <w:r w:rsidRPr="003A1174">
        <w:rPr>
          <w:rFonts w:ascii="Garamond" w:eastAsia="Century Gothic" w:hAnsi="Garamond" w:cs="Arial"/>
          <w:sz w:val="24"/>
          <w:szCs w:val="24"/>
        </w:rPr>
        <w:t xml:space="preserve">s </w:t>
      </w:r>
      <w:r w:rsidR="00F305C7" w:rsidRPr="003A1174">
        <w:rPr>
          <w:rFonts w:ascii="Garamond" w:eastAsia="Century Gothic" w:hAnsi="Garamond" w:cs="Arial"/>
          <w:sz w:val="24"/>
          <w:szCs w:val="24"/>
        </w:rPr>
        <w:t xml:space="preserve">à </w:t>
      </w:r>
      <w:r w:rsidR="0005622E" w:rsidRPr="003A1174">
        <w:rPr>
          <w:rFonts w:ascii="Garamond" w:eastAsia="Century Gothic" w:hAnsi="Garamond" w:cs="Arial"/>
          <w:sz w:val="24"/>
          <w:szCs w:val="24"/>
        </w:rPr>
        <w:t>pessoa</w:t>
      </w:r>
      <w:r w:rsidR="00BF36B3">
        <w:rPr>
          <w:rFonts w:ascii="Garamond" w:eastAsia="Century Gothic" w:hAnsi="Garamond" w:cs="Arial"/>
          <w:sz w:val="24"/>
          <w:szCs w:val="24"/>
        </w:rPr>
        <w:t xml:space="preserve"> em causa</w:t>
      </w:r>
      <w:r w:rsidRPr="003A1174">
        <w:rPr>
          <w:rFonts w:ascii="Garamond" w:eastAsia="Century Gothic" w:hAnsi="Garamond" w:cs="Arial"/>
          <w:sz w:val="24"/>
          <w:szCs w:val="24"/>
        </w:rPr>
        <w:t>.</w:t>
      </w:r>
      <w:r w:rsidR="00F305C7" w:rsidRPr="003A1174">
        <w:rPr>
          <w:rFonts w:ascii="Garamond" w:eastAsia="Century Gothic" w:hAnsi="Garamond" w:cs="Arial"/>
          <w:sz w:val="24"/>
          <w:szCs w:val="24"/>
        </w:rPr>
        <w:t xml:space="preserve"> </w:t>
      </w:r>
      <w:r w:rsidR="00BF36B3">
        <w:rPr>
          <w:rFonts w:ascii="Garamond" w:eastAsia="Century Gothic" w:hAnsi="Garamond" w:cs="Arial"/>
          <w:sz w:val="24"/>
          <w:szCs w:val="24"/>
        </w:rPr>
        <w:t xml:space="preserve">Os </w:t>
      </w:r>
      <w:r w:rsidR="003E6403" w:rsidRPr="003A1174">
        <w:rPr>
          <w:rFonts w:ascii="Garamond" w:eastAsia="Century Gothic" w:hAnsi="Garamond" w:cs="Arial"/>
          <w:sz w:val="24"/>
          <w:szCs w:val="24"/>
        </w:rPr>
        <w:t>funcionári</w:t>
      </w:r>
      <w:r w:rsidRPr="003A1174">
        <w:rPr>
          <w:rFonts w:ascii="Garamond" w:eastAsia="Century Gothic" w:hAnsi="Garamond" w:cs="Arial"/>
          <w:sz w:val="24"/>
          <w:szCs w:val="24"/>
        </w:rPr>
        <w:t xml:space="preserve">os, </w:t>
      </w:r>
      <w:r w:rsidR="00BF36B3">
        <w:rPr>
          <w:rFonts w:ascii="Garamond" w:eastAsia="Century Gothic" w:hAnsi="Garamond" w:cs="Arial"/>
          <w:sz w:val="24"/>
          <w:szCs w:val="24"/>
        </w:rPr>
        <w:t xml:space="preserve">abrangidos pela </w:t>
      </w:r>
      <w:r w:rsidR="00D15AFF" w:rsidRPr="003A1174">
        <w:rPr>
          <w:rFonts w:ascii="Garamond" w:eastAsia="Century Gothic" w:hAnsi="Garamond" w:cs="Arial"/>
          <w:sz w:val="24"/>
          <w:szCs w:val="24"/>
        </w:rPr>
        <w:t>lei</w:t>
      </w:r>
      <w:r w:rsidRPr="003A1174">
        <w:rPr>
          <w:rFonts w:ascii="Garamond" w:eastAsia="Century Gothic" w:hAnsi="Garamond" w:cs="Arial"/>
          <w:sz w:val="24"/>
          <w:szCs w:val="24"/>
        </w:rPr>
        <w:t xml:space="preserve">, </w:t>
      </w:r>
      <w:r w:rsidR="00A862C2" w:rsidRPr="003A1174">
        <w:rPr>
          <w:rFonts w:ascii="Garamond" w:eastAsia="Century Gothic" w:hAnsi="Garamond" w:cs="Arial"/>
          <w:sz w:val="24"/>
          <w:szCs w:val="24"/>
        </w:rPr>
        <w:t>deve</w:t>
      </w:r>
      <w:r w:rsidR="00F305C7" w:rsidRPr="003A1174">
        <w:rPr>
          <w:rFonts w:ascii="Garamond" w:eastAsia="Century Gothic" w:hAnsi="Garamond" w:cs="Arial"/>
          <w:sz w:val="24"/>
          <w:szCs w:val="24"/>
        </w:rPr>
        <w:t>m</w:t>
      </w:r>
      <w:r w:rsidRPr="003A1174">
        <w:rPr>
          <w:rFonts w:ascii="Garamond" w:eastAsia="Century Gothic" w:hAnsi="Garamond" w:cs="Arial"/>
          <w:sz w:val="24"/>
          <w:szCs w:val="24"/>
        </w:rPr>
        <w:t xml:space="preserve"> </w:t>
      </w:r>
      <w:r w:rsidR="00791197" w:rsidRPr="003A1174">
        <w:rPr>
          <w:rFonts w:ascii="Garamond" w:eastAsia="Century Gothic" w:hAnsi="Garamond" w:cs="Arial"/>
          <w:sz w:val="24"/>
          <w:szCs w:val="24"/>
        </w:rPr>
        <w:t>oferecer</w:t>
      </w:r>
      <w:r w:rsidRPr="003A1174">
        <w:rPr>
          <w:rFonts w:ascii="Garamond" w:eastAsia="Century Gothic" w:hAnsi="Garamond" w:cs="Arial"/>
          <w:sz w:val="24"/>
          <w:szCs w:val="24"/>
        </w:rPr>
        <w:t xml:space="preserve"> </w:t>
      </w:r>
      <w:r w:rsidR="00497503" w:rsidRPr="003A1174">
        <w:rPr>
          <w:rFonts w:ascii="Garamond" w:eastAsia="Century Gothic" w:hAnsi="Garamond" w:cs="Arial"/>
          <w:sz w:val="24"/>
          <w:szCs w:val="24"/>
        </w:rPr>
        <w:t>e</w:t>
      </w:r>
      <w:r w:rsidRPr="003A1174">
        <w:rPr>
          <w:rFonts w:ascii="Garamond" w:eastAsia="Century Gothic" w:hAnsi="Garamond" w:cs="Arial"/>
          <w:sz w:val="24"/>
          <w:szCs w:val="24"/>
        </w:rPr>
        <w:t xml:space="preserve"> </w:t>
      </w:r>
      <w:r w:rsidR="00FC4A4E" w:rsidRPr="003A1174">
        <w:rPr>
          <w:rFonts w:ascii="Garamond" w:eastAsia="Century Gothic" w:hAnsi="Garamond" w:cs="Arial"/>
          <w:sz w:val="24"/>
          <w:szCs w:val="24"/>
        </w:rPr>
        <w:t>coordenar</w:t>
      </w:r>
      <w:r w:rsidRPr="003A1174">
        <w:rPr>
          <w:rFonts w:ascii="Garamond" w:eastAsia="Century Gothic" w:hAnsi="Garamond" w:cs="Arial"/>
          <w:sz w:val="24"/>
          <w:szCs w:val="24"/>
        </w:rPr>
        <w:t xml:space="preserve"> </w:t>
      </w:r>
      <w:r w:rsidR="00B531F2" w:rsidRPr="003A1174">
        <w:rPr>
          <w:rFonts w:ascii="Garamond" w:eastAsia="Century Gothic" w:hAnsi="Garamond" w:cs="Arial"/>
          <w:sz w:val="24"/>
          <w:szCs w:val="24"/>
        </w:rPr>
        <w:t>serviço</w:t>
      </w:r>
      <w:r w:rsidRPr="003A1174">
        <w:rPr>
          <w:rFonts w:ascii="Garamond" w:eastAsia="Century Gothic" w:hAnsi="Garamond" w:cs="Arial"/>
          <w:sz w:val="24"/>
          <w:szCs w:val="24"/>
        </w:rPr>
        <w:t xml:space="preserve">s de </w:t>
      </w:r>
      <w:r w:rsidR="00886D6A" w:rsidRPr="003A1174">
        <w:rPr>
          <w:rFonts w:ascii="Garamond" w:eastAsia="Century Gothic" w:hAnsi="Garamond" w:cs="Arial"/>
          <w:sz w:val="24"/>
          <w:szCs w:val="24"/>
        </w:rPr>
        <w:t>proteção</w:t>
      </w:r>
      <w:r w:rsidRPr="003A1174">
        <w:rPr>
          <w:rFonts w:ascii="Garamond" w:eastAsia="Century Gothic" w:hAnsi="Garamond" w:cs="Arial"/>
          <w:sz w:val="24"/>
          <w:szCs w:val="24"/>
        </w:rPr>
        <w:t xml:space="preserve"> </w:t>
      </w:r>
      <w:r w:rsidR="00497503" w:rsidRPr="003A1174">
        <w:rPr>
          <w:rFonts w:ascii="Garamond" w:eastAsia="Century Gothic" w:hAnsi="Garamond" w:cs="Arial"/>
          <w:sz w:val="24"/>
          <w:szCs w:val="24"/>
        </w:rPr>
        <w:t>e</w:t>
      </w:r>
      <w:r w:rsidRPr="003A1174">
        <w:rPr>
          <w:rFonts w:ascii="Garamond" w:eastAsia="Century Gothic" w:hAnsi="Garamond" w:cs="Arial"/>
          <w:sz w:val="24"/>
          <w:szCs w:val="24"/>
        </w:rPr>
        <w:t xml:space="preserve"> </w:t>
      </w:r>
      <w:r w:rsidR="00791197" w:rsidRPr="003A1174">
        <w:rPr>
          <w:rFonts w:ascii="Garamond" w:eastAsia="Century Gothic" w:hAnsi="Garamond" w:cs="Arial"/>
          <w:sz w:val="24"/>
          <w:szCs w:val="24"/>
        </w:rPr>
        <w:t>apoio</w:t>
      </w:r>
      <w:r w:rsidRPr="003A1174">
        <w:rPr>
          <w:rFonts w:ascii="Garamond" w:eastAsia="Century Gothic" w:hAnsi="Garamond" w:cs="Arial"/>
          <w:sz w:val="24"/>
          <w:szCs w:val="24"/>
        </w:rPr>
        <w:t xml:space="preserve"> para atender</w:t>
      </w:r>
      <w:r w:rsidR="00853E4C" w:rsidRPr="003A1174">
        <w:rPr>
          <w:rFonts w:ascii="Garamond" w:eastAsia="Century Gothic" w:hAnsi="Garamond" w:cs="Arial"/>
          <w:sz w:val="24"/>
          <w:szCs w:val="24"/>
        </w:rPr>
        <w:t>em</w:t>
      </w:r>
      <w:r w:rsidR="00BF36B3">
        <w:rPr>
          <w:rFonts w:ascii="Garamond" w:eastAsia="Century Gothic" w:hAnsi="Garamond" w:cs="Arial"/>
          <w:sz w:val="24"/>
          <w:szCs w:val="24"/>
        </w:rPr>
        <w:t>,</w:t>
      </w:r>
      <w:r w:rsidRPr="003A1174">
        <w:rPr>
          <w:rFonts w:ascii="Garamond" w:eastAsia="Century Gothic" w:hAnsi="Garamond" w:cs="Arial"/>
          <w:sz w:val="24"/>
          <w:szCs w:val="24"/>
        </w:rPr>
        <w:t xml:space="preserve"> </w:t>
      </w:r>
      <w:r w:rsidR="000350B1" w:rsidRPr="003A1174">
        <w:rPr>
          <w:rFonts w:ascii="Garamond" w:eastAsia="Century Gothic" w:hAnsi="Garamond" w:cs="Arial"/>
          <w:sz w:val="24"/>
          <w:szCs w:val="24"/>
        </w:rPr>
        <w:t>também</w:t>
      </w:r>
      <w:r w:rsidR="00BF36B3">
        <w:rPr>
          <w:rFonts w:ascii="Garamond" w:eastAsia="Century Gothic" w:hAnsi="Garamond" w:cs="Arial"/>
          <w:sz w:val="24"/>
          <w:szCs w:val="24"/>
        </w:rPr>
        <w:t>,</w:t>
      </w:r>
      <w:r w:rsidR="00F305C7" w:rsidRPr="003A1174">
        <w:rPr>
          <w:rFonts w:ascii="Garamond" w:eastAsia="Century Gothic" w:hAnsi="Garamond" w:cs="Arial"/>
          <w:sz w:val="24"/>
          <w:szCs w:val="24"/>
        </w:rPr>
        <w:t xml:space="preserve"> a </w:t>
      </w:r>
      <w:r w:rsidR="008278C4" w:rsidRPr="003A1174">
        <w:rPr>
          <w:rFonts w:ascii="Garamond" w:eastAsia="Century Gothic" w:hAnsi="Garamond" w:cs="Arial"/>
          <w:sz w:val="24"/>
          <w:szCs w:val="24"/>
        </w:rPr>
        <w:t>sobrevivente</w:t>
      </w:r>
      <w:r w:rsidRPr="003A1174">
        <w:rPr>
          <w:rFonts w:ascii="Garamond" w:eastAsia="Century Gothic" w:hAnsi="Garamond" w:cs="Arial"/>
          <w:sz w:val="24"/>
          <w:szCs w:val="24"/>
        </w:rPr>
        <w:t xml:space="preserve"> de </w:t>
      </w:r>
      <w:r w:rsidR="000350B1" w:rsidRPr="003A1174">
        <w:rPr>
          <w:rFonts w:ascii="Garamond" w:eastAsia="Century Gothic" w:hAnsi="Garamond" w:cs="Arial"/>
          <w:sz w:val="24"/>
          <w:szCs w:val="24"/>
        </w:rPr>
        <w:t>violência</w:t>
      </w:r>
      <w:r w:rsidRPr="003A1174">
        <w:rPr>
          <w:rFonts w:ascii="Garamond" w:eastAsia="Century Gothic" w:hAnsi="Garamond" w:cs="Arial"/>
          <w:sz w:val="24"/>
          <w:szCs w:val="24"/>
        </w:rPr>
        <w:t xml:space="preserve"> doméstica</w:t>
      </w:r>
      <w:r w:rsidR="00BF36B3">
        <w:rPr>
          <w:rFonts w:ascii="Garamond" w:eastAsia="Century Gothic" w:hAnsi="Garamond" w:cs="Arial"/>
          <w:sz w:val="24"/>
          <w:szCs w:val="24"/>
        </w:rPr>
        <w:t>,</w:t>
      </w:r>
      <w:r w:rsidRPr="003A1174">
        <w:rPr>
          <w:rFonts w:ascii="Garamond" w:eastAsia="Century Gothic" w:hAnsi="Garamond" w:cs="Arial"/>
          <w:sz w:val="24"/>
          <w:szCs w:val="24"/>
        </w:rPr>
        <w:t xml:space="preserve"> ta</w:t>
      </w:r>
      <w:r w:rsidR="00F305C7" w:rsidRPr="003A1174">
        <w:rPr>
          <w:rFonts w:ascii="Garamond" w:eastAsia="Century Gothic" w:hAnsi="Garamond" w:cs="Arial"/>
          <w:sz w:val="24"/>
          <w:szCs w:val="24"/>
        </w:rPr>
        <w:t>i</w:t>
      </w:r>
      <w:r w:rsidRPr="003A1174">
        <w:rPr>
          <w:rFonts w:ascii="Garamond" w:eastAsia="Century Gothic" w:hAnsi="Garamond" w:cs="Arial"/>
          <w:sz w:val="24"/>
          <w:szCs w:val="24"/>
        </w:rPr>
        <w:t>s como</w:t>
      </w:r>
      <w:r w:rsidR="00FB00DD" w:rsidRPr="003A1174">
        <w:rPr>
          <w:rFonts w:ascii="Garamond" w:eastAsia="Century Gothic" w:hAnsi="Garamond" w:cs="Arial"/>
          <w:sz w:val="24"/>
          <w:szCs w:val="24"/>
        </w:rPr>
        <w:t>:</w:t>
      </w:r>
      <w:r w:rsidRPr="003A1174">
        <w:rPr>
          <w:rFonts w:ascii="Garamond" w:eastAsia="Century Gothic" w:hAnsi="Garamond" w:cs="Arial"/>
          <w:sz w:val="24"/>
          <w:szCs w:val="24"/>
        </w:rPr>
        <w:t xml:space="preserve"> </w:t>
      </w:r>
      <w:r w:rsidR="000672E8" w:rsidRPr="003A1174">
        <w:rPr>
          <w:rFonts w:ascii="Garamond" w:eastAsia="Times New Roman" w:hAnsi="Garamond" w:cs="Arial"/>
          <w:sz w:val="24"/>
          <w:szCs w:val="24"/>
        </w:rPr>
        <w:t>ajuda</w:t>
      </w:r>
      <w:r w:rsidRPr="003A1174">
        <w:rPr>
          <w:rFonts w:ascii="Garamond" w:eastAsia="Times New Roman" w:hAnsi="Garamond" w:cs="Arial"/>
          <w:sz w:val="24"/>
          <w:szCs w:val="24"/>
        </w:rPr>
        <w:t>r a</w:t>
      </w:r>
      <w:r w:rsidR="00F305C7" w:rsidRPr="003A1174">
        <w:rPr>
          <w:rFonts w:ascii="Garamond" w:eastAsia="Times New Roman" w:hAnsi="Garamond" w:cs="Arial"/>
          <w:sz w:val="24"/>
          <w:szCs w:val="24"/>
        </w:rPr>
        <w:t xml:space="preserve"> colocá-la num </w:t>
      </w:r>
      <w:r w:rsidR="00D44677" w:rsidRPr="003A1174">
        <w:rPr>
          <w:rFonts w:ascii="Garamond" w:eastAsia="Times New Roman" w:hAnsi="Garamond" w:cs="Arial"/>
          <w:sz w:val="24"/>
          <w:szCs w:val="24"/>
        </w:rPr>
        <w:t>abrigo</w:t>
      </w:r>
      <w:r w:rsidR="00F305C7" w:rsidRPr="003A1174">
        <w:rPr>
          <w:rFonts w:ascii="Garamond" w:eastAsia="Times New Roman" w:hAnsi="Garamond" w:cs="Arial"/>
          <w:sz w:val="24"/>
          <w:szCs w:val="24"/>
        </w:rPr>
        <w:t xml:space="preserve">, contactar </w:t>
      </w:r>
      <w:r w:rsidRPr="003A1174">
        <w:rPr>
          <w:rFonts w:ascii="Garamond" w:eastAsia="Times New Roman" w:hAnsi="Garamond" w:cs="Arial"/>
          <w:sz w:val="24"/>
          <w:szCs w:val="24"/>
        </w:rPr>
        <w:t xml:space="preserve">a </w:t>
      </w:r>
      <w:r w:rsidR="00CF42A3" w:rsidRPr="003A1174">
        <w:rPr>
          <w:rFonts w:ascii="Garamond" w:eastAsia="Times New Roman" w:hAnsi="Garamond" w:cs="Arial"/>
          <w:sz w:val="24"/>
          <w:szCs w:val="24"/>
        </w:rPr>
        <w:t>polícia</w:t>
      </w:r>
      <w:r w:rsidRPr="003A1174">
        <w:rPr>
          <w:rFonts w:ascii="Garamond" w:eastAsia="Times New Roman" w:hAnsi="Garamond" w:cs="Arial"/>
          <w:sz w:val="24"/>
          <w:szCs w:val="24"/>
        </w:rPr>
        <w:t>, obte</w:t>
      </w:r>
      <w:r w:rsidR="00F305C7" w:rsidRPr="003A1174">
        <w:rPr>
          <w:rFonts w:ascii="Garamond" w:eastAsia="Times New Roman" w:hAnsi="Garamond" w:cs="Arial"/>
          <w:sz w:val="24"/>
          <w:szCs w:val="24"/>
        </w:rPr>
        <w:t>r um</w:t>
      </w:r>
      <w:r w:rsidRPr="003A1174">
        <w:rPr>
          <w:rFonts w:ascii="Garamond" w:eastAsia="Times New Roman" w:hAnsi="Garamond" w:cs="Arial"/>
          <w:sz w:val="24"/>
          <w:szCs w:val="24"/>
        </w:rPr>
        <w:t xml:space="preserve">a </w:t>
      </w:r>
      <w:r w:rsidR="00374785" w:rsidRPr="003A1174">
        <w:rPr>
          <w:rFonts w:ascii="Garamond" w:eastAsia="Times New Roman" w:hAnsi="Garamond" w:cs="Arial"/>
          <w:sz w:val="24"/>
          <w:szCs w:val="24"/>
        </w:rPr>
        <w:t>ordem</w:t>
      </w:r>
      <w:r w:rsidRPr="003A1174">
        <w:rPr>
          <w:rFonts w:ascii="Garamond" w:eastAsia="Times New Roman" w:hAnsi="Garamond" w:cs="Arial"/>
          <w:sz w:val="24"/>
          <w:szCs w:val="24"/>
        </w:rPr>
        <w:t xml:space="preserve"> de </w:t>
      </w:r>
      <w:r w:rsidR="00886D6A" w:rsidRPr="003A1174">
        <w:rPr>
          <w:rFonts w:ascii="Garamond" w:eastAsia="Times New Roman" w:hAnsi="Garamond" w:cs="Arial"/>
          <w:sz w:val="24"/>
          <w:szCs w:val="24"/>
        </w:rPr>
        <w:t>proteção</w:t>
      </w:r>
      <w:r w:rsidRPr="003A1174">
        <w:rPr>
          <w:rFonts w:ascii="Garamond" w:eastAsia="Times New Roman" w:hAnsi="Garamond" w:cs="Arial"/>
          <w:sz w:val="24"/>
          <w:szCs w:val="24"/>
        </w:rPr>
        <w:t>, orient</w:t>
      </w:r>
      <w:r w:rsidR="00F305C7" w:rsidRPr="003A1174">
        <w:rPr>
          <w:rFonts w:ascii="Garamond" w:eastAsia="Times New Roman" w:hAnsi="Garamond" w:cs="Arial"/>
          <w:sz w:val="24"/>
          <w:szCs w:val="24"/>
        </w:rPr>
        <w:t xml:space="preserve">á-la </w:t>
      </w:r>
      <w:r w:rsidRPr="003A1174">
        <w:rPr>
          <w:rFonts w:ascii="Garamond" w:eastAsia="Times New Roman" w:hAnsi="Garamond" w:cs="Arial"/>
          <w:sz w:val="24"/>
          <w:szCs w:val="24"/>
        </w:rPr>
        <w:t xml:space="preserve">sobre </w:t>
      </w:r>
      <w:r w:rsidR="00F305C7" w:rsidRPr="003A1174">
        <w:rPr>
          <w:rFonts w:ascii="Garamond" w:eastAsia="Times New Roman" w:hAnsi="Garamond" w:cs="Arial"/>
          <w:sz w:val="24"/>
          <w:szCs w:val="24"/>
        </w:rPr>
        <w:t xml:space="preserve">os </w:t>
      </w:r>
      <w:r w:rsidRPr="003A1174">
        <w:rPr>
          <w:rFonts w:ascii="Garamond" w:eastAsia="Times New Roman" w:hAnsi="Garamond" w:cs="Arial"/>
          <w:sz w:val="24"/>
          <w:szCs w:val="24"/>
        </w:rPr>
        <w:t>s</w:t>
      </w:r>
      <w:r w:rsidR="00F305C7" w:rsidRPr="003A1174">
        <w:rPr>
          <w:rFonts w:ascii="Garamond" w:eastAsia="Times New Roman" w:hAnsi="Garamond" w:cs="Arial"/>
          <w:sz w:val="24"/>
          <w:szCs w:val="24"/>
        </w:rPr>
        <w:t>e</w:t>
      </w:r>
      <w:r w:rsidRPr="003A1174">
        <w:rPr>
          <w:rFonts w:ascii="Garamond" w:eastAsia="Times New Roman" w:hAnsi="Garamond" w:cs="Arial"/>
          <w:sz w:val="24"/>
          <w:szCs w:val="24"/>
        </w:rPr>
        <w:t xml:space="preserve">us </w:t>
      </w:r>
      <w:r w:rsidR="00886D6A" w:rsidRPr="003A1174">
        <w:rPr>
          <w:rFonts w:ascii="Garamond" w:eastAsia="Times New Roman" w:hAnsi="Garamond" w:cs="Arial"/>
          <w:sz w:val="24"/>
          <w:szCs w:val="24"/>
        </w:rPr>
        <w:t>direito</w:t>
      </w:r>
      <w:r w:rsidRPr="003A1174">
        <w:rPr>
          <w:rFonts w:ascii="Garamond" w:eastAsia="Times New Roman" w:hAnsi="Garamond" w:cs="Arial"/>
          <w:sz w:val="24"/>
          <w:szCs w:val="24"/>
        </w:rPr>
        <w:t xml:space="preserve">s, realizar </w:t>
      </w:r>
      <w:r w:rsidR="00C30647" w:rsidRPr="003A1174">
        <w:rPr>
          <w:rFonts w:ascii="Garamond" w:eastAsia="Times New Roman" w:hAnsi="Garamond" w:cs="Arial"/>
          <w:sz w:val="24"/>
          <w:szCs w:val="24"/>
        </w:rPr>
        <w:t>esforço</w:t>
      </w:r>
      <w:r w:rsidRPr="003A1174">
        <w:rPr>
          <w:rFonts w:ascii="Garamond" w:eastAsia="Times New Roman" w:hAnsi="Garamond" w:cs="Arial"/>
          <w:sz w:val="24"/>
          <w:szCs w:val="24"/>
        </w:rPr>
        <w:t xml:space="preserve">s para remover </w:t>
      </w:r>
      <w:r w:rsidR="00BF36B3">
        <w:rPr>
          <w:rFonts w:ascii="Garamond" w:eastAsia="Times New Roman" w:hAnsi="Garamond" w:cs="Arial"/>
          <w:sz w:val="24"/>
          <w:szCs w:val="24"/>
        </w:rPr>
        <w:t>o agressor/a</w:t>
      </w:r>
      <w:r w:rsidRPr="003A1174">
        <w:rPr>
          <w:rFonts w:ascii="Garamond" w:eastAsia="Times New Roman" w:hAnsi="Garamond" w:cs="Arial"/>
          <w:sz w:val="24"/>
          <w:szCs w:val="24"/>
        </w:rPr>
        <w:t xml:space="preserve"> d</w:t>
      </w:r>
      <w:r w:rsidR="00F305C7" w:rsidRPr="003A1174">
        <w:rPr>
          <w:rFonts w:ascii="Garamond" w:eastAsia="Times New Roman" w:hAnsi="Garamond" w:cs="Arial"/>
          <w:sz w:val="24"/>
          <w:szCs w:val="24"/>
        </w:rPr>
        <w:t>a residê</w:t>
      </w:r>
      <w:r w:rsidRPr="003A1174">
        <w:rPr>
          <w:rFonts w:ascii="Garamond" w:eastAsia="Times New Roman" w:hAnsi="Garamond" w:cs="Arial"/>
          <w:sz w:val="24"/>
          <w:szCs w:val="24"/>
        </w:rPr>
        <w:t xml:space="preserve">ncia, entre </w:t>
      </w:r>
      <w:r w:rsidR="0017447A" w:rsidRPr="003A1174">
        <w:rPr>
          <w:rFonts w:ascii="Garamond" w:eastAsia="Times New Roman" w:hAnsi="Garamond" w:cs="Arial"/>
          <w:sz w:val="24"/>
          <w:szCs w:val="24"/>
        </w:rPr>
        <w:t>outras</w:t>
      </w:r>
      <w:r w:rsidRPr="003A1174">
        <w:rPr>
          <w:rFonts w:ascii="Garamond" w:eastAsia="Times New Roman" w:hAnsi="Garamond" w:cs="Arial"/>
          <w:sz w:val="24"/>
          <w:szCs w:val="24"/>
        </w:rPr>
        <w:t>. </w:t>
      </w:r>
      <w:r w:rsidR="000350B1" w:rsidRPr="003A1174">
        <w:rPr>
          <w:rFonts w:ascii="Garamond" w:eastAsia="Times New Roman" w:hAnsi="Garamond" w:cs="Arial"/>
          <w:sz w:val="24"/>
          <w:szCs w:val="24"/>
        </w:rPr>
        <w:t>Também</w:t>
      </w:r>
      <w:r w:rsidRPr="003A1174">
        <w:rPr>
          <w:rFonts w:ascii="Garamond" w:eastAsia="Times New Roman" w:hAnsi="Garamond" w:cs="Arial"/>
          <w:sz w:val="24"/>
          <w:szCs w:val="24"/>
        </w:rPr>
        <w:t xml:space="preserve"> se </w:t>
      </w:r>
      <w:r w:rsidR="00AF192F" w:rsidRPr="003A1174">
        <w:rPr>
          <w:rFonts w:ascii="Garamond" w:eastAsia="Times New Roman" w:hAnsi="Garamond" w:cs="Arial"/>
          <w:sz w:val="24"/>
          <w:szCs w:val="24"/>
        </w:rPr>
        <w:t>dever</w:t>
      </w:r>
      <w:r w:rsidRPr="003A1174">
        <w:rPr>
          <w:rFonts w:ascii="Garamond" w:eastAsia="Times New Roman" w:hAnsi="Garamond" w:cs="Arial"/>
          <w:sz w:val="24"/>
          <w:szCs w:val="24"/>
        </w:rPr>
        <w:t xml:space="preserve">á </w:t>
      </w:r>
      <w:r w:rsidR="00F305C7" w:rsidRPr="003A1174">
        <w:rPr>
          <w:rFonts w:ascii="Garamond" w:eastAsia="Times New Roman" w:hAnsi="Garamond" w:cs="Arial"/>
          <w:sz w:val="24"/>
          <w:szCs w:val="24"/>
        </w:rPr>
        <w:t xml:space="preserve">consciencializar </w:t>
      </w:r>
      <w:r w:rsidRPr="003A1174">
        <w:rPr>
          <w:rFonts w:ascii="Garamond" w:eastAsia="Times New Roman" w:hAnsi="Garamond" w:cs="Arial"/>
          <w:sz w:val="24"/>
          <w:szCs w:val="24"/>
        </w:rPr>
        <w:t xml:space="preserve">a </w:t>
      </w:r>
      <w:r w:rsidR="003F012B" w:rsidRPr="003A1174">
        <w:rPr>
          <w:rFonts w:ascii="Garamond" w:eastAsia="Times New Roman" w:hAnsi="Garamond" w:cs="Arial"/>
          <w:sz w:val="24"/>
          <w:szCs w:val="24"/>
        </w:rPr>
        <w:t>vítima</w:t>
      </w:r>
      <w:r w:rsidRPr="003A1174">
        <w:rPr>
          <w:rFonts w:ascii="Garamond" w:eastAsia="Times New Roman" w:hAnsi="Garamond" w:cs="Arial"/>
          <w:sz w:val="24"/>
          <w:szCs w:val="24"/>
        </w:rPr>
        <w:t xml:space="preserve"> </w:t>
      </w:r>
      <w:r w:rsidR="00FB00DD" w:rsidRPr="003A1174">
        <w:rPr>
          <w:rFonts w:ascii="Garamond" w:eastAsia="Times New Roman" w:hAnsi="Garamond" w:cs="Arial"/>
          <w:sz w:val="24"/>
          <w:szCs w:val="24"/>
        </w:rPr>
        <w:t xml:space="preserve">sobre </w:t>
      </w:r>
      <w:r w:rsidR="00F305C7" w:rsidRPr="003A1174">
        <w:rPr>
          <w:rFonts w:ascii="Garamond" w:eastAsia="Times New Roman" w:hAnsi="Garamond" w:cs="Arial"/>
          <w:sz w:val="24"/>
          <w:szCs w:val="24"/>
        </w:rPr>
        <w:t xml:space="preserve">o </w:t>
      </w:r>
      <w:r w:rsidRPr="003A1174">
        <w:rPr>
          <w:rFonts w:ascii="Garamond" w:eastAsia="Times New Roman" w:hAnsi="Garamond" w:cs="Arial"/>
          <w:sz w:val="24"/>
          <w:szCs w:val="24"/>
        </w:rPr>
        <w:t xml:space="preserve">impacto que a </w:t>
      </w:r>
      <w:r w:rsidR="000350B1" w:rsidRPr="003A1174">
        <w:rPr>
          <w:rFonts w:ascii="Garamond" w:eastAsia="Times New Roman" w:hAnsi="Garamond" w:cs="Arial"/>
          <w:sz w:val="24"/>
          <w:szCs w:val="24"/>
        </w:rPr>
        <w:t>violência</w:t>
      </w:r>
      <w:r w:rsidRPr="003A1174">
        <w:rPr>
          <w:rFonts w:ascii="Garamond" w:eastAsia="Times New Roman" w:hAnsi="Garamond" w:cs="Arial"/>
          <w:sz w:val="24"/>
          <w:szCs w:val="24"/>
        </w:rPr>
        <w:t xml:space="preserve"> </w:t>
      </w:r>
      <w:r w:rsidR="00F305C7" w:rsidRPr="003A1174">
        <w:rPr>
          <w:rFonts w:ascii="Garamond" w:eastAsia="Times New Roman" w:hAnsi="Garamond" w:cs="Arial"/>
          <w:sz w:val="24"/>
          <w:szCs w:val="24"/>
        </w:rPr>
        <w:t>gera n</w:t>
      </w:r>
      <w:r w:rsidRPr="003A1174">
        <w:rPr>
          <w:rFonts w:ascii="Garamond" w:eastAsia="Times New Roman" w:hAnsi="Garamond" w:cs="Arial"/>
          <w:sz w:val="24"/>
          <w:szCs w:val="24"/>
        </w:rPr>
        <w:t xml:space="preserve">os menores. </w:t>
      </w:r>
      <w:r w:rsidR="00F305C7" w:rsidRPr="003A1174">
        <w:rPr>
          <w:rFonts w:ascii="Garamond" w:eastAsia="Times New Roman" w:hAnsi="Garamond" w:cs="Arial"/>
          <w:sz w:val="24"/>
          <w:szCs w:val="24"/>
        </w:rPr>
        <w:t>Nos casos em</w:t>
      </w:r>
      <w:r w:rsidRPr="003A1174">
        <w:rPr>
          <w:rFonts w:ascii="Garamond" w:eastAsia="Times New Roman" w:hAnsi="Garamond" w:cs="Arial"/>
          <w:sz w:val="24"/>
          <w:szCs w:val="24"/>
        </w:rPr>
        <w:t xml:space="preserve"> que </w:t>
      </w:r>
      <w:r w:rsidR="00F305C7" w:rsidRPr="003A1174">
        <w:rPr>
          <w:rFonts w:ascii="Garamond" w:eastAsia="Times New Roman" w:hAnsi="Garamond" w:cs="Arial"/>
          <w:sz w:val="24"/>
          <w:szCs w:val="24"/>
        </w:rPr>
        <w:t xml:space="preserve">for </w:t>
      </w:r>
      <w:r w:rsidR="007578C6" w:rsidRPr="003A1174">
        <w:rPr>
          <w:rFonts w:ascii="Garamond" w:eastAsia="Times New Roman" w:hAnsi="Garamond" w:cs="Arial"/>
          <w:sz w:val="24"/>
          <w:szCs w:val="24"/>
        </w:rPr>
        <w:t>necessária</w:t>
      </w:r>
      <w:r w:rsidR="00F305C7"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a </w:t>
      </w:r>
      <w:r w:rsidR="00F305C7" w:rsidRPr="003A1174">
        <w:rPr>
          <w:rFonts w:ascii="Garamond" w:eastAsia="Times New Roman" w:hAnsi="Garamond" w:cs="Arial"/>
          <w:sz w:val="24"/>
          <w:szCs w:val="24"/>
        </w:rPr>
        <w:t>retirada</w:t>
      </w:r>
      <w:r w:rsidRPr="003A1174">
        <w:rPr>
          <w:rFonts w:ascii="Garamond" w:eastAsia="Times New Roman" w:hAnsi="Garamond" w:cs="Arial"/>
          <w:sz w:val="24"/>
          <w:szCs w:val="24"/>
        </w:rPr>
        <w:t xml:space="preserve"> d</w:t>
      </w:r>
      <w:r w:rsidR="00FB00DD" w:rsidRPr="003A1174">
        <w:rPr>
          <w:rFonts w:ascii="Garamond" w:eastAsia="Times New Roman" w:hAnsi="Garamond" w:cs="Arial"/>
          <w:sz w:val="24"/>
          <w:szCs w:val="24"/>
        </w:rPr>
        <w:t xml:space="preserve">a </w:t>
      </w:r>
      <w:r w:rsidR="005275B0" w:rsidRPr="003A1174">
        <w:rPr>
          <w:rFonts w:ascii="Garamond" w:eastAsia="Times New Roman" w:hAnsi="Garamond" w:cs="Arial"/>
          <w:sz w:val="24"/>
          <w:szCs w:val="24"/>
        </w:rPr>
        <w:t>custódia</w:t>
      </w:r>
      <w:r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00F305C7" w:rsidRPr="003A1174">
        <w:rPr>
          <w:rFonts w:ascii="Garamond" w:eastAsia="Times New Roman" w:hAnsi="Garamond" w:cs="Arial"/>
          <w:sz w:val="24"/>
          <w:szCs w:val="24"/>
        </w:rPr>
        <w:t xml:space="preserve"> menores d</w:t>
      </w:r>
      <w:r w:rsidRPr="003A1174">
        <w:rPr>
          <w:rFonts w:ascii="Garamond" w:eastAsia="Times New Roman" w:hAnsi="Garamond" w:cs="Arial"/>
          <w:sz w:val="24"/>
          <w:szCs w:val="24"/>
        </w:rPr>
        <w:t xml:space="preserve">a </w:t>
      </w:r>
      <w:r w:rsidR="003F012B" w:rsidRPr="003A1174">
        <w:rPr>
          <w:rFonts w:ascii="Garamond" w:eastAsia="Times New Roman" w:hAnsi="Garamond" w:cs="Arial"/>
          <w:sz w:val="24"/>
          <w:szCs w:val="24"/>
        </w:rPr>
        <w:t>vítima</w:t>
      </w:r>
      <w:r w:rsidRPr="003A1174">
        <w:rPr>
          <w:rFonts w:ascii="Garamond" w:eastAsia="Times New Roman" w:hAnsi="Garamond" w:cs="Arial"/>
          <w:sz w:val="24"/>
          <w:szCs w:val="24"/>
        </w:rPr>
        <w:t xml:space="preserve"> </w:t>
      </w:r>
      <w:r w:rsidR="008278C4" w:rsidRPr="003A1174">
        <w:rPr>
          <w:rFonts w:ascii="Garamond" w:eastAsia="Times New Roman" w:hAnsi="Garamond" w:cs="Arial"/>
          <w:sz w:val="24"/>
          <w:szCs w:val="24"/>
        </w:rPr>
        <w:t>sobrevivente</w:t>
      </w:r>
      <w:r w:rsidRPr="003A1174">
        <w:rPr>
          <w:rFonts w:ascii="Garamond" w:eastAsia="Times New Roman" w:hAnsi="Garamond" w:cs="Arial"/>
          <w:sz w:val="24"/>
          <w:szCs w:val="24"/>
        </w:rPr>
        <w:t xml:space="preserve"> de </w:t>
      </w:r>
      <w:r w:rsidR="000350B1" w:rsidRPr="003A1174">
        <w:rPr>
          <w:rFonts w:ascii="Garamond" w:eastAsia="Times New Roman" w:hAnsi="Garamond" w:cs="Arial"/>
          <w:sz w:val="24"/>
          <w:szCs w:val="24"/>
        </w:rPr>
        <w:t>violência</w:t>
      </w:r>
      <w:r w:rsidRPr="003A1174">
        <w:rPr>
          <w:rFonts w:ascii="Garamond" w:eastAsia="Times New Roman" w:hAnsi="Garamond" w:cs="Arial"/>
          <w:sz w:val="24"/>
          <w:szCs w:val="24"/>
        </w:rPr>
        <w:t xml:space="preserve"> doméstica, </w:t>
      </w:r>
      <w:r w:rsidR="00A862C2" w:rsidRPr="003A1174">
        <w:rPr>
          <w:rFonts w:ascii="Garamond" w:eastAsia="Times New Roman" w:hAnsi="Garamond" w:cs="Arial"/>
          <w:sz w:val="24"/>
          <w:szCs w:val="24"/>
        </w:rPr>
        <w:t>deve</w:t>
      </w:r>
      <w:r w:rsidR="00BF36B3">
        <w:rPr>
          <w:rFonts w:ascii="Garamond" w:eastAsia="Times New Roman" w:hAnsi="Garamond" w:cs="Arial"/>
          <w:sz w:val="24"/>
          <w:szCs w:val="24"/>
        </w:rPr>
        <w:t xml:space="preserve"> a mesma ser informada</w:t>
      </w:r>
      <w:r w:rsidRPr="003A1174">
        <w:rPr>
          <w:rFonts w:ascii="Garamond" w:eastAsia="Times New Roman" w:hAnsi="Garamond" w:cs="Arial"/>
          <w:sz w:val="24"/>
          <w:szCs w:val="24"/>
        </w:rPr>
        <w:t xml:space="preserve"> d</w:t>
      </w:r>
      <w:r w:rsidR="00F305C7" w:rsidRPr="003A1174">
        <w:rPr>
          <w:rFonts w:ascii="Garamond" w:eastAsia="Times New Roman" w:hAnsi="Garamond" w:cs="Arial"/>
          <w:sz w:val="24"/>
          <w:szCs w:val="24"/>
        </w:rPr>
        <w:t xml:space="preserve">os </w:t>
      </w:r>
      <w:r w:rsidRPr="003A1174">
        <w:rPr>
          <w:rFonts w:ascii="Garamond" w:eastAsia="Times New Roman" w:hAnsi="Garamond" w:cs="Arial"/>
          <w:sz w:val="24"/>
          <w:szCs w:val="24"/>
        </w:rPr>
        <w:t>s</w:t>
      </w:r>
      <w:r w:rsidR="00F305C7" w:rsidRPr="003A1174">
        <w:rPr>
          <w:rFonts w:ascii="Garamond" w:eastAsia="Times New Roman" w:hAnsi="Garamond" w:cs="Arial"/>
          <w:sz w:val="24"/>
          <w:szCs w:val="24"/>
        </w:rPr>
        <w:t>e</w:t>
      </w:r>
      <w:r w:rsidRPr="003A1174">
        <w:rPr>
          <w:rFonts w:ascii="Garamond" w:eastAsia="Times New Roman" w:hAnsi="Garamond" w:cs="Arial"/>
          <w:sz w:val="24"/>
          <w:szCs w:val="24"/>
        </w:rPr>
        <w:t xml:space="preserve">us </w:t>
      </w:r>
      <w:r w:rsidR="00886D6A" w:rsidRPr="003A1174">
        <w:rPr>
          <w:rFonts w:ascii="Garamond" w:eastAsia="Times New Roman" w:hAnsi="Garamond" w:cs="Arial"/>
          <w:sz w:val="24"/>
          <w:szCs w:val="24"/>
        </w:rPr>
        <w:t>direito</w:t>
      </w:r>
      <w:r w:rsidRPr="003A1174">
        <w:rPr>
          <w:rFonts w:ascii="Garamond" w:eastAsia="Times New Roman" w:hAnsi="Garamond" w:cs="Arial"/>
          <w:sz w:val="24"/>
          <w:szCs w:val="24"/>
        </w:rPr>
        <w:t xml:space="preserve">s </w:t>
      </w:r>
      <w:r w:rsidR="00497503" w:rsidRPr="003A1174">
        <w:rPr>
          <w:rFonts w:ascii="Garamond" w:eastAsia="Times New Roman" w:hAnsi="Garamond" w:cs="Arial"/>
          <w:sz w:val="24"/>
          <w:szCs w:val="24"/>
        </w:rPr>
        <w:t>e</w:t>
      </w:r>
      <w:r w:rsidRPr="003A1174">
        <w:rPr>
          <w:rFonts w:ascii="Garamond" w:eastAsia="Times New Roman" w:hAnsi="Garamond" w:cs="Arial"/>
          <w:sz w:val="24"/>
          <w:szCs w:val="24"/>
        </w:rPr>
        <w:t xml:space="preserve"> </w:t>
      </w:r>
      <w:r w:rsidR="00F305C7" w:rsidRPr="003A1174">
        <w:rPr>
          <w:rFonts w:ascii="Garamond" w:eastAsia="Times New Roman" w:hAnsi="Garamond" w:cs="Arial"/>
          <w:sz w:val="24"/>
          <w:szCs w:val="24"/>
        </w:rPr>
        <w:t>opções</w:t>
      </w:r>
      <w:r w:rsidRPr="003A1174">
        <w:rPr>
          <w:rFonts w:ascii="Garamond" w:eastAsia="Times New Roman" w:hAnsi="Garamond" w:cs="Arial"/>
          <w:sz w:val="24"/>
          <w:szCs w:val="24"/>
        </w:rPr>
        <w:t xml:space="preserve">, </w:t>
      </w:r>
      <w:r w:rsidR="00152A44" w:rsidRPr="003A1174">
        <w:rPr>
          <w:rFonts w:ascii="Garamond" w:eastAsia="Times New Roman" w:hAnsi="Garamond" w:cs="Arial"/>
          <w:sz w:val="24"/>
          <w:szCs w:val="24"/>
        </w:rPr>
        <w:t>inclui</w:t>
      </w:r>
      <w:r w:rsidRPr="003A1174">
        <w:rPr>
          <w:rFonts w:ascii="Garamond" w:eastAsia="Times New Roman" w:hAnsi="Garamond" w:cs="Arial"/>
          <w:sz w:val="24"/>
          <w:szCs w:val="24"/>
        </w:rPr>
        <w:t xml:space="preserve">ndo </w:t>
      </w:r>
      <w:r w:rsidR="00F305C7" w:rsidRPr="003A1174">
        <w:rPr>
          <w:rFonts w:ascii="Garamond" w:eastAsia="Times New Roman" w:hAnsi="Garamond" w:cs="Arial"/>
          <w:sz w:val="24"/>
          <w:szCs w:val="24"/>
        </w:rPr>
        <w:t xml:space="preserve">o </w:t>
      </w:r>
      <w:r w:rsidRPr="003A1174">
        <w:rPr>
          <w:rFonts w:ascii="Garamond" w:eastAsia="Times New Roman" w:hAnsi="Garamond" w:cs="Arial"/>
          <w:sz w:val="24"/>
          <w:szCs w:val="24"/>
        </w:rPr>
        <w:t>s</w:t>
      </w:r>
      <w:r w:rsidR="00F305C7" w:rsidRPr="003A1174">
        <w:rPr>
          <w:rFonts w:ascii="Garamond" w:eastAsia="Times New Roman" w:hAnsi="Garamond" w:cs="Arial"/>
          <w:sz w:val="24"/>
          <w:szCs w:val="24"/>
        </w:rPr>
        <w:t>e</w:t>
      </w:r>
      <w:r w:rsidRPr="003A1174">
        <w:rPr>
          <w:rFonts w:ascii="Garamond" w:eastAsia="Times New Roman" w:hAnsi="Garamond" w:cs="Arial"/>
          <w:sz w:val="24"/>
          <w:szCs w:val="24"/>
        </w:rPr>
        <w:t xml:space="preserve">u </w:t>
      </w:r>
      <w:r w:rsidR="00886D6A" w:rsidRPr="003A1174">
        <w:rPr>
          <w:rFonts w:ascii="Garamond" w:eastAsia="Times New Roman" w:hAnsi="Garamond" w:cs="Arial"/>
          <w:sz w:val="24"/>
          <w:szCs w:val="24"/>
        </w:rPr>
        <w:t>direito</w:t>
      </w:r>
      <w:r w:rsidR="00F305C7" w:rsidRPr="003A1174">
        <w:rPr>
          <w:rFonts w:ascii="Garamond" w:eastAsia="Times New Roman" w:hAnsi="Garamond" w:cs="Arial"/>
          <w:sz w:val="24"/>
          <w:szCs w:val="24"/>
        </w:rPr>
        <w:t xml:space="preserve"> a ser</w:t>
      </w:r>
      <w:r w:rsidRPr="003A1174">
        <w:rPr>
          <w:rFonts w:ascii="Garamond" w:eastAsia="Times New Roman" w:hAnsi="Garamond" w:cs="Arial"/>
          <w:sz w:val="24"/>
          <w:szCs w:val="24"/>
        </w:rPr>
        <w:t xml:space="preserve"> representada</w:t>
      </w:r>
      <w:r w:rsidR="00BF36B3">
        <w:rPr>
          <w:rFonts w:ascii="Garamond" w:eastAsia="Times New Roman" w:hAnsi="Garamond" w:cs="Arial"/>
          <w:sz w:val="24"/>
          <w:szCs w:val="24"/>
        </w:rPr>
        <w:t>,</w:t>
      </w:r>
      <w:r w:rsidRPr="003A1174">
        <w:rPr>
          <w:rFonts w:ascii="Garamond" w:eastAsia="Times New Roman" w:hAnsi="Garamond" w:cs="Arial"/>
          <w:sz w:val="24"/>
          <w:szCs w:val="24"/>
        </w:rPr>
        <w:t xml:space="preserve"> legalmente</w:t>
      </w:r>
      <w:r w:rsidR="00BF36B3">
        <w:rPr>
          <w:rFonts w:ascii="Garamond" w:eastAsia="Times New Roman" w:hAnsi="Garamond" w:cs="Arial"/>
          <w:sz w:val="24"/>
          <w:szCs w:val="24"/>
        </w:rPr>
        <w:t>,</w:t>
      </w:r>
      <w:r w:rsidR="00FB00DD"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durante todo </w:t>
      </w:r>
      <w:r w:rsidR="00F305C7" w:rsidRPr="003A1174">
        <w:rPr>
          <w:rFonts w:ascii="Garamond" w:eastAsia="Times New Roman" w:hAnsi="Garamond" w:cs="Arial"/>
          <w:sz w:val="24"/>
          <w:szCs w:val="24"/>
        </w:rPr>
        <w:t>o</w:t>
      </w:r>
      <w:r w:rsidRPr="003A1174">
        <w:rPr>
          <w:rFonts w:ascii="Garamond" w:eastAsia="Times New Roman" w:hAnsi="Garamond" w:cs="Arial"/>
          <w:sz w:val="24"/>
          <w:szCs w:val="24"/>
        </w:rPr>
        <w:t xml:space="preserve"> </w:t>
      </w:r>
      <w:r w:rsidR="002D1021" w:rsidRPr="003A1174">
        <w:rPr>
          <w:rFonts w:ascii="Garamond" w:eastAsia="Times New Roman" w:hAnsi="Garamond" w:cs="Arial"/>
          <w:sz w:val="24"/>
          <w:szCs w:val="24"/>
        </w:rPr>
        <w:t>processo</w:t>
      </w:r>
      <w:r w:rsidRPr="003A1174">
        <w:rPr>
          <w:rFonts w:ascii="Garamond" w:eastAsia="Times New Roman" w:hAnsi="Garamond" w:cs="Arial"/>
          <w:sz w:val="24"/>
          <w:szCs w:val="24"/>
        </w:rPr>
        <w:t>.</w:t>
      </w:r>
    </w:p>
    <w:p w:rsidR="00D01B8C" w:rsidRPr="003A1174" w:rsidRDefault="00D01B8C" w:rsidP="008719D4">
      <w:pPr>
        <w:spacing w:before="240" w:line="240" w:lineRule="auto"/>
        <w:jc w:val="both"/>
        <w:rPr>
          <w:rFonts w:ascii="Garamond" w:hAnsi="Garamond" w:cs="Arial"/>
          <w:b/>
          <w:sz w:val="24"/>
          <w:szCs w:val="24"/>
        </w:rPr>
      </w:pPr>
      <w:r w:rsidRPr="003A1174">
        <w:rPr>
          <w:rFonts w:ascii="Garamond" w:hAnsi="Garamond" w:cs="Arial"/>
          <w:b/>
          <w:sz w:val="24"/>
          <w:szCs w:val="24"/>
        </w:rPr>
        <w:t>Sistema Judicial e</w:t>
      </w:r>
      <w:r w:rsidR="00FB09CA" w:rsidRPr="003A1174">
        <w:rPr>
          <w:rFonts w:ascii="Garamond" w:hAnsi="Garamond" w:cs="Arial"/>
          <w:b/>
          <w:sz w:val="24"/>
          <w:szCs w:val="24"/>
        </w:rPr>
        <w:t>m</w:t>
      </w:r>
      <w:r w:rsidRPr="003A1174">
        <w:rPr>
          <w:rFonts w:ascii="Garamond" w:hAnsi="Garamond" w:cs="Arial"/>
          <w:b/>
          <w:sz w:val="24"/>
          <w:szCs w:val="24"/>
        </w:rPr>
        <w:t xml:space="preserve"> </w:t>
      </w:r>
      <w:r w:rsidR="0017447A" w:rsidRPr="003A1174">
        <w:rPr>
          <w:rFonts w:ascii="Garamond" w:hAnsi="Garamond" w:cs="Arial"/>
          <w:b/>
          <w:sz w:val="24"/>
          <w:szCs w:val="24"/>
        </w:rPr>
        <w:t>Porto</w:t>
      </w:r>
      <w:r w:rsidRPr="003A1174">
        <w:rPr>
          <w:rFonts w:ascii="Garamond" w:hAnsi="Garamond" w:cs="Arial"/>
          <w:b/>
          <w:sz w:val="24"/>
          <w:szCs w:val="24"/>
        </w:rPr>
        <w:t xml:space="preserve"> Rico</w:t>
      </w:r>
    </w:p>
    <w:p w:rsidR="00D01B8C" w:rsidRPr="003A1174" w:rsidRDefault="00FB09CA"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O </w:t>
      </w:r>
      <w:r w:rsidR="00F305C7" w:rsidRPr="003A1174">
        <w:rPr>
          <w:rFonts w:ascii="Garamond" w:hAnsi="Garamond" w:cs="Arial"/>
          <w:sz w:val="24"/>
          <w:szCs w:val="24"/>
        </w:rPr>
        <w:t xml:space="preserve">atual </w:t>
      </w:r>
      <w:r w:rsidR="00FB00DD" w:rsidRPr="003A1174">
        <w:rPr>
          <w:rFonts w:ascii="Garamond" w:hAnsi="Garamond" w:cs="Arial"/>
          <w:sz w:val="24"/>
          <w:szCs w:val="24"/>
        </w:rPr>
        <w:t xml:space="preserve">sistema </w:t>
      </w:r>
      <w:r w:rsidR="00D01B8C" w:rsidRPr="003A1174">
        <w:rPr>
          <w:rFonts w:ascii="Garamond" w:hAnsi="Garamond" w:cs="Arial"/>
          <w:sz w:val="24"/>
          <w:szCs w:val="24"/>
        </w:rPr>
        <w:t xml:space="preserve">judicial </w:t>
      </w:r>
      <w:r w:rsidRPr="003A1174">
        <w:rPr>
          <w:rFonts w:ascii="Garamond" w:hAnsi="Garamond" w:cs="Arial"/>
          <w:sz w:val="24"/>
          <w:szCs w:val="24"/>
        </w:rPr>
        <w:t>constitui</w:t>
      </w:r>
      <w:r w:rsidR="00D01B8C" w:rsidRPr="003A1174">
        <w:rPr>
          <w:rFonts w:ascii="Garamond" w:hAnsi="Garamond" w:cs="Arial"/>
          <w:sz w:val="24"/>
          <w:szCs w:val="24"/>
        </w:rPr>
        <w:t xml:space="preserve"> u</w:t>
      </w:r>
      <w:r w:rsidRPr="003A1174">
        <w:rPr>
          <w:rFonts w:ascii="Garamond" w:hAnsi="Garamond" w:cs="Arial"/>
          <w:sz w:val="24"/>
          <w:szCs w:val="24"/>
        </w:rPr>
        <w:t>m</w:t>
      </w:r>
      <w:r w:rsidR="00D01B8C" w:rsidRPr="003A1174">
        <w:rPr>
          <w:rFonts w:ascii="Garamond" w:hAnsi="Garamond" w:cs="Arial"/>
          <w:sz w:val="24"/>
          <w:szCs w:val="24"/>
        </w:rPr>
        <w:t xml:space="preserve"> </w:t>
      </w:r>
      <w:r w:rsidR="00BF36B3">
        <w:rPr>
          <w:rFonts w:ascii="Garamond" w:hAnsi="Garamond" w:cs="Arial"/>
          <w:sz w:val="24"/>
          <w:szCs w:val="24"/>
        </w:rPr>
        <w:t>conjunto</w:t>
      </w:r>
      <w:r w:rsidRPr="003A1174">
        <w:rPr>
          <w:rFonts w:ascii="Garamond" w:hAnsi="Garamond" w:cs="Arial"/>
          <w:sz w:val="24"/>
          <w:szCs w:val="24"/>
        </w:rPr>
        <w:t xml:space="preserve"> </w:t>
      </w:r>
      <w:r w:rsidR="00D01B8C" w:rsidRPr="003A1174">
        <w:rPr>
          <w:rFonts w:ascii="Garamond" w:hAnsi="Garamond" w:cs="Arial"/>
          <w:sz w:val="24"/>
          <w:szCs w:val="24"/>
        </w:rPr>
        <w:t xml:space="preserve">no </w:t>
      </w:r>
      <w:r w:rsidR="00FB00DD" w:rsidRPr="003A1174">
        <w:rPr>
          <w:rFonts w:ascii="Garamond" w:hAnsi="Garamond" w:cs="Arial"/>
          <w:sz w:val="24"/>
          <w:szCs w:val="24"/>
        </w:rPr>
        <w:t>que</w:t>
      </w:r>
      <w:r w:rsidRPr="003A1174">
        <w:rPr>
          <w:rFonts w:ascii="Garamond" w:hAnsi="Garamond" w:cs="Arial"/>
          <w:sz w:val="24"/>
          <w:szCs w:val="24"/>
        </w:rPr>
        <w:t xml:space="preserve"> se refere à sua </w:t>
      </w:r>
      <w:r w:rsidR="00731B19" w:rsidRPr="003A1174">
        <w:rPr>
          <w:rFonts w:ascii="Garamond" w:hAnsi="Garamond" w:cs="Arial"/>
          <w:sz w:val="24"/>
          <w:szCs w:val="24"/>
        </w:rPr>
        <w:t>jurisdição</w:t>
      </w:r>
      <w:r w:rsidR="00D01B8C" w:rsidRPr="003A1174">
        <w:rPr>
          <w:rFonts w:ascii="Garamond" w:hAnsi="Garamond" w:cs="Arial"/>
          <w:sz w:val="24"/>
          <w:szCs w:val="24"/>
        </w:rPr>
        <w:t xml:space="preserve">, </w:t>
      </w:r>
      <w:r w:rsidRPr="003A1174">
        <w:rPr>
          <w:rFonts w:ascii="Garamond" w:hAnsi="Garamond" w:cs="Arial"/>
          <w:sz w:val="24"/>
          <w:szCs w:val="24"/>
        </w:rPr>
        <w:t>funcionamento e</w:t>
      </w:r>
      <w:r w:rsidR="00D01B8C" w:rsidRPr="003A1174">
        <w:rPr>
          <w:rFonts w:ascii="Garamond" w:hAnsi="Garamond" w:cs="Arial"/>
          <w:sz w:val="24"/>
          <w:szCs w:val="24"/>
        </w:rPr>
        <w:t xml:space="preserve"> </w:t>
      </w:r>
      <w:r w:rsidRPr="003A1174">
        <w:rPr>
          <w:rFonts w:ascii="Garamond" w:hAnsi="Garamond" w:cs="Arial"/>
          <w:sz w:val="24"/>
          <w:szCs w:val="24"/>
        </w:rPr>
        <w:t>administração</w:t>
      </w:r>
      <w:r w:rsidR="00D01B8C" w:rsidRPr="003A1174">
        <w:rPr>
          <w:rFonts w:ascii="Garamond" w:hAnsi="Garamond" w:cs="Arial"/>
          <w:sz w:val="24"/>
          <w:szCs w:val="24"/>
        </w:rPr>
        <w:t xml:space="preserve">. </w:t>
      </w:r>
      <w:r w:rsidR="00BF36B3">
        <w:rPr>
          <w:rFonts w:ascii="Garamond" w:hAnsi="Garamond" w:cs="Arial"/>
          <w:sz w:val="24"/>
          <w:szCs w:val="24"/>
        </w:rPr>
        <w:t>É</w:t>
      </w:r>
      <w:r w:rsidRPr="003A1174">
        <w:rPr>
          <w:rFonts w:ascii="Garamond" w:hAnsi="Garamond" w:cs="Arial"/>
          <w:sz w:val="24"/>
          <w:szCs w:val="24"/>
        </w:rPr>
        <w:t xml:space="preserve"> composto</w:t>
      </w:r>
      <w:r w:rsidR="00D01B8C" w:rsidRPr="003A1174">
        <w:rPr>
          <w:rFonts w:ascii="Garamond" w:hAnsi="Garamond" w:cs="Arial"/>
          <w:sz w:val="24"/>
          <w:szCs w:val="24"/>
        </w:rPr>
        <w:t xml:space="preserve"> pel</w:t>
      </w:r>
      <w:r w:rsidRPr="003A1174">
        <w:rPr>
          <w:rFonts w:ascii="Garamond" w:hAnsi="Garamond" w:cs="Arial"/>
          <w:sz w:val="24"/>
          <w:szCs w:val="24"/>
        </w:rPr>
        <w:t>o</w:t>
      </w:r>
      <w:r w:rsidR="00D01B8C" w:rsidRPr="003A1174">
        <w:rPr>
          <w:rFonts w:ascii="Garamond" w:hAnsi="Garamond" w:cs="Arial"/>
          <w:sz w:val="24"/>
          <w:szCs w:val="24"/>
        </w:rPr>
        <w:t xml:space="preserve"> Tribunal de </w:t>
      </w:r>
      <w:r w:rsidR="004C1496" w:rsidRPr="003A1174">
        <w:rPr>
          <w:rFonts w:ascii="Garamond" w:hAnsi="Garamond" w:cs="Arial"/>
          <w:sz w:val="24"/>
          <w:szCs w:val="24"/>
        </w:rPr>
        <w:t>Primeira</w:t>
      </w:r>
      <w:r w:rsidR="00D01B8C" w:rsidRPr="003A1174">
        <w:rPr>
          <w:rFonts w:ascii="Garamond" w:hAnsi="Garamond" w:cs="Arial"/>
          <w:sz w:val="24"/>
          <w:szCs w:val="24"/>
        </w:rPr>
        <w:t xml:space="preserve"> </w:t>
      </w:r>
      <w:r w:rsidRPr="003A1174">
        <w:rPr>
          <w:rFonts w:ascii="Garamond" w:hAnsi="Garamond" w:cs="Arial"/>
          <w:sz w:val="24"/>
          <w:szCs w:val="24"/>
        </w:rPr>
        <w:t>Instância</w:t>
      </w:r>
      <w:r w:rsidR="00D01B8C" w:rsidRPr="003A1174">
        <w:rPr>
          <w:rFonts w:ascii="Garamond" w:hAnsi="Garamond" w:cs="Arial"/>
          <w:sz w:val="24"/>
          <w:szCs w:val="24"/>
        </w:rPr>
        <w:t xml:space="preserve">, </w:t>
      </w:r>
      <w:r w:rsidRPr="003A1174">
        <w:rPr>
          <w:rFonts w:ascii="Garamond" w:hAnsi="Garamond" w:cs="Arial"/>
          <w:sz w:val="24"/>
          <w:szCs w:val="24"/>
        </w:rPr>
        <w:t>o</w:t>
      </w:r>
      <w:r w:rsidR="00D01B8C" w:rsidRPr="003A1174">
        <w:rPr>
          <w:rFonts w:ascii="Garamond" w:hAnsi="Garamond" w:cs="Arial"/>
          <w:sz w:val="24"/>
          <w:szCs w:val="24"/>
        </w:rPr>
        <w:t xml:space="preserve"> Tribunal Apelativo </w:t>
      </w:r>
      <w:r w:rsidRPr="003A1174">
        <w:rPr>
          <w:rFonts w:ascii="Garamond" w:hAnsi="Garamond" w:cs="Arial"/>
          <w:sz w:val="24"/>
          <w:szCs w:val="24"/>
        </w:rPr>
        <w:t xml:space="preserve">e o Tribunal Supremo, </w:t>
      </w:r>
      <w:r w:rsidR="00D01B8C" w:rsidRPr="003A1174">
        <w:rPr>
          <w:rFonts w:ascii="Garamond" w:hAnsi="Garamond" w:cs="Arial"/>
          <w:sz w:val="24"/>
          <w:szCs w:val="24"/>
        </w:rPr>
        <w:t xml:space="preserve">os </w:t>
      </w:r>
      <w:r w:rsidRPr="003A1174">
        <w:rPr>
          <w:rFonts w:ascii="Garamond" w:hAnsi="Garamond" w:cs="Arial"/>
          <w:sz w:val="24"/>
          <w:szCs w:val="24"/>
        </w:rPr>
        <w:t xml:space="preserve">quais têm </w:t>
      </w:r>
      <w:r w:rsidR="002F62B0" w:rsidRPr="003A1174">
        <w:rPr>
          <w:rFonts w:ascii="Garamond" w:hAnsi="Garamond" w:cs="Arial"/>
          <w:sz w:val="24"/>
          <w:szCs w:val="24"/>
        </w:rPr>
        <w:t>autoridade</w:t>
      </w:r>
      <w:r w:rsidR="00D01B8C" w:rsidRPr="003A1174">
        <w:rPr>
          <w:rFonts w:ascii="Garamond" w:hAnsi="Garamond" w:cs="Arial"/>
          <w:sz w:val="24"/>
          <w:szCs w:val="24"/>
        </w:rPr>
        <w:t xml:space="preserve"> para atuar </w:t>
      </w:r>
      <w:r w:rsidRPr="003A1174">
        <w:rPr>
          <w:rFonts w:ascii="Garamond" w:hAnsi="Garamond" w:cs="Arial"/>
          <w:sz w:val="24"/>
          <w:szCs w:val="24"/>
        </w:rPr>
        <w:t>em nome</w:t>
      </w:r>
      <w:r w:rsidR="00D01B8C" w:rsidRPr="003A1174">
        <w:rPr>
          <w:rFonts w:ascii="Garamond" w:hAnsi="Garamond" w:cs="Arial"/>
          <w:sz w:val="24"/>
          <w:szCs w:val="24"/>
        </w:rPr>
        <w:t xml:space="preserve"> </w:t>
      </w:r>
      <w:r w:rsidRPr="003A1174">
        <w:rPr>
          <w:rFonts w:ascii="Garamond" w:hAnsi="Garamond" w:cs="Arial"/>
          <w:sz w:val="24"/>
          <w:szCs w:val="24"/>
        </w:rPr>
        <w:t>e pel</w:t>
      </w:r>
      <w:r w:rsidR="00D01B8C" w:rsidRPr="003A1174">
        <w:rPr>
          <w:rFonts w:ascii="Garamond" w:hAnsi="Garamond" w:cs="Arial"/>
          <w:sz w:val="24"/>
          <w:szCs w:val="24"/>
        </w:rPr>
        <w:t xml:space="preserve">a </w:t>
      </w:r>
      <w:r w:rsidR="002F62B0" w:rsidRPr="003A1174">
        <w:rPr>
          <w:rFonts w:ascii="Garamond" w:hAnsi="Garamond" w:cs="Arial"/>
          <w:sz w:val="24"/>
          <w:szCs w:val="24"/>
        </w:rPr>
        <w:t>autoridade</w:t>
      </w:r>
      <w:r w:rsidR="00D01B8C" w:rsidRPr="003A1174">
        <w:rPr>
          <w:rFonts w:ascii="Garamond" w:hAnsi="Garamond" w:cs="Arial"/>
          <w:sz w:val="24"/>
          <w:szCs w:val="24"/>
        </w:rPr>
        <w:t xml:space="preserve"> d</w:t>
      </w:r>
      <w:r w:rsidRPr="003A1174">
        <w:rPr>
          <w:rFonts w:ascii="Garamond" w:hAnsi="Garamond" w:cs="Arial"/>
          <w:sz w:val="24"/>
          <w:szCs w:val="24"/>
        </w:rPr>
        <w:t>o</w:t>
      </w:r>
      <w:r w:rsidR="00D01B8C" w:rsidRPr="003A1174">
        <w:rPr>
          <w:rFonts w:ascii="Garamond" w:hAnsi="Garamond" w:cs="Arial"/>
          <w:sz w:val="24"/>
          <w:szCs w:val="24"/>
        </w:rPr>
        <w:t xml:space="preserve"> Estado </w:t>
      </w:r>
      <w:r w:rsidR="00AF192F" w:rsidRPr="003A1174">
        <w:rPr>
          <w:rFonts w:ascii="Garamond" w:hAnsi="Garamond" w:cs="Arial"/>
          <w:sz w:val="24"/>
          <w:szCs w:val="24"/>
        </w:rPr>
        <w:t>Livre</w:t>
      </w:r>
      <w:r w:rsidR="00D01B8C" w:rsidRPr="003A1174">
        <w:rPr>
          <w:rFonts w:ascii="Garamond" w:hAnsi="Garamond" w:cs="Arial"/>
          <w:sz w:val="24"/>
          <w:szCs w:val="24"/>
        </w:rPr>
        <w:t xml:space="preserve"> </w:t>
      </w:r>
      <w:r w:rsidR="00800D59" w:rsidRPr="003A1174">
        <w:rPr>
          <w:rFonts w:ascii="Garamond" w:hAnsi="Garamond" w:cs="Arial"/>
          <w:sz w:val="24"/>
          <w:szCs w:val="24"/>
        </w:rPr>
        <w:t>Associado</w:t>
      </w:r>
      <w:r w:rsidR="00D01B8C" w:rsidRPr="003A1174">
        <w:rPr>
          <w:rFonts w:ascii="Garamond" w:hAnsi="Garamond" w:cs="Arial"/>
          <w:sz w:val="24"/>
          <w:szCs w:val="24"/>
        </w:rPr>
        <w:t xml:space="preserve"> de </w:t>
      </w:r>
      <w:r w:rsidR="0017447A" w:rsidRPr="003A1174">
        <w:rPr>
          <w:rFonts w:ascii="Garamond" w:hAnsi="Garamond" w:cs="Arial"/>
          <w:sz w:val="24"/>
          <w:szCs w:val="24"/>
        </w:rPr>
        <w:t>Porto</w:t>
      </w:r>
      <w:r w:rsidR="00D01B8C" w:rsidRPr="003A1174">
        <w:rPr>
          <w:rFonts w:ascii="Garamond" w:hAnsi="Garamond" w:cs="Arial"/>
          <w:sz w:val="24"/>
          <w:szCs w:val="24"/>
        </w:rPr>
        <w:t xml:space="preserve"> Rico e</w:t>
      </w:r>
      <w:r w:rsidRPr="003A1174">
        <w:rPr>
          <w:rFonts w:ascii="Garamond" w:hAnsi="Garamond" w:cs="Arial"/>
          <w:sz w:val="24"/>
          <w:szCs w:val="24"/>
        </w:rPr>
        <w:t>m</w:t>
      </w:r>
      <w:r w:rsidR="00D01B8C" w:rsidRPr="003A1174">
        <w:rPr>
          <w:rFonts w:ascii="Garamond" w:hAnsi="Garamond" w:cs="Arial"/>
          <w:sz w:val="24"/>
          <w:szCs w:val="24"/>
        </w:rPr>
        <w:t xml:space="preserve"> todo</w:t>
      </w:r>
      <w:r w:rsidRPr="003A1174">
        <w:rPr>
          <w:rFonts w:ascii="Garamond" w:hAnsi="Garamond" w:cs="Arial"/>
          <w:sz w:val="24"/>
          <w:szCs w:val="24"/>
        </w:rPr>
        <w:t>s os</w:t>
      </w:r>
      <w:r w:rsidR="00D01B8C" w:rsidRPr="003A1174">
        <w:rPr>
          <w:rFonts w:ascii="Garamond" w:hAnsi="Garamond" w:cs="Arial"/>
          <w:sz w:val="24"/>
          <w:szCs w:val="24"/>
        </w:rPr>
        <w:t xml:space="preserve"> caso</w:t>
      </w:r>
      <w:r w:rsidRPr="003A1174">
        <w:rPr>
          <w:rFonts w:ascii="Garamond" w:hAnsi="Garamond" w:cs="Arial"/>
          <w:sz w:val="24"/>
          <w:szCs w:val="24"/>
        </w:rPr>
        <w:t>s</w:t>
      </w:r>
      <w:r w:rsidR="00D01B8C" w:rsidRPr="003A1174">
        <w:rPr>
          <w:rFonts w:ascii="Garamond" w:hAnsi="Garamond" w:cs="Arial"/>
          <w:sz w:val="24"/>
          <w:szCs w:val="24"/>
        </w:rPr>
        <w:t xml:space="preserve"> o</w:t>
      </w:r>
      <w:r w:rsidRPr="003A1174">
        <w:rPr>
          <w:rFonts w:ascii="Garamond" w:hAnsi="Garamond" w:cs="Arial"/>
          <w:sz w:val="24"/>
          <w:szCs w:val="24"/>
        </w:rPr>
        <w:t>u contrové</w:t>
      </w:r>
      <w:r w:rsidR="00D01B8C" w:rsidRPr="003A1174">
        <w:rPr>
          <w:rFonts w:ascii="Garamond" w:hAnsi="Garamond" w:cs="Arial"/>
          <w:sz w:val="24"/>
          <w:szCs w:val="24"/>
        </w:rPr>
        <w:t>rsia</w:t>
      </w:r>
      <w:r w:rsidRPr="003A1174">
        <w:rPr>
          <w:rFonts w:ascii="Garamond" w:hAnsi="Garamond" w:cs="Arial"/>
          <w:sz w:val="24"/>
          <w:szCs w:val="24"/>
        </w:rPr>
        <w:t>s</w:t>
      </w:r>
      <w:r w:rsidR="00D01B8C" w:rsidRPr="003A1174">
        <w:rPr>
          <w:rFonts w:ascii="Garamond" w:hAnsi="Garamond" w:cs="Arial"/>
          <w:sz w:val="24"/>
          <w:szCs w:val="24"/>
        </w:rPr>
        <w:t xml:space="preserve"> que surja</w:t>
      </w:r>
      <w:r w:rsidRPr="003A1174">
        <w:rPr>
          <w:rFonts w:ascii="Garamond" w:hAnsi="Garamond" w:cs="Arial"/>
          <w:sz w:val="24"/>
          <w:szCs w:val="24"/>
        </w:rPr>
        <w:t>m</w:t>
      </w:r>
      <w:r w:rsidR="00D01B8C" w:rsidRPr="003A1174">
        <w:rPr>
          <w:rFonts w:ascii="Garamond" w:hAnsi="Garamond" w:cs="Arial"/>
          <w:sz w:val="24"/>
          <w:szCs w:val="24"/>
        </w:rPr>
        <w:t xml:space="preserve"> dentro da demarca</w:t>
      </w:r>
      <w:r w:rsidRPr="003A1174">
        <w:rPr>
          <w:rFonts w:ascii="Garamond" w:hAnsi="Garamond" w:cs="Arial"/>
          <w:sz w:val="24"/>
          <w:szCs w:val="24"/>
        </w:rPr>
        <w:t xml:space="preserve">ção </w:t>
      </w:r>
      <w:r w:rsidR="00D01B8C" w:rsidRPr="003A1174">
        <w:rPr>
          <w:rFonts w:ascii="Garamond" w:hAnsi="Garamond" w:cs="Arial"/>
          <w:sz w:val="24"/>
          <w:szCs w:val="24"/>
        </w:rPr>
        <w:t xml:space="preserve">territorial de </w:t>
      </w:r>
      <w:r w:rsidR="0017447A" w:rsidRPr="003A1174">
        <w:rPr>
          <w:rFonts w:ascii="Garamond" w:hAnsi="Garamond" w:cs="Arial"/>
          <w:sz w:val="24"/>
          <w:szCs w:val="24"/>
        </w:rPr>
        <w:t>Porto</w:t>
      </w:r>
      <w:r w:rsidR="00D01B8C" w:rsidRPr="003A1174">
        <w:rPr>
          <w:rFonts w:ascii="Garamond" w:hAnsi="Garamond" w:cs="Arial"/>
          <w:sz w:val="24"/>
          <w:szCs w:val="24"/>
        </w:rPr>
        <w:t xml:space="preserve"> Rico.</w:t>
      </w:r>
      <w:r w:rsidR="00D01B8C" w:rsidRPr="003A1174">
        <w:rPr>
          <w:rStyle w:val="Refdenotaalpie"/>
          <w:rFonts w:ascii="Garamond" w:hAnsi="Garamond" w:cs="Arial"/>
          <w:sz w:val="24"/>
          <w:szCs w:val="24"/>
        </w:rPr>
        <w:footnoteReference w:id="81"/>
      </w:r>
      <w:r w:rsidR="00D01B8C" w:rsidRPr="003A1174">
        <w:rPr>
          <w:rFonts w:ascii="Garamond" w:hAnsi="Garamond" w:cs="Arial"/>
          <w:sz w:val="24"/>
          <w:szCs w:val="24"/>
        </w:rPr>
        <w:t xml:space="preserve"> </w:t>
      </w:r>
    </w:p>
    <w:p w:rsidR="00D01B8C" w:rsidRPr="003A1174" w:rsidRDefault="00FB09CA" w:rsidP="008719D4">
      <w:pPr>
        <w:spacing w:before="240" w:line="240" w:lineRule="auto"/>
        <w:jc w:val="both"/>
        <w:rPr>
          <w:rFonts w:ascii="Garamond" w:hAnsi="Garamond" w:cs="Arial"/>
          <w:sz w:val="24"/>
          <w:szCs w:val="24"/>
        </w:rPr>
      </w:pPr>
      <w:r w:rsidRPr="003A1174">
        <w:rPr>
          <w:rFonts w:ascii="Garamond" w:hAnsi="Garamond" w:cs="Arial"/>
          <w:sz w:val="24"/>
          <w:szCs w:val="24"/>
        </w:rPr>
        <w:t>N</w:t>
      </w:r>
      <w:r w:rsidR="00D01B8C" w:rsidRPr="003A1174">
        <w:rPr>
          <w:rFonts w:ascii="Garamond" w:hAnsi="Garamond" w:cs="Arial"/>
          <w:sz w:val="24"/>
          <w:szCs w:val="24"/>
        </w:rPr>
        <w:t xml:space="preserve">os </w:t>
      </w:r>
      <w:r w:rsidRPr="003A1174">
        <w:rPr>
          <w:rFonts w:ascii="Garamond" w:hAnsi="Garamond" w:cs="Arial"/>
          <w:sz w:val="24"/>
          <w:szCs w:val="24"/>
        </w:rPr>
        <w:t>Tribunais</w:t>
      </w:r>
      <w:r w:rsidR="00D01B8C" w:rsidRPr="003A1174">
        <w:rPr>
          <w:rFonts w:ascii="Garamond" w:hAnsi="Garamond" w:cs="Arial"/>
          <w:sz w:val="24"/>
          <w:szCs w:val="24"/>
        </w:rPr>
        <w:t xml:space="preserve"> de </w:t>
      </w:r>
      <w:r w:rsidR="004C1496" w:rsidRPr="003A1174">
        <w:rPr>
          <w:rFonts w:ascii="Garamond" w:hAnsi="Garamond" w:cs="Arial"/>
          <w:sz w:val="24"/>
          <w:szCs w:val="24"/>
        </w:rPr>
        <w:t>Primeira</w:t>
      </w:r>
      <w:r w:rsidR="00D01B8C" w:rsidRPr="003A1174">
        <w:rPr>
          <w:rFonts w:ascii="Garamond" w:hAnsi="Garamond" w:cs="Arial"/>
          <w:sz w:val="24"/>
          <w:szCs w:val="24"/>
        </w:rPr>
        <w:t xml:space="preserve"> </w:t>
      </w:r>
      <w:r w:rsidRPr="003A1174">
        <w:rPr>
          <w:rFonts w:ascii="Garamond" w:hAnsi="Garamond" w:cs="Arial"/>
          <w:sz w:val="24"/>
          <w:szCs w:val="24"/>
        </w:rPr>
        <w:t>Instância</w:t>
      </w:r>
      <w:r w:rsidR="00D01B8C" w:rsidRPr="003A1174">
        <w:rPr>
          <w:rFonts w:ascii="Garamond" w:hAnsi="Garamond" w:cs="Arial"/>
          <w:sz w:val="24"/>
          <w:szCs w:val="24"/>
        </w:rPr>
        <w:t xml:space="preserve"> existe</w:t>
      </w:r>
      <w:r w:rsidRPr="003A1174">
        <w:rPr>
          <w:rFonts w:ascii="Garamond" w:hAnsi="Garamond" w:cs="Arial"/>
          <w:sz w:val="24"/>
          <w:szCs w:val="24"/>
        </w:rPr>
        <w:t>m</w:t>
      </w:r>
      <w:r w:rsidR="00D01B8C" w:rsidRPr="003A1174">
        <w:rPr>
          <w:rFonts w:ascii="Garamond" w:hAnsi="Garamond" w:cs="Arial"/>
          <w:sz w:val="24"/>
          <w:szCs w:val="24"/>
        </w:rPr>
        <w:t xml:space="preserve"> salas especializadas para </w:t>
      </w:r>
      <w:r w:rsidR="009445A0" w:rsidRPr="003A1174">
        <w:rPr>
          <w:rFonts w:ascii="Garamond" w:hAnsi="Garamond" w:cs="Arial"/>
          <w:sz w:val="24"/>
          <w:szCs w:val="24"/>
        </w:rPr>
        <w:t>tratar</w:t>
      </w:r>
      <w:r w:rsidR="00D01B8C" w:rsidRPr="003A1174">
        <w:rPr>
          <w:rFonts w:ascii="Garamond" w:hAnsi="Garamond" w:cs="Arial"/>
          <w:sz w:val="24"/>
          <w:szCs w:val="24"/>
        </w:rPr>
        <w:t xml:space="preserve"> casos de </w:t>
      </w:r>
      <w:r w:rsidR="000350B1" w:rsidRPr="003A1174">
        <w:rPr>
          <w:rFonts w:ascii="Garamond" w:hAnsi="Garamond" w:cs="Arial"/>
          <w:sz w:val="24"/>
          <w:szCs w:val="24"/>
        </w:rPr>
        <w:t>violência</w:t>
      </w:r>
      <w:r w:rsidR="007C44AC" w:rsidRPr="003A1174">
        <w:rPr>
          <w:rFonts w:ascii="Garamond" w:hAnsi="Garamond" w:cs="Arial"/>
          <w:sz w:val="24"/>
          <w:szCs w:val="24"/>
        </w:rPr>
        <w:t xml:space="preserve"> doméstica e</w:t>
      </w:r>
      <w:r w:rsidR="00D01B8C" w:rsidRPr="003A1174">
        <w:rPr>
          <w:rFonts w:ascii="Garamond" w:hAnsi="Garamond" w:cs="Arial"/>
          <w:sz w:val="24"/>
          <w:szCs w:val="24"/>
        </w:rPr>
        <w:t xml:space="preserve"> ser</w:t>
      </w:r>
      <w:r w:rsidR="007C44AC" w:rsidRPr="003A1174">
        <w:rPr>
          <w:rFonts w:ascii="Garamond" w:hAnsi="Garamond" w:cs="Arial"/>
          <w:sz w:val="24"/>
          <w:szCs w:val="24"/>
        </w:rPr>
        <w:t xml:space="preserve">ão </w:t>
      </w:r>
      <w:r w:rsidR="00D01B8C" w:rsidRPr="003A1174">
        <w:rPr>
          <w:rFonts w:ascii="Garamond" w:hAnsi="Garamond" w:cs="Arial"/>
          <w:sz w:val="24"/>
          <w:szCs w:val="24"/>
        </w:rPr>
        <w:t xml:space="preserve">de </w:t>
      </w:r>
      <w:r w:rsidR="00886D6A" w:rsidRPr="003A1174">
        <w:rPr>
          <w:rFonts w:ascii="Garamond" w:hAnsi="Garamond" w:cs="Arial"/>
          <w:sz w:val="24"/>
          <w:szCs w:val="24"/>
        </w:rPr>
        <w:t>acesso</w:t>
      </w:r>
      <w:r w:rsidR="00D01B8C" w:rsidRPr="003A1174">
        <w:rPr>
          <w:rFonts w:ascii="Garamond" w:hAnsi="Garamond" w:cs="Arial"/>
          <w:sz w:val="24"/>
          <w:szCs w:val="24"/>
        </w:rPr>
        <w:t xml:space="preserve"> </w:t>
      </w:r>
      <w:r w:rsidR="00E15BB2" w:rsidRPr="003A1174">
        <w:rPr>
          <w:rFonts w:ascii="Garamond" w:hAnsi="Garamond" w:cs="Arial"/>
          <w:sz w:val="24"/>
          <w:szCs w:val="24"/>
        </w:rPr>
        <w:t>control</w:t>
      </w:r>
      <w:r w:rsidR="00D01B8C" w:rsidRPr="003A1174">
        <w:rPr>
          <w:rFonts w:ascii="Garamond" w:hAnsi="Garamond" w:cs="Arial"/>
          <w:sz w:val="24"/>
          <w:szCs w:val="24"/>
        </w:rPr>
        <w:t>ado a</w:t>
      </w:r>
      <w:r w:rsidR="007C44AC" w:rsidRPr="003A1174">
        <w:rPr>
          <w:rFonts w:ascii="Garamond" w:hAnsi="Garamond" w:cs="Arial"/>
          <w:sz w:val="24"/>
          <w:szCs w:val="24"/>
        </w:rPr>
        <w:t xml:space="preserve">o público para salvaguardar </w:t>
      </w:r>
      <w:r w:rsidR="00D01B8C" w:rsidRPr="003A1174">
        <w:rPr>
          <w:rFonts w:ascii="Garamond" w:hAnsi="Garamond" w:cs="Arial"/>
          <w:sz w:val="24"/>
          <w:szCs w:val="24"/>
        </w:rPr>
        <w:t xml:space="preserve">a </w:t>
      </w:r>
      <w:r w:rsidR="007C44AC" w:rsidRPr="003A1174">
        <w:rPr>
          <w:rFonts w:ascii="Garamond" w:hAnsi="Garamond" w:cs="Arial"/>
          <w:sz w:val="24"/>
          <w:szCs w:val="24"/>
        </w:rPr>
        <w:t>identidade</w:t>
      </w:r>
      <w:r w:rsidR="00D01B8C" w:rsidRPr="003A1174">
        <w:rPr>
          <w:rFonts w:ascii="Garamond" w:hAnsi="Garamond" w:cs="Arial"/>
          <w:sz w:val="24"/>
          <w:szCs w:val="24"/>
        </w:rPr>
        <w:t xml:space="preserve"> da </w:t>
      </w:r>
      <w:r w:rsidR="003F012B" w:rsidRPr="003A1174">
        <w:rPr>
          <w:rFonts w:ascii="Garamond" w:hAnsi="Garamond" w:cs="Arial"/>
          <w:sz w:val="24"/>
          <w:szCs w:val="24"/>
        </w:rPr>
        <w:t>vítima</w:t>
      </w:r>
      <w:r w:rsidR="00D01B8C" w:rsidRPr="003A1174">
        <w:rPr>
          <w:rFonts w:ascii="Garamond" w:hAnsi="Garamond" w:cs="Arial"/>
          <w:sz w:val="24"/>
          <w:szCs w:val="24"/>
        </w:rPr>
        <w:t xml:space="preserve">, </w:t>
      </w:r>
      <w:r w:rsidR="009445A0" w:rsidRPr="003A1174">
        <w:rPr>
          <w:rFonts w:ascii="Garamond" w:hAnsi="Garamond" w:cs="Arial"/>
          <w:sz w:val="24"/>
          <w:szCs w:val="24"/>
        </w:rPr>
        <w:t xml:space="preserve">ficando ao critério da </w:t>
      </w:r>
      <w:r w:rsidR="00BA3CCE" w:rsidRPr="003A1174">
        <w:rPr>
          <w:rFonts w:ascii="Garamond" w:hAnsi="Garamond" w:cs="Arial"/>
          <w:sz w:val="24"/>
          <w:szCs w:val="24"/>
        </w:rPr>
        <w:t>juíza</w:t>
      </w:r>
      <w:r w:rsidR="00D01B8C" w:rsidRPr="003A1174">
        <w:rPr>
          <w:rFonts w:ascii="Garamond" w:hAnsi="Garamond" w:cs="Arial"/>
          <w:sz w:val="24"/>
          <w:szCs w:val="24"/>
        </w:rPr>
        <w:t xml:space="preserve"> o</w:t>
      </w:r>
      <w:r w:rsidR="009445A0" w:rsidRPr="003A1174">
        <w:rPr>
          <w:rFonts w:ascii="Garamond" w:hAnsi="Garamond" w:cs="Arial"/>
          <w:sz w:val="24"/>
          <w:szCs w:val="24"/>
        </w:rPr>
        <w:t>u</w:t>
      </w:r>
      <w:r w:rsidR="00D01B8C" w:rsidRPr="003A1174">
        <w:rPr>
          <w:rFonts w:ascii="Garamond" w:hAnsi="Garamond" w:cs="Arial"/>
          <w:sz w:val="24"/>
          <w:szCs w:val="24"/>
        </w:rPr>
        <w:t xml:space="preserve"> </w:t>
      </w:r>
      <w:r w:rsidR="00253B1D" w:rsidRPr="003A1174">
        <w:rPr>
          <w:rFonts w:ascii="Garamond" w:hAnsi="Garamond" w:cs="Arial"/>
          <w:sz w:val="24"/>
          <w:szCs w:val="24"/>
        </w:rPr>
        <w:t>juiz</w:t>
      </w:r>
      <w:r w:rsidR="00D01B8C" w:rsidRPr="003A1174">
        <w:rPr>
          <w:rFonts w:ascii="Garamond" w:hAnsi="Garamond" w:cs="Arial"/>
          <w:sz w:val="24"/>
          <w:szCs w:val="24"/>
        </w:rPr>
        <w:t xml:space="preserve"> que presid</w:t>
      </w:r>
      <w:r w:rsidR="009445A0" w:rsidRPr="003A1174">
        <w:rPr>
          <w:rFonts w:ascii="Garamond" w:hAnsi="Garamond" w:cs="Arial"/>
          <w:sz w:val="24"/>
          <w:szCs w:val="24"/>
        </w:rPr>
        <w:t xml:space="preserve">ir à </w:t>
      </w:r>
      <w:r w:rsidR="00D01B8C" w:rsidRPr="003A1174">
        <w:rPr>
          <w:rFonts w:ascii="Garamond" w:hAnsi="Garamond" w:cs="Arial"/>
          <w:sz w:val="24"/>
          <w:szCs w:val="24"/>
        </w:rPr>
        <w:t>sala especializada</w:t>
      </w:r>
      <w:r w:rsidR="00BF36B3">
        <w:rPr>
          <w:rFonts w:ascii="Garamond" w:hAnsi="Garamond" w:cs="Arial"/>
          <w:sz w:val="24"/>
          <w:szCs w:val="24"/>
        </w:rPr>
        <w:t>,</w:t>
      </w:r>
      <w:r w:rsidR="00D01B8C" w:rsidRPr="003A1174">
        <w:rPr>
          <w:rFonts w:ascii="Garamond" w:hAnsi="Garamond" w:cs="Arial"/>
          <w:sz w:val="24"/>
          <w:szCs w:val="24"/>
        </w:rPr>
        <w:t xml:space="preserve"> determinar </w:t>
      </w:r>
      <w:r w:rsidR="00BF36B3">
        <w:rPr>
          <w:rFonts w:ascii="Garamond" w:hAnsi="Garamond" w:cs="Arial"/>
          <w:sz w:val="24"/>
          <w:szCs w:val="24"/>
        </w:rPr>
        <w:t xml:space="preserve">quais </w:t>
      </w:r>
      <w:r w:rsidR="009445A0" w:rsidRPr="003A1174">
        <w:rPr>
          <w:rFonts w:ascii="Garamond" w:hAnsi="Garamond" w:cs="Arial"/>
          <w:sz w:val="24"/>
          <w:szCs w:val="24"/>
        </w:rPr>
        <w:t xml:space="preserve">as </w:t>
      </w:r>
      <w:r w:rsidR="006C760C" w:rsidRPr="003A1174">
        <w:rPr>
          <w:rFonts w:ascii="Garamond" w:hAnsi="Garamond" w:cs="Arial"/>
          <w:sz w:val="24"/>
          <w:szCs w:val="24"/>
        </w:rPr>
        <w:t>pessoas</w:t>
      </w:r>
      <w:r w:rsidR="009445A0" w:rsidRPr="003A1174">
        <w:rPr>
          <w:rFonts w:ascii="Garamond" w:hAnsi="Garamond" w:cs="Arial"/>
          <w:sz w:val="24"/>
          <w:szCs w:val="24"/>
        </w:rPr>
        <w:t xml:space="preserve"> do</w:t>
      </w:r>
      <w:r w:rsidR="00D01B8C" w:rsidRPr="003A1174">
        <w:rPr>
          <w:rFonts w:ascii="Garamond" w:hAnsi="Garamond" w:cs="Arial"/>
          <w:sz w:val="24"/>
          <w:szCs w:val="24"/>
        </w:rPr>
        <w:t xml:space="preserve"> público </w:t>
      </w:r>
      <w:r w:rsidR="009445A0" w:rsidRPr="003A1174">
        <w:rPr>
          <w:rFonts w:ascii="Garamond" w:hAnsi="Garamond" w:cs="Arial"/>
          <w:sz w:val="24"/>
          <w:szCs w:val="24"/>
        </w:rPr>
        <w:t xml:space="preserve">que </w:t>
      </w:r>
      <w:r w:rsidR="007407BD" w:rsidRPr="003A1174">
        <w:rPr>
          <w:rFonts w:ascii="Garamond" w:hAnsi="Garamond" w:cs="Arial"/>
          <w:sz w:val="24"/>
          <w:szCs w:val="24"/>
        </w:rPr>
        <w:t>podem</w:t>
      </w:r>
      <w:r w:rsidR="009445A0" w:rsidRPr="003A1174">
        <w:rPr>
          <w:rFonts w:ascii="Garamond" w:hAnsi="Garamond" w:cs="Arial"/>
          <w:sz w:val="24"/>
          <w:szCs w:val="24"/>
        </w:rPr>
        <w:t xml:space="preserve"> ac</w:t>
      </w:r>
      <w:r w:rsidR="00D01B8C" w:rsidRPr="003A1174">
        <w:rPr>
          <w:rFonts w:ascii="Garamond" w:hAnsi="Garamond" w:cs="Arial"/>
          <w:sz w:val="24"/>
          <w:szCs w:val="24"/>
        </w:rPr>
        <w:t xml:space="preserve">eder </w:t>
      </w:r>
      <w:r w:rsidR="009445A0" w:rsidRPr="003A1174">
        <w:rPr>
          <w:rFonts w:ascii="Garamond" w:hAnsi="Garamond" w:cs="Arial"/>
          <w:sz w:val="24"/>
          <w:szCs w:val="24"/>
        </w:rPr>
        <w:t xml:space="preserve">à </w:t>
      </w:r>
      <w:r w:rsidR="00524936" w:rsidRPr="003A1174">
        <w:rPr>
          <w:rFonts w:ascii="Garamond" w:hAnsi="Garamond" w:cs="Arial"/>
          <w:sz w:val="24"/>
          <w:szCs w:val="24"/>
        </w:rPr>
        <w:t>mesma</w:t>
      </w:r>
      <w:r w:rsidR="00D01B8C" w:rsidRPr="003A1174">
        <w:rPr>
          <w:rFonts w:ascii="Garamond" w:hAnsi="Garamond" w:cs="Arial"/>
          <w:sz w:val="24"/>
          <w:szCs w:val="24"/>
        </w:rPr>
        <w:t>.</w:t>
      </w:r>
      <w:r w:rsidR="00D01B8C" w:rsidRPr="003A1174">
        <w:rPr>
          <w:rStyle w:val="Refdenotaalpie"/>
          <w:rFonts w:ascii="Garamond" w:hAnsi="Garamond" w:cs="Arial"/>
          <w:sz w:val="24"/>
          <w:szCs w:val="24"/>
        </w:rPr>
        <w:footnoteReference w:id="82"/>
      </w:r>
    </w:p>
    <w:p w:rsidR="00D01B8C" w:rsidRPr="003A1174" w:rsidRDefault="009445A0"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O </w:t>
      </w:r>
      <w:r w:rsidR="00D01B8C" w:rsidRPr="003A1174">
        <w:rPr>
          <w:rFonts w:ascii="Garamond" w:hAnsi="Garamond" w:cs="Arial"/>
          <w:sz w:val="24"/>
          <w:szCs w:val="24"/>
        </w:rPr>
        <w:t xml:space="preserve">tribunal </w:t>
      </w:r>
      <w:r w:rsidR="007C44AC" w:rsidRPr="003A1174">
        <w:rPr>
          <w:rFonts w:ascii="Garamond" w:hAnsi="Garamond" w:cs="Arial"/>
          <w:sz w:val="24"/>
          <w:szCs w:val="24"/>
        </w:rPr>
        <w:t>intermédio</w:t>
      </w:r>
      <w:r w:rsidR="00D01B8C" w:rsidRPr="003A1174">
        <w:rPr>
          <w:rFonts w:ascii="Garamond" w:hAnsi="Garamond" w:cs="Arial"/>
          <w:sz w:val="24"/>
          <w:szCs w:val="24"/>
        </w:rPr>
        <w:t xml:space="preserve"> </w:t>
      </w:r>
      <w:r w:rsidRPr="003A1174">
        <w:rPr>
          <w:rFonts w:ascii="Garamond" w:hAnsi="Garamond" w:cs="Arial"/>
          <w:sz w:val="24"/>
          <w:szCs w:val="24"/>
        </w:rPr>
        <w:t xml:space="preserve">é o </w:t>
      </w:r>
      <w:r w:rsidR="00D01B8C" w:rsidRPr="003A1174">
        <w:rPr>
          <w:rFonts w:ascii="Garamond" w:hAnsi="Garamond" w:cs="Arial"/>
          <w:sz w:val="24"/>
          <w:szCs w:val="24"/>
        </w:rPr>
        <w:t>Tribunal de Apela</w:t>
      </w:r>
      <w:r w:rsidRPr="003A1174">
        <w:rPr>
          <w:rFonts w:ascii="Garamond" w:hAnsi="Garamond" w:cs="Arial"/>
          <w:sz w:val="24"/>
          <w:szCs w:val="24"/>
        </w:rPr>
        <w:t>ção, cuj</w:t>
      </w:r>
      <w:r w:rsidR="00D01B8C" w:rsidRPr="003A1174">
        <w:rPr>
          <w:rFonts w:ascii="Garamond" w:hAnsi="Garamond" w:cs="Arial"/>
          <w:sz w:val="24"/>
          <w:szCs w:val="24"/>
        </w:rPr>
        <w:t xml:space="preserve">a </w:t>
      </w:r>
      <w:r w:rsidR="002E2C71" w:rsidRPr="003A1174">
        <w:rPr>
          <w:rFonts w:ascii="Garamond" w:hAnsi="Garamond" w:cs="Arial"/>
          <w:sz w:val="24"/>
          <w:szCs w:val="24"/>
        </w:rPr>
        <w:t>função</w:t>
      </w:r>
      <w:r w:rsidR="00D01B8C" w:rsidRPr="003A1174">
        <w:rPr>
          <w:rFonts w:ascii="Garamond" w:hAnsi="Garamond" w:cs="Arial"/>
          <w:sz w:val="24"/>
          <w:szCs w:val="24"/>
        </w:rPr>
        <w:t xml:space="preserve"> principal </w:t>
      </w:r>
      <w:r w:rsidRPr="003A1174">
        <w:rPr>
          <w:rFonts w:ascii="Garamond" w:hAnsi="Garamond" w:cs="Arial"/>
          <w:sz w:val="24"/>
          <w:szCs w:val="24"/>
        </w:rPr>
        <w:t xml:space="preserve">é </w:t>
      </w:r>
      <w:r w:rsidR="00D01B8C" w:rsidRPr="003A1174">
        <w:rPr>
          <w:rFonts w:ascii="Garamond" w:hAnsi="Garamond" w:cs="Arial"/>
          <w:sz w:val="24"/>
          <w:szCs w:val="24"/>
        </w:rPr>
        <w:t xml:space="preserve">a de </w:t>
      </w:r>
      <w:r w:rsidRPr="003A1174">
        <w:rPr>
          <w:rFonts w:ascii="Garamond" w:hAnsi="Garamond" w:cs="Arial"/>
          <w:sz w:val="24"/>
          <w:szCs w:val="24"/>
        </w:rPr>
        <w:t xml:space="preserve">prover os cidadãos de </w:t>
      </w:r>
      <w:r w:rsidR="00F305C7" w:rsidRPr="003A1174">
        <w:rPr>
          <w:rFonts w:ascii="Garamond" w:hAnsi="Garamond" w:cs="Arial"/>
          <w:sz w:val="24"/>
          <w:szCs w:val="24"/>
        </w:rPr>
        <w:t xml:space="preserve">recursos de apelação </w:t>
      </w:r>
      <w:r w:rsidRPr="003A1174">
        <w:rPr>
          <w:rFonts w:ascii="Garamond" w:hAnsi="Garamond" w:cs="Arial"/>
          <w:sz w:val="24"/>
          <w:szCs w:val="24"/>
        </w:rPr>
        <w:t>através do</w:t>
      </w:r>
      <w:r w:rsidR="00F305C7" w:rsidRPr="003A1174">
        <w:rPr>
          <w:rFonts w:ascii="Garamond" w:hAnsi="Garamond" w:cs="Arial"/>
          <w:sz w:val="24"/>
          <w:szCs w:val="24"/>
        </w:rPr>
        <w:t>s</w:t>
      </w:r>
      <w:r w:rsidRPr="003A1174">
        <w:rPr>
          <w:rFonts w:ascii="Garamond" w:hAnsi="Garamond" w:cs="Arial"/>
          <w:sz w:val="24"/>
          <w:szCs w:val="24"/>
        </w:rPr>
        <w:t xml:space="preserve"> qua</w:t>
      </w:r>
      <w:r w:rsidR="00F305C7" w:rsidRPr="003A1174">
        <w:rPr>
          <w:rFonts w:ascii="Garamond" w:hAnsi="Garamond" w:cs="Arial"/>
          <w:sz w:val="24"/>
          <w:szCs w:val="24"/>
        </w:rPr>
        <w:t>is</w:t>
      </w:r>
      <w:r w:rsidRPr="003A1174">
        <w:rPr>
          <w:rFonts w:ascii="Garamond" w:hAnsi="Garamond" w:cs="Arial"/>
          <w:sz w:val="24"/>
          <w:szCs w:val="24"/>
        </w:rPr>
        <w:t xml:space="preserve"> um painel </w:t>
      </w:r>
      <w:r w:rsidR="00D01B8C" w:rsidRPr="003A1174">
        <w:rPr>
          <w:rFonts w:ascii="Garamond" w:hAnsi="Garamond" w:cs="Arial"/>
          <w:sz w:val="24"/>
          <w:szCs w:val="24"/>
        </w:rPr>
        <w:t xml:space="preserve">de </w:t>
      </w:r>
      <w:r w:rsidR="00F305C7" w:rsidRPr="003A1174">
        <w:rPr>
          <w:rFonts w:ascii="Garamond" w:hAnsi="Garamond" w:cs="Arial"/>
          <w:sz w:val="24"/>
          <w:szCs w:val="24"/>
        </w:rPr>
        <w:t xml:space="preserve">pelo menos </w:t>
      </w:r>
      <w:r w:rsidR="000866B6" w:rsidRPr="003A1174">
        <w:rPr>
          <w:rFonts w:ascii="Garamond" w:hAnsi="Garamond" w:cs="Arial"/>
          <w:sz w:val="24"/>
          <w:szCs w:val="24"/>
        </w:rPr>
        <w:t>três</w:t>
      </w:r>
      <w:r w:rsidR="00D01B8C" w:rsidRPr="003A1174">
        <w:rPr>
          <w:rFonts w:ascii="Garamond" w:hAnsi="Garamond" w:cs="Arial"/>
          <w:sz w:val="24"/>
          <w:szCs w:val="24"/>
        </w:rPr>
        <w:t xml:space="preserve"> (3) </w:t>
      </w:r>
      <w:r w:rsidR="00BA3CCE" w:rsidRPr="003A1174">
        <w:rPr>
          <w:rFonts w:ascii="Garamond" w:hAnsi="Garamond" w:cs="Arial"/>
          <w:sz w:val="24"/>
          <w:szCs w:val="24"/>
        </w:rPr>
        <w:t>juízas</w:t>
      </w:r>
      <w:r w:rsidR="00D01B8C" w:rsidRPr="003A1174">
        <w:rPr>
          <w:rFonts w:ascii="Garamond" w:hAnsi="Garamond" w:cs="Arial"/>
          <w:sz w:val="24"/>
          <w:szCs w:val="24"/>
        </w:rPr>
        <w:t xml:space="preserve"> o</w:t>
      </w:r>
      <w:r w:rsidRPr="003A1174">
        <w:rPr>
          <w:rFonts w:ascii="Garamond" w:hAnsi="Garamond" w:cs="Arial"/>
          <w:sz w:val="24"/>
          <w:szCs w:val="24"/>
        </w:rPr>
        <w:t>u</w:t>
      </w:r>
      <w:r w:rsidR="00D01B8C" w:rsidRPr="003A1174">
        <w:rPr>
          <w:rFonts w:ascii="Garamond" w:hAnsi="Garamond" w:cs="Arial"/>
          <w:sz w:val="24"/>
          <w:szCs w:val="24"/>
        </w:rPr>
        <w:t xml:space="preserve"> </w:t>
      </w:r>
      <w:r w:rsidRPr="003A1174">
        <w:rPr>
          <w:rFonts w:ascii="Garamond" w:hAnsi="Garamond" w:cs="Arial"/>
          <w:sz w:val="24"/>
          <w:szCs w:val="24"/>
        </w:rPr>
        <w:t xml:space="preserve">juízes irão </w:t>
      </w:r>
      <w:r w:rsidR="00D01B8C" w:rsidRPr="003A1174">
        <w:rPr>
          <w:rFonts w:ascii="Garamond" w:hAnsi="Garamond" w:cs="Arial"/>
          <w:sz w:val="24"/>
          <w:szCs w:val="24"/>
        </w:rPr>
        <w:t>rev</w:t>
      </w:r>
      <w:r w:rsidRPr="003A1174">
        <w:rPr>
          <w:rFonts w:ascii="Garamond" w:hAnsi="Garamond" w:cs="Arial"/>
          <w:sz w:val="24"/>
          <w:szCs w:val="24"/>
        </w:rPr>
        <w:t>er</w:t>
      </w:r>
      <w:r w:rsidR="00D01B8C" w:rsidRPr="003A1174">
        <w:rPr>
          <w:rFonts w:ascii="Garamond" w:hAnsi="Garamond" w:cs="Arial"/>
          <w:sz w:val="24"/>
          <w:szCs w:val="24"/>
        </w:rPr>
        <w:t xml:space="preserve">, como </w:t>
      </w:r>
      <w:r w:rsidRPr="003A1174">
        <w:rPr>
          <w:rFonts w:ascii="Garamond" w:hAnsi="Garamond" w:cs="Arial"/>
          <w:sz w:val="24"/>
          <w:szCs w:val="24"/>
        </w:rPr>
        <w:t xml:space="preserve">questão </w:t>
      </w:r>
      <w:r w:rsidR="00D01B8C" w:rsidRPr="003A1174">
        <w:rPr>
          <w:rFonts w:ascii="Garamond" w:hAnsi="Garamond" w:cs="Arial"/>
          <w:sz w:val="24"/>
          <w:szCs w:val="24"/>
        </w:rPr>
        <w:t xml:space="preserve">de </w:t>
      </w:r>
      <w:r w:rsidR="00886D6A" w:rsidRPr="003A1174">
        <w:rPr>
          <w:rFonts w:ascii="Garamond" w:hAnsi="Garamond" w:cs="Arial"/>
          <w:sz w:val="24"/>
          <w:szCs w:val="24"/>
        </w:rPr>
        <w:t>direito</w:t>
      </w:r>
      <w:r w:rsidRPr="003A1174">
        <w:rPr>
          <w:rFonts w:ascii="Garamond" w:hAnsi="Garamond" w:cs="Arial"/>
          <w:sz w:val="24"/>
          <w:szCs w:val="24"/>
        </w:rPr>
        <w:t xml:space="preserve">, </w:t>
      </w:r>
      <w:r w:rsidR="00D01B8C" w:rsidRPr="003A1174">
        <w:rPr>
          <w:rFonts w:ascii="Garamond" w:hAnsi="Garamond" w:cs="Arial"/>
          <w:sz w:val="24"/>
          <w:szCs w:val="24"/>
        </w:rPr>
        <w:t xml:space="preserve">as </w:t>
      </w:r>
      <w:r w:rsidR="00FC1F7F" w:rsidRPr="003A1174">
        <w:rPr>
          <w:rFonts w:ascii="Garamond" w:hAnsi="Garamond" w:cs="Arial"/>
          <w:sz w:val="24"/>
          <w:szCs w:val="24"/>
        </w:rPr>
        <w:t>sentença</w:t>
      </w:r>
      <w:r w:rsidR="00D01B8C" w:rsidRPr="003A1174">
        <w:rPr>
          <w:rFonts w:ascii="Garamond" w:hAnsi="Garamond" w:cs="Arial"/>
          <w:sz w:val="24"/>
          <w:szCs w:val="24"/>
        </w:rPr>
        <w:t>s fina</w:t>
      </w:r>
      <w:r w:rsidRPr="003A1174">
        <w:rPr>
          <w:rFonts w:ascii="Garamond" w:hAnsi="Garamond" w:cs="Arial"/>
          <w:sz w:val="24"/>
          <w:szCs w:val="24"/>
        </w:rPr>
        <w:t>i</w:t>
      </w:r>
      <w:r w:rsidR="00D01B8C" w:rsidRPr="003A1174">
        <w:rPr>
          <w:rFonts w:ascii="Garamond" w:hAnsi="Garamond" w:cs="Arial"/>
          <w:sz w:val="24"/>
          <w:szCs w:val="24"/>
        </w:rPr>
        <w:t>s d</w:t>
      </w:r>
      <w:r w:rsidRPr="003A1174">
        <w:rPr>
          <w:rFonts w:ascii="Garamond" w:hAnsi="Garamond" w:cs="Arial"/>
          <w:sz w:val="24"/>
          <w:szCs w:val="24"/>
        </w:rPr>
        <w:t>o</w:t>
      </w:r>
      <w:r w:rsidR="00D01B8C" w:rsidRPr="003A1174">
        <w:rPr>
          <w:rFonts w:ascii="Garamond" w:hAnsi="Garamond" w:cs="Arial"/>
          <w:sz w:val="24"/>
          <w:szCs w:val="24"/>
        </w:rPr>
        <w:t xml:space="preserve"> Tribunal de </w:t>
      </w:r>
      <w:r w:rsidR="004C1496" w:rsidRPr="003A1174">
        <w:rPr>
          <w:rFonts w:ascii="Garamond" w:hAnsi="Garamond" w:cs="Arial"/>
          <w:sz w:val="24"/>
          <w:szCs w:val="24"/>
        </w:rPr>
        <w:t>Primeira</w:t>
      </w:r>
      <w:r w:rsidR="00D01B8C" w:rsidRPr="003A1174">
        <w:rPr>
          <w:rFonts w:ascii="Garamond" w:hAnsi="Garamond" w:cs="Arial"/>
          <w:sz w:val="24"/>
          <w:szCs w:val="24"/>
        </w:rPr>
        <w:t xml:space="preserve"> </w:t>
      </w:r>
      <w:r w:rsidR="00FB09CA" w:rsidRPr="003A1174">
        <w:rPr>
          <w:rFonts w:ascii="Garamond" w:hAnsi="Garamond" w:cs="Arial"/>
          <w:sz w:val="24"/>
          <w:szCs w:val="24"/>
        </w:rPr>
        <w:lastRenderedPageBreak/>
        <w:t>Instância</w:t>
      </w:r>
      <w:r w:rsidR="00D01B8C" w:rsidRPr="003A1174">
        <w:rPr>
          <w:rFonts w:ascii="Garamond" w:hAnsi="Garamond" w:cs="Arial"/>
          <w:sz w:val="24"/>
          <w:szCs w:val="24"/>
        </w:rPr>
        <w:t>, as</w:t>
      </w:r>
      <w:r w:rsidRPr="003A1174">
        <w:rPr>
          <w:rFonts w:ascii="Garamond" w:hAnsi="Garamond" w:cs="Arial"/>
          <w:sz w:val="24"/>
          <w:szCs w:val="24"/>
        </w:rPr>
        <w:t xml:space="preserve">sim como </w:t>
      </w:r>
      <w:r w:rsidR="00D01B8C" w:rsidRPr="003A1174">
        <w:rPr>
          <w:rFonts w:ascii="Garamond" w:hAnsi="Garamond" w:cs="Arial"/>
          <w:sz w:val="24"/>
          <w:szCs w:val="24"/>
        </w:rPr>
        <w:t xml:space="preserve">as </w:t>
      </w:r>
      <w:r w:rsidR="005D38DC" w:rsidRPr="003A1174">
        <w:rPr>
          <w:rFonts w:ascii="Garamond" w:hAnsi="Garamond" w:cs="Arial"/>
          <w:sz w:val="24"/>
          <w:szCs w:val="24"/>
        </w:rPr>
        <w:t>decisões</w:t>
      </w:r>
      <w:r w:rsidR="00D01B8C" w:rsidRPr="003A1174">
        <w:rPr>
          <w:rFonts w:ascii="Garamond" w:hAnsi="Garamond" w:cs="Arial"/>
          <w:sz w:val="24"/>
          <w:szCs w:val="24"/>
        </w:rPr>
        <w:t xml:space="preserve"> </w:t>
      </w:r>
      <w:r w:rsidRPr="003A1174">
        <w:rPr>
          <w:rFonts w:ascii="Garamond" w:hAnsi="Garamond" w:cs="Arial"/>
          <w:sz w:val="24"/>
          <w:szCs w:val="24"/>
        </w:rPr>
        <w:t>finais dos organismos e</w:t>
      </w:r>
      <w:r w:rsidR="00D01B8C" w:rsidRPr="003A1174">
        <w:rPr>
          <w:rFonts w:ascii="Garamond" w:hAnsi="Garamond" w:cs="Arial"/>
          <w:sz w:val="24"/>
          <w:szCs w:val="24"/>
        </w:rPr>
        <w:t xml:space="preserve"> </w:t>
      </w:r>
      <w:r w:rsidRPr="003A1174">
        <w:rPr>
          <w:rFonts w:ascii="Garamond" w:hAnsi="Garamond" w:cs="Arial"/>
          <w:sz w:val="24"/>
          <w:szCs w:val="24"/>
        </w:rPr>
        <w:t>agências</w:t>
      </w:r>
      <w:r w:rsidR="00853E4C" w:rsidRPr="003A1174">
        <w:rPr>
          <w:rFonts w:ascii="Garamond" w:hAnsi="Garamond" w:cs="Arial"/>
          <w:sz w:val="24"/>
          <w:szCs w:val="24"/>
        </w:rPr>
        <w:t xml:space="preserve"> administrativas</w:t>
      </w:r>
      <w:r w:rsidR="00D01B8C" w:rsidRPr="003A1174">
        <w:rPr>
          <w:rFonts w:ascii="Garamond" w:hAnsi="Garamond" w:cs="Arial"/>
          <w:sz w:val="24"/>
          <w:szCs w:val="24"/>
        </w:rPr>
        <w:t xml:space="preserve"> </w:t>
      </w:r>
      <w:r w:rsidRPr="003A1174">
        <w:rPr>
          <w:rFonts w:ascii="Garamond" w:hAnsi="Garamond" w:cs="Arial"/>
          <w:sz w:val="24"/>
          <w:szCs w:val="24"/>
        </w:rPr>
        <w:t>e</w:t>
      </w:r>
      <w:r w:rsidR="00853E4C" w:rsidRPr="003A1174">
        <w:rPr>
          <w:rFonts w:ascii="Garamond" w:hAnsi="Garamond" w:cs="Arial"/>
          <w:sz w:val="24"/>
          <w:szCs w:val="24"/>
        </w:rPr>
        <w:t>,</w:t>
      </w:r>
      <w:r w:rsidR="00D01B8C" w:rsidRPr="003A1174">
        <w:rPr>
          <w:rFonts w:ascii="Garamond" w:hAnsi="Garamond" w:cs="Arial"/>
          <w:sz w:val="24"/>
          <w:szCs w:val="24"/>
        </w:rPr>
        <w:t xml:space="preserve"> de forma </w:t>
      </w:r>
      <w:r w:rsidRPr="003A1174">
        <w:rPr>
          <w:rFonts w:ascii="Garamond" w:hAnsi="Garamond" w:cs="Arial"/>
          <w:sz w:val="24"/>
          <w:szCs w:val="24"/>
        </w:rPr>
        <w:t>particular</w:t>
      </w:r>
      <w:r w:rsidR="00853E4C" w:rsidRPr="003A1174">
        <w:rPr>
          <w:rFonts w:ascii="Garamond" w:hAnsi="Garamond" w:cs="Arial"/>
          <w:sz w:val="24"/>
          <w:szCs w:val="24"/>
        </w:rPr>
        <w:t>,</w:t>
      </w:r>
      <w:r w:rsidR="00D01B8C" w:rsidRPr="003A1174">
        <w:rPr>
          <w:rFonts w:ascii="Garamond" w:hAnsi="Garamond" w:cs="Arial"/>
          <w:sz w:val="24"/>
          <w:szCs w:val="24"/>
        </w:rPr>
        <w:t xml:space="preserve"> </w:t>
      </w:r>
      <w:r w:rsidR="007342D9" w:rsidRPr="003A1174">
        <w:rPr>
          <w:rFonts w:ascii="Garamond" w:hAnsi="Garamond" w:cs="Arial"/>
          <w:sz w:val="24"/>
          <w:szCs w:val="24"/>
        </w:rPr>
        <w:t>qualquer</w:t>
      </w:r>
      <w:r w:rsidR="00D01B8C" w:rsidRPr="003A1174">
        <w:rPr>
          <w:rFonts w:ascii="Garamond" w:hAnsi="Garamond" w:cs="Arial"/>
          <w:sz w:val="24"/>
          <w:szCs w:val="24"/>
        </w:rPr>
        <w:t xml:space="preserve"> o</w:t>
      </w:r>
      <w:r w:rsidRPr="003A1174">
        <w:rPr>
          <w:rFonts w:ascii="Garamond" w:hAnsi="Garamond" w:cs="Arial"/>
          <w:sz w:val="24"/>
          <w:szCs w:val="24"/>
        </w:rPr>
        <w:t>u</w:t>
      </w:r>
      <w:r w:rsidR="00D01B8C" w:rsidRPr="003A1174">
        <w:rPr>
          <w:rFonts w:ascii="Garamond" w:hAnsi="Garamond" w:cs="Arial"/>
          <w:sz w:val="24"/>
          <w:szCs w:val="24"/>
        </w:rPr>
        <w:t xml:space="preserve">tra </w:t>
      </w:r>
      <w:r w:rsidR="003F012B" w:rsidRPr="003A1174">
        <w:rPr>
          <w:rFonts w:ascii="Garamond" w:hAnsi="Garamond" w:cs="Arial"/>
          <w:sz w:val="24"/>
          <w:szCs w:val="24"/>
        </w:rPr>
        <w:t>resolução</w:t>
      </w:r>
      <w:r w:rsidR="00D01B8C" w:rsidRPr="003A1174">
        <w:rPr>
          <w:rFonts w:ascii="Garamond" w:hAnsi="Garamond" w:cs="Arial"/>
          <w:sz w:val="24"/>
          <w:szCs w:val="24"/>
        </w:rPr>
        <w:t xml:space="preserve"> </w:t>
      </w:r>
      <w:r w:rsidRPr="003A1174">
        <w:rPr>
          <w:rFonts w:ascii="Garamond" w:hAnsi="Garamond" w:cs="Arial"/>
          <w:sz w:val="24"/>
          <w:szCs w:val="24"/>
        </w:rPr>
        <w:t>o</w:t>
      </w:r>
      <w:r w:rsidR="00D01B8C" w:rsidRPr="003A1174">
        <w:rPr>
          <w:rFonts w:ascii="Garamond" w:hAnsi="Garamond" w:cs="Arial"/>
          <w:sz w:val="24"/>
          <w:szCs w:val="24"/>
        </w:rPr>
        <w:t>u orde</w:t>
      </w:r>
      <w:r w:rsidRPr="003A1174">
        <w:rPr>
          <w:rFonts w:ascii="Garamond" w:hAnsi="Garamond" w:cs="Arial"/>
          <w:sz w:val="24"/>
          <w:szCs w:val="24"/>
        </w:rPr>
        <w:t>m proferida pelo</w:t>
      </w:r>
      <w:r w:rsidR="00D01B8C" w:rsidRPr="003A1174">
        <w:rPr>
          <w:rFonts w:ascii="Garamond" w:hAnsi="Garamond" w:cs="Arial"/>
          <w:sz w:val="24"/>
          <w:szCs w:val="24"/>
        </w:rPr>
        <w:t xml:space="preserve"> Tribunal de </w:t>
      </w:r>
      <w:r w:rsidR="004C1496" w:rsidRPr="003A1174">
        <w:rPr>
          <w:rFonts w:ascii="Garamond" w:hAnsi="Garamond" w:cs="Arial"/>
          <w:sz w:val="24"/>
          <w:szCs w:val="24"/>
        </w:rPr>
        <w:t>Primeira</w:t>
      </w:r>
      <w:r w:rsidR="00D01B8C" w:rsidRPr="003A1174">
        <w:rPr>
          <w:rFonts w:ascii="Garamond" w:hAnsi="Garamond" w:cs="Arial"/>
          <w:sz w:val="24"/>
          <w:szCs w:val="24"/>
        </w:rPr>
        <w:t xml:space="preserve"> </w:t>
      </w:r>
      <w:r w:rsidR="00FB09CA" w:rsidRPr="003A1174">
        <w:rPr>
          <w:rFonts w:ascii="Garamond" w:hAnsi="Garamond" w:cs="Arial"/>
          <w:sz w:val="24"/>
          <w:szCs w:val="24"/>
        </w:rPr>
        <w:t>Instância</w:t>
      </w:r>
      <w:r w:rsidR="00D01B8C" w:rsidRPr="003A1174">
        <w:rPr>
          <w:rFonts w:ascii="Garamond" w:hAnsi="Garamond" w:cs="Arial"/>
          <w:sz w:val="24"/>
          <w:szCs w:val="24"/>
        </w:rPr>
        <w:t>.</w:t>
      </w:r>
      <w:r w:rsidR="00D01B8C" w:rsidRPr="003A1174">
        <w:rPr>
          <w:rStyle w:val="Refdenotaalpie"/>
          <w:rFonts w:ascii="Garamond" w:hAnsi="Garamond" w:cs="Arial"/>
          <w:sz w:val="24"/>
          <w:szCs w:val="24"/>
        </w:rPr>
        <w:footnoteReference w:id="83"/>
      </w:r>
    </w:p>
    <w:p w:rsidR="00D01B8C" w:rsidRPr="003A1174" w:rsidRDefault="00D01B8C"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Por último, </w:t>
      </w:r>
      <w:r w:rsidR="008B0956" w:rsidRPr="003A1174">
        <w:rPr>
          <w:rFonts w:ascii="Garamond" w:hAnsi="Garamond" w:cs="Arial"/>
          <w:sz w:val="24"/>
          <w:szCs w:val="24"/>
        </w:rPr>
        <w:t>temos</w:t>
      </w:r>
      <w:r w:rsidRPr="003A1174">
        <w:rPr>
          <w:rFonts w:ascii="Garamond" w:hAnsi="Garamond" w:cs="Arial"/>
          <w:sz w:val="24"/>
          <w:szCs w:val="24"/>
        </w:rPr>
        <w:t xml:space="preserve"> </w:t>
      </w:r>
      <w:r w:rsidR="009445A0" w:rsidRPr="003A1174">
        <w:rPr>
          <w:rFonts w:ascii="Garamond" w:hAnsi="Garamond" w:cs="Arial"/>
          <w:sz w:val="24"/>
          <w:szCs w:val="24"/>
        </w:rPr>
        <w:t>o</w:t>
      </w:r>
      <w:r w:rsidRPr="003A1174">
        <w:rPr>
          <w:rFonts w:ascii="Garamond" w:hAnsi="Garamond" w:cs="Arial"/>
          <w:sz w:val="24"/>
          <w:szCs w:val="24"/>
        </w:rPr>
        <w:t xml:space="preserve"> Tribunal Supremo de </w:t>
      </w:r>
      <w:r w:rsidR="0017447A" w:rsidRPr="003A1174">
        <w:rPr>
          <w:rFonts w:ascii="Garamond" w:hAnsi="Garamond" w:cs="Arial"/>
          <w:sz w:val="24"/>
          <w:szCs w:val="24"/>
        </w:rPr>
        <w:t>Porto</w:t>
      </w:r>
      <w:r w:rsidRPr="003A1174">
        <w:rPr>
          <w:rFonts w:ascii="Garamond" w:hAnsi="Garamond" w:cs="Arial"/>
          <w:sz w:val="24"/>
          <w:szCs w:val="24"/>
        </w:rPr>
        <w:t xml:space="preserve"> Rico</w:t>
      </w:r>
      <w:r w:rsidR="008B0956" w:rsidRPr="003A1174">
        <w:rPr>
          <w:rFonts w:ascii="Garamond" w:hAnsi="Garamond" w:cs="Arial"/>
          <w:sz w:val="24"/>
          <w:szCs w:val="24"/>
        </w:rPr>
        <w:t xml:space="preserve">, </w:t>
      </w:r>
      <w:r w:rsidR="00FB09CA" w:rsidRPr="003A1174">
        <w:rPr>
          <w:rFonts w:ascii="Garamond" w:hAnsi="Garamond" w:cs="Arial"/>
          <w:sz w:val="24"/>
          <w:szCs w:val="24"/>
        </w:rPr>
        <w:t>composto</w:t>
      </w:r>
      <w:r w:rsidR="008B0956" w:rsidRPr="003A1174">
        <w:rPr>
          <w:rFonts w:ascii="Garamond" w:hAnsi="Garamond" w:cs="Arial"/>
          <w:sz w:val="24"/>
          <w:szCs w:val="24"/>
        </w:rPr>
        <w:t xml:space="preserve"> por</w:t>
      </w:r>
      <w:r w:rsidRPr="003A1174">
        <w:rPr>
          <w:rFonts w:ascii="Garamond" w:hAnsi="Garamond" w:cs="Arial"/>
          <w:sz w:val="24"/>
          <w:szCs w:val="24"/>
        </w:rPr>
        <w:t xml:space="preserve"> u</w:t>
      </w:r>
      <w:r w:rsidR="009445A0" w:rsidRPr="003A1174">
        <w:rPr>
          <w:rFonts w:ascii="Garamond" w:hAnsi="Garamond" w:cs="Arial"/>
          <w:sz w:val="24"/>
          <w:szCs w:val="24"/>
        </w:rPr>
        <w:t>m</w:t>
      </w:r>
      <w:r w:rsidR="008B0956" w:rsidRPr="003A1174">
        <w:rPr>
          <w:rFonts w:ascii="Garamond" w:hAnsi="Garamond" w:cs="Arial"/>
          <w:sz w:val="24"/>
          <w:szCs w:val="24"/>
        </w:rPr>
        <w:t>a</w:t>
      </w:r>
      <w:r w:rsidRPr="003A1174">
        <w:rPr>
          <w:rFonts w:ascii="Garamond" w:hAnsi="Garamond" w:cs="Arial"/>
          <w:sz w:val="24"/>
          <w:szCs w:val="24"/>
        </w:rPr>
        <w:t xml:space="preserve"> </w:t>
      </w:r>
      <w:r w:rsidR="00BA3CCE" w:rsidRPr="003A1174">
        <w:rPr>
          <w:rFonts w:ascii="Garamond" w:hAnsi="Garamond" w:cs="Arial"/>
          <w:sz w:val="24"/>
          <w:szCs w:val="24"/>
        </w:rPr>
        <w:t>Juíza</w:t>
      </w:r>
      <w:r w:rsidRPr="003A1174">
        <w:rPr>
          <w:rFonts w:ascii="Garamond" w:hAnsi="Garamond" w:cs="Arial"/>
          <w:sz w:val="24"/>
          <w:szCs w:val="24"/>
        </w:rPr>
        <w:t xml:space="preserve"> President</w:t>
      </w:r>
      <w:r w:rsidR="00BF36B3">
        <w:rPr>
          <w:rFonts w:ascii="Garamond" w:hAnsi="Garamond" w:cs="Arial"/>
          <w:sz w:val="24"/>
          <w:szCs w:val="24"/>
        </w:rPr>
        <w:t>e</w:t>
      </w:r>
      <w:r w:rsidRPr="003A1174">
        <w:rPr>
          <w:rFonts w:ascii="Garamond" w:hAnsi="Garamond" w:cs="Arial"/>
          <w:sz w:val="24"/>
          <w:szCs w:val="24"/>
        </w:rPr>
        <w:t xml:space="preserve"> o</w:t>
      </w:r>
      <w:r w:rsidR="009445A0" w:rsidRPr="003A1174">
        <w:rPr>
          <w:rFonts w:ascii="Garamond" w:hAnsi="Garamond" w:cs="Arial"/>
          <w:sz w:val="24"/>
          <w:szCs w:val="24"/>
        </w:rPr>
        <w:t>u</w:t>
      </w:r>
      <w:r w:rsidRPr="003A1174">
        <w:rPr>
          <w:rFonts w:ascii="Garamond" w:hAnsi="Garamond" w:cs="Arial"/>
          <w:sz w:val="24"/>
          <w:szCs w:val="24"/>
        </w:rPr>
        <w:t xml:space="preserve"> </w:t>
      </w:r>
      <w:r w:rsidR="00253B1D" w:rsidRPr="003A1174">
        <w:rPr>
          <w:rFonts w:ascii="Garamond" w:hAnsi="Garamond" w:cs="Arial"/>
          <w:sz w:val="24"/>
          <w:szCs w:val="24"/>
        </w:rPr>
        <w:t>Juiz</w:t>
      </w:r>
      <w:r w:rsidR="009445A0" w:rsidRPr="003A1174">
        <w:rPr>
          <w:rFonts w:ascii="Garamond" w:hAnsi="Garamond" w:cs="Arial"/>
          <w:sz w:val="24"/>
          <w:szCs w:val="24"/>
        </w:rPr>
        <w:t xml:space="preserve"> Presidente e</w:t>
      </w:r>
      <w:r w:rsidRPr="003A1174">
        <w:rPr>
          <w:rFonts w:ascii="Garamond" w:hAnsi="Garamond" w:cs="Arial"/>
          <w:sz w:val="24"/>
          <w:szCs w:val="24"/>
        </w:rPr>
        <w:t xml:space="preserve"> de o</w:t>
      </w:r>
      <w:r w:rsidR="009445A0" w:rsidRPr="003A1174">
        <w:rPr>
          <w:rFonts w:ascii="Garamond" w:hAnsi="Garamond" w:cs="Arial"/>
          <w:sz w:val="24"/>
          <w:szCs w:val="24"/>
        </w:rPr>
        <w:t xml:space="preserve">ito </w:t>
      </w:r>
      <w:r w:rsidRPr="003A1174">
        <w:rPr>
          <w:rFonts w:ascii="Garamond" w:hAnsi="Garamond" w:cs="Arial"/>
          <w:sz w:val="24"/>
          <w:szCs w:val="24"/>
        </w:rPr>
        <w:t xml:space="preserve">(8) </w:t>
      </w:r>
      <w:r w:rsidR="00BA3CCE" w:rsidRPr="003A1174">
        <w:rPr>
          <w:rFonts w:ascii="Garamond" w:hAnsi="Garamond" w:cs="Arial"/>
          <w:sz w:val="24"/>
          <w:szCs w:val="24"/>
        </w:rPr>
        <w:t>Juízas</w:t>
      </w:r>
      <w:r w:rsidRPr="003A1174">
        <w:rPr>
          <w:rFonts w:ascii="Garamond" w:hAnsi="Garamond" w:cs="Arial"/>
          <w:sz w:val="24"/>
          <w:szCs w:val="24"/>
        </w:rPr>
        <w:t xml:space="preserve"> o</w:t>
      </w:r>
      <w:r w:rsidR="009445A0" w:rsidRPr="003A1174">
        <w:rPr>
          <w:rFonts w:ascii="Garamond" w:hAnsi="Garamond" w:cs="Arial"/>
          <w:sz w:val="24"/>
          <w:szCs w:val="24"/>
        </w:rPr>
        <w:t>u</w:t>
      </w:r>
      <w:r w:rsidRPr="003A1174">
        <w:rPr>
          <w:rFonts w:ascii="Garamond" w:hAnsi="Garamond" w:cs="Arial"/>
          <w:sz w:val="24"/>
          <w:szCs w:val="24"/>
        </w:rPr>
        <w:t xml:space="preserve"> </w:t>
      </w:r>
      <w:r w:rsidR="00BA3CCE" w:rsidRPr="003A1174">
        <w:rPr>
          <w:rFonts w:ascii="Garamond" w:hAnsi="Garamond" w:cs="Arial"/>
          <w:sz w:val="24"/>
          <w:szCs w:val="24"/>
        </w:rPr>
        <w:t>Juízes</w:t>
      </w:r>
      <w:r w:rsidR="009445A0" w:rsidRPr="003A1174">
        <w:rPr>
          <w:rFonts w:ascii="Garamond" w:hAnsi="Garamond" w:cs="Arial"/>
          <w:sz w:val="24"/>
          <w:szCs w:val="24"/>
        </w:rPr>
        <w:t xml:space="preserve"> </w:t>
      </w:r>
      <w:r w:rsidR="00800D59" w:rsidRPr="003A1174">
        <w:rPr>
          <w:rFonts w:ascii="Garamond" w:hAnsi="Garamond" w:cs="Arial"/>
          <w:sz w:val="24"/>
          <w:szCs w:val="24"/>
        </w:rPr>
        <w:t>Associado</w:t>
      </w:r>
      <w:r w:rsidRPr="003A1174">
        <w:rPr>
          <w:rFonts w:ascii="Garamond" w:hAnsi="Garamond" w:cs="Arial"/>
          <w:sz w:val="24"/>
          <w:szCs w:val="24"/>
        </w:rPr>
        <w:t>s.</w:t>
      </w:r>
      <w:r w:rsidRPr="003A1174">
        <w:rPr>
          <w:rStyle w:val="Refdenotaalpie"/>
          <w:rFonts w:ascii="Garamond" w:hAnsi="Garamond" w:cs="Arial"/>
          <w:sz w:val="24"/>
          <w:szCs w:val="24"/>
        </w:rPr>
        <w:footnoteReference w:id="84"/>
      </w:r>
      <w:r w:rsidRPr="003A1174">
        <w:rPr>
          <w:rFonts w:ascii="Garamond" w:hAnsi="Garamond" w:cs="Arial"/>
          <w:sz w:val="24"/>
          <w:szCs w:val="24"/>
        </w:rPr>
        <w:t xml:space="preserve"> </w:t>
      </w:r>
      <w:r w:rsidR="009445A0" w:rsidRPr="003A1174">
        <w:rPr>
          <w:rFonts w:ascii="Garamond" w:hAnsi="Garamond" w:cs="Arial"/>
          <w:sz w:val="24"/>
          <w:szCs w:val="24"/>
        </w:rPr>
        <w:t>O</w:t>
      </w:r>
      <w:r w:rsidRPr="003A1174">
        <w:rPr>
          <w:rFonts w:ascii="Garamond" w:hAnsi="Garamond" w:cs="Arial"/>
          <w:sz w:val="24"/>
          <w:szCs w:val="24"/>
        </w:rPr>
        <w:t xml:space="preserve"> Tribunal Supremo interv</w:t>
      </w:r>
      <w:r w:rsidR="009445A0" w:rsidRPr="003A1174">
        <w:rPr>
          <w:rFonts w:ascii="Garamond" w:hAnsi="Garamond" w:cs="Arial"/>
          <w:sz w:val="24"/>
          <w:szCs w:val="24"/>
        </w:rPr>
        <w:t>i</w:t>
      </w:r>
      <w:r w:rsidRPr="003A1174">
        <w:rPr>
          <w:rFonts w:ascii="Garamond" w:hAnsi="Garamond" w:cs="Arial"/>
          <w:sz w:val="24"/>
          <w:szCs w:val="24"/>
        </w:rPr>
        <w:t xml:space="preserve">rá </w:t>
      </w:r>
      <w:r w:rsidR="009445A0" w:rsidRPr="003A1174">
        <w:rPr>
          <w:rFonts w:ascii="Garamond" w:hAnsi="Garamond" w:cs="Arial"/>
          <w:sz w:val="24"/>
          <w:szCs w:val="24"/>
        </w:rPr>
        <w:t>n</w:t>
      </w:r>
      <w:r w:rsidRPr="003A1174">
        <w:rPr>
          <w:rFonts w:ascii="Garamond" w:hAnsi="Garamond" w:cs="Arial"/>
          <w:sz w:val="24"/>
          <w:szCs w:val="24"/>
        </w:rPr>
        <w:t xml:space="preserve">as </w:t>
      </w:r>
      <w:r w:rsidR="006F7276" w:rsidRPr="003A1174">
        <w:rPr>
          <w:rFonts w:ascii="Garamond" w:hAnsi="Garamond" w:cs="Arial"/>
          <w:sz w:val="24"/>
          <w:szCs w:val="24"/>
        </w:rPr>
        <w:t>seguintes</w:t>
      </w:r>
      <w:r w:rsidRPr="003A1174">
        <w:rPr>
          <w:rFonts w:ascii="Garamond" w:hAnsi="Garamond" w:cs="Arial"/>
          <w:sz w:val="24"/>
          <w:szCs w:val="24"/>
        </w:rPr>
        <w:t xml:space="preserve"> </w:t>
      </w:r>
      <w:r w:rsidR="00FB09CA" w:rsidRPr="003A1174">
        <w:rPr>
          <w:rFonts w:ascii="Garamond" w:hAnsi="Garamond" w:cs="Arial"/>
          <w:sz w:val="24"/>
          <w:szCs w:val="24"/>
        </w:rPr>
        <w:t>instância</w:t>
      </w:r>
      <w:r w:rsidRPr="003A1174">
        <w:rPr>
          <w:rFonts w:ascii="Garamond" w:hAnsi="Garamond" w:cs="Arial"/>
          <w:sz w:val="24"/>
          <w:szCs w:val="24"/>
        </w:rPr>
        <w:t xml:space="preserve">s, </w:t>
      </w:r>
      <w:r w:rsidR="009445A0" w:rsidRPr="003A1174">
        <w:rPr>
          <w:rFonts w:ascii="Garamond" w:hAnsi="Garamond" w:cs="Arial"/>
          <w:sz w:val="24"/>
          <w:szCs w:val="24"/>
        </w:rPr>
        <w:t xml:space="preserve">mas sem se </w:t>
      </w:r>
      <w:r w:rsidRPr="003A1174">
        <w:rPr>
          <w:rFonts w:ascii="Garamond" w:hAnsi="Garamond" w:cs="Arial"/>
          <w:sz w:val="24"/>
          <w:szCs w:val="24"/>
        </w:rPr>
        <w:t>limita</w:t>
      </w:r>
      <w:r w:rsidR="008B0956" w:rsidRPr="003A1174">
        <w:rPr>
          <w:rFonts w:ascii="Garamond" w:hAnsi="Garamond" w:cs="Arial"/>
          <w:sz w:val="24"/>
          <w:szCs w:val="24"/>
        </w:rPr>
        <w:t>r</w:t>
      </w:r>
      <w:r w:rsidRPr="003A1174">
        <w:rPr>
          <w:rFonts w:ascii="Garamond" w:hAnsi="Garamond" w:cs="Arial"/>
          <w:sz w:val="24"/>
          <w:szCs w:val="24"/>
        </w:rPr>
        <w:t xml:space="preserve"> a estas: </w:t>
      </w:r>
    </w:p>
    <w:p w:rsidR="00D01B8C" w:rsidRPr="003A1174" w:rsidRDefault="00D01B8C" w:rsidP="00CC529A">
      <w:pPr>
        <w:spacing w:before="240" w:line="240" w:lineRule="auto"/>
        <w:ind w:left="708"/>
        <w:jc w:val="both"/>
        <w:rPr>
          <w:rFonts w:ascii="Garamond" w:hAnsi="Garamond" w:cs="Arial"/>
          <w:sz w:val="24"/>
          <w:szCs w:val="24"/>
        </w:rPr>
      </w:pPr>
      <w:r w:rsidRPr="003A1174">
        <w:rPr>
          <w:rFonts w:ascii="Garamond" w:hAnsi="Garamond" w:cs="Arial"/>
          <w:sz w:val="24"/>
          <w:szCs w:val="24"/>
        </w:rPr>
        <w:t xml:space="preserve">(i) </w:t>
      </w:r>
      <w:r w:rsidR="009445A0" w:rsidRPr="003A1174">
        <w:rPr>
          <w:rFonts w:ascii="Garamond" w:hAnsi="Garamond" w:cs="Arial"/>
          <w:sz w:val="24"/>
          <w:szCs w:val="24"/>
        </w:rPr>
        <w:t>quando se</w:t>
      </w:r>
      <w:r w:rsidRPr="003A1174">
        <w:rPr>
          <w:rFonts w:ascii="Garamond" w:hAnsi="Garamond" w:cs="Arial"/>
          <w:sz w:val="24"/>
          <w:szCs w:val="24"/>
        </w:rPr>
        <w:t xml:space="preserve"> </w:t>
      </w:r>
      <w:r w:rsidR="009445A0" w:rsidRPr="003A1174">
        <w:rPr>
          <w:rFonts w:ascii="Garamond" w:hAnsi="Garamond" w:cs="Arial"/>
          <w:sz w:val="24"/>
          <w:szCs w:val="24"/>
        </w:rPr>
        <w:t>a</w:t>
      </w:r>
      <w:r w:rsidRPr="003A1174">
        <w:rPr>
          <w:rFonts w:ascii="Garamond" w:hAnsi="Garamond" w:cs="Arial"/>
          <w:sz w:val="24"/>
          <w:szCs w:val="24"/>
        </w:rPr>
        <w:t>presenta u</w:t>
      </w:r>
      <w:r w:rsidR="009445A0" w:rsidRPr="003A1174">
        <w:rPr>
          <w:rFonts w:ascii="Garamond" w:hAnsi="Garamond" w:cs="Arial"/>
          <w:sz w:val="24"/>
          <w:szCs w:val="24"/>
        </w:rPr>
        <w:t>m</w:t>
      </w:r>
      <w:r w:rsidRPr="003A1174">
        <w:rPr>
          <w:rFonts w:ascii="Garamond" w:hAnsi="Garamond" w:cs="Arial"/>
          <w:sz w:val="24"/>
          <w:szCs w:val="24"/>
        </w:rPr>
        <w:t xml:space="preserve"> recurso de </w:t>
      </w:r>
      <w:r w:rsidRPr="003A1174">
        <w:rPr>
          <w:rFonts w:ascii="Garamond" w:hAnsi="Garamond" w:cs="Arial"/>
          <w:i/>
          <w:sz w:val="24"/>
          <w:szCs w:val="24"/>
        </w:rPr>
        <w:t>hábeas corpus</w:t>
      </w:r>
      <w:r w:rsidRPr="003A1174">
        <w:rPr>
          <w:rFonts w:ascii="Garamond" w:hAnsi="Garamond" w:cs="Arial"/>
          <w:sz w:val="24"/>
          <w:szCs w:val="24"/>
        </w:rPr>
        <w:t>; (</w:t>
      </w:r>
      <w:proofErr w:type="gramStart"/>
      <w:r w:rsidRPr="003A1174">
        <w:rPr>
          <w:rFonts w:ascii="Garamond" w:hAnsi="Garamond" w:cs="Arial"/>
          <w:sz w:val="24"/>
          <w:szCs w:val="24"/>
        </w:rPr>
        <w:t>ii</w:t>
      </w:r>
      <w:proofErr w:type="gramEnd"/>
      <w:r w:rsidRPr="003A1174">
        <w:rPr>
          <w:rFonts w:ascii="Garamond" w:hAnsi="Garamond" w:cs="Arial"/>
          <w:sz w:val="24"/>
          <w:szCs w:val="24"/>
        </w:rPr>
        <w:t xml:space="preserve">) </w:t>
      </w:r>
      <w:r w:rsidR="00863197" w:rsidRPr="003A1174">
        <w:rPr>
          <w:rFonts w:ascii="Garamond" w:hAnsi="Garamond" w:cs="Arial"/>
          <w:sz w:val="24"/>
          <w:szCs w:val="24"/>
        </w:rPr>
        <w:t>quando</w:t>
      </w:r>
      <w:r w:rsidRPr="003A1174">
        <w:rPr>
          <w:rFonts w:ascii="Garamond" w:hAnsi="Garamond" w:cs="Arial"/>
          <w:sz w:val="24"/>
          <w:szCs w:val="24"/>
        </w:rPr>
        <w:t xml:space="preserve"> </w:t>
      </w:r>
      <w:r w:rsidR="009445A0" w:rsidRPr="003A1174">
        <w:rPr>
          <w:rFonts w:ascii="Garamond" w:hAnsi="Garamond" w:cs="Arial"/>
          <w:sz w:val="24"/>
          <w:szCs w:val="24"/>
        </w:rPr>
        <w:t>o</w:t>
      </w:r>
      <w:r w:rsidRPr="003A1174">
        <w:rPr>
          <w:rFonts w:ascii="Garamond" w:hAnsi="Garamond" w:cs="Arial"/>
          <w:sz w:val="24"/>
          <w:szCs w:val="24"/>
        </w:rPr>
        <w:t xml:space="preserve"> Tribunal de Apela</w:t>
      </w:r>
      <w:r w:rsidR="009445A0" w:rsidRPr="003A1174">
        <w:rPr>
          <w:rFonts w:ascii="Garamond" w:hAnsi="Garamond" w:cs="Arial"/>
          <w:sz w:val="24"/>
          <w:szCs w:val="24"/>
        </w:rPr>
        <w:t xml:space="preserve">ção declara </w:t>
      </w:r>
      <w:r w:rsidRPr="003A1174">
        <w:rPr>
          <w:rFonts w:ascii="Garamond" w:hAnsi="Garamond" w:cs="Arial"/>
          <w:sz w:val="24"/>
          <w:szCs w:val="24"/>
        </w:rPr>
        <w:t xml:space="preserve">a </w:t>
      </w:r>
      <w:r w:rsidR="009445A0" w:rsidRPr="003A1174">
        <w:rPr>
          <w:rFonts w:ascii="Garamond" w:hAnsi="Garamond" w:cs="Arial"/>
          <w:sz w:val="24"/>
          <w:szCs w:val="24"/>
        </w:rPr>
        <w:t>inconstitucionalidade</w:t>
      </w:r>
      <w:r w:rsidRPr="003A1174">
        <w:rPr>
          <w:rFonts w:ascii="Garamond" w:hAnsi="Garamond" w:cs="Arial"/>
          <w:sz w:val="24"/>
          <w:szCs w:val="24"/>
        </w:rPr>
        <w:t xml:space="preserve"> de u</w:t>
      </w:r>
      <w:r w:rsidR="009445A0" w:rsidRPr="003A1174">
        <w:rPr>
          <w:rFonts w:ascii="Garamond" w:hAnsi="Garamond" w:cs="Arial"/>
          <w:sz w:val="24"/>
          <w:szCs w:val="24"/>
        </w:rPr>
        <w:t>m</w:t>
      </w:r>
      <w:r w:rsidRPr="003A1174">
        <w:rPr>
          <w:rFonts w:ascii="Garamond" w:hAnsi="Garamond" w:cs="Arial"/>
          <w:sz w:val="24"/>
          <w:szCs w:val="24"/>
        </w:rPr>
        <w:t xml:space="preserve">a </w:t>
      </w:r>
      <w:r w:rsidR="00D15AFF" w:rsidRPr="003A1174">
        <w:rPr>
          <w:rFonts w:ascii="Garamond" w:hAnsi="Garamond" w:cs="Arial"/>
          <w:sz w:val="24"/>
          <w:szCs w:val="24"/>
        </w:rPr>
        <w:t>lei</w:t>
      </w:r>
      <w:r w:rsidRPr="003A1174">
        <w:rPr>
          <w:rFonts w:ascii="Garamond" w:hAnsi="Garamond" w:cs="Arial"/>
          <w:sz w:val="24"/>
          <w:szCs w:val="24"/>
        </w:rPr>
        <w:t xml:space="preserve">, </w:t>
      </w:r>
      <w:r w:rsidR="003F012B" w:rsidRPr="003A1174">
        <w:rPr>
          <w:rFonts w:ascii="Garamond" w:hAnsi="Garamond" w:cs="Arial"/>
          <w:sz w:val="24"/>
          <w:szCs w:val="24"/>
        </w:rPr>
        <w:t>resolução</w:t>
      </w:r>
      <w:r w:rsidRPr="003A1174">
        <w:rPr>
          <w:rFonts w:ascii="Garamond" w:hAnsi="Garamond" w:cs="Arial"/>
          <w:sz w:val="24"/>
          <w:szCs w:val="24"/>
        </w:rPr>
        <w:t xml:space="preserve"> conjunta, </w:t>
      </w:r>
      <w:r w:rsidR="003F012B" w:rsidRPr="003A1174">
        <w:rPr>
          <w:rFonts w:ascii="Garamond" w:hAnsi="Garamond" w:cs="Arial"/>
          <w:sz w:val="24"/>
          <w:szCs w:val="24"/>
        </w:rPr>
        <w:t>resolução</w:t>
      </w:r>
      <w:r w:rsidR="009445A0" w:rsidRPr="003A1174">
        <w:rPr>
          <w:rFonts w:ascii="Garamond" w:hAnsi="Garamond" w:cs="Arial"/>
          <w:sz w:val="24"/>
          <w:szCs w:val="24"/>
        </w:rPr>
        <w:t xml:space="preserve"> conc</w:t>
      </w:r>
      <w:r w:rsidR="00CC529A" w:rsidRPr="003A1174">
        <w:rPr>
          <w:rFonts w:ascii="Garamond" w:hAnsi="Garamond" w:cs="Arial"/>
          <w:sz w:val="24"/>
          <w:szCs w:val="24"/>
        </w:rPr>
        <w:t>o</w:t>
      </w:r>
      <w:r w:rsidR="009445A0" w:rsidRPr="003A1174">
        <w:rPr>
          <w:rFonts w:ascii="Garamond" w:hAnsi="Garamond" w:cs="Arial"/>
          <w:sz w:val="24"/>
          <w:szCs w:val="24"/>
        </w:rPr>
        <w:t>rrente, regr</w:t>
      </w:r>
      <w:r w:rsidRPr="003A1174">
        <w:rPr>
          <w:rFonts w:ascii="Garamond" w:hAnsi="Garamond" w:cs="Arial"/>
          <w:sz w:val="24"/>
          <w:szCs w:val="24"/>
        </w:rPr>
        <w:t>a o</w:t>
      </w:r>
      <w:r w:rsidR="009445A0" w:rsidRPr="003A1174">
        <w:rPr>
          <w:rFonts w:ascii="Garamond" w:hAnsi="Garamond" w:cs="Arial"/>
          <w:sz w:val="24"/>
          <w:szCs w:val="24"/>
        </w:rPr>
        <w:t>u</w:t>
      </w:r>
      <w:r w:rsidRPr="003A1174">
        <w:rPr>
          <w:rFonts w:ascii="Garamond" w:hAnsi="Garamond" w:cs="Arial"/>
          <w:sz w:val="24"/>
          <w:szCs w:val="24"/>
        </w:rPr>
        <w:t xml:space="preserve"> </w:t>
      </w:r>
      <w:r w:rsidR="00CD707D" w:rsidRPr="003A1174">
        <w:rPr>
          <w:rFonts w:ascii="Garamond" w:hAnsi="Garamond" w:cs="Arial"/>
          <w:sz w:val="24"/>
          <w:szCs w:val="24"/>
        </w:rPr>
        <w:t>regulamento</w:t>
      </w:r>
      <w:r w:rsidR="009445A0" w:rsidRPr="003A1174">
        <w:rPr>
          <w:rFonts w:ascii="Garamond" w:hAnsi="Garamond" w:cs="Arial"/>
          <w:sz w:val="24"/>
          <w:szCs w:val="24"/>
        </w:rPr>
        <w:t xml:space="preserve"> de um</w:t>
      </w:r>
      <w:r w:rsidR="00CC529A" w:rsidRPr="003A1174">
        <w:rPr>
          <w:rFonts w:ascii="Garamond" w:hAnsi="Garamond" w:cs="Arial"/>
          <w:sz w:val="24"/>
          <w:szCs w:val="24"/>
        </w:rPr>
        <w:t xml:space="preserve"> órgão ou delegação </w:t>
      </w:r>
      <w:r w:rsidRPr="003A1174">
        <w:rPr>
          <w:rFonts w:ascii="Garamond" w:hAnsi="Garamond" w:cs="Arial"/>
          <w:sz w:val="24"/>
          <w:szCs w:val="24"/>
        </w:rPr>
        <w:t xml:space="preserve">pública </w:t>
      </w:r>
      <w:r w:rsidR="00CC529A" w:rsidRPr="003A1174">
        <w:rPr>
          <w:rFonts w:ascii="Garamond" w:hAnsi="Garamond" w:cs="Arial"/>
          <w:sz w:val="24"/>
          <w:szCs w:val="24"/>
        </w:rPr>
        <w:t>o</w:t>
      </w:r>
      <w:r w:rsidRPr="003A1174">
        <w:rPr>
          <w:rFonts w:ascii="Garamond" w:hAnsi="Garamond" w:cs="Arial"/>
          <w:sz w:val="24"/>
          <w:szCs w:val="24"/>
        </w:rPr>
        <w:t xml:space="preserve">u </w:t>
      </w:r>
      <w:r w:rsidR="00CC529A" w:rsidRPr="003A1174">
        <w:rPr>
          <w:rFonts w:ascii="Garamond" w:hAnsi="Garamond" w:cs="Arial"/>
          <w:sz w:val="24"/>
          <w:szCs w:val="24"/>
        </w:rPr>
        <w:t xml:space="preserve">portaria </w:t>
      </w:r>
      <w:r w:rsidRPr="003A1174">
        <w:rPr>
          <w:rFonts w:ascii="Garamond" w:hAnsi="Garamond" w:cs="Arial"/>
          <w:sz w:val="24"/>
          <w:szCs w:val="24"/>
        </w:rPr>
        <w:t>municipal, a</w:t>
      </w:r>
      <w:r w:rsidR="00CC529A" w:rsidRPr="003A1174">
        <w:rPr>
          <w:rFonts w:ascii="Garamond" w:hAnsi="Garamond" w:cs="Arial"/>
          <w:sz w:val="24"/>
          <w:szCs w:val="24"/>
        </w:rPr>
        <w:t xml:space="preserve">o abrigo da </w:t>
      </w:r>
      <w:r w:rsidR="00E150E9" w:rsidRPr="003A1174">
        <w:rPr>
          <w:rFonts w:ascii="Garamond" w:hAnsi="Garamond" w:cs="Arial"/>
          <w:sz w:val="24"/>
          <w:szCs w:val="24"/>
        </w:rPr>
        <w:t>Constituição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Estados Unidos de América o</w:t>
      </w:r>
      <w:r w:rsidR="00CC529A" w:rsidRPr="003A1174">
        <w:rPr>
          <w:rFonts w:ascii="Garamond" w:hAnsi="Garamond" w:cs="Arial"/>
          <w:sz w:val="24"/>
          <w:szCs w:val="24"/>
        </w:rPr>
        <w:t>u</w:t>
      </w:r>
      <w:r w:rsidRPr="003A1174">
        <w:rPr>
          <w:rFonts w:ascii="Garamond" w:hAnsi="Garamond" w:cs="Arial"/>
          <w:sz w:val="24"/>
          <w:szCs w:val="24"/>
        </w:rPr>
        <w:t xml:space="preserve"> da </w:t>
      </w:r>
      <w:r w:rsidR="00E150E9" w:rsidRPr="003A1174">
        <w:rPr>
          <w:rFonts w:ascii="Garamond" w:hAnsi="Garamond" w:cs="Arial"/>
          <w:sz w:val="24"/>
          <w:szCs w:val="24"/>
        </w:rPr>
        <w:t>Constituição</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Estado </w:t>
      </w:r>
      <w:r w:rsidR="00AF192F" w:rsidRPr="003A1174">
        <w:rPr>
          <w:rFonts w:ascii="Garamond" w:hAnsi="Garamond" w:cs="Arial"/>
          <w:sz w:val="24"/>
          <w:szCs w:val="24"/>
        </w:rPr>
        <w:t>Livre</w:t>
      </w:r>
      <w:r w:rsidRPr="003A1174">
        <w:rPr>
          <w:rFonts w:ascii="Garamond" w:hAnsi="Garamond" w:cs="Arial"/>
          <w:sz w:val="24"/>
          <w:szCs w:val="24"/>
        </w:rPr>
        <w:t xml:space="preserve"> </w:t>
      </w:r>
      <w:r w:rsidR="00800D59" w:rsidRPr="003A1174">
        <w:rPr>
          <w:rFonts w:ascii="Garamond" w:hAnsi="Garamond" w:cs="Arial"/>
          <w:sz w:val="24"/>
          <w:szCs w:val="24"/>
        </w:rPr>
        <w:t>Associado</w:t>
      </w:r>
      <w:r w:rsidRPr="003A1174">
        <w:rPr>
          <w:rFonts w:ascii="Garamond" w:hAnsi="Garamond" w:cs="Arial"/>
          <w:sz w:val="24"/>
          <w:szCs w:val="24"/>
        </w:rPr>
        <w:t xml:space="preserve"> de </w:t>
      </w:r>
      <w:r w:rsidR="0017447A" w:rsidRPr="003A1174">
        <w:rPr>
          <w:rFonts w:ascii="Garamond" w:hAnsi="Garamond" w:cs="Arial"/>
          <w:sz w:val="24"/>
          <w:szCs w:val="24"/>
        </w:rPr>
        <w:t>Porto</w:t>
      </w:r>
      <w:r w:rsidRPr="003A1174">
        <w:rPr>
          <w:rFonts w:ascii="Garamond" w:hAnsi="Garamond" w:cs="Arial"/>
          <w:sz w:val="24"/>
          <w:szCs w:val="24"/>
        </w:rPr>
        <w:t xml:space="preserve"> Rico; (iii) </w:t>
      </w:r>
      <w:r w:rsidR="00863197" w:rsidRPr="003A1174">
        <w:rPr>
          <w:rFonts w:ascii="Garamond" w:hAnsi="Garamond" w:cs="Arial"/>
          <w:sz w:val="24"/>
          <w:szCs w:val="24"/>
        </w:rPr>
        <w:t>quando</w:t>
      </w:r>
      <w:r w:rsidRPr="003A1174">
        <w:rPr>
          <w:rFonts w:ascii="Garamond" w:hAnsi="Garamond" w:cs="Arial"/>
          <w:sz w:val="24"/>
          <w:szCs w:val="24"/>
        </w:rPr>
        <w:t xml:space="preserve"> se </w:t>
      </w:r>
      <w:r w:rsidR="00CC529A" w:rsidRPr="003A1174">
        <w:rPr>
          <w:rFonts w:ascii="Garamond" w:hAnsi="Garamond" w:cs="Arial"/>
          <w:sz w:val="24"/>
          <w:szCs w:val="24"/>
        </w:rPr>
        <w:t xml:space="preserve">verificar </w:t>
      </w:r>
      <w:r w:rsidRPr="003A1174">
        <w:rPr>
          <w:rFonts w:ascii="Garamond" w:hAnsi="Garamond" w:cs="Arial"/>
          <w:sz w:val="24"/>
          <w:szCs w:val="24"/>
        </w:rPr>
        <w:t xml:space="preserve">a </w:t>
      </w:r>
      <w:r w:rsidR="007578C6" w:rsidRPr="003A1174">
        <w:rPr>
          <w:rFonts w:ascii="Garamond" w:hAnsi="Garamond" w:cs="Arial"/>
          <w:sz w:val="24"/>
          <w:szCs w:val="24"/>
        </w:rPr>
        <w:t>existência</w:t>
      </w:r>
      <w:r w:rsidRPr="003A1174">
        <w:rPr>
          <w:rFonts w:ascii="Garamond" w:hAnsi="Garamond" w:cs="Arial"/>
          <w:sz w:val="24"/>
          <w:szCs w:val="24"/>
        </w:rPr>
        <w:t xml:space="preserve"> de u</w:t>
      </w:r>
      <w:r w:rsidR="00CC529A" w:rsidRPr="003A1174">
        <w:rPr>
          <w:rFonts w:ascii="Garamond" w:hAnsi="Garamond" w:cs="Arial"/>
          <w:sz w:val="24"/>
          <w:szCs w:val="24"/>
        </w:rPr>
        <w:t>m</w:t>
      </w:r>
      <w:r w:rsidRPr="003A1174">
        <w:rPr>
          <w:rFonts w:ascii="Garamond" w:hAnsi="Garamond" w:cs="Arial"/>
          <w:sz w:val="24"/>
          <w:szCs w:val="24"/>
        </w:rPr>
        <w:t xml:space="preserve"> </w:t>
      </w:r>
      <w:r w:rsidR="00D15AFF" w:rsidRPr="003A1174">
        <w:rPr>
          <w:rFonts w:ascii="Garamond" w:hAnsi="Garamond" w:cs="Arial"/>
          <w:sz w:val="24"/>
          <w:szCs w:val="24"/>
        </w:rPr>
        <w:t>conflito</w:t>
      </w:r>
      <w:r w:rsidRPr="003A1174">
        <w:rPr>
          <w:rFonts w:ascii="Garamond" w:hAnsi="Garamond" w:cs="Arial"/>
          <w:sz w:val="24"/>
          <w:szCs w:val="24"/>
        </w:rPr>
        <w:t xml:space="preserve"> entre </w:t>
      </w:r>
      <w:r w:rsidR="00FC1F7F" w:rsidRPr="003A1174">
        <w:rPr>
          <w:rFonts w:ascii="Garamond" w:hAnsi="Garamond" w:cs="Arial"/>
          <w:sz w:val="24"/>
          <w:szCs w:val="24"/>
        </w:rPr>
        <w:t>sentença</w:t>
      </w:r>
      <w:r w:rsidRPr="003A1174">
        <w:rPr>
          <w:rFonts w:ascii="Garamond" w:hAnsi="Garamond" w:cs="Arial"/>
          <w:sz w:val="24"/>
          <w:szCs w:val="24"/>
        </w:rPr>
        <w:t xml:space="preserve">s </w:t>
      </w:r>
      <w:r w:rsidR="008A3DA2" w:rsidRPr="003A1174">
        <w:rPr>
          <w:rFonts w:ascii="Garamond" w:hAnsi="Garamond" w:cs="Arial"/>
          <w:sz w:val="24"/>
          <w:szCs w:val="24"/>
        </w:rPr>
        <w:t>do</w:t>
      </w:r>
      <w:r w:rsidRPr="003A1174">
        <w:rPr>
          <w:rFonts w:ascii="Garamond" w:hAnsi="Garamond" w:cs="Arial"/>
          <w:sz w:val="24"/>
          <w:szCs w:val="24"/>
        </w:rPr>
        <w:t xml:space="preserve"> Tribunal de Apela</w:t>
      </w:r>
      <w:r w:rsidR="00CC529A" w:rsidRPr="003A1174">
        <w:rPr>
          <w:rFonts w:ascii="Garamond" w:hAnsi="Garamond" w:cs="Arial"/>
          <w:sz w:val="24"/>
          <w:szCs w:val="24"/>
        </w:rPr>
        <w:t>ção em</w:t>
      </w:r>
      <w:r w:rsidRPr="003A1174">
        <w:rPr>
          <w:rFonts w:ascii="Garamond" w:hAnsi="Garamond" w:cs="Arial"/>
          <w:sz w:val="24"/>
          <w:szCs w:val="24"/>
        </w:rPr>
        <w:t xml:space="preserve"> casos apelados </w:t>
      </w:r>
      <w:r w:rsidR="00CC529A" w:rsidRPr="003A1174">
        <w:rPr>
          <w:rFonts w:ascii="Garamond" w:hAnsi="Garamond" w:cs="Arial"/>
          <w:sz w:val="24"/>
          <w:szCs w:val="24"/>
        </w:rPr>
        <w:t>per</w:t>
      </w:r>
      <w:r w:rsidRPr="003A1174">
        <w:rPr>
          <w:rFonts w:ascii="Garamond" w:hAnsi="Garamond" w:cs="Arial"/>
          <w:sz w:val="24"/>
          <w:szCs w:val="24"/>
        </w:rPr>
        <w:t>ante e</w:t>
      </w:r>
      <w:r w:rsidR="00CC529A" w:rsidRPr="003A1174">
        <w:rPr>
          <w:rFonts w:ascii="Garamond" w:hAnsi="Garamond" w:cs="Arial"/>
          <w:sz w:val="24"/>
          <w:szCs w:val="24"/>
        </w:rPr>
        <w:t>s</w:t>
      </w:r>
      <w:r w:rsidRPr="003A1174">
        <w:rPr>
          <w:rFonts w:ascii="Garamond" w:hAnsi="Garamond" w:cs="Arial"/>
          <w:sz w:val="24"/>
          <w:szCs w:val="24"/>
        </w:rPr>
        <w:t>se Tribunal; (iv) discr</w:t>
      </w:r>
      <w:r w:rsidR="00BF36B3">
        <w:rPr>
          <w:rFonts w:ascii="Garamond" w:hAnsi="Garamond" w:cs="Arial"/>
          <w:sz w:val="24"/>
          <w:szCs w:val="24"/>
        </w:rPr>
        <w:t>icionaria</w:t>
      </w:r>
      <w:r w:rsidR="00281C19">
        <w:rPr>
          <w:rFonts w:ascii="Garamond" w:hAnsi="Garamond" w:cs="Arial"/>
          <w:sz w:val="24"/>
          <w:szCs w:val="24"/>
        </w:rPr>
        <w:t>mente</w:t>
      </w:r>
      <w:r w:rsidRPr="003A1174">
        <w:rPr>
          <w:rFonts w:ascii="Garamond" w:hAnsi="Garamond" w:cs="Arial"/>
          <w:sz w:val="24"/>
          <w:szCs w:val="24"/>
        </w:rPr>
        <w:t xml:space="preserve">, </w:t>
      </w:r>
      <w:r w:rsidR="00C97EE2" w:rsidRPr="003A1174">
        <w:rPr>
          <w:rFonts w:ascii="Garamond" w:hAnsi="Garamond" w:cs="Arial"/>
          <w:sz w:val="24"/>
          <w:szCs w:val="24"/>
        </w:rPr>
        <w:t xml:space="preserve">irá rever </w:t>
      </w:r>
      <w:r w:rsidRPr="003A1174">
        <w:rPr>
          <w:rFonts w:ascii="Garamond" w:hAnsi="Garamond" w:cs="Arial"/>
          <w:sz w:val="24"/>
          <w:szCs w:val="24"/>
        </w:rPr>
        <w:t xml:space="preserve">as </w:t>
      </w:r>
      <w:r w:rsidR="00FC1F7F" w:rsidRPr="003A1174">
        <w:rPr>
          <w:rFonts w:ascii="Garamond" w:hAnsi="Garamond" w:cs="Arial"/>
          <w:sz w:val="24"/>
          <w:szCs w:val="24"/>
        </w:rPr>
        <w:t>sentença</w:t>
      </w:r>
      <w:r w:rsidRPr="003A1174">
        <w:rPr>
          <w:rFonts w:ascii="Garamond" w:hAnsi="Garamond" w:cs="Arial"/>
          <w:sz w:val="24"/>
          <w:szCs w:val="24"/>
        </w:rPr>
        <w:t xml:space="preserve">s </w:t>
      </w:r>
      <w:r w:rsidR="009445A0" w:rsidRPr="003A1174">
        <w:rPr>
          <w:rFonts w:ascii="Garamond" w:hAnsi="Garamond" w:cs="Arial"/>
          <w:sz w:val="24"/>
          <w:szCs w:val="24"/>
        </w:rPr>
        <w:t>finais</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Tribunal de Apela</w:t>
      </w:r>
      <w:r w:rsidR="00C97EE2" w:rsidRPr="003A1174">
        <w:rPr>
          <w:rFonts w:ascii="Garamond" w:hAnsi="Garamond" w:cs="Arial"/>
          <w:sz w:val="24"/>
          <w:szCs w:val="24"/>
        </w:rPr>
        <w:t xml:space="preserve">ção </w:t>
      </w:r>
      <w:r w:rsidRPr="003A1174">
        <w:rPr>
          <w:rFonts w:ascii="Garamond" w:hAnsi="Garamond" w:cs="Arial"/>
          <w:sz w:val="24"/>
          <w:szCs w:val="24"/>
        </w:rPr>
        <w:t>que dispon</w:t>
      </w:r>
      <w:r w:rsidR="00C97EE2" w:rsidRPr="003A1174">
        <w:rPr>
          <w:rFonts w:ascii="Garamond" w:hAnsi="Garamond" w:cs="Arial"/>
          <w:sz w:val="24"/>
          <w:szCs w:val="24"/>
        </w:rPr>
        <w:t xml:space="preserve">ham de um </w:t>
      </w:r>
      <w:r w:rsidRPr="003A1174">
        <w:rPr>
          <w:rFonts w:ascii="Garamond" w:hAnsi="Garamond" w:cs="Arial"/>
          <w:sz w:val="24"/>
          <w:szCs w:val="24"/>
        </w:rPr>
        <w:t>recurso de apela</w:t>
      </w:r>
      <w:r w:rsidR="00C97EE2" w:rsidRPr="003A1174">
        <w:rPr>
          <w:rFonts w:ascii="Garamond" w:hAnsi="Garamond" w:cs="Arial"/>
          <w:sz w:val="24"/>
          <w:szCs w:val="24"/>
        </w:rPr>
        <w:t>ção</w:t>
      </w:r>
      <w:r w:rsidRPr="003A1174">
        <w:rPr>
          <w:rFonts w:ascii="Garamond" w:hAnsi="Garamond" w:cs="Arial"/>
          <w:sz w:val="24"/>
          <w:szCs w:val="24"/>
        </w:rPr>
        <w:t>, recurso de revis</w:t>
      </w:r>
      <w:r w:rsidR="00C97EE2" w:rsidRPr="003A1174">
        <w:rPr>
          <w:rFonts w:ascii="Garamond" w:hAnsi="Garamond" w:cs="Arial"/>
          <w:sz w:val="24"/>
          <w:szCs w:val="24"/>
        </w:rPr>
        <w:t xml:space="preserve">ão </w:t>
      </w:r>
      <w:r w:rsidRPr="003A1174">
        <w:rPr>
          <w:rFonts w:ascii="Garamond" w:hAnsi="Garamond" w:cs="Arial"/>
          <w:sz w:val="24"/>
          <w:szCs w:val="24"/>
        </w:rPr>
        <w:t>administrativa o</w:t>
      </w:r>
      <w:r w:rsidR="00C97EE2" w:rsidRPr="003A1174">
        <w:rPr>
          <w:rFonts w:ascii="Garamond" w:hAnsi="Garamond" w:cs="Arial"/>
          <w:sz w:val="24"/>
          <w:szCs w:val="24"/>
        </w:rPr>
        <w:t>u</w:t>
      </w:r>
      <w:r w:rsidRPr="003A1174">
        <w:rPr>
          <w:rFonts w:ascii="Garamond" w:hAnsi="Garamond" w:cs="Arial"/>
          <w:sz w:val="24"/>
          <w:szCs w:val="24"/>
        </w:rPr>
        <w:t xml:space="preserve"> recurso de </w:t>
      </w:r>
      <w:r w:rsidRPr="003A1174">
        <w:rPr>
          <w:rFonts w:ascii="Garamond" w:hAnsi="Garamond" w:cs="Arial"/>
          <w:i/>
          <w:sz w:val="24"/>
          <w:szCs w:val="24"/>
        </w:rPr>
        <w:t>certiorari</w:t>
      </w:r>
      <w:r w:rsidRPr="003A1174">
        <w:rPr>
          <w:rFonts w:ascii="Garamond" w:hAnsi="Garamond" w:cs="Arial"/>
          <w:sz w:val="24"/>
          <w:szCs w:val="24"/>
        </w:rPr>
        <w:t xml:space="preserve"> para rev</w:t>
      </w:r>
      <w:r w:rsidR="00C97EE2" w:rsidRPr="003A1174">
        <w:rPr>
          <w:rFonts w:ascii="Garamond" w:hAnsi="Garamond" w:cs="Arial"/>
          <w:sz w:val="24"/>
          <w:szCs w:val="24"/>
        </w:rPr>
        <w:t xml:space="preserve">er </w:t>
      </w:r>
      <w:r w:rsidR="00FC1F7F" w:rsidRPr="003A1174">
        <w:rPr>
          <w:rFonts w:ascii="Garamond" w:hAnsi="Garamond" w:cs="Arial"/>
          <w:sz w:val="24"/>
          <w:szCs w:val="24"/>
        </w:rPr>
        <w:t>sentença</w:t>
      </w:r>
      <w:r w:rsidRPr="003A1174">
        <w:rPr>
          <w:rFonts w:ascii="Garamond" w:hAnsi="Garamond" w:cs="Arial"/>
          <w:sz w:val="24"/>
          <w:szCs w:val="24"/>
        </w:rPr>
        <w:t xml:space="preserve">s </w:t>
      </w:r>
      <w:r w:rsidR="009445A0" w:rsidRPr="003A1174">
        <w:rPr>
          <w:rFonts w:ascii="Garamond" w:hAnsi="Garamond" w:cs="Arial"/>
          <w:sz w:val="24"/>
          <w:szCs w:val="24"/>
        </w:rPr>
        <w:t>finais</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Tribunal de </w:t>
      </w:r>
      <w:r w:rsidR="004C1496" w:rsidRPr="003A1174">
        <w:rPr>
          <w:rFonts w:ascii="Garamond" w:hAnsi="Garamond" w:cs="Arial"/>
          <w:sz w:val="24"/>
          <w:szCs w:val="24"/>
        </w:rPr>
        <w:t>Primeira</w:t>
      </w:r>
      <w:r w:rsidRPr="003A1174">
        <w:rPr>
          <w:rFonts w:ascii="Garamond" w:hAnsi="Garamond" w:cs="Arial"/>
          <w:sz w:val="24"/>
          <w:szCs w:val="24"/>
        </w:rPr>
        <w:t xml:space="preserve"> </w:t>
      </w:r>
      <w:r w:rsidR="00FB09CA" w:rsidRPr="003A1174">
        <w:rPr>
          <w:rFonts w:ascii="Garamond" w:hAnsi="Garamond" w:cs="Arial"/>
          <w:sz w:val="24"/>
          <w:szCs w:val="24"/>
        </w:rPr>
        <w:t>Instância</w:t>
      </w:r>
      <w:r w:rsidR="00281C19">
        <w:rPr>
          <w:rFonts w:ascii="Garamond" w:hAnsi="Garamond" w:cs="Arial"/>
          <w:sz w:val="24"/>
          <w:szCs w:val="24"/>
        </w:rPr>
        <w:t>,</w:t>
      </w:r>
      <w:r w:rsidRPr="003A1174">
        <w:rPr>
          <w:rFonts w:ascii="Garamond" w:hAnsi="Garamond" w:cs="Arial"/>
          <w:sz w:val="24"/>
          <w:szCs w:val="24"/>
        </w:rPr>
        <w:t xml:space="preserve"> </w:t>
      </w:r>
      <w:r w:rsidR="00C97EE2" w:rsidRPr="003A1174">
        <w:rPr>
          <w:rFonts w:ascii="Garamond" w:hAnsi="Garamond" w:cs="Arial"/>
          <w:sz w:val="24"/>
          <w:szCs w:val="24"/>
        </w:rPr>
        <w:t>a</w:t>
      </w:r>
      <w:r w:rsidRPr="003A1174">
        <w:rPr>
          <w:rFonts w:ascii="Garamond" w:hAnsi="Garamond" w:cs="Arial"/>
          <w:sz w:val="24"/>
          <w:szCs w:val="24"/>
        </w:rPr>
        <w:t>presentad</w:t>
      </w:r>
      <w:r w:rsidR="008B0956" w:rsidRPr="003A1174">
        <w:rPr>
          <w:rFonts w:ascii="Garamond" w:hAnsi="Garamond" w:cs="Arial"/>
          <w:sz w:val="24"/>
          <w:szCs w:val="24"/>
        </w:rPr>
        <w:t>as</w:t>
      </w:r>
      <w:r w:rsidRPr="003A1174">
        <w:rPr>
          <w:rFonts w:ascii="Garamond" w:hAnsi="Garamond" w:cs="Arial"/>
          <w:sz w:val="24"/>
          <w:szCs w:val="24"/>
        </w:rPr>
        <w:t xml:space="preserve"> </w:t>
      </w:r>
      <w:r w:rsidR="00C97EE2" w:rsidRPr="003A1174">
        <w:rPr>
          <w:rFonts w:ascii="Garamond" w:hAnsi="Garamond" w:cs="Arial"/>
          <w:sz w:val="24"/>
          <w:szCs w:val="24"/>
        </w:rPr>
        <w:t>per</w:t>
      </w:r>
      <w:r w:rsidRPr="003A1174">
        <w:rPr>
          <w:rFonts w:ascii="Garamond" w:hAnsi="Garamond" w:cs="Arial"/>
          <w:sz w:val="24"/>
          <w:szCs w:val="24"/>
        </w:rPr>
        <w:t xml:space="preserve">ante </w:t>
      </w:r>
      <w:r w:rsidR="00C97EE2" w:rsidRPr="003A1174">
        <w:rPr>
          <w:rFonts w:ascii="Garamond" w:hAnsi="Garamond" w:cs="Arial"/>
          <w:sz w:val="24"/>
          <w:szCs w:val="24"/>
        </w:rPr>
        <w:t>o</w:t>
      </w:r>
      <w:r w:rsidRPr="003A1174">
        <w:rPr>
          <w:rFonts w:ascii="Garamond" w:hAnsi="Garamond" w:cs="Arial"/>
          <w:sz w:val="24"/>
          <w:szCs w:val="24"/>
        </w:rPr>
        <w:t xml:space="preserve"> Tribunal de Apela</w:t>
      </w:r>
      <w:r w:rsidR="00C97EE2" w:rsidRPr="003A1174">
        <w:rPr>
          <w:rFonts w:ascii="Garamond" w:hAnsi="Garamond" w:cs="Arial"/>
          <w:sz w:val="24"/>
          <w:szCs w:val="24"/>
        </w:rPr>
        <w:t>ção</w:t>
      </w:r>
      <w:r w:rsidRPr="003A1174">
        <w:rPr>
          <w:rFonts w:ascii="Garamond" w:hAnsi="Garamond" w:cs="Arial"/>
          <w:sz w:val="24"/>
          <w:szCs w:val="24"/>
        </w:rPr>
        <w:t xml:space="preserve">, </w:t>
      </w:r>
      <w:r w:rsidR="00C97EE2" w:rsidRPr="003A1174">
        <w:rPr>
          <w:rFonts w:ascii="Garamond" w:hAnsi="Garamond" w:cs="Arial"/>
          <w:sz w:val="24"/>
          <w:szCs w:val="24"/>
        </w:rPr>
        <w:t>n</w:t>
      </w:r>
      <w:r w:rsidRPr="003A1174">
        <w:rPr>
          <w:rFonts w:ascii="Garamond" w:hAnsi="Garamond" w:cs="Arial"/>
          <w:sz w:val="24"/>
          <w:szCs w:val="24"/>
        </w:rPr>
        <w:t xml:space="preserve">os </w:t>
      </w:r>
      <w:r w:rsidR="00731B19" w:rsidRPr="003A1174">
        <w:rPr>
          <w:rFonts w:ascii="Garamond" w:hAnsi="Garamond" w:cs="Arial"/>
          <w:sz w:val="24"/>
          <w:szCs w:val="24"/>
        </w:rPr>
        <w:t>termos</w:t>
      </w:r>
      <w:r w:rsidRPr="003A1174">
        <w:rPr>
          <w:rFonts w:ascii="Garamond" w:hAnsi="Garamond" w:cs="Arial"/>
          <w:sz w:val="24"/>
          <w:szCs w:val="24"/>
        </w:rPr>
        <w:t xml:space="preserve"> disp</w:t>
      </w:r>
      <w:r w:rsidR="00C97EE2" w:rsidRPr="003A1174">
        <w:rPr>
          <w:rFonts w:ascii="Garamond" w:hAnsi="Garamond" w:cs="Arial"/>
          <w:sz w:val="24"/>
          <w:szCs w:val="24"/>
        </w:rPr>
        <w:t>o</w:t>
      </w:r>
      <w:r w:rsidRPr="003A1174">
        <w:rPr>
          <w:rFonts w:ascii="Garamond" w:hAnsi="Garamond" w:cs="Arial"/>
          <w:sz w:val="24"/>
          <w:szCs w:val="24"/>
        </w:rPr>
        <w:t xml:space="preserve">stos </w:t>
      </w:r>
      <w:r w:rsidR="00C97EE2" w:rsidRPr="003A1174">
        <w:rPr>
          <w:rFonts w:ascii="Garamond" w:hAnsi="Garamond" w:cs="Arial"/>
          <w:sz w:val="24"/>
          <w:szCs w:val="24"/>
        </w:rPr>
        <w:t>na</w:t>
      </w:r>
      <w:r w:rsidRPr="003A1174">
        <w:rPr>
          <w:rFonts w:ascii="Garamond" w:hAnsi="Garamond" w:cs="Arial"/>
          <w:sz w:val="24"/>
          <w:szCs w:val="24"/>
        </w:rPr>
        <w:t xml:space="preserve">s </w:t>
      </w:r>
      <w:r w:rsidR="00233514" w:rsidRPr="003A1174">
        <w:rPr>
          <w:rFonts w:ascii="Garamond" w:hAnsi="Garamond" w:cs="Arial"/>
          <w:sz w:val="24"/>
          <w:szCs w:val="24"/>
        </w:rPr>
        <w:t>regra</w:t>
      </w:r>
      <w:r w:rsidRPr="003A1174">
        <w:rPr>
          <w:rFonts w:ascii="Garamond" w:hAnsi="Garamond" w:cs="Arial"/>
          <w:sz w:val="24"/>
          <w:szCs w:val="24"/>
        </w:rPr>
        <w:t xml:space="preserve">s </w:t>
      </w:r>
      <w:r w:rsidR="00682C71" w:rsidRPr="003A1174">
        <w:rPr>
          <w:rFonts w:ascii="Garamond" w:hAnsi="Garamond" w:cs="Arial"/>
          <w:sz w:val="24"/>
          <w:szCs w:val="24"/>
        </w:rPr>
        <w:t>processuais</w:t>
      </w:r>
      <w:r w:rsidRPr="003A1174">
        <w:rPr>
          <w:rFonts w:ascii="Garamond" w:hAnsi="Garamond" w:cs="Arial"/>
          <w:sz w:val="24"/>
          <w:szCs w:val="24"/>
        </w:rPr>
        <w:t xml:space="preserve"> o</w:t>
      </w:r>
      <w:r w:rsidR="00C97EE2" w:rsidRPr="003A1174">
        <w:rPr>
          <w:rFonts w:ascii="Garamond" w:hAnsi="Garamond" w:cs="Arial"/>
          <w:sz w:val="24"/>
          <w:szCs w:val="24"/>
        </w:rPr>
        <w:t xml:space="preserve">u nas </w:t>
      </w:r>
      <w:r w:rsidR="00F320F4" w:rsidRPr="003A1174">
        <w:rPr>
          <w:rFonts w:ascii="Garamond" w:hAnsi="Garamond" w:cs="Arial"/>
          <w:sz w:val="24"/>
          <w:szCs w:val="24"/>
        </w:rPr>
        <w:t>leis</w:t>
      </w:r>
      <w:r w:rsidRPr="003A1174">
        <w:rPr>
          <w:rFonts w:ascii="Garamond" w:hAnsi="Garamond" w:cs="Arial"/>
          <w:sz w:val="24"/>
          <w:szCs w:val="24"/>
        </w:rPr>
        <w:t xml:space="preserve"> </w:t>
      </w:r>
      <w:r w:rsidR="00201889" w:rsidRPr="003A1174">
        <w:rPr>
          <w:rFonts w:ascii="Garamond" w:hAnsi="Garamond" w:cs="Arial"/>
          <w:sz w:val="24"/>
          <w:szCs w:val="24"/>
        </w:rPr>
        <w:t>especiais</w:t>
      </w:r>
      <w:r w:rsidRPr="003A1174">
        <w:rPr>
          <w:rFonts w:ascii="Garamond" w:hAnsi="Garamond" w:cs="Arial"/>
          <w:sz w:val="24"/>
          <w:szCs w:val="24"/>
        </w:rPr>
        <w:t>.</w:t>
      </w:r>
      <w:r w:rsidRPr="003A1174">
        <w:rPr>
          <w:rStyle w:val="Refdenotaalpie"/>
          <w:rFonts w:ascii="Garamond" w:hAnsi="Garamond" w:cs="Arial"/>
          <w:sz w:val="24"/>
          <w:szCs w:val="24"/>
        </w:rPr>
        <w:footnoteReference w:id="85"/>
      </w:r>
      <w:r w:rsidRPr="003A1174">
        <w:rPr>
          <w:rFonts w:ascii="Garamond" w:hAnsi="Garamond" w:cs="Arial"/>
          <w:sz w:val="24"/>
          <w:szCs w:val="24"/>
        </w:rPr>
        <w:t xml:space="preserve"> </w:t>
      </w:r>
    </w:p>
    <w:p w:rsidR="00D01B8C" w:rsidRPr="003A1174" w:rsidRDefault="0017447A" w:rsidP="008719D4">
      <w:pPr>
        <w:spacing w:before="240" w:line="240" w:lineRule="auto"/>
        <w:jc w:val="both"/>
        <w:rPr>
          <w:rFonts w:ascii="Garamond" w:hAnsi="Garamond" w:cs="Arial"/>
          <w:sz w:val="24"/>
          <w:szCs w:val="24"/>
        </w:rPr>
      </w:pPr>
      <w:r w:rsidRPr="003A1174">
        <w:rPr>
          <w:rFonts w:ascii="Garamond" w:hAnsi="Garamond" w:cs="Arial"/>
          <w:sz w:val="24"/>
          <w:szCs w:val="24"/>
        </w:rPr>
        <w:t>Porto</w:t>
      </w:r>
      <w:r w:rsidR="009445A0" w:rsidRPr="003A1174">
        <w:rPr>
          <w:rFonts w:ascii="Garamond" w:hAnsi="Garamond" w:cs="Arial"/>
          <w:sz w:val="24"/>
          <w:szCs w:val="24"/>
        </w:rPr>
        <w:t xml:space="preserve"> Rico </w:t>
      </w:r>
      <w:r w:rsidR="00D01B8C" w:rsidRPr="003A1174">
        <w:rPr>
          <w:rFonts w:ascii="Garamond" w:hAnsi="Garamond" w:cs="Arial"/>
          <w:sz w:val="24"/>
          <w:szCs w:val="24"/>
        </w:rPr>
        <w:t>enc</w:t>
      </w:r>
      <w:r w:rsidR="009445A0" w:rsidRPr="003A1174">
        <w:rPr>
          <w:rFonts w:ascii="Garamond" w:hAnsi="Garamond" w:cs="Arial"/>
          <w:sz w:val="24"/>
          <w:szCs w:val="24"/>
        </w:rPr>
        <w:t>o</w:t>
      </w:r>
      <w:r w:rsidR="00D01B8C" w:rsidRPr="003A1174">
        <w:rPr>
          <w:rFonts w:ascii="Garamond" w:hAnsi="Garamond" w:cs="Arial"/>
          <w:sz w:val="24"/>
          <w:szCs w:val="24"/>
        </w:rPr>
        <w:t>ntra</w:t>
      </w:r>
      <w:r w:rsidR="009445A0" w:rsidRPr="003A1174">
        <w:rPr>
          <w:rFonts w:ascii="Garamond" w:hAnsi="Garamond" w:cs="Arial"/>
          <w:sz w:val="24"/>
          <w:szCs w:val="24"/>
        </w:rPr>
        <w:t xml:space="preserve">-se sob a </w:t>
      </w:r>
      <w:r w:rsidR="00731B19" w:rsidRPr="003A1174">
        <w:rPr>
          <w:rFonts w:ascii="Garamond" w:hAnsi="Garamond" w:cs="Arial"/>
          <w:sz w:val="24"/>
          <w:szCs w:val="24"/>
        </w:rPr>
        <w:t>jurisdição</w:t>
      </w:r>
      <w:r w:rsidR="00D01B8C" w:rsidRPr="003A1174">
        <w:rPr>
          <w:rFonts w:ascii="Garamond" w:hAnsi="Garamond" w:cs="Arial"/>
          <w:sz w:val="24"/>
          <w:szCs w:val="24"/>
        </w:rPr>
        <w:t xml:space="preserve"> d</w:t>
      </w:r>
      <w:r w:rsidR="009445A0" w:rsidRPr="003A1174">
        <w:rPr>
          <w:rFonts w:ascii="Garamond" w:hAnsi="Garamond" w:cs="Arial"/>
          <w:sz w:val="24"/>
          <w:szCs w:val="24"/>
        </w:rPr>
        <w:t>os Estados Unidos da</w:t>
      </w:r>
      <w:r w:rsidR="00D01B8C" w:rsidRPr="003A1174">
        <w:rPr>
          <w:rFonts w:ascii="Garamond" w:hAnsi="Garamond" w:cs="Arial"/>
          <w:sz w:val="24"/>
          <w:szCs w:val="24"/>
        </w:rPr>
        <w:t xml:space="preserve"> América (</w:t>
      </w:r>
      <w:r w:rsidR="00281C19">
        <w:rPr>
          <w:rFonts w:ascii="Garamond" w:hAnsi="Garamond" w:cs="Arial"/>
          <w:sz w:val="24"/>
          <w:szCs w:val="24"/>
        </w:rPr>
        <w:t>Doravante,</w:t>
      </w:r>
      <w:r w:rsidR="00FC5E28" w:rsidRPr="003A1174">
        <w:rPr>
          <w:rFonts w:ascii="Garamond" w:hAnsi="Garamond" w:cs="Arial"/>
          <w:sz w:val="24"/>
          <w:szCs w:val="24"/>
        </w:rPr>
        <w:t xml:space="preserve"> </w:t>
      </w:r>
      <w:r w:rsidR="00281C19">
        <w:rPr>
          <w:rFonts w:ascii="Garamond" w:hAnsi="Garamond" w:cs="Arial"/>
          <w:sz w:val="24"/>
          <w:szCs w:val="24"/>
        </w:rPr>
        <w:t>«</w:t>
      </w:r>
      <w:r w:rsidR="00D01B8C" w:rsidRPr="003A1174">
        <w:rPr>
          <w:rFonts w:ascii="Garamond" w:hAnsi="Garamond" w:cs="Arial"/>
          <w:sz w:val="24"/>
          <w:szCs w:val="24"/>
        </w:rPr>
        <w:t>E</w:t>
      </w:r>
      <w:r w:rsidR="00FC5E28" w:rsidRPr="003A1174">
        <w:rPr>
          <w:rFonts w:ascii="Garamond" w:hAnsi="Garamond" w:cs="Arial"/>
          <w:sz w:val="24"/>
          <w:szCs w:val="24"/>
        </w:rPr>
        <w:t>UA</w:t>
      </w:r>
      <w:r w:rsidR="00281C19">
        <w:rPr>
          <w:rFonts w:ascii="Garamond" w:hAnsi="Garamond" w:cs="Arial"/>
          <w:sz w:val="24"/>
          <w:szCs w:val="24"/>
        </w:rPr>
        <w:t>»</w:t>
      </w:r>
      <w:r w:rsidR="00D01B8C" w:rsidRPr="003A1174">
        <w:rPr>
          <w:rFonts w:ascii="Garamond" w:hAnsi="Garamond" w:cs="Arial"/>
          <w:sz w:val="24"/>
          <w:szCs w:val="24"/>
        </w:rPr>
        <w:t xml:space="preserve">) por </w:t>
      </w:r>
      <w:r w:rsidR="00D4575C" w:rsidRPr="003A1174">
        <w:rPr>
          <w:rFonts w:ascii="Garamond" w:hAnsi="Garamond" w:cs="Arial"/>
          <w:sz w:val="24"/>
          <w:szCs w:val="24"/>
        </w:rPr>
        <w:t>meio</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00D01B8C" w:rsidRPr="003A1174">
        <w:rPr>
          <w:rFonts w:ascii="Garamond" w:hAnsi="Garamond" w:cs="Arial"/>
          <w:sz w:val="24"/>
          <w:szCs w:val="24"/>
        </w:rPr>
        <w:t xml:space="preserve"> sistema judicial federal. </w:t>
      </w:r>
      <w:r w:rsidR="00FC5E28" w:rsidRPr="003A1174">
        <w:rPr>
          <w:rFonts w:ascii="Garamond" w:hAnsi="Garamond" w:cs="Arial"/>
          <w:sz w:val="24"/>
          <w:szCs w:val="24"/>
        </w:rPr>
        <w:t xml:space="preserve">O referido </w:t>
      </w:r>
      <w:r w:rsidR="00D01B8C" w:rsidRPr="003A1174">
        <w:rPr>
          <w:rFonts w:ascii="Garamond" w:hAnsi="Garamond" w:cs="Arial"/>
          <w:sz w:val="24"/>
          <w:szCs w:val="24"/>
        </w:rPr>
        <w:t xml:space="preserve">sistema </w:t>
      </w:r>
      <w:r w:rsidR="007A2492" w:rsidRPr="003A1174">
        <w:rPr>
          <w:rFonts w:ascii="Garamond" w:hAnsi="Garamond" w:cs="Arial"/>
          <w:sz w:val="24"/>
          <w:szCs w:val="24"/>
        </w:rPr>
        <w:t>tem</w:t>
      </w:r>
      <w:r w:rsidR="00D01B8C" w:rsidRPr="003A1174">
        <w:rPr>
          <w:rFonts w:ascii="Garamond" w:hAnsi="Garamond" w:cs="Arial"/>
          <w:sz w:val="24"/>
          <w:szCs w:val="24"/>
        </w:rPr>
        <w:t xml:space="preserve"> </w:t>
      </w:r>
      <w:r w:rsidR="000866B6" w:rsidRPr="003A1174">
        <w:rPr>
          <w:rFonts w:ascii="Garamond" w:hAnsi="Garamond" w:cs="Arial"/>
          <w:sz w:val="24"/>
          <w:szCs w:val="24"/>
        </w:rPr>
        <w:t>três</w:t>
      </w:r>
      <w:r w:rsidR="00D01B8C" w:rsidRPr="003A1174">
        <w:rPr>
          <w:rFonts w:ascii="Garamond" w:hAnsi="Garamond" w:cs="Arial"/>
          <w:sz w:val="24"/>
          <w:szCs w:val="24"/>
        </w:rPr>
        <w:t xml:space="preserve"> (3) </w:t>
      </w:r>
      <w:r w:rsidR="00FC5E28" w:rsidRPr="003A1174">
        <w:rPr>
          <w:rFonts w:ascii="Garamond" w:hAnsi="Garamond" w:cs="Arial"/>
          <w:sz w:val="24"/>
          <w:szCs w:val="24"/>
        </w:rPr>
        <w:t>secções</w:t>
      </w:r>
      <w:r w:rsidR="008B0956" w:rsidRPr="003A1174">
        <w:rPr>
          <w:rFonts w:ascii="Garamond" w:hAnsi="Garamond" w:cs="Arial"/>
          <w:sz w:val="24"/>
          <w:szCs w:val="24"/>
        </w:rPr>
        <w:t>:</w:t>
      </w:r>
      <w:r w:rsidR="00853E4C" w:rsidRPr="003A1174">
        <w:rPr>
          <w:rFonts w:ascii="Garamond" w:hAnsi="Garamond" w:cs="Arial"/>
          <w:sz w:val="24"/>
          <w:szCs w:val="24"/>
        </w:rPr>
        <w:t xml:space="preserve"> </w:t>
      </w:r>
      <w:r w:rsidR="00281C19">
        <w:rPr>
          <w:rFonts w:ascii="Garamond" w:hAnsi="Garamond" w:cs="Arial"/>
          <w:sz w:val="24"/>
          <w:szCs w:val="24"/>
        </w:rPr>
        <w:t>a</w:t>
      </w:r>
      <w:r w:rsidR="00D01B8C" w:rsidRPr="003A1174">
        <w:rPr>
          <w:rFonts w:ascii="Garamond" w:hAnsi="Garamond" w:cs="Arial"/>
          <w:sz w:val="24"/>
          <w:szCs w:val="24"/>
        </w:rPr>
        <w:t xml:space="preserve"> estatal, com</w:t>
      </w:r>
      <w:r w:rsidR="00FC5E28" w:rsidRPr="003A1174">
        <w:rPr>
          <w:rFonts w:ascii="Garamond" w:hAnsi="Garamond" w:cs="Arial"/>
          <w:sz w:val="24"/>
          <w:szCs w:val="24"/>
        </w:rPr>
        <w:t xml:space="preserve">eça </w:t>
      </w:r>
      <w:r w:rsidR="00D01B8C" w:rsidRPr="003A1174">
        <w:rPr>
          <w:rFonts w:ascii="Garamond" w:hAnsi="Garamond" w:cs="Arial"/>
          <w:sz w:val="24"/>
          <w:szCs w:val="24"/>
        </w:rPr>
        <w:t>co</w:t>
      </w:r>
      <w:r w:rsidR="00FC5E28" w:rsidRPr="003A1174">
        <w:rPr>
          <w:rFonts w:ascii="Garamond" w:hAnsi="Garamond" w:cs="Arial"/>
          <w:sz w:val="24"/>
          <w:szCs w:val="24"/>
        </w:rPr>
        <w:t xml:space="preserve">m </w:t>
      </w:r>
      <w:r w:rsidR="00935298">
        <w:rPr>
          <w:rFonts w:ascii="Garamond" w:hAnsi="Garamond" w:cs="Arial"/>
          <w:sz w:val="24"/>
          <w:szCs w:val="24"/>
        </w:rPr>
        <w:t xml:space="preserve">o tribunal </w:t>
      </w:r>
      <w:r w:rsidR="00D01B8C" w:rsidRPr="003A1174">
        <w:rPr>
          <w:rFonts w:ascii="Garamond" w:hAnsi="Garamond" w:cs="Arial"/>
          <w:sz w:val="24"/>
          <w:szCs w:val="24"/>
        </w:rPr>
        <w:t>de distrito, localizada e</w:t>
      </w:r>
      <w:r w:rsidR="00FC5E28" w:rsidRPr="003A1174">
        <w:rPr>
          <w:rFonts w:ascii="Garamond" w:hAnsi="Garamond" w:cs="Arial"/>
          <w:sz w:val="24"/>
          <w:szCs w:val="24"/>
        </w:rPr>
        <w:t xml:space="preserve">m San Juan, </w:t>
      </w:r>
      <w:r w:rsidR="00D01B8C" w:rsidRPr="003A1174">
        <w:rPr>
          <w:rFonts w:ascii="Garamond" w:hAnsi="Garamond" w:cs="Arial"/>
          <w:sz w:val="24"/>
          <w:szCs w:val="24"/>
        </w:rPr>
        <w:t xml:space="preserve">a capital de </w:t>
      </w:r>
      <w:r w:rsidRPr="003A1174">
        <w:rPr>
          <w:rFonts w:ascii="Garamond" w:hAnsi="Garamond" w:cs="Arial"/>
          <w:sz w:val="24"/>
          <w:szCs w:val="24"/>
        </w:rPr>
        <w:t>Porto</w:t>
      </w:r>
      <w:r w:rsidR="00D01B8C" w:rsidRPr="003A1174">
        <w:rPr>
          <w:rFonts w:ascii="Garamond" w:hAnsi="Garamond" w:cs="Arial"/>
          <w:sz w:val="24"/>
          <w:szCs w:val="24"/>
        </w:rPr>
        <w:t xml:space="preserve"> Rico. </w:t>
      </w:r>
      <w:r w:rsidR="00281C19">
        <w:rPr>
          <w:rFonts w:ascii="Garamond" w:hAnsi="Garamond" w:cs="Arial"/>
          <w:sz w:val="24"/>
          <w:szCs w:val="24"/>
        </w:rPr>
        <w:t xml:space="preserve">Este </w:t>
      </w:r>
      <w:r w:rsidR="00FC5E28" w:rsidRPr="003A1174">
        <w:rPr>
          <w:rFonts w:ascii="Garamond" w:hAnsi="Garamond" w:cs="Arial"/>
          <w:sz w:val="24"/>
          <w:szCs w:val="24"/>
        </w:rPr>
        <w:t xml:space="preserve">tribunal </w:t>
      </w:r>
      <w:r w:rsidR="00281C19">
        <w:rPr>
          <w:rFonts w:ascii="Garamond" w:hAnsi="Garamond" w:cs="Arial"/>
          <w:sz w:val="24"/>
          <w:szCs w:val="24"/>
        </w:rPr>
        <w:t xml:space="preserve">trata dos casos, </w:t>
      </w:r>
      <w:r w:rsidR="00745303" w:rsidRPr="003A1174">
        <w:rPr>
          <w:rFonts w:ascii="Garamond" w:hAnsi="Garamond" w:cs="Arial"/>
          <w:sz w:val="24"/>
          <w:szCs w:val="24"/>
        </w:rPr>
        <w:t>civis</w:t>
      </w:r>
      <w:r w:rsidR="00D01B8C" w:rsidRPr="003A1174">
        <w:rPr>
          <w:rFonts w:ascii="Garamond" w:hAnsi="Garamond" w:cs="Arial"/>
          <w:sz w:val="24"/>
          <w:szCs w:val="24"/>
        </w:rPr>
        <w:t xml:space="preserve"> o</w:t>
      </w:r>
      <w:r w:rsidR="00FC5E28" w:rsidRPr="003A1174">
        <w:rPr>
          <w:rFonts w:ascii="Garamond" w:hAnsi="Garamond" w:cs="Arial"/>
          <w:sz w:val="24"/>
          <w:szCs w:val="24"/>
        </w:rPr>
        <w:t>u</w:t>
      </w:r>
      <w:r w:rsidR="00D01B8C" w:rsidRPr="003A1174">
        <w:rPr>
          <w:rFonts w:ascii="Garamond" w:hAnsi="Garamond" w:cs="Arial"/>
          <w:sz w:val="24"/>
          <w:szCs w:val="24"/>
        </w:rPr>
        <w:t xml:space="preserve"> </w:t>
      </w:r>
      <w:r w:rsidR="00FC5E28" w:rsidRPr="003A1174">
        <w:rPr>
          <w:rFonts w:ascii="Garamond" w:hAnsi="Garamond" w:cs="Arial"/>
          <w:sz w:val="24"/>
          <w:szCs w:val="24"/>
        </w:rPr>
        <w:t>criminais</w:t>
      </w:r>
      <w:r w:rsidR="00D01B8C" w:rsidRPr="003A1174">
        <w:rPr>
          <w:rFonts w:ascii="Garamond" w:hAnsi="Garamond" w:cs="Arial"/>
          <w:sz w:val="24"/>
          <w:szCs w:val="24"/>
        </w:rPr>
        <w:t>, que sur</w:t>
      </w:r>
      <w:r w:rsidR="00853E4C" w:rsidRPr="003A1174">
        <w:rPr>
          <w:rFonts w:ascii="Garamond" w:hAnsi="Garamond" w:cs="Arial"/>
          <w:sz w:val="24"/>
          <w:szCs w:val="24"/>
        </w:rPr>
        <w:t xml:space="preserve">gem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F320F4" w:rsidRPr="003A1174">
        <w:rPr>
          <w:rFonts w:ascii="Garamond" w:hAnsi="Garamond" w:cs="Arial"/>
          <w:sz w:val="24"/>
          <w:szCs w:val="24"/>
        </w:rPr>
        <w:t>leis</w:t>
      </w:r>
      <w:r w:rsidR="00D01B8C" w:rsidRPr="003A1174">
        <w:rPr>
          <w:rFonts w:ascii="Garamond" w:hAnsi="Garamond" w:cs="Arial"/>
          <w:sz w:val="24"/>
          <w:szCs w:val="24"/>
        </w:rPr>
        <w:t xml:space="preserve"> </w:t>
      </w:r>
      <w:r w:rsidR="00FC5E28" w:rsidRPr="003A1174">
        <w:rPr>
          <w:rFonts w:ascii="Garamond" w:hAnsi="Garamond" w:cs="Arial"/>
          <w:sz w:val="24"/>
          <w:szCs w:val="24"/>
        </w:rPr>
        <w:t>federais</w:t>
      </w:r>
      <w:r w:rsidR="00D01B8C" w:rsidRPr="003A1174">
        <w:rPr>
          <w:rFonts w:ascii="Garamond" w:hAnsi="Garamond" w:cs="Arial"/>
          <w:sz w:val="24"/>
          <w:szCs w:val="24"/>
        </w:rPr>
        <w:t xml:space="preserve"> promulgadas pel</w:t>
      </w:r>
      <w:r w:rsidR="00FC5E28" w:rsidRPr="003A1174">
        <w:rPr>
          <w:rFonts w:ascii="Garamond" w:hAnsi="Garamond" w:cs="Arial"/>
          <w:sz w:val="24"/>
          <w:szCs w:val="24"/>
        </w:rPr>
        <w:t>o</w:t>
      </w:r>
      <w:r w:rsidR="00D01B8C" w:rsidRPr="003A1174">
        <w:rPr>
          <w:rFonts w:ascii="Garamond" w:hAnsi="Garamond" w:cs="Arial"/>
          <w:sz w:val="24"/>
          <w:szCs w:val="24"/>
        </w:rPr>
        <w:t xml:space="preserve"> </w:t>
      </w:r>
      <w:r w:rsidR="003F012B" w:rsidRPr="003A1174">
        <w:rPr>
          <w:rFonts w:ascii="Garamond" w:hAnsi="Garamond" w:cs="Arial"/>
          <w:sz w:val="24"/>
          <w:szCs w:val="24"/>
        </w:rPr>
        <w:t>Congresso</w:t>
      </w:r>
      <w:r w:rsidR="00D01B8C" w:rsidRPr="003A1174">
        <w:rPr>
          <w:rFonts w:ascii="Garamond" w:hAnsi="Garamond" w:cs="Arial"/>
          <w:sz w:val="24"/>
          <w:szCs w:val="24"/>
        </w:rPr>
        <w:t xml:space="preserve"> d</w:t>
      </w:r>
      <w:r w:rsidR="00FC5E28" w:rsidRPr="003A1174">
        <w:rPr>
          <w:rFonts w:ascii="Garamond" w:hAnsi="Garamond" w:cs="Arial"/>
          <w:sz w:val="24"/>
          <w:szCs w:val="24"/>
        </w:rPr>
        <w:t>os</w:t>
      </w:r>
      <w:r w:rsidR="00D01B8C" w:rsidRPr="003A1174">
        <w:rPr>
          <w:rFonts w:ascii="Garamond" w:hAnsi="Garamond" w:cs="Arial"/>
          <w:sz w:val="24"/>
          <w:szCs w:val="24"/>
        </w:rPr>
        <w:t xml:space="preserve"> </w:t>
      </w:r>
      <w:r w:rsidR="00FC5E28" w:rsidRPr="003A1174">
        <w:rPr>
          <w:rFonts w:ascii="Garamond" w:hAnsi="Garamond" w:cs="Arial"/>
          <w:sz w:val="24"/>
          <w:szCs w:val="24"/>
        </w:rPr>
        <w:t>EUA</w:t>
      </w:r>
      <w:r w:rsidR="00D01B8C" w:rsidRPr="003A1174">
        <w:rPr>
          <w:rFonts w:ascii="Garamond" w:hAnsi="Garamond" w:cs="Arial"/>
          <w:sz w:val="24"/>
          <w:szCs w:val="24"/>
        </w:rPr>
        <w:t>. A</w:t>
      </w:r>
      <w:r w:rsidR="00FC5E28" w:rsidRPr="003A1174">
        <w:rPr>
          <w:rFonts w:ascii="Garamond" w:hAnsi="Garamond" w:cs="Arial"/>
          <w:sz w:val="24"/>
          <w:szCs w:val="24"/>
        </w:rPr>
        <w:t>lém disso</w:t>
      </w:r>
      <w:r w:rsidR="00D01B8C" w:rsidRPr="003A1174">
        <w:rPr>
          <w:rFonts w:ascii="Garamond" w:hAnsi="Garamond" w:cs="Arial"/>
          <w:sz w:val="24"/>
          <w:szCs w:val="24"/>
        </w:rPr>
        <w:t xml:space="preserve">, </w:t>
      </w:r>
      <w:r w:rsidR="000350B1" w:rsidRPr="003A1174">
        <w:rPr>
          <w:rFonts w:ascii="Garamond" w:hAnsi="Garamond" w:cs="Arial"/>
          <w:sz w:val="24"/>
          <w:szCs w:val="24"/>
        </w:rPr>
        <w:t>também</w:t>
      </w:r>
      <w:r w:rsidR="00D01B8C" w:rsidRPr="003A1174">
        <w:rPr>
          <w:rFonts w:ascii="Garamond" w:hAnsi="Garamond" w:cs="Arial"/>
          <w:sz w:val="24"/>
          <w:szCs w:val="24"/>
        </w:rPr>
        <w:t xml:space="preserve"> </w:t>
      </w:r>
      <w:r w:rsidR="00281C19">
        <w:rPr>
          <w:rFonts w:ascii="Garamond" w:hAnsi="Garamond" w:cs="Arial"/>
          <w:sz w:val="24"/>
          <w:szCs w:val="24"/>
        </w:rPr>
        <w:t xml:space="preserve">trata dos casos em que </w:t>
      </w:r>
      <w:r w:rsidR="00D01B8C" w:rsidRPr="003A1174">
        <w:rPr>
          <w:rFonts w:ascii="Garamond" w:hAnsi="Garamond" w:cs="Arial"/>
          <w:sz w:val="24"/>
          <w:szCs w:val="24"/>
        </w:rPr>
        <w:t>u</w:t>
      </w:r>
      <w:r w:rsidR="00FC5E28" w:rsidRPr="003A1174">
        <w:rPr>
          <w:rFonts w:ascii="Garamond" w:hAnsi="Garamond" w:cs="Arial"/>
          <w:sz w:val="24"/>
          <w:szCs w:val="24"/>
        </w:rPr>
        <w:t xml:space="preserve">m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BA3CCE" w:rsidRPr="003A1174">
        <w:rPr>
          <w:rFonts w:ascii="Garamond" w:hAnsi="Garamond" w:cs="Arial"/>
          <w:sz w:val="24"/>
          <w:szCs w:val="24"/>
        </w:rPr>
        <w:t>sujeitos</w:t>
      </w:r>
      <w:r w:rsidR="00D01B8C" w:rsidRPr="003A1174">
        <w:rPr>
          <w:rFonts w:ascii="Garamond" w:hAnsi="Garamond" w:cs="Arial"/>
          <w:sz w:val="24"/>
          <w:szCs w:val="24"/>
        </w:rPr>
        <w:t xml:space="preserve"> </w:t>
      </w:r>
      <w:r w:rsidR="00FC5E28" w:rsidRPr="003A1174">
        <w:rPr>
          <w:rFonts w:ascii="Garamond" w:hAnsi="Garamond" w:cs="Arial"/>
          <w:sz w:val="24"/>
          <w:szCs w:val="24"/>
        </w:rPr>
        <w:t>é</w:t>
      </w:r>
      <w:r w:rsidR="00281C19">
        <w:rPr>
          <w:rFonts w:ascii="Garamond" w:hAnsi="Garamond" w:cs="Arial"/>
          <w:sz w:val="24"/>
          <w:szCs w:val="24"/>
        </w:rPr>
        <w:t xml:space="preserve"> estrangeiro</w:t>
      </w:r>
      <w:r w:rsidR="00D01B8C" w:rsidRPr="003A1174">
        <w:rPr>
          <w:rFonts w:ascii="Garamond" w:hAnsi="Garamond" w:cs="Arial"/>
          <w:sz w:val="24"/>
          <w:szCs w:val="24"/>
        </w:rPr>
        <w:t>.</w:t>
      </w:r>
    </w:p>
    <w:p w:rsidR="00D01B8C" w:rsidRPr="003A1174" w:rsidRDefault="00FC5E28" w:rsidP="008719D4">
      <w:pPr>
        <w:spacing w:before="240" w:line="240" w:lineRule="auto"/>
        <w:jc w:val="both"/>
        <w:rPr>
          <w:rFonts w:ascii="Garamond" w:hAnsi="Garamond" w:cs="Arial"/>
          <w:sz w:val="24"/>
          <w:szCs w:val="24"/>
        </w:rPr>
      </w:pPr>
      <w:r w:rsidRPr="003A1174">
        <w:rPr>
          <w:rFonts w:ascii="Garamond" w:hAnsi="Garamond" w:cs="Arial"/>
          <w:sz w:val="24"/>
          <w:szCs w:val="24"/>
        </w:rPr>
        <w:t>A</w:t>
      </w:r>
      <w:r w:rsidR="00D01B8C" w:rsidRPr="003A1174">
        <w:rPr>
          <w:rFonts w:ascii="Garamond" w:hAnsi="Garamond" w:cs="Arial"/>
          <w:sz w:val="24"/>
          <w:szCs w:val="24"/>
        </w:rPr>
        <w:t xml:space="preserve">s </w:t>
      </w:r>
      <w:r w:rsidR="005D38DC" w:rsidRPr="003A1174">
        <w:rPr>
          <w:rFonts w:ascii="Garamond" w:hAnsi="Garamond" w:cs="Arial"/>
          <w:sz w:val="24"/>
          <w:szCs w:val="24"/>
        </w:rPr>
        <w:t>decisões</w:t>
      </w:r>
      <w:r w:rsidR="00D01B8C" w:rsidRPr="003A1174">
        <w:rPr>
          <w:rFonts w:ascii="Garamond" w:hAnsi="Garamond" w:cs="Arial"/>
          <w:sz w:val="24"/>
          <w:szCs w:val="24"/>
        </w:rPr>
        <w:t xml:space="preserve"> emitidas p</w:t>
      </w:r>
      <w:r w:rsidRPr="003A1174">
        <w:rPr>
          <w:rFonts w:ascii="Garamond" w:hAnsi="Garamond" w:cs="Arial"/>
          <w:sz w:val="24"/>
          <w:szCs w:val="24"/>
        </w:rPr>
        <w:t>e</w:t>
      </w:r>
      <w:r w:rsidR="00D01B8C" w:rsidRPr="003A1174">
        <w:rPr>
          <w:rFonts w:ascii="Garamond" w:hAnsi="Garamond" w:cs="Arial"/>
          <w:sz w:val="24"/>
          <w:szCs w:val="24"/>
        </w:rPr>
        <w:t>l</w:t>
      </w:r>
      <w:r w:rsidR="002B5F3A">
        <w:rPr>
          <w:rFonts w:ascii="Garamond" w:hAnsi="Garamond" w:cs="Arial"/>
          <w:sz w:val="24"/>
          <w:szCs w:val="24"/>
        </w:rPr>
        <w:t>o</w:t>
      </w:r>
      <w:r w:rsidR="00D01B8C" w:rsidRPr="003A1174">
        <w:rPr>
          <w:rFonts w:ascii="Garamond" w:hAnsi="Garamond" w:cs="Arial"/>
          <w:sz w:val="24"/>
          <w:szCs w:val="24"/>
        </w:rPr>
        <w:t xml:space="preserve"> </w:t>
      </w:r>
      <w:r w:rsidR="00935298">
        <w:rPr>
          <w:rFonts w:ascii="Garamond" w:hAnsi="Garamond" w:cs="Arial"/>
          <w:sz w:val="24"/>
          <w:szCs w:val="24"/>
        </w:rPr>
        <w:t xml:space="preserve">tribunal </w:t>
      </w:r>
      <w:r w:rsidR="00D01B8C" w:rsidRPr="003A1174">
        <w:rPr>
          <w:rFonts w:ascii="Garamond" w:hAnsi="Garamond" w:cs="Arial"/>
          <w:sz w:val="24"/>
          <w:szCs w:val="24"/>
        </w:rPr>
        <w:t xml:space="preserve">de distrito </w:t>
      </w:r>
      <w:r w:rsidR="007407BD" w:rsidRPr="003A1174">
        <w:rPr>
          <w:rFonts w:ascii="Garamond" w:hAnsi="Garamond" w:cs="Arial"/>
          <w:sz w:val="24"/>
          <w:szCs w:val="24"/>
        </w:rPr>
        <w:t>podem</w:t>
      </w:r>
      <w:r w:rsidR="00D01B8C" w:rsidRPr="003A1174">
        <w:rPr>
          <w:rFonts w:ascii="Garamond" w:hAnsi="Garamond" w:cs="Arial"/>
          <w:sz w:val="24"/>
          <w:szCs w:val="24"/>
        </w:rPr>
        <w:t xml:space="preserve"> ser </w:t>
      </w:r>
      <w:r w:rsidR="00281C19">
        <w:rPr>
          <w:rFonts w:ascii="Garamond" w:hAnsi="Garamond" w:cs="Arial"/>
          <w:sz w:val="24"/>
          <w:szCs w:val="24"/>
        </w:rPr>
        <w:t xml:space="preserve">recorridas </w:t>
      </w:r>
      <w:r w:rsidR="00935298">
        <w:rPr>
          <w:rFonts w:ascii="Garamond" w:hAnsi="Garamond" w:cs="Arial"/>
          <w:sz w:val="24"/>
          <w:szCs w:val="24"/>
        </w:rPr>
        <w:t xml:space="preserve">ao Tribunal </w:t>
      </w:r>
      <w:r w:rsidR="00D01B8C" w:rsidRPr="003A1174">
        <w:rPr>
          <w:rFonts w:ascii="Garamond" w:hAnsi="Garamond" w:cs="Arial"/>
          <w:sz w:val="24"/>
          <w:szCs w:val="24"/>
        </w:rPr>
        <w:t>de Apela</w:t>
      </w:r>
      <w:r w:rsidRPr="003A1174">
        <w:rPr>
          <w:rFonts w:ascii="Garamond" w:hAnsi="Garamond" w:cs="Arial"/>
          <w:sz w:val="24"/>
          <w:szCs w:val="24"/>
        </w:rPr>
        <w:t xml:space="preserve">ções </w:t>
      </w:r>
      <w:r w:rsidR="008A3DA2" w:rsidRPr="003A1174">
        <w:rPr>
          <w:rFonts w:ascii="Garamond" w:hAnsi="Garamond" w:cs="Arial"/>
          <w:sz w:val="24"/>
          <w:szCs w:val="24"/>
        </w:rPr>
        <w:t>do</w:t>
      </w:r>
      <w:r w:rsidR="00D01B8C" w:rsidRPr="003A1174">
        <w:rPr>
          <w:rFonts w:ascii="Garamond" w:hAnsi="Garamond" w:cs="Arial"/>
          <w:sz w:val="24"/>
          <w:szCs w:val="24"/>
        </w:rPr>
        <w:t xml:space="preserve"> </w:t>
      </w:r>
      <w:r w:rsidR="00276DCA" w:rsidRPr="003A1174">
        <w:rPr>
          <w:rFonts w:ascii="Garamond" w:hAnsi="Garamond" w:cs="Arial"/>
          <w:sz w:val="24"/>
          <w:szCs w:val="24"/>
        </w:rPr>
        <w:t>Primeiro</w:t>
      </w:r>
      <w:r w:rsidR="00D01B8C" w:rsidRPr="003A1174">
        <w:rPr>
          <w:rFonts w:ascii="Garamond" w:hAnsi="Garamond" w:cs="Arial"/>
          <w:sz w:val="24"/>
          <w:szCs w:val="24"/>
        </w:rPr>
        <w:t xml:space="preserve"> Circuito, localizada </w:t>
      </w:r>
      <w:r w:rsidRPr="003A1174">
        <w:rPr>
          <w:rFonts w:ascii="Garamond" w:hAnsi="Garamond" w:cs="Arial"/>
          <w:sz w:val="24"/>
          <w:szCs w:val="24"/>
        </w:rPr>
        <w:t xml:space="preserve">no </w:t>
      </w:r>
      <w:r w:rsidR="00D01B8C" w:rsidRPr="003A1174">
        <w:rPr>
          <w:rFonts w:ascii="Garamond" w:hAnsi="Garamond" w:cs="Arial"/>
          <w:sz w:val="24"/>
          <w:szCs w:val="24"/>
        </w:rPr>
        <w:t>estado de Massachusetts. Por último, enc</w:t>
      </w:r>
      <w:r w:rsidRPr="003A1174">
        <w:rPr>
          <w:rFonts w:ascii="Garamond" w:hAnsi="Garamond" w:cs="Arial"/>
          <w:sz w:val="24"/>
          <w:szCs w:val="24"/>
        </w:rPr>
        <w:t>o</w:t>
      </w:r>
      <w:r w:rsidR="00D01B8C" w:rsidRPr="003A1174">
        <w:rPr>
          <w:rFonts w:ascii="Garamond" w:hAnsi="Garamond" w:cs="Arial"/>
          <w:sz w:val="24"/>
          <w:szCs w:val="24"/>
        </w:rPr>
        <w:t>ntra</w:t>
      </w:r>
      <w:r w:rsidRPr="003A1174">
        <w:rPr>
          <w:rFonts w:ascii="Garamond" w:hAnsi="Garamond" w:cs="Arial"/>
          <w:sz w:val="24"/>
          <w:szCs w:val="24"/>
        </w:rPr>
        <w:t xml:space="preserve">-se </w:t>
      </w:r>
      <w:r w:rsidR="00935298">
        <w:rPr>
          <w:rFonts w:ascii="Garamond" w:hAnsi="Garamond" w:cs="Arial"/>
          <w:sz w:val="24"/>
          <w:szCs w:val="24"/>
        </w:rPr>
        <w:t>o</w:t>
      </w:r>
      <w:r w:rsidR="00D01B8C" w:rsidRPr="003A1174">
        <w:rPr>
          <w:rFonts w:ascii="Garamond" w:hAnsi="Garamond" w:cs="Arial"/>
          <w:sz w:val="24"/>
          <w:szCs w:val="24"/>
        </w:rPr>
        <w:t xml:space="preserve"> Suprem</w:t>
      </w:r>
      <w:r w:rsidR="00935298">
        <w:rPr>
          <w:rFonts w:ascii="Garamond" w:hAnsi="Garamond" w:cs="Arial"/>
          <w:sz w:val="24"/>
          <w:szCs w:val="24"/>
        </w:rPr>
        <w:t>o Tribunal</w:t>
      </w:r>
      <w:r w:rsidR="00D01B8C" w:rsidRPr="003A1174">
        <w:rPr>
          <w:rFonts w:ascii="Garamond" w:hAnsi="Garamond" w:cs="Arial"/>
          <w:sz w:val="24"/>
          <w:szCs w:val="24"/>
        </w:rPr>
        <w:t xml:space="preserve"> </w:t>
      </w:r>
      <w:r w:rsidR="00497503" w:rsidRPr="003A1174">
        <w:rPr>
          <w:rFonts w:ascii="Garamond" w:hAnsi="Garamond" w:cs="Arial"/>
          <w:sz w:val="24"/>
          <w:szCs w:val="24"/>
        </w:rPr>
        <w:t>dos</w:t>
      </w:r>
      <w:r w:rsidR="00B54EF9" w:rsidRPr="003A1174">
        <w:rPr>
          <w:rFonts w:ascii="Garamond" w:hAnsi="Garamond" w:cs="Arial"/>
          <w:sz w:val="24"/>
          <w:szCs w:val="24"/>
        </w:rPr>
        <w:t xml:space="preserve"> </w:t>
      </w:r>
      <w:r w:rsidRPr="003A1174">
        <w:rPr>
          <w:rFonts w:ascii="Garamond" w:hAnsi="Garamond" w:cs="Arial"/>
          <w:sz w:val="24"/>
          <w:szCs w:val="24"/>
        </w:rPr>
        <w:t>EUA</w:t>
      </w:r>
      <w:r w:rsidR="00D01B8C" w:rsidRPr="003A1174">
        <w:rPr>
          <w:rFonts w:ascii="Garamond" w:hAnsi="Garamond" w:cs="Arial"/>
          <w:sz w:val="24"/>
          <w:szCs w:val="24"/>
        </w:rPr>
        <w:t xml:space="preserve">. </w:t>
      </w:r>
      <w:r w:rsidRPr="003A1174">
        <w:rPr>
          <w:rFonts w:ascii="Garamond" w:hAnsi="Garamond" w:cs="Arial"/>
          <w:sz w:val="24"/>
          <w:szCs w:val="24"/>
        </w:rPr>
        <w:t>A</w:t>
      </w:r>
      <w:r w:rsidR="00D01B8C" w:rsidRPr="003A1174">
        <w:rPr>
          <w:rFonts w:ascii="Garamond" w:hAnsi="Garamond" w:cs="Arial"/>
          <w:sz w:val="24"/>
          <w:szCs w:val="24"/>
        </w:rPr>
        <w:t xml:space="preserve">s </w:t>
      </w:r>
      <w:r w:rsidR="005D38DC" w:rsidRPr="003A1174">
        <w:rPr>
          <w:rFonts w:ascii="Garamond" w:hAnsi="Garamond" w:cs="Arial"/>
          <w:sz w:val="24"/>
          <w:szCs w:val="24"/>
        </w:rPr>
        <w:t>decisões</w:t>
      </w:r>
      <w:r w:rsidR="00D01B8C" w:rsidRPr="003A1174">
        <w:rPr>
          <w:rFonts w:ascii="Garamond" w:hAnsi="Garamond" w:cs="Arial"/>
          <w:sz w:val="24"/>
          <w:szCs w:val="24"/>
        </w:rPr>
        <w:t xml:space="preserve"> emitidas por est</w:t>
      </w:r>
      <w:r w:rsidRPr="003A1174">
        <w:rPr>
          <w:rFonts w:ascii="Garamond" w:hAnsi="Garamond" w:cs="Arial"/>
          <w:sz w:val="24"/>
          <w:szCs w:val="24"/>
        </w:rPr>
        <w:t xml:space="preserve">e senado </w:t>
      </w:r>
      <w:r w:rsidR="007342D9" w:rsidRPr="003A1174">
        <w:rPr>
          <w:rFonts w:ascii="Garamond" w:hAnsi="Garamond" w:cs="Arial"/>
          <w:sz w:val="24"/>
          <w:szCs w:val="24"/>
        </w:rPr>
        <w:t>obriga</w:t>
      </w:r>
      <w:r w:rsidRPr="003A1174">
        <w:rPr>
          <w:rFonts w:ascii="Garamond" w:hAnsi="Garamond" w:cs="Arial"/>
          <w:sz w:val="24"/>
          <w:szCs w:val="24"/>
        </w:rPr>
        <w:t>m</w:t>
      </w:r>
      <w:r w:rsidR="00D01B8C" w:rsidRPr="003A1174">
        <w:rPr>
          <w:rFonts w:ascii="Garamond" w:hAnsi="Garamond" w:cs="Arial"/>
          <w:sz w:val="24"/>
          <w:szCs w:val="24"/>
        </w:rPr>
        <w:t xml:space="preserve"> </w:t>
      </w:r>
      <w:r w:rsidR="0017447A" w:rsidRPr="003A1174">
        <w:rPr>
          <w:rFonts w:ascii="Garamond" w:hAnsi="Garamond" w:cs="Arial"/>
          <w:sz w:val="24"/>
          <w:szCs w:val="24"/>
        </w:rPr>
        <w:t>Porto</w:t>
      </w:r>
      <w:r w:rsidRPr="003A1174">
        <w:rPr>
          <w:rFonts w:ascii="Garamond" w:hAnsi="Garamond" w:cs="Arial"/>
          <w:sz w:val="24"/>
          <w:szCs w:val="24"/>
        </w:rPr>
        <w:t xml:space="preserve"> Rico a seguir </w:t>
      </w:r>
      <w:r w:rsidR="00D01B8C" w:rsidRPr="003A1174">
        <w:rPr>
          <w:rFonts w:ascii="Garamond" w:hAnsi="Garamond" w:cs="Arial"/>
          <w:sz w:val="24"/>
          <w:szCs w:val="24"/>
        </w:rPr>
        <w:t>o que est</w:t>
      </w:r>
      <w:r w:rsidRPr="003A1174">
        <w:rPr>
          <w:rFonts w:ascii="Garamond" w:hAnsi="Garamond" w:cs="Arial"/>
          <w:sz w:val="24"/>
          <w:szCs w:val="24"/>
        </w:rPr>
        <w:t>es decidire</w:t>
      </w:r>
      <w:r w:rsidR="00853E4C" w:rsidRPr="003A1174">
        <w:rPr>
          <w:rFonts w:ascii="Garamond" w:hAnsi="Garamond" w:cs="Arial"/>
          <w:sz w:val="24"/>
          <w:szCs w:val="24"/>
        </w:rPr>
        <w:t>m</w:t>
      </w:r>
      <w:r w:rsidR="00D01B8C" w:rsidRPr="003A1174">
        <w:rPr>
          <w:rFonts w:ascii="Garamond" w:hAnsi="Garamond" w:cs="Arial"/>
          <w:sz w:val="24"/>
          <w:szCs w:val="24"/>
        </w:rPr>
        <w:t xml:space="preserve">. </w:t>
      </w:r>
    </w:p>
    <w:p w:rsidR="00D01B8C" w:rsidRPr="003A1174" w:rsidRDefault="00DC5DA7" w:rsidP="008719D4">
      <w:pPr>
        <w:spacing w:before="240" w:line="240" w:lineRule="auto"/>
        <w:jc w:val="both"/>
        <w:rPr>
          <w:rFonts w:ascii="Garamond" w:hAnsi="Garamond" w:cs="Arial"/>
          <w:sz w:val="24"/>
          <w:szCs w:val="24"/>
        </w:rPr>
      </w:pPr>
      <w:r w:rsidRPr="003A1174">
        <w:rPr>
          <w:rFonts w:ascii="Garamond" w:hAnsi="Garamond" w:cs="Arial"/>
          <w:b/>
          <w:sz w:val="24"/>
          <w:szCs w:val="24"/>
        </w:rPr>
        <w:t>Fortalecimento</w:t>
      </w:r>
      <w:r w:rsidR="00D01B8C" w:rsidRPr="003A1174">
        <w:rPr>
          <w:rFonts w:ascii="Garamond" w:hAnsi="Garamond" w:cs="Arial"/>
          <w:b/>
          <w:sz w:val="24"/>
          <w:szCs w:val="24"/>
        </w:rPr>
        <w:t xml:space="preserve"> </w:t>
      </w:r>
      <w:r w:rsidR="008A3DA2" w:rsidRPr="003A1174">
        <w:rPr>
          <w:rFonts w:ascii="Garamond" w:hAnsi="Garamond" w:cs="Arial"/>
          <w:b/>
          <w:sz w:val="24"/>
          <w:szCs w:val="24"/>
        </w:rPr>
        <w:t>do</w:t>
      </w:r>
      <w:r w:rsidR="00D01B8C" w:rsidRPr="003A1174">
        <w:rPr>
          <w:rFonts w:ascii="Garamond" w:hAnsi="Garamond" w:cs="Arial"/>
          <w:b/>
          <w:sz w:val="24"/>
          <w:szCs w:val="24"/>
        </w:rPr>
        <w:t xml:space="preserve"> </w:t>
      </w:r>
      <w:r w:rsidR="001A53AD" w:rsidRPr="003A1174">
        <w:rPr>
          <w:rFonts w:ascii="Garamond" w:hAnsi="Garamond" w:cs="Arial"/>
          <w:b/>
          <w:sz w:val="24"/>
          <w:szCs w:val="24"/>
        </w:rPr>
        <w:t>papel</w:t>
      </w:r>
      <w:r w:rsidR="00D01B8C" w:rsidRPr="003A1174">
        <w:rPr>
          <w:rFonts w:ascii="Garamond" w:hAnsi="Garamond" w:cs="Arial"/>
          <w:b/>
          <w:sz w:val="24"/>
          <w:szCs w:val="24"/>
        </w:rPr>
        <w:t xml:space="preserve"> </w:t>
      </w:r>
      <w:r w:rsidR="00497503" w:rsidRPr="003A1174">
        <w:rPr>
          <w:rFonts w:ascii="Garamond" w:hAnsi="Garamond" w:cs="Arial"/>
          <w:b/>
          <w:sz w:val="24"/>
          <w:szCs w:val="24"/>
        </w:rPr>
        <w:t>das</w:t>
      </w:r>
      <w:r w:rsidR="00D01B8C" w:rsidRPr="003A1174">
        <w:rPr>
          <w:rFonts w:ascii="Garamond" w:hAnsi="Garamond" w:cs="Arial"/>
          <w:b/>
          <w:sz w:val="24"/>
          <w:szCs w:val="24"/>
        </w:rPr>
        <w:t xml:space="preserve"> </w:t>
      </w:r>
      <w:r w:rsidRPr="003A1174">
        <w:rPr>
          <w:rFonts w:ascii="Garamond" w:hAnsi="Garamond" w:cs="Arial"/>
          <w:b/>
          <w:sz w:val="24"/>
          <w:szCs w:val="24"/>
        </w:rPr>
        <w:t>Provedorias</w:t>
      </w:r>
      <w:r w:rsidR="00D01B8C" w:rsidRPr="003A1174">
        <w:rPr>
          <w:rFonts w:ascii="Garamond" w:hAnsi="Garamond" w:cs="Arial"/>
          <w:b/>
          <w:sz w:val="24"/>
          <w:szCs w:val="24"/>
        </w:rPr>
        <w:t xml:space="preserve"> </w:t>
      </w:r>
      <w:r w:rsidRPr="003A1174">
        <w:rPr>
          <w:rFonts w:ascii="Garamond" w:hAnsi="Garamond" w:cs="Arial"/>
          <w:b/>
          <w:sz w:val="24"/>
          <w:szCs w:val="24"/>
        </w:rPr>
        <w:t>de Justiça</w:t>
      </w:r>
      <w:r w:rsidR="00D01B8C" w:rsidRPr="003A1174">
        <w:rPr>
          <w:rFonts w:ascii="Garamond" w:hAnsi="Garamond" w:cs="Arial"/>
          <w:b/>
          <w:sz w:val="24"/>
          <w:szCs w:val="24"/>
        </w:rPr>
        <w:t xml:space="preserve"> </w:t>
      </w:r>
      <w:r w:rsidR="00FC5E28" w:rsidRPr="003A1174">
        <w:rPr>
          <w:rFonts w:ascii="Garamond" w:hAnsi="Garamond" w:cs="Arial"/>
          <w:b/>
          <w:sz w:val="24"/>
          <w:szCs w:val="24"/>
        </w:rPr>
        <w:t xml:space="preserve">no </w:t>
      </w:r>
      <w:r w:rsidR="00253B1D" w:rsidRPr="003A1174">
        <w:rPr>
          <w:rFonts w:ascii="Garamond" w:hAnsi="Garamond" w:cs="Arial"/>
          <w:b/>
          <w:sz w:val="24"/>
          <w:szCs w:val="24"/>
        </w:rPr>
        <w:t>controlo</w:t>
      </w:r>
      <w:r w:rsidR="00D01B8C" w:rsidRPr="003A1174">
        <w:rPr>
          <w:rFonts w:ascii="Garamond" w:hAnsi="Garamond" w:cs="Arial"/>
          <w:b/>
          <w:sz w:val="24"/>
          <w:szCs w:val="24"/>
        </w:rPr>
        <w:t xml:space="preserve">, </w:t>
      </w:r>
      <w:r w:rsidR="002C7510" w:rsidRPr="003A1174">
        <w:rPr>
          <w:rFonts w:ascii="Garamond" w:hAnsi="Garamond" w:cs="Arial"/>
          <w:b/>
          <w:sz w:val="24"/>
          <w:szCs w:val="24"/>
        </w:rPr>
        <w:t>defesa</w:t>
      </w:r>
      <w:r w:rsidR="00D01B8C" w:rsidRPr="003A1174">
        <w:rPr>
          <w:rFonts w:ascii="Garamond" w:hAnsi="Garamond" w:cs="Arial"/>
          <w:b/>
          <w:sz w:val="24"/>
          <w:szCs w:val="24"/>
        </w:rPr>
        <w:t xml:space="preserve"> </w:t>
      </w:r>
      <w:r w:rsidR="00497503" w:rsidRPr="003A1174">
        <w:rPr>
          <w:rFonts w:ascii="Garamond" w:hAnsi="Garamond" w:cs="Arial"/>
          <w:b/>
          <w:sz w:val="24"/>
          <w:szCs w:val="24"/>
        </w:rPr>
        <w:t>e</w:t>
      </w:r>
      <w:r w:rsidR="00D01B8C" w:rsidRPr="003A1174">
        <w:rPr>
          <w:rFonts w:ascii="Garamond" w:hAnsi="Garamond" w:cs="Arial"/>
          <w:b/>
          <w:sz w:val="24"/>
          <w:szCs w:val="24"/>
        </w:rPr>
        <w:t xml:space="preserve"> </w:t>
      </w:r>
      <w:r w:rsidR="002F5CD1" w:rsidRPr="003A1174">
        <w:rPr>
          <w:rFonts w:ascii="Garamond" w:hAnsi="Garamond" w:cs="Arial"/>
          <w:b/>
          <w:sz w:val="24"/>
          <w:szCs w:val="24"/>
        </w:rPr>
        <w:t>promoção</w:t>
      </w:r>
      <w:r w:rsidR="00D01B8C" w:rsidRPr="003A1174">
        <w:rPr>
          <w:rFonts w:ascii="Garamond" w:hAnsi="Garamond" w:cs="Arial"/>
          <w:b/>
          <w:sz w:val="24"/>
          <w:szCs w:val="24"/>
        </w:rPr>
        <w:t xml:space="preserve"> deste </w:t>
      </w:r>
      <w:r w:rsidR="00886D6A" w:rsidRPr="003A1174">
        <w:rPr>
          <w:rFonts w:ascii="Garamond" w:hAnsi="Garamond" w:cs="Arial"/>
          <w:b/>
          <w:sz w:val="24"/>
          <w:szCs w:val="24"/>
        </w:rPr>
        <w:t>direito</w:t>
      </w:r>
      <w:r w:rsidR="00D01B8C" w:rsidRPr="003A1174">
        <w:rPr>
          <w:rFonts w:ascii="Garamond" w:hAnsi="Garamond" w:cs="Arial"/>
          <w:sz w:val="24"/>
          <w:szCs w:val="24"/>
        </w:rPr>
        <w:t>.</w:t>
      </w:r>
    </w:p>
    <w:p w:rsidR="00D01B8C" w:rsidRPr="003A1174" w:rsidRDefault="001A53AD" w:rsidP="008719D4">
      <w:pPr>
        <w:spacing w:before="240" w:line="240" w:lineRule="auto"/>
        <w:jc w:val="both"/>
        <w:rPr>
          <w:rFonts w:ascii="Garamond" w:eastAsiaTheme="minorEastAsia" w:hAnsi="Garamond" w:cs="Arial"/>
          <w:sz w:val="24"/>
          <w:szCs w:val="24"/>
        </w:rPr>
      </w:pPr>
      <w:r w:rsidRPr="003A1174">
        <w:rPr>
          <w:rFonts w:ascii="Garamond" w:hAnsi="Garamond" w:cs="Arial"/>
          <w:sz w:val="24"/>
          <w:szCs w:val="24"/>
        </w:rPr>
        <w:t xml:space="preserve">Na sua </w:t>
      </w:r>
      <w:r w:rsidRPr="003A1174">
        <w:rPr>
          <w:rFonts w:ascii="Garamond" w:eastAsiaTheme="minorEastAsia" w:hAnsi="Garamond" w:cs="Arial"/>
          <w:sz w:val="24"/>
          <w:szCs w:val="24"/>
        </w:rPr>
        <w:t>missão</w:t>
      </w:r>
      <w:r w:rsidR="00D01B8C" w:rsidRPr="003A1174">
        <w:rPr>
          <w:rFonts w:ascii="Garamond" w:eastAsiaTheme="minorEastAsia" w:hAnsi="Garamond" w:cs="Arial"/>
          <w:sz w:val="24"/>
          <w:szCs w:val="24"/>
        </w:rPr>
        <w:t xml:space="preserve"> de </w:t>
      </w:r>
      <w:r w:rsidR="00281C19">
        <w:rPr>
          <w:rFonts w:ascii="Garamond" w:eastAsiaTheme="minorEastAsia" w:hAnsi="Garamond" w:cs="Arial"/>
          <w:sz w:val="24"/>
          <w:szCs w:val="24"/>
        </w:rPr>
        <w:t>z</w:t>
      </w:r>
      <w:r w:rsidR="00D01B8C" w:rsidRPr="003A1174">
        <w:rPr>
          <w:rFonts w:ascii="Garamond" w:eastAsiaTheme="minorEastAsia" w:hAnsi="Garamond" w:cs="Arial"/>
          <w:sz w:val="24"/>
          <w:szCs w:val="24"/>
        </w:rPr>
        <w:t xml:space="preserve">elar, promover </w:t>
      </w:r>
      <w:r w:rsidR="00497503" w:rsidRPr="003A1174">
        <w:rPr>
          <w:rFonts w:ascii="Garamond" w:eastAsiaTheme="minorEastAsia" w:hAnsi="Garamond" w:cs="Arial"/>
          <w:sz w:val="24"/>
          <w:szCs w:val="24"/>
        </w:rPr>
        <w:t>e</w:t>
      </w:r>
      <w:r w:rsidR="00D01B8C" w:rsidRPr="003A1174">
        <w:rPr>
          <w:rFonts w:ascii="Garamond" w:eastAsiaTheme="minorEastAsia" w:hAnsi="Garamond" w:cs="Arial"/>
          <w:sz w:val="24"/>
          <w:szCs w:val="24"/>
        </w:rPr>
        <w:t xml:space="preserve"> </w:t>
      </w:r>
      <w:r w:rsidR="00AF192F" w:rsidRPr="003A1174">
        <w:rPr>
          <w:rFonts w:ascii="Garamond" w:eastAsiaTheme="minorEastAsia" w:hAnsi="Garamond" w:cs="Arial"/>
          <w:sz w:val="24"/>
          <w:szCs w:val="24"/>
        </w:rPr>
        <w:t>garantir</w:t>
      </w:r>
      <w:r w:rsidRPr="003A1174">
        <w:rPr>
          <w:rFonts w:ascii="Garamond" w:eastAsiaTheme="minorEastAsia" w:hAnsi="Garamond" w:cs="Arial"/>
          <w:sz w:val="24"/>
          <w:szCs w:val="24"/>
        </w:rPr>
        <w:t xml:space="preserve"> </w:t>
      </w:r>
      <w:r w:rsidR="00D01B8C" w:rsidRPr="003A1174">
        <w:rPr>
          <w:rFonts w:ascii="Garamond" w:eastAsiaTheme="minorEastAsia" w:hAnsi="Garamond" w:cs="Arial"/>
          <w:sz w:val="24"/>
          <w:szCs w:val="24"/>
        </w:rPr>
        <w:t xml:space="preserve">a </w:t>
      </w:r>
      <w:r w:rsidR="00886D6A" w:rsidRPr="003A1174">
        <w:rPr>
          <w:rFonts w:ascii="Garamond" w:eastAsiaTheme="minorEastAsia" w:hAnsi="Garamond" w:cs="Arial"/>
          <w:sz w:val="24"/>
          <w:szCs w:val="24"/>
        </w:rPr>
        <w:t>proteção</w:t>
      </w:r>
      <w:r w:rsidR="00D01B8C" w:rsidRPr="003A1174">
        <w:rPr>
          <w:rFonts w:ascii="Garamond" w:eastAsiaTheme="minorEastAsia" w:hAnsi="Garamond" w:cs="Arial"/>
          <w:sz w:val="24"/>
          <w:szCs w:val="24"/>
        </w:rPr>
        <w:t xml:space="preserve"> </w:t>
      </w:r>
      <w:r w:rsidR="00497503" w:rsidRPr="003A1174">
        <w:rPr>
          <w:rFonts w:ascii="Garamond" w:eastAsiaTheme="minorEastAsia" w:hAnsi="Garamond" w:cs="Arial"/>
          <w:sz w:val="24"/>
          <w:szCs w:val="24"/>
        </w:rPr>
        <w:t>dos</w:t>
      </w:r>
      <w:r w:rsidR="00D01B8C" w:rsidRPr="003A1174">
        <w:rPr>
          <w:rFonts w:ascii="Garamond" w:eastAsiaTheme="minorEastAsia" w:hAnsi="Garamond" w:cs="Arial"/>
          <w:sz w:val="24"/>
          <w:szCs w:val="24"/>
        </w:rPr>
        <w:t xml:space="preserve"> </w:t>
      </w:r>
      <w:r w:rsidR="00886D6A" w:rsidRPr="003A1174">
        <w:rPr>
          <w:rFonts w:ascii="Garamond" w:eastAsiaTheme="minorEastAsia" w:hAnsi="Garamond" w:cs="Arial"/>
          <w:sz w:val="24"/>
          <w:szCs w:val="24"/>
        </w:rPr>
        <w:t>direito</w:t>
      </w:r>
      <w:r w:rsidR="00D01B8C" w:rsidRPr="003A1174">
        <w:rPr>
          <w:rFonts w:ascii="Garamond" w:eastAsiaTheme="minorEastAsia" w:hAnsi="Garamond" w:cs="Arial"/>
          <w:sz w:val="24"/>
          <w:szCs w:val="24"/>
        </w:rPr>
        <w:t xml:space="preserve">s da </w:t>
      </w:r>
      <w:r w:rsidR="00C90370" w:rsidRPr="003A1174">
        <w:rPr>
          <w:rFonts w:ascii="Garamond" w:eastAsiaTheme="minorEastAsia" w:hAnsi="Garamond" w:cs="Arial"/>
          <w:sz w:val="24"/>
          <w:szCs w:val="24"/>
        </w:rPr>
        <w:t>cidadania</w:t>
      </w:r>
      <w:r w:rsidR="00D01B8C" w:rsidRPr="003A1174">
        <w:rPr>
          <w:rFonts w:ascii="Garamond" w:eastAsiaTheme="minorEastAsia" w:hAnsi="Garamond" w:cs="Arial"/>
          <w:sz w:val="24"/>
          <w:szCs w:val="24"/>
        </w:rPr>
        <w:t xml:space="preserve"> </w:t>
      </w:r>
      <w:r w:rsidR="00497503" w:rsidRPr="003A1174">
        <w:rPr>
          <w:rFonts w:ascii="Garamond" w:eastAsiaTheme="minorEastAsia" w:hAnsi="Garamond" w:cs="Arial"/>
          <w:sz w:val="24"/>
          <w:szCs w:val="24"/>
        </w:rPr>
        <w:t>e</w:t>
      </w:r>
      <w:r w:rsidR="00D01B8C" w:rsidRPr="003A1174">
        <w:rPr>
          <w:rFonts w:ascii="Garamond" w:eastAsiaTheme="minorEastAsia" w:hAnsi="Garamond" w:cs="Arial"/>
          <w:sz w:val="24"/>
          <w:szCs w:val="24"/>
        </w:rPr>
        <w:t xml:space="preserve"> </w:t>
      </w:r>
      <w:r w:rsidR="00497503" w:rsidRPr="003A1174">
        <w:rPr>
          <w:rFonts w:ascii="Garamond" w:eastAsiaTheme="minorEastAsia" w:hAnsi="Garamond" w:cs="Arial"/>
          <w:sz w:val="24"/>
          <w:szCs w:val="24"/>
        </w:rPr>
        <w:t>das</w:t>
      </w:r>
      <w:r w:rsidR="00D01B8C" w:rsidRPr="003A1174">
        <w:rPr>
          <w:rFonts w:ascii="Garamond" w:eastAsiaTheme="minorEastAsia" w:hAnsi="Garamond" w:cs="Arial"/>
          <w:sz w:val="24"/>
          <w:szCs w:val="24"/>
        </w:rPr>
        <w:t xml:space="preserve"> </w:t>
      </w:r>
      <w:r w:rsidR="00054EE0" w:rsidRPr="003A1174">
        <w:rPr>
          <w:rFonts w:ascii="Garamond" w:eastAsiaTheme="minorEastAsia" w:hAnsi="Garamond" w:cs="Arial"/>
          <w:sz w:val="24"/>
          <w:szCs w:val="24"/>
        </w:rPr>
        <w:t>mulheres</w:t>
      </w:r>
      <w:r w:rsidR="00D01B8C" w:rsidRPr="003A1174">
        <w:rPr>
          <w:rFonts w:ascii="Garamond" w:eastAsiaTheme="minorEastAsia" w:hAnsi="Garamond" w:cs="Arial"/>
          <w:sz w:val="24"/>
          <w:szCs w:val="24"/>
        </w:rPr>
        <w:t xml:space="preserve"> que f</w:t>
      </w:r>
      <w:r w:rsidRPr="003A1174">
        <w:rPr>
          <w:rFonts w:ascii="Garamond" w:eastAsiaTheme="minorEastAsia" w:hAnsi="Garamond" w:cs="Arial"/>
          <w:sz w:val="24"/>
          <w:szCs w:val="24"/>
        </w:rPr>
        <w:t xml:space="preserve">azem </w:t>
      </w:r>
      <w:r w:rsidR="00D01B8C" w:rsidRPr="003A1174">
        <w:rPr>
          <w:rFonts w:ascii="Garamond" w:eastAsiaTheme="minorEastAsia" w:hAnsi="Garamond" w:cs="Arial"/>
          <w:sz w:val="24"/>
          <w:szCs w:val="24"/>
        </w:rPr>
        <w:t>parte d</w:t>
      </w:r>
      <w:r w:rsidRPr="003A1174">
        <w:rPr>
          <w:rFonts w:ascii="Garamond" w:eastAsiaTheme="minorEastAsia" w:hAnsi="Garamond" w:cs="Arial"/>
          <w:sz w:val="24"/>
          <w:szCs w:val="24"/>
        </w:rPr>
        <w:t xml:space="preserve">o seu </w:t>
      </w:r>
      <w:r w:rsidR="008278C4" w:rsidRPr="003A1174">
        <w:rPr>
          <w:rFonts w:ascii="Garamond" w:eastAsiaTheme="minorEastAsia" w:hAnsi="Garamond" w:cs="Arial"/>
          <w:sz w:val="24"/>
          <w:szCs w:val="24"/>
        </w:rPr>
        <w:t>pessoal</w:t>
      </w:r>
      <w:r w:rsidR="00D01B8C" w:rsidRPr="003A1174">
        <w:rPr>
          <w:rFonts w:ascii="Garamond" w:eastAsiaTheme="minorEastAsia" w:hAnsi="Garamond" w:cs="Arial"/>
          <w:sz w:val="24"/>
          <w:szCs w:val="24"/>
        </w:rPr>
        <w:t xml:space="preserve">, </w:t>
      </w:r>
      <w:r w:rsidRPr="003A1174">
        <w:rPr>
          <w:rFonts w:ascii="Garamond" w:eastAsiaTheme="minorEastAsia" w:hAnsi="Garamond" w:cs="Arial"/>
          <w:sz w:val="24"/>
          <w:szCs w:val="24"/>
        </w:rPr>
        <w:t>conta-</w:t>
      </w:r>
      <w:r w:rsidR="003409C2" w:rsidRPr="003A1174">
        <w:rPr>
          <w:rFonts w:ascii="Garamond" w:eastAsiaTheme="minorEastAsia" w:hAnsi="Garamond" w:cs="Arial"/>
          <w:sz w:val="24"/>
          <w:szCs w:val="24"/>
        </w:rPr>
        <w:t>se c</w:t>
      </w:r>
      <w:r w:rsidRPr="003A1174">
        <w:rPr>
          <w:rFonts w:ascii="Garamond" w:eastAsiaTheme="minorEastAsia" w:hAnsi="Garamond" w:cs="Arial"/>
          <w:sz w:val="24"/>
          <w:szCs w:val="24"/>
        </w:rPr>
        <w:t>om o</w:t>
      </w:r>
      <w:r w:rsidR="003409C2" w:rsidRPr="003A1174">
        <w:rPr>
          <w:rFonts w:ascii="Garamond" w:eastAsiaTheme="minorEastAsia" w:hAnsi="Garamond" w:cs="Arial"/>
          <w:sz w:val="24"/>
          <w:szCs w:val="24"/>
        </w:rPr>
        <w:t xml:space="preserve"> </w:t>
      </w:r>
      <w:r w:rsidR="006B29BF" w:rsidRPr="003A1174">
        <w:rPr>
          <w:rFonts w:ascii="Garamond" w:eastAsiaTheme="minorEastAsia" w:hAnsi="Garamond" w:cs="Arial"/>
          <w:sz w:val="24"/>
          <w:szCs w:val="24"/>
        </w:rPr>
        <w:t>seguinte</w:t>
      </w:r>
      <w:r w:rsidR="00D01B8C" w:rsidRPr="003A1174">
        <w:rPr>
          <w:rFonts w:ascii="Garamond" w:eastAsiaTheme="minorEastAsia" w:hAnsi="Garamond" w:cs="Arial"/>
          <w:sz w:val="24"/>
          <w:szCs w:val="24"/>
        </w:rPr>
        <w:t xml:space="preserve"> </w:t>
      </w:r>
      <w:r w:rsidRPr="003A1174">
        <w:rPr>
          <w:rFonts w:ascii="Garamond" w:eastAsiaTheme="minorEastAsia" w:hAnsi="Garamond" w:cs="Arial"/>
          <w:sz w:val="24"/>
          <w:szCs w:val="24"/>
        </w:rPr>
        <w:t>regulamento</w:t>
      </w:r>
      <w:r w:rsidR="00D01B8C" w:rsidRPr="003A1174">
        <w:rPr>
          <w:rFonts w:ascii="Garamond" w:eastAsiaTheme="minorEastAsia" w:hAnsi="Garamond" w:cs="Arial"/>
          <w:sz w:val="24"/>
          <w:szCs w:val="24"/>
        </w:rPr>
        <w:t>:</w:t>
      </w:r>
    </w:p>
    <w:p w:rsidR="00D01B8C" w:rsidRPr="003A1174" w:rsidRDefault="00CD707D" w:rsidP="008719D4">
      <w:pPr>
        <w:pStyle w:val="Prrafodelista"/>
        <w:numPr>
          <w:ilvl w:val="0"/>
          <w:numId w:val="24"/>
        </w:numPr>
        <w:tabs>
          <w:tab w:val="clear" w:pos="708"/>
        </w:tabs>
        <w:suppressAutoHyphens w:val="0"/>
        <w:spacing w:before="240" w:line="240" w:lineRule="auto"/>
        <w:contextualSpacing/>
        <w:jc w:val="both"/>
        <w:rPr>
          <w:rFonts w:ascii="Garamond" w:hAnsi="Garamond" w:cs="Arial"/>
          <w:color w:val="auto"/>
          <w:sz w:val="24"/>
          <w:szCs w:val="24"/>
          <w:lang w:val="pt-PT"/>
        </w:rPr>
      </w:pPr>
      <w:r w:rsidRPr="003A1174">
        <w:rPr>
          <w:rFonts w:ascii="Garamond" w:hAnsi="Garamond" w:cs="Arial"/>
          <w:i/>
          <w:color w:val="auto"/>
          <w:sz w:val="24"/>
          <w:szCs w:val="24"/>
          <w:lang w:val="pt-PT"/>
        </w:rPr>
        <w:t>Regulamento</w:t>
      </w:r>
      <w:r w:rsidR="00D01B8C" w:rsidRPr="003A1174">
        <w:rPr>
          <w:rFonts w:ascii="Garamond" w:hAnsi="Garamond" w:cs="Arial"/>
          <w:i/>
          <w:color w:val="auto"/>
          <w:sz w:val="24"/>
          <w:szCs w:val="24"/>
          <w:lang w:val="pt-PT"/>
        </w:rPr>
        <w:t xml:space="preserve">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15 - </w:t>
      </w:r>
      <w:r w:rsidR="001A53AD" w:rsidRPr="003A1174">
        <w:rPr>
          <w:rFonts w:ascii="Garamond" w:hAnsi="Garamond" w:cs="Arial"/>
          <w:color w:val="auto"/>
          <w:sz w:val="24"/>
          <w:szCs w:val="24"/>
          <w:lang w:val="pt-PT"/>
        </w:rPr>
        <w:t xml:space="preserve">Para </w:t>
      </w:r>
      <w:r w:rsidR="00D01B8C" w:rsidRPr="003A1174">
        <w:rPr>
          <w:rFonts w:ascii="Garamond" w:hAnsi="Garamond" w:cs="Arial"/>
          <w:color w:val="auto"/>
          <w:sz w:val="24"/>
          <w:szCs w:val="24"/>
          <w:lang w:val="pt-PT"/>
        </w:rPr>
        <w:t xml:space="preserve">a </w:t>
      </w:r>
      <w:r w:rsidR="00FB09CA" w:rsidRPr="003A1174">
        <w:rPr>
          <w:rFonts w:ascii="Garamond" w:hAnsi="Garamond" w:cs="Arial"/>
          <w:color w:val="auto"/>
          <w:sz w:val="24"/>
          <w:szCs w:val="24"/>
          <w:lang w:val="pt-PT"/>
        </w:rPr>
        <w:t>Administração</w:t>
      </w:r>
      <w:r w:rsidR="00D01B8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D01B8C" w:rsidRPr="003A1174">
        <w:rPr>
          <w:rFonts w:ascii="Garamond" w:hAnsi="Garamond" w:cs="Arial"/>
          <w:color w:val="auto"/>
          <w:sz w:val="24"/>
          <w:szCs w:val="24"/>
          <w:lang w:val="pt-PT"/>
        </w:rPr>
        <w:t xml:space="preserve"> Recursos Humano</w:t>
      </w:r>
      <w:r w:rsidR="001A53AD" w:rsidRPr="003A1174">
        <w:rPr>
          <w:rFonts w:ascii="Garamond" w:hAnsi="Garamond" w:cs="Arial"/>
          <w:color w:val="auto"/>
          <w:sz w:val="24"/>
          <w:szCs w:val="24"/>
          <w:lang w:val="pt-PT"/>
        </w:rPr>
        <w:t>s</w:t>
      </w:r>
      <w:r w:rsidR="00D01B8C"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D01B8C" w:rsidRPr="003A1174">
        <w:rPr>
          <w:rFonts w:ascii="Garamond" w:hAnsi="Garamond" w:cs="Arial"/>
          <w:color w:val="auto"/>
          <w:sz w:val="24"/>
          <w:szCs w:val="24"/>
          <w:lang w:val="pt-PT"/>
        </w:rPr>
        <w:t xml:space="preserve"> </w:t>
      </w:r>
      <w:r w:rsidR="00B531F2" w:rsidRPr="003A1174">
        <w:rPr>
          <w:rFonts w:ascii="Garamond" w:hAnsi="Garamond" w:cs="Arial"/>
          <w:color w:val="auto"/>
          <w:sz w:val="24"/>
          <w:szCs w:val="24"/>
          <w:lang w:val="pt-PT"/>
        </w:rPr>
        <w:t>Serviço</w:t>
      </w:r>
      <w:r w:rsidR="00D01B8C" w:rsidRPr="003A1174">
        <w:rPr>
          <w:rFonts w:ascii="Garamond" w:hAnsi="Garamond" w:cs="Arial"/>
          <w:color w:val="auto"/>
          <w:sz w:val="24"/>
          <w:szCs w:val="24"/>
          <w:lang w:val="pt-PT"/>
        </w:rPr>
        <w:t xml:space="preserve"> de Carre</w:t>
      </w:r>
      <w:r w:rsidR="001A53AD" w:rsidRPr="003A1174">
        <w:rPr>
          <w:rFonts w:ascii="Garamond" w:hAnsi="Garamond" w:cs="Arial"/>
          <w:color w:val="auto"/>
          <w:sz w:val="24"/>
          <w:szCs w:val="24"/>
          <w:lang w:val="pt-PT"/>
        </w:rPr>
        <w:t>i</w:t>
      </w:r>
      <w:r w:rsidR="00D01B8C" w:rsidRPr="003A1174">
        <w:rPr>
          <w:rFonts w:ascii="Garamond" w:hAnsi="Garamond" w:cs="Arial"/>
          <w:color w:val="auto"/>
          <w:sz w:val="24"/>
          <w:szCs w:val="24"/>
          <w:lang w:val="pt-PT"/>
        </w:rPr>
        <w:t>ra d</w:t>
      </w:r>
      <w:r w:rsidR="001A53AD" w:rsidRPr="003A1174">
        <w:rPr>
          <w:rFonts w:ascii="Garamond" w:hAnsi="Garamond" w:cs="Arial"/>
          <w:color w:val="auto"/>
          <w:sz w:val="24"/>
          <w:szCs w:val="24"/>
          <w:lang w:val="pt-PT"/>
        </w:rPr>
        <w:t xml:space="preserve">o Gabinete </w:t>
      </w:r>
      <w:r w:rsidR="008A3DA2" w:rsidRPr="003A1174">
        <w:rPr>
          <w:rFonts w:ascii="Garamond" w:hAnsi="Garamond" w:cs="Arial"/>
          <w:color w:val="auto"/>
          <w:sz w:val="24"/>
          <w:szCs w:val="24"/>
          <w:lang w:val="pt-PT"/>
        </w:rPr>
        <w:t>do</w:t>
      </w:r>
      <w:r w:rsidR="00D01B8C"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Provedor de Justiça</w:t>
      </w:r>
      <w:r w:rsidR="00996C68" w:rsidRPr="003A1174">
        <w:rPr>
          <w:rFonts w:ascii="Garamond" w:hAnsi="Garamond" w:cs="Arial"/>
          <w:color w:val="auto"/>
          <w:sz w:val="24"/>
          <w:szCs w:val="24"/>
          <w:lang w:val="pt-PT"/>
        </w:rPr>
        <w:t>.</w:t>
      </w:r>
      <w:r w:rsidR="00D01B8C" w:rsidRPr="003A1174">
        <w:rPr>
          <w:rFonts w:ascii="Garamond" w:hAnsi="Garamond" w:cs="Arial"/>
          <w:color w:val="auto"/>
          <w:sz w:val="24"/>
          <w:szCs w:val="24"/>
          <w:lang w:val="pt-PT"/>
        </w:rPr>
        <w:t xml:space="preserve"> </w:t>
      </w:r>
    </w:p>
    <w:p w:rsidR="00D01B8C" w:rsidRPr="003A1174" w:rsidRDefault="00CD707D"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lang w:val="pt-PT"/>
        </w:rPr>
      </w:pPr>
      <w:r w:rsidRPr="003A1174">
        <w:rPr>
          <w:rFonts w:ascii="Garamond" w:hAnsi="Garamond" w:cs="Arial"/>
          <w:i/>
          <w:color w:val="auto"/>
          <w:sz w:val="24"/>
          <w:szCs w:val="24"/>
          <w:lang w:val="pt-PT"/>
        </w:rPr>
        <w:t>Regulamento</w:t>
      </w:r>
      <w:r w:rsidR="00D01B8C" w:rsidRPr="003A1174">
        <w:rPr>
          <w:rFonts w:ascii="Garamond" w:hAnsi="Garamond" w:cs="Arial"/>
          <w:i/>
          <w:color w:val="auto"/>
          <w:sz w:val="24"/>
          <w:szCs w:val="24"/>
          <w:lang w:val="pt-PT"/>
        </w:rPr>
        <w:t xml:space="preserve">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18 – </w:t>
      </w:r>
      <w:r w:rsidRPr="003A1174">
        <w:rPr>
          <w:rFonts w:ascii="Garamond" w:hAnsi="Garamond" w:cs="Arial"/>
          <w:color w:val="auto"/>
          <w:sz w:val="24"/>
          <w:szCs w:val="24"/>
          <w:lang w:val="pt-PT"/>
        </w:rPr>
        <w:t>Regulamento</w:t>
      </w:r>
      <w:r w:rsidR="00D01B8C" w:rsidRPr="003A1174">
        <w:rPr>
          <w:rFonts w:ascii="Garamond" w:hAnsi="Garamond" w:cs="Arial"/>
          <w:color w:val="auto"/>
          <w:sz w:val="24"/>
          <w:szCs w:val="24"/>
          <w:lang w:val="pt-PT"/>
        </w:rPr>
        <w:t xml:space="preserve"> Sobre </w:t>
      </w:r>
      <w:r w:rsidR="001A53AD" w:rsidRPr="003A1174">
        <w:rPr>
          <w:rFonts w:ascii="Garamond" w:hAnsi="Garamond" w:cs="Arial"/>
          <w:color w:val="auto"/>
          <w:sz w:val="24"/>
          <w:szCs w:val="24"/>
          <w:lang w:val="pt-PT"/>
        </w:rPr>
        <w:t>Amamentação</w:t>
      </w:r>
      <w:r w:rsidR="00996C68" w:rsidRPr="003A1174">
        <w:rPr>
          <w:rFonts w:ascii="Garamond" w:hAnsi="Garamond" w:cs="Arial"/>
          <w:color w:val="auto"/>
          <w:sz w:val="24"/>
          <w:szCs w:val="24"/>
          <w:lang w:val="pt-PT"/>
        </w:rPr>
        <w:t>.</w:t>
      </w:r>
    </w:p>
    <w:p w:rsidR="00D01B8C" w:rsidRPr="003A1174" w:rsidRDefault="00CD707D"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lang w:val="pt-PT"/>
        </w:rPr>
      </w:pPr>
      <w:r w:rsidRPr="003A1174">
        <w:rPr>
          <w:rFonts w:ascii="Garamond" w:hAnsi="Garamond" w:cs="Arial"/>
          <w:i/>
          <w:color w:val="auto"/>
          <w:sz w:val="24"/>
          <w:szCs w:val="24"/>
          <w:lang w:val="pt-PT"/>
        </w:rPr>
        <w:t>Regulamento</w:t>
      </w:r>
      <w:r w:rsidR="00D01B8C" w:rsidRPr="003A1174">
        <w:rPr>
          <w:rFonts w:ascii="Garamond" w:hAnsi="Garamond" w:cs="Arial"/>
          <w:i/>
          <w:color w:val="auto"/>
          <w:sz w:val="24"/>
          <w:szCs w:val="24"/>
          <w:lang w:val="pt-PT"/>
        </w:rPr>
        <w:t xml:space="preserve">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20 – </w:t>
      </w:r>
      <w:r w:rsidR="00BE4EB8" w:rsidRPr="003A1174">
        <w:rPr>
          <w:rFonts w:ascii="Garamond" w:hAnsi="Garamond" w:cs="Arial"/>
          <w:color w:val="auto"/>
          <w:sz w:val="24"/>
          <w:szCs w:val="24"/>
          <w:lang w:val="pt-PT"/>
        </w:rPr>
        <w:t>Procedimento</w:t>
      </w:r>
      <w:r w:rsidR="001A53AD" w:rsidRPr="003A1174">
        <w:rPr>
          <w:rFonts w:ascii="Garamond" w:hAnsi="Garamond" w:cs="Arial"/>
          <w:color w:val="auto"/>
          <w:sz w:val="24"/>
          <w:szCs w:val="24"/>
          <w:lang w:val="pt-PT"/>
        </w:rPr>
        <w:t xml:space="preserve"> Interno de Querel</w:t>
      </w:r>
      <w:r w:rsidR="00D01B8C" w:rsidRPr="003A1174">
        <w:rPr>
          <w:rFonts w:ascii="Garamond" w:hAnsi="Garamond" w:cs="Arial"/>
          <w:color w:val="auto"/>
          <w:sz w:val="24"/>
          <w:szCs w:val="24"/>
          <w:lang w:val="pt-PT"/>
        </w:rPr>
        <w:t xml:space="preserve">as para </w:t>
      </w:r>
      <w:r w:rsidR="00996C68" w:rsidRPr="003A1174">
        <w:rPr>
          <w:rFonts w:ascii="Garamond" w:hAnsi="Garamond" w:cs="Arial"/>
          <w:color w:val="auto"/>
          <w:sz w:val="24"/>
          <w:szCs w:val="24"/>
          <w:lang w:val="pt-PT"/>
        </w:rPr>
        <w:t>Err</w:t>
      </w:r>
      <w:r w:rsidR="00D01B8C" w:rsidRPr="003A1174">
        <w:rPr>
          <w:rFonts w:ascii="Garamond" w:hAnsi="Garamond" w:cs="Arial"/>
          <w:color w:val="auto"/>
          <w:sz w:val="24"/>
          <w:szCs w:val="24"/>
          <w:lang w:val="pt-PT"/>
        </w:rPr>
        <w:t xml:space="preserve">adicar Casos de </w:t>
      </w:r>
      <w:r w:rsidR="001A53AD" w:rsidRPr="003A1174">
        <w:rPr>
          <w:rFonts w:ascii="Garamond" w:hAnsi="Garamond" w:cs="Arial"/>
          <w:color w:val="auto"/>
          <w:sz w:val="24"/>
          <w:szCs w:val="24"/>
          <w:lang w:val="pt-PT"/>
        </w:rPr>
        <w:t>Assédio Sexual</w:t>
      </w:r>
      <w:r w:rsidR="00D01B8C"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 xml:space="preserve">no </w:t>
      </w:r>
      <w:r w:rsidR="00046E19" w:rsidRPr="003A1174">
        <w:rPr>
          <w:rFonts w:ascii="Garamond" w:hAnsi="Garamond" w:cs="Arial"/>
          <w:color w:val="auto"/>
          <w:sz w:val="24"/>
          <w:szCs w:val="24"/>
          <w:lang w:val="pt-PT"/>
        </w:rPr>
        <w:t>Emprego</w:t>
      </w:r>
      <w:r w:rsidR="00996C68" w:rsidRPr="003A1174">
        <w:rPr>
          <w:rFonts w:ascii="Garamond" w:hAnsi="Garamond" w:cs="Arial"/>
          <w:color w:val="auto"/>
          <w:sz w:val="24"/>
          <w:szCs w:val="24"/>
          <w:lang w:val="pt-PT"/>
        </w:rPr>
        <w:t>.</w:t>
      </w:r>
    </w:p>
    <w:p w:rsidR="00D01B8C" w:rsidRPr="003A1174" w:rsidRDefault="00CD707D" w:rsidP="008719D4">
      <w:pPr>
        <w:pStyle w:val="Prrafodelista"/>
        <w:numPr>
          <w:ilvl w:val="0"/>
          <w:numId w:val="24"/>
        </w:numPr>
        <w:tabs>
          <w:tab w:val="clear" w:pos="708"/>
        </w:tabs>
        <w:suppressAutoHyphens w:val="0"/>
        <w:spacing w:before="240" w:line="240" w:lineRule="auto"/>
        <w:contextualSpacing/>
        <w:jc w:val="both"/>
        <w:rPr>
          <w:rFonts w:ascii="Garamond" w:hAnsi="Garamond" w:cs="Arial"/>
          <w:color w:val="auto"/>
          <w:sz w:val="24"/>
          <w:szCs w:val="24"/>
          <w:lang w:val="pt-PT"/>
        </w:rPr>
      </w:pPr>
      <w:r w:rsidRPr="003A1174">
        <w:rPr>
          <w:rFonts w:ascii="Garamond" w:hAnsi="Garamond" w:cs="Arial"/>
          <w:i/>
          <w:color w:val="auto"/>
          <w:sz w:val="24"/>
          <w:szCs w:val="24"/>
          <w:lang w:val="pt-PT"/>
        </w:rPr>
        <w:t>Regulamento</w:t>
      </w:r>
      <w:r w:rsidR="00D01B8C" w:rsidRPr="003A1174">
        <w:rPr>
          <w:rFonts w:ascii="Garamond" w:hAnsi="Garamond" w:cs="Arial"/>
          <w:i/>
          <w:color w:val="auto"/>
          <w:sz w:val="24"/>
          <w:szCs w:val="24"/>
          <w:lang w:val="pt-PT"/>
        </w:rPr>
        <w:t xml:space="preserve">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26 - </w:t>
      </w:r>
      <w:r w:rsidR="001A53AD" w:rsidRPr="003A1174">
        <w:rPr>
          <w:rFonts w:ascii="Garamond" w:hAnsi="Garamond" w:cs="Arial"/>
          <w:color w:val="auto"/>
          <w:sz w:val="24"/>
          <w:szCs w:val="24"/>
          <w:lang w:val="pt-PT"/>
        </w:rPr>
        <w:t xml:space="preserve">Para </w:t>
      </w:r>
      <w:r w:rsidR="00D01B8C" w:rsidRPr="003A1174">
        <w:rPr>
          <w:rFonts w:ascii="Garamond" w:hAnsi="Garamond" w:cs="Arial"/>
          <w:color w:val="auto"/>
          <w:sz w:val="24"/>
          <w:szCs w:val="24"/>
          <w:lang w:val="pt-PT"/>
        </w:rPr>
        <w:t xml:space="preserve">a </w:t>
      </w:r>
      <w:r w:rsidR="00FB09CA" w:rsidRPr="003A1174">
        <w:rPr>
          <w:rFonts w:ascii="Garamond" w:hAnsi="Garamond" w:cs="Arial"/>
          <w:color w:val="auto"/>
          <w:sz w:val="24"/>
          <w:szCs w:val="24"/>
          <w:lang w:val="pt-PT"/>
        </w:rPr>
        <w:t>Administração</w:t>
      </w:r>
      <w:r w:rsidR="00D01B8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D01B8C" w:rsidRPr="003A1174">
        <w:rPr>
          <w:rFonts w:ascii="Garamond" w:hAnsi="Garamond" w:cs="Arial"/>
          <w:color w:val="auto"/>
          <w:sz w:val="24"/>
          <w:szCs w:val="24"/>
          <w:lang w:val="pt-PT"/>
        </w:rPr>
        <w:t xml:space="preserve"> Recursos Humano</w:t>
      </w:r>
      <w:r w:rsidR="00996C68" w:rsidRPr="003A1174">
        <w:rPr>
          <w:rFonts w:ascii="Garamond" w:hAnsi="Garamond" w:cs="Arial"/>
          <w:color w:val="auto"/>
          <w:sz w:val="24"/>
          <w:szCs w:val="24"/>
          <w:lang w:val="pt-PT"/>
        </w:rPr>
        <w:t>s</w:t>
      </w:r>
      <w:r w:rsidR="00D01B8C"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D01B8C" w:rsidRPr="003A1174">
        <w:rPr>
          <w:rFonts w:ascii="Garamond" w:hAnsi="Garamond" w:cs="Arial"/>
          <w:color w:val="auto"/>
          <w:sz w:val="24"/>
          <w:szCs w:val="24"/>
          <w:lang w:val="pt-PT"/>
        </w:rPr>
        <w:t xml:space="preserve"> </w:t>
      </w:r>
      <w:r w:rsidR="00B531F2" w:rsidRPr="003A1174">
        <w:rPr>
          <w:rFonts w:ascii="Garamond" w:hAnsi="Garamond" w:cs="Arial"/>
          <w:color w:val="auto"/>
          <w:sz w:val="24"/>
          <w:szCs w:val="24"/>
          <w:lang w:val="pt-PT"/>
        </w:rPr>
        <w:t>Serviço</w:t>
      </w:r>
      <w:r w:rsidR="00D01B8C" w:rsidRPr="003A1174">
        <w:rPr>
          <w:rFonts w:ascii="Garamond" w:hAnsi="Garamond" w:cs="Arial"/>
          <w:color w:val="auto"/>
          <w:sz w:val="24"/>
          <w:szCs w:val="24"/>
          <w:lang w:val="pt-PT"/>
        </w:rPr>
        <w:t xml:space="preserve"> de Confian</w:t>
      </w:r>
      <w:r w:rsidR="001A53AD" w:rsidRPr="003A1174">
        <w:rPr>
          <w:rFonts w:ascii="Garamond" w:hAnsi="Garamond" w:cs="Arial"/>
          <w:color w:val="auto"/>
          <w:sz w:val="24"/>
          <w:szCs w:val="24"/>
          <w:lang w:val="pt-PT"/>
        </w:rPr>
        <w:t>ç</w:t>
      </w:r>
      <w:r w:rsidR="00D01B8C" w:rsidRPr="003A1174">
        <w:rPr>
          <w:rFonts w:ascii="Garamond" w:hAnsi="Garamond" w:cs="Arial"/>
          <w:color w:val="auto"/>
          <w:sz w:val="24"/>
          <w:szCs w:val="24"/>
          <w:lang w:val="pt-PT"/>
        </w:rPr>
        <w:t>a d</w:t>
      </w:r>
      <w:r w:rsidR="00C246B4" w:rsidRPr="003A1174">
        <w:rPr>
          <w:rFonts w:ascii="Garamond" w:hAnsi="Garamond" w:cs="Arial"/>
          <w:color w:val="auto"/>
          <w:sz w:val="24"/>
          <w:szCs w:val="24"/>
          <w:lang w:val="pt-PT"/>
        </w:rPr>
        <w:t>o G</w:t>
      </w:r>
      <w:r w:rsidR="001A53AD" w:rsidRPr="003A1174">
        <w:rPr>
          <w:rFonts w:ascii="Garamond" w:hAnsi="Garamond" w:cs="Arial"/>
          <w:color w:val="auto"/>
          <w:sz w:val="24"/>
          <w:szCs w:val="24"/>
          <w:lang w:val="pt-PT"/>
        </w:rPr>
        <w:t xml:space="preserve">abinete </w:t>
      </w:r>
      <w:r w:rsidR="008A3DA2" w:rsidRPr="003A1174">
        <w:rPr>
          <w:rFonts w:ascii="Garamond" w:hAnsi="Garamond" w:cs="Arial"/>
          <w:color w:val="auto"/>
          <w:sz w:val="24"/>
          <w:szCs w:val="24"/>
          <w:lang w:val="pt-PT"/>
        </w:rPr>
        <w:t>do</w:t>
      </w:r>
      <w:r w:rsidR="00D01B8C"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Provedor de Justiça</w:t>
      </w:r>
      <w:r w:rsidR="00D01B8C" w:rsidRPr="003A1174">
        <w:rPr>
          <w:rFonts w:ascii="Garamond" w:hAnsi="Garamond" w:cs="Arial"/>
          <w:color w:val="auto"/>
          <w:sz w:val="24"/>
          <w:szCs w:val="24"/>
          <w:lang w:val="pt-PT"/>
        </w:rPr>
        <w:t>.</w:t>
      </w:r>
    </w:p>
    <w:p w:rsidR="00D01B8C" w:rsidRPr="003A1174" w:rsidRDefault="00374785" w:rsidP="008719D4">
      <w:pPr>
        <w:pStyle w:val="Prrafodelista"/>
        <w:numPr>
          <w:ilvl w:val="0"/>
          <w:numId w:val="24"/>
        </w:numPr>
        <w:tabs>
          <w:tab w:val="clear" w:pos="708"/>
        </w:tabs>
        <w:suppressAutoHyphens w:val="0"/>
        <w:spacing w:before="240" w:line="240" w:lineRule="auto"/>
        <w:contextualSpacing/>
        <w:jc w:val="both"/>
        <w:rPr>
          <w:rFonts w:ascii="Garamond" w:hAnsi="Garamond" w:cs="Arial"/>
          <w:color w:val="auto"/>
          <w:sz w:val="24"/>
          <w:szCs w:val="24"/>
          <w:lang w:val="pt-PT"/>
        </w:rPr>
      </w:pPr>
      <w:r w:rsidRPr="003A1174">
        <w:rPr>
          <w:rFonts w:ascii="Garamond" w:hAnsi="Garamond" w:cs="Arial"/>
          <w:i/>
          <w:color w:val="auto"/>
          <w:sz w:val="24"/>
          <w:szCs w:val="24"/>
          <w:lang w:val="pt-PT"/>
        </w:rPr>
        <w:t>Ordem</w:t>
      </w:r>
      <w:r w:rsidR="00D01B8C" w:rsidRPr="003A1174">
        <w:rPr>
          <w:rFonts w:ascii="Garamond" w:hAnsi="Garamond" w:cs="Arial"/>
          <w:i/>
          <w:color w:val="auto"/>
          <w:sz w:val="24"/>
          <w:szCs w:val="24"/>
          <w:lang w:val="pt-PT"/>
        </w:rPr>
        <w:t xml:space="preserve"> Administrativa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12-005 - </w:t>
      </w:r>
      <w:r w:rsidR="00D01B8C" w:rsidRPr="003A1174">
        <w:rPr>
          <w:rFonts w:ascii="Garamond" w:hAnsi="Garamond" w:cs="Arial"/>
          <w:color w:val="auto"/>
          <w:sz w:val="24"/>
          <w:szCs w:val="24"/>
          <w:lang w:val="pt-PT"/>
        </w:rPr>
        <w:t xml:space="preserve">Normas Internas sobre Jornada de </w:t>
      </w:r>
      <w:r w:rsidR="0017447A" w:rsidRPr="003A1174">
        <w:rPr>
          <w:rFonts w:ascii="Garamond" w:hAnsi="Garamond" w:cs="Arial"/>
          <w:color w:val="auto"/>
          <w:sz w:val="24"/>
          <w:szCs w:val="24"/>
          <w:lang w:val="pt-PT"/>
        </w:rPr>
        <w:t>Trabalho</w:t>
      </w:r>
      <w:r w:rsidR="00D01B8C"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D01B8C"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Assistência</w:t>
      </w:r>
      <w:r w:rsidR="00996C68" w:rsidRPr="003A1174">
        <w:rPr>
          <w:rFonts w:ascii="Garamond" w:hAnsi="Garamond" w:cs="Arial"/>
          <w:color w:val="auto"/>
          <w:sz w:val="24"/>
          <w:szCs w:val="24"/>
          <w:lang w:val="pt-PT"/>
        </w:rPr>
        <w:t>.</w:t>
      </w:r>
    </w:p>
    <w:p w:rsidR="00D01B8C" w:rsidRPr="003A1174" w:rsidRDefault="00374785"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lang w:val="pt-PT"/>
        </w:rPr>
      </w:pPr>
      <w:r w:rsidRPr="003A1174">
        <w:rPr>
          <w:rFonts w:ascii="Garamond" w:hAnsi="Garamond" w:cs="Arial"/>
          <w:i/>
          <w:color w:val="auto"/>
          <w:sz w:val="24"/>
          <w:szCs w:val="24"/>
          <w:lang w:val="pt-PT"/>
        </w:rPr>
        <w:lastRenderedPageBreak/>
        <w:t>Ordem</w:t>
      </w:r>
      <w:r w:rsidR="00D01B8C" w:rsidRPr="003A1174">
        <w:rPr>
          <w:rFonts w:ascii="Garamond" w:hAnsi="Garamond" w:cs="Arial"/>
          <w:i/>
          <w:color w:val="auto"/>
          <w:sz w:val="24"/>
          <w:szCs w:val="24"/>
          <w:lang w:val="pt-PT"/>
        </w:rPr>
        <w:t xml:space="preserve"> Administrativa 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w:t>
      </w:r>
      <w:r w:rsidR="00D01B8C" w:rsidRPr="003A1174">
        <w:rPr>
          <w:rFonts w:ascii="Garamond" w:hAnsi="Garamond" w:cs="Arial"/>
          <w:i/>
          <w:color w:val="auto"/>
          <w:sz w:val="24"/>
          <w:szCs w:val="24"/>
          <w:lang w:val="pt-PT"/>
        </w:rPr>
        <w:t xml:space="preserve"> 12-006 – </w:t>
      </w:r>
      <w:r w:rsidR="00D01B8C" w:rsidRPr="003A1174">
        <w:rPr>
          <w:rFonts w:ascii="Garamond" w:hAnsi="Garamond" w:cs="Arial"/>
          <w:color w:val="auto"/>
          <w:sz w:val="24"/>
          <w:szCs w:val="24"/>
          <w:lang w:val="pt-PT"/>
        </w:rPr>
        <w:t>Normas de Co</w:t>
      </w:r>
      <w:r w:rsidR="001A53AD" w:rsidRPr="003A1174">
        <w:rPr>
          <w:rFonts w:ascii="Garamond" w:hAnsi="Garamond" w:cs="Arial"/>
          <w:color w:val="auto"/>
          <w:sz w:val="24"/>
          <w:szCs w:val="24"/>
          <w:lang w:val="pt-PT"/>
        </w:rPr>
        <w:t xml:space="preserve">mportamento </w:t>
      </w:r>
      <w:r w:rsidR="00497503" w:rsidRPr="003A1174">
        <w:rPr>
          <w:rFonts w:ascii="Garamond" w:hAnsi="Garamond" w:cs="Arial"/>
          <w:color w:val="auto"/>
          <w:sz w:val="24"/>
          <w:szCs w:val="24"/>
          <w:lang w:val="pt-PT"/>
        </w:rPr>
        <w:t>e</w:t>
      </w:r>
      <w:r w:rsidR="00D01B8C" w:rsidRPr="003A1174">
        <w:rPr>
          <w:rFonts w:ascii="Garamond" w:hAnsi="Garamond" w:cs="Arial"/>
          <w:color w:val="auto"/>
          <w:sz w:val="24"/>
          <w:szCs w:val="24"/>
          <w:lang w:val="pt-PT"/>
        </w:rPr>
        <w:t xml:space="preserve"> </w:t>
      </w:r>
      <w:r w:rsidR="00BE4EB8" w:rsidRPr="003A1174">
        <w:rPr>
          <w:rFonts w:ascii="Garamond" w:hAnsi="Garamond" w:cs="Arial"/>
          <w:color w:val="auto"/>
          <w:sz w:val="24"/>
          <w:szCs w:val="24"/>
          <w:lang w:val="pt-PT"/>
        </w:rPr>
        <w:t>Procedimento</w:t>
      </w:r>
      <w:r w:rsidR="00D01B8C" w:rsidRPr="003A1174">
        <w:rPr>
          <w:rFonts w:ascii="Garamond" w:hAnsi="Garamond" w:cs="Arial"/>
          <w:color w:val="auto"/>
          <w:sz w:val="24"/>
          <w:szCs w:val="24"/>
          <w:lang w:val="pt-PT"/>
        </w:rPr>
        <w:t xml:space="preserve"> de medidas </w:t>
      </w:r>
      <w:r w:rsidR="001A53AD" w:rsidRPr="003A1174">
        <w:rPr>
          <w:rFonts w:ascii="Garamond" w:hAnsi="Garamond" w:cs="Arial"/>
          <w:color w:val="auto"/>
          <w:sz w:val="24"/>
          <w:szCs w:val="24"/>
          <w:lang w:val="pt-PT"/>
        </w:rPr>
        <w:t xml:space="preserve">de </w:t>
      </w:r>
      <w:r w:rsidR="00D01B8C" w:rsidRPr="003A1174">
        <w:rPr>
          <w:rFonts w:ascii="Garamond" w:hAnsi="Garamond" w:cs="Arial"/>
          <w:color w:val="auto"/>
          <w:sz w:val="24"/>
          <w:szCs w:val="24"/>
          <w:lang w:val="pt-PT"/>
        </w:rPr>
        <w:t>Corre</w:t>
      </w:r>
      <w:r w:rsidR="001A53AD" w:rsidRPr="003A1174">
        <w:rPr>
          <w:rFonts w:ascii="Garamond" w:hAnsi="Garamond" w:cs="Arial"/>
          <w:color w:val="auto"/>
          <w:sz w:val="24"/>
          <w:szCs w:val="24"/>
          <w:lang w:val="pt-PT"/>
        </w:rPr>
        <w:t xml:space="preserve">ção </w:t>
      </w:r>
      <w:r w:rsidR="00497503" w:rsidRPr="003A1174">
        <w:rPr>
          <w:rFonts w:ascii="Garamond" w:hAnsi="Garamond" w:cs="Arial"/>
          <w:color w:val="auto"/>
          <w:sz w:val="24"/>
          <w:szCs w:val="24"/>
          <w:lang w:val="pt-PT"/>
        </w:rPr>
        <w:t>e</w:t>
      </w:r>
      <w:r w:rsidR="00D01B8C" w:rsidRPr="003A1174">
        <w:rPr>
          <w:rFonts w:ascii="Garamond" w:hAnsi="Garamond" w:cs="Arial"/>
          <w:color w:val="auto"/>
          <w:sz w:val="24"/>
          <w:szCs w:val="24"/>
          <w:lang w:val="pt-PT"/>
        </w:rPr>
        <w:t xml:space="preserve"> </w:t>
      </w:r>
      <w:r w:rsidR="002C7510" w:rsidRPr="003A1174">
        <w:rPr>
          <w:rFonts w:ascii="Garamond" w:hAnsi="Garamond" w:cs="Arial"/>
          <w:color w:val="auto"/>
          <w:sz w:val="24"/>
          <w:szCs w:val="24"/>
          <w:lang w:val="pt-PT"/>
        </w:rPr>
        <w:t>Ações</w:t>
      </w:r>
      <w:r w:rsidR="00D01B8C" w:rsidRPr="003A1174">
        <w:rPr>
          <w:rFonts w:ascii="Garamond" w:hAnsi="Garamond" w:cs="Arial"/>
          <w:color w:val="auto"/>
          <w:sz w:val="24"/>
          <w:szCs w:val="24"/>
          <w:lang w:val="pt-PT"/>
        </w:rPr>
        <w:t xml:space="preserve"> </w:t>
      </w:r>
      <w:r w:rsidR="001A53AD" w:rsidRPr="003A1174">
        <w:rPr>
          <w:rFonts w:ascii="Garamond" w:hAnsi="Garamond" w:cs="Arial"/>
          <w:color w:val="auto"/>
          <w:sz w:val="24"/>
          <w:szCs w:val="24"/>
          <w:lang w:val="pt-PT"/>
        </w:rPr>
        <w:t>Disciplinares</w:t>
      </w:r>
      <w:r w:rsidR="00D01B8C" w:rsidRPr="003A1174">
        <w:rPr>
          <w:rFonts w:ascii="Garamond" w:hAnsi="Garamond" w:cs="Arial"/>
          <w:i/>
          <w:color w:val="auto"/>
          <w:sz w:val="24"/>
          <w:szCs w:val="24"/>
          <w:lang w:val="pt-PT"/>
        </w:rPr>
        <w:t>.</w:t>
      </w:r>
    </w:p>
    <w:p w:rsidR="00D01B8C" w:rsidRPr="003A1174" w:rsidRDefault="00D01B8C"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rPr>
      </w:pPr>
      <w:r w:rsidRPr="003A1174">
        <w:rPr>
          <w:rFonts w:ascii="Garamond" w:hAnsi="Garamond" w:cs="Arial"/>
          <w:i/>
          <w:color w:val="auto"/>
          <w:sz w:val="24"/>
          <w:szCs w:val="24"/>
        </w:rPr>
        <w:t>Código de Ética</w:t>
      </w:r>
    </w:p>
    <w:p w:rsidR="00D01B8C" w:rsidRPr="003A1174" w:rsidRDefault="00374785"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lang w:val="pt-PT"/>
        </w:rPr>
      </w:pPr>
      <w:r w:rsidRPr="003A1174">
        <w:rPr>
          <w:rFonts w:ascii="Garamond" w:hAnsi="Garamond" w:cs="Arial"/>
          <w:i/>
          <w:color w:val="auto"/>
          <w:sz w:val="24"/>
          <w:szCs w:val="24"/>
          <w:lang w:val="pt-PT"/>
        </w:rPr>
        <w:t>Ordem</w:t>
      </w:r>
      <w:r w:rsidR="00D01B8C" w:rsidRPr="003A1174">
        <w:rPr>
          <w:rFonts w:ascii="Garamond" w:hAnsi="Garamond" w:cs="Arial"/>
          <w:i/>
          <w:color w:val="auto"/>
          <w:sz w:val="24"/>
          <w:szCs w:val="24"/>
          <w:lang w:val="pt-PT"/>
        </w:rPr>
        <w:t xml:space="preserve"> Administrativa </w:t>
      </w:r>
      <w:r w:rsidR="00996C68" w:rsidRPr="003A1174">
        <w:rPr>
          <w:rFonts w:ascii="Garamond" w:hAnsi="Garamond" w:cs="Arial"/>
          <w:i/>
          <w:color w:val="auto"/>
          <w:sz w:val="24"/>
          <w:szCs w:val="24"/>
          <w:lang w:val="pt-PT"/>
        </w:rPr>
        <w:t>N</w:t>
      </w:r>
      <w:r w:rsidR="00281C19">
        <w:rPr>
          <w:rFonts w:ascii="Garamond" w:hAnsi="Garamond" w:cs="Arial"/>
          <w:i/>
          <w:color w:val="auto"/>
          <w:sz w:val="24"/>
          <w:szCs w:val="24"/>
          <w:lang w:val="pt-PT"/>
        </w:rPr>
        <w:t>.</w:t>
      </w:r>
      <w:r w:rsidR="00996C68" w:rsidRPr="003A1174">
        <w:rPr>
          <w:rFonts w:ascii="Garamond" w:hAnsi="Garamond" w:cs="Arial"/>
          <w:i/>
          <w:color w:val="auto"/>
          <w:sz w:val="24"/>
          <w:szCs w:val="24"/>
          <w:lang w:val="pt-PT"/>
        </w:rPr>
        <w:t xml:space="preserve">° </w:t>
      </w:r>
      <w:r w:rsidR="00D01B8C" w:rsidRPr="003A1174">
        <w:rPr>
          <w:rFonts w:ascii="Garamond" w:hAnsi="Garamond" w:cs="Arial"/>
          <w:i/>
          <w:color w:val="auto"/>
          <w:sz w:val="24"/>
          <w:szCs w:val="24"/>
          <w:lang w:val="pt-PT"/>
        </w:rPr>
        <w:t>14-001</w:t>
      </w:r>
      <w:r w:rsidR="00996C68" w:rsidRPr="003A1174">
        <w:rPr>
          <w:rFonts w:ascii="Garamond" w:hAnsi="Garamond" w:cs="Arial"/>
          <w:i/>
          <w:color w:val="auto"/>
          <w:sz w:val="24"/>
          <w:szCs w:val="24"/>
          <w:lang w:val="pt-PT"/>
        </w:rPr>
        <w:t xml:space="preserve"> -</w:t>
      </w:r>
      <w:r w:rsidR="00D01B8C" w:rsidRPr="003A1174">
        <w:rPr>
          <w:rFonts w:ascii="Garamond" w:hAnsi="Garamond" w:cs="Arial"/>
          <w:i/>
          <w:color w:val="auto"/>
          <w:sz w:val="24"/>
          <w:szCs w:val="24"/>
          <w:lang w:val="pt-PT"/>
        </w:rPr>
        <w:t xml:space="preserve"> </w:t>
      </w:r>
      <w:r w:rsidR="00DC5DA7" w:rsidRPr="003A1174">
        <w:rPr>
          <w:rFonts w:ascii="Garamond" w:hAnsi="Garamond" w:cs="Arial"/>
          <w:color w:val="auto"/>
          <w:sz w:val="24"/>
          <w:szCs w:val="24"/>
          <w:lang w:val="pt-PT"/>
        </w:rPr>
        <w:t>Fortalecimento</w:t>
      </w:r>
      <w:r w:rsidR="00D01B8C" w:rsidRPr="003A1174">
        <w:rPr>
          <w:rFonts w:ascii="Garamond" w:hAnsi="Garamond" w:cs="Arial"/>
          <w:color w:val="auto"/>
          <w:sz w:val="24"/>
          <w:szCs w:val="24"/>
          <w:lang w:val="pt-PT"/>
        </w:rPr>
        <w:t xml:space="preserve"> de Capacidades </w:t>
      </w:r>
      <w:r w:rsidR="00C04CA4" w:rsidRPr="003A1174">
        <w:rPr>
          <w:rFonts w:ascii="Garamond" w:hAnsi="Garamond" w:cs="Arial"/>
          <w:color w:val="auto"/>
          <w:sz w:val="24"/>
          <w:szCs w:val="24"/>
          <w:lang w:val="pt-PT"/>
        </w:rPr>
        <w:t>Institucionais</w:t>
      </w:r>
      <w:r w:rsidR="00D01B8C" w:rsidRPr="003A1174">
        <w:rPr>
          <w:rFonts w:ascii="Garamond" w:hAnsi="Garamond" w:cs="Arial"/>
          <w:color w:val="auto"/>
          <w:sz w:val="24"/>
          <w:szCs w:val="24"/>
          <w:lang w:val="pt-PT"/>
        </w:rPr>
        <w:t xml:space="preserve"> para Transversalizar </w:t>
      </w:r>
      <w:r w:rsidR="001A53AD" w:rsidRPr="003A1174">
        <w:rPr>
          <w:rFonts w:ascii="Garamond" w:hAnsi="Garamond" w:cs="Arial"/>
          <w:color w:val="auto"/>
          <w:sz w:val="24"/>
          <w:szCs w:val="24"/>
          <w:lang w:val="pt-PT"/>
        </w:rPr>
        <w:t>o</w:t>
      </w:r>
      <w:r w:rsidR="00D01B8C" w:rsidRPr="003A1174">
        <w:rPr>
          <w:rFonts w:ascii="Garamond" w:hAnsi="Garamond" w:cs="Arial"/>
          <w:color w:val="auto"/>
          <w:sz w:val="24"/>
          <w:szCs w:val="24"/>
          <w:lang w:val="pt-PT"/>
        </w:rPr>
        <w:t xml:space="preserve"> enfoque de Género</w:t>
      </w:r>
      <w:r w:rsidR="00996C68" w:rsidRPr="003A1174">
        <w:rPr>
          <w:rFonts w:ascii="Garamond" w:hAnsi="Garamond" w:cs="Arial"/>
          <w:color w:val="auto"/>
          <w:sz w:val="24"/>
          <w:szCs w:val="24"/>
          <w:lang w:val="pt-PT"/>
        </w:rPr>
        <w:t>.</w:t>
      </w:r>
    </w:p>
    <w:p w:rsidR="00D01B8C" w:rsidRPr="003A1174" w:rsidRDefault="00D01B8C" w:rsidP="008719D4">
      <w:pPr>
        <w:pStyle w:val="Prrafodelista"/>
        <w:numPr>
          <w:ilvl w:val="0"/>
          <w:numId w:val="24"/>
        </w:numPr>
        <w:tabs>
          <w:tab w:val="clear" w:pos="708"/>
        </w:tabs>
        <w:suppressAutoHyphens w:val="0"/>
        <w:spacing w:before="240" w:line="240" w:lineRule="auto"/>
        <w:contextualSpacing/>
        <w:jc w:val="both"/>
        <w:rPr>
          <w:rFonts w:ascii="Garamond" w:hAnsi="Garamond" w:cs="Arial"/>
          <w:i/>
          <w:color w:val="auto"/>
          <w:sz w:val="24"/>
          <w:szCs w:val="24"/>
        </w:rPr>
      </w:pPr>
      <w:r w:rsidRPr="003A1174">
        <w:rPr>
          <w:rFonts w:ascii="Garamond" w:hAnsi="Garamond" w:cs="Arial"/>
          <w:i/>
          <w:color w:val="auto"/>
          <w:sz w:val="24"/>
          <w:szCs w:val="24"/>
        </w:rPr>
        <w:t>Protocolo de</w:t>
      </w:r>
      <w:r w:rsidRPr="003A1174">
        <w:rPr>
          <w:rFonts w:ascii="Garamond" w:hAnsi="Garamond" w:cs="Arial"/>
          <w:i/>
          <w:color w:val="auto"/>
          <w:sz w:val="24"/>
          <w:szCs w:val="24"/>
          <w:lang w:val="pt-PT"/>
        </w:rPr>
        <w:t xml:space="preserve"> </w:t>
      </w:r>
      <w:r w:rsidR="000350B1" w:rsidRPr="003A1174">
        <w:rPr>
          <w:rFonts w:ascii="Garamond" w:hAnsi="Garamond" w:cs="Arial"/>
          <w:i/>
          <w:color w:val="auto"/>
          <w:sz w:val="24"/>
          <w:szCs w:val="24"/>
          <w:lang w:val="pt-PT"/>
        </w:rPr>
        <w:t>Violência</w:t>
      </w:r>
      <w:r w:rsidRPr="003A1174">
        <w:rPr>
          <w:rFonts w:ascii="Garamond" w:hAnsi="Garamond" w:cs="Arial"/>
          <w:i/>
          <w:color w:val="auto"/>
          <w:sz w:val="24"/>
          <w:szCs w:val="24"/>
        </w:rPr>
        <w:t xml:space="preserve"> Doméstica</w:t>
      </w:r>
    </w:p>
    <w:p w:rsidR="00D01B8C" w:rsidRPr="003A1174" w:rsidRDefault="00D01B8C" w:rsidP="008719D4">
      <w:pPr>
        <w:pStyle w:val="Prrafodelista"/>
        <w:numPr>
          <w:ilvl w:val="0"/>
          <w:numId w:val="24"/>
        </w:numPr>
        <w:tabs>
          <w:tab w:val="clear" w:pos="708"/>
        </w:tabs>
        <w:suppressAutoHyphens w:val="0"/>
        <w:spacing w:before="240" w:line="240" w:lineRule="auto"/>
        <w:contextualSpacing/>
        <w:jc w:val="both"/>
        <w:rPr>
          <w:rFonts w:ascii="Garamond" w:hAnsi="Garamond" w:cs="Arial"/>
          <w:color w:val="auto"/>
          <w:sz w:val="24"/>
          <w:szCs w:val="24"/>
          <w:lang w:val="pt-PT"/>
        </w:rPr>
      </w:pPr>
      <w:r w:rsidRPr="003A1174">
        <w:rPr>
          <w:rFonts w:ascii="Garamond" w:hAnsi="Garamond" w:cs="Arial"/>
          <w:i/>
          <w:color w:val="auto"/>
          <w:sz w:val="24"/>
          <w:szCs w:val="24"/>
          <w:lang w:val="pt-PT"/>
        </w:rPr>
        <w:t xml:space="preserve">Protocolo de </w:t>
      </w:r>
      <w:r w:rsidR="001A53AD" w:rsidRPr="003A1174">
        <w:rPr>
          <w:rFonts w:ascii="Garamond" w:hAnsi="Garamond" w:cs="Arial"/>
          <w:i/>
          <w:color w:val="auto"/>
          <w:sz w:val="24"/>
          <w:szCs w:val="24"/>
          <w:lang w:val="pt-PT"/>
        </w:rPr>
        <w:t>Gestão</w:t>
      </w:r>
      <w:r w:rsidRPr="003A1174">
        <w:rPr>
          <w:rFonts w:ascii="Garamond" w:hAnsi="Garamond" w:cs="Arial"/>
          <w:i/>
          <w:color w:val="auto"/>
          <w:sz w:val="24"/>
          <w:szCs w:val="24"/>
          <w:lang w:val="pt-PT"/>
        </w:rPr>
        <w:t xml:space="preserve"> de </w:t>
      </w:r>
      <w:r w:rsidR="000350B1" w:rsidRPr="003A1174">
        <w:rPr>
          <w:rFonts w:ascii="Garamond" w:hAnsi="Garamond" w:cs="Arial"/>
          <w:i/>
          <w:color w:val="auto"/>
          <w:sz w:val="24"/>
          <w:szCs w:val="24"/>
          <w:lang w:val="pt-PT"/>
        </w:rPr>
        <w:t>Violência</w:t>
      </w:r>
      <w:r w:rsidRPr="003A1174">
        <w:rPr>
          <w:rFonts w:ascii="Garamond" w:hAnsi="Garamond" w:cs="Arial"/>
          <w:i/>
          <w:color w:val="auto"/>
          <w:sz w:val="24"/>
          <w:szCs w:val="24"/>
          <w:lang w:val="pt-PT"/>
        </w:rPr>
        <w:t xml:space="preserve"> Doméstica </w:t>
      </w:r>
      <w:r w:rsidR="001A53AD" w:rsidRPr="003A1174">
        <w:rPr>
          <w:rFonts w:ascii="Garamond" w:hAnsi="Garamond" w:cs="Arial"/>
          <w:i/>
          <w:color w:val="auto"/>
          <w:sz w:val="24"/>
          <w:szCs w:val="24"/>
          <w:lang w:val="pt-PT"/>
        </w:rPr>
        <w:t xml:space="preserve">no </w:t>
      </w:r>
      <w:r w:rsidRPr="003A1174">
        <w:rPr>
          <w:rFonts w:ascii="Garamond" w:hAnsi="Garamond" w:cs="Arial"/>
          <w:i/>
          <w:color w:val="auto"/>
          <w:sz w:val="24"/>
          <w:szCs w:val="24"/>
          <w:lang w:val="pt-PT"/>
        </w:rPr>
        <w:t>L</w:t>
      </w:r>
      <w:r w:rsidR="001A53AD" w:rsidRPr="003A1174">
        <w:rPr>
          <w:rFonts w:ascii="Garamond" w:hAnsi="Garamond" w:cs="Arial"/>
          <w:i/>
          <w:color w:val="auto"/>
          <w:sz w:val="24"/>
          <w:szCs w:val="24"/>
          <w:lang w:val="pt-PT"/>
        </w:rPr>
        <w:t xml:space="preserve">ocal </w:t>
      </w:r>
      <w:r w:rsidRPr="003A1174">
        <w:rPr>
          <w:rFonts w:ascii="Garamond" w:hAnsi="Garamond" w:cs="Arial"/>
          <w:i/>
          <w:color w:val="auto"/>
          <w:sz w:val="24"/>
          <w:szCs w:val="24"/>
          <w:lang w:val="pt-PT"/>
        </w:rPr>
        <w:t xml:space="preserve">de </w:t>
      </w:r>
      <w:r w:rsidR="0017447A" w:rsidRPr="003A1174">
        <w:rPr>
          <w:rFonts w:ascii="Garamond" w:hAnsi="Garamond" w:cs="Arial"/>
          <w:i/>
          <w:color w:val="auto"/>
          <w:sz w:val="24"/>
          <w:szCs w:val="24"/>
          <w:lang w:val="pt-PT"/>
        </w:rPr>
        <w:t>Trabalho</w:t>
      </w:r>
    </w:p>
    <w:p w:rsidR="00D01B8C" w:rsidRPr="003A1174" w:rsidRDefault="001A53AD"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Na </w:t>
      </w:r>
      <w:r w:rsidR="00462B11" w:rsidRPr="003A1174">
        <w:rPr>
          <w:rFonts w:ascii="Garamond" w:hAnsi="Garamond" w:cs="Arial"/>
          <w:sz w:val="24"/>
          <w:szCs w:val="24"/>
        </w:rPr>
        <w:t>nossa</w:t>
      </w:r>
      <w:r w:rsidR="00D01B8C" w:rsidRPr="003A1174">
        <w:rPr>
          <w:rFonts w:ascii="Garamond" w:hAnsi="Garamond" w:cs="Arial"/>
          <w:sz w:val="24"/>
          <w:szCs w:val="24"/>
        </w:rPr>
        <w:t xml:space="preserve"> </w:t>
      </w:r>
      <w:r w:rsidR="00731B19" w:rsidRPr="003A1174">
        <w:rPr>
          <w:rFonts w:ascii="Garamond" w:hAnsi="Garamond" w:cs="Arial"/>
          <w:sz w:val="24"/>
          <w:szCs w:val="24"/>
        </w:rPr>
        <w:t>jurisdição</w:t>
      </w:r>
      <w:r w:rsidR="00D01B8C" w:rsidRPr="003A1174">
        <w:rPr>
          <w:rFonts w:ascii="Garamond" w:hAnsi="Garamond" w:cs="Arial"/>
          <w:sz w:val="24"/>
          <w:szCs w:val="24"/>
        </w:rPr>
        <w:t xml:space="preserve"> </w:t>
      </w:r>
      <w:r w:rsidR="00E639A4" w:rsidRPr="003A1174">
        <w:rPr>
          <w:rFonts w:ascii="Garamond" w:hAnsi="Garamond" w:cs="Arial"/>
          <w:sz w:val="24"/>
          <w:szCs w:val="24"/>
        </w:rPr>
        <w:t>existe</w:t>
      </w:r>
      <w:r w:rsidRPr="003A1174">
        <w:rPr>
          <w:rFonts w:ascii="Garamond" w:hAnsi="Garamond" w:cs="Arial"/>
          <w:sz w:val="24"/>
          <w:szCs w:val="24"/>
        </w:rPr>
        <w:t xml:space="preserve"> um</w:t>
      </w:r>
      <w:r w:rsidR="00D01B8C" w:rsidRPr="003A1174">
        <w:rPr>
          <w:rFonts w:ascii="Garamond" w:hAnsi="Garamond" w:cs="Arial"/>
          <w:sz w:val="24"/>
          <w:szCs w:val="24"/>
        </w:rPr>
        <w:t>a pluralidad</w:t>
      </w:r>
      <w:r w:rsidRPr="003A1174">
        <w:rPr>
          <w:rFonts w:ascii="Garamond" w:hAnsi="Garamond" w:cs="Arial"/>
          <w:sz w:val="24"/>
          <w:szCs w:val="24"/>
        </w:rPr>
        <w:t>e</w:t>
      </w:r>
      <w:r w:rsidR="00D01B8C" w:rsidRPr="003A1174">
        <w:rPr>
          <w:rFonts w:ascii="Garamond" w:hAnsi="Garamond" w:cs="Arial"/>
          <w:sz w:val="24"/>
          <w:szCs w:val="24"/>
        </w:rPr>
        <w:t xml:space="preserve"> de </w:t>
      </w:r>
      <w:r w:rsidR="0096583F" w:rsidRPr="003A1174">
        <w:rPr>
          <w:rFonts w:ascii="Garamond" w:hAnsi="Garamond" w:cs="Arial"/>
          <w:sz w:val="24"/>
          <w:szCs w:val="24"/>
        </w:rPr>
        <w:t>procuradoria</w:t>
      </w:r>
      <w:r w:rsidR="00D01B8C" w:rsidRPr="003A1174">
        <w:rPr>
          <w:rFonts w:ascii="Garamond" w:hAnsi="Garamond" w:cs="Arial"/>
          <w:sz w:val="24"/>
          <w:szCs w:val="24"/>
        </w:rPr>
        <w:t>s perten</w:t>
      </w:r>
      <w:r w:rsidR="00E67EF8" w:rsidRPr="003A1174">
        <w:rPr>
          <w:rFonts w:ascii="Garamond" w:hAnsi="Garamond" w:cs="Arial"/>
          <w:sz w:val="24"/>
          <w:szCs w:val="24"/>
        </w:rPr>
        <w:t>c</w:t>
      </w:r>
      <w:r w:rsidR="00D01B8C" w:rsidRPr="003A1174">
        <w:rPr>
          <w:rFonts w:ascii="Garamond" w:hAnsi="Garamond" w:cs="Arial"/>
          <w:sz w:val="24"/>
          <w:szCs w:val="24"/>
        </w:rPr>
        <w:t>entes a</w:t>
      </w:r>
      <w:r w:rsidR="00E67EF8" w:rsidRPr="003A1174">
        <w:rPr>
          <w:rFonts w:ascii="Garamond" w:hAnsi="Garamond" w:cs="Arial"/>
          <w:sz w:val="24"/>
          <w:szCs w:val="24"/>
        </w:rPr>
        <w:t>o</w:t>
      </w:r>
      <w:r w:rsidR="00D01B8C" w:rsidRPr="003A1174">
        <w:rPr>
          <w:rFonts w:ascii="Garamond" w:hAnsi="Garamond" w:cs="Arial"/>
          <w:sz w:val="24"/>
          <w:szCs w:val="24"/>
        </w:rPr>
        <w:t xml:space="preserve"> </w:t>
      </w:r>
      <w:r w:rsidR="00E67EF8" w:rsidRPr="003A1174">
        <w:rPr>
          <w:rFonts w:ascii="Garamond" w:hAnsi="Garamond" w:cs="Arial"/>
          <w:sz w:val="24"/>
          <w:szCs w:val="24"/>
        </w:rPr>
        <w:t>Poder Executivo</w:t>
      </w:r>
      <w:r w:rsidR="00996C68" w:rsidRPr="003A1174">
        <w:rPr>
          <w:rFonts w:ascii="Garamond" w:hAnsi="Garamond" w:cs="Arial"/>
          <w:sz w:val="24"/>
          <w:szCs w:val="24"/>
        </w:rPr>
        <w:t>.</w:t>
      </w:r>
      <w:r w:rsidR="007046CC" w:rsidRPr="003A1174">
        <w:rPr>
          <w:rStyle w:val="Refdenotaalpie"/>
          <w:rFonts w:ascii="Garamond" w:hAnsi="Garamond" w:cs="Arial"/>
          <w:sz w:val="24"/>
          <w:szCs w:val="24"/>
        </w:rPr>
        <w:footnoteReference w:id="86"/>
      </w:r>
      <w:r w:rsidR="006746D0" w:rsidRPr="003A1174">
        <w:rPr>
          <w:rFonts w:ascii="Garamond" w:hAnsi="Garamond" w:cs="Arial"/>
          <w:sz w:val="24"/>
          <w:szCs w:val="24"/>
        </w:rPr>
        <w:t xml:space="preserve"> </w:t>
      </w:r>
      <w:r w:rsidR="00996C68" w:rsidRPr="003A1174">
        <w:rPr>
          <w:rFonts w:ascii="Garamond" w:hAnsi="Garamond" w:cs="Arial"/>
          <w:sz w:val="24"/>
          <w:szCs w:val="24"/>
        </w:rPr>
        <w:t>E</w:t>
      </w:r>
      <w:r w:rsidR="00E67EF8" w:rsidRPr="003A1174">
        <w:rPr>
          <w:rFonts w:ascii="Garamond" w:hAnsi="Garamond" w:cs="Arial"/>
          <w:sz w:val="24"/>
          <w:szCs w:val="24"/>
        </w:rPr>
        <w:t xml:space="preserve">m </w:t>
      </w:r>
      <w:r w:rsidR="00152A44" w:rsidRPr="003A1174">
        <w:rPr>
          <w:rFonts w:ascii="Garamond" w:hAnsi="Garamond" w:cs="Arial"/>
          <w:sz w:val="24"/>
          <w:szCs w:val="24"/>
        </w:rPr>
        <w:t>relação</w:t>
      </w:r>
      <w:r w:rsidR="006746D0" w:rsidRPr="003A1174">
        <w:rPr>
          <w:rFonts w:ascii="Garamond" w:hAnsi="Garamond" w:cs="Arial"/>
          <w:sz w:val="24"/>
          <w:szCs w:val="24"/>
        </w:rPr>
        <w:t xml:space="preserve"> </w:t>
      </w:r>
      <w:r w:rsidR="00E67EF8" w:rsidRPr="003A1174">
        <w:rPr>
          <w:rFonts w:ascii="Garamond" w:hAnsi="Garamond" w:cs="Arial"/>
          <w:sz w:val="24"/>
          <w:szCs w:val="24"/>
        </w:rPr>
        <w:t xml:space="preserve">à </w:t>
      </w:r>
      <w:r w:rsidR="00AF192F" w:rsidRPr="003A1174">
        <w:rPr>
          <w:rFonts w:ascii="Garamond" w:hAnsi="Garamond" w:cs="Arial"/>
          <w:sz w:val="24"/>
          <w:szCs w:val="24"/>
        </w:rPr>
        <w:t>mulher</w:t>
      </w:r>
      <w:r w:rsidR="00281C19">
        <w:rPr>
          <w:rFonts w:ascii="Garamond" w:hAnsi="Garamond" w:cs="Arial"/>
          <w:sz w:val="24"/>
          <w:szCs w:val="24"/>
        </w:rPr>
        <w:t>,</w:t>
      </w:r>
      <w:r w:rsidR="006746D0" w:rsidRPr="003A1174">
        <w:rPr>
          <w:rFonts w:ascii="Garamond" w:hAnsi="Garamond" w:cs="Arial"/>
          <w:sz w:val="24"/>
          <w:szCs w:val="24"/>
        </w:rPr>
        <w:t xml:space="preserve"> temos </w:t>
      </w:r>
      <w:r w:rsidR="00E67EF8" w:rsidRPr="003A1174">
        <w:rPr>
          <w:rFonts w:ascii="Garamond" w:hAnsi="Garamond" w:cs="Arial"/>
          <w:sz w:val="24"/>
          <w:szCs w:val="24"/>
        </w:rPr>
        <w:t xml:space="preserve">o Gabinete da </w:t>
      </w:r>
      <w:r w:rsidR="00D01B8C" w:rsidRPr="003A1174">
        <w:rPr>
          <w:rFonts w:ascii="Garamond" w:hAnsi="Garamond" w:cs="Arial"/>
          <w:sz w:val="24"/>
          <w:szCs w:val="24"/>
        </w:rPr>
        <w:t xml:space="preserve">Procuradora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AF192F" w:rsidRPr="003A1174">
        <w:rPr>
          <w:rFonts w:ascii="Garamond" w:hAnsi="Garamond" w:cs="Arial"/>
          <w:sz w:val="24"/>
          <w:szCs w:val="24"/>
        </w:rPr>
        <w:t>Mulher</w:t>
      </w:r>
      <w:r w:rsidR="00E67EF8" w:rsidRPr="003A1174">
        <w:rPr>
          <w:rFonts w:ascii="Garamond" w:hAnsi="Garamond" w:cs="Arial"/>
          <w:sz w:val="24"/>
          <w:szCs w:val="24"/>
        </w:rPr>
        <w:t>es</w:t>
      </w:r>
      <w:r w:rsidR="006746D0" w:rsidRPr="003A1174">
        <w:rPr>
          <w:rFonts w:ascii="Garamond" w:hAnsi="Garamond" w:cs="Arial"/>
          <w:sz w:val="24"/>
          <w:szCs w:val="24"/>
        </w:rPr>
        <w:t>.</w:t>
      </w:r>
      <w:r w:rsidR="00D01B8C" w:rsidRPr="003A1174">
        <w:rPr>
          <w:rFonts w:ascii="Garamond" w:hAnsi="Garamond" w:cs="Arial"/>
          <w:sz w:val="24"/>
          <w:szCs w:val="24"/>
        </w:rPr>
        <w:t xml:space="preserve"> </w:t>
      </w:r>
      <w:r w:rsidR="00E67EF8" w:rsidRPr="003A1174">
        <w:rPr>
          <w:rFonts w:ascii="Garamond" w:hAnsi="Garamond" w:cs="Arial"/>
          <w:sz w:val="24"/>
          <w:szCs w:val="24"/>
        </w:rPr>
        <w:t xml:space="preserve">É assim que, </w:t>
      </w:r>
      <w:r w:rsidR="00E639A4" w:rsidRPr="003A1174">
        <w:rPr>
          <w:rFonts w:ascii="Garamond" w:hAnsi="Garamond" w:cs="Arial"/>
          <w:sz w:val="24"/>
          <w:szCs w:val="24"/>
        </w:rPr>
        <w:t xml:space="preserve">a </w:t>
      </w:r>
      <w:r w:rsidR="00D15AFF" w:rsidRPr="003A1174">
        <w:rPr>
          <w:rFonts w:ascii="Garamond" w:hAnsi="Garamond" w:cs="Arial"/>
          <w:sz w:val="24"/>
          <w:szCs w:val="24"/>
        </w:rPr>
        <w:t>Lei</w:t>
      </w:r>
      <w:r w:rsidR="00D01B8C" w:rsidRPr="003A1174">
        <w:rPr>
          <w:rFonts w:ascii="Garamond" w:hAnsi="Garamond" w:cs="Arial"/>
          <w:sz w:val="24"/>
          <w:szCs w:val="24"/>
        </w:rPr>
        <w:t xml:space="preserve"> N</w:t>
      </w:r>
      <w:r w:rsidR="00281C19">
        <w:rPr>
          <w:rFonts w:ascii="Garamond" w:hAnsi="Garamond" w:cs="Arial"/>
          <w:sz w:val="24"/>
          <w:szCs w:val="24"/>
        </w:rPr>
        <w:t>.</w:t>
      </w:r>
      <w:r w:rsidR="00996C68" w:rsidRPr="003A1174">
        <w:rPr>
          <w:rFonts w:ascii="Garamond" w:hAnsi="Garamond" w:cs="Arial"/>
          <w:sz w:val="24"/>
          <w:szCs w:val="24"/>
        </w:rPr>
        <w:t>°</w:t>
      </w:r>
      <w:r w:rsidR="00D01B8C" w:rsidRPr="003A1174">
        <w:rPr>
          <w:rFonts w:ascii="Garamond" w:hAnsi="Garamond" w:cs="Arial"/>
          <w:sz w:val="24"/>
          <w:szCs w:val="24"/>
        </w:rPr>
        <w:t xml:space="preserve"> 20</w:t>
      </w:r>
      <w:r w:rsidR="00281C19">
        <w:rPr>
          <w:rFonts w:ascii="Garamond" w:hAnsi="Garamond" w:cs="Arial"/>
          <w:sz w:val="24"/>
          <w:szCs w:val="24"/>
        </w:rPr>
        <w:t>,</w:t>
      </w:r>
      <w:r w:rsidR="00D01B8C" w:rsidRPr="003A1174">
        <w:rPr>
          <w:rFonts w:ascii="Garamond" w:hAnsi="Garamond" w:cs="Arial"/>
          <w:sz w:val="24"/>
          <w:szCs w:val="24"/>
        </w:rPr>
        <w:t xml:space="preserve"> de 11 de abril de 2001, </w:t>
      </w:r>
      <w:r w:rsidR="00E67EF8" w:rsidRPr="003A1174">
        <w:rPr>
          <w:rFonts w:ascii="Garamond" w:hAnsi="Garamond" w:cs="Arial"/>
          <w:sz w:val="24"/>
          <w:szCs w:val="24"/>
        </w:rPr>
        <w:t>alterada</w:t>
      </w:r>
      <w:r w:rsidR="00D01B8C" w:rsidRPr="003A1174">
        <w:rPr>
          <w:rFonts w:ascii="Garamond" w:hAnsi="Garamond" w:cs="Arial"/>
          <w:sz w:val="24"/>
          <w:szCs w:val="24"/>
        </w:rPr>
        <w:t>, con</w:t>
      </w:r>
      <w:r w:rsidR="00E67EF8" w:rsidRPr="003A1174">
        <w:rPr>
          <w:rFonts w:ascii="Garamond" w:hAnsi="Garamond" w:cs="Arial"/>
          <w:sz w:val="24"/>
          <w:szCs w:val="24"/>
        </w:rPr>
        <w:t xml:space="preserve">hecida </w:t>
      </w:r>
      <w:r w:rsidR="00D01B8C" w:rsidRPr="003A1174">
        <w:rPr>
          <w:rFonts w:ascii="Garamond" w:hAnsi="Garamond" w:cs="Arial"/>
          <w:sz w:val="24"/>
          <w:szCs w:val="24"/>
        </w:rPr>
        <w:t xml:space="preserve">como </w:t>
      </w:r>
      <w:r w:rsidR="00FE715B">
        <w:rPr>
          <w:rFonts w:ascii="Garamond" w:hAnsi="Garamond" w:cs="Arial"/>
          <w:sz w:val="24"/>
          <w:szCs w:val="24"/>
        </w:rPr>
        <w:t>«</w:t>
      </w:r>
      <w:r w:rsidR="00D15AFF" w:rsidRPr="003A1174">
        <w:rPr>
          <w:rFonts w:ascii="Garamond" w:hAnsi="Garamond" w:cs="Arial"/>
          <w:sz w:val="24"/>
          <w:szCs w:val="24"/>
        </w:rPr>
        <w:t>Lei</w:t>
      </w:r>
      <w:r w:rsidR="00D01B8C" w:rsidRPr="003A1174">
        <w:rPr>
          <w:rFonts w:ascii="Garamond" w:hAnsi="Garamond" w:cs="Arial"/>
          <w:sz w:val="24"/>
          <w:szCs w:val="24"/>
        </w:rPr>
        <w:t xml:space="preserve"> d</w:t>
      </w:r>
      <w:r w:rsidR="00E67EF8" w:rsidRPr="003A1174">
        <w:rPr>
          <w:rFonts w:ascii="Garamond" w:hAnsi="Garamond" w:cs="Arial"/>
          <w:sz w:val="24"/>
          <w:szCs w:val="24"/>
        </w:rPr>
        <w:t xml:space="preserve">o Gabinete da </w:t>
      </w:r>
      <w:r w:rsidR="00D01B8C" w:rsidRPr="003A1174">
        <w:rPr>
          <w:rFonts w:ascii="Garamond" w:hAnsi="Garamond" w:cs="Arial"/>
          <w:sz w:val="24"/>
          <w:szCs w:val="24"/>
        </w:rPr>
        <w:t xml:space="preserve">Procuradora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FE715B">
        <w:rPr>
          <w:rFonts w:ascii="Garamond" w:hAnsi="Garamond" w:cs="Arial"/>
          <w:sz w:val="24"/>
          <w:szCs w:val="24"/>
        </w:rPr>
        <w:t>»</w:t>
      </w:r>
      <w:r w:rsidR="00D01B8C" w:rsidRPr="003A1174">
        <w:rPr>
          <w:rFonts w:ascii="Garamond" w:hAnsi="Garamond" w:cs="Arial"/>
          <w:sz w:val="24"/>
          <w:szCs w:val="24"/>
        </w:rPr>
        <w:t xml:space="preserve">, </w:t>
      </w:r>
      <w:r w:rsidR="00E67EF8" w:rsidRPr="003A1174">
        <w:rPr>
          <w:rFonts w:ascii="Garamond" w:hAnsi="Garamond" w:cs="Arial"/>
          <w:sz w:val="24"/>
          <w:szCs w:val="24"/>
        </w:rPr>
        <w:t>criou</w:t>
      </w:r>
      <w:r w:rsidR="00D01B8C" w:rsidRPr="003A1174">
        <w:rPr>
          <w:rFonts w:ascii="Garamond" w:hAnsi="Garamond" w:cs="Arial"/>
          <w:sz w:val="24"/>
          <w:szCs w:val="24"/>
        </w:rPr>
        <w:t xml:space="preserve"> </w:t>
      </w:r>
      <w:r w:rsidR="00E67EF8" w:rsidRPr="003A1174">
        <w:rPr>
          <w:rFonts w:ascii="Garamond" w:hAnsi="Garamond" w:cs="Arial"/>
          <w:sz w:val="24"/>
          <w:szCs w:val="24"/>
        </w:rPr>
        <w:t xml:space="preserve">o Gabinete da </w:t>
      </w:r>
      <w:r w:rsidR="00D01B8C" w:rsidRPr="003A1174">
        <w:rPr>
          <w:rFonts w:ascii="Garamond" w:hAnsi="Garamond" w:cs="Arial"/>
          <w:sz w:val="24"/>
          <w:szCs w:val="24"/>
        </w:rPr>
        <w:t xml:space="preserve">Procuradora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FE715B">
        <w:rPr>
          <w:rFonts w:ascii="Garamond" w:hAnsi="Garamond" w:cs="Arial"/>
          <w:sz w:val="24"/>
          <w:szCs w:val="24"/>
        </w:rPr>
        <w:t>doravante,</w:t>
      </w:r>
      <w:r w:rsidR="00E67EF8" w:rsidRPr="003A1174">
        <w:rPr>
          <w:rFonts w:ascii="Garamond" w:hAnsi="Garamond" w:cs="Arial"/>
          <w:sz w:val="24"/>
          <w:szCs w:val="24"/>
        </w:rPr>
        <w:t xml:space="preserve">designada por </w:t>
      </w:r>
      <w:r w:rsidR="00FE715B">
        <w:rPr>
          <w:rFonts w:ascii="Garamond" w:hAnsi="Garamond" w:cs="Arial"/>
          <w:sz w:val="24"/>
          <w:szCs w:val="24"/>
        </w:rPr>
        <w:t>«</w:t>
      </w:r>
      <w:r w:rsidR="00D01B8C" w:rsidRPr="003A1174">
        <w:rPr>
          <w:rFonts w:ascii="Garamond" w:hAnsi="Garamond" w:cs="Arial"/>
          <w:sz w:val="24"/>
          <w:szCs w:val="24"/>
        </w:rPr>
        <w:t>OPM</w:t>
      </w:r>
      <w:r w:rsidR="00FE715B">
        <w:rPr>
          <w:rFonts w:ascii="Garamond" w:hAnsi="Garamond" w:cs="Arial"/>
          <w:sz w:val="24"/>
          <w:szCs w:val="24"/>
        </w:rPr>
        <w:t>»</w:t>
      </w:r>
      <w:r w:rsidR="00D01B8C" w:rsidRPr="003A1174">
        <w:rPr>
          <w:rFonts w:ascii="Garamond" w:hAnsi="Garamond" w:cs="Arial"/>
          <w:sz w:val="24"/>
          <w:szCs w:val="24"/>
        </w:rPr>
        <w:t>) como u</w:t>
      </w:r>
      <w:r w:rsidR="00E67EF8" w:rsidRPr="003A1174">
        <w:rPr>
          <w:rFonts w:ascii="Garamond" w:hAnsi="Garamond" w:cs="Arial"/>
          <w:sz w:val="24"/>
          <w:szCs w:val="24"/>
        </w:rPr>
        <w:t>m</w:t>
      </w:r>
      <w:r w:rsidR="00D01B8C" w:rsidRPr="003A1174">
        <w:rPr>
          <w:rFonts w:ascii="Garamond" w:hAnsi="Garamond" w:cs="Arial"/>
          <w:sz w:val="24"/>
          <w:szCs w:val="24"/>
        </w:rPr>
        <w:t xml:space="preserve"> organismo co</w:t>
      </w:r>
      <w:r w:rsidR="00E67EF8" w:rsidRPr="003A1174">
        <w:rPr>
          <w:rFonts w:ascii="Garamond" w:hAnsi="Garamond" w:cs="Arial"/>
          <w:sz w:val="24"/>
          <w:szCs w:val="24"/>
        </w:rPr>
        <w:t xml:space="preserve">m autonomia </w:t>
      </w:r>
      <w:r w:rsidR="00D01B8C" w:rsidRPr="003A1174">
        <w:rPr>
          <w:rFonts w:ascii="Garamond" w:hAnsi="Garamond" w:cs="Arial"/>
          <w:sz w:val="24"/>
          <w:szCs w:val="24"/>
        </w:rPr>
        <w:t xml:space="preserve">suficiente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E67EF8" w:rsidRPr="003A1174">
        <w:rPr>
          <w:rFonts w:ascii="Garamond" w:hAnsi="Garamond" w:cs="Arial"/>
          <w:sz w:val="24"/>
          <w:szCs w:val="24"/>
        </w:rPr>
        <w:t>plenas faculdades</w:t>
      </w:r>
      <w:r w:rsidR="00D01B8C" w:rsidRPr="003A1174">
        <w:rPr>
          <w:rFonts w:ascii="Garamond" w:hAnsi="Garamond" w:cs="Arial"/>
          <w:sz w:val="24"/>
          <w:szCs w:val="24"/>
        </w:rPr>
        <w:t xml:space="preserve"> para </w:t>
      </w:r>
      <w:r w:rsidR="00E67EF8" w:rsidRPr="003A1174">
        <w:rPr>
          <w:rFonts w:ascii="Garamond" w:hAnsi="Garamond" w:cs="Arial"/>
          <w:sz w:val="24"/>
          <w:szCs w:val="24"/>
        </w:rPr>
        <w:t xml:space="preserve">executar </w:t>
      </w:r>
      <w:r w:rsidR="00D01B8C" w:rsidRPr="003A1174">
        <w:rPr>
          <w:rFonts w:ascii="Garamond" w:hAnsi="Garamond" w:cs="Arial"/>
          <w:sz w:val="24"/>
          <w:szCs w:val="24"/>
        </w:rPr>
        <w:t xml:space="preserve">a política pública </w:t>
      </w:r>
      <w:r w:rsidR="00E67EF8" w:rsidRPr="003A1174">
        <w:rPr>
          <w:rFonts w:ascii="Garamond" w:hAnsi="Garamond" w:cs="Arial"/>
          <w:sz w:val="24"/>
          <w:szCs w:val="24"/>
        </w:rPr>
        <w:t>estabelecida n</w:t>
      </w:r>
      <w:r w:rsidR="00D01B8C" w:rsidRPr="003A1174">
        <w:rPr>
          <w:rFonts w:ascii="Garamond" w:hAnsi="Garamond" w:cs="Arial"/>
          <w:sz w:val="24"/>
          <w:szCs w:val="24"/>
        </w:rPr>
        <w:t xml:space="preserve">a </w:t>
      </w:r>
      <w:r w:rsidR="00D15AFF" w:rsidRPr="003A1174">
        <w:rPr>
          <w:rFonts w:ascii="Garamond" w:hAnsi="Garamond" w:cs="Arial"/>
          <w:sz w:val="24"/>
          <w:szCs w:val="24"/>
        </w:rPr>
        <w:t>lei</w:t>
      </w:r>
      <w:r w:rsidR="00D01B8C" w:rsidRPr="003A1174">
        <w:rPr>
          <w:rFonts w:ascii="Garamond" w:hAnsi="Garamond" w:cs="Arial"/>
          <w:sz w:val="24"/>
          <w:szCs w:val="24"/>
        </w:rPr>
        <w:t xml:space="preserve">. </w:t>
      </w:r>
      <w:r w:rsidR="00E67EF8" w:rsidRPr="003A1174">
        <w:rPr>
          <w:rFonts w:ascii="Garamond" w:hAnsi="Garamond" w:cs="Arial"/>
          <w:sz w:val="24"/>
          <w:szCs w:val="24"/>
        </w:rPr>
        <w:t>Também criou a OPM como um</w:t>
      </w:r>
      <w:r w:rsidR="00D01B8C" w:rsidRPr="003A1174">
        <w:rPr>
          <w:rFonts w:ascii="Garamond" w:hAnsi="Garamond" w:cs="Arial"/>
          <w:sz w:val="24"/>
          <w:szCs w:val="24"/>
        </w:rPr>
        <w:t xml:space="preserve">a </w:t>
      </w:r>
      <w:r w:rsidR="00A862C2" w:rsidRPr="003A1174">
        <w:rPr>
          <w:rFonts w:ascii="Garamond" w:hAnsi="Garamond" w:cs="Arial"/>
          <w:sz w:val="24"/>
          <w:szCs w:val="24"/>
        </w:rPr>
        <w:t>entidade</w:t>
      </w:r>
      <w:r w:rsidR="00D01B8C" w:rsidRPr="003A1174">
        <w:rPr>
          <w:rFonts w:ascii="Garamond" w:hAnsi="Garamond" w:cs="Arial"/>
          <w:sz w:val="24"/>
          <w:szCs w:val="24"/>
        </w:rPr>
        <w:t xml:space="preserve"> jurídica </w:t>
      </w:r>
      <w:r w:rsidR="0005622E" w:rsidRPr="003A1174">
        <w:rPr>
          <w:rFonts w:ascii="Garamond" w:hAnsi="Garamond" w:cs="Arial"/>
          <w:sz w:val="24"/>
          <w:szCs w:val="24"/>
        </w:rPr>
        <w:t>independente</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separada de </w:t>
      </w:r>
      <w:r w:rsidR="007342D9" w:rsidRPr="003A1174">
        <w:rPr>
          <w:rFonts w:ascii="Garamond" w:hAnsi="Garamond" w:cs="Arial"/>
          <w:sz w:val="24"/>
          <w:szCs w:val="24"/>
        </w:rPr>
        <w:t>qualquer</w:t>
      </w:r>
      <w:r w:rsidR="00D01B8C" w:rsidRPr="003A1174">
        <w:rPr>
          <w:rFonts w:ascii="Garamond" w:hAnsi="Garamond" w:cs="Arial"/>
          <w:sz w:val="24"/>
          <w:szCs w:val="24"/>
        </w:rPr>
        <w:t xml:space="preserve"> </w:t>
      </w:r>
      <w:r w:rsidR="002B6C5B" w:rsidRPr="003A1174">
        <w:rPr>
          <w:rFonts w:ascii="Garamond" w:hAnsi="Garamond" w:cs="Arial"/>
          <w:sz w:val="24"/>
          <w:szCs w:val="24"/>
        </w:rPr>
        <w:t>outra</w:t>
      </w:r>
      <w:r w:rsidR="00D01B8C" w:rsidRPr="003A1174">
        <w:rPr>
          <w:rFonts w:ascii="Garamond" w:hAnsi="Garamond" w:cs="Arial"/>
          <w:sz w:val="24"/>
          <w:szCs w:val="24"/>
        </w:rPr>
        <w:t xml:space="preserve"> </w:t>
      </w:r>
      <w:r w:rsidR="00E67EF8" w:rsidRPr="003A1174">
        <w:rPr>
          <w:rFonts w:ascii="Garamond" w:hAnsi="Garamond" w:cs="Arial"/>
          <w:sz w:val="24"/>
          <w:szCs w:val="24"/>
        </w:rPr>
        <w:t>agência</w:t>
      </w:r>
      <w:r w:rsidR="00D01B8C" w:rsidRPr="003A1174">
        <w:rPr>
          <w:rFonts w:ascii="Garamond" w:hAnsi="Garamond" w:cs="Arial"/>
          <w:sz w:val="24"/>
          <w:szCs w:val="24"/>
        </w:rPr>
        <w:t xml:space="preserve"> o</w:t>
      </w:r>
      <w:r w:rsidR="00E67EF8" w:rsidRPr="003A1174">
        <w:rPr>
          <w:rFonts w:ascii="Garamond" w:hAnsi="Garamond" w:cs="Arial"/>
          <w:sz w:val="24"/>
          <w:szCs w:val="24"/>
        </w:rPr>
        <w:t>u</w:t>
      </w:r>
      <w:r w:rsidR="00D01B8C" w:rsidRPr="003A1174">
        <w:rPr>
          <w:rFonts w:ascii="Garamond" w:hAnsi="Garamond" w:cs="Arial"/>
          <w:sz w:val="24"/>
          <w:szCs w:val="24"/>
        </w:rPr>
        <w:t xml:space="preserve"> </w:t>
      </w:r>
      <w:r w:rsidR="00A862C2" w:rsidRPr="003A1174">
        <w:rPr>
          <w:rFonts w:ascii="Garamond" w:hAnsi="Garamond" w:cs="Arial"/>
          <w:sz w:val="24"/>
          <w:szCs w:val="24"/>
        </w:rPr>
        <w:t>entidade</w:t>
      </w:r>
      <w:r w:rsidR="00D01B8C" w:rsidRPr="003A1174">
        <w:rPr>
          <w:rFonts w:ascii="Garamond" w:hAnsi="Garamond" w:cs="Arial"/>
          <w:sz w:val="24"/>
          <w:szCs w:val="24"/>
        </w:rPr>
        <w:t xml:space="preserve"> pública. </w:t>
      </w:r>
      <w:r w:rsidR="00E67EF8" w:rsidRPr="003A1174">
        <w:rPr>
          <w:rFonts w:ascii="Garamond" w:hAnsi="Garamond" w:cs="Arial"/>
          <w:sz w:val="24"/>
          <w:szCs w:val="24"/>
        </w:rPr>
        <w:t xml:space="preserve">A </w:t>
      </w:r>
      <w:r w:rsidR="00D15AFF" w:rsidRPr="003A1174">
        <w:rPr>
          <w:rFonts w:ascii="Garamond" w:hAnsi="Garamond" w:cs="Arial"/>
          <w:sz w:val="24"/>
          <w:szCs w:val="24"/>
        </w:rPr>
        <w:t>Lei</w:t>
      </w:r>
      <w:r w:rsidR="00D01B8C" w:rsidRPr="003A1174">
        <w:rPr>
          <w:rFonts w:ascii="Garamond" w:hAnsi="Garamond" w:cs="Arial"/>
          <w:sz w:val="24"/>
          <w:szCs w:val="24"/>
        </w:rPr>
        <w:t xml:space="preserve"> N</w:t>
      </w:r>
      <w:r w:rsidR="00FE715B">
        <w:rPr>
          <w:rFonts w:ascii="Garamond" w:hAnsi="Garamond" w:cs="Arial"/>
          <w:sz w:val="24"/>
          <w:szCs w:val="24"/>
        </w:rPr>
        <w:t>.</w:t>
      </w:r>
      <w:r w:rsidR="00996C68" w:rsidRPr="003A1174">
        <w:rPr>
          <w:rFonts w:ascii="Garamond" w:hAnsi="Garamond" w:cs="Arial"/>
          <w:sz w:val="24"/>
          <w:szCs w:val="24"/>
        </w:rPr>
        <w:t>°</w:t>
      </w:r>
      <w:r w:rsidR="00D01B8C" w:rsidRPr="003A1174">
        <w:rPr>
          <w:rFonts w:ascii="Garamond" w:hAnsi="Garamond" w:cs="Arial"/>
          <w:sz w:val="24"/>
          <w:szCs w:val="24"/>
        </w:rPr>
        <w:t xml:space="preserve"> 20 deleg</w:t>
      </w:r>
      <w:r w:rsidR="00E67EF8" w:rsidRPr="003A1174">
        <w:rPr>
          <w:rFonts w:ascii="Garamond" w:hAnsi="Garamond" w:cs="Arial"/>
          <w:sz w:val="24"/>
          <w:szCs w:val="24"/>
        </w:rPr>
        <w:t xml:space="preserve">ou </w:t>
      </w:r>
      <w:r w:rsidR="00D01B8C" w:rsidRPr="003A1174">
        <w:rPr>
          <w:rFonts w:ascii="Garamond" w:hAnsi="Garamond" w:cs="Arial"/>
          <w:sz w:val="24"/>
          <w:szCs w:val="24"/>
        </w:rPr>
        <w:t xml:space="preserve">a esta </w:t>
      </w:r>
      <w:r w:rsidR="0096583F" w:rsidRPr="003A1174">
        <w:rPr>
          <w:rFonts w:ascii="Garamond" w:hAnsi="Garamond" w:cs="Arial"/>
          <w:sz w:val="24"/>
          <w:szCs w:val="24"/>
        </w:rPr>
        <w:t>procuradoria</w:t>
      </w:r>
      <w:r w:rsidR="00D01B8C" w:rsidRPr="003A1174">
        <w:rPr>
          <w:rFonts w:ascii="Garamond" w:hAnsi="Garamond" w:cs="Arial"/>
          <w:sz w:val="24"/>
          <w:szCs w:val="24"/>
        </w:rPr>
        <w:t xml:space="preserve"> poderes </w:t>
      </w:r>
      <w:r w:rsidR="00E67EF8" w:rsidRPr="003A1174">
        <w:rPr>
          <w:rFonts w:ascii="Garamond" w:hAnsi="Garamond" w:cs="Arial"/>
          <w:sz w:val="24"/>
          <w:szCs w:val="24"/>
        </w:rPr>
        <w:t xml:space="preserve">de </w:t>
      </w:r>
      <w:r w:rsidR="00D01B8C" w:rsidRPr="003A1174">
        <w:rPr>
          <w:rFonts w:ascii="Garamond" w:hAnsi="Garamond" w:cs="Arial"/>
          <w:sz w:val="24"/>
          <w:szCs w:val="24"/>
        </w:rPr>
        <w:t>investiga</w:t>
      </w:r>
      <w:r w:rsidR="00E67EF8" w:rsidRPr="003A1174">
        <w:rPr>
          <w:rFonts w:ascii="Garamond" w:hAnsi="Garamond" w:cs="Arial"/>
          <w:sz w:val="24"/>
          <w:szCs w:val="24"/>
        </w:rPr>
        <w:t>ção</w:t>
      </w:r>
      <w:r w:rsidR="00D01B8C" w:rsidRPr="003A1174">
        <w:rPr>
          <w:rFonts w:ascii="Garamond" w:hAnsi="Garamond" w:cs="Arial"/>
          <w:sz w:val="24"/>
          <w:szCs w:val="24"/>
        </w:rPr>
        <w:t>, fisca</w:t>
      </w:r>
      <w:r w:rsidR="00E67EF8" w:rsidRPr="003A1174">
        <w:rPr>
          <w:rFonts w:ascii="Garamond" w:hAnsi="Garamond" w:cs="Arial"/>
          <w:sz w:val="24"/>
          <w:szCs w:val="24"/>
        </w:rPr>
        <w:t xml:space="preserve">is e quase </w:t>
      </w:r>
      <w:r w:rsidR="002D1021" w:rsidRPr="003A1174">
        <w:rPr>
          <w:rFonts w:ascii="Garamond" w:hAnsi="Garamond" w:cs="Arial"/>
          <w:sz w:val="24"/>
          <w:szCs w:val="24"/>
        </w:rPr>
        <w:t>judiciais</w:t>
      </w:r>
      <w:r w:rsidR="00D01B8C" w:rsidRPr="003A1174">
        <w:rPr>
          <w:rFonts w:ascii="Garamond" w:hAnsi="Garamond" w:cs="Arial"/>
          <w:sz w:val="24"/>
          <w:szCs w:val="24"/>
        </w:rPr>
        <w:t xml:space="preserve"> para </w:t>
      </w:r>
      <w:r w:rsidR="00E67EF8" w:rsidRPr="003A1174">
        <w:rPr>
          <w:rFonts w:ascii="Garamond" w:hAnsi="Garamond" w:cs="Arial"/>
          <w:sz w:val="24"/>
          <w:szCs w:val="24"/>
        </w:rPr>
        <w:t xml:space="preserve">proporcionar </w:t>
      </w:r>
      <w:r w:rsidR="00791197" w:rsidRPr="003A1174">
        <w:rPr>
          <w:rFonts w:ascii="Garamond" w:hAnsi="Garamond" w:cs="Arial"/>
          <w:sz w:val="24"/>
          <w:szCs w:val="24"/>
        </w:rPr>
        <w:t>apoio</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886D6A" w:rsidRPr="003A1174">
        <w:rPr>
          <w:rFonts w:ascii="Garamond" w:hAnsi="Garamond" w:cs="Arial"/>
          <w:sz w:val="24"/>
          <w:szCs w:val="24"/>
        </w:rPr>
        <w:t>proteção</w:t>
      </w:r>
      <w:r w:rsidR="00D01B8C" w:rsidRPr="003A1174">
        <w:rPr>
          <w:rFonts w:ascii="Garamond" w:hAnsi="Garamond" w:cs="Arial"/>
          <w:sz w:val="24"/>
          <w:szCs w:val="24"/>
        </w:rPr>
        <w:t xml:space="preserve"> a</w:t>
      </w:r>
      <w:r w:rsidR="00E67EF8" w:rsidRPr="003A1174">
        <w:rPr>
          <w:rFonts w:ascii="Garamond" w:hAnsi="Garamond" w:cs="Arial"/>
          <w:sz w:val="24"/>
          <w:szCs w:val="24"/>
        </w:rPr>
        <w:t>o</w:t>
      </w:r>
      <w:r w:rsidR="00D01B8C" w:rsidRPr="003A1174">
        <w:rPr>
          <w:rFonts w:ascii="Garamond" w:hAnsi="Garamond" w:cs="Arial"/>
          <w:sz w:val="24"/>
          <w:szCs w:val="24"/>
        </w:rPr>
        <w:t xml:space="preserve"> grupo social d</w:t>
      </w:r>
      <w:r w:rsidR="00E67EF8" w:rsidRPr="003A1174">
        <w:rPr>
          <w:rFonts w:ascii="Garamond" w:hAnsi="Garamond" w:cs="Arial"/>
          <w:sz w:val="24"/>
          <w:szCs w:val="24"/>
        </w:rPr>
        <w:t xml:space="preserve">a ilha </w:t>
      </w:r>
      <w:r w:rsidR="00FB09CA" w:rsidRPr="003A1174">
        <w:rPr>
          <w:rFonts w:ascii="Garamond" w:hAnsi="Garamond" w:cs="Arial"/>
          <w:sz w:val="24"/>
          <w:szCs w:val="24"/>
        </w:rPr>
        <w:t>composto</w:t>
      </w:r>
      <w:r w:rsidR="00D01B8C" w:rsidRPr="003A1174">
        <w:rPr>
          <w:rFonts w:ascii="Garamond" w:hAnsi="Garamond" w:cs="Arial"/>
          <w:sz w:val="24"/>
          <w:szCs w:val="24"/>
        </w:rPr>
        <w:t xml:space="preserve"> p</w:t>
      </w:r>
      <w:r w:rsidR="00E67EF8" w:rsidRPr="003A1174">
        <w:rPr>
          <w:rFonts w:ascii="Garamond" w:hAnsi="Garamond" w:cs="Arial"/>
          <w:sz w:val="24"/>
          <w:szCs w:val="24"/>
        </w:rPr>
        <w:t>e</w:t>
      </w:r>
      <w:r w:rsidR="00D01B8C" w:rsidRPr="003A1174">
        <w:rPr>
          <w:rFonts w:ascii="Garamond" w:hAnsi="Garamond" w:cs="Arial"/>
          <w:sz w:val="24"/>
          <w:szCs w:val="24"/>
        </w:rPr>
        <w:t xml:space="preserve">las </w:t>
      </w:r>
      <w:r w:rsidR="00054EE0" w:rsidRPr="003A1174">
        <w:rPr>
          <w:rFonts w:ascii="Garamond" w:hAnsi="Garamond" w:cs="Arial"/>
          <w:sz w:val="24"/>
          <w:szCs w:val="24"/>
        </w:rPr>
        <w:t>mulheres</w:t>
      </w:r>
      <w:r w:rsidR="00D01B8C" w:rsidRPr="003A1174">
        <w:rPr>
          <w:rFonts w:ascii="Garamond" w:hAnsi="Garamond" w:cs="Arial"/>
          <w:sz w:val="24"/>
          <w:szCs w:val="24"/>
        </w:rPr>
        <w:t>.</w:t>
      </w:r>
    </w:p>
    <w:p w:rsidR="00D01B8C" w:rsidRPr="003A1174" w:rsidRDefault="00602EDC"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De acordo com o disposto na </w:t>
      </w:r>
      <w:r w:rsidR="00D15AFF" w:rsidRPr="003A1174">
        <w:rPr>
          <w:rFonts w:ascii="Garamond" w:hAnsi="Garamond" w:cs="Arial"/>
          <w:sz w:val="24"/>
          <w:szCs w:val="24"/>
        </w:rPr>
        <w:t>Lei</w:t>
      </w:r>
      <w:r w:rsidR="00D01B8C" w:rsidRPr="003A1174">
        <w:rPr>
          <w:rFonts w:ascii="Garamond" w:hAnsi="Garamond" w:cs="Arial"/>
          <w:sz w:val="24"/>
          <w:szCs w:val="24"/>
        </w:rPr>
        <w:t xml:space="preserve"> N</w:t>
      </w:r>
      <w:r w:rsidR="00FE715B">
        <w:rPr>
          <w:rFonts w:ascii="Garamond" w:hAnsi="Garamond" w:cs="Arial"/>
          <w:sz w:val="24"/>
          <w:szCs w:val="24"/>
        </w:rPr>
        <w:t>.</w:t>
      </w:r>
      <w:r w:rsidR="00996C68" w:rsidRPr="003A1174">
        <w:rPr>
          <w:rFonts w:ascii="Garamond" w:hAnsi="Garamond" w:cs="Arial"/>
          <w:sz w:val="24"/>
          <w:szCs w:val="24"/>
        </w:rPr>
        <w:t>°</w:t>
      </w:r>
      <w:r w:rsidR="00D01B8C" w:rsidRPr="003A1174">
        <w:rPr>
          <w:rFonts w:ascii="Garamond" w:hAnsi="Garamond" w:cs="Arial"/>
          <w:sz w:val="24"/>
          <w:szCs w:val="24"/>
        </w:rPr>
        <w:t xml:space="preserve"> 20, </w:t>
      </w:r>
      <w:r w:rsidR="00FE715B">
        <w:rPr>
          <w:rFonts w:ascii="Garamond" w:hAnsi="Garamond" w:cs="Arial"/>
          <w:sz w:val="24"/>
          <w:szCs w:val="24"/>
        </w:rPr>
        <w:t>cabe à</w:t>
      </w:r>
      <w:r w:rsidRPr="003A1174">
        <w:rPr>
          <w:rFonts w:ascii="Garamond" w:hAnsi="Garamond" w:cs="Arial"/>
          <w:sz w:val="24"/>
          <w:szCs w:val="24"/>
        </w:rPr>
        <w:t xml:space="preserve"> </w:t>
      </w:r>
      <w:r w:rsidR="00D01B8C" w:rsidRPr="003A1174">
        <w:rPr>
          <w:rFonts w:ascii="Garamond" w:hAnsi="Garamond" w:cs="Arial"/>
          <w:sz w:val="24"/>
          <w:szCs w:val="24"/>
        </w:rPr>
        <w:t xml:space="preserve">política pública </w:t>
      </w:r>
      <w:r w:rsidR="008A3DA2" w:rsidRPr="003A1174">
        <w:rPr>
          <w:rFonts w:ascii="Garamond" w:hAnsi="Garamond" w:cs="Arial"/>
          <w:sz w:val="24"/>
          <w:szCs w:val="24"/>
        </w:rPr>
        <w:t>do</w:t>
      </w:r>
      <w:r w:rsidR="00D01B8C" w:rsidRPr="003A1174">
        <w:rPr>
          <w:rFonts w:ascii="Garamond" w:hAnsi="Garamond" w:cs="Arial"/>
          <w:sz w:val="24"/>
          <w:szCs w:val="24"/>
        </w:rPr>
        <w:t xml:space="preserve"> Estado </w:t>
      </w:r>
      <w:r w:rsidR="00AF192F" w:rsidRPr="003A1174">
        <w:rPr>
          <w:rFonts w:ascii="Garamond" w:hAnsi="Garamond" w:cs="Arial"/>
          <w:sz w:val="24"/>
          <w:szCs w:val="24"/>
        </w:rPr>
        <w:t>garantir</w:t>
      </w:r>
      <w:r w:rsidR="00D01B8C" w:rsidRPr="003A1174">
        <w:rPr>
          <w:rFonts w:ascii="Garamond" w:hAnsi="Garamond" w:cs="Arial"/>
          <w:sz w:val="24"/>
          <w:szCs w:val="24"/>
        </w:rPr>
        <w:t xml:space="preserve"> </w:t>
      </w:r>
      <w:r w:rsidRPr="003A1174">
        <w:rPr>
          <w:rFonts w:ascii="Garamond" w:hAnsi="Garamond" w:cs="Arial"/>
          <w:sz w:val="24"/>
          <w:szCs w:val="24"/>
        </w:rPr>
        <w:t xml:space="preserve">o </w:t>
      </w:r>
      <w:r w:rsidR="00D01B8C" w:rsidRPr="003A1174">
        <w:rPr>
          <w:rFonts w:ascii="Garamond" w:hAnsi="Garamond" w:cs="Arial"/>
          <w:sz w:val="24"/>
          <w:szCs w:val="24"/>
        </w:rPr>
        <w:t xml:space="preserve">pleno </w:t>
      </w:r>
      <w:r w:rsidR="009B133A" w:rsidRPr="003A1174">
        <w:rPr>
          <w:rFonts w:ascii="Garamond" w:hAnsi="Garamond" w:cs="Arial"/>
          <w:sz w:val="24"/>
          <w:szCs w:val="24"/>
        </w:rPr>
        <w:t>desenvolvimento</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8843FD" w:rsidRPr="003A1174">
        <w:rPr>
          <w:rFonts w:ascii="Garamond" w:hAnsi="Garamond" w:cs="Arial"/>
          <w:sz w:val="24"/>
          <w:szCs w:val="24"/>
        </w:rPr>
        <w:t>respeito</w:t>
      </w:r>
      <w:r w:rsidR="00D01B8C" w:rsidRPr="003A1174">
        <w:rPr>
          <w:rFonts w:ascii="Garamond" w:hAnsi="Garamond" w:cs="Arial"/>
          <w:sz w:val="24"/>
          <w:szCs w:val="24"/>
        </w:rPr>
        <w:t xml:space="preserve">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886D6A" w:rsidRPr="003A1174">
        <w:rPr>
          <w:rFonts w:ascii="Garamond" w:hAnsi="Garamond" w:cs="Arial"/>
          <w:sz w:val="24"/>
          <w:szCs w:val="24"/>
        </w:rPr>
        <w:t>direito</w:t>
      </w:r>
      <w:r w:rsidR="00D01B8C" w:rsidRPr="003A1174">
        <w:rPr>
          <w:rFonts w:ascii="Garamond" w:hAnsi="Garamond" w:cs="Arial"/>
          <w:sz w:val="24"/>
          <w:szCs w:val="24"/>
        </w:rPr>
        <w:t xml:space="preserve">s humanos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996C68" w:rsidRPr="003A1174">
        <w:rPr>
          <w:rFonts w:ascii="Garamond" w:hAnsi="Garamond" w:cs="Arial"/>
          <w:sz w:val="24"/>
          <w:szCs w:val="24"/>
        </w:rPr>
        <w:t xml:space="preserve">, </w:t>
      </w:r>
      <w:r w:rsidR="00C031E1" w:rsidRPr="003A1174">
        <w:rPr>
          <w:rFonts w:ascii="Garamond" w:hAnsi="Garamond" w:cs="Arial"/>
          <w:sz w:val="24"/>
          <w:szCs w:val="24"/>
        </w:rPr>
        <w:t>as</w:t>
      </w:r>
      <w:r w:rsidRPr="003A1174">
        <w:rPr>
          <w:rFonts w:ascii="Garamond" w:hAnsi="Garamond" w:cs="Arial"/>
          <w:sz w:val="24"/>
          <w:szCs w:val="24"/>
        </w:rPr>
        <w:t xml:space="preserve">sim </w:t>
      </w:r>
      <w:r w:rsidR="00996C68" w:rsidRPr="003A1174">
        <w:rPr>
          <w:rFonts w:ascii="Garamond" w:hAnsi="Garamond" w:cs="Arial"/>
          <w:sz w:val="24"/>
          <w:szCs w:val="24"/>
        </w:rPr>
        <w:t xml:space="preserve">como </w:t>
      </w:r>
      <w:r w:rsidRPr="003A1174">
        <w:rPr>
          <w:rFonts w:ascii="Garamond" w:hAnsi="Garamond" w:cs="Arial"/>
          <w:sz w:val="24"/>
          <w:szCs w:val="24"/>
        </w:rPr>
        <w:t xml:space="preserve">o </w:t>
      </w:r>
      <w:r w:rsidR="00731B19" w:rsidRPr="003A1174">
        <w:rPr>
          <w:rFonts w:ascii="Garamond" w:hAnsi="Garamond" w:cs="Arial"/>
          <w:sz w:val="24"/>
          <w:szCs w:val="24"/>
        </w:rPr>
        <w:t>exercício</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 xml:space="preserve">usufruto das suas </w:t>
      </w:r>
      <w:r w:rsidR="006506C6" w:rsidRPr="003A1174">
        <w:rPr>
          <w:rFonts w:ascii="Garamond" w:hAnsi="Garamond" w:cs="Arial"/>
          <w:sz w:val="24"/>
          <w:szCs w:val="24"/>
        </w:rPr>
        <w:t>liberdades</w:t>
      </w:r>
      <w:r w:rsidR="00D01B8C" w:rsidRPr="003A1174">
        <w:rPr>
          <w:rFonts w:ascii="Garamond" w:hAnsi="Garamond" w:cs="Arial"/>
          <w:sz w:val="24"/>
          <w:szCs w:val="24"/>
        </w:rPr>
        <w:t xml:space="preserve"> </w:t>
      </w:r>
      <w:r w:rsidR="00CA633E" w:rsidRPr="003A1174">
        <w:rPr>
          <w:rFonts w:ascii="Garamond" w:hAnsi="Garamond" w:cs="Arial"/>
          <w:sz w:val="24"/>
          <w:szCs w:val="24"/>
        </w:rPr>
        <w:t>fundamentais</w:t>
      </w:r>
      <w:r w:rsidR="00D01B8C" w:rsidRPr="003A1174">
        <w:rPr>
          <w:rFonts w:ascii="Garamond" w:hAnsi="Garamond" w:cs="Arial"/>
          <w:sz w:val="24"/>
          <w:szCs w:val="24"/>
        </w:rPr>
        <w:t xml:space="preserve">. </w:t>
      </w:r>
      <w:r w:rsidRPr="003A1174">
        <w:rPr>
          <w:rFonts w:ascii="Garamond" w:hAnsi="Garamond" w:cs="Arial"/>
          <w:sz w:val="24"/>
          <w:szCs w:val="24"/>
        </w:rPr>
        <w:t>R</w:t>
      </w:r>
      <w:r w:rsidR="0091213A" w:rsidRPr="003A1174">
        <w:rPr>
          <w:rFonts w:ascii="Garamond" w:hAnsi="Garamond" w:cs="Arial"/>
          <w:sz w:val="24"/>
          <w:szCs w:val="24"/>
        </w:rPr>
        <w:t>econhece</w:t>
      </w:r>
      <w:r w:rsidRPr="003A1174">
        <w:rPr>
          <w:rFonts w:ascii="Garamond" w:hAnsi="Garamond" w:cs="Arial"/>
          <w:sz w:val="24"/>
          <w:szCs w:val="24"/>
        </w:rPr>
        <w:t xml:space="preserve">-se que </w:t>
      </w:r>
      <w:r w:rsidR="00D01B8C" w:rsidRPr="003A1174">
        <w:rPr>
          <w:rFonts w:ascii="Garamond" w:hAnsi="Garamond" w:cs="Arial"/>
          <w:sz w:val="24"/>
          <w:szCs w:val="24"/>
        </w:rPr>
        <w:t xml:space="preserve">as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D75A07" w:rsidRPr="003A1174">
        <w:rPr>
          <w:rFonts w:ascii="Garamond" w:hAnsi="Garamond" w:cs="Arial"/>
          <w:sz w:val="24"/>
          <w:szCs w:val="24"/>
        </w:rPr>
        <w:t>são</w:t>
      </w:r>
      <w:r w:rsidR="00D01B8C" w:rsidRPr="003A1174">
        <w:rPr>
          <w:rFonts w:ascii="Garamond" w:hAnsi="Garamond" w:cs="Arial"/>
          <w:sz w:val="24"/>
          <w:szCs w:val="24"/>
        </w:rPr>
        <w:t xml:space="preserve"> objeto de u</w:t>
      </w:r>
      <w:r w:rsidRPr="003A1174">
        <w:rPr>
          <w:rFonts w:ascii="Garamond" w:hAnsi="Garamond" w:cs="Arial"/>
          <w:sz w:val="24"/>
          <w:szCs w:val="24"/>
        </w:rPr>
        <w:t>m</w:t>
      </w:r>
      <w:r w:rsidR="00D01B8C" w:rsidRPr="003A1174">
        <w:rPr>
          <w:rFonts w:ascii="Garamond" w:hAnsi="Garamond" w:cs="Arial"/>
          <w:sz w:val="24"/>
          <w:szCs w:val="24"/>
        </w:rPr>
        <w:t xml:space="preserve"> alto </w:t>
      </w:r>
      <w:r w:rsidR="006D4D0B" w:rsidRPr="003A1174">
        <w:rPr>
          <w:rFonts w:ascii="Garamond" w:hAnsi="Garamond" w:cs="Arial"/>
          <w:sz w:val="24"/>
          <w:szCs w:val="24"/>
        </w:rPr>
        <w:t>grau</w:t>
      </w:r>
      <w:r w:rsidR="00D01B8C" w:rsidRPr="003A1174">
        <w:rPr>
          <w:rFonts w:ascii="Garamond" w:hAnsi="Garamond" w:cs="Arial"/>
          <w:sz w:val="24"/>
          <w:szCs w:val="24"/>
        </w:rPr>
        <w:t xml:space="preserve"> de discr</w:t>
      </w:r>
      <w:r w:rsidR="00996C68" w:rsidRPr="003A1174">
        <w:rPr>
          <w:rFonts w:ascii="Garamond" w:hAnsi="Garamond" w:cs="Arial"/>
          <w:sz w:val="24"/>
          <w:szCs w:val="24"/>
        </w:rPr>
        <w:t>imi</w:t>
      </w:r>
      <w:r w:rsidR="003F012B" w:rsidRPr="003A1174">
        <w:rPr>
          <w:rFonts w:ascii="Garamond" w:hAnsi="Garamond" w:cs="Arial"/>
          <w:sz w:val="24"/>
          <w:szCs w:val="24"/>
        </w:rPr>
        <w:t>nações</w:t>
      </w:r>
      <w:r w:rsidR="00D01B8C" w:rsidRPr="003A1174">
        <w:rPr>
          <w:rFonts w:ascii="Garamond" w:hAnsi="Garamond" w:cs="Arial"/>
          <w:sz w:val="24"/>
          <w:szCs w:val="24"/>
        </w:rPr>
        <w:t xml:space="preserve">, </w:t>
      </w:r>
      <w:r w:rsidRPr="003A1174">
        <w:rPr>
          <w:rFonts w:ascii="Garamond" w:hAnsi="Garamond" w:cs="Arial"/>
          <w:sz w:val="24"/>
          <w:szCs w:val="24"/>
        </w:rPr>
        <w:t>opressões</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marginalizações</w:t>
      </w:r>
      <w:r w:rsidR="00D01B8C" w:rsidRPr="003A1174">
        <w:rPr>
          <w:rFonts w:ascii="Garamond" w:hAnsi="Garamond" w:cs="Arial"/>
          <w:sz w:val="24"/>
          <w:szCs w:val="24"/>
        </w:rPr>
        <w:t xml:space="preserve"> que n</w:t>
      </w:r>
      <w:r w:rsidR="00853E4C" w:rsidRPr="003A1174">
        <w:rPr>
          <w:rFonts w:ascii="Garamond" w:hAnsi="Garamond" w:cs="Arial"/>
          <w:sz w:val="24"/>
          <w:szCs w:val="24"/>
        </w:rPr>
        <w:t>ã</w:t>
      </w:r>
      <w:r w:rsidR="00D01B8C" w:rsidRPr="003A1174">
        <w:rPr>
          <w:rFonts w:ascii="Garamond" w:hAnsi="Garamond" w:cs="Arial"/>
          <w:sz w:val="24"/>
          <w:szCs w:val="24"/>
        </w:rPr>
        <w:t xml:space="preserve">o </w:t>
      </w:r>
      <w:r w:rsidR="002B5F3A">
        <w:rPr>
          <w:rFonts w:ascii="Garamond" w:hAnsi="Garamond" w:cs="Arial"/>
          <w:sz w:val="24"/>
          <w:szCs w:val="24"/>
        </w:rPr>
        <w:t xml:space="preserve">se </w:t>
      </w:r>
      <w:r w:rsidR="00FE715B">
        <w:rPr>
          <w:rFonts w:ascii="Garamond" w:hAnsi="Garamond" w:cs="Arial"/>
          <w:sz w:val="24"/>
          <w:szCs w:val="24"/>
        </w:rPr>
        <w:t>coadunam</w:t>
      </w:r>
      <w:r w:rsidRPr="003A1174">
        <w:rPr>
          <w:rFonts w:ascii="Garamond" w:hAnsi="Garamond" w:cs="Arial"/>
          <w:sz w:val="24"/>
          <w:szCs w:val="24"/>
        </w:rPr>
        <w:t xml:space="preserve"> com o </w:t>
      </w:r>
      <w:r w:rsidR="006D0543" w:rsidRPr="003A1174">
        <w:rPr>
          <w:rFonts w:ascii="Garamond" w:hAnsi="Garamond" w:cs="Arial"/>
          <w:sz w:val="24"/>
          <w:szCs w:val="24"/>
        </w:rPr>
        <w:t>princípio</w:t>
      </w:r>
      <w:r w:rsidR="00D01B8C" w:rsidRPr="003A1174">
        <w:rPr>
          <w:rFonts w:ascii="Garamond" w:hAnsi="Garamond" w:cs="Arial"/>
          <w:sz w:val="24"/>
          <w:szCs w:val="24"/>
        </w:rPr>
        <w:t xml:space="preserve"> de </w:t>
      </w:r>
      <w:r w:rsidR="002C7510" w:rsidRPr="003A1174">
        <w:rPr>
          <w:rFonts w:ascii="Garamond" w:hAnsi="Garamond" w:cs="Arial"/>
          <w:sz w:val="24"/>
          <w:szCs w:val="24"/>
        </w:rPr>
        <w:t>igualdade</w:t>
      </w:r>
      <w:r w:rsidR="00D01B8C" w:rsidRPr="003A1174">
        <w:rPr>
          <w:rFonts w:ascii="Garamond" w:hAnsi="Garamond" w:cs="Arial"/>
          <w:sz w:val="24"/>
          <w:szCs w:val="24"/>
        </w:rPr>
        <w:t xml:space="preserve"> de </w:t>
      </w:r>
      <w:r w:rsidR="00886D6A" w:rsidRPr="003A1174">
        <w:rPr>
          <w:rFonts w:ascii="Garamond" w:hAnsi="Garamond" w:cs="Arial"/>
          <w:sz w:val="24"/>
          <w:szCs w:val="24"/>
        </w:rPr>
        <w:t>direito</w:t>
      </w:r>
      <w:r w:rsidR="00D01B8C" w:rsidRPr="003A1174">
        <w:rPr>
          <w:rFonts w:ascii="Garamond" w:hAnsi="Garamond" w:cs="Arial"/>
          <w:sz w:val="24"/>
          <w:szCs w:val="24"/>
        </w:rPr>
        <w:t xml:space="preserve">s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8843FD" w:rsidRPr="003A1174">
        <w:rPr>
          <w:rFonts w:ascii="Garamond" w:hAnsi="Garamond" w:cs="Arial"/>
          <w:sz w:val="24"/>
          <w:szCs w:val="24"/>
        </w:rPr>
        <w:t>respeito</w:t>
      </w:r>
      <w:r w:rsidR="00D01B8C" w:rsidRPr="003A1174">
        <w:rPr>
          <w:rFonts w:ascii="Garamond" w:hAnsi="Garamond" w:cs="Arial"/>
          <w:sz w:val="24"/>
          <w:szCs w:val="24"/>
        </w:rPr>
        <w:t xml:space="preserve"> </w:t>
      </w:r>
      <w:r w:rsidRPr="003A1174">
        <w:rPr>
          <w:rFonts w:ascii="Garamond" w:hAnsi="Garamond" w:cs="Arial"/>
          <w:sz w:val="24"/>
          <w:szCs w:val="24"/>
        </w:rPr>
        <w:t>pe</w:t>
      </w:r>
      <w:r w:rsidR="00D01B8C" w:rsidRPr="003A1174">
        <w:rPr>
          <w:rFonts w:ascii="Garamond" w:hAnsi="Garamond" w:cs="Arial"/>
          <w:sz w:val="24"/>
          <w:szCs w:val="24"/>
        </w:rPr>
        <w:t xml:space="preserve">la </w:t>
      </w:r>
      <w:r w:rsidR="00BD6A0C" w:rsidRPr="003A1174">
        <w:rPr>
          <w:rFonts w:ascii="Garamond" w:hAnsi="Garamond" w:cs="Arial"/>
          <w:sz w:val="24"/>
          <w:szCs w:val="24"/>
        </w:rPr>
        <w:t>dignidade</w:t>
      </w:r>
      <w:r w:rsidR="00D01B8C"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ser humano, promulgados </w:t>
      </w:r>
      <w:r w:rsidR="00D01B8C" w:rsidRPr="003A1174">
        <w:rPr>
          <w:rFonts w:ascii="Garamond" w:hAnsi="Garamond" w:cs="Arial"/>
          <w:sz w:val="24"/>
          <w:szCs w:val="24"/>
        </w:rPr>
        <w:t>n</w:t>
      </w:r>
      <w:r w:rsidRPr="003A1174">
        <w:rPr>
          <w:rFonts w:ascii="Garamond" w:hAnsi="Garamond" w:cs="Arial"/>
          <w:sz w:val="24"/>
          <w:szCs w:val="24"/>
        </w:rPr>
        <w:t>a</w:t>
      </w:r>
      <w:r w:rsidR="00D01B8C" w:rsidRPr="003A1174">
        <w:rPr>
          <w:rFonts w:ascii="Garamond" w:hAnsi="Garamond" w:cs="Arial"/>
          <w:sz w:val="24"/>
          <w:szCs w:val="24"/>
        </w:rPr>
        <w:t xml:space="preserve"> </w:t>
      </w:r>
      <w:r w:rsidR="00462B11" w:rsidRPr="003A1174">
        <w:rPr>
          <w:rFonts w:ascii="Garamond" w:hAnsi="Garamond" w:cs="Arial"/>
          <w:sz w:val="24"/>
          <w:szCs w:val="24"/>
        </w:rPr>
        <w:t>nossa</w:t>
      </w:r>
      <w:r w:rsidR="00D01B8C" w:rsidRPr="003A1174">
        <w:rPr>
          <w:rFonts w:ascii="Garamond" w:hAnsi="Garamond" w:cs="Arial"/>
          <w:sz w:val="24"/>
          <w:szCs w:val="24"/>
        </w:rPr>
        <w:t xml:space="preserve"> </w:t>
      </w:r>
      <w:r w:rsidR="00E150E9" w:rsidRPr="003A1174">
        <w:rPr>
          <w:rFonts w:ascii="Garamond" w:hAnsi="Garamond" w:cs="Arial"/>
          <w:sz w:val="24"/>
          <w:szCs w:val="24"/>
        </w:rPr>
        <w:t>Constituição</w:t>
      </w:r>
      <w:r w:rsidR="00D01B8C" w:rsidRPr="003A1174">
        <w:rPr>
          <w:rFonts w:ascii="Garamond" w:hAnsi="Garamond" w:cs="Arial"/>
          <w:sz w:val="24"/>
          <w:szCs w:val="24"/>
        </w:rPr>
        <w:t xml:space="preserve">. </w:t>
      </w:r>
      <w:r w:rsidR="007407BD" w:rsidRPr="003A1174">
        <w:rPr>
          <w:rFonts w:ascii="Garamond" w:hAnsi="Garamond" w:cs="Arial"/>
          <w:sz w:val="24"/>
          <w:szCs w:val="24"/>
        </w:rPr>
        <w:t>Estes</w:t>
      </w:r>
      <w:r w:rsidR="00D01B8C" w:rsidRPr="003A1174">
        <w:rPr>
          <w:rFonts w:ascii="Garamond" w:hAnsi="Garamond" w:cs="Arial"/>
          <w:sz w:val="24"/>
          <w:szCs w:val="24"/>
        </w:rPr>
        <w:t xml:space="preserve"> obstáculos dificulta</w:t>
      </w:r>
      <w:r w:rsidRPr="003A1174">
        <w:rPr>
          <w:rFonts w:ascii="Garamond" w:hAnsi="Garamond" w:cs="Arial"/>
          <w:sz w:val="24"/>
          <w:szCs w:val="24"/>
        </w:rPr>
        <w:t xml:space="preserve">m </w:t>
      </w:r>
      <w:r w:rsidR="00D01B8C" w:rsidRPr="003A1174">
        <w:rPr>
          <w:rFonts w:ascii="Garamond" w:hAnsi="Garamond" w:cs="Arial"/>
          <w:sz w:val="24"/>
          <w:szCs w:val="24"/>
        </w:rPr>
        <w:t xml:space="preserve">a </w:t>
      </w:r>
      <w:r w:rsidR="0017447A" w:rsidRPr="003A1174">
        <w:rPr>
          <w:rFonts w:ascii="Garamond" w:hAnsi="Garamond" w:cs="Arial"/>
          <w:sz w:val="24"/>
          <w:szCs w:val="24"/>
        </w:rPr>
        <w:t>participação</w:t>
      </w:r>
      <w:r w:rsidR="00D01B8C" w:rsidRPr="003A1174">
        <w:rPr>
          <w:rFonts w:ascii="Garamond" w:hAnsi="Garamond" w:cs="Arial"/>
          <w:sz w:val="24"/>
          <w:szCs w:val="24"/>
        </w:rPr>
        <w:t xml:space="preserve"> da </w:t>
      </w:r>
      <w:r w:rsidR="00AF192F" w:rsidRPr="003A1174">
        <w:rPr>
          <w:rFonts w:ascii="Garamond" w:hAnsi="Garamond" w:cs="Arial"/>
          <w:sz w:val="24"/>
          <w:szCs w:val="24"/>
        </w:rPr>
        <w:t>mulher</w:t>
      </w:r>
      <w:r w:rsidR="00D01B8C" w:rsidRPr="003A1174">
        <w:rPr>
          <w:rFonts w:ascii="Garamond" w:hAnsi="Garamond" w:cs="Arial"/>
          <w:sz w:val="24"/>
          <w:szCs w:val="24"/>
        </w:rPr>
        <w:t xml:space="preserve"> </w:t>
      </w:r>
      <w:r w:rsidRPr="003A1174">
        <w:rPr>
          <w:rFonts w:ascii="Garamond" w:hAnsi="Garamond" w:cs="Arial"/>
          <w:sz w:val="24"/>
          <w:szCs w:val="24"/>
        </w:rPr>
        <w:t>n</w:t>
      </w:r>
      <w:r w:rsidR="00D01B8C" w:rsidRPr="003A1174">
        <w:rPr>
          <w:rFonts w:ascii="Garamond" w:hAnsi="Garamond" w:cs="Arial"/>
          <w:sz w:val="24"/>
          <w:szCs w:val="24"/>
        </w:rPr>
        <w:t xml:space="preserve">a vida política, social, económica, cultural </w:t>
      </w:r>
      <w:r w:rsidR="00497503" w:rsidRPr="003A1174">
        <w:rPr>
          <w:rFonts w:ascii="Garamond" w:hAnsi="Garamond" w:cs="Arial"/>
          <w:sz w:val="24"/>
          <w:szCs w:val="24"/>
        </w:rPr>
        <w:t>e</w:t>
      </w:r>
      <w:r w:rsidR="00D01B8C" w:rsidRPr="003A1174">
        <w:rPr>
          <w:rFonts w:ascii="Garamond" w:hAnsi="Garamond" w:cs="Arial"/>
          <w:sz w:val="24"/>
          <w:szCs w:val="24"/>
        </w:rPr>
        <w:t xml:space="preserve"> civil, p</w:t>
      </w:r>
      <w:r w:rsidRPr="003A1174">
        <w:rPr>
          <w:rFonts w:ascii="Garamond" w:hAnsi="Garamond" w:cs="Arial"/>
          <w:sz w:val="24"/>
          <w:szCs w:val="24"/>
        </w:rPr>
        <w:t>e</w:t>
      </w:r>
      <w:r w:rsidR="00D01B8C" w:rsidRPr="003A1174">
        <w:rPr>
          <w:rFonts w:ascii="Garamond" w:hAnsi="Garamond" w:cs="Arial"/>
          <w:sz w:val="24"/>
          <w:szCs w:val="24"/>
        </w:rPr>
        <w:t xml:space="preserve">lo que </w:t>
      </w:r>
      <w:r w:rsidRPr="003A1174">
        <w:rPr>
          <w:rFonts w:ascii="Garamond" w:hAnsi="Garamond" w:cs="Arial"/>
          <w:sz w:val="24"/>
          <w:szCs w:val="24"/>
        </w:rPr>
        <w:t xml:space="preserve">é </w:t>
      </w:r>
      <w:r w:rsidR="00C30647" w:rsidRPr="003A1174">
        <w:rPr>
          <w:rFonts w:ascii="Garamond" w:hAnsi="Garamond" w:cs="Arial"/>
          <w:sz w:val="24"/>
          <w:szCs w:val="24"/>
        </w:rPr>
        <w:t>necessário</w:t>
      </w:r>
      <w:r w:rsidR="00D01B8C" w:rsidRPr="003A1174">
        <w:rPr>
          <w:rFonts w:ascii="Garamond" w:hAnsi="Garamond" w:cs="Arial"/>
          <w:sz w:val="24"/>
          <w:szCs w:val="24"/>
        </w:rPr>
        <w:t xml:space="preserve"> fortalecer </w:t>
      </w:r>
      <w:r w:rsidR="00497503" w:rsidRPr="003A1174">
        <w:rPr>
          <w:rFonts w:ascii="Garamond" w:hAnsi="Garamond" w:cs="Arial"/>
          <w:sz w:val="24"/>
          <w:szCs w:val="24"/>
        </w:rPr>
        <w:t>e</w:t>
      </w:r>
      <w:r w:rsidRPr="003A1174">
        <w:rPr>
          <w:rFonts w:ascii="Garamond" w:hAnsi="Garamond" w:cs="Arial"/>
          <w:sz w:val="24"/>
          <w:szCs w:val="24"/>
        </w:rPr>
        <w:t xml:space="preserve"> consolidar </w:t>
      </w:r>
      <w:r w:rsidR="00D01B8C" w:rsidRPr="003A1174">
        <w:rPr>
          <w:rFonts w:ascii="Garamond" w:hAnsi="Garamond" w:cs="Arial"/>
          <w:sz w:val="24"/>
          <w:szCs w:val="24"/>
        </w:rPr>
        <w:t xml:space="preserve">os instrumentos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 xml:space="preserve">os </w:t>
      </w:r>
      <w:r w:rsidR="00D01B8C" w:rsidRPr="003A1174">
        <w:rPr>
          <w:rFonts w:ascii="Garamond" w:hAnsi="Garamond" w:cs="Arial"/>
          <w:sz w:val="24"/>
          <w:szCs w:val="24"/>
        </w:rPr>
        <w:t xml:space="preserve">mecanismos </w:t>
      </w:r>
      <w:r w:rsidR="008A3DA2" w:rsidRPr="003A1174">
        <w:rPr>
          <w:rFonts w:ascii="Garamond" w:hAnsi="Garamond" w:cs="Arial"/>
          <w:sz w:val="24"/>
          <w:szCs w:val="24"/>
        </w:rPr>
        <w:t>do</w:t>
      </w:r>
      <w:r w:rsidRPr="003A1174">
        <w:rPr>
          <w:rFonts w:ascii="Garamond" w:hAnsi="Garamond" w:cs="Arial"/>
          <w:sz w:val="24"/>
          <w:szCs w:val="24"/>
        </w:rPr>
        <w:t xml:space="preserve"> Estado para </w:t>
      </w:r>
      <w:r w:rsidR="00D01B8C" w:rsidRPr="003A1174">
        <w:rPr>
          <w:rFonts w:ascii="Garamond" w:hAnsi="Garamond" w:cs="Arial"/>
          <w:sz w:val="24"/>
          <w:szCs w:val="24"/>
        </w:rPr>
        <w:t>impl</w:t>
      </w:r>
      <w:r w:rsidRPr="003A1174">
        <w:rPr>
          <w:rFonts w:ascii="Garamond" w:hAnsi="Garamond" w:cs="Arial"/>
          <w:sz w:val="24"/>
          <w:szCs w:val="24"/>
        </w:rPr>
        <w:t>emen</w:t>
      </w:r>
      <w:r w:rsidR="00D01B8C" w:rsidRPr="003A1174">
        <w:rPr>
          <w:rFonts w:ascii="Garamond" w:hAnsi="Garamond" w:cs="Arial"/>
          <w:sz w:val="24"/>
          <w:szCs w:val="24"/>
        </w:rPr>
        <w:t>tar</w:t>
      </w:r>
      <w:r w:rsidR="00FE715B">
        <w:rPr>
          <w:rFonts w:ascii="Garamond" w:hAnsi="Garamond" w:cs="Arial"/>
          <w:sz w:val="24"/>
          <w:szCs w:val="24"/>
        </w:rPr>
        <w:t>,</w:t>
      </w:r>
      <w:r w:rsidR="00D01B8C" w:rsidRPr="003A1174">
        <w:rPr>
          <w:rFonts w:ascii="Garamond" w:hAnsi="Garamond" w:cs="Arial"/>
          <w:sz w:val="24"/>
          <w:szCs w:val="24"/>
        </w:rPr>
        <w:t xml:space="preserve"> de </w:t>
      </w:r>
      <w:r w:rsidRPr="003A1174">
        <w:rPr>
          <w:rFonts w:ascii="Garamond" w:hAnsi="Garamond" w:cs="Arial"/>
          <w:sz w:val="24"/>
          <w:szCs w:val="24"/>
        </w:rPr>
        <w:t xml:space="preserve">forma </w:t>
      </w:r>
      <w:r w:rsidR="00D84A9F" w:rsidRPr="003A1174">
        <w:rPr>
          <w:rFonts w:ascii="Garamond" w:hAnsi="Garamond" w:cs="Arial"/>
          <w:sz w:val="24"/>
          <w:szCs w:val="24"/>
        </w:rPr>
        <w:t>efetiva</w:t>
      </w:r>
      <w:r w:rsidR="00FE715B">
        <w:rPr>
          <w:rFonts w:ascii="Garamond" w:hAnsi="Garamond" w:cs="Arial"/>
          <w:sz w:val="24"/>
          <w:szCs w:val="24"/>
        </w:rPr>
        <w:t>,</w:t>
      </w:r>
      <w:r w:rsidRPr="003A1174">
        <w:rPr>
          <w:rFonts w:ascii="Garamond" w:hAnsi="Garamond" w:cs="Arial"/>
          <w:sz w:val="24"/>
          <w:szCs w:val="24"/>
        </w:rPr>
        <w:t xml:space="preserve"> um</w:t>
      </w:r>
      <w:r w:rsidR="00D01B8C" w:rsidRPr="003A1174">
        <w:rPr>
          <w:rFonts w:ascii="Garamond" w:hAnsi="Garamond" w:cs="Arial"/>
          <w:sz w:val="24"/>
          <w:szCs w:val="24"/>
        </w:rPr>
        <w:t xml:space="preserve">a política de </w:t>
      </w:r>
      <w:r w:rsidR="002C7510" w:rsidRPr="003A1174">
        <w:rPr>
          <w:rFonts w:ascii="Garamond" w:hAnsi="Garamond" w:cs="Arial"/>
          <w:sz w:val="24"/>
          <w:szCs w:val="24"/>
        </w:rPr>
        <w:t>igualdade</w:t>
      </w:r>
      <w:r w:rsidR="00D01B8C" w:rsidRPr="003A1174">
        <w:rPr>
          <w:rFonts w:ascii="Garamond" w:hAnsi="Garamond" w:cs="Arial"/>
          <w:sz w:val="24"/>
          <w:szCs w:val="24"/>
        </w:rPr>
        <w:t xml:space="preserve"> social </w:t>
      </w:r>
      <w:r w:rsidR="00497503" w:rsidRPr="003A1174">
        <w:rPr>
          <w:rFonts w:ascii="Garamond" w:hAnsi="Garamond" w:cs="Arial"/>
          <w:sz w:val="24"/>
          <w:szCs w:val="24"/>
        </w:rPr>
        <w:t>e</w:t>
      </w:r>
      <w:r w:rsidR="00D01B8C" w:rsidRPr="003A1174">
        <w:rPr>
          <w:rFonts w:ascii="Garamond" w:hAnsi="Garamond" w:cs="Arial"/>
          <w:sz w:val="24"/>
          <w:szCs w:val="24"/>
        </w:rPr>
        <w:t xml:space="preserve"> de género,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996C68" w:rsidRPr="003A1174">
        <w:rPr>
          <w:rFonts w:ascii="Garamond" w:hAnsi="Garamond" w:cs="Arial"/>
          <w:sz w:val="24"/>
          <w:szCs w:val="24"/>
        </w:rPr>
        <w:t xml:space="preserve">de </w:t>
      </w:r>
      <w:r w:rsidR="008843FD" w:rsidRPr="003A1174">
        <w:rPr>
          <w:rFonts w:ascii="Garamond" w:hAnsi="Garamond" w:cs="Arial"/>
          <w:sz w:val="24"/>
          <w:szCs w:val="24"/>
        </w:rPr>
        <w:t>respeito</w:t>
      </w:r>
      <w:r w:rsidR="00D01B8C" w:rsidRPr="003A1174">
        <w:rPr>
          <w:rFonts w:ascii="Garamond" w:hAnsi="Garamond" w:cs="Arial"/>
          <w:sz w:val="24"/>
          <w:szCs w:val="24"/>
        </w:rPr>
        <w:t xml:space="preserve"> p</w:t>
      </w:r>
      <w:r w:rsidRPr="003A1174">
        <w:rPr>
          <w:rFonts w:ascii="Garamond" w:hAnsi="Garamond" w:cs="Arial"/>
          <w:sz w:val="24"/>
          <w:szCs w:val="24"/>
        </w:rPr>
        <w:t>e</w:t>
      </w:r>
      <w:r w:rsidR="00D01B8C" w:rsidRPr="003A1174">
        <w:rPr>
          <w:rFonts w:ascii="Garamond" w:hAnsi="Garamond" w:cs="Arial"/>
          <w:sz w:val="24"/>
          <w:szCs w:val="24"/>
        </w:rPr>
        <w:t xml:space="preserve">la </w:t>
      </w:r>
      <w:r w:rsidR="00802ACC" w:rsidRPr="003A1174">
        <w:rPr>
          <w:rFonts w:ascii="Garamond" w:hAnsi="Garamond" w:cs="Arial"/>
          <w:sz w:val="24"/>
          <w:szCs w:val="24"/>
        </w:rPr>
        <w:t>diversidade</w:t>
      </w:r>
      <w:r w:rsidR="00D01B8C" w:rsidRPr="003A1174">
        <w:rPr>
          <w:rFonts w:ascii="Garamond" w:hAnsi="Garamond" w:cs="Arial"/>
          <w:sz w:val="24"/>
          <w:szCs w:val="24"/>
        </w:rPr>
        <w:t>.</w:t>
      </w:r>
    </w:p>
    <w:p w:rsidR="00D01B8C" w:rsidRPr="003A1174" w:rsidRDefault="00602EDC"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A </w:t>
      </w:r>
      <w:r w:rsidR="00D01B8C" w:rsidRPr="003A1174">
        <w:rPr>
          <w:rFonts w:ascii="Garamond" w:hAnsi="Garamond" w:cs="Arial"/>
          <w:sz w:val="24"/>
          <w:szCs w:val="24"/>
        </w:rPr>
        <w:t xml:space="preserve">OPM </w:t>
      </w:r>
      <w:r w:rsidR="007A2492" w:rsidRPr="003A1174">
        <w:rPr>
          <w:rFonts w:ascii="Garamond" w:hAnsi="Garamond" w:cs="Arial"/>
          <w:sz w:val="24"/>
          <w:szCs w:val="24"/>
        </w:rPr>
        <w:t>tem</w:t>
      </w:r>
      <w:r w:rsidR="00D01B8C" w:rsidRPr="003A1174">
        <w:rPr>
          <w:rFonts w:ascii="Garamond" w:hAnsi="Garamond" w:cs="Arial"/>
          <w:sz w:val="24"/>
          <w:szCs w:val="24"/>
        </w:rPr>
        <w:t xml:space="preserve"> </w:t>
      </w:r>
      <w:r w:rsidR="00996C68" w:rsidRPr="003A1174">
        <w:rPr>
          <w:rFonts w:ascii="Garamond" w:hAnsi="Garamond" w:cs="Arial"/>
          <w:sz w:val="24"/>
          <w:szCs w:val="24"/>
        </w:rPr>
        <w:t>por</w:t>
      </w:r>
      <w:r w:rsidR="00D01B8C" w:rsidRPr="003A1174">
        <w:rPr>
          <w:rFonts w:ascii="Garamond" w:hAnsi="Garamond" w:cs="Arial"/>
          <w:sz w:val="24"/>
          <w:szCs w:val="24"/>
        </w:rPr>
        <w:t xml:space="preserve"> objet</w:t>
      </w:r>
      <w:r w:rsidRPr="003A1174">
        <w:rPr>
          <w:rFonts w:ascii="Garamond" w:hAnsi="Garamond" w:cs="Arial"/>
          <w:sz w:val="24"/>
          <w:szCs w:val="24"/>
        </w:rPr>
        <w:t>iv</w:t>
      </w:r>
      <w:r w:rsidR="00996C68" w:rsidRPr="003A1174">
        <w:rPr>
          <w:rFonts w:ascii="Garamond" w:hAnsi="Garamond" w:cs="Arial"/>
          <w:sz w:val="24"/>
          <w:szCs w:val="24"/>
        </w:rPr>
        <w:t>o</w:t>
      </w:r>
      <w:r w:rsidR="00D01B8C" w:rsidRPr="003A1174">
        <w:rPr>
          <w:rFonts w:ascii="Garamond" w:hAnsi="Garamond" w:cs="Arial"/>
          <w:sz w:val="24"/>
          <w:szCs w:val="24"/>
        </w:rPr>
        <w:t xml:space="preserve"> </w:t>
      </w:r>
      <w:r w:rsidR="002D1021" w:rsidRPr="003A1174">
        <w:rPr>
          <w:rFonts w:ascii="Garamond" w:hAnsi="Garamond" w:cs="Arial"/>
          <w:sz w:val="24"/>
          <w:szCs w:val="24"/>
        </w:rPr>
        <w:t>assegurar</w:t>
      </w:r>
      <w:r w:rsidR="00D01B8C" w:rsidRPr="003A1174">
        <w:rPr>
          <w:rFonts w:ascii="Garamond" w:hAnsi="Garamond" w:cs="Arial"/>
          <w:sz w:val="24"/>
          <w:szCs w:val="24"/>
        </w:rPr>
        <w:t xml:space="preserve"> </w:t>
      </w:r>
      <w:r w:rsidRPr="003A1174">
        <w:rPr>
          <w:rFonts w:ascii="Garamond" w:hAnsi="Garamond" w:cs="Arial"/>
          <w:sz w:val="24"/>
          <w:szCs w:val="24"/>
        </w:rPr>
        <w:t xml:space="preserve">o </w:t>
      </w:r>
      <w:r w:rsidR="009B133A" w:rsidRPr="003A1174">
        <w:rPr>
          <w:rFonts w:ascii="Garamond" w:hAnsi="Garamond" w:cs="Arial"/>
          <w:sz w:val="24"/>
          <w:szCs w:val="24"/>
        </w:rPr>
        <w:t>desenvolvimento</w:t>
      </w:r>
      <w:r w:rsidR="00D01B8C" w:rsidRPr="003A1174">
        <w:rPr>
          <w:rFonts w:ascii="Garamond" w:hAnsi="Garamond" w:cs="Arial"/>
          <w:sz w:val="24"/>
          <w:szCs w:val="24"/>
        </w:rPr>
        <w:t xml:space="preserve"> pleno d</w:t>
      </w:r>
      <w:r w:rsidRPr="003A1174">
        <w:rPr>
          <w:rFonts w:ascii="Garamond" w:hAnsi="Garamond" w:cs="Arial"/>
          <w:sz w:val="24"/>
          <w:szCs w:val="24"/>
        </w:rPr>
        <w:t>a figura d</w:t>
      </w:r>
      <w:r w:rsidR="00D01B8C" w:rsidRPr="003A1174">
        <w:rPr>
          <w:rFonts w:ascii="Garamond" w:hAnsi="Garamond" w:cs="Arial"/>
          <w:sz w:val="24"/>
          <w:szCs w:val="24"/>
        </w:rPr>
        <w:t xml:space="preserve">a </w:t>
      </w:r>
      <w:r w:rsidR="00AF192F" w:rsidRPr="003A1174">
        <w:rPr>
          <w:rFonts w:ascii="Garamond" w:hAnsi="Garamond" w:cs="Arial"/>
          <w:sz w:val="24"/>
          <w:szCs w:val="24"/>
        </w:rPr>
        <w:t>mulher</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Pr="003A1174">
        <w:rPr>
          <w:rFonts w:ascii="Garamond" w:hAnsi="Garamond" w:cs="Arial"/>
          <w:sz w:val="24"/>
          <w:szCs w:val="24"/>
        </w:rPr>
        <w:t xml:space="preserve">conseguir </w:t>
      </w:r>
      <w:r w:rsidR="00FE715B">
        <w:rPr>
          <w:rFonts w:ascii="Garamond" w:hAnsi="Garamond" w:cs="Arial"/>
          <w:sz w:val="24"/>
          <w:szCs w:val="24"/>
        </w:rPr>
        <w:t xml:space="preserve">o reconhecimento da sua </w:t>
      </w:r>
      <w:r w:rsidR="002C7510" w:rsidRPr="003A1174">
        <w:rPr>
          <w:rFonts w:ascii="Garamond" w:hAnsi="Garamond" w:cs="Arial"/>
          <w:sz w:val="24"/>
          <w:szCs w:val="24"/>
        </w:rPr>
        <w:t>igualdade</w:t>
      </w:r>
      <w:r w:rsidR="00D01B8C" w:rsidRPr="003A1174">
        <w:rPr>
          <w:rFonts w:ascii="Garamond" w:hAnsi="Garamond" w:cs="Arial"/>
          <w:sz w:val="24"/>
          <w:szCs w:val="24"/>
        </w:rPr>
        <w:t xml:space="preserve">. Por </w:t>
      </w:r>
      <w:r w:rsidRPr="003A1174">
        <w:rPr>
          <w:rFonts w:ascii="Garamond" w:hAnsi="Garamond" w:cs="Arial"/>
          <w:sz w:val="24"/>
          <w:szCs w:val="24"/>
        </w:rPr>
        <w:t>essa razão</w:t>
      </w:r>
      <w:r w:rsidR="00FE715B">
        <w:rPr>
          <w:rFonts w:ascii="Garamond" w:hAnsi="Garamond" w:cs="Arial"/>
          <w:sz w:val="24"/>
          <w:szCs w:val="24"/>
        </w:rPr>
        <w:t>,</w:t>
      </w:r>
      <w:r w:rsidRPr="003A1174">
        <w:rPr>
          <w:rFonts w:ascii="Garamond" w:hAnsi="Garamond" w:cs="Arial"/>
          <w:sz w:val="24"/>
          <w:szCs w:val="24"/>
        </w:rPr>
        <w:t xml:space="preserve"> </w:t>
      </w:r>
      <w:r w:rsidR="00D01B8C" w:rsidRPr="003A1174">
        <w:rPr>
          <w:rFonts w:ascii="Garamond" w:hAnsi="Garamond" w:cs="Arial"/>
          <w:sz w:val="24"/>
          <w:szCs w:val="24"/>
        </w:rPr>
        <w:t xml:space="preserve">pretende </w:t>
      </w:r>
      <w:r w:rsidRPr="003A1174">
        <w:rPr>
          <w:rFonts w:ascii="Garamond" w:hAnsi="Garamond" w:cs="Arial"/>
          <w:sz w:val="24"/>
          <w:szCs w:val="24"/>
        </w:rPr>
        <w:t>combater</w:t>
      </w:r>
      <w:r w:rsidR="00D01B8C" w:rsidRPr="003A1174">
        <w:rPr>
          <w:rFonts w:ascii="Garamond" w:hAnsi="Garamond" w:cs="Arial"/>
          <w:sz w:val="24"/>
          <w:szCs w:val="24"/>
        </w:rPr>
        <w:t xml:space="preserve"> toda </w:t>
      </w:r>
      <w:r w:rsidRPr="003A1174">
        <w:rPr>
          <w:rFonts w:ascii="Garamond" w:hAnsi="Garamond" w:cs="Arial"/>
          <w:sz w:val="24"/>
          <w:szCs w:val="24"/>
        </w:rPr>
        <w:t xml:space="preserve">a </w:t>
      </w:r>
      <w:r w:rsidR="0091213A" w:rsidRPr="003A1174">
        <w:rPr>
          <w:rFonts w:ascii="Garamond" w:hAnsi="Garamond" w:cs="Arial"/>
          <w:sz w:val="24"/>
          <w:szCs w:val="24"/>
        </w:rPr>
        <w:t>manifestação</w:t>
      </w:r>
      <w:r w:rsidR="00D01B8C" w:rsidRPr="003A1174">
        <w:rPr>
          <w:rFonts w:ascii="Garamond" w:hAnsi="Garamond" w:cs="Arial"/>
          <w:sz w:val="24"/>
          <w:szCs w:val="24"/>
        </w:rPr>
        <w:t xml:space="preserve"> de </w:t>
      </w:r>
      <w:r w:rsidR="0017447A" w:rsidRPr="003A1174">
        <w:rPr>
          <w:rFonts w:ascii="Garamond" w:hAnsi="Garamond" w:cs="Arial"/>
          <w:sz w:val="24"/>
          <w:szCs w:val="24"/>
        </w:rPr>
        <w:t>discriminação</w:t>
      </w:r>
      <w:r w:rsidR="00D01B8C" w:rsidRPr="003A1174">
        <w:rPr>
          <w:rFonts w:ascii="Garamond" w:hAnsi="Garamond" w:cs="Arial"/>
          <w:sz w:val="24"/>
          <w:szCs w:val="24"/>
        </w:rPr>
        <w:t xml:space="preserve"> </w:t>
      </w:r>
      <w:r w:rsidRPr="003A1174">
        <w:rPr>
          <w:rFonts w:ascii="Garamond" w:hAnsi="Garamond" w:cs="Arial"/>
          <w:sz w:val="24"/>
          <w:szCs w:val="24"/>
        </w:rPr>
        <w:t xml:space="preserve">para com o sexo feminino </w:t>
      </w:r>
      <w:r w:rsidR="00497503" w:rsidRPr="003A1174">
        <w:rPr>
          <w:rFonts w:ascii="Garamond" w:hAnsi="Garamond" w:cs="Arial"/>
          <w:sz w:val="24"/>
          <w:szCs w:val="24"/>
        </w:rPr>
        <w:t>e</w:t>
      </w:r>
      <w:r w:rsidR="00D01B8C" w:rsidRPr="003A1174">
        <w:rPr>
          <w:rFonts w:ascii="Garamond" w:hAnsi="Garamond" w:cs="Arial"/>
          <w:sz w:val="24"/>
          <w:szCs w:val="24"/>
        </w:rPr>
        <w:t xml:space="preserve"> </w:t>
      </w:r>
      <w:r w:rsidR="00802ACC" w:rsidRPr="003A1174">
        <w:rPr>
          <w:rFonts w:ascii="Garamond" w:hAnsi="Garamond" w:cs="Arial"/>
          <w:sz w:val="24"/>
          <w:szCs w:val="24"/>
        </w:rPr>
        <w:t>trabalhar</w:t>
      </w:r>
      <w:r w:rsidR="00D01B8C" w:rsidRPr="003A1174">
        <w:rPr>
          <w:rFonts w:ascii="Garamond" w:hAnsi="Garamond" w:cs="Arial"/>
          <w:sz w:val="24"/>
          <w:szCs w:val="24"/>
        </w:rPr>
        <w:t xml:space="preserve"> para </w:t>
      </w:r>
      <w:r w:rsidR="00AF192F" w:rsidRPr="003A1174">
        <w:rPr>
          <w:rFonts w:ascii="Garamond" w:hAnsi="Garamond" w:cs="Arial"/>
          <w:sz w:val="24"/>
          <w:szCs w:val="24"/>
        </w:rPr>
        <w:t>garantir</w:t>
      </w:r>
      <w:r w:rsidRPr="003A1174">
        <w:rPr>
          <w:rFonts w:ascii="Garamond" w:hAnsi="Garamond" w:cs="Arial"/>
          <w:sz w:val="24"/>
          <w:szCs w:val="24"/>
        </w:rPr>
        <w:t xml:space="preserve"> </w:t>
      </w:r>
      <w:r w:rsidR="00D01B8C"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00FE715B">
        <w:rPr>
          <w:rFonts w:ascii="Garamond" w:hAnsi="Garamond" w:cs="Arial"/>
          <w:sz w:val="24"/>
          <w:szCs w:val="24"/>
        </w:rPr>
        <w:t xml:space="preserve">das mulheres, </w:t>
      </w:r>
      <w:r w:rsidRPr="003A1174">
        <w:rPr>
          <w:rFonts w:ascii="Garamond" w:hAnsi="Garamond" w:cs="Arial"/>
          <w:sz w:val="24"/>
          <w:szCs w:val="24"/>
        </w:rPr>
        <w:t xml:space="preserve">num </w:t>
      </w:r>
      <w:r w:rsidR="00C30647" w:rsidRPr="003A1174">
        <w:rPr>
          <w:rFonts w:ascii="Garamond" w:hAnsi="Garamond" w:cs="Arial"/>
          <w:sz w:val="24"/>
          <w:szCs w:val="24"/>
        </w:rPr>
        <w:t>esforço</w:t>
      </w:r>
      <w:r w:rsidR="00D01B8C" w:rsidRPr="003A1174">
        <w:rPr>
          <w:rFonts w:ascii="Garamond" w:hAnsi="Garamond" w:cs="Arial"/>
          <w:sz w:val="24"/>
          <w:szCs w:val="24"/>
        </w:rPr>
        <w:t xml:space="preserve"> colaborativo </w:t>
      </w:r>
      <w:r w:rsidRPr="003A1174">
        <w:rPr>
          <w:rFonts w:ascii="Garamond" w:hAnsi="Garamond" w:cs="Arial"/>
          <w:sz w:val="24"/>
          <w:szCs w:val="24"/>
        </w:rPr>
        <w:t>no</w:t>
      </w:r>
      <w:r w:rsidR="00D01B8C" w:rsidRPr="003A1174">
        <w:rPr>
          <w:rFonts w:ascii="Garamond" w:hAnsi="Garamond" w:cs="Arial"/>
          <w:sz w:val="24"/>
          <w:szCs w:val="24"/>
        </w:rPr>
        <w:t xml:space="preserve"> </w:t>
      </w:r>
      <w:r w:rsidR="00802ACC" w:rsidRPr="003A1174">
        <w:rPr>
          <w:rFonts w:ascii="Garamond" w:hAnsi="Garamond" w:cs="Arial"/>
          <w:sz w:val="24"/>
          <w:szCs w:val="24"/>
        </w:rPr>
        <w:t>âmbito</w:t>
      </w:r>
      <w:r w:rsidR="00D01B8C" w:rsidRPr="003A1174">
        <w:rPr>
          <w:rFonts w:ascii="Garamond" w:hAnsi="Garamond" w:cs="Arial"/>
          <w:sz w:val="24"/>
          <w:szCs w:val="24"/>
        </w:rPr>
        <w:t xml:space="preserve"> federal e internacional. Parte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C30647" w:rsidRPr="003A1174">
        <w:rPr>
          <w:rFonts w:ascii="Garamond" w:hAnsi="Garamond" w:cs="Arial"/>
          <w:sz w:val="24"/>
          <w:szCs w:val="24"/>
        </w:rPr>
        <w:t>esforço</w:t>
      </w:r>
      <w:r w:rsidRPr="003A1174">
        <w:rPr>
          <w:rFonts w:ascii="Garamond" w:hAnsi="Garamond" w:cs="Arial"/>
          <w:sz w:val="24"/>
          <w:szCs w:val="24"/>
        </w:rPr>
        <w:t>s d</w:t>
      </w:r>
      <w:r w:rsidR="00D01B8C" w:rsidRPr="003A1174">
        <w:rPr>
          <w:rFonts w:ascii="Garamond" w:hAnsi="Garamond" w:cs="Arial"/>
          <w:sz w:val="24"/>
          <w:szCs w:val="24"/>
        </w:rPr>
        <w:t>a OPM consiste</w:t>
      </w:r>
      <w:r w:rsidRPr="003A1174">
        <w:rPr>
          <w:rFonts w:ascii="Garamond" w:hAnsi="Garamond" w:cs="Arial"/>
          <w:sz w:val="24"/>
          <w:szCs w:val="24"/>
        </w:rPr>
        <w:t xml:space="preserve">m em </w:t>
      </w:r>
      <w:r w:rsidR="00D01B8C" w:rsidRPr="003A1174">
        <w:rPr>
          <w:rFonts w:ascii="Garamond" w:hAnsi="Garamond" w:cs="Arial"/>
          <w:sz w:val="24"/>
          <w:szCs w:val="24"/>
        </w:rPr>
        <w:t xml:space="preserve">educar a </w:t>
      </w:r>
      <w:r w:rsidR="009F035C" w:rsidRPr="003A1174">
        <w:rPr>
          <w:rFonts w:ascii="Garamond" w:hAnsi="Garamond" w:cs="Arial"/>
          <w:sz w:val="24"/>
          <w:szCs w:val="24"/>
        </w:rPr>
        <w:t>comunidade</w:t>
      </w:r>
      <w:r w:rsidR="00D01B8C" w:rsidRPr="003A1174">
        <w:rPr>
          <w:rFonts w:ascii="Garamond" w:hAnsi="Garamond" w:cs="Arial"/>
          <w:sz w:val="24"/>
          <w:szCs w:val="24"/>
        </w:rPr>
        <w:t xml:space="preserve"> para tomar </w:t>
      </w:r>
      <w:r w:rsidR="005D38DC" w:rsidRPr="003A1174">
        <w:rPr>
          <w:rFonts w:ascii="Garamond" w:hAnsi="Garamond" w:cs="Arial"/>
          <w:sz w:val="24"/>
          <w:szCs w:val="24"/>
        </w:rPr>
        <w:t>decisões</w:t>
      </w:r>
      <w:r w:rsidR="00D01B8C" w:rsidRPr="003A1174">
        <w:rPr>
          <w:rFonts w:ascii="Garamond" w:hAnsi="Garamond" w:cs="Arial"/>
          <w:sz w:val="24"/>
          <w:szCs w:val="24"/>
        </w:rPr>
        <w:t xml:space="preserve"> proactivas </w:t>
      </w:r>
      <w:r w:rsidR="00497503" w:rsidRPr="003A1174">
        <w:rPr>
          <w:rFonts w:ascii="Garamond" w:hAnsi="Garamond" w:cs="Arial"/>
          <w:sz w:val="24"/>
          <w:szCs w:val="24"/>
        </w:rPr>
        <w:t>e</w:t>
      </w:r>
      <w:r w:rsidR="00D01B8C" w:rsidRPr="003A1174">
        <w:rPr>
          <w:rFonts w:ascii="Garamond" w:hAnsi="Garamond" w:cs="Arial"/>
          <w:sz w:val="24"/>
          <w:szCs w:val="24"/>
        </w:rPr>
        <w:t xml:space="preserve"> afirmativas </w:t>
      </w:r>
      <w:r w:rsidRPr="003A1174">
        <w:rPr>
          <w:rFonts w:ascii="Garamond" w:hAnsi="Garamond" w:cs="Arial"/>
          <w:sz w:val="24"/>
          <w:szCs w:val="24"/>
        </w:rPr>
        <w:t>na d</w:t>
      </w:r>
      <w:r w:rsidR="002C7510" w:rsidRPr="003A1174">
        <w:rPr>
          <w:rFonts w:ascii="Garamond" w:hAnsi="Garamond" w:cs="Arial"/>
          <w:sz w:val="24"/>
          <w:szCs w:val="24"/>
        </w:rPr>
        <w:t>efesa</w:t>
      </w:r>
      <w:r w:rsidR="00D01B8C" w:rsidRPr="003A1174">
        <w:rPr>
          <w:rFonts w:ascii="Garamond" w:hAnsi="Garamond" w:cs="Arial"/>
          <w:sz w:val="24"/>
          <w:szCs w:val="24"/>
        </w:rPr>
        <w:t xml:space="preserve"> </w:t>
      </w:r>
      <w:r w:rsidR="00497503" w:rsidRPr="003A1174">
        <w:rPr>
          <w:rFonts w:ascii="Garamond" w:hAnsi="Garamond" w:cs="Arial"/>
          <w:sz w:val="24"/>
          <w:szCs w:val="24"/>
        </w:rPr>
        <w:t>dos</w:t>
      </w:r>
      <w:r w:rsidR="00D01B8C" w:rsidRPr="003A1174">
        <w:rPr>
          <w:rFonts w:ascii="Garamond" w:hAnsi="Garamond" w:cs="Arial"/>
          <w:sz w:val="24"/>
          <w:szCs w:val="24"/>
        </w:rPr>
        <w:t xml:space="preserve"> </w:t>
      </w:r>
      <w:r w:rsidR="00886D6A" w:rsidRPr="003A1174">
        <w:rPr>
          <w:rFonts w:ascii="Garamond" w:hAnsi="Garamond" w:cs="Arial"/>
          <w:sz w:val="24"/>
          <w:szCs w:val="24"/>
        </w:rPr>
        <w:t>direito</w:t>
      </w:r>
      <w:r w:rsidR="00D01B8C" w:rsidRPr="003A1174">
        <w:rPr>
          <w:rFonts w:ascii="Garamond" w:hAnsi="Garamond" w:cs="Arial"/>
          <w:sz w:val="24"/>
          <w:szCs w:val="24"/>
        </w:rPr>
        <w:t xml:space="preserve">s </w:t>
      </w:r>
      <w:r w:rsidR="00497503" w:rsidRPr="003A1174">
        <w:rPr>
          <w:rFonts w:ascii="Garamond" w:hAnsi="Garamond" w:cs="Arial"/>
          <w:sz w:val="24"/>
          <w:szCs w:val="24"/>
        </w:rPr>
        <w:t>das</w:t>
      </w:r>
      <w:r w:rsidR="00D01B8C" w:rsidRPr="003A1174">
        <w:rPr>
          <w:rFonts w:ascii="Garamond" w:hAnsi="Garamond" w:cs="Arial"/>
          <w:sz w:val="24"/>
          <w:szCs w:val="24"/>
        </w:rPr>
        <w:t xml:space="preserve"> </w:t>
      </w:r>
      <w:r w:rsidR="00054EE0" w:rsidRPr="003A1174">
        <w:rPr>
          <w:rFonts w:ascii="Garamond" w:hAnsi="Garamond" w:cs="Arial"/>
          <w:sz w:val="24"/>
          <w:szCs w:val="24"/>
        </w:rPr>
        <w:t>mulheres</w:t>
      </w:r>
      <w:r w:rsidR="00D01B8C" w:rsidRPr="003A1174">
        <w:rPr>
          <w:rFonts w:ascii="Garamond" w:hAnsi="Garamond" w:cs="Arial"/>
          <w:sz w:val="24"/>
          <w:szCs w:val="24"/>
        </w:rPr>
        <w:t xml:space="preserve"> </w:t>
      </w:r>
      <w:r w:rsidR="00497503" w:rsidRPr="003A1174">
        <w:rPr>
          <w:rFonts w:ascii="Garamond" w:hAnsi="Garamond" w:cs="Arial"/>
          <w:sz w:val="24"/>
          <w:szCs w:val="24"/>
        </w:rPr>
        <w:t>e</w:t>
      </w:r>
      <w:r w:rsidR="00D01B8C" w:rsidRPr="003A1174">
        <w:rPr>
          <w:rFonts w:ascii="Garamond" w:hAnsi="Garamond" w:cs="Arial"/>
          <w:sz w:val="24"/>
          <w:szCs w:val="24"/>
        </w:rPr>
        <w:t xml:space="preserve"> e</w:t>
      </w:r>
      <w:r w:rsidRPr="003A1174">
        <w:rPr>
          <w:rFonts w:ascii="Garamond" w:hAnsi="Garamond" w:cs="Arial"/>
          <w:sz w:val="24"/>
          <w:szCs w:val="24"/>
        </w:rPr>
        <w:t xml:space="preserve">m </w:t>
      </w:r>
      <w:r w:rsidR="00FE715B">
        <w:rPr>
          <w:rFonts w:ascii="Garamond" w:hAnsi="Garamond" w:cs="Arial"/>
          <w:sz w:val="24"/>
          <w:szCs w:val="24"/>
        </w:rPr>
        <w:t>prol</w:t>
      </w:r>
      <w:r w:rsidRPr="003A1174">
        <w:rPr>
          <w:rFonts w:ascii="Garamond" w:hAnsi="Garamond" w:cs="Arial"/>
          <w:sz w:val="24"/>
          <w:szCs w:val="24"/>
        </w:rPr>
        <w:t xml:space="preserve"> de um </w:t>
      </w:r>
      <w:r w:rsidR="00D01B8C" w:rsidRPr="003A1174">
        <w:rPr>
          <w:rFonts w:ascii="Garamond" w:hAnsi="Garamond" w:cs="Arial"/>
          <w:sz w:val="24"/>
          <w:szCs w:val="24"/>
        </w:rPr>
        <w:t>trat</w:t>
      </w:r>
      <w:r w:rsidRPr="003A1174">
        <w:rPr>
          <w:rFonts w:ascii="Garamond" w:hAnsi="Garamond" w:cs="Arial"/>
          <w:sz w:val="24"/>
          <w:szCs w:val="24"/>
        </w:rPr>
        <w:t>ament</w:t>
      </w:r>
      <w:r w:rsidR="00D01B8C" w:rsidRPr="003A1174">
        <w:rPr>
          <w:rFonts w:ascii="Garamond" w:hAnsi="Garamond" w:cs="Arial"/>
          <w:sz w:val="24"/>
          <w:szCs w:val="24"/>
        </w:rPr>
        <w:t xml:space="preserve">o de </w:t>
      </w:r>
      <w:r w:rsidR="00C01806" w:rsidRPr="003A1174">
        <w:rPr>
          <w:rFonts w:ascii="Garamond" w:hAnsi="Garamond" w:cs="Arial"/>
          <w:sz w:val="24"/>
          <w:szCs w:val="24"/>
        </w:rPr>
        <w:t>equidade</w:t>
      </w:r>
      <w:r w:rsidR="00D01B8C" w:rsidRPr="003A1174">
        <w:rPr>
          <w:rFonts w:ascii="Garamond" w:hAnsi="Garamond" w:cs="Arial"/>
          <w:sz w:val="24"/>
          <w:szCs w:val="24"/>
        </w:rPr>
        <w:t xml:space="preserve"> para co</w:t>
      </w:r>
      <w:r w:rsidRPr="003A1174">
        <w:rPr>
          <w:rFonts w:ascii="Garamond" w:hAnsi="Garamond" w:cs="Arial"/>
          <w:sz w:val="24"/>
          <w:szCs w:val="24"/>
        </w:rPr>
        <w:t>m e</w:t>
      </w:r>
      <w:r w:rsidR="00996C68" w:rsidRPr="003A1174">
        <w:rPr>
          <w:rFonts w:ascii="Garamond" w:hAnsi="Garamond" w:cs="Arial"/>
          <w:sz w:val="24"/>
          <w:szCs w:val="24"/>
        </w:rPr>
        <w:t>las.</w:t>
      </w:r>
    </w:p>
    <w:p w:rsidR="00CA39B2" w:rsidRPr="003A1174" w:rsidRDefault="00C30647" w:rsidP="008719D4">
      <w:pPr>
        <w:pStyle w:val="Ttulo2"/>
        <w:rPr>
          <w:rFonts w:ascii="Garamond" w:hAnsi="Garamond"/>
          <w:sz w:val="24"/>
          <w:szCs w:val="24"/>
        </w:rPr>
      </w:pPr>
      <w:bookmarkStart w:id="27" w:name="_Toc421529715"/>
      <w:r w:rsidRPr="003A1174">
        <w:rPr>
          <w:rStyle w:val="Ttulo3Car"/>
          <w:rFonts w:ascii="Garamond" w:hAnsi="Garamond"/>
          <w:b/>
          <w:sz w:val="24"/>
          <w:szCs w:val="24"/>
        </w:rPr>
        <w:lastRenderedPageBreak/>
        <w:t>Uruguai</w:t>
      </w:r>
      <w:r w:rsidR="00CA39B2" w:rsidRPr="003A1174">
        <w:rPr>
          <w:rStyle w:val="Refdenotaalpie"/>
          <w:rFonts w:ascii="Garamond" w:hAnsi="Garamond" w:cs="Arial"/>
          <w:b w:val="0"/>
          <w:sz w:val="24"/>
          <w:szCs w:val="24"/>
        </w:rPr>
        <w:footnoteReference w:id="87"/>
      </w:r>
      <w:bookmarkEnd w:id="27"/>
    </w:p>
    <w:p w:rsidR="00015230" w:rsidRPr="003A1174" w:rsidRDefault="00015230"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00602EDC" w:rsidRPr="003A1174">
        <w:rPr>
          <w:rFonts w:ascii="Garamond" w:hAnsi="Garamond" w:cs="Arial"/>
          <w:color w:val="auto"/>
          <w:sz w:val="24"/>
          <w:szCs w:val="24"/>
        </w:rPr>
        <w:t xml:space="preserve"> pré</w:t>
      </w:r>
      <w:r w:rsidRPr="003A1174">
        <w:rPr>
          <w:rFonts w:ascii="Garamond" w:hAnsi="Garamond" w:cs="Arial"/>
          <w:color w:val="auto"/>
          <w:sz w:val="24"/>
          <w:szCs w:val="24"/>
        </w:rPr>
        <w:t>vio</w:t>
      </w:r>
      <w:r w:rsidR="00F25502" w:rsidRPr="003A1174">
        <w:rPr>
          <w:rFonts w:ascii="Garamond" w:hAnsi="Garamond" w:cs="Arial"/>
          <w:color w:val="auto"/>
          <w:sz w:val="24"/>
          <w:szCs w:val="24"/>
        </w:rPr>
        <w:t>,</w:t>
      </w:r>
      <w:r w:rsidRPr="003A1174">
        <w:rPr>
          <w:rFonts w:ascii="Garamond" w:hAnsi="Garamond" w:cs="Arial"/>
          <w:color w:val="auto"/>
          <w:sz w:val="24"/>
          <w:szCs w:val="24"/>
        </w:rPr>
        <w:t xml:space="preserve"> </w:t>
      </w:r>
      <w:r w:rsidR="00602EDC" w:rsidRPr="003A1174">
        <w:rPr>
          <w:rFonts w:ascii="Garamond" w:hAnsi="Garamond" w:cs="Arial"/>
          <w:color w:val="auto"/>
          <w:sz w:val="24"/>
          <w:szCs w:val="24"/>
        </w:rPr>
        <w:t xml:space="preserve">é </w:t>
      </w:r>
      <w:r w:rsidR="00F25502" w:rsidRPr="003A1174">
        <w:rPr>
          <w:rFonts w:ascii="Garamond" w:hAnsi="Garamond" w:cs="Arial"/>
          <w:color w:val="auto"/>
          <w:sz w:val="24"/>
          <w:szCs w:val="24"/>
        </w:rPr>
        <w:t>oportuno</w:t>
      </w:r>
      <w:r w:rsidRPr="003A1174">
        <w:rPr>
          <w:rFonts w:ascii="Garamond" w:hAnsi="Garamond" w:cs="Arial"/>
          <w:color w:val="auto"/>
          <w:sz w:val="24"/>
          <w:szCs w:val="24"/>
        </w:rPr>
        <w:t xml:space="preserve"> indicar que </w:t>
      </w:r>
      <w:r w:rsidR="00FE715B">
        <w:rPr>
          <w:rFonts w:ascii="Garamond" w:hAnsi="Garamond" w:cs="Arial"/>
          <w:color w:val="auto"/>
          <w:sz w:val="24"/>
          <w:szCs w:val="24"/>
        </w:rPr>
        <w:t xml:space="preserve">o Uruguai </w:t>
      </w:r>
      <w:r w:rsidR="0074243F" w:rsidRPr="003A1174">
        <w:rPr>
          <w:rFonts w:ascii="Garamond" w:hAnsi="Garamond" w:cs="Arial"/>
          <w:color w:val="auto"/>
          <w:sz w:val="24"/>
          <w:szCs w:val="24"/>
        </w:rPr>
        <w:t>ratificou</w:t>
      </w:r>
      <w:r w:rsidR="00602EDC"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FE715B">
        <w:rPr>
          <w:rFonts w:ascii="Garamond" w:hAnsi="Garamond" w:cs="Arial"/>
          <w:color w:val="auto"/>
          <w:sz w:val="24"/>
          <w:szCs w:val="24"/>
        </w:rPr>
        <w:t>,</w:t>
      </w:r>
      <w:r w:rsidRPr="003A1174">
        <w:rPr>
          <w:rFonts w:ascii="Garamond" w:hAnsi="Garamond" w:cs="Arial"/>
          <w:color w:val="auto"/>
          <w:sz w:val="24"/>
          <w:szCs w:val="24"/>
        </w:rPr>
        <w:t xml:space="preserve"> </w:t>
      </w:r>
      <w:r w:rsidR="00602EDC" w:rsidRPr="003A1174">
        <w:rPr>
          <w:rFonts w:ascii="Garamond" w:hAnsi="Garamond" w:cs="Arial"/>
          <w:color w:val="auto"/>
          <w:sz w:val="24"/>
          <w:szCs w:val="24"/>
        </w:rPr>
        <w:t xml:space="preserve">a </w:t>
      </w:r>
      <w:r w:rsidRPr="003A1174">
        <w:rPr>
          <w:rFonts w:ascii="Garamond" w:hAnsi="Garamond" w:cs="Arial"/>
          <w:color w:val="auto"/>
          <w:sz w:val="24"/>
          <w:szCs w:val="24"/>
        </w:rPr>
        <w:t xml:space="preserve">19 de abril de 1985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602EDC"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w:t>
      </w:r>
      <w:r w:rsidR="00042808">
        <w:rPr>
          <w:rFonts w:ascii="Garamond" w:hAnsi="Garamond" w:cs="Arial"/>
          <w:color w:val="auto"/>
          <w:sz w:val="24"/>
          <w:szCs w:val="24"/>
        </w:rPr>
        <w:t xml:space="preserve"> </w:t>
      </w:r>
      <w:r w:rsidR="00935298">
        <w:rPr>
          <w:rFonts w:ascii="Garamond" w:hAnsi="Garamond" w:cs="Arial"/>
          <w:color w:val="auto"/>
          <w:sz w:val="24"/>
          <w:szCs w:val="24"/>
        </w:rPr>
        <w:t>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 xml:space="preserve">s Humanos </w:t>
      </w:r>
      <w:r w:rsidR="00602EDC" w:rsidRPr="003A1174">
        <w:rPr>
          <w:rFonts w:ascii="Garamond" w:hAnsi="Garamond" w:cs="Arial"/>
          <w:color w:val="auto"/>
          <w:sz w:val="24"/>
          <w:szCs w:val="24"/>
        </w:rPr>
        <w:t>n</w:t>
      </w:r>
      <w:r w:rsidRPr="003A1174">
        <w:rPr>
          <w:rFonts w:ascii="Garamond" w:hAnsi="Garamond" w:cs="Arial"/>
          <w:color w:val="auto"/>
          <w:sz w:val="24"/>
          <w:szCs w:val="24"/>
        </w:rPr>
        <w:t xml:space="preserve">a </w:t>
      </w:r>
      <w:r w:rsidR="00524936" w:rsidRPr="003A1174">
        <w:rPr>
          <w:rFonts w:ascii="Garamond" w:hAnsi="Garamond" w:cs="Arial"/>
          <w:color w:val="auto"/>
          <w:sz w:val="24"/>
          <w:szCs w:val="24"/>
        </w:rPr>
        <w:t>mesma</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data</w:t>
      </w:r>
      <w:r w:rsidRPr="003A1174">
        <w:rPr>
          <w:rFonts w:ascii="Garamond" w:hAnsi="Garamond" w:cs="Arial"/>
          <w:color w:val="auto"/>
          <w:sz w:val="24"/>
          <w:szCs w:val="24"/>
        </w:rPr>
        <w:t>.</w:t>
      </w:r>
    </w:p>
    <w:p w:rsidR="00015230" w:rsidRPr="003A1174" w:rsidRDefault="0074243F"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Ratificou</w:t>
      </w:r>
      <w:r w:rsidR="00602EDC" w:rsidRPr="003A1174">
        <w:rPr>
          <w:rFonts w:ascii="Garamond" w:hAnsi="Garamond" w:cs="Arial"/>
          <w:color w:val="auto"/>
          <w:sz w:val="24"/>
          <w:szCs w:val="24"/>
        </w:rPr>
        <w:t xml:space="preserve"> </w:t>
      </w:r>
      <w:r w:rsidR="00015230"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015230" w:rsidRPr="003A1174">
        <w:rPr>
          <w:rFonts w:ascii="Garamond" w:hAnsi="Garamond" w:cs="Arial"/>
          <w:color w:val="auto"/>
          <w:sz w:val="24"/>
          <w:szCs w:val="24"/>
        </w:rPr>
        <w:t xml:space="preserve"> sobr</w:t>
      </w:r>
      <w:r w:rsidR="00602EDC" w:rsidRPr="003A1174">
        <w:rPr>
          <w:rFonts w:ascii="Garamond" w:hAnsi="Garamond" w:cs="Arial"/>
          <w:color w:val="auto"/>
          <w:sz w:val="24"/>
          <w:szCs w:val="24"/>
        </w:rPr>
        <w:t xml:space="preserve">e </w:t>
      </w:r>
      <w:r w:rsidR="00015230"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602EDC" w:rsidRPr="003A1174">
        <w:rPr>
          <w:rFonts w:ascii="Garamond" w:hAnsi="Garamond" w:cs="Arial"/>
          <w:color w:val="auto"/>
          <w:sz w:val="24"/>
          <w:szCs w:val="24"/>
        </w:rPr>
        <w:t xml:space="preserve"> de Todas </w:t>
      </w:r>
      <w:r w:rsidR="00015230"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602EDC" w:rsidRPr="003A1174">
        <w:rPr>
          <w:rFonts w:ascii="Garamond" w:hAnsi="Garamond" w:cs="Arial"/>
          <w:color w:val="auto"/>
          <w:sz w:val="24"/>
          <w:szCs w:val="24"/>
        </w:rPr>
        <w:t xml:space="preserve"> Contra </w:t>
      </w:r>
      <w:r w:rsidR="00015230"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FE715B">
        <w:rPr>
          <w:rFonts w:ascii="Garamond" w:hAnsi="Garamond" w:cs="Arial"/>
          <w:color w:val="auto"/>
          <w:sz w:val="24"/>
          <w:szCs w:val="24"/>
        </w:rPr>
        <w:t>,</w:t>
      </w:r>
      <w:r w:rsidR="00015230" w:rsidRPr="003A1174">
        <w:rPr>
          <w:rFonts w:ascii="Garamond" w:hAnsi="Garamond" w:cs="Arial"/>
          <w:color w:val="auto"/>
          <w:sz w:val="24"/>
          <w:szCs w:val="24"/>
        </w:rPr>
        <w:t xml:space="preserve"> </w:t>
      </w:r>
      <w:r w:rsidR="00602EDC" w:rsidRPr="003A1174">
        <w:rPr>
          <w:rFonts w:ascii="Garamond" w:hAnsi="Garamond" w:cs="Arial"/>
          <w:color w:val="auto"/>
          <w:sz w:val="24"/>
          <w:szCs w:val="24"/>
        </w:rPr>
        <w:t xml:space="preserve">a </w:t>
      </w:r>
      <w:r w:rsidR="00015230" w:rsidRPr="003A1174">
        <w:rPr>
          <w:rFonts w:ascii="Garamond" w:hAnsi="Garamond" w:cs="Arial"/>
          <w:color w:val="auto"/>
          <w:sz w:val="24"/>
          <w:szCs w:val="24"/>
        </w:rPr>
        <w:t>6 de abril de 1987</w:t>
      </w:r>
      <w:r w:rsidR="00F25502" w:rsidRPr="003A1174">
        <w:rPr>
          <w:rFonts w:ascii="Garamond" w:hAnsi="Garamond" w:cs="Arial"/>
          <w:color w:val="auto"/>
          <w:sz w:val="24"/>
          <w:szCs w:val="24"/>
        </w:rPr>
        <w:t>, as</w:t>
      </w:r>
      <w:r w:rsidR="00602EDC" w:rsidRPr="003A1174">
        <w:rPr>
          <w:rFonts w:ascii="Garamond" w:hAnsi="Garamond" w:cs="Arial"/>
          <w:color w:val="auto"/>
          <w:sz w:val="24"/>
          <w:szCs w:val="24"/>
        </w:rPr>
        <w:t xml:space="preserve">sim </w:t>
      </w:r>
      <w:r w:rsidR="00F25502" w:rsidRPr="003A1174">
        <w:rPr>
          <w:rFonts w:ascii="Garamond" w:hAnsi="Garamond" w:cs="Arial"/>
          <w:color w:val="auto"/>
          <w:sz w:val="24"/>
          <w:szCs w:val="24"/>
        </w:rPr>
        <w:t>como</w:t>
      </w:r>
      <w:r w:rsidR="00602EDC" w:rsidRPr="003A1174">
        <w:rPr>
          <w:rFonts w:ascii="Garamond" w:hAnsi="Garamond" w:cs="Arial"/>
          <w:color w:val="auto"/>
          <w:sz w:val="24"/>
          <w:szCs w:val="24"/>
        </w:rPr>
        <w:t xml:space="preserve"> </w:t>
      </w:r>
      <w:r w:rsidR="00015230"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015230"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602EDC" w:rsidRPr="003A1174">
        <w:rPr>
          <w:rFonts w:ascii="Garamond" w:hAnsi="Garamond" w:cs="Arial"/>
          <w:color w:val="auto"/>
          <w:sz w:val="24"/>
          <w:szCs w:val="24"/>
        </w:rPr>
        <w:t xml:space="preserve"> </w:t>
      </w:r>
      <w:r w:rsidR="00015230"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602EDC" w:rsidRPr="003A1174">
        <w:rPr>
          <w:rFonts w:ascii="Garamond" w:hAnsi="Garamond" w:cs="Arial"/>
          <w:color w:val="auto"/>
          <w:sz w:val="24"/>
          <w:szCs w:val="24"/>
        </w:rPr>
        <w:t xml:space="preserve"> contra </w:t>
      </w:r>
      <w:r w:rsidR="00015230"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F25502" w:rsidRPr="003A1174">
        <w:rPr>
          <w:rFonts w:ascii="Garamond" w:hAnsi="Garamond" w:cs="Arial"/>
          <w:color w:val="auto"/>
          <w:sz w:val="24"/>
          <w:szCs w:val="24"/>
        </w:rPr>
        <w:t>,</w:t>
      </w:r>
      <w:r w:rsidR="00015230" w:rsidRPr="003A1174">
        <w:rPr>
          <w:rFonts w:ascii="Garamond" w:hAnsi="Garamond" w:cs="Arial"/>
          <w:color w:val="auto"/>
          <w:sz w:val="24"/>
          <w:szCs w:val="24"/>
        </w:rPr>
        <w:t xml:space="preserve"> </w:t>
      </w:r>
      <w:r w:rsidR="00FE715B">
        <w:rPr>
          <w:rFonts w:ascii="Garamond" w:hAnsi="Garamond" w:cs="Arial"/>
          <w:color w:val="auto"/>
          <w:sz w:val="24"/>
          <w:szCs w:val="24"/>
        </w:rPr>
        <w:t>«</w:t>
      </w:r>
      <w:r w:rsidR="00B14AA6" w:rsidRPr="003A1174">
        <w:rPr>
          <w:rFonts w:ascii="Garamond" w:hAnsi="Garamond" w:cs="Arial"/>
          <w:color w:val="auto"/>
          <w:sz w:val="24"/>
          <w:szCs w:val="24"/>
        </w:rPr>
        <w:t>Convenção</w:t>
      </w:r>
      <w:r w:rsidR="00015230" w:rsidRPr="003A1174">
        <w:rPr>
          <w:rFonts w:ascii="Garamond" w:hAnsi="Garamond" w:cs="Arial"/>
          <w:color w:val="auto"/>
          <w:sz w:val="24"/>
          <w:szCs w:val="24"/>
        </w:rPr>
        <w:t xml:space="preserve"> de Belém do Pará</w:t>
      </w:r>
      <w:r w:rsidR="00FE715B">
        <w:rPr>
          <w:rFonts w:ascii="Garamond" w:hAnsi="Garamond" w:cs="Arial"/>
          <w:color w:val="auto"/>
          <w:sz w:val="24"/>
          <w:szCs w:val="24"/>
        </w:rPr>
        <w:t>»</w:t>
      </w:r>
      <w:r w:rsidR="00F25502" w:rsidRPr="003A1174">
        <w:rPr>
          <w:rFonts w:ascii="Garamond" w:hAnsi="Garamond" w:cs="Arial"/>
          <w:color w:val="auto"/>
          <w:sz w:val="24"/>
          <w:szCs w:val="24"/>
        </w:rPr>
        <w:t>,</w:t>
      </w:r>
      <w:r w:rsidR="00015230" w:rsidRPr="003A1174">
        <w:rPr>
          <w:rFonts w:ascii="Garamond" w:hAnsi="Garamond" w:cs="Arial"/>
          <w:color w:val="auto"/>
          <w:sz w:val="24"/>
          <w:szCs w:val="24"/>
        </w:rPr>
        <w:t xml:space="preserve"> </w:t>
      </w:r>
      <w:r w:rsidR="00602EDC" w:rsidRPr="003A1174">
        <w:rPr>
          <w:rFonts w:ascii="Garamond" w:hAnsi="Garamond" w:cs="Arial"/>
          <w:color w:val="auto"/>
          <w:sz w:val="24"/>
          <w:szCs w:val="24"/>
        </w:rPr>
        <w:t xml:space="preserve">a </w:t>
      </w:r>
      <w:r w:rsidR="00015230" w:rsidRPr="003A1174">
        <w:rPr>
          <w:rFonts w:ascii="Garamond" w:hAnsi="Garamond" w:cs="Arial"/>
          <w:color w:val="auto"/>
          <w:sz w:val="24"/>
          <w:szCs w:val="24"/>
        </w:rPr>
        <w:t xml:space="preserve">18 de </w:t>
      </w:r>
      <w:r w:rsidR="00374785" w:rsidRPr="003A1174">
        <w:rPr>
          <w:rFonts w:ascii="Garamond" w:hAnsi="Garamond" w:cs="Arial"/>
          <w:color w:val="auto"/>
          <w:sz w:val="24"/>
          <w:szCs w:val="24"/>
        </w:rPr>
        <w:t>outubro</w:t>
      </w:r>
      <w:r w:rsidR="00015230" w:rsidRPr="003A1174">
        <w:rPr>
          <w:rFonts w:ascii="Garamond" w:hAnsi="Garamond" w:cs="Arial"/>
          <w:color w:val="auto"/>
          <w:sz w:val="24"/>
          <w:szCs w:val="24"/>
        </w:rPr>
        <w:t xml:space="preserve"> de 1995.</w:t>
      </w:r>
    </w:p>
    <w:p w:rsidR="00F950B2" w:rsidRPr="003A1174" w:rsidRDefault="00B14AA6"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Disposições</w:t>
      </w:r>
      <w:r w:rsidR="00F950B2"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F950B2" w:rsidRPr="003A1174">
        <w:rPr>
          <w:rFonts w:ascii="Garamond" w:hAnsi="Garamond" w:cs="Arial"/>
          <w:color w:val="auto"/>
          <w:sz w:val="24"/>
          <w:szCs w:val="24"/>
        </w:rPr>
        <w:tab/>
      </w:r>
    </w:p>
    <w:p w:rsidR="00CA39B2" w:rsidRPr="003A1174" w:rsidRDefault="00B479AA"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w:t>
      </w:r>
      <w:r w:rsidR="00C30647" w:rsidRPr="003A1174">
        <w:rPr>
          <w:rFonts w:ascii="Garamond" w:hAnsi="Garamond" w:cs="Arial"/>
          <w:sz w:val="24"/>
          <w:szCs w:val="24"/>
        </w:rPr>
        <w:t>Uruguai</w:t>
      </w:r>
      <w:r w:rsidR="00CA39B2" w:rsidRPr="003A1174">
        <w:rPr>
          <w:rFonts w:ascii="Garamond" w:hAnsi="Garamond" w:cs="Arial"/>
          <w:sz w:val="24"/>
          <w:szCs w:val="24"/>
        </w:rPr>
        <w:t xml:space="preserve">, </w:t>
      </w:r>
      <w:r w:rsidRPr="003A1174">
        <w:rPr>
          <w:rFonts w:ascii="Garamond" w:hAnsi="Garamond" w:cs="Arial"/>
          <w:sz w:val="24"/>
          <w:szCs w:val="24"/>
        </w:rPr>
        <w:t>depois da</w:t>
      </w:r>
      <w:r w:rsidR="00497503" w:rsidRPr="003A1174">
        <w:rPr>
          <w:rFonts w:ascii="Garamond" w:hAnsi="Garamond" w:cs="Arial"/>
          <w:sz w:val="24"/>
          <w:szCs w:val="24"/>
        </w:rPr>
        <w:t>s</w:t>
      </w:r>
      <w:r w:rsidR="00CA39B2" w:rsidRPr="003A1174">
        <w:rPr>
          <w:rFonts w:ascii="Garamond" w:hAnsi="Garamond" w:cs="Arial"/>
          <w:sz w:val="24"/>
          <w:szCs w:val="24"/>
        </w:rPr>
        <w:t xml:space="preserve"> </w:t>
      </w:r>
      <w:r w:rsidRPr="003A1174">
        <w:rPr>
          <w:rFonts w:ascii="Garamond" w:hAnsi="Garamond" w:cs="Arial"/>
          <w:sz w:val="24"/>
          <w:szCs w:val="24"/>
        </w:rPr>
        <w:t>ratificações</w:t>
      </w:r>
      <w:r w:rsidR="00CA39B2" w:rsidRPr="003A1174">
        <w:rPr>
          <w:rFonts w:ascii="Garamond" w:hAnsi="Garamond" w:cs="Arial"/>
          <w:sz w:val="24"/>
          <w:szCs w:val="24"/>
        </w:rPr>
        <w:t xml:space="preserve">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002F5CD1" w:rsidRPr="003A1174">
        <w:rPr>
          <w:rFonts w:ascii="Garamond" w:hAnsi="Garamond" w:cs="Arial"/>
          <w:sz w:val="24"/>
          <w:szCs w:val="24"/>
        </w:rPr>
        <w:t>principais</w:t>
      </w:r>
      <w:r w:rsidR="00CA39B2" w:rsidRPr="003A1174">
        <w:rPr>
          <w:rFonts w:ascii="Garamond" w:hAnsi="Garamond" w:cs="Arial"/>
          <w:sz w:val="24"/>
          <w:szCs w:val="24"/>
        </w:rPr>
        <w:t xml:space="preserve"> instrumentos </w:t>
      </w:r>
      <w:r w:rsidR="00EF645F" w:rsidRPr="003A1174">
        <w:rPr>
          <w:rFonts w:ascii="Garamond" w:hAnsi="Garamond" w:cs="Arial"/>
          <w:sz w:val="24"/>
          <w:szCs w:val="24"/>
        </w:rPr>
        <w:t>internacionais</w:t>
      </w:r>
      <w:r w:rsidRPr="003A1174">
        <w:rPr>
          <w:rFonts w:ascii="Garamond" w:hAnsi="Garamond" w:cs="Arial"/>
          <w:sz w:val="24"/>
          <w:szCs w:val="24"/>
        </w:rPr>
        <w:t xml:space="preserve"> sobre </w:t>
      </w:r>
      <w:r w:rsidR="00CA39B2" w:rsidRPr="003A1174">
        <w:rPr>
          <w:rFonts w:ascii="Garamond" w:hAnsi="Garamond" w:cs="Arial"/>
          <w:sz w:val="24"/>
          <w:szCs w:val="24"/>
        </w:rPr>
        <w:t xml:space="preserve">a </w:t>
      </w:r>
      <w:r w:rsidR="00EF645F" w:rsidRPr="003A1174">
        <w:rPr>
          <w:rFonts w:ascii="Garamond" w:hAnsi="Garamond" w:cs="Arial"/>
          <w:sz w:val="24"/>
          <w:szCs w:val="24"/>
        </w:rPr>
        <w:t>matéria</w:t>
      </w:r>
      <w:r w:rsidR="00424ECC">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n</w:t>
      </w:r>
      <w:r w:rsidR="00CA39B2" w:rsidRPr="003A1174">
        <w:rPr>
          <w:rFonts w:ascii="Garamond" w:hAnsi="Garamond" w:cs="Arial"/>
          <w:sz w:val="24"/>
          <w:szCs w:val="24"/>
        </w:rPr>
        <w:t xml:space="preserve">a década de 90, </w:t>
      </w:r>
      <w:r w:rsidR="009859FC" w:rsidRPr="003A1174">
        <w:rPr>
          <w:rFonts w:ascii="Garamond" w:hAnsi="Garamond" w:cs="Arial"/>
          <w:sz w:val="24"/>
          <w:szCs w:val="24"/>
        </w:rPr>
        <w:t>começou</w:t>
      </w:r>
      <w:r w:rsidR="00CA39B2" w:rsidRPr="003A1174">
        <w:rPr>
          <w:rFonts w:ascii="Garamond" w:hAnsi="Garamond" w:cs="Arial"/>
          <w:sz w:val="24"/>
          <w:szCs w:val="24"/>
        </w:rPr>
        <w:t xml:space="preserve"> u</w:t>
      </w:r>
      <w:r w:rsidR="009859FC" w:rsidRPr="003A1174">
        <w:rPr>
          <w:rFonts w:ascii="Garamond" w:hAnsi="Garamond" w:cs="Arial"/>
          <w:sz w:val="24"/>
          <w:szCs w:val="24"/>
        </w:rPr>
        <w:t>m</w:t>
      </w:r>
      <w:r w:rsidR="00CA39B2" w:rsidRPr="003A1174">
        <w:rPr>
          <w:rFonts w:ascii="Garamond" w:hAnsi="Garamond" w:cs="Arial"/>
          <w:sz w:val="24"/>
          <w:szCs w:val="24"/>
        </w:rPr>
        <w:t xml:space="preserve"> </w:t>
      </w:r>
      <w:r w:rsidR="002D1021" w:rsidRPr="003A1174">
        <w:rPr>
          <w:rFonts w:ascii="Garamond" w:hAnsi="Garamond" w:cs="Arial"/>
          <w:sz w:val="24"/>
          <w:szCs w:val="24"/>
        </w:rPr>
        <w:t>processo</w:t>
      </w:r>
      <w:r w:rsidR="00CA39B2" w:rsidRPr="003A1174">
        <w:rPr>
          <w:rFonts w:ascii="Garamond" w:hAnsi="Garamond" w:cs="Arial"/>
          <w:sz w:val="24"/>
          <w:szCs w:val="24"/>
        </w:rPr>
        <w:t xml:space="preserve"> de </w:t>
      </w:r>
      <w:r w:rsidR="009859FC" w:rsidRPr="003A1174">
        <w:rPr>
          <w:rFonts w:ascii="Garamond" w:hAnsi="Garamond" w:cs="Arial"/>
          <w:sz w:val="24"/>
          <w:szCs w:val="24"/>
        </w:rPr>
        <w:t>promulgação</w:t>
      </w:r>
      <w:r w:rsidR="00CA39B2" w:rsidRPr="003A1174">
        <w:rPr>
          <w:rFonts w:ascii="Garamond" w:hAnsi="Garamond" w:cs="Arial"/>
          <w:sz w:val="24"/>
          <w:szCs w:val="24"/>
        </w:rPr>
        <w:t xml:space="preserve"> de </w:t>
      </w:r>
      <w:r w:rsidR="00F320F4" w:rsidRPr="003A1174">
        <w:rPr>
          <w:rFonts w:ascii="Garamond" w:hAnsi="Garamond" w:cs="Arial"/>
          <w:sz w:val="24"/>
          <w:szCs w:val="24"/>
        </w:rPr>
        <w:t>leis</w:t>
      </w:r>
      <w:r w:rsidR="00CA39B2" w:rsidRPr="003A1174">
        <w:rPr>
          <w:rFonts w:ascii="Garamond" w:hAnsi="Garamond" w:cs="Arial"/>
          <w:sz w:val="24"/>
          <w:szCs w:val="24"/>
        </w:rPr>
        <w:t xml:space="preserve"> que </w:t>
      </w:r>
      <w:r w:rsidR="009859FC" w:rsidRPr="003A1174">
        <w:rPr>
          <w:rFonts w:ascii="Garamond" w:hAnsi="Garamond" w:cs="Arial"/>
          <w:sz w:val="24"/>
          <w:szCs w:val="24"/>
        </w:rPr>
        <w:t xml:space="preserve">têm em conta </w:t>
      </w:r>
      <w:r w:rsidR="005D38DC" w:rsidRPr="003A1174">
        <w:rPr>
          <w:rFonts w:ascii="Garamond" w:hAnsi="Garamond" w:cs="Arial"/>
          <w:sz w:val="24"/>
          <w:szCs w:val="24"/>
        </w:rPr>
        <w:t>aspeto</w:t>
      </w:r>
      <w:r w:rsidR="00CA39B2" w:rsidRPr="003A1174">
        <w:rPr>
          <w:rFonts w:ascii="Garamond" w:hAnsi="Garamond" w:cs="Arial"/>
          <w:sz w:val="24"/>
          <w:szCs w:val="24"/>
        </w:rPr>
        <w:t xml:space="preserve">s vinculados </w:t>
      </w:r>
      <w:r w:rsidR="009859FC" w:rsidRPr="003A1174">
        <w:rPr>
          <w:rFonts w:ascii="Garamond" w:hAnsi="Garamond" w:cs="Arial"/>
          <w:sz w:val="24"/>
          <w:szCs w:val="24"/>
        </w:rPr>
        <w:t xml:space="preserve">à </w:t>
      </w:r>
      <w:r w:rsidR="007578C6" w:rsidRPr="003A1174">
        <w:rPr>
          <w:rFonts w:ascii="Garamond" w:hAnsi="Garamond" w:cs="Arial"/>
          <w:sz w:val="24"/>
          <w:szCs w:val="24"/>
        </w:rPr>
        <w:t>prevenção</w:t>
      </w:r>
      <w:r w:rsidR="00CA39B2" w:rsidRPr="003A1174">
        <w:rPr>
          <w:rFonts w:ascii="Garamond" w:hAnsi="Garamond" w:cs="Arial"/>
          <w:sz w:val="24"/>
          <w:szCs w:val="24"/>
        </w:rPr>
        <w:t xml:space="preserve">, </w:t>
      </w:r>
      <w:r w:rsidR="00886D6A" w:rsidRPr="003A1174">
        <w:rPr>
          <w:rFonts w:ascii="Garamond" w:hAnsi="Garamond" w:cs="Arial"/>
          <w:sz w:val="24"/>
          <w:szCs w:val="24"/>
        </w:rPr>
        <w:t>proteção</w:t>
      </w:r>
      <w:r w:rsidR="00CA39B2" w:rsidRPr="003A1174">
        <w:rPr>
          <w:rFonts w:ascii="Garamond" w:hAnsi="Garamond" w:cs="Arial"/>
          <w:sz w:val="24"/>
          <w:szCs w:val="24"/>
        </w:rPr>
        <w:t xml:space="preserve">, </w:t>
      </w:r>
      <w:r w:rsidR="00FC4727" w:rsidRPr="003A1174">
        <w:rPr>
          <w:rFonts w:ascii="Garamond" w:hAnsi="Garamond" w:cs="Arial"/>
          <w:sz w:val="24"/>
          <w:szCs w:val="24"/>
        </w:rPr>
        <w:t>punição</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AE3F78" w:rsidRPr="003A1174">
        <w:rPr>
          <w:rFonts w:ascii="Garamond" w:hAnsi="Garamond" w:cs="Arial"/>
          <w:sz w:val="24"/>
          <w:szCs w:val="24"/>
        </w:rPr>
        <w:t>compensação</w:t>
      </w:r>
      <w:r w:rsidR="00CA39B2" w:rsidRPr="003A1174">
        <w:rPr>
          <w:rFonts w:ascii="Garamond" w:hAnsi="Garamond" w:cs="Arial"/>
          <w:sz w:val="24"/>
          <w:szCs w:val="24"/>
        </w:rPr>
        <w:t xml:space="preserve"> da </w:t>
      </w:r>
      <w:r w:rsidR="000350B1" w:rsidRPr="003A1174">
        <w:rPr>
          <w:rFonts w:ascii="Garamond" w:hAnsi="Garamond" w:cs="Arial"/>
          <w:sz w:val="24"/>
          <w:szCs w:val="24"/>
        </w:rPr>
        <w:t>violência</w:t>
      </w:r>
      <w:r w:rsidR="00CA39B2" w:rsidRPr="003A1174">
        <w:rPr>
          <w:rFonts w:ascii="Garamond" w:hAnsi="Garamond" w:cs="Arial"/>
          <w:sz w:val="24"/>
          <w:szCs w:val="24"/>
        </w:rPr>
        <w:t xml:space="preserve"> </w:t>
      </w:r>
      <w:r w:rsidR="009859FC" w:rsidRPr="003A1174">
        <w:rPr>
          <w:rFonts w:ascii="Garamond" w:hAnsi="Garamond" w:cs="Arial"/>
          <w:sz w:val="24"/>
          <w:szCs w:val="24"/>
        </w:rPr>
        <w:t xml:space="preserve">contra </w:t>
      </w:r>
      <w:r w:rsidR="00CA39B2" w:rsidRPr="003A1174">
        <w:rPr>
          <w:rFonts w:ascii="Garamond" w:hAnsi="Garamond" w:cs="Arial"/>
          <w:sz w:val="24"/>
          <w:szCs w:val="24"/>
        </w:rPr>
        <w:t xml:space="preserve">as </w:t>
      </w:r>
      <w:r w:rsidR="00054EE0" w:rsidRPr="003A1174">
        <w:rPr>
          <w:rFonts w:ascii="Garamond" w:hAnsi="Garamond" w:cs="Arial"/>
          <w:sz w:val="24"/>
          <w:szCs w:val="24"/>
        </w:rPr>
        <w:t>mulheres</w:t>
      </w:r>
      <w:r w:rsidR="00CA39B2" w:rsidRPr="003A1174">
        <w:rPr>
          <w:rFonts w:ascii="Garamond" w:hAnsi="Garamond" w:cs="Arial"/>
          <w:sz w:val="24"/>
          <w:szCs w:val="24"/>
        </w:rPr>
        <w:t xml:space="preserve">, tal como se </w:t>
      </w:r>
      <w:r w:rsidR="009859FC" w:rsidRPr="003A1174">
        <w:rPr>
          <w:rFonts w:ascii="Garamond" w:hAnsi="Garamond" w:cs="Arial"/>
          <w:sz w:val="24"/>
          <w:szCs w:val="24"/>
        </w:rPr>
        <w:t xml:space="preserve">manifestou no </w:t>
      </w:r>
      <w:r w:rsidR="00CA39B2" w:rsidRPr="003A1174">
        <w:rPr>
          <w:rFonts w:ascii="Garamond" w:hAnsi="Garamond" w:cs="Arial"/>
          <w:sz w:val="24"/>
          <w:szCs w:val="24"/>
        </w:rPr>
        <w:t xml:space="preserve">anterior </w:t>
      </w:r>
      <w:r w:rsidR="009E3E55" w:rsidRPr="003A1174">
        <w:rPr>
          <w:rFonts w:ascii="Garamond" w:hAnsi="Garamond" w:cs="Arial"/>
          <w:sz w:val="24"/>
          <w:szCs w:val="24"/>
        </w:rPr>
        <w:t>relatório</w:t>
      </w:r>
      <w:r w:rsidR="00CA39B2" w:rsidRPr="003A1174">
        <w:rPr>
          <w:rFonts w:ascii="Garamond" w:hAnsi="Garamond" w:cs="Arial"/>
          <w:sz w:val="24"/>
          <w:szCs w:val="24"/>
        </w:rPr>
        <w:t>.</w:t>
      </w:r>
    </w:p>
    <w:p w:rsidR="00CA39B2" w:rsidRPr="003A1174" w:rsidRDefault="00CA39B2"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Durante </w:t>
      </w:r>
      <w:r w:rsidR="009859FC" w:rsidRPr="003A1174">
        <w:rPr>
          <w:rFonts w:ascii="Garamond" w:hAnsi="Garamond" w:cs="Arial"/>
          <w:sz w:val="24"/>
          <w:szCs w:val="24"/>
        </w:rPr>
        <w:t xml:space="preserve">o período </w:t>
      </w:r>
      <w:r w:rsidR="00424ECC">
        <w:rPr>
          <w:rFonts w:ascii="Garamond" w:hAnsi="Garamond" w:cs="Arial"/>
          <w:sz w:val="24"/>
          <w:szCs w:val="24"/>
        </w:rPr>
        <w:t>a que respeita este</w:t>
      </w:r>
      <w:r w:rsidRPr="003A1174">
        <w:rPr>
          <w:rFonts w:ascii="Garamond" w:hAnsi="Garamond" w:cs="Arial"/>
          <w:sz w:val="24"/>
          <w:szCs w:val="24"/>
        </w:rPr>
        <w:t xml:space="preserve"> </w:t>
      </w:r>
      <w:r w:rsidR="009E3E55" w:rsidRPr="003A1174">
        <w:rPr>
          <w:rFonts w:ascii="Garamond" w:hAnsi="Garamond" w:cs="Arial"/>
          <w:sz w:val="24"/>
          <w:szCs w:val="24"/>
        </w:rPr>
        <w:t>relatório</w:t>
      </w:r>
      <w:r w:rsidR="00F25502" w:rsidRPr="003A1174">
        <w:rPr>
          <w:rFonts w:ascii="Garamond" w:hAnsi="Garamond" w:cs="Arial"/>
          <w:sz w:val="24"/>
          <w:szCs w:val="24"/>
        </w:rPr>
        <w:t>,</w:t>
      </w:r>
      <w:r w:rsidRPr="003A1174">
        <w:rPr>
          <w:rFonts w:ascii="Garamond" w:hAnsi="Garamond" w:cs="Arial"/>
          <w:sz w:val="24"/>
          <w:szCs w:val="24"/>
        </w:rPr>
        <w:t xml:space="preserve"> </w:t>
      </w:r>
      <w:r w:rsidR="009859FC" w:rsidRPr="003A1174">
        <w:rPr>
          <w:rFonts w:ascii="Garamond" w:hAnsi="Garamond" w:cs="Arial"/>
          <w:sz w:val="24"/>
          <w:szCs w:val="24"/>
        </w:rPr>
        <w:t>a única alteração normativa vinculada</w:t>
      </w:r>
      <w:r w:rsidR="00F25502" w:rsidRPr="003A1174">
        <w:rPr>
          <w:rFonts w:ascii="Garamond" w:hAnsi="Garamond" w:cs="Arial"/>
          <w:sz w:val="24"/>
          <w:szCs w:val="24"/>
        </w:rPr>
        <w:t>,</w:t>
      </w:r>
      <w:r w:rsidRPr="003A1174">
        <w:rPr>
          <w:rFonts w:ascii="Garamond" w:hAnsi="Garamond" w:cs="Arial"/>
          <w:sz w:val="24"/>
          <w:szCs w:val="24"/>
        </w:rPr>
        <w:t xml:space="preserve"> </w:t>
      </w:r>
      <w:r w:rsidR="0074243F" w:rsidRPr="003A1174">
        <w:rPr>
          <w:rFonts w:ascii="Garamond" w:hAnsi="Garamond" w:cs="Arial"/>
          <w:sz w:val="24"/>
          <w:szCs w:val="24"/>
        </w:rPr>
        <w:t>mas</w:t>
      </w:r>
      <w:r w:rsidRPr="003A1174">
        <w:rPr>
          <w:rFonts w:ascii="Garamond" w:hAnsi="Garamond" w:cs="Arial"/>
          <w:sz w:val="24"/>
          <w:szCs w:val="24"/>
        </w:rPr>
        <w:t xml:space="preserve"> n</w:t>
      </w:r>
      <w:r w:rsidR="009859FC" w:rsidRPr="003A1174">
        <w:rPr>
          <w:rFonts w:ascii="Garamond" w:hAnsi="Garamond" w:cs="Arial"/>
          <w:sz w:val="24"/>
          <w:szCs w:val="24"/>
        </w:rPr>
        <w:t>ã</w:t>
      </w:r>
      <w:r w:rsidRPr="003A1174">
        <w:rPr>
          <w:rFonts w:ascii="Garamond" w:hAnsi="Garamond" w:cs="Arial"/>
          <w:sz w:val="24"/>
          <w:szCs w:val="24"/>
        </w:rPr>
        <w:t xml:space="preserve">o </w:t>
      </w:r>
      <w:r w:rsidR="00424ECC">
        <w:rPr>
          <w:rFonts w:ascii="Garamond" w:hAnsi="Garamond" w:cs="Arial"/>
          <w:sz w:val="24"/>
          <w:szCs w:val="24"/>
        </w:rPr>
        <w:t>diretamente ligado</w:t>
      </w:r>
      <w:r w:rsidR="009859FC" w:rsidRPr="003A1174">
        <w:rPr>
          <w:rFonts w:ascii="Garamond" w:hAnsi="Garamond" w:cs="Arial"/>
          <w:sz w:val="24"/>
          <w:szCs w:val="24"/>
        </w:rPr>
        <w:t xml:space="preserve"> ao </w:t>
      </w:r>
      <w:r w:rsidRPr="003A1174">
        <w:rPr>
          <w:rFonts w:ascii="Garamond" w:hAnsi="Garamond" w:cs="Arial"/>
          <w:sz w:val="24"/>
          <w:szCs w:val="24"/>
        </w:rPr>
        <w:t>tema</w:t>
      </w:r>
      <w:r w:rsidR="00F25502" w:rsidRPr="003A1174">
        <w:rPr>
          <w:rFonts w:ascii="Garamond" w:hAnsi="Garamond" w:cs="Arial"/>
          <w:sz w:val="24"/>
          <w:szCs w:val="24"/>
        </w:rPr>
        <w:t>,</w:t>
      </w:r>
      <w:r w:rsidRPr="003A1174">
        <w:rPr>
          <w:rFonts w:ascii="Garamond" w:hAnsi="Garamond" w:cs="Arial"/>
          <w:sz w:val="24"/>
          <w:szCs w:val="24"/>
        </w:rPr>
        <w:t xml:space="preserve"> </w:t>
      </w:r>
      <w:r w:rsidR="00F25502" w:rsidRPr="003A1174">
        <w:rPr>
          <w:rFonts w:ascii="Garamond" w:hAnsi="Garamond" w:cs="Arial"/>
          <w:sz w:val="24"/>
          <w:szCs w:val="24"/>
        </w:rPr>
        <w:t>relaciona</w:t>
      </w:r>
      <w:r w:rsidR="009859FC" w:rsidRPr="003A1174">
        <w:rPr>
          <w:rFonts w:ascii="Garamond" w:hAnsi="Garamond" w:cs="Arial"/>
          <w:sz w:val="24"/>
          <w:szCs w:val="24"/>
        </w:rPr>
        <w:t>-se com</w:t>
      </w:r>
      <w:r w:rsidR="00F25502" w:rsidRPr="003A1174">
        <w:rPr>
          <w:rFonts w:ascii="Garamond" w:hAnsi="Garamond" w:cs="Arial"/>
          <w:sz w:val="24"/>
          <w:szCs w:val="24"/>
        </w:rPr>
        <w:t xml:space="preserve"> </w:t>
      </w:r>
      <w:r w:rsidR="00DB2452">
        <w:rPr>
          <w:rFonts w:ascii="Garamond" w:hAnsi="Garamond" w:cs="Arial"/>
          <w:sz w:val="24"/>
          <w:szCs w:val="24"/>
        </w:rPr>
        <w:t>revisõe</w:t>
      </w:r>
      <w:r w:rsidRPr="003A1174">
        <w:rPr>
          <w:rFonts w:ascii="Garamond" w:hAnsi="Garamond" w:cs="Arial"/>
          <w:sz w:val="24"/>
          <w:szCs w:val="24"/>
        </w:rPr>
        <w:t xml:space="preserve">s </w:t>
      </w:r>
      <w:r w:rsidR="00DB2452">
        <w:rPr>
          <w:rFonts w:ascii="Garamond" w:hAnsi="Garamond" w:cs="Arial"/>
          <w:sz w:val="24"/>
          <w:szCs w:val="24"/>
        </w:rPr>
        <w:t>a</w:t>
      </w:r>
      <w:r w:rsidR="009859FC" w:rsidRPr="003A1174">
        <w:rPr>
          <w:rFonts w:ascii="Garamond" w:hAnsi="Garamond" w:cs="Arial"/>
          <w:sz w:val="24"/>
          <w:szCs w:val="24"/>
        </w:rPr>
        <w:t xml:space="preserve">o </w:t>
      </w:r>
      <w:r w:rsidRPr="003A1174">
        <w:rPr>
          <w:rFonts w:ascii="Garamond" w:hAnsi="Garamond" w:cs="Arial"/>
          <w:sz w:val="24"/>
          <w:szCs w:val="24"/>
        </w:rPr>
        <w:t xml:space="preserve">Código </w:t>
      </w:r>
      <w:r w:rsidR="00077461" w:rsidRPr="003A1174">
        <w:rPr>
          <w:rFonts w:ascii="Garamond" w:hAnsi="Garamond" w:cs="Arial"/>
          <w:sz w:val="24"/>
          <w:szCs w:val="24"/>
        </w:rPr>
        <w:t>Geral</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w:t>
      </w:r>
      <w:r w:rsidR="002D1021" w:rsidRPr="003A1174">
        <w:rPr>
          <w:rFonts w:ascii="Garamond" w:hAnsi="Garamond" w:cs="Arial"/>
          <w:sz w:val="24"/>
          <w:szCs w:val="24"/>
        </w:rPr>
        <w:t>Processo</w:t>
      </w:r>
      <w:r w:rsidR="009859FC" w:rsidRPr="003A1174">
        <w:rPr>
          <w:rFonts w:ascii="Garamond" w:hAnsi="Garamond" w:cs="Arial"/>
          <w:sz w:val="24"/>
          <w:szCs w:val="24"/>
        </w:rPr>
        <w:t xml:space="preserve">, </w:t>
      </w:r>
      <w:r w:rsidRPr="003A1174">
        <w:rPr>
          <w:rFonts w:ascii="Garamond" w:hAnsi="Garamond" w:cs="Arial"/>
          <w:sz w:val="24"/>
          <w:szCs w:val="24"/>
        </w:rPr>
        <w:t xml:space="preserve">as </w:t>
      </w:r>
      <w:r w:rsidR="00524936" w:rsidRPr="003A1174">
        <w:rPr>
          <w:rFonts w:ascii="Garamond" w:hAnsi="Garamond" w:cs="Arial"/>
          <w:sz w:val="24"/>
          <w:szCs w:val="24"/>
        </w:rPr>
        <w:t>mesma</w:t>
      </w:r>
      <w:r w:rsidRPr="003A1174">
        <w:rPr>
          <w:rFonts w:ascii="Garamond" w:hAnsi="Garamond" w:cs="Arial"/>
          <w:sz w:val="24"/>
          <w:szCs w:val="24"/>
        </w:rPr>
        <w:t>s que n</w:t>
      </w:r>
      <w:r w:rsidR="009859FC" w:rsidRPr="003A1174">
        <w:rPr>
          <w:rFonts w:ascii="Garamond" w:hAnsi="Garamond" w:cs="Arial"/>
          <w:sz w:val="24"/>
          <w:szCs w:val="24"/>
        </w:rPr>
        <w:t>ã</w:t>
      </w:r>
      <w:r w:rsidRPr="003A1174">
        <w:rPr>
          <w:rFonts w:ascii="Garamond" w:hAnsi="Garamond" w:cs="Arial"/>
          <w:sz w:val="24"/>
          <w:szCs w:val="24"/>
        </w:rPr>
        <w:t xml:space="preserve">o </w:t>
      </w:r>
      <w:r w:rsidR="009859FC" w:rsidRPr="003A1174">
        <w:rPr>
          <w:rFonts w:ascii="Garamond" w:hAnsi="Garamond" w:cs="Arial"/>
          <w:sz w:val="24"/>
          <w:szCs w:val="24"/>
        </w:rPr>
        <w:t xml:space="preserve">produziram </w:t>
      </w:r>
      <w:r w:rsidRPr="003A1174">
        <w:rPr>
          <w:rFonts w:ascii="Garamond" w:hAnsi="Garamond" w:cs="Arial"/>
          <w:sz w:val="24"/>
          <w:szCs w:val="24"/>
        </w:rPr>
        <w:t xml:space="preserve">grandes </w:t>
      </w:r>
      <w:r w:rsidR="00791197" w:rsidRPr="003A1174">
        <w:rPr>
          <w:rFonts w:ascii="Garamond" w:hAnsi="Garamond" w:cs="Arial"/>
          <w:sz w:val="24"/>
          <w:szCs w:val="24"/>
        </w:rPr>
        <w:t>modificações</w:t>
      </w:r>
      <w:r w:rsidRPr="003A1174">
        <w:rPr>
          <w:rFonts w:ascii="Garamond" w:hAnsi="Garamond" w:cs="Arial"/>
          <w:sz w:val="24"/>
          <w:szCs w:val="24"/>
        </w:rPr>
        <w:t xml:space="preserve"> </w:t>
      </w:r>
      <w:r w:rsidR="009859FC" w:rsidRPr="003A1174">
        <w:rPr>
          <w:rFonts w:ascii="Garamond" w:hAnsi="Garamond" w:cs="Arial"/>
          <w:sz w:val="24"/>
          <w:szCs w:val="24"/>
        </w:rPr>
        <w:t>n</w:t>
      </w:r>
      <w:r w:rsidRPr="003A1174">
        <w:rPr>
          <w:rFonts w:ascii="Garamond" w:hAnsi="Garamond" w:cs="Arial"/>
          <w:sz w:val="24"/>
          <w:szCs w:val="24"/>
        </w:rPr>
        <w:t xml:space="preserve">os </w:t>
      </w:r>
      <w:r w:rsidR="002D1021" w:rsidRPr="003A1174">
        <w:rPr>
          <w:rFonts w:ascii="Garamond" w:hAnsi="Garamond" w:cs="Arial"/>
          <w:sz w:val="24"/>
          <w:szCs w:val="24"/>
        </w:rPr>
        <w:t>processo</w:t>
      </w:r>
      <w:r w:rsidRPr="003A1174">
        <w:rPr>
          <w:rFonts w:ascii="Garamond" w:hAnsi="Garamond" w:cs="Arial"/>
          <w:sz w:val="24"/>
          <w:szCs w:val="24"/>
        </w:rPr>
        <w:t xml:space="preserve">s </w:t>
      </w:r>
      <w:r w:rsidR="00BA3CCE" w:rsidRPr="003A1174">
        <w:rPr>
          <w:rFonts w:ascii="Garamond" w:hAnsi="Garamond" w:cs="Arial"/>
          <w:sz w:val="24"/>
          <w:szCs w:val="24"/>
        </w:rPr>
        <w:t>em</w:t>
      </w:r>
      <w:r w:rsidRPr="003A1174">
        <w:rPr>
          <w:rFonts w:ascii="Garamond" w:hAnsi="Garamond" w:cs="Arial"/>
          <w:sz w:val="24"/>
          <w:szCs w:val="24"/>
        </w:rPr>
        <w:t xml:space="preserve"> curso.</w:t>
      </w:r>
    </w:p>
    <w:p w:rsidR="00CA39B2" w:rsidRPr="003A1174" w:rsidRDefault="00FB09CA" w:rsidP="008719D4">
      <w:pPr>
        <w:spacing w:before="240" w:line="240" w:lineRule="auto"/>
        <w:jc w:val="both"/>
        <w:rPr>
          <w:rFonts w:ascii="Garamond" w:hAnsi="Garamond" w:cs="Arial"/>
          <w:sz w:val="24"/>
          <w:szCs w:val="24"/>
        </w:rPr>
      </w:pPr>
      <w:r w:rsidRPr="003A1174">
        <w:rPr>
          <w:rFonts w:ascii="Garamond" w:hAnsi="Garamond" w:cs="Arial"/>
          <w:sz w:val="24"/>
          <w:szCs w:val="24"/>
        </w:rPr>
        <w:t>Atual</w:t>
      </w:r>
      <w:r w:rsidR="00CA39B2" w:rsidRPr="003A1174">
        <w:rPr>
          <w:rFonts w:ascii="Garamond" w:hAnsi="Garamond" w:cs="Arial"/>
          <w:sz w:val="24"/>
          <w:szCs w:val="24"/>
        </w:rPr>
        <w:t>mente</w:t>
      </w:r>
      <w:r w:rsidR="00424ECC">
        <w:rPr>
          <w:rFonts w:ascii="Garamond" w:hAnsi="Garamond" w:cs="Arial"/>
          <w:sz w:val="24"/>
          <w:szCs w:val="24"/>
        </w:rPr>
        <w:t>,</w:t>
      </w:r>
      <w:r w:rsidR="00CA39B2" w:rsidRPr="003A1174">
        <w:rPr>
          <w:rFonts w:ascii="Garamond" w:hAnsi="Garamond" w:cs="Arial"/>
          <w:sz w:val="24"/>
          <w:szCs w:val="24"/>
        </w:rPr>
        <w:t xml:space="preserve"> </w:t>
      </w:r>
      <w:r w:rsidR="009859FC" w:rsidRPr="003A1174">
        <w:rPr>
          <w:rFonts w:ascii="Garamond" w:hAnsi="Garamond" w:cs="Arial"/>
          <w:sz w:val="24"/>
          <w:szCs w:val="24"/>
        </w:rPr>
        <w:t xml:space="preserve">ainda se dão </w:t>
      </w:r>
      <w:r w:rsidR="001F2F8B" w:rsidRPr="003A1174">
        <w:rPr>
          <w:rFonts w:ascii="Garamond" w:hAnsi="Garamond" w:cs="Arial"/>
          <w:sz w:val="24"/>
          <w:szCs w:val="24"/>
        </w:rPr>
        <w:t>passo</w:t>
      </w:r>
      <w:r w:rsidR="00CA39B2" w:rsidRPr="003A1174">
        <w:rPr>
          <w:rFonts w:ascii="Garamond" w:hAnsi="Garamond" w:cs="Arial"/>
          <w:sz w:val="24"/>
          <w:szCs w:val="24"/>
        </w:rPr>
        <w:t xml:space="preserve">s </w:t>
      </w:r>
      <w:r w:rsidR="00424ECC">
        <w:rPr>
          <w:rFonts w:ascii="Garamond" w:hAnsi="Garamond" w:cs="Arial"/>
          <w:sz w:val="24"/>
          <w:szCs w:val="24"/>
        </w:rPr>
        <w:t xml:space="preserve">insignificantes </w:t>
      </w:r>
      <w:r w:rsidR="00CA39B2" w:rsidRPr="003A1174">
        <w:rPr>
          <w:rFonts w:ascii="Garamond" w:hAnsi="Garamond" w:cs="Arial"/>
          <w:sz w:val="24"/>
          <w:szCs w:val="24"/>
        </w:rPr>
        <w:t xml:space="preserve">sobre </w:t>
      </w:r>
      <w:r w:rsidR="009859FC" w:rsidRPr="003A1174">
        <w:rPr>
          <w:rFonts w:ascii="Garamond" w:hAnsi="Garamond" w:cs="Arial"/>
          <w:sz w:val="24"/>
          <w:szCs w:val="24"/>
        </w:rPr>
        <w:t>eventuais</w:t>
      </w:r>
      <w:r w:rsidR="00CA39B2" w:rsidRPr="003A1174">
        <w:rPr>
          <w:rFonts w:ascii="Garamond" w:hAnsi="Garamond" w:cs="Arial"/>
          <w:sz w:val="24"/>
          <w:szCs w:val="24"/>
        </w:rPr>
        <w:t xml:space="preserve"> </w:t>
      </w:r>
      <w:r w:rsidR="00791197" w:rsidRPr="003A1174">
        <w:rPr>
          <w:rFonts w:ascii="Garamond" w:hAnsi="Garamond" w:cs="Arial"/>
          <w:sz w:val="24"/>
          <w:szCs w:val="24"/>
        </w:rPr>
        <w:t>modificações</w:t>
      </w:r>
      <w:r w:rsidR="00CA39B2" w:rsidRPr="003A1174">
        <w:rPr>
          <w:rFonts w:ascii="Garamond" w:hAnsi="Garamond" w:cs="Arial"/>
          <w:sz w:val="24"/>
          <w:szCs w:val="24"/>
        </w:rPr>
        <w:t xml:space="preserve"> </w:t>
      </w:r>
      <w:r w:rsidR="009859FC" w:rsidRPr="003A1174">
        <w:rPr>
          <w:rFonts w:ascii="Garamond" w:hAnsi="Garamond" w:cs="Arial"/>
          <w:sz w:val="24"/>
          <w:szCs w:val="24"/>
        </w:rPr>
        <w:t>nas normas vigentes</w:t>
      </w:r>
      <w:r w:rsidR="00CA39B2" w:rsidRPr="003A1174">
        <w:rPr>
          <w:rFonts w:ascii="Garamond" w:hAnsi="Garamond" w:cs="Arial"/>
          <w:sz w:val="24"/>
          <w:szCs w:val="24"/>
        </w:rPr>
        <w:t xml:space="preserve">, </w:t>
      </w:r>
      <w:r w:rsidR="00BA3CCE" w:rsidRPr="003A1174">
        <w:rPr>
          <w:rFonts w:ascii="Garamond" w:hAnsi="Garamond" w:cs="Arial"/>
          <w:sz w:val="24"/>
          <w:szCs w:val="24"/>
        </w:rPr>
        <w:t>na</w:t>
      </w:r>
      <w:r w:rsidR="009859FC" w:rsidRPr="003A1174">
        <w:rPr>
          <w:rFonts w:ascii="Garamond" w:hAnsi="Garamond" w:cs="Arial"/>
          <w:sz w:val="24"/>
          <w:szCs w:val="24"/>
        </w:rPr>
        <w:t xml:space="preserve"> orientação para a promulgação de um</w:t>
      </w:r>
      <w:r w:rsidR="00CA39B2" w:rsidRPr="003A1174">
        <w:rPr>
          <w:rFonts w:ascii="Garamond" w:hAnsi="Garamond" w:cs="Arial"/>
          <w:sz w:val="24"/>
          <w:szCs w:val="24"/>
        </w:rPr>
        <w:t xml:space="preserve">a </w:t>
      </w:r>
      <w:r w:rsidR="00D15AFF" w:rsidRPr="003A1174">
        <w:rPr>
          <w:rFonts w:ascii="Garamond" w:hAnsi="Garamond" w:cs="Arial"/>
          <w:sz w:val="24"/>
          <w:szCs w:val="24"/>
        </w:rPr>
        <w:t>lei</w:t>
      </w:r>
      <w:r w:rsidR="00CA39B2" w:rsidRPr="003A1174">
        <w:rPr>
          <w:rFonts w:ascii="Garamond" w:hAnsi="Garamond" w:cs="Arial"/>
          <w:sz w:val="24"/>
          <w:szCs w:val="24"/>
        </w:rPr>
        <w:t xml:space="preserve"> integral. </w:t>
      </w:r>
    </w:p>
    <w:p w:rsidR="00CA39B2" w:rsidRPr="003A1174" w:rsidRDefault="009859FC" w:rsidP="008719D4">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Também no </w:t>
      </w:r>
      <w:r w:rsidR="00253B1D" w:rsidRPr="003A1174">
        <w:rPr>
          <w:rFonts w:ascii="Garamond" w:hAnsi="Garamond" w:cs="Arial"/>
          <w:color w:val="auto"/>
          <w:sz w:val="24"/>
          <w:szCs w:val="24"/>
          <w:lang w:val="pt-PT"/>
        </w:rPr>
        <w:t>quadro</w:t>
      </w:r>
      <w:r w:rsidR="00CA39B2" w:rsidRPr="003A1174">
        <w:rPr>
          <w:rFonts w:ascii="Garamond" w:hAnsi="Garamond" w:cs="Arial"/>
          <w:color w:val="auto"/>
          <w:sz w:val="24"/>
          <w:szCs w:val="24"/>
          <w:lang w:val="pt-PT"/>
        </w:rPr>
        <w:t xml:space="preserve"> </w:t>
      </w:r>
      <w:r w:rsidR="008A3DA2"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4C1496" w:rsidRPr="003A1174">
        <w:rPr>
          <w:rFonts w:ascii="Garamond" w:hAnsi="Garamond" w:cs="Arial"/>
          <w:color w:val="auto"/>
          <w:sz w:val="24"/>
          <w:szCs w:val="24"/>
          <w:lang w:val="pt-PT"/>
        </w:rPr>
        <w:t>Conselho</w:t>
      </w:r>
      <w:r w:rsidR="00CA39B2" w:rsidRPr="003A1174">
        <w:rPr>
          <w:rFonts w:ascii="Garamond" w:hAnsi="Garamond" w:cs="Arial"/>
          <w:color w:val="auto"/>
          <w:sz w:val="24"/>
          <w:szCs w:val="24"/>
          <w:lang w:val="pt-PT"/>
        </w:rPr>
        <w:t xml:space="preserve"> Nacional Consultivo de </w:t>
      </w:r>
      <w:r w:rsidR="001C2738" w:rsidRPr="003A1174">
        <w:rPr>
          <w:rFonts w:ascii="Garamond" w:hAnsi="Garamond" w:cs="Arial"/>
          <w:color w:val="auto"/>
          <w:sz w:val="24"/>
          <w:szCs w:val="24"/>
          <w:lang w:val="pt-PT"/>
        </w:rPr>
        <w:t>Luta</w:t>
      </w:r>
      <w:r w:rsidRPr="003A1174">
        <w:rPr>
          <w:rFonts w:ascii="Garamond" w:hAnsi="Garamond" w:cs="Arial"/>
          <w:color w:val="auto"/>
          <w:sz w:val="24"/>
          <w:szCs w:val="24"/>
          <w:lang w:val="pt-PT"/>
        </w:rPr>
        <w:t xml:space="preserve"> contra </w:t>
      </w:r>
      <w:r w:rsidR="00CA39B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w:t>
      </w:r>
      <w:r w:rsidR="00F25502"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se </w:t>
      </w:r>
      <w:r w:rsidRPr="003A1174">
        <w:rPr>
          <w:rFonts w:ascii="Garamond" w:hAnsi="Garamond" w:cs="Arial"/>
          <w:color w:val="auto"/>
          <w:sz w:val="24"/>
          <w:szCs w:val="24"/>
          <w:lang w:val="pt-PT"/>
        </w:rPr>
        <w:t>a</w:t>
      </w:r>
      <w:r w:rsidR="00CA39B2" w:rsidRPr="003A1174">
        <w:rPr>
          <w:rFonts w:ascii="Garamond" w:hAnsi="Garamond" w:cs="Arial"/>
          <w:color w:val="auto"/>
          <w:sz w:val="24"/>
          <w:szCs w:val="24"/>
          <w:lang w:val="pt-PT"/>
        </w:rPr>
        <w:t>presenta</w:t>
      </w:r>
      <w:r w:rsidRPr="003A1174">
        <w:rPr>
          <w:rFonts w:ascii="Garamond" w:hAnsi="Garamond" w:cs="Arial"/>
          <w:color w:val="auto"/>
          <w:sz w:val="24"/>
          <w:szCs w:val="24"/>
          <w:lang w:val="pt-PT"/>
        </w:rPr>
        <w:t xml:space="preserve">ram </w:t>
      </w:r>
      <w:r w:rsidR="00424ECC">
        <w:rPr>
          <w:rFonts w:ascii="Garamond" w:hAnsi="Garamond" w:cs="Arial"/>
          <w:color w:val="auto"/>
          <w:sz w:val="24"/>
          <w:szCs w:val="24"/>
          <w:lang w:val="pt-PT"/>
        </w:rPr>
        <w:t>proposta de alteração a</w:t>
      </w:r>
      <w:r w:rsidRPr="003A1174">
        <w:rPr>
          <w:rFonts w:ascii="Garamond" w:hAnsi="Garamond" w:cs="Arial"/>
          <w:color w:val="auto"/>
          <w:sz w:val="24"/>
          <w:szCs w:val="24"/>
          <w:lang w:val="pt-PT"/>
        </w:rPr>
        <w:t>o</w:t>
      </w:r>
      <w:r w:rsidR="00CA39B2" w:rsidRPr="003A1174">
        <w:rPr>
          <w:rFonts w:ascii="Garamond" w:hAnsi="Garamond" w:cs="Arial"/>
          <w:color w:val="auto"/>
          <w:sz w:val="24"/>
          <w:szCs w:val="24"/>
          <w:lang w:val="pt-PT"/>
        </w:rPr>
        <w:t xml:space="preserve"> Código Penal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Processual</w:t>
      </w:r>
      <w:r w:rsidR="00CA39B2" w:rsidRPr="003A1174">
        <w:rPr>
          <w:rFonts w:ascii="Garamond" w:hAnsi="Garamond" w:cs="Arial"/>
          <w:color w:val="auto"/>
          <w:sz w:val="24"/>
          <w:szCs w:val="24"/>
          <w:lang w:val="pt-PT"/>
        </w:rPr>
        <w:t xml:space="preserve"> Penal que se </w:t>
      </w:r>
      <w:r w:rsidR="00F520D6" w:rsidRPr="003A1174">
        <w:rPr>
          <w:rFonts w:ascii="Garamond" w:hAnsi="Garamond" w:cs="Arial"/>
          <w:color w:val="auto"/>
          <w:sz w:val="24"/>
          <w:szCs w:val="24"/>
          <w:lang w:val="pt-PT"/>
        </w:rPr>
        <w:t>encontram</w:t>
      </w:r>
      <w:r w:rsidRPr="003A1174">
        <w:rPr>
          <w:rFonts w:ascii="Garamond" w:hAnsi="Garamond" w:cs="Arial"/>
          <w:color w:val="auto"/>
          <w:sz w:val="24"/>
          <w:szCs w:val="24"/>
          <w:lang w:val="pt-PT"/>
        </w:rPr>
        <w:t xml:space="preserve"> em</w:t>
      </w:r>
      <w:r w:rsidR="00CA39B2" w:rsidRPr="003A1174">
        <w:rPr>
          <w:rFonts w:ascii="Garamond" w:hAnsi="Garamond" w:cs="Arial"/>
          <w:color w:val="auto"/>
          <w:sz w:val="24"/>
          <w:szCs w:val="24"/>
          <w:lang w:val="pt-PT"/>
        </w:rPr>
        <w:t xml:space="preserve"> </w:t>
      </w:r>
      <w:r w:rsidR="00BE4EB8" w:rsidRPr="003A1174">
        <w:rPr>
          <w:rFonts w:ascii="Garamond" w:hAnsi="Garamond" w:cs="Arial"/>
          <w:color w:val="auto"/>
          <w:sz w:val="24"/>
          <w:szCs w:val="24"/>
          <w:lang w:val="pt-PT"/>
        </w:rPr>
        <w:t>discussão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parlamentar</w:t>
      </w:r>
      <w:r w:rsidR="00CA39B2" w:rsidRPr="003A1174">
        <w:rPr>
          <w:rFonts w:ascii="Garamond" w:hAnsi="Garamond" w:cs="Arial"/>
          <w:color w:val="auto"/>
          <w:sz w:val="24"/>
          <w:szCs w:val="24"/>
          <w:lang w:val="pt-PT"/>
        </w:rPr>
        <w:t xml:space="preserve">. </w:t>
      </w:r>
    </w:p>
    <w:p w:rsidR="00F950B2" w:rsidRPr="003A1174" w:rsidRDefault="00D96FD0" w:rsidP="008719D4">
      <w:pPr>
        <w:pStyle w:val="Prrafodelista"/>
        <w:numPr>
          <w:ilvl w:val="0"/>
          <w:numId w:val="13"/>
        </w:numPr>
        <w:spacing w:before="240" w:line="240" w:lineRule="auto"/>
        <w:jc w:val="both"/>
        <w:rPr>
          <w:rFonts w:ascii="Garamond" w:hAnsi="Garamond" w:cs="Arial"/>
          <w:color w:val="auto"/>
          <w:sz w:val="24"/>
          <w:szCs w:val="24"/>
        </w:rPr>
      </w:pPr>
      <w:r w:rsidRPr="003A1174">
        <w:rPr>
          <w:rFonts w:ascii="Garamond" w:hAnsi="Garamond" w:cs="Arial"/>
          <w:color w:val="auto"/>
          <w:sz w:val="24"/>
          <w:szCs w:val="24"/>
          <w:lang w:val="pt-PT"/>
        </w:rPr>
        <w:t>Cumprimento</w:t>
      </w:r>
      <w:r w:rsidR="009859FC" w:rsidRPr="003A1174">
        <w:rPr>
          <w:rFonts w:ascii="Garamond" w:hAnsi="Garamond" w:cs="Arial"/>
          <w:color w:val="auto"/>
          <w:sz w:val="24"/>
          <w:szCs w:val="24"/>
        </w:rPr>
        <w:t xml:space="preserve"> d</w:t>
      </w:r>
      <w:r w:rsidR="00F950B2" w:rsidRPr="003A1174">
        <w:rPr>
          <w:rFonts w:ascii="Garamond" w:hAnsi="Garamond" w:cs="Arial"/>
          <w:color w:val="auto"/>
          <w:sz w:val="24"/>
          <w:szCs w:val="24"/>
        </w:rPr>
        <w:t>a</w:t>
      </w:r>
      <w:r w:rsidR="009859FC" w:rsidRPr="003A1174">
        <w:rPr>
          <w:rFonts w:ascii="Garamond" w:hAnsi="Garamond" w:cs="Arial"/>
          <w:color w:val="auto"/>
          <w:sz w:val="24"/>
          <w:szCs w:val="24"/>
        </w:rPr>
        <w:t>s</w:t>
      </w:r>
      <w:r w:rsidR="00F950B2" w:rsidRPr="003A1174">
        <w:rPr>
          <w:rFonts w:ascii="Garamond" w:hAnsi="Garamond" w:cs="Arial"/>
          <w:color w:val="auto"/>
          <w:sz w:val="24"/>
          <w:szCs w:val="24"/>
        </w:rPr>
        <w:t xml:space="preserve"> </w:t>
      </w:r>
      <w:r w:rsidR="00FB76BE" w:rsidRPr="003A1174">
        <w:rPr>
          <w:rFonts w:ascii="Garamond" w:hAnsi="Garamond" w:cs="Arial"/>
          <w:color w:val="auto"/>
          <w:sz w:val="24"/>
          <w:szCs w:val="24"/>
        </w:rPr>
        <w:t>normas</w:t>
      </w:r>
      <w:r w:rsidR="00F950B2" w:rsidRPr="003A1174">
        <w:rPr>
          <w:rFonts w:ascii="Garamond" w:hAnsi="Garamond" w:cs="Arial"/>
          <w:color w:val="auto"/>
          <w:sz w:val="24"/>
          <w:szCs w:val="24"/>
        </w:rPr>
        <w:t xml:space="preserve"> </w:t>
      </w:r>
    </w:p>
    <w:p w:rsidR="00CA39B2" w:rsidRPr="003A1174" w:rsidRDefault="00CA39B2" w:rsidP="008719D4">
      <w:pPr>
        <w:spacing w:before="240" w:line="240" w:lineRule="auto"/>
        <w:jc w:val="both"/>
        <w:rPr>
          <w:rFonts w:ascii="Garamond" w:hAnsi="Garamond" w:cs="Arial"/>
          <w:i/>
          <w:sz w:val="24"/>
          <w:szCs w:val="24"/>
          <w:u w:val="single"/>
        </w:rPr>
      </w:pPr>
      <w:r w:rsidRPr="003A1174">
        <w:rPr>
          <w:rFonts w:ascii="Garamond" w:hAnsi="Garamond" w:cs="Arial"/>
          <w:sz w:val="24"/>
          <w:szCs w:val="24"/>
        </w:rPr>
        <w:t>E</w:t>
      </w:r>
      <w:r w:rsidR="009859FC" w:rsidRPr="003A1174">
        <w:rPr>
          <w:rFonts w:ascii="Garamond" w:hAnsi="Garamond" w:cs="Arial"/>
          <w:sz w:val="24"/>
          <w:szCs w:val="24"/>
        </w:rPr>
        <w:t>m</w:t>
      </w:r>
      <w:r w:rsidRPr="003A1174">
        <w:rPr>
          <w:rFonts w:ascii="Garamond" w:hAnsi="Garamond" w:cs="Arial"/>
          <w:sz w:val="24"/>
          <w:szCs w:val="24"/>
        </w:rPr>
        <w:t xml:space="preserve"> </w:t>
      </w:r>
      <w:r w:rsidR="00152A44" w:rsidRPr="003A1174">
        <w:rPr>
          <w:rFonts w:ascii="Garamond" w:hAnsi="Garamond" w:cs="Arial"/>
          <w:sz w:val="24"/>
          <w:szCs w:val="24"/>
        </w:rPr>
        <w:t>relação</w:t>
      </w:r>
      <w:r w:rsidRPr="003A1174">
        <w:rPr>
          <w:rFonts w:ascii="Garamond" w:hAnsi="Garamond" w:cs="Arial"/>
          <w:sz w:val="24"/>
          <w:szCs w:val="24"/>
        </w:rPr>
        <w:t xml:space="preserve"> </w:t>
      </w:r>
      <w:r w:rsidR="009859FC" w:rsidRPr="003A1174">
        <w:rPr>
          <w:rFonts w:ascii="Garamond" w:hAnsi="Garamond" w:cs="Arial"/>
          <w:sz w:val="24"/>
          <w:szCs w:val="24"/>
        </w:rPr>
        <w:t xml:space="preserve">ao </w:t>
      </w:r>
      <w:r w:rsidR="00D96FD0" w:rsidRPr="003A1174">
        <w:rPr>
          <w:rFonts w:ascii="Garamond" w:hAnsi="Garamond" w:cs="Arial"/>
          <w:sz w:val="24"/>
          <w:szCs w:val="24"/>
        </w:rPr>
        <w:t>cumprimento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BA3CCE" w:rsidRPr="003A1174">
        <w:rPr>
          <w:rFonts w:ascii="Garamond" w:hAnsi="Garamond" w:cs="Arial"/>
          <w:sz w:val="24"/>
          <w:szCs w:val="24"/>
        </w:rPr>
        <w:t>normas</w:t>
      </w:r>
      <w:r w:rsidRPr="003A1174">
        <w:rPr>
          <w:rFonts w:ascii="Garamond" w:hAnsi="Garamond" w:cs="Arial"/>
          <w:sz w:val="24"/>
          <w:szCs w:val="24"/>
        </w:rPr>
        <w:t xml:space="preserve"> vigentes</w:t>
      </w:r>
      <w:r w:rsidR="00B7313A">
        <w:rPr>
          <w:rFonts w:ascii="Garamond" w:hAnsi="Garamond" w:cs="Arial"/>
          <w:sz w:val="24"/>
          <w:szCs w:val="24"/>
        </w:rPr>
        <w:t>,</w:t>
      </w:r>
      <w:r w:rsidRPr="003A1174">
        <w:rPr>
          <w:rFonts w:ascii="Garamond" w:hAnsi="Garamond" w:cs="Arial"/>
          <w:sz w:val="24"/>
          <w:szCs w:val="24"/>
        </w:rPr>
        <w:t xml:space="preserve"> </w:t>
      </w:r>
      <w:r w:rsidR="009859FC" w:rsidRPr="003A1174">
        <w:rPr>
          <w:rFonts w:ascii="Garamond" w:hAnsi="Garamond" w:cs="Arial"/>
          <w:sz w:val="24"/>
          <w:szCs w:val="24"/>
        </w:rPr>
        <w:t xml:space="preserve">no </w:t>
      </w:r>
      <w:r w:rsidR="00C30647" w:rsidRPr="003A1174">
        <w:rPr>
          <w:rFonts w:ascii="Garamond" w:hAnsi="Garamond" w:cs="Arial"/>
          <w:sz w:val="24"/>
          <w:szCs w:val="24"/>
        </w:rPr>
        <w:t>Uruguai</w:t>
      </w:r>
      <w:r w:rsidR="00B7313A">
        <w:rPr>
          <w:rFonts w:ascii="Garamond" w:hAnsi="Garamond" w:cs="Arial"/>
          <w:sz w:val="24"/>
          <w:szCs w:val="24"/>
        </w:rPr>
        <w:t>,</w:t>
      </w:r>
      <w:r w:rsidRPr="003A1174">
        <w:rPr>
          <w:rFonts w:ascii="Garamond" w:hAnsi="Garamond" w:cs="Arial"/>
          <w:sz w:val="24"/>
          <w:szCs w:val="24"/>
        </w:rPr>
        <w:t xml:space="preserve"> </w:t>
      </w:r>
      <w:r w:rsidR="009859FC" w:rsidRPr="003A1174">
        <w:rPr>
          <w:rFonts w:ascii="Garamond" w:hAnsi="Garamond" w:cs="Arial"/>
          <w:sz w:val="24"/>
          <w:szCs w:val="24"/>
        </w:rPr>
        <w:t xml:space="preserve">relativamente ao </w:t>
      </w:r>
      <w:r w:rsidR="00886D6A" w:rsidRPr="003A1174">
        <w:rPr>
          <w:rFonts w:ascii="Garamond" w:hAnsi="Garamond" w:cs="Arial"/>
          <w:sz w:val="24"/>
          <w:szCs w:val="24"/>
        </w:rPr>
        <w:t>acesso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Pr="003A1174">
        <w:rPr>
          <w:rFonts w:ascii="Garamond" w:hAnsi="Garamond" w:cs="Arial"/>
          <w:sz w:val="24"/>
          <w:szCs w:val="24"/>
        </w:rPr>
        <w:t xml:space="preserve"> doméstica</w:t>
      </w:r>
      <w:r w:rsidR="00B7313A">
        <w:rPr>
          <w:rFonts w:ascii="Garamond" w:hAnsi="Garamond" w:cs="Arial"/>
          <w:sz w:val="24"/>
          <w:szCs w:val="24"/>
        </w:rPr>
        <w:t xml:space="preserve"> à justiça</w:t>
      </w:r>
      <w:r w:rsidRPr="003A1174">
        <w:rPr>
          <w:rFonts w:ascii="Garamond" w:hAnsi="Garamond" w:cs="Arial"/>
          <w:sz w:val="24"/>
          <w:szCs w:val="24"/>
        </w:rPr>
        <w:t xml:space="preserve">, </w:t>
      </w:r>
      <w:r w:rsidR="007407BD" w:rsidRPr="003A1174">
        <w:rPr>
          <w:rFonts w:ascii="Garamond" w:hAnsi="Garamond" w:cs="Arial"/>
          <w:sz w:val="24"/>
          <w:szCs w:val="24"/>
        </w:rPr>
        <w:t>podem</w:t>
      </w:r>
      <w:r w:rsidR="009859FC" w:rsidRPr="003A1174">
        <w:rPr>
          <w:rFonts w:ascii="Garamond" w:hAnsi="Garamond" w:cs="Arial"/>
          <w:sz w:val="24"/>
          <w:szCs w:val="24"/>
        </w:rPr>
        <w:t>-se</w:t>
      </w:r>
      <w:r w:rsidRPr="003A1174">
        <w:rPr>
          <w:rFonts w:ascii="Garamond" w:hAnsi="Garamond" w:cs="Arial"/>
          <w:sz w:val="24"/>
          <w:szCs w:val="24"/>
        </w:rPr>
        <w:t xml:space="preserve"> mencionar </w:t>
      </w:r>
      <w:r w:rsidR="00CD707D" w:rsidRPr="003A1174">
        <w:rPr>
          <w:rFonts w:ascii="Garamond" w:hAnsi="Garamond" w:cs="Arial"/>
          <w:sz w:val="24"/>
          <w:szCs w:val="24"/>
        </w:rPr>
        <w:t>alguma</w:t>
      </w:r>
      <w:r w:rsidRPr="003A1174">
        <w:rPr>
          <w:rFonts w:ascii="Garamond" w:hAnsi="Garamond" w:cs="Arial"/>
          <w:sz w:val="24"/>
          <w:szCs w:val="24"/>
        </w:rPr>
        <w:t xml:space="preserve">s </w:t>
      </w:r>
      <w:r w:rsidR="002C7510" w:rsidRPr="003A1174">
        <w:rPr>
          <w:rFonts w:ascii="Garamond" w:hAnsi="Garamond" w:cs="Arial"/>
          <w:sz w:val="24"/>
          <w:szCs w:val="24"/>
        </w:rPr>
        <w:t>ações</w:t>
      </w:r>
      <w:proofErr w:type="gramStart"/>
      <w:r w:rsidRPr="003A1174">
        <w:rPr>
          <w:rFonts w:ascii="Garamond" w:hAnsi="Garamond" w:cs="Arial"/>
          <w:sz w:val="24"/>
          <w:szCs w:val="24"/>
        </w:rPr>
        <w:t xml:space="preserve"> </w:t>
      </w:r>
      <w:r w:rsidR="00B7313A">
        <w:rPr>
          <w:rFonts w:ascii="Garamond" w:hAnsi="Garamond" w:cs="Arial"/>
          <w:sz w:val="24"/>
          <w:szCs w:val="24"/>
        </w:rPr>
        <w:t xml:space="preserve"> </w:t>
      </w:r>
      <w:proofErr w:type="gramEnd"/>
      <w:r w:rsidR="00B7313A">
        <w:rPr>
          <w:rFonts w:ascii="Garamond" w:hAnsi="Garamond" w:cs="Arial"/>
          <w:sz w:val="24"/>
          <w:szCs w:val="24"/>
        </w:rPr>
        <w:t>Positivas.</w:t>
      </w:r>
      <w:r w:rsidR="002B5F3A">
        <w:rPr>
          <w:rFonts w:ascii="Garamond" w:hAnsi="Garamond" w:cs="Arial"/>
          <w:sz w:val="24"/>
          <w:szCs w:val="24"/>
        </w:rPr>
        <w:t xml:space="preserve"> </w:t>
      </w:r>
      <w:r w:rsidR="009B133A" w:rsidRPr="003A1174">
        <w:rPr>
          <w:rFonts w:ascii="Garamond" w:hAnsi="Garamond" w:cs="Arial"/>
          <w:sz w:val="24"/>
          <w:szCs w:val="24"/>
        </w:rPr>
        <w:t>Especificamente</w:t>
      </w:r>
      <w:r w:rsidR="00F25502" w:rsidRPr="003A1174">
        <w:rPr>
          <w:rFonts w:ascii="Garamond" w:hAnsi="Garamond" w:cs="Arial"/>
          <w:sz w:val="24"/>
          <w:szCs w:val="24"/>
        </w:rPr>
        <w:t>,</w:t>
      </w:r>
      <w:r w:rsidRPr="003A1174">
        <w:rPr>
          <w:rFonts w:ascii="Garamond" w:hAnsi="Garamond" w:cs="Arial"/>
          <w:sz w:val="24"/>
          <w:szCs w:val="24"/>
        </w:rPr>
        <w:t xml:space="preserve"> </w:t>
      </w:r>
      <w:r w:rsidR="009859FC" w:rsidRPr="003A1174">
        <w:rPr>
          <w:rFonts w:ascii="Garamond" w:hAnsi="Garamond" w:cs="Arial"/>
          <w:sz w:val="24"/>
          <w:szCs w:val="24"/>
        </w:rPr>
        <w:t xml:space="preserve">através da </w:t>
      </w:r>
      <w:r w:rsidR="00201889" w:rsidRPr="003A1174">
        <w:rPr>
          <w:rFonts w:ascii="Garamond" w:hAnsi="Garamond" w:cs="Arial"/>
          <w:sz w:val="24"/>
          <w:szCs w:val="24"/>
        </w:rPr>
        <w:t>criação</w:t>
      </w:r>
      <w:r w:rsidRPr="003A1174">
        <w:rPr>
          <w:rFonts w:ascii="Garamond" w:hAnsi="Garamond" w:cs="Arial"/>
          <w:sz w:val="24"/>
          <w:szCs w:val="24"/>
        </w:rPr>
        <w:t xml:space="preserve"> da Divis</w:t>
      </w:r>
      <w:r w:rsidR="009859FC" w:rsidRPr="003A1174">
        <w:rPr>
          <w:rFonts w:ascii="Garamond" w:hAnsi="Garamond" w:cs="Arial"/>
          <w:sz w:val="24"/>
          <w:szCs w:val="24"/>
        </w:rPr>
        <w:t xml:space="preserve">ão </w:t>
      </w:r>
      <w:r w:rsidR="00B7313A">
        <w:rPr>
          <w:rFonts w:ascii="Garamond" w:hAnsi="Garamond" w:cs="Arial"/>
          <w:sz w:val="24"/>
          <w:szCs w:val="24"/>
        </w:rPr>
        <w:t xml:space="preserve">de </w:t>
      </w:r>
      <w:r w:rsidRPr="003A1174">
        <w:rPr>
          <w:rFonts w:ascii="Garamond" w:hAnsi="Garamond" w:cs="Arial"/>
          <w:sz w:val="24"/>
          <w:szCs w:val="24"/>
        </w:rPr>
        <w:t xml:space="preserve">Políticas de Género, </w:t>
      </w:r>
      <w:r w:rsidR="009859FC" w:rsidRPr="003A1174">
        <w:rPr>
          <w:rFonts w:ascii="Garamond" w:hAnsi="Garamond" w:cs="Arial"/>
          <w:sz w:val="24"/>
          <w:szCs w:val="24"/>
        </w:rPr>
        <w:t xml:space="preserve">o </w:t>
      </w:r>
      <w:r w:rsidR="00D77C19" w:rsidRPr="003A1174">
        <w:rPr>
          <w:rFonts w:ascii="Garamond" w:hAnsi="Garamond" w:cs="Arial"/>
          <w:sz w:val="24"/>
          <w:szCs w:val="24"/>
        </w:rPr>
        <w:t>Ministério</w:t>
      </w:r>
      <w:r w:rsidR="00F25502" w:rsidRPr="003A1174">
        <w:rPr>
          <w:rFonts w:ascii="Garamond" w:hAnsi="Garamond" w:cs="Arial"/>
          <w:sz w:val="24"/>
          <w:szCs w:val="24"/>
        </w:rPr>
        <w:t xml:space="preserve"> </w:t>
      </w:r>
      <w:r w:rsidR="008A3DA2" w:rsidRPr="003A1174">
        <w:rPr>
          <w:rFonts w:ascii="Garamond" w:hAnsi="Garamond" w:cs="Arial"/>
          <w:sz w:val="24"/>
          <w:szCs w:val="24"/>
        </w:rPr>
        <w:t>do</w:t>
      </w:r>
      <w:r w:rsidR="00F25502" w:rsidRPr="003A1174">
        <w:rPr>
          <w:rFonts w:ascii="Garamond" w:hAnsi="Garamond" w:cs="Arial"/>
          <w:sz w:val="24"/>
          <w:szCs w:val="24"/>
        </w:rPr>
        <w:t xml:space="preserve"> Interior </w:t>
      </w:r>
      <w:r w:rsidR="009859FC" w:rsidRPr="003A1174">
        <w:rPr>
          <w:rFonts w:ascii="Garamond" w:hAnsi="Garamond" w:cs="Arial"/>
          <w:sz w:val="24"/>
          <w:szCs w:val="24"/>
        </w:rPr>
        <w:t xml:space="preserve">desenvolveu </w:t>
      </w:r>
      <w:r w:rsidR="00B7313A">
        <w:rPr>
          <w:rFonts w:ascii="Garamond" w:hAnsi="Garamond" w:cs="Arial"/>
          <w:sz w:val="24"/>
          <w:szCs w:val="24"/>
        </w:rPr>
        <w:t xml:space="preserve">diversos pontos </w:t>
      </w:r>
      <w:r w:rsidRPr="003A1174">
        <w:rPr>
          <w:rFonts w:ascii="Garamond" w:hAnsi="Garamond" w:cs="Arial"/>
          <w:sz w:val="24"/>
          <w:szCs w:val="24"/>
        </w:rPr>
        <w:t>estratégicos:</w:t>
      </w:r>
    </w:p>
    <w:p w:rsidR="00CA39B2" w:rsidRPr="003A1174" w:rsidRDefault="009859FC" w:rsidP="008719D4">
      <w:pPr>
        <w:pStyle w:val="Prrafodelista"/>
        <w:numPr>
          <w:ilvl w:val="0"/>
          <w:numId w:val="1"/>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Melhoria d</w:t>
      </w:r>
      <w:r w:rsidR="00CA39B2"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atuação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profissionalização</w:t>
      </w:r>
      <w:r w:rsidR="00CA39B2" w:rsidRPr="003A1174">
        <w:rPr>
          <w:rFonts w:ascii="Garamond" w:hAnsi="Garamond" w:cs="Arial"/>
          <w:color w:val="auto"/>
          <w:sz w:val="24"/>
          <w:szCs w:val="24"/>
          <w:lang w:val="pt-PT"/>
        </w:rPr>
        <w:t xml:space="preserve"> policial:</w:t>
      </w:r>
    </w:p>
    <w:p w:rsidR="00CA39B2" w:rsidRPr="003A1174" w:rsidRDefault="009859FC" w:rsidP="00B7313A">
      <w:pPr>
        <w:pStyle w:val="Prrafodelista"/>
        <w:tabs>
          <w:tab w:val="clear" w:pos="708"/>
        </w:tabs>
        <w:spacing w:before="240" w:line="240" w:lineRule="auto"/>
        <w:ind w:left="567"/>
        <w:jc w:val="both"/>
        <w:rPr>
          <w:rFonts w:ascii="Garamond" w:hAnsi="Garamond" w:cs="Arial"/>
          <w:i/>
          <w:color w:val="auto"/>
          <w:sz w:val="24"/>
          <w:szCs w:val="24"/>
          <w:u w:val="single"/>
          <w:lang w:val="pt-PT"/>
        </w:rPr>
      </w:pPr>
      <w:r w:rsidRPr="003A1174">
        <w:rPr>
          <w:rFonts w:ascii="Garamond" w:hAnsi="Garamond" w:cs="Arial"/>
          <w:color w:val="auto"/>
          <w:sz w:val="24"/>
          <w:szCs w:val="24"/>
          <w:lang w:val="pt-PT"/>
        </w:rPr>
        <w:t>A</w:t>
      </w:r>
      <w:r w:rsidR="00CA39B2" w:rsidRPr="003A1174">
        <w:rPr>
          <w:rFonts w:ascii="Garamond" w:hAnsi="Garamond" w:cs="Arial"/>
          <w:color w:val="auto"/>
          <w:sz w:val="24"/>
          <w:szCs w:val="24"/>
          <w:lang w:val="pt-PT"/>
        </w:rPr>
        <w:t>ument</w:t>
      </w:r>
      <w:r w:rsidRPr="003A1174">
        <w:rPr>
          <w:rFonts w:ascii="Garamond" w:hAnsi="Garamond" w:cs="Arial"/>
          <w:color w:val="auto"/>
          <w:sz w:val="24"/>
          <w:szCs w:val="24"/>
          <w:lang w:val="pt-PT"/>
        </w:rPr>
        <w:t xml:space="preserve">ou-se o </w:t>
      </w:r>
      <w:r w:rsidR="00F25502" w:rsidRPr="003A1174">
        <w:rPr>
          <w:rFonts w:ascii="Garamond" w:hAnsi="Garamond" w:cs="Arial"/>
          <w:color w:val="auto"/>
          <w:sz w:val="24"/>
          <w:szCs w:val="24"/>
          <w:lang w:val="pt-PT"/>
        </w:rPr>
        <w:t>número de</w:t>
      </w:r>
      <w:r w:rsidR="00CA39B2" w:rsidRPr="003A1174">
        <w:rPr>
          <w:rFonts w:ascii="Garamond" w:hAnsi="Garamond" w:cs="Arial"/>
          <w:color w:val="auto"/>
          <w:sz w:val="24"/>
          <w:szCs w:val="24"/>
          <w:lang w:val="pt-PT"/>
        </w:rPr>
        <w:t xml:space="preserve"> Unidades Especializadas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w:t>
      </w:r>
      <w:r w:rsidR="00B7313A">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todo </w:t>
      </w:r>
      <w:r w:rsidRPr="003A1174">
        <w:rPr>
          <w:rFonts w:ascii="Garamond" w:hAnsi="Garamond" w:cs="Arial"/>
          <w:color w:val="auto"/>
          <w:sz w:val="24"/>
          <w:szCs w:val="24"/>
          <w:lang w:val="pt-PT"/>
        </w:rPr>
        <w:t xml:space="preserve">o </w:t>
      </w:r>
      <w:r w:rsidR="00CA39B2" w:rsidRPr="003A1174">
        <w:rPr>
          <w:rFonts w:ascii="Garamond" w:hAnsi="Garamond" w:cs="Arial"/>
          <w:color w:val="auto"/>
          <w:sz w:val="24"/>
          <w:szCs w:val="24"/>
          <w:lang w:val="pt-PT"/>
        </w:rPr>
        <w:t>país, cr</w:t>
      </w:r>
      <w:r w:rsidRPr="003A1174">
        <w:rPr>
          <w:rFonts w:ascii="Garamond" w:hAnsi="Garamond" w:cs="Arial"/>
          <w:color w:val="auto"/>
          <w:sz w:val="24"/>
          <w:szCs w:val="24"/>
          <w:lang w:val="pt-PT"/>
        </w:rPr>
        <w:t xml:space="preserve">iando-se </w:t>
      </w:r>
      <w:r w:rsidR="00CA39B2"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Direção</w:t>
      </w:r>
      <w:r w:rsidR="00CA39B2" w:rsidRPr="003A1174">
        <w:rPr>
          <w:rFonts w:ascii="Garamond" w:hAnsi="Garamond" w:cs="Arial"/>
          <w:color w:val="auto"/>
          <w:sz w:val="24"/>
          <w:szCs w:val="24"/>
          <w:lang w:val="pt-PT"/>
        </w:rPr>
        <w:t xml:space="preserve"> Nacional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CA39B2"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w:t>
      </w:r>
      <w:r w:rsidR="00F25502"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Celebrou-se um acordo c</w:t>
      </w:r>
      <w:r w:rsidR="00CA39B2"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m o </w:t>
      </w:r>
      <w:r w:rsidR="00CA39B2" w:rsidRPr="003A1174">
        <w:rPr>
          <w:rFonts w:ascii="Garamond" w:hAnsi="Garamond" w:cs="Arial"/>
          <w:color w:val="auto"/>
          <w:sz w:val="24"/>
          <w:szCs w:val="24"/>
          <w:lang w:val="pt-PT"/>
        </w:rPr>
        <w:t>LATU (</w:t>
      </w:r>
      <w:r w:rsidRPr="003A1174">
        <w:rPr>
          <w:rFonts w:ascii="Garamond" w:hAnsi="Garamond" w:cs="Arial"/>
          <w:color w:val="auto"/>
          <w:sz w:val="24"/>
          <w:szCs w:val="24"/>
          <w:lang w:val="pt-PT"/>
        </w:rPr>
        <w:t>Laboratório</w:t>
      </w:r>
      <w:r w:rsidR="00CA39B2" w:rsidRPr="003A1174">
        <w:rPr>
          <w:rFonts w:ascii="Garamond" w:hAnsi="Garamond" w:cs="Arial"/>
          <w:color w:val="auto"/>
          <w:sz w:val="24"/>
          <w:szCs w:val="24"/>
          <w:lang w:val="pt-PT"/>
        </w:rPr>
        <w:t xml:space="preserve"> Tecnológico </w:t>
      </w:r>
      <w:r w:rsidR="008A3DA2"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Uruguai</w:t>
      </w:r>
      <w:r w:rsidRPr="003A1174">
        <w:rPr>
          <w:rFonts w:ascii="Garamond" w:hAnsi="Garamond" w:cs="Arial"/>
          <w:color w:val="auto"/>
          <w:sz w:val="24"/>
          <w:szCs w:val="24"/>
          <w:lang w:val="pt-PT"/>
        </w:rPr>
        <w:t>) para melhoria</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B7313A">
        <w:rPr>
          <w:rFonts w:ascii="Garamond" w:hAnsi="Garamond" w:cs="Arial"/>
          <w:color w:val="auto"/>
          <w:sz w:val="24"/>
          <w:szCs w:val="24"/>
          <w:lang w:val="pt-PT"/>
        </w:rPr>
        <w:lastRenderedPageBreak/>
        <w:t xml:space="preserve">acompanhamento </w:t>
      </w:r>
      <w:r w:rsidRPr="003A1174">
        <w:rPr>
          <w:rFonts w:ascii="Garamond" w:hAnsi="Garamond" w:cs="Arial"/>
          <w:color w:val="auto"/>
          <w:sz w:val="24"/>
          <w:szCs w:val="24"/>
          <w:lang w:val="pt-PT"/>
        </w:rPr>
        <w:t>d</w:t>
      </w:r>
      <w:r w:rsidR="00CA39B2"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atuação</w:t>
      </w:r>
      <w:r w:rsidR="00CA39B2" w:rsidRPr="003A1174">
        <w:rPr>
          <w:rFonts w:ascii="Garamond" w:hAnsi="Garamond" w:cs="Arial"/>
          <w:color w:val="auto"/>
          <w:sz w:val="24"/>
          <w:szCs w:val="24"/>
          <w:lang w:val="pt-PT"/>
        </w:rPr>
        <w:t xml:space="preserve"> policial; implement</w:t>
      </w:r>
      <w:r w:rsidRPr="003A1174">
        <w:rPr>
          <w:rFonts w:ascii="Garamond" w:hAnsi="Garamond" w:cs="Arial"/>
          <w:color w:val="auto"/>
          <w:sz w:val="24"/>
          <w:szCs w:val="24"/>
          <w:lang w:val="pt-PT"/>
        </w:rPr>
        <w:t>ou-se uma tecnologia</w:t>
      </w:r>
      <w:r w:rsidR="00CA39B2" w:rsidRPr="003A1174">
        <w:rPr>
          <w:rFonts w:ascii="Garamond" w:hAnsi="Garamond" w:cs="Arial"/>
          <w:color w:val="auto"/>
          <w:sz w:val="24"/>
          <w:szCs w:val="24"/>
          <w:lang w:val="pt-PT"/>
        </w:rPr>
        <w:t xml:space="preserve"> de </w:t>
      </w:r>
      <w:r w:rsidRPr="003A1174">
        <w:rPr>
          <w:rFonts w:ascii="Garamond" w:hAnsi="Garamond" w:cs="Arial"/>
          <w:color w:val="auto"/>
          <w:sz w:val="24"/>
          <w:szCs w:val="24"/>
          <w:lang w:val="pt-PT"/>
        </w:rPr>
        <w:t>localização</w:t>
      </w:r>
      <w:r w:rsidR="002E3605" w:rsidRPr="003A1174">
        <w:rPr>
          <w:rFonts w:ascii="Garamond" w:hAnsi="Garamond" w:cs="Arial"/>
          <w:color w:val="auto"/>
          <w:sz w:val="24"/>
          <w:szCs w:val="24"/>
          <w:lang w:val="pt-PT"/>
        </w:rPr>
        <w:t>, (</w:t>
      </w:r>
      <w:r w:rsidR="002E3605" w:rsidRPr="003A1174">
        <w:rPr>
          <w:rFonts w:ascii="Garamond" w:hAnsi="Garamond" w:cs="Arial"/>
          <w:i/>
          <w:color w:val="auto"/>
          <w:sz w:val="24"/>
          <w:szCs w:val="24"/>
          <w:lang w:val="pt-PT"/>
        </w:rPr>
        <w:t>tobilleras</w:t>
      </w:r>
      <w:r w:rsidR="002E3605" w:rsidRPr="003A1174">
        <w:rPr>
          <w:rFonts w:ascii="Garamond" w:hAnsi="Garamond" w:cs="Arial"/>
          <w:color w:val="auto"/>
          <w:sz w:val="24"/>
          <w:szCs w:val="24"/>
          <w:lang w:val="pt-PT"/>
        </w:rPr>
        <w:t xml:space="preserve">, que </w:t>
      </w:r>
      <w:r w:rsidR="00B7313A">
        <w:rPr>
          <w:rFonts w:ascii="Garamond" w:hAnsi="Garamond" w:cs="Arial"/>
          <w:color w:val="auto"/>
          <w:sz w:val="24"/>
          <w:szCs w:val="24"/>
          <w:lang w:val="pt-PT"/>
        </w:rPr>
        <w:t xml:space="preserve">consiste </w:t>
      </w:r>
      <w:r w:rsidR="002E3605" w:rsidRPr="003A1174">
        <w:rPr>
          <w:rFonts w:ascii="Garamond" w:hAnsi="Garamond" w:cs="Arial"/>
          <w:color w:val="auto"/>
          <w:sz w:val="24"/>
          <w:szCs w:val="24"/>
          <w:lang w:val="pt-PT"/>
        </w:rPr>
        <w:t xml:space="preserve">na </w:t>
      </w:r>
      <w:r w:rsidR="00632851" w:rsidRPr="003A1174">
        <w:rPr>
          <w:rFonts w:ascii="Garamond" w:hAnsi="Garamond" w:cs="Arial"/>
          <w:color w:val="auto"/>
          <w:sz w:val="24"/>
          <w:szCs w:val="24"/>
          <w:lang w:val="pt-PT"/>
        </w:rPr>
        <w:t>colocação de um pequeno aparelho que se pode acionar em caso de emergência</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defini</w:t>
      </w:r>
      <w:r w:rsidRPr="003A1174">
        <w:rPr>
          <w:rFonts w:ascii="Garamond" w:hAnsi="Garamond" w:cs="Arial"/>
          <w:color w:val="auto"/>
          <w:sz w:val="24"/>
          <w:szCs w:val="24"/>
          <w:lang w:val="pt-PT"/>
        </w:rPr>
        <w:t xml:space="preserve">ram-se </w:t>
      </w:r>
      <w:r w:rsidR="00CA39B2" w:rsidRPr="003A1174">
        <w:rPr>
          <w:rFonts w:ascii="Garamond" w:hAnsi="Garamond" w:cs="Arial"/>
          <w:color w:val="auto"/>
          <w:sz w:val="24"/>
          <w:szCs w:val="24"/>
          <w:lang w:val="pt-PT"/>
        </w:rPr>
        <w:t xml:space="preserve">metas </w:t>
      </w:r>
      <w:r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a </w:t>
      </w:r>
      <w:r w:rsidR="001C2738" w:rsidRPr="003A1174">
        <w:rPr>
          <w:rFonts w:ascii="Garamond" w:hAnsi="Garamond" w:cs="Arial"/>
          <w:color w:val="auto"/>
          <w:sz w:val="24"/>
          <w:szCs w:val="24"/>
          <w:lang w:val="pt-PT"/>
        </w:rPr>
        <w:t>luta</w:t>
      </w:r>
      <w:r w:rsidRPr="003A1174">
        <w:rPr>
          <w:rFonts w:ascii="Garamond" w:hAnsi="Garamond" w:cs="Arial"/>
          <w:color w:val="auto"/>
          <w:sz w:val="24"/>
          <w:szCs w:val="24"/>
          <w:lang w:val="pt-PT"/>
        </w:rPr>
        <w:t xml:space="preserve"> contra </w:t>
      </w:r>
      <w:r w:rsidR="00CA39B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doméstica para </w:t>
      </w:r>
      <w:r w:rsidR="00CA39B2" w:rsidRPr="003A1174">
        <w:rPr>
          <w:rFonts w:ascii="Garamond" w:hAnsi="Garamond" w:cs="Arial"/>
          <w:color w:val="auto"/>
          <w:sz w:val="24"/>
          <w:szCs w:val="24"/>
          <w:lang w:val="pt-PT"/>
        </w:rPr>
        <w:t xml:space="preserve">os </w:t>
      </w:r>
      <w:r w:rsidR="00731B19" w:rsidRPr="003A1174">
        <w:rPr>
          <w:rFonts w:ascii="Garamond" w:hAnsi="Garamond" w:cs="Arial"/>
          <w:color w:val="auto"/>
          <w:sz w:val="24"/>
          <w:szCs w:val="24"/>
          <w:lang w:val="pt-PT"/>
        </w:rPr>
        <w:t>compromisso</w:t>
      </w:r>
      <w:r w:rsidR="00CA39B2" w:rsidRPr="003A1174">
        <w:rPr>
          <w:rFonts w:ascii="Garamond" w:hAnsi="Garamond" w:cs="Arial"/>
          <w:color w:val="auto"/>
          <w:sz w:val="24"/>
          <w:szCs w:val="24"/>
          <w:lang w:val="pt-PT"/>
        </w:rPr>
        <w:t xml:space="preserve">s de </w:t>
      </w:r>
      <w:r w:rsidR="00D4575C" w:rsidRPr="003A1174">
        <w:rPr>
          <w:rFonts w:ascii="Garamond" w:hAnsi="Garamond" w:cs="Arial"/>
          <w:color w:val="auto"/>
          <w:sz w:val="24"/>
          <w:szCs w:val="24"/>
          <w:lang w:val="pt-PT"/>
        </w:rPr>
        <w:t>gestão</w:t>
      </w:r>
      <w:r w:rsidR="00CA39B2" w:rsidRPr="003A1174">
        <w:rPr>
          <w:rFonts w:ascii="Garamond" w:hAnsi="Garamond" w:cs="Arial"/>
          <w:color w:val="auto"/>
          <w:sz w:val="24"/>
          <w:szCs w:val="24"/>
          <w:lang w:val="pt-PT"/>
        </w:rPr>
        <w:t>.</w:t>
      </w:r>
    </w:p>
    <w:p w:rsidR="00CA39B2" w:rsidRPr="003A1174" w:rsidRDefault="006C760C" w:rsidP="008719D4">
      <w:pPr>
        <w:pStyle w:val="Prrafodelista"/>
        <w:numPr>
          <w:ilvl w:val="0"/>
          <w:numId w:val="1"/>
        </w:numPr>
        <w:spacing w:before="240" w:line="240" w:lineRule="auto"/>
        <w:jc w:val="both"/>
        <w:rPr>
          <w:rFonts w:ascii="Garamond" w:hAnsi="Garamond" w:cs="Arial"/>
          <w:iCs/>
          <w:color w:val="auto"/>
          <w:sz w:val="24"/>
          <w:szCs w:val="24"/>
          <w:u w:val="single"/>
          <w:lang w:val="pt-PT"/>
        </w:rPr>
      </w:pPr>
      <w:r w:rsidRPr="003A1174">
        <w:rPr>
          <w:rFonts w:ascii="Garamond" w:hAnsi="Garamond" w:cs="Arial"/>
          <w:color w:val="auto"/>
          <w:sz w:val="24"/>
          <w:szCs w:val="24"/>
          <w:lang w:val="pt-PT"/>
        </w:rPr>
        <w:t>Implementa</w:t>
      </w:r>
      <w:r w:rsidR="00B7313A">
        <w:rPr>
          <w:rFonts w:ascii="Garamond" w:hAnsi="Garamond" w:cs="Arial"/>
          <w:color w:val="auto"/>
          <w:sz w:val="24"/>
          <w:szCs w:val="24"/>
          <w:lang w:val="pt-PT"/>
        </w:rPr>
        <w:t>ram-se</w:t>
      </w:r>
      <w:r w:rsidR="00CA39B2" w:rsidRPr="003A1174">
        <w:rPr>
          <w:rFonts w:ascii="Garamond" w:hAnsi="Garamond" w:cs="Arial"/>
          <w:color w:val="auto"/>
          <w:sz w:val="24"/>
          <w:szCs w:val="24"/>
          <w:lang w:val="pt-PT"/>
        </w:rPr>
        <w:t xml:space="preserve"> di</w:t>
      </w:r>
      <w:r w:rsidR="009859FC" w:rsidRPr="003A1174">
        <w:rPr>
          <w:rFonts w:ascii="Garamond" w:hAnsi="Garamond" w:cs="Arial"/>
          <w:color w:val="auto"/>
          <w:sz w:val="24"/>
          <w:szCs w:val="24"/>
          <w:lang w:val="pt-PT"/>
        </w:rPr>
        <w:t xml:space="preserve">ferentes </w:t>
      </w:r>
      <w:r w:rsidR="00FB09CA" w:rsidRPr="003A1174">
        <w:rPr>
          <w:rFonts w:ascii="Garamond" w:hAnsi="Garamond" w:cs="Arial"/>
          <w:color w:val="auto"/>
          <w:sz w:val="24"/>
          <w:szCs w:val="24"/>
          <w:lang w:val="pt-PT"/>
        </w:rPr>
        <w:t>instância</w:t>
      </w:r>
      <w:r w:rsidR="00CA39B2" w:rsidRPr="003A1174">
        <w:rPr>
          <w:rFonts w:ascii="Garamond" w:hAnsi="Garamond" w:cs="Arial"/>
          <w:color w:val="auto"/>
          <w:sz w:val="24"/>
          <w:szCs w:val="24"/>
          <w:lang w:val="pt-PT"/>
        </w:rPr>
        <w:t xml:space="preserve">s de </w:t>
      </w:r>
      <w:r w:rsidR="002A71E1">
        <w:rPr>
          <w:rFonts w:ascii="Garamond" w:hAnsi="Garamond" w:cs="Arial"/>
          <w:color w:val="auto"/>
          <w:sz w:val="24"/>
          <w:szCs w:val="24"/>
          <w:lang w:val="pt-PT"/>
        </w:rPr>
        <w:t xml:space="preserve">formação </w:t>
      </w:r>
      <w:r w:rsidR="00B7313A">
        <w:rPr>
          <w:rFonts w:ascii="Garamond" w:hAnsi="Garamond" w:cs="Arial"/>
          <w:color w:val="auto"/>
          <w:sz w:val="24"/>
          <w:szCs w:val="24"/>
          <w:lang w:val="pt-PT"/>
        </w:rPr>
        <w:t xml:space="preserve">de reconhecimento oficial, </w:t>
      </w:r>
      <w:r w:rsidR="00CA39B2" w:rsidRPr="003A1174">
        <w:rPr>
          <w:rFonts w:ascii="Garamond" w:hAnsi="Garamond" w:cs="Arial"/>
          <w:color w:val="auto"/>
          <w:sz w:val="24"/>
          <w:szCs w:val="24"/>
          <w:lang w:val="pt-PT"/>
        </w:rPr>
        <w:t xml:space="preserve">tanto </w:t>
      </w:r>
      <w:r w:rsidR="009859FC" w:rsidRPr="003A1174">
        <w:rPr>
          <w:rFonts w:ascii="Garamond" w:hAnsi="Garamond" w:cs="Arial"/>
          <w:color w:val="auto"/>
          <w:sz w:val="24"/>
          <w:szCs w:val="24"/>
          <w:lang w:val="pt-PT"/>
        </w:rPr>
        <w:t>na admissão da força</w:t>
      </w:r>
      <w:r w:rsidR="00CA39B2" w:rsidRPr="003A1174">
        <w:rPr>
          <w:rFonts w:ascii="Garamond" w:hAnsi="Garamond" w:cs="Arial"/>
          <w:color w:val="auto"/>
          <w:sz w:val="24"/>
          <w:szCs w:val="24"/>
          <w:lang w:val="pt-PT"/>
        </w:rPr>
        <w:t xml:space="preserve"> policial como </w:t>
      </w:r>
      <w:r w:rsidR="009859FC" w:rsidRPr="003A1174">
        <w:rPr>
          <w:rFonts w:ascii="Garamond" w:hAnsi="Garamond" w:cs="Arial"/>
          <w:color w:val="auto"/>
          <w:sz w:val="24"/>
          <w:szCs w:val="24"/>
          <w:lang w:val="pt-PT"/>
        </w:rPr>
        <w:t>n</w:t>
      </w:r>
      <w:r w:rsidR="00632851" w:rsidRPr="003A1174">
        <w:rPr>
          <w:rFonts w:ascii="Garamond" w:hAnsi="Garamond" w:cs="Arial"/>
          <w:color w:val="auto"/>
          <w:sz w:val="24"/>
          <w:szCs w:val="24"/>
          <w:lang w:val="pt-PT"/>
        </w:rPr>
        <w:t xml:space="preserve">a equipa </w:t>
      </w:r>
      <w:r w:rsidR="00CA39B2" w:rsidRPr="003A1174">
        <w:rPr>
          <w:rFonts w:ascii="Garamond" w:hAnsi="Garamond" w:cs="Arial"/>
          <w:color w:val="auto"/>
          <w:sz w:val="24"/>
          <w:szCs w:val="24"/>
          <w:lang w:val="pt-PT"/>
        </w:rPr>
        <w:t xml:space="preserve">existente. </w:t>
      </w:r>
    </w:p>
    <w:p w:rsidR="00CA39B2" w:rsidRPr="003A1174" w:rsidRDefault="009859FC" w:rsidP="008719D4">
      <w:pPr>
        <w:pStyle w:val="Prrafodelista"/>
        <w:numPr>
          <w:ilvl w:val="0"/>
          <w:numId w:val="1"/>
        </w:numPr>
        <w:spacing w:before="240" w:line="240" w:lineRule="auto"/>
        <w:jc w:val="both"/>
        <w:rPr>
          <w:rFonts w:ascii="Garamond" w:hAnsi="Garamond" w:cs="Arial"/>
          <w:iCs/>
          <w:color w:val="auto"/>
          <w:sz w:val="24"/>
          <w:szCs w:val="24"/>
          <w:u w:val="single"/>
          <w:lang w:val="pt-PT"/>
        </w:rPr>
      </w:pPr>
      <w:r w:rsidRPr="003A1174">
        <w:rPr>
          <w:rFonts w:ascii="Garamond" w:hAnsi="Garamond" w:cs="Arial"/>
          <w:iCs/>
          <w:color w:val="auto"/>
          <w:sz w:val="24"/>
          <w:szCs w:val="24"/>
          <w:lang w:val="pt-PT"/>
        </w:rPr>
        <w:t>Melhor</w:t>
      </w:r>
      <w:r w:rsidR="00B7313A">
        <w:rPr>
          <w:rFonts w:ascii="Garamond" w:hAnsi="Garamond" w:cs="Arial"/>
          <w:iCs/>
          <w:color w:val="auto"/>
          <w:sz w:val="24"/>
          <w:szCs w:val="24"/>
          <w:lang w:val="pt-PT"/>
        </w:rPr>
        <w:t>ou-se a</w:t>
      </w:r>
      <w:r w:rsidR="00CA39B2" w:rsidRPr="003A1174">
        <w:rPr>
          <w:rFonts w:ascii="Garamond" w:hAnsi="Garamond" w:cs="Arial"/>
          <w:iCs/>
          <w:color w:val="auto"/>
          <w:sz w:val="24"/>
          <w:szCs w:val="24"/>
          <w:lang w:val="pt-PT"/>
        </w:rPr>
        <w:t xml:space="preserve"> </w:t>
      </w:r>
      <w:r w:rsidR="00B7313A">
        <w:rPr>
          <w:rFonts w:ascii="Garamond" w:hAnsi="Garamond" w:cs="Arial"/>
          <w:iCs/>
          <w:color w:val="auto"/>
          <w:sz w:val="24"/>
          <w:szCs w:val="24"/>
          <w:lang w:val="pt-PT"/>
        </w:rPr>
        <w:t xml:space="preserve">receção </w:t>
      </w:r>
      <w:r w:rsidR="00497503" w:rsidRPr="003A1174">
        <w:rPr>
          <w:rFonts w:ascii="Garamond" w:hAnsi="Garamond" w:cs="Arial"/>
          <w:iCs/>
          <w:color w:val="auto"/>
          <w:sz w:val="24"/>
          <w:szCs w:val="24"/>
          <w:lang w:val="pt-PT"/>
        </w:rPr>
        <w:t>e</w:t>
      </w:r>
      <w:r w:rsidR="00CA39B2" w:rsidRPr="003A1174">
        <w:rPr>
          <w:rFonts w:ascii="Garamond" w:hAnsi="Garamond" w:cs="Arial"/>
          <w:iCs/>
          <w:color w:val="auto"/>
          <w:sz w:val="24"/>
          <w:szCs w:val="24"/>
          <w:lang w:val="pt-PT"/>
        </w:rPr>
        <w:t xml:space="preserve"> </w:t>
      </w:r>
      <w:r w:rsidR="00077461" w:rsidRPr="003A1174">
        <w:rPr>
          <w:rFonts w:ascii="Garamond" w:hAnsi="Garamond" w:cs="Arial"/>
          <w:iCs/>
          <w:color w:val="auto"/>
          <w:sz w:val="24"/>
          <w:szCs w:val="24"/>
          <w:lang w:val="pt-PT"/>
        </w:rPr>
        <w:t>registo</w:t>
      </w:r>
      <w:r w:rsidR="00CA39B2" w:rsidRPr="003A1174">
        <w:rPr>
          <w:rFonts w:ascii="Garamond" w:hAnsi="Garamond" w:cs="Arial"/>
          <w:iCs/>
          <w:color w:val="auto"/>
          <w:sz w:val="24"/>
          <w:szCs w:val="24"/>
          <w:lang w:val="pt-PT"/>
        </w:rPr>
        <w:t xml:space="preserve"> </w:t>
      </w:r>
      <w:r w:rsidR="00497503" w:rsidRPr="003A1174">
        <w:rPr>
          <w:rFonts w:ascii="Garamond" w:hAnsi="Garamond" w:cs="Arial"/>
          <w:iCs/>
          <w:color w:val="auto"/>
          <w:sz w:val="24"/>
          <w:szCs w:val="24"/>
          <w:lang w:val="pt-PT"/>
        </w:rPr>
        <w:t>das</w:t>
      </w:r>
      <w:r w:rsidR="00CA39B2" w:rsidRPr="003A1174">
        <w:rPr>
          <w:rFonts w:ascii="Garamond" w:hAnsi="Garamond" w:cs="Arial"/>
          <w:iCs/>
          <w:color w:val="auto"/>
          <w:sz w:val="24"/>
          <w:szCs w:val="24"/>
          <w:lang w:val="pt-PT"/>
        </w:rPr>
        <w:t xml:space="preserve"> </w:t>
      </w:r>
      <w:r w:rsidR="008651AF" w:rsidRPr="003A1174">
        <w:rPr>
          <w:rFonts w:ascii="Garamond" w:hAnsi="Garamond" w:cs="Arial"/>
          <w:iCs/>
          <w:color w:val="auto"/>
          <w:sz w:val="24"/>
          <w:szCs w:val="24"/>
          <w:lang w:val="pt-PT"/>
        </w:rPr>
        <w:t>denúncia</w:t>
      </w:r>
      <w:r w:rsidR="00CA39B2" w:rsidRPr="003A1174">
        <w:rPr>
          <w:rFonts w:ascii="Garamond" w:hAnsi="Garamond" w:cs="Arial"/>
          <w:iCs/>
          <w:color w:val="auto"/>
          <w:sz w:val="24"/>
          <w:szCs w:val="24"/>
          <w:lang w:val="pt-PT"/>
        </w:rPr>
        <w:t>s</w:t>
      </w:r>
      <w:r w:rsidR="00E95446" w:rsidRPr="003A1174">
        <w:rPr>
          <w:rFonts w:ascii="Garamond" w:hAnsi="Garamond" w:cs="Arial"/>
          <w:iCs/>
          <w:color w:val="auto"/>
          <w:sz w:val="24"/>
          <w:szCs w:val="24"/>
          <w:lang w:val="pt-PT"/>
        </w:rPr>
        <w:t>,</w:t>
      </w:r>
      <w:r w:rsidR="00CA39B2" w:rsidRPr="003A1174">
        <w:rPr>
          <w:rFonts w:ascii="Garamond" w:hAnsi="Garamond" w:cs="Arial"/>
          <w:iCs/>
          <w:color w:val="auto"/>
          <w:sz w:val="24"/>
          <w:szCs w:val="24"/>
          <w:lang w:val="pt-PT"/>
        </w:rPr>
        <w:t xml:space="preserve"> </w:t>
      </w:r>
      <w:r w:rsidR="00497503" w:rsidRPr="003A1174">
        <w:rPr>
          <w:rFonts w:ascii="Garamond" w:hAnsi="Garamond" w:cs="Arial"/>
          <w:iCs/>
          <w:color w:val="auto"/>
          <w:sz w:val="24"/>
          <w:szCs w:val="24"/>
          <w:lang w:val="pt-PT"/>
        </w:rPr>
        <w:t>e</w:t>
      </w:r>
      <w:r w:rsidR="00CA39B2" w:rsidRPr="003A1174">
        <w:rPr>
          <w:rFonts w:ascii="Garamond" w:hAnsi="Garamond" w:cs="Arial"/>
          <w:iCs/>
          <w:color w:val="auto"/>
          <w:sz w:val="24"/>
          <w:szCs w:val="24"/>
          <w:lang w:val="pt-PT"/>
        </w:rPr>
        <w:t xml:space="preserve"> </w:t>
      </w:r>
      <w:r w:rsidR="00632851" w:rsidRPr="003A1174">
        <w:rPr>
          <w:rFonts w:ascii="Garamond" w:hAnsi="Garamond" w:cs="Arial"/>
          <w:iCs/>
          <w:color w:val="auto"/>
          <w:sz w:val="24"/>
          <w:szCs w:val="24"/>
          <w:lang w:val="pt-PT"/>
        </w:rPr>
        <w:t>a</w:t>
      </w:r>
      <w:r w:rsidR="00CA39B2" w:rsidRPr="003A1174">
        <w:rPr>
          <w:rFonts w:ascii="Garamond" w:hAnsi="Garamond" w:cs="Arial"/>
          <w:iCs/>
          <w:color w:val="auto"/>
          <w:sz w:val="24"/>
          <w:szCs w:val="24"/>
          <w:lang w:val="pt-PT"/>
        </w:rPr>
        <w:t>profund</w:t>
      </w:r>
      <w:r w:rsidR="00B7313A">
        <w:rPr>
          <w:rFonts w:ascii="Garamond" w:hAnsi="Garamond" w:cs="Arial"/>
          <w:iCs/>
          <w:color w:val="auto"/>
          <w:sz w:val="24"/>
          <w:szCs w:val="24"/>
          <w:lang w:val="pt-PT"/>
        </w:rPr>
        <w:t>ou-se</w:t>
      </w:r>
      <w:r w:rsidR="00632851" w:rsidRPr="003A1174">
        <w:rPr>
          <w:rFonts w:ascii="Garamond" w:hAnsi="Garamond" w:cs="Arial"/>
          <w:iCs/>
          <w:color w:val="auto"/>
          <w:sz w:val="24"/>
          <w:szCs w:val="24"/>
          <w:lang w:val="pt-PT"/>
        </w:rPr>
        <w:t xml:space="preserve"> </w:t>
      </w:r>
      <w:r w:rsidR="00B7313A">
        <w:rPr>
          <w:rFonts w:ascii="Garamond" w:hAnsi="Garamond" w:cs="Arial"/>
          <w:iCs/>
          <w:color w:val="auto"/>
          <w:sz w:val="24"/>
          <w:szCs w:val="24"/>
          <w:lang w:val="pt-PT"/>
        </w:rPr>
        <w:t xml:space="preserve">a </w:t>
      </w:r>
      <w:r w:rsidR="0017447A" w:rsidRPr="003A1174">
        <w:rPr>
          <w:rFonts w:ascii="Garamond" w:hAnsi="Garamond" w:cs="Arial"/>
          <w:iCs/>
          <w:color w:val="auto"/>
          <w:sz w:val="24"/>
          <w:szCs w:val="24"/>
          <w:lang w:val="pt-PT"/>
        </w:rPr>
        <w:t>análise</w:t>
      </w:r>
      <w:r w:rsidR="00CA39B2" w:rsidRPr="003A1174">
        <w:rPr>
          <w:rFonts w:ascii="Garamond" w:hAnsi="Garamond" w:cs="Arial"/>
          <w:iCs/>
          <w:color w:val="auto"/>
          <w:sz w:val="24"/>
          <w:szCs w:val="24"/>
          <w:lang w:val="pt-PT"/>
        </w:rPr>
        <w:t xml:space="preserve"> </w:t>
      </w:r>
      <w:r w:rsidR="00C15C97" w:rsidRPr="003A1174">
        <w:rPr>
          <w:rFonts w:ascii="Garamond" w:hAnsi="Garamond" w:cs="Arial"/>
          <w:iCs/>
          <w:color w:val="auto"/>
          <w:sz w:val="24"/>
          <w:szCs w:val="24"/>
          <w:lang w:val="pt-PT"/>
        </w:rPr>
        <w:t>estatística</w:t>
      </w:r>
      <w:r w:rsidR="00CA39B2" w:rsidRPr="003A1174">
        <w:rPr>
          <w:rFonts w:ascii="Garamond" w:hAnsi="Garamond" w:cs="Arial"/>
          <w:iCs/>
          <w:color w:val="auto"/>
          <w:sz w:val="24"/>
          <w:szCs w:val="24"/>
          <w:lang w:val="pt-PT"/>
        </w:rPr>
        <w:t xml:space="preserve"> </w:t>
      </w:r>
      <w:r w:rsidR="00497503" w:rsidRPr="003A1174">
        <w:rPr>
          <w:rFonts w:ascii="Garamond" w:hAnsi="Garamond" w:cs="Arial"/>
          <w:iCs/>
          <w:color w:val="auto"/>
          <w:sz w:val="24"/>
          <w:szCs w:val="24"/>
          <w:lang w:val="pt-PT"/>
        </w:rPr>
        <w:t>das</w:t>
      </w:r>
      <w:r w:rsidR="00CA39B2" w:rsidRPr="003A1174">
        <w:rPr>
          <w:rFonts w:ascii="Garamond" w:hAnsi="Garamond" w:cs="Arial"/>
          <w:iCs/>
          <w:color w:val="auto"/>
          <w:sz w:val="24"/>
          <w:szCs w:val="24"/>
          <w:lang w:val="pt-PT"/>
        </w:rPr>
        <w:t xml:space="preserve"> </w:t>
      </w:r>
      <w:r w:rsidR="007342D9" w:rsidRPr="003A1174">
        <w:rPr>
          <w:rFonts w:ascii="Garamond" w:hAnsi="Garamond" w:cs="Arial"/>
          <w:iCs/>
          <w:color w:val="auto"/>
          <w:sz w:val="24"/>
          <w:szCs w:val="24"/>
          <w:lang w:val="pt-PT"/>
        </w:rPr>
        <w:t>situações</w:t>
      </w:r>
      <w:r w:rsidR="00CA39B2" w:rsidRPr="003A1174">
        <w:rPr>
          <w:rFonts w:ascii="Garamond" w:hAnsi="Garamond" w:cs="Arial"/>
          <w:iCs/>
          <w:color w:val="auto"/>
          <w:sz w:val="24"/>
          <w:szCs w:val="24"/>
          <w:lang w:val="pt-PT"/>
        </w:rPr>
        <w:t xml:space="preserve"> de </w:t>
      </w:r>
      <w:r w:rsidR="000350B1" w:rsidRPr="003A1174">
        <w:rPr>
          <w:rFonts w:ascii="Garamond" w:hAnsi="Garamond" w:cs="Arial"/>
          <w:iCs/>
          <w:color w:val="auto"/>
          <w:sz w:val="24"/>
          <w:szCs w:val="24"/>
          <w:lang w:val="pt-PT"/>
        </w:rPr>
        <w:t>violência</w:t>
      </w:r>
      <w:r w:rsidR="00CA39B2" w:rsidRPr="003A1174">
        <w:rPr>
          <w:rFonts w:ascii="Garamond" w:hAnsi="Garamond" w:cs="Arial"/>
          <w:iCs/>
          <w:color w:val="auto"/>
          <w:sz w:val="24"/>
          <w:szCs w:val="24"/>
          <w:lang w:val="pt-PT"/>
        </w:rPr>
        <w:t xml:space="preserve"> doméstica.</w:t>
      </w:r>
    </w:p>
    <w:p w:rsidR="00CA39B2" w:rsidRPr="003A1174" w:rsidRDefault="00632851" w:rsidP="008719D4">
      <w:pPr>
        <w:snapToGrid w:val="0"/>
        <w:spacing w:before="240" w:line="240" w:lineRule="auto"/>
        <w:jc w:val="both"/>
        <w:rPr>
          <w:rFonts w:ascii="Garamond" w:hAnsi="Garamond" w:cs="Arial"/>
          <w:sz w:val="24"/>
          <w:szCs w:val="24"/>
        </w:rPr>
      </w:pPr>
      <w:r w:rsidRPr="003A1174">
        <w:rPr>
          <w:rFonts w:ascii="Garamond" w:hAnsi="Garamond" w:cs="Arial"/>
          <w:i/>
          <w:sz w:val="24"/>
          <w:szCs w:val="24"/>
        </w:rPr>
        <w:t xml:space="preserve">No que toca à </w:t>
      </w:r>
      <w:r w:rsidR="00CA39B2" w:rsidRPr="003A1174">
        <w:rPr>
          <w:rFonts w:ascii="Garamond" w:hAnsi="Garamond" w:cs="Arial"/>
          <w:i/>
          <w:sz w:val="24"/>
          <w:szCs w:val="24"/>
        </w:rPr>
        <w:t>coloca</w:t>
      </w:r>
      <w:r w:rsidRPr="003A1174">
        <w:rPr>
          <w:rFonts w:ascii="Garamond" w:hAnsi="Garamond" w:cs="Arial"/>
          <w:i/>
          <w:sz w:val="24"/>
          <w:szCs w:val="24"/>
        </w:rPr>
        <w:t>ção do pequeno aparelho</w:t>
      </w:r>
      <w:r w:rsidR="002E3605" w:rsidRPr="003A1174">
        <w:rPr>
          <w:rFonts w:ascii="Garamond" w:hAnsi="Garamond" w:cs="Arial"/>
          <w:i/>
          <w:sz w:val="24"/>
          <w:szCs w:val="24"/>
        </w:rPr>
        <w:t xml:space="preserve"> (tobilleras)</w:t>
      </w:r>
      <w:r w:rsidRPr="003A1174">
        <w:rPr>
          <w:rFonts w:ascii="Garamond" w:hAnsi="Garamond" w:cs="Arial"/>
          <w:i/>
          <w:sz w:val="24"/>
          <w:szCs w:val="24"/>
        </w:rPr>
        <w:t xml:space="preserve">, vale a pena referir </w:t>
      </w:r>
      <w:r w:rsidR="00CA39B2" w:rsidRPr="003A1174">
        <w:rPr>
          <w:rFonts w:ascii="Garamond" w:hAnsi="Garamond" w:cs="Arial"/>
          <w:sz w:val="24"/>
          <w:szCs w:val="24"/>
        </w:rPr>
        <w:t>que se trata de</w:t>
      </w:r>
      <w:r w:rsidR="00CA39B2" w:rsidRPr="003A1174">
        <w:rPr>
          <w:rFonts w:ascii="Garamond" w:hAnsi="Garamond" w:cs="Arial"/>
          <w:i/>
          <w:sz w:val="24"/>
          <w:szCs w:val="24"/>
        </w:rPr>
        <w:t xml:space="preserve"> </w:t>
      </w:r>
      <w:r w:rsidRPr="003A1174">
        <w:rPr>
          <w:rFonts w:ascii="Garamond" w:hAnsi="Garamond" w:cs="Arial"/>
          <w:sz w:val="24"/>
          <w:szCs w:val="24"/>
        </w:rPr>
        <w:t>um</w:t>
      </w:r>
      <w:r w:rsidR="00CA39B2" w:rsidRPr="003A1174">
        <w:rPr>
          <w:rFonts w:ascii="Garamond" w:hAnsi="Garamond" w:cs="Arial"/>
          <w:sz w:val="24"/>
          <w:szCs w:val="24"/>
        </w:rPr>
        <w:t xml:space="preserve">a </w:t>
      </w:r>
      <w:r w:rsidR="009859FC" w:rsidRPr="003A1174">
        <w:rPr>
          <w:rFonts w:ascii="Garamond" w:hAnsi="Garamond" w:cs="Arial"/>
          <w:sz w:val="24"/>
          <w:szCs w:val="24"/>
        </w:rPr>
        <w:t>tecnologia</w:t>
      </w:r>
      <w:r w:rsidR="00CA39B2" w:rsidRPr="003A1174">
        <w:rPr>
          <w:rFonts w:ascii="Garamond" w:hAnsi="Garamond" w:cs="Arial"/>
          <w:sz w:val="24"/>
          <w:szCs w:val="24"/>
        </w:rPr>
        <w:t xml:space="preserve"> de </w:t>
      </w:r>
      <w:r w:rsidR="00E150E9" w:rsidRPr="003A1174">
        <w:rPr>
          <w:rFonts w:ascii="Garamond" w:hAnsi="Garamond" w:cs="Arial"/>
          <w:sz w:val="24"/>
          <w:szCs w:val="24"/>
        </w:rPr>
        <w:t>verificação</w:t>
      </w:r>
      <w:r w:rsidR="00CA39B2" w:rsidRPr="003A1174">
        <w:rPr>
          <w:rFonts w:ascii="Garamond" w:hAnsi="Garamond" w:cs="Arial"/>
          <w:sz w:val="24"/>
          <w:szCs w:val="24"/>
        </w:rPr>
        <w:t xml:space="preserve"> de </w:t>
      </w:r>
      <w:r w:rsidR="00A523BE" w:rsidRPr="003A1174">
        <w:rPr>
          <w:rFonts w:ascii="Garamond" w:hAnsi="Garamond" w:cs="Arial"/>
          <w:sz w:val="24"/>
          <w:szCs w:val="24"/>
        </w:rPr>
        <w:t>presença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9859FC" w:rsidRPr="003A1174">
        <w:rPr>
          <w:rFonts w:ascii="Garamond" w:hAnsi="Garamond" w:cs="Arial"/>
          <w:sz w:val="24"/>
          <w:szCs w:val="24"/>
        </w:rPr>
        <w:t>localização</w:t>
      </w:r>
      <w:r w:rsidR="00DE116F">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concebida p</w:t>
      </w:r>
      <w:r w:rsidR="00CA39B2" w:rsidRPr="003A1174">
        <w:rPr>
          <w:rFonts w:ascii="Garamond" w:hAnsi="Garamond" w:cs="Arial"/>
          <w:sz w:val="24"/>
          <w:szCs w:val="24"/>
        </w:rPr>
        <w:t xml:space="preserve">ara </w:t>
      </w:r>
      <w:r w:rsidRPr="003A1174">
        <w:rPr>
          <w:rFonts w:ascii="Garamond" w:hAnsi="Garamond" w:cs="Arial"/>
          <w:sz w:val="24"/>
          <w:szCs w:val="24"/>
        </w:rPr>
        <w:t>a monotorização</w:t>
      </w:r>
      <w:r w:rsidR="00CA39B2" w:rsidRPr="003A1174">
        <w:rPr>
          <w:rFonts w:ascii="Garamond" w:hAnsi="Garamond" w:cs="Arial"/>
          <w:sz w:val="24"/>
          <w:szCs w:val="24"/>
        </w:rPr>
        <w:t xml:space="preserve"> de </w:t>
      </w:r>
      <w:r w:rsidR="006C760C" w:rsidRPr="003A1174">
        <w:rPr>
          <w:rFonts w:ascii="Garamond" w:hAnsi="Garamond" w:cs="Arial"/>
          <w:sz w:val="24"/>
          <w:szCs w:val="24"/>
        </w:rPr>
        <w:t>pessoas</w:t>
      </w:r>
      <w:r w:rsidR="00CA39B2" w:rsidRPr="003A1174">
        <w:rPr>
          <w:rFonts w:ascii="Garamond" w:hAnsi="Garamond" w:cs="Arial"/>
          <w:sz w:val="24"/>
          <w:szCs w:val="24"/>
        </w:rPr>
        <w:t xml:space="preserve"> co</w:t>
      </w:r>
      <w:r w:rsidRPr="003A1174">
        <w:rPr>
          <w:rFonts w:ascii="Garamond" w:hAnsi="Garamond" w:cs="Arial"/>
          <w:sz w:val="24"/>
          <w:szCs w:val="24"/>
        </w:rPr>
        <w:t xml:space="preserve">m </w:t>
      </w:r>
      <w:r w:rsidR="00CA39B2" w:rsidRPr="003A1174">
        <w:rPr>
          <w:rFonts w:ascii="Garamond" w:hAnsi="Garamond" w:cs="Arial"/>
          <w:sz w:val="24"/>
          <w:szCs w:val="24"/>
        </w:rPr>
        <w:t xml:space="preserve">alto </w:t>
      </w:r>
      <w:r w:rsidR="008651AF" w:rsidRPr="003A1174">
        <w:rPr>
          <w:rFonts w:ascii="Garamond" w:hAnsi="Garamond" w:cs="Arial"/>
          <w:sz w:val="24"/>
          <w:szCs w:val="24"/>
        </w:rPr>
        <w:t>risco</w:t>
      </w:r>
      <w:r w:rsidR="00DE116F">
        <w:rPr>
          <w:rFonts w:ascii="Garamond" w:hAnsi="Garamond" w:cs="Arial"/>
          <w:sz w:val="24"/>
          <w:szCs w:val="24"/>
        </w:rPr>
        <w:t>,</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EF645F" w:rsidRPr="003A1174">
        <w:rPr>
          <w:rFonts w:ascii="Garamond" w:hAnsi="Garamond" w:cs="Arial"/>
          <w:sz w:val="24"/>
          <w:szCs w:val="24"/>
        </w:rPr>
        <w:t>matéria</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p>
    <w:p w:rsidR="00CA39B2" w:rsidRPr="003A1174" w:rsidRDefault="00632851" w:rsidP="00632851">
      <w:pPr>
        <w:snapToGrid w:val="0"/>
        <w:spacing w:before="240" w:line="240" w:lineRule="auto"/>
        <w:jc w:val="both"/>
        <w:rPr>
          <w:rFonts w:ascii="Garamond" w:hAnsi="Garamond" w:cs="Arial"/>
          <w:sz w:val="24"/>
          <w:szCs w:val="24"/>
        </w:rPr>
      </w:pPr>
      <w:r w:rsidRPr="003A1174">
        <w:rPr>
          <w:rFonts w:ascii="Garamond" w:hAnsi="Garamond" w:cs="Arial"/>
          <w:sz w:val="24"/>
          <w:szCs w:val="24"/>
        </w:rPr>
        <w:t>A monotorização</w:t>
      </w:r>
      <w:r w:rsidR="00CA39B2" w:rsidRPr="003A1174">
        <w:rPr>
          <w:rFonts w:ascii="Garamond" w:hAnsi="Garamond" w:cs="Arial"/>
          <w:sz w:val="24"/>
          <w:szCs w:val="24"/>
        </w:rPr>
        <w:t xml:space="preserve"> </w:t>
      </w:r>
      <w:r w:rsidRPr="003A1174">
        <w:rPr>
          <w:rFonts w:ascii="Garamond" w:hAnsi="Garamond" w:cs="Arial"/>
          <w:sz w:val="24"/>
          <w:szCs w:val="24"/>
        </w:rPr>
        <w:t xml:space="preserve">é feita pela </w:t>
      </w:r>
      <w:r w:rsidR="00CF42A3" w:rsidRPr="003A1174">
        <w:rPr>
          <w:rFonts w:ascii="Garamond" w:hAnsi="Garamond" w:cs="Arial"/>
          <w:sz w:val="24"/>
          <w:szCs w:val="24"/>
        </w:rPr>
        <w:t>Polícia</w:t>
      </w:r>
      <w:r w:rsidR="00CA39B2" w:rsidRPr="003A1174">
        <w:rPr>
          <w:rFonts w:ascii="Garamond" w:hAnsi="Garamond" w:cs="Arial"/>
          <w:sz w:val="24"/>
          <w:szCs w:val="24"/>
        </w:rPr>
        <w:t xml:space="preserve"> Comunit</w:t>
      </w:r>
      <w:r w:rsidRPr="003A1174">
        <w:rPr>
          <w:rFonts w:ascii="Garamond" w:hAnsi="Garamond" w:cs="Arial"/>
          <w:sz w:val="24"/>
          <w:szCs w:val="24"/>
        </w:rPr>
        <w:t>á</w:t>
      </w:r>
      <w:r w:rsidR="00853E4C" w:rsidRPr="003A1174">
        <w:rPr>
          <w:rFonts w:ascii="Garamond" w:hAnsi="Garamond" w:cs="Arial"/>
          <w:sz w:val="24"/>
          <w:szCs w:val="24"/>
        </w:rPr>
        <w:t>ria</w:t>
      </w:r>
      <w:r w:rsidRPr="003A1174">
        <w:rPr>
          <w:rFonts w:ascii="Garamond" w:hAnsi="Garamond" w:cs="Arial"/>
          <w:sz w:val="24"/>
          <w:szCs w:val="24"/>
        </w:rPr>
        <w:t xml:space="preserve"> de </w:t>
      </w:r>
      <w:r w:rsidR="00CA39B2" w:rsidRPr="003A1174">
        <w:rPr>
          <w:rFonts w:ascii="Garamond" w:hAnsi="Garamond" w:cs="Arial"/>
          <w:sz w:val="24"/>
          <w:szCs w:val="24"/>
        </w:rPr>
        <w:t xml:space="preserve">cada zona, </w:t>
      </w:r>
      <w:r w:rsidR="00497503" w:rsidRPr="003A1174">
        <w:rPr>
          <w:rFonts w:ascii="Garamond" w:hAnsi="Garamond" w:cs="Arial"/>
          <w:sz w:val="24"/>
          <w:szCs w:val="24"/>
        </w:rPr>
        <w:t>e</w:t>
      </w:r>
      <w:r w:rsidR="00CA39B2" w:rsidRPr="003A1174">
        <w:rPr>
          <w:rFonts w:ascii="Garamond" w:hAnsi="Garamond" w:cs="Arial"/>
          <w:sz w:val="24"/>
          <w:szCs w:val="24"/>
        </w:rPr>
        <w:t xml:space="preserve"> funciona </w:t>
      </w:r>
      <w:r w:rsidRPr="003A1174">
        <w:rPr>
          <w:rFonts w:ascii="Garamond" w:hAnsi="Garamond" w:cs="Arial"/>
          <w:sz w:val="24"/>
          <w:szCs w:val="24"/>
        </w:rPr>
        <w:t>n</w:t>
      </w:r>
      <w:r w:rsidR="00E95446" w:rsidRPr="003A1174">
        <w:rPr>
          <w:rFonts w:ascii="Garamond" w:hAnsi="Garamond" w:cs="Arial"/>
          <w:sz w:val="24"/>
          <w:szCs w:val="24"/>
        </w:rPr>
        <w:t>a</w:t>
      </w:r>
      <w:r w:rsidR="00CA39B2" w:rsidRPr="003A1174">
        <w:rPr>
          <w:rFonts w:ascii="Garamond" w:hAnsi="Garamond" w:cs="Arial"/>
          <w:sz w:val="24"/>
          <w:szCs w:val="24"/>
        </w:rPr>
        <w:t xml:space="preserve"> base </w:t>
      </w:r>
      <w:r w:rsidR="00E95446" w:rsidRPr="003A1174">
        <w:rPr>
          <w:rFonts w:ascii="Garamond" w:hAnsi="Garamond" w:cs="Arial"/>
          <w:sz w:val="24"/>
          <w:szCs w:val="24"/>
        </w:rPr>
        <w:t>de</w:t>
      </w:r>
      <w:r w:rsidR="00CA39B2" w:rsidRPr="003A1174">
        <w:rPr>
          <w:rFonts w:ascii="Garamond" w:hAnsi="Garamond" w:cs="Arial"/>
          <w:sz w:val="24"/>
          <w:szCs w:val="24"/>
        </w:rPr>
        <w:t xml:space="preserve"> u</w:t>
      </w:r>
      <w:r w:rsidRPr="003A1174">
        <w:rPr>
          <w:rFonts w:ascii="Garamond" w:hAnsi="Garamond" w:cs="Arial"/>
          <w:sz w:val="24"/>
          <w:szCs w:val="24"/>
        </w:rPr>
        <w:t>m</w:t>
      </w:r>
      <w:r w:rsidR="00CA39B2" w:rsidRPr="003A1174">
        <w:rPr>
          <w:rFonts w:ascii="Garamond" w:hAnsi="Garamond" w:cs="Arial"/>
          <w:sz w:val="24"/>
          <w:szCs w:val="24"/>
        </w:rPr>
        <w:t xml:space="preserve"> sistema de </w:t>
      </w:r>
      <w:r w:rsidRPr="003A1174">
        <w:rPr>
          <w:rFonts w:ascii="Garamond" w:hAnsi="Garamond" w:cs="Arial"/>
          <w:sz w:val="24"/>
          <w:szCs w:val="24"/>
        </w:rPr>
        <w:t xml:space="preserve">localização por satélite a </w:t>
      </w:r>
      <w:r w:rsidR="00F950B2" w:rsidRPr="003A1174">
        <w:rPr>
          <w:rFonts w:ascii="Garamond" w:hAnsi="Garamond" w:cs="Arial"/>
          <w:sz w:val="24"/>
          <w:szCs w:val="24"/>
        </w:rPr>
        <w:t>cargo d</w:t>
      </w:r>
      <w:r w:rsidRPr="003A1174">
        <w:rPr>
          <w:rFonts w:ascii="Garamond" w:hAnsi="Garamond" w:cs="Arial"/>
          <w:sz w:val="24"/>
          <w:szCs w:val="24"/>
        </w:rPr>
        <w:t>a</w:t>
      </w:r>
      <w:r w:rsidR="00F950B2" w:rsidRPr="003A1174">
        <w:rPr>
          <w:rFonts w:ascii="Garamond" w:hAnsi="Garamond" w:cs="Arial"/>
          <w:sz w:val="24"/>
          <w:szCs w:val="24"/>
        </w:rPr>
        <w:t xml:space="preserve"> Área </w:t>
      </w:r>
      <w:r w:rsidR="000350B1" w:rsidRPr="003A1174">
        <w:rPr>
          <w:rFonts w:ascii="Garamond" w:hAnsi="Garamond" w:cs="Arial"/>
          <w:sz w:val="24"/>
          <w:szCs w:val="24"/>
        </w:rPr>
        <w:t>Violência</w:t>
      </w:r>
      <w:r w:rsidR="00F950B2" w:rsidRPr="003A1174">
        <w:rPr>
          <w:rFonts w:ascii="Garamond" w:hAnsi="Garamond" w:cs="Arial"/>
          <w:sz w:val="24"/>
          <w:szCs w:val="24"/>
        </w:rPr>
        <w:t xml:space="preserve"> Doméstica </w:t>
      </w:r>
      <w:r w:rsidR="00497503" w:rsidRPr="003A1174">
        <w:rPr>
          <w:rFonts w:ascii="Garamond" w:hAnsi="Garamond" w:cs="Arial"/>
          <w:sz w:val="24"/>
          <w:szCs w:val="24"/>
        </w:rPr>
        <w:t>e</w:t>
      </w:r>
      <w:r w:rsidRPr="003A1174">
        <w:rPr>
          <w:rFonts w:ascii="Garamond" w:hAnsi="Garamond" w:cs="Arial"/>
          <w:sz w:val="24"/>
          <w:szCs w:val="24"/>
        </w:rPr>
        <w:t xml:space="preserve"> de Género, com</w:t>
      </w:r>
      <w:r w:rsidR="00F950B2" w:rsidRPr="003A1174">
        <w:rPr>
          <w:rFonts w:ascii="Garamond" w:hAnsi="Garamond" w:cs="Arial"/>
          <w:sz w:val="24"/>
          <w:szCs w:val="24"/>
        </w:rPr>
        <w:t xml:space="preserve"> dete</w:t>
      </w:r>
      <w:r w:rsidRPr="003A1174">
        <w:rPr>
          <w:rFonts w:ascii="Garamond" w:hAnsi="Garamond" w:cs="Arial"/>
          <w:sz w:val="24"/>
          <w:szCs w:val="24"/>
        </w:rPr>
        <w:t xml:space="preserve">ção </w:t>
      </w:r>
      <w:r w:rsidR="00F950B2" w:rsidRPr="003A1174">
        <w:rPr>
          <w:rFonts w:ascii="Garamond" w:hAnsi="Garamond" w:cs="Arial"/>
          <w:sz w:val="24"/>
          <w:szCs w:val="24"/>
        </w:rPr>
        <w:t xml:space="preserve">de alertas </w:t>
      </w:r>
      <w:r w:rsidR="00497503" w:rsidRPr="003A1174">
        <w:rPr>
          <w:rFonts w:ascii="Garamond" w:hAnsi="Garamond" w:cs="Arial"/>
          <w:sz w:val="24"/>
          <w:szCs w:val="24"/>
        </w:rPr>
        <w:t>e</w:t>
      </w:r>
      <w:r w:rsidR="00F950B2" w:rsidRPr="003A1174">
        <w:rPr>
          <w:rFonts w:ascii="Garamond" w:hAnsi="Garamond" w:cs="Arial"/>
          <w:sz w:val="24"/>
          <w:szCs w:val="24"/>
        </w:rPr>
        <w:t xml:space="preserve"> resp</w:t>
      </w:r>
      <w:r w:rsidRPr="003A1174">
        <w:rPr>
          <w:rFonts w:ascii="Garamond" w:hAnsi="Garamond" w:cs="Arial"/>
          <w:sz w:val="24"/>
          <w:szCs w:val="24"/>
        </w:rPr>
        <w:t>o</w:t>
      </w:r>
      <w:r w:rsidR="00F950B2" w:rsidRPr="003A1174">
        <w:rPr>
          <w:rFonts w:ascii="Garamond" w:hAnsi="Garamond" w:cs="Arial"/>
          <w:sz w:val="24"/>
          <w:szCs w:val="24"/>
        </w:rPr>
        <w:t>sta co</w:t>
      </w:r>
      <w:r w:rsidRPr="003A1174">
        <w:rPr>
          <w:rFonts w:ascii="Garamond" w:hAnsi="Garamond" w:cs="Arial"/>
          <w:sz w:val="24"/>
          <w:szCs w:val="24"/>
        </w:rPr>
        <w:t xml:space="preserve">m telefones </w:t>
      </w:r>
      <w:r w:rsidR="001F2F8B" w:rsidRPr="003A1174">
        <w:rPr>
          <w:rFonts w:ascii="Garamond" w:hAnsi="Garamond" w:cs="Arial"/>
          <w:sz w:val="24"/>
          <w:szCs w:val="24"/>
        </w:rPr>
        <w:t>policiais</w:t>
      </w:r>
      <w:r w:rsidR="00CA39B2" w:rsidRPr="003A1174">
        <w:rPr>
          <w:rFonts w:ascii="Garamond" w:hAnsi="Garamond" w:cs="Arial"/>
          <w:sz w:val="24"/>
          <w:szCs w:val="24"/>
        </w:rPr>
        <w:t>. Est</w:t>
      </w:r>
      <w:r w:rsidRPr="003A1174">
        <w:rPr>
          <w:rFonts w:ascii="Garamond" w:hAnsi="Garamond" w:cs="Arial"/>
          <w:sz w:val="24"/>
          <w:szCs w:val="24"/>
        </w:rPr>
        <w:t>a</w:t>
      </w:r>
      <w:r w:rsidR="00CA39B2" w:rsidRPr="003A1174">
        <w:rPr>
          <w:rFonts w:ascii="Garamond" w:hAnsi="Garamond" w:cs="Arial"/>
          <w:sz w:val="24"/>
          <w:szCs w:val="24"/>
        </w:rPr>
        <w:t xml:space="preserve"> Área </w:t>
      </w:r>
      <w:r w:rsidR="007A2492" w:rsidRPr="003A1174">
        <w:rPr>
          <w:rFonts w:ascii="Garamond" w:hAnsi="Garamond" w:cs="Arial"/>
          <w:sz w:val="24"/>
          <w:szCs w:val="24"/>
        </w:rPr>
        <w:t>tem</w:t>
      </w:r>
      <w:r w:rsidR="00CA39B2" w:rsidRPr="003A1174">
        <w:rPr>
          <w:rFonts w:ascii="Garamond" w:hAnsi="Garamond" w:cs="Arial"/>
          <w:sz w:val="24"/>
          <w:szCs w:val="24"/>
        </w:rPr>
        <w:t xml:space="preserve"> 25 </w:t>
      </w:r>
      <w:r w:rsidR="003E6403" w:rsidRPr="003A1174">
        <w:rPr>
          <w:rFonts w:ascii="Garamond" w:hAnsi="Garamond" w:cs="Arial"/>
          <w:sz w:val="24"/>
          <w:szCs w:val="24"/>
        </w:rPr>
        <w:t>funcionári</w:t>
      </w:r>
      <w:r w:rsidR="00CA39B2" w:rsidRPr="003A1174">
        <w:rPr>
          <w:rFonts w:ascii="Garamond" w:hAnsi="Garamond" w:cs="Arial"/>
          <w:sz w:val="24"/>
          <w:szCs w:val="24"/>
        </w:rPr>
        <w:t xml:space="preserve">os </w:t>
      </w:r>
      <w:r w:rsidR="001F2F8B" w:rsidRPr="003A1174">
        <w:rPr>
          <w:rFonts w:ascii="Garamond" w:hAnsi="Garamond" w:cs="Arial"/>
          <w:sz w:val="24"/>
          <w:szCs w:val="24"/>
        </w:rPr>
        <w:t>policiais</w:t>
      </w:r>
      <w:r w:rsidR="00CA39B2" w:rsidRPr="003A1174">
        <w:rPr>
          <w:rFonts w:ascii="Garamond" w:hAnsi="Garamond" w:cs="Arial"/>
          <w:sz w:val="24"/>
          <w:szCs w:val="24"/>
        </w:rPr>
        <w:t xml:space="preserve"> para </w:t>
      </w:r>
      <w:r w:rsidR="00DE116F">
        <w:rPr>
          <w:rFonts w:ascii="Garamond" w:hAnsi="Garamond" w:cs="Arial"/>
          <w:sz w:val="24"/>
          <w:szCs w:val="24"/>
        </w:rPr>
        <w:t xml:space="preserve">o acompanhamento </w:t>
      </w:r>
      <w:r w:rsidR="00CA39B2" w:rsidRPr="003A1174">
        <w:rPr>
          <w:rFonts w:ascii="Garamond" w:hAnsi="Garamond" w:cs="Arial"/>
          <w:sz w:val="24"/>
          <w:szCs w:val="24"/>
        </w:rPr>
        <w:t xml:space="preserve">de </w:t>
      </w:r>
      <w:r w:rsidRPr="003A1174">
        <w:rPr>
          <w:rFonts w:ascii="Garamond" w:hAnsi="Garamond" w:cs="Arial"/>
          <w:sz w:val="24"/>
          <w:szCs w:val="24"/>
        </w:rPr>
        <w:t>ecrãs e comunicações</w:t>
      </w:r>
      <w:r w:rsidR="00E95446" w:rsidRPr="003A1174">
        <w:rPr>
          <w:rFonts w:ascii="Garamond" w:hAnsi="Garamond" w:cs="Arial"/>
          <w:sz w:val="24"/>
          <w:szCs w:val="24"/>
        </w:rPr>
        <w:t>,</w:t>
      </w:r>
      <w:r w:rsidR="00CA39B2" w:rsidRPr="003A1174">
        <w:rPr>
          <w:rFonts w:ascii="Garamond" w:hAnsi="Garamond" w:cs="Arial"/>
          <w:sz w:val="24"/>
          <w:szCs w:val="24"/>
        </w:rPr>
        <w:t xml:space="preserve"> co</w:t>
      </w:r>
      <w:r w:rsidRPr="003A1174">
        <w:rPr>
          <w:rFonts w:ascii="Garamond" w:hAnsi="Garamond" w:cs="Arial"/>
          <w:sz w:val="24"/>
          <w:szCs w:val="24"/>
        </w:rPr>
        <w:t>m</w:t>
      </w:r>
      <w:r w:rsidR="00CA39B2" w:rsidRPr="003A1174">
        <w:rPr>
          <w:rFonts w:ascii="Garamond" w:hAnsi="Garamond" w:cs="Arial"/>
          <w:sz w:val="24"/>
          <w:szCs w:val="24"/>
        </w:rPr>
        <w:t xml:space="preserve"> </w:t>
      </w:r>
      <w:r w:rsidR="00DE116F">
        <w:rPr>
          <w:rFonts w:ascii="Garamond" w:hAnsi="Garamond" w:cs="Arial"/>
          <w:sz w:val="24"/>
          <w:szCs w:val="24"/>
        </w:rPr>
        <w:t xml:space="preserve">a </w:t>
      </w:r>
      <w:r w:rsidR="003F012B" w:rsidRPr="003A1174">
        <w:rPr>
          <w:rFonts w:ascii="Garamond" w:hAnsi="Garamond" w:cs="Arial"/>
          <w:sz w:val="24"/>
          <w:szCs w:val="24"/>
        </w:rPr>
        <w:t>vítima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DE116F">
        <w:rPr>
          <w:rFonts w:ascii="Garamond" w:hAnsi="Garamond" w:cs="Arial"/>
          <w:sz w:val="24"/>
          <w:szCs w:val="24"/>
        </w:rPr>
        <w:t xml:space="preserve">o </w:t>
      </w:r>
      <w:r w:rsidR="002D1021" w:rsidRPr="003A1174">
        <w:rPr>
          <w:rFonts w:ascii="Garamond" w:hAnsi="Garamond" w:cs="Arial"/>
          <w:sz w:val="24"/>
          <w:szCs w:val="24"/>
        </w:rPr>
        <w:t>agressor</w:t>
      </w:r>
      <w:r w:rsidR="00CA39B2" w:rsidRPr="003A1174">
        <w:rPr>
          <w:rFonts w:ascii="Garamond" w:hAnsi="Garamond" w:cs="Arial"/>
          <w:sz w:val="24"/>
          <w:szCs w:val="24"/>
        </w:rPr>
        <w:t xml:space="preserve"> </w:t>
      </w:r>
      <w:r w:rsidRPr="003A1174">
        <w:rPr>
          <w:rFonts w:ascii="Garamond" w:hAnsi="Garamond" w:cs="Arial"/>
          <w:sz w:val="24"/>
          <w:szCs w:val="24"/>
        </w:rPr>
        <w:t>per</w:t>
      </w:r>
      <w:r w:rsidR="00CA39B2" w:rsidRPr="003A1174">
        <w:rPr>
          <w:rFonts w:ascii="Garamond" w:hAnsi="Garamond" w:cs="Arial"/>
          <w:sz w:val="24"/>
          <w:szCs w:val="24"/>
        </w:rPr>
        <w:t xml:space="preserve">ante </w:t>
      </w:r>
      <w:r w:rsidR="007342D9" w:rsidRPr="003A1174">
        <w:rPr>
          <w:rFonts w:ascii="Garamond" w:hAnsi="Garamond" w:cs="Arial"/>
          <w:sz w:val="24"/>
          <w:szCs w:val="24"/>
        </w:rPr>
        <w:t>qualquer</w:t>
      </w:r>
      <w:r w:rsidR="00CA39B2" w:rsidRPr="003A1174">
        <w:rPr>
          <w:rFonts w:ascii="Garamond" w:hAnsi="Garamond" w:cs="Arial"/>
          <w:sz w:val="24"/>
          <w:szCs w:val="24"/>
        </w:rPr>
        <w:t xml:space="preserve"> </w:t>
      </w:r>
      <w:r w:rsidR="00DE116F">
        <w:rPr>
          <w:rFonts w:ascii="Garamond" w:hAnsi="Garamond" w:cs="Arial"/>
          <w:sz w:val="24"/>
          <w:szCs w:val="24"/>
        </w:rPr>
        <w:t>«</w:t>
      </w:r>
      <w:r w:rsidR="00CA39B2" w:rsidRPr="003A1174">
        <w:rPr>
          <w:rFonts w:ascii="Garamond" w:hAnsi="Garamond" w:cs="Arial"/>
          <w:sz w:val="24"/>
          <w:szCs w:val="24"/>
        </w:rPr>
        <w:t>event</w:t>
      </w:r>
      <w:r w:rsidR="00853E4C" w:rsidRPr="003A1174">
        <w:rPr>
          <w:rFonts w:ascii="Garamond" w:hAnsi="Garamond" w:cs="Arial"/>
          <w:sz w:val="24"/>
          <w:szCs w:val="24"/>
        </w:rPr>
        <w:t>ualidade</w:t>
      </w:r>
      <w:r w:rsidR="00DE116F">
        <w:rPr>
          <w:rFonts w:ascii="Garamond" w:hAnsi="Garamond" w:cs="Arial"/>
          <w:sz w:val="24"/>
          <w:szCs w:val="24"/>
        </w:rPr>
        <w:t>»</w:t>
      </w:r>
      <w:r w:rsidR="00CA39B2" w:rsidRPr="003A1174">
        <w:rPr>
          <w:rFonts w:ascii="Garamond" w:hAnsi="Garamond" w:cs="Arial"/>
          <w:sz w:val="24"/>
          <w:szCs w:val="24"/>
        </w:rPr>
        <w:t>. Existe</w:t>
      </w:r>
      <w:r w:rsidRPr="003A1174">
        <w:rPr>
          <w:rFonts w:ascii="Garamond" w:hAnsi="Garamond" w:cs="Arial"/>
          <w:sz w:val="24"/>
          <w:szCs w:val="24"/>
        </w:rPr>
        <w:t xml:space="preserve">m cerca </w:t>
      </w:r>
      <w:r w:rsidR="00CA39B2" w:rsidRPr="003A1174">
        <w:rPr>
          <w:rFonts w:ascii="Garamond" w:hAnsi="Garamond" w:cs="Arial"/>
          <w:sz w:val="24"/>
          <w:szCs w:val="24"/>
        </w:rPr>
        <w:t>de 15 alertas di</w:t>
      </w:r>
      <w:r w:rsidRPr="003A1174">
        <w:rPr>
          <w:rFonts w:ascii="Garamond" w:hAnsi="Garamond" w:cs="Arial"/>
          <w:sz w:val="24"/>
          <w:szCs w:val="24"/>
        </w:rPr>
        <w:t>ferentes</w:t>
      </w:r>
      <w:r w:rsidR="00CA39B2" w:rsidRPr="003A1174">
        <w:rPr>
          <w:rFonts w:ascii="Garamond" w:hAnsi="Garamond" w:cs="Arial"/>
          <w:sz w:val="24"/>
          <w:szCs w:val="24"/>
        </w:rPr>
        <w:t xml:space="preserve">: </w:t>
      </w:r>
      <w:r w:rsidR="002D1021" w:rsidRPr="003A1174">
        <w:rPr>
          <w:rFonts w:ascii="Garamond" w:hAnsi="Garamond" w:cs="Arial"/>
          <w:sz w:val="24"/>
          <w:szCs w:val="24"/>
        </w:rPr>
        <w:t>agressor</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zona </w:t>
      </w:r>
      <w:r w:rsidR="00AB6522" w:rsidRPr="003A1174">
        <w:rPr>
          <w:rFonts w:ascii="Garamond" w:hAnsi="Garamond" w:cs="Arial"/>
          <w:sz w:val="24"/>
          <w:szCs w:val="24"/>
        </w:rPr>
        <w:t xml:space="preserve">restrita, </w:t>
      </w:r>
      <w:r w:rsidR="002D1021" w:rsidRPr="003A1174">
        <w:rPr>
          <w:rFonts w:ascii="Garamond" w:hAnsi="Garamond" w:cs="Arial"/>
          <w:sz w:val="24"/>
          <w:szCs w:val="24"/>
        </w:rPr>
        <w:t>agressor</w:t>
      </w:r>
      <w:r w:rsidR="00CA39B2" w:rsidRPr="003A1174">
        <w:rPr>
          <w:rFonts w:ascii="Garamond" w:hAnsi="Garamond" w:cs="Arial"/>
          <w:sz w:val="24"/>
          <w:szCs w:val="24"/>
        </w:rPr>
        <w:t xml:space="preserve"> e</w:t>
      </w:r>
      <w:r w:rsidR="00AB6522" w:rsidRPr="003A1174">
        <w:rPr>
          <w:rFonts w:ascii="Garamond" w:hAnsi="Garamond" w:cs="Arial"/>
          <w:sz w:val="24"/>
          <w:szCs w:val="24"/>
        </w:rPr>
        <w:t>m zona de advertência, alerta de pâ</w:t>
      </w:r>
      <w:r w:rsidR="00CA39B2" w:rsidRPr="003A1174">
        <w:rPr>
          <w:rFonts w:ascii="Garamond" w:hAnsi="Garamond" w:cs="Arial"/>
          <w:sz w:val="24"/>
          <w:szCs w:val="24"/>
        </w:rPr>
        <w:t xml:space="preserve">nico da </w:t>
      </w:r>
      <w:r w:rsidR="003F012B" w:rsidRPr="003A1174">
        <w:rPr>
          <w:rFonts w:ascii="Garamond" w:hAnsi="Garamond" w:cs="Arial"/>
          <w:sz w:val="24"/>
          <w:szCs w:val="24"/>
        </w:rPr>
        <w:t>vítima</w:t>
      </w:r>
      <w:r w:rsidR="00AB6522" w:rsidRPr="003A1174">
        <w:rPr>
          <w:rFonts w:ascii="Garamond" w:hAnsi="Garamond" w:cs="Arial"/>
          <w:sz w:val="24"/>
          <w:szCs w:val="24"/>
        </w:rPr>
        <w:t>, ab</w:t>
      </w:r>
      <w:r w:rsidR="00CA39B2" w:rsidRPr="003A1174">
        <w:rPr>
          <w:rFonts w:ascii="Garamond" w:hAnsi="Garamond" w:cs="Arial"/>
          <w:sz w:val="24"/>
          <w:szCs w:val="24"/>
        </w:rPr>
        <w:t>ertura o</w:t>
      </w:r>
      <w:r w:rsidR="00AB6522" w:rsidRPr="003A1174">
        <w:rPr>
          <w:rFonts w:ascii="Garamond" w:hAnsi="Garamond" w:cs="Arial"/>
          <w:sz w:val="24"/>
          <w:szCs w:val="24"/>
        </w:rPr>
        <w:t>u</w:t>
      </w:r>
      <w:r w:rsidR="00CA39B2" w:rsidRPr="003A1174">
        <w:rPr>
          <w:rFonts w:ascii="Garamond" w:hAnsi="Garamond" w:cs="Arial"/>
          <w:sz w:val="24"/>
          <w:szCs w:val="24"/>
        </w:rPr>
        <w:t xml:space="preserve"> corte d</w:t>
      </w:r>
      <w:r w:rsidR="00AB6522" w:rsidRPr="003A1174">
        <w:rPr>
          <w:rFonts w:ascii="Garamond" w:hAnsi="Garamond" w:cs="Arial"/>
          <w:sz w:val="24"/>
          <w:szCs w:val="24"/>
        </w:rPr>
        <w:t>o aparelho, bateri</w:t>
      </w:r>
      <w:r w:rsidR="00CA39B2" w:rsidRPr="003A1174">
        <w:rPr>
          <w:rFonts w:ascii="Garamond" w:hAnsi="Garamond" w:cs="Arial"/>
          <w:sz w:val="24"/>
          <w:szCs w:val="24"/>
        </w:rPr>
        <w:t xml:space="preserve">a </w:t>
      </w:r>
      <w:r w:rsidR="008A3DA2" w:rsidRPr="003A1174">
        <w:rPr>
          <w:rFonts w:ascii="Garamond" w:hAnsi="Garamond" w:cs="Arial"/>
          <w:sz w:val="24"/>
          <w:szCs w:val="24"/>
        </w:rPr>
        <w:t>do</w:t>
      </w:r>
      <w:r w:rsidR="00CA39B2" w:rsidRPr="003A1174">
        <w:rPr>
          <w:rFonts w:ascii="Garamond" w:hAnsi="Garamond" w:cs="Arial"/>
          <w:sz w:val="24"/>
          <w:szCs w:val="24"/>
        </w:rPr>
        <w:t xml:space="preserve"> </w:t>
      </w:r>
      <w:r w:rsidR="00AB6522" w:rsidRPr="003A1174">
        <w:rPr>
          <w:rFonts w:ascii="Garamond" w:hAnsi="Garamond" w:cs="Arial"/>
          <w:sz w:val="24"/>
          <w:szCs w:val="24"/>
        </w:rPr>
        <w:t>aparelho fraca</w:t>
      </w:r>
      <w:r w:rsidR="00CA39B2" w:rsidRPr="003A1174">
        <w:rPr>
          <w:rFonts w:ascii="Garamond" w:hAnsi="Garamond" w:cs="Arial"/>
          <w:sz w:val="24"/>
          <w:szCs w:val="24"/>
        </w:rPr>
        <w:t xml:space="preserve">, </w:t>
      </w:r>
      <w:r w:rsidR="002D1021" w:rsidRPr="003A1174">
        <w:rPr>
          <w:rFonts w:ascii="Garamond" w:hAnsi="Garamond" w:cs="Arial"/>
          <w:sz w:val="24"/>
          <w:szCs w:val="24"/>
        </w:rPr>
        <w:t>agressor</w:t>
      </w:r>
      <w:r w:rsidR="00CA39B2" w:rsidRPr="003A1174">
        <w:rPr>
          <w:rFonts w:ascii="Garamond" w:hAnsi="Garamond" w:cs="Arial"/>
          <w:sz w:val="24"/>
          <w:szCs w:val="24"/>
        </w:rPr>
        <w:t xml:space="preserve"> </w:t>
      </w:r>
      <w:r w:rsidR="00AB6522" w:rsidRPr="003A1174">
        <w:rPr>
          <w:rFonts w:ascii="Garamond" w:hAnsi="Garamond" w:cs="Arial"/>
          <w:sz w:val="24"/>
          <w:szCs w:val="24"/>
        </w:rPr>
        <w:t>afastou-se do detetor</w:t>
      </w:r>
      <w:r w:rsidR="00CA39B2" w:rsidRPr="003A1174">
        <w:rPr>
          <w:rFonts w:ascii="Garamond" w:hAnsi="Garamond" w:cs="Arial"/>
          <w:sz w:val="24"/>
          <w:szCs w:val="24"/>
        </w:rPr>
        <w:t xml:space="preserve">, etc. </w:t>
      </w:r>
    </w:p>
    <w:p w:rsidR="00CA39B2" w:rsidRPr="003A1174" w:rsidRDefault="00AB6522" w:rsidP="008719D4">
      <w:pPr>
        <w:snapToGrid w:val="0"/>
        <w:spacing w:before="240" w:after="0" w:line="240" w:lineRule="auto"/>
        <w:jc w:val="both"/>
        <w:rPr>
          <w:rFonts w:ascii="Garamond" w:hAnsi="Garamond" w:cs="Arial"/>
          <w:sz w:val="24"/>
          <w:szCs w:val="24"/>
        </w:rPr>
      </w:pPr>
      <w:r w:rsidRPr="003A1174">
        <w:rPr>
          <w:rFonts w:ascii="Garamond" w:hAnsi="Garamond" w:cs="Arial"/>
          <w:sz w:val="24"/>
          <w:szCs w:val="24"/>
        </w:rPr>
        <w:t>A avaliação</w:t>
      </w:r>
      <w:r w:rsidR="00CA39B2" w:rsidRPr="003A1174">
        <w:rPr>
          <w:rFonts w:ascii="Garamond" w:hAnsi="Garamond" w:cs="Arial"/>
          <w:sz w:val="24"/>
          <w:szCs w:val="24"/>
        </w:rPr>
        <w:t xml:space="preserve"> que </w:t>
      </w:r>
      <w:r w:rsidRPr="003A1174">
        <w:rPr>
          <w:rFonts w:ascii="Garamond" w:hAnsi="Garamond" w:cs="Arial"/>
          <w:sz w:val="24"/>
          <w:szCs w:val="24"/>
        </w:rPr>
        <w:t xml:space="preserve">é </w:t>
      </w:r>
      <w:r w:rsidR="00CA39B2" w:rsidRPr="003A1174">
        <w:rPr>
          <w:rFonts w:ascii="Garamond" w:hAnsi="Garamond" w:cs="Arial"/>
          <w:sz w:val="24"/>
          <w:szCs w:val="24"/>
        </w:rPr>
        <w:t>realiza</w:t>
      </w:r>
      <w:r w:rsidRPr="003A1174">
        <w:rPr>
          <w:rFonts w:ascii="Garamond" w:hAnsi="Garamond" w:cs="Arial"/>
          <w:sz w:val="24"/>
          <w:szCs w:val="24"/>
        </w:rPr>
        <w:t>da pela Divisão</w:t>
      </w:r>
      <w:r w:rsidR="00CA39B2" w:rsidRPr="003A1174">
        <w:rPr>
          <w:rFonts w:ascii="Garamond" w:hAnsi="Garamond" w:cs="Arial"/>
          <w:sz w:val="24"/>
          <w:szCs w:val="24"/>
        </w:rPr>
        <w:t xml:space="preserve"> Política de Género </w:t>
      </w:r>
      <w:r w:rsidR="008A3DA2" w:rsidRPr="003A1174">
        <w:rPr>
          <w:rFonts w:ascii="Garamond" w:hAnsi="Garamond" w:cs="Arial"/>
          <w:sz w:val="24"/>
          <w:szCs w:val="24"/>
        </w:rPr>
        <w:t>do</w:t>
      </w:r>
      <w:r w:rsidR="00CA39B2" w:rsidRPr="003A1174">
        <w:rPr>
          <w:rFonts w:ascii="Garamond" w:hAnsi="Garamond" w:cs="Arial"/>
          <w:sz w:val="24"/>
          <w:szCs w:val="24"/>
        </w:rPr>
        <w:t xml:space="preserve"> </w:t>
      </w:r>
      <w:r w:rsidR="00D77C19" w:rsidRPr="003A1174">
        <w:rPr>
          <w:rFonts w:ascii="Garamond" w:hAnsi="Garamond" w:cs="Arial"/>
          <w:sz w:val="24"/>
          <w:szCs w:val="24"/>
        </w:rPr>
        <w:t>Ministério</w:t>
      </w:r>
      <w:r w:rsidR="00CA39B2" w:rsidRPr="003A1174">
        <w:rPr>
          <w:rFonts w:ascii="Garamond" w:hAnsi="Garamond" w:cs="Arial"/>
          <w:sz w:val="24"/>
          <w:szCs w:val="24"/>
        </w:rPr>
        <w:t xml:space="preserve"> </w:t>
      </w:r>
      <w:r w:rsidR="008A3DA2" w:rsidRPr="003A1174">
        <w:rPr>
          <w:rFonts w:ascii="Garamond" w:hAnsi="Garamond" w:cs="Arial"/>
          <w:sz w:val="24"/>
          <w:szCs w:val="24"/>
        </w:rPr>
        <w:t>do</w:t>
      </w:r>
      <w:r w:rsidR="00CA39B2" w:rsidRPr="003A1174">
        <w:rPr>
          <w:rFonts w:ascii="Garamond" w:hAnsi="Garamond" w:cs="Arial"/>
          <w:sz w:val="24"/>
          <w:szCs w:val="24"/>
        </w:rPr>
        <w:t xml:space="preserve"> Interior </w:t>
      </w:r>
      <w:r w:rsidRPr="003A1174">
        <w:rPr>
          <w:rFonts w:ascii="Garamond" w:hAnsi="Garamond" w:cs="Arial"/>
          <w:sz w:val="24"/>
          <w:szCs w:val="24"/>
        </w:rPr>
        <w:t xml:space="preserve">destaca </w:t>
      </w:r>
      <w:r w:rsidR="00CA39B2" w:rsidRPr="003A1174">
        <w:rPr>
          <w:rFonts w:ascii="Garamond" w:hAnsi="Garamond" w:cs="Arial"/>
          <w:sz w:val="24"/>
          <w:szCs w:val="24"/>
        </w:rPr>
        <w:t xml:space="preserve">o </w:t>
      </w:r>
      <w:r w:rsidR="006B29BF" w:rsidRPr="003A1174">
        <w:rPr>
          <w:rFonts w:ascii="Garamond" w:hAnsi="Garamond" w:cs="Arial"/>
          <w:sz w:val="24"/>
          <w:szCs w:val="24"/>
        </w:rPr>
        <w:t>seguinte</w:t>
      </w:r>
      <w:r w:rsidR="00CA39B2" w:rsidRPr="003A1174">
        <w:rPr>
          <w:rFonts w:ascii="Garamond" w:hAnsi="Garamond" w:cs="Arial"/>
          <w:sz w:val="24"/>
          <w:szCs w:val="24"/>
        </w:rPr>
        <w:t>:</w:t>
      </w:r>
    </w:p>
    <w:p w:rsidR="00CA39B2" w:rsidRPr="003A1174" w:rsidRDefault="00AB6522" w:rsidP="008719D4">
      <w:pPr>
        <w:pStyle w:val="Prrafodelista"/>
        <w:numPr>
          <w:ilvl w:val="0"/>
          <w:numId w:val="25"/>
        </w:numPr>
        <w:autoSpaceDE w:val="0"/>
        <w:spacing w:before="240"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9859FC" w:rsidRPr="003A1174">
        <w:rPr>
          <w:rFonts w:ascii="Garamond" w:hAnsi="Garamond" w:cs="Arial"/>
          <w:color w:val="auto"/>
          <w:sz w:val="24"/>
          <w:szCs w:val="24"/>
          <w:lang w:val="pt-PT"/>
        </w:rPr>
        <w:t>tecnologia</w:t>
      </w:r>
      <w:r w:rsidR="00CA39B2" w:rsidRPr="003A1174">
        <w:rPr>
          <w:rFonts w:ascii="Garamond" w:hAnsi="Garamond" w:cs="Arial"/>
          <w:color w:val="auto"/>
          <w:sz w:val="24"/>
          <w:szCs w:val="24"/>
          <w:lang w:val="pt-PT"/>
        </w:rPr>
        <w:t xml:space="preserve"> cump</w:t>
      </w:r>
      <w:r w:rsidRPr="003A1174">
        <w:rPr>
          <w:rFonts w:ascii="Garamond" w:hAnsi="Garamond" w:cs="Arial"/>
          <w:color w:val="auto"/>
          <w:sz w:val="24"/>
          <w:szCs w:val="24"/>
          <w:lang w:val="pt-PT"/>
        </w:rPr>
        <w:t>riu</w:t>
      </w:r>
      <w:r w:rsidR="00DE116F">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cabalmente</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 xml:space="preserve">m o </w:t>
      </w:r>
      <w:r w:rsidR="00CA39B2" w:rsidRPr="003A1174">
        <w:rPr>
          <w:rFonts w:ascii="Garamond" w:hAnsi="Garamond" w:cs="Arial"/>
          <w:color w:val="auto"/>
          <w:sz w:val="24"/>
          <w:szCs w:val="24"/>
          <w:lang w:val="pt-PT"/>
        </w:rPr>
        <w:t xml:space="preserve">principal objetivo esperado, como </w:t>
      </w:r>
      <w:r w:rsidRPr="003A1174">
        <w:rPr>
          <w:rFonts w:ascii="Garamond" w:hAnsi="Garamond" w:cs="Arial"/>
          <w:color w:val="auto"/>
          <w:sz w:val="24"/>
          <w:szCs w:val="24"/>
          <w:lang w:val="pt-PT"/>
        </w:rPr>
        <w:t xml:space="preserve">é o </w:t>
      </w:r>
      <w:r w:rsidR="00DE116F">
        <w:rPr>
          <w:rFonts w:ascii="Garamond" w:hAnsi="Garamond" w:cs="Arial"/>
          <w:color w:val="auto"/>
          <w:sz w:val="24"/>
          <w:szCs w:val="24"/>
          <w:lang w:val="pt-PT"/>
        </w:rPr>
        <w:t xml:space="preserve">acompanhamento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medidas de a</w:t>
      </w:r>
      <w:r w:rsidRPr="003A1174">
        <w:rPr>
          <w:rFonts w:ascii="Garamond" w:hAnsi="Garamond" w:cs="Arial"/>
          <w:color w:val="auto"/>
          <w:sz w:val="24"/>
          <w:szCs w:val="24"/>
          <w:lang w:val="pt-PT"/>
        </w:rPr>
        <w:t xml:space="preserve">fastamento </w:t>
      </w:r>
      <w:r w:rsidR="00CA39B2" w:rsidRPr="003A1174">
        <w:rPr>
          <w:rFonts w:ascii="Garamond" w:hAnsi="Garamond" w:cs="Arial"/>
          <w:color w:val="auto"/>
          <w:sz w:val="24"/>
          <w:szCs w:val="24"/>
          <w:lang w:val="pt-PT"/>
        </w:rPr>
        <w:t>disp</w:t>
      </w:r>
      <w:r w:rsidRPr="003A1174">
        <w:rPr>
          <w:rFonts w:ascii="Garamond" w:hAnsi="Garamond" w:cs="Arial"/>
          <w:color w:val="auto"/>
          <w:sz w:val="24"/>
          <w:szCs w:val="24"/>
          <w:lang w:val="pt-PT"/>
        </w:rPr>
        <w:t>o</w:t>
      </w:r>
      <w:r w:rsidR="00CA39B2" w:rsidRPr="003A1174">
        <w:rPr>
          <w:rFonts w:ascii="Garamond" w:hAnsi="Garamond" w:cs="Arial"/>
          <w:color w:val="auto"/>
          <w:sz w:val="24"/>
          <w:szCs w:val="24"/>
          <w:lang w:val="pt-PT"/>
        </w:rPr>
        <w:t>stas p</w:t>
      </w:r>
      <w:r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la </w:t>
      </w:r>
      <w:r w:rsidR="00FC1F7F" w:rsidRPr="003A1174">
        <w:rPr>
          <w:rFonts w:ascii="Garamond" w:hAnsi="Garamond" w:cs="Arial"/>
          <w:color w:val="auto"/>
          <w:sz w:val="24"/>
          <w:szCs w:val="24"/>
          <w:lang w:val="pt-PT"/>
        </w:rPr>
        <w:t>Justiça</w:t>
      </w:r>
      <w:r w:rsidR="00CA39B2" w:rsidRPr="003A1174">
        <w:rPr>
          <w:rFonts w:ascii="Garamond" w:hAnsi="Garamond" w:cs="Arial"/>
          <w:color w:val="auto"/>
          <w:sz w:val="24"/>
          <w:szCs w:val="24"/>
          <w:lang w:val="pt-PT"/>
        </w:rPr>
        <w:t>.</w:t>
      </w:r>
    </w:p>
    <w:p w:rsidR="00CA39B2" w:rsidRPr="003A1174" w:rsidRDefault="00AB6522" w:rsidP="008719D4">
      <w:pPr>
        <w:pStyle w:val="Prrafodelista"/>
        <w:numPr>
          <w:ilvl w:val="0"/>
          <w:numId w:val="25"/>
        </w:numPr>
        <w:autoSpaceDE w:val="0"/>
        <w:spacing w:before="240"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 resposta</w:t>
      </w:r>
      <w:r w:rsidR="00CA39B2" w:rsidRPr="003A1174">
        <w:rPr>
          <w:rFonts w:ascii="Garamond" w:hAnsi="Garamond" w:cs="Arial"/>
          <w:color w:val="auto"/>
          <w:sz w:val="24"/>
          <w:szCs w:val="24"/>
          <w:lang w:val="pt-PT"/>
        </w:rPr>
        <w:t xml:space="preserve"> policial </w:t>
      </w:r>
      <w:r w:rsidRPr="003A1174">
        <w:rPr>
          <w:rFonts w:ascii="Garamond" w:hAnsi="Garamond" w:cs="Arial"/>
          <w:color w:val="auto"/>
          <w:sz w:val="24"/>
          <w:szCs w:val="24"/>
          <w:lang w:val="pt-PT"/>
        </w:rPr>
        <w:t>à</w:t>
      </w:r>
      <w:r w:rsidR="00CA39B2" w:rsidRPr="003A1174">
        <w:rPr>
          <w:rFonts w:ascii="Garamond" w:hAnsi="Garamond" w:cs="Arial"/>
          <w:color w:val="auto"/>
          <w:sz w:val="24"/>
          <w:szCs w:val="24"/>
          <w:lang w:val="pt-PT"/>
        </w:rPr>
        <w:t xml:space="preserve">s </w:t>
      </w:r>
      <w:r w:rsidR="007342D9" w:rsidRPr="003A1174">
        <w:rPr>
          <w:rFonts w:ascii="Garamond" w:hAnsi="Garamond" w:cs="Arial"/>
          <w:color w:val="auto"/>
          <w:sz w:val="24"/>
          <w:szCs w:val="24"/>
          <w:lang w:val="pt-PT"/>
        </w:rPr>
        <w:t>situações</w:t>
      </w:r>
      <w:r w:rsidR="00CA39B2" w:rsidRPr="003A1174">
        <w:rPr>
          <w:rFonts w:ascii="Garamond" w:hAnsi="Garamond" w:cs="Arial"/>
          <w:color w:val="auto"/>
          <w:sz w:val="24"/>
          <w:szCs w:val="24"/>
          <w:lang w:val="pt-PT"/>
        </w:rPr>
        <w:t xml:space="preserve"> de </w:t>
      </w:r>
      <w:r w:rsidR="009E3E55" w:rsidRPr="003A1174">
        <w:rPr>
          <w:rFonts w:ascii="Garamond" w:hAnsi="Garamond" w:cs="Arial"/>
          <w:color w:val="auto"/>
          <w:sz w:val="24"/>
          <w:szCs w:val="24"/>
          <w:lang w:val="pt-PT"/>
        </w:rPr>
        <w:t>emergência</w:t>
      </w:r>
      <w:r w:rsidR="00CA39B2"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foi</w:t>
      </w:r>
      <w:r w:rsidR="00CA39B2" w:rsidRPr="003A1174">
        <w:rPr>
          <w:rFonts w:ascii="Garamond" w:hAnsi="Garamond" w:cs="Arial"/>
          <w:color w:val="auto"/>
          <w:sz w:val="24"/>
          <w:szCs w:val="24"/>
          <w:lang w:val="pt-PT"/>
        </w:rPr>
        <w:t xml:space="preserve"> eficaz, </w:t>
      </w:r>
      <w:r w:rsidRPr="003A1174">
        <w:rPr>
          <w:rFonts w:ascii="Garamond" w:hAnsi="Garamond" w:cs="Arial"/>
          <w:color w:val="auto"/>
          <w:sz w:val="24"/>
          <w:szCs w:val="24"/>
          <w:lang w:val="pt-PT"/>
        </w:rPr>
        <w:t xml:space="preserve">de </w:t>
      </w:r>
      <w:r w:rsidR="00CA39B2" w:rsidRPr="003A1174">
        <w:rPr>
          <w:rFonts w:ascii="Garamond" w:hAnsi="Garamond" w:cs="Arial"/>
          <w:color w:val="auto"/>
          <w:sz w:val="24"/>
          <w:szCs w:val="24"/>
          <w:lang w:val="pt-PT"/>
        </w:rPr>
        <w:t>acord</w:t>
      </w:r>
      <w:r w:rsidRPr="003A1174">
        <w:rPr>
          <w:rFonts w:ascii="Garamond" w:hAnsi="Garamond" w:cs="Arial"/>
          <w:color w:val="auto"/>
          <w:sz w:val="24"/>
          <w:szCs w:val="24"/>
          <w:lang w:val="pt-PT"/>
        </w:rPr>
        <w:t xml:space="preserve">o </w:t>
      </w:r>
      <w:r w:rsidR="00E95446" w:rsidRPr="003A1174">
        <w:rPr>
          <w:rFonts w:ascii="Garamond" w:hAnsi="Garamond" w:cs="Arial"/>
          <w:color w:val="auto"/>
          <w:sz w:val="24"/>
          <w:szCs w:val="24"/>
          <w:lang w:val="pt-PT"/>
        </w:rPr>
        <w:t>co</w:t>
      </w:r>
      <w:r w:rsidRPr="003A1174">
        <w:rPr>
          <w:rFonts w:ascii="Garamond" w:hAnsi="Garamond" w:cs="Arial"/>
          <w:color w:val="auto"/>
          <w:sz w:val="24"/>
          <w:szCs w:val="24"/>
          <w:lang w:val="pt-PT"/>
        </w:rPr>
        <w:t xml:space="preserve">m </w:t>
      </w:r>
      <w:r w:rsidR="00CA39B2" w:rsidRPr="003A1174">
        <w:rPr>
          <w:rFonts w:ascii="Garamond" w:hAnsi="Garamond" w:cs="Arial"/>
          <w:color w:val="auto"/>
          <w:sz w:val="24"/>
          <w:szCs w:val="24"/>
          <w:lang w:val="pt-PT"/>
        </w:rPr>
        <w:t xml:space="preserve">os protocolos </w:t>
      </w:r>
      <w:r w:rsidR="00661ADB" w:rsidRPr="003A1174">
        <w:rPr>
          <w:rFonts w:ascii="Garamond" w:hAnsi="Garamond" w:cs="Arial"/>
          <w:color w:val="auto"/>
          <w:sz w:val="24"/>
          <w:szCs w:val="24"/>
          <w:lang w:val="pt-PT"/>
        </w:rPr>
        <w:t>estabelecido</w:t>
      </w:r>
      <w:r w:rsidR="00CA39B2"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dentro </w:t>
      </w:r>
      <w:r w:rsidR="00497503" w:rsidRPr="003A1174">
        <w:rPr>
          <w:rFonts w:ascii="Garamond" w:hAnsi="Garamond" w:cs="Arial"/>
          <w:color w:val="auto"/>
          <w:sz w:val="24"/>
          <w:szCs w:val="24"/>
          <w:lang w:val="pt-PT"/>
        </w:rPr>
        <w:t>dos</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tempo</w:t>
      </w:r>
      <w:r w:rsidR="00797E74" w:rsidRPr="003A1174">
        <w:rPr>
          <w:rFonts w:ascii="Garamond" w:hAnsi="Garamond" w:cs="Arial"/>
          <w:color w:val="auto"/>
          <w:sz w:val="24"/>
          <w:szCs w:val="24"/>
          <w:lang w:val="pt-PT"/>
        </w:rPr>
        <w:t xml:space="preserve">s previstos. </w:t>
      </w:r>
      <w:r w:rsidR="00CA39B2" w:rsidRPr="003A1174">
        <w:rPr>
          <w:rFonts w:ascii="Garamond" w:hAnsi="Garamond" w:cs="Arial"/>
          <w:color w:val="auto"/>
          <w:sz w:val="24"/>
          <w:szCs w:val="24"/>
          <w:lang w:val="pt-PT"/>
        </w:rPr>
        <w:t xml:space="preserve"> </w:t>
      </w:r>
    </w:p>
    <w:p w:rsidR="00CA39B2" w:rsidRPr="003A1174" w:rsidRDefault="00CA39B2" w:rsidP="008719D4">
      <w:pPr>
        <w:pStyle w:val="Prrafodelista"/>
        <w:numPr>
          <w:ilvl w:val="0"/>
          <w:numId w:val="25"/>
        </w:numPr>
        <w:autoSpaceDE w:val="0"/>
        <w:spacing w:before="240"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U</w:t>
      </w:r>
      <w:r w:rsidR="00AB6522"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número importante </w:t>
      </w:r>
      <w:r w:rsidR="00497503" w:rsidRPr="003A1174">
        <w:rPr>
          <w:rFonts w:ascii="Garamond" w:hAnsi="Garamond" w:cs="Arial"/>
          <w:color w:val="auto"/>
          <w:sz w:val="24"/>
          <w:szCs w:val="24"/>
          <w:lang w:val="pt-PT"/>
        </w:rPr>
        <w:t>dos</w:t>
      </w:r>
      <w:r w:rsidRPr="003A1174">
        <w:rPr>
          <w:rFonts w:ascii="Garamond" w:hAnsi="Garamond" w:cs="Arial"/>
          <w:color w:val="auto"/>
          <w:sz w:val="24"/>
          <w:szCs w:val="24"/>
          <w:lang w:val="pt-PT"/>
        </w:rPr>
        <w:t xml:space="preserve"> </w:t>
      </w:r>
      <w:r w:rsidR="00AB6522" w:rsidRPr="003A1174">
        <w:rPr>
          <w:rFonts w:ascii="Garamond" w:hAnsi="Garamond" w:cs="Arial"/>
          <w:color w:val="auto"/>
          <w:sz w:val="24"/>
          <w:szCs w:val="24"/>
          <w:lang w:val="pt-PT"/>
        </w:rPr>
        <w:t xml:space="preserve">agressores </w:t>
      </w:r>
      <w:r w:rsidRPr="003A1174">
        <w:rPr>
          <w:rFonts w:ascii="Garamond" w:hAnsi="Garamond" w:cs="Arial"/>
          <w:color w:val="auto"/>
          <w:sz w:val="24"/>
          <w:szCs w:val="24"/>
          <w:lang w:val="pt-PT"/>
        </w:rPr>
        <w:t>que transgredi</w:t>
      </w:r>
      <w:r w:rsidR="00AB6522" w:rsidRPr="003A1174">
        <w:rPr>
          <w:rFonts w:ascii="Garamond" w:hAnsi="Garamond" w:cs="Arial"/>
          <w:color w:val="auto"/>
          <w:sz w:val="24"/>
          <w:szCs w:val="24"/>
          <w:lang w:val="pt-PT"/>
        </w:rPr>
        <w:t xml:space="preserve">ram </w:t>
      </w:r>
      <w:r w:rsidRPr="003A1174">
        <w:rPr>
          <w:rFonts w:ascii="Garamond" w:hAnsi="Garamond" w:cs="Arial"/>
          <w:color w:val="auto"/>
          <w:sz w:val="24"/>
          <w:szCs w:val="24"/>
          <w:lang w:val="pt-PT"/>
        </w:rPr>
        <w:t>a medida f</w:t>
      </w:r>
      <w:r w:rsidR="00AB6522" w:rsidRPr="003A1174">
        <w:rPr>
          <w:rFonts w:ascii="Garamond" w:hAnsi="Garamond" w:cs="Arial"/>
          <w:color w:val="auto"/>
          <w:sz w:val="24"/>
          <w:szCs w:val="24"/>
          <w:lang w:val="pt-PT"/>
        </w:rPr>
        <w:t>oi processad</w:t>
      </w:r>
      <w:r w:rsidRPr="003A1174">
        <w:rPr>
          <w:rFonts w:ascii="Garamond" w:hAnsi="Garamond" w:cs="Arial"/>
          <w:color w:val="auto"/>
          <w:sz w:val="24"/>
          <w:szCs w:val="24"/>
          <w:lang w:val="pt-PT"/>
        </w:rPr>
        <w:t>o.</w:t>
      </w:r>
    </w:p>
    <w:p w:rsidR="00CA39B2" w:rsidRPr="003A1174" w:rsidRDefault="00AB6522" w:rsidP="008719D4">
      <w:pPr>
        <w:autoSpaceDE w:val="0"/>
        <w:spacing w:before="240" w:after="0" w:line="240" w:lineRule="auto"/>
        <w:jc w:val="both"/>
        <w:rPr>
          <w:rFonts w:ascii="Garamond" w:hAnsi="Garamond" w:cs="Arial"/>
          <w:sz w:val="24"/>
          <w:szCs w:val="24"/>
        </w:rPr>
      </w:pPr>
      <w:r w:rsidRPr="003A1174">
        <w:rPr>
          <w:rFonts w:ascii="Garamond" w:hAnsi="Garamond" w:cs="Arial"/>
          <w:sz w:val="24"/>
          <w:szCs w:val="24"/>
        </w:rPr>
        <w:t xml:space="preserve">Em resumo, o próprio </w:t>
      </w:r>
      <w:r w:rsidR="009E3E55" w:rsidRPr="003A1174">
        <w:rPr>
          <w:rFonts w:ascii="Garamond" w:hAnsi="Garamond" w:cs="Arial"/>
          <w:sz w:val="24"/>
          <w:szCs w:val="24"/>
        </w:rPr>
        <w:t>Relatório</w:t>
      </w:r>
      <w:r w:rsidR="00CA39B2" w:rsidRPr="003A1174">
        <w:rPr>
          <w:rFonts w:ascii="Garamond" w:hAnsi="Garamond" w:cs="Arial"/>
          <w:sz w:val="24"/>
          <w:szCs w:val="24"/>
        </w:rPr>
        <w:t xml:space="preserve"> </w:t>
      </w:r>
      <w:r w:rsidRPr="003A1174">
        <w:rPr>
          <w:rFonts w:ascii="Garamond" w:hAnsi="Garamond" w:cs="Arial"/>
          <w:sz w:val="24"/>
          <w:szCs w:val="24"/>
        </w:rPr>
        <w:t xml:space="preserve">apresenta uma </w:t>
      </w:r>
      <w:r w:rsidR="008278C4" w:rsidRPr="003A1174">
        <w:rPr>
          <w:rFonts w:ascii="Garamond" w:hAnsi="Garamond" w:cs="Arial"/>
          <w:sz w:val="24"/>
          <w:szCs w:val="24"/>
        </w:rPr>
        <w:t>qualidade</w:t>
      </w:r>
      <w:r w:rsidR="00CA39B2" w:rsidRPr="003A1174">
        <w:rPr>
          <w:rFonts w:ascii="Garamond" w:hAnsi="Garamond" w:cs="Arial"/>
          <w:sz w:val="24"/>
          <w:szCs w:val="24"/>
        </w:rPr>
        <w:t xml:space="preserve"> de </w:t>
      </w:r>
      <w:r w:rsidR="005D38DC" w:rsidRPr="003A1174">
        <w:rPr>
          <w:rFonts w:ascii="Garamond" w:hAnsi="Garamond" w:cs="Arial"/>
          <w:sz w:val="24"/>
          <w:szCs w:val="24"/>
        </w:rPr>
        <w:t>aspeto</w:t>
      </w:r>
      <w:r w:rsidR="00CA39B2" w:rsidRPr="003A1174">
        <w:rPr>
          <w:rFonts w:ascii="Garamond" w:hAnsi="Garamond" w:cs="Arial"/>
          <w:sz w:val="24"/>
          <w:szCs w:val="24"/>
        </w:rPr>
        <w:t xml:space="preserve"> </w:t>
      </w:r>
      <w:r w:rsidR="00661ADB" w:rsidRPr="003A1174">
        <w:rPr>
          <w:rFonts w:ascii="Garamond" w:hAnsi="Garamond" w:cs="Arial"/>
          <w:sz w:val="24"/>
          <w:szCs w:val="24"/>
        </w:rPr>
        <w:t>essencial</w:t>
      </w:r>
      <w:r w:rsidR="00CA39B2" w:rsidRPr="003A1174">
        <w:rPr>
          <w:rFonts w:ascii="Garamond" w:hAnsi="Garamond" w:cs="Arial"/>
          <w:sz w:val="24"/>
          <w:szCs w:val="24"/>
        </w:rPr>
        <w:t xml:space="preserve"> </w:t>
      </w:r>
      <w:r w:rsidRPr="003A1174">
        <w:rPr>
          <w:rFonts w:ascii="Garamond" w:hAnsi="Garamond" w:cs="Arial"/>
          <w:sz w:val="24"/>
          <w:szCs w:val="24"/>
        </w:rPr>
        <w:t>pois nenhuma</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s</w:t>
      </w:r>
      <w:r w:rsidRPr="003A1174">
        <w:rPr>
          <w:rFonts w:ascii="Garamond" w:hAnsi="Garamond" w:cs="Arial"/>
          <w:sz w:val="24"/>
          <w:szCs w:val="24"/>
        </w:rPr>
        <w:t>,</w:t>
      </w:r>
      <w:r w:rsidR="00CA39B2" w:rsidRPr="003A1174">
        <w:rPr>
          <w:rFonts w:ascii="Garamond" w:hAnsi="Garamond" w:cs="Arial"/>
          <w:sz w:val="24"/>
          <w:szCs w:val="24"/>
        </w:rPr>
        <w:t xml:space="preserve"> dentro </w:t>
      </w:r>
      <w:r w:rsidR="008A3DA2" w:rsidRPr="003A1174">
        <w:rPr>
          <w:rFonts w:ascii="Garamond" w:hAnsi="Garamond" w:cs="Arial"/>
          <w:sz w:val="24"/>
          <w:szCs w:val="24"/>
        </w:rPr>
        <w:t>do</w:t>
      </w:r>
      <w:r w:rsidR="00CA39B2" w:rsidRPr="003A1174">
        <w:rPr>
          <w:rFonts w:ascii="Garamond" w:hAnsi="Garamond" w:cs="Arial"/>
          <w:sz w:val="24"/>
          <w:szCs w:val="24"/>
        </w:rPr>
        <w:t xml:space="preserve"> programa</w:t>
      </w:r>
      <w:r w:rsidRPr="003A1174">
        <w:rPr>
          <w:rFonts w:ascii="Garamond" w:hAnsi="Garamond" w:cs="Arial"/>
          <w:sz w:val="24"/>
          <w:szCs w:val="24"/>
        </w:rPr>
        <w:t>,</w:t>
      </w:r>
      <w:r w:rsidR="00CA39B2" w:rsidRPr="003A1174">
        <w:rPr>
          <w:rFonts w:ascii="Garamond" w:hAnsi="Garamond" w:cs="Arial"/>
          <w:sz w:val="24"/>
          <w:szCs w:val="24"/>
        </w:rPr>
        <w:t xml:space="preserve"> est</w:t>
      </w:r>
      <w:r w:rsidRPr="003A1174">
        <w:rPr>
          <w:rFonts w:ascii="Garamond" w:hAnsi="Garamond" w:cs="Arial"/>
          <w:sz w:val="24"/>
          <w:szCs w:val="24"/>
        </w:rPr>
        <w:t>eve em</w:t>
      </w:r>
      <w:r w:rsidR="00CA39B2" w:rsidRPr="003A1174">
        <w:rPr>
          <w:rFonts w:ascii="Garamond" w:hAnsi="Garamond" w:cs="Arial"/>
          <w:sz w:val="24"/>
          <w:szCs w:val="24"/>
        </w:rPr>
        <w:t xml:space="preserve"> </w:t>
      </w:r>
      <w:r w:rsidR="0017447A" w:rsidRPr="003A1174">
        <w:rPr>
          <w:rFonts w:ascii="Garamond" w:hAnsi="Garamond" w:cs="Arial"/>
          <w:sz w:val="24"/>
          <w:szCs w:val="24"/>
        </w:rPr>
        <w:t>situação</w:t>
      </w:r>
      <w:r w:rsidR="00CA39B2" w:rsidRPr="003A1174">
        <w:rPr>
          <w:rFonts w:ascii="Garamond" w:hAnsi="Garamond" w:cs="Arial"/>
          <w:sz w:val="24"/>
          <w:szCs w:val="24"/>
        </w:rPr>
        <w:t xml:space="preserve"> de </w:t>
      </w:r>
      <w:r w:rsidR="008651AF" w:rsidRPr="003A1174">
        <w:rPr>
          <w:rFonts w:ascii="Garamond" w:hAnsi="Garamond" w:cs="Arial"/>
          <w:sz w:val="24"/>
          <w:szCs w:val="24"/>
        </w:rPr>
        <w:t>risco</w:t>
      </w:r>
      <w:r w:rsidR="00CA39B2" w:rsidRPr="003A1174">
        <w:rPr>
          <w:rFonts w:ascii="Garamond" w:hAnsi="Garamond" w:cs="Arial"/>
          <w:sz w:val="24"/>
          <w:szCs w:val="24"/>
        </w:rPr>
        <w:t xml:space="preserve"> </w:t>
      </w:r>
      <w:r w:rsidRPr="003A1174">
        <w:rPr>
          <w:rFonts w:ascii="Garamond" w:hAnsi="Garamond" w:cs="Arial"/>
          <w:sz w:val="24"/>
          <w:szCs w:val="24"/>
        </w:rPr>
        <w:t>per</w:t>
      </w:r>
      <w:r w:rsidR="00CA39B2" w:rsidRPr="003A1174">
        <w:rPr>
          <w:rFonts w:ascii="Garamond" w:hAnsi="Garamond" w:cs="Arial"/>
          <w:sz w:val="24"/>
          <w:szCs w:val="24"/>
        </w:rPr>
        <w:t xml:space="preserve">ante </w:t>
      </w:r>
      <w:r w:rsidRPr="003A1174">
        <w:rPr>
          <w:rFonts w:ascii="Garamond" w:hAnsi="Garamond" w:cs="Arial"/>
          <w:sz w:val="24"/>
          <w:szCs w:val="24"/>
        </w:rPr>
        <w:t>o agressor.</w:t>
      </w:r>
    </w:p>
    <w:p w:rsidR="00CA39B2" w:rsidRPr="003A1174" w:rsidRDefault="00AB6522" w:rsidP="008719D4">
      <w:pPr>
        <w:snapToGrid w:val="0"/>
        <w:spacing w:before="240" w:after="0" w:line="240" w:lineRule="auto"/>
        <w:jc w:val="both"/>
        <w:rPr>
          <w:rFonts w:ascii="Garamond" w:hAnsi="Garamond" w:cs="Arial"/>
          <w:sz w:val="24"/>
          <w:szCs w:val="24"/>
        </w:rPr>
      </w:pPr>
      <w:r w:rsidRPr="003A1174">
        <w:rPr>
          <w:rFonts w:ascii="Garamond" w:eastAsia="Times New Roman" w:hAnsi="Garamond" w:cs="Arial"/>
          <w:sz w:val="24"/>
          <w:szCs w:val="24"/>
        </w:rPr>
        <w:t xml:space="preserve">No decorrer de </w:t>
      </w:r>
      <w:r w:rsidR="00CA39B2" w:rsidRPr="003A1174">
        <w:rPr>
          <w:rFonts w:ascii="Garamond" w:eastAsia="Times New Roman" w:hAnsi="Garamond" w:cs="Arial"/>
          <w:sz w:val="24"/>
          <w:szCs w:val="24"/>
        </w:rPr>
        <w:t>2014</w:t>
      </w:r>
      <w:r w:rsidR="00E95446" w:rsidRPr="003A1174">
        <w:rPr>
          <w:rFonts w:ascii="Garamond" w:eastAsia="Times New Roman" w:hAnsi="Garamond" w:cs="Arial"/>
          <w:sz w:val="24"/>
          <w:szCs w:val="24"/>
        </w:rPr>
        <w:t>,</w:t>
      </w:r>
      <w:r w:rsidR="00CA39B2" w:rsidRPr="003A1174">
        <w:rPr>
          <w:rFonts w:ascii="Garamond" w:eastAsia="Times New Roman" w:hAnsi="Garamond" w:cs="Arial"/>
          <w:sz w:val="24"/>
          <w:szCs w:val="24"/>
        </w:rPr>
        <w:t xml:space="preserve"> </w:t>
      </w:r>
      <w:r w:rsidR="00DE116F">
        <w:rPr>
          <w:rFonts w:ascii="Garamond" w:eastAsia="Times New Roman" w:hAnsi="Garamond" w:cs="Arial"/>
          <w:sz w:val="24"/>
          <w:szCs w:val="24"/>
        </w:rPr>
        <w:t xml:space="preserve">estendeu-se </w:t>
      </w:r>
      <w:r w:rsidRPr="003A1174">
        <w:rPr>
          <w:rFonts w:ascii="Garamond" w:eastAsia="Times New Roman" w:hAnsi="Garamond" w:cs="Arial"/>
          <w:sz w:val="24"/>
          <w:szCs w:val="24"/>
        </w:rPr>
        <w:t xml:space="preserve">o </w:t>
      </w:r>
      <w:r w:rsidR="00CA39B2" w:rsidRPr="003A1174">
        <w:rPr>
          <w:rFonts w:ascii="Garamond" w:eastAsia="Times New Roman" w:hAnsi="Garamond" w:cs="Arial"/>
          <w:sz w:val="24"/>
          <w:szCs w:val="24"/>
        </w:rPr>
        <w:t xml:space="preserve">Programa aos departamentos de Canelones (capital) </w:t>
      </w:r>
      <w:r w:rsidR="00497503" w:rsidRPr="003A1174">
        <w:rPr>
          <w:rFonts w:ascii="Garamond" w:eastAsia="Times New Roman" w:hAnsi="Garamond" w:cs="Arial"/>
          <w:sz w:val="24"/>
          <w:szCs w:val="24"/>
        </w:rPr>
        <w:t>e</w:t>
      </w:r>
      <w:r w:rsidR="00CA39B2" w:rsidRPr="003A1174">
        <w:rPr>
          <w:rFonts w:ascii="Garamond" w:eastAsia="Times New Roman" w:hAnsi="Garamond" w:cs="Arial"/>
          <w:sz w:val="24"/>
          <w:szCs w:val="24"/>
        </w:rPr>
        <w:t xml:space="preserve"> San José (Ciudad del Plata).</w:t>
      </w:r>
    </w:p>
    <w:p w:rsidR="00CA39B2" w:rsidRPr="003A1174" w:rsidRDefault="00CA39B2" w:rsidP="008719D4">
      <w:pPr>
        <w:spacing w:before="240" w:line="240" w:lineRule="auto"/>
        <w:jc w:val="both"/>
        <w:rPr>
          <w:rFonts w:ascii="Garamond" w:hAnsi="Garamond" w:cs="Arial"/>
          <w:sz w:val="24"/>
          <w:szCs w:val="24"/>
        </w:rPr>
      </w:pPr>
      <w:r w:rsidRPr="003A1174">
        <w:rPr>
          <w:rFonts w:ascii="Garamond" w:hAnsi="Garamond" w:cs="Arial"/>
          <w:sz w:val="24"/>
          <w:szCs w:val="24"/>
        </w:rPr>
        <w:t>Por s</w:t>
      </w:r>
      <w:r w:rsidR="00AB6522" w:rsidRPr="003A1174">
        <w:rPr>
          <w:rFonts w:ascii="Garamond" w:hAnsi="Garamond" w:cs="Arial"/>
          <w:sz w:val="24"/>
          <w:szCs w:val="24"/>
        </w:rPr>
        <w:t>e</w:t>
      </w:r>
      <w:r w:rsidRPr="003A1174">
        <w:rPr>
          <w:rFonts w:ascii="Garamond" w:hAnsi="Garamond" w:cs="Arial"/>
          <w:sz w:val="24"/>
          <w:szCs w:val="24"/>
        </w:rPr>
        <w:t xml:space="preserve">u </w:t>
      </w:r>
      <w:r w:rsidR="00AB6522" w:rsidRPr="003A1174">
        <w:rPr>
          <w:rFonts w:ascii="Garamond" w:hAnsi="Garamond" w:cs="Arial"/>
          <w:sz w:val="24"/>
          <w:szCs w:val="24"/>
        </w:rPr>
        <w:t>lado</w:t>
      </w:r>
      <w:r w:rsidR="00E95446" w:rsidRPr="003A1174">
        <w:rPr>
          <w:rFonts w:ascii="Garamond" w:hAnsi="Garamond" w:cs="Arial"/>
          <w:sz w:val="24"/>
          <w:szCs w:val="24"/>
        </w:rPr>
        <w:t>,</w:t>
      </w:r>
      <w:r w:rsidRPr="003A1174">
        <w:rPr>
          <w:rFonts w:ascii="Garamond" w:hAnsi="Garamond" w:cs="Arial"/>
          <w:sz w:val="24"/>
          <w:szCs w:val="24"/>
        </w:rPr>
        <w:t xml:space="preserve"> </w:t>
      </w:r>
      <w:r w:rsidR="00AB6522" w:rsidRPr="003A1174">
        <w:rPr>
          <w:rFonts w:ascii="Garamond" w:hAnsi="Garamond" w:cs="Arial"/>
          <w:sz w:val="24"/>
          <w:szCs w:val="24"/>
        </w:rPr>
        <w:t xml:space="preserve">o </w:t>
      </w:r>
      <w:r w:rsidRPr="003A1174">
        <w:rPr>
          <w:rFonts w:ascii="Garamond" w:hAnsi="Garamond" w:cs="Arial"/>
          <w:sz w:val="24"/>
          <w:szCs w:val="24"/>
        </w:rPr>
        <w:t>Poder Judicial contrat</w:t>
      </w:r>
      <w:r w:rsidR="00AB6522" w:rsidRPr="003A1174">
        <w:rPr>
          <w:rFonts w:ascii="Garamond" w:hAnsi="Garamond" w:cs="Arial"/>
          <w:sz w:val="24"/>
          <w:szCs w:val="24"/>
        </w:rPr>
        <w:t>ou um</w:t>
      </w:r>
      <w:r w:rsidRPr="003A1174">
        <w:rPr>
          <w:rFonts w:ascii="Garamond" w:hAnsi="Garamond" w:cs="Arial"/>
          <w:sz w:val="24"/>
          <w:szCs w:val="24"/>
        </w:rPr>
        <w:t xml:space="preserve">a </w:t>
      </w:r>
      <w:r w:rsidR="00DE116F">
        <w:rPr>
          <w:rFonts w:ascii="Garamond" w:hAnsi="Garamond" w:cs="Arial"/>
          <w:sz w:val="24"/>
          <w:szCs w:val="24"/>
        </w:rPr>
        <w:t>a</w:t>
      </w:r>
      <w:r w:rsidR="000350B1" w:rsidRPr="003A1174">
        <w:rPr>
          <w:rFonts w:ascii="Garamond" w:hAnsi="Garamond" w:cs="Arial"/>
          <w:sz w:val="24"/>
          <w:szCs w:val="24"/>
        </w:rPr>
        <w:t>ssistência</w:t>
      </w:r>
      <w:r w:rsidRPr="003A1174">
        <w:rPr>
          <w:rFonts w:ascii="Garamond" w:hAnsi="Garamond" w:cs="Arial"/>
          <w:sz w:val="24"/>
          <w:szCs w:val="24"/>
        </w:rPr>
        <w:t xml:space="preserve"> técnica para</w:t>
      </w:r>
      <w:r w:rsidR="00AB6522" w:rsidRPr="003A1174">
        <w:rPr>
          <w:rFonts w:ascii="Garamond" w:hAnsi="Garamond" w:cs="Arial"/>
          <w:sz w:val="24"/>
          <w:szCs w:val="24"/>
        </w:rPr>
        <w:t xml:space="preserve"> o </w:t>
      </w:r>
      <w:r w:rsidR="003F012B" w:rsidRPr="003A1174">
        <w:rPr>
          <w:rFonts w:ascii="Garamond" w:hAnsi="Garamond" w:cs="Arial"/>
          <w:sz w:val="24"/>
          <w:szCs w:val="24"/>
        </w:rPr>
        <w:t>estudo</w:t>
      </w:r>
      <w:r w:rsidRPr="003A1174">
        <w:rPr>
          <w:rFonts w:ascii="Garamond" w:hAnsi="Garamond" w:cs="Arial"/>
          <w:sz w:val="24"/>
          <w:szCs w:val="24"/>
        </w:rPr>
        <w:t xml:space="preserve"> da </w:t>
      </w:r>
      <w:r w:rsidR="00D4575C" w:rsidRPr="003A1174">
        <w:rPr>
          <w:rFonts w:ascii="Garamond" w:hAnsi="Garamond" w:cs="Arial"/>
          <w:sz w:val="24"/>
          <w:szCs w:val="24"/>
        </w:rPr>
        <w:t>gestão</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FB09CA" w:rsidRPr="003A1174">
        <w:rPr>
          <w:rFonts w:ascii="Garamond" w:hAnsi="Garamond" w:cs="Arial"/>
          <w:sz w:val="24"/>
          <w:szCs w:val="24"/>
        </w:rPr>
        <w:t>funcionamento</w:t>
      </w:r>
      <w:r w:rsidRPr="003A1174">
        <w:rPr>
          <w:rFonts w:ascii="Garamond" w:hAnsi="Garamond" w:cs="Arial"/>
          <w:sz w:val="24"/>
          <w:szCs w:val="24"/>
        </w:rPr>
        <w:t xml:space="preserve"> d</w:t>
      </w:r>
      <w:r w:rsidR="00AB6522" w:rsidRPr="003A1174">
        <w:rPr>
          <w:rFonts w:ascii="Garamond" w:hAnsi="Garamond" w:cs="Arial"/>
          <w:sz w:val="24"/>
          <w:szCs w:val="24"/>
        </w:rPr>
        <w:t>a</w:t>
      </w:r>
      <w:r w:rsidRPr="003A1174">
        <w:rPr>
          <w:rFonts w:ascii="Garamond" w:hAnsi="Garamond" w:cs="Arial"/>
          <w:sz w:val="24"/>
          <w:szCs w:val="24"/>
        </w:rPr>
        <w:t xml:space="preserve"> área </w:t>
      </w:r>
      <w:r w:rsidR="001F2F8B" w:rsidRPr="003A1174">
        <w:rPr>
          <w:rFonts w:ascii="Garamond" w:hAnsi="Garamond" w:cs="Arial"/>
          <w:sz w:val="24"/>
          <w:szCs w:val="24"/>
        </w:rPr>
        <w:t>jurisdicional</w:t>
      </w:r>
      <w:r w:rsidRPr="003A1174">
        <w:rPr>
          <w:rFonts w:ascii="Garamond" w:hAnsi="Garamond" w:cs="Arial"/>
          <w:sz w:val="24"/>
          <w:szCs w:val="24"/>
        </w:rPr>
        <w:t xml:space="preserve"> e</w:t>
      </w:r>
      <w:r w:rsidR="00AB6522"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de género, </w:t>
      </w:r>
      <w:r w:rsidR="00AB6522" w:rsidRPr="003A1174">
        <w:rPr>
          <w:rFonts w:ascii="Garamond" w:hAnsi="Garamond" w:cs="Arial"/>
          <w:sz w:val="24"/>
          <w:szCs w:val="24"/>
        </w:rPr>
        <w:t xml:space="preserve">no </w:t>
      </w:r>
      <w:r w:rsidR="00253B1D" w:rsidRPr="003A1174">
        <w:rPr>
          <w:rFonts w:ascii="Garamond" w:hAnsi="Garamond" w:cs="Arial"/>
          <w:sz w:val="24"/>
          <w:szCs w:val="24"/>
        </w:rPr>
        <w:t>quadro</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Programa Integral de </w:t>
      </w:r>
      <w:r w:rsidR="001C2738" w:rsidRPr="003A1174">
        <w:rPr>
          <w:rFonts w:ascii="Garamond" w:hAnsi="Garamond" w:cs="Arial"/>
          <w:sz w:val="24"/>
          <w:szCs w:val="24"/>
        </w:rPr>
        <w:t>Luta</w:t>
      </w:r>
      <w:r w:rsidR="00AB6522" w:rsidRPr="003A1174">
        <w:rPr>
          <w:rFonts w:ascii="Garamond" w:hAnsi="Garamond" w:cs="Arial"/>
          <w:sz w:val="24"/>
          <w:szCs w:val="24"/>
        </w:rPr>
        <w:t xml:space="preserve"> contra </w:t>
      </w:r>
      <w:r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de Género (PILCVG). </w:t>
      </w:r>
      <w:r w:rsidR="00AB6522" w:rsidRPr="003A1174">
        <w:rPr>
          <w:rFonts w:ascii="Garamond" w:hAnsi="Garamond" w:cs="Arial"/>
          <w:sz w:val="24"/>
          <w:szCs w:val="24"/>
        </w:rPr>
        <w:t xml:space="preserve">O </w:t>
      </w:r>
      <w:r w:rsidR="003F012B" w:rsidRPr="003A1174">
        <w:rPr>
          <w:rFonts w:ascii="Garamond" w:hAnsi="Garamond" w:cs="Arial"/>
          <w:sz w:val="24"/>
          <w:szCs w:val="24"/>
        </w:rPr>
        <w:t>estudo</w:t>
      </w:r>
      <w:r w:rsidRPr="003A1174">
        <w:rPr>
          <w:rFonts w:ascii="Garamond" w:hAnsi="Garamond" w:cs="Arial"/>
          <w:sz w:val="24"/>
          <w:szCs w:val="24"/>
        </w:rPr>
        <w:t xml:space="preserve"> </w:t>
      </w:r>
      <w:r w:rsidR="00462B11" w:rsidRPr="003A1174">
        <w:rPr>
          <w:rFonts w:ascii="Garamond" w:hAnsi="Garamond" w:cs="Arial"/>
          <w:sz w:val="24"/>
          <w:szCs w:val="24"/>
        </w:rPr>
        <w:t>foi</w:t>
      </w:r>
      <w:r w:rsidRPr="003A1174">
        <w:rPr>
          <w:rFonts w:ascii="Garamond" w:hAnsi="Garamond" w:cs="Arial"/>
          <w:sz w:val="24"/>
          <w:szCs w:val="24"/>
        </w:rPr>
        <w:t xml:space="preserve"> realizado p</w:t>
      </w:r>
      <w:r w:rsidR="00AB6522" w:rsidRPr="003A1174">
        <w:rPr>
          <w:rFonts w:ascii="Garamond" w:hAnsi="Garamond" w:cs="Arial"/>
          <w:sz w:val="24"/>
          <w:szCs w:val="24"/>
        </w:rPr>
        <w:t>e</w:t>
      </w:r>
      <w:r w:rsidRPr="003A1174">
        <w:rPr>
          <w:rFonts w:ascii="Garamond" w:hAnsi="Garamond" w:cs="Arial"/>
          <w:sz w:val="24"/>
          <w:szCs w:val="24"/>
        </w:rPr>
        <w:t xml:space="preserve">la </w:t>
      </w:r>
      <w:r w:rsidR="00AB6522" w:rsidRPr="003A1174">
        <w:rPr>
          <w:rFonts w:ascii="Garamond" w:hAnsi="Garamond" w:cs="Arial"/>
          <w:sz w:val="24"/>
          <w:szCs w:val="24"/>
        </w:rPr>
        <w:t>Faculdade de Ciê</w:t>
      </w:r>
      <w:r w:rsidRPr="003A1174">
        <w:rPr>
          <w:rFonts w:ascii="Garamond" w:hAnsi="Garamond" w:cs="Arial"/>
          <w:sz w:val="24"/>
          <w:szCs w:val="24"/>
        </w:rPr>
        <w:t xml:space="preserve">ncias </w:t>
      </w:r>
      <w:r w:rsidR="003F012B" w:rsidRPr="003A1174">
        <w:rPr>
          <w:rFonts w:ascii="Garamond" w:hAnsi="Garamond" w:cs="Arial"/>
          <w:sz w:val="24"/>
          <w:szCs w:val="24"/>
        </w:rPr>
        <w:t>Sociais</w:t>
      </w:r>
      <w:r w:rsidRPr="003A1174">
        <w:rPr>
          <w:rFonts w:ascii="Garamond" w:hAnsi="Garamond" w:cs="Arial"/>
          <w:sz w:val="24"/>
          <w:szCs w:val="24"/>
        </w:rPr>
        <w:t xml:space="preserve"> </w:t>
      </w:r>
      <w:r w:rsidR="00497503" w:rsidRPr="003A1174">
        <w:rPr>
          <w:rFonts w:ascii="Garamond" w:hAnsi="Garamond" w:cs="Arial"/>
          <w:sz w:val="24"/>
          <w:szCs w:val="24"/>
        </w:rPr>
        <w:t>e</w:t>
      </w:r>
      <w:r w:rsidR="00AB6522" w:rsidRPr="003A1174">
        <w:rPr>
          <w:rFonts w:ascii="Garamond" w:hAnsi="Garamond" w:cs="Arial"/>
          <w:sz w:val="24"/>
          <w:szCs w:val="24"/>
        </w:rPr>
        <w:t xml:space="preserve"> pel</w:t>
      </w:r>
      <w:r w:rsidRPr="003A1174">
        <w:rPr>
          <w:rFonts w:ascii="Garamond" w:hAnsi="Garamond" w:cs="Arial"/>
          <w:sz w:val="24"/>
          <w:szCs w:val="24"/>
        </w:rPr>
        <w:t xml:space="preserve">a </w:t>
      </w:r>
      <w:r w:rsidR="00AB6522" w:rsidRPr="003A1174">
        <w:rPr>
          <w:rFonts w:ascii="Garamond" w:hAnsi="Garamond" w:cs="Arial"/>
          <w:sz w:val="24"/>
          <w:szCs w:val="24"/>
        </w:rPr>
        <w:t>Faculdade</w:t>
      </w:r>
      <w:r w:rsidRPr="003A1174">
        <w:rPr>
          <w:rFonts w:ascii="Garamond" w:hAnsi="Garamond" w:cs="Arial"/>
          <w:sz w:val="24"/>
          <w:szCs w:val="24"/>
        </w:rPr>
        <w:t xml:space="preserve"> de </w:t>
      </w:r>
      <w:r w:rsidR="00886D6A" w:rsidRPr="003A1174">
        <w:rPr>
          <w:rFonts w:ascii="Garamond" w:hAnsi="Garamond" w:cs="Arial"/>
          <w:sz w:val="24"/>
          <w:szCs w:val="24"/>
        </w:rPr>
        <w:t>Direito</w:t>
      </w:r>
      <w:r w:rsidR="00AB6522" w:rsidRPr="003A1174">
        <w:rPr>
          <w:rFonts w:ascii="Garamond" w:hAnsi="Garamond" w:cs="Arial"/>
          <w:sz w:val="24"/>
          <w:szCs w:val="24"/>
        </w:rPr>
        <w:t xml:space="preserve"> de um</w:t>
      </w:r>
      <w:r w:rsidRPr="003A1174">
        <w:rPr>
          <w:rFonts w:ascii="Garamond" w:hAnsi="Garamond" w:cs="Arial"/>
          <w:sz w:val="24"/>
          <w:szCs w:val="24"/>
        </w:rPr>
        <w:t xml:space="preserve">a </w:t>
      </w:r>
      <w:r w:rsidR="00A862C2" w:rsidRPr="003A1174">
        <w:rPr>
          <w:rFonts w:ascii="Garamond" w:hAnsi="Garamond" w:cs="Arial"/>
          <w:sz w:val="24"/>
          <w:szCs w:val="24"/>
        </w:rPr>
        <w:t>entidade</w:t>
      </w:r>
      <w:r w:rsidR="00AB6522" w:rsidRPr="003A1174">
        <w:rPr>
          <w:rFonts w:ascii="Garamond" w:hAnsi="Garamond" w:cs="Arial"/>
          <w:sz w:val="24"/>
          <w:szCs w:val="24"/>
        </w:rPr>
        <w:t xml:space="preserve"> universitá</w:t>
      </w:r>
      <w:r w:rsidRPr="003A1174">
        <w:rPr>
          <w:rFonts w:ascii="Garamond" w:hAnsi="Garamond" w:cs="Arial"/>
          <w:sz w:val="24"/>
          <w:szCs w:val="24"/>
        </w:rPr>
        <w:t>ria</w:t>
      </w:r>
      <w:r w:rsidR="00E95446" w:rsidRPr="003A1174">
        <w:rPr>
          <w:rFonts w:ascii="Garamond" w:hAnsi="Garamond" w:cs="Arial"/>
          <w:sz w:val="24"/>
          <w:szCs w:val="24"/>
        </w:rPr>
        <w:t>,</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AB6522" w:rsidRPr="003A1174">
        <w:rPr>
          <w:rFonts w:ascii="Garamond" w:hAnsi="Garamond" w:cs="Arial"/>
          <w:sz w:val="24"/>
          <w:szCs w:val="24"/>
        </w:rPr>
        <w:t xml:space="preserve">encontra-se em </w:t>
      </w:r>
      <w:r w:rsidR="002D1021" w:rsidRPr="003A1174">
        <w:rPr>
          <w:rFonts w:ascii="Garamond" w:hAnsi="Garamond" w:cs="Arial"/>
          <w:sz w:val="24"/>
          <w:szCs w:val="24"/>
        </w:rPr>
        <w:t>processo</w:t>
      </w:r>
      <w:r w:rsidRPr="003A1174">
        <w:rPr>
          <w:rFonts w:ascii="Garamond" w:hAnsi="Garamond" w:cs="Arial"/>
          <w:sz w:val="24"/>
          <w:szCs w:val="24"/>
        </w:rPr>
        <w:t xml:space="preserve"> de publica</w:t>
      </w:r>
      <w:r w:rsidR="00AB6522" w:rsidRPr="003A1174">
        <w:rPr>
          <w:rFonts w:ascii="Garamond" w:hAnsi="Garamond" w:cs="Arial"/>
          <w:sz w:val="24"/>
          <w:szCs w:val="24"/>
        </w:rPr>
        <w:t>ção</w:t>
      </w:r>
      <w:r w:rsidRPr="003A1174">
        <w:rPr>
          <w:rFonts w:ascii="Garamond" w:hAnsi="Garamond" w:cs="Arial"/>
          <w:sz w:val="24"/>
          <w:szCs w:val="24"/>
        </w:rPr>
        <w:t xml:space="preserve">. </w:t>
      </w:r>
    </w:p>
    <w:p w:rsidR="00CA39B2" w:rsidRPr="003A1174" w:rsidRDefault="00CA39B2" w:rsidP="008719D4">
      <w:pPr>
        <w:spacing w:before="240" w:line="240" w:lineRule="auto"/>
        <w:jc w:val="both"/>
        <w:rPr>
          <w:rFonts w:ascii="Garamond" w:hAnsi="Garamond" w:cs="Arial"/>
          <w:sz w:val="24"/>
          <w:szCs w:val="24"/>
        </w:rPr>
      </w:pPr>
      <w:r w:rsidRPr="003A1174">
        <w:rPr>
          <w:rFonts w:ascii="Garamond" w:hAnsi="Garamond" w:cs="Arial"/>
          <w:sz w:val="24"/>
          <w:szCs w:val="24"/>
        </w:rPr>
        <w:t>Da entrevista realizada</w:t>
      </w:r>
      <w:r w:rsidR="00DE116F">
        <w:rPr>
          <w:rFonts w:ascii="Garamond" w:hAnsi="Garamond" w:cs="Arial"/>
          <w:sz w:val="24"/>
          <w:szCs w:val="24"/>
        </w:rPr>
        <w:t>,</w:t>
      </w:r>
      <w:r w:rsidRPr="003A1174">
        <w:rPr>
          <w:rFonts w:ascii="Garamond" w:hAnsi="Garamond" w:cs="Arial"/>
          <w:sz w:val="24"/>
          <w:szCs w:val="24"/>
        </w:rPr>
        <w:t xml:space="preserve"> </w:t>
      </w:r>
      <w:r w:rsidR="00AB6522" w:rsidRPr="003A1174">
        <w:rPr>
          <w:rFonts w:ascii="Garamond" w:hAnsi="Garamond" w:cs="Arial"/>
          <w:sz w:val="24"/>
          <w:szCs w:val="24"/>
        </w:rPr>
        <w:t xml:space="preserve">a </w:t>
      </w:r>
      <w:r w:rsidRPr="003A1174">
        <w:rPr>
          <w:rFonts w:ascii="Garamond" w:hAnsi="Garamond" w:cs="Arial"/>
          <w:sz w:val="24"/>
          <w:szCs w:val="24"/>
        </w:rPr>
        <w:t xml:space="preserve">4 de </w:t>
      </w:r>
      <w:r w:rsidR="009E3E55" w:rsidRPr="003A1174">
        <w:rPr>
          <w:rFonts w:ascii="Garamond" w:hAnsi="Garamond" w:cs="Arial"/>
          <w:sz w:val="24"/>
          <w:szCs w:val="24"/>
        </w:rPr>
        <w:t>julho</w:t>
      </w:r>
      <w:r w:rsidRPr="003A1174">
        <w:rPr>
          <w:rFonts w:ascii="Garamond" w:hAnsi="Garamond" w:cs="Arial"/>
          <w:sz w:val="24"/>
          <w:szCs w:val="24"/>
        </w:rPr>
        <w:t xml:space="preserve"> de 2014</w:t>
      </w:r>
      <w:r w:rsidR="00DE116F">
        <w:rPr>
          <w:rFonts w:ascii="Garamond" w:hAnsi="Garamond" w:cs="Arial"/>
          <w:sz w:val="24"/>
          <w:szCs w:val="24"/>
        </w:rPr>
        <w:t>,</w:t>
      </w:r>
      <w:r w:rsidRPr="003A1174">
        <w:rPr>
          <w:rFonts w:ascii="Garamond" w:hAnsi="Garamond" w:cs="Arial"/>
          <w:sz w:val="24"/>
          <w:szCs w:val="24"/>
        </w:rPr>
        <w:t xml:space="preserve"> co</w:t>
      </w:r>
      <w:r w:rsidR="00AB6522" w:rsidRPr="003A1174">
        <w:rPr>
          <w:rFonts w:ascii="Garamond" w:hAnsi="Garamond" w:cs="Arial"/>
          <w:sz w:val="24"/>
          <w:szCs w:val="24"/>
        </w:rPr>
        <w:t>m</w:t>
      </w:r>
      <w:r w:rsidRPr="003A1174">
        <w:rPr>
          <w:rFonts w:ascii="Garamond" w:hAnsi="Garamond" w:cs="Arial"/>
          <w:sz w:val="24"/>
          <w:szCs w:val="24"/>
        </w:rPr>
        <w:t xml:space="preserve"> altas </w:t>
      </w:r>
      <w:r w:rsidR="003E6403" w:rsidRPr="003A1174">
        <w:rPr>
          <w:rFonts w:ascii="Garamond" w:hAnsi="Garamond" w:cs="Arial"/>
          <w:sz w:val="24"/>
          <w:szCs w:val="24"/>
        </w:rPr>
        <w:t>funcionári</w:t>
      </w:r>
      <w:r w:rsidRPr="003A1174">
        <w:rPr>
          <w:rFonts w:ascii="Garamond" w:hAnsi="Garamond" w:cs="Arial"/>
          <w:sz w:val="24"/>
          <w:szCs w:val="24"/>
        </w:rPr>
        <w:t xml:space="preserve">as </w:t>
      </w:r>
      <w:r w:rsidR="008A3DA2" w:rsidRPr="003A1174">
        <w:rPr>
          <w:rFonts w:ascii="Garamond" w:hAnsi="Garamond" w:cs="Arial"/>
          <w:sz w:val="24"/>
          <w:szCs w:val="24"/>
        </w:rPr>
        <w:t>do</w:t>
      </w:r>
      <w:r w:rsidRPr="003A1174">
        <w:rPr>
          <w:rFonts w:ascii="Garamond" w:hAnsi="Garamond" w:cs="Arial"/>
          <w:sz w:val="24"/>
          <w:szCs w:val="24"/>
        </w:rPr>
        <w:t xml:space="preserve"> PILVC, </w:t>
      </w:r>
      <w:r w:rsidR="00AB6522" w:rsidRPr="003A1174">
        <w:rPr>
          <w:rFonts w:ascii="Garamond" w:hAnsi="Garamond" w:cs="Arial"/>
          <w:sz w:val="24"/>
          <w:szCs w:val="24"/>
        </w:rPr>
        <w:t>destacam-</w:t>
      </w:r>
      <w:r w:rsidRPr="003A1174">
        <w:rPr>
          <w:rFonts w:ascii="Garamond" w:hAnsi="Garamond" w:cs="Arial"/>
          <w:sz w:val="24"/>
          <w:szCs w:val="24"/>
        </w:rPr>
        <w:t xml:space="preserve">se </w:t>
      </w:r>
      <w:r w:rsidR="00AB6522" w:rsidRPr="003A1174">
        <w:rPr>
          <w:rFonts w:ascii="Garamond" w:hAnsi="Garamond" w:cs="Arial"/>
          <w:sz w:val="24"/>
          <w:szCs w:val="24"/>
        </w:rPr>
        <w:t>o</w:t>
      </w:r>
      <w:r w:rsidRPr="003A1174">
        <w:rPr>
          <w:rFonts w:ascii="Garamond" w:hAnsi="Garamond" w:cs="Arial"/>
          <w:sz w:val="24"/>
          <w:szCs w:val="24"/>
        </w:rPr>
        <w:t xml:space="preserve">s </w:t>
      </w:r>
      <w:r w:rsidR="006F7276" w:rsidRPr="003A1174">
        <w:rPr>
          <w:rFonts w:ascii="Garamond" w:hAnsi="Garamond" w:cs="Arial"/>
          <w:sz w:val="24"/>
          <w:szCs w:val="24"/>
        </w:rPr>
        <w:t>seguintes</w:t>
      </w:r>
      <w:r w:rsidRPr="003A1174">
        <w:rPr>
          <w:rFonts w:ascii="Garamond" w:hAnsi="Garamond" w:cs="Arial"/>
          <w:sz w:val="24"/>
          <w:szCs w:val="24"/>
        </w:rPr>
        <w:t xml:space="preserve"> elementos relevantes:</w:t>
      </w:r>
    </w:p>
    <w:p w:rsidR="00CA39B2" w:rsidRPr="003A1174" w:rsidRDefault="007578C6"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Existência</w:t>
      </w:r>
      <w:r w:rsidR="00CA39B2" w:rsidRPr="003A1174">
        <w:rPr>
          <w:rFonts w:ascii="Garamond" w:hAnsi="Garamond" w:cs="Arial"/>
          <w:color w:val="auto"/>
          <w:sz w:val="24"/>
          <w:szCs w:val="24"/>
          <w:lang w:val="pt-PT"/>
        </w:rPr>
        <w:t xml:space="preserve"> de </w:t>
      </w:r>
      <w:r w:rsidR="00CD707D" w:rsidRPr="003A1174">
        <w:rPr>
          <w:rFonts w:ascii="Garamond" w:hAnsi="Garamond" w:cs="Arial"/>
          <w:color w:val="auto"/>
          <w:sz w:val="24"/>
          <w:szCs w:val="24"/>
          <w:lang w:val="pt-PT"/>
        </w:rPr>
        <w:t>alguma</w:t>
      </w:r>
      <w:r w:rsidR="00AB6522" w:rsidRPr="003A1174">
        <w:rPr>
          <w:rFonts w:ascii="Garamond" w:hAnsi="Garamond" w:cs="Arial"/>
          <w:color w:val="auto"/>
          <w:sz w:val="24"/>
          <w:szCs w:val="24"/>
          <w:lang w:val="pt-PT"/>
        </w:rPr>
        <w:t>s deficiê</w:t>
      </w:r>
      <w:r w:rsidR="00CA39B2" w:rsidRPr="003A1174">
        <w:rPr>
          <w:rFonts w:ascii="Garamond" w:hAnsi="Garamond" w:cs="Arial"/>
          <w:color w:val="auto"/>
          <w:sz w:val="24"/>
          <w:szCs w:val="24"/>
          <w:lang w:val="pt-PT"/>
        </w:rPr>
        <w:t xml:space="preserve">ncias </w:t>
      </w:r>
      <w:r w:rsidR="00AB6522"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a forma de </w:t>
      </w:r>
      <w:r w:rsidR="00AB6522" w:rsidRPr="003A1174">
        <w:rPr>
          <w:rFonts w:ascii="Garamond" w:hAnsi="Garamond" w:cs="Arial"/>
          <w:color w:val="auto"/>
          <w:sz w:val="24"/>
          <w:szCs w:val="24"/>
          <w:lang w:val="pt-PT"/>
        </w:rPr>
        <w:t>recrutamento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454353" w:rsidRPr="003A1174">
        <w:rPr>
          <w:rFonts w:ascii="Garamond" w:hAnsi="Garamond" w:cs="Arial"/>
          <w:color w:val="auto"/>
          <w:sz w:val="24"/>
          <w:szCs w:val="24"/>
          <w:lang w:val="pt-PT"/>
        </w:rPr>
        <w:t>formação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CA39B2" w:rsidRPr="003A1174">
        <w:rPr>
          <w:rFonts w:ascii="Garamond" w:hAnsi="Garamond" w:cs="Arial"/>
          <w:color w:val="auto"/>
          <w:sz w:val="24"/>
          <w:szCs w:val="24"/>
          <w:lang w:val="pt-PT"/>
        </w:rPr>
        <w:t xml:space="preserve"> operadores </w:t>
      </w:r>
      <w:r w:rsidR="00AB6522"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a temática. </w:t>
      </w:r>
      <w:r w:rsidR="00AB6522" w:rsidRPr="003A1174">
        <w:rPr>
          <w:rFonts w:ascii="Garamond" w:hAnsi="Garamond" w:cs="Arial"/>
          <w:color w:val="auto"/>
          <w:sz w:val="24"/>
          <w:szCs w:val="24"/>
          <w:lang w:val="pt-PT"/>
        </w:rPr>
        <w:t>A</w:t>
      </w:r>
      <w:r w:rsidR="00CA39B2" w:rsidRPr="003A1174">
        <w:rPr>
          <w:rFonts w:ascii="Garamond" w:hAnsi="Garamond" w:cs="Arial"/>
          <w:color w:val="auto"/>
          <w:sz w:val="24"/>
          <w:szCs w:val="24"/>
          <w:lang w:val="pt-PT"/>
        </w:rPr>
        <w:t xml:space="preserve"> </w:t>
      </w:r>
      <w:r w:rsidR="00454353" w:rsidRPr="003A1174">
        <w:rPr>
          <w:rFonts w:ascii="Garamond" w:hAnsi="Garamond" w:cs="Arial"/>
          <w:color w:val="auto"/>
          <w:sz w:val="24"/>
          <w:szCs w:val="24"/>
          <w:lang w:val="pt-PT"/>
        </w:rPr>
        <w:t>formação</w:t>
      </w:r>
      <w:r w:rsidR="00CA39B2" w:rsidRPr="003A1174">
        <w:rPr>
          <w:rFonts w:ascii="Garamond" w:hAnsi="Garamond" w:cs="Arial"/>
          <w:color w:val="auto"/>
          <w:sz w:val="24"/>
          <w:szCs w:val="24"/>
          <w:lang w:val="pt-PT"/>
        </w:rPr>
        <w:t xml:space="preserve"> </w:t>
      </w:r>
      <w:r w:rsidR="00AB6522" w:rsidRPr="003A1174">
        <w:rPr>
          <w:rFonts w:ascii="Garamond" w:hAnsi="Garamond" w:cs="Arial"/>
          <w:color w:val="auto"/>
          <w:sz w:val="24"/>
          <w:szCs w:val="24"/>
          <w:lang w:val="pt-PT"/>
        </w:rPr>
        <w:t xml:space="preserve">é limitada no </w:t>
      </w:r>
      <w:r w:rsidR="003F012B" w:rsidRPr="003A1174">
        <w:rPr>
          <w:rFonts w:ascii="Garamond" w:hAnsi="Garamond" w:cs="Arial"/>
          <w:color w:val="auto"/>
          <w:sz w:val="24"/>
          <w:szCs w:val="24"/>
          <w:lang w:val="pt-PT"/>
        </w:rPr>
        <w:t>tempo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AB6522"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 </w:t>
      </w:r>
      <w:r w:rsidR="00AB6522" w:rsidRPr="003A1174">
        <w:rPr>
          <w:rFonts w:ascii="Garamond" w:hAnsi="Garamond" w:cs="Arial"/>
          <w:color w:val="auto"/>
          <w:sz w:val="24"/>
          <w:szCs w:val="24"/>
          <w:lang w:val="pt-PT"/>
        </w:rPr>
        <w:t>utilização</w:t>
      </w:r>
      <w:r w:rsidR="00CA39B2" w:rsidRPr="003A1174">
        <w:rPr>
          <w:rFonts w:ascii="Garamond" w:hAnsi="Garamond" w:cs="Arial"/>
          <w:color w:val="auto"/>
          <w:sz w:val="24"/>
          <w:szCs w:val="24"/>
          <w:lang w:val="pt-PT"/>
        </w:rPr>
        <w:t xml:space="preserve"> da</w:t>
      </w:r>
      <w:r w:rsidR="00AB6522" w:rsidRPr="003A1174">
        <w:rPr>
          <w:rFonts w:ascii="Garamond" w:hAnsi="Garamond" w:cs="Arial"/>
          <w:color w:val="auto"/>
          <w:sz w:val="24"/>
          <w:szCs w:val="24"/>
          <w:lang w:val="pt-PT"/>
        </w:rPr>
        <w:t>s</w:t>
      </w:r>
      <w:r w:rsidR="00CA39B2" w:rsidRPr="003A1174">
        <w:rPr>
          <w:rFonts w:ascii="Garamond" w:hAnsi="Garamond" w:cs="Arial"/>
          <w:color w:val="auto"/>
          <w:sz w:val="24"/>
          <w:szCs w:val="24"/>
          <w:lang w:val="pt-PT"/>
        </w:rPr>
        <w:t xml:space="preserve"> </w:t>
      </w:r>
      <w:r w:rsidR="00FB76BE" w:rsidRPr="003A1174">
        <w:rPr>
          <w:rFonts w:ascii="Garamond" w:hAnsi="Garamond" w:cs="Arial"/>
          <w:color w:val="auto"/>
          <w:sz w:val="24"/>
          <w:szCs w:val="24"/>
          <w:lang w:val="pt-PT"/>
        </w:rPr>
        <w:t>normas</w:t>
      </w:r>
      <w:r w:rsidR="00CA39B2" w:rsidRPr="003A1174">
        <w:rPr>
          <w:rFonts w:ascii="Garamond" w:hAnsi="Garamond" w:cs="Arial"/>
          <w:color w:val="auto"/>
          <w:sz w:val="24"/>
          <w:szCs w:val="24"/>
          <w:lang w:val="pt-PT"/>
        </w:rPr>
        <w:t xml:space="preserve"> internaciona</w:t>
      </w:r>
      <w:r w:rsidR="00AB6522" w:rsidRPr="003A1174">
        <w:rPr>
          <w:rFonts w:ascii="Garamond" w:hAnsi="Garamond" w:cs="Arial"/>
          <w:color w:val="auto"/>
          <w:sz w:val="24"/>
          <w:szCs w:val="24"/>
          <w:lang w:val="pt-PT"/>
        </w:rPr>
        <w:t xml:space="preserve">is é </w:t>
      </w:r>
      <w:r w:rsidR="00CA39B2" w:rsidRPr="003A1174">
        <w:rPr>
          <w:rFonts w:ascii="Garamond" w:hAnsi="Garamond" w:cs="Arial"/>
          <w:color w:val="auto"/>
          <w:sz w:val="24"/>
          <w:szCs w:val="24"/>
          <w:lang w:val="pt-PT"/>
        </w:rPr>
        <w:t>esca</w:t>
      </w:r>
      <w:r w:rsidR="00AB6522" w:rsidRPr="003A1174">
        <w:rPr>
          <w:rFonts w:ascii="Garamond" w:hAnsi="Garamond" w:cs="Arial"/>
          <w:color w:val="auto"/>
          <w:sz w:val="24"/>
          <w:szCs w:val="24"/>
          <w:lang w:val="pt-PT"/>
        </w:rPr>
        <w:t>s</w:t>
      </w:r>
      <w:r w:rsidR="00CA39B2" w:rsidRPr="003A1174">
        <w:rPr>
          <w:rFonts w:ascii="Garamond" w:hAnsi="Garamond" w:cs="Arial"/>
          <w:color w:val="auto"/>
          <w:sz w:val="24"/>
          <w:szCs w:val="24"/>
          <w:lang w:val="pt-PT"/>
        </w:rPr>
        <w:t>sa.</w:t>
      </w:r>
    </w:p>
    <w:p w:rsidR="00CA39B2" w:rsidRPr="003A1174" w:rsidRDefault="00CA39B2"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U</w:t>
      </w:r>
      <w:r w:rsidR="00AB6522"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5D38DC" w:rsidRPr="003A1174">
        <w:rPr>
          <w:rFonts w:ascii="Garamond" w:hAnsi="Garamond" w:cs="Arial"/>
          <w:color w:val="auto"/>
          <w:sz w:val="24"/>
          <w:szCs w:val="24"/>
          <w:lang w:val="pt-PT"/>
        </w:rPr>
        <w:t>aspeto</w:t>
      </w:r>
      <w:r w:rsidR="00AB6522" w:rsidRPr="003A1174">
        <w:rPr>
          <w:rFonts w:ascii="Garamond" w:hAnsi="Garamond" w:cs="Arial"/>
          <w:color w:val="auto"/>
          <w:sz w:val="24"/>
          <w:szCs w:val="24"/>
          <w:lang w:val="pt-PT"/>
        </w:rPr>
        <w:t xml:space="preserve"> que </w:t>
      </w:r>
      <w:r w:rsidR="00DE116F">
        <w:rPr>
          <w:rFonts w:ascii="Garamond" w:hAnsi="Garamond" w:cs="Arial"/>
          <w:color w:val="auto"/>
          <w:sz w:val="24"/>
          <w:szCs w:val="24"/>
          <w:lang w:val="pt-PT"/>
        </w:rPr>
        <w:t xml:space="preserve">prejudica </w:t>
      </w:r>
      <w:r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aplicação</w:t>
      </w:r>
      <w:r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apropriad</w:t>
      </w:r>
      <w:r w:rsidRPr="003A1174">
        <w:rPr>
          <w:rFonts w:ascii="Garamond" w:hAnsi="Garamond" w:cs="Arial"/>
          <w:color w:val="auto"/>
          <w:sz w:val="24"/>
          <w:szCs w:val="24"/>
          <w:lang w:val="pt-PT"/>
        </w:rPr>
        <w:t>a d</w:t>
      </w:r>
      <w:r w:rsidR="00AB6522" w:rsidRPr="003A1174">
        <w:rPr>
          <w:rFonts w:ascii="Garamond" w:hAnsi="Garamond" w:cs="Arial"/>
          <w:color w:val="auto"/>
          <w:sz w:val="24"/>
          <w:szCs w:val="24"/>
          <w:lang w:val="pt-PT"/>
        </w:rPr>
        <w:t xml:space="preserve">as </w:t>
      </w:r>
      <w:r w:rsidR="00FB76BE" w:rsidRPr="003A1174">
        <w:rPr>
          <w:rFonts w:ascii="Garamond" w:hAnsi="Garamond" w:cs="Arial"/>
          <w:color w:val="auto"/>
          <w:sz w:val="24"/>
          <w:szCs w:val="24"/>
          <w:lang w:val="pt-PT"/>
        </w:rPr>
        <w:t>normas</w:t>
      </w:r>
      <w:r w:rsidRPr="003A1174">
        <w:rPr>
          <w:rFonts w:ascii="Garamond" w:hAnsi="Garamond" w:cs="Arial"/>
          <w:color w:val="auto"/>
          <w:sz w:val="24"/>
          <w:szCs w:val="24"/>
          <w:lang w:val="pt-PT"/>
        </w:rPr>
        <w:t xml:space="preserve"> </w:t>
      </w:r>
      <w:r w:rsidR="00AB6522" w:rsidRPr="003A1174">
        <w:rPr>
          <w:rFonts w:ascii="Garamond" w:hAnsi="Garamond" w:cs="Arial"/>
          <w:color w:val="auto"/>
          <w:sz w:val="24"/>
          <w:szCs w:val="24"/>
          <w:lang w:val="pt-PT"/>
        </w:rPr>
        <w:t xml:space="preserve">é </w:t>
      </w:r>
      <w:r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persistência</w:t>
      </w:r>
      <w:r w:rsidRPr="003A1174">
        <w:rPr>
          <w:rFonts w:ascii="Garamond" w:hAnsi="Garamond" w:cs="Arial"/>
          <w:color w:val="auto"/>
          <w:sz w:val="24"/>
          <w:szCs w:val="24"/>
          <w:lang w:val="pt-PT"/>
        </w:rPr>
        <w:t xml:space="preserve"> de </w:t>
      </w:r>
      <w:r w:rsidR="00CD707D" w:rsidRPr="003A1174">
        <w:rPr>
          <w:rFonts w:ascii="Garamond" w:hAnsi="Garamond" w:cs="Arial"/>
          <w:color w:val="auto"/>
          <w:sz w:val="24"/>
          <w:szCs w:val="24"/>
          <w:lang w:val="pt-PT"/>
        </w:rPr>
        <w:t>alguma</w:t>
      </w:r>
      <w:r w:rsidRPr="003A1174">
        <w:rPr>
          <w:rFonts w:ascii="Garamond" w:hAnsi="Garamond" w:cs="Arial"/>
          <w:color w:val="auto"/>
          <w:sz w:val="24"/>
          <w:szCs w:val="24"/>
          <w:lang w:val="pt-PT"/>
        </w:rPr>
        <w:t xml:space="preserve">s </w:t>
      </w:r>
      <w:r w:rsidR="00661ADB" w:rsidRPr="003A1174">
        <w:rPr>
          <w:rFonts w:ascii="Garamond" w:hAnsi="Garamond" w:cs="Arial"/>
          <w:color w:val="auto"/>
          <w:sz w:val="24"/>
          <w:szCs w:val="24"/>
          <w:lang w:val="pt-PT"/>
        </w:rPr>
        <w:t>prática</w:t>
      </w:r>
      <w:r w:rsidRPr="003A1174">
        <w:rPr>
          <w:rFonts w:ascii="Garamond" w:hAnsi="Garamond" w:cs="Arial"/>
          <w:color w:val="auto"/>
          <w:sz w:val="24"/>
          <w:szCs w:val="24"/>
          <w:lang w:val="pt-PT"/>
        </w:rPr>
        <w:t>s. As</w:t>
      </w:r>
      <w:r w:rsidR="00AB6522" w:rsidRPr="003A1174">
        <w:rPr>
          <w:rFonts w:ascii="Garamond" w:hAnsi="Garamond" w:cs="Arial"/>
          <w:color w:val="auto"/>
          <w:sz w:val="24"/>
          <w:szCs w:val="24"/>
          <w:lang w:val="pt-PT"/>
        </w:rPr>
        <w:t xml:space="preserve">sim, </w:t>
      </w:r>
      <w:r w:rsidRPr="003A1174">
        <w:rPr>
          <w:rFonts w:ascii="Garamond" w:hAnsi="Garamond" w:cs="Arial"/>
          <w:color w:val="auto"/>
          <w:sz w:val="24"/>
          <w:szCs w:val="24"/>
          <w:lang w:val="pt-PT"/>
        </w:rPr>
        <w:t>existe</w:t>
      </w:r>
      <w:r w:rsidR="00AB6522"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casos</w:t>
      </w:r>
      <w:r w:rsidR="00DE116F">
        <w:rPr>
          <w:rFonts w:ascii="Garamond" w:hAnsi="Garamond" w:cs="Arial"/>
          <w:color w:val="auto"/>
          <w:sz w:val="24"/>
          <w:szCs w:val="24"/>
          <w:lang w:val="pt-PT"/>
        </w:rPr>
        <w:t>,</w:t>
      </w:r>
      <w:r w:rsidRPr="003A1174">
        <w:rPr>
          <w:rFonts w:ascii="Garamond" w:hAnsi="Garamond" w:cs="Arial"/>
          <w:color w:val="auto"/>
          <w:sz w:val="24"/>
          <w:szCs w:val="24"/>
          <w:lang w:val="pt-PT"/>
        </w:rPr>
        <w:t xml:space="preserve"> e</w:t>
      </w:r>
      <w:r w:rsidR="00AB6522" w:rsidRPr="003A1174">
        <w:rPr>
          <w:rFonts w:ascii="Garamond" w:hAnsi="Garamond" w:cs="Arial"/>
          <w:color w:val="auto"/>
          <w:sz w:val="24"/>
          <w:szCs w:val="24"/>
          <w:lang w:val="pt-PT"/>
        </w:rPr>
        <w:t xml:space="preserve">m que </w:t>
      </w:r>
      <w:r w:rsidRPr="003A1174">
        <w:rPr>
          <w:rFonts w:ascii="Garamond" w:hAnsi="Garamond" w:cs="Arial"/>
          <w:color w:val="auto"/>
          <w:sz w:val="24"/>
          <w:szCs w:val="24"/>
          <w:lang w:val="pt-PT"/>
        </w:rPr>
        <w:t xml:space="preserve">as medidas de </w:t>
      </w:r>
      <w:r w:rsidR="00886D6A" w:rsidRPr="003A1174">
        <w:rPr>
          <w:rFonts w:ascii="Garamond" w:hAnsi="Garamond" w:cs="Arial"/>
          <w:color w:val="auto"/>
          <w:sz w:val="24"/>
          <w:szCs w:val="24"/>
          <w:lang w:val="pt-PT"/>
        </w:rPr>
        <w:t>proteção</w:t>
      </w:r>
      <w:r w:rsidRPr="003A1174">
        <w:rPr>
          <w:rFonts w:ascii="Garamond" w:hAnsi="Garamond" w:cs="Arial"/>
          <w:color w:val="auto"/>
          <w:sz w:val="24"/>
          <w:szCs w:val="24"/>
          <w:lang w:val="pt-PT"/>
        </w:rPr>
        <w:t xml:space="preserve"> </w:t>
      </w:r>
      <w:r w:rsidR="00AB6522" w:rsidRPr="003A1174">
        <w:rPr>
          <w:rFonts w:ascii="Garamond" w:hAnsi="Garamond" w:cs="Arial"/>
          <w:color w:val="auto"/>
          <w:sz w:val="24"/>
          <w:szCs w:val="24"/>
          <w:lang w:val="pt-PT"/>
        </w:rPr>
        <w:t>proferidas nã</w:t>
      </w:r>
      <w:r w:rsidR="001A59AC" w:rsidRPr="003A1174">
        <w:rPr>
          <w:rFonts w:ascii="Garamond" w:hAnsi="Garamond" w:cs="Arial"/>
          <w:color w:val="auto"/>
          <w:sz w:val="24"/>
          <w:szCs w:val="24"/>
          <w:lang w:val="pt-PT"/>
        </w:rPr>
        <w:t>o</w:t>
      </w:r>
      <w:r w:rsidR="00AB6522"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são</w:t>
      </w:r>
      <w:r w:rsidR="00AB652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eficientes; </w:t>
      </w:r>
      <w:r w:rsidR="00F96DD1" w:rsidRPr="003A1174">
        <w:rPr>
          <w:rFonts w:ascii="Garamond" w:hAnsi="Garamond" w:cs="Arial"/>
          <w:color w:val="auto"/>
          <w:sz w:val="24"/>
          <w:szCs w:val="24"/>
          <w:lang w:val="pt-PT"/>
        </w:rPr>
        <w:t>há</w:t>
      </w:r>
      <w:r w:rsidRPr="003A1174">
        <w:rPr>
          <w:rFonts w:ascii="Garamond" w:hAnsi="Garamond" w:cs="Arial"/>
          <w:color w:val="auto"/>
          <w:sz w:val="24"/>
          <w:szCs w:val="24"/>
          <w:lang w:val="pt-PT"/>
        </w:rPr>
        <w:t xml:space="preserve"> diferentes </w:t>
      </w:r>
      <w:r w:rsidR="00CB5DB2" w:rsidRPr="003A1174">
        <w:rPr>
          <w:rFonts w:ascii="Garamond" w:hAnsi="Garamond" w:cs="Arial"/>
          <w:color w:val="auto"/>
          <w:sz w:val="24"/>
          <w:szCs w:val="24"/>
          <w:lang w:val="pt-PT"/>
        </w:rPr>
        <w:t>critério</w:t>
      </w:r>
      <w:r w:rsidR="00AB6522" w:rsidRPr="003A1174">
        <w:rPr>
          <w:rFonts w:ascii="Garamond" w:hAnsi="Garamond" w:cs="Arial"/>
          <w:color w:val="auto"/>
          <w:sz w:val="24"/>
          <w:szCs w:val="24"/>
          <w:lang w:val="pt-PT"/>
        </w:rPr>
        <w:t xml:space="preserve">s para </w:t>
      </w:r>
      <w:r w:rsidRPr="003A1174">
        <w:rPr>
          <w:rFonts w:ascii="Garamond" w:hAnsi="Garamond" w:cs="Arial"/>
          <w:color w:val="auto"/>
          <w:sz w:val="24"/>
          <w:szCs w:val="24"/>
          <w:lang w:val="pt-PT"/>
        </w:rPr>
        <w:t xml:space="preserve">a </w:t>
      </w:r>
      <w:r w:rsidR="00EB2F44" w:rsidRPr="003A1174">
        <w:rPr>
          <w:rFonts w:ascii="Garamond" w:hAnsi="Garamond" w:cs="Arial"/>
          <w:color w:val="auto"/>
          <w:sz w:val="24"/>
          <w:szCs w:val="24"/>
          <w:lang w:val="pt-PT"/>
        </w:rPr>
        <w:t>adoção</w:t>
      </w:r>
      <w:r w:rsidRPr="003A1174">
        <w:rPr>
          <w:rFonts w:ascii="Garamond" w:hAnsi="Garamond" w:cs="Arial"/>
          <w:color w:val="auto"/>
          <w:sz w:val="24"/>
          <w:szCs w:val="24"/>
          <w:lang w:val="pt-PT"/>
        </w:rPr>
        <w:t xml:space="preserve"> </w:t>
      </w:r>
      <w:r w:rsidR="00AB6522" w:rsidRPr="003A1174">
        <w:rPr>
          <w:rFonts w:ascii="Garamond" w:hAnsi="Garamond" w:cs="Arial"/>
          <w:color w:val="auto"/>
          <w:sz w:val="24"/>
          <w:szCs w:val="24"/>
          <w:lang w:val="pt-PT"/>
        </w:rPr>
        <w:t>provisória</w:t>
      </w:r>
      <w:r w:rsidRPr="003A1174">
        <w:rPr>
          <w:rFonts w:ascii="Garamond" w:hAnsi="Garamond" w:cs="Arial"/>
          <w:color w:val="auto"/>
          <w:sz w:val="24"/>
          <w:szCs w:val="24"/>
          <w:lang w:val="pt-PT"/>
        </w:rPr>
        <w:t xml:space="preserve"> de </w:t>
      </w:r>
      <w:r w:rsidR="00983C71" w:rsidRPr="003A1174">
        <w:rPr>
          <w:rFonts w:ascii="Garamond" w:hAnsi="Garamond" w:cs="Arial"/>
          <w:color w:val="auto"/>
          <w:sz w:val="24"/>
          <w:szCs w:val="24"/>
          <w:lang w:val="pt-PT"/>
        </w:rPr>
        <w:t>posse</w:t>
      </w:r>
      <w:r w:rsidRPr="003A1174">
        <w:rPr>
          <w:rFonts w:ascii="Garamond" w:hAnsi="Garamond" w:cs="Arial"/>
          <w:color w:val="auto"/>
          <w:sz w:val="24"/>
          <w:szCs w:val="24"/>
          <w:lang w:val="pt-PT"/>
        </w:rPr>
        <w:t xml:space="preserve">, </w:t>
      </w:r>
      <w:r w:rsidR="00983C71" w:rsidRPr="003A1174">
        <w:rPr>
          <w:rFonts w:ascii="Garamond" w:hAnsi="Garamond" w:cs="Arial"/>
          <w:color w:val="auto"/>
          <w:sz w:val="24"/>
          <w:szCs w:val="24"/>
          <w:lang w:val="pt-PT"/>
        </w:rPr>
        <w:t>pensão alimentar</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visitas. </w:t>
      </w:r>
      <w:r w:rsidR="00983C71" w:rsidRPr="003A1174">
        <w:rPr>
          <w:rFonts w:ascii="Garamond" w:hAnsi="Garamond" w:cs="Arial"/>
          <w:color w:val="auto"/>
          <w:sz w:val="24"/>
          <w:szCs w:val="24"/>
          <w:lang w:val="pt-PT"/>
        </w:rPr>
        <w:t xml:space="preserve">É de referir </w:t>
      </w:r>
      <w:r w:rsidRPr="003A1174">
        <w:rPr>
          <w:rFonts w:ascii="Garamond" w:hAnsi="Garamond" w:cs="Arial"/>
          <w:color w:val="auto"/>
          <w:sz w:val="24"/>
          <w:szCs w:val="24"/>
          <w:lang w:val="pt-PT"/>
        </w:rPr>
        <w:t xml:space="preserve">que </w:t>
      </w:r>
      <w:r w:rsidR="00983C71" w:rsidRPr="003A1174">
        <w:rPr>
          <w:rFonts w:ascii="Garamond" w:hAnsi="Garamond" w:cs="Arial"/>
          <w:color w:val="auto"/>
          <w:sz w:val="24"/>
          <w:szCs w:val="24"/>
          <w:lang w:val="pt-PT"/>
        </w:rPr>
        <w:t>n</w:t>
      </w:r>
      <w:r w:rsidRPr="003A1174">
        <w:rPr>
          <w:rFonts w:ascii="Garamond" w:hAnsi="Garamond" w:cs="Arial"/>
          <w:color w:val="auto"/>
          <w:sz w:val="24"/>
          <w:szCs w:val="24"/>
          <w:lang w:val="pt-PT"/>
        </w:rPr>
        <w:t xml:space="preserve">os </w:t>
      </w:r>
      <w:r w:rsidR="002470B1" w:rsidRPr="003A1174">
        <w:rPr>
          <w:rFonts w:ascii="Garamond" w:hAnsi="Garamond" w:cs="Arial"/>
          <w:color w:val="auto"/>
          <w:sz w:val="24"/>
          <w:szCs w:val="24"/>
          <w:lang w:val="pt-PT"/>
        </w:rPr>
        <w:t>Tribunais</w:t>
      </w:r>
      <w:r w:rsidRPr="003A1174">
        <w:rPr>
          <w:rFonts w:ascii="Garamond" w:hAnsi="Garamond" w:cs="Arial"/>
          <w:color w:val="auto"/>
          <w:sz w:val="24"/>
          <w:szCs w:val="24"/>
          <w:lang w:val="pt-PT"/>
        </w:rPr>
        <w:t xml:space="preserve"> </w:t>
      </w:r>
      <w:r w:rsidR="00DE116F">
        <w:rPr>
          <w:rFonts w:ascii="Garamond" w:hAnsi="Garamond" w:cs="Arial"/>
          <w:color w:val="auto"/>
          <w:sz w:val="24"/>
          <w:szCs w:val="24"/>
          <w:lang w:val="pt-PT"/>
        </w:rPr>
        <w:t>P</w:t>
      </w:r>
      <w:r w:rsidR="009A0CC2" w:rsidRPr="003A1174">
        <w:rPr>
          <w:rFonts w:ascii="Garamond" w:hAnsi="Garamond" w:cs="Arial"/>
          <w:color w:val="auto"/>
          <w:sz w:val="24"/>
          <w:szCs w:val="24"/>
          <w:lang w:val="pt-PT"/>
        </w:rPr>
        <w:t>enais</w:t>
      </w:r>
      <w:r w:rsidR="00983C71"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as </w:t>
      </w:r>
      <w:r w:rsidR="007342D9" w:rsidRPr="003A1174">
        <w:rPr>
          <w:rFonts w:ascii="Garamond" w:hAnsi="Garamond" w:cs="Arial"/>
          <w:color w:val="auto"/>
          <w:sz w:val="24"/>
          <w:szCs w:val="24"/>
          <w:lang w:val="pt-PT"/>
        </w:rPr>
        <w:t>situações</w:t>
      </w:r>
      <w:r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doméstica </w:t>
      </w:r>
      <w:r w:rsidR="00983C71" w:rsidRPr="003A1174">
        <w:rPr>
          <w:rFonts w:ascii="Garamond" w:hAnsi="Garamond" w:cs="Arial"/>
          <w:color w:val="auto"/>
          <w:sz w:val="24"/>
          <w:szCs w:val="24"/>
          <w:lang w:val="pt-PT"/>
        </w:rPr>
        <w:t>entendem-</w:t>
      </w:r>
      <w:r w:rsidRPr="003A1174">
        <w:rPr>
          <w:rFonts w:ascii="Garamond" w:hAnsi="Garamond" w:cs="Arial"/>
          <w:color w:val="auto"/>
          <w:sz w:val="24"/>
          <w:szCs w:val="24"/>
          <w:lang w:val="pt-PT"/>
        </w:rPr>
        <w:t xml:space="preserve">se como de menor </w:t>
      </w:r>
      <w:r w:rsidR="00983C71" w:rsidRPr="003A1174">
        <w:rPr>
          <w:rFonts w:ascii="Garamond" w:hAnsi="Garamond" w:cs="Arial"/>
          <w:color w:val="auto"/>
          <w:sz w:val="24"/>
          <w:szCs w:val="24"/>
          <w:lang w:val="pt-PT"/>
        </w:rPr>
        <w:t>gravidade</w:t>
      </w:r>
      <w:r w:rsidRPr="003A1174">
        <w:rPr>
          <w:rFonts w:ascii="Garamond" w:hAnsi="Garamond" w:cs="Arial"/>
          <w:color w:val="auto"/>
          <w:sz w:val="24"/>
          <w:szCs w:val="24"/>
          <w:lang w:val="pt-PT"/>
        </w:rPr>
        <w:t>.</w:t>
      </w:r>
    </w:p>
    <w:p w:rsidR="00CA39B2" w:rsidRPr="003A1174" w:rsidRDefault="00983C71"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17447A" w:rsidRPr="003A1174">
        <w:rPr>
          <w:rFonts w:ascii="Garamond" w:hAnsi="Garamond" w:cs="Arial"/>
          <w:color w:val="auto"/>
          <w:sz w:val="24"/>
          <w:szCs w:val="24"/>
          <w:lang w:val="pt-PT"/>
        </w:rPr>
        <w:t>nível</w:t>
      </w:r>
      <w:r w:rsidR="00CA39B2" w:rsidRPr="003A1174">
        <w:rPr>
          <w:rFonts w:ascii="Garamond" w:hAnsi="Garamond" w:cs="Arial"/>
          <w:color w:val="auto"/>
          <w:sz w:val="24"/>
          <w:szCs w:val="24"/>
          <w:lang w:val="pt-PT"/>
        </w:rPr>
        <w:t xml:space="preserve"> de insatisf</w:t>
      </w:r>
      <w:r w:rsidR="00077461" w:rsidRPr="003A1174">
        <w:rPr>
          <w:rFonts w:ascii="Garamond" w:hAnsi="Garamond" w:cs="Arial"/>
          <w:color w:val="auto"/>
          <w:sz w:val="24"/>
          <w:szCs w:val="24"/>
          <w:lang w:val="pt-PT"/>
        </w:rPr>
        <w:t>ação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frustração</w:t>
      </w:r>
      <w:r w:rsidR="00CA39B2" w:rsidRPr="003A1174">
        <w:rPr>
          <w:rFonts w:ascii="Garamond" w:hAnsi="Garamond" w:cs="Arial"/>
          <w:color w:val="auto"/>
          <w:sz w:val="24"/>
          <w:szCs w:val="24"/>
          <w:lang w:val="pt-PT"/>
        </w:rPr>
        <w:t xml:space="preserve"> </w:t>
      </w:r>
      <w:r w:rsidR="00DE116F">
        <w:rPr>
          <w:rFonts w:ascii="Garamond" w:hAnsi="Garamond" w:cs="Arial"/>
          <w:color w:val="auto"/>
          <w:sz w:val="24"/>
          <w:szCs w:val="24"/>
          <w:lang w:val="pt-PT"/>
        </w:rPr>
        <w:t>d</w:t>
      </w:r>
      <w:r w:rsidR="00CA39B2" w:rsidRPr="003A1174">
        <w:rPr>
          <w:rFonts w:ascii="Garamond" w:hAnsi="Garamond" w:cs="Arial"/>
          <w:color w:val="auto"/>
          <w:sz w:val="24"/>
          <w:szCs w:val="24"/>
          <w:lang w:val="pt-PT"/>
        </w:rPr>
        <w:t>os operador</w:t>
      </w:r>
      <w:r w:rsidR="00DE116F">
        <w:rPr>
          <w:rFonts w:ascii="Garamond" w:hAnsi="Garamond" w:cs="Arial"/>
          <w:color w:val="auto"/>
          <w:sz w:val="24"/>
          <w:szCs w:val="24"/>
          <w:lang w:val="pt-PT"/>
        </w:rPr>
        <w:t>es</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é grande dev</w:t>
      </w:r>
      <w:r w:rsidR="00CA39B2" w:rsidRPr="003A1174">
        <w:rPr>
          <w:rFonts w:ascii="Garamond" w:hAnsi="Garamond" w:cs="Arial"/>
          <w:color w:val="auto"/>
          <w:sz w:val="24"/>
          <w:szCs w:val="24"/>
          <w:lang w:val="pt-PT"/>
        </w:rPr>
        <w:t xml:space="preserve">ido </w:t>
      </w:r>
      <w:r w:rsidRPr="003A1174">
        <w:rPr>
          <w:rFonts w:ascii="Garamond" w:hAnsi="Garamond" w:cs="Arial"/>
          <w:color w:val="auto"/>
          <w:sz w:val="24"/>
          <w:szCs w:val="24"/>
          <w:lang w:val="pt-PT"/>
        </w:rPr>
        <w:t xml:space="preserve">à grande quantidade de casos, às </w:t>
      </w:r>
      <w:r w:rsidR="00AC3351" w:rsidRPr="003A1174">
        <w:rPr>
          <w:rFonts w:ascii="Garamond" w:hAnsi="Garamond" w:cs="Arial"/>
          <w:color w:val="auto"/>
          <w:sz w:val="24"/>
          <w:szCs w:val="24"/>
          <w:lang w:val="pt-PT"/>
        </w:rPr>
        <w:t>condições</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à </w:t>
      </w:r>
      <w:r w:rsidR="00CA39B2" w:rsidRPr="003A1174">
        <w:rPr>
          <w:rFonts w:ascii="Garamond" w:hAnsi="Garamond" w:cs="Arial"/>
          <w:color w:val="auto"/>
          <w:sz w:val="24"/>
          <w:szCs w:val="24"/>
          <w:lang w:val="pt-PT"/>
        </w:rPr>
        <w:t xml:space="preserve">carga de </w:t>
      </w:r>
      <w:r w:rsidR="0017447A" w:rsidRPr="003A1174">
        <w:rPr>
          <w:rFonts w:ascii="Garamond" w:hAnsi="Garamond" w:cs="Arial"/>
          <w:color w:val="auto"/>
          <w:sz w:val="24"/>
          <w:szCs w:val="24"/>
          <w:lang w:val="pt-PT"/>
        </w:rPr>
        <w:t>trabalho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Juntando a esses fatores o facto d</w:t>
      </w:r>
      <w:r w:rsidR="00DE116F">
        <w:rPr>
          <w:rFonts w:ascii="Garamond" w:hAnsi="Garamond" w:cs="Arial"/>
          <w:color w:val="auto"/>
          <w:sz w:val="24"/>
          <w:szCs w:val="24"/>
          <w:lang w:val="pt-PT"/>
        </w:rPr>
        <w:t xml:space="preserve">e </w:t>
      </w:r>
      <w:r w:rsidR="00CA39B2" w:rsidRPr="003A1174">
        <w:rPr>
          <w:rFonts w:ascii="Garamond" w:hAnsi="Garamond" w:cs="Arial"/>
          <w:color w:val="auto"/>
          <w:sz w:val="24"/>
          <w:szCs w:val="24"/>
          <w:lang w:val="pt-PT"/>
        </w:rPr>
        <w:t xml:space="preserve">os </w:t>
      </w:r>
      <w:r w:rsidR="00DE116F">
        <w:rPr>
          <w:rFonts w:ascii="Garamond" w:hAnsi="Garamond" w:cs="Arial"/>
          <w:color w:val="auto"/>
          <w:sz w:val="24"/>
          <w:szCs w:val="24"/>
          <w:lang w:val="pt-PT"/>
        </w:rPr>
        <w:t>t</w:t>
      </w:r>
      <w:r w:rsidR="002470B1" w:rsidRPr="003A1174">
        <w:rPr>
          <w:rFonts w:ascii="Garamond" w:hAnsi="Garamond" w:cs="Arial"/>
          <w:color w:val="auto"/>
          <w:sz w:val="24"/>
          <w:szCs w:val="24"/>
          <w:lang w:val="pt-PT"/>
        </w:rPr>
        <w:t>ribunais</w:t>
      </w:r>
      <w:r w:rsidR="00CA39B2" w:rsidRPr="003A1174">
        <w:rPr>
          <w:rFonts w:ascii="Garamond" w:hAnsi="Garamond" w:cs="Arial"/>
          <w:color w:val="auto"/>
          <w:sz w:val="24"/>
          <w:szCs w:val="24"/>
          <w:lang w:val="pt-PT"/>
        </w:rPr>
        <w:t xml:space="preserve"> especializados </w:t>
      </w:r>
      <w:r w:rsidR="00D75A07" w:rsidRPr="003A1174">
        <w:rPr>
          <w:rFonts w:ascii="Garamond" w:hAnsi="Garamond" w:cs="Arial"/>
          <w:color w:val="auto"/>
          <w:sz w:val="24"/>
          <w:szCs w:val="24"/>
          <w:lang w:val="pt-PT"/>
        </w:rPr>
        <w:t>s</w:t>
      </w:r>
      <w:r w:rsidRPr="003A1174">
        <w:rPr>
          <w:rFonts w:ascii="Garamond" w:hAnsi="Garamond" w:cs="Arial"/>
          <w:color w:val="auto"/>
          <w:sz w:val="24"/>
          <w:szCs w:val="24"/>
          <w:lang w:val="pt-PT"/>
        </w:rPr>
        <w:t xml:space="preserve">erem </w:t>
      </w:r>
      <w:r w:rsidR="00DE116F">
        <w:rPr>
          <w:rFonts w:ascii="Garamond" w:hAnsi="Garamond" w:cs="Arial"/>
          <w:color w:val="auto"/>
          <w:sz w:val="24"/>
          <w:szCs w:val="24"/>
          <w:lang w:val="pt-PT"/>
        </w:rPr>
        <w:t>«</w:t>
      </w:r>
      <w:r w:rsidRPr="003A1174">
        <w:rPr>
          <w:rFonts w:ascii="Garamond" w:hAnsi="Garamond" w:cs="Arial"/>
          <w:color w:val="auto"/>
          <w:sz w:val="24"/>
          <w:szCs w:val="24"/>
          <w:lang w:val="pt-PT"/>
        </w:rPr>
        <w:t>considerados</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E95446" w:rsidRPr="003A1174">
        <w:rPr>
          <w:rFonts w:ascii="Garamond" w:hAnsi="Garamond" w:cs="Arial"/>
          <w:color w:val="auto"/>
          <w:sz w:val="24"/>
          <w:szCs w:val="24"/>
          <w:lang w:val="pt-PT"/>
        </w:rPr>
        <w:t xml:space="preserve">como </w:t>
      </w:r>
      <w:r w:rsidR="00CA39B2" w:rsidRPr="003A1174">
        <w:rPr>
          <w:rFonts w:ascii="Garamond" w:hAnsi="Garamond" w:cs="Arial"/>
          <w:color w:val="auto"/>
          <w:sz w:val="24"/>
          <w:szCs w:val="24"/>
          <w:lang w:val="pt-PT"/>
        </w:rPr>
        <w:t xml:space="preserve">de menor </w:t>
      </w:r>
      <w:r w:rsidR="0049358D">
        <w:rPr>
          <w:rFonts w:ascii="Garamond" w:hAnsi="Garamond" w:cs="Arial"/>
          <w:color w:val="auto"/>
          <w:sz w:val="24"/>
          <w:szCs w:val="24"/>
          <w:lang w:val="pt-PT"/>
        </w:rPr>
        <w:t>i</w:t>
      </w:r>
      <w:r w:rsidR="00DE116F">
        <w:rPr>
          <w:rFonts w:ascii="Garamond" w:hAnsi="Garamond" w:cs="Arial"/>
          <w:color w:val="auto"/>
          <w:sz w:val="24"/>
          <w:szCs w:val="24"/>
          <w:lang w:val="pt-PT"/>
        </w:rPr>
        <w:t>mportância.</w:t>
      </w:r>
    </w:p>
    <w:p w:rsidR="00CA39B2" w:rsidRPr="003A1174" w:rsidRDefault="00983C71"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w:t>
      </w:r>
      <w:r w:rsidR="00D2560E" w:rsidRPr="003A1174">
        <w:rPr>
          <w:rFonts w:ascii="Garamond" w:hAnsi="Garamond" w:cs="Arial"/>
          <w:color w:val="auto"/>
          <w:sz w:val="24"/>
          <w:szCs w:val="24"/>
          <w:lang w:val="pt-PT"/>
        </w:rPr>
        <w:t>integralidade</w:t>
      </w:r>
      <w:r w:rsidR="00CA39B2" w:rsidRPr="003A1174">
        <w:rPr>
          <w:rFonts w:ascii="Garamond" w:hAnsi="Garamond" w:cs="Arial"/>
          <w:color w:val="auto"/>
          <w:sz w:val="24"/>
          <w:szCs w:val="24"/>
          <w:lang w:val="pt-PT"/>
        </w:rPr>
        <w:t xml:space="preserve"> da </w:t>
      </w:r>
      <w:r w:rsidR="00AB6522" w:rsidRPr="003A1174">
        <w:rPr>
          <w:rFonts w:ascii="Garamond" w:hAnsi="Garamond" w:cs="Arial"/>
          <w:color w:val="auto"/>
          <w:sz w:val="24"/>
          <w:szCs w:val="24"/>
          <w:lang w:val="pt-PT"/>
        </w:rPr>
        <w:t>resposta</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D2560E" w:rsidRPr="003A1174">
        <w:rPr>
          <w:rFonts w:ascii="Garamond" w:hAnsi="Garamond" w:cs="Arial"/>
          <w:color w:val="auto"/>
          <w:sz w:val="24"/>
          <w:szCs w:val="24"/>
          <w:lang w:val="pt-PT"/>
        </w:rPr>
        <w:t xml:space="preserve">por parte do </w:t>
      </w:r>
      <w:r w:rsidR="00CA39B2" w:rsidRPr="003A1174">
        <w:rPr>
          <w:rFonts w:ascii="Garamond" w:hAnsi="Garamond" w:cs="Arial"/>
          <w:color w:val="auto"/>
          <w:sz w:val="24"/>
          <w:szCs w:val="24"/>
          <w:lang w:val="pt-PT"/>
        </w:rPr>
        <w:t>Estado</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D2560E" w:rsidRPr="003A1174">
        <w:rPr>
          <w:rFonts w:ascii="Garamond" w:hAnsi="Garamond" w:cs="Arial"/>
          <w:color w:val="auto"/>
          <w:sz w:val="24"/>
          <w:szCs w:val="24"/>
          <w:lang w:val="pt-PT"/>
        </w:rPr>
        <w:t>vê-</w:t>
      </w:r>
      <w:r w:rsidR="00CA39B2" w:rsidRPr="003A1174">
        <w:rPr>
          <w:rFonts w:ascii="Garamond" w:hAnsi="Garamond" w:cs="Arial"/>
          <w:color w:val="auto"/>
          <w:sz w:val="24"/>
          <w:szCs w:val="24"/>
          <w:lang w:val="pt-PT"/>
        </w:rPr>
        <w:t xml:space="preserve">se deteriorada por </w:t>
      </w:r>
      <w:r w:rsidR="00C30647" w:rsidRPr="003A1174">
        <w:rPr>
          <w:rFonts w:ascii="Garamond" w:hAnsi="Garamond" w:cs="Arial"/>
          <w:color w:val="auto"/>
          <w:sz w:val="24"/>
          <w:szCs w:val="24"/>
          <w:lang w:val="pt-PT"/>
        </w:rPr>
        <w:t>dificuldade</w:t>
      </w:r>
      <w:r w:rsidR="00CA39B2" w:rsidRPr="003A1174">
        <w:rPr>
          <w:rFonts w:ascii="Garamond" w:hAnsi="Garamond" w:cs="Arial"/>
          <w:color w:val="auto"/>
          <w:sz w:val="24"/>
          <w:szCs w:val="24"/>
          <w:lang w:val="pt-PT"/>
        </w:rPr>
        <w:t xml:space="preserve">s </w:t>
      </w:r>
      <w:r w:rsidR="00D2560E" w:rsidRPr="003A1174">
        <w:rPr>
          <w:rFonts w:ascii="Garamond" w:hAnsi="Garamond" w:cs="Arial"/>
          <w:color w:val="auto"/>
          <w:sz w:val="24"/>
          <w:szCs w:val="24"/>
          <w:lang w:val="pt-PT"/>
        </w:rPr>
        <w:t xml:space="preserve">na </w:t>
      </w:r>
      <w:r w:rsidR="002470B1" w:rsidRPr="003A1174">
        <w:rPr>
          <w:rFonts w:ascii="Garamond" w:hAnsi="Garamond" w:cs="Arial"/>
          <w:color w:val="auto"/>
          <w:sz w:val="24"/>
          <w:szCs w:val="24"/>
          <w:lang w:val="pt-PT"/>
        </w:rPr>
        <w:t>coordenação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di</w:t>
      </w:r>
      <w:r w:rsidR="00D2560E" w:rsidRPr="003A1174">
        <w:rPr>
          <w:rFonts w:ascii="Garamond" w:hAnsi="Garamond" w:cs="Arial"/>
          <w:color w:val="auto"/>
          <w:sz w:val="24"/>
          <w:szCs w:val="24"/>
          <w:lang w:val="pt-PT"/>
        </w:rPr>
        <w:t xml:space="preserve">ferentes </w:t>
      </w:r>
      <w:r w:rsidR="005275B0" w:rsidRPr="003A1174">
        <w:rPr>
          <w:rFonts w:ascii="Garamond" w:hAnsi="Garamond" w:cs="Arial"/>
          <w:color w:val="auto"/>
          <w:sz w:val="24"/>
          <w:szCs w:val="24"/>
          <w:lang w:val="pt-PT"/>
        </w:rPr>
        <w:t>matéria</w:t>
      </w:r>
      <w:r w:rsidR="00CA39B2"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e</w:t>
      </w:r>
      <w:r w:rsidR="00D2560E"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particular</w:t>
      </w:r>
      <w:r w:rsidR="00DE116F">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p</w:t>
      </w:r>
      <w:r w:rsidR="00D2560E"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las diferen</w:t>
      </w:r>
      <w:r w:rsidR="00D2560E" w:rsidRPr="003A1174">
        <w:rPr>
          <w:rFonts w:ascii="Garamond" w:hAnsi="Garamond" w:cs="Arial"/>
          <w:color w:val="auto"/>
          <w:sz w:val="24"/>
          <w:szCs w:val="24"/>
          <w:lang w:val="pt-PT"/>
        </w:rPr>
        <w:t>ç</w:t>
      </w:r>
      <w:r w:rsidR="00CA39B2" w:rsidRPr="003A1174">
        <w:rPr>
          <w:rFonts w:ascii="Garamond" w:hAnsi="Garamond" w:cs="Arial"/>
          <w:color w:val="auto"/>
          <w:sz w:val="24"/>
          <w:szCs w:val="24"/>
          <w:lang w:val="pt-PT"/>
        </w:rPr>
        <w:t xml:space="preserve">as </w:t>
      </w:r>
      <w:r w:rsidR="00D2560E"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os </w:t>
      </w:r>
      <w:r w:rsidR="0049358D">
        <w:rPr>
          <w:rFonts w:ascii="Garamond" w:hAnsi="Garamond" w:cs="Arial"/>
          <w:color w:val="auto"/>
          <w:sz w:val="24"/>
          <w:szCs w:val="24"/>
          <w:lang w:val="pt-PT"/>
        </w:rPr>
        <w:t xml:space="preserve">prazos </w:t>
      </w:r>
      <w:r w:rsidR="00D2560E" w:rsidRPr="003A1174">
        <w:rPr>
          <w:rFonts w:ascii="Garamond" w:hAnsi="Garamond" w:cs="Arial"/>
          <w:color w:val="auto"/>
          <w:sz w:val="24"/>
          <w:szCs w:val="24"/>
          <w:lang w:val="pt-PT"/>
        </w:rPr>
        <w:t xml:space="preserve">atribuídos </w:t>
      </w:r>
      <w:r w:rsidR="00E95446" w:rsidRPr="003A1174">
        <w:rPr>
          <w:rFonts w:ascii="Garamond" w:hAnsi="Garamond" w:cs="Arial"/>
          <w:color w:val="auto"/>
          <w:sz w:val="24"/>
          <w:szCs w:val="24"/>
          <w:lang w:val="pt-PT"/>
        </w:rPr>
        <w:t xml:space="preserve">a </w:t>
      </w:r>
      <w:r w:rsidR="00CA39B2" w:rsidRPr="003A1174">
        <w:rPr>
          <w:rFonts w:ascii="Garamond" w:hAnsi="Garamond" w:cs="Arial"/>
          <w:color w:val="auto"/>
          <w:sz w:val="24"/>
          <w:szCs w:val="24"/>
          <w:lang w:val="pt-PT"/>
        </w:rPr>
        <w:t xml:space="preserve">cada </w:t>
      </w:r>
      <w:r w:rsidR="002D1021" w:rsidRPr="003A1174">
        <w:rPr>
          <w:rFonts w:ascii="Garamond" w:hAnsi="Garamond" w:cs="Arial"/>
          <w:color w:val="auto"/>
          <w:sz w:val="24"/>
          <w:szCs w:val="24"/>
          <w:lang w:val="pt-PT"/>
        </w:rPr>
        <w:t>processo</w:t>
      </w:r>
      <w:r w:rsidR="00CA39B2" w:rsidRPr="003A1174">
        <w:rPr>
          <w:rFonts w:ascii="Garamond" w:hAnsi="Garamond" w:cs="Arial"/>
          <w:color w:val="auto"/>
          <w:sz w:val="24"/>
          <w:szCs w:val="24"/>
          <w:lang w:val="pt-PT"/>
        </w:rPr>
        <w:t>.</w:t>
      </w:r>
    </w:p>
    <w:p w:rsidR="00CA39B2" w:rsidRPr="003A1174" w:rsidRDefault="00D2560E"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É na a</w:t>
      </w:r>
      <w:r w:rsidR="008278C4" w:rsidRPr="003A1174">
        <w:rPr>
          <w:rFonts w:ascii="Garamond" w:hAnsi="Garamond" w:cs="Arial"/>
          <w:color w:val="auto"/>
          <w:sz w:val="24"/>
          <w:szCs w:val="24"/>
          <w:lang w:val="pt-PT"/>
        </w:rPr>
        <w:t>tenção</w:t>
      </w:r>
      <w:r w:rsidR="00CA39B2" w:rsidRPr="003A1174">
        <w:rPr>
          <w:rFonts w:ascii="Garamond" w:hAnsi="Garamond" w:cs="Arial"/>
          <w:color w:val="auto"/>
          <w:sz w:val="24"/>
          <w:szCs w:val="24"/>
          <w:lang w:val="pt-PT"/>
        </w:rPr>
        <w:t xml:space="preserve"> </w:t>
      </w:r>
      <w:r w:rsidR="0049358D">
        <w:rPr>
          <w:rFonts w:ascii="Garamond" w:hAnsi="Garamond" w:cs="Arial"/>
          <w:color w:val="auto"/>
          <w:sz w:val="24"/>
          <w:szCs w:val="24"/>
          <w:lang w:val="pt-PT"/>
        </w:rPr>
        <w:t xml:space="preserve">prestada </w:t>
      </w:r>
      <w:r w:rsidRPr="003A1174">
        <w:rPr>
          <w:rFonts w:ascii="Garamond" w:hAnsi="Garamond" w:cs="Arial"/>
          <w:color w:val="auto"/>
          <w:sz w:val="24"/>
          <w:szCs w:val="24"/>
          <w:lang w:val="pt-PT"/>
        </w:rPr>
        <w:t>à</w:t>
      </w:r>
      <w:r w:rsidR="00CA39B2" w:rsidRPr="003A1174">
        <w:rPr>
          <w:rFonts w:ascii="Garamond" w:hAnsi="Garamond" w:cs="Arial"/>
          <w:color w:val="auto"/>
          <w:sz w:val="24"/>
          <w:szCs w:val="24"/>
          <w:lang w:val="pt-PT"/>
        </w:rPr>
        <w:t xml:space="preserve">s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s que se dete</w:t>
      </w:r>
      <w:r w:rsidR="00CA39B2" w:rsidRPr="003A1174">
        <w:rPr>
          <w:rFonts w:ascii="Garamond" w:hAnsi="Garamond" w:cs="Arial"/>
          <w:color w:val="auto"/>
          <w:sz w:val="24"/>
          <w:szCs w:val="24"/>
          <w:lang w:val="pt-PT"/>
        </w:rPr>
        <w:t>ta</w:t>
      </w:r>
      <w:r w:rsidR="00E95446"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863197" w:rsidRPr="003A1174">
        <w:rPr>
          <w:rFonts w:ascii="Garamond" w:hAnsi="Garamond" w:cs="Arial"/>
          <w:color w:val="auto"/>
          <w:sz w:val="24"/>
          <w:szCs w:val="24"/>
          <w:lang w:val="pt-PT"/>
        </w:rPr>
        <w:t>maior</w:t>
      </w:r>
      <w:r w:rsidR="00E95446" w:rsidRPr="003A1174">
        <w:rPr>
          <w:rFonts w:ascii="Garamond" w:hAnsi="Garamond" w:cs="Arial"/>
          <w:color w:val="auto"/>
          <w:sz w:val="24"/>
          <w:szCs w:val="24"/>
          <w:lang w:val="pt-PT"/>
        </w:rPr>
        <w:t xml:space="preserve"> número de </w:t>
      </w:r>
      <w:r w:rsidR="00CA39B2" w:rsidRPr="003A1174">
        <w:rPr>
          <w:rFonts w:ascii="Garamond" w:hAnsi="Garamond" w:cs="Arial"/>
          <w:color w:val="auto"/>
          <w:sz w:val="24"/>
          <w:szCs w:val="24"/>
          <w:lang w:val="pt-PT"/>
        </w:rPr>
        <w:t>in</w:t>
      </w:r>
      <w:r w:rsidR="00D96FD0" w:rsidRPr="003A1174">
        <w:rPr>
          <w:rFonts w:ascii="Garamond" w:hAnsi="Garamond" w:cs="Arial"/>
          <w:color w:val="auto"/>
          <w:sz w:val="24"/>
          <w:szCs w:val="24"/>
          <w:lang w:val="pt-PT"/>
        </w:rPr>
        <w:t>cumprimento</w:t>
      </w:r>
      <w:r w:rsidR="00CA39B2" w:rsidRPr="003A1174">
        <w:rPr>
          <w:rFonts w:ascii="Garamond" w:hAnsi="Garamond" w:cs="Arial"/>
          <w:color w:val="auto"/>
          <w:sz w:val="24"/>
          <w:szCs w:val="24"/>
          <w:lang w:val="pt-PT"/>
        </w:rPr>
        <w:t xml:space="preserve">s. </w:t>
      </w:r>
      <w:r w:rsidR="0049358D">
        <w:rPr>
          <w:rFonts w:ascii="Garamond" w:hAnsi="Garamond" w:cs="Arial"/>
          <w:color w:val="auto"/>
          <w:sz w:val="24"/>
          <w:szCs w:val="24"/>
          <w:lang w:val="pt-PT"/>
        </w:rPr>
        <w:t xml:space="preserve">A assessoria </w:t>
      </w:r>
      <w:r w:rsidR="00CA39B2" w:rsidRPr="003A1174">
        <w:rPr>
          <w:rFonts w:ascii="Garamond" w:hAnsi="Garamond" w:cs="Arial"/>
          <w:color w:val="auto"/>
          <w:sz w:val="24"/>
          <w:szCs w:val="24"/>
          <w:lang w:val="pt-PT"/>
        </w:rPr>
        <w:t xml:space="preserve">social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jurídic</w:t>
      </w:r>
      <w:r w:rsidR="0049358D">
        <w:rPr>
          <w:rFonts w:ascii="Garamond" w:hAnsi="Garamond" w:cs="Arial"/>
          <w:color w:val="auto"/>
          <w:sz w:val="24"/>
          <w:szCs w:val="24"/>
          <w:lang w:val="pt-PT"/>
        </w:rPr>
        <w:t>a</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antes da audiência</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é frac</w:t>
      </w:r>
      <w:r w:rsidR="0049358D">
        <w:rPr>
          <w:rFonts w:ascii="Garamond" w:hAnsi="Garamond" w:cs="Arial"/>
          <w:color w:val="auto"/>
          <w:sz w:val="24"/>
          <w:szCs w:val="24"/>
          <w:lang w:val="pt-PT"/>
        </w:rPr>
        <w:t>a</w:t>
      </w:r>
      <w:r w:rsidRPr="003A1174">
        <w:rPr>
          <w:rFonts w:ascii="Garamond" w:hAnsi="Garamond" w:cs="Arial"/>
          <w:color w:val="auto"/>
          <w:sz w:val="24"/>
          <w:szCs w:val="24"/>
          <w:lang w:val="pt-PT"/>
        </w:rPr>
        <w:t xml:space="preserve">, o </w:t>
      </w:r>
      <w:r w:rsidR="00CA39B2" w:rsidRPr="003A1174">
        <w:rPr>
          <w:rFonts w:ascii="Garamond" w:hAnsi="Garamond" w:cs="Arial"/>
          <w:color w:val="auto"/>
          <w:sz w:val="24"/>
          <w:szCs w:val="24"/>
          <w:lang w:val="pt-PT"/>
        </w:rPr>
        <w:t>trat</w:t>
      </w:r>
      <w:r w:rsidRPr="003A1174">
        <w:rPr>
          <w:rFonts w:ascii="Garamond" w:hAnsi="Garamond" w:cs="Arial"/>
          <w:color w:val="auto"/>
          <w:sz w:val="24"/>
          <w:szCs w:val="24"/>
          <w:lang w:val="pt-PT"/>
        </w:rPr>
        <w:t>ament</w:t>
      </w:r>
      <w:r w:rsidR="00CA39B2"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 xml:space="preserve">é </w:t>
      </w:r>
      <w:r w:rsidR="00CA39B2" w:rsidRPr="003A1174">
        <w:rPr>
          <w:rFonts w:ascii="Garamond" w:hAnsi="Garamond" w:cs="Arial"/>
          <w:color w:val="auto"/>
          <w:sz w:val="24"/>
          <w:szCs w:val="24"/>
          <w:lang w:val="pt-PT"/>
        </w:rPr>
        <w:t>im</w:t>
      </w:r>
      <w:r w:rsidR="008278C4" w:rsidRPr="003A1174">
        <w:rPr>
          <w:rFonts w:ascii="Garamond" w:hAnsi="Garamond" w:cs="Arial"/>
          <w:color w:val="auto"/>
          <w:sz w:val="24"/>
          <w:szCs w:val="24"/>
          <w:lang w:val="pt-PT"/>
        </w:rPr>
        <w:t>pessoal</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burocrático. </w:t>
      </w:r>
      <w:r w:rsidR="0049358D">
        <w:rPr>
          <w:rFonts w:ascii="Garamond" w:hAnsi="Garamond" w:cs="Arial"/>
          <w:color w:val="auto"/>
          <w:sz w:val="24"/>
          <w:szCs w:val="24"/>
          <w:lang w:val="pt-PT"/>
        </w:rPr>
        <w:t>Esta situação agrava-se</w:t>
      </w:r>
      <w:r w:rsidR="00CA39B2" w:rsidRPr="003A1174">
        <w:rPr>
          <w:rFonts w:ascii="Garamond" w:hAnsi="Garamond" w:cs="Arial"/>
          <w:color w:val="auto"/>
          <w:sz w:val="24"/>
          <w:szCs w:val="24"/>
          <w:lang w:val="pt-PT"/>
        </w:rPr>
        <w:t xml:space="preserve"> p</w:t>
      </w:r>
      <w:r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la </w:t>
      </w:r>
      <w:r w:rsidRPr="003A1174">
        <w:rPr>
          <w:rFonts w:ascii="Garamond" w:hAnsi="Garamond" w:cs="Arial"/>
          <w:color w:val="auto"/>
          <w:sz w:val="24"/>
          <w:szCs w:val="24"/>
          <w:lang w:val="pt-PT"/>
        </w:rPr>
        <w:t>fragmentação</w:t>
      </w:r>
      <w:r w:rsidR="00CA39B2" w:rsidRPr="003A1174">
        <w:rPr>
          <w:rFonts w:ascii="Garamond" w:hAnsi="Garamond" w:cs="Arial"/>
          <w:color w:val="auto"/>
          <w:sz w:val="24"/>
          <w:szCs w:val="24"/>
          <w:lang w:val="pt-PT"/>
        </w:rPr>
        <w:t xml:space="preserve"> de casos concetua</w:t>
      </w:r>
      <w:r w:rsidRPr="003A1174">
        <w:rPr>
          <w:rFonts w:ascii="Garamond" w:hAnsi="Garamond" w:cs="Arial"/>
          <w:color w:val="auto"/>
          <w:sz w:val="24"/>
          <w:szCs w:val="24"/>
          <w:lang w:val="pt-PT"/>
        </w:rPr>
        <w:t xml:space="preserve">is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materialmente unitá</w:t>
      </w:r>
      <w:r w:rsidR="00CA39B2" w:rsidRPr="003A1174">
        <w:rPr>
          <w:rFonts w:ascii="Garamond" w:hAnsi="Garamond" w:cs="Arial"/>
          <w:color w:val="auto"/>
          <w:sz w:val="24"/>
          <w:szCs w:val="24"/>
          <w:lang w:val="pt-PT"/>
        </w:rPr>
        <w:t>rios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vário</w:t>
      </w:r>
      <w:r w:rsidR="00CA39B2" w:rsidRPr="003A1174">
        <w:rPr>
          <w:rFonts w:ascii="Garamond" w:hAnsi="Garamond" w:cs="Arial"/>
          <w:color w:val="auto"/>
          <w:sz w:val="24"/>
          <w:szCs w:val="24"/>
          <w:lang w:val="pt-PT"/>
        </w:rPr>
        <w:t>s expedientes.</w:t>
      </w:r>
    </w:p>
    <w:p w:rsidR="00CA39B2" w:rsidRPr="003A1174" w:rsidRDefault="00E95446" w:rsidP="008719D4">
      <w:pPr>
        <w:pStyle w:val="Prrafodelista"/>
        <w:numPr>
          <w:ilvl w:val="0"/>
          <w:numId w:val="26"/>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L</w:t>
      </w:r>
      <w:r w:rsidR="00CA39B2" w:rsidRPr="003A1174">
        <w:rPr>
          <w:rFonts w:ascii="Garamond" w:hAnsi="Garamond" w:cs="Arial"/>
          <w:color w:val="auto"/>
          <w:sz w:val="24"/>
          <w:szCs w:val="24"/>
          <w:lang w:val="pt-PT"/>
        </w:rPr>
        <w:t>amenta</w:t>
      </w:r>
      <w:r w:rsidR="00D2560E" w:rsidRPr="003A1174">
        <w:rPr>
          <w:rFonts w:ascii="Garamond" w:hAnsi="Garamond" w:cs="Arial"/>
          <w:color w:val="auto"/>
          <w:sz w:val="24"/>
          <w:szCs w:val="24"/>
          <w:lang w:val="pt-PT"/>
        </w:rPr>
        <w:t>vel</w:t>
      </w:r>
      <w:r w:rsidR="00CA39B2" w:rsidRPr="003A1174">
        <w:rPr>
          <w:rFonts w:ascii="Garamond" w:hAnsi="Garamond" w:cs="Arial"/>
          <w:color w:val="auto"/>
          <w:sz w:val="24"/>
          <w:szCs w:val="24"/>
          <w:lang w:val="pt-PT"/>
        </w:rPr>
        <w:t xml:space="preserve">mente, </w:t>
      </w:r>
      <w:proofErr w:type="gramStart"/>
      <w:r w:rsidRPr="003A1174">
        <w:rPr>
          <w:rFonts w:ascii="Garamond" w:hAnsi="Garamond" w:cs="Arial"/>
          <w:color w:val="auto"/>
          <w:sz w:val="24"/>
          <w:szCs w:val="24"/>
          <w:lang w:val="pt-PT"/>
        </w:rPr>
        <w:t>existe</w:t>
      </w:r>
      <w:proofErr w:type="gramEnd"/>
      <w:r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seletividad</w:t>
      </w:r>
      <w:r w:rsidR="00D2560E"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desigualdade </w:t>
      </w:r>
      <w:r w:rsidR="00D2560E" w:rsidRPr="003A1174">
        <w:rPr>
          <w:rFonts w:ascii="Garamond" w:hAnsi="Garamond" w:cs="Arial"/>
          <w:color w:val="auto"/>
          <w:sz w:val="24"/>
          <w:szCs w:val="24"/>
          <w:lang w:val="pt-PT"/>
        </w:rPr>
        <w:t xml:space="preserve">no </w:t>
      </w:r>
      <w:r w:rsidR="001C2738" w:rsidRPr="003A1174">
        <w:rPr>
          <w:rFonts w:ascii="Garamond" w:hAnsi="Garamond" w:cs="Arial"/>
          <w:color w:val="auto"/>
          <w:sz w:val="24"/>
          <w:szCs w:val="24"/>
          <w:lang w:val="pt-PT"/>
        </w:rPr>
        <w:t>tratamento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d</w:t>
      </w:r>
      <w:r w:rsidR="00CA39B2" w:rsidRPr="003A1174">
        <w:rPr>
          <w:rFonts w:ascii="Garamond" w:hAnsi="Garamond" w:cs="Arial"/>
          <w:color w:val="auto"/>
          <w:sz w:val="24"/>
          <w:szCs w:val="24"/>
          <w:lang w:val="pt-PT"/>
        </w:rPr>
        <w:t>a</w:t>
      </w:r>
      <w:r w:rsidR="0049358D">
        <w:rPr>
          <w:rFonts w:ascii="Garamond" w:hAnsi="Garamond" w:cs="Arial"/>
          <w:color w:val="auto"/>
          <w:sz w:val="24"/>
          <w:szCs w:val="24"/>
          <w:lang w:val="pt-PT"/>
        </w:rPr>
        <w:t>do pela</w:t>
      </w:r>
      <w:r w:rsidR="00CA39B2"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CA39B2" w:rsidRPr="003A1174">
        <w:rPr>
          <w:rFonts w:ascii="Garamond" w:hAnsi="Garamond" w:cs="Arial"/>
          <w:color w:val="auto"/>
          <w:sz w:val="24"/>
          <w:szCs w:val="24"/>
          <w:lang w:val="pt-PT"/>
        </w:rPr>
        <w:t xml:space="preserve"> </w:t>
      </w:r>
      <w:r w:rsidR="0049358D">
        <w:rPr>
          <w:rFonts w:ascii="Garamond" w:hAnsi="Garamond" w:cs="Arial"/>
          <w:color w:val="auto"/>
          <w:sz w:val="24"/>
          <w:szCs w:val="24"/>
          <w:lang w:val="pt-PT"/>
        </w:rPr>
        <w:t>em função da</w:t>
      </w:r>
      <w:r w:rsidR="00D2560E" w:rsidRPr="003A1174">
        <w:rPr>
          <w:rFonts w:ascii="Garamond" w:hAnsi="Garamond" w:cs="Arial"/>
          <w:color w:val="auto"/>
          <w:sz w:val="24"/>
          <w:szCs w:val="24"/>
          <w:lang w:val="pt-PT"/>
        </w:rPr>
        <w:t xml:space="preserve"> </w:t>
      </w:r>
      <w:r w:rsidR="001B47E3" w:rsidRPr="003A1174">
        <w:rPr>
          <w:rFonts w:ascii="Garamond" w:hAnsi="Garamond" w:cs="Arial"/>
          <w:color w:val="auto"/>
          <w:sz w:val="24"/>
          <w:szCs w:val="24"/>
          <w:lang w:val="pt-PT"/>
        </w:rPr>
        <w:t>origem</w:t>
      </w:r>
      <w:r w:rsidR="00CA39B2" w:rsidRPr="003A1174">
        <w:rPr>
          <w:rFonts w:ascii="Garamond" w:hAnsi="Garamond" w:cs="Arial"/>
          <w:color w:val="auto"/>
          <w:sz w:val="24"/>
          <w:szCs w:val="24"/>
          <w:lang w:val="pt-PT"/>
        </w:rPr>
        <w:t xml:space="preserve"> social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w:t>
      </w:r>
      <w:r w:rsidR="006C760C" w:rsidRPr="003A1174">
        <w:rPr>
          <w:rFonts w:ascii="Garamond" w:hAnsi="Garamond" w:cs="Arial"/>
          <w:color w:val="auto"/>
          <w:sz w:val="24"/>
          <w:szCs w:val="24"/>
          <w:lang w:val="pt-PT"/>
        </w:rPr>
        <w:t>pessoas</w:t>
      </w:r>
      <w:r w:rsidR="00CA39B2" w:rsidRPr="003A1174">
        <w:rPr>
          <w:rFonts w:ascii="Garamond" w:hAnsi="Garamond" w:cs="Arial"/>
          <w:color w:val="auto"/>
          <w:sz w:val="24"/>
          <w:szCs w:val="24"/>
          <w:lang w:val="pt-PT"/>
        </w:rPr>
        <w:t xml:space="preserve"> </w:t>
      </w:r>
      <w:r w:rsidR="00D2560E" w:rsidRPr="003A1174">
        <w:rPr>
          <w:rFonts w:ascii="Garamond" w:hAnsi="Garamond" w:cs="Arial"/>
          <w:color w:val="auto"/>
          <w:sz w:val="24"/>
          <w:szCs w:val="24"/>
          <w:lang w:val="pt-PT"/>
        </w:rPr>
        <w:t>envolvidas</w:t>
      </w:r>
      <w:r w:rsidR="00CA39B2" w:rsidRPr="003A1174">
        <w:rPr>
          <w:rFonts w:ascii="Garamond" w:hAnsi="Garamond" w:cs="Arial"/>
          <w:color w:val="auto"/>
          <w:sz w:val="24"/>
          <w:szCs w:val="24"/>
          <w:lang w:val="pt-PT"/>
        </w:rPr>
        <w:t>.</w:t>
      </w:r>
    </w:p>
    <w:p w:rsidR="00CA39B2" w:rsidRPr="003A1174" w:rsidRDefault="00CA39B2" w:rsidP="008719D4">
      <w:pPr>
        <w:spacing w:line="240" w:lineRule="auto"/>
        <w:jc w:val="both"/>
        <w:rPr>
          <w:rFonts w:ascii="Garamond" w:hAnsi="Garamond" w:cs="Arial"/>
          <w:sz w:val="24"/>
          <w:szCs w:val="24"/>
        </w:rPr>
      </w:pPr>
    </w:p>
    <w:p w:rsidR="00CA39B2" w:rsidRPr="003A1174" w:rsidRDefault="00815AEE" w:rsidP="008719D4">
      <w:pPr>
        <w:spacing w:line="240" w:lineRule="auto"/>
        <w:rPr>
          <w:rFonts w:ascii="Garamond" w:hAnsi="Garamond" w:cs="Arial"/>
          <w:sz w:val="24"/>
          <w:szCs w:val="24"/>
        </w:rPr>
      </w:pPr>
      <w:bookmarkStart w:id="28" w:name="_Toc421529716"/>
      <w:r w:rsidRPr="003A1174">
        <w:rPr>
          <w:rStyle w:val="Ttulo3Car"/>
          <w:rFonts w:ascii="Garamond" w:hAnsi="Garamond"/>
          <w:sz w:val="24"/>
          <w:szCs w:val="24"/>
        </w:rPr>
        <w:t>Venezuela</w:t>
      </w:r>
      <w:bookmarkEnd w:id="28"/>
      <w:r w:rsidR="00CA39B2" w:rsidRPr="003A1174">
        <w:rPr>
          <w:rStyle w:val="Refdenotaalpie"/>
          <w:rFonts w:ascii="Garamond" w:hAnsi="Garamond" w:cs="Arial"/>
          <w:sz w:val="24"/>
          <w:szCs w:val="24"/>
        </w:rPr>
        <w:footnoteReference w:id="88"/>
      </w:r>
    </w:p>
    <w:p w:rsidR="00A0040B" w:rsidRPr="003A1174" w:rsidRDefault="00A0040B"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Como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de </w:t>
      </w:r>
      <w:r w:rsidR="00CB5DB2" w:rsidRPr="003A1174">
        <w:rPr>
          <w:rFonts w:ascii="Garamond" w:hAnsi="Garamond" w:cs="Arial"/>
          <w:color w:val="auto"/>
          <w:sz w:val="24"/>
          <w:szCs w:val="24"/>
        </w:rPr>
        <w:t>referência</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prévio</w:t>
      </w:r>
      <w:r w:rsidR="00E95446" w:rsidRPr="003A1174">
        <w:rPr>
          <w:rFonts w:ascii="Garamond" w:hAnsi="Garamond" w:cs="Arial"/>
          <w:color w:val="auto"/>
          <w:sz w:val="24"/>
          <w:szCs w:val="24"/>
        </w:rPr>
        <w:t xml:space="preserve">, </w:t>
      </w:r>
      <w:r w:rsidR="00D2560E" w:rsidRPr="003A1174">
        <w:rPr>
          <w:rFonts w:ascii="Garamond" w:hAnsi="Garamond" w:cs="Arial"/>
          <w:color w:val="auto"/>
          <w:sz w:val="24"/>
          <w:szCs w:val="24"/>
        </w:rPr>
        <w:t xml:space="preserve">é oportuno </w:t>
      </w:r>
      <w:r w:rsidRPr="003A1174">
        <w:rPr>
          <w:rFonts w:ascii="Garamond" w:hAnsi="Garamond" w:cs="Arial"/>
          <w:color w:val="auto"/>
          <w:sz w:val="24"/>
          <w:szCs w:val="24"/>
        </w:rPr>
        <w:t xml:space="preserve">indicar que </w:t>
      </w:r>
      <w:r w:rsidR="0049358D">
        <w:rPr>
          <w:rFonts w:ascii="Garamond" w:hAnsi="Garamond" w:cs="Arial"/>
          <w:color w:val="auto"/>
          <w:sz w:val="24"/>
          <w:szCs w:val="24"/>
        </w:rPr>
        <w:t xml:space="preserve">a Venezuela </w:t>
      </w:r>
      <w:r w:rsidR="0074243F" w:rsidRPr="003A1174">
        <w:rPr>
          <w:rFonts w:ascii="Garamond" w:hAnsi="Garamond" w:cs="Arial"/>
          <w:color w:val="auto"/>
          <w:sz w:val="24"/>
          <w:szCs w:val="24"/>
        </w:rPr>
        <w:t>ratificou</w:t>
      </w:r>
      <w:r w:rsidR="00D2560E"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Americana sobre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49358D">
        <w:rPr>
          <w:rFonts w:ascii="Garamond" w:hAnsi="Garamond" w:cs="Arial"/>
          <w:color w:val="auto"/>
          <w:sz w:val="24"/>
          <w:szCs w:val="24"/>
        </w:rPr>
        <w:t>,</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 xml:space="preserve">a </w:t>
      </w:r>
      <w:r w:rsidRPr="003A1174">
        <w:rPr>
          <w:rFonts w:ascii="Garamond" w:hAnsi="Garamond" w:cs="Arial"/>
          <w:color w:val="auto"/>
          <w:sz w:val="24"/>
          <w:szCs w:val="24"/>
        </w:rPr>
        <w:t>9 de agosto de 1977</w:t>
      </w:r>
      <w:r w:rsidR="0049358D">
        <w:rPr>
          <w:rFonts w:ascii="Garamond" w:hAnsi="Garamond" w:cs="Arial"/>
          <w:color w:val="auto"/>
          <w:sz w:val="24"/>
          <w:szCs w:val="24"/>
        </w:rPr>
        <w:t>,</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74243F" w:rsidRPr="003A1174">
        <w:rPr>
          <w:rFonts w:ascii="Garamond" w:hAnsi="Garamond" w:cs="Arial"/>
          <w:color w:val="auto"/>
          <w:sz w:val="24"/>
          <w:szCs w:val="24"/>
        </w:rPr>
        <w:t>aceitou</w:t>
      </w:r>
      <w:r w:rsidR="00D2560E"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C86C58" w:rsidRPr="003A1174">
        <w:rPr>
          <w:rFonts w:ascii="Garamond" w:hAnsi="Garamond" w:cs="Arial"/>
          <w:color w:val="auto"/>
          <w:sz w:val="24"/>
          <w:szCs w:val="24"/>
        </w:rPr>
        <w:t>competência</w:t>
      </w:r>
      <w:r w:rsidRPr="003A1174">
        <w:rPr>
          <w:rFonts w:ascii="Garamond" w:hAnsi="Garamond" w:cs="Arial"/>
          <w:color w:val="auto"/>
          <w:sz w:val="24"/>
          <w:szCs w:val="24"/>
        </w:rPr>
        <w:t xml:space="preserve"> d</w:t>
      </w:r>
      <w:r w:rsidR="00935298">
        <w:rPr>
          <w:rFonts w:ascii="Garamond" w:hAnsi="Garamond" w:cs="Arial"/>
          <w:color w:val="auto"/>
          <w:sz w:val="24"/>
          <w:szCs w:val="24"/>
        </w:rPr>
        <w:t>o Tribunal</w:t>
      </w:r>
      <w:r w:rsidR="002A7FDD" w:rsidRPr="003A1174">
        <w:rPr>
          <w:rFonts w:ascii="Garamond" w:hAnsi="Garamond" w:cs="Arial"/>
          <w:color w:val="auto"/>
          <w:sz w:val="24"/>
          <w:szCs w:val="24"/>
        </w:rPr>
        <w:t xml:space="preserve"> </w:t>
      </w:r>
      <w:r w:rsidRPr="003A1174">
        <w:rPr>
          <w:rFonts w:ascii="Garamond" w:hAnsi="Garamond" w:cs="Arial"/>
          <w:color w:val="auto"/>
          <w:sz w:val="24"/>
          <w:szCs w:val="24"/>
        </w:rPr>
        <w:t>Interamerican</w:t>
      </w:r>
      <w:r w:rsidR="00935298">
        <w:rPr>
          <w:rFonts w:ascii="Garamond" w:hAnsi="Garamond" w:cs="Arial"/>
          <w:color w:val="auto"/>
          <w:sz w:val="24"/>
          <w:szCs w:val="24"/>
        </w:rPr>
        <w:t>o</w:t>
      </w:r>
      <w:r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s Humanos</w:t>
      </w:r>
      <w:r w:rsidR="0049358D">
        <w:rPr>
          <w:rFonts w:ascii="Garamond" w:hAnsi="Garamond" w:cs="Arial"/>
          <w:color w:val="auto"/>
          <w:sz w:val="24"/>
          <w:szCs w:val="24"/>
        </w:rPr>
        <w:t>,</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 xml:space="preserve">a </w:t>
      </w:r>
      <w:r w:rsidRPr="003A1174">
        <w:rPr>
          <w:rFonts w:ascii="Garamond" w:hAnsi="Garamond" w:cs="Arial"/>
          <w:color w:val="auto"/>
          <w:sz w:val="24"/>
          <w:szCs w:val="24"/>
        </w:rPr>
        <w:t xml:space="preserve">24 de </w:t>
      </w:r>
      <w:r w:rsidR="00077461" w:rsidRPr="003A1174">
        <w:rPr>
          <w:rFonts w:ascii="Garamond" w:hAnsi="Garamond" w:cs="Arial"/>
          <w:color w:val="auto"/>
          <w:sz w:val="24"/>
          <w:szCs w:val="24"/>
        </w:rPr>
        <w:t>junho</w:t>
      </w:r>
      <w:r w:rsidRPr="003A1174">
        <w:rPr>
          <w:rFonts w:ascii="Garamond" w:hAnsi="Garamond" w:cs="Arial"/>
          <w:color w:val="auto"/>
          <w:sz w:val="24"/>
          <w:szCs w:val="24"/>
        </w:rPr>
        <w:t xml:space="preserve"> de 1981. </w:t>
      </w:r>
      <w:r w:rsidR="00D2560E" w:rsidRPr="003A1174">
        <w:rPr>
          <w:rFonts w:ascii="Garamond" w:hAnsi="Garamond" w:cs="Arial"/>
          <w:color w:val="auto"/>
          <w:sz w:val="24"/>
          <w:szCs w:val="24"/>
        </w:rPr>
        <w:t xml:space="preserve">No entanto, a </w:t>
      </w:r>
      <w:r w:rsidRPr="003A1174">
        <w:rPr>
          <w:rFonts w:ascii="Garamond" w:hAnsi="Garamond" w:cs="Arial"/>
          <w:color w:val="auto"/>
          <w:sz w:val="24"/>
          <w:szCs w:val="24"/>
        </w:rPr>
        <w:t xml:space="preserve">10 de </w:t>
      </w:r>
      <w:r w:rsidR="00FF6A3F" w:rsidRPr="003A1174">
        <w:rPr>
          <w:rFonts w:ascii="Garamond" w:hAnsi="Garamond" w:cs="Arial"/>
          <w:color w:val="auto"/>
          <w:sz w:val="24"/>
          <w:szCs w:val="24"/>
        </w:rPr>
        <w:t>setembro</w:t>
      </w:r>
      <w:r w:rsidRPr="003A1174">
        <w:rPr>
          <w:rFonts w:ascii="Garamond" w:hAnsi="Garamond" w:cs="Arial"/>
          <w:color w:val="auto"/>
          <w:sz w:val="24"/>
          <w:szCs w:val="24"/>
        </w:rPr>
        <w:t xml:space="preserve"> de 2012</w:t>
      </w:r>
      <w:r w:rsidR="0049358D">
        <w:rPr>
          <w:rFonts w:ascii="Garamond" w:hAnsi="Garamond" w:cs="Arial"/>
          <w:color w:val="auto"/>
          <w:sz w:val="24"/>
          <w:szCs w:val="24"/>
        </w:rPr>
        <w:t>,</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afastou-</w:t>
      </w:r>
      <w:r w:rsidRPr="003A1174">
        <w:rPr>
          <w:rFonts w:ascii="Garamond" w:hAnsi="Garamond" w:cs="Arial"/>
          <w:color w:val="auto"/>
          <w:sz w:val="24"/>
          <w:szCs w:val="24"/>
        </w:rPr>
        <w:t>se</w:t>
      </w:r>
      <w:r w:rsidR="0049358D">
        <w:rPr>
          <w:rFonts w:ascii="Garamond" w:hAnsi="Garamond" w:cs="Arial"/>
          <w:color w:val="auto"/>
          <w:sz w:val="24"/>
          <w:szCs w:val="24"/>
        </w:rPr>
        <w:t>,</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juridicamente</w:t>
      </w:r>
      <w:r w:rsidR="0049358D">
        <w:rPr>
          <w:rFonts w:ascii="Garamond" w:hAnsi="Garamond" w:cs="Arial"/>
          <w:color w:val="auto"/>
          <w:sz w:val="24"/>
          <w:szCs w:val="24"/>
        </w:rPr>
        <w:t>,</w:t>
      </w:r>
      <w:r w:rsidR="00D2560E" w:rsidRPr="003A1174">
        <w:rPr>
          <w:rFonts w:ascii="Garamond" w:hAnsi="Garamond" w:cs="Arial"/>
          <w:color w:val="auto"/>
          <w:sz w:val="24"/>
          <w:szCs w:val="24"/>
        </w:rPr>
        <w:t xml:space="preserve"> d</w:t>
      </w:r>
      <w:r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Pr="003A1174">
        <w:rPr>
          <w:rFonts w:ascii="Garamond" w:hAnsi="Garamond" w:cs="Arial"/>
          <w:color w:val="auto"/>
          <w:sz w:val="24"/>
          <w:szCs w:val="24"/>
        </w:rPr>
        <w:t xml:space="preserve"> </w:t>
      </w:r>
      <w:r w:rsidR="00D2560E" w:rsidRPr="003A1174">
        <w:rPr>
          <w:rFonts w:ascii="Garamond" w:hAnsi="Garamond" w:cs="Arial"/>
          <w:color w:val="auto"/>
          <w:sz w:val="24"/>
          <w:szCs w:val="24"/>
        </w:rPr>
        <w:t>através de</w:t>
      </w:r>
      <w:r w:rsidRPr="003A1174">
        <w:rPr>
          <w:rFonts w:ascii="Garamond" w:hAnsi="Garamond" w:cs="Arial"/>
          <w:color w:val="auto"/>
          <w:sz w:val="24"/>
          <w:szCs w:val="24"/>
        </w:rPr>
        <w:t xml:space="preserve"> </w:t>
      </w:r>
      <w:r w:rsidR="008651AF" w:rsidRPr="003A1174">
        <w:rPr>
          <w:rFonts w:ascii="Garamond" w:hAnsi="Garamond" w:cs="Arial"/>
          <w:color w:val="auto"/>
          <w:sz w:val="24"/>
          <w:szCs w:val="24"/>
        </w:rPr>
        <w:t>denúncia</w:t>
      </w:r>
      <w:r w:rsidRPr="003A1174">
        <w:rPr>
          <w:rFonts w:ascii="Garamond" w:hAnsi="Garamond" w:cs="Arial"/>
          <w:color w:val="auto"/>
          <w:sz w:val="24"/>
          <w:szCs w:val="24"/>
        </w:rPr>
        <w:t xml:space="preserve"> da </w:t>
      </w:r>
      <w:r w:rsidR="00524936" w:rsidRPr="003A1174">
        <w:rPr>
          <w:rFonts w:ascii="Garamond" w:hAnsi="Garamond" w:cs="Arial"/>
          <w:color w:val="auto"/>
          <w:sz w:val="24"/>
          <w:szCs w:val="24"/>
        </w:rPr>
        <w:t>mesma</w:t>
      </w:r>
      <w:r w:rsidRPr="003A1174">
        <w:rPr>
          <w:rFonts w:ascii="Garamond" w:hAnsi="Garamond" w:cs="Arial"/>
          <w:color w:val="auto"/>
          <w:sz w:val="24"/>
          <w:szCs w:val="24"/>
        </w:rPr>
        <w:t>.</w:t>
      </w:r>
      <w:r w:rsidRPr="003A1174">
        <w:rPr>
          <w:rStyle w:val="Refdenotaalpie"/>
          <w:rFonts w:ascii="Garamond" w:hAnsi="Garamond" w:cs="Arial"/>
          <w:color w:val="auto"/>
          <w:sz w:val="24"/>
          <w:szCs w:val="24"/>
        </w:rPr>
        <w:footnoteReference w:id="89"/>
      </w:r>
    </w:p>
    <w:p w:rsidR="00A0040B" w:rsidRPr="003A1174" w:rsidRDefault="0074243F"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Ratificou</w:t>
      </w:r>
      <w:r w:rsidR="0049358D">
        <w:rPr>
          <w:rFonts w:ascii="Garamond" w:hAnsi="Garamond" w:cs="Arial"/>
          <w:color w:val="auto"/>
          <w:sz w:val="24"/>
          <w:szCs w:val="24"/>
        </w:rPr>
        <w:t xml:space="preserve">, igualmente, </w:t>
      </w:r>
      <w:r w:rsidR="00A0040B"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D2560E" w:rsidRPr="003A1174">
        <w:rPr>
          <w:rFonts w:ascii="Garamond" w:hAnsi="Garamond" w:cs="Arial"/>
          <w:color w:val="auto"/>
          <w:sz w:val="24"/>
          <w:szCs w:val="24"/>
        </w:rPr>
        <w:t xml:space="preserve"> sobre </w:t>
      </w:r>
      <w:r w:rsidR="00A0040B" w:rsidRPr="003A1174">
        <w:rPr>
          <w:rFonts w:ascii="Garamond" w:hAnsi="Garamond" w:cs="Arial"/>
          <w:color w:val="auto"/>
          <w:sz w:val="24"/>
          <w:szCs w:val="24"/>
        </w:rPr>
        <w:t xml:space="preserve">a </w:t>
      </w:r>
      <w:r w:rsidR="008E7A2A" w:rsidRPr="003A1174">
        <w:rPr>
          <w:rFonts w:ascii="Garamond" w:hAnsi="Garamond" w:cs="Arial"/>
          <w:color w:val="auto"/>
          <w:sz w:val="24"/>
          <w:szCs w:val="24"/>
        </w:rPr>
        <w:t>Eliminação</w:t>
      </w:r>
      <w:r w:rsidR="00D2560E" w:rsidRPr="003A1174">
        <w:rPr>
          <w:rFonts w:ascii="Garamond" w:hAnsi="Garamond" w:cs="Arial"/>
          <w:color w:val="auto"/>
          <w:sz w:val="24"/>
          <w:szCs w:val="24"/>
        </w:rPr>
        <w:t xml:space="preserve"> de Todas </w:t>
      </w:r>
      <w:r w:rsidR="00A0040B" w:rsidRPr="003A1174">
        <w:rPr>
          <w:rFonts w:ascii="Garamond" w:hAnsi="Garamond" w:cs="Arial"/>
          <w:color w:val="auto"/>
          <w:sz w:val="24"/>
          <w:szCs w:val="24"/>
        </w:rPr>
        <w:t xml:space="preserve">as Formas de </w:t>
      </w:r>
      <w:r w:rsidR="0017447A" w:rsidRPr="003A1174">
        <w:rPr>
          <w:rFonts w:ascii="Garamond" w:hAnsi="Garamond" w:cs="Arial"/>
          <w:color w:val="auto"/>
          <w:sz w:val="24"/>
          <w:szCs w:val="24"/>
        </w:rPr>
        <w:t>Discriminação</w:t>
      </w:r>
      <w:r w:rsidR="00D2560E" w:rsidRPr="003A1174">
        <w:rPr>
          <w:rFonts w:ascii="Garamond" w:hAnsi="Garamond" w:cs="Arial"/>
          <w:color w:val="auto"/>
          <w:sz w:val="24"/>
          <w:szCs w:val="24"/>
        </w:rPr>
        <w:t xml:space="preserve"> Contra </w:t>
      </w:r>
      <w:r w:rsidR="00A0040B"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49358D">
        <w:rPr>
          <w:rFonts w:ascii="Garamond" w:hAnsi="Garamond" w:cs="Arial"/>
          <w:color w:val="auto"/>
          <w:sz w:val="24"/>
          <w:szCs w:val="24"/>
        </w:rPr>
        <w:t>,</w:t>
      </w:r>
      <w:r w:rsidR="00A0040B" w:rsidRPr="003A1174">
        <w:rPr>
          <w:rFonts w:ascii="Garamond" w:hAnsi="Garamond" w:cs="Arial"/>
          <w:color w:val="auto"/>
          <w:sz w:val="24"/>
          <w:szCs w:val="24"/>
        </w:rPr>
        <w:t xml:space="preserve"> </w:t>
      </w:r>
      <w:r w:rsidR="00D2560E" w:rsidRPr="003A1174">
        <w:rPr>
          <w:rFonts w:ascii="Garamond" w:hAnsi="Garamond" w:cs="Arial"/>
          <w:color w:val="auto"/>
          <w:sz w:val="24"/>
          <w:szCs w:val="24"/>
        </w:rPr>
        <w:t xml:space="preserve">a </w:t>
      </w:r>
      <w:r w:rsidR="00A0040B" w:rsidRPr="003A1174">
        <w:rPr>
          <w:rFonts w:ascii="Garamond" w:hAnsi="Garamond" w:cs="Arial"/>
          <w:color w:val="auto"/>
          <w:sz w:val="24"/>
          <w:szCs w:val="24"/>
        </w:rPr>
        <w:t xml:space="preserve">2 de </w:t>
      </w:r>
      <w:r w:rsidR="00D2560E" w:rsidRPr="003A1174">
        <w:rPr>
          <w:rFonts w:ascii="Garamond" w:hAnsi="Garamond" w:cs="Arial"/>
          <w:color w:val="auto"/>
          <w:sz w:val="24"/>
          <w:szCs w:val="24"/>
        </w:rPr>
        <w:t>maio</w:t>
      </w:r>
      <w:r w:rsidR="00A0040B" w:rsidRPr="003A1174">
        <w:rPr>
          <w:rFonts w:ascii="Garamond" w:hAnsi="Garamond" w:cs="Arial"/>
          <w:color w:val="auto"/>
          <w:sz w:val="24"/>
          <w:szCs w:val="24"/>
        </w:rPr>
        <w:t xml:space="preserve"> de 1983</w:t>
      </w:r>
      <w:r w:rsidR="00E95446"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D2560E" w:rsidRPr="003A1174">
        <w:rPr>
          <w:rFonts w:ascii="Garamond" w:hAnsi="Garamond" w:cs="Arial"/>
          <w:color w:val="auto"/>
          <w:sz w:val="24"/>
          <w:szCs w:val="24"/>
        </w:rPr>
        <w:t xml:space="preserve"> </w:t>
      </w:r>
      <w:r w:rsidR="00A0040B" w:rsidRPr="003A1174">
        <w:rPr>
          <w:rFonts w:ascii="Garamond" w:hAnsi="Garamond" w:cs="Arial"/>
          <w:color w:val="auto"/>
          <w:sz w:val="24"/>
          <w:szCs w:val="24"/>
        </w:rPr>
        <w:t xml:space="preserve">a </w:t>
      </w:r>
      <w:r w:rsidR="00B14AA6" w:rsidRPr="003A1174">
        <w:rPr>
          <w:rFonts w:ascii="Garamond" w:hAnsi="Garamond" w:cs="Arial"/>
          <w:color w:val="auto"/>
          <w:sz w:val="24"/>
          <w:szCs w:val="24"/>
        </w:rPr>
        <w:t>Convenção</w:t>
      </w:r>
      <w:r w:rsidR="00A0040B" w:rsidRPr="003A1174">
        <w:rPr>
          <w:rFonts w:ascii="Garamond" w:hAnsi="Garamond" w:cs="Arial"/>
          <w:color w:val="auto"/>
          <w:sz w:val="24"/>
          <w:szCs w:val="24"/>
        </w:rPr>
        <w:t xml:space="preserve"> Interamericana para </w:t>
      </w:r>
      <w:r w:rsidR="003F493C" w:rsidRPr="003A1174">
        <w:rPr>
          <w:rFonts w:ascii="Garamond" w:hAnsi="Garamond" w:cs="Arial"/>
          <w:color w:val="auto"/>
          <w:sz w:val="24"/>
          <w:szCs w:val="24"/>
        </w:rPr>
        <w:t>Prevenir, Punir e Erradicar</w:t>
      </w:r>
      <w:r w:rsidR="00D2560E" w:rsidRPr="003A1174">
        <w:rPr>
          <w:rFonts w:ascii="Garamond" w:hAnsi="Garamond" w:cs="Arial"/>
          <w:color w:val="auto"/>
          <w:sz w:val="24"/>
          <w:szCs w:val="24"/>
        </w:rPr>
        <w:t xml:space="preserve"> </w:t>
      </w:r>
      <w:r w:rsidR="00A0040B"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D2560E" w:rsidRPr="003A1174">
        <w:rPr>
          <w:rFonts w:ascii="Garamond" w:hAnsi="Garamond" w:cs="Arial"/>
          <w:color w:val="auto"/>
          <w:sz w:val="24"/>
          <w:szCs w:val="24"/>
        </w:rPr>
        <w:t xml:space="preserve"> contra </w:t>
      </w:r>
      <w:r w:rsidR="00A0040B"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E95446" w:rsidRPr="003A1174">
        <w:rPr>
          <w:rFonts w:ascii="Garamond" w:hAnsi="Garamond" w:cs="Arial"/>
          <w:color w:val="auto"/>
          <w:sz w:val="24"/>
          <w:szCs w:val="24"/>
        </w:rPr>
        <w:t>,</w:t>
      </w:r>
      <w:r w:rsidR="00A0040B" w:rsidRPr="003A1174">
        <w:rPr>
          <w:rFonts w:ascii="Garamond" w:hAnsi="Garamond" w:cs="Arial"/>
          <w:color w:val="auto"/>
          <w:sz w:val="24"/>
          <w:szCs w:val="24"/>
        </w:rPr>
        <w:t xml:space="preserve"> </w:t>
      </w:r>
      <w:r w:rsidR="00B14AA6" w:rsidRPr="003A1174">
        <w:rPr>
          <w:rFonts w:ascii="Garamond" w:hAnsi="Garamond" w:cs="Arial"/>
          <w:color w:val="auto"/>
          <w:sz w:val="24"/>
          <w:szCs w:val="24"/>
        </w:rPr>
        <w:t>Convenção</w:t>
      </w:r>
      <w:r w:rsidR="00A0040B" w:rsidRPr="003A1174">
        <w:rPr>
          <w:rFonts w:ascii="Garamond" w:hAnsi="Garamond" w:cs="Arial"/>
          <w:color w:val="auto"/>
          <w:sz w:val="24"/>
          <w:szCs w:val="24"/>
        </w:rPr>
        <w:t xml:space="preserve"> de Belém do Pará</w:t>
      </w:r>
      <w:r w:rsidR="00E95446" w:rsidRPr="003A1174">
        <w:rPr>
          <w:rFonts w:ascii="Garamond" w:hAnsi="Garamond" w:cs="Arial"/>
          <w:color w:val="auto"/>
          <w:sz w:val="24"/>
          <w:szCs w:val="24"/>
        </w:rPr>
        <w:t>,</w:t>
      </w:r>
      <w:r w:rsidR="00A0040B" w:rsidRPr="003A1174">
        <w:rPr>
          <w:rFonts w:ascii="Garamond" w:hAnsi="Garamond" w:cs="Arial"/>
          <w:color w:val="auto"/>
          <w:sz w:val="24"/>
          <w:szCs w:val="24"/>
        </w:rPr>
        <w:t xml:space="preserve"> </w:t>
      </w:r>
      <w:r w:rsidR="00D2560E" w:rsidRPr="003A1174">
        <w:rPr>
          <w:rFonts w:ascii="Garamond" w:hAnsi="Garamond" w:cs="Arial"/>
          <w:color w:val="auto"/>
          <w:sz w:val="24"/>
          <w:szCs w:val="24"/>
        </w:rPr>
        <w:t xml:space="preserve">a </w:t>
      </w:r>
      <w:r w:rsidR="00A0040B" w:rsidRPr="003A1174">
        <w:rPr>
          <w:rFonts w:ascii="Garamond" w:hAnsi="Garamond" w:cs="Arial"/>
          <w:color w:val="auto"/>
          <w:sz w:val="24"/>
          <w:szCs w:val="24"/>
        </w:rPr>
        <w:t xml:space="preserve">3 de </w:t>
      </w:r>
      <w:r w:rsidR="00497503" w:rsidRPr="003A1174">
        <w:rPr>
          <w:rFonts w:ascii="Garamond" w:hAnsi="Garamond" w:cs="Arial"/>
          <w:color w:val="auto"/>
          <w:sz w:val="24"/>
          <w:szCs w:val="24"/>
        </w:rPr>
        <w:t>fevereiro</w:t>
      </w:r>
      <w:r w:rsidR="00A0040B" w:rsidRPr="003A1174">
        <w:rPr>
          <w:rFonts w:ascii="Garamond" w:hAnsi="Garamond" w:cs="Arial"/>
          <w:color w:val="auto"/>
          <w:sz w:val="24"/>
          <w:szCs w:val="24"/>
        </w:rPr>
        <w:t xml:space="preserve"> de 1995.</w:t>
      </w:r>
    </w:p>
    <w:p w:rsidR="00F950B2" w:rsidRPr="003A1174" w:rsidRDefault="00B14AA6" w:rsidP="008719D4">
      <w:pPr>
        <w:pStyle w:val="Prrafodelista"/>
        <w:numPr>
          <w:ilvl w:val="0"/>
          <w:numId w:val="13"/>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Disposições</w:t>
      </w:r>
      <w:r w:rsidR="00F950B2"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legais</w:t>
      </w:r>
      <w:r w:rsidR="00F950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F950B2" w:rsidRPr="003A1174">
        <w:rPr>
          <w:rFonts w:ascii="Garamond" w:hAnsi="Garamond" w:cs="Arial"/>
          <w:color w:val="auto"/>
          <w:sz w:val="24"/>
          <w:szCs w:val="24"/>
          <w:lang w:val="pt-PT"/>
        </w:rPr>
        <w:t xml:space="preserve"> </w:t>
      </w:r>
      <w:r w:rsidR="00D96FD0" w:rsidRPr="003A1174">
        <w:rPr>
          <w:rFonts w:ascii="Garamond" w:hAnsi="Garamond" w:cs="Arial"/>
          <w:color w:val="auto"/>
          <w:sz w:val="24"/>
          <w:szCs w:val="24"/>
          <w:lang w:val="pt-PT"/>
        </w:rPr>
        <w:t>cumprimento</w:t>
      </w:r>
      <w:r w:rsidR="00D2560E" w:rsidRPr="003A1174">
        <w:rPr>
          <w:rFonts w:ascii="Garamond" w:hAnsi="Garamond" w:cs="Arial"/>
          <w:color w:val="auto"/>
          <w:sz w:val="24"/>
          <w:szCs w:val="24"/>
          <w:lang w:val="pt-PT"/>
        </w:rPr>
        <w:t xml:space="preserve"> das normas</w:t>
      </w:r>
      <w:r w:rsidR="00F950B2" w:rsidRPr="003A1174">
        <w:rPr>
          <w:rFonts w:ascii="Garamond" w:hAnsi="Garamond" w:cs="Arial"/>
          <w:color w:val="auto"/>
          <w:sz w:val="24"/>
          <w:szCs w:val="24"/>
          <w:lang w:val="pt-PT"/>
        </w:rPr>
        <w:t xml:space="preserve"> </w:t>
      </w:r>
    </w:p>
    <w:p w:rsidR="00CA39B2" w:rsidRPr="003A1174" w:rsidRDefault="009A0CC2" w:rsidP="008719D4">
      <w:pPr>
        <w:pStyle w:val="Default"/>
        <w:spacing w:before="240"/>
        <w:jc w:val="both"/>
        <w:rPr>
          <w:rFonts w:ascii="Garamond" w:hAnsi="Garamond" w:cs="Arial"/>
          <w:color w:val="auto"/>
          <w:lang w:val="pt-PT"/>
        </w:rPr>
      </w:pPr>
      <w:r w:rsidRPr="003A1174">
        <w:rPr>
          <w:rFonts w:ascii="Garamond" w:hAnsi="Garamond" w:cs="Arial"/>
          <w:color w:val="auto"/>
          <w:lang w:val="pt-PT"/>
        </w:rPr>
        <w:t>Através</w:t>
      </w:r>
      <w:r w:rsidR="00CA39B2" w:rsidRPr="003A1174">
        <w:rPr>
          <w:rFonts w:ascii="Garamond" w:hAnsi="Garamond" w:cs="Arial"/>
          <w:color w:val="auto"/>
          <w:lang w:val="pt-PT"/>
        </w:rPr>
        <w:t xml:space="preserve"> </w:t>
      </w:r>
      <w:r w:rsidR="008A3DA2" w:rsidRPr="003A1174">
        <w:rPr>
          <w:rFonts w:ascii="Garamond" w:hAnsi="Garamond" w:cs="Arial"/>
          <w:color w:val="auto"/>
          <w:lang w:val="pt-PT"/>
        </w:rPr>
        <w:t>do</w:t>
      </w:r>
      <w:r w:rsidR="00CA39B2" w:rsidRPr="003A1174">
        <w:rPr>
          <w:rFonts w:ascii="Garamond" w:hAnsi="Garamond" w:cs="Arial"/>
          <w:color w:val="auto"/>
          <w:lang w:val="pt-PT"/>
        </w:rPr>
        <w:t xml:space="preserve"> </w:t>
      </w:r>
      <w:r w:rsidR="00D77C19" w:rsidRPr="003A1174">
        <w:rPr>
          <w:rFonts w:ascii="Garamond" w:hAnsi="Garamond" w:cs="Arial"/>
          <w:color w:val="auto"/>
          <w:lang w:val="pt-PT"/>
        </w:rPr>
        <w:t>Ministério</w:t>
      </w:r>
      <w:r w:rsidR="00CA39B2" w:rsidRPr="003A1174">
        <w:rPr>
          <w:rFonts w:ascii="Garamond" w:hAnsi="Garamond" w:cs="Arial"/>
          <w:color w:val="auto"/>
          <w:lang w:val="pt-PT"/>
        </w:rPr>
        <w:t xml:space="preserve"> </w:t>
      </w:r>
      <w:r w:rsidR="008A3DA2" w:rsidRPr="003A1174">
        <w:rPr>
          <w:rFonts w:ascii="Garamond" w:hAnsi="Garamond" w:cs="Arial"/>
          <w:color w:val="auto"/>
          <w:lang w:val="pt-PT"/>
        </w:rPr>
        <w:t>do</w:t>
      </w:r>
      <w:r w:rsidR="00CA39B2" w:rsidRPr="003A1174">
        <w:rPr>
          <w:rFonts w:ascii="Garamond" w:hAnsi="Garamond" w:cs="Arial"/>
          <w:color w:val="auto"/>
          <w:lang w:val="pt-PT"/>
        </w:rPr>
        <w:t xml:space="preserve"> Poder </w:t>
      </w:r>
      <w:r w:rsidR="00D2560E" w:rsidRPr="003A1174">
        <w:rPr>
          <w:rFonts w:ascii="Garamond" w:hAnsi="Garamond" w:cs="Arial"/>
          <w:color w:val="auto"/>
          <w:lang w:val="pt-PT"/>
        </w:rPr>
        <w:t xml:space="preserve">Popular para </w:t>
      </w:r>
      <w:r w:rsidR="00CA39B2" w:rsidRPr="003A1174">
        <w:rPr>
          <w:rFonts w:ascii="Garamond" w:hAnsi="Garamond" w:cs="Arial"/>
          <w:color w:val="auto"/>
          <w:lang w:val="pt-PT"/>
        </w:rPr>
        <w:t xml:space="preserve">a </w:t>
      </w:r>
      <w:r w:rsidR="00AF192F" w:rsidRPr="003A1174">
        <w:rPr>
          <w:rFonts w:ascii="Garamond" w:hAnsi="Garamond" w:cs="Arial"/>
          <w:color w:val="auto"/>
          <w:lang w:val="pt-PT"/>
        </w:rPr>
        <w:t>Mulher</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e</w:t>
      </w:r>
      <w:r w:rsidR="00D2560E" w:rsidRPr="003A1174">
        <w:rPr>
          <w:rFonts w:ascii="Garamond" w:hAnsi="Garamond" w:cs="Arial"/>
          <w:color w:val="auto"/>
          <w:lang w:val="pt-PT"/>
        </w:rPr>
        <w:t xml:space="preserve"> </w:t>
      </w:r>
      <w:r w:rsidR="00CA39B2" w:rsidRPr="003A1174">
        <w:rPr>
          <w:rFonts w:ascii="Garamond" w:hAnsi="Garamond" w:cs="Arial"/>
          <w:color w:val="auto"/>
          <w:lang w:val="pt-PT"/>
        </w:rPr>
        <w:t xml:space="preserve">a </w:t>
      </w:r>
      <w:r w:rsidR="002C7510" w:rsidRPr="003A1174">
        <w:rPr>
          <w:rFonts w:ascii="Garamond" w:hAnsi="Garamond" w:cs="Arial"/>
          <w:color w:val="auto"/>
          <w:lang w:val="pt-PT"/>
        </w:rPr>
        <w:t>Igualdade</w:t>
      </w:r>
      <w:r w:rsidR="00CA39B2" w:rsidRPr="003A1174">
        <w:rPr>
          <w:rFonts w:ascii="Garamond" w:hAnsi="Garamond" w:cs="Arial"/>
          <w:color w:val="auto"/>
          <w:lang w:val="pt-PT"/>
        </w:rPr>
        <w:t xml:space="preserve"> de Género</w:t>
      </w:r>
      <w:r w:rsidR="00C11925">
        <w:rPr>
          <w:rFonts w:ascii="Garamond" w:hAnsi="Garamond" w:cs="Arial"/>
          <w:color w:val="auto"/>
          <w:lang w:val="pt-PT"/>
        </w:rPr>
        <w:t>,</w:t>
      </w:r>
      <w:r w:rsidR="00CA39B2" w:rsidRPr="003A1174">
        <w:rPr>
          <w:rFonts w:ascii="Garamond" w:hAnsi="Garamond" w:cs="Arial"/>
          <w:color w:val="auto"/>
          <w:lang w:val="pt-PT"/>
        </w:rPr>
        <w:t xml:space="preserve"> </w:t>
      </w:r>
      <w:r w:rsidR="00D2560E" w:rsidRPr="003A1174">
        <w:rPr>
          <w:rFonts w:ascii="Garamond" w:hAnsi="Garamond" w:cs="Arial"/>
          <w:color w:val="auto"/>
          <w:lang w:val="pt-PT"/>
        </w:rPr>
        <w:t xml:space="preserve">o </w:t>
      </w:r>
      <w:r w:rsidR="00E95446" w:rsidRPr="003A1174">
        <w:rPr>
          <w:rFonts w:ascii="Garamond" w:hAnsi="Garamond" w:cs="Arial"/>
          <w:color w:val="auto"/>
          <w:lang w:val="pt-PT"/>
        </w:rPr>
        <w:t xml:space="preserve">Estado </w:t>
      </w:r>
      <w:r w:rsidR="005A5191" w:rsidRPr="003A1174">
        <w:rPr>
          <w:rFonts w:ascii="Garamond" w:hAnsi="Garamond" w:cs="Arial"/>
          <w:color w:val="auto"/>
          <w:lang w:val="pt-PT"/>
        </w:rPr>
        <w:t>venezuelano</w:t>
      </w:r>
      <w:r w:rsidR="00E95446" w:rsidRPr="003A1174">
        <w:rPr>
          <w:rFonts w:ascii="Garamond" w:hAnsi="Garamond" w:cs="Arial"/>
          <w:color w:val="auto"/>
          <w:lang w:val="pt-PT"/>
        </w:rPr>
        <w:t xml:space="preserve"> </w:t>
      </w:r>
      <w:r w:rsidR="005A5191" w:rsidRPr="003A1174">
        <w:rPr>
          <w:rFonts w:ascii="Garamond" w:hAnsi="Garamond" w:cs="Arial"/>
          <w:color w:val="auto"/>
          <w:lang w:val="pt-PT"/>
        </w:rPr>
        <w:t xml:space="preserve">concebeu o </w:t>
      </w:r>
      <w:r w:rsidR="00462B11" w:rsidRPr="003A1174">
        <w:rPr>
          <w:rFonts w:ascii="Garamond" w:hAnsi="Garamond" w:cs="Arial"/>
          <w:color w:val="auto"/>
          <w:lang w:val="pt-PT"/>
        </w:rPr>
        <w:t>Plano</w:t>
      </w:r>
      <w:r w:rsidR="005A5191" w:rsidRPr="003A1174">
        <w:rPr>
          <w:rFonts w:ascii="Garamond" w:hAnsi="Garamond" w:cs="Arial"/>
          <w:color w:val="auto"/>
          <w:lang w:val="pt-PT"/>
        </w:rPr>
        <w:t xml:space="preserve"> para </w:t>
      </w:r>
      <w:r w:rsidR="00CA39B2" w:rsidRPr="003A1174">
        <w:rPr>
          <w:rFonts w:ascii="Garamond" w:hAnsi="Garamond" w:cs="Arial"/>
          <w:color w:val="auto"/>
          <w:lang w:val="pt-PT"/>
        </w:rPr>
        <w:t xml:space="preserve">a </w:t>
      </w:r>
      <w:r w:rsidR="002C7510" w:rsidRPr="003A1174">
        <w:rPr>
          <w:rFonts w:ascii="Garamond" w:hAnsi="Garamond" w:cs="Arial"/>
          <w:color w:val="auto"/>
          <w:lang w:val="pt-PT"/>
        </w:rPr>
        <w:t>Igualdade</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e</w:t>
      </w:r>
      <w:r w:rsidR="00CA39B2" w:rsidRPr="003A1174">
        <w:rPr>
          <w:rFonts w:ascii="Garamond" w:hAnsi="Garamond" w:cs="Arial"/>
          <w:color w:val="auto"/>
          <w:lang w:val="pt-PT"/>
        </w:rPr>
        <w:t xml:space="preserve"> </w:t>
      </w:r>
      <w:r w:rsidR="00C01806" w:rsidRPr="003A1174">
        <w:rPr>
          <w:rFonts w:ascii="Garamond" w:hAnsi="Garamond" w:cs="Arial"/>
          <w:color w:val="auto"/>
          <w:lang w:val="pt-PT"/>
        </w:rPr>
        <w:t>Equidade</w:t>
      </w:r>
      <w:r w:rsidR="005A5191" w:rsidRPr="003A1174">
        <w:rPr>
          <w:rFonts w:ascii="Garamond" w:hAnsi="Garamond" w:cs="Arial"/>
          <w:color w:val="auto"/>
          <w:lang w:val="pt-PT"/>
        </w:rPr>
        <w:t xml:space="preserve"> de Género </w:t>
      </w:r>
      <w:r w:rsidR="00C11925">
        <w:rPr>
          <w:rFonts w:ascii="Garamond" w:hAnsi="Garamond" w:cs="Arial"/>
          <w:color w:val="auto"/>
          <w:lang w:val="pt-PT"/>
        </w:rPr>
        <w:t>«</w:t>
      </w:r>
      <w:r w:rsidR="005A5191" w:rsidRPr="003A1174">
        <w:rPr>
          <w:rFonts w:ascii="Garamond" w:hAnsi="Garamond" w:cs="Arial"/>
          <w:color w:val="auto"/>
          <w:lang w:val="pt-PT"/>
        </w:rPr>
        <w:t>Mamã</w:t>
      </w:r>
      <w:r w:rsidR="00CA39B2" w:rsidRPr="003A1174">
        <w:rPr>
          <w:rFonts w:ascii="Garamond" w:hAnsi="Garamond" w:cs="Arial"/>
          <w:color w:val="auto"/>
          <w:lang w:val="pt-PT"/>
        </w:rPr>
        <w:t xml:space="preserve"> Rosa</w:t>
      </w:r>
      <w:r w:rsidR="00C11925">
        <w:rPr>
          <w:rFonts w:ascii="Garamond" w:hAnsi="Garamond" w:cs="Arial"/>
          <w:color w:val="auto"/>
          <w:lang w:val="pt-PT"/>
        </w:rPr>
        <w:t>»</w:t>
      </w:r>
      <w:r w:rsidR="00CA39B2" w:rsidRPr="003A1174">
        <w:rPr>
          <w:rFonts w:ascii="Garamond" w:hAnsi="Garamond" w:cs="Arial"/>
          <w:color w:val="auto"/>
          <w:lang w:val="pt-PT"/>
        </w:rPr>
        <w:t xml:space="preserve"> (2013- 2019) que </w:t>
      </w:r>
      <w:r w:rsidR="00C11925">
        <w:rPr>
          <w:rFonts w:ascii="Garamond" w:hAnsi="Garamond" w:cs="Arial"/>
          <w:color w:val="auto"/>
          <w:lang w:val="pt-PT"/>
        </w:rPr>
        <w:t xml:space="preserve">dirige </w:t>
      </w:r>
      <w:r w:rsidR="00CA39B2" w:rsidRPr="003A1174">
        <w:rPr>
          <w:rFonts w:ascii="Garamond" w:hAnsi="Garamond" w:cs="Arial"/>
          <w:color w:val="auto"/>
          <w:lang w:val="pt-PT"/>
        </w:rPr>
        <w:t xml:space="preserve">a </w:t>
      </w:r>
      <w:r w:rsidR="00EB2F44" w:rsidRPr="003A1174">
        <w:rPr>
          <w:rFonts w:ascii="Garamond" w:hAnsi="Garamond" w:cs="Arial"/>
          <w:color w:val="auto"/>
          <w:lang w:val="pt-PT"/>
        </w:rPr>
        <w:t>formulação</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e</w:t>
      </w:r>
      <w:r w:rsidR="00CA39B2" w:rsidRPr="003A1174">
        <w:rPr>
          <w:rFonts w:ascii="Garamond" w:hAnsi="Garamond" w:cs="Arial"/>
          <w:color w:val="auto"/>
          <w:lang w:val="pt-PT"/>
        </w:rPr>
        <w:t xml:space="preserve"> </w:t>
      </w:r>
      <w:r w:rsidR="00EB2F44" w:rsidRPr="003A1174">
        <w:rPr>
          <w:rFonts w:ascii="Garamond" w:hAnsi="Garamond" w:cs="Arial"/>
          <w:color w:val="auto"/>
          <w:lang w:val="pt-PT"/>
        </w:rPr>
        <w:t>planificação</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d</w:t>
      </w:r>
      <w:r w:rsidR="00C11925">
        <w:rPr>
          <w:rFonts w:ascii="Garamond" w:hAnsi="Garamond" w:cs="Arial"/>
          <w:color w:val="auto"/>
          <w:lang w:val="pt-PT"/>
        </w:rPr>
        <w:t>e</w:t>
      </w:r>
      <w:r w:rsidR="00CA39B2" w:rsidRPr="003A1174">
        <w:rPr>
          <w:rFonts w:ascii="Garamond" w:hAnsi="Garamond" w:cs="Arial"/>
          <w:color w:val="auto"/>
          <w:lang w:val="pt-PT"/>
        </w:rPr>
        <w:t xml:space="preserve"> políticas públicas co</w:t>
      </w:r>
      <w:r w:rsidR="005A5191" w:rsidRPr="003A1174">
        <w:rPr>
          <w:rFonts w:ascii="Garamond" w:hAnsi="Garamond" w:cs="Arial"/>
          <w:color w:val="auto"/>
          <w:lang w:val="pt-PT"/>
        </w:rPr>
        <w:t>m</w:t>
      </w:r>
      <w:r w:rsidR="00CA39B2" w:rsidRPr="003A1174">
        <w:rPr>
          <w:rFonts w:ascii="Garamond" w:hAnsi="Garamond" w:cs="Arial"/>
          <w:color w:val="auto"/>
          <w:lang w:val="pt-PT"/>
        </w:rPr>
        <w:t xml:space="preserve"> enfoque </w:t>
      </w:r>
      <w:r w:rsidR="00C11925">
        <w:rPr>
          <w:rFonts w:ascii="Garamond" w:hAnsi="Garamond" w:cs="Arial"/>
          <w:color w:val="auto"/>
          <w:lang w:val="pt-PT"/>
        </w:rPr>
        <w:t xml:space="preserve">no </w:t>
      </w:r>
      <w:r w:rsidR="00CA39B2" w:rsidRPr="003A1174">
        <w:rPr>
          <w:rFonts w:ascii="Garamond" w:hAnsi="Garamond" w:cs="Arial"/>
          <w:color w:val="auto"/>
          <w:lang w:val="pt-PT"/>
        </w:rPr>
        <w:t xml:space="preserve">género, </w:t>
      </w:r>
      <w:r w:rsidR="0043311D">
        <w:rPr>
          <w:rFonts w:ascii="Garamond" w:hAnsi="Garamond" w:cs="Arial"/>
          <w:color w:val="auto"/>
          <w:lang w:val="pt-PT"/>
        </w:rPr>
        <w:t xml:space="preserve">e </w:t>
      </w:r>
      <w:r w:rsidR="0043311D">
        <w:rPr>
          <w:rFonts w:ascii="Garamond" w:hAnsi="Garamond" w:cs="Arial"/>
          <w:color w:val="auto"/>
          <w:lang w:val="pt-PT"/>
        </w:rPr>
        <w:lastRenderedPageBreak/>
        <w:t>nos</w:t>
      </w:r>
      <w:r w:rsidR="005A5191" w:rsidRPr="003A1174">
        <w:rPr>
          <w:rFonts w:ascii="Garamond" w:hAnsi="Garamond" w:cs="Arial"/>
          <w:color w:val="auto"/>
          <w:lang w:val="pt-PT"/>
        </w:rPr>
        <w:t xml:space="preserve"> </w:t>
      </w:r>
      <w:r w:rsidR="006D0543" w:rsidRPr="003A1174">
        <w:rPr>
          <w:rFonts w:ascii="Garamond" w:hAnsi="Garamond" w:cs="Arial"/>
          <w:color w:val="auto"/>
          <w:lang w:val="pt-PT"/>
        </w:rPr>
        <w:t>princípio</w:t>
      </w:r>
      <w:r w:rsidR="0043311D">
        <w:rPr>
          <w:rFonts w:ascii="Garamond" w:hAnsi="Garamond" w:cs="Arial"/>
          <w:color w:val="auto"/>
          <w:lang w:val="pt-PT"/>
        </w:rPr>
        <w:t>s</w:t>
      </w:r>
      <w:r w:rsidR="00CA39B2" w:rsidRPr="003A1174">
        <w:rPr>
          <w:rFonts w:ascii="Garamond" w:hAnsi="Garamond" w:cs="Arial"/>
          <w:color w:val="auto"/>
          <w:lang w:val="pt-PT"/>
        </w:rPr>
        <w:t xml:space="preserve"> de </w:t>
      </w:r>
      <w:r w:rsidR="00FC1F7F" w:rsidRPr="003A1174">
        <w:rPr>
          <w:rFonts w:ascii="Garamond" w:hAnsi="Garamond" w:cs="Arial"/>
          <w:color w:val="auto"/>
          <w:lang w:val="pt-PT"/>
        </w:rPr>
        <w:t>justiça</w:t>
      </w:r>
      <w:r w:rsidR="00CA39B2" w:rsidRPr="003A1174">
        <w:rPr>
          <w:rFonts w:ascii="Garamond" w:hAnsi="Garamond" w:cs="Arial"/>
          <w:color w:val="auto"/>
          <w:lang w:val="pt-PT"/>
        </w:rPr>
        <w:t xml:space="preserve"> social. </w:t>
      </w:r>
      <w:r w:rsidR="005A5191" w:rsidRPr="003A1174">
        <w:rPr>
          <w:rFonts w:ascii="Garamond" w:hAnsi="Garamond" w:cs="Arial"/>
          <w:color w:val="auto"/>
          <w:lang w:val="pt-PT"/>
        </w:rPr>
        <w:t xml:space="preserve">O </w:t>
      </w:r>
      <w:r w:rsidR="00462B11" w:rsidRPr="003A1174">
        <w:rPr>
          <w:rFonts w:ascii="Garamond" w:hAnsi="Garamond" w:cs="Arial"/>
          <w:color w:val="auto"/>
          <w:lang w:val="pt-PT"/>
        </w:rPr>
        <w:t>Plano</w:t>
      </w:r>
      <w:r w:rsidR="00CA39B2" w:rsidRPr="003A1174">
        <w:rPr>
          <w:rFonts w:ascii="Garamond" w:hAnsi="Garamond" w:cs="Arial"/>
          <w:color w:val="auto"/>
          <w:lang w:val="pt-PT"/>
        </w:rPr>
        <w:t xml:space="preserve"> </w:t>
      </w:r>
      <w:r w:rsidR="00C11925">
        <w:rPr>
          <w:rFonts w:ascii="Garamond" w:hAnsi="Garamond" w:cs="Arial"/>
          <w:color w:val="auto"/>
          <w:lang w:val="pt-PT"/>
        </w:rPr>
        <w:t xml:space="preserve">foi elaborado através de </w:t>
      </w:r>
      <w:r w:rsidR="00CA39B2" w:rsidRPr="003A1174">
        <w:rPr>
          <w:rFonts w:ascii="Garamond" w:hAnsi="Garamond" w:cs="Arial"/>
          <w:color w:val="auto"/>
          <w:lang w:val="pt-PT"/>
        </w:rPr>
        <w:t xml:space="preserve">consulta nacional </w:t>
      </w:r>
      <w:r w:rsidR="00497503" w:rsidRPr="003A1174">
        <w:rPr>
          <w:rFonts w:ascii="Garamond" w:hAnsi="Garamond" w:cs="Arial"/>
          <w:color w:val="auto"/>
          <w:lang w:val="pt-PT"/>
        </w:rPr>
        <w:t>e</w:t>
      </w:r>
      <w:r w:rsidR="00CA39B2" w:rsidRPr="003A1174">
        <w:rPr>
          <w:rFonts w:ascii="Garamond" w:hAnsi="Garamond" w:cs="Arial"/>
          <w:color w:val="auto"/>
          <w:lang w:val="pt-PT"/>
        </w:rPr>
        <w:t xml:space="preserve"> cont</w:t>
      </w:r>
      <w:r w:rsidR="005A5191" w:rsidRPr="003A1174">
        <w:rPr>
          <w:rFonts w:ascii="Garamond" w:hAnsi="Garamond" w:cs="Arial"/>
          <w:color w:val="auto"/>
          <w:lang w:val="pt-PT"/>
        </w:rPr>
        <w:t xml:space="preserve">ou </w:t>
      </w:r>
      <w:r w:rsidR="00CA39B2" w:rsidRPr="003A1174">
        <w:rPr>
          <w:rFonts w:ascii="Garamond" w:hAnsi="Garamond" w:cs="Arial"/>
          <w:color w:val="auto"/>
          <w:lang w:val="pt-PT"/>
        </w:rPr>
        <w:t>co</w:t>
      </w:r>
      <w:r w:rsidR="005A5191" w:rsidRPr="003A1174">
        <w:rPr>
          <w:rFonts w:ascii="Garamond" w:hAnsi="Garamond" w:cs="Arial"/>
          <w:color w:val="auto"/>
          <w:lang w:val="pt-PT"/>
        </w:rPr>
        <w:t xml:space="preserve">m </w:t>
      </w:r>
      <w:r w:rsidR="00CA39B2" w:rsidRPr="003A1174">
        <w:rPr>
          <w:rFonts w:ascii="Garamond" w:hAnsi="Garamond" w:cs="Arial"/>
          <w:color w:val="auto"/>
          <w:lang w:val="pt-PT"/>
        </w:rPr>
        <w:t xml:space="preserve">a </w:t>
      </w:r>
      <w:r w:rsidR="0017447A" w:rsidRPr="003A1174">
        <w:rPr>
          <w:rFonts w:ascii="Garamond" w:hAnsi="Garamond" w:cs="Arial"/>
          <w:color w:val="auto"/>
          <w:lang w:val="pt-PT"/>
        </w:rPr>
        <w:t>participação</w:t>
      </w:r>
      <w:r w:rsidR="00CA39B2" w:rsidRPr="003A1174">
        <w:rPr>
          <w:rFonts w:ascii="Garamond" w:hAnsi="Garamond" w:cs="Arial"/>
          <w:color w:val="auto"/>
          <w:lang w:val="pt-PT"/>
        </w:rPr>
        <w:t xml:space="preserve"> de 14</w:t>
      </w:r>
      <w:r w:rsidR="00C11925">
        <w:rPr>
          <w:rFonts w:ascii="Garamond" w:hAnsi="Garamond" w:cs="Arial"/>
          <w:color w:val="auto"/>
          <w:lang w:val="pt-PT"/>
        </w:rPr>
        <w:t xml:space="preserve"> </w:t>
      </w:r>
      <w:r w:rsidR="00CA39B2" w:rsidRPr="003A1174">
        <w:rPr>
          <w:rFonts w:ascii="Garamond" w:hAnsi="Garamond" w:cs="Arial"/>
          <w:color w:val="auto"/>
          <w:lang w:val="pt-PT"/>
        </w:rPr>
        <w:t xml:space="preserve">000 </w:t>
      </w:r>
      <w:r w:rsidR="00054EE0" w:rsidRPr="003A1174">
        <w:rPr>
          <w:rFonts w:ascii="Garamond" w:hAnsi="Garamond" w:cs="Arial"/>
          <w:color w:val="auto"/>
          <w:lang w:val="pt-PT"/>
        </w:rPr>
        <w:t>mulheres</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e</w:t>
      </w:r>
      <w:r w:rsidR="00CA39B2" w:rsidRPr="003A1174">
        <w:rPr>
          <w:rFonts w:ascii="Garamond" w:hAnsi="Garamond" w:cs="Arial"/>
          <w:color w:val="auto"/>
          <w:lang w:val="pt-PT"/>
        </w:rPr>
        <w:t xml:space="preserve"> </w:t>
      </w:r>
      <w:r w:rsidR="00524936" w:rsidRPr="003A1174">
        <w:rPr>
          <w:rFonts w:ascii="Garamond" w:hAnsi="Garamond" w:cs="Arial"/>
          <w:color w:val="auto"/>
          <w:lang w:val="pt-PT"/>
        </w:rPr>
        <w:t>homens</w:t>
      </w:r>
      <w:r w:rsidR="00C11925">
        <w:rPr>
          <w:rFonts w:ascii="Garamond" w:hAnsi="Garamond" w:cs="Arial"/>
          <w:color w:val="auto"/>
          <w:lang w:val="pt-PT"/>
        </w:rPr>
        <w:t>,</w:t>
      </w:r>
      <w:r w:rsidR="00CA39B2" w:rsidRPr="003A1174">
        <w:rPr>
          <w:rFonts w:ascii="Garamond" w:hAnsi="Garamond" w:cs="Arial"/>
          <w:color w:val="auto"/>
          <w:lang w:val="pt-PT"/>
        </w:rPr>
        <w:t xml:space="preserve"> provenientes de diferentes </w:t>
      </w:r>
      <w:r w:rsidR="002470B1" w:rsidRPr="003A1174">
        <w:rPr>
          <w:rFonts w:ascii="Garamond" w:hAnsi="Garamond" w:cs="Arial"/>
          <w:color w:val="auto"/>
          <w:lang w:val="pt-PT"/>
        </w:rPr>
        <w:t>organizações</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e</w:t>
      </w:r>
      <w:r w:rsidR="00CA39B2" w:rsidRPr="003A1174">
        <w:rPr>
          <w:rFonts w:ascii="Garamond" w:hAnsi="Garamond" w:cs="Arial"/>
          <w:color w:val="auto"/>
          <w:lang w:val="pt-PT"/>
        </w:rPr>
        <w:t xml:space="preserve"> </w:t>
      </w:r>
      <w:r w:rsidR="005A5191" w:rsidRPr="003A1174">
        <w:rPr>
          <w:rFonts w:ascii="Garamond" w:hAnsi="Garamond" w:cs="Arial"/>
          <w:color w:val="auto"/>
          <w:lang w:val="pt-PT"/>
        </w:rPr>
        <w:t>setores sociais.</w:t>
      </w:r>
      <w:r w:rsidR="00CA39B2" w:rsidRPr="003A1174">
        <w:rPr>
          <w:rStyle w:val="Refdenotaalpie"/>
          <w:rFonts w:ascii="Garamond" w:hAnsi="Garamond" w:cs="Arial"/>
          <w:color w:val="auto"/>
        </w:rPr>
        <w:footnoteReference w:id="90"/>
      </w:r>
    </w:p>
    <w:p w:rsidR="00C11925" w:rsidRDefault="005A5191" w:rsidP="008719D4">
      <w:pPr>
        <w:spacing w:before="240" w:after="120" w:line="240" w:lineRule="auto"/>
        <w:jc w:val="both"/>
        <w:rPr>
          <w:rFonts w:ascii="Garamond" w:hAnsi="Garamond" w:cs="Arial"/>
          <w:sz w:val="24"/>
          <w:szCs w:val="24"/>
        </w:rPr>
      </w:pPr>
      <w:r w:rsidRPr="003A1174">
        <w:rPr>
          <w:rFonts w:ascii="Garamond" w:hAnsi="Garamond" w:cs="Arial"/>
          <w:sz w:val="24"/>
          <w:szCs w:val="24"/>
        </w:rPr>
        <w:t>O</w:t>
      </w:r>
      <w:r w:rsidR="00CA39B2" w:rsidRPr="003A1174">
        <w:rPr>
          <w:rFonts w:ascii="Garamond" w:hAnsi="Garamond" w:cs="Arial"/>
          <w:sz w:val="24"/>
          <w:szCs w:val="24"/>
        </w:rPr>
        <w:t xml:space="preserve"> </w:t>
      </w:r>
      <w:r w:rsidR="00462B11" w:rsidRPr="003A1174">
        <w:rPr>
          <w:rFonts w:ascii="Garamond" w:hAnsi="Garamond" w:cs="Arial"/>
          <w:sz w:val="24"/>
          <w:szCs w:val="24"/>
        </w:rPr>
        <w:t>Plano</w:t>
      </w:r>
      <w:r w:rsidR="00CA39B2" w:rsidRPr="003A1174">
        <w:rPr>
          <w:rFonts w:ascii="Garamond" w:hAnsi="Garamond" w:cs="Arial"/>
          <w:sz w:val="24"/>
          <w:szCs w:val="24"/>
        </w:rPr>
        <w:t xml:space="preserve"> </w:t>
      </w:r>
      <w:r w:rsidR="00AC63DF" w:rsidRPr="003A1174">
        <w:rPr>
          <w:rFonts w:ascii="Garamond" w:hAnsi="Garamond" w:cs="Arial"/>
          <w:sz w:val="24"/>
          <w:szCs w:val="24"/>
        </w:rPr>
        <w:t>propõe</w:t>
      </w:r>
      <w:r w:rsidR="00CA39B2" w:rsidRPr="003A1174">
        <w:rPr>
          <w:rFonts w:ascii="Garamond" w:hAnsi="Garamond" w:cs="Arial"/>
          <w:sz w:val="24"/>
          <w:szCs w:val="24"/>
        </w:rPr>
        <w:t xml:space="preserve"> como objetivo histórico</w:t>
      </w:r>
      <w:r w:rsidR="00664CC4" w:rsidRPr="003A1174">
        <w:rPr>
          <w:rFonts w:ascii="Garamond" w:hAnsi="Garamond" w:cs="Arial"/>
          <w:sz w:val="24"/>
          <w:szCs w:val="24"/>
        </w:rPr>
        <w:t>:</w:t>
      </w:r>
      <w:r w:rsidR="00CA39B2" w:rsidRPr="003A1174">
        <w:rPr>
          <w:rFonts w:ascii="Garamond" w:hAnsi="Garamond" w:cs="Arial"/>
          <w:sz w:val="24"/>
          <w:szCs w:val="24"/>
        </w:rPr>
        <w:t xml:space="preserve"> </w:t>
      </w:r>
    </w:p>
    <w:p w:rsidR="00CA39B2" w:rsidRPr="00C11925" w:rsidRDefault="00C11925" w:rsidP="00C11925">
      <w:pPr>
        <w:spacing w:before="240" w:after="120" w:line="240" w:lineRule="auto"/>
        <w:ind w:left="567"/>
        <w:jc w:val="both"/>
        <w:rPr>
          <w:rFonts w:ascii="Garamond" w:hAnsi="Garamond" w:cs="Arial"/>
        </w:rPr>
      </w:pPr>
      <w:r w:rsidRPr="00C11925">
        <w:rPr>
          <w:rFonts w:ascii="Garamond" w:hAnsi="Garamond" w:cs="Arial"/>
        </w:rPr>
        <w:t>«</w:t>
      </w:r>
      <w:r w:rsidR="00664CC4" w:rsidRPr="00C11925">
        <w:rPr>
          <w:rFonts w:ascii="Garamond" w:hAnsi="Garamond" w:cs="Arial"/>
        </w:rPr>
        <w:t>E</w:t>
      </w:r>
      <w:r w:rsidR="00CA39B2" w:rsidRPr="00C11925">
        <w:rPr>
          <w:rFonts w:ascii="Garamond" w:hAnsi="Garamond" w:cs="Arial"/>
        </w:rPr>
        <w:t xml:space="preserve">rradicar </w:t>
      </w:r>
      <w:r w:rsidR="005A5191" w:rsidRPr="00C11925">
        <w:rPr>
          <w:rFonts w:ascii="Garamond" w:hAnsi="Garamond" w:cs="Arial"/>
        </w:rPr>
        <w:t xml:space="preserve">o </w:t>
      </w:r>
      <w:r w:rsidR="00CA39B2" w:rsidRPr="00C11925">
        <w:rPr>
          <w:rFonts w:ascii="Garamond" w:hAnsi="Garamond" w:cs="Arial"/>
        </w:rPr>
        <w:t xml:space="preserve">patriarcado como </w:t>
      </w:r>
      <w:r w:rsidR="00682C71" w:rsidRPr="00C11925">
        <w:rPr>
          <w:rFonts w:ascii="Garamond" w:hAnsi="Garamond" w:cs="Arial"/>
        </w:rPr>
        <w:t>expressão</w:t>
      </w:r>
      <w:r w:rsidR="00CA39B2" w:rsidRPr="00C11925">
        <w:rPr>
          <w:rFonts w:ascii="Garamond" w:hAnsi="Garamond" w:cs="Arial"/>
        </w:rPr>
        <w:t xml:space="preserve"> </w:t>
      </w:r>
      <w:r w:rsidR="008A3DA2" w:rsidRPr="00C11925">
        <w:rPr>
          <w:rFonts w:ascii="Garamond" w:hAnsi="Garamond" w:cs="Arial"/>
        </w:rPr>
        <w:t>do</w:t>
      </w:r>
      <w:r w:rsidR="00CA39B2" w:rsidRPr="00C11925">
        <w:rPr>
          <w:rFonts w:ascii="Garamond" w:hAnsi="Garamond" w:cs="Arial"/>
        </w:rPr>
        <w:t xml:space="preserve"> sistema de </w:t>
      </w:r>
      <w:r w:rsidR="005A5191" w:rsidRPr="00C11925">
        <w:rPr>
          <w:rFonts w:ascii="Garamond" w:hAnsi="Garamond" w:cs="Arial"/>
        </w:rPr>
        <w:t>opressão</w:t>
      </w:r>
      <w:r w:rsidR="00CA39B2" w:rsidRPr="00C11925">
        <w:rPr>
          <w:rFonts w:ascii="Garamond" w:hAnsi="Garamond" w:cs="Arial"/>
        </w:rPr>
        <w:t xml:space="preserve"> capitalista </w:t>
      </w:r>
      <w:r w:rsidR="00497503" w:rsidRPr="00C11925">
        <w:rPr>
          <w:rFonts w:ascii="Garamond" w:hAnsi="Garamond" w:cs="Arial"/>
        </w:rPr>
        <w:t>e</w:t>
      </w:r>
      <w:r w:rsidR="005A5191" w:rsidRPr="00C11925">
        <w:rPr>
          <w:rFonts w:ascii="Garamond" w:hAnsi="Garamond" w:cs="Arial"/>
        </w:rPr>
        <w:t xml:space="preserve"> consolidar </w:t>
      </w:r>
      <w:r w:rsidR="00CA39B2" w:rsidRPr="00C11925">
        <w:rPr>
          <w:rFonts w:ascii="Garamond" w:hAnsi="Garamond" w:cs="Arial"/>
        </w:rPr>
        <w:t xml:space="preserve">a </w:t>
      </w:r>
      <w:r w:rsidR="002C7510" w:rsidRPr="00C11925">
        <w:rPr>
          <w:rFonts w:ascii="Garamond" w:hAnsi="Garamond" w:cs="Arial"/>
        </w:rPr>
        <w:t>igualdade</w:t>
      </w:r>
      <w:r w:rsidR="00CA39B2" w:rsidRPr="00C11925">
        <w:rPr>
          <w:rFonts w:ascii="Garamond" w:hAnsi="Garamond" w:cs="Arial"/>
        </w:rPr>
        <w:t xml:space="preserve"> </w:t>
      </w:r>
      <w:r w:rsidR="00497503" w:rsidRPr="00C11925">
        <w:rPr>
          <w:rFonts w:ascii="Garamond" w:hAnsi="Garamond" w:cs="Arial"/>
        </w:rPr>
        <w:t>e</w:t>
      </w:r>
      <w:r w:rsidR="00CA39B2" w:rsidRPr="00C11925">
        <w:rPr>
          <w:rFonts w:ascii="Garamond" w:hAnsi="Garamond" w:cs="Arial"/>
        </w:rPr>
        <w:t xml:space="preserve"> </w:t>
      </w:r>
      <w:r w:rsidR="00C01806" w:rsidRPr="00C11925">
        <w:rPr>
          <w:rFonts w:ascii="Garamond" w:hAnsi="Garamond" w:cs="Arial"/>
        </w:rPr>
        <w:t>equidade</w:t>
      </w:r>
      <w:r w:rsidR="00CA39B2" w:rsidRPr="00C11925">
        <w:rPr>
          <w:rFonts w:ascii="Garamond" w:hAnsi="Garamond" w:cs="Arial"/>
        </w:rPr>
        <w:t xml:space="preserve"> de género co</w:t>
      </w:r>
      <w:r w:rsidR="005A5191" w:rsidRPr="00C11925">
        <w:rPr>
          <w:rFonts w:ascii="Garamond" w:hAnsi="Garamond" w:cs="Arial"/>
        </w:rPr>
        <w:t xml:space="preserve">m </w:t>
      </w:r>
      <w:r w:rsidR="00CA39B2" w:rsidRPr="00C11925">
        <w:rPr>
          <w:rFonts w:ascii="Garamond" w:hAnsi="Garamond" w:cs="Arial"/>
        </w:rPr>
        <w:t xml:space="preserve">valores </w:t>
      </w:r>
      <w:r w:rsidR="00C031E1" w:rsidRPr="00C11925">
        <w:rPr>
          <w:rFonts w:ascii="Garamond" w:hAnsi="Garamond" w:cs="Arial"/>
        </w:rPr>
        <w:t xml:space="preserve">socialistas: </w:t>
      </w:r>
      <w:r w:rsidR="005A5191" w:rsidRPr="00C11925">
        <w:rPr>
          <w:rFonts w:ascii="Garamond" w:hAnsi="Garamond" w:cs="Arial"/>
        </w:rPr>
        <w:t>o</w:t>
      </w:r>
      <w:r w:rsidR="00840AD3" w:rsidRPr="00C11925">
        <w:rPr>
          <w:rFonts w:ascii="Garamond" w:hAnsi="Garamond" w:cs="Arial"/>
        </w:rPr>
        <w:t xml:space="preserve"> socialismo-feminista </w:t>
      </w:r>
      <w:r w:rsidR="00CA39B2" w:rsidRPr="00C11925">
        <w:rPr>
          <w:rFonts w:ascii="Garamond" w:hAnsi="Garamond" w:cs="Arial"/>
        </w:rPr>
        <w:t>[si</w:t>
      </w:r>
      <w:r w:rsidR="00664CC4" w:rsidRPr="00C11925">
        <w:rPr>
          <w:rFonts w:ascii="Garamond" w:hAnsi="Garamond" w:cs="Arial"/>
        </w:rPr>
        <w:t>c]</w:t>
      </w:r>
      <w:r w:rsidR="00840AD3" w:rsidRPr="00C11925">
        <w:rPr>
          <w:rFonts w:ascii="Garamond" w:hAnsi="Garamond" w:cs="Arial"/>
        </w:rPr>
        <w:t>.</w:t>
      </w:r>
      <w:r w:rsidR="00CA39B2" w:rsidRPr="00C11925">
        <w:rPr>
          <w:rStyle w:val="Refdenotaalpie"/>
          <w:rFonts w:ascii="Garamond" w:eastAsia="Calibri" w:hAnsi="Garamond" w:cs="Arial"/>
        </w:rPr>
        <w:footnoteReference w:id="91"/>
      </w:r>
      <w:r w:rsidR="00840AD3" w:rsidRPr="00C11925">
        <w:rPr>
          <w:rFonts w:ascii="Garamond" w:hAnsi="Garamond" w:cs="Arial"/>
        </w:rPr>
        <w:t xml:space="preserve"> </w:t>
      </w:r>
      <w:r w:rsidR="00CA39B2" w:rsidRPr="00C11925">
        <w:rPr>
          <w:rFonts w:ascii="Garamond" w:hAnsi="Garamond" w:cs="Arial"/>
        </w:rPr>
        <w:t>Como objetivo nacional</w:t>
      </w:r>
      <w:r w:rsidR="00664CC4" w:rsidRPr="00C11925">
        <w:rPr>
          <w:rFonts w:ascii="Garamond" w:hAnsi="Garamond" w:cs="Arial"/>
        </w:rPr>
        <w:t>,</w:t>
      </w:r>
      <w:r w:rsidR="00CA39B2" w:rsidRPr="00C11925">
        <w:rPr>
          <w:rFonts w:ascii="Garamond" w:hAnsi="Garamond" w:cs="Arial"/>
        </w:rPr>
        <w:t xml:space="preserve"> </w:t>
      </w:r>
      <w:r w:rsidR="00AC63DF" w:rsidRPr="00C11925">
        <w:rPr>
          <w:rFonts w:ascii="Garamond" w:hAnsi="Garamond" w:cs="Arial"/>
        </w:rPr>
        <w:t>propõe</w:t>
      </w:r>
      <w:r w:rsidR="005A5191" w:rsidRPr="00C11925">
        <w:rPr>
          <w:rFonts w:ascii="Garamond" w:hAnsi="Garamond" w:cs="Arial"/>
        </w:rPr>
        <w:t>-se</w:t>
      </w:r>
      <w:r w:rsidR="00664CC4" w:rsidRPr="00C11925">
        <w:rPr>
          <w:rFonts w:ascii="Garamond" w:hAnsi="Garamond" w:cs="Arial"/>
        </w:rPr>
        <w:t xml:space="preserve">: </w:t>
      </w:r>
      <w:r w:rsidR="00CA39B2" w:rsidRPr="00C11925">
        <w:rPr>
          <w:rFonts w:ascii="Garamond" w:hAnsi="Garamond" w:cs="Arial"/>
        </w:rPr>
        <w:t>“</w:t>
      </w:r>
      <w:r w:rsidR="00664CC4" w:rsidRPr="00C11925">
        <w:rPr>
          <w:rFonts w:ascii="Garamond" w:hAnsi="Garamond" w:cs="Arial"/>
        </w:rPr>
        <w:t>P</w:t>
      </w:r>
      <w:r w:rsidR="005A5191" w:rsidRPr="00C11925">
        <w:rPr>
          <w:rFonts w:ascii="Garamond" w:hAnsi="Garamond" w:cs="Arial"/>
        </w:rPr>
        <w:t xml:space="preserve">romover </w:t>
      </w:r>
      <w:r w:rsidR="00CA39B2" w:rsidRPr="00C11925">
        <w:rPr>
          <w:rFonts w:ascii="Garamond" w:hAnsi="Garamond" w:cs="Arial"/>
        </w:rPr>
        <w:t xml:space="preserve">a </w:t>
      </w:r>
      <w:r w:rsidR="009B133A" w:rsidRPr="00C11925">
        <w:rPr>
          <w:rFonts w:ascii="Garamond" w:hAnsi="Garamond" w:cs="Arial"/>
        </w:rPr>
        <w:t>autonomia</w:t>
      </w:r>
      <w:r w:rsidR="00CA39B2" w:rsidRPr="00C11925">
        <w:rPr>
          <w:rFonts w:ascii="Garamond" w:hAnsi="Garamond" w:cs="Arial"/>
        </w:rPr>
        <w:t xml:space="preserve"> </w:t>
      </w:r>
      <w:r w:rsidR="00497503" w:rsidRPr="00C11925">
        <w:rPr>
          <w:rFonts w:ascii="Garamond" w:hAnsi="Garamond" w:cs="Arial"/>
        </w:rPr>
        <w:t>das</w:t>
      </w:r>
      <w:r w:rsidR="00CA39B2" w:rsidRPr="00C11925">
        <w:rPr>
          <w:rFonts w:ascii="Garamond" w:hAnsi="Garamond" w:cs="Arial"/>
        </w:rPr>
        <w:t xml:space="preserve"> </w:t>
      </w:r>
      <w:r w:rsidR="00054EE0" w:rsidRPr="00C11925">
        <w:rPr>
          <w:rFonts w:ascii="Garamond" w:hAnsi="Garamond" w:cs="Arial"/>
        </w:rPr>
        <w:t>mulheres</w:t>
      </w:r>
      <w:r w:rsidR="00CA39B2" w:rsidRPr="00C11925">
        <w:rPr>
          <w:rFonts w:ascii="Garamond" w:hAnsi="Garamond" w:cs="Arial"/>
        </w:rPr>
        <w:t xml:space="preserve"> </w:t>
      </w:r>
      <w:r w:rsidR="00497503" w:rsidRPr="00C11925">
        <w:rPr>
          <w:rFonts w:ascii="Garamond" w:hAnsi="Garamond" w:cs="Arial"/>
        </w:rPr>
        <w:t>e</w:t>
      </w:r>
      <w:r w:rsidR="005A5191" w:rsidRPr="00C11925">
        <w:rPr>
          <w:rFonts w:ascii="Garamond" w:hAnsi="Garamond" w:cs="Arial"/>
        </w:rPr>
        <w:t xml:space="preserve"> </w:t>
      </w:r>
      <w:r w:rsidR="00CA39B2" w:rsidRPr="00C11925">
        <w:rPr>
          <w:rFonts w:ascii="Garamond" w:hAnsi="Garamond" w:cs="Arial"/>
        </w:rPr>
        <w:t xml:space="preserve">a </w:t>
      </w:r>
      <w:r w:rsidR="002C7510" w:rsidRPr="00C11925">
        <w:rPr>
          <w:rFonts w:ascii="Garamond" w:hAnsi="Garamond" w:cs="Arial"/>
        </w:rPr>
        <w:t>Igualdade</w:t>
      </w:r>
      <w:r w:rsidR="00CA39B2" w:rsidRPr="00C11925">
        <w:rPr>
          <w:rFonts w:ascii="Garamond" w:hAnsi="Garamond" w:cs="Arial"/>
        </w:rPr>
        <w:t xml:space="preserve"> de Género” co</w:t>
      </w:r>
      <w:r w:rsidR="005A5191" w:rsidRPr="00C11925">
        <w:rPr>
          <w:rFonts w:ascii="Garamond" w:hAnsi="Garamond" w:cs="Arial"/>
        </w:rPr>
        <w:t xml:space="preserve">m o </w:t>
      </w:r>
      <w:r w:rsidR="00CA39B2" w:rsidRPr="00C11925">
        <w:rPr>
          <w:rFonts w:ascii="Garamond" w:hAnsi="Garamond" w:cs="Arial"/>
        </w:rPr>
        <w:t>propósit</w:t>
      </w:r>
      <w:r w:rsidR="005A5191" w:rsidRPr="00C11925">
        <w:rPr>
          <w:rFonts w:ascii="Garamond" w:hAnsi="Garamond" w:cs="Arial"/>
        </w:rPr>
        <w:t xml:space="preserve">o de consolidar </w:t>
      </w:r>
      <w:r w:rsidR="00CA39B2" w:rsidRPr="00C11925">
        <w:rPr>
          <w:rFonts w:ascii="Garamond" w:hAnsi="Garamond" w:cs="Arial"/>
        </w:rPr>
        <w:t>a transversalidad</w:t>
      </w:r>
      <w:r w:rsidR="005A5191" w:rsidRPr="00C11925">
        <w:rPr>
          <w:rFonts w:ascii="Garamond" w:hAnsi="Garamond" w:cs="Arial"/>
        </w:rPr>
        <w:t>e</w:t>
      </w:r>
      <w:r w:rsidR="00CA39B2" w:rsidRPr="00C11925">
        <w:rPr>
          <w:rFonts w:ascii="Garamond" w:hAnsi="Garamond" w:cs="Arial"/>
        </w:rPr>
        <w:t xml:space="preserve"> a</w:t>
      </w:r>
      <w:r w:rsidR="005A5191" w:rsidRPr="00C11925">
        <w:rPr>
          <w:rFonts w:ascii="Garamond" w:hAnsi="Garamond" w:cs="Arial"/>
        </w:rPr>
        <w:t>o</w:t>
      </w:r>
      <w:r w:rsidR="00CA39B2" w:rsidRPr="00C11925">
        <w:rPr>
          <w:rFonts w:ascii="Garamond" w:hAnsi="Garamond" w:cs="Arial"/>
        </w:rPr>
        <w:t xml:space="preserve"> </w:t>
      </w:r>
      <w:r w:rsidR="001F2F8B" w:rsidRPr="00C11925">
        <w:rPr>
          <w:rFonts w:ascii="Garamond" w:hAnsi="Garamond" w:cs="Arial"/>
        </w:rPr>
        <w:t>respeito</w:t>
      </w:r>
      <w:r w:rsidR="00CA39B2" w:rsidRPr="00C11925">
        <w:rPr>
          <w:rFonts w:ascii="Garamond" w:hAnsi="Garamond" w:cs="Arial"/>
        </w:rPr>
        <w:t xml:space="preserve"> </w:t>
      </w:r>
      <w:r w:rsidR="005A5191" w:rsidRPr="00C11925">
        <w:rPr>
          <w:rFonts w:ascii="Garamond" w:hAnsi="Garamond" w:cs="Arial"/>
        </w:rPr>
        <w:t>n</w:t>
      </w:r>
      <w:r w:rsidR="00CA39B2" w:rsidRPr="00C11925">
        <w:rPr>
          <w:rFonts w:ascii="Garamond" w:hAnsi="Garamond" w:cs="Arial"/>
        </w:rPr>
        <w:t>as políticas públicas e</w:t>
      </w:r>
      <w:r w:rsidR="005A5191" w:rsidRPr="00C11925">
        <w:rPr>
          <w:rFonts w:ascii="Garamond" w:hAnsi="Garamond" w:cs="Arial"/>
        </w:rPr>
        <w:t xml:space="preserve">m todos </w:t>
      </w:r>
      <w:r w:rsidR="00CA39B2" w:rsidRPr="00C11925">
        <w:rPr>
          <w:rFonts w:ascii="Garamond" w:hAnsi="Garamond" w:cs="Arial"/>
        </w:rPr>
        <w:t xml:space="preserve">os </w:t>
      </w:r>
      <w:r w:rsidR="003F012B" w:rsidRPr="00C11925">
        <w:rPr>
          <w:rFonts w:ascii="Garamond" w:hAnsi="Garamond" w:cs="Arial"/>
        </w:rPr>
        <w:t>níveis</w:t>
      </w:r>
      <w:r w:rsidR="00CA39B2" w:rsidRPr="00C11925">
        <w:rPr>
          <w:rFonts w:ascii="Garamond" w:hAnsi="Garamond" w:cs="Arial"/>
        </w:rPr>
        <w:t xml:space="preserve"> </w:t>
      </w:r>
      <w:r w:rsidR="00497503" w:rsidRPr="00C11925">
        <w:rPr>
          <w:rFonts w:ascii="Garamond" w:hAnsi="Garamond" w:cs="Arial"/>
        </w:rPr>
        <w:t>e</w:t>
      </w:r>
      <w:r w:rsidR="00CA39B2" w:rsidRPr="00C11925">
        <w:rPr>
          <w:rFonts w:ascii="Garamond" w:hAnsi="Garamond" w:cs="Arial"/>
        </w:rPr>
        <w:t xml:space="preserve"> </w:t>
      </w:r>
      <w:r w:rsidR="00BE4EB8" w:rsidRPr="00C11925">
        <w:rPr>
          <w:rFonts w:ascii="Garamond" w:hAnsi="Garamond" w:cs="Arial"/>
        </w:rPr>
        <w:t>setores</w:t>
      </w:r>
      <w:r w:rsidR="00CA39B2" w:rsidRPr="00C11925">
        <w:rPr>
          <w:rFonts w:ascii="Garamond" w:hAnsi="Garamond" w:cs="Arial"/>
        </w:rPr>
        <w:t xml:space="preserve"> </w:t>
      </w:r>
      <w:r w:rsidR="008A3DA2" w:rsidRPr="00C11925">
        <w:rPr>
          <w:rFonts w:ascii="Garamond" w:hAnsi="Garamond" w:cs="Arial"/>
        </w:rPr>
        <w:t>do</w:t>
      </w:r>
      <w:r w:rsidR="00CA39B2" w:rsidRPr="00C11925">
        <w:rPr>
          <w:rFonts w:ascii="Garamond" w:hAnsi="Garamond" w:cs="Arial"/>
        </w:rPr>
        <w:t xml:space="preserve"> Estado, para </w:t>
      </w:r>
      <w:r w:rsidR="005A5191" w:rsidRPr="00C11925">
        <w:rPr>
          <w:rFonts w:ascii="Garamond" w:hAnsi="Garamond" w:cs="Arial"/>
        </w:rPr>
        <w:t>obt</w:t>
      </w:r>
      <w:r w:rsidR="00664CC4" w:rsidRPr="00C11925">
        <w:rPr>
          <w:rFonts w:ascii="Garamond" w:hAnsi="Garamond" w:cs="Arial"/>
        </w:rPr>
        <w:t xml:space="preserve">er </w:t>
      </w:r>
      <w:r w:rsidR="00CA39B2" w:rsidRPr="00C11925">
        <w:rPr>
          <w:rFonts w:ascii="Garamond" w:hAnsi="Garamond" w:cs="Arial"/>
        </w:rPr>
        <w:t>a trans</w:t>
      </w:r>
      <w:r w:rsidR="00454353" w:rsidRPr="00C11925">
        <w:rPr>
          <w:rFonts w:ascii="Garamond" w:hAnsi="Garamond" w:cs="Arial"/>
        </w:rPr>
        <w:t>formação</w:t>
      </w:r>
      <w:r w:rsidR="00CA39B2" w:rsidRPr="00C11925">
        <w:rPr>
          <w:rFonts w:ascii="Garamond" w:hAnsi="Garamond" w:cs="Arial"/>
        </w:rPr>
        <w:t xml:space="preserve"> cultural da </w:t>
      </w:r>
      <w:r w:rsidR="002C7510" w:rsidRPr="00C11925">
        <w:rPr>
          <w:rFonts w:ascii="Garamond" w:hAnsi="Garamond" w:cs="Arial"/>
        </w:rPr>
        <w:t>sociedade</w:t>
      </w:r>
      <w:r w:rsidR="00CA39B2" w:rsidRPr="00C11925">
        <w:rPr>
          <w:rFonts w:ascii="Garamond" w:hAnsi="Garamond" w:cs="Arial"/>
        </w:rPr>
        <w:t xml:space="preserve">, </w:t>
      </w:r>
      <w:r w:rsidR="005A5191" w:rsidRPr="00C11925">
        <w:rPr>
          <w:rFonts w:ascii="Garamond" w:hAnsi="Garamond" w:cs="Arial"/>
        </w:rPr>
        <w:t xml:space="preserve">até se </w:t>
      </w:r>
      <w:r w:rsidR="00A862C2" w:rsidRPr="00C11925">
        <w:rPr>
          <w:rFonts w:ascii="Garamond" w:hAnsi="Garamond" w:cs="Arial"/>
        </w:rPr>
        <w:t>alcançar</w:t>
      </w:r>
      <w:r w:rsidR="005A5191" w:rsidRPr="00C11925">
        <w:rPr>
          <w:rFonts w:ascii="Garamond" w:hAnsi="Garamond" w:cs="Arial"/>
        </w:rPr>
        <w:t>em</w:t>
      </w:r>
      <w:r w:rsidR="00CA39B2" w:rsidRPr="00C11925">
        <w:rPr>
          <w:rFonts w:ascii="Garamond" w:hAnsi="Garamond" w:cs="Arial"/>
        </w:rPr>
        <w:t xml:space="preserve"> </w:t>
      </w:r>
      <w:r w:rsidR="00C04CA4" w:rsidRPr="00C11925">
        <w:rPr>
          <w:rFonts w:ascii="Garamond" w:hAnsi="Garamond" w:cs="Arial"/>
        </w:rPr>
        <w:t>relações</w:t>
      </w:r>
      <w:r w:rsidR="00CA39B2" w:rsidRPr="00C11925">
        <w:rPr>
          <w:rFonts w:ascii="Garamond" w:hAnsi="Garamond" w:cs="Arial"/>
        </w:rPr>
        <w:t xml:space="preserve"> de </w:t>
      </w:r>
      <w:r w:rsidR="002C7510" w:rsidRPr="00C11925">
        <w:rPr>
          <w:rFonts w:ascii="Garamond" w:hAnsi="Garamond" w:cs="Arial"/>
        </w:rPr>
        <w:t>igualdade</w:t>
      </w:r>
      <w:r w:rsidR="00CA39B2" w:rsidRPr="00C11925">
        <w:rPr>
          <w:rFonts w:ascii="Garamond" w:hAnsi="Garamond" w:cs="Arial"/>
        </w:rPr>
        <w:t xml:space="preserve"> entre </w:t>
      </w:r>
      <w:r w:rsidR="00054EE0" w:rsidRPr="00C11925">
        <w:rPr>
          <w:rFonts w:ascii="Garamond" w:hAnsi="Garamond" w:cs="Arial"/>
        </w:rPr>
        <w:t>mulheres</w:t>
      </w:r>
      <w:r w:rsidR="00CA39B2" w:rsidRPr="00C11925">
        <w:rPr>
          <w:rFonts w:ascii="Garamond" w:hAnsi="Garamond" w:cs="Arial"/>
        </w:rPr>
        <w:t xml:space="preserve"> </w:t>
      </w:r>
      <w:r w:rsidR="00497503" w:rsidRPr="00C11925">
        <w:rPr>
          <w:rFonts w:ascii="Garamond" w:hAnsi="Garamond" w:cs="Arial"/>
        </w:rPr>
        <w:t>e</w:t>
      </w:r>
      <w:r w:rsidR="00CA39B2" w:rsidRPr="00C11925">
        <w:rPr>
          <w:rFonts w:ascii="Garamond" w:hAnsi="Garamond" w:cs="Arial"/>
        </w:rPr>
        <w:t xml:space="preserve"> </w:t>
      </w:r>
      <w:r w:rsidR="00524936" w:rsidRPr="00C11925">
        <w:rPr>
          <w:rFonts w:ascii="Garamond" w:hAnsi="Garamond" w:cs="Arial"/>
        </w:rPr>
        <w:t>homens</w:t>
      </w:r>
      <w:r w:rsidR="00CA39B2" w:rsidRPr="00C11925">
        <w:rPr>
          <w:rFonts w:ascii="Garamond" w:hAnsi="Garamond" w:cs="Arial"/>
        </w:rPr>
        <w:t xml:space="preserve"> </w:t>
      </w:r>
      <w:r w:rsidR="005A5191" w:rsidRPr="00C11925">
        <w:rPr>
          <w:rFonts w:ascii="Garamond" w:hAnsi="Garamond" w:cs="Arial"/>
        </w:rPr>
        <w:t>na pátria-má</w:t>
      </w:r>
      <w:r w:rsidR="00CA39B2" w:rsidRPr="00C11925">
        <w:rPr>
          <w:rFonts w:ascii="Garamond" w:hAnsi="Garamond" w:cs="Arial"/>
        </w:rPr>
        <w:t>tria socialista-feminista</w:t>
      </w:r>
      <w:r w:rsidR="00664CC4" w:rsidRPr="00C11925">
        <w:rPr>
          <w:rFonts w:ascii="Garamond" w:hAnsi="Garamond" w:cs="Arial"/>
        </w:rPr>
        <w:t>.</w:t>
      </w:r>
      <w:r w:rsidR="0043311D">
        <w:rPr>
          <w:rFonts w:ascii="Garamond" w:hAnsi="Garamond" w:cs="Arial"/>
        </w:rPr>
        <w:t>»</w:t>
      </w:r>
      <w:r w:rsidR="00CA39B2" w:rsidRPr="00C11925">
        <w:rPr>
          <w:rStyle w:val="Refdenotaalpie"/>
          <w:rFonts w:ascii="Garamond" w:eastAsia="Calibri" w:hAnsi="Garamond" w:cs="Arial"/>
        </w:rPr>
        <w:footnoteReference w:id="92"/>
      </w:r>
      <w:r w:rsidR="00CA39B2" w:rsidRPr="00C11925">
        <w:rPr>
          <w:rFonts w:ascii="Garamond" w:hAnsi="Garamond" w:cs="Arial"/>
        </w:rPr>
        <w:t xml:space="preserve"> </w:t>
      </w:r>
    </w:p>
    <w:p w:rsidR="00CA39B2" w:rsidRPr="003A1174" w:rsidRDefault="0091113A" w:rsidP="008719D4">
      <w:pPr>
        <w:autoSpaceDE w:val="0"/>
        <w:autoSpaceDN w:val="0"/>
        <w:adjustRightInd w:val="0"/>
        <w:spacing w:before="240" w:after="120" w:line="240" w:lineRule="auto"/>
        <w:jc w:val="both"/>
        <w:rPr>
          <w:rFonts w:ascii="Garamond" w:hAnsi="Garamond" w:cs="Arial"/>
          <w:sz w:val="24"/>
          <w:szCs w:val="24"/>
        </w:rPr>
      </w:pPr>
      <w:r w:rsidRPr="003A1174">
        <w:rPr>
          <w:rFonts w:ascii="Garamond" w:hAnsi="Garamond" w:cs="Arial"/>
          <w:sz w:val="24"/>
          <w:szCs w:val="24"/>
        </w:rPr>
        <w:t xml:space="preserve">Entre </w:t>
      </w:r>
      <w:r w:rsidR="00CA39B2" w:rsidRPr="003A1174">
        <w:rPr>
          <w:rFonts w:ascii="Garamond" w:hAnsi="Garamond" w:cs="Arial"/>
          <w:sz w:val="24"/>
          <w:szCs w:val="24"/>
        </w:rPr>
        <w:t xml:space="preserve">os objetivos estratégicos </w:t>
      </w:r>
      <w:r w:rsidR="008A3DA2" w:rsidRPr="003A1174">
        <w:rPr>
          <w:rFonts w:ascii="Garamond" w:hAnsi="Garamond" w:cs="Arial"/>
          <w:sz w:val="24"/>
          <w:szCs w:val="24"/>
        </w:rPr>
        <w:t>do</w:t>
      </w:r>
      <w:r w:rsidR="00CA39B2" w:rsidRPr="003A1174">
        <w:rPr>
          <w:rFonts w:ascii="Garamond" w:hAnsi="Garamond" w:cs="Arial"/>
          <w:sz w:val="24"/>
          <w:szCs w:val="24"/>
        </w:rPr>
        <w:t xml:space="preserve"> </w:t>
      </w:r>
      <w:r w:rsidR="00462B11" w:rsidRPr="003A1174">
        <w:rPr>
          <w:rFonts w:ascii="Garamond" w:hAnsi="Garamond" w:cs="Arial"/>
          <w:sz w:val="24"/>
          <w:szCs w:val="24"/>
        </w:rPr>
        <w:t>Plano</w:t>
      </w:r>
      <w:r w:rsidR="00CA39B2" w:rsidRPr="003A1174">
        <w:rPr>
          <w:rFonts w:ascii="Garamond" w:hAnsi="Garamond" w:cs="Arial"/>
          <w:sz w:val="24"/>
          <w:szCs w:val="24"/>
        </w:rPr>
        <w:t xml:space="preserve"> </w:t>
      </w:r>
      <w:r w:rsidR="00C11925">
        <w:rPr>
          <w:rFonts w:ascii="Garamond" w:hAnsi="Garamond" w:cs="Arial"/>
          <w:sz w:val="24"/>
          <w:szCs w:val="24"/>
        </w:rPr>
        <w:t xml:space="preserve">está </w:t>
      </w:r>
      <w:r w:rsidRPr="003A1174">
        <w:rPr>
          <w:rFonts w:ascii="Garamond" w:hAnsi="Garamond" w:cs="Arial"/>
          <w:sz w:val="24"/>
          <w:szCs w:val="24"/>
        </w:rPr>
        <w:t xml:space="preserve">a </w:t>
      </w:r>
      <w:r w:rsidR="008E7A2A" w:rsidRPr="003A1174">
        <w:rPr>
          <w:rFonts w:ascii="Garamond" w:hAnsi="Garamond" w:cs="Arial"/>
          <w:sz w:val="24"/>
          <w:szCs w:val="24"/>
        </w:rPr>
        <w:t>eliminação</w:t>
      </w:r>
      <w:r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 e</w:t>
      </w:r>
      <w:r w:rsidRPr="003A1174">
        <w:rPr>
          <w:rFonts w:ascii="Garamond" w:hAnsi="Garamond" w:cs="Arial"/>
          <w:sz w:val="24"/>
          <w:szCs w:val="24"/>
        </w:rPr>
        <w:t>m</w:t>
      </w:r>
      <w:r w:rsidR="00CA39B2" w:rsidRPr="003A1174">
        <w:rPr>
          <w:rFonts w:ascii="Garamond" w:hAnsi="Garamond" w:cs="Arial"/>
          <w:sz w:val="24"/>
          <w:szCs w:val="24"/>
        </w:rPr>
        <w:t xml:space="preserve"> todas </w:t>
      </w:r>
      <w:r w:rsidRPr="003A1174">
        <w:rPr>
          <w:rFonts w:ascii="Garamond" w:hAnsi="Garamond" w:cs="Arial"/>
          <w:sz w:val="24"/>
          <w:szCs w:val="24"/>
        </w:rPr>
        <w:t xml:space="preserve">as </w:t>
      </w:r>
      <w:r w:rsidR="00CA39B2" w:rsidRPr="003A1174">
        <w:rPr>
          <w:rFonts w:ascii="Garamond" w:hAnsi="Garamond" w:cs="Arial"/>
          <w:sz w:val="24"/>
          <w:szCs w:val="24"/>
        </w:rPr>
        <w:t>s</w:t>
      </w:r>
      <w:r w:rsidR="001A59AC" w:rsidRPr="003A1174">
        <w:rPr>
          <w:rFonts w:ascii="Garamond" w:hAnsi="Garamond" w:cs="Arial"/>
          <w:sz w:val="24"/>
          <w:szCs w:val="24"/>
        </w:rPr>
        <w:t>uas</w:t>
      </w:r>
      <w:r w:rsidR="00CA39B2" w:rsidRPr="003A1174">
        <w:rPr>
          <w:rFonts w:ascii="Garamond" w:hAnsi="Garamond" w:cs="Arial"/>
          <w:sz w:val="24"/>
          <w:szCs w:val="24"/>
        </w:rPr>
        <w:t xml:space="preserve"> </w:t>
      </w:r>
      <w:r w:rsidR="003E1D8A" w:rsidRPr="003A1174">
        <w:rPr>
          <w:rFonts w:ascii="Garamond" w:hAnsi="Garamond" w:cs="Arial"/>
          <w:sz w:val="24"/>
          <w:szCs w:val="24"/>
        </w:rPr>
        <w:t>expressões</w:t>
      </w:r>
      <w:r w:rsidR="00CA39B2" w:rsidRPr="003A1174">
        <w:rPr>
          <w:rFonts w:ascii="Garamond" w:hAnsi="Garamond" w:cs="Arial"/>
          <w:sz w:val="24"/>
          <w:szCs w:val="24"/>
        </w:rPr>
        <w:t xml:space="preserve"> (Dimens</w:t>
      </w:r>
      <w:r w:rsidRPr="003A1174">
        <w:rPr>
          <w:rFonts w:ascii="Garamond" w:hAnsi="Garamond" w:cs="Arial"/>
          <w:sz w:val="24"/>
          <w:szCs w:val="24"/>
        </w:rPr>
        <w:t>ão</w:t>
      </w:r>
      <w:r w:rsidR="00CA39B2" w:rsidRPr="003A1174">
        <w:rPr>
          <w:rFonts w:ascii="Garamond" w:hAnsi="Garamond" w:cs="Arial"/>
          <w:sz w:val="24"/>
          <w:szCs w:val="24"/>
        </w:rPr>
        <w:t xml:space="preserve"> Social)</w:t>
      </w:r>
      <w:r w:rsidR="00840AD3" w:rsidRPr="003A1174">
        <w:rPr>
          <w:rFonts w:ascii="Garamond" w:hAnsi="Garamond" w:cs="Arial"/>
          <w:sz w:val="24"/>
          <w:szCs w:val="24"/>
        </w:rPr>
        <w:t>.</w:t>
      </w:r>
      <w:r w:rsidR="00CA39B2" w:rsidRPr="003A1174">
        <w:rPr>
          <w:rStyle w:val="Refdenotaalpie"/>
          <w:rFonts w:ascii="Garamond" w:eastAsia="Calibri" w:hAnsi="Garamond" w:cs="Arial"/>
          <w:sz w:val="24"/>
          <w:szCs w:val="24"/>
        </w:rPr>
        <w:footnoteReference w:id="93"/>
      </w:r>
    </w:p>
    <w:p w:rsidR="0043311D" w:rsidRDefault="00CA39B2" w:rsidP="0091113A">
      <w:pPr>
        <w:tabs>
          <w:tab w:val="left" w:pos="960"/>
        </w:tabs>
        <w:spacing w:before="240" w:after="120" w:line="240" w:lineRule="auto"/>
        <w:jc w:val="both"/>
        <w:rPr>
          <w:rFonts w:ascii="Garamond" w:hAnsi="Garamond" w:cs="Arial"/>
          <w:sz w:val="24"/>
          <w:szCs w:val="24"/>
        </w:rPr>
      </w:pPr>
      <w:r w:rsidRPr="003A1174">
        <w:rPr>
          <w:rFonts w:ascii="Garamond" w:hAnsi="Garamond" w:cs="Arial"/>
          <w:sz w:val="24"/>
          <w:szCs w:val="24"/>
        </w:rPr>
        <w:t xml:space="preserve">Por </w:t>
      </w:r>
      <w:r w:rsidR="001F2F8B" w:rsidRPr="003A1174">
        <w:rPr>
          <w:rFonts w:ascii="Garamond" w:hAnsi="Garamond" w:cs="Arial"/>
          <w:sz w:val="24"/>
          <w:szCs w:val="24"/>
        </w:rPr>
        <w:t>outro</w:t>
      </w:r>
      <w:r w:rsidRPr="003A1174">
        <w:rPr>
          <w:rFonts w:ascii="Garamond" w:hAnsi="Garamond" w:cs="Arial"/>
          <w:sz w:val="24"/>
          <w:szCs w:val="24"/>
        </w:rPr>
        <w:t xml:space="preserve"> lado, </w:t>
      </w:r>
      <w:r w:rsidR="0091113A" w:rsidRPr="003A1174">
        <w:rPr>
          <w:rFonts w:ascii="Garamond" w:hAnsi="Garamond" w:cs="Arial"/>
          <w:sz w:val="24"/>
          <w:szCs w:val="24"/>
        </w:rPr>
        <w:t xml:space="preserve">é </w:t>
      </w:r>
      <w:r w:rsidR="00840AD3" w:rsidRPr="003A1174">
        <w:rPr>
          <w:rFonts w:ascii="Garamond" w:hAnsi="Garamond" w:cs="Arial"/>
          <w:sz w:val="24"/>
          <w:szCs w:val="24"/>
        </w:rPr>
        <w:t>conveniente</w:t>
      </w:r>
      <w:r w:rsidRPr="003A1174">
        <w:rPr>
          <w:rFonts w:ascii="Garamond" w:hAnsi="Garamond" w:cs="Arial"/>
          <w:sz w:val="24"/>
          <w:szCs w:val="24"/>
        </w:rPr>
        <w:t xml:space="preserve"> </w:t>
      </w:r>
      <w:r w:rsidR="0091113A" w:rsidRPr="003A1174">
        <w:rPr>
          <w:rFonts w:ascii="Garamond" w:hAnsi="Garamond" w:cs="Arial"/>
          <w:sz w:val="24"/>
          <w:szCs w:val="24"/>
        </w:rPr>
        <w:t xml:space="preserve">salientar </w:t>
      </w:r>
      <w:r w:rsidRPr="003A1174">
        <w:rPr>
          <w:rFonts w:ascii="Garamond" w:hAnsi="Garamond" w:cs="Arial"/>
          <w:sz w:val="24"/>
          <w:szCs w:val="24"/>
        </w:rPr>
        <w:t>que</w:t>
      </w:r>
      <w:r w:rsidR="00C11925">
        <w:rPr>
          <w:rFonts w:ascii="Garamond" w:hAnsi="Garamond" w:cs="Arial"/>
          <w:sz w:val="24"/>
          <w:szCs w:val="24"/>
        </w:rPr>
        <w:t>,</w:t>
      </w:r>
      <w:r w:rsidRPr="003A1174">
        <w:rPr>
          <w:rFonts w:ascii="Garamond" w:hAnsi="Garamond" w:cs="Arial"/>
          <w:sz w:val="24"/>
          <w:szCs w:val="24"/>
        </w:rPr>
        <w:t xml:space="preserve"> </w:t>
      </w:r>
      <w:r w:rsidR="0091113A" w:rsidRPr="003A1174">
        <w:rPr>
          <w:rFonts w:ascii="Garamond" w:hAnsi="Garamond" w:cs="Arial"/>
          <w:sz w:val="24"/>
          <w:szCs w:val="24"/>
        </w:rPr>
        <w:t xml:space="preserve">o </w:t>
      </w:r>
      <w:r w:rsidR="00D77C19" w:rsidRPr="003A1174">
        <w:rPr>
          <w:rFonts w:ascii="Garamond" w:hAnsi="Garamond" w:cs="Arial"/>
          <w:sz w:val="24"/>
          <w:szCs w:val="24"/>
        </w:rPr>
        <w:t>Ministério</w:t>
      </w:r>
      <w:r w:rsidRPr="003A1174">
        <w:rPr>
          <w:rFonts w:ascii="Garamond" w:hAnsi="Garamond" w:cs="Arial"/>
          <w:sz w:val="24"/>
          <w:szCs w:val="24"/>
        </w:rPr>
        <w:t xml:space="preserve"> Público introdu</w:t>
      </w:r>
      <w:r w:rsidR="0091113A" w:rsidRPr="003A1174">
        <w:rPr>
          <w:rFonts w:ascii="Garamond" w:hAnsi="Garamond" w:cs="Arial"/>
          <w:sz w:val="24"/>
          <w:szCs w:val="24"/>
        </w:rPr>
        <w:t xml:space="preserve">ziu um </w:t>
      </w:r>
      <w:r w:rsidR="00C30647" w:rsidRPr="003A1174">
        <w:rPr>
          <w:rFonts w:ascii="Garamond" w:hAnsi="Garamond" w:cs="Arial"/>
          <w:sz w:val="24"/>
          <w:szCs w:val="24"/>
        </w:rPr>
        <w:t>Projeto</w:t>
      </w:r>
      <w:r w:rsidRPr="003A1174">
        <w:rPr>
          <w:rFonts w:ascii="Garamond" w:hAnsi="Garamond" w:cs="Arial"/>
          <w:sz w:val="24"/>
          <w:szCs w:val="24"/>
        </w:rPr>
        <w:t xml:space="preserve"> de </w:t>
      </w:r>
      <w:r w:rsidR="00DB2452">
        <w:rPr>
          <w:rFonts w:ascii="Garamond" w:hAnsi="Garamond" w:cs="Arial"/>
          <w:sz w:val="24"/>
          <w:szCs w:val="24"/>
        </w:rPr>
        <w:t xml:space="preserve">Revisão </w:t>
      </w:r>
      <w:r w:rsidRPr="003A1174">
        <w:rPr>
          <w:rFonts w:ascii="Garamond" w:hAnsi="Garamond" w:cs="Arial"/>
          <w:sz w:val="24"/>
          <w:szCs w:val="24"/>
        </w:rPr>
        <w:t xml:space="preserve">Parcial da </w:t>
      </w:r>
      <w:r w:rsidR="00D15AFF" w:rsidRPr="003A1174">
        <w:rPr>
          <w:rFonts w:ascii="Garamond" w:hAnsi="Garamond" w:cs="Arial"/>
          <w:sz w:val="24"/>
          <w:szCs w:val="24"/>
        </w:rPr>
        <w:t>Lei</w:t>
      </w:r>
      <w:r w:rsidRPr="003A1174">
        <w:rPr>
          <w:rFonts w:ascii="Garamond" w:hAnsi="Garamond" w:cs="Arial"/>
          <w:sz w:val="24"/>
          <w:szCs w:val="24"/>
        </w:rPr>
        <w:t xml:space="preserve"> </w:t>
      </w:r>
      <w:r w:rsidR="0091113A" w:rsidRPr="003A1174">
        <w:rPr>
          <w:rFonts w:ascii="Garamond" w:hAnsi="Garamond" w:cs="Arial"/>
          <w:sz w:val="24"/>
          <w:szCs w:val="24"/>
        </w:rPr>
        <w:t>Orgânica</w:t>
      </w:r>
      <w:r w:rsidRPr="003A1174">
        <w:rPr>
          <w:rFonts w:ascii="Garamond" w:hAnsi="Garamond" w:cs="Arial"/>
          <w:sz w:val="24"/>
          <w:szCs w:val="24"/>
        </w:rPr>
        <w:t xml:space="preserve"> sobre </w:t>
      </w:r>
      <w:r w:rsidR="0091113A" w:rsidRPr="003A1174">
        <w:rPr>
          <w:rFonts w:ascii="Garamond" w:hAnsi="Garamond" w:cs="Arial"/>
          <w:sz w:val="24"/>
          <w:szCs w:val="24"/>
        </w:rPr>
        <w:t xml:space="preserve">o </w:t>
      </w:r>
      <w:r w:rsidR="00886D6A" w:rsidRPr="003A1174">
        <w:rPr>
          <w:rFonts w:ascii="Garamond" w:hAnsi="Garamond" w:cs="Arial"/>
          <w:sz w:val="24"/>
          <w:szCs w:val="24"/>
        </w:rPr>
        <w:t>Direito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0091113A" w:rsidRPr="003A1174">
        <w:rPr>
          <w:rFonts w:ascii="Garamond" w:hAnsi="Garamond" w:cs="Arial"/>
          <w:sz w:val="24"/>
          <w:szCs w:val="24"/>
        </w:rPr>
        <w:t xml:space="preserve"> a um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0350B1" w:rsidRPr="003A1174">
        <w:rPr>
          <w:rFonts w:ascii="Garamond" w:hAnsi="Garamond" w:cs="Arial"/>
          <w:sz w:val="24"/>
          <w:szCs w:val="24"/>
        </w:rPr>
        <w:t>Violência</w:t>
      </w:r>
      <w:r w:rsidR="00840AD3" w:rsidRPr="003A1174">
        <w:rPr>
          <w:rFonts w:ascii="Garamond" w:hAnsi="Garamond" w:cs="Arial"/>
          <w:sz w:val="24"/>
          <w:szCs w:val="24"/>
        </w:rPr>
        <w:t>,</w:t>
      </w:r>
      <w:r w:rsidRPr="003A1174">
        <w:rPr>
          <w:rStyle w:val="Refdenotaalpie"/>
          <w:rFonts w:ascii="Garamond" w:eastAsia="Calibri" w:hAnsi="Garamond" w:cs="Arial"/>
          <w:sz w:val="24"/>
          <w:szCs w:val="24"/>
          <w:lang w:val="es-ES_tradnl"/>
        </w:rPr>
        <w:footnoteReference w:id="94"/>
      </w:r>
      <w:r w:rsidRPr="003A1174">
        <w:rPr>
          <w:rFonts w:ascii="Garamond" w:hAnsi="Garamond" w:cs="Arial"/>
          <w:sz w:val="24"/>
          <w:szCs w:val="24"/>
        </w:rPr>
        <w:t xml:space="preserve"> </w:t>
      </w:r>
      <w:r w:rsidR="0091113A" w:rsidRPr="003A1174">
        <w:rPr>
          <w:rFonts w:ascii="Garamond" w:hAnsi="Garamond" w:cs="Arial"/>
          <w:sz w:val="24"/>
          <w:szCs w:val="24"/>
        </w:rPr>
        <w:t xml:space="preserve">perante </w:t>
      </w:r>
      <w:r w:rsidRPr="003A1174">
        <w:rPr>
          <w:rFonts w:ascii="Garamond" w:hAnsi="Garamond" w:cs="Arial"/>
          <w:sz w:val="24"/>
          <w:szCs w:val="24"/>
        </w:rPr>
        <w:t xml:space="preserve">a </w:t>
      </w:r>
      <w:r w:rsidR="00FC1F7F" w:rsidRPr="003A1174">
        <w:rPr>
          <w:rFonts w:ascii="Garamond" w:hAnsi="Garamond" w:cs="Arial"/>
          <w:sz w:val="24"/>
          <w:szCs w:val="24"/>
        </w:rPr>
        <w:t>Comissão</w:t>
      </w:r>
      <w:r w:rsidRPr="003A1174">
        <w:rPr>
          <w:rFonts w:ascii="Garamond" w:hAnsi="Garamond" w:cs="Arial"/>
          <w:sz w:val="24"/>
          <w:szCs w:val="24"/>
        </w:rPr>
        <w:t xml:space="preserve"> Permanente de </w:t>
      </w:r>
      <w:r w:rsidR="009B133A" w:rsidRPr="003A1174">
        <w:rPr>
          <w:rFonts w:ascii="Garamond" w:hAnsi="Garamond" w:cs="Arial"/>
          <w:sz w:val="24"/>
          <w:szCs w:val="24"/>
        </w:rPr>
        <w:t>Desenvolvimento</w:t>
      </w:r>
      <w:r w:rsidRPr="003A1174">
        <w:rPr>
          <w:rFonts w:ascii="Garamond" w:hAnsi="Garamond" w:cs="Arial"/>
          <w:sz w:val="24"/>
          <w:szCs w:val="24"/>
        </w:rPr>
        <w:t xml:space="preserve"> Social da </w:t>
      </w:r>
      <w:r w:rsidR="00C30647" w:rsidRPr="003A1174">
        <w:rPr>
          <w:rFonts w:ascii="Garamond" w:hAnsi="Garamond" w:cs="Arial"/>
          <w:sz w:val="24"/>
          <w:szCs w:val="24"/>
        </w:rPr>
        <w:t>Assembleia</w:t>
      </w:r>
      <w:r w:rsidRPr="003A1174">
        <w:rPr>
          <w:rFonts w:ascii="Garamond" w:hAnsi="Garamond" w:cs="Arial"/>
          <w:sz w:val="24"/>
          <w:szCs w:val="24"/>
        </w:rPr>
        <w:t xml:space="preserve"> Nacional, </w:t>
      </w:r>
      <w:r w:rsidR="0091113A" w:rsidRPr="003A1174">
        <w:rPr>
          <w:rFonts w:ascii="Garamond" w:hAnsi="Garamond" w:cs="Arial"/>
          <w:sz w:val="24"/>
          <w:szCs w:val="24"/>
        </w:rPr>
        <w:t xml:space="preserve">onde se considera </w:t>
      </w:r>
      <w:r w:rsidRPr="003A1174">
        <w:rPr>
          <w:rFonts w:ascii="Garamond" w:hAnsi="Garamond" w:cs="Arial"/>
          <w:sz w:val="24"/>
          <w:szCs w:val="24"/>
        </w:rPr>
        <w:t xml:space="preserve">a </w:t>
      </w:r>
      <w:r w:rsidR="00976FB8" w:rsidRPr="003A1174">
        <w:rPr>
          <w:rFonts w:ascii="Garamond" w:hAnsi="Garamond" w:cs="Arial"/>
          <w:sz w:val="24"/>
          <w:szCs w:val="24"/>
        </w:rPr>
        <w:t>inclusão</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tipo penal de </w:t>
      </w:r>
      <w:r w:rsidR="005C051C" w:rsidRPr="003A1174">
        <w:rPr>
          <w:rFonts w:ascii="Garamond" w:hAnsi="Garamond" w:cs="Arial"/>
          <w:sz w:val="24"/>
          <w:szCs w:val="24"/>
        </w:rPr>
        <w:t>femicídio</w:t>
      </w:r>
      <w:r w:rsidRPr="003A1174">
        <w:rPr>
          <w:rFonts w:ascii="Garamond" w:hAnsi="Garamond" w:cs="Arial"/>
          <w:sz w:val="24"/>
          <w:szCs w:val="24"/>
        </w:rPr>
        <w:t xml:space="preserve"> para </w:t>
      </w:r>
      <w:r w:rsidR="003F493C" w:rsidRPr="003A1174">
        <w:rPr>
          <w:rFonts w:ascii="Garamond" w:hAnsi="Garamond" w:cs="Arial"/>
          <w:sz w:val="24"/>
          <w:szCs w:val="24"/>
        </w:rPr>
        <w:t>punir</w:t>
      </w:r>
      <w:r w:rsidRPr="003A1174">
        <w:rPr>
          <w:rFonts w:ascii="Garamond" w:hAnsi="Garamond" w:cs="Arial"/>
          <w:sz w:val="24"/>
          <w:szCs w:val="24"/>
        </w:rPr>
        <w:t xml:space="preserve"> </w:t>
      </w:r>
      <w:r w:rsidR="0091113A" w:rsidRPr="003A1174">
        <w:rPr>
          <w:rFonts w:ascii="Garamond" w:hAnsi="Garamond" w:cs="Arial"/>
          <w:sz w:val="24"/>
          <w:szCs w:val="24"/>
        </w:rPr>
        <w:t>o</w:t>
      </w:r>
      <w:r w:rsidRPr="003A1174">
        <w:rPr>
          <w:rFonts w:ascii="Garamond" w:hAnsi="Garamond" w:cs="Arial"/>
          <w:sz w:val="24"/>
          <w:szCs w:val="24"/>
        </w:rPr>
        <w:t xml:space="preserve"> </w:t>
      </w:r>
      <w:r w:rsidR="0043311D">
        <w:rPr>
          <w:rFonts w:ascii="Garamond" w:hAnsi="Garamond" w:cs="Arial"/>
          <w:sz w:val="24"/>
          <w:szCs w:val="24"/>
        </w:rPr>
        <w:t>«</w:t>
      </w:r>
      <w:r w:rsidR="0091113A" w:rsidRPr="003A1174">
        <w:rPr>
          <w:rFonts w:ascii="Garamond" w:hAnsi="Garamond" w:cs="Arial"/>
          <w:sz w:val="24"/>
          <w:szCs w:val="24"/>
        </w:rPr>
        <w:t>cônjuge</w:t>
      </w:r>
      <w:r w:rsidRPr="003A1174">
        <w:rPr>
          <w:rFonts w:ascii="Garamond" w:hAnsi="Garamond" w:cs="Arial"/>
          <w:sz w:val="24"/>
          <w:szCs w:val="24"/>
        </w:rPr>
        <w:t xml:space="preserve">, </w:t>
      </w:r>
      <w:r w:rsidR="00BA3CCE" w:rsidRPr="003A1174">
        <w:rPr>
          <w:rFonts w:ascii="Garamond" w:hAnsi="Garamond" w:cs="Arial"/>
          <w:sz w:val="24"/>
          <w:szCs w:val="24"/>
        </w:rPr>
        <w:t>ex-cônjuge</w:t>
      </w:r>
      <w:r w:rsidRPr="003A1174">
        <w:rPr>
          <w:rFonts w:ascii="Garamond" w:hAnsi="Garamond" w:cs="Arial"/>
          <w:sz w:val="24"/>
          <w:szCs w:val="24"/>
        </w:rPr>
        <w:t xml:space="preserve">, </w:t>
      </w:r>
      <w:r w:rsidR="0091113A" w:rsidRPr="003A1174">
        <w:rPr>
          <w:rFonts w:ascii="Garamond" w:hAnsi="Garamond" w:cs="Arial"/>
          <w:sz w:val="24"/>
          <w:szCs w:val="24"/>
        </w:rPr>
        <w:t>amante</w:t>
      </w:r>
      <w:r w:rsidRPr="003A1174">
        <w:rPr>
          <w:rFonts w:ascii="Garamond" w:hAnsi="Garamond" w:cs="Arial"/>
          <w:sz w:val="24"/>
          <w:szCs w:val="24"/>
        </w:rPr>
        <w:t xml:space="preserve">, </w:t>
      </w:r>
      <w:r w:rsidR="00BA3CCE" w:rsidRPr="003A1174">
        <w:rPr>
          <w:rFonts w:ascii="Garamond" w:hAnsi="Garamond" w:cs="Arial"/>
          <w:sz w:val="24"/>
          <w:szCs w:val="24"/>
        </w:rPr>
        <w:t>ex-amante</w:t>
      </w:r>
      <w:r w:rsidRPr="003A1174">
        <w:rPr>
          <w:rFonts w:ascii="Garamond" w:hAnsi="Garamond" w:cs="Arial"/>
          <w:sz w:val="24"/>
          <w:szCs w:val="24"/>
        </w:rPr>
        <w:t xml:space="preserve">, </w:t>
      </w:r>
      <w:r w:rsidR="0005622E" w:rsidRPr="003A1174">
        <w:rPr>
          <w:rFonts w:ascii="Garamond" w:hAnsi="Garamond" w:cs="Arial"/>
          <w:sz w:val="24"/>
          <w:szCs w:val="24"/>
        </w:rPr>
        <w:t>pessoa</w:t>
      </w:r>
      <w:r w:rsidRPr="003A1174">
        <w:rPr>
          <w:rFonts w:ascii="Garamond" w:hAnsi="Garamond" w:cs="Arial"/>
          <w:sz w:val="24"/>
          <w:szCs w:val="24"/>
        </w:rPr>
        <w:t xml:space="preserve"> co</w:t>
      </w:r>
      <w:r w:rsidR="0091113A" w:rsidRPr="003A1174">
        <w:rPr>
          <w:rFonts w:ascii="Garamond" w:hAnsi="Garamond" w:cs="Arial"/>
          <w:sz w:val="24"/>
          <w:szCs w:val="24"/>
        </w:rPr>
        <w:t xml:space="preserve">m quem </w:t>
      </w:r>
      <w:r w:rsidRPr="003A1174">
        <w:rPr>
          <w:rFonts w:ascii="Garamond" w:hAnsi="Garamond" w:cs="Arial"/>
          <w:sz w:val="24"/>
          <w:szCs w:val="24"/>
        </w:rPr>
        <w:t xml:space="preserve">a </w:t>
      </w:r>
      <w:r w:rsidR="003F012B" w:rsidRPr="003A1174">
        <w:rPr>
          <w:rFonts w:ascii="Garamond" w:hAnsi="Garamond" w:cs="Arial"/>
          <w:sz w:val="24"/>
          <w:szCs w:val="24"/>
        </w:rPr>
        <w:t>vítima</w:t>
      </w:r>
      <w:r w:rsidRPr="003A1174">
        <w:rPr>
          <w:rFonts w:ascii="Garamond" w:hAnsi="Garamond" w:cs="Arial"/>
          <w:sz w:val="24"/>
          <w:szCs w:val="24"/>
        </w:rPr>
        <w:t xml:space="preserve"> mant</w:t>
      </w:r>
      <w:r w:rsidR="0091113A" w:rsidRPr="003A1174">
        <w:rPr>
          <w:rFonts w:ascii="Garamond" w:hAnsi="Garamond" w:cs="Arial"/>
          <w:sz w:val="24"/>
          <w:szCs w:val="24"/>
        </w:rPr>
        <w:t xml:space="preserve">eve </w:t>
      </w:r>
      <w:r w:rsidRPr="003A1174">
        <w:rPr>
          <w:rFonts w:ascii="Garamond" w:hAnsi="Garamond" w:cs="Arial"/>
          <w:sz w:val="24"/>
          <w:szCs w:val="24"/>
        </w:rPr>
        <w:t>vida marital, uni</w:t>
      </w:r>
      <w:r w:rsidR="0091113A" w:rsidRPr="003A1174">
        <w:rPr>
          <w:rFonts w:ascii="Garamond" w:hAnsi="Garamond" w:cs="Arial"/>
          <w:sz w:val="24"/>
          <w:szCs w:val="24"/>
        </w:rPr>
        <w:t xml:space="preserve">ão </w:t>
      </w:r>
      <w:r w:rsidRPr="003A1174">
        <w:rPr>
          <w:rFonts w:ascii="Garamond" w:hAnsi="Garamond" w:cs="Arial"/>
          <w:sz w:val="24"/>
          <w:szCs w:val="24"/>
        </w:rPr>
        <w:t>est</w:t>
      </w:r>
      <w:r w:rsidR="0091113A" w:rsidRPr="003A1174">
        <w:rPr>
          <w:rFonts w:ascii="Garamond" w:hAnsi="Garamond" w:cs="Arial"/>
          <w:sz w:val="24"/>
          <w:szCs w:val="24"/>
        </w:rPr>
        <w:t xml:space="preserve">ável </w:t>
      </w:r>
      <w:r w:rsidRPr="003A1174">
        <w:rPr>
          <w:rFonts w:ascii="Garamond" w:hAnsi="Garamond" w:cs="Arial"/>
          <w:sz w:val="24"/>
          <w:szCs w:val="24"/>
        </w:rPr>
        <w:t xml:space="preserve">de </w:t>
      </w:r>
      <w:r w:rsidR="001647F2" w:rsidRPr="003A1174">
        <w:rPr>
          <w:rFonts w:ascii="Garamond" w:hAnsi="Garamond" w:cs="Arial"/>
          <w:sz w:val="24"/>
          <w:szCs w:val="24"/>
        </w:rPr>
        <w:t>facto</w:t>
      </w:r>
      <w:r w:rsidRPr="003A1174">
        <w:rPr>
          <w:rFonts w:ascii="Garamond" w:hAnsi="Garamond" w:cs="Arial"/>
          <w:sz w:val="24"/>
          <w:szCs w:val="24"/>
        </w:rPr>
        <w:t xml:space="preserve"> o</w:t>
      </w:r>
      <w:r w:rsidR="0091113A" w:rsidRPr="003A1174">
        <w:rPr>
          <w:rFonts w:ascii="Garamond" w:hAnsi="Garamond" w:cs="Arial"/>
          <w:sz w:val="24"/>
          <w:szCs w:val="24"/>
        </w:rPr>
        <w:t>u</w:t>
      </w:r>
      <w:r w:rsidRPr="003A1174">
        <w:rPr>
          <w:rFonts w:ascii="Garamond" w:hAnsi="Garamond" w:cs="Arial"/>
          <w:sz w:val="24"/>
          <w:szCs w:val="24"/>
        </w:rPr>
        <w:t xml:space="preserve"> </w:t>
      </w:r>
      <w:r w:rsidR="00152A44" w:rsidRPr="003A1174">
        <w:rPr>
          <w:rFonts w:ascii="Garamond" w:hAnsi="Garamond" w:cs="Arial"/>
          <w:sz w:val="24"/>
          <w:szCs w:val="24"/>
        </w:rPr>
        <w:t>relação</w:t>
      </w:r>
      <w:r w:rsidRPr="003A1174">
        <w:rPr>
          <w:rFonts w:ascii="Garamond" w:hAnsi="Garamond" w:cs="Arial"/>
          <w:sz w:val="24"/>
          <w:szCs w:val="24"/>
        </w:rPr>
        <w:t xml:space="preserve"> de </w:t>
      </w:r>
      <w:r w:rsidR="0091113A" w:rsidRPr="003A1174">
        <w:rPr>
          <w:rFonts w:ascii="Garamond" w:hAnsi="Garamond" w:cs="Arial"/>
          <w:sz w:val="24"/>
          <w:szCs w:val="24"/>
        </w:rPr>
        <w:t>afetividade</w:t>
      </w:r>
      <w:r w:rsidR="0043311D">
        <w:rPr>
          <w:rFonts w:ascii="Garamond" w:hAnsi="Garamond" w:cs="Arial"/>
          <w:sz w:val="24"/>
          <w:szCs w:val="24"/>
        </w:rPr>
        <w:t>,</w:t>
      </w:r>
      <w:r w:rsidRPr="003A1174">
        <w:rPr>
          <w:rFonts w:ascii="Garamond" w:hAnsi="Garamond" w:cs="Arial"/>
          <w:sz w:val="24"/>
          <w:szCs w:val="24"/>
        </w:rPr>
        <w:t xml:space="preserve"> co</w:t>
      </w:r>
      <w:r w:rsidR="0091113A" w:rsidRPr="003A1174">
        <w:rPr>
          <w:rFonts w:ascii="Garamond" w:hAnsi="Garamond" w:cs="Arial"/>
          <w:sz w:val="24"/>
          <w:szCs w:val="24"/>
        </w:rPr>
        <w:t>m ou sem convivência</w:t>
      </w:r>
      <w:r w:rsidR="00840AD3" w:rsidRPr="003A1174">
        <w:rPr>
          <w:rFonts w:ascii="Garamond" w:hAnsi="Garamond" w:cs="Arial"/>
          <w:sz w:val="24"/>
          <w:szCs w:val="24"/>
        </w:rPr>
        <w:t>,</w:t>
      </w:r>
      <w:r w:rsidRPr="003A1174">
        <w:rPr>
          <w:rFonts w:ascii="Garamond" w:hAnsi="Garamond" w:cs="Arial"/>
          <w:sz w:val="24"/>
          <w:szCs w:val="24"/>
        </w:rPr>
        <w:t xml:space="preserve"> que</w:t>
      </w:r>
      <w:proofErr w:type="gramStart"/>
      <w:r w:rsidRPr="003A1174">
        <w:rPr>
          <w:rFonts w:ascii="Garamond" w:hAnsi="Garamond" w:cs="Arial"/>
          <w:sz w:val="24"/>
          <w:szCs w:val="24"/>
        </w:rPr>
        <w:t xml:space="preserve"> </w:t>
      </w:r>
      <w:r w:rsidR="0043311D">
        <w:rPr>
          <w:rFonts w:ascii="Garamond" w:hAnsi="Garamond" w:cs="Arial"/>
          <w:sz w:val="24"/>
          <w:szCs w:val="24"/>
        </w:rPr>
        <w:t xml:space="preserve"> </w:t>
      </w:r>
      <w:proofErr w:type="gramEnd"/>
      <w:r w:rsidR="0043311D">
        <w:rPr>
          <w:rFonts w:ascii="Garamond" w:hAnsi="Garamond" w:cs="Arial"/>
          <w:sz w:val="24"/>
          <w:szCs w:val="24"/>
        </w:rPr>
        <w:t>provoque a</w:t>
      </w:r>
      <w:r w:rsidRPr="003A1174">
        <w:rPr>
          <w:rFonts w:ascii="Garamond" w:hAnsi="Garamond" w:cs="Arial"/>
          <w:sz w:val="24"/>
          <w:szCs w:val="24"/>
        </w:rPr>
        <w:t xml:space="preserve"> </w:t>
      </w:r>
      <w:r w:rsidR="007C63D0" w:rsidRPr="003A1174">
        <w:rPr>
          <w:rFonts w:ascii="Garamond" w:hAnsi="Garamond" w:cs="Arial"/>
          <w:sz w:val="24"/>
          <w:szCs w:val="24"/>
        </w:rPr>
        <w:t>morte</w:t>
      </w:r>
      <w:r w:rsidR="0091113A" w:rsidRPr="003A1174">
        <w:rPr>
          <w:rFonts w:ascii="Garamond" w:hAnsi="Garamond" w:cs="Arial"/>
          <w:sz w:val="24"/>
          <w:szCs w:val="24"/>
        </w:rPr>
        <w:t xml:space="preserve"> intencional a um</w:t>
      </w:r>
      <w:r w:rsidRPr="003A1174">
        <w:rPr>
          <w:rFonts w:ascii="Garamond" w:hAnsi="Garamond" w:cs="Arial"/>
          <w:sz w:val="24"/>
          <w:szCs w:val="24"/>
        </w:rPr>
        <w:t xml:space="preserve">a </w:t>
      </w:r>
      <w:r w:rsidR="00AF192F" w:rsidRPr="003A1174">
        <w:rPr>
          <w:rFonts w:ascii="Garamond" w:hAnsi="Garamond" w:cs="Arial"/>
          <w:sz w:val="24"/>
          <w:szCs w:val="24"/>
        </w:rPr>
        <w:t>mulher</w:t>
      </w:r>
      <w:r w:rsidRPr="003A1174">
        <w:rPr>
          <w:rFonts w:ascii="Garamond" w:hAnsi="Garamond" w:cs="Arial"/>
          <w:sz w:val="24"/>
          <w:szCs w:val="24"/>
        </w:rPr>
        <w:t>.</w:t>
      </w:r>
      <w:r w:rsidR="0043311D">
        <w:rPr>
          <w:rFonts w:ascii="Garamond" w:hAnsi="Garamond" w:cs="Arial"/>
          <w:sz w:val="24"/>
          <w:szCs w:val="24"/>
        </w:rPr>
        <w:t>»</w:t>
      </w:r>
      <w:r w:rsidRPr="003A1174">
        <w:rPr>
          <w:rFonts w:ascii="Garamond" w:hAnsi="Garamond" w:cs="Arial"/>
          <w:sz w:val="24"/>
          <w:szCs w:val="24"/>
        </w:rPr>
        <w:t xml:space="preserve"> </w:t>
      </w:r>
      <w:r w:rsidR="0091113A" w:rsidRPr="003A1174">
        <w:rPr>
          <w:rFonts w:ascii="Garamond" w:hAnsi="Garamond" w:cs="Arial"/>
          <w:sz w:val="24"/>
          <w:szCs w:val="24"/>
        </w:rPr>
        <w:t>Estabelecendo-se</w:t>
      </w:r>
      <w:r w:rsidR="0043311D">
        <w:rPr>
          <w:rFonts w:ascii="Garamond" w:hAnsi="Garamond" w:cs="Arial"/>
          <w:sz w:val="24"/>
          <w:szCs w:val="24"/>
        </w:rPr>
        <w:t>,</w:t>
      </w:r>
      <w:r w:rsidRPr="003A1174">
        <w:rPr>
          <w:rFonts w:ascii="Garamond" w:hAnsi="Garamond" w:cs="Arial"/>
          <w:sz w:val="24"/>
          <w:szCs w:val="24"/>
        </w:rPr>
        <w:t xml:space="preserve"> para </w:t>
      </w:r>
      <w:r w:rsidR="0091113A" w:rsidRPr="003A1174">
        <w:rPr>
          <w:rFonts w:ascii="Garamond" w:hAnsi="Garamond" w:cs="Arial"/>
          <w:sz w:val="24"/>
          <w:szCs w:val="24"/>
        </w:rPr>
        <w:t>isso</w:t>
      </w:r>
      <w:r w:rsidR="0043311D">
        <w:rPr>
          <w:rFonts w:ascii="Garamond" w:hAnsi="Garamond" w:cs="Arial"/>
          <w:sz w:val="24"/>
          <w:szCs w:val="24"/>
        </w:rPr>
        <w:t>,</w:t>
      </w:r>
      <w:r w:rsidR="0091113A" w:rsidRPr="003A1174">
        <w:rPr>
          <w:rFonts w:ascii="Garamond" w:hAnsi="Garamond" w:cs="Arial"/>
          <w:sz w:val="24"/>
          <w:szCs w:val="24"/>
        </w:rPr>
        <w:t xml:space="preserve"> um</w:t>
      </w:r>
      <w:r w:rsidRPr="003A1174">
        <w:rPr>
          <w:rFonts w:ascii="Garamond" w:hAnsi="Garamond" w:cs="Arial"/>
          <w:sz w:val="24"/>
          <w:szCs w:val="24"/>
        </w:rPr>
        <w:t>a pena que va</w:t>
      </w:r>
      <w:r w:rsidR="0091113A" w:rsidRPr="003A1174">
        <w:rPr>
          <w:rFonts w:ascii="Garamond" w:hAnsi="Garamond" w:cs="Arial"/>
          <w:sz w:val="24"/>
          <w:szCs w:val="24"/>
        </w:rPr>
        <w:t>i</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25 a</w:t>
      </w:r>
      <w:r w:rsidR="00F90623" w:rsidRPr="003A1174">
        <w:rPr>
          <w:rFonts w:ascii="Garamond" w:hAnsi="Garamond" w:cs="Arial"/>
          <w:sz w:val="24"/>
          <w:szCs w:val="24"/>
        </w:rPr>
        <w:t xml:space="preserve">os </w:t>
      </w:r>
      <w:r w:rsidRPr="003A1174">
        <w:rPr>
          <w:rFonts w:ascii="Garamond" w:hAnsi="Garamond" w:cs="Arial"/>
          <w:sz w:val="24"/>
          <w:szCs w:val="24"/>
        </w:rPr>
        <w:t xml:space="preserve">30 </w:t>
      </w:r>
      <w:r w:rsidR="002C7510" w:rsidRPr="003A1174">
        <w:rPr>
          <w:rFonts w:ascii="Garamond" w:hAnsi="Garamond" w:cs="Arial"/>
          <w:sz w:val="24"/>
          <w:szCs w:val="24"/>
        </w:rPr>
        <w:t>ano</w:t>
      </w:r>
      <w:r w:rsidRPr="003A1174">
        <w:rPr>
          <w:rFonts w:ascii="Garamond" w:hAnsi="Garamond" w:cs="Arial"/>
          <w:sz w:val="24"/>
          <w:szCs w:val="24"/>
        </w:rPr>
        <w:t xml:space="preserve">s de </w:t>
      </w:r>
      <w:r w:rsidR="007A2492" w:rsidRPr="003A1174">
        <w:rPr>
          <w:rFonts w:ascii="Garamond" w:hAnsi="Garamond" w:cs="Arial"/>
          <w:sz w:val="24"/>
          <w:szCs w:val="24"/>
        </w:rPr>
        <w:t>prisão</w:t>
      </w:r>
      <w:r w:rsidRPr="003A1174">
        <w:rPr>
          <w:rFonts w:ascii="Garamond" w:hAnsi="Garamond" w:cs="Arial"/>
          <w:sz w:val="24"/>
          <w:szCs w:val="24"/>
        </w:rPr>
        <w:t xml:space="preserve"> […] </w:t>
      </w:r>
    </w:p>
    <w:p w:rsidR="00CA39B2" w:rsidRPr="0043311D" w:rsidRDefault="0043311D" w:rsidP="0043311D">
      <w:pPr>
        <w:spacing w:before="240" w:after="120" w:line="240" w:lineRule="auto"/>
        <w:ind w:left="567"/>
        <w:jc w:val="both"/>
        <w:rPr>
          <w:rFonts w:ascii="Garamond" w:hAnsi="Garamond" w:cs="Arial"/>
        </w:rPr>
      </w:pPr>
      <w:r>
        <w:rPr>
          <w:rFonts w:ascii="Garamond" w:hAnsi="Garamond" w:cs="Arial"/>
        </w:rPr>
        <w:t>«</w:t>
      </w:r>
      <w:r w:rsidR="0091113A" w:rsidRPr="0043311D">
        <w:rPr>
          <w:rFonts w:ascii="Garamond" w:hAnsi="Garamond" w:cs="Arial"/>
        </w:rPr>
        <w:t>O</w:t>
      </w:r>
      <w:r w:rsidR="00CA39B2" w:rsidRPr="0043311D">
        <w:rPr>
          <w:rFonts w:ascii="Garamond" w:hAnsi="Garamond" w:cs="Arial"/>
        </w:rPr>
        <w:t xml:space="preserve"> </w:t>
      </w:r>
      <w:r w:rsidR="00C30647" w:rsidRPr="0043311D">
        <w:rPr>
          <w:rFonts w:ascii="Garamond" w:hAnsi="Garamond" w:cs="Arial"/>
        </w:rPr>
        <w:t>projeto</w:t>
      </w:r>
      <w:r w:rsidR="00CA39B2" w:rsidRPr="0043311D">
        <w:rPr>
          <w:rFonts w:ascii="Garamond" w:hAnsi="Garamond" w:cs="Arial"/>
        </w:rPr>
        <w:t xml:space="preserve"> </w:t>
      </w:r>
      <w:r w:rsidR="0091113A" w:rsidRPr="0043311D">
        <w:rPr>
          <w:rFonts w:ascii="Garamond" w:hAnsi="Garamond" w:cs="Arial"/>
        </w:rPr>
        <w:t>estabelece</w:t>
      </w:r>
      <w:r>
        <w:rPr>
          <w:rFonts w:ascii="Garamond" w:hAnsi="Garamond" w:cs="Arial"/>
        </w:rPr>
        <w:t>,</w:t>
      </w:r>
      <w:r w:rsidR="00CA39B2" w:rsidRPr="0043311D">
        <w:rPr>
          <w:rFonts w:ascii="Garamond" w:hAnsi="Garamond" w:cs="Arial"/>
        </w:rPr>
        <w:t xml:space="preserve"> </w:t>
      </w:r>
      <w:r w:rsidR="000350B1" w:rsidRPr="0043311D">
        <w:rPr>
          <w:rFonts w:ascii="Garamond" w:hAnsi="Garamond" w:cs="Arial"/>
        </w:rPr>
        <w:t>também</w:t>
      </w:r>
      <w:r>
        <w:rPr>
          <w:rFonts w:ascii="Garamond" w:hAnsi="Garamond" w:cs="Arial"/>
        </w:rPr>
        <w:t>,</w:t>
      </w:r>
      <w:r w:rsidR="00CA39B2" w:rsidRPr="0043311D">
        <w:rPr>
          <w:rFonts w:ascii="Garamond" w:hAnsi="Garamond" w:cs="Arial"/>
        </w:rPr>
        <w:t xml:space="preserve"> considerar </w:t>
      </w:r>
      <w:r w:rsidR="0091113A" w:rsidRPr="0043311D">
        <w:rPr>
          <w:rFonts w:ascii="Garamond" w:hAnsi="Garamond" w:cs="Arial"/>
        </w:rPr>
        <w:t xml:space="preserve">o </w:t>
      </w:r>
      <w:r w:rsidR="005C051C" w:rsidRPr="0043311D">
        <w:rPr>
          <w:rFonts w:ascii="Garamond" w:hAnsi="Garamond" w:cs="Arial"/>
        </w:rPr>
        <w:t>femicídio</w:t>
      </w:r>
      <w:r w:rsidR="00CA39B2" w:rsidRPr="0043311D">
        <w:rPr>
          <w:rFonts w:ascii="Garamond" w:hAnsi="Garamond" w:cs="Arial"/>
        </w:rPr>
        <w:t xml:space="preserve"> n</w:t>
      </w:r>
      <w:r w:rsidR="0091113A" w:rsidRPr="0043311D">
        <w:rPr>
          <w:rFonts w:ascii="Garamond" w:hAnsi="Garamond" w:cs="Arial"/>
        </w:rPr>
        <w:t>ão íntimo, para o</w:t>
      </w:r>
      <w:r w:rsidR="00CA39B2" w:rsidRPr="0043311D">
        <w:rPr>
          <w:rFonts w:ascii="Garamond" w:hAnsi="Garamond" w:cs="Arial"/>
        </w:rPr>
        <w:t xml:space="preserve"> </w:t>
      </w:r>
      <w:r w:rsidR="00524936" w:rsidRPr="0043311D">
        <w:rPr>
          <w:rFonts w:ascii="Garamond" w:hAnsi="Garamond" w:cs="Arial"/>
        </w:rPr>
        <w:t>homem</w:t>
      </w:r>
      <w:r w:rsidR="00CA39B2" w:rsidRPr="0043311D">
        <w:rPr>
          <w:rFonts w:ascii="Garamond" w:hAnsi="Garamond" w:cs="Arial"/>
        </w:rPr>
        <w:t xml:space="preserve"> que </w:t>
      </w:r>
      <w:r w:rsidR="0091113A" w:rsidRPr="0043311D">
        <w:rPr>
          <w:rFonts w:ascii="Garamond" w:hAnsi="Garamond" w:cs="Arial"/>
        </w:rPr>
        <w:t xml:space="preserve">provoque a </w:t>
      </w:r>
      <w:r w:rsidR="007C63D0" w:rsidRPr="0043311D">
        <w:rPr>
          <w:rFonts w:ascii="Garamond" w:hAnsi="Garamond" w:cs="Arial"/>
        </w:rPr>
        <w:t>morte</w:t>
      </w:r>
      <w:r w:rsidR="0091113A" w:rsidRPr="0043311D">
        <w:rPr>
          <w:rFonts w:ascii="Garamond" w:hAnsi="Garamond" w:cs="Arial"/>
        </w:rPr>
        <w:t xml:space="preserve"> a um</w:t>
      </w:r>
      <w:r w:rsidR="00CA39B2" w:rsidRPr="0043311D">
        <w:rPr>
          <w:rFonts w:ascii="Garamond" w:hAnsi="Garamond" w:cs="Arial"/>
        </w:rPr>
        <w:t xml:space="preserve">a </w:t>
      </w:r>
      <w:r w:rsidR="00AF192F" w:rsidRPr="0043311D">
        <w:rPr>
          <w:rFonts w:ascii="Garamond" w:hAnsi="Garamond" w:cs="Arial"/>
        </w:rPr>
        <w:t>mulher</w:t>
      </w:r>
      <w:r w:rsidR="00CA39B2" w:rsidRPr="0043311D">
        <w:rPr>
          <w:rFonts w:ascii="Garamond" w:hAnsi="Garamond" w:cs="Arial"/>
        </w:rPr>
        <w:t>, aprove</w:t>
      </w:r>
      <w:r w:rsidR="0091113A" w:rsidRPr="0043311D">
        <w:rPr>
          <w:rFonts w:ascii="Garamond" w:hAnsi="Garamond" w:cs="Arial"/>
        </w:rPr>
        <w:t>itando-se de um</w:t>
      </w:r>
      <w:r w:rsidR="00CA39B2" w:rsidRPr="0043311D">
        <w:rPr>
          <w:rFonts w:ascii="Garamond" w:hAnsi="Garamond" w:cs="Arial"/>
        </w:rPr>
        <w:t xml:space="preserve">a </w:t>
      </w:r>
      <w:r w:rsidR="00152A44" w:rsidRPr="0043311D">
        <w:rPr>
          <w:rFonts w:ascii="Garamond" w:hAnsi="Garamond" w:cs="Arial"/>
        </w:rPr>
        <w:t>relação</w:t>
      </w:r>
      <w:r w:rsidR="00CA39B2" w:rsidRPr="0043311D">
        <w:rPr>
          <w:rFonts w:ascii="Garamond" w:hAnsi="Garamond" w:cs="Arial"/>
        </w:rPr>
        <w:t xml:space="preserve"> laboral, académica, </w:t>
      </w:r>
      <w:r w:rsidR="00C553E2" w:rsidRPr="0043311D">
        <w:rPr>
          <w:rFonts w:ascii="Garamond" w:hAnsi="Garamond" w:cs="Arial"/>
        </w:rPr>
        <w:t>profissional</w:t>
      </w:r>
      <w:r w:rsidR="00CA39B2" w:rsidRPr="0043311D">
        <w:rPr>
          <w:rFonts w:ascii="Garamond" w:hAnsi="Garamond" w:cs="Arial"/>
        </w:rPr>
        <w:t xml:space="preserve"> o</w:t>
      </w:r>
      <w:r w:rsidR="0091113A" w:rsidRPr="0043311D">
        <w:rPr>
          <w:rFonts w:ascii="Garamond" w:hAnsi="Garamond" w:cs="Arial"/>
        </w:rPr>
        <w:t xml:space="preserve">u </w:t>
      </w:r>
      <w:r w:rsidR="007342D9" w:rsidRPr="0043311D">
        <w:rPr>
          <w:rFonts w:ascii="Garamond" w:hAnsi="Garamond" w:cs="Arial"/>
        </w:rPr>
        <w:t>qualquer</w:t>
      </w:r>
      <w:r w:rsidR="00CA39B2" w:rsidRPr="0043311D">
        <w:rPr>
          <w:rFonts w:ascii="Garamond" w:hAnsi="Garamond" w:cs="Arial"/>
        </w:rPr>
        <w:t xml:space="preserve"> </w:t>
      </w:r>
      <w:r w:rsidR="002B6C5B" w:rsidRPr="0043311D">
        <w:rPr>
          <w:rFonts w:ascii="Garamond" w:hAnsi="Garamond" w:cs="Arial"/>
        </w:rPr>
        <w:t>outra</w:t>
      </w:r>
      <w:r w:rsidR="0091113A" w:rsidRPr="0043311D">
        <w:rPr>
          <w:rFonts w:ascii="Garamond" w:hAnsi="Garamond" w:cs="Arial"/>
        </w:rPr>
        <w:t xml:space="preserve"> que implique confianç</w:t>
      </w:r>
      <w:r w:rsidR="00CA39B2" w:rsidRPr="0043311D">
        <w:rPr>
          <w:rFonts w:ascii="Garamond" w:hAnsi="Garamond" w:cs="Arial"/>
        </w:rPr>
        <w:t>a</w:t>
      </w:r>
      <w:r w:rsidR="00F90623" w:rsidRPr="0043311D">
        <w:rPr>
          <w:rFonts w:ascii="Garamond" w:hAnsi="Garamond" w:cs="Arial"/>
        </w:rPr>
        <w:t>,</w:t>
      </w:r>
      <w:r w:rsidR="00CA39B2" w:rsidRPr="0043311D">
        <w:rPr>
          <w:rFonts w:ascii="Garamond" w:hAnsi="Garamond" w:cs="Arial"/>
        </w:rPr>
        <w:t xml:space="preserve"> </w:t>
      </w:r>
      <w:r w:rsidR="0091113A" w:rsidRPr="0043311D">
        <w:rPr>
          <w:rFonts w:ascii="Garamond" w:hAnsi="Garamond" w:cs="Arial"/>
        </w:rPr>
        <w:t>subordinação</w:t>
      </w:r>
      <w:r w:rsidR="00CA39B2" w:rsidRPr="0043311D">
        <w:rPr>
          <w:rFonts w:ascii="Garamond" w:hAnsi="Garamond" w:cs="Arial"/>
        </w:rPr>
        <w:t xml:space="preserve"> o</w:t>
      </w:r>
      <w:r w:rsidR="0091113A" w:rsidRPr="0043311D">
        <w:rPr>
          <w:rFonts w:ascii="Garamond" w:hAnsi="Garamond" w:cs="Arial"/>
        </w:rPr>
        <w:t>u</w:t>
      </w:r>
      <w:r w:rsidR="00CA39B2" w:rsidRPr="0043311D">
        <w:rPr>
          <w:rFonts w:ascii="Garamond" w:hAnsi="Garamond" w:cs="Arial"/>
        </w:rPr>
        <w:t xml:space="preserve"> </w:t>
      </w:r>
      <w:r w:rsidR="0091113A" w:rsidRPr="0043311D">
        <w:rPr>
          <w:rFonts w:ascii="Garamond" w:hAnsi="Garamond" w:cs="Arial"/>
        </w:rPr>
        <w:t>superioridade</w:t>
      </w:r>
      <w:r w:rsidR="00CA39B2" w:rsidRPr="0043311D">
        <w:rPr>
          <w:rFonts w:ascii="Garamond" w:hAnsi="Garamond" w:cs="Arial"/>
        </w:rPr>
        <w:t xml:space="preserve">, </w:t>
      </w:r>
      <w:r w:rsidR="0091113A" w:rsidRPr="0043311D">
        <w:rPr>
          <w:rFonts w:ascii="Garamond" w:hAnsi="Garamond" w:cs="Arial"/>
        </w:rPr>
        <w:t xml:space="preserve">com desprezo pelo </w:t>
      </w:r>
      <w:r w:rsidR="00D1487B" w:rsidRPr="0043311D">
        <w:rPr>
          <w:rFonts w:ascii="Garamond" w:hAnsi="Garamond" w:cs="Arial"/>
        </w:rPr>
        <w:t>corpo</w:t>
      </w:r>
      <w:r w:rsidR="0091113A" w:rsidRPr="0043311D">
        <w:rPr>
          <w:rFonts w:ascii="Garamond" w:hAnsi="Garamond" w:cs="Arial"/>
        </w:rPr>
        <w:t xml:space="preserve"> d</w:t>
      </w:r>
      <w:r w:rsidR="00CA39B2" w:rsidRPr="0043311D">
        <w:rPr>
          <w:rFonts w:ascii="Garamond" w:hAnsi="Garamond" w:cs="Arial"/>
        </w:rPr>
        <w:t xml:space="preserve">a </w:t>
      </w:r>
      <w:r w:rsidR="003F012B" w:rsidRPr="0043311D">
        <w:rPr>
          <w:rFonts w:ascii="Garamond" w:hAnsi="Garamond" w:cs="Arial"/>
        </w:rPr>
        <w:t>vítima</w:t>
      </w:r>
      <w:r w:rsidR="0091113A" w:rsidRPr="0043311D">
        <w:rPr>
          <w:rFonts w:ascii="Garamond" w:hAnsi="Garamond" w:cs="Arial"/>
        </w:rPr>
        <w:t xml:space="preserve"> para </w:t>
      </w:r>
      <w:r w:rsidR="00CA39B2" w:rsidRPr="0043311D">
        <w:rPr>
          <w:rFonts w:ascii="Garamond" w:hAnsi="Garamond" w:cs="Arial"/>
        </w:rPr>
        <w:t>a satisf</w:t>
      </w:r>
      <w:r w:rsidR="00077461" w:rsidRPr="0043311D">
        <w:rPr>
          <w:rFonts w:ascii="Garamond" w:hAnsi="Garamond" w:cs="Arial"/>
        </w:rPr>
        <w:t>ação</w:t>
      </w:r>
      <w:r w:rsidR="00CA39B2" w:rsidRPr="0043311D">
        <w:rPr>
          <w:rFonts w:ascii="Garamond" w:hAnsi="Garamond" w:cs="Arial"/>
        </w:rPr>
        <w:t xml:space="preserve"> d</w:t>
      </w:r>
      <w:r w:rsidR="0091113A" w:rsidRPr="0043311D">
        <w:rPr>
          <w:rFonts w:ascii="Garamond" w:hAnsi="Garamond" w:cs="Arial"/>
        </w:rPr>
        <w:t xml:space="preserve">os seus </w:t>
      </w:r>
      <w:r w:rsidR="00CA39B2" w:rsidRPr="0043311D">
        <w:rPr>
          <w:rFonts w:ascii="Garamond" w:hAnsi="Garamond" w:cs="Arial"/>
        </w:rPr>
        <w:t xml:space="preserve">instintos </w:t>
      </w:r>
      <w:r w:rsidR="0091113A" w:rsidRPr="0043311D">
        <w:rPr>
          <w:rFonts w:ascii="Garamond" w:hAnsi="Garamond" w:cs="Arial"/>
        </w:rPr>
        <w:t>sexuais</w:t>
      </w:r>
      <w:r w:rsidR="00CA39B2" w:rsidRPr="0043311D">
        <w:rPr>
          <w:rFonts w:ascii="Garamond" w:hAnsi="Garamond" w:cs="Arial"/>
        </w:rPr>
        <w:t xml:space="preserve">. </w:t>
      </w:r>
      <w:r w:rsidR="0091113A" w:rsidRPr="0043311D">
        <w:rPr>
          <w:rFonts w:ascii="Garamond" w:hAnsi="Garamond" w:cs="Arial"/>
        </w:rPr>
        <w:t xml:space="preserve">Neste caso </w:t>
      </w:r>
      <w:r w:rsidR="00CA39B2" w:rsidRPr="0043311D">
        <w:rPr>
          <w:rFonts w:ascii="Garamond" w:hAnsi="Garamond" w:cs="Arial"/>
        </w:rPr>
        <w:t xml:space="preserve">a pena </w:t>
      </w:r>
      <w:r w:rsidR="00201889" w:rsidRPr="0043311D">
        <w:rPr>
          <w:rFonts w:ascii="Garamond" w:hAnsi="Garamond" w:cs="Arial"/>
        </w:rPr>
        <w:t>proposta</w:t>
      </w:r>
      <w:r w:rsidR="00CA39B2" w:rsidRPr="0043311D">
        <w:rPr>
          <w:rFonts w:ascii="Garamond" w:hAnsi="Garamond" w:cs="Arial"/>
        </w:rPr>
        <w:t xml:space="preserve"> </w:t>
      </w:r>
      <w:r w:rsidR="0091113A" w:rsidRPr="0043311D">
        <w:rPr>
          <w:rFonts w:ascii="Garamond" w:hAnsi="Garamond" w:cs="Arial"/>
        </w:rPr>
        <w:t xml:space="preserve">é </w:t>
      </w:r>
      <w:r w:rsidR="00CA39B2" w:rsidRPr="0043311D">
        <w:rPr>
          <w:rFonts w:ascii="Garamond" w:hAnsi="Garamond" w:cs="Arial"/>
        </w:rPr>
        <w:t xml:space="preserve">de 15 a 20 </w:t>
      </w:r>
      <w:r w:rsidR="002C7510" w:rsidRPr="0043311D">
        <w:rPr>
          <w:rFonts w:ascii="Garamond" w:hAnsi="Garamond" w:cs="Arial"/>
        </w:rPr>
        <w:t>ano</w:t>
      </w:r>
      <w:r w:rsidR="00CA39B2" w:rsidRPr="0043311D">
        <w:rPr>
          <w:rFonts w:ascii="Garamond" w:hAnsi="Garamond" w:cs="Arial"/>
        </w:rPr>
        <w:t xml:space="preserve">s de </w:t>
      </w:r>
      <w:r w:rsidR="007A2492" w:rsidRPr="0043311D">
        <w:rPr>
          <w:rFonts w:ascii="Garamond" w:hAnsi="Garamond" w:cs="Arial"/>
        </w:rPr>
        <w:t>prisão</w:t>
      </w:r>
      <w:r>
        <w:rPr>
          <w:rFonts w:ascii="Garamond" w:hAnsi="Garamond" w:cs="Arial"/>
        </w:rPr>
        <w:t>»</w:t>
      </w:r>
      <w:r w:rsidR="00F90623" w:rsidRPr="0043311D">
        <w:rPr>
          <w:rFonts w:ascii="Garamond" w:hAnsi="Garamond" w:cs="Arial"/>
        </w:rPr>
        <w:t>.</w:t>
      </w:r>
      <w:r w:rsidR="00CA39B2" w:rsidRPr="0043311D">
        <w:rPr>
          <w:rStyle w:val="Refdenotaalpie"/>
          <w:rFonts w:ascii="Garamond" w:hAnsi="Garamond" w:cs="Arial"/>
          <w:lang w:val="es-ES_tradnl"/>
        </w:rPr>
        <w:footnoteReference w:id="95"/>
      </w:r>
    </w:p>
    <w:p w:rsidR="00CA39B2" w:rsidRPr="003A1174" w:rsidRDefault="0091113A" w:rsidP="008719D4">
      <w:pPr>
        <w:spacing w:before="240" w:after="120" w:line="240" w:lineRule="auto"/>
        <w:jc w:val="both"/>
        <w:rPr>
          <w:rFonts w:ascii="Garamond" w:hAnsi="Garamond" w:cs="Arial"/>
          <w:sz w:val="24"/>
          <w:szCs w:val="24"/>
        </w:rPr>
      </w:pPr>
      <w:r w:rsidRPr="003A1174">
        <w:rPr>
          <w:rFonts w:ascii="Garamond" w:hAnsi="Garamond" w:cs="Arial"/>
          <w:sz w:val="24"/>
          <w:szCs w:val="24"/>
        </w:rPr>
        <w:t xml:space="preserve">A </w:t>
      </w:r>
      <w:r w:rsidR="00CA39B2" w:rsidRPr="003A1174">
        <w:rPr>
          <w:rFonts w:ascii="Garamond" w:hAnsi="Garamond" w:cs="Arial"/>
          <w:sz w:val="24"/>
          <w:szCs w:val="24"/>
        </w:rPr>
        <w:t xml:space="preserve">iniciativa </w:t>
      </w:r>
      <w:r w:rsidR="00462B11" w:rsidRPr="003A1174">
        <w:rPr>
          <w:rFonts w:ascii="Garamond" w:hAnsi="Garamond" w:cs="Arial"/>
          <w:sz w:val="24"/>
          <w:szCs w:val="24"/>
        </w:rPr>
        <w:t>foi</w:t>
      </w:r>
      <w:r w:rsidR="00CA39B2" w:rsidRPr="003A1174">
        <w:rPr>
          <w:rFonts w:ascii="Garamond" w:hAnsi="Garamond" w:cs="Arial"/>
          <w:sz w:val="24"/>
          <w:szCs w:val="24"/>
        </w:rPr>
        <w:t xml:space="preserve"> </w:t>
      </w:r>
      <w:r w:rsidR="00CD707D" w:rsidRPr="003A1174">
        <w:rPr>
          <w:rFonts w:ascii="Garamond" w:hAnsi="Garamond" w:cs="Arial"/>
          <w:sz w:val="24"/>
          <w:szCs w:val="24"/>
        </w:rPr>
        <w:t>aprovad</w:t>
      </w:r>
      <w:r w:rsidR="00CA39B2" w:rsidRPr="003A1174">
        <w:rPr>
          <w:rFonts w:ascii="Garamond" w:hAnsi="Garamond" w:cs="Arial"/>
          <w:sz w:val="24"/>
          <w:szCs w:val="24"/>
        </w:rPr>
        <w:t>a</w:t>
      </w:r>
      <w:r w:rsidR="0043311D">
        <w:rPr>
          <w:rFonts w:ascii="Garamond" w:hAnsi="Garamond" w:cs="Arial"/>
          <w:sz w:val="24"/>
          <w:szCs w:val="24"/>
        </w:rPr>
        <w:t>,</w:t>
      </w:r>
      <w:r w:rsidR="00CA39B2" w:rsidRPr="003A1174">
        <w:rPr>
          <w:rFonts w:ascii="Garamond" w:hAnsi="Garamond" w:cs="Arial"/>
          <w:sz w:val="24"/>
          <w:szCs w:val="24"/>
        </w:rPr>
        <w:t xml:space="preserve"> </w:t>
      </w:r>
      <w:r w:rsidR="001B28EC" w:rsidRPr="003A1174">
        <w:rPr>
          <w:rFonts w:ascii="Garamond" w:hAnsi="Garamond" w:cs="Arial"/>
          <w:sz w:val="24"/>
          <w:szCs w:val="24"/>
        </w:rPr>
        <w:t xml:space="preserve">na </w:t>
      </w:r>
      <w:r w:rsidR="004C1496" w:rsidRPr="003A1174">
        <w:rPr>
          <w:rFonts w:ascii="Garamond" w:hAnsi="Garamond" w:cs="Arial"/>
          <w:sz w:val="24"/>
          <w:szCs w:val="24"/>
        </w:rPr>
        <w:t>primeira</w:t>
      </w:r>
      <w:r w:rsidR="00CA39B2" w:rsidRPr="003A1174">
        <w:rPr>
          <w:rFonts w:ascii="Garamond" w:hAnsi="Garamond" w:cs="Arial"/>
          <w:sz w:val="24"/>
          <w:szCs w:val="24"/>
        </w:rPr>
        <w:t xml:space="preserve"> </w:t>
      </w:r>
      <w:r w:rsidR="00BE4EB8" w:rsidRPr="003A1174">
        <w:rPr>
          <w:rFonts w:ascii="Garamond" w:hAnsi="Garamond" w:cs="Arial"/>
          <w:sz w:val="24"/>
          <w:szCs w:val="24"/>
        </w:rPr>
        <w:t>discussão</w:t>
      </w:r>
      <w:r w:rsidR="0043311D">
        <w:rPr>
          <w:rFonts w:ascii="Garamond" w:hAnsi="Garamond" w:cs="Arial"/>
          <w:sz w:val="24"/>
          <w:szCs w:val="24"/>
        </w:rPr>
        <w:t>,</w:t>
      </w:r>
      <w:r w:rsidR="00CA39B2" w:rsidRPr="003A1174">
        <w:rPr>
          <w:rFonts w:ascii="Garamond" w:hAnsi="Garamond" w:cs="Arial"/>
          <w:sz w:val="24"/>
          <w:szCs w:val="24"/>
        </w:rPr>
        <w:t xml:space="preserve"> por </w:t>
      </w:r>
      <w:r w:rsidR="001B28EC" w:rsidRPr="003A1174">
        <w:rPr>
          <w:rFonts w:ascii="Garamond" w:hAnsi="Garamond" w:cs="Arial"/>
          <w:sz w:val="24"/>
          <w:szCs w:val="24"/>
        </w:rPr>
        <w:t>unanimidade</w:t>
      </w:r>
      <w:r w:rsidR="0043311D">
        <w:rPr>
          <w:rFonts w:ascii="Garamond" w:hAnsi="Garamond" w:cs="Arial"/>
          <w:sz w:val="24"/>
          <w:szCs w:val="24"/>
        </w:rPr>
        <w:t>,</w:t>
      </w:r>
      <w:r w:rsidR="00CA39B2" w:rsidRPr="003A1174">
        <w:rPr>
          <w:rFonts w:ascii="Garamond" w:hAnsi="Garamond" w:cs="Arial"/>
          <w:sz w:val="24"/>
          <w:szCs w:val="24"/>
        </w:rPr>
        <w:t xml:space="preserve"> </w:t>
      </w:r>
      <w:r w:rsidR="001B28EC" w:rsidRPr="003A1174">
        <w:rPr>
          <w:rFonts w:ascii="Garamond" w:hAnsi="Garamond" w:cs="Arial"/>
          <w:sz w:val="24"/>
          <w:szCs w:val="24"/>
        </w:rPr>
        <w:t>n</w:t>
      </w:r>
      <w:r w:rsidR="00CA39B2" w:rsidRPr="003A1174">
        <w:rPr>
          <w:rFonts w:ascii="Garamond" w:hAnsi="Garamond" w:cs="Arial"/>
          <w:sz w:val="24"/>
          <w:szCs w:val="24"/>
        </w:rPr>
        <w:t xml:space="preserve">a </w:t>
      </w:r>
      <w:r w:rsidR="00FC1F7F" w:rsidRPr="003A1174">
        <w:rPr>
          <w:rFonts w:ascii="Garamond" w:hAnsi="Garamond" w:cs="Arial"/>
          <w:sz w:val="24"/>
          <w:szCs w:val="24"/>
        </w:rPr>
        <w:t>Comissão</w:t>
      </w:r>
      <w:r w:rsidR="00CA39B2" w:rsidRPr="003A1174">
        <w:rPr>
          <w:rFonts w:ascii="Garamond" w:hAnsi="Garamond" w:cs="Arial"/>
          <w:sz w:val="24"/>
          <w:szCs w:val="24"/>
        </w:rPr>
        <w:t xml:space="preserve"> de </w:t>
      </w:r>
      <w:r w:rsidR="009B133A" w:rsidRPr="003A1174">
        <w:rPr>
          <w:rFonts w:ascii="Garamond" w:hAnsi="Garamond" w:cs="Arial"/>
          <w:sz w:val="24"/>
          <w:szCs w:val="24"/>
        </w:rPr>
        <w:t>Desenvolvimento</w:t>
      </w:r>
      <w:r w:rsidR="001B28EC" w:rsidRPr="003A1174">
        <w:rPr>
          <w:rFonts w:ascii="Garamond" w:hAnsi="Garamond" w:cs="Arial"/>
          <w:sz w:val="24"/>
          <w:szCs w:val="24"/>
        </w:rPr>
        <w:t xml:space="preserve"> Social Integral d</w:t>
      </w:r>
      <w:r w:rsidR="00CA39B2" w:rsidRPr="003A1174">
        <w:rPr>
          <w:rFonts w:ascii="Garamond" w:hAnsi="Garamond" w:cs="Arial"/>
          <w:sz w:val="24"/>
          <w:szCs w:val="24"/>
        </w:rPr>
        <w:t xml:space="preserve">a </w:t>
      </w:r>
      <w:r w:rsidR="00C30647" w:rsidRPr="003A1174">
        <w:rPr>
          <w:rFonts w:ascii="Garamond" w:hAnsi="Garamond" w:cs="Arial"/>
          <w:sz w:val="24"/>
          <w:szCs w:val="24"/>
        </w:rPr>
        <w:t>Assembleia</w:t>
      </w:r>
      <w:r w:rsidR="00CA39B2" w:rsidRPr="003A1174">
        <w:rPr>
          <w:rFonts w:ascii="Garamond" w:hAnsi="Garamond" w:cs="Arial"/>
          <w:sz w:val="24"/>
          <w:szCs w:val="24"/>
        </w:rPr>
        <w:t xml:space="preserve"> Nacional</w:t>
      </w:r>
      <w:r w:rsidR="00F90623" w:rsidRPr="003A1174">
        <w:rPr>
          <w:rFonts w:ascii="Garamond" w:hAnsi="Garamond" w:cs="Arial"/>
          <w:sz w:val="24"/>
          <w:szCs w:val="24"/>
        </w:rPr>
        <w:t>;</w:t>
      </w:r>
      <w:r w:rsidR="00CA39B2" w:rsidRPr="003A1174">
        <w:rPr>
          <w:rFonts w:ascii="Garamond" w:hAnsi="Garamond" w:cs="Arial"/>
          <w:sz w:val="24"/>
          <w:szCs w:val="24"/>
        </w:rPr>
        <w:t xml:space="preserve"> t</w:t>
      </w:r>
      <w:r w:rsidR="001B28EC" w:rsidRPr="003A1174">
        <w:rPr>
          <w:rFonts w:ascii="Garamond" w:hAnsi="Garamond" w:cs="Arial"/>
          <w:sz w:val="24"/>
          <w:szCs w:val="24"/>
        </w:rPr>
        <w:t>eve um</w:t>
      </w:r>
      <w:r w:rsidR="00CA39B2" w:rsidRPr="003A1174">
        <w:rPr>
          <w:rFonts w:ascii="Garamond" w:hAnsi="Garamond" w:cs="Arial"/>
          <w:sz w:val="24"/>
          <w:szCs w:val="24"/>
        </w:rPr>
        <w:t>a fase de consulta pública co</w:t>
      </w:r>
      <w:r w:rsidR="001B28EC" w:rsidRPr="003A1174">
        <w:rPr>
          <w:rFonts w:ascii="Garamond" w:hAnsi="Garamond" w:cs="Arial"/>
          <w:sz w:val="24"/>
          <w:szCs w:val="24"/>
        </w:rPr>
        <w:t xml:space="preserve">m o </w:t>
      </w:r>
      <w:r w:rsidR="00CA39B2" w:rsidRPr="003A1174">
        <w:rPr>
          <w:rFonts w:ascii="Garamond" w:hAnsi="Garamond" w:cs="Arial"/>
          <w:sz w:val="24"/>
          <w:szCs w:val="24"/>
        </w:rPr>
        <w:t xml:space="preserve">aval </w:t>
      </w:r>
      <w:r w:rsidR="00497503" w:rsidRPr="003A1174">
        <w:rPr>
          <w:rFonts w:ascii="Garamond" w:hAnsi="Garamond" w:cs="Arial"/>
          <w:sz w:val="24"/>
          <w:szCs w:val="24"/>
        </w:rPr>
        <w:t>e</w:t>
      </w:r>
      <w:r w:rsidR="00381336" w:rsidRPr="003A1174">
        <w:rPr>
          <w:rFonts w:ascii="Garamond" w:hAnsi="Garamond" w:cs="Arial"/>
          <w:sz w:val="24"/>
          <w:szCs w:val="24"/>
        </w:rPr>
        <w:t xml:space="preserve"> consenso de todas as</w:t>
      </w:r>
      <w:r w:rsidR="00CA39B2" w:rsidRPr="003A1174">
        <w:rPr>
          <w:rFonts w:ascii="Garamond" w:hAnsi="Garamond" w:cs="Arial"/>
          <w:sz w:val="24"/>
          <w:szCs w:val="24"/>
        </w:rPr>
        <w:t xml:space="preserve"> ent</w:t>
      </w:r>
      <w:r w:rsidR="00381336" w:rsidRPr="003A1174">
        <w:rPr>
          <w:rFonts w:ascii="Garamond" w:hAnsi="Garamond" w:cs="Arial"/>
          <w:sz w:val="24"/>
          <w:szCs w:val="24"/>
        </w:rPr>
        <w:t>idade</w:t>
      </w:r>
      <w:r w:rsidR="00CA39B2" w:rsidRPr="003A1174">
        <w:rPr>
          <w:rFonts w:ascii="Garamond" w:hAnsi="Garamond" w:cs="Arial"/>
          <w:sz w:val="24"/>
          <w:szCs w:val="24"/>
        </w:rPr>
        <w:t xml:space="preserve">s competentes </w:t>
      </w:r>
      <w:r w:rsidR="00381336" w:rsidRPr="003A1174">
        <w:rPr>
          <w:rFonts w:ascii="Garamond" w:hAnsi="Garamond" w:cs="Arial"/>
          <w:sz w:val="24"/>
          <w:szCs w:val="24"/>
        </w:rPr>
        <w:t>n</w:t>
      </w:r>
      <w:r w:rsidR="00CA39B2" w:rsidRPr="003A1174">
        <w:rPr>
          <w:rFonts w:ascii="Garamond" w:hAnsi="Garamond" w:cs="Arial"/>
          <w:sz w:val="24"/>
          <w:szCs w:val="24"/>
        </w:rPr>
        <w:t xml:space="preserve">a </w:t>
      </w:r>
      <w:r w:rsidR="00EF645F" w:rsidRPr="003A1174">
        <w:rPr>
          <w:rFonts w:ascii="Garamond" w:hAnsi="Garamond" w:cs="Arial"/>
          <w:sz w:val="24"/>
          <w:szCs w:val="24"/>
        </w:rPr>
        <w:t>matéria</w:t>
      </w:r>
      <w:r w:rsidR="00CA39B2" w:rsidRPr="003A1174">
        <w:rPr>
          <w:rFonts w:ascii="Garamond" w:hAnsi="Garamond" w:cs="Arial"/>
          <w:sz w:val="24"/>
          <w:szCs w:val="24"/>
        </w:rPr>
        <w:t>:</w:t>
      </w:r>
      <w:r w:rsidR="00F90623" w:rsidRPr="003A1174">
        <w:rPr>
          <w:rFonts w:ascii="Garamond" w:hAnsi="Garamond" w:cs="Arial"/>
          <w:sz w:val="24"/>
          <w:szCs w:val="24"/>
        </w:rPr>
        <w:t xml:space="preserve"> </w:t>
      </w:r>
      <w:r w:rsidR="00381336"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w:t>
      </w:r>
      <w:r w:rsidR="008A3DA2" w:rsidRPr="003A1174">
        <w:rPr>
          <w:rFonts w:ascii="Garamond" w:hAnsi="Garamond" w:cs="Arial"/>
          <w:sz w:val="24"/>
          <w:szCs w:val="24"/>
        </w:rPr>
        <w:t>do</w:t>
      </w:r>
      <w:r w:rsidR="00381336" w:rsidRPr="003A1174">
        <w:rPr>
          <w:rFonts w:ascii="Garamond" w:hAnsi="Garamond" w:cs="Arial"/>
          <w:sz w:val="24"/>
          <w:szCs w:val="24"/>
        </w:rPr>
        <w:t xml:space="preserve"> Poder Popular para </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381336" w:rsidRPr="003A1174">
        <w:rPr>
          <w:rFonts w:ascii="Garamond" w:hAnsi="Garamond" w:cs="Arial"/>
          <w:sz w:val="24"/>
          <w:szCs w:val="24"/>
        </w:rPr>
        <w:t xml:space="preserve"> </w:t>
      </w:r>
      <w:r w:rsidR="00CA39B2" w:rsidRPr="003A1174">
        <w:rPr>
          <w:rFonts w:ascii="Garamond" w:hAnsi="Garamond" w:cs="Arial"/>
          <w:sz w:val="24"/>
          <w:szCs w:val="24"/>
        </w:rPr>
        <w:t xml:space="preserve">a </w:t>
      </w:r>
      <w:r w:rsidR="002C7510" w:rsidRPr="003A1174">
        <w:rPr>
          <w:rFonts w:ascii="Garamond" w:hAnsi="Garamond" w:cs="Arial"/>
          <w:sz w:val="24"/>
          <w:szCs w:val="24"/>
        </w:rPr>
        <w:t>Igualdade</w:t>
      </w:r>
      <w:r w:rsidR="00CA39B2" w:rsidRPr="003A1174">
        <w:rPr>
          <w:rFonts w:ascii="Garamond" w:hAnsi="Garamond" w:cs="Arial"/>
          <w:sz w:val="24"/>
          <w:szCs w:val="24"/>
        </w:rPr>
        <w:t xml:space="preserve"> de Género,</w:t>
      </w:r>
      <w:r w:rsidR="00F90623" w:rsidRPr="003A1174">
        <w:rPr>
          <w:rFonts w:ascii="Garamond" w:hAnsi="Garamond" w:cs="Arial"/>
          <w:sz w:val="24"/>
          <w:szCs w:val="24"/>
        </w:rPr>
        <w:t xml:space="preserve"> </w:t>
      </w:r>
      <w:r w:rsidR="00CA39B2" w:rsidRPr="003A1174">
        <w:rPr>
          <w:rFonts w:ascii="Garamond" w:hAnsi="Garamond" w:cs="Arial"/>
          <w:sz w:val="24"/>
          <w:szCs w:val="24"/>
        </w:rPr>
        <w:t xml:space="preserve">a </w:t>
      </w:r>
      <w:r w:rsidR="00FC1F7F" w:rsidRPr="003A1174">
        <w:rPr>
          <w:rFonts w:ascii="Garamond" w:hAnsi="Garamond" w:cs="Arial"/>
          <w:sz w:val="24"/>
          <w:szCs w:val="24"/>
        </w:rPr>
        <w:t>Comissão</w:t>
      </w:r>
      <w:r w:rsidR="00CA39B2" w:rsidRPr="003A1174">
        <w:rPr>
          <w:rFonts w:ascii="Garamond" w:hAnsi="Garamond" w:cs="Arial"/>
          <w:sz w:val="24"/>
          <w:szCs w:val="24"/>
        </w:rPr>
        <w:t xml:space="preserve"> Nacional de </w:t>
      </w:r>
      <w:r w:rsidR="00FC1F7F" w:rsidRPr="003A1174">
        <w:rPr>
          <w:rFonts w:ascii="Garamond" w:hAnsi="Garamond" w:cs="Arial"/>
          <w:sz w:val="24"/>
          <w:szCs w:val="24"/>
        </w:rPr>
        <w:t>Justiça</w:t>
      </w:r>
      <w:r w:rsidR="00CA39B2" w:rsidRPr="003A1174">
        <w:rPr>
          <w:rFonts w:ascii="Garamond" w:hAnsi="Garamond" w:cs="Arial"/>
          <w:sz w:val="24"/>
          <w:szCs w:val="24"/>
        </w:rPr>
        <w:t xml:space="preserve"> de Género </w:t>
      </w:r>
      <w:r w:rsidR="008A3DA2" w:rsidRPr="003A1174">
        <w:rPr>
          <w:rFonts w:ascii="Garamond" w:hAnsi="Garamond" w:cs="Arial"/>
          <w:sz w:val="24"/>
          <w:szCs w:val="24"/>
        </w:rPr>
        <w:t>do</w:t>
      </w:r>
      <w:r w:rsidR="00381336" w:rsidRPr="003A1174">
        <w:rPr>
          <w:rFonts w:ascii="Garamond" w:hAnsi="Garamond" w:cs="Arial"/>
          <w:sz w:val="24"/>
          <w:szCs w:val="24"/>
        </w:rPr>
        <w:t xml:space="preserve"> </w:t>
      </w:r>
      <w:r w:rsidR="00381336" w:rsidRPr="003A1174">
        <w:rPr>
          <w:rFonts w:ascii="Garamond" w:hAnsi="Garamond" w:cs="Arial"/>
          <w:sz w:val="24"/>
          <w:szCs w:val="24"/>
        </w:rPr>
        <w:lastRenderedPageBreak/>
        <w:t xml:space="preserve">Poder Judicial, </w:t>
      </w:r>
      <w:r w:rsidR="00CA39B2" w:rsidRPr="003A1174">
        <w:rPr>
          <w:rFonts w:ascii="Garamond" w:hAnsi="Garamond" w:cs="Arial"/>
          <w:sz w:val="24"/>
          <w:szCs w:val="24"/>
        </w:rPr>
        <w:t xml:space="preserve">os </w:t>
      </w:r>
      <w:r w:rsidR="00FB09CA" w:rsidRPr="003A1174">
        <w:rPr>
          <w:rFonts w:ascii="Garamond" w:hAnsi="Garamond" w:cs="Arial"/>
          <w:sz w:val="24"/>
          <w:szCs w:val="24"/>
        </w:rPr>
        <w:t>Tribunais</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contra</w:t>
      </w:r>
      <w:r w:rsidR="00381336" w:rsidRPr="003A1174">
        <w:rPr>
          <w:rFonts w:ascii="Garamond" w:hAnsi="Garamond" w:cs="Arial"/>
          <w:sz w:val="24"/>
          <w:szCs w:val="24"/>
        </w:rPr>
        <w:t xml:space="preserve"> </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381336" w:rsidRPr="003A1174">
        <w:rPr>
          <w:rFonts w:ascii="Garamond" w:hAnsi="Garamond" w:cs="Arial"/>
          <w:sz w:val="24"/>
          <w:szCs w:val="24"/>
        </w:rPr>
        <w:t xml:space="preserve">o </w:t>
      </w:r>
      <w:r w:rsidR="00D77C19" w:rsidRPr="003A1174">
        <w:rPr>
          <w:rFonts w:ascii="Garamond" w:hAnsi="Garamond" w:cs="Arial"/>
          <w:sz w:val="24"/>
          <w:szCs w:val="24"/>
        </w:rPr>
        <w:t>Ministério</w:t>
      </w:r>
      <w:r w:rsidR="00381336" w:rsidRPr="003A1174">
        <w:rPr>
          <w:rFonts w:ascii="Garamond" w:hAnsi="Garamond" w:cs="Arial"/>
          <w:sz w:val="24"/>
          <w:szCs w:val="24"/>
        </w:rPr>
        <w:t xml:space="preserve"> Público, </w:t>
      </w:r>
      <w:r w:rsidR="00CA39B2"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381336" w:rsidRPr="003A1174">
        <w:rPr>
          <w:rFonts w:ascii="Garamond" w:hAnsi="Garamond" w:cs="Arial"/>
          <w:sz w:val="24"/>
          <w:szCs w:val="24"/>
        </w:rPr>
        <w:t xml:space="preserve"> </w:t>
      </w:r>
      <w:r w:rsidR="00CA39B2" w:rsidRPr="003A1174">
        <w:rPr>
          <w:rFonts w:ascii="Garamond" w:hAnsi="Garamond" w:cs="Arial"/>
          <w:sz w:val="24"/>
          <w:szCs w:val="24"/>
        </w:rPr>
        <w:t xml:space="preserve">os </w:t>
      </w:r>
      <w:r w:rsidR="003F012B" w:rsidRPr="003A1174">
        <w:rPr>
          <w:rFonts w:ascii="Garamond" w:hAnsi="Garamond" w:cs="Arial"/>
          <w:sz w:val="24"/>
          <w:szCs w:val="24"/>
        </w:rPr>
        <w:t>órgão</w:t>
      </w:r>
      <w:r w:rsidR="00CA39B2" w:rsidRPr="003A1174">
        <w:rPr>
          <w:rFonts w:ascii="Garamond" w:hAnsi="Garamond" w:cs="Arial"/>
          <w:sz w:val="24"/>
          <w:szCs w:val="24"/>
        </w:rPr>
        <w:t xml:space="preserve">s recetores de </w:t>
      </w:r>
      <w:r w:rsidR="008651AF" w:rsidRPr="003A1174">
        <w:rPr>
          <w:rFonts w:ascii="Garamond" w:hAnsi="Garamond" w:cs="Arial"/>
          <w:sz w:val="24"/>
          <w:szCs w:val="24"/>
        </w:rPr>
        <w:t>denúncia</w:t>
      </w:r>
      <w:r w:rsidR="00CA39B2" w:rsidRPr="003A1174">
        <w:rPr>
          <w:rFonts w:ascii="Garamond" w:hAnsi="Garamond" w:cs="Arial"/>
          <w:sz w:val="24"/>
          <w:szCs w:val="24"/>
        </w:rPr>
        <w:t>s, a</w:t>
      </w:r>
      <w:r w:rsidR="00381336" w:rsidRPr="003A1174">
        <w:rPr>
          <w:rFonts w:ascii="Garamond" w:hAnsi="Garamond" w:cs="Arial"/>
          <w:sz w:val="24"/>
          <w:szCs w:val="24"/>
        </w:rPr>
        <w:t>lém das de</w:t>
      </w:r>
      <w:r w:rsidR="00CA39B2" w:rsidRPr="003A1174">
        <w:rPr>
          <w:rFonts w:ascii="Garamond" w:hAnsi="Garamond" w:cs="Arial"/>
          <w:sz w:val="24"/>
          <w:szCs w:val="24"/>
        </w:rPr>
        <w:t xml:space="preserve">putadas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147717" w:rsidRPr="003A1174">
        <w:rPr>
          <w:rFonts w:ascii="Garamond" w:hAnsi="Garamond" w:cs="Arial"/>
          <w:sz w:val="24"/>
          <w:szCs w:val="24"/>
        </w:rPr>
        <w:t>deputado</w:t>
      </w:r>
      <w:r w:rsidR="00CA39B2" w:rsidRPr="003A1174">
        <w:rPr>
          <w:rFonts w:ascii="Garamond" w:hAnsi="Garamond" w:cs="Arial"/>
          <w:sz w:val="24"/>
          <w:szCs w:val="24"/>
        </w:rPr>
        <w:t xml:space="preserve">s </w:t>
      </w:r>
      <w:r w:rsidR="00C30647" w:rsidRPr="003A1174">
        <w:rPr>
          <w:rFonts w:ascii="Garamond" w:hAnsi="Garamond" w:cs="Arial"/>
          <w:sz w:val="24"/>
          <w:szCs w:val="24"/>
        </w:rPr>
        <w:t>membro</w:t>
      </w:r>
      <w:r w:rsidR="00CA39B2" w:rsidRPr="003A1174">
        <w:rPr>
          <w:rFonts w:ascii="Garamond" w:hAnsi="Garamond" w:cs="Arial"/>
          <w:sz w:val="24"/>
          <w:szCs w:val="24"/>
        </w:rPr>
        <w:t xml:space="preserve">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2C7510" w:rsidRPr="003A1174">
        <w:rPr>
          <w:rFonts w:ascii="Garamond" w:hAnsi="Garamond" w:cs="Arial"/>
          <w:sz w:val="24"/>
          <w:szCs w:val="24"/>
        </w:rPr>
        <w:t>Comissões</w:t>
      </w:r>
      <w:r w:rsidR="00CA39B2" w:rsidRPr="003A1174">
        <w:rPr>
          <w:rFonts w:ascii="Garamond" w:hAnsi="Garamond" w:cs="Arial"/>
          <w:sz w:val="24"/>
          <w:szCs w:val="24"/>
        </w:rPr>
        <w:t xml:space="preserve"> Permanentes de </w:t>
      </w:r>
      <w:r w:rsidR="009B133A" w:rsidRPr="003A1174">
        <w:rPr>
          <w:rFonts w:ascii="Garamond" w:hAnsi="Garamond" w:cs="Arial"/>
          <w:sz w:val="24"/>
          <w:szCs w:val="24"/>
        </w:rPr>
        <w:t>Desenvolvimento</w:t>
      </w:r>
      <w:r w:rsidR="00CA39B2" w:rsidRPr="003A1174">
        <w:rPr>
          <w:rFonts w:ascii="Garamond" w:hAnsi="Garamond" w:cs="Arial"/>
          <w:sz w:val="24"/>
          <w:szCs w:val="24"/>
        </w:rPr>
        <w:t xml:space="preserve"> Social Integral </w:t>
      </w:r>
      <w:r w:rsidR="00497503" w:rsidRPr="003A1174">
        <w:rPr>
          <w:rFonts w:ascii="Garamond" w:hAnsi="Garamond" w:cs="Arial"/>
          <w:sz w:val="24"/>
          <w:szCs w:val="24"/>
        </w:rPr>
        <w:t>e</w:t>
      </w:r>
      <w:r w:rsidR="00CA39B2" w:rsidRPr="003A1174">
        <w:rPr>
          <w:rFonts w:ascii="Garamond" w:hAnsi="Garamond" w:cs="Arial"/>
          <w:sz w:val="24"/>
          <w:szCs w:val="24"/>
        </w:rPr>
        <w:t xml:space="preserve"> de </w:t>
      </w:r>
      <w:r w:rsidR="006C7AF1" w:rsidRPr="003A1174">
        <w:rPr>
          <w:rFonts w:ascii="Garamond" w:hAnsi="Garamond" w:cs="Arial"/>
          <w:sz w:val="24"/>
          <w:szCs w:val="24"/>
        </w:rPr>
        <w:t>Família</w:t>
      </w:r>
      <w:r w:rsidR="00CA39B2" w:rsidRPr="003A1174">
        <w:rPr>
          <w:rFonts w:ascii="Garamond" w:hAnsi="Garamond" w:cs="Arial"/>
          <w:sz w:val="24"/>
          <w:szCs w:val="24"/>
        </w:rPr>
        <w:t xml:space="preserve">, </w:t>
      </w:r>
      <w:r w:rsidR="009859FC" w:rsidRPr="003A1174">
        <w:rPr>
          <w:rFonts w:ascii="Garamond" w:hAnsi="Garamond" w:cs="Arial"/>
          <w:sz w:val="24"/>
          <w:szCs w:val="24"/>
        </w:rPr>
        <w:t>parlamentar</w:t>
      </w:r>
      <w:r w:rsidR="00381336" w:rsidRPr="003A1174">
        <w:rPr>
          <w:rFonts w:ascii="Garamond" w:hAnsi="Garamond" w:cs="Arial"/>
          <w:sz w:val="24"/>
          <w:szCs w:val="24"/>
        </w:rPr>
        <w:t>e</w:t>
      </w:r>
      <w:r w:rsidR="00CA39B2" w:rsidRPr="003A1174">
        <w:rPr>
          <w:rFonts w:ascii="Garamond" w:hAnsi="Garamond" w:cs="Arial"/>
          <w:sz w:val="24"/>
          <w:szCs w:val="24"/>
        </w:rPr>
        <w:t xml:space="preserve">s </w:t>
      </w:r>
      <w:r w:rsidR="00497503" w:rsidRPr="003A1174">
        <w:rPr>
          <w:rFonts w:ascii="Garamond" w:hAnsi="Garamond" w:cs="Arial"/>
          <w:sz w:val="24"/>
          <w:szCs w:val="24"/>
        </w:rPr>
        <w:t>e</w:t>
      </w:r>
      <w:r w:rsidR="00CA39B2" w:rsidRPr="003A1174">
        <w:rPr>
          <w:rFonts w:ascii="Garamond" w:hAnsi="Garamond" w:cs="Arial"/>
          <w:sz w:val="24"/>
          <w:szCs w:val="24"/>
        </w:rPr>
        <w:t xml:space="preserve"> legisladoras representantes de 11 </w:t>
      </w:r>
      <w:r w:rsidR="00F90623" w:rsidRPr="003A1174">
        <w:rPr>
          <w:rFonts w:ascii="Garamond" w:hAnsi="Garamond" w:cs="Arial"/>
          <w:sz w:val="24"/>
          <w:szCs w:val="24"/>
        </w:rPr>
        <w:t>E</w:t>
      </w:r>
      <w:r w:rsidR="00CA39B2" w:rsidRPr="003A1174">
        <w:rPr>
          <w:rFonts w:ascii="Garamond" w:hAnsi="Garamond" w:cs="Arial"/>
          <w:sz w:val="24"/>
          <w:szCs w:val="24"/>
        </w:rPr>
        <w:t xml:space="preserve">stados </w:t>
      </w:r>
      <w:r w:rsidR="008A3DA2" w:rsidRPr="003A1174">
        <w:rPr>
          <w:rFonts w:ascii="Garamond" w:hAnsi="Garamond" w:cs="Arial"/>
          <w:sz w:val="24"/>
          <w:szCs w:val="24"/>
        </w:rPr>
        <w:t>do</w:t>
      </w:r>
      <w:r w:rsidR="00CA39B2" w:rsidRPr="003A1174">
        <w:rPr>
          <w:rFonts w:ascii="Garamond" w:hAnsi="Garamond" w:cs="Arial"/>
          <w:sz w:val="24"/>
          <w:szCs w:val="24"/>
        </w:rPr>
        <w:t xml:space="preserve"> país </w:t>
      </w:r>
      <w:r w:rsidR="00497503" w:rsidRPr="003A1174">
        <w:rPr>
          <w:rFonts w:ascii="Garamond" w:hAnsi="Garamond" w:cs="Arial"/>
          <w:sz w:val="24"/>
          <w:szCs w:val="24"/>
        </w:rPr>
        <w:t>e</w:t>
      </w:r>
      <w:r w:rsidR="00CA39B2" w:rsidRPr="003A1174">
        <w:rPr>
          <w:rFonts w:ascii="Garamond" w:hAnsi="Garamond" w:cs="Arial"/>
          <w:sz w:val="24"/>
          <w:szCs w:val="24"/>
        </w:rPr>
        <w:t xml:space="preserve"> co</w:t>
      </w:r>
      <w:r w:rsidR="00381336" w:rsidRPr="003A1174">
        <w:rPr>
          <w:rFonts w:ascii="Garamond" w:hAnsi="Garamond" w:cs="Arial"/>
          <w:sz w:val="24"/>
          <w:szCs w:val="24"/>
        </w:rPr>
        <w:t xml:space="preserve">m pelo </w:t>
      </w:r>
      <w:r w:rsidR="00CA39B2" w:rsidRPr="003A1174">
        <w:rPr>
          <w:rFonts w:ascii="Garamond" w:hAnsi="Garamond" w:cs="Arial"/>
          <w:sz w:val="24"/>
          <w:szCs w:val="24"/>
        </w:rPr>
        <w:t>menos 2500 participantes</w:t>
      </w:r>
      <w:r w:rsidR="00F90623" w:rsidRPr="003A1174">
        <w:rPr>
          <w:rFonts w:ascii="Garamond" w:hAnsi="Garamond" w:cs="Arial"/>
          <w:sz w:val="24"/>
          <w:szCs w:val="24"/>
        </w:rPr>
        <w:t>.</w:t>
      </w:r>
      <w:r w:rsidR="00CA39B2" w:rsidRPr="003A1174">
        <w:rPr>
          <w:rStyle w:val="Refdenotaalpie"/>
          <w:rFonts w:ascii="Garamond" w:eastAsia="Calibri" w:hAnsi="Garamond" w:cs="Arial"/>
          <w:sz w:val="24"/>
          <w:szCs w:val="24"/>
          <w:lang w:val="es-ES_tradnl"/>
        </w:rPr>
        <w:footnoteReference w:id="96"/>
      </w:r>
      <w:r w:rsidR="00CA39B2" w:rsidRPr="003A1174">
        <w:rPr>
          <w:rFonts w:ascii="Garamond" w:hAnsi="Garamond" w:cs="Arial"/>
          <w:sz w:val="24"/>
          <w:szCs w:val="24"/>
        </w:rPr>
        <w:t xml:space="preserve"> </w:t>
      </w:r>
      <w:proofErr w:type="gramStart"/>
      <w:r w:rsidR="00381336" w:rsidRPr="003A1174">
        <w:rPr>
          <w:rFonts w:ascii="Garamond" w:hAnsi="Garamond" w:cs="Arial"/>
          <w:sz w:val="24"/>
          <w:szCs w:val="24"/>
        </w:rPr>
        <w:t>A colaboraç</w:t>
      </w:r>
      <w:r w:rsidR="0043311D">
        <w:rPr>
          <w:rFonts w:ascii="Garamond" w:hAnsi="Garamond" w:cs="Arial"/>
          <w:sz w:val="24"/>
          <w:szCs w:val="24"/>
        </w:rPr>
        <w:t>ão</w:t>
      </w:r>
      <w:r w:rsidR="00381336"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381336" w:rsidRPr="003A1174">
        <w:rPr>
          <w:rFonts w:ascii="Garamond" w:hAnsi="Garamond" w:cs="Arial"/>
          <w:sz w:val="24"/>
          <w:szCs w:val="24"/>
        </w:rPr>
        <w:t xml:space="preserve"> que </w:t>
      </w:r>
      <w:r w:rsidR="00CA39B2" w:rsidRPr="003A1174">
        <w:rPr>
          <w:rFonts w:ascii="Garamond" w:hAnsi="Garamond" w:cs="Arial"/>
          <w:sz w:val="24"/>
          <w:szCs w:val="24"/>
        </w:rPr>
        <w:t>forma</w:t>
      </w:r>
      <w:r w:rsidR="00381336" w:rsidRPr="003A1174">
        <w:rPr>
          <w:rFonts w:ascii="Garamond" w:hAnsi="Garamond" w:cs="Arial"/>
          <w:sz w:val="24"/>
          <w:szCs w:val="24"/>
        </w:rPr>
        <w:t>m o P</w:t>
      </w:r>
      <w:r w:rsidR="00CA39B2" w:rsidRPr="003A1174">
        <w:rPr>
          <w:rFonts w:ascii="Garamond" w:hAnsi="Garamond" w:cs="Arial"/>
          <w:sz w:val="24"/>
          <w:szCs w:val="24"/>
        </w:rPr>
        <w:t xml:space="preserve">oder </w:t>
      </w:r>
      <w:r w:rsidR="00F90623" w:rsidRPr="003A1174">
        <w:rPr>
          <w:rFonts w:ascii="Garamond" w:hAnsi="Garamond" w:cs="Arial"/>
          <w:sz w:val="24"/>
          <w:szCs w:val="24"/>
        </w:rPr>
        <w:t>P</w:t>
      </w:r>
      <w:r w:rsidR="00CA39B2" w:rsidRPr="003A1174">
        <w:rPr>
          <w:rFonts w:ascii="Garamond" w:hAnsi="Garamond" w:cs="Arial"/>
          <w:sz w:val="24"/>
          <w:szCs w:val="24"/>
        </w:rPr>
        <w:t xml:space="preserve">opular </w:t>
      </w:r>
      <w:r w:rsidR="00381336" w:rsidRPr="003A1174">
        <w:rPr>
          <w:rFonts w:ascii="Garamond" w:hAnsi="Garamond" w:cs="Arial"/>
          <w:sz w:val="24"/>
          <w:szCs w:val="24"/>
        </w:rPr>
        <w:t>orientaram-</w:t>
      </w:r>
      <w:r w:rsidR="00CA39B2" w:rsidRPr="003A1174">
        <w:rPr>
          <w:rFonts w:ascii="Garamond" w:hAnsi="Garamond" w:cs="Arial"/>
          <w:sz w:val="24"/>
          <w:szCs w:val="24"/>
        </w:rPr>
        <w:t>se</w:t>
      </w:r>
      <w:proofErr w:type="gramEnd"/>
      <w:r w:rsidR="00CA39B2" w:rsidRPr="003A1174">
        <w:rPr>
          <w:rFonts w:ascii="Garamond" w:hAnsi="Garamond" w:cs="Arial"/>
          <w:sz w:val="24"/>
          <w:szCs w:val="24"/>
        </w:rPr>
        <w:t xml:space="preserve"> </w:t>
      </w:r>
      <w:r w:rsidR="00381336" w:rsidRPr="003A1174">
        <w:rPr>
          <w:rFonts w:ascii="Garamond" w:hAnsi="Garamond" w:cs="Arial"/>
          <w:sz w:val="24"/>
          <w:szCs w:val="24"/>
        </w:rPr>
        <w:t xml:space="preserve">no sentido de </w:t>
      </w:r>
      <w:r w:rsidR="00AF192F" w:rsidRPr="003A1174">
        <w:rPr>
          <w:rFonts w:ascii="Garamond" w:hAnsi="Garamond" w:cs="Arial"/>
          <w:sz w:val="24"/>
          <w:szCs w:val="24"/>
        </w:rPr>
        <w:t>garantir</w:t>
      </w:r>
      <w:r w:rsidR="00381336" w:rsidRPr="003A1174">
        <w:rPr>
          <w:rFonts w:ascii="Garamond" w:hAnsi="Garamond" w:cs="Arial"/>
          <w:sz w:val="24"/>
          <w:szCs w:val="24"/>
        </w:rPr>
        <w:t>em</w:t>
      </w:r>
      <w:r w:rsidR="00CA39B2" w:rsidRPr="003A1174">
        <w:rPr>
          <w:rFonts w:ascii="Garamond" w:hAnsi="Garamond" w:cs="Arial"/>
          <w:sz w:val="24"/>
          <w:szCs w:val="24"/>
        </w:rPr>
        <w:t xml:space="preserve"> </w:t>
      </w:r>
      <w:r w:rsidR="002D1021" w:rsidRPr="003A1174">
        <w:rPr>
          <w:rFonts w:ascii="Garamond" w:hAnsi="Garamond" w:cs="Arial"/>
          <w:sz w:val="24"/>
          <w:szCs w:val="24"/>
        </w:rPr>
        <w:t>processo</w:t>
      </w:r>
      <w:r w:rsidR="00381336" w:rsidRPr="003A1174">
        <w:rPr>
          <w:rFonts w:ascii="Garamond" w:hAnsi="Garamond" w:cs="Arial"/>
          <w:sz w:val="24"/>
          <w:szCs w:val="24"/>
        </w:rPr>
        <w:t>s mai</w:t>
      </w:r>
      <w:r w:rsidR="00CA39B2" w:rsidRPr="003A1174">
        <w:rPr>
          <w:rFonts w:ascii="Garamond" w:hAnsi="Garamond" w:cs="Arial"/>
          <w:sz w:val="24"/>
          <w:szCs w:val="24"/>
        </w:rPr>
        <w:t xml:space="preserve">s </w:t>
      </w:r>
      <w:r w:rsidR="00381336" w:rsidRPr="003A1174">
        <w:rPr>
          <w:rFonts w:ascii="Garamond" w:hAnsi="Garamond" w:cs="Arial"/>
          <w:sz w:val="24"/>
          <w:szCs w:val="24"/>
        </w:rPr>
        <w:t>diligente</w:t>
      </w:r>
      <w:r w:rsidR="00CA39B2" w:rsidRPr="003A1174">
        <w:rPr>
          <w:rFonts w:ascii="Garamond" w:hAnsi="Garamond" w:cs="Arial"/>
          <w:sz w:val="24"/>
          <w:szCs w:val="24"/>
        </w:rPr>
        <w:t xml:space="preserve">s </w:t>
      </w:r>
      <w:r w:rsidR="00497503" w:rsidRPr="003A1174">
        <w:rPr>
          <w:rFonts w:ascii="Garamond" w:hAnsi="Garamond" w:cs="Arial"/>
          <w:sz w:val="24"/>
          <w:szCs w:val="24"/>
        </w:rPr>
        <w:t>e</w:t>
      </w:r>
      <w:r w:rsidR="00CA39B2" w:rsidRPr="003A1174">
        <w:rPr>
          <w:rFonts w:ascii="Garamond" w:hAnsi="Garamond" w:cs="Arial"/>
          <w:sz w:val="24"/>
          <w:szCs w:val="24"/>
        </w:rPr>
        <w:t xml:space="preserve"> transparentes, </w:t>
      </w:r>
      <w:r w:rsidR="00381336" w:rsidRPr="003A1174">
        <w:rPr>
          <w:rFonts w:ascii="Garamond" w:hAnsi="Garamond" w:cs="Arial"/>
          <w:sz w:val="24"/>
          <w:szCs w:val="24"/>
        </w:rPr>
        <w:t xml:space="preserve">ligados ao </w:t>
      </w:r>
      <w:r w:rsidR="006D0543" w:rsidRPr="003A1174">
        <w:rPr>
          <w:rFonts w:ascii="Garamond" w:hAnsi="Garamond" w:cs="Arial"/>
          <w:sz w:val="24"/>
          <w:szCs w:val="24"/>
        </w:rPr>
        <w:t>princípio</w:t>
      </w:r>
      <w:r w:rsidR="00381336" w:rsidRPr="003A1174">
        <w:rPr>
          <w:rFonts w:ascii="Garamond" w:hAnsi="Garamond" w:cs="Arial"/>
          <w:sz w:val="24"/>
          <w:szCs w:val="24"/>
        </w:rPr>
        <w:t xml:space="preserve"> d</w:t>
      </w:r>
      <w:r w:rsidR="00CA39B2" w:rsidRPr="003A1174">
        <w:rPr>
          <w:rFonts w:ascii="Garamond" w:hAnsi="Garamond" w:cs="Arial"/>
          <w:sz w:val="24"/>
          <w:szCs w:val="24"/>
        </w:rPr>
        <w:t xml:space="preserve">a tutela judicial </w:t>
      </w:r>
      <w:r w:rsidR="00D84A9F" w:rsidRPr="003A1174">
        <w:rPr>
          <w:rFonts w:ascii="Garamond" w:hAnsi="Garamond" w:cs="Arial"/>
          <w:sz w:val="24"/>
          <w:szCs w:val="24"/>
        </w:rPr>
        <w:t>efetiva</w:t>
      </w:r>
      <w:r w:rsidR="00CA39B2" w:rsidRPr="003A1174">
        <w:rPr>
          <w:rFonts w:ascii="Garamond" w:hAnsi="Garamond" w:cs="Arial"/>
          <w:sz w:val="24"/>
          <w:szCs w:val="24"/>
        </w:rPr>
        <w:t>.</w:t>
      </w:r>
    </w:p>
    <w:p w:rsidR="00CA39B2" w:rsidRPr="003A1174" w:rsidRDefault="00381336" w:rsidP="008719D4">
      <w:pPr>
        <w:pStyle w:val="NormalWeb"/>
        <w:spacing w:before="240" w:beforeAutospacing="0"/>
        <w:jc w:val="both"/>
        <w:rPr>
          <w:rFonts w:ascii="Garamond" w:hAnsi="Garamond" w:cs="Arial"/>
          <w:lang w:val="pt-PT"/>
        </w:rPr>
      </w:pPr>
      <w:r w:rsidRPr="003A1174">
        <w:rPr>
          <w:rFonts w:ascii="Garamond" w:hAnsi="Garamond" w:cs="Arial"/>
          <w:lang w:val="pt-PT"/>
        </w:rPr>
        <w:t xml:space="preserve">No </w:t>
      </w:r>
      <w:r w:rsidR="00CA39B2" w:rsidRPr="003A1174">
        <w:rPr>
          <w:rFonts w:ascii="Garamond" w:hAnsi="Garamond" w:cs="Arial"/>
          <w:lang w:val="pt-PT"/>
        </w:rPr>
        <w:t xml:space="preserve">Estado </w:t>
      </w:r>
      <w:r w:rsidR="005A5191" w:rsidRPr="003A1174">
        <w:rPr>
          <w:rFonts w:ascii="Garamond" w:hAnsi="Garamond" w:cs="Arial"/>
          <w:lang w:val="pt-PT"/>
        </w:rPr>
        <w:t>venezuelano</w:t>
      </w:r>
      <w:r w:rsidR="00CA39B2" w:rsidRPr="003A1174">
        <w:rPr>
          <w:rFonts w:ascii="Garamond" w:hAnsi="Garamond" w:cs="Arial"/>
          <w:lang w:val="pt-PT"/>
        </w:rPr>
        <w:t xml:space="preserve"> </w:t>
      </w:r>
      <w:r w:rsidRPr="003A1174">
        <w:rPr>
          <w:rFonts w:ascii="Garamond" w:hAnsi="Garamond" w:cs="Arial"/>
          <w:lang w:val="pt-PT"/>
        </w:rPr>
        <w:t xml:space="preserve">tem-se verificado </w:t>
      </w:r>
      <w:r w:rsidR="00CA39B2" w:rsidRPr="003A1174">
        <w:rPr>
          <w:rFonts w:ascii="Garamond" w:hAnsi="Garamond" w:cs="Arial"/>
          <w:lang w:val="pt-PT"/>
        </w:rPr>
        <w:t>u</w:t>
      </w:r>
      <w:r w:rsidRPr="003A1174">
        <w:rPr>
          <w:rFonts w:ascii="Garamond" w:hAnsi="Garamond" w:cs="Arial"/>
          <w:lang w:val="pt-PT"/>
        </w:rPr>
        <w:t>m</w:t>
      </w:r>
      <w:r w:rsidR="00CA39B2" w:rsidRPr="003A1174">
        <w:rPr>
          <w:rFonts w:ascii="Garamond" w:hAnsi="Garamond" w:cs="Arial"/>
          <w:lang w:val="pt-PT"/>
        </w:rPr>
        <w:t xml:space="preserve"> importante </w:t>
      </w:r>
      <w:r w:rsidRPr="003A1174">
        <w:rPr>
          <w:rFonts w:ascii="Garamond" w:hAnsi="Garamond" w:cs="Arial"/>
          <w:lang w:val="pt-PT"/>
        </w:rPr>
        <w:t>progresso</w:t>
      </w:r>
      <w:r w:rsidR="00CA39B2" w:rsidRPr="003A1174">
        <w:rPr>
          <w:rFonts w:ascii="Garamond" w:hAnsi="Garamond" w:cs="Arial"/>
          <w:lang w:val="pt-PT"/>
        </w:rPr>
        <w:t xml:space="preserve"> e</w:t>
      </w:r>
      <w:r w:rsidRPr="003A1174">
        <w:rPr>
          <w:rFonts w:ascii="Garamond" w:hAnsi="Garamond" w:cs="Arial"/>
          <w:lang w:val="pt-PT"/>
        </w:rPr>
        <w:t>m</w:t>
      </w:r>
      <w:r w:rsidR="00CA39B2" w:rsidRPr="003A1174">
        <w:rPr>
          <w:rFonts w:ascii="Garamond" w:hAnsi="Garamond" w:cs="Arial"/>
          <w:lang w:val="pt-PT"/>
        </w:rPr>
        <w:t xml:space="preserve"> </w:t>
      </w:r>
      <w:r w:rsidR="00EF645F" w:rsidRPr="003A1174">
        <w:rPr>
          <w:rFonts w:ascii="Garamond" w:hAnsi="Garamond" w:cs="Arial"/>
          <w:lang w:val="pt-PT"/>
        </w:rPr>
        <w:t>matéria</w:t>
      </w:r>
      <w:r w:rsidR="00CA39B2" w:rsidRPr="003A1174">
        <w:rPr>
          <w:rFonts w:ascii="Garamond" w:hAnsi="Garamond" w:cs="Arial"/>
          <w:lang w:val="pt-PT"/>
        </w:rPr>
        <w:t xml:space="preserve"> de </w:t>
      </w:r>
      <w:r w:rsidR="00886D6A" w:rsidRPr="003A1174">
        <w:rPr>
          <w:rFonts w:ascii="Garamond" w:hAnsi="Garamond" w:cs="Arial"/>
          <w:lang w:val="pt-PT"/>
        </w:rPr>
        <w:t>acesso</w:t>
      </w:r>
      <w:r w:rsidR="00CA39B2" w:rsidRPr="003A1174">
        <w:rPr>
          <w:rFonts w:ascii="Garamond" w:hAnsi="Garamond" w:cs="Arial"/>
          <w:lang w:val="pt-PT"/>
        </w:rPr>
        <w:t xml:space="preserve"> </w:t>
      </w:r>
      <w:r w:rsidRPr="003A1174">
        <w:rPr>
          <w:rFonts w:ascii="Garamond" w:hAnsi="Garamond" w:cs="Arial"/>
          <w:lang w:val="pt-PT"/>
        </w:rPr>
        <w:t xml:space="preserve">à </w:t>
      </w:r>
      <w:r w:rsidR="00FC1F7F" w:rsidRPr="003A1174">
        <w:rPr>
          <w:rFonts w:ascii="Garamond" w:hAnsi="Garamond" w:cs="Arial"/>
          <w:lang w:val="pt-PT"/>
        </w:rPr>
        <w:t>justiça</w:t>
      </w:r>
      <w:r w:rsidR="00CA39B2" w:rsidRPr="003A1174">
        <w:rPr>
          <w:rFonts w:ascii="Garamond" w:hAnsi="Garamond" w:cs="Arial"/>
          <w:lang w:val="pt-PT"/>
        </w:rPr>
        <w:t xml:space="preserve"> </w:t>
      </w:r>
      <w:r w:rsidR="007A3E6A" w:rsidRPr="003A1174">
        <w:rPr>
          <w:rFonts w:ascii="Garamond" w:hAnsi="Garamond" w:cs="Arial"/>
          <w:lang w:val="pt-PT"/>
        </w:rPr>
        <w:t xml:space="preserve">por parte </w:t>
      </w:r>
      <w:r w:rsidR="00497503" w:rsidRPr="003A1174">
        <w:rPr>
          <w:rFonts w:ascii="Garamond" w:hAnsi="Garamond" w:cs="Arial"/>
          <w:lang w:val="pt-PT"/>
        </w:rPr>
        <w:t>das</w:t>
      </w:r>
      <w:r w:rsidR="00CA39B2" w:rsidRPr="003A1174">
        <w:rPr>
          <w:rFonts w:ascii="Garamond" w:hAnsi="Garamond" w:cs="Arial"/>
          <w:lang w:val="pt-PT"/>
        </w:rPr>
        <w:t xml:space="preserve"> </w:t>
      </w:r>
      <w:r w:rsidR="00054EE0" w:rsidRPr="003A1174">
        <w:rPr>
          <w:rFonts w:ascii="Garamond" w:hAnsi="Garamond" w:cs="Arial"/>
          <w:lang w:val="pt-PT"/>
        </w:rPr>
        <w:t>mulheres</w:t>
      </w:r>
      <w:r w:rsidR="00CA39B2" w:rsidRPr="003A1174">
        <w:rPr>
          <w:rFonts w:ascii="Garamond" w:hAnsi="Garamond" w:cs="Arial"/>
          <w:lang w:val="pt-PT"/>
        </w:rPr>
        <w:t xml:space="preserve"> </w:t>
      </w:r>
      <w:r w:rsidR="003F012B" w:rsidRPr="003A1174">
        <w:rPr>
          <w:rFonts w:ascii="Garamond" w:hAnsi="Garamond" w:cs="Arial"/>
          <w:lang w:val="pt-PT"/>
        </w:rPr>
        <w:t>vítima</w:t>
      </w:r>
      <w:r w:rsidR="00CA39B2" w:rsidRPr="003A1174">
        <w:rPr>
          <w:rFonts w:ascii="Garamond" w:hAnsi="Garamond" w:cs="Arial"/>
          <w:lang w:val="pt-PT"/>
        </w:rPr>
        <w:t xml:space="preserve">s de </w:t>
      </w:r>
      <w:r w:rsidR="000350B1" w:rsidRPr="003A1174">
        <w:rPr>
          <w:rFonts w:ascii="Garamond" w:hAnsi="Garamond" w:cs="Arial"/>
          <w:lang w:val="pt-PT"/>
        </w:rPr>
        <w:t>violência</w:t>
      </w:r>
      <w:r w:rsidR="00CA39B2" w:rsidRPr="003A1174">
        <w:rPr>
          <w:rFonts w:ascii="Garamond" w:hAnsi="Garamond" w:cs="Arial"/>
          <w:lang w:val="pt-PT"/>
        </w:rPr>
        <w:t xml:space="preserve">, </w:t>
      </w:r>
      <w:r w:rsidR="007A3E6A" w:rsidRPr="003A1174">
        <w:rPr>
          <w:rFonts w:ascii="Garamond" w:hAnsi="Garamond" w:cs="Arial"/>
          <w:lang w:val="pt-PT"/>
        </w:rPr>
        <w:t xml:space="preserve">pois </w:t>
      </w:r>
      <w:r w:rsidR="00BA3CCE" w:rsidRPr="003A1174">
        <w:rPr>
          <w:rFonts w:ascii="Garamond" w:hAnsi="Garamond" w:cs="Arial"/>
          <w:lang w:val="pt-PT"/>
        </w:rPr>
        <w:t>dispõe</w:t>
      </w:r>
      <w:r w:rsidR="007A3E6A" w:rsidRPr="003A1174">
        <w:rPr>
          <w:rFonts w:ascii="Garamond" w:hAnsi="Garamond" w:cs="Arial"/>
          <w:lang w:val="pt-PT"/>
        </w:rPr>
        <w:t xml:space="preserve"> de um</w:t>
      </w:r>
      <w:r w:rsidR="00CA39B2" w:rsidRPr="003A1174">
        <w:rPr>
          <w:rFonts w:ascii="Garamond" w:hAnsi="Garamond" w:cs="Arial"/>
          <w:lang w:val="pt-PT"/>
        </w:rPr>
        <w:t xml:space="preserve">a </w:t>
      </w:r>
      <w:r w:rsidR="00731B19" w:rsidRPr="003A1174">
        <w:rPr>
          <w:rFonts w:ascii="Garamond" w:hAnsi="Garamond" w:cs="Arial"/>
          <w:lang w:val="pt-PT"/>
        </w:rPr>
        <w:t>jurisdição</w:t>
      </w:r>
      <w:r w:rsidR="00CA39B2" w:rsidRPr="003A1174">
        <w:rPr>
          <w:rFonts w:ascii="Garamond" w:hAnsi="Garamond" w:cs="Arial"/>
          <w:lang w:val="pt-PT"/>
        </w:rPr>
        <w:t xml:space="preserve"> especializada, integrada por </w:t>
      </w:r>
      <w:r w:rsidR="00FB09CA" w:rsidRPr="003A1174">
        <w:rPr>
          <w:rFonts w:ascii="Garamond" w:hAnsi="Garamond" w:cs="Arial"/>
          <w:lang w:val="pt-PT"/>
        </w:rPr>
        <w:t>tribunais</w:t>
      </w:r>
      <w:r w:rsidR="00CA39B2" w:rsidRPr="003A1174">
        <w:rPr>
          <w:rFonts w:ascii="Garamond" w:hAnsi="Garamond" w:cs="Arial"/>
          <w:lang w:val="pt-PT"/>
        </w:rPr>
        <w:t xml:space="preserve"> sobre </w:t>
      </w:r>
      <w:r w:rsidR="000350B1" w:rsidRPr="003A1174">
        <w:rPr>
          <w:rFonts w:ascii="Garamond" w:hAnsi="Garamond" w:cs="Arial"/>
          <w:lang w:val="pt-PT"/>
        </w:rPr>
        <w:t>violência</w:t>
      </w:r>
      <w:r w:rsidR="007A3E6A" w:rsidRPr="003A1174">
        <w:rPr>
          <w:rFonts w:ascii="Garamond" w:hAnsi="Garamond" w:cs="Arial"/>
          <w:lang w:val="pt-PT"/>
        </w:rPr>
        <w:t xml:space="preserve"> contra </w:t>
      </w:r>
      <w:r w:rsidR="00CA39B2" w:rsidRPr="003A1174">
        <w:rPr>
          <w:rFonts w:ascii="Garamond" w:hAnsi="Garamond" w:cs="Arial"/>
          <w:lang w:val="pt-PT"/>
        </w:rPr>
        <w:t xml:space="preserve">a </w:t>
      </w:r>
      <w:r w:rsidR="00AF192F" w:rsidRPr="003A1174">
        <w:rPr>
          <w:rFonts w:ascii="Garamond" w:hAnsi="Garamond" w:cs="Arial"/>
          <w:lang w:val="pt-PT"/>
        </w:rPr>
        <w:t>mulher</w:t>
      </w:r>
      <w:r w:rsidR="00CA39B2" w:rsidRPr="003A1174">
        <w:rPr>
          <w:rFonts w:ascii="Garamond" w:hAnsi="Garamond" w:cs="Arial"/>
          <w:lang w:val="pt-PT"/>
        </w:rPr>
        <w:t>, a</w:t>
      </w:r>
      <w:r w:rsidR="00006B0C" w:rsidRPr="003A1174">
        <w:rPr>
          <w:rFonts w:ascii="Garamond" w:hAnsi="Garamond" w:cs="Arial"/>
          <w:lang w:val="pt-PT"/>
        </w:rPr>
        <w:t>o longo do</w:t>
      </w:r>
      <w:r w:rsidR="00CA39B2" w:rsidRPr="003A1174">
        <w:rPr>
          <w:rFonts w:ascii="Garamond" w:hAnsi="Garamond" w:cs="Arial"/>
          <w:lang w:val="pt-PT"/>
        </w:rPr>
        <w:t xml:space="preserve"> </w:t>
      </w:r>
      <w:r w:rsidR="001B47E3" w:rsidRPr="003A1174">
        <w:rPr>
          <w:rFonts w:ascii="Garamond" w:hAnsi="Garamond" w:cs="Arial"/>
          <w:lang w:val="pt-PT"/>
        </w:rPr>
        <w:t>território</w:t>
      </w:r>
      <w:r w:rsidR="00CA39B2" w:rsidRPr="003A1174">
        <w:rPr>
          <w:rFonts w:ascii="Garamond" w:hAnsi="Garamond" w:cs="Arial"/>
          <w:lang w:val="pt-PT"/>
        </w:rPr>
        <w:t xml:space="preserve"> nacional. </w:t>
      </w:r>
    </w:p>
    <w:p w:rsidR="00CA39B2" w:rsidRPr="003A1174" w:rsidRDefault="00B05007" w:rsidP="008719D4">
      <w:pPr>
        <w:pStyle w:val="NormalWeb"/>
        <w:spacing w:before="240" w:beforeAutospacing="0"/>
        <w:jc w:val="both"/>
        <w:rPr>
          <w:rFonts w:ascii="Garamond" w:hAnsi="Garamond" w:cs="Arial"/>
          <w:lang w:val="pt-PT"/>
        </w:rPr>
      </w:pPr>
      <w:r w:rsidRPr="003A1174">
        <w:rPr>
          <w:rFonts w:ascii="Garamond" w:hAnsi="Garamond" w:cs="Arial"/>
          <w:lang w:val="pt-PT"/>
        </w:rPr>
        <w:t>D</w:t>
      </w:r>
      <w:r w:rsidR="00CA39B2" w:rsidRPr="003A1174">
        <w:rPr>
          <w:rFonts w:ascii="Garamond" w:hAnsi="Garamond" w:cs="Arial"/>
          <w:lang w:val="pt-PT"/>
        </w:rPr>
        <w:t xml:space="preserve">esde que se </w:t>
      </w:r>
      <w:r w:rsidR="00BA3CCE" w:rsidRPr="003A1174">
        <w:rPr>
          <w:rFonts w:ascii="Garamond" w:hAnsi="Garamond" w:cs="Arial"/>
          <w:lang w:val="pt-PT"/>
        </w:rPr>
        <w:t>constituíram</w:t>
      </w:r>
      <w:r w:rsidR="00006B0C" w:rsidRPr="003A1174">
        <w:rPr>
          <w:rFonts w:ascii="Garamond" w:hAnsi="Garamond" w:cs="Arial"/>
          <w:lang w:val="pt-PT"/>
        </w:rPr>
        <w:t xml:space="preserve">, no </w:t>
      </w:r>
      <w:r w:rsidR="002C7510" w:rsidRPr="003A1174">
        <w:rPr>
          <w:rFonts w:ascii="Garamond" w:hAnsi="Garamond" w:cs="Arial"/>
          <w:lang w:val="pt-PT"/>
        </w:rPr>
        <w:t>ano</w:t>
      </w:r>
      <w:r w:rsidR="00CA39B2" w:rsidRPr="003A1174">
        <w:rPr>
          <w:rFonts w:ascii="Garamond" w:hAnsi="Garamond" w:cs="Arial"/>
          <w:lang w:val="pt-PT"/>
        </w:rPr>
        <w:t xml:space="preserve"> 2009</w:t>
      </w:r>
      <w:r w:rsidR="00006B0C" w:rsidRPr="003A1174">
        <w:rPr>
          <w:rFonts w:ascii="Garamond" w:hAnsi="Garamond" w:cs="Arial"/>
          <w:lang w:val="pt-PT"/>
        </w:rPr>
        <w:t>,</w:t>
      </w:r>
      <w:r w:rsidR="00CA39B2" w:rsidRPr="003A1174">
        <w:rPr>
          <w:rFonts w:ascii="Garamond" w:hAnsi="Garamond" w:cs="Arial"/>
          <w:lang w:val="pt-PT"/>
        </w:rPr>
        <w:t xml:space="preserve"> </w:t>
      </w:r>
      <w:r w:rsidR="00006B0C" w:rsidRPr="003A1174">
        <w:rPr>
          <w:rFonts w:ascii="Garamond" w:hAnsi="Garamond" w:cs="Arial"/>
          <w:lang w:val="pt-PT"/>
        </w:rPr>
        <w:t xml:space="preserve">até </w:t>
      </w:r>
      <w:r w:rsidR="00077461" w:rsidRPr="003A1174">
        <w:rPr>
          <w:rFonts w:ascii="Garamond" w:hAnsi="Garamond" w:cs="Arial"/>
          <w:lang w:val="pt-PT"/>
        </w:rPr>
        <w:t>junho</w:t>
      </w:r>
      <w:r w:rsidR="00CA39B2" w:rsidRPr="003A1174">
        <w:rPr>
          <w:rFonts w:ascii="Garamond" w:hAnsi="Garamond" w:cs="Arial"/>
          <w:lang w:val="pt-PT"/>
        </w:rPr>
        <w:t xml:space="preserve"> de 2013, </w:t>
      </w:r>
      <w:r w:rsidR="00FB09CA" w:rsidRPr="003A1174">
        <w:rPr>
          <w:rFonts w:ascii="Garamond" w:hAnsi="Garamond" w:cs="Arial"/>
          <w:lang w:val="pt-PT"/>
        </w:rPr>
        <w:t>t</w:t>
      </w:r>
      <w:r w:rsidR="00006B0C" w:rsidRPr="003A1174">
        <w:rPr>
          <w:rFonts w:ascii="Garamond" w:hAnsi="Garamond" w:cs="Arial"/>
          <w:lang w:val="pt-PT"/>
        </w:rPr>
        <w:t xml:space="preserve">rabalharam com </w:t>
      </w:r>
      <w:r w:rsidR="00CA39B2" w:rsidRPr="003A1174">
        <w:rPr>
          <w:rFonts w:ascii="Garamond" w:hAnsi="Garamond" w:cs="Arial"/>
          <w:lang w:val="pt-PT"/>
        </w:rPr>
        <w:t>268</w:t>
      </w:r>
      <w:r w:rsidR="0043311D">
        <w:rPr>
          <w:rFonts w:ascii="Garamond" w:hAnsi="Garamond" w:cs="Arial"/>
          <w:lang w:val="pt-PT"/>
        </w:rPr>
        <w:t xml:space="preserve"> </w:t>
      </w:r>
      <w:r w:rsidR="00CA39B2" w:rsidRPr="003A1174">
        <w:rPr>
          <w:rFonts w:ascii="Garamond" w:hAnsi="Garamond" w:cs="Arial"/>
          <w:lang w:val="pt-PT"/>
        </w:rPr>
        <w:t xml:space="preserve">988 causas, </w:t>
      </w:r>
      <w:r w:rsidR="00006B0C" w:rsidRPr="003A1174">
        <w:rPr>
          <w:rFonts w:ascii="Garamond" w:hAnsi="Garamond" w:cs="Arial"/>
          <w:lang w:val="pt-PT"/>
        </w:rPr>
        <w:t>155</w:t>
      </w:r>
      <w:r w:rsidR="0043311D">
        <w:rPr>
          <w:rFonts w:ascii="Garamond" w:hAnsi="Garamond" w:cs="Arial"/>
          <w:lang w:val="pt-PT"/>
        </w:rPr>
        <w:t xml:space="preserve"> </w:t>
      </w:r>
      <w:r w:rsidR="00006B0C" w:rsidRPr="003A1174">
        <w:rPr>
          <w:rFonts w:ascii="Garamond" w:hAnsi="Garamond" w:cs="Arial"/>
          <w:lang w:val="pt-PT"/>
        </w:rPr>
        <w:t xml:space="preserve">854 </w:t>
      </w:r>
      <w:r w:rsidR="00497503" w:rsidRPr="003A1174">
        <w:rPr>
          <w:rFonts w:ascii="Garamond" w:hAnsi="Garamond" w:cs="Arial"/>
          <w:lang w:val="pt-PT"/>
        </w:rPr>
        <w:t>das</w:t>
      </w:r>
      <w:r w:rsidR="00CA39B2" w:rsidRPr="003A1174">
        <w:rPr>
          <w:rFonts w:ascii="Garamond" w:hAnsi="Garamond" w:cs="Arial"/>
          <w:lang w:val="pt-PT"/>
        </w:rPr>
        <w:t xml:space="preserve"> </w:t>
      </w:r>
      <w:r w:rsidR="00B936A7" w:rsidRPr="003A1174">
        <w:rPr>
          <w:rFonts w:ascii="Garamond" w:hAnsi="Garamond" w:cs="Arial"/>
          <w:lang w:val="pt-PT"/>
        </w:rPr>
        <w:t>quais</w:t>
      </w:r>
      <w:r w:rsidR="0043311D">
        <w:rPr>
          <w:rFonts w:ascii="Garamond" w:hAnsi="Garamond" w:cs="Arial"/>
          <w:lang w:val="pt-PT"/>
        </w:rPr>
        <w:t>,</w:t>
      </w:r>
      <w:r w:rsidR="00CA39B2" w:rsidRPr="003A1174">
        <w:rPr>
          <w:rFonts w:ascii="Garamond" w:hAnsi="Garamond" w:cs="Arial"/>
          <w:lang w:val="pt-PT"/>
        </w:rPr>
        <w:t xml:space="preserve"> </w:t>
      </w:r>
      <w:r w:rsidR="00006B0C" w:rsidRPr="003A1174">
        <w:rPr>
          <w:rFonts w:ascii="Garamond" w:hAnsi="Garamond" w:cs="Arial"/>
          <w:lang w:val="pt-PT"/>
        </w:rPr>
        <w:t xml:space="preserve">foram </w:t>
      </w:r>
      <w:r w:rsidR="00CA39B2" w:rsidRPr="003A1174">
        <w:rPr>
          <w:rFonts w:ascii="Garamond" w:hAnsi="Garamond" w:cs="Arial"/>
          <w:lang w:val="pt-PT"/>
        </w:rPr>
        <w:t>res</w:t>
      </w:r>
      <w:r w:rsidR="00006B0C" w:rsidRPr="003A1174">
        <w:rPr>
          <w:rFonts w:ascii="Garamond" w:hAnsi="Garamond" w:cs="Arial"/>
          <w:lang w:val="pt-PT"/>
        </w:rPr>
        <w:t xml:space="preserve">olvidas, o que é </w:t>
      </w:r>
      <w:r w:rsidR="0043311D">
        <w:rPr>
          <w:rFonts w:ascii="Garamond" w:hAnsi="Garamond" w:cs="Arial"/>
          <w:lang w:val="pt-PT"/>
        </w:rPr>
        <w:t xml:space="preserve">revelador </w:t>
      </w:r>
      <w:r w:rsidR="00006B0C" w:rsidRPr="003A1174">
        <w:rPr>
          <w:rFonts w:ascii="Garamond" w:hAnsi="Garamond" w:cs="Arial"/>
          <w:lang w:val="pt-PT"/>
        </w:rPr>
        <w:t xml:space="preserve">do trabalho </w:t>
      </w:r>
      <w:r w:rsidR="00CA39B2" w:rsidRPr="003A1174">
        <w:rPr>
          <w:rFonts w:ascii="Garamond" w:hAnsi="Garamond" w:cs="Arial"/>
          <w:lang w:val="pt-PT"/>
        </w:rPr>
        <w:t xml:space="preserve">que </w:t>
      </w:r>
      <w:r w:rsidR="00006B0C" w:rsidRPr="003A1174">
        <w:rPr>
          <w:rFonts w:ascii="Garamond" w:hAnsi="Garamond" w:cs="Arial"/>
          <w:lang w:val="pt-PT"/>
        </w:rPr>
        <w:t xml:space="preserve">o Poder Judicial </w:t>
      </w:r>
      <w:r w:rsidR="00CA39B2" w:rsidRPr="003A1174">
        <w:rPr>
          <w:rFonts w:ascii="Garamond" w:hAnsi="Garamond" w:cs="Arial"/>
          <w:lang w:val="pt-PT"/>
        </w:rPr>
        <w:t>realiza.</w:t>
      </w:r>
      <w:r w:rsidR="00CA39B2" w:rsidRPr="003A1174">
        <w:rPr>
          <w:rStyle w:val="Refdenotaalpie"/>
          <w:rFonts w:ascii="Garamond" w:hAnsi="Garamond" w:cs="Arial"/>
        </w:rPr>
        <w:footnoteReference w:id="97"/>
      </w:r>
    </w:p>
    <w:p w:rsidR="00CA39B2" w:rsidRPr="003A1174" w:rsidRDefault="008A3DA2" w:rsidP="008719D4">
      <w:pPr>
        <w:pStyle w:val="NormalWeb"/>
        <w:spacing w:before="240" w:beforeAutospacing="0"/>
        <w:jc w:val="both"/>
        <w:rPr>
          <w:rFonts w:ascii="Garamond" w:hAnsi="Garamond" w:cs="Arial"/>
          <w:spacing w:val="-2"/>
          <w:lang w:val="pt-PT"/>
        </w:rPr>
      </w:pPr>
      <w:r w:rsidRPr="003A1174">
        <w:rPr>
          <w:rFonts w:ascii="Garamond" w:hAnsi="Garamond" w:cs="Arial"/>
          <w:lang w:val="pt-PT"/>
        </w:rPr>
        <w:t>Do</w:t>
      </w:r>
      <w:r w:rsidR="00CA39B2" w:rsidRPr="003A1174">
        <w:rPr>
          <w:rFonts w:ascii="Garamond" w:hAnsi="Garamond" w:cs="Arial"/>
          <w:lang w:val="pt-PT"/>
        </w:rPr>
        <w:t xml:space="preserve"> </w:t>
      </w:r>
      <w:r w:rsidR="00023AD6" w:rsidRPr="003A1174">
        <w:rPr>
          <w:rFonts w:ascii="Garamond" w:hAnsi="Garamond" w:cs="Arial"/>
          <w:lang w:val="pt-PT"/>
        </w:rPr>
        <w:t>mesmo</w:t>
      </w:r>
      <w:r w:rsidR="00CA39B2" w:rsidRPr="003A1174">
        <w:rPr>
          <w:rFonts w:ascii="Garamond" w:hAnsi="Garamond" w:cs="Arial"/>
          <w:lang w:val="pt-PT"/>
        </w:rPr>
        <w:t xml:space="preserve"> modo, </w:t>
      </w:r>
      <w:r w:rsidR="00006B0C" w:rsidRPr="003A1174">
        <w:rPr>
          <w:rFonts w:ascii="Garamond" w:hAnsi="Garamond" w:cs="Arial"/>
          <w:lang w:val="pt-PT"/>
        </w:rPr>
        <w:t>o</w:t>
      </w:r>
      <w:r w:rsidR="00CA39B2" w:rsidRPr="003A1174">
        <w:rPr>
          <w:rFonts w:ascii="Garamond" w:hAnsi="Garamond" w:cs="Arial"/>
          <w:lang w:val="pt-PT"/>
        </w:rPr>
        <w:t xml:space="preserve"> </w:t>
      </w:r>
      <w:r w:rsidR="00D77C19" w:rsidRPr="003A1174">
        <w:rPr>
          <w:rFonts w:ascii="Garamond" w:hAnsi="Garamond" w:cs="Arial"/>
          <w:lang w:val="pt-PT"/>
        </w:rPr>
        <w:t>Ministério</w:t>
      </w:r>
      <w:r w:rsidR="00CA39B2" w:rsidRPr="003A1174">
        <w:rPr>
          <w:rFonts w:ascii="Garamond" w:hAnsi="Garamond" w:cs="Arial"/>
          <w:lang w:val="pt-PT"/>
        </w:rPr>
        <w:t xml:space="preserve"> Público pos</w:t>
      </w:r>
      <w:r w:rsidR="00006B0C" w:rsidRPr="003A1174">
        <w:rPr>
          <w:rFonts w:ascii="Garamond" w:hAnsi="Garamond" w:cs="Arial"/>
          <w:lang w:val="pt-PT"/>
        </w:rPr>
        <w:t xml:space="preserve">sui uma </w:t>
      </w:r>
      <w:r w:rsidR="009859FC" w:rsidRPr="003A1174">
        <w:rPr>
          <w:rFonts w:ascii="Garamond" w:hAnsi="Garamond" w:cs="Arial"/>
          <w:spacing w:val="-2"/>
          <w:lang w:val="pt-PT"/>
        </w:rPr>
        <w:t>Direção</w:t>
      </w:r>
      <w:r w:rsidR="005B332C" w:rsidRPr="003A1174">
        <w:rPr>
          <w:rFonts w:ascii="Garamond" w:hAnsi="Garamond" w:cs="Arial"/>
          <w:spacing w:val="-2"/>
          <w:lang w:val="pt-PT"/>
        </w:rPr>
        <w:t xml:space="preserve"> para </w:t>
      </w:r>
      <w:r w:rsidR="00CA39B2" w:rsidRPr="003A1174">
        <w:rPr>
          <w:rFonts w:ascii="Garamond" w:hAnsi="Garamond" w:cs="Arial"/>
          <w:spacing w:val="-2"/>
          <w:lang w:val="pt-PT"/>
        </w:rPr>
        <w:t xml:space="preserve">a </w:t>
      </w:r>
      <w:r w:rsidR="002C7510" w:rsidRPr="003A1174">
        <w:rPr>
          <w:rFonts w:ascii="Garamond" w:hAnsi="Garamond" w:cs="Arial"/>
          <w:spacing w:val="-2"/>
          <w:lang w:val="pt-PT"/>
        </w:rPr>
        <w:t>Defesa</w:t>
      </w:r>
      <w:r w:rsidR="005B332C" w:rsidRPr="003A1174">
        <w:rPr>
          <w:rFonts w:ascii="Garamond" w:hAnsi="Garamond" w:cs="Arial"/>
          <w:spacing w:val="-2"/>
          <w:lang w:val="pt-PT"/>
        </w:rPr>
        <w:t xml:space="preserve"> d</w:t>
      </w:r>
      <w:r w:rsidR="00CA39B2" w:rsidRPr="003A1174">
        <w:rPr>
          <w:rFonts w:ascii="Garamond" w:hAnsi="Garamond" w:cs="Arial"/>
          <w:spacing w:val="-2"/>
          <w:lang w:val="pt-PT"/>
        </w:rPr>
        <w:t xml:space="preserve">a </w:t>
      </w:r>
      <w:r w:rsidR="00AF192F" w:rsidRPr="003A1174">
        <w:rPr>
          <w:rFonts w:ascii="Garamond" w:hAnsi="Garamond" w:cs="Arial"/>
          <w:spacing w:val="-2"/>
          <w:lang w:val="pt-PT"/>
        </w:rPr>
        <w:t>Mulher</w:t>
      </w:r>
      <w:r w:rsidR="00CA39B2" w:rsidRPr="003A1174">
        <w:rPr>
          <w:rFonts w:ascii="Garamond" w:hAnsi="Garamond" w:cs="Arial"/>
          <w:spacing w:val="-2"/>
          <w:lang w:val="pt-PT"/>
        </w:rPr>
        <w:t xml:space="preserve">, que integra 120 </w:t>
      </w:r>
      <w:r w:rsidR="00275092" w:rsidRPr="003A1174">
        <w:rPr>
          <w:rFonts w:ascii="Garamond" w:hAnsi="Garamond" w:cs="Arial"/>
          <w:spacing w:val="-2"/>
          <w:lang w:val="pt-PT"/>
        </w:rPr>
        <w:t>gabinete</w:t>
      </w:r>
      <w:r w:rsidR="00CA39B2" w:rsidRPr="003A1174">
        <w:rPr>
          <w:rFonts w:ascii="Garamond" w:hAnsi="Garamond" w:cs="Arial"/>
          <w:spacing w:val="-2"/>
          <w:lang w:val="pt-PT"/>
        </w:rPr>
        <w:t xml:space="preserve">s a </w:t>
      </w:r>
      <w:r w:rsidR="0017447A" w:rsidRPr="003A1174">
        <w:rPr>
          <w:rFonts w:ascii="Garamond" w:hAnsi="Garamond" w:cs="Arial"/>
          <w:spacing w:val="-2"/>
          <w:lang w:val="pt-PT"/>
        </w:rPr>
        <w:t>nível</w:t>
      </w:r>
      <w:r w:rsidR="00CA39B2" w:rsidRPr="003A1174">
        <w:rPr>
          <w:rFonts w:ascii="Garamond" w:hAnsi="Garamond" w:cs="Arial"/>
          <w:spacing w:val="-2"/>
          <w:lang w:val="pt-PT"/>
        </w:rPr>
        <w:t xml:space="preserve"> nacional: </w:t>
      </w:r>
      <w:r w:rsidR="0043311D">
        <w:rPr>
          <w:rFonts w:ascii="Garamond" w:hAnsi="Garamond" w:cs="Arial"/>
          <w:spacing w:val="-2"/>
          <w:lang w:val="pt-PT"/>
        </w:rPr>
        <w:t>«</w:t>
      </w:r>
      <w:r w:rsidR="00CA39B2" w:rsidRPr="003A1174">
        <w:rPr>
          <w:rFonts w:ascii="Garamond" w:hAnsi="Garamond" w:cs="Arial"/>
          <w:spacing w:val="-2"/>
          <w:lang w:val="pt-PT"/>
        </w:rPr>
        <w:t xml:space="preserve">61 </w:t>
      </w:r>
      <w:r w:rsidR="00275092" w:rsidRPr="003A1174">
        <w:rPr>
          <w:rFonts w:ascii="Garamond" w:hAnsi="Garamond" w:cs="Arial"/>
          <w:spacing w:val="-2"/>
          <w:lang w:val="pt-PT"/>
        </w:rPr>
        <w:t xml:space="preserve">Provedorias </w:t>
      </w:r>
      <w:r w:rsidR="00CA39B2" w:rsidRPr="003A1174">
        <w:rPr>
          <w:rFonts w:ascii="Garamond" w:hAnsi="Garamond" w:cs="Arial"/>
          <w:spacing w:val="-2"/>
          <w:lang w:val="pt-PT"/>
        </w:rPr>
        <w:t>co</w:t>
      </w:r>
      <w:r w:rsidR="00275092" w:rsidRPr="003A1174">
        <w:rPr>
          <w:rFonts w:ascii="Garamond" w:hAnsi="Garamond" w:cs="Arial"/>
          <w:spacing w:val="-2"/>
          <w:lang w:val="pt-PT"/>
        </w:rPr>
        <w:t>m</w:t>
      </w:r>
      <w:r w:rsidR="00CA39B2" w:rsidRPr="003A1174">
        <w:rPr>
          <w:rFonts w:ascii="Garamond" w:hAnsi="Garamond" w:cs="Arial"/>
          <w:spacing w:val="-2"/>
          <w:lang w:val="pt-PT"/>
        </w:rPr>
        <w:t xml:space="preserve"> </w:t>
      </w:r>
      <w:r w:rsidR="00C86C58" w:rsidRPr="003A1174">
        <w:rPr>
          <w:rFonts w:ascii="Garamond" w:hAnsi="Garamond" w:cs="Arial"/>
          <w:spacing w:val="-2"/>
          <w:lang w:val="pt-PT"/>
        </w:rPr>
        <w:t>competência</w:t>
      </w:r>
      <w:r w:rsidR="00275092" w:rsidRPr="003A1174">
        <w:rPr>
          <w:rFonts w:ascii="Garamond" w:hAnsi="Garamond" w:cs="Arial"/>
          <w:spacing w:val="-2"/>
          <w:lang w:val="pt-PT"/>
        </w:rPr>
        <w:t xml:space="preserve"> exclusiva para </w:t>
      </w:r>
      <w:r w:rsidR="00CA39B2" w:rsidRPr="003A1174">
        <w:rPr>
          <w:rFonts w:ascii="Garamond" w:hAnsi="Garamond" w:cs="Arial"/>
          <w:spacing w:val="-2"/>
          <w:lang w:val="pt-PT"/>
        </w:rPr>
        <w:t xml:space="preserve">a </w:t>
      </w:r>
      <w:r w:rsidR="002C7510" w:rsidRPr="003A1174">
        <w:rPr>
          <w:rFonts w:ascii="Garamond" w:hAnsi="Garamond" w:cs="Arial"/>
          <w:spacing w:val="-2"/>
          <w:lang w:val="pt-PT"/>
        </w:rPr>
        <w:t>Defesa</w:t>
      </w:r>
      <w:r w:rsidR="00275092" w:rsidRPr="003A1174">
        <w:rPr>
          <w:rFonts w:ascii="Garamond" w:hAnsi="Garamond" w:cs="Arial"/>
          <w:spacing w:val="-2"/>
          <w:lang w:val="pt-PT"/>
        </w:rPr>
        <w:t xml:space="preserve"> d</w:t>
      </w:r>
      <w:r w:rsidR="00CA39B2" w:rsidRPr="003A1174">
        <w:rPr>
          <w:rFonts w:ascii="Garamond" w:hAnsi="Garamond" w:cs="Arial"/>
          <w:spacing w:val="-2"/>
          <w:lang w:val="pt-PT"/>
        </w:rPr>
        <w:t xml:space="preserve">a </w:t>
      </w:r>
      <w:r w:rsidR="00AF192F" w:rsidRPr="003A1174">
        <w:rPr>
          <w:rFonts w:ascii="Garamond" w:hAnsi="Garamond" w:cs="Arial"/>
          <w:spacing w:val="-2"/>
          <w:lang w:val="pt-PT"/>
        </w:rPr>
        <w:t>Mulher</w:t>
      </w:r>
      <w:r w:rsidR="00CA39B2" w:rsidRPr="003A1174">
        <w:rPr>
          <w:rFonts w:ascii="Garamond" w:hAnsi="Garamond" w:cs="Arial"/>
          <w:spacing w:val="-2"/>
          <w:lang w:val="pt-PT"/>
        </w:rPr>
        <w:t xml:space="preserve"> </w:t>
      </w:r>
      <w:r w:rsidR="00497503" w:rsidRPr="003A1174">
        <w:rPr>
          <w:rFonts w:ascii="Garamond" w:hAnsi="Garamond" w:cs="Arial"/>
          <w:spacing w:val="-2"/>
          <w:lang w:val="pt-PT"/>
        </w:rPr>
        <w:t>e</w:t>
      </w:r>
      <w:r w:rsidR="00CA39B2" w:rsidRPr="003A1174">
        <w:rPr>
          <w:rFonts w:ascii="Garamond" w:hAnsi="Garamond" w:cs="Arial"/>
          <w:spacing w:val="-2"/>
          <w:lang w:val="pt-PT"/>
        </w:rPr>
        <w:t xml:space="preserve"> 42 </w:t>
      </w:r>
      <w:r w:rsidR="00275092" w:rsidRPr="003A1174">
        <w:rPr>
          <w:rFonts w:ascii="Garamond" w:hAnsi="Garamond" w:cs="Arial"/>
          <w:spacing w:val="-2"/>
          <w:lang w:val="pt-PT"/>
        </w:rPr>
        <w:t>Gabinetes Fiscai</w:t>
      </w:r>
      <w:r w:rsidR="00CA39B2" w:rsidRPr="003A1174">
        <w:rPr>
          <w:rFonts w:ascii="Garamond" w:hAnsi="Garamond" w:cs="Arial"/>
          <w:spacing w:val="-2"/>
          <w:lang w:val="pt-PT"/>
        </w:rPr>
        <w:t>s comis</w:t>
      </w:r>
      <w:r w:rsidR="00275092" w:rsidRPr="003A1174">
        <w:rPr>
          <w:rFonts w:ascii="Garamond" w:hAnsi="Garamond" w:cs="Arial"/>
          <w:spacing w:val="-2"/>
          <w:lang w:val="pt-PT"/>
        </w:rPr>
        <w:t xml:space="preserve">sários e </w:t>
      </w:r>
      <w:r w:rsidR="00CA39B2" w:rsidRPr="003A1174">
        <w:rPr>
          <w:rFonts w:ascii="Garamond" w:hAnsi="Garamond" w:cs="Arial"/>
          <w:spacing w:val="-2"/>
          <w:lang w:val="pt-PT"/>
        </w:rPr>
        <w:t xml:space="preserve">17 </w:t>
      </w:r>
      <w:r w:rsidR="00275092" w:rsidRPr="003A1174">
        <w:rPr>
          <w:rFonts w:ascii="Garamond" w:hAnsi="Garamond" w:cs="Arial"/>
          <w:spacing w:val="-2"/>
          <w:lang w:val="pt-PT"/>
        </w:rPr>
        <w:t>provedorias</w:t>
      </w:r>
      <w:r w:rsidR="00CA39B2" w:rsidRPr="003A1174">
        <w:rPr>
          <w:rFonts w:ascii="Garamond" w:hAnsi="Garamond" w:cs="Arial"/>
          <w:spacing w:val="-2"/>
          <w:lang w:val="pt-PT"/>
        </w:rPr>
        <w:t xml:space="preserve"> </w:t>
      </w:r>
      <w:r w:rsidR="00374785" w:rsidRPr="003A1174">
        <w:rPr>
          <w:rFonts w:ascii="Garamond" w:hAnsi="Garamond" w:cs="Arial"/>
          <w:spacing w:val="-2"/>
          <w:lang w:val="pt-PT"/>
        </w:rPr>
        <w:t>municipais</w:t>
      </w:r>
      <w:r w:rsidR="00CA39B2" w:rsidRPr="003A1174">
        <w:rPr>
          <w:rFonts w:ascii="Garamond" w:hAnsi="Garamond" w:cs="Arial"/>
          <w:spacing w:val="-2"/>
          <w:lang w:val="pt-PT"/>
        </w:rPr>
        <w:t xml:space="preserve"> que </w:t>
      </w:r>
      <w:r w:rsidR="00275092" w:rsidRPr="003A1174">
        <w:rPr>
          <w:rFonts w:ascii="Garamond" w:hAnsi="Garamond" w:cs="Arial"/>
          <w:spacing w:val="-2"/>
          <w:lang w:val="pt-PT"/>
        </w:rPr>
        <w:t>conhecem</w:t>
      </w:r>
      <w:r w:rsidR="00CA39B2" w:rsidRPr="003A1174">
        <w:rPr>
          <w:rFonts w:ascii="Garamond" w:hAnsi="Garamond" w:cs="Arial"/>
          <w:spacing w:val="-2"/>
          <w:lang w:val="pt-PT"/>
        </w:rPr>
        <w:t xml:space="preserve"> esta </w:t>
      </w:r>
      <w:r w:rsidR="00EF645F" w:rsidRPr="003A1174">
        <w:rPr>
          <w:rFonts w:ascii="Garamond" w:hAnsi="Garamond" w:cs="Arial"/>
          <w:spacing w:val="-2"/>
          <w:lang w:val="pt-PT"/>
        </w:rPr>
        <w:t>matéria</w:t>
      </w:r>
      <w:r w:rsidR="00CA39B2" w:rsidRPr="003A1174">
        <w:rPr>
          <w:rFonts w:ascii="Garamond" w:hAnsi="Garamond" w:cs="Arial"/>
          <w:spacing w:val="-2"/>
          <w:lang w:val="pt-PT"/>
        </w:rPr>
        <w:t xml:space="preserve"> de forma </w:t>
      </w:r>
      <w:r w:rsidR="00275092" w:rsidRPr="003A1174">
        <w:rPr>
          <w:rFonts w:ascii="Garamond" w:hAnsi="Garamond" w:cs="Arial"/>
          <w:spacing w:val="-2"/>
          <w:lang w:val="pt-PT"/>
        </w:rPr>
        <w:t>partilhada</w:t>
      </w:r>
      <w:r w:rsidR="00CA39B2" w:rsidRPr="003A1174">
        <w:rPr>
          <w:rFonts w:ascii="Garamond" w:hAnsi="Garamond" w:cs="Arial"/>
          <w:spacing w:val="-2"/>
          <w:lang w:val="pt-PT"/>
        </w:rPr>
        <w:t>.</w:t>
      </w:r>
      <w:r w:rsidR="0043311D">
        <w:rPr>
          <w:rFonts w:ascii="Garamond" w:hAnsi="Garamond" w:cs="Arial"/>
          <w:spacing w:val="-2"/>
          <w:lang w:val="pt-PT"/>
        </w:rPr>
        <w:t>»</w:t>
      </w:r>
      <w:r w:rsidR="00CA39B2" w:rsidRPr="003A1174">
        <w:rPr>
          <w:rFonts w:ascii="Garamond" w:hAnsi="Garamond" w:cs="Arial"/>
          <w:spacing w:val="-2"/>
          <w:lang w:val="pt-PT"/>
        </w:rPr>
        <w:t xml:space="preserve"> </w:t>
      </w:r>
      <w:r w:rsidR="00CA39B2" w:rsidRPr="003A1174">
        <w:rPr>
          <w:rStyle w:val="Refdenotaalpie"/>
          <w:rFonts w:ascii="Garamond" w:eastAsia="Calibri" w:hAnsi="Garamond" w:cs="Arial"/>
          <w:spacing w:val="-2"/>
        </w:rPr>
        <w:footnoteReference w:id="98"/>
      </w:r>
      <w:r w:rsidR="00CA39B2" w:rsidRPr="003A1174">
        <w:rPr>
          <w:rFonts w:ascii="Garamond" w:hAnsi="Garamond" w:cs="Arial"/>
          <w:spacing w:val="-2"/>
          <w:lang w:val="pt-PT"/>
        </w:rPr>
        <w:t xml:space="preserve"> </w:t>
      </w:r>
      <w:r w:rsidR="00275092" w:rsidRPr="003A1174">
        <w:rPr>
          <w:rFonts w:ascii="Garamond" w:hAnsi="Garamond" w:cs="Arial"/>
          <w:spacing w:val="-2"/>
          <w:lang w:val="pt-PT"/>
        </w:rPr>
        <w:t xml:space="preserve">Durante o </w:t>
      </w:r>
      <w:r w:rsidR="002C7510" w:rsidRPr="003A1174">
        <w:rPr>
          <w:rFonts w:ascii="Garamond" w:hAnsi="Garamond" w:cs="Arial"/>
          <w:spacing w:val="-2"/>
          <w:lang w:val="pt-PT"/>
        </w:rPr>
        <w:t>ano</w:t>
      </w:r>
      <w:r w:rsidR="00CA39B2" w:rsidRPr="003A1174">
        <w:rPr>
          <w:rFonts w:ascii="Garamond" w:hAnsi="Garamond" w:cs="Arial"/>
          <w:spacing w:val="-2"/>
          <w:lang w:val="pt-PT"/>
        </w:rPr>
        <w:t xml:space="preserve"> </w:t>
      </w:r>
      <w:r w:rsidR="00275092" w:rsidRPr="003A1174">
        <w:rPr>
          <w:rFonts w:ascii="Garamond" w:hAnsi="Garamond" w:cs="Arial"/>
          <w:spacing w:val="-2"/>
          <w:lang w:val="pt-PT"/>
        </w:rPr>
        <w:t xml:space="preserve">de </w:t>
      </w:r>
      <w:r w:rsidR="00CA39B2" w:rsidRPr="003A1174">
        <w:rPr>
          <w:rFonts w:ascii="Garamond" w:hAnsi="Garamond" w:cs="Arial"/>
          <w:spacing w:val="-2"/>
          <w:lang w:val="pt-PT"/>
        </w:rPr>
        <w:t xml:space="preserve">2013 </w:t>
      </w:r>
      <w:r w:rsidR="00275092" w:rsidRPr="003A1174">
        <w:rPr>
          <w:rFonts w:ascii="Garamond" w:hAnsi="Garamond" w:cs="Arial"/>
          <w:spacing w:val="-2"/>
          <w:lang w:val="pt-PT"/>
        </w:rPr>
        <w:t>receberam</w:t>
      </w:r>
      <w:r w:rsidR="00CA39B2" w:rsidRPr="003A1174">
        <w:rPr>
          <w:rFonts w:ascii="Garamond" w:hAnsi="Garamond" w:cs="Arial"/>
          <w:spacing w:val="-2"/>
          <w:lang w:val="pt-PT"/>
        </w:rPr>
        <w:t xml:space="preserve"> </w:t>
      </w:r>
      <w:r w:rsidR="00CA39B2" w:rsidRPr="003A1174">
        <w:rPr>
          <w:rFonts w:ascii="Garamond" w:hAnsi="Garamond" w:cs="Arial"/>
          <w:lang w:val="pt-PT"/>
        </w:rPr>
        <w:t>71</w:t>
      </w:r>
      <w:r w:rsidR="0043311D">
        <w:rPr>
          <w:rFonts w:ascii="Garamond" w:hAnsi="Garamond" w:cs="Arial"/>
          <w:lang w:val="pt-PT"/>
        </w:rPr>
        <w:t xml:space="preserve"> </w:t>
      </w:r>
      <w:r w:rsidR="00CA39B2" w:rsidRPr="003A1174">
        <w:rPr>
          <w:rFonts w:ascii="Garamond" w:hAnsi="Garamond" w:cs="Arial"/>
          <w:lang w:val="pt-PT"/>
        </w:rPr>
        <w:t xml:space="preserve">812 </w:t>
      </w:r>
      <w:r w:rsidR="008651AF" w:rsidRPr="003A1174">
        <w:rPr>
          <w:rFonts w:ascii="Garamond" w:hAnsi="Garamond" w:cs="Arial"/>
          <w:lang w:val="pt-PT"/>
        </w:rPr>
        <w:t>denúncia</w:t>
      </w:r>
      <w:r w:rsidR="00CA39B2" w:rsidRPr="003A1174">
        <w:rPr>
          <w:rFonts w:ascii="Garamond" w:hAnsi="Garamond" w:cs="Arial"/>
          <w:lang w:val="pt-PT"/>
        </w:rPr>
        <w:t xml:space="preserve">s por </w:t>
      </w:r>
      <w:r w:rsidR="007342D9" w:rsidRPr="003A1174">
        <w:rPr>
          <w:rFonts w:ascii="Garamond" w:hAnsi="Garamond" w:cs="Arial"/>
          <w:lang w:val="pt-PT"/>
        </w:rPr>
        <w:t>violação</w:t>
      </w:r>
      <w:r w:rsidR="00CA39B2" w:rsidRPr="003A1174">
        <w:rPr>
          <w:rFonts w:ascii="Garamond" w:hAnsi="Garamond" w:cs="Arial"/>
          <w:lang w:val="pt-PT"/>
        </w:rPr>
        <w:t xml:space="preserve"> </w:t>
      </w:r>
      <w:r w:rsidR="00497503" w:rsidRPr="003A1174">
        <w:rPr>
          <w:rFonts w:ascii="Garamond" w:hAnsi="Garamond" w:cs="Arial"/>
          <w:lang w:val="pt-PT"/>
        </w:rPr>
        <w:t>dos</w:t>
      </w:r>
      <w:r w:rsidR="00CA39B2" w:rsidRPr="003A1174">
        <w:rPr>
          <w:rFonts w:ascii="Garamond" w:hAnsi="Garamond" w:cs="Arial"/>
          <w:lang w:val="pt-PT"/>
        </w:rPr>
        <w:t xml:space="preserve"> </w:t>
      </w:r>
      <w:r w:rsidR="00886D6A" w:rsidRPr="003A1174">
        <w:rPr>
          <w:rFonts w:ascii="Garamond" w:hAnsi="Garamond" w:cs="Arial"/>
          <w:lang w:val="pt-PT"/>
        </w:rPr>
        <w:t>direito</w:t>
      </w:r>
      <w:r w:rsidR="00CA39B2" w:rsidRPr="003A1174">
        <w:rPr>
          <w:rFonts w:ascii="Garamond" w:hAnsi="Garamond" w:cs="Arial"/>
          <w:lang w:val="pt-PT"/>
        </w:rPr>
        <w:t xml:space="preserve">s </w:t>
      </w:r>
      <w:r w:rsidR="00497503" w:rsidRPr="003A1174">
        <w:rPr>
          <w:rFonts w:ascii="Garamond" w:hAnsi="Garamond" w:cs="Arial"/>
          <w:lang w:val="pt-PT"/>
        </w:rPr>
        <w:t>das</w:t>
      </w:r>
      <w:r w:rsidR="00CA39B2" w:rsidRPr="003A1174">
        <w:rPr>
          <w:rFonts w:ascii="Garamond" w:hAnsi="Garamond" w:cs="Arial"/>
          <w:lang w:val="pt-PT"/>
        </w:rPr>
        <w:t xml:space="preserve"> </w:t>
      </w:r>
      <w:r w:rsidR="00054EE0" w:rsidRPr="003A1174">
        <w:rPr>
          <w:rFonts w:ascii="Garamond" w:hAnsi="Garamond" w:cs="Arial"/>
          <w:lang w:val="pt-PT"/>
        </w:rPr>
        <w:t>mulheres</w:t>
      </w:r>
      <w:r w:rsidR="00CA39B2" w:rsidRPr="003A1174">
        <w:rPr>
          <w:rFonts w:ascii="Garamond" w:hAnsi="Garamond" w:cs="Arial"/>
          <w:lang w:val="pt-PT"/>
        </w:rPr>
        <w:t xml:space="preserve">. </w:t>
      </w:r>
      <w:r w:rsidR="00CA39B2" w:rsidRPr="003A1174">
        <w:rPr>
          <w:rStyle w:val="Refdenotaalpie"/>
          <w:rFonts w:ascii="Garamond" w:hAnsi="Garamond" w:cs="Arial"/>
        </w:rPr>
        <w:footnoteReference w:id="99"/>
      </w:r>
    </w:p>
    <w:p w:rsidR="00CA39B2" w:rsidRPr="003A1174" w:rsidRDefault="00275092"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Estabeleceu-se</w:t>
      </w:r>
      <w:r w:rsidR="00CA39B2" w:rsidRPr="003A1174">
        <w:rPr>
          <w:rFonts w:ascii="Garamond" w:hAnsi="Garamond" w:cs="Arial"/>
          <w:sz w:val="24"/>
          <w:szCs w:val="24"/>
        </w:rPr>
        <w:t xml:space="preserve"> u</w:t>
      </w:r>
      <w:r w:rsidRPr="003A1174">
        <w:rPr>
          <w:rFonts w:ascii="Garamond" w:hAnsi="Garamond" w:cs="Arial"/>
          <w:sz w:val="24"/>
          <w:szCs w:val="24"/>
        </w:rPr>
        <w:t>m</w:t>
      </w:r>
      <w:r w:rsidR="00CA39B2" w:rsidRPr="003A1174">
        <w:rPr>
          <w:rFonts w:ascii="Garamond" w:hAnsi="Garamond" w:cs="Arial"/>
          <w:sz w:val="24"/>
          <w:szCs w:val="24"/>
        </w:rPr>
        <w:t xml:space="preserve"> programa</w:t>
      </w:r>
      <w:r w:rsidR="006F3EC5">
        <w:rPr>
          <w:rFonts w:ascii="Garamond" w:hAnsi="Garamond" w:cs="Arial"/>
          <w:sz w:val="24"/>
          <w:szCs w:val="24"/>
        </w:rPr>
        <w:t>,</w:t>
      </w:r>
      <w:r w:rsidR="00CA39B2" w:rsidRPr="003A1174">
        <w:rPr>
          <w:rFonts w:ascii="Garamond" w:hAnsi="Garamond" w:cs="Arial"/>
          <w:sz w:val="24"/>
          <w:szCs w:val="24"/>
        </w:rPr>
        <w:t xml:space="preserve"> destinado </w:t>
      </w:r>
      <w:r w:rsidRPr="003A1174">
        <w:rPr>
          <w:rFonts w:ascii="Garamond" w:hAnsi="Garamond" w:cs="Arial"/>
          <w:sz w:val="24"/>
          <w:szCs w:val="24"/>
        </w:rPr>
        <w:t xml:space="preserve">à </w:t>
      </w:r>
      <w:r w:rsidR="001C2738" w:rsidRPr="003A1174">
        <w:rPr>
          <w:rFonts w:ascii="Garamond" w:hAnsi="Garamond" w:cs="Arial"/>
          <w:sz w:val="24"/>
          <w:szCs w:val="24"/>
        </w:rPr>
        <w:t>luta</w:t>
      </w:r>
      <w:r w:rsidR="00CA39B2" w:rsidRPr="003A1174">
        <w:rPr>
          <w:rFonts w:ascii="Garamond" w:hAnsi="Garamond" w:cs="Arial"/>
          <w:sz w:val="24"/>
          <w:szCs w:val="24"/>
        </w:rPr>
        <w:t xml:space="preserve"> </w:t>
      </w:r>
      <w:r w:rsidRPr="003A1174">
        <w:rPr>
          <w:rFonts w:ascii="Garamond" w:hAnsi="Garamond" w:cs="Arial"/>
          <w:sz w:val="24"/>
          <w:szCs w:val="24"/>
        </w:rPr>
        <w:t>pela</w:t>
      </w:r>
      <w:r w:rsidR="00CA39B2" w:rsidRPr="003A1174">
        <w:rPr>
          <w:rFonts w:ascii="Garamond" w:hAnsi="Garamond" w:cs="Arial"/>
          <w:sz w:val="24"/>
          <w:szCs w:val="24"/>
        </w:rPr>
        <w:t xml:space="preserve"> </w:t>
      </w:r>
      <w:r w:rsidR="00C30647" w:rsidRPr="003A1174">
        <w:rPr>
          <w:rFonts w:ascii="Garamond" w:hAnsi="Garamond" w:cs="Arial"/>
          <w:sz w:val="24"/>
          <w:szCs w:val="24"/>
        </w:rPr>
        <w:t>erradicação</w:t>
      </w:r>
      <w:r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CA39B2" w:rsidRPr="003A1174">
        <w:rPr>
          <w:rFonts w:ascii="Garamond" w:hAnsi="Garamond" w:cs="Arial"/>
          <w:sz w:val="24"/>
          <w:szCs w:val="24"/>
        </w:rPr>
        <w:t xml:space="preserve">as </w:t>
      </w:r>
      <w:r w:rsidR="00054EE0" w:rsidRPr="003A1174">
        <w:rPr>
          <w:rFonts w:ascii="Garamond" w:hAnsi="Garamond" w:cs="Arial"/>
          <w:sz w:val="24"/>
          <w:szCs w:val="24"/>
        </w:rPr>
        <w:t>mulheres</w:t>
      </w:r>
      <w:r w:rsidRPr="003A1174">
        <w:rPr>
          <w:rFonts w:ascii="Garamond" w:hAnsi="Garamond" w:cs="Arial"/>
          <w:sz w:val="24"/>
          <w:szCs w:val="24"/>
        </w:rPr>
        <w:t xml:space="preserve">, mediante </w:t>
      </w:r>
      <w:r w:rsidR="00CA39B2" w:rsidRPr="003A1174">
        <w:rPr>
          <w:rFonts w:ascii="Garamond" w:hAnsi="Garamond" w:cs="Arial"/>
          <w:sz w:val="24"/>
          <w:szCs w:val="24"/>
        </w:rPr>
        <w:t xml:space="preserve">a </w:t>
      </w:r>
      <w:r w:rsidR="00201889" w:rsidRPr="003A1174">
        <w:rPr>
          <w:rFonts w:ascii="Garamond" w:hAnsi="Garamond" w:cs="Arial"/>
          <w:sz w:val="24"/>
          <w:szCs w:val="24"/>
        </w:rPr>
        <w:t>Criação</w:t>
      </w:r>
      <w:r w:rsidR="00CA39B2" w:rsidRPr="003A1174">
        <w:rPr>
          <w:rFonts w:ascii="Garamond" w:hAnsi="Garamond" w:cs="Arial"/>
          <w:sz w:val="24"/>
          <w:szCs w:val="24"/>
        </w:rPr>
        <w:t xml:space="preserve"> da </w:t>
      </w:r>
      <w:r w:rsidR="002C7510" w:rsidRPr="003A1174">
        <w:rPr>
          <w:rFonts w:ascii="Garamond" w:hAnsi="Garamond" w:cs="Arial"/>
          <w:sz w:val="24"/>
          <w:szCs w:val="24"/>
        </w:rPr>
        <w:t>Rede</w:t>
      </w:r>
      <w:r w:rsidR="00CA39B2" w:rsidRPr="003A1174">
        <w:rPr>
          <w:rFonts w:ascii="Garamond" w:hAnsi="Garamond" w:cs="Arial"/>
          <w:sz w:val="24"/>
          <w:szCs w:val="24"/>
        </w:rPr>
        <w:t xml:space="preserve"> Nacional de </w:t>
      </w:r>
      <w:r w:rsidR="00CA39B2" w:rsidRPr="003A1174">
        <w:rPr>
          <w:rFonts w:ascii="Garamond" w:hAnsi="Garamond" w:cs="Arial"/>
          <w:i/>
          <w:sz w:val="24"/>
          <w:szCs w:val="24"/>
        </w:rPr>
        <w:t>Defensoras Comunales</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Comunitá</w:t>
      </w:r>
      <w:r w:rsidR="00CA39B2" w:rsidRPr="003A1174">
        <w:rPr>
          <w:rFonts w:ascii="Garamond" w:hAnsi="Garamond" w:cs="Arial"/>
          <w:sz w:val="24"/>
          <w:szCs w:val="24"/>
        </w:rPr>
        <w:t xml:space="preserve">rias </w:t>
      </w:r>
      <w:r w:rsidRPr="003A1174">
        <w:rPr>
          <w:rFonts w:ascii="Garamond" w:hAnsi="Garamond" w:cs="Arial"/>
          <w:sz w:val="24"/>
          <w:szCs w:val="24"/>
        </w:rPr>
        <w:t xml:space="preserve">no </w:t>
      </w:r>
      <w:r w:rsidR="00253B1D" w:rsidRPr="003A1174">
        <w:rPr>
          <w:rFonts w:ascii="Garamond" w:hAnsi="Garamond" w:cs="Arial"/>
          <w:sz w:val="24"/>
          <w:szCs w:val="24"/>
        </w:rPr>
        <w:t>quadro</w:t>
      </w:r>
      <w:r w:rsidR="00CA39B2" w:rsidRPr="003A1174">
        <w:rPr>
          <w:rFonts w:ascii="Garamond" w:hAnsi="Garamond" w:cs="Arial"/>
          <w:sz w:val="24"/>
          <w:szCs w:val="24"/>
        </w:rPr>
        <w:t xml:space="preserve"> d</w:t>
      </w:r>
      <w:r w:rsidRPr="003A1174">
        <w:rPr>
          <w:rFonts w:ascii="Garamond" w:hAnsi="Garamond" w:cs="Arial"/>
          <w:sz w:val="24"/>
          <w:szCs w:val="24"/>
        </w:rPr>
        <w:t xml:space="preserve">a Provedoria </w:t>
      </w:r>
      <w:r w:rsidR="00CA39B2" w:rsidRPr="003A1174">
        <w:rPr>
          <w:rFonts w:ascii="Garamond" w:hAnsi="Garamond" w:cs="Arial"/>
          <w:sz w:val="24"/>
          <w:szCs w:val="24"/>
        </w:rPr>
        <w:t xml:space="preserve">Nacional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s d</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Pr="003A1174">
        <w:rPr>
          <w:rFonts w:ascii="Garamond" w:hAnsi="Garamond" w:cs="Arial"/>
          <w:sz w:val="24"/>
          <w:szCs w:val="24"/>
        </w:rPr>
        <w:t>INAMUJER</w:t>
      </w:r>
      <w:r w:rsidR="00CA39B2" w:rsidRPr="003A1174">
        <w:rPr>
          <w:rFonts w:ascii="Garamond" w:hAnsi="Garamond" w:cs="Arial"/>
          <w:sz w:val="24"/>
          <w:szCs w:val="24"/>
        </w:rPr>
        <w:t xml:space="preserve">). </w:t>
      </w:r>
    </w:p>
    <w:p w:rsidR="00815AEE" w:rsidRPr="003A1174" w:rsidRDefault="00275092" w:rsidP="008719D4">
      <w:pPr>
        <w:autoSpaceDE w:val="0"/>
        <w:autoSpaceDN w:val="0"/>
        <w:adjustRightInd w:val="0"/>
        <w:spacing w:before="240" w:after="0" w:line="240" w:lineRule="auto"/>
        <w:jc w:val="both"/>
        <w:rPr>
          <w:rFonts w:ascii="Garamond" w:hAnsi="Garamond"/>
          <w:sz w:val="24"/>
          <w:szCs w:val="24"/>
        </w:rPr>
      </w:pPr>
      <w:r w:rsidRPr="003A1174">
        <w:rPr>
          <w:rFonts w:ascii="Garamond" w:hAnsi="Garamond" w:cs="Arial"/>
          <w:sz w:val="24"/>
          <w:szCs w:val="24"/>
        </w:rPr>
        <w:t xml:space="preserve">O </w:t>
      </w:r>
      <w:r w:rsidR="00CA39B2" w:rsidRPr="003A1174">
        <w:rPr>
          <w:rFonts w:ascii="Garamond" w:hAnsi="Garamond" w:cs="Arial"/>
          <w:sz w:val="24"/>
          <w:szCs w:val="24"/>
        </w:rPr>
        <w:t xml:space="preserve">programa centra </w:t>
      </w:r>
      <w:r w:rsidRPr="003A1174">
        <w:rPr>
          <w:rFonts w:ascii="Garamond" w:hAnsi="Garamond" w:cs="Arial"/>
          <w:sz w:val="24"/>
          <w:szCs w:val="24"/>
        </w:rPr>
        <w:t xml:space="preserve">as </w:t>
      </w:r>
      <w:r w:rsidR="00CA39B2" w:rsidRPr="003A1174">
        <w:rPr>
          <w:rFonts w:ascii="Garamond" w:hAnsi="Garamond" w:cs="Arial"/>
          <w:sz w:val="24"/>
          <w:szCs w:val="24"/>
        </w:rPr>
        <w:t>su</w:t>
      </w:r>
      <w:r w:rsidRPr="003A1174">
        <w:rPr>
          <w:rFonts w:ascii="Garamond" w:hAnsi="Garamond" w:cs="Arial"/>
          <w:sz w:val="24"/>
          <w:szCs w:val="24"/>
        </w:rPr>
        <w:t xml:space="preserve">as </w:t>
      </w:r>
      <w:r w:rsidR="00374785" w:rsidRPr="003A1174">
        <w:rPr>
          <w:rFonts w:ascii="Garamond" w:hAnsi="Garamond" w:cs="Arial"/>
          <w:sz w:val="24"/>
          <w:szCs w:val="24"/>
        </w:rPr>
        <w:t>atividades</w:t>
      </w:r>
      <w:r w:rsidR="00CA39B2" w:rsidRPr="003A1174">
        <w:rPr>
          <w:rFonts w:ascii="Garamond" w:hAnsi="Garamond" w:cs="Arial"/>
          <w:sz w:val="24"/>
          <w:szCs w:val="24"/>
        </w:rPr>
        <w:t xml:space="preserve"> </w:t>
      </w:r>
      <w:r w:rsidRPr="003A1174">
        <w:rPr>
          <w:rFonts w:ascii="Garamond" w:hAnsi="Garamond" w:cs="Arial"/>
          <w:sz w:val="24"/>
          <w:szCs w:val="24"/>
        </w:rPr>
        <w:t>n</w:t>
      </w:r>
      <w:r w:rsidR="00CA39B2" w:rsidRPr="003A1174">
        <w:rPr>
          <w:rFonts w:ascii="Garamond" w:hAnsi="Garamond" w:cs="Arial"/>
          <w:sz w:val="24"/>
          <w:szCs w:val="24"/>
        </w:rPr>
        <w:t xml:space="preserve">a </w:t>
      </w:r>
      <w:r w:rsidR="007578C6" w:rsidRPr="003A1174">
        <w:rPr>
          <w:rFonts w:ascii="Garamond" w:hAnsi="Garamond" w:cs="Arial"/>
          <w:sz w:val="24"/>
          <w:szCs w:val="24"/>
        </w:rPr>
        <w:t>prevenção</w:t>
      </w:r>
      <w:r w:rsidR="00CA39B2" w:rsidRPr="003A1174">
        <w:rPr>
          <w:rFonts w:ascii="Garamond" w:hAnsi="Garamond" w:cs="Arial"/>
          <w:sz w:val="24"/>
          <w:szCs w:val="24"/>
        </w:rPr>
        <w:t xml:space="preserve">, </w:t>
      </w:r>
      <w:r w:rsidR="0017447A" w:rsidRPr="003A1174">
        <w:rPr>
          <w:rFonts w:ascii="Garamond" w:hAnsi="Garamond" w:cs="Arial"/>
          <w:sz w:val="24"/>
          <w:szCs w:val="24"/>
        </w:rPr>
        <w:t>abordagem</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3F012B" w:rsidRPr="003A1174">
        <w:rPr>
          <w:rFonts w:ascii="Garamond" w:hAnsi="Garamond" w:cs="Arial"/>
          <w:sz w:val="24"/>
          <w:szCs w:val="24"/>
        </w:rPr>
        <w:t>acompanhamento</w:t>
      </w:r>
      <w:r w:rsidR="00CA39B2" w:rsidRPr="003A1174">
        <w:rPr>
          <w:rFonts w:ascii="Garamond" w:hAnsi="Garamond" w:cs="Arial"/>
          <w:sz w:val="24"/>
          <w:szCs w:val="24"/>
        </w:rPr>
        <w:t xml:space="preserve"> de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s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machista</w:t>
      </w:r>
      <w:r w:rsidR="00B05007" w:rsidRPr="003A1174">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é </w:t>
      </w:r>
      <w:r w:rsidR="00BD6A0C" w:rsidRPr="003A1174">
        <w:rPr>
          <w:rFonts w:ascii="Garamond" w:hAnsi="Garamond" w:cs="Arial"/>
          <w:sz w:val="24"/>
          <w:szCs w:val="24"/>
        </w:rPr>
        <w:t>executa</w:t>
      </w:r>
      <w:r w:rsidR="00CA39B2" w:rsidRPr="003A1174">
        <w:rPr>
          <w:rFonts w:ascii="Garamond" w:hAnsi="Garamond" w:cs="Arial"/>
          <w:sz w:val="24"/>
          <w:szCs w:val="24"/>
        </w:rPr>
        <w:t>do</w:t>
      </w:r>
      <w:r w:rsidR="006F3EC5">
        <w:rPr>
          <w:rFonts w:ascii="Garamond" w:hAnsi="Garamond" w:cs="Arial"/>
          <w:sz w:val="24"/>
          <w:szCs w:val="24"/>
        </w:rPr>
        <w:t>,</w:t>
      </w:r>
      <w:r w:rsidR="00CA39B2" w:rsidRPr="003A1174">
        <w:rPr>
          <w:rFonts w:ascii="Garamond" w:hAnsi="Garamond" w:cs="Arial"/>
          <w:sz w:val="24"/>
          <w:szCs w:val="24"/>
        </w:rPr>
        <w:t xml:space="preserve"> </w:t>
      </w:r>
      <w:r w:rsidR="00731B19" w:rsidRPr="003A1174">
        <w:rPr>
          <w:rFonts w:ascii="Garamond" w:hAnsi="Garamond" w:cs="Arial"/>
          <w:sz w:val="24"/>
          <w:szCs w:val="24"/>
        </w:rPr>
        <w:t>diretamente</w:t>
      </w:r>
      <w:r w:rsidR="006F3EC5">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pela</w:t>
      </w:r>
      <w:r w:rsidR="00CA39B2" w:rsidRPr="003A1174">
        <w:rPr>
          <w:rFonts w:ascii="Garamond" w:hAnsi="Garamond" w:cs="Arial"/>
          <w:sz w:val="24"/>
          <w:szCs w:val="24"/>
        </w:rPr>
        <w:t xml:space="preserve">s </w:t>
      </w:r>
      <w:r w:rsidR="00054EE0" w:rsidRPr="007B3401">
        <w:rPr>
          <w:rFonts w:ascii="Garamond" w:hAnsi="Garamond" w:cs="Arial"/>
          <w:sz w:val="24"/>
          <w:szCs w:val="24"/>
        </w:rPr>
        <w:t>mulheres</w:t>
      </w:r>
      <w:r w:rsidR="00CA39B2" w:rsidRPr="007B3401">
        <w:rPr>
          <w:rFonts w:ascii="Garamond" w:hAnsi="Garamond" w:cs="Arial"/>
          <w:sz w:val="24"/>
          <w:szCs w:val="24"/>
        </w:rPr>
        <w:t xml:space="preserve"> de base</w:t>
      </w:r>
      <w:r w:rsidRPr="003A1174">
        <w:rPr>
          <w:rFonts w:ascii="Garamond" w:hAnsi="Garamond" w:cs="Arial"/>
          <w:sz w:val="24"/>
          <w:szCs w:val="24"/>
        </w:rPr>
        <w:t xml:space="preserve"> n</w:t>
      </w:r>
      <w:r w:rsidR="00CA39B2" w:rsidRPr="003A1174">
        <w:rPr>
          <w:rFonts w:ascii="Garamond" w:hAnsi="Garamond" w:cs="Arial"/>
          <w:sz w:val="24"/>
          <w:szCs w:val="24"/>
        </w:rPr>
        <w:t xml:space="preserve">as comunidades. </w:t>
      </w:r>
      <w:r w:rsidRPr="003A1174">
        <w:rPr>
          <w:rFonts w:ascii="Garamond" w:hAnsi="Garamond" w:cs="Arial"/>
          <w:sz w:val="24"/>
          <w:szCs w:val="24"/>
        </w:rPr>
        <w:t xml:space="preserve">No </w:t>
      </w:r>
      <w:r w:rsidR="00276DCA" w:rsidRPr="003A1174">
        <w:rPr>
          <w:rFonts w:ascii="Garamond" w:hAnsi="Garamond" w:cs="Arial"/>
          <w:sz w:val="24"/>
          <w:szCs w:val="24"/>
        </w:rPr>
        <w:t>primeiro</w:t>
      </w:r>
      <w:r w:rsidR="00CA39B2" w:rsidRPr="003A1174">
        <w:rPr>
          <w:rFonts w:ascii="Garamond" w:hAnsi="Garamond" w:cs="Arial"/>
          <w:sz w:val="24"/>
          <w:szCs w:val="24"/>
        </w:rPr>
        <w:t xml:space="preserve"> trimestre </w:t>
      </w:r>
      <w:r w:rsidR="008A3DA2" w:rsidRPr="003A1174">
        <w:rPr>
          <w:rFonts w:ascii="Garamond" w:hAnsi="Garamond" w:cs="Arial"/>
          <w:sz w:val="24"/>
          <w:szCs w:val="24"/>
        </w:rPr>
        <w:t>d</w:t>
      </w:r>
      <w:r w:rsidRPr="003A1174">
        <w:rPr>
          <w:rFonts w:ascii="Garamond" w:hAnsi="Garamond" w:cs="Arial"/>
          <w:sz w:val="24"/>
          <w:szCs w:val="24"/>
        </w:rPr>
        <w:t xml:space="preserve">e </w:t>
      </w:r>
      <w:r w:rsidR="00CA39B2" w:rsidRPr="003A1174">
        <w:rPr>
          <w:rFonts w:ascii="Garamond" w:hAnsi="Garamond" w:cs="Arial"/>
          <w:sz w:val="24"/>
          <w:szCs w:val="24"/>
        </w:rPr>
        <w:t>2014</w:t>
      </w:r>
      <w:r w:rsidR="002B5F3A">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formaram-</w:t>
      </w:r>
      <w:r w:rsidR="00CA39B2" w:rsidRPr="003A1174">
        <w:rPr>
          <w:rFonts w:ascii="Garamond" w:hAnsi="Garamond" w:cs="Arial"/>
          <w:sz w:val="24"/>
          <w:szCs w:val="24"/>
        </w:rPr>
        <w:t xml:space="preserve">se </w:t>
      </w:r>
      <w:r w:rsidR="00497503" w:rsidRPr="003A1174">
        <w:rPr>
          <w:rFonts w:ascii="Garamond" w:hAnsi="Garamond" w:cs="Arial"/>
          <w:sz w:val="24"/>
          <w:szCs w:val="24"/>
        </w:rPr>
        <w:t>e</w:t>
      </w:r>
      <w:r w:rsidR="00CA39B2" w:rsidRPr="003A1174">
        <w:rPr>
          <w:rFonts w:ascii="Garamond" w:hAnsi="Garamond" w:cs="Arial"/>
          <w:sz w:val="24"/>
          <w:szCs w:val="24"/>
        </w:rPr>
        <w:t xml:space="preserve"> ativar</w:t>
      </w:r>
      <w:r w:rsidRPr="003A1174">
        <w:rPr>
          <w:rFonts w:ascii="Garamond" w:hAnsi="Garamond" w:cs="Arial"/>
          <w:sz w:val="24"/>
          <w:szCs w:val="24"/>
        </w:rPr>
        <w:t xml:space="preserve">am-se </w:t>
      </w:r>
      <w:r w:rsidR="00CA39B2" w:rsidRPr="003A1174">
        <w:rPr>
          <w:rFonts w:ascii="Garamond" w:hAnsi="Garamond" w:cs="Arial"/>
          <w:sz w:val="24"/>
          <w:szCs w:val="24"/>
        </w:rPr>
        <w:t xml:space="preserve">as </w:t>
      </w:r>
      <w:r w:rsidR="00DC5DA7" w:rsidRPr="003A1174">
        <w:rPr>
          <w:rFonts w:ascii="Garamond" w:hAnsi="Garamond" w:cs="Arial"/>
          <w:i/>
          <w:sz w:val="24"/>
          <w:szCs w:val="24"/>
        </w:rPr>
        <w:t>Provedorias</w:t>
      </w:r>
      <w:r w:rsidR="00CA39B2" w:rsidRPr="003A1174">
        <w:rPr>
          <w:rFonts w:ascii="Garamond" w:hAnsi="Garamond" w:cs="Arial"/>
          <w:i/>
          <w:sz w:val="24"/>
          <w:szCs w:val="24"/>
        </w:rPr>
        <w:t xml:space="preserve"> Comunales </w:t>
      </w:r>
      <w:r w:rsidR="00497503" w:rsidRPr="003A1174">
        <w:rPr>
          <w:rFonts w:ascii="Garamond" w:hAnsi="Garamond" w:cs="Arial"/>
          <w:i/>
          <w:sz w:val="24"/>
          <w:szCs w:val="24"/>
        </w:rPr>
        <w:t>dos</w:t>
      </w:r>
      <w:r w:rsidR="00CA39B2" w:rsidRPr="003A1174">
        <w:rPr>
          <w:rFonts w:ascii="Garamond" w:hAnsi="Garamond" w:cs="Arial"/>
          <w:i/>
          <w:sz w:val="24"/>
          <w:szCs w:val="24"/>
        </w:rPr>
        <w:t xml:space="preserve"> </w:t>
      </w:r>
      <w:r w:rsidR="00886D6A" w:rsidRPr="003A1174">
        <w:rPr>
          <w:rFonts w:ascii="Garamond" w:hAnsi="Garamond" w:cs="Arial"/>
          <w:i/>
          <w:sz w:val="24"/>
          <w:szCs w:val="24"/>
        </w:rPr>
        <w:t>Direito</w:t>
      </w:r>
      <w:r w:rsidR="00CA39B2" w:rsidRPr="003A1174">
        <w:rPr>
          <w:rFonts w:ascii="Garamond" w:hAnsi="Garamond" w:cs="Arial"/>
          <w:i/>
          <w:sz w:val="24"/>
          <w:szCs w:val="24"/>
        </w:rPr>
        <w:t xml:space="preserve">s </w:t>
      </w:r>
      <w:r w:rsidR="00497503" w:rsidRPr="003A1174">
        <w:rPr>
          <w:rFonts w:ascii="Garamond" w:hAnsi="Garamond" w:cs="Arial"/>
          <w:i/>
          <w:sz w:val="24"/>
          <w:szCs w:val="24"/>
        </w:rPr>
        <w:t>das</w:t>
      </w:r>
      <w:r w:rsidR="00CA39B2" w:rsidRPr="003A1174">
        <w:rPr>
          <w:rFonts w:ascii="Garamond" w:hAnsi="Garamond" w:cs="Arial"/>
          <w:i/>
          <w:sz w:val="24"/>
          <w:szCs w:val="24"/>
        </w:rPr>
        <w:t xml:space="preserve"> </w:t>
      </w:r>
      <w:r w:rsidR="00AF192F" w:rsidRPr="003A1174">
        <w:rPr>
          <w:rFonts w:ascii="Garamond" w:hAnsi="Garamond" w:cs="Arial"/>
          <w:i/>
          <w:sz w:val="24"/>
          <w:szCs w:val="24"/>
        </w:rPr>
        <w:t>Mulher</w:t>
      </w:r>
      <w:r w:rsidRPr="003A1174">
        <w:rPr>
          <w:rFonts w:ascii="Garamond" w:hAnsi="Garamond" w:cs="Arial"/>
          <w:i/>
          <w:sz w:val="24"/>
          <w:szCs w:val="24"/>
        </w:rPr>
        <w:t>es</w:t>
      </w:r>
      <w:r w:rsidR="00CA39B2" w:rsidRPr="003A1174">
        <w:rPr>
          <w:rFonts w:ascii="Garamond" w:hAnsi="Garamond" w:cs="Arial"/>
          <w:sz w:val="24"/>
          <w:szCs w:val="24"/>
        </w:rPr>
        <w:t xml:space="preserve">, </w:t>
      </w:r>
      <w:r w:rsidR="006F3EC5">
        <w:rPr>
          <w:rFonts w:ascii="Garamond" w:hAnsi="Garamond" w:cs="Arial"/>
          <w:sz w:val="24"/>
          <w:szCs w:val="24"/>
        </w:rPr>
        <w:t>«</w:t>
      </w:r>
      <w:r w:rsidR="00CA39B2" w:rsidRPr="003A1174">
        <w:rPr>
          <w:rFonts w:ascii="Garamond" w:hAnsi="Garamond" w:cs="Arial"/>
          <w:sz w:val="24"/>
          <w:szCs w:val="24"/>
        </w:rPr>
        <w:t>co</w:t>
      </w:r>
      <w:r w:rsidRPr="003A1174">
        <w:rPr>
          <w:rFonts w:ascii="Garamond" w:hAnsi="Garamond" w:cs="Arial"/>
          <w:sz w:val="24"/>
          <w:szCs w:val="24"/>
        </w:rPr>
        <w:t xml:space="preserve">m </w:t>
      </w:r>
      <w:r w:rsidR="00CA39B2" w:rsidRPr="003A1174">
        <w:rPr>
          <w:rFonts w:ascii="Garamond" w:hAnsi="Garamond" w:cs="Arial"/>
          <w:sz w:val="24"/>
          <w:szCs w:val="24"/>
        </w:rPr>
        <w:t xml:space="preserve">a </w:t>
      </w:r>
      <w:r w:rsidR="0017447A" w:rsidRPr="003A1174">
        <w:rPr>
          <w:rFonts w:ascii="Garamond" w:hAnsi="Garamond" w:cs="Arial"/>
          <w:sz w:val="24"/>
          <w:szCs w:val="24"/>
        </w:rPr>
        <w:t>participação</w:t>
      </w:r>
      <w:r w:rsidR="006F3EC5">
        <w:rPr>
          <w:rFonts w:ascii="Garamond" w:hAnsi="Garamond" w:cs="Arial"/>
          <w:sz w:val="24"/>
          <w:szCs w:val="24"/>
        </w:rPr>
        <w:t xml:space="preserve"> de</w:t>
      </w:r>
      <w:r w:rsidR="00CA39B2" w:rsidRPr="003A1174">
        <w:rPr>
          <w:rFonts w:ascii="Garamond" w:hAnsi="Garamond" w:cs="Arial"/>
          <w:sz w:val="24"/>
          <w:szCs w:val="24"/>
        </w:rPr>
        <w:t xml:space="preserve"> 703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comunidades, </w:t>
      </w:r>
      <w:r w:rsidRPr="003A1174">
        <w:rPr>
          <w:rFonts w:ascii="Garamond" w:hAnsi="Garamond" w:cs="Arial"/>
          <w:sz w:val="24"/>
          <w:szCs w:val="24"/>
        </w:rPr>
        <w:t>n</w:t>
      </w:r>
      <w:r w:rsidR="00CA39B2" w:rsidRPr="003A1174">
        <w:rPr>
          <w:rFonts w:ascii="Garamond" w:hAnsi="Garamond" w:cs="Arial"/>
          <w:sz w:val="24"/>
          <w:szCs w:val="24"/>
        </w:rPr>
        <w:t xml:space="preserve">a </w:t>
      </w:r>
      <w:r w:rsidR="004C1496" w:rsidRPr="003A1174">
        <w:rPr>
          <w:rFonts w:ascii="Garamond" w:hAnsi="Garamond" w:cs="Arial"/>
          <w:sz w:val="24"/>
          <w:szCs w:val="24"/>
        </w:rPr>
        <w:t>primeira</w:t>
      </w:r>
      <w:r w:rsidR="00CA39B2" w:rsidRPr="003A1174">
        <w:rPr>
          <w:rFonts w:ascii="Garamond" w:hAnsi="Garamond" w:cs="Arial"/>
          <w:sz w:val="24"/>
          <w:szCs w:val="24"/>
        </w:rPr>
        <w:t xml:space="preserve"> etapa</w:t>
      </w:r>
      <w:r w:rsidR="006F3EC5">
        <w:rPr>
          <w:rFonts w:ascii="Garamond" w:hAnsi="Garamond" w:cs="Arial"/>
          <w:sz w:val="24"/>
          <w:szCs w:val="24"/>
        </w:rPr>
        <w:t>,</w:t>
      </w:r>
      <w:r w:rsidR="00CA39B2" w:rsidRPr="003A1174">
        <w:rPr>
          <w:rFonts w:ascii="Garamond" w:hAnsi="Garamond" w:cs="Arial"/>
          <w:sz w:val="24"/>
          <w:szCs w:val="24"/>
        </w:rPr>
        <w:t xml:space="preserve"> </w:t>
      </w:r>
      <w:r w:rsidR="005C2020" w:rsidRPr="003A1174">
        <w:rPr>
          <w:rFonts w:ascii="Garamond" w:hAnsi="Garamond" w:cs="Arial"/>
          <w:sz w:val="24"/>
          <w:szCs w:val="24"/>
        </w:rPr>
        <w:t xml:space="preserve">face à </w:t>
      </w:r>
      <w:r w:rsidR="00A04525" w:rsidRPr="003A1174">
        <w:rPr>
          <w:rFonts w:ascii="Garamond" w:hAnsi="Garamond" w:cs="Arial"/>
          <w:sz w:val="24"/>
          <w:szCs w:val="24"/>
        </w:rPr>
        <w:t>perspetiva</w:t>
      </w:r>
      <w:r w:rsidR="00CA39B2" w:rsidRPr="003A1174">
        <w:rPr>
          <w:rFonts w:ascii="Garamond" w:hAnsi="Garamond" w:cs="Arial"/>
          <w:sz w:val="24"/>
          <w:szCs w:val="24"/>
        </w:rPr>
        <w:t xml:space="preserve"> previst</w:t>
      </w:r>
      <w:r w:rsidR="005C2020" w:rsidRPr="003A1174">
        <w:rPr>
          <w:rFonts w:ascii="Garamond" w:hAnsi="Garamond" w:cs="Arial"/>
          <w:sz w:val="24"/>
          <w:szCs w:val="24"/>
        </w:rPr>
        <w:t>a no</w:t>
      </w:r>
      <w:r w:rsidR="00CA39B2" w:rsidRPr="003A1174">
        <w:rPr>
          <w:rFonts w:ascii="Garamond" w:hAnsi="Garamond" w:cs="Arial"/>
          <w:sz w:val="24"/>
          <w:szCs w:val="24"/>
        </w:rPr>
        <w:t xml:space="preserve">s 254 Comités da </w:t>
      </w:r>
      <w:r w:rsidR="00AF192F" w:rsidRPr="003A1174">
        <w:rPr>
          <w:rFonts w:ascii="Garamond" w:hAnsi="Garamond" w:cs="Arial"/>
          <w:sz w:val="24"/>
          <w:szCs w:val="24"/>
        </w:rPr>
        <w:t>Mulher</w:t>
      </w:r>
      <w:r w:rsidR="00CA39B2" w:rsidRPr="003A1174">
        <w:rPr>
          <w:rFonts w:ascii="Garamond" w:hAnsi="Garamond" w:cs="Arial"/>
          <w:sz w:val="24"/>
          <w:szCs w:val="24"/>
        </w:rPr>
        <w:t xml:space="preserve"> e </w:t>
      </w:r>
      <w:r w:rsidR="002C7510" w:rsidRPr="003A1174">
        <w:rPr>
          <w:rFonts w:ascii="Garamond" w:hAnsi="Garamond" w:cs="Arial"/>
          <w:sz w:val="24"/>
          <w:szCs w:val="24"/>
        </w:rPr>
        <w:t>Igualdade</w:t>
      </w:r>
      <w:r w:rsidR="00CA39B2" w:rsidRPr="003A1174">
        <w:rPr>
          <w:rFonts w:ascii="Garamond" w:hAnsi="Garamond" w:cs="Arial"/>
          <w:sz w:val="24"/>
          <w:szCs w:val="24"/>
        </w:rPr>
        <w:t xml:space="preserve"> de Género </w:t>
      </w:r>
      <w:r w:rsidR="005C2020" w:rsidRPr="003A1174">
        <w:rPr>
          <w:rFonts w:ascii="Garamond" w:hAnsi="Garamond" w:cs="Arial"/>
          <w:sz w:val="24"/>
          <w:szCs w:val="24"/>
        </w:rPr>
        <w:t xml:space="preserve">no </w:t>
      </w:r>
      <w:r w:rsidR="00CA39B2" w:rsidRPr="003A1174">
        <w:rPr>
          <w:rFonts w:ascii="Garamond" w:hAnsi="Garamond" w:cs="Arial"/>
          <w:sz w:val="24"/>
          <w:szCs w:val="24"/>
        </w:rPr>
        <w:t>Poder Popular impuls</w:t>
      </w:r>
      <w:r w:rsidR="005C2020" w:rsidRPr="003A1174">
        <w:rPr>
          <w:rFonts w:ascii="Garamond" w:hAnsi="Garamond" w:cs="Arial"/>
          <w:sz w:val="24"/>
          <w:szCs w:val="24"/>
        </w:rPr>
        <w:t>ion</w:t>
      </w:r>
      <w:r w:rsidR="00CA39B2" w:rsidRPr="003A1174">
        <w:rPr>
          <w:rFonts w:ascii="Garamond" w:hAnsi="Garamond" w:cs="Arial"/>
          <w:sz w:val="24"/>
          <w:szCs w:val="24"/>
        </w:rPr>
        <w:t xml:space="preserve">ados por </w:t>
      </w:r>
      <w:r w:rsidR="006506C6" w:rsidRPr="003A1174">
        <w:rPr>
          <w:rFonts w:ascii="Garamond" w:hAnsi="Garamond" w:cs="Arial"/>
          <w:sz w:val="24"/>
          <w:szCs w:val="24"/>
        </w:rPr>
        <w:t>Governo</w:t>
      </w:r>
      <w:r w:rsidR="00CA39B2" w:rsidRPr="003A1174">
        <w:rPr>
          <w:rFonts w:ascii="Garamond" w:hAnsi="Garamond" w:cs="Arial"/>
          <w:sz w:val="24"/>
          <w:szCs w:val="24"/>
        </w:rPr>
        <w:t xml:space="preserve"> Bolivariano”.</w:t>
      </w:r>
      <w:r w:rsidR="00CA39B2" w:rsidRPr="003A1174">
        <w:rPr>
          <w:rStyle w:val="Refdenotaalpie"/>
          <w:rFonts w:ascii="Garamond" w:hAnsi="Garamond" w:cs="Arial"/>
          <w:sz w:val="24"/>
          <w:szCs w:val="24"/>
        </w:rPr>
        <w:footnoteReference w:id="100"/>
      </w:r>
    </w:p>
    <w:p w:rsidR="00CA39B2" w:rsidRPr="003A1174" w:rsidRDefault="0065626F" w:rsidP="008719D4">
      <w:pPr>
        <w:pStyle w:val="Ttulo1"/>
        <w:rPr>
          <w:rFonts w:ascii="Garamond" w:hAnsi="Garamond" w:cs="Arial"/>
          <w:b w:val="0"/>
          <w:szCs w:val="24"/>
          <w:lang w:val="pt-PT"/>
        </w:rPr>
      </w:pPr>
      <w:bookmarkStart w:id="29" w:name="_Toc421529717"/>
      <w:r w:rsidRPr="003A1174">
        <w:rPr>
          <w:rStyle w:val="Ttulo2Car"/>
          <w:rFonts w:ascii="Garamond" w:hAnsi="Garamond"/>
          <w:b/>
          <w:szCs w:val="24"/>
          <w:lang w:val="pt-PT"/>
        </w:rPr>
        <w:t>2.</w:t>
      </w:r>
      <w:r w:rsidR="005C2020" w:rsidRPr="003A1174">
        <w:rPr>
          <w:rStyle w:val="Ttulo2Car"/>
          <w:rFonts w:ascii="Garamond" w:hAnsi="Garamond"/>
          <w:b/>
          <w:szCs w:val="24"/>
          <w:lang w:val="pt-PT"/>
        </w:rPr>
        <w:t>2</w:t>
      </w:r>
      <w:r w:rsidR="006F3EC5">
        <w:rPr>
          <w:rStyle w:val="Ttulo2Car"/>
          <w:rFonts w:ascii="Garamond" w:hAnsi="Garamond"/>
          <w:b/>
          <w:szCs w:val="24"/>
          <w:lang w:val="pt-PT"/>
        </w:rPr>
        <w:t>.</w:t>
      </w:r>
      <w:r w:rsidR="005C2020" w:rsidRPr="003A1174">
        <w:rPr>
          <w:rStyle w:val="Ttulo2Car"/>
          <w:rFonts w:ascii="Garamond" w:hAnsi="Garamond"/>
          <w:b/>
          <w:szCs w:val="24"/>
          <w:lang w:val="pt-PT"/>
        </w:rPr>
        <w:t xml:space="preserve"> Decisões</w:t>
      </w:r>
      <w:r w:rsidR="001E6583" w:rsidRPr="003A1174">
        <w:rPr>
          <w:rStyle w:val="Ttulo2Car"/>
          <w:rFonts w:ascii="Garamond" w:hAnsi="Garamond"/>
          <w:b/>
          <w:szCs w:val="24"/>
          <w:lang w:val="pt-PT"/>
        </w:rPr>
        <w:t xml:space="preserve"> </w:t>
      </w:r>
      <w:r w:rsidR="00DC5DA7" w:rsidRPr="003A1174">
        <w:rPr>
          <w:rStyle w:val="Ttulo2Car"/>
          <w:rFonts w:ascii="Garamond" w:hAnsi="Garamond"/>
          <w:b/>
          <w:szCs w:val="24"/>
          <w:lang w:val="pt-PT"/>
        </w:rPr>
        <w:t>jurisdicionais</w:t>
      </w:r>
      <w:r w:rsidR="001E6583" w:rsidRPr="003A1174">
        <w:rPr>
          <w:rStyle w:val="Ttulo2Car"/>
          <w:rFonts w:ascii="Garamond" w:hAnsi="Garamond"/>
          <w:b/>
          <w:szCs w:val="24"/>
          <w:lang w:val="pt-PT"/>
        </w:rPr>
        <w:t xml:space="preserve"> significativa</w:t>
      </w:r>
      <w:r w:rsidR="00B05007" w:rsidRPr="003A1174">
        <w:rPr>
          <w:rStyle w:val="Ttulo2Car"/>
          <w:rFonts w:ascii="Garamond" w:hAnsi="Garamond"/>
          <w:b/>
          <w:szCs w:val="24"/>
          <w:lang w:val="pt-PT"/>
        </w:rPr>
        <w:t>s</w:t>
      </w:r>
      <w:bookmarkEnd w:id="29"/>
    </w:p>
    <w:p w:rsidR="00CA39B2" w:rsidRPr="003A1174" w:rsidRDefault="005C2020" w:rsidP="008719D4">
      <w:pPr>
        <w:spacing w:line="240" w:lineRule="auto"/>
        <w:jc w:val="both"/>
        <w:rPr>
          <w:rFonts w:ascii="Garamond" w:hAnsi="Garamond" w:cs="Arial"/>
          <w:sz w:val="24"/>
          <w:szCs w:val="24"/>
        </w:rPr>
      </w:pPr>
      <w:r w:rsidRPr="003A1174">
        <w:rPr>
          <w:rFonts w:ascii="Garamond" w:hAnsi="Garamond" w:cs="Arial"/>
          <w:sz w:val="24"/>
          <w:szCs w:val="24"/>
        </w:rPr>
        <w:t>N</w:t>
      </w:r>
      <w:r w:rsidR="00621440" w:rsidRPr="003A1174">
        <w:rPr>
          <w:rFonts w:ascii="Garamond" w:hAnsi="Garamond" w:cs="Arial"/>
          <w:sz w:val="24"/>
          <w:szCs w:val="24"/>
        </w:rPr>
        <w:t xml:space="preserve">este </w:t>
      </w:r>
      <w:r w:rsidR="00B05007" w:rsidRPr="003A1174">
        <w:rPr>
          <w:rFonts w:ascii="Garamond" w:hAnsi="Garamond" w:cs="Arial"/>
          <w:sz w:val="24"/>
          <w:szCs w:val="24"/>
        </w:rPr>
        <w:t>c</w:t>
      </w:r>
      <w:r w:rsidR="00621440" w:rsidRPr="003A1174">
        <w:rPr>
          <w:rFonts w:ascii="Garamond" w:hAnsi="Garamond" w:cs="Arial"/>
          <w:sz w:val="24"/>
          <w:szCs w:val="24"/>
        </w:rPr>
        <w:t>apítulo</w:t>
      </w:r>
      <w:r w:rsidR="006F3EC5">
        <w:rPr>
          <w:rFonts w:ascii="Garamond" w:hAnsi="Garamond" w:cs="Arial"/>
          <w:sz w:val="24"/>
          <w:szCs w:val="24"/>
        </w:rPr>
        <w:t>,</w:t>
      </w:r>
      <w:r w:rsidR="00B05007" w:rsidRPr="003A1174">
        <w:rPr>
          <w:rFonts w:ascii="Garamond" w:hAnsi="Garamond" w:cs="Arial"/>
          <w:sz w:val="24"/>
          <w:szCs w:val="24"/>
        </w:rPr>
        <w:t xml:space="preserve"> referir</w:t>
      </w:r>
      <w:r w:rsidRPr="003A1174">
        <w:rPr>
          <w:rFonts w:ascii="Garamond" w:hAnsi="Garamond" w:cs="Arial"/>
          <w:sz w:val="24"/>
          <w:szCs w:val="24"/>
        </w:rPr>
        <w:t>-nos-</w:t>
      </w:r>
      <w:r w:rsidR="00B05007" w:rsidRPr="003A1174">
        <w:rPr>
          <w:rFonts w:ascii="Garamond" w:hAnsi="Garamond" w:cs="Arial"/>
          <w:sz w:val="24"/>
          <w:szCs w:val="24"/>
        </w:rPr>
        <w:t xml:space="preserve">emos </w:t>
      </w:r>
      <w:r w:rsidR="0038475F">
        <w:rPr>
          <w:rFonts w:ascii="Garamond" w:hAnsi="Garamond" w:cs="Arial"/>
          <w:sz w:val="24"/>
          <w:szCs w:val="24"/>
        </w:rPr>
        <w:t xml:space="preserve">às </w:t>
      </w:r>
      <w:r w:rsidR="00FC1F7F" w:rsidRPr="003A1174">
        <w:rPr>
          <w:rFonts w:ascii="Garamond" w:hAnsi="Garamond" w:cs="Arial"/>
          <w:sz w:val="24"/>
          <w:szCs w:val="24"/>
        </w:rPr>
        <w:t>sentença</w:t>
      </w:r>
      <w:r w:rsidR="00CA39B2" w:rsidRPr="003A1174">
        <w:rPr>
          <w:rFonts w:ascii="Garamond" w:hAnsi="Garamond" w:cs="Arial"/>
          <w:sz w:val="24"/>
          <w:szCs w:val="24"/>
        </w:rPr>
        <w:t>s emblemáticas</w:t>
      </w:r>
      <w:r w:rsidR="006F3EC5">
        <w:rPr>
          <w:rFonts w:ascii="Garamond" w:hAnsi="Garamond" w:cs="Arial"/>
          <w:sz w:val="24"/>
          <w:szCs w:val="24"/>
        </w:rPr>
        <w:t>, proferidas</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EF645F" w:rsidRPr="003A1174">
        <w:rPr>
          <w:rFonts w:ascii="Garamond" w:hAnsi="Garamond" w:cs="Arial"/>
          <w:sz w:val="24"/>
          <w:szCs w:val="24"/>
        </w:rPr>
        <w:t>matéria</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6F3EC5">
        <w:rPr>
          <w:rFonts w:ascii="Garamond" w:hAnsi="Garamond" w:cs="Arial"/>
          <w:sz w:val="24"/>
          <w:szCs w:val="24"/>
        </w:rPr>
        <w:t>,</w:t>
      </w:r>
      <w:r w:rsidR="00CA39B2" w:rsidRPr="003A1174">
        <w:rPr>
          <w:rFonts w:ascii="Garamond" w:hAnsi="Garamond" w:cs="Arial"/>
          <w:sz w:val="24"/>
          <w:szCs w:val="24"/>
        </w:rPr>
        <w:t xml:space="preserve"> </w:t>
      </w:r>
      <w:r w:rsidR="00621440" w:rsidRPr="003A1174">
        <w:rPr>
          <w:rFonts w:ascii="Garamond" w:hAnsi="Garamond" w:cs="Arial"/>
          <w:sz w:val="24"/>
          <w:szCs w:val="24"/>
        </w:rPr>
        <w:t xml:space="preserve">que </w:t>
      </w:r>
      <w:r w:rsidRPr="003A1174">
        <w:rPr>
          <w:rFonts w:ascii="Garamond" w:hAnsi="Garamond" w:cs="Arial"/>
          <w:sz w:val="24"/>
          <w:szCs w:val="24"/>
        </w:rPr>
        <w:t xml:space="preserve">tenham </w:t>
      </w:r>
      <w:r w:rsidR="00621440" w:rsidRPr="003A1174">
        <w:rPr>
          <w:rFonts w:ascii="Garamond" w:hAnsi="Garamond" w:cs="Arial"/>
          <w:sz w:val="24"/>
          <w:szCs w:val="24"/>
        </w:rPr>
        <w:t xml:space="preserve">tido </w:t>
      </w:r>
      <w:r w:rsidR="002E2C71" w:rsidRPr="003A1174">
        <w:rPr>
          <w:rFonts w:ascii="Garamond" w:hAnsi="Garamond" w:cs="Arial"/>
          <w:sz w:val="24"/>
          <w:szCs w:val="24"/>
        </w:rPr>
        <w:t>relevância</w:t>
      </w:r>
      <w:r w:rsidR="00621440" w:rsidRPr="003A1174">
        <w:rPr>
          <w:rFonts w:ascii="Garamond" w:hAnsi="Garamond" w:cs="Arial"/>
          <w:sz w:val="24"/>
          <w:szCs w:val="24"/>
        </w:rPr>
        <w:t xml:space="preserve"> e</w:t>
      </w:r>
      <w:r w:rsidRPr="003A1174">
        <w:rPr>
          <w:rFonts w:ascii="Garamond" w:hAnsi="Garamond" w:cs="Arial"/>
          <w:sz w:val="24"/>
          <w:szCs w:val="24"/>
        </w:rPr>
        <w:t>m</w:t>
      </w:r>
      <w:r w:rsidR="00621440" w:rsidRPr="003A1174">
        <w:rPr>
          <w:rFonts w:ascii="Garamond" w:hAnsi="Garamond" w:cs="Arial"/>
          <w:sz w:val="24"/>
          <w:szCs w:val="24"/>
        </w:rPr>
        <w:t xml:space="preserve"> cada país. </w:t>
      </w:r>
    </w:p>
    <w:p w:rsidR="00CA39B2" w:rsidRPr="003A1174" w:rsidRDefault="005777DA" w:rsidP="008719D4">
      <w:pPr>
        <w:pStyle w:val="Ttulo3"/>
        <w:spacing w:line="240" w:lineRule="auto"/>
        <w:rPr>
          <w:rFonts w:ascii="Garamond" w:hAnsi="Garamond"/>
          <w:sz w:val="24"/>
          <w:szCs w:val="24"/>
        </w:rPr>
      </w:pPr>
      <w:bookmarkStart w:id="30" w:name="_Toc421529718"/>
      <w:r w:rsidRPr="003A1174">
        <w:rPr>
          <w:rFonts w:ascii="Garamond" w:hAnsi="Garamond"/>
          <w:sz w:val="24"/>
          <w:szCs w:val="24"/>
        </w:rPr>
        <w:lastRenderedPageBreak/>
        <w:t>A</w:t>
      </w:r>
      <w:r w:rsidR="00815AEE" w:rsidRPr="003A1174">
        <w:rPr>
          <w:rFonts w:ascii="Garamond" w:hAnsi="Garamond"/>
          <w:sz w:val="24"/>
          <w:szCs w:val="24"/>
        </w:rPr>
        <w:t>rgentina</w:t>
      </w:r>
      <w:bookmarkEnd w:id="30"/>
    </w:p>
    <w:p w:rsidR="00CA39B2" w:rsidRPr="003A1174" w:rsidRDefault="005C2020" w:rsidP="008719D4">
      <w:pPr>
        <w:spacing w:before="240" w:after="0" w:line="240" w:lineRule="auto"/>
        <w:jc w:val="both"/>
        <w:rPr>
          <w:rFonts w:ascii="Garamond" w:hAnsi="Garamond" w:cs="Arial"/>
          <w:sz w:val="24"/>
          <w:szCs w:val="24"/>
        </w:rPr>
      </w:pPr>
      <w:r w:rsidRPr="003A1174">
        <w:rPr>
          <w:rFonts w:ascii="Garamond" w:hAnsi="Garamond" w:cs="Arial"/>
          <w:sz w:val="24"/>
          <w:szCs w:val="24"/>
        </w:rPr>
        <w:t>I</w:t>
      </w:r>
      <w:r w:rsidR="00CA39B2" w:rsidRPr="003A1174">
        <w:rPr>
          <w:rFonts w:ascii="Garamond" w:hAnsi="Garamond" w:cs="Arial"/>
          <w:sz w:val="24"/>
          <w:szCs w:val="24"/>
        </w:rPr>
        <w:t>ndica</w:t>
      </w:r>
      <w:r w:rsidRPr="003A1174">
        <w:rPr>
          <w:rFonts w:ascii="Garamond" w:hAnsi="Garamond" w:cs="Arial"/>
          <w:sz w:val="24"/>
          <w:szCs w:val="24"/>
        </w:rPr>
        <w:t>-se</w:t>
      </w:r>
      <w:r w:rsidR="006F3EC5">
        <w:rPr>
          <w:rFonts w:ascii="Garamond" w:hAnsi="Garamond" w:cs="Arial"/>
          <w:sz w:val="24"/>
          <w:szCs w:val="24"/>
        </w:rPr>
        <w:t>,</w:t>
      </w:r>
      <w:r w:rsidR="00CA39B2" w:rsidRPr="003A1174">
        <w:rPr>
          <w:rFonts w:ascii="Garamond" w:hAnsi="Garamond" w:cs="Arial"/>
          <w:sz w:val="24"/>
          <w:szCs w:val="24"/>
        </w:rPr>
        <w:t xml:space="preserve"> que </w:t>
      </w:r>
      <w:r w:rsidRPr="003A1174">
        <w:rPr>
          <w:rFonts w:ascii="Garamond" w:hAnsi="Garamond" w:cs="Arial"/>
          <w:sz w:val="24"/>
          <w:szCs w:val="24"/>
        </w:rPr>
        <w:t xml:space="preserve">apesar de não terem sido </w:t>
      </w:r>
      <w:r w:rsidR="0038475F">
        <w:rPr>
          <w:rFonts w:ascii="Garamond" w:hAnsi="Garamond" w:cs="Arial"/>
          <w:sz w:val="24"/>
          <w:szCs w:val="24"/>
        </w:rPr>
        <w:t xml:space="preserve">proferidas </w:t>
      </w:r>
      <w:r w:rsidR="00FC1F7F" w:rsidRPr="003A1174">
        <w:rPr>
          <w:rFonts w:ascii="Garamond" w:hAnsi="Garamond" w:cs="Arial"/>
          <w:sz w:val="24"/>
          <w:szCs w:val="24"/>
        </w:rPr>
        <w:t>sentença</w:t>
      </w:r>
      <w:r w:rsidR="00CA39B2" w:rsidRPr="003A1174">
        <w:rPr>
          <w:rFonts w:ascii="Garamond" w:hAnsi="Garamond" w:cs="Arial"/>
          <w:sz w:val="24"/>
          <w:szCs w:val="24"/>
        </w:rPr>
        <w:t xml:space="preserve">s emblemáticas </w:t>
      </w:r>
      <w:r w:rsidR="006F7581">
        <w:rPr>
          <w:rFonts w:ascii="Garamond" w:hAnsi="Garamond" w:cs="Arial"/>
          <w:sz w:val="24"/>
          <w:szCs w:val="24"/>
        </w:rPr>
        <w:t>-</w:t>
      </w:r>
      <w:r w:rsidRPr="003A1174">
        <w:rPr>
          <w:rFonts w:ascii="Garamond" w:hAnsi="Garamond" w:cs="Arial"/>
          <w:sz w:val="24"/>
          <w:szCs w:val="24"/>
        </w:rPr>
        <w:t xml:space="preserve"> no sentido de serem</w:t>
      </w:r>
      <w:r w:rsidR="0038475F">
        <w:rPr>
          <w:rFonts w:ascii="Garamond" w:hAnsi="Garamond" w:cs="Arial"/>
          <w:sz w:val="24"/>
          <w:szCs w:val="24"/>
        </w:rPr>
        <w:t>,</w:t>
      </w:r>
      <w:r w:rsidRPr="003A1174">
        <w:rPr>
          <w:rFonts w:ascii="Garamond" w:hAnsi="Garamond" w:cs="Arial"/>
          <w:sz w:val="24"/>
          <w:szCs w:val="24"/>
        </w:rPr>
        <w:t xml:space="preserve"> relevantemente</w:t>
      </w:r>
      <w:r w:rsidR="0038475F">
        <w:rPr>
          <w:rFonts w:ascii="Garamond" w:hAnsi="Garamond" w:cs="Arial"/>
          <w:sz w:val="24"/>
          <w:szCs w:val="24"/>
        </w:rPr>
        <w:t>,</w:t>
      </w:r>
      <w:r w:rsidRPr="003A1174">
        <w:rPr>
          <w:rFonts w:ascii="Garamond" w:hAnsi="Garamond" w:cs="Arial"/>
          <w:sz w:val="24"/>
          <w:szCs w:val="24"/>
        </w:rPr>
        <w:t xml:space="preserve"> cri</w:t>
      </w:r>
      <w:r w:rsidR="00CA39B2" w:rsidRPr="003A1174">
        <w:rPr>
          <w:rFonts w:ascii="Garamond" w:hAnsi="Garamond" w:cs="Arial"/>
          <w:sz w:val="24"/>
          <w:szCs w:val="24"/>
        </w:rPr>
        <w:t xml:space="preserve">ativas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Pr="003A1174">
        <w:rPr>
          <w:rFonts w:ascii="Garamond" w:hAnsi="Garamond" w:cs="Arial"/>
          <w:sz w:val="24"/>
          <w:szCs w:val="24"/>
        </w:rPr>
        <w:t>representantes</w:t>
      </w:r>
      <w:r w:rsidR="00CA39B2" w:rsidRPr="003A1174">
        <w:rPr>
          <w:rFonts w:ascii="Garamond" w:hAnsi="Garamond" w:cs="Arial"/>
          <w:sz w:val="24"/>
          <w:szCs w:val="24"/>
        </w:rPr>
        <w:t xml:space="preserve"> de </w:t>
      </w:r>
      <w:r w:rsidR="00F305C7" w:rsidRPr="003A1174">
        <w:rPr>
          <w:rFonts w:ascii="Garamond" w:hAnsi="Garamond" w:cs="Arial"/>
          <w:sz w:val="24"/>
          <w:szCs w:val="24"/>
        </w:rPr>
        <w:t>opções</w:t>
      </w:r>
      <w:r w:rsidR="00CA39B2" w:rsidRPr="003A1174">
        <w:rPr>
          <w:rFonts w:ascii="Garamond" w:hAnsi="Garamond" w:cs="Arial"/>
          <w:sz w:val="24"/>
          <w:szCs w:val="24"/>
        </w:rPr>
        <w:t xml:space="preserve"> </w:t>
      </w:r>
      <w:r w:rsidRPr="003A1174">
        <w:rPr>
          <w:rFonts w:ascii="Garamond" w:hAnsi="Garamond" w:cs="Arial"/>
          <w:sz w:val="24"/>
          <w:szCs w:val="24"/>
        </w:rPr>
        <w:t xml:space="preserve">de </w:t>
      </w:r>
      <w:r w:rsidR="00CA39B2" w:rsidRPr="003A1174">
        <w:rPr>
          <w:rFonts w:ascii="Garamond" w:hAnsi="Garamond" w:cs="Arial"/>
          <w:sz w:val="24"/>
          <w:szCs w:val="24"/>
        </w:rPr>
        <w:t>garanti</w:t>
      </w:r>
      <w:r w:rsidRPr="003A1174">
        <w:rPr>
          <w:rFonts w:ascii="Garamond" w:hAnsi="Garamond" w:cs="Arial"/>
          <w:sz w:val="24"/>
          <w:szCs w:val="24"/>
        </w:rPr>
        <w:t xml:space="preserve">a </w:t>
      </w:r>
      <w:r w:rsidR="006F7581">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houve sentenças </w:t>
      </w:r>
      <w:r w:rsidR="008A3DA2" w:rsidRPr="003A1174">
        <w:rPr>
          <w:rFonts w:ascii="Garamond" w:hAnsi="Garamond" w:cs="Arial"/>
          <w:sz w:val="24"/>
          <w:szCs w:val="24"/>
        </w:rPr>
        <w:t>do</w:t>
      </w:r>
      <w:r w:rsidR="00CA39B2" w:rsidRPr="003A1174">
        <w:rPr>
          <w:rFonts w:ascii="Garamond" w:hAnsi="Garamond" w:cs="Arial"/>
          <w:sz w:val="24"/>
          <w:szCs w:val="24"/>
        </w:rPr>
        <w:t xml:space="preserve"> Tribunal Superior de </w:t>
      </w:r>
      <w:r w:rsidR="00FC1F7F" w:rsidRPr="003A1174">
        <w:rPr>
          <w:rFonts w:ascii="Garamond" w:hAnsi="Garamond" w:cs="Arial"/>
          <w:sz w:val="24"/>
          <w:szCs w:val="24"/>
        </w:rPr>
        <w:t>Justiça</w:t>
      </w:r>
      <w:r w:rsidR="00CA39B2" w:rsidRPr="003A1174">
        <w:rPr>
          <w:rFonts w:ascii="Garamond" w:hAnsi="Garamond" w:cs="Arial"/>
          <w:sz w:val="24"/>
          <w:szCs w:val="24"/>
        </w:rPr>
        <w:t xml:space="preserve"> da </w:t>
      </w:r>
      <w:r w:rsidR="008651AF" w:rsidRPr="003A1174">
        <w:rPr>
          <w:rFonts w:ascii="Garamond" w:hAnsi="Garamond" w:cs="Arial"/>
          <w:sz w:val="24"/>
          <w:szCs w:val="24"/>
        </w:rPr>
        <w:t>Cidade</w:t>
      </w:r>
      <w:r w:rsidR="00CA39B2" w:rsidRPr="003A1174">
        <w:rPr>
          <w:rFonts w:ascii="Garamond" w:hAnsi="Garamond" w:cs="Arial"/>
          <w:sz w:val="24"/>
          <w:szCs w:val="24"/>
        </w:rPr>
        <w:t xml:space="preserve"> de Buenos Aires </w:t>
      </w:r>
      <w:r w:rsidR="00497503" w:rsidRPr="003A1174">
        <w:rPr>
          <w:rFonts w:ascii="Garamond" w:hAnsi="Garamond" w:cs="Arial"/>
          <w:sz w:val="24"/>
          <w:szCs w:val="24"/>
        </w:rPr>
        <w:t>e</w:t>
      </w:r>
      <w:r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Federal de </w:t>
      </w:r>
      <w:r w:rsidRPr="003A1174">
        <w:rPr>
          <w:rFonts w:ascii="Garamond" w:hAnsi="Garamond" w:cs="Arial"/>
          <w:sz w:val="24"/>
          <w:szCs w:val="24"/>
        </w:rPr>
        <w:t>Cassação</w:t>
      </w:r>
      <w:r w:rsidR="00CA39B2" w:rsidRPr="003A1174">
        <w:rPr>
          <w:rFonts w:ascii="Garamond" w:hAnsi="Garamond" w:cs="Arial"/>
          <w:sz w:val="24"/>
          <w:szCs w:val="24"/>
        </w:rPr>
        <w:t xml:space="preserve"> Penal que </w:t>
      </w:r>
      <w:r w:rsidRPr="003A1174">
        <w:rPr>
          <w:rFonts w:ascii="Garamond" w:hAnsi="Garamond" w:cs="Arial"/>
          <w:sz w:val="24"/>
          <w:szCs w:val="24"/>
        </w:rPr>
        <w:t>revogaram</w:t>
      </w:r>
      <w:r w:rsidR="00CA39B2" w:rsidRPr="003A1174">
        <w:rPr>
          <w:rFonts w:ascii="Garamond" w:hAnsi="Garamond" w:cs="Arial"/>
          <w:sz w:val="24"/>
          <w:szCs w:val="24"/>
        </w:rPr>
        <w:t xml:space="preserve"> </w:t>
      </w:r>
      <w:r w:rsidR="00FC1F7F" w:rsidRPr="003A1174">
        <w:rPr>
          <w:rFonts w:ascii="Garamond" w:hAnsi="Garamond" w:cs="Arial"/>
          <w:sz w:val="24"/>
          <w:szCs w:val="24"/>
        </w:rPr>
        <w:t>sentença</w:t>
      </w:r>
      <w:r w:rsidR="00CA39B2" w:rsidRPr="003A1174">
        <w:rPr>
          <w:rFonts w:ascii="Garamond" w:hAnsi="Garamond" w:cs="Arial"/>
          <w:sz w:val="24"/>
          <w:szCs w:val="24"/>
        </w:rPr>
        <w:t xml:space="preserve">s </w:t>
      </w:r>
      <w:r w:rsidR="0038475F">
        <w:rPr>
          <w:rFonts w:ascii="Garamond" w:hAnsi="Garamond" w:cs="Arial"/>
          <w:sz w:val="24"/>
          <w:szCs w:val="24"/>
        </w:rPr>
        <w:t xml:space="preserve">em que </w:t>
      </w:r>
      <w:r w:rsidR="00CA39B2" w:rsidRPr="003A1174">
        <w:rPr>
          <w:rFonts w:ascii="Garamond" w:hAnsi="Garamond" w:cs="Arial"/>
          <w:sz w:val="24"/>
          <w:szCs w:val="24"/>
        </w:rPr>
        <w:t>se absolv</w:t>
      </w:r>
      <w:r w:rsidRPr="003A1174">
        <w:rPr>
          <w:rFonts w:ascii="Garamond" w:hAnsi="Garamond" w:cs="Arial"/>
          <w:sz w:val="24"/>
          <w:szCs w:val="24"/>
        </w:rPr>
        <w:t>iam</w:t>
      </w:r>
      <w:r w:rsidR="006F7581">
        <w:rPr>
          <w:rFonts w:ascii="Garamond" w:hAnsi="Garamond" w:cs="Arial"/>
          <w:sz w:val="24"/>
          <w:szCs w:val="24"/>
        </w:rPr>
        <w:t>,</w:t>
      </w:r>
      <w:r w:rsidRPr="003A1174">
        <w:rPr>
          <w:rFonts w:ascii="Garamond" w:hAnsi="Garamond" w:cs="Arial"/>
          <w:sz w:val="24"/>
          <w:szCs w:val="24"/>
        </w:rPr>
        <w:t xml:space="preserve"> </w:t>
      </w:r>
      <w:r w:rsidR="00632646">
        <w:rPr>
          <w:rFonts w:ascii="Garamond" w:hAnsi="Garamond" w:cs="Arial"/>
          <w:sz w:val="24"/>
          <w:szCs w:val="24"/>
        </w:rPr>
        <w:t xml:space="preserve">alegados </w:t>
      </w:r>
      <w:r w:rsidR="0038475F">
        <w:rPr>
          <w:rFonts w:ascii="Garamond" w:hAnsi="Garamond" w:cs="Arial"/>
          <w:sz w:val="24"/>
          <w:szCs w:val="24"/>
        </w:rPr>
        <w:t xml:space="preserve">responsáveis </w:t>
      </w:r>
      <w:r w:rsidR="00CA39B2" w:rsidRPr="003A1174">
        <w:rPr>
          <w:rFonts w:ascii="Garamond" w:hAnsi="Garamond" w:cs="Arial"/>
          <w:sz w:val="24"/>
          <w:szCs w:val="24"/>
        </w:rPr>
        <w:t>por</w:t>
      </w:r>
      <w:r w:rsidR="00815AEE" w:rsidRPr="003A1174">
        <w:rPr>
          <w:rFonts w:ascii="Garamond" w:hAnsi="Garamond" w:cs="Arial"/>
          <w:sz w:val="24"/>
          <w:szCs w:val="24"/>
        </w:rPr>
        <w:t xml:space="preserve"> </w:t>
      </w:r>
      <w:r w:rsidR="000350B1" w:rsidRPr="003A1174">
        <w:rPr>
          <w:rFonts w:ascii="Garamond" w:hAnsi="Garamond" w:cs="Arial"/>
          <w:sz w:val="24"/>
          <w:szCs w:val="24"/>
        </w:rPr>
        <w:t>violência</w:t>
      </w:r>
      <w:r w:rsidR="00CA39B2" w:rsidRPr="003A1174">
        <w:rPr>
          <w:rFonts w:ascii="Garamond" w:hAnsi="Garamond" w:cs="Arial"/>
          <w:sz w:val="24"/>
          <w:szCs w:val="24"/>
        </w:rPr>
        <w:t xml:space="preserve">, </w:t>
      </w:r>
      <w:r w:rsidRPr="003A1174">
        <w:rPr>
          <w:rFonts w:ascii="Garamond" w:hAnsi="Garamond" w:cs="Arial"/>
          <w:sz w:val="24"/>
          <w:szCs w:val="24"/>
        </w:rPr>
        <w:t>estabelecendo</w:t>
      </w:r>
      <w:r w:rsidR="00CA39B2" w:rsidRPr="003A1174">
        <w:rPr>
          <w:rFonts w:ascii="Garamond" w:hAnsi="Garamond" w:cs="Arial"/>
          <w:sz w:val="24"/>
          <w:szCs w:val="24"/>
        </w:rPr>
        <w:t xml:space="preserve"> </w:t>
      </w:r>
      <w:r w:rsidR="00682C71" w:rsidRPr="003A1174">
        <w:rPr>
          <w:rFonts w:ascii="Garamond" w:hAnsi="Garamond" w:cs="Arial"/>
          <w:sz w:val="24"/>
          <w:szCs w:val="24"/>
        </w:rPr>
        <w:t>jurisprudência</w:t>
      </w:r>
      <w:r w:rsidR="00CA39B2" w:rsidRPr="003A1174">
        <w:rPr>
          <w:rFonts w:ascii="Garamond" w:hAnsi="Garamond" w:cs="Arial"/>
          <w:sz w:val="24"/>
          <w:szCs w:val="24"/>
        </w:rPr>
        <w:t xml:space="preserve"> </w:t>
      </w:r>
      <w:r w:rsidRPr="003A1174">
        <w:rPr>
          <w:rFonts w:ascii="Garamond" w:hAnsi="Garamond" w:cs="Arial"/>
          <w:sz w:val="24"/>
          <w:szCs w:val="24"/>
        </w:rPr>
        <w:t xml:space="preserve">na </w:t>
      </w:r>
      <w:r w:rsidR="00CA39B2" w:rsidRPr="003A1174">
        <w:rPr>
          <w:rFonts w:ascii="Garamond" w:hAnsi="Garamond" w:cs="Arial"/>
          <w:sz w:val="24"/>
          <w:szCs w:val="24"/>
        </w:rPr>
        <w:t xml:space="preserve">temática. </w:t>
      </w:r>
    </w:p>
    <w:p w:rsidR="00CA39B2" w:rsidRPr="003A1174" w:rsidRDefault="00E86FBA" w:rsidP="005C2020">
      <w:pPr>
        <w:spacing w:before="240" w:after="0" w:line="240" w:lineRule="auto"/>
        <w:jc w:val="both"/>
        <w:rPr>
          <w:rFonts w:ascii="Garamond" w:hAnsi="Garamond" w:cs="Arial"/>
          <w:sz w:val="24"/>
          <w:szCs w:val="24"/>
        </w:rPr>
      </w:pPr>
      <w:r w:rsidRPr="003A1174">
        <w:rPr>
          <w:rFonts w:ascii="Garamond" w:hAnsi="Garamond" w:cs="Arial"/>
          <w:sz w:val="24"/>
          <w:szCs w:val="24"/>
        </w:rPr>
        <w:t>H</w:t>
      </w:r>
      <w:r w:rsidR="005C2020" w:rsidRPr="003A1174">
        <w:rPr>
          <w:rFonts w:ascii="Garamond" w:hAnsi="Garamond" w:cs="Arial"/>
          <w:sz w:val="24"/>
          <w:szCs w:val="24"/>
        </w:rPr>
        <w:t xml:space="preserve">ouve um </w:t>
      </w:r>
      <w:r w:rsidR="00CA39B2" w:rsidRPr="003A1174">
        <w:rPr>
          <w:rFonts w:ascii="Garamond" w:hAnsi="Garamond" w:cs="Arial"/>
          <w:sz w:val="24"/>
          <w:szCs w:val="24"/>
        </w:rPr>
        <w:t xml:space="preserve">caso </w:t>
      </w:r>
      <w:r w:rsidR="00CC4267" w:rsidRPr="003A1174">
        <w:rPr>
          <w:rFonts w:ascii="Garamond" w:hAnsi="Garamond" w:cs="Arial"/>
          <w:sz w:val="24"/>
          <w:szCs w:val="24"/>
        </w:rPr>
        <w:t>conhecido</w:t>
      </w:r>
      <w:r w:rsidR="00CA39B2" w:rsidRPr="003A1174">
        <w:rPr>
          <w:rFonts w:ascii="Garamond" w:hAnsi="Garamond" w:cs="Arial"/>
          <w:sz w:val="24"/>
          <w:szCs w:val="24"/>
        </w:rPr>
        <w:t xml:space="preserve"> </w:t>
      </w:r>
      <w:r w:rsidR="005C2020" w:rsidRPr="003A1174">
        <w:rPr>
          <w:rFonts w:ascii="Garamond" w:hAnsi="Garamond" w:cs="Arial"/>
          <w:sz w:val="24"/>
          <w:szCs w:val="24"/>
        </w:rPr>
        <w:t>pelo</w:t>
      </w:r>
      <w:r w:rsidR="00CA39B2" w:rsidRPr="003A1174">
        <w:rPr>
          <w:rFonts w:ascii="Garamond" w:hAnsi="Garamond" w:cs="Arial"/>
          <w:sz w:val="24"/>
          <w:szCs w:val="24"/>
        </w:rPr>
        <w:t xml:space="preserve"> Tribunal Superior de </w:t>
      </w:r>
      <w:r w:rsidR="00FC1F7F" w:rsidRPr="003A1174">
        <w:rPr>
          <w:rFonts w:ascii="Garamond" w:hAnsi="Garamond" w:cs="Arial"/>
          <w:sz w:val="24"/>
          <w:szCs w:val="24"/>
        </w:rPr>
        <w:t>Justiça</w:t>
      </w:r>
      <w:r w:rsidR="00CA39B2" w:rsidRPr="003A1174">
        <w:rPr>
          <w:rFonts w:ascii="Garamond" w:hAnsi="Garamond" w:cs="Arial"/>
          <w:sz w:val="24"/>
          <w:szCs w:val="24"/>
        </w:rPr>
        <w:t xml:space="preserve"> da </w:t>
      </w:r>
      <w:r w:rsidR="008651AF" w:rsidRPr="003A1174">
        <w:rPr>
          <w:rFonts w:ascii="Garamond" w:hAnsi="Garamond" w:cs="Arial"/>
          <w:sz w:val="24"/>
          <w:szCs w:val="24"/>
        </w:rPr>
        <w:t>Cidade</w:t>
      </w:r>
      <w:r w:rsidRPr="003A1174">
        <w:rPr>
          <w:rFonts w:ascii="Garamond" w:hAnsi="Garamond" w:cs="Arial"/>
          <w:sz w:val="24"/>
          <w:szCs w:val="24"/>
        </w:rPr>
        <w:t>,</w:t>
      </w:r>
      <w:r w:rsidR="00CA39B2" w:rsidRPr="003A1174">
        <w:rPr>
          <w:rFonts w:ascii="Garamond" w:hAnsi="Garamond" w:cs="Arial"/>
          <w:sz w:val="24"/>
          <w:szCs w:val="24"/>
        </w:rPr>
        <w:t xml:space="preserve"> que</w:t>
      </w:r>
      <w:r w:rsidR="00632646">
        <w:rPr>
          <w:rFonts w:ascii="Garamond" w:hAnsi="Garamond" w:cs="Arial"/>
          <w:sz w:val="24"/>
          <w:szCs w:val="24"/>
        </w:rPr>
        <w:t>,</w:t>
      </w:r>
      <w:r w:rsidR="00CA39B2" w:rsidRPr="003A1174">
        <w:rPr>
          <w:rFonts w:ascii="Garamond" w:hAnsi="Garamond" w:cs="Arial"/>
          <w:sz w:val="24"/>
          <w:szCs w:val="24"/>
        </w:rPr>
        <w:t xml:space="preserve"> por </w:t>
      </w:r>
      <w:r w:rsidR="00233514" w:rsidRPr="003A1174">
        <w:rPr>
          <w:rFonts w:ascii="Garamond" w:hAnsi="Garamond" w:cs="Arial"/>
          <w:sz w:val="24"/>
          <w:szCs w:val="24"/>
        </w:rPr>
        <w:t>maioria</w:t>
      </w:r>
      <w:r w:rsidR="00632646">
        <w:rPr>
          <w:rFonts w:ascii="Garamond" w:hAnsi="Garamond" w:cs="Arial"/>
          <w:sz w:val="24"/>
          <w:szCs w:val="24"/>
        </w:rPr>
        <w:t>,</w:t>
      </w:r>
      <w:r w:rsidR="00CA39B2" w:rsidRPr="003A1174">
        <w:rPr>
          <w:rFonts w:ascii="Garamond" w:hAnsi="Garamond" w:cs="Arial"/>
          <w:sz w:val="24"/>
          <w:szCs w:val="24"/>
        </w:rPr>
        <w:t xml:space="preserve"> revo</w:t>
      </w:r>
      <w:r w:rsidR="005C2020" w:rsidRPr="003A1174">
        <w:rPr>
          <w:rFonts w:ascii="Garamond" w:hAnsi="Garamond" w:cs="Arial"/>
          <w:sz w:val="24"/>
          <w:szCs w:val="24"/>
        </w:rPr>
        <w:t>gou um</w:t>
      </w:r>
      <w:r w:rsidR="00CA39B2" w:rsidRPr="003A1174">
        <w:rPr>
          <w:rFonts w:ascii="Garamond" w:hAnsi="Garamond" w:cs="Arial"/>
          <w:sz w:val="24"/>
          <w:szCs w:val="24"/>
        </w:rPr>
        <w:t xml:space="preserve">a </w:t>
      </w:r>
      <w:r w:rsidR="00FC1F7F" w:rsidRPr="003A1174">
        <w:rPr>
          <w:rFonts w:ascii="Garamond" w:hAnsi="Garamond" w:cs="Arial"/>
          <w:sz w:val="24"/>
          <w:szCs w:val="24"/>
        </w:rPr>
        <w:t>sentença</w:t>
      </w:r>
      <w:r w:rsidR="005C2020" w:rsidRPr="003A1174">
        <w:rPr>
          <w:rFonts w:ascii="Garamond" w:hAnsi="Garamond" w:cs="Arial"/>
          <w:sz w:val="24"/>
          <w:szCs w:val="24"/>
        </w:rPr>
        <w:t xml:space="preserve"> d</w:t>
      </w:r>
      <w:r w:rsidR="00CA39B2" w:rsidRPr="003A1174">
        <w:rPr>
          <w:rFonts w:ascii="Garamond" w:hAnsi="Garamond" w:cs="Arial"/>
          <w:sz w:val="24"/>
          <w:szCs w:val="24"/>
        </w:rPr>
        <w:t xml:space="preserve">a Sala I da </w:t>
      </w:r>
      <w:r w:rsidR="00147717" w:rsidRPr="003A1174">
        <w:rPr>
          <w:rFonts w:ascii="Garamond" w:hAnsi="Garamond" w:cs="Arial"/>
          <w:sz w:val="24"/>
          <w:szCs w:val="24"/>
        </w:rPr>
        <w:t>Câmara</w:t>
      </w:r>
      <w:r w:rsidR="00CA39B2" w:rsidRPr="003A1174">
        <w:rPr>
          <w:rFonts w:ascii="Garamond" w:hAnsi="Garamond" w:cs="Arial"/>
          <w:sz w:val="24"/>
          <w:szCs w:val="24"/>
        </w:rPr>
        <w:t xml:space="preserve"> de </w:t>
      </w:r>
      <w:r w:rsidR="005C2020" w:rsidRPr="003A1174">
        <w:rPr>
          <w:rFonts w:ascii="Garamond" w:hAnsi="Garamond" w:cs="Arial"/>
          <w:sz w:val="24"/>
          <w:szCs w:val="24"/>
        </w:rPr>
        <w:t>Apelações</w:t>
      </w:r>
      <w:r w:rsidR="00CA39B2" w:rsidRPr="003A1174">
        <w:rPr>
          <w:rFonts w:ascii="Garamond" w:hAnsi="Garamond" w:cs="Arial"/>
          <w:sz w:val="24"/>
          <w:szCs w:val="24"/>
        </w:rPr>
        <w:t xml:space="preserve"> </w:t>
      </w:r>
      <w:r w:rsidR="005C2020" w:rsidRPr="003A1174">
        <w:rPr>
          <w:rFonts w:ascii="Garamond" w:hAnsi="Garamond" w:cs="Arial"/>
          <w:sz w:val="24"/>
          <w:szCs w:val="24"/>
        </w:rPr>
        <w:t>n</w:t>
      </w:r>
      <w:r w:rsidR="00CA39B2" w:rsidRPr="003A1174">
        <w:rPr>
          <w:rFonts w:ascii="Garamond" w:hAnsi="Garamond" w:cs="Arial"/>
          <w:sz w:val="24"/>
          <w:szCs w:val="24"/>
        </w:rPr>
        <w:t xml:space="preserve">o Penal, Contravencional </w:t>
      </w:r>
      <w:r w:rsidR="00497503" w:rsidRPr="003A1174">
        <w:rPr>
          <w:rFonts w:ascii="Garamond" w:hAnsi="Garamond" w:cs="Arial"/>
          <w:sz w:val="24"/>
          <w:szCs w:val="24"/>
        </w:rPr>
        <w:t>e</w:t>
      </w:r>
      <w:r w:rsidR="00CA39B2" w:rsidRPr="003A1174">
        <w:rPr>
          <w:rFonts w:ascii="Garamond" w:hAnsi="Garamond" w:cs="Arial"/>
          <w:sz w:val="24"/>
          <w:szCs w:val="24"/>
        </w:rPr>
        <w:t xml:space="preserve"> de Faltas, que </w:t>
      </w:r>
      <w:r w:rsidR="00632646">
        <w:rPr>
          <w:rFonts w:ascii="Garamond" w:hAnsi="Garamond" w:cs="Arial"/>
          <w:sz w:val="24"/>
          <w:szCs w:val="24"/>
        </w:rPr>
        <w:t xml:space="preserve">numa </w:t>
      </w:r>
      <w:r w:rsidR="005C2020" w:rsidRPr="003A1174">
        <w:rPr>
          <w:rFonts w:ascii="Garamond" w:hAnsi="Garamond" w:cs="Arial"/>
          <w:sz w:val="24"/>
          <w:szCs w:val="24"/>
        </w:rPr>
        <w:t xml:space="preserve">sentença </w:t>
      </w:r>
      <w:r w:rsidR="00CA39B2" w:rsidRPr="003A1174">
        <w:rPr>
          <w:rFonts w:ascii="Garamond" w:hAnsi="Garamond" w:cs="Arial"/>
          <w:sz w:val="24"/>
          <w:szCs w:val="24"/>
        </w:rPr>
        <w:t xml:space="preserve">de </w:t>
      </w:r>
      <w:r w:rsidR="004C1496" w:rsidRPr="003A1174">
        <w:rPr>
          <w:rFonts w:ascii="Garamond" w:hAnsi="Garamond" w:cs="Arial"/>
          <w:sz w:val="24"/>
          <w:szCs w:val="24"/>
        </w:rPr>
        <w:t>primeira</w:t>
      </w:r>
      <w:r w:rsidR="00CA39B2" w:rsidRPr="003A1174">
        <w:rPr>
          <w:rFonts w:ascii="Garamond" w:hAnsi="Garamond" w:cs="Arial"/>
          <w:sz w:val="24"/>
          <w:szCs w:val="24"/>
        </w:rPr>
        <w:t xml:space="preserve"> </w:t>
      </w:r>
      <w:r w:rsidR="00FB09CA" w:rsidRPr="003A1174">
        <w:rPr>
          <w:rFonts w:ascii="Garamond" w:hAnsi="Garamond" w:cs="Arial"/>
          <w:sz w:val="24"/>
          <w:szCs w:val="24"/>
        </w:rPr>
        <w:t>instância</w:t>
      </w:r>
      <w:r w:rsidR="00632646">
        <w:rPr>
          <w:rFonts w:ascii="Garamond" w:hAnsi="Garamond" w:cs="Arial"/>
          <w:sz w:val="24"/>
          <w:szCs w:val="24"/>
        </w:rPr>
        <w:t>,</w:t>
      </w:r>
      <w:r w:rsidR="00CA39B2" w:rsidRPr="003A1174">
        <w:rPr>
          <w:rFonts w:ascii="Garamond" w:hAnsi="Garamond" w:cs="Arial"/>
          <w:sz w:val="24"/>
          <w:szCs w:val="24"/>
        </w:rPr>
        <w:t xml:space="preserve"> </w:t>
      </w:r>
      <w:r w:rsidR="005C2020" w:rsidRPr="003A1174">
        <w:rPr>
          <w:rFonts w:ascii="Garamond" w:hAnsi="Garamond" w:cs="Arial"/>
          <w:sz w:val="24"/>
          <w:szCs w:val="24"/>
        </w:rPr>
        <w:t xml:space="preserve">tinha absolvido um </w:t>
      </w:r>
      <w:r w:rsidR="00524936" w:rsidRPr="003A1174">
        <w:rPr>
          <w:rFonts w:ascii="Garamond" w:hAnsi="Garamond" w:cs="Arial"/>
          <w:sz w:val="24"/>
          <w:szCs w:val="24"/>
        </w:rPr>
        <w:t>homem</w:t>
      </w:r>
      <w:r w:rsidR="00CA39B2" w:rsidRPr="003A1174">
        <w:rPr>
          <w:rFonts w:ascii="Garamond" w:hAnsi="Garamond" w:cs="Arial"/>
          <w:sz w:val="24"/>
          <w:szCs w:val="24"/>
        </w:rPr>
        <w:t xml:space="preserve"> </w:t>
      </w:r>
      <w:r w:rsidR="00632646">
        <w:rPr>
          <w:rFonts w:ascii="Garamond" w:hAnsi="Garamond" w:cs="Arial"/>
          <w:sz w:val="24"/>
          <w:szCs w:val="24"/>
        </w:rPr>
        <w:t xml:space="preserve">acusado de </w:t>
      </w:r>
      <w:r w:rsidR="001B02AD" w:rsidRPr="003A1174">
        <w:rPr>
          <w:rFonts w:ascii="Garamond" w:hAnsi="Garamond" w:cs="Arial"/>
          <w:sz w:val="24"/>
          <w:szCs w:val="24"/>
        </w:rPr>
        <w:t>ameaça</w:t>
      </w:r>
      <w:r w:rsidR="00CA39B2" w:rsidRPr="003A1174">
        <w:rPr>
          <w:rFonts w:ascii="Garamond" w:hAnsi="Garamond" w:cs="Arial"/>
          <w:sz w:val="24"/>
          <w:szCs w:val="24"/>
        </w:rPr>
        <w:t>s</w:t>
      </w:r>
      <w:r w:rsidR="00632646">
        <w:rPr>
          <w:rFonts w:ascii="Garamond" w:hAnsi="Garamond" w:cs="Arial"/>
          <w:sz w:val="24"/>
          <w:szCs w:val="24"/>
        </w:rPr>
        <w:t>,</w:t>
      </w:r>
      <w:r w:rsidR="00CA39B2" w:rsidRPr="003A1174">
        <w:rPr>
          <w:rFonts w:ascii="Garamond" w:hAnsi="Garamond" w:cs="Arial"/>
          <w:sz w:val="24"/>
          <w:szCs w:val="24"/>
        </w:rPr>
        <w:t xml:space="preserve"> </w:t>
      </w:r>
      <w:r w:rsidR="005C2020" w:rsidRPr="003A1174">
        <w:rPr>
          <w:rFonts w:ascii="Garamond" w:hAnsi="Garamond" w:cs="Arial"/>
          <w:sz w:val="24"/>
          <w:szCs w:val="24"/>
        </w:rPr>
        <w:t xml:space="preserve">num </w:t>
      </w:r>
      <w:r w:rsidR="00CA39B2" w:rsidRPr="003A1174">
        <w:rPr>
          <w:rFonts w:ascii="Garamond" w:hAnsi="Garamond" w:cs="Arial"/>
          <w:sz w:val="24"/>
          <w:szCs w:val="24"/>
        </w:rPr>
        <w:t xml:space="preserve">contexto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w:t>
      </w:r>
      <w:r w:rsidRPr="003A1174">
        <w:rPr>
          <w:rFonts w:ascii="Garamond" w:hAnsi="Garamond" w:cs="Arial"/>
          <w:sz w:val="24"/>
          <w:szCs w:val="24"/>
        </w:rPr>
        <w:t>,</w:t>
      </w:r>
      <w:r w:rsidR="00CA39B2" w:rsidRPr="003A1174">
        <w:rPr>
          <w:rFonts w:ascii="Garamond" w:hAnsi="Garamond" w:cs="Arial"/>
          <w:sz w:val="24"/>
          <w:szCs w:val="24"/>
        </w:rPr>
        <w:t xml:space="preserve"> por considerar que as </w:t>
      </w:r>
      <w:r w:rsidR="002B6C5B" w:rsidRPr="003A1174">
        <w:rPr>
          <w:rFonts w:ascii="Garamond" w:hAnsi="Garamond" w:cs="Arial"/>
          <w:sz w:val="24"/>
          <w:szCs w:val="24"/>
        </w:rPr>
        <w:t>prova</w:t>
      </w:r>
      <w:r w:rsidR="00CA39B2" w:rsidRPr="003A1174">
        <w:rPr>
          <w:rFonts w:ascii="Garamond" w:hAnsi="Garamond" w:cs="Arial"/>
          <w:sz w:val="24"/>
          <w:szCs w:val="24"/>
        </w:rPr>
        <w:t>s reunidas n</w:t>
      </w:r>
      <w:r w:rsidR="005C2020" w:rsidRPr="003A1174">
        <w:rPr>
          <w:rFonts w:ascii="Garamond" w:hAnsi="Garamond" w:cs="Arial"/>
          <w:sz w:val="24"/>
          <w:szCs w:val="24"/>
        </w:rPr>
        <w:t>ã</w:t>
      </w:r>
      <w:r w:rsidR="00CA39B2" w:rsidRPr="003A1174">
        <w:rPr>
          <w:rFonts w:ascii="Garamond" w:hAnsi="Garamond" w:cs="Arial"/>
          <w:sz w:val="24"/>
          <w:szCs w:val="24"/>
        </w:rPr>
        <w:t>o era</w:t>
      </w:r>
      <w:r w:rsidR="005C2020" w:rsidRPr="003A1174">
        <w:rPr>
          <w:rFonts w:ascii="Garamond" w:hAnsi="Garamond" w:cs="Arial"/>
          <w:sz w:val="24"/>
          <w:szCs w:val="24"/>
        </w:rPr>
        <w:t>m</w:t>
      </w:r>
      <w:r w:rsidR="00CA39B2" w:rsidRPr="003A1174">
        <w:rPr>
          <w:rFonts w:ascii="Garamond" w:hAnsi="Garamond" w:cs="Arial"/>
          <w:sz w:val="24"/>
          <w:szCs w:val="24"/>
        </w:rPr>
        <w:t xml:space="preserve"> suficientes para acreditar </w:t>
      </w:r>
      <w:r w:rsidR="006F7581">
        <w:rPr>
          <w:rFonts w:ascii="Garamond" w:hAnsi="Garamond" w:cs="Arial"/>
          <w:sz w:val="24"/>
          <w:szCs w:val="24"/>
        </w:rPr>
        <w:t>-</w:t>
      </w:r>
      <w:r w:rsidR="005C2020" w:rsidRPr="003A1174">
        <w:rPr>
          <w:rFonts w:ascii="Garamond" w:hAnsi="Garamond" w:cs="Arial"/>
          <w:sz w:val="24"/>
          <w:szCs w:val="24"/>
        </w:rPr>
        <w:t xml:space="preserve"> </w:t>
      </w:r>
      <w:r w:rsidR="00CA39B2" w:rsidRPr="003A1174">
        <w:rPr>
          <w:rFonts w:ascii="Garamond" w:hAnsi="Garamond" w:cs="Arial"/>
          <w:sz w:val="24"/>
          <w:szCs w:val="24"/>
        </w:rPr>
        <w:t>co</w:t>
      </w:r>
      <w:r w:rsidR="005C2020" w:rsidRPr="003A1174">
        <w:rPr>
          <w:rFonts w:ascii="Garamond" w:hAnsi="Garamond" w:cs="Arial"/>
          <w:sz w:val="24"/>
          <w:szCs w:val="24"/>
        </w:rPr>
        <w:t xml:space="preserve">m o </w:t>
      </w:r>
      <w:r w:rsidR="006D4D0B" w:rsidRPr="003A1174">
        <w:rPr>
          <w:rFonts w:ascii="Garamond" w:hAnsi="Garamond" w:cs="Arial"/>
          <w:sz w:val="24"/>
          <w:szCs w:val="24"/>
        </w:rPr>
        <w:t>grau</w:t>
      </w:r>
      <w:r w:rsidR="00CA39B2" w:rsidRPr="003A1174">
        <w:rPr>
          <w:rFonts w:ascii="Garamond" w:hAnsi="Garamond" w:cs="Arial"/>
          <w:sz w:val="24"/>
          <w:szCs w:val="24"/>
        </w:rPr>
        <w:t xml:space="preserve"> de certeza </w:t>
      </w:r>
      <w:r w:rsidR="007578C6" w:rsidRPr="003A1174">
        <w:rPr>
          <w:rFonts w:ascii="Garamond" w:hAnsi="Garamond" w:cs="Arial"/>
          <w:sz w:val="24"/>
          <w:szCs w:val="24"/>
        </w:rPr>
        <w:t>necessária</w:t>
      </w:r>
      <w:r w:rsidR="005C2020" w:rsidRPr="003A1174">
        <w:rPr>
          <w:rFonts w:ascii="Garamond" w:hAnsi="Garamond" w:cs="Arial"/>
          <w:sz w:val="24"/>
          <w:szCs w:val="24"/>
        </w:rPr>
        <w:t xml:space="preserve"> </w:t>
      </w:r>
      <w:r w:rsidR="006F7581">
        <w:rPr>
          <w:rFonts w:ascii="Garamond" w:hAnsi="Garamond" w:cs="Arial"/>
          <w:sz w:val="24"/>
          <w:szCs w:val="24"/>
        </w:rPr>
        <w:t>-</w:t>
      </w:r>
      <w:r w:rsidR="005C2020" w:rsidRPr="003A1174">
        <w:rPr>
          <w:rFonts w:ascii="Garamond" w:hAnsi="Garamond" w:cs="Arial"/>
          <w:sz w:val="24"/>
          <w:szCs w:val="24"/>
        </w:rPr>
        <w:t xml:space="preserve"> </w:t>
      </w:r>
      <w:r w:rsidR="00CA39B2" w:rsidRPr="003A1174">
        <w:rPr>
          <w:rFonts w:ascii="Garamond" w:hAnsi="Garamond" w:cs="Arial"/>
          <w:sz w:val="24"/>
          <w:szCs w:val="24"/>
        </w:rPr>
        <w:t xml:space="preserve">os </w:t>
      </w:r>
      <w:r w:rsidR="001647F2" w:rsidRPr="003A1174">
        <w:rPr>
          <w:rFonts w:ascii="Garamond" w:hAnsi="Garamond" w:cs="Arial"/>
          <w:sz w:val="24"/>
          <w:szCs w:val="24"/>
        </w:rPr>
        <w:t>facto</w:t>
      </w:r>
      <w:r w:rsidR="00CA39B2" w:rsidRPr="003A1174">
        <w:rPr>
          <w:rFonts w:ascii="Garamond" w:hAnsi="Garamond" w:cs="Arial"/>
          <w:sz w:val="24"/>
          <w:szCs w:val="24"/>
        </w:rPr>
        <w:t>s que l</w:t>
      </w:r>
      <w:r w:rsidR="005C2020" w:rsidRPr="003A1174">
        <w:rPr>
          <w:rFonts w:ascii="Garamond" w:hAnsi="Garamond" w:cs="Arial"/>
          <w:sz w:val="24"/>
          <w:szCs w:val="24"/>
        </w:rPr>
        <w:t>h</w:t>
      </w:r>
      <w:r w:rsidR="00CA39B2" w:rsidRPr="003A1174">
        <w:rPr>
          <w:rFonts w:ascii="Garamond" w:hAnsi="Garamond" w:cs="Arial"/>
          <w:sz w:val="24"/>
          <w:szCs w:val="24"/>
        </w:rPr>
        <w:t>e atribu</w:t>
      </w:r>
      <w:r w:rsidR="005C2020" w:rsidRPr="003A1174">
        <w:rPr>
          <w:rFonts w:ascii="Garamond" w:hAnsi="Garamond" w:cs="Arial"/>
          <w:sz w:val="24"/>
          <w:szCs w:val="24"/>
        </w:rPr>
        <w:t xml:space="preserve">iu </w:t>
      </w:r>
      <w:r w:rsidR="00CA39B2" w:rsidRPr="003A1174">
        <w:rPr>
          <w:rFonts w:ascii="Garamond" w:hAnsi="Garamond" w:cs="Arial"/>
          <w:sz w:val="24"/>
          <w:szCs w:val="24"/>
        </w:rPr>
        <w:t xml:space="preserve">a </w:t>
      </w:r>
      <w:r w:rsidR="00EC45A0" w:rsidRPr="003A1174">
        <w:rPr>
          <w:rFonts w:ascii="Garamond" w:hAnsi="Garamond" w:cs="Arial"/>
          <w:sz w:val="24"/>
          <w:szCs w:val="24"/>
        </w:rPr>
        <w:t>demandante</w:t>
      </w:r>
      <w:r w:rsidR="00CA39B2" w:rsidRPr="003A1174">
        <w:rPr>
          <w:rFonts w:ascii="Garamond" w:hAnsi="Garamond" w:cs="Arial"/>
          <w:sz w:val="24"/>
          <w:szCs w:val="24"/>
        </w:rPr>
        <w:t xml:space="preserve"> a</w:t>
      </w:r>
      <w:r w:rsidR="00EC45A0" w:rsidRPr="003A1174">
        <w:rPr>
          <w:rFonts w:ascii="Garamond" w:hAnsi="Garamond" w:cs="Arial"/>
          <w:sz w:val="24"/>
          <w:szCs w:val="24"/>
        </w:rPr>
        <w:t xml:space="preserve">o </w:t>
      </w:r>
      <w:r w:rsidR="00CA39B2" w:rsidRPr="003A1174">
        <w:rPr>
          <w:rFonts w:ascii="Garamond" w:hAnsi="Garamond" w:cs="Arial"/>
          <w:sz w:val="24"/>
          <w:szCs w:val="24"/>
        </w:rPr>
        <w:t>denunci</w:t>
      </w:r>
      <w:r w:rsidR="00EC45A0" w:rsidRPr="003A1174">
        <w:rPr>
          <w:rFonts w:ascii="Garamond" w:hAnsi="Garamond" w:cs="Arial"/>
          <w:sz w:val="24"/>
          <w:szCs w:val="24"/>
        </w:rPr>
        <w:t>á-</w:t>
      </w:r>
      <w:r w:rsidR="00CA39B2" w:rsidRPr="003A1174">
        <w:rPr>
          <w:rFonts w:ascii="Garamond" w:hAnsi="Garamond" w:cs="Arial"/>
          <w:sz w:val="24"/>
          <w:szCs w:val="24"/>
        </w:rPr>
        <w:t>lo.</w:t>
      </w:r>
      <w:r w:rsidRPr="003A1174">
        <w:rPr>
          <w:rFonts w:ascii="Garamond" w:hAnsi="Garamond" w:cs="Arial"/>
          <w:sz w:val="24"/>
          <w:szCs w:val="24"/>
        </w:rPr>
        <w:t xml:space="preserve"> </w:t>
      </w:r>
      <w:r w:rsidR="00EC45A0" w:rsidRPr="003A1174">
        <w:rPr>
          <w:rFonts w:ascii="Garamond" w:hAnsi="Garamond" w:cs="Arial"/>
          <w:sz w:val="24"/>
          <w:szCs w:val="24"/>
        </w:rPr>
        <w:t xml:space="preserve">O Ministério Público recorreu ao </w:t>
      </w:r>
      <w:r w:rsidR="00CA39B2" w:rsidRPr="003A1174">
        <w:rPr>
          <w:rFonts w:ascii="Garamond" w:hAnsi="Garamond" w:cs="Arial"/>
          <w:sz w:val="24"/>
          <w:szCs w:val="24"/>
        </w:rPr>
        <w:t>Tribunal Superior co</w:t>
      </w:r>
      <w:r w:rsidR="00EC45A0" w:rsidRPr="003A1174">
        <w:rPr>
          <w:rFonts w:ascii="Garamond" w:hAnsi="Garamond" w:cs="Arial"/>
          <w:sz w:val="24"/>
          <w:szCs w:val="24"/>
        </w:rPr>
        <w:t xml:space="preserve">m o argumento de que </w:t>
      </w:r>
      <w:r w:rsidR="00CA39B2"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w:t>
      </w:r>
      <w:r w:rsidR="00EE7406" w:rsidRPr="003A1174">
        <w:rPr>
          <w:rFonts w:ascii="Garamond" w:hAnsi="Garamond" w:cs="Arial"/>
          <w:sz w:val="24"/>
          <w:szCs w:val="24"/>
        </w:rPr>
        <w:t>apesar</w:t>
      </w:r>
      <w:r w:rsidR="00CA39B2" w:rsidRPr="003A1174">
        <w:rPr>
          <w:rFonts w:ascii="Garamond" w:hAnsi="Garamond" w:cs="Arial"/>
          <w:sz w:val="24"/>
          <w:szCs w:val="24"/>
        </w:rPr>
        <w:t xml:space="preserve"> de </w:t>
      </w:r>
      <w:r w:rsidR="00C65DD5" w:rsidRPr="003A1174">
        <w:rPr>
          <w:rFonts w:ascii="Garamond" w:hAnsi="Garamond" w:cs="Arial"/>
          <w:sz w:val="24"/>
          <w:szCs w:val="24"/>
        </w:rPr>
        <w:t>analisar</w:t>
      </w:r>
      <w:r w:rsidR="00CA39B2" w:rsidRPr="003A1174">
        <w:rPr>
          <w:rFonts w:ascii="Garamond" w:hAnsi="Garamond" w:cs="Arial"/>
          <w:sz w:val="24"/>
          <w:szCs w:val="24"/>
        </w:rPr>
        <w:t xml:space="preserve"> </w:t>
      </w:r>
      <w:r w:rsidR="00EC45A0" w:rsidRPr="003A1174">
        <w:rPr>
          <w:rFonts w:ascii="Garamond" w:hAnsi="Garamond" w:cs="Arial"/>
          <w:sz w:val="24"/>
          <w:szCs w:val="24"/>
        </w:rPr>
        <w:t xml:space="preserve">o </w:t>
      </w:r>
      <w:r w:rsidR="00CA39B2" w:rsidRPr="003A1174">
        <w:rPr>
          <w:rFonts w:ascii="Garamond" w:hAnsi="Garamond" w:cs="Arial"/>
          <w:sz w:val="24"/>
          <w:szCs w:val="24"/>
        </w:rPr>
        <w:t xml:space="preserve">caso como </w:t>
      </w:r>
      <w:r w:rsidR="00632646">
        <w:rPr>
          <w:rFonts w:ascii="Garamond" w:hAnsi="Garamond" w:cs="Arial"/>
          <w:sz w:val="24"/>
          <w:szCs w:val="24"/>
        </w:rPr>
        <w:t xml:space="preserve">um exemplo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 n</w:t>
      </w:r>
      <w:r w:rsidR="00EC45A0" w:rsidRPr="003A1174">
        <w:rPr>
          <w:rFonts w:ascii="Garamond" w:hAnsi="Garamond" w:cs="Arial"/>
          <w:sz w:val="24"/>
          <w:szCs w:val="24"/>
        </w:rPr>
        <w:t>ã</w:t>
      </w:r>
      <w:r w:rsidR="00CA39B2" w:rsidRPr="003A1174">
        <w:rPr>
          <w:rFonts w:ascii="Garamond" w:hAnsi="Garamond" w:cs="Arial"/>
          <w:sz w:val="24"/>
          <w:szCs w:val="24"/>
        </w:rPr>
        <w:t xml:space="preserve">o </w:t>
      </w:r>
      <w:r w:rsidR="00EC45A0" w:rsidRPr="003A1174">
        <w:rPr>
          <w:rFonts w:ascii="Garamond" w:hAnsi="Garamond" w:cs="Arial"/>
          <w:sz w:val="24"/>
          <w:szCs w:val="24"/>
        </w:rPr>
        <w:t xml:space="preserve">tinha aplicado </w:t>
      </w:r>
      <w:r w:rsidR="00CA39B2" w:rsidRPr="003A1174">
        <w:rPr>
          <w:rFonts w:ascii="Garamond" w:hAnsi="Garamond" w:cs="Arial"/>
          <w:sz w:val="24"/>
          <w:szCs w:val="24"/>
        </w:rPr>
        <w:t xml:space="preserve">as </w:t>
      </w:r>
      <w:r w:rsidR="00233514" w:rsidRPr="003A1174">
        <w:rPr>
          <w:rFonts w:ascii="Garamond" w:hAnsi="Garamond" w:cs="Arial"/>
          <w:sz w:val="24"/>
          <w:szCs w:val="24"/>
        </w:rPr>
        <w:t>regra</w:t>
      </w:r>
      <w:r w:rsidR="00CA39B2" w:rsidRPr="003A1174">
        <w:rPr>
          <w:rFonts w:ascii="Garamond" w:hAnsi="Garamond" w:cs="Arial"/>
          <w:sz w:val="24"/>
          <w:szCs w:val="24"/>
        </w:rPr>
        <w:t xml:space="preserve">s que </w:t>
      </w:r>
      <w:r w:rsidR="00EC45A0" w:rsidRPr="003A1174">
        <w:rPr>
          <w:rFonts w:ascii="Garamond" w:hAnsi="Garamond" w:cs="Arial"/>
          <w:sz w:val="24"/>
          <w:szCs w:val="24"/>
        </w:rPr>
        <w:t xml:space="preserve">as normas internacionais e nacionais </w:t>
      </w:r>
      <w:r w:rsidR="00152A44" w:rsidRPr="003A1174">
        <w:rPr>
          <w:rFonts w:ascii="Garamond" w:hAnsi="Garamond" w:cs="Arial"/>
          <w:sz w:val="24"/>
          <w:szCs w:val="24"/>
        </w:rPr>
        <w:t>estabelece</w:t>
      </w:r>
      <w:r w:rsidR="00EC45A0" w:rsidRPr="003A1174">
        <w:rPr>
          <w:rFonts w:ascii="Garamond" w:hAnsi="Garamond" w:cs="Arial"/>
          <w:sz w:val="24"/>
          <w:szCs w:val="24"/>
        </w:rPr>
        <w:t xml:space="preserve">m para abordar </w:t>
      </w:r>
      <w:r w:rsidR="00EF645F" w:rsidRPr="003A1174">
        <w:rPr>
          <w:rFonts w:ascii="Garamond" w:hAnsi="Garamond" w:cs="Arial"/>
          <w:sz w:val="24"/>
          <w:szCs w:val="24"/>
        </w:rPr>
        <w:t>matéria</w:t>
      </w:r>
      <w:r w:rsidR="0015550A">
        <w:rPr>
          <w:rFonts w:ascii="Garamond" w:hAnsi="Garamond" w:cs="Arial"/>
          <w:sz w:val="24"/>
          <w:szCs w:val="24"/>
        </w:rPr>
        <w:t>s</w:t>
      </w:r>
      <w:r w:rsidR="00EC45A0" w:rsidRPr="003A1174">
        <w:rPr>
          <w:rFonts w:ascii="Garamond" w:hAnsi="Garamond" w:cs="Arial"/>
          <w:sz w:val="24"/>
          <w:szCs w:val="24"/>
        </w:rPr>
        <w:t xml:space="preserve">, como </w:t>
      </w:r>
      <w:r w:rsidR="00632646">
        <w:rPr>
          <w:rFonts w:ascii="Garamond" w:hAnsi="Garamond" w:cs="Arial"/>
          <w:sz w:val="24"/>
          <w:szCs w:val="24"/>
        </w:rPr>
        <w:t>as</w:t>
      </w:r>
      <w:r w:rsidR="0015550A">
        <w:rPr>
          <w:rFonts w:ascii="Garamond" w:hAnsi="Garamond" w:cs="Arial"/>
          <w:sz w:val="24"/>
          <w:szCs w:val="24"/>
        </w:rPr>
        <w:t xml:space="preserve"> </w:t>
      </w:r>
      <w:r w:rsidR="00632646">
        <w:rPr>
          <w:rFonts w:ascii="Garamond" w:hAnsi="Garamond" w:cs="Arial"/>
          <w:sz w:val="24"/>
          <w:szCs w:val="24"/>
        </w:rPr>
        <w:t xml:space="preserve">respeitantes a </w:t>
      </w:r>
      <w:r w:rsidR="00CA39B2" w:rsidRPr="003A1174">
        <w:rPr>
          <w:rFonts w:ascii="Garamond" w:hAnsi="Garamond" w:cs="Arial"/>
          <w:sz w:val="24"/>
          <w:szCs w:val="24"/>
        </w:rPr>
        <w:t>ad</w:t>
      </w:r>
      <w:r w:rsidR="00EC45A0" w:rsidRPr="003A1174">
        <w:rPr>
          <w:rFonts w:ascii="Garamond" w:hAnsi="Garamond" w:cs="Arial"/>
          <w:sz w:val="24"/>
          <w:szCs w:val="24"/>
        </w:rPr>
        <w:t xml:space="preserve">mitir </w:t>
      </w:r>
      <w:r w:rsidR="0015550A">
        <w:rPr>
          <w:rFonts w:ascii="Garamond" w:hAnsi="Garamond" w:cs="Arial"/>
          <w:sz w:val="24"/>
          <w:szCs w:val="24"/>
        </w:rPr>
        <w:t xml:space="preserve">a </w:t>
      </w:r>
      <w:r w:rsidR="00EC45A0" w:rsidRPr="003A1174">
        <w:rPr>
          <w:rFonts w:ascii="Garamond" w:hAnsi="Garamond" w:cs="Arial"/>
          <w:sz w:val="24"/>
          <w:szCs w:val="24"/>
        </w:rPr>
        <w:t xml:space="preserve">amplitude probatória para </w:t>
      </w:r>
      <w:r w:rsidR="00CA39B2" w:rsidRPr="003A1174">
        <w:rPr>
          <w:rFonts w:ascii="Garamond" w:hAnsi="Garamond" w:cs="Arial"/>
          <w:sz w:val="24"/>
          <w:szCs w:val="24"/>
        </w:rPr>
        <w:t xml:space="preserve">a </w:t>
      </w:r>
      <w:r w:rsidR="00EC45A0" w:rsidRPr="003A1174">
        <w:rPr>
          <w:rFonts w:ascii="Garamond" w:hAnsi="Garamond" w:cs="Arial"/>
          <w:sz w:val="24"/>
          <w:szCs w:val="24"/>
        </w:rPr>
        <w:t>demostração</w:t>
      </w:r>
      <w:r w:rsidR="00CA39B2" w:rsidRPr="003A1174">
        <w:rPr>
          <w:rFonts w:ascii="Garamond" w:hAnsi="Garamond" w:cs="Arial"/>
          <w:sz w:val="24"/>
          <w:szCs w:val="24"/>
        </w:rPr>
        <w:t xml:space="preserve"> de </w:t>
      </w:r>
      <w:r w:rsidR="001647F2" w:rsidRPr="003A1174">
        <w:rPr>
          <w:rFonts w:ascii="Garamond" w:hAnsi="Garamond" w:cs="Arial"/>
          <w:sz w:val="24"/>
          <w:szCs w:val="24"/>
        </w:rPr>
        <w:t>facto</w:t>
      </w:r>
      <w:r w:rsidR="00CA39B2" w:rsidRPr="003A1174">
        <w:rPr>
          <w:rFonts w:ascii="Garamond" w:hAnsi="Garamond" w:cs="Arial"/>
          <w:sz w:val="24"/>
          <w:szCs w:val="24"/>
        </w:rPr>
        <w:t>s que oc</w:t>
      </w:r>
      <w:r w:rsidR="00EC45A0" w:rsidRPr="003A1174">
        <w:rPr>
          <w:rFonts w:ascii="Garamond" w:hAnsi="Garamond" w:cs="Arial"/>
          <w:sz w:val="24"/>
          <w:szCs w:val="24"/>
        </w:rPr>
        <w:t>o</w:t>
      </w:r>
      <w:r w:rsidR="00CA39B2" w:rsidRPr="003A1174">
        <w:rPr>
          <w:rFonts w:ascii="Garamond" w:hAnsi="Garamond" w:cs="Arial"/>
          <w:sz w:val="24"/>
          <w:szCs w:val="24"/>
        </w:rPr>
        <w:t>rre</w:t>
      </w:r>
      <w:r w:rsidR="00EC45A0" w:rsidRPr="003A1174">
        <w:rPr>
          <w:rFonts w:ascii="Garamond" w:hAnsi="Garamond" w:cs="Arial"/>
          <w:sz w:val="24"/>
          <w:szCs w:val="24"/>
        </w:rPr>
        <w:t xml:space="preserve">m em </w:t>
      </w:r>
      <w:r w:rsidR="002E2C71" w:rsidRPr="003A1174">
        <w:rPr>
          <w:rFonts w:ascii="Garamond" w:hAnsi="Garamond" w:cs="Arial"/>
          <w:sz w:val="24"/>
          <w:szCs w:val="24"/>
        </w:rPr>
        <w:t>circunstância</w:t>
      </w:r>
      <w:r w:rsidR="00CA39B2" w:rsidRPr="003A1174">
        <w:rPr>
          <w:rFonts w:ascii="Garamond" w:hAnsi="Garamond" w:cs="Arial"/>
          <w:sz w:val="24"/>
          <w:szCs w:val="24"/>
        </w:rPr>
        <w:t xml:space="preserve">s </w:t>
      </w:r>
      <w:r w:rsidR="00201889" w:rsidRPr="003A1174">
        <w:rPr>
          <w:rFonts w:ascii="Garamond" w:hAnsi="Garamond" w:cs="Arial"/>
          <w:sz w:val="24"/>
          <w:szCs w:val="24"/>
        </w:rPr>
        <w:t>especiais</w:t>
      </w:r>
      <w:r w:rsidRPr="003A1174">
        <w:rPr>
          <w:rFonts w:ascii="Garamond" w:hAnsi="Garamond" w:cs="Arial"/>
          <w:sz w:val="24"/>
          <w:szCs w:val="24"/>
        </w:rPr>
        <w:t>,</w:t>
      </w:r>
      <w:r w:rsidR="00CA39B2" w:rsidRPr="003A1174">
        <w:rPr>
          <w:rFonts w:ascii="Garamond" w:hAnsi="Garamond" w:cs="Arial"/>
          <w:sz w:val="24"/>
          <w:szCs w:val="24"/>
        </w:rPr>
        <w:t xml:space="preserve"> como </w:t>
      </w:r>
      <w:r w:rsidR="00D75A07" w:rsidRPr="003A1174">
        <w:rPr>
          <w:rFonts w:ascii="Garamond" w:hAnsi="Garamond" w:cs="Arial"/>
          <w:sz w:val="24"/>
          <w:szCs w:val="24"/>
        </w:rPr>
        <w:t>são</w:t>
      </w:r>
      <w:r w:rsidR="00EC45A0" w:rsidRPr="003A1174">
        <w:rPr>
          <w:rFonts w:ascii="Garamond" w:hAnsi="Garamond" w:cs="Arial"/>
          <w:sz w:val="24"/>
          <w:szCs w:val="24"/>
        </w:rPr>
        <w:t xml:space="preserve"> </w:t>
      </w:r>
      <w:r w:rsidR="00CA39B2" w:rsidRPr="003A1174">
        <w:rPr>
          <w:rFonts w:ascii="Garamond" w:hAnsi="Garamond" w:cs="Arial"/>
          <w:sz w:val="24"/>
          <w:szCs w:val="24"/>
        </w:rPr>
        <w:t xml:space="preserve">os </w:t>
      </w:r>
      <w:r w:rsidR="001B02AD" w:rsidRPr="003A1174">
        <w:rPr>
          <w:rFonts w:ascii="Garamond" w:hAnsi="Garamond" w:cs="Arial"/>
          <w:sz w:val="24"/>
          <w:szCs w:val="24"/>
        </w:rPr>
        <w:t>atos</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r w:rsidR="00632646">
        <w:rPr>
          <w:rFonts w:ascii="Garamond" w:hAnsi="Garamond" w:cs="Arial"/>
          <w:sz w:val="24"/>
          <w:szCs w:val="24"/>
        </w:rPr>
        <w:t xml:space="preserve">em que é </w:t>
      </w:r>
      <w:r w:rsidR="00CA39B2" w:rsidRPr="003A1174">
        <w:rPr>
          <w:rFonts w:ascii="Garamond" w:hAnsi="Garamond" w:cs="Arial"/>
          <w:sz w:val="24"/>
          <w:szCs w:val="24"/>
        </w:rPr>
        <w:t>po</w:t>
      </w:r>
      <w:r w:rsidR="00EC45A0" w:rsidRPr="003A1174">
        <w:rPr>
          <w:rFonts w:ascii="Garamond" w:hAnsi="Garamond" w:cs="Arial"/>
          <w:sz w:val="24"/>
          <w:szCs w:val="24"/>
        </w:rPr>
        <w:t>u</w:t>
      </w:r>
      <w:r w:rsidR="00CA39B2" w:rsidRPr="003A1174">
        <w:rPr>
          <w:rFonts w:ascii="Garamond" w:hAnsi="Garamond" w:cs="Arial"/>
          <w:sz w:val="24"/>
          <w:szCs w:val="24"/>
        </w:rPr>
        <w:t xml:space="preserve">co </w:t>
      </w:r>
      <w:r w:rsidR="00EC45A0" w:rsidRPr="003A1174">
        <w:rPr>
          <w:rFonts w:ascii="Garamond" w:hAnsi="Garamond" w:cs="Arial"/>
          <w:sz w:val="24"/>
          <w:szCs w:val="24"/>
        </w:rPr>
        <w:t>frequente</w:t>
      </w:r>
      <w:r w:rsidR="00CA39B2" w:rsidRPr="003A1174">
        <w:rPr>
          <w:rFonts w:ascii="Garamond" w:hAnsi="Garamond" w:cs="Arial"/>
          <w:sz w:val="24"/>
          <w:szCs w:val="24"/>
        </w:rPr>
        <w:t xml:space="preserve"> contar co</w:t>
      </w:r>
      <w:r w:rsidR="00EC45A0" w:rsidRPr="003A1174">
        <w:rPr>
          <w:rFonts w:ascii="Garamond" w:hAnsi="Garamond" w:cs="Arial"/>
          <w:sz w:val="24"/>
          <w:szCs w:val="24"/>
        </w:rPr>
        <w:t>m</w:t>
      </w:r>
      <w:r w:rsidR="00CA39B2" w:rsidRPr="003A1174">
        <w:rPr>
          <w:rFonts w:ascii="Garamond" w:hAnsi="Garamond" w:cs="Arial"/>
          <w:sz w:val="24"/>
          <w:szCs w:val="24"/>
        </w:rPr>
        <w:t xml:space="preserve"> </w:t>
      </w:r>
      <w:r w:rsidR="00EC45A0" w:rsidRPr="003A1174">
        <w:rPr>
          <w:rFonts w:ascii="Garamond" w:hAnsi="Garamond" w:cs="Arial"/>
          <w:sz w:val="24"/>
          <w:szCs w:val="24"/>
        </w:rPr>
        <w:t>testemunha</w:t>
      </w:r>
      <w:r w:rsidR="00CA39B2" w:rsidRPr="003A1174">
        <w:rPr>
          <w:rFonts w:ascii="Garamond" w:hAnsi="Garamond" w:cs="Arial"/>
          <w:sz w:val="24"/>
          <w:szCs w:val="24"/>
        </w:rPr>
        <w:t xml:space="preserve">s </w:t>
      </w:r>
      <w:r w:rsidR="00EC45A0" w:rsidRPr="003A1174">
        <w:rPr>
          <w:rFonts w:ascii="Garamond" w:hAnsi="Garamond" w:cs="Arial"/>
          <w:sz w:val="24"/>
          <w:szCs w:val="24"/>
        </w:rPr>
        <w:t>presenciais</w:t>
      </w:r>
      <w:r w:rsidR="00CA39B2" w:rsidRPr="003A1174">
        <w:rPr>
          <w:rFonts w:ascii="Garamond" w:hAnsi="Garamond" w:cs="Arial"/>
          <w:sz w:val="24"/>
          <w:szCs w:val="24"/>
        </w:rPr>
        <w:t>, p</w:t>
      </w:r>
      <w:r w:rsidR="00EC45A0" w:rsidRPr="003A1174">
        <w:rPr>
          <w:rFonts w:ascii="Garamond" w:hAnsi="Garamond" w:cs="Arial"/>
          <w:sz w:val="24"/>
          <w:szCs w:val="24"/>
        </w:rPr>
        <w:t>e</w:t>
      </w:r>
      <w:r w:rsidR="00CA39B2" w:rsidRPr="003A1174">
        <w:rPr>
          <w:rFonts w:ascii="Garamond" w:hAnsi="Garamond" w:cs="Arial"/>
          <w:sz w:val="24"/>
          <w:szCs w:val="24"/>
        </w:rPr>
        <w:t xml:space="preserve">lo que </w:t>
      </w:r>
      <w:r w:rsidR="00EC45A0" w:rsidRPr="003A1174">
        <w:rPr>
          <w:rFonts w:ascii="Garamond" w:hAnsi="Garamond" w:cs="Arial"/>
          <w:sz w:val="24"/>
          <w:szCs w:val="24"/>
        </w:rPr>
        <w:t xml:space="preserve">era </w:t>
      </w:r>
      <w:r w:rsidR="00067AA4" w:rsidRPr="003A1174">
        <w:rPr>
          <w:rFonts w:ascii="Garamond" w:hAnsi="Garamond" w:cs="Arial"/>
          <w:sz w:val="24"/>
          <w:szCs w:val="24"/>
        </w:rPr>
        <w:t>muito</w:t>
      </w:r>
      <w:r w:rsidR="00CA39B2" w:rsidRPr="003A1174">
        <w:rPr>
          <w:rFonts w:ascii="Garamond" w:hAnsi="Garamond" w:cs="Arial"/>
          <w:sz w:val="24"/>
          <w:szCs w:val="24"/>
        </w:rPr>
        <w:t xml:space="preserve"> importante considerar </w:t>
      </w:r>
      <w:r w:rsidR="00EC45A0" w:rsidRPr="003A1174">
        <w:rPr>
          <w:rFonts w:ascii="Garamond" w:hAnsi="Garamond" w:cs="Arial"/>
          <w:sz w:val="24"/>
          <w:szCs w:val="24"/>
        </w:rPr>
        <w:t xml:space="preserve">as referidas </w:t>
      </w:r>
      <w:r w:rsidR="00CA39B2" w:rsidRPr="003A1174">
        <w:rPr>
          <w:rFonts w:ascii="Garamond" w:hAnsi="Garamond" w:cs="Arial"/>
          <w:sz w:val="24"/>
          <w:szCs w:val="24"/>
        </w:rPr>
        <w:t>peculiaridades</w:t>
      </w:r>
      <w:r w:rsidRPr="003A1174">
        <w:rPr>
          <w:rFonts w:ascii="Garamond" w:hAnsi="Garamond" w:cs="Arial"/>
          <w:sz w:val="24"/>
          <w:szCs w:val="24"/>
        </w:rPr>
        <w:t xml:space="preserve"> </w:t>
      </w:r>
      <w:r w:rsidR="00EC45A0" w:rsidRPr="003A1174">
        <w:rPr>
          <w:rFonts w:ascii="Garamond" w:hAnsi="Garamond" w:cs="Arial"/>
          <w:sz w:val="24"/>
          <w:szCs w:val="24"/>
        </w:rPr>
        <w:t>n</w:t>
      </w:r>
      <w:r w:rsidR="00CA39B2" w:rsidRPr="003A1174">
        <w:rPr>
          <w:rFonts w:ascii="Garamond" w:hAnsi="Garamond" w:cs="Arial"/>
          <w:sz w:val="24"/>
          <w:szCs w:val="24"/>
        </w:rPr>
        <w:t xml:space="preserve">a </w:t>
      </w:r>
      <w:r w:rsidR="00AB6522" w:rsidRPr="003A1174">
        <w:rPr>
          <w:rFonts w:ascii="Garamond" w:hAnsi="Garamond" w:cs="Arial"/>
          <w:sz w:val="24"/>
          <w:szCs w:val="24"/>
        </w:rPr>
        <w:t>avaliação</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2B6C5B" w:rsidRPr="003A1174">
        <w:rPr>
          <w:rFonts w:ascii="Garamond" w:hAnsi="Garamond" w:cs="Arial"/>
          <w:sz w:val="24"/>
          <w:szCs w:val="24"/>
        </w:rPr>
        <w:t>prova</w:t>
      </w:r>
      <w:r w:rsidR="00CA39B2" w:rsidRPr="003A1174">
        <w:rPr>
          <w:rFonts w:ascii="Garamond" w:hAnsi="Garamond" w:cs="Arial"/>
          <w:sz w:val="24"/>
          <w:szCs w:val="24"/>
        </w:rPr>
        <w:t xml:space="preserve">s </w:t>
      </w:r>
      <w:r w:rsidR="00EC45A0" w:rsidRPr="003A1174">
        <w:rPr>
          <w:rFonts w:ascii="Garamond" w:hAnsi="Garamond" w:cs="Arial"/>
          <w:sz w:val="24"/>
          <w:szCs w:val="24"/>
        </w:rPr>
        <w:t>oferecid</w:t>
      </w:r>
      <w:r w:rsidR="00CA39B2" w:rsidRPr="003A1174">
        <w:rPr>
          <w:rFonts w:ascii="Garamond" w:hAnsi="Garamond" w:cs="Arial"/>
          <w:sz w:val="24"/>
          <w:szCs w:val="24"/>
        </w:rPr>
        <w:t xml:space="preserve">as. </w:t>
      </w:r>
    </w:p>
    <w:p w:rsidR="00CA39B2" w:rsidRPr="003A1174" w:rsidRDefault="00EC45A0" w:rsidP="00EC45A0">
      <w:pPr>
        <w:spacing w:before="240" w:after="0" w:line="240" w:lineRule="auto"/>
        <w:jc w:val="both"/>
        <w:rPr>
          <w:rFonts w:ascii="Garamond" w:hAnsi="Garamond" w:cs="Arial"/>
          <w:sz w:val="24"/>
          <w:szCs w:val="24"/>
        </w:rPr>
      </w:pPr>
      <w:r w:rsidRPr="003A1174">
        <w:rPr>
          <w:rFonts w:ascii="Garamond" w:hAnsi="Garamond" w:cs="Arial"/>
          <w:sz w:val="24"/>
          <w:szCs w:val="24"/>
        </w:rPr>
        <w:t>A</w:t>
      </w:r>
      <w:r w:rsidR="00CA39B2" w:rsidRPr="003A1174">
        <w:rPr>
          <w:rFonts w:ascii="Garamond" w:hAnsi="Garamond" w:cs="Arial"/>
          <w:sz w:val="24"/>
          <w:szCs w:val="24"/>
        </w:rPr>
        <w:t xml:space="preserve">s </w:t>
      </w:r>
      <w:r w:rsidR="00BA3CCE" w:rsidRPr="003A1174">
        <w:rPr>
          <w:rFonts w:ascii="Garamond" w:hAnsi="Garamond" w:cs="Arial"/>
          <w:sz w:val="24"/>
          <w:szCs w:val="24"/>
        </w:rPr>
        <w:t>juízas</w:t>
      </w:r>
      <w:r w:rsidR="00CA39B2" w:rsidRPr="003A1174">
        <w:rPr>
          <w:rFonts w:ascii="Garamond" w:hAnsi="Garamond" w:cs="Arial"/>
          <w:sz w:val="24"/>
          <w:szCs w:val="24"/>
        </w:rPr>
        <w:t xml:space="preserve"> Ana María Conde </w:t>
      </w:r>
      <w:r w:rsidR="00497503" w:rsidRPr="003A1174">
        <w:rPr>
          <w:rFonts w:ascii="Garamond" w:hAnsi="Garamond" w:cs="Arial"/>
          <w:sz w:val="24"/>
          <w:szCs w:val="24"/>
        </w:rPr>
        <w:t>e</w:t>
      </w:r>
      <w:r w:rsidR="00CA39B2" w:rsidRPr="003A1174">
        <w:rPr>
          <w:rFonts w:ascii="Garamond" w:hAnsi="Garamond" w:cs="Arial"/>
          <w:sz w:val="24"/>
          <w:szCs w:val="24"/>
        </w:rPr>
        <w:t xml:space="preserve"> Alicia E. C. Ruiz</w:t>
      </w:r>
      <w:r w:rsidR="00E86FBA" w:rsidRPr="003A1174">
        <w:rPr>
          <w:rFonts w:ascii="Garamond" w:hAnsi="Garamond" w:cs="Arial"/>
          <w:sz w:val="24"/>
          <w:szCs w:val="24"/>
        </w:rPr>
        <w:t>, as</w:t>
      </w:r>
      <w:r w:rsidRPr="003A1174">
        <w:rPr>
          <w:rFonts w:ascii="Garamond" w:hAnsi="Garamond" w:cs="Arial"/>
          <w:sz w:val="24"/>
          <w:szCs w:val="24"/>
        </w:rPr>
        <w:t xml:space="preserve">sim </w:t>
      </w:r>
      <w:r w:rsidR="00E86FBA" w:rsidRPr="003A1174">
        <w:rPr>
          <w:rFonts w:ascii="Garamond" w:hAnsi="Garamond" w:cs="Arial"/>
          <w:sz w:val="24"/>
          <w:szCs w:val="24"/>
        </w:rPr>
        <w:t>como</w:t>
      </w:r>
      <w:r w:rsidR="00CA39B2" w:rsidRPr="003A1174">
        <w:rPr>
          <w:rFonts w:ascii="Garamond" w:hAnsi="Garamond" w:cs="Arial"/>
          <w:sz w:val="24"/>
          <w:szCs w:val="24"/>
        </w:rPr>
        <w:t xml:space="preserve"> </w:t>
      </w:r>
      <w:r w:rsidRPr="003A1174">
        <w:rPr>
          <w:rFonts w:ascii="Garamond" w:hAnsi="Garamond" w:cs="Arial"/>
          <w:sz w:val="24"/>
          <w:szCs w:val="24"/>
        </w:rPr>
        <w:t>o</w:t>
      </w:r>
      <w:r w:rsidR="00CA39B2" w:rsidRPr="003A1174">
        <w:rPr>
          <w:rFonts w:ascii="Garamond" w:hAnsi="Garamond" w:cs="Arial"/>
          <w:sz w:val="24"/>
          <w:szCs w:val="24"/>
        </w:rPr>
        <w:t xml:space="preserve"> </w:t>
      </w:r>
      <w:r w:rsidR="00253B1D" w:rsidRPr="003A1174">
        <w:rPr>
          <w:rFonts w:ascii="Garamond" w:hAnsi="Garamond" w:cs="Arial"/>
          <w:sz w:val="24"/>
          <w:szCs w:val="24"/>
        </w:rPr>
        <w:t>juiz</w:t>
      </w:r>
      <w:r w:rsidR="00CA39B2" w:rsidRPr="003A1174">
        <w:rPr>
          <w:rFonts w:ascii="Garamond" w:hAnsi="Garamond" w:cs="Arial"/>
          <w:sz w:val="24"/>
          <w:szCs w:val="24"/>
        </w:rPr>
        <w:t xml:space="preserve"> Luis Francisco Lozano</w:t>
      </w:r>
      <w:r w:rsidR="00E86FBA" w:rsidRPr="003A1174">
        <w:rPr>
          <w:rFonts w:ascii="Garamond" w:hAnsi="Garamond" w:cs="Arial"/>
          <w:sz w:val="24"/>
          <w:szCs w:val="24"/>
        </w:rPr>
        <w:t>,</w:t>
      </w:r>
      <w:r w:rsidR="00CA39B2" w:rsidRPr="003A1174">
        <w:rPr>
          <w:rFonts w:ascii="Garamond" w:hAnsi="Garamond" w:cs="Arial"/>
          <w:sz w:val="24"/>
          <w:szCs w:val="24"/>
        </w:rPr>
        <w:t xml:space="preserve"> </w:t>
      </w:r>
      <w:r w:rsidR="0015550A">
        <w:rPr>
          <w:rFonts w:ascii="Garamond" w:hAnsi="Garamond" w:cs="Arial"/>
          <w:sz w:val="24"/>
          <w:szCs w:val="24"/>
        </w:rPr>
        <w:t xml:space="preserve">concordaram </w:t>
      </w:r>
      <w:r w:rsidRPr="003A1174">
        <w:rPr>
          <w:rFonts w:ascii="Garamond" w:hAnsi="Garamond" w:cs="Arial"/>
          <w:sz w:val="24"/>
          <w:szCs w:val="24"/>
        </w:rPr>
        <w:t xml:space="preserve">em afirmar que </w:t>
      </w:r>
      <w:r w:rsidR="00CA39B2" w:rsidRPr="003A1174">
        <w:rPr>
          <w:rFonts w:ascii="Garamond" w:hAnsi="Garamond" w:cs="Arial"/>
          <w:sz w:val="24"/>
          <w:szCs w:val="24"/>
        </w:rPr>
        <w:t xml:space="preserve">a </w:t>
      </w:r>
      <w:r w:rsidR="00FC1F7F" w:rsidRPr="003A1174">
        <w:rPr>
          <w:rFonts w:ascii="Garamond" w:hAnsi="Garamond" w:cs="Arial"/>
          <w:sz w:val="24"/>
          <w:szCs w:val="24"/>
        </w:rPr>
        <w:t>sentença</w:t>
      </w:r>
      <w:r w:rsidR="00CA39B2" w:rsidRPr="003A1174">
        <w:rPr>
          <w:rFonts w:ascii="Garamond" w:hAnsi="Garamond" w:cs="Arial"/>
          <w:sz w:val="24"/>
          <w:szCs w:val="24"/>
        </w:rPr>
        <w:t xml:space="preserve"> d</w:t>
      </w:r>
      <w:r w:rsidR="00E86FBA"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w:t>
      </w:r>
      <w:r w:rsidRPr="003A1174">
        <w:rPr>
          <w:rFonts w:ascii="Garamond" w:hAnsi="Garamond" w:cs="Arial"/>
          <w:sz w:val="24"/>
          <w:szCs w:val="24"/>
        </w:rPr>
        <w:t xml:space="preserve">era </w:t>
      </w:r>
      <w:r w:rsidR="00100435" w:rsidRPr="003A1174">
        <w:rPr>
          <w:rFonts w:ascii="Garamond" w:hAnsi="Garamond" w:cs="Arial"/>
          <w:sz w:val="24"/>
          <w:szCs w:val="24"/>
        </w:rPr>
        <w:t>arbitrária</w:t>
      </w:r>
      <w:r w:rsidR="00E86FBA" w:rsidRPr="003A1174">
        <w:rPr>
          <w:rFonts w:ascii="Garamond" w:hAnsi="Garamond" w:cs="Arial"/>
          <w:sz w:val="24"/>
          <w:szCs w:val="24"/>
        </w:rPr>
        <w:t>,</w:t>
      </w:r>
      <w:r w:rsidR="00CA39B2" w:rsidRPr="003A1174">
        <w:rPr>
          <w:rFonts w:ascii="Garamond" w:hAnsi="Garamond" w:cs="Arial"/>
          <w:sz w:val="24"/>
          <w:szCs w:val="24"/>
        </w:rPr>
        <w:t xml:space="preserve"> porque </w:t>
      </w:r>
      <w:r w:rsidRPr="003A1174">
        <w:rPr>
          <w:rFonts w:ascii="Garamond" w:hAnsi="Garamond" w:cs="Arial"/>
          <w:sz w:val="24"/>
          <w:szCs w:val="24"/>
        </w:rPr>
        <w:t xml:space="preserve">embora reconhecesse um </w:t>
      </w:r>
      <w:r w:rsidR="00CA39B2" w:rsidRPr="003A1174">
        <w:rPr>
          <w:rFonts w:ascii="Garamond" w:hAnsi="Garamond" w:cs="Arial"/>
          <w:sz w:val="24"/>
          <w:szCs w:val="24"/>
        </w:rPr>
        <w:t xml:space="preserve">contexto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w:t>
      </w:r>
      <w:r w:rsidR="006F7581">
        <w:rPr>
          <w:rFonts w:ascii="Garamond" w:hAnsi="Garamond" w:cs="Arial"/>
          <w:sz w:val="24"/>
          <w:szCs w:val="24"/>
        </w:rPr>
        <w:t>-</w:t>
      </w:r>
      <w:r w:rsidRPr="003A1174">
        <w:rPr>
          <w:rFonts w:ascii="Garamond" w:hAnsi="Garamond" w:cs="Arial"/>
          <w:sz w:val="24"/>
          <w:szCs w:val="24"/>
        </w:rPr>
        <w:t xml:space="preserve"> que justificava </w:t>
      </w:r>
      <w:r w:rsidR="00CA39B2" w:rsidRPr="003A1174">
        <w:rPr>
          <w:rFonts w:ascii="Garamond" w:hAnsi="Garamond" w:cs="Arial"/>
          <w:sz w:val="24"/>
          <w:szCs w:val="24"/>
        </w:rPr>
        <w:t xml:space="preserve">a </w:t>
      </w:r>
      <w:r w:rsidR="00B14AA6" w:rsidRPr="003A1174">
        <w:rPr>
          <w:rFonts w:ascii="Garamond" w:hAnsi="Garamond" w:cs="Arial"/>
          <w:sz w:val="24"/>
          <w:szCs w:val="24"/>
        </w:rPr>
        <w:t>aplicação</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EB2F44" w:rsidRPr="003A1174">
        <w:rPr>
          <w:rFonts w:ascii="Garamond" w:hAnsi="Garamond" w:cs="Arial"/>
          <w:sz w:val="24"/>
          <w:szCs w:val="24"/>
        </w:rPr>
        <w:t>convenções</w:t>
      </w:r>
      <w:r w:rsidR="00CA39B2" w:rsidRPr="003A1174">
        <w:rPr>
          <w:rFonts w:ascii="Garamond" w:hAnsi="Garamond" w:cs="Arial"/>
          <w:sz w:val="24"/>
          <w:szCs w:val="24"/>
        </w:rPr>
        <w:t xml:space="preserve"> </w:t>
      </w:r>
      <w:r w:rsidR="00EF645F" w:rsidRPr="003A1174">
        <w:rPr>
          <w:rFonts w:ascii="Garamond" w:hAnsi="Garamond" w:cs="Arial"/>
          <w:sz w:val="24"/>
          <w:szCs w:val="24"/>
        </w:rPr>
        <w:t>internacionais</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D15AFF" w:rsidRPr="003A1174">
        <w:rPr>
          <w:rFonts w:ascii="Garamond" w:hAnsi="Garamond" w:cs="Arial"/>
          <w:sz w:val="24"/>
          <w:szCs w:val="24"/>
        </w:rPr>
        <w:t>lei</w:t>
      </w:r>
      <w:r w:rsidR="00CA39B2" w:rsidRPr="003A1174">
        <w:rPr>
          <w:rFonts w:ascii="Garamond" w:hAnsi="Garamond" w:cs="Arial"/>
          <w:sz w:val="24"/>
          <w:szCs w:val="24"/>
        </w:rPr>
        <w:t xml:space="preserve"> federal e</w:t>
      </w:r>
      <w:r w:rsidRPr="003A1174">
        <w:rPr>
          <w:rFonts w:ascii="Garamond" w:hAnsi="Garamond" w:cs="Arial"/>
          <w:sz w:val="24"/>
          <w:szCs w:val="24"/>
        </w:rPr>
        <w:t>m</w:t>
      </w:r>
      <w:r w:rsidR="00CA39B2" w:rsidRPr="003A1174">
        <w:rPr>
          <w:rFonts w:ascii="Garamond" w:hAnsi="Garamond" w:cs="Arial"/>
          <w:sz w:val="24"/>
          <w:szCs w:val="24"/>
        </w:rPr>
        <w:t xml:space="preserve"> </w:t>
      </w:r>
      <w:r w:rsidR="00EF645F" w:rsidRPr="003A1174">
        <w:rPr>
          <w:rFonts w:ascii="Garamond" w:hAnsi="Garamond" w:cs="Arial"/>
          <w:sz w:val="24"/>
          <w:szCs w:val="24"/>
        </w:rPr>
        <w:t>matéria</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w:t>
      </w:r>
      <w:r w:rsidRPr="003A1174">
        <w:rPr>
          <w:rFonts w:ascii="Garamond" w:hAnsi="Garamond" w:cs="Arial"/>
          <w:sz w:val="24"/>
          <w:szCs w:val="24"/>
        </w:rPr>
        <w:t xml:space="preserve"> </w:t>
      </w:r>
      <w:r w:rsidR="006F7581">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afastava-</w:t>
      </w:r>
      <w:r w:rsidR="00CA39B2" w:rsidRPr="003A1174">
        <w:rPr>
          <w:rFonts w:ascii="Garamond" w:hAnsi="Garamond" w:cs="Arial"/>
          <w:sz w:val="24"/>
          <w:szCs w:val="24"/>
        </w:rPr>
        <w:t xml:space="preserve">se </w:t>
      </w:r>
      <w:r w:rsidRPr="003A1174">
        <w:rPr>
          <w:rFonts w:ascii="Garamond" w:hAnsi="Garamond" w:cs="Arial"/>
          <w:sz w:val="24"/>
          <w:szCs w:val="24"/>
        </w:rPr>
        <w:t>dos seus parâ</w:t>
      </w:r>
      <w:r w:rsidR="00CA39B2" w:rsidRPr="003A1174">
        <w:rPr>
          <w:rFonts w:ascii="Garamond" w:hAnsi="Garamond" w:cs="Arial"/>
          <w:sz w:val="24"/>
          <w:szCs w:val="24"/>
        </w:rPr>
        <w:t xml:space="preserve">metros para </w:t>
      </w:r>
      <w:r w:rsidR="00C65DD5" w:rsidRPr="003A1174">
        <w:rPr>
          <w:rFonts w:ascii="Garamond" w:hAnsi="Garamond" w:cs="Arial"/>
          <w:sz w:val="24"/>
          <w:szCs w:val="24"/>
        </w:rPr>
        <w:t>analisar</w:t>
      </w:r>
      <w:r w:rsidR="00CA39B2" w:rsidRPr="003A1174">
        <w:rPr>
          <w:rFonts w:ascii="Garamond" w:hAnsi="Garamond" w:cs="Arial"/>
          <w:sz w:val="24"/>
          <w:szCs w:val="24"/>
        </w:rPr>
        <w:t xml:space="preserve"> </w:t>
      </w:r>
      <w:r w:rsidRPr="003A1174">
        <w:rPr>
          <w:rFonts w:ascii="Garamond" w:hAnsi="Garamond" w:cs="Arial"/>
          <w:sz w:val="24"/>
          <w:szCs w:val="24"/>
        </w:rPr>
        <w:t xml:space="preserve">o </w:t>
      </w:r>
      <w:r w:rsidR="00CA39B2" w:rsidRPr="003A1174">
        <w:rPr>
          <w:rFonts w:ascii="Garamond" w:hAnsi="Garamond" w:cs="Arial"/>
          <w:sz w:val="24"/>
          <w:szCs w:val="24"/>
        </w:rPr>
        <w:t>caso e</w:t>
      </w:r>
      <w:r w:rsidRPr="003A1174">
        <w:rPr>
          <w:rFonts w:ascii="Garamond" w:hAnsi="Garamond" w:cs="Arial"/>
          <w:sz w:val="24"/>
          <w:szCs w:val="24"/>
        </w:rPr>
        <w:t>m</w:t>
      </w:r>
      <w:r w:rsidR="00CA39B2" w:rsidRPr="003A1174">
        <w:rPr>
          <w:rFonts w:ascii="Garamond" w:hAnsi="Garamond" w:cs="Arial"/>
          <w:sz w:val="24"/>
          <w:szCs w:val="24"/>
        </w:rPr>
        <w:t xml:space="preserve"> </w:t>
      </w:r>
      <w:r w:rsidRPr="003A1174">
        <w:rPr>
          <w:rFonts w:ascii="Garamond" w:hAnsi="Garamond" w:cs="Arial"/>
          <w:sz w:val="24"/>
          <w:szCs w:val="24"/>
        </w:rPr>
        <w:t>questão</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EE7406" w:rsidRPr="003A1174">
        <w:rPr>
          <w:rFonts w:ascii="Garamond" w:hAnsi="Garamond" w:cs="Arial"/>
          <w:sz w:val="24"/>
          <w:szCs w:val="24"/>
        </w:rPr>
        <w:t>apesar</w:t>
      </w:r>
      <w:r w:rsidR="00CA39B2" w:rsidRPr="003A1174">
        <w:rPr>
          <w:rFonts w:ascii="Garamond" w:hAnsi="Garamond" w:cs="Arial"/>
          <w:sz w:val="24"/>
          <w:szCs w:val="24"/>
        </w:rPr>
        <w:t xml:space="preserve"> de considerar válido </w:t>
      </w:r>
      <w:r w:rsidRPr="003A1174">
        <w:rPr>
          <w:rFonts w:ascii="Garamond" w:hAnsi="Garamond" w:cs="Arial"/>
          <w:sz w:val="24"/>
          <w:szCs w:val="24"/>
        </w:rPr>
        <w:t xml:space="preserve">o </w:t>
      </w:r>
      <w:r w:rsidR="00CA39B2" w:rsidRPr="003A1174">
        <w:rPr>
          <w:rFonts w:ascii="Garamond" w:hAnsi="Garamond" w:cs="Arial"/>
          <w:sz w:val="24"/>
          <w:szCs w:val="24"/>
        </w:rPr>
        <w:t>test</w:t>
      </w:r>
      <w:r w:rsidRPr="003A1174">
        <w:rPr>
          <w:rFonts w:ascii="Garamond" w:hAnsi="Garamond" w:cs="Arial"/>
          <w:sz w:val="24"/>
          <w:szCs w:val="24"/>
        </w:rPr>
        <w:t xml:space="preserve">emunho da </w:t>
      </w:r>
      <w:r w:rsidR="003F012B" w:rsidRPr="003A1174">
        <w:rPr>
          <w:rFonts w:ascii="Garamond" w:hAnsi="Garamond" w:cs="Arial"/>
          <w:sz w:val="24"/>
          <w:szCs w:val="24"/>
        </w:rPr>
        <w:t>vítima</w:t>
      </w:r>
      <w:r w:rsidR="00CA39B2" w:rsidRPr="003A1174">
        <w:rPr>
          <w:rFonts w:ascii="Garamond" w:hAnsi="Garamond" w:cs="Arial"/>
          <w:sz w:val="24"/>
          <w:szCs w:val="24"/>
        </w:rPr>
        <w:t>, n</w:t>
      </w:r>
      <w:r w:rsidRPr="003A1174">
        <w:rPr>
          <w:rFonts w:ascii="Garamond" w:hAnsi="Garamond" w:cs="Arial"/>
          <w:sz w:val="24"/>
          <w:szCs w:val="24"/>
        </w:rPr>
        <w:t>ão explicav</w:t>
      </w:r>
      <w:r w:rsidR="00CA39B2" w:rsidRPr="003A1174">
        <w:rPr>
          <w:rFonts w:ascii="Garamond" w:hAnsi="Garamond" w:cs="Arial"/>
          <w:sz w:val="24"/>
          <w:szCs w:val="24"/>
        </w:rPr>
        <w:t xml:space="preserve">a </w:t>
      </w:r>
      <w:r w:rsidRPr="003A1174">
        <w:rPr>
          <w:rFonts w:ascii="Garamond" w:hAnsi="Garamond" w:cs="Arial"/>
          <w:sz w:val="24"/>
          <w:szCs w:val="24"/>
        </w:rPr>
        <w:t xml:space="preserve">o </w:t>
      </w:r>
      <w:r w:rsidR="00CA39B2" w:rsidRPr="003A1174">
        <w:rPr>
          <w:rFonts w:ascii="Garamond" w:hAnsi="Garamond" w:cs="Arial"/>
          <w:sz w:val="24"/>
          <w:szCs w:val="24"/>
        </w:rPr>
        <w:t>porqu</w:t>
      </w:r>
      <w:r w:rsidRPr="003A1174">
        <w:rPr>
          <w:rFonts w:ascii="Garamond" w:hAnsi="Garamond" w:cs="Arial"/>
          <w:sz w:val="24"/>
          <w:szCs w:val="24"/>
        </w:rPr>
        <w:t xml:space="preserve">ê do </w:t>
      </w:r>
      <w:r w:rsidR="00023AD6" w:rsidRPr="003A1174">
        <w:rPr>
          <w:rFonts w:ascii="Garamond" w:hAnsi="Garamond" w:cs="Arial"/>
          <w:sz w:val="24"/>
          <w:szCs w:val="24"/>
        </w:rPr>
        <w:t>mesmo</w:t>
      </w:r>
      <w:r w:rsidR="00CA39B2" w:rsidRPr="003A1174">
        <w:rPr>
          <w:rFonts w:ascii="Garamond" w:hAnsi="Garamond" w:cs="Arial"/>
          <w:sz w:val="24"/>
          <w:szCs w:val="24"/>
        </w:rPr>
        <w:t xml:space="preserve"> n</w:t>
      </w:r>
      <w:r w:rsidRPr="003A1174">
        <w:rPr>
          <w:rFonts w:ascii="Garamond" w:hAnsi="Garamond" w:cs="Arial"/>
          <w:sz w:val="24"/>
          <w:szCs w:val="24"/>
        </w:rPr>
        <w:t>ã</w:t>
      </w:r>
      <w:r w:rsidR="00CA39B2" w:rsidRPr="003A1174">
        <w:rPr>
          <w:rFonts w:ascii="Garamond" w:hAnsi="Garamond" w:cs="Arial"/>
          <w:sz w:val="24"/>
          <w:szCs w:val="24"/>
        </w:rPr>
        <w:t xml:space="preserve">o </w:t>
      </w:r>
      <w:r w:rsidRPr="003A1174">
        <w:rPr>
          <w:rFonts w:ascii="Garamond" w:hAnsi="Garamond" w:cs="Arial"/>
          <w:sz w:val="24"/>
          <w:szCs w:val="24"/>
        </w:rPr>
        <w:t xml:space="preserve">ser </w:t>
      </w:r>
      <w:r w:rsidR="00CA39B2" w:rsidRPr="003A1174">
        <w:rPr>
          <w:rFonts w:ascii="Garamond" w:hAnsi="Garamond" w:cs="Arial"/>
          <w:sz w:val="24"/>
          <w:szCs w:val="24"/>
        </w:rPr>
        <w:t>cre</w:t>
      </w:r>
      <w:r w:rsidRPr="003A1174">
        <w:rPr>
          <w:rFonts w:ascii="Garamond" w:hAnsi="Garamond" w:cs="Arial"/>
          <w:sz w:val="24"/>
          <w:szCs w:val="24"/>
        </w:rPr>
        <w:t>d</w:t>
      </w:r>
      <w:r w:rsidR="00CA39B2" w:rsidRPr="003A1174">
        <w:rPr>
          <w:rFonts w:ascii="Garamond" w:hAnsi="Garamond" w:cs="Arial"/>
          <w:sz w:val="24"/>
          <w:szCs w:val="24"/>
        </w:rPr>
        <w:t>í</w:t>
      </w:r>
      <w:r w:rsidRPr="003A1174">
        <w:rPr>
          <w:rFonts w:ascii="Garamond" w:hAnsi="Garamond" w:cs="Arial"/>
          <w:sz w:val="24"/>
          <w:szCs w:val="24"/>
        </w:rPr>
        <w:t>vel</w:t>
      </w:r>
      <w:r w:rsidR="0015550A">
        <w:rPr>
          <w:rFonts w:ascii="Garamond" w:hAnsi="Garamond" w:cs="Arial"/>
          <w:sz w:val="24"/>
          <w:szCs w:val="24"/>
        </w:rPr>
        <w:t>,</w:t>
      </w:r>
      <w:r w:rsidRPr="003A1174">
        <w:rPr>
          <w:rFonts w:ascii="Garamond" w:hAnsi="Garamond" w:cs="Arial"/>
          <w:sz w:val="24"/>
          <w:szCs w:val="24"/>
        </w:rPr>
        <w:t xml:space="preserve"> relativamente à versão</w:t>
      </w:r>
      <w:r w:rsidR="00CA39B2" w:rsidRPr="003A1174">
        <w:rPr>
          <w:rFonts w:ascii="Garamond" w:hAnsi="Garamond" w:cs="Arial"/>
          <w:sz w:val="24"/>
          <w:szCs w:val="24"/>
        </w:rPr>
        <w:t xml:space="preserve"> que </w:t>
      </w:r>
      <w:r w:rsidRPr="003A1174">
        <w:rPr>
          <w:rFonts w:ascii="Garamond" w:hAnsi="Garamond" w:cs="Arial"/>
          <w:sz w:val="24"/>
          <w:szCs w:val="24"/>
        </w:rPr>
        <w:t xml:space="preserve">tinha fornecido sobre </w:t>
      </w:r>
      <w:r w:rsidR="00CA39B2" w:rsidRPr="003A1174">
        <w:rPr>
          <w:rFonts w:ascii="Garamond" w:hAnsi="Garamond" w:cs="Arial"/>
          <w:sz w:val="24"/>
          <w:szCs w:val="24"/>
        </w:rPr>
        <w:t xml:space="preserve">os </w:t>
      </w:r>
      <w:r w:rsidR="001647F2" w:rsidRPr="003A1174">
        <w:rPr>
          <w:rFonts w:ascii="Garamond" w:hAnsi="Garamond" w:cs="Arial"/>
          <w:sz w:val="24"/>
          <w:szCs w:val="24"/>
        </w:rPr>
        <w:t>facto</w:t>
      </w:r>
      <w:r w:rsidR="00CA39B2" w:rsidRPr="003A1174">
        <w:rPr>
          <w:rFonts w:ascii="Garamond" w:hAnsi="Garamond" w:cs="Arial"/>
          <w:sz w:val="24"/>
          <w:szCs w:val="24"/>
        </w:rPr>
        <w:t xml:space="preserve">s </w:t>
      </w:r>
      <w:r w:rsidR="00040BD1" w:rsidRPr="003A1174">
        <w:rPr>
          <w:rFonts w:ascii="Garamond" w:hAnsi="Garamond" w:cs="Arial"/>
          <w:sz w:val="24"/>
          <w:szCs w:val="24"/>
        </w:rPr>
        <w:t>exposto</w:t>
      </w:r>
      <w:r w:rsidR="00CA39B2" w:rsidRPr="003A1174">
        <w:rPr>
          <w:rFonts w:ascii="Garamond" w:hAnsi="Garamond" w:cs="Arial"/>
          <w:sz w:val="24"/>
          <w:szCs w:val="24"/>
        </w:rPr>
        <w:t xml:space="preserve">s </w:t>
      </w:r>
      <w:r w:rsidR="00040BD1" w:rsidRPr="003A1174">
        <w:rPr>
          <w:rFonts w:ascii="Garamond" w:hAnsi="Garamond" w:cs="Arial"/>
          <w:sz w:val="24"/>
          <w:szCs w:val="24"/>
        </w:rPr>
        <w:t>n</w:t>
      </w:r>
      <w:r w:rsidR="00CA39B2" w:rsidRPr="003A1174">
        <w:rPr>
          <w:rFonts w:ascii="Garamond" w:hAnsi="Garamond" w:cs="Arial"/>
          <w:sz w:val="24"/>
          <w:szCs w:val="24"/>
        </w:rPr>
        <w:t>a causa</w:t>
      </w:r>
      <w:r w:rsidR="00E86FBA" w:rsidRPr="003A1174">
        <w:rPr>
          <w:rFonts w:ascii="Garamond" w:hAnsi="Garamond" w:cs="Arial"/>
          <w:sz w:val="24"/>
          <w:szCs w:val="24"/>
        </w:rPr>
        <w:t>,</w:t>
      </w:r>
      <w:r w:rsidR="00CA39B2" w:rsidRPr="003A1174">
        <w:rPr>
          <w:rFonts w:ascii="Garamond" w:hAnsi="Garamond" w:cs="Arial"/>
          <w:sz w:val="24"/>
          <w:szCs w:val="24"/>
        </w:rPr>
        <w:t xml:space="preserve"> </w:t>
      </w:r>
      <w:r w:rsidR="00040BD1" w:rsidRPr="003A1174">
        <w:rPr>
          <w:rFonts w:ascii="Garamond" w:hAnsi="Garamond" w:cs="Arial"/>
          <w:sz w:val="24"/>
          <w:szCs w:val="24"/>
        </w:rPr>
        <w:t>alegando-se</w:t>
      </w:r>
      <w:r w:rsidR="00CA39B2" w:rsidRPr="003A1174">
        <w:rPr>
          <w:rFonts w:ascii="Garamond" w:hAnsi="Garamond" w:cs="Arial"/>
          <w:sz w:val="24"/>
          <w:szCs w:val="24"/>
        </w:rPr>
        <w:t xml:space="preserve"> como argumento que </w:t>
      </w:r>
      <w:r w:rsidR="00040BD1" w:rsidRPr="003A1174">
        <w:rPr>
          <w:rFonts w:ascii="Garamond" w:hAnsi="Garamond" w:cs="Arial"/>
          <w:sz w:val="24"/>
          <w:szCs w:val="24"/>
        </w:rPr>
        <w:t xml:space="preserve">o </w:t>
      </w:r>
      <w:r w:rsidR="0015550A">
        <w:rPr>
          <w:rFonts w:ascii="Garamond" w:hAnsi="Garamond" w:cs="Arial"/>
          <w:sz w:val="24"/>
          <w:szCs w:val="24"/>
        </w:rPr>
        <w:t>suspeito,</w:t>
      </w:r>
      <w:r w:rsidR="00CA39B2" w:rsidRPr="003A1174">
        <w:rPr>
          <w:rFonts w:ascii="Garamond" w:hAnsi="Garamond" w:cs="Arial"/>
          <w:sz w:val="24"/>
          <w:szCs w:val="24"/>
        </w:rPr>
        <w:t xml:space="preserve"> simple</w:t>
      </w:r>
      <w:r w:rsidR="00040BD1" w:rsidRPr="003A1174">
        <w:rPr>
          <w:rFonts w:ascii="Garamond" w:hAnsi="Garamond" w:cs="Arial"/>
          <w:sz w:val="24"/>
          <w:szCs w:val="24"/>
        </w:rPr>
        <w:t>smente</w:t>
      </w:r>
      <w:r w:rsidR="0015550A">
        <w:rPr>
          <w:rFonts w:ascii="Garamond" w:hAnsi="Garamond" w:cs="Arial"/>
          <w:sz w:val="24"/>
          <w:szCs w:val="24"/>
        </w:rPr>
        <w:t>,</w:t>
      </w:r>
      <w:r w:rsidR="00040BD1" w:rsidRPr="003A1174">
        <w:rPr>
          <w:rFonts w:ascii="Garamond" w:hAnsi="Garamond" w:cs="Arial"/>
          <w:sz w:val="24"/>
          <w:szCs w:val="24"/>
        </w:rPr>
        <w:t xml:space="preserve"> </w:t>
      </w:r>
      <w:r w:rsidR="00CA39B2" w:rsidRPr="003A1174">
        <w:rPr>
          <w:rFonts w:ascii="Garamond" w:hAnsi="Garamond" w:cs="Arial"/>
          <w:sz w:val="24"/>
          <w:szCs w:val="24"/>
        </w:rPr>
        <w:t xml:space="preserve">os </w:t>
      </w:r>
      <w:r w:rsidR="00040BD1" w:rsidRPr="003A1174">
        <w:rPr>
          <w:rFonts w:ascii="Garamond" w:hAnsi="Garamond" w:cs="Arial"/>
          <w:sz w:val="24"/>
          <w:szCs w:val="24"/>
        </w:rPr>
        <w:t xml:space="preserve">tinha </w:t>
      </w:r>
      <w:r w:rsidR="00CA39B2" w:rsidRPr="003A1174">
        <w:rPr>
          <w:rFonts w:ascii="Garamond" w:hAnsi="Garamond" w:cs="Arial"/>
          <w:sz w:val="24"/>
          <w:szCs w:val="24"/>
        </w:rPr>
        <w:t>negado.</w:t>
      </w:r>
    </w:p>
    <w:p w:rsidR="00CA39B2" w:rsidRPr="003A1174" w:rsidRDefault="00040BD1"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Por </w:t>
      </w:r>
      <w:r w:rsidR="001F2F8B" w:rsidRPr="003A1174">
        <w:rPr>
          <w:rFonts w:ascii="Garamond" w:hAnsi="Garamond" w:cs="Arial"/>
          <w:sz w:val="24"/>
          <w:szCs w:val="24"/>
        </w:rPr>
        <w:t>outro</w:t>
      </w:r>
      <w:r w:rsidRPr="003A1174">
        <w:rPr>
          <w:rFonts w:ascii="Garamond" w:hAnsi="Garamond" w:cs="Arial"/>
          <w:sz w:val="24"/>
          <w:szCs w:val="24"/>
        </w:rPr>
        <w:t xml:space="preserve"> lado, </w:t>
      </w:r>
      <w:r w:rsidR="00CA39B2"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Federal de </w:t>
      </w:r>
      <w:r w:rsidR="005C2020" w:rsidRPr="003A1174">
        <w:rPr>
          <w:rFonts w:ascii="Garamond" w:hAnsi="Garamond" w:cs="Arial"/>
          <w:sz w:val="24"/>
          <w:szCs w:val="24"/>
        </w:rPr>
        <w:t>Cassação</w:t>
      </w:r>
      <w:r w:rsidR="00CA39B2" w:rsidRPr="003A1174">
        <w:rPr>
          <w:rFonts w:ascii="Garamond" w:hAnsi="Garamond" w:cs="Arial"/>
          <w:sz w:val="24"/>
          <w:szCs w:val="24"/>
        </w:rPr>
        <w:t xml:space="preserve"> Penal</w:t>
      </w:r>
      <w:r w:rsidR="00E86FBA" w:rsidRPr="003A1174">
        <w:rPr>
          <w:rFonts w:ascii="Garamond" w:hAnsi="Garamond" w:cs="Arial"/>
          <w:sz w:val="24"/>
          <w:szCs w:val="24"/>
        </w:rPr>
        <w:t>,</w:t>
      </w:r>
      <w:r w:rsidR="00CA39B2" w:rsidRPr="003A1174">
        <w:rPr>
          <w:rFonts w:ascii="Garamond" w:hAnsi="Garamond" w:cs="Arial"/>
          <w:sz w:val="24"/>
          <w:szCs w:val="24"/>
        </w:rPr>
        <w:t xml:space="preserve"> anul</w:t>
      </w:r>
      <w:r w:rsidRPr="003A1174">
        <w:rPr>
          <w:rFonts w:ascii="Garamond" w:hAnsi="Garamond" w:cs="Arial"/>
          <w:sz w:val="24"/>
          <w:szCs w:val="24"/>
        </w:rPr>
        <w:t xml:space="preserve">ou uma </w:t>
      </w:r>
      <w:r w:rsidR="00FC1F7F" w:rsidRPr="003A1174">
        <w:rPr>
          <w:rFonts w:ascii="Garamond" w:hAnsi="Garamond" w:cs="Arial"/>
          <w:sz w:val="24"/>
          <w:szCs w:val="24"/>
        </w:rPr>
        <w:t>sentença</w:t>
      </w:r>
      <w:r w:rsidR="00CA39B2" w:rsidRPr="003A1174">
        <w:rPr>
          <w:rFonts w:ascii="Garamond" w:hAnsi="Garamond" w:cs="Arial"/>
          <w:sz w:val="24"/>
          <w:szCs w:val="24"/>
        </w:rPr>
        <w:t xml:space="preserve"> </w:t>
      </w:r>
      <w:r w:rsidRPr="003A1174">
        <w:rPr>
          <w:rFonts w:ascii="Garamond" w:hAnsi="Garamond" w:cs="Arial"/>
          <w:sz w:val="24"/>
          <w:szCs w:val="24"/>
        </w:rPr>
        <w:t>de absolvição</w:t>
      </w:r>
      <w:r w:rsidR="00CA39B2" w:rsidRPr="003A1174">
        <w:rPr>
          <w:rFonts w:ascii="Garamond" w:hAnsi="Garamond" w:cs="Arial"/>
          <w:sz w:val="24"/>
          <w:szCs w:val="24"/>
        </w:rPr>
        <w:t xml:space="preserve"> de u</w:t>
      </w:r>
      <w:r w:rsidRPr="003A1174">
        <w:rPr>
          <w:rFonts w:ascii="Garamond" w:hAnsi="Garamond" w:cs="Arial"/>
          <w:sz w:val="24"/>
          <w:szCs w:val="24"/>
        </w:rPr>
        <w:t>m</w:t>
      </w:r>
      <w:r w:rsidR="00CA39B2" w:rsidRPr="003A1174">
        <w:rPr>
          <w:rFonts w:ascii="Garamond" w:hAnsi="Garamond" w:cs="Arial"/>
          <w:sz w:val="24"/>
          <w:szCs w:val="24"/>
        </w:rPr>
        <w:t xml:space="preserve"> </w:t>
      </w:r>
      <w:r w:rsidR="00524936" w:rsidRPr="003A1174">
        <w:rPr>
          <w:rFonts w:ascii="Garamond" w:hAnsi="Garamond" w:cs="Arial"/>
          <w:sz w:val="24"/>
          <w:szCs w:val="24"/>
        </w:rPr>
        <w:t>homem</w:t>
      </w:r>
      <w:r w:rsidR="00CA39B2" w:rsidRPr="003A1174">
        <w:rPr>
          <w:rFonts w:ascii="Garamond" w:hAnsi="Garamond" w:cs="Arial"/>
          <w:sz w:val="24"/>
          <w:szCs w:val="24"/>
        </w:rPr>
        <w:t xml:space="preserve"> que </w:t>
      </w:r>
      <w:r w:rsidRPr="003A1174">
        <w:rPr>
          <w:rFonts w:ascii="Garamond" w:hAnsi="Garamond" w:cs="Arial"/>
          <w:sz w:val="24"/>
          <w:szCs w:val="24"/>
        </w:rPr>
        <w:t xml:space="preserve">tinha </w:t>
      </w:r>
      <w:r w:rsidR="00CA39B2" w:rsidRPr="003A1174">
        <w:rPr>
          <w:rFonts w:ascii="Garamond" w:hAnsi="Garamond" w:cs="Arial"/>
          <w:sz w:val="24"/>
          <w:szCs w:val="24"/>
        </w:rPr>
        <w:t>abusado sexualmente d</w:t>
      </w:r>
      <w:r w:rsidRPr="003A1174">
        <w:rPr>
          <w:rFonts w:ascii="Garamond" w:hAnsi="Garamond" w:cs="Arial"/>
          <w:sz w:val="24"/>
          <w:szCs w:val="24"/>
        </w:rPr>
        <w:t xml:space="preserve">a </w:t>
      </w:r>
      <w:r w:rsidR="00CA39B2" w:rsidRPr="003A1174">
        <w:rPr>
          <w:rFonts w:ascii="Garamond" w:hAnsi="Garamond" w:cs="Arial"/>
          <w:sz w:val="24"/>
          <w:szCs w:val="24"/>
        </w:rPr>
        <w:t>su</w:t>
      </w:r>
      <w:r w:rsidRPr="003A1174">
        <w:rPr>
          <w:rFonts w:ascii="Garamond" w:hAnsi="Garamond" w:cs="Arial"/>
          <w:sz w:val="24"/>
          <w:szCs w:val="24"/>
        </w:rPr>
        <w:t>a</w:t>
      </w:r>
      <w:r w:rsidR="00CA39B2" w:rsidRPr="003A1174">
        <w:rPr>
          <w:rFonts w:ascii="Garamond" w:hAnsi="Garamond" w:cs="Arial"/>
          <w:sz w:val="24"/>
          <w:szCs w:val="24"/>
        </w:rPr>
        <w:t xml:space="preserve"> esposa, </w:t>
      </w:r>
      <w:r w:rsidRPr="003A1174">
        <w:rPr>
          <w:rFonts w:ascii="Garamond" w:hAnsi="Garamond" w:cs="Arial"/>
          <w:sz w:val="24"/>
          <w:szCs w:val="24"/>
        </w:rPr>
        <w:t>depois d</w:t>
      </w:r>
      <w:r w:rsidR="0015550A">
        <w:rPr>
          <w:rFonts w:ascii="Garamond" w:hAnsi="Garamond" w:cs="Arial"/>
          <w:sz w:val="24"/>
          <w:szCs w:val="24"/>
        </w:rPr>
        <w:t xml:space="preserve">e </w:t>
      </w:r>
      <w:r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Público Fiscal </w:t>
      </w:r>
      <w:r w:rsidRPr="003A1174">
        <w:rPr>
          <w:rFonts w:ascii="Garamond" w:hAnsi="Garamond" w:cs="Arial"/>
          <w:sz w:val="24"/>
          <w:szCs w:val="24"/>
        </w:rPr>
        <w:t xml:space="preserve">ter </w:t>
      </w:r>
      <w:r w:rsidR="00CA39B2" w:rsidRPr="003A1174">
        <w:rPr>
          <w:rFonts w:ascii="Garamond" w:hAnsi="Garamond" w:cs="Arial"/>
          <w:sz w:val="24"/>
          <w:szCs w:val="24"/>
        </w:rPr>
        <w:t>interp</w:t>
      </w:r>
      <w:r w:rsidRPr="003A1174">
        <w:rPr>
          <w:rFonts w:ascii="Garamond" w:hAnsi="Garamond" w:cs="Arial"/>
          <w:sz w:val="24"/>
          <w:szCs w:val="24"/>
        </w:rPr>
        <w:t xml:space="preserve">osto um </w:t>
      </w:r>
      <w:r w:rsidR="00CA39B2" w:rsidRPr="003A1174">
        <w:rPr>
          <w:rFonts w:ascii="Garamond" w:hAnsi="Garamond" w:cs="Arial"/>
          <w:sz w:val="24"/>
          <w:szCs w:val="24"/>
        </w:rPr>
        <w:t xml:space="preserve">recurso contra </w:t>
      </w:r>
      <w:r w:rsidRPr="003A1174">
        <w:rPr>
          <w:rFonts w:ascii="Garamond" w:hAnsi="Garamond" w:cs="Arial"/>
          <w:sz w:val="24"/>
          <w:szCs w:val="24"/>
        </w:rPr>
        <w:t>o parecer de absolvição</w:t>
      </w:r>
      <w:r w:rsidR="00CA39B2" w:rsidRPr="003A1174">
        <w:rPr>
          <w:rFonts w:ascii="Garamond" w:hAnsi="Garamond" w:cs="Arial"/>
          <w:sz w:val="24"/>
          <w:szCs w:val="24"/>
        </w:rPr>
        <w:t xml:space="preserve">. </w:t>
      </w:r>
      <w:r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de </w:t>
      </w:r>
      <w:r w:rsidR="005C2020" w:rsidRPr="003A1174">
        <w:rPr>
          <w:rFonts w:ascii="Garamond" w:hAnsi="Garamond" w:cs="Arial"/>
          <w:sz w:val="24"/>
          <w:szCs w:val="24"/>
        </w:rPr>
        <w:t>Cassação</w:t>
      </w:r>
      <w:r w:rsidR="00CA39B2" w:rsidRPr="003A1174">
        <w:rPr>
          <w:rFonts w:ascii="Garamond" w:hAnsi="Garamond" w:cs="Arial"/>
          <w:sz w:val="24"/>
          <w:szCs w:val="24"/>
        </w:rPr>
        <w:t xml:space="preserve"> de</w:t>
      </w:r>
      <w:r w:rsidRPr="003A1174">
        <w:rPr>
          <w:rFonts w:ascii="Garamond" w:hAnsi="Garamond" w:cs="Arial"/>
          <w:sz w:val="24"/>
          <w:szCs w:val="24"/>
        </w:rPr>
        <w:t xml:space="preserve">ixou sem </w:t>
      </w:r>
      <w:r w:rsidR="00863197" w:rsidRPr="003A1174">
        <w:rPr>
          <w:rFonts w:ascii="Garamond" w:hAnsi="Garamond" w:cs="Arial"/>
          <w:sz w:val="24"/>
          <w:szCs w:val="24"/>
        </w:rPr>
        <w:t>efeito</w:t>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FC1F7F" w:rsidRPr="003A1174">
        <w:rPr>
          <w:rFonts w:ascii="Garamond" w:hAnsi="Garamond" w:cs="Arial"/>
          <w:sz w:val="24"/>
          <w:szCs w:val="24"/>
        </w:rPr>
        <w:t>sentença</w:t>
      </w:r>
      <w:r w:rsidR="00CA39B2" w:rsidRPr="003A1174">
        <w:rPr>
          <w:rFonts w:ascii="Garamond" w:hAnsi="Garamond" w:cs="Arial"/>
          <w:sz w:val="24"/>
          <w:szCs w:val="24"/>
        </w:rPr>
        <w:t xml:space="preserve"> </w:t>
      </w:r>
      <w:r w:rsidRPr="003A1174">
        <w:rPr>
          <w:rFonts w:ascii="Garamond" w:hAnsi="Garamond" w:cs="Arial"/>
          <w:sz w:val="24"/>
          <w:szCs w:val="24"/>
        </w:rPr>
        <w:t>de absolvição</w:t>
      </w:r>
      <w:r w:rsidR="00CA39B2" w:rsidRPr="003A1174">
        <w:rPr>
          <w:rFonts w:ascii="Garamond" w:hAnsi="Garamond" w:cs="Arial"/>
          <w:sz w:val="24"/>
          <w:szCs w:val="24"/>
        </w:rPr>
        <w:t xml:space="preserve"> </w:t>
      </w:r>
      <w:r w:rsidR="008A3DA2" w:rsidRPr="003A1174">
        <w:rPr>
          <w:rFonts w:ascii="Garamond" w:hAnsi="Garamond" w:cs="Arial"/>
          <w:sz w:val="24"/>
          <w:szCs w:val="24"/>
        </w:rPr>
        <w:t>do</w:t>
      </w:r>
      <w:r w:rsidR="00CA39B2" w:rsidRPr="003A1174">
        <w:rPr>
          <w:rFonts w:ascii="Garamond" w:hAnsi="Garamond" w:cs="Arial"/>
          <w:sz w:val="24"/>
          <w:szCs w:val="24"/>
        </w:rPr>
        <w:t xml:space="preserve"> Tribunal Oral </w:t>
      </w:r>
      <w:r w:rsidR="00497503" w:rsidRPr="003A1174">
        <w:rPr>
          <w:rFonts w:ascii="Garamond" w:hAnsi="Garamond" w:cs="Arial"/>
          <w:sz w:val="24"/>
          <w:szCs w:val="24"/>
        </w:rPr>
        <w:t>e</w:t>
      </w:r>
      <w:r w:rsidR="00CA39B2" w:rsidRPr="003A1174">
        <w:rPr>
          <w:rFonts w:ascii="Garamond" w:hAnsi="Garamond" w:cs="Arial"/>
          <w:sz w:val="24"/>
          <w:szCs w:val="24"/>
        </w:rPr>
        <w:t xml:space="preserve"> orden</w:t>
      </w:r>
      <w:r w:rsidRPr="003A1174">
        <w:rPr>
          <w:rFonts w:ascii="Garamond" w:hAnsi="Garamond" w:cs="Arial"/>
          <w:sz w:val="24"/>
          <w:szCs w:val="24"/>
        </w:rPr>
        <w:t xml:space="preserve">ou que se proferisse uma </w:t>
      </w:r>
      <w:r w:rsidR="002A59E7" w:rsidRPr="003A1174">
        <w:rPr>
          <w:rFonts w:ascii="Garamond" w:hAnsi="Garamond" w:cs="Arial"/>
          <w:sz w:val="24"/>
          <w:szCs w:val="24"/>
        </w:rPr>
        <w:t>nova</w:t>
      </w:r>
      <w:r w:rsidR="00CA39B2" w:rsidRPr="003A1174">
        <w:rPr>
          <w:rFonts w:ascii="Garamond" w:hAnsi="Garamond" w:cs="Arial"/>
          <w:sz w:val="24"/>
          <w:szCs w:val="24"/>
        </w:rPr>
        <w:t xml:space="preserve"> </w:t>
      </w:r>
      <w:r w:rsidR="00FC1F7F" w:rsidRPr="003A1174">
        <w:rPr>
          <w:rFonts w:ascii="Garamond" w:hAnsi="Garamond" w:cs="Arial"/>
          <w:sz w:val="24"/>
          <w:szCs w:val="24"/>
        </w:rPr>
        <w:t>sentença</w:t>
      </w:r>
      <w:r w:rsidR="00CA39B2" w:rsidRPr="003A1174">
        <w:rPr>
          <w:rFonts w:ascii="Garamond" w:hAnsi="Garamond" w:cs="Arial"/>
          <w:sz w:val="24"/>
          <w:szCs w:val="24"/>
        </w:rPr>
        <w:t>, fund</w:t>
      </w:r>
      <w:r w:rsidRPr="003A1174">
        <w:rPr>
          <w:rFonts w:ascii="Garamond" w:hAnsi="Garamond" w:cs="Arial"/>
          <w:sz w:val="24"/>
          <w:szCs w:val="24"/>
        </w:rPr>
        <w:t>a</w:t>
      </w:r>
      <w:r w:rsidR="0015550A">
        <w:rPr>
          <w:rFonts w:ascii="Garamond" w:hAnsi="Garamond" w:cs="Arial"/>
          <w:sz w:val="24"/>
          <w:szCs w:val="24"/>
        </w:rPr>
        <w:t>mentan</w:t>
      </w:r>
      <w:r w:rsidRPr="003A1174">
        <w:rPr>
          <w:rFonts w:ascii="Garamond" w:hAnsi="Garamond" w:cs="Arial"/>
          <w:sz w:val="24"/>
          <w:szCs w:val="24"/>
        </w:rPr>
        <w:t>do-</w:t>
      </w:r>
      <w:r w:rsidR="00CA39B2" w:rsidRPr="003A1174">
        <w:rPr>
          <w:rFonts w:ascii="Garamond" w:hAnsi="Garamond" w:cs="Arial"/>
          <w:sz w:val="24"/>
          <w:szCs w:val="24"/>
        </w:rPr>
        <w:t>se e</w:t>
      </w:r>
      <w:r w:rsidRPr="003A1174">
        <w:rPr>
          <w:rFonts w:ascii="Garamond" w:hAnsi="Garamond" w:cs="Arial"/>
          <w:sz w:val="24"/>
          <w:szCs w:val="24"/>
        </w:rPr>
        <w:t>m</w:t>
      </w:r>
      <w:r w:rsidR="00CA39B2" w:rsidRPr="003A1174">
        <w:rPr>
          <w:rFonts w:ascii="Garamond" w:hAnsi="Garamond" w:cs="Arial"/>
          <w:sz w:val="24"/>
          <w:szCs w:val="24"/>
        </w:rPr>
        <w:t xml:space="preserve"> tratados </w:t>
      </w:r>
      <w:r w:rsidR="00EF645F" w:rsidRPr="003A1174">
        <w:rPr>
          <w:rFonts w:ascii="Garamond" w:hAnsi="Garamond" w:cs="Arial"/>
          <w:sz w:val="24"/>
          <w:szCs w:val="24"/>
        </w:rPr>
        <w:t>internacionais</w:t>
      </w:r>
      <w:r w:rsidR="0015550A">
        <w:rPr>
          <w:rFonts w:ascii="Garamond" w:hAnsi="Garamond" w:cs="Arial"/>
          <w:sz w:val="24"/>
          <w:szCs w:val="24"/>
        </w:rPr>
        <w:t>,</w:t>
      </w:r>
      <w:r w:rsidRPr="003A1174">
        <w:rPr>
          <w:rFonts w:ascii="Garamond" w:hAnsi="Garamond" w:cs="Arial"/>
          <w:sz w:val="24"/>
          <w:szCs w:val="24"/>
        </w:rPr>
        <w:t xml:space="preserve"> como </w:t>
      </w:r>
      <w:r w:rsidR="00CA39B2" w:rsidRPr="003A1174">
        <w:rPr>
          <w:rFonts w:ascii="Garamond" w:hAnsi="Garamond" w:cs="Arial"/>
          <w:sz w:val="24"/>
          <w:szCs w:val="24"/>
        </w:rPr>
        <w:t xml:space="preserve">a </w:t>
      </w:r>
      <w:r w:rsidR="00B14AA6" w:rsidRPr="003A1174">
        <w:rPr>
          <w:rFonts w:ascii="Garamond" w:hAnsi="Garamond" w:cs="Arial"/>
          <w:sz w:val="24"/>
          <w:szCs w:val="24"/>
        </w:rPr>
        <w:t>Convenção</w:t>
      </w:r>
      <w:r w:rsidR="00CA39B2" w:rsidRPr="003A1174">
        <w:rPr>
          <w:rFonts w:ascii="Garamond" w:hAnsi="Garamond" w:cs="Arial"/>
          <w:sz w:val="24"/>
          <w:szCs w:val="24"/>
        </w:rPr>
        <w:t xml:space="preserve"> Interamericana para </w:t>
      </w:r>
      <w:r w:rsidR="003F493C" w:rsidRPr="003A1174">
        <w:rPr>
          <w:rFonts w:ascii="Garamond" w:hAnsi="Garamond" w:cs="Arial"/>
          <w:sz w:val="24"/>
          <w:szCs w:val="24"/>
        </w:rPr>
        <w:t>Prevenir, Punir e Erradicar</w:t>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B14AA6" w:rsidRPr="003A1174">
        <w:rPr>
          <w:rFonts w:ascii="Garamond" w:hAnsi="Garamond" w:cs="Arial"/>
          <w:sz w:val="24"/>
          <w:szCs w:val="24"/>
        </w:rPr>
        <w:t>Convenção</w:t>
      </w:r>
      <w:r w:rsidR="00CA39B2" w:rsidRPr="003A1174">
        <w:rPr>
          <w:rFonts w:ascii="Garamond" w:hAnsi="Garamond" w:cs="Arial"/>
          <w:sz w:val="24"/>
          <w:szCs w:val="24"/>
        </w:rPr>
        <w:t xml:space="preserve"> de </w:t>
      </w:r>
      <w:r w:rsidR="00BA3CCE" w:rsidRPr="003A1174">
        <w:rPr>
          <w:rFonts w:ascii="Garamond" w:hAnsi="Garamond" w:cs="Arial"/>
          <w:sz w:val="24"/>
          <w:szCs w:val="24"/>
        </w:rPr>
        <w:t>Belém</w:t>
      </w:r>
      <w:r w:rsidR="00CA39B2" w:rsidRPr="003A1174">
        <w:rPr>
          <w:rFonts w:ascii="Garamond" w:hAnsi="Garamond" w:cs="Arial"/>
          <w:sz w:val="24"/>
          <w:szCs w:val="24"/>
        </w:rPr>
        <w:t xml:space="preserve"> do Pará). </w:t>
      </w:r>
      <w:r w:rsidRPr="003A1174">
        <w:rPr>
          <w:rFonts w:ascii="Garamond" w:hAnsi="Garamond" w:cs="Arial"/>
          <w:sz w:val="24"/>
          <w:szCs w:val="24"/>
        </w:rPr>
        <w:t xml:space="preserve">A </w:t>
      </w:r>
      <w:r w:rsidR="00147717" w:rsidRPr="003A1174">
        <w:rPr>
          <w:rFonts w:ascii="Garamond" w:hAnsi="Garamond" w:cs="Arial"/>
          <w:sz w:val="24"/>
          <w:szCs w:val="24"/>
        </w:rPr>
        <w:t>Câmara</w:t>
      </w:r>
      <w:r w:rsidR="00CA39B2" w:rsidRPr="003A1174">
        <w:rPr>
          <w:rFonts w:ascii="Garamond" w:hAnsi="Garamond" w:cs="Arial"/>
          <w:sz w:val="24"/>
          <w:szCs w:val="24"/>
        </w:rPr>
        <w:t xml:space="preserve"> </w:t>
      </w:r>
      <w:r w:rsidR="00BA3CCE" w:rsidRPr="003A1174">
        <w:rPr>
          <w:rFonts w:ascii="Garamond" w:hAnsi="Garamond" w:cs="Arial"/>
          <w:sz w:val="24"/>
          <w:szCs w:val="24"/>
        </w:rPr>
        <w:t>definiu</w:t>
      </w:r>
      <w:r w:rsidRPr="003A1174">
        <w:rPr>
          <w:rFonts w:ascii="Garamond" w:hAnsi="Garamond" w:cs="Arial"/>
          <w:sz w:val="24"/>
          <w:szCs w:val="24"/>
        </w:rPr>
        <w:t xml:space="preserve"> </w:t>
      </w:r>
      <w:r w:rsidR="00CA39B2" w:rsidRPr="003A1174">
        <w:rPr>
          <w:rFonts w:ascii="Garamond" w:hAnsi="Garamond" w:cs="Arial"/>
          <w:sz w:val="24"/>
          <w:szCs w:val="24"/>
        </w:rPr>
        <w:t>como in</w:t>
      </w:r>
      <w:r w:rsidR="00501083" w:rsidRPr="003A1174">
        <w:rPr>
          <w:rFonts w:ascii="Garamond" w:hAnsi="Garamond" w:cs="Arial"/>
          <w:sz w:val="24"/>
          <w:szCs w:val="24"/>
        </w:rPr>
        <w:t>adequada</w:t>
      </w:r>
      <w:r w:rsidRPr="003A1174">
        <w:rPr>
          <w:rFonts w:ascii="Garamond" w:hAnsi="Garamond" w:cs="Arial"/>
          <w:sz w:val="24"/>
          <w:szCs w:val="24"/>
        </w:rPr>
        <w:t xml:space="preserve"> </w:t>
      </w:r>
      <w:r w:rsidR="0015550A">
        <w:rPr>
          <w:rFonts w:ascii="Garamond" w:hAnsi="Garamond" w:cs="Arial"/>
          <w:sz w:val="24"/>
          <w:szCs w:val="24"/>
        </w:rPr>
        <w:t>«</w:t>
      </w:r>
      <w:r w:rsidR="00CA39B2" w:rsidRPr="003A1174">
        <w:rPr>
          <w:rFonts w:ascii="Garamond" w:hAnsi="Garamond" w:cs="Arial"/>
          <w:sz w:val="24"/>
          <w:szCs w:val="24"/>
        </w:rPr>
        <w:t xml:space="preserve">a </w:t>
      </w:r>
      <w:r w:rsidR="00863197" w:rsidRPr="003A1174">
        <w:rPr>
          <w:rFonts w:ascii="Garamond" w:hAnsi="Garamond" w:cs="Arial"/>
          <w:sz w:val="24"/>
          <w:szCs w:val="24"/>
        </w:rPr>
        <w:t>consideração</w:t>
      </w:r>
      <w:r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CA39B2" w:rsidRPr="003A1174">
        <w:rPr>
          <w:rFonts w:ascii="Garamond" w:hAnsi="Garamond" w:cs="Arial"/>
          <w:sz w:val="24"/>
          <w:szCs w:val="24"/>
        </w:rPr>
        <w:t xml:space="preserve">as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Pr="003A1174">
        <w:rPr>
          <w:rFonts w:ascii="Garamond" w:hAnsi="Garamond" w:cs="Arial"/>
          <w:sz w:val="24"/>
          <w:szCs w:val="24"/>
        </w:rPr>
        <w:t>n</w:t>
      </w:r>
      <w:r w:rsidR="00CA39B2" w:rsidRPr="003A1174">
        <w:rPr>
          <w:rFonts w:ascii="Garamond" w:hAnsi="Garamond" w:cs="Arial"/>
          <w:sz w:val="24"/>
          <w:szCs w:val="24"/>
        </w:rPr>
        <w:t xml:space="preserve">as </w:t>
      </w:r>
      <w:r w:rsidR="00C04CA4" w:rsidRPr="003A1174">
        <w:rPr>
          <w:rFonts w:ascii="Garamond" w:hAnsi="Garamond" w:cs="Arial"/>
          <w:sz w:val="24"/>
          <w:szCs w:val="24"/>
        </w:rPr>
        <w:t>relações</w:t>
      </w:r>
      <w:r w:rsidRPr="003A1174">
        <w:rPr>
          <w:rFonts w:ascii="Garamond" w:hAnsi="Garamond" w:cs="Arial"/>
          <w:sz w:val="24"/>
          <w:szCs w:val="24"/>
        </w:rPr>
        <w:t xml:space="preserve"> íntimas como um</w:t>
      </w:r>
      <w:r w:rsidR="00CA39B2" w:rsidRPr="003A1174">
        <w:rPr>
          <w:rFonts w:ascii="Garamond" w:hAnsi="Garamond" w:cs="Arial"/>
          <w:sz w:val="24"/>
          <w:szCs w:val="24"/>
        </w:rPr>
        <w:t xml:space="preserve">a </w:t>
      </w:r>
      <w:r w:rsidR="00EC45A0" w:rsidRPr="003A1174">
        <w:rPr>
          <w:rFonts w:ascii="Garamond" w:hAnsi="Garamond" w:cs="Arial"/>
          <w:sz w:val="24"/>
          <w:szCs w:val="24"/>
        </w:rPr>
        <w:t>questão</w:t>
      </w:r>
      <w:r w:rsidR="00CA39B2" w:rsidRPr="003A1174">
        <w:rPr>
          <w:rFonts w:ascii="Garamond" w:hAnsi="Garamond" w:cs="Arial"/>
          <w:sz w:val="24"/>
          <w:szCs w:val="24"/>
        </w:rPr>
        <w:t xml:space="preserve"> </w:t>
      </w:r>
      <w:r w:rsidR="0015550A">
        <w:rPr>
          <w:rFonts w:ascii="Garamond" w:hAnsi="Garamond" w:cs="Arial"/>
          <w:sz w:val="24"/>
          <w:szCs w:val="24"/>
        </w:rPr>
        <w:t>”</w:t>
      </w:r>
      <w:r w:rsidR="00CA39B2" w:rsidRPr="003A1174">
        <w:rPr>
          <w:rFonts w:ascii="Garamond" w:hAnsi="Garamond" w:cs="Arial"/>
          <w:sz w:val="24"/>
          <w:szCs w:val="24"/>
        </w:rPr>
        <w:t>privada</w:t>
      </w:r>
      <w:r w:rsidR="0015550A">
        <w:rPr>
          <w:rFonts w:ascii="Garamond" w:hAnsi="Garamond" w:cs="Arial"/>
          <w:sz w:val="24"/>
          <w:szCs w:val="24"/>
        </w:rPr>
        <w:t>”</w:t>
      </w:r>
      <w:r w:rsidR="00E86FBA" w:rsidRPr="003A1174">
        <w:rPr>
          <w:rFonts w:ascii="Garamond" w:hAnsi="Garamond" w:cs="Arial"/>
          <w:sz w:val="24"/>
          <w:szCs w:val="24"/>
        </w:rPr>
        <w:t>’</w:t>
      </w:r>
      <w:r w:rsidR="00CA39B2" w:rsidRPr="003A1174">
        <w:rPr>
          <w:rFonts w:ascii="Garamond" w:hAnsi="Garamond" w:cs="Arial"/>
          <w:sz w:val="24"/>
          <w:szCs w:val="24"/>
        </w:rPr>
        <w:t xml:space="preserve"> o</w:t>
      </w:r>
      <w:r w:rsidRPr="003A1174">
        <w:rPr>
          <w:rFonts w:ascii="Garamond" w:hAnsi="Garamond" w:cs="Arial"/>
          <w:sz w:val="24"/>
          <w:szCs w:val="24"/>
        </w:rPr>
        <w:t>u</w:t>
      </w:r>
      <w:r w:rsidR="00CA39B2" w:rsidRPr="003A1174">
        <w:rPr>
          <w:rFonts w:ascii="Garamond" w:hAnsi="Garamond" w:cs="Arial"/>
          <w:sz w:val="24"/>
          <w:szCs w:val="24"/>
        </w:rPr>
        <w:t xml:space="preserve"> </w:t>
      </w:r>
      <w:r w:rsidR="0015550A">
        <w:rPr>
          <w:rFonts w:ascii="Garamond" w:hAnsi="Garamond" w:cs="Arial"/>
          <w:sz w:val="24"/>
          <w:szCs w:val="24"/>
        </w:rPr>
        <w:t>”</w:t>
      </w:r>
      <w:r w:rsidR="00CA39B2" w:rsidRPr="003A1174">
        <w:rPr>
          <w:rFonts w:ascii="Garamond" w:hAnsi="Garamond" w:cs="Arial"/>
          <w:sz w:val="24"/>
          <w:szCs w:val="24"/>
        </w:rPr>
        <w:t xml:space="preserve">de </w:t>
      </w:r>
      <w:r w:rsidRPr="003A1174">
        <w:rPr>
          <w:rFonts w:ascii="Garamond" w:hAnsi="Garamond" w:cs="Arial"/>
          <w:sz w:val="24"/>
          <w:szCs w:val="24"/>
        </w:rPr>
        <w:t>casal</w:t>
      </w:r>
      <w:r w:rsidR="0015550A">
        <w:rPr>
          <w:rFonts w:ascii="Garamond" w:hAnsi="Garamond" w:cs="Arial"/>
          <w:sz w:val="24"/>
          <w:szCs w:val="24"/>
        </w:rPr>
        <w:t>”»</w:t>
      </w:r>
      <w:r w:rsidR="00CA39B2" w:rsidRPr="003A1174">
        <w:rPr>
          <w:rFonts w:ascii="Garamond" w:hAnsi="Garamond" w:cs="Arial"/>
          <w:sz w:val="24"/>
          <w:szCs w:val="24"/>
        </w:rPr>
        <w:t xml:space="preserve">, enfatizando que </w:t>
      </w:r>
      <w:r w:rsidR="0015550A">
        <w:rPr>
          <w:rFonts w:ascii="Garamond" w:hAnsi="Garamond" w:cs="Arial"/>
          <w:sz w:val="24"/>
          <w:szCs w:val="24"/>
        </w:rPr>
        <w:t>«</w:t>
      </w:r>
      <w:r w:rsidRPr="003A1174">
        <w:rPr>
          <w:rFonts w:ascii="Garamond" w:hAnsi="Garamond" w:cs="Arial"/>
          <w:sz w:val="24"/>
          <w:szCs w:val="24"/>
        </w:rPr>
        <w:t xml:space="preserve">A </w:t>
      </w:r>
      <w:r w:rsidR="00D96FD0" w:rsidRPr="003A1174">
        <w:rPr>
          <w:rFonts w:ascii="Garamond" w:hAnsi="Garamond" w:cs="Arial"/>
          <w:sz w:val="24"/>
          <w:szCs w:val="24"/>
        </w:rPr>
        <w:t>ratificação</w:t>
      </w:r>
      <w:r w:rsidR="00CA39B2" w:rsidRPr="003A1174">
        <w:rPr>
          <w:rFonts w:ascii="Garamond" w:hAnsi="Garamond" w:cs="Arial"/>
          <w:sz w:val="24"/>
          <w:szCs w:val="24"/>
        </w:rPr>
        <w:t xml:space="preserve"> da </w:t>
      </w:r>
      <w:r w:rsidR="00B14AA6" w:rsidRPr="003A1174">
        <w:rPr>
          <w:rFonts w:ascii="Garamond" w:hAnsi="Garamond" w:cs="Arial"/>
          <w:sz w:val="24"/>
          <w:szCs w:val="24"/>
        </w:rPr>
        <w:t>Convenção</w:t>
      </w:r>
      <w:r w:rsidRPr="003A1174">
        <w:rPr>
          <w:rFonts w:ascii="Garamond" w:hAnsi="Garamond" w:cs="Arial"/>
          <w:sz w:val="24"/>
          <w:szCs w:val="24"/>
        </w:rPr>
        <w:t xml:space="preserve"> sobre </w:t>
      </w:r>
      <w:r w:rsidR="00CA39B2" w:rsidRPr="003A1174">
        <w:rPr>
          <w:rFonts w:ascii="Garamond" w:hAnsi="Garamond" w:cs="Arial"/>
          <w:sz w:val="24"/>
          <w:szCs w:val="24"/>
        </w:rPr>
        <w:t xml:space="preserve">a </w:t>
      </w:r>
      <w:r w:rsidR="008E7A2A" w:rsidRPr="003A1174">
        <w:rPr>
          <w:rFonts w:ascii="Garamond" w:hAnsi="Garamond" w:cs="Arial"/>
          <w:sz w:val="24"/>
          <w:szCs w:val="24"/>
        </w:rPr>
        <w:t>Eliminação</w:t>
      </w:r>
      <w:r w:rsidRPr="003A1174">
        <w:rPr>
          <w:rFonts w:ascii="Garamond" w:hAnsi="Garamond" w:cs="Arial"/>
          <w:sz w:val="24"/>
          <w:szCs w:val="24"/>
        </w:rPr>
        <w:t xml:space="preserve"> de todas </w:t>
      </w:r>
      <w:r w:rsidR="00CA39B2" w:rsidRPr="003A1174">
        <w:rPr>
          <w:rFonts w:ascii="Garamond" w:hAnsi="Garamond" w:cs="Arial"/>
          <w:sz w:val="24"/>
          <w:szCs w:val="24"/>
        </w:rPr>
        <w:t xml:space="preserve">as formas de </w:t>
      </w:r>
      <w:r w:rsidR="0017447A" w:rsidRPr="003A1174">
        <w:rPr>
          <w:rFonts w:ascii="Garamond" w:hAnsi="Garamond" w:cs="Arial"/>
          <w:sz w:val="24"/>
          <w:szCs w:val="24"/>
        </w:rPr>
        <w:t>Discriminação</w:t>
      </w:r>
      <w:r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(CEDAW) </w:t>
      </w:r>
      <w:r w:rsidR="004C71E0" w:rsidRPr="003A1174">
        <w:rPr>
          <w:rFonts w:ascii="Garamond" w:hAnsi="Garamond" w:cs="Arial"/>
          <w:sz w:val="24"/>
          <w:szCs w:val="24"/>
        </w:rPr>
        <w:t>impõe</w:t>
      </w:r>
      <w:r w:rsidR="00CA39B2" w:rsidRPr="003A1174">
        <w:rPr>
          <w:rFonts w:ascii="Garamond" w:hAnsi="Garamond" w:cs="Arial"/>
          <w:sz w:val="24"/>
          <w:szCs w:val="24"/>
        </w:rPr>
        <w:t xml:space="preserve"> aos </w:t>
      </w:r>
      <w:r w:rsidR="00E86FBA" w:rsidRPr="003A1174">
        <w:rPr>
          <w:rFonts w:ascii="Garamond" w:hAnsi="Garamond" w:cs="Arial"/>
          <w:sz w:val="24"/>
          <w:szCs w:val="24"/>
        </w:rPr>
        <w:t>E</w:t>
      </w:r>
      <w:r w:rsidR="00CA39B2" w:rsidRPr="003A1174">
        <w:rPr>
          <w:rFonts w:ascii="Garamond" w:hAnsi="Garamond" w:cs="Arial"/>
          <w:sz w:val="24"/>
          <w:szCs w:val="24"/>
        </w:rPr>
        <w:t>stados</w:t>
      </w:r>
      <w:r w:rsidR="0015550A">
        <w:rPr>
          <w:rFonts w:ascii="Garamond" w:hAnsi="Garamond" w:cs="Arial"/>
          <w:sz w:val="24"/>
          <w:szCs w:val="24"/>
        </w:rPr>
        <w:t>-M</w:t>
      </w:r>
      <w:r w:rsidRPr="003A1174">
        <w:rPr>
          <w:rFonts w:ascii="Garamond" w:hAnsi="Garamond" w:cs="Arial"/>
          <w:sz w:val="24"/>
          <w:szCs w:val="24"/>
        </w:rPr>
        <w:t xml:space="preserve">embros </w:t>
      </w:r>
      <w:r w:rsidR="00CA39B2" w:rsidRPr="003A1174">
        <w:rPr>
          <w:rFonts w:ascii="Garamond" w:hAnsi="Garamond" w:cs="Arial"/>
          <w:sz w:val="24"/>
          <w:szCs w:val="24"/>
        </w:rPr>
        <w:t xml:space="preserve">a </w:t>
      </w:r>
      <w:r w:rsidR="00AF192F" w:rsidRPr="003A1174">
        <w:rPr>
          <w:rFonts w:ascii="Garamond" w:hAnsi="Garamond" w:cs="Arial"/>
          <w:sz w:val="24"/>
          <w:szCs w:val="24"/>
        </w:rPr>
        <w:t>obrigação</w:t>
      </w:r>
      <w:r w:rsidR="00CA39B2" w:rsidRPr="003A1174">
        <w:rPr>
          <w:rFonts w:ascii="Garamond" w:hAnsi="Garamond" w:cs="Arial"/>
          <w:sz w:val="24"/>
          <w:szCs w:val="24"/>
        </w:rPr>
        <w:t xml:space="preserve"> de modificar</w:t>
      </w:r>
      <w:r w:rsidRPr="003A1174">
        <w:rPr>
          <w:rFonts w:ascii="Garamond" w:hAnsi="Garamond" w:cs="Arial"/>
          <w:sz w:val="24"/>
          <w:szCs w:val="24"/>
        </w:rPr>
        <w:t xml:space="preserve">em </w:t>
      </w:r>
      <w:r w:rsidR="00CA39B2" w:rsidRPr="003A1174">
        <w:rPr>
          <w:rFonts w:ascii="Garamond" w:hAnsi="Garamond" w:cs="Arial"/>
          <w:sz w:val="24"/>
          <w:szCs w:val="24"/>
        </w:rPr>
        <w:t xml:space="preserve">os </w:t>
      </w:r>
      <w:r w:rsidR="003F012B" w:rsidRPr="003A1174">
        <w:rPr>
          <w:rFonts w:ascii="Garamond" w:hAnsi="Garamond" w:cs="Arial"/>
          <w:sz w:val="24"/>
          <w:szCs w:val="24"/>
        </w:rPr>
        <w:t>padrões</w:t>
      </w:r>
      <w:r w:rsidR="00CA39B2" w:rsidRPr="003A1174">
        <w:rPr>
          <w:rFonts w:ascii="Garamond" w:hAnsi="Garamond" w:cs="Arial"/>
          <w:sz w:val="24"/>
          <w:szCs w:val="24"/>
        </w:rPr>
        <w:t xml:space="preserve"> </w:t>
      </w:r>
      <w:r w:rsidRPr="003A1174">
        <w:rPr>
          <w:rFonts w:ascii="Garamond" w:hAnsi="Garamond" w:cs="Arial"/>
          <w:sz w:val="24"/>
          <w:szCs w:val="24"/>
        </w:rPr>
        <w:t>socioculturais</w:t>
      </w:r>
      <w:r w:rsidR="00CA39B2" w:rsidRPr="003A1174">
        <w:rPr>
          <w:rFonts w:ascii="Garamond" w:hAnsi="Garamond" w:cs="Arial"/>
          <w:sz w:val="24"/>
          <w:szCs w:val="24"/>
        </w:rPr>
        <w:t xml:space="preserve"> de </w:t>
      </w:r>
      <w:r w:rsidR="007C63D0" w:rsidRPr="003A1174">
        <w:rPr>
          <w:rFonts w:ascii="Garamond" w:hAnsi="Garamond" w:cs="Arial"/>
          <w:sz w:val="24"/>
          <w:szCs w:val="24"/>
        </w:rPr>
        <w:t>comportamento</w:t>
      </w:r>
      <w:r w:rsidR="00CA39B2" w:rsidRPr="003A1174">
        <w:rPr>
          <w:rFonts w:ascii="Garamond" w:hAnsi="Garamond" w:cs="Arial"/>
          <w:sz w:val="24"/>
          <w:szCs w:val="24"/>
        </w:rPr>
        <w:t xml:space="preserve"> de </w:t>
      </w:r>
      <w:r w:rsidR="00524936" w:rsidRPr="003A1174">
        <w:rPr>
          <w:rFonts w:ascii="Garamond" w:hAnsi="Garamond" w:cs="Arial"/>
          <w:sz w:val="24"/>
          <w:szCs w:val="24"/>
        </w:rPr>
        <w:t>homens</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co</w:t>
      </w:r>
      <w:r w:rsidRPr="003A1174">
        <w:rPr>
          <w:rFonts w:ascii="Garamond" w:hAnsi="Garamond" w:cs="Arial"/>
          <w:sz w:val="24"/>
          <w:szCs w:val="24"/>
        </w:rPr>
        <w:t xml:space="preserve">m vista a </w:t>
      </w:r>
      <w:r w:rsidR="00A862C2" w:rsidRPr="003A1174">
        <w:rPr>
          <w:rFonts w:ascii="Garamond" w:hAnsi="Garamond" w:cs="Arial"/>
          <w:sz w:val="24"/>
          <w:szCs w:val="24"/>
        </w:rPr>
        <w:t>alcançar</w:t>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8E7A2A" w:rsidRPr="003A1174">
        <w:rPr>
          <w:rFonts w:ascii="Garamond" w:hAnsi="Garamond" w:cs="Arial"/>
          <w:sz w:val="24"/>
          <w:szCs w:val="24"/>
        </w:rPr>
        <w:t>eliminação</w:t>
      </w:r>
      <w:r w:rsidR="00CA39B2" w:rsidRPr="003A1174">
        <w:rPr>
          <w:rFonts w:ascii="Garamond" w:hAnsi="Garamond" w:cs="Arial"/>
          <w:sz w:val="24"/>
          <w:szCs w:val="24"/>
        </w:rPr>
        <w:t xml:space="preserve">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Pr="003A1174">
        <w:rPr>
          <w:rFonts w:ascii="Garamond" w:hAnsi="Garamond" w:cs="Arial"/>
          <w:sz w:val="24"/>
          <w:szCs w:val="24"/>
        </w:rPr>
        <w:t>preconceitos</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CA39B2" w:rsidRPr="003A1174">
        <w:rPr>
          <w:rFonts w:ascii="Garamond" w:hAnsi="Garamond" w:cs="Arial"/>
          <w:sz w:val="24"/>
          <w:szCs w:val="24"/>
        </w:rPr>
        <w:t xml:space="preserve">as </w:t>
      </w:r>
      <w:r w:rsidR="00661ADB" w:rsidRPr="003A1174">
        <w:rPr>
          <w:rFonts w:ascii="Garamond" w:hAnsi="Garamond" w:cs="Arial"/>
          <w:sz w:val="24"/>
          <w:szCs w:val="24"/>
        </w:rPr>
        <w:t>prática</w:t>
      </w:r>
      <w:r w:rsidRPr="003A1174">
        <w:rPr>
          <w:rFonts w:ascii="Garamond" w:hAnsi="Garamond" w:cs="Arial"/>
          <w:sz w:val="24"/>
          <w:szCs w:val="24"/>
        </w:rPr>
        <w:t>s consuetudiná</w:t>
      </w:r>
      <w:r w:rsidR="00CA39B2" w:rsidRPr="003A1174">
        <w:rPr>
          <w:rFonts w:ascii="Garamond" w:hAnsi="Garamond" w:cs="Arial"/>
          <w:sz w:val="24"/>
          <w:szCs w:val="24"/>
        </w:rPr>
        <w:t xml:space="preserve">rias </w:t>
      </w:r>
      <w:r w:rsidR="00497503" w:rsidRPr="003A1174">
        <w:rPr>
          <w:rFonts w:ascii="Garamond" w:hAnsi="Garamond" w:cs="Arial"/>
          <w:sz w:val="24"/>
          <w:szCs w:val="24"/>
        </w:rPr>
        <w:t>e</w:t>
      </w:r>
      <w:r w:rsidR="00CA39B2" w:rsidRPr="003A1174">
        <w:rPr>
          <w:rFonts w:ascii="Garamond" w:hAnsi="Garamond" w:cs="Arial"/>
          <w:sz w:val="24"/>
          <w:szCs w:val="24"/>
        </w:rPr>
        <w:t xml:space="preserve"> de </w:t>
      </w:r>
      <w:r w:rsidR="007342D9" w:rsidRPr="003A1174">
        <w:rPr>
          <w:rFonts w:ascii="Garamond" w:hAnsi="Garamond" w:cs="Arial"/>
          <w:sz w:val="24"/>
          <w:szCs w:val="24"/>
        </w:rPr>
        <w:t>qualquer</w:t>
      </w:r>
      <w:r w:rsidR="00CA39B2" w:rsidRPr="003A1174">
        <w:rPr>
          <w:rFonts w:ascii="Garamond" w:hAnsi="Garamond" w:cs="Arial"/>
          <w:sz w:val="24"/>
          <w:szCs w:val="24"/>
        </w:rPr>
        <w:t xml:space="preserve"> índole que </w:t>
      </w:r>
      <w:r w:rsidRPr="003A1174">
        <w:rPr>
          <w:rFonts w:ascii="Garamond" w:hAnsi="Garamond" w:cs="Arial"/>
          <w:sz w:val="24"/>
          <w:szCs w:val="24"/>
        </w:rPr>
        <w:t xml:space="preserve">sejam </w:t>
      </w:r>
      <w:r w:rsidR="007C63D0" w:rsidRPr="003A1174">
        <w:rPr>
          <w:rFonts w:ascii="Garamond" w:hAnsi="Garamond" w:cs="Arial"/>
          <w:sz w:val="24"/>
          <w:szCs w:val="24"/>
        </w:rPr>
        <w:t>baseada</w:t>
      </w:r>
      <w:r w:rsidR="00CA39B2" w:rsidRPr="003A1174">
        <w:rPr>
          <w:rFonts w:ascii="Garamond" w:hAnsi="Garamond" w:cs="Arial"/>
          <w:sz w:val="24"/>
          <w:szCs w:val="24"/>
        </w:rPr>
        <w:t>s (...) e</w:t>
      </w:r>
      <w:r w:rsidRPr="003A1174">
        <w:rPr>
          <w:rFonts w:ascii="Garamond" w:hAnsi="Garamond" w:cs="Arial"/>
          <w:sz w:val="24"/>
          <w:szCs w:val="24"/>
        </w:rPr>
        <w:t>m</w:t>
      </w:r>
      <w:r w:rsidR="00CA39B2" w:rsidRPr="003A1174">
        <w:rPr>
          <w:rFonts w:ascii="Garamond" w:hAnsi="Garamond" w:cs="Arial"/>
          <w:sz w:val="24"/>
          <w:szCs w:val="24"/>
        </w:rPr>
        <w:t xml:space="preserve"> </w:t>
      </w:r>
      <w:r w:rsidR="00E150E9" w:rsidRPr="003A1174">
        <w:rPr>
          <w:rFonts w:ascii="Garamond" w:hAnsi="Garamond" w:cs="Arial"/>
          <w:sz w:val="24"/>
          <w:szCs w:val="24"/>
        </w:rPr>
        <w:t>funções</w:t>
      </w:r>
      <w:r w:rsidR="00CA39B2" w:rsidRPr="003A1174">
        <w:rPr>
          <w:rFonts w:ascii="Garamond" w:hAnsi="Garamond" w:cs="Arial"/>
          <w:sz w:val="24"/>
          <w:szCs w:val="24"/>
        </w:rPr>
        <w:t xml:space="preserve"> estereotipadas de </w:t>
      </w:r>
      <w:r w:rsidR="00524936" w:rsidRPr="003A1174">
        <w:rPr>
          <w:rFonts w:ascii="Garamond" w:hAnsi="Garamond" w:cs="Arial"/>
          <w:sz w:val="24"/>
          <w:szCs w:val="24"/>
        </w:rPr>
        <w:t>homens</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15550A">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Entre </w:t>
      </w:r>
      <w:r w:rsidR="00CA39B2" w:rsidRPr="003A1174">
        <w:rPr>
          <w:rFonts w:ascii="Garamond" w:hAnsi="Garamond" w:cs="Arial"/>
          <w:sz w:val="24"/>
          <w:szCs w:val="24"/>
        </w:rPr>
        <w:t xml:space="preserve">os fundamentos referidos, </w:t>
      </w:r>
      <w:r w:rsidRPr="003A1174">
        <w:rPr>
          <w:rFonts w:ascii="Garamond" w:hAnsi="Garamond" w:cs="Arial"/>
          <w:sz w:val="24"/>
          <w:szCs w:val="24"/>
        </w:rPr>
        <w:t xml:space="preserve">o </w:t>
      </w:r>
      <w:r w:rsidR="00253B1D" w:rsidRPr="003A1174">
        <w:rPr>
          <w:rFonts w:ascii="Garamond" w:hAnsi="Garamond" w:cs="Arial"/>
          <w:sz w:val="24"/>
          <w:szCs w:val="24"/>
        </w:rPr>
        <w:t>juiz</w:t>
      </w:r>
      <w:r w:rsidR="00CA39B2" w:rsidRPr="003A1174">
        <w:rPr>
          <w:rFonts w:ascii="Garamond" w:hAnsi="Garamond" w:cs="Arial"/>
          <w:sz w:val="24"/>
          <w:szCs w:val="24"/>
        </w:rPr>
        <w:t xml:space="preserve"> Alejandro Slokar </w:t>
      </w:r>
      <w:r w:rsidR="00182585" w:rsidRPr="003A1174">
        <w:rPr>
          <w:rFonts w:ascii="Garamond" w:hAnsi="Garamond" w:cs="Arial"/>
          <w:sz w:val="24"/>
          <w:szCs w:val="24"/>
        </w:rPr>
        <w:t xml:space="preserve">declarou </w:t>
      </w:r>
      <w:r w:rsidR="00CA39B2" w:rsidRPr="003A1174">
        <w:rPr>
          <w:rFonts w:ascii="Garamond" w:hAnsi="Garamond" w:cs="Arial"/>
          <w:sz w:val="24"/>
          <w:szCs w:val="24"/>
        </w:rPr>
        <w:t xml:space="preserve">que </w:t>
      </w:r>
      <w:r w:rsidR="0015550A">
        <w:rPr>
          <w:rFonts w:ascii="Garamond" w:hAnsi="Garamond" w:cs="Arial"/>
          <w:sz w:val="24"/>
          <w:szCs w:val="24"/>
        </w:rPr>
        <w:t>«</w:t>
      </w:r>
      <w:r w:rsidRPr="003A1174">
        <w:rPr>
          <w:rFonts w:ascii="Garamond" w:hAnsi="Garamond" w:cs="Arial"/>
          <w:sz w:val="24"/>
          <w:szCs w:val="24"/>
        </w:rPr>
        <w:t xml:space="preserve">é </w:t>
      </w:r>
      <w:r w:rsidR="00190B59" w:rsidRPr="003A1174">
        <w:rPr>
          <w:rFonts w:ascii="Garamond" w:hAnsi="Garamond" w:cs="Arial"/>
          <w:sz w:val="24"/>
          <w:szCs w:val="24"/>
        </w:rPr>
        <w:t>inadmissível</w:t>
      </w:r>
      <w:r w:rsidR="00CA39B2" w:rsidRPr="003A1174">
        <w:rPr>
          <w:rFonts w:ascii="Garamond" w:hAnsi="Garamond" w:cs="Arial"/>
          <w:sz w:val="24"/>
          <w:szCs w:val="24"/>
        </w:rPr>
        <w:t xml:space="preserve"> </w:t>
      </w:r>
      <w:r w:rsidR="00182585" w:rsidRPr="003A1174">
        <w:rPr>
          <w:rFonts w:ascii="Garamond" w:hAnsi="Garamond" w:cs="Arial"/>
          <w:sz w:val="24"/>
          <w:szCs w:val="24"/>
        </w:rPr>
        <w:t xml:space="preserve">afirmar </w:t>
      </w:r>
      <w:r w:rsidR="00CA39B2" w:rsidRPr="003A1174">
        <w:rPr>
          <w:rFonts w:ascii="Garamond" w:hAnsi="Garamond" w:cs="Arial"/>
          <w:sz w:val="24"/>
          <w:szCs w:val="24"/>
        </w:rPr>
        <w:t>q</w:t>
      </w:r>
      <w:r w:rsidR="00182585" w:rsidRPr="003A1174">
        <w:rPr>
          <w:rFonts w:ascii="Garamond" w:hAnsi="Garamond" w:cs="Arial"/>
          <w:sz w:val="24"/>
          <w:szCs w:val="24"/>
        </w:rPr>
        <w:t>ue um</w:t>
      </w:r>
      <w:r w:rsidR="00CA39B2" w:rsidRPr="003A1174">
        <w:rPr>
          <w:rFonts w:ascii="Garamond" w:hAnsi="Garamond" w:cs="Arial"/>
          <w:sz w:val="24"/>
          <w:szCs w:val="24"/>
        </w:rPr>
        <w:t xml:space="preserve">a </w:t>
      </w:r>
      <w:r w:rsidR="0005622E" w:rsidRPr="003A1174">
        <w:rPr>
          <w:rFonts w:ascii="Garamond" w:hAnsi="Garamond" w:cs="Arial"/>
          <w:sz w:val="24"/>
          <w:szCs w:val="24"/>
        </w:rPr>
        <w:t>pessoa</w:t>
      </w:r>
      <w:r w:rsidR="00CA39B2" w:rsidRPr="003A1174">
        <w:rPr>
          <w:rFonts w:ascii="Garamond" w:hAnsi="Garamond" w:cs="Arial"/>
          <w:sz w:val="24"/>
          <w:szCs w:val="24"/>
        </w:rPr>
        <w:t xml:space="preserve">, por ser </w:t>
      </w:r>
      <w:r w:rsidR="00C30647" w:rsidRPr="003A1174">
        <w:rPr>
          <w:rFonts w:ascii="Garamond" w:hAnsi="Garamond" w:cs="Arial"/>
          <w:sz w:val="24"/>
          <w:szCs w:val="24"/>
        </w:rPr>
        <w:t>Paraguai</w:t>
      </w:r>
      <w:r w:rsidR="00CA39B2" w:rsidRPr="003A1174">
        <w:rPr>
          <w:rFonts w:ascii="Garamond" w:hAnsi="Garamond" w:cs="Arial"/>
          <w:sz w:val="24"/>
          <w:szCs w:val="24"/>
        </w:rPr>
        <w:t xml:space="preserve">a, </w:t>
      </w:r>
      <w:r w:rsidR="0015550A">
        <w:rPr>
          <w:rFonts w:ascii="Garamond" w:hAnsi="Garamond" w:cs="Arial"/>
          <w:sz w:val="24"/>
          <w:szCs w:val="24"/>
        </w:rPr>
        <w:t>não possa compreender e aceitar</w:t>
      </w:r>
      <w:r w:rsidR="00CA39B2" w:rsidRPr="003A1174">
        <w:rPr>
          <w:rFonts w:ascii="Garamond" w:hAnsi="Garamond" w:cs="Arial"/>
          <w:sz w:val="24"/>
          <w:szCs w:val="24"/>
        </w:rPr>
        <w:t xml:space="preserve"> que n</w:t>
      </w:r>
      <w:r w:rsidR="00182585" w:rsidRPr="003A1174">
        <w:rPr>
          <w:rFonts w:ascii="Garamond" w:hAnsi="Garamond" w:cs="Arial"/>
          <w:sz w:val="24"/>
          <w:szCs w:val="24"/>
        </w:rPr>
        <w:t>ã</w:t>
      </w:r>
      <w:r w:rsidR="00CA39B2" w:rsidRPr="003A1174">
        <w:rPr>
          <w:rFonts w:ascii="Garamond" w:hAnsi="Garamond" w:cs="Arial"/>
          <w:sz w:val="24"/>
          <w:szCs w:val="24"/>
        </w:rPr>
        <w:t xml:space="preserve">o </w:t>
      </w:r>
      <w:r w:rsidR="007A2492" w:rsidRPr="003A1174">
        <w:rPr>
          <w:rFonts w:ascii="Garamond" w:hAnsi="Garamond" w:cs="Arial"/>
          <w:sz w:val="24"/>
          <w:szCs w:val="24"/>
        </w:rPr>
        <w:t>tem</w:t>
      </w:r>
      <w:r w:rsidR="00CA39B2" w:rsidRPr="003A1174">
        <w:rPr>
          <w:rFonts w:ascii="Garamond" w:hAnsi="Garamond" w:cs="Arial"/>
          <w:sz w:val="24"/>
          <w:szCs w:val="24"/>
        </w:rPr>
        <w:t xml:space="preserve"> </w:t>
      </w:r>
      <w:r w:rsidR="00182585" w:rsidRPr="003A1174">
        <w:rPr>
          <w:rFonts w:ascii="Garamond" w:hAnsi="Garamond" w:cs="Arial"/>
          <w:sz w:val="24"/>
          <w:szCs w:val="24"/>
        </w:rPr>
        <w:t xml:space="preserve">o </w:t>
      </w:r>
      <w:r w:rsidR="00886D6A" w:rsidRPr="003A1174">
        <w:rPr>
          <w:rFonts w:ascii="Garamond" w:hAnsi="Garamond" w:cs="Arial"/>
          <w:sz w:val="24"/>
          <w:szCs w:val="24"/>
        </w:rPr>
        <w:t>direito</w:t>
      </w:r>
      <w:r w:rsidR="00CA39B2" w:rsidRPr="003A1174">
        <w:rPr>
          <w:rFonts w:ascii="Garamond" w:hAnsi="Garamond" w:cs="Arial"/>
          <w:sz w:val="24"/>
          <w:szCs w:val="24"/>
        </w:rPr>
        <w:t xml:space="preserve"> a violar a su</w:t>
      </w:r>
      <w:r w:rsidR="00182585" w:rsidRPr="003A1174">
        <w:rPr>
          <w:rFonts w:ascii="Garamond" w:hAnsi="Garamond" w:cs="Arial"/>
          <w:sz w:val="24"/>
          <w:szCs w:val="24"/>
        </w:rPr>
        <w:t>a</w:t>
      </w:r>
      <w:r w:rsidR="00CA39B2" w:rsidRPr="003A1174">
        <w:rPr>
          <w:rFonts w:ascii="Garamond" w:hAnsi="Garamond" w:cs="Arial"/>
          <w:sz w:val="24"/>
          <w:szCs w:val="24"/>
        </w:rPr>
        <w:t xml:space="preserve"> esposa.</w:t>
      </w:r>
      <w:r w:rsidR="0015550A">
        <w:rPr>
          <w:rFonts w:ascii="Garamond" w:hAnsi="Garamond" w:cs="Arial"/>
          <w:sz w:val="24"/>
          <w:szCs w:val="24"/>
        </w:rPr>
        <w:t>»</w:t>
      </w:r>
    </w:p>
    <w:p w:rsidR="00CA39B2" w:rsidRPr="003A1174" w:rsidRDefault="00182585" w:rsidP="008719D4">
      <w:pPr>
        <w:spacing w:before="240" w:after="0" w:line="240" w:lineRule="auto"/>
        <w:jc w:val="both"/>
        <w:rPr>
          <w:rFonts w:ascii="Garamond" w:hAnsi="Garamond" w:cs="Arial"/>
          <w:sz w:val="24"/>
          <w:szCs w:val="24"/>
        </w:rPr>
      </w:pPr>
      <w:r w:rsidRPr="003A1174">
        <w:rPr>
          <w:rFonts w:ascii="Garamond" w:hAnsi="Garamond" w:cs="Arial"/>
          <w:sz w:val="24"/>
          <w:szCs w:val="24"/>
        </w:rPr>
        <w:t>Esta</w:t>
      </w:r>
      <w:r w:rsidR="007407BD" w:rsidRPr="003A1174">
        <w:rPr>
          <w:rFonts w:ascii="Garamond" w:hAnsi="Garamond" w:cs="Arial"/>
          <w:sz w:val="24"/>
          <w:szCs w:val="24"/>
        </w:rPr>
        <w:t>s</w:t>
      </w:r>
      <w:r w:rsidR="00CA39B2" w:rsidRPr="003A1174">
        <w:rPr>
          <w:rFonts w:ascii="Garamond" w:hAnsi="Garamond" w:cs="Arial"/>
          <w:sz w:val="24"/>
          <w:szCs w:val="24"/>
        </w:rPr>
        <w:t xml:space="preserve"> </w:t>
      </w:r>
      <w:r w:rsidRPr="003A1174">
        <w:rPr>
          <w:rFonts w:ascii="Garamond" w:hAnsi="Garamond" w:cs="Arial"/>
          <w:sz w:val="24"/>
          <w:szCs w:val="24"/>
        </w:rPr>
        <w:t xml:space="preserve">sentenças foram </w:t>
      </w:r>
      <w:r w:rsidR="0015550A">
        <w:rPr>
          <w:rFonts w:ascii="Garamond" w:hAnsi="Garamond" w:cs="Arial"/>
          <w:sz w:val="24"/>
          <w:szCs w:val="24"/>
        </w:rPr>
        <w:t xml:space="preserve">consagradas </w:t>
      </w:r>
      <w:r w:rsidRPr="003A1174">
        <w:rPr>
          <w:rFonts w:ascii="Garamond" w:hAnsi="Garamond" w:cs="Arial"/>
          <w:sz w:val="24"/>
          <w:szCs w:val="24"/>
        </w:rPr>
        <w:t xml:space="preserve">na </w:t>
      </w:r>
      <w:r w:rsidR="00682C71" w:rsidRPr="003A1174">
        <w:rPr>
          <w:rFonts w:ascii="Garamond" w:hAnsi="Garamond" w:cs="Arial"/>
          <w:sz w:val="24"/>
          <w:szCs w:val="24"/>
        </w:rPr>
        <w:t>jurisprudência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permite</w:t>
      </w:r>
      <w:r w:rsidRPr="003A1174">
        <w:rPr>
          <w:rFonts w:ascii="Garamond" w:hAnsi="Garamond" w:cs="Arial"/>
          <w:sz w:val="24"/>
          <w:szCs w:val="24"/>
        </w:rPr>
        <w:t>m</w:t>
      </w:r>
      <w:r w:rsidR="00CA39B2" w:rsidRPr="003A1174">
        <w:rPr>
          <w:rFonts w:ascii="Garamond" w:hAnsi="Garamond" w:cs="Arial"/>
          <w:sz w:val="24"/>
          <w:szCs w:val="24"/>
        </w:rPr>
        <w:t xml:space="preserve"> pensar e</w:t>
      </w:r>
      <w:r w:rsidRPr="003A1174">
        <w:rPr>
          <w:rFonts w:ascii="Garamond" w:hAnsi="Garamond" w:cs="Arial"/>
          <w:sz w:val="24"/>
          <w:szCs w:val="24"/>
        </w:rPr>
        <w:t>m</w:t>
      </w:r>
      <w:r w:rsidR="00CA39B2" w:rsidRPr="003A1174">
        <w:rPr>
          <w:rFonts w:ascii="Garamond" w:hAnsi="Garamond" w:cs="Arial"/>
          <w:sz w:val="24"/>
          <w:szCs w:val="24"/>
        </w:rPr>
        <w:t xml:space="preserve"> </w:t>
      </w:r>
      <w:r w:rsidR="006F4B2C" w:rsidRPr="003A1174">
        <w:rPr>
          <w:rFonts w:ascii="Garamond" w:hAnsi="Garamond" w:cs="Arial"/>
          <w:sz w:val="24"/>
          <w:szCs w:val="24"/>
        </w:rPr>
        <w:t>alguns</w:t>
      </w:r>
      <w:r w:rsidR="00CA39B2" w:rsidRPr="003A1174">
        <w:rPr>
          <w:rFonts w:ascii="Garamond" w:hAnsi="Garamond" w:cs="Arial"/>
          <w:sz w:val="24"/>
          <w:szCs w:val="24"/>
        </w:rPr>
        <w:t xml:space="preserve"> </w:t>
      </w:r>
      <w:r w:rsidR="00FC1F7F" w:rsidRPr="003A1174">
        <w:rPr>
          <w:rFonts w:ascii="Garamond" w:hAnsi="Garamond" w:cs="Arial"/>
          <w:sz w:val="24"/>
          <w:szCs w:val="24"/>
        </w:rPr>
        <w:t>avanços</w:t>
      </w:r>
      <w:r w:rsidR="00CA39B2" w:rsidRPr="003A1174">
        <w:rPr>
          <w:rFonts w:ascii="Garamond" w:hAnsi="Garamond" w:cs="Arial"/>
          <w:sz w:val="24"/>
          <w:szCs w:val="24"/>
        </w:rPr>
        <w:t xml:space="preserve"> </w:t>
      </w:r>
      <w:r w:rsidRPr="003A1174">
        <w:rPr>
          <w:rFonts w:ascii="Garamond" w:hAnsi="Garamond" w:cs="Arial"/>
          <w:sz w:val="24"/>
          <w:szCs w:val="24"/>
        </w:rPr>
        <w:t>n</w:t>
      </w:r>
      <w:r w:rsidR="00CA39B2" w:rsidRPr="003A1174">
        <w:rPr>
          <w:rFonts w:ascii="Garamond" w:hAnsi="Garamond" w:cs="Arial"/>
          <w:sz w:val="24"/>
          <w:szCs w:val="24"/>
        </w:rPr>
        <w:t xml:space="preserve">a </w:t>
      </w:r>
      <w:r w:rsidR="00FC1F7F" w:rsidRPr="003A1174">
        <w:rPr>
          <w:rFonts w:ascii="Garamond" w:hAnsi="Garamond" w:cs="Arial"/>
          <w:sz w:val="24"/>
          <w:szCs w:val="24"/>
        </w:rPr>
        <w:t>Justiça</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EF645F" w:rsidRPr="003A1174">
        <w:rPr>
          <w:rFonts w:ascii="Garamond" w:hAnsi="Garamond" w:cs="Arial"/>
          <w:sz w:val="24"/>
          <w:szCs w:val="24"/>
        </w:rPr>
        <w:t>matéria</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w:t>
      </w:r>
    </w:p>
    <w:p w:rsidR="005777DA" w:rsidRPr="003A1174" w:rsidRDefault="00C30647" w:rsidP="008719D4">
      <w:pPr>
        <w:pStyle w:val="Ttulo3"/>
        <w:spacing w:line="240" w:lineRule="auto"/>
        <w:rPr>
          <w:rFonts w:ascii="Garamond" w:hAnsi="Garamond"/>
          <w:sz w:val="24"/>
          <w:szCs w:val="24"/>
        </w:rPr>
      </w:pPr>
      <w:bookmarkStart w:id="31" w:name="_Toc421529719"/>
      <w:r w:rsidRPr="003A1174">
        <w:rPr>
          <w:rFonts w:ascii="Garamond" w:hAnsi="Garamond"/>
          <w:sz w:val="24"/>
          <w:szCs w:val="24"/>
        </w:rPr>
        <w:lastRenderedPageBreak/>
        <w:t>Bolívia</w:t>
      </w:r>
      <w:bookmarkEnd w:id="31"/>
    </w:p>
    <w:p w:rsidR="005777DA" w:rsidRPr="003A1174" w:rsidRDefault="00B55F67" w:rsidP="00182585">
      <w:pPr>
        <w:spacing w:line="240" w:lineRule="auto"/>
        <w:jc w:val="both"/>
        <w:rPr>
          <w:rFonts w:ascii="Garamond" w:hAnsi="Garamond" w:cs="Arial"/>
          <w:sz w:val="24"/>
          <w:szCs w:val="24"/>
        </w:rPr>
      </w:pPr>
      <w:r w:rsidRPr="003A1174">
        <w:rPr>
          <w:rFonts w:ascii="Garamond" w:hAnsi="Garamond" w:cs="Arial"/>
          <w:sz w:val="24"/>
          <w:szCs w:val="24"/>
        </w:rPr>
        <w:t>A</w:t>
      </w:r>
      <w:r w:rsidR="00182585" w:rsidRPr="003A1174">
        <w:rPr>
          <w:rFonts w:ascii="Garamond" w:hAnsi="Garamond" w:cs="Arial"/>
          <w:sz w:val="24"/>
          <w:szCs w:val="24"/>
        </w:rPr>
        <w:t xml:space="preserve">penas se </w:t>
      </w:r>
      <w:r w:rsidR="005777DA" w:rsidRPr="003A1174">
        <w:rPr>
          <w:rFonts w:ascii="Garamond" w:hAnsi="Garamond" w:cs="Arial"/>
          <w:sz w:val="24"/>
          <w:szCs w:val="24"/>
        </w:rPr>
        <w:t>menciona u</w:t>
      </w:r>
      <w:r w:rsidR="00182585" w:rsidRPr="003A1174">
        <w:rPr>
          <w:rFonts w:ascii="Garamond" w:hAnsi="Garamond" w:cs="Arial"/>
          <w:sz w:val="24"/>
          <w:szCs w:val="24"/>
        </w:rPr>
        <w:t>m</w:t>
      </w:r>
      <w:r w:rsidR="005777DA" w:rsidRPr="003A1174">
        <w:rPr>
          <w:rFonts w:ascii="Garamond" w:hAnsi="Garamond" w:cs="Arial"/>
          <w:sz w:val="24"/>
          <w:szCs w:val="24"/>
        </w:rPr>
        <w:t xml:space="preserve"> caso (denominado MZ) sobre </w:t>
      </w:r>
      <w:r w:rsidR="001647F2" w:rsidRPr="003A1174">
        <w:rPr>
          <w:rFonts w:ascii="Garamond" w:hAnsi="Garamond" w:cs="Arial"/>
          <w:sz w:val="24"/>
          <w:szCs w:val="24"/>
        </w:rPr>
        <w:t>facto</w:t>
      </w:r>
      <w:r w:rsidR="005777DA" w:rsidRPr="003A1174">
        <w:rPr>
          <w:rFonts w:ascii="Garamond" w:hAnsi="Garamond" w:cs="Arial"/>
          <w:sz w:val="24"/>
          <w:szCs w:val="24"/>
        </w:rPr>
        <w:t xml:space="preserve">s de </w:t>
      </w:r>
      <w:r w:rsidR="000350B1" w:rsidRPr="003A1174">
        <w:rPr>
          <w:rFonts w:ascii="Garamond" w:hAnsi="Garamond" w:cs="Arial"/>
          <w:sz w:val="24"/>
          <w:szCs w:val="24"/>
        </w:rPr>
        <w:t>violência</w:t>
      </w:r>
      <w:r w:rsidR="005777DA" w:rsidRPr="003A1174">
        <w:rPr>
          <w:rFonts w:ascii="Garamond" w:hAnsi="Garamond" w:cs="Arial"/>
          <w:sz w:val="24"/>
          <w:szCs w:val="24"/>
        </w:rPr>
        <w:t xml:space="preserve"> sexual, que </w:t>
      </w:r>
      <w:r w:rsidR="00462B11" w:rsidRPr="003A1174">
        <w:rPr>
          <w:rFonts w:ascii="Garamond" w:hAnsi="Garamond" w:cs="Arial"/>
          <w:sz w:val="24"/>
          <w:szCs w:val="24"/>
        </w:rPr>
        <w:t>foi</w:t>
      </w:r>
      <w:r w:rsidR="005777DA" w:rsidRPr="003A1174">
        <w:rPr>
          <w:rFonts w:ascii="Garamond" w:hAnsi="Garamond" w:cs="Arial"/>
          <w:sz w:val="24"/>
          <w:szCs w:val="24"/>
        </w:rPr>
        <w:t xml:space="preserve"> rem</w:t>
      </w:r>
      <w:r w:rsidR="00182585" w:rsidRPr="003A1174">
        <w:rPr>
          <w:rFonts w:ascii="Garamond" w:hAnsi="Garamond" w:cs="Arial"/>
          <w:sz w:val="24"/>
          <w:szCs w:val="24"/>
        </w:rPr>
        <w:t>e</w:t>
      </w:r>
      <w:r w:rsidR="005777DA" w:rsidRPr="003A1174">
        <w:rPr>
          <w:rFonts w:ascii="Garamond" w:hAnsi="Garamond" w:cs="Arial"/>
          <w:sz w:val="24"/>
          <w:szCs w:val="24"/>
        </w:rPr>
        <w:t xml:space="preserve">tido a </w:t>
      </w:r>
      <w:r w:rsidR="00FB09CA" w:rsidRPr="003A1174">
        <w:rPr>
          <w:rFonts w:ascii="Garamond" w:hAnsi="Garamond" w:cs="Arial"/>
          <w:sz w:val="24"/>
          <w:szCs w:val="24"/>
        </w:rPr>
        <w:t>instância</w:t>
      </w:r>
      <w:r w:rsidR="005777DA" w:rsidRPr="003A1174">
        <w:rPr>
          <w:rFonts w:ascii="Garamond" w:hAnsi="Garamond" w:cs="Arial"/>
          <w:sz w:val="24"/>
          <w:szCs w:val="24"/>
        </w:rPr>
        <w:t xml:space="preserve"> internacional</w:t>
      </w:r>
      <w:r w:rsidR="0015550A">
        <w:rPr>
          <w:rFonts w:ascii="Garamond" w:hAnsi="Garamond" w:cs="Arial"/>
          <w:sz w:val="24"/>
          <w:szCs w:val="24"/>
        </w:rPr>
        <w:t>,</w:t>
      </w:r>
      <w:r w:rsidR="005777DA" w:rsidRPr="003A1174">
        <w:rPr>
          <w:rFonts w:ascii="Garamond" w:hAnsi="Garamond" w:cs="Arial"/>
          <w:sz w:val="24"/>
          <w:szCs w:val="24"/>
        </w:rPr>
        <w:t xml:space="preserve"> h</w:t>
      </w:r>
      <w:r w:rsidR="00182585" w:rsidRPr="003A1174">
        <w:rPr>
          <w:rFonts w:ascii="Garamond" w:hAnsi="Garamond" w:cs="Arial"/>
          <w:sz w:val="24"/>
          <w:szCs w:val="24"/>
        </w:rPr>
        <w:t xml:space="preserve">á </w:t>
      </w:r>
      <w:r w:rsidR="005777DA" w:rsidRPr="003A1174">
        <w:rPr>
          <w:rFonts w:ascii="Garamond" w:hAnsi="Garamond" w:cs="Arial"/>
          <w:sz w:val="24"/>
          <w:szCs w:val="24"/>
        </w:rPr>
        <w:t xml:space="preserve">cerca de </w:t>
      </w:r>
      <w:r w:rsidRPr="003A1174">
        <w:rPr>
          <w:rFonts w:ascii="Garamond" w:hAnsi="Garamond" w:cs="Arial"/>
          <w:sz w:val="24"/>
          <w:szCs w:val="24"/>
        </w:rPr>
        <w:t>quinze anos</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culmin</w:t>
      </w:r>
      <w:r w:rsidR="00182585" w:rsidRPr="003A1174">
        <w:rPr>
          <w:rFonts w:ascii="Garamond" w:hAnsi="Garamond" w:cs="Arial"/>
          <w:sz w:val="24"/>
          <w:szCs w:val="24"/>
        </w:rPr>
        <w:t xml:space="preserve">ou num </w:t>
      </w:r>
      <w:r w:rsidR="003F012B" w:rsidRPr="003A1174">
        <w:rPr>
          <w:rFonts w:ascii="Garamond" w:hAnsi="Garamond" w:cs="Arial"/>
          <w:sz w:val="24"/>
          <w:szCs w:val="24"/>
        </w:rPr>
        <w:t>Acordo</w:t>
      </w:r>
      <w:r w:rsidR="005777DA" w:rsidRPr="003A1174">
        <w:rPr>
          <w:rFonts w:ascii="Garamond" w:hAnsi="Garamond" w:cs="Arial"/>
          <w:sz w:val="24"/>
          <w:szCs w:val="24"/>
        </w:rPr>
        <w:t xml:space="preserve"> amistoso co</w:t>
      </w:r>
      <w:r w:rsidR="00182585" w:rsidRPr="003A1174">
        <w:rPr>
          <w:rFonts w:ascii="Garamond" w:hAnsi="Garamond" w:cs="Arial"/>
          <w:sz w:val="24"/>
          <w:szCs w:val="24"/>
        </w:rPr>
        <w:t xml:space="preserve">m o </w:t>
      </w:r>
      <w:r w:rsidR="005777DA" w:rsidRPr="003A1174">
        <w:rPr>
          <w:rFonts w:ascii="Garamond" w:hAnsi="Garamond" w:cs="Arial"/>
          <w:sz w:val="24"/>
          <w:szCs w:val="24"/>
        </w:rPr>
        <w:t xml:space="preserve">Estado </w:t>
      </w:r>
      <w:r w:rsidR="00182585" w:rsidRPr="003A1174">
        <w:rPr>
          <w:rFonts w:ascii="Garamond" w:hAnsi="Garamond" w:cs="Arial"/>
          <w:sz w:val="24"/>
          <w:szCs w:val="24"/>
        </w:rPr>
        <w:t>Boliviano</w:t>
      </w:r>
      <w:r w:rsidR="005777DA" w:rsidRPr="003A1174">
        <w:rPr>
          <w:rFonts w:ascii="Garamond" w:hAnsi="Garamond" w:cs="Arial"/>
          <w:sz w:val="24"/>
          <w:szCs w:val="24"/>
        </w:rPr>
        <w:t>.</w:t>
      </w:r>
      <w:r w:rsidR="005777DA" w:rsidRPr="003A1174">
        <w:rPr>
          <w:rStyle w:val="Refdenotaalpie"/>
          <w:rFonts w:ascii="Garamond" w:hAnsi="Garamond" w:cs="Arial"/>
          <w:sz w:val="24"/>
          <w:szCs w:val="24"/>
        </w:rPr>
        <w:footnoteReference w:id="101"/>
      </w:r>
    </w:p>
    <w:p w:rsidR="005777DA" w:rsidRPr="003A1174" w:rsidRDefault="0017447A" w:rsidP="008719D4">
      <w:pPr>
        <w:pStyle w:val="Ttulo3"/>
        <w:spacing w:line="240" w:lineRule="auto"/>
        <w:rPr>
          <w:rFonts w:ascii="Garamond" w:hAnsi="Garamond"/>
          <w:sz w:val="24"/>
          <w:szCs w:val="24"/>
        </w:rPr>
      </w:pPr>
      <w:bookmarkStart w:id="32" w:name="_Toc421529720"/>
      <w:r w:rsidRPr="003A1174">
        <w:rPr>
          <w:rFonts w:ascii="Garamond" w:hAnsi="Garamond"/>
          <w:sz w:val="24"/>
          <w:szCs w:val="24"/>
        </w:rPr>
        <w:t>Colômbia</w:t>
      </w:r>
      <w:bookmarkEnd w:id="32"/>
    </w:p>
    <w:p w:rsidR="005777DA" w:rsidRPr="003A1174" w:rsidRDefault="0015550A" w:rsidP="00182585">
      <w:pPr>
        <w:spacing w:before="240" w:line="240" w:lineRule="auto"/>
        <w:jc w:val="both"/>
        <w:rPr>
          <w:rFonts w:ascii="Garamond" w:hAnsi="Garamond" w:cs="Arial"/>
          <w:sz w:val="24"/>
          <w:szCs w:val="24"/>
        </w:rPr>
      </w:pPr>
      <w:r>
        <w:rPr>
          <w:rFonts w:ascii="Garamond" w:hAnsi="Garamond" w:cs="Arial"/>
          <w:sz w:val="24"/>
          <w:szCs w:val="24"/>
        </w:rPr>
        <w:t>A Colômbia refere</w:t>
      </w:r>
      <w:r w:rsidR="00182585" w:rsidRPr="003A1174">
        <w:rPr>
          <w:rFonts w:ascii="Garamond" w:hAnsi="Garamond" w:cs="Arial"/>
          <w:sz w:val="24"/>
          <w:szCs w:val="24"/>
        </w:rPr>
        <w:t xml:space="preserve"> diversa</w:t>
      </w:r>
      <w:r w:rsidR="005777DA" w:rsidRPr="003A1174">
        <w:rPr>
          <w:rFonts w:ascii="Garamond" w:hAnsi="Garamond" w:cs="Arial"/>
          <w:sz w:val="24"/>
          <w:szCs w:val="24"/>
        </w:rPr>
        <w:t xml:space="preserve">s </w:t>
      </w:r>
      <w:r w:rsidR="00182585" w:rsidRPr="003A1174">
        <w:rPr>
          <w:rFonts w:ascii="Garamond" w:hAnsi="Garamond" w:cs="Arial"/>
          <w:sz w:val="24"/>
          <w:szCs w:val="24"/>
        </w:rPr>
        <w:t>sentenças, entre a</w:t>
      </w:r>
      <w:r w:rsidR="005777DA" w:rsidRPr="003A1174">
        <w:rPr>
          <w:rFonts w:ascii="Garamond" w:hAnsi="Garamond" w:cs="Arial"/>
          <w:sz w:val="24"/>
          <w:szCs w:val="24"/>
        </w:rPr>
        <w:t xml:space="preserve">s </w:t>
      </w:r>
      <w:r w:rsidR="00B936A7" w:rsidRPr="003A1174">
        <w:rPr>
          <w:rFonts w:ascii="Garamond" w:hAnsi="Garamond" w:cs="Arial"/>
          <w:sz w:val="24"/>
          <w:szCs w:val="24"/>
        </w:rPr>
        <w:t>quais</w:t>
      </w:r>
      <w:r w:rsidR="005777DA" w:rsidRPr="003A1174">
        <w:rPr>
          <w:rFonts w:ascii="Garamond" w:hAnsi="Garamond" w:cs="Arial"/>
          <w:sz w:val="24"/>
          <w:szCs w:val="24"/>
        </w:rPr>
        <w:t xml:space="preserve"> </w:t>
      </w:r>
      <w:r w:rsidR="00182585" w:rsidRPr="003A1174">
        <w:rPr>
          <w:rFonts w:ascii="Garamond" w:hAnsi="Garamond" w:cs="Arial"/>
          <w:sz w:val="24"/>
          <w:szCs w:val="24"/>
        </w:rPr>
        <w:t>salienta uma</w:t>
      </w:r>
      <w:r w:rsidR="00B55F67" w:rsidRPr="003A1174">
        <w:rPr>
          <w:rFonts w:ascii="Garamond" w:hAnsi="Garamond" w:cs="Arial"/>
          <w:sz w:val="24"/>
          <w:szCs w:val="24"/>
        </w:rPr>
        <w:t>,</w:t>
      </w:r>
      <w:r w:rsidR="00182585" w:rsidRPr="003A1174">
        <w:rPr>
          <w:rFonts w:ascii="Garamond" w:hAnsi="Garamond" w:cs="Arial"/>
          <w:sz w:val="24"/>
          <w:szCs w:val="24"/>
        </w:rPr>
        <w:t xml:space="preserve"> com data de</w:t>
      </w:r>
      <w:r w:rsidR="005777DA" w:rsidRPr="003A1174">
        <w:rPr>
          <w:rFonts w:ascii="Garamond" w:hAnsi="Garamond" w:cs="Arial"/>
          <w:sz w:val="24"/>
          <w:szCs w:val="24"/>
        </w:rPr>
        <w:t xml:space="preserve"> 30 de abril de 2013</w:t>
      </w:r>
      <w:r w:rsidR="00B55F67" w:rsidRPr="003A1174">
        <w:rPr>
          <w:rFonts w:ascii="Garamond" w:hAnsi="Garamond" w:cs="Arial"/>
          <w:sz w:val="24"/>
          <w:szCs w:val="24"/>
        </w:rPr>
        <w:t>,</w:t>
      </w:r>
      <w:r w:rsidR="005777DA" w:rsidRPr="003A1174">
        <w:rPr>
          <w:rFonts w:ascii="Garamond" w:hAnsi="Garamond" w:cs="Arial"/>
          <w:sz w:val="24"/>
          <w:szCs w:val="24"/>
        </w:rPr>
        <w:t xml:space="preserve"> </w:t>
      </w:r>
      <w:r w:rsidR="00182585" w:rsidRPr="003A1174">
        <w:rPr>
          <w:rFonts w:ascii="Garamond" w:hAnsi="Garamond" w:cs="Arial"/>
          <w:sz w:val="24"/>
          <w:szCs w:val="24"/>
        </w:rPr>
        <w:t xml:space="preserve">proferida </w:t>
      </w:r>
      <w:r w:rsidR="00275092" w:rsidRPr="003A1174">
        <w:rPr>
          <w:rFonts w:ascii="Garamond" w:hAnsi="Garamond" w:cs="Arial"/>
          <w:sz w:val="24"/>
          <w:szCs w:val="24"/>
        </w:rPr>
        <w:t>pela</w:t>
      </w:r>
      <w:r w:rsidR="005777DA" w:rsidRPr="003A1174">
        <w:rPr>
          <w:rFonts w:ascii="Garamond" w:hAnsi="Garamond" w:cs="Arial"/>
          <w:sz w:val="24"/>
          <w:szCs w:val="24"/>
        </w:rPr>
        <w:t xml:space="preserve"> Sala de </w:t>
      </w:r>
      <w:r w:rsidR="005C2020" w:rsidRPr="003A1174">
        <w:rPr>
          <w:rFonts w:ascii="Garamond" w:hAnsi="Garamond" w:cs="Arial"/>
          <w:sz w:val="24"/>
          <w:szCs w:val="24"/>
        </w:rPr>
        <w:t>Cassação</w:t>
      </w:r>
      <w:r w:rsidR="005777DA" w:rsidRPr="003A1174">
        <w:rPr>
          <w:rFonts w:ascii="Garamond" w:hAnsi="Garamond" w:cs="Arial"/>
          <w:sz w:val="24"/>
          <w:szCs w:val="24"/>
        </w:rPr>
        <w:t xml:space="preserve"> Penal d</w:t>
      </w:r>
      <w:r w:rsidR="00935298">
        <w:rPr>
          <w:rFonts w:ascii="Garamond" w:hAnsi="Garamond" w:cs="Arial"/>
          <w:sz w:val="24"/>
          <w:szCs w:val="24"/>
        </w:rPr>
        <w:t>o</w:t>
      </w:r>
      <w:r w:rsidR="005777DA" w:rsidRPr="003A1174">
        <w:rPr>
          <w:rFonts w:ascii="Garamond" w:hAnsi="Garamond" w:cs="Arial"/>
          <w:sz w:val="24"/>
          <w:szCs w:val="24"/>
        </w:rPr>
        <w:t xml:space="preserve"> Suprem</w:t>
      </w:r>
      <w:r w:rsidR="00935298">
        <w:rPr>
          <w:rFonts w:ascii="Garamond" w:hAnsi="Garamond" w:cs="Arial"/>
          <w:sz w:val="24"/>
          <w:szCs w:val="24"/>
        </w:rPr>
        <w:t>o</w:t>
      </w:r>
      <w:r w:rsidR="002B33D4">
        <w:rPr>
          <w:rFonts w:ascii="Garamond" w:hAnsi="Garamond" w:cs="Arial"/>
          <w:sz w:val="24"/>
          <w:szCs w:val="24"/>
        </w:rPr>
        <w:t xml:space="preserve"> </w:t>
      </w:r>
      <w:r w:rsidR="00935298">
        <w:rPr>
          <w:rFonts w:ascii="Garamond" w:hAnsi="Garamond" w:cs="Arial"/>
          <w:sz w:val="24"/>
          <w:szCs w:val="24"/>
        </w:rPr>
        <w:t>Tribunal</w:t>
      </w:r>
      <w:r w:rsidR="005777DA" w:rsidRPr="003A1174">
        <w:rPr>
          <w:rFonts w:ascii="Garamond" w:hAnsi="Garamond" w:cs="Arial"/>
          <w:sz w:val="24"/>
          <w:szCs w:val="24"/>
        </w:rPr>
        <w:t xml:space="preserve"> de </w:t>
      </w:r>
      <w:r w:rsidR="00FC1F7F" w:rsidRPr="003A1174">
        <w:rPr>
          <w:rFonts w:ascii="Garamond" w:hAnsi="Garamond" w:cs="Arial"/>
          <w:sz w:val="24"/>
          <w:szCs w:val="24"/>
        </w:rPr>
        <w:t>Justiça</w:t>
      </w:r>
      <w:r w:rsidR="005777DA" w:rsidRPr="003A1174">
        <w:rPr>
          <w:rFonts w:ascii="Garamond" w:hAnsi="Garamond" w:cs="Arial"/>
          <w:sz w:val="24"/>
          <w:szCs w:val="24"/>
        </w:rPr>
        <w:t xml:space="preserve"> d</w:t>
      </w:r>
      <w:r w:rsidR="00182585" w:rsidRPr="003A1174">
        <w:rPr>
          <w:rFonts w:ascii="Garamond" w:hAnsi="Garamond" w:cs="Arial"/>
          <w:sz w:val="24"/>
          <w:szCs w:val="24"/>
        </w:rPr>
        <w:t>a</w:t>
      </w:r>
      <w:r w:rsidR="005777DA" w:rsidRPr="003A1174">
        <w:rPr>
          <w:rFonts w:ascii="Garamond" w:hAnsi="Garamond" w:cs="Arial"/>
          <w:sz w:val="24"/>
          <w:szCs w:val="24"/>
        </w:rPr>
        <w:t xml:space="preserve"> </w:t>
      </w:r>
      <w:r w:rsidR="0017447A" w:rsidRPr="003A1174">
        <w:rPr>
          <w:rFonts w:ascii="Garamond" w:hAnsi="Garamond" w:cs="Arial"/>
          <w:sz w:val="24"/>
          <w:szCs w:val="24"/>
        </w:rPr>
        <w:t>Colômbia</w:t>
      </w:r>
      <w:r w:rsidR="005777DA" w:rsidRPr="003A1174">
        <w:rPr>
          <w:rFonts w:ascii="Garamond" w:hAnsi="Garamond" w:cs="Arial"/>
          <w:sz w:val="24"/>
          <w:szCs w:val="24"/>
        </w:rPr>
        <w:t xml:space="preserve">, que </w:t>
      </w:r>
      <w:r>
        <w:rPr>
          <w:rFonts w:ascii="Garamond" w:hAnsi="Garamond" w:cs="Arial"/>
          <w:sz w:val="24"/>
          <w:szCs w:val="24"/>
        </w:rPr>
        <w:t xml:space="preserve">deu </w:t>
      </w:r>
      <w:r w:rsidR="00182585" w:rsidRPr="003A1174">
        <w:rPr>
          <w:rFonts w:ascii="Garamond" w:hAnsi="Garamond" w:cs="Arial"/>
          <w:sz w:val="24"/>
          <w:szCs w:val="24"/>
        </w:rPr>
        <w:t xml:space="preserve">sem </w:t>
      </w:r>
      <w:r w:rsidR="00863197" w:rsidRPr="003A1174">
        <w:rPr>
          <w:rFonts w:ascii="Garamond" w:hAnsi="Garamond" w:cs="Arial"/>
          <w:sz w:val="24"/>
          <w:szCs w:val="24"/>
        </w:rPr>
        <w:t>efeito</w:t>
      </w:r>
      <w:r w:rsidR="00182585" w:rsidRPr="003A1174">
        <w:rPr>
          <w:rFonts w:ascii="Garamond" w:hAnsi="Garamond" w:cs="Arial"/>
          <w:sz w:val="24"/>
          <w:szCs w:val="24"/>
        </w:rPr>
        <w:t xml:space="preserve"> </w:t>
      </w:r>
      <w:r w:rsidR="005777DA" w:rsidRPr="003A1174">
        <w:rPr>
          <w:rFonts w:ascii="Garamond" w:hAnsi="Garamond" w:cs="Arial"/>
          <w:sz w:val="24"/>
          <w:szCs w:val="24"/>
        </w:rPr>
        <w:t xml:space="preserve">a </w:t>
      </w:r>
      <w:r w:rsidR="00FC1F7F" w:rsidRPr="003A1174">
        <w:rPr>
          <w:rFonts w:ascii="Garamond" w:hAnsi="Garamond" w:cs="Arial"/>
          <w:sz w:val="24"/>
          <w:szCs w:val="24"/>
        </w:rPr>
        <w:t>sentença</w:t>
      </w:r>
      <w:r w:rsidR="005777DA" w:rsidRPr="003A1174">
        <w:rPr>
          <w:rFonts w:ascii="Garamond" w:hAnsi="Garamond" w:cs="Arial"/>
          <w:sz w:val="24"/>
          <w:szCs w:val="24"/>
        </w:rPr>
        <w:t xml:space="preserve"> </w:t>
      </w:r>
      <w:r w:rsidR="00040BD1" w:rsidRPr="003A1174">
        <w:rPr>
          <w:rFonts w:ascii="Garamond" w:hAnsi="Garamond" w:cs="Arial"/>
          <w:sz w:val="24"/>
          <w:szCs w:val="24"/>
        </w:rPr>
        <w:t>de absolvição</w:t>
      </w:r>
      <w:r w:rsidR="005777DA" w:rsidRPr="003A1174">
        <w:rPr>
          <w:rFonts w:ascii="Garamond" w:hAnsi="Garamond" w:cs="Arial"/>
          <w:sz w:val="24"/>
          <w:szCs w:val="24"/>
        </w:rPr>
        <w:t xml:space="preserve"> que u</w:t>
      </w:r>
      <w:r w:rsidR="00182585" w:rsidRPr="003A1174">
        <w:rPr>
          <w:rFonts w:ascii="Garamond" w:hAnsi="Garamond" w:cs="Arial"/>
          <w:sz w:val="24"/>
          <w:szCs w:val="24"/>
        </w:rPr>
        <w:t xml:space="preserve">m Tribunal </w:t>
      </w:r>
      <w:r w:rsidR="005777DA" w:rsidRPr="003A1174">
        <w:rPr>
          <w:rFonts w:ascii="Garamond" w:hAnsi="Garamond" w:cs="Arial"/>
          <w:sz w:val="24"/>
          <w:szCs w:val="24"/>
        </w:rPr>
        <w:t xml:space="preserve">Penal </w:t>
      </w:r>
      <w:r w:rsidR="00182585" w:rsidRPr="003A1174">
        <w:rPr>
          <w:rFonts w:ascii="Garamond" w:hAnsi="Garamond" w:cs="Arial"/>
          <w:sz w:val="24"/>
          <w:szCs w:val="24"/>
        </w:rPr>
        <w:t xml:space="preserve">tinha proferido </w:t>
      </w:r>
      <w:r w:rsidR="005777DA" w:rsidRPr="003A1174">
        <w:rPr>
          <w:rFonts w:ascii="Garamond" w:hAnsi="Garamond" w:cs="Arial"/>
          <w:sz w:val="24"/>
          <w:szCs w:val="24"/>
        </w:rPr>
        <w:t>a favor de u</w:t>
      </w:r>
      <w:r w:rsidR="00182585" w:rsidRPr="003A1174">
        <w:rPr>
          <w:rFonts w:ascii="Garamond" w:hAnsi="Garamond" w:cs="Arial"/>
          <w:sz w:val="24"/>
          <w:szCs w:val="24"/>
        </w:rPr>
        <w:t>m</w:t>
      </w:r>
      <w:r w:rsidR="005777DA" w:rsidRPr="003A1174">
        <w:rPr>
          <w:rFonts w:ascii="Garamond" w:hAnsi="Garamond" w:cs="Arial"/>
          <w:sz w:val="24"/>
          <w:szCs w:val="24"/>
        </w:rPr>
        <w:t xml:space="preserve"> </w:t>
      </w:r>
      <w:r w:rsidR="00524936" w:rsidRPr="003A1174">
        <w:rPr>
          <w:rFonts w:ascii="Garamond" w:hAnsi="Garamond" w:cs="Arial"/>
          <w:sz w:val="24"/>
          <w:szCs w:val="24"/>
        </w:rPr>
        <w:t>homem</w:t>
      </w:r>
      <w:r w:rsidR="005777DA" w:rsidRPr="003A1174">
        <w:rPr>
          <w:rFonts w:ascii="Garamond" w:hAnsi="Garamond" w:cs="Arial"/>
          <w:sz w:val="24"/>
          <w:szCs w:val="24"/>
        </w:rPr>
        <w:t xml:space="preserve"> que </w:t>
      </w:r>
      <w:r w:rsidR="00182585" w:rsidRPr="003A1174">
        <w:rPr>
          <w:rFonts w:ascii="Garamond" w:hAnsi="Garamond" w:cs="Arial"/>
          <w:sz w:val="24"/>
          <w:szCs w:val="24"/>
        </w:rPr>
        <w:t xml:space="preserve">tinha </w:t>
      </w:r>
      <w:r w:rsidR="005777DA" w:rsidRPr="003A1174">
        <w:rPr>
          <w:rFonts w:ascii="Garamond" w:hAnsi="Garamond" w:cs="Arial"/>
          <w:sz w:val="24"/>
          <w:szCs w:val="24"/>
        </w:rPr>
        <w:t>agredido</w:t>
      </w:r>
      <w:r>
        <w:rPr>
          <w:rFonts w:ascii="Garamond" w:hAnsi="Garamond" w:cs="Arial"/>
          <w:sz w:val="24"/>
          <w:szCs w:val="24"/>
        </w:rPr>
        <w:t>,</w:t>
      </w:r>
      <w:r w:rsidR="005777DA" w:rsidRPr="003A1174">
        <w:rPr>
          <w:rFonts w:ascii="Garamond" w:hAnsi="Garamond" w:cs="Arial"/>
          <w:sz w:val="24"/>
          <w:szCs w:val="24"/>
        </w:rPr>
        <w:t xml:space="preserve"> </w:t>
      </w:r>
      <w:r w:rsidR="00182585" w:rsidRPr="003A1174">
        <w:rPr>
          <w:rFonts w:ascii="Garamond" w:hAnsi="Garamond" w:cs="Arial"/>
          <w:sz w:val="24"/>
          <w:szCs w:val="24"/>
        </w:rPr>
        <w:t>fisicamente</w:t>
      </w:r>
      <w:r>
        <w:rPr>
          <w:rFonts w:ascii="Garamond" w:hAnsi="Garamond" w:cs="Arial"/>
          <w:sz w:val="24"/>
          <w:szCs w:val="24"/>
        </w:rPr>
        <w:t>,</w:t>
      </w:r>
      <w:r w:rsidR="005777DA" w:rsidRPr="003A1174">
        <w:rPr>
          <w:rFonts w:ascii="Garamond" w:hAnsi="Garamond" w:cs="Arial"/>
          <w:sz w:val="24"/>
          <w:szCs w:val="24"/>
        </w:rPr>
        <w:t xml:space="preserve"> a su</w:t>
      </w:r>
      <w:r w:rsidR="00182585" w:rsidRPr="003A1174">
        <w:rPr>
          <w:rFonts w:ascii="Garamond" w:hAnsi="Garamond" w:cs="Arial"/>
          <w:sz w:val="24"/>
          <w:szCs w:val="24"/>
        </w:rPr>
        <w:t>a irmã</w:t>
      </w:r>
      <w:r w:rsidR="005777DA" w:rsidRPr="003A1174">
        <w:rPr>
          <w:rFonts w:ascii="Garamond" w:hAnsi="Garamond" w:cs="Arial"/>
          <w:sz w:val="24"/>
          <w:szCs w:val="24"/>
        </w:rPr>
        <w:t>; as</w:t>
      </w:r>
      <w:r w:rsidR="00182585" w:rsidRPr="003A1174">
        <w:rPr>
          <w:rFonts w:ascii="Garamond" w:hAnsi="Garamond" w:cs="Arial"/>
          <w:sz w:val="24"/>
          <w:szCs w:val="24"/>
        </w:rPr>
        <w:t>sim</w:t>
      </w:r>
      <w:r w:rsidR="005777DA" w:rsidRPr="003A1174">
        <w:rPr>
          <w:rFonts w:ascii="Garamond" w:hAnsi="Garamond" w:cs="Arial"/>
          <w:sz w:val="24"/>
          <w:szCs w:val="24"/>
        </w:rPr>
        <w:t xml:space="preserve"> </w:t>
      </w:r>
      <w:r w:rsidR="007C5D4E">
        <w:rPr>
          <w:rFonts w:ascii="Garamond" w:hAnsi="Garamond" w:cs="Arial"/>
          <w:sz w:val="24"/>
          <w:szCs w:val="24"/>
        </w:rPr>
        <w:t>como uma</w:t>
      </w:r>
      <w:r w:rsidR="00182585" w:rsidRPr="003A1174">
        <w:rPr>
          <w:rFonts w:ascii="Garamond" w:hAnsi="Garamond" w:cs="Arial"/>
          <w:sz w:val="24"/>
          <w:szCs w:val="24"/>
        </w:rPr>
        <w:t xml:space="preserve"> sentença suprema</w:t>
      </w:r>
      <w:r w:rsidR="005777DA" w:rsidRPr="003A1174">
        <w:rPr>
          <w:rFonts w:ascii="Garamond" w:hAnsi="Garamond" w:cs="Arial"/>
          <w:sz w:val="24"/>
          <w:szCs w:val="24"/>
        </w:rPr>
        <w:t xml:space="preserve"> </w:t>
      </w:r>
      <w:r w:rsidR="00182585" w:rsidRPr="003A1174">
        <w:rPr>
          <w:rFonts w:ascii="Garamond" w:hAnsi="Garamond" w:cs="Arial"/>
          <w:sz w:val="24"/>
          <w:szCs w:val="24"/>
        </w:rPr>
        <w:t xml:space="preserve">anulou </w:t>
      </w:r>
      <w:r w:rsidR="005777DA" w:rsidRPr="003A1174">
        <w:rPr>
          <w:rFonts w:ascii="Garamond" w:hAnsi="Garamond" w:cs="Arial"/>
          <w:sz w:val="24"/>
          <w:szCs w:val="24"/>
        </w:rPr>
        <w:t xml:space="preserve">as </w:t>
      </w:r>
      <w:r w:rsidR="005D38DC" w:rsidRPr="003A1174">
        <w:rPr>
          <w:rFonts w:ascii="Garamond" w:hAnsi="Garamond" w:cs="Arial"/>
          <w:sz w:val="24"/>
          <w:szCs w:val="24"/>
        </w:rPr>
        <w:t>decisões</w:t>
      </w:r>
      <w:r w:rsidR="005777DA" w:rsidRPr="003A1174">
        <w:rPr>
          <w:rFonts w:ascii="Garamond" w:hAnsi="Garamond" w:cs="Arial"/>
          <w:sz w:val="24"/>
          <w:szCs w:val="24"/>
        </w:rPr>
        <w:t xml:space="preserve"> de </w:t>
      </w:r>
      <w:r w:rsidR="0017447A" w:rsidRPr="003A1174">
        <w:rPr>
          <w:rFonts w:ascii="Garamond" w:hAnsi="Garamond" w:cs="Arial"/>
          <w:sz w:val="24"/>
          <w:szCs w:val="24"/>
        </w:rPr>
        <w:t>outras</w:t>
      </w:r>
      <w:r w:rsidR="005777DA" w:rsidRPr="003A1174">
        <w:rPr>
          <w:rFonts w:ascii="Garamond" w:hAnsi="Garamond" w:cs="Arial"/>
          <w:sz w:val="24"/>
          <w:szCs w:val="24"/>
        </w:rPr>
        <w:t xml:space="preserve"> </w:t>
      </w:r>
      <w:r w:rsidR="00FB09CA" w:rsidRPr="003A1174">
        <w:rPr>
          <w:rFonts w:ascii="Garamond" w:hAnsi="Garamond" w:cs="Arial"/>
          <w:sz w:val="24"/>
          <w:szCs w:val="24"/>
        </w:rPr>
        <w:t>instância</w:t>
      </w:r>
      <w:r w:rsidR="005777DA" w:rsidRPr="003A1174">
        <w:rPr>
          <w:rFonts w:ascii="Garamond" w:hAnsi="Garamond" w:cs="Arial"/>
          <w:sz w:val="24"/>
          <w:szCs w:val="24"/>
        </w:rPr>
        <w:t xml:space="preserve">s </w:t>
      </w:r>
      <w:r w:rsidR="002D1021" w:rsidRPr="003A1174">
        <w:rPr>
          <w:rFonts w:ascii="Garamond" w:hAnsi="Garamond" w:cs="Arial"/>
          <w:sz w:val="24"/>
          <w:szCs w:val="24"/>
        </w:rPr>
        <w:t>judiciais</w:t>
      </w:r>
      <w:r w:rsidR="007C5D4E">
        <w:rPr>
          <w:rFonts w:ascii="Garamond" w:hAnsi="Garamond" w:cs="Arial"/>
          <w:sz w:val="24"/>
          <w:szCs w:val="24"/>
        </w:rPr>
        <w:t>,</w:t>
      </w:r>
      <w:r w:rsidR="005777DA" w:rsidRPr="003A1174">
        <w:rPr>
          <w:rFonts w:ascii="Garamond" w:hAnsi="Garamond" w:cs="Arial"/>
          <w:sz w:val="24"/>
          <w:szCs w:val="24"/>
        </w:rPr>
        <w:t xml:space="preserve"> que </w:t>
      </w:r>
      <w:r w:rsidR="00182585" w:rsidRPr="003A1174">
        <w:rPr>
          <w:rFonts w:ascii="Garamond" w:hAnsi="Garamond" w:cs="Arial"/>
          <w:sz w:val="24"/>
          <w:szCs w:val="24"/>
        </w:rPr>
        <w:t xml:space="preserve">tinham </w:t>
      </w:r>
      <w:r w:rsidR="002A59E7" w:rsidRPr="003A1174">
        <w:rPr>
          <w:rFonts w:ascii="Garamond" w:hAnsi="Garamond" w:cs="Arial"/>
          <w:sz w:val="24"/>
          <w:szCs w:val="24"/>
        </w:rPr>
        <w:t>qualificado</w:t>
      </w:r>
      <w:r w:rsidR="00182585" w:rsidRPr="003A1174">
        <w:rPr>
          <w:rFonts w:ascii="Garamond" w:hAnsi="Garamond" w:cs="Arial"/>
          <w:sz w:val="24"/>
          <w:szCs w:val="24"/>
        </w:rPr>
        <w:t xml:space="preserve"> </w:t>
      </w:r>
      <w:r w:rsidR="005777DA" w:rsidRPr="003A1174">
        <w:rPr>
          <w:rFonts w:ascii="Garamond" w:hAnsi="Garamond" w:cs="Arial"/>
          <w:sz w:val="24"/>
          <w:szCs w:val="24"/>
        </w:rPr>
        <w:t>esta infr</w:t>
      </w:r>
      <w:r w:rsidR="00077461" w:rsidRPr="003A1174">
        <w:rPr>
          <w:rFonts w:ascii="Garamond" w:hAnsi="Garamond" w:cs="Arial"/>
          <w:sz w:val="24"/>
          <w:szCs w:val="24"/>
        </w:rPr>
        <w:t>ação</w:t>
      </w:r>
      <w:r w:rsidR="005777DA" w:rsidRPr="003A1174">
        <w:rPr>
          <w:rFonts w:ascii="Garamond" w:hAnsi="Garamond" w:cs="Arial"/>
          <w:sz w:val="24"/>
          <w:szCs w:val="24"/>
        </w:rPr>
        <w:t xml:space="preserve"> de </w:t>
      </w:r>
      <w:r>
        <w:rPr>
          <w:rFonts w:ascii="Garamond" w:hAnsi="Garamond" w:cs="Arial"/>
          <w:sz w:val="24"/>
          <w:szCs w:val="24"/>
        </w:rPr>
        <w:t>«</w:t>
      </w:r>
      <w:r w:rsidR="00182585" w:rsidRPr="003A1174">
        <w:rPr>
          <w:rFonts w:ascii="Garamond" w:hAnsi="Garamond" w:cs="Arial"/>
          <w:sz w:val="24"/>
          <w:szCs w:val="24"/>
        </w:rPr>
        <w:t>insignificante</w:t>
      </w:r>
      <w:r>
        <w:rPr>
          <w:rFonts w:ascii="Garamond" w:hAnsi="Garamond" w:cs="Arial"/>
          <w:sz w:val="24"/>
          <w:szCs w:val="24"/>
        </w:rPr>
        <w:t>»</w:t>
      </w:r>
      <w:r w:rsidR="005777DA" w:rsidRPr="003A1174">
        <w:rPr>
          <w:rFonts w:ascii="Garamond" w:hAnsi="Garamond" w:cs="Arial"/>
          <w:sz w:val="24"/>
          <w:szCs w:val="24"/>
        </w:rPr>
        <w:t xml:space="preserve">, considerando que </w:t>
      </w:r>
      <w:r w:rsidR="007C5D4E">
        <w:rPr>
          <w:rFonts w:ascii="Garamond" w:hAnsi="Garamond" w:cs="Arial"/>
          <w:sz w:val="24"/>
          <w:szCs w:val="24"/>
        </w:rPr>
        <w:t xml:space="preserve">se se devia aplicar </w:t>
      </w:r>
      <w:r w:rsidR="00182585" w:rsidRPr="003A1174">
        <w:rPr>
          <w:rFonts w:ascii="Garamond" w:hAnsi="Garamond" w:cs="Arial"/>
          <w:sz w:val="24"/>
          <w:szCs w:val="24"/>
        </w:rPr>
        <w:t>ao agressor um</w:t>
      </w:r>
      <w:r w:rsidR="005777DA" w:rsidRPr="003A1174">
        <w:rPr>
          <w:rFonts w:ascii="Garamond" w:hAnsi="Garamond" w:cs="Arial"/>
          <w:sz w:val="24"/>
          <w:szCs w:val="24"/>
        </w:rPr>
        <w:t>a condena</w:t>
      </w:r>
      <w:r w:rsidR="00182585" w:rsidRPr="003A1174">
        <w:rPr>
          <w:rFonts w:ascii="Garamond" w:hAnsi="Garamond" w:cs="Arial"/>
          <w:sz w:val="24"/>
          <w:szCs w:val="24"/>
        </w:rPr>
        <w:t xml:space="preserve">ção </w:t>
      </w:r>
      <w:r w:rsidR="005C2020" w:rsidRPr="003A1174">
        <w:rPr>
          <w:rFonts w:ascii="Garamond" w:hAnsi="Garamond" w:cs="Arial"/>
          <w:sz w:val="24"/>
          <w:szCs w:val="24"/>
        </w:rPr>
        <w:t>pelo</w:t>
      </w:r>
      <w:r w:rsidR="005777DA" w:rsidRPr="003A1174">
        <w:rPr>
          <w:rFonts w:ascii="Garamond" w:hAnsi="Garamond" w:cs="Arial"/>
          <w:sz w:val="24"/>
          <w:szCs w:val="24"/>
        </w:rPr>
        <w:t xml:space="preserve"> delito de </w:t>
      </w:r>
      <w:r w:rsidR="007342D9" w:rsidRPr="003A1174">
        <w:rPr>
          <w:rFonts w:ascii="Garamond" w:hAnsi="Garamond" w:cs="Arial"/>
          <w:sz w:val="24"/>
          <w:szCs w:val="24"/>
        </w:rPr>
        <w:t>lesões</w:t>
      </w:r>
      <w:r w:rsidR="005777DA" w:rsidRPr="003A1174">
        <w:rPr>
          <w:rFonts w:ascii="Garamond" w:hAnsi="Garamond" w:cs="Arial"/>
          <w:sz w:val="24"/>
          <w:szCs w:val="24"/>
        </w:rPr>
        <w:t xml:space="preserve"> </w:t>
      </w:r>
      <w:r w:rsidR="005275B0" w:rsidRPr="003A1174">
        <w:rPr>
          <w:rFonts w:ascii="Garamond" w:hAnsi="Garamond" w:cs="Arial"/>
          <w:sz w:val="24"/>
          <w:szCs w:val="24"/>
        </w:rPr>
        <w:t>pessoais</w:t>
      </w:r>
      <w:r w:rsidR="005777DA" w:rsidRPr="003A1174">
        <w:rPr>
          <w:rFonts w:ascii="Garamond" w:hAnsi="Garamond" w:cs="Arial"/>
          <w:sz w:val="24"/>
          <w:szCs w:val="24"/>
        </w:rPr>
        <w:t xml:space="preserve">. </w:t>
      </w:r>
      <w:r w:rsidR="00182585" w:rsidRPr="003A1174">
        <w:rPr>
          <w:rFonts w:ascii="Garamond" w:hAnsi="Garamond" w:cs="Arial"/>
          <w:sz w:val="24"/>
          <w:szCs w:val="24"/>
        </w:rPr>
        <w:t xml:space="preserve">É necessário </w:t>
      </w:r>
      <w:r w:rsidR="00B362DF">
        <w:rPr>
          <w:rFonts w:ascii="Garamond" w:hAnsi="Garamond" w:cs="Arial"/>
          <w:sz w:val="24"/>
          <w:szCs w:val="24"/>
        </w:rPr>
        <w:t xml:space="preserve">frisar </w:t>
      </w:r>
      <w:r w:rsidR="00E86FBA" w:rsidRPr="003A1174">
        <w:rPr>
          <w:rFonts w:ascii="Garamond" w:hAnsi="Garamond" w:cs="Arial"/>
          <w:sz w:val="24"/>
          <w:szCs w:val="24"/>
        </w:rPr>
        <w:t>de</w:t>
      </w:r>
      <w:r w:rsidR="00182585" w:rsidRPr="003A1174">
        <w:rPr>
          <w:rFonts w:ascii="Garamond" w:hAnsi="Garamond" w:cs="Arial"/>
          <w:sz w:val="24"/>
          <w:szCs w:val="24"/>
        </w:rPr>
        <w:t xml:space="preserve"> que </w:t>
      </w:r>
      <w:r w:rsidR="005777DA" w:rsidRPr="003A1174">
        <w:rPr>
          <w:rFonts w:ascii="Garamond" w:hAnsi="Garamond" w:cs="Arial"/>
          <w:sz w:val="24"/>
          <w:szCs w:val="24"/>
        </w:rPr>
        <w:t xml:space="preserve">a </w:t>
      </w:r>
      <w:r w:rsidR="00FC1F7F" w:rsidRPr="003A1174">
        <w:rPr>
          <w:rFonts w:ascii="Garamond" w:hAnsi="Garamond" w:cs="Arial"/>
          <w:sz w:val="24"/>
          <w:szCs w:val="24"/>
        </w:rPr>
        <w:t>sentença</w:t>
      </w:r>
      <w:r w:rsidR="005777DA" w:rsidRPr="003A1174">
        <w:rPr>
          <w:rFonts w:ascii="Garamond" w:hAnsi="Garamond" w:cs="Arial"/>
          <w:sz w:val="24"/>
          <w:szCs w:val="24"/>
        </w:rPr>
        <w:t xml:space="preserve"> </w:t>
      </w:r>
      <w:r w:rsidR="00E45CCF" w:rsidRPr="003A1174">
        <w:rPr>
          <w:rFonts w:ascii="Garamond" w:hAnsi="Garamond" w:cs="Arial"/>
          <w:sz w:val="24"/>
          <w:szCs w:val="24"/>
        </w:rPr>
        <w:t>de cassação</w:t>
      </w:r>
      <w:r w:rsidR="005777DA" w:rsidRPr="003A1174">
        <w:rPr>
          <w:rFonts w:ascii="Garamond" w:hAnsi="Garamond" w:cs="Arial"/>
          <w:sz w:val="24"/>
          <w:szCs w:val="24"/>
        </w:rPr>
        <w:t xml:space="preserve"> d</w:t>
      </w:r>
      <w:r w:rsidR="00935298">
        <w:rPr>
          <w:rFonts w:ascii="Garamond" w:hAnsi="Garamond" w:cs="Arial"/>
          <w:sz w:val="24"/>
          <w:szCs w:val="24"/>
        </w:rPr>
        <w:t>o</w:t>
      </w:r>
      <w:r w:rsidR="005777DA" w:rsidRPr="003A1174">
        <w:rPr>
          <w:rFonts w:ascii="Garamond" w:hAnsi="Garamond" w:cs="Arial"/>
          <w:sz w:val="24"/>
          <w:szCs w:val="24"/>
        </w:rPr>
        <w:t xml:space="preserve"> Suprem</w:t>
      </w:r>
      <w:r w:rsidR="00935298">
        <w:rPr>
          <w:rFonts w:ascii="Garamond" w:hAnsi="Garamond" w:cs="Arial"/>
          <w:sz w:val="24"/>
          <w:szCs w:val="24"/>
        </w:rPr>
        <w:t>o Tribunal</w:t>
      </w:r>
      <w:r w:rsidR="005777DA" w:rsidRPr="003A1174">
        <w:rPr>
          <w:rFonts w:ascii="Garamond" w:hAnsi="Garamond" w:cs="Arial"/>
          <w:sz w:val="24"/>
          <w:szCs w:val="24"/>
        </w:rPr>
        <w:t xml:space="preserve"> invoc</w:t>
      </w:r>
      <w:r w:rsidR="00E45CCF" w:rsidRPr="003A1174">
        <w:rPr>
          <w:rFonts w:ascii="Garamond" w:hAnsi="Garamond" w:cs="Arial"/>
          <w:sz w:val="24"/>
          <w:szCs w:val="24"/>
        </w:rPr>
        <w:t xml:space="preserve">ou </w:t>
      </w:r>
      <w:r w:rsidR="005777DA" w:rsidRPr="003A1174">
        <w:rPr>
          <w:rFonts w:ascii="Garamond" w:hAnsi="Garamond" w:cs="Arial"/>
          <w:sz w:val="24"/>
          <w:szCs w:val="24"/>
        </w:rPr>
        <w:t xml:space="preserve">normas </w:t>
      </w:r>
      <w:r w:rsidR="00190B59" w:rsidRPr="003A1174">
        <w:rPr>
          <w:rFonts w:ascii="Garamond" w:hAnsi="Garamond" w:cs="Arial"/>
          <w:sz w:val="24"/>
          <w:szCs w:val="24"/>
        </w:rPr>
        <w:t>nacionais</w:t>
      </w:r>
      <w:r w:rsidR="005777DA" w:rsidRPr="003A1174">
        <w:rPr>
          <w:rFonts w:ascii="Garamond" w:hAnsi="Garamond" w:cs="Arial"/>
          <w:sz w:val="24"/>
          <w:szCs w:val="24"/>
        </w:rPr>
        <w:t xml:space="preserve"> e </w:t>
      </w:r>
      <w:r w:rsidR="00EF645F" w:rsidRPr="003A1174">
        <w:rPr>
          <w:rFonts w:ascii="Garamond" w:hAnsi="Garamond" w:cs="Arial"/>
          <w:sz w:val="24"/>
          <w:szCs w:val="24"/>
        </w:rPr>
        <w:t>internacionais</w:t>
      </w:r>
      <w:r w:rsidR="005777DA" w:rsidRPr="003A1174">
        <w:rPr>
          <w:rFonts w:ascii="Garamond" w:hAnsi="Garamond" w:cs="Arial"/>
          <w:sz w:val="24"/>
          <w:szCs w:val="24"/>
        </w:rPr>
        <w:t xml:space="preserve"> de </w:t>
      </w:r>
      <w:r w:rsidR="00886D6A" w:rsidRPr="003A1174">
        <w:rPr>
          <w:rFonts w:ascii="Garamond" w:hAnsi="Garamond" w:cs="Arial"/>
          <w:sz w:val="24"/>
          <w:szCs w:val="24"/>
        </w:rPr>
        <w:t>proteção</w:t>
      </w:r>
      <w:r w:rsidR="00E45CCF" w:rsidRPr="003A1174">
        <w:rPr>
          <w:rFonts w:ascii="Garamond" w:hAnsi="Garamond" w:cs="Arial"/>
          <w:sz w:val="24"/>
          <w:szCs w:val="24"/>
        </w:rPr>
        <w:t xml:space="preserve"> a</w:t>
      </w:r>
      <w:r w:rsidR="005777DA" w:rsidRPr="003A1174">
        <w:rPr>
          <w:rFonts w:ascii="Garamond" w:hAnsi="Garamond" w:cs="Arial"/>
          <w:sz w:val="24"/>
          <w:szCs w:val="24"/>
        </w:rPr>
        <w:t xml:space="preserve">os </w:t>
      </w:r>
      <w:r w:rsidR="00886D6A" w:rsidRPr="003A1174">
        <w:rPr>
          <w:rFonts w:ascii="Garamond" w:hAnsi="Garamond" w:cs="Arial"/>
          <w:sz w:val="24"/>
          <w:szCs w:val="24"/>
        </w:rPr>
        <w:t>direito</w:t>
      </w:r>
      <w:r w:rsidR="005777DA" w:rsidRPr="003A1174">
        <w:rPr>
          <w:rFonts w:ascii="Garamond" w:hAnsi="Garamond" w:cs="Arial"/>
          <w:sz w:val="24"/>
          <w:szCs w:val="24"/>
        </w:rPr>
        <w:t xml:space="preserve">s </w:t>
      </w:r>
      <w:r w:rsidR="00497503" w:rsidRPr="003A1174">
        <w:rPr>
          <w:rFonts w:ascii="Garamond" w:hAnsi="Garamond" w:cs="Arial"/>
          <w:sz w:val="24"/>
          <w:szCs w:val="24"/>
        </w:rPr>
        <w:t>das</w:t>
      </w:r>
      <w:r w:rsidR="005777DA" w:rsidRPr="003A1174">
        <w:rPr>
          <w:rFonts w:ascii="Garamond" w:hAnsi="Garamond" w:cs="Arial"/>
          <w:sz w:val="24"/>
          <w:szCs w:val="24"/>
        </w:rPr>
        <w:t xml:space="preserve"> </w:t>
      </w:r>
      <w:r w:rsidR="00054EE0" w:rsidRPr="003A1174">
        <w:rPr>
          <w:rFonts w:ascii="Garamond" w:hAnsi="Garamond" w:cs="Arial"/>
          <w:sz w:val="24"/>
          <w:szCs w:val="24"/>
        </w:rPr>
        <w:t>mulheres</w:t>
      </w:r>
      <w:r w:rsidR="005777DA" w:rsidRPr="003A1174">
        <w:rPr>
          <w:rFonts w:ascii="Garamond" w:hAnsi="Garamond" w:cs="Arial"/>
          <w:sz w:val="24"/>
          <w:szCs w:val="24"/>
        </w:rPr>
        <w:t xml:space="preserve"> para concluir que </w:t>
      </w:r>
      <w:r w:rsidR="00E45CCF" w:rsidRPr="003A1174">
        <w:rPr>
          <w:rFonts w:ascii="Garamond" w:hAnsi="Garamond" w:cs="Arial"/>
          <w:sz w:val="24"/>
          <w:szCs w:val="24"/>
        </w:rPr>
        <w:t xml:space="preserve">o </w:t>
      </w:r>
      <w:r w:rsidR="005777DA" w:rsidRPr="003A1174">
        <w:rPr>
          <w:rFonts w:ascii="Garamond" w:hAnsi="Garamond" w:cs="Arial"/>
          <w:sz w:val="24"/>
          <w:szCs w:val="24"/>
        </w:rPr>
        <w:t xml:space="preserve">delito cometido </w:t>
      </w:r>
      <w:r w:rsidR="00E45CCF" w:rsidRPr="003A1174">
        <w:rPr>
          <w:rFonts w:ascii="Garamond" w:hAnsi="Garamond" w:cs="Arial"/>
          <w:sz w:val="24"/>
          <w:szCs w:val="24"/>
        </w:rPr>
        <w:t>era</w:t>
      </w:r>
      <w:r w:rsidR="007C5D4E">
        <w:rPr>
          <w:rFonts w:ascii="Garamond" w:hAnsi="Garamond" w:cs="Arial"/>
          <w:sz w:val="24"/>
          <w:szCs w:val="24"/>
        </w:rPr>
        <w:t>,</w:t>
      </w:r>
      <w:r w:rsidR="00E45CCF" w:rsidRPr="003A1174">
        <w:rPr>
          <w:rFonts w:ascii="Garamond" w:hAnsi="Garamond" w:cs="Arial"/>
          <w:sz w:val="24"/>
          <w:szCs w:val="24"/>
        </w:rPr>
        <w:t xml:space="preserve"> </w:t>
      </w:r>
      <w:r w:rsidR="005777DA" w:rsidRPr="003A1174">
        <w:rPr>
          <w:rFonts w:ascii="Garamond" w:hAnsi="Garamond" w:cs="Arial"/>
          <w:sz w:val="24"/>
          <w:szCs w:val="24"/>
        </w:rPr>
        <w:t>suficiente</w:t>
      </w:r>
      <w:r w:rsidR="00E45CCF" w:rsidRPr="003A1174">
        <w:rPr>
          <w:rFonts w:ascii="Garamond" w:hAnsi="Garamond" w:cs="Arial"/>
          <w:sz w:val="24"/>
          <w:szCs w:val="24"/>
        </w:rPr>
        <w:t>mente</w:t>
      </w:r>
      <w:r w:rsidR="005777DA" w:rsidRPr="003A1174">
        <w:rPr>
          <w:rFonts w:ascii="Garamond" w:hAnsi="Garamond" w:cs="Arial"/>
          <w:sz w:val="24"/>
          <w:szCs w:val="24"/>
        </w:rPr>
        <w:t xml:space="preserve"> </w:t>
      </w:r>
      <w:r w:rsidR="00983C71" w:rsidRPr="003A1174">
        <w:rPr>
          <w:rFonts w:ascii="Garamond" w:hAnsi="Garamond" w:cs="Arial"/>
          <w:sz w:val="24"/>
          <w:szCs w:val="24"/>
        </w:rPr>
        <w:t>grav</w:t>
      </w:r>
      <w:r w:rsidR="00E45CCF" w:rsidRPr="003A1174">
        <w:rPr>
          <w:rFonts w:ascii="Garamond" w:hAnsi="Garamond" w:cs="Arial"/>
          <w:sz w:val="24"/>
          <w:szCs w:val="24"/>
        </w:rPr>
        <w:t>e</w:t>
      </w:r>
      <w:r w:rsidR="007C5D4E">
        <w:rPr>
          <w:rFonts w:ascii="Garamond" w:hAnsi="Garamond" w:cs="Arial"/>
          <w:sz w:val="24"/>
          <w:szCs w:val="24"/>
        </w:rPr>
        <w:t>,</w:t>
      </w:r>
      <w:r w:rsidR="00E45CCF" w:rsidRPr="003A1174">
        <w:rPr>
          <w:rFonts w:ascii="Garamond" w:hAnsi="Garamond" w:cs="Arial"/>
          <w:sz w:val="24"/>
          <w:szCs w:val="24"/>
        </w:rPr>
        <w:t xml:space="preserve"> </w:t>
      </w:r>
      <w:r w:rsidR="005777DA" w:rsidRPr="003A1174">
        <w:rPr>
          <w:rFonts w:ascii="Garamond" w:hAnsi="Garamond" w:cs="Arial"/>
          <w:sz w:val="24"/>
          <w:szCs w:val="24"/>
        </w:rPr>
        <w:t xml:space="preserve">para </w:t>
      </w:r>
      <w:r w:rsidR="00E45CCF" w:rsidRPr="003A1174">
        <w:rPr>
          <w:rFonts w:ascii="Garamond" w:hAnsi="Garamond" w:cs="Arial"/>
          <w:sz w:val="24"/>
          <w:szCs w:val="24"/>
        </w:rPr>
        <w:t xml:space="preserve">tornar </w:t>
      </w:r>
      <w:r w:rsidR="007578C6" w:rsidRPr="003A1174">
        <w:rPr>
          <w:rFonts w:ascii="Garamond" w:hAnsi="Garamond" w:cs="Arial"/>
          <w:sz w:val="24"/>
          <w:szCs w:val="24"/>
        </w:rPr>
        <w:t>necessária</w:t>
      </w:r>
      <w:r w:rsidR="00E45CCF" w:rsidRPr="003A1174">
        <w:rPr>
          <w:rFonts w:ascii="Garamond" w:hAnsi="Garamond" w:cs="Arial"/>
          <w:sz w:val="24"/>
          <w:szCs w:val="24"/>
        </w:rPr>
        <w:t xml:space="preserve"> </w:t>
      </w:r>
      <w:r w:rsidR="005777DA" w:rsidRPr="003A1174">
        <w:rPr>
          <w:rFonts w:ascii="Garamond" w:hAnsi="Garamond" w:cs="Arial"/>
          <w:sz w:val="24"/>
          <w:szCs w:val="24"/>
        </w:rPr>
        <w:t>a condena</w:t>
      </w:r>
      <w:r w:rsidR="00E45CCF" w:rsidRPr="003A1174">
        <w:rPr>
          <w:rFonts w:ascii="Garamond" w:hAnsi="Garamond" w:cs="Arial"/>
          <w:sz w:val="24"/>
          <w:szCs w:val="24"/>
        </w:rPr>
        <w:t>ção</w:t>
      </w:r>
      <w:r w:rsidR="005777DA" w:rsidRPr="003A1174">
        <w:rPr>
          <w:rFonts w:ascii="Garamond" w:hAnsi="Garamond" w:cs="Arial"/>
          <w:sz w:val="24"/>
          <w:szCs w:val="24"/>
        </w:rPr>
        <w:t xml:space="preserve"> penal, </w:t>
      </w:r>
      <w:r w:rsidR="00E45CCF" w:rsidRPr="003A1174">
        <w:rPr>
          <w:rFonts w:ascii="Garamond" w:hAnsi="Garamond" w:cs="Arial"/>
          <w:sz w:val="24"/>
          <w:szCs w:val="24"/>
        </w:rPr>
        <w:t>uma vez que se tratav</w:t>
      </w:r>
      <w:r w:rsidR="005777DA" w:rsidRPr="003A1174">
        <w:rPr>
          <w:rFonts w:ascii="Garamond" w:hAnsi="Garamond" w:cs="Arial"/>
          <w:sz w:val="24"/>
          <w:szCs w:val="24"/>
        </w:rPr>
        <w:t xml:space="preserve">a de </w:t>
      </w:r>
      <w:r w:rsidR="000350B1" w:rsidRPr="003A1174">
        <w:rPr>
          <w:rFonts w:ascii="Garamond" w:hAnsi="Garamond" w:cs="Arial"/>
          <w:sz w:val="24"/>
          <w:szCs w:val="24"/>
        </w:rPr>
        <w:t>violência</w:t>
      </w:r>
      <w:r w:rsidR="00E45CCF" w:rsidRPr="003A1174">
        <w:rPr>
          <w:rFonts w:ascii="Garamond" w:hAnsi="Garamond" w:cs="Arial"/>
          <w:sz w:val="24"/>
          <w:szCs w:val="24"/>
        </w:rPr>
        <w:t xml:space="preserve"> contra </w:t>
      </w:r>
      <w:r w:rsidR="005777DA" w:rsidRPr="003A1174">
        <w:rPr>
          <w:rFonts w:ascii="Garamond" w:hAnsi="Garamond" w:cs="Arial"/>
          <w:sz w:val="24"/>
          <w:szCs w:val="24"/>
        </w:rPr>
        <w:t xml:space="preserve">a </w:t>
      </w:r>
      <w:r w:rsidR="00AF192F" w:rsidRPr="003A1174">
        <w:rPr>
          <w:rFonts w:ascii="Garamond" w:hAnsi="Garamond" w:cs="Arial"/>
          <w:sz w:val="24"/>
          <w:szCs w:val="24"/>
        </w:rPr>
        <w:t>mulher</w:t>
      </w:r>
      <w:r w:rsidR="005777DA" w:rsidRPr="003A1174">
        <w:rPr>
          <w:rFonts w:ascii="Garamond" w:hAnsi="Garamond" w:cs="Arial"/>
          <w:sz w:val="24"/>
          <w:szCs w:val="24"/>
        </w:rPr>
        <w:t xml:space="preserve">, </w:t>
      </w:r>
      <w:r w:rsidR="007C5D4E">
        <w:rPr>
          <w:rFonts w:ascii="Garamond" w:hAnsi="Garamond" w:cs="Arial"/>
          <w:sz w:val="24"/>
          <w:szCs w:val="24"/>
        </w:rPr>
        <w:t xml:space="preserve">grupo </w:t>
      </w:r>
      <w:r w:rsidR="005777DA" w:rsidRPr="003A1174">
        <w:rPr>
          <w:rFonts w:ascii="Garamond" w:hAnsi="Garamond" w:cs="Arial"/>
          <w:sz w:val="24"/>
          <w:szCs w:val="24"/>
        </w:rPr>
        <w:t xml:space="preserve">de especial </w:t>
      </w:r>
      <w:r w:rsidR="00886D6A" w:rsidRPr="003A1174">
        <w:rPr>
          <w:rFonts w:ascii="Garamond" w:hAnsi="Garamond" w:cs="Arial"/>
          <w:sz w:val="24"/>
          <w:szCs w:val="24"/>
        </w:rPr>
        <w:t>proteção</w:t>
      </w:r>
      <w:r w:rsidR="005777DA" w:rsidRPr="003A1174">
        <w:rPr>
          <w:rFonts w:ascii="Garamond" w:hAnsi="Garamond" w:cs="Arial"/>
          <w:sz w:val="24"/>
          <w:szCs w:val="24"/>
        </w:rPr>
        <w:t xml:space="preserve"> constitucional</w:t>
      </w:r>
      <w:r w:rsidR="007C5D4E">
        <w:rPr>
          <w:rFonts w:ascii="Garamond" w:hAnsi="Garamond" w:cs="Arial"/>
          <w:sz w:val="24"/>
          <w:szCs w:val="24"/>
        </w:rPr>
        <w:t>,</w:t>
      </w:r>
      <w:r w:rsidR="005777DA" w:rsidRPr="003A1174">
        <w:rPr>
          <w:rFonts w:ascii="Garamond" w:hAnsi="Garamond" w:cs="Arial"/>
          <w:sz w:val="24"/>
          <w:szCs w:val="24"/>
        </w:rPr>
        <w:t xml:space="preserve"> dada </w:t>
      </w:r>
      <w:r w:rsidR="00E45CCF" w:rsidRPr="003A1174">
        <w:rPr>
          <w:rFonts w:ascii="Garamond" w:hAnsi="Garamond" w:cs="Arial"/>
          <w:sz w:val="24"/>
          <w:szCs w:val="24"/>
        </w:rPr>
        <w:t xml:space="preserve">a </w:t>
      </w:r>
      <w:r w:rsidR="005777DA" w:rsidRPr="003A1174">
        <w:rPr>
          <w:rFonts w:ascii="Garamond" w:hAnsi="Garamond" w:cs="Arial"/>
          <w:sz w:val="24"/>
          <w:szCs w:val="24"/>
        </w:rPr>
        <w:t>su</w:t>
      </w:r>
      <w:r w:rsidR="00E45CCF" w:rsidRPr="003A1174">
        <w:rPr>
          <w:rFonts w:ascii="Garamond" w:hAnsi="Garamond" w:cs="Arial"/>
          <w:sz w:val="24"/>
          <w:szCs w:val="24"/>
        </w:rPr>
        <w:t>a</w:t>
      </w:r>
      <w:r w:rsidR="005777DA" w:rsidRPr="003A1174">
        <w:rPr>
          <w:rFonts w:ascii="Garamond" w:hAnsi="Garamond" w:cs="Arial"/>
          <w:sz w:val="24"/>
          <w:szCs w:val="24"/>
        </w:rPr>
        <w:t xml:space="preserve"> </w:t>
      </w:r>
      <w:r w:rsidR="004E3A1A" w:rsidRPr="003A1174">
        <w:rPr>
          <w:rFonts w:ascii="Garamond" w:hAnsi="Garamond" w:cs="Arial"/>
          <w:sz w:val="24"/>
          <w:szCs w:val="24"/>
        </w:rPr>
        <w:t>vulnerabilidade</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17447A" w:rsidRPr="003A1174">
        <w:rPr>
          <w:rFonts w:ascii="Garamond" w:hAnsi="Garamond" w:cs="Arial"/>
          <w:sz w:val="24"/>
          <w:szCs w:val="24"/>
        </w:rPr>
        <w:t>discriminação</w:t>
      </w:r>
      <w:r w:rsidR="005777DA" w:rsidRPr="003A1174">
        <w:rPr>
          <w:rFonts w:ascii="Garamond" w:hAnsi="Garamond" w:cs="Arial"/>
          <w:sz w:val="24"/>
          <w:szCs w:val="24"/>
        </w:rPr>
        <w:t xml:space="preserve"> histórica.</w:t>
      </w:r>
    </w:p>
    <w:p w:rsidR="005777DA" w:rsidRPr="003A1174" w:rsidRDefault="00E45CCF" w:rsidP="00E45CCF">
      <w:pPr>
        <w:spacing w:before="240" w:line="240" w:lineRule="auto"/>
        <w:jc w:val="both"/>
        <w:rPr>
          <w:rFonts w:ascii="Garamond" w:hAnsi="Garamond" w:cs="Arial"/>
          <w:sz w:val="24"/>
          <w:szCs w:val="24"/>
        </w:rPr>
      </w:pPr>
      <w:r w:rsidRPr="003A1174">
        <w:rPr>
          <w:rFonts w:ascii="Garamond" w:hAnsi="Garamond" w:cs="Arial"/>
          <w:sz w:val="24"/>
          <w:szCs w:val="24"/>
        </w:rPr>
        <w:t>R</w:t>
      </w:r>
      <w:r w:rsidR="00D96FD0" w:rsidRPr="003A1174">
        <w:rPr>
          <w:rFonts w:ascii="Garamond" w:hAnsi="Garamond" w:cs="Arial"/>
          <w:sz w:val="24"/>
          <w:szCs w:val="24"/>
        </w:rPr>
        <w:t>efere</w:t>
      </w:r>
      <w:r w:rsidRPr="003A1174">
        <w:rPr>
          <w:rFonts w:ascii="Garamond" w:hAnsi="Garamond" w:cs="Arial"/>
          <w:sz w:val="24"/>
          <w:szCs w:val="24"/>
        </w:rPr>
        <w:t>-se</w:t>
      </w:r>
      <w:r w:rsidR="007C5D4E">
        <w:rPr>
          <w:rFonts w:ascii="Garamond" w:hAnsi="Garamond" w:cs="Arial"/>
          <w:sz w:val="24"/>
          <w:szCs w:val="24"/>
        </w:rPr>
        <w:t>,</w:t>
      </w:r>
      <w:r w:rsidRPr="003A1174">
        <w:rPr>
          <w:rFonts w:ascii="Garamond" w:hAnsi="Garamond" w:cs="Arial"/>
          <w:sz w:val="24"/>
          <w:szCs w:val="24"/>
        </w:rPr>
        <w:t xml:space="preserve"> igualmente</w:t>
      </w:r>
      <w:r w:rsidR="007C5D4E">
        <w:rPr>
          <w:rFonts w:ascii="Garamond" w:hAnsi="Garamond" w:cs="Arial"/>
          <w:sz w:val="24"/>
          <w:szCs w:val="24"/>
        </w:rPr>
        <w:t>,</w:t>
      </w:r>
      <w:r w:rsidRPr="003A1174">
        <w:rPr>
          <w:rFonts w:ascii="Garamond" w:hAnsi="Garamond" w:cs="Arial"/>
          <w:sz w:val="24"/>
          <w:szCs w:val="24"/>
        </w:rPr>
        <w:t xml:space="preserve"> </w:t>
      </w:r>
      <w:r w:rsidR="005777DA" w:rsidRPr="003A1174">
        <w:rPr>
          <w:rFonts w:ascii="Garamond" w:hAnsi="Garamond" w:cs="Arial"/>
          <w:sz w:val="24"/>
          <w:szCs w:val="24"/>
        </w:rPr>
        <w:t xml:space="preserve">a </w:t>
      </w:r>
      <w:r w:rsidR="00FC1F7F" w:rsidRPr="003A1174">
        <w:rPr>
          <w:rFonts w:ascii="Garamond" w:hAnsi="Garamond" w:cs="Arial"/>
          <w:sz w:val="24"/>
          <w:szCs w:val="24"/>
        </w:rPr>
        <w:t>Sentença</w:t>
      </w:r>
      <w:r w:rsidR="005777DA" w:rsidRPr="003A1174">
        <w:rPr>
          <w:rFonts w:ascii="Garamond" w:hAnsi="Garamond" w:cs="Arial"/>
          <w:sz w:val="24"/>
          <w:szCs w:val="24"/>
        </w:rPr>
        <w:t xml:space="preserve"> T-006/14</w:t>
      </w:r>
      <w:r w:rsidR="00B55F67" w:rsidRPr="003A1174">
        <w:rPr>
          <w:rFonts w:ascii="Garamond" w:hAnsi="Garamond" w:cs="Arial"/>
          <w:sz w:val="24"/>
          <w:szCs w:val="24"/>
        </w:rPr>
        <w:t>,</w:t>
      </w:r>
      <w:r w:rsidR="005777DA" w:rsidRPr="003A1174">
        <w:rPr>
          <w:rFonts w:ascii="Garamond" w:hAnsi="Garamond" w:cs="Arial"/>
          <w:sz w:val="24"/>
          <w:szCs w:val="24"/>
        </w:rPr>
        <w:t xml:space="preserve"> de 30 de </w:t>
      </w:r>
      <w:r w:rsidR="00B936A7" w:rsidRPr="003A1174">
        <w:rPr>
          <w:rFonts w:ascii="Garamond" w:hAnsi="Garamond" w:cs="Arial"/>
          <w:sz w:val="24"/>
          <w:szCs w:val="24"/>
        </w:rPr>
        <w:t>janeiro</w:t>
      </w:r>
      <w:r w:rsidR="005777DA" w:rsidRPr="003A1174">
        <w:rPr>
          <w:rFonts w:ascii="Garamond" w:hAnsi="Garamond" w:cs="Arial"/>
          <w:sz w:val="24"/>
          <w:szCs w:val="24"/>
        </w:rPr>
        <w:t xml:space="preserve"> de 2014, emitida </w:t>
      </w:r>
      <w:r w:rsidR="00275092" w:rsidRPr="003A1174">
        <w:rPr>
          <w:rFonts w:ascii="Garamond" w:hAnsi="Garamond" w:cs="Arial"/>
          <w:sz w:val="24"/>
          <w:szCs w:val="24"/>
        </w:rPr>
        <w:t>pel</w:t>
      </w:r>
      <w:r w:rsidR="00935298">
        <w:rPr>
          <w:rFonts w:ascii="Garamond" w:hAnsi="Garamond" w:cs="Arial"/>
          <w:sz w:val="24"/>
          <w:szCs w:val="24"/>
        </w:rPr>
        <w:t>o</w:t>
      </w:r>
      <w:r w:rsidR="002B33D4">
        <w:rPr>
          <w:rFonts w:ascii="Garamond" w:hAnsi="Garamond" w:cs="Arial"/>
          <w:sz w:val="24"/>
          <w:szCs w:val="24"/>
        </w:rPr>
        <w:t xml:space="preserve"> </w:t>
      </w:r>
      <w:r w:rsidR="00935298">
        <w:rPr>
          <w:rFonts w:ascii="Garamond" w:hAnsi="Garamond" w:cs="Arial"/>
          <w:sz w:val="24"/>
          <w:szCs w:val="24"/>
        </w:rPr>
        <w:t>Tribunal</w:t>
      </w:r>
      <w:r w:rsidR="005777DA" w:rsidRPr="003A1174">
        <w:rPr>
          <w:rFonts w:ascii="Garamond" w:hAnsi="Garamond" w:cs="Arial"/>
          <w:sz w:val="24"/>
          <w:szCs w:val="24"/>
        </w:rPr>
        <w:t xml:space="preserve"> Constitucional d</w:t>
      </w:r>
      <w:r w:rsidR="00935298">
        <w:rPr>
          <w:rFonts w:ascii="Garamond" w:hAnsi="Garamond" w:cs="Arial"/>
          <w:sz w:val="24"/>
          <w:szCs w:val="24"/>
        </w:rPr>
        <w:t>a</w:t>
      </w:r>
      <w:r w:rsidR="005777DA" w:rsidRPr="003A1174">
        <w:rPr>
          <w:rFonts w:ascii="Garamond" w:hAnsi="Garamond" w:cs="Arial"/>
          <w:sz w:val="24"/>
          <w:szCs w:val="24"/>
        </w:rPr>
        <w:t xml:space="preserve"> </w:t>
      </w:r>
      <w:r w:rsidR="0017447A" w:rsidRPr="003A1174">
        <w:rPr>
          <w:rFonts w:ascii="Garamond" w:hAnsi="Garamond" w:cs="Arial"/>
          <w:sz w:val="24"/>
          <w:szCs w:val="24"/>
        </w:rPr>
        <w:t>Colômbia</w:t>
      </w:r>
      <w:r w:rsidR="005777DA" w:rsidRPr="003A1174">
        <w:rPr>
          <w:rFonts w:ascii="Garamond" w:hAnsi="Garamond" w:cs="Arial"/>
          <w:sz w:val="24"/>
          <w:szCs w:val="24"/>
        </w:rPr>
        <w:t>, e</w:t>
      </w:r>
      <w:r w:rsidRPr="003A1174">
        <w:rPr>
          <w:rFonts w:ascii="Garamond" w:hAnsi="Garamond" w:cs="Arial"/>
          <w:sz w:val="24"/>
          <w:szCs w:val="24"/>
        </w:rPr>
        <w:t>m</w:t>
      </w:r>
      <w:r w:rsidR="005777DA" w:rsidRPr="003A1174">
        <w:rPr>
          <w:rFonts w:ascii="Garamond" w:hAnsi="Garamond" w:cs="Arial"/>
          <w:sz w:val="24"/>
          <w:szCs w:val="24"/>
        </w:rPr>
        <w:t xml:space="preserve"> </w:t>
      </w:r>
      <w:r w:rsidRPr="003A1174">
        <w:rPr>
          <w:rFonts w:ascii="Garamond" w:hAnsi="Garamond" w:cs="Arial"/>
          <w:sz w:val="24"/>
          <w:szCs w:val="24"/>
        </w:rPr>
        <w:t>virtude</w:t>
      </w:r>
      <w:r w:rsidR="005777DA" w:rsidRPr="003A1174">
        <w:rPr>
          <w:rFonts w:ascii="Garamond" w:hAnsi="Garamond" w:cs="Arial"/>
          <w:sz w:val="24"/>
          <w:szCs w:val="24"/>
        </w:rPr>
        <w:t xml:space="preserve"> da </w:t>
      </w:r>
      <w:r w:rsidR="00077461" w:rsidRPr="003A1174">
        <w:rPr>
          <w:rFonts w:ascii="Garamond" w:hAnsi="Garamond" w:cs="Arial"/>
          <w:sz w:val="24"/>
          <w:szCs w:val="24"/>
        </w:rPr>
        <w:t>ação</w:t>
      </w:r>
      <w:r w:rsidRPr="003A1174">
        <w:rPr>
          <w:rFonts w:ascii="Garamond" w:hAnsi="Garamond" w:cs="Arial"/>
          <w:sz w:val="24"/>
          <w:szCs w:val="24"/>
        </w:rPr>
        <w:t xml:space="preserve"> de tutela instaurada por um</w:t>
      </w:r>
      <w:r w:rsidR="005777DA" w:rsidRPr="003A1174">
        <w:rPr>
          <w:rFonts w:ascii="Garamond" w:hAnsi="Garamond" w:cs="Arial"/>
          <w:sz w:val="24"/>
          <w:szCs w:val="24"/>
        </w:rPr>
        <w:t xml:space="preserve">a </w:t>
      </w:r>
      <w:r w:rsidR="00AF192F" w:rsidRPr="003A1174">
        <w:rPr>
          <w:rFonts w:ascii="Garamond" w:hAnsi="Garamond" w:cs="Arial"/>
          <w:sz w:val="24"/>
          <w:szCs w:val="24"/>
        </w:rPr>
        <w:t>mulher</w:t>
      </w:r>
      <w:r w:rsidR="005777DA" w:rsidRPr="003A1174">
        <w:rPr>
          <w:rFonts w:ascii="Garamond" w:hAnsi="Garamond" w:cs="Arial"/>
          <w:sz w:val="24"/>
          <w:szCs w:val="24"/>
        </w:rPr>
        <w:t xml:space="preserve"> </w:t>
      </w:r>
      <w:r w:rsidR="003F012B" w:rsidRPr="003A1174">
        <w:rPr>
          <w:rFonts w:ascii="Garamond" w:hAnsi="Garamond" w:cs="Arial"/>
          <w:sz w:val="24"/>
          <w:szCs w:val="24"/>
        </w:rPr>
        <w:t>vítima</w:t>
      </w:r>
      <w:r w:rsidR="005777DA" w:rsidRPr="003A1174">
        <w:rPr>
          <w:rFonts w:ascii="Garamond" w:hAnsi="Garamond" w:cs="Arial"/>
          <w:sz w:val="24"/>
          <w:szCs w:val="24"/>
        </w:rPr>
        <w:t xml:space="preserve"> de </w:t>
      </w:r>
      <w:r w:rsidRPr="003A1174">
        <w:rPr>
          <w:rFonts w:ascii="Garamond" w:hAnsi="Garamond" w:cs="Arial"/>
          <w:sz w:val="24"/>
          <w:szCs w:val="24"/>
        </w:rPr>
        <w:t>deslocação</w:t>
      </w:r>
      <w:r w:rsidR="005777DA" w:rsidRPr="003A1174">
        <w:rPr>
          <w:rFonts w:ascii="Garamond" w:hAnsi="Garamond" w:cs="Arial"/>
          <w:sz w:val="24"/>
          <w:szCs w:val="24"/>
        </w:rPr>
        <w:t xml:space="preserve"> </w:t>
      </w:r>
      <w:r w:rsidRPr="003A1174">
        <w:rPr>
          <w:rFonts w:ascii="Garamond" w:hAnsi="Garamond" w:cs="Arial"/>
          <w:sz w:val="24"/>
          <w:szCs w:val="24"/>
        </w:rPr>
        <w:t>forçada</w:t>
      </w:r>
      <w:r w:rsidR="005170DD" w:rsidRPr="003A1174">
        <w:rPr>
          <w:rFonts w:ascii="Garamond" w:hAnsi="Garamond" w:cs="Arial"/>
          <w:sz w:val="24"/>
          <w:szCs w:val="24"/>
        </w:rPr>
        <w:t>,</w:t>
      </w:r>
      <w:r w:rsidR="005777DA" w:rsidRPr="003A1174">
        <w:rPr>
          <w:rFonts w:ascii="Garamond" w:hAnsi="Garamond" w:cs="Arial"/>
          <w:sz w:val="24"/>
          <w:szCs w:val="24"/>
        </w:rPr>
        <w:t xml:space="preserve"> a qu</w:t>
      </w:r>
      <w:r w:rsidRPr="003A1174">
        <w:rPr>
          <w:rFonts w:ascii="Garamond" w:hAnsi="Garamond" w:cs="Arial"/>
          <w:sz w:val="24"/>
          <w:szCs w:val="24"/>
        </w:rPr>
        <w:t xml:space="preserve">em </w:t>
      </w:r>
      <w:r w:rsidR="005777DA" w:rsidRPr="003A1174">
        <w:rPr>
          <w:rFonts w:ascii="Garamond" w:hAnsi="Garamond" w:cs="Arial"/>
          <w:sz w:val="24"/>
          <w:szCs w:val="24"/>
        </w:rPr>
        <w:t>a Unidad</w:t>
      </w:r>
      <w:r w:rsidRPr="003A1174">
        <w:rPr>
          <w:rFonts w:ascii="Garamond" w:hAnsi="Garamond" w:cs="Arial"/>
          <w:sz w:val="24"/>
          <w:szCs w:val="24"/>
        </w:rPr>
        <w:t xml:space="preserve">e Administrativa Especial para </w:t>
      </w:r>
      <w:r w:rsidR="005777DA" w:rsidRPr="003A1174">
        <w:rPr>
          <w:rFonts w:ascii="Garamond" w:hAnsi="Garamond" w:cs="Arial"/>
          <w:sz w:val="24"/>
          <w:szCs w:val="24"/>
        </w:rPr>
        <w:t xml:space="preserve">a </w:t>
      </w:r>
      <w:r w:rsidR="008278C4" w:rsidRPr="003A1174">
        <w:rPr>
          <w:rFonts w:ascii="Garamond" w:hAnsi="Garamond" w:cs="Arial"/>
          <w:sz w:val="24"/>
          <w:szCs w:val="24"/>
        </w:rPr>
        <w:t>Atenção</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AE3F78" w:rsidRPr="003A1174">
        <w:rPr>
          <w:rFonts w:ascii="Garamond" w:hAnsi="Garamond" w:cs="Arial"/>
          <w:sz w:val="24"/>
          <w:szCs w:val="24"/>
        </w:rPr>
        <w:t>Compensação</w:t>
      </w:r>
      <w:r w:rsidR="005777DA" w:rsidRPr="003A1174">
        <w:rPr>
          <w:rFonts w:ascii="Garamond" w:hAnsi="Garamond" w:cs="Arial"/>
          <w:sz w:val="24"/>
          <w:szCs w:val="24"/>
        </w:rPr>
        <w:t xml:space="preserve"> </w:t>
      </w:r>
      <w:r w:rsidR="00497503" w:rsidRPr="003A1174">
        <w:rPr>
          <w:rFonts w:ascii="Garamond" w:hAnsi="Garamond" w:cs="Arial"/>
          <w:sz w:val="24"/>
          <w:szCs w:val="24"/>
        </w:rPr>
        <w:t>das</w:t>
      </w:r>
      <w:r w:rsidR="005777DA"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violou os </w:t>
      </w:r>
      <w:r w:rsidR="005777DA" w:rsidRPr="003A1174">
        <w:rPr>
          <w:rFonts w:ascii="Garamond" w:hAnsi="Garamond" w:cs="Arial"/>
          <w:sz w:val="24"/>
          <w:szCs w:val="24"/>
        </w:rPr>
        <w:t>s</w:t>
      </w:r>
      <w:r w:rsidRPr="003A1174">
        <w:rPr>
          <w:rFonts w:ascii="Garamond" w:hAnsi="Garamond" w:cs="Arial"/>
          <w:sz w:val="24"/>
          <w:szCs w:val="24"/>
        </w:rPr>
        <w:t>e</w:t>
      </w:r>
      <w:r w:rsidR="005777DA" w:rsidRPr="003A1174">
        <w:rPr>
          <w:rFonts w:ascii="Garamond" w:hAnsi="Garamond" w:cs="Arial"/>
          <w:sz w:val="24"/>
          <w:szCs w:val="24"/>
        </w:rPr>
        <w:t xml:space="preserve">us </w:t>
      </w:r>
      <w:r w:rsidR="00886D6A" w:rsidRPr="003A1174">
        <w:rPr>
          <w:rFonts w:ascii="Garamond" w:hAnsi="Garamond" w:cs="Arial"/>
          <w:sz w:val="24"/>
          <w:szCs w:val="24"/>
        </w:rPr>
        <w:t>direito</w:t>
      </w:r>
      <w:r w:rsidR="005777DA" w:rsidRPr="003A1174">
        <w:rPr>
          <w:rFonts w:ascii="Garamond" w:hAnsi="Garamond" w:cs="Arial"/>
          <w:sz w:val="24"/>
          <w:szCs w:val="24"/>
        </w:rPr>
        <w:t xml:space="preserve">s </w:t>
      </w:r>
      <w:r w:rsidR="00CA633E" w:rsidRPr="003A1174">
        <w:rPr>
          <w:rFonts w:ascii="Garamond" w:hAnsi="Garamond" w:cs="Arial"/>
          <w:sz w:val="24"/>
          <w:szCs w:val="24"/>
        </w:rPr>
        <w:t>fundamentais</w:t>
      </w:r>
      <w:r w:rsidR="007C5D4E">
        <w:rPr>
          <w:rFonts w:ascii="Garamond" w:hAnsi="Garamond" w:cs="Arial"/>
          <w:sz w:val="24"/>
          <w:szCs w:val="24"/>
        </w:rPr>
        <w:t>,</w:t>
      </w:r>
      <w:r w:rsidR="005777DA" w:rsidRPr="003A1174">
        <w:rPr>
          <w:rFonts w:ascii="Garamond" w:hAnsi="Garamond" w:cs="Arial"/>
          <w:sz w:val="24"/>
          <w:szCs w:val="24"/>
        </w:rPr>
        <w:t xml:space="preserve"> a</w:t>
      </w:r>
      <w:r w:rsidRPr="003A1174">
        <w:rPr>
          <w:rFonts w:ascii="Garamond" w:hAnsi="Garamond" w:cs="Arial"/>
          <w:sz w:val="24"/>
          <w:szCs w:val="24"/>
        </w:rPr>
        <w:t>o</w:t>
      </w:r>
      <w:r w:rsidR="005777DA" w:rsidRPr="003A1174">
        <w:rPr>
          <w:rFonts w:ascii="Garamond" w:hAnsi="Garamond" w:cs="Arial"/>
          <w:sz w:val="24"/>
          <w:szCs w:val="24"/>
        </w:rPr>
        <w:t xml:space="preserve"> negar </w:t>
      </w:r>
      <w:r w:rsidRPr="003A1174">
        <w:rPr>
          <w:rFonts w:ascii="Garamond" w:hAnsi="Garamond" w:cs="Arial"/>
          <w:sz w:val="24"/>
          <w:szCs w:val="24"/>
        </w:rPr>
        <w:t xml:space="preserve">a </w:t>
      </w:r>
      <w:r w:rsidR="005777DA" w:rsidRPr="003A1174">
        <w:rPr>
          <w:rFonts w:ascii="Garamond" w:hAnsi="Garamond" w:cs="Arial"/>
          <w:sz w:val="24"/>
          <w:szCs w:val="24"/>
        </w:rPr>
        <w:t>su</w:t>
      </w:r>
      <w:r w:rsidRPr="003A1174">
        <w:rPr>
          <w:rFonts w:ascii="Garamond" w:hAnsi="Garamond" w:cs="Arial"/>
          <w:sz w:val="24"/>
          <w:szCs w:val="24"/>
        </w:rPr>
        <w:t>a</w:t>
      </w:r>
      <w:r w:rsidR="005777DA" w:rsidRPr="003A1174">
        <w:rPr>
          <w:rFonts w:ascii="Garamond" w:hAnsi="Garamond" w:cs="Arial"/>
          <w:sz w:val="24"/>
          <w:szCs w:val="24"/>
        </w:rPr>
        <w:t xml:space="preserve"> </w:t>
      </w:r>
      <w:r w:rsidRPr="003A1174">
        <w:rPr>
          <w:rFonts w:ascii="Garamond" w:hAnsi="Garamond" w:cs="Arial"/>
          <w:sz w:val="24"/>
          <w:szCs w:val="24"/>
        </w:rPr>
        <w:t>inscrição</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5777DA" w:rsidRPr="003A1174">
        <w:rPr>
          <w:rFonts w:ascii="Garamond" w:hAnsi="Garamond" w:cs="Arial"/>
          <w:sz w:val="24"/>
          <w:szCs w:val="24"/>
        </w:rPr>
        <w:t>a d</w:t>
      </w:r>
      <w:r w:rsidRPr="003A1174">
        <w:rPr>
          <w:rFonts w:ascii="Garamond" w:hAnsi="Garamond" w:cs="Arial"/>
          <w:sz w:val="24"/>
          <w:szCs w:val="24"/>
        </w:rPr>
        <w:t xml:space="preserve">o seu </w:t>
      </w:r>
      <w:r w:rsidR="005777DA" w:rsidRPr="003A1174">
        <w:rPr>
          <w:rFonts w:ascii="Garamond" w:hAnsi="Garamond" w:cs="Arial"/>
          <w:sz w:val="24"/>
          <w:szCs w:val="24"/>
        </w:rPr>
        <w:t>grupo familiar</w:t>
      </w:r>
      <w:r w:rsidR="007C5D4E">
        <w:rPr>
          <w:rFonts w:ascii="Garamond" w:hAnsi="Garamond" w:cs="Arial"/>
          <w:sz w:val="24"/>
          <w:szCs w:val="24"/>
        </w:rPr>
        <w:t>,</w:t>
      </w:r>
      <w:r w:rsidR="005777DA" w:rsidRPr="003A1174">
        <w:rPr>
          <w:rFonts w:ascii="Garamond" w:hAnsi="Garamond" w:cs="Arial"/>
          <w:sz w:val="24"/>
          <w:szCs w:val="24"/>
        </w:rPr>
        <w:t xml:space="preserve"> </w:t>
      </w:r>
      <w:r w:rsidRPr="003A1174">
        <w:rPr>
          <w:rFonts w:ascii="Garamond" w:hAnsi="Garamond" w:cs="Arial"/>
          <w:sz w:val="24"/>
          <w:szCs w:val="24"/>
        </w:rPr>
        <w:t xml:space="preserve">no </w:t>
      </w:r>
      <w:r w:rsidR="00077461" w:rsidRPr="003A1174">
        <w:rPr>
          <w:rFonts w:ascii="Garamond" w:hAnsi="Garamond" w:cs="Arial"/>
          <w:sz w:val="24"/>
          <w:szCs w:val="24"/>
        </w:rPr>
        <w:t>Registo</w:t>
      </w:r>
      <w:r w:rsidR="005777DA" w:rsidRPr="003A1174">
        <w:rPr>
          <w:rFonts w:ascii="Garamond" w:hAnsi="Garamond" w:cs="Arial"/>
          <w:sz w:val="24"/>
          <w:szCs w:val="24"/>
        </w:rPr>
        <w:t xml:space="preserve"> Único de </w:t>
      </w:r>
      <w:r w:rsidR="003F012B" w:rsidRPr="003A1174">
        <w:rPr>
          <w:rFonts w:ascii="Garamond" w:hAnsi="Garamond" w:cs="Arial"/>
          <w:sz w:val="24"/>
          <w:szCs w:val="24"/>
        </w:rPr>
        <w:t>Vítima</w:t>
      </w:r>
      <w:r w:rsidR="005777DA" w:rsidRPr="003A1174">
        <w:rPr>
          <w:rFonts w:ascii="Garamond" w:hAnsi="Garamond" w:cs="Arial"/>
          <w:sz w:val="24"/>
          <w:szCs w:val="24"/>
        </w:rPr>
        <w:t xml:space="preserve">s (RUV), </w:t>
      </w:r>
      <w:r w:rsidR="005170DD" w:rsidRPr="003A1174">
        <w:rPr>
          <w:rFonts w:ascii="Garamond" w:hAnsi="Garamond" w:cs="Arial"/>
          <w:sz w:val="24"/>
          <w:szCs w:val="24"/>
        </w:rPr>
        <w:t>co</w:t>
      </w:r>
      <w:r w:rsidRPr="003A1174">
        <w:rPr>
          <w:rFonts w:ascii="Garamond" w:hAnsi="Garamond" w:cs="Arial"/>
          <w:sz w:val="24"/>
          <w:szCs w:val="24"/>
        </w:rPr>
        <w:t xml:space="preserve">m o </w:t>
      </w:r>
      <w:r w:rsidR="005777DA" w:rsidRPr="003A1174">
        <w:rPr>
          <w:rFonts w:ascii="Garamond" w:hAnsi="Garamond" w:cs="Arial"/>
          <w:sz w:val="24"/>
          <w:szCs w:val="24"/>
        </w:rPr>
        <w:t xml:space="preserve">argumento </w:t>
      </w:r>
      <w:r w:rsidR="005170DD" w:rsidRPr="003A1174">
        <w:rPr>
          <w:rFonts w:ascii="Garamond" w:hAnsi="Garamond" w:cs="Arial"/>
          <w:sz w:val="24"/>
          <w:szCs w:val="24"/>
        </w:rPr>
        <w:t xml:space="preserve">de </w:t>
      </w:r>
      <w:r w:rsidR="005777DA" w:rsidRPr="003A1174">
        <w:rPr>
          <w:rFonts w:ascii="Garamond" w:hAnsi="Garamond" w:cs="Arial"/>
          <w:sz w:val="24"/>
          <w:szCs w:val="24"/>
        </w:rPr>
        <w:t>que</w:t>
      </w:r>
      <w:r w:rsidRPr="003A1174">
        <w:rPr>
          <w:rFonts w:ascii="Garamond" w:hAnsi="Garamond" w:cs="Arial"/>
          <w:sz w:val="24"/>
          <w:szCs w:val="24"/>
        </w:rPr>
        <w:t xml:space="preserve"> a</w:t>
      </w:r>
      <w:r w:rsidR="005777DA" w:rsidRPr="003A1174">
        <w:rPr>
          <w:rFonts w:ascii="Garamond" w:hAnsi="Garamond" w:cs="Arial"/>
          <w:sz w:val="24"/>
          <w:szCs w:val="24"/>
        </w:rPr>
        <w:t xml:space="preserve"> su</w:t>
      </w:r>
      <w:r w:rsidRPr="003A1174">
        <w:rPr>
          <w:rFonts w:ascii="Garamond" w:hAnsi="Garamond" w:cs="Arial"/>
          <w:sz w:val="24"/>
          <w:szCs w:val="24"/>
        </w:rPr>
        <w:t>a</w:t>
      </w:r>
      <w:r w:rsidR="005777DA" w:rsidRPr="003A1174">
        <w:rPr>
          <w:rFonts w:ascii="Garamond" w:hAnsi="Garamond" w:cs="Arial"/>
          <w:sz w:val="24"/>
          <w:szCs w:val="24"/>
        </w:rPr>
        <w:t xml:space="preserve"> </w:t>
      </w:r>
      <w:r w:rsidRPr="003A1174">
        <w:rPr>
          <w:rFonts w:ascii="Garamond" w:hAnsi="Garamond" w:cs="Arial"/>
          <w:sz w:val="24"/>
          <w:szCs w:val="24"/>
        </w:rPr>
        <w:t>deslocação</w:t>
      </w:r>
      <w:r w:rsidR="005777DA" w:rsidRPr="003A1174">
        <w:rPr>
          <w:rFonts w:ascii="Garamond" w:hAnsi="Garamond" w:cs="Arial"/>
          <w:sz w:val="24"/>
          <w:szCs w:val="24"/>
        </w:rPr>
        <w:t xml:space="preserve"> n</w:t>
      </w:r>
      <w:r w:rsidRPr="003A1174">
        <w:rPr>
          <w:rFonts w:ascii="Garamond" w:hAnsi="Garamond" w:cs="Arial"/>
          <w:sz w:val="24"/>
          <w:szCs w:val="24"/>
        </w:rPr>
        <w:t>ã</w:t>
      </w:r>
      <w:r w:rsidR="005777DA" w:rsidRPr="003A1174">
        <w:rPr>
          <w:rFonts w:ascii="Garamond" w:hAnsi="Garamond" w:cs="Arial"/>
          <w:sz w:val="24"/>
          <w:szCs w:val="24"/>
        </w:rPr>
        <w:t xml:space="preserve">o </w:t>
      </w:r>
      <w:r w:rsidR="00462B11" w:rsidRPr="003A1174">
        <w:rPr>
          <w:rFonts w:ascii="Garamond" w:hAnsi="Garamond" w:cs="Arial"/>
          <w:sz w:val="24"/>
          <w:szCs w:val="24"/>
        </w:rPr>
        <w:t>foi</w:t>
      </w:r>
      <w:r w:rsidRPr="003A1174">
        <w:rPr>
          <w:rFonts w:ascii="Garamond" w:hAnsi="Garamond" w:cs="Arial"/>
          <w:sz w:val="24"/>
          <w:szCs w:val="24"/>
        </w:rPr>
        <w:t xml:space="preserve"> causada</w:t>
      </w:r>
      <w:r w:rsidR="005777DA" w:rsidRPr="003A1174">
        <w:rPr>
          <w:rFonts w:ascii="Garamond" w:hAnsi="Garamond" w:cs="Arial"/>
          <w:sz w:val="24"/>
          <w:szCs w:val="24"/>
        </w:rPr>
        <w:t xml:space="preserve"> </w:t>
      </w:r>
      <w:r w:rsidR="00275092" w:rsidRPr="003A1174">
        <w:rPr>
          <w:rFonts w:ascii="Garamond" w:hAnsi="Garamond" w:cs="Arial"/>
          <w:sz w:val="24"/>
          <w:szCs w:val="24"/>
        </w:rPr>
        <w:t>pela</w:t>
      </w:r>
      <w:r w:rsidR="005777DA" w:rsidRPr="003A1174">
        <w:rPr>
          <w:rFonts w:ascii="Garamond" w:hAnsi="Garamond" w:cs="Arial"/>
          <w:sz w:val="24"/>
          <w:szCs w:val="24"/>
        </w:rPr>
        <w:t xml:space="preserve"> </w:t>
      </w:r>
      <w:r w:rsidR="00077461" w:rsidRPr="003A1174">
        <w:rPr>
          <w:rFonts w:ascii="Garamond" w:hAnsi="Garamond" w:cs="Arial"/>
          <w:sz w:val="24"/>
          <w:szCs w:val="24"/>
        </w:rPr>
        <w:t>ação</w:t>
      </w:r>
      <w:r w:rsidR="005777DA" w:rsidRPr="003A1174">
        <w:rPr>
          <w:rFonts w:ascii="Garamond" w:hAnsi="Garamond" w:cs="Arial"/>
          <w:sz w:val="24"/>
          <w:szCs w:val="24"/>
        </w:rPr>
        <w:t xml:space="preserve"> de </w:t>
      </w:r>
      <w:r w:rsidRPr="003A1174">
        <w:rPr>
          <w:rFonts w:ascii="Garamond" w:hAnsi="Garamond" w:cs="Arial"/>
          <w:sz w:val="24"/>
          <w:szCs w:val="24"/>
        </w:rPr>
        <w:t>grupos enquadrado</w:t>
      </w:r>
      <w:r w:rsidR="005777DA" w:rsidRPr="003A1174">
        <w:rPr>
          <w:rFonts w:ascii="Garamond" w:hAnsi="Garamond" w:cs="Arial"/>
          <w:sz w:val="24"/>
          <w:szCs w:val="24"/>
        </w:rPr>
        <w:t xml:space="preserve">s </w:t>
      </w:r>
      <w:r w:rsidRPr="003A1174">
        <w:rPr>
          <w:rFonts w:ascii="Garamond" w:hAnsi="Garamond" w:cs="Arial"/>
          <w:sz w:val="24"/>
          <w:szCs w:val="24"/>
        </w:rPr>
        <w:t>n</w:t>
      </w:r>
      <w:r w:rsidR="005777DA" w:rsidRPr="003A1174">
        <w:rPr>
          <w:rFonts w:ascii="Garamond" w:hAnsi="Garamond" w:cs="Arial"/>
          <w:sz w:val="24"/>
          <w:szCs w:val="24"/>
        </w:rPr>
        <w:t xml:space="preserve">a </w:t>
      </w:r>
      <w:r w:rsidRPr="003A1174">
        <w:rPr>
          <w:rFonts w:ascii="Garamond" w:hAnsi="Garamond" w:cs="Arial"/>
          <w:sz w:val="24"/>
          <w:szCs w:val="24"/>
        </w:rPr>
        <w:t>definição</w:t>
      </w:r>
      <w:r w:rsidR="005777DA" w:rsidRPr="003A1174">
        <w:rPr>
          <w:rFonts w:ascii="Garamond" w:hAnsi="Garamond" w:cs="Arial"/>
          <w:sz w:val="24"/>
          <w:szCs w:val="24"/>
        </w:rPr>
        <w:t xml:space="preserve"> de grupos armados </w:t>
      </w:r>
      <w:r w:rsidRPr="003A1174">
        <w:rPr>
          <w:rFonts w:ascii="Garamond" w:hAnsi="Garamond" w:cs="Arial"/>
          <w:sz w:val="24"/>
          <w:szCs w:val="24"/>
        </w:rPr>
        <w:t xml:space="preserve">à </w:t>
      </w:r>
      <w:r w:rsidR="005777DA" w:rsidRPr="003A1174">
        <w:rPr>
          <w:rFonts w:ascii="Garamond" w:hAnsi="Garamond" w:cs="Arial"/>
          <w:sz w:val="24"/>
          <w:szCs w:val="24"/>
        </w:rPr>
        <w:t>marge</w:t>
      </w:r>
      <w:r w:rsidRPr="003A1174">
        <w:rPr>
          <w:rFonts w:ascii="Garamond" w:hAnsi="Garamond" w:cs="Arial"/>
          <w:sz w:val="24"/>
          <w:szCs w:val="24"/>
        </w:rPr>
        <w:t>m</w:t>
      </w:r>
      <w:r w:rsidR="005777DA" w:rsidRPr="003A1174">
        <w:rPr>
          <w:rFonts w:ascii="Garamond" w:hAnsi="Garamond" w:cs="Arial"/>
          <w:sz w:val="24"/>
          <w:szCs w:val="24"/>
        </w:rPr>
        <w:t xml:space="preserve"> da </w:t>
      </w:r>
      <w:r w:rsidR="00D15AFF" w:rsidRPr="003A1174">
        <w:rPr>
          <w:rFonts w:ascii="Garamond" w:hAnsi="Garamond" w:cs="Arial"/>
          <w:sz w:val="24"/>
          <w:szCs w:val="24"/>
        </w:rPr>
        <w:t>lei</w:t>
      </w:r>
      <w:r w:rsidR="005777DA" w:rsidRPr="003A1174">
        <w:rPr>
          <w:rFonts w:ascii="Garamond" w:hAnsi="Garamond" w:cs="Arial"/>
          <w:sz w:val="24"/>
          <w:szCs w:val="24"/>
        </w:rPr>
        <w:t xml:space="preserve">, </w:t>
      </w:r>
      <w:r w:rsidRPr="003A1174">
        <w:rPr>
          <w:rFonts w:ascii="Garamond" w:hAnsi="Garamond" w:cs="Arial"/>
          <w:sz w:val="24"/>
          <w:szCs w:val="24"/>
        </w:rPr>
        <w:t>mas sim</w:t>
      </w:r>
      <w:r w:rsidR="007C5D4E">
        <w:rPr>
          <w:rFonts w:ascii="Garamond" w:hAnsi="Garamond" w:cs="Arial"/>
          <w:sz w:val="24"/>
          <w:szCs w:val="24"/>
        </w:rPr>
        <w:t>,</w:t>
      </w:r>
      <w:r w:rsidRPr="003A1174">
        <w:rPr>
          <w:rFonts w:ascii="Garamond" w:hAnsi="Garamond" w:cs="Arial"/>
          <w:sz w:val="24"/>
          <w:szCs w:val="24"/>
        </w:rPr>
        <w:t xml:space="preserve"> </w:t>
      </w:r>
      <w:r w:rsidR="005777DA" w:rsidRPr="003A1174">
        <w:rPr>
          <w:rFonts w:ascii="Garamond" w:hAnsi="Garamond" w:cs="Arial"/>
          <w:sz w:val="24"/>
          <w:szCs w:val="24"/>
        </w:rPr>
        <w:t xml:space="preserve">por </w:t>
      </w:r>
      <w:r w:rsidR="001647F2" w:rsidRPr="003A1174">
        <w:rPr>
          <w:rFonts w:ascii="Garamond" w:hAnsi="Garamond" w:cs="Arial"/>
          <w:sz w:val="24"/>
          <w:szCs w:val="24"/>
        </w:rPr>
        <w:t>facto</w:t>
      </w:r>
      <w:r w:rsidR="005777DA" w:rsidRPr="003A1174">
        <w:rPr>
          <w:rFonts w:ascii="Garamond" w:hAnsi="Garamond" w:cs="Arial"/>
          <w:sz w:val="24"/>
          <w:szCs w:val="24"/>
        </w:rPr>
        <w:t xml:space="preserve">s perpetrados </w:t>
      </w:r>
      <w:r w:rsidR="005C2020" w:rsidRPr="003A1174">
        <w:rPr>
          <w:rFonts w:ascii="Garamond" w:hAnsi="Garamond" w:cs="Arial"/>
          <w:sz w:val="24"/>
          <w:szCs w:val="24"/>
        </w:rPr>
        <w:t>pelo</w:t>
      </w:r>
      <w:r w:rsidRPr="003A1174">
        <w:rPr>
          <w:rFonts w:ascii="Garamond" w:hAnsi="Garamond" w:cs="Arial"/>
          <w:sz w:val="24"/>
          <w:szCs w:val="24"/>
        </w:rPr>
        <w:t xml:space="preserve"> grupo denominado </w:t>
      </w:r>
      <w:r w:rsidR="005777DA" w:rsidRPr="003A1174">
        <w:rPr>
          <w:rFonts w:ascii="Garamond" w:hAnsi="Garamond" w:cs="Arial"/>
          <w:i/>
          <w:sz w:val="24"/>
          <w:szCs w:val="24"/>
        </w:rPr>
        <w:t>Águilas Negras</w:t>
      </w:r>
      <w:r w:rsidR="005777DA" w:rsidRPr="003A1174">
        <w:rPr>
          <w:rFonts w:ascii="Garamond" w:hAnsi="Garamond" w:cs="Arial"/>
          <w:sz w:val="24"/>
          <w:szCs w:val="24"/>
        </w:rPr>
        <w:t>, catalogado como u</w:t>
      </w:r>
      <w:r w:rsidRPr="003A1174">
        <w:rPr>
          <w:rFonts w:ascii="Garamond" w:hAnsi="Garamond" w:cs="Arial"/>
          <w:sz w:val="24"/>
          <w:szCs w:val="24"/>
        </w:rPr>
        <w:t>m grupo criminoso</w:t>
      </w:r>
      <w:r w:rsidR="005777DA" w:rsidRPr="003A1174">
        <w:rPr>
          <w:rFonts w:ascii="Garamond" w:hAnsi="Garamond" w:cs="Arial"/>
          <w:sz w:val="24"/>
          <w:szCs w:val="24"/>
        </w:rPr>
        <w:t xml:space="preserve">. </w:t>
      </w:r>
      <w:r w:rsidR="006A293D" w:rsidRPr="003A1174">
        <w:rPr>
          <w:rFonts w:ascii="Garamond" w:hAnsi="Garamond" w:cs="Arial"/>
          <w:sz w:val="24"/>
          <w:szCs w:val="24"/>
        </w:rPr>
        <w:t>A</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respetiva </w:t>
      </w:r>
      <w:r w:rsidR="005777DA" w:rsidRPr="003A1174">
        <w:rPr>
          <w:rFonts w:ascii="Garamond" w:hAnsi="Garamond" w:cs="Arial"/>
          <w:sz w:val="24"/>
          <w:szCs w:val="24"/>
        </w:rPr>
        <w:t xml:space="preserve">Sala Constitucional </w:t>
      </w:r>
      <w:r w:rsidR="006A293D" w:rsidRPr="003A1174">
        <w:rPr>
          <w:rFonts w:ascii="Garamond" w:hAnsi="Garamond" w:cs="Arial"/>
          <w:sz w:val="24"/>
          <w:szCs w:val="24"/>
        </w:rPr>
        <w:t>considerou q</w:t>
      </w:r>
      <w:r w:rsidR="005777DA" w:rsidRPr="003A1174">
        <w:rPr>
          <w:rFonts w:ascii="Garamond" w:hAnsi="Garamond" w:cs="Arial"/>
          <w:sz w:val="24"/>
          <w:szCs w:val="24"/>
        </w:rPr>
        <w:t xml:space="preserve">ue se </w:t>
      </w:r>
      <w:r w:rsidR="006A293D" w:rsidRPr="003A1174">
        <w:rPr>
          <w:rFonts w:ascii="Garamond" w:hAnsi="Garamond" w:cs="Arial"/>
          <w:sz w:val="24"/>
          <w:szCs w:val="24"/>
        </w:rPr>
        <w:t>tinha produzido um</w:t>
      </w:r>
      <w:r w:rsidR="005777DA" w:rsidRPr="003A1174">
        <w:rPr>
          <w:rFonts w:ascii="Garamond" w:hAnsi="Garamond" w:cs="Arial"/>
          <w:sz w:val="24"/>
          <w:szCs w:val="24"/>
        </w:rPr>
        <w:t xml:space="preserve">a </w:t>
      </w:r>
      <w:r w:rsidR="004E3A1A" w:rsidRPr="003A1174">
        <w:rPr>
          <w:rFonts w:ascii="Garamond" w:hAnsi="Garamond" w:cs="Arial"/>
          <w:sz w:val="24"/>
          <w:szCs w:val="24"/>
        </w:rPr>
        <w:t>séria</w:t>
      </w:r>
      <w:r w:rsidR="005777DA" w:rsidRPr="003A1174">
        <w:rPr>
          <w:rFonts w:ascii="Garamond" w:hAnsi="Garamond" w:cs="Arial"/>
          <w:sz w:val="24"/>
          <w:szCs w:val="24"/>
        </w:rPr>
        <w:t xml:space="preserve"> </w:t>
      </w:r>
      <w:r w:rsidR="006A293D" w:rsidRPr="003A1174">
        <w:rPr>
          <w:rFonts w:ascii="Garamond" w:hAnsi="Garamond" w:cs="Arial"/>
          <w:sz w:val="24"/>
          <w:szCs w:val="24"/>
        </w:rPr>
        <w:t>violação</w:t>
      </w:r>
      <w:r w:rsidR="005777DA" w:rsidRPr="003A1174">
        <w:rPr>
          <w:rFonts w:ascii="Garamond" w:hAnsi="Garamond" w:cs="Arial"/>
          <w:sz w:val="24"/>
          <w:szCs w:val="24"/>
        </w:rPr>
        <w:t xml:space="preserve"> </w:t>
      </w:r>
      <w:r w:rsidR="00497503" w:rsidRPr="003A1174">
        <w:rPr>
          <w:rFonts w:ascii="Garamond" w:hAnsi="Garamond" w:cs="Arial"/>
          <w:sz w:val="24"/>
          <w:szCs w:val="24"/>
        </w:rPr>
        <w:t>dos</w:t>
      </w:r>
      <w:r w:rsidR="005777DA" w:rsidRPr="003A1174">
        <w:rPr>
          <w:rFonts w:ascii="Garamond" w:hAnsi="Garamond" w:cs="Arial"/>
          <w:sz w:val="24"/>
          <w:szCs w:val="24"/>
        </w:rPr>
        <w:t xml:space="preserve"> </w:t>
      </w:r>
      <w:r w:rsidR="00886D6A" w:rsidRPr="003A1174">
        <w:rPr>
          <w:rFonts w:ascii="Garamond" w:hAnsi="Garamond" w:cs="Arial"/>
          <w:sz w:val="24"/>
          <w:szCs w:val="24"/>
        </w:rPr>
        <w:t>direito</w:t>
      </w:r>
      <w:r w:rsidR="006A293D" w:rsidRPr="003A1174">
        <w:rPr>
          <w:rFonts w:ascii="Garamond" w:hAnsi="Garamond" w:cs="Arial"/>
          <w:sz w:val="24"/>
          <w:szCs w:val="24"/>
        </w:rPr>
        <w:t>s d</w:t>
      </w:r>
      <w:r w:rsidR="005777DA" w:rsidRPr="003A1174">
        <w:rPr>
          <w:rFonts w:ascii="Garamond" w:hAnsi="Garamond" w:cs="Arial"/>
          <w:sz w:val="24"/>
          <w:szCs w:val="24"/>
        </w:rPr>
        <w:t xml:space="preserve">a </w:t>
      </w:r>
      <w:r w:rsidR="00AF192F" w:rsidRPr="003A1174">
        <w:rPr>
          <w:rFonts w:ascii="Garamond" w:hAnsi="Garamond" w:cs="Arial"/>
          <w:sz w:val="24"/>
          <w:szCs w:val="24"/>
        </w:rPr>
        <w:t>mulher</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da </w:t>
      </w:r>
      <w:r w:rsidR="005777DA" w:rsidRPr="003A1174">
        <w:rPr>
          <w:rFonts w:ascii="Garamond" w:hAnsi="Garamond" w:cs="Arial"/>
          <w:sz w:val="24"/>
          <w:szCs w:val="24"/>
        </w:rPr>
        <w:t>su</w:t>
      </w:r>
      <w:r w:rsidR="006A293D" w:rsidRPr="003A1174">
        <w:rPr>
          <w:rFonts w:ascii="Garamond" w:hAnsi="Garamond" w:cs="Arial"/>
          <w:sz w:val="24"/>
          <w:szCs w:val="24"/>
        </w:rPr>
        <w:t>a</w:t>
      </w:r>
      <w:r w:rsidR="005777DA" w:rsidRPr="003A1174">
        <w:rPr>
          <w:rFonts w:ascii="Garamond" w:hAnsi="Garamond" w:cs="Arial"/>
          <w:sz w:val="24"/>
          <w:szCs w:val="24"/>
        </w:rPr>
        <w:t xml:space="preserve"> </w:t>
      </w:r>
      <w:r w:rsidR="006C7AF1" w:rsidRPr="003A1174">
        <w:rPr>
          <w:rFonts w:ascii="Garamond" w:hAnsi="Garamond" w:cs="Arial"/>
          <w:sz w:val="24"/>
          <w:szCs w:val="24"/>
        </w:rPr>
        <w:t>família</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afirmando </w:t>
      </w:r>
      <w:r w:rsidR="005777DA" w:rsidRPr="003A1174">
        <w:rPr>
          <w:rFonts w:ascii="Garamond" w:hAnsi="Garamond" w:cs="Arial"/>
          <w:sz w:val="24"/>
          <w:szCs w:val="24"/>
        </w:rPr>
        <w:t xml:space="preserve">que </w:t>
      </w:r>
      <w:r w:rsidR="006A293D" w:rsidRPr="003A1174">
        <w:rPr>
          <w:rFonts w:ascii="Garamond" w:hAnsi="Garamond" w:cs="Arial"/>
          <w:sz w:val="24"/>
          <w:szCs w:val="24"/>
        </w:rPr>
        <w:t xml:space="preserve">a sua </w:t>
      </w:r>
      <w:r w:rsidRPr="003A1174">
        <w:rPr>
          <w:rFonts w:ascii="Garamond" w:hAnsi="Garamond" w:cs="Arial"/>
          <w:sz w:val="24"/>
          <w:szCs w:val="24"/>
        </w:rPr>
        <w:t>inscrição</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devia ter sido feita no </w:t>
      </w:r>
      <w:r w:rsidR="00077461" w:rsidRPr="003A1174">
        <w:rPr>
          <w:rFonts w:ascii="Garamond" w:hAnsi="Garamond" w:cs="Arial"/>
          <w:sz w:val="24"/>
          <w:szCs w:val="24"/>
        </w:rPr>
        <w:t>Registo</w:t>
      </w:r>
      <w:r w:rsidR="007C5D4E">
        <w:rPr>
          <w:rFonts w:ascii="Garamond" w:hAnsi="Garamond" w:cs="Arial"/>
          <w:sz w:val="24"/>
          <w:szCs w:val="24"/>
        </w:rPr>
        <w:t>,</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uma vez </w:t>
      </w:r>
      <w:r w:rsidR="00E5151D" w:rsidRPr="003A1174">
        <w:rPr>
          <w:rFonts w:ascii="Garamond" w:hAnsi="Garamond" w:cs="Arial"/>
          <w:sz w:val="24"/>
          <w:szCs w:val="24"/>
        </w:rPr>
        <w:t>que</w:t>
      </w:r>
      <w:r w:rsidR="006A293D" w:rsidRPr="003A1174">
        <w:rPr>
          <w:rFonts w:ascii="Garamond" w:hAnsi="Garamond" w:cs="Arial"/>
          <w:sz w:val="24"/>
          <w:szCs w:val="24"/>
        </w:rPr>
        <w:t xml:space="preserve"> o determinante para </w:t>
      </w:r>
      <w:r w:rsidR="005777DA" w:rsidRPr="003A1174">
        <w:rPr>
          <w:rFonts w:ascii="Garamond" w:hAnsi="Garamond" w:cs="Arial"/>
          <w:sz w:val="24"/>
          <w:szCs w:val="24"/>
        </w:rPr>
        <w:t xml:space="preserve">as </w:t>
      </w:r>
      <w:r w:rsidR="003F012B" w:rsidRPr="003A1174">
        <w:rPr>
          <w:rFonts w:ascii="Garamond" w:hAnsi="Garamond" w:cs="Arial"/>
          <w:sz w:val="24"/>
          <w:szCs w:val="24"/>
        </w:rPr>
        <w:t>vítima</w:t>
      </w:r>
      <w:r w:rsidR="005777DA" w:rsidRPr="003A1174">
        <w:rPr>
          <w:rFonts w:ascii="Garamond" w:hAnsi="Garamond" w:cs="Arial"/>
          <w:sz w:val="24"/>
          <w:szCs w:val="24"/>
        </w:rPr>
        <w:t xml:space="preserve">s de </w:t>
      </w:r>
      <w:r w:rsidRPr="003A1174">
        <w:rPr>
          <w:rFonts w:ascii="Garamond" w:hAnsi="Garamond" w:cs="Arial"/>
          <w:sz w:val="24"/>
          <w:szCs w:val="24"/>
        </w:rPr>
        <w:t>deslocação</w:t>
      </w:r>
      <w:r w:rsidR="005777DA" w:rsidRPr="003A1174">
        <w:rPr>
          <w:rFonts w:ascii="Garamond" w:hAnsi="Garamond" w:cs="Arial"/>
          <w:sz w:val="24"/>
          <w:szCs w:val="24"/>
        </w:rPr>
        <w:t xml:space="preserve"> </w:t>
      </w:r>
      <w:r w:rsidR="006A293D" w:rsidRPr="003A1174">
        <w:rPr>
          <w:rFonts w:ascii="Garamond" w:hAnsi="Garamond" w:cs="Arial"/>
          <w:sz w:val="24"/>
          <w:szCs w:val="24"/>
        </w:rPr>
        <w:t xml:space="preserve">no </w:t>
      </w:r>
      <w:r w:rsidR="00253B1D" w:rsidRPr="003A1174">
        <w:rPr>
          <w:rFonts w:ascii="Garamond" w:hAnsi="Garamond" w:cs="Arial"/>
          <w:sz w:val="24"/>
          <w:szCs w:val="24"/>
        </w:rPr>
        <w:t>quadro</w:t>
      </w:r>
      <w:r w:rsidR="005777DA" w:rsidRPr="003A1174">
        <w:rPr>
          <w:rFonts w:ascii="Garamond" w:hAnsi="Garamond" w:cs="Arial"/>
          <w:sz w:val="24"/>
          <w:szCs w:val="24"/>
        </w:rPr>
        <w:t xml:space="preserve"> </w:t>
      </w:r>
      <w:r w:rsidR="008A3DA2" w:rsidRPr="003A1174">
        <w:rPr>
          <w:rFonts w:ascii="Garamond" w:hAnsi="Garamond" w:cs="Arial"/>
          <w:sz w:val="24"/>
          <w:szCs w:val="24"/>
        </w:rPr>
        <w:t>do</w:t>
      </w:r>
      <w:r w:rsidR="005777DA" w:rsidRPr="003A1174">
        <w:rPr>
          <w:rFonts w:ascii="Garamond" w:hAnsi="Garamond" w:cs="Arial"/>
          <w:sz w:val="24"/>
          <w:szCs w:val="24"/>
        </w:rPr>
        <w:t xml:space="preserve"> </w:t>
      </w:r>
      <w:r w:rsidR="00D15AFF" w:rsidRPr="003A1174">
        <w:rPr>
          <w:rFonts w:ascii="Garamond" w:hAnsi="Garamond" w:cs="Arial"/>
          <w:sz w:val="24"/>
          <w:szCs w:val="24"/>
        </w:rPr>
        <w:t>conflito</w:t>
      </w:r>
      <w:r w:rsidR="005777DA" w:rsidRPr="003A1174">
        <w:rPr>
          <w:rFonts w:ascii="Garamond" w:hAnsi="Garamond" w:cs="Arial"/>
          <w:sz w:val="24"/>
          <w:szCs w:val="24"/>
        </w:rPr>
        <w:t xml:space="preserve"> armado</w:t>
      </w:r>
      <w:proofErr w:type="gramStart"/>
      <w:r w:rsidR="005777DA" w:rsidRPr="003A1174">
        <w:rPr>
          <w:rFonts w:ascii="Garamond" w:hAnsi="Garamond" w:cs="Arial"/>
          <w:sz w:val="24"/>
          <w:szCs w:val="24"/>
        </w:rPr>
        <w:t>, era</w:t>
      </w:r>
      <w:r w:rsidR="006A293D" w:rsidRPr="003A1174">
        <w:rPr>
          <w:rFonts w:ascii="Garamond" w:hAnsi="Garamond" w:cs="Arial"/>
          <w:sz w:val="24"/>
          <w:szCs w:val="24"/>
        </w:rPr>
        <w:t>m</w:t>
      </w:r>
      <w:proofErr w:type="gramEnd"/>
      <w:r w:rsidR="006A293D" w:rsidRPr="003A1174">
        <w:rPr>
          <w:rFonts w:ascii="Garamond" w:hAnsi="Garamond" w:cs="Arial"/>
          <w:sz w:val="24"/>
          <w:szCs w:val="24"/>
        </w:rPr>
        <w:t xml:space="preserve"> </w:t>
      </w:r>
      <w:r w:rsidR="005777DA" w:rsidRPr="003A1174">
        <w:rPr>
          <w:rFonts w:ascii="Garamond" w:hAnsi="Garamond" w:cs="Arial"/>
          <w:sz w:val="24"/>
          <w:szCs w:val="24"/>
        </w:rPr>
        <w:t xml:space="preserve">as </w:t>
      </w:r>
      <w:r w:rsidR="002E2C71" w:rsidRPr="003A1174">
        <w:rPr>
          <w:rFonts w:ascii="Garamond" w:hAnsi="Garamond" w:cs="Arial"/>
          <w:sz w:val="24"/>
          <w:szCs w:val="24"/>
        </w:rPr>
        <w:t>circunstância</w:t>
      </w:r>
      <w:r w:rsidR="005777DA" w:rsidRPr="003A1174">
        <w:rPr>
          <w:rFonts w:ascii="Garamond" w:hAnsi="Garamond" w:cs="Arial"/>
          <w:sz w:val="24"/>
          <w:szCs w:val="24"/>
        </w:rPr>
        <w:t>s objetivas que atraves</w:t>
      </w:r>
      <w:r w:rsidR="006A293D" w:rsidRPr="003A1174">
        <w:rPr>
          <w:rFonts w:ascii="Garamond" w:hAnsi="Garamond" w:cs="Arial"/>
          <w:sz w:val="24"/>
          <w:szCs w:val="24"/>
        </w:rPr>
        <w:t>s</w:t>
      </w:r>
      <w:r w:rsidR="005777DA" w:rsidRPr="003A1174">
        <w:rPr>
          <w:rFonts w:ascii="Garamond" w:hAnsi="Garamond" w:cs="Arial"/>
          <w:sz w:val="24"/>
          <w:szCs w:val="24"/>
        </w:rPr>
        <w:t>a</w:t>
      </w:r>
      <w:r w:rsidR="006A293D" w:rsidRPr="003A1174">
        <w:rPr>
          <w:rFonts w:ascii="Garamond" w:hAnsi="Garamond" w:cs="Arial"/>
          <w:sz w:val="24"/>
          <w:szCs w:val="24"/>
        </w:rPr>
        <w:t xml:space="preserve">vam </w:t>
      </w:r>
      <w:r w:rsidR="00497503" w:rsidRPr="003A1174">
        <w:rPr>
          <w:rFonts w:ascii="Garamond" w:hAnsi="Garamond" w:cs="Arial"/>
          <w:sz w:val="24"/>
          <w:szCs w:val="24"/>
        </w:rPr>
        <w:t>e</w:t>
      </w:r>
      <w:r w:rsidR="005777DA" w:rsidRPr="003A1174">
        <w:rPr>
          <w:rFonts w:ascii="Garamond" w:hAnsi="Garamond" w:cs="Arial"/>
          <w:sz w:val="24"/>
          <w:szCs w:val="24"/>
        </w:rPr>
        <w:t xml:space="preserve"> n</w:t>
      </w:r>
      <w:r w:rsidR="006A293D" w:rsidRPr="003A1174">
        <w:rPr>
          <w:rFonts w:ascii="Garamond" w:hAnsi="Garamond" w:cs="Arial"/>
          <w:sz w:val="24"/>
          <w:szCs w:val="24"/>
        </w:rPr>
        <w:t xml:space="preserve">ão </w:t>
      </w:r>
      <w:r w:rsidR="005777DA" w:rsidRPr="003A1174">
        <w:rPr>
          <w:rFonts w:ascii="Garamond" w:hAnsi="Garamond" w:cs="Arial"/>
          <w:sz w:val="24"/>
          <w:szCs w:val="24"/>
        </w:rPr>
        <w:t xml:space="preserve">os </w:t>
      </w:r>
      <w:r w:rsidR="00BA3CCE" w:rsidRPr="003A1174">
        <w:rPr>
          <w:rFonts w:ascii="Garamond" w:hAnsi="Garamond" w:cs="Arial"/>
          <w:sz w:val="24"/>
          <w:szCs w:val="24"/>
        </w:rPr>
        <w:t>sujeitos</w:t>
      </w:r>
      <w:r w:rsidR="005777DA" w:rsidRPr="003A1174">
        <w:rPr>
          <w:rFonts w:ascii="Garamond" w:hAnsi="Garamond" w:cs="Arial"/>
          <w:sz w:val="24"/>
          <w:szCs w:val="24"/>
        </w:rPr>
        <w:t xml:space="preserve"> </w:t>
      </w:r>
      <w:r w:rsidR="006A293D" w:rsidRPr="003A1174">
        <w:rPr>
          <w:rFonts w:ascii="Garamond" w:hAnsi="Garamond" w:cs="Arial"/>
          <w:sz w:val="24"/>
          <w:szCs w:val="24"/>
        </w:rPr>
        <w:t>agressores</w:t>
      </w:r>
      <w:r w:rsidR="005777DA" w:rsidRPr="003A1174">
        <w:rPr>
          <w:rFonts w:ascii="Garamond" w:hAnsi="Garamond" w:cs="Arial"/>
          <w:sz w:val="24"/>
          <w:szCs w:val="24"/>
        </w:rPr>
        <w:t>.</w:t>
      </w:r>
    </w:p>
    <w:p w:rsidR="00577289" w:rsidRPr="003A1174" w:rsidRDefault="00815AEE" w:rsidP="008719D4">
      <w:pPr>
        <w:pStyle w:val="Ttulo3"/>
        <w:spacing w:line="240" w:lineRule="auto"/>
        <w:rPr>
          <w:rFonts w:ascii="Garamond" w:eastAsiaTheme="minorHAnsi" w:hAnsi="Garamond"/>
          <w:sz w:val="24"/>
          <w:szCs w:val="24"/>
        </w:rPr>
      </w:pPr>
      <w:bookmarkStart w:id="33" w:name="_Toc421529721"/>
      <w:r w:rsidRPr="003A1174">
        <w:rPr>
          <w:rFonts w:ascii="Garamond" w:eastAsiaTheme="minorHAnsi" w:hAnsi="Garamond"/>
          <w:sz w:val="24"/>
          <w:szCs w:val="24"/>
        </w:rPr>
        <w:t>Costa Rica</w:t>
      </w:r>
      <w:bookmarkEnd w:id="33"/>
    </w:p>
    <w:p w:rsidR="00577289" w:rsidRPr="003A1174" w:rsidRDefault="00577289"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A </w:t>
      </w:r>
      <w:r w:rsidR="0017447A" w:rsidRPr="003A1174">
        <w:rPr>
          <w:rFonts w:ascii="Garamond" w:eastAsiaTheme="minorHAnsi" w:hAnsi="Garamond" w:cs="Arial"/>
          <w:sz w:val="24"/>
          <w:szCs w:val="24"/>
        </w:rPr>
        <w:t>nível</w:t>
      </w:r>
      <w:r w:rsidRPr="003A1174">
        <w:rPr>
          <w:rFonts w:ascii="Garamond" w:eastAsiaTheme="minorHAnsi" w:hAnsi="Garamond" w:cs="Arial"/>
          <w:sz w:val="24"/>
          <w:szCs w:val="24"/>
        </w:rPr>
        <w:t xml:space="preserve"> internacional, </w:t>
      </w:r>
      <w:r w:rsidR="006A293D" w:rsidRPr="003A1174">
        <w:rPr>
          <w:rFonts w:ascii="Garamond" w:eastAsiaTheme="minorHAnsi" w:hAnsi="Garamond" w:cs="Arial"/>
          <w:sz w:val="24"/>
          <w:szCs w:val="24"/>
        </w:rPr>
        <w:t xml:space="preserve">a </w:t>
      </w:r>
      <w:r w:rsidRPr="003A1174">
        <w:rPr>
          <w:rFonts w:ascii="Garamond" w:eastAsiaTheme="minorHAnsi" w:hAnsi="Garamond" w:cs="Arial"/>
          <w:sz w:val="24"/>
          <w:szCs w:val="24"/>
        </w:rPr>
        <w:t xml:space="preserve">Costa Rica </w:t>
      </w:r>
      <w:r w:rsidR="00462B11" w:rsidRPr="003A1174">
        <w:rPr>
          <w:rFonts w:ascii="Garamond" w:eastAsiaTheme="minorHAnsi" w:hAnsi="Garamond" w:cs="Arial"/>
          <w:sz w:val="24"/>
          <w:szCs w:val="24"/>
        </w:rPr>
        <w:t>foi</w:t>
      </w:r>
      <w:r w:rsidRPr="003A1174">
        <w:rPr>
          <w:rFonts w:ascii="Garamond" w:eastAsiaTheme="minorHAnsi" w:hAnsi="Garamond" w:cs="Arial"/>
          <w:sz w:val="24"/>
          <w:szCs w:val="24"/>
        </w:rPr>
        <w:t xml:space="preserve"> </w:t>
      </w:r>
      <w:r w:rsidR="006A293D" w:rsidRPr="003A1174">
        <w:rPr>
          <w:rFonts w:ascii="Garamond" w:eastAsiaTheme="minorHAnsi" w:hAnsi="Garamond" w:cs="Arial"/>
          <w:sz w:val="24"/>
          <w:szCs w:val="24"/>
        </w:rPr>
        <w:t>processada</w:t>
      </w:r>
      <w:r w:rsidR="007C5D4E">
        <w:rPr>
          <w:rFonts w:ascii="Garamond" w:eastAsiaTheme="minorHAnsi" w:hAnsi="Garamond" w:cs="Arial"/>
          <w:sz w:val="24"/>
          <w:szCs w:val="24"/>
        </w:rPr>
        <w:t>,</w:t>
      </w:r>
      <w:r w:rsidRPr="003A1174">
        <w:rPr>
          <w:rFonts w:ascii="Garamond" w:eastAsiaTheme="minorHAnsi" w:hAnsi="Garamond" w:cs="Arial"/>
          <w:sz w:val="24"/>
          <w:szCs w:val="24"/>
        </w:rPr>
        <w:t xml:space="preserve"> </w:t>
      </w:r>
      <w:r w:rsidR="006A293D" w:rsidRPr="003A1174">
        <w:rPr>
          <w:rFonts w:ascii="Garamond" w:eastAsiaTheme="minorHAnsi" w:hAnsi="Garamond" w:cs="Arial"/>
          <w:sz w:val="24"/>
          <w:szCs w:val="24"/>
        </w:rPr>
        <w:t xml:space="preserve">perante </w:t>
      </w:r>
      <w:r w:rsidRPr="003A1174">
        <w:rPr>
          <w:rFonts w:ascii="Garamond" w:eastAsiaTheme="minorHAnsi" w:hAnsi="Garamond" w:cs="Arial"/>
          <w:sz w:val="24"/>
          <w:szCs w:val="24"/>
        </w:rPr>
        <w:t xml:space="preserve">a </w:t>
      </w:r>
      <w:r w:rsidR="00FC1F7F" w:rsidRPr="003A1174">
        <w:rPr>
          <w:rFonts w:ascii="Garamond" w:eastAsiaTheme="minorHAnsi" w:hAnsi="Garamond" w:cs="Arial"/>
          <w:sz w:val="24"/>
          <w:szCs w:val="24"/>
        </w:rPr>
        <w:t>Comissão</w:t>
      </w:r>
      <w:r w:rsidRPr="003A1174">
        <w:rPr>
          <w:rFonts w:ascii="Garamond" w:eastAsiaTheme="minorHAnsi" w:hAnsi="Garamond" w:cs="Arial"/>
          <w:sz w:val="24"/>
          <w:szCs w:val="24"/>
        </w:rPr>
        <w:t xml:space="preserve"> Interamericana de </w:t>
      </w:r>
      <w:r w:rsidR="00886D6A" w:rsidRPr="003A1174">
        <w:rPr>
          <w:rFonts w:ascii="Garamond" w:eastAsiaTheme="minorHAnsi" w:hAnsi="Garamond" w:cs="Arial"/>
          <w:sz w:val="24"/>
          <w:szCs w:val="24"/>
        </w:rPr>
        <w:t>Direito</w:t>
      </w:r>
      <w:r w:rsidRPr="003A1174">
        <w:rPr>
          <w:rFonts w:ascii="Garamond" w:eastAsiaTheme="minorHAnsi" w:hAnsi="Garamond" w:cs="Arial"/>
          <w:sz w:val="24"/>
          <w:szCs w:val="24"/>
        </w:rPr>
        <w:t>s Humanos</w:t>
      </w:r>
      <w:r w:rsidR="007C5D4E">
        <w:rPr>
          <w:rFonts w:ascii="Garamond" w:eastAsiaTheme="minorHAnsi" w:hAnsi="Garamond" w:cs="Arial"/>
          <w:sz w:val="24"/>
          <w:szCs w:val="24"/>
        </w:rPr>
        <w:t>,</w:t>
      </w:r>
      <w:r w:rsidRPr="003A1174">
        <w:rPr>
          <w:rFonts w:ascii="Garamond" w:eastAsiaTheme="minorHAnsi" w:hAnsi="Garamond" w:cs="Arial"/>
          <w:sz w:val="24"/>
          <w:szCs w:val="24"/>
        </w:rPr>
        <w:t xml:space="preserve"> </w:t>
      </w:r>
      <w:r w:rsidR="006A293D" w:rsidRPr="003A1174">
        <w:rPr>
          <w:rFonts w:ascii="Garamond" w:eastAsiaTheme="minorHAnsi" w:hAnsi="Garamond" w:cs="Arial"/>
          <w:sz w:val="24"/>
          <w:szCs w:val="24"/>
        </w:rPr>
        <w:t xml:space="preserve">devido à </w:t>
      </w:r>
      <w:r w:rsidR="00A862C2" w:rsidRPr="003A1174">
        <w:rPr>
          <w:rFonts w:ascii="Garamond" w:eastAsiaTheme="minorHAnsi" w:hAnsi="Garamond" w:cs="Arial"/>
          <w:sz w:val="24"/>
          <w:szCs w:val="24"/>
        </w:rPr>
        <w:t>proibição</w:t>
      </w:r>
      <w:r w:rsidRPr="003A1174">
        <w:rPr>
          <w:rFonts w:ascii="Garamond" w:eastAsiaTheme="minorHAnsi" w:hAnsi="Garamond" w:cs="Arial"/>
          <w:sz w:val="24"/>
          <w:szCs w:val="24"/>
        </w:rPr>
        <w:t xml:space="preserve"> da </w:t>
      </w:r>
      <w:r w:rsidR="00B14AA6" w:rsidRPr="003A1174">
        <w:rPr>
          <w:rFonts w:ascii="Garamond" w:eastAsiaTheme="minorHAnsi" w:hAnsi="Garamond" w:cs="Arial"/>
          <w:sz w:val="24"/>
          <w:szCs w:val="24"/>
        </w:rPr>
        <w:t>aplicação</w:t>
      </w:r>
      <w:r w:rsidRPr="003A1174">
        <w:rPr>
          <w:rFonts w:ascii="Garamond" w:eastAsiaTheme="minorHAnsi" w:hAnsi="Garamond" w:cs="Arial"/>
          <w:sz w:val="24"/>
          <w:szCs w:val="24"/>
        </w:rPr>
        <w:t xml:space="preserve"> da técnica de </w:t>
      </w:r>
      <w:r w:rsidR="00FC1F7F" w:rsidRPr="003A1174">
        <w:rPr>
          <w:rFonts w:ascii="Garamond" w:eastAsiaTheme="minorHAnsi" w:hAnsi="Garamond" w:cs="Arial"/>
          <w:sz w:val="24"/>
          <w:szCs w:val="24"/>
        </w:rPr>
        <w:t>reprodução</w:t>
      </w:r>
      <w:r w:rsidRPr="003A1174">
        <w:rPr>
          <w:rFonts w:ascii="Garamond" w:eastAsiaTheme="minorHAnsi" w:hAnsi="Garamond" w:cs="Arial"/>
          <w:sz w:val="24"/>
          <w:szCs w:val="24"/>
        </w:rPr>
        <w:t xml:space="preserve"> a</w:t>
      </w:r>
      <w:r w:rsidR="006A293D" w:rsidRPr="003A1174">
        <w:rPr>
          <w:rFonts w:ascii="Garamond" w:eastAsiaTheme="minorHAnsi" w:hAnsi="Garamond" w:cs="Arial"/>
          <w:sz w:val="24"/>
          <w:szCs w:val="24"/>
        </w:rPr>
        <w:t>s</w:t>
      </w:r>
      <w:r w:rsidRPr="003A1174">
        <w:rPr>
          <w:rFonts w:ascii="Garamond" w:eastAsiaTheme="minorHAnsi" w:hAnsi="Garamond" w:cs="Arial"/>
          <w:sz w:val="24"/>
          <w:szCs w:val="24"/>
        </w:rPr>
        <w:t xml:space="preserve">sistida FIV </w:t>
      </w:r>
      <w:r w:rsidR="006A293D" w:rsidRPr="003A1174">
        <w:rPr>
          <w:rFonts w:ascii="Garamond" w:eastAsiaTheme="minorHAnsi" w:hAnsi="Garamond" w:cs="Arial"/>
          <w:sz w:val="24"/>
          <w:szCs w:val="24"/>
        </w:rPr>
        <w:t xml:space="preserve">no </w:t>
      </w:r>
      <w:r w:rsidRPr="003A1174">
        <w:rPr>
          <w:rFonts w:ascii="Garamond" w:eastAsiaTheme="minorHAnsi" w:hAnsi="Garamond" w:cs="Arial"/>
          <w:sz w:val="24"/>
          <w:szCs w:val="24"/>
        </w:rPr>
        <w:t xml:space="preserve">país </w:t>
      </w:r>
      <w:r w:rsidR="00497503" w:rsidRPr="003A1174">
        <w:rPr>
          <w:rFonts w:ascii="Garamond" w:eastAsiaTheme="minorHAnsi" w:hAnsi="Garamond" w:cs="Arial"/>
          <w:sz w:val="24"/>
          <w:szCs w:val="24"/>
        </w:rPr>
        <w:t>e</w:t>
      </w:r>
      <w:r w:rsidR="007C5D4E">
        <w:rPr>
          <w:rFonts w:ascii="Garamond" w:eastAsiaTheme="minorHAnsi" w:hAnsi="Garamond" w:cs="Arial"/>
          <w:sz w:val="24"/>
          <w:szCs w:val="24"/>
        </w:rPr>
        <w:t>,</w:t>
      </w:r>
      <w:r w:rsidRPr="003A1174">
        <w:rPr>
          <w:rFonts w:ascii="Garamond" w:eastAsiaTheme="minorHAnsi" w:hAnsi="Garamond" w:cs="Arial"/>
          <w:sz w:val="24"/>
          <w:szCs w:val="24"/>
        </w:rPr>
        <w:t xml:space="preserve"> posteriormente</w:t>
      </w:r>
      <w:r w:rsidR="007C5D4E">
        <w:rPr>
          <w:rFonts w:ascii="Garamond" w:eastAsiaTheme="minorHAnsi" w:hAnsi="Garamond" w:cs="Arial"/>
          <w:sz w:val="24"/>
          <w:szCs w:val="24"/>
        </w:rPr>
        <w:t>,</w:t>
      </w:r>
      <w:r w:rsidRPr="003A1174">
        <w:rPr>
          <w:rFonts w:ascii="Garamond" w:eastAsiaTheme="minorHAnsi" w:hAnsi="Garamond" w:cs="Arial"/>
          <w:sz w:val="24"/>
          <w:szCs w:val="24"/>
        </w:rPr>
        <w:t xml:space="preserve"> condenada </w:t>
      </w:r>
      <w:r w:rsidR="006A293D" w:rsidRPr="003A1174">
        <w:rPr>
          <w:rFonts w:ascii="Garamond" w:eastAsiaTheme="minorHAnsi" w:hAnsi="Garamond" w:cs="Arial"/>
          <w:sz w:val="24"/>
          <w:szCs w:val="24"/>
        </w:rPr>
        <w:t xml:space="preserve">através da </w:t>
      </w:r>
      <w:r w:rsidR="00FC1F7F" w:rsidRPr="003A1174">
        <w:rPr>
          <w:rFonts w:ascii="Garamond" w:eastAsiaTheme="minorHAnsi" w:hAnsi="Garamond" w:cs="Arial"/>
          <w:sz w:val="24"/>
          <w:szCs w:val="24"/>
        </w:rPr>
        <w:t>sentença</w:t>
      </w:r>
      <w:r w:rsidRPr="003A1174">
        <w:rPr>
          <w:rFonts w:ascii="Garamond" w:eastAsiaTheme="minorHAnsi" w:hAnsi="Garamond" w:cs="Arial"/>
          <w:sz w:val="24"/>
          <w:szCs w:val="24"/>
        </w:rPr>
        <w:t xml:space="preserve"> </w:t>
      </w:r>
      <w:r w:rsidR="008A3DA2" w:rsidRPr="003A1174">
        <w:rPr>
          <w:rFonts w:ascii="Garamond" w:eastAsiaTheme="minorHAnsi" w:hAnsi="Garamond" w:cs="Arial"/>
          <w:sz w:val="24"/>
          <w:szCs w:val="24"/>
        </w:rPr>
        <w:t>do</w:t>
      </w:r>
      <w:r w:rsidRPr="003A1174">
        <w:rPr>
          <w:rFonts w:ascii="Garamond" w:eastAsiaTheme="minorHAnsi" w:hAnsi="Garamond" w:cs="Arial"/>
          <w:sz w:val="24"/>
          <w:szCs w:val="24"/>
        </w:rPr>
        <w:t xml:space="preserve"> caso </w:t>
      </w:r>
      <w:r w:rsidRPr="003A1174">
        <w:rPr>
          <w:rFonts w:ascii="Garamond" w:eastAsiaTheme="minorHAnsi" w:hAnsi="Garamond" w:cs="Arial"/>
          <w:i/>
          <w:sz w:val="24"/>
          <w:szCs w:val="24"/>
        </w:rPr>
        <w:t xml:space="preserve">Artavia, Murillo </w:t>
      </w:r>
      <w:r w:rsidR="00497503" w:rsidRPr="003A1174">
        <w:rPr>
          <w:rFonts w:ascii="Garamond" w:eastAsiaTheme="minorHAnsi" w:hAnsi="Garamond" w:cs="Arial"/>
          <w:i/>
          <w:sz w:val="24"/>
          <w:szCs w:val="24"/>
        </w:rPr>
        <w:t>e</w:t>
      </w:r>
      <w:r w:rsidRPr="003A1174">
        <w:rPr>
          <w:rFonts w:ascii="Garamond" w:eastAsiaTheme="minorHAnsi" w:hAnsi="Garamond" w:cs="Arial"/>
          <w:i/>
          <w:sz w:val="24"/>
          <w:szCs w:val="24"/>
        </w:rPr>
        <w:t xml:space="preserve"> </w:t>
      </w:r>
      <w:r w:rsidR="001F2F8B" w:rsidRPr="003A1174">
        <w:rPr>
          <w:rFonts w:ascii="Garamond" w:eastAsiaTheme="minorHAnsi" w:hAnsi="Garamond" w:cs="Arial"/>
          <w:i/>
          <w:sz w:val="24"/>
          <w:szCs w:val="24"/>
        </w:rPr>
        <w:t>outro</w:t>
      </w:r>
      <w:r w:rsidRPr="003A1174">
        <w:rPr>
          <w:rFonts w:ascii="Garamond" w:eastAsiaTheme="minorHAnsi" w:hAnsi="Garamond" w:cs="Arial"/>
          <w:i/>
          <w:sz w:val="24"/>
          <w:szCs w:val="24"/>
        </w:rPr>
        <w:t xml:space="preserve">s </w:t>
      </w:r>
      <w:r w:rsidR="00E5151D" w:rsidRPr="003A1174">
        <w:rPr>
          <w:rFonts w:ascii="Garamond" w:eastAsiaTheme="minorHAnsi" w:hAnsi="Garamond" w:cs="Arial"/>
          <w:sz w:val="24"/>
          <w:szCs w:val="24"/>
        </w:rPr>
        <w:t>v</w:t>
      </w:r>
      <w:r w:rsidRPr="003A1174">
        <w:rPr>
          <w:rFonts w:ascii="Garamond" w:eastAsiaTheme="minorHAnsi" w:hAnsi="Garamond" w:cs="Arial"/>
          <w:sz w:val="24"/>
          <w:szCs w:val="24"/>
        </w:rPr>
        <w:t>s</w:t>
      </w:r>
      <w:r w:rsidR="00E5151D" w:rsidRPr="003A1174">
        <w:rPr>
          <w:rFonts w:ascii="Garamond" w:eastAsiaTheme="minorHAnsi" w:hAnsi="Garamond" w:cs="Arial"/>
          <w:sz w:val="24"/>
          <w:szCs w:val="24"/>
        </w:rPr>
        <w:t>.</w:t>
      </w:r>
      <w:r w:rsidRPr="003A1174">
        <w:rPr>
          <w:rFonts w:ascii="Garamond" w:eastAsiaTheme="minorHAnsi" w:hAnsi="Garamond" w:cs="Arial"/>
          <w:i/>
          <w:sz w:val="24"/>
          <w:szCs w:val="24"/>
        </w:rPr>
        <w:t xml:space="preserve"> Costa Rica</w:t>
      </w:r>
      <w:r w:rsidR="00B55F67" w:rsidRPr="003A1174">
        <w:rPr>
          <w:rFonts w:ascii="Garamond" w:eastAsiaTheme="minorHAnsi" w:hAnsi="Garamond" w:cs="Arial"/>
          <w:i/>
          <w:sz w:val="24"/>
          <w:szCs w:val="24"/>
        </w:rPr>
        <w:t>,</w:t>
      </w:r>
      <w:r w:rsidRPr="003A1174">
        <w:rPr>
          <w:rFonts w:ascii="Garamond" w:eastAsiaTheme="minorHAnsi" w:hAnsi="Garamond" w:cs="Arial"/>
          <w:sz w:val="24"/>
          <w:szCs w:val="24"/>
        </w:rPr>
        <w:t xml:space="preserve"> de 28 de </w:t>
      </w:r>
      <w:r w:rsidR="009E3E55" w:rsidRPr="003A1174">
        <w:rPr>
          <w:rFonts w:ascii="Garamond" w:eastAsiaTheme="minorHAnsi" w:hAnsi="Garamond" w:cs="Arial"/>
          <w:sz w:val="24"/>
          <w:szCs w:val="24"/>
        </w:rPr>
        <w:t>novembro</w:t>
      </w:r>
      <w:r w:rsidRPr="003A1174">
        <w:rPr>
          <w:rFonts w:ascii="Garamond" w:eastAsiaTheme="minorHAnsi" w:hAnsi="Garamond" w:cs="Arial"/>
          <w:sz w:val="24"/>
          <w:szCs w:val="24"/>
        </w:rPr>
        <w:t xml:space="preserve"> de 2012</w:t>
      </w:r>
      <w:r w:rsidR="00B55F67" w:rsidRPr="003A1174">
        <w:rPr>
          <w:rFonts w:ascii="Garamond" w:eastAsiaTheme="minorHAnsi" w:hAnsi="Garamond" w:cs="Arial"/>
          <w:sz w:val="24"/>
          <w:szCs w:val="24"/>
        </w:rPr>
        <w:t>,</w:t>
      </w:r>
      <w:r w:rsidRPr="003A1174">
        <w:rPr>
          <w:rFonts w:ascii="Garamond" w:eastAsiaTheme="minorHAnsi" w:hAnsi="Garamond" w:cs="Arial"/>
          <w:sz w:val="24"/>
          <w:szCs w:val="24"/>
        </w:rPr>
        <w:t xml:space="preserve"> d</w:t>
      </w:r>
      <w:r w:rsidR="00935298">
        <w:rPr>
          <w:rFonts w:ascii="Garamond" w:eastAsiaTheme="minorHAnsi" w:hAnsi="Garamond" w:cs="Arial"/>
          <w:sz w:val="24"/>
          <w:szCs w:val="24"/>
        </w:rPr>
        <w:t>o</w:t>
      </w:r>
      <w:r w:rsidR="002B33D4">
        <w:rPr>
          <w:rFonts w:ascii="Garamond" w:eastAsiaTheme="minorHAnsi" w:hAnsi="Garamond" w:cs="Arial"/>
          <w:sz w:val="24"/>
          <w:szCs w:val="24"/>
        </w:rPr>
        <w:t xml:space="preserve"> </w:t>
      </w:r>
      <w:r w:rsidR="00935298">
        <w:rPr>
          <w:rFonts w:ascii="Garamond" w:eastAsiaTheme="minorHAnsi" w:hAnsi="Garamond" w:cs="Arial"/>
          <w:sz w:val="24"/>
          <w:szCs w:val="24"/>
        </w:rPr>
        <w:t>T</w:t>
      </w:r>
      <w:r w:rsidR="002B33D4">
        <w:rPr>
          <w:rFonts w:ascii="Garamond" w:eastAsiaTheme="minorHAnsi" w:hAnsi="Garamond" w:cs="Arial"/>
          <w:sz w:val="24"/>
          <w:szCs w:val="24"/>
        </w:rPr>
        <w:t>r</w:t>
      </w:r>
      <w:r w:rsidR="00935298">
        <w:rPr>
          <w:rFonts w:ascii="Garamond" w:eastAsiaTheme="minorHAnsi" w:hAnsi="Garamond" w:cs="Arial"/>
          <w:sz w:val="24"/>
          <w:szCs w:val="24"/>
        </w:rPr>
        <w:t>ibunal</w:t>
      </w:r>
      <w:r w:rsidRPr="003A1174">
        <w:rPr>
          <w:rFonts w:ascii="Garamond" w:eastAsiaTheme="minorHAnsi" w:hAnsi="Garamond" w:cs="Arial"/>
          <w:sz w:val="24"/>
          <w:szCs w:val="24"/>
        </w:rPr>
        <w:t xml:space="preserve"> Interamerican</w:t>
      </w:r>
      <w:r w:rsidR="00935298">
        <w:rPr>
          <w:rFonts w:ascii="Garamond" w:eastAsiaTheme="minorHAnsi" w:hAnsi="Garamond" w:cs="Arial"/>
          <w:sz w:val="24"/>
          <w:szCs w:val="24"/>
        </w:rPr>
        <w:t>o</w:t>
      </w:r>
      <w:r w:rsidRPr="003A1174">
        <w:rPr>
          <w:rFonts w:ascii="Garamond" w:eastAsiaTheme="minorHAnsi" w:hAnsi="Garamond" w:cs="Arial"/>
          <w:sz w:val="24"/>
          <w:szCs w:val="24"/>
        </w:rPr>
        <w:t xml:space="preserve">, </w:t>
      </w:r>
      <w:r w:rsidR="006A293D" w:rsidRPr="003A1174">
        <w:rPr>
          <w:rFonts w:ascii="Garamond" w:eastAsiaTheme="minorHAnsi" w:hAnsi="Garamond" w:cs="Arial"/>
          <w:sz w:val="24"/>
          <w:szCs w:val="24"/>
        </w:rPr>
        <w:t xml:space="preserve">sentença que até à </w:t>
      </w:r>
      <w:r w:rsidR="0074243F" w:rsidRPr="003A1174">
        <w:rPr>
          <w:rFonts w:ascii="Garamond" w:eastAsiaTheme="minorHAnsi" w:hAnsi="Garamond" w:cs="Arial"/>
          <w:sz w:val="24"/>
          <w:szCs w:val="24"/>
        </w:rPr>
        <w:t>data</w:t>
      </w:r>
      <w:r w:rsidRPr="003A1174">
        <w:rPr>
          <w:rFonts w:ascii="Garamond" w:eastAsiaTheme="minorHAnsi" w:hAnsi="Garamond" w:cs="Arial"/>
          <w:sz w:val="24"/>
          <w:szCs w:val="24"/>
        </w:rPr>
        <w:t xml:space="preserve"> n</w:t>
      </w:r>
      <w:r w:rsidR="006A293D" w:rsidRPr="003A1174">
        <w:rPr>
          <w:rFonts w:ascii="Garamond" w:eastAsiaTheme="minorHAnsi" w:hAnsi="Garamond" w:cs="Arial"/>
          <w:sz w:val="24"/>
          <w:szCs w:val="24"/>
        </w:rPr>
        <w:t>ã</w:t>
      </w:r>
      <w:r w:rsidRPr="003A1174">
        <w:rPr>
          <w:rFonts w:ascii="Garamond" w:eastAsiaTheme="minorHAnsi" w:hAnsi="Garamond" w:cs="Arial"/>
          <w:sz w:val="24"/>
          <w:szCs w:val="24"/>
        </w:rPr>
        <w:t xml:space="preserve">o </w:t>
      </w:r>
      <w:r w:rsidR="006A293D" w:rsidRPr="003A1174">
        <w:rPr>
          <w:rFonts w:ascii="Garamond" w:eastAsiaTheme="minorHAnsi" w:hAnsi="Garamond" w:cs="Arial"/>
          <w:sz w:val="24"/>
          <w:szCs w:val="24"/>
        </w:rPr>
        <w:t>foi cumprida</w:t>
      </w:r>
      <w:r w:rsidRPr="003A1174">
        <w:rPr>
          <w:rFonts w:ascii="Garamond" w:eastAsiaTheme="minorHAnsi" w:hAnsi="Garamond" w:cs="Arial"/>
          <w:sz w:val="24"/>
          <w:szCs w:val="24"/>
        </w:rPr>
        <w:t xml:space="preserve"> </w:t>
      </w:r>
      <w:r w:rsidR="005C2020" w:rsidRPr="003A1174">
        <w:rPr>
          <w:rFonts w:ascii="Garamond" w:eastAsiaTheme="minorHAnsi" w:hAnsi="Garamond" w:cs="Arial"/>
          <w:sz w:val="24"/>
          <w:szCs w:val="24"/>
        </w:rPr>
        <w:t>pelo</w:t>
      </w:r>
      <w:r w:rsidRPr="003A1174">
        <w:rPr>
          <w:rFonts w:ascii="Garamond" w:eastAsiaTheme="minorHAnsi" w:hAnsi="Garamond" w:cs="Arial"/>
          <w:sz w:val="24"/>
          <w:szCs w:val="24"/>
        </w:rPr>
        <w:t xml:space="preserve"> Estado </w:t>
      </w:r>
      <w:r w:rsidR="00A862C2" w:rsidRPr="003A1174">
        <w:rPr>
          <w:rFonts w:ascii="Garamond" w:eastAsiaTheme="minorHAnsi" w:hAnsi="Garamond" w:cs="Arial"/>
          <w:sz w:val="24"/>
          <w:szCs w:val="24"/>
        </w:rPr>
        <w:t>costa-riquenho</w:t>
      </w:r>
      <w:r w:rsidRPr="003A1174">
        <w:rPr>
          <w:rFonts w:ascii="Garamond" w:eastAsiaTheme="minorHAnsi" w:hAnsi="Garamond" w:cs="Arial"/>
          <w:sz w:val="24"/>
          <w:szCs w:val="24"/>
        </w:rPr>
        <w:t xml:space="preserve"> </w:t>
      </w:r>
      <w:r w:rsidR="006A293D" w:rsidRPr="003A1174">
        <w:rPr>
          <w:rFonts w:ascii="Garamond" w:eastAsiaTheme="minorHAnsi" w:hAnsi="Garamond" w:cs="Arial"/>
          <w:sz w:val="24"/>
          <w:szCs w:val="24"/>
        </w:rPr>
        <w:t xml:space="preserve">na sua </w:t>
      </w:r>
      <w:r w:rsidRPr="003A1174">
        <w:rPr>
          <w:rFonts w:ascii="Garamond" w:eastAsiaTheme="minorHAnsi" w:hAnsi="Garamond" w:cs="Arial"/>
          <w:sz w:val="24"/>
          <w:szCs w:val="24"/>
        </w:rPr>
        <w:t>totalidad</w:t>
      </w:r>
      <w:r w:rsidR="006A293D"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p>
    <w:p w:rsidR="00577289" w:rsidRPr="007C5D4E" w:rsidRDefault="00577289"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E</w:t>
      </w:r>
      <w:r w:rsidR="006A293D" w:rsidRPr="003A1174">
        <w:rPr>
          <w:rFonts w:ascii="Garamond" w:eastAsiaTheme="minorHAnsi" w:hAnsi="Garamond" w:cs="Arial"/>
          <w:sz w:val="24"/>
          <w:szCs w:val="24"/>
        </w:rPr>
        <w:t xml:space="preserve">m suma, </w:t>
      </w:r>
      <w:r w:rsidRPr="003A1174">
        <w:rPr>
          <w:rFonts w:ascii="Garamond" w:eastAsiaTheme="minorHAnsi" w:hAnsi="Garamond" w:cs="Arial"/>
          <w:sz w:val="24"/>
          <w:szCs w:val="24"/>
        </w:rPr>
        <w:t xml:space="preserve">a </w:t>
      </w:r>
      <w:r w:rsidR="00FC1F7F" w:rsidRPr="003A1174">
        <w:rPr>
          <w:rFonts w:ascii="Garamond" w:eastAsiaTheme="minorHAnsi" w:hAnsi="Garamond" w:cs="Arial"/>
          <w:sz w:val="24"/>
          <w:szCs w:val="24"/>
        </w:rPr>
        <w:t>sentença</w:t>
      </w:r>
      <w:r w:rsidRPr="003A1174">
        <w:rPr>
          <w:rFonts w:ascii="Garamond" w:eastAsiaTheme="minorHAnsi" w:hAnsi="Garamond" w:cs="Arial"/>
          <w:sz w:val="24"/>
          <w:szCs w:val="24"/>
        </w:rPr>
        <w:t xml:space="preserve"> declara que </w:t>
      </w:r>
      <w:r w:rsidR="006A293D" w:rsidRPr="003A1174">
        <w:rPr>
          <w:rFonts w:ascii="Garamond" w:eastAsiaTheme="minorHAnsi" w:hAnsi="Garamond" w:cs="Arial"/>
          <w:sz w:val="24"/>
          <w:szCs w:val="24"/>
        </w:rPr>
        <w:t xml:space="preserve">a referida </w:t>
      </w:r>
      <w:r w:rsidR="00A862C2" w:rsidRPr="003A1174">
        <w:rPr>
          <w:rFonts w:ascii="Garamond" w:eastAsiaTheme="minorHAnsi" w:hAnsi="Garamond" w:cs="Arial"/>
          <w:sz w:val="24"/>
          <w:szCs w:val="24"/>
        </w:rPr>
        <w:t>proibição</w:t>
      </w:r>
      <w:r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constitui</w:t>
      </w:r>
      <w:r w:rsidR="006A293D" w:rsidRPr="003A1174">
        <w:rPr>
          <w:rFonts w:ascii="Garamond" w:eastAsiaTheme="minorHAnsi" w:hAnsi="Garamond" w:cs="Arial"/>
          <w:sz w:val="24"/>
          <w:szCs w:val="24"/>
        </w:rPr>
        <w:t xml:space="preserve"> um</w:t>
      </w:r>
      <w:r w:rsidRPr="003A1174">
        <w:rPr>
          <w:rFonts w:ascii="Garamond" w:eastAsiaTheme="minorHAnsi" w:hAnsi="Garamond" w:cs="Arial"/>
          <w:sz w:val="24"/>
          <w:szCs w:val="24"/>
        </w:rPr>
        <w:t xml:space="preserve">a </w:t>
      </w:r>
      <w:r w:rsidR="006A293D" w:rsidRPr="003A1174">
        <w:rPr>
          <w:rFonts w:ascii="Garamond" w:eastAsiaTheme="minorHAnsi" w:hAnsi="Garamond" w:cs="Arial"/>
          <w:sz w:val="24"/>
          <w:szCs w:val="24"/>
        </w:rPr>
        <w:t>ingerência</w:t>
      </w:r>
      <w:r w:rsidRPr="003A1174">
        <w:rPr>
          <w:rFonts w:ascii="Garamond" w:eastAsiaTheme="minorHAnsi" w:hAnsi="Garamond" w:cs="Arial"/>
          <w:sz w:val="24"/>
          <w:szCs w:val="24"/>
        </w:rPr>
        <w:t xml:space="preserve"> </w:t>
      </w:r>
      <w:r w:rsidR="00100435" w:rsidRPr="003A1174">
        <w:rPr>
          <w:rFonts w:ascii="Garamond" w:eastAsiaTheme="minorHAnsi" w:hAnsi="Garamond" w:cs="Arial"/>
          <w:sz w:val="24"/>
          <w:szCs w:val="24"/>
        </w:rPr>
        <w:t>arbitrária</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abusiva </w:t>
      </w:r>
      <w:r w:rsidR="006A293D" w:rsidRPr="003A1174">
        <w:rPr>
          <w:rFonts w:ascii="Garamond" w:eastAsiaTheme="minorHAnsi" w:hAnsi="Garamond" w:cs="Arial"/>
          <w:sz w:val="24"/>
          <w:szCs w:val="24"/>
        </w:rPr>
        <w:t>n</w:t>
      </w:r>
      <w:r w:rsidRPr="003A1174">
        <w:rPr>
          <w:rFonts w:ascii="Garamond" w:eastAsiaTheme="minorHAnsi" w:hAnsi="Garamond" w:cs="Arial"/>
          <w:sz w:val="24"/>
          <w:szCs w:val="24"/>
        </w:rPr>
        <w:t xml:space="preserve">a vida privada </w:t>
      </w:r>
      <w:r w:rsidR="00497503" w:rsidRPr="003A1174">
        <w:rPr>
          <w:rFonts w:ascii="Garamond" w:eastAsiaTheme="minorHAnsi" w:hAnsi="Garamond" w:cs="Arial"/>
          <w:sz w:val="24"/>
          <w:szCs w:val="24"/>
        </w:rPr>
        <w:t>das</w:t>
      </w:r>
      <w:r w:rsidRPr="003A1174">
        <w:rPr>
          <w:rFonts w:ascii="Garamond" w:eastAsiaTheme="minorHAnsi" w:hAnsi="Garamond" w:cs="Arial"/>
          <w:sz w:val="24"/>
          <w:szCs w:val="24"/>
        </w:rPr>
        <w:t xml:space="preserve"> </w:t>
      </w:r>
      <w:r w:rsidR="006C760C" w:rsidRPr="003A1174">
        <w:rPr>
          <w:rFonts w:ascii="Garamond" w:eastAsiaTheme="minorHAnsi" w:hAnsi="Garamond" w:cs="Arial"/>
          <w:sz w:val="24"/>
          <w:szCs w:val="24"/>
        </w:rPr>
        <w:t>pessoas</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ordena a Costa Rica </w:t>
      </w:r>
      <w:r w:rsidRPr="007C5D4E">
        <w:rPr>
          <w:rFonts w:ascii="Garamond" w:eastAsiaTheme="minorHAnsi" w:hAnsi="Garamond" w:cs="Arial"/>
          <w:sz w:val="24"/>
          <w:szCs w:val="24"/>
        </w:rPr>
        <w:t xml:space="preserve">a </w:t>
      </w:r>
      <w:r w:rsidR="007C5D4E" w:rsidRPr="007C5D4E">
        <w:rPr>
          <w:rFonts w:ascii="Garamond" w:eastAsiaTheme="minorHAnsi" w:hAnsi="Garamond" w:cs="Arial"/>
          <w:sz w:val="24"/>
          <w:szCs w:val="24"/>
        </w:rPr>
        <w:t>«</w:t>
      </w:r>
      <w:r w:rsidRPr="007C5D4E">
        <w:rPr>
          <w:rFonts w:ascii="Garamond" w:eastAsiaTheme="minorHAnsi" w:hAnsi="Garamond" w:cs="Arial"/>
          <w:sz w:val="24"/>
          <w:szCs w:val="24"/>
        </w:rPr>
        <w:t xml:space="preserve">… </w:t>
      </w:r>
      <w:r w:rsidR="006C760C" w:rsidRPr="007C5D4E">
        <w:rPr>
          <w:rFonts w:ascii="Garamond" w:eastAsiaTheme="minorHAnsi" w:hAnsi="Garamond" w:cs="Arial"/>
          <w:sz w:val="24"/>
          <w:szCs w:val="24"/>
        </w:rPr>
        <w:t>adotar</w:t>
      </w:r>
      <w:r w:rsidR="006A293D" w:rsidRPr="007C5D4E">
        <w:rPr>
          <w:rFonts w:ascii="Garamond" w:eastAsiaTheme="minorHAnsi" w:hAnsi="Garamond" w:cs="Arial"/>
          <w:sz w:val="24"/>
          <w:szCs w:val="24"/>
        </w:rPr>
        <w:t xml:space="preserve"> </w:t>
      </w:r>
      <w:r w:rsidRPr="007C5D4E">
        <w:rPr>
          <w:rFonts w:ascii="Garamond" w:eastAsiaTheme="minorHAnsi" w:hAnsi="Garamond" w:cs="Arial"/>
          <w:sz w:val="24"/>
          <w:szCs w:val="24"/>
        </w:rPr>
        <w:t xml:space="preserve">as medidas </w:t>
      </w:r>
      <w:r w:rsidR="00976FB8" w:rsidRPr="007C5D4E">
        <w:rPr>
          <w:rFonts w:ascii="Garamond" w:eastAsiaTheme="minorHAnsi" w:hAnsi="Garamond" w:cs="Arial"/>
          <w:sz w:val="24"/>
          <w:szCs w:val="24"/>
        </w:rPr>
        <w:t>apropriad</w:t>
      </w:r>
      <w:r w:rsidRPr="007C5D4E">
        <w:rPr>
          <w:rFonts w:ascii="Garamond" w:eastAsiaTheme="minorHAnsi" w:hAnsi="Garamond" w:cs="Arial"/>
          <w:sz w:val="24"/>
          <w:szCs w:val="24"/>
        </w:rPr>
        <w:t xml:space="preserve">as para que </w:t>
      </w:r>
      <w:r w:rsidR="006A293D" w:rsidRPr="007C5D4E">
        <w:rPr>
          <w:rFonts w:ascii="Garamond" w:eastAsiaTheme="minorHAnsi" w:hAnsi="Garamond" w:cs="Arial"/>
          <w:sz w:val="24"/>
          <w:szCs w:val="24"/>
        </w:rPr>
        <w:t xml:space="preserve">fique sem </w:t>
      </w:r>
      <w:r w:rsidR="00863197" w:rsidRPr="007C5D4E">
        <w:rPr>
          <w:rFonts w:ascii="Garamond" w:eastAsiaTheme="minorHAnsi" w:hAnsi="Garamond" w:cs="Arial"/>
          <w:sz w:val="24"/>
          <w:szCs w:val="24"/>
        </w:rPr>
        <w:t>efeito</w:t>
      </w:r>
      <w:r w:rsidRPr="007C5D4E">
        <w:rPr>
          <w:rFonts w:ascii="Garamond" w:eastAsiaTheme="minorHAnsi" w:hAnsi="Garamond" w:cs="Arial"/>
          <w:sz w:val="24"/>
          <w:szCs w:val="24"/>
        </w:rPr>
        <w:t xml:space="preserve"> co</w:t>
      </w:r>
      <w:r w:rsidR="006A293D" w:rsidRPr="007C5D4E">
        <w:rPr>
          <w:rFonts w:ascii="Garamond" w:eastAsiaTheme="minorHAnsi" w:hAnsi="Garamond" w:cs="Arial"/>
          <w:sz w:val="24"/>
          <w:szCs w:val="24"/>
        </w:rPr>
        <w:t xml:space="preserve">m a </w:t>
      </w:r>
      <w:r w:rsidR="00863197" w:rsidRPr="007C5D4E">
        <w:rPr>
          <w:rFonts w:ascii="Garamond" w:eastAsiaTheme="minorHAnsi" w:hAnsi="Garamond" w:cs="Arial"/>
          <w:sz w:val="24"/>
          <w:szCs w:val="24"/>
        </w:rPr>
        <w:t>maior</w:t>
      </w:r>
      <w:r w:rsidRPr="007C5D4E">
        <w:rPr>
          <w:rFonts w:ascii="Garamond" w:eastAsiaTheme="minorHAnsi" w:hAnsi="Garamond" w:cs="Arial"/>
          <w:sz w:val="24"/>
          <w:szCs w:val="24"/>
        </w:rPr>
        <w:t xml:space="preserve"> celeridad</w:t>
      </w:r>
      <w:r w:rsidR="006A293D" w:rsidRPr="007C5D4E">
        <w:rPr>
          <w:rFonts w:ascii="Garamond" w:eastAsiaTheme="minorHAnsi" w:hAnsi="Garamond" w:cs="Arial"/>
          <w:sz w:val="24"/>
          <w:szCs w:val="24"/>
        </w:rPr>
        <w:t>e</w:t>
      </w:r>
      <w:r w:rsidRPr="007C5D4E">
        <w:rPr>
          <w:rFonts w:ascii="Garamond" w:eastAsiaTheme="minorHAnsi" w:hAnsi="Garamond" w:cs="Arial"/>
          <w:sz w:val="24"/>
          <w:szCs w:val="24"/>
        </w:rPr>
        <w:t xml:space="preserve"> </w:t>
      </w:r>
      <w:r w:rsidR="00DE5AF4" w:rsidRPr="007C5D4E">
        <w:rPr>
          <w:rFonts w:ascii="Garamond" w:eastAsiaTheme="minorHAnsi" w:hAnsi="Garamond" w:cs="Arial"/>
          <w:sz w:val="24"/>
          <w:szCs w:val="24"/>
        </w:rPr>
        <w:t>possível</w:t>
      </w:r>
      <w:r w:rsidR="006A293D" w:rsidRPr="007C5D4E">
        <w:rPr>
          <w:rFonts w:ascii="Garamond" w:eastAsiaTheme="minorHAnsi" w:hAnsi="Garamond" w:cs="Arial"/>
          <w:sz w:val="24"/>
          <w:szCs w:val="24"/>
        </w:rPr>
        <w:t xml:space="preserve"> </w:t>
      </w:r>
      <w:r w:rsidRPr="007C5D4E">
        <w:rPr>
          <w:rFonts w:ascii="Garamond" w:eastAsiaTheme="minorHAnsi" w:hAnsi="Garamond" w:cs="Arial"/>
          <w:sz w:val="24"/>
          <w:szCs w:val="24"/>
        </w:rPr>
        <w:t xml:space="preserve">a </w:t>
      </w:r>
      <w:r w:rsidR="00A862C2" w:rsidRPr="007C5D4E">
        <w:rPr>
          <w:rFonts w:ascii="Garamond" w:eastAsiaTheme="minorHAnsi" w:hAnsi="Garamond" w:cs="Arial"/>
          <w:sz w:val="24"/>
          <w:szCs w:val="24"/>
        </w:rPr>
        <w:t>proibição</w:t>
      </w:r>
      <w:r w:rsidRPr="007C5D4E">
        <w:rPr>
          <w:rFonts w:ascii="Garamond" w:eastAsiaTheme="minorHAnsi" w:hAnsi="Garamond" w:cs="Arial"/>
          <w:sz w:val="24"/>
          <w:szCs w:val="24"/>
        </w:rPr>
        <w:t xml:space="preserve"> de pra</w:t>
      </w:r>
      <w:r w:rsidR="006A293D" w:rsidRPr="007C5D4E">
        <w:rPr>
          <w:rFonts w:ascii="Garamond" w:eastAsiaTheme="minorHAnsi" w:hAnsi="Garamond" w:cs="Arial"/>
          <w:sz w:val="24"/>
          <w:szCs w:val="24"/>
        </w:rPr>
        <w:t xml:space="preserve">ticar </w:t>
      </w:r>
      <w:r w:rsidRPr="007C5D4E">
        <w:rPr>
          <w:rFonts w:ascii="Garamond" w:eastAsiaTheme="minorHAnsi" w:hAnsi="Garamond" w:cs="Arial"/>
          <w:sz w:val="24"/>
          <w:szCs w:val="24"/>
        </w:rPr>
        <w:t>a FIV</w:t>
      </w:r>
      <w:r w:rsidR="00E5151D" w:rsidRPr="007C5D4E">
        <w:rPr>
          <w:rFonts w:ascii="Garamond" w:eastAsiaTheme="minorHAnsi" w:hAnsi="Garamond" w:cs="Arial"/>
          <w:sz w:val="24"/>
          <w:szCs w:val="24"/>
        </w:rPr>
        <w:t>,</w:t>
      </w:r>
      <w:r w:rsidRPr="007C5D4E">
        <w:rPr>
          <w:rFonts w:ascii="Garamond" w:eastAsiaTheme="minorHAnsi" w:hAnsi="Garamond" w:cs="Arial"/>
          <w:sz w:val="24"/>
          <w:szCs w:val="24"/>
        </w:rPr>
        <w:t xml:space="preserve"> </w:t>
      </w:r>
      <w:r w:rsidR="00497503" w:rsidRPr="007C5D4E">
        <w:rPr>
          <w:rFonts w:ascii="Garamond" w:eastAsiaTheme="minorHAnsi" w:hAnsi="Garamond" w:cs="Arial"/>
          <w:sz w:val="24"/>
          <w:szCs w:val="24"/>
        </w:rPr>
        <w:t>e</w:t>
      </w:r>
      <w:r w:rsidRPr="007C5D4E">
        <w:rPr>
          <w:rFonts w:ascii="Garamond" w:eastAsiaTheme="minorHAnsi" w:hAnsi="Garamond" w:cs="Arial"/>
          <w:sz w:val="24"/>
          <w:szCs w:val="24"/>
        </w:rPr>
        <w:t xml:space="preserve"> </w:t>
      </w:r>
      <w:r w:rsidR="006A293D" w:rsidRPr="007C5D4E">
        <w:rPr>
          <w:rFonts w:ascii="Garamond" w:eastAsiaTheme="minorHAnsi" w:hAnsi="Garamond" w:cs="Arial"/>
          <w:sz w:val="24"/>
          <w:szCs w:val="24"/>
        </w:rPr>
        <w:t xml:space="preserve">para que </w:t>
      </w:r>
      <w:r w:rsidRPr="007C5D4E">
        <w:rPr>
          <w:rFonts w:ascii="Garamond" w:eastAsiaTheme="minorHAnsi" w:hAnsi="Garamond" w:cs="Arial"/>
          <w:sz w:val="24"/>
          <w:szCs w:val="24"/>
        </w:rPr>
        <w:t xml:space="preserve">as </w:t>
      </w:r>
      <w:r w:rsidR="006C760C" w:rsidRPr="007C5D4E">
        <w:rPr>
          <w:rFonts w:ascii="Garamond" w:eastAsiaTheme="minorHAnsi" w:hAnsi="Garamond" w:cs="Arial"/>
          <w:sz w:val="24"/>
          <w:szCs w:val="24"/>
        </w:rPr>
        <w:t>pessoas</w:t>
      </w:r>
      <w:r w:rsidRPr="007C5D4E">
        <w:rPr>
          <w:rFonts w:ascii="Garamond" w:eastAsiaTheme="minorHAnsi" w:hAnsi="Garamond" w:cs="Arial"/>
          <w:sz w:val="24"/>
          <w:szCs w:val="24"/>
        </w:rPr>
        <w:t xml:space="preserve"> que dese</w:t>
      </w:r>
      <w:r w:rsidR="006A293D" w:rsidRPr="007C5D4E">
        <w:rPr>
          <w:rFonts w:ascii="Garamond" w:eastAsiaTheme="minorHAnsi" w:hAnsi="Garamond" w:cs="Arial"/>
          <w:sz w:val="24"/>
          <w:szCs w:val="24"/>
        </w:rPr>
        <w:t xml:space="preserve">jam fazer </w:t>
      </w:r>
      <w:r w:rsidRPr="007C5D4E">
        <w:rPr>
          <w:rFonts w:ascii="Garamond" w:eastAsiaTheme="minorHAnsi" w:hAnsi="Garamond" w:cs="Arial"/>
          <w:sz w:val="24"/>
          <w:szCs w:val="24"/>
        </w:rPr>
        <w:t>uso d</w:t>
      </w:r>
      <w:r w:rsidR="006A293D" w:rsidRPr="007C5D4E">
        <w:rPr>
          <w:rFonts w:ascii="Garamond" w:eastAsiaTheme="minorHAnsi" w:hAnsi="Garamond" w:cs="Arial"/>
          <w:sz w:val="24"/>
          <w:szCs w:val="24"/>
        </w:rPr>
        <w:t xml:space="preserve">a dita </w:t>
      </w:r>
      <w:r w:rsidRPr="007C5D4E">
        <w:rPr>
          <w:rFonts w:ascii="Garamond" w:eastAsiaTheme="minorHAnsi" w:hAnsi="Garamond" w:cs="Arial"/>
          <w:sz w:val="24"/>
          <w:szCs w:val="24"/>
        </w:rPr>
        <w:t xml:space="preserve">técnica de </w:t>
      </w:r>
      <w:r w:rsidR="00FC1F7F" w:rsidRPr="007C5D4E">
        <w:rPr>
          <w:rFonts w:ascii="Garamond" w:eastAsiaTheme="minorHAnsi" w:hAnsi="Garamond" w:cs="Arial"/>
          <w:sz w:val="24"/>
          <w:szCs w:val="24"/>
        </w:rPr>
        <w:t>reprodução</w:t>
      </w:r>
      <w:r w:rsidRPr="007C5D4E">
        <w:rPr>
          <w:rFonts w:ascii="Garamond" w:eastAsiaTheme="minorHAnsi" w:hAnsi="Garamond" w:cs="Arial"/>
          <w:sz w:val="24"/>
          <w:szCs w:val="24"/>
        </w:rPr>
        <w:t xml:space="preserve"> a</w:t>
      </w:r>
      <w:r w:rsidR="006A293D" w:rsidRPr="007C5D4E">
        <w:rPr>
          <w:rFonts w:ascii="Garamond" w:eastAsiaTheme="minorHAnsi" w:hAnsi="Garamond" w:cs="Arial"/>
          <w:sz w:val="24"/>
          <w:szCs w:val="24"/>
        </w:rPr>
        <w:t>s</w:t>
      </w:r>
      <w:r w:rsidRPr="007C5D4E">
        <w:rPr>
          <w:rFonts w:ascii="Garamond" w:eastAsiaTheme="minorHAnsi" w:hAnsi="Garamond" w:cs="Arial"/>
          <w:sz w:val="24"/>
          <w:szCs w:val="24"/>
        </w:rPr>
        <w:t>sistida p</w:t>
      </w:r>
      <w:r w:rsidR="006A293D" w:rsidRPr="007C5D4E">
        <w:rPr>
          <w:rFonts w:ascii="Garamond" w:eastAsiaTheme="minorHAnsi" w:hAnsi="Garamond" w:cs="Arial"/>
          <w:sz w:val="24"/>
          <w:szCs w:val="24"/>
        </w:rPr>
        <w:t xml:space="preserve">ossam fazê-lo </w:t>
      </w:r>
      <w:r w:rsidR="006A293D" w:rsidRPr="007C5D4E">
        <w:rPr>
          <w:rFonts w:ascii="Garamond" w:eastAsiaTheme="minorHAnsi" w:hAnsi="Garamond" w:cs="Arial"/>
          <w:sz w:val="24"/>
          <w:szCs w:val="24"/>
        </w:rPr>
        <w:lastRenderedPageBreak/>
        <w:t>sem</w:t>
      </w:r>
      <w:r w:rsidRPr="007C5D4E">
        <w:rPr>
          <w:rFonts w:ascii="Garamond" w:eastAsiaTheme="minorHAnsi" w:hAnsi="Garamond" w:cs="Arial"/>
          <w:sz w:val="24"/>
          <w:szCs w:val="24"/>
        </w:rPr>
        <w:t xml:space="preserve"> encontrar impedimento a</w:t>
      </w:r>
      <w:r w:rsidR="006A293D" w:rsidRPr="007C5D4E">
        <w:rPr>
          <w:rFonts w:ascii="Garamond" w:eastAsiaTheme="minorHAnsi" w:hAnsi="Garamond" w:cs="Arial"/>
          <w:sz w:val="24"/>
          <w:szCs w:val="24"/>
        </w:rPr>
        <w:t>o</w:t>
      </w:r>
      <w:r w:rsidRPr="007C5D4E">
        <w:rPr>
          <w:rFonts w:ascii="Garamond" w:eastAsiaTheme="minorHAnsi" w:hAnsi="Garamond" w:cs="Arial"/>
          <w:sz w:val="24"/>
          <w:szCs w:val="24"/>
        </w:rPr>
        <w:t xml:space="preserve"> </w:t>
      </w:r>
      <w:r w:rsidR="00731B19" w:rsidRPr="007C5D4E">
        <w:rPr>
          <w:rFonts w:ascii="Garamond" w:eastAsiaTheme="minorHAnsi" w:hAnsi="Garamond" w:cs="Arial"/>
          <w:sz w:val="24"/>
          <w:szCs w:val="24"/>
        </w:rPr>
        <w:t>exercício</w:t>
      </w:r>
      <w:r w:rsidRPr="007C5D4E">
        <w:rPr>
          <w:rFonts w:ascii="Garamond" w:eastAsiaTheme="minorHAnsi" w:hAnsi="Garamond" w:cs="Arial"/>
          <w:sz w:val="24"/>
          <w:szCs w:val="24"/>
        </w:rPr>
        <w:t xml:space="preserve"> </w:t>
      </w:r>
      <w:r w:rsidR="00497503" w:rsidRPr="007C5D4E">
        <w:rPr>
          <w:rFonts w:ascii="Garamond" w:eastAsiaTheme="minorHAnsi" w:hAnsi="Garamond" w:cs="Arial"/>
          <w:sz w:val="24"/>
          <w:szCs w:val="24"/>
        </w:rPr>
        <w:t>dos</w:t>
      </w:r>
      <w:r w:rsidRPr="007C5D4E">
        <w:rPr>
          <w:rFonts w:ascii="Garamond" w:eastAsiaTheme="minorHAnsi" w:hAnsi="Garamond" w:cs="Arial"/>
          <w:sz w:val="24"/>
          <w:szCs w:val="24"/>
        </w:rPr>
        <w:t xml:space="preserve"> </w:t>
      </w:r>
      <w:r w:rsidR="00886D6A" w:rsidRPr="007C5D4E">
        <w:rPr>
          <w:rFonts w:ascii="Garamond" w:eastAsiaTheme="minorHAnsi" w:hAnsi="Garamond" w:cs="Arial"/>
          <w:sz w:val="24"/>
          <w:szCs w:val="24"/>
        </w:rPr>
        <w:t>direito</w:t>
      </w:r>
      <w:r w:rsidRPr="007C5D4E">
        <w:rPr>
          <w:rFonts w:ascii="Garamond" w:eastAsiaTheme="minorHAnsi" w:hAnsi="Garamond" w:cs="Arial"/>
          <w:sz w:val="24"/>
          <w:szCs w:val="24"/>
        </w:rPr>
        <w:t>s que f</w:t>
      </w:r>
      <w:r w:rsidR="006A293D" w:rsidRPr="007C5D4E">
        <w:rPr>
          <w:rFonts w:ascii="Garamond" w:eastAsiaTheme="minorHAnsi" w:hAnsi="Garamond" w:cs="Arial"/>
          <w:sz w:val="24"/>
          <w:szCs w:val="24"/>
        </w:rPr>
        <w:t xml:space="preserve">oram considerados violados na </w:t>
      </w:r>
      <w:r w:rsidRPr="007C5D4E">
        <w:rPr>
          <w:rFonts w:ascii="Garamond" w:eastAsiaTheme="minorHAnsi" w:hAnsi="Garamond" w:cs="Arial"/>
          <w:sz w:val="24"/>
          <w:szCs w:val="24"/>
        </w:rPr>
        <w:t xml:space="preserve">presente </w:t>
      </w:r>
      <w:r w:rsidR="00FC1F7F" w:rsidRPr="007C5D4E">
        <w:rPr>
          <w:rFonts w:ascii="Garamond" w:eastAsiaTheme="minorHAnsi" w:hAnsi="Garamond" w:cs="Arial"/>
          <w:sz w:val="24"/>
          <w:szCs w:val="24"/>
        </w:rPr>
        <w:t>sentença</w:t>
      </w:r>
      <w:r w:rsidR="007C5D4E" w:rsidRPr="007C5D4E">
        <w:rPr>
          <w:rFonts w:ascii="Garamond" w:eastAsiaTheme="minorHAnsi" w:hAnsi="Garamond" w:cs="Arial"/>
          <w:sz w:val="24"/>
          <w:szCs w:val="24"/>
        </w:rPr>
        <w:t>»</w:t>
      </w:r>
      <w:r w:rsidRPr="007C5D4E">
        <w:rPr>
          <w:rFonts w:ascii="Garamond" w:eastAsiaTheme="minorHAnsi" w:hAnsi="Garamond" w:cs="Arial"/>
          <w:sz w:val="24"/>
          <w:szCs w:val="24"/>
        </w:rPr>
        <w:t>.</w:t>
      </w:r>
    </w:p>
    <w:p w:rsidR="00577289" w:rsidRPr="003A1174" w:rsidRDefault="006A293D"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Passados dois anos de notificada </w:t>
      </w:r>
      <w:r w:rsidR="00577289" w:rsidRPr="003A1174">
        <w:rPr>
          <w:rFonts w:ascii="Garamond" w:eastAsiaTheme="minorHAnsi" w:hAnsi="Garamond" w:cs="Arial"/>
          <w:sz w:val="24"/>
          <w:szCs w:val="24"/>
        </w:rPr>
        <w:t xml:space="preserve">a </w:t>
      </w:r>
      <w:r w:rsidR="00FC1F7F" w:rsidRPr="003A1174">
        <w:rPr>
          <w:rFonts w:ascii="Garamond" w:eastAsiaTheme="minorHAnsi" w:hAnsi="Garamond" w:cs="Arial"/>
          <w:sz w:val="24"/>
          <w:szCs w:val="24"/>
        </w:rPr>
        <w:t>sentença</w:t>
      </w:r>
      <w:r w:rsidR="00577289"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a Provedoria considera que </w:t>
      </w:r>
      <w:r w:rsidR="00577289" w:rsidRPr="003A1174">
        <w:rPr>
          <w:rFonts w:ascii="Garamond" w:eastAsiaTheme="minorHAnsi" w:hAnsi="Garamond" w:cs="Arial"/>
          <w:sz w:val="24"/>
          <w:szCs w:val="24"/>
        </w:rPr>
        <w:t xml:space="preserve">as </w:t>
      </w:r>
      <w:r w:rsidR="006C760C" w:rsidRPr="003A1174">
        <w:rPr>
          <w:rFonts w:ascii="Garamond" w:eastAsiaTheme="minorHAnsi" w:hAnsi="Garamond" w:cs="Arial"/>
          <w:sz w:val="24"/>
          <w:szCs w:val="24"/>
        </w:rPr>
        <w:t>pessoas</w:t>
      </w:r>
      <w:r w:rsidR="00577289" w:rsidRPr="003A1174">
        <w:rPr>
          <w:rFonts w:ascii="Garamond" w:eastAsiaTheme="minorHAnsi" w:hAnsi="Garamond" w:cs="Arial"/>
          <w:sz w:val="24"/>
          <w:szCs w:val="24"/>
        </w:rPr>
        <w:t xml:space="preserve"> </w:t>
      </w:r>
      <w:r w:rsidRPr="003A1174">
        <w:rPr>
          <w:rFonts w:ascii="Garamond" w:eastAsiaTheme="minorHAnsi" w:hAnsi="Garamond" w:cs="Arial"/>
          <w:sz w:val="24"/>
          <w:szCs w:val="24"/>
        </w:rPr>
        <w:t>inférteis</w:t>
      </w:r>
      <w:r w:rsidR="007C5D4E">
        <w:rPr>
          <w:rFonts w:ascii="Garamond" w:eastAsiaTheme="minorHAnsi" w:hAnsi="Garamond" w:cs="Arial"/>
          <w:sz w:val="24"/>
          <w:szCs w:val="24"/>
        </w:rPr>
        <w:t>,</w:t>
      </w:r>
      <w:r w:rsidR="00577289"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na </w:t>
      </w:r>
      <w:r w:rsidR="00577289" w:rsidRPr="003A1174">
        <w:rPr>
          <w:rFonts w:ascii="Garamond" w:eastAsiaTheme="minorHAnsi" w:hAnsi="Garamond" w:cs="Arial"/>
          <w:sz w:val="24"/>
          <w:szCs w:val="24"/>
        </w:rPr>
        <w:t>Costa Rica</w:t>
      </w:r>
      <w:r w:rsidR="007C5D4E">
        <w:rPr>
          <w:rFonts w:ascii="Garamond" w:eastAsiaTheme="minorHAnsi" w:hAnsi="Garamond" w:cs="Arial"/>
          <w:sz w:val="24"/>
          <w:szCs w:val="24"/>
        </w:rPr>
        <w:t>,</w:t>
      </w:r>
      <w:r w:rsidR="00577289"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continuam sem ter </w:t>
      </w:r>
      <w:r w:rsidR="00886D6A" w:rsidRPr="003A1174">
        <w:rPr>
          <w:rFonts w:ascii="Garamond" w:eastAsiaTheme="minorHAnsi" w:hAnsi="Garamond" w:cs="Arial"/>
          <w:sz w:val="24"/>
          <w:szCs w:val="24"/>
        </w:rPr>
        <w:t>acesso</w:t>
      </w:r>
      <w:r w:rsidR="00577289" w:rsidRPr="003A1174">
        <w:rPr>
          <w:rFonts w:ascii="Garamond" w:eastAsiaTheme="minorHAnsi" w:hAnsi="Garamond" w:cs="Arial"/>
          <w:sz w:val="24"/>
          <w:szCs w:val="24"/>
        </w:rPr>
        <w:t xml:space="preserve"> aos </w:t>
      </w:r>
      <w:r w:rsidR="00B531F2" w:rsidRPr="003A1174">
        <w:rPr>
          <w:rFonts w:ascii="Garamond" w:eastAsiaTheme="minorHAnsi" w:hAnsi="Garamond" w:cs="Arial"/>
          <w:sz w:val="24"/>
          <w:szCs w:val="24"/>
        </w:rPr>
        <w:t>serviço</w:t>
      </w:r>
      <w:r w:rsidR="00577289" w:rsidRPr="003A1174">
        <w:rPr>
          <w:rFonts w:ascii="Garamond" w:eastAsiaTheme="minorHAnsi" w:hAnsi="Garamond" w:cs="Arial"/>
          <w:sz w:val="24"/>
          <w:szCs w:val="24"/>
        </w:rPr>
        <w:t xml:space="preserve">s de </w:t>
      </w:r>
      <w:r w:rsidR="007C63D0" w:rsidRPr="003A1174">
        <w:rPr>
          <w:rFonts w:ascii="Garamond" w:eastAsiaTheme="minorHAnsi" w:hAnsi="Garamond" w:cs="Arial"/>
          <w:sz w:val="24"/>
          <w:szCs w:val="24"/>
        </w:rPr>
        <w:t>saúde</w:t>
      </w:r>
      <w:r w:rsidR="00577289" w:rsidRPr="003A1174">
        <w:rPr>
          <w:rFonts w:ascii="Garamond" w:eastAsiaTheme="minorHAnsi" w:hAnsi="Garamond" w:cs="Arial"/>
          <w:sz w:val="24"/>
          <w:szCs w:val="24"/>
        </w:rPr>
        <w:t xml:space="preserve"> que res</w:t>
      </w:r>
      <w:r w:rsidRPr="003A1174">
        <w:rPr>
          <w:rFonts w:ascii="Garamond" w:eastAsiaTheme="minorHAnsi" w:hAnsi="Garamond" w:cs="Arial"/>
          <w:sz w:val="24"/>
          <w:szCs w:val="24"/>
        </w:rPr>
        <w:t xml:space="preserve">olvem a sua </w:t>
      </w:r>
      <w:r w:rsidR="00577289" w:rsidRPr="003A1174">
        <w:rPr>
          <w:rFonts w:ascii="Garamond" w:eastAsiaTheme="minorHAnsi" w:hAnsi="Garamond" w:cs="Arial"/>
          <w:sz w:val="24"/>
          <w:szCs w:val="24"/>
        </w:rPr>
        <w:t>infertilidad</w:t>
      </w:r>
      <w:r w:rsidRPr="003A1174">
        <w:rPr>
          <w:rFonts w:ascii="Garamond" w:eastAsiaTheme="minorHAnsi" w:hAnsi="Garamond" w:cs="Arial"/>
          <w:sz w:val="24"/>
          <w:szCs w:val="24"/>
        </w:rPr>
        <w:t>e</w:t>
      </w:r>
      <w:r w:rsidR="00577289"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577289" w:rsidRPr="003A1174">
        <w:rPr>
          <w:rFonts w:ascii="Garamond" w:eastAsiaTheme="minorHAnsi" w:hAnsi="Garamond" w:cs="Arial"/>
          <w:sz w:val="24"/>
          <w:szCs w:val="24"/>
        </w:rPr>
        <w:t xml:space="preserve"> que garant</w:t>
      </w:r>
      <w:r w:rsidRPr="003A1174">
        <w:rPr>
          <w:rFonts w:ascii="Garamond" w:eastAsiaTheme="minorHAnsi" w:hAnsi="Garamond" w:cs="Arial"/>
          <w:sz w:val="24"/>
          <w:szCs w:val="24"/>
        </w:rPr>
        <w:t xml:space="preserve">em o </w:t>
      </w:r>
      <w:r w:rsidR="00731B19" w:rsidRPr="003A1174">
        <w:rPr>
          <w:rFonts w:ascii="Garamond" w:eastAsiaTheme="minorHAnsi" w:hAnsi="Garamond" w:cs="Arial"/>
          <w:sz w:val="24"/>
          <w:szCs w:val="24"/>
        </w:rPr>
        <w:t>exercício</w:t>
      </w:r>
      <w:r w:rsidR="00577289" w:rsidRPr="003A1174">
        <w:rPr>
          <w:rFonts w:ascii="Garamond" w:eastAsiaTheme="minorHAnsi" w:hAnsi="Garamond" w:cs="Arial"/>
          <w:sz w:val="24"/>
          <w:szCs w:val="24"/>
        </w:rPr>
        <w:t xml:space="preserve"> d</w:t>
      </w:r>
      <w:r w:rsidRPr="003A1174">
        <w:rPr>
          <w:rFonts w:ascii="Garamond" w:eastAsiaTheme="minorHAnsi" w:hAnsi="Garamond" w:cs="Arial"/>
          <w:sz w:val="24"/>
          <w:szCs w:val="24"/>
        </w:rPr>
        <w:t xml:space="preserve">os seus </w:t>
      </w:r>
      <w:r w:rsidR="00886D6A" w:rsidRPr="003A1174">
        <w:rPr>
          <w:rFonts w:ascii="Garamond" w:eastAsiaTheme="minorHAnsi" w:hAnsi="Garamond" w:cs="Arial"/>
          <w:sz w:val="24"/>
          <w:szCs w:val="24"/>
        </w:rPr>
        <w:t>direito</w:t>
      </w:r>
      <w:r w:rsidR="00577289" w:rsidRPr="003A1174">
        <w:rPr>
          <w:rFonts w:ascii="Garamond" w:eastAsiaTheme="minorHAnsi" w:hAnsi="Garamond" w:cs="Arial"/>
          <w:sz w:val="24"/>
          <w:szCs w:val="24"/>
        </w:rPr>
        <w:t xml:space="preserve">s de </w:t>
      </w:r>
      <w:r w:rsidR="009B133A" w:rsidRPr="003A1174">
        <w:rPr>
          <w:rFonts w:ascii="Garamond" w:eastAsiaTheme="minorHAnsi" w:hAnsi="Garamond" w:cs="Arial"/>
          <w:sz w:val="24"/>
          <w:szCs w:val="24"/>
        </w:rPr>
        <w:t>autonomia</w:t>
      </w:r>
      <w:r w:rsidR="00577289" w:rsidRPr="003A1174">
        <w:rPr>
          <w:rFonts w:ascii="Garamond" w:eastAsiaTheme="minorHAnsi" w:hAnsi="Garamond" w:cs="Arial"/>
          <w:sz w:val="24"/>
          <w:szCs w:val="24"/>
        </w:rPr>
        <w:t>, a</w:t>
      </w:r>
      <w:r w:rsidRPr="003A1174">
        <w:rPr>
          <w:rFonts w:ascii="Garamond" w:eastAsiaTheme="minorHAnsi" w:hAnsi="Garamond" w:cs="Arial"/>
          <w:sz w:val="24"/>
          <w:szCs w:val="24"/>
        </w:rPr>
        <w:t>o</w:t>
      </w:r>
      <w:r w:rsidR="00577289" w:rsidRPr="003A1174">
        <w:rPr>
          <w:rFonts w:ascii="Garamond" w:eastAsiaTheme="minorHAnsi" w:hAnsi="Garamond" w:cs="Arial"/>
          <w:sz w:val="24"/>
          <w:szCs w:val="24"/>
        </w:rPr>
        <w:t xml:space="preserve"> mante</w:t>
      </w:r>
      <w:r w:rsidRPr="003A1174">
        <w:rPr>
          <w:rFonts w:ascii="Garamond" w:eastAsiaTheme="minorHAnsi" w:hAnsi="Garamond" w:cs="Arial"/>
          <w:sz w:val="24"/>
          <w:szCs w:val="24"/>
        </w:rPr>
        <w:t>r-se vigente a interferê</w:t>
      </w:r>
      <w:r w:rsidR="00577289" w:rsidRPr="003A1174">
        <w:rPr>
          <w:rFonts w:ascii="Garamond" w:eastAsiaTheme="minorHAnsi" w:hAnsi="Garamond" w:cs="Arial"/>
          <w:sz w:val="24"/>
          <w:szCs w:val="24"/>
        </w:rPr>
        <w:t xml:space="preserve">ncia </w:t>
      </w:r>
      <w:r w:rsidR="00100435" w:rsidRPr="003A1174">
        <w:rPr>
          <w:rFonts w:ascii="Garamond" w:eastAsiaTheme="minorHAnsi" w:hAnsi="Garamond" w:cs="Arial"/>
          <w:sz w:val="24"/>
          <w:szCs w:val="24"/>
        </w:rPr>
        <w:t>arbitrária</w:t>
      </w:r>
      <w:r w:rsidR="00577289" w:rsidRPr="003A1174">
        <w:rPr>
          <w:rFonts w:ascii="Garamond" w:eastAsiaTheme="minorHAnsi" w:hAnsi="Garamond" w:cs="Arial"/>
          <w:sz w:val="24"/>
          <w:szCs w:val="24"/>
        </w:rPr>
        <w:t xml:space="preserve"> </w:t>
      </w:r>
      <w:r w:rsidRPr="003A1174">
        <w:rPr>
          <w:rFonts w:ascii="Garamond" w:eastAsiaTheme="minorHAnsi" w:hAnsi="Garamond" w:cs="Arial"/>
          <w:sz w:val="24"/>
          <w:szCs w:val="24"/>
        </w:rPr>
        <w:t>n</w:t>
      </w:r>
      <w:r w:rsidR="00577289" w:rsidRPr="003A1174">
        <w:rPr>
          <w:rFonts w:ascii="Garamond" w:eastAsiaTheme="minorHAnsi" w:hAnsi="Garamond" w:cs="Arial"/>
          <w:sz w:val="24"/>
          <w:szCs w:val="24"/>
        </w:rPr>
        <w:t xml:space="preserve">a vida familiar </w:t>
      </w:r>
      <w:r w:rsidR="00497503" w:rsidRPr="003A1174">
        <w:rPr>
          <w:rFonts w:ascii="Garamond" w:eastAsiaTheme="minorHAnsi" w:hAnsi="Garamond" w:cs="Arial"/>
          <w:sz w:val="24"/>
          <w:szCs w:val="24"/>
        </w:rPr>
        <w:t>das</w:t>
      </w:r>
      <w:r w:rsidR="00577289" w:rsidRPr="003A1174">
        <w:rPr>
          <w:rFonts w:ascii="Garamond" w:eastAsiaTheme="minorHAnsi" w:hAnsi="Garamond" w:cs="Arial"/>
          <w:sz w:val="24"/>
          <w:szCs w:val="24"/>
        </w:rPr>
        <w:t xml:space="preserve"> </w:t>
      </w:r>
      <w:r w:rsidR="006C760C" w:rsidRPr="003A1174">
        <w:rPr>
          <w:rFonts w:ascii="Garamond" w:eastAsiaTheme="minorHAnsi" w:hAnsi="Garamond" w:cs="Arial"/>
          <w:sz w:val="24"/>
          <w:szCs w:val="24"/>
        </w:rPr>
        <w:t>pessoas</w:t>
      </w:r>
      <w:r w:rsidR="00577289" w:rsidRPr="003A1174">
        <w:rPr>
          <w:rFonts w:ascii="Garamond" w:eastAsiaTheme="minorHAnsi" w:hAnsi="Garamond" w:cs="Arial"/>
          <w:sz w:val="24"/>
          <w:szCs w:val="24"/>
        </w:rPr>
        <w:t>.</w:t>
      </w:r>
    </w:p>
    <w:p w:rsidR="00577289" w:rsidRPr="003A1174" w:rsidRDefault="006A293D"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No</w:t>
      </w:r>
      <w:r w:rsidR="00E5151D" w:rsidRPr="003A1174">
        <w:rPr>
          <w:rFonts w:ascii="Garamond" w:eastAsiaTheme="minorHAnsi" w:hAnsi="Garamond" w:cs="Arial"/>
          <w:sz w:val="24"/>
          <w:szCs w:val="24"/>
        </w:rPr>
        <w:t xml:space="preserve"> </w:t>
      </w:r>
      <w:r w:rsidR="00802ACC" w:rsidRPr="003A1174">
        <w:rPr>
          <w:rFonts w:ascii="Garamond" w:eastAsiaTheme="minorHAnsi" w:hAnsi="Garamond" w:cs="Arial"/>
          <w:sz w:val="24"/>
          <w:szCs w:val="24"/>
        </w:rPr>
        <w:t>âmbito</w:t>
      </w:r>
      <w:r w:rsidR="00E5151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577289"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tribunais</w:t>
      </w:r>
      <w:r w:rsidR="00577289" w:rsidRPr="003A1174">
        <w:rPr>
          <w:rFonts w:ascii="Garamond" w:eastAsiaTheme="minorHAnsi" w:hAnsi="Garamond" w:cs="Arial"/>
          <w:sz w:val="24"/>
          <w:szCs w:val="24"/>
        </w:rPr>
        <w:t xml:space="preserve"> </w:t>
      </w:r>
      <w:r w:rsidR="00D75A07" w:rsidRPr="003A1174">
        <w:rPr>
          <w:rFonts w:ascii="Garamond" w:eastAsiaTheme="minorHAnsi" w:hAnsi="Garamond" w:cs="Arial"/>
          <w:sz w:val="24"/>
          <w:szCs w:val="24"/>
        </w:rPr>
        <w:t>locais</w:t>
      </w:r>
      <w:r w:rsidRPr="003A1174">
        <w:rPr>
          <w:rFonts w:ascii="Garamond" w:eastAsiaTheme="minorHAnsi" w:hAnsi="Garamond" w:cs="Arial"/>
          <w:sz w:val="24"/>
          <w:szCs w:val="24"/>
        </w:rPr>
        <w:t>, rec</w:t>
      </w:r>
      <w:r w:rsidR="00577289" w:rsidRPr="003A1174">
        <w:rPr>
          <w:rFonts w:ascii="Garamond" w:eastAsiaTheme="minorHAnsi" w:hAnsi="Garamond" w:cs="Arial"/>
          <w:sz w:val="24"/>
          <w:szCs w:val="24"/>
        </w:rPr>
        <w:t>entemente</w:t>
      </w:r>
      <w:r w:rsidR="007C5D4E">
        <w:rPr>
          <w:rFonts w:ascii="Garamond" w:eastAsiaTheme="minorHAnsi" w:hAnsi="Garamond" w:cs="Arial"/>
          <w:sz w:val="24"/>
          <w:szCs w:val="24"/>
        </w:rPr>
        <w:t>,</w:t>
      </w:r>
      <w:r w:rsidR="00577289" w:rsidRPr="003A1174">
        <w:rPr>
          <w:rFonts w:ascii="Garamond" w:eastAsiaTheme="minorHAnsi" w:hAnsi="Garamond" w:cs="Arial"/>
          <w:sz w:val="24"/>
          <w:szCs w:val="24"/>
        </w:rPr>
        <w:t xml:space="preserve"> </w:t>
      </w:r>
      <w:r w:rsidR="00276DCA" w:rsidRPr="003A1174">
        <w:rPr>
          <w:rFonts w:ascii="Garamond" w:eastAsiaTheme="minorHAnsi" w:hAnsi="Garamond" w:cs="Arial"/>
          <w:sz w:val="24"/>
          <w:szCs w:val="24"/>
        </w:rPr>
        <w:t>apresentou</w:t>
      </w:r>
      <w:r w:rsidRPr="003A1174">
        <w:rPr>
          <w:rFonts w:ascii="Garamond" w:eastAsiaTheme="minorHAnsi" w:hAnsi="Garamond" w:cs="Arial"/>
          <w:sz w:val="24"/>
          <w:szCs w:val="24"/>
        </w:rPr>
        <w:t xml:space="preserve">-se um </w:t>
      </w:r>
      <w:r w:rsidR="00577289" w:rsidRPr="003A1174">
        <w:rPr>
          <w:rFonts w:ascii="Garamond" w:eastAsiaTheme="minorHAnsi" w:hAnsi="Garamond" w:cs="Arial"/>
          <w:sz w:val="24"/>
          <w:szCs w:val="24"/>
        </w:rPr>
        <w:t xml:space="preserve">Recurso de Amparo </w:t>
      </w:r>
      <w:r w:rsidR="00C154FC" w:rsidRPr="003A1174">
        <w:rPr>
          <w:rFonts w:ascii="Garamond" w:eastAsiaTheme="minorHAnsi" w:hAnsi="Garamond" w:cs="Arial"/>
          <w:sz w:val="24"/>
          <w:szCs w:val="24"/>
        </w:rPr>
        <w:t xml:space="preserve">na sede constitucional contra </w:t>
      </w:r>
      <w:r w:rsidR="00577289" w:rsidRPr="003A1174">
        <w:rPr>
          <w:rFonts w:ascii="Garamond" w:eastAsiaTheme="minorHAnsi" w:hAnsi="Garamond" w:cs="Arial"/>
          <w:sz w:val="24"/>
          <w:szCs w:val="24"/>
        </w:rPr>
        <w:t xml:space="preserve">a </w:t>
      </w:r>
      <w:r w:rsidR="00C154FC" w:rsidRPr="003A1174">
        <w:rPr>
          <w:rFonts w:ascii="Garamond" w:eastAsiaTheme="minorHAnsi" w:hAnsi="Garamond" w:cs="Arial"/>
          <w:sz w:val="24"/>
          <w:szCs w:val="24"/>
        </w:rPr>
        <w:t xml:space="preserve">administração </w:t>
      </w:r>
      <w:r w:rsidR="00577289" w:rsidRPr="003A1174">
        <w:rPr>
          <w:rFonts w:ascii="Garamond" w:eastAsiaTheme="minorHAnsi" w:hAnsi="Garamond" w:cs="Arial"/>
          <w:sz w:val="24"/>
          <w:szCs w:val="24"/>
        </w:rPr>
        <w:t>de u</w:t>
      </w:r>
      <w:r w:rsidR="00C154FC" w:rsidRPr="003A1174">
        <w:rPr>
          <w:rFonts w:ascii="Garamond" w:eastAsiaTheme="minorHAnsi" w:hAnsi="Garamond" w:cs="Arial"/>
          <w:sz w:val="24"/>
          <w:szCs w:val="24"/>
        </w:rPr>
        <w:t>m</w:t>
      </w:r>
      <w:r w:rsidR="00577289" w:rsidRPr="003A1174">
        <w:rPr>
          <w:rFonts w:ascii="Garamond" w:eastAsiaTheme="minorHAnsi" w:hAnsi="Garamond" w:cs="Arial"/>
          <w:sz w:val="24"/>
          <w:szCs w:val="24"/>
        </w:rPr>
        <w:t xml:space="preserve"> banco estatal</w:t>
      </w:r>
      <w:r w:rsidR="007C5D4E">
        <w:rPr>
          <w:rFonts w:ascii="Garamond" w:eastAsiaTheme="minorHAnsi" w:hAnsi="Garamond" w:cs="Arial"/>
          <w:sz w:val="24"/>
          <w:szCs w:val="24"/>
        </w:rPr>
        <w:t xml:space="preserve"> devido ao facto de</w:t>
      </w:r>
      <w:r w:rsidR="00C154FC" w:rsidRPr="003A1174">
        <w:rPr>
          <w:rFonts w:ascii="Garamond" w:eastAsiaTheme="minorHAnsi" w:hAnsi="Garamond" w:cs="Arial"/>
          <w:sz w:val="24"/>
          <w:szCs w:val="24"/>
        </w:rPr>
        <w:t xml:space="preserve"> esta administração </w:t>
      </w:r>
      <w:r w:rsidR="00AC60CD">
        <w:rPr>
          <w:rFonts w:ascii="Garamond" w:eastAsiaTheme="minorHAnsi" w:hAnsi="Garamond" w:cs="Arial"/>
          <w:sz w:val="24"/>
          <w:szCs w:val="24"/>
        </w:rPr>
        <w:t>ser</w:t>
      </w:r>
      <w:r w:rsidR="00C154FC" w:rsidRPr="003A1174">
        <w:rPr>
          <w:rFonts w:ascii="Garamond" w:eastAsiaTheme="minorHAnsi" w:hAnsi="Garamond" w:cs="Arial"/>
          <w:sz w:val="24"/>
          <w:szCs w:val="24"/>
        </w:rPr>
        <w:t xml:space="preserve"> constituída por seis</w:t>
      </w:r>
      <w:r w:rsidR="00577289" w:rsidRPr="003A1174">
        <w:rPr>
          <w:rFonts w:ascii="Garamond" w:eastAsiaTheme="minorHAnsi" w:hAnsi="Garamond" w:cs="Arial"/>
          <w:sz w:val="24"/>
          <w:szCs w:val="24"/>
        </w:rPr>
        <w:t xml:space="preserve"> </w:t>
      </w:r>
      <w:r w:rsidR="00524936" w:rsidRPr="003A1174">
        <w:rPr>
          <w:rFonts w:ascii="Garamond" w:eastAsiaTheme="minorHAnsi" w:hAnsi="Garamond" w:cs="Arial"/>
          <w:sz w:val="24"/>
          <w:szCs w:val="24"/>
        </w:rPr>
        <w:t>homens</w:t>
      </w:r>
      <w:r w:rsidR="00577289"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154FC" w:rsidRPr="003A1174">
        <w:rPr>
          <w:rFonts w:ascii="Garamond" w:eastAsiaTheme="minorHAnsi" w:hAnsi="Garamond" w:cs="Arial"/>
          <w:sz w:val="24"/>
          <w:szCs w:val="24"/>
        </w:rPr>
        <w:t xml:space="preserve"> um</w:t>
      </w:r>
      <w:r w:rsidR="00577289" w:rsidRPr="003A1174">
        <w:rPr>
          <w:rFonts w:ascii="Garamond" w:eastAsiaTheme="minorHAnsi" w:hAnsi="Garamond" w:cs="Arial"/>
          <w:sz w:val="24"/>
          <w:szCs w:val="24"/>
        </w:rPr>
        <w:t xml:space="preserve">a única </w:t>
      </w:r>
      <w:r w:rsidR="00AF192F" w:rsidRPr="003A1174">
        <w:rPr>
          <w:rFonts w:ascii="Garamond" w:eastAsiaTheme="minorHAnsi" w:hAnsi="Garamond" w:cs="Arial"/>
          <w:sz w:val="24"/>
          <w:szCs w:val="24"/>
        </w:rPr>
        <w:t>mulher</w:t>
      </w:r>
      <w:r w:rsidR="00577289" w:rsidRPr="003A1174">
        <w:rPr>
          <w:rFonts w:ascii="Garamond" w:eastAsiaTheme="minorHAnsi" w:hAnsi="Garamond" w:cs="Arial"/>
          <w:sz w:val="24"/>
          <w:szCs w:val="24"/>
        </w:rPr>
        <w:t>, e</w:t>
      </w:r>
      <w:r w:rsidR="00C154FC" w:rsidRPr="003A1174">
        <w:rPr>
          <w:rFonts w:ascii="Garamond" w:eastAsiaTheme="minorHAnsi" w:hAnsi="Garamond" w:cs="Arial"/>
          <w:sz w:val="24"/>
          <w:szCs w:val="24"/>
        </w:rPr>
        <w:t>m</w:t>
      </w:r>
      <w:r w:rsidR="00577289" w:rsidRPr="003A1174">
        <w:rPr>
          <w:rFonts w:ascii="Garamond" w:eastAsiaTheme="minorHAnsi" w:hAnsi="Garamond" w:cs="Arial"/>
          <w:sz w:val="24"/>
          <w:szCs w:val="24"/>
        </w:rPr>
        <w:t xml:space="preserve"> franco detrimento </w:t>
      </w:r>
      <w:r w:rsidR="008A3DA2" w:rsidRPr="003A1174">
        <w:rPr>
          <w:rFonts w:ascii="Garamond" w:eastAsiaTheme="minorHAnsi" w:hAnsi="Garamond" w:cs="Arial"/>
          <w:sz w:val="24"/>
          <w:szCs w:val="24"/>
        </w:rPr>
        <w:t>do</w:t>
      </w:r>
      <w:r w:rsidR="00577289" w:rsidRPr="003A1174">
        <w:rPr>
          <w:rFonts w:ascii="Garamond" w:eastAsiaTheme="minorHAnsi" w:hAnsi="Garamond" w:cs="Arial"/>
          <w:sz w:val="24"/>
          <w:szCs w:val="24"/>
        </w:rPr>
        <w:t xml:space="preserve"> </w:t>
      </w:r>
      <w:r w:rsidR="006D0543" w:rsidRPr="003A1174">
        <w:rPr>
          <w:rFonts w:ascii="Garamond" w:eastAsiaTheme="minorHAnsi" w:hAnsi="Garamond" w:cs="Arial"/>
          <w:sz w:val="24"/>
          <w:szCs w:val="24"/>
        </w:rPr>
        <w:t>princípio</w:t>
      </w:r>
      <w:r w:rsidR="00C154FC" w:rsidRPr="003A1174">
        <w:rPr>
          <w:rFonts w:ascii="Garamond" w:eastAsiaTheme="minorHAnsi" w:hAnsi="Garamond" w:cs="Arial"/>
          <w:sz w:val="24"/>
          <w:szCs w:val="24"/>
        </w:rPr>
        <w:t xml:space="preserve"> da</w:t>
      </w:r>
      <w:r w:rsidR="00577289" w:rsidRPr="003A1174">
        <w:rPr>
          <w:rFonts w:ascii="Garamond" w:eastAsiaTheme="minorHAnsi" w:hAnsi="Garamond" w:cs="Arial"/>
          <w:sz w:val="24"/>
          <w:szCs w:val="24"/>
        </w:rPr>
        <w:t xml:space="preserve"> paridad</w:t>
      </w:r>
      <w:r w:rsidR="00C154FC" w:rsidRPr="003A1174">
        <w:rPr>
          <w:rFonts w:ascii="Garamond" w:eastAsiaTheme="minorHAnsi" w:hAnsi="Garamond" w:cs="Arial"/>
          <w:sz w:val="24"/>
          <w:szCs w:val="24"/>
        </w:rPr>
        <w:t>e</w:t>
      </w:r>
      <w:r w:rsidR="00577289"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154FC" w:rsidRPr="003A1174">
        <w:rPr>
          <w:rFonts w:ascii="Garamond" w:eastAsiaTheme="minorHAnsi" w:hAnsi="Garamond" w:cs="Arial"/>
          <w:sz w:val="24"/>
          <w:szCs w:val="24"/>
        </w:rPr>
        <w:t xml:space="preserve"> alternâ</w:t>
      </w:r>
      <w:r w:rsidR="00577289" w:rsidRPr="003A1174">
        <w:rPr>
          <w:rFonts w:ascii="Garamond" w:eastAsiaTheme="minorHAnsi" w:hAnsi="Garamond" w:cs="Arial"/>
          <w:sz w:val="24"/>
          <w:szCs w:val="24"/>
        </w:rPr>
        <w:t>ncia de género e</w:t>
      </w:r>
      <w:r w:rsidR="00C154FC" w:rsidRPr="003A1174">
        <w:rPr>
          <w:rFonts w:ascii="Garamond" w:eastAsiaTheme="minorHAnsi" w:hAnsi="Garamond" w:cs="Arial"/>
          <w:sz w:val="24"/>
          <w:szCs w:val="24"/>
        </w:rPr>
        <w:t>m</w:t>
      </w:r>
      <w:r w:rsidR="00577289" w:rsidRPr="003A1174">
        <w:rPr>
          <w:rFonts w:ascii="Garamond" w:eastAsiaTheme="minorHAnsi" w:hAnsi="Garamond" w:cs="Arial"/>
          <w:sz w:val="24"/>
          <w:szCs w:val="24"/>
        </w:rPr>
        <w:t xml:space="preserve"> p</w:t>
      </w:r>
      <w:r w:rsidR="00C154FC" w:rsidRPr="003A1174">
        <w:rPr>
          <w:rFonts w:ascii="Garamond" w:eastAsiaTheme="minorHAnsi" w:hAnsi="Garamond" w:cs="Arial"/>
          <w:sz w:val="24"/>
          <w:szCs w:val="24"/>
        </w:rPr>
        <w:t>o</w:t>
      </w:r>
      <w:r w:rsidR="00577289" w:rsidRPr="003A1174">
        <w:rPr>
          <w:rFonts w:ascii="Garamond" w:eastAsiaTheme="minorHAnsi" w:hAnsi="Garamond" w:cs="Arial"/>
          <w:sz w:val="24"/>
          <w:szCs w:val="24"/>
        </w:rPr>
        <w:t>stos de designa</w:t>
      </w:r>
      <w:r w:rsidR="00C154FC" w:rsidRPr="003A1174">
        <w:rPr>
          <w:rFonts w:ascii="Garamond" w:eastAsiaTheme="minorHAnsi" w:hAnsi="Garamond" w:cs="Arial"/>
          <w:sz w:val="24"/>
          <w:szCs w:val="24"/>
        </w:rPr>
        <w:t xml:space="preserve">ção </w:t>
      </w:r>
      <w:r w:rsidR="00577289" w:rsidRPr="003A1174">
        <w:rPr>
          <w:rFonts w:ascii="Garamond" w:eastAsiaTheme="minorHAnsi" w:hAnsi="Garamond" w:cs="Arial"/>
          <w:sz w:val="24"/>
          <w:szCs w:val="24"/>
        </w:rPr>
        <w:t>política</w:t>
      </w:r>
      <w:r w:rsidR="00AC60CD">
        <w:rPr>
          <w:rFonts w:ascii="Garamond" w:eastAsiaTheme="minorHAnsi" w:hAnsi="Garamond" w:cs="Arial"/>
          <w:sz w:val="24"/>
          <w:szCs w:val="24"/>
        </w:rPr>
        <w:t>,</w:t>
      </w:r>
      <w:r w:rsidR="00577289" w:rsidRPr="003A1174">
        <w:rPr>
          <w:rFonts w:ascii="Garamond" w:eastAsiaTheme="minorHAnsi" w:hAnsi="Garamond" w:cs="Arial"/>
          <w:sz w:val="24"/>
          <w:szCs w:val="24"/>
        </w:rPr>
        <w:t xml:space="preserve"> </w:t>
      </w:r>
      <w:r w:rsidR="00AC60CD">
        <w:rPr>
          <w:rFonts w:ascii="Garamond" w:eastAsiaTheme="minorHAnsi" w:hAnsi="Garamond" w:cs="Arial"/>
          <w:sz w:val="24"/>
          <w:szCs w:val="24"/>
        </w:rPr>
        <w:t xml:space="preserve">resultantes </w:t>
      </w:r>
      <w:r w:rsidR="008A3DA2" w:rsidRPr="003A1174">
        <w:rPr>
          <w:rFonts w:ascii="Garamond" w:eastAsiaTheme="minorHAnsi" w:hAnsi="Garamond" w:cs="Arial"/>
          <w:sz w:val="24"/>
          <w:szCs w:val="24"/>
        </w:rPr>
        <w:t>do</w:t>
      </w:r>
      <w:r w:rsidR="00577289" w:rsidRPr="003A1174">
        <w:rPr>
          <w:rFonts w:ascii="Garamond" w:eastAsiaTheme="minorHAnsi" w:hAnsi="Garamond" w:cs="Arial"/>
          <w:sz w:val="24"/>
          <w:szCs w:val="24"/>
        </w:rPr>
        <w:t xml:space="preserve"> </w:t>
      </w:r>
      <w:r w:rsidR="00383B3F" w:rsidRPr="003A1174">
        <w:rPr>
          <w:rFonts w:ascii="Garamond" w:eastAsiaTheme="minorHAnsi" w:hAnsi="Garamond" w:cs="Arial"/>
          <w:sz w:val="24"/>
          <w:szCs w:val="24"/>
        </w:rPr>
        <w:t>Art.</w:t>
      </w:r>
      <w:r w:rsidR="00577289" w:rsidRPr="003A1174">
        <w:rPr>
          <w:rFonts w:ascii="Garamond" w:eastAsiaTheme="minorHAnsi" w:hAnsi="Garamond" w:cs="Arial"/>
          <w:sz w:val="24"/>
          <w:szCs w:val="24"/>
        </w:rPr>
        <w:t xml:space="preserve"> 33 da </w:t>
      </w:r>
      <w:r w:rsidR="00E150E9" w:rsidRPr="003A1174">
        <w:rPr>
          <w:rFonts w:ascii="Garamond" w:eastAsiaTheme="minorHAnsi" w:hAnsi="Garamond" w:cs="Arial"/>
          <w:sz w:val="24"/>
          <w:szCs w:val="24"/>
        </w:rPr>
        <w:t>Constituição</w:t>
      </w:r>
      <w:r w:rsidR="00577289" w:rsidRPr="003A1174">
        <w:rPr>
          <w:rFonts w:ascii="Garamond" w:eastAsiaTheme="minorHAnsi" w:hAnsi="Garamond" w:cs="Arial"/>
          <w:sz w:val="24"/>
          <w:szCs w:val="24"/>
        </w:rPr>
        <w:t xml:space="preserve"> Política d</w:t>
      </w:r>
      <w:r w:rsidR="00C154FC" w:rsidRPr="003A1174">
        <w:rPr>
          <w:rFonts w:ascii="Garamond" w:eastAsiaTheme="minorHAnsi" w:hAnsi="Garamond" w:cs="Arial"/>
          <w:sz w:val="24"/>
          <w:szCs w:val="24"/>
        </w:rPr>
        <w:t>a Costa Rica, d</w:t>
      </w:r>
      <w:r w:rsidR="00577289" w:rsidRPr="003A1174">
        <w:rPr>
          <w:rFonts w:ascii="Garamond" w:eastAsiaTheme="minorHAnsi" w:hAnsi="Garamond" w:cs="Arial"/>
          <w:sz w:val="24"/>
          <w:szCs w:val="24"/>
        </w:rPr>
        <w:t>os instrumentos internaciona</w:t>
      </w:r>
      <w:r w:rsidR="00C154FC" w:rsidRPr="003A1174">
        <w:rPr>
          <w:rFonts w:ascii="Garamond" w:eastAsiaTheme="minorHAnsi" w:hAnsi="Garamond" w:cs="Arial"/>
          <w:sz w:val="24"/>
          <w:szCs w:val="24"/>
        </w:rPr>
        <w:t>is</w:t>
      </w:r>
      <w:r w:rsidR="00577289"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154FC" w:rsidRPr="003A1174">
        <w:rPr>
          <w:rFonts w:ascii="Garamond" w:eastAsiaTheme="minorHAnsi" w:hAnsi="Garamond" w:cs="Arial"/>
          <w:sz w:val="24"/>
          <w:szCs w:val="24"/>
        </w:rPr>
        <w:t xml:space="preserve"> d</w:t>
      </w:r>
      <w:r w:rsidR="00577289" w:rsidRPr="003A1174">
        <w:rPr>
          <w:rFonts w:ascii="Garamond" w:eastAsiaTheme="minorHAnsi" w:hAnsi="Garamond" w:cs="Arial"/>
          <w:sz w:val="24"/>
          <w:szCs w:val="24"/>
        </w:rPr>
        <w:t xml:space="preserve">a </w:t>
      </w:r>
      <w:r w:rsidR="00682C71" w:rsidRPr="003A1174">
        <w:rPr>
          <w:rFonts w:ascii="Garamond" w:eastAsiaTheme="minorHAnsi" w:hAnsi="Garamond" w:cs="Arial"/>
          <w:sz w:val="24"/>
          <w:szCs w:val="24"/>
        </w:rPr>
        <w:t>jurisprudência</w:t>
      </w:r>
      <w:r w:rsidR="00577289" w:rsidRPr="003A1174">
        <w:rPr>
          <w:rFonts w:ascii="Garamond" w:eastAsiaTheme="minorHAnsi" w:hAnsi="Garamond" w:cs="Arial"/>
          <w:sz w:val="24"/>
          <w:szCs w:val="24"/>
        </w:rPr>
        <w:t xml:space="preserve"> constitucional emitida sobre </w:t>
      </w:r>
      <w:r w:rsidR="00C154FC" w:rsidRPr="003A1174">
        <w:rPr>
          <w:rFonts w:ascii="Garamond" w:eastAsiaTheme="minorHAnsi" w:hAnsi="Garamond" w:cs="Arial"/>
          <w:sz w:val="24"/>
          <w:szCs w:val="24"/>
        </w:rPr>
        <w:t xml:space="preserve">o </w:t>
      </w:r>
      <w:r w:rsidR="00577289" w:rsidRPr="003A1174">
        <w:rPr>
          <w:rFonts w:ascii="Garamond" w:eastAsiaTheme="minorHAnsi" w:hAnsi="Garamond" w:cs="Arial"/>
          <w:sz w:val="24"/>
          <w:szCs w:val="24"/>
        </w:rPr>
        <w:t xml:space="preserve">tema. </w:t>
      </w:r>
    </w:p>
    <w:p w:rsidR="00577289" w:rsidRPr="003A1174" w:rsidRDefault="00577289"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Mediante </w:t>
      </w:r>
      <w:r w:rsidR="00C154FC" w:rsidRPr="003A1174">
        <w:rPr>
          <w:rFonts w:ascii="Garamond" w:eastAsiaTheme="minorHAnsi" w:hAnsi="Garamond" w:cs="Arial"/>
          <w:sz w:val="24"/>
          <w:szCs w:val="24"/>
        </w:rPr>
        <w:t>o</w:t>
      </w:r>
      <w:r w:rsidRPr="003A1174">
        <w:rPr>
          <w:rFonts w:ascii="Garamond" w:eastAsiaTheme="minorHAnsi" w:hAnsi="Garamond" w:cs="Arial"/>
          <w:sz w:val="24"/>
          <w:szCs w:val="24"/>
        </w:rPr>
        <w:t xml:space="preserve"> Voto N</w:t>
      </w:r>
      <w:r w:rsidR="00AC60CD">
        <w:rPr>
          <w:rFonts w:ascii="Garamond" w:eastAsiaTheme="minorHAnsi" w:hAnsi="Garamond" w:cs="Arial"/>
          <w:sz w:val="24"/>
          <w:szCs w:val="24"/>
        </w:rPr>
        <w:t>.</w:t>
      </w:r>
      <w:r w:rsidRPr="003A1174">
        <w:rPr>
          <w:rFonts w:ascii="Garamond" w:eastAsiaTheme="minorHAnsi" w:hAnsi="Garamond" w:cs="Arial"/>
          <w:sz w:val="24"/>
          <w:szCs w:val="24"/>
        </w:rPr>
        <w:t>° 14</w:t>
      </w:r>
      <w:r w:rsidR="00AC60CD">
        <w:rPr>
          <w:rFonts w:ascii="Garamond" w:eastAsiaTheme="minorHAnsi" w:hAnsi="Garamond" w:cs="Arial"/>
          <w:sz w:val="24"/>
          <w:szCs w:val="24"/>
        </w:rPr>
        <w:t xml:space="preserve"> </w:t>
      </w:r>
      <w:r w:rsidR="00C154FC" w:rsidRPr="003A1174">
        <w:rPr>
          <w:rFonts w:ascii="Garamond" w:eastAsiaTheme="minorHAnsi" w:hAnsi="Garamond" w:cs="Arial"/>
          <w:sz w:val="24"/>
          <w:szCs w:val="24"/>
        </w:rPr>
        <w:t xml:space="preserve">522-2014, </w:t>
      </w:r>
      <w:r w:rsidRPr="003A1174">
        <w:rPr>
          <w:rFonts w:ascii="Garamond" w:eastAsiaTheme="minorHAnsi" w:hAnsi="Garamond" w:cs="Arial"/>
          <w:sz w:val="24"/>
          <w:szCs w:val="24"/>
        </w:rPr>
        <w:t>a Sala Constitucional declar</w:t>
      </w:r>
      <w:r w:rsidR="00C154FC" w:rsidRPr="003A1174">
        <w:rPr>
          <w:rFonts w:ascii="Garamond" w:eastAsiaTheme="minorHAnsi" w:hAnsi="Garamond" w:cs="Arial"/>
          <w:sz w:val="24"/>
          <w:szCs w:val="24"/>
        </w:rPr>
        <w:t xml:space="preserve">ou válido o </w:t>
      </w:r>
      <w:r w:rsidRPr="003A1174">
        <w:rPr>
          <w:rFonts w:ascii="Garamond" w:eastAsiaTheme="minorHAnsi" w:hAnsi="Garamond" w:cs="Arial"/>
          <w:sz w:val="24"/>
          <w:szCs w:val="24"/>
        </w:rPr>
        <w:t>Recurso de Amparo</w:t>
      </w:r>
      <w:r w:rsidR="00E5151D" w:rsidRPr="003A1174">
        <w:rPr>
          <w:rFonts w:ascii="Garamond" w:eastAsiaTheme="minorHAnsi" w:hAnsi="Garamond" w:cs="Arial"/>
          <w:sz w:val="24"/>
          <w:szCs w:val="24"/>
        </w:rPr>
        <w:t>;</w:t>
      </w:r>
      <w:r w:rsidRPr="003A1174">
        <w:rPr>
          <w:rFonts w:ascii="Garamond" w:eastAsiaTheme="minorHAnsi" w:hAnsi="Garamond" w:cs="Arial"/>
          <w:sz w:val="24"/>
          <w:szCs w:val="24"/>
        </w:rPr>
        <w:t xml:space="preserve"> anul</w:t>
      </w:r>
      <w:r w:rsidR="00C154FC" w:rsidRPr="003A1174">
        <w:rPr>
          <w:rFonts w:ascii="Garamond" w:eastAsiaTheme="minorHAnsi" w:hAnsi="Garamond" w:cs="Arial"/>
          <w:sz w:val="24"/>
          <w:szCs w:val="24"/>
        </w:rPr>
        <w:t>ou as nomeações efetuada</w:t>
      </w:r>
      <w:r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orden</w:t>
      </w:r>
      <w:r w:rsidR="00C154FC" w:rsidRPr="003A1174">
        <w:rPr>
          <w:rFonts w:ascii="Garamond" w:eastAsiaTheme="minorHAnsi" w:hAnsi="Garamond" w:cs="Arial"/>
          <w:sz w:val="24"/>
          <w:szCs w:val="24"/>
        </w:rPr>
        <w:t xml:space="preserve">ou que se </w:t>
      </w:r>
      <w:r w:rsidRPr="003A1174">
        <w:rPr>
          <w:rFonts w:ascii="Garamond" w:eastAsiaTheme="minorHAnsi" w:hAnsi="Garamond" w:cs="Arial"/>
          <w:sz w:val="24"/>
          <w:szCs w:val="24"/>
        </w:rPr>
        <w:t>solicita</w:t>
      </w:r>
      <w:r w:rsidR="00C154FC" w:rsidRPr="003A1174">
        <w:rPr>
          <w:rFonts w:ascii="Garamond" w:eastAsiaTheme="minorHAnsi" w:hAnsi="Garamond" w:cs="Arial"/>
          <w:sz w:val="24"/>
          <w:szCs w:val="24"/>
        </w:rPr>
        <w:t>sse a</w:t>
      </w:r>
      <w:r w:rsidRPr="003A1174">
        <w:rPr>
          <w:rFonts w:ascii="Garamond" w:eastAsiaTheme="minorHAnsi" w:hAnsi="Garamond" w:cs="Arial"/>
          <w:sz w:val="24"/>
          <w:szCs w:val="24"/>
        </w:rPr>
        <w:t xml:space="preserve">os partidos políticos </w:t>
      </w:r>
      <w:r w:rsidR="00C154FC" w:rsidRPr="003A1174">
        <w:rPr>
          <w:rFonts w:ascii="Garamond" w:eastAsiaTheme="minorHAnsi" w:hAnsi="Garamond" w:cs="Arial"/>
          <w:sz w:val="24"/>
          <w:szCs w:val="24"/>
        </w:rPr>
        <w:t>que a</w:t>
      </w:r>
      <w:r w:rsidRPr="003A1174">
        <w:rPr>
          <w:rFonts w:ascii="Garamond" w:eastAsiaTheme="minorHAnsi" w:hAnsi="Garamond" w:cs="Arial"/>
          <w:sz w:val="24"/>
          <w:szCs w:val="24"/>
        </w:rPr>
        <w:t>presenta</w:t>
      </w:r>
      <w:r w:rsidR="00C154FC" w:rsidRPr="003A1174">
        <w:rPr>
          <w:rFonts w:ascii="Garamond" w:eastAsiaTheme="minorHAnsi" w:hAnsi="Garamond" w:cs="Arial"/>
          <w:sz w:val="24"/>
          <w:szCs w:val="24"/>
        </w:rPr>
        <w:t>ssem</w:t>
      </w:r>
      <w:r w:rsidRPr="003A1174">
        <w:rPr>
          <w:rFonts w:ascii="Garamond" w:eastAsiaTheme="minorHAnsi" w:hAnsi="Garamond" w:cs="Arial"/>
          <w:sz w:val="24"/>
          <w:szCs w:val="24"/>
        </w:rPr>
        <w:t xml:space="preserve"> </w:t>
      </w:r>
      <w:r w:rsidR="00AC60CD">
        <w:rPr>
          <w:rFonts w:ascii="Garamond" w:eastAsiaTheme="minorHAnsi" w:hAnsi="Garamond" w:cs="Arial"/>
          <w:sz w:val="24"/>
          <w:szCs w:val="24"/>
        </w:rPr>
        <w:t xml:space="preserve">grupos de três pessoas, </w:t>
      </w:r>
      <w:r w:rsidR="00C154FC" w:rsidRPr="003A1174">
        <w:rPr>
          <w:rFonts w:ascii="Garamond" w:eastAsiaTheme="minorHAnsi" w:hAnsi="Garamond" w:cs="Arial"/>
          <w:sz w:val="24"/>
          <w:szCs w:val="24"/>
        </w:rPr>
        <w:t>entendendo</w:t>
      </w:r>
      <w:r w:rsidR="00AC60CD">
        <w:rPr>
          <w:rFonts w:ascii="Garamond" w:eastAsiaTheme="minorHAnsi" w:hAnsi="Garamond" w:cs="Arial"/>
          <w:sz w:val="24"/>
          <w:szCs w:val="24"/>
        </w:rPr>
        <w:t>-se</w:t>
      </w:r>
      <w:r w:rsidR="00C154FC" w:rsidRPr="003A1174">
        <w:rPr>
          <w:rFonts w:ascii="Garamond" w:eastAsiaTheme="minorHAnsi" w:hAnsi="Garamond" w:cs="Arial"/>
          <w:sz w:val="24"/>
          <w:szCs w:val="24"/>
        </w:rPr>
        <w:t xml:space="preserve"> </w:t>
      </w:r>
      <w:r w:rsidRPr="003A1174">
        <w:rPr>
          <w:rFonts w:ascii="Garamond" w:eastAsiaTheme="minorHAnsi" w:hAnsi="Garamond" w:cs="Arial"/>
          <w:sz w:val="24"/>
          <w:szCs w:val="24"/>
        </w:rPr>
        <w:t>que</w:t>
      </w:r>
      <w:r w:rsidR="00AC60CD">
        <w:rPr>
          <w:rFonts w:ascii="Garamond" w:eastAsiaTheme="minorHAnsi" w:hAnsi="Garamond" w:cs="Arial"/>
          <w:sz w:val="24"/>
          <w:szCs w:val="24"/>
        </w:rPr>
        <w:t>,</w:t>
      </w:r>
      <w:r w:rsidRPr="003A1174">
        <w:rPr>
          <w:rFonts w:ascii="Garamond" w:eastAsiaTheme="minorHAnsi" w:hAnsi="Garamond" w:cs="Arial"/>
          <w:sz w:val="24"/>
          <w:szCs w:val="24"/>
        </w:rPr>
        <w:t xml:space="preserve"> e</w:t>
      </w:r>
      <w:r w:rsidR="00C154FC" w:rsidRPr="003A1174">
        <w:rPr>
          <w:rFonts w:ascii="Garamond" w:eastAsiaTheme="minorHAnsi" w:hAnsi="Garamond" w:cs="Arial"/>
          <w:sz w:val="24"/>
          <w:szCs w:val="24"/>
        </w:rPr>
        <w:t>m cada um d</w:t>
      </w:r>
      <w:r w:rsidR="007407BD" w:rsidRPr="003A1174">
        <w:rPr>
          <w:rFonts w:ascii="Garamond" w:eastAsiaTheme="minorHAnsi" w:hAnsi="Garamond" w:cs="Arial"/>
          <w:sz w:val="24"/>
          <w:szCs w:val="24"/>
        </w:rPr>
        <w:t>estes</w:t>
      </w:r>
      <w:r w:rsidRPr="003A1174">
        <w:rPr>
          <w:rFonts w:ascii="Garamond" w:eastAsiaTheme="minorHAnsi" w:hAnsi="Garamond" w:cs="Arial"/>
          <w:sz w:val="24"/>
          <w:szCs w:val="24"/>
        </w:rPr>
        <w:t xml:space="preserve"> p</w:t>
      </w:r>
      <w:r w:rsidR="00C154FC" w:rsidRPr="003A1174">
        <w:rPr>
          <w:rFonts w:ascii="Garamond" w:eastAsiaTheme="minorHAnsi" w:hAnsi="Garamond" w:cs="Arial"/>
          <w:sz w:val="24"/>
          <w:szCs w:val="24"/>
        </w:rPr>
        <w:t>o</w:t>
      </w:r>
      <w:r w:rsidRPr="003A1174">
        <w:rPr>
          <w:rFonts w:ascii="Garamond" w:eastAsiaTheme="minorHAnsi" w:hAnsi="Garamond" w:cs="Arial"/>
          <w:sz w:val="24"/>
          <w:szCs w:val="24"/>
        </w:rPr>
        <w:t>stos</w:t>
      </w:r>
      <w:r w:rsidR="00AC60CD">
        <w:rPr>
          <w:rFonts w:ascii="Garamond" w:eastAsiaTheme="minorHAnsi" w:hAnsi="Garamond" w:cs="Arial"/>
          <w:sz w:val="24"/>
          <w:szCs w:val="24"/>
        </w:rPr>
        <w:t>,</w:t>
      </w:r>
      <w:r w:rsidRPr="003A1174">
        <w:rPr>
          <w:rFonts w:ascii="Garamond" w:eastAsiaTheme="minorHAnsi" w:hAnsi="Garamond" w:cs="Arial"/>
          <w:sz w:val="24"/>
          <w:szCs w:val="24"/>
        </w:rPr>
        <w:t xml:space="preserve"> </w:t>
      </w:r>
      <w:r w:rsidR="00C154FC" w:rsidRPr="003A1174">
        <w:rPr>
          <w:rFonts w:ascii="Garamond" w:eastAsiaTheme="minorHAnsi" w:hAnsi="Garamond" w:cs="Arial"/>
          <w:sz w:val="24"/>
          <w:szCs w:val="24"/>
        </w:rPr>
        <w:t xml:space="preserve">se devia nomear uma </w:t>
      </w:r>
      <w:r w:rsidR="00AF192F" w:rsidRPr="003A1174">
        <w:rPr>
          <w:rFonts w:ascii="Garamond" w:eastAsiaTheme="minorHAnsi" w:hAnsi="Garamond" w:cs="Arial"/>
          <w:sz w:val="24"/>
          <w:szCs w:val="24"/>
        </w:rPr>
        <w:t>mulher</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u</w:t>
      </w:r>
      <w:r w:rsidR="00C154FC"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524936" w:rsidRPr="003A1174">
        <w:rPr>
          <w:rFonts w:ascii="Garamond" w:eastAsiaTheme="minorHAnsi" w:hAnsi="Garamond" w:cs="Arial"/>
          <w:sz w:val="24"/>
          <w:szCs w:val="24"/>
        </w:rPr>
        <w:t>homem</w:t>
      </w:r>
      <w:r w:rsidR="00E5151D"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que </w:t>
      </w:r>
      <w:r w:rsidR="00C154FC" w:rsidRPr="003A1174">
        <w:rPr>
          <w:rFonts w:ascii="Garamond" w:eastAsiaTheme="minorHAnsi" w:hAnsi="Garamond" w:cs="Arial"/>
          <w:sz w:val="24"/>
          <w:szCs w:val="24"/>
        </w:rPr>
        <w:t>o</w:t>
      </w:r>
      <w:r w:rsidRPr="003A1174">
        <w:rPr>
          <w:rFonts w:ascii="Garamond" w:eastAsiaTheme="minorHAnsi" w:hAnsi="Garamond" w:cs="Arial"/>
          <w:sz w:val="24"/>
          <w:szCs w:val="24"/>
        </w:rPr>
        <w:t xml:space="preserve">s </w:t>
      </w:r>
      <w:r w:rsidR="00AC60CD">
        <w:rPr>
          <w:rFonts w:ascii="Garamond" w:eastAsiaTheme="minorHAnsi" w:hAnsi="Garamond" w:cs="Arial"/>
          <w:sz w:val="24"/>
          <w:szCs w:val="24"/>
        </w:rPr>
        <w:t xml:space="preserve">referidos grupos </w:t>
      </w:r>
      <w:r w:rsidR="00C154FC" w:rsidRPr="003A1174">
        <w:rPr>
          <w:rFonts w:ascii="Garamond" w:eastAsiaTheme="minorHAnsi" w:hAnsi="Garamond" w:cs="Arial"/>
          <w:sz w:val="24"/>
          <w:szCs w:val="24"/>
        </w:rPr>
        <w:t>dev</w:t>
      </w:r>
      <w:r w:rsidR="00AC60CD">
        <w:rPr>
          <w:rFonts w:ascii="Garamond" w:eastAsiaTheme="minorHAnsi" w:hAnsi="Garamond" w:cs="Arial"/>
          <w:sz w:val="24"/>
          <w:szCs w:val="24"/>
        </w:rPr>
        <w:t>eriam</w:t>
      </w:r>
      <w:r w:rsidR="00C154FC"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respeitar</w:t>
      </w:r>
      <w:r w:rsidR="00C154FC" w:rsidRPr="003A1174">
        <w:rPr>
          <w:rFonts w:ascii="Garamond" w:eastAsiaTheme="minorHAnsi" w:hAnsi="Garamond" w:cs="Arial"/>
          <w:sz w:val="24"/>
          <w:szCs w:val="24"/>
        </w:rPr>
        <w:t xml:space="preserve"> a q</w:t>
      </w:r>
      <w:r w:rsidRPr="003A1174">
        <w:rPr>
          <w:rFonts w:ascii="Garamond" w:eastAsiaTheme="minorHAnsi" w:hAnsi="Garamond" w:cs="Arial"/>
          <w:sz w:val="24"/>
          <w:szCs w:val="24"/>
        </w:rPr>
        <w:t xml:space="preserve">uota de género. Sobre </w:t>
      </w:r>
      <w:r w:rsidR="00C154FC" w:rsidRPr="003A1174">
        <w:rPr>
          <w:rFonts w:ascii="Garamond" w:eastAsiaTheme="minorHAnsi" w:hAnsi="Garamond" w:cs="Arial"/>
          <w:sz w:val="24"/>
          <w:szCs w:val="24"/>
        </w:rPr>
        <w:t xml:space="preserve">este assunto em particular, </w:t>
      </w:r>
      <w:r w:rsidRPr="003A1174">
        <w:rPr>
          <w:rFonts w:ascii="Garamond" w:eastAsiaTheme="minorHAnsi" w:hAnsi="Garamond" w:cs="Arial"/>
          <w:sz w:val="24"/>
          <w:szCs w:val="24"/>
        </w:rPr>
        <w:t xml:space="preserve">a </w:t>
      </w:r>
      <w:r w:rsidR="00C154FC" w:rsidRPr="003A1174">
        <w:rPr>
          <w:rFonts w:ascii="Garamond" w:eastAsiaTheme="minorHAnsi" w:hAnsi="Garamond" w:cs="Arial"/>
          <w:sz w:val="24"/>
          <w:szCs w:val="24"/>
        </w:rPr>
        <w:t xml:space="preserve">Provedoria </w:t>
      </w:r>
      <w:r w:rsidRPr="003A1174">
        <w:rPr>
          <w:rFonts w:ascii="Garamond" w:eastAsiaTheme="minorHAnsi" w:hAnsi="Garamond" w:cs="Arial"/>
          <w:sz w:val="24"/>
          <w:szCs w:val="24"/>
        </w:rPr>
        <w:t xml:space="preserve">estima que esta </w:t>
      </w:r>
      <w:r w:rsidR="003F012B" w:rsidRPr="003A1174">
        <w:rPr>
          <w:rFonts w:ascii="Garamond" w:eastAsiaTheme="minorHAnsi" w:hAnsi="Garamond" w:cs="Arial"/>
          <w:sz w:val="24"/>
          <w:szCs w:val="24"/>
        </w:rPr>
        <w:t>resolução</w:t>
      </w:r>
      <w:r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constitui</w:t>
      </w:r>
      <w:r w:rsidRPr="003A1174">
        <w:rPr>
          <w:rFonts w:ascii="Garamond" w:eastAsiaTheme="minorHAnsi" w:hAnsi="Garamond" w:cs="Arial"/>
          <w:sz w:val="24"/>
          <w:szCs w:val="24"/>
        </w:rPr>
        <w:t xml:space="preserve"> u</w:t>
      </w:r>
      <w:r w:rsidR="00C154FC"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1F2F8B" w:rsidRPr="003A1174">
        <w:rPr>
          <w:rFonts w:ascii="Garamond" w:eastAsiaTheme="minorHAnsi" w:hAnsi="Garamond" w:cs="Arial"/>
          <w:sz w:val="24"/>
          <w:szCs w:val="24"/>
        </w:rPr>
        <w:t>passo</w:t>
      </w:r>
      <w:r w:rsidRPr="003A1174">
        <w:rPr>
          <w:rFonts w:ascii="Garamond" w:eastAsiaTheme="minorHAnsi" w:hAnsi="Garamond" w:cs="Arial"/>
          <w:sz w:val="24"/>
          <w:szCs w:val="24"/>
        </w:rPr>
        <w:t xml:space="preserve"> certe</w:t>
      </w:r>
      <w:r w:rsidR="00C154FC" w:rsidRPr="003A1174">
        <w:rPr>
          <w:rFonts w:ascii="Garamond" w:eastAsiaTheme="minorHAnsi" w:hAnsi="Garamond" w:cs="Arial"/>
          <w:sz w:val="24"/>
          <w:szCs w:val="24"/>
        </w:rPr>
        <w:t>i</w:t>
      </w:r>
      <w:r w:rsidRPr="003A1174">
        <w:rPr>
          <w:rFonts w:ascii="Garamond" w:eastAsiaTheme="minorHAnsi" w:hAnsi="Garamond" w:cs="Arial"/>
          <w:sz w:val="24"/>
          <w:szCs w:val="24"/>
        </w:rPr>
        <w:t>ro</w:t>
      </w:r>
      <w:r w:rsidR="00C154FC" w:rsidRPr="003A1174">
        <w:rPr>
          <w:rFonts w:ascii="Garamond" w:eastAsiaTheme="minorHAnsi" w:hAnsi="Garamond" w:cs="Arial"/>
          <w:sz w:val="24"/>
          <w:szCs w:val="24"/>
        </w:rPr>
        <w:t xml:space="preserve"> na direção da </w:t>
      </w:r>
      <w:r w:rsidR="008E7A2A" w:rsidRPr="003A1174">
        <w:rPr>
          <w:rFonts w:ascii="Garamond" w:eastAsiaTheme="minorHAnsi" w:hAnsi="Garamond" w:cs="Arial"/>
          <w:sz w:val="24"/>
          <w:szCs w:val="24"/>
        </w:rPr>
        <w:t>eliminação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Pr="003A1174">
        <w:rPr>
          <w:rFonts w:ascii="Garamond" w:eastAsiaTheme="minorHAnsi" w:hAnsi="Garamond" w:cs="Arial"/>
          <w:sz w:val="24"/>
          <w:szCs w:val="24"/>
        </w:rPr>
        <w:t xml:space="preserve"> desigualdades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discrimi</w:t>
      </w:r>
      <w:r w:rsidR="003F012B" w:rsidRPr="003A1174">
        <w:rPr>
          <w:rFonts w:ascii="Garamond" w:eastAsiaTheme="minorHAnsi" w:hAnsi="Garamond" w:cs="Arial"/>
          <w:sz w:val="24"/>
          <w:szCs w:val="24"/>
        </w:rPr>
        <w:t>nações</w:t>
      </w:r>
      <w:r w:rsidRPr="003A1174">
        <w:rPr>
          <w:rFonts w:ascii="Garamond" w:eastAsiaTheme="minorHAnsi" w:hAnsi="Garamond" w:cs="Arial"/>
          <w:sz w:val="24"/>
          <w:szCs w:val="24"/>
        </w:rPr>
        <w:t xml:space="preserve"> contra </w:t>
      </w:r>
      <w:r w:rsidR="00497503" w:rsidRPr="003A1174">
        <w:rPr>
          <w:rFonts w:ascii="Garamond" w:eastAsiaTheme="minorHAnsi" w:hAnsi="Garamond" w:cs="Arial"/>
          <w:sz w:val="24"/>
          <w:szCs w:val="24"/>
        </w:rPr>
        <w:t>as</w:t>
      </w:r>
      <w:r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Pr="003A1174">
        <w:rPr>
          <w:rFonts w:ascii="Garamond" w:eastAsiaTheme="minorHAnsi" w:hAnsi="Garamond" w:cs="Arial"/>
          <w:sz w:val="24"/>
          <w:szCs w:val="24"/>
        </w:rPr>
        <w:t xml:space="preserve">. </w:t>
      </w:r>
    </w:p>
    <w:p w:rsidR="00577289" w:rsidRPr="003A1174" w:rsidRDefault="00577289"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Por último, </w:t>
      </w:r>
      <w:r w:rsidR="00C154FC" w:rsidRPr="003A1174">
        <w:rPr>
          <w:rFonts w:ascii="Garamond" w:eastAsiaTheme="minorHAnsi" w:hAnsi="Garamond" w:cs="Arial"/>
          <w:sz w:val="24"/>
          <w:szCs w:val="24"/>
        </w:rPr>
        <w:t xml:space="preserve">no </w:t>
      </w:r>
      <w:r w:rsidR="00802ACC" w:rsidRPr="003A1174">
        <w:rPr>
          <w:rFonts w:ascii="Garamond" w:eastAsiaTheme="minorHAnsi" w:hAnsi="Garamond" w:cs="Arial"/>
          <w:sz w:val="24"/>
          <w:szCs w:val="24"/>
        </w:rPr>
        <w:t>âmbito</w:t>
      </w:r>
      <w:r w:rsidRPr="003A1174">
        <w:rPr>
          <w:rFonts w:ascii="Garamond" w:eastAsiaTheme="minorHAnsi" w:hAnsi="Garamond" w:cs="Arial"/>
          <w:sz w:val="24"/>
          <w:szCs w:val="24"/>
        </w:rPr>
        <w:t xml:space="preserve"> administrativo </w:t>
      </w:r>
      <w:r w:rsidR="00C154FC" w:rsidRPr="003A1174">
        <w:rPr>
          <w:rFonts w:ascii="Garamond" w:eastAsiaTheme="minorHAnsi" w:hAnsi="Garamond" w:cs="Arial"/>
          <w:sz w:val="24"/>
          <w:szCs w:val="24"/>
        </w:rPr>
        <w:t xml:space="preserve">contam-se com </w:t>
      </w:r>
      <w:r w:rsidR="003F012B" w:rsidRPr="003A1174">
        <w:rPr>
          <w:rFonts w:ascii="Garamond" w:eastAsiaTheme="minorHAnsi" w:hAnsi="Garamond" w:cs="Arial"/>
          <w:sz w:val="24"/>
          <w:szCs w:val="24"/>
        </w:rPr>
        <w:t>proce</w:t>
      </w:r>
      <w:r w:rsidR="00C154FC" w:rsidRPr="003A1174">
        <w:rPr>
          <w:rFonts w:ascii="Garamond" w:eastAsiaTheme="minorHAnsi" w:hAnsi="Garamond" w:cs="Arial"/>
          <w:sz w:val="24"/>
          <w:szCs w:val="24"/>
        </w:rPr>
        <w:t xml:space="preserve">ssos </w:t>
      </w:r>
      <w:r w:rsidRPr="003A1174">
        <w:rPr>
          <w:rFonts w:ascii="Garamond" w:eastAsiaTheme="minorHAnsi" w:hAnsi="Garamond" w:cs="Arial"/>
          <w:sz w:val="24"/>
          <w:szCs w:val="24"/>
        </w:rPr>
        <w:t xml:space="preserve">por </w:t>
      </w:r>
      <w:r w:rsidR="001A53AD" w:rsidRPr="003A1174">
        <w:rPr>
          <w:rFonts w:ascii="Garamond" w:eastAsiaTheme="minorHAnsi" w:hAnsi="Garamond" w:cs="Arial"/>
          <w:sz w:val="24"/>
          <w:szCs w:val="24"/>
        </w:rPr>
        <w:t>Assédio Sexual</w:t>
      </w:r>
      <w:r w:rsidR="00A17210">
        <w:rPr>
          <w:rFonts w:ascii="Garamond" w:eastAsiaTheme="minorHAnsi" w:hAnsi="Garamond" w:cs="Arial"/>
          <w:sz w:val="24"/>
          <w:szCs w:val="24"/>
        </w:rPr>
        <w:t>,</w:t>
      </w:r>
      <w:r w:rsidR="00C154FC" w:rsidRPr="003A1174">
        <w:rPr>
          <w:rFonts w:ascii="Garamond" w:eastAsiaTheme="minorHAnsi" w:hAnsi="Garamond" w:cs="Arial"/>
          <w:sz w:val="24"/>
          <w:szCs w:val="24"/>
        </w:rPr>
        <w:t xml:space="preserve"> com data recente</w:t>
      </w:r>
      <w:r w:rsidR="00A17210">
        <w:rPr>
          <w:rFonts w:ascii="Garamond" w:eastAsiaTheme="minorHAnsi" w:hAnsi="Garamond" w:cs="Arial"/>
          <w:sz w:val="24"/>
          <w:szCs w:val="24"/>
        </w:rPr>
        <w:t>,</w:t>
      </w:r>
      <w:r w:rsidR="00C154FC" w:rsidRPr="003A1174">
        <w:rPr>
          <w:rFonts w:ascii="Garamond" w:eastAsiaTheme="minorHAnsi" w:hAnsi="Garamond" w:cs="Arial"/>
          <w:sz w:val="24"/>
          <w:szCs w:val="24"/>
        </w:rPr>
        <w:t xml:space="preserve"> em que os </w:t>
      </w:r>
      <w:r w:rsidR="006A293D" w:rsidRPr="003A1174">
        <w:rPr>
          <w:rFonts w:ascii="Garamond" w:eastAsiaTheme="minorHAnsi" w:hAnsi="Garamond" w:cs="Arial"/>
          <w:sz w:val="24"/>
          <w:szCs w:val="24"/>
        </w:rPr>
        <w:t>agressores</w:t>
      </w:r>
      <w:r w:rsidRPr="003A1174">
        <w:rPr>
          <w:rFonts w:ascii="Garamond" w:eastAsiaTheme="minorHAnsi" w:hAnsi="Garamond" w:cs="Arial"/>
          <w:sz w:val="24"/>
          <w:szCs w:val="24"/>
        </w:rPr>
        <w:t xml:space="preserve"> </w:t>
      </w:r>
      <w:r w:rsidR="00C154FC" w:rsidRPr="003A1174">
        <w:rPr>
          <w:rFonts w:ascii="Garamond" w:eastAsiaTheme="minorHAnsi" w:hAnsi="Garamond" w:cs="Arial"/>
          <w:sz w:val="24"/>
          <w:szCs w:val="24"/>
        </w:rPr>
        <w:t xml:space="preserve">sexuais </w:t>
      </w:r>
      <w:r w:rsidR="006F7581">
        <w:rPr>
          <w:rFonts w:ascii="Garamond" w:eastAsiaTheme="minorHAnsi" w:hAnsi="Garamond" w:cs="Arial"/>
          <w:sz w:val="24"/>
          <w:szCs w:val="24"/>
        </w:rPr>
        <w:t>-</w:t>
      </w:r>
      <w:r w:rsidR="00C154FC" w:rsidRPr="003A1174">
        <w:rPr>
          <w:rFonts w:ascii="Garamond" w:eastAsiaTheme="minorHAnsi" w:hAnsi="Garamond" w:cs="Arial"/>
          <w:sz w:val="24"/>
          <w:szCs w:val="24"/>
        </w:rPr>
        <w:t xml:space="preserve"> </w:t>
      </w:r>
      <w:r w:rsidRPr="003A1174">
        <w:rPr>
          <w:rFonts w:ascii="Garamond" w:eastAsiaTheme="minorHAnsi" w:hAnsi="Garamond" w:cs="Arial"/>
          <w:sz w:val="24"/>
          <w:szCs w:val="24"/>
        </w:rPr>
        <w:t>que ostenta</w:t>
      </w:r>
      <w:r w:rsidR="00C154FC" w:rsidRPr="003A1174">
        <w:rPr>
          <w:rFonts w:ascii="Garamond" w:eastAsiaTheme="minorHAnsi" w:hAnsi="Garamond" w:cs="Arial"/>
          <w:sz w:val="24"/>
          <w:szCs w:val="24"/>
        </w:rPr>
        <w:t xml:space="preserve">vam </w:t>
      </w:r>
      <w:r w:rsidRPr="003A1174">
        <w:rPr>
          <w:rFonts w:ascii="Garamond" w:eastAsiaTheme="minorHAnsi" w:hAnsi="Garamond" w:cs="Arial"/>
          <w:sz w:val="24"/>
          <w:szCs w:val="24"/>
        </w:rPr>
        <w:t xml:space="preserve">cargos de alta </w:t>
      </w:r>
      <w:r w:rsidR="00983C71" w:rsidRPr="003A1174">
        <w:rPr>
          <w:rFonts w:ascii="Garamond" w:eastAsiaTheme="minorHAnsi" w:hAnsi="Garamond" w:cs="Arial"/>
          <w:sz w:val="24"/>
          <w:szCs w:val="24"/>
        </w:rPr>
        <w:t>hierarquia</w:t>
      </w:r>
      <w:r w:rsidRPr="003A1174">
        <w:rPr>
          <w:rFonts w:ascii="Garamond" w:eastAsiaTheme="minorHAnsi" w:hAnsi="Garamond" w:cs="Arial"/>
          <w:sz w:val="24"/>
          <w:szCs w:val="24"/>
        </w:rPr>
        <w:t xml:space="preserve"> </w:t>
      </w:r>
      <w:r w:rsidR="00C154FC" w:rsidRPr="003A1174">
        <w:rPr>
          <w:rFonts w:ascii="Garamond" w:eastAsiaTheme="minorHAnsi" w:hAnsi="Garamond" w:cs="Arial"/>
          <w:sz w:val="24"/>
          <w:szCs w:val="24"/>
        </w:rPr>
        <w:t xml:space="preserve">no </w:t>
      </w:r>
      <w:r w:rsidRPr="003A1174">
        <w:rPr>
          <w:rFonts w:ascii="Garamond" w:eastAsiaTheme="minorHAnsi" w:hAnsi="Garamond" w:cs="Arial"/>
          <w:sz w:val="24"/>
          <w:szCs w:val="24"/>
        </w:rPr>
        <w:t>país</w:t>
      </w:r>
      <w:r w:rsidR="00C154FC" w:rsidRPr="003A1174">
        <w:rPr>
          <w:rFonts w:ascii="Garamond" w:eastAsiaTheme="minorHAnsi" w:hAnsi="Garamond" w:cs="Arial"/>
          <w:sz w:val="24"/>
          <w:szCs w:val="24"/>
        </w:rPr>
        <w:t xml:space="preserve"> </w:t>
      </w:r>
      <w:r w:rsidR="006F7581">
        <w:rPr>
          <w:rFonts w:ascii="Garamond" w:eastAsiaTheme="minorHAnsi" w:hAnsi="Garamond" w:cs="Arial"/>
          <w:sz w:val="24"/>
          <w:szCs w:val="24"/>
        </w:rPr>
        <w:t>-</w:t>
      </w:r>
      <w:r w:rsidRPr="003A1174">
        <w:rPr>
          <w:rFonts w:ascii="Garamond" w:eastAsiaTheme="minorHAnsi" w:hAnsi="Garamond" w:cs="Arial"/>
          <w:sz w:val="24"/>
          <w:szCs w:val="24"/>
        </w:rPr>
        <w:t xml:space="preserve"> f</w:t>
      </w:r>
      <w:r w:rsidR="00C154FC" w:rsidRPr="003A1174">
        <w:rPr>
          <w:rFonts w:ascii="Garamond" w:eastAsiaTheme="minorHAnsi" w:hAnsi="Garamond" w:cs="Arial"/>
          <w:sz w:val="24"/>
          <w:szCs w:val="24"/>
        </w:rPr>
        <w:t xml:space="preserve">oram considerados </w:t>
      </w:r>
      <w:r w:rsidRPr="003A1174">
        <w:rPr>
          <w:rFonts w:ascii="Garamond" w:eastAsiaTheme="minorHAnsi" w:hAnsi="Garamond" w:cs="Arial"/>
          <w:sz w:val="24"/>
          <w:szCs w:val="24"/>
        </w:rPr>
        <w:t>culpa</w:t>
      </w:r>
      <w:r w:rsidR="00C154FC" w:rsidRPr="003A1174">
        <w:rPr>
          <w:rFonts w:ascii="Garamond" w:eastAsiaTheme="minorHAnsi" w:hAnsi="Garamond" w:cs="Arial"/>
          <w:sz w:val="24"/>
          <w:szCs w:val="24"/>
        </w:rPr>
        <w:t xml:space="preserve">dos e despedidos em </w:t>
      </w:r>
      <w:r w:rsidRPr="003A1174">
        <w:rPr>
          <w:rFonts w:ascii="Garamond" w:eastAsiaTheme="minorHAnsi" w:hAnsi="Garamond" w:cs="Arial"/>
          <w:sz w:val="24"/>
          <w:szCs w:val="24"/>
        </w:rPr>
        <w:t xml:space="preserve">seguida, </w:t>
      </w:r>
      <w:r w:rsidR="00275092" w:rsidRPr="003A1174">
        <w:rPr>
          <w:rFonts w:ascii="Garamond" w:eastAsiaTheme="minorHAnsi" w:hAnsi="Garamond" w:cs="Arial"/>
          <w:sz w:val="24"/>
          <w:szCs w:val="24"/>
        </w:rPr>
        <w:t>pela</w:t>
      </w:r>
      <w:r w:rsidRPr="003A1174">
        <w:rPr>
          <w:rFonts w:ascii="Garamond" w:eastAsiaTheme="minorHAnsi" w:hAnsi="Garamond" w:cs="Arial"/>
          <w:sz w:val="24"/>
          <w:szCs w:val="24"/>
        </w:rPr>
        <w:t xml:space="preserve">s autoridades administrativas competentes. </w:t>
      </w:r>
      <w:r w:rsidR="009B133A" w:rsidRPr="003A1174">
        <w:rPr>
          <w:rFonts w:ascii="Garamond" w:eastAsiaTheme="minorHAnsi" w:hAnsi="Garamond" w:cs="Arial"/>
          <w:sz w:val="24"/>
          <w:szCs w:val="24"/>
        </w:rPr>
        <w:t>Especificamente</w:t>
      </w:r>
      <w:r w:rsidR="00E5151D" w:rsidRPr="003A1174">
        <w:rPr>
          <w:rFonts w:ascii="Garamond" w:eastAsiaTheme="minorHAnsi" w:hAnsi="Garamond" w:cs="Arial"/>
          <w:sz w:val="24"/>
          <w:szCs w:val="24"/>
        </w:rPr>
        <w:t xml:space="preserve">, </w:t>
      </w:r>
      <w:r w:rsidR="00C154FC" w:rsidRPr="003A1174">
        <w:rPr>
          <w:rFonts w:ascii="Garamond" w:eastAsiaTheme="minorHAnsi" w:hAnsi="Garamond" w:cs="Arial"/>
          <w:sz w:val="24"/>
          <w:szCs w:val="24"/>
        </w:rPr>
        <w:t>trata-</w:t>
      </w:r>
      <w:r w:rsidR="00E5151D" w:rsidRPr="003A1174">
        <w:rPr>
          <w:rFonts w:ascii="Garamond" w:eastAsiaTheme="minorHAnsi" w:hAnsi="Garamond" w:cs="Arial"/>
          <w:sz w:val="24"/>
          <w:szCs w:val="24"/>
        </w:rPr>
        <w:t xml:space="preserve">se </w:t>
      </w:r>
      <w:r w:rsidR="008A3DA2" w:rsidRPr="003A1174">
        <w:rPr>
          <w:rFonts w:ascii="Garamond" w:eastAsiaTheme="minorHAnsi" w:hAnsi="Garamond" w:cs="Arial"/>
          <w:sz w:val="24"/>
          <w:szCs w:val="24"/>
        </w:rPr>
        <w:t>do</w:t>
      </w:r>
      <w:r w:rsidRPr="003A1174">
        <w:rPr>
          <w:rFonts w:ascii="Garamond" w:eastAsiaTheme="minorHAnsi" w:hAnsi="Garamond" w:cs="Arial"/>
          <w:sz w:val="24"/>
          <w:szCs w:val="24"/>
        </w:rPr>
        <w:t xml:space="preserve"> caso de u</w:t>
      </w:r>
      <w:r w:rsidR="00C154FC"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147717" w:rsidRPr="003A1174">
        <w:rPr>
          <w:rFonts w:ascii="Garamond" w:eastAsiaTheme="minorHAnsi" w:hAnsi="Garamond" w:cs="Arial"/>
          <w:sz w:val="24"/>
          <w:szCs w:val="24"/>
        </w:rPr>
        <w:t>deputado</w:t>
      </w:r>
      <w:r w:rsidRPr="003A1174">
        <w:rPr>
          <w:rFonts w:ascii="Garamond" w:eastAsiaTheme="minorHAnsi" w:hAnsi="Garamond" w:cs="Arial"/>
          <w:sz w:val="24"/>
          <w:szCs w:val="24"/>
        </w:rPr>
        <w:t xml:space="preserve"> da </w:t>
      </w:r>
      <w:r w:rsidR="00C30647" w:rsidRPr="003A1174">
        <w:rPr>
          <w:rFonts w:ascii="Garamond" w:eastAsiaTheme="minorHAnsi" w:hAnsi="Garamond" w:cs="Arial"/>
          <w:sz w:val="24"/>
          <w:szCs w:val="24"/>
        </w:rPr>
        <w:t>Assembleia</w:t>
      </w:r>
      <w:r w:rsidRPr="003A1174">
        <w:rPr>
          <w:rFonts w:ascii="Garamond" w:eastAsiaTheme="minorHAnsi" w:hAnsi="Garamond" w:cs="Arial"/>
          <w:sz w:val="24"/>
          <w:szCs w:val="24"/>
        </w:rPr>
        <w:t xml:space="preserve"> Legislativa (Expediente 07-000367-41166-LA)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u</w:t>
      </w:r>
      <w:r w:rsidR="00C154FC" w:rsidRPr="003A1174">
        <w:rPr>
          <w:rFonts w:ascii="Garamond" w:eastAsiaTheme="minorHAnsi" w:hAnsi="Garamond" w:cs="Arial"/>
          <w:sz w:val="24"/>
          <w:szCs w:val="24"/>
        </w:rPr>
        <w:t>m</w:t>
      </w:r>
      <w:r w:rsidRPr="003A1174">
        <w:rPr>
          <w:rFonts w:ascii="Garamond" w:eastAsiaTheme="minorHAnsi" w:hAnsi="Garamond" w:cs="Arial"/>
          <w:sz w:val="24"/>
          <w:szCs w:val="24"/>
        </w:rPr>
        <w:t xml:space="preserve"> magistrado d</w:t>
      </w:r>
      <w:r w:rsidR="00EF6A25">
        <w:rPr>
          <w:rFonts w:ascii="Garamond" w:eastAsiaTheme="minorHAnsi" w:hAnsi="Garamond" w:cs="Arial"/>
          <w:sz w:val="24"/>
          <w:szCs w:val="24"/>
        </w:rPr>
        <w:t>o</w:t>
      </w:r>
      <w:r w:rsidRPr="003A1174">
        <w:rPr>
          <w:rFonts w:ascii="Garamond" w:eastAsiaTheme="minorHAnsi" w:hAnsi="Garamond" w:cs="Arial"/>
          <w:sz w:val="24"/>
          <w:szCs w:val="24"/>
        </w:rPr>
        <w:t xml:space="preserve"> Suprem</w:t>
      </w:r>
      <w:r w:rsidR="00EF6A25">
        <w:rPr>
          <w:rFonts w:ascii="Garamond" w:eastAsiaTheme="minorHAnsi" w:hAnsi="Garamond" w:cs="Arial"/>
          <w:sz w:val="24"/>
          <w:szCs w:val="24"/>
        </w:rPr>
        <w:t>o</w:t>
      </w:r>
      <w:r w:rsidRPr="003A1174">
        <w:rPr>
          <w:rFonts w:ascii="Garamond" w:eastAsiaTheme="minorHAnsi" w:hAnsi="Garamond" w:cs="Arial"/>
          <w:sz w:val="24"/>
          <w:szCs w:val="24"/>
        </w:rPr>
        <w:t xml:space="preserve"> </w:t>
      </w:r>
      <w:r w:rsidR="00EF6A25">
        <w:rPr>
          <w:rFonts w:ascii="Garamond" w:eastAsiaTheme="minorHAnsi" w:hAnsi="Garamond" w:cs="Arial"/>
          <w:sz w:val="24"/>
          <w:szCs w:val="24"/>
        </w:rPr>
        <w:t xml:space="preserve">Tribunal </w:t>
      </w:r>
      <w:r w:rsidRPr="003A1174">
        <w:rPr>
          <w:rFonts w:ascii="Garamond" w:eastAsiaTheme="minorHAnsi" w:hAnsi="Garamond" w:cs="Arial"/>
          <w:sz w:val="24"/>
          <w:szCs w:val="24"/>
        </w:rPr>
        <w:t xml:space="preserve">de </w:t>
      </w:r>
      <w:r w:rsidR="00FC1F7F" w:rsidRPr="003A1174">
        <w:rPr>
          <w:rFonts w:ascii="Garamond" w:eastAsiaTheme="minorHAnsi" w:hAnsi="Garamond" w:cs="Arial"/>
          <w:sz w:val="24"/>
          <w:szCs w:val="24"/>
        </w:rPr>
        <w:t>Justiça</w:t>
      </w:r>
      <w:r w:rsidRPr="003A1174">
        <w:rPr>
          <w:rFonts w:ascii="Garamond" w:eastAsiaTheme="minorHAnsi" w:hAnsi="Garamond" w:cs="Arial"/>
          <w:sz w:val="24"/>
          <w:szCs w:val="24"/>
        </w:rPr>
        <w:t xml:space="preserve"> </w:t>
      </w:r>
      <w:r w:rsidR="008A3DA2" w:rsidRPr="003A1174">
        <w:rPr>
          <w:rFonts w:ascii="Garamond" w:eastAsiaTheme="minorHAnsi" w:hAnsi="Garamond" w:cs="Arial"/>
          <w:sz w:val="24"/>
          <w:szCs w:val="24"/>
        </w:rPr>
        <w:t>do</w:t>
      </w:r>
      <w:r w:rsidRPr="003A1174">
        <w:rPr>
          <w:rFonts w:ascii="Garamond" w:eastAsiaTheme="minorHAnsi" w:hAnsi="Garamond" w:cs="Arial"/>
          <w:sz w:val="24"/>
          <w:szCs w:val="24"/>
        </w:rPr>
        <w:t xml:space="preserve"> Poder Judicial (Expediente único de </w:t>
      </w:r>
      <w:r w:rsidR="00BE4EB8" w:rsidRPr="003A1174">
        <w:rPr>
          <w:rFonts w:ascii="Garamond" w:eastAsiaTheme="minorHAnsi" w:hAnsi="Garamond" w:cs="Arial"/>
          <w:sz w:val="24"/>
          <w:szCs w:val="24"/>
        </w:rPr>
        <w:t>Proce</w:t>
      </w:r>
      <w:r w:rsidR="00C154FC" w:rsidRPr="003A1174">
        <w:rPr>
          <w:rFonts w:ascii="Garamond" w:eastAsiaTheme="minorHAnsi" w:hAnsi="Garamond" w:cs="Arial"/>
          <w:sz w:val="24"/>
          <w:szCs w:val="24"/>
        </w:rPr>
        <w:t xml:space="preserve">sso </w:t>
      </w:r>
      <w:r w:rsidRPr="003A1174">
        <w:rPr>
          <w:rFonts w:ascii="Garamond" w:eastAsiaTheme="minorHAnsi" w:hAnsi="Garamond" w:cs="Arial"/>
          <w:sz w:val="24"/>
          <w:szCs w:val="24"/>
        </w:rPr>
        <w:t xml:space="preserve">Administrativo por </w:t>
      </w:r>
      <w:r w:rsidR="001A53AD" w:rsidRPr="003A1174">
        <w:rPr>
          <w:rFonts w:ascii="Garamond" w:eastAsiaTheme="minorHAnsi" w:hAnsi="Garamond" w:cs="Arial"/>
          <w:sz w:val="24"/>
          <w:szCs w:val="24"/>
        </w:rPr>
        <w:t>Assédio Sexual</w:t>
      </w:r>
      <w:r w:rsidRPr="003A1174">
        <w:rPr>
          <w:rFonts w:ascii="Garamond" w:eastAsiaTheme="minorHAnsi" w:hAnsi="Garamond" w:cs="Arial"/>
          <w:sz w:val="24"/>
          <w:szCs w:val="24"/>
        </w:rPr>
        <w:t xml:space="preserve"> contra Magistrado). </w:t>
      </w:r>
    </w:p>
    <w:p w:rsidR="00574DEF" w:rsidRPr="003A1174" w:rsidRDefault="00815AEE" w:rsidP="008719D4">
      <w:pPr>
        <w:pStyle w:val="Ttulo3"/>
        <w:spacing w:line="240" w:lineRule="auto"/>
        <w:rPr>
          <w:rFonts w:ascii="Garamond" w:hAnsi="Garamond"/>
          <w:sz w:val="24"/>
          <w:szCs w:val="24"/>
        </w:rPr>
      </w:pPr>
      <w:bookmarkStart w:id="34" w:name="_Toc421529722"/>
      <w:r w:rsidRPr="003A1174">
        <w:rPr>
          <w:rFonts w:ascii="Garamond" w:hAnsi="Garamond"/>
          <w:sz w:val="24"/>
          <w:szCs w:val="24"/>
        </w:rPr>
        <w:t>El Salvador</w:t>
      </w:r>
      <w:bookmarkEnd w:id="34"/>
    </w:p>
    <w:p w:rsidR="00574DEF" w:rsidRPr="003A1174" w:rsidRDefault="00574DEF" w:rsidP="008719D4">
      <w:pPr>
        <w:autoSpaceDE w:val="0"/>
        <w:autoSpaceDN w:val="0"/>
        <w:adjustRightInd w:val="0"/>
        <w:spacing w:before="240" w:after="0" w:line="240" w:lineRule="auto"/>
        <w:jc w:val="both"/>
        <w:rPr>
          <w:rFonts w:ascii="Garamond" w:hAnsi="Garamond" w:cs="Arial"/>
          <w:bCs/>
          <w:sz w:val="24"/>
          <w:szCs w:val="24"/>
        </w:rPr>
      </w:pPr>
      <w:r w:rsidRPr="003A1174">
        <w:rPr>
          <w:rFonts w:ascii="Garamond" w:hAnsi="Garamond" w:cs="Arial"/>
          <w:bCs/>
          <w:sz w:val="24"/>
          <w:szCs w:val="24"/>
        </w:rPr>
        <w:t>E</w:t>
      </w:r>
      <w:r w:rsidR="00C154FC" w:rsidRPr="003A1174">
        <w:rPr>
          <w:rFonts w:ascii="Garamond" w:hAnsi="Garamond" w:cs="Arial"/>
          <w:bCs/>
          <w:sz w:val="24"/>
          <w:szCs w:val="24"/>
        </w:rPr>
        <w:t>m</w:t>
      </w:r>
      <w:r w:rsidRPr="003A1174">
        <w:rPr>
          <w:rFonts w:ascii="Garamond" w:hAnsi="Garamond" w:cs="Arial"/>
          <w:bCs/>
          <w:sz w:val="24"/>
          <w:szCs w:val="24"/>
        </w:rPr>
        <w:t xml:space="preserve"> compara</w:t>
      </w:r>
      <w:r w:rsidR="00C154FC" w:rsidRPr="003A1174">
        <w:rPr>
          <w:rFonts w:ascii="Garamond" w:hAnsi="Garamond" w:cs="Arial"/>
          <w:bCs/>
          <w:sz w:val="24"/>
          <w:szCs w:val="24"/>
        </w:rPr>
        <w:t xml:space="preserve">ção com </w:t>
      </w:r>
      <w:r w:rsidRPr="003A1174">
        <w:rPr>
          <w:rFonts w:ascii="Garamond" w:hAnsi="Garamond" w:cs="Arial"/>
          <w:bCs/>
          <w:sz w:val="24"/>
          <w:szCs w:val="24"/>
        </w:rPr>
        <w:t xml:space="preserve">a </w:t>
      </w:r>
      <w:r w:rsidR="00682C71" w:rsidRPr="003A1174">
        <w:rPr>
          <w:rFonts w:ascii="Garamond" w:hAnsi="Garamond" w:cs="Arial"/>
          <w:bCs/>
          <w:sz w:val="24"/>
          <w:szCs w:val="24"/>
        </w:rPr>
        <w:t>jurisprudência</w:t>
      </w:r>
      <w:r w:rsidRPr="003A1174">
        <w:rPr>
          <w:rFonts w:ascii="Garamond" w:hAnsi="Garamond" w:cs="Arial"/>
          <w:bCs/>
          <w:sz w:val="24"/>
          <w:szCs w:val="24"/>
        </w:rPr>
        <w:t xml:space="preserve"> citada por </w:t>
      </w:r>
      <w:r w:rsidR="001F2F8B" w:rsidRPr="003A1174">
        <w:rPr>
          <w:rFonts w:ascii="Garamond" w:hAnsi="Garamond" w:cs="Arial"/>
          <w:bCs/>
          <w:sz w:val="24"/>
          <w:szCs w:val="24"/>
        </w:rPr>
        <w:t>outro</w:t>
      </w:r>
      <w:r w:rsidRPr="003A1174">
        <w:rPr>
          <w:rFonts w:ascii="Garamond" w:hAnsi="Garamond" w:cs="Arial"/>
          <w:bCs/>
          <w:sz w:val="24"/>
          <w:szCs w:val="24"/>
        </w:rPr>
        <w:t>s países,</w:t>
      </w:r>
      <w:r w:rsidR="00E5151D" w:rsidRPr="003A1174">
        <w:rPr>
          <w:rFonts w:ascii="Garamond" w:hAnsi="Garamond" w:cs="Arial"/>
          <w:bCs/>
          <w:sz w:val="24"/>
          <w:szCs w:val="24"/>
        </w:rPr>
        <w:t xml:space="preserve"> </w:t>
      </w:r>
      <w:r w:rsidR="00C154FC" w:rsidRPr="003A1174">
        <w:rPr>
          <w:rFonts w:ascii="Garamond" w:hAnsi="Garamond" w:cs="Arial"/>
          <w:bCs/>
          <w:sz w:val="24"/>
          <w:szCs w:val="24"/>
        </w:rPr>
        <w:t>o</w:t>
      </w:r>
      <w:r w:rsidRPr="003A1174">
        <w:rPr>
          <w:rFonts w:ascii="Garamond" w:hAnsi="Garamond" w:cs="Arial"/>
          <w:bCs/>
          <w:sz w:val="24"/>
          <w:szCs w:val="24"/>
        </w:rPr>
        <w:t xml:space="preserve"> Estado </w:t>
      </w:r>
      <w:r w:rsidR="00201889" w:rsidRPr="003A1174">
        <w:rPr>
          <w:rFonts w:ascii="Garamond" w:hAnsi="Garamond" w:cs="Arial"/>
          <w:bCs/>
          <w:sz w:val="24"/>
          <w:szCs w:val="24"/>
        </w:rPr>
        <w:t>salvadorenho</w:t>
      </w:r>
      <w:r w:rsidRPr="003A1174">
        <w:rPr>
          <w:rFonts w:ascii="Garamond" w:hAnsi="Garamond" w:cs="Arial"/>
          <w:bCs/>
          <w:sz w:val="24"/>
          <w:szCs w:val="24"/>
        </w:rPr>
        <w:t xml:space="preserve"> n</w:t>
      </w:r>
      <w:r w:rsidR="00C154FC" w:rsidRPr="003A1174">
        <w:rPr>
          <w:rFonts w:ascii="Garamond" w:hAnsi="Garamond" w:cs="Arial"/>
          <w:bCs/>
          <w:sz w:val="24"/>
          <w:szCs w:val="24"/>
        </w:rPr>
        <w:t>ã</w:t>
      </w:r>
      <w:r w:rsidRPr="003A1174">
        <w:rPr>
          <w:rFonts w:ascii="Garamond" w:hAnsi="Garamond" w:cs="Arial"/>
          <w:bCs/>
          <w:sz w:val="24"/>
          <w:szCs w:val="24"/>
        </w:rPr>
        <w:t>o se pronunci</w:t>
      </w:r>
      <w:r w:rsidR="00C154FC" w:rsidRPr="003A1174">
        <w:rPr>
          <w:rFonts w:ascii="Garamond" w:hAnsi="Garamond" w:cs="Arial"/>
          <w:bCs/>
          <w:sz w:val="24"/>
          <w:szCs w:val="24"/>
        </w:rPr>
        <w:t>ou no</w:t>
      </w:r>
      <w:r w:rsidRPr="003A1174">
        <w:rPr>
          <w:rFonts w:ascii="Garamond" w:hAnsi="Garamond" w:cs="Arial"/>
          <w:bCs/>
          <w:sz w:val="24"/>
          <w:szCs w:val="24"/>
        </w:rPr>
        <w:t xml:space="preserve">s </w:t>
      </w:r>
      <w:r w:rsidR="00FB09CA" w:rsidRPr="003A1174">
        <w:rPr>
          <w:rFonts w:ascii="Garamond" w:hAnsi="Garamond" w:cs="Arial"/>
          <w:bCs/>
          <w:sz w:val="24"/>
          <w:szCs w:val="24"/>
        </w:rPr>
        <w:t>tribunais</w:t>
      </w:r>
      <w:r w:rsidR="00A17210">
        <w:rPr>
          <w:rFonts w:ascii="Garamond" w:hAnsi="Garamond" w:cs="Arial"/>
          <w:bCs/>
          <w:sz w:val="24"/>
          <w:szCs w:val="24"/>
        </w:rPr>
        <w:t xml:space="preserve"> superiores</w:t>
      </w:r>
      <w:r w:rsidR="00E5151D" w:rsidRPr="003A1174">
        <w:rPr>
          <w:rFonts w:ascii="Garamond" w:hAnsi="Garamond" w:cs="Arial"/>
          <w:bCs/>
          <w:sz w:val="24"/>
          <w:szCs w:val="24"/>
        </w:rPr>
        <w:t xml:space="preserve"> e</w:t>
      </w:r>
      <w:r w:rsidR="00C154FC" w:rsidRPr="003A1174">
        <w:rPr>
          <w:rFonts w:ascii="Garamond" w:hAnsi="Garamond" w:cs="Arial"/>
          <w:bCs/>
          <w:sz w:val="24"/>
          <w:szCs w:val="24"/>
        </w:rPr>
        <w:t>m</w:t>
      </w:r>
      <w:r w:rsidRPr="003A1174">
        <w:rPr>
          <w:rFonts w:ascii="Garamond" w:hAnsi="Garamond" w:cs="Arial"/>
          <w:bCs/>
          <w:sz w:val="24"/>
          <w:szCs w:val="24"/>
        </w:rPr>
        <w:t xml:space="preserve"> </w:t>
      </w:r>
      <w:r w:rsidR="00152A44" w:rsidRPr="003A1174">
        <w:rPr>
          <w:rFonts w:ascii="Garamond" w:hAnsi="Garamond" w:cs="Arial"/>
          <w:bCs/>
          <w:sz w:val="24"/>
          <w:szCs w:val="24"/>
        </w:rPr>
        <w:t>relação</w:t>
      </w:r>
      <w:r w:rsidRPr="003A1174">
        <w:rPr>
          <w:rFonts w:ascii="Garamond" w:hAnsi="Garamond" w:cs="Arial"/>
          <w:bCs/>
          <w:sz w:val="24"/>
          <w:szCs w:val="24"/>
        </w:rPr>
        <w:t xml:space="preserve"> </w:t>
      </w:r>
      <w:r w:rsidR="00C154FC" w:rsidRPr="003A1174">
        <w:rPr>
          <w:rFonts w:ascii="Garamond" w:hAnsi="Garamond" w:cs="Arial"/>
          <w:bCs/>
          <w:sz w:val="24"/>
          <w:szCs w:val="24"/>
        </w:rPr>
        <w:t xml:space="preserve">a </w:t>
      </w:r>
      <w:r w:rsidR="007342D9" w:rsidRPr="003A1174">
        <w:rPr>
          <w:rFonts w:ascii="Garamond" w:hAnsi="Garamond" w:cs="Arial"/>
          <w:bCs/>
          <w:sz w:val="24"/>
          <w:szCs w:val="24"/>
        </w:rPr>
        <w:t>situações</w:t>
      </w:r>
      <w:r w:rsidRPr="003A1174">
        <w:rPr>
          <w:rFonts w:ascii="Garamond" w:hAnsi="Garamond" w:cs="Arial"/>
          <w:bCs/>
          <w:sz w:val="24"/>
          <w:szCs w:val="24"/>
        </w:rPr>
        <w:t xml:space="preserve"> específicas que </w:t>
      </w:r>
      <w:r w:rsidR="003F012B" w:rsidRPr="003A1174">
        <w:rPr>
          <w:rFonts w:ascii="Garamond" w:hAnsi="Garamond" w:cs="Arial"/>
          <w:bCs/>
          <w:sz w:val="24"/>
          <w:szCs w:val="24"/>
        </w:rPr>
        <w:t>afetam</w:t>
      </w:r>
      <w:r w:rsidR="00C154FC" w:rsidRPr="003A1174">
        <w:rPr>
          <w:rFonts w:ascii="Garamond" w:hAnsi="Garamond" w:cs="Arial"/>
          <w:bCs/>
          <w:sz w:val="24"/>
          <w:szCs w:val="24"/>
        </w:rPr>
        <w:t xml:space="preserve"> </w:t>
      </w:r>
      <w:r w:rsidRPr="003A1174">
        <w:rPr>
          <w:rFonts w:ascii="Garamond" w:hAnsi="Garamond" w:cs="Arial"/>
          <w:bCs/>
          <w:sz w:val="24"/>
          <w:szCs w:val="24"/>
        </w:rPr>
        <w:t xml:space="preserve">os </w:t>
      </w:r>
      <w:r w:rsidR="00886D6A" w:rsidRPr="003A1174">
        <w:rPr>
          <w:rFonts w:ascii="Garamond" w:hAnsi="Garamond" w:cs="Arial"/>
          <w:bCs/>
          <w:sz w:val="24"/>
          <w:szCs w:val="24"/>
        </w:rPr>
        <w:t>direito</w:t>
      </w:r>
      <w:r w:rsidRPr="003A1174">
        <w:rPr>
          <w:rFonts w:ascii="Garamond" w:hAnsi="Garamond" w:cs="Arial"/>
          <w:bCs/>
          <w:sz w:val="24"/>
          <w:szCs w:val="24"/>
        </w:rPr>
        <w:t xml:space="preserve">s humanos </w:t>
      </w:r>
      <w:r w:rsidR="00497503" w:rsidRPr="003A1174">
        <w:rPr>
          <w:rFonts w:ascii="Garamond" w:hAnsi="Garamond" w:cs="Arial"/>
          <w:bCs/>
          <w:sz w:val="24"/>
          <w:szCs w:val="24"/>
        </w:rPr>
        <w:t>das</w:t>
      </w:r>
      <w:r w:rsidRPr="003A1174">
        <w:rPr>
          <w:rFonts w:ascii="Garamond" w:hAnsi="Garamond" w:cs="Arial"/>
          <w:bCs/>
          <w:sz w:val="24"/>
          <w:szCs w:val="24"/>
        </w:rPr>
        <w:t xml:space="preserve"> </w:t>
      </w:r>
      <w:r w:rsidR="00054EE0" w:rsidRPr="003A1174">
        <w:rPr>
          <w:rFonts w:ascii="Garamond" w:hAnsi="Garamond" w:cs="Arial"/>
          <w:bCs/>
          <w:sz w:val="24"/>
          <w:szCs w:val="24"/>
        </w:rPr>
        <w:t>mulheres</w:t>
      </w:r>
      <w:r w:rsidRPr="003A1174">
        <w:rPr>
          <w:rFonts w:ascii="Garamond" w:hAnsi="Garamond" w:cs="Arial"/>
          <w:bCs/>
          <w:sz w:val="24"/>
          <w:szCs w:val="24"/>
        </w:rPr>
        <w:t>.</w:t>
      </w:r>
    </w:p>
    <w:p w:rsidR="00574DEF" w:rsidRPr="003A1174" w:rsidRDefault="00120915" w:rsidP="008719D4">
      <w:pPr>
        <w:autoSpaceDE w:val="0"/>
        <w:autoSpaceDN w:val="0"/>
        <w:adjustRightInd w:val="0"/>
        <w:spacing w:before="240" w:after="0" w:line="240" w:lineRule="auto"/>
        <w:jc w:val="both"/>
        <w:rPr>
          <w:rFonts w:ascii="Garamond" w:hAnsi="Garamond" w:cs="Arial"/>
          <w:bCs/>
          <w:sz w:val="24"/>
          <w:szCs w:val="24"/>
        </w:rPr>
      </w:pPr>
      <w:r w:rsidRPr="003A1174">
        <w:rPr>
          <w:rFonts w:ascii="Garamond" w:hAnsi="Garamond" w:cs="Arial"/>
          <w:bCs/>
          <w:sz w:val="24"/>
          <w:szCs w:val="24"/>
        </w:rPr>
        <w:t>Porém</w:t>
      </w:r>
      <w:r w:rsidR="00574DEF" w:rsidRPr="003A1174">
        <w:rPr>
          <w:rFonts w:ascii="Garamond" w:hAnsi="Garamond" w:cs="Arial"/>
          <w:bCs/>
          <w:sz w:val="24"/>
          <w:szCs w:val="24"/>
        </w:rPr>
        <w:t>, e</w:t>
      </w:r>
      <w:r w:rsidR="00C154FC" w:rsidRPr="003A1174">
        <w:rPr>
          <w:rFonts w:ascii="Garamond" w:hAnsi="Garamond" w:cs="Arial"/>
          <w:bCs/>
          <w:sz w:val="24"/>
          <w:szCs w:val="24"/>
        </w:rPr>
        <w:t>m</w:t>
      </w:r>
      <w:r w:rsidR="00574DEF" w:rsidRPr="003A1174">
        <w:rPr>
          <w:rFonts w:ascii="Garamond" w:hAnsi="Garamond" w:cs="Arial"/>
          <w:bCs/>
          <w:sz w:val="24"/>
          <w:szCs w:val="24"/>
        </w:rPr>
        <w:t xml:space="preserve"> 2013</w:t>
      </w:r>
      <w:r w:rsidR="00B55F67" w:rsidRPr="003A1174">
        <w:rPr>
          <w:rFonts w:ascii="Garamond" w:hAnsi="Garamond" w:cs="Arial"/>
          <w:bCs/>
          <w:sz w:val="24"/>
          <w:szCs w:val="24"/>
        </w:rPr>
        <w:t>,</w:t>
      </w:r>
      <w:r w:rsidR="00574DEF" w:rsidRPr="003A1174">
        <w:rPr>
          <w:rFonts w:ascii="Garamond" w:hAnsi="Garamond" w:cs="Arial"/>
          <w:bCs/>
          <w:sz w:val="24"/>
          <w:szCs w:val="24"/>
        </w:rPr>
        <w:t xml:space="preserve"> </w:t>
      </w:r>
      <w:r w:rsidR="00566C0C" w:rsidRPr="003A1174">
        <w:rPr>
          <w:rFonts w:ascii="Garamond" w:hAnsi="Garamond" w:cs="Arial"/>
          <w:bCs/>
          <w:sz w:val="24"/>
          <w:szCs w:val="24"/>
        </w:rPr>
        <w:t xml:space="preserve">tornou-se público um </w:t>
      </w:r>
      <w:r w:rsidR="00574DEF" w:rsidRPr="003A1174">
        <w:rPr>
          <w:rFonts w:ascii="Garamond" w:hAnsi="Garamond" w:cs="Arial"/>
          <w:bCs/>
          <w:sz w:val="24"/>
          <w:szCs w:val="24"/>
        </w:rPr>
        <w:t xml:space="preserve">caso </w:t>
      </w:r>
      <w:r w:rsidR="00566C0C" w:rsidRPr="003A1174">
        <w:rPr>
          <w:rFonts w:ascii="Garamond" w:hAnsi="Garamond" w:cs="Arial"/>
          <w:bCs/>
          <w:sz w:val="24"/>
          <w:szCs w:val="24"/>
        </w:rPr>
        <w:t>per</w:t>
      </w:r>
      <w:r w:rsidR="00574DEF" w:rsidRPr="003A1174">
        <w:rPr>
          <w:rFonts w:ascii="Garamond" w:hAnsi="Garamond" w:cs="Arial"/>
          <w:bCs/>
          <w:sz w:val="24"/>
          <w:szCs w:val="24"/>
        </w:rPr>
        <w:t>ante u</w:t>
      </w:r>
      <w:r w:rsidR="00566C0C" w:rsidRPr="003A1174">
        <w:rPr>
          <w:rFonts w:ascii="Garamond" w:hAnsi="Garamond" w:cs="Arial"/>
          <w:bCs/>
          <w:sz w:val="24"/>
          <w:szCs w:val="24"/>
        </w:rPr>
        <w:t>m</w:t>
      </w:r>
      <w:r w:rsidR="00574DEF" w:rsidRPr="003A1174">
        <w:rPr>
          <w:rFonts w:ascii="Garamond" w:hAnsi="Garamond" w:cs="Arial"/>
          <w:bCs/>
          <w:sz w:val="24"/>
          <w:szCs w:val="24"/>
        </w:rPr>
        <w:t xml:space="preserve"> </w:t>
      </w:r>
      <w:r w:rsidR="00574DEF" w:rsidRPr="003A1174">
        <w:rPr>
          <w:rFonts w:ascii="Garamond" w:hAnsi="Garamond" w:cs="Arial"/>
          <w:bCs/>
          <w:i/>
          <w:sz w:val="24"/>
          <w:szCs w:val="24"/>
        </w:rPr>
        <w:t>Tribunal de Jurado</w:t>
      </w:r>
      <w:r w:rsidR="00566C0C" w:rsidRPr="003A1174">
        <w:rPr>
          <w:rFonts w:ascii="Garamond" w:hAnsi="Garamond" w:cs="Arial"/>
          <w:bCs/>
          <w:sz w:val="24"/>
          <w:szCs w:val="24"/>
        </w:rPr>
        <w:t xml:space="preserve"> d</w:t>
      </w:r>
      <w:r w:rsidR="00574DEF" w:rsidRPr="003A1174">
        <w:rPr>
          <w:rFonts w:ascii="Garamond" w:hAnsi="Garamond" w:cs="Arial"/>
          <w:bCs/>
          <w:sz w:val="24"/>
          <w:szCs w:val="24"/>
        </w:rPr>
        <w:t xml:space="preserve">a </w:t>
      </w:r>
      <w:r w:rsidR="008651AF" w:rsidRPr="003A1174">
        <w:rPr>
          <w:rFonts w:ascii="Garamond" w:hAnsi="Garamond" w:cs="Arial"/>
          <w:bCs/>
          <w:sz w:val="24"/>
          <w:szCs w:val="24"/>
        </w:rPr>
        <w:t>cidade</w:t>
      </w:r>
      <w:r w:rsidR="00566C0C" w:rsidRPr="003A1174">
        <w:rPr>
          <w:rFonts w:ascii="Garamond" w:hAnsi="Garamond" w:cs="Arial"/>
          <w:bCs/>
          <w:sz w:val="24"/>
          <w:szCs w:val="24"/>
        </w:rPr>
        <w:t xml:space="preserve"> Capital San Salvador, </w:t>
      </w:r>
      <w:r w:rsidR="00F260B1">
        <w:rPr>
          <w:rFonts w:ascii="Garamond" w:hAnsi="Garamond" w:cs="Arial"/>
          <w:bCs/>
          <w:sz w:val="24"/>
          <w:szCs w:val="24"/>
        </w:rPr>
        <w:t xml:space="preserve">em que </w:t>
      </w:r>
      <w:r w:rsidR="00566C0C" w:rsidRPr="003A1174">
        <w:rPr>
          <w:rFonts w:ascii="Garamond" w:hAnsi="Garamond" w:cs="Arial"/>
          <w:bCs/>
          <w:sz w:val="24"/>
          <w:szCs w:val="24"/>
        </w:rPr>
        <w:t>foi infligido à</w:t>
      </w:r>
      <w:r w:rsidR="00E5151D" w:rsidRPr="003A1174">
        <w:rPr>
          <w:rFonts w:ascii="Garamond" w:hAnsi="Garamond" w:cs="Arial"/>
          <w:bCs/>
          <w:sz w:val="24"/>
          <w:szCs w:val="24"/>
        </w:rPr>
        <w:t xml:space="preserve"> </w:t>
      </w:r>
      <w:r w:rsidR="008278C4" w:rsidRPr="003A1174">
        <w:rPr>
          <w:rFonts w:ascii="Garamond" w:hAnsi="Garamond" w:cs="Arial"/>
          <w:bCs/>
          <w:sz w:val="24"/>
          <w:szCs w:val="24"/>
        </w:rPr>
        <w:t>sobrevivente</w:t>
      </w:r>
      <w:r w:rsidR="00574DEF" w:rsidRPr="003A1174">
        <w:rPr>
          <w:rFonts w:ascii="Garamond" w:hAnsi="Garamond" w:cs="Arial"/>
          <w:bCs/>
          <w:sz w:val="24"/>
          <w:szCs w:val="24"/>
        </w:rPr>
        <w:t xml:space="preserve">, </w:t>
      </w:r>
      <w:r w:rsidR="00566C0C" w:rsidRPr="003A1174">
        <w:rPr>
          <w:rFonts w:ascii="Garamond" w:hAnsi="Garamond" w:cs="Arial"/>
          <w:bCs/>
          <w:sz w:val="24"/>
          <w:szCs w:val="24"/>
        </w:rPr>
        <w:t xml:space="preserve">devido à </w:t>
      </w:r>
      <w:r w:rsidR="000350B1" w:rsidRPr="003A1174">
        <w:rPr>
          <w:rFonts w:ascii="Garamond" w:hAnsi="Garamond" w:cs="Arial"/>
          <w:bCs/>
          <w:sz w:val="24"/>
          <w:szCs w:val="24"/>
        </w:rPr>
        <w:t>violência</w:t>
      </w:r>
      <w:r w:rsidR="00566C0C" w:rsidRPr="003A1174">
        <w:rPr>
          <w:rFonts w:ascii="Garamond" w:hAnsi="Garamond" w:cs="Arial"/>
          <w:bCs/>
          <w:sz w:val="24"/>
          <w:szCs w:val="24"/>
        </w:rPr>
        <w:t xml:space="preserve"> física ex</w:t>
      </w:r>
      <w:r w:rsidR="00574DEF" w:rsidRPr="003A1174">
        <w:rPr>
          <w:rFonts w:ascii="Garamond" w:hAnsi="Garamond" w:cs="Arial"/>
          <w:bCs/>
          <w:sz w:val="24"/>
          <w:szCs w:val="24"/>
        </w:rPr>
        <w:t xml:space="preserve">ercida </w:t>
      </w:r>
      <w:r w:rsidR="005C2020" w:rsidRPr="003A1174">
        <w:rPr>
          <w:rFonts w:ascii="Garamond" w:hAnsi="Garamond" w:cs="Arial"/>
          <w:bCs/>
          <w:sz w:val="24"/>
          <w:szCs w:val="24"/>
        </w:rPr>
        <w:t>pelo</w:t>
      </w:r>
      <w:r w:rsidR="00574DEF" w:rsidRPr="003A1174">
        <w:rPr>
          <w:rFonts w:ascii="Garamond" w:hAnsi="Garamond" w:cs="Arial"/>
          <w:bCs/>
          <w:sz w:val="24"/>
          <w:szCs w:val="24"/>
        </w:rPr>
        <w:t xml:space="preserve"> </w:t>
      </w:r>
      <w:r w:rsidR="002D1021" w:rsidRPr="003A1174">
        <w:rPr>
          <w:rFonts w:ascii="Garamond" w:hAnsi="Garamond" w:cs="Arial"/>
          <w:bCs/>
          <w:sz w:val="24"/>
          <w:szCs w:val="24"/>
        </w:rPr>
        <w:t>agressor</w:t>
      </w:r>
      <w:r w:rsidR="00574DEF" w:rsidRPr="003A1174">
        <w:rPr>
          <w:rFonts w:ascii="Garamond" w:hAnsi="Garamond" w:cs="Arial"/>
          <w:bCs/>
          <w:sz w:val="24"/>
          <w:szCs w:val="24"/>
        </w:rPr>
        <w:t xml:space="preserve"> </w:t>
      </w:r>
      <w:r w:rsidR="00566C0C" w:rsidRPr="003A1174">
        <w:rPr>
          <w:rFonts w:ascii="Garamond" w:hAnsi="Garamond" w:cs="Arial"/>
          <w:bCs/>
          <w:sz w:val="24"/>
          <w:szCs w:val="24"/>
        </w:rPr>
        <w:t>numa união de facto</w:t>
      </w:r>
      <w:r w:rsidR="00574DEF" w:rsidRPr="003A1174">
        <w:rPr>
          <w:rFonts w:ascii="Garamond" w:hAnsi="Garamond" w:cs="Arial"/>
          <w:bCs/>
          <w:sz w:val="24"/>
          <w:szCs w:val="24"/>
        </w:rPr>
        <w:t xml:space="preserve">, </w:t>
      </w:r>
      <w:r w:rsidR="007342D9" w:rsidRPr="003A1174">
        <w:rPr>
          <w:rFonts w:ascii="Garamond" w:hAnsi="Garamond" w:cs="Arial"/>
          <w:bCs/>
          <w:sz w:val="24"/>
          <w:szCs w:val="24"/>
        </w:rPr>
        <w:t>lesões</w:t>
      </w:r>
      <w:r w:rsidR="00566C0C" w:rsidRPr="003A1174">
        <w:rPr>
          <w:rFonts w:ascii="Garamond" w:hAnsi="Garamond" w:cs="Arial"/>
          <w:bCs/>
          <w:sz w:val="24"/>
          <w:szCs w:val="24"/>
        </w:rPr>
        <w:t xml:space="preserve"> de mai</w:t>
      </w:r>
      <w:r w:rsidR="00574DEF" w:rsidRPr="003A1174">
        <w:rPr>
          <w:rFonts w:ascii="Garamond" w:hAnsi="Garamond" w:cs="Arial"/>
          <w:bCs/>
          <w:sz w:val="24"/>
          <w:szCs w:val="24"/>
        </w:rPr>
        <w:t>s de v</w:t>
      </w:r>
      <w:r w:rsidR="00566C0C" w:rsidRPr="003A1174">
        <w:rPr>
          <w:rFonts w:ascii="Garamond" w:hAnsi="Garamond" w:cs="Arial"/>
          <w:bCs/>
          <w:sz w:val="24"/>
          <w:szCs w:val="24"/>
        </w:rPr>
        <w:t xml:space="preserve">inte e um </w:t>
      </w:r>
      <w:r w:rsidR="009D5ED8" w:rsidRPr="003A1174">
        <w:rPr>
          <w:rFonts w:ascii="Garamond" w:hAnsi="Garamond" w:cs="Arial"/>
          <w:bCs/>
          <w:sz w:val="24"/>
          <w:szCs w:val="24"/>
        </w:rPr>
        <w:t>dia</w:t>
      </w:r>
      <w:r w:rsidR="00574DEF" w:rsidRPr="003A1174">
        <w:rPr>
          <w:rFonts w:ascii="Garamond" w:hAnsi="Garamond" w:cs="Arial"/>
          <w:bCs/>
          <w:sz w:val="24"/>
          <w:szCs w:val="24"/>
        </w:rPr>
        <w:t xml:space="preserve">s de </w:t>
      </w:r>
      <w:r w:rsidR="00566C0C" w:rsidRPr="003A1174">
        <w:rPr>
          <w:rFonts w:ascii="Garamond" w:hAnsi="Garamond" w:cs="Arial"/>
          <w:bCs/>
          <w:sz w:val="24"/>
          <w:szCs w:val="24"/>
        </w:rPr>
        <w:t>tratamento</w:t>
      </w:r>
      <w:r w:rsidR="00574DEF" w:rsidRPr="003A1174">
        <w:rPr>
          <w:rFonts w:ascii="Garamond" w:hAnsi="Garamond" w:cs="Arial"/>
          <w:bCs/>
          <w:sz w:val="24"/>
          <w:szCs w:val="24"/>
        </w:rPr>
        <w:t xml:space="preserve">. </w:t>
      </w:r>
      <w:r w:rsidR="00566C0C" w:rsidRPr="003A1174">
        <w:rPr>
          <w:rFonts w:ascii="Garamond" w:hAnsi="Garamond" w:cs="Arial"/>
          <w:bCs/>
          <w:sz w:val="24"/>
          <w:szCs w:val="24"/>
        </w:rPr>
        <w:t>O</w:t>
      </w:r>
      <w:r w:rsidR="00574DEF" w:rsidRPr="003A1174">
        <w:rPr>
          <w:rFonts w:ascii="Garamond" w:hAnsi="Garamond" w:cs="Arial"/>
          <w:bCs/>
          <w:sz w:val="24"/>
          <w:szCs w:val="24"/>
        </w:rPr>
        <w:t xml:space="preserve"> </w:t>
      </w:r>
      <w:r w:rsidR="00B55F67" w:rsidRPr="003A1174">
        <w:rPr>
          <w:rFonts w:ascii="Garamond" w:hAnsi="Garamond" w:cs="Arial"/>
          <w:bCs/>
          <w:sz w:val="24"/>
          <w:szCs w:val="24"/>
        </w:rPr>
        <w:t xml:space="preserve">agressor </w:t>
      </w:r>
      <w:r w:rsidR="00462B11" w:rsidRPr="003A1174">
        <w:rPr>
          <w:rFonts w:ascii="Garamond" w:hAnsi="Garamond" w:cs="Arial"/>
          <w:bCs/>
          <w:sz w:val="24"/>
          <w:szCs w:val="24"/>
        </w:rPr>
        <w:t>foi</w:t>
      </w:r>
      <w:r w:rsidR="00574DEF" w:rsidRPr="003A1174">
        <w:rPr>
          <w:rFonts w:ascii="Garamond" w:hAnsi="Garamond" w:cs="Arial"/>
          <w:bCs/>
          <w:sz w:val="24"/>
          <w:szCs w:val="24"/>
        </w:rPr>
        <w:t xml:space="preserve"> condenado </w:t>
      </w:r>
      <w:r w:rsidR="00275092" w:rsidRPr="003A1174">
        <w:rPr>
          <w:rFonts w:ascii="Garamond" w:hAnsi="Garamond" w:cs="Arial"/>
          <w:bCs/>
          <w:sz w:val="24"/>
          <w:szCs w:val="24"/>
        </w:rPr>
        <w:t>pela</w:t>
      </w:r>
      <w:r w:rsidR="00574DEF" w:rsidRPr="003A1174">
        <w:rPr>
          <w:rFonts w:ascii="Garamond" w:hAnsi="Garamond" w:cs="Arial"/>
          <w:bCs/>
          <w:sz w:val="24"/>
          <w:szCs w:val="24"/>
        </w:rPr>
        <w:t xml:space="preserve"> </w:t>
      </w:r>
      <w:r w:rsidR="00FC1F7F" w:rsidRPr="003A1174">
        <w:rPr>
          <w:rFonts w:ascii="Garamond" w:hAnsi="Garamond" w:cs="Arial"/>
          <w:bCs/>
          <w:sz w:val="24"/>
          <w:szCs w:val="24"/>
        </w:rPr>
        <w:t>comissão</w:t>
      </w:r>
      <w:r w:rsidR="00574DEF" w:rsidRPr="003A1174">
        <w:rPr>
          <w:rFonts w:ascii="Garamond" w:hAnsi="Garamond" w:cs="Arial"/>
          <w:bCs/>
          <w:sz w:val="24"/>
          <w:szCs w:val="24"/>
        </w:rPr>
        <w:t xml:space="preserve"> </w:t>
      </w:r>
      <w:r w:rsidR="008A3DA2" w:rsidRPr="003A1174">
        <w:rPr>
          <w:rFonts w:ascii="Garamond" w:hAnsi="Garamond" w:cs="Arial"/>
          <w:bCs/>
          <w:sz w:val="24"/>
          <w:szCs w:val="24"/>
        </w:rPr>
        <w:t>do</w:t>
      </w:r>
      <w:r w:rsidR="00574DEF" w:rsidRPr="003A1174">
        <w:rPr>
          <w:rFonts w:ascii="Garamond" w:hAnsi="Garamond" w:cs="Arial"/>
          <w:bCs/>
          <w:sz w:val="24"/>
          <w:szCs w:val="24"/>
        </w:rPr>
        <w:t xml:space="preserve"> delito de </w:t>
      </w:r>
      <w:r w:rsidR="007342D9" w:rsidRPr="003A1174">
        <w:rPr>
          <w:rFonts w:ascii="Garamond" w:hAnsi="Garamond" w:cs="Arial"/>
          <w:bCs/>
          <w:sz w:val="24"/>
          <w:szCs w:val="24"/>
        </w:rPr>
        <w:t>lesões</w:t>
      </w:r>
      <w:r w:rsidR="00574DEF" w:rsidRPr="003A1174">
        <w:rPr>
          <w:rFonts w:ascii="Garamond" w:hAnsi="Garamond" w:cs="Arial"/>
          <w:bCs/>
          <w:sz w:val="24"/>
          <w:szCs w:val="24"/>
        </w:rPr>
        <w:t xml:space="preserve"> graves agravadas, tipificado </w:t>
      </w:r>
      <w:r w:rsidR="00566C0C" w:rsidRPr="003A1174">
        <w:rPr>
          <w:rFonts w:ascii="Garamond" w:hAnsi="Garamond" w:cs="Arial"/>
          <w:bCs/>
          <w:sz w:val="24"/>
          <w:szCs w:val="24"/>
        </w:rPr>
        <w:t xml:space="preserve">nos </w:t>
      </w:r>
      <w:r w:rsidR="00383B3F" w:rsidRPr="003A1174">
        <w:rPr>
          <w:rFonts w:ascii="Garamond" w:hAnsi="Garamond" w:cs="Arial"/>
          <w:bCs/>
          <w:sz w:val="24"/>
          <w:szCs w:val="24"/>
        </w:rPr>
        <w:t>Art</w:t>
      </w:r>
      <w:r w:rsidR="00E5151D" w:rsidRPr="003A1174">
        <w:rPr>
          <w:rFonts w:ascii="Garamond" w:hAnsi="Garamond" w:cs="Arial"/>
          <w:bCs/>
          <w:sz w:val="24"/>
          <w:szCs w:val="24"/>
        </w:rPr>
        <w:t>s</w:t>
      </w:r>
      <w:r w:rsidR="00383B3F" w:rsidRPr="003A1174">
        <w:rPr>
          <w:rFonts w:ascii="Garamond" w:hAnsi="Garamond" w:cs="Arial"/>
          <w:bCs/>
          <w:sz w:val="24"/>
          <w:szCs w:val="24"/>
        </w:rPr>
        <w:t>.</w:t>
      </w:r>
      <w:r w:rsidR="00574DEF" w:rsidRPr="003A1174">
        <w:rPr>
          <w:rFonts w:ascii="Garamond" w:hAnsi="Garamond" w:cs="Arial"/>
          <w:bCs/>
          <w:sz w:val="24"/>
          <w:szCs w:val="24"/>
        </w:rPr>
        <w:t xml:space="preserve"> 143</w:t>
      </w:r>
      <w:r w:rsidR="00574DEF" w:rsidRPr="003A1174">
        <w:rPr>
          <w:rStyle w:val="Refdenotaalpie"/>
          <w:rFonts w:ascii="Garamond" w:hAnsi="Garamond" w:cs="Arial"/>
          <w:bCs/>
          <w:sz w:val="24"/>
          <w:szCs w:val="24"/>
          <w:lang w:val="es-CR"/>
        </w:rPr>
        <w:footnoteReference w:id="102"/>
      </w:r>
      <w:r w:rsidR="00574DEF" w:rsidRPr="003A1174">
        <w:rPr>
          <w:rFonts w:ascii="Garamond" w:hAnsi="Garamond" w:cs="Arial"/>
          <w:bCs/>
          <w:sz w:val="24"/>
          <w:szCs w:val="24"/>
        </w:rPr>
        <w:t xml:space="preserve"> </w:t>
      </w:r>
      <w:r w:rsidR="00497503" w:rsidRPr="003A1174">
        <w:rPr>
          <w:rFonts w:ascii="Garamond" w:hAnsi="Garamond" w:cs="Arial"/>
          <w:bCs/>
          <w:sz w:val="24"/>
          <w:szCs w:val="24"/>
        </w:rPr>
        <w:t>e</w:t>
      </w:r>
      <w:r w:rsidR="00574DEF" w:rsidRPr="003A1174">
        <w:rPr>
          <w:rFonts w:ascii="Garamond" w:hAnsi="Garamond" w:cs="Arial"/>
          <w:bCs/>
          <w:sz w:val="24"/>
          <w:szCs w:val="24"/>
        </w:rPr>
        <w:t xml:space="preserve"> 145</w:t>
      </w:r>
      <w:r w:rsidR="00574DEF" w:rsidRPr="003A1174">
        <w:rPr>
          <w:rStyle w:val="Refdenotaalpie"/>
          <w:rFonts w:ascii="Garamond" w:hAnsi="Garamond" w:cs="Arial"/>
          <w:bCs/>
          <w:sz w:val="24"/>
          <w:szCs w:val="24"/>
          <w:lang w:val="es-CR"/>
        </w:rPr>
        <w:footnoteReference w:id="103"/>
      </w:r>
      <w:r w:rsidR="00574DEF" w:rsidRPr="003A1174">
        <w:rPr>
          <w:rFonts w:ascii="Garamond" w:hAnsi="Garamond" w:cs="Arial"/>
          <w:bCs/>
          <w:sz w:val="24"/>
          <w:szCs w:val="24"/>
        </w:rPr>
        <w:t xml:space="preserve"> </w:t>
      </w:r>
      <w:r w:rsidR="008A3DA2" w:rsidRPr="003A1174">
        <w:rPr>
          <w:rFonts w:ascii="Garamond" w:hAnsi="Garamond" w:cs="Arial"/>
          <w:bCs/>
          <w:sz w:val="24"/>
          <w:szCs w:val="24"/>
        </w:rPr>
        <w:t>do</w:t>
      </w:r>
      <w:r w:rsidR="00574DEF" w:rsidRPr="003A1174">
        <w:rPr>
          <w:rFonts w:ascii="Garamond" w:hAnsi="Garamond" w:cs="Arial"/>
          <w:bCs/>
          <w:sz w:val="24"/>
          <w:szCs w:val="24"/>
        </w:rPr>
        <w:t xml:space="preserve"> Código Penal.</w:t>
      </w:r>
    </w:p>
    <w:p w:rsidR="00F260B1" w:rsidRDefault="00566C0C" w:rsidP="00566C0C">
      <w:pPr>
        <w:autoSpaceDE w:val="0"/>
        <w:autoSpaceDN w:val="0"/>
        <w:adjustRightInd w:val="0"/>
        <w:spacing w:before="240" w:after="0" w:line="240" w:lineRule="auto"/>
        <w:jc w:val="both"/>
        <w:rPr>
          <w:rFonts w:ascii="Garamond" w:hAnsi="Garamond" w:cs="Arial"/>
          <w:bCs/>
          <w:i/>
          <w:sz w:val="24"/>
          <w:szCs w:val="24"/>
        </w:rPr>
      </w:pPr>
      <w:r w:rsidRPr="003A1174">
        <w:rPr>
          <w:rFonts w:ascii="Garamond" w:hAnsi="Garamond" w:cs="Arial"/>
          <w:bCs/>
          <w:sz w:val="24"/>
          <w:szCs w:val="24"/>
        </w:rPr>
        <w:t>C</w:t>
      </w:r>
      <w:r w:rsidR="00574DEF" w:rsidRPr="003A1174">
        <w:rPr>
          <w:rFonts w:ascii="Garamond" w:hAnsi="Garamond" w:cs="Arial"/>
          <w:bCs/>
          <w:sz w:val="24"/>
          <w:szCs w:val="24"/>
        </w:rPr>
        <w:t>ita</w:t>
      </w:r>
      <w:r w:rsidRPr="003A1174">
        <w:rPr>
          <w:rFonts w:ascii="Garamond" w:hAnsi="Garamond" w:cs="Arial"/>
          <w:bCs/>
          <w:sz w:val="24"/>
          <w:szCs w:val="24"/>
        </w:rPr>
        <w:t>-se</w:t>
      </w:r>
      <w:r w:rsidR="00574DEF" w:rsidRPr="003A1174">
        <w:rPr>
          <w:rFonts w:ascii="Garamond" w:hAnsi="Garamond" w:cs="Arial"/>
          <w:bCs/>
          <w:sz w:val="24"/>
          <w:szCs w:val="24"/>
        </w:rPr>
        <w:t xml:space="preserve"> esta </w:t>
      </w:r>
      <w:r w:rsidR="00E150E9" w:rsidRPr="003A1174">
        <w:rPr>
          <w:rFonts w:ascii="Garamond" w:hAnsi="Garamond" w:cs="Arial"/>
          <w:bCs/>
          <w:sz w:val="24"/>
          <w:szCs w:val="24"/>
        </w:rPr>
        <w:t>decisão</w:t>
      </w:r>
      <w:r w:rsidR="00574DEF" w:rsidRPr="003A1174">
        <w:rPr>
          <w:rFonts w:ascii="Garamond" w:hAnsi="Garamond" w:cs="Arial"/>
          <w:bCs/>
          <w:sz w:val="24"/>
          <w:szCs w:val="24"/>
        </w:rPr>
        <w:t xml:space="preserve"> judicial, </w:t>
      </w:r>
      <w:r w:rsidR="00120915" w:rsidRPr="003A1174">
        <w:rPr>
          <w:rFonts w:ascii="Garamond" w:hAnsi="Garamond" w:cs="Arial"/>
          <w:bCs/>
          <w:sz w:val="24"/>
          <w:szCs w:val="24"/>
        </w:rPr>
        <w:t>pois</w:t>
      </w:r>
      <w:r w:rsidR="00574DEF" w:rsidRPr="003A1174">
        <w:rPr>
          <w:rFonts w:ascii="Garamond" w:hAnsi="Garamond" w:cs="Arial"/>
          <w:bCs/>
          <w:sz w:val="24"/>
          <w:szCs w:val="24"/>
        </w:rPr>
        <w:t xml:space="preserve"> </w:t>
      </w:r>
      <w:r w:rsidRPr="003A1174">
        <w:rPr>
          <w:rFonts w:ascii="Garamond" w:hAnsi="Garamond" w:cs="Arial"/>
          <w:bCs/>
          <w:sz w:val="24"/>
          <w:szCs w:val="24"/>
        </w:rPr>
        <w:t>o</w:t>
      </w:r>
      <w:r w:rsidR="00574DEF" w:rsidRPr="003A1174">
        <w:rPr>
          <w:rFonts w:ascii="Garamond" w:hAnsi="Garamond" w:cs="Arial"/>
          <w:bCs/>
          <w:sz w:val="24"/>
          <w:szCs w:val="24"/>
        </w:rPr>
        <w:t xml:space="preserve"> </w:t>
      </w:r>
      <w:r w:rsidRPr="003A1174">
        <w:rPr>
          <w:rFonts w:ascii="Garamond" w:hAnsi="Garamond" w:cs="Arial"/>
          <w:bCs/>
          <w:sz w:val="24"/>
          <w:szCs w:val="24"/>
        </w:rPr>
        <w:t>juiz</w:t>
      </w:r>
      <w:r w:rsidR="00574DEF" w:rsidRPr="003A1174">
        <w:rPr>
          <w:rFonts w:ascii="Garamond" w:hAnsi="Garamond" w:cs="Arial"/>
          <w:bCs/>
          <w:sz w:val="24"/>
          <w:szCs w:val="24"/>
        </w:rPr>
        <w:t xml:space="preserve"> in</w:t>
      </w:r>
      <w:r w:rsidRPr="003A1174">
        <w:rPr>
          <w:rFonts w:ascii="Garamond" w:hAnsi="Garamond" w:cs="Arial"/>
          <w:bCs/>
          <w:sz w:val="24"/>
          <w:szCs w:val="24"/>
        </w:rPr>
        <w:t xml:space="preserve">cluiu na sua </w:t>
      </w:r>
      <w:r w:rsidR="0017447A" w:rsidRPr="003A1174">
        <w:rPr>
          <w:rFonts w:ascii="Garamond" w:hAnsi="Garamond" w:cs="Arial"/>
          <w:bCs/>
          <w:sz w:val="24"/>
          <w:szCs w:val="24"/>
        </w:rPr>
        <w:t>análise</w:t>
      </w:r>
      <w:r w:rsidRPr="003A1174">
        <w:rPr>
          <w:rFonts w:ascii="Garamond" w:hAnsi="Garamond" w:cs="Arial"/>
          <w:bCs/>
          <w:sz w:val="24"/>
          <w:szCs w:val="24"/>
        </w:rPr>
        <w:t xml:space="preserve"> um</w:t>
      </w:r>
      <w:r w:rsidR="00574DEF" w:rsidRPr="003A1174">
        <w:rPr>
          <w:rFonts w:ascii="Garamond" w:hAnsi="Garamond" w:cs="Arial"/>
          <w:bCs/>
          <w:sz w:val="24"/>
          <w:szCs w:val="24"/>
        </w:rPr>
        <w:t xml:space="preserve">a </w:t>
      </w:r>
      <w:r w:rsidR="00497503" w:rsidRPr="003A1174">
        <w:rPr>
          <w:rFonts w:ascii="Garamond" w:hAnsi="Garamond" w:cs="Arial"/>
          <w:bCs/>
          <w:sz w:val="24"/>
          <w:szCs w:val="24"/>
        </w:rPr>
        <w:t>das</w:t>
      </w:r>
      <w:r w:rsidR="00574DEF" w:rsidRPr="003A1174">
        <w:rPr>
          <w:rFonts w:ascii="Garamond" w:hAnsi="Garamond" w:cs="Arial"/>
          <w:bCs/>
          <w:sz w:val="24"/>
          <w:szCs w:val="24"/>
        </w:rPr>
        <w:t xml:space="preserve"> modalidades de </w:t>
      </w:r>
      <w:r w:rsidR="000350B1" w:rsidRPr="003A1174">
        <w:rPr>
          <w:rFonts w:ascii="Garamond" w:hAnsi="Garamond" w:cs="Arial"/>
          <w:bCs/>
          <w:sz w:val="24"/>
          <w:szCs w:val="24"/>
        </w:rPr>
        <w:t>violência</w:t>
      </w:r>
      <w:r w:rsidRPr="003A1174">
        <w:rPr>
          <w:rFonts w:ascii="Garamond" w:hAnsi="Garamond" w:cs="Arial"/>
          <w:bCs/>
          <w:sz w:val="24"/>
          <w:szCs w:val="24"/>
        </w:rPr>
        <w:t xml:space="preserve"> contra </w:t>
      </w:r>
      <w:r w:rsidR="00574DEF" w:rsidRPr="003A1174">
        <w:rPr>
          <w:rFonts w:ascii="Garamond" w:hAnsi="Garamond" w:cs="Arial"/>
          <w:bCs/>
          <w:sz w:val="24"/>
          <w:szCs w:val="24"/>
        </w:rPr>
        <w:t xml:space="preserve">a </w:t>
      </w:r>
      <w:r w:rsidR="00AF192F" w:rsidRPr="003A1174">
        <w:rPr>
          <w:rFonts w:ascii="Garamond" w:hAnsi="Garamond" w:cs="Arial"/>
          <w:bCs/>
          <w:sz w:val="24"/>
          <w:szCs w:val="24"/>
        </w:rPr>
        <w:t>mulher</w:t>
      </w:r>
      <w:r w:rsidR="00574DEF" w:rsidRPr="003A1174">
        <w:rPr>
          <w:rFonts w:ascii="Garamond" w:hAnsi="Garamond" w:cs="Arial"/>
          <w:bCs/>
          <w:sz w:val="24"/>
          <w:szCs w:val="24"/>
        </w:rPr>
        <w:t xml:space="preserve"> e</w:t>
      </w:r>
      <w:r w:rsidRPr="003A1174">
        <w:rPr>
          <w:rFonts w:ascii="Garamond" w:hAnsi="Garamond" w:cs="Arial"/>
          <w:bCs/>
          <w:sz w:val="24"/>
          <w:szCs w:val="24"/>
        </w:rPr>
        <w:t>m que</w:t>
      </w:r>
      <w:r w:rsidR="00F260B1">
        <w:rPr>
          <w:rFonts w:ascii="Garamond" w:hAnsi="Garamond" w:cs="Arial"/>
          <w:bCs/>
          <w:sz w:val="24"/>
          <w:szCs w:val="24"/>
        </w:rPr>
        <w:t>,</w:t>
      </w:r>
      <w:r w:rsidRPr="003A1174">
        <w:rPr>
          <w:rFonts w:ascii="Garamond" w:hAnsi="Garamond" w:cs="Arial"/>
          <w:bCs/>
          <w:sz w:val="24"/>
          <w:szCs w:val="24"/>
        </w:rPr>
        <w:t xml:space="preserve"> difi</w:t>
      </w:r>
      <w:r w:rsidR="00574DEF" w:rsidRPr="003A1174">
        <w:rPr>
          <w:rFonts w:ascii="Garamond" w:hAnsi="Garamond" w:cs="Arial"/>
          <w:bCs/>
          <w:sz w:val="24"/>
          <w:szCs w:val="24"/>
        </w:rPr>
        <w:t>cilmente</w:t>
      </w:r>
      <w:r w:rsidR="003F3D1F" w:rsidRPr="003A1174">
        <w:rPr>
          <w:rFonts w:ascii="Garamond" w:hAnsi="Garamond" w:cs="Arial"/>
          <w:bCs/>
          <w:sz w:val="24"/>
          <w:szCs w:val="24"/>
        </w:rPr>
        <w:t>,</w:t>
      </w:r>
      <w:r w:rsidR="00574DEF" w:rsidRPr="003A1174">
        <w:rPr>
          <w:rFonts w:ascii="Garamond" w:hAnsi="Garamond" w:cs="Arial"/>
          <w:bCs/>
          <w:sz w:val="24"/>
          <w:szCs w:val="24"/>
        </w:rPr>
        <w:t xml:space="preserve"> </w:t>
      </w:r>
      <w:r w:rsidR="003F3D1F" w:rsidRPr="003A1174">
        <w:rPr>
          <w:rFonts w:ascii="Garamond" w:hAnsi="Garamond" w:cs="Arial"/>
          <w:bCs/>
          <w:sz w:val="24"/>
          <w:szCs w:val="24"/>
        </w:rPr>
        <w:t>—</w:t>
      </w:r>
      <w:r w:rsidRPr="003A1174">
        <w:rPr>
          <w:rFonts w:ascii="Garamond" w:hAnsi="Garamond" w:cs="Arial"/>
          <w:bCs/>
          <w:sz w:val="24"/>
          <w:szCs w:val="24"/>
        </w:rPr>
        <w:t xml:space="preserve"> </w:t>
      </w:r>
      <w:r w:rsidR="00574DEF" w:rsidRPr="003A1174">
        <w:rPr>
          <w:rFonts w:ascii="Garamond" w:hAnsi="Garamond" w:cs="Arial"/>
          <w:bCs/>
          <w:sz w:val="24"/>
          <w:szCs w:val="24"/>
        </w:rPr>
        <w:t xml:space="preserve">por meras </w:t>
      </w:r>
      <w:r w:rsidRPr="003A1174">
        <w:rPr>
          <w:rFonts w:ascii="Garamond" w:hAnsi="Garamond" w:cs="Arial"/>
          <w:bCs/>
          <w:sz w:val="24"/>
          <w:szCs w:val="24"/>
        </w:rPr>
        <w:t>questões</w:t>
      </w:r>
      <w:r w:rsidR="00574DEF" w:rsidRPr="003A1174">
        <w:rPr>
          <w:rFonts w:ascii="Garamond" w:hAnsi="Garamond" w:cs="Arial"/>
          <w:bCs/>
          <w:sz w:val="24"/>
          <w:szCs w:val="24"/>
        </w:rPr>
        <w:t xml:space="preserve"> </w:t>
      </w:r>
      <w:r w:rsidR="00682C71" w:rsidRPr="003A1174">
        <w:rPr>
          <w:rFonts w:ascii="Garamond" w:hAnsi="Garamond" w:cs="Arial"/>
          <w:bCs/>
          <w:sz w:val="24"/>
          <w:szCs w:val="24"/>
        </w:rPr>
        <w:t>processuais</w:t>
      </w:r>
      <w:r w:rsidRPr="003A1174">
        <w:rPr>
          <w:rFonts w:ascii="Garamond" w:hAnsi="Garamond" w:cs="Arial"/>
          <w:bCs/>
          <w:sz w:val="24"/>
          <w:szCs w:val="24"/>
        </w:rPr>
        <w:t xml:space="preserve"> </w:t>
      </w:r>
      <w:r w:rsidR="003F3D1F" w:rsidRPr="003A1174">
        <w:rPr>
          <w:rFonts w:ascii="Garamond" w:hAnsi="Garamond" w:cs="Arial"/>
          <w:bCs/>
          <w:sz w:val="24"/>
          <w:szCs w:val="24"/>
        </w:rPr>
        <w:t>—</w:t>
      </w:r>
      <w:r w:rsidRPr="003A1174">
        <w:rPr>
          <w:rFonts w:ascii="Garamond" w:hAnsi="Garamond" w:cs="Arial"/>
          <w:bCs/>
          <w:sz w:val="24"/>
          <w:szCs w:val="24"/>
        </w:rPr>
        <w:t xml:space="preserve"> </w:t>
      </w:r>
      <w:r w:rsidR="00574DEF" w:rsidRPr="003A1174">
        <w:rPr>
          <w:rFonts w:ascii="Garamond" w:hAnsi="Garamond" w:cs="Arial"/>
          <w:bCs/>
          <w:sz w:val="24"/>
          <w:szCs w:val="24"/>
        </w:rPr>
        <w:t xml:space="preserve">a </w:t>
      </w:r>
      <w:r w:rsidR="009F035C" w:rsidRPr="003A1174">
        <w:rPr>
          <w:rFonts w:ascii="Garamond" w:hAnsi="Garamond" w:cs="Arial"/>
          <w:bCs/>
          <w:sz w:val="24"/>
          <w:szCs w:val="24"/>
        </w:rPr>
        <w:t>comunidade</w:t>
      </w:r>
      <w:r w:rsidR="00574DEF" w:rsidRPr="003A1174">
        <w:rPr>
          <w:rFonts w:ascii="Garamond" w:hAnsi="Garamond" w:cs="Arial"/>
          <w:bCs/>
          <w:sz w:val="24"/>
          <w:szCs w:val="24"/>
        </w:rPr>
        <w:t xml:space="preserve"> </w:t>
      </w:r>
      <w:r w:rsidR="00574DEF" w:rsidRPr="003A1174">
        <w:rPr>
          <w:rFonts w:ascii="Garamond" w:hAnsi="Garamond" w:cs="Arial"/>
          <w:bCs/>
          <w:sz w:val="24"/>
          <w:szCs w:val="24"/>
        </w:rPr>
        <w:lastRenderedPageBreak/>
        <w:t>jurídica n</w:t>
      </w:r>
      <w:r w:rsidRPr="003A1174">
        <w:rPr>
          <w:rFonts w:ascii="Garamond" w:hAnsi="Garamond" w:cs="Arial"/>
          <w:bCs/>
          <w:sz w:val="24"/>
          <w:szCs w:val="24"/>
        </w:rPr>
        <w:t>ã</w:t>
      </w:r>
      <w:r w:rsidR="00574DEF" w:rsidRPr="003A1174">
        <w:rPr>
          <w:rFonts w:ascii="Garamond" w:hAnsi="Garamond" w:cs="Arial"/>
          <w:bCs/>
          <w:sz w:val="24"/>
          <w:szCs w:val="24"/>
        </w:rPr>
        <w:t xml:space="preserve">o se pronuncia </w:t>
      </w:r>
      <w:r w:rsidR="00F260B1">
        <w:rPr>
          <w:rFonts w:ascii="Garamond" w:hAnsi="Garamond" w:cs="Arial"/>
          <w:bCs/>
          <w:sz w:val="24"/>
          <w:szCs w:val="24"/>
        </w:rPr>
        <w:t>relativamente ao</w:t>
      </w:r>
      <w:r w:rsidRPr="003A1174">
        <w:rPr>
          <w:rFonts w:ascii="Garamond" w:hAnsi="Garamond" w:cs="Arial"/>
          <w:bCs/>
          <w:sz w:val="24"/>
          <w:szCs w:val="24"/>
        </w:rPr>
        <w:t xml:space="preserve"> </w:t>
      </w:r>
      <w:r w:rsidR="00574DEF" w:rsidRPr="003A1174">
        <w:rPr>
          <w:rFonts w:ascii="Garamond" w:hAnsi="Garamond" w:cs="Arial"/>
          <w:bCs/>
          <w:sz w:val="24"/>
          <w:szCs w:val="24"/>
        </w:rPr>
        <w:t xml:space="preserve">tema da </w:t>
      </w:r>
      <w:r w:rsidR="000350B1" w:rsidRPr="003A1174">
        <w:rPr>
          <w:rFonts w:ascii="Garamond" w:hAnsi="Garamond" w:cs="Arial"/>
          <w:bCs/>
          <w:sz w:val="24"/>
          <w:szCs w:val="24"/>
        </w:rPr>
        <w:t>violência</w:t>
      </w:r>
      <w:r w:rsidR="00574DEF" w:rsidRPr="003A1174">
        <w:rPr>
          <w:rFonts w:ascii="Garamond" w:hAnsi="Garamond" w:cs="Arial"/>
          <w:bCs/>
          <w:sz w:val="24"/>
          <w:szCs w:val="24"/>
        </w:rPr>
        <w:t xml:space="preserve"> psicológica. Concretamente, </w:t>
      </w:r>
      <w:r w:rsidRPr="003A1174">
        <w:rPr>
          <w:rFonts w:ascii="Garamond" w:hAnsi="Garamond" w:cs="Arial"/>
          <w:bCs/>
          <w:sz w:val="24"/>
          <w:szCs w:val="24"/>
        </w:rPr>
        <w:t xml:space="preserve">no </w:t>
      </w:r>
      <w:r w:rsidR="00574DEF" w:rsidRPr="003A1174">
        <w:rPr>
          <w:rFonts w:ascii="Garamond" w:hAnsi="Garamond" w:cs="Arial"/>
          <w:bCs/>
          <w:sz w:val="24"/>
          <w:szCs w:val="24"/>
        </w:rPr>
        <w:t xml:space="preserve">presente caso, </w:t>
      </w:r>
      <w:r w:rsidRPr="003A1174">
        <w:rPr>
          <w:rFonts w:ascii="Garamond" w:hAnsi="Garamond" w:cs="Arial"/>
          <w:bCs/>
          <w:sz w:val="24"/>
          <w:szCs w:val="24"/>
        </w:rPr>
        <w:t>o</w:t>
      </w:r>
      <w:r w:rsidR="00574DEF" w:rsidRPr="003A1174">
        <w:rPr>
          <w:rFonts w:ascii="Garamond" w:hAnsi="Garamond" w:cs="Arial"/>
          <w:bCs/>
          <w:sz w:val="24"/>
          <w:szCs w:val="24"/>
        </w:rPr>
        <w:t xml:space="preserve"> </w:t>
      </w:r>
      <w:r w:rsidR="00253B1D" w:rsidRPr="003A1174">
        <w:rPr>
          <w:rFonts w:ascii="Garamond" w:hAnsi="Garamond" w:cs="Arial"/>
          <w:bCs/>
          <w:sz w:val="24"/>
          <w:szCs w:val="24"/>
        </w:rPr>
        <w:t>Juiz</w:t>
      </w:r>
      <w:r w:rsidR="00574DEF" w:rsidRPr="003A1174">
        <w:rPr>
          <w:rFonts w:ascii="Garamond" w:hAnsi="Garamond" w:cs="Arial"/>
          <w:bCs/>
          <w:sz w:val="24"/>
          <w:szCs w:val="24"/>
        </w:rPr>
        <w:t xml:space="preserve"> </w:t>
      </w:r>
      <w:r w:rsidR="002F2F8A" w:rsidRPr="003A1174">
        <w:rPr>
          <w:rFonts w:ascii="Garamond" w:hAnsi="Garamond" w:cs="Arial"/>
          <w:bCs/>
          <w:sz w:val="24"/>
          <w:szCs w:val="24"/>
        </w:rPr>
        <w:t xml:space="preserve">do processo referiu </w:t>
      </w:r>
      <w:r w:rsidR="00574DEF" w:rsidRPr="003A1174">
        <w:rPr>
          <w:rFonts w:ascii="Garamond" w:hAnsi="Garamond" w:cs="Arial"/>
          <w:bCs/>
          <w:sz w:val="24"/>
          <w:szCs w:val="24"/>
        </w:rPr>
        <w:t>que</w:t>
      </w:r>
      <w:r w:rsidR="003F3D1F" w:rsidRPr="003A1174">
        <w:rPr>
          <w:rFonts w:ascii="Garamond" w:hAnsi="Garamond" w:cs="Arial"/>
          <w:bCs/>
          <w:i/>
          <w:sz w:val="24"/>
          <w:szCs w:val="24"/>
        </w:rPr>
        <w:t>:</w:t>
      </w:r>
      <w:r w:rsidR="00574DEF" w:rsidRPr="003A1174">
        <w:rPr>
          <w:rFonts w:ascii="Garamond" w:hAnsi="Garamond" w:cs="Arial"/>
          <w:bCs/>
          <w:i/>
          <w:sz w:val="24"/>
          <w:szCs w:val="24"/>
        </w:rPr>
        <w:t xml:space="preserve"> </w:t>
      </w:r>
    </w:p>
    <w:p w:rsidR="003178D9" w:rsidRDefault="003178D9" w:rsidP="00566C0C">
      <w:pPr>
        <w:autoSpaceDE w:val="0"/>
        <w:autoSpaceDN w:val="0"/>
        <w:adjustRightInd w:val="0"/>
        <w:spacing w:before="240" w:after="0" w:line="240" w:lineRule="auto"/>
        <w:jc w:val="both"/>
        <w:rPr>
          <w:rFonts w:ascii="Garamond" w:hAnsi="Garamond" w:cs="Arial"/>
          <w:bCs/>
          <w:i/>
          <w:sz w:val="24"/>
          <w:szCs w:val="24"/>
        </w:rPr>
      </w:pPr>
    </w:p>
    <w:p w:rsidR="00F260B1" w:rsidRDefault="00F260B1" w:rsidP="00F260B1">
      <w:pPr>
        <w:autoSpaceDE w:val="0"/>
        <w:autoSpaceDN w:val="0"/>
        <w:adjustRightInd w:val="0"/>
        <w:spacing w:after="0" w:line="240" w:lineRule="auto"/>
        <w:ind w:left="567"/>
        <w:jc w:val="both"/>
        <w:rPr>
          <w:rFonts w:ascii="Garamond" w:hAnsi="Garamond" w:cs="Arial"/>
        </w:rPr>
      </w:pPr>
      <w:r>
        <w:rPr>
          <w:rFonts w:ascii="Garamond" w:hAnsi="Garamond" w:cs="Arial"/>
          <w:bCs/>
        </w:rPr>
        <w:t>«</w:t>
      </w:r>
      <w:r w:rsidR="00574DEF" w:rsidRPr="00F260B1">
        <w:rPr>
          <w:rFonts w:ascii="Garamond" w:hAnsi="Garamond" w:cs="Arial"/>
          <w:bCs/>
        </w:rPr>
        <w:t xml:space="preserve">(…) </w:t>
      </w:r>
      <w:r w:rsidR="0074243F" w:rsidRPr="00F260B1">
        <w:rPr>
          <w:rFonts w:ascii="Garamond" w:hAnsi="Garamond" w:cs="Arial"/>
        </w:rPr>
        <w:t>mas</w:t>
      </w:r>
      <w:proofErr w:type="gramStart"/>
      <w:r w:rsidR="00574DEF" w:rsidRPr="00F260B1">
        <w:rPr>
          <w:rFonts w:ascii="Garamond" w:hAnsi="Garamond" w:cs="Arial"/>
        </w:rPr>
        <w:t xml:space="preserve"> a</w:t>
      </w:r>
      <w:r w:rsidR="002F2F8A" w:rsidRPr="00F260B1">
        <w:rPr>
          <w:rFonts w:ascii="Garamond" w:hAnsi="Garamond" w:cs="Arial"/>
        </w:rPr>
        <w:t>lém disso</w:t>
      </w:r>
      <w:proofErr w:type="gramEnd"/>
      <w:r w:rsidR="002F2F8A" w:rsidRPr="00F260B1">
        <w:rPr>
          <w:rFonts w:ascii="Garamond" w:hAnsi="Garamond" w:cs="Arial"/>
        </w:rPr>
        <w:t xml:space="preserve">, enquanto se lhe batia, eram-lhe proferidas </w:t>
      </w:r>
      <w:r w:rsidR="003E1D8A" w:rsidRPr="00F260B1">
        <w:rPr>
          <w:rFonts w:ascii="Garamond" w:hAnsi="Garamond" w:cs="Arial"/>
        </w:rPr>
        <w:t>expressões</w:t>
      </w:r>
      <w:r w:rsidR="00574DEF" w:rsidRPr="00F260B1">
        <w:rPr>
          <w:rFonts w:ascii="Garamond" w:hAnsi="Garamond" w:cs="Arial"/>
        </w:rPr>
        <w:t xml:space="preserve"> especialmente </w:t>
      </w:r>
      <w:r w:rsidR="002F2F8A" w:rsidRPr="00F260B1">
        <w:rPr>
          <w:rFonts w:ascii="Garamond" w:hAnsi="Garamond" w:cs="Arial"/>
        </w:rPr>
        <w:t>humilhante</w:t>
      </w:r>
      <w:r w:rsidR="00574DEF" w:rsidRPr="00F260B1">
        <w:rPr>
          <w:rFonts w:ascii="Garamond" w:hAnsi="Garamond" w:cs="Arial"/>
        </w:rPr>
        <w:t xml:space="preserve">s como </w:t>
      </w:r>
      <w:r w:rsidR="00566C0C" w:rsidRPr="00F260B1">
        <w:rPr>
          <w:rFonts w:ascii="Garamond" w:hAnsi="Garamond" w:cs="Arial"/>
        </w:rPr>
        <w:t>cadela</w:t>
      </w:r>
      <w:r w:rsidR="00574DEF" w:rsidRPr="00F260B1">
        <w:rPr>
          <w:rFonts w:ascii="Garamond" w:hAnsi="Garamond" w:cs="Arial"/>
        </w:rPr>
        <w:t xml:space="preserve">, </w:t>
      </w:r>
      <w:r w:rsidR="002F2F8A" w:rsidRPr="00F260B1">
        <w:rPr>
          <w:rFonts w:ascii="Garamond" w:hAnsi="Garamond" w:cs="Arial"/>
        </w:rPr>
        <w:t>criada</w:t>
      </w:r>
      <w:r w:rsidR="00574DEF" w:rsidRPr="00F260B1">
        <w:rPr>
          <w:rFonts w:ascii="Garamond" w:hAnsi="Garamond" w:cs="Arial"/>
        </w:rPr>
        <w:t xml:space="preserve">, </w:t>
      </w:r>
      <w:r w:rsidR="007A2492" w:rsidRPr="00F260B1">
        <w:rPr>
          <w:rFonts w:ascii="Garamond" w:hAnsi="Garamond" w:cs="Arial"/>
        </w:rPr>
        <w:t>filha</w:t>
      </w:r>
      <w:r w:rsidR="00566C0C" w:rsidRPr="00F260B1">
        <w:rPr>
          <w:rFonts w:ascii="Garamond" w:hAnsi="Garamond" w:cs="Arial"/>
        </w:rPr>
        <w:t xml:space="preserve"> de um</w:t>
      </w:r>
      <w:r w:rsidR="00574DEF" w:rsidRPr="00F260B1">
        <w:rPr>
          <w:rFonts w:ascii="Garamond" w:hAnsi="Garamond" w:cs="Arial"/>
        </w:rPr>
        <w:t>a gran</w:t>
      </w:r>
      <w:r w:rsidR="00566C0C" w:rsidRPr="00F260B1">
        <w:rPr>
          <w:rFonts w:ascii="Garamond" w:hAnsi="Garamond" w:cs="Arial"/>
        </w:rPr>
        <w:t>de</w:t>
      </w:r>
      <w:r w:rsidR="00574DEF" w:rsidRPr="00F260B1">
        <w:rPr>
          <w:rFonts w:ascii="Garamond" w:hAnsi="Garamond" w:cs="Arial"/>
        </w:rPr>
        <w:t xml:space="preserve"> puta, </w:t>
      </w:r>
      <w:r w:rsidR="002F2F8A" w:rsidRPr="00F260B1">
        <w:rPr>
          <w:rFonts w:ascii="Garamond" w:hAnsi="Garamond" w:cs="Arial"/>
        </w:rPr>
        <w:t>baixa</w:t>
      </w:r>
      <w:r w:rsidR="00574DEF" w:rsidRPr="00F260B1">
        <w:rPr>
          <w:rFonts w:ascii="Garamond" w:hAnsi="Garamond" w:cs="Arial"/>
        </w:rPr>
        <w:t>, que n</w:t>
      </w:r>
      <w:r w:rsidR="00566C0C" w:rsidRPr="00F260B1">
        <w:rPr>
          <w:rFonts w:ascii="Garamond" w:hAnsi="Garamond" w:cs="Arial"/>
        </w:rPr>
        <w:t>ã</w:t>
      </w:r>
      <w:r w:rsidR="002F2F8A" w:rsidRPr="00F260B1">
        <w:rPr>
          <w:rFonts w:ascii="Garamond" w:hAnsi="Garamond" w:cs="Arial"/>
        </w:rPr>
        <w:t>o vali</w:t>
      </w:r>
      <w:r w:rsidR="00566C0C" w:rsidRPr="00F260B1">
        <w:rPr>
          <w:rFonts w:ascii="Garamond" w:hAnsi="Garamond" w:cs="Arial"/>
        </w:rPr>
        <w:t xml:space="preserve">a </w:t>
      </w:r>
      <w:r w:rsidR="00574DEF" w:rsidRPr="00F260B1">
        <w:rPr>
          <w:rFonts w:ascii="Garamond" w:hAnsi="Garamond" w:cs="Arial"/>
        </w:rPr>
        <w:t xml:space="preserve">a pena, </w:t>
      </w:r>
      <w:r w:rsidR="00574DEF" w:rsidRPr="00F260B1">
        <w:rPr>
          <w:rFonts w:ascii="Garamond" w:hAnsi="Garamond" w:cs="Arial"/>
          <w:i/>
        </w:rPr>
        <w:t>trata</w:t>
      </w:r>
      <w:r w:rsidR="002F2F8A" w:rsidRPr="00F260B1">
        <w:rPr>
          <w:rFonts w:ascii="Garamond" w:hAnsi="Garamond" w:cs="Arial"/>
          <w:i/>
        </w:rPr>
        <w:t>-se</w:t>
      </w:r>
      <w:r w:rsidR="00574DEF" w:rsidRPr="00F260B1">
        <w:rPr>
          <w:rFonts w:ascii="Garamond" w:hAnsi="Garamond" w:cs="Arial"/>
          <w:i/>
        </w:rPr>
        <w:t xml:space="preserve"> por </w:t>
      </w:r>
      <w:r w:rsidR="00566C0C" w:rsidRPr="00F260B1">
        <w:rPr>
          <w:rFonts w:ascii="Garamond" w:hAnsi="Garamond" w:cs="Arial"/>
          <w:i/>
        </w:rPr>
        <w:t xml:space="preserve">isso </w:t>
      </w:r>
      <w:r w:rsidR="00574DEF" w:rsidRPr="00F260B1">
        <w:rPr>
          <w:rFonts w:ascii="Garamond" w:hAnsi="Garamond" w:cs="Arial"/>
          <w:i/>
        </w:rPr>
        <w:t>de u</w:t>
      </w:r>
      <w:r w:rsidR="00566C0C" w:rsidRPr="00F260B1">
        <w:rPr>
          <w:rFonts w:ascii="Garamond" w:hAnsi="Garamond" w:cs="Arial"/>
          <w:i/>
        </w:rPr>
        <w:t>m</w:t>
      </w:r>
      <w:r w:rsidR="00574DEF" w:rsidRPr="00F260B1">
        <w:rPr>
          <w:rFonts w:ascii="Garamond" w:hAnsi="Garamond" w:cs="Arial"/>
          <w:i/>
        </w:rPr>
        <w:t xml:space="preserve"> caso de </w:t>
      </w:r>
      <w:r w:rsidR="000350B1" w:rsidRPr="00F260B1">
        <w:rPr>
          <w:rFonts w:ascii="Garamond" w:hAnsi="Garamond" w:cs="Arial"/>
          <w:i/>
        </w:rPr>
        <w:t>violência</w:t>
      </w:r>
      <w:r w:rsidR="00574DEF" w:rsidRPr="00F260B1">
        <w:rPr>
          <w:rFonts w:ascii="Garamond" w:hAnsi="Garamond" w:cs="Arial"/>
          <w:i/>
        </w:rPr>
        <w:t xml:space="preserve"> de género que se </w:t>
      </w:r>
      <w:r w:rsidR="00FB09CA" w:rsidRPr="00F260B1">
        <w:rPr>
          <w:rFonts w:ascii="Garamond" w:hAnsi="Garamond" w:cs="Arial"/>
          <w:i/>
        </w:rPr>
        <w:t>constitui</w:t>
      </w:r>
      <w:r w:rsidR="00574DEF" w:rsidRPr="00F260B1">
        <w:rPr>
          <w:rFonts w:ascii="Garamond" w:hAnsi="Garamond" w:cs="Arial"/>
          <w:i/>
        </w:rPr>
        <w:t xml:space="preserve"> como </w:t>
      </w:r>
      <w:r w:rsidR="000350B1" w:rsidRPr="00F260B1">
        <w:rPr>
          <w:rFonts w:ascii="Garamond" w:hAnsi="Garamond" w:cs="Arial"/>
          <w:i/>
        </w:rPr>
        <w:t>violência</w:t>
      </w:r>
      <w:r w:rsidR="00574DEF" w:rsidRPr="00F260B1">
        <w:rPr>
          <w:rFonts w:ascii="Garamond" w:hAnsi="Garamond" w:cs="Arial"/>
          <w:i/>
        </w:rPr>
        <w:t xml:space="preserve"> intrafamiliar, </w:t>
      </w:r>
      <w:r w:rsidR="00566C0C" w:rsidRPr="00F260B1">
        <w:rPr>
          <w:rFonts w:ascii="Garamond" w:hAnsi="Garamond" w:cs="Arial"/>
          <w:i/>
        </w:rPr>
        <w:t>ou seja</w:t>
      </w:r>
      <w:r w:rsidR="00574DEF" w:rsidRPr="00F260B1">
        <w:rPr>
          <w:rFonts w:ascii="Garamond" w:hAnsi="Garamond" w:cs="Arial"/>
          <w:i/>
        </w:rPr>
        <w:t xml:space="preserve">, realizada </w:t>
      </w:r>
      <w:r w:rsidR="002F2F8A" w:rsidRPr="00F260B1">
        <w:rPr>
          <w:rFonts w:ascii="Garamond" w:hAnsi="Garamond" w:cs="Arial"/>
          <w:i/>
        </w:rPr>
        <w:t>em c</w:t>
      </w:r>
      <w:r w:rsidR="00574DEF" w:rsidRPr="00F260B1">
        <w:rPr>
          <w:rFonts w:ascii="Garamond" w:hAnsi="Garamond" w:cs="Arial"/>
          <w:i/>
        </w:rPr>
        <w:t>on</w:t>
      </w:r>
      <w:r w:rsidR="00661ADB" w:rsidRPr="00F260B1">
        <w:rPr>
          <w:rFonts w:ascii="Garamond" w:hAnsi="Garamond" w:cs="Arial"/>
          <w:i/>
        </w:rPr>
        <w:t>sequência</w:t>
      </w:r>
      <w:r w:rsidR="00574DEF" w:rsidRPr="00F260B1">
        <w:rPr>
          <w:rFonts w:ascii="Garamond" w:hAnsi="Garamond" w:cs="Arial"/>
          <w:i/>
        </w:rPr>
        <w:t xml:space="preserve"> d</w:t>
      </w:r>
      <w:r w:rsidR="00566C0C" w:rsidRPr="00F260B1">
        <w:rPr>
          <w:rFonts w:ascii="Garamond" w:hAnsi="Garamond" w:cs="Arial"/>
          <w:i/>
        </w:rPr>
        <w:t xml:space="preserve">a sua </w:t>
      </w:r>
      <w:r w:rsidR="004E3A1A" w:rsidRPr="00F260B1">
        <w:rPr>
          <w:rFonts w:ascii="Garamond" w:hAnsi="Garamond" w:cs="Arial"/>
          <w:i/>
        </w:rPr>
        <w:t>condição</w:t>
      </w:r>
      <w:r w:rsidR="00574DEF" w:rsidRPr="00F260B1">
        <w:rPr>
          <w:rFonts w:ascii="Garamond" w:hAnsi="Garamond" w:cs="Arial"/>
          <w:i/>
        </w:rPr>
        <w:t xml:space="preserve"> de </w:t>
      </w:r>
      <w:r w:rsidR="00AF192F" w:rsidRPr="00F260B1">
        <w:rPr>
          <w:rFonts w:ascii="Garamond" w:hAnsi="Garamond" w:cs="Arial"/>
          <w:i/>
        </w:rPr>
        <w:t>mulher</w:t>
      </w:r>
      <w:r w:rsidR="00574DEF" w:rsidRPr="00F260B1">
        <w:rPr>
          <w:rFonts w:ascii="Garamond" w:hAnsi="Garamond" w:cs="Arial"/>
          <w:i/>
        </w:rPr>
        <w:t xml:space="preserve">, precisamente </w:t>
      </w:r>
      <w:r w:rsidR="005C2020" w:rsidRPr="00F260B1">
        <w:rPr>
          <w:rFonts w:ascii="Garamond" w:hAnsi="Garamond" w:cs="Arial"/>
          <w:i/>
        </w:rPr>
        <w:t>pelo</w:t>
      </w:r>
      <w:r w:rsidR="00574DEF" w:rsidRPr="00F260B1">
        <w:rPr>
          <w:rFonts w:ascii="Garamond" w:hAnsi="Garamond" w:cs="Arial"/>
          <w:i/>
        </w:rPr>
        <w:t xml:space="preserve"> </w:t>
      </w:r>
      <w:r w:rsidR="00566C0C" w:rsidRPr="00F260B1">
        <w:rPr>
          <w:rFonts w:ascii="Garamond" w:hAnsi="Garamond" w:cs="Arial"/>
          <w:i/>
        </w:rPr>
        <w:t xml:space="preserve">desprezo pela sua </w:t>
      </w:r>
      <w:r w:rsidR="0005622E" w:rsidRPr="00F260B1">
        <w:rPr>
          <w:rFonts w:ascii="Garamond" w:hAnsi="Garamond" w:cs="Arial"/>
          <w:i/>
        </w:rPr>
        <w:t>pessoa</w:t>
      </w:r>
      <w:r w:rsidR="00574DEF" w:rsidRPr="00F260B1">
        <w:rPr>
          <w:rFonts w:ascii="Garamond" w:hAnsi="Garamond" w:cs="Arial"/>
          <w:i/>
        </w:rPr>
        <w:t xml:space="preserve"> que se </w:t>
      </w:r>
      <w:r w:rsidR="002F2F8A" w:rsidRPr="00F260B1">
        <w:rPr>
          <w:rFonts w:ascii="Garamond" w:hAnsi="Garamond" w:cs="Arial"/>
          <w:i/>
        </w:rPr>
        <w:t>observa</w:t>
      </w:r>
      <w:r w:rsidR="00574DEF" w:rsidRPr="00F260B1">
        <w:rPr>
          <w:rFonts w:ascii="Garamond" w:hAnsi="Garamond" w:cs="Arial"/>
          <w:i/>
        </w:rPr>
        <w:t xml:space="preserve"> n</w:t>
      </w:r>
      <w:r w:rsidR="00566C0C" w:rsidRPr="00F260B1">
        <w:rPr>
          <w:rFonts w:ascii="Garamond" w:hAnsi="Garamond" w:cs="Arial"/>
          <w:i/>
        </w:rPr>
        <w:t>ã</w:t>
      </w:r>
      <w:r w:rsidR="00574DEF" w:rsidRPr="00F260B1">
        <w:rPr>
          <w:rFonts w:ascii="Garamond" w:hAnsi="Garamond" w:cs="Arial"/>
          <w:i/>
        </w:rPr>
        <w:t>o s</w:t>
      </w:r>
      <w:r w:rsidR="00566C0C" w:rsidRPr="00F260B1">
        <w:rPr>
          <w:rFonts w:ascii="Garamond" w:hAnsi="Garamond" w:cs="Arial"/>
          <w:i/>
        </w:rPr>
        <w:t xml:space="preserve">ó </w:t>
      </w:r>
      <w:r w:rsidR="002F2F8A" w:rsidRPr="00F260B1">
        <w:rPr>
          <w:rFonts w:ascii="Garamond" w:hAnsi="Garamond" w:cs="Arial"/>
          <w:i/>
        </w:rPr>
        <w:t>devido às múltipla</w:t>
      </w:r>
      <w:r w:rsidR="00574DEF" w:rsidRPr="00F260B1">
        <w:rPr>
          <w:rFonts w:ascii="Garamond" w:hAnsi="Garamond" w:cs="Arial"/>
          <w:i/>
        </w:rPr>
        <w:t xml:space="preserve">s </w:t>
      </w:r>
      <w:r w:rsidR="002F2F8A" w:rsidRPr="00F260B1">
        <w:rPr>
          <w:rFonts w:ascii="Garamond" w:hAnsi="Garamond" w:cs="Arial"/>
          <w:i/>
        </w:rPr>
        <w:t>pancadas</w:t>
      </w:r>
      <w:r w:rsidR="00574DEF" w:rsidRPr="00F260B1">
        <w:rPr>
          <w:rFonts w:ascii="Garamond" w:hAnsi="Garamond" w:cs="Arial"/>
          <w:i/>
        </w:rPr>
        <w:t xml:space="preserve"> que se l</w:t>
      </w:r>
      <w:r w:rsidR="002F2F8A" w:rsidRPr="00F260B1">
        <w:rPr>
          <w:rFonts w:ascii="Garamond" w:hAnsi="Garamond" w:cs="Arial"/>
          <w:i/>
        </w:rPr>
        <w:t>h</w:t>
      </w:r>
      <w:r w:rsidR="00574DEF" w:rsidRPr="00F260B1">
        <w:rPr>
          <w:rFonts w:ascii="Garamond" w:hAnsi="Garamond" w:cs="Arial"/>
          <w:i/>
        </w:rPr>
        <w:t xml:space="preserve">e </w:t>
      </w:r>
      <w:r w:rsidR="002F2F8A" w:rsidRPr="00F260B1">
        <w:rPr>
          <w:rFonts w:ascii="Garamond" w:hAnsi="Garamond" w:cs="Arial"/>
          <w:i/>
        </w:rPr>
        <w:t>davam</w:t>
      </w:r>
      <w:r w:rsidR="00574DEF" w:rsidRPr="00F260B1">
        <w:rPr>
          <w:rFonts w:ascii="Garamond" w:hAnsi="Garamond" w:cs="Arial"/>
          <w:i/>
        </w:rPr>
        <w:t xml:space="preserve">, </w:t>
      </w:r>
      <w:r w:rsidR="00566C0C" w:rsidRPr="00F260B1">
        <w:rPr>
          <w:rFonts w:ascii="Garamond" w:hAnsi="Garamond" w:cs="Arial"/>
          <w:i/>
        </w:rPr>
        <w:t xml:space="preserve">mas também porque durante </w:t>
      </w:r>
      <w:r w:rsidR="00574DEF" w:rsidRPr="00F260B1">
        <w:rPr>
          <w:rFonts w:ascii="Garamond" w:hAnsi="Garamond" w:cs="Arial"/>
          <w:i/>
        </w:rPr>
        <w:t xml:space="preserve">a </w:t>
      </w:r>
      <w:r w:rsidR="00C30647" w:rsidRPr="00F260B1">
        <w:rPr>
          <w:rFonts w:ascii="Garamond" w:hAnsi="Garamond" w:cs="Arial"/>
          <w:i/>
        </w:rPr>
        <w:t>realização</w:t>
      </w:r>
      <w:r w:rsidR="00574DEF" w:rsidRPr="00F260B1">
        <w:rPr>
          <w:rFonts w:ascii="Garamond" w:hAnsi="Garamond" w:cs="Arial"/>
          <w:i/>
        </w:rPr>
        <w:t xml:space="preserve"> </w:t>
      </w:r>
      <w:r w:rsidR="008A3DA2" w:rsidRPr="00F260B1">
        <w:rPr>
          <w:rFonts w:ascii="Garamond" w:hAnsi="Garamond" w:cs="Arial"/>
          <w:i/>
        </w:rPr>
        <w:t>do</w:t>
      </w:r>
      <w:r w:rsidR="00574DEF" w:rsidRPr="00F260B1">
        <w:rPr>
          <w:rFonts w:ascii="Garamond" w:hAnsi="Garamond" w:cs="Arial"/>
          <w:i/>
        </w:rPr>
        <w:t xml:space="preserve"> </w:t>
      </w:r>
      <w:r w:rsidR="001647F2" w:rsidRPr="00F260B1">
        <w:rPr>
          <w:rFonts w:ascii="Garamond" w:hAnsi="Garamond" w:cs="Arial"/>
          <w:i/>
        </w:rPr>
        <w:t>facto</w:t>
      </w:r>
      <w:r w:rsidR="00574DEF" w:rsidRPr="00F260B1">
        <w:rPr>
          <w:rFonts w:ascii="Garamond" w:hAnsi="Garamond" w:cs="Arial"/>
          <w:i/>
        </w:rPr>
        <w:t xml:space="preserve"> se </w:t>
      </w:r>
      <w:r w:rsidR="00566C0C" w:rsidRPr="00F260B1">
        <w:rPr>
          <w:rFonts w:ascii="Garamond" w:hAnsi="Garamond" w:cs="Arial"/>
          <w:i/>
        </w:rPr>
        <w:t xml:space="preserve">fizeram afirmações como </w:t>
      </w:r>
      <w:r w:rsidR="00574DEF" w:rsidRPr="00F260B1">
        <w:rPr>
          <w:rFonts w:ascii="Garamond" w:hAnsi="Garamond" w:cs="Arial"/>
          <w:i/>
        </w:rPr>
        <w:t xml:space="preserve">as mencionadas, </w:t>
      </w:r>
      <w:r w:rsidR="00497503" w:rsidRPr="00F260B1">
        <w:rPr>
          <w:rFonts w:ascii="Garamond" w:hAnsi="Garamond" w:cs="Arial"/>
          <w:i/>
        </w:rPr>
        <w:t>das</w:t>
      </w:r>
      <w:r w:rsidR="00574DEF" w:rsidRPr="00F260B1">
        <w:rPr>
          <w:rFonts w:ascii="Garamond" w:hAnsi="Garamond" w:cs="Arial"/>
          <w:i/>
        </w:rPr>
        <w:t xml:space="preserve"> qu</w:t>
      </w:r>
      <w:r w:rsidR="002F2F8A" w:rsidRPr="00F260B1">
        <w:rPr>
          <w:rFonts w:ascii="Garamond" w:hAnsi="Garamond" w:cs="Arial"/>
          <w:i/>
        </w:rPr>
        <w:t xml:space="preserve">ais se depreende </w:t>
      </w:r>
      <w:r w:rsidR="00574DEF" w:rsidRPr="00F260B1">
        <w:rPr>
          <w:rFonts w:ascii="Garamond" w:hAnsi="Garamond" w:cs="Arial"/>
          <w:i/>
        </w:rPr>
        <w:t>u</w:t>
      </w:r>
      <w:r w:rsidR="00566C0C" w:rsidRPr="00F260B1">
        <w:rPr>
          <w:rFonts w:ascii="Garamond" w:hAnsi="Garamond" w:cs="Arial"/>
          <w:i/>
        </w:rPr>
        <w:t xml:space="preserve">m desprezo pela sua </w:t>
      </w:r>
      <w:r w:rsidR="004E3A1A" w:rsidRPr="00F260B1">
        <w:rPr>
          <w:rFonts w:ascii="Garamond" w:hAnsi="Garamond" w:cs="Arial"/>
          <w:i/>
        </w:rPr>
        <w:t>condição</w:t>
      </w:r>
      <w:r w:rsidR="00574DEF" w:rsidRPr="00F260B1">
        <w:rPr>
          <w:rFonts w:ascii="Garamond" w:hAnsi="Garamond" w:cs="Arial"/>
          <w:i/>
        </w:rPr>
        <w:t xml:space="preserve"> de </w:t>
      </w:r>
      <w:r w:rsidR="00AF192F" w:rsidRPr="00F260B1">
        <w:rPr>
          <w:rFonts w:ascii="Garamond" w:hAnsi="Garamond" w:cs="Arial"/>
          <w:i/>
        </w:rPr>
        <w:t>mulher</w:t>
      </w:r>
      <w:r w:rsidR="00574DEF" w:rsidRPr="00F260B1">
        <w:rPr>
          <w:rFonts w:ascii="Garamond" w:hAnsi="Garamond" w:cs="Arial"/>
          <w:i/>
        </w:rPr>
        <w:t xml:space="preserve">, de </w:t>
      </w:r>
      <w:r w:rsidR="0005622E" w:rsidRPr="00F260B1">
        <w:rPr>
          <w:rFonts w:ascii="Garamond" w:hAnsi="Garamond" w:cs="Arial"/>
          <w:i/>
        </w:rPr>
        <w:t>pessoa</w:t>
      </w:r>
      <w:r w:rsidR="00566C0C" w:rsidRPr="00F260B1">
        <w:rPr>
          <w:rFonts w:ascii="Garamond" w:hAnsi="Garamond" w:cs="Arial"/>
          <w:i/>
        </w:rPr>
        <w:t>, de ser humano, com</w:t>
      </w:r>
      <w:r w:rsidR="00574DEF" w:rsidRPr="00F260B1">
        <w:rPr>
          <w:rFonts w:ascii="Garamond" w:hAnsi="Garamond" w:cs="Arial"/>
          <w:i/>
        </w:rPr>
        <w:t xml:space="preserve"> </w:t>
      </w:r>
      <w:r w:rsidR="00886D6A" w:rsidRPr="00F260B1">
        <w:rPr>
          <w:rFonts w:ascii="Garamond" w:hAnsi="Garamond" w:cs="Arial"/>
          <w:i/>
        </w:rPr>
        <w:t>direito</w:t>
      </w:r>
      <w:r w:rsidR="00574DEF" w:rsidRPr="00F260B1">
        <w:rPr>
          <w:rFonts w:ascii="Garamond" w:hAnsi="Garamond" w:cs="Arial"/>
          <w:i/>
        </w:rPr>
        <w:t xml:space="preserve"> a te</w:t>
      </w:r>
      <w:r w:rsidR="00566C0C" w:rsidRPr="00F260B1">
        <w:rPr>
          <w:rFonts w:ascii="Garamond" w:hAnsi="Garamond" w:cs="Arial"/>
          <w:i/>
        </w:rPr>
        <w:t>r um</w:t>
      </w:r>
      <w:r w:rsidR="00574DEF" w:rsidRPr="00F260B1">
        <w:rPr>
          <w:rFonts w:ascii="Garamond" w:hAnsi="Garamond" w:cs="Arial"/>
          <w:i/>
        </w:rPr>
        <w:t xml:space="preserve">a vida </w:t>
      </w:r>
      <w:r w:rsidR="00AF192F" w:rsidRPr="00F260B1">
        <w:rPr>
          <w:rFonts w:ascii="Garamond" w:hAnsi="Garamond" w:cs="Arial"/>
          <w:i/>
        </w:rPr>
        <w:t>livre</w:t>
      </w:r>
      <w:r w:rsidR="00574DEF" w:rsidRPr="00F260B1">
        <w:rPr>
          <w:rFonts w:ascii="Garamond" w:hAnsi="Garamond" w:cs="Arial"/>
          <w:i/>
        </w:rPr>
        <w:t xml:space="preserve"> de </w:t>
      </w:r>
      <w:r w:rsidR="007342D9" w:rsidRPr="00F260B1">
        <w:rPr>
          <w:rFonts w:ascii="Garamond" w:hAnsi="Garamond" w:cs="Arial"/>
          <w:i/>
        </w:rPr>
        <w:t>qualquer</w:t>
      </w:r>
      <w:r w:rsidR="00574DEF" w:rsidRPr="00F260B1">
        <w:rPr>
          <w:rFonts w:ascii="Garamond" w:hAnsi="Garamond" w:cs="Arial"/>
          <w:i/>
        </w:rPr>
        <w:t xml:space="preserve"> tipo de </w:t>
      </w:r>
      <w:r w:rsidR="000350B1" w:rsidRPr="00F260B1">
        <w:rPr>
          <w:rFonts w:ascii="Garamond" w:hAnsi="Garamond" w:cs="Arial"/>
          <w:i/>
        </w:rPr>
        <w:t>violência</w:t>
      </w:r>
      <w:r w:rsidR="003F3D1F" w:rsidRPr="00F260B1">
        <w:rPr>
          <w:rFonts w:ascii="Garamond" w:hAnsi="Garamond" w:cs="Arial"/>
        </w:rPr>
        <w:t>;</w:t>
      </w:r>
      <w:r w:rsidR="00574DEF" w:rsidRPr="00F260B1">
        <w:rPr>
          <w:rFonts w:ascii="Garamond" w:hAnsi="Garamond" w:cs="Arial"/>
        </w:rPr>
        <w:t xml:space="preserve"> por </w:t>
      </w:r>
      <w:r w:rsidR="00566C0C" w:rsidRPr="00F260B1">
        <w:rPr>
          <w:rFonts w:ascii="Garamond" w:hAnsi="Garamond" w:cs="Arial"/>
        </w:rPr>
        <w:t>essa razão existe um</w:t>
      </w:r>
      <w:r w:rsidR="002F2F8A" w:rsidRPr="00F260B1">
        <w:rPr>
          <w:rFonts w:ascii="Garamond" w:hAnsi="Garamond" w:cs="Arial"/>
        </w:rPr>
        <w:t>a</w:t>
      </w:r>
      <w:r w:rsidR="00566C0C" w:rsidRPr="00F260B1">
        <w:rPr>
          <w:rFonts w:ascii="Garamond" w:hAnsi="Garamond" w:cs="Arial"/>
        </w:rPr>
        <w:t xml:space="preserve"> </w:t>
      </w:r>
      <w:r w:rsidR="002F2F8A" w:rsidRPr="00F260B1">
        <w:rPr>
          <w:rFonts w:ascii="Garamond" w:hAnsi="Garamond" w:cs="Arial"/>
        </w:rPr>
        <w:t xml:space="preserve">falta de estima para com a sua </w:t>
      </w:r>
      <w:r w:rsidR="002D1021" w:rsidRPr="00F260B1">
        <w:rPr>
          <w:rFonts w:ascii="Garamond" w:hAnsi="Garamond" w:cs="Arial"/>
        </w:rPr>
        <w:t>integridade</w:t>
      </w:r>
      <w:r w:rsidR="00574DEF" w:rsidRPr="00F260B1">
        <w:rPr>
          <w:rFonts w:ascii="Garamond" w:hAnsi="Garamond" w:cs="Arial"/>
        </w:rPr>
        <w:t xml:space="preserve">, que </w:t>
      </w:r>
      <w:r w:rsidR="002F2F8A" w:rsidRPr="00F260B1">
        <w:rPr>
          <w:rFonts w:ascii="Garamond" w:hAnsi="Garamond" w:cs="Arial"/>
        </w:rPr>
        <w:t xml:space="preserve">é </w:t>
      </w:r>
      <w:r w:rsidR="00574DEF" w:rsidRPr="00F260B1">
        <w:rPr>
          <w:rFonts w:ascii="Garamond" w:hAnsi="Garamond" w:cs="Arial"/>
        </w:rPr>
        <w:t>enfatiza</w:t>
      </w:r>
      <w:r w:rsidR="002F2F8A" w:rsidRPr="00F260B1">
        <w:rPr>
          <w:rFonts w:ascii="Garamond" w:hAnsi="Garamond" w:cs="Arial"/>
        </w:rPr>
        <w:t>da pel</w:t>
      </w:r>
      <w:r w:rsidR="00574DEF" w:rsidRPr="00F260B1">
        <w:rPr>
          <w:rFonts w:ascii="Garamond" w:hAnsi="Garamond" w:cs="Arial"/>
        </w:rPr>
        <w:t>as frases o</w:t>
      </w:r>
      <w:r w:rsidR="002F2F8A" w:rsidRPr="00F260B1">
        <w:rPr>
          <w:rFonts w:ascii="Garamond" w:hAnsi="Garamond" w:cs="Arial"/>
        </w:rPr>
        <w:t>u</w:t>
      </w:r>
      <w:r w:rsidR="00574DEF" w:rsidRPr="00F260B1">
        <w:rPr>
          <w:rFonts w:ascii="Garamond" w:hAnsi="Garamond" w:cs="Arial"/>
        </w:rPr>
        <w:t xml:space="preserve"> </w:t>
      </w:r>
      <w:r w:rsidR="00B531F2" w:rsidRPr="00F260B1">
        <w:rPr>
          <w:rFonts w:ascii="Garamond" w:hAnsi="Garamond" w:cs="Arial"/>
        </w:rPr>
        <w:t>palavra</w:t>
      </w:r>
      <w:r w:rsidR="00574DEF" w:rsidRPr="00F260B1">
        <w:rPr>
          <w:rFonts w:ascii="Garamond" w:hAnsi="Garamond" w:cs="Arial"/>
        </w:rPr>
        <w:t xml:space="preserve">s especialmente </w:t>
      </w:r>
      <w:r w:rsidR="002F2F8A" w:rsidRPr="00F260B1">
        <w:rPr>
          <w:rFonts w:ascii="Garamond" w:hAnsi="Garamond" w:cs="Arial"/>
        </w:rPr>
        <w:t>humilhante</w:t>
      </w:r>
      <w:r w:rsidR="00574DEF" w:rsidRPr="00F260B1">
        <w:rPr>
          <w:rFonts w:ascii="Garamond" w:hAnsi="Garamond" w:cs="Arial"/>
        </w:rPr>
        <w:t xml:space="preserve">s </w:t>
      </w:r>
      <w:r w:rsidR="002F2F8A" w:rsidRPr="00F260B1">
        <w:rPr>
          <w:rFonts w:ascii="Garamond" w:hAnsi="Garamond" w:cs="Arial"/>
        </w:rPr>
        <w:t xml:space="preserve">devido à </w:t>
      </w:r>
      <w:r w:rsidR="00574DEF" w:rsidRPr="00F260B1">
        <w:rPr>
          <w:rFonts w:ascii="Garamond" w:hAnsi="Garamond" w:cs="Arial"/>
        </w:rPr>
        <w:t>su</w:t>
      </w:r>
      <w:r w:rsidR="002F2F8A" w:rsidRPr="00F260B1">
        <w:rPr>
          <w:rFonts w:ascii="Garamond" w:hAnsi="Garamond" w:cs="Arial"/>
        </w:rPr>
        <w:t>a</w:t>
      </w:r>
      <w:r w:rsidR="00574DEF" w:rsidRPr="00F260B1">
        <w:rPr>
          <w:rFonts w:ascii="Garamond" w:hAnsi="Garamond" w:cs="Arial"/>
        </w:rPr>
        <w:t xml:space="preserve"> </w:t>
      </w:r>
      <w:r w:rsidR="004E3A1A" w:rsidRPr="00F260B1">
        <w:rPr>
          <w:rFonts w:ascii="Garamond" w:hAnsi="Garamond" w:cs="Arial"/>
        </w:rPr>
        <w:t>condição</w:t>
      </w:r>
      <w:r w:rsidR="00574DEF" w:rsidRPr="00F260B1">
        <w:rPr>
          <w:rFonts w:ascii="Garamond" w:hAnsi="Garamond" w:cs="Arial"/>
        </w:rPr>
        <w:t xml:space="preserve"> de </w:t>
      </w:r>
      <w:r w:rsidR="00AF192F" w:rsidRPr="00F260B1">
        <w:rPr>
          <w:rFonts w:ascii="Garamond" w:hAnsi="Garamond" w:cs="Arial"/>
        </w:rPr>
        <w:t>mulher</w:t>
      </w:r>
      <w:r w:rsidR="00574DEF" w:rsidRPr="00F260B1">
        <w:rPr>
          <w:rFonts w:ascii="Garamond" w:hAnsi="Garamond" w:cs="Arial"/>
        </w:rPr>
        <w:t xml:space="preserve">, o </w:t>
      </w:r>
      <w:r w:rsidR="002F2F8A" w:rsidRPr="00F260B1">
        <w:rPr>
          <w:rFonts w:ascii="Garamond" w:hAnsi="Garamond" w:cs="Arial"/>
        </w:rPr>
        <w:t xml:space="preserve">que </w:t>
      </w:r>
      <w:r w:rsidR="00574DEF" w:rsidRPr="00F260B1">
        <w:rPr>
          <w:rFonts w:ascii="Garamond" w:hAnsi="Garamond" w:cs="Arial"/>
        </w:rPr>
        <w:t xml:space="preserve">incide </w:t>
      </w:r>
      <w:r w:rsidR="002F2F8A" w:rsidRPr="00F260B1">
        <w:rPr>
          <w:rFonts w:ascii="Garamond" w:hAnsi="Garamond" w:cs="Arial"/>
        </w:rPr>
        <w:t xml:space="preserve">no tamanho </w:t>
      </w:r>
      <w:r w:rsidR="00574DEF" w:rsidRPr="00F260B1">
        <w:rPr>
          <w:rFonts w:ascii="Garamond" w:hAnsi="Garamond" w:cs="Arial"/>
        </w:rPr>
        <w:t>da pena</w:t>
      </w:r>
      <w:r w:rsidR="003F3D1F" w:rsidRPr="00F260B1">
        <w:rPr>
          <w:rFonts w:ascii="Garamond" w:hAnsi="Garamond" w:cs="Arial"/>
        </w:rPr>
        <w:t>.</w:t>
      </w:r>
      <w:r w:rsidR="00574DEF" w:rsidRPr="00F260B1">
        <w:rPr>
          <w:rFonts w:ascii="Garamond" w:hAnsi="Garamond" w:cs="Arial"/>
        </w:rPr>
        <w:t xml:space="preserve"> </w:t>
      </w:r>
      <w:r w:rsidR="002F2F8A" w:rsidRPr="00F260B1">
        <w:rPr>
          <w:rFonts w:ascii="Garamond" w:hAnsi="Garamond" w:cs="Arial"/>
        </w:rPr>
        <w:t>O</w:t>
      </w:r>
      <w:r w:rsidR="00574DEF" w:rsidRPr="00F260B1">
        <w:rPr>
          <w:rFonts w:ascii="Garamond" w:hAnsi="Garamond" w:cs="Arial"/>
        </w:rPr>
        <w:t xml:space="preserve"> anterior está </w:t>
      </w:r>
      <w:r w:rsidR="006E0719" w:rsidRPr="00F260B1">
        <w:rPr>
          <w:rFonts w:ascii="Garamond" w:hAnsi="Garamond" w:cs="Arial"/>
        </w:rPr>
        <w:t xml:space="preserve">ligado à </w:t>
      </w:r>
      <w:r w:rsidR="00152A44" w:rsidRPr="00F260B1">
        <w:rPr>
          <w:rFonts w:ascii="Garamond" w:hAnsi="Garamond" w:cs="Arial"/>
        </w:rPr>
        <w:t>relação</w:t>
      </w:r>
      <w:r w:rsidR="00574DEF" w:rsidRPr="00F260B1">
        <w:rPr>
          <w:rFonts w:ascii="Garamond" w:hAnsi="Garamond" w:cs="Arial"/>
        </w:rPr>
        <w:t xml:space="preserve"> de </w:t>
      </w:r>
      <w:r w:rsidR="0091113A" w:rsidRPr="00F260B1">
        <w:rPr>
          <w:rFonts w:ascii="Garamond" w:hAnsi="Garamond" w:cs="Arial"/>
        </w:rPr>
        <w:t>convivência</w:t>
      </w:r>
      <w:r w:rsidR="002F2F8A" w:rsidRPr="00F260B1">
        <w:rPr>
          <w:rFonts w:ascii="Garamond" w:hAnsi="Garamond" w:cs="Arial"/>
        </w:rPr>
        <w:t xml:space="preserve"> marital que existi</w:t>
      </w:r>
      <w:r w:rsidR="00574DEF" w:rsidRPr="00F260B1">
        <w:rPr>
          <w:rFonts w:ascii="Garamond" w:hAnsi="Garamond" w:cs="Arial"/>
        </w:rPr>
        <w:t>a entre ambos de u</w:t>
      </w:r>
      <w:r w:rsidR="002F2F8A" w:rsidRPr="00F260B1">
        <w:rPr>
          <w:rFonts w:ascii="Garamond" w:hAnsi="Garamond" w:cs="Arial"/>
        </w:rPr>
        <w:t>m</w:t>
      </w:r>
      <w:r w:rsidR="00574DEF" w:rsidRPr="00F260B1">
        <w:rPr>
          <w:rFonts w:ascii="Garamond" w:hAnsi="Garamond" w:cs="Arial"/>
        </w:rPr>
        <w:t xml:space="preserve"> </w:t>
      </w:r>
      <w:r w:rsidR="002C7510" w:rsidRPr="00F260B1">
        <w:rPr>
          <w:rFonts w:ascii="Garamond" w:hAnsi="Garamond" w:cs="Arial"/>
        </w:rPr>
        <w:t>ano</w:t>
      </w:r>
      <w:r w:rsidR="002F2F8A" w:rsidRPr="00F260B1">
        <w:rPr>
          <w:rFonts w:ascii="Garamond" w:hAnsi="Garamond" w:cs="Arial"/>
        </w:rPr>
        <w:t xml:space="preserve"> e s</w:t>
      </w:r>
      <w:r w:rsidR="00574DEF" w:rsidRPr="00F260B1">
        <w:rPr>
          <w:rFonts w:ascii="Garamond" w:hAnsi="Garamond" w:cs="Arial"/>
        </w:rPr>
        <w:t>ete meses</w:t>
      </w:r>
      <w:r w:rsidR="003F3D1F" w:rsidRPr="00F260B1">
        <w:rPr>
          <w:rFonts w:ascii="Garamond" w:hAnsi="Garamond" w:cs="Arial"/>
        </w:rPr>
        <w:t>,</w:t>
      </w:r>
      <w:r w:rsidR="002F2F8A" w:rsidRPr="00F260B1">
        <w:rPr>
          <w:rFonts w:ascii="Garamond" w:hAnsi="Garamond" w:cs="Arial"/>
        </w:rPr>
        <w:t xml:space="preserve"> aproximadamente,</w:t>
      </w:r>
      <w:r w:rsidR="00574DEF" w:rsidRPr="00F260B1">
        <w:rPr>
          <w:rFonts w:ascii="Garamond" w:hAnsi="Garamond" w:cs="Arial"/>
        </w:rPr>
        <w:t xml:space="preserve"> de </w:t>
      </w:r>
      <w:r w:rsidR="003F012B" w:rsidRPr="00F260B1">
        <w:rPr>
          <w:rFonts w:ascii="Garamond" w:hAnsi="Garamond" w:cs="Arial"/>
        </w:rPr>
        <w:t>acordo</w:t>
      </w:r>
      <w:r w:rsidR="00574DEF" w:rsidRPr="00F260B1">
        <w:rPr>
          <w:rFonts w:ascii="Garamond" w:hAnsi="Garamond" w:cs="Arial"/>
        </w:rPr>
        <w:t xml:space="preserve"> </w:t>
      </w:r>
      <w:r w:rsidR="002F2F8A" w:rsidRPr="00F260B1">
        <w:rPr>
          <w:rFonts w:ascii="Garamond" w:hAnsi="Garamond" w:cs="Arial"/>
        </w:rPr>
        <w:t xml:space="preserve">com o testemunho prestado em julgamento </w:t>
      </w:r>
      <w:r w:rsidR="00275092" w:rsidRPr="00F260B1">
        <w:rPr>
          <w:rFonts w:ascii="Garamond" w:hAnsi="Garamond" w:cs="Arial"/>
        </w:rPr>
        <w:t>pela</w:t>
      </w:r>
      <w:r w:rsidR="00574DEF" w:rsidRPr="00F260B1">
        <w:rPr>
          <w:rFonts w:ascii="Garamond" w:hAnsi="Garamond" w:cs="Arial"/>
        </w:rPr>
        <w:t xml:space="preserve"> </w:t>
      </w:r>
      <w:r w:rsidR="003F012B" w:rsidRPr="00F260B1">
        <w:rPr>
          <w:rFonts w:ascii="Garamond" w:hAnsi="Garamond" w:cs="Arial"/>
        </w:rPr>
        <w:t>vítima</w:t>
      </w:r>
      <w:r w:rsidR="003F3D1F" w:rsidRPr="00F260B1">
        <w:rPr>
          <w:rFonts w:ascii="Garamond" w:hAnsi="Garamond" w:cs="Arial"/>
        </w:rPr>
        <w:t>.</w:t>
      </w:r>
      <w:r>
        <w:rPr>
          <w:rFonts w:ascii="Garamond" w:hAnsi="Garamond" w:cs="Arial"/>
        </w:rPr>
        <w:t>»</w:t>
      </w:r>
      <w:r w:rsidR="00574DEF" w:rsidRPr="00F260B1">
        <w:rPr>
          <w:rStyle w:val="Refdenotaalpie"/>
          <w:rFonts w:ascii="Garamond" w:hAnsi="Garamond" w:cs="Arial"/>
        </w:rPr>
        <w:footnoteReference w:id="104"/>
      </w:r>
      <w:r w:rsidR="00574DEF" w:rsidRPr="00F260B1">
        <w:rPr>
          <w:rFonts w:ascii="Garamond" w:hAnsi="Garamond" w:cs="Arial"/>
        </w:rPr>
        <w:t xml:space="preserve"> </w:t>
      </w:r>
    </w:p>
    <w:p w:rsidR="00574DEF" w:rsidRPr="00F260B1" w:rsidRDefault="00574DEF" w:rsidP="00F260B1">
      <w:pPr>
        <w:autoSpaceDE w:val="0"/>
        <w:autoSpaceDN w:val="0"/>
        <w:adjustRightInd w:val="0"/>
        <w:spacing w:after="0" w:line="240" w:lineRule="auto"/>
        <w:ind w:left="567"/>
        <w:jc w:val="both"/>
        <w:rPr>
          <w:rFonts w:ascii="Garamond" w:hAnsi="Garamond" w:cs="Arial"/>
          <w:bCs/>
        </w:rPr>
      </w:pPr>
      <w:r w:rsidRPr="00F260B1">
        <w:rPr>
          <w:rFonts w:ascii="Garamond" w:hAnsi="Garamond" w:cs="Arial"/>
        </w:rPr>
        <w:t>(</w:t>
      </w:r>
      <w:r w:rsidR="00F260B1">
        <w:rPr>
          <w:rFonts w:ascii="Garamond" w:hAnsi="Garamond" w:cs="Arial"/>
        </w:rPr>
        <w:t>Itálico nosso).</w:t>
      </w:r>
    </w:p>
    <w:p w:rsidR="00574DEF" w:rsidRPr="003A1174" w:rsidRDefault="00574DEF" w:rsidP="008719D4">
      <w:pPr>
        <w:autoSpaceDE w:val="0"/>
        <w:autoSpaceDN w:val="0"/>
        <w:adjustRightInd w:val="0"/>
        <w:spacing w:after="0" w:line="240" w:lineRule="auto"/>
        <w:jc w:val="both"/>
        <w:rPr>
          <w:rFonts w:ascii="Garamond" w:hAnsi="Garamond" w:cs="Arial"/>
          <w:bCs/>
          <w:sz w:val="24"/>
          <w:szCs w:val="24"/>
        </w:rPr>
      </w:pPr>
      <w:r w:rsidRPr="003A1174">
        <w:rPr>
          <w:rFonts w:ascii="Garamond" w:hAnsi="Garamond" w:cs="Arial"/>
          <w:bCs/>
          <w:sz w:val="24"/>
          <w:szCs w:val="24"/>
        </w:rPr>
        <w:t xml:space="preserve"> </w:t>
      </w:r>
    </w:p>
    <w:p w:rsidR="00577289" w:rsidRPr="003A1174" w:rsidRDefault="00815AEE" w:rsidP="008719D4">
      <w:pPr>
        <w:pStyle w:val="Ttulo3"/>
        <w:spacing w:line="240" w:lineRule="auto"/>
        <w:rPr>
          <w:rFonts w:ascii="Garamond" w:hAnsi="Garamond"/>
          <w:sz w:val="24"/>
          <w:szCs w:val="24"/>
        </w:rPr>
      </w:pPr>
      <w:bookmarkStart w:id="35" w:name="_Toc421529723"/>
      <w:r w:rsidRPr="003A1174">
        <w:rPr>
          <w:rFonts w:ascii="Garamond" w:hAnsi="Garamond"/>
          <w:sz w:val="24"/>
          <w:szCs w:val="24"/>
        </w:rPr>
        <w:t>Honduras</w:t>
      </w:r>
      <w:bookmarkEnd w:id="35"/>
    </w:p>
    <w:p w:rsidR="006F7581" w:rsidRPr="003A1174" w:rsidRDefault="006F7581" w:rsidP="006F7581">
      <w:pPr>
        <w:pStyle w:val="Predeterminado"/>
        <w:spacing w:line="240" w:lineRule="auto"/>
        <w:jc w:val="both"/>
        <w:rPr>
          <w:rFonts w:ascii="Garamond" w:hAnsi="Garamond" w:cs="Arial"/>
          <w:color w:val="auto"/>
          <w:sz w:val="24"/>
          <w:szCs w:val="24"/>
          <w:lang w:val="pt-PT"/>
        </w:rPr>
      </w:pPr>
      <w:r>
        <w:rPr>
          <w:rFonts w:ascii="Garamond" w:hAnsi="Garamond" w:cs="Arial"/>
          <w:color w:val="auto"/>
          <w:sz w:val="24"/>
          <w:szCs w:val="24"/>
          <w:lang w:val="pt-PT"/>
        </w:rPr>
        <w:t>As Honduras n</w:t>
      </w:r>
      <w:r w:rsidRPr="003A1174">
        <w:rPr>
          <w:rFonts w:ascii="Garamond" w:hAnsi="Garamond" w:cs="Arial"/>
          <w:color w:val="auto"/>
          <w:sz w:val="24"/>
          <w:szCs w:val="24"/>
          <w:lang w:val="pt-PT"/>
        </w:rPr>
        <w:t>ão refere</w:t>
      </w:r>
      <w:r>
        <w:rPr>
          <w:rFonts w:ascii="Garamond" w:hAnsi="Garamond" w:cs="Arial"/>
          <w:color w:val="auto"/>
          <w:sz w:val="24"/>
          <w:szCs w:val="24"/>
          <w:lang w:val="pt-PT"/>
        </w:rPr>
        <w:t>m</w:t>
      </w:r>
      <w:r w:rsidRPr="003A1174">
        <w:rPr>
          <w:rFonts w:ascii="Garamond" w:hAnsi="Garamond" w:cs="Arial"/>
          <w:color w:val="auto"/>
          <w:sz w:val="24"/>
          <w:szCs w:val="24"/>
          <w:lang w:val="pt-PT"/>
        </w:rPr>
        <w:t xml:space="preserve"> informação sobre esta temática</w:t>
      </w:r>
      <w:r>
        <w:rPr>
          <w:rFonts w:ascii="Garamond" w:hAnsi="Garamond" w:cs="Arial"/>
          <w:color w:val="auto"/>
          <w:sz w:val="24"/>
          <w:szCs w:val="24"/>
          <w:lang w:val="pt-PT"/>
        </w:rPr>
        <w:t>.</w:t>
      </w:r>
    </w:p>
    <w:p w:rsidR="00577289" w:rsidRPr="003A1174" w:rsidRDefault="00577289" w:rsidP="008719D4">
      <w:pPr>
        <w:autoSpaceDE w:val="0"/>
        <w:autoSpaceDN w:val="0"/>
        <w:adjustRightInd w:val="0"/>
        <w:spacing w:before="240" w:after="0" w:line="240" w:lineRule="auto"/>
        <w:jc w:val="both"/>
        <w:rPr>
          <w:rFonts w:ascii="Garamond" w:hAnsi="Garamond" w:cs="Arial"/>
          <w:bCs/>
          <w:sz w:val="24"/>
          <w:szCs w:val="24"/>
        </w:rPr>
      </w:pPr>
    </w:p>
    <w:p w:rsidR="005777DA" w:rsidRPr="003A1174" w:rsidRDefault="00815AEE" w:rsidP="008719D4">
      <w:pPr>
        <w:pStyle w:val="Ttulo3"/>
        <w:spacing w:line="240" w:lineRule="auto"/>
        <w:rPr>
          <w:rFonts w:ascii="Garamond" w:hAnsi="Garamond"/>
          <w:sz w:val="24"/>
          <w:szCs w:val="24"/>
        </w:rPr>
      </w:pPr>
      <w:bookmarkStart w:id="36" w:name="_Toc421529724"/>
      <w:r w:rsidRPr="003A1174">
        <w:rPr>
          <w:rFonts w:ascii="Garamond" w:hAnsi="Garamond"/>
          <w:sz w:val="24"/>
          <w:szCs w:val="24"/>
        </w:rPr>
        <w:t>México</w:t>
      </w:r>
      <w:bookmarkEnd w:id="36"/>
    </w:p>
    <w:p w:rsidR="005777DA" w:rsidRPr="003A1174" w:rsidRDefault="003178D9" w:rsidP="006E0719">
      <w:pPr>
        <w:autoSpaceDE w:val="0"/>
        <w:autoSpaceDN w:val="0"/>
        <w:adjustRightInd w:val="0"/>
        <w:spacing w:before="240" w:after="0" w:line="240" w:lineRule="auto"/>
        <w:jc w:val="both"/>
        <w:rPr>
          <w:rFonts w:ascii="Garamond" w:hAnsi="Garamond" w:cs="Arial"/>
          <w:sz w:val="24"/>
          <w:szCs w:val="24"/>
        </w:rPr>
      </w:pPr>
      <w:r>
        <w:rPr>
          <w:rFonts w:ascii="Garamond" w:hAnsi="Garamond" w:cs="Arial"/>
          <w:bCs/>
          <w:sz w:val="24"/>
          <w:szCs w:val="24"/>
        </w:rPr>
        <w:t>Relativamente ao M</w:t>
      </w:r>
      <w:r w:rsidR="002B33D4">
        <w:rPr>
          <w:rFonts w:ascii="Garamond" w:hAnsi="Garamond" w:cs="Arial"/>
          <w:bCs/>
          <w:sz w:val="24"/>
          <w:szCs w:val="24"/>
        </w:rPr>
        <w:t>é</w:t>
      </w:r>
      <w:r>
        <w:rPr>
          <w:rFonts w:ascii="Garamond" w:hAnsi="Garamond" w:cs="Arial"/>
          <w:bCs/>
          <w:sz w:val="24"/>
          <w:szCs w:val="24"/>
        </w:rPr>
        <w:t>xico, r</w:t>
      </w:r>
      <w:r w:rsidR="006E0719" w:rsidRPr="003A1174">
        <w:rPr>
          <w:rFonts w:ascii="Garamond" w:hAnsi="Garamond" w:cs="Arial"/>
          <w:bCs/>
          <w:sz w:val="24"/>
          <w:szCs w:val="24"/>
        </w:rPr>
        <w:t xml:space="preserve">efere-se a sentença da </w:t>
      </w:r>
      <w:r w:rsidR="004C1496" w:rsidRPr="003A1174">
        <w:rPr>
          <w:rFonts w:ascii="Garamond" w:hAnsi="Garamond" w:cs="Arial"/>
          <w:bCs/>
          <w:sz w:val="24"/>
          <w:szCs w:val="24"/>
        </w:rPr>
        <w:t>Primeira</w:t>
      </w:r>
      <w:r w:rsidR="005777DA" w:rsidRPr="003A1174">
        <w:rPr>
          <w:rFonts w:ascii="Garamond" w:hAnsi="Garamond" w:cs="Arial"/>
          <w:bCs/>
          <w:sz w:val="24"/>
          <w:szCs w:val="24"/>
        </w:rPr>
        <w:t xml:space="preserve"> Sala d</w:t>
      </w:r>
      <w:r w:rsidR="00EF6A25">
        <w:rPr>
          <w:rFonts w:ascii="Garamond" w:hAnsi="Garamond" w:cs="Arial"/>
          <w:bCs/>
          <w:sz w:val="24"/>
          <w:szCs w:val="24"/>
        </w:rPr>
        <w:t>o</w:t>
      </w:r>
      <w:r w:rsidR="002B33D4">
        <w:rPr>
          <w:rFonts w:ascii="Garamond" w:hAnsi="Garamond" w:cs="Arial"/>
          <w:bCs/>
          <w:sz w:val="24"/>
          <w:szCs w:val="24"/>
        </w:rPr>
        <w:t xml:space="preserve"> </w:t>
      </w:r>
      <w:r w:rsidR="005777DA" w:rsidRPr="003A1174">
        <w:rPr>
          <w:rFonts w:ascii="Garamond" w:hAnsi="Garamond" w:cs="Arial"/>
          <w:bCs/>
          <w:sz w:val="24"/>
          <w:szCs w:val="24"/>
        </w:rPr>
        <w:t>Suprem</w:t>
      </w:r>
      <w:r w:rsidR="00EF6A25">
        <w:rPr>
          <w:rFonts w:ascii="Garamond" w:hAnsi="Garamond" w:cs="Arial"/>
          <w:bCs/>
          <w:sz w:val="24"/>
          <w:szCs w:val="24"/>
        </w:rPr>
        <w:t>o</w:t>
      </w:r>
      <w:r w:rsidR="005777DA" w:rsidRPr="003A1174">
        <w:rPr>
          <w:rFonts w:ascii="Garamond" w:hAnsi="Garamond" w:cs="Arial"/>
          <w:bCs/>
          <w:sz w:val="24"/>
          <w:szCs w:val="24"/>
        </w:rPr>
        <w:t xml:space="preserve"> </w:t>
      </w:r>
      <w:r w:rsidR="00EF6A25">
        <w:rPr>
          <w:rFonts w:ascii="Garamond" w:hAnsi="Garamond" w:cs="Arial"/>
          <w:bCs/>
          <w:sz w:val="24"/>
          <w:szCs w:val="24"/>
        </w:rPr>
        <w:t>Tribunal</w:t>
      </w:r>
      <w:r w:rsidR="005777DA" w:rsidRPr="003A1174">
        <w:rPr>
          <w:rFonts w:ascii="Garamond" w:hAnsi="Garamond" w:cs="Arial"/>
          <w:bCs/>
          <w:sz w:val="24"/>
          <w:szCs w:val="24"/>
        </w:rPr>
        <w:t xml:space="preserve"> de </w:t>
      </w:r>
      <w:r w:rsidR="00FC1F7F" w:rsidRPr="003A1174">
        <w:rPr>
          <w:rFonts w:ascii="Garamond" w:hAnsi="Garamond" w:cs="Arial"/>
          <w:bCs/>
          <w:sz w:val="24"/>
          <w:szCs w:val="24"/>
        </w:rPr>
        <w:t>Justiça</w:t>
      </w:r>
      <w:r w:rsidR="006E0719" w:rsidRPr="003A1174">
        <w:rPr>
          <w:rFonts w:ascii="Garamond" w:hAnsi="Garamond" w:cs="Arial"/>
          <w:bCs/>
          <w:sz w:val="24"/>
          <w:szCs w:val="24"/>
        </w:rPr>
        <w:t xml:space="preserve"> d</w:t>
      </w:r>
      <w:r w:rsidR="005777DA" w:rsidRPr="003A1174">
        <w:rPr>
          <w:rFonts w:ascii="Garamond" w:hAnsi="Garamond" w:cs="Arial"/>
          <w:bCs/>
          <w:sz w:val="24"/>
          <w:szCs w:val="24"/>
        </w:rPr>
        <w:t xml:space="preserve">a </w:t>
      </w:r>
      <w:r w:rsidR="006E0719" w:rsidRPr="003A1174">
        <w:rPr>
          <w:rFonts w:ascii="Garamond" w:hAnsi="Garamond" w:cs="Arial"/>
          <w:bCs/>
          <w:sz w:val="24"/>
          <w:szCs w:val="24"/>
        </w:rPr>
        <w:t>Nação</w:t>
      </w:r>
      <w:r w:rsidR="003F3D1F" w:rsidRPr="003A1174">
        <w:rPr>
          <w:rFonts w:ascii="Garamond" w:hAnsi="Garamond" w:cs="Arial"/>
          <w:bCs/>
          <w:sz w:val="24"/>
          <w:szCs w:val="24"/>
        </w:rPr>
        <w:t>,</w:t>
      </w:r>
      <w:r w:rsidR="005777DA" w:rsidRPr="003A1174">
        <w:rPr>
          <w:rFonts w:ascii="Garamond" w:hAnsi="Garamond" w:cs="Arial"/>
          <w:bCs/>
          <w:sz w:val="24"/>
          <w:szCs w:val="24"/>
        </w:rPr>
        <w:t xml:space="preserve"> que</w:t>
      </w:r>
      <w:r>
        <w:rPr>
          <w:rFonts w:ascii="Garamond" w:hAnsi="Garamond" w:cs="Arial"/>
          <w:bCs/>
          <w:sz w:val="24"/>
          <w:szCs w:val="24"/>
        </w:rPr>
        <w:t>,</w:t>
      </w:r>
      <w:r w:rsidR="00574DEF" w:rsidRPr="003A1174">
        <w:rPr>
          <w:rFonts w:ascii="Garamond" w:hAnsi="Garamond" w:cs="Arial"/>
          <w:bCs/>
          <w:sz w:val="24"/>
          <w:szCs w:val="24"/>
        </w:rPr>
        <w:t xml:space="preserve"> </w:t>
      </w:r>
      <w:r w:rsidR="005777DA" w:rsidRPr="003A1174">
        <w:rPr>
          <w:rFonts w:ascii="Garamond" w:hAnsi="Garamond" w:cs="Arial"/>
          <w:bCs/>
          <w:sz w:val="24"/>
          <w:szCs w:val="24"/>
        </w:rPr>
        <w:t xml:space="preserve">por </w:t>
      </w:r>
      <w:r w:rsidR="00233514" w:rsidRPr="003A1174">
        <w:rPr>
          <w:rFonts w:ascii="Garamond" w:hAnsi="Garamond" w:cs="Arial"/>
          <w:bCs/>
          <w:sz w:val="24"/>
          <w:szCs w:val="24"/>
        </w:rPr>
        <w:t>maioria</w:t>
      </w:r>
      <w:r w:rsidR="005777DA" w:rsidRPr="003A1174">
        <w:rPr>
          <w:rFonts w:ascii="Garamond" w:hAnsi="Garamond" w:cs="Arial"/>
          <w:bCs/>
          <w:sz w:val="24"/>
          <w:szCs w:val="24"/>
        </w:rPr>
        <w:t xml:space="preserve"> de votos</w:t>
      </w:r>
      <w:r>
        <w:rPr>
          <w:rFonts w:ascii="Garamond" w:hAnsi="Garamond" w:cs="Arial"/>
          <w:bCs/>
          <w:sz w:val="24"/>
          <w:szCs w:val="24"/>
        </w:rPr>
        <w:t>,</w:t>
      </w:r>
      <w:r w:rsidR="005777DA" w:rsidRPr="003A1174">
        <w:rPr>
          <w:rFonts w:ascii="Garamond" w:hAnsi="Garamond" w:cs="Arial"/>
          <w:bCs/>
          <w:sz w:val="24"/>
          <w:szCs w:val="24"/>
        </w:rPr>
        <w:t xml:space="preserve"> resolv</w:t>
      </w:r>
      <w:r w:rsidR="006E0719" w:rsidRPr="003A1174">
        <w:rPr>
          <w:rFonts w:ascii="Garamond" w:hAnsi="Garamond" w:cs="Arial"/>
          <w:bCs/>
          <w:sz w:val="24"/>
          <w:szCs w:val="24"/>
        </w:rPr>
        <w:t xml:space="preserve">eu o </w:t>
      </w:r>
      <w:r w:rsidR="005777DA" w:rsidRPr="003A1174">
        <w:rPr>
          <w:rFonts w:ascii="Garamond" w:hAnsi="Garamond" w:cs="Arial"/>
          <w:bCs/>
          <w:sz w:val="24"/>
          <w:szCs w:val="24"/>
          <w:lang w:eastAsia="ja-JP"/>
        </w:rPr>
        <w:t xml:space="preserve">amparo </w:t>
      </w:r>
      <w:r w:rsidR="006E0719" w:rsidRPr="003A1174">
        <w:rPr>
          <w:rFonts w:ascii="Garamond" w:hAnsi="Garamond" w:cs="Arial"/>
          <w:bCs/>
          <w:sz w:val="24"/>
          <w:szCs w:val="24"/>
          <w:lang w:eastAsia="ja-JP"/>
        </w:rPr>
        <w:t>direto</w:t>
      </w:r>
      <w:r w:rsidR="005777DA" w:rsidRPr="003A1174">
        <w:rPr>
          <w:rFonts w:ascii="Garamond" w:hAnsi="Garamond" w:cs="Arial"/>
          <w:sz w:val="24"/>
          <w:szCs w:val="24"/>
        </w:rPr>
        <w:t xml:space="preserve"> e</w:t>
      </w:r>
      <w:r w:rsidR="006E0719" w:rsidRPr="003A1174">
        <w:rPr>
          <w:rFonts w:ascii="Garamond" w:hAnsi="Garamond" w:cs="Arial"/>
          <w:sz w:val="24"/>
          <w:szCs w:val="24"/>
        </w:rPr>
        <w:t>m</w:t>
      </w:r>
      <w:r w:rsidR="005777DA" w:rsidRPr="003A1174">
        <w:rPr>
          <w:rFonts w:ascii="Garamond" w:hAnsi="Garamond" w:cs="Arial"/>
          <w:sz w:val="24"/>
          <w:szCs w:val="24"/>
        </w:rPr>
        <w:t xml:space="preserve"> </w:t>
      </w:r>
      <w:r w:rsidR="006E0719" w:rsidRPr="003A1174">
        <w:rPr>
          <w:rFonts w:ascii="Garamond" w:hAnsi="Garamond" w:cs="Arial"/>
          <w:sz w:val="24"/>
          <w:szCs w:val="24"/>
        </w:rPr>
        <w:t>revisão</w:t>
      </w:r>
      <w:r w:rsidR="005777DA" w:rsidRPr="003A1174">
        <w:rPr>
          <w:rFonts w:ascii="Garamond" w:hAnsi="Garamond" w:cs="Arial"/>
          <w:sz w:val="24"/>
          <w:szCs w:val="24"/>
        </w:rPr>
        <w:t xml:space="preserve"> 2655/2013.</w:t>
      </w:r>
      <w:r w:rsidR="003F3D1F" w:rsidRPr="003A1174">
        <w:rPr>
          <w:rFonts w:ascii="Garamond" w:hAnsi="Garamond" w:cs="Arial"/>
          <w:sz w:val="24"/>
          <w:szCs w:val="24"/>
        </w:rPr>
        <w:t xml:space="preserve"> </w:t>
      </w:r>
      <w:r w:rsidR="006E0719" w:rsidRPr="003A1174">
        <w:rPr>
          <w:rFonts w:ascii="Garamond" w:hAnsi="Garamond" w:cs="Arial"/>
          <w:sz w:val="24"/>
          <w:szCs w:val="24"/>
        </w:rPr>
        <w:t xml:space="preserve">O </w:t>
      </w:r>
      <w:r w:rsidR="005777DA" w:rsidRPr="003A1174">
        <w:rPr>
          <w:rFonts w:ascii="Garamond" w:hAnsi="Garamond" w:cs="Arial"/>
          <w:sz w:val="24"/>
          <w:szCs w:val="24"/>
        </w:rPr>
        <w:t>caso t</w:t>
      </w:r>
      <w:r w:rsidR="006E0719" w:rsidRPr="003A1174">
        <w:rPr>
          <w:rFonts w:ascii="Garamond" w:hAnsi="Garamond" w:cs="Arial"/>
          <w:sz w:val="24"/>
          <w:szCs w:val="24"/>
        </w:rPr>
        <w:t xml:space="preserve">eve a sua </w:t>
      </w:r>
      <w:r w:rsidR="001B47E3" w:rsidRPr="003A1174">
        <w:rPr>
          <w:rFonts w:ascii="Garamond" w:hAnsi="Garamond" w:cs="Arial"/>
          <w:sz w:val="24"/>
          <w:szCs w:val="24"/>
        </w:rPr>
        <w:t>origem</w:t>
      </w:r>
      <w:r w:rsidR="005777DA" w:rsidRPr="003A1174">
        <w:rPr>
          <w:rFonts w:ascii="Garamond" w:hAnsi="Garamond" w:cs="Arial"/>
          <w:sz w:val="24"/>
          <w:szCs w:val="24"/>
        </w:rPr>
        <w:t xml:space="preserve"> </w:t>
      </w:r>
      <w:r w:rsidR="006E0719" w:rsidRPr="003A1174">
        <w:rPr>
          <w:rFonts w:ascii="Garamond" w:hAnsi="Garamond" w:cs="Arial"/>
          <w:sz w:val="24"/>
          <w:szCs w:val="24"/>
        </w:rPr>
        <w:t>n</w:t>
      </w:r>
      <w:r w:rsidR="005777DA" w:rsidRPr="003A1174">
        <w:rPr>
          <w:rFonts w:ascii="Garamond" w:hAnsi="Garamond" w:cs="Arial"/>
          <w:sz w:val="24"/>
          <w:szCs w:val="24"/>
        </w:rPr>
        <w:t xml:space="preserve">a </w:t>
      </w:r>
      <w:r w:rsidR="000350B1" w:rsidRPr="003A1174">
        <w:rPr>
          <w:rFonts w:ascii="Garamond" w:hAnsi="Garamond" w:cs="Arial"/>
          <w:sz w:val="24"/>
          <w:szCs w:val="24"/>
        </w:rPr>
        <w:t>violência</w:t>
      </w:r>
      <w:r w:rsidR="006E0719" w:rsidRPr="003A1174">
        <w:rPr>
          <w:rFonts w:ascii="Garamond" w:hAnsi="Garamond" w:cs="Arial"/>
          <w:sz w:val="24"/>
          <w:szCs w:val="24"/>
        </w:rPr>
        <w:t xml:space="preserve"> de género que um</w:t>
      </w:r>
      <w:r w:rsidR="005777DA" w:rsidRPr="003A1174">
        <w:rPr>
          <w:rFonts w:ascii="Garamond" w:hAnsi="Garamond" w:cs="Arial"/>
          <w:sz w:val="24"/>
          <w:szCs w:val="24"/>
        </w:rPr>
        <w:t xml:space="preserve">a </w:t>
      </w:r>
      <w:r w:rsidR="00AF192F" w:rsidRPr="003A1174">
        <w:rPr>
          <w:rFonts w:ascii="Garamond" w:hAnsi="Garamond" w:cs="Arial"/>
          <w:sz w:val="24"/>
          <w:szCs w:val="24"/>
        </w:rPr>
        <w:t>mulher</w:t>
      </w:r>
      <w:r w:rsidR="005777DA" w:rsidRPr="003A1174">
        <w:rPr>
          <w:rFonts w:ascii="Garamond" w:hAnsi="Garamond" w:cs="Arial"/>
          <w:sz w:val="24"/>
          <w:szCs w:val="24"/>
        </w:rPr>
        <w:t xml:space="preserve"> </w:t>
      </w:r>
      <w:r w:rsidR="006E0719" w:rsidRPr="003A1174">
        <w:rPr>
          <w:rFonts w:ascii="Garamond" w:hAnsi="Garamond" w:cs="Arial"/>
          <w:sz w:val="24"/>
          <w:szCs w:val="24"/>
        </w:rPr>
        <w:t>sofreu</w:t>
      </w:r>
      <w:r>
        <w:rPr>
          <w:rFonts w:ascii="Garamond" w:hAnsi="Garamond" w:cs="Arial"/>
          <w:sz w:val="24"/>
          <w:szCs w:val="24"/>
        </w:rPr>
        <w:t>,</w:t>
      </w:r>
      <w:r w:rsidR="006E0719" w:rsidRPr="003A1174">
        <w:rPr>
          <w:rFonts w:ascii="Garamond" w:hAnsi="Garamond" w:cs="Arial"/>
          <w:sz w:val="24"/>
          <w:szCs w:val="24"/>
        </w:rPr>
        <w:t xml:space="preserve"> no </w:t>
      </w:r>
      <w:r w:rsidR="005777DA" w:rsidRPr="003A1174">
        <w:rPr>
          <w:rFonts w:ascii="Garamond" w:hAnsi="Garamond" w:cs="Arial"/>
          <w:sz w:val="24"/>
          <w:szCs w:val="24"/>
        </w:rPr>
        <w:t>interior d</w:t>
      </w:r>
      <w:r w:rsidR="006E0719" w:rsidRPr="003A1174">
        <w:rPr>
          <w:rFonts w:ascii="Garamond" w:hAnsi="Garamond" w:cs="Arial"/>
          <w:sz w:val="24"/>
          <w:szCs w:val="24"/>
        </w:rPr>
        <w:t xml:space="preserve">a sua </w:t>
      </w:r>
      <w:r w:rsidR="00B14AA6" w:rsidRPr="003A1174">
        <w:rPr>
          <w:rFonts w:ascii="Garamond" w:hAnsi="Garamond" w:cs="Arial"/>
          <w:sz w:val="24"/>
          <w:szCs w:val="24"/>
        </w:rPr>
        <w:t>própria</w:t>
      </w:r>
      <w:r w:rsidR="005777DA" w:rsidRPr="003A1174">
        <w:rPr>
          <w:rFonts w:ascii="Garamond" w:hAnsi="Garamond" w:cs="Arial"/>
          <w:sz w:val="24"/>
          <w:szCs w:val="24"/>
        </w:rPr>
        <w:t xml:space="preserve"> </w:t>
      </w:r>
      <w:r w:rsidR="006C7AF1" w:rsidRPr="003A1174">
        <w:rPr>
          <w:rFonts w:ascii="Garamond" w:hAnsi="Garamond" w:cs="Arial"/>
          <w:sz w:val="24"/>
          <w:szCs w:val="24"/>
        </w:rPr>
        <w:t>família</w:t>
      </w:r>
      <w:r w:rsidR="006E0719" w:rsidRPr="003A1174">
        <w:rPr>
          <w:rFonts w:ascii="Garamond" w:hAnsi="Garamond" w:cs="Arial"/>
          <w:sz w:val="24"/>
          <w:szCs w:val="24"/>
        </w:rPr>
        <w:t xml:space="preserve">, que </w:t>
      </w:r>
      <w:r w:rsidR="005777DA" w:rsidRPr="003A1174">
        <w:rPr>
          <w:rFonts w:ascii="Garamond" w:hAnsi="Garamond" w:cs="Arial"/>
          <w:sz w:val="24"/>
          <w:szCs w:val="24"/>
        </w:rPr>
        <w:t>a ob</w:t>
      </w:r>
      <w:r w:rsidR="006E0719" w:rsidRPr="003A1174">
        <w:rPr>
          <w:rFonts w:ascii="Garamond" w:hAnsi="Garamond" w:cs="Arial"/>
          <w:sz w:val="24"/>
          <w:szCs w:val="24"/>
        </w:rPr>
        <w:t xml:space="preserve">rigou a </w:t>
      </w:r>
      <w:r w:rsidR="005777DA" w:rsidRPr="003A1174">
        <w:rPr>
          <w:rFonts w:ascii="Garamond" w:hAnsi="Garamond" w:cs="Arial"/>
          <w:sz w:val="24"/>
          <w:szCs w:val="24"/>
        </w:rPr>
        <w:t>ausentar</w:t>
      </w:r>
      <w:r w:rsidR="006E0719" w:rsidRPr="003A1174">
        <w:rPr>
          <w:rFonts w:ascii="Garamond" w:hAnsi="Garamond" w:cs="Arial"/>
          <w:sz w:val="24"/>
          <w:szCs w:val="24"/>
        </w:rPr>
        <w:t>-</w:t>
      </w:r>
      <w:r w:rsidR="005777DA" w:rsidRPr="003A1174">
        <w:rPr>
          <w:rFonts w:ascii="Garamond" w:hAnsi="Garamond" w:cs="Arial"/>
          <w:sz w:val="24"/>
          <w:szCs w:val="24"/>
        </w:rPr>
        <w:t xml:space="preserve">se </w:t>
      </w:r>
      <w:r w:rsidR="008A3DA2" w:rsidRPr="003A1174">
        <w:rPr>
          <w:rFonts w:ascii="Garamond" w:hAnsi="Garamond" w:cs="Arial"/>
          <w:sz w:val="24"/>
          <w:szCs w:val="24"/>
        </w:rPr>
        <w:t>do</w:t>
      </w:r>
      <w:r w:rsidR="005777DA" w:rsidRPr="003A1174">
        <w:rPr>
          <w:rFonts w:ascii="Garamond" w:hAnsi="Garamond" w:cs="Arial"/>
          <w:sz w:val="24"/>
          <w:szCs w:val="24"/>
        </w:rPr>
        <w:t xml:space="preserve"> </w:t>
      </w:r>
      <w:r w:rsidR="006E0719" w:rsidRPr="003A1174">
        <w:rPr>
          <w:rFonts w:ascii="Garamond" w:hAnsi="Garamond" w:cs="Arial"/>
          <w:sz w:val="24"/>
          <w:szCs w:val="24"/>
        </w:rPr>
        <w:t xml:space="preserve">lar </w:t>
      </w:r>
      <w:r w:rsidR="00497503" w:rsidRPr="003A1174">
        <w:rPr>
          <w:rFonts w:ascii="Garamond" w:hAnsi="Garamond" w:cs="Arial"/>
          <w:sz w:val="24"/>
          <w:szCs w:val="24"/>
        </w:rPr>
        <w:t>e</w:t>
      </w:r>
      <w:r w:rsidR="005777DA" w:rsidRPr="003A1174">
        <w:rPr>
          <w:rFonts w:ascii="Garamond" w:hAnsi="Garamond" w:cs="Arial"/>
          <w:sz w:val="24"/>
          <w:szCs w:val="24"/>
        </w:rPr>
        <w:t xml:space="preserve"> a n</w:t>
      </w:r>
      <w:r w:rsidR="006E0719" w:rsidRPr="003A1174">
        <w:rPr>
          <w:rFonts w:ascii="Garamond" w:hAnsi="Garamond" w:cs="Arial"/>
          <w:sz w:val="24"/>
          <w:szCs w:val="24"/>
        </w:rPr>
        <w:t>ã</w:t>
      </w:r>
      <w:r w:rsidR="005777DA" w:rsidRPr="003A1174">
        <w:rPr>
          <w:rFonts w:ascii="Garamond" w:hAnsi="Garamond" w:cs="Arial"/>
          <w:sz w:val="24"/>
          <w:szCs w:val="24"/>
        </w:rPr>
        <w:t xml:space="preserve">o </w:t>
      </w:r>
      <w:r w:rsidR="00563640" w:rsidRPr="003A1174">
        <w:rPr>
          <w:rFonts w:ascii="Garamond" w:hAnsi="Garamond" w:cs="Arial"/>
          <w:sz w:val="24"/>
          <w:szCs w:val="24"/>
        </w:rPr>
        <w:t>exercer</w:t>
      </w:r>
      <w:r w:rsidR="006E0719" w:rsidRPr="003A1174">
        <w:rPr>
          <w:rFonts w:ascii="Garamond" w:hAnsi="Garamond" w:cs="Arial"/>
          <w:sz w:val="24"/>
          <w:szCs w:val="24"/>
        </w:rPr>
        <w:t xml:space="preserve"> o poder paternal</w:t>
      </w:r>
      <w:r w:rsidR="005777DA" w:rsidRPr="003A1174">
        <w:rPr>
          <w:rFonts w:ascii="Garamond" w:hAnsi="Garamond" w:cs="Arial"/>
          <w:sz w:val="24"/>
          <w:szCs w:val="24"/>
        </w:rPr>
        <w:t xml:space="preserve"> </w:t>
      </w:r>
      <w:r w:rsidR="006E0719" w:rsidRPr="003A1174">
        <w:rPr>
          <w:rFonts w:ascii="Garamond" w:hAnsi="Garamond" w:cs="Arial"/>
          <w:sz w:val="24"/>
          <w:szCs w:val="24"/>
        </w:rPr>
        <w:t>dos seus qu</w:t>
      </w:r>
      <w:r w:rsidR="005777DA" w:rsidRPr="003A1174">
        <w:rPr>
          <w:rFonts w:ascii="Garamond" w:hAnsi="Garamond" w:cs="Arial"/>
          <w:sz w:val="24"/>
          <w:szCs w:val="24"/>
        </w:rPr>
        <w:t xml:space="preserve">atro </w:t>
      </w:r>
      <w:r w:rsidR="006E0719" w:rsidRPr="003A1174">
        <w:rPr>
          <w:rFonts w:ascii="Garamond" w:hAnsi="Garamond" w:cs="Arial"/>
          <w:sz w:val="24"/>
          <w:szCs w:val="24"/>
        </w:rPr>
        <w:t xml:space="preserve">filhos </w:t>
      </w:r>
      <w:r w:rsidR="005777DA" w:rsidRPr="003A1174">
        <w:rPr>
          <w:rFonts w:ascii="Garamond" w:hAnsi="Garamond" w:cs="Arial"/>
          <w:sz w:val="24"/>
          <w:szCs w:val="24"/>
        </w:rPr>
        <w:t>menores</w:t>
      </w:r>
      <w:r>
        <w:rPr>
          <w:rFonts w:ascii="Garamond" w:hAnsi="Garamond" w:cs="Arial"/>
          <w:sz w:val="24"/>
          <w:szCs w:val="24"/>
        </w:rPr>
        <w:t>,</w:t>
      </w:r>
      <w:r w:rsidR="005777DA" w:rsidRPr="003A1174">
        <w:rPr>
          <w:rFonts w:ascii="Garamond" w:hAnsi="Garamond" w:cs="Arial"/>
          <w:sz w:val="24"/>
          <w:szCs w:val="24"/>
        </w:rPr>
        <w:t xml:space="preserve"> </w:t>
      </w:r>
      <w:r w:rsidR="006E0719" w:rsidRPr="003A1174">
        <w:rPr>
          <w:rFonts w:ascii="Garamond" w:hAnsi="Garamond" w:cs="Arial"/>
          <w:sz w:val="24"/>
          <w:szCs w:val="24"/>
        </w:rPr>
        <w:t>por mai</w:t>
      </w:r>
      <w:r w:rsidR="005777DA" w:rsidRPr="003A1174">
        <w:rPr>
          <w:rFonts w:ascii="Garamond" w:hAnsi="Garamond" w:cs="Arial"/>
          <w:sz w:val="24"/>
          <w:szCs w:val="24"/>
        </w:rPr>
        <w:t xml:space="preserve">s de seis </w:t>
      </w:r>
      <w:r w:rsidR="006E0719" w:rsidRPr="003A1174">
        <w:rPr>
          <w:rFonts w:ascii="Garamond" w:hAnsi="Garamond" w:cs="Arial"/>
          <w:sz w:val="24"/>
          <w:szCs w:val="24"/>
        </w:rPr>
        <w:t xml:space="preserve">meses. </w:t>
      </w:r>
      <w:r w:rsidR="009529F1" w:rsidRPr="003A1174">
        <w:rPr>
          <w:rFonts w:ascii="Garamond" w:hAnsi="Garamond" w:cs="Arial"/>
          <w:sz w:val="24"/>
          <w:szCs w:val="24"/>
        </w:rPr>
        <w:t xml:space="preserve">Iniciada </w:t>
      </w:r>
      <w:r w:rsidR="005777DA" w:rsidRPr="003A1174">
        <w:rPr>
          <w:rFonts w:ascii="Garamond" w:hAnsi="Garamond" w:cs="Arial"/>
          <w:sz w:val="24"/>
          <w:szCs w:val="24"/>
        </w:rPr>
        <w:t xml:space="preserve">a </w:t>
      </w:r>
      <w:r w:rsidR="00077461" w:rsidRPr="003A1174">
        <w:rPr>
          <w:rFonts w:ascii="Garamond" w:hAnsi="Garamond" w:cs="Arial"/>
          <w:sz w:val="24"/>
          <w:szCs w:val="24"/>
        </w:rPr>
        <w:t>ação</w:t>
      </w:r>
      <w:r w:rsidR="005777DA" w:rsidRPr="003A1174">
        <w:rPr>
          <w:rFonts w:ascii="Garamond" w:hAnsi="Garamond" w:cs="Arial"/>
          <w:sz w:val="24"/>
          <w:szCs w:val="24"/>
        </w:rPr>
        <w:t xml:space="preserve"> de </w:t>
      </w:r>
      <w:r w:rsidR="009529F1" w:rsidRPr="003A1174">
        <w:rPr>
          <w:rFonts w:ascii="Garamond" w:hAnsi="Garamond" w:cs="Arial"/>
          <w:sz w:val="24"/>
          <w:szCs w:val="24"/>
        </w:rPr>
        <w:t>divórcio</w:t>
      </w:r>
      <w:r w:rsidR="005777DA" w:rsidRPr="003A1174">
        <w:rPr>
          <w:rFonts w:ascii="Garamond" w:hAnsi="Garamond" w:cs="Arial"/>
          <w:sz w:val="24"/>
          <w:szCs w:val="24"/>
        </w:rPr>
        <w:t xml:space="preserve"> </w:t>
      </w:r>
      <w:r w:rsidR="005C2020" w:rsidRPr="003A1174">
        <w:rPr>
          <w:rFonts w:ascii="Garamond" w:hAnsi="Garamond" w:cs="Arial"/>
          <w:sz w:val="24"/>
          <w:szCs w:val="24"/>
        </w:rPr>
        <w:t>pelo</w:t>
      </w:r>
      <w:r w:rsidR="005777DA" w:rsidRPr="003A1174">
        <w:rPr>
          <w:rFonts w:ascii="Garamond" w:hAnsi="Garamond" w:cs="Arial"/>
          <w:sz w:val="24"/>
          <w:szCs w:val="24"/>
        </w:rPr>
        <w:t xml:space="preserve"> esposo</w:t>
      </w:r>
      <w:r w:rsidR="003F3D1F" w:rsidRPr="003A1174">
        <w:rPr>
          <w:rFonts w:ascii="Garamond" w:hAnsi="Garamond" w:cs="Arial"/>
          <w:sz w:val="24"/>
          <w:szCs w:val="24"/>
        </w:rPr>
        <w:t>,</w:t>
      </w:r>
      <w:r w:rsidR="009529F1" w:rsidRPr="003A1174">
        <w:rPr>
          <w:rFonts w:ascii="Garamond" w:hAnsi="Garamond" w:cs="Arial"/>
          <w:sz w:val="24"/>
          <w:szCs w:val="24"/>
        </w:rPr>
        <w:t xml:space="preserve"> inicialmente, </w:t>
      </w:r>
      <w:r w:rsidR="005777DA" w:rsidRPr="003A1174">
        <w:rPr>
          <w:rFonts w:ascii="Garamond" w:hAnsi="Garamond" w:cs="Arial"/>
          <w:sz w:val="24"/>
          <w:szCs w:val="24"/>
        </w:rPr>
        <w:t xml:space="preserve">a </w:t>
      </w:r>
      <w:r w:rsidR="002F62B0" w:rsidRPr="003A1174">
        <w:rPr>
          <w:rFonts w:ascii="Garamond" w:hAnsi="Garamond" w:cs="Arial"/>
          <w:sz w:val="24"/>
          <w:szCs w:val="24"/>
        </w:rPr>
        <w:t>autoridade</w:t>
      </w:r>
      <w:r w:rsidR="005777DA" w:rsidRPr="003A1174">
        <w:rPr>
          <w:rFonts w:ascii="Garamond" w:hAnsi="Garamond" w:cs="Arial"/>
          <w:sz w:val="24"/>
          <w:szCs w:val="24"/>
        </w:rPr>
        <w:t xml:space="preserve"> judicial </w:t>
      </w:r>
      <w:r w:rsidR="009529F1" w:rsidRPr="003A1174">
        <w:rPr>
          <w:rFonts w:ascii="Garamond" w:hAnsi="Garamond" w:cs="Arial"/>
          <w:sz w:val="24"/>
          <w:szCs w:val="24"/>
        </w:rPr>
        <w:t xml:space="preserve">do processo optou </w:t>
      </w:r>
      <w:r>
        <w:rPr>
          <w:rFonts w:ascii="Garamond" w:hAnsi="Garamond" w:cs="Arial"/>
          <w:sz w:val="24"/>
          <w:szCs w:val="24"/>
        </w:rPr>
        <w:t xml:space="preserve">por recusar </w:t>
      </w:r>
      <w:r w:rsidR="009529F1" w:rsidRPr="003A1174">
        <w:rPr>
          <w:rFonts w:ascii="Garamond" w:hAnsi="Garamond" w:cs="Arial"/>
          <w:sz w:val="24"/>
          <w:szCs w:val="24"/>
        </w:rPr>
        <w:t>à</w:t>
      </w:r>
      <w:r w:rsidR="005777DA" w:rsidRPr="003A1174">
        <w:rPr>
          <w:rFonts w:ascii="Garamond" w:hAnsi="Garamond" w:cs="Arial"/>
          <w:sz w:val="24"/>
          <w:szCs w:val="24"/>
        </w:rPr>
        <w:t xml:space="preserve"> </w:t>
      </w:r>
      <w:r w:rsidR="00AF192F" w:rsidRPr="003A1174">
        <w:rPr>
          <w:rFonts w:ascii="Garamond" w:hAnsi="Garamond" w:cs="Arial"/>
          <w:sz w:val="24"/>
          <w:szCs w:val="24"/>
        </w:rPr>
        <w:t>mulher</w:t>
      </w:r>
      <w:r w:rsidR="005777DA" w:rsidRPr="003A1174">
        <w:rPr>
          <w:rFonts w:ascii="Garamond" w:hAnsi="Garamond" w:cs="Arial"/>
          <w:sz w:val="24"/>
          <w:szCs w:val="24"/>
        </w:rPr>
        <w:t xml:space="preserve"> </w:t>
      </w:r>
      <w:r>
        <w:rPr>
          <w:rFonts w:ascii="Garamond" w:hAnsi="Garamond" w:cs="Arial"/>
          <w:sz w:val="24"/>
          <w:szCs w:val="24"/>
        </w:rPr>
        <w:t xml:space="preserve">o exercício </w:t>
      </w:r>
      <w:r w:rsidR="005777DA" w:rsidRPr="003A1174">
        <w:rPr>
          <w:rFonts w:ascii="Garamond" w:hAnsi="Garamond" w:cs="Arial"/>
          <w:sz w:val="24"/>
          <w:szCs w:val="24"/>
        </w:rPr>
        <w:t>d</w:t>
      </w:r>
      <w:r w:rsidR="009529F1" w:rsidRPr="003A1174">
        <w:rPr>
          <w:rFonts w:ascii="Garamond" w:hAnsi="Garamond" w:cs="Arial"/>
          <w:sz w:val="24"/>
          <w:szCs w:val="24"/>
        </w:rPr>
        <w:t>o</w:t>
      </w:r>
      <w:r w:rsidR="005777DA" w:rsidRPr="003A1174">
        <w:rPr>
          <w:rFonts w:ascii="Garamond" w:hAnsi="Garamond" w:cs="Arial"/>
          <w:sz w:val="24"/>
          <w:szCs w:val="24"/>
        </w:rPr>
        <w:t xml:space="preserve"> </w:t>
      </w:r>
      <w:r w:rsidR="006E0719" w:rsidRPr="003A1174">
        <w:rPr>
          <w:rFonts w:ascii="Garamond" w:hAnsi="Garamond" w:cs="Arial"/>
          <w:sz w:val="24"/>
          <w:szCs w:val="24"/>
        </w:rPr>
        <w:t>poder paternal</w:t>
      </w:r>
      <w:r w:rsidR="005777DA" w:rsidRPr="003A1174">
        <w:rPr>
          <w:rFonts w:ascii="Garamond" w:hAnsi="Garamond" w:cs="Arial"/>
          <w:sz w:val="24"/>
          <w:szCs w:val="24"/>
        </w:rPr>
        <w:t xml:space="preserve">. </w:t>
      </w:r>
    </w:p>
    <w:p w:rsidR="005777DA" w:rsidRPr="003A1174" w:rsidRDefault="005777DA" w:rsidP="009529F1">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Significativamente</w:t>
      </w:r>
      <w:r w:rsidR="003F3D1F" w:rsidRPr="003A1174">
        <w:rPr>
          <w:rFonts w:ascii="Garamond" w:hAnsi="Garamond" w:cs="Arial"/>
          <w:sz w:val="24"/>
          <w:szCs w:val="24"/>
        </w:rPr>
        <w:t>,</w:t>
      </w:r>
      <w:r w:rsidR="009529F1" w:rsidRPr="003A1174">
        <w:rPr>
          <w:rFonts w:ascii="Garamond" w:hAnsi="Garamond" w:cs="Arial"/>
          <w:sz w:val="24"/>
          <w:szCs w:val="24"/>
        </w:rPr>
        <w:t xml:space="preserve"> </w:t>
      </w:r>
      <w:r w:rsidR="00EF6A25">
        <w:rPr>
          <w:rFonts w:ascii="Garamond" w:hAnsi="Garamond" w:cs="Arial"/>
          <w:sz w:val="24"/>
          <w:szCs w:val="24"/>
        </w:rPr>
        <w:t xml:space="preserve">o </w:t>
      </w:r>
      <w:r w:rsidRPr="003A1174">
        <w:rPr>
          <w:rFonts w:ascii="Garamond" w:hAnsi="Garamond" w:cs="Arial"/>
          <w:sz w:val="24"/>
          <w:szCs w:val="24"/>
        </w:rPr>
        <w:t>Suprem</w:t>
      </w:r>
      <w:r w:rsidR="00EF6A25">
        <w:rPr>
          <w:rFonts w:ascii="Garamond" w:hAnsi="Garamond" w:cs="Arial"/>
          <w:sz w:val="24"/>
          <w:szCs w:val="24"/>
        </w:rPr>
        <w:t>o</w:t>
      </w:r>
      <w:r w:rsidR="002B33D4">
        <w:rPr>
          <w:rFonts w:ascii="Garamond" w:hAnsi="Garamond" w:cs="Arial"/>
          <w:sz w:val="24"/>
          <w:szCs w:val="24"/>
        </w:rPr>
        <w:t xml:space="preserve"> </w:t>
      </w:r>
      <w:r w:rsidR="00EF6A25">
        <w:rPr>
          <w:rFonts w:ascii="Garamond" w:hAnsi="Garamond" w:cs="Arial"/>
          <w:sz w:val="24"/>
          <w:szCs w:val="24"/>
        </w:rPr>
        <w:t>Tribunal</w:t>
      </w:r>
      <w:r w:rsidRPr="003A1174">
        <w:rPr>
          <w:rFonts w:ascii="Garamond" w:hAnsi="Garamond" w:cs="Arial"/>
          <w:sz w:val="24"/>
          <w:szCs w:val="24"/>
        </w:rPr>
        <w:t xml:space="preserve"> entend</w:t>
      </w:r>
      <w:r w:rsidR="009529F1" w:rsidRPr="003A1174">
        <w:rPr>
          <w:rFonts w:ascii="Garamond" w:hAnsi="Garamond" w:cs="Arial"/>
          <w:sz w:val="24"/>
          <w:szCs w:val="24"/>
        </w:rPr>
        <w:t xml:space="preserve">eu que </w:t>
      </w:r>
      <w:r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de género </w:t>
      </w:r>
      <w:r w:rsidR="006D4D0B" w:rsidRPr="003A1174">
        <w:rPr>
          <w:rFonts w:ascii="Garamond" w:hAnsi="Garamond" w:cs="Arial"/>
          <w:sz w:val="24"/>
          <w:szCs w:val="24"/>
        </w:rPr>
        <w:t>sofrida</w:t>
      </w:r>
      <w:r w:rsidRPr="003A1174">
        <w:rPr>
          <w:rFonts w:ascii="Garamond" w:hAnsi="Garamond" w:cs="Arial"/>
          <w:sz w:val="24"/>
          <w:szCs w:val="24"/>
        </w:rPr>
        <w:t xml:space="preserve"> n</w:t>
      </w:r>
      <w:r w:rsidR="009529F1" w:rsidRPr="003A1174">
        <w:rPr>
          <w:rFonts w:ascii="Garamond" w:hAnsi="Garamond" w:cs="Arial"/>
          <w:sz w:val="24"/>
          <w:szCs w:val="24"/>
        </w:rPr>
        <w:t>ã</w:t>
      </w:r>
      <w:r w:rsidRPr="003A1174">
        <w:rPr>
          <w:rFonts w:ascii="Garamond" w:hAnsi="Garamond" w:cs="Arial"/>
          <w:sz w:val="24"/>
          <w:szCs w:val="24"/>
        </w:rPr>
        <w:t xml:space="preserve">o </w:t>
      </w:r>
      <w:r w:rsidR="003178D9">
        <w:rPr>
          <w:rFonts w:ascii="Garamond" w:hAnsi="Garamond" w:cs="Arial"/>
          <w:sz w:val="24"/>
          <w:szCs w:val="24"/>
        </w:rPr>
        <w:t>tinha sido</w:t>
      </w:r>
      <w:r w:rsidR="009529F1" w:rsidRPr="003A1174">
        <w:rPr>
          <w:rFonts w:ascii="Garamond" w:hAnsi="Garamond" w:cs="Arial"/>
          <w:sz w:val="24"/>
          <w:szCs w:val="24"/>
        </w:rPr>
        <w:t xml:space="preserve"> </w:t>
      </w:r>
      <w:r w:rsidRPr="003A1174">
        <w:rPr>
          <w:rFonts w:ascii="Garamond" w:hAnsi="Garamond" w:cs="Arial"/>
          <w:sz w:val="24"/>
          <w:szCs w:val="24"/>
        </w:rPr>
        <w:t>conside</w:t>
      </w:r>
      <w:r w:rsidR="003F3D1F" w:rsidRPr="003A1174">
        <w:rPr>
          <w:rFonts w:ascii="Garamond" w:hAnsi="Garamond" w:cs="Arial"/>
          <w:sz w:val="24"/>
          <w:szCs w:val="24"/>
        </w:rPr>
        <w:t>rad</w:t>
      </w:r>
      <w:r w:rsidR="003178D9">
        <w:rPr>
          <w:rFonts w:ascii="Garamond" w:hAnsi="Garamond" w:cs="Arial"/>
          <w:sz w:val="24"/>
          <w:szCs w:val="24"/>
        </w:rPr>
        <w:t>a</w:t>
      </w:r>
      <w:r w:rsidRPr="003A1174">
        <w:rPr>
          <w:rFonts w:ascii="Garamond" w:hAnsi="Garamond" w:cs="Arial"/>
          <w:sz w:val="24"/>
          <w:szCs w:val="24"/>
        </w:rPr>
        <w:t xml:space="preserve"> </w:t>
      </w:r>
      <w:r w:rsidR="009529F1" w:rsidRPr="003A1174">
        <w:rPr>
          <w:rFonts w:ascii="Garamond" w:hAnsi="Garamond" w:cs="Arial"/>
          <w:sz w:val="24"/>
          <w:szCs w:val="24"/>
        </w:rPr>
        <w:t xml:space="preserve">na </w:t>
      </w:r>
      <w:r w:rsidR="0017447A" w:rsidRPr="003A1174">
        <w:rPr>
          <w:rFonts w:ascii="Garamond" w:hAnsi="Garamond" w:cs="Arial"/>
          <w:sz w:val="24"/>
          <w:szCs w:val="24"/>
        </w:rPr>
        <w:t>análise</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argumentos da </w:t>
      </w:r>
      <w:r w:rsidR="00AF192F" w:rsidRPr="003A1174">
        <w:rPr>
          <w:rFonts w:ascii="Garamond" w:hAnsi="Garamond" w:cs="Arial"/>
          <w:sz w:val="24"/>
          <w:szCs w:val="24"/>
        </w:rPr>
        <w:t>mulher</w:t>
      </w:r>
      <w:r w:rsidRPr="003A1174">
        <w:rPr>
          <w:rFonts w:ascii="Garamond" w:hAnsi="Garamond" w:cs="Arial"/>
          <w:sz w:val="24"/>
          <w:szCs w:val="24"/>
        </w:rPr>
        <w:t>, n</w:t>
      </w:r>
      <w:r w:rsidR="009529F1" w:rsidRPr="003A1174">
        <w:rPr>
          <w:rFonts w:ascii="Garamond" w:hAnsi="Garamond" w:cs="Arial"/>
          <w:sz w:val="24"/>
          <w:szCs w:val="24"/>
        </w:rPr>
        <w:t xml:space="preserve">em na </w:t>
      </w:r>
      <w:r w:rsidR="00EE7406" w:rsidRPr="003A1174">
        <w:rPr>
          <w:rFonts w:ascii="Garamond" w:hAnsi="Garamond" w:cs="Arial"/>
          <w:sz w:val="24"/>
          <w:szCs w:val="24"/>
        </w:rPr>
        <w:t>avaliação</w:t>
      </w:r>
      <w:r w:rsidRPr="003A1174">
        <w:rPr>
          <w:rFonts w:ascii="Garamond" w:hAnsi="Garamond" w:cs="Arial"/>
          <w:sz w:val="24"/>
          <w:szCs w:val="24"/>
        </w:rPr>
        <w:t xml:space="preserve"> d</w:t>
      </w:r>
      <w:r w:rsidR="009529F1" w:rsidRPr="003A1174">
        <w:rPr>
          <w:rFonts w:ascii="Garamond" w:hAnsi="Garamond" w:cs="Arial"/>
          <w:sz w:val="24"/>
          <w:szCs w:val="24"/>
        </w:rPr>
        <w:t xml:space="preserve">as </w:t>
      </w:r>
      <w:r w:rsidRPr="003A1174">
        <w:rPr>
          <w:rFonts w:ascii="Garamond" w:hAnsi="Garamond" w:cs="Arial"/>
          <w:sz w:val="24"/>
          <w:szCs w:val="24"/>
        </w:rPr>
        <w:t>su</w:t>
      </w:r>
      <w:r w:rsidR="009529F1" w:rsidRPr="003A1174">
        <w:rPr>
          <w:rFonts w:ascii="Garamond" w:hAnsi="Garamond" w:cs="Arial"/>
          <w:sz w:val="24"/>
          <w:szCs w:val="24"/>
        </w:rPr>
        <w:t>a</w:t>
      </w:r>
      <w:r w:rsidRPr="003A1174">
        <w:rPr>
          <w:rFonts w:ascii="Garamond" w:hAnsi="Garamond" w:cs="Arial"/>
          <w:sz w:val="24"/>
          <w:szCs w:val="24"/>
        </w:rPr>
        <w:t xml:space="preserve">s </w:t>
      </w:r>
      <w:r w:rsidR="002B6C5B" w:rsidRPr="003A1174">
        <w:rPr>
          <w:rFonts w:ascii="Garamond" w:hAnsi="Garamond" w:cs="Arial"/>
          <w:sz w:val="24"/>
          <w:szCs w:val="24"/>
        </w:rPr>
        <w:t>prova</w:t>
      </w:r>
      <w:r w:rsidRPr="003A1174">
        <w:rPr>
          <w:rFonts w:ascii="Garamond" w:hAnsi="Garamond" w:cs="Arial"/>
          <w:sz w:val="24"/>
          <w:szCs w:val="24"/>
        </w:rPr>
        <w:t xml:space="preserve">s </w:t>
      </w:r>
      <w:r w:rsidR="00497503" w:rsidRPr="003A1174">
        <w:rPr>
          <w:rFonts w:ascii="Garamond" w:hAnsi="Garamond" w:cs="Arial"/>
          <w:sz w:val="24"/>
          <w:szCs w:val="24"/>
        </w:rPr>
        <w:t>e</w:t>
      </w:r>
      <w:r w:rsidR="009529F1" w:rsidRPr="003A1174">
        <w:rPr>
          <w:rFonts w:ascii="Garamond" w:hAnsi="Garamond" w:cs="Arial"/>
          <w:sz w:val="24"/>
          <w:szCs w:val="24"/>
        </w:rPr>
        <w:t xml:space="preserve"> d</w:t>
      </w:r>
      <w:r w:rsidRPr="003A1174">
        <w:rPr>
          <w:rFonts w:ascii="Garamond" w:hAnsi="Garamond" w:cs="Arial"/>
          <w:sz w:val="24"/>
          <w:szCs w:val="24"/>
        </w:rPr>
        <w:t xml:space="preserve">os </w:t>
      </w:r>
      <w:r w:rsidR="001647F2" w:rsidRPr="003A1174">
        <w:rPr>
          <w:rFonts w:ascii="Garamond" w:hAnsi="Garamond" w:cs="Arial"/>
          <w:sz w:val="24"/>
          <w:szCs w:val="24"/>
        </w:rPr>
        <w:t>facto</w:t>
      </w:r>
      <w:r w:rsidRPr="003A1174">
        <w:rPr>
          <w:rFonts w:ascii="Garamond" w:hAnsi="Garamond" w:cs="Arial"/>
          <w:sz w:val="24"/>
          <w:szCs w:val="24"/>
        </w:rPr>
        <w:t xml:space="preserve">s por ela invocados. </w:t>
      </w:r>
      <w:r w:rsidR="009529F1" w:rsidRPr="003A1174">
        <w:rPr>
          <w:rFonts w:ascii="Garamond" w:hAnsi="Garamond" w:cs="Arial"/>
          <w:sz w:val="24"/>
          <w:szCs w:val="24"/>
        </w:rPr>
        <w:t>I</w:t>
      </w:r>
      <w:r w:rsidRPr="003A1174">
        <w:rPr>
          <w:rFonts w:ascii="Garamond" w:hAnsi="Garamond" w:cs="Arial"/>
          <w:sz w:val="24"/>
          <w:szCs w:val="24"/>
        </w:rPr>
        <w:t xml:space="preserve">sto, </w:t>
      </w:r>
      <w:r w:rsidR="009529F1" w:rsidRPr="003A1174">
        <w:rPr>
          <w:rFonts w:ascii="Garamond" w:hAnsi="Garamond" w:cs="Arial"/>
          <w:sz w:val="24"/>
          <w:szCs w:val="24"/>
        </w:rPr>
        <w:t xml:space="preserve">na </w:t>
      </w:r>
      <w:r w:rsidR="008537B6" w:rsidRPr="003A1174">
        <w:rPr>
          <w:rFonts w:ascii="Garamond" w:hAnsi="Garamond" w:cs="Arial"/>
          <w:sz w:val="24"/>
          <w:szCs w:val="24"/>
        </w:rPr>
        <w:t>opinião</w:t>
      </w:r>
      <w:r w:rsidRPr="003A1174">
        <w:rPr>
          <w:rFonts w:ascii="Garamond" w:hAnsi="Garamond" w:cs="Arial"/>
          <w:sz w:val="24"/>
          <w:szCs w:val="24"/>
        </w:rPr>
        <w:t xml:space="preserve"> d</w:t>
      </w:r>
      <w:r w:rsidR="00EF6A25">
        <w:rPr>
          <w:rFonts w:ascii="Garamond" w:hAnsi="Garamond" w:cs="Arial"/>
          <w:sz w:val="24"/>
          <w:szCs w:val="24"/>
        </w:rPr>
        <w:t>o</w:t>
      </w:r>
      <w:r w:rsidRPr="003A1174">
        <w:rPr>
          <w:rFonts w:ascii="Garamond" w:hAnsi="Garamond" w:cs="Arial"/>
          <w:sz w:val="24"/>
          <w:szCs w:val="24"/>
        </w:rPr>
        <w:t xml:space="preserve"> </w:t>
      </w:r>
      <w:r w:rsidR="00EB3427">
        <w:rPr>
          <w:rFonts w:ascii="Garamond" w:hAnsi="Garamond" w:cs="Arial"/>
          <w:sz w:val="24"/>
          <w:szCs w:val="24"/>
        </w:rPr>
        <w:t>t</w:t>
      </w:r>
      <w:r w:rsidR="00EF6A25">
        <w:rPr>
          <w:rFonts w:ascii="Garamond" w:hAnsi="Garamond" w:cs="Arial"/>
          <w:sz w:val="24"/>
          <w:szCs w:val="24"/>
        </w:rPr>
        <w:t>ribunal</w:t>
      </w:r>
      <w:r w:rsidRPr="003A1174">
        <w:rPr>
          <w:rFonts w:ascii="Garamond" w:hAnsi="Garamond" w:cs="Arial"/>
          <w:sz w:val="24"/>
          <w:szCs w:val="24"/>
        </w:rPr>
        <w:t xml:space="preserve">, </w:t>
      </w:r>
      <w:r w:rsidR="003178D9">
        <w:rPr>
          <w:rFonts w:ascii="Garamond" w:hAnsi="Garamond" w:cs="Arial"/>
          <w:sz w:val="24"/>
          <w:szCs w:val="24"/>
        </w:rPr>
        <w:t xml:space="preserve">implicou ignorar </w:t>
      </w:r>
      <w:r w:rsidR="009529F1" w:rsidRPr="003A1174">
        <w:rPr>
          <w:rFonts w:ascii="Garamond" w:hAnsi="Garamond" w:cs="Arial"/>
          <w:sz w:val="24"/>
          <w:szCs w:val="24"/>
        </w:rPr>
        <w:t>o</w:t>
      </w:r>
      <w:r w:rsidRPr="003A1174">
        <w:rPr>
          <w:rFonts w:ascii="Garamond" w:hAnsi="Garamond" w:cs="Arial"/>
          <w:sz w:val="24"/>
          <w:szCs w:val="24"/>
        </w:rPr>
        <w:t xml:space="preserve"> </w:t>
      </w:r>
      <w:r w:rsidR="00886D6A" w:rsidRPr="003A1174">
        <w:rPr>
          <w:rFonts w:ascii="Garamond" w:hAnsi="Garamond" w:cs="Arial"/>
          <w:sz w:val="24"/>
          <w:szCs w:val="24"/>
        </w:rPr>
        <w:t>direito</w:t>
      </w:r>
      <w:r w:rsidR="009529F1" w:rsidRPr="003A1174">
        <w:rPr>
          <w:rFonts w:ascii="Garamond" w:hAnsi="Garamond" w:cs="Arial"/>
          <w:sz w:val="24"/>
          <w:szCs w:val="24"/>
        </w:rPr>
        <w:t xml:space="preserve"> d</w:t>
      </w:r>
      <w:r w:rsidRPr="003A1174">
        <w:rPr>
          <w:rFonts w:ascii="Garamond" w:hAnsi="Garamond" w:cs="Arial"/>
          <w:sz w:val="24"/>
          <w:szCs w:val="24"/>
        </w:rPr>
        <w:t xml:space="preserve">a </w:t>
      </w:r>
      <w:r w:rsidR="00AF192F" w:rsidRPr="003A1174">
        <w:rPr>
          <w:rFonts w:ascii="Garamond" w:hAnsi="Garamond" w:cs="Arial"/>
          <w:sz w:val="24"/>
          <w:szCs w:val="24"/>
        </w:rPr>
        <w:t>mulher</w:t>
      </w:r>
      <w:r w:rsidR="009529F1" w:rsidRPr="003A1174">
        <w:rPr>
          <w:rFonts w:ascii="Garamond" w:hAnsi="Garamond" w:cs="Arial"/>
          <w:sz w:val="24"/>
          <w:szCs w:val="24"/>
        </w:rPr>
        <w:t xml:space="preserve"> a um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17447A" w:rsidRPr="003A1174">
        <w:rPr>
          <w:rFonts w:ascii="Garamond" w:hAnsi="Garamond" w:cs="Arial"/>
          <w:sz w:val="24"/>
          <w:szCs w:val="24"/>
        </w:rPr>
        <w:t>discriminação</w:t>
      </w:r>
      <w:r w:rsidR="003178D9">
        <w:rPr>
          <w:rFonts w:ascii="Garamond" w:hAnsi="Garamond" w:cs="Arial"/>
          <w:sz w:val="24"/>
          <w:szCs w:val="24"/>
        </w:rPr>
        <w:t>, direito esse</w:t>
      </w:r>
      <w:r w:rsidRPr="003A1174">
        <w:rPr>
          <w:rFonts w:ascii="Garamond" w:hAnsi="Garamond" w:cs="Arial"/>
          <w:sz w:val="24"/>
          <w:szCs w:val="24"/>
        </w:rPr>
        <w:t xml:space="preserve"> </w:t>
      </w:r>
      <w:r w:rsidR="003178D9">
        <w:rPr>
          <w:rFonts w:ascii="Garamond" w:hAnsi="Garamond" w:cs="Arial"/>
          <w:sz w:val="24"/>
          <w:szCs w:val="24"/>
        </w:rPr>
        <w:t xml:space="preserve">consagrado </w:t>
      </w:r>
      <w:r w:rsidRPr="003A1174">
        <w:rPr>
          <w:rFonts w:ascii="Garamond" w:hAnsi="Garamond" w:cs="Arial"/>
          <w:sz w:val="24"/>
          <w:szCs w:val="24"/>
        </w:rPr>
        <w:t>constituciona</w:t>
      </w:r>
      <w:r w:rsidR="009529F1" w:rsidRPr="003A1174">
        <w:rPr>
          <w:rFonts w:ascii="Garamond" w:hAnsi="Garamond" w:cs="Arial"/>
          <w:sz w:val="24"/>
          <w:szCs w:val="24"/>
        </w:rPr>
        <w:t>l</w:t>
      </w:r>
      <w:r w:rsidR="003178D9">
        <w:rPr>
          <w:rFonts w:ascii="Garamond" w:hAnsi="Garamond" w:cs="Arial"/>
          <w:sz w:val="24"/>
          <w:szCs w:val="24"/>
        </w:rPr>
        <w:t>mente</w:t>
      </w:r>
      <w:r w:rsidR="009529F1" w:rsidRPr="003A1174">
        <w:rPr>
          <w:rFonts w:ascii="Garamond" w:hAnsi="Garamond" w:cs="Arial"/>
          <w:sz w:val="24"/>
          <w:szCs w:val="24"/>
        </w:rPr>
        <w:t xml:space="preserve">, </w:t>
      </w:r>
      <w:r w:rsidR="003178D9">
        <w:rPr>
          <w:rFonts w:ascii="Garamond" w:hAnsi="Garamond" w:cs="Arial"/>
          <w:sz w:val="24"/>
          <w:szCs w:val="24"/>
        </w:rPr>
        <w:t>facto que</w:t>
      </w:r>
      <w:r w:rsidR="00B4187C">
        <w:rPr>
          <w:rFonts w:ascii="Garamond" w:hAnsi="Garamond" w:cs="Arial"/>
          <w:sz w:val="24"/>
          <w:szCs w:val="24"/>
        </w:rPr>
        <w:t xml:space="preserve"> </w:t>
      </w:r>
      <w:r w:rsidRPr="003A1174">
        <w:rPr>
          <w:rFonts w:ascii="Garamond" w:hAnsi="Garamond" w:cs="Arial"/>
          <w:sz w:val="24"/>
          <w:szCs w:val="24"/>
        </w:rPr>
        <w:t>determin</w:t>
      </w:r>
      <w:r w:rsidR="009529F1" w:rsidRPr="003A1174">
        <w:rPr>
          <w:rFonts w:ascii="Garamond" w:hAnsi="Garamond" w:cs="Arial"/>
          <w:sz w:val="24"/>
          <w:szCs w:val="24"/>
        </w:rPr>
        <w:t xml:space="preserve">ou </w:t>
      </w:r>
      <w:r w:rsidR="003178D9">
        <w:rPr>
          <w:rFonts w:ascii="Garamond" w:hAnsi="Garamond" w:cs="Arial"/>
          <w:sz w:val="24"/>
          <w:szCs w:val="24"/>
        </w:rPr>
        <w:t xml:space="preserve">o </w:t>
      </w:r>
      <w:r w:rsidR="00120915" w:rsidRPr="003A1174">
        <w:rPr>
          <w:rFonts w:ascii="Garamond" w:hAnsi="Garamond" w:cs="Arial"/>
          <w:sz w:val="24"/>
          <w:szCs w:val="24"/>
        </w:rPr>
        <w:t>exame</w:t>
      </w:r>
      <w:r w:rsidR="00B4187C">
        <w:rPr>
          <w:rFonts w:ascii="Garamond" w:hAnsi="Garamond" w:cs="Arial"/>
          <w:sz w:val="24"/>
          <w:szCs w:val="24"/>
        </w:rPr>
        <w:t xml:space="preserve"> obrigatório</w:t>
      </w:r>
      <w:r w:rsidRPr="003A1174">
        <w:rPr>
          <w:rFonts w:ascii="Garamond" w:hAnsi="Garamond" w:cs="Arial"/>
          <w:sz w:val="24"/>
          <w:szCs w:val="24"/>
        </w:rPr>
        <w:t xml:space="preserve"> da </w:t>
      </w:r>
      <w:r w:rsidR="0017447A" w:rsidRPr="003A1174">
        <w:rPr>
          <w:rFonts w:ascii="Garamond" w:hAnsi="Garamond" w:cs="Arial"/>
          <w:sz w:val="24"/>
          <w:szCs w:val="24"/>
        </w:rPr>
        <w:t>situação</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denunciada, motivo </w:t>
      </w:r>
      <w:r w:rsidR="005C2020" w:rsidRPr="003A1174">
        <w:rPr>
          <w:rFonts w:ascii="Garamond" w:hAnsi="Garamond" w:cs="Arial"/>
          <w:sz w:val="24"/>
          <w:szCs w:val="24"/>
        </w:rPr>
        <w:t>pelo</w:t>
      </w:r>
      <w:r w:rsidR="009529F1" w:rsidRPr="003A1174">
        <w:rPr>
          <w:rFonts w:ascii="Garamond" w:hAnsi="Garamond" w:cs="Arial"/>
          <w:sz w:val="24"/>
          <w:szCs w:val="24"/>
        </w:rPr>
        <w:t xml:space="preserve"> q</w:t>
      </w:r>
      <w:r w:rsidRPr="003A1174">
        <w:rPr>
          <w:rFonts w:ascii="Garamond" w:hAnsi="Garamond" w:cs="Arial"/>
          <w:sz w:val="24"/>
          <w:szCs w:val="24"/>
        </w:rPr>
        <w:t>ual se devolv</w:t>
      </w:r>
      <w:r w:rsidR="009529F1" w:rsidRPr="003A1174">
        <w:rPr>
          <w:rFonts w:ascii="Garamond" w:hAnsi="Garamond" w:cs="Arial"/>
          <w:sz w:val="24"/>
          <w:szCs w:val="24"/>
        </w:rPr>
        <w:t xml:space="preserve">eu </w:t>
      </w:r>
      <w:r w:rsidRPr="003A1174">
        <w:rPr>
          <w:rFonts w:ascii="Garamond" w:hAnsi="Garamond" w:cs="Arial"/>
          <w:sz w:val="24"/>
          <w:szCs w:val="24"/>
        </w:rPr>
        <w:t>a causa a</w:t>
      </w:r>
      <w:r w:rsidR="009529F1" w:rsidRPr="003A1174">
        <w:rPr>
          <w:rFonts w:ascii="Garamond" w:hAnsi="Garamond" w:cs="Arial"/>
          <w:sz w:val="24"/>
          <w:szCs w:val="24"/>
        </w:rPr>
        <w:t xml:space="preserve">o </w:t>
      </w:r>
      <w:r w:rsidRPr="003A1174">
        <w:rPr>
          <w:rFonts w:ascii="Garamond" w:hAnsi="Garamond" w:cs="Arial"/>
          <w:sz w:val="24"/>
          <w:szCs w:val="24"/>
        </w:rPr>
        <w:t xml:space="preserve">Tribunal da </w:t>
      </w:r>
      <w:r w:rsidR="00EF645F" w:rsidRPr="003A1174">
        <w:rPr>
          <w:rFonts w:ascii="Garamond" w:hAnsi="Garamond" w:cs="Arial"/>
          <w:sz w:val="24"/>
          <w:szCs w:val="24"/>
        </w:rPr>
        <w:t>matéria</w:t>
      </w:r>
      <w:r w:rsidRPr="003A1174">
        <w:rPr>
          <w:rFonts w:ascii="Garamond" w:hAnsi="Garamond" w:cs="Arial"/>
          <w:sz w:val="24"/>
          <w:szCs w:val="24"/>
        </w:rPr>
        <w:t xml:space="preserve"> para re</w:t>
      </w:r>
      <w:r w:rsidR="00120915" w:rsidRPr="003A1174">
        <w:rPr>
          <w:rFonts w:ascii="Garamond" w:hAnsi="Garamond" w:cs="Arial"/>
          <w:sz w:val="24"/>
          <w:szCs w:val="24"/>
        </w:rPr>
        <w:t>exame</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w:t>
      </w:r>
      <w:r w:rsidR="00973DDE" w:rsidRPr="003A1174">
        <w:rPr>
          <w:rFonts w:ascii="Garamond" w:hAnsi="Garamond" w:cs="Arial"/>
          <w:sz w:val="24"/>
          <w:szCs w:val="24"/>
        </w:rPr>
        <w:t>assunto</w:t>
      </w:r>
      <w:r w:rsidRPr="003A1174">
        <w:rPr>
          <w:rFonts w:ascii="Garamond" w:hAnsi="Garamond" w:cs="Arial"/>
          <w:sz w:val="24"/>
          <w:szCs w:val="24"/>
        </w:rPr>
        <w:t>.</w:t>
      </w:r>
      <w:r w:rsidRPr="003A1174">
        <w:rPr>
          <w:rStyle w:val="Refdenotaalpie"/>
          <w:rFonts w:ascii="Garamond" w:hAnsi="Garamond" w:cs="Arial"/>
          <w:sz w:val="24"/>
          <w:szCs w:val="24"/>
        </w:rPr>
        <w:footnoteReference w:id="105"/>
      </w:r>
    </w:p>
    <w:p w:rsidR="005777DA" w:rsidRPr="003A1174" w:rsidRDefault="009529F1"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Apesar de no </w:t>
      </w:r>
      <w:r w:rsidR="005777DA" w:rsidRPr="003A1174">
        <w:rPr>
          <w:rFonts w:ascii="Garamond" w:hAnsi="Garamond" w:cs="Arial"/>
          <w:sz w:val="24"/>
          <w:szCs w:val="24"/>
        </w:rPr>
        <w:t xml:space="preserve">plano </w:t>
      </w:r>
      <w:r w:rsidR="00A32790" w:rsidRPr="003A1174">
        <w:rPr>
          <w:rFonts w:ascii="Garamond" w:hAnsi="Garamond" w:cs="Arial"/>
          <w:sz w:val="24"/>
          <w:szCs w:val="24"/>
        </w:rPr>
        <w:t>estatal</w:t>
      </w:r>
      <w:r w:rsidR="005777DA" w:rsidRPr="003A1174">
        <w:rPr>
          <w:rFonts w:ascii="Garamond" w:hAnsi="Garamond" w:cs="Arial"/>
          <w:sz w:val="24"/>
          <w:szCs w:val="24"/>
        </w:rPr>
        <w:t xml:space="preserve"> </w:t>
      </w:r>
      <w:r w:rsidRPr="003A1174">
        <w:rPr>
          <w:rFonts w:ascii="Garamond" w:hAnsi="Garamond" w:cs="Arial"/>
          <w:sz w:val="24"/>
          <w:szCs w:val="24"/>
        </w:rPr>
        <w:t>o</w:t>
      </w:r>
      <w:r w:rsidR="005777DA" w:rsidRPr="003A1174">
        <w:rPr>
          <w:rFonts w:ascii="Garamond" w:hAnsi="Garamond" w:cs="Arial"/>
          <w:sz w:val="24"/>
          <w:szCs w:val="24"/>
        </w:rPr>
        <w:t xml:space="preserve"> sistema de ombudsman e</w:t>
      </w:r>
      <w:r w:rsidRPr="003A1174">
        <w:rPr>
          <w:rFonts w:ascii="Garamond" w:hAnsi="Garamond" w:cs="Arial"/>
          <w:sz w:val="24"/>
          <w:szCs w:val="24"/>
        </w:rPr>
        <w:t>m</w:t>
      </w:r>
      <w:r w:rsidR="005777DA" w:rsidRPr="003A1174">
        <w:rPr>
          <w:rFonts w:ascii="Garamond" w:hAnsi="Garamond" w:cs="Arial"/>
          <w:sz w:val="24"/>
          <w:szCs w:val="24"/>
        </w:rPr>
        <w:t xml:space="preserve"> Guanajuato n</w:t>
      </w:r>
      <w:r w:rsidRPr="003A1174">
        <w:rPr>
          <w:rFonts w:ascii="Garamond" w:hAnsi="Garamond" w:cs="Arial"/>
          <w:sz w:val="24"/>
          <w:szCs w:val="24"/>
        </w:rPr>
        <w:t>ã</w:t>
      </w:r>
      <w:r w:rsidR="005777DA" w:rsidRPr="003A1174">
        <w:rPr>
          <w:rFonts w:ascii="Garamond" w:hAnsi="Garamond" w:cs="Arial"/>
          <w:sz w:val="24"/>
          <w:szCs w:val="24"/>
        </w:rPr>
        <w:t>o re</w:t>
      </w:r>
      <w:r w:rsidRPr="003A1174">
        <w:rPr>
          <w:rFonts w:ascii="Garamond" w:hAnsi="Garamond" w:cs="Arial"/>
          <w:sz w:val="24"/>
          <w:szCs w:val="24"/>
        </w:rPr>
        <w:t xml:space="preserve">ferir </w:t>
      </w:r>
      <w:r w:rsidR="005D38DC" w:rsidRPr="003A1174">
        <w:rPr>
          <w:rFonts w:ascii="Garamond" w:hAnsi="Garamond" w:cs="Arial"/>
          <w:sz w:val="24"/>
          <w:szCs w:val="24"/>
        </w:rPr>
        <w:t>decisões</w:t>
      </w:r>
      <w:r w:rsidR="005777DA" w:rsidRPr="003A1174">
        <w:rPr>
          <w:rFonts w:ascii="Garamond" w:hAnsi="Garamond" w:cs="Arial"/>
          <w:sz w:val="24"/>
          <w:szCs w:val="24"/>
        </w:rPr>
        <w:t xml:space="preserve"> </w:t>
      </w:r>
      <w:r w:rsidR="00DC5DA7" w:rsidRPr="003A1174">
        <w:rPr>
          <w:rFonts w:ascii="Garamond" w:hAnsi="Garamond" w:cs="Arial"/>
          <w:sz w:val="24"/>
          <w:szCs w:val="24"/>
        </w:rPr>
        <w:t>jurisdicionais</w:t>
      </w:r>
      <w:r w:rsidR="00B4187C">
        <w:rPr>
          <w:rFonts w:ascii="Garamond" w:hAnsi="Garamond" w:cs="Arial"/>
          <w:sz w:val="24"/>
          <w:szCs w:val="24"/>
        </w:rPr>
        <w:t>,</w:t>
      </w:r>
      <w:r w:rsidR="005777DA" w:rsidRPr="003A1174">
        <w:rPr>
          <w:rFonts w:ascii="Garamond" w:hAnsi="Garamond" w:cs="Arial"/>
          <w:sz w:val="24"/>
          <w:szCs w:val="24"/>
        </w:rPr>
        <w:t xml:space="preserve"> </w:t>
      </w:r>
      <w:r w:rsidRPr="003A1174">
        <w:rPr>
          <w:rFonts w:ascii="Garamond" w:hAnsi="Garamond" w:cs="Arial"/>
          <w:sz w:val="24"/>
          <w:szCs w:val="24"/>
        </w:rPr>
        <w:t>propriamente dit</w:t>
      </w:r>
      <w:r w:rsidR="005777DA" w:rsidRPr="003A1174">
        <w:rPr>
          <w:rFonts w:ascii="Garamond" w:hAnsi="Garamond" w:cs="Arial"/>
          <w:sz w:val="24"/>
          <w:szCs w:val="24"/>
        </w:rPr>
        <w:t>as</w:t>
      </w:r>
      <w:r w:rsidR="003F3D1F" w:rsidRPr="003A1174">
        <w:rPr>
          <w:rFonts w:ascii="Garamond" w:hAnsi="Garamond" w:cs="Arial"/>
          <w:sz w:val="24"/>
          <w:szCs w:val="24"/>
        </w:rPr>
        <w:t>,</w:t>
      </w:r>
      <w:r w:rsidR="005777DA" w:rsidRPr="003A1174">
        <w:rPr>
          <w:rFonts w:ascii="Garamond" w:hAnsi="Garamond" w:cs="Arial"/>
          <w:sz w:val="24"/>
          <w:szCs w:val="24"/>
        </w:rPr>
        <w:t xml:space="preserve"> </w:t>
      </w:r>
      <w:r w:rsidR="00D96FD0" w:rsidRPr="003A1174">
        <w:rPr>
          <w:rFonts w:ascii="Garamond" w:hAnsi="Garamond" w:cs="Arial"/>
          <w:sz w:val="24"/>
          <w:szCs w:val="24"/>
        </w:rPr>
        <w:t>refere</w:t>
      </w:r>
      <w:r w:rsidR="005777DA" w:rsidRPr="003A1174">
        <w:rPr>
          <w:rFonts w:ascii="Garamond" w:hAnsi="Garamond" w:cs="Arial"/>
          <w:sz w:val="24"/>
          <w:szCs w:val="24"/>
        </w:rPr>
        <w:t xml:space="preserve"> diversos </w:t>
      </w:r>
      <w:r w:rsidR="00C30647" w:rsidRPr="003A1174">
        <w:rPr>
          <w:rFonts w:ascii="Garamond" w:hAnsi="Garamond" w:cs="Arial"/>
          <w:sz w:val="24"/>
          <w:szCs w:val="24"/>
        </w:rPr>
        <w:t>esforço</w:t>
      </w:r>
      <w:r w:rsidR="005777DA" w:rsidRPr="003A1174">
        <w:rPr>
          <w:rFonts w:ascii="Garamond" w:hAnsi="Garamond" w:cs="Arial"/>
          <w:sz w:val="24"/>
          <w:szCs w:val="24"/>
        </w:rPr>
        <w:t xml:space="preserve">s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2C7510" w:rsidRPr="003A1174">
        <w:rPr>
          <w:rFonts w:ascii="Garamond" w:hAnsi="Garamond" w:cs="Arial"/>
          <w:sz w:val="24"/>
          <w:szCs w:val="24"/>
        </w:rPr>
        <w:t>ações</w:t>
      </w:r>
      <w:r w:rsidR="005777DA" w:rsidRPr="003A1174">
        <w:rPr>
          <w:rFonts w:ascii="Garamond" w:hAnsi="Garamond" w:cs="Arial"/>
          <w:sz w:val="24"/>
          <w:szCs w:val="24"/>
        </w:rPr>
        <w:t xml:space="preserve"> </w:t>
      </w:r>
      <w:r w:rsidRPr="003A1174">
        <w:rPr>
          <w:rFonts w:ascii="Garamond" w:hAnsi="Garamond" w:cs="Arial"/>
          <w:sz w:val="24"/>
          <w:szCs w:val="24"/>
        </w:rPr>
        <w:t>que empreendem</w:t>
      </w:r>
      <w:r w:rsidR="00F22458">
        <w:rPr>
          <w:rFonts w:ascii="Garamond" w:hAnsi="Garamond" w:cs="Arial"/>
          <w:sz w:val="24"/>
          <w:szCs w:val="24"/>
        </w:rPr>
        <w:t xml:space="preserve">, no </w:t>
      </w:r>
      <w:r w:rsidR="00455061">
        <w:rPr>
          <w:rFonts w:ascii="Garamond" w:hAnsi="Garamond" w:cs="Arial"/>
          <w:sz w:val="24"/>
          <w:szCs w:val="24"/>
        </w:rPr>
        <w:t xml:space="preserve">que </w:t>
      </w:r>
      <w:r w:rsidR="00F22458">
        <w:rPr>
          <w:rFonts w:ascii="Garamond" w:hAnsi="Garamond" w:cs="Arial"/>
          <w:sz w:val="24"/>
          <w:szCs w:val="24"/>
        </w:rPr>
        <w:t>respeita à</w:t>
      </w:r>
      <w:r w:rsidRPr="003A1174">
        <w:rPr>
          <w:rFonts w:ascii="Garamond" w:hAnsi="Garamond" w:cs="Arial"/>
          <w:sz w:val="24"/>
          <w:szCs w:val="24"/>
        </w:rPr>
        <w:t xml:space="preserve"> </w:t>
      </w:r>
      <w:r w:rsidR="00886D6A" w:rsidRPr="003A1174">
        <w:rPr>
          <w:rFonts w:ascii="Garamond" w:hAnsi="Garamond" w:cs="Arial"/>
          <w:sz w:val="24"/>
          <w:szCs w:val="24"/>
        </w:rPr>
        <w:t>proteção</w:t>
      </w:r>
      <w:r w:rsidR="005777DA" w:rsidRPr="003A1174">
        <w:rPr>
          <w:rFonts w:ascii="Garamond" w:hAnsi="Garamond" w:cs="Arial"/>
          <w:sz w:val="24"/>
          <w:szCs w:val="24"/>
        </w:rPr>
        <w:t xml:space="preserve"> </w:t>
      </w:r>
      <w:r w:rsidR="00497503" w:rsidRPr="003A1174">
        <w:rPr>
          <w:rFonts w:ascii="Garamond" w:hAnsi="Garamond" w:cs="Arial"/>
          <w:sz w:val="24"/>
          <w:szCs w:val="24"/>
        </w:rPr>
        <w:t>dos</w:t>
      </w:r>
      <w:r w:rsidR="005777DA" w:rsidRPr="003A1174">
        <w:rPr>
          <w:rFonts w:ascii="Garamond" w:hAnsi="Garamond" w:cs="Arial"/>
          <w:sz w:val="24"/>
          <w:szCs w:val="24"/>
        </w:rPr>
        <w:t xml:space="preserve"> </w:t>
      </w:r>
      <w:r w:rsidR="00886D6A" w:rsidRPr="003A1174">
        <w:rPr>
          <w:rFonts w:ascii="Garamond" w:hAnsi="Garamond" w:cs="Arial"/>
          <w:sz w:val="24"/>
          <w:szCs w:val="24"/>
        </w:rPr>
        <w:t>direito</w:t>
      </w:r>
      <w:r w:rsidR="005777DA" w:rsidRPr="003A1174">
        <w:rPr>
          <w:rFonts w:ascii="Garamond" w:hAnsi="Garamond" w:cs="Arial"/>
          <w:sz w:val="24"/>
          <w:szCs w:val="24"/>
        </w:rPr>
        <w:t>s humanos</w:t>
      </w:r>
      <w:r w:rsidR="00F22458">
        <w:rPr>
          <w:rFonts w:ascii="Garamond" w:hAnsi="Garamond" w:cs="Arial"/>
          <w:sz w:val="24"/>
          <w:szCs w:val="24"/>
        </w:rPr>
        <w:t>,</w:t>
      </w:r>
      <w:r w:rsidR="005777DA" w:rsidRPr="003A1174">
        <w:rPr>
          <w:rFonts w:ascii="Garamond" w:hAnsi="Garamond" w:cs="Arial"/>
          <w:sz w:val="24"/>
          <w:szCs w:val="24"/>
        </w:rPr>
        <w:t xml:space="preserve"> e</w:t>
      </w:r>
      <w:r w:rsidRPr="003A1174">
        <w:rPr>
          <w:rFonts w:ascii="Garamond" w:hAnsi="Garamond" w:cs="Arial"/>
          <w:sz w:val="24"/>
          <w:szCs w:val="24"/>
        </w:rPr>
        <w:t>m</w:t>
      </w:r>
      <w:r w:rsidR="005777DA" w:rsidRPr="003A1174">
        <w:rPr>
          <w:rFonts w:ascii="Garamond" w:hAnsi="Garamond" w:cs="Arial"/>
          <w:sz w:val="24"/>
          <w:szCs w:val="24"/>
        </w:rPr>
        <w:t xml:space="preserve"> </w:t>
      </w:r>
      <w:r w:rsidR="00077461" w:rsidRPr="003A1174">
        <w:rPr>
          <w:rFonts w:ascii="Garamond" w:hAnsi="Garamond" w:cs="Arial"/>
          <w:sz w:val="24"/>
          <w:szCs w:val="24"/>
        </w:rPr>
        <w:t>geral</w:t>
      </w:r>
      <w:r w:rsidR="00F22458">
        <w:rPr>
          <w:rFonts w:ascii="Garamond" w:hAnsi="Garamond" w:cs="Arial"/>
          <w:sz w:val="24"/>
          <w:szCs w:val="24"/>
        </w:rPr>
        <w:t>,</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3F3D1F" w:rsidRPr="003A1174">
        <w:rPr>
          <w:rFonts w:ascii="Garamond" w:hAnsi="Garamond" w:cs="Arial"/>
          <w:sz w:val="24"/>
          <w:szCs w:val="24"/>
        </w:rPr>
        <w:t>d</w:t>
      </w:r>
      <w:r w:rsidR="005777DA" w:rsidRPr="003A1174">
        <w:rPr>
          <w:rFonts w:ascii="Garamond" w:hAnsi="Garamond" w:cs="Arial"/>
          <w:sz w:val="24"/>
          <w:szCs w:val="24"/>
        </w:rPr>
        <w:t>aquel</w:t>
      </w:r>
      <w:r w:rsidRPr="003A1174">
        <w:rPr>
          <w:rFonts w:ascii="Garamond" w:hAnsi="Garamond" w:cs="Arial"/>
          <w:sz w:val="24"/>
          <w:szCs w:val="24"/>
        </w:rPr>
        <w:t>e</w:t>
      </w:r>
      <w:r w:rsidR="005777DA" w:rsidRPr="003A1174">
        <w:rPr>
          <w:rFonts w:ascii="Garamond" w:hAnsi="Garamond" w:cs="Arial"/>
          <w:sz w:val="24"/>
          <w:szCs w:val="24"/>
        </w:rPr>
        <w:t xml:space="preserve">s que </w:t>
      </w:r>
      <w:r w:rsidRPr="003A1174">
        <w:rPr>
          <w:rFonts w:ascii="Garamond" w:hAnsi="Garamond" w:cs="Arial"/>
          <w:sz w:val="24"/>
          <w:szCs w:val="24"/>
        </w:rPr>
        <w:t>dizem respeito à</w:t>
      </w:r>
      <w:r w:rsidR="005777DA" w:rsidRPr="003A1174">
        <w:rPr>
          <w:rFonts w:ascii="Garamond" w:hAnsi="Garamond" w:cs="Arial"/>
          <w:sz w:val="24"/>
          <w:szCs w:val="24"/>
        </w:rPr>
        <w:t xml:space="preserve">s </w:t>
      </w:r>
      <w:r w:rsidR="00054EE0" w:rsidRPr="003A1174">
        <w:rPr>
          <w:rFonts w:ascii="Garamond" w:hAnsi="Garamond" w:cs="Arial"/>
          <w:sz w:val="24"/>
          <w:szCs w:val="24"/>
        </w:rPr>
        <w:t>mulheres</w:t>
      </w:r>
      <w:r w:rsidR="00F22458">
        <w:rPr>
          <w:rFonts w:ascii="Garamond" w:hAnsi="Garamond" w:cs="Arial"/>
          <w:sz w:val="24"/>
          <w:szCs w:val="24"/>
        </w:rPr>
        <w:t>,</w:t>
      </w:r>
      <w:r w:rsidR="005777DA" w:rsidRPr="003A1174">
        <w:rPr>
          <w:rFonts w:ascii="Garamond" w:hAnsi="Garamond" w:cs="Arial"/>
          <w:sz w:val="24"/>
          <w:szCs w:val="24"/>
        </w:rPr>
        <w:t xml:space="preserve"> e</w:t>
      </w:r>
      <w:r w:rsidRPr="003A1174">
        <w:rPr>
          <w:rFonts w:ascii="Garamond" w:hAnsi="Garamond" w:cs="Arial"/>
          <w:sz w:val="24"/>
          <w:szCs w:val="24"/>
        </w:rPr>
        <w:t>m</w:t>
      </w:r>
      <w:r w:rsidR="005777DA" w:rsidRPr="003A1174">
        <w:rPr>
          <w:rFonts w:ascii="Garamond" w:hAnsi="Garamond" w:cs="Arial"/>
          <w:sz w:val="24"/>
          <w:szCs w:val="24"/>
        </w:rPr>
        <w:t xml:space="preserve"> especial</w:t>
      </w:r>
      <w:r w:rsidR="003F3D1F" w:rsidRPr="003A1174">
        <w:rPr>
          <w:rFonts w:ascii="Garamond" w:hAnsi="Garamond" w:cs="Arial"/>
          <w:sz w:val="24"/>
          <w:szCs w:val="24"/>
        </w:rPr>
        <w:t>;</w:t>
      </w:r>
      <w:r w:rsidR="005777DA" w:rsidRPr="003A1174">
        <w:rPr>
          <w:rFonts w:ascii="Garamond" w:hAnsi="Garamond" w:cs="Arial"/>
          <w:sz w:val="24"/>
          <w:szCs w:val="24"/>
        </w:rPr>
        <w:t xml:space="preserve"> </w:t>
      </w:r>
      <w:r w:rsidR="00455061">
        <w:rPr>
          <w:rFonts w:ascii="Garamond" w:hAnsi="Garamond" w:cs="Arial"/>
          <w:sz w:val="24"/>
          <w:szCs w:val="24"/>
        </w:rPr>
        <w:t xml:space="preserve">projeto </w:t>
      </w:r>
      <w:r w:rsidR="005777DA" w:rsidRPr="003A1174">
        <w:rPr>
          <w:rFonts w:ascii="Garamond" w:hAnsi="Garamond" w:cs="Arial"/>
          <w:sz w:val="24"/>
          <w:szCs w:val="24"/>
        </w:rPr>
        <w:t>e</w:t>
      </w:r>
      <w:r w:rsidRPr="003A1174">
        <w:rPr>
          <w:rFonts w:ascii="Garamond" w:hAnsi="Garamond" w:cs="Arial"/>
          <w:sz w:val="24"/>
          <w:szCs w:val="24"/>
        </w:rPr>
        <w:t>m</w:t>
      </w:r>
      <w:r w:rsidR="003F3D1F" w:rsidRPr="003A1174">
        <w:rPr>
          <w:rFonts w:ascii="Garamond" w:hAnsi="Garamond" w:cs="Arial"/>
          <w:sz w:val="24"/>
          <w:szCs w:val="24"/>
        </w:rPr>
        <w:t xml:space="preserve"> </w:t>
      </w:r>
      <w:r w:rsidR="005777DA" w:rsidRPr="003A1174">
        <w:rPr>
          <w:rFonts w:ascii="Garamond" w:hAnsi="Garamond" w:cs="Arial"/>
          <w:sz w:val="24"/>
          <w:szCs w:val="24"/>
        </w:rPr>
        <w:t xml:space="preserve">que </w:t>
      </w:r>
      <w:r w:rsidR="00175015" w:rsidRPr="003A1174">
        <w:rPr>
          <w:rFonts w:ascii="Garamond" w:hAnsi="Garamond" w:cs="Arial"/>
          <w:sz w:val="24"/>
          <w:szCs w:val="24"/>
        </w:rPr>
        <w:t xml:space="preserve">está delineado o </w:t>
      </w:r>
      <w:r w:rsidR="00046E19" w:rsidRPr="003A1174">
        <w:rPr>
          <w:rFonts w:ascii="Garamond" w:hAnsi="Garamond" w:cs="Arial"/>
          <w:sz w:val="24"/>
          <w:szCs w:val="24"/>
        </w:rPr>
        <w:t>emprego</w:t>
      </w:r>
      <w:r w:rsidR="005777DA" w:rsidRPr="003A1174">
        <w:rPr>
          <w:rFonts w:ascii="Garamond" w:hAnsi="Garamond" w:cs="Arial"/>
          <w:sz w:val="24"/>
          <w:szCs w:val="24"/>
        </w:rPr>
        <w:t xml:space="preserve"> de instrumentos </w:t>
      </w:r>
      <w:r w:rsidR="00EF645F" w:rsidRPr="003A1174">
        <w:rPr>
          <w:rFonts w:ascii="Garamond" w:hAnsi="Garamond" w:cs="Arial"/>
          <w:sz w:val="24"/>
          <w:szCs w:val="24"/>
        </w:rPr>
        <w:t>internacionais</w:t>
      </w:r>
      <w:r w:rsidR="005777DA" w:rsidRPr="003A1174">
        <w:rPr>
          <w:rFonts w:ascii="Garamond" w:hAnsi="Garamond" w:cs="Arial"/>
          <w:sz w:val="24"/>
          <w:szCs w:val="24"/>
        </w:rPr>
        <w:t xml:space="preserve">. </w:t>
      </w:r>
      <w:r w:rsidR="00175015" w:rsidRPr="003A1174">
        <w:rPr>
          <w:rFonts w:ascii="Garamond" w:hAnsi="Garamond" w:cs="Arial"/>
          <w:sz w:val="24"/>
          <w:szCs w:val="24"/>
        </w:rPr>
        <w:t xml:space="preserve">Também se refere </w:t>
      </w:r>
      <w:r w:rsidR="005777DA" w:rsidRPr="003A1174">
        <w:rPr>
          <w:rFonts w:ascii="Garamond" w:hAnsi="Garamond" w:cs="Arial"/>
          <w:sz w:val="24"/>
          <w:szCs w:val="24"/>
        </w:rPr>
        <w:t>que</w:t>
      </w:r>
      <w:r w:rsidR="00F22458">
        <w:rPr>
          <w:rFonts w:ascii="Garamond" w:hAnsi="Garamond" w:cs="Arial"/>
          <w:sz w:val="24"/>
          <w:szCs w:val="24"/>
        </w:rPr>
        <w:t>,</w:t>
      </w:r>
      <w:r w:rsidR="005777DA" w:rsidRPr="003A1174">
        <w:rPr>
          <w:rFonts w:ascii="Garamond" w:hAnsi="Garamond" w:cs="Arial"/>
          <w:sz w:val="24"/>
          <w:szCs w:val="24"/>
        </w:rPr>
        <w:t xml:space="preserve"> </w:t>
      </w:r>
      <w:r w:rsidRPr="003A1174">
        <w:rPr>
          <w:rFonts w:ascii="Garamond" w:hAnsi="Garamond" w:cs="Arial"/>
          <w:sz w:val="24"/>
          <w:szCs w:val="24"/>
        </w:rPr>
        <w:t>per</w:t>
      </w:r>
      <w:r w:rsidR="005777DA" w:rsidRPr="003A1174">
        <w:rPr>
          <w:rFonts w:ascii="Garamond" w:hAnsi="Garamond" w:cs="Arial"/>
          <w:sz w:val="24"/>
          <w:szCs w:val="24"/>
        </w:rPr>
        <w:t xml:space="preserve">ante </w:t>
      </w:r>
      <w:r w:rsidRPr="003A1174">
        <w:rPr>
          <w:rFonts w:ascii="Garamond" w:hAnsi="Garamond" w:cs="Arial"/>
          <w:sz w:val="24"/>
          <w:szCs w:val="24"/>
        </w:rPr>
        <w:t>queixa</w:t>
      </w:r>
      <w:r w:rsidR="00175015" w:rsidRPr="003A1174">
        <w:rPr>
          <w:rFonts w:ascii="Garamond" w:hAnsi="Garamond" w:cs="Arial"/>
          <w:sz w:val="24"/>
          <w:szCs w:val="24"/>
        </w:rPr>
        <w:t>s formuladas</w:t>
      </w:r>
      <w:r w:rsidR="005777DA" w:rsidRPr="003A1174">
        <w:rPr>
          <w:rFonts w:ascii="Garamond" w:hAnsi="Garamond" w:cs="Arial"/>
          <w:sz w:val="24"/>
          <w:szCs w:val="24"/>
        </w:rPr>
        <w:t xml:space="preserve"> e</w:t>
      </w:r>
      <w:r w:rsidRPr="003A1174">
        <w:rPr>
          <w:rFonts w:ascii="Garamond" w:hAnsi="Garamond" w:cs="Arial"/>
          <w:sz w:val="24"/>
          <w:szCs w:val="24"/>
        </w:rPr>
        <w:t>m</w:t>
      </w:r>
      <w:r w:rsidR="005777DA" w:rsidRPr="003A1174">
        <w:rPr>
          <w:rFonts w:ascii="Garamond" w:hAnsi="Garamond" w:cs="Arial"/>
          <w:sz w:val="24"/>
          <w:szCs w:val="24"/>
        </w:rPr>
        <w:t xml:space="preserve"> 2013</w:t>
      </w:r>
      <w:r w:rsidR="00F22458">
        <w:rPr>
          <w:rFonts w:ascii="Garamond" w:hAnsi="Garamond" w:cs="Arial"/>
          <w:sz w:val="24"/>
          <w:szCs w:val="24"/>
        </w:rPr>
        <w:t>,</w:t>
      </w:r>
      <w:r w:rsidR="005777DA" w:rsidRPr="003A1174">
        <w:rPr>
          <w:rFonts w:ascii="Garamond" w:hAnsi="Garamond" w:cs="Arial"/>
          <w:sz w:val="24"/>
          <w:szCs w:val="24"/>
        </w:rPr>
        <w:t xml:space="preserve"> </w:t>
      </w:r>
      <w:r w:rsidR="00F22458">
        <w:rPr>
          <w:rFonts w:ascii="Garamond" w:hAnsi="Garamond" w:cs="Arial"/>
          <w:sz w:val="24"/>
          <w:szCs w:val="24"/>
        </w:rPr>
        <w:t xml:space="preserve">foram emitidas </w:t>
      </w:r>
      <w:r w:rsidR="005777DA" w:rsidRPr="003A1174">
        <w:rPr>
          <w:rFonts w:ascii="Garamond" w:hAnsi="Garamond" w:cs="Arial"/>
          <w:sz w:val="24"/>
          <w:szCs w:val="24"/>
        </w:rPr>
        <w:t xml:space="preserve">464 </w:t>
      </w:r>
      <w:r w:rsidR="008E7A2A" w:rsidRPr="003A1174">
        <w:rPr>
          <w:rFonts w:ascii="Garamond" w:hAnsi="Garamond" w:cs="Arial"/>
          <w:sz w:val="24"/>
          <w:szCs w:val="24"/>
        </w:rPr>
        <w:t>recomendações</w:t>
      </w:r>
      <w:r w:rsidR="005777DA" w:rsidRPr="003A1174">
        <w:rPr>
          <w:rFonts w:ascii="Garamond" w:hAnsi="Garamond" w:cs="Arial"/>
          <w:sz w:val="24"/>
          <w:szCs w:val="24"/>
        </w:rPr>
        <w:t xml:space="preserve">, </w:t>
      </w:r>
      <w:r w:rsidR="00497503" w:rsidRPr="003A1174">
        <w:rPr>
          <w:rFonts w:ascii="Garamond" w:hAnsi="Garamond" w:cs="Arial"/>
          <w:sz w:val="24"/>
          <w:szCs w:val="24"/>
        </w:rPr>
        <w:t>das</w:t>
      </w:r>
      <w:r w:rsidR="005777DA" w:rsidRPr="003A1174">
        <w:rPr>
          <w:rFonts w:ascii="Garamond" w:hAnsi="Garamond" w:cs="Arial"/>
          <w:sz w:val="24"/>
          <w:szCs w:val="24"/>
        </w:rPr>
        <w:t xml:space="preserve"> </w:t>
      </w:r>
      <w:r w:rsidR="00B936A7" w:rsidRPr="003A1174">
        <w:rPr>
          <w:rFonts w:ascii="Garamond" w:hAnsi="Garamond" w:cs="Arial"/>
          <w:sz w:val="24"/>
          <w:szCs w:val="24"/>
        </w:rPr>
        <w:t>quais</w:t>
      </w:r>
      <w:r w:rsidR="005777DA" w:rsidRPr="003A1174">
        <w:rPr>
          <w:rFonts w:ascii="Garamond" w:hAnsi="Garamond" w:cs="Arial"/>
          <w:sz w:val="24"/>
          <w:szCs w:val="24"/>
        </w:rPr>
        <w:t xml:space="preserve"> 107 f</w:t>
      </w:r>
      <w:r w:rsidRPr="003A1174">
        <w:rPr>
          <w:rFonts w:ascii="Garamond" w:hAnsi="Garamond" w:cs="Arial"/>
          <w:sz w:val="24"/>
          <w:szCs w:val="24"/>
        </w:rPr>
        <w:t xml:space="preserve">oram </w:t>
      </w:r>
      <w:r w:rsidR="00175015" w:rsidRPr="003A1174">
        <w:rPr>
          <w:rFonts w:ascii="Garamond" w:hAnsi="Garamond" w:cs="Arial"/>
          <w:sz w:val="24"/>
          <w:szCs w:val="24"/>
        </w:rPr>
        <w:t>considera</w:t>
      </w:r>
      <w:r w:rsidR="00F22458">
        <w:rPr>
          <w:rFonts w:ascii="Garamond" w:hAnsi="Garamond" w:cs="Arial"/>
          <w:sz w:val="24"/>
          <w:szCs w:val="24"/>
        </w:rPr>
        <w:t>das</w:t>
      </w:r>
      <w:r w:rsidR="00175015" w:rsidRPr="003A1174">
        <w:rPr>
          <w:rFonts w:ascii="Garamond" w:hAnsi="Garamond" w:cs="Arial"/>
          <w:sz w:val="24"/>
          <w:szCs w:val="24"/>
        </w:rPr>
        <w:t xml:space="preserve"> </w:t>
      </w:r>
      <w:r w:rsidR="002F62B0" w:rsidRPr="003A1174">
        <w:rPr>
          <w:rFonts w:ascii="Garamond" w:hAnsi="Garamond" w:cs="Arial"/>
          <w:sz w:val="24"/>
          <w:szCs w:val="24"/>
        </w:rPr>
        <w:t>violações</w:t>
      </w:r>
      <w:r w:rsidR="005777DA" w:rsidRPr="003A1174">
        <w:rPr>
          <w:rFonts w:ascii="Garamond" w:hAnsi="Garamond" w:cs="Arial"/>
          <w:sz w:val="24"/>
          <w:szCs w:val="24"/>
        </w:rPr>
        <w:t xml:space="preserve"> aos </w:t>
      </w:r>
      <w:r w:rsidR="00886D6A" w:rsidRPr="003A1174">
        <w:rPr>
          <w:rFonts w:ascii="Garamond" w:hAnsi="Garamond" w:cs="Arial"/>
          <w:sz w:val="24"/>
          <w:szCs w:val="24"/>
        </w:rPr>
        <w:t>direito</w:t>
      </w:r>
      <w:r w:rsidR="005777DA" w:rsidRPr="003A1174">
        <w:rPr>
          <w:rFonts w:ascii="Garamond" w:hAnsi="Garamond" w:cs="Arial"/>
          <w:sz w:val="24"/>
          <w:szCs w:val="24"/>
        </w:rPr>
        <w:t xml:space="preserve">s humanos </w:t>
      </w:r>
      <w:r w:rsidR="003F3D1F" w:rsidRPr="003A1174">
        <w:rPr>
          <w:rFonts w:ascii="Garamond" w:hAnsi="Garamond" w:cs="Arial"/>
          <w:sz w:val="24"/>
          <w:szCs w:val="24"/>
        </w:rPr>
        <w:t xml:space="preserve">de </w:t>
      </w:r>
      <w:r w:rsidR="00054EE0" w:rsidRPr="003A1174">
        <w:rPr>
          <w:rFonts w:ascii="Garamond" w:hAnsi="Garamond" w:cs="Arial"/>
          <w:sz w:val="24"/>
          <w:szCs w:val="24"/>
        </w:rPr>
        <w:lastRenderedPageBreak/>
        <w:t>mulheres</w:t>
      </w:r>
      <w:r w:rsidR="005777DA" w:rsidRPr="003A1174">
        <w:rPr>
          <w:rFonts w:ascii="Garamond" w:hAnsi="Garamond" w:cs="Arial"/>
          <w:sz w:val="24"/>
          <w:szCs w:val="24"/>
        </w:rPr>
        <w:t xml:space="preserve">; </w:t>
      </w:r>
      <w:r w:rsidR="00497503" w:rsidRPr="003A1174">
        <w:rPr>
          <w:rFonts w:ascii="Garamond" w:hAnsi="Garamond" w:cs="Arial"/>
          <w:sz w:val="24"/>
          <w:szCs w:val="24"/>
        </w:rPr>
        <w:t>e</w:t>
      </w:r>
      <w:r w:rsidR="005777DA" w:rsidRPr="003A1174">
        <w:rPr>
          <w:rFonts w:ascii="Garamond" w:hAnsi="Garamond" w:cs="Arial"/>
          <w:sz w:val="24"/>
          <w:szCs w:val="24"/>
        </w:rPr>
        <w:t xml:space="preserve"> </w:t>
      </w:r>
      <w:r w:rsidR="00175015" w:rsidRPr="003A1174">
        <w:rPr>
          <w:rFonts w:ascii="Garamond" w:hAnsi="Garamond" w:cs="Arial"/>
          <w:sz w:val="24"/>
          <w:szCs w:val="24"/>
        </w:rPr>
        <w:t xml:space="preserve">até </w:t>
      </w:r>
      <w:r w:rsidR="009E3E55" w:rsidRPr="003A1174">
        <w:rPr>
          <w:rFonts w:ascii="Garamond" w:hAnsi="Garamond" w:cs="Arial"/>
          <w:sz w:val="24"/>
          <w:szCs w:val="24"/>
        </w:rPr>
        <w:t>julho</w:t>
      </w:r>
      <w:r w:rsidR="005777DA" w:rsidRPr="003A1174">
        <w:rPr>
          <w:rFonts w:ascii="Garamond" w:hAnsi="Garamond" w:cs="Arial"/>
          <w:sz w:val="24"/>
          <w:szCs w:val="24"/>
        </w:rPr>
        <w:t xml:space="preserve"> de 2014 </w:t>
      </w:r>
      <w:r w:rsidR="00175015" w:rsidRPr="003A1174">
        <w:rPr>
          <w:rFonts w:ascii="Garamond" w:hAnsi="Garamond" w:cs="Arial"/>
          <w:sz w:val="24"/>
          <w:szCs w:val="24"/>
        </w:rPr>
        <w:t>tinha</w:t>
      </w:r>
      <w:r w:rsidR="00F22458">
        <w:rPr>
          <w:rFonts w:ascii="Garamond" w:hAnsi="Garamond" w:cs="Arial"/>
          <w:sz w:val="24"/>
          <w:szCs w:val="24"/>
        </w:rPr>
        <w:t>m sido</w:t>
      </w:r>
      <w:r w:rsidR="005777DA" w:rsidRPr="003A1174">
        <w:rPr>
          <w:rFonts w:ascii="Garamond" w:hAnsi="Garamond" w:cs="Arial"/>
          <w:sz w:val="24"/>
          <w:szCs w:val="24"/>
        </w:rPr>
        <w:t xml:space="preserve"> emitid</w:t>
      </w:r>
      <w:r w:rsidR="00F22458">
        <w:rPr>
          <w:rFonts w:ascii="Garamond" w:hAnsi="Garamond" w:cs="Arial"/>
          <w:sz w:val="24"/>
          <w:szCs w:val="24"/>
        </w:rPr>
        <w:t>as</w:t>
      </w:r>
      <w:r w:rsidR="005777DA" w:rsidRPr="003A1174">
        <w:rPr>
          <w:rFonts w:ascii="Garamond" w:hAnsi="Garamond" w:cs="Arial"/>
          <w:sz w:val="24"/>
          <w:szCs w:val="24"/>
        </w:rPr>
        <w:t xml:space="preserve"> 174 </w:t>
      </w:r>
      <w:r w:rsidR="008E7A2A" w:rsidRPr="003A1174">
        <w:rPr>
          <w:rFonts w:ascii="Garamond" w:hAnsi="Garamond" w:cs="Arial"/>
          <w:sz w:val="24"/>
          <w:szCs w:val="24"/>
        </w:rPr>
        <w:t>recomendações</w:t>
      </w:r>
      <w:r w:rsidR="003F3D1F" w:rsidRPr="003A1174">
        <w:rPr>
          <w:rFonts w:ascii="Garamond" w:hAnsi="Garamond" w:cs="Arial"/>
          <w:sz w:val="24"/>
          <w:szCs w:val="24"/>
        </w:rPr>
        <w:t>,</w:t>
      </w:r>
      <w:r w:rsidR="005777DA" w:rsidRPr="003A1174">
        <w:rPr>
          <w:rFonts w:ascii="Garamond" w:hAnsi="Garamond" w:cs="Arial"/>
          <w:sz w:val="24"/>
          <w:szCs w:val="24"/>
        </w:rPr>
        <w:t xml:space="preserve"> </w:t>
      </w:r>
      <w:r w:rsidR="00497503" w:rsidRPr="003A1174">
        <w:rPr>
          <w:rFonts w:ascii="Garamond" w:hAnsi="Garamond" w:cs="Arial"/>
          <w:sz w:val="24"/>
          <w:szCs w:val="24"/>
        </w:rPr>
        <w:t>das</w:t>
      </w:r>
      <w:r w:rsidR="005777DA" w:rsidRPr="003A1174">
        <w:rPr>
          <w:rFonts w:ascii="Garamond" w:hAnsi="Garamond" w:cs="Arial"/>
          <w:sz w:val="24"/>
          <w:szCs w:val="24"/>
        </w:rPr>
        <w:t xml:space="preserve"> qu</w:t>
      </w:r>
      <w:r w:rsidRPr="003A1174">
        <w:rPr>
          <w:rFonts w:ascii="Garamond" w:hAnsi="Garamond" w:cs="Arial"/>
          <w:sz w:val="24"/>
          <w:szCs w:val="24"/>
        </w:rPr>
        <w:t>ais</w:t>
      </w:r>
      <w:r w:rsidR="005777DA" w:rsidRPr="003A1174">
        <w:rPr>
          <w:rFonts w:ascii="Garamond" w:hAnsi="Garamond" w:cs="Arial"/>
          <w:sz w:val="24"/>
          <w:szCs w:val="24"/>
        </w:rPr>
        <w:t xml:space="preserve"> 71 correspond</w:t>
      </w:r>
      <w:r w:rsidRPr="003A1174">
        <w:rPr>
          <w:rFonts w:ascii="Garamond" w:hAnsi="Garamond" w:cs="Arial"/>
          <w:sz w:val="24"/>
          <w:szCs w:val="24"/>
        </w:rPr>
        <w:t xml:space="preserve">eram à </w:t>
      </w:r>
      <w:r w:rsidR="005777DA" w:rsidRPr="003A1174">
        <w:rPr>
          <w:rFonts w:ascii="Garamond" w:hAnsi="Garamond" w:cs="Arial"/>
          <w:sz w:val="24"/>
          <w:szCs w:val="24"/>
        </w:rPr>
        <w:t xml:space="preserve">problemática da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5777DA" w:rsidRPr="003A1174">
        <w:rPr>
          <w:rFonts w:ascii="Garamond" w:hAnsi="Garamond" w:cs="Arial"/>
          <w:sz w:val="24"/>
          <w:szCs w:val="24"/>
        </w:rPr>
        <w:t xml:space="preserve">as </w:t>
      </w:r>
      <w:r w:rsidR="00054EE0" w:rsidRPr="003A1174">
        <w:rPr>
          <w:rFonts w:ascii="Garamond" w:hAnsi="Garamond" w:cs="Arial"/>
          <w:sz w:val="24"/>
          <w:szCs w:val="24"/>
        </w:rPr>
        <w:t>mulheres</w:t>
      </w:r>
      <w:r w:rsidR="005777DA" w:rsidRPr="003A1174">
        <w:rPr>
          <w:rFonts w:ascii="Garamond" w:hAnsi="Garamond" w:cs="Arial"/>
          <w:sz w:val="24"/>
          <w:szCs w:val="24"/>
        </w:rPr>
        <w:t>.</w:t>
      </w:r>
    </w:p>
    <w:p w:rsidR="00CA39B2" w:rsidRPr="003A1174" w:rsidRDefault="00C30647" w:rsidP="008719D4">
      <w:pPr>
        <w:pStyle w:val="Ttulo3"/>
        <w:spacing w:line="240" w:lineRule="auto"/>
        <w:rPr>
          <w:rFonts w:ascii="Garamond" w:hAnsi="Garamond"/>
          <w:sz w:val="24"/>
          <w:szCs w:val="24"/>
        </w:rPr>
      </w:pPr>
      <w:bookmarkStart w:id="37" w:name="_Toc421529725"/>
      <w:r w:rsidRPr="003A1174">
        <w:rPr>
          <w:rFonts w:ascii="Garamond" w:hAnsi="Garamond"/>
          <w:sz w:val="24"/>
          <w:szCs w:val="24"/>
        </w:rPr>
        <w:t>Paraguai</w:t>
      </w:r>
      <w:bookmarkEnd w:id="37"/>
    </w:p>
    <w:p w:rsidR="00CA39B2" w:rsidRPr="003A1174" w:rsidRDefault="00455061" w:rsidP="008719D4">
      <w:pPr>
        <w:pStyle w:val="Predeterminado"/>
        <w:spacing w:before="240" w:line="240" w:lineRule="auto"/>
        <w:jc w:val="both"/>
        <w:rPr>
          <w:rFonts w:ascii="Garamond" w:hAnsi="Garamond" w:cs="Arial"/>
          <w:color w:val="auto"/>
          <w:sz w:val="24"/>
          <w:szCs w:val="24"/>
          <w:lang w:val="pt-PT"/>
        </w:rPr>
      </w:pPr>
      <w:r>
        <w:rPr>
          <w:rFonts w:ascii="Garamond" w:hAnsi="Garamond" w:cs="Arial"/>
          <w:color w:val="auto"/>
          <w:sz w:val="24"/>
          <w:szCs w:val="24"/>
          <w:lang w:val="pt-PT"/>
        </w:rPr>
        <w:t>O Paraguai r</w:t>
      </w:r>
      <w:r w:rsidR="00D96FD0" w:rsidRPr="003A1174">
        <w:rPr>
          <w:rFonts w:ascii="Garamond" w:hAnsi="Garamond" w:cs="Arial"/>
          <w:color w:val="auto"/>
          <w:sz w:val="24"/>
          <w:szCs w:val="24"/>
          <w:lang w:val="pt-PT"/>
        </w:rPr>
        <w:t>efere</w:t>
      </w:r>
      <w:r>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175015" w:rsidRPr="003A1174">
        <w:rPr>
          <w:rFonts w:ascii="Garamond" w:hAnsi="Garamond" w:cs="Arial"/>
          <w:color w:val="auto"/>
          <w:sz w:val="24"/>
          <w:szCs w:val="24"/>
          <w:lang w:val="pt-PT"/>
        </w:rPr>
        <w:t>apenas</w:t>
      </w:r>
      <w:r>
        <w:rPr>
          <w:rFonts w:ascii="Garamond" w:hAnsi="Garamond" w:cs="Arial"/>
          <w:color w:val="auto"/>
          <w:sz w:val="24"/>
          <w:szCs w:val="24"/>
          <w:lang w:val="pt-PT"/>
        </w:rPr>
        <w:t>,</w:t>
      </w:r>
      <w:r w:rsidR="00175015"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 </w:t>
      </w:r>
      <w:r w:rsidR="007578C6" w:rsidRPr="003A1174">
        <w:rPr>
          <w:rFonts w:ascii="Garamond" w:hAnsi="Garamond" w:cs="Arial"/>
          <w:color w:val="auto"/>
          <w:sz w:val="24"/>
          <w:szCs w:val="24"/>
          <w:lang w:val="pt-PT"/>
        </w:rPr>
        <w:t>existência</w:t>
      </w:r>
      <w:r w:rsidR="00CA39B2" w:rsidRPr="003A1174">
        <w:rPr>
          <w:rFonts w:ascii="Garamond" w:hAnsi="Garamond" w:cs="Arial"/>
          <w:color w:val="auto"/>
          <w:sz w:val="24"/>
          <w:szCs w:val="24"/>
          <w:lang w:val="pt-PT"/>
        </w:rPr>
        <w:t xml:space="preserve"> de u</w:t>
      </w:r>
      <w:r w:rsidR="00175015"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175015" w:rsidRPr="003A1174">
        <w:rPr>
          <w:rFonts w:ascii="Garamond" w:hAnsi="Garamond" w:cs="Arial"/>
          <w:color w:val="auto"/>
          <w:sz w:val="24"/>
          <w:szCs w:val="24"/>
          <w:lang w:val="pt-PT"/>
        </w:rPr>
        <w:t>Observatório</w:t>
      </w:r>
      <w:r w:rsidR="00CA39B2" w:rsidRPr="003A1174">
        <w:rPr>
          <w:rFonts w:ascii="Garamond" w:hAnsi="Garamond" w:cs="Arial"/>
          <w:color w:val="auto"/>
          <w:sz w:val="24"/>
          <w:szCs w:val="24"/>
          <w:lang w:val="pt-PT"/>
        </w:rPr>
        <w:t xml:space="preserve"> de Género d</w:t>
      </w:r>
      <w:r w:rsidR="00EF6A25">
        <w:rPr>
          <w:rFonts w:ascii="Garamond" w:hAnsi="Garamond" w:cs="Arial"/>
          <w:color w:val="auto"/>
          <w:sz w:val="24"/>
          <w:szCs w:val="24"/>
          <w:lang w:val="pt-PT"/>
        </w:rPr>
        <w:t>o</w:t>
      </w:r>
      <w:r w:rsidR="00CA39B2" w:rsidRPr="003A1174">
        <w:rPr>
          <w:rFonts w:ascii="Garamond" w:hAnsi="Garamond" w:cs="Arial"/>
          <w:color w:val="auto"/>
          <w:sz w:val="24"/>
          <w:szCs w:val="24"/>
          <w:lang w:val="pt-PT"/>
        </w:rPr>
        <w:t xml:space="preserve"> Suprem</w:t>
      </w:r>
      <w:r w:rsidR="00EF6A25">
        <w:rPr>
          <w:rFonts w:ascii="Garamond" w:hAnsi="Garamond" w:cs="Arial"/>
          <w:color w:val="auto"/>
          <w:sz w:val="24"/>
          <w:szCs w:val="24"/>
          <w:lang w:val="pt-PT"/>
        </w:rPr>
        <w:t>o</w:t>
      </w:r>
      <w:r w:rsidR="00EB3427">
        <w:rPr>
          <w:rFonts w:ascii="Garamond" w:hAnsi="Garamond" w:cs="Arial"/>
          <w:color w:val="auto"/>
          <w:sz w:val="24"/>
          <w:szCs w:val="24"/>
          <w:lang w:val="pt-PT"/>
        </w:rPr>
        <w:t xml:space="preserve"> </w:t>
      </w:r>
      <w:r w:rsidR="00EF6A25">
        <w:rPr>
          <w:rFonts w:ascii="Garamond" w:hAnsi="Garamond" w:cs="Arial"/>
          <w:color w:val="auto"/>
          <w:sz w:val="24"/>
          <w:szCs w:val="24"/>
          <w:lang w:val="pt-PT"/>
        </w:rPr>
        <w:t>Tribunal</w:t>
      </w:r>
      <w:r w:rsidR="00CA39B2"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3F3D1F"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que </w:t>
      </w:r>
      <w:r w:rsidR="00175015" w:rsidRPr="003A1174">
        <w:rPr>
          <w:rFonts w:ascii="Garamond" w:hAnsi="Garamond" w:cs="Arial"/>
          <w:color w:val="auto"/>
          <w:sz w:val="24"/>
          <w:szCs w:val="24"/>
          <w:lang w:val="pt-PT"/>
        </w:rPr>
        <w:t>dispõe de uma secção</w:t>
      </w:r>
      <w:r w:rsidR="00CA39B2" w:rsidRPr="003A1174">
        <w:rPr>
          <w:rFonts w:ascii="Garamond" w:hAnsi="Garamond" w:cs="Arial"/>
          <w:color w:val="auto"/>
          <w:sz w:val="24"/>
          <w:szCs w:val="24"/>
          <w:lang w:val="pt-PT"/>
        </w:rPr>
        <w:t xml:space="preserve"> dedicada </w:t>
      </w:r>
      <w:r w:rsidR="00175015" w:rsidRPr="003A1174">
        <w:rPr>
          <w:rFonts w:ascii="Garamond" w:hAnsi="Garamond" w:cs="Arial"/>
          <w:color w:val="auto"/>
          <w:sz w:val="24"/>
          <w:szCs w:val="24"/>
          <w:lang w:val="pt-PT"/>
        </w:rPr>
        <w:t xml:space="preserve">à </w:t>
      </w:r>
      <w:r w:rsidR="004C71E0" w:rsidRPr="003A1174">
        <w:rPr>
          <w:rFonts w:ascii="Garamond" w:hAnsi="Garamond" w:cs="Arial"/>
          <w:color w:val="auto"/>
          <w:sz w:val="24"/>
          <w:szCs w:val="24"/>
          <w:lang w:val="pt-PT"/>
        </w:rPr>
        <w:t>atualização</w:t>
      </w:r>
      <w:r w:rsidR="00CA39B2" w:rsidRPr="003A1174">
        <w:rPr>
          <w:rFonts w:ascii="Garamond" w:hAnsi="Garamond" w:cs="Arial"/>
          <w:color w:val="auto"/>
          <w:sz w:val="24"/>
          <w:szCs w:val="24"/>
          <w:lang w:val="pt-PT"/>
        </w:rPr>
        <w:t xml:space="preserve"> de </w:t>
      </w:r>
      <w:r w:rsidR="00175015" w:rsidRPr="003A1174">
        <w:rPr>
          <w:rFonts w:ascii="Garamond" w:hAnsi="Garamond" w:cs="Arial"/>
          <w:color w:val="auto"/>
          <w:sz w:val="24"/>
          <w:szCs w:val="24"/>
          <w:lang w:val="pt-PT"/>
        </w:rPr>
        <w:t>resoluções</w:t>
      </w:r>
      <w:r w:rsidR="00CA39B2" w:rsidRPr="003A1174">
        <w:rPr>
          <w:rFonts w:ascii="Garamond" w:hAnsi="Garamond" w:cs="Arial"/>
          <w:color w:val="auto"/>
          <w:sz w:val="24"/>
          <w:szCs w:val="24"/>
          <w:lang w:val="pt-PT"/>
        </w:rPr>
        <w:t xml:space="preserve"> (</w:t>
      </w:r>
      <w:r w:rsidR="00175015" w:rsidRPr="003A1174">
        <w:rPr>
          <w:rFonts w:ascii="Garamond" w:hAnsi="Garamond" w:cs="Arial"/>
          <w:color w:val="auto"/>
          <w:sz w:val="24"/>
          <w:szCs w:val="24"/>
          <w:lang w:val="pt-PT"/>
        </w:rPr>
        <w:t>processos de medidas provisórias</w:t>
      </w:r>
      <w:r w:rsidR="00CA39B2"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sentença</w:t>
      </w:r>
      <w:r w:rsidR="00CA39B2" w:rsidRPr="003A1174">
        <w:rPr>
          <w:rFonts w:ascii="Garamond" w:hAnsi="Garamond" w:cs="Arial"/>
          <w:color w:val="auto"/>
          <w:sz w:val="24"/>
          <w:szCs w:val="24"/>
          <w:lang w:val="pt-PT"/>
        </w:rPr>
        <w:t xml:space="preserve">s definitivas </w:t>
      </w:r>
      <w:r w:rsidR="00497503"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similares) </w:t>
      </w:r>
      <w:r>
        <w:rPr>
          <w:rFonts w:ascii="Garamond" w:hAnsi="Garamond" w:cs="Arial"/>
          <w:color w:val="auto"/>
          <w:sz w:val="24"/>
          <w:szCs w:val="24"/>
          <w:lang w:val="pt-PT"/>
        </w:rPr>
        <w:t>no âmbito do</w:t>
      </w:r>
      <w:r w:rsidR="00CA39B2" w:rsidRPr="003A1174">
        <w:rPr>
          <w:rFonts w:ascii="Garamond" w:hAnsi="Garamond" w:cs="Arial"/>
          <w:color w:val="auto"/>
          <w:sz w:val="24"/>
          <w:szCs w:val="24"/>
          <w:lang w:val="pt-PT"/>
        </w:rPr>
        <w:t xml:space="preserve"> género.</w:t>
      </w:r>
    </w:p>
    <w:p w:rsidR="00CA39B2" w:rsidRPr="003A1174" w:rsidRDefault="00C30647" w:rsidP="008719D4">
      <w:pPr>
        <w:pStyle w:val="Ttulo3"/>
        <w:spacing w:line="240" w:lineRule="auto"/>
        <w:rPr>
          <w:rFonts w:ascii="Garamond" w:hAnsi="Garamond"/>
          <w:sz w:val="24"/>
          <w:szCs w:val="24"/>
        </w:rPr>
      </w:pPr>
      <w:bookmarkStart w:id="38" w:name="_Toc421529726"/>
      <w:r w:rsidRPr="003A1174">
        <w:rPr>
          <w:rFonts w:ascii="Garamond" w:hAnsi="Garamond"/>
          <w:sz w:val="24"/>
          <w:szCs w:val="24"/>
        </w:rPr>
        <w:t>Peru</w:t>
      </w:r>
      <w:bookmarkEnd w:id="38"/>
    </w:p>
    <w:p w:rsidR="00CA39B2" w:rsidRPr="003A1174" w:rsidRDefault="00455061" w:rsidP="008719D4">
      <w:pPr>
        <w:spacing w:before="240" w:after="0" w:line="240" w:lineRule="auto"/>
        <w:jc w:val="both"/>
        <w:rPr>
          <w:rFonts w:ascii="Garamond" w:hAnsi="Garamond" w:cs="Arial"/>
          <w:sz w:val="24"/>
          <w:szCs w:val="24"/>
        </w:rPr>
      </w:pPr>
      <w:r>
        <w:rPr>
          <w:rFonts w:ascii="Garamond" w:hAnsi="Garamond" w:cs="Arial"/>
          <w:sz w:val="24"/>
          <w:szCs w:val="24"/>
        </w:rPr>
        <w:t>O Peru f</w:t>
      </w:r>
      <w:r w:rsidR="00175015" w:rsidRPr="003A1174">
        <w:rPr>
          <w:rFonts w:ascii="Garamond" w:hAnsi="Garamond" w:cs="Arial"/>
          <w:sz w:val="24"/>
          <w:szCs w:val="24"/>
        </w:rPr>
        <w:t xml:space="preserve">az </w:t>
      </w:r>
      <w:r w:rsidR="00CB5DB2" w:rsidRPr="003A1174">
        <w:rPr>
          <w:rFonts w:ascii="Garamond" w:hAnsi="Garamond" w:cs="Arial"/>
          <w:sz w:val="24"/>
          <w:szCs w:val="24"/>
        </w:rPr>
        <w:t>referência</w:t>
      </w:r>
      <w:r w:rsidR="00CA39B2" w:rsidRPr="003A1174">
        <w:rPr>
          <w:rFonts w:ascii="Garamond" w:hAnsi="Garamond" w:cs="Arial"/>
          <w:sz w:val="24"/>
          <w:szCs w:val="24"/>
        </w:rPr>
        <w:t xml:space="preserve"> a que</w:t>
      </w:r>
      <w:r>
        <w:rPr>
          <w:rFonts w:ascii="Garamond" w:hAnsi="Garamond" w:cs="Arial"/>
          <w:sz w:val="24"/>
          <w:szCs w:val="24"/>
        </w:rPr>
        <w:t>,</w:t>
      </w:r>
      <w:r w:rsidR="00CA39B2" w:rsidRPr="003A1174">
        <w:rPr>
          <w:rFonts w:ascii="Garamond" w:hAnsi="Garamond" w:cs="Arial"/>
          <w:sz w:val="24"/>
          <w:szCs w:val="24"/>
        </w:rPr>
        <w:t xml:space="preserve"> </w:t>
      </w:r>
      <w:r w:rsidR="00175015" w:rsidRPr="003A1174">
        <w:rPr>
          <w:rFonts w:ascii="Garamond" w:hAnsi="Garamond" w:cs="Arial"/>
          <w:sz w:val="24"/>
          <w:szCs w:val="24"/>
        </w:rPr>
        <w:t xml:space="preserve">no </w:t>
      </w:r>
      <w:r w:rsidR="002C7510" w:rsidRPr="003A1174">
        <w:rPr>
          <w:rFonts w:ascii="Garamond" w:hAnsi="Garamond" w:cs="Arial"/>
          <w:sz w:val="24"/>
          <w:szCs w:val="24"/>
        </w:rPr>
        <w:t>ano</w:t>
      </w:r>
      <w:r w:rsidR="00CA39B2" w:rsidRPr="003A1174">
        <w:rPr>
          <w:rFonts w:ascii="Garamond" w:hAnsi="Garamond" w:cs="Arial"/>
          <w:sz w:val="24"/>
          <w:szCs w:val="24"/>
        </w:rPr>
        <w:t xml:space="preserve"> </w:t>
      </w:r>
      <w:r w:rsidR="00175015" w:rsidRPr="003A1174">
        <w:rPr>
          <w:rFonts w:ascii="Garamond" w:hAnsi="Garamond" w:cs="Arial"/>
          <w:sz w:val="24"/>
          <w:szCs w:val="24"/>
        </w:rPr>
        <w:t xml:space="preserve">de </w:t>
      </w:r>
      <w:r w:rsidR="00CA39B2" w:rsidRPr="003A1174">
        <w:rPr>
          <w:rFonts w:ascii="Garamond" w:hAnsi="Garamond" w:cs="Arial"/>
          <w:sz w:val="24"/>
          <w:szCs w:val="24"/>
        </w:rPr>
        <w:t>2011</w:t>
      </w:r>
      <w:r>
        <w:rPr>
          <w:rFonts w:ascii="Garamond" w:hAnsi="Garamond" w:cs="Arial"/>
          <w:sz w:val="24"/>
          <w:szCs w:val="24"/>
        </w:rPr>
        <w:t>,</w:t>
      </w:r>
      <w:r w:rsidR="00CA39B2" w:rsidRPr="003A1174">
        <w:rPr>
          <w:rFonts w:ascii="Garamond" w:hAnsi="Garamond" w:cs="Arial"/>
          <w:sz w:val="24"/>
          <w:szCs w:val="24"/>
        </w:rPr>
        <w:t xml:space="preserve"> </w:t>
      </w:r>
      <w:r w:rsidR="00462B11" w:rsidRPr="003A1174">
        <w:rPr>
          <w:rFonts w:ascii="Garamond" w:hAnsi="Garamond" w:cs="Arial"/>
          <w:sz w:val="24"/>
          <w:szCs w:val="24"/>
        </w:rPr>
        <w:t>foi</w:t>
      </w:r>
      <w:r w:rsidR="00CA39B2" w:rsidRPr="003A1174">
        <w:rPr>
          <w:rFonts w:ascii="Garamond" w:hAnsi="Garamond" w:cs="Arial"/>
          <w:sz w:val="24"/>
          <w:szCs w:val="24"/>
        </w:rPr>
        <w:t xml:space="preserve"> emitido </w:t>
      </w:r>
      <w:r w:rsidR="00275092" w:rsidRPr="003A1174">
        <w:rPr>
          <w:rFonts w:ascii="Garamond" w:hAnsi="Garamond" w:cs="Arial"/>
          <w:sz w:val="24"/>
          <w:szCs w:val="24"/>
        </w:rPr>
        <w:t>pel</w:t>
      </w:r>
      <w:r w:rsidR="00EF6A25">
        <w:rPr>
          <w:rFonts w:ascii="Garamond" w:hAnsi="Garamond" w:cs="Arial"/>
          <w:sz w:val="24"/>
          <w:szCs w:val="24"/>
        </w:rPr>
        <w:t>o</w:t>
      </w:r>
      <w:r w:rsidR="00CA39B2" w:rsidRPr="003A1174">
        <w:rPr>
          <w:rFonts w:ascii="Garamond" w:hAnsi="Garamond" w:cs="Arial"/>
          <w:sz w:val="24"/>
          <w:szCs w:val="24"/>
        </w:rPr>
        <w:t xml:space="preserve"> Suprem</w:t>
      </w:r>
      <w:r w:rsidR="00EF6A25">
        <w:rPr>
          <w:rFonts w:ascii="Garamond" w:hAnsi="Garamond" w:cs="Arial"/>
          <w:sz w:val="24"/>
          <w:szCs w:val="24"/>
        </w:rPr>
        <w:t>o Tribunal</w:t>
      </w:r>
      <w:r w:rsidR="00CA39B2" w:rsidRPr="003A1174">
        <w:rPr>
          <w:rFonts w:ascii="Garamond" w:hAnsi="Garamond" w:cs="Arial"/>
          <w:sz w:val="24"/>
          <w:szCs w:val="24"/>
        </w:rPr>
        <w:t xml:space="preserve"> </w:t>
      </w:r>
      <w:r w:rsidR="00175015" w:rsidRPr="003A1174">
        <w:rPr>
          <w:rFonts w:ascii="Garamond" w:hAnsi="Garamond" w:cs="Arial"/>
          <w:sz w:val="24"/>
          <w:szCs w:val="24"/>
        </w:rPr>
        <w:t xml:space="preserve">o </w:t>
      </w:r>
      <w:r w:rsidR="003F012B" w:rsidRPr="003A1174">
        <w:rPr>
          <w:rFonts w:ascii="Garamond" w:hAnsi="Garamond" w:cs="Arial"/>
          <w:sz w:val="24"/>
          <w:szCs w:val="24"/>
        </w:rPr>
        <w:t>Acordo</w:t>
      </w:r>
      <w:r w:rsidR="00CA39B2" w:rsidRPr="003A1174">
        <w:rPr>
          <w:rFonts w:ascii="Garamond" w:hAnsi="Garamond" w:cs="Arial"/>
          <w:sz w:val="24"/>
          <w:szCs w:val="24"/>
        </w:rPr>
        <w:t xml:space="preserve"> </w:t>
      </w:r>
      <w:r w:rsidR="00175015" w:rsidRPr="003A1174">
        <w:rPr>
          <w:rFonts w:ascii="Garamond" w:hAnsi="Garamond" w:cs="Arial"/>
          <w:sz w:val="24"/>
          <w:szCs w:val="24"/>
        </w:rPr>
        <w:t>Plenário</w:t>
      </w:r>
      <w:r w:rsidR="00CA39B2" w:rsidRPr="003A1174">
        <w:rPr>
          <w:rFonts w:ascii="Garamond" w:hAnsi="Garamond" w:cs="Arial"/>
          <w:sz w:val="24"/>
          <w:szCs w:val="24"/>
        </w:rPr>
        <w:t xml:space="preserve"> 1-2011/CJ-116, sobre </w:t>
      </w:r>
      <w:r>
        <w:rPr>
          <w:rFonts w:ascii="Garamond" w:hAnsi="Garamond" w:cs="Arial"/>
          <w:sz w:val="24"/>
          <w:szCs w:val="24"/>
        </w:rPr>
        <w:t>«</w:t>
      </w:r>
      <w:r w:rsidR="00175015" w:rsidRPr="003A1174">
        <w:rPr>
          <w:rFonts w:ascii="Garamond" w:hAnsi="Garamond" w:cs="Arial"/>
          <w:sz w:val="24"/>
          <w:szCs w:val="24"/>
        </w:rPr>
        <w:t>Apreciação d</w:t>
      </w:r>
      <w:r w:rsidR="00CA39B2" w:rsidRPr="003A1174">
        <w:rPr>
          <w:rFonts w:ascii="Garamond" w:hAnsi="Garamond" w:cs="Arial"/>
          <w:sz w:val="24"/>
          <w:szCs w:val="24"/>
        </w:rPr>
        <w:t xml:space="preserve">a </w:t>
      </w:r>
      <w:r w:rsidR="002B6C5B" w:rsidRPr="003A1174">
        <w:rPr>
          <w:rFonts w:ascii="Garamond" w:hAnsi="Garamond" w:cs="Arial"/>
          <w:sz w:val="24"/>
          <w:szCs w:val="24"/>
        </w:rPr>
        <w:t>prova</w:t>
      </w:r>
      <w:r w:rsidR="00CA39B2" w:rsidRPr="003A1174">
        <w:rPr>
          <w:rFonts w:ascii="Garamond" w:hAnsi="Garamond" w:cs="Arial"/>
          <w:sz w:val="24"/>
          <w:szCs w:val="24"/>
        </w:rPr>
        <w:t xml:space="preserve"> </w:t>
      </w:r>
      <w:r w:rsidR="00175015" w:rsidRPr="003A1174">
        <w:rPr>
          <w:rFonts w:ascii="Garamond" w:hAnsi="Garamond" w:cs="Arial"/>
          <w:sz w:val="24"/>
          <w:szCs w:val="24"/>
        </w:rPr>
        <w:t>n</w:t>
      </w:r>
      <w:r w:rsidR="00CA39B2" w:rsidRPr="003A1174">
        <w:rPr>
          <w:rFonts w:ascii="Garamond" w:hAnsi="Garamond" w:cs="Arial"/>
          <w:sz w:val="24"/>
          <w:szCs w:val="24"/>
        </w:rPr>
        <w:t xml:space="preserve">a </w:t>
      </w:r>
      <w:r w:rsidR="00886D6A" w:rsidRPr="003A1174">
        <w:rPr>
          <w:rFonts w:ascii="Garamond" w:hAnsi="Garamond" w:cs="Arial"/>
          <w:sz w:val="24"/>
          <w:szCs w:val="24"/>
        </w:rPr>
        <w:t>investigação</w:t>
      </w:r>
      <w:r w:rsidR="00CA39B2" w:rsidRPr="003A1174">
        <w:rPr>
          <w:rFonts w:ascii="Garamond" w:hAnsi="Garamond" w:cs="Arial"/>
          <w:sz w:val="24"/>
          <w:szCs w:val="24"/>
        </w:rPr>
        <w:t xml:space="preserve"> de</w:t>
      </w:r>
      <w:r w:rsidR="00175015" w:rsidRPr="003A1174">
        <w:rPr>
          <w:rFonts w:ascii="Garamond" w:hAnsi="Garamond" w:cs="Arial"/>
          <w:sz w:val="24"/>
          <w:szCs w:val="24"/>
        </w:rPr>
        <w:t xml:space="preserve"> delitos contra </w:t>
      </w:r>
      <w:r w:rsidR="00CA39B2" w:rsidRPr="003A1174">
        <w:rPr>
          <w:rFonts w:ascii="Garamond" w:hAnsi="Garamond" w:cs="Arial"/>
          <w:sz w:val="24"/>
          <w:szCs w:val="24"/>
        </w:rPr>
        <w:t xml:space="preserve">a </w:t>
      </w:r>
      <w:r w:rsidR="001B02AD" w:rsidRPr="003A1174">
        <w:rPr>
          <w:rFonts w:ascii="Garamond" w:hAnsi="Garamond" w:cs="Arial"/>
          <w:sz w:val="24"/>
          <w:szCs w:val="24"/>
        </w:rPr>
        <w:t>liberdade</w:t>
      </w:r>
      <w:r w:rsidR="00CA39B2" w:rsidRPr="003A1174">
        <w:rPr>
          <w:rFonts w:ascii="Garamond" w:hAnsi="Garamond" w:cs="Arial"/>
          <w:sz w:val="24"/>
          <w:szCs w:val="24"/>
        </w:rPr>
        <w:t xml:space="preserve"> sexual</w:t>
      </w:r>
      <w:r>
        <w:rPr>
          <w:rFonts w:ascii="Garamond" w:hAnsi="Garamond" w:cs="Arial"/>
          <w:sz w:val="24"/>
          <w:szCs w:val="24"/>
        </w:rPr>
        <w:t>»</w:t>
      </w:r>
      <w:r w:rsidR="00CA39B2" w:rsidRPr="003A1174">
        <w:rPr>
          <w:rFonts w:ascii="Garamond" w:hAnsi="Garamond" w:cs="Arial"/>
          <w:sz w:val="24"/>
          <w:szCs w:val="24"/>
        </w:rPr>
        <w:t xml:space="preserve">. Este instrumento </w:t>
      </w:r>
      <w:r w:rsidR="00175015" w:rsidRPr="003A1174">
        <w:rPr>
          <w:rFonts w:ascii="Garamond" w:hAnsi="Garamond" w:cs="Arial"/>
          <w:sz w:val="24"/>
          <w:szCs w:val="24"/>
        </w:rPr>
        <w:t>apresenta contribuições interessantes</w:t>
      </w:r>
      <w:r>
        <w:rPr>
          <w:rFonts w:ascii="Garamond" w:hAnsi="Garamond" w:cs="Arial"/>
          <w:sz w:val="24"/>
          <w:szCs w:val="24"/>
        </w:rPr>
        <w:t>,</w:t>
      </w:r>
      <w:r w:rsidR="00175015" w:rsidRPr="003A1174">
        <w:rPr>
          <w:rFonts w:ascii="Garamond" w:hAnsi="Garamond" w:cs="Arial"/>
          <w:sz w:val="24"/>
          <w:szCs w:val="24"/>
        </w:rPr>
        <w:t xml:space="preserve"> tais como</w:t>
      </w:r>
      <w:r>
        <w:rPr>
          <w:rFonts w:ascii="Garamond" w:hAnsi="Garamond" w:cs="Arial"/>
          <w:sz w:val="24"/>
          <w:szCs w:val="24"/>
        </w:rPr>
        <w:t>,</w:t>
      </w:r>
      <w:r w:rsidR="00175015" w:rsidRPr="003A1174">
        <w:rPr>
          <w:rFonts w:ascii="Garamond" w:hAnsi="Garamond" w:cs="Arial"/>
          <w:sz w:val="24"/>
          <w:szCs w:val="24"/>
        </w:rPr>
        <w:t xml:space="preserve"> o</w:t>
      </w:r>
      <w:r w:rsidR="00CA39B2" w:rsidRPr="003A1174">
        <w:rPr>
          <w:rFonts w:ascii="Garamond" w:hAnsi="Garamond" w:cs="Arial"/>
          <w:sz w:val="24"/>
          <w:szCs w:val="24"/>
        </w:rPr>
        <w:t xml:space="preserve"> </w:t>
      </w:r>
      <w:r w:rsidR="002D1021" w:rsidRPr="003A1174">
        <w:rPr>
          <w:rFonts w:ascii="Garamond" w:hAnsi="Garamond" w:cs="Arial"/>
          <w:sz w:val="24"/>
          <w:szCs w:val="24"/>
        </w:rPr>
        <w:t>estabelecimento</w:t>
      </w:r>
      <w:r w:rsidR="00CA39B2" w:rsidRPr="003A1174">
        <w:rPr>
          <w:rFonts w:ascii="Garamond" w:hAnsi="Garamond" w:cs="Arial"/>
          <w:sz w:val="24"/>
          <w:szCs w:val="24"/>
        </w:rPr>
        <w:t xml:space="preserve"> de </w:t>
      </w:r>
      <w:r w:rsidR="00175015" w:rsidRPr="003A1174">
        <w:rPr>
          <w:rFonts w:ascii="Garamond" w:hAnsi="Garamond" w:cs="Arial"/>
          <w:sz w:val="24"/>
          <w:szCs w:val="24"/>
        </w:rPr>
        <w:t xml:space="preserve">pressupostos </w:t>
      </w:r>
      <w:r w:rsidR="00CA39B2" w:rsidRPr="003A1174">
        <w:rPr>
          <w:rFonts w:ascii="Garamond" w:hAnsi="Garamond" w:cs="Arial"/>
          <w:sz w:val="24"/>
          <w:szCs w:val="24"/>
        </w:rPr>
        <w:t>de valid</w:t>
      </w:r>
      <w:r w:rsidR="00175015" w:rsidRPr="003A1174">
        <w:rPr>
          <w:rFonts w:ascii="Garamond" w:hAnsi="Garamond" w:cs="Arial"/>
          <w:sz w:val="24"/>
          <w:szCs w:val="24"/>
        </w:rPr>
        <w:t xml:space="preserve">ade </w:t>
      </w:r>
      <w:r w:rsidR="00CA39B2" w:rsidRPr="003A1174">
        <w:rPr>
          <w:rFonts w:ascii="Garamond" w:hAnsi="Garamond" w:cs="Arial"/>
          <w:sz w:val="24"/>
          <w:szCs w:val="24"/>
        </w:rPr>
        <w:t xml:space="preserve">técnica </w:t>
      </w:r>
      <w:r w:rsidR="00497503" w:rsidRPr="003A1174">
        <w:rPr>
          <w:rFonts w:ascii="Garamond" w:hAnsi="Garamond" w:cs="Arial"/>
          <w:sz w:val="24"/>
          <w:szCs w:val="24"/>
        </w:rPr>
        <w:t>e</w:t>
      </w:r>
      <w:r w:rsidR="00CA39B2" w:rsidRPr="003A1174">
        <w:rPr>
          <w:rFonts w:ascii="Garamond" w:hAnsi="Garamond" w:cs="Arial"/>
          <w:sz w:val="24"/>
          <w:szCs w:val="24"/>
        </w:rPr>
        <w:t xml:space="preserve"> científica </w:t>
      </w:r>
      <w:r w:rsidR="00175015" w:rsidRPr="003A1174">
        <w:rPr>
          <w:rFonts w:ascii="Garamond" w:hAnsi="Garamond" w:cs="Arial"/>
          <w:sz w:val="24"/>
          <w:szCs w:val="24"/>
        </w:rPr>
        <w:t>às perícia</w:t>
      </w:r>
      <w:r w:rsidR="00CA39B2" w:rsidRPr="003A1174">
        <w:rPr>
          <w:rFonts w:ascii="Garamond" w:hAnsi="Garamond" w:cs="Arial"/>
          <w:sz w:val="24"/>
          <w:szCs w:val="24"/>
        </w:rPr>
        <w:t xml:space="preserve">s psicológicas realizadas </w:t>
      </w:r>
      <w:r w:rsidR="00175015" w:rsidRPr="003A1174">
        <w:rPr>
          <w:rFonts w:ascii="Garamond" w:hAnsi="Garamond" w:cs="Arial"/>
          <w:sz w:val="24"/>
          <w:szCs w:val="24"/>
        </w:rPr>
        <w:t>à</w:t>
      </w:r>
      <w:r w:rsidR="00CA39B2" w:rsidRPr="003A1174">
        <w:rPr>
          <w:rFonts w:ascii="Garamond" w:hAnsi="Garamond" w:cs="Arial"/>
          <w:sz w:val="24"/>
          <w:szCs w:val="24"/>
        </w:rPr>
        <w:t xml:space="preserve">s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s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sexual</w:t>
      </w:r>
      <w:r w:rsidR="003F3D1F" w:rsidRPr="003A1174">
        <w:rPr>
          <w:rFonts w:ascii="Garamond" w:hAnsi="Garamond" w:cs="Arial"/>
          <w:sz w:val="24"/>
          <w:szCs w:val="24"/>
        </w:rPr>
        <w:t>;</w:t>
      </w:r>
      <w:r w:rsidR="00CA39B2" w:rsidRPr="003A1174">
        <w:rPr>
          <w:rFonts w:ascii="Garamond" w:hAnsi="Garamond" w:cs="Arial"/>
          <w:sz w:val="24"/>
          <w:szCs w:val="24"/>
        </w:rPr>
        <w:t xml:space="preserve"> </w:t>
      </w:r>
      <w:r w:rsidR="00175015" w:rsidRPr="003A1174">
        <w:rPr>
          <w:rFonts w:ascii="Garamond" w:hAnsi="Garamond" w:cs="Arial"/>
          <w:sz w:val="24"/>
          <w:szCs w:val="24"/>
        </w:rPr>
        <w:t xml:space="preserve">o </w:t>
      </w:r>
      <w:r w:rsidR="00175015" w:rsidRPr="003A1174">
        <w:rPr>
          <w:rFonts w:ascii="Garamond" w:hAnsi="Garamond" w:cs="Arial"/>
          <w:i/>
          <w:sz w:val="24"/>
          <w:szCs w:val="24"/>
        </w:rPr>
        <w:t>stresse</w:t>
      </w:r>
      <w:r w:rsidR="00CA39B2" w:rsidRPr="003A1174">
        <w:rPr>
          <w:rFonts w:ascii="Garamond" w:hAnsi="Garamond" w:cs="Arial"/>
          <w:sz w:val="24"/>
          <w:szCs w:val="24"/>
        </w:rPr>
        <w:t xml:space="preserve"> sexual será considerado como u</w:t>
      </w:r>
      <w:r w:rsidR="009A0623" w:rsidRPr="003A1174">
        <w:rPr>
          <w:rFonts w:ascii="Garamond" w:hAnsi="Garamond" w:cs="Arial"/>
          <w:sz w:val="24"/>
          <w:szCs w:val="24"/>
        </w:rPr>
        <w:t>m</w:t>
      </w:r>
      <w:r w:rsidR="00CA39B2" w:rsidRPr="003A1174">
        <w:rPr>
          <w:rFonts w:ascii="Garamond" w:hAnsi="Garamond" w:cs="Arial"/>
          <w:sz w:val="24"/>
          <w:szCs w:val="24"/>
        </w:rPr>
        <w:t xml:space="preserve"> indicador relevante </w:t>
      </w:r>
      <w:r w:rsidR="009A0623" w:rsidRPr="003A1174">
        <w:rPr>
          <w:rFonts w:ascii="Garamond" w:hAnsi="Garamond" w:cs="Arial"/>
          <w:sz w:val="24"/>
          <w:szCs w:val="24"/>
        </w:rPr>
        <w:t>n</w:t>
      </w:r>
      <w:r w:rsidR="00CA39B2" w:rsidRPr="003A1174">
        <w:rPr>
          <w:rFonts w:ascii="Garamond" w:hAnsi="Garamond" w:cs="Arial"/>
          <w:sz w:val="24"/>
          <w:szCs w:val="24"/>
        </w:rPr>
        <w:t xml:space="preserve">a </w:t>
      </w:r>
      <w:r w:rsidR="009A0623" w:rsidRPr="003A1174">
        <w:rPr>
          <w:rFonts w:ascii="Garamond" w:hAnsi="Garamond" w:cs="Arial"/>
          <w:sz w:val="24"/>
          <w:szCs w:val="24"/>
        </w:rPr>
        <w:t>agressão</w:t>
      </w:r>
      <w:r w:rsidR="00CA39B2" w:rsidRPr="003A1174">
        <w:rPr>
          <w:rFonts w:ascii="Garamond" w:hAnsi="Garamond" w:cs="Arial"/>
          <w:sz w:val="24"/>
          <w:szCs w:val="24"/>
        </w:rPr>
        <w:t xml:space="preserve"> sexual, </w:t>
      </w:r>
      <w:r w:rsidR="00497503" w:rsidRPr="003A1174">
        <w:rPr>
          <w:rFonts w:ascii="Garamond" w:hAnsi="Garamond" w:cs="Arial"/>
          <w:sz w:val="24"/>
          <w:szCs w:val="24"/>
        </w:rPr>
        <w:t>e</w:t>
      </w:r>
      <w:r w:rsidR="009A0623" w:rsidRPr="003A1174">
        <w:rPr>
          <w:rFonts w:ascii="Garamond" w:hAnsi="Garamond" w:cs="Arial"/>
          <w:sz w:val="24"/>
          <w:szCs w:val="24"/>
        </w:rPr>
        <w:t xml:space="preserve"> permitirá fixar </w:t>
      </w:r>
      <w:proofErr w:type="gramStart"/>
      <w:r w:rsidR="009A0623" w:rsidRPr="003A1174">
        <w:rPr>
          <w:rFonts w:ascii="Garamond" w:hAnsi="Garamond" w:cs="Arial"/>
          <w:i/>
          <w:sz w:val="24"/>
          <w:szCs w:val="24"/>
        </w:rPr>
        <w:t>sta</w:t>
      </w:r>
      <w:r w:rsidR="00CA39B2" w:rsidRPr="003A1174">
        <w:rPr>
          <w:rFonts w:ascii="Garamond" w:hAnsi="Garamond" w:cs="Arial"/>
          <w:i/>
          <w:sz w:val="24"/>
          <w:szCs w:val="24"/>
        </w:rPr>
        <w:t>ndar</w:t>
      </w:r>
      <w:r w:rsidR="009A0623" w:rsidRPr="003A1174">
        <w:rPr>
          <w:rFonts w:ascii="Garamond" w:hAnsi="Garamond" w:cs="Arial"/>
          <w:i/>
          <w:sz w:val="24"/>
          <w:szCs w:val="24"/>
        </w:rPr>
        <w:t>d</w:t>
      </w:r>
      <w:r w:rsidR="00CA39B2" w:rsidRPr="003A1174">
        <w:rPr>
          <w:rFonts w:ascii="Garamond" w:hAnsi="Garamond" w:cs="Arial"/>
          <w:i/>
          <w:sz w:val="24"/>
          <w:szCs w:val="24"/>
        </w:rPr>
        <w:t>s</w:t>
      </w:r>
      <w:proofErr w:type="gramEnd"/>
      <w:r w:rsidR="00CA39B2" w:rsidRPr="003A1174">
        <w:rPr>
          <w:rFonts w:ascii="Garamond" w:hAnsi="Garamond" w:cs="Arial"/>
          <w:sz w:val="24"/>
          <w:szCs w:val="24"/>
        </w:rPr>
        <w:t xml:space="preserve"> de utilidad</w:t>
      </w:r>
      <w:r w:rsidR="009A0623" w:rsidRPr="003A1174">
        <w:rPr>
          <w:rFonts w:ascii="Garamond" w:hAnsi="Garamond" w:cs="Arial"/>
          <w:sz w:val="24"/>
          <w:szCs w:val="24"/>
        </w:rPr>
        <w:t>e</w:t>
      </w:r>
      <w:r w:rsidR="00CA39B2" w:rsidRPr="003A1174">
        <w:rPr>
          <w:rFonts w:ascii="Garamond" w:hAnsi="Garamond" w:cs="Arial"/>
          <w:sz w:val="24"/>
          <w:szCs w:val="24"/>
        </w:rPr>
        <w:t xml:space="preserve"> para </w:t>
      </w:r>
      <w:r w:rsidR="009A0623" w:rsidRPr="003A1174">
        <w:rPr>
          <w:rFonts w:ascii="Garamond" w:hAnsi="Garamond" w:cs="Arial"/>
          <w:sz w:val="24"/>
          <w:szCs w:val="24"/>
        </w:rPr>
        <w:t xml:space="preserve">avaliar </w:t>
      </w:r>
      <w:r w:rsidR="00CA39B2" w:rsidRPr="003A1174">
        <w:rPr>
          <w:rFonts w:ascii="Garamond" w:hAnsi="Garamond" w:cs="Arial"/>
          <w:sz w:val="24"/>
          <w:szCs w:val="24"/>
        </w:rPr>
        <w:t>a credibilidad</w:t>
      </w:r>
      <w:r w:rsidR="009A0623" w:rsidRPr="003A1174">
        <w:rPr>
          <w:rFonts w:ascii="Garamond" w:hAnsi="Garamond" w:cs="Arial"/>
          <w:sz w:val="24"/>
          <w:szCs w:val="24"/>
        </w:rPr>
        <w:t>e</w:t>
      </w:r>
      <w:r w:rsidR="00CA39B2" w:rsidRPr="003A1174">
        <w:rPr>
          <w:rFonts w:ascii="Garamond" w:hAnsi="Garamond" w:cs="Arial"/>
          <w:sz w:val="24"/>
          <w:szCs w:val="24"/>
        </w:rPr>
        <w:t xml:space="preserve"> </w:t>
      </w:r>
      <w:r w:rsidR="008A3DA2" w:rsidRPr="003A1174">
        <w:rPr>
          <w:rFonts w:ascii="Garamond" w:hAnsi="Garamond" w:cs="Arial"/>
          <w:sz w:val="24"/>
          <w:szCs w:val="24"/>
        </w:rPr>
        <w:t>do</w:t>
      </w:r>
      <w:r w:rsidR="00CA39B2" w:rsidRPr="003A1174">
        <w:rPr>
          <w:rFonts w:ascii="Garamond" w:hAnsi="Garamond" w:cs="Arial"/>
          <w:sz w:val="24"/>
          <w:szCs w:val="24"/>
        </w:rPr>
        <w:t xml:space="preserve"> relato da </w:t>
      </w:r>
      <w:r w:rsidR="003F012B" w:rsidRPr="003A1174">
        <w:rPr>
          <w:rFonts w:ascii="Garamond" w:hAnsi="Garamond" w:cs="Arial"/>
          <w:sz w:val="24"/>
          <w:szCs w:val="24"/>
        </w:rPr>
        <w:t>vítima</w:t>
      </w:r>
      <w:r w:rsidR="00CA39B2" w:rsidRPr="003A1174">
        <w:rPr>
          <w:rFonts w:ascii="Garamond" w:hAnsi="Garamond" w:cs="Arial"/>
          <w:sz w:val="24"/>
          <w:szCs w:val="24"/>
        </w:rPr>
        <w:t xml:space="preserve"> de </w:t>
      </w:r>
      <w:r w:rsidR="009A0623" w:rsidRPr="003A1174">
        <w:rPr>
          <w:rFonts w:ascii="Garamond" w:hAnsi="Garamond" w:cs="Arial"/>
          <w:sz w:val="24"/>
          <w:szCs w:val="24"/>
        </w:rPr>
        <w:t>agressão</w:t>
      </w:r>
      <w:r w:rsidR="00CA39B2" w:rsidRPr="003A1174">
        <w:rPr>
          <w:rFonts w:ascii="Garamond" w:hAnsi="Garamond" w:cs="Arial"/>
          <w:sz w:val="24"/>
          <w:szCs w:val="24"/>
        </w:rPr>
        <w:t xml:space="preserve"> sexual </w:t>
      </w:r>
      <w:r w:rsidR="00497503" w:rsidRPr="003A1174">
        <w:rPr>
          <w:rFonts w:ascii="Garamond" w:hAnsi="Garamond" w:cs="Arial"/>
          <w:sz w:val="24"/>
          <w:szCs w:val="24"/>
        </w:rPr>
        <w:t>e</w:t>
      </w:r>
      <w:r>
        <w:rPr>
          <w:rFonts w:ascii="Garamond" w:hAnsi="Garamond" w:cs="Arial"/>
          <w:sz w:val="24"/>
          <w:szCs w:val="24"/>
        </w:rPr>
        <w:t>,</w:t>
      </w:r>
      <w:r w:rsidR="00CA39B2" w:rsidRPr="003A1174">
        <w:rPr>
          <w:rFonts w:ascii="Garamond" w:hAnsi="Garamond" w:cs="Arial"/>
          <w:sz w:val="24"/>
          <w:szCs w:val="24"/>
        </w:rPr>
        <w:t xml:space="preserve"> posteriormente</w:t>
      </w:r>
      <w:r>
        <w:rPr>
          <w:rFonts w:ascii="Garamond" w:hAnsi="Garamond" w:cs="Arial"/>
          <w:sz w:val="24"/>
          <w:szCs w:val="24"/>
        </w:rPr>
        <w:t>,</w:t>
      </w:r>
      <w:r w:rsidR="009A0623" w:rsidRPr="003A1174">
        <w:rPr>
          <w:rFonts w:ascii="Garamond" w:hAnsi="Garamond" w:cs="Arial"/>
          <w:sz w:val="24"/>
          <w:szCs w:val="24"/>
        </w:rPr>
        <w:t xml:space="preserve"> a</w:t>
      </w:r>
      <w:r w:rsidR="00CA39B2" w:rsidRPr="003A1174">
        <w:rPr>
          <w:rFonts w:ascii="Garamond" w:hAnsi="Garamond" w:cs="Arial"/>
          <w:sz w:val="24"/>
          <w:szCs w:val="24"/>
        </w:rPr>
        <w:t xml:space="preserve"> su</w:t>
      </w:r>
      <w:r w:rsidR="009A0623" w:rsidRPr="003A1174">
        <w:rPr>
          <w:rFonts w:ascii="Garamond" w:hAnsi="Garamond" w:cs="Arial"/>
          <w:sz w:val="24"/>
          <w:szCs w:val="24"/>
        </w:rPr>
        <w:t>a</w:t>
      </w:r>
      <w:r w:rsidR="00CA39B2" w:rsidRPr="003A1174">
        <w:rPr>
          <w:rFonts w:ascii="Garamond" w:hAnsi="Garamond" w:cs="Arial"/>
          <w:sz w:val="24"/>
          <w:szCs w:val="24"/>
        </w:rPr>
        <w:t xml:space="preserve"> </w:t>
      </w:r>
      <w:r w:rsidR="00DE5AF4" w:rsidRPr="003A1174">
        <w:rPr>
          <w:rFonts w:ascii="Garamond" w:hAnsi="Garamond" w:cs="Arial"/>
          <w:sz w:val="24"/>
          <w:szCs w:val="24"/>
        </w:rPr>
        <w:t>possível</w:t>
      </w:r>
      <w:r w:rsidR="00CA39B2" w:rsidRPr="003A1174">
        <w:rPr>
          <w:rFonts w:ascii="Garamond" w:hAnsi="Garamond" w:cs="Arial"/>
          <w:sz w:val="24"/>
          <w:szCs w:val="24"/>
        </w:rPr>
        <w:t xml:space="preserve"> </w:t>
      </w:r>
      <w:r>
        <w:rPr>
          <w:rFonts w:ascii="Garamond" w:hAnsi="Garamond" w:cs="Arial"/>
          <w:sz w:val="24"/>
          <w:szCs w:val="24"/>
        </w:rPr>
        <w:t>confrontação.</w:t>
      </w:r>
      <w:r w:rsidR="00CA39B2" w:rsidRPr="003A1174">
        <w:rPr>
          <w:rFonts w:ascii="Garamond" w:hAnsi="Garamond" w:cs="Arial"/>
          <w:sz w:val="24"/>
          <w:szCs w:val="24"/>
        </w:rPr>
        <w:t xml:space="preserve"> </w:t>
      </w:r>
    </w:p>
    <w:p w:rsidR="00CA39B2" w:rsidRPr="003A1174" w:rsidRDefault="009A0623"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O </w:t>
      </w:r>
      <w:r w:rsidR="00CA39B2" w:rsidRPr="003A1174">
        <w:rPr>
          <w:rFonts w:ascii="Garamond" w:hAnsi="Garamond" w:cs="Arial"/>
          <w:sz w:val="24"/>
          <w:szCs w:val="24"/>
        </w:rPr>
        <w:t>exp</w:t>
      </w:r>
      <w:r w:rsidRPr="003A1174">
        <w:rPr>
          <w:rFonts w:ascii="Garamond" w:hAnsi="Garamond" w:cs="Arial"/>
          <w:sz w:val="24"/>
          <w:szCs w:val="24"/>
        </w:rPr>
        <w:t>o</w:t>
      </w:r>
      <w:r w:rsidR="00CA39B2" w:rsidRPr="003A1174">
        <w:rPr>
          <w:rFonts w:ascii="Garamond" w:hAnsi="Garamond" w:cs="Arial"/>
          <w:sz w:val="24"/>
          <w:szCs w:val="24"/>
        </w:rPr>
        <w:t xml:space="preserve">sto </w:t>
      </w:r>
      <w:r w:rsidRPr="003A1174">
        <w:rPr>
          <w:rFonts w:ascii="Garamond" w:hAnsi="Garamond" w:cs="Arial"/>
          <w:sz w:val="24"/>
          <w:szCs w:val="24"/>
        </w:rPr>
        <w:t xml:space="preserve">é </w:t>
      </w:r>
      <w:r w:rsidR="00CA39B2" w:rsidRPr="003A1174">
        <w:rPr>
          <w:rFonts w:ascii="Garamond" w:hAnsi="Garamond" w:cs="Arial"/>
          <w:sz w:val="24"/>
          <w:szCs w:val="24"/>
        </w:rPr>
        <w:t>importante</w:t>
      </w:r>
      <w:proofErr w:type="gramStart"/>
      <w:r w:rsidR="00CA39B2" w:rsidRPr="003A1174">
        <w:rPr>
          <w:rFonts w:ascii="Garamond" w:hAnsi="Garamond" w:cs="Arial"/>
          <w:sz w:val="24"/>
          <w:szCs w:val="24"/>
        </w:rPr>
        <w:t xml:space="preserve"> </w:t>
      </w:r>
      <w:r w:rsidR="00120915" w:rsidRPr="003A1174">
        <w:rPr>
          <w:rFonts w:ascii="Garamond" w:hAnsi="Garamond" w:cs="Arial"/>
          <w:sz w:val="24"/>
          <w:szCs w:val="24"/>
        </w:rPr>
        <w:t>pois</w:t>
      </w:r>
      <w:proofErr w:type="gramEnd"/>
      <w:r w:rsidR="00455061">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uma </w:t>
      </w:r>
      <w:r w:rsidR="00CA39B2" w:rsidRPr="003A1174">
        <w:rPr>
          <w:rFonts w:ascii="Garamond" w:hAnsi="Garamond" w:cs="Arial"/>
          <w:sz w:val="24"/>
          <w:szCs w:val="24"/>
        </w:rPr>
        <w:t>gran</w:t>
      </w:r>
      <w:r w:rsidRPr="003A1174">
        <w:rPr>
          <w:rFonts w:ascii="Garamond" w:hAnsi="Garamond" w:cs="Arial"/>
          <w:sz w:val="24"/>
          <w:szCs w:val="24"/>
        </w:rPr>
        <w:t>de</w:t>
      </w:r>
      <w:r w:rsidR="00CA39B2" w:rsidRPr="003A1174">
        <w:rPr>
          <w:rFonts w:ascii="Garamond" w:hAnsi="Garamond" w:cs="Arial"/>
          <w:sz w:val="24"/>
          <w:szCs w:val="24"/>
        </w:rPr>
        <w:t xml:space="preserve"> parte </w:t>
      </w:r>
      <w:r w:rsidR="00497503" w:rsidRPr="003A1174">
        <w:rPr>
          <w:rFonts w:ascii="Garamond" w:hAnsi="Garamond" w:cs="Arial"/>
          <w:sz w:val="24"/>
          <w:szCs w:val="24"/>
        </w:rPr>
        <w:t>dos</w:t>
      </w:r>
      <w:r w:rsidR="00CA39B2" w:rsidRPr="003A1174">
        <w:rPr>
          <w:rFonts w:ascii="Garamond" w:hAnsi="Garamond" w:cs="Arial"/>
          <w:sz w:val="24"/>
          <w:szCs w:val="24"/>
        </w:rPr>
        <w:t xml:space="preserve"> casos de </w:t>
      </w:r>
      <w:r w:rsidR="000350B1" w:rsidRPr="003A1174">
        <w:rPr>
          <w:rFonts w:ascii="Garamond" w:hAnsi="Garamond" w:cs="Arial"/>
          <w:sz w:val="24"/>
          <w:szCs w:val="24"/>
        </w:rPr>
        <w:t>violência</w:t>
      </w:r>
      <w:r w:rsidRPr="003A1174">
        <w:rPr>
          <w:rFonts w:ascii="Garamond" w:hAnsi="Garamond" w:cs="Arial"/>
          <w:sz w:val="24"/>
          <w:szCs w:val="24"/>
        </w:rPr>
        <w:t xml:space="preserve"> sexual</w:t>
      </w:r>
      <w:r w:rsidR="00455061">
        <w:rPr>
          <w:rFonts w:ascii="Garamond" w:hAnsi="Garamond" w:cs="Arial"/>
          <w:sz w:val="24"/>
          <w:szCs w:val="24"/>
        </w:rPr>
        <w:t>,</w:t>
      </w:r>
      <w:r w:rsidRPr="003A1174">
        <w:rPr>
          <w:rFonts w:ascii="Garamond" w:hAnsi="Garamond" w:cs="Arial"/>
          <w:sz w:val="24"/>
          <w:szCs w:val="24"/>
        </w:rPr>
        <w:t xml:space="preserve"> </w:t>
      </w:r>
      <w:r w:rsidR="00CA39B2" w:rsidRPr="003A1174">
        <w:rPr>
          <w:rFonts w:ascii="Garamond" w:hAnsi="Garamond" w:cs="Arial"/>
          <w:sz w:val="24"/>
          <w:szCs w:val="24"/>
        </w:rPr>
        <w:t>d</w:t>
      </w:r>
      <w:r w:rsidRPr="003A1174">
        <w:rPr>
          <w:rFonts w:ascii="Garamond" w:hAnsi="Garamond" w:cs="Arial"/>
          <w:sz w:val="24"/>
          <w:szCs w:val="24"/>
        </w:rPr>
        <w:t xml:space="preserve">á-se num </w:t>
      </w:r>
      <w:r w:rsidR="009D5ED8" w:rsidRPr="003A1174">
        <w:rPr>
          <w:rFonts w:ascii="Garamond" w:hAnsi="Garamond" w:cs="Arial"/>
          <w:sz w:val="24"/>
          <w:szCs w:val="24"/>
        </w:rPr>
        <w:t>certo</w:t>
      </w:r>
      <w:r w:rsidR="00BC651C" w:rsidRPr="003A1174">
        <w:rPr>
          <w:rFonts w:ascii="Garamond" w:hAnsi="Garamond" w:cs="Arial"/>
          <w:sz w:val="24"/>
          <w:szCs w:val="24"/>
        </w:rPr>
        <w:t xml:space="preserve"> </w:t>
      </w:r>
      <w:r w:rsidR="00CA39B2" w:rsidRPr="003A1174">
        <w:rPr>
          <w:rFonts w:ascii="Garamond" w:hAnsi="Garamond" w:cs="Arial"/>
          <w:sz w:val="24"/>
          <w:szCs w:val="24"/>
        </w:rPr>
        <w:t>contexto de clandestinidad</w:t>
      </w:r>
      <w:r w:rsidRPr="003A1174">
        <w:rPr>
          <w:rFonts w:ascii="Garamond" w:hAnsi="Garamond" w:cs="Arial"/>
          <w:sz w:val="24"/>
          <w:szCs w:val="24"/>
        </w:rPr>
        <w:t>e</w:t>
      </w:r>
      <w:r w:rsidR="00BC651C" w:rsidRPr="003A1174">
        <w:rPr>
          <w:rFonts w:ascii="Garamond" w:hAnsi="Garamond" w:cs="Arial"/>
          <w:sz w:val="24"/>
          <w:szCs w:val="24"/>
        </w:rPr>
        <w:t>,</w:t>
      </w:r>
      <w:r w:rsidRPr="003A1174">
        <w:rPr>
          <w:rFonts w:ascii="Garamond" w:hAnsi="Garamond" w:cs="Arial"/>
          <w:sz w:val="24"/>
          <w:szCs w:val="24"/>
        </w:rPr>
        <w:t xml:space="preserve"> </w:t>
      </w:r>
      <w:r w:rsidR="00455061">
        <w:rPr>
          <w:rFonts w:ascii="Garamond" w:hAnsi="Garamond" w:cs="Arial"/>
          <w:sz w:val="24"/>
          <w:szCs w:val="24"/>
        </w:rPr>
        <w:t xml:space="preserve">em que </w:t>
      </w:r>
      <w:r w:rsidR="00CA39B2" w:rsidRPr="003A1174">
        <w:rPr>
          <w:rFonts w:ascii="Garamond" w:hAnsi="Garamond" w:cs="Arial"/>
          <w:sz w:val="24"/>
          <w:szCs w:val="24"/>
        </w:rPr>
        <w:t xml:space="preserve">a </w:t>
      </w:r>
      <w:r w:rsidR="00C30647" w:rsidRPr="003A1174">
        <w:rPr>
          <w:rFonts w:ascii="Garamond" w:hAnsi="Garamond" w:cs="Arial"/>
          <w:sz w:val="24"/>
          <w:szCs w:val="24"/>
        </w:rPr>
        <w:t>declaração</w:t>
      </w:r>
      <w:r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3F012B" w:rsidRPr="003A1174">
        <w:rPr>
          <w:rFonts w:ascii="Garamond" w:hAnsi="Garamond" w:cs="Arial"/>
          <w:sz w:val="24"/>
          <w:szCs w:val="24"/>
        </w:rPr>
        <w:t>vítima</w:t>
      </w:r>
      <w:r w:rsidR="00CA39B2" w:rsidRPr="003A1174">
        <w:rPr>
          <w:rFonts w:ascii="Garamond" w:hAnsi="Garamond" w:cs="Arial"/>
          <w:sz w:val="24"/>
          <w:szCs w:val="24"/>
        </w:rPr>
        <w:t xml:space="preserve"> </w:t>
      </w:r>
      <w:r w:rsidRPr="003A1174">
        <w:rPr>
          <w:rFonts w:ascii="Garamond" w:hAnsi="Garamond" w:cs="Arial"/>
          <w:sz w:val="24"/>
          <w:szCs w:val="24"/>
        </w:rPr>
        <w:t xml:space="preserve">é o </w:t>
      </w:r>
      <w:r w:rsidR="00CA39B2" w:rsidRPr="003A1174">
        <w:rPr>
          <w:rFonts w:ascii="Garamond" w:hAnsi="Garamond" w:cs="Arial"/>
          <w:sz w:val="24"/>
          <w:szCs w:val="24"/>
        </w:rPr>
        <w:t xml:space="preserve">único </w:t>
      </w:r>
      <w:r w:rsidR="00D4575C" w:rsidRPr="003A1174">
        <w:rPr>
          <w:rFonts w:ascii="Garamond" w:hAnsi="Garamond" w:cs="Arial"/>
          <w:sz w:val="24"/>
          <w:szCs w:val="24"/>
        </w:rPr>
        <w:t>meio</w:t>
      </w:r>
      <w:r w:rsidR="00CA39B2" w:rsidRPr="003A1174">
        <w:rPr>
          <w:rFonts w:ascii="Garamond" w:hAnsi="Garamond" w:cs="Arial"/>
          <w:sz w:val="24"/>
          <w:szCs w:val="24"/>
        </w:rPr>
        <w:t xml:space="preserve"> de </w:t>
      </w:r>
      <w:r w:rsidR="002B6C5B" w:rsidRPr="003A1174">
        <w:rPr>
          <w:rFonts w:ascii="Garamond" w:hAnsi="Garamond" w:cs="Arial"/>
          <w:sz w:val="24"/>
          <w:szCs w:val="24"/>
        </w:rPr>
        <w:t>prova</w:t>
      </w:r>
      <w:r w:rsidR="00CA39B2" w:rsidRPr="003A1174">
        <w:rPr>
          <w:rFonts w:ascii="Garamond" w:hAnsi="Garamond" w:cs="Arial"/>
          <w:sz w:val="24"/>
          <w:szCs w:val="24"/>
        </w:rPr>
        <w:t xml:space="preserve"> </w:t>
      </w:r>
      <w:r w:rsidR="008A3DA2" w:rsidRPr="003A1174">
        <w:rPr>
          <w:rFonts w:ascii="Garamond" w:hAnsi="Garamond" w:cs="Arial"/>
          <w:sz w:val="24"/>
          <w:szCs w:val="24"/>
        </w:rPr>
        <w:t>do</w:t>
      </w:r>
      <w:r w:rsidR="00CA39B2" w:rsidRPr="003A1174">
        <w:rPr>
          <w:rFonts w:ascii="Garamond" w:hAnsi="Garamond" w:cs="Arial"/>
          <w:sz w:val="24"/>
          <w:szCs w:val="24"/>
        </w:rPr>
        <w:t xml:space="preserve"> delito perpetrado. </w:t>
      </w:r>
      <w:r w:rsidRPr="003A1174">
        <w:rPr>
          <w:rFonts w:ascii="Garamond" w:hAnsi="Garamond" w:cs="Arial"/>
          <w:sz w:val="24"/>
          <w:szCs w:val="24"/>
        </w:rPr>
        <w:t xml:space="preserve">Também se propõe </w:t>
      </w:r>
      <w:r w:rsidR="00CA39B2" w:rsidRPr="003A1174">
        <w:rPr>
          <w:rFonts w:ascii="Garamond" w:hAnsi="Garamond" w:cs="Arial"/>
          <w:sz w:val="24"/>
          <w:szCs w:val="24"/>
        </w:rPr>
        <w:t>evitar</w:t>
      </w:r>
      <w:r w:rsidRPr="003A1174">
        <w:rPr>
          <w:rFonts w:ascii="Garamond" w:eastAsia="Arial" w:hAnsi="Garamond" w:cs="Arial"/>
          <w:sz w:val="24"/>
          <w:szCs w:val="24"/>
        </w:rPr>
        <w:t xml:space="preserve"> </w:t>
      </w:r>
      <w:r w:rsidR="00CA39B2" w:rsidRPr="003A1174">
        <w:rPr>
          <w:rFonts w:ascii="Garamond" w:eastAsia="Arial" w:hAnsi="Garamond" w:cs="Arial"/>
          <w:sz w:val="24"/>
          <w:szCs w:val="24"/>
        </w:rPr>
        <w:t xml:space="preserve">a </w:t>
      </w:r>
      <w:r w:rsidR="00EE7406" w:rsidRPr="003A1174">
        <w:rPr>
          <w:rFonts w:ascii="Garamond" w:eastAsia="Arial" w:hAnsi="Garamond" w:cs="Arial"/>
          <w:sz w:val="24"/>
          <w:szCs w:val="24"/>
        </w:rPr>
        <w:t>vitimização</w:t>
      </w:r>
      <w:r w:rsidR="00CA39B2" w:rsidRPr="003A1174">
        <w:rPr>
          <w:rFonts w:ascii="Garamond" w:eastAsia="Arial" w:hAnsi="Garamond" w:cs="Arial"/>
          <w:sz w:val="24"/>
          <w:szCs w:val="24"/>
        </w:rPr>
        <w:t xml:space="preserve"> o</w:t>
      </w:r>
      <w:r w:rsidRPr="003A1174">
        <w:rPr>
          <w:rFonts w:ascii="Garamond" w:eastAsia="Arial" w:hAnsi="Garamond" w:cs="Arial"/>
          <w:sz w:val="24"/>
          <w:szCs w:val="24"/>
        </w:rPr>
        <w:t>u</w:t>
      </w:r>
      <w:r w:rsidR="00CA39B2" w:rsidRPr="003A1174">
        <w:rPr>
          <w:rFonts w:ascii="Garamond" w:eastAsia="Arial" w:hAnsi="Garamond" w:cs="Arial"/>
          <w:sz w:val="24"/>
          <w:szCs w:val="24"/>
        </w:rPr>
        <w:t xml:space="preserve"> re</w:t>
      </w:r>
      <w:r w:rsidR="00EE7406" w:rsidRPr="003A1174">
        <w:rPr>
          <w:rFonts w:ascii="Garamond" w:eastAsia="Arial" w:hAnsi="Garamond" w:cs="Arial"/>
          <w:sz w:val="24"/>
          <w:szCs w:val="24"/>
        </w:rPr>
        <w:t>vitimização</w:t>
      </w:r>
      <w:r w:rsidR="00CA39B2" w:rsidRPr="003A1174">
        <w:rPr>
          <w:rFonts w:ascii="Garamond" w:eastAsia="Arial" w:hAnsi="Garamond" w:cs="Arial"/>
          <w:sz w:val="24"/>
          <w:szCs w:val="24"/>
        </w:rPr>
        <w:t xml:space="preserve"> </w:t>
      </w:r>
      <w:r w:rsidR="00EE7406" w:rsidRPr="003A1174">
        <w:rPr>
          <w:rFonts w:ascii="Garamond" w:eastAsia="Arial" w:hAnsi="Garamond" w:cs="Arial"/>
          <w:sz w:val="24"/>
          <w:szCs w:val="24"/>
        </w:rPr>
        <w:t>secundária</w:t>
      </w:r>
      <w:r w:rsidRPr="003A1174">
        <w:rPr>
          <w:rFonts w:ascii="Garamond" w:eastAsia="Arial" w:hAnsi="Garamond" w:cs="Arial"/>
          <w:sz w:val="24"/>
          <w:szCs w:val="24"/>
        </w:rPr>
        <w:t>, evita</w:t>
      </w:r>
      <w:r w:rsidR="00CA39B2" w:rsidRPr="003A1174">
        <w:rPr>
          <w:rFonts w:ascii="Garamond" w:eastAsia="Arial" w:hAnsi="Garamond" w:cs="Arial"/>
          <w:sz w:val="24"/>
          <w:szCs w:val="24"/>
        </w:rPr>
        <w:t>ndo</w:t>
      </w:r>
      <w:r w:rsidRPr="003A1174">
        <w:rPr>
          <w:rFonts w:ascii="Garamond" w:eastAsia="Arial" w:hAnsi="Garamond" w:cs="Arial"/>
          <w:sz w:val="24"/>
          <w:szCs w:val="24"/>
        </w:rPr>
        <w:t>-</w:t>
      </w:r>
      <w:r w:rsidR="00CA39B2" w:rsidRPr="003A1174">
        <w:rPr>
          <w:rFonts w:ascii="Garamond" w:eastAsia="Arial" w:hAnsi="Garamond" w:cs="Arial"/>
          <w:sz w:val="24"/>
          <w:szCs w:val="24"/>
        </w:rPr>
        <w:t xml:space="preserve">se indagar sobre </w:t>
      </w:r>
      <w:r w:rsidRPr="003A1174">
        <w:rPr>
          <w:rFonts w:ascii="Garamond" w:eastAsia="Arial" w:hAnsi="Garamond" w:cs="Arial"/>
          <w:sz w:val="24"/>
          <w:szCs w:val="24"/>
        </w:rPr>
        <w:t xml:space="preserve">o </w:t>
      </w:r>
      <w:r w:rsidR="00D4575C" w:rsidRPr="003A1174">
        <w:rPr>
          <w:rFonts w:ascii="Garamond" w:eastAsia="Arial" w:hAnsi="Garamond" w:cs="Arial"/>
          <w:sz w:val="24"/>
          <w:szCs w:val="24"/>
        </w:rPr>
        <w:t>passado</w:t>
      </w:r>
      <w:r w:rsidR="00CA39B2" w:rsidRPr="003A1174">
        <w:rPr>
          <w:rFonts w:ascii="Garamond" w:eastAsia="Arial" w:hAnsi="Garamond" w:cs="Arial"/>
          <w:sz w:val="24"/>
          <w:szCs w:val="24"/>
        </w:rPr>
        <w:t xml:space="preserve"> da </w:t>
      </w:r>
      <w:r w:rsidR="003F012B" w:rsidRPr="003A1174">
        <w:rPr>
          <w:rFonts w:ascii="Garamond" w:eastAsia="Arial" w:hAnsi="Garamond" w:cs="Arial"/>
          <w:sz w:val="24"/>
          <w:szCs w:val="24"/>
        </w:rPr>
        <w:t>vítima</w:t>
      </w:r>
      <w:r w:rsidR="00CA39B2" w:rsidRPr="003A1174">
        <w:rPr>
          <w:rFonts w:ascii="Garamond" w:eastAsia="Arial" w:hAnsi="Garamond" w:cs="Arial"/>
          <w:sz w:val="24"/>
          <w:szCs w:val="24"/>
        </w:rPr>
        <w:t xml:space="preserve"> </w:t>
      </w:r>
      <w:r w:rsidR="00CA39B2" w:rsidRPr="003A1174">
        <w:rPr>
          <w:rFonts w:ascii="Garamond" w:hAnsi="Garamond" w:cs="Arial"/>
          <w:sz w:val="24"/>
          <w:szCs w:val="24"/>
        </w:rPr>
        <w:t>o</w:t>
      </w:r>
      <w:r w:rsidRPr="003A1174">
        <w:rPr>
          <w:rFonts w:ascii="Garamond" w:hAnsi="Garamond" w:cs="Arial"/>
          <w:sz w:val="24"/>
          <w:szCs w:val="24"/>
        </w:rPr>
        <w:t>u sobre a sua resistê</w:t>
      </w:r>
      <w:r w:rsidR="00CA39B2" w:rsidRPr="003A1174">
        <w:rPr>
          <w:rFonts w:ascii="Garamond" w:hAnsi="Garamond" w:cs="Arial"/>
          <w:sz w:val="24"/>
          <w:szCs w:val="24"/>
        </w:rPr>
        <w:t>ncia o</w:t>
      </w:r>
      <w:r w:rsidRPr="003A1174">
        <w:rPr>
          <w:rFonts w:ascii="Garamond" w:hAnsi="Garamond" w:cs="Arial"/>
          <w:sz w:val="24"/>
          <w:szCs w:val="24"/>
        </w:rPr>
        <w:t>u</w:t>
      </w:r>
      <w:r w:rsidR="00CA39B2" w:rsidRPr="003A1174">
        <w:rPr>
          <w:rFonts w:ascii="Garamond" w:hAnsi="Garamond" w:cs="Arial"/>
          <w:sz w:val="24"/>
          <w:szCs w:val="24"/>
        </w:rPr>
        <w:t xml:space="preserve"> </w:t>
      </w:r>
      <w:r w:rsidR="002C7510" w:rsidRPr="003A1174">
        <w:rPr>
          <w:rFonts w:ascii="Garamond" w:hAnsi="Garamond" w:cs="Arial"/>
          <w:sz w:val="24"/>
          <w:szCs w:val="24"/>
        </w:rPr>
        <w:t>defesa</w:t>
      </w:r>
      <w:r w:rsidR="00CA39B2" w:rsidRPr="003A1174">
        <w:rPr>
          <w:rFonts w:ascii="Garamond" w:hAnsi="Garamond" w:cs="Arial"/>
          <w:sz w:val="24"/>
          <w:szCs w:val="24"/>
        </w:rPr>
        <w:t xml:space="preserve"> </w:t>
      </w:r>
      <w:r w:rsidRPr="003A1174">
        <w:rPr>
          <w:rFonts w:ascii="Garamond" w:hAnsi="Garamond" w:cs="Arial"/>
          <w:sz w:val="24"/>
          <w:szCs w:val="24"/>
        </w:rPr>
        <w:t>per</w:t>
      </w:r>
      <w:r w:rsidR="00CA39B2" w:rsidRPr="003A1174">
        <w:rPr>
          <w:rFonts w:ascii="Garamond" w:hAnsi="Garamond" w:cs="Arial"/>
          <w:sz w:val="24"/>
          <w:szCs w:val="24"/>
        </w:rPr>
        <w:t>a</w:t>
      </w:r>
      <w:r w:rsidR="00BC651C" w:rsidRPr="003A1174">
        <w:rPr>
          <w:rFonts w:ascii="Garamond" w:hAnsi="Garamond" w:cs="Arial"/>
          <w:sz w:val="24"/>
          <w:szCs w:val="24"/>
        </w:rPr>
        <w:t>nte</w:t>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sexual. </w:t>
      </w:r>
    </w:p>
    <w:p w:rsidR="00CA39B2" w:rsidRPr="003A1174" w:rsidRDefault="009A0623"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 xml:space="preserve">É </w:t>
      </w:r>
      <w:r w:rsidR="00BC651C" w:rsidRPr="003A1174">
        <w:rPr>
          <w:rFonts w:ascii="Garamond" w:hAnsi="Garamond" w:cs="Arial"/>
          <w:sz w:val="24"/>
          <w:szCs w:val="24"/>
          <w:lang w:val="pt-PT"/>
        </w:rPr>
        <w:t>conveniente</w:t>
      </w:r>
      <w:r w:rsidR="00CA39B2" w:rsidRPr="003A1174">
        <w:rPr>
          <w:rFonts w:ascii="Garamond" w:hAnsi="Garamond" w:cs="Arial"/>
          <w:sz w:val="24"/>
          <w:szCs w:val="24"/>
          <w:lang w:val="pt-PT"/>
        </w:rPr>
        <w:t xml:space="preserve"> </w:t>
      </w:r>
      <w:r w:rsidRPr="003A1174">
        <w:rPr>
          <w:rFonts w:ascii="Garamond" w:hAnsi="Garamond" w:cs="Arial"/>
          <w:sz w:val="24"/>
          <w:szCs w:val="24"/>
          <w:lang w:val="pt-PT"/>
        </w:rPr>
        <w:t>salientar que</w:t>
      </w:r>
      <w:r w:rsidR="00455061">
        <w:rPr>
          <w:rFonts w:ascii="Garamond" w:hAnsi="Garamond" w:cs="Arial"/>
          <w:sz w:val="24"/>
          <w:szCs w:val="24"/>
          <w:lang w:val="pt-PT"/>
        </w:rPr>
        <w:t>,</w:t>
      </w:r>
      <w:r w:rsidRPr="003A1174">
        <w:rPr>
          <w:rFonts w:ascii="Garamond" w:hAnsi="Garamond" w:cs="Arial"/>
          <w:sz w:val="24"/>
          <w:szCs w:val="24"/>
          <w:lang w:val="pt-PT"/>
        </w:rPr>
        <w:t xml:space="preserve"> </w:t>
      </w:r>
      <w:r w:rsidR="00CA39B2" w:rsidRPr="003A1174">
        <w:rPr>
          <w:rFonts w:ascii="Garamond" w:hAnsi="Garamond" w:cs="Arial"/>
          <w:sz w:val="24"/>
          <w:szCs w:val="24"/>
          <w:lang w:val="pt-PT"/>
        </w:rPr>
        <w:t xml:space="preserve">a </w:t>
      </w:r>
      <w:r w:rsidR="00B14AA6" w:rsidRPr="003A1174">
        <w:rPr>
          <w:rFonts w:ascii="Garamond" w:hAnsi="Garamond" w:cs="Arial"/>
          <w:sz w:val="24"/>
          <w:szCs w:val="24"/>
          <w:lang w:val="pt-PT"/>
        </w:rPr>
        <w:t>aplicação</w:t>
      </w:r>
      <w:r w:rsidRPr="003A1174">
        <w:rPr>
          <w:rFonts w:ascii="Garamond" w:hAnsi="Garamond" w:cs="Arial"/>
          <w:sz w:val="24"/>
          <w:szCs w:val="24"/>
          <w:lang w:val="pt-PT"/>
        </w:rPr>
        <w:t xml:space="preserve"> d</w:t>
      </w:r>
      <w:r w:rsidR="00CA39B2" w:rsidRPr="003A1174">
        <w:rPr>
          <w:rFonts w:ascii="Garamond" w:hAnsi="Garamond" w:cs="Arial"/>
          <w:sz w:val="24"/>
          <w:szCs w:val="24"/>
          <w:lang w:val="pt-PT"/>
        </w:rPr>
        <w:t xml:space="preserve">este </w:t>
      </w:r>
      <w:r w:rsidR="003F012B" w:rsidRPr="003A1174">
        <w:rPr>
          <w:rFonts w:ascii="Garamond" w:hAnsi="Garamond" w:cs="Arial"/>
          <w:sz w:val="24"/>
          <w:szCs w:val="24"/>
          <w:lang w:val="pt-PT"/>
        </w:rPr>
        <w:t>Acordo</w:t>
      </w:r>
      <w:r w:rsidR="00CA39B2" w:rsidRPr="003A1174">
        <w:rPr>
          <w:rFonts w:ascii="Garamond" w:hAnsi="Garamond" w:cs="Arial"/>
          <w:sz w:val="24"/>
          <w:szCs w:val="24"/>
          <w:lang w:val="pt-PT"/>
        </w:rPr>
        <w:t xml:space="preserve"> </w:t>
      </w:r>
      <w:r w:rsidR="00175015" w:rsidRPr="003A1174">
        <w:rPr>
          <w:rFonts w:ascii="Garamond" w:hAnsi="Garamond" w:cs="Arial"/>
          <w:sz w:val="24"/>
          <w:szCs w:val="24"/>
          <w:lang w:val="pt-PT"/>
        </w:rPr>
        <w:t>Plenário</w:t>
      </w:r>
      <w:r w:rsidR="00CA39B2" w:rsidRPr="003A1174">
        <w:rPr>
          <w:rFonts w:ascii="Garamond" w:hAnsi="Garamond" w:cs="Arial"/>
          <w:sz w:val="24"/>
          <w:szCs w:val="24"/>
          <w:lang w:val="pt-PT"/>
        </w:rPr>
        <w:t xml:space="preserve"> </w:t>
      </w:r>
      <w:r w:rsidR="001F2F8B" w:rsidRPr="003A1174">
        <w:rPr>
          <w:rFonts w:ascii="Garamond" w:hAnsi="Garamond" w:cs="Arial"/>
          <w:sz w:val="24"/>
          <w:szCs w:val="24"/>
          <w:lang w:val="pt-PT"/>
        </w:rPr>
        <w:t>jurisdicional</w:t>
      </w:r>
      <w:r w:rsidR="00455061">
        <w:rPr>
          <w:rFonts w:ascii="Garamond" w:hAnsi="Garamond" w:cs="Arial"/>
          <w:sz w:val="24"/>
          <w:szCs w:val="24"/>
          <w:lang w:val="pt-PT"/>
        </w:rPr>
        <w:t>,</w:t>
      </w:r>
      <w:r w:rsidRPr="003A1174">
        <w:rPr>
          <w:rFonts w:ascii="Garamond" w:hAnsi="Garamond" w:cs="Arial"/>
          <w:sz w:val="24"/>
          <w:szCs w:val="24"/>
          <w:lang w:val="pt-PT"/>
        </w:rPr>
        <w:t xml:space="preserve"> permitirá medir </w:t>
      </w:r>
      <w:r w:rsidR="00CA39B2" w:rsidRPr="003A1174">
        <w:rPr>
          <w:rFonts w:ascii="Garamond" w:hAnsi="Garamond" w:cs="Arial"/>
          <w:sz w:val="24"/>
          <w:szCs w:val="24"/>
          <w:lang w:val="pt-PT"/>
        </w:rPr>
        <w:t xml:space="preserve">a </w:t>
      </w:r>
      <w:r w:rsidR="008278C4" w:rsidRPr="003A1174">
        <w:rPr>
          <w:rFonts w:ascii="Garamond" w:hAnsi="Garamond" w:cs="Arial"/>
          <w:sz w:val="24"/>
          <w:szCs w:val="24"/>
          <w:lang w:val="pt-PT"/>
        </w:rPr>
        <w:t>qualidade</w:t>
      </w:r>
      <w:r w:rsidR="00CA39B2"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CA39B2" w:rsidRPr="003A1174">
        <w:rPr>
          <w:rFonts w:ascii="Garamond" w:hAnsi="Garamond" w:cs="Arial"/>
          <w:sz w:val="24"/>
          <w:szCs w:val="24"/>
          <w:lang w:val="pt-PT"/>
        </w:rPr>
        <w:t xml:space="preserve"> </w:t>
      </w:r>
      <w:r w:rsidR="00175015" w:rsidRPr="003A1174">
        <w:rPr>
          <w:rFonts w:ascii="Garamond" w:hAnsi="Garamond" w:cs="Arial"/>
          <w:sz w:val="24"/>
          <w:szCs w:val="24"/>
          <w:lang w:val="pt-PT"/>
        </w:rPr>
        <w:t>perícia</w:t>
      </w:r>
      <w:r w:rsidR="00CA39B2" w:rsidRPr="003A1174">
        <w:rPr>
          <w:rFonts w:ascii="Garamond" w:hAnsi="Garamond" w:cs="Arial"/>
          <w:sz w:val="24"/>
          <w:szCs w:val="24"/>
          <w:lang w:val="pt-PT"/>
        </w:rPr>
        <w:t>s psicológicas</w:t>
      </w:r>
      <w:r w:rsidR="00455061">
        <w:rPr>
          <w:rFonts w:ascii="Garamond" w:hAnsi="Garamond" w:cs="Arial"/>
          <w:sz w:val="24"/>
          <w:szCs w:val="24"/>
          <w:lang w:val="pt-PT"/>
        </w:rPr>
        <w:t>,</w:t>
      </w:r>
      <w:r w:rsidR="00CA39B2" w:rsidRPr="003A1174">
        <w:rPr>
          <w:rFonts w:ascii="Garamond" w:hAnsi="Garamond" w:cs="Arial"/>
          <w:sz w:val="24"/>
          <w:szCs w:val="24"/>
          <w:lang w:val="pt-PT"/>
        </w:rPr>
        <w:t xml:space="preserve"> </w:t>
      </w:r>
      <w:r w:rsidR="009A0CC2" w:rsidRPr="003A1174">
        <w:rPr>
          <w:rFonts w:ascii="Garamond" w:hAnsi="Garamond" w:cs="Arial"/>
          <w:sz w:val="24"/>
          <w:szCs w:val="24"/>
          <w:lang w:val="pt-PT"/>
        </w:rPr>
        <w:t>através</w:t>
      </w:r>
      <w:r w:rsidR="00CA39B2" w:rsidRPr="003A1174">
        <w:rPr>
          <w:rFonts w:ascii="Garamond" w:hAnsi="Garamond" w:cs="Arial"/>
          <w:sz w:val="24"/>
          <w:szCs w:val="24"/>
          <w:lang w:val="pt-PT"/>
        </w:rPr>
        <w:t xml:space="preserve"> de indicadores</w:t>
      </w:r>
      <w:r w:rsidR="00455061">
        <w:rPr>
          <w:rFonts w:ascii="Garamond" w:hAnsi="Garamond" w:cs="Arial"/>
          <w:sz w:val="24"/>
          <w:szCs w:val="24"/>
          <w:lang w:val="pt-PT"/>
        </w:rPr>
        <w:t>,</w:t>
      </w:r>
      <w:r w:rsidR="00CA39B2" w:rsidRPr="003A1174">
        <w:rPr>
          <w:rFonts w:ascii="Garamond" w:hAnsi="Garamond" w:cs="Arial"/>
          <w:sz w:val="24"/>
          <w:szCs w:val="24"/>
          <w:lang w:val="pt-PT"/>
        </w:rPr>
        <w:t xml:space="preserve"> t</w:t>
      </w:r>
      <w:r w:rsidRPr="003A1174">
        <w:rPr>
          <w:rFonts w:ascii="Garamond" w:hAnsi="Garamond" w:cs="Arial"/>
          <w:sz w:val="24"/>
          <w:szCs w:val="24"/>
          <w:lang w:val="pt-PT"/>
        </w:rPr>
        <w:t>ais</w:t>
      </w:r>
      <w:r w:rsidR="00CA39B2" w:rsidRPr="003A1174">
        <w:rPr>
          <w:rFonts w:ascii="Garamond" w:hAnsi="Garamond" w:cs="Arial"/>
          <w:sz w:val="24"/>
          <w:szCs w:val="24"/>
          <w:lang w:val="pt-PT"/>
        </w:rPr>
        <w:t xml:space="preserve"> como</w:t>
      </w:r>
      <w:r w:rsidR="00455061">
        <w:rPr>
          <w:rFonts w:ascii="Garamond" w:hAnsi="Garamond" w:cs="Arial"/>
          <w:sz w:val="24"/>
          <w:szCs w:val="24"/>
          <w:lang w:val="pt-PT"/>
        </w:rPr>
        <w:t>,</w:t>
      </w:r>
      <w:r w:rsidRPr="003A1174">
        <w:rPr>
          <w:rFonts w:ascii="Garamond" w:hAnsi="Garamond" w:cs="Arial"/>
          <w:sz w:val="24"/>
          <w:szCs w:val="24"/>
          <w:lang w:val="pt-PT"/>
        </w:rPr>
        <w:t xml:space="preserve"> </w:t>
      </w:r>
      <w:r w:rsidR="00CA39B2" w:rsidRPr="003A1174">
        <w:rPr>
          <w:rFonts w:ascii="Garamond" w:hAnsi="Garamond" w:cs="Arial"/>
          <w:sz w:val="24"/>
          <w:szCs w:val="24"/>
          <w:lang w:val="pt-PT"/>
        </w:rPr>
        <w:t xml:space="preserve">a </w:t>
      </w:r>
      <w:r w:rsidR="00152A44" w:rsidRPr="003A1174">
        <w:rPr>
          <w:rFonts w:ascii="Garamond" w:hAnsi="Garamond" w:cs="Arial"/>
          <w:sz w:val="24"/>
          <w:szCs w:val="24"/>
          <w:lang w:val="pt-PT"/>
        </w:rPr>
        <w:t>capacidade</w:t>
      </w:r>
      <w:r w:rsidR="00CA39B2" w:rsidRPr="003A1174">
        <w:rPr>
          <w:rFonts w:ascii="Garamond" w:hAnsi="Garamond" w:cs="Arial"/>
          <w:sz w:val="24"/>
          <w:szCs w:val="24"/>
          <w:lang w:val="pt-PT"/>
        </w:rPr>
        <w:t xml:space="preserve"> técnica, </w:t>
      </w:r>
      <w:r w:rsidR="00BC651C" w:rsidRPr="003A1174">
        <w:rPr>
          <w:rFonts w:ascii="Garamond" w:hAnsi="Garamond" w:cs="Arial"/>
          <w:sz w:val="24"/>
          <w:szCs w:val="24"/>
          <w:lang w:val="pt-PT"/>
        </w:rPr>
        <w:t xml:space="preserve">a </w:t>
      </w:r>
      <w:r w:rsidR="0017447A" w:rsidRPr="003A1174">
        <w:rPr>
          <w:rFonts w:ascii="Garamond" w:hAnsi="Garamond" w:cs="Arial"/>
          <w:sz w:val="24"/>
          <w:szCs w:val="24"/>
          <w:lang w:val="pt-PT"/>
        </w:rPr>
        <w:t>experiência</w:t>
      </w:r>
      <w:r w:rsidR="00CA39B2"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CA39B2" w:rsidRPr="003A1174">
        <w:rPr>
          <w:rFonts w:ascii="Garamond" w:hAnsi="Garamond" w:cs="Arial"/>
          <w:sz w:val="24"/>
          <w:szCs w:val="24"/>
          <w:lang w:val="pt-PT"/>
        </w:rPr>
        <w:t xml:space="preserve"> </w:t>
      </w:r>
      <w:r w:rsidR="00852CA5" w:rsidRPr="003A1174">
        <w:rPr>
          <w:rFonts w:ascii="Garamond" w:hAnsi="Garamond" w:cs="Arial"/>
          <w:sz w:val="24"/>
          <w:szCs w:val="24"/>
          <w:lang w:val="pt-PT"/>
        </w:rPr>
        <w:t>solvência</w:t>
      </w:r>
      <w:r w:rsidR="00CA39B2" w:rsidRPr="003A1174">
        <w:rPr>
          <w:rFonts w:ascii="Garamond" w:hAnsi="Garamond" w:cs="Arial"/>
          <w:sz w:val="24"/>
          <w:szCs w:val="24"/>
          <w:lang w:val="pt-PT"/>
        </w:rPr>
        <w:t xml:space="preserve"> </w:t>
      </w:r>
      <w:r w:rsidR="00C553E2" w:rsidRPr="003A1174">
        <w:rPr>
          <w:rFonts w:ascii="Garamond" w:hAnsi="Garamond" w:cs="Arial"/>
          <w:sz w:val="24"/>
          <w:szCs w:val="24"/>
          <w:lang w:val="pt-PT"/>
        </w:rPr>
        <w:t>profissional</w:t>
      </w:r>
      <w:r w:rsidR="00CA39B2" w:rsidRPr="003A1174">
        <w:rPr>
          <w:rFonts w:ascii="Garamond" w:hAnsi="Garamond" w:cs="Arial"/>
          <w:sz w:val="24"/>
          <w:szCs w:val="24"/>
          <w:lang w:val="pt-PT"/>
        </w:rPr>
        <w:t xml:space="preserve"> </w:t>
      </w:r>
      <w:r w:rsidR="008A3DA2" w:rsidRPr="003A1174">
        <w:rPr>
          <w:rFonts w:ascii="Garamond" w:hAnsi="Garamond" w:cs="Arial"/>
          <w:sz w:val="24"/>
          <w:szCs w:val="24"/>
          <w:lang w:val="pt-PT"/>
        </w:rPr>
        <w:t>do</w:t>
      </w:r>
      <w:r w:rsidR="00852CA5" w:rsidRPr="003A1174">
        <w:rPr>
          <w:rFonts w:ascii="Garamond" w:hAnsi="Garamond" w:cs="Arial"/>
          <w:sz w:val="24"/>
          <w:szCs w:val="24"/>
          <w:lang w:val="pt-PT"/>
        </w:rPr>
        <w:t xml:space="preserve"> perito, </w:t>
      </w:r>
      <w:r w:rsidR="00CA39B2" w:rsidRPr="003A1174">
        <w:rPr>
          <w:rFonts w:ascii="Garamond" w:hAnsi="Garamond" w:cs="Arial"/>
          <w:sz w:val="24"/>
          <w:szCs w:val="24"/>
          <w:lang w:val="pt-PT"/>
        </w:rPr>
        <w:t xml:space="preserve">a </w:t>
      </w:r>
      <w:r w:rsidR="00852CA5" w:rsidRPr="003A1174">
        <w:rPr>
          <w:rFonts w:ascii="Garamond" w:hAnsi="Garamond" w:cs="Arial"/>
          <w:sz w:val="24"/>
          <w:szCs w:val="24"/>
          <w:lang w:val="pt-PT"/>
        </w:rPr>
        <w:t>idoneidade</w:t>
      </w:r>
      <w:r w:rsidR="00CA39B2" w:rsidRPr="003A1174">
        <w:rPr>
          <w:rFonts w:ascii="Garamond" w:hAnsi="Garamond" w:cs="Arial"/>
          <w:sz w:val="24"/>
          <w:szCs w:val="24"/>
          <w:lang w:val="pt-PT"/>
        </w:rPr>
        <w:t xml:space="preserve"> </w:t>
      </w:r>
      <w:r w:rsidR="008A3DA2" w:rsidRPr="003A1174">
        <w:rPr>
          <w:rFonts w:ascii="Garamond" w:hAnsi="Garamond" w:cs="Arial"/>
          <w:sz w:val="24"/>
          <w:szCs w:val="24"/>
          <w:lang w:val="pt-PT"/>
        </w:rPr>
        <w:t>do</w:t>
      </w:r>
      <w:r w:rsidR="00CA39B2" w:rsidRPr="003A1174">
        <w:rPr>
          <w:rFonts w:ascii="Garamond" w:hAnsi="Garamond" w:cs="Arial"/>
          <w:sz w:val="24"/>
          <w:szCs w:val="24"/>
          <w:lang w:val="pt-PT"/>
        </w:rPr>
        <w:t xml:space="preserve"> método utilizado </w:t>
      </w:r>
      <w:r w:rsidR="00497503" w:rsidRPr="003A1174">
        <w:rPr>
          <w:rFonts w:ascii="Garamond" w:hAnsi="Garamond" w:cs="Arial"/>
          <w:sz w:val="24"/>
          <w:szCs w:val="24"/>
          <w:lang w:val="pt-PT"/>
        </w:rPr>
        <w:t>e</w:t>
      </w:r>
      <w:r w:rsidR="00CA39B2" w:rsidRPr="003A1174">
        <w:rPr>
          <w:rFonts w:ascii="Garamond" w:hAnsi="Garamond" w:cs="Arial"/>
          <w:sz w:val="24"/>
          <w:szCs w:val="24"/>
          <w:lang w:val="pt-PT"/>
        </w:rPr>
        <w:t xml:space="preserve"> </w:t>
      </w:r>
      <w:r w:rsidR="00852CA5" w:rsidRPr="003A1174">
        <w:rPr>
          <w:rFonts w:ascii="Garamond" w:hAnsi="Garamond" w:cs="Arial"/>
          <w:sz w:val="24"/>
          <w:szCs w:val="24"/>
          <w:lang w:val="pt-PT"/>
        </w:rPr>
        <w:t>a</w:t>
      </w:r>
      <w:r w:rsidR="00CA39B2" w:rsidRPr="003A1174">
        <w:rPr>
          <w:rFonts w:ascii="Garamond" w:hAnsi="Garamond" w:cs="Arial"/>
          <w:sz w:val="24"/>
          <w:szCs w:val="24"/>
          <w:lang w:val="pt-PT"/>
        </w:rPr>
        <w:t xml:space="preserve"> </w:t>
      </w:r>
      <w:r w:rsidR="0017447A" w:rsidRPr="003A1174">
        <w:rPr>
          <w:rFonts w:ascii="Garamond" w:hAnsi="Garamond" w:cs="Arial"/>
          <w:sz w:val="24"/>
          <w:szCs w:val="24"/>
          <w:lang w:val="pt-PT"/>
        </w:rPr>
        <w:t>análise</w:t>
      </w:r>
      <w:r w:rsidR="00852CA5" w:rsidRPr="003A1174">
        <w:rPr>
          <w:rFonts w:ascii="Garamond" w:hAnsi="Garamond" w:cs="Arial"/>
          <w:sz w:val="24"/>
          <w:szCs w:val="24"/>
          <w:lang w:val="pt-PT"/>
        </w:rPr>
        <w:t xml:space="preserve"> específica</w:t>
      </w:r>
      <w:r w:rsidR="00CA39B2" w:rsidRPr="003A1174">
        <w:rPr>
          <w:rFonts w:ascii="Garamond" w:hAnsi="Garamond" w:cs="Arial"/>
          <w:sz w:val="24"/>
          <w:szCs w:val="24"/>
          <w:lang w:val="pt-PT"/>
        </w:rPr>
        <w:t xml:space="preserve"> aplicad</w:t>
      </w:r>
      <w:r w:rsidR="00852CA5" w:rsidRPr="003A1174">
        <w:rPr>
          <w:rFonts w:ascii="Garamond" w:hAnsi="Garamond" w:cs="Arial"/>
          <w:sz w:val="24"/>
          <w:szCs w:val="24"/>
          <w:lang w:val="pt-PT"/>
        </w:rPr>
        <w:t xml:space="preserve">a ao </w:t>
      </w:r>
      <w:r w:rsidR="00CA39B2" w:rsidRPr="003A1174">
        <w:rPr>
          <w:rFonts w:ascii="Garamond" w:hAnsi="Garamond" w:cs="Arial"/>
          <w:sz w:val="24"/>
          <w:szCs w:val="24"/>
          <w:lang w:val="pt-PT"/>
        </w:rPr>
        <w:t>caso e</w:t>
      </w:r>
      <w:r w:rsidR="00852CA5" w:rsidRPr="003A1174">
        <w:rPr>
          <w:rFonts w:ascii="Garamond" w:hAnsi="Garamond" w:cs="Arial"/>
          <w:sz w:val="24"/>
          <w:szCs w:val="24"/>
          <w:lang w:val="pt-PT"/>
        </w:rPr>
        <w:t>m</w:t>
      </w:r>
      <w:r w:rsidR="00CA39B2" w:rsidRPr="003A1174">
        <w:rPr>
          <w:rFonts w:ascii="Garamond" w:hAnsi="Garamond" w:cs="Arial"/>
          <w:sz w:val="24"/>
          <w:szCs w:val="24"/>
          <w:lang w:val="pt-PT"/>
        </w:rPr>
        <w:t xml:space="preserve"> concreto, entre </w:t>
      </w:r>
      <w:r w:rsidR="0017447A" w:rsidRPr="003A1174">
        <w:rPr>
          <w:rFonts w:ascii="Garamond" w:hAnsi="Garamond" w:cs="Arial"/>
          <w:sz w:val="24"/>
          <w:szCs w:val="24"/>
          <w:lang w:val="pt-PT"/>
        </w:rPr>
        <w:t>outras</w:t>
      </w:r>
      <w:r w:rsidR="00CA39B2" w:rsidRPr="003A1174">
        <w:rPr>
          <w:rFonts w:ascii="Garamond" w:hAnsi="Garamond" w:cs="Arial"/>
          <w:sz w:val="24"/>
          <w:szCs w:val="24"/>
          <w:lang w:val="pt-PT"/>
        </w:rPr>
        <w:t xml:space="preserve">. </w:t>
      </w:r>
      <w:r w:rsidR="00852CA5" w:rsidRPr="003A1174">
        <w:rPr>
          <w:rFonts w:ascii="Garamond" w:hAnsi="Garamond" w:cs="Arial"/>
          <w:sz w:val="24"/>
          <w:szCs w:val="24"/>
          <w:lang w:val="pt-PT"/>
        </w:rPr>
        <w:t>I</w:t>
      </w:r>
      <w:r w:rsidR="00CA39B2" w:rsidRPr="003A1174">
        <w:rPr>
          <w:rFonts w:ascii="Garamond" w:hAnsi="Garamond" w:cs="Arial"/>
          <w:sz w:val="24"/>
          <w:szCs w:val="24"/>
          <w:lang w:val="pt-PT"/>
        </w:rPr>
        <w:t xml:space="preserve">sto </w:t>
      </w:r>
      <w:r w:rsidR="00852CA5" w:rsidRPr="003A1174">
        <w:rPr>
          <w:rFonts w:ascii="Garamond" w:hAnsi="Garamond" w:cs="Arial"/>
          <w:sz w:val="24"/>
          <w:szCs w:val="24"/>
          <w:lang w:val="pt-PT"/>
        </w:rPr>
        <w:t>irá exigir</w:t>
      </w:r>
      <w:r w:rsidR="00CA39B2" w:rsidRPr="003A1174">
        <w:rPr>
          <w:rFonts w:ascii="Garamond" w:hAnsi="Garamond" w:cs="Arial"/>
          <w:sz w:val="24"/>
          <w:szCs w:val="24"/>
          <w:lang w:val="pt-PT"/>
        </w:rPr>
        <w:t xml:space="preserve"> u</w:t>
      </w:r>
      <w:r w:rsidR="00852CA5" w:rsidRPr="003A1174">
        <w:rPr>
          <w:rFonts w:ascii="Garamond" w:hAnsi="Garamond" w:cs="Arial"/>
          <w:sz w:val="24"/>
          <w:szCs w:val="24"/>
          <w:lang w:val="pt-PT"/>
        </w:rPr>
        <w:t>m</w:t>
      </w:r>
      <w:r w:rsidR="00CA39B2" w:rsidRPr="003A1174">
        <w:rPr>
          <w:rFonts w:ascii="Garamond" w:hAnsi="Garamond" w:cs="Arial"/>
          <w:sz w:val="24"/>
          <w:szCs w:val="24"/>
          <w:lang w:val="pt-PT"/>
        </w:rPr>
        <w:t xml:space="preserve"> </w:t>
      </w:r>
      <w:r w:rsidR="00863197" w:rsidRPr="003A1174">
        <w:rPr>
          <w:rFonts w:ascii="Garamond" w:hAnsi="Garamond" w:cs="Arial"/>
          <w:sz w:val="24"/>
          <w:szCs w:val="24"/>
          <w:lang w:val="pt-PT"/>
        </w:rPr>
        <w:t>maior</w:t>
      </w:r>
      <w:r w:rsidR="00CA39B2" w:rsidRPr="003A1174">
        <w:rPr>
          <w:rFonts w:ascii="Garamond" w:hAnsi="Garamond" w:cs="Arial"/>
          <w:sz w:val="24"/>
          <w:szCs w:val="24"/>
          <w:lang w:val="pt-PT"/>
        </w:rPr>
        <w:t xml:space="preserve"> número </w:t>
      </w:r>
      <w:r w:rsidR="00497503" w:rsidRPr="003A1174">
        <w:rPr>
          <w:rFonts w:ascii="Garamond" w:hAnsi="Garamond" w:cs="Arial"/>
          <w:sz w:val="24"/>
          <w:szCs w:val="24"/>
          <w:lang w:val="pt-PT"/>
        </w:rPr>
        <w:t>e</w:t>
      </w:r>
      <w:r w:rsidR="00CA39B2" w:rsidRPr="003A1174">
        <w:rPr>
          <w:rFonts w:ascii="Garamond" w:hAnsi="Garamond" w:cs="Arial"/>
          <w:sz w:val="24"/>
          <w:szCs w:val="24"/>
          <w:lang w:val="pt-PT"/>
        </w:rPr>
        <w:t xml:space="preserve"> </w:t>
      </w:r>
      <w:r w:rsidR="002A71E1">
        <w:rPr>
          <w:rFonts w:ascii="Garamond" w:hAnsi="Garamond" w:cs="Arial"/>
          <w:sz w:val="24"/>
          <w:szCs w:val="24"/>
          <w:lang w:val="pt-PT"/>
        </w:rPr>
        <w:t>formação</w:t>
      </w:r>
      <w:r w:rsidR="00CA39B2" w:rsidRPr="003A1174">
        <w:rPr>
          <w:rFonts w:ascii="Garamond" w:hAnsi="Garamond" w:cs="Arial"/>
          <w:sz w:val="24"/>
          <w:szCs w:val="24"/>
          <w:lang w:val="pt-PT"/>
        </w:rPr>
        <w:t xml:space="preserve"> de peritos e</w:t>
      </w:r>
      <w:r w:rsidR="00852CA5" w:rsidRPr="003A1174">
        <w:rPr>
          <w:rFonts w:ascii="Garamond" w:hAnsi="Garamond" w:cs="Arial"/>
          <w:sz w:val="24"/>
          <w:szCs w:val="24"/>
          <w:lang w:val="pt-PT"/>
        </w:rPr>
        <w:t>m</w:t>
      </w:r>
      <w:r w:rsidR="00CA39B2" w:rsidRPr="003A1174">
        <w:rPr>
          <w:rFonts w:ascii="Garamond" w:hAnsi="Garamond" w:cs="Arial"/>
          <w:sz w:val="24"/>
          <w:szCs w:val="24"/>
          <w:lang w:val="pt-PT"/>
        </w:rPr>
        <w:t xml:space="preserve"> </w:t>
      </w:r>
      <w:r w:rsidR="00EF645F" w:rsidRPr="003A1174">
        <w:rPr>
          <w:rFonts w:ascii="Garamond" w:hAnsi="Garamond" w:cs="Arial"/>
          <w:sz w:val="24"/>
          <w:szCs w:val="24"/>
          <w:lang w:val="pt-PT"/>
        </w:rPr>
        <w:t>matéria</w:t>
      </w:r>
      <w:r w:rsidR="00CA39B2" w:rsidRPr="003A1174">
        <w:rPr>
          <w:rFonts w:ascii="Garamond" w:hAnsi="Garamond" w:cs="Arial"/>
          <w:sz w:val="24"/>
          <w:szCs w:val="24"/>
          <w:lang w:val="pt-PT"/>
        </w:rPr>
        <w:t xml:space="preserve"> de d</w:t>
      </w:r>
      <w:r w:rsidR="002C7510" w:rsidRPr="003A1174">
        <w:rPr>
          <w:rFonts w:ascii="Garamond" w:hAnsi="Garamond" w:cs="Arial"/>
          <w:sz w:val="24"/>
          <w:szCs w:val="24"/>
          <w:lang w:val="pt-PT"/>
        </w:rPr>
        <w:t>ano</w:t>
      </w:r>
      <w:r w:rsidR="00CA39B2" w:rsidRPr="003A1174">
        <w:rPr>
          <w:rFonts w:ascii="Garamond" w:hAnsi="Garamond" w:cs="Arial"/>
          <w:sz w:val="24"/>
          <w:szCs w:val="24"/>
          <w:lang w:val="pt-PT"/>
        </w:rPr>
        <w:t xml:space="preserve"> psicológico.</w:t>
      </w:r>
    </w:p>
    <w:p w:rsidR="00CA39B2" w:rsidRPr="003A1174" w:rsidRDefault="00CA39B2"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Finalmente, durante </w:t>
      </w:r>
      <w:r w:rsidR="00852CA5" w:rsidRPr="003A1174">
        <w:rPr>
          <w:rFonts w:ascii="Garamond" w:hAnsi="Garamond" w:cs="Arial"/>
          <w:sz w:val="24"/>
          <w:szCs w:val="24"/>
        </w:rPr>
        <w:t xml:space="preserve">o </w:t>
      </w:r>
      <w:r w:rsidRPr="003A1174">
        <w:rPr>
          <w:rFonts w:ascii="Garamond" w:hAnsi="Garamond" w:cs="Arial"/>
          <w:sz w:val="24"/>
          <w:szCs w:val="24"/>
        </w:rPr>
        <w:t xml:space="preserve">período </w:t>
      </w:r>
      <w:r w:rsidR="00455061">
        <w:rPr>
          <w:rFonts w:ascii="Garamond" w:hAnsi="Garamond" w:cs="Arial"/>
          <w:sz w:val="24"/>
          <w:szCs w:val="24"/>
        </w:rPr>
        <w:t xml:space="preserve">em que se levou a cabo o </w:t>
      </w:r>
      <w:r w:rsidRPr="003A1174">
        <w:rPr>
          <w:rFonts w:ascii="Garamond" w:hAnsi="Garamond" w:cs="Arial"/>
          <w:sz w:val="24"/>
          <w:szCs w:val="24"/>
        </w:rPr>
        <w:t xml:space="preserve">presente </w:t>
      </w:r>
      <w:r w:rsidR="009E3E55" w:rsidRPr="003A1174">
        <w:rPr>
          <w:rFonts w:ascii="Garamond" w:hAnsi="Garamond" w:cs="Arial"/>
          <w:sz w:val="24"/>
          <w:szCs w:val="24"/>
        </w:rPr>
        <w:t>relatório</w:t>
      </w:r>
      <w:r w:rsidR="00455061">
        <w:rPr>
          <w:rFonts w:ascii="Garamond" w:hAnsi="Garamond" w:cs="Arial"/>
          <w:sz w:val="24"/>
          <w:szCs w:val="24"/>
        </w:rPr>
        <w:t>,</w:t>
      </w:r>
      <w:r w:rsidRPr="003A1174">
        <w:rPr>
          <w:rFonts w:ascii="Garamond" w:hAnsi="Garamond" w:cs="Arial"/>
          <w:sz w:val="24"/>
          <w:szCs w:val="24"/>
        </w:rPr>
        <w:t xml:space="preserve"> </w:t>
      </w:r>
      <w:r w:rsidR="00852CA5" w:rsidRPr="003A1174">
        <w:rPr>
          <w:rFonts w:ascii="Garamond" w:hAnsi="Garamond" w:cs="Arial"/>
          <w:sz w:val="24"/>
          <w:szCs w:val="24"/>
        </w:rPr>
        <w:t xml:space="preserve">é importante destacar </w:t>
      </w:r>
      <w:r w:rsidRPr="003A1174">
        <w:rPr>
          <w:rFonts w:ascii="Garamond" w:hAnsi="Garamond" w:cs="Arial"/>
          <w:sz w:val="24"/>
          <w:szCs w:val="24"/>
        </w:rPr>
        <w:t xml:space="preserve">a </w:t>
      </w:r>
      <w:r w:rsidR="00201889" w:rsidRPr="003A1174">
        <w:rPr>
          <w:rFonts w:ascii="Garamond" w:hAnsi="Garamond" w:cs="Arial"/>
          <w:sz w:val="24"/>
          <w:szCs w:val="24"/>
        </w:rPr>
        <w:t>criação</w:t>
      </w:r>
      <w:r w:rsidRPr="003A1174">
        <w:rPr>
          <w:rFonts w:ascii="Garamond" w:hAnsi="Garamond" w:cs="Arial"/>
          <w:sz w:val="24"/>
          <w:szCs w:val="24"/>
        </w:rPr>
        <w:t xml:space="preserve"> de u</w:t>
      </w:r>
      <w:r w:rsidR="00852CA5" w:rsidRPr="003A1174">
        <w:rPr>
          <w:rFonts w:ascii="Garamond" w:hAnsi="Garamond" w:cs="Arial"/>
          <w:sz w:val="24"/>
          <w:szCs w:val="24"/>
        </w:rPr>
        <w:t xml:space="preserve">m </w:t>
      </w:r>
      <w:r w:rsidR="00175015" w:rsidRPr="003A1174">
        <w:rPr>
          <w:rFonts w:ascii="Garamond" w:hAnsi="Garamond" w:cs="Arial"/>
          <w:sz w:val="24"/>
          <w:szCs w:val="24"/>
        </w:rPr>
        <w:t>Observatório</w:t>
      </w:r>
      <w:r w:rsidRPr="003A1174">
        <w:rPr>
          <w:rFonts w:ascii="Garamond" w:hAnsi="Garamond" w:cs="Arial"/>
          <w:sz w:val="24"/>
          <w:szCs w:val="24"/>
        </w:rPr>
        <w:t xml:space="preserve"> </w:t>
      </w:r>
      <w:r w:rsidR="00852CA5" w:rsidRPr="003A1174">
        <w:rPr>
          <w:rFonts w:ascii="Garamond" w:hAnsi="Garamond" w:cs="Arial"/>
          <w:sz w:val="24"/>
          <w:szCs w:val="24"/>
        </w:rPr>
        <w:t xml:space="preserve">no </w:t>
      </w:r>
      <w:r w:rsidRPr="003A1174">
        <w:rPr>
          <w:rFonts w:ascii="Garamond" w:hAnsi="Garamond" w:cs="Arial"/>
          <w:sz w:val="24"/>
          <w:szCs w:val="24"/>
        </w:rPr>
        <w:t xml:space="preserve">Distrito Judicial da </w:t>
      </w:r>
      <w:r w:rsidR="0017447A" w:rsidRPr="003A1174">
        <w:rPr>
          <w:rFonts w:ascii="Garamond" w:hAnsi="Garamond" w:cs="Arial"/>
          <w:sz w:val="24"/>
          <w:szCs w:val="24"/>
        </w:rPr>
        <w:t>Região</w:t>
      </w:r>
      <w:r w:rsidR="00852CA5" w:rsidRPr="003A1174">
        <w:rPr>
          <w:rFonts w:ascii="Garamond" w:hAnsi="Garamond" w:cs="Arial"/>
          <w:sz w:val="24"/>
          <w:szCs w:val="24"/>
        </w:rPr>
        <w:t xml:space="preserve"> San Martín, cuj</w:t>
      </w:r>
      <w:r w:rsidRPr="003A1174">
        <w:rPr>
          <w:rFonts w:ascii="Garamond" w:hAnsi="Garamond" w:cs="Arial"/>
          <w:sz w:val="24"/>
          <w:szCs w:val="24"/>
        </w:rPr>
        <w:t xml:space="preserve">o objetivo </w:t>
      </w:r>
      <w:r w:rsidR="00852CA5" w:rsidRPr="003A1174">
        <w:rPr>
          <w:rFonts w:ascii="Garamond" w:hAnsi="Garamond" w:cs="Arial"/>
          <w:sz w:val="24"/>
          <w:szCs w:val="24"/>
        </w:rPr>
        <w:t>é</w:t>
      </w:r>
      <w:r w:rsidRPr="003A1174">
        <w:rPr>
          <w:rFonts w:ascii="Garamond" w:hAnsi="Garamond" w:cs="Arial"/>
          <w:sz w:val="24"/>
          <w:szCs w:val="24"/>
        </w:rPr>
        <w:t xml:space="preserve"> </w:t>
      </w:r>
      <w:r w:rsidR="008651AF" w:rsidRPr="003A1174">
        <w:rPr>
          <w:rFonts w:ascii="Garamond" w:hAnsi="Garamond" w:cs="Arial"/>
          <w:sz w:val="24"/>
          <w:szCs w:val="24"/>
        </w:rPr>
        <w:t>avaliar</w:t>
      </w:r>
      <w:r w:rsidR="00852CA5" w:rsidRPr="003A1174">
        <w:rPr>
          <w:rFonts w:ascii="Garamond" w:hAnsi="Garamond" w:cs="Arial"/>
          <w:sz w:val="24"/>
          <w:szCs w:val="24"/>
        </w:rPr>
        <w:t xml:space="preserve"> </w:t>
      </w:r>
      <w:r w:rsidRPr="003A1174">
        <w:rPr>
          <w:rFonts w:ascii="Garamond" w:hAnsi="Garamond" w:cs="Arial"/>
          <w:sz w:val="24"/>
          <w:szCs w:val="24"/>
        </w:rPr>
        <w:t xml:space="preserve">a </w:t>
      </w:r>
      <w:r w:rsidR="006C760C" w:rsidRPr="003A1174">
        <w:rPr>
          <w:rFonts w:ascii="Garamond" w:hAnsi="Garamond" w:cs="Arial"/>
          <w:sz w:val="24"/>
          <w:szCs w:val="24"/>
        </w:rPr>
        <w:t>implementação</w:t>
      </w:r>
      <w:r w:rsidRPr="003A1174">
        <w:rPr>
          <w:rFonts w:ascii="Garamond" w:hAnsi="Garamond" w:cs="Arial"/>
          <w:sz w:val="24"/>
          <w:szCs w:val="24"/>
        </w:rPr>
        <w:t xml:space="preserve"> </w:t>
      </w:r>
      <w:r w:rsidR="00D84A9F" w:rsidRPr="003A1174">
        <w:rPr>
          <w:rFonts w:ascii="Garamond" w:hAnsi="Garamond" w:cs="Arial"/>
          <w:sz w:val="24"/>
          <w:szCs w:val="24"/>
        </w:rPr>
        <w:t>efetiva</w:t>
      </w:r>
      <w:r w:rsidRPr="003A1174">
        <w:rPr>
          <w:rFonts w:ascii="Garamond" w:hAnsi="Garamond" w:cs="Arial"/>
          <w:sz w:val="24"/>
          <w:szCs w:val="24"/>
        </w:rPr>
        <w:t xml:space="preserve"> </w:t>
      </w:r>
      <w:r w:rsidR="00852CA5" w:rsidRPr="003A1174">
        <w:rPr>
          <w:rFonts w:ascii="Garamond" w:hAnsi="Garamond" w:cs="Arial"/>
          <w:sz w:val="24"/>
          <w:szCs w:val="24"/>
        </w:rPr>
        <w:t>n</w:t>
      </w:r>
      <w:r w:rsidRPr="003A1174">
        <w:rPr>
          <w:rFonts w:ascii="Garamond" w:hAnsi="Garamond" w:cs="Arial"/>
          <w:sz w:val="24"/>
          <w:szCs w:val="24"/>
        </w:rPr>
        <w:t xml:space="preserve">esta </w:t>
      </w:r>
      <w:r w:rsidR="00731B19" w:rsidRPr="003A1174">
        <w:rPr>
          <w:rFonts w:ascii="Garamond" w:hAnsi="Garamond" w:cs="Arial"/>
          <w:sz w:val="24"/>
          <w:szCs w:val="24"/>
        </w:rPr>
        <w:t>jurisdição</w:t>
      </w:r>
      <w:r w:rsidRPr="003A1174">
        <w:rPr>
          <w:rFonts w:ascii="Garamond" w:hAnsi="Garamond" w:cs="Arial"/>
          <w:sz w:val="24"/>
          <w:szCs w:val="24"/>
        </w:rPr>
        <w:t xml:space="preserve"> </w:t>
      </w:r>
      <w:r w:rsidR="008A3DA2" w:rsidRPr="003A1174">
        <w:rPr>
          <w:rFonts w:ascii="Garamond" w:hAnsi="Garamond" w:cs="Arial"/>
          <w:sz w:val="24"/>
          <w:szCs w:val="24"/>
        </w:rPr>
        <w:t>do</w:t>
      </w:r>
      <w:r w:rsidRPr="003A1174">
        <w:rPr>
          <w:rFonts w:ascii="Garamond" w:hAnsi="Garamond" w:cs="Arial"/>
          <w:sz w:val="24"/>
          <w:szCs w:val="24"/>
        </w:rPr>
        <w:t xml:space="preserve"> </w:t>
      </w:r>
      <w:r w:rsidR="003F012B" w:rsidRPr="003A1174">
        <w:rPr>
          <w:rFonts w:ascii="Garamond" w:hAnsi="Garamond" w:cs="Arial"/>
          <w:sz w:val="24"/>
          <w:szCs w:val="24"/>
        </w:rPr>
        <w:t>Acordo</w:t>
      </w:r>
      <w:r w:rsidRPr="003A1174">
        <w:rPr>
          <w:rFonts w:ascii="Garamond" w:hAnsi="Garamond" w:cs="Arial"/>
          <w:sz w:val="24"/>
          <w:szCs w:val="24"/>
        </w:rPr>
        <w:t xml:space="preserve"> </w:t>
      </w:r>
      <w:r w:rsidR="00175015" w:rsidRPr="003A1174">
        <w:rPr>
          <w:rFonts w:ascii="Garamond" w:hAnsi="Garamond" w:cs="Arial"/>
          <w:sz w:val="24"/>
          <w:szCs w:val="24"/>
        </w:rPr>
        <w:t>Plenário</w:t>
      </w:r>
      <w:r w:rsidRPr="003A1174">
        <w:rPr>
          <w:rFonts w:ascii="Garamond" w:hAnsi="Garamond" w:cs="Arial"/>
          <w:sz w:val="24"/>
          <w:szCs w:val="24"/>
        </w:rPr>
        <w:t xml:space="preserve"> </w:t>
      </w:r>
      <w:r w:rsidR="00852CA5" w:rsidRPr="003A1174">
        <w:rPr>
          <w:rFonts w:ascii="Garamond" w:hAnsi="Garamond" w:cs="Arial"/>
          <w:sz w:val="24"/>
          <w:szCs w:val="24"/>
        </w:rPr>
        <w:t>mencionado</w:t>
      </w:r>
      <w:r w:rsidRPr="003A1174">
        <w:rPr>
          <w:rFonts w:ascii="Garamond" w:hAnsi="Garamond" w:cs="Arial"/>
          <w:sz w:val="24"/>
          <w:szCs w:val="24"/>
        </w:rPr>
        <w:t xml:space="preserve">. </w:t>
      </w:r>
    </w:p>
    <w:p w:rsidR="005777DA" w:rsidRPr="003A1174" w:rsidRDefault="0017447A" w:rsidP="008719D4">
      <w:pPr>
        <w:pStyle w:val="Ttulo3"/>
        <w:spacing w:line="240" w:lineRule="auto"/>
        <w:rPr>
          <w:rFonts w:ascii="Garamond" w:hAnsi="Garamond"/>
          <w:b w:val="0"/>
          <w:sz w:val="24"/>
          <w:szCs w:val="24"/>
        </w:rPr>
      </w:pPr>
      <w:bookmarkStart w:id="39" w:name="_Toc421529727"/>
      <w:r w:rsidRPr="003A1174">
        <w:rPr>
          <w:rStyle w:val="Ttulo3Car"/>
          <w:rFonts w:ascii="Garamond" w:hAnsi="Garamond"/>
          <w:b/>
          <w:sz w:val="24"/>
          <w:szCs w:val="24"/>
        </w:rPr>
        <w:t>Porto</w:t>
      </w:r>
      <w:r w:rsidR="006466A5" w:rsidRPr="003A1174">
        <w:rPr>
          <w:rStyle w:val="Ttulo3Car"/>
          <w:rFonts w:ascii="Garamond" w:hAnsi="Garamond"/>
          <w:b/>
          <w:sz w:val="24"/>
          <w:szCs w:val="24"/>
        </w:rPr>
        <w:t xml:space="preserve"> Rico</w:t>
      </w:r>
      <w:bookmarkEnd w:id="39"/>
    </w:p>
    <w:p w:rsidR="00D87E68" w:rsidRDefault="008E640B" w:rsidP="00852CA5">
      <w:pPr>
        <w:spacing w:before="240" w:line="240" w:lineRule="auto"/>
        <w:jc w:val="both"/>
        <w:rPr>
          <w:rFonts w:ascii="Garamond" w:eastAsia="Century Gothic" w:hAnsi="Garamond" w:cs="Arial"/>
          <w:spacing w:val="11"/>
          <w:sz w:val="24"/>
          <w:szCs w:val="24"/>
        </w:rPr>
      </w:pPr>
      <w:r w:rsidRPr="003A1174">
        <w:rPr>
          <w:rFonts w:ascii="Garamond" w:hAnsi="Garamond" w:cs="Arial"/>
          <w:sz w:val="24"/>
          <w:szCs w:val="24"/>
        </w:rPr>
        <w:t xml:space="preserve">Sobre </w:t>
      </w:r>
      <w:r w:rsidR="00852CA5" w:rsidRPr="003A1174">
        <w:rPr>
          <w:rFonts w:ascii="Garamond" w:hAnsi="Garamond" w:cs="Arial"/>
          <w:sz w:val="24"/>
          <w:szCs w:val="24"/>
        </w:rPr>
        <w:t xml:space="preserve">o </w:t>
      </w:r>
      <w:r w:rsidRPr="003A1174">
        <w:rPr>
          <w:rFonts w:ascii="Garamond" w:hAnsi="Garamond" w:cs="Arial"/>
          <w:sz w:val="24"/>
          <w:szCs w:val="24"/>
        </w:rPr>
        <w:t xml:space="preserve">tema de </w:t>
      </w:r>
      <w:r w:rsidR="00FC1F7F" w:rsidRPr="003A1174">
        <w:rPr>
          <w:rFonts w:ascii="Garamond" w:hAnsi="Garamond" w:cs="Arial"/>
          <w:sz w:val="24"/>
          <w:szCs w:val="24"/>
        </w:rPr>
        <w:t>sentença</w:t>
      </w:r>
      <w:r w:rsidRPr="003A1174">
        <w:rPr>
          <w:rFonts w:ascii="Garamond" w:hAnsi="Garamond" w:cs="Arial"/>
          <w:sz w:val="24"/>
          <w:szCs w:val="24"/>
        </w:rPr>
        <w:t>s emblemáticas</w:t>
      </w:r>
      <w:r w:rsidR="00455061">
        <w:rPr>
          <w:rFonts w:ascii="Garamond" w:hAnsi="Garamond" w:cs="Arial"/>
          <w:sz w:val="24"/>
          <w:szCs w:val="24"/>
        </w:rPr>
        <w:t>,</w:t>
      </w:r>
      <w:r w:rsidRPr="003A1174">
        <w:rPr>
          <w:rFonts w:ascii="Garamond" w:hAnsi="Garamond" w:cs="Arial"/>
          <w:sz w:val="24"/>
          <w:szCs w:val="24"/>
        </w:rPr>
        <w:t xml:space="preserve"> e</w:t>
      </w:r>
      <w:r w:rsidR="00852CA5"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0350B1" w:rsidRPr="003A1174">
        <w:rPr>
          <w:rFonts w:ascii="Garamond" w:hAnsi="Garamond" w:cs="Arial"/>
          <w:sz w:val="24"/>
          <w:szCs w:val="24"/>
        </w:rPr>
        <w:t>violência</w:t>
      </w:r>
      <w:r w:rsidR="00852CA5" w:rsidRPr="003A1174">
        <w:rPr>
          <w:rFonts w:ascii="Garamond" w:hAnsi="Garamond" w:cs="Arial"/>
          <w:sz w:val="24"/>
          <w:szCs w:val="24"/>
        </w:rPr>
        <w:t xml:space="preserve"> contra </w:t>
      </w:r>
      <w:r w:rsidRPr="003A1174">
        <w:rPr>
          <w:rFonts w:ascii="Garamond" w:hAnsi="Garamond" w:cs="Arial"/>
          <w:sz w:val="24"/>
          <w:szCs w:val="24"/>
        </w:rPr>
        <w:t xml:space="preserve">a </w:t>
      </w:r>
      <w:r w:rsidR="00AF192F" w:rsidRPr="003A1174">
        <w:rPr>
          <w:rFonts w:ascii="Garamond" w:hAnsi="Garamond" w:cs="Arial"/>
          <w:sz w:val="24"/>
          <w:szCs w:val="24"/>
        </w:rPr>
        <w:t>mulher</w:t>
      </w:r>
      <w:r w:rsidR="00455061">
        <w:rPr>
          <w:rFonts w:ascii="Garamond" w:hAnsi="Garamond" w:cs="Arial"/>
          <w:sz w:val="24"/>
          <w:szCs w:val="24"/>
        </w:rPr>
        <w:t>,</w:t>
      </w:r>
      <w:r w:rsidRPr="003A1174">
        <w:rPr>
          <w:rFonts w:ascii="Garamond" w:hAnsi="Garamond" w:cs="Arial"/>
          <w:sz w:val="24"/>
          <w:szCs w:val="24"/>
        </w:rPr>
        <w:t xml:space="preserve"> que</w:t>
      </w:r>
      <w:r w:rsidR="00852CA5" w:rsidRPr="003A1174">
        <w:rPr>
          <w:rFonts w:ascii="Garamond" w:hAnsi="Garamond" w:cs="Arial"/>
          <w:sz w:val="24"/>
          <w:szCs w:val="24"/>
        </w:rPr>
        <w:t xml:space="preserve"> tenham tido </w:t>
      </w:r>
      <w:r w:rsidR="002E2C71" w:rsidRPr="003A1174">
        <w:rPr>
          <w:rFonts w:ascii="Garamond" w:hAnsi="Garamond" w:cs="Arial"/>
          <w:sz w:val="24"/>
          <w:szCs w:val="24"/>
        </w:rPr>
        <w:t>relevância</w:t>
      </w:r>
      <w:r w:rsidR="00852CA5" w:rsidRPr="003A1174">
        <w:rPr>
          <w:rFonts w:ascii="Garamond" w:hAnsi="Garamond" w:cs="Arial"/>
          <w:sz w:val="24"/>
          <w:szCs w:val="24"/>
        </w:rPr>
        <w:t xml:space="preserve"> em</w:t>
      </w:r>
      <w:r w:rsidRPr="003A1174">
        <w:rPr>
          <w:rFonts w:ascii="Garamond" w:hAnsi="Garamond" w:cs="Arial"/>
          <w:sz w:val="24"/>
          <w:szCs w:val="24"/>
        </w:rPr>
        <w:t xml:space="preserve"> cada </w:t>
      </w:r>
      <w:r w:rsidR="00BC651C" w:rsidRPr="003A1174">
        <w:rPr>
          <w:rFonts w:ascii="Garamond" w:hAnsi="Garamond" w:cs="Arial"/>
          <w:sz w:val="24"/>
          <w:szCs w:val="24"/>
        </w:rPr>
        <w:t>país,</w:t>
      </w:r>
      <w:r w:rsidRPr="003A1174">
        <w:rPr>
          <w:rFonts w:ascii="Garamond" w:hAnsi="Garamond" w:cs="Arial"/>
          <w:sz w:val="24"/>
          <w:szCs w:val="24"/>
        </w:rPr>
        <w:t xml:space="preserve"> </w:t>
      </w:r>
      <w:r w:rsidR="00A862C2" w:rsidRPr="003A1174">
        <w:rPr>
          <w:rFonts w:ascii="Garamond" w:hAnsi="Garamond" w:cs="Arial"/>
          <w:sz w:val="24"/>
          <w:szCs w:val="24"/>
        </w:rPr>
        <w:t>deve</w:t>
      </w:r>
      <w:r w:rsidRPr="003A1174">
        <w:rPr>
          <w:rFonts w:ascii="Garamond" w:hAnsi="Garamond" w:cs="Arial"/>
          <w:sz w:val="24"/>
          <w:szCs w:val="24"/>
        </w:rPr>
        <w:t xml:space="preserve">mos </w:t>
      </w:r>
      <w:r w:rsidR="00852CA5" w:rsidRPr="003A1174">
        <w:rPr>
          <w:rFonts w:ascii="Garamond" w:hAnsi="Garamond" w:cs="Arial"/>
          <w:sz w:val="24"/>
          <w:szCs w:val="24"/>
        </w:rPr>
        <w:t xml:space="preserve">fazer </w:t>
      </w:r>
      <w:r w:rsidR="00CB5DB2" w:rsidRPr="003A1174">
        <w:rPr>
          <w:rFonts w:ascii="Garamond" w:hAnsi="Garamond" w:cs="Arial"/>
          <w:sz w:val="24"/>
          <w:szCs w:val="24"/>
        </w:rPr>
        <w:t>referência</w:t>
      </w:r>
      <w:r w:rsidRPr="003A1174">
        <w:rPr>
          <w:rFonts w:ascii="Garamond" w:hAnsi="Garamond" w:cs="Arial"/>
          <w:sz w:val="24"/>
          <w:szCs w:val="24"/>
        </w:rPr>
        <w:t xml:space="preserve"> </w:t>
      </w:r>
      <w:r w:rsidR="00852CA5" w:rsidRPr="003A1174">
        <w:rPr>
          <w:rFonts w:ascii="Garamond" w:hAnsi="Garamond" w:cs="Arial"/>
          <w:sz w:val="24"/>
          <w:szCs w:val="24"/>
        </w:rPr>
        <w:t xml:space="preserve">à </w:t>
      </w:r>
      <w:r w:rsidR="00AB6522" w:rsidRPr="003A1174">
        <w:rPr>
          <w:rFonts w:ascii="Garamond" w:hAnsi="Garamond" w:cs="Arial"/>
          <w:sz w:val="24"/>
          <w:szCs w:val="24"/>
        </w:rPr>
        <w:t>resposta</w:t>
      </w:r>
      <w:r w:rsidR="00852CA5" w:rsidRPr="003A1174">
        <w:rPr>
          <w:rFonts w:ascii="Garamond" w:hAnsi="Garamond" w:cs="Arial"/>
          <w:sz w:val="24"/>
          <w:szCs w:val="24"/>
        </w:rPr>
        <w:t xml:space="preserve"> sobre </w:t>
      </w:r>
      <w:r w:rsidRPr="003A1174">
        <w:rPr>
          <w:rFonts w:ascii="Garamond" w:hAnsi="Garamond" w:cs="Arial"/>
          <w:sz w:val="24"/>
          <w:szCs w:val="24"/>
        </w:rPr>
        <w:t xml:space="preserve">as </w:t>
      </w:r>
      <w:r w:rsidR="00B14AA6" w:rsidRPr="003A1174">
        <w:rPr>
          <w:rFonts w:ascii="Garamond" w:hAnsi="Garamond" w:cs="Arial"/>
          <w:sz w:val="24"/>
          <w:szCs w:val="24"/>
        </w:rPr>
        <w:t>disposições</w:t>
      </w:r>
      <w:r w:rsidRPr="003A1174">
        <w:rPr>
          <w:rFonts w:ascii="Garamond" w:hAnsi="Garamond" w:cs="Arial"/>
          <w:sz w:val="24"/>
          <w:szCs w:val="24"/>
        </w:rPr>
        <w:t xml:space="preserve"> </w:t>
      </w:r>
      <w:r w:rsidR="002D1021" w:rsidRPr="003A1174">
        <w:rPr>
          <w:rFonts w:ascii="Garamond" w:hAnsi="Garamond" w:cs="Arial"/>
          <w:sz w:val="24"/>
          <w:szCs w:val="24"/>
        </w:rPr>
        <w:t>legais</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852CA5" w:rsidRPr="003A1174">
        <w:rPr>
          <w:rFonts w:ascii="Garamond" w:hAnsi="Garamond" w:cs="Arial"/>
          <w:sz w:val="24"/>
          <w:szCs w:val="24"/>
        </w:rPr>
        <w:t xml:space="preserve">o </w:t>
      </w:r>
      <w:r w:rsidR="00D96FD0" w:rsidRPr="003A1174">
        <w:rPr>
          <w:rFonts w:ascii="Garamond" w:hAnsi="Garamond" w:cs="Arial"/>
          <w:sz w:val="24"/>
          <w:szCs w:val="24"/>
        </w:rPr>
        <w:t>cumprimento</w:t>
      </w:r>
      <w:r w:rsidRPr="003A1174">
        <w:rPr>
          <w:rFonts w:ascii="Garamond" w:hAnsi="Garamond" w:cs="Arial"/>
          <w:sz w:val="24"/>
          <w:szCs w:val="24"/>
        </w:rPr>
        <w:t xml:space="preserve"> de norma</w:t>
      </w:r>
      <w:r w:rsidR="00BC651C" w:rsidRPr="003A1174">
        <w:rPr>
          <w:rFonts w:ascii="Garamond" w:hAnsi="Garamond" w:cs="Arial"/>
          <w:sz w:val="24"/>
          <w:szCs w:val="24"/>
        </w:rPr>
        <w:t>s</w:t>
      </w:r>
      <w:r w:rsidRPr="003A1174">
        <w:rPr>
          <w:rFonts w:ascii="Garamond" w:hAnsi="Garamond" w:cs="Arial"/>
          <w:sz w:val="24"/>
          <w:szCs w:val="24"/>
        </w:rPr>
        <w:t xml:space="preserve"> que </w:t>
      </w:r>
      <w:r w:rsidR="00852CA5" w:rsidRPr="003A1174">
        <w:rPr>
          <w:rFonts w:ascii="Garamond" w:hAnsi="Garamond" w:cs="Arial"/>
          <w:sz w:val="24"/>
          <w:szCs w:val="24"/>
        </w:rPr>
        <w:t xml:space="preserve">se </w:t>
      </w:r>
      <w:r w:rsidRPr="003A1174">
        <w:rPr>
          <w:rFonts w:ascii="Garamond" w:hAnsi="Garamond" w:cs="Arial"/>
          <w:sz w:val="24"/>
          <w:szCs w:val="24"/>
        </w:rPr>
        <w:t>aplica</w:t>
      </w:r>
      <w:r w:rsidR="00852CA5" w:rsidRPr="003A1174">
        <w:rPr>
          <w:rFonts w:ascii="Garamond" w:hAnsi="Garamond" w:cs="Arial"/>
          <w:sz w:val="24"/>
          <w:szCs w:val="24"/>
        </w:rPr>
        <w:t xml:space="preserve">m a </w:t>
      </w:r>
      <w:r w:rsidR="0017447A" w:rsidRPr="003A1174">
        <w:rPr>
          <w:rFonts w:ascii="Garamond" w:hAnsi="Garamond" w:cs="Arial"/>
          <w:sz w:val="24"/>
          <w:szCs w:val="24"/>
        </w:rPr>
        <w:t>Porto</w:t>
      </w:r>
      <w:r w:rsidRPr="003A1174">
        <w:rPr>
          <w:rFonts w:ascii="Garamond" w:hAnsi="Garamond" w:cs="Arial"/>
          <w:sz w:val="24"/>
          <w:szCs w:val="24"/>
        </w:rPr>
        <w:t xml:space="preserve"> Rico. </w:t>
      </w:r>
      <w:r w:rsidR="00852CA5" w:rsidRPr="003A1174">
        <w:rPr>
          <w:rFonts w:ascii="Garamond" w:hAnsi="Garamond" w:cs="Arial"/>
          <w:sz w:val="24"/>
          <w:szCs w:val="24"/>
        </w:rPr>
        <w:t>Ainda assim</w:t>
      </w:r>
      <w:r w:rsidRPr="003A1174">
        <w:rPr>
          <w:rFonts w:ascii="Garamond" w:hAnsi="Garamond" w:cs="Arial"/>
          <w:sz w:val="24"/>
          <w:szCs w:val="24"/>
        </w:rPr>
        <w:t>,</w:t>
      </w:r>
      <w:r w:rsidR="00A34611" w:rsidRPr="003A1174">
        <w:rPr>
          <w:rFonts w:ascii="Garamond" w:hAnsi="Garamond" w:cs="Arial"/>
          <w:sz w:val="24"/>
          <w:szCs w:val="24"/>
        </w:rPr>
        <w:t xml:space="preserve"> </w:t>
      </w:r>
      <w:r w:rsidR="00852CA5" w:rsidRPr="003A1174">
        <w:rPr>
          <w:rFonts w:ascii="Garamond" w:hAnsi="Garamond" w:cs="Arial"/>
          <w:sz w:val="24"/>
          <w:szCs w:val="24"/>
        </w:rPr>
        <w:t xml:space="preserve">o </w:t>
      </w:r>
      <w:r w:rsidR="00EB78D9" w:rsidRPr="003A1174">
        <w:rPr>
          <w:rFonts w:ascii="Garamond" w:hAnsi="Garamond" w:cs="Arial"/>
          <w:sz w:val="24"/>
          <w:szCs w:val="24"/>
        </w:rPr>
        <w:t>nosso</w:t>
      </w:r>
      <w:r w:rsidR="00852CA5" w:rsidRPr="003A1174">
        <w:rPr>
          <w:rFonts w:ascii="Garamond" w:hAnsi="Garamond" w:cs="Arial"/>
          <w:sz w:val="24"/>
          <w:szCs w:val="24"/>
        </w:rPr>
        <w:t xml:space="preserve"> mais alto fórum </w:t>
      </w:r>
      <w:r w:rsidRPr="00A3308C">
        <w:rPr>
          <w:rFonts w:ascii="Garamond" w:hAnsi="Garamond" w:cs="Arial"/>
          <w:sz w:val="24"/>
          <w:szCs w:val="24"/>
        </w:rPr>
        <w:t>pronunci</w:t>
      </w:r>
      <w:r w:rsidR="00852CA5" w:rsidRPr="00A3308C">
        <w:rPr>
          <w:rFonts w:ascii="Garamond" w:hAnsi="Garamond" w:cs="Arial"/>
          <w:sz w:val="24"/>
          <w:szCs w:val="24"/>
        </w:rPr>
        <w:t>ou-se</w:t>
      </w:r>
      <w:r w:rsidR="00D87E68" w:rsidRPr="00A3308C">
        <w:rPr>
          <w:rFonts w:ascii="Garamond" w:hAnsi="Garamond" w:cs="Arial"/>
          <w:sz w:val="24"/>
          <w:szCs w:val="24"/>
        </w:rPr>
        <w:t>,</w:t>
      </w:r>
      <w:r w:rsidR="00852CA5" w:rsidRPr="00A3308C">
        <w:rPr>
          <w:rFonts w:ascii="Garamond" w:hAnsi="Garamond" w:cs="Arial"/>
          <w:sz w:val="24"/>
          <w:szCs w:val="24"/>
        </w:rPr>
        <w:t xml:space="preserve"> em duas </w:t>
      </w:r>
      <w:r w:rsidR="00EE7406" w:rsidRPr="00A3308C">
        <w:rPr>
          <w:rFonts w:ascii="Garamond" w:hAnsi="Garamond" w:cs="Arial"/>
          <w:sz w:val="24"/>
          <w:szCs w:val="24"/>
        </w:rPr>
        <w:t>ocasiões</w:t>
      </w:r>
      <w:r w:rsidR="00D87E68" w:rsidRPr="00A3308C">
        <w:rPr>
          <w:rFonts w:ascii="Garamond" w:hAnsi="Garamond" w:cs="Arial"/>
          <w:sz w:val="24"/>
          <w:szCs w:val="24"/>
        </w:rPr>
        <w:t>,</w:t>
      </w:r>
      <w:r w:rsidRPr="00A3308C">
        <w:rPr>
          <w:rFonts w:ascii="Garamond" w:hAnsi="Garamond" w:cs="Arial"/>
          <w:sz w:val="24"/>
          <w:szCs w:val="24"/>
        </w:rPr>
        <w:t xml:space="preserve"> </w:t>
      </w:r>
      <w:r w:rsidR="00A3308C" w:rsidRPr="00A3308C">
        <w:rPr>
          <w:rFonts w:ascii="Garamond" w:hAnsi="Garamond" w:cs="Arial"/>
          <w:sz w:val="24"/>
          <w:szCs w:val="24"/>
        </w:rPr>
        <w:t>sobre a</w:t>
      </w:r>
      <w:r w:rsidRPr="00A3308C">
        <w:rPr>
          <w:rFonts w:ascii="Garamond" w:hAnsi="Garamond" w:cs="Arial"/>
          <w:sz w:val="24"/>
          <w:szCs w:val="24"/>
        </w:rPr>
        <w:t xml:space="preserve"> </w:t>
      </w:r>
      <w:r w:rsidR="00B14AA6" w:rsidRPr="00A3308C">
        <w:rPr>
          <w:rFonts w:ascii="Garamond" w:hAnsi="Garamond" w:cs="Arial"/>
          <w:sz w:val="24"/>
          <w:szCs w:val="24"/>
        </w:rPr>
        <w:t>aplicação</w:t>
      </w:r>
      <w:r w:rsidRPr="00A3308C">
        <w:rPr>
          <w:rFonts w:ascii="Garamond" w:hAnsi="Garamond" w:cs="Arial"/>
          <w:sz w:val="24"/>
          <w:szCs w:val="24"/>
        </w:rPr>
        <w:t xml:space="preserve"> da </w:t>
      </w:r>
      <w:r w:rsidR="00D15AFF" w:rsidRPr="00A3308C">
        <w:rPr>
          <w:rFonts w:ascii="Garamond" w:hAnsi="Garamond" w:cs="Arial"/>
          <w:sz w:val="24"/>
          <w:szCs w:val="24"/>
        </w:rPr>
        <w:t>Lei</w:t>
      </w:r>
      <w:r w:rsidR="00852CA5" w:rsidRPr="00A3308C">
        <w:rPr>
          <w:rFonts w:ascii="Garamond" w:hAnsi="Garamond" w:cs="Arial"/>
          <w:sz w:val="24"/>
          <w:szCs w:val="24"/>
        </w:rPr>
        <w:t xml:space="preserve"> contra </w:t>
      </w:r>
      <w:r w:rsidRPr="00A3308C">
        <w:rPr>
          <w:rFonts w:ascii="Garamond" w:hAnsi="Garamond" w:cs="Arial"/>
          <w:sz w:val="24"/>
          <w:szCs w:val="24"/>
        </w:rPr>
        <w:t xml:space="preserve">a </w:t>
      </w:r>
      <w:r w:rsidR="000350B1" w:rsidRPr="00A3308C">
        <w:rPr>
          <w:rFonts w:ascii="Garamond" w:hAnsi="Garamond" w:cs="Arial"/>
          <w:sz w:val="24"/>
          <w:szCs w:val="24"/>
        </w:rPr>
        <w:t>Violência</w:t>
      </w:r>
      <w:r w:rsidRPr="00A3308C">
        <w:rPr>
          <w:rFonts w:ascii="Garamond" w:hAnsi="Garamond" w:cs="Arial"/>
          <w:sz w:val="24"/>
          <w:szCs w:val="24"/>
        </w:rPr>
        <w:t xml:space="preserve"> Doméstica, </w:t>
      </w:r>
      <w:r w:rsidR="00D15AFF" w:rsidRPr="00A3308C">
        <w:rPr>
          <w:rFonts w:ascii="Garamond" w:hAnsi="Garamond" w:cs="Arial"/>
          <w:sz w:val="24"/>
          <w:szCs w:val="24"/>
        </w:rPr>
        <w:t>Lei</w:t>
      </w:r>
      <w:r w:rsidRPr="00161126">
        <w:rPr>
          <w:rFonts w:ascii="Garamond" w:hAnsi="Garamond" w:cs="Arial"/>
          <w:sz w:val="24"/>
          <w:szCs w:val="24"/>
        </w:rPr>
        <w:t xml:space="preserve"> 54.</w:t>
      </w:r>
      <w:r w:rsidR="00852CA5" w:rsidRPr="00161126">
        <w:rPr>
          <w:rFonts w:ascii="Garamond" w:hAnsi="Garamond" w:cs="Arial"/>
          <w:sz w:val="24"/>
          <w:szCs w:val="24"/>
        </w:rPr>
        <w:t xml:space="preserve"> </w:t>
      </w:r>
      <w:r w:rsidR="00A56F43" w:rsidRPr="00161126">
        <w:rPr>
          <w:rFonts w:ascii="Garamond" w:hAnsi="Garamond" w:cs="Arial"/>
          <w:noProof/>
          <w:sz w:val="24"/>
          <w:szCs w:val="24"/>
          <w:lang w:val="es-PE" w:eastAsia="es-PE"/>
        </w:rPr>
        <mc:AlternateContent>
          <mc:Choice Requires="wpg">
            <w:drawing>
              <wp:anchor distT="0" distB="0" distL="114300" distR="114300" simplePos="0" relativeHeight="251659264" behindDoc="1" locked="0" layoutInCell="1" allowOverlap="1" wp14:anchorId="0070540C" wp14:editId="705500C3">
                <wp:simplePos x="0" y="0"/>
                <wp:positionH relativeFrom="page">
                  <wp:posOffset>1143635</wp:posOffset>
                </wp:positionH>
                <wp:positionV relativeFrom="paragraph">
                  <wp:posOffset>757555</wp:posOffset>
                </wp:positionV>
                <wp:extent cx="1829435" cy="1270"/>
                <wp:effectExtent l="0" t="0" r="18415" b="177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1" y="1193"/>
                          <a:chExt cx="2881" cy="2"/>
                        </a:xfrm>
                      </wpg:grpSpPr>
                      <wps:wsp>
                        <wps:cNvPr id="27" name="Freeform 3"/>
                        <wps:cNvSpPr>
                          <a:spLocks/>
                        </wps:cNvSpPr>
                        <wps:spPr bwMode="auto">
                          <a:xfrm>
                            <a:off x="1801" y="1193"/>
                            <a:ext cx="2881" cy="2"/>
                          </a:xfrm>
                          <a:custGeom>
                            <a:avLst/>
                            <a:gdLst>
                              <a:gd name="T0" fmla="+- 0 1801 1801"/>
                              <a:gd name="T1" fmla="*/ T0 w 2881"/>
                              <a:gd name="T2" fmla="+- 0 4682 1801"/>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3401" w:rsidRDefault="007B3401" w:rsidP="00940D7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8" style="position:absolute;left:0;text-align:left;margin-left:90.05pt;margin-top:59.65pt;width:144.05pt;height:.1pt;z-index:-251657216;mso-position-horizontal-relative:page" coordorigin="1801,1193"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">
                <v:shape id="Freeform 3" o:spid="_x0000_s1029" style="position:absolute;left:1801;top:1193;width:2881;height:2;visibility:visible;mso-wrap-style:square;v-text-anchor:top" coordsize="28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9k8UA&#10;AADbAAAADwAAAGRycy9kb3ducmV2LnhtbESP0WrCQBRE3wX/YbmFvjWbBtGSuglRqVj1obX9gEv2&#10;NgnN3o3ZVdO/d4WCj8PMnGHm+WBacabeNZYVPEcxCOLS6oYrBd9fb08vIJxH1thaJgV/5CDPxqM5&#10;ptpe+JPOB1+JAGGXooLa+y6V0pU1GXSR7YiD92N7gz7IvpK6x0uAm1YmcTyVBhsOCzV2tKyp/D2c&#10;jIK9KeKd+Sg3x2KdrJbbtZ0s3idKPT4MxSsIT4O/h//bG60gmcH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H2TxQAAANsAAAAPAAAAAAAAAAAAAAAAAJgCAABkcnMv&#10;ZG93bnJldi54bWxQSwUGAAAAAAQABAD1AAAAigMAAAAA&#10;" adj="-11796480,,5400" path="m,l2881,e" filled="f" strokeweight=".82pt">
                  <v:stroke joinstyle="round"/>
                  <v:formulas/>
                  <v:path arrowok="t" o:connecttype="custom" o:connectlocs="0,0;2881,0" o:connectangles="0,0" textboxrect="0,0,2881,2"/>
                  <v:textbox>
                    <w:txbxContent>
                      <w:p w:rsidR="007B3401" w:rsidRDefault="007B3401" w:rsidP="00940D7F">
                        <w:pPr>
                          <w:jc w:val="center"/>
                        </w:pPr>
                      </w:p>
                    </w:txbxContent>
                  </v:textbox>
                </v:shape>
                <w10:wrap anchorx="page"/>
              </v:group>
            </w:pict>
          </mc:Fallback>
        </mc:AlternateContent>
      </w:r>
      <w:r w:rsidRPr="00161126">
        <w:rPr>
          <w:rFonts w:ascii="Garamond" w:hAnsi="Garamond" w:cs="Arial"/>
          <w:sz w:val="24"/>
          <w:szCs w:val="24"/>
        </w:rPr>
        <w:t>E</w:t>
      </w:r>
      <w:r w:rsidR="00852CA5" w:rsidRPr="00161126">
        <w:rPr>
          <w:rFonts w:ascii="Garamond" w:hAnsi="Garamond" w:cs="Arial"/>
          <w:sz w:val="24"/>
          <w:szCs w:val="24"/>
        </w:rPr>
        <w:t>m</w:t>
      </w:r>
      <w:r w:rsidRPr="00161126">
        <w:rPr>
          <w:rFonts w:ascii="Garamond" w:eastAsia="Century Gothic" w:hAnsi="Garamond" w:cs="Arial"/>
          <w:spacing w:val="49"/>
          <w:sz w:val="24"/>
          <w:szCs w:val="24"/>
        </w:rPr>
        <w:t xml:space="preserve"> </w:t>
      </w:r>
      <w:r w:rsidRPr="00161126">
        <w:rPr>
          <w:rFonts w:ascii="Garamond" w:eastAsia="Century Gothic" w:hAnsi="Garamond" w:cs="Arial"/>
          <w:bCs/>
          <w:i/>
          <w:spacing w:val="2"/>
          <w:sz w:val="24"/>
          <w:szCs w:val="24"/>
        </w:rPr>
        <w:t>P</w:t>
      </w:r>
      <w:r w:rsidRPr="00161126">
        <w:rPr>
          <w:rFonts w:ascii="Garamond" w:eastAsia="Century Gothic" w:hAnsi="Garamond" w:cs="Arial"/>
          <w:bCs/>
          <w:i/>
          <w:spacing w:val="-2"/>
          <w:sz w:val="24"/>
          <w:szCs w:val="24"/>
        </w:rPr>
        <w:t>u</w:t>
      </w:r>
      <w:r w:rsidRPr="00161126">
        <w:rPr>
          <w:rFonts w:ascii="Garamond" w:eastAsia="Century Gothic" w:hAnsi="Garamond" w:cs="Arial"/>
          <w:bCs/>
          <w:i/>
          <w:sz w:val="24"/>
          <w:szCs w:val="24"/>
        </w:rPr>
        <w:t>e</w:t>
      </w:r>
      <w:r w:rsidRPr="00161126">
        <w:rPr>
          <w:rFonts w:ascii="Garamond" w:eastAsia="Century Gothic" w:hAnsi="Garamond" w:cs="Arial"/>
          <w:bCs/>
          <w:i/>
          <w:spacing w:val="1"/>
          <w:sz w:val="24"/>
          <w:szCs w:val="24"/>
        </w:rPr>
        <w:t>b</w:t>
      </w:r>
      <w:r w:rsidRPr="00161126">
        <w:rPr>
          <w:rFonts w:ascii="Garamond" w:eastAsia="Century Gothic" w:hAnsi="Garamond" w:cs="Arial"/>
          <w:bCs/>
          <w:i/>
          <w:spacing w:val="-6"/>
          <w:sz w:val="24"/>
          <w:szCs w:val="24"/>
        </w:rPr>
        <w:t>l</w:t>
      </w:r>
      <w:r w:rsidRPr="00161126">
        <w:rPr>
          <w:rFonts w:ascii="Garamond" w:eastAsia="Century Gothic" w:hAnsi="Garamond" w:cs="Arial"/>
          <w:bCs/>
          <w:i/>
          <w:sz w:val="24"/>
          <w:szCs w:val="24"/>
        </w:rPr>
        <w:t>o</w:t>
      </w:r>
      <w:r w:rsidRPr="00161126">
        <w:rPr>
          <w:rFonts w:ascii="Garamond" w:eastAsia="Century Gothic" w:hAnsi="Garamond" w:cs="Arial"/>
          <w:bCs/>
          <w:i/>
          <w:spacing w:val="44"/>
          <w:sz w:val="24"/>
          <w:szCs w:val="24"/>
        </w:rPr>
        <w:t xml:space="preserve"> </w:t>
      </w:r>
      <w:r w:rsidRPr="00161126">
        <w:rPr>
          <w:rFonts w:ascii="Garamond" w:eastAsia="Century Gothic" w:hAnsi="Garamond" w:cs="Arial"/>
          <w:bCs/>
          <w:spacing w:val="2"/>
          <w:sz w:val="24"/>
          <w:szCs w:val="24"/>
        </w:rPr>
        <w:t>v</w:t>
      </w:r>
      <w:r w:rsidR="00BC651C" w:rsidRPr="00161126">
        <w:rPr>
          <w:rFonts w:ascii="Garamond" w:eastAsia="Century Gothic" w:hAnsi="Garamond" w:cs="Arial"/>
          <w:bCs/>
          <w:spacing w:val="2"/>
          <w:sz w:val="24"/>
          <w:szCs w:val="24"/>
        </w:rPr>
        <w:t>s</w:t>
      </w:r>
      <w:r w:rsidRPr="00161126">
        <w:rPr>
          <w:rFonts w:ascii="Garamond" w:eastAsia="Century Gothic" w:hAnsi="Garamond" w:cs="Arial"/>
          <w:bCs/>
          <w:sz w:val="24"/>
          <w:szCs w:val="24"/>
        </w:rPr>
        <w:t>.</w:t>
      </w:r>
      <w:r w:rsidRPr="00161126">
        <w:rPr>
          <w:rFonts w:ascii="Garamond" w:eastAsia="Century Gothic" w:hAnsi="Garamond" w:cs="Arial"/>
          <w:bCs/>
          <w:i/>
          <w:spacing w:val="50"/>
          <w:sz w:val="24"/>
          <w:szCs w:val="24"/>
        </w:rPr>
        <w:t xml:space="preserve"> </w:t>
      </w:r>
      <w:r w:rsidRPr="00161126">
        <w:rPr>
          <w:rFonts w:ascii="Garamond" w:eastAsia="Century Gothic" w:hAnsi="Garamond" w:cs="Arial"/>
          <w:bCs/>
          <w:i/>
          <w:spacing w:val="-2"/>
          <w:sz w:val="24"/>
          <w:szCs w:val="24"/>
        </w:rPr>
        <w:t>Ru</w:t>
      </w:r>
      <w:r w:rsidRPr="00161126">
        <w:rPr>
          <w:rFonts w:ascii="Garamond" w:eastAsia="Century Gothic" w:hAnsi="Garamond" w:cs="Arial"/>
          <w:bCs/>
          <w:i/>
          <w:sz w:val="24"/>
          <w:szCs w:val="24"/>
        </w:rPr>
        <w:t>íz</w:t>
      </w:r>
      <w:r w:rsidRPr="00161126">
        <w:rPr>
          <w:rFonts w:ascii="Garamond" w:eastAsia="Century Gothic" w:hAnsi="Garamond" w:cs="Arial"/>
          <w:bCs/>
          <w:i/>
          <w:spacing w:val="42"/>
          <w:sz w:val="24"/>
          <w:szCs w:val="24"/>
        </w:rPr>
        <w:t xml:space="preserve"> </w:t>
      </w:r>
      <w:r w:rsidRPr="00161126">
        <w:rPr>
          <w:rFonts w:ascii="Garamond" w:eastAsia="Century Gothic" w:hAnsi="Garamond" w:cs="Arial"/>
          <w:bCs/>
          <w:i/>
          <w:sz w:val="24"/>
          <w:szCs w:val="24"/>
        </w:rPr>
        <w:t>M</w:t>
      </w:r>
      <w:r w:rsidRPr="00161126">
        <w:rPr>
          <w:rFonts w:ascii="Garamond" w:eastAsia="Century Gothic" w:hAnsi="Garamond" w:cs="Arial"/>
          <w:bCs/>
          <w:i/>
          <w:spacing w:val="1"/>
          <w:sz w:val="24"/>
          <w:szCs w:val="24"/>
        </w:rPr>
        <w:t>a</w:t>
      </w:r>
      <w:r w:rsidRPr="00161126">
        <w:rPr>
          <w:rFonts w:ascii="Garamond" w:eastAsia="Century Gothic" w:hAnsi="Garamond" w:cs="Arial"/>
          <w:bCs/>
          <w:i/>
          <w:spacing w:val="-2"/>
          <w:sz w:val="24"/>
          <w:szCs w:val="24"/>
        </w:rPr>
        <w:t>r</w:t>
      </w:r>
      <w:r w:rsidRPr="00161126">
        <w:rPr>
          <w:rFonts w:ascii="Garamond" w:eastAsia="Century Gothic" w:hAnsi="Garamond" w:cs="Arial"/>
          <w:bCs/>
          <w:i/>
          <w:spacing w:val="1"/>
          <w:sz w:val="24"/>
          <w:szCs w:val="24"/>
        </w:rPr>
        <w:t>t</w:t>
      </w:r>
      <w:r w:rsidRPr="00161126">
        <w:rPr>
          <w:rFonts w:ascii="Garamond" w:eastAsia="Century Gothic" w:hAnsi="Garamond" w:cs="Arial"/>
          <w:bCs/>
          <w:i/>
          <w:sz w:val="24"/>
          <w:szCs w:val="24"/>
        </w:rPr>
        <w:t>í</w:t>
      </w:r>
      <w:r w:rsidRPr="00161126">
        <w:rPr>
          <w:rFonts w:ascii="Garamond" w:eastAsia="Century Gothic" w:hAnsi="Garamond" w:cs="Arial"/>
          <w:bCs/>
          <w:i/>
          <w:spacing w:val="-6"/>
          <w:sz w:val="24"/>
          <w:szCs w:val="24"/>
        </w:rPr>
        <w:t>n</w:t>
      </w:r>
      <w:r w:rsidRPr="00161126">
        <w:rPr>
          <w:rFonts w:ascii="Garamond" w:eastAsia="Century Gothic" w:hAnsi="Garamond" w:cs="Arial"/>
          <w:bCs/>
          <w:i/>
          <w:sz w:val="24"/>
          <w:szCs w:val="24"/>
        </w:rPr>
        <w:t>e</w:t>
      </w:r>
      <w:r w:rsidRPr="00161126">
        <w:rPr>
          <w:rFonts w:ascii="Garamond" w:eastAsia="Century Gothic" w:hAnsi="Garamond" w:cs="Arial"/>
          <w:bCs/>
          <w:i/>
          <w:spacing w:val="1"/>
          <w:sz w:val="24"/>
          <w:szCs w:val="24"/>
        </w:rPr>
        <w:t>z</w:t>
      </w:r>
      <w:r w:rsidRPr="00161126">
        <w:rPr>
          <w:rFonts w:ascii="Garamond" w:eastAsia="Century Gothic" w:hAnsi="Garamond" w:cs="Arial"/>
          <w:bCs/>
          <w:i/>
          <w:sz w:val="24"/>
          <w:szCs w:val="24"/>
        </w:rPr>
        <w:t>,</w:t>
      </w:r>
      <w:r w:rsidRPr="00161126">
        <w:rPr>
          <w:rFonts w:ascii="Garamond" w:eastAsia="Century Gothic" w:hAnsi="Garamond" w:cs="Arial"/>
          <w:bCs/>
          <w:i/>
          <w:spacing w:val="45"/>
          <w:sz w:val="24"/>
          <w:szCs w:val="24"/>
        </w:rPr>
        <w:t xml:space="preserve"> </w:t>
      </w:r>
      <w:r w:rsidRPr="00161126">
        <w:rPr>
          <w:rFonts w:ascii="Garamond" w:eastAsia="Century Gothic" w:hAnsi="Garamond" w:cs="Arial"/>
          <w:bCs/>
          <w:i/>
          <w:spacing w:val="2"/>
          <w:sz w:val="24"/>
          <w:szCs w:val="24"/>
        </w:rPr>
        <w:t>1</w:t>
      </w:r>
      <w:r w:rsidRPr="00161126">
        <w:rPr>
          <w:rFonts w:ascii="Garamond" w:eastAsia="Century Gothic" w:hAnsi="Garamond" w:cs="Arial"/>
          <w:bCs/>
          <w:i/>
          <w:spacing w:val="-3"/>
          <w:sz w:val="24"/>
          <w:szCs w:val="24"/>
        </w:rPr>
        <w:t>5</w:t>
      </w:r>
      <w:r w:rsidRPr="00161126">
        <w:rPr>
          <w:rFonts w:ascii="Garamond" w:eastAsia="Century Gothic" w:hAnsi="Garamond" w:cs="Arial"/>
          <w:bCs/>
          <w:i/>
          <w:sz w:val="24"/>
          <w:szCs w:val="24"/>
        </w:rPr>
        <w:t>9</w:t>
      </w:r>
      <w:r w:rsidRPr="00161126">
        <w:rPr>
          <w:rFonts w:ascii="Garamond" w:eastAsia="Century Gothic" w:hAnsi="Garamond" w:cs="Arial"/>
          <w:bCs/>
          <w:i/>
          <w:spacing w:val="46"/>
          <w:sz w:val="24"/>
          <w:szCs w:val="24"/>
        </w:rPr>
        <w:t xml:space="preserve"> </w:t>
      </w:r>
      <w:proofErr w:type="gramStart"/>
      <w:r w:rsidRPr="00161126">
        <w:rPr>
          <w:rFonts w:ascii="Garamond" w:eastAsia="Century Gothic" w:hAnsi="Garamond" w:cs="Arial"/>
          <w:bCs/>
          <w:i/>
          <w:spacing w:val="-3"/>
          <w:sz w:val="24"/>
          <w:szCs w:val="24"/>
        </w:rPr>
        <w:t>D</w:t>
      </w:r>
      <w:r w:rsidRPr="00161126">
        <w:rPr>
          <w:rFonts w:ascii="Garamond" w:eastAsia="Century Gothic" w:hAnsi="Garamond" w:cs="Arial"/>
          <w:bCs/>
          <w:i/>
          <w:spacing w:val="1"/>
          <w:sz w:val="24"/>
          <w:szCs w:val="24"/>
        </w:rPr>
        <w:t>.</w:t>
      </w:r>
      <w:r w:rsidRPr="00161126">
        <w:rPr>
          <w:rFonts w:ascii="Garamond" w:eastAsia="Century Gothic" w:hAnsi="Garamond" w:cs="Arial"/>
          <w:bCs/>
          <w:i/>
          <w:spacing w:val="2"/>
          <w:sz w:val="24"/>
          <w:szCs w:val="24"/>
        </w:rPr>
        <w:t>P</w:t>
      </w:r>
      <w:r w:rsidRPr="00161126">
        <w:rPr>
          <w:rFonts w:ascii="Garamond" w:eastAsia="Century Gothic" w:hAnsi="Garamond" w:cs="Arial"/>
          <w:bCs/>
          <w:i/>
          <w:spacing w:val="1"/>
          <w:sz w:val="24"/>
          <w:szCs w:val="24"/>
        </w:rPr>
        <w:t>.</w:t>
      </w:r>
      <w:proofErr w:type="gramEnd"/>
      <w:r w:rsidRPr="00161126">
        <w:rPr>
          <w:rFonts w:ascii="Garamond" w:eastAsia="Century Gothic" w:hAnsi="Garamond" w:cs="Arial"/>
          <w:bCs/>
          <w:i/>
          <w:spacing w:val="-2"/>
          <w:sz w:val="24"/>
          <w:szCs w:val="24"/>
        </w:rPr>
        <w:t>R</w:t>
      </w:r>
      <w:r w:rsidRPr="00161126">
        <w:rPr>
          <w:rFonts w:ascii="Garamond" w:eastAsia="Century Gothic" w:hAnsi="Garamond" w:cs="Arial"/>
          <w:bCs/>
          <w:i/>
          <w:sz w:val="24"/>
          <w:szCs w:val="24"/>
        </w:rPr>
        <w:t>,</w:t>
      </w:r>
      <w:r w:rsidRPr="00161126">
        <w:rPr>
          <w:rFonts w:ascii="Garamond" w:eastAsia="Century Gothic" w:hAnsi="Garamond" w:cs="Arial"/>
          <w:bCs/>
          <w:i/>
          <w:spacing w:val="45"/>
          <w:sz w:val="24"/>
          <w:szCs w:val="24"/>
        </w:rPr>
        <w:t xml:space="preserve"> </w:t>
      </w:r>
      <w:r w:rsidRPr="00161126">
        <w:rPr>
          <w:rFonts w:ascii="Garamond" w:eastAsia="Century Gothic" w:hAnsi="Garamond" w:cs="Arial"/>
          <w:bCs/>
          <w:i/>
          <w:spacing w:val="-3"/>
          <w:sz w:val="24"/>
          <w:szCs w:val="24"/>
        </w:rPr>
        <w:t>19</w:t>
      </w:r>
      <w:r w:rsidRPr="00161126">
        <w:rPr>
          <w:rFonts w:ascii="Garamond" w:eastAsia="Century Gothic" w:hAnsi="Garamond" w:cs="Arial"/>
          <w:bCs/>
          <w:i/>
          <w:sz w:val="24"/>
          <w:szCs w:val="24"/>
        </w:rPr>
        <w:t>4</w:t>
      </w:r>
      <w:r w:rsidRPr="00161126">
        <w:rPr>
          <w:rFonts w:ascii="Garamond" w:eastAsia="Century Gothic" w:hAnsi="Garamond" w:cs="Arial"/>
          <w:bCs/>
          <w:i/>
          <w:spacing w:val="51"/>
          <w:sz w:val="24"/>
          <w:szCs w:val="24"/>
        </w:rPr>
        <w:t xml:space="preserve"> </w:t>
      </w:r>
      <w:r w:rsidRPr="00161126">
        <w:rPr>
          <w:rFonts w:ascii="Garamond" w:eastAsia="Century Gothic" w:hAnsi="Garamond" w:cs="Arial"/>
          <w:bCs/>
          <w:i/>
          <w:spacing w:val="-5"/>
          <w:sz w:val="24"/>
          <w:szCs w:val="24"/>
        </w:rPr>
        <w:t>(</w:t>
      </w:r>
      <w:r w:rsidRPr="00161126">
        <w:rPr>
          <w:rFonts w:ascii="Garamond" w:eastAsia="Century Gothic" w:hAnsi="Garamond" w:cs="Arial"/>
          <w:bCs/>
          <w:i/>
          <w:spacing w:val="2"/>
          <w:sz w:val="24"/>
          <w:szCs w:val="24"/>
        </w:rPr>
        <w:t>2</w:t>
      </w:r>
      <w:r w:rsidRPr="00161126">
        <w:rPr>
          <w:rFonts w:ascii="Garamond" w:eastAsia="Century Gothic" w:hAnsi="Garamond" w:cs="Arial"/>
          <w:bCs/>
          <w:i/>
          <w:spacing w:val="-3"/>
          <w:sz w:val="24"/>
          <w:szCs w:val="24"/>
        </w:rPr>
        <w:t>00</w:t>
      </w:r>
      <w:r w:rsidRPr="00161126">
        <w:rPr>
          <w:rFonts w:ascii="Garamond" w:eastAsia="Century Gothic" w:hAnsi="Garamond" w:cs="Arial"/>
          <w:bCs/>
          <w:i/>
          <w:spacing w:val="2"/>
          <w:sz w:val="24"/>
          <w:szCs w:val="24"/>
        </w:rPr>
        <w:t>3</w:t>
      </w:r>
      <w:r w:rsidRPr="00161126">
        <w:rPr>
          <w:rFonts w:ascii="Garamond" w:eastAsia="Century Gothic" w:hAnsi="Garamond" w:cs="Arial"/>
          <w:bCs/>
          <w:i/>
          <w:spacing w:val="3"/>
          <w:sz w:val="24"/>
          <w:szCs w:val="24"/>
        </w:rPr>
        <w:t>)</w:t>
      </w:r>
      <w:r w:rsidRPr="00161126">
        <w:rPr>
          <w:rFonts w:ascii="Garamond" w:eastAsia="Century Gothic" w:hAnsi="Garamond" w:cs="Arial"/>
          <w:sz w:val="24"/>
          <w:szCs w:val="24"/>
        </w:rPr>
        <w:t>,</w:t>
      </w:r>
      <w:r w:rsidRPr="00161126">
        <w:rPr>
          <w:rFonts w:ascii="Garamond" w:eastAsia="Century Gothic" w:hAnsi="Garamond" w:cs="Arial"/>
          <w:spacing w:val="46"/>
          <w:sz w:val="24"/>
          <w:szCs w:val="24"/>
        </w:rPr>
        <w:t xml:space="preserve"> u</w:t>
      </w:r>
      <w:r w:rsidR="00852CA5" w:rsidRPr="00161126">
        <w:rPr>
          <w:rFonts w:ascii="Garamond" w:eastAsia="Century Gothic" w:hAnsi="Garamond" w:cs="Arial"/>
          <w:spacing w:val="46"/>
          <w:sz w:val="24"/>
          <w:szCs w:val="24"/>
        </w:rPr>
        <w:t>m</w:t>
      </w:r>
      <w:r w:rsidRPr="00161126">
        <w:rPr>
          <w:rFonts w:ascii="Garamond" w:eastAsia="Century Gothic" w:hAnsi="Garamond" w:cs="Arial"/>
          <w:spacing w:val="46"/>
          <w:sz w:val="24"/>
          <w:szCs w:val="24"/>
        </w:rPr>
        <w:t xml:space="preserve"> caso de </w:t>
      </w:r>
      <w:r w:rsidR="009A0623" w:rsidRPr="00161126">
        <w:rPr>
          <w:rFonts w:ascii="Garamond" w:eastAsia="Century Gothic" w:hAnsi="Garamond" w:cs="Arial"/>
          <w:spacing w:val="46"/>
          <w:sz w:val="24"/>
          <w:szCs w:val="24"/>
        </w:rPr>
        <w:t>agressão</w:t>
      </w:r>
      <w:r w:rsidRPr="003A1174">
        <w:rPr>
          <w:rFonts w:ascii="Garamond" w:eastAsia="Century Gothic" w:hAnsi="Garamond" w:cs="Arial"/>
          <w:spacing w:val="46"/>
          <w:sz w:val="24"/>
          <w:szCs w:val="24"/>
        </w:rPr>
        <w:t xml:space="preserve"> física de </w:t>
      </w:r>
      <w:r w:rsidR="006C760C" w:rsidRPr="003A1174">
        <w:rPr>
          <w:rFonts w:ascii="Garamond" w:eastAsia="Century Gothic" w:hAnsi="Garamond" w:cs="Arial"/>
          <w:spacing w:val="46"/>
          <w:sz w:val="24"/>
          <w:szCs w:val="24"/>
        </w:rPr>
        <w:t>pessoas</w:t>
      </w:r>
      <w:r w:rsidRPr="003A1174">
        <w:rPr>
          <w:rFonts w:ascii="Garamond" w:eastAsia="Century Gothic" w:hAnsi="Garamond" w:cs="Arial"/>
          <w:spacing w:val="46"/>
          <w:sz w:val="24"/>
          <w:szCs w:val="24"/>
        </w:rPr>
        <w:t xml:space="preserve"> </w:t>
      </w:r>
      <w:r w:rsidR="008A3DA2" w:rsidRPr="003A1174">
        <w:rPr>
          <w:rFonts w:ascii="Garamond" w:eastAsia="Century Gothic" w:hAnsi="Garamond" w:cs="Arial"/>
          <w:spacing w:val="46"/>
          <w:sz w:val="24"/>
          <w:szCs w:val="24"/>
        </w:rPr>
        <w:t>do</w:t>
      </w:r>
      <w:r w:rsidRPr="003A1174">
        <w:rPr>
          <w:rFonts w:ascii="Garamond" w:eastAsia="Century Gothic" w:hAnsi="Garamond" w:cs="Arial"/>
          <w:spacing w:val="46"/>
          <w:sz w:val="24"/>
          <w:szCs w:val="24"/>
        </w:rPr>
        <w:t xml:space="preserve"> </w:t>
      </w:r>
      <w:r w:rsidR="00023AD6" w:rsidRPr="003A1174">
        <w:rPr>
          <w:rFonts w:ascii="Garamond" w:eastAsia="Century Gothic" w:hAnsi="Garamond" w:cs="Arial"/>
          <w:spacing w:val="46"/>
          <w:sz w:val="24"/>
          <w:szCs w:val="24"/>
        </w:rPr>
        <w:t>mesmo</w:t>
      </w:r>
      <w:r w:rsidRPr="003A1174">
        <w:rPr>
          <w:rFonts w:ascii="Garamond" w:eastAsia="Century Gothic" w:hAnsi="Garamond" w:cs="Arial"/>
          <w:spacing w:val="46"/>
          <w:sz w:val="24"/>
          <w:szCs w:val="24"/>
        </w:rPr>
        <w:t xml:space="preserve"> sexo </w:t>
      </w:r>
      <w:r w:rsidR="00852CA5" w:rsidRPr="003A1174">
        <w:rPr>
          <w:rFonts w:ascii="Garamond" w:eastAsia="Century Gothic" w:hAnsi="Garamond" w:cs="Arial"/>
          <w:spacing w:val="46"/>
          <w:sz w:val="24"/>
          <w:szCs w:val="24"/>
        </w:rPr>
        <w:t xml:space="preserve">enquanto </w:t>
      </w:r>
      <w:r w:rsidRPr="003A1174">
        <w:rPr>
          <w:rFonts w:ascii="Garamond" w:eastAsia="Century Gothic" w:hAnsi="Garamond" w:cs="Arial"/>
          <w:spacing w:val="46"/>
          <w:sz w:val="24"/>
          <w:szCs w:val="24"/>
        </w:rPr>
        <w:t>mant</w:t>
      </w:r>
      <w:r w:rsidR="00852CA5" w:rsidRPr="003A1174">
        <w:rPr>
          <w:rFonts w:ascii="Garamond" w:eastAsia="Century Gothic" w:hAnsi="Garamond" w:cs="Arial"/>
          <w:spacing w:val="46"/>
          <w:sz w:val="24"/>
          <w:szCs w:val="24"/>
        </w:rPr>
        <w:t xml:space="preserve">inham uma </w:t>
      </w:r>
      <w:r w:rsidR="00152A44" w:rsidRPr="003A1174">
        <w:rPr>
          <w:rFonts w:ascii="Garamond" w:eastAsia="Century Gothic" w:hAnsi="Garamond" w:cs="Arial"/>
          <w:spacing w:val="46"/>
          <w:sz w:val="24"/>
          <w:szCs w:val="24"/>
        </w:rPr>
        <w:t>relação</w:t>
      </w:r>
      <w:r w:rsidRPr="003A1174">
        <w:rPr>
          <w:rFonts w:ascii="Garamond" w:eastAsia="Century Gothic" w:hAnsi="Garamond" w:cs="Arial"/>
          <w:spacing w:val="46"/>
          <w:sz w:val="24"/>
          <w:szCs w:val="24"/>
        </w:rPr>
        <w:t xml:space="preserve"> </w:t>
      </w:r>
      <w:r w:rsidR="00C031E1" w:rsidRPr="003A1174">
        <w:rPr>
          <w:rFonts w:ascii="Garamond" w:eastAsia="Century Gothic" w:hAnsi="Garamond" w:cs="Arial"/>
          <w:spacing w:val="46"/>
          <w:sz w:val="24"/>
          <w:szCs w:val="24"/>
        </w:rPr>
        <w:t xml:space="preserve">sentimental; </w:t>
      </w:r>
      <w:r w:rsidR="00852CA5" w:rsidRPr="003A1174">
        <w:rPr>
          <w:rFonts w:ascii="Garamond" w:eastAsia="Century Gothic" w:hAnsi="Garamond" w:cs="Arial"/>
          <w:spacing w:val="46"/>
          <w:sz w:val="24"/>
          <w:szCs w:val="24"/>
        </w:rPr>
        <w:t>o</w:t>
      </w:r>
      <w:r w:rsidR="006F7581">
        <w:rPr>
          <w:rFonts w:ascii="Garamond" w:eastAsia="Century Gothic" w:hAnsi="Garamond" w:cs="Arial"/>
          <w:spacing w:val="46"/>
          <w:sz w:val="24"/>
          <w:szCs w:val="24"/>
        </w:rPr>
        <w:t xml:space="preserve"> </w:t>
      </w:r>
      <w:r w:rsidRPr="003A1174">
        <w:rPr>
          <w:rFonts w:ascii="Garamond" w:eastAsia="Century Gothic" w:hAnsi="Garamond" w:cs="Arial"/>
          <w:sz w:val="24"/>
          <w:szCs w:val="24"/>
        </w:rPr>
        <w:t>T</w:t>
      </w:r>
      <w:r w:rsidRPr="003A1174">
        <w:rPr>
          <w:rFonts w:ascii="Garamond" w:eastAsia="Century Gothic" w:hAnsi="Garamond" w:cs="Arial"/>
          <w:spacing w:val="-2"/>
          <w:sz w:val="24"/>
          <w:szCs w:val="24"/>
        </w:rPr>
        <w:t>r</w:t>
      </w:r>
      <w:r w:rsidRPr="003A1174">
        <w:rPr>
          <w:rFonts w:ascii="Garamond" w:eastAsia="Century Gothic" w:hAnsi="Garamond" w:cs="Arial"/>
          <w:spacing w:val="-3"/>
          <w:sz w:val="24"/>
          <w:szCs w:val="24"/>
        </w:rPr>
        <w:t>i</w:t>
      </w:r>
      <w:r w:rsidRPr="003A1174">
        <w:rPr>
          <w:rFonts w:ascii="Garamond" w:eastAsia="Century Gothic" w:hAnsi="Garamond" w:cs="Arial"/>
          <w:spacing w:val="1"/>
          <w:sz w:val="24"/>
          <w:szCs w:val="24"/>
        </w:rPr>
        <w:t>b</w:t>
      </w:r>
      <w:r w:rsidRPr="003A1174">
        <w:rPr>
          <w:rFonts w:ascii="Garamond" w:eastAsia="Century Gothic" w:hAnsi="Garamond" w:cs="Arial"/>
          <w:spacing w:val="-3"/>
          <w:sz w:val="24"/>
          <w:szCs w:val="24"/>
        </w:rPr>
        <w:t>u</w:t>
      </w:r>
      <w:r w:rsidRPr="003A1174">
        <w:rPr>
          <w:rFonts w:ascii="Garamond" w:eastAsia="Century Gothic" w:hAnsi="Garamond" w:cs="Arial"/>
          <w:spacing w:val="1"/>
          <w:sz w:val="24"/>
          <w:szCs w:val="24"/>
        </w:rPr>
        <w:t>n</w:t>
      </w:r>
      <w:r w:rsidRPr="003A1174">
        <w:rPr>
          <w:rFonts w:ascii="Garamond" w:eastAsia="Century Gothic" w:hAnsi="Garamond" w:cs="Arial"/>
          <w:spacing w:val="-4"/>
          <w:sz w:val="24"/>
          <w:szCs w:val="24"/>
        </w:rPr>
        <w:t>a</w:t>
      </w:r>
      <w:r w:rsidRPr="003A1174">
        <w:rPr>
          <w:rFonts w:ascii="Garamond" w:eastAsia="Century Gothic" w:hAnsi="Garamond" w:cs="Arial"/>
          <w:sz w:val="24"/>
          <w:szCs w:val="24"/>
        </w:rPr>
        <w:t>l</w:t>
      </w:r>
      <w:r w:rsidRPr="003A1174">
        <w:rPr>
          <w:rFonts w:ascii="Garamond" w:eastAsia="Century Gothic" w:hAnsi="Garamond" w:cs="Arial"/>
          <w:spacing w:val="47"/>
          <w:sz w:val="24"/>
          <w:szCs w:val="24"/>
        </w:rPr>
        <w:t xml:space="preserve"> </w:t>
      </w:r>
      <w:r w:rsidRPr="003A1174">
        <w:rPr>
          <w:rFonts w:ascii="Garamond" w:eastAsia="Century Gothic" w:hAnsi="Garamond" w:cs="Arial"/>
          <w:sz w:val="24"/>
          <w:szCs w:val="24"/>
        </w:rPr>
        <w:t>S</w:t>
      </w:r>
      <w:r w:rsidRPr="003A1174">
        <w:rPr>
          <w:rFonts w:ascii="Garamond" w:eastAsia="Century Gothic" w:hAnsi="Garamond" w:cs="Arial"/>
          <w:spacing w:val="-3"/>
          <w:sz w:val="24"/>
          <w:szCs w:val="24"/>
        </w:rPr>
        <w:t>u</w:t>
      </w:r>
      <w:r w:rsidRPr="003A1174">
        <w:rPr>
          <w:rFonts w:ascii="Garamond" w:eastAsia="Century Gothic" w:hAnsi="Garamond" w:cs="Arial"/>
          <w:spacing w:val="1"/>
          <w:sz w:val="24"/>
          <w:szCs w:val="24"/>
        </w:rPr>
        <w:t>pr</w:t>
      </w:r>
      <w:r w:rsidRPr="003A1174">
        <w:rPr>
          <w:rFonts w:ascii="Garamond" w:eastAsia="Century Gothic" w:hAnsi="Garamond" w:cs="Arial"/>
          <w:spacing w:val="-2"/>
          <w:sz w:val="24"/>
          <w:szCs w:val="24"/>
        </w:rPr>
        <w:t>e</w:t>
      </w:r>
      <w:r w:rsidRPr="003A1174">
        <w:rPr>
          <w:rFonts w:ascii="Garamond" w:eastAsia="Century Gothic" w:hAnsi="Garamond" w:cs="Arial"/>
          <w:spacing w:val="-7"/>
          <w:sz w:val="24"/>
          <w:szCs w:val="24"/>
        </w:rPr>
        <w:t>m</w:t>
      </w:r>
      <w:r w:rsidRPr="003A1174">
        <w:rPr>
          <w:rFonts w:ascii="Garamond" w:eastAsia="Century Gothic" w:hAnsi="Garamond" w:cs="Arial"/>
          <w:sz w:val="24"/>
          <w:szCs w:val="24"/>
        </w:rPr>
        <w:t xml:space="preserve">o, </w:t>
      </w:r>
      <w:r w:rsidR="00852CA5" w:rsidRPr="003A1174">
        <w:rPr>
          <w:rFonts w:ascii="Garamond" w:eastAsia="Century Gothic" w:hAnsi="Garamond" w:cs="Arial"/>
          <w:spacing w:val="1"/>
          <w:sz w:val="24"/>
          <w:szCs w:val="24"/>
        </w:rPr>
        <w:t>baseando-se</w:t>
      </w:r>
      <w:r w:rsidRPr="003A1174">
        <w:rPr>
          <w:rFonts w:ascii="Garamond" w:eastAsia="Century Gothic" w:hAnsi="Garamond" w:cs="Arial"/>
          <w:sz w:val="24"/>
          <w:szCs w:val="24"/>
        </w:rPr>
        <w:t xml:space="preserve"> </w:t>
      </w:r>
      <w:r w:rsidR="00852CA5" w:rsidRPr="003A1174">
        <w:rPr>
          <w:rFonts w:ascii="Garamond" w:eastAsia="Century Gothic" w:hAnsi="Garamond" w:cs="Arial"/>
          <w:sz w:val="24"/>
          <w:szCs w:val="24"/>
        </w:rPr>
        <w:t>n</w:t>
      </w:r>
      <w:r w:rsidRPr="003A1174">
        <w:rPr>
          <w:rFonts w:ascii="Garamond" w:eastAsia="Century Gothic" w:hAnsi="Garamond" w:cs="Arial"/>
          <w:sz w:val="24"/>
          <w:szCs w:val="24"/>
        </w:rPr>
        <w:t>a</w:t>
      </w:r>
      <w:r w:rsidRPr="003A1174">
        <w:rPr>
          <w:rFonts w:ascii="Garamond" w:eastAsia="Century Gothic" w:hAnsi="Garamond" w:cs="Arial"/>
          <w:spacing w:val="17"/>
          <w:sz w:val="24"/>
          <w:szCs w:val="24"/>
        </w:rPr>
        <w:t xml:space="preserve"> </w:t>
      </w:r>
      <w:r w:rsidR="00C86C58" w:rsidRPr="003A1174">
        <w:rPr>
          <w:rFonts w:ascii="Garamond" w:eastAsia="Century Gothic" w:hAnsi="Garamond" w:cs="Arial"/>
          <w:spacing w:val="-3"/>
          <w:sz w:val="24"/>
          <w:szCs w:val="24"/>
        </w:rPr>
        <w:t>interpretação</w:t>
      </w:r>
      <w:r w:rsidRPr="003A1174">
        <w:rPr>
          <w:rFonts w:ascii="Garamond" w:eastAsia="Century Gothic" w:hAnsi="Garamond" w:cs="Arial"/>
          <w:spacing w:val="13"/>
          <w:sz w:val="24"/>
          <w:szCs w:val="24"/>
        </w:rPr>
        <w:t xml:space="preserve"> </w:t>
      </w:r>
      <w:r w:rsidR="00497503" w:rsidRPr="003A1174">
        <w:rPr>
          <w:rFonts w:ascii="Garamond" w:eastAsia="Century Gothic" w:hAnsi="Garamond" w:cs="Arial"/>
          <w:sz w:val="24"/>
          <w:szCs w:val="24"/>
        </w:rPr>
        <w:t>dos</w:t>
      </w:r>
      <w:r w:rsidRPr="003A1174">
        <w:rPr>
          <w:rFonts w:ascii="Garamond" w:eastAsia="Century Gothic" w:hAnsi="Garamond" w:cs="Arial"/>
          <w:spacing w:val="14"/>
          <w:sz w:val="24"/>
          <w:szCs w:val="24"/>
        </w:rPr>
        <w:t xml:space="preserve"> </w:t>
      </w:r>
      <w:r w:rsidR="00731B19" w:rsidRPr="003A1174">
        <w:rPr>
          <w:rFonts w:ascii="Garamond" w:eastAsia="Century Gothic" w:hAnsi="Garamond" w:cs="Arial"/>
          <w:spacing w:val="-2"/>
          <w:sz w:val="24"/>
          <w:szCs w:val="24"/>
        </w:rPr>
        <w:t>termos</w:t>
      </w:r>
      <w:r w:rsidRPr="003A1174">
        <w:rPr>
          <w:rFonts w:ascii="Garamond" w:eastAsia="Century Gothic" w:hAnsi="Garamond" w:cs="Arial"/>
          <w:spacing w:val="10"/>
          <w:sz w:val="24"/>
          <w:szCs w:val="24"/>
        </w:rPr>
        <w:t xml:space="preserve"> </w:t>
      </w:r>
      <w:r w:rsidR="00852CA5" w:rsidRPr="003A1174">
        <w:rPr>
          <w:rFonts w:ascii="Garamond" w:eastAsia="Century Gothic" w:hAnsi="Garamond" w:cs="Arial"/>
          <w:sz w:val="24"/>
          <w:szCs w:val="24"/>
        </w:rPr>
        <w:t>d</w:t>
      </w:r>
      <w:r w:rsidRPr="003A1174">
        <w:rPr>
          <w:rFonts w:ascii="Garamond" w:eastAsia="Century Gothic" w:hAnsi="Garamond" w:cs="Arial"/>
          <w:sz w:val="24"/>
          <w:szCs w:val="24"/>
        </w:rPr>
        <w:t>a</w:t>
      </w:r>
      <w:r w:rsidRPr="003A1174">
        <w:rPr>
          <w:rFonts w:ascii="Garamond" w:eastAsia="Century Gothic" w:hAnsi="Garamond" w:cs="Arial"/>
          <w:spacing w:val="17"/>
          <w:sz w:val="24"/>
          <w:szCs w:val="24"/>
        </w:rPr>
        <w:t xml:space="preserve"> </w:t>
      </w:r>
      <w:r w:rsidR="00D87E68">
        <w:rPr>
          <w:rFonts w:ascii="Garamond" w:eastAsia="Century Gothic" w:hAnsi="Garamond" w:cs="Arial"/>
          <w:spacing w:val="-2"/>
          <w:sz w:val="24"/>
          <w:szCs w:val="24"/>
        </w:rPr>
        <w:t>l</w:t>
      </w:r>
      <w:r w:rsidR="00D15AFF" w:rsidRPr="003A1174">
        <w:rPr>
          <w:rFonts w:ascii="Garamond" w:eastAsia="Century Gothic" w:hAnsi="Garamond" w:cs="Arial"/>
          <w:spacing w:val="-2"/>
          <w:sz w:val="24"/>
          <w:szCs w:val="24"/>
        </w:rPr>
        <w:t>ei</w:t>
      </w:r>
      <w:r w:rsidRPr="003A1174">
        <w:rPr>
          <w:rFonts w:ascii="Garamond" w:eastAsia="Century Gothic" w:hAnsi="Garamond" w:cs="Arial"/>
          <w:sz w:val="24"/>
          <w:szCs w:val="24"/>
        </w:rPr>
        <w:t>,</w:t>
      </w:r>
      <w:r w:rsidRPr="003A1174">
        <w:rPr>
          <w:rFonts w:ascii="Garamond" w:eastAsia="Century Gothic" w:hAnsi="Garamond" w:cs="Arial"/>
          <w:spacing w:val="13"/>
          <w:sz w:val="24"/>
          <w:szCs w:val="24"/>
        </w:rPr>
        <w:t xml:space="preserve"> </w:t>
      </w:r>
      <w:r w:rsidRPr="003A1174">
        <w:rPr>
          <w:rFonts w:ascii="Garamond" w:eastAsia="Century Gothic" w:hAnsi="Garamond" w:cs="Arial"/>
          <w:spacing w:val="-2"/>
          <w:sz w:val="24"/>
          <w:szCs w:val="24"/>
        </w:rPr>
        <w:t>s</w:t>
      </w:r>
      <w:r w:rsidRPr="003A1174">
        <w:rPr>
          <w:rFonts w:ascii="Garamond" w:eastAsia="Century Gothic" w:hAnsi="Garamond" w:cs="Arial"/>
          <w:spacing w:val="2"/>
          <w:sz w:val="24"/>
          <w:szCs w:val="24"/>
        </w:rPr>
        <w:t>u</w:t>
      </w:r>
      <w:r w:rsidRPr="003A1174">
        <w:rPr>
          <w:rFonts w:ascii="Garamond" w:eastAsia="Century Gothic" w:hAnsi="Garamond" w:cs="Arial"/>
          <w:spacing w:val="-2"/>
          <w:sz w:val="24"/>
          <w:szCs w:val="24"/>
        </w:rPr>
        <w:t>ste</w:t>
      </w:r>
      <w:r w:rsidRPr="003A1174">
        <w:rPr>
          <w:rFonts w:ascii="Garamond" w:eastAsia="Century Gothic" w:hAnsi="Garamond" w:cs="Arial"/>
          <w:spacing w:val="1"/>
          <w:sz w:val="24"/>
          <w:szCs w:val="24"/>
        </w:rPr>
        <w:t>n</w:t>
      </w:r>
      <w:r w:rsidRPr="003A1174">
        <w:rPr>
          <w:rFonts w:ascii="Garamond" w:eastAsia="Century Gothic" w:hAnsi="Garamond" w:cs="Arial"/>
          <w:spacing w:val="-2"/>
          <w:sz w:val="24"/>
          <w:szCs w:val="24"/>
        </w:rPr>
        <w:t>t</w:t>
      </w:r>
      <w:r w:rsidR="00D71B87" w:rsidRPr="003A1174">
        <w:rPr>
          <w:rFonts w:ascii="Garamond" w:eastAsia="Century Gothic" w:hAnsi="Garamond" w:cs="Arial"/>
          <w:spacing w:val="-2"/>
          <w:sz w:val="24"/>
          <w:szCs w:val="24"/>
        </w:rPr>
        <w:t>ada</w:t>
      </w:r>
      <w:r w:rsidRPr="003A1174">
        <w:rPr>
          <w:rFonts w:ascii="Garamond" w:eastAsia="Century Gothic" w:hAnsi="Garamond" w:cs="Arial"/>
          <w:spacing w:val="14"/>
          <w:sz w:val="24"/>
          <w:szCs w:val="24"/>
        </w:rPr>
        <w:t xml:space="preserve"> </w:t>
      </w:r>
      <w:r w:rsidRPr="003A1174">
        <w:rPr>
          <w:rFonts w:ascii="Garamond" w:eastAsia="Century Gothic" w:hAnsi="Garamond" w:cs="Arial"/>
          <w:spacing w:val="-1"/>
          <w:sz w:val="24"/>
          <w:szCs w:val="24"/>
        </w:rPr>
        <w:t>c</w:t>
      </w:r>
      <w:r w:rsidRPr="003A1174">
        <w:rPr>
          <w:rFonts w:ascii="Garamond" w:eastAsia="Century Gothic" w:hAnsi="Garamond" w:cs="Arial"/>
          <w:spacing w:val="-3"/>
          <w:sz w:val="24"/>
          <w:szCs w:val="24"/>
        </w:rPr>
        <w:t>o</w:t>
      </w:r>
      <w:r w:rsidR="00852CA5" w:rsidRPr="003A1174">
        <w:rPr>
          <w:rFonts w:ascii="Garamond" w:eastAsia="Century Gothic" w:hAnsi="Garamond" w:cs="Arial"/>
          <w:spacing w:val="-3"/>
          <w:sz w:val="24"/>
          <w:szCs w:val="24"/>
        </w:rPr>
        <w:t xml:space="preserve">m </w:t>
      </w:r>
      <w:r w:rsidRPr="003A1174">
        <w:rPr>
          <w:rFonts w:ascii="Garamond" w:eastAsia="Century Gothic" w:hAnsi="Garamond" w:cs="Arial"/>
          <w:sz w:val="24"/>
          <w:szCs w:val="24"/>
        </w:rPr>
        <w:t>a</w:t>
      </w:r>
      <w:r w:rsidRPr="003A1174">
        <w:rPr>
          <w:rFonts w:ascii="Garamond" w:eastAsia="Century Gothic" w:hAnsi="Garamond" w:cs="Arial"/>
          <w:spacing w:val="17"/>
          <w:sz w:val="24"/>
          <w:szCs w:val="24"/>
        </w:rPr>
        <w:t xml:space="preserve"> </w:t>
      </w:r>
      <w:r w:rsidR="00852CA5" w:rsidRPr="003A1174">
        <w:rPr>
          <w:rFonts w:ascii="Garamond" w:eastAsia="Century Gothic" w:hAnsi="Garamond" w:cs="Arial"/>
          <w:spacing w:val="-3"/>
          <w:sz w:val="24"/>
          <w:szCs w:val="24"/>
        </w:rPr>
        <w:t>intenção</w:t>
      </w:r>
      <w:r w:rsidRPr="003A1174">
        <w:rPr>
          <w:rFonts w:ascii="Garamond" w:eastAsia="Century Gothic" w:hAnsi="Garamond" w:cs="Arial"/>
          <w:spacing w:val="18"/>
          <w:sz w:val="24"/>
          <w:szCs w:val="24"/>
        </w:rPr>
        <w:t xml:space="preserve"> </w:t>
      </w:r>
      <w:r w:rsidRPr="003A1174">
        <w:rPr>
          <w:rFonts w:ascii="Garamond" w:eastAsia="Century Gothic" w:hAnsi="Garamond" w:cs="Arial"/>
          <w:spacing w:val="2"/>
          <w:sz w:val="24"/>
          <w:szCs w:val="24"/>
        </w:rPr>
        <w:t>l</w:t>
      </w:r>
      <w:r w:rsidRPr="003A1174">
        <w:rPr>
          <w:rFonts w:ascii="Garamond" w:eastAsia="Century Gothic" w:hAnsi="Garamond" w:cs="Arial"/>
          <w:spacing w:val="-2"/>
          <w:sz w:val="24"/>
          <w:szCs w:val="24"/>
        </w:rPr>
        <w:t>e</w:t>
      </w:r>
      <w:r w:rsidRPr="003A1174">
        <w:rPr>
          <w:rFonts w:ascii="Garamond" w:eastAsia="Century Gothic" w:hAnsi="Garamond" w:cs="Arial"/>
          <w:spacing w:val="-6"/>
          <w:sz w:val="24"/>
          <w:szCs w:val="24"/>
        </w:rPr>
        <w:t>g</w:t>
      </w:r>
      <w:r w:rsidRPr="003A1174">
        <w:rPr>
          <w:rFonts w:ascii="Garamond" w:eastAsia="Century Gothic" w:hAnsi="Garamond" w:cs="Arial"/>
          <w:spacing w:val="2"/>
          <w:sz w:val="24"/>
          <w:szCs w:val="24"/>
        </w:rPr>
        <w:t>i</w:t>
      </w:r>
      <w:r w:rsidRPr="003A1174">
        <w:rPr>
          <w:rFonts w:ascii="Garamond" w:eastAsia="Century Gothic" w:hAnsi="Garamond" w:cs="Arial"/>
          <w:spacing w:val="-7"/>
          <w:sz w:val="24"/>
          <w:szCs w:val="24"/>
        </w:rPr>
        <w:t>s</w:t>
      </w:r>
      <w:r w:rsidRPr="003A1174">
        <w:rPr>
          <w:rFonts w:ascii="Garamond" w:eastAsia="Century Gothic" w:hAnsi="Garamond" w:cs="Arial"/>
          <w:spacing w:val="2"/>
          <w:sz w:val="24"/>
          <w:szCs w:val="24"/>
        </w:rPr>
        <w:t>l</w:t>
      </w:r>
      <w:r w:rsidRPr="003A1174">
        <w:rPr>
          <w:rFonts w:ascii="Garamond" w:eastAsia="Century Gothic" w:hAnsi="Garamond" w:cs="Arial"/>
          <w:spacing w:val="1"/>
          <w:sz w:val="24"/>
          <w:szCs w:val="24"/>
        </w:rPr>
        <w:t>a</w:t>
      </w:r>
      <w:r w:rsidRPr="003A1174">
        <w:rPr>
          <w:rFonts w:ascii="Garamond" w:eastAsia="Century Gothic" w:hAnsi="Garamond" w:cs="Arial"/>
          <w:spacing w:val="-6"/>
          <w:sz w:val="24"/>
          <w:szCs w:val="24"/>
        </w:rPr>
        <w:t>t</w:t>
      </w:r>
      <w:r w:rsidRPr="003A1174">
        <w:rPr>
          <w:rFonts w:ascii="Garamond" w:eastAsia="Century Gothic" w:hAnsi="Garamond" w:cs="Arial"/>
          <w:spacing w:val="-3"/>
          <w:sz w:val="24"/>
          <w:szCs w:val="24"/>
        </w:rPr>
        <w:t>i</w:t>
      </w:r>
      <w:r w:rsidRPr="003A1174">
        <w:rPr>
          <w:rFonts w:ascii="Garamond" w:eastAsia="Century Gothic" w:hAnsi="Garamond" w:cs="Arial"/>
          <w:spacing w:val="3"/>
          <w:sz w:val="24"/>
          <w:szCs w:val="24"/>
        </w:rPr>
        <w:t>v</w:t>
      </w:r>
      <w:r w:rsidRPr="003A1174">
        <w:rPr>
          <w:rFonts w:ascii="Garamond" w:eastAsia="Century Gothic" w:hAnsi="Garamond" w:cs="Arial"/>
          <w:sz w:val="24"/>
          <w:szCs w:val="24"/>
        </w:rPr>
        <w:t>a de</w:t>
      </w:r>
      <w:r w:rsidRPr="003A1174">
        <w:rPr>
          <w:rFonts w:ascii="Garamond" w:eastAsia="Century Gothic" w:hAnsi="Garamond" w:cs="Arial"/>
          <w:spacing w:val="5"/>
          <w:sz w:val="24"/>
          <w:szCs w:val="24"/>
        </w:rPr>
        <w:t xml:space="preserve"> </w:t>
      </w:r>
      <w:r w:rsidRPr="003A1174">
        <w:rPr>
          <w:rFonts w:ascii="Garamond" w:eastAsia="Century Gothic" w:hAnsi="Garamond" w:cs="Arial"/>
          <w:spacing w:val="-4"/>
          <w:sz w:val="24"/>
          <w:szCs w:val="24"/>
        </w:rPr>
        <w:t>p</w:t>
      </w:r>
      <w:r w:rsidRPr="003A1174">
        <w:rPr>
          <w:rFonts w:ascii="Garamond" w:eastAsia="Century Gothic" w:hAnsi="Garamond" w:cs="Arial"/>
          <w:spacing w:val="1"/>
          <w:sz w:val="24"/>
          <w:szCs w:val="24"/>
        </w:rPr>
        <w:t>r</w:t>
      </w:r>
      <w:r w:rsidRPr="003A1174">
        <w:rPr>
          <w:rFonts w:ascii="Garamond" w:eastAsia="Century Gothic" w:hAnsi="Garamond" w:cs="Arial"/>
          <w:spacing w:val="2"/>
          <w:sz w:val="24"/>
          <w:szCs w:val="24"/>
        </w:rPr>
        <w:t>o</w:t>
      </w:r>
      <w:r w:rsidRPr="003A1174">
        <w:rPr>
          <w:rFonts w:ascii="Garamond" w:eastAsia="Century Gothic" w:hAnsi="Garamond" w:cs="Arial"/>
          <w:spacing w:val="-2"/>
          <w:sz w:val="24"/>
          <w:szCs w:val="24"/>
        </w:rPr>
        <w:t>teg</w:t>
      </w:r>
      <w:r w:rsidRPr="003A1174">
        <w:rPr>
          <w:rFonts w:ascii="Garamond" w:eastAsia="Century Gothic" w:hAnsi="Garamond" w:cs="Arial"/>
          <w:spacing w:val="-7"/>
          <w:sz w:val="24"/>
          <w:szCs w:val="24"/>
        </w:rPr>
        <w:t>e</w:t>
      </w:r>
      <w:r w:rsidRPr="003A1174">
        <w:rPr>
          <w:rFonts w:ascii="Garamond" w:eastAsia="Century Gothic" w:hAnsi="Garamond" w:cs="Arial"/>
          <w:sz w:val="24"/>
          <w:szCs w:val="24"/>
        </w:rPr>
        <w:t>r</w:t>
      </w:r>
      <w:r w:rsidRPr="003A1174">
        <w:rPr>
          <w:rFonts w:ascii="Garamond" w:eastAsia="Century Gothic" w:hAnsi="Garamond" w:cs="Arial"/>
          <w:spacing w:val="8"/>
          <w:sz w:val="24"/>
          <w:szCs w:val="24"/>
        </w:rPr>
        <w:t xml:space="preserve"> </w:t>
      </w:r>
      <w:r w:rsidRPr="003A1174">
        <w:rPr>
          <w:rFonts w:ascii="Garamond" w:eastAsia="Century Gothic" w:hAnsi="Garamond" w:cs="Arial"/>
          <w:sz w:val="24"/>
          <w:szCs w:val="24"/>
        </w:rPr>
        <w:t>a</w:t>
      </w:r>
      <w:r w:rsidRPr="003A1174">
        <w:rPr>
          <w:rFonts w:ascii="Garamond" w:eastAsia="Century Gothic" w:hAnsi="Garamond" w:cs="Arial"/>
          <w:spacing w:val="8"/>
          <w:sz w:val="24"/>
          <w:szCs w:val="24"/>
        </w:rPr>
        <w:t xml:space="preserve"> </w:t>
      </w:r>
      <w:r w:rsidR="00852CA5" w:rsidRPr="003A1174">
        <w:rPr>
          <w:rFonts w:ascii="Garamond" w:eastAsia="Century Gothic" w:hAnsi="Garamond" w:cs="Arial"/>
          <w:spacing w:val="-6"/>
          <w:sz w:val="24"/>
          <w:szCs w:val="24"/>
        </w:rPr>
        <w:t>composição</w:t>
      </w:r>
      <w:r w:rsidRPr="003A1174">
        <w:rPr>
          <w:rFonts w:ascii="Garamond" w:eastAsia="Century Gothic" w:hAnsi="Garamond" w:cs="Arial"/>
          <w:spacing w:val="8"/>
          <w:sz w:val="24"/>
          <w:szCs w:val="24"/>
        </w:rPr>
        <w:t xml:space="preserve"> </w:t>
      </w:r>
      <w:r w:rsidRPr="003A1174">
        <w:rPr>
          <w:rFonts w:ascii="Garamond" w:eastAsia="Century Gothic" w:hAnsi="Garamond" w:cs="Arial"/>
          <w:spacing w:val="-1"/>
          <w:sz w:val="24"/>
          <w:szCs w:val="24"/>
        </w:rPr>
        <w:t>f</w:t>
      </w:r>
      <w:r w:rsidRPr="003A1174">
        <w:rPr>
          <w:rFonts w:ascii="Garamond" w:eastAsia="Century Gothic" w:hAnsi="Garamond" w:cs="Arial"/>
          <w:spacing w:val="1"/>
          <w:sz w:val="24"/>
          <w:szCs w:val="24"/>
        </w:rPr>
        <w:t>a</w:t>
      </w:r>
      <w:r w:rsidRPr="003A1174">
        <w:rPr>
          <w:rFonts w:ascii="Garamond" w:eastAsia="Century Gothic" w:hAnsi="Garamond" w:cs="Arial"/>
          <w:spacing w:val="-7"/>
          <w:sz w:val="24"/>
          <w:szCs w:val="24"/>
        </w:rPr>
        <w:t>m</w:t>
      </w:r>
      <w:r w:rsidRPr="003A1174">
        <w:rPr>
          <w:rFonts w:ascii="Garamond" w:eastAsia="Century Gothic" w:hAnsi="Garamond" w:cs="Arial"/>
          <w:spacing w:val="2"/>
          <w:sz w:val="24"/>
          <w:szCs w:val="24"/>
        </w:rPr>
        <w:t>i</w:t>
      </w:r>
      <w:r w:rsidRPr="003A1174">
        <w:rPr>
          <w:rFonts w:ascii="Garamond" w:eastAsia="Century Gothic" w:hAnsi="Garamond" w:cs="Arial"/>
          <w:spacing w:val="-3"/>
          <w:sz w:val="24"/>
          <w:szCs w:val="24"/>
        </w:rPr>
        <w:t>li</w:t>
      </w:r>
      <w:r w:rsidRPr="003A1174">
        <w:rPr>
          <w:rFonts w:ascii="Garamond" w:eastAsia="Century Gothic" w:hAnsi="Garamond" w:cs="Arial"/>
          <w:spacing w:val="1"/>
          <w:sz w:val="24"/>
          <w:szCs w:val="24"/>
        </w:rPr>
        <w:t>a</w:t>
      </w:r>
      <w:r w:rsidRPr="003A1174">
        <w:rPr>
          <w:rFonts w:ascii="Garamond" w:eastAsia="Century Gothic" w:hAnsi="Garamond" w:cs="Arial"/>
          <w:sz w:val="24"/>
          <w:szCs w:val="24"/>
        </w:rPr>
        <w:t>r</w:t>
      </w:r>
      <w:r w:rsidRPr="003A1174">
        <w:rPr>
          <w:rFonts w:ascii="Garamond" w:eastAsia="Century Gothic" w:hAnsi="Garamond" w:cs="Arial"/>
          <w:spacing w:val="3"/>
          <w:sz w:val="24"/>
          <w:szCs w:val="24"/>
        </w:rPr>
        <w:t xml:space="preserve"> tradicional</w:t>
      </w:r>
      <w:r w:rsidR="00852CA5" w:rsidRPr="003A1174">
        <w:rPr>
          <w:rFonts w:ascii="Garamond" w:eastAsia="Century Gothic" w:hAnsi="Garamond" w:cs="Arial"/>
          <w:spacing w:val="3"/>
          <w:sz w:val="24"/>
          <w:szCs w:val="24"/>
        </w:rPr>
        <w:t xml:space="preserve"> e não a de casais </w:t>
      </w:r>
      <w:r w:rsidR="008A3DA2" w:rsidRPr="003A1174">
        <w:rPr>
          <w:rFonts w:ascii="Garamond" w:eastAsia="Century Gothic" w:hAnsi="Garamond" w:cs="Arial"/>
          <w:sz w:val="24"/>
          <w:szCs w:val="24"/>
        </w:rPr>
        <w:t>do</w:t>
      </w:r>
      <w:r w:rsidRPr="003A1174">
        <w:rPr>
          <w:rFonts w:ascii="Garamond" w:eastAsia="Century Gothic" w:hAnsi="Garamond" w:cs="Arial"/>
          <w:spacing w:val="23"/>
          <w:sz w:val="24"/>
          <w:szCs w:val="24"/>
        </w:rPr>
        <w:t xml:space="preserve"> </w:t>
      </w:r>
      <w:r w:rsidR="00023AD6" w:rsidRPr="003A1174">
        <w:rPr>
          <w:rFonts w:ascii="Garamond" w:eastAsia="Century Gothic" w:hAnsi="Garamond" w:cs="Arial"/>
          <w:spacing w:val="-7"/>
          <w:sz w:val="24"/>
          <w:szCs w:val="24"/>
        </w:rPr>
        <w:t>mesmo</w:t>
      </w:r>
      <w:r w:rsidRPr="003A1174">
        <w:rPr>
          <w:rFonts w:ascii="Garamond" w:eastAsia="Century Gothic" w:hAnsi="Garamond" w:cs="Arial"/>
          <w:spacing w:val="23"/>
          <w:sz w:val="24"/>
          <w:szCs w:val="24"/>
        </w:rPr>
        <w:t xml:space="preserve"> </w:t>
      </w:r>
      <w:r w:rsidRPr="003A1174">
        <w:rPr>
          <w:rFonts w:ascii="Garamond" w:eastAsia="Century Gothic" w:hAnsi="Garamond" w:cs="Arial"/>
          <w:spacing w:val="-2"/>
          <w:sz w:val="24"/>
          <w:szCs w:val="24"/>
        </w:rPr>
        <w:t>se</w:t>
      </w:r>
      <w:r w:rsidRPr="003A1174">
        <w:rPr>
          <w:rFonts w:ascii="Garamond" w:eastAsia="Century Gothic" w:hAnsi="Garamond" w:cs="Arial"/>
          <w:spacing w:val="-1"/>
          <w:sz w:val="24"/>
          <w:szCs w:val="24"/>
        </w:rPr>
        <w:t>x</w:t>
      </w:r>
      <w:r w:rsidRPr="003A1174">
        <w:rPr>
          <w:rFonts w:ascii="Garamond" w:eastAsia="Century Gothic" w:hAnsi="Garamond" w:cs="Arial"/>
          <w:spacing w:val="2"/>
          <w:sz w:val="24"/>
          <w:szCs w:val="24"/>
        </w:rPr>
        <w:t>o,</w:t>
      </w:r>
      <w:r w:rsidRPr="003A1174">
        <w:rPr>
          <w:rFonts w:ascii="Garamond" w:eastAsia="Century Gothic" w:hAnsi="Garamond" w:cs="Arial"/>
          <w:sz w:val="24"/>
          <w:szCs w:val="24"/>
        </w:rPr>
        <w:t xml:space="preserve"> d</w:t>
      </w:r>
      <w:r w:rsidRPr="003A1174">
        <w:rPr>
          <w:rFonts w:ascii="Garamond" w:eastAsia="Century Gothic" w:hAnsi="Garamond" w:cs="Arial"/>
          <w:spacing w:val="-2"/>
          <w:sz w:val="24"/>
          <w:szCs w:val="24"/>
        </w:rPr>
        <w:t>ete</w:t>
      </w:r>
      <w:r w:rsidRPr="003A1174">
        <w:rPr>
          <w:rFonts w:ascii="Garamond" w:eastAsia="Century Gothic" w:hAnsi="Garamond" w:cs="Arial"/>
          <w:spacing w:val="1"/>
          <w:sz w:val="24"/>
          <w:szCs w:val="24"/>
        </w:rPr>
        <w:t>r</w:t>
      </w:r>
      <w:r w:rsidRPr="003A1174">
        <w:rPr>
          <w:rFonts w:ascii="Garamond" w:eastAsia="Century Gothic" w:hAnsi="Garamond" w:cs="Arial"/>
          <w:spacing w:val="-2"/>
          <w:sz w:val="24"/>
          <w:szCs w:val="24"/>
        </w:rPr>
        <w:t>mi</w:t>
      </w:r>
      <w:r w:rsidRPr="003A1174">
        <w:rPr>
          <w:rFonts w:ascii="Garamond" w:eastAsia="Century Gothic" w:hAnsi="Garamond" w:cs="Arial"/>
          <w:spacing w:val="-4"/>
          <w:sz w:val="24"/>
          <w:szCs w:val="24"/>
        </w:rPr>
        <w:t>n</w:t>
      </w:r>
      <w:r w:rsidR="00852CA5" w:rsidRPr="003A1174">
        <w:rPr>
          <w:rFonts w:ascii="Garamond" w:eastAsia="Century Gothic" w:hAnsi="Garamond" w:cs="Arial"/>
          <w:spacing w:val="-4"/>
          <w:sz w:val="24"/>
          <w:szCs w:val="24"/>
        </w:rPr>
        <w:t xml:space="preserve">ou não </w:t>
      </w:r>
      <w:r w:rsidR="00852CA5" w:rsidRPr="003A1174">
        <w:rPr>
          <w:rFonts w:ascii="Garamond" w:eastAsia="Century Gothic" w:hAnsi="Garamond" w:cs="Arial"/>
          <w:spacing w:val="2"/>
          <w:sz w:val="24"/>
          <w:szCs w:val="24"/>
        </w:rPr>
        <w:t xml:space="preserve">julgar em </w:t>
      </w:r>
      <w:r w:rsidR="00E45CCF" w:rsidRPr="003A1174">
        <w:rPr>
          <w:rFonts w:ascii="Garamond" w:eastAsia="Century Gothic" w:hAnsi="Garamond" w:cs="Arial"/>
          <w:spacing w:val="2"/>
          <w:sz w:val="24"/>
          <w:szCs w:val="24"/>
        </w:rPr>
        <w:t>virtude</w:t>
      </w:r>
      <w:r w:rsidRPr="003A1174">
        <w:rPr>
          <w:rFonts w:ascii="Garamond" w:eastAsia="Century Gothic" w:hAnsi="Garamond" w:cs="Arial"/>
          <w:spacing w:val="2"/>
          <w:sz w:val="24"/>
          <w:szCs w:val="24"/>
        </w:rPr>
        <w:t xml:space="preserve"> da </w:t>
      </w:r>
      <w:r w:rsidR="00D15AFF" w:rsidRPr="003A1174">
        <w:rPr>
          <w:rFonts w:ascii="Garamond" w:eastAsia="Century Gothic" w:hAnsi="Garamond" w:cs="Arial"/>
          <w:spacing w:val="2"/>
          <w:sz w:val="24"/>
          <w:szCs w:val="24"/>
        </w:rPr>
        <w:t>Lei</w:t>
      </w:r>
      <w:r w:rsidRPr="003A1174">
        <w:rPr>
          <w:rFonts w:ascii="Garamond" w:eastAsia="Century Gothic" w:hAnsi="Garamond" w:cs="Arial"/>
          <w:spacing w:val="2"/>
          <w:sz w:val="24"/>
          <w:szCs w:val="24"/>
        </w:rPr>
        <w:t xml:space="preserve"> 54 </w:t>
      </w:r>
      <w:r w:rsidR="00D87E68" w:rsidRPr="00D87E68">
        <w:rPr>
          <w:rFonts w:ascii="Garamond" w:eastAsia="Century Gothic" w:hAnsi="Garamond" w:cs="Arial"/>
          <w:sz w:val="24"/>
          <w:szCs w:val="24"/>
        </w:rPr>
        <w:t>«</w:t>
      </w:r>
      <w:r w:rsidR="00D71B87" w:rsidRPr="00D87E68">
        <w:rPr>
          <w:rFonts w:ascii="Garamond" w:eastAsia="Century Gothic" w:hAnsi="Garamond" w:cs="Arial"/>
          <w:sz w:val="24"/>
          <w:szCs w:val="24"/>
        </w:rPr>
        <w:t xml:space="preserve">[…] </w:t>
      </w:r>
      <w:r w:rsidR="00852CA5" w:rsidRPr="00D87E68">
        <w:rPr>
          <w:rFonts w:ascii="Garamond" w:eastAsia="Century Gothic" w:hAnsi="Garamond" w:cs="Arial"/>
          <w:spacing w:val="-3"/>
          <w:sz w:val="24"/>
          <w:szCs w:val="24"/>
        </w:rPr>
        <w:t>um</w:t>
      </w:r>
      <w:r w:rsidRPr="00D87E68">
        <w:rPr>
          <w:rFonts w:ascii="Garamond" w:eastAsia="Century Gothic" w:hAnsi="Garamond" w:cs="Arial"/>
          <w:sz w:val="24"/>
          <w:szCs w:val="24"/>
        </w:rPr>
        <w:t>a</w:t>
      </w:r>
      <w:r w:rsidRPr="00D87E68">
        <w:rPr>
          <w:rFonts w:ascii="Garamond" w:eastAsia="Century Gothic" w:hAnsi="Garamond" w:cs="Arial"/>
          <w:spacing w:val="8"/>
          <w:sz w:val="24"/>
          <w:szCs w:val="24"/>
        </w:rPr>
        <w:t xml:space="preserve"> </w:t>
      </w:r>
      <w:r w:rsidR="00852CA5" w:rsidRPr="00D87E68">
        <w:rPr>
          <w:rFonts w:ascii="Garamond" w:eastAsia="Century Gothic" w:hAnsi="Garamond" w:cs="Arial"/>
          <w:spacing w:val="8"/>
          <w:sz w:val="24"/>
          <w:szCs w:val="24"/>
        </w:rPr>
        <w:t xml:space="preserve">vez </w:t>
      </w:r>
      <w:r w:rsidRPr="00D87E68">
        <w:rPr>
          <w:rFonts w:ascii="Garamond" w:eastAsia="Century Gothic" w:hAnsi="Garamond" w:cs="Arial"/>
          <w:spacing w:val="1"/>
          <w:sz w:val="24"/>
          <w:szCs w:val="24"/>
        </w:rPr>
        <w:t>q</w:t>
      </w:r>
      <w:r w:rsidRPr="00D87E68">
        <w:rPr>
          <w:rFonts w:ascii="Garamond" w:eastAsia="Century Gothic" w:hAnsi="Garamond" w:cs="Arial"/>
          <w:spacing w:val="2"/>
          <w:sz w:val="24"/>
          <w:szCs w:val="24"/>
        </w:rPr>
        <w:t>u</w:t>
      </w:r>
      <w:r w:rsidRPr="00D87E68">
        <w:rPr>
          <w:rFonts w:ascii="Garamond" w:eastAsia="Century Gothic" w:hAnsi="Garamond" w:cs="Arial"/>
          <w:sz w:val="24"/>
          <w:szCs w:val="24"/>
        </w:rPr>
        <w:t xml:space="preserve">e </w:t>
      </w:r>
      <w:r w:rsidR="00852CA5" w:rsidRPr="00D87E68">
        <w:rPr>
          <w:rFonts w:ascii="Garamond" w:eastAsia="Century Gothic" w:hAnsi="Garamond" w:cs="Arial"/>
          <w:spacing w:val="-2"/>
          <w:sz w:val="24"/>
          <w:szCs w:val="24"/>
        </w:rPr>
        <w:t>e</w:t>
      </w:r>
      <w:r w:rsidRPr="00D87E68">
        <w:rPr>
          <w:rFonts w:ascii="Garamond" w:eastAsia="Century Gothic" w:hAnsi="Garamond" w:cs="Arial"/>
          <w:spacing w:val="-2"/>
          <w:sz w:val="24"/>
          <w:szCs w:val="24"/>
        </w:rPr>
        <w:t>st</w:t>
      </w:r>
      <w:r w:rsidRPr="00D87E68">
        <w:rPr>
          <w:rFonts w:ascii="Garamond" w:eastAsia="Century Gothic" w:hAnsi="Garamond" w:cs="Arial"/>
          <w:spacing w:val="1"/>
          <w:sz w:val="24"/>
          <w:szCs w:val="24"/>
        </w:rPr>
        <w:t>a</w:t>
      </w:r>
      <w:r w:rsidRPr="00D87E68">
        <w:rPr>
          <w:rFonts w:ascii="Garamond" w:eastAsia="Century Gothic" w:hAnsi="Garamond" w:cs="Arial"/>
          <w:sz w:val="24"/>
          <w:szCs w:val="24"/>
        </w:rPr>
        <w:t>s</w:t>
      </w:r>
      <w:r w:rsidRPr="00D87E68">
        <w:rPr>
          <w:rFonts w:ascii="Garamond" w:eastAsia="Century Gothic" w:hAnsi="Garamond" w:cs="Arial"/>
          <w:spacing w:val="10"/>
          <w:sz w:val="24"/>
          <w:szCs w:val="24"/>
        </w:rPr>
        <w:t xml:space="preserve"> </w:t>
      </w:r>
      <w:r w:rsidR="00D75A07" w:rsidRPr="00D87E68">
        <w:rPr>
          <w:rFonts w:ascii="Garamond" w:eastAsia="Century Gothic" w:hAnsi="Garamond" w:cs="Arial"/>
          <w:spacing w:val="-2"/>
          <w:sz w:val="24"/>
          <w:szCs w:val="24"/>
        </w:rPr>
        <w:t>são</w:t>
      </w:r>
      <w:r w:rsidRPr="00D87E68">
        <w:rPr>
          <w:rFonts w:ascii="Garamond" w:eastAsia="Century Gothic" w:hAnsi="Garamond" w:cs="Arial"/>
          <w:spacing w:val="13"/>
          <w:sz w:val="24"/>
          <w:szCs w:val="24"/>
        </w:rPr>
        <w:t xml:space="preserve"> </w:t>
      </w:r>
      <w:r w:rsidR="00852CA5" w:rsidRPr="00D87E68">
        <w:rPr>
          <w:rFonts w:ascii="Garamond" w:eastAsia="Century Gothic" w:hAnsi="Garamond" w:cs="Arial"/>
          <w:spacing w:val="-4"/>
          <w:sz w:val="24"/>
          <w:szCs w:val="24"/>
        </w:rPr>
        <w:t>aplicáveis</w:t>
      </w:r>
      <w:r w:rsidRPr="00D87E68">
        <w:rPr>
          <w:rFonts w:ascii="Garamond" w:eastAsia="Century Gothic" w:hAnsi="Garamond" w:cs="Arial"/>
          <w:spacing w:val="10"/>
          <w:sz w:val="24"/>
          <w:szCs w:val="24"/>
        </w:rPr>
        <w:t xml:space="preserve"> </w:t>
      </w:r>
      <w:r w:rsidR="00852CA5" w:rsidRPr="00D87E68">
        <w:rPr>
          <w:rFonts w:ascii="Garamond" w:eastAsia="Century Gothic" w:hAnsi="Garamond" w:cs="Arial"/>
          <w:spacing w:val="10"/>
          <w:sz w:val="24"/>
          <w:szCs w:val="24"/>
        </w:rPr>
        <w:t xml:space="preserve">apenas a </w:t>
      </w:r>
      <w:r w:rsidR="001B02AD" w:rsidRPr="00D87E68">
        <w:rPr>
          <w:rFonts w:ascii="Garamond" w:eastAsia="Century Gothic" w:hAnsi="Garamond" w:cs="Arial"/>
          <w:spacing w:val="1"/>
          <w:sz w:val="24"/>
          <w:szCs w:val="24"/>
        </w:rPr>
        <w:t>atos</w:t>
      </w:r>
      <w:r w:rsidRPr="00D87E68">
        <w:rPr>
          <w:rFonts w:ascii="Garamond" w:eastAsia="Century Gothic" w:hAnsi="Garamond" w:cs="Arial"/>
          <w:spacing w:val="5"/>
          <w:sz w:val="24"/>
          <w:szCs w:val="24"/>
        </w:rPr>
        <w:t xml:space="preserve"> </w:t>
      </w:r>
      <w:r w:rsidRPr="00D87E68">
        <w:rPr>
          <w:rFonts w:ascii="Garamond" w:eastAsia="Century Gothic" w:hAnsi="Garamond" w:cs="Arial"/>
          <w:sz w:val="24"/>
          <w:szCs w:val="24"/>
        </w:rPr>
        <w:t>de</w:t>
      </w:r>
      <w:r w:rsidRPr="00D87E68">
        <w:rPr>
          <w:rFonts w:ascii="Garamond" w:eastAsia="Century Gothic" w:hAnsi="Garamond" w:cs="Arial"/>
          <w:spacing w:val="10"/>
          <w:sz w:val="24"/>
          <w:szCs w:val="24"/>
        </w:rPr>
        <w:t xml:space="preserve"> </w:t>
      </w:r>
      <w:r w:rsidR="000350B1" w:rsidRPr="00D87E68">
        <w:rPr>
          <w:rFonts w:ascii="Garamond" w:eastAsia="Century Gothic" w:hAnsi="Garamond" w:cs="Arial"/>
          <w:spacing w:val="-2"/>
          <w:sz w:val="24"/>
          <w:szCs w:val="24"/>
        </w:rPr>
        <w:t>violência</w:t>
      </w:r>
      <w:r w:rsidRPr="00D87E68">
        <w:rPr>
          <w:rFonts w:ascii="Garamond" w:eastAsia="Century Gothic" w:hAnsi="Garamond" w:cs="Arial"/>
          <w:spacing w:val="8"/>
          <w:sz w:val="24"/>
          <w:szCs w:val="24"/>
        </w:rPr>
        <w:t xml:space="preserve"> </w:t>
      </w:r>
      <w:r w:rsidRPr="00D87E68">
        <w:rPr>
          <w:rFonts w:ascii="Garamond" w:eastAsia="Century Gothic" w:hAnsi="Garamond" w:cs="Arial"/>
          <w:sz w:val="24"/>
          <w:szCs w:val="24"/>
        </w:rPr>
        <w:t>d</w:t>
      </w:r>
      <w:r w:rsidRPr="00D87E68">
        <w:rPr>
          <w:rFonts w:ascii="Garamond" w:eastAsia="Century Gothic" w:hAnsi="Garamond" w:cs="Arial"/>
          <w:spacing w:val="-3"/>
          <w:sz w:val="24"/>
          <w:szCs w:val="24"/>
        </w:rPr>
        <w:t>o</w:t>
      </w:r>
      <w:r w:rsidRPr="00D87E68">
        <w:rPr>
          <w:rFonts w:ascii="Garamond" w:eastAsia="Century Gothic" w:hAnsi="Garamond" w:cs="Arial"/>
          <w:spacing w:val="2"/>
          <w:sz w:val="24"/>
          <w:szCs w:val="24"/>
        </w:rPr>
        <w:t>m</w:t>
      </w:r>
      <w:r w:rsidRPr="00D87E68">
        <w:rPr>
          <w:rFonts w:ascii="Garamond" w:eastAsia="Century Gothic" w:hAnsi="Garamond" w:cs="Arial"/>
          <w:spacing w:val="-2"/>
          <w:sz w:val="24"/>
          <w:szCs w:val="24"/>
        </w:rPr>
        <w:t>és</w:t>
      </w:r>
      <w:r w:rsidRPr="00D87E68">
        <w:rPr>
          <w:rFonts w:ascii="Garamond" w:eastAsia="Century Gothic" w:hAnsi="Garamond" w:cs="Arial"/>
          <w:spacing w:val="-6"/>
          <w:sz w:val="24"/>
          <w:szCs w:val="24"/>
        </w:rPr>
        <w:t>t</w:t>
      </w:r>
      <w:r w:rsidRPr="00D87E68">
        <w:rPr>
          <w:rFonts w:ascii="Garamond" w:eastAsia="Century Gothic" w:hAnsi="Garamond" w:cs="Arial"/>
          <w:spacing w:val="2"/>
          <w:sz w:val="24"/>
          <w:szCs w:val="24"/>
        </w:rPr>
        <w:t>i</w:t>
      </w:r>
      <w:r w:rsidRPr="00D87E68">
        <w:rPr>
          <w:rFonts w:ascii="Garamond" w:eastAsia="Century Gothic" w:hAnsi="Garamond" w:cs="Arial"/>
          <w:spacing w:val="-1"/>
          <w:sz w:val="24"/>
          <w:szCs w:val="24"/>
        </w:rPr>
        <w:t>c</w:t>
      </w:r>
      <w:r w:rsidRPr="00D87E68">
        <w:rPr>
          <w:rFonts w:ascii="Garamond" w:eastAsia="Century Gothic" w:hAnsi="Garamond" w:cs="Arial"/>
          <w:sz w:val="24"/>
          <w:szCs w:val="24"/>
        </w:rPr>
        <w:t>a</w:t>
      </w:r>
      <w:r w:rsidRPr="00D87E68">
        <w:rPr>
          <w:rFonts w:ascii="Garamond" w:eastAsia="Century Gothic" w:hAnsi="Garamond" w:cs="Arial"/>
          <w:spacing w:val="12"/>
          <w:sz w:val="24"/>
          <w:szCs w:val="24"/>
        </w:rPr>
        <w:t xml:space="preserve"> </w:t>
      </w:r>
      <w:r w:rsidR="00852CA5" w:rsidRPr="00D87E68">
        <w:rPr>
          <w:rFonts w:ascii="Garamond" w:eastAsia="Century Gothic" w:hAnsi="Garamond" w:cs="Arial"/>
          <w:spacing w:val="12"/>
          <w:sz w:val="24"/>
          <w:szCs w:val="24"/>
        </w:rPr>
        <w:t xml:space="preserve">numa </w:t>
      </w:r>
      <w:r w:rsidR="00152A44" w:rsidRPr="00D87E68">
        <w:rPr>
          <w:rFonts w:ascii="Garamond" w:eastAsia="Century Gothic" w:hAnsi="Garamond" w:cs="Arial"/>
          <w:spacing w:val="1"/>
          <w:sz w:val="24"/>
          <w:szCs w:val="24"/>
        </w:rPr>
        <w:t>relação</w:t>
      </w:r>
      <w:r w:rsidRPr="00D87E68">
        <w:rPr>
          <w:rFonts w:ascii="Garamond" w:eastAsia="Century Gothic" w:hAnsi="Garamond" w:cs="Arial"/>
          <w:sz w:val="24"/>
          <w:szCs w:val="24"/>
        </w:rPr>
        <w:t xml:space="preserve"> </w:t>
      </w:r>
      <w:r w:rsidRPr="00D87E68">
        <w:rPr>
          <w:rFonts w:ascii="Garamond" w:eastAsia="Century Gothic" w:hAnsi="Garamond" w:cs="Arial"/>
          <w:spacing w:val="-2"/>
          <w:sz w:val="24"/>
          <w:szCs w:val="24"/>
        </w:rPr>
        <w:t>e</w:t>
      </w:r>
      <w:r w:rsidRPr="00D87E68">
        <w:rPr>
          <w:rFonts w:ascii="Garamond" w:eastAsia="Century Gothic" w:hAnsi="Garamond" w:cs="Arial"/>
          <w:spacing w:val="1"/>
          <w:sz w:val="24"/>
          <w:szCs w:val="24"/>
        </w:rPr>
        <w:t>n</w:t>
      </w:r>
      <w:r w:rsidRPr="00D87E68">
        <w:rPr>
          <w:rFonts w:ascii="Garamond" w:eastAsia="Century Gothic" w:hAnsi="Garamond" w:cs="Arial"/>
          <w:spacing w:val="-2"/>
          <w:sz w:val="24"/>
          <w:szCs w:val="24"/>
        </w:rPr>
        <w:t>t</w:t>
      </w:r>
      <w:r w:rsidRPr="00D87E68">
        <w:rPr>
          <w:rFonts w:ascii="Garamond" w:eastAsia="Century Gothic" w:hAnsi="Garamond" w:cs="Arial"/>
          <w:spacing w:val="1"/>
          <w:sz w:val="24"/>
          <w:szCs w:val="24"/>
        </w:rPr>
        <w:t>r</w:t>
      </w:r>
      <w:r w:rsidRPr="00D87E68">
        <w:rPr>
          <w:rFonts w:ascii="Garamond" w:eastAsia="Century Gothic" w:hAnsi="Garamond" w:cs="Arial"/>
          <w:sz w:val="24"/>
          <w:szCs w:val="24"/>
        </w:rPr>
        <w:t>e</w:t>
      </w:r>
      <w:r w:rsidRPr="00D87E68">
        <w:rPr>
          <w:rFonts w:ascii="Garamond" w:eastAsia="Century Gothic" w:hAnsi="Garamond" w:cs="Arial"/>
          <w:spacing w:val="29"/>
          <w:sz w:val="24"/>
          <w:szCs w:val="24"/>
        </w:rPr>
        <w:t xml:space="preserve"> </w:t>
      </w:r>
      <w:r w:rsidR="00524936" w:rsidRPr="00D87E68">
        <w:rPr>
          <w:rFonts w:ascii="Garamond" w:eastAsia="Century Gothic" w:hAnsi="Garamond" w:cs="Arial"/>
          <w:spacing w:val="-3"/>
          <w:sz w:val="24"/>
          <w:szCs w:val="24"/>
        </w:rPr>
        <w:t>homem</w:t>
      </w:r>
      <w:r w:rsidRPr="00D87E68">
        <w:rPr>
          <w:rFonts w:ascii="Garamond" w:eastAsia="Century Gothic" w:hAnsi="Garamond" w:cs="Arial"/>
          <w:spacing w:val="29"/>
          <w:sz w:val="24"/>
          <w:szCs w:val="24"/>
        </w:rPr>
        <w:t xml:space="preserve"> </w:t>
      </w:r>
      <w:r w:rsidR="00497503" w:rsidRPr="00D87E68">
        <w:rPr>
          <w:rFonts w:ascii="Garamond" w:eastAsia="Century Gothic" w:hAnsi="Garamond" w:cs="Arial"/>
          <w:sz w:val="24"/>
          <w:szCs w:val="24"/>
        </w:rPr>
        <w:t>e</w:t>
      </w:r>
      <w:r w:rsidRPr="00D87E68">
        <w:rPr>
          <w:rFonts w:ascii="Garamond" w:eastAsia="Century Gothic" w:hAnsi="Garamond" w:cs="Arial"/>
          <w:spacing w:val="28"/>
          <w:sz w:val="24"/>
          <w:szCs w:val="24"/>
        </w:rPr>
        <w:t xml:space="preserve"> </w:t>
      </w:r>
      <w:r w:rsidR="00AF192F" w:rsidRPr="00D87E68">
        <w:rPr>
          <w:rFonts w:ascii="Garamond" w:eastAsia="Century Gothic" w:hAnsi="Garamond" w:cs="Arial"/>
          <w:spacing w:val="2"/>
          <w:sz w:val="24"/>
          <w:szCs w:val="24"/>
        </w:rPr>
        <w:lastRenderedPageBreak/>
        <w:t>mulher</w:t>
      </w:r>
      <w:r w:rsidR="00D87E68" w:rsidRPr="00D87E68">
        <w:rPr>
          <w:rFonts w:ascii="Garamond" w:eastAsia="Century Gothic" w:hAnsi="Garamond" w:cs="Arial"/>
          <w:spacing w:val="2"/>
          <w:sz w:val="24"/>
          <w:szCs w:val="24"/>
        </w:rPr>
        <w:t>»</w:t>
      </w:r>
      <w:r w:rsidRPr="00D87E68">
        <w:rPr>
          <w:rFonts w:ascii="Garamond" w:eastAsia="Century Gothic" w:hAnsi="Garamond" w:cs="Arial"/>
          <w:spacing w:val="-3"/>
          <w:sz w:val="24"/>
          <w:szCs w:val="24"/>
        </w:rPr>
        <w:t>.</w:t>
      </w:r>
      <w:r w:rsidRPr="003A1174">
        <w:rPr>
          <w:rFonts w:ascii="Garamond" w:eastAsia="Century Gothic" w:hAnsi="Garamond" w:cs="Arial"/>
          <w:spacing w:val="-3"/>
          <w:sz w:val="24"/>
          <w:szCs w:val="24"/>
        </w:rPr>
        <w:t xml:space="preserve"> Por </w:t>
      </w:r>
      <w:r w:rsidR="001F2F8B" w:rsidRPr="003A1174">
        <w:rPr>
          <w:rFonts w:ascii="Garamond" w:eastAsia="Century Gothic" w:hAnsi="Garamond" w:cs="Arial"/>
          <w:spacing w:val="-3"/>
          <w:sz w:val="24"/>
          <w:szCs w:val="24"/>
        </w:rPr>
        <w:t>outro</w:t>
      </w:r>
      <w:r w:rsidRPr="003A1174">
        <w:rPr>
          <w:rFonts w:ascii="Garamond" w:eastAsia="Century Gothic" w:hAnsi="Garamond" w:cs="Arial"/>
          <w:spacing w:val="-3"/>
          <w:sz w:val="24"/>
          <w:szCs w:val="24"/>
        </w:rPr>
        <w:t xml:space="preserve"> lado, e</w:t>
      </w:r>
      <w:r w:rsidR="00852CA5" w:rsidRPr="003A1174">
        <w:rPr>
          <w:rFonts w:ascii="Garamond" w:eastAsia="Century Gothic" w:hAnsi="Garamond" w:cs="Arial"/>
          <w:spacing w:val="-3"/>
          <w:sz w:val="24"/>
          <w:szCs w:val="24"/>
        </w:rPr>
        <w:t>m</w:t>
      </w:r>
      <w:r w:rsidRPr="003A1174">
        <w:rPr>
          <w:rFonts w:ascii="Garamond" w:eastAsia="Century Gothic" w:hAnsi="Garamond" w:cs="Arial"/>
          <w:spacing w:val="5"/>
          <w:sz w:val="24"/>
          <w:szCs w:val="24"/>
        </w:rPr>
        <w:t xml:space="preserve"> </w:t>
      </w:r>
      <w:r w:rsidRPr="003A1174">
        <w:rPr>
          <w:rFonts w:ascii="Garamond" w:eastAsia="Century Gothic" w:hAnsi="Garamond" w:cs="Arial"/>
          <w:bCs/>
          <w:i/>
          <w:spacing w:val="2"/>
          <w:sz w:val="24"/>
          <w:szCs w:val="24"/>
        </w:rPr>
        <w:t>P</w:t>
      </w:r>
      <w:r w:rsidRPr="003A1174">
        <w:rPr>
          <w:rFonts w:ascii="Garamond" w:eastAsia="Century Gothic" w:hAnsi="Garamond" w:cs="Arial"/>
          <w:bCs/>
          <w:i/>
          <w:spacing w:val="-6"/>
          <w:sz w:val="24"/>
          <w:szCs w:val="24"/>
        </w:rPr>
        <w:t>u</w:t>
      </w:r>
      <w:r w:rsidRPr="003A1174">
        <w:rPr>
          <w:rFonts w:ascii="Garamond" w:eastAsia="Century Gothic" w:hAnsi="Garamond" w:cs="Arial"/>
          <w:bCs/>
          <w:i/>
          <w:sz w:val="24"/>
          <w:szCs w:val="24"/>
        </w:rPr>
        <w:t>e</w:t>
      </w:r>
      <w:r w:rsidRPr="003A1174">
        <w:rPr>
          <w:rFonts w:ascii="Garamond" w:eastAsia="Century Gothic" w:hAnsi="Garamond" w:cs="Arial"/>
          <w:bCs/>
          <w:i/>
          <w:spacing w:val="1"/>
          <w:sz w:val="24"/>
          <w:szCs w:val="24"/>
        </w:rPr>
        <w:t>b</w:t>
      </w:r>
      <w:r w:rsidRPr="003A1174">
        <w:rPr>
          <w:rFonts w:ascii="Garamond" w:eastAsia="Century Gothic" w:hAnsi="Garamond" w:cs="Arial"/>
          <w:bCs/>
          <w:i/>
          <w:sz w:val="24"/>
          <w:szCs w:val="24"/>
        </w:rPr>
        <w:t>lo</w:t>
      </w:r>
      <w:r w:rsidRPr="003A1174">
        <w:rPr>
          <w:rFonts w:ascii="Garamond" w:eastAsia="Century Gothic" w:hAnsi="Garamond" w:cs="Arial"/>
          <w:bCs/>
          <w:i/>
          <w:spacing w:val="54"/>
          <w:sz w:val="24"/>
          <w:szCs w:val="24"/>
        </w:rPr>
        <w:t xml:space="preserve"> </w:t>
      </w:r>
      <w:r w:rsidRPr="003A1174">
        <w:rPr>
          <w:rFonts w:ascii="Garamond" w:eastAsia="Century Gothic" w:hAnsi="Garamond" w:cs="Arial"/>
          <w:bCs/>
          <w:spacing w:val="2"/>
          <w:sz w:val="24"/>
          <w:szCs w:val="24"/>
        </w:rPr>
        <w:t>v</w:t>
      </w:r>
      <w:r w:rsidR="00D71B87" w:rsidRPr="003A1174">
        <w:rPr>
          <w:rFonts w:ascii="Garamond" w:eastAsia="Century Gothic" w:hAnsi="Garamond" w:cs="Arial"/>
          <w:bCs/>
          <w:spacing w:val="2"/>
          <w:sz w:val="24"/>
          <w:szCs w:val="24"/>
        </w:rPr>
        <w:t>s</w:t>
      </w:r>
      <w:r w:rsidRPr="003A1174">
        <w:rPr>
          <w:rFonts w:ascii="Garamond" w:eastAsia="Century Gothic" w:hAnsi="Garamond" w:cs="Arial"/>
          <w:bCs/>
          <w:sz w:val="24"/>
          <w:szCs w:val="24"/>
        </w:rPr>
        <w:t>.</w:t>
      </w:r>
      <w:r w:rsidRPr="003A1174">
        <w:rPr>
          <w:rFonts w:ascii="Garamond" w:eastAsia="Century Gothic" w:hAnsi="Garamond" w:cs="Arial"/>
          <w:bCs/>
          <w:i/>
          <w:spacing w:val="3"/>
          <w:sz w:val="24"/>
          <w:szCs w:val="24"/>
        </w:rPr>
        <w:t xml:space="preserve"> </w:t>
      </w:r>
      <w:r w:rsidRPr="003A1174">
        <w:rPr>
          <w:rFonts w:ascii="Garamond" w:eastAsia="Century Gothic" w:hAnsi="Garamond" w:cs="Arial"/>
          <w:bCs/>
          <w:i/>
          <w:spacing w:val="-1"/>
          <w:sz w:val="24"/>
          <w:szCs w:val="24"/>
        </w:rPr>
        <w:t>F</w:t>
      </w:r>
      <w:r w:rsidRPr="003A1174">
        <w:rPr>
          <w:rFonts w:ascii="Garamond" w:eastAsia="Century Gothic" w:hAnsi="Garamond" w:cs="Arial"/>
          <w:bCs/>
          <w:i/>
          <w:sz w:val="24"/>
          <w:szCs w:val="24"/>
        </w:rPr>
        <w:t>lo</w:t>
      </w:r>
      <w:r w:rsidRPr="003A1174">
        <w:rPr>
          <w:rFonts w:ascii="Garamond" w:eastAsia="Century Gothic" w:hAnsi="Garamond" w:cs="Arial"/>
          <w:bCs/>
          <w:i/>
          <w:spacing w:val="-2"/>
          <w:sz w:val="24"/>
          <w:szCs w:val="24"/>
        </w:rPr>
        <w:t>r</w:t>
      </w:r>
      <w:r w:rsidRPr="003A1174">
        <w:rPr>
          <w:rFonts w:ascii="Garamond" w:eastAsia="Century Gothic" w:hAnsi="Garamond" w:cs="Arial"/>
          <w:bCs/>
          <w:i/>
          <w:sz w:val="24"/>
          <w:szCs w:val="24"/>
        </w:rPr>
        <w:t xml:space="preserve">es </w:t>
      </w:r>
      <w:r w:rsidRPr="003A1174">
        <w:rPr>
          <w:rFonts w:ascii="Garamond" w:eastAsia="Century Gothic" w:hAnsi="Garamond" w:cs="Arial"/>
          <w:bCs/>
          <w:i/>
          <w:spacing w:val="-1"/>
          <w:sz w:val="24"/>
          <w:szCs w:val="24"/>
        </w:rPr>
        <w:t>F</w:t>
      </w:r>
      <w:r w:rsidRPr="003A1174">
        <w:rPr>
          <w:rFonts w:ascii="Garamond" w:eastAsia="Century Gothic" w:hAnsi="Garamond" w:cs="Arial"/>
          <w:bCs/>
          <w:i/>
          <w:sz w:val="24"/>
          <w:szCs w:val="24"/>
        </w:rPr>
        <w:t>lo</w:t>
      </w:r>
      <w:r w:rsidRPr="003A1174">
        <w:rPr>
          <w:rFonts w:ascii="Garamond" w:eastAsia="Century Gothic" w:hAnsi="Garamond" w:cs="Arial"/>
          <w:bCs/>
          <w:i/>
          <w:spacing w:val="-2"/>
          <w:sz w:val="24"/>
          <w:szCs w:val="24"/>
        </w:rPr>
        <w:t>r</w:t>
      </w:r>
      <w:r w:rsidRPr="003A1174">
        <w:rPr>
          <w:rFonts w:ascii="Garamond" w:eastAsia="Century Gothic" w:hAnsi="Garamond" w:cs="Arial"/>
          <w:bCs/>
          <w:i/>
          <w:sz w:val="24"/>
          <w:szCs w:val="24"/>
        </w:rPr>
        <w:t>es</w:t>
      </w:r>
      <w:r w:rsidRPr="003A1174">
        <w:rPr>
          <w:rFonts w:ascii="Garamond" w:eastAsia="Century Gothic" w:hAnsi="Garamond" w:cs="Arial"/>
          <w:bCs/>
          <w:i/>
          <w:spacing w:val="4"/>
          <w:sz w:val="24"/>
          <w:szCs w:val="24"/>
        </w:rPr>
        <w:t xml:space="preserve"> </w:t>
      </w:r>
      <w:r w:rsidRPr="003A1174">
        <w:rPr>
          <w:rFonts w:ascii="Garamond" w:eastAsia="Century Gothic" w:hAnsi="Garamond" w:cs="Arial"/>
          <w:bCs/>
          <w:i/>
          <w:spacing w:val="-3"/>
          <w:sz w:val="24"/>
          <w:szCs w:val="24"/>
        </w:rPr>
        <w:t>18</w:t>
      </w:r>
      <w:r w:rsidRPr="003A1174">
        <w:rPr>
          <w:rFonts w:ascii="Garamond" w:eastAsia="Century Gothic" w:hAnsi="Garamond" w:cs="Arial"/>
          <w:bCs/>
          <w:i/>
          <w:sz w:val="24"/>
          <w:szCs w:val="24"/>
        </w:rPr>
        <w:t xml:space="preserve">1 </w:t>
      </w:r>
      <w:r w:rsidRPr="003A1174">
        <w:rPr>
          <w:rFonts w:ascii="Garamond" w:eastAsia="Century Gothic" w:hAnsi="Garamond" w:cs="Arial"/>
          <w:bCs/>
          <w:i/>
          <w:spacing w:val="-3"/>
          <w:sz w:val="24"/>
          <w:szCs w:val="24"/>
        </w:rPr>
        <w:t>D</w:t>
      </w:r>
      <w:r w:rsidRPr="003A1174">
        <w:rPr>
          <w:rFonts w:ascii="Garamond" w:eastAsia="Century Gothic" w:hAnsi="Garamond" w:cs="Arial"/>
          <w:bCs/>
          <w:i/>
          <w:spacing w:val="1"/>
          <w:sz w:val="24"/>
          <w:szCs w:val="24"/>
        </w:rPr>
        <w:t>.</w:t>
      </w:r>
      <w:r w:rsidRPr="003A1174">
        <w:rPr>
          <w:rFonts w:ascii="Garamond" w:eastAsia="Century Gothic" w:hAnsi="Garamond" w:cs="Arial"/>
          <w:bCs/>
          <w:i/>
          <w:spacing w:val="3"/>
          <w:sz w:val="24"/>
          <w:szCs w:val="24"/>
        </w:rPr>
        <w:t>P</w:t>
      </w:r>
      <w:r w:rsidRPr="003A1174">
        <w:rPr>
          <w:rFonts w:ascii="Garamond" w:eastAsia="Century Gothic" w:hAnsi="Garamond" w:cs="Arial"/>
          <w:bCs/>
          <w:i/>
          <w:spacing w:val="1"/>
          <w:sz w:val="24"/>
          <w:szCs w:val="24"/>
        </w:rPr>
        <w:t>.</w:t>
      </w:r>
      <w:r w:rsidRPr="003A1174">
        <w:rPr>
          <w:rFonts w:ascii="Garamond" w:eastAsia="Century Gothic" w:hAnsi="Garamond" w:cs="Arial"/>
          <w:bCs/>
          <w:i/>
          <w:spacing w:val="-2"/>
          <w:sz w:val="24"/>
          <w:szCs w:val="24"/>
        </w:rPr>
        <w:t>R</w:t>
      </w:r>
      <w:r w:rsidRPr="003A1174">
        <w:rPr>
          <w:rFonts w:ascii="Garamond" w:eastAsia="Century Gothic" w:hAnsi="Garamond" w:cs="Arial"/>
          <w:bCs/>
          <w:i/>
          <w:sz w:val="24"/>
          <w:szCs w:val="24"/>
        </w:rPr>
        <w:t>.</w:t>
      </w:r>
      <w:r w:rsidRPr="003A1174">
        <w:rPr>
          <w:rFonts w:ascii="Garamond" w:eastAsia="Century Gothic" w:hAnsi="Garamond" w:cs="Arial"/>
          <w:bCs/>
          <w:i/>
          <w:spacing w:val="55"/>
          <w:sz w:val="24"/>
          <w:szCs w:val="24"/>
        </w:rPr>
        <w:t xml:space="preserve"> </w:t>
      </w:r>
      <w:r w:rsidRPr="003A1174">
        <w:rPr>
          <w:rFonts w:ascii="Garamond" w:eastAsia="Century Gothic" w:hAnsi="Garamond" w:cs="Arial"/>
          <w:bCs/>
          <w:i/>
          <w:spacing w:val="-3"/>
          <w:sz w:val="24"/>
          <w:szCs w:val="24"/>
        </w:rPr>
        <w:t>2</w:t>
      </w:r>
      <w:r w:rsidRPr="003A1174">
        <w:rPr>
          <w:rFonts w:ascii="Garamond" w:eastAsia="Century Gothic" w:hAnsi="Garamond" w:cs="Arial"/>
          <w:bCs/>
          <w:i/>
          <w:spacing w:val="2"/>
          <w:sz w:val="24"/>
          <w:szCs w:val="24"/>
        </w:rPr>
        <w:t>2</w:t>
      </w:r>
      <w:r w:rsidRPr="003A1174">
        <w:rPr>
          <w:rFonts w:ascii="Garamond" w:eastAsia="Century Gothic" w:hAnsi="Garamond" w:cs="Arial"/>
          <w:bCs/>
          <w:i/>
          <w:sz w:val="24"/>
          <w:szCs w:val="24"/>
        </w:rPr>
        <w:t>5</w:t>
      </w:r>
      <w:r w:rsidRPr="003A1174">
        <w:rPr>
          <w:rFonts w:ascii="Garamond" w:eastAsia="Century Gothic" w:hAnsi="Garamond" w:cs="Arial"/>
          <w:bCs/>
          <w:i/>
          <w:spacing w:val="4"/>
          <w:sz w:val="24"/>
          <w:szCs w:val="24"/>
        </w:rPr>
        <w:t xml:space="preserve"> </w:t>
      </w:r>
      <w:r w:rsidRPr="003A1174">
        <w:rPr>
          <w:rFonts w:ascii="Garamond" w:eastAsia="Century Gothic" w:hAnsi="Garamond" w:cs="Arial"/>
          <w:bCs/>
          <w:i/>
          <w:spacing w:val="-5"/>
          <w:sz w:val="24"/>
          <w:szCs w:val="24"/>
        </w:rPr>
        <w:t>(</w:t>
      </w:r>
      <w:r w:rsidRPr="003A1174">
        <w:rPr>
          <w:rFonts w:ascii="Garamond" w:eastAsia="Century Gothic" w:hAnsi="Garamond" w:cs="Arial"/>
          <w:bCs/>
          <w:i/>
          <w:spacing w:val="2"/>
          <w:sz w:val="24"/>
          <w:szCs w:val="24"/>
        </w:rPr>
        <w:t>2</w:t>
      </w:r>
      <w:r w:rsidRPr="003A1174">
        <w:rPr>
          <w:rFonts w:ascii="Garamond" w:eastAsia="Century Gothic" w:hAnsi="Garamond" w:cs="Arial"/>
          <w:bCs/>
          <w:i/>
          <w:spacing w:val="-3"/>
          <w:sz w:val="24"/>
          <w:szCs w:val="24"/>
        </w:rPr>
        <w:t>01</w:t>
      </w:r>
      <w:r w:rsidRPr="003A1174">
        <w:rPr>
          <w:rFonts w:ascii="Garamond" w:eastAsia="Century Gothic" w:hAnsi="Garamond" w:cs="Arial"/>
          <w:bCs/>
          <w:i/>
          <w:spacing w:val="2"/>
          <w:sz w:val="24"/>
          <w:szCs w:val="24"/>
        </w:rPr>
        <w:t>1)</w:t>
      </w:r>
      <w:r w:rsidRPr="003A1174">
        <w:rPr>
          <w:rFonts w:ascii="Garamond" w:eastAsia="Century Gothic" w:hAnsi="Garamond" w:cs="Arial"/>
          <w:sz w:val="24"/>
          <w:szCs w:val="24"/>
        </w:rPr>
        <w:t>,</w:t>
      </w:r>
      <w:r w:rsidRPr="003A1174">
        <w:rPr>
          <w:rFonts w:ascii="Garamond" w:eastAsia="Century Gothic" w:hAnsi="Garamond" w:cs="Arial"/>
          <w:spacing w:val="1"/>
          <w:sz w:val="24"/>
          <w:szCs w:val="24"/>
        </w:rPr>
        <w:t xml:space="preserve"> </w:t>
      </w:r>
      <w:r w:rsidR="00852CA5" w:rsidRPr="003A1174">
        <w:rPr>
          <w:rFonts w:ascii="Garamond" w:eastAsia="Century Gothic" w:hAnsi="Garamond" w:cs="Arial"/>
          <w:spacing w:val="1"/>
          <w:sz w:val="24"/>
          <w:szCs w:val="24"/>
        </w:rPr>
        <w:t xml:space="preserve">o </w:t>
      </w:r>
      <w:r w:rsidRPr="003A1174">
        <w:rPr>
          <w:rFonts w:ascii="Garamond" w:eastAsia="Century Gothic" w:hAnsi="Garamond" w:cs="Arial"/>
          <w:spacing w:val="-5"/>
          <w:sz w:val="24"/>
          <w:szCs w:val="24"/>
        </w:rPr>
        <w:t>T</w:t>
      </w:r>
      <w:r w:rsidRPr="003A1174">
        <w:rPr>
          <w:rFonts w:ascii="Garamond" w:eastAsia="Century Gothic" w:hAnsi="Garamond" w:cs="Arial"/>
          <w:spacing w:val="1"/>
          <w:sz w:val="24"/>
          <w:szCs w:val="24"/>
        </w:rPr>
        <w:t>r</w:t>
      </w:r>
      <w:r w:rsidRPr="003A1174">
        <w:rPr>
          <w:rFonts w:ascii="Garamond" w:eastAsia="Century Gothic" w:hAnsi="Garamond" w:cs="Arial"/>
          <w:spacing w:val="-3"/>
          <w:sz w:val="24"/>
          <w:szCs w:val="24"/>
        </w:rPr>
        <w:t>i</w:t>
      </w:r>
      <w:r w:rsidRPr="003A1174">
        <w:rPr>
          <w:rFonts w:ascii="Garamond" w:eastAsia="Century Gothic" w:hAnsi="Garamond" w:cs="Arial"/>
          <w:spacing w:val="-4"/>
          <w:sz w:val="24"/>
          <w:szCs w:val="24"/>
        </w:rPr>
        <w:t>b</w:t>
      </w:r>
      <w:r w:rsidRPr="003A1174">
        <w:rPr>
          <w:rFonts w:ascii="Garamond" w:eastAsia="Century Gothic" w:hAnsi="Garamond" w:cs="Arial"/>
          <w:spacing w:val="2"/>
          <w:sz w:val="24"/>
          <w:szCs w:val="24"/>
        </w:rPr>
        <w:t>u</w:t>
      </w:r>
      <w:r w:rsidRPr="003A1174">
        <w:rPr>
          <w:rFonts w:ascii="Garamond" w:eastAsia="Century Gothic" w:hAnsi="Garamond" w:cs="Arial"/>
          <w:spacing w:val="-3"/>
          <w:sz w:val="24"/>
          <w:szCs w:val="24"/>
        </w:rPr>
        <w:t>n</w:t>
      </w:r>
      <w:r w:rsidRPr="003A1174">
        <w:rPr>
          <w:rFonts w:ascii="Garamond" w:eastAsia="Century Gothic" w:hAnsi="Garamond" w:cs="Arial"/>
          <w:spacing w:val="1"/>
          <w:sz w:val="24"/>
          <w:szCs w:val="24"/>
        </w:rPr>
        <w:t>a</w:t>
      </w:r>
      <w:r w:rsidRPr="003A1174">
        <w:rPr>
          <w:rFonts w:ascii="Garamond" w:eastAsia="Century Gothic" w:hAnsi="Garamond" w:cs="Arial"/>
          <w:sz w:val="24"/>
          <w:szCs w:val="24"/>
        </w:rPr>
        <w:t>l</w:t>
      </w:r>
      <w:r w:rsidRPr="003A1174">
        <w:rPr>
          <w:rFonts w:ascii="Garamond" w:eastAsia="Century Gothic" w:hAnsi="Garamond" w:cs="Arial"/>
          <w:spacing w:val="2"/>
          <w:sz w:val="24"/>
          <w:szCs w:val="24"/>
        </w:rPr>
        <w:t xml:space="preserve"> </w:t>
      </w:r>
      <w:r w:rsidR="00852CA5" w:rsidRPr="003A1174">
        <w:rPr>
          <w:rFonts w:ascii="Garamond" w:eastAsia="Century Gothic" w:hAnsi="Garamond" w:cs="Arial"/>
          <w:spacing w:val="-2"/>
          <w:sz w:val="24"/>
          <w:szCs w:val="24"/>
        </w:rPr>
        <w:t>sustentou um</w:t>
      </w:r>
      <w:r w:rsidRPr="003A1174">
        <w:rPr>
          <w:rFonts w:ascii="Garamond" w:eastAsia="Century Gothic" w:hAnsi="Garamond" w:cs="Arial"/>
          <w:spacing w:val="-2"/>
          <w:sz w:val="24"/>
          <w:szCs w:val="24"/>
        </w:rPr>
        <w:t xml:space="preserve">a </w:t>
      </w:r>
      <w:r w:rsidR="00FC1F7F" w:rsidRPr="003A1174">
        <w:rPr>
          <w:rFonts w:ascii="Garamond" w:eastAsia="Century Gothic" w:hAnsi="Garamond" w:cs="Arial"/>
          <w:spacing w:val="-2"/>
          <w:sz w:val="24"/>
          <w:szCs w:val="24"/>
        </w:rPr>
        <w:t>sentença</w:t>
      </w:r>
      <w:r w:rsidRPr="003A1174">
        <w:rPr>
          <w:rFonts w:ascii="Garamond" w:eastAsia="Century Gothic" w:hAnsi="Garamond" w:cs="Arial"/>
          <w:spacing w:val="5"/>
          <w:sz w:val="24"/>
          <w:szCs w:val="24"/>
        </w:rPr>
        <w:t xml:space="preserve"> </w:t>
      </w:r>
      <w:r w:rsidR="008A3DA2" w:rsidRPr="003A1174">
        <w:rPr>
          <w:rFonts w:ascii="Garamond" w:eastAsia="Century Gothic" w:hAnsi="Garamond" w:cs="Arial"/>
          <w:sz w:val="24"/>
          <w:szCs w:val="24"/>
        </w:rPr>
        <w:t>do</w:t>
      </w:r>
      <w:r w:rsidRPr="003A1174">
        <w:rPr>
          <w:rFonts w:ascii="Garamond" w:eastAsia="Century Gothic" w:hAnsi="Garamond" w:cs="Arial"/>
          <w:spacing w:val="6"/>
          <w:sz w:val="24"/>
          <w:szCs w:val="24"/>
        </w:rPr>
        <w:t xml:space="preserve"> </w:t>
      </w:r>
      <w:r w:rsidRPr="003A1174">
        <w:rPr>
          <w:rFonts w:ascii="Garamond" w:eastAsia="Century Gothic" w:hAnsi="Garamond" w:cs="Arial"/>
          <w:sz w:val="24"/>
          <w:szCs w:val="24"/>
        </w:rPr>
        <w:t>T</w:t>
      </w:r>
      <w:r w:rsidRPr="003A1174">
        <w:rPr>
          <w:rFonts w:ascii="Garamond" w:eastAsia="Century Gothic" w:hAnsi="Garamond" w:cs="Arial"/>
          <w:spacing w:val="-3"/>
          <w:sz w:val="24"/>
          <w:szCs w:val="24"/>
        </w:rPr>
        <w:t>r</w:t>
      </w:r>
      <w:r w:rsidRPr="003A1174">
        <w:rPr>
          <w:rFonts w:ascii="Garamond" w:eastAsia="Century Gothic" w:hAnsi="Garamond" w:cs="Arial"/>
          <w:spacing w:val="-2"/>
          <w:sz w:val="24"/>
          <w:szCs w:val="24"/>
        </w:rPr>
        <w:t>i</w:t>
      </w:r>
      <w:r w:rsidRPr="003A1174">
        <w:rPr>
          <w:rFonts w:ascii="Garamond" w:eastAsia="Century Gothic" w:hAnsi="Garamond" w:cs="Arial"/>
          <w:spacing w:val="1"/>
          <w:sz w:val="24"/>
          <w:szCs w:val="24"/>
        </w:rPr>
        <w:t>b</w:t>
      </w:r>
      <w:r w:rsidRPr="003A1174">
        <w:rPr>
          <w:rFonts w:ascii="Garamond" w:eastAsia="Century Gothic" w:hAnsi="Garamond" w:cs="Arial"/>
          <w:spacing w:val="-3"/>
          <w:sz w:val="24"/>
          <w:szCs w:val="24"/>
        </w:rPr>
        <w:t>u</w:t>
      </w:r>
      <w:r w:rsidRPr="003A1174">
        <w:rPr>
          <w:rFonts w:ascii="Garamond" w:eastAsia="Century Gothic" w:hAnsi="Garamond" w:cs="Arial"/>
          <w:spacing w:val="1"/>
          <w:sz w:val="24"/>
          <w:szCs w:val="24"/>
        </w:rPr>
        <w:t>n</w:t>
      </w:r>
      <w:r w:rsidRPr="003A1174">
        <w:rPr>
          <w:rFonts w:ascii="Garamond" w:eastAsia="Century Gothic" w:hAnsi="Garamond" w:cs="Arial"/>
          <w:spacing w:val="-4"/>
          <w:sz w:val="24"/>
          <w:szCs w:val="24"/>
        </w:rPr>
        <w:t>a</w:t>
      </w:r>
      <w:r w:rsidRPr="003A1174">
        <w:rPr>
          <w:rFonts w:ascii="Garamond" w:eastAsia="Century Gothic" w:hAnsi="Garamond" w:cs="Arial"/>
          <w:sz w:val="24"/>
          <w:szCs w:val="24"/>
        </w:rPr>
        <w:t>l</w:t>
      </w:r>
      <w:r w:rsidRPr="003A1174">
        <w:rPr>
          <w:rFonts w:ascii="Garamond" w:eastAsia="Century Gothic" w:hAnsi="Garamond" w:cs="Arial"/>
          <w:spacing w:val="6"/>
          <w:sz w:val="24"/>
          <w:szCs w:val="24"/>
        </w:rPr>
        <w:t xml:space="preserve"> </w:t>
      </w:r>
      <w:r w:rsidRPr="003A1174">
        <w:rPr>
          <w:rFonts w:ascii="Garamond" w:eastAsia="Century Gothic" w:hAnsi="Garamond" w:cs="Arial"/>
          <w:spacing w:val="-4"/>
          <w:sz w:val="24"/>
          <w:szCs w:val="24"/>
        </w:rPr>
        <w:t>d</w:t>
      </w:r>
      <w:r w:rsidRPr="003A1174">
        <w:rPr>
          <w:rFonts w:ascii="Garamond" w:eastAsia="Century Gothic" w:hAnsi="Garamond" w:cs="Arial"/>
          <w:sz w:val="24"/>
          <w:szCs w:val="24"/>
        </w:rPr>
        <w:t>e</w:t>
      </w:r>
      <w:r w:rsidRPr="003A1174">
        <w:rPr>
          <w:rFonts w:ascii="Garamond" w:eastAsia="Century Gothic" w:hAnsi="Garamond" w:cs="Arial"/>
          <w:spacing w:val="12"/>
          <w:sz w:val="24"/>
          <w:szCs w:val="24"/>
        </w:rPr>
        <w:t xml:space="preserve"> </w:t>
      </w:r>
      <w:r w:rsidRPr="003A1174">
        <w:rPr>
          <w:rFonts w:ascii="Garamond" w:eastAsia="Century Gothic" w:hAnsi="Garamond" w:cs="Arial"/>
          <w:spacing w:val="-11"/>
          <w:sz w:val="24"/>
          <w:szCs w:val="24"/>
        </w:rPr>
        <w:t>A</w:t>
      </w:r>
      <w:r w:rsidRPr="003A1174">
        <w:rPr>
          <w:rFonts w:ascii="Garamond" w:eastAsia="Century Gothic" w:hAnsi="Garamond" w:cs="Arial"/>
          <w:spacing w:val="1"/>
          <w:sz w:val="24"/>
          <w:szCs w:val="24"/>
        </w:rPr>
        <w:t>p</w:t>
      </w:r>
      <w:r w:rsidRPr="003A1174">
        <w:rPr>
          <w:rFonts w:ascii="Garamond" w:eastAsia="Century Gothic" w:hAnsi="Garamond" w:cs="Arial"/>
          <w:spacing w:val="-2"/>
          <w:sz w:val="24"/>
          <w:szCs w:val="24"/>
        </w:rPr>
        <w:t>e</w:t>
      </w:r>
      <w:r w:rsidRPr="003A1174">
        <w:rPr>
          <w:rFonts w:ascii="Garamond" w:eastAsia="Century Gothic" w:hAnsi="Garamond" w:cs="Arial"/>
          <w:spacing w:val="2"/>
          <w:sz w:val="24"/>
          <w:szCs w:val="24"/>
        </w:rPr>
        <w:t>l</w:t>
      </w:r>
      <w:r w:rsidRPr="003A1174">
        <w:rPr>
          <w:rFonts w:ascii="Garamond" w:eastAsia="Century Gothic" w:hAnsi="Garamond" w:cs="Arial"/>
          <w:spacing w:val="1"/>
          <w:sz w:val="24"/>
          <w:szCs w:val="24"/>
        </w:rPr>
        <w:t>a</w:t>
      </w:r>
      <w:r w:rsidR="00852CA5" w:rsidRPr="003A1174">
        <w:rPr>
          <w:rFonts w:ascii="Garamond" w:eastAsia="Century Gothic" w:hAnsi="Garamond" w:cs="Arial"/>
          <w:spacing w:val="1"/>
          <w:sz w:val="24"/>
          <w:szCs w:val="24"/>
        </w:rPr>
        <w:t xml:space="preserve">ção </w:t>
      </w:r>
      <w:r w:rsidRPr="003A1174">
        <w:rPr>
          <w:rFonts w:ascii="Garamond" w:eastAsia="Century Gothic" w:hAnsi="Garamond" w:cs="Arial"/>
          <w:spacing w:val="2"/>
          <w:sz w:val="24"/>
          <w:szCs w:val="24"/>
        </w:rPr>
        <w:t>i</w:t>
      </w:r>
      <w:r w:rsidRPr="003A1174">
        <w:rPr>
          <w:rFonts w:ascii="Garamond" w:eastAsia="Century Gothic" w:hAnsi="Garamond" w:cs="Arial"/>
          <w:spacing w:val="-4"/>
          <w:sz w:val="24"/>
          <w:szCs w:val="24"/>
        </w:rPr>
        <w:t>n</w:t>
      </w:r>
      <w:r w:rsidRPr="003A1174">
        <w:rPr>
          <w:rFonts w:ascii="Garamond" w:eastAsia="Century Gothic" w:hAnsi="Garamond" w:cs="Arial"/>
          <w:sz w:val="24"/>
          <w:szCs w:val="24"/>
        </w:rPr>
        <w:t>d</w:t>
      </w:r>
      <w:r w:rsidRPr="003A1174">
        <w:rPr>
          <w:rFonts w:ascii="Garamond" w:eastAsia="Century Gothic" w:hAnsi="Garamond" w:cs="Arial"/>
          <w:spacing w:val="2"/>
          <w:sz w:val="24"/>
          <w:szCs w:val="24"/>
        </w:rPr>
        <w:t>i</w:t>
      </w:r>
      <w:r w:rsidRPr="003A1174">
        <w:rPr>
          <w:rFonts w:ascii="Garamond" w:eastAsia="Century Gothic" w:hAnsi="Garamond" w:cs="Arial"/>
          <w:spacing w:val="-6"/>
          <w:sz w:val="24"/>
          <w:szCs w:val="24"/>
        </w:rPr>
        <w:t>c</w:t>
      </w:r>
      <w:r w:rsidRPr="003A1174">
        <w:rPr>
          <w:rFonts w:ascii="Garamond" w:eastAsia="Century Gothic" w:hAnsi="Garamond" w:cs="Arial"/>
          <w:spacing w:val="1"/>
          <w:sz w:val="24"/>
          <w:szCs w:val="24"/>
        </w:rPr>
        <w:t>a</w:t>
      </w:r>
      <w:r w:rsidRPr="003A1174">
        <w:rPr>
          <w:rFonts w:ascii="Garamond" w:eastAsia="Century Gothic" w:hAnsi="Garamond" w:cs="Arial"/>
          <w:spacing w:val="-4"/>
          <w:sz w:val="24"/>
          <w:szCs w:val="24"/>
        </w:rPr>
        <w:t>nd</w:t>
      </w:r>
      <w:r w:rsidRPr="003A1174">
        <w:rPr>
          <w:rFonts w:ascii="Garamond" w:eastAsia="Century Gothic" w:hAnsi="Garamond" w:cs="Arial"/>
          <w:sz w:val="24"/>
          <w:szCs w:val="24"/>
        </w:rPr>
        <w:t>o</w:t>
      </w:r>
      <w:r w:rsidRPr="003A1174">
        <w:rPr>
          <w:rFonts w:ascii="Garamond" w:eastAsia="Century Gothic" w:hAnsi="Garamond" w:cs="Arial"/>
          <w:spacing w:val="11"/>
          <w:sz w:val="24"/>
          <w:szCs w:val="24"/>
        </w:rPr>
        <w:t xml:space="preserve"> </w:t>
      </w:r>
      <w:proofErr w:type="gramStart"/>
      <w:r w:rsidRPr="003A1174">
        <w:rPr>
          <w:rFonts w:ascii="Garamond" w:eastAsia="Century Gothic" w:hAnsi="Garamond" w:cs="Arial"/>
          <w:spacing w:val="11"/>
          <w:sz w:val="24"/>
          <w:szCs w:val="24"/>
        </w:rPr>
        <w:t>que</w:t>
      </w:r>
      <w:proofErr w:type="gramEnd"/>
      <w:r w:rsidR="00D87E68">
        <w:rPr>
          <w:rFonts w:ascii="Garamond" w:eastAsia="Century Gothic" w:hAnsi="Garamond" w:cs="Arial"/>
          <w:spacing w:val="11"/>
          <w:sz w:val="24"/>
          <w:szCs w:val="24"/>
        </w:rPr>
        <w:t xml:space="preserve"> </w:t>
      </w:r>
      <w:r w:rsidRPr="003A1174">
        <w:rPr>
          <w:rFonts w:ascii="Garamond" w:eastAsia="Century Gothic" w:hAnsi="Garamond" w:cs="Arial"/>
          <w:spacing w:val="11"/>
          <w:sz w:val="24"/>
          <w:szCs w:val="24"/>
        </w:rPr>
        <w:t xml:space="preserve"> </w:t>
      </w:r>
    </w:p>
    <w:p w:rsidR="00D87E68" w:rsidRPr="00D87E68" w:rsidRDefault="00D87E68" w:rsidP="00D87E68">
      <w:pPr>
        <w:spacing w:before="240" w:line="240" w:lineRule="auto"/>
        <w:ind w:left="567"/>
        <w:jc w:val="both"/>
        <w:rPr>
          <w:rFonts w:ascii="Garamond" w:eastAsia="Century Gothic" w:hAnsi="Garamond" w:cs="Arial"/>
          <w:spacing w:val="-2"/>
        </w:rPr>
      </w:pPr>
      <w:proofErr w:type="gramStart"/>
      <w:r w:rsidRPr="00D87E68">
        <w:rPr>
          <w:rFonts w:ascii="Garamond" w:eastAsia="Century Gothic" w:hAnsi="Garamond" w:cs="Arial"/>
          <w:spacing w:val="11"/>
        </w:rPr>
        <w:t>«</w:t>
      </w:r>
      <w:r w:rsidR="00D71B87" w:rsidRPr="00D87E68">
        <w:rPr>
          <w:rFonts w:ascii="Garamond" w:eastAsia="Century Gothic" w:hAnsi="Garamond" w:cs="Arial"/>
          <w:spacing w:val="11"/>
        </w:rPr>
        <w:t xml:space="preserve">[…] </w:t>
      </w:r>
      <w:r w:rsidR="008E640B" w:rsidRPr="00D87E68">
        <w:rPr>
          <w:rFonts w:ascii="Garamond" w:eastAsia="Century Gothic" w:hAnsi="Garamond" w:cs="Arial"/>
        </w:rPr>
        <w:t>a</w:t>
      </w:r>
      <w:r w:rsidR="008E640B" w:rsidRPr="00D87E68">
        <w:rPr>
          <w:rFonts w:ascii="Garamond" w:eastAsia="Century Gothic" w:hAnsi="Garamond" w:cs="Arial"/>
          <w:spacing w:val="5"/>
        </w:rPr>
        <w:t xml:space="preserve"> </w:t>
      </w:r>
      <w:r w:rsidR="00152A44" w:rsidRPr="00D87E68">
        <w:rPr>
          <w:rFonts w:ascii="Garamond" w:eastAsia="Century Gothic" w:hAnsi="Garamond" w:cs="Arial"/>
          <w:spacing w:val="1"/>
        </w:rPr>
        <w:t>relação</w:t>
      </w:r>
      <w:r w:rsidR="008E640B" w:rsidRPr="00D87E68">
        <w:rPr>
          <w:rFonts w:ascii="Garamond" w:eastAsia="Century Gothic" w:hAnsi="Garamond" w:cs="Arial"/>
        </w:rPr>
        <w:t xml:space="preserve"> </w:t>
      </w:r>
      <w:r w:rsidR="008E640B" w:rsidRPr="00D87E68">
        <w:rPr>
          <w:rFonts w:ascii="Garamond" w:eastAsia="Century Gothic" w:hAnsi="Garamond" w:cs="Arial"/>
          <w:spacing w:val="-1"/>
        </w:rPr>
        <w:t>c</w:t>
      </w:r>
      <w:r w:rsidR="008E640B" w:rsidRPr="00D87E68">
        <w:rPr>
          <w:rFonts w:ascii="Garamond" w:eastAsia="Century Gothic" w:hAnsi="Garamond" w:cs="Arial"/>
          <w:spacing w:val="2"/>
        </w:rPr>
        <w:t>o</w:t>
      </w:r>
      <w:r w:rsidR="008E640B" w:rsidRPr="00D87E68">
        <w:rPr>
          <w:rFonts w:ascii="Garamond" w:eastAsia="Century Gothic" w:hAnsi="Garamond" w:cs="Arial"/>
          <w:spacing w:val="1"/>
        </w:rPr>
        <w:t>n</w:t>
      </w:r>
      <w:r w:rsidR="008E640B" w:rsidRPr="00D87E68">
        <w:rPr>
          <w:rFonts w:ascii="Garamond" w:eastAsia="Century Gothic" w:hAnsi="Garamond" w:cs="Arial"/>
          <w:spacing w:val="-2"/>
        </w:rPr>
        <w:t>s</w:t>
      </w:r>
      <w:r w:rsidR="008E640B" w:rsidRPr="00D87E68">
        <w:rPr>
          <w:rFonts w:ascii="Garamond" w:eastAsia="Century Gothic" w:hAnsi="Garamond" w:cs="Arial"/>
          <w:spacing w:val="-7"/>
        </w:rPr>
        <w:t>e</w:t>
      </w:r>
      <w:r w:rsidR="008E640B" w:rsidRPr="00D87E68">
        <w:rPr>
          <w:rFonts w:ascii="Garamond" w:eastAsia="Century Gothic" w:hAnsi="Garamond" w:cs="Arial"/>
          <w:spacing w:val="1"/>
        </w:rPr>
        <w:t>n</w:t>
      </w:r>
      <w:r w:rsidR="008E640B" w:rsidRPr="00D87E68">
        <w:rPr>
          <w:rFonts w:ascii="Garamond" w:eastAsia="Century Gothic" w:hAnsi="Garamond" w:cs="Arial"/>
          <w:spacing w:val="-2"/>
        </w:rPr>
        <w:t>s</w:t>
      </w:r>
      <w:r w:rsidR="008E640B" w:rsidRPr="00D87E68">
        <w:rPr>
          <w:rFonts w:ascii="Garamond" w:eastAsia="Century Gothic" w:hAnsi="Garamond" w:cs="Arial"/>
          <w:spacing w:val="-3"/>
        </w:rPr>
        <w:t>u</w:t>
      </w:r>
      <w:r w:rsidR="008E640B" w:rsidRPr="00D87E68">
        <w:rPr>
          <w:rFonts w:ascii="Garamond" w:eastAsia="Century Gothic" w:hAnsi="Garamond" w:cs="Arial"/>
          <w:spacing w:val="1"/>
        </w:rPr>
        <w:t>a</w:t>
      </w:r>
      <w:r w:rsidR="008E640B" w:rsidRPr="00D87E68">
        <w:rPr>
          <w:rFonts w:ascii="Garamond" w:eastAsia="Century Gothic" w:hAnsi="Garamond" w:cs="Arial"/>
        </w:rPr>
        <w:t>l</w:t>
      </w:r>
      <w:r w:rsidR="008E640B" w:rsidRPr="00D87E68">
        <w:rPr>
          <w:rFonts w:ascii="Garamond" w:eastAsia="Century Gothic" w:hAnsi="Garamond" w:cs="Arial"/>
          <w:spacing w:val="9"/>
        </w:rPr>
        <w:t xml:space="preserve"> </w:t>
      </w:r>
      <w:r w:rsidR="00852CA5" w:rsidRPr="00D87E68">
        <w:rPr>
          <w:rFonts w:ascii="Garamond" w:eastAsia="Century Gothic" w:hAnsi="Garamond" w:cs="Arial"/>
          <w:spacing w:val="9"/>
        </w:rPr>
        <w:t xml:space="preserve">de </w:t>
      </w:r>
      <w:r w:rsidR="008E640B" w:rsidRPr="00D87E68">
        <w:rPr>
          <w:rFonts w:ascii="Garamond" w:eastAsia="Century Gothic" w:hAnsi="Garamond" w:cs="Arial"/>
          <w:spacing w:val="1"/>
        </w:rPr>
        <w:t>a</w:t>
      </w:r>
      <w:r w:rsidR="008E640B" w:rsidRPr="00D87E68">
        <w:rPr>
          <w:rFonts w:ascii="Garamond" w:eastAsia="Century Gothic" w:hAnsi="Garamond" w:cs="Arial"/>
          <w:spacing w:val="-4"/>
        </w:rPr>
        <w:t>d</w:t>
      </w:r>
      <w:r w:rsidR="008E640B" w:rsidRPr="00D87E68">
        <w:rPr>
          <w:rFonts w:ascii="Garamond" w:eastAsia="Century Gothic" w:hAnsi="Garamond" w:cs="Arial"/>
          <w:spacing w:val="-3"/>
        </w:rPr>
        <w:t>u</w:t>
      </w:r>
      <w:r w:rsidR="008E640B" w:rsidRPr="00D87E68">
        <w:rPr>
          <w:rFonts w:ascii="Garamond" w:eastAsia="Century Gothic" w:hAnsi="Garamond" w:cs="Arial"/>
          <w:spacing w:val="2"/>
        </w:rPr>
        <w:t>l</w:t>
      </w:r>
      <w:r w:rsidR="008E640B" w:rsidRPr="00D87E68">
        <w:rPr>
          <w:rFonts w:ascii="Garamond" w:eastAsia="Century Gothic" w:hAnsi="Garamond" w:cs="Arial"/>
          <w:spacing w:val="-2"/>
        </w:rPr>
        <w:t>t</w:t>
      </w:r>
      <w:r w:rsidR="00852CA5" w:rsidRPr="00D87E68">
        <w:rPr>
          <w:rFonts w:ascii="Garamond" w:eastAsia="Century Gothic" w:hAnsi="Garamond" w:cs="Arial"/>
          <w:spacing w:val="-2"/>
        </w:rPr>
        <w:t xml:space="preserve">ério não </w:t>
      </w:r>
      <w:r w:rsidR="008E640B" w:rsidRPr="00D87E68">
        <w:rPr>
          <w:rFonts w:ascii="Garamond" w:eastAsia="Century Gothic" w:hAnsi="Garamond" w:cs="Arial"/>
          <w:spacing w:val="-2"/>
        </w:rPr>
        <w:t>est</w:t>
      </w:r>
      <w:r w:rsidR="008E640B" w:rsidRPr="00D87E68">
        <w:rPr>
          <w:rFonts w:ascii="Garamond" w:eastAsia="Century Gothic" w:hAnsi="Garamond" w:cs="Arial"/>
        </w:rPr>
        <w:t>á</w:t>
      </w:r>
      <w:r w:rsidR="008E640B" w:rsidRPr="00D87E68">
        <w:rPr>
          <w:rFonts w:ascii="Garamond" w:eastAsia="Century Gothic" w:hAnsi="Garamond" w:cs="Arial"/>
          <w:spacing w:val="12"/>
        </w:rPr>
        <w:t xml:space="preserve"> </w:t>
      </w:r>
      <w:r w:rsidR="008E640B" w:rsidRPr="00D87E68">
        <w:rPr>
          <w:rFonts w:ascii="Garamond" w:eastAsia="Century Gothic" w:hAnsi="Garamond" w:cs="Arial"/>
          <w:spacing w:val="-4"/>
        </w:rPr>
        <w:t>p</w:t>
      </w:r>
      <w:r w:rsidR="008E640B" w:rsidRPr="00D87E68">
        <w:rPr>
          <w:rFonts w:ascii="Garamond" w:eastAsia="Century Gothic" w:hAnsi="Garamond" w:cs="Arial"/>
          <w:spacing w:val="1"/>
        </w:rPr>
        <w:t>r</w:t>
      </w:r>
      <w:r w:rsidR="008E640B" w:rsidRPr="00D87E68">
        <w:rPr>
          <w:rFonts w:ascii="Garamond" w:eastAsia="Century Gothic" w:hAnsi="Garamond" w:cs="Arial"/>
          <w:spacing w:val="2"/>
        </w:rPr>
        <w:t>o</w:t>
      </w:r>
      <w:r w:rsidR="008E640B" w:rsidRPr="00D87E68">
        <w:rPr>
          <w:rFonts w:ascii="Garamond" w:eastAsia="Century Gothic" w:hAnsi="Garamond" w:cs="Arial"/>
          <w:spacing w:val="-2"/>
        </w:rPr>
        <w:t>te</w:t>
      </w:r>
      <w:r w:rsidR="008E640B" w:rsidRPr="00D87E68">
        <w:rPr>
          <w:rFonts w:ascii="Garamond" w:eastAsia="Century Gothic" w:hAnsi="Garamond" w:cs="Arial"/>
          <w:spacing w:val="-6"/>
        </w:rPr>
        <w:t>g</w:t>
      </w:r>
      <w:r w:rsidR="008E640B" w:rsidRPr="00D87E68">
        <w:rPr>
          <w:rFonts w:ascii="Garamond" w:eastAsia="Century Gothic" w:hAnsi="Garamond" w:cs="Arial"/>
          <w:spacing w:val="2"/>
        </w:rPr>
        <w:t>i</w:t>
      </w:r>
      <w:r w:rsidR="008E640B" w:rsidRPr="00D87E68">
        <w:rPr>
          <w:rFonts w:ascii="Garamond" w:eastAsia="Century Gothic" w:hAnsi="Garamond" w:cs="Arial"/>
          <w:spacing w:val="-4"/>
        </w:rPr>
        <w:t>d</w:t>
      </w:r>
      <w:r w:rsidR="008E640B" w:rsidRPr="00D87E68">
        <w:rPr>
          <w:rFonts w:ascii="Garamond" w:eastAsia="Century Gothic" w:hAnsi="Garamond" w:cs="Arial"/>
        </w:rPr>
        <w:t>a</w:t>
      </w:r>
      <w:r w:rsidR="008E640B" w:rsidRPr="00D87E68">
        <w:rPr>
          <w:rFonts w:ascii="Garamond" w:eastAsia="Century Gothic" w:hAnsi="Garamond" w:cs="Arial"/>
          <w:spacing w:val="12"/>
        </w:rPr>
        <w:t xml:space="preserve"> </w:t>
      </w:r>
      <w:r w:rsidR="00275092" w:rsidRPr="00D87E68">
        <w:rPr>
          <w:rFonts w:ascii="Garamond" w:eastAsia="Century Gothic" w:hAnsi="Garamond" w:cs="Arial"/>
          <w:spacing w:val="-4"/>
        </w:rPr>
        <w:t>pela</w:t>
      </w:r>
      <w:r w:rsidR="008E640B" w:rsidRPr="00D87E68">
        <w:rPr>
          <w:rFonts w:ascii="Garamond" w:eastAsia="Century Gothic" w:hAnsi="Garamond" w:cs="Arial"/>
          <w:spacing w:val="12"/>
        </w:rPr>
        <w:t xml:space="preserve"> </w:t>
      </w:r>
      <w:r w:rsidR="00D15AFF" w:rsidRPr="00D87E68">
        <w:rPr>
          <w:rFonts w:ascii="Garamond" w:eastAsia="Century Gothic" w:hAnsi="Garamond" w:cs="Arial"/>
          <w:spacing w:val="-7"/>
        </w:rPr>
        <w:t>Lei</w:t>
      </w:r>
      <w:r w:rsidR="008E640B" w:rsidRPr="00D87E68">
        <w:rPr>
          <w:rFonts w:ascii="Garamond" w:eastAsia="Century Gothic" w:hAnsi="Garamond" w:cs="Arial"/>
          <w:spacing w:val="9"/>
        </w:rPr>
        <w:t xml:space="preserve"> </w:t>
      </w:r>
      <w:r w:rsidR="008E640B" w:rsidRPr="00D87E68">
        <w:rPr>
          <w:rFonts w:ascii="Garamond" w:eastAsia="Century Gothic" w:hAnsi="Garamond" w:cs="Arial"/>
        </w:rPr>
        <w:t>N</w:t>
      </w:r>
      <w:r w:rsidRPr="00D87E68">
        <w:rPr>
          <w:rFonts w:ascii="Garamond" w:eastAsia="Century Gothic" w:hAnsi="Garamond" w:cs="Arial"/>
        </w:rPr>
        <w:t>.</w:t>
      </w:r>
      <w:r w:rsidR="00D71B87" w:rsidRPr="00D87E68">
        <w:rPr>
          <w:rFonts w:ascii="Garamond" w:eastAsia="Century Gothic" w:hAnsi="Garamond" w:cs="Arial"/>
        </w:rPr>
        <w:t>°</w:t>
      </w:r>
      <w:r w:rsidR="008E640B" w:rsidRPr="00D87E68">
        <w:rPr>
          <w:rFonts w:ascii="Garamond" w:eastAsia="Century Gothic" w:hAnsi="Garamond" w:cs="Arial"/>
          <w:spacing w:val="13"/>
        </w:rPr>
        <w:t xml:space="preserve"> </w:t>
      </w:r>
      <w:r w:rsidR="008E640B" w:rsidRPr="00D87E68">
        <w:rPr>
          <w:rFonts w:ascii="Garamond" w:eastAsia="Century Gothic" w:hAnsi="Garamond" w:cs="Arial"/>
          <w:spacing w:val="-2"/>
        </w:rPr>
        <w:t>54</w:t>
      </w:r>
      <w:r w:rsidR="008E640B" w:rsidRPr="00D87E68">
        <w:rPr>
          <w:rFonts w:ascii="Garamond" w:eastAsia="Century Gothic" w:hAnsi="Garamond" w:cs="Arial"/>
        </w:rPr>
        <w:t>.</w:t>
      </w:r>
      <w:proofErr w:type="gramEnd"/>
      <w:r w:rsidR="008E640B" w:rsidRPr="00D87E68">
        <w:rPr>
          <w:rFonts w:ascii="Garamond" w:eastAsia="Century Gothic" w:hAnsi="Garamond" w:cs="Arial"/>
          <w:spacing w:val="13"/>
        </w:rPr>
        <w:t xml:space="preserve"> </w:t>
      </w:r>
      <w:r w:rsidR="008E640B" w:rsidRPr="00D87E68">
        <w:rPr>
          <w:rFonts w:ascii="Garamond" w:eastAsia="Century Gothic" w:hAnsi="Garamond" w:cs="Arial"/>
        </w:rPr>
        <w:t>N</w:t>
      </w:r>
      <w:r w:rsidR="00852CA5" w:rsidRPr="00D87E68">
        <w:rPr>
          <w:rFonts w:ascii="Garamond" w:eastAsia="Century Gothic" w:hAnsi="Garamond" w:cs="Arial"/>
        </w:rPr>
        <w:t>ã</w:t>
      </w:r>
      <w:r w:rsidR="008E640B" w:rsidRPr="00D87E68">
        <w:rPr>
          <w:rFonts w:ascii="Garamond" w:eastAsia="Century Gothic" w:hAnsi="Garamond" w:cs="Arial"/>
        </w:rPr>
        <w:t>o</w:t>
      </w:r>
      <w:r w:rsidR="008E640B" w:rsidRPr="00D87E68">
        <w:rPr>
          <w:rFonts w:ascii="Garamond" w:eastAsia="Century Gothic" w:hAnsi="Garamond" w:cs="Arial"/>
          <w:spacing w:val="13"/>
        </w:rPr>
        <w:t xml:space="preserve"> </w:t>
      </w:r>
      <w:r w:rsidR="008E640B" w:rsidRPr="00D87E68">
        <w:rPr>
          <w:rFonts w:ascii="Garamond" w:eastAsia="Century Gothic" w:hAnsi="Garamond" w:cs="Arial"/>
          <w:spacing w:val="-2"/>
        </w:rPr>
        <w:t>e</w:t>
      </w:r>
      <w:r w:rsidR="008E640B" w:rsidRPr="00D87E68">
        <w:rPr>
          <w:rFonts w:ascii="Garamond" w:eastAsia="Century Gothic" w:hAnsi="Garamond" w:cs="Arial"/>
          <w:spacing w:val="-6"/>
        </w:rPr>
        <w:t>x</w:t>
      </w:r>
      <w:r w:rsidR="008E640B" w:rsidRPr="00D87E68">
        <w:rPr>
          <w:rFonts w:ascii="Garamond" w:eastAsia="Century Gothic" w:hAnsi="Garamond" w:cs="Arial"/>
          <w:spacing w:val="2"/>
        </w:rPr>
        <w:t>i</w:t>
      </w:r>
      <w:r w:rsidR="008E640B" w:rsidRPr="00D87E68">
        <w:rPr>
          <w:rFonts w:ascii="Garamond" w:eastAsia="Century Gothic" w:hAnsi="Garamond" w:cs="Arial"/>
          <w:spacing w:val="-2"/>
        </w:rPr>
        <w:t>ste</w:t>
      </w:r>
      <w:r w:rsidR="00852CA5" w:rsidRPr="00D87E68">
        <w:rPr>
          <w:rFonts w:ascii="Garamond" w:eastAsia="Century Gothic" w:hAnsi="Garamond" w:cs="Arial"/>
          <w:spacing w:val="-2"/>
        </w:rPr>
        <w:t>m</w:t>
      </w:r>
      <w:r w:rsidR="008E640B" w:rsidRPr="00D87E68">
        <w:rPr>
          <w:rFonts w:ascii="Garamond" w:eastAsia="Century Gothic" w:hAnsi="Garamond" w:cs="Arial"/>
          <w:spacing w:val="8"/>
        </w:rPr>
        <w:t xml:space="preserve"> </w:t>
      </w:r>
      <w:r w:rsidR="008E640B" w:rsidRPr="00D87E68">
        <w:rPr>
          <w:rFonts w:ascii="Garamond" w:eastAsia="Century Gothic" w:hAnsi="Garamond" w:cs="Arial"/>
          <w:spacing w:val="1"/>
        </w:rPr>
        <w:t>ba</w:t>
      </w:r>
      <w:r w:rsidR="008E640B" w:rsidRPr="00D87E68">
        <w:rPr>
          <w:rFonts w:ascii="Garamond" w:eastAsia="Century Gothic" w:hAnsi="Garamond" w:cs="Arial"/>
          <w:spacing w:val="-2"/>
        </w:rPr>
        <w:t>se</w:t>
      </w:r>
      <w:r w:rsidR="008E640B" w:rsidRPr="00D87E68">
        <w:rPr>
          <w:rFonts w:ascii="Garamond" w:eastAsia="Century Gothic" w:hAnsi="Garamond" w:cs="Arial"/>
        </w:rPr>
        <w:t>s</w:t>
      </w:r>
      <w:r w:rsidR="008E640B" w:rsidRPr="00D87E68">
        <w:rPr>
          <w:rFonts w:ascii="Garamond" w:eastAsia="Century Gothic" w:hAnsi="Garamond" w:cs="Arial"/>
          <w:spacing w:val="10"/>
        </w:rPr>
        <w:t xml:space="preserve"> </w:t>
      </w:r>
      <w:r w:rsidR="008E640B" w:rsidRPr="00D87E68">
        <w:rPr>
          <w:rFonts w:ascii="Garamond" w:eastAsia="Century Gothic" w:hAnsi="Garamond" w:cs="Arial"/>
          <w:spacing w:val="-2"/>
        </w:rPr>
        <w:t>s</w:t>
      </w:r>
      <w:r w:rsidR="008E640B" w:rsidRPr="00D87E68">
        <w:rPr>
          <w:rFonts w:ascii="Garamond" w:eastAsia="Century Gothic" w:hAnsi="Garamond" w:cs="Arial"/>
          <w:spacing w:val="-3"/>
        </w:rPr>
        <w:t>u</w:t>
      </w:r>
      <w:r w:rsidR="008E640B" w:rsidRPr="00D87E68">
        <w:rPr>
          <w:rFonts w:ascii="Garamond" w:eastAsia="Century Gothic" w:hAnsi="Garamond" w:cs="Arial"/>
          <w:spacing w:val="-1"/>
        </w:rPr>
        <w:t>f</w:t>
      </w:r>
      <w:r w:rsidR="008E640B" w:rsidRPr="00D87E68">
        <w:rPr>
          <w:rFonts w:ascii="Garamond" w:eastAsia="Century Gothic" w:hAnsi="Garamond" w:cs="Arial"/>
          <w:spacing w:val="2"/>
        </w:rPr>
        <w:t>i</w:t>
      </w:r>
      <w:r w:rsidR="008E640B" w:rsidRPr="00D87E68">
        <w:rPr>
          <w:rFonts w:ascii="Garamond" w:eastAsia="Century Gothic" w:hAnsi="Garamond" w:cs="Arial"/>
          <w:spacing w:val="-6"/>
        </w:rPr>
        <w:t>c</w:t>
      </w:r>
      <w:r w:rsidR="008E640B" w:rsidRPr="00D87E68">
        <w:rPr>
          <w:rFonts w:ascii="Garamond" w:eastAsia="Century Gothic" w:hAnsi="Garamond" w:cs="Arial"/>
          <w:spacing w:val="7"/>
        </w:rPr>
        <w:t>i</w:t>
      </w:r>
      <w:r w:rsidR="008E640B" w:rsidRPr="00D87E68">
        <w:rPr>
          <w:rFonts w:ascii="Garamond" w:eastAsia="Century Gothic" w:hAnsi="Garamond" w:cs="Arial"/>
          <w:spacing w:val="-7"/>
        </w:rPr>
        <w:t>e</w:t>
      </w:r>
      <w:r w:rsidR="008E640B" w:rsidRPr="00D87E68">
        <w:rPr>
          <w:rFonts w:ascii="Garamond" w:eastAsia="Century Gothic" w:hAnsi="Garamond" w:cs="Arial"/>
          <w:spacing w:val="1"/>
        </w:rPr>
        <w:t>n</w:t>
      </w:r>
      <w:r w:rsidR="008E640B" w:rsidRPr="00D87E68">
        <w:rPr>
          <w:rFonts w:ascii="Garamond" w:eastAsia="Century Gothic" w:hAnsi="Garamond" w:cs="Arial"/>
          <w:spacing w:val="-2"/>
        </w:rPr>
        <w:t>te</w:t>
      </w:r>
      <w:r w:rsidR="008E640B" w:rsidRPr="00D87E68">
        <w:rPr>
          <w:rFonts w:ascii="Garamond" w:eastAsia="Century Gothic" w:hAnsi="Garamond" w:cs="Arial"/>
        </w:rPr>
        <w:t xml:space="preserve">s </w:t>
      </w:r>
      <w:r w:rsidR="00852CA5" w:rsidRPr="00D87E68">
        <w:rPr>
          <w:rFonts w:ascii="Garamond" w:eastAsia="Century Gothic" w:hAnsi="Garamond" w:cs="Arial"/>
        </w:rPr>
        <w:t xml:space="preserve">no </w:t>
      </w:r>
      <w:r w:rsidR="008E640B" w:rsidRPr="00D87E68">
        <w:rPr>
          <w:rFonts w:ascii="Garamond" w:eastAsia="Century Gothic" w:hAnsi="Garamond" w:cs="Arial"/>
          <w:spacing w:val="-3"/>
        </w:rPr>
        <w:t>h</w:t>
      </w:r>
      <w:r w:rsidR="008E640B" w:rsidRPr="00D87E68">
        <w:rPr>
          <w:rFonts w:ascii="Garamond" w:eastAsia="Century Gothic" w:hAnsi="Garamond" w:cs="Arial"/>
          <w:spacing w:val="7"/>
        </w:rPr>
        <w:t>i</w:t>
      </w:r>
      <w:r w:rsidR="008E640B" w:rsidRPr="00D87E68">
        <w:rPr>
          <w:rFonts w:ascii="Garamond" w:eastAsia="Century Gothic" w:hAnsi="Garamond" w:cs="Arial"/>
          <w:spacing w:val="-2"/>
        </w:rPr>
        <w:t>s</w:t>
      </w:r>
      <w:r w:rsidR="008E640B" w:rsidRPr="00D87E68">
        <w:rPr>
          <w:rFonts w:ascii="Garamond" w:eastAsia="Century Gothic" w:hAnsi="Garamond" w:cs="Arial"/>
          <w:spacing w:val="-6"/>
        </w:rPr>
        <w:t>t</w:t>
      </w:r>
      <w:r w:rsidR="008E640B" w:rsidRPr="00D87E68">
        <w:rPr>
          <w:rFonts w:ascii="Garamond" w:eastAsia="Century Gothic" w:hAnsi="Garamond" w:cs="Arial"/>
          <w:spacing w:val="2"/>
        </w:rPr>
        <w:t>o</w:t>
      </w:r>
      <w:r w:rsidR="008E640B" w:rsidRPr="00D87E68">
        <w:rPr>
          <w:rFonts w:ascii="Garamond" w:eastAsia="Century Gothic" w:hAnsi="Garamond" w:cs="Arial"/>
          <w:spacing w:val="-3"/>
        </w:rPr>
        <w:t>r</w:t>
      </w:r>
      <w:r w:rsidR="008E640B" w:rsidRPr="00D87E68">
        <w:rPr>
          <w:rFonts w:ascii="Garamond" w:eastAsia="Century Gothic" w:hAnsi="Garamond" w:cs="Arial"/>
          <w:spacing w:val="2"/>
        </w:rPr>
        <w:t>i</w:t>
      </w:r>
      <w:r w:rsidR="008E640B" w:rsidRPr="00D87E68">
        <w:rPr>
          <w:rFonts w:ascii="Garamond" w:eastAsia="Century Gothic" w:hAnsi="Garamond" w:cs="Arial"/>
          <w:spacing w:val="-4"/>
        </w:rPr>
        <w:t>a</w:t>
      </w:r>
      <w:r w:rsidR="008E640B" w:rsidRPr="00D87E68">
        <w:rPr>
          <w:rFonts w:ascii="Garamond" w:eastAsia="Century Gothic" w:hAnsi="Garamond" w:cs="Arial"/>
        </w:rPr>
        <w:t>l</w:t>
      </w:r>
      <w:r w:rsidR="008E640B" w:rsidRPr="00D87E68">
        <w:rPr>
          <w:rFonts w:ascii="Garamond" w:eastAsia="Century Gothic" w:hAnsi="Garamond" w:cs="Arial"/>
          <w:spacing w:val="23"/>
        </w:rPr>
        <w:t xml:space="preserve"> </w:t>
      </w:r>
      <w:r w:rsidR="008E640B" w:rsidRPr="00D87E68">
        <w:rPr>
          <w:rFonts w:ascii="Garamond" w:eastAsia="Century Gothic" w:hAnsi="Garamond" w:cs="Arial"/>
          <w:spacing w:val="1"/>
        </w:rPr>
        <w:t>p</w:t>
      </w:r>
      <w:r w:rsidR="008E640B" w:rsidRPr="00D87E68">
        <w:rPr>
          <w:rFonts w:ascii="Garamond" w:eastAsia="Century Gothic" w:hAnsi="Garamond" w:cs="Arial"/>
          <w:spacing w:val="-4"/>
        </w:rPr>
        <w:t>a</w:t>
      </w:r>
      <w:r w:rsidR="008E640B" w:rsidRPr="00D87E68">
        <w:rPr>
          <w:rFonts w:ascii="Garamond" w:eastAsia="Century Gothic" w:hAnsi="Garamond" w:cs="Arial"/>
          <w:spacing w:val="1"/>
        </w:rPr>
        <w:t>r</w:t>
      </w:r>
      <w:r w:rsidR="008E640B" w:rsidRPr="00D87E68">
        <w:rPr>
          <w:rFonts w:ascii="Garamond" w:eastAsia="Century Gothic" w:hAnsi="Garamond" w:cs="Arial"/>
        </w:rPr>
        <w:t>a</w:t>
      </w:r>
      <w:r w:rsidR="008E640B" w:rsidRPr="00D87E68">
        <w:rPr>
          <w:rFonts w:ascii="Garamond" w:eastAsia="Century Gothic" w:hAnsi="Garamond" w:cs="Arial"/>
          <w:spacing w:val="22"/>
        </w:rPr>
        <w:t xml:space="preserve"> </w:t>
      </w:r>
      <w:r w:rsidR="008E640B" w:rsidRPr="00D87E68">
        <w:rPr>
          <w:rFonts w:ascii="Garamond" w:eastAsia="Century Gothic" w:hAnsi="Garamond" w:cs="Arial"/>
          <w:spacing w:val="2"/>
        </w:rPr>
        <w:t>i</w:t>
      </w:r>
      <w:r w:rsidR="008E640B" w:rsidRPr="00D87E68">
        <w:rPr>
          <w:rFonts w:ascii="Garamond" w:eastAsia="Century Gothic" w:hAnsi="Garamond" w:cs="Arial"/>
          <w:spacing w:val="1"/>
        </w:rPr>
        <w:t>n</w:t>
      </w:r>
      <w:r w:rsidR="008E640B" w:rsidRPr="00D87E68">
        <w:rPr>
          <w:rFonts w:ascii="Garamond" w:eastAsia="Century Gothic" w:hAnsi="Garamond" w:cs="Arial"/>
          <w:spacing w:val="-6"/>
        </w:rPr>
        <w:t>c</w:t>
      </w:r>
      <w:r w:rsidR="008E640B" w:rsidRPr="00D87E68">
        <w:rPr>
          <w:rFonts w:ascii="Garamond" w:eastAsia="Century Gothic" w:hAnsi="Garamond" w:cs="Arial"/>
          <w:spacing w:val="-3"/>
        </w:rPr>
        <w:t>lu</w:t>
      </w:r>
      <w:r w:rsidR="008E640B" w:rsidRPr="00D87E68">
        <w:rPr>
          <w:rFonts w:ascii="Garamond" w:eastAsia="Century Gothic" w:hAnsi="Garamond" w:cs="Arial"/>
          <w:spacing w:val="2"/>
        </w:rPr>
        <w:t>i</w:t>
      </w:r>
      <w:r w:rsidR="008E640B" w:rsidRPr="00D87E68">
        <w:rPr>
          <w:rFonts w:ascii="Garamond" w:eastAsia="Century Gothic" w:hAnsi="Garamond" w:cs="Arial"/>
        </w:rPr>
        <w:t>r</w:t>
      </w:r>
      <w:r w:rsidR="00852CA5" w:rsidRPr="00D87E68">
        <w:rPr>
          <w:rFonts w:ascii="Garamond" w:eastAsia="Century Gothic" w:hAnsi="Garamond" w:cs="Arial"/>
        </w:rPr>
        <w:t xml:space="preserve"> na </w:t>
      </w:r>
      <w:r w:rsidR="00E45CCF" w:rsidRPr="00D87E68">
        <w:rPr>
          <w:rFonts w:ascii="Garamond" w:eastAsia="Century Gothic" w:hAnsi="Garamond" w:cs="Arial"/>
        </w:rPr>
        <w:t>definição</w:t>
      </w:r>
      <w:r w:rsidR="008E640B" w:rsidRPr="00D87E68">
        <w:rPr>
          <w:rFonts w:ascii="Garamond" w:eastAsia="Century Gothic" w:hAnsi="Garamond" w:cs="Arial"/>
          <w:spacing w:val="27"/>
        </w:rPr>
        <w:t xml:space="preserve"> </w:t>
      </w:r>
      <w:r w:rsidR="008E640B" w:rsidRPr="00D87E68">
        <w:rPr>
          <w:rFonts w:ascii="Garamond" w:eastAsia="Century Gothic" w:hAnsi="Garamond" w:cs="Arial"/>
        </w:rPr>
        <w:t>de</w:t>
      </w:r>
      <w:r w:rsidR="008E640B" w:rsidRPr="00D87E68">
        <w:rPr>
          <w:rFonts w:ascii="Garamond" w:eastAsia="Century Gothic" w:hAnsi="Garamond" w:cs="Arial"/>
          <w:spacing w:val="32"/>
        </w:rPr>
        <w:t xml:space="preserve"> </w:t>
      </w:r>
      <w:r w:rsidR="008E640B" w:rsidRPr="00D87E68">
        <w:rPr>
          <w:rFonts w:ascii="Garamond" w:eastAsia="Century Gothic" w:hAnsi="Garamond" w:cs="Arial"/>
          <w:spacing w:val="-6"/>
        </w:rPr>
        <w:t>“</w:t>
      </w:r>
      <w:r w:rsidR="00152A44" w:rsidRPr="00D87E68">
        <w:rPr>
          <w:rFonts w:ascii="Garamond" w:eastAsia="Century Gothic" w:hAnsi="Garamond" w:cs="Arial"/>
          <w:spacing w:val="1"/>
        </w:rPr>
        <w:t>relação</w:t>
      </w:r>
      <w:r w:rsidR="008E640B" w:rsidRPr="00D87E68">
        <w:rPr>
          <w:rFonts w:ascii="Garamond" w:eastAsia="Century Gothic" w:hAnsi="Garamond" w:cs="Arial"/>
          <w:spacing w:val="27"/>
        </w:rPr>
        <w:t xml:space="preserve"> </w:t>
      </w:r>
      <w:r w:rsidR="008E640B" w:rsidRPr="00D87E68">
        <w:rPr>
          <w:rFonts w:ascii="Garamond" w:eastAsia="Century Gothic" w:hAnsi="Garamond" w:cs="Arial"/>
          <w:spacing w:val="-1"/>
        </w:rPr>
        <w:t>c</w:t>
      </w:r>
      <w:r w:rsidR="008E640B" w:rsidRPr="00D87E68">
        <w:rPr>
          <w:rFonts w:ascii="Garamond" w:eastAsia="Century Gothic" w:hAnsi="Garamond" w:cs="Arial"/>
          <w:spacing w:val="-3"/>
        </w:rPr>
        <w:t>o</w:t>
      </w:r>
      <w:r w:rsidR="008E640B" w:rsidRPr="00D87E68">
        <w:rPr>
          <w:rFonts w:ascii="Garamond" w:eastAsia="Century Gothic" w:hAnsi="Garamond" w:cs="Arial"/>
          <w:spacing w:val="1"/>
        </w:rPr>
        <w:t>n</w:t>
      </w:r>
      <w:r w:rsidR="008E640B" w:rsidRPr="00D87E68">
        <w:rPr>
          <w:rFonts w:ascii="Garamond" w:eastAsia="Century Gothic" w:hAnsi="Garamond" w:cs="Arial"/>
          <w:spacing w:val="-2"/>
        </w:rPr>
        <w:t>se</w:t>
      </w:r>
      <w:r w:rsidR="008E640B" w:rsidRPr="00D87E68">
        <w:rPr>
          <w:rFonts w:ascii="Garamond" w:eastAsia="Century Gothic" w:hAnsi="Garamond" w:cs="Arial"/>
          <w:spacing w:val="1"/>
        </w:rPr>
        <w:t>n</w:t>
      </w:r>
      <w:r w:rsidR="008E640B" w:rsidRPr="00D87E68">
        <w:rPr>
          <w:rFonts w:ascii="Garamond" w:eastAsia="Century Gothic" w:hAnsi="Garamond" w:cs="Arial"/>
          <w:spacing w:val="-7"/>
        </w:rPr>
        <w:t>s</w:t>
      </w:r>
      <w:r w:rsidR="008E640B" w:rsidRPr="00D87E68">
        <w:rPr>
          <w:rFonts w:ascii="Garamond" w:eastAsia="Century Gothic" w:hAnsi="Garamond" w:cs="Arial"/>
          <w:spacing w:val="2"/>
        </w:rPr>
        <w:t>u</w:t>
      </w:r>
      <w:r w:rsidR="008E640B" w:rsidRPr="00D87E68">
        <w:rPr>
          <w:rFonts w:ascii="Garamond" w:eastAsia="Century Gothic" w:hAnsi="Garamond" w:cs="Arial"/>
          <w:spacing w:val="-4"/>
        </w:rPr>
        <w:t>a</w:t>
      </w:r>
      <w:r w:rsidR="008E640B" w:rsidRPr="00D87E68">
        <w:rPr>
          <w:rFonts w:ascii="Garamond" w:eastAsia="Century Gothic" w:hAnsi="Garamond" w:cs="Arial"/>
          <w:spacing w:val="2"/>
        </w:rPr>
        <w:t>l</w:t>
      </w:r>
      <w:r w:rsidR="008E640B" w:rsidRPr="00D87E68">
        <w:rPr>
          <w:rFonts w:ascii="Garamond" w:eastAsia="Century Gothic" w:hAnsi="Garamond" w:cs="Arial"/>
        </w:rPr>
        <w:t>”</w:t>
      </w:r>
      <w:r w:rsidR="008E640B" w:rsidRPr="00D87E68">
        <w:rPr>
          <w:rFonts w:ascii="Garamond" w:eastAsia="Century Gothic" w:hAnsi="Garamond" w:cs="Arial"/>
          <w:spacing w:val="24"/>
        </w:rPr>
        <w:t xml:space="preserve"> </w:t>
      </w:r>
      <w:r w:rsidR="008E640B" w:rsidRPr="00D87E68">
        <w:rPr>
          <w:rFonts w:ascii="Garamond" w:eastAsia="Century Gothic" w:hAnsi="Garamond" w:cs="Arial"/>
        </w:rPr>
        <w:t>a</w:t>
      </w:r>
      <w:r w:rsidR="008E640B" w:rsidRPr="00D87E68">
        <w:rPr>
          <w:rFonts w:ascii="Garamond" w:eastAsia="Century Gothic" w:hAnsi="Garamond" w:cs="Arial"/>
          <w:spacing w:val="27"/>
        </w:rPr>
        <w:t xml:space="preserve"> </w:t>
      </w:r>
      <w:r w:rsidR="00152A44" w:rsidRPr="00D87E68">
        <w:rPr>
          <w:rFonts w:ascii="Garamond" w:eastAsia="Century Gothic" w:hAnsi="Garamond" w:cs="Arial"/>
          <w:spacing w:val="1"/>
        </w:rPr>
        <w:t>relação</w:t>
      </w:r>
      <w:r w:rsidR="008E640B" w:rsidRPr="00D87E68">
        <w:rPr>
          <w:rFonts w:ascii="Garamond" w:eastAsia="Century Gothic" w:hAnsi="Garamond" w:cs="Arial"/>
          <w:spacing w:val="27"/>
        </w:rPr>
        <w:t xml:space="preserve"> </w:t>
      </w:r>
      <w:r w:rsidR="00852CA5" w:rsidRPr="00D87E68">
        <w:rPr>
          <w:rFonts w:ascii="Garamond" w:eastAsia="Century Gothic" w:hAnsi="Garamond" w:cs="Arial"/>
          <w:spacing w:val="-4"/>
        </w:rPr>
        <w:t>afetiva</w:t>
      </w:r>
      <w:r w:rsidR="008E640B" w:rsidRPr="00D87E68">
        <w:rPr>
          <w:rFonts w:ascii="Garamond" w:eastAsia="Century Gothic" w:hAnsi="Garamond" w:cs="Arial"/>
        </w:rPr>
        <w:t xml:space="preserve"> </w:t>
      </w:r>
      <w:r w:rsidR="008E640B" w:rsidRPr="00D87E68">
        <w:rPr>
          <w:rFonts w:ascii="Garamond" w:eastAsia="Century Gothic" w:hAnsi="Garamond" w:cs="Arial"/>
          <w:spacing w:val="-2"/>
        </w:rPr>
        <w:t>e</w:t>
      </w:r>
      <w:r w:rsidR="008E640B" w:rsidRPr="00D87E68">
        <w:rPr>
          <w:rFonts w:ascii="Garamond" w:eastAsia="Century Gothic" w:hAnsi="Garamond" w:cs="Arial"/>
          <w:spacing w:val="1"/>
        </w:rPr>
        <w:t>n</w:t>
      </w:r>
      <w:r w:rsidR="008E640B" w:rsidRPr="00D87E68">
        <w:rPr>
          <w:rFonts w:ascii="Garamond" w:eastAsia="Century Gothic" w:hAnsi="Garamond" w:cs="Arial"/>
          <w:spacing w:val="-2"/>
        </w:rPr>
        <w:t>t</w:t>
      </w:r>
      <w:r w:rsidR="008E640B" w:rsidRPr="00D87E68">
        <w:rPr>
          <w:rFonts w:ascii="Garamond" w:eastAsia="Century Gothic" w:hAnsi="Garamond" w:cs="Arial"/>
          <w:spacing w:val="1"/>
        </w:rPr>
        <w:t>r</w:t>
      </w:r>
      <w:r w:rsidR="008E640B" w:rsidRPr="00D87E68">
        <w:rPr>
          <w:rFonts w:ascii="Garamond" w:eastAsia="Century Gothic" w:hAnsi="Garamond" w:cs="Arial"/>
        </w:rPr>
        <w:t>e</w:t>
      </w:r>
      <w:r w:rsidR="008E640B" w:rsidRPr="00D87E68">
        <w:rPr>
          <w:rFonts w:ascii="Garamond" w:eastAsia="Century Gothic" w:hAnsi="Garamond" w:cs="Arial"/>
          <w:spacing w:val="10"/>
        </w:rPr>
        <w:t xml:space="preserve"> </w:t>
      </w:r>
      <w:r w:rsidR="008E640B" w:rsidRPr="00D87E68">
        <w:rPr>
          <w:rFonts w:ascii="Garamond" w:eastAsia="Century Gothic" w:hAnsi="Garamond" w:cs="Arial"/>
          <w:spacing w:val="2"/>
        </w:rPr>
        <w:t>u</w:t>
      </w:r>
      <w:r w:rsidR="00852CA5" w:rsidRPr="00D87E68">
        <w:rPr>
          <w:rFonts w:ascii="Garamond" w:eastAsia="Century Gothic" w:hAnsi="Garamond" w:cs="Arial"/>
          <w:spacing w:val="2"/>
        </w:rPr>
        <w:t>m</w:t>
      </w:r>
      <w:r w:rsidR="008E640B" w:rsidRPr="00D87E68">
        <w:rPr>
          <w:rFonts w:ascii="Garamond" w:eastAsia="Century Gothic" w:hAnsi="Garamond" w:cs="Arial"/>
          <w:spacing w:val="13"/>
        </w:rPr>
        <w:t xml:space="preserve"> </w:t>
      </w:r>
      <w:r w:rsidR="00524936" w:rsidRPr="00D87E68">
        <w:rPr>
          <w:rFonts w:ascii="Garamond" w:eastAsia="Century Gothic" w:hAnsi="Garamond" w:cs="Arial"/>
          <w:spacing w:val="-3"/>
        </w:rPr>
        <w:t>homem</w:t>
      </w:r>
      <w:r w:rsidR="008E640B" w:rsidRPr="00D87E68">
        <w:rPr>
          <w:rFonts w:ascii="Garamond" w:eastAsia="Century Gothic" w:hAnsi="Garamond" w:cs="Arial"/>
          <w:spacing w:val="14"/>
        </w:rPr>
        <w:t xml:space="preserve"> </w:t>
      </w:r>
      <w:r w:rsidR="00497503" w:rsidRPr="00D87E68">
        <w:rPr>
          <w:rFonts w:ascii="Garamond" w:eastAsia="Century Gothic" w:hAnsi="Garamond" w:cs="Arial"/>
        </w:rPr>
        <w:t>e</w:t>
      </w:r>
      <w:r w:rsidR="008E640B" w:rsidRPr="00D87E68">
        <w:rPr>
          <w:rFonts w:ascii="Garamond" w:eastAsia="Century Gothic" w:hAnsi="Garamond" w:cs="Arial"/>
          <w:spacing w:val="13"/>
        </w:rPr>
        <w:t xml:space="preserve"> </w:t>
      </w:r>
      <w:r w:rsidR="008E640B" w:rsidRPr="00D87E68">
        <w:rPr>
          <w:rFonts w:ascii="Garamond" w:eastAsia="Century Gothic" w:hAnsi="Garamond" w:cs="Arial"/>
          <w:spacing w:val="-3"/>
        </w:rPr>
        <w:t>u</w:t>
      </w:r>
      <w:r w:rsidR="00852CA5" w:rsidRPr="00D87E68">
        <w:rPr>
          <w:rFonts w:ascii="Garamond" w:eastAsia="Century Gothic" w:hAnsi="Garamond" w:cs="Arial"/>
          <w:spacing w:val="1"/>
        </w:rPr>
        <w:t>m</w:t>
      </w:r>
      <w:r w:rsidR="008E640B" w:rsidRPr="00D87E68">
        <w:rPr>
          <w:rFonts w:ascii="Garamond" w:eastAsia="Century Gothic" w:hAnsi="Garamond" w:cs="Arial"/>
        </w:rPr>
        <w:t>a</w:t>
      </w:r>
      <w:r w:rsidR="008E640B" w:rsidRPr="00D87E68">
        <w:rPr>
          <w:rFonts w:ascii="Garamond" w:eastAsia="Century Gothic" w:hAnsi="Garamond" w:cs="Arial"/>
          <w:spacing w:val="8"/>
        </w:rPr>
        <w:t xml:space="preserve"> </w:t>
      </w:r>
      <w:r w:rsidR="00AF192F" w:rsidRPr="00D87E68">
        <w:rPr>
          <w:rFonts w:ascii="Garamond" w:eastAsia="Century Gothic" w:hAnsi="Garamond" w:cs="Arial"/>
          <w:spacing w:val="2"/>
        </w:rPr>
        <w:t>mulher</w:t>
      </w:r>
      <w:r w:rsidR="008E640B" w:rsidRPr="00D87E68">
        <w:rPr>
          <w:rFonts w:ascii="Garamond" w:eastAsia="Century Gothic" w:hAnsi="Garamond" w:cs="Arial"/>
          <w:spacing w:val="18"/>
        </w:rPr>
        <w:t xml:space="preserve"> </w:t>
      </w:r>
      <w:r w:rsidR="008E640B" w:rsidRPr="00D87E68">
        <w:rPr>
          <w:rFonts w:ascii="Garamond" w:eastAsia="Century Gothic" w:hAnsi="Garamond" w:cs="Arial"/>
          <w:spacing w:val="-7"/>
        </w:rPr>
        <w:t>e</w:t>
      </w:r>
      <w:r w:rsidR="00852CA5" w:rsidRPr="00D87E68">
        <w:rPr>
          <w:rFonts w:ascii="Garamond" w:eastAsia="Century Gothic" w:hAnsi="Garamond" w:cs="Arial"/>
          <w:spacing w:val="-7"/>
        </w:rPr>
        <w:t xml:space="preserve">m </w:t>
      </w:r>
      <w:r w:rsidR="008E640B" w:rsidRPr="00D87E68">
        <w:rPr>
          <w:rFonts w:ascii="Garamond" w:eastAsia="Century Gothic" w:hAnsi="Garamond" w:cs="Arial"/>
          <w:spacing w:val="-4"/>
        </w:rPr>
        <w:t>q</w:t>
      </w:r>
      <w:r w:rsidR="008E640B" w:rsidRPr="00D87E68">
        <w:rPr>
          <w:rFonts w:ascii="Garamond" w:eastAsia="Century Gothic" w:hAnsi="Garamond" w:cs="Arial"/>
          <w:spacing w:val="2"/>
        </w:rPr>
        <w:t>u</w:t>
      </w:r>
      <w:r w:rsidR="008E640B" w:rsidRPr="00D87E68">
        <w:rPr>
          <w:rFonts w:ascii="Garamond" w:eastAsia="Century Gothic" w:hAnsi="Garamond" w:cs="Arial"/>
        </w:rPr>
        <w:t>e</w:t>
      </w:r>
      <w:r w:rsidR="008E640B" w:rsidRPr="00D87E68">
        <w:rPr>
          <w:rFonts w:ascii="Garamond" w:eastAsia="Century Gothic" w:hAnsi="Garamond" w:cs="Arial"/>
          <w:spacing w:val="14"/>
        </w:rPr>
        <w:t xml:space="preserve"> </w:t>
      </w:r>
      <w:r w:rsidR="007342D9" w:rsidRPr="00D87E68">
        <w:rPr>
          <w:rFonts w:ascii="Garamond" w:eastAsia="Century Gothic" w:hAnsi="Garamond" w:cs="Arial"/>
          <w:spacing w:val="-6"/>
        </w:rPr>
        <w:t>qualquer</w:t>
      </w:r>
      <w:r w:rsidR="00852CA5" w:rsidRPr="00D87E68">
        <w:rPr>
          <w:rFonts w:ascii="Garamond" w:eastAsia="Century Gothic" w:hAnsi="Garamond" w:cs="Arial"/>
          <w:spacing w:val="-6"/>
        </w:rPr>
        <w:t xml:space="preserve"> um deles esteja </w:t>
      </w:r>
      <w:r w:rsidR="008E640B" w:rsidRPr="00D87E68">
        <w:rPr>
          <w:rFonts w:ascii="Garamond" w:eastAsia="Century Gothic" w:hAnsi="Garamond" w:cs="Arial"/>
          <w:spacing w:val="2"/>
        </w:rPr>
        <w:t>l</w:t>
      </w:r>
      <w:r w:rsidR="008E640B" w:rsidRPr="00D87E68">
        <w:rPr>
          <w:rFonts w:ascii="Garamond" w:eastAsia="Century Gothic" w:hAnsi="Garamond" w:cs="Arial"/>
          <w:spacing w:val="-2"/>
        </w:rPr>
        <w:t>e</w:t>
      </w:r>
      <w:r w:rsidR="008E640B" w:rsidRPr="00D87E68">
        <w:rPr>
          <w:rFonts w:ascii="Garamond" w:eastAsia="Century Gothic" w:hAnsi="Garamond" w:cs="Arial"/>
          <w:spacing w:val="-6"/>
        </w:rPr>
        <w:t>g</w:t>
      </w:r>
      <w:r w:rsidR="008E640B" w:rsidRPr="00D87E68">
        <w:rPr>
          <w:rFonts w:ascii="Garamond" w:eastAsia="Century Gothic" w:hAnsi="Garamond" w:cs="Arial"/>
          <w:spacing w:val="1"/>
        </w:rPr>
        <w:t>a</w:t>
      </w:r>
      <w:r w:rsidR="008E640B" w:rsidRPr="00D87E68">
        <w:rPr>
          <w:rFonts w:ascii="Garamond" w:eastAsia="Century Gothic" w:hAnsi="Garamond" w:cs="Arial"/>
          <w:spacing w:val="-3"/>
        </w:rPr>
        <w:t>l</w:t>
      </w:r>
      <w:r w:rsidR="008E640B" w:rsidRPr="00D87E68">
        <w:rPr>
          <w:rFonts w:ascii="Garamond" w:eastAsia="Century Gothic" w:hAnsi="Garamond" w:cs="Arial"/>
          <w:spacing w:val="2"/>
        </w:rPr>
        <w:t>m</w:t>
      </w:r>
      <w:r w:rsidR="008E640B" w:rsidRPr="00D87E68">
        <w:rPr>
          <w:rFonts w:ascii="Garamond" w:eastAsia="Century Gothic" w:hAnsi="Garamond" w:cs="Arial"/>
          <w:spacing w:val="-7"/>
        </w:rPr>
        <w:t>e</w:t>
      </w:r>
      <w:r w:rsidR="008E640B" w:rsidRPr="00D87E68">
        <w:rPr>
          <w:rFonts w:ascii="Garamond" w:eastAsia="Century Gothic" w:hAnsi="Garamond" w:cs="Arial"/>
          <w:spacing w:val="1"/>
        </w:rPr>
        <w:t>n</w:t>
      </w:r>
      <w:r w:rsidR="008E640B" w:rsidRPr="00D87E68">
        <w:rPr>
          <w:rFonts w:ascii="Garamond" w:eastAsia="Century Gothic" w:hAnsi="Garamond" w:cs="Arial"/>
          <w:spacing w:val="-2"/>
        </w:rPr>
        <w:t>t</w:t>
      </w:r>
      <w:r w:rsidR="008E640B" w:rsidRPr="00D87E68">
        <w:rPr>
          <w:rFonts w:ascii="Garamond" w:eastAsia="Century Gothic" w:hAnsi="Garamond" w:cs="Arial"/>
        </w:rPr>
        <w:t>e</w:t>
      </w:r>
      <w:r w:rsidR="008E640B" w:rsidRPr="00D87E68">
        <w:rPr>
          <w:rFonts w:ascii="Garamond" w:eastAsia="Century Gothic" w:hAnsi="Garamond" w:cs="Arial"/>
          <w:spacing w:val="14"/>
        </w:rPr>
        <w:t xml:space="preserve"> </w:t>
      </w:r>
      <w:r w:rsidR="008E640B" w:rsidRPr="00D87E68">
        <w:rPr>
          <w:rFonts w:ascii="Garamond" w:eastAsia="Century Gothic" w:hAnsi="Garamond" w:cs="Arial"/>
          <w:spacing w:val="-1"/>
        </w:rPr>
        <w:t>c</w:t>
      </w:r>
      <w:r w:rsidR="008E640B" w:rsidRPr="00D87E68">
        <w:rPr>
          <w:rFonts w:ascii="Garamond" w:eastAsia="Century Gothic" w:hAnsi="Garamond" w:cs="Arial"/>
          <w:spacing w:val="1"/>
        </w:rPr>
        <w:t>a</w:t>
      </w:r>
      <w:r w:rsidR="008E640B" w:rsidRPr="00D87E68">
        <w:rPr>
          <w:rFonts w:ascii="Garamond" w:eastAsia="Century Gothic" w:hAnsi="Garamond" w:cs="Arial"/>
          <w:spacing w:val="-7"/>
        </w:rPr>
        <w:t>s</w:t>
      </w:r>
      <w:r w:rsidR="008E640B" w:rsidRPr="00D87E68">
        <w:rPr>
          <w:rFonts w:ascii="Garamond" w:eastAsia="Century Gothic" w:hAnsi="Garamond" w:cs="Arial"/>
          <w:spacing w:val="1"/>
        </w:rPr>
        <w:t>a</w:t>
      </w:r>
      <w:r w:rsidR="008E640B" w:rsidRPr="00D87E68">
        <w:rPr>
          <w:rFonts w:ascii="Garamond" w:eastAsia="Century Gothic" w:hAnsi="Garamond" w:cs="Arial"/>
          <w:spacing w:val="-4"/>
        </w:rPr>
        <w:t>d</w:t>
      </w:r>
      <w:r w:rsidR="008E640B" w:rsidRPr="00D87E68">
        <w:rPr>
          <w:rFonts w:ascii="Garamond" w:eastAsia="Century Gothic" w:hAnsi="Garamond" w:cs="Arial"/>
          <w:spacing w:val="2"/>
        </w:rPr>
        <w:t>o</w:t>
      </w:r>
      <w:r w:rsidR="008E640B" w:rsidRPr="00D87E68">
        <w:rPr>
          <w:rFonts w:ascii="Garamond" w:eastAsia="Century Gothic" w:hAnsi="Garamond" w:cs="Arial"/>
        </w:rPr>
        <w:t>.</w:t>
      </w:r>
      <w:r w:rsidR="008E640B" w:rsidRPr="00D87E68">
        <w:rPr>
          <w:rFonts w:ascii="Garamond" w:eastAsia="Century Gothic" w:hAnsi="Garamond" w:cs="Arial"/>
          <w:spacing w:val="18"/>
        </w:rPr>
        <w:t xml:space="preserve"> </w:t>
      </w:r>
      <w:r w:rsidR="00852CA5" w:rsidRPr="00D87E68">
        <w:rPr>
          <w:rFonts w:ascii="Garamond" w:eastAsia="Century Gothic" w:hAnsi="Garamond" w:cs="Arial"/>
          <w:spacing w:val="18"/>
        </w:rPr>
        <w:t xml:space="preserve">A </w:t>
      </w:r>
      <w:r w:rsidR="00152A44" w:rsidRPr="00D87E68">
        <w:rPr>
          <w:rFonts w:ascii="Garamond" w:eastAsia="Century Gothic" w:hAnsi="Garamond" w:cs="Arial"/>
          <w:spacing w:val="1"/>
        </w:rPr>
        <w:t>relação</w:t>
      </w:r>
      <w:r w:rsidRPr="00D87E68">
        <w:rPr>
          <w:rFonts w:ascii="Garamond" w:eastAsia="Century Gothic" w:hAnsi="Garamond" w:cs="Arial"/>
          <w:spacing w:val="1"/>
        </w:rPr>
        <w:t>,</w:t>
      </w:r>
      <w:r w:rsidR="008E640B" w:rsidRPr="00D87E68">
        <w:rPr>
          <w:rFonts w:ascii="Garamond" w:eastAsia="Century Gothic" w:hAnsi="Garamond" w:cs="Arial"/>
          <w:spacing w:val="36"/>
        </w:rPr>
        <w:t xml:space="preserve"> </w:t>
      </w:r>
      <w:r w:rsidR="008E640B" w:rsidRPr="00D87E68">
        <w:rPr>
          <w:rFonts w:ascii="Garamond" w:eastAsia="Century Gothic" w:hAnsi="Garamond" w:cs="Arial"/>
          <w:spacing w:val="-4"/>
        </w:rPr>
        <w:t>a</w:t>
      </w:r>
      <w:r w:rsidR="008E640B" w:rsidRPr="00D87E68">
        <w:rPr>
          <w:rFonts w:ascii="Garamond" w:eastAsia="Century Gothic" w:hAnsi="Garamond" w:cs="Arial"/>
          <w:spacing w:val="1"/>
        </w:rPr>
        <w:t>n</w:t>
      </w:r>
      <w:r w:rsidR="008E640B" w:rsidRPr="00D87E68">
        <w:rPr>
          <w:rFonts w:ascii="Garamond" w:eastAsia="Century Gothic" w:hAnsi="Garamond" w:cs="Arial"/>
          <w:spacing w:val="-2"/>
        </w:rPr>
        <w:t>te</w:t>
      </w:r>
      <w:r w:rsidR="00852CA5" w:rsidRPr="00D87E68">
        <w:rPr>
          <w:rFonts w:ascii="Garamond" w:eastAsia="Century Gothic" w:hAnsi="Garamond" w:cs="Arial"/>
          <w:spacing w:val="-2"/>
        </w:rPr>
        <w:t>riormente mencionada</w:t>
      </w:r>
      <w:r w:rsidRPr="00D87E68">
        <w:rPr>
          <w:rFonts w:ascii="Garamond" w:eastAsia="Century Gothic" w:hAnsi="Garamond" w:cs="Arial"/>
          <w:spacing w:val="-2"/>
        </w:rPr>
        <w:t>,</w:t>
      </w:r>
      <w:r w:rsidR="00852CA5" w:rsidRPr="00D87E68">
        <w:rPr>
          <w:rFonts w:ascii="Garamond" w:eastAsia="Century Gothic" w:hAnsi="Garamond" w:cs="Arial"/>
          <w:spacing w:val="-2"/>
        </w:rPr>
        <w:t xml:space="preserve"> seria </w:t>
      </w:r>
      <w:r w:rsidR="008E640B" w:rsidRPr="00D87E68">
        <w:rPr>
          <w:rFonts w:ascii="Garamond" w:eastAsia="Century Gothic" w:hAnsi="Garamond" w:cs="Arial"/>
          <w:spacing w:val="-6"/>
        </w:rPr>
        <w:t>c</w:t>
      </w:r>
      <w:r w:rsidR="008E640B" w:rsidRPr="00D87E68">
        <w:rPr>
          <w:rFonts w:ascii="Garamond" w:eastAsia="Century Gothic" w:hAnsi="Garamond" w:cs="Arial"/>
          <w:spacing w:val="2"/>
        </w:rPr>
        <w:t>l</w:t>
      </w:r>
      <w:r w:rsidR="008E640B" w:rsidRPr="00D87E68">
        <w:rPr>
          <w:rFonts w:ascii="Garamond" w:eastAsia="Century Gothic" w:hAnsi="Garamond" w:cs="Arial"/>
          <w:spacing w:val="-4"/>
        </w:rPr>
        <w:t>a</w:t>
      </w:r>
      <w:r w:rsidR="008E640B" w:rsidRPr="00D87E68">
        <w:rPr>
          <w:rFonts w:ascii="Garamond" w:eastAsia="Century Gothic" w:hAnsi="Garamond" w:cs="Arial"/>
          <w:spacing w:val="1"/>
        </w:rPr>
        <w:t>r</w:t>
      </w:r>
      <w:r w:rsidR="008E640B" w:rsidRPr="00D87E68">
        <w:rPr>
          <w:rFonts w:ascii="Garamond" w:eastAsia="Century Gothic" w:hAnsi="Garamond" w:cs="Arial"/>
          <w:spacing w:val="-4"/>
        </w:rPr>
        <w:t>a</w:t>
      </w:r>
      <w:r w:rsidR="008E640B" w:rsidRPr="00D87E68">
        <w:rPr>
          <w:rFonts w:ascii="Garamond" w:eastAsia="Century Gothic" w:hAnsi="Garamond" w:cs="Arial"/>
          <w:spacing w:val="2"/>
        </w:rPr>
        <w:t>m</w:t>
      </w:r>
      <w:r w:rsidR="008E640B" w:rsidRPr="00D87E68">
        <w:rPr>
          <w:rFonts w:ascii="Garamond" w:eastAsia="Century Gothic" w:hAnsi="Garamond" w:cs="Arial"/>
          <w:spacing w:val="-7"/>
        </w:rPr>
        <w:t>e</w:t>
      </w:r>
      <w:r w:rsidR="008E640B" w:rsidRPr="00D87E68">
        <w:rPr>
          <w:rFonts w:ascii="Garamond" w:eastAsia="Century Gothic" w:hAnsi="Garamond" w:cs="Arial"/>
          <w:spacing w:val="1"/>
        </w:rPr>
        <w:t>n</w:t>
      </w:r>
      <w:r w:rsidR="008E640B" w:rsidRPr="00D87E68">
        <w:rPr>
          <w:rFonts w:ascii="Garamond" w:eastAsia="Century Gothic" w:hAnsi="Garamond" w:cs="Arial"/>
          <w:spacing w:val="-2"/>
        </w:rPr>
        <w:t>t</w:t>
      </w:r>
      <w:r w:rsidR="008E640B" w:rsidRPr="00D87E68">
        <w:rPr>
          <w:rFonts w:ascii="Garamond" w:eastAsia="Century Gothic" w:hAnsi="Garamond" w:cs="Arial"/>
        </w:rPr>
        <w:t>e</w:t>
      </w:r>
      <w:r w:rsidRPr="00D87E68">
        <w:rPr>
          <w:rFonts w:ascii="Garamond" w:eastAsia="Century Gothic" w:hAnsi="Garamond" w:cs="Arial"/>
        </w:rPr>
        <w:t>,</w:t>
      </w:r>
      <w:r w:rsidR="008E640B" w:rsidRPr="00D87E68">
        <w:rPr>
          <w:rFonts w:ascii="Garamond" w:eastAsia="Century Gothic" w:hAnsi="Garamond" w:cs="Arial"/>
          <w:spacing w:val="33"/>
        </w:rPr>
        <w:t xml:space="preserve"> </w:t>
      </w:r>
      <w:r w:rsidR="00852CA5" w:rsidRPr="00D87E68">
        <w:rPr>
          <w:rFonts w:ascii="Garamond" w:eastAsia="Century Gothic" w:hAnsi="Garamond" w:cs="Arial"/>
          <w:spacing w:val="33"/>
        </w:rPr>
        <w:t xml:space="preserve">uma </w:t>
      </w:r>
      <w:r w:rsidR="00152A44" w:rsidRPr="00D87E68">
        <w:rPr>
          <w:rFonts w:ascii="Garamond" w:eastAsia="Century Gothic" w:hAnsi="Garamond" w:cs="Arial"/>
          <w:spacing w:val="1"/>
        </w:rPr>
        <w:t>relação</w:t>
      </w:r>
      <w:r w:rsidR="00852CA5" w:rsidRPr="00D87E68">
        <w:rPr>
          <w:rFonts w:ascii="Garamond" w:eastAsia="Century Gothic" w:hAnsi="Garamond" w:cs="Arial"/>
          <w:spacing w:val="1"/>
        </w:rPr>
        <w:t xml:space="preserve"> de </w:t>
      </w:r>
      <w:r w:rsidR="008E640B" w:rsidRPr="00D87E68">
        <w:rPr>
          <w:rFonts w:ascii="Garamond" w:eastAsia="Century Gothic" w:hAnsi="Garamond" w:cs="Arial"/>
          <w:spacing w:val="-4"/>
        </w:rPr>
        <w:t>a</w:t>
      </w:r>
      <w:r w:rsidR="008E640B" w:rsidRPr="00D87E68">
        <w:rPr>
          <w:rFonts w:ascii="Garamond" w:eastAsia="Century Gothic" w:hAnsi="Garamond" w:cs="Arial"/>
        </w:rPr>
        <w:t>d</w:t>
      </w:r>
      <w:r w:rsidR="008E640B" w:rsidRPr="00D87E68">
        <w:rPr>
          <w:rFonts w:ascii="Garamond" w:eastAsia="Century Gothic" w:hAnsi="Garamond" w:cs="Arial"/>
          <w:spacing w:val="-3"/>
        </w:rPr>
        <w:t>u</w:t>
      </w:r>
      <w:r w:rsidR="008E640B" w:rsidRPr="00D87E68">
        <w:rPr>
          <w:rFonts w:ascii="Garamond" w:eastAsia="Century Gothic" w:hAnsi="Garamond" w:cs="Arial"/>
          <w:spacing w:val="2"/>
        </w:rPr>
        <w:t>l</w:t>
      </w:r>
      <w:r w:rsidR="008E640B" w:rsidRPr="00D87E68">
        <w:rPr>
          <w:rFonts w:ascii="Garamond" w:eastAsia="Century Gothic" w:hAnsi="Garamond" w:cs="Arial"/>
          <w:spacing w:val="-2"/>
        </w:rPr>
        <w:t>t</w:t>
      </w:r>
      <w:r w:rsidR="00852CA5" w:rsidRPr="00D87E68">
        <w:rPr>
          <w:rFonts w:ascii="Garamond" w:eastAsia="Century Gothic" w:hAnsi="Garamond" w:cs="Arial"/>
          <w:spacing w:val="-2"/>
        </w:rPr>
        <w:t xml:space="preserve">ério, </w:t>
      </w:r>
      <w:r w:rsidR="008E640B" w:rsidRPr="00D87E68">
        <w:rPr>
          <w:rFonts w:ascii="Garamond" w:eastAsia="Century Gothic" w:hAnsi="Garamond" w:cs="Arial"/>
          <w:spacing w:val="-4"/>
        </w:rPr>
        <w:t>p</w:t>
      </w:r>
      <w:r w:rsidR="008E640B" w:rsidRPr="00D87E68">
        <w:rPr>
          <w:rFonts w:ascii="Garamond" w:eastAsia="Century Gothic" w:hAnsi="Garamond" w:cs="Arial"/>
          <w:spacing w:val="2"/>
        </w:rPr>
        <w:t>o</w:t>
      </w:r>
      <w:r w:rsidR="008E640B" w:rsidRPr="00D87E68">
        <w:rPr>
          <w:rFonts w:ascii="Garamond" w:eastAsia="Century Gothic" w:hAnsi="Garamond" w:cs="Arial"/>
        </w:rPr>
        <w:t>r</w:t>
      </w:r>
      <w:r w:rsidR="008E640B" w:rsidRPr="00D87E68">
        <w:rPr>
          <w:rFonts w:ascii="Garamond" w:eastAsia="Century Gothic" w:hAnsi="Garamond" w:cs="Arial"/>
          <w:spacing w:val="36"/>
        </w:rPr>
        <w:t xml:space="preserve"> </w:t>
      </w:r>
      <w:r w:rsidR="00B91ED4" w:rsidRPr="00D87E68">
        <w:rPr>
          <w:rFonts w:ascii="Garamond" w:eastAsia="Century Gothic" w:hAnsi="Garamond" w:cs="Arial"/>
          <w:spacing w:val="36"/>
        </w:rPr>
        <w:t xml:space="preserve">conseguinte, </w:t>
      </w:r>
      <w:r w:rsidR="008E640B" w:rsidRPr="00D87E68">
        <w:rPr>
          <w:rFonts w:ascii="Garamond" w:eastAsia="Century Gothic" w:hAnsi="Garamond" w:cs="Arial"/>
          <w:spacing w:val="2"/>
        </w:rPr>
        <w:t>il</w:t>
      </w:r>
      <w:r w:rsidR="008E640B" w:rsidRPr="00D87E68">
        <w:rPr>
          <w:rFonts w:ascii="Garamond" w:eastAsia="Century Gothic" w:hAnsi="Garamond" w:cs="Arial"/>
          <w:spacing w:val="-2"/>
        </w:rPr>
        <w:t>eg</w:t>
      </w:r>
      <w:r w:rsidR="008E640B" w:rsidRPr="00D87E68">
        <w:rPr>
          <w:rFonts w:ascii="Garamond" w:eastAsia="Century Gothic" w:hAnsi="Garamond" w:cs="Arial"/>
          <w:spacing w:val="-4"/>
        </w:rPr>
        <w:t>a</w:t>
      </w:r>
      <w:r w:rsidR="008E640B" w:rsidRPr="00D87E68">
        <w:rPr>
          <w:rFonts w:ascii="Garamond" w:eastAsia="Century Gothic" w:hAnsi="Garamond" w:cs="Arial"/>
          <w:spacing w:val="-3"/>
        </w:rPr>
        <w:t>l</w:t>
      </w:r>
      <w:r w:rsidR="008E640B" w:rsidRPr="00D87E68">
        <w:rPr>
          <w:rFonts w:ascii="Garamond" w:eastAsia="Century Gothic" w:hAnsi="Garamond" w:cs="Arial"/>
          <w:spacing w:val="13"/>
        </w:rPr>
        <w:t>.</w:t>
      </w:r>
      <w:r w:rsidRPr="00D87E68">
        <w:rPr>
          <w:rFonts w:ascii="Garamond" w:eastAsia="Century Gothic" w:hAnsi="Garamond" w:cs="Arial"/>
          <w:spacing w:val="13"/>
        </w:rPr>
        <w:t>»</w:t>
      </w:r>
      <w:r w:rsidR="008E640B" w:rsidRPr="00D87E68">
        <w:rPr>
          <w:rFonts w:ascii="Garamond" w:eastAsia="Century Gothic" w:hAnsi="Garamond" w:cs="Arial"/>
          <w:spacing w:val="-2"/>
        </w:rPr>
        <w:t xml:space="preserve"> </w:t>
      </w:r>
    </w:p>
    <w:p w:rsidR="008E640B" w:rsidRPr="003A1174" w:rsidRDefault="008E640B" w:rsidP="00852CA5">
      <w:pPr>
        <w:spacing w:before="240" w:line="240" w:lineRule="auto"/>
        <w:jc w:val="both"/>
        <w:rPr>
          <w:rFonts w:ascii="Garamond" w:hAnsi="Garamond" w:cs="Arial"/>
          <w:spacing w:val="48"/>
          <w:sz w:val="24"/>
          <w:szCs w:val="24"/>
        </w:rPr>
      </w:pPr>
      <w:r w:rsidRPr="003A1174">
        <w:rPr>
          <w:rFonts w:ascii="Garamond" w:eastAsia="Century Gothic" w:hAnsi="Garamond" w:cs="Arial"/>
          <w:spacing w:val="-2"/>
          <w:sz w:val="24"/>
          <w:szCs w:val="24"/>
        </w:rPr>
        <w:t>Co</w:t>
      </w:r>
      <w:r w:rsidR="00B91ED4" w:rsidRPr="003A1174">
        <w:rPr>
          <w:rFonts w:ascii="Garamond" w:eastAsia="Century Gothic" w:hAnsi="Garamond" w:cs="Arial"/>
          <w:spacing w:val="-2"/>
          <w:sz w:val="24"/>
          <w:szCs w:val="24"/>
        </w:rPr>
        <w:t xml:space="preserve">m estas </w:t>
      </w:r>
      <w:r w:rsidR="00FC1F7F" w:rsidRPr="003A1174">
        <w:rPr>
          <w:rFonts w:ascii="Garamond" w:eastAsia="Century Gothic" w:hAnsi="Garamond" w:cs="Arial"/>
          <w:spacing w:val="-2"/>
          <w:sz w:val="24"/>
          <w:szCs w:val="24"/>
        </w:rPr>
        <w:t>sentença</w:t>
      </w:r>
      <w:r w:rsidRPr="003A1174">
        <w:rPr>
          <w:rFonts w:ascii="Garamond" w:eastAsia="Century Gothic" w:hAnsi="Garamond" w:cs="Arial"/>
          <w:spacing w:val="-2"/>
          <w:sz w:val="24"/>
          <w:szCs w:val="24"/>
        </w:rPr>
        <w:t>s como base, justific</w:t>
      </w:r>
      <w:r w:rsidR="00B91ED4" w:rsidRPr="003A1174">
        <w:rPr>
          <w:rFonts w:ascii="Garamond" w:eastAsia="Century Gothic" w:hAnsi="Garamond" w:cs="Arial"/>
          <w:spacing w:val="-2"/>
          <w:sz w:val="24"/>
          <w:szCs w:val="24"/>
        </w:rPr>
        <w:t xml:space="preserve">ou-se </w:t>
      </w:r>
      <w:r w:rsidRPr="003A1174">
        <w:rPr>
          <w:rFonts w:ascii="Garamond" w:eastAsia="Century Gothic" w:hAnsi="Garamond" w:cs="Arial"/>
          <w:spacing w:val="-2"/>
          <w:sz w:val="24"/>
          <w:szCs w:val="24"/>
        </w:rPr>
        <w:t xml:space="preserve">a </w:t>
      </w:r>
      <w:r w:rsidR="007A2492" w:rsidRPr="003A1174">
        <w:rPr>
          <w:rFonts w:ascii="Garamond" w:eastAsia="Century Gothic" w:hAnsi="Garamond" w:cs="Arial"/>
          <w:spacing w:val="-2"/>
          <w:sz w:val="24"/>
          <w:szCs w:val="24"/>
        </w:rPr>
        <w:t>aprovação</w:t>
      </w:r>
      <w:r w:rsidRPr="003A1174">
        <w:rPr>
          <w:rFonts w:ascii="Garamond" w:eastAsia="Century Gothic" w:hAnsi="Garamond" w:cs="Arial"/>
          <w:spacing w:val="-2"/>
          <w:sz w:val="24"/>
          <w:szCs w:val="24"/>
        </w:rPr>
        <w:t xml:space="preserve"> </w:t>
      </w:r>
      <w:r w:rsidR="00B91ED4" w:rsidRPr="003A1174">
        <w:rPr>
          <w:rFonts w:ascii="Garamond" w:eastAsia="Century Gothic" w:hAnsi="Garamond" w:cs="Arial"/>
          <w:spacing w:val="-2"/>
          <w:sz w:val="24"/>
          <w:szCs w:val="24"/>
        </w:rPr>
        <w:t xml:space="preserve">à </w:t>
      </w:r>
      <w:r w:rsidR="00455D57" w:rsidRPr="003A1174">
        <w:rPr>
          <w:rFonts w:ascii="Garamond" w:eastAsia="Century Gothic" w:hAnsi="Garamond" w:cs="Arial"/>
          <w:spacing w:val="-2"/>
          <w:sz w:val="24"/>
          <w:szCs w:val="24"/>
        </w:rPr>
        <w:t>emenda</w:t>
      </w:r>
      <w:r w:rsidRPr="003A1174">
        <w:rPr>
          <w:rFonts w:ascii="Garamond" w:eastAsia="Century Gothic" w:hAnsi="Garamond" w:cs="Arial"/>
          <w:spacing w:val="-2"/>
          <w:sz w:val="24"/>
          <w:szCs w:val="24"/>
        </w:rPr>
        <w:t xml:space="preserve"> </w:t>
      </w:r>
      <w:r w:rsidR="00B91ED4" w:rsidRPr="003A1174">
        <w:rPr>
          <w:rFonts w:ascii="Garamond" w:eastAsia="Century Gothic" w:hAnsi="Garamond" w:cs="Arial"/>
          <w:spacing w:val="-2"/>
          <w:sz w:val="24"/>
          <w:szCs w:val="24"/>
        </w:rPr>
        <w:t xml:space="preserve">à </w:t>
      </w:r>
      <w:r w:rsidR="00D15AFF" w:rsidRPr="003A1174">
        <w:rPr>
          <w:rFonts w:ascii="Garamond" w:eastAsia="Century Gothic" w:hAnsi="Garamond" w:cs="Arial"/>
          <w:spacing w:val="-2"/>
          <w:sz w:val="24"/>
          <w:szCs w:val="24"/>
        </w:rPr>
        <w:t>Lei</w:t>
      </w:r>
      <w:r w:rsidRPr="003A1174">
        <w:rPr>
          <w:rFonts w:ascii="Garamond" w:eastAsia="Century Gothic" w:hAnsi="Garamond" w:cs="Arial"/>
          <w:spacing w:val="-2"/>
          <w:sz w:val="24"/>
          <w:szCs w:val="24"/>
        </w:rPr>
        <w:t xml:space="preserve"> 54 </w:t>
      </w:r>
      <w:r w:rsidR="00B91ED4" w:rsidRPr="003A1174">
        <w:rPr>
          <w:rFonts w:ascii="Garamond" w:eastAsia="Century Gothic" w:hAnsi="Garamond" w:cs="Arial"/>
          <w:spacing w:val="-2"/>
          <w:sz w:val="24"/>
          <w:szCs w:val="24"/>
        </w:rPr>
        <w:t xml:space="preserve">já </w:t>
      </w:r>
      <w:r w:rsidRPr="003A1174">
        <w:rPr>
          <w:rFonts w:ascii="Garamond" w:eastAsia="Century Gothic" w:hAnsi="Garamond" w:cs="Arial"/>
          <w:spacing w:val="-2"/>
          <w:sz w:val="24"/>
          <w:szCs w:val="24"/>
        </w:rPr>
        <w:t xml:space="preserve">discutida, </w:t>
      </w:r>
      <w:r w:rsidR="009A0CC2" w:rsidRPr="003A1174">
        <w:rPr>
          <w:rFonts w:ascii="Garamond" w:eastAsia="Century Gothic" w:hAnsi="Garamond" w:cs="Arial"/>
          <w:spacing w:val="-2"/>
          <w:sz w:val="24"/>
          <w:szCs w:val="24"/>
        </w:rPr>
        <w:t>através</w:t>
      </w:r>
      <w:r w:rsidRPr="003A1174">
        <w:rPr>
          <w:rFonts w:ascii="Garamond" w:eastAsia="Century Gothic" w:hAnsi="Garamond" w:cs="Arial"/>
          <w:spacing w:val="-2"/>
          <w:sz w:val="24"/>
          <w:szCs w:val="24"/>
        </w:rPr>
        <w:t xml:space="preserve"> da </w:t>
      </w:r>
      <w:r w:rsidR="00D15AFF" w:rsidRPr="003A1174">
        <w:rPr>
          <w:rFonts w:ascii="Garamond" w:eastAsia="Century Gothic" w:hAnsi="Garamond" w:cs="Arial"/>
          <w:spacing w:val="-2"/>
          <w:sz w:val="24"/>
          <w:szCs w:val="24"/>
        </w:rPr>
        <w:t>Lei</w:t>
      </w:r>
      <w:r w:rsidRPr="003A1174">
        <w:rPr>
          <w:rFonts w:ascii="Garamond" w:eastAsia="Century Gothic" w:hAnsi="Garamond" w:cs="Arial"/>
          <w:spacing w:val="-2"/>
          <w:sz w:val="24"/>
          <w:szCs w:val="24"/>
        </w:rPr>
        <w:t xml:space="preserve"> 23</w:t>
      </w:r>
      <w:r w:rsidR="00D87E68">
        <w:rPr>
          <w:rFonts w:ascii="Garamond" w:eastAsia="Century Gothic" w:hAnsi="Garamond" w:cs="Arial"/>
          <w:spacing w:val="-2"/>
          <w:sz w:val="24"/>
          <w:szCs w:val="24"/>
        </w:rPr>
        <w:t>,</w:t>
      </w:r>
      <w:r w:rsidRPr="003A1174">
        <w:rPr>
          <w:rFonts w:ascii="Garamond" w:eastAsia="Century Gothic" w:hAnsi="Garamond" w:cs="Arial"/>
          <w:spacing w:val="-2"/>
          <w:sz w:val="24"/>
          <w:szCs w:val="24"/>
        </w:rPr>
        <w:t xml:space="preserve"> de 2013</w:t>
      </w:r>
      <w:r w:rsidR="00D71B87" w:rsidRPr="003A1174">
        <w:rPr>
          <w:rFonts w:ascii="Garamond" w:eastAsia="Century Gothic" w:hAnsi="Garamond" w:cs="Arial"/>
          <w:spacing w:val="-2"/>
          <w:sz w:val="24"/>
          <w:szCs w:val="24"/>
        </w:rPr>
        <w:t>,</w:t>
      </w:r>
      <w:r w:rsidRPr="003A1174">
        <w:rPr>
          <w:rFonts w:ascii="Garamond" w:eastAsia="Century Gothic" w:hAnsi="Garamond" w:cs="Arial"/>
          <w:spacing w:val="-2"/>
          <w:sz w:val="24"/>
          <w:szCs w:val="24"/>
        </w:rPr>
        <w:t xml:space="preserve"> </w:t>
      </w:r>
      <w:r w:rsidR="00B91ED4" w:rsidRPr="003A1174">
        <w:rPr>
          <w:rFonts w:ascii="Garamond" w:eastAsia="Century Gothic" w:hAnsi="Garamond" w:cs="Arial"/>
          <w:spacing w:val="-2"/>
          <w:sz w:val="24"/>
          <w:szCs w:val="24"/>
        </w:rPr>
        <w:t>na q</w:t>
      </w:r>
      <w:r w:rsidRPr="003A1174">
        <w:rPr>
          <w:rFonts w:ascii="Garamond" w:eastAsia="Century Gothic" w:hAnsi="Garamond" w:cs="Arial"/>
          <w:spacing w:val="-2"/>
          <w:sz w:val="24"/>
          <w:szCs w:val="24"/>
        </w:rPr>
        <w:t xml:space="preserve">ual se </w:t>
      </w:r>
      <w:r w:rsidRPr="003A1174">
        <w:rPr>
          <w:rFonts w:ascii="Garamond" w:hAnsi="Garamond" w:cs="Arial"/>
          <w:spacing w:val="1"/>
          <w:sz w:val="24"/>
          <w:szCs w:val="24"/>
        </w:rPr>
        <w:t>p</w:t>
      </w:r>
      <w:r w:rsidRPr="003A1174">
        <w:rPr>
          <w:rFonts w:ascii="Garamond" w:hAnsi="Garamond" w:cs="Arial"/>
          <w:spacing w:val="-3"/>
          <w:sz w:val="24"/>
          <w:szCs w:val="24"/>
        </w:rPr>
        <w:t>r</w:t>
      </w:r>
      <w:r w:rsidRPr="003A1174">
        <w:rPr>
          <w:rFonts w:ascii="Garamond" w:hAnsi="Garamond" w:cs="Arial"/>
          <w:spacing w:val="2"/>
          <w:sz w:val="24"/>
          <w:szCs w:val="24"/>
        </w:rPr>
        <w:t>o</w:t>
      </w:r>
      <w:r w:rsidRPr="003A1174">
        <w:rPr>
          <w:rFonts w:ascii="Garamond" w:hAnsi="Garamond" w:cs="Arial"/>
          <w:spacing w:val="-2"/>
          <w:sz w:val="24"/>
          <w:szCs w:val="24"/>
        </w:rPr>
        <w:t>tege</w:t>
      </w:r>
      <w:r w:rsidR="00B55F67" w:rsidRPr="003A1174">
        <w:rPr>
          <w:rFonts w:ascii="Garamond" w:hAnsi="Garamond" w:cs="Arial"/>
          <w:spacing w:val="-2"/>
          <w:sz w:val="24"/>
          <w:szCs w:val="24"/>
        </w:rPr>
        <w:t>m,</w:t>
      </w:r>
      <w:r w:rsidRPr="003A1174">
        <w:rPr>
          <w:rFonts w:ascii="Garamond" w:hAnsi="Garamond" w:cs="Arial"/>
          <w:spacing w:val="3"/>
          <w:sz w:val="24"/>
          <w:szCs w:val="24"/>
        </w:rPr>
        <w:t xml:space="preserve"> </w:t>
      </w:r>
      <w:r w:rsidR="00B91ED4" w:rsidRPr="003A1174">
        <w:rPr>
          <w:rFonts w:ascii="Garamond" w:hAnsi="Garamond" w:cs="Arial"/>
          <w:spacing w:val="3"/>
          <w:sz w:val="24"/>
          <w:szCs w:val="24"/>
        </w:rPr>
        <w:t xml:space="preserve">ao abrigo da </w:t>
      </w:r>
      <w:r w:rsidR="00D15AFF" w:rsidRPr="003A1174">
        <w:rPr>
          <w:rFonts w:ascii="Garamond" w:hAnsi="Garamond" w:cs="Arial"/>
          <w:spacing w:val="-2"/>
          <w:sz w:val="24"/>
          <w:szCs w:val="24"/>
        </w:rPr>
        <w:t>Lei</w:t>
      </w:r>
      <w:r w:rsidRPr="003A1174">
        <w:rPr>
          <w:rFonts w:ascii="Garamond" w:hAnsi="Garamond" w:cs="Arial"/>
          <w:sz w:val="24"/>
          <w:szCs w:val="24"/>
        </w:rPr>
        <w:t xml:space="preserve"> </w:t>
      </w:r>
      <w:r w:rsidRPr="003A1174">
        <w:rPr>
          <w:rFonts w:ascii="Garamond" w:hAnsi="Garamond" w:cs="Arial"/>
          <w:spacing w:val="-2"/>
          <w:sz w:val="24"/>
          <w:szCs w:val="24"/>
        </w:rPr>
        <w:t>5</w:t>
      </w:r>
      <w:r w:rsidRPr="003A1174">
        <w:rPr>
          <w:rFonts w:ascii="Garamond" w:hAnsi="Garamond" w:cs="Arial"/>
          <w:sz w:val="24"/>
          <w:szCs w:val="24"/>
        </w:rPr>
        <w:t>4</w:t>
      </w:r>
      <w:r w:rsidR="00B55F67" w:rsidRPr="003A1174">
        <w:rPr>
          <w:rFonts w:ascii="Garamond" w:hAnsi="Garamond" w:cs="Arial"/>
          <w:sz w:val="24"/>
          <w:szCs w:val="24"/>
        </w:rPr>
        <w:t>,</w:t>
      </w:r>
      <w:r w:rsidRPr="003A1174">
        <w:rPr>
          <w:rFonts w:ascii="Garamond" w:hAnsi="Garamond" w:cs="Arial"/>
          <w:spacing w:val="5"/>
          <w:sz w:val="24"/>
          <w:szCs w:val="24"/>
        </w:rPr>
        <w:t xml:space="preserve"> </w:t>
      </w:r>
      <w:r w:rsidRPr="003A1174">
        <w:rPr>
          <w:rFonts w:ascii="Garamond" w:hAnsi="Garamond" w:cs="Arial"/>
          <w:spacing w:val="-6"/>
          <w:sz w:val="24"/>
          <w:szCs w:val="24"/>
        </w:rPr>
        <w:t>t</w:t>
      </w:r>
      <w:r w:rsidRPr="003A1174">
        <w:rPr>
          <w:rFonts w:ascii="Garamond" w:hAnsi="Garamond" w:cs="Arial"/>
          <w:spacing w:val="2"/>
          <w:sz w:val="24"/>
          <w:szCs w:val="24"/>
        </w:rPr>
        <w:t>o</w:t>
      </w:r>
      <w:r w:rsidRPr="003A1174">
        <w:rPr>
          <w:rFonts w:ascii="Garamond" w:hAnsi="Garamond" w:cs="Arial"/>
          <w:spacing w:val="-4"/>
          <w:sz w:val="24"/>
          <w:szCs w:val="24"/>
        </w:rPr>
        <w:t>d</w:t>
      </w:r>
      <w:r w:rsidRPr="003A1174">
        <w:rPr>
          <w:rFonts w:ascii="Garamond" w:hAnsi="Garamond" w:cs="Arial"/>
          <w:sz w:val="24"/>
          <w:szCs w:val="24"/>
        </w:rPr>
        <w:t>a</w:t>
      </w:r>
      <w:r w:rsidR="00B91ED4" w:rsidRPr="003A1174">
        <w:rPr>
          <w:rFonts w:ascii="Garamond" w:hAnsi="Garamond" w:cs="Arial"/>
          <w:sz w:val="24"/>
          <w:szCs w:val="24"/>
        </w:rPr>
        <w:t>s as</w:t>
      </w:r>
      <w:r w:rsidRPr="003A1174">
        <w:rPr>
          <w:rFonts w:ascii="Garamond" w:hAnsi="Garamond" w:cs="Arial"/>
          <w:spacing w:val="3"/>
          <w:sz w:val="24"/>
          <w:szCs w:val="24"/>
        </w:rPr>
        <w:t xml:space="preserve"> </w:t>
      </w:r>
      <w:r w:rsidR="0005622E" w:rsidRPr="003A1174">
        <w:rPr>
          <w:rFonts w:ascii="Garamond" w:hAnsi="Garamond" w:cs="Arial"/>
          <w:spacing w:val="1"/>
          <w:sz w:val="24"/>
          <w:szCs w:val="24"/>
        </w:rPr>
        <w:t>pessoa</w:t>
      </w:r>
      <w:r w:rsidR="00B91ED4" w:rsidRPr="003A1174">
        <w:rPr>
          <w:rFonts w:ascii="Garamond" w:hAnsi="Garamond" w:cs="Arial"/>
          <w:spacing w:val="1"/>
          <w:sz w:val="24"/>
          <w:szCs w:val="24"/>
        </w:rPr>
        <w:t>s</w:t>
      </w:r>
      <w:r w:rsidR="00D87E68">
        <w:rPr>
          <w:rFonts w:ascii="Garamond" w:hAnsi="Garamond" w:cs="Arial"/>
          <w:spacing w:val="1"/>
          <w:sz w:val="24"/>
          <w:szCs w:val="24"/>
        </w:rPr>
        <w:t>, independentemente do</w:t>
      </w:r>
      <w:r w:rsidRPr="003A1174">
        <w:rPr>
          <w:rFonts w:ascii="Garamond" w:hAnsi="Garamond" w:cs="Arial"/>
          <w:spacing w:val="8"/>
          <w:sz w:val="24"/>
          <w:szCs w:val="24"/>
        </w:rPr>
        <w:t xml:space="preserve"> s</w:t>
      </w:r>
      <w:r w:rsidR="00B91ED4" w:rsidRPr="003A1174">
        <w:rPr>
          <w:rFonts w:ascii="Garamond" w:hAnsi="Garamond" w:cs="Arial"/>
          <w:spacing w:val="8"/>
          <w:sz w:val="24"/>
          <w:szCs w:val="24"/>
        </w:rPr>
        <w:t>e</w:t>
      </w:r>
      <w:r w:rsidRPr="003A1174">
        <w:rPr>
          <w:rFonts w:ascii="Garamond" w:hAnsi="Garamond" w:cs="Arial"/>
          <w:spacing w:val="8"/>
          <w:sz w:val="24"/>
          <w:szCs w:val="24"/>
        </w:rPr>
        <w:t xml:space="preserve">u </w:t>
      </w:r>
      <w:r w:rsidRPr="003A1174">
        <w:rPr>
          <w:rFonts w:ascii="Garamond" w:hAnsi="Garamond" w:cs="Arial"/>
          <w:spacing w:val="-2"/>
          <w:sz w:val="24"/>
          <w:szCs w:val="24"/>
        </w:rPr>
        <w:t>est</w:t>
      </w:r>
      <w:r w:rsidRPr="003A1174">
        <w:rPr>
          <w:rFonts w:ascii="Garamond" w:hAnsi="Garamond" w:cs="Arial"/>
          <w:spacing w:val="1"/>
          <w:sz w:val="24"/>
          <w:szCs w:val="24"/>
        </w:rPr>
        <w:t>a</w:t>
      </w:r>
      <w:r w:rsidRPr="003A1174">
        <w:rPr>
          <w:rFonts w:ascii="Garamond" w:hAnsi="Garamond" w:cs="Arial"/>
          <w:spacing w:val="-4"/>
          <w:sz w:val="24"/>
          <w:szCs w:val="24"/>
        </w:rPr>
        <w:t>d</w:t>
      </w:r>
      <w:r w:rsidRPr="003A1174">
        <w:rPr>
          <w:rFonts w:ascii="Garamond" w:hAnsi="Garamond" w:cs="Arial"/>
          <w:sz w:val="24"/>
          <w:szCs w:val="24"/>
        </w:rPr>
        <w:t>o</w:t>
      </w:r>
      <w:r w:rsidRPr="003A1174">
        <w:rPr>
          <w:rFonts w:ascii="Garamond" w:hAnsi="Garamond" w:cs="Arial"/>
          <w:spacing w:val="9"/>
          <w:sz w:val="24"/>
          <w:szCs w:val="24"/>
        </w:rPr>
        <w:t xml:space="preserve"> </w:t>
      </w:r>
      <w:r w:rsidRPr="003A1174">
        <w:rPr>
          <w:rFonts w:ascii="Garamond" w:hAnsi="Garamond" w:cs="Arial"/>
          <w:spacing w:val="-6"/>
          <w:sz w:val="24"/>
          <w:szCs w:val="24"/>
        </w:rPr>
        <w:t>c</w:t>
      </w:r>
      <w:r w:rsidRPr="003A1174">
        <w:rPr>
          <w:rFonts w:ascii="Garamond" w:hAnsi="Garamond" w:cs="Arial"/>
          <w:spacing w:val="-3"/>
          <w:sz w:val="24"/>
          <w:szCs w:val="24"/>
        </w:rPr>
        <w:t>i</w:t>
      </w:r>
      <w:r w:rsidRPr="003A1174">
        <w:rPr>
          <w:rFonts w:ascii="Garamond" w:hAnsi="Garamond" w:cs="Arial"/>
          <w:spacing w:val="3"/>
          <w:sz w:val="24"/>
          <w:szCs w:val="24"/>
        </w:rPr>
        <w:t>v</w:t>
      </w:r>
      <w:r w:rsidRPr="003A1174">
        <w:rPr>
          <w:rFonts w:ascii="Garamond" w:hAnsi="Garamond" w:cs="Arial"/>
          <w:spacing w:val="-3"/>
          <w:sz w:val="24"/>
          <w:szCs w:val="24"/>
        </w:rPr>
        <w:t>i</w:t>
      </w:r>
      <w:r w:rsidRPr="003A1174">
        <w:rPr>
          <w:rFonts w:ascii="Garamond" w:hAnsi="Garamond" w:cs="Arial"/>
          <w:spacing w:val="2"/>
          <w:sz w:val="24"/>
          <w:szCs w:val="24"/>
        </w:rPr>
        <w:t>l</w:t>
      </w:r>
      <w:r w:rsidRPr="003A1174">
        <w:rPr>
          <w:rFonts w:ascii="Garamond" w:hAnsi="Garamond" w:cs="Arial"/>
          <w:sz w:val="24"/>
          <w:szCs w:val="24"/>
        </w:rPr>
        <w:t>,</w:t>
      </w:r>
      <w:r w:rsidRPr="003A1174">
        <w:rPr>
          <w:rFonts w:ascii="Garamond" w:hAnsi="Garamond" w:cs="Arial"/>
          <w:spacing w:val="3"/>
          <w:sz w:val="24"/>
          <w:szCs w:val="24"/>
        </w:rPr>
        <w:t xml:space="preserve"> </w:t>
      </w:r>
      <w:r w:rsidR="00D87E68">
        <w:rPr>
          <w:rFonts w:ascii="Garamond" w:hAnsi="Garamond" w:cs="Arial"/>
          <w:spacing w:val="3"/>
          <w:sz w:val="24"/>
          <w:szCs w:val="24"/>
        </w:rPr>
        <w:t>d</w:t>
      </w:r>
      <w:r w:rsidR="00B91ED4" w:rsidRPr="003A1174">
        <w:rPr>
          <w:rFonts w:ascii="Garamond" w:hAnsi="Garamond" w:cs="Arial"/>
          <w:spacing w:val="3"/>
          <w:sz w:val="24"/>
          <w:szCs w:val="24"/>
        </w:rPr>
        <w:t xml:space="preserve">a </w:t>
      </w:r>
      <w:r w:rsidRPr="003A1174">
        <w:rPr>
          <w:rFonts w:ascii="Garamond" w:hAnsi="Garamond" w:cs="Arial"/>
          <w:spacing w:val="3"/>
          <w:sz w:val="24"/>
          <w:szCs w:val="24"/>
        </w:rPr>
        <w:t>su</w:t>
      </w:r>
      <w:r w:rsidR="00B91ED4" w:rsidRPr="003A1174">
        <w:rPr>
          <w:rFonts w:ascii="Garamond" w:hAnsi="Garamond" w:cs="Arial"/>
          <w:spacing w:val="3"/>
          <w:sz w:val="24"/>
          <w:szCs w:val="24"/>
        </w:rPr>
        <w:t>a</w:t>
      </w:r>
      <w:r w:rsidRPr="003A1174">
        <w:rPr>
          <w:rFonts w:ascii="Garamond" w:hAnsi="Garamond" w:cs="Arial"/>
          <w:spacing w:val="3"/>
          <w:sz w:val="24"/>
          <w:szCs w:val="24"/>
        </w:rPr>
        <w:t xml:space="preserve"> </w:t>
      </w:r>
      <w:r w:rsidR="00081B57" w:rsidRPr="003A1174">
        <w:rPr>
          <w:rFonts w:ascii="Garamond" w:hAnsi="Garamond" w:cs="Arial"/>
          <w:spacing w:val="-3"/>
          <w:sz w:val="24"/>
          <w:szCs w:val="24"/>
        </w:rPr>
        <w:t>orientação</w:t>
      </w:r>
      <w:r w:rsidRPr="003A1174">
        <w:rPr>
          <w:rFonts w:ascii="Garamond" w:hAnsi="Garamond" w:cs="Arial"/>
          <w:spacing w:val="8"/>
          <w:sz w:val="24"/>
          <w:szCs w:val="24"/>
        </w:rPr>
        <w:t xml:space="preserve"> </w:t>
      </w:r>
      <w:r w:rsidRPr="003A1174">
        <w:rPr>
          <w:rFonts w:ascii="Garamond" w:hAnsi="Garamond" w:cs="Arial"/>
          <w:spacing w:val="-2"/>
          <w:sz w:val="24"/>
          <w:szCs w:val="24"/>
        </w:rPr>
        <w:t>se</w:t>
      </w:r>
      <w:r w:rsidRPr="003A1174">
        <w:rPr>
          <w:rFonts w:ascii="Garamond" w:hAnsi="Garamond" w:cs="Arial"/>
          <w:spacing w:val="-1"/>
          <w:sz w:val="24"/>
          <w:szCs w:val="24"/>
        </w:rPr>
        <w:t>x</w:t>
      </w:r>
      <w:r w:rsidRPr="003A1174">
        <w:rPr>
          <w:rFonts w:ascii="Garamond" w:hAnsi="Garamond" w:cs="Arial"/>
          <w:spacing w:val="-3"/>
          <w:sz w:val="24"/>
          <w:szCs w:val="24"/>
        </w:rPr>
        <w:t>u</w:t>
      </w:r>
      <w:r w:rsidRPr="003A1174">
        <w:rPr>
          <w:rFonts w:ascii="Garamond" w:hAnsi="Garamond" w:cs="Arial"/>
          <w:spacing w:val="1"/>
          <w:sz w:val="24"/>
          <w:szCs w:val="24"/>
        </w:rPr>
        <w:t>a</w:t>
      </w:r>
      <w:r w:rsidRPr="003A1174">
        <w:rPr>
          <w:rFonts w:ascii="Garamond" w:hAnsi="Garamond" w:cs="Arial"/>
          <w:spacing w:val="2"/>
          <w:sz w:val="24"/>
          <w:szCs w:val="24"/>
        </w:rPr>
        <w:t>l</w:t>
      </w:r>
      <w:r w:rsidRPr="003A1174">
        <w:rPr>
          <w:rFonts w:ascii="Garamond" w:hAnsi="Garamond" w:cs="Arial"/>
          <w:sz w:val="24"/>
          <w:szCs w:val="24"/>
        </w:rPr>
        <w:t xml:space="preserve">, </w:t>
      </w:r>
      <w:r w:rsidR="00D87E68">
        <w:rPr>
          <w:rFonts w:ascii="Garamond" w:hAnsi="Garamond" w:cs="Arial"/>
          <w:sz w:val="24"/>
          <w:szCs w:val="24"/>
        </w:rPr>
        <w:t>d</w:t>
      </w:r>
      <w:r w:rsidR="00B91ED4" w:rsidRPr="003A1174">
        <w:rPr>
          <w:rFonts w:ascii="Garamond" w:hAnsi="Garamond" w:cs="Arial"/>
          <w:sz w:val="24"/>
          <w:szCs w:val="24"/>
        </w:rPr>
        <w:t xml:space="preserve">a </w:t>
      </w:r>
      <w:r w:rsidRPr="003A1174">
        <w:rPr>
          <w:rFonts w:ascii="Garamond" w:hAnsi="Garamond" w:cs="Arial"/>
          <w:sz w:val="24"/>
          <w:szCs w:val="24"/>
        </w:rPr>
        <w:t>su</w:t>
      </w:r>
      <w:r w:rsidR="00B91ED4" w:rsidRPr="003A1174">
        <w:rPr>
          <w:rFonts w:ascii="Garamond" w:hAnsi="Garamond" w:cs="Arial"/>
          <w:sz w:val="24"/>
          <w:szCs w:val="24"/>
        </w:rPr>
        <w:t>a</w:t>
      </w:r>
      <w:r w:rsidRPr="003A1174">
        <w:rPr>
          <w:rFonts w:ascii="Garamond" w:hAnsi="Garamond" w:cs="Arial"/>
          <w:sz w:val="24"/>
          <w:szCs w:val="24"/>
        </w:rPr>
        <w:t xml:space="preserve"> </w:t>
      </w:r>
      <w:r w:rsidR="007C44AC" w:rsidRPr="003A1174">
        <w:rPr>
          <w:rFonts w:ascii="Garamond" w:hAnsi="Garamond" w:cs="Arial"/>
          <w:spacing w:val="2"/>
          <w:sz w:val="24"/>
          <w:szCs w:val="24"/>
        </w:rPr>
        <w:t>identidade</w:t>
      </w:r>
      <w:r w:rsidRPr="003A1174">
        <w:rPr>
          <w:rFonts w:ascii="Garamond" w:hAnsi="Garamond" w:cs="Arial"/>
          <w:spacing w:val="2"/>
          <w:sz w:val="24"/>
          <w:szCs w:val="24"/>
        </w:rPr>
        <w:t xml:space="preserve"> </w:t>
      </w:r>
      <w:r w:rsidRPr="003A1174">
        <w:rPr>
          <w:rFonts w:ascii="Garamond" w:hAnsi="Garamond" w:cs="Arial"/>
          <w:sz w:val="24"/>
          <w:szCs w:val="24"/>
        </w:rPr>
        <w:t xml:space="preserve">de </w:t>
      </w:r>
      <w:r w:rsidRPr="003A1174">
        <w:rPr>
          <w:rFonts w:ascii="Garamond" w:hAnsi="Garamond" w:cs="Arial"/>
          <w:spacing w:val="-2"/>
          <w:sz w:val="24"/>
          <w:szCs w:val="24"/>
        </w:rPr>
        <w:t>g</w:t>
      </w:r>
      <w:r w:rsidRPr="003A1174">
        <w:rPr>
          <w:rFonts w:ascii="Garamond" w:hAnsi="Garamond" w:cs="Arial"/>
          <w:spacing w:val="-7"/>
          <w:sz w:val="24"/>
          <w:szCs w:val="24"/>
        </w:rPr>
        <w:t>é</w:t>
      </w:r>
      <w:r w:rsidRPr="003A1174">
        <w:rPr>
          <w:rFonts w:ascii="Garamond" w:hAnsi="Garamond" w:cs="Arial"/>
          <w:spacing w:val="1"/>
          <w:sz w:val="24"/>
          <w:szCs w:val="24"/>
        </w:rPr>
        <w:t>n</w:t>
      </w:r>
      <w:r w:rsidRPr="003A1174">
        <w:rPr>
          <w:rFonts w:ascii="Garamond" w:hAnsi="Garamond" w:cs="Arial"/>
          <w:spacing w:val="-2"/>
          <w:sz w:val="24"/>
          <w:szCs w:val="24"/>
        </w:rPr>
        <w:t>e</w:t>
      </w:r>
      <w:r w:rsidRPr="003A1174">
        <w:rPr>
          <w:rFonts w:ascii="Garamond" w:hAnsi="Garamond" w:cs="Arial"/>
          <w:spacing w:val="-3"/>
          <w:sz w:val="24"/>
          <w:szCs w:val="24"/>
        </w:rPr>
        <w:t>r</w:t>
      </w:r>
      <w:r w:rsidRPr="003A1174">
        <w:rPr>
          <w:rFonts w:ascii="Garamond" w:hAnsi="Garamond" w:cs="Arial"/>
          <w:spacing w:val="2"/>
          <w:sz w:val="24"/>
          <w:szCs w:val="24"/>
        </w:rPr>
        <w:t>o</w:t>
      </w:r>
      <w:r w:rsidRPr="003A1174">
        <w:rPr>
          <w:rFonts w:ascii="Garamond" w:hAnsi="Garamond" w:cs="Arial"/>
          <w:sz w:val="24"/>
          <w:szCs w:val="24"/>
        </w:rPr>
        <w:t>,</w:t>
      </w:r>
      <w:r w:rsidRPr="003A1174">
        <w:rPr>
          <w:rFonts w:ascii="Garamond" w:hAnsi="Garamond" w:cs="Arial"/>
          <w:spacing w:val="-1"/>
          <w:sz w:val="24"/>
          <w:szCs w:val="24"/>
        </w:rPr>
        <w:t xml:space="preserve"> </w:t>
      </w:r>
      <w:r w:rsidRPr="003A1174">
        <w:rPr>
          <w:rFonts w:ascii="Garamond" w:hAnsi="Garamond" w:cs="Arial"/>
          <w:sz w:val="24"/>
          <w:szCs w:val="24"/>
        </w:rPr>
        <w:t>o</w:t>
      </w:r>
      <w:r w:rsidR="00B91ED4" w:rsidRPr="003A1174">
        <w:rPr>
          <w:rFonts w:ascii="Garamond" w:hAnsi="Garamond" w:cs="Arial"/>
          <w:sz w:val="24"/>
          <w:szCs w:val="24"/>
        </w:rPr>
        <w:t xml:space="preserve">u </w:t>
      </w:r>
      <w:r w:rsidR="00D87E68">
        <w:rPr>
          <w:rFonts w:ascii="Garamond" w:hAnsi="Garamond" w:cs="Arial"/>
          <w:sz w:val="24"/>
          <w:szCs w:val="24"/>
        </w:rPr>
        <w:t>d</w:t>
      </w:r>
      <w:r w:rsidR="00B91ED4" w:rsidRPr="003A1174">
        <w:rPr>
          <w:rFonts w:ascii="Garamond" w:hAnsi="Garamond" w:cs="Arial"/>
          <w:sz w:val="24"/>
          <w:szCs w:val="24"/>
        </w:rPr>
        <w:t>o</w:t>
      </w:r>
      <w:r w:rsidRPr="003A1174">
        <w:rPr>
          <w:rFonts w:ascii="Garamond" w:hAnsi="Garamond" w:cs="Arial"/>
          <w:spacing w:val="4"/>
          <w:sz w:val="24"/>
          <w:szCs w:val="24"/>
        </w:rPr>
        <w:t xml:space="preserve"> s</w:t>
      </w:r>
      <w:r w:rsidR="00B91ED4" w:rsidRPr="003A1174">
        <w:rPr>
          <w:rFonts w:ascii="Garamond" w:hAnsi="Garamond" w:cs="Arial"/>
          <w:spacing w:val="4"/>
          <w:sz w:val="24"/>
          <w:szCs w:val="24"/>
        </w:rPr>
        <w:t>e</w:t>
      </w:r>
      <w:r w:rsidRPr="003A1174">
        <w:rPr>
          <w:rFonts w:ascii="Garamond" w:hAnsi="Garamond" w:cs="Arial"/>
          <w:spacing w:val="4"/>
          <w:sz w:val="24"/>
          <w:szCs w:val="24"/>
        </w:rPr>
        <w:t xml:space="preserve">u </w:t>
      </w:r>
      <w:r w:rsidRPr="003A1174">
        <w:rPr>
          <w:rFonts w:ascii="Garamond" w:hAnsi="Garamond" w:cs="Arial"/>
          <w:i/>
          <w:spacing w:val="-2"/>
          <w:sz w:val="24"/>
          <w:szCs w:val="24"/>
        </w:rPr>
        <w:t>st</w:t>
      </w:r>
      <w:r w:rsidRPr="003A1174">
        <w:rPr>
          <w:rFonts w:ascii="Garamond" w:hAnsi="Garamond" w:cs="Arial"/>
          <w:i/>
          <w:spacing w:val="1"/>
          <w:sz w:val="24"/>
          <w:szCs w:val="24"/>
        </w:rPr>
        <w:t>a</w:t>
      </w:r>
      <w:r w:rsidRPr="003A1174">
        <w:rPr>
          <w:rFonts w:ascii="Garamond" w:hAnsi="Garamond" w:cs="Arial"/>
          <w:i/>
          <w:spacing w:val="-6"/>
          <w:sz w:val="24"/>
          <w:szCs w:val="24"/>
        </w:rPr>
        <w:t>t</w:t>
      </w:r>
      <w:r w:rsidRPr="003A1174">
        <w:rPr>
          <w:rFonts w:ascii="Garamond" w:hAnsi="Garamond" w:cs="Arial"/>
          <w:i/>
          <w:spacing w:val="2"/>
          <w:sz w:val="24"/>
          <w:szCs w:val="24"/>
        </w:rPr>
        <w:t>u</w:t>
      </w:r>
      <w:r w:rsidRPr="003A1174">
        <w:rPr>
          <w:rFonts w:ascii="Garamond" w:hAnsi="Garamond" w:cs="Arial"/>
          <w:i/>
          <w:sz w:val="24"/>
          <w:szCs w:val="24"/>
        </w:rPr>
        <w:t>s</w:t>
      </w:r>
      <w:r w:rsidRPr="003A1174">
        <w:rPr>
          <w:rFonts w:ascii="Garamond" w:hAnsi="Garamond" w:cs="Arial"/>
          <w:sz w:val="24"/>
          <w:szCs w:val="24"/>
        </w:rPr>
        <w:t xml:space="preserve"> </w:t>
      </w:r>
      <w:r w:rsidR="00B91ED4" w:rsidRPr="003A1174">
        <w:rPr>
          <w:rFonts w:ascii="Garamond" w:hAnsi="Garamond" w:cs="Arial"/>
          <w:spacing w:val="-2"/>
          <w:sz w:val="24"/>
          <w:szCs w:val="24"/>
        </w:rPr>
        <w:t>migratóri</w:t>
      </w:r>
      <w:r w:rsidRPr="003A1174">
        <w:rPr>
          <w:rFonts w:ascii="Garamond" w:hAnsi="Garamond" w:cs="Arial"/>
          <w:spacing w:val="2"/>
          <w:sz w:val="24"/>
          <w:szCs w:val="24"/>
        </w:rPr>
        <w:t>o</w:t>
      </w:r>
      <w:r w:rsidRPr="003A1174">
        <w:rPr>
          <w:rFonts w:ascii="Garamond" w:hAnsi="Garamond" w:cs="Arial"/>
          <w:sz w:val="24"/>
          <w:szCs w:val="24"/>
        </w:rPr>
        <w:t xml:space="preserve">. </w:t>
      </w:r>
      <w:r w:rsidRPr="003A1174">
        <w:rPr>
          <w:rFonts w:ascii="Garamond" w:hAnsi="Garamond" w:cs="Arial"/>
          <w:spacing w:val="1"/>
          <w:sz w:val="24"/>
          <w:szCs w:val="24"/>
        </w:rPr>
        <w:t xml:space="preserve">Por </w:t>
      </w:r>
      <w:r w:rsidR="00B91ED4" w:rsidRPr="003A1174">
        <w:rPr>
          <w:rFonts w:ascii="Garamond" w:hAnsi="Garamond" w:cs="Arial"/>
          <w:spacing w:val="1"/>
          <w:sz w:val="24"/>
          <w:szCs w:val="24"/>
        </w:rPr>
        <w:t xml:space="preserve">isso, hoje em dia, </w:t>
      </w:r>
      <w:r w:rsidRPr="003A1174">
        <w:rPr>
          <w:rFonts w:ascii="Garamond" w:hAnsi="Garamond" w:cs="Arial"/>
          <w:sz w:val="24"/>
          <w:szCs w:val="24"/>
        </w:rPr>
        <w:t>a</w:t>
      </w:r>
      <w:r w:rsidRPr="003A1174">
        <w:rPr>
          <w:rFonts w:ascii="Garamond" w:hAnsi="Garamond" w:cs="Arial"/>
          <w:spacing w:val="12"/>
          <w:sz w:val="24"/>
          <w:szCs w:val="24"/>
        </w:rPr>
        <w:t xml:space="preserve"> </w:t>
      </w:r>
      <w:r w:rsidR="001F2F8B" w:rsidRPr="003A1174">
        <w:rPr>
          <w:rFonts w:ascii="Garamond" w:hAnsi="Garamond" w:cs="Arial"/>
          <w:spacing w:val="-4"/>
          <w:sz w:val="24"/>
          <w:szCs w:val="24"/>
        </w:rPr>
        <w:t>aplicabilidade</w:t>
      </w:r>
      <w:r w:rsidRPr="003A1174">
        <w:rPr>
          <w:rFonts w:ascii="Garamond" w:hAnsi="Garamond" w:cs="Arial"/>
          <w:spacing w:val="12"/>
          <w:sz w:val="24"/>
          <w:szCs w:val="24"/>
        </w:rPr>
        <w:t xml:space="preserve"> </w:t>
      </w:r>
      <w:r w:rsidR="00B91ED4" w:rsidRPr="003A1174">
        <w:rPr>
          <w:rFonts w:ascii="Garamond" w:hAnsi="Garamond" w:cs="Arial"/>
          <w:sz w:val="24"/>
          <w:szCs w:val="24"/>
        </w:rPr>
        <w:t>d</w:t>
      </w:r>
      <w:r w:rsidRPr="003A1174">
        <w:rPr>
          <w:rFonts w:ascii="Garamond" w:hAnsi="Garamond" w:cs="Arial"/>
          <w:sz w:val="24"/>
          <w:szCs w:val="24"/>
        </w:rPr>
        <w:t>a</w:t>
      </w:r>
      <w:r w:rsidRPr="003A1174">
        <w:rPr>
          <w:rFonts w:ascii="Garamond" w:hAnsi="Garamond" w:cs="Arial"/>
          <w:spacing w:val="12"/>
          <w:sz w:val="24"/>
          <w:szCs w:val="24"/>
        </w:rPr>
        <w:t xml:space="preserve"> </w:t>
      </w:r>
      <w:r w:rsidR="00D15AFF" w:rsidRPr="003A1174">
        <w:rPr>
          <w:rFonts w:ascii="Garamond" w:hAnsi="Garamond" w:cs="Arial"/>
          <w:spacing w:val="-2"/>
          <w:sz w:val="24"/>
          <w:szCs w:val="24"/>
        </w:rPr>
        <w:t>Lei</w:t>
      </w:r>
      <w:r w:rsidRPr="003A1174">
        <w:rPr>
          <w:rFonts w:ascii="Garamond" w:hAnsi="Garamond" w:cs="Arial"/>
          <w:spacing w:val="9"/>
          <w:sz w:val="24"/>
          <w:szCs w:val="24"/>
        </w:rPr>
        <w:t xml:space="preserve"> </w:t>
      </w:r>
      <w:r w:rsidRPr="003A1174">
        <w:rPr>
          <w:rFonts w:ascii="Garamond" w:hAnsi="Garamond" w:cs="Arial"/>
          <w:spacing w:val="-2"/>
          <w:sz w:val="24"/>
          <w:szCs w:val="24"/>
        </w:rPr>
        <w:t>5</w:t>
      </w:r>
      <w:r w:rsidRPr="003A1174">
        <w:rPr>
          <w:rFonts w:ascii="Garamond" w:hAnsi="Garamond" w:cs="Arial"/>
          <w:sz w:val="24"/>
          <w:szCs w:val="24"/>
        </w:rPr>
        <w:t>4</w:t>
      </w:r>
      <w:r w:rsidRPr="003A1174">
        <w:rPr>
          <w:rFonts w:ascii="Garamond" w:hAnsi="Garamond" w:cs="Arial"/>
          <w:spacing w:val="47"/>
          <w:sz w:val="24"/>
          <w:szCs w:val="24"/>
        </w:rPr>
        <w:t xml:space="preserve"> </w:t>
      </w:r>
      <w:r w:rsidR="00B91ED4" w:rsidRPr="003A1174">
        <w:rPr>
          <w:rFonts w:ascii="Garamond" w:hAnsi="Garamond" w:cs="Arial"/>
          <w:spacing w:val="47"/>
          <w:sz w:val="24"/>
          <w:szCs w:val="24"/>
        </w:rPr>
        <w:t xml:space="preserve">é </w:t>
      </w:r>
      <w:r w:rsidRPr="003A1174">
        <w:rPr>
          <w:rFonts w:ascii="Garamond" w:hAnsi="Garamond" w:cs="Arial"/>
          <w:spacing w:val="-4"/>
          <w:sz w:val="24"/>
          <w:szCs w:val="24"/>
        </w:rPr>
        <w:t>p</w:t>
      </w:r>
      <w:r w:rsidRPr="003A1174">
        <w:rPr>
          <w:rFonts w:ascii="Garamond" w:hAnsi="Garamond" w:cs="Arial"/>
          <w:spacing w:val="1"/>
          <w:sz w:val="24"/>
          <w:szCs w:val="24"/>
        </w:rPr>
        <w:t>a</w:t>
      </w:r>
      <w:r w:rsidRPr="003A1174">
        <w:rPr>
          <w:rFonts w:ascii="Garamond" w:hAnsi="Garamond" w:cs="Arial"/>
          <w:spacing w:val="-4"/>
          <w:sz w:val="24"/>
          <w:szCs w:val="24"/>
        </w:rPr>
        <w:t>r</w:t>
      </w:r>
      <w:r w:rsidRPr="003A1174">
        <w:rPr>
          <w:rFonts w:ascii="Garamond" w:hAnsi="Garamond" w:cs="Arial"/>
          <w:sz w:val="24"/>
          <w:szCs w:val="24"/>
        </w:rPr>
        <w:t>a</w:t>
      </w:r>
      <w:r w:rsidRPr="003A1174">
        <w:rPr>
          <w:rFonts w:ascii="Garamond" w:hAnsi="Garamond" w:cs="Arial"/>
          <w:spacing w:val="51"/>
          <w:sz w:val="24"/>
          <w:szCs w:val="24"/>
        </w:rPr>
        <w:t xml:space="preserve"> </w:t>
      </w:r>
      <w:r w:rsidRPr="003A1174">
        <w:rPr>
          <w:rFonts w:ascii="Garamond" w:hAnsi="Garamond" w:cs="Arial"/>
          <w:spacing w:val="-6"/>
          <w:sz w:val="24"/>
          <w:szCs w:val="24"/>
        </w:rPr>
        <w:t>t</w:t>
      </w:r>
      <w:r w:rsidRPr="003A1174">
        <w:rPr>
          <w:rFonts w:ascii="Garamond" w:hAnsi="Garamond" w:cs="Arial"/>
          <w:spacing w:val="2"/>
          <w:sz w:val="24"/>
          <w:szCs w:val="24"/>
        </w:rPr>
        <w:t>o</w:t>
      </w:r>
      <w:r w:rsidRPr="003A1174">
        <w:rPr>
          <w:rFonts w:ascii="Garamond" w:hAnsi="Garamond" w:cs="Arial"/>
          <w:spacing w:val="-4"/>
          <w:sz w:val="24"/>
          <w:szCs w:val="24"/>
        </w:rPr>
        <w:t>d</w:t>
      </w:r>
      <w:r w:rsidRPr="003A1174">
        <w:rPr>
          <w:rFonts w:ascii="Garamond" w:hAnsi="Garamond" w:cs="Arial"/>
          <w:sz w:val="24"/>
          <w:szCs w:val="24"/>
        </w:rPr>
        <w:t>a</w:t>
      </w:r>
      <w:r w:rsidR="002B1E45" w:rsidRPr="003A1174">
        <w:rPr>
          <w:rFonts w:ascii="Garamond" w:hAnsi="Garamond" w:cs="Arial"/>
          <w:sz w:val="24"/>
          <w:szCs w:val="24"/>
        </w:rPr>
        <w:t>s</w:t>
      </w:r>
      <w:r w:rsidR="00B91ED4" w:rsidRPr="003A1174">
        <w:rPr>
          <w:rFonts w:ascii="Garamond" w:hAnsi="Garamond" w:cs="Arial"/>
          <w:sz w:val="24"/>
          <w:szCs w:val="24"/>
        </w:rPr>
        <w:t xml:space="preserve"> as</w:t>
      </w:r>
      <w:r w:rsidRPr="003A1174">
        <w:rPr>
          <w:rFonts w:ascii="Garamond" w:hAnsi="Garamond" w:cs="Arial"/>
          <w:spacing w:val="46"/>
          <w:sz w:val="24"/>
          <w:szCs w:val="24"/>
        </w:rPr>
        <w:t xml:space="preserve"> </w:t>
      </w:r>
      <w:r w:rsidR="002B1E45" w:rsidRPr="003A1174">
        <w:rPr>
          <w:rFonts w:ascii="Garamond" w:hAnsi="Garamond" w:cs="Arial"/>
          <w:spacing w:val="1"/>
          <w:sz w:val="24"/>
          <w:szCs w:val="24"/>
        </w:rPr>
        <w:t>relações íntimas</w:t>
      </w:r>
      <w:r w:rsidR="00B91ED4" w:rsidRPr="003A1174">
        <w:rPr>
          <w:rFonts w:ascii="Garamond" w:hAnsi="Garamond" w:cs="Arial"/>
          <w:spacing w:val="1"/>
          <w:sz w:val="24"/>
          <w:szCs w:val="24"/>
        </w:rPr>
        <w:t xml:space="preserve"> em geral, </w:t>
      </w:r>
      <w:r w:rsidR="00FB09CA" w:rsidRPr="003A1174">
        <w:rPr>
          <w:rFonts w:ascii="Garamond" w:hAnsi="Garamond" w:cs="Arial"/>
          <w:spacing w:val="1"/>
          <w:sz w:val="24"/>
          <w:szCs w:val="24"/>
        </w:rPr>
        <w:t>atua</w:t>
      </w:r>
      <w:r w:rsidR="00D87E68">
        <w:rPr>
          <w:rFonts w:ascii="Garamond" w:hAnsi="Garamond" w:cs="Arial"/>
          <w:spacing w:val="1"/>
          <w:sz w:val="24"/>
          <w:szCs w:val="24"/>
        </w:rPr>
        <w:t>is</w:t>
      </w:r>
      <w:r w:rsidRPr="003A1174">
        <w:rPr>
          <w:rFonts w:ascii="Garamond" w:hAnsi="Garamond" w:cs="Arial"/>
          <w:spacing w:val="37"/>
          <w:sz w:val="24"/>
          <w:szCs w:val="24"/>
        </w:rPr>
        <w:t xml:space="preserve"> </w:t>
      </w:r>
      <w:r w:rsidRPr="003A1174">
        <w:rPr>
          <w:rFonts w:ascii="Garamond" w:hAnsi="Garamond" w:cs="Arial"/>
          <w:sz w:val="24"/>
          <w:szCs w:val="24"/>
        </w:rPr>
        <w:t>o</w:t>
      </w:r>
      <w:r w:rsidR="00B91ED4" w:rsidRPr="003A1174">
        <w:rPr>
          <w:rFonts w:ascii="Garamond" w:hAnsi="Garamond" w:cs="Arial"/>
          <w:sz w:val="24"/>
          <w:szCs w:val="24"/>
        </w:rPr>
        <w:t>u</w:t>
      </w:r>
      <w:r w:rsidRPr="003A1174">
        <w:rPr>
          <w:rFonts w:ascii="Garamond" w:hAnsi="Garamond" w:cs="Arial"/>
          <w:spacing w:val="33"/>
          <w:sz w:val="24"/>
          <w:szCs w:val="24"/>
        </w:rPr>
        <w:t xml:space="preserve"> </w:t>
      </w:r>
      <w:r w:rsidRPr="003A1174">
        <w:rPr>
          <w:rFonts w:ascii="Garamond" w:hAnsi="Garamond" w:cs="Arial"/>
          <w:spacing w:val="-4"/>
          <w:sz w:val="24"/>
          <w:szCs w:val="24"/>
        </w:rPr>
        <w:t>a</w:t>
      </w:r>
      <w:r w:rsidRPr="003A1174">
        <w:rPr>
          <w:rFonts w:ascii="Garamond" w:hAnsi="Garamond" w:cs="Arial"/>
          <w:spacing w:val="1"/>
          <w:sz w:val="24"/>
          <w:szCs w:val="24"/>
        </w:rPr>
        <w:t>n</w:t>
      </w:r>
      <w:r w:rsidRPr="003A1174">
        <w:rPr>
          <w:rFonts w:ascii="Garamond" w:hAnsi="Garamond" w:cs="Arial"/>
          <w:spacing w:val="-2"/>
          <w:sz w:val="24"/>
          <w:szCs w:val="24"/>
        </w:rPr>
        <w:t>te</w:t>
      </w:r>
      <w:r w:rsidRPr="003A1174">
        <w:rPr>
          <w:rFonts w:ascii="Garamond" w:hAnsi="Garamond" w:cs="Arial"/>
          <w:spacing w:val="-3"/>
          <w:sz w:val="24"/>
          <w:szCs w:val="24"/>
        </w:rPr>
        <w:t>r</w:t>
      </w:r>
      <w:r w:rsidRPr="003A1174">
        <w:rPr>
          <w:rFonts w:ascii="Garamond" w:hAnsi="Garamond" w:cs="Arial"/>
          <w:spacing w:val="2"/>
          <w:sz w:val="24"/>
          <w:szCs w:val="24"/>
        </w:rPr>
        <w:t>i</w:t>
      </w:r>
      <w:r w:rsidRPr="003A1174">
        <w:rPr>
          <w:rFonts w:ascii="Garamond" w:hAnsi="Garamond" w:cs="Arial"/>
          <w:spacing w:val="-3"/>
          <w:sz w:val="24"/>
          <w:szCs w:val="24"/>
        </w:rPr>
        <w:t>o</w:t>
      </w:r>
      <w:r w:rsidRPr="003A1174">
        <w:rPr>
          <w:rFonts w:ascii="Garamond" w:hAnsi="Garamond" w:cs="Arial"/>
          <w:spacing w:val="1"/>
          <w:sz w:val="24"/>
          <w:szCs w:val="24"/>
        </w:rPr>
        <w:t>r</w:t>
      </w:r>
      <w:r w:rsidR="00D87E68">
        <w:rPr>
          <w:rFonts w:ascii="Garamond" w:hAnsi="Garamond" w:cs="Arial"/>
          <w:spacing w:val="1"/>
          <w:sz w:val="24"/>
          <w:szCs w:val="24"/>
        </w:rPr>
        <w:t>es</w:t>
      </w:r>
      <w:r w:rsidRPr="003A1174">
        <w:rPr>
          <w:rFonts w:ascii="Garamond" w:hAnsi="Garamond" w:cs="Arial"/>
          <w:sz w:val="24"/>
          <w:szCs w:val="24"/>
        </w:rPr>
        <w:t>,</w:t>
      </w:r>
      <w:r w:rsidRPr="003A1174">
        <w:rPr>
          <w:rFonts w:ascii="Garamond" w:hAnsi="Garamond" w:cs="Arial"/>
          <w:spacing w:val="32"/>
          <w:sz w:val="24"/>
          <w:szCs w:val="24"/>
        </w:rPr>
        <w:t xml:space="preserve"> </w:t>
      </w:r>
      <w:r w:rsidRPr="003A1174">
        <w:rPr>
          <w:rFonts w:ascii="Garamond" w:hAnsi="Garamond" w:cs="Arial"/>
          <w:spacing w:val="-1"/>
          <w:sz w:val="24"/>
          <w:szCs w:val="24"/>
        </w:rPr>
        <w:t>c</w:t>
      </w:r>
      <w:r w:rsidRPr="003A1174">
        <w:rPr>
          <w:rFonts w:ascii="Garamond" w:hAnsi="Garamond" w:cs="Arial"/>
          <w:spacing w:val="-3"/>
          <w:sz w:val="24"/>
          <w:szCs w:val="24"/>
        </w:rPr>
        <w:t>o</w:t>
      </w:r>
      <w:r w:rsidRPr="003A1174">
        <w:rPr>
          <w:rFonts w:ascii="Garamond" w:hAnsi="Garamond" w:cs="Arial"/>
          <w:spacing w:val="-4"/>
          <w:sz w:val="24"/>
          <w:szCs w:val="24"/>
        </w:rPr>
        <w:t>ab</w:t>
      </w:r>
      <w:r w:rsidRPr="003A1174">
        <w:rPr>
          <w:rFonts w:ascii="Garamond" w:hAnsi="Garamond" w:cs="Arial"/>
          <w:spacing w:val="2"/>
          <w:sz w:val="24"/>
          <w:szCs w:val="24"/>
        </w:rPr>
        <w:t>i</w:t>
      </w:r>
      <w:r w:rsidRPr="003A1174">
        <w:rPr>
          <w:rFonts w:ascii="Garamond" w:hAnsi="Garamond" w:cs="Arial"/>
          <w:spacing w:val="-2"/>
          <w:sz w:val="24"/>
          <w:szCs w:val="24"/>
        </w:rPr>
        <w:t>te</w:t>
      </w:r>
      <w:r w:rsidR="00B91ED4" w:rsidRPr="003A1174">
        <w:rPr>
          <w:rFonts w:ascii="Garamond" w:hAnsi="Garamond" w:cs="Arial"/>
          <w:spacing w:val="-2"/>
          <w:sz w:val="24"/>
          <w:szCs w:val="24"/>
        </w:rPr>
        <w:t xml:space="preserve">m ou tenham </w:t>
      </w:r>
      <w:r w:rsidRPr="003A1174">
        <w:rPr>
          <w:rFonts w:ascii="Garamond" w:hAnsi="Garamond" w:cs="Arial"/>
          <w:spacing w:val="-6"/>
          <w:sz w:val="24"/>
          <w:szCs w:val="24"/>
        </w:rPr>
        <w:t>c</w:t>
      </w:r>
      <w:r w:rsidRPr="003A1174">
        <w:rPr>
          <w:rFonts w:ascii="Garamond" w:hAnsi="Garamond" w:cs="Arial"/>
          <w:spacing w:val="2"/>
          <w:sz w:val="24"/>
          <w:szCs w:val="24"/>
        </w:rPr>
        <w:t>o</w:t>
      </w:r>
      <w:r w:rsidRPr="003A1174">
        <w:rPr>
          <w:rFonts w:ascii="Garamond" w:hAnsi="Garamond" w:cs="Arial"/>
          <w:spacing w:val="1"/>
          <w:sz w:val="24"/>
          <w:szCs w:val="24"/>
        </w:rPr>
        <w:t>a</w:t>
      </w:r>
      <w:r w:rsidRPr="003A1174">
        <w:rPr>
          <w:rFonts w:ascii="Garamond" w:hAnsi="Garamond" w:cs="Arial"/>
          <w:spacing w:val="-4"/>
          <w:sz w:val="24"/>
          <w:szCs w:val="24"/>
        </w:rPr>
        <w:t>b</w:t>
      </w:r>
      <w:r w:rsidRPr="003A1174">
        <w:rPr>
          <w:rFonts w:ascii="Garamond" w:hAnsi="Garamond" w:cs="Arial"/>
          <w:spacing w:val="2"/>
          <w:sz w:val="24"/>
          <w:szCs w:val="24"/>
        </w:rPr>
        <w:t>i</w:t>
      </w:r>
      <w:r w:rsidRPr="003A1174">
        <w:rPr>
          <w:rFonts w:ascii="Garamond" w:hAnsi="Garamond" w:cs="Arial"/>
          <w:spacing w:val="-6"/>
          <w:sz w:val="24"/>
          <w:szCs w:val="24"/>
        </w:rPr>
        <w:t>t</w:t>
      </w:r>
      <w:r w:rsidRPr="003A1174">
        <w:rPr>
          <w:rFonts w:ascii="Garamond" w:hAnsi="Garamond" w:cs="Arial"/>
          <w:spacing w:val="1"/>
          <w:sz w:val="24"/>
          <w:szCs w:val="24"/>
        </w:rPr>
        <w:t>a</w:t>
      </w:r>
      <w:r w:rsidRPr="003A1174">
        <w:rPr>
          <w:rFonts w:ascii="Garamond" w:hAnsi="Garamond" w:cs="Arial"/>
          <w:spacing w:val="-4"/>
          <w:sz w:val="24"/>
          <w:szCs w:val="24"/>
        </w:rPr>
        <w:t>d</w:t>
      </w:r>
      <w:r w:rsidRPr="003A1174">
        <w:rPr>
          <w:rFonts w:ascii="Garamond" w:hAnsi="Garamond" w:cs="Arial"/>
          <w:spacing w:val="2"/>
          <w:sz w:val="24"/>
          <w:szCs w:val="24"/>
        </w:rPr>
        <w:t>o</w:t>
      </w:r>
      <w:r w:rsidRPr="003A1174">
        <w:rPr>
          <w:rFonts w:ascii="Garamond" w:hAnsi="Garamond" w:cs="Arial"/>
          <w:sz w:val="24"/>
          <w:szCs w:val="24"/>
        </w:rPr>
        <w:t>,</w:t>
      </w:r>
      <w:r w:rsidRPr="003A1174">
        <w:rPr>
          <w:rFonts w:ascii="Garamond" w:hAnsi="Garamond" w:cs="Arial"/>
          <w:spacing w:val="33"/>
          <w:sz w:val="24"/>
          <w:szCs w:val="24"/>
        </w:rPr>
        <w:t xml:space="preserve"> </w:t>
      </w:r>
      <w:r w:rsidRPr="003A1174">
        <w:rPr>
          <w:rFonts w:ascii="Garamond" w:hAnsi="Garamond" w:cs="Arial"/>
          <w:spacing w:val="1"/>
          <w:sz w:val="24"/>
          <w:szCs w:val="24"/>
        </w:rPr>
        <w:t>p</w:t>
      </w:r>
      <w:r w:rsidRPr="003A1174">
        <w:rPr>
          <w:rFonts w:ascii="Garamond" w:hAnsi="Garamond" w:cs="Arial"/>
          <w:spacing w:val="-3"/>
          <w:sz w:val="24"/>
          <w:szCs w:val="24"/>
        </w:rPr>
        <w:t>r</w:t>
      </w:r>
      <w:r w:rsidRPr="003A1174">
        <w:rPr>
          <w:rFonts w:ascii="Garamond" w:hAnsi="Garamond" w:cs="Arial"/>
          <w:spacing w:val="2"/>
          <w:sz w:val="24"/>
          <w:szCs w:val="24"/>
        </w:rPr>
        <w:t>o</w:t>
      </w:r>
      <w:r w:rsidRPr="003A1174">
        <w:rPr>
          <w:rFonts w:ascii="Garamond" w:hAnsi="Garamond" w:cs="Arial"/>
          <w:spacing w:val="-6"/>
          <w:sz w:val="24"/>
          <w:szCs w:val="24"/>
        </w:rPr>
        <w:t>c</w:t>
      </w:r>
      <w:r w:rsidRPr="003A1174">
        <w:rPr>
          <w:rFonts w:ascii="Garamond" w:hAnsi="Garamond" w:cs="Arial"/>
          <w:spacing w:val="1"/>
          <w:sz w:val="24"/>
          <w:szCs w:val="24"/>
        </w:rPr>
        <w:t>r</w:t>
      </w:r>
      <w:r w:rsidR="00B91ED4" w:rsidRPr="003A1174">
        <w:rPr>
          <w:rFonts w:ascii="Garamond" w:hAnsi="Garamond" w:cs="Arial"/>
          <w:spacing w:val="1"/>
          <w:sz w:val="24"/>
          <w:szCs w:val="24"/>
        </w:rPr>
        <w:t xml:space="preserve">iem </w:t>
      </w:r>
      <w:r w:rsidR="007A2492" w:rsidRPr="003A1174">
        <w:rPr>
          <w:rFonts w:ascii="Garamond" w:hAnsi="Garamond" w:cs="Arial"/>
          <w:spacing w:val="1"/>
          <w:sz w:val="24"/>
          <w:szCs w:val="24"/>
        </w:rPr>
        <w:t>filho</w:t>
      </w:r>
      <w:r w:rsidRPr="003A1174">
        <w:rPr>
          <w:rFonts w:ascii="Garamond" w:hAnsi="Garamond" w:cs="Arial"/>
          <w:sz w:val="24"/>
          <w:szCs w:val="24"/>
        </w:rPr>
        <w:t>s</w:t>
      </w:r>
      <w:r w:rsidRPr="003A1174">
        <w:rPr>
          <w:rFonts w:ascii="Garamond" w:hAnsi="Garamond" w:cs="Arial"/>
          <w:spacing w:val="34"/>
          <w:sz w:val="24"/>
          <w:szCs w:val="24"/>
        </w:rPr>
        <w:t xml:space="preserve"> </w:t>
      </w:r>
      <w:r w:rsidRPr="003A1174">
        <w:rPr>
          <w:rFonts w:ascii="Garamond" w:hAnsi="Garamond" w:cs="Arial"/>
          <w:spacing w:val="-2"/>
          <w:sz w:val="24"/>
          <w:szCs w:val="24"/>
        </w:rPr>
        <w:t>e</w:t>
      </w:r>
      <w:r w:rsidR="00B91ED4" w:rsidRPr="003A1174">
        <w:rPr>
          <w:rFonts w:ascii="Garamond" w:hAnsi="Garamond" w:cs="Arial"/>
          <w:spacing w:val="-2"/>
          <w:sz w:val="24"/>
          <w:szCs w:val="24"/>
        </w:rPr>
        <w:t>m</w:t>
      </w:r>
      <w:r w:rsidRPr="003A1174">
        <w:rPr>
          <w:rFonts w:ascii="Garamond" w:hAnsi="Garamond" w:cs="Arial"/>
          <w:spacing w:val="36"/>
          <w:sz w:val="24"/>
          <w:szCs w:val="24"/>
        </w:rPr>
        <w:t xml:space="preserve"> </w:t>
      </w:r>
      <w:r w:rsidR="00023AD6" w:rsidRPr="003A1174">
        <w:rPr>
          <w:rFonts w:ascii="Garamond" w:hAnsi="Garamond" w:cs="Arial"/>
          <w:spacing w:val="-6"/>
          <w:sz w:val="24"/>
          <w:szCs w:val="24"/>
        </w:rPr>
        <w:t>comum</w:t>
      </w:r>
      <w:r w:rsidR="00D87E68">
        <w:rPr>
          <w:rFonts w:ascii="Garamond" w:hAnsi="Garamond" w:cs="Arial"/>
          <w:spacing w:val="-6"/>
          <w:sz w:val="24"/>
          <w:szCs w:val="24"/>
        </w:rPr>
        <w:t>,</w:t>
      </w:r>
      <w:r w:rsidRPr="003A1174">
        <w:rPr>
          <w:rFonts w:ascii="Garamond" w:hAnsi="Garamond" w:cs="Arial"/>
          <w:spacing w:val="32"/>
          <w:sz w:val="24"/>
          <w:szCs w:val="24"/>
        </w:rPr>
        <w:t xml:space="preserve"> </w:t>
      </w:r>
      <w:r w:rsidRPr="003A1174">
        <w:rPr>
          <w:rFonts w:ascii="Garamond" w:hAnsi="Garamond" w:cs="Arial"/>
          <w:sz w:val="24"/>
          <w:szCs w:val="24"/>
        </w:rPr>
        <w:t>o</w:t>
      </w:r>
      <w:r w:rsidR="00B91ED4" w:rsidRPr="003A1174">
        <w:rPr>
          <w:rFonts w:ascii="Garamond" w:hAnsi="Garamond" w:cs="Arial"/>
          <w:sz w:val="24"/>
          <w:szCs w:val="24"/>
        </w:rPr>
        <w:t>u</w:t>
      </w:r>
      <w:r w:rsidRPr="003A1174">
        <w:rPr>
          <w:rFonts w:ascii="Garamond" w:hAnsi="Garamond" w:cs="Arial"/>
          <w:sz w:val="24"/>
          <w:szCs w:val="24"/>
        </w:rPr>
        <w:t xml:space="preserve"> </w:t>
      </w:r>
      <w:r w:rsidR="00B91ED4" w:rsidRPr="003A1174">
        <w:rPr>
          <w:rFonts w:ascii="Garamond" w:hAnsi="Garamond" w:cs="Arial"/>
          <w:spacing w:val="-2"/>
          <w:sz w:val="24"/>
          <w:szCs w:val="24"/>
        </w:rPr>
        <w:t>mantenham apenas</w:t>
      </w:r>
      <w:r w:rsidR="00D87E68">
        <w:rPr>
          <w:rFonts w:ascii="Garamond" w:hAnsi="Garamond" w:cs="Arial"/>
          <w:spacing w:val="-2"/>
          <w:sz w:val="24"/>
          <w:szCs w:val="24"/>
        </w:rPr>
        <w:t>,</w:t>
      </w:r>
      <w:r w:rsidRPr="003A1174">
        <w:rPr>
          <w:rFonts w:ascii="Garamond" w:hAnsi="Garamond" w:cs="Arial"/>
          <w:spacing w:val="3"/>
          <w:sz w:val="24"/>
          <w:szCs w:val="24"/>
        </w:rPr>
        <w:t xml:space="preserve"> </w:t>
      </w:r>
      <w:r w:rsidR="00C04CA4" w:rsidRPr="003A1174">
        <w:rPr>
          <w:rFonts w:ascii="Garamond" w:hAnsi="Garamond" w:cs="Arial"/>
          <w:spacing w:val="1"/>
          <w:sz w:val="24"/>
          <w:szCs w:val="24"/>
        </w:rPr>
        <w:t>relações</w:t>
      </w:r>
      <w:r w:rsidRPr="003A1174">
        <w:rPr>
          <w:rFonts w:ascii="Garamond" w:hAnsi="Garamond" w:cs="Arial"/>
          <w:spacing w:val="5"/>
          <w:sz w:val="24"/>
          <w:szCs w:val="24"/>
        </w:rPr>
        <w:t xml:space="preserve"> </w:t>
      </w:r>
      <w:r w:rsidR="0091113A" w:rsidRPr="003A1174">
        <w:rPr>
          <w:rFonts w:ascii="Garamond" w:hAnsi="Garamond" w:cs="Arial"/>
          <w:spacing w:val="-2"/>
          <w:sz w:val="24"/>
          <w:szCs w:val="24"/>
        </w:rPr>
        <w:t>sexuais</w:t>
      </w:r>
      <w:r w:rsidRPr="003A1174">
        <w:rPr>
          <w:rFonts w:ascii="Garamond" w:hAnsi="Garamond" w:cs="Arial"/>
          <w:sz w:val="24"/>
          <w:szCs w:val="24"/>
        </w:rPr>
        <w:t>;</w:t>
      </w:r>
      <w:r w:rsidRPr="003A1174">
        <w:rPr>
          <w:rFonts w:ascii="Garamond" w:hAnsi="Garamond" w:cs="Arial"/>
          <w:spacing w:val="3"/>
          <w:sz w:val="24"/>
          <w:szCs w:val="24"/>
        </w:rPr>
        <w:t xml:space="preserve"> </w:t>
      </w:r>
      <w:r w:rsidR="006A293D" w:rsidRPr="003A1174">
        <w:rPr>
          <w:rFonts w:ascii="Garamond" w:hAnsi="Garamond" w:cs="Arial"/>
          <w:spacing w:val="-2"/>
          <w:sz w:val="24"/>
          <w:szCs w:val="24"/>
        </w:rPr>
        <w:t>sem</w:t>
      </w:r>
      <w:r w:rsidRPr="003A1174">
        <w:rPr>
          <w:rFonts w:ascii="Garamond" w:hAnsi="Garamond" w:cs="Arial"/>
          <w:spacing w:val="3"/>
          <w:sz w:val="24"/>
          <w:szCs w:val="24"/>
        </w:rPr>
        <w:t xml:space="preserve"> </w:t>
      </w:r>
      <w:r w:rsidRPr="003A1174">
        <w:rPr>
          <w:rFonts w:ascii="Garamond" w:hAnsi="Garamond" w:cs="Arial"/>
          <w:spacing w:val="2"/>
          <w:sz w:val="24"/>
          <w:szCs w:val="24"/>
        </w:rPr>
        <w:t>i</w:t>
      </w:r>
      <w:r w:rsidRPr="003A1174">
        <w:rPr>
          <w:rFonts w:ascii="Garamond" w:hAnsi="Garamond" w:cs="Arial"/>
          <w:spacing w:val="-7"/>
          <w:sz w:val="24"/>
          <w:szCs w:val="24"/>
        </w:rPr>
        <w:t>m</w:t>
      </w:r>
      <w:r w:rsidRPr="003A1174">
        <w:rPr>
          <w:rFonts w:ascii="Garamond" w:hAnsi="Garamond" w:cs="Arial"/>
          <w:spacing w:val="1"/>
          <w:sz w:val="24"/>
          <w:szCs w:val="24"/>
        </w:rPr>
        <w:t>p</w:t>
      </w:r>
      <w:r w:rsidRPr="003A1174">
        <w:rPr>
          <w:rFonts w:ascii="Garamond" w:hAnsi="Garamond" w:cs="Arial"/>
          <w:spacing w:val="-3"/>
          <w:sz w:val="24"/>
          <w:szCs w:val="24"/>
        </w:rPr>
        <w:t>o</w:t>
      </w:r>
      <w:r w:rsidRPr="003A1174">
        <w:rPr>
          <w:rFonts w:ascii="Garamond" w:hAnsi="Garamond" w:cs="Arial"/>
          <w:spacing w:val="1"/>
          <w:sz w:val="24"/>
          <w:szCs w:val="24"/>
        </w:rPr>
        <w:t>r</w:t>
      </w:r>
      <w:r w:rsidRPr="003A1174">
        <w:rPr>
          <w:rFonts w:ascii="Garamond" w:hAnsi="Garamond" w:cs="Arial"/>
          <w:spacing w:val="-2"/>
          <w:sz w:val="24"/>
          <w:szCs w:val="24"/>
        </w:rPr>
        <w:t>t</w:t>
      </w:r>
      <w:r w:rsidRPr="003A1174">
        <w:rPr>
          <w:rFonts w:ascii="Garamond" w:hAnsi="Garamond" w:cs="Arial"/>
          <w:spacing w:val="-4"/>
          <w:sz w:val="24"/>
          <w:szCs w:val="24"/>
        </w:rPr>
        <w:t>a</w:t>
      </w:r>
      <w:r w:rsidRPr="003A1174">
        <w:rPr>
          <w:rFonts w:ascii="Garamond" w:hAnsi="Garamond" w:cs="Arial"/>
          <w:sz w:val="24"/>
          <w:szCs w:val="24"/>
        </w:rPr>
        <w:t>r</w:t>
      </w:r>
      <w:r w:rsidRPr="003A1174">
        <w:rPr>
          <w:rFonts w:ascii="Garamond" w:hAnsi="Garamond" w:cs="Arial"/>
          <w:spacing w:val="8"/>
          <w:sz w:val="24"/>
          <w:szCs w:val="24"/>
        </w:rPr>
        <w:t xml:space="preserve"> </w:t>
      </w:r>
      <w:r w:rsidR="00B91ED4" w:rsidRPr="003A1174">
        <w:rPr>
          <w:rFonts w:ascii="Garamond" w:hAnsi="Garamond" w:cs="Arial"/>
          <w:spacing w:val="8"/>
          <w:sz w:val="24"/>
          <w:szCs w:val="24"/>
        </w:rPr>
        <w:t xml:space="preserve">o </w:t>
      </w:r>
      <w:r w:rsidRPr="003A1174">
        <w:rPr>
          <w:rFonts w:ascii="Garamond" w:hAnsi="Garamond" w:cs="Arial"/>
          <w:spacing w:val="-2"/>
          <w:sz w:val="24"/>
          <w:szCs w:val="24"/>
        </w:rPr>
        <w:t>est</w:t>
      </w:r>
      <w:r w:rsidRPr="003A1174">
        <w:rPr>
          <w:rFonts w:ascii="Garamond" w:hAnsi="Garamond" w:cs="Arial"/>
          <w:spacing w:val="-4"/>
          <w:sz w:val="24"/>
          <w:szCs w:val="24"/>
        </w:rPr>
        <w:t>a</w:t>
      </w:r>
      <w:r w:rsidRPr="003A1174">
        <w:rPr>
          <w:rFonts w:ascii="Garamond" w:hAnsi="Garamond" w:cs="Arial"/>
          <w:sz w:val="24"/>
          <w:szCs w:val="24"/>
        </w:rPr>
        <w:t>do</w:t>
      </w:r>
      <w:r w:rsidRPr="003A1174">
        <w:rPr>
          <w:rFonts w:ascii="Garamond" w:hAnsi="Garamond" w:cs="Arial"/>
          <w:spacing w:val="4"/>
          <w:sz w:val="24"/>
          <w:szCs w:val="24"/>
        </w:rPr>
        <w:t xml:space="preserve"> </w:t>
      </w:r>
      <w:r w:rsidR="00B91ED4" w:rsidRPr="003A1174">
        <w:rPr>
          <w:rFonts w:ascii="Garamond" w:hAnsi="Garamond" w:cs="Arial"/>
          <w:spacing w:val="4"/>
          <w:sz w:val="24"/>
          <w:szCs w:val="24"/>
        </w:rPr>
        <w:t xml:space="preserve">civil ou </w:t>
      </w:r>
      <w:r w:rsidRPr="003A1174">
        <w:rPr>
          <w:rFonts w:ascii="Garamond" w:hAnsi="Garamond" w:cs="Arial"/>
          <w:sz w:val="24"/>
          <w:szCs w:val="24"/>
        </w:rPr>
        <w:t>a</w:t>
      </w:r>
      <w:r w:rsidRPr="003A1174">
        <w:rPr>
          <w:rFonts w:ascii="Garamond" w:hAnsi="Garamond" w:cs="Arial"/>
          <w:spacing w:val="3"/>
          <w:sz w:val="24"/>
          <w:szCs w:val="24"/>
        </w:rPr>
        <w:t xml:space="preserve"> </w:t>
      </w:r>
      <w:r w:rsidR="00081B57" w:rsidRPr="003A1174">
        <w:rPr>
          <w:rFonts w:ascii="Garamond" w:hAnsi="Garamond" w:cs="Arial"/>
          <w:spacing w:val="2"/>
          <w:sz w:val="24"/>
          <w:szCs w:val="24"/>
        </w:rPr>
        <w:t>orientação</w:t>
      </w:r>
      <w:r w:rsidRPr="003A1174">
        <w:rPr>
          <w:rFonts w:ascii="Garamond" w:hAnsi="Garamond" w:cs="Arial"/>
          <w:spacing w:val="8"/>
          <w:sz w:val="24"/>
          <w:szCs w:val="24"/>
        </w:rPr>
        <w:t xml:space="preserve"> </w:t>
      </w:r>
      <w:r w:rsidRPr="003A1174">
        <w:rPr>
          <w:rFonts w:ascii="Garamond" w:hAnsi="Garamond" w:cs="Arial"/>
          <w:spacing w:val="-2"/>
          <w:sz w:val="24"/>
          <w:szCs w:val="24"/>
        </w:rPr>
        <w:t>se</w:t>
      </w:r>
      <w:r w:rsidRPr="003A1174">
        <w:rPr>
          <w:rFonts w:ascii="Garamond" w:hAnsi="Garamond" w:cs="Arial"/>
          <w:spacing w:val="-6"/>
          <w:sz w:val="24"/>
          <w:szCs w:val="24"/>
        </w:rPr>
        <w:t>x</w:t>
      </w:r>
      <w:r w:rsidRPr="003A1174">
        <w:rPr>
          <w:rFonts w:ascii="Garamond" w:hAnsi="Garamond" w:cs="Arial"/>
          <w:spacing w:val="2"/>
          <w:sz w:val="24"/>
          <w:szCs w:val="24"/>
        </w:rPr>
        <w:t>u</w:t>
      </w:r>
      <w:r w:rsidRPr="003A1174">
        <w:rPr>
          <w:rFonts w:ascii="Garamond" w:hAnsi="Garamond" w:cs="Arial"/>
          <w:spacing w:val="-4"/>
          <w:sz w:val="24"/>
          <w:szCs w:val="24"/>
        </w:rPr>
        <w:t>a</w:t>
      </w:r>
      <w:r w:rsidRPr="003A1174">
        <w:rPr>
          <w:rFonts w:ascii="Garamond" w:hAnsi="Garamond" w:cs="Arial"/>
          <w:sz w:val="24"/>
          <w:szCs w:val="24"/>
        </w:rPr>
        <w:t>l</w:t>
      </w:r>
      <w:r w:rsidRPr="003A1174">
        <w:rPr>
          <w:rFonts w:ascii="Garamond" w:hAnsi="Garamond" w:cs="Arial"/>
          <w:spacing w:val="4"/>
          <w:sz w:val="24"/>
          <w:szCs w:val="24"/>
        </w:rPr>
        <w:t xml:space="preserve"> </w:t>
      </w:r>
      <w:r w:rsidR="00B91ED4" w:rsidRPr="003A1174">
        <w:rPr>
          <w:rFonts w:ascii="Garamond" w:hAnsi="Garamond" w:cs="Arial"/>
          <w:spacing w:val="2"/>
          <w:sz w:val="24"/>
          <w:szCs w:val="24"/>
        </w:rPr>
        <w:t>d</w:t>
      </w:r>
      <w:r w:rsidRPr="003A1174">
        <w:rPr>
          <w:rFonts w:ascii="Garamond" w:hAnsi="Garamond" w:cs="Arial"/>
          <w:spacing w:val="2"/>
          <w:sz w:val="24"/>
          <w:szCs w:val="24"/>
        </w:rPr>
        <w:t>o</w:t>
      </w:r>
      <w:r w:rsidRPr="003A1174">
        <w:rPr>
          <w:rFonts w:ascii="Garamond" w:hAnsi="Garamond" w:cs="Arial"/>
          <w:sz w:val="24"/>
          <w:szCs w:val="24"/>
        </w:rPr>
        <w:t xml:space="preserve">s </w:t>
      </w:r>
      <w:r w:rsidR="00B91ED4" w:rsidRPr="003A1174">
        <w:rPr>
          <w:rFonts w:ascii="Garamond" w:hAnsi="Garamond" w:cs="Arial"/>
          <w:spacing w:val="2"/>
          <w:sz w:val="24"/>
          <w:szCs w:val="24"/>
        </w:rPr>
        <w:t>envolvidos</w:t>
      </w:r>
      <w:r w:rsidRPr="003A1174">
        <w:rPr>
          <w:rFonts w:ascii="Garamond" w:hAnsi="Garamond" w:cs="Arial"/>
          <w:sz w:val="24"/>
          <w:szCs w:val="24"/>
        </w:rPr>
        <w:t>.</w:t>
      </w:r>
      <w:r w:rsidRPr="003A1174">
        <w:rPr>
          <w:rStyle w:val="Refdenotaalpie"/>
          <w:rFonts w:ascii="Garamond" w:hAnsi="Garamond" w:cs="Arial"/>
          <w:sz w:val="24"/>
          <w:szCs w:val="24"/>
          <w:lang w:val="es-PR"/>
        </w:rPr>
        <w:footnoteReference w:id="106"/>
      </w:r>
      <w:r w:rsidRPr="003A1174">
        <w:rPr>
          <w:rFonts w:ascii="Garamond" w:hAnsi="Garamond" w:cs="Arial"/>
          <w:spacing w:val="48"/>
          <w:sz w:val="24"/>
          <w:szCs w:val="24"/>
        </w:rPr>
        <w:t xml:space="preserve"> </w:t>
      </w:r>
    </w:p>
    <w:p w:rsidR="005777DA" w:rsidRPr="003A1174" w:rsidRDefault="00C30647" w:rsidP="008719D4">
      <w:pPr>
        <w:pStyle w:val="Ttulo3"/>
        <w:spacing w:line="240" w:lineRule="auto"/>
        <w:rPr>
          <w:rFonts w:ascii="Garamond" w:hAnsi="Garamond"/>
          <w:sz w:val="24"/>
          <w:szCs w:val="24"/>
        </w:rPr>
      </w:pPr>
      <w:bookmarkStart w:id="40" w:name="_Toc421529728"/>
      <w:r w:rsidRPr="003A1174">
        <w:rPr>
          <w:rFonts w:ascii="Garamond" w:hAnsi="Garamond"/>
          <w:sz w:val="24"/>
          <w:szCs w:val="24"/>
        </w:rPr>
        <w:t>Uruguai</w:t>
      </w:r>
      <w:bookmarkEnd w:id="40"/>
    </w:p>
    <w:p w:rsidR="005777DA" w:rsidRPr="003A1174" w:rsidRDefault="00D87E68" w:rsidP="008719D4">
      <w:pPr>
        <w:spacing w:before="240" w:line="240" w:lineRule="auto"/>
        <w:jc w:val="both"/>
        <w:rPr>
          <w:rFonts w:ascii="Garamond" w:hAnsi="Garamond" w:cs="Arial"/>
          <w:sz w:val="24"/>
          <w:szCs w:val="24"/>
        </w:rPr>
      </w:pPr>
      <w:r>
        <w:rPr>
          <w:rFonts w:ascii="Garamond" w:hAnsi="Garamond" w:cs="Arial"/>
          <w:sz w:val="24"/>
          <w:szCs w:val="24"/>
        </w:rPr>
        <w:t>No Uruguai, r</w:t>
      </w:r>
      <w:r w:rsidR="00B91ED4" w:rsidRPr="003A1174">
        <w:rPr>
          <w:rFonts w:ascii="Garamond" w:hAnsi="Garamond" w:cs="Arial"/>
          <w:sz w:val="24"/>
          <w:szCs w:val="24"/>
        </w:rPr>
        <w:t>efere-se que existe um</w:t>
      </w:r>
      <w:r w:rsidR="005777DA" w:rsidRPr="003A1174">
        <w:rPr>
          <w:rFonts w:ascii="Garamond" w:hAnsi="Garamond" w:cs="Arial"/>
          <w:sz w:val="24"/>
          <w:szCs w:val="24"/>
        </w:rPr>
        <w:t xml:space="preserve">a base de </w:t>
      </w:r>
      <w:r w:rsidR="00682C71" w:rsidRPr="003A1174">
        <w:rPr>
          <w:rFonts w:ascii="Garamond" w:hAnsi="Garamond" w:cs="Arial"/>
          <w:sz w:val="24"/>
          <w:szCs w:val="24"/>
        </w:rPr>
        <w:t>jurisprudência</w:t>
      </w:r>
      <w:r w:rsidR="005777DA" w:rsidRPr="003A1174">
        <w:rPr>
          <w:rFonts w:ascii="Garamond" w:hAnsi="Garamond" w:cs="Arial"/>
          <w:sz w:val="24"/>
          <w:szCs w:val="24"/>
        </w:rPr>
        <w:t xml:space="preserve"> </w:t>
      </w:r>
      <w:r>
        <w:rPr>
          <w:rFonts w:ascii="Garamond" w:hAnsi="Garamond" w:cs="Arial"/>
          <w:sz w:val="24"/>
          <w:szCs w:val="24"/>
        </w:rPr>
        <w:t xml:space="preserve">em que </w:t>
      </w:r>
      <w:r w:rsidR="005777DA" w:rsidRPr="003A1174">
        <w:rPr>
          <w:rFonts w:ascii="Garamond" w:hAnsi="Garamond" w:cs="Arial"/>
          <w:sz w:val="24"/>
          <w:szCs w:val="24"/>
        </w:rPr>
        <w:t>aparece</w:t>
      </w:r>
      <w:r w:rsidR="00B91ED4" w:rsidRPr="003A1174">
        <w:rPr>
          <w:rFonts w:ascii="Garamond" w:hAnsi="Garamond" w:cs="Arial"/>
          <w:sz w:val="24"/>
          <w:szCs w:val="24"/>
        </w:rPr>
        <w:t>m</w:t>
      </w:r>
      <w:r w:rsidR="005777DA" w:rsidRPr="003A1174">
        <w:rPr>
          <w:rFonts w:ascii="Garamond" w:hAnsi="Garamond" w:cs="Arial"/>
          <w:sz w:val="24"/>
          <w:szCs w:val="24"/>
        </w:rPr>
        <w:t xml:space="preserve"> </w:t>
      </w:r>
      <w:r w:rsidR="00CD707D" w:rsidRPr="003A1174">
        <w:rPr>
          <w:rFonts w:ascii="Garamond" w:hAnsi="Garamond" w:cs="Arial"/>
          <w:sz w:val="24"/>
          <w:szCs w:val="24"/>
        </w:rPr>
        <w:t>alguma</w:t>
      </w:r>
      <w:r w:rsidR="005777DA" w:rsidRPr="003A1174">
        <w:rPr>
          <w:rFonts w:ascii="Garamond" w:hAnsi="Garamond" w:cs="Arial"/>
          <w:sz w:val="24"/>
          <w:szCs w:val="24"/>
        </w:rPr>
        <w:t xml:space="preserve">s </w:t>
      </w:r>
      <w:r w:rsidR="00FC1F7F" w:rsidRPr="003A1174">
        <w:rPr>
          <w:rFonts w:ascii="Garamond" w:hAnsi="Garamond" w:cs="Arial"/>
          <w:sz w:val="24"/>
          <w:szCs w:val="24"/>
        </w:rPr>
        <w:t>sentença</w:t>
      </w:r>
      <w:r w:rsidR="005777DA" w:rsidRPr="003A1174">
        <w:rPr>
          <w:rFonts w:ascii="Garamond" w:hAnsi="Garamond" w:cs="Arial"/>
          <w:sz w:val="24"/>
          <w:szCs w:val="24"/>
        </w:rPr>
        <w:t>s que aplica</w:t>
      </w:r>
      <w:r w:rsidR="00B91ED4" w:rsidRPr="003A1174">
        <w:rPr>
          <w:rFonts w:ascii="Garamond" w:hAnsi="Garamond" w:cs="Arial"/>
          <w:sz w:val="24"/>
          <w:szCs w:val="24"/>
        </w:rPr>
        <w:t>m</w:t>
      </w:r>
      <w:r w:rsidR="005777DA" w:rsidRPr="003A1174">
        <w:rPr>
          <w:rFonts w:ascii="Garamond" w:hAnsi="Garamond" w:cs="Arial"/>
          <w:sz w:val="24"/>
          <w:szCs w:val="24"/>
        </w:rPr>
        <w:t xml:space="preserve"> </w:t>
      </w:r>
      <w:r>
        <w:rPr>
          <w:rFonts w:ascii="Garamond" w:hAnsi="Garamond" w:cs="Arial"/>
          <w:sz w:val="24"/>
          <w:szCs w:val="24"/>
        </w:rPr>
        <w:t>«</w:t>
      </w:r>
      <w:r w:rsidR="00FB76BE" w:rsidRPr="003A1174">
        <w:rPr>
          <w:rFonts w:ascii="Garamond" w:hAnsi="Garamond" w:cs="Arial"/>
          <w:sz w:val="24"/>
          <w:szCs w:val="24"/>
        </w:rPr>
        <w:t>normas</w:t>
      </w:r>
      <w:r w:rsidR="005777DA" w:rsidRPr="003A1174">
        <w:rPr>
          <w:rFonts w:ascii="Garamond" w:hAnsi="Garamond" w:cs="Arial"/>
          <w:sz w:val="24"/>
          <w:szCs w:val="24"/>
        </w:rPr>
        <w:t xml:space="preserve"> internaciona</w:t>
      </w:r>
      <w:r w:rsidR="00B91ED4" w:rsidRPr="003A1174">
        <w:rPr>
          <w:rFonts w:ascii="Garamond" w:hAnsi="Garamond" w:cs="Arial"/>
          <w:sz w:val="24"/>
          <w:szCs w:val="24"/>
        </w:rPr>
        <w:t>is</w:t>
      </w:r>
      <w:r>
        <w:rPr>
          <w:rFonts w:ascii="Garamond" w:hAnsi="Garamond" w:cs="Arial"/>
          <w:sz w:val="24"/>
          <w:szCs w:val="24"/>
        </w:rPr>
        <w:t>»</w:t>
      </w:r>
      <w:r w:rsidR="00D71B87" w:rsidRPr="003A1174">
        <w:rPr>
          <w:rFonts w:ascii="Garamond" w:hAnsi="Garamond" w:cs="Arial"/>
          <w:sz w:val="24"/>
          <w:szCs w:val="24"/>
        </w:rPr>
        <w:t>,</w:t>
      </w:r>
      <w:r w:rsidR="005777DA" w:rsidRPr="003A1174">
        <w:rPr>
          <w:rFonts w:ascii="Garamond" w:hAnsi="Garamond" w:cs="Arial"/>
          <w:sz w:val="24"/>
          <w:szCs w:val="24"/>
        </w:rPr>
        <w:t xml:space="preserve"> </w:t>
      </w:r>
      <w:r w:rsidR="0074243F" w:rsidRPr="003A1174">
        <w:rPr>
          <w:rFonts w:ascii="Garamond" w:hAnsi="Garamond" w:cs="Arial"/>
          <w:sz w:val="24"/>
          <w:szCs w:val="24"/>
        </w:rPr>
        <w:t>mas</w:t>
      </w:r>
      <w:r w:rsidR="005777DA" w:rsidRPr="003A1174">
        <w:rPr>
          <w:rFonts w:ascii="Garamond" w:hAnsi="Garamond" w:cs="Arial"/>
          <w:sz w:val="24"/>
          <w:szCs w:val="24"/>
        </w:rPr>
        <w:t xml:space="preserve"> </w:t>
      </w:r>
      <w:r w:rsidR="00B91ED4" w:rsidRPr="003A1174">
        <w:rPr>
          <w:rFonts w:ascii="Garamond" w:hAnsi="Garamond" w:cs="Arial"/>
          <w:sz w:val="24"/>
          <w:szCs w:val="24"/>
        </w:rPr>
        <w:t xml:space="preserve">ainda </w:t>
      </w:r>
      <w:r w:rsidR="00D75A07" w:rsidRPr="003A1174">
        <w:rPr>
          <w:rFonts w:ascii="Garamond" w:hAnsi="Garamond" w:cs="Arial"/>
          <w:sz w:val="24"/>
          <w:szCs w:val="24"/>
        </w:rPr>
        <w:t>são</w:t>
      </w:r>
      <w:r w:rsidR="005777DA" w:rsidRPr="003A1174">
        <w:rPr>
          <w:rFonts w:ascii="Garamond" w:hAnsi="Garamond" w:cs="Arial"/>
          <w:sz w:val="24"/>
          <w:szCs w:val="24"/>
        </w:rPr>
        <w:t xml:space="preserve"> </w:t>
      </w:r>
      <w:r w:rsidR="00BA3CCE" w:rsidRPr="003A1174">
        <w:rPr>
          <w:rFonts w:ascii="Garamond" w:hAnsi="Garamond" w:cs="Arial"/>
          <w:sz w:val="24"/>
          <w:szCs w:val="24"/>
        </w:rPr>
        <w:t>escassas</w:t>
      </w:r>
      <w:r w:rsidR="00B91ED4" w:rsidRPr="003A1174">
        <w:rPr>
          <w:rFonts w:ascii="Garamond" w:hAnsi="Garamond" w:cs="Arial"/>
          <w:sz w:val="24"/>
          <w:szCs w:val="24"/>
        </w:rPr>
        <w:t>.</w:t>
      </w:r>
    </w:p>
    <w:p w:rsidR="00CA39B2" w:rsidRPr="003A1174" w:rsidRDefault="006466A5" w:rsidP="008719D4">
      <w:pPr>
        <w:pStyle w:val="Ttulo3"/>
        <w:spacing w:line="240" w:lineRule="auto"/>
        <w:rPr>
          <w:rFonts w:ascii="Garamond" w:hAnsi="Garamond"/>
          <w:sz w:val="24"/>
          <w:szCs w:val="24"/>
        </w:rPr>
      </w:pPr>
      <w:bookmarkStart w:id="41" w:name="_Toc421529729"/>
      <w:r w:rsidRPr="003A1174">
        <w:rPr>
          <w:rFonts w:ascii="Garamond" w:hAnsi="Garamond"/>
          <w:sz w:val="24"/>
          <w:szCs w:val="24"/>
        </w:rPr>
        <w:t>Venezuela</w:t>
      </w:r>
      <w:bookmarkEnd w:id="41"/>
    </w:p>
    <w:p w:rsidR="00CA39B2" w:rsidRPr="003A1174" w:rsidRDefault="00D87E68" w:rsidP="008719D4">
      <w:pPr>
        <w:pStyle w:val="Predeterminado"/>
        <w:spacing w:line="240" w:lineRule="auto"/>
        <w:jc w:val="both"/>
        <w:rPr>
          <w:rFonts w:ascii="Garamond" w:hAnsi="Garamond" w:cs="Arial"/>
          <w:color w:val="auto"/>
          <w:sz w:val="24"/>
          <w:szCs w:val="24"/>
          <w:lang w:val="pt-PT"/>
        </w:rPr>
      </w:pPr>
      <w:r>
        <w:rPr>
          <w:rFonts w:ascii="Garamond" w:hAnsi="Garamond" w:cs="Arial"/>
          <w:color w:val="auto"/>
          <w:sz w:val="24"/>
          <w:szCs w:val="24"/>
          <w:lang w:val="pt-PT"/>
        </w:rPr>
        <w:t>A Venezuela n</w:t>
      </w:r>
      <w:r w:rsidR="00B91ED4" w:rsidRPr="003A1174">
        <w:rPr>
          <w:rFonts w:ascii="Garamond" w:hAnsi="Garamond" w:cs="Arial"/>
          <w:color w:val="auto"/>
          <w:sz w:val="24"/>
          <w:szCs w:val="24"/>
          <w:lang w:val="pt-PT"/>
        </w:rPr>
        <w:t>ã</w:t>
      </w:r>
      <w:r w:rsidR="00CA39B2" w:rsidRPr="003A1174">
        <w:rPr>
          <w:rFonts w:ascii="Garamond" w:hAnsi="Garamond" w:cs="Arial"/>
          <w:color w:val="auto"/>
          <w:sz w:val="24"/>
          <w:szCs w:val="24"/>
          <w:lang w:val="pt-PT"/>
        </w:rPr>
        <w:t>o re</w:t>
      </w:r>
      <w:r w:rsidR="00B91ED4" w:rsidRPr="003A1174">
        <w:rPr>
          <w:rFonts w:ascii="Garamond" w:hAnsi="Garamond" w:cs="Arial"/>
          <w:color w:val="auto"/>
          <w:sz w:val="24"/>
          <w:szCs w:val="24"/>
          <w:lang w:val="pt-PT"/>
        </w:rPr>
        <w:t xml:space="preserve">fere </w:t>
      </w:r>
      <w:r w:rsidR="0017447A" w:rsidRPr="003A1174">
        <w:rPr>
          <w:rFonts w:ascii="Garamond" w:hAnsi="Garamond" w:cs="Arial"/>
          <w:color w:val="auto"/>
          <w:sz w:val="24"/>
          <w:szCs w:val="24"/>
          <w:lang w:val="pt-PT"/>
        </w:rPr>
        <w:t>informação</w:t>
      </w:r>
      <w:r w:rsidR="00CA39B2" w:rsidRPr="003A1174">
        <w:rPr>
          <w:rFonts w:ascii="Garamond" w:hAnsi="Garamond" w:cs="Arial"/>
          <w:color w:val="auto"/>
          <w:sz w:val="24"/>
          <w:szCs w:val="24"/>
          <w:lang w:val="pt-PT"/>
        </w:rPr>
        <w:t xml:space="preserve"> sobre esta temática</w:t>
      </w:r>
      <w:r>
        <w:rPr>
          <w:rFonts w:ascii="Garamond" w:hAnsi="Garamond" w:cs="Arial"/>
          <w:color w:val="auto"/>
          <w:sz w:val="24"/>
          <w:szCs w:val="24"/>
          <w:lang w:val="pt-PT"/>
        </w:rPr>
        <w:t>.</w:t>
      </w:r>
    </w:p>
    <w:p w:rsidR="00CA39B2" w:rsidRPr="003A1174" w:rsidRDefault="005D38DC" w:rsidP="008719D4">
      <w:pPr>
        <w:pStyle w:val="Ttulo2"/>
        <w:numPr>
          <w:ilvl w:val="1"/>
          <w:numId w:val="54"/>
        </w:numPr>
        <w:rPr>
          <w:rFonts w:ascii="Garamond" w:hAnsi="Garamond"/>
          <w:sz w:val="24"/>
          <w:szCs w:val="24"/>
        </w:rPr>
      </w:pPr>
      <w:bookmarkStart w:id="42" w:name="_Toc421529730"/>
      <w:r w:rsidRPr="003A1174">
        <w:rPr>
          <w:rFonts w:ascii="Garamond" w:hAnsi="Garamond"/>
          <w:sz w:val="24"/>
          <w:szCs w:val="24"/>
        </w:rPr>
        <w:t>Aspeto</w:t>
      </w:r>
      <w:r w:rsidR="00834495" w:rsidRPr="003A1174">
        <w:rPr>
          <w:rFonts w:ascii="Garamond" w:hAnsi="Garamond"/>
          <w:sz w:val="24"/>
          <w:szCs w:val="24"/>
        </w:rPr>
        <w:t xml:space="preserve">s </w:t>
      </w:r>
      <w:r w:rsidR="00C04CA4" w:rsidRPr="003A1174">
        <w:rPr>
          <w:rFonts w:ascii="Garamond" w:hAnsi="Garamond"/>
          <w:sz w:val="24"/>
          <w:szCs w:val="24"/>
        </w:rPr>
        <w:t>Institucionais</w:t>
      </w:r>
      <w:bookmarkEnd w:id="42"/>
    </w:p>
    <w:p w:rsidR="00CA39B2" w:rsidRPr="003A1174" w:rsidRDefault="00B91ED4"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Para </w:t>
      </w:r>
      <w:r w:rsidR="00621440" w:rsidRPr="003A1174">
        <w:rPr>
          <w:rFonts w:ascii="Garamond" w:hAnsi="Garamond" w:cs="Arial"/>
          <w:sz w:val="24"/>
          <w:szCs w:val="24"/>
        </w:rPr>
        <w:t xml:space="preserve">este </w:t>
      </w:r>
      <w:r w:rsidR="00D71B87" w:rsidRPr="003A1174">
        <w:rPr>
          <w:rFonts w:ascii="Garamond" w:hAnsi="Garamond" w:cs="Arial"/>
          <w:sz w:val="24"/>
          <w:szCs w:val="24"/>
        </w:rPr>
        <w:t>c</w:t>
      </w:r>
      <w:r w:rsidR="00621440" w:rsidRPr="003A1174">
        <w:rPr>
          <w:rFonts w:ascii="Garamond" w:hAnsi="Garamond" w:cs="Arial"/>
          <w:sz w:val="24"/>
          <w:szCs w:val="24"/>
        </w:rPr>
        <w:t xml:space="preserve">apítulo </w:t>
      </w:r>
      <w:r w:rsidRPr="003A1174">
        <w:rPr>
          <w:rFonts w:ascii="Garamond" w:hAnsi="Garamond" w:cs="Arial"/>
          <w:sz w:val="24"/>
          <w:szCs w:val="24"/>
        </w:rPr>
        <w:t xml:space="preserve">solicitou-se </w:t>
      </w:r>
      <w:r w:rsidR="0017447A" w:rsidRPr="003A1174">
        <w:rPr>
          <w:rFonts w:ascii="Garamond" w:hAnsi="Garamond" w:cs="Arial"/>
          <w:sz w:val="24"/>
          <w:szCs w:val="24"/>
        </w:rPr>
        <w:t>informação</w:t>
      </w:r>
      <w:r w:rsidR="00621440" w:rsidRPr="003A1174">
        <w:rPr>
          <w:rFonts w:ascii="Garamond" w:hAnsi="Garamond" w:cs="Arial"/>
          <w:sz w:val="24"/>
          <w:szCs w:val="24"/>
        </w:rPr>
        <w:t xml:space="preserve"> sobre s</w:t>
      </w:r>
      <w:r w:rsidRPr="003A1174">
        <w:rPr>
          <w:rFonts w:ascii="Garamond" w:hAnsi="Garamond" w:cs="Arial"/>
          <w:sz w:val="24"/>
          <w:szCs w:val="24"/>
        </w:rPr>
        <w:t xml:space="preserve">e </w:t>
      </w:r>
      <w:r w:rsidR="00621440" w:rsidRPr="003A1174">
        <w:rPr>
          <w:rFonts w:ascii="Garamond" w:hAnsi="Garamond" w:cs="Arial"/>
          <w:sz w:val="24"/>
          <w:szCs w:val="24"/>
        </w:rPr>
        <w:t>se</w:t>
      </w:r>
      <w:r w:rsidR="00CA39B2" w:rsidRPr="003A1174">
        <w:rPr>
          <w:rFonts w:ascii="Garamond" w:hAnsi="Garamond" w:cs="Arial"/>
          <w:sz w:val="24"/>
          <w:szCs w:val="24"/>
        </w:rPr>
        <w:t xml:space="preserve"> </w:t>
      </w:r>
      <w:r w:rsidRPr="003A1174">
        <w:rPr>
          <w:rFonts w:ascii="Garamond" w:hAnsi="Garamond" w:cs="Arial"/>
          <w:sz w:val="24"/>
          <w:szCs w:val="24"/>
        </w:rPr>
        <w:t xml:space="preserve">subscreveu </w:t>
      </w:r>
      <w:r w:rsidR="007A2492" w:rsidRPr="003A1174">
        <w:rPr>
          <w:rFonts w:ascii="Garamond" w:hAnsi="Garamond" w:cs="Arial"/>
          <w:sz w:val="24"/>
          <w:szCs w:val="24"/>
        </w:rPr>
        <w:t>algum</w:t>
      </w:r>
      <w:r w:rsidR="00CA39B2" w:rsidRPr="003A1174">
        <w:rPr>
          <w:rFonts w:ascii="Garamond" w:hAnsi="Garamond" w:cs="Arial"/>
          <w:sz w:val="24"/>
          <w:szCs w:val="24"/>
        </w:rPr>
        <w:t xml:space="preserve"> </w:t>
      </w:r>
      <w:r w:rsidRPr="003A1174">
        <w:rPr>
          <w:rFonts w:ascii="Garamond" w:hAnsi="Garamond" w:cs="Arial"/>
          <w:sz w:val="24"/>
          <w:szCs w:val="24"/>
        </w:rPr>
        <w:t xml:space="preserve">acordo </w:t>
      </w:r>
      <w:r w:rsidR="00CA39B2" w:rsidRPr="003A1174">
        <w:rPr>
          <w:rFonts w:ascii="Garamond" w:hAnsi="Garamond" w:cs="Arial"/>
          <w:sz w:val="24"/>
          <w:szCs w:val="24"/>
        </w:rPr>
        <w:t xml:space="preserve">de </w:t>
      </w:r>
      <w:r w:rsidR="00C30647" w:rsidRPr="003A1174">
        <w:rPr>
          <w:rFonts w:ascii="Garamond" w:hAnsi="Garamond" w:cs="Arial"/>
          <w:sz w:val="24"/>
          <w:szCs w:val="24"/>
        </w:rPr>
        <w:t>cooperação</w:t>
      </w:r>
      <w:r w:rsidR="00CA39B2" w:rsidRPr="003A1174">
        <w:rPr>
          <w:rFonts w:ascii="Garamond" w:hAnsi="Garamond" w:cs="Arial"/>
          <w:sz w:val="24"/>
          <w:szCs w:val="24"/>
        </w:rPr>
        <w:t xml:space="preserve"> interinstitucional que </w:t>
      </w:r>
      <w:r w:rsidRPr="003A1174">
        <w:rPr>
          <w:rFonts w:ascii="Garamond" w:hAnsi="Garamond" w:cs="Arial"/>
          <w:sz w:val="24"/>
          <w:szCs w:val="24"/>
        </w:rPr>
        <w:t xml:space="preserve">procure </w:t>
      </w:r>
      <w:r w:rsidR="00CA39B2" w:rsidRPr="003A1174">
        <w:rPr>
          <w:rFonts w:ascii="Garamond" w:hAnsi="Garamond" w:cs="Arial"/>
          <w:sz w:val="24"/>
          <w:szCs w:val="24"/>
        </w:rPr>
        <w:t xml:space="preserve">contribuir </w:t>
      </w:r>
      <w:r w:rsidRPr="003A1174">
        <w:rPr>
          <w:rFonts w:ascii="Garamond" w:hAnsi="Garamond" w:cs="Arial"/>
          <w:sz w:val="24"/>
          <w:szCs w:val="24"/>
        </w:rPr>
        <w:t xml:space="preserve">para </w:t>
      </w:r>
      <w:r w:rsidR="00CA39B2" w:rsidRPr="003A1174">
        <w:rPr>
          <w:rFonts w:ascii="Garamond" w:hAnsi="Garamond" w:cs="Arial"/>
          <w:sz w:val="24"/>
          <w:szCs w:val="24"/>
        </w:rPr>
        <w:t xml:space="preserve">a </w:t>
      </w:r>
      <w:r w:rsidR="00454353" w:rsidRPr="003A1174">
        <w:rPr>
          <w:rFonts w:ascii="Garamond" w:hAnsi="Garamond" w:cs="Arial"/>
          <w:sz w:val="24"/>
          <w:szCs w:val="24"/>
        </w:rPr>
        <w:t>solução</w:t>
      </w:r>
      <w:r w:rsidR="00CA39B2" w:rsidRPr="003A1174">
        <w:rPr>
          <w:rFonts w:ascii="Garamond" w:hAnsi="Garamond" w:cs="Arial"/>
          <w:sz w:val="24"/>
          <w:szCs w:val="24"/>
        </w:rPr>
        <w:t xml:space="preserve"> da problemática </w:t>
      </w:r>
      <w:r w:rsidR="008A3DA2" w:rsidRPr="003A1174">
        <w:rPr>
          <w:rFonts w:ascii="Garamond" w:hAnsi="Garamond" w:cs="Arial"/>
          <w:sz w:val="24"/>
          <w:szCs w:val="24"/>
        </w:rPr>
        <w:t>do</w:t>
      </w:r>
      <w:r w:rsidR="00CA39B2" w:rsidRPr="003A1174">
        <w:rPr>
          <w:rFonts w:ascii="Garamond" w:hAnsi="Garamond" w:cs="Arial"/>
          <w:sz w:val="24"/>
          <w:szCs w:val="24"/>
        </w:rPr>
        <w:t xml:space="preserve"> </w:t>
      </w:r>
      <w:r w:rsidR="00886D6A" w:rsidRPr="003A1174">
        <w:rPr>
          <w:rFonts w:ascii="Garamond" w:hAnsi="Garamond" w:cs="Arial"/>
          <w:sz w:val="24"/>
          <w:szCs w:val="24"/>
        </w:rPr>
        <w:t>acesso</w:t>
      </w:r>
      <w:r w:rsidR="00CA39B2"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00CA39B2" w:rsidRPr="003A1174">
        <w:rPr>
          <w:rFonts w:ascii="Garamond" w:hAnsi="Garamond" w:cs="Arial"/>
          <w:sz w:val="24"/>
          <w:szCs w:val="24"/>
        </w:rPr>
        <w:t xml:space="preserve"> de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s de </w:t>
      </w:r>
      <w:r w:rsidR="000350B1" w:rsidRPr="003A1174">
        <w:rPr>
          <w:rFonts w:ascii="Garamond" w:hAnsi="Garamond" w:cs="Arial"/>
          <w:sz w:val="24"/>
          <w:szCs w:val="24"/>
        </w:rPr>
        <w:t>violência</w:t>
      </w:r>
      <w:r w:rsidR="00621440" w:rsidRPr="003A1174">
        <w:rPr>
          <w:rFonts w:ascii="Garamond" w:hAnsi="Garamond" w:cs="Arial"/>
          <w:sz w:val="24"/>
          <w:szCs w:val="24"/>
        </w:rPr>
        <w:t xml:space="preserve"> </w:t>
      </w:r>
      <w:r w:rsidR="00497503" w:rsidRPr="003A1174">
        <w:rPr>
          <w:rFonts w:ascii="Garamond" w:hAnsi="Garamond" w:cs="Arial"/>
          <w:sz w:val="24"/>
          <w:szCs w:val="24"/>
        </w:rPr>
        <w:t>e</w:t>
      </w:r>
      <w:r w:rsidR="00621440" w:rsidRPr="003A1174">
        <w:rPr>
          <w:rFonts w:ascii="Garamond" w:hAnsi="Garamond" w:cs="Arial"/>
          <w:sz w:val="24"/>
          <w:szCs w:val="24"/>
        </w:rPr>
        <w:t xml:space="preserve">, </w:t>
      </w:r>
      <w:r w:rsidRPr="003A1174">
        <w:rPr>
          <w:rFonts w:ascii="Garamond" w:hAnsi="Garamond" w:cs="Arial"/>
          <w:sz w:val="24"/>
          <w:szCs w:val="24"/>
        </w:rPr>
        <w:t>também, relativamente às atuações</w:t>
      </w:r>
      <w:r w:rsidR="00621440" w:rsidRPr="003A1174">
        <w:rPr>
          <w:rFonts w:ascii="Garamond" w:hAnsi="Garamond" w:cs="Arial"/>
          <w:sz w:val="24"/>
          <w:szCs w:val="24"/>
        </w:rPr>
        <w:t xml:space="preserve"> relevantes </w:t>
      </w:r>
      <w:r w:rsidR="00497503" w:rsidRPr="003A1174">
        <w:rPr>
          <w:rFonts w:ascii="Garamond" w:hAnsi="Garamond" w:cs="Arial"/>
          <w:sz w:val="24"/>
          <w:szCs w:val="24"/>
        </w:rPr>
        <w:t>das</w:t>
      </w:r>
      <w:r w:rsidR="00621440" w:rsidRPr="003A1174">
        <w:rPr>
          <w:rFonts w:ascii="Garamond" w:hAnsi="Garamond" w:cs="Arial"/>
          <w:sz w:val="24"/>
          <w:szCs w:val="24"/>
        </w:rPr>
        <w:t xml:space="preserve"> </w:t>
      </w:r>
      <w:r w:rsidR="00DE6DF6" w:rsidRPr="003A1174">
        <w:rPr>
          <w:rFonts w:ascii="Garamond" w:hAnsi="Garamond" w:cs="Arial"/>
          <w:sz w:val="24"/>
          <w:szCs w:val="24"/>
        </w:rPr>
        <w:t>respetiva</w:t>
      </w:r>
      <w:r w:rsidR="00621440" w:rsidRPr="003A1174">
        <w:rPr>
          <w:rFonts w:ascii="Garamond" w:hAnsi="Garamond" w:cs="Arial"/>
          <w:sz w:val="24"/>
          <w:szCs w:val="24"/>
        </w:rPr>
        <w:t xml:space="preserve">s </w:t>
      </w:r>
      <w:r w:rsidR="00DC5DA7" w:rsidRPr="003A1174">
        <w:rPr>
          <w:rFonts w:ascii="Garamond" w:hAnsi="Garamond" w:cs="Arial"/>
          <w:sz w:val="24"/>
          <w:szCs w:val="24"/>
        </w:rPr>
        <w:t>Provedorias</w:t>
      </w:r>
      <w:r w:rsidR="00621440" w:rsidRPr="003A1174">
        <w:rPr>
          <w:rFonts w:ascii="Garamond" w:hAnsi="Garamond" w:cs="Arial"/>
          <w:sz w:val="24"/>
          <w:szCs w:val="24"/>
        </w:rPr>
        <w:t xml:space="preserve"> </w:t>
      </w:r>
      <w:r w:rsidR="00DC5DA7" w:rsidRPr="003A1174">
        <w:rPr>
          <w:rFonts w:ascii="Garamond" w:hAnsi="Garamond" w:cs="Arial"/>
          <w:sz w:val="24"/>
          <w:szCs w:val="24"/>
        </w:rPr>
        <w:t>de Justiça</w:t>
      </w:r>
      <w:r w:rsidR="00621440" w:rsidRPr="003A1174">
        <w:rPr>
          <w:rFonts w:ascii="Garamond" w:hAnsi="Garamond" w:cs="Arial"/>
          <w:sz w:val="24"/>
          <w:szCs w:val="24"/>
        </w:rPr>
        <w:t>.</w:t>
      </w:r>
      <w:r w:rsidR="00CA39B2" w:rsidRPr="003A1174">
        <w:rPr>
          <w:rFonts w:ascii="Garamond" w:hAnsi="Garamond" w:cs="Arial"/>
          <w:sz w:val="24"/>
          <w:szCs w:val="24"/>
        </w:rPr>
        <w:t xml:space="preserve">  </w:t>
      </w:r>
    </w:p>
    <w:p w:rsidR="00CA39B2" w:rsidRPr="003A1174" w:rsidRDefault="006466A5" w:rsidP="008719D4">
      <w:pPr>
        <w:pStyle w:val="Ttulo3"/>
        <w:spacing w:line="240" w:lineRule="auto"/>
        <w:rPr>
          <w:rFonts w:ascii="Garamond" w:hAnsi="Garamond"/>
          <w:sz w:val="24"/>
          <w:szCs w:val="24"/>
        </w:rPr>
      </w:pPr>
      <w:bookmarkStart w:id="43" w:name="_Toc421529731"/>
      <w:r w:rsidRPr="003A1174">
        <w:rPr>
          <w:rFonts w:ascii="Garamond" w:hAnsi="Garamond"/>
          <w:sz w:val="24"/>
          <w:szCs w:val="24"/>
        </w:rPr>
        <w:t>Argentina</w:t>
      </w:r>
      <w:bookmarkEnd w:id="43"/>
    </w:p>
    <w:p w:rsidR="00CA39B2" w:rsidRPr="003A1174" w:rsidRDefault="00D87E68" w:rsidP="008719D4">
      <w:pPr>
        <w:spacing w:before="240" w:after="0" w:line="240" w:lineRule="auto"/>
        <w:jc w:val="both"/>
        <w:rPr>
          <w:rFonts w:ascii="Garamond" w:hAnsi="Garamond" w:cs="Arial"/>
          <w:sz w:val="24"/>
          <w:szCs w:val="24"/>
        </w:rPr>
      </w:pPr>
      <w:r>
        <w:rPr>
          <w:rFonts w:ascii="Garamond" w:hAnsi="Garamond" w:cs="Arial"/>
          <w:sz w:val="24"/>
          <w:szCs w:val="24"/>
        </w:rPr>
        <w:t>Na Argentina,</w:t>
      </w:r>
      <w:r w:rsidR="00771C19">
        <w:rPr>
          <w:rFonts w:ascii="Garamond" w:hAnsi="Garamond" w:cs="Arial"/>
          <w:sz w:val="24"/>
          <w:szCs w:val="24"/>
        </w:rPr>
        <w:t xml:space="preserve"> </w:t>
      </w:r>
      <w:r w:rsidR="00CA39B2" w:rsidRPr="003A1174">
        <w:rPr>
          <w:rFonts w:ascii="Garamond" w:hAnsi="Garamond" w:cs="Arial"/>
          <w:sz w:val="24"/>
          <w:szCs w:val="24"/>
        </w:rPr>
        <w:t>e</w:t>
      </w:r>
      <w:r w:rsidR="00D71B87" w:rsidRPr="003A1174">
        <w:rPr>
          <w:rFonts w:ascii="Garamond" w:hAnsi="Garamond" w:cs="Arial"/>
          <w:sz w:val="24"/>
          <w:szCs w:val="24"/>
        </w:rPr>
        <w:t>ntr</w:t>
      </w:r>
      <w:r w:rsidR="00B91ED4" w:rsidRPr="003A1174">
        <w:rPr>
          <w:rFonts w:ascii="Garamond" w:hAnsi="Garamond" w:cs="Arial"/>
          <w:sz w:val="24"/>
          <w:szCs w:val="24"/>
        </w:rPr>
        <w:t xml:space="preserve">ou em </w:t>
      </w:r>
      <w:r w:rsidR="00CD707D" w:rsidRPr="003A1174">
        <w:rPr>
          <w:rFonts w:ascii="Garamond" w:hAnsi="Garamond" w:cs="Arial"/>
          <w:sz w:val="24"/>
          <w:szCs w:val="24"/>
        </w:rPr>
        <w:t>vig</w:t>
      </w:r>
      <w:r w:rsidR="00B91ED4" w:rsidRPr="003A1174">
        <w:rPr>
          <w:rFonts w:ascii="Garamond" w:hAnsi="Garamond" w:cs="Arial"/>
          <w:sz w:val="24"/>
          <w:szCs w:val="24"/>
        </w:rPr>
        <w:t>or</w:t>
      </w:r>
      <w:r w:rsidR="00771C19">
        <w:rPr>
          <w:rFonts w:ascii="Garamond" w:hAnsi="Garamond" w:cs="Arial"/>
          <w:sz w:val="24"/>
          <w:szCs w:val="24"/>
        </w:rPr>
        <w:t>, d</w:t>
      </w:r>
      <w:r w:rsidR="00771C19" w:rsidRPr="003A1174">
        <w:rPr>
          <w:rFonts w:ascii="Garamond" w:hAnsi="Garamond" w:cs="Arial"/>
          <w:sz w:val="24"/>
          <w:szCs w:val="24"/>
        </w:rPr>
        <w:t>esde 2012</w:t>
      </w:r>
      <w:r w:rsidR="00771C19">
        <w:rPr>
          <w:rFonts w:ascii="Garamond" w:hAnsi="Garamond" w:cs="Arial"/>
          <w:sz w:val="24"/>
          <w:szCs w:val="24"/>
        </w:rPr>
        <w:t>,</w:t>
      </w:r>
      <w:r w:rsidR="00B91ED4" w:rsidRPr="003A1174">
        <w:rPr>
          <w:rFonts w:ascii="Garamond" w:hAnsi="Garamond" w:cs="Arial"/>
          <w:sz w:val="24"/>
          <w:szCs w:val="24"/>
        </w:rPr>
        <w:t xml:space="preserve"> um Acordo </w:t>
      </w:r>
      <w:r w:rsidR="00CA39B2" w:rsidRPr="003A1174">
        <w:rPr>
          <w:rFonts w:ascii="Garamond" w:hAnsi="Garamond" w:cs="Arial"/>
          <w:sz w:val="24"/>
          <w:szCs w:val="24"/>
        </w:rPr>
        <w:t xml:space="preserve">de </w:t>
      </w:r>
      <w:r w:rsidR="00C30647" w:rsidRPr="003A1174">
        <w:rPr>
          <w:rFonts w:ascii="Garamond" w:hAnsi="Garamond" w:cs="Arial"/>
          <w:sz w:val="24"/>
          <w:szCs w:val="24"/>
        </w:rPr>
        <w:t>cooperação</w:t>
      </w:r>
      <w:r w:rsidR="00CA39B2" w:rsidRPr="003A1174">
        <w:rPr>
          <w:rFonts w:ascii="Garamond" w:hAnsi="Garamond" w:cs="Arial"/>
          <w:sz w:val="24"/>
          <w:szCs w:val="24"/>
        </w:rPr>
        <w:t xml:space="preserve"> entre </w:t>
      </w:r>
      <w:r w:rsidR="00B91ED4"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Público da </w:t>
      </w:r>
      <w:r w:rsidR="002C7510" w:rsidRPr="003A1174">
        <w:rPr>
          <w:rFonts w:ascii="Garamond" w:hAnsi="Garamond" w:cs="Arial"/>
          <w:sz w:val="24"/>
          <w:szCs w:val="24"/>
        </w:rPr>
        <w:t>Defesa</w:t>
      </w:r>
      <w:r w:rsidR="00CA39B2" w:rsidRPr="003A1174">
        <w:rPr>
          <w:rFonts w:ascii="Garamond" w:hAnsi="Garamond" w:cs="Arial"/>
          <w:sz w:val="24"/>
          <w:szCs w:val="24"/>
        </w:rPr>
        <w:t xml:space="preserve">, </w:t>
      </w:r>
      <w:r w:rsidR="00B91ED4"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de </w:t>
      </w:r>
      <w:r w:rsidR="009B133A" w:rsidRPr="003A1174">
        <w:rPr>
          <w:rFonts w:ascii="Garamond" w:hAnsi="Garamond" w:cs="Arial"/>
          <w:sz w:val="24"/>
          <w:szCs w:val="24"/>
        </w:rPr>
        <w:t>Desenvolvimento</w:t>
      </w:r>
      <w:r w:rsidR="00CA39B2" w:rsidRPr="003A1174">
        <w:rPr>
          <w:rFonts w:ascii="Garamond" w:hAnsi="Garamond" w:cs="Arial"/>
          <w:sz w:val="24"/>
          <w:szCs w:val="24"/>
        </w:rPr>
        <w:t xml:space="preserve"> Social da </w:t>
      </w:r>
      <w:r w:rsidR="006E0719" w:rsidRPr="003A1174">
        <w:rPr>
          <w:rFonts w:ascii="Garamond" w:hAnsi="Garamond" w:cs="Arial"/>
          <w:sz w:val="24"/>
          <w:szCs w:val="24"/>
        </w:rPr>
        <w:t>Nação</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B91ED4" w:rsidRPr="003A1174">
        <w:rPr>
          <w:rFonts w:ascii="Garamond" w:hAnsi="Garamond" w:cs="Arial"/>
          <w:sz w:val="24"/>
          <w:szCs w:val="24"/>
        </w:rPr>
        <w:t xml:space="preserve">o </w:t>
      </w:r>
      <w:r w:rsidR="004C1496" w:rsidRPr="003A1174">
        <w:rPr>
          <w:rFonts w:ascii="Garamond" w:hAnsi="Garamond" w:cs="Arial"/>
          <w:sz w:val="24"/>
          <w:szCs w:val="24"/>
        </w:rPr>
        <w:t>Conselho</w:t>
      </w:r>
      <w:r w:rsidR="00CA39B2" w:rsidRPr="003A1174">
        <w:rPr>
          <w:rFonts w:ascii="Garamond" w:hAnsi="Garamond" w:cs="Arial"/>
          <w:sz w:val="24"/>
          <w:szCs w:val="24"/>
        </w:rPr>
        <w:t xml:space="preserve"> Nacional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co</w:t>
      </w:r>
      <w:r w:rsidR="00B91ED4" w:rsidRPr="003A1174">
        <w:rPr>
          <w:rFonts w:ascii="Garamond" w:hAnsi="Garamond" w:cs="Arial"/>
          <w:sz w:val="24"/>
          <w:szCs w:val="24"/>
        </w:rPr>
        <w:t xml:space="preserve">m o objetivo de </w:t>
      </w:r>
      <w:r w:rsidR="003A391A" w:rsidRPr="003A1174">
        <w:rPr>
          <w:rFonts w:ascii="Garamond" w:hAnsi="Garamond" w:cs="Arial"/>
          <w:sz w:val="24"/>
          <w:szCs w:val="24"/>
        </w:rPr>
        <w:t xml:space="preserve">contribuir </w:t>
      </w:r>
      <w:r w:rsidR="00012057">
        <w:rPr>
          <w:rFonts w:ascii="Garamond" w:hAnsi="Garamond" w:cs="Arial"/>
          <w:sz w:val="24"/>
          <w:szCs w:val="24"/>
        </w:rPr>
        <w:t xml:space="preserve">para </w:t>
      </w:r>
      <w:r w:rsidR="00AF192F" w:rsidRPr="003A1174">
        <w:rPr>
          <w:rFonts w:ascii="Garamond" w:hAnsi="Garamond" w:cs="Arial"/>
          <w:sz w:val="24"/>
          <w:szCs w:val="24"/>
        </w:rPr>
        <w:t>garantir</w:t>
      </w:r>
      <w:r w:rsidR="00012057">
        <w:rPr>
          <w:rFonts w:ascii="Garamond" w:hAnsi="Garamond" w:cs="Arial"/>
          <w:sz w:val="24"/>
          <w:szCs w:val="24"/>
        </w:rPr>
        <w:t xml:space="preserve">, </w:t>
      </w:r>
      <w:r w:rsidR="00012057" w:rsidRPr="003A1174">
        <w:rPr>
          <w:rFonts w:ascii="Garamond" w:hAnsi="Garamond" w:cs="Arial"/>
          <w:sz w:val="24"/>
          <w:szCs w:val="24"/>
        </w:rPr>
        <w:t>às vítimas de violência de género</w:t>
      </w:r>
      <w:r w:rsidR="00771C19">
        <w:rPr>
          <w:rFonts w:ascii="Garamond" w:hAnsi="Garamond" w:cs="Arial"/>
          <w:sz w:val="24"/>
          <w:szCs w:val="24"/>
        </w:rPr>
        <w:t>,</w:t>
      </w:r>
      <w:r w:rsidR="00CA39B2" w:rsidRPr="003A1174">
        <w:rPr>
          <w:rFonts w:ascii="Garamond" w:hAnsi="Garamond" w:cs="Arial"/>
          <w:sz w:val="24"/>
          <w:szCs w:val="24"/>
        </w:rPr>
        <w:t xml:space="preserve"> </w:t>
      </w:r>
      <w:r w:rsidR="00012057">
        <w:rPr>
          <w:rFonts w:ascii="Garamond" w:hAnsi="Garamond" w:cs="Arial"/>
          <w:sz w:val="24"/>
          <w:szCs w:val="24"/>
        </w:rPr>
        <w:t>o direito à a</w:t>
      </w:r>
      <w:r w:rsidR="00B531F2" w:rsidRPr="003A1174">
        <w:rPr>
          <w:rFonts w:ascii="Garamond" w:hAnsi="Garamond" w:cs="Arial"/>
          <w:sz w:val="24"/>
          <w:szCs w:val="24"/>
        </w:rPr>
        <w:t>ssessor</w:t>
      </w:r>
      <w:r>
        <w:rPr>
          <w:rFonts w:ascii="Garamond" w:hAnsi="Garamond" w:cs="Arial"/>
          <w:sz w:val="24"/>
          <w:szCs w:val="24"/>
        </w:rPr>
        <w:t>i</w:t>
      </w:r>
      <w:r w:rsidR="00B531F2" w:rsidRPr="003A1174">
        <w:rPr>
          <w:rFonts w:ascii="Garamond" w:hAnsi="Garamond" w:cs="Arial"/>
          <w:sz w:val="24"/>
          <w:szCs w:val="24"/>
        </w:rPr>
        <w:t>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003A391A" w:rsidRPr="003A1174">
        <w:rPr>
          <w:rFonts w:ascii="Garamond" w:hAnsi="Garamond" w:cs="Arial"/>
          <w:sz w:val="24"/>
          <w:szCs w:val="24"/>
        </w:rPr>
        <w:t>patrocínio</w:t>
      </w:r>
      <w:r w:rsidR="00CA39B2" w:rsidRPr="003A1174">
        <w:rPr>
          <w:rFonts w:ascii="Garamond" w:hAnsi="Garamond" w:cs="Arial"/>
          <w:sz w:val="24"/>
          <w:szCs w:val="24"/>
        </w:rPr>
        <w:t xml:space="preserve"> jurídico gratuito </w:t>
      </w:r>
      <w:r w:rsidR="00497503" w:rsidRPr="003A1174">
        <w:rPr>
          <w:rFonts w:ascii="Garamond" w:hAnsi="Garamond" w:cs="Arial"/>
          <w:sz w:val="24"/>
          <w:szCs w:val="24"/>
        </w:rPr>
        <w:t>e</w:t>
      </w:r>
      <w:r w:rsidR="00CA39B2" w:rsidRPr="003A1174">
        <w:rPr>
          <w:rFonts w:ascii="Garamond" w:hAnsi="Garamond" w:cs="Arial"/>
          <w:sz w:val="24"/>
          <w:szCs w:val="24"/>
        </w:rPr>
        <w:t xml:space="preserve"> especializado</w:t>
      </w:r>
      <w:r w:rsidR="00012057">
        <w:rPr>
          <w:rFonts w:ascii="Garamond" w:hAnsi="Garamond" w:cs="Arial"/>
          <w:sz w:val="24"/>
          <w:szCs w:val="24"/>
        </w:rPr>
        <w:t>,</w:t>
      </w:r>
      <w:r w:rsidR="00CA39B2" w:rsidRPr="003A1174">
        <w:rPr>
          <w:rFonts w:ascii="Garamond" w:hAnsi="Garamond" w:cs="Arial"/>
          <w:sz w:val="24"/>
          <w:szCs w:val="24"/>
        </w:rPr>
        <w:t xml:space="preserve"> </w:t>
      </w:r>
      <w:r w:rsidR="003A391A" w:rsidRPr="003A1174">
        <w:rPr>
          <w:rFonts w:ascii="Garamond" w:hAnsi="Garamond" w:cs="Arial"/>
          <w:sz w:val="24"/>
          <w:szCs w:val="24"/>
        </w:rPr>
        <w:t xml:space="preserve">no </w:t>
      </w:r>
      <w:r w:rsidR="00802ACC" w:rsidRPr="003A1174">
        <w:rPr>
          <w:rFonts w:ascii="Garamond" w:hAnsi="Garamond" w:cs="Arial"/>
          <w:sz w:val="24"/>
          <w:szCs w:val="24"/>
        </w:rPr>
        <w:t>âmbito</w:t>
      </w:r>
      <w:r w:rsidR="003A391A"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8651AF" w:rsidRPr="003A1174">
        <w:rPr>
          <w:rFonts w:ascii="Garamond" w:hAnsi="Garamond" w:cs="Arial"/>
          <w:sz w:val="24"/>
          <w:szCs w:val="24"/>
        </w:rPr>
        <w:t>Cidade</w:t>
      </w:r>
      <w:r w:rsidR="00CA39B2" w:rsidRPr="003A1174">
        <w:rPr>
          <w:rFonts w:ascii="Garamond" w:hAnsi="Garamond" w:cs="Arial"/>
          <w:sz w:val="24"/>
          <w:szCs w:val="24"/>
        </w:rPr>
        <w:t xml:space="preserve"> Autónoma de Buenos Aires, </w:t>
      </w:r>
      <w:r w:rsidR="003A391A" w:rsidRPr="003A1174">
        <w:rPr>
          <w:rFonts w:ascii="Garamond" w:hAnsi="Garamond" w:cs="Arial"/>
          <w:sz w:val="24"/>
          <w:szCs w:val="24"/>
        </w:rPr>
        <w:t xml:space="preserve">de </w:t>
      </w:r>
      <w:r w:rsidR="003F012B" w:rsidRPr="003A1174">
        <w:rPr>
          <w:rFonts w:ascii="Garamond" w:hAnsi="Garamond" w:cs="Arial"/>
          <w:sz w:val="24"/>
          <w:szCs w:val="24"/>
        </w:rPr>
        <w:t>acordo</w:t>
      </w:r>
      <w:r w:rsidR="00CA39B2" w:rsidRPr="003A1174">
        <w:rPr>
          <w:rFonts w:ascii="Garamond" w:hAnsi="Garamond" w:cs="Arial"/>
          <w:sz w:val="24"/>
          <w:szCs w:val="24"/>
        </w:rPr>
        <w:t xml:space="preserve"> co</w:t>
      </w:r>
      <w:r w:rsidR="003A391A" w:rsidRPr="003A1174">
        <w:rPr>
          <w:rFonts w:ascii="Garamond" w:hAnsi="Garamond" w:cs="Arial"/>
          <w:sz w:val="24"/>
          <w:szCs w:val="24"/>
        </w:rPr>
        <w:t xml:space="preserve">m </w:t>
      </w:r>
      <w:r w:rsidR="00CA39B2" w:rsidRPr="003A1174">
        <w:rPr>
          <w:rFonts w:ascii="Garamond" w:hAnsi="Garamond" w:cs="Arial"/>
          <w:sz w:val="24"/>
          <w:szCs w:val="24"/>
        </w:rPr>
        <w:t xml:space="preserve">o </w:t>
      </w:r>
      <w:r w:rsidR="003A391A" w:rsidRPr="003A1174">
        <w:rPr>
          <w:rFonts w:ascii="Garamond" w:hAnsi="Garamond" w:cs="Arial"/>
          <w:sz w:val="24"/>
          <w:szCs w:val="24"/>
        </w:rPr>
        <w:t>disposto</w:t>
      </w:r>
      <w:r w:rsidR="00CA39B2" w:rsidRPr="003A1174">
        <w:rPr>
          <w:rFonts w:ascii="Garamond" w:hAnsi="Garamond" w:cs="Arial"/>
          <w:sz w:val="24"/>
          <w:szCs w:val="24"/>
        </w:rPr>
        <w:t xml:space="preserve"> </w:t>
      </w:r>
      <w:r w:rsidR="003A391A" w:rsidRPr="003A1174">
        <w:rPr>
          <w:rFonts w:ascii="Garamond" w:hAnsi="Garamond" w:cs="Arial"/>
          <w:sz w:val="24"/>
          <w:szCs w:val="24"/>
        </w:rPr>
        <w:t>nos</w:t>
      </w:r>
      <w:r w:rsidR="00CA39B2" w:rsidRPr="003A1174">
        <w:rPr>
          <w:rFonts w:ascii="Garamond" w:hAnsi="Garamond" w:cs="Arial"/>
          <w:sz w:val="24"/>
          <w:szCs w:val="24"/>
        </w:rPr>
        <w:t xml:space="preserve"> </w:t>
      </w:r>
      <w:r w:rsidR="00383B3F" w:rsidRPr="003A1174">
        <w:rPr>
          <w:rFonts w:ascii="Garamond" w:hAnsi="Garamond" w:cs="Arial"/>
          <w:sz w:val="24"/>
          <w:szCs w:val="24"/>
        </w:rPr>
        <w:t>Art</w:t>
      </w:r>
      <w:r w:rsidR="006C2604" w:rsidRPr="003A1174">
        <w:rPr>
          <w:rFonts w:ascii="Garamond" w:hAnsi="Garamond" w:cs="Arial"/>
          <w:sz w:val="24"/>
          <w:szCs w:val="24"/>
        </w:rPr>
        <w:t>s</w:t>
      </w:r>
      <w:r w:rsidR="00383B3F" w:rsidRPr="003A1174">
        <w:rPr>
          <w:rFonts w:ascii="Garamond" w:hAnsi="Garamond" w:cs="Arial"/>
          <w:sz w:val="24"/>
          <w:szCs w:val="24"/>
        </w:rPr>
        <w:t>.</w:t>
      </w:r>
      <w:r w:rsidR="00CA39B2" w:rsidRPr="003A1174">
        <w:rPr>
          <w:rFonts w:ascii="Garamond" w:hAnsi="Garamond" w:cs="Arial"/>
          <w:sz w:val="24"/>
          <w:szCs w:val="24"/>
        </w:rPr>
        <w:t xml:space="preserve"> </w:t>
      </w:r>
      <w:proofErr w:type="gramStart"/>
      <w:r w:rsidR="00CA39B2" w:rsidRPr="003A1174">
        <w:rPr>
          <w:rFonts w:ascii="Garamond" w:hAnsi="Garamond" w:cs="Arial"/>
          <w:sz w:val="24"/>
          <w:szCs w:val="24"/>
        </w:rPr>
        <w:t>3</w:t>
      </w:r>
      <w:proofErr w:type="gramEnd"/>
      <w:r w:rsidR="006F7581">
        <w:rPr>
          <w:rFonts w:ascii="Garamond" w:hAnsi="Garamond" w:cs="Arial"/>
          <w:sz w:val="24"/>
          <w:szCs w:val="24"/>
        </w:rPr>
        <w:t xml:space="preserve"> alínea </w:t>
      </w:r>
      <w:r w:rsidR="00CA39B2" w:rsidRPr="003A1174">
        <w:rPr>
          <w:rFonts w:ascii="Garamond" w:hAnsi="Garamond" w:cs="Arial"/>
          <w:sz w:val="24"/>
          <w:szCs w:val="24"/>
        </w:rPr>
        <w:t xml:space="preserve">i) </w:t>
      </w:r>
      <w:r w:rsidR="00497503" w:rsidRPr="003A1174">
        <w:rPr>
          <w:rFonts w:ascii="Garamond" w:hAnsi="Garamond" w:cs="Arial"/>
          <w:sz w:val="24"/>
          <w:szCs w:val="24"/>
        </w:rPr>
        <w:t>e</w:t>
      </w:r>
      <w:r w:rsidR="00CA39B2" w:rsidRPr="003A1174">
        <w:rPr>
          <w:rFonts w:ascii="Garamond" w:hAnsi="Garamond" w:cs="Arial"/>
          <w:sz w:val="24"/>
          <w:szCs w:val="24"/>
        </w:rPr>
        <w:t xml:space="preserve"> 16</w:t>
      </w:r>
      <w:r w:rsidR="006F7581">
        <w:rPr>
          <w:rFonts w:ascii="Garamond" w:hAnsi="Garamond" w:cs="Arial"/>
          <w:sz w:val="24"/>
          <w:szCs w:val="24"/>
        </w:rPr>
        <w:t xml:space="preserve">, alínea </w:t>
      </w:r>
      <w:r w:rsidR="00CA39B2" w:rsidRPr="003A1174">
        <w:rPr>
          <w:rFonts w:ascii="Garamond" w:hAnsi="Garamond" w:cs="Arial"/>
          <w:sz w:val="24"/>
          <w:szCs w:val="24"/>
        </w:rPr>
        <w:t xml:space="preserve">a) da </w:t>
      </w:r>
      <w:r w:rsidR="00D15AFF" w:rsidRPr="003A1174">
        <w:rPr>
          <w:rFonts w:ascii="Garamond" w:hAnsi="Garamond" w:cs="Arial"/>
          <w:sz w:val="24"/>
          <w:szCs w:val="24"/>
        </w:rPr>
        <w:t>Lei</w:t>
      </w:r>
      <w:r w:rsidR="00CA39B2" w:rsidRPr="003A1174">
        <w:rPr>
          <w:rFonts w:ascii="Garamond" w:hAnsi="Garamond" w:cs="Arial"/>
          <w:sz w:val="24"/>
          <w:szCs w:val="24"/>
        </w:rPr>
        <w:t xml:space="preserve"> 26</w:t>
      </w:r>
      <w:r w:rsidR="00012057">
        <w:rPr>
          <w:rFonts w:ascii="Garamond" w:hAnsi="Garamond" w:cs="Arial"/>
          <w:sz w:val="24"/>
          <w:szCs w:val="24"/>
        </w:rPr>
        <w:t xml:space="preserve"> </w:t>
      </w:r>
      <w:r w:rsidR="00CA39B2" w:rsidRPr="003A1174">
        <w:rPr>
          <w:rFonts w:ascii="Garamond" w:hAnsi="Garamond" w:cs="Arial"/>
          <w:sz w:val="24"/>
          <w:szCs w:val="24"/>
        </w:rPr>
        <w:t xml:space="preserve">485 sobre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 </w:t>
      </w:r>
    </w:p>
    <w:p w:rsidR="00CA39B2" w:rsidRPr="003A1174" w:rsidRDefault="003A391A" w:rsidP="008719D4">
      <w:pPr>
        <w:spacing w:before="240" w:after="0" w:line="240" w:lineRule="auto"/>
        <w:jc w:val="both"/>
        <w:rPr>
          <w:rFonts w:ascii="Garamond" w:hAnsi="Garamond" w:cs="Arial"/>
          <w:sz w:val="24"/>
          <w:szCs w:val="24"/>
        </w:rPr>
      </w:pPr>
      <w:r w:rsidRPr="003A1174">
        <w:rPr>
          <w:rFonts w:ascii="Garamond" w:hAnsi="Garamond" w:cs="Arial"/>
          <w:sz w:val="24"/>
          <w:szCs w:val="24"/>
        </w:rPr>
        <w:lastRenderedPageBreak/>
        <w:t>N</w:t>
      </w:r>
      <w:r w:rsidR="00CA39B2" w:rsidRPr="003A1174">
        <w:rPr>
          <w:rFonts w:ascii="Garamond" w:hAnsi="Garamond" w:cs="Arial"/>
          <w:sz w:val="24"/>
          <w:szCs w:val="24"/>
        </w:rPr>
        <w:t xml:space="preserve">este contexto, </w:t>
      </w:r>
      <w:r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Público da </w:t>
      </w:r>
      <w:r w:rsidR="002C7510" w:rsidRPr="003A1174">
        <w:rPr>
          <w:rFonts w:ascii="Garamond" w:hAnsi="Garamond" w:cs="Arial"/>
          <w:sz w:val="24"/>
          <w:szCs w:val="24"/>
        </w:rPr>
        <w:t>Defesa</w:t>
      </w:r>
      <w:r w:rsidR="00CA39B2" w:rsidRPr="003A1174">
        <w:rPr>
          <w:rFonts w:ascii="Garamond" w:hAnsi="Garamond" w:cs="Arial"/>
          <w:sz w:val="24"/>
          <w:szCs w:val="24"/>
        </w:rPr>
        <w:t xml:space="preserve"> </w:t>
      </w:r>
      <w:r w:rsidR="00E67EF8" w:rsidRPr="003A1174">
        <w:rPr>
          <w:rFonts w:ascii="Garamond" w:hAnsi="Garamond" w:cs="Arial"/>
          <w:sz w:val="24"/>
          <w:szCs w:val="24"/>
        </w:rPr>
        <w:t>criou</w:t>
      </w:r>
      <w:r w:rsidRPr="003A1174">
        <w:rPr>
          <w:rFonts w:ascii="Garamond" w:hAnsi="Garamond" w:cs="Arial"/>
          <w:sz w:val="24"/>
          <w:szCs w:val="24"/>
        </w:rPr>
        <w:t xml:space="preserve"> o</w:t>
      </w:r>
      <w:r w:rsidR="00CA39B2" w:rsidRPr="003A1174">
        <w:rPr>
          <w:rFonts w:ascii="Garamond" w:hAnsi="Garamond" w:cs="Arial"/>
          <w:sz w:val="24"/>
          <w:szCs w:val="24"/>
        </w:rPr>
        <w:t xml:space="preserve"> </w:t>
      </w:r>
      <w:r w:rsidRPr="003A1174">
        <w:rPr>
          <w:rFonts w:ascii="Garamond" w:hAnsi="Garamond" w:cs="Arial"/>
          <w:sz w:val="24"/>
          <w:szCs w:val="24"/>
        </w:rPr>
        <w:t>Projeto-</w:t>
      </w:r>
      <w:r w:rsidR="00771C19">
        <w:rPr>
          <w:rFonts w:ascii="Garamond" w:hAnsi="Garamond" w:cs="Arial"/>
          <w:sz w:val="24"/>
          <w:szCs w:val="24"/>
        </w:rPr>
        <w:t>P</w:t>
      </w:r>
      <w:r w:rsidRPr="003A1174">
        <w:rPr>
          <w:rFonts w:ascii="Garamond" w:hAnsi="Garamond" w:cs="Arial"/>
          <w:sz w:val="24"/>
          <w:szCs w:val="24"/>
        </w:rPr>
        <w:t>iloto</w:t>
      </w:r>
      <w:r w:rsidR="00CA39B2" w:rsidRPr="003A1174">
        <w:rPr>
          <w:rFonts w:ascii="Garamond" w:hAnsi="Garamond" w:cs="Arial"/>
          <w:sz w:val="24"/>
          <w:szCs w:val="24"/>
        </w:rPr>
        <w:t xml:space="preserve"> de </w:t>
      </w:r>
      <w:r w:rsidR="000350B1" w:rsidRPr="003A1174">
        <w:rPr>
          <w:rFonts w:ascii="Garamond" w:hAnsi="Garamond" w:cs="Arial"/>
          <w:sz w:val="24"/>
          <w:szCs w:val="24"/>
        </w:rPr>
        <w:t>Assistência</w:t>
      </w:r>
      <w:r w:rsidR="00CA39B2" w:rsidRPr="003A1174">
        <w:rPr>
          <w:rFonts w:ascii="Garamond" w:hAnsi="Garamond" w:cs="Arial"/>
          <w:sz w:val="24"/>
          <w:szCs w:val="24"/>
        </w:rPr>
        <w:t xml:space="preserve">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Pr="003A1174">
        <w:rPr>
          <w:rFonts w:ascii="Garamond" w:hAnsi="Garamond" w:cs="Arial"/>
          <w:sz w:val="24"/>
          <w:szCs w:val="24"/>
        </w:rPr>
        <w:t>Patrocínio</w:t>
      </w:r>
      <w:r w:rsidR="00CA39B2" w:rsidRPr="003A1174">
        <w:rPr>
          <w:rFonts w:ascii="Garamond" w:hAnsi="Garamond" w:cs="Arial"/>
          <w:sz w:val="24"/>
          <w:szCs w:val="24"/>
        </w:rPr>
        <w:t xml:space="preserve"> Jurídico Gratuito a </w:t>
      </w:r>
      <w:r w:rsidR="003F012B" w:rsidRPr="003A1174">
        <w:rPr>
          <w:rFonts w:ascii="Garamond" w:hAnsi="Garamond" w:cs="Arial"/>
          <w:sz w:val="24"/>
          <w:szCs w:val="24"/>
        </w:rPr>
        <w:t>Vítima</w:t>
      </w:r>
      <w:r w:rsidR="00CA39B2" w:rsidRPr="003A1174">
        <w:rPr>
          <w:rFonts w:ascii="Garamond" w:hAnsi="Garamond" w:cs="Arial"/>
          <w:sz w:val="24"/>
          <w:szCs w:val="24"/>
        </w:rPr>
        <w:t xml:space="preserve">s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de Género</w:t>
      </w:r>
      <w:r w:rsidR="006C2604" w:rsidRPr="003A1174">
        <w:rPr>
          <w:rFonts w:ascii="Garamond" w:hAnsi="Garamond" w:cs="Arial"/>
          <w:sz w:val="24"/>
          <w:szCs w:val="24"/>
        </w:rPr>
        <w:t>,</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7342D9" w:rsidRPr="003A1174">
        <w:rPr>
          <w:rFonts w:ascii="Garamond" w:hAnsi="Garamond" w:cs="Arial"/>
          <w:sz w:val="24"/>
          <w:szCs w:val="24"/>
        </w:rPr>
        <w:t>qualquer</w:t>
      </w:r>
      <w:r w:rsidRPr="003A1174">
        <w:rPr>
          <w:rFonts w:ascii="Garamond" w:hAnsi="Garamond" w:cs="Arial"/>
          <w:sz w:val="24"/>
          <w:szCs w:val="24"/>
        </w:rPr>
        <w:t xml:space="preserve"> </w:t>
      </w:r>
      <w:r w:rsidR="00771C19">
        <w:rPr>
          <w:rFonts w:ascii="Garamond" w:hAnsi="Garamond" w:cs="Arial"/>
          <w:sz w:val="24"/>
          <w:szCs w:val="24"/>
        </w:rPr>
        <w:t xml:space="preserve">uma </w:t>
      </w:r>
      <w:r w:rsidRPr="003A1174">
        <w:rPr>
          <w:rFonts w:ascii="Garamond" w:hAnsi="Garamond" w:cs="Arial"/>
          <w:sz w:val="24"/>
          <w:szCs w:val="24"/>
        </w:rPr>
        <w:t xml:space="preserve">das suas </w:t>
      </w:r>
      <w:r w:rsidR="00CA39B2" w:rsidRPr="003A1174">
        <w:rPr>
          <w:rFonts w:ascii="Garamond" w:hAnsi="Garamond" w:cs="Arial"/>
          <w:sz w:val="24"/>
          <w:szCs w:val="24"/>
        </w:rPr>
        <w:t xml:space="preserve">formas </w:t>
      </w:r>
      <w:r w:rsidR="00497503" w:rsidRPr="003A1174">
        <w:rPr>
          <w:rFonts w:ascii="Garamond" w:hAnsi="Garamond" w:cs="Arial"/>
          <w:sz w:val="24"/>
          <w:szCs w:val="24"/>
        </w:rPr>
        <w:t>e</w:t>
      </w:r>
      <w:r w:rsidR="00CA39B2" w:rsidRPr="003A1174">
        <w:rPr>
          <w:rFonts w:ascii="Garamond" w:hAnsi="Garamond" w:cs="Arial"/>
          <w:sz w:val="24"/>
          <w:szCs w:val="24"/>
        </w:rPr>
        <w:t xml:space="preserve"> modalidades. </w:t>
      </w:r>
      <w:r w:rsidRPr="003A1174">
        <w:rPr>
          <w:rFonts w:ascii="Garamond" w:hAnsi="Garamond" w:cs="Arial"/>
          <w:sz w:val="24"/>
          <w:szCs w:val="24"/>
        </w:rPr>
        <w:t xml:space="preserve">No </w:t>
      </w:r>
      <w:r w:rsidR="002C7510" w:rsidRPr="003A1174">
        <w:rPr>
          <w:rFonts w:ascii="Garamond" w:hAnsi="Garamond" w:cs="Arial"/>
          <w:sz w:val="24"/>
          <w:szCs w:val="24"/>
        </w:rPr>
        <w:t>ano</w:t>
      </w:r>
      <w:r w:rsidR="00CA39B2" w:rsidRPr="003A1174">
        <w:rPr>
          <w:rFonts w:ascii="Garamond" w:hAnsi="Garamond" w:cs="Arial"/>
          <w:sz w:val="24"/>
          <w:szCs w:val="24"/>
        </w:rPr>
        <w:t xml:space="preserve"> </w:t>
      </w:r>
      <w:r w:rsidR="00D4575C" w:rsidRPr="003A1174">
        <w:rPr>
          <w:rFonts w:ascii="Garamond" w:hAnsi="Garamond" w:cs="Arial"/>
          <w:sz w:val="24"/>
          <w:szCs w:val="24"/>
        </w:rPr>
        <w:t>passado</w:t>
      </w:r>
      <w:r w:rsidR="00771C19">
        <w:rPr>
          <w:rFonts w:ascii="Garamond" w:hAnsi="Garamond" w:cs="Arial"/>
          <w:sz w:val="24"/>
          <w:szCs w:val="24"/>
        </w:rPr>
        <w:t>,</w:t>
      </w:r>
      <w:r w:rsidRPr="003A1174">
        <w:rPr>
          <w:rFonts w:ascii="Garamond" w:hAnsi="Garamond" w:cs="Arial"/>
          <w:sz w:val="24"/>
          <w:szCs w:val="24"/>
        </w:rPr>
        <w:t xml:space="preserve"> </w:t>
      </w:r>
      <w:r w:rsidR="00CA39B2" w:rsidRPr="003A1174">
        <w:rPr>
          <w:rFonts w:ascii="Garamond" w:hAnsi="Garamond" w:cs="Arial"/>
          <w:sz w:val="24"/>
          <w:szCs w:val="24"/>
        </w:rPr>
        <w:t>abri</w:t>
      </w:r>
      <w:r w:rsidRPr="003A1174">
        <w:rPr>
          <w:rFonts w:ascii="Garamond" w:hAnsi="Garamond" w:cs="Arial"/>
          <w:sz w:val="24"/>
          <w:szCs w:val="24"/>
        </w:rPr>
        <w:t xml:space="preserve">u-se o </w:t>
      </w:r>
      <w:r w:rsidR="00CA39B2" w:rsidRPr="003A1174">
        <w:rPr>
          <w:rFonts w:ascii="Garamond" w:hAnsi="Garamond" w:cs="Arial"/>
          <w:sz w:val="24"/>
          <w:szCs w:val="24"/>
        </w:rPr>
        <w:t>terce</w:t>
      </w:r>
      <w:r w:rsidRPr="003A1174">
        <w:rPr>
          <w:rFonts w:ascii="Garamond" w:hAnsi="Garamond" w:cs="Arial"/>
          <w:sz w:val="24"/>
          <w:szCs w:val="24"/>
        </w:rPr>
        <w:t>i</w:t>
      </w:r>
      <w:r w:rsidR="00CA39B2" w:rsidRPr="003A1174">
        <w:rPr>
          <w:rFonts w:ascii="Garamond" w:hAnsi="Garamond" w:cs="Arial"/>
          <w:sz w:val="24"/>
          <w:szCs w:val="24"/>
        </w:rPr>
        <w:t>r</w:t>
      </w:r>
      <w:r w:rsidRPr="003A1174">
        <w:rPr>
          <w:rFonts w:ascii="Garamond" w:hAnsi="Garamond" w:cs="Arial"/>
          <w:sz w:val="24"/>
          <w:szCs w:val="24"/>
        </w:rPr>
        <w:t xml:space="preserve">o gabinete e </w:t>
      </w:r>
      <w:r w:rsidR="00771C19">
        <w:rPr>
          <w:rFonts w:ascii="Garamond" w:hAnsi="Garamond" w:cs="Arial"/>
          <w:sz w:val="24"/>
          <w:szCs w:val="24"/>
        </w:rPr>
        <w:t xml:space="preserve">implementou-se </w:t>
      </w:r>
      <w:r w:rsidR="00CA39B2" w:rsidRPr="003A1174">
        <w:rPr>
          <w:rFonts w:ascii="Garamond" w:hAnsi="Garamond" w:cs="Arial"/>
          <w:sz w:val="24"/>
          <w:szCs w:val="24"/>
        </w:rPr>
        <w:t xml:space="preserve">a </w:t>
      </w:r>
      <w:r w:rsidR="00771C19">
        <w:rPr>
          <w:rFonts w:ascii="Garamond" w:hAnsi="Garamond" w:cs="Arial"/>
          <w:sz w:val="24"/>
          <w:szCs w:val="24"/>
        </w:rPr>
        <w:t xml:space="preserve">criação </w:t>
      </w:r>
      <w:r w:rsidR="00CA39B2" w:rsidRPr="003A1174">
        <w:rPr>
          <w:rFonts w:ascii="Garamond" w:hAnsi="Garamond" w:cs="Arial"/>
          <w:sz w:val="24"/>
          <w:szCs w:val="24"/>
        </w:rPr>
        <w:t xml:space="preserve">de </w:t>
      </w:r>
      <w:r w:rsidR="00B531F2" w:rsidRPr="003A1174">
        <w:rPr>
          <w:rFonts w:ascii="Garamond" w:hAnsi="Garamond" w:cs="Arial"/>
          <w:sz w:val="24"/>
          <w:szCs w:val="24"/>
        </w:rPr>
        <w:t>serviço</w:t>
      </w:r>
      <w:r w:rsidR="00CA39B2" w:rsidRPr="003A1174">
        <w:rPr>
          <w:rFonts w:ascii="Garamond" w:hAnsi="Garamond" w:cs="Arial"/>
          <w:sz w:val="24"/>
          <w:szCs w:val="24"/>
        </w:rPr>
        <w:t>s descentralizados e</w:t>
      </w:r>
      <w:r w:rsidRPr="003A1174">
        <w:rPr>
          <w:rFonts w:ascii="Garamond" w:hAnsi="Garamond" w:cs="Arial"/>
          <w:sz w:val="24"/>
          <w:szCs w:val="24"/>
        </w:rPr>
        <w:t>m</w:t>
      </w:r>
      <w:r w:rsidR="00CA39B2" w:rsidRPr="003A1174">
        <w:rPr>
          <w:rFonts w:ascii="Garamond" w:hAnsi="Garamond" w:cs="Arial"/>
          <w:sz w:val="24"/>
          <w:szCs w:val="24"/>
        </w:rPr>
        <w:t xml:space="preserve"> </w:t>
      </w:r>
      <w:r w:rsidR="006F4B2C" w:rsidRPr="003A1174">
        <w:rPr>
          <w:rFonts w:ascii="Garamond" w:hAnsi="Garamond" w:cs="Arial"/>
          <w:sz w:val="24"/>
          <w:szCs w:val="24"/>
        </w:rPr>
        <w:t>alguns</w:t>
      </w:r>
      <w:r w:rsidR="00CA39B2" w:rsidRPr="003A1174">
        <w:rPr>
          <w:rFonts w:ascii="Garamond" w:hAnsi="Garamond" w:cs="Arial"/>
          <w:sz w:val="24"/>
          <w:szCs w:val="24"/>
        </w:rPr>
        <w:t xml:space="preserve"> </w:t>
      </w:r>
      <w:r w:rsidRPr="003A1174">
        <w:rPr>
          <w:rFonts w:ascii="Garamond" w:hAnsi="Garamond" w:cs="Arial"/>
          <w:sz w:val="24"/>
          <w:szCs w:val="24"/>
        </w:rPr>
        <w:t>bairro</w:t>
      </w:r>
      <w:r w:rsidR="00CA39B2" w:rsidRPr="003A1174">
        <w:rPr>
          <w:rFonts w:ascii="Garamond" w:hAnsi="Garamond" w:cs="Arial"/>
          <w:sz w:val="24"/>
          <w:szCs w:val="24"/>
        </w:rPr>
        <w:t xml:space="preserve">s </w:t>
      </w:r>
      <w:r w:rsidR="00497503" w:rsidRPr="003A1174">
        <w:rPr>
          <w:rFonts w:ascii="Garamond" w:hAnsi="Garamond" w:cs="Arial"/>
          <w:sz w:val="24"/>
          <w:szCs w:val="24"/>
        </w:rPr>
        <w:t>e</w:t>
      </w:r>
      <w:r w:rsidR="00CA39B2" w:rsidRPr="003A1174">
        <w:rPr>
          <w:rFonts w:ascii="Garamond" w:hAnsi="Garamond" w:cs="Arial"/>
          <w:sz w:val="24"/>
          <w:szCs w:val="24"/>
        </w:rPr>
        <w:t xml:space="preserve"> </w:t>
      </w:r>
      <w:r w:rsidRPr="003A1174">
        <w:rPr>
          <w:rFonts w:ascii="Garamond" w:hAnsi="Garamond" w:cs="Arial"/>
          <w:sz w:val="24"/>
          <w:szCs w:val="24"/>
        </w:rPr>
        <w:t xml:space="preserve">freguesias da </w:t>
      </w:r>
      <w:r w:rsidR="008651AF" w:rsidRPr="003A1174">
        <w:rPr>
          <w:rFonts w:ascii="Garamond" w:hAnsi="Garamond" w:cs="Arial"/>
          <w:sz w:val="24"/>
          <w:szCs w:val="24"/>
        </w:rPr>
        <w:t>cidade</w:t>
      </w:r>
      <w:r w:rsidR="00CA39B2" w:rsidRPr="003A1174">
        <w:rPr>
          <w:rFonts w:ascii="Garamond" w:hAnsi="Garamond" w:cs="Arial"/>
          <w:sz w:val="24"/>
          <w:szCs w:val="24"/>
        </w:rPr>
        <w:t xml:space="preserve"> de Buenos Aires. </w:t>
      </w:r>
    </w:p>
    <w:p w:rsidR="00CA39B2" w:rsidRPr="003A1174" w:rsidRDefault="00CA39B2" w:rsidP="003A391A">
      <w:pPr>
        <w:pStyle w:val="Textoindependiente"/>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w:t>
      </w:r>
      <w:r w:rsidR="001F2F8B" w:rsidRPr="003A1174">
        <w:rPr>
          <w:rFonts w:ascii="Garamond" w:hAnsi="Garamond" w:cs="Arial"/>
          <w:color w:val="auto"/>
          <w:sz w:val="24"/>
          <w:szCs w:val="24"/>
        </w:rPr>
        <w:t>outro</w:t>
      </w:r>
      <w:r w:rsidRPr="003A1174">
        <w:rPr>
          <w:rFonts w:ascii="Garamond" w:hAnsi="Garamond" w:cs="Arial"/>
          <w:color w:val="auto"/>
          <w:sz w:val="24"/>
          <w:szCs w:val="24"/>
        </w:rPr>
        <w:t xml:space="preserve"> lado</w:t>
      </w:r>
      <w:r w:rsidR="006C2604" w:rsidRPr="003A1174">
        <w:rPr>
          <w:rFonts w:ascii="Garamond" w:hAnsi="Garamond" w:cs="Arial"/>
          <w:color w:val="auto"/>
          <w:sz w:val="24"/>
          <w:szCs w:val="24"/>
        </w:rPr>
        <w:t>,</w:t>
      </w:r>
      <w:r w:rsidRPr="003A1174">
        <w:rPr>
          <w:rFonts w:ascii="Garamond" w:hAnsi="Garamond" w:cs="Arial"/>
          <w:color w:val="auto"/>
          <w:sz w:val="24"/>
          <w:szCs w:val="24"/>
        </w:rPr>
        <w:t xml:space="preserve"> </w:t>
      </w:r>
      <w:r w:rsidR="003A391A" w:rsidRPr="003A1174">
        <w:rPr>
          <w:rFonts w:ascii="Garamond" w:hAnsi="Garamond" w:cs="Arial"/>
          <w:color w:val="auto"/>
          <w:sz w:val="24"/>
          <w:szCs w:val="24"/>
        </w:rPr>
        <w:t xml:space="preserve">subscreveu-se uma Convenção-Quadro entre </w:t>
      </w:r>
      <w:r w:rsidRPr="003A1174">
        <w:rPr>
          <w:rFonts w:ascii="Garamond" w:hAnsi="Garamond" w:cs="Arial"/>
          <w:color w:val="auto"/>
          <w:sz w:val="24"/>
          <w:szCs w:val="24"/>
        </w:rPr>
        <w:t>a Universidad</w:t>
      </w:r>
      <w:r w:rsidR="003A391A" w:rsidRPr="003A1174">
        <w:rPr>
          <w:rFonts w:ascii="Garamond" w:hAnsi="Garamond" w:cs="Arial"/>
          <w:color w:val="auto"/>
          <w:sz w:val="24"/>
          <w:szCs w:val="24"/>
        </w:rPr>
        <w:t>e</w:t>
      </w:r>
      <w:r w:rsidRPr="003A1174">
        <w:rPr>
          <w:rFonts w:ascii="Garamond" w:hAnsi="Garamond" w:cs="Arial"/>
          <w:color w:val="auto"/>
          <w:sz w:val="24"/>
          <w:szCs w:val="24"/>
        </w:rPr>
        <w:t xml:space="preserve"> Tecnológica Nacional </w:t>
      </w:r>
      <w:r w:rsidR="006C2604" w:rsidRPr="003A1174">
        <w:rPr>
          <w:rFonts w:ascii="Garamond" w:hAnsi="Garamond" w:cs="Arial"/>
          <w:color w:val="auto"/>
          <w:sz w:val="24"/>
          <w:szCs w:val="24"/>
        </w:rPr>
        <w:t>(</w:t>
      </w:r>
      <w:r w:rsidRPr="003A1174">
        <w:rPr>
          <w:rFonts w:ascii="Garamond" w:hAnsi="Garamond" w:cs="Arial"/>
          <w:color w:val="auto"/>
          <w:sz w:val="24"/>
          <w:szCs w:val="24"/>
        </w:rPr>
        <w:t>sede Buenos Aires</w:t>
      </w:r>
      <w:r w:rsidR="006C2604" w:rsidRPr="003A1174">
        <w:rPr>
          <w:rFonts w:ascii="Garamond" w:hAnsi="Garamond" w:cs="Arial"/>
          <w:color w:val="auto"/>
          <w:sz w:val="24"/>
          <w:szCs w:val="24"/>
        </w:rPr>
        <w:t>)</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3A391A" w:rsidRPr="003A1174">
        <w:rPr>
          <w:rFonts w:ascii="Garamond" w:hAnsi="Garamond" w:cs="Arial"/>
          <w:color w:val="auto"/>
          <w:sz w:val="24"/>
          <w:szCs w:val="24"/>
        </w:rPr>
        <w:t xml:space="preserve"> </w:t>
      </w:r>
      <w:r w:rsidRPr="003A1174">
        <w:rPr>
          <w:rFonts w:ascii="Garamond" w:hAnsi="Garamond" w:cs="Arial"/>
          <w:color w:val="auto"/>
          <w:sz w:val="24"/>
          <w:szCs w:val="24"/>
        </w:rPr>
        <w:t xml:space="preserve">a </w:t>
      </w:r>
      <w:r w:rsidR="003A391A" w:rsidRPr="003A1174">
        <w:rPr>
          <w:rFonts w:ascii="Garamond" w:hAnsi="Garamond" w:cs="Arial"/>
          <w:color w:val="auto"/>
          <w:sz w:val="24"/>
          <w:szCs w:val="24"/>
        </w:rPr>
        <w:t>Associação</w:t>
      </w:r>
      <w:r w:rsidRPr="003A1174">
        <w:rPr>
          <w:rFonts w:ascii="Garamond" w:hAnsi="Garamond" w:cs="Arial"/>
          <w:color w:val="auto"/>
          <w:sz w:val="24"/>
          <w:szCs w:val="24"/>
        </w:rPr>
        <w:t xml:space="preserve"> Civil </w:t>
      </w:r>
      <w:r w:rsidR="00771C19">
        <w:rPr>
          <w:rFonts w:ascii="Garamond" w:hAnsi="Garamond" w:cs="Arial"/>
          <w:color w:val="auto"/>
          <w:sz w:val="24"/>
          <w:szCs w:val="24"/>
        </w:rPr>
        <w:t>a</w:t>
      </w:r>
      <w:r w:rsidR="003A391A" w:rsidRPr="003A1174">
        <w:rPr>
          <w:rFonts w:ascii="Garamond" w:hAnsi="Garamond" w:cs="Arial"/>
          <w:color w:val="auto"/>
          <w:sz w:val="24"/>
          <w:szCs w:val="24"/>
        </w:rPr>
        <w:t xml:space="preserve"> </w:t>
      </w:r>
      <w:r w:rsidRPr="003A1174">
        <w:rPr>
          <w:rFonts w:ascii="Garamond" w:hAnsi="Garamond" w:cs="Arial"/>
          <w:color w:val="auto"/>
          <w:sz w:val="24"/>
          <w:szCs w:val="24"/>
        </w:rPr>
        <w:t xml:space="preserve">Casa </w:t>
      </w:r>
      <w:r w:rsidR="008A3DA2" w:rsidRPr="003A1174">
        <w:rPr>
          <w:rFonts w:ascii="Garamond" w:hAnsi="Garamond" w:cs="Arial"/>
          <w:color w:val="auto"/>
          <w:sz w:val="24"/>
          <w:szCs w:val="24"/>
        </w:rPr>
        <w:t>do</w:t>
      </w:r>
      <w:r w:rsidRPr="003A1174">
        <w:rPr>
          <w:rFonts w:ascii="Garamond" w:hAnsi="Garamond" w:cs="Arial"/>
          <w:color w:val="auto"/>
          <w:sz w:val="24"/>
          <w:szCs w:val="24"/>
        </w:rPr>
        <w:t xml:space="preserve"> Enc</w:t>
      </w:r>
      <w:r w:rsidR="003A391A" w:rsidRPr="003A1174">
        <w:rPr>
          <w:rFonts w:ascii="Garamond" w:hAnsi="Garamond" w:cs="Arial"/>
          <w:color w:val="auto"/>
          <w:sz w:val="24"/>
          <w:szCs w:val="24"/>
        </w:rPr>
        <w:t>o</w:t>
      </w:r>
      <w:r w:rsidRPr="003A1174">
        <w:rPr>
          <w:rFonts w:ascii="Garamond" w:hAnsi="Garamond" w:cs="Arial"/>
          <w:color w:val="auto"/>
          <w:sz w:val="24"/>
          <w:szCs w:val="24"/>
        </w:rPr>
        <w:t>ntro, co</w:t>
      </w:r>
      <w:r w:rsidR="003A391A" w:rsidRPr="003A1174">
        <w:rPr>
          <w:rFonts w:ascii="Garamond" w:hAnsi="Garamond" w:cs="Arial"/>
          <w:color w:val="auto"/>
          <w:sz w:val="24"/>
          <w:szCs w:val="24"/>
        </w:rPr>
        <w:t>m o fim</w:t>
      </w:r>
      <w:r w:rsidRPr="003A1174">
        <w:rPr>
          <w:rFonts w:ascii="Garamond" w:hAnsi="Garamond" w:cs="Arial"/>
          <w:color w:val="auto"/>
          <w:sz w:val="24"/>
          <w:szCs w:val="24"/>
        </w:rPr>
        <w:t xml:space="preserve"> de</w:t>
      </w:r>
      <w:r w:rsidR="003A391A" w:rsidRPr="003A1174">
        <w:rPr>
          <w:rFonts w:ascii="Garamond" w:hAnsi="Garamond" w:cs="Arial"/>
          <w:color w:val="auto"/>
          <w:sz w:val="24"/>
          <w:szCs w:val="24"/>
        </w:rPr>
        <w:t xml:space="preserve"> proporcionar formação </w:t>
      </w:r>
      <w:r w:rsidRPr="003A1174">
        <w:rPr>
          <w:rFonts w:ascii="Garamond" w:hAnsi="Garamond" w:cs="Arial"/>
          <w:color w:val="auto"/>
          <w:sz w:val="24"/>
          <w:szCs w:val="24"/>
        </w:rPr>
        <w:t xml:space="preserve">a </w:t>
      </w:r>
      <w:r w:rsidR="00054EE0" w:rsidRPr="003A1174">
        <w:rPr>
          <w:rFonts w:ascii="Garamond" w:hAnsi="Garamond" w:cs="Arial"/>
          <w:color w:val="auto"/>
          <w:sz w:val="24"/>
          <w:szCs w:val="24"/>
        </w:rPr>
        <w:t>mulheres</w:t>
      </w:r>
      <w:r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Pr="003A1174">
        <w:rPr>
          <w:rFonts w:ascii="Garamond" w:hAnsi="Garamond" w:cs="Arial"/>
          <w:color w:val="auto"/>
          <w:sz w:val="24"/>
          <w:szCs w:val="24"/>
        </w:rPr>
        <w:t xml:space="preserve"> de género, tr</w:t>
      </w:r>
      <w:r w:rsidR="003A391A" w:rsidRPr="003A1174">
        <w:rPr>
          <w:rFonts w:ascii="Garamond" w:hAnsi="Garamond" w:cs="Arial"/>
          <w:color w:val="auto"/>
          <w:sz w:val="24"/>
          <w:szCs w:val="24"/>
        </w:rPr>
        <w:t xml:space="preserve">áfico </w:t>
      </w:r>
      <w:r w:rsidRPr="003A1174">
        <w:rPr>
          <w:rFonts w:ascii="Garamond" w:hAnsi="Garamond" w:cs="Arial"/>
          <w:color w:val="auto"/>
          <w:sz w:val="24"/>
          <w:szCs w:val="24"/>
        </w:rPr>
        <w:t xml:space="preserve">de </w:t>
      </w:r>
      <w:r w:rsidR="006C760C" w:rsidRPr="003A1174">
        <w:rPr>
          <w:rFonts w:ascii="Garamond" w:hAnsi="Garamond" w:cs="Arial"/>
          <w:color w:val="auto"/>
          <w:sz w:val="24"/>
          <w:szCs w:val="24"/>
        </w:rPr>
        <w:t>pessoas</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96583F" w:rsidRPr="003A1174">
        <w:rPr>
          <w:rFonts w:ascii="Garamond" w:hAnsi="Garamond" w:cs="Arial"/>
          <w:color w:val="auto"/>
          <w:sz w:val="24"/>
          <w:szCs w:val="24"/>
        </w:rPr>
        <w:t>exploração</w:t>
      </w:r>
      <w:r w:rsidRPr="003A1174">
        <w:rPr>
          <w:rFonts w:ascii="Garamond" w:hAnsi="Garamond" w:cs="Arial"/>
          <w:color w:val="auto"/>
          <w:sz w:val="24"/>
          <w:szCs w:val="24"/>
        </w:rPr>
        <w:t xml:space="preserve"> sexual, </w:t>
      </w:r>
      <w:r w:rsidR="006C2604" w:rsidRPr="003A1174">
        <w:rPr>
          <w:rFonts w:ascii="Garamond" w:hAnsi="Garamond" w:cs="Arial"/>
          <w:color w:val="auto"/>
          <w:sz w:val="24"/>
          <w:szCs w:val="24"/>
        </w:rPr>
        <w:t>mediante</w:t>
      </w:r>
      <w:r w:rsidRPr="003A1174">
        <w:rPr>
          <w:rFonts w:ascii="Garamond" w:hAnsi="Garamond" w:cs="Arial"/>
          <w:color w:val="auto"/>
          <w:sz w:val="24"/>
          <w:szCs w:val="24"/>
        </w:rPr>
        <w:t xml:space="preserve"> cursos </w:t>
      </w:r>
      <w:r w:rsidR="00771C19">
        <w:rPr>
          <w:rFonts w:ascii="Garamond" w:hAnsi="Garamond" w:cs="Arial"/>
          <w:color w:val="auto"/>
          <w:sz w:val="24"/>
          <w:szCs w:val="24"/>
        </w:rPr>
        <w:t xml:space="preserve">profissionais </w:t>
      </w:r>
      <w:r w:rsidRPr="003A1174">
        <w:rPr>
          <w:rFonts w:ascii="Garamond" w:hAnsi="Garamond" w:cs="Arial"/>
          <w:color w:val="auto"/>
          <w:sz w:val="24"/>
          <w:szCs w:val="24"/>
        </w:rPr>
        <w:t>que l</w:t>
      </w:r>
      <w:r w:rsidR="003A391A" w:rsidRPr="003A1174">
        <w:rPr>
          <w:rFonts w:ascii="Garamond" w:hAnsi="Garamond" w:cs="Arial"/>
          <w:color w:val="auto"/>
          <w:sz w:val="24"/>
          <w:szCs w:val="24"/>
        </w:rPr>
        <w:t>h</w:t>
      </w:r>
      <w:r w:rsidRPr="003A1174">
        <w:rPr>
          <w:rFonts w:ascii="Garamond" w:hAnsi="Garamond" w:cs="Arial"/>
          <w:color w:val="auto"/>
          <w:sz w:val="24"/>
          <w:szCs w:val="24"/>
        </w:rPr>
        <w:t>es permita</w:t>
      </w:r>
      <w:r w:rsidR="003A391A" w:rsidRPr="003A1174">
        <w:rPr>
          <w:rFonts w:ascii="Garamond" w:hAnsi="Garamond" w:cs="Arial"/>
          <w:color w:val="auto"/>
          <w:sz w:val="24"/>
          <w:szCs w:val="24"/>
        </w:rPr>
        <w:t>m</w:t>
      </w:r>
      <w:r w:rsidRPr="003A1174">
        <w:rPr>
          <w:rFonts w:ascii="Garamond" w:hAnsi="Garamond" w:cs="Arial"/>
          <w:color w:val="auto"/>
          <w:sz w:val="24"/>
          <w:szCs w:val="24"/>
        </w:rPr>
        <w:t xml:space="preserve"> adquirir </w:t>
      </w:r>
      <w:r w:rsidR="006C2604" w:rsidRPr="003A1174">
        <w:rPr>
          <w:rFonts w:ascii="Garamond" w:hAnsi="Garamond" w:cs="Arial"/>
          <w:color w:val="auto"/>
          <w:sz w:val="24"/>
          <w:szCs w:val="24"/>
        </w:rPr>
        <w:t xml:space="preserve">as </w:t>
      </w:r>
      <w:r w:rsidR="00D572A9" w:rsidRPr="003A1174">
        <w:rPr>
          <w:rFonts w:ascii="Garamond" w:hAnsi="Garamond" w:cs="Arial"/>
          <w:color w:val="auto"/>
          <w:sz w:val="24"/>
          <w:szCs w:val="24"/>
        </w:rPr>
        <w:t>ferramenta</w:t>
      </w:r>
      <w:r w:rsidRPr="003A1174">
        <w:rPr>
          <w:rFonts w:ascii="Garamond" w:hAnsi="Garamond" w:cs="Arial"/>
          <w:color w:val="auto"/>
          <w:sz w:val="24"/>
          <w:szCs w:val="24"/>
        </w:rPr>
        <w:t xml:space="preserve">s </w:t>
      </w:r>
      <w:r w:rsidR="007578C6" w:rsidRPr="003A1174">
        <w:rPr>
          <w:rFonts w:ascii="Garamond" w:hAnsi="Garamond" w:cs="Arial"/>
          <w:color w:val="auto"/>
          <w:sz w:val="24"/>
          <w:szCs w:val="24"/>
        </w:rPr>
        <w:t>necessária</w:t>
      </w:r>
      <w:r w:rsidRPr="003A1174">
        <w:rPr>
          <w:rFonts w:ascii="Garamond" w:hAnsi="Garamond" w:cs="Arial"/>
          <w:color w:val="auto"/>
          <w:sz w:val="24"/>
          <w:szCs w:val="24"/>
        </w:rPr>
        <w:t>s para consolidar u</w:t>
      </w:r>
      <w:r w:rsidR="003A391A" w:rsidRPr="003A1174">
        <w:rPr>
          <w:rFonts w:ascii="Garamond" w:hAnsi="Garamond" w:cs="Arial"/>
          <w:color w:val="auto"/>
          <w:sz w:val="24"/>
          <w:szCs w:val="24"/>
        </w:rPr>
        <w:t>m</w:t>
      </w:r>
      <w:r w:rsidRPr="003A1174">
        <w:rPr>
          <w:rFonts w:ascii="Garamond" w:hAnsi="Garamond" w:cs="Arial"/>
          <w:color w:val="auto"/>
          <w:sz w:val="24"/>
          <w:szCs w:val="24"/>
        </w:rPr>
        <w:t xml:space="preserve"> </w:t>
      </w:r>
      <w:r w:rsidR="00C30647" w:rsidRPr="003A1174">
        <w:rPr>
          <w:rFonts w:ascii="Garamond" w:hAnsi="Garamond" w:cs="Arial"/>
          <w:color w:val="auto"/>
          <w:sz w:val="24"/>
          <w:szCs w:val="24"/>
        </w:rPr>
        <w:t>projeto</w:t>
      </w:r>
      <w:r w:rsidRPr="003A1174">
        <w:rPr>
          <w:rFonts w:ascii="Garamond" w:hAnsi="Garamond" w:cs="Arial"/>
          <w:color w:val="auto"/>
          <w:sz w:val="24"/>
          <w:szCs w:val="24"/>
        </w:rPr>
        <w:t xml:space="preserve"> de vida autónomo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AF192F" w:rsidRPr="003A1174">
        <w:rPr>
          <w:rFonts w:ascii="Garamond" w:hAnsi="Garamond" w:cs="Arial"/>
          <w:color w:val="auto"/>
          <w:sz w:val="24"/>
          <w:szCs w:val="24"/>
        </w:rPr>
        <w:t>livre</w:t>
      </w:r>
      <w:r w:rsidRPr="003A1174">
        <w:rPr>
          <w:rFonts w:ascii="Garamond" w:hAnsi="Garamond" w:cs="Arial"/>
          <w:color w:val="auto"/>
          <w:sz w:val="24"/>
          <w:szCs w:val="24"/>
        </w:rPr>
        <w:t xml:space="preserve"> de </w:t>
      </w:r>
      <w:r w:rsidR="000350B1" w:rsidRPr="003A1174">
        <w:rPr>
          <w:rFonts w:ascii="Garamond" w:hAnsi="Garamond" w:cs="Arial"/>
          <w:color w:val="auto"/>
          <w:sz w:val="24"/>
          <w:szCs w:val="24"/>
        </w:rPr>
        <w:t>violência</w:t>
      </w:r>
      <w:r w:rsidRPr="003A1174">
        <w:rPr>
          <w:rFonts w:ascii="Garamond" w:hAnsi="Garamond" w:cs="Arial"/>
          <w:color w:val="auto"/>
          <w:sz w:val="24"/>
          <w:szCs w:val="24"/>
        </w:rPr>
        <w:t xml:space="preserve">. </w:t>
      </w:r>
    </w:p>
    <w:p w:rsidR="00CA39B2" w:rsidRPr="003A1174" w:rsidRDefault="003A391A"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No mês</w:t>
      </w:r>
      <w:r w:rsidR="00CA39B2" w:rsidRPr="003A1174">
        <w:rPr>
          <w:rFonts w:ascii="Garamond" w:hAnsi="Garamond" w:cs="Arial"/>
          <w:color w:val="auto"/>
          <w:sz w:val="24"/>
          <w:szCs w:val="24"/>
        </w:rPr>
        <w:t xml:space="preserve"> de abril </w:t>
      </w:r>
      <w:r w:rsidR="008A3DA2" w:rsidRPr="003A1174">
        <w:rPr>
          <w:rFonts w:ascii="Garamond" w:hAnsi="Garamond" w:cs="Arial"/>
          <w:color w:val="auto"/>
          <w:sz w:val="24"/>
          <w:szCs w:val="24"/>
        </w:rPr>
        <w:t>do</w:t>
      </w:r>
      <w:r w:rsidRPr="003A1174">
        <w:rPr>
          <w:rFonts w:ascii="Garamond" w:hAnsi="Garamond" w:cs="Arial"/>
          <w:color w:val="auto"/>
          <w:sz w:val="24"/>
          <w:szCs w:val="24"/>
        </w:rPr>
        <w:t xml:space="preserve"> corr</w:t>
      </w:r>
      <w:r w:rsidR="00CA39B2" w:rsidRPr="003A1174">
        <w:rPr>
          <w:rFonts w:ascii="Garamond" w:hAnsi="Garamond" w:cs="Arial"/>
          <w:color w:val="auto"/>
          <w:sz w:val="24"/>
          <w:szCs w:val="24"/>
        </w:rPr>
        <w:t xml:space="preserve">ente </w:t>
      </w:r>
      <w:r w:rsidR="002C7510" w:rsidRPr="003A1174">
        <w:rPr>
          <w:rFonts w:ascii="Garamond" w:hAnsi="Garamond" w:cs="Arial"/>
          <w:color w:val="auto"/>
          <w:sz w:val="24"/>
          <w:szCs w:val="24"/>
        </w:rPr>
        <w:t>ano</w:t>
      </w:r>
      <w:r w:rsidR="006C2604" w:rsidRPr="003A1174">
        <w:rPr>
          <w:rFonts w:ascii="Garamond" w:hAnsi="Garamond" w:cs="Arial"/>
          <w:color w:val="auto"/>
          <w:sz w:val="24"/>
          <w:szCs w:val="24"/>
        </w:rPr>
        <w:t>,</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a </w:t>
      </w:r>
      <w:r w:rsidR="00C04CA4" w:rsidRPr="003A1174">
        <w:rPr>
          <w:rFonts w:ascii="Garamond" w:hAnsi="Garamond" w:cs="Arial"/>
          <w:color w:val="auto"/>
          <w:sz w:val="24"/>
          <w:szCs w:val="24"/>
        </w:rPr>
        <w:t>Provedoria de Justiça</w:t>
      </w:r>
      <w:r w:rsidR="00CA39B2" w:rsidRPr="003A1174">
        <w:rPr>
          <w:rFonts w:ascii="Garamond" w:hAnsi="Garamond" w:cs="Arial"/>
          <w:color w:val="auto"/>
          <w:sz w:val="24"/>
          <w:szCs w:val="24"/>
        </w:rPr>
        <w:t xml:space="preserve"> da </w:t>
      </w:r>
      <w:r w:rsidR="008651AF" w:rsidRPr="003A1174">
        <w:rPr>
          <w:rFonts w:ascii="Garamond" w:hAnsi="Garamond" w:cs="Arial"/>
          <w:color w:val="auto"/>
          <w:sz w:val="24"/>
          <w:szCs w:val="24"/>
        </w:rPr>
        <w:t>Cidade</w:t>
      </w:r>
      <w:r w:rsidR="00CA39B2" w:rsidRPr="003A1174">
        <w:rPr>
          <w:rFonts w:ascii="Garamond" w:hAnsi="Garamond" w:cs="Arial"/>
          <w:color w:val="auto"/>
          <w:sz w:val="24"/>
          <w:szCs w:val="24"/>
        </w:rPr>
        <w:t xml:space="preserve"> Autónoma de Buenos Aires </w:t>
      </w:r>
      <w:r w:rsidR="00E67EF8" w:rsidRPr="003A1174">
        <w:rPr>
          <w:rFonts w:ascii="Garamond" w:hAnsi="Garamond" w:cs="Arial"/>
          <w:color w:val="auto"/>
          <w:sz w:val="24"/>
          <w:szCs w:val="24"/>
        </w:rPr>
        <w:t>criou</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a </w:t>
      </w:r>
      <w:r w:rsidR="009859FC" w:rsidRPr="003A1174">
        <w:rPr>
          <w:rFonts w:ascii="Garamond" w:hAnsi="Garamond" w:cs="Arial"/>
          <w:color w:val="auto"/>
          <w:sz w:val="24"/>
          <w:szCs w:val="24"/>
        </w:rPr>
        <w:t>Direção</w:t>
      </w:r>
      <w:r w:rsidR="00771C19">
        <w:rPr>
          <w:rFonts w:ascii="Garamond" w:hAnsi="Garamond" w:cs="Arial"/>
          <w:color w:val="auto"/>
          <w:sz w:val="24"/>
          <w:szCs w:val="24"/>
        </w:rPr>
        <w:t>-</w:t>
      </w:r>
      <w:r w:rsidR="00077461" w:rsidRPr="003A1174">
        <w:rPr>
          <w:rFonts w:ascii="Garamond" w:hAnsi="Garamond" w:cs="Arial"/>
          <w:color w:val="auto"/>
          <w:sz w:val="24"/>
          <w:szCs w:val="24"/>
        </w:rPr>
        <w:t>Geral</w:t>
      </w:r>
      <w:r w:rsidR="00CA39B2" w:rsidRPr="003A1174">
        <w:rPr>
          <w:rFonts w:ascii="Garamond" w:hAnsi="Garamond" w:cs="Arial"/>
          <w:color w:val="auto"/>
          <w:sz w:val="24"/>
          <w:szCs w:val="24"/>
        </w:rPr>
        <w:t xml:space="preserve"> de </w:t>
      </w:r>
      <w:r w:rsidRPr="003A1174">
        <w:rPr>
          <w:rFonts w:ascii="Garamond" w:hAnsi="Garamond" w:cs="Arial"/>
          <w:color w:val="auto"/>
          <w:sz w:val="24"/>
          <w:szCs w:val="24"/>
        </w:rPr>
        <w:t>Infância</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Adolescência</w:t>
      </w:r>
      <w:r w:rsidR="00CA39B2" w:rsidRPr="003A1174">
        <w:rPr>
          <w:rFonts w:ascii="Garamond" w:hAnsi="Garamond" w:cs="Arial"/>
          <w:color w:val="auto"/>
          <w:sz w:val="24"/>
          <w:szCs w:val="24"/>
        </w:rPr>
        <w:t xml:space="preserve">, Género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802ACC" w:rsidRPr="003A1174">
        <w:rPr>
          <w:rFonts w:ascii="Garamond" w:hAnsi="Garamond" w:cs="Arial"/>
          <w:color w:val="auto"/>
          <w:sz w:val="24"/>
          <w:szCs w:val="24"/>
        </w:rPr>
        <w:t>Diversidade</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conseguindo </w:t>
      </w:r>
      <w:r w:rsidR="00CA39B2" w:rsidRPr="003A1174">
        <w:rPr>
          <w:rFonts w:ascii="Garamond" w:hAnsi="Garamond" w:cs="Arial"/>
          <w:color w:val="auto"/>
          <w:sz w:val="24"/>
          <w:szCs w:val="24"/>
        </w:rPr>
        <w:t xml:space="preserve">concentrar </w:t>
      </w:r>
      <w:r w:rsidR="00771C19">
        <w:rPr>
          <w:rFonts w:ascii="Garamond" w:hAnsi="Garamond" w:cs="Arial"/>
          <w:color w:val="auto"/>
          <w:sz w:val="24"/>
          <w:szCs w:val="24"/>
        </w:rPr>
        <w:t xml:space="preserve">as várias </w:t>
      </w:r>
      <w:r w:rsidR="00CA39B2" w:rsidRPr="003A1174">
        <w:rPr>
          <w:rFonts w:ascii="Garamond" w:hAnsi="Garamond" w:cs="Arial"/>
          <w:color w:val="auto"/>
          <w:sz w:val="24"/>
          <w:szCs w:val="24"/>
        </w:rPr>
        <w:t xml:space="preserve">temáticas </w:t>
      </w:r>
      <w:r w:rsidRPr="003A1174">
        <w:rPr>
          <w:rFonts w:ascii="Garamond" w:hAnsi="Garamond" w:cs="Arial"/>
          <w:color w:val="auto"/>
          <w:sz w:val="24"/>
          <w:szCs w:val="24"/>
        </w:rPr>
        <w:t xml:space="preserve">numa </w:t>
      </w:r>
      <w:r w:rsidR="00524936" w:rsidRPr="003A1174">
        <w:rPr>
          <w:rFonts w:ascii="Garamond" w:hAnsi="Garamond" w:cs="Arial"/>
          <w:color w:val="auto"/>
          <w:sz w:val="24"/>
          <w:szCs w:val="24"/>
        </w:rPr>
        <w:t>mesma</w:t>
      </w:r>
      <w:r w:rsidR="00CA39B2" w:rsidRPr="003A1174">
        <w:rPr>
          <w:rFonts w:ascii="Garamond" w:hAnsi="Garamond" w:cs="Arial"/>
          <w:color w:val="auto"/>
          <w:sz w:val="24"/>
          <w:szCs w:val="24"/>
        </w:rPr>
        <w:t xml:space="preserve"> área. </w:t>
      </w:r>
      <w:proofErr w:type="gramStart"/>
      <w:r w:rsidRPr="003A1174">
        <w:rPr>
          <w:rFonts w:ascii="Garamond" w:hAnsi="Garamond" w:cs="Arial"/>
          <w:color w:val="auto"/>
          <w:sz w:val="24"/>
          <w:szCs w:val="24"/>
        </w:rPr>
        <w:t>O</w:t>
      </w:r>
      <w:r w:rsidR="00CA39B2" w:rsidRPr="003A1174">
        <w:rPr>
          <w:rFonts w:ascii="Garamond" w:hAnsi="Garamond" w:cs="Arial"/>
          <w:color w:val="auto"/>
          <w:sz w:val="24"/>
          <w:szCs w:val="24"/>
        </w:rPr>
        <w:t xml:space="preserve">s </w:t>
      </w:r>
      <w:r w:rsidR="003E14FC">
        <w:rPr>
          <w:rFonts w:ascii="Garamond" w:hAnsi="Garamond" w:cs="Arial"/>
          <w:color w:val="auto"/>
          <w:sz w:val="24"/>
          <w:szCs w:val="24"/>
        </w:rPr>
        <w:t>objetivos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centrais</w:t>
      </w:r>
      <w:proofErr w:type="gramEnd"/>
      <w:r w:rsidR="00CA39B2" w:rsidRPr="003A1174">
        <w:rPr>
          <w:rFonts w:ascii="Garamond" w:hAnsi="Garamond" w:cs="Arial"/>
          <w:color w:val="auto"/>
          <w:sz w:val="24"/>
          <w:szCs w:val="24"/>
        </w:rPr>
        <w:t xml:space="preserve"> da </w:t>
      </w:r>
      <w:r w:rsidR="002A59E7" w:rsidRPr="003A1174">
        <w:rPr>
          <w:rFonts w:ascii="Garamond" w:hAnsi="Garamond" w:cs="Arial"/>
          <w:color w:val="auto"/>
          <w:sz w:val="24"/>
          <w:szCs w:val="24"/>
        </w:rPr>
        <w:t>nova</w:t>
      </w:r>
      <w:r w:rsidR="00CA39B2" w:rsidRPr="003A1174">
        <w:rPr>
          <w:rFonts w:ascii="Garamond" w:hAnsi="Garamond" w:cs="Arial"/>
          <w:color w:val="auto"/>
          <w:sz w:val="24"/>
          <w:szCs w:val="24"/>
        </w:rPr>
        <w:t xml:space="preserve"> </w:t>
      </w:r>
      <w:r w:rsidR="009859FC" w:rsidRPr="003A1174">
        <w:rPr>
          <w:rFonts w:ascii="Garamond" w:hAnsi="Garamond" w:cs="Arial"/>
          <w:color w:val="auto"/>
          <w:sz w:val="24"/>
          <w:szCs w:val="24"/>
        </w:rPr>
        <w:t>direção</w:t>
      </w:r>
      <w:r w:rsidR="00CA39B2" w:rsidRPr="003A1174">
        <w:rPr>
          <w:rFonts w:ascii="Garamond" w:hAnsi="Garamond" w:cs="Arial"/>
          <w:color w:val="auto"/>
          <w:sz w:val="24"/>
          <w:szCs w:val="24"/>
        </w:rPr>
        <w:t xml:space="preserve"> </w:t>
      </w:r>
      <w:r w:rsidR="00D75A07" w:rsidRPr="003A1174">
        <w:rPr>
          <w:rFonts w:ascii="Garamond" w:hAnsi="Garamond" w:cs="Arial"/>
          <w:color w:val="auto"/>
          <w:sz w:val="24"/>
          <w:szCs w:val="24"/>
        </w:rPr>
        <w:t>são</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a </w:t>
      </w:r>
      <w:r w:rsidR="007578C6" w:rsidRPr="003A1174">
        <w:rPr>
          <w:rFonts w:ascii="Garamond" w:hAnsi="Garamond" w:cs="Arial"/>
          <w:color w:val="auto"/>
          <w:sz w:val="24"/>
          <w:szCs w:val="24"/>
        </w:rPr>
        <w:t>prevenção</w:t>
      </w:r>
      <w:r w:rsidR="00CA39B2" w:rsidRPr="003A1174">
        <w:rPr>
          <w:rFonts w:ascii="Garamond" w:hAnsi="Garamond" w:cs="Arial"/>
          <w:color w:val="auto"/>
          <w:sz w:val="24"/>
          <w:szCs w:val="24"/>
        </w:rPr>
        <w:t xml:space="preserve"> de toda forma de </w:t>
      </w:r>
      <w:r w:rsidRPr="003A1174">
        <w:rPr>
          <w:rFonts w:ascii="Garamond" w:hAnsi="Garamond" w:cs="Arial"/>
          <w:color w:val="auto"/>
          <w:sz w:val="24"/>
          <w:szCs w:val="24"/>
        </w:rPr>
        <w:t>violência de</w:t>
      </w:r>
      <w:r w:rsidR="00CA39B2" w:rsidRPr="003A1174">
        <w:rPr>
          <w:rFonts w:ascii="Garamond" w:hAnsi="Garamond" w:cs="Arial"/>
          <w:color w:val="auto"/>
          <w:sz w:val="24"/>
          <w:szCs w:val="24"/>
        </w:rPr>
        <w:t xml:space="preserve"> género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de abusos; </w:t>
      </w:r>
      <w:r w:rsidR="00AF192F" w:rsidRPr="003A1174">
        <w:rPr>
          <w:rFonts w:ascii="Garamond" w:hAnsi="Garamond" w:cs="Arial"/>
          <w:color w:val="auto"/>
          <w:sz w:val="24"/>
          <w:szCs w:val="24"/>
        </w:rPr>
        <w:t>garantir</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às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o </w:t>
      </w:r>
      <w:r w:rsidR="00886D6A" w:rsidRPr="003A1174">
        <w:rPr>
          <w:rFonts w:ascii="Garamond" w:hAnsi="Garamond" w:cs="Arial"/>
          <w:color w:val="auto"/>
          <w:sz w:val="24"/>
          <w:szCs w:val="24"/>
        </w:rPr>
        <w:t>acesso</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à </w:t>
      </w:r>
      <w:r w:rsidR="00FC1F7F" w:rsidRPr="003A1174">
        <w:rPr>
          <w:rFonts w:ascii="Garamond" w:hAnsi="Garamond" w:cs="Arial"/>
          <w:color w:val="auto"/>
          <w:sz w:val="24"/>
          <w:szCs w:val="24"/>
        </w:rPr>
        <w:t>justiça</w:t>
      </w:r>
      <w:r w:rsidR="003E14FC">
        <w:rPr>
          <w:rFonts w:ascii="Garamond" w:hAnsi="Garamond" w:cs="Arial"/>
          <w:color w:val="auto"/>
          <w:sz w:val="24"/>
          <w:szCs w:val="24"/>
        </w:rPr>
        <w:t>,</w:t>
      </w:r>
      <w:r w:rsidR="00CA39B2" w:rsidRPr="003A1174">
        <w:rPr>
          <w:rFonts w:ascii="Garamond" w:hAnsi="Garamond" w:cs="Arial"/>
          <w:color w:val="auto"/>
          <w:sz w:val="24"/>
          <w:szCs w:val="24"/>
        </w:rPr>
        <w:t xml:space="preserve"> aos </w:t>
      </w:r>
      <w:r w:rsidR="00B531F2" w:rsidRPr="003A1174">
        <w:rPr>
          <w:rFonts w:ascii="Garamond" w:hAnsi="Garamond" w:cs="Arial"/>
          <w:color w:val="auto"/>
          <w:sz w:val="24"/>
          <w:szCs w:val="24"/>
        </w:rPr>
        <w:t>serviço</w:t>
      </w:r>
      <w:r w:rsidR="00CA39B2" w:rsidRPr="003A1174">
        <w:rPr>
          <w:rFonts w:ascii="Garamond" w:hAnsi="Garamond" w:cs="Arial"/>
          <w:color w:val="auto"/>
          <w:sz w:val="24"/>
          <w:szCs w:val="24"/>
        </w:rPr>
        <w:t xml:space="preserve">s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programas de </w:t>
      </w:r>
      <w:r w:rsidR="00886D6A" w:rsidRPr="003A1174">
        <w:rPr>
          <w:rFonts w:ascii="Garamond" w:hAnsi="Garamond" w:cs="Arial"/>
          <w:color w:val="auto"/>
          <w:sz w:val="24"/>
          <w:szCs w:val="24"/>
        </w:rPr>
        <w:t>proteção</w:t>
      </w:r>
      <w:r w:rsidR="00CA39B2"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Pr="003A1174">
        <w:rPr>
          <w:rFonts w:ascii="Garamond" w:hAnsi="Garamond" w:cs="Arial"/>
          <w:color w:val="auto"/>
          <w:sz w:val="24"/>
          <w:szCs w:val="24"/>
        </w:rPr>
        <w:t xml:space="preserve">s; exigir </w:t>
      </w:r>
      <w:r w:rsidR="00CA39B2" w:rsidRPr="003A1174">
        <w:rPr>
          <w:rFonts w:ascii="Garamond" w:hAnsi="Garamond" w:cs="Arial"/>
          <w:color w:val="auto"/>
          <w:sz w:val="24"/>
          <w:szCs w:val="24"/>
        </w:rPr>
        <w:t xml:space="preserve">a </w:t>
      </w:r>
      <w:r w:rsidRPr="003A1174">
        <w:rPr>
          <w:rFonts w:ascii="Garamond" w:hAnsi="Garamond" w:cs="Arial"/>
          <w:color w:val="auto"/>
          <w:sz w:val="24"/>
          <w:szCs w:val="24"/>
        </w:rPr>
        <w:t>ampliação</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dos</w:t>
      </w:r>
      <w:r w:rsidR="00CA39B2" w:rsidRPr="003A1174">
        <w:rPr>
          <w:rFonts w:ascii="Garamond" w:hAnsi="Garamond" w:cs="Arial"/>
          <w:color w:val="auto"/>
          <w:sz w:val="24"/>
          <w:szCs w:val="24"/>
        </w:rPr>
        <w:t xml:space="preserve"> Centros </w:t>
      </w:r>
      <w:r w:rsidR="00501083" w:rsidRPr="003A1174">
        <w:rPr>
          <w:rFonts w:ascii="Garamond" w:hAnsi="Garamond" w:cs="Arial"/>
          <w:color w:val="auto"/>
          <w:sz w:val="24"/>
          <w:szCs w:val="24"/>
        </w:rPr>
        <w:t>Integrais</w:t>
      </w:r>
      <w:r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reforçar </w:t>
      </w:r>
      <w:r w:rsidR="00CA39B2" w:rsidRPr="003A1174">
        <w:rPr>
          <w:rFonts w:ascii="Garamond" w:hAnsi="Garamond" w:cs="Arial"/>
          <w:color w:val="auto"/>
          <w:sz w:val="24"/>
          <w:szCs w:val="24"/>
        </w:rPr>
        <w:t>a forma</w:t>
      </w:r>
      <w:r w:rsidRPr="003A1174">
        <w:rPr>
          <w:rFonts w:ascii="Garamond" w:hAnsi="Garamond" w:cs="Arial"/>
          <w:color w:val="auto"/>
          <w:sz w:val="24"/>
          <w:szCs w:val="24"/>
        </w:rPr>
        <w:t xml:space="preserve">ção </w:t>
      </w:r>
      <w:r w:rsidR="00CA39B2" w:rsidRPr="003A1174">
        <w:rPr>
          <w:rFonts w:ascii="Garamond" w:hAnsi="Garamond" w:cs="Arial"/>
          <w:color w:val="auto"/>
          <w:sz w:val="24"/>
          <w:szCs w:val="24"/>
        </w:rPr>
        <w:t xml:space="preserve">de </w:t>
      </w:r>
      <w:r w:rsidR="00C30647" w:rsidRPr="003A1174">
        <w:rPr>
          <w:rFonts w:ascii="Garamond" w:hAnsi="Garamond" w:cs="Arial"/>
          <w:color w:val="auto"/>
          <w:sz w:val="24"/>
          <w:szCs w:val="24"/>
        </w:rPr>
        <w:t>equipa</w:t>
      </w:r>
      <w:r w:rsidR="00CA39B2" w:rsidRPr="003A1174">
        <w:rPr>
          <w:rFonts w:ascii="Garamond" w:hAnsi="Garamond" w:cs="Arial"/>
          <w:color w:val="auto"/>
          <w:sz w:val="24"/>
          <w:szCs w:val="24"/>
        </w:rPr>
        <w:t xml:space="preserve">s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das</w:t>
      </w:r>
      <w:r w:rsidR="00CA39B2" w:rsidRPr="003A1174">
        <w:rPr>
          <w:rFonts w:ascii="Garamond" w:hAnsi="Garamond" w:cs="Arial"/>
          <w:color w:val="auto"/>
          <w:sz w:val="24"/>
          <w:szCs w:val="24"/>
        </w:rPr>
        <w:t xml:space="preserve"> su</w:t>
      </w:r>
      <w:r w:rsidRPr="003A1174">
        <w:rPr>
          <w:rFonts w:ascii="Garamond" w:hAnsi="Garamond" w:cs="Arial"/>
          <w:color w:val="auto"/>
          <w:sz w:val="24"/>
          <w:szCs w:val="24"/>
        </w:rPr>
        <w:t>a</w:t>
      </w:r>
      <w:r w:rsidR="00CA39B2" w:rsidRPr="003A1174">
        <w:rPr>
          <w:rFonts w:ascii="Garamond" w:hAnsi="Garamond" w:cs="Arial"/>
          <w:color w:val="auto"/>
          <w:sz w:val="24"/>
          <w:szCs w:val="24"/>
        </w:rPr>
        <w:t xml:space="preserve">s </w:t>
      </w:r>
      <w:r w:rsidRPr="003A1174">
        <w:rPr>
          <w:rFonts w:ascii="Garamond" w:hAnsi="Garamond" w:cs="Arial"/>
          <w:color w:val="auto"/>
          <w:sz w:val="24"/>
          <w:szCs w:val="24"/>
        </w:rPr>
        <w:t>especializações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o </w:t>
      </w:r>
      <w:r w:rsidR="00253B1D" w:rsidRPr="003A1174">
        <w:rPr>
          <w:rFonts w:ascii="Garamond" w:hAnsi="Garamond" w:cs="Arial"/>
          <w:color w:val="auto"/>
          <w:sz w:val="24"/>
          <w:szCs w:val="24"/>
        </w:rPr>
        <w:t>controlo</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FC1F7F" w:rsidRPr="003A1174">
        <w:rPr>
          <w:rFonts w:ascii="Garamond" w:hAnsi="Garamond" w:cs="Arial"/>
          <w:color w:val="auto"/>
          <w:sz w:val="24"/>
          <w:szCs w:val="24"/>
        </w:rPr>
        <w:t>supervisão</w:t>
      </w:r>
      <w:r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a </w:t>
      </w:r>
      <w:r w:rsidR="00B14AA6" w:rsidRPr="003A1174">
        <w:rPr>
          <w:rFonts w:ascii="Garamond" w:hAnsi="Garamond" w:cs="Arial"/>
          <w:color w:val="auto"/>
          <w:sz w:val="24"/>
          <w:szCs w:val="24"/>
        </w:rPr>
        <w:t>aplicação</w:t>
      </w:r>
      <w:r w:rsidR="00CA39B2" w:rsidRPr="003A1174">
        <w:rPr>
          <w:rFonts w:ascii="Garamond" w:hAnsi="Garamond" w:cs="Arial"/>
          <w:color w:val="auto"/>
          <w:sz w:val="24"/>
          <w:szCs w:val="24"/>
        </w:rPr>
        <w:t xml:space="preserve"> da </w:t>
      </w:r>
      <w:r w:rsidR="002C7510" w:rsidRPr="003A1174">
        <w:rPr>
          <w:rFonts w:ascii="Garamond" w:hAnsi="Garamond" w:cs="Arial"/>
          <w:color w:val="auto"/>
          <w:sz w:val="24"/>
          <w:szCs w:val="24"/>
        </w:rPr>
        <w:t>legislação</w:t>
      </w:r>
      <w:r w:rsidR="00CA39B2" w:rsidRPr="003A1174">
        <w:rPr>
          <w:rFonts w:ascii="Garamond" w:hAnsi="Garamond" w:cs="Arial"/>
          <w:color w:val="auto"/>
          <w:sz w:val="24"/>
          <w:szCs w:val="24"/>
        </w:rPr>
        <w:t xml:space="preserve"> vigente</w:t>
      </w:r>
      <w:r w:rsidR="003E14FC">
        <w:rPr>
          <w:rFonts w:ascii="Garamond" w:hAnsi="Garamond" w:cs="Arial"/>
          <w:color w:val="auto"/>
          <w:sz w:val="24"/>
          <w:szCs w:val="24"/>
        </w:rPr>
        <w:t>,</w:t>
      </w:r>
      <w:r w:rsidR="00CA39B2" w:rsidRPr="003A1174">
        <w:rPr>
          <w:rFonts w:ascii="Garamond" w:hAnsi="Garamond" w:cs="Arial"/>
          <w:color w:val="auto"/>
          <w:sz w:val="24"/>
          <w:szCs w:val="24"/>
        </w:rPr>
        <w:t xml:space="preserve"> </w:t>
      </w:r>
      <w:r w:rsidR="003E14FC">
        <w:rPr>
          <w:rFonts w:ascii="Garamond" w:hAnsi="Garamond" w:cs="Arial"/>
          <w:color w:val="auto"/>
          <w:sz w:val="24"/>
          <w:szCs w:val="24"/>
        </w:rPr>
        <w:t>no que respeita</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à </w:t>
      </w:r>
      <w:r w:rsidR="00CA39B2" w:rsidRPr="003A1174">
        <w:rPr>
          <w:rFonts w:ascii="Garamond" w:hAnsi="Garamond" w:cs="Arial"/>
          <w:color w:val="auto"/>
          <w:sz w:val="24"/>
          <w:szCs w:val="24"/>
        </w:rPr>
        <w:t>problemática d</w:t>
      </w:r>
      <w:r w:rsidRPr="003A1174">
        <w:rPr>
          <w:rFonts w:ascii="Garamond" w:hAnsi="Garamond" w:cs="Arial"/>
          <w:color w:val="auto"/>
          <w:sz w:val="24"/>
          <w:szCs w:val="24"/>
        </w:rPr>
        <w:t xml:space="preserve">os </w:t>
      </w:r>
      <w:r w:rsidR="00190B59" w:rsidRPr="003A1174">
        <w:rPr>
          <w:rFonts w:ascii="Garamond" w:hAnsi="Garamond" w:cs="Arial"/>
          <w:color w:val="auto"/>
          <w:sz w:val="24"/>
          <w:szCs w:val="24"/>
        </w:rPr>
        <w:t>maus-tratos</w:t>
      </w:r>
      <w:r w:rsidRPr="003A1174">
        <w:rPr>
          <w:rFonts w:ascii="Garamond" w:hAnsi="Garamond" w:cs="Arial"/>
          <w:color w:val="auto"/>
          <w:sz w:val="24"/>
          <w:szCs w:val="24"/>
        </w:rPr>
        <w:t xml:space="preserve"> infantis</w:t>
      </w:r>
      <w:r w:rsidR="00CA39B2" w:rsidRPr="003A1174">
        <w:rPr>
          <w:rFonts w:ascii="Garamond" w:hAnsi="Garamond" w:cs="Arial"/>
          <w:color w:val="auto"/>
          <w:sz w:val="24"/>
          <w:szCs w:val="24"/>
        </w:rPr>
        <w:t xml:space="preserve">, </w:t>
      </w:r>
      <w:r w:rsidR="0096583F" w:rsidRPr="003A1174">
        <w:rPr>
          <w:rFonts w:ascii="Garamond" w:hAnsi="Garamond" w:cs="Arial"/>
          <w:color w:val="auto"/>
          <w:sz w:val="24"/>
          <w:szCs w:val="24"/>
        </w:rPr>
        <w:t>exploração</w:t>
      </w:r>
      <w:r w:rsidR="00CA39B2" w:rsidRPr="003A1174">
        <w:rPr>
          <w:rFonts w:ascii="Garamond" w:hAnsi="Garamond" w:cs="Arial"/>
          <w:color w:val="auto"/>
          <w:sz w:val="24"/>
          <w:szCs w:val="24"/>
        </w:rPr>
        <w:t xml:space="preserve"> sexual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tr</w:t>
      </w:r>
      <w:r w:rsidRPr="003A1174">
        <w:rPr>
          <w:rFonts w:ascii="Garamond" w:hAnsi="Garamond" w:cs="Arial"/>
          <w:color w:val="auto"/>
          <w:sz w:val="24"/>
          <w:szCs w:val="24"/>
        </w:rPr>
        <w:t>áfico de pessoas</w:t>
      </w:r>
      <w:r w:rsidR="00CA39B2" w:rsidRPr="003A1174">
        <w:rPr>
          <w:rFonts w:ascii="Garamond" w:hAnsi="Garamond" w:cs="Arial"/>
          <w:color w:val="auto"/>
          <w:sz w:val="24"/>
          <w:szCs w:val="24"/>
        </w:rPr>
        <w:t xml:space="preserve">, </w:t>
      </w:r>
      <w:r w:rsidR="007C63D0" w:rsidRPr="003A1174">
        <w:rPr>
          <w:rFonts w:ascii="Garamond" w:hAnsi="Garamond" w:cs="Arial"/>
          <w:color w:val="auto"/>
          <w:sz w:val="24"/>
          <w:szCs w:val="24"/>
        </w:rPr>
        <w:t>saúde</w:t>
      </w:r>
      <w:r w:rsidR="00CA39B2" w:rsidRPr="003A1174">
        <w:rPr>
          <w:rFonts w:ascii="Garamond" w:hAnsi="Garamond" w:cs="Arial"/>
          <w:color w:val="auto"/>
          <w:sz w:val="24"/>
          <w:szCs w:val="24"/>
        </w:rPr>
        <w:t xml:space="preserve"> sexual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A862C2" w:rsidRPr="003A1174">
        <w:rPr>
          <w:rFonts w:ascii="Garamond" w:hAnsi="Garamond" w:cs="Arial"/>
          <w:color w:val="auto"/>
          <w:sz w:val="24"/>
          <w:szCs w:val="24"/>
        </w:rPr>
        <w:t>reprodutiva</w:t>
      </w:r>
      <w:r w:rsidR="00CA39B2" w:rsidRPr="003A1174">
        <w:rPr>
          <w:rFonts w:ascii="Garamond" w:hAnsi="Garamond" w:cs="Arial"/>
          <w:color w:val="auto"/>
          <w:sz w:val="24"/>
          <w:szCs w:val="24"/>
        </w:rPr>
        <w:t>, aborto n</w:t>
      </w:r>
      <w:r w:rsidRPr="003A1174">
        <w:rPr>
          <w:rFonts w:ascii="Garamond" w:hAnsi="Garamond" w:cs="Arial"/>
          <w:color w:val="auto"/>
          <w:sz w:val="24"/>
          <w:szCs w:val="24"/>
        </w:rPr>
        <w:t>ã</w:t>
      </w:r>
      <w:r w:rsidR="00CA39B2" w:rsidRPr="003A1174">
        <w:rPr>
          <w:rFonts w:ascii="Garamond" w:hAnsi="Garamond" w:cs="Arial"/>
          <w:color w:val="auto"/>
          <w:sz w:val="24"/>
          <w:szCs w:val="24"/>
        </w:rPr>
        <w:t xml:space="preserve">o </w:t>
      </w:r>
      <w:r w:rsidRPr="003A1174">
        <w:rPr>
          <w:rFonts w:ascii="Garamond" w:hAnsi="Garamond" w:cs="Arial"/>
          <w:color w:val="auto"/>
          <w:sz w:val="24"/>
          <w:szCs w:val="24"/>
        </w:rPr>
        <w:t>punível</w:t>
      </w:r>
      <w:r w:rsidR="00CA39B2" w:rsidRPr="003A1174">
        <w:rPr>
          <w:rFonts w:ascii="Garamond" w:hAnsi="Garamond" w:cs="Arial"/>
          <w:color w:val="auto"/>
          <w:sz w:val="24"/>
          <w:szCs w:val="24"/>
        </w:rPr>
        <w:t xml:space="preserve">, </w:t>
      </w:r>
      <w:r w:rsidR="00462B11" w:rsidRPr="003A1174">
        <w:rPr>
          <w:rFonts w:ascii="Garamond" w:hAnsi="Garamond" w:cs="Arial"/>
          <w:color w:val="auto"/>
          <w:sz w:val="24"/>
          <w:szCs w:val="24"/>
        </w:rPr>
        <w:t>plano</w:t>
      </w:r>
      <w:r w:rsidR="00CA39B2" w:rsidRPr="003A1174">
        <w:rPr>
          <w:rFonts w:ascii="Garamond" w:hAnsi="Garamond" w:cs="Arial"/>
          <w:color w:val="auto"/>
          <w:sz w:val="24"/>
          <w:szCs w:val="24"/>
        </w:rPr>
        <w:t xml:space="preserve"> de </w:t>
      </w:r>
      <w:r w:rsidR="002C7510" w:rsidRPr="003A1174">
        <w:rPr>
          <w:rFonts w:ascii="Garamond" w:hAnsi="Garamond" w:cs="Arial"/>
          <w:color w:val="auto"/>
          <w:sz w:val="24"/>
          <w:szCs w:val="24"/>
        </w:rPr>
        <w:t>igualdade</w:t>
      </w:r>
      <w:r w:rsidR="00CA39B2" w:rsidRPr="003A1174">
        <w:rPr>
          <w:rFonts w:ascii="Garamond" w:hAnsi="Garamond" w:cs="Arial"/>
          <w:color w:val="auto"/>
          <w:sz w:val="24"/>
          <w:szCs w:val="24"/>
        </w:rPr>
        <w:t xml:space="preserve"> de oportunidades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de trat</w:t>
      </w:r>
      <w:r w:rsidRPr="003A1174">
        <w:rPr>
          <w:rFonts w:ascii="Garamond" w:hAnsi="Garamond" w:cs="Arial"/>
          <w:color w:val="auto"/>
          <w:sz w:val="24"/>
          <w:szCs w:val="24"/>
        </w:rPr>
        <w:t>ament</w:t>
      </w:r>
      <w:r w:rsidR="00CA39B2" w:rsidRPr="003A1174">
        <w:rPr>
          <w:rFonts w:ascii="Garamond" w:hAnsi="Garamond" w:cs="Arial"/>
          <w:color w:val="auto"/>
          <w:sz w:val="24"/>
          <w:szCs w:val="24"/>
        </w:rPr>
        <w:t xml:space="preserve">o entre </w:t>
      </w:r>
      <w:r w:rsidRPr="003A1174">
        <w:rPr>
          <w:rFonts w:ascii="Garamond" w:hAnsi="Garamond" w:cs="Arial"/>
          <w:color w:val="auto"/>
          <w:sz w:val="24"/>
          <w:szCs w:val="24"/>
        </w:rPr>
        <w:t xml:space="preserve">homens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C01806" w:rsidRPr="003A1174">
        <w:rPr>
          <w:rFonts w:ascii="Garamond" w:hAnsi="Garamond" w:cs="Arial"/>
          <w:color w:val="auto"/>
          <w:sz w:val="24"/>
          <w:szCs w:val="24"/>
        </w:rPr>
        <w:t>equidade</w:t>
      </w:r>
      <w:r w:rsidR="00CA39B2" w:rsidRPr="003A1174">
        <w:rPr>
          <w:rFonts w:ascii="Garamond" w:hAnsi="Garamond" w:cs="Arial"/>
          <w:color w:val="auto"/>
          <w:sz w:val="24"/>
          <w:szCs w:val="24"/>
        </w:rPr>
        <w:t xml:space="preserve"> salarial, entre </w:t>
      </w:r>
      <w:r w:rsidR="001F2F8B" w:rsidRPr="003A1174">
        <w:rPr>
          <w:rFonts w:ascii="Garamond" w:hAnsi="Garamond" w:cs="Arial"/>
          <w:color w:val="auto"/>
          <w:sz w:val="24"/>
          <w:szCs w:val="24"/>
        </w:rPr>
        <w:t>outro</w:t>
      </w:r>
      <w:r w:rsidR="00CA39B2" w:rsidRPr="003A1174">
        <w:rPr>
          <w:rFonts w:ascii="Garamond" w:hAnsi="Garamond" w:cs="Arial"/>
          <w:color w:val="auto"/>
          <w:sz w:val="24"/>
          <w:szCs w:val="24"/>
        </w:rPr>
        <w:t xml:space="preserve">s. </w:t>
      </w:r>
    </w:p>
    <w:p w:rsidR="00CA39B2" w:rsidRPr="003A1174" w:rsidRDefault="003A391A"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Nes</w:t>
      </w:r>
      <w:r w:rsidR="003E14FC">
        <w:rPr>
          <w:rFonts w:ascii="Garamond" w:hAnsi="Garamond" w:cs="Arial"/>
          <w:color w:val="auto"/>
          <w:sz w:val="24"/>
          <w:szCs w:val="24"/>
        </w:rPr>
        <w:t>t</w:t>
      </w:r>
      <w:r w:rsidR="00CA39B2" w:rsidRPr="003A1174">
        <w:rPr>
          <w:rFonts w:ascii="Garamond" w:hAnsi="Garamond" w:cs="Arial"/>
          <w:color w:val="auto"/>
          <w:sz w:val="24"/>
          <w:szCs w:val="24"/>
        </w:rPr>
        <w:t xml:space="preserve">e </w:t>
      </w:r>
      <w:r w:rsidR="00253B1D" w:rsidRPr="003A1174">
        <w:rPr>
          <w:rFonts w:ascii="Garamond" w:hAnsi="Garamond" w:cs="Arial"/>
          <w:color w:val="auto"/>
          <w:sz w:val="24"/>
          <w:szCs w:val="24"/>
        </w:rPr>
        <w:t>quadro</w:t>
      </w:r>
      <w:r w:rsidR="00CA39B2" w:rsidRPr="003A1174">
        <w:rPr>
          <w:rFonts w:ascii="Garamond" w:hAnsi="Garamond" w:cs="Arial"/>
          <w:color w:val="auto"/>
          <w:sz w:val="24"/>
          <w:szCs w:val="24"/>
        </w:rPr>
        <w:t xml:space="preserve">, </w:t>
      </w:r>
      <w:r w:rsidR="003E14FC">
        <w:rPr>
          <w:rFonts w:ascii="Garamond" w:hAnsi="Garamond" w:cs="Arial"/>
          <w:color w:val="auto"/>
          <w:sz w:val="24"/>
          <w:szCs w:val="24"/>
        </w:rPr>
        <w:t xml:space="preserve">promoveu-se </w:t>
      </w:r>
      <w:r w:rsidRPr="003A1174">
        <w:rPr>
          <w:rFonts w:ascii="Garamond" w:hAnsi="Garamond" w:cs="Arial"/>
          <w:color w:val="auto"/>
          <w:sz w:val="24"/>
          <w:szCs w:val="24"/>
        </w:rPr>
        <w:t>uma campanha</w:t>
      </w:r>
      <w:r w:rsidR="00CA39B2" w:rsidRPr="003A1174">
        <w:rPr>
          <w:rFonts w:ascii="Garamond" w:hAnsi="Garamond" w:cs="Arial"/>
          <w:color w:val="auto"/>
          <w:sz w:val="24"/>
          <w:szCs w:val="24"/>
        </w:rPr>
        <w:t xml:space="preserve"> de </w:t>
      </w:r>
      <w:r w:rsidR="002C7510" w:rsidRPr="003A1174">
        <w:rPr>
          <w:rFonts w:ascii="Garamond" w:hAnsi="Garamond" w:cs="Arial"/>
          <w:color w:val="auto"/>
          <w:sz w:val="24"/>
          <w:szCs w:val="24"/>
        </w:rPr>
        <w:t>difusão</w:t>
      </w:r>
      <w:r w:rsidR="00CA39B2" w:rsidRPr="003A1174">
        <w:rPr>
          <w:rFonts w:ascii="Garamond" w:hAnsi="Garamond" w:cs="Arial"/>
          <w:color w:val="auto"/>
          <w:sz w:val="24"/>
          <w:szCs w:val="24"/>
        </w:rPr>
        <w:t xml:space="preserve"> de </w:t>
      </w:r>
      <w:r w:rsidR="00886D6A" w:rsidRPr="003A1174">
        <w:rPr>
          <w:rFonts w:ascii="Garamond" w:hAnsi="Garamond" w:cs="Arial"/>
          <w:color w:val="auto"/>
          <w:sz w:val="24"/>
          <w:szCs w:val="24"/>
        </w:rPr>
        <w:t>direito</w:t>
      </w:r>
      <w:r w:rsidR="00CA39B2" w:rsidRPr="003A1174">
        <w:rPr>
          <w:rFonts w:ascii="Garamond" w:hAnsi="Garamond" w:cs="Arial"/>
          <w:color w:val="auto"/>
          <w:sz w:val="24"/>
          <w:szCs w:val="24"/>
        </w:rPr>
        <w:t xml:space="preserve">s </w:t>
      </w:r>
      <w:r w:rsidR="00497503" w:rsidRPr="003A1174">
        <w:rPr>
          <w:rFonts w:ascii="Garamond" w:hAnsi="Garamond" w:cs="Arial"/>
          <w:color w:val="auto"/>
          <w:sz w:val="24"/>
          <w:szCs w:val="24"/>
        </w:rPr>
        <w:t>das</w:t>
      </w:r>
      <w:r w:rsidR="00CA39B2" w:rsidRPr="003A1174">
        <w:rPr>
          <w:rFonts w:ascii="Garamond" w:hAnsi="Garamond" w:cs="Arial"/>
          <w:color w:val="auto"/>
          <w:sz w:val="24"/>
          <w:szCs w:val="24"/>
        </w:rPr>
        <w:t xml:space="preserve">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w:t>
      </w:r>
      <w:r w:rsidR="003E14FC">
        <w:rPr>
          <w:rFonts w:ascii="Garamond" w:hAnsi="Garamond" w:cs="Arial"/>
          <w:color w:val="auto"/>
          <w:sz w:val="24"/>
          <w:szCs w:val="24"/>
        </w:rPr>
        <w:t xml:space="preserve">a </w:t>
      </w:r>
      <w:r w:rsidRPr="003A1174">
        <w:rPr>
          <w:rFonts w:ascii="Garamond" w:hAnsi="Garamond" w:cs="Arial"/>
          <w:color w:val="auto"/>
          <w:sz w:val="24"/>
          <w:szCs w:val="24"/>
        </w:rPr>
        <w:t xml:space="preserve">atenção </w:t>
      </w:r>
      <w:r w:rsidR="003E14FC">
        <w:rPr>
          <w:rFonts w:ascii="Garamond" w:hAnsi="Garamond" w:cs="Arial"/>
          <w:color w:val="auto"/>
          <w:sz w:val="24"/>
          <w:szCs w:val="24"/>
        </w:rPr>
        <w:t xml:space="preserve">focada </w:t>
      </w:r>
      <w:r w:rsidRPr="003A1174">
        <w:rPr>
          <w:rFonts w:ascii="Garamond" w:hAnsi="Garamond" w:cs="Arial"/>
          <w:color w:val="auto"/>
          <w:sz w:val="24"/>
          <w:szCs w:val="24"/>
        </w:rPr>
        <w:t xml:space="preserve">na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de género, </w:t>
      </w:r>
      <w:r w:rsidR="003E14FC">
        <w:rPr>
          <w:rFonts w:ascii="Garamond" w:hAnsi="Garamond" w:cs="Arial"/>
          <w:color w:val="auto"/>
          <w:sz w:val="24"/>
          <w:szCs w:val="24"/>
        </w:rPr>
        <w:t>em particular, e</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n</w:t>
      </w:r>
      <w:r w:rsidR="00CA39B2" w:rsidRPr="003A1174">
        <w:rPr>
          <w:rFonts w:ascii="Garamond" w:hAnsi="Garamond" w:cs="Arial"/>
          <w:color w:val="auto"/>
          <w:sz w:val="24"/>
          <w:szCs w:val="24"/>
        </w:rPr>
        <w:t xml:space="preserve">as </w:t>
      </w:r>
      <w:r w:rsidR="002B1E45" w:rsidRPr="003A1174">
        <w:rPr>
          <w:rFonts w:ascii="Garamond" w:hAnsi="Garamond" w:cs="Arial"/>
          <w:color w:val="auto"/>
          <w:sz w:val="24"/>
          <w:szCs w:val="24"/>
        </w:rPr>
        <w:t>relações íntimas</w:t>
      </w:r>
      <w:r w:rsidR="003E14FC">
        <w:rPr>
          <w:rFonts w:ascii="Garamond" w:hAnsi="Garamond" w:cs="Arial"/>
          <w:color w:val="auto"/>
          <w:sz w:val="24"/>
          <w:szCs w:val="24"/>
        </w:rPr>
        <w:t>,</w:t>
      </w:r>
      <w:r w:rsidR="00EC2E68" w:rsidRPr="003A1174">
        <w:rPr>
          <w:rFonts w:ascii="Garamond" w:hAnsi="Garamond" w:cs="Arial"/>
          <w:color w:val="auto"/>
          <w:sz w:val="24"/>
          <w:szCs w:val="24"/>
        </w:rPr>
        <w:t xml:space="preserve"> em geral</w:t>
      </w:r>
      <w:r w:rsidR="00CA39B2" w:rsidRPr="003A1174">
        <w:rPr>
          <w:rFonts w:ascii="Garamond" w:hAnsi="Garamond" w:cs="Arial"/>
          <w:color w:val="auto"/>
          <w:sz w:val="24"/>
          <w:szCs w:val="24"/>
        </w:rPr>
        <w:t xml:space="preserve">. </w:t>
      </w:r>
      <w:r w:rsidR="009A0CC2" w:rsidRPr="003A1174">
        <w:rPr>
          <w:rFonts w:ascii="Garamond" w:hAnsi="Garamond" w:cs="Arial"/>
          <w:color w:val="auto"/>
          <w:sz w:val="24"/>
          <w:szCs w:val="24"/>
        </w:rPr>
        <w:t>Através</w:t>
      </w:r>
      <w:r w:rsidR="00CA39B2" w:rsidRPr="003A1174">
        <w:rPr>
          <w:rFonts w:ascii="Garamond" w:hAnsi="Garamond" w:cs="Arial"/>
          <w:color w:val="auto"/>
          <w:sz w:val="24"/>
          <w:szCs w:val="24"/>
        </w:rPr>
        <w:t xml:space="preserve"> de u</w:t>
      </w:r>
      <w:r w:rsidR="00EC2E68" w:rsidRPr="003A1174">
        <w:rPr>
          <w:rFonts w:ascii="Garamond" w:hAnsi="Garamond" w:cs="Arial"/>
          <w:color w:val="auto"/>
          <w:sz w:val="24"/>
          <w:szCs w:val="24"/>
        </w:rPr>
        <w:t>m</w:t>
      </w:r>
      <w:r w:rsidR="00CA39B2" w:rsidRPr="003A1174">
        <w:rPr>
          <w:rFonts w:ascii="Garamond" w:hAnsi="Garamond" w:cs="Arial"/>
          <w:color w:val="auto"/>
          <w:sz w:val="24"/>
          <w:szCs w:val="24"/>
        </w:rPr>
        <w:t xml:space="preserve"> </w:t>
      </w:r>
      <w:r w:rsidR="00EC2E68" w:rsidRPr="003A1174">
        <w:rPr>
          <w:rFonts w:ascii="Garamond" w:hAnsi="Garamond" w:cs="Arial"/>
          <w:color w:val="auto"/>
          <w:sz w:val="24"/>
          <w:szCs w:val="24"/>
        </w:rPr>
        <w:t>folheto</w:t>
      </w:r>
      <w:r w:rsidR="00CA39B2" w:rsidRPr="003A1174">
        <w:rPr>
          <w:rFonts w:ascii="Garamond" w:hAnsi="Garamond" w:cs="Arial"/>
          <w:color w:val="auto"/>
          <w:sz w:val="24"/>
          <w:szCs w:val="24"/>
        </w:rPr>
        <w:t xml:space="preserve"> informativo, que se distribu</w:t>
      </w:r>
      <w:r w:rsidR="00EC2E68" w:rsidRPr="003A1174">
        <w:rPr>
          <w:rFonts w:ascii="Garamond" w:hAnsi="Garamond" w:cs="Arial"/>
          <w:color w:val="auto"/>
          <w:sz w:val="24"/>
          <w:szCs w:val="24"/>
        </w:rPr>
        <w:t xml:space="preserve">iu </w:t>
      </w:r>
      <w:r w:rsidRPr="003A1174">
        <w:rPr>
          <w:rFonts w:ascii="Garamond" w:hAnsi="Garamond" w:cs="Arial"/>
          <w:color w:val="auto"/>
          <w:sz w:val="24"/>
          <w:szCs w:val="24"/>
        </w:rPr>
        <w:t>nos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bairro</w:t>
      </w:r>
      <w:r w:rsidR="00EC2E68" w:rsidRPr="003A1174">
        <w:rPr>
          <w:rFonts w:ascii="Garamond" w:hAnsi="Garamond" w:cs="Arial"/>
          <w:color w:val="auto"/>
          <w:sz w:val="24"/>
          <w:szCs w:val="24"/>
        </w:rPr>
        <w:t>s d</w:t>
      </w:r>
      <w:r w:rsidR="00CA39B2" w:rsidRPr="003A1174">
        <w:rPr>
          <w:rFonts w:ascii="Garamond" w:hAnsi="Garamond" w:cs="Arial"/>
          <w:color w:val="auto"/>
          <w:sz w:val="24"/>
          <w:szCs w:val="24"/>
        </w:rPr>
        <w:t xml:space="preserve">a </w:t>
      </w:r>
      <w:r w:rsidR="003E14FC">
        <w:rPr>
          <w:rFonts w:ascii="Garamond" w:hAnsi="Garamond" w:cs="Arial"/>
          <w:color w:val="auto"/>
          <w:sz w:val="24"/>
          <w:szCs w:val="24"/>
        </w:rPr>
        <w:t>c</w:t>
      </w:r>
      <w:r w:rsidR="008651AF" w:rsidRPr="003A1174">
        <w:rPr>
          <w:rFonts w:ascii="Garamond" w:hAnsi="Garamond" w:cs="Arial"/>
          <w:color w:val="auto"/>
          <w:sz w:val="24"/>
          <w:szCs w:val="24"/>
        </w:rPr>
        <w:t>idade</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n</w:t>
      </w:r>
      <w:r w:rsidR="00EC2E68" w:rsidRPr="003A1174">
        <w:rPr>
          <w:rFonts w:ascii="Garamond" w:hAnsi="Garamond" w:cs="Arial"/>
          <w:color w:val="auto"/>
          <w:sz w:val="24"/>
          <w:szCs w:val="24"/>
        </w:rPr>
        <w:t>a</w:t>
      </w:r>
      <w:r w:rsidRPr="003A1174">
        <w:rPr>
          <w:rFonts w:ascii="Garamond" w:hAnsi="Garamond" w:cs="Arial"/>
          <w:color w:val="auto"/>
          <w:sz w:val="24"/>
          <w:szCs w:val="24"/>
        </w:rPr>
        <w:t>s</w:t>
      </w:r>
      <w:r w:rsidR="00CA39B2" w:rsidRPr="003A1174">
        <w:rPr>
          <w:rFonts w:ascii="Garamond" w:hAnsi="Garamond" w:cs="Arial"/>
          <w:color w:val="auto"/>
          <w:sz w:val="24"/>
          <w:szCs w:val="24"/>
        </w:rPr>
        <w:t xml:space="preserve"> </w:t>
      </w:r>
      <w:r w:rsidR="00EC2E68" w:rsidRPr="003A1174">
        <w:rPr>
          <w:rFonts w:ascii="Garamond" w:hAnsi="Garamond" w:cs="Arial"/>
          <w:color w:val="auto"/>
          <w:sz w:val="24"/>
          <w:szCs w:val="24"/>
        </w:rPr>
        <w:t xml:space="preserve">entradas </w:t>
      </w:r>
      <w:r w:rsidR="00497503" w:rsidRPr="003A1174">
        <w:rPr>
          <w:rFonts w:ascii="Garamond" w:hAnsi="Garamond" w:cs="Arial"/>
          <w:color w:val="auto"/>
          <w:sz w:val="24"/>
          <w:szCs w:val="24"/>
        </w:rPr>
        <w:t>dos</w:t>
      </w:r>
      <w:r w:rsidR="00CA39B2" w:rsidRPr="003A1174">
        <w:rPr>
          <w:rFonts w:ascii="Garamond" w:hAnsi="Garamond" w:cs="Arial"/>
          <w:color w:val="auto"/>
          <w:sz w:val="24"/>
          <w:szCs w:val="24"/>
        </w:rPr>
        <w:t xml:space="preserve"> </w:t>
      </w:r>
      <w:r w:rsidR="00BA3CCE" w:rsidRPr="003A1174">
        <w:rPr>
          <w:rFonts w:ascii="Garamond" w:hAnsi="Garamond" w:cs="Arial"/>
          <w:color w:val="auto"/>
          <w:sz w:val="24"/>
          <w:szCs w:val="24"/>
        </w:rPr>
        <w:t>edifícios</w:t>
      </w:r>
      <w:r w:rsidR="00CA39B2" w:rsidRPr="003A1174">
        <w:rPr>
          <w:rFonts w:ascii="Garamond" w:hAnsi="Garamond" w:cs="Arial"/>
          <w:color w:val="auto"/>
          <w:sz w:val="24"/>
          <w:szCs w:val="24"/>
        </w:rPr>
        <w:t xml:space="preserve"> d</w:t>
      </w:r>
      <w:r w:rsidR="00EC2E68" w:rsidRPr="003A1174">
        <w:rPr>
          <w:rFonts w:ascii="Garamond" w:hAnsi="Garamond" w:cs="Arial"/>
          <w:color w:val="auto"/>
          <w:sz w:val="24"/>
          <w:szCs w:val="24"/>
        </w:rPr>
        <w:t xml:space="preserve">a </w:t>
      </w:r>
      <w:r w:rsidR="003E14FC">
        <w:rPr>
          <w:rFonts w:ascii="Garamond" w:hAnsi="Garamond" w:cs="Arial"/>
          <w:color w:val="auto"/>
          <w:sz w:val="24"/>
          <w:szCs w:val="24"/>
        </w:rPr>
        <w:t>P</w:t>
      </w:r>
      <w:r w:rsidR="00EC2E68" w:rsidRPr="003A1174">
        <w:rPr>
          <w:rFonts w:ascii="Garamond" w:hAnsi="Garamond" w:cs="Arial"/>
          <w:color w:val="auto"/>
          <w:sz w:val="24"/>
          <w:szCs w:val="24"/>
        </w:rPr>
        <w:t xml:space="preserve">rovedoria, </w:t>
      </w:r>
      <w:r w:rsidR="00CA39B2" w:rsidRPr="003A1174">
        <w:rPr>
          <w:rFonts w:ascii="Garamond" w:hAnsi="Garamond" w:cs="Arial"/>
          <w:color w:val="auto"/>
          <w:sz w:val="24"/>
          <w:szCs w:val="24"/>
        </w:rPr>
        <w:t xml:space="preserve">a </w:t>
      </w:r>
      <w:r w:rsidRPr="003A1174">
        <w:rPr>
          <w:rFonts w:ascii="Garamond" w:hAnsi="Garamond" w:cs="Arial"/>
          <w:color w:val="auto"/>
          <w:sz w:val="24"/>
          <w:szCs w:val="24"/>
        </w:rPr>
        <w:t>campanha</w:t>
      </w:r>
      <w:r w:rsidR="00CA39B2" w:rsidRPr="003A1174">
        <w:rPr>
          <w:rFonts w:ascii="Garamond" w:hAnsi="Garamond" w:cs="Arial"/>
          <w:color w:val="auto"/>
          <w:sz w:val="24"/>
          <w:szCs w:val="24"/>
        </w:rPr>
        <w:t xml:space="preserve"> </w:t>
      </w:r>
      <w:r w:rsidR="003E14FC">
        <w:rPr>
          <w:rFonts w:ascii="Garamond" w:hAnsi="Garamond" w:cs="Arial"/>
          <w:color w:val="auto"/>
          <w:sz w:val="24"/>
          <w:szCs w:val="24"/>
        </w:rPr>
        <w:t>«</w:t>
      </w:r>
      <w:r w:rsidR="00CA39B2" w:rsidRPr="003A1174">
        <w:rPr>
          <w:rFonts w:ascii="Garamond" w:hAnsi="Garamond" w:cs="Arial"/>
          <w:color w:val="auto"/>
          <w:sz w:val="24"/>
          <w:szCs w:val="24"/>
        </w:rPr>
        <w:t>S</w:t>
      </w:r>
      <w:r w:rsidR="00EC2E68" w:rsidRPr="003A1174">
        <w:rPr>
          <w:rFonts w:ascii="Garamond" w:hAnsi="Garamond" w:cs="Arial"/>
          <w:color w:val="auto"/>
          <w:sz w:val="24"/>
          <w:szCs w:val="24"/>
        </w:rPr>
        <w:t>e te bate não te ama</w:t>
      </w:r>
      <w:r w:rsidR="003E14FC">
        <w:rPr>
          <w:rFonts w:ascii="Garamond" w:hAnsi="Garamond" w:cs="Arial"/>
          <w:color w:val="auto"/>
          <w:sz w:val="24"/>
          <w:szCs w:val="24"/>
        </w:rPr>
        <w:t>»</w:t>
      </w:r>
      <w:r w:rsidR="00EC2E68" w:rsidRPr="003A1174">
        <w:rPr>
          <w:rFonts w:ascii="Garamond" w:hAnsi="Garamond" w:cs="Arial"/>
          <w:color w:val="auto"/>
          <w:sz w:val="24"/>
          <w:szCs w:val="24"/>
        </w:rPr>
        <w:t xml:space="preserve">, difunde </w:t>
      </w:r>
      <w:r w:rsidR="00CA39B2" w:rsidRPr="003A1174">
        <w:rPr>
          <w:rFonts w:ascii="Garamond" w:hAnsi="Garamond" w:cs="Arial"/>
          <w:color w:val="auto"/>
          <w:sz w:val="24"/>
          <w:szCs w:val="24"/>
        </w:rPr>
        <w:t xml:space="preserve">a </w:t>
      </w:r>
      <w:r w:rsidR="002C7510" w:rsidRPr="003A1174">
        <w:rPr>
          <w:rFonts w:ascii="Garamond" w:hAnsi="Garamond" w:cs="Arial"/>
          <w:color w:val="auto"/>
          <w:sz w:val="24"/>
          <w:szCs w:val="24"/>
        </w:rPr>
        <w:t>legislação</w:t>
      </w:r>
      <w:r w:rsidR="00EC2E68" w:rsidRPr="003A1174">
        <w:rPr>
          <w:rFonts w:ascii="Garamond" w:hAnsi="Garamond" w:cs="Arial"/>
          <w:color w:val="auto"/>
          <w:sz w:val="24"/>
          <w:szCs w:val="24"/>
        </w:rPr>
        <w:t xml:space="preserve"> que protege </w:t>
      </w:r>
      <w:r w:rsidR="00CA39B2" w:rsidRPr="003A1174">
        <w:rPr>
          <w:rFonts w:ascii="Garamond" w:hAnsi="Garamond" w:cs="Arial"/>
          <w:color w:val="auto"/>
          <w:sz w:val="24"/>
          <w:szCs w:val="24"/>
        </w:rPr>
        <w:t xml:space="preserve">as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EC2E68" w:rsidRPr="003A1174">
        <w:rPr>
          <w:rFonts w:ascii="Garamond" w:hAnsi="Garamond" w:cs="Arial"/>
          <w:color w:val="auto"/>
          <w:sz w:val="24"/>
          <w:szCs w:val="24"/>
        </w:rPr>
        <w:t>descreve</w:t>
      </w:r>
      <w:r w:rsidR="00CA39B2" w:rsidRPr="003A1174">
        <w:rPr>
          <w:rFonts w:ascii="Garamond" w:hAnsi="Garamond" w:cs="Arial"/>
          <w:color w:val="auto"/>
          <w:sz w:val="24"/>
          <w:szCs w:val="24"/>
        </w:rPr>
        <w:t xml:space="preserve"> </w:t>
      </w:r>
      <w:r w:rsidR="00EC2E68" w:rsidRPr="003A1174">
        <w:rPr>
          <w:rFonts w:ascii="Garamond" w:hAnsi="Garamond" w:cs="Arial"/>
          <w:color w:val="auto"/>
          <w:sz w:val="24"/>
          <w:szCs w:val="24"/>
        </w:rPr>
        <w:t xml:space="preserve">os </w:t>
      </w:r>
      <w:r w:rsidR="00CA39B2" w:rsidRPr="003A1174">
        <w:rPr>
          <w:rFonts w:ascii="Garamond" w:hAnsi="Garamond" w:cs="Arial"/>
          <w:color w:val="auto"/>
          <w:sz w:val="24"/>
          <w:szCs w:val="24"/>
        </w:rPr>
        <w:t>s</w:t>
      </w:r>
      <w:r w:rsidR="00EC2E68" w:rsidRPr="003A1174">
        <w:rPr>
          <w:rFonts w:ascii="Garamond" w:hAnsi="Garamond" w:cs="Arial"/>
          <w:color w:val="auto"/>
          <w:sz w:val="24"/>
          <w:szCs w:val="24"/>
        </w:rPr>
        <w:t>e</w:t>
      </w:r>
      <w:r w:rsidR="00CA39B2" w:rsidRPr="003A1174">
        <w:rPr>
          <w:rFonts w:ascii="Garamond" w:hAnsi="Garamond" w:cs="Arial"/>
          <w:color w:val="auto"/>
          <w:sz w:val="24"/>
          <w:szCs w:val="24"/>
        </w:rPr>
        <w:t xml:space="preserve">us tipos </w:t>
      </w:r>
      <w:r w:rsidR="00497503" w:rsidRPr="003A1174">
        <w:rPr>
          <w:rFonts w:ascii="Garamond" w:hAnsi="Garamond" w:cs="Arial"/>
          <w:color w:val="auto"/>
          <w:sz w:val="24"/>
          <w:szCs w:val="24"/>
        </w:rPr>
        <w:t>e</w:t>
      </w:r>
      <w:r w:rsidR="00CA39B2" w:rsidRPr="003A1174">
        <w:rPr>
          <w:rFonts w:ascii="Garamond" w:hAnsi="Garamond" w:cs="Arial"/>
          <w:color w:val="auto"/>
          <w:sz w:val="24"/>
          <w:szCs w:val="24"/>
        </w:rPr>
        <w:t xml:space="preserve"> modalidades </w:t>
      </w:r>
      <w:r w:rsidR="00EC2E68" w:rsidRPr="003A1174">
        <w:rPr>
          <w:rFonts w:ascii="Garamond" w:hAnsi="Garamond" w:cs="Arial"/>
          <w:color w:val="auto"/>
          <w:sz w:val="24"/>
          <w:szCs w:val="24"/>
        </w:rPr>
        <w:t xml:space="preserve">com o título </w:t>
      </w:r>
      <w:r w:rsidR="003E14FC">
        <w:rPr>
          <w:rFonts w:ascii="Garamond" w:hAnsi="Garamond" w:cs="Arial"/>
          <w:color w:val="auto"/>
          <w:sz w:val="24"/>
          <w:szCs w:val="24"/>
        </w:rPr>
        <w:t>«</w:t>
      </w:r>
      <w:r w:rsidR="00CA39B2" w:rsidRPr="003A1174">
        <w:rPr>
          <w:rFonts w:ascii="Garamond" w:hAnsi="Garamond" w:cs="Arial"/>
          <w:color w:val="auto"/>
          <w:sz w:val="24"/>
          <w:szCs w:val="24"/>
        </w:rPr>
        <w:t>N</w:t>
      </w:r>
      <w:r w:rsidR="00EC2E68" w:rsidRPr="003A1174">
        <w:rPr>
          <w:rFonts w:ascii="Garamond" w:hAnsi="Garamond" w:cs="Arial"/>
          <w:color w:val="auto"/>
          <w:sz w:val="24"/>
          <w:szCs w:val="24"/>
        </w:rPr>
        <w:t>ã</w:t>
      </w:r>
      <w:r w:rsidR="00CA39B2" w:rsidRPr="003A1174">
        <w:rPr>
          <w:rFonts w:ascii="Garamond" w:hAnsi="Garamond" w:cs="Arial"/>
          <w:color w:val="auto"/>
          <w:sz w:val="24"/>
          <w:szCs w:val="24"/>
        </w:rPr>
        <w:t xml:space="preserve">o </w:t>
      </w:r>
      <w:r w:rsidR="00F320F4" w:rsidRPr="003A1174">
        <w:rPr>
          <w:rFonts w:ascii="Garamond" w:hAnsi="Garamond" w:cs="Arial"/>
          <w:color w:val="auto"/>
          <w:sz w:val="24"/>
          <w:szCs w:val="24"/>
        </w:rPr>
        <w:t>aceite</w:t>
      </w:r>
      <w:r w:rsidR="00EC2E68" w:rsidRPr="003A1174">
        <w:rPr>
          <w:rFonts w:ascii="Garamond" w:hAnsi="Garamond" w:cs="Arial"/>
          <w:color w:val="auto"/>
          <w:sz w:val="24"/>
          <w:szCs w:val="24"/>
        </w:rPr>
        <w:t xml:space="preserve">mos </w:t>
      </w:r>
      <w:r w:rsidR="00CA39B2"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como algo natural</w:t>
      </w:r>
      <w:r w:rsidR="003E14FC">
        <w:rPr>
          <w:rFonts w:ascii="Garamond" w:hAnsi="Garamond" w:cs="Arial"/>
          <w:color w:val="auto"/>
          <w:sz w:val="24"/>
          <w:szCs w:val="24"/>
        </w:rPr>
        <w:t>»</w:t>
      </w:r>
      <w:r w:rsidR="00CA39B2" w:rsidRPr="003A1174">
        <w:rPr>
          <w:rFonts w:ascii="Garamond" w:hAnsi="Garamond" w:cs="Arial"/>
          <w:color w:val="auto"/>
          <w:sz w:val="24"/>
          <w:szCs w:val="24"/>
        </w:rPr>
        <w:t>.</w:t>
      </w:r>
    </w:p>
    <w:p w:rsidR="00CA39B2" w:rsidRPr="003A1174" w:rsidRDefault="00CA39B2"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w:t>
      </w:r>
      <w:r w:rsidR="001F2F8B" w:rsidRPr="003A1174">
        <w:rPr>
          <w:rFonts w:ascii="Garamond" w:hAnsi="Garamond" w:cs="Arial"/>
          <w:color w:val="auto"/>
          <w:sz w:val="24"/>
          <w:szCs w:val="24"/>
        </w:rPr>
        <w:t>outro</w:t>
      </w:r>
      <w:r w:rsidRPr="003A1174">
        <w:rPr>
          <w:rFonts w:ascii="Garamond" w:hAnsi="Garamond" w:cs="Arial"/>
          <w:color w:val="auto"/>
          <w:sz w:val="24"/>
          <w:szCs w:val="24"/>
        </w:rPr>
        <w:t xml:space="preserve"> lado, e</w:t>
      </w:r>
      <w:r w:rsidR="00EC2E68" w:rsidRPr="003A1174">
        <w:rPr>
          <w:rFonts w:ascii="Garamond" w:hAnsi="Garamond" w:cs="Arial"/>
          <w:color w:val="auto"/>
          <w:sz w:val="24"/>
          <w:szCs w:val="24"/>
        </w:rPr>
        <w:t>m</w:t>
      </w:r>
      <w:r w:rsidRPr="003A1174">
        <w:rPr>
          <w:rFonts w:ascii="Garamond" w:hAnsi="Garamond" w:cs="Arial"/>
          <w:color w:val="auto"/>
          <w:sz w:val="24"/>
          <w:szCs w:val="24"/>
        </w:rPr>
        <w:t xml:space="preserve"> 2013</w:t>
      </w:r>
      <w:r w:rsidR="003E14FC">
        <w:rPr>
          <w:rFonts w:ascii="Garamond" w:hAnsi="Garamond" w:cs="Arial"/>
          <w:color w:val="auto"/>
          <w:sz w:val="24"/>
          <w:szCs w:val="24"/>
        </w:rPr>
        <w:t>,</w:t>
      </w:r>
      <w:r w:rsidRPr="003A1174">
        <w:rPr>
          <w:rFonts w:ascii="Garamond" w:hAnsi="Garamond" w:cs="Arial"/>
          <w:color w:val="auto"/>
          <w:sz w:val="24"/>
          <w:szCs w:val="24"/>
        </w:rPr>
        <w:t xml:space="preserve"> </w:t>
      </w:r>
      <w:r w:rsidR="005D5236" w:rsidRPr="003A1174">
        <w:rPr>
          <w:rFonts w:ascii="Garamond" w:hAnsi="Garamond" w:cs="Arial"/>
          <w:color w:val="auto"/>
          <w:sz w:val="24"/>
          <w:szCs w:val="24"/>
        </w:rPr>
        <w:t xml:space="preserve">o </w:t>
      </w:r>
      <w:r w:rsidR="008278C4" w:rsidRPr="003A1174">
        <w:rPr>
          <w:rFonts w:ascii="Garamond" w:hAnsi="Garamond" w:cs="Arial"/>
          <w:color w:val="auto"/>
          <w:sz w:val="24"/>
          <w:szCs w:val="24"/>
        </w:rPr>
        <w:t>pessoal</w:t>
      </w:r>
      <w:r w:rsidRPr="003A1174">
        <w:rPr>
          <w:rFonts w:ascii="Garamond" w:hAnsi="Garamond" w:cs="Arial"/>
          <w:color w:val="auto"/>
          <w:sz w:val="24"/>
          <w:szCs w:val="24"/>
        </w:rPr>
        <w:t xml:space="preserve"> da </w:t>
      </w:r>
      <w:r w:rsidR="00EC2E68" w:rsidRPr="003A1174">
        <w:rPr>
          <w:rFonts w:ascii="Garamond" w:hAnsi="Garamond" w:cs="Arial"/>
          <w:color w:val="auto"/>
          <w:sz w:val="24"/>
          <w:szCs w:val="24"/>
        </w:rPr>
        <w:t xml:space="preserve">Provedoria </w:t>
      </w:r>
      <w:r w:rsidRPr="003A1174">
        <w:rPr>
          <w:rFonts w:ascii="Garamond" w:hAnsi="Garamond" w:cs="Arial"/>
          <w:color w:val="auto"/>
          <w:sz w:val="24"/>
          <w:szCs w:val="24"/>
        </w:rPr>
        <w:t>particip</w:t>
      </w:r>
      <w:r w:rsidR="00EC2E68" w:rsidRPr="003A1174">
        <w:rPr>
          <w:rFonts w:ascii="Garamond" w:hAnsi="Garamond" w:cs="Arial"/>
          <w:color w:val="auto"/>
          <w:sz w:val="24"/>
          <w:szCs w:val="24"/>
        </w:rPr>
        <w:t xml:space="preserve">ou nos </w:t>
      </w:r>
      <w:r w:rsidR="00EC2E68" w:rsidRPr="003A1174">
        <w:rPr>
          <w:rFonts w:ascii="Garamond" w:hAnsi="Garamond" w:cs="Arial"/>
          <w:i/>
          <w:color w:val="auto"/>
          <w:sz w:val="24"/>
          <w:szCs w:val="24"/>
        </w:rPr>
        <w:t>ateliers</w:t>
      </w:r>
      <w:r w:rsidR="00EC2E68" w:rsidRPr="003A1174">
        <w:rPr>
          <w:rFonts w:ascii="Garamond" w:hAnsi="Garamond" w:cs="Arial"/>
          <w:color w:val="auto"/>
          <w:sz w:val="24"/>
          <w:szCs w:val="24"/>
        </w:rPr>
        <w:t xml:space="preserve"> </w:t>
      </w:r>
      <w:r w:rsidRPr="003A1174">
        <w:rPr>
          <w:rFonts w:ascii="Garamond" w:hAnsi="Garamond" w:cs="Arial"/>
          <w:color w:val="auto"/>
          <w:sz w:val="24"/>
          <w:szCs w:val="24"/>
        </w:rPr>
        <w:t xml:space="preserve">de </w:t>
      </w:r>
      <w:r w:rsidR="00EC2E68" w:rsidRPr="003A1174">
        <w:rPr>
          <w:rFonts w:ascii="Garamond" w:hAnsi="Garamond" w:cs="Arial"/>
          <w:color w:val="auto"/>
          <w:sz w:val="24"/>
          <w:szCs w:val="24"/>
        </w:rPr>
        <w:t xml:space="preserve">formação </w:t>
      </w:r>
      <w:r w:rsidRPr="003A1174">
        <w:rPr>
          <w:rFonts w:ascii="Garamond" w:hAnsi="Garamond" w:cs="Arial"/>
          <w:color w:val="auto"/>
          <w:sz w:val="24"/>
          <w:szCs w:val="24"/>
        </w:rPr>
        <w:t>sobre transversalidad</w:t>
      </w:r>
      <w:r w:rsidR="00EC2E68" w:rsidRPr="003A1174">
        <w:rPr>
          <w:rFonts w:ascii="Garamond" w:hAnsi="Garamond" w:cs="Arial"/>
          <w:color w:val="auto"/>
          <w:sz w:val="24"/>
          <w:szCs w:val="24"/>
        </w:rPr>
        <w:t>e</w:t>
      </w:r>
      <w:r w:rsidRPr="003A1174">
        <w:rPr>
          <w:rFonts w:ascii="Garamond" w:hAnsi="Garamond" w:cs="Arial"/>
          <w:color w:val="auto"/>
          <w:sz w:val="24"/>
          <w:szCs w:val="24"/>
        </w:rPr>
        <w:t xml:space="preserve"> da </w:t>
      </w:r>
      <w:r w:rsidR="00D96FD0" w:rsidRPr="003A1174">
        <w:rPr>
          <w:rFonts w:ascii="Garamond" w:hAnsi="Garamond" w:cs="Arial"/>
          <w:color w:val="auto"/>
          <w:sz w:val="24"/>
          <w:szCs w:val="24"/>
        </w:rPr>
        <w:t>perspetiva</w:t>
      </w:r>
      <w:r w:rsidRPr="003A1174">
        <w:rPr>
          <w:rFonts w:ascii="Garamond" w:hAnsi="Garamond" w:cs="Arial"/>
          <w:color w:val="auto"/>
          <w:sz w:val="24"/>
          <w:szCs w:val="24"/>
        </w:rPr>
        <w:t xml:space="preserve"> de género</w:t>
      </w:r>
      <w:r w:rsidR="003E14FC">
        <w:rPr>
          <w:rFonts w:ascii="Garamond" w:hAnsi="Garamond" w:cs="Arial"/>
          <w:color w:val="auto"/>
          <w:sz w:val="24"/>
          <w:szCs w:val="24"/>
        </w:rPr>
        <w:t>,</w:t>
      </w:r>
      <w:r w:rsidRPr="003A1174">
        <w:rPr>
          <w:rFonts w:ascii="Garamond" w:hAnsi="Garamond" w:cs="Arial"/>
          <w:color w:val="auto"/>
          <w:sz w:val="24"/>
          <w:szCs w:val="24"/>
        </w:rPr>
        <w:t xml:space="preserve"> </w:t>
      </w:r>
      <w:r w:rsidR="00EC2E68" w:rsidRPr="003A1174">
        <w:rPr>
          <w:rFonts w:ascii="Garamond" w:hAnsi="Garamond" w:cs="Arial"/>
          <w:color w:val="auto"/>
          <w:sz w:val="24"/>
          <w:szCs w:val="24"/>
        </w:rPr>
        <w:t>nas</w:t>
      </w:r>
      <w:r w:rsidRPr="003A1174">
        <w:rPr>
          <w:rFonts w:ascii="Garamond" w:hAnsi="Garamond" w:cs="Arial"/>
          <w:color w:val="auto"/>
          <w:sz w:val="24"/>
          <w:szCs w:val="24"/>
        </w:rPr>
        <w:t xml:space="preserve"> </w:t>
      </w:r>
      <w:r w:rsidR="00C04CA4" w:rsidRPr="003A1174">
        <w:rPr>
          <w:rFonts w:ascii="Garamond" w:hAnsi="Garamond" w:cs="Arial"/>
          <w:color w:val="auto"/>
          <w:sz w:val="24"/>
          <w:szCs w:val="24"/>
        </w:rPr>
        <w:t>Provedoria</w:t>
      </w:r>
      <w:r w:rsidR="00EC2E68" w:rsidRPr="003A1174">
        <w:rPr>
          <w:rFonts w:ascii="Garamond" w:hAnsi="Garamond" w:cs="Arial"/>
          <w:color w:val="auto"/>
          <w:sz w:val="24"/>
          <w:szCs w:val="24"/>
        </w:rPr>
        <w:t>s</w:t>
      </w:r>
      <w:r w:rsidR="00C04CA4" w:rsidRPr="003A1174">
        <w:rPr>
          <w:rFonts w:ascii="Garamond" w:hAnsi="Garamond" w:cs="Arial"/>
          <w:color w:val="auto"/>
          <w:sz w:val="24"/>
          <w:szCs w:val="24"/>
        </w:rPr>
        <w:t xml:space="preserve"> de Justiça</w:t>
      </w:r>
      <w:r w:rsidR="00EC2E68" w:rsidRPr="003A1174">
        <w:rPr>
          <w:rFonts w:ascii="Garamond" w:hAnsi="Garamond" w:cs="Arial"/>
          <w:color w:val="auto"/>
          <w:sz w:val="24"/>
          <w:szCs w:val="24"/>
        </w:rPr>
        <w:t xml:space="preserve"> da</w:t>
      </w:r>
      <w:r w:rsidRPr="003A1174">
        <w:rPr>
          <w:rFonts w:ascii="Garamond" w:hAnsi="Garamond" w:cs="Arial"/>
          <w:color w:val="auto"/>
          <w:sz w:val="24"/>
          <w:szCs w:val="24"/>
        </w:rPr>
        <w:t xml:space="preserve"> Iberoamérica, </w:t>
      </w:r>
      <w:r w:rsidR="00224780">
        <w:rPr>
          <w:rFonts w:ascii="Garamond" w:hAnsi="Garamond" w:cs="Arial"/>
          <w:color w:val="auto"/>
          <w:sz w:val="24"/>
          <w:szCs w:val="24"/>
        </w:rPr>
        <w:t xml:space="preserve">criados </w:t>
      </w:r>
      <w:r w:rsidR="00275092" w:rsidRPr="003A1174">
        <w:rPr>
          <w:rFonts w:ascii="Garamond" w:hAnsi="Garamond" w:cs="Arial"/>
          <w:color w:val="auto"/>
          <w:sz w:val="24"/>
          <w:szCs w:val="24"/>
        </w:rPr>
        <w:t>pela</w:t>
      </w:r>
      <w:r w:rsidRPr="003A1174">
        <w:rPr>
          <w:rFonts w:ascii="Garamond" w:hAnsi="Garamond" w:cs="Arial"/>
          <w:color w:val="auto"/>
          <w:sz w:val="24"/>
          <w:szCs w:val="24"/>
        </w:rPr>
        <w:t xml:space="preserve"> </w:t>
      </w:r>
      <w:r w:rsidR="002C7510" w:rsidRPr="003A1174">
        <w:rPr>
          <w:rFonts w:ascii="Garamond" w:hAnsi="Garamond" w:cs="Arial"/>
          <w:color w:val="auto"/>
          <w:sz w:val="24"/>
          <w:szCs w:val="24"/>
        </w:rPr>
        <w:t>Rede</w:t>
      </w:r>
      <w:r w:rsidRPr="003A1174">
        <w:rPr>
          <w:rFonts w:ascii="Garamond" w:hAnsi="Garamond" w:cs="Arial"/>
          <w:color w:val="auto"/>
          <w:sz w:val="24"/>
          <w:szCs w:val="24"/>
        </w:rPr>
        <w:t xml:space="preserve"> de </w:t>
      </w:r>
      <w:r w:rsidR="00054EE0" w:rsidRPr="003A1174">
        <w:rPr>
          <w:rFonts w:ascii="Garamond" w:hAnsi="Garamond" w:cs="Arial"/>
          <w:color w:val="auto"/>
          <w:sz w:val="24"/>
          <w:szCs w:val="24"/>
        </w:rPr>
        <w:t>Mulheres</w:t>
      </w:r>
      <w:r w:rsidR="00EC2E68" w:rsidRPr="003A1174">
        <w:rPr>
          <w:rFonts w:ascii="Garamond" w:hAnsi="Garamond" w:cs="Arial"/>
          <w:color w:val="auto"/>
          <w:sz w:val="24"/>
          <w:szCs w:val="24"/>
        </w:rPr>
        <w:t xml:space="preserve"> </w:t>
      </w:r>
      <w:proofErr w:type="gramStart"/>
      <w:r w:rsidR="00EC2E68" w:rsidRPr="003A1174">
        <w:rPr>
          <w:rFonts w:ascii="Garamond" w:hAnsi="Garamond" w:cs="Arial"/>
          <w:color w:val="auto"/>
          <w:sz w:val="24"/>
          <w:szCs w:val="24"/>
        </w:rPr>
        <w:t>d</w:t>
      </w:r>
      <w:r w:rsidRPr="003A1174">
        <w:rPr>
          <w:rFonts w:ascii="Garamond" w:hAnsi="Garamond" w:cs="Arial"/>
          <w:color w:val="auto"/>
          <w:sz w:val="24"/>
          <w:szCs w:val="24"/>
        </w:rPr>
        <w:t>a FIO</w:t>
      </w:r>
      <w:proofErr w:type="gramEnd"/>
      <w:r w:rsidRPr="003A1174">
        <w:rPr>
          <w:rFonts w:ascii="Garamond" w:hAnsi="Garamond" w:cs="Arial"/>
          <w:color w:val="auto"/>
          <w:sz w:val="24"/>
          <w:szCs w:val="24"/>
        </w:rPr>
        <w:t>, co</w:t>
      </w:r>
      <w:r w:rsidR="00EC2E68" w:rsidRPr="003A1174">
        <w:rPr>
          <w:rFonts w:ascii="Garamond" w:hAnsi="Garamond" w:cs="Arial"/>
          <w:color w:val="auto"/>
          <w:sz w:val="24"/>
          <w:szCs w:val="24"/>
        </w:rPr>
        <w:t xml:space="preserve">m </w:t>
      </w:r>
      <w:r w:rsidRPr="003A1174">
        <w:rPr>
          <w:rFonts w:ascii="Garamond" w:hAnsi="Garamond" w:cs="Arial"/>
          <w:color w:val="auto"/>
          <w:sz w:val="24"/>
          <w:szCs w:val="24"/>
        </w:rPr>
        <w:t xml:space="preserve">a </w:t>
      </w:r>
      <w:r w:rsidR="00CA633E" w:rsidRPr="003A1174">
        <w:rPr>
          <w:rFonts w:ascii="Garamond" w:hAnsi="Garamond" w:cs="Arial"/>
          <w:color w:val="auto"/>
          <w:sz w:val="24"/>
          <w:szCs w:val="24"/>
        </w:rPr>
        <w:t>colaboração</w:t>
      </w:r>
      <w:r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w:t>
      </w:r>
      <w:r w:rsidR="00EC2E68" w:rsidRPr="003A1174">
        <w:rPr>
          <w:rFonts w:ascii="Garamond" w:hAnsi="Garamond" w:cs="Arial"/>
          <w:color w:val="auto"/>
          <w:sz w:val="24"/>
          <w:szCs w:val="24"/>
        </w:rPr>
        <w:t xml:space="preserve">o </w:t>
      </w:r>
      <w:r w:rsidRPr="003A1174">
        <w:rPr>
          <w:rFonts w:ascii="Garamond" w:hAnsi="Garamond" w:cs="Arial"/>
          <w:color w:val="auto"/>
          <w:sz w:val="24"/>
          <w:szCs w:val="24"/>
        </w:rPr>
        <w:t>apo</w:t>
      </w:r>
      <w:r w:rsidR="00EC2E68" w:rsidRPr="003A1174">
        <w:rPr>
          <w:rFonts w:ascii="Garamond" w:hAnsi="Garamond" w:cs="Arial"/>
          <w:color w:val="auto"/>
          <w:sz w:val="24"/>
          <w:szCs w:val="24"/>
        </w:rPr>
        <w:t>i</w:t>
      </w:r>
      <w:r w:rsidRPr="003A1174">
        <w:rPr>
          <w:rFonts w:ascii="Garamond" w:hAnsi="Garamond" w:cs="Arial"/>
          <w:color w:val="auto"/>
          <w:sz w:val="24"/>
          <w:szCs w:val="24"/>
        </w:rPr>
        <w:t xml:space="preserve">o da </w:t>
      </w:r>
      <w:r w:rsidR="00EC2E68" w:rsidRPr="003A1174">
        <w:rPr>
          <w:rFonts w:ascii="Garamond" w:hAnsi="Garamond" w:cs="Arial"/>
          <w:color w:val="auto"/>
          <w:sz w:val="24"/>
          <w:szCs w:val="24"/>
        </w:rPr>
        <w:t>Agência</w:t>
      </w:r>
      <w:r w:rsidRPr="003A1174">
        <w:rPr>
          <w:rFonts w:ascii="Garamond" w:hAnsi="Garamond" w:cs="Arial"/>
          <w:color w:val="auto"/>
          <w:sz w:val="24"/>
          <w:szCs w:val="24"/>
        </w:rPr>
        <w:t xml:space="preserve"> de </w:t>
      </w:r>
      <w:r w:rsidR="00C30647" w:rsidRPr="003A1174">
        <w:rPr>
          <w:rFonts w:ascii="Garamond" w:hAnsi="Garamond" w:cs="Arial"/>
          <w:color w:val="auto"/>
          <w:sz w:val="24"/>
          <w:szCs w:val="24"/>
        </w:rPr>
        <w:t>Cooperação</w:t>
      </w:r>
      <w:r w:rsidRPr="003A1174">
        <w:rPr>
          <w:rFonts w:ascii="Garamond" w:hAnsi="Garamond" w:cs="Arial"/>
          <w:color w:val="auto"/>
          <w:sz w:val="24"/>
          <w:szCs w:val="24"/>
        </w:rPr>
        <w:t xml:space="preserve"> </w:t>
      </w:r>
      <w:r w:rsidR="00C30647" w:rsidRPr="003A1174">
        <w:rPr>
          <w:rFonts w:ascii="Garamond" w:hAnsi="Garamond" w:cs="Arial"/>
          <w:color w:val="auto"/>
          <w:sz w:val="24"/>
          <w:szCs w:val="24"/>
        </w:rPr>
        <w:t>Alemã</w:t>
      </w:r>
      <w:r w:rsidRPr="003A1174">
        <w:rPr>
          <w:rFonts w:ascii="Garamond" w:hAnsi="Garamond" w:cs="Arial"/>
          <w:color w:val="auto"/>
          <w:sz w:val="24"/>
          <w:szCs w:val="24"/>
        </w:rPr>
        <w:t xml:space="preserve"> GIZ </w:t>
      </w:r>
      <w:r w:rsidR="00EC2E68" w:rsidRPr="003A1174">
        <w:rPr>
          <w:rFonts w:ascii="Garamond" w:hAnsi="Garamond" w:cs="Arial"/>
          <w:color w:val="auto"/>
          <w:sz w:val="24"/>
          <w:szCs w:val="24"/>
        </w:rPr>
        <w:t xml:space="preserve">no </w:t>
      </w:r>
      <w:r w:rsidR="00253B1D" w:rsidRPr="003A1174">
        <w:rPr>
          <w:rFonts w:ascii="Garamond" w:hAnsi="Garamond" w:cs="Arial"/>
          <w:color w:val="auto"/>
          <w:sz w:val="24"/>
          <w:szCs w:val="24"/>
        </w:rPr>
        <w:t>quadro</w:t>
      </w:r>
      <w:r w:rsidRPr="003A1174">
        <w:rPr>
          <w:rFonts w:ascii="Garamond" w:hAnsi="Garamond" w:cs="Arial"/>
          <w:color w:val="auto"/>
          <w:sz w:val="24"/>
          <w:szCs w:val="24"/>
        </w:rPr>
        <w:t xml:space="preserve"> </w:t>
      </w:r>
      <w:r w:rsidR="008A3DA2" w:rsidRPr="003A1174">
        <w:rPr>
          <w:rFonts w:ascii="Garamond" w:hAnsi="Garamond" w:cs="Arial"/>
          <w:color w:val="auto"/>
          <w:sz w:val="24"/>
          <w:szCs w:val="24"/>
        </w:rPr>
        <w:t>do</w:t>
      </w:r>
      <w:r w:rsidRPr="003A1174">
        <w:rPr>
          <w:rFonts w:ascii="Garamond" w:hAnsi="Garamond" w:cs="Arial"/>
          <w:color w:val="auto"/>
          <w:sz w:val="24"/>
          <w:szCs w:val="24"/>
        </w:rPr>
        <w:t xml:space="preserve"> </w:t>
      </w:r>
      <w:r w:rsidR="00C30647" w:rsidRPr="003A1174">
        <w:rPr>
          <w:rFonts w:ascii="Garamond" w:hAnsi="Garamond" w:cs="Arial"/>
          <w:color w:val="auto"/>
          <w:sz w:val="24"/>
          <w:szCs w:val="24"/>
        </w:rPr>
        <w:t>Projeto</w:t>
      </w:r>
      <w:r w:rsidRPr="003A1174">
        <w:rPr>
          <w:rFonts w:ascii="Garamond" w:hAnsi="Garamond" w:cs="Arial"/>
          <w:color w:val="auto"/>
          <w:sz w:val="24"/>
          <w:szCs w:val="24"/>
        </w:rPr>
        <w:t xml:space="preserve"> PRO-FIO. </w:t>
      </w:r>
    </w:p>
    <w:p w:rsidR="00CA39B2" w:rsidRPr="003A1174" w:rsidRDefault="006C6E85"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A</w:t>
      </w:r>
      <w:r w:rsidR="00CA39B2" w:rsidRPr="003A1174">
        <w:rPr>
          <w:rFonts w:ascii="Garamond" w:hAnsi="Garamond" w:cs="Arial"/>
          <w:color w:val="auto"/>
          <w:sz w:val="24"/>
          <w:szCs w:val="24"/>
        </w:rPr>
        <w:t xml:space="preserve"> </w:t>
      </w:r>
      <w:r w:rsidR="00FC1F7F" w:rsidRPr="003A1174">
        <w:rPr>
          <w:rFonts w:ascii="Garamond" w:hAnsi="Garamond" w:cs="Arial"/>
          <w:color w:val="auto"/>
          <w:sz w:val="24"/>
          <w:szCs w:val="24"/>
        </w:rPr>
        <w:t>Comissão</w:t>
      </w:r>
      <w:r w:rsidRPr="003A1174">
        <w:rPr>
          <w:rFonts w:ascii="Garamond" w:hAnsi="Garamond" w:cs="Arial"/>
          <w:color w:val="auto"/>
          <w:sz w:val="24"/>
          <w:szCs w:val="24"/>
        </w:rPr>
        <w:t xml:space="preserve"> sobre Temáticas de Género d</w:t>
      </w:r>
      <w:r w:rsidR="00CA39B2" w:rsidRPr="003A1174">
        <w:rPr>
          <w:rFonts w:ascii="Garamond" w:hAnsi="Garamond" w:cs="Arial"/>
          <w:color w:val="auto"/>
          <w:sz w:val="24"/>
          <w:szCs w:val="24"/>
        </w:rPr>
        <w:t xml:space="preserve">a </w:t>
      </w:r>
      <w:r w:rsidRPr="003A1174">
        <w:rPr>
          <w:rFonts w:ascii="Garamond" w:hAnsi="Garamond" w:cs="Arial"/>
          <w:color w:val="auto"/>
          <w:sz w:val="24"/>
          <w:szCs w:val="24"/>
        </w:rPr>
        <w:t>Provedoria</w:t>
      </w:r>
      <w:r w:rsidR="00CA39B2" w:rsidRPr="003A1174">
        <w:rPr>
          <w:rFonts w:ascii="Garamond" w:hAnsi="Garamond" w:cs="Arial"/>
          <w:color w:val="auto"/>
          <w:sz w:val="24"/>
          <w:szCs w:val="24"/>
        </w:rPr>
        <w:t xml:space="preserve"> </w:t>
      </w:r>
      <w:r w:rsidR="00077461" w:rsidRPr="003A1174">
        <w:rPr>
          <w:rFonts w:ascii="Garamond" w:hAnsi="Garamond" w:cs="Arial"/>
          <w:color w:val="auto"/>
          <w:sz w:val="24"/>
          <w:szCs w:val="24"/>
        </w:rPr>
        <w:t>Geral</w:t>
      </w:r>
      <w:r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a </w:t>
      </w:r>
      <w:r w:rsidR="006E0719" w:rsidRPr="003A1174">
        <w:rPr>
          <w:rFonts w:ascii="Garamond" w:hAnsi="Garamond" w:cs="Arial"/>
          <w:color w:val="auto"/>
          <w:sz w:val="24"/>
          <w:szCs w:val="24"/>
        </w:rPr>
        <w:t>Nação</w:t>
      </w:r>
      <w:r w:rsidR="00CA39B2" w:rsidRPr="003A1174">
        <w:rPr>
          <w:rFonts w:ascii="Garamond" w:hAnsi="Garamond" w:cs="Arial"/>
          <w:color w:val="auto"/>
          <w:sz w:val="24"/>
          <w:szCs w:val="24"/>
        </w:rPr>
        <w:t xml:space="preserve"> ampli</w:t>
      </w:r>
      <w:r w:rsidRPr="003A1174">
        <w:rPr>
          <w:rFonts w:ascii="Garamond" w:hAnsi="Garamond" w:cs="Arial"/>
          <w:color w:val="auto"/>
          <w:sz w:val="24"/>
          <w:szCs w:val="24"/>
        </w:rPr>
        <w:t>ou</w:t>
      </w:r>
      <w:r w:rsidR="00224780">
        <w:rPr>
          <w:rFonts w:ascii="Garamond" w:hAnsi="Garamond" w:cs="Arial"/>
          <w:color w:val="auto"/>
          <w:sz w:val="24"/>
          <w:szCs w:val="24"/>
        </w:rPr>
        <w:t xml:space="preserve">, </w:t>
      </w:r>
      <w:r w:rsidR="00224780" w:rsidRPr="003A1174">
        <w:rPr>
          <w:rFonts w:ascii="Garamond" w:hAnsi="Garamond" w:cs="Arial"/>
          <w:color w:val="auto"/>
          <w:sz w:val="24"/>
          <w:szCs w:val="24"/>
        </w:rPr>
        <w:t>também</w:t>
      </w:r>
      <w:r w:rsidR="00224780">
        <w:rPr>
          <w:rFonts w:ascii="Garamond" w:hAnsi="Garamond" w:cs="Arial"/>
          <w:color w:val="auto"/>
          <w:sz w:val="24"/>
          <w:szCs w:val="24"/>
        </w:rPr>
        <w:t>,</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os </w:t>
      </w:r>
      <w:r w:rsidR="00B531F2" w:rsidRPr="003A1174">
        <w:rPr>
          <w:rFonts w:ascii="Garamond" w:hAnsi="Garamond" w:cs="Arial"/>
          <w:color w:val="auto"/>
          <w:sz w:val="24"/>
          <w:szCs w:val="24"/>
        </w:rPr>
        <w:t>serviço</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assistência</w:t>
      </w:r>
      <w:r w:rsidR="00CA39B2" w:rsidRPr="003A1174">
        <w:rPr>
          <w:rFonts w:ascii="Garamond" w:hAnsi="Garamond" w:cs="Arial"/>
          <w:color w:val="auto"/>
          <w:sz w:val="24"/>
          <w:szCs w:val="24"/>
        </w:rPr>
        <w:t xml:space="preserve"> legal a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de género</w:t>
      </w:r>
      <w:r w:rsidR="00224780">
        <w:rPr>
          <w:rFonts w:ascii="Garamond" w:hAnsi="Garamond" w:cs="Arial"/>
          <w:color w:val="auto"/>
          <w:sz w:val="24"/>
          <w:szCs w:val="24"/>
        </w:rPr>
        <w:t>,</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através da abertura</w:t>
      </w:r>
      <w:r w:rsidR="00CA39B2" w:rsidRPr="003A1174">
        <w:rPr>
          <w:rFonts w:ascii="Garamond" w:hAnsi="Garamond" w:cs="Arial"/>
          <w:color w:val="auto"/>
          <w:sz w:val="24"/>
          <w:szCs w:val="24"/>
        </w:rPr>
        <w:t xml:space="preserve"> de u</w:t>
      </w:r>
      <w:r w:rsidRPr="003A1174">
        <w:rPr>
          <w:rFonts w:ascii="Garamond" w:hAnsi="Garamond" w:cs="Arial"/>
          <w:color w:val="auto"/>
          <w:sz w:val="24"/>
          <w:szCs w:val="24"/>
        </w:rPr>
        <w:t xml:space="preserve">m </w:t>
      </w:r>
      <w:r w:rsidR="002A59E7" w:rsidRPr="003A1174">
        <w:rPr>
          <w:rFonts w:ascii="Garamond" w:hAnsi="Garamond" w:cs="Arial"/>
          <w:color w:val="auto"/>
          <w:sz w:val="24"/>
          <w:szCs w:val="24"/>
        </w:rPr>
        <w:t>nov</w:t>
      </w:r>
      <w:r w:rsidRPr="003A1174">
        <w:rPr>
          <w:rFonts w:ascii="Garamond" w:hAnsi="Garamond" w:cs="Arial"/>
          <w:color w:val="auto"/>
          <w:sz w:val="24"/>
          <w:szCs w:val="24"/>
        </w:rPr>
        <w:t xml:space="preserve">o gabinete </w:t>
      </w:r>
      <w:r w:rsidR="00CA39B2" w:rsidRPr="003A1174">
        <w:rPr>
          <w:rFonts w:ascii="Garamond" w:hAnsi="Garamond" w:cs="Arial"/>
          <w:color w:val="auto"/>
          <w:sz w:val="24"/>
          <w:szCs w:val="24"/>
        </w:rPr>
        <w:t xml:space="preserve">de </w:t>
      </w:r>
      <w:r w:rsidR="008278C4" w:rsidRPr="003A1174">
        <w:rPr>
          <w:rFonts w:ascii="Garamond" w:hAnsi="Garamond" w:cs="Arial"/>
          <w:color w:val="auto"/>
          <w:sz w:val="24"/>
          <w:szCs w:val="24"/>
        </w:rPr>
        <w:t>aten</w:t>
      </w:r>
      <w:r w:rsidR="00224780">
        <w:rPr>
          <w:rFonts w:ascii="Garamond" w:hAnsi="Garamond" w:cs="Arial"/>
          <w:color w:val="auto"/>
          <w:sz w:val="24"/>
          <w:szCs w:val="24"/>
        </w:rPr>
        <w:t>dimento</w:t>
      </w:r>
      <w:r w:rsidR="00CA39B2" w:rsidRPr="003A1174">
        <w:rPr>
          <w:rFonts w:ascii="Garamond" w:hAnsi="Garamond" w:cs="Arial"/>
          <w:color w:val="auto"/>
          <w:sz w:val="24"/>
          <w:szCs w:val="24"/>
        </w:rPr>
        <w:t xml:space="preserve"> a</w:t>
      </w:r>
      <w:r w:rsidRPr="003A1174">
        <w:rPr>
          <w:rFonts w:ascii="Garamond" w:hAnsi="Garamond" w:cs="Arial"/>
          <w:color w:val="auto"/>
          <w:sz w:val="24"/>
          <w:szCs w:val="24"/>
        </w:rPr>
        <w:t>o</w:t>
      </w:r>
      <w:r w:rsidR="00CA39B2" w:rsidRPr="003A1174">
        <w:rPr>
          <w:rFonts w:ascii="Garamond" w:hAnsi="Garamond" w:cs="Arial"/>
          <w:color w:val="auto"/>
          <w:sz w:val="24"/>
          <w:szCs w:val="24"/>
        </w:rPr>
        <w:t xml:space="preserve"> público</w:t>
      </w:r>
      <w:r w:rsidR="00224780">
        <w:rPr>
          <w:rFonts w:ascii="Garamond" w:hAnsi="Garamond" w:cs="Arial"/>
          <w:color w:val="auto"/>
          <w:sz w:val="24"/>
          <w:szCs w:val="24"/>
        </w:rPr>
        <w:t>,</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e</w:t>
      </w:r>
      <w:r w:rsidR="00967370" w:rsidRPr="003A1174">
        <w:rPr>
          <w:rFonts w:ascii="Garamond" w:hAnsi="Garamond" w:cs="Arial"/>
          <w:color w:val="auto"/>
          <w:sz w:val="24"/>
          <w:szCs w:val="24"/>
        </w:rPr>
        <w:t xml:space="preserve"> d</w:t>
      </w:r>
      <w:r w:rsidR="00CA39B2" w:rsidRPr="003A1174">
        <w:rPr>
          <w:rFonts w:ascii="Garamond" w:hAnsi="Garamond" w:cs="Arial"/>
          <w:color w:val="auto"/>
          <w:sz w:val="24"/>
          <w:szCs w:val="24"/>
        </w:rPr>
        <w:t xml:space="preserve">a </w:t>
      </w:r>
      <w:r w:rsidR="00967370" w:rsidRPr="003A1174">
        <w:rPr>
          <w:rFonts w:ascii="Garamond" w:hAnsi="Garamond" w:cs="Arial"/>
          <w:color w:val="auto"/>
          <w:sz w:val="24"/>
          <w:szCs w:val="24"/>
        </w:rPr>
        <w:t xml:space="preserve">entrada em </w:t>
      </w:r>
      <w:r w:rsidR="00FB09CA" w:rsidRPr="003A1174">
        <w:rPr>
          <w:rFonts w:ascii="Garamond" w:hAnsi="Garamond" w:cs="Arial"/>
          <w:color w:val="auto"/>
          <w:sz w:val="24"/>
          <w:szCs w:val="24"/>
        </w:rPr>
        <w:t>funcionamento</w:t>
      </w:r>
      <w:r w:rsidR="00CA39B2" w:rsidRPr="003A1174">
        <w:rPr>
          <w:rFonts w:ascii="Garamond" w:hAnsi="Garamond" w:cs="Arial"/>
          <w:color w:val="auto"/>
          <w:sz w:val="24"/>
          <w:szCs w:val="24"/>
        </w:rPr>
        <w:t xml:space="preserve"> de </w:t>
      </w:r>
      <w:r w:rsidR="00B531F2" w:rsidRPr="003A1174">
        <w:rPr>
          <w:rFonts w:ascii="Garamond" w:hAnsi="Garamond" w:cs="Arial"/>
          <w:color w:val="auto"/>
          <w:sz w:val="24"/>
          <w:szCs w:val="24"/>
        </w:rPr>
        <w:t>serviço</w:t>
      </w:r>
      <w:r w:rsidR="00CA39B2" w:rsidRPr="003A1174">
        <w:rPr>
          <w:rFonts w:ascii="Garamond" w:hAnsi="Garamond" w:cs="Arial"/>
          <w:color w:val="auto"/>
          <w:sz w:val="24"/>
          <w:szCs w:val="24"/>
        </w:rPr>
        <w:t>s descentralizados e</w:t>
      </w:r>
      <w:r w:rsidR="00967370" w:rsidRPr="003A1174">
        <w:rPr>
          <w:rFonts w:ascii="Garamond" w:hAnsi="Garamond" w:cs="Arial"/>
          <w:color w:val="auto"/>
          <w:sz w:val="24"/>
          <w:szCs w:val="24"/>
        </w:rPr>
        <w:t>m</w:t>
      </w:r>
      <w:r w:rsidR="00CA39B2" w:rsidRPr="003A1174">
        <w:rPr>
          <w:rFonts w:ascii="Garamond" w:hAnsi="Garamond" w:cs="Arial"/>
          <w:color w:val="auto"/>
          <w:sz w:val="24"/>
          <w:szCs w:val="24"/>
        </w:rPr>
        <w:t xml:space="preserve"> </w:t>
      </w:r>
      <w:r w:rsidR="003A391A" w:rsidRPr="003A1174">
        <w:rPr>
          <w:rFonts w:ascii="Garamond" w:hAnsi="Garamond" w:cs="Arial"/>
          <w:color w:val="auto"/>
          <w:sz w:val="24"/>
          <w:szCs w:val="24"/>
        </w:rPr>
        <w:t>bairro</w:t>
      </w:r>
      <w:r w:rsidR="00CA39B2" w:rsidRPr="003A1174">
        <w:rPr>
          <w:rFonts w:ascii="Garamond" w:hAnsi="Garamond" w:cs="Arial"/>
          <w:color w:val="auto"/>
          <w:sz w:val="24"/>
          <w:szCs w:val="24"/>
        </w:rPr>
        <w:t xml:space="preserve">s </w:t>
      </w:r>
      <w:r w:rsidR="00967370" w:rsidRPr="003A1174">
        <w:rPr>
          <w:rFonts w:ascii="Garamond" w:hAnsi="Garamond" w:cs="Arial"/>
          <w:color w:val="auto"/>
          <w:sz w:val="24"/>
          <w:szCs w:val="24"/>
        </w:rPr>
        <w:t>desfavorecidos</w:t>
      </w:r>
      <w:r w:rsidR="00CA39B2" w:rsidRPr="003A1174">
        <w:rPr>
          <w:rFonts w:ascii="Garamond" w:hAnsi="Garamond" w:cs="Arial"/>
          <w:color w:val="auto"/>
          <w:sz w:val="24"/>
          <w:szCs w:val="24"/>
        </w:rPr>
        <w:t xml:space="preserve"> da </w:t>
      </w:r>
      <w:r w:rsidR="008651AF" w:rsidRPr="003A1174">
        <w:rPr>
          <w:rFonts w:ascii="Garamond" w:hAnsi="Garamond" w:cs="Arial"/>
          <w:color w:val="auto"/>
          <w:sz w:val="24"/>
          <w:szCs w:val="24"/>
        </w:rPr>
        <w:t>cidade</w:t>
      </w:r>
      <w:r w:rsidR="00CA39B2" w:rsidRPr="003A1174">
        <w:rPr>
          <w:rFonts w:ascii="Garamond" w:hAnsi="Garamond" w:cs="Arial"/>
          <w:color w:val="auto"/>
          <w:sz w:val="24"/>
          <w:szCs w:val="24"/>
        </w:rPr>
        <w:t xml:space="preserve"> de Buenos Aires, </w:t>
      </w:r>
      <w:r w:rsidR="00967370" w:rsidRPr="003A1174">
        <w:rPr>
          <w:rFonts w:ascii="Garamond" w:hAnsi="Garamond" w:cs="Arial"/>
          <w:color w:val="auto"/>
          <w:sz w:val="24"/>
          <w:szCs w:val="24"/>
        </w:rPr>
        <w:t xml:space="preserve">tentando </w:t>
      </w:r>
      <w:r w:rsidR="00CA39B2" w:rsidRPr="003A1174">
        <w:rPr>
          <w:rFonts w:ascii="Garamond" w:hAnsi="Garamond" w:cs="Arial"/>
          <w:color w:val="auto"/>
          <w:sz w:val="24"/>
          <w:szCs w:val="24"/>
        </w:rPr>
        <w:t xml:space="preserve">facilitar </w:t>
      </w:r>
      <w:r w:rsidR="00967370" w:rsidRPr="003A1174">
        <w:rPr>
          <w:rFonts w:ascii="Garamond" w:hAnsi="Garamond" w:cs="Arial"/>
          <w:color w:val="auto"/>
          <w:sz w:val="24"/>
          <w:szCs w:val="24"/>
        </w:rPr>
        <w:t xml:space="preserve">o </w:t>
      </w:r>
      <w:r w:rsidR="00886D6A" w:rsidRPr="003A1174">
        <w:rPr>
          <w:rFonts w:ascii="Garamond" w:hAnsi="Garamond" w:cs="Arial"/>
          <w:color w:val="auto"/>
          <w:sz w:val="24"/>
          <w:szCs w:val="24"/>
        </w:rPr>
        <w:t>acesso</w:t>
      </w:r>
      <w:r w:rsidR="00CA39B2" w:rsidRPr="003A1174">
        <w:rPr>
          <w:rFonts w:ascii="Garamond" w:hAnsi="Garamond" w:cs="Arial"/>
          <w:color w:val="auto"/>
          <w:sz w:val="24"/>
          <w:szCs w:val="24"/>
        </w:rPr>
        <w:t xml:space="preserve"> </w:t>
      </w:r>
      <w:r w:rsidR="00967370" w:rsidRPr="003A1174">
        <w:rPr>
          <w:rFonts w:ascii="Garamond" w:hAnsi="Garamond" w:cs="Arial"/>
          <w:color w:val="auto"/>
          <w:sz w:val="24"/>
          <w:szCs w:val="24"/>
        </w:rPr>
        <w:t xml:space="preserve">à </w:t>
      </w:r>
      <w:r w:rsidR="00FC1F7F" w:rsidRPr="003A1174">
        <w:rPr>
          <w:rFonts w:ascii="Garamond" w:hAnsi="Garamond" w:cs="Arial"/>
          <w:color w:val="auto"/>
          <w:sz w:val="24"/>
          <w:szCs w:val="24"/>
        </w:rPr>
        <w:t>justiça</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das</w:t>
      </w:r>
      <w:r w:rsidR="00CA39B2"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de gén</w:t>
      </w:r>
      <w:r w:rsidR="00967370" w:rsidRPr="003A1174">
        <w:rPr>
          <w:rFonts w:ascii="Garamond" w:hAnsi="Garamond" w:cs="Arial"/>
          <w:color w:val="auto"/>
          <w:sz w:val="24"/>
          <w:szCs w:val="24"/>
        </w:rPr>
        <w:t>ero mai</w:t>
      </w:r>
      <w:r w:rsidR="00CA39B2" w:rsidRPr="003A1174">
        <w:rPr>
          <w:rFonts w:ascii="Garamond" w:hAnsi="Garamond" w:cs="Arial"/>
          <w:color w:val="auto"/>
          <w:sz w:val="24"/>
          <w:szCs w:val="24"/>
        </w:rPr>
        <w:t xml:space="preserve">s </w:t>
      </w:r>
      <w:r w:rsidR="003F012B" w:rsidRPr="003A1174">
        <w:rPr>
          <w:rFonts w:ascii="Garamond" w:hAnsi="Garamond" w:cs="Arial"/>
          <w:color w:val="auto"/>
          <w:sz w:val="24"/>
          <w:szCs w:val="24"/>
        </w:rPr>
        <w:t>vulneráveis</w:t>
      </w:r>
      <w:r w:rsidR="00CA39B2" w:rsidRPr="003A1174">
        <w:rPr>
          <w:rFonts w:ascii="Garamond" w:hAnsi="Garamond" w:cs="Arial"/>
          <w:color w:val="auto"/>
          <w:sz w:val="24"/>
          <w:szCs w:val="24"/>
        </w:rPr>
        <w:t xml:space="preserve">. </w:t>
      </w:r>
    </w:p>
    <w:p w:rsidR="00CA39B2" w:rsidRPr="003A1174" w:rsidRDefault="00967370" w:rsidP="008719D4">
      <w:pPr>
        <w:pStyle w:val="Textoindependiente"/>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sua </w:t>
      </w:r>
      <w:r w:rsidR="00CA39B2" w:rsidRPr="003A1174">
        <w:rPr>
          <w:rFonts w:ascii="Garamond" w:hAnsi="Garamond" w:cs="Arial"/>
          <w:color w:val="auto"/>
          <w:sz w:val="24"/>
          <w:szCs w:val="24"/>
        </w:rPr>
        <w:t>vez</w:t>
      </w:r>
      <w:r w:rsidR="006C2604" w:rsidRPr="003A1174">
        <w:rPr>
          <w:rFonts w:ascii="Garamond" w:hAnsi="Garamond" w:cs="Arial"/>
          <w:color w:val="auto"/>
          <w:sz w:val="24"/>
          <w:szCs w:val="24"/>
        </w:rPr>
        <w:t>,</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o </w:t>
      </w:r>
      <w:r w:rsidR="00CA39B2" w:rsidRPr="003A1174">
        <w:rPr>
          <w:rFonts w:ascii="Garamond" w:hAnsi="Garamond" w:cs="Arial"/>
          <w:color w:val="auto"/>
          <w:sz w:val="24"/>
          <w:szCs w:val="24"/>
        </w:rPr>
        <w:t xml:space="preserve">Programa de Políticas de Género </w:t>
      </w:r>
      <w:r w:rsidR="008A3DA2" w:rsidRPr="003A1174">
        <w:rPr>
          <w:rFonts w:ascii="Garamond" w:hAnsi="Garamond" w:cs="Arial"/>
          <w:color w:val="auto"/>
          <w:sz w:val="24"/>
          <w:szCs w:val="24"/>
        </w:rPr>
        <w:t>do</w:t>
      </w:r>
      <w:r w:rsidR="00CA39B2" w:rsidRPr="003A1174">
        <w:rPr>
          <w:rFonts w:ascii="Garamond" w:hAnsi="Garamond" w:cs="Arial"/>
          <w:color w:val="auto"/>
          <w:sz w:val="24"/>
          <w:szCs w:val="24"/>
        </w:rPr>
        <w:t xml:space="preserve"> </w:t>
      </w:r>
      <w:r w:rsidR="00D77C19" w:rsidRPr="003A1174">
        <w:rPr>
          <w:rFonts w:ascii="Garamond" w:hAnsi="Garamond" w:cs="Arial"/>
          <w:color w:val="auto"/>
          <w:sz w:val="24"/>
          <w:szCs w:val="24"/>
        </w:rPr>
        <w:t>Ministério</w:t>
      </w:r>
      <w:r w:rsidR="00CA39B2" w:rsidRPr="003A1174">
        <w:rPr>
          <w:rFonts w:ascii="Garamond" w:hAnsi="Garamond" w:cs="Arial"/>
          <w:color w:val="auto"/>
          <w:sz w:val="24"/>
          <w:szCs w:val="24"/>
        </w:rPr>
        <w:t xml:space="preserve"> Público Fiscal da </w:t>
      </w:r>
      <w:r w:rsidR="006E0719" w:rsidRPr="003A1174">
        <w:rPr>
          <w:rFonts w:ascii="Garamond" w:hAnsi="Garamond" w:cs="Arial"/>
          <w:color w:val="auto"/>
          <w:sz w:val="24"/>
          <w:szCs w:val="24"/>
        </w:rPr>
        <w:t>Nação</w:t>
      </w:r>
      <w:r w:rsidR="00CA39B2" w:rsidRPr="003A1174">
        <w:rPr>
          <w:rFonts w:ascii="Garamond" w:hAnsi="Garamond" w:cs="Arial"/>
          <w:color w:val="auto"/>
          <w:sz w:val="24"/>
          <w:szCs w:val="24"/>
        </w:rPr>
        <w:t xml:space="preserve"> elabor</w:t>
      </w:r>
      <w:r w:rsidRPr="003A1174">
        <w:rPr>
          <w:rFonts w:ascii="Garamond" w:hAnsi="Garamond" w:cs="Arial"/>
          <w:color w:val="auto"/>
          <w:sz w:val="24"/>
          <w:szCs w:val="24"/>
        </w:rPr>
        <w:t xml:space="preserve">ou um </w:t>
      </w:r>
      <w:r w:rsidR="00CA39B2" w:rsidRPr="003A1174">
        <w:rPr>
          <w:rFonts w:ascii="Garamond" w:hAnsi="Garamond" w:cs="Arial"/>
          <w:color w:val="auto"/>
          <w:sz w:val="24"/>
          <w:szCs w:val="24"/>
        </w:rPr>
        <w:t>documento co</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material de </w:t>
      </w:r>
      <w:r w:rsidR="0017447A" w:rsidRPr="003A1174">
        <w:rPr>
          <w:rFonts w:ascii="Garamond" w:hAnsi="Garamond" w:cs="Arial"/>
          <w:color w:val="auto"/>
          <w:sz w:val="24"/>
          <w:szCs w:val="24"/>
        </w:rPr>
        <w:t>trabalho</w:t>
      </w:r>
      <w:r w:rsidR="00CA39B2" w:rsidRPr="003A1174">
        <w:rPr>
          <w:rFonts w:ascii="Garamond" w:hAnsi="Garamond" w:cs="Arial"/>
          <w:color w:val="auto"/>
          <w:sz w:val="24"/>
          <w:szCs w:val="24"/>
        </w:rPr>
        <w:t xml:space="preserve"> </w:t>
      </w:r>
      <w:r w:rsidR="006C2604" w:rsidRPr="003A1174">
        <w:rPr>
          <w:rFonts w:ascii="Garamond" w:hAnsi="Garamond" w:cs="Arial"/>
          <w:color w:val="auto"/>
          <w:sz w:val="24"/>
          <w:szCs w:val="24"/>
        </w:rPr>
        <w:t xml:space="preserve">destinado </w:t>
      </w:r>
      <w:r w:rsidRPr="003A1174">
        <w:rPr>
          <w:rFonts w:ascii="Garamond" w:hAnsi="Garamond" w:cs="Arial"/>
          <w:color w:val="auto"/>
          <w:sz w:val="24"/>
          <w:szCs w:val="24"/>
        </w:rPr>
        <w:t xml:space="preserve">às Provedorias com o objetivo </w:t>
      </w:r>
      <w:r w:rsidR="00CA39B2" w:rsidRPr="003A1174">
        <w:rPr>
          <w:rFonts w:ascii="Garamond" w:hAnsi="Garamond" w:cs="Arial"/>
          <w:color w:val="auto"/>
          <w:sz w:val="24"/>
          <w:szCs w:val="24"/>
        </w:rPr>
        <w:t xml:space="preserve">de contribuir </w:t>
      </w:r>
      <w:r w:rsidR="00497503" w:rsidRPr="003A1174">
        <w:rPr>
          <w:rFonts w:ascii="Garamond" w:hAnsi="Garamond" w:cs="Arial"/>
          <w:color w:val="auto"/>
          <w:sz w:val="24"/>
          <w:szCs w:val="24"/>
        </w:rPr>
        <w:t>e</w:t>
      </w:r>
      <w:r w:rsidRPr="003A1174">
        <w:rPr>
          <w:rFonts w:ascii="Garamond" w:hAnsi="Garamond" w:cs="Arial"/>
          <w:color w:val="auto"/>
          <w:sz w:val="24"/>
          <w:szCs w:val="24"/>
        </w:rPr>
        <w:t xml:space="preserve"> facilitar </w:t>
      </w:r>
      <w:r w:rsidR="00CA39B2" w:rsidRPr="003A1174">
        <w:rPr>
          <w:rFonts w:ascii="Garamond" w:hAnsi="Garamond" w:cs="Arial"/>
          <w:color w:val="auto"/>
          <w:sz w:val="24"/>
          <w:szCs w:val="24"/>
        </w:rPr>
        <w:t xml:space="preserve">as </w:t>
      </w:r>
      <w:r w:rsidR="00B80F99" w:rsidRPr="003A1174">
        <w:rPr>
          <w:rFonts w:ascii="Garamond" w:hAnsi="Garamond" w:cs="Arial"/>
          <w:color w:val="auto"/>
          <w:sz w:val="24"/>
          <w:szCs w:val="24"/>
        </w:rPr>
        <w:t>investigações</w:t>
      </w:r>
      <w:r w:rsidRPr="003A1174">
        <w:rPr>
          <w:rFonts w:ascii="Garamond" w:hAnsi="Garamond" w:cs="Arial"/>
          <w:color w:val="auto"/>
          <w:sz w:val="24"/>
          <w:szCs w:val="24"/>
        </w:rPr>
        <w:t xml:space="preserve"> e incorporar </w:t>
      </w:r>
      <w:r w:rsidR="00CA39B2" w:rsidRPr="003A1174">
        <w:rPr>
          <w:rFonts w:ascii="Garamond" w:hAnsi="Garamond" w:cs="Arial"/>
          <w:color w:val="auto"/>
          <w:sz w:val="24"/>
          <w:szCs w:val="24"/>
        </w:rPr>
        <w:t xml:space="preserve">a </w:t>
      </w:r>
      <w:r w:rsidR="00D96FD0" w:rsidRPr="003A1174">
        <w:rPr>
          <w:rFonts w:ascii="Garamond" w:hAnsi="Garamond" w:cs="Arial"/>
          <w:color w:val="auto"/>
          <w:sz w:val="24"/>
          <w:szCs w:val="24"/>
        </w:rPr>
        <w:t>perspetiva</w:t>
      </w:r>
      <w:r w:rsidR="00CA39B2" w:rsidRPr="003A1174">
        <w:rPr>
          <w:rFonts w:ascii="Garamond" w:hAnsi="Garamond" w:cs="Arial"/>
          <w:color w:val="auto"/>
          <w:sz w:val="24"/>
          <w:szCs w:val="24"/>
        </w:rPr>
        <w:t xml:space="preserve"> de género </w:t>
      </w:r>
      <w:r w:rsidR="003A391A" w:rsidRPr="003A1174">
        <w:rPr>
          <w:rFonts w:ascii="Garamond" w:hAnsi="Garamond" w:cs="Arial"/>
          <w:color w:val="auto"/>
          <w:sz w:val="24"/>
          <w:szCs w:val="24"/>
        </w:rPr>
        <w:t>nos</w:t>
      </w:r>
      <w:r w:rsidR="00CA39B2" w:rsidRPr="003A1174">
        <w:rPr>
          <w:rFonts w:ascii="Garamond" w:hAnsi="Garamond" w:cs="Arial"/>
          <w:color w:val="auto"/>
          <w:sz w:val="24"/>
          <w:szCs w:val="24"/>
        </w:rPr>
        <w:t xml:space="preserve"> casos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intrafamiliar, </w:t>
      </w:r>
      <w:r w:rsidR="00157809">
        <w:rPr>
          <w:rFonts w:ascii="Garamond" w:hAnsi="Garamond" w:cs="Arial"/>
          <w:color w:val="auto"/>
          <w:sz w:val="24"/>
          <w:szCs w:val="24"/>
        </w:rPr>
        <w:t xml:space="preserve">na sequência das </w:t>
      </w:r>
      <w:r w:rsidR="002F62B0" w:rsidRPr="003A1174">
        <w:rPr>
          <w:rFonts w:ascii="Garamond" w:hAnsi="Garamond" w:cs="Arial"/>
          <w:color w:val="auto"/>
          <w:sz w:val="24"/>
          <w:szCs w:val="24"/>
        </w:rPr>
        <w:t>obrigações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assumid</w:t>
      </w:r>
      <w:r w:rsidR="00CA39B2" w:rsidRPr="003A1174">
        <w:rPr>
          <w:rFonts w:ascii="Garamond" w:hAnsi="Garamond" w:cs="Arial"/>
          <w:color w:val="auto"/>
          <w:sz w:val="24"/>
          <w:szCs w:val="24"/>
        </w:rPr>
        <w:t xml:space="preserve">as </w:t>
      </w:r>
      <w:r w:rsidR="005C2020" w:rsidRPr="003A1174">
        <w:rPr>
          <w:rFonts w:ascii="Garamond" w:hAnsi="Garamond" w:cs="Arial"/>
          <w:color w:val="auto"/>
          <w:sz w:val="24"/>
          <w:szCs w:val="24"/>
        </w:rPr>
        <w:t>pelo</w:t>
      </w:r>
      <w:r w:rsidR="00CA39B2" w:rsidRPr="003A1174">
        <w:rPr>
          <w:rFonts w:ascii="Garamond" w:hAnsi="Garamond" w:cs="Arial"/>
          <w:color w:val="auto"/>
          <w:sz w:val="24"/>
          <w:szCs w:val="24"/>
        </w:rPr>
        <w:t xml:space="preserve"> Estado argentino</w:t>
      </w:r>
      <w:r w:rsidR="00157809">
        <w:rPr>
          <w:rFonts w:ascii="Garamond" w:hAnsi="Garamond" w:cs="Arial"/>
          <w:color w:val="auto"/>
          <w:sz w:val="24"/>
          <w:szCs w:val="24"/>
        </w:rPr>
        <w:t>, no sentido de</w:t>
      </w:r>
      <w:r w:rsidR="00CA39B2" w:rsidRPr="003A1174">
        <w:rPr>
          <w:rFonts w:ascii="Garamond" w:hAnsi="Garamond" w:cs="Arial"/>
          <w:color w:val="auto"/>
          <w:sz w:val="24"/>
          <w:szCs w:val="24"/>
        </w:rPr>
        <w:t xml:space="preserve"> </w:t>
      </w:r>
      <w:r w:rsidR="003F493C" w:rsidRPr="003A1174">
        <w:rPr>
          <w:rFonts w:ascii="Garamond" w:hAnsi="Garamond" w:cs="Arial"/>
          <w:color w:val="auto"/>
          <w:sz w:val="24"/>
          <w:szCs w:val="24"/>
        </w:rPr>
        <w:t>Prevenir, Punir e Erradicar</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a </w:t>
      </w:r>
      <w:r w:rsidR="000350B1" w:rsidRPr="003A1174">
        <w:rPr>
          <w:rFonts w:ascii="Garamond" w:hAnsi="Garamond" w:cs="Arial"/>
          <w:color w:val="auto"/>
          <w:sz w:val="24"/>
          <w:szCs w:val="24"/>
        </w:rPr>
        <w:t>violência</w:t>
      </w:r>
      <w:r w:rsidRPr="003A1174">
        <w:rPr>
          <w:rFonts w:ascii="Garamond" w:hAnsi="Garamond" w:cs="Arial"/>
          <w:color w:val="auto"/>
          <w:sz w:val="24"/>
          <w:szCs w:val="24"/>
        </w:rPr>
        <w:t xml:space="preserve"> contra </w:t>
      </w:r>
      <w:r w:rsidR="00CA39B2" w:rsidRPr="003A1174">
        <w:rPr>
          <w:rFonts w:ascii="Garamond" w:hAnsi="Garamond" w:cs="Arial"/>
          <w:color w:val="auto"/>
          <w:sz w:val="24"/>
          <w:szCs w:val="24"/>
        </w:rPr>
        <w:t xml:space="preserve">as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Este programa </w:t>
      </w:r>
      <w:r w:rsidR="00A32B07">
        <w:rPr>
          <w:rFonts w:ascii="Garamond" w:hAnsi="Garamond" w:cs="Arial"/>
          <w:color w:val="auto"/>
          <w:sz w:val="24"/>
          <w:szCs w:val="24"/>
        </w:rPr>
        <w:t>presta ajuda contínua às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Provedorias</w:t>
      </w:r>
      <w:r w:rsidR="00A32B07">
        <w:rPr>
          <w:rFonts w:ascii="Garamond" w:hAnsi="Garamond" w:cs="Arial"/>
          <w:color w:val="auto"/>
          <w:sz w:val="24"/>
          <w:szCs w:val="24"/>
        </w:rPr>
        <w:t>,</w:t>
      </w:r>
      <w:r w:rsidR="00CA39B2" w:rsidRPr="003A1174">
        <w:rPr>
          <w:rFonts w:ascii="Garamond" w:hAnsi="Garamond" w:cs="Arial"/>
          <w:color w:val="auto"/>
          <w:sz w:val="24"/>
          <w:szCs w:val="24"/>
        </w:rPr>
        <w:t xml:space="preserve"> </w:t>
      </w:r>
      <w:r w:rsidR="003A391A" w:rsidRPr="003A1174">
        <w:rPr>
          <w:rFonts w:ascii="Garamond" w:hAnsi="Garamond" w:cs="Arial"/>
          <w:color w:val="auto"/>
          <w:sz w:val="24"/>
          <w:szCs w:val="24"/>
        </w:rPr>
        <w:t>nos</w:t>
      </w:r>
      <w:r w:rsidR="00CA39B2" w:rsidRPr="003A1174">
        <w:rPr>
          <w:rFonts w:ascii="Garamond" w:hAnsi="Garamond" w:cs="Arial"/>
          <w:color w:val="auto"/>
          <w:sz w:val="24"/>
          <w:szCs w:val="24"/>
        </w:rPr>
        <w:t xml:space="preserve"> casos de des</w:t>
      </w:r>
      <w:r w:rsidR="002C7510" w:rsidRPr="003A1174">
        <w:rPr>
          <w:rFonts w:ascii="Garamond" w:hAnsi="Garamond" w:cs="Arial"/>
          <w:color w:val="auto"/>
          <w:sz w:val="24"/>
          <w:szCs w:val="24"/>
        </w:rPr>
        <w:t>igualdade</w:t>
      </w:r>
      <w:r w:rsidR="00CA39B2" w:rsidRPr="003A1174">
        <w:rPr>
          <w:rFonts w:ascii="Garamond" w:hAnsi="Garamond" w:cs="Arial"/>
          <w:color w:val="auto"/>
          <w:sz w:val="24"/>
          <w:szCs w:val="24"/>
        </w:rPr>
        <w:t xml:space="preserve">, </w:t>
      </w:r>
      <w:r w:rsidR="0017447A" w:rsidRPr="003A1174">
        <w:rPr>
          <w:rFonts w:ascii="Garamond" w:hAnsi="Garamond" w:cs="Arial"/>
          <w:color w:val="auto"/>
          <w:sz w:val="24"/>
          <w:szCs w:val="24"/>
        </w:rPr>
        <w:t>discriminação</w:t>
      </w:r>
      <w:r w:rsidR="00CA39B2" w:rsidRPr="003A1174">
        <w:rPr>
          <w:rFonts w:ascii="Garamond" w:hAnsi="Garamond" w:cs="Arial"/>
          <w:color w:val="auto"/>
          <w:sz w:val="24"/>
          <w:szCs w:val="24"/>
        </w:rPr>
        <w:t xml:space="preserve"> o</w:t>
      </w:r>
      <w:r w:rsidRPr="003A1174">
        <w:rPr>
          <w:rFonts w:ascii="Garamond" w:hAnsi="Garamond" w:cs="Arial"/>
          <w:color w:val="auto"/>
          <w:sz w:val="24"/>
          <w:szCs w:val="24"/>
        </w:rPr>
        <w:t>u</w:t>
      </w:r>
      <w:r w:rsidR="00CA39B2" w:rsidRPr="003A1174">
        <w:rPr>
          <w:rFonts w:ascii="Garamond" w:hAnsi="Garamond" w:cs="Arial"/>
          <w:color w:val="auto"/>
          <w:sz w:val="24"/>
          <w:szCs w:val="24"/>
        </w:rPr>
        <w:t xml:space="preserv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e</w:t>
      </w:r>
      <w:r w:rsidRPr="003A1174">
        <w:rPr>
          <w:rFonts w:ascii="Garamond" w:hAnsi="Garamond" w:cs="Arial"/>
          <w:color w:val="auto"/>
          <w:sz w:val="24"/>
          <w:szCs w:val="24"/>
        </w:rPr>
        <w:t xml:space="preserve">m </w:t>
      </w:r>
      <w:r w:rsidR="00CA39B2" w:rsidRPr="003A1174">
        <w:rPr>
          <w:rFonts w:ascii="Garamond" w:hAnsi="Garamond" w:cs="Arial"/>
          <w:color w:val="auto"/>
          <w:sz w:val="24"/>
          <w:szCs w:val="24"/>
        </w:rPr>
        <w:t xml:space="preserve">todas </w:t>
      </w:r>
      <w:r w:rsidRPr="003A1174">
        <w:rPr>
          <w:rFonts w:ascii="Garamond" w:hAnsi="Garamond" w:cs="Arial"/>
          <w:color w:val="auto"/>
          <w:sz w:val="24"/>
          <w:szCs w:val="24"/>
        </w:rPr>
        <w:t xml:space="preserve">as </w:t>
      </w:r>
      <w:r w:rsidR="00CA39B2" w:rsidRPr="003A1174">
        <w:rPr>
          <w:rFonts w:ascii="Garamond" w:hAnsi="Garamond" w:cs="Arial"/>
          <w:color w:val="auto"/>
          <w:sz w:val="24"/>
          <w:szCs w:val="24"/>
        </w:rPr>
        <w:t>su</w:t>
      </w:r>
      <w:r w:rsidRPr="003A1174">
        <w:rPr>
          <w:rFonts w:ascii="Garamond" w:hAnsi="Garamond" w:cs="Arial"/>
          <w:color w:val="auto"/>
          <w:sz w:val="24"/>
          <w:szCs w:val="24"/>
        </w:rPr>
        <w:t>a</w:t>
      </w:r>
      <w:r w:rsidR="00CA39B2" w:rsidRPr="003A1174">
        <w:rPr>
          <w:rFonts w:ascii="Garamond" w:hAnsi="Garamond" w:cs="Arial"/>
          <w:color w:val="auto"/>
          <w:sz w:val="24"/>
          <w:szCs w:val="24"/>
        </w:rPr>
        <w:t xml:space="preserve">s modalidades. </w:t>
      </w:r>
      <w:r w:rsidRPr="003A1174">
        <w:rPr>
          <w:rFonts w:ascii="Garamond" w:hAnsi="Garamond" w:cs="Arial"/>
          <w:color w:val="auto"/>
          <w:sz w:val="24"/>
          <w:szCs w:val="24"/>
        </w:rPr>
        <w:t>N</w:t>
      </w:r>
      <w:r w:rsidR="00CA39B2" w:rsidRPr="003A1174">
        <w:rPr>
          <w:rFonts w:ascii="Garamond" w:hAnsi="Garamond" w:cs="Arial"/>
          <w:color w:val="auto"/>
          <w:sz w:val="24"/>
          <w:szCs w:val="24"/>
        </w:rPr>
        <w:t>e</w:t>
      </w:r>
      <w:r w:rsidRPr="003A1174">
        <w:rPr>
          <w:rFonts w:ascii="Garamond" w:hAnsi="Garamond" w:cs="Arial"/>
          <w:color w:val="auto"/>
          <w:sz w:val="24"/>
          <w:szCs w:val="24"/>
        </w:rPr>
        <w:t>s</w:t>
      </w:r>
      <w:r w:rsidR="00A32B07">
        <w:rPr>
          <w:rFonts w:ascii="Garamond" w:hAnsi="Garamond" w:cs="Arial"/>
          <w:color w:val="auto"/>
          <w:sz w:val="24"/>
          <w:szCs w:val="24"/>
        </w:rPr>
        <w:t>t</w:t>
      </w:r>
      <w:r w:rsidR="00CA39B2" w:rsidRPr="003A1174">
        <w:rPr>
          <w:rFonts w:ascii="Garamond" w:hAnsi="Garamond" w:cs="Arial"/>
          <w:color w:val="auto"/>
          <w:sz w:val="24"/>
          <w:szCs w:val="24"/>
        </w:rPr>
        <w:t>e sentido</w:t>
      </w:r>
      <w:r w:rsidR="00FA3FE2">
        <w:rPr>
          <w:rFonts w:ascii="Garamond" w:hAnsi="Garamond" w:cs="Arial"/>
          <w:color w:val="auto"/>
          <w:sz w:val="24"/>
          <w:szCs w:val="24"/>
        </w:rPr>
        <w:t>,</w:t>
      </w:r>
      <w:r w:rsidR="00CA39B2" w:rsidRPr="003A1174">
        <w:rPr>
          <w:rFonts w:ascii="Garamond" w:hAnsi="Garamond" w:cs="Arial"/>
          <w:color w:val="auto"/>
          <w:sz w:val="24"/>
          <w:szCs w:val="24"/>
        </w:rPr>
        <w:t xml:space="preserve"> </w:t>
      </w:r>
      <w:r w:rsidR="0091213A" w:rsidRPr="003A1174">
        <w:rPr>
          <w:rFonts w:ascii="Garamond" w:hAnsi="Garamond" w:cs="Arial"/>
          <w:color w:val="auto"/>
          <w:sz w:val="24"/>
          <w:szCs w:val="24"/>
        </w:rPr>
        <w:t>mantém</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reuniões</w:t>
      </w:r>
      <w:r w:rsidR="00A32B07">
        <w:rPr>
          <w:rFonts w:ascii="Garamond" w:hAnsi="Garamond" w:cs="Arial"/>
          <w:color w:val="auto"/>
          <w:sz w:val="24"/>
          <w:szCs w:val="24"/>
        </w:rPr>
        <w:t>,</w:t>
      </w:r>
      <w:r w:rsidR="00CA39B2" w:rsidRPr="003A1174">
        <w:rPr>
          <w:rFonts w:ascii="Garamond" w:hAnsi="Garamond" w:cs="Arial"/>
          <w:color w:val="auto"/>
          <w:sz w:val="24"/>
          <w:szCs w:val="24"/>
        </w:rPr>
        <w:t xml:space="preserve"> regularmente</w:t>
      </w:r>
      <w:r w:rsidR="00A32B07">
        <w:rPr>
          <w:rFonts w:ascii="Garamond" w:hAnsi="Garamond" w:cs="Arial"/>
          <w:color w:val="auto"/>
          <w:sz w:val="24"/>
          <w:szCs w:val="24"/>
        </w:rPr>
        <w:t>,</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w:t>
      </w:r>
      <w:r w:rsidR="00CA39B2" w:rsidRPr="003A1174">
        <w:rPr>
          <w:rFonts w:ascii="Garamond" w:hAnsi="Garamond" w:cs="Arial"/>
          <w:color w:val="auto"/>
          <w:sz w:val="24"/>
          <w:szCs w:val="24"/>
        </w:rPr>
        <w:t>as di</w:t>
      </w:r>
      <w:r w:rsidRPr="003A1174">
        <w:rPr>
          <w:rFonts w:ascii="Garamond" w:hAnsi="Garamond" w:cs="Arial"/>
          <w:color w:val="auto"/>
          <w:sz w:val="24"/>
          <w:szCs w:val="24"/>
        </w:rPr>
        <w:t xml:space="preserve">ferentes Provedorias e </w:t>
      </w:r>
      <w:r w:rsidRPr="003A1174">
        <w:rPr>
          <w:rFonts w:ascii="Garamond" w:hAnsi="Garamond" w:cs="Arial"/>
          <w:color w:val="auto"/>
          <w:sz w:val="24"/>
          <w:szCs w:val="24"/>
        </w:rPr>
        <w:lastRenderedPageBreak/>
        <w:t xml:space="preserve">com o Gabinete </w:t>
      </w:r>
      <w:r w:rsidR="00A32B07">
        <w:rPr>
          <w:rFonts w:ascii="Garamond" w:hAnsi="Garamond" w:cs="Arial"/>
          <w:color w:val="auto"/>
          <w:sz w:val="24"/>
          <w:szCs w:val="24"/>
        </w:rPr>
        <w:t xml:space="preserve">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Doméstica </w:t>
      </w:r>
      <w:r w:rsidR="00EF6A25">
        <w:rPr>
          <w:rFonts w:ascii="Garamond" w:hAnsi="Garamond" w:cs="Arial"/>
          <w:color w:val="auto"/>
          <w:sz w:val="24"/>
          <w:szCs w:val="24"/>
        </w:rPr>
        <w:t xml:space="preserve">do </w:t>
      </w:r>
      <w:r w:rsidR="00CA39B2" w:rsidRPr="003A1174">
        <w:rPr>
          <w:rFonts w:ascii="Garamond" w:hAnsi="Garamond" w:cs="Arial"/>
          <w:color w:val="auto"/>
          <w:sz w:val="24"/>
          <w:szCs w:val="24"/>
        </w:rPr>
        <w:t>Suprem</w:t>
      </w:r>
      <w:r w:rsidR="00EF6A25">
        <w:rPr>
          <w:rFonts w:ascii="Garamond" w:hAnsi="Garamond" w:cs="Arial"/>
          <w:color w:val="auto"/>
          <w:sz w:val="24"/>
          <w:szCs w:val="24"/>
        </w:rPr>
        <w:t>o Tribunal</w:t>
      </w:r>
      <w:r w:rsidR="00CA39B2" w:rsidRPr="003A1174">
        <w:rPr>
          <w:rFonts w:ascii="Garamond" w:hAnsi="Garamond" w:cs="Arial"/>
          <w:color w:val="auto"/>
          <w:sz w:val="24"/>
          <w:szCs w:val="24"/>
        </w:rPr>
        <w:t>,</w:t>
      </w:r>
      <w:r w:rsidR="00A32B07">
        <w:rPr>
          <w:rFonts w:ascii="Garamond" w:hAnsi="Garamond" w:cs="Arial"/>
          <w:color w:val="auto"/>
          <w:sz w:val="24"/>
          <w:szCs w:val="24"/>
        </w:rPr>
        <w:t xml:space="preserve"> através dos quais </w:t>
      </w:r>
      <w:r w:rsidR="00CA39B2" w:rsidRPr="003A1174">
        <w:rPr>
          <w:rFonts w:ascii="Garamond" w:hAnsi="Garamond" w:cs="Arial"/>
          <w:color w:val="auto"/>
          <w:sz w:val="24"/>
          <w:szCs w:val="24"/>
        </w:rPr>
        <w:t>se identific</w:t>
      </w:r>
      <w:r w:rsidRPr="003A1174">
        <w:rPr>
          <w:rFonts w:ascii="Garamond" w:hAnsi="Garamond" w:cs="Arial"/>
          <w:color w:val="auto"/>
          <w:sz w:val="24"/>
          <w:szCs w:val="24"/>
        </w:rPr>
        <w:t xml:space="preserve">aram </w:t>
      </w:r>
      <w:r w:rsidR="00CA39B2" w:rsidRPr="003A1174">
        <w:rPr>
          <w:rFonts w:ascii="Garamond" w:hAnsi="Garamond" w:cs="Arial"/>
          <w:color w:val="auto"/>
          <w:sz w:val="24"/>
          <w:szCs w:val="24"/>
        </w:rPr>
        <w:t xml:space="preserve">os </w:t>
      </w:r>
      <w:r w:rsidR="002F5CD1" w:rsidRPr="003A1174">
        <w:rPr>
          <w:rFonts w:ascii="Garamond" w:hAnsi="Garamond" w:cs="Arial"/>
          <w:color w:val="auto"/>
          <w:sz w:val="24"/>
          <w:szCs w:val="24"/>
        </w:rPr>
        <w:t>principais</w:t>
      </w:r>
      <w:r w:rsidR="00CA39B2" w:rsidRPr="003A1174">
        <w:rPr>
          <w:rFonts w:ascii="Garamond" w:hAnsi="Garamond" w:cs="Arial"/>
          <w:color w:val="auto"/>
          <w:sz w:val="24"/>
          <w:szCs w:val="24"/>
        </w:rPr>
        <w:t xml:space="preserve"> obstáculos que este tipo de </w:t>
      </w:r>
      <w:r w:rsidR="005801B5">
        <w:rPr>
          <w:rFonts w:ascii="Garamond" w:hAnsi="Garamond" w:cs="Arial"/>
          <w:color w:val="auto"/>
          <w:sz w:val="24"/>
          <w:szCs w:val="24"/>
        </w:rPr>
        <w:t>ações</w:t>
      </w:r>
      <w:r w:rsidRPr="003A1174">
        <w:rPr>
          <w:rFonts w:ascii="Garamond" w:hAnsi="Garamond" w:cs="Arial"/>
          <w:color w:val="auto"/>
          <w:sz w:val="24"/>
          <w:szCs w:val="24"/>
        </w:rPr>
        <w:t xml:space="preserve"> </w:t>
      </w:r>
      <w:proofErr w:type="gramStart"/>
      <w:r w:rsidRPr="003A1174">
        <w:rPr>
          <w:rFonts w:ascii="Garamond" w:hAnsi="Garamond" w:cs="Arial"/>
          <w:color w:val="auto"/>
          <w:sz w:val="24"/>
          <w:szCs w:val="24"/>
        </w:rPr>
        <w:t>apresenta</w:t>
      </w:r>
      <w:r w:rsidR="005801B5">
        <w:rPr>
          <w:rFonts w:ascii="Garamond" w:hAnsi="Garamond" w:cs="Arial"/>
          <w:color w:val="auto"/>
          <w:sz w:val="24"/>
          <w:szCs w:val="24"/>
        </w:rPr>
        <w:t>m</w:t>
      </w:r>
      <w:proofErr w:type="gramEnd"/>
      <w:r w:rsidR="00CA39B2" w:rsidRPr="003A1174">
        <w:rPr>
          <w:rFonts w:ascii="Garamond" w:hAnsi="Garamond" w:cs="Arial"/>
          <w:color w:val="auto"/>
          <w:sz w:val="24"/>
          <w:szCs w:val="24"/>
        </w:rPr>
        <w:t xml:space="preserve">. </w:t>
      </w:r>
    </w:p>
    <w:p w:rsidR="000116D8" w:rsidRPr="003A1174" w:rsidRDefault="00C30647" w:rsidP="008719D4">
      <w:pPr>
        <w:pStyle w:val="Ttulo3"/>
        <w:spacing w:line="240" w:lineRule="auto"/>
        <w:rPr>
          <w:rFonts w:ascii="Garamond" w:hAnsi="Garamond"/>
          <w:sz w:val="24"/>
          <w:szCs w:val="24"/>
        </w:rPr>
      </w:pPr>
      <w:bookmarkStart w:id="44" w:name="_Toc421529732"/>
      <w:r w:rsidRPr="003A1174">
        <w:rPr>
          <w:rFonts w:ascii="Garamond" w:hAnsi="Garamond"/>
          <w:sz w:val="24"/>
          <w:szCs w:val="24"/>
        </w:rPr>
        <w:t>Bolívia</w:t>
      </w:r>
      <w:bookmarkEnd w:id="44"/>
    </w:p>
    <w:p w:rsidR="000116D8" w:rsidRPr="003A1174" w:rsidRDefault="00A32B07" w:rsidP="008719D4">
      <w:pPr>
        <w:spacing w:before="240" w:line="240" w:lineRule="auto"/>
        <w:jc w:val="both"/>
        <w:rPr>
          <w:rFonts w:ascii="Garamond" w:hAnsi="Garamond" w:cs="Arial"/>
          <w:sz w:val="24"/>
          <w:szCs w:val="24"/>
        </w:rPr>
      </w:pPr>
      <w:r>
        <w:rPr>
          <w:rFonts w:ascii="Garamond" w:hAnsi="Garamond" w:cs="Arial"/>
          <w:sz w:val="24"/>
          <w:szCs w:val="24"/>
        </w:rPr>
        <w:t>Na Bolívia, e</w:t>
      </w:r>
      <w:r w:rsidR="000116D8" w:rsidRPr="003A1174">
        <w:rPr>
          <w:rFonts w:ascii="Garamond" w:hAnsi="Garamond" w:cs="Arial"/>
          <w:sz w:val="24"/>
          <w:szCs w:val="24"/>
        </w:rPr>
        <w:t>xiste</w:t>
      </w:r>
      <w:r w:rsidR="00967370" w:rsidRPr="003A1174">
        <w:rPr>
          <w:rFonts w:ascii="Garamond" w:hAnsi="Garamond" w:cs="Arial"/>
          <w:sz w:val="24"/>
          <w:szCs w:val="24"/>
        </w:rPr>
        <w:t>m</w:t>
      </w:r>
      <w:r w:rsidR="000116D8" w:rsidRPr="003A1174">
        <w:rPr>
          <w:rFonts w:ascii="Garamond" w:hAnsi="Garamond" w:cs="Arial"/>
          <w:sz w:val="24"/>
          <w:szCs w:val="24"/>
        </w:rPr>
        <w:t xml:space="preserve"> </w:t>
      </w:r>
      <w:r w:rsidR="00967370" w:rsidRPr="003A1174">
        <w:rPr>
          <w:rFonts w:ascii="Garamond" w:hAnsi="Garamond" w:cs="Arial"/>
          <w:sz w:val="24"/>
          <w:szCs w:val="24"/>
        </w:rPr>
        <w:t>aliança</w:t>
      </w:r>
      <w:r w:rsidR="000116D8" w:rsidRPr="003A1174">
        <w:rPr>
          <w:rFonts w:ascii="Garamond" w:hAnsi="Garamond" w:cs="Arial"/>
          <w:sz w:val="24"/>
          <w:szCs w:val="24"/>
        </w:rPr>
        <w:t>s estratégicas co</w:t>
      </w:r>
      <w:r w:rsidR="00967370" w:rsidRPr="003A1174">
        <w:rPr>
          <w:rFonts w:ascii="Garamond" w:hAnsi="Garamond" w:cs="Arial"/>
          <w:sz w:val="24"/>
          <w:szCs w:val="24"/>
        </w:rPr>
        <w:t>m</w:t>
      </w:r>
      <w:r w:rsidR="000116D8" w:rsidRPr="003A1174">
        <w:rPr>
          <w:rFonts w:ascii="Garamond" w:hAnsi="Garamond" w:cs="Arial"/>
          <w:sz w:val="24"/>
          <w:szCs w:val="24"/>
        </w:rPr>
        <w:t xml:space="preserve"> </w:t>
      </w:r>
      <w:r w:rsidR="002470B1" w:rsidRPr="003A1174">
        <w:rPr>
          <w:rFonts w:ascii="Garamond" w:hAnsi="Garamond" w:cs="Arial"/>
          <w:sz w:val="24"/>
          <w:szCs w:val="24"/>
        </w:rPr>
        <w:t>organizações</w:t>
      </w:r>
      <w:r w:rsidR="000116D8" w:rsidRPr="003A1174">
        <w:rPr>
          <w:rFonts w:ascii="Garamond" w:hAnsi="Garamond" w:cs="Arial"/>
          <w:sz w:val="24"/>
          <w:szCs w:val="24"/>
        </w:rPr>
        <w:t xml:space="preserve"> d</w:t>
      </w:r>
      <w:r w:rsidR="006C2604" w:rsidRPr="003A1174">
        <w:rPr>
          <w:rFonts w:ascii="Garamond" w:hAnsi="Garamond" w:cs="Arial"/>
          <w:sz w:val="24"/>
          <w:szCs w:val="24"/>
        </w:rPr>
        <w:t xml:space="preserve">a </w:t>
      </w:r>
      <w:r w:rsidR="002C7510" w:rsidRPr="003A1174">
        <w:rPr>
          <w:rFonts w:ascii="Garamond" w:hAnsi="Garamond" w:cs="Arial"/>
          <w:sz w:val="24"/>
          <w:szCs w:val="24"/>
        </w:rPr>
        <w:t>sociedade</w:t>
      </w:r>
      <w:r w:rsidR="000116D8" w:rsidRPr="003A1174">
        <w:rPr>
          <w:rFonts w:ascii="Garamond" w:hAnsi="Garamond" w:cs="Arial"/>
          <w:sz w:val="24"/>
          <w:szCs w:val="24"/>
        </w:rPr>
        <w:t xml:space="preserve"> civil (ONGs) que </w:t>
      </w:r>
      <w:r w:rsidR="00911FDB">
        <w:rPr>
          <w:rFonts w:ascii="Garamond" w:hAnsi="Garamond" w:cs="Arial"/>
          <w:sz w:val="24"/>
          <w:szCs w:val="24"/>
        </w:rPr>
        <w:t xml:space="preserve">lutam </w:t>
      </w:r>
      <w:r w:rsidR="00967370" w:rsidRPr="003A1174">
        <w:rPr>
          <w:rFonts w:ascii="Garamond" w:hAnsi="Garamond" w:cs="Arial"/>
          <w:sz w:val="24"/>
          <w:szCs w:val="24"/>
        </w:rPr>
        <w:t>pe</w:t>
      </w:r>
      <w:r w:rsidR="000116D8" w:rsidRPr="003A1174">
        <w:rPr>
          <w:rFonts w:ascii="Garamond" w:hAnsi="Garamond" w:cs="Arial"/>
          <w:sz w:val="24"/>
          <w:szCs w:val="24"/>
        </w:rPr>
        <w:t xml:space="preserve">los </w:t>
      </w:r>
      <w:r w:rsidR="00886D6A" w:rsidRPr="003A1174">
        <w:rPr>
          <w:rFonts w:ascii="Garamond" w:hAnsi="Garamond" w:cs="Arial"/>
          <w:sz w:val="24"/>
          <w:szCs w:val="24"/>
        </w:rPr>
        <w:t>direito</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967370" w:rsidRPr="003A1174">
        <w:rPr>
          <w:rFonts w:ascii="Garamond" w:hAnsi="Garamond" w:cs="Arial"/>
          <w:sz w:val="24"/>
          <w:szCs w:val="24"/>
        </w:rPr>
        <w:t>No entanto, isso acontece</w:t>
      </w:r>
      <w:r w:rsidR="00911FDB">
        <w:rPr>
          <w:rFonts w:ascii="Garamond" w:hAnsi="Garamond" w:cs="Arial"/>
          <w:sz w:val="24"/>
          <w:szCs w:val="24"/>
        </w:rPr>
        <w:t>,</w:t>
      </w:r>
      <w:r w:rsidR="00967370" w:rsidRPr="003A1174">
        <w:rPr>
          <w:rFonts w:ascii="Garamond" w:hAnsi="Garamond" w:cs="Arial"/>
          <w:sz w:val="24"/>
          <w:szCs w:val="24"/>
        </w:rPr>
        <w:t xml:space="preserve"> apenas em </w:t>
      </w:r>
      <w:r w:rsidR="00CD707D" w:rsidRPr="003A1174">
        <w:rPr>
          <w:rFonts w:ascii="Garamond" w:hAnsi="Garamond" w:cs="Arial"/>
          <w:sz w:val="24"/>
          <w:szCs w:val="24"/>
        </w:rPr>
        <w:t>alguma</w:t>
      </w:r>
      <w:r w:rsidR="000116D8" w:rsidRPr="003A1174">
        <w:rPr>
          <w:rFonts w:ascii="Garamond" w:hAnsi="Garamond" w:cs="Arial"/>
          <w:sz w:val="24"/>
          <w:szCs w:val="24"/>
        </w:rPr>
        <w:t xml:space="preserve">s </w:t>
      </w:r>
      <w:r w:rsidR="008651AF" w:rsidRPr="003A1174">
        <w:rPr>
          <w:rFonts w:ascii="Garamond" w:hAnsi="Garamond" w:cs="Arial"/>
          <w:sz w:val="24"/>
          <w:szCs w:val="24"/>
        </w:rPr>
        <w:t>cidades</w:t>
      </w:r>
      <w:r w:rsidR="000116D8" w:rsidRPr="003A1174">
        <w:rPr>
          <w:rFonts w:ascii="Garamond" w:hAnsi="Garamond" w:cs="Arial"/>
          <w:sz w:val="24"/>
          <w:szCs w:val="24"/>
        </w:rPr>
        <w:t xml:space="preserve"> </w:t>
      </w:r>
      <w:r w:rsidR="00497503" w:rsidRPr="003A1174">
        <w:rPr>
          <w:rFonts w:ascii="Garamond" w:hAnsi="Garamond" w:cs="Arial"/>
          <w:sz w:val="24"/>
          <w:szCs w:val="24"/>
        </w:rPr>
        <w:t>capitais</w:t>
      </w:r>
      <w:r w:rsidR="00911FDB">
        <w:rPr>
          <w:rFonts w:ascii="Garamond" w:hAnsi="Garamond" w:cs="Arial"/>
          <w:sz w:val="24"/>
          <w:szCs w:val="24"/>
        </w:rPr>
        <w:t>,</w:t>
      </w:r>
      <w:r w:rsidR="00967370" w:rsidRPr="003A1174">
        <w:rPr>
          <w:rFonts w:ascii="Garamond" w:hAnsi="Garamond" w:cs="Arial"/>
          <w:sz w:val="24"/>
          <w:szCs w:val="24"/>
        </w:rPr>
        <w:t xml:space="preserve"> </w:t>
      </w:r>
      <w:r w:rsidR="000116D8" w:rsidRPr="003A1174">
        <w:rPr>
          <w:rFonts w:ascii="Garamond" w:hAnsi="Garamond" w:cs="Arial"/>
          <w:sz w:val="24"/>
          <w:szCs w:val="24"/>
        </w:rPr>
        <w:t>onde existe</w:t>
      </w:r>
      <w:r w:rsidR="00967370" w:rsidRPr="003A1174">
        <w:rPr>
          <w:rFonts w:ascii="Garamond" w:hAnsi="Garamond" w:cs="Arial"/>
          <w:sz w:val="24"/>
          <w:szCs w:val="24"/>
        </w:rPr>
        <w:t xml:space="preserve">m tais </w:t>
      </w:r>
      <w:r w:rsidR="002470B1" w:rsidRPr="003A1174">
        <w:rPr>
          <w:rFonts w:ascii="Garamond" w:hAnsi="Garamond" w:cs="Arial"/>
          <w:sz w:val="24"/>
          <w:szCs w:val="24"/>
        </w:rPr>
        <w:t>organizações</w:t>
      </w:r>
      <w:r w:rsidR="000116D8" w:rsidRPr="003A1174">
        <w:rPr>
          <w:rFonts w:ascii="Garamond" w:hAnsi="Garamond" w:cs="Arial"/>
          <w:sz w:val="24"/>
          <w:szCs w:val="24"/>
        </w:rPr>
        <w:t xml:space="preserve"> especializadas </w:t>
      </w:r>
      <w:r w:rsidR="00967370" w:rsidRPr="003A1174">
        <w:rPr>
          <w:rFonts w:ascii="Garamond" w:hAnsi="Garamond" w:cs="Arial"/>
          <w:sz w:val="24"/>
          <w:szCs w:val="24"/>
        </w:rPr>
        <w:t xml:space="preserve">no </w:t>
      </w:r>
      <w:r w:rsidR="000116D8" w:rsidRPr="003A1174">
        <w:rPr>
          <w:rFonts w:ascii="Garamond" w:hAnsi="Garamond" w:cs="Arial"/>
          <w:sz w:val="24"/>
          <w:szCs w:val="24"/>
        </w:rPr>
        <w:t>tema.</w:t>
      </w:r>
    </w:p>
    <w:p w:rsidR="000116D8" w:rsidRPr="003A1174" w:rsidRDefault="001F2F8B" w:rsidP="008719D4">
      <w:pPr>
        <w:spacing w:before="240" w:line="240" w:lineRule="auto"/>
        <w:jc w:val="both"/>
        <w:rPr>
          <w:rFonts w:ascii="Garamond" w:hAnsi="Garamond" w:cs="Arial"/>
          <w:sz w:val="24"/>
          <w:szCs w:val="24"/>
        </w:rPr>
      </w:pPr>
      <w:r w:rsidRPr="003A1174">
        <w:rPr>
          <w:rFonts w:ascii="Garamond" w:hAnsi="Garamond" w:cs="Arial"/>
          <w:sz w:val="24"/>
          <w:szCs w:val="24"/>
        </w:rPr>
        <w:t>Re</w:t>
      </w:r>
      <w:r w:rsidR="00967370" w:rsidRPr="003A1174">
        <w:rPr>
          <w:rFonts w:ascii="Garamond" w:hAnsi="Garamond" w:cs="Arial"/>
          <w:sz w:val="24"/>
          <w:szCs w:val="24"/>
        </w:rPr>
        <w:t xml:space="preserve">lativamente à </w:t>
      </w:r>
      <w:r w:rsidR="009859FC" w:rsidRPr="003A1174">
        <w:rPr>
          <w:rFonts w:ascii="Garamond" w:hAnsi="Garamond" w:cs="Arial"/>
          <w:sz w:val="24"/>
          <w:szCs w:val="24"/>
        </w:rPr>
        <w:t>atuação</w:t>
      </w:r>
      <w:r w:rsidR="000116D8" w:rsidRPr="003A1174">
        <w:rPr>
          <w:rFonts w:ascii="Garamond" w:hAnsi="Garamond" w:cs="Arial"/>
          <w:sz w:val="24"/>
          <w:szCs w:val="24"/>
        </w:rPr>
        <w:t xml:space="preserve"> da </w:t>
      </w:r>
      <w:r w:rsidR="00C04CA4" w:rsidRPr="003A1174">
        <w:rPr>
          <w:rFonts w:ascii="Garamond" w:hAnsi="Garamond" w:cs="Arial"/>
          <w:sz w:val="24"/>
          <w:szCs w:val="24"/>
        </w:rPr>
        <w:t>Provedoria de Justiça</w:t>
      </w:r>
      <w:r w:rsidR="000116D8" w:rsidRPr="003A1174">
        <w:rPr>
          <w:rFonts w:ascii="Garamond" w:hAnsi="Garamond" w:cs="Arial"/>
          <w:sz w:val="24"/>
          <w:szCs w:val="24"/>
        </w:rPr>
        <w:t>, elabora</w:t>
      </w:r>
      <w:r w:rsidR="00967370" w:rsidRPr="003A1174">
        <w:rPr>
          <w:rFonts w:ascii="Garamond" w:hAnsi="Garamond" w:cs="Arial"/>
          <w:sz w:val="24"/>
          <w:szCs w:val="24"/>
        </w:rPr>
        <w:t xml:space="preserve">ram-se </w:t>
      </w:r>
      <w:r w:rsidR="009E3E55" w:rsidRPr="003A1174">
        <w:rPr>
          <w:rFonts w:ascii="Garamond" w:hAnsi="Garamond" w:cs="Arial"/>
          <w:sz w:val="24"/>
          <w:szCs w:val="24"/>
        </w:rPr>
        <w:t>Relatório</w:t>
      </w:r>
      <w:r w:rsidR="000116D8" w:rsidRPr="003A1174">
        <w:rPr>
          <w:rFonts w:ascii="Garamond" w:hAnsi="Garamond" w:cs="Arial"/>
          <w:sz w:val="24"/>
          <w:szCs w:val="24"/>
        </w:rPr>
        <w:t xml:space="preserve">s </w:t>
      </w:r>
      <w:r w:rsidR="00911FDB">
        <w:rPr>
          <w:rFonts w:ascii="Garamond" w:hAnsi="Garamond" w:cs="Arial"/>
          <w:sz w:val="24"/>
          <w:szCs w:val="24"/>
        </w:rPr>
        <w:t xml:space="preserve">Contra o </w:t>
      </w:r>
      <w:r w:rsidR="005C051C" w:rsidRPr="003A1174">
        <w:rPr>
          <w:rFonts w:ascii="Garamond" w:hAnsi="Garamond" w:cs="Arial"/>
          <w:sz w:val="24"/>
          <w:szCs w:val="24"/>
        </w:rPr>
        <w:t>Femicídio</w:t>
      </w:r>
      <w:r w:rsidR="000116D8" w:rsidRPr="003A1174">
        <w:rPr>
          <w:rFonts w:ascii="Garamond" w:hAnsi="Garamond" w:cs="Arial"/>
          <w:sz w:val="24"/>
          <w:szCs w:val="24"/>
        </w:rPr>
        <w:t xml:space="preserve"> que </w:t>
      </w:r>
      <w:r w:rsidR="00606CEE" w:rsidRPr="003A1174">
        <w:rPr>
          <w:rFonts w:ascii="Garamond" w:hAnsi="Garamond" w:cs="Arial"/>
          <w:sz w:val="24"/>
          <w:szCs w:val="24"/>
        </w:rPr>
        <w:t xml:space="preserve">foram os </w:t>
      </w:r>
      <w:r w:rsidR="000116D8" w:rsidRPr="003A1174">
        <w:rPr>
          <w:rFonts w:ascii="Garamond" w:hAnsi="Garamond" w:cs="Arial"/>
          <w:sz w:val="24"/>
          <w:szCs w:val="24"/>
        </w:rPr>
        <w:t>principa</w:t>
      </w:r>
      <w:r w:rsidR="00606CEE" w:rsidRPr="003A1174">
        <w:rPr>
          <w:rFonts w:ascii="Garamond" w:hAnsi="Garamond" w:cs="Arial"/>
          <w:sz w:val="24"/>
          <w:szCs w:val="24"/>
        </w:rPr>
        <w:t xml:space="preserve">is </w:t>
      </w:r>
      <w:r w:rsidR="00911FDB">
        <w:rPr>
          <w:rFonts w:ascii="Garamond" w:hAnsi="Garamond" w:cs="Arial"/>
          <w:sz w:val="24"/>
          <w:szCs w:val="24"/>
        </w:rPr>
        <w:t xml:space="preserve">contributos </w:t>
      </w:r>
      <w:r w:rsidR="00606CEE" w:rsidRPr="003A1174">
        <w:rPr>
          <w:rFonts w:ascii="Garamond" w:hAnsi="Garamond" w:cs="Arial"/>
          <w:sz w:val="24"/>
          <w:szCs w:val="24"/>
        </w:rPr>
        <w:t xml:space="preserve">para </w:t>
      </w:r>
      <w:r w:rsidR="006C2604" w:rsidRPr="003A1174">
        <w:rPr>
          <w:rFonts w:ascii="Garamond" w:hAnsi="Garamond" w:cs="Arial"/>
          <w:sz w:val="24"/>
          <w:szCs w:val="24"/>
        </w:rPr>
        <w:t xml:space="preserve">a </w:t>
      </w:r>
      <w:r w:rsidR="009A0CC2" w:rsidRPr="003A1174">
        <w:rPr>
          <w:rFonts w:ascii="Garamond" w:hAnsi="Garamond" w:cs="Arial"/>
          <w:sz w:val="24"/>
          <w:szCs w:val="24"/>
        </w:rPr>
        <w:t>tipificação</w:t>
      </w:r>
      <w:r w:rsidR="006C2604" w:rsidRPr="003A1174">
        <w:rPr>
          <w:rFonts w:ascii="Garamond" w:hAnsi="Garamond" w:cs="Arial"/>
          <w:sz w:val="24"/>
          <w:szCs w:val="24"/>
        </w:rPr>
        <w:t xml:space="preserve"> d</w:t>
      </w:r>
      <w:r w:rsidR="00606CEE" w:rsidRPr="003A1174">
        <w:rPr>
          <w:rFonts w:ascii="Garamond" w:hAnsi="Garamond" w:cs="Arial"/>
          <w:sz w:val="24"/>
          <w:szCs w:val="24"/>
        </w:rPr>
        <w:t xml:space="preserve">o referido </w:t>
      </w:r>
      <w:r w:rsidR="006C2604" w:rsidRPr="003A1174">
        <w:rPr>
          <w:rFonts w:ascii="Garamond" w:hAnsi="Garamond" w:cs="Arial"/>
          <w:sz w:val="24"/>
          <w:szCs w:val="24"/>
        </w:rPr>
        <w:t xml:space="preserve">delito </w:t>
      </w:r>
      <w:r w:rsidR="00275092" w:rsidRPr="003A1174">
        <w:rPr>
          <w:rFonts w:ascii="Garamond" w:hAnsi="Garamond" w:cs="Arial"/>
          <w:sz w:val="24"/>
          <w:szCs w:val="24"/>
        </w:rPr>
        <w:t>pela</w:t>
      </w:r>
      <w:r w:rsidR="000116D8" w:rsidRPr="003A1174">
        <w:rPr>
          <w:rFonts w:ascii="Garamond" w:hAnsi="Garamond" w:cs="Arial"/>
          <w:sz w:val="24"/>
          <w:szCs w:val="24"/>
        </w:rPr>
        <w:t xml:space="preserve"> </w:t>
      </w:r>
      <w:r w:rsidR="00C30647" w:rsidRPr="003A1174">
        <w:rPr>
          <w:rFonts w:ascii="Garamond" w:hAnsi="Garamond" w:cs="Arial"/>
          <w:sz w:val="24"/>
          <w:szCs w:val="24"/>
        </w:rPr>
        <w:t>Assembleia</w:t>
      </w:r>
      <w:r w:rsidR="000116D8" w:rsidRPr="003A1174">
        <w:rPr>
          <w:rFonts w:ascii="Garamond" w:hAnsi="Garamond" w:cs="Arial"/>
          <w:sz w:val="24"/>
          <w:szCs w:val="24"/>
        </w:rPr>
        <w:t xml:space="preserve"> Legislativa Plurinacional</w:t>
      </w:r>
      <w:r w:rsidR="00C031E1" w:rsidRPr="003A1174">
        <w:rPr>
          <w:rFonts w:ascii="Garamond" w:hAnsi="Garamond" w:cs="Arial"/>
          <w:sz w:val="24"/>
          <w:szCs w:val="24"/>
        </w:rPr>
        <w:t>.</w:t>
      </w:r>
    </w:p>
    <w:p w:rsidR="000116D8" w:rsidRPr="003A1174" w:rsidRDefault="00606CEE" w:rsidP="008719D4">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R</w:t>
      </w:r>
      <w:r w:rsidR="000116D8" w:rsidRPr="003A1174">
        <w:rPr>
          <w:rFonts w:ascii="Garamond" w:hAnsi="Garamond" w:cs="Arial"/>
          <w:color w:val="auto"/>
          <w:sz w:val="24"/>
          <w:szCs w:val="24"/>
          <w:lang w:val="pt-PT"/>
        </w:rPr>
        <w:t>ealiz</w:t>
      </w:r>
      <w:r w:rsidRPr="003A1174">
        <w:rPr>
          <w:rFonts w:ascii="Garamond" w:hAnsi="Garamond" w:cs="Arial"/>
          <w:color w:val="auto"/>
          <w:sz w:val="24"/>
          <w:szCs w:val="24"/>
          <w:lang w:val="pt-PT"/>
        </w:rPr>
        <w:t>ou-se</w:t>
      </w:r>
      <w:r w:rsidR="00911FDB">
        <w:rPr>
          <w:rFonts w:ascii="Garamond" w:hAnsi="Garamond" w:cs="Arial"/>
          <w:color w:val="auto"/>
          <w:sz w:val="24"/>
          <w:szCs w:val="24"/>
          <w:lang w:val="pt-PT"/>
        </w:rPr>
        <w:t>,</w:t>
      </w:r>
      <w:r w:rsidRPr="003A1174">
        <w:rPr>
          <w:rFonts w:ascii="Garamond" w:hAnsi="Garamond" w:cs="Arial"/>
          <w:color w:val="auto"/>
          <w:sz w:val="24"/>
          <w:szCs w:val="24"/>
          <w:lang w:val="pt-PT"/>
        </w:rPr>
        <w:t xml:space="preserve"> também</w:t>
      </w:r>
      <w:r w:rsidR="00911FDB">
        <w:rPr>
          <w:rFonts w:ascii="Garamond" w:hAnsi="Garamond" w:cs="Arial"/>
          <w:color w:val="auto"/>
          <w:sz w:val="24"/>
          <w:szCs w:val="24"/>
          <w:lang w:val="pt-PT"/>
        </w:rPr>
        <w:t>,</w:t>
      </w:r>
      <w:r w:rsidRPr="003A1174">
        <w:rPr>
          <w:rFonts w:ascii="Garamond" w:hAnsi="Garamond" w:cs="Arial"/>
          <w:color w:val="auto"/>
          <w:sz w:val="24"/>
          <w:szCs w:val="24"/>
          <w:lang w:val="pt-PT"/>
        </w:rPr>
        <w:t xml:space="preserve"> uma</w:t>
      </w:r>
      <w:r w:rsidR="000116D8"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investigação</w:t>
      </w:r>
      <w:r w:rsidR="000116D8" w:rsidRPr="003A1174">
        <w:rPr>
          <w:rFonts w:ascii="Garamond" w:hAnsi="Garamond" w:cs="Arial"/>
          <w:color w:val="auto"/>
          <w:sz w:val="24"/>
          <w:szCs w:val="24"/>
          <w:lang w:val="pt-PT"/>
        </w:rPr>
        <w:t xml:space="preserve"> sobre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sexual contra </w:t>
      </w:r>
      <w:r w:rsidR="000116D8"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xml:space="preserve"> que </w:t>
      </w:r>
      <w:r w:rsidR="00911FDB">
        <w:rPr>
          <w:rFonts w:ascii="Garamond" w:hAnsi="Garamond" w:cs="Arial"/>
          <w:color w:val="auto"/>
          <w:sz w:val="24"/>
          <w:szCs w:val="24"/>
          <w:lang w:val="pt-PT"/>
        </w:rPr>
        <w:t xml:space="preserve">permitiu </w:t>
      </w:r>
      <w:r w:rsidR="000116D8" w:rsidRPr="003A1174">
        <w:rPr>
          <w:rFonts w:ascii="Garamond" w:hAnsi="Garamond" w:cs="Arial"/>
          <w:color w:val="auto"/>
          <w:sz w:val="24"/>
          <w:szCs w:val="24"/>
          <w:lang w:val="pt-PT"/>
        </w:rPr>
        <w:t xml:space="preserve">que </w:t>
      </w:r>
      <w:r w:rsidRPr="003A1174">
        <w:rPr>
          <w:rFonts w:ascii="Garamond" w:hAnsi="Garamond" w:cs="Arial"/>
          <w:color w:val="auto"/>
          <w:sz w:val="24"/>
          <w:szCs w:val="24"/>
          <w:lang w:val="pt-PT"/>
        </w:rPr>
        <w:t>o Ministério Público</w:t>
      </w:r>
      <w:r w:rsidR="000116D8" w:rsidRPr="003A1174">
        <w:rPr>
          <w:rFonts w:ascii="Garamond" w:hAnsi="Garamond" w:cs="Arial"/>
          <w:color w:val="auto"/>
          <w:sz w:val="24"/>
          <w:szCs w:val="24"/>
          <w:lang w:val="pt-PT"/>
        </w:rPr>
        <w:t xml:space="preserve"> emit</w:t>
      </w:r>
      <w:r w:rsidRPr="003A1174">
        <w:rPr>
          <w:rFonts w:ascii="Garamond" w:hAnsi="Garamond" w:cs="Arial"/>
          <w:color w:val="auto"/>
          <w:sz w:val="24"/>
          <w:szCs w:val="24"/>
          <w:lang w:val="pt-PT"/>
        </w:rPr>
        <w:t>isse um</w:t>
      </w:r>
      <w:r w:rsidR="00911FDB">
        <w:rPr>
          <w:rFonts w:ascii="Garamond" w:hAnsi="Garamond" w:cs="Arial"/>
          <w:color w:val="auto"/>
          <w:sz w:val="24"/>
          <w:szCs w:val="24"/>
          <w:lang w:val="pt-PT"/>
        </w:rPr>
        <w:t xml:space="preserve"> regulamento, chamando a atenção </w:t>
      </w:r>
      <w:r w:rsidR="000116D8" w:rsidRPr="003A1174">
        <w:rPr>
          <w:rFonts w:ascii="Garamond" w:hAnsi="Garamond" w:cs="Arial"/>
          <w:color w:val="auto"/>
          <w:sz w:val="24"/>
          <w:szCs w:val="24"/>
          <w:lang w:val="pt-PT"/>
        </w:rPr>
        <w:t>para</w:t>
      </w:r>
      <w:r w:rsidR="00911FDB">
        <w:rPr>
          <w:rFonts w:ascii="Garamond" w:hAnsi="Garamond" w:cs="Arial"/>
          <w:color w:val="auto"/>
          <w:sz w:val="24"/>
          <w:szCs w:val="24"/>
          <w:lang w:val="pt-PT"/>
        </w:rPr>
        <w:t xml:space="preserve"> as </w:t>
      </w:r>
      <w:r w:rsidR="008E7A2A" w:rsidRPr="003A1174">
        <w:rPr>
          <w:rFonts w:ascii="Garamond" w:hAnsi="Garamond" w:cs="Arial"/>
          <w:color w:val="auto"/>
          <w:sz w:val="24"/>
          <w:szCs w:val="24"/>
          <w:lang w:val="pt-PT"/>
        </w:rPr>
        <w:t>recomendações</w:t>
      </w:r>
      <w:r w:rsidR="000116D8" w:rsidRPr="003A1174">
        <w:rPr>
          <w:rFonts w:ascii="Garamond" w:hAnsi="Garamond" w:cs="Arial"/>
          <w:color w:val="auto"/>
          <w:sz w:val="24"/>
          <w:szCs w:val="24"/>
          <w:lang w:val="pt-PT"/>
        </w:rPr>
        <w:t xml:space="preserve"> </w:t>
      </w:r>
      <w:r w:rsidR="00911FDB">
        <w:rPr>
          <w:rFonts w:ascii="Garamond" w:hAnsi="Garamond" w:cs="Arial"/>
          <w:color w:val="auto"/>
          <w:sz w:val="24"/>
          <w:szCs w:val="24"/>
          <w:lang w:val="pt-PT"/>
        </w:rPr>
        <w:t xml:space="preserve">em </w:t>
      </w:r>
      <w:r w:rsidRPr="003A1174">
        <w:rPr>
          <w:rFonts w:ascii="Garamond" w:hAnsi="Garamond" w:cs="Arial"/>
          <w:color w:val="auto"/>
          <w:sz w:val="24"/>
          <w:szCs w:val="24"/>
          <w:lang w:val="pt-PT"/>
        </w:rPr>
        <w:t xml:space="preserve">defesa </w:t>
      </w:r>
      <w:r w:rsidR="00911FDB">
        <w:rPr>
          <w:rFonts w:ascii="Garamond" w:hAnsi="Garamond" w:cs="Arial"/>
          <w:color w:val="auto"/>
          <w:sz w:val="24"/>
          <w:szCs w:val="24"/>
          <w:lang w:val="pt-PT"/>
        </w:rPr>
        <w:t xml:space="preserve">Destas temática. </w:t>
      </w:r>
      <w:r w:rsidR="000116D8" w:rsidRPr="003A1174">
        <w:rPr>
          <w:rFonts w:ascii="Garamond" w:hAnsi="Garamond" w:cs="Arial"/>
          <w:color w:val="auto"/>
          <w:sz w:val="24"/>
          <w:szCs w:val="24"/>
          <w:lang w:val="pt-PT"/>
        </w:rPr>
        <w:t>Finalmente</w:t>
      </w:r>
      <w:r w:rsidR="00911FDB">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emitiram-</w:t>
      </w:r>
      <w:r w:rsidR="000116D8" w:rsidRPr="003A1174">
        <w:rPr>
          <w:rFonts w:ascii="Garamond" w:hAnsi="Garamond" w:cs="Arial"/>
          <w:color w:val="auto"/>
          <w:sz w:val="24"/>
          <w:szCs w:val="24"/>
          <w:lang w:val="pt-PT"/>
        </w:rPr>
        <w:t xml:space="preserve">se </w:t>
      </w:r>
      <w:r w:rsidRPr="003A1174">
        <w:rPr>
          <w:rFonts w:ascii="Garamond" w:hAnsi="Garamond" w:cs="Arial"/>
          <w:color w:val="auto"/>
          <w:sz w:val="24"/>
          <w:szCs w:val="24"/>
          <w:lang w:val="pt-PT"/>
        </w:rPr>
        <w:t>numerosa</w:t>
      </w:r>
      <w:r w:rsidR="000116D8" w:rsidRPr="003A1174">
        <w:rPr>
          <w:rFonts w:ascii="Garamond" w:hAnsi="Garamond" w:cs="Arial"/>
          <w:color w:val="auto"/>
          <w:sz w:val="24"/>
          <w:szCs w:val="24"/>
          <w:lang w:val="pt-PT"/>
        </w:rPr>
        <w:t xml:space="preserve">s </w:t>
      </w:r>
      <w:r w:rsidR="007A799E">
        <w:rPr>
          <w:rFonts w:ascii="Garamond" w:hAnsi="Garamond" w:cs="Arial"/>
          <w:color w:val="auto"/>
          <w:sz w:val="24"/>
          <w:szCs w:val="24"/>
          <w:lang w:val="pt-PT"/>
        </w:rPr>
        <w:t xml:space="preserve">opiniões críticas sobre </w:t>
      </w:r>
      <w:r w:rsidR="000116D8"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0116D8" w:rsidRPr="003A1174">
        <w:rPr>
          <w:rFonts w:ascii="Garamond" w:hAnsi="Garamond" w:cs="Arial"/>
          <w:color w:val="auto"/>
          <w:sz w:val="24"/>
          <w:szCs w:val="24"/>
          <w:lang w:val="pt-PT"/>
        </w:rPr>
        <w:t xml:space="preserve"> </w:t>
      </w:r>
      <w:r w:rsidR="007A799E">
        <w:rPr>
          <w:rFonts w:ascii="Garamond" w:hAnsi="Garamond" w:cs="Arial"/>
          <w:color w:val="auto"/>
          <w:sz w:val="24"/>
          <w:szCs w:val="24"/>
          <w:lang w:val="pt-PT"/>
        </w:rPr>
        <w:t>contra as</w:t>
      </w:r>
      <w:r w:rsidR="000116D8"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w:t>
      </w:r>
    </w:p>
    <w:p w:rsidR="000116D8" w:rsidRPr="003A1174" w:rsidRDefault="0017447A" w:rsidP="008719D4">
      <w:pPr>
        <w:pStyle w:val="Ttulo3"/>
        <w:spacing w:line="240" w:lineRule="auto"/>
        <w:rPr>
          <w:rFonts w:ascii="Garamond" w:hAnsi="Garamond"/>
          <w:sz w:val="24"/>
          <w:szCs w:val="24"/>
        </w:rPr>
      </w:pPr>
      <w:bookmarkStart w:id="45" w:name="_Toc421529733"/>
      <w:r w:rsidRPr="003A1174">
        <w:rPr>
          <w:rFonts w:ascii="Garamond" w:hAnsi="Garamond"/>
          <w:sz w:val="24"/>
          <w:szCs w:val="24"/>
        </w:rPr>
        <w:t>Colômbia</w:t>
      </w:r>
      <w:bookmarkEnd w:id="45"/>
    </w:p>
    <w:p w:rsidR="000116D8" w:rsidRPr="003A1174" w:rsidRDefault="007A799E" w:rsidP="008719D4">
      <w:pPr>
        <w:pStyle w:val="NormalWeb"/>
        <w:spacing w:before="240" w:beforeAutospacing="0"/>
        <w:jc w:val="both"/>
        <w:rPr>
          <w:rFonts w:ascii="Garamond" w:hAnsi="Garamond" w:cs="Arial"/>
          <w:lang w:val="pt-PT"/>
        </w:rPr>
      </w:pPr>
      <w:r>
        <w:rPr>
          <w:rFonts w:ascii="Garamond" w:hAnsi="Garamond" w:cs="Arial"/>
          <w:lang w:val="pt-PT"/>
        </w:rPr>
        <w:t>Na Colômbia, a</w:t>
      </w:r>
      <w:r w:rsidR="00606CEE" w:rsidRPr="003A1174">
        <w:rPr>
          <w:rFonts w:ascii="Garamond" w:hAnsi="Garamond" w:cs="Arial"/>
          <w:lang w:val="pt-PT"/>
        </w:rPr>
        <w:t xml:space="preserve"> </w:t>
      </w:r>
      <w:r w:rsidR="006C6E85" w:rsidRPr="003A1174">
        <w:rPr>
          <w:rFonts w:ascii="Garamond" w:hAnsi="Garamond" w:cs="Arial"/>
          <w:lang w:val="pt-PT"/>
        </w:rPr>
        <w:t>Provedoria</w:t>
      </w:r>
      <w:r w:rsidR="00606CEE" w:rsidRPr="003A1174">
        <w:rPr>
          <w:rFonts w:ascii="Garamond" w:hAnsi="Garamond" w:cs="Arial"/>
          <w:lang w:val="pt-PT"/>
        </w:rPr>
        <w:t xml:space="preserve"> Delegada para </w:t>
      </w:r>
      <w:r w:rsidR="000116D8" w:rsidRPr="003A1174">
        <w:rPr>
          <w:rFonts w:ascii="Garamond" w:hAnsi="Garamond" w:cs="Arial"/>
          <w:lang w:val="pt-PT"/>
        </w:rPr>
        <w:t xml:space="preserve">os </w:t>
      </w:r>
      <w:r w:rsidR="00886D6A" w:rsidRPr="003A1174">
        <w:rPr>
          <w:rFonts w:ascii="Garamond" w:hAnsi="Garamond" w:cs="Arial"/>
          <w:lang w:val="pt-PT"/>
        </w:rPr>
        <w:t>Direito</w:t>
      </w:r>
      <w:r w:rsidR="000116D8" w:rsidRPr="003A1174">
        <w:rPr>
          <w:rFonts w:ascii="Garamond" w:hAnsi="Garamond" w:cs="Arial"/>
          <w:lang w:val="pt-PT"/>
        </w:rPr>
        <w:t xml:space="preserve">s </w:t>
      </w:r>
      <w:r w:rsidR="00497503" w:rsidRPr="003A1174">
        <w:rPr>
          <w:rFonts w:ascii="Garamond" w:hAnsi="Garamond" w:cs="Arial"/>
          <w:lang w:val="pt-PT"/>
        </w:rPr>
        <w:t>das</w:t>
      </w:r>
      <w:r w:rsidR="000116D8" w:rsidRPr="003A1174">
        <w:rPr>
          <w:rFonts w:ascii="Garamond" w:hAnsi="Garamond" w:cs="Arial"/>
          <w:lang w:val="pt-PT"/>
        </w:rPr>
        <w:t xml:space="preserve"> </w:t>
      </w:r>
      <w:r w:rsidR="00054EE0" w:rsidRPr="003A1174">
        <w:rPr>
          <w:rFonts w:ascii="Garamond" w:hAnsi="Garamond" w:cs="Arial"/>
          <w:lang w:val="pt-PT"/>
        </w:rPr>
        <w:t>Mulheres</w:t>
      </w:r>
      <w:r w:rsidR="000116D8" w:rsidRPr="003A1174">
        <w:rPr>
          <w:rFonts w:ascii="Garamond" w:hAnsi="Garamond" w:cs="Arial"/>
          <w:lang w:val="pt-PT"/>
        </w:rPr>
        <w:t xml:space="preserve"> </w:t>
      </w:r>
      <w:r w:rsidR="00497503" w:rsidRPr="003A1174">
        <w:rPr>
          <w:rFonts w:ascii="Garamond" w:hAnsi="Garamond" w:cs="Arial"/>
          <w:lang w:val="pt-PT"/>
        </w:rPr>
        <w:t>e</w:t>
      </w:r>
      <w:r w:rsidR="00606CEE" w:rsidRPr="003A1174">
        <w:rPr>
          <w:rFonts w:ascii="Garamond" w:hAnsi="Garamond" w:cs="Arial"/>
          <w:lang w:val="pt-PT"/>
        </w:rPr>
        <w:t xml:space="preserve"> d</w:t>
      </w:r>
      <w:r w:rsidR="000116D8" w:rsidRPr="003A1174">
        <w:rPr>
          <w:rFonts w:ascii="Garamond" w:hAnsi="Garamond" w:cs="Arial"/>
          <w:lang w:val="pt-PT"/>
        </w:rPr>
        <w:t xml:space="preserve">os </w:t>
      </w:r>
      <w:r w:rsidR="00973DDE" w:rsidRPr="003A1174">
        <w:rPr>
          <w:rFonts w:ascii="Garamond" w:hAnsi="Garamond" w:cs="Arial"/>
          <w:lang w:val="pt-PT"/>
        </w:rPr>
        <w:t>Assunto</w:t>
      </w:r>
      <w:r w:rsidR="000116D8" w:rsidRPr="003A1174">
        <w:rPr>
          <w:rFonts w:ascii="Garamond" w:hAnsi="Garamond" w:cs="Arial"/>
          <w:lang w:val="pt-PT"/>
        </w:rPr>
        <w:t xml:space="preserve">s de Género, </w:t>
      </w:r>
      <w:r w:rsidRPr="003A1174">
        <w:rPr>
          <w:rFonts w:ascii="Garamond" w:hAnsi="Garamond" w:cs="Arial"/>
          <w:lang w:val="pt-PT"/>
        </w:rPr>
        <w:t>conceb</w:t>
      </w:r>
      <w:r>
        <w:rPr>
          <w:rFonts w:ascii="Garamond" w:hAnsi="Garamond" w:cs="Arial"/>
          <w:lang w:val="pt-PT"/>
        </w:rPr>
        <w:t>eu</w:t>
      </w:r>
      <w:r w:rsidRPr="003A1174">
        <w:rPr>
          <w:rFonts w:ascii="Garamond" w:hAnsi="Garamond" w:cs="Arial"/>
          <w:lang w:val="pt-PT"/>
        </w:rPr>
        <w:t xml:space="preserve"> e implement</w:t>
      </w:r>
      <w:r>
        <w:rPr>
          <w:rFonts w:ascii="Garamond" w:hAnsi="Garamond" w:cs="Arial"/>
          <w:lang w:val="pt-PT"/>
        </w:rPr>
        <w:t>ou</w:t>
      </w:r>
      <w:r w:rsidRPr="003A1174">
        <w:rPr>
          <w:rFonts w:ascii="Garamond" w:hAnsi="Garamond" w:cs="Arial"/>
          <w:lang w:val="pt-PT"/>
        </w:rPr>
        <w:t xml:space="preserve"> </w:t>
      </w:r>
      <w:r w:rsidR="00606CEE" w:rsidRPr="003A1174">
        <w:rPr>
          <w:rFonts w:ascii="Garamond" w:hAnsi="Garamond" w:cs="Arial"/>
          <w:lang w:val="pt-PT"/>
        </w:rPr>
        <w:t xml:space="preserve">um </w:t>
      </w:r>
      <w:r w:rsidR="00C30647" w:rsidRPr="003A1174">
        <w:rPr>
          <w:rFonts w:ascii="Garamond" w:hAnsi="Garamond" w:cs="Arial"/>
          <w:lang w:val="pt-PT"/>
        </w:rPr>
        <w:t>projeto</w:t>
      </w:r>
      <w:r w:rsidR="000116D8" w:rsidRPr="003A1174">
        <w:rPr>
          <w:rFonts w:ascii="Garamond" w:hAnsi="Garamond" w:cs="Arial"/>
          <w:lang w:val="pt-PT"/>
        </w:rPr>
        <w:t xml:space="preserve"> denominado </w:t>
      </w:r>
      <w:r w:rsidR="00C30647" w:rsidRPr="00FA3FE2">
        <w:rPr>
          <w:rFonts w:ascii="Garamond" w:hAnsi="Garamond" w:cs="Arial"/>
          <w:i/>
          <w:lang w:val="pt-PT"/>
        </w:rPr>
        <w:t>Projeto</w:t>
      </w:r>
      <w:r w:rsidR="00606CEE" w:rsidRPr="00FA3FE2">
        <w:rPr>
          <w:rFonts w:ascii="Garamond" w:hAnsi="Garamond" w:cs="Arial"/>
          <w:i/>
          <w:lang w:val="pt-PT"/>
        </w:rPr>
        <w:t xml:space="preserve"> para </w:t>
      </w:r>
      <w:r w:rsidR="000116D8" w:rsidRPr="00FA3FE2">
        <w:rPr>
          <w:rFonts w:ascii="Garamond" w:hAnsi="Garamond" w:cs="Arial"/>
          <w:i/>
          <w:lang w:val="pt-PT"/>
        </w:rPr>
        <w:t xml:space="preserve">a </w:t>
      </w:r>
      <w:r w:rsidR="00606CEE" w:rsidRPr="00FA3FE2">
        <w:rPr>
          <w:rFonts w:ascii="Garamond" w:hAnsi="Garamond" w:cs="Arial"/>
          <w:i/>
          <w:lang w:val="pt-PT"/>
        </w:rPr>
        <w:t>Adequação</w:t>
      </w:r>
      <w:r w:rsidR="000116D8" w:rsidRPr="00FA3FE2">
        <w:rPr>
          <w:rFonts w:ascii="Garamond" w:hAnsi="Garamond" w:cs="Arial"/>
          <w:i/>
          <w:lang w:val="pt-PT"/>
        </w:rPr>
        <w:t xml:space="preserve"> Institucional para </w:t>
      </w:r>
      <w:r w:rsidR="00606CEE" w:rsidRPr="00FA3FE2">
        <w:rPr>
          <w:rFonts w:ascii="Garamond" w:hAnsi="Garamond" w:cs="Arial"/>
          <w:i/>
          <w:lang w:val="pt-PT"/>
        </w:rPr>
        <w:t xml:space="preserve">o </w:t>
      </w:r>
      <w:r w:rsidR="00886D6A" w:rsidRPr="00FA3FE2">
        <w:rPr>
          <w:rFonts w:ascii="Garamond" w:hAnsi="Garamond" w:cs="Arial"/>
          <w:i/>
          <w:lang w:val="pt-PT"/>
        </w:rPr>
        <w:t>Acesso</w:t>
      </w:r>
      <w:r w:rsidR="000116D8" w:rsidRPr="00FA3FE2">
        <w:rPr>
          <w:rFonts w:ascii="Garamond" w:hAnsi="Garamond" w:cs="Arial"/>
          <w:i/>
          <w:lang w:val="pt-PT"/>
        </w:rPr>
        <w:t xml:space="preserve"> </w:t>
      </w:r>
      <w:r w:rsidR="00606CEE" w:rsidRPr="00FA3FE2">
        <w:rPr>
          <w:rFonts w:ascii="Garamond" w:hAnsi="Garamond" w:cs="Arial"/>
          <w:i/>
          <w:lang w:val="pt-PT"/>
        </w:rPr>
        <w:t xml:space="preserve">à </w:t>
      </w:r>
      <w:r w:rsidR="00FC1F7F" w:rsidRPr="00FA3FE2">
        <w:rPr>
          <w:rFonts w:ascii="Garamond" w:hAnsi="Garamond" w:cs="Arial"/>
          <w:i/>
          <w:lang w:val="pt-PT"/>
        </w:rPr>
        <w:t>Justiça</w:t>
      </w:r>
      <w:r w:rsidR="000116D8" w:rsidRPr="00FA3FE2">
        <w:rPr>
          <w:rFonts w:ascii="Garamond" w:hAnsi="Garamond" w:cs="Arial"/>
          <w:i/>
          <w:lang w:val="pt-PT"/>
        </w:rPr>
        <w:t xml:space="preserve"> </w:t>
      </w:r>
      <w:r w:rsidR="00497503" w:rsidRPr="00FA3FE2">
        <w:rPr>
          <w:rFonts w:ascii="Garamond" w:hAnsi="Garamond" w:cs="Arial"/>
          <w:i/>
          <w:lang w:val="pt-PT"/>
        </w:rPr>
        <w:t>das</w:t>
      </w:r>
      <w:r w:rsidR="000116D8" w:rsidRPr="00FA3FE2">
        <w:rPr>
          <w:rFonts w:ascii="Garamond" w:hAnsi="Garamond" w:cs="Arial"/>
          <w:i/>
          <w:lang w:val="pt-PT"/>
        </w:rPr>
        <w:t xml:space="preserve"> </w:t>
      </w:r>
      <w:r w:rsidR="00054EE0" w:rsidRPr="00FA3FE2">
        <w:rPr>
          <w:rFonts w:ascii="Garamond" w:hAnsi="Garamond" w:cs="Arial"/>
          <w:i/>
          <w:lang w:val="pt-PT"/>
        </w:rPr>
        <w:t>Mulheres</w:t>
      </w:r>
      <w:r w:rsidR="000116D8" w:rsidRPr="00FA3FE2">
        <w:rPr>
          <w:rFonts w:ascii="Garamond" w:hAnsi="Garamond" w:cs="Arial"/>
          <w:i/>
          <w:lang w:val="pt-PT"/>
        </w:rPr>
        <w:t xml:space="preserve"> </w:t>
      </w:r>
      <w:r w:rsidR="003F012B" w:rsidRPr="00FA3FE2">
        <w:rPr>
          <w:rFonts w:ascii="Garamond" w:hAnsi="Garamond" w:cs="Arial"/>
          <w:i/>
          <w:lang w:val="pt-PT"/>
        </w:rPr>
        <w:t>Vítima</w:t>
      </w:r>
      <w:r w:rsidR="000116D8" w:rsidRPr="00FA3FE2">
        <w:rPr>
          <w:rFonts w:ascii="Garamond" w:hAnsi="Garamond" w:cs="Arial"/>
          <w:i/>
          <w:lang w:val="pt-PT"/>
        </w:rPr>
        <w:t>s</w:t>
      </w:r>
      <w:r w:rsidR="000116D8" w:rsidRPr="003A1174">
        <w:rPr>
          <w:rFonts w:ascii="Garamond" w:hAnsi="Garamond" w:cs="Arial"/>
          <w:lang w:val="pt-PT"/>
        </w:rPr>
        <w:t>,</w:t>
      </w:r>
      <w:r w:rsidR="00AB3185" w:rsidRPr="003A1174">
        <w:rPr>
          <w:rFonts w:ascii="Garamond" w:hAnsi="Garamond" w:cs="Arial"/>
          <w:lang w:val="pt-PT"/>
        </w:rPr>
        <w:t xml:space="preserve"> </w:t>
      </w:r>
      <w:r w:rsidR="000116D8" w:rsidRPr="003A1174">
        <w:rPr>
          <w:rFonts w:ascii="Garamond" w:hAnsi="Garamond" w:cs="Arial"/>
          <w:lang w:val="pt-PT"/>
        </w:rPr>
        <w:t>co</w:t>
      </w:r>
      <w:r w:rsidR="00606CEE" w:rsidRPr="003A1174">
        <w:rPr>
          <w:rFonts w:ascii="Garamond" w:hAnsi="Garamond" w:cs="Arial"/>
          <w:lang w:val="pt-PT"/>
        </w:rPr>
        <w:t>m o</w:t>
      </w:r>
      <w:r w:rsidR="000116D8" w:rsidRPr="003A1174">
        <w:rPr>
          <w:rFonts w:ascii="Garamond" w:hAnsi="Garamond" w:cs="Arial"/>
          <w:lang w:val="pt-PT"/>
        </w:rPr>
        <w:t xml:space="preserve"> </w:t>
      </w:r>
      <w:r w:rsidR="00606CEE" w:rsidRPr="003A1174">
        <w:rPr>
          <w:rFonts w:ascii="Garamond" w:hAnsi="Garamond" w:cs="Arial"/>
          <w:lang w:val="pt-PT"/>
        </w:rPr>
        <w:t>financiamento d</w:t>
      </w:r>
      <w:r w:rsidR="000116D8" w:rsidRPr="003A1174">
        <w:rPr>
          <w:rFonts w:ascii="Garamond" w:hAnsi="Garamond" w:cs="Arial"/>
          <w:lang w:val="pt-PT"/>
        </w:rPr>
        <w:t xml:space="preserve">a </w:t>
      </w:r>
      <w:r w:rsidR="00606CEE" w:rsidRPr="003A1174">
        <w:rPr>
          <w:rFonts w:ascii="Garamond" w:hAnsi="Garamond" w:cs="Arial"/>
          <w:lang w:val="pt-PT"/>
        </w:rPr>
        <w:t>Embaixada</w:t>
      </w:r>
      <w:r w:rsidR="000116D8" w:rsidRPr="003A1174">
        <w:rPr>
          <w:rFonts w:ascii="Garamond" w:hAnsi="Garamond" w:cs="Arial"/>
          <w:lang w:val="pt-PT"/>
        </w:rPr>
        <w:t xml:space="preserve"> </w:t>
      </w:r>
      <w:r w:rsidR="008A3DA2" w:rsidRPr="003A1174">
        <w:rPr>
          <w:rFonts w:ascii="Garamond" w:hAnsi="Garamond" w:cs="Arial"/>
          <w:lang w:val="pt-PT"/>
        </w:rPr>
        <w:t>do</w:t>
      </w:r>
      <w:r w:rsidR="000116D8" w:rsidRPr="003A1174">
        <w:rPr>
          <w:rFonts w:ascii="Garamond" w:hAnsi="Garamond" w:cs="Arial"/>
          <w:lang w:val="pt-PT"/>
        </w:rPr>
        <w:t xml:space="preserve"> Reino </w:t>
      </w:r>
      <w:r w:rsidR="00497503" w:rsidRPr="003A1174">
        <w:rPr>
          <w:rFonts w:ascii="Garamond" w:hAnsi="Garamond" w:cs="Arial"/>
          <w:lang w:val="pt-PT"/>
        </w:rPr>
        <w:t>dos</w:t>
      </w:r>
      <w:r w:rsidR="000116D8" w:rsidRPr="003A1174">
        <w:rPr>
          <w:rFonts w:ascii="Garamond" w:hAnsi="Garamond" w:cs="Arial"/>
          <w:lang w:val="pt-PT"/>
        </w:rPr>
        <w:t xml:space="preserve"> Países </w:t>
      </w:r>
      <w:r w:rsidR="00606CEE" w:rsidRPr="003A1174">
        <w:rPr>
          <w:rFonts w:ascii="Garamond" w:hAnsi="Garamond" w:cs="Arial"/>
          <w:lang w:val="pt-PT"/>
        </w:rPr>
        <w:t>Baixos</w:t>
      </w:r>
      <w:r w:rsidR="000116D8" w:rsidRPr="003A1174">
        <w:rPr>
          <w:rFonts w:ascii="Garamond" w:hAnsi="Garamond" w:cs="Arial"/>
          <w:lang w:val="pt-PT"/>
        </w:rPr>
        <w:t xml:space="preserve"> (Holanda), </w:t>
      </w:r>
      <w:r>
        <w:rPr>
          <w:rFonts w:ascii="Garamond" w:hAnsi="Garamond" w:cs="Arial"/>
          <w:lang w:val="pt-PT"/>
        </w:rPr>
        <w:t xml:space="preserve">cujo </w:t>
      </w:r>
      <w:r w:rsidR="00161126">
        <w:rPr>
          <w:rFonts w:ascii="Garamond" w:hAnsi="Garamond" w:cs="Arial"/>
          <w:lang w:val="pt-PT"/>
        </w:rPr>
        <w:t>o</w:t>
      </w:r>
      <w:r>
        <w:rPr>
          <w:rFonts w:ascii="Garamond" w:hAnsi="Garamond" w:cs="Arial"/>
          <w:lang w:val="pt-PT"/>
        </w:rPr>
        <w:t xml:space="preserve">bjetivo é o de </w:t>
      </w:r>
      <w:r w:rsidR="000116D8" w:rsidRPr="003A1174">
        <w:rPr>
          <w:rFonts w:ascii="Garamond" w:hAnsi="Garamond" w:cs="Arial"/>
          <w:lang w:val="pt-PT"/>
        </w:rPr>
        <w:t>r</w:t>
      </w:r>
      <w:r w:rsidR="002D1021" w:rsidRPr="003A1174">
        <w:rPr>
          <w:rFonts w:ascii="Garamond" w:hAnsi="Garamond" w:cs="Arial"/>
          <w:lang w:val="pt-PT"/>
        </w:rPr>
        <w:t>estabelec</w:t>
      </w:r>
      <w:r>
        <w:rPr>
          <w:rFonts w:ascii="Garamond" w:hAnsi="Garamond" w:cs="Arial"/>
          <w:lang w:val="pt-PT"/>
        </w:rPr>
        <w:t>er</w:t>
      </w:r>
      <w:r w:rsidR="00161126">
        <w:rPr>
          <w:rFonts w:ascii="Garamond" w:hAnsi="Garamond" w:cs="Arial"/>
          <w:lang w:val="pt-PT"/>
        </w:rPr>
        <w:t xml:space="preserve"> </w:t>
      </w:r>
      <w:r w:rsidR="00497503" w:rsidRPr="003A1174">
        <w:rPr>
          <w:rFonts w:ascii="Garamond" w:hAnsi="Garamond" w:cs="Arial"/>
          <w:lang w:val="pt-PT"/>
        </w:rPr>
        <w:t>os</w:t>
      </w:r>
      <w:r w:rsidR="000116D8" w:rsidRPr="003A1174">
        <w:rPr>
          <w:rFonts w:ascii="Garamond" w:hAnsi="Garamond" w:cs="Arial"/>
          <w:lang w:val="pt-PT"/>
        </w:rPr>
        <w:t xml:space="preserve"> </w:t>
      </w:r>
      <w:r w:rsidR="00886D6A" w:rsidRPr="003A1174">
        <w:rPr>
          <w:rFonts w:ascii="Garamond" w:hAnsi="Garamond" w:cs="Arial"/>
          <w:lang w:val="pt-PT"/>
        </w:rPr>
        <w:t>Direito</w:t>
      </w:r>
      <w:r w:rsidR="000116D8" w:rsidRPr="003A1174">
        <w:rPr>
          <w:rFonts w:ascii="Garamond" w:hAnsi="Garamond" w:cs="Arial"/>
          <w:lang w:val="pt-PT"/>
        </w:rPr>
        <w:t xml:space="preserve">s </w:t>
      </w:r>
      <w:r w:rsidR="00497503" w:rsidRPr="003A1174">
        <w:rPr>
          <w:rFonts w:ascii="Garamond" w:hAnsi="Garamond" w:cs="Arial"/>
          <w:lang w:val="pt-PT"/>
        </w:rPr>
        <w:t>das</w:t>
      </w:r>
      <w:r w:rsidR="000116D8" w:rsidRPr="003A1174">
        <w:rPr>
          <w:rFonts w:ascii="Garamond" w:hAnsi="Garamond" w:cs="Arial"/>
          <w:lang w:val="pt-PT"/>
        </w:rPr>
        <w:t xml:space="preserve"> </w:t>
      </w:r>
      <w:r w:rsidR="00054EE0" w:rsidRPr="003A1174">
        <w:rPr>
          <w:rFonts w:ascii="Garamond" w:hAnsi="Garamond" w:cs="Arial"/>
          <w:lang w:val="pt-PT"/>
        </w:rPr>
        <w:t>Mulheres</w:t>
      </w:r>
      <w:r w:rsidR="000116D8" w:rsidRPr="003A1174">
        <w:rPr>
          <w:rFonts w:ascii="Garamond" w:hAnsi="Garamond" w:cs="Arial"/>
          <w:lang w:val="pt-PT"/>
        </w:rPr>
        <w:t xml:space="preserve">, </w:t>
      </w:r>
      <w:r>
        <w:rPr>
          <w:rFonts w:ascii="Garamond" w:hAnsi="Garamond" w:cs="Arial"/>
          <w:lang w:val="pt-PT"/>
        </w:rPr>
        <w:t>C</w:t>
      </w:r>
      <w:r w:rsidR="00606CEE" w:rsidRPr="003A1174">
        <w:rPr>
          <w:rFonts w:ascii="Garamond" w:hAnsi="Garamond" w:cs="Arial"/>
          <w:lang w:val="pt-PT"/>
        </w:rPr>
        <w:t xml:space="preserve">rianças </w:t>
      </w:r>
      <w:r w:rsidR="00497503" w:rsidRPr="003A1174">
        <w:rPr>
          <w:rFonts w:ascii="Garamond" w:hAnsi="Garamond" w:cs="Arial"/>
          <w:lang w:val="pt-PT"/>
        </w:rPr>
        <w:t>e</w:t>
      </w:r>
      <w:r w:rsidR="000116D8" w:rsidRPr="003A1174">
        <w:rPr>
          <w:rFonts w:ascii="Garamond" w:hAnsi="Garamond" w:cs="Arial"/>
          <w:lang w:val="pt-PT"/>
        </w:rPr>
        <w:t xml:space="preserve"> </w:t>
      </w:r>
      <w:r>
        <w:rPr>
          <w:rFonts w:ascii="Garamond" w:hAnsi="Garamond" w:cs="Arial"/>
          <w:lang w:val="pt-PT"/>
        </w:rPr>
        <w:t>A</w:t>
      </w:r>
      <w:r w:rsidR="000116D8" w:rsidRPr="003A1174">
        <w:rPr>
          <w:rFonts w:ascii="Garamond" w:hAnsi="Garamond" w:cs="Arial"/>
          <w:lang w:val="pt-PT"/>
        </w:rPr>
        <w:t xml:space="preserve">dolescentes </w:t>
      </w:r>
      <w:r w:rsidR="003F012B" w:rsidRPr="003A1174">
        <w:rPr>
          <w:rFonts w:ascii="Garamond" w:hAnsi="Garamond" w:cs="Arial"/>
          <w:lang w:val="pt-PT"/>
        </w:rPr>
        <w:t>vítima</w:t>
      </w:r>
      <w:r w:rsidR="000116D8" w:rsidRPr="003A1174">
        <w:rPr>
          <w:rFonts w:ascii="Garamond" w:hAnsi="Garamond" w:cs="Arial"/>
          <w:lang w:val="pt-PT"/>
        </w:rPr>
        <w:t xml:space="preserve">s de diferentes tipos de </w:t>
      </w:r>
      <w:r w:rsidR="000350B1" w:rsidRPr="003A1174">
        <w:rPr>
          <w:rFonts w:ascii="Garamond" w:hAnsi="Garamond" w:cs="Arial"/>
          <w:lang w:val="pt-PT"/>
        </w:rPr>
        <w:t>violência</w:t>
      </w:r>
      <w:r w:rsidR="00AB3185" w:rsidRPr="003A1174">
        <w:rPr>
          <w:rFonts w:ascii="Garamond" w:hAnsi="Garamond" w:cs="Arial"/>
          <w:lang w:val="pt-PT"/>
        </w:rPr>
        <w:t>,</w:t>
      </w:r>
      <w:r w:rsidR="000116D8" w:rsidRPr="003A1174">
        <w:rPr>
          <w:rFonts w:ascii="Garamond" w:hAnsi="Garamond" w:cs="Arial"/>
          <w:lang w:val="pt-PT"/>
        </w:rPr>
        <w:t xml:space="preserve"> </w:t>
      </w:r>
      <w:r w:rsidR="00606CEE" w:rsidRPr="003A1174">
        <w:rPr>
          <w:rFonts w:ascii="Garamond" w:hAnsi="Garamond" w:cs="Arial"/>
          <w:lang w:val="pt-PT"/>
        </w:rPr>
        <w:t xml:space="preserve">dando </w:t>
      </w:r>
      <w:r w:rsidR="00FA3FE2">
        <w:rPr>
          <w:rFonts w:ascii="Garamond" w:hAnsi="Garamond" w:cs="Arial"/>
          <w:lang w:val="pt-PT"/>
        </w:rPr>
        <w:t xml:space="preserve">relevância </w:t>
      </w:r>
      <w:r w:rsidR="00964875" w:rsidRPr="003A1174">
        <w:rPr>
          <w:rFonts w:ascii="Garamond" w:hAnsi="Garamond" w:cs="Arial"/>
          <w:lang w:val="pt-PT"/>
        </w:rPr>
        <w:t xml:space="preserve">à </w:t>
      </w:r>
      <w:r w:rsidR="000350B1" w:rsidRPr="003A1174">
        <w:rPr>
          <w:rFonts w:ascii="Garamond" w:hAnsi="Garamond" w:cs="Arial"/>
          <w:lang w:val="pt-PT"/>
        </w:rPr>
        <w:t>violência</w:t>
      </w:r>
      <w:r w:rsidR="000116D8" w:rsidRPr="003A1174">
        <w:rPr>
          <w:rFonts w:ascii="Garamond" w:hAnsi="Garamond" w:cs="Arial"/>
          <w:lang w:val="pt-PT"/>
        </w:rPr>
        <w:t xml:space="preserve"> sexual, </w:t>
      </w:r>
      <w:r w:rsidR="00964875" w:rsidRPr="003A1174">
        <w:rPr>
          <w:rFonts w:ascii="Garamond" w:hAnsi="Garamond" w:cs="Arial"/>
          <w:lang w:val="pt-PT"/>
        </w:rPr>
        <w:t xml:space="preserve">para que </w:t>
      </w:r>
      <w:r w:rsidR="00FA3FE2">
        <w:rPr>
          <w:rFonts w:ascii="Garamond" w:hAnsi="Garamond" w:cs="Arial"/>
          <w:lang w:val="pt-PT"/>
        </w:rPr>
        <w:t xml:space="preserve">este projeto viabilize às vítimas </w:t>
      </w:r>
      <w:r w:rsidR="00964875" w:rsidRPr="003A1174">
        <w:rPr>
          <w:rFonts w:ascii="Garamond" w:hAnsi="Garamond" w:cs="Arial"/>
          <w:lang w:val="pt-PT"/>
        </w:rPr>
        <w:t xml:space="preserve">o </w:t>
      </w:r>
      <w:r w:rsidR="000116D8" w:rsidRPr="003A1174">
        <w:rPr>
          <w:rFonts w:ascii="Garamond" w:hAnsi="Garamond" w:cs="Arial"/>
          <w:lang w:val="pt-PT"/>
        </w:rPr>
        <w:t>s</w:t>
      </w:r>
      <w:r w:rsidR="00964875" w:rsidRPr="003A1174">
        <w:rPr>
          <w:rFonts w:ascii="Garamond" w:hAnsi="Garamond" w:cs="Arial"/>
          <w:lang w:val="pt-PT"/>
        </w:rPr>
        <w:t>e</w:t>
      </w:r>
      <w:r w:rsidR="000116D8" w:rsidRPr="003A1174">
        <w:rPr>
          <w:rFonts w:ascii="Garamond" w:hAnsi="Garamond" w:cs="Arial"/>
          <w:lang w:val="pt-PT"/>
        </w:rPr>
        <w:t xml:space="preserve">u </w:t>
      </w:r>
      <w:r w:rsidR="00886D6A" w:rsidRPr="003A1174">
        <w:rPr>
          <w:rFonts w:ascii="Garamond" w:hAnsi="Garamond" w:cs="Arial"/>
          <w:lang w:val="pt-PT"/>
        </w:rPr>
        <w:t>acesso</w:t>
      </w:r>
      <w:r w:rsidR="000116D8" w:rsidRPr="003A1174">
        <w:rPr>
          <w:rFonts w:ascii="Garamond" w:hAnsi="Garamond" w:cs="Arial"/>
          <w:lang w:val="pt-PT"/>
        </w:rPr>
        <w:t xml:space="preserve"> </w:t>
      </w:r>
      <w:r w:rsidR="00964875" w:rsidRPr="003A1174">
        <w:rPr>
          <w:rFonts w:ascii="Garamond" w:hAnsi="Garamond" w:cs="Arial"/>
          <w:lang w:val="pt-PT"/>
        </w:rPr>
        <w:t xml:space="preserve">à </w:t>
      </w:r>
      <w:r w:rsidR="00FC1F7F" w:rsidRPr="003A1174">
        <w:rPr>
          <w:rFonts w:ascii="Garamond" w:hAnsi="Garamond" w:cs="Arial"/>
          <w:lang w:val="pt-PT"/>
        </w:rPr>
        <w:t>Justiça</w:t>
      </w:r>
      <w:r w:rsidR="000116D8" w:rsidRPr="003A1174">
        <w:rPr>
          <w:rFonts w:ascii="Garamond" w:hAnsi="Garamond" w:cs="Arial"/>
          <w:lang w:val="pt-PT"/>
        </w:rPr>
        <w:t xml:space="preserve">. </w:t>
      </w:r>
    </w:p>
    <w:p w:rsidR="003E2511" w:rsidRDefault="00964875" w:rsidP="008719D4">
      <w:pPr>
        <w:pStyle w:val="NormalWeb"/>
        <w:spacing w:before="240" w:beforeAutospacing="0"/>
        <w:jc w:val="both"/>
        <w:rPr>
          <w:rFonts w:ascii="Garamond" w:hAnsi="Garamond" w:cs="Arial"/>
          <w:lang w:val="pt-PT"/>
        </w:rPr>
      </w:pPr>
      <w:r w:rsidRPr="003A1174">
        <w:rPr>
          <w:rFonts w:ascii="Garamond" w:hAnsi="Garamond" w:cs="Arial"/>
          <w:lang w:val="pt-PT"/>
        </w:rPr>
        <w:t xml:space="preserve">O </w:t>
      </w:r>
      <w:r w:rsidR="000116D8" w:rsidRPr="003A1174">
        <w:rPr>
          <w:rFonts w:ascii="Garamond" w:hAnsi="Garamond" w:cs="Arial"/>
          <w:lang w:val="pt-PT"/>
        </w:rPr>
        <w:t xml:space="preserve">objetivo </w:t>
      </w:r>
      <w:r w:rsidR="008A3DA2" w:rsidRPr="003A1174">
        <w:rPr>
          <w:rFonts w:ascii="Garamond" w:hAnsi="Garamond" w:cs="Arial"/>
          <w:lang w:val="pt-PT"/>
        </w:rPr>
        <w:t>do</w:t>
      </w:r>
      <w:r w:rsidR="000116D8" w:rsidRPr="003A1174">
        <w:rPr>
          <w:rFonts w:ascii="Garamond" w:hAnsi="Garamond" w:cs="Arial"/>
          <w:lang w:val="pt-PT"/>
        </w:rPr>
        <w:t xml:space="preserve"> </w:t>
      </w:r>
      <w:r w:rsidR="00C30647" w:rsidRPr="003A1174">
        <w:rPr>
          <w:rFonts w:ascii="Garamond" w:hAnsi="Garamond" w:cs="Arial"/>
          <w:lang w:val="pt-PT"/>
        </w:rPr>
        <w:t>Projeto</w:t>
      </w:r>
      <w:r w:rsidR="000116D8" w:rsidRPr="003A1174">
        <w:rPr>
          <w:rFonts w:ascii="Garamond" w:hAnsi="Garamond" w:cs="Arial"/>
          <w:lang w:val="pt-PT"/>
        </w:rPr>
        <w:t xml:space="preserve"> </w:t>
      </w:r>
      <w:r w:rsidRPr="003A1174">
        <w:rPr>
          <w:rFonts w:ascii="Garamond" w:hAnsi="Garamond" w:cs="Arial"/>
          <w:lang w:val="pt-PT"/>
        </w:rPr>
        <w:t xml:space="preserve">é </w:t>
      </w:r>
    </w:p>
    <w:p w:rsidR="000116D8" w:rsidRPr="003E2511" w:rsidRDefault="00161126" w:rsidP="003E2511">
      <w:pPr>
        <w:pStyle w:val="NormalWeb"/>
        <w:spacing w:before="240" w:beforeAutospacing="0"/>
        <w:ind w:left="567"/>
        <w:jc w:val="both"/>
        <w:rPr>
          <w:rFonts w:ascii="Garamond" w:hAnsi="Garamond" w:cs="Arial"/>
          <w:sz w:val="22"/>
          <w:szCs w:val="22"/>
          <w:lang w:val="pt-PT"/>
        </w:rPr>
      </w:pPr>
      <w:r w:rsidRPr="003E2511">
        <w:rPr>
          <w:rFonts w:ascii="Garamond" w:hAnsi="Garamond" w:cs="Arial"/>
          <w:sz w:val="22"/>
          <w:szCs w:val="22"/>
          <w:lang w:val="pt-PT"/>
        </w:rPr>
        <w:t>«</w:t>
      </w:r>
      <w:r w:rsidR="00964875" w:rsidRPr="003E2511">
        <w:rPr>
          <w:rFonts w:ascii="Garamond" w:hAnsi="Garamond" w:cs="Arial"/>
          <w:sz w:val="22"/>
          <w:szCs w:val="22"/>
          <w:lang w:val="pt-PT"/>
        </w:rPr>
        <w:t>melhorar</w:t>
      </w:r>
      <w:r w:rsidRPr="003E2511">
        <w:rPr>
          <w:rFonts w:ascii="Garamond" w:hAnsi="Garamond" w:cs="Arial"/>
          <w:sz w:val="22"/>
          <w:szCs w:val="22"/>
          <w:lang w:val="pt-PT"/>
        </w:rPr>
        <w:t xml:space="preserve"> o acompanhamento</w:t>
      </w:r>
      <w:r w:rsidR="000116D8" w:rsidRPr="003E2511">
        <w:rPr>
          <w:rFonts w:ascii="Garamond" w:hAnsi="Garamond" w:cs="Arial"/>
          <w:sz w:val="22"/>
          <w:szCs w:val="22"/>
          <w:lang w:val="pt-PT"/>
        </w:rPr>
        <w:t xml:space="preserve">, </w:t>
      </w:r>
      <w:r w:rsidR="00964875" w:rsidRPr="003E2511">
        <w:rPr>
          <w:rFonts w:ascii="Garamond" w:hAnsi="Garamond" w:cs="Arial"/>
          <w:sz w:val="22"/>
          <w:szCs w:val="22"/>
          <w:lang w:val="pt-PT"/>
        </w:rPr>
        <w:t xml:space="preserve">o </w:t>
      </w:r>
      <w:r w:rsidR="00886D6A" w:rsidRPr="003E2511">
        <w:rPr>
          <w:rFonts w:ascii="Garamond" w:hAnsi="Garamond" w:cs="Arial"/>
          <w:sz w:val="22"/>
          <w:szCs w:val="22"/>
          <w:lang w:val="pt-PT"/>
        </w:rPr>
        <w:t>acesso</w:t>
      </w:r>
      <w:r w:rsidR="000116D8" w:rsidRPr="003E2511">
        <w:rPr>
          <w:rFonts w:ascii="Garamond" w:hAnsi="Garamond" w:cs="Arial"/>
          <w:sz w:val="22"/>
          <w:szCs w:val="22"/>
          <w:lang w:val="pt-PT"/>
        </w:rPr>
        <w:t xml:space="preserve"> </w:t>
      </w:r>
      <w:r w:rsidR="00964875" w:rsidRPr="003E2511">
        <w:rPr>
          <w:rFonts w:ascii="Garamond" w:hAnsi="Garamond" w:cs="Arial"/>
          <w:sz w:val="22"/>
          <w:szCs w:val="22"/>
          <w:lang w:val="pt-PT"/>
        </w:rPr>
        <w:t xml:space="preserve">à </w:t>
      </w:r>
      <w:r w:rsidR="00FC1F7F" w:rsidRPr="003E2511">
        <w:rPr>
          <w:rFonts w:ascii="Garamond" w:hAnsi="Garamond" w:cs="Arial"/>
          <w:sz w:val="22"/>
          <w:szCs w:val="22"/>
          <w:lang w:val="pt-PT"/>
        </w:rPr>
        <w:t>justiça</w:t>
      </w:r>
      <w:r w:rsidR="000116D8" w:rsidRPr="003E2511">
        <w:rPr>
          <w:rFonts w:ascii="Garamond" w:hAnsi="Garamond" w:cs="Arial"/>
          <w:sz w:val="22"/>
          <w:szCs w:val="22"/>
          <w:lang w:val="pt-PT"/>
        </w:rPr>
        <w:t xml:space="preserve"> </w:t>
      </w:r>
      <w:r w:rsidR="00497503" w:rsidRPr="003E2511">
        <w:rPr>
          <w:rFonts w:ascii="Garamond" w:hAnsi="Garamond" w:cs="Arial"/>
          <w:sz w:val="22"/>
          <w:szCs w:val="22"/>
          <w:lang w:val="pt-PT"/>
        </w:rPr>
        <w:t>e</w:t>
      </w:r>
      <w:r w:rsidR="000116D8" w:rsidRPr="003E2511">
        <w:rPr>
          <w:rFonts w:ascii="Garamond" w:hAnsi="Garamond" w:cs="Arial"/>
          <w:sz w:val="22"/>
          <w:szCs w:val="22"/>
          <w:lang w:val="pt-PT"/>
        </w:rPr>
        <w:t xml:space="preserve"> </w:t>
      </w:r>
      <w:r w:rsidR="00964875" w:rsidRPr="003E2511">
        <w:rPr>
          <w:rFonts w:ascii="Garamond" w:hAnsi="Garamond" w:cs="Arial"/>
          <w:sz w:val="22"/>
          <w:szCs w:val="22"/>
          <w:lang w:val="pt-PT"/>
        </w:rPr>
        <w:t xml:space="preserve">à </w:t>
      </w:r>
      <w:r w:rsidR="0017447A" w:rsidRPr="003E2511">
        <w:rPr>
          <w:rFonts w:ascii="Garamond" w:hAnsi="Garamond" w:cs="Arial"/>
          <w:sz w:val="22"/>
          <w:szCs w:val="22"/>
          <w:lang w:val="pt-PT"/>
        </w:rPr>
        <w:t>participação</w:t>
      </w:r>
      <w:r w:rsidR="000116D8" w:rsidRPr="003E2511">
        <w:rPr>
          <w:rFonts w:ascii="Garamond" w:hAnsi="Garamond" w:cs="Arial"/>
          <w:sz w:val="22"/>
          <w:szCs w:val="22"/>
          <w:lang w:val="pt-PT"/>
        </w:rPr>
        <w:t xml:space="preserve"> </w:t>
      </w:r>
      <w:r w:rsidR="00497503" w:rsidRPr="003E2511">
        <w:rPr>
          <w:rFonts w:ascii="Garamond" w:hAnsi="Garamond" w:cs="Arial"/>
          <w:sz w:val="22"/>
          <w:szCs w:val="22"/>
          <w:lang w:val="pt-PT"/>
        </w:rPr>
        <w:t>das</w:t>
      </w:r>
      <w:r w:rsidR="000116D8" w:rsidRPr="003E2511">
        <w:rPr>
          <w:rFonts w:ascii="Garamond" w:hAnsi="Garamond" w:cs="Arial"/>
          <w:sz w:val="22"/>
          <w:szCs w:val="22"/>
          <w:lang w:val="pt-PT"/>
        </w:rPr>
        <w:t xml:space="preserve"> </w:t>
      </w:r>
      <w:r w:rsidR="003F012B" w:rsidRPr="003E2511">
        <w:rPr>
          <w:rFonts w:ascii="Garamond" w:hAnsi="Garamond" w:cs="Arial"/>
          <w:sz w:val="22"/>
          <w:szCs w:val="22"/>
          <w:lang w:val="pt-PT"/>
        </w:rPr>
        <w:t>vítima</w:t>
      </w:r>
      <w:r w:rsidR="000116D8" w:rsidRPr="003E2511">
        <w:rPr>
          <w:rFonts w:ascii="Garamond" w:hAnsi="Garamond" w:cs="Arial"/>
          <w:sz w:val="22"/>
          <w:szCs w:val="22"/>
          <w:lang w:val="pt-PT"/>
        </w:rPr>
        <w:t xml:space="preserve">s de </w:t>
      </w:r>
      <w:r w:rsidR="000350B1" w:rsidRPr="003E2511">
        <w:rPr>
          <w:rFonts w:ascii="Garamond" w:hAnsi="Garamond" w:cs="Arial"/>
          <w:sz w:val="22"/>
          <w:szCs w:val="22"/>
          <w:lang w:val="pt-PT"/>
        </w:rPr>
        <w:t>violência</w:t>
      </w:r>
      <w:r w:rsidR="000116D8" w:rsidRPr="003E2511">
        <w:rPr>
          <w:rFonts w:ascii="Garamond" w:hAnsi="Garamond" w:cs="Arial"/>
          <w:sz w:val="22"/>
          <w:szCs w:val="22"/>
          <w:lang w:val="pt-PT"/>
        </w:rPr>
        <w:t xml:space="preserve"> sexual </w:t>
      </w:r>
      <w:r w:rsidR="00964875" w:rsidRPr="003E2511">
        <w:rPr>
          <w:rFonts w:ascii="Garamond" w:hAnsi="Garamond" w:cs="Arial"/>
          <w:sz w:val="22"/>
          <w:szCs w:val="22"/>
          <w:lang w:val="pt-PT"/>
        </w:rPr>
        <w:t xml:space="preserve">no </w:t>
      </w:r>
      <w:r w:rsidR="000116D8" w:rsidRPr="003E2511">
        <w:rPr>
          <w:rFonts w:ascii="Garamond" w:hAnsi="Garamond" w:cs="Arial"/>
          <w:sz w:val="22"/>
          <w:szCs w:val="22"/>
          <w:lang w:val="pt-PT"/>
        </w:rPr>
        <w:t xml:space="preserve">contexto </w:t>
      </w:r>
      <w:r w:rsidR="008A3DA2" w:rsidRPr="003E2511">
        <w:rPr>
          <w:rFonts w:ascii="Garamond" w:hAnsi="Garamond" w:cs="Arial"/>
          <w:sz w:val="22"/>
          <w:szCs w:val="22"/>
          <w:lang w:val="pt-PT"/>
        </w:rPr>
        <w:t>do</w:t>
      </w:r>
      <w:r w:rsidR="000116D8" w:rsidRPr="003E2511">
        <w:rPr>
          <w:rFonts w:ascii="Garamond" w:hAnsi="Garamond" w:cs="Arial"/>
          <w:sz w:val="22"/>
          <w:szCs w:val="22"/>
          <w:lang w:val="pt-PT"/>
        </w:rPr>
        <w:t xml:space="preserve"> </w:t>
      </w:r>
      <w:r w:rsidR="00D15AFF" w:rsidRPr="003E2511">
        <w:rPr>
          <w:rFonts w:ascii="Garamond" w:hAnsi="Garamond" w:cs="Arial"/>
          <w:sz w:val="22"/>
          <w:szCs w:val="22"/>
          <w:lang w:val="pt-PT"/>
        </w:rPr>
        <w:t>conflito</w:t>
      </w:r>
      <w:r w:rsidR="000116D8" w:rsidRPr="003E2511">
        <w:rPr>
          <w:rFonts w:ascii="Garamond" w:hAnsi="Garamond" w:cs="Arial"/>
          <w:sz w:val="22"/>
          <w:szCs w:val="22"/>
          <w:lang w:val="pt-PT"/>
        </w:rPr>
        <w:t xml:space="preserve"> armado, e</w:t>
      </w:r>
      <w:r w:rsidR="00964875" w:rsidRPr="003E2511">
        <w:rPr>
          <w:rFonts w:ascii="Garamond" w:hAnsi="Garamond" w:cs="Arial"/>
          <w:sz w:val="22"/>
          <w:szCs w:val="22"/>
          <w:lang w:val="pt-PT"/>
        </w:rPr>
        <w:t>m</w:t>
      </w:r>
      <w:r w:rsidR="000116D8" w:rsidRPr="003E2511">
        <w:rPr>
          <w:rFonts w:ascii="Garamond" w:hAnsi="Garamond" w:cs="Arial"/>
          <w:sz w:val="22"/>
          <w:szCs w:val="22"/>
          <w:lang w:val="pt-PT"/>
        </w:rPr>
        <w:t xml:space="preserve"> </w:t>
      </w:r>
      <w:r w:rsidR="003E2511" w:rsidRPr="003E2511">
        <w:rPr>
          <w:rFonts w:ascii="Garamond" w:hAnsi="Garamond" w:cs="Arial"/>
          <w:sz w:val="22"/>
          <w:szCs w:val="22"/>
          <w:lang w:val="pt-PT"/>
        </w:rPr>
        <w:t>conformidade com o estatuído nas</w:t>
      </w:r>
      <w:r w:rsidR="000116D8" w:rsidRPr="003E2511">
        <w:rPr>
          <w:rFonts w:ascii="Garamond" w:hAnsi="Garamond" w:cs="Arial"/>
          <w:sz w:val="22"/>
          <w:szCs w:val="22"/>
          <w:lang w:val="pt-PT"/>
        </w:rPr>
        <w:t xml:space="preserve"> </w:t>
      </w:r>
      <w:r w:rsidRPr="003E2511">
        <w:rPr>
          <w:rFonts w:ascii="Garamond" w:hAnsi="Garamond" w:cs="Arial"/>
          <w:sz w:val="22"/>
          <w:szCs w:val="22"/>
          <w:lang w:val="pt-PT"/>
        </w:rPr>
        <w:t>L</w:t>
      </w:r>
      <w:r w:rsidR="00F320F4" w:rsidRPr="003E2511">
        <w:rPr>
          <w:rFonts w:ascii="Garamond" w:hAnsi="Garamond" w:cs="Arial"/>
          <w:sz w:val="22"/>
          <w:szCs w:val="22"/>
          <w:lang w:val="pt-PT"/>
        </w:rPr>
        <w:t>eis</w:t>
      </w:r>
      <w:r w:rsidR="000116D8" w:rsidRPr="003E2511">
        <w:rPr>
          <w:rFonts w:ascii="Garamond" w:hAnsi="Garamond" w:cs="Arial"/>
          <w:sz w:val="22"/>
          <w:szCs w:val="22"/>
          <w:lang w:val="pt-PT"/>
        </w:rPr>
        <w:t xml:space="preserve"> 1257</w:t>
      </w:r>
      <w:r w:rsidRPr="003E2511">
        <w:rPr>
          <w:rFonts w:ascii="Garamond" w:hAnsi="Garamond" w:cs="Arial"/>
          <w:sz w:val="22"/>
          <w:szCs w:val="22"/>
          <w:lang w:val="pt-PT"/>
        </w:rPr>
        <w:t>,</w:t>
      </w:r>
      <w:r w:rsidR="000116D8" w:rsidRPr="003E2511">
        <w:rPr>
          <w:rFonts w:ascii="Garamond" w:hAnsi="Garamond" w:cs="Arial"/>
          <w:sz w:val="22"/>
          <w:szCs w:val="22"/>
          <w:lang w:val="pt-PT"/>
        </w:rPr>
        <w:t xml:space="preserve"> de 2008, 1098</w:t>
      </w:r>
      <w:r w:rsidRPr="003E2511">
        <w:rPr>
          <w:rFonts w:ascii="Garamond" w:hAnsi="Garamond" w:cs="Arial"/>
          <w:sz w:val="22"/>
          <w:szCs w:val="22"/>
          <w:lang w:val="pt-PT"/>
        </w:rPr>
        <w:t>,</w:t>
      </w:r>
      <w:r w:rsidR="000116D8" w:rsidRPr="003E2511">
        <w:rPr>
          <w:rFonts w:ascii="Garamond" w:hAnsi="Garamond" w:cs="Arial"/>
          <w:sz w:val="22"/>
          <w:szCs w:val="22"/>
          <w:lang w:val="pt-PT"/>
        </w:rPr>
        <w:t xml:space="preserve"> de 2006</w:t>
      </w:r>
      <w:r w:rsidRPr="003E2511">
        <w:rPr>
          <w:rFonts w:ascii="Garamond" w:hAnsi="Garamond" w:cs="Arial"/>
          <w:sz w:val="22"/>
          <w:szCs w:val="22"/>
          <w:lang w:val="pt-PT"/>
        </w:rPr>
        <w:t>,</w:t>
      </w:r>
      <w:r w:rsidR="000116D8" w:rsidRPr="003E2511">
        <w:rPr>
          <w:rFonts w:ascii="Garamond" w:hAnsi="Garamond" w:cs="Arial"/>
          <w:sz w:val="22"/>
          <w:szCs w:val="22"/>
          <w:lang w:val="pt-PT"/>
        </w:rPr>
        <w:t xml:space="preserve"> </w:t>
      </w:r>
      <w:r w:rsidR="00497503" w:rsidRPr="003E2511">
        <w:rPr>
          <w:rFonts w:ascii="Garamond" w:hAnsi="Garamond" w:cs="Arial"/>
          <w:sz w:val="22"/>
          <w:szCs w:val="22"/>
          <w:lang w:val="pt-PT"/>
        </w:rPr>
        <w:t>e</w:t>
      </w:r>
      <w:r w:rsidR="000116D8" w:rsidRPr="003E2511">
        <w:rPr>
          <w:rFonts w:ascii="Garamond" w:hAnsi="Garamond" w:cs="Arial"/>
          <w:sz w:val="22"/>
          <w:szCs w:val="22"/>
          <w:lang w:val="pt-PT"/>
        </w:rPr>
        <w:t xml:space="preserve"> 1448</w:t>
      </w:r>
      <w:r w:rsidRPr="003E2511">
        <w:rPr>
          <w:rFonts w:ascii="Garamond" w:hAnsi="Garamond" w:cs="Arial"/>
          <w:sz w:val="22"/>
          <w:szCs w:val="22"/>
          <w:lang w:val="pt-PT"/>
        </w:rPr>
        <w:t>,</w:t>
      </w:r>
      <w:r w:rsidR="000116D8" w:rsidRPr="003E2511">
        <w:rPr>
          <w:rFonts w:ascii="Garamond" w:hAnsi="Garamond" w:cs="Arial"/>
          <w:sz w:val="22"/>
          <w:szCs w:val="22"/>
          <w:lang w:val="pt-PT"/>
        </w:rPr>
        <w:t xml:space="preserve"> de 2011, </w:t>
      </w:r>
      <w:r w:rsidR="00497503" w:rsidRPr="003E2511">
        <w:rPr>
          <w:rFonts w:ascii="Garamond" w:hAnsi="Garamond" w:cs="Arial"/>
          <w:sz w:val="22"/>
          <w:szCs w:val="22"/>
          <w:lang w:val="pt-PT"/>
        </w:rPr>
        <w:t>e</w:t>
      </w:r>
      <w:r w:rsidR="000116D8" w:rsidRPr="003E2511">
        <w:rPr>
          <w:rFonts w:ascii="Garamond" w:hAnsi="Garamond" w:cs="Arial"/>
          <w:sz w:val="22"/>
          <w:szCs w:val="22"/>
          <w:lang w:val="pt-PT"/>
        </w:rPr>
        <w:t xml:space="preserve"> </w:t>
      </w:r>
      <w:r w:rsidR="003E2511" w:rsidRPr="003E2511">
        <w:rPr>
          <w:rFonts w:ascii="Garamond" w:hAnsi="Garamond" w:cs="Arial"/>
          <w:sz w:val="22"/>
          <w:szCs w:val="22"/>
          <w:lang w:val="pt-PT"/>
        </w:rPr>
        <w:t>de acordo</w:t>
      </w:r>
      <w:r w:rsidR="003E2511">
        <w:rPr>
          <w:rFonts w:ascii="Garamond" w:hAnsi="Garamond" w:cs="Arial"/>
          <w:sz w:val="22"/>
          <w:szCs w:val="22"/>
          <w:lang w:val="pt-PT"/>
        </w:rPr>
        <w:t xml:space="preserve"> </w:t>
      </w:r>
      <w:r w:rsidR="003E2511" w:rsidRPr="003E2511">
        <w:rPr>
          <w:rFonts w:ascii="Garamond" w:hAnsi="Garamond" w:cs="Arial"/>
          <w:sz w:val="22"/>
          <w:szCs w:val="22"/>
          <w:lang w:val="pt-PT"/>
        </w:rPr>
        <w:t xml:space="preserve">com </w:t>
      </w:r>
      <w:r w:rsidR="00964875" w:rsidRPr="003E2511">
        <w:rPr>
          <w:rFonts w:ascii="Garamond" w:hAnsi="Garamond" w:cs="Arial"/>
          <w:sz w:val="22"/>
          <w:szCs w:val="22"/>
          <w:lang w:val="pt-PT"/>
        </w:rPr>
        <w:t xml:space="preserve">o </w:t>
      </w:r>
      <w:r w:rsidR="00253B1D" w:rsidRPr="003E2511">
        <w:rPr>
          <w:rFonts w:ascii="Garamond" w:hAnsi="Garamond" w:cs="Arial"/>
          <w:sz w:val="22"/>
          <w:szCs w:val="22"/>
          <w:lang w:val="pt-PT"/>
        </w:rPr>
        <w:t>quadro</w:t>
      </w:r>
      <w:r w:rsidR="000116D8" w:rsidRPr="003E2511">
        <w:rPr>
          <w:rFonts w:ascii="Garamond" w:hAnsi="Garamond" w:cs="Arial"/>
          <w:sz w:val="22"/>
          <w:szCs w:val="22"/>
          <w:lang w:val="pt-PT"/>
        </w:rPr>
        <w:t xml:space="preserve"> </w:t>
      </w:r>
      <w:r w:rsidR="008A3DA2" w:rsidRPr="003E2511">
        <w:rPr>
          <w:rFonts w:ascii="Garamond" w:hAnsi="Garamond" w:cs="Arial"/>
          <w:sz w:val="22"/>
          <w:szCs w:val="22"/>
          <w:lang w:val="pt-PT"/>
        </w:rPr>
        <w:t>do</w:t>
      </w:r>
      <w:r w:rsidR="000116D8" w:rsidRPr="003E2511">
        <w:rPr>
          <w:rFonts w:ascii="Garamond" w:hAnsi="Garamond" w:cs="Arial"/>
          <w:sz w:val="22"/>
          <w:szCs w:val="22"/>
          <w:lang w:val="pt-PT"/>
        </w:rPr>
        <w:t xml:space="preserve"> </w:t>
      </w:r>
      <w:r w:rsidR="00886D6A" w:rsidRPr="003E2511">
        <w:rPr>
          <w:rFonts w:ascii="Garamond" w:hAnsi="Garamond" w:cs="Arial"/>
          <w:sz w:val="22"/>
          <w:szCs w:val="22"/>
          <w:lang w:val="pt-PT"/>
        </w:rPr>
        <w:t>Direito</w:t>
      </w:r>
      <w:r w:rsidR="000116D8" w:rsidRPr="003E2511">
        <w:rPr>
          <w:rFonts w:ascii="Garamond" w:hAnsi="Garamond" w:cs="Arial"/>
          <w:sz w:val="22"/>
          <w:szCs w:val="22"/>
          <w:lang w:val="pt-PT"/>
        </w:rPr>
        <w:t xml:space="preserve"> Internacional </w:t>
      </w:r>
      <w:r w:rsidR="00497503" w:rsidRPr="003E2511">
        <w:rPr>
          <w:rFonts w:ascii="Garamond" w:hAnsi="Garamond" w:cs="Arial"/>
          <w:sz w:val="22"/>
          <w:szCs w:val="22"/>
          <w:lang w:val="pt-PT"/>
        </w:rPr>
        <w:t>dos</w:t>
      </w:r>
      <w:r w:rsidR="000116D8" w:rsidRPr="003E2511">
        <w:rPr>
          <w:rFonts w:ascii="Garamond" w:hAnsi="Garamond" w:cs="Arial"/>
          <w:sz w:val="22"/>
          <w:szCs w:val="22"/>
          <w:lang w:val="pt-PT"/>
        </w:rPr>
        <w:t xml:space="preserve"> </w:t>
      </w:r>
      <w:r w:rsidR="00886D6A" w:rsidRPr="003E2511">
        <w:rPr>
          <w:rFonts w:ascii="Garamond" w:hAnsi="Garamond" w:cs="Arial"/>
          <w:sz w:val="22"/>
          <w:szCs w:val="22"/>
          <w:lang w:val="pt-PT"/>
        </w:rPr>
        <w:t>Direito</w:t>
      </w:r>
      <w:r w:rsidR="000116D8" w:rsidRPr="003E2511">
        <w:rPr>
          <w:rFonts w:ascii="Garamond" w:hAnsi="Garamond" w:cs="Arial"/>
          <w:sz w:val="22"/>
          <w:szCs w:val="22"/>
          <w:lang w:val="pt-PT"/>
        </w:rPr>
        <w:t>s Humanos e</w:t>
      </w:r>
      <w:r w:rsidR="00964875" w:rsidRPr="003E2511">
        <w:rPr>
          <w:rFonts w:ascii="Garamond" w:hAnsi="Garamond" w:cs="Arial"/>
          <w:sz w:val="22"/>
          <w:szCs w:val="22"/>
          <w:lang w:val="pt-PT"/>
        </w:rPr>
        <w:t>m</w:t>
      </w:r>
      <w:r w:rsidR="000116D8" w:rsidRPr="003E2511">
        <w:rPr>
          <w:rFonts w:ascii="Garamond" w:hAnsi="Garamond" w:cs="Arial"/>
          <w:sz w:val="22"/>
          <w:szCs w:val="22"/>
          <w:lang w:val="pt-PT"/>
        </w:rPr>
        <w:t xml:space="preserve"> </w:t>
      </w:r>
      <w:r w:rsidR="00EF645F" w:rsidRPr="003E2511">
        <w:rPr>
          <w:rFonts w:ascii="Garamond" w:hAnsi="Garamond" w:cs="Arial"/>
          <w:sz w:val="22"/>
          <w:szCs w:val="22"/>
          <w:lang w:val="pt-PT"/>
        </w:rPr>
        <w:t>matéria</w:t>
      </w:r>
      <w:r w:rsidR="000116D8" w:rsidRPr="003E2511">
        <w:rPr>
          <w:rFonts w:ascii="Garamond" w:hAnsi="Garamond" w:cs="Arial"/>
          <w:sz w:val="22"/>
          <w:szCs w:val="22"/>
          <w:lang w:val="pt-PT"/>
        </w:rPr>
        <w:t xml:space="preserve"> de </w:t>
      </w:r>
      <w:r w:rsidR="00964875" w:rsidRPr="003E2511">
        <w:rPr>
          <w:rFonts w:ascii="Garamond" w:hAnsi="Garamond" w:cs="Arial"/>
          <w:sz w:val="22"/>
          <w:szCs w:val="22"/>
          <w:lang w:val="pt-PT"/>
        </w:rPr>
        <w:t>superação d</w:t>
      </w:r>
      <w:r w:rsidR="000116D8" w:rsidRPr="003E2511">
        <w:rPr>
          <w:rFonts w:ascii="Garamond" w:hAnsi="Garamond" w:cs="Arial"/>
          <w:sz w:val="22"/>
          <w:szCs w:val="22"/>
          <w:lang w:val="pt-PT"/>
        </w:rPr>
        <w:t xml:space="preserve">a </w:t>
      </w:r>
      <w:r w:rsidR="00276DCA" w:rsidRPr="003E2511">
        <w:rPr>
          <w:rFonts w:ascii="Garamond" w:hAnsi="Garamond" w:cs="Arial"/>
          <w:sz w:val="22"/>
          <w:szCs w:val="22"/>
          <w:lang w:val="pt-PT"/>
        </w:rPr>
        <w:t>impunidade</w:t>
      </w:r>
      <w:r w:rsidR="000116D8" w:rsidRPr="003E2511">
        <w:rPr>
          <w:rFonts w:ascii="Garamond" w:hAnsi="Garamond" w:cs="Arial"/>
          <w:sz w:val="22"/>
          <w:szCs w:val="22"/>
          <w:lang w:val="pt-PT"/>
        </w:rPr>
        <w:t xml:space="preserve"> </w:t>
      </w:r>
      <w:r w:rsidR="00497503" w:rsidRPr="003E2511">
        <w:rPr>
          <w:rFonts w:ascii="Garamond" w:hAnsi="Garamond" w:cs="Arial"/>
          <w:sz w:val="22"/>
          <w:szCs w:val="22"/>
          <w:lang w:val="pt-PT"/>
        </w:rPr>
        <w:t>e</w:t>
      </w:r>
      <w:r w:rsidR="000116D8" w:rsidRPr="003E2511">
        <w:rPr>
          <w:rFonts w:ascii="Garamond" w:hAnsi="Garamond" w:cs="Arial"/>
          <w:sz w:val="22"/>
          <w:szCs w:val="22"/>
          <w:lang w:val="pt-PT"/>
        </w:rPr>
        <w:t xml:space="preserve"> d</w:t>
      </w:r>
      <w:r w:rsidR="00964875" w:rsidRPr="003E2511">
        <w:rPr>
          <w:rFonts w:ascii="Garamond" w:hAnsi="Garamond" w:cs="Arial"/>
          <w:sz w:val="22"/>
          <w:szCs w:val="22"/>
          <w:lang w:val="pt-PT"/>
        </w:rPr>
        <w:t>a</w:t>
      </w:r>
      <w:r w:rsidR="000116D8" w:rsidRPr="003E2511">
        <w:rPr>
          <w:rFonts w:ascii="Garamond" w:hAnsi="Garamond" w:cs="Arial"/>
          <w:sz w:val="22"/>
          <w:szCs w:val="22"/>
          <w:lang w:val="pt-PT"/>
        </w:rPr>
        <w:t xml:space="preserve"> </w:t>
      </w:r>
      <w:r w:rsidR="00CF4C35" w:rsidRPr="003E2511">
        <w:rPr>
          <w:rFonts w:ascii="Garamond" w:hAnsi="Garamond" w:cs="Arial"/>
          <w:sz w:val="22"/>
          <w:szCs w:val="22"/>
          <w:lang w:val="pt-PT"/>
        </w:rPr>
        <w:t>Diligência Devida</w:t>
      </w:r>
      <w:r w:rsidR="003E2511" w:rsidRPr="003E2511">
        <w:rPr>
          <w:rFonts w:ascii="Garamond" w:hAnsi="Garamond" w:cs="Arial"/>
          <w:sz w:val="22"/>
          <w:szCs w:val="22"/>
          <w:lang w:val="pt-PT"/>
        </w:rPr>
        <w:t>»</w:t>
      </w:r>
      <w:r w:rsidR="000116D8" w:rsidRPr="003E2511">
        <w:rPr>
          <w:rFonts w:ascii="Garamond" w:hAnsi="Garamond" w:cs="Arial"/>
          <w:sz w:val="22"/>
          <w:szCs w:val="22"/>
          <w:lang w:val="pt-PT"/>
        </w:rPr>
        <w:t>.</w:t>
      </w:r>
    </w:p>
    <w:p w:rsidR="000116D8" w:rsidRPr="003A1174" w:rsidRDefault="00964875" w:rsidP="008719D4">
      <w:pPr>
        <w:pStyle w:val="NormalWeb"/>
        <w:spacing w:before="240" w:beforeAutospacing="0"/>
        <w:jc w:val="both"/>
        <w:rPr>
          <w:rFonts w:ascii="Garamond" w:hAnsi="Garamond" w:cs="Arial"/>
          <w:lang w:val="pt-PT"/>
        </w:rPr>
      </w:pPr>
      <w:r w:rsidRPr="003A1174">
        <w:rPr>
          <w:rFonts w:ascii="Garamond" w:hAnsi="Garamond" w:cs="Arial"/>
          <w:lang w:val="pt-PT"/>
        </w:rPr>
        <w:t xml:space="preserve">O </w:t>
      </w:r>
      <w:r w:rsidR="00C30647" w:rsidRPr="003A1174">
        <w:rPr>
          <w:rFonts w:ascii="Garamond" w:hAnsi="Garamond" w:cs="Arial"/>
          <w:lang w:val="pt-PT"/>
        </w:rPr>
        <w:t>Projeto</w:t>
      </w:r>
      <w:r w:rsidR="000116D8" w:rsidRPr="003A1174">
        <w:rPr>
          <w:rFonts w:ascii="Garamond" w:hAnsi="Garamond" w:cs="Arial"/>
          <w:lang w:val="pt-PT"/>
        </w:rPr>
        <w:t xml:space="preserve"> </w:t>
      </w:r>
      <w:r w:rsidRPr="003A1174">
        <w:rPr>
          <w:rFonts w:ascii="Garamond" w:hAnsi="Garamond" w:cs="Arial"/>
          <w:lang w:val="pt-PT"/>
        </w:rPr>
        <w:t xml:space="preserve">propõe </w:t>
      </w:r>
      <w:r w:rsidR="003E2511">
        <w:rPr>
          <w:rFonts w:ascii="Garamond" w:hAnsi="Garamond" w:cs="Arial"/>
          <w:lang w:val="pt-PT"/>
        </w:rPr>
        <w:t>três</w:t>
      </w:r>
      <w:r w:rsidR="000116D8" w:rsidRPr="003A1174">
        <w:rPr>
          <w:rFonts w:ascii="Garamond" w:hAnsi="Garamond" w:cs="Arial"/>
          <w:lang w:val="pt-PT"/>
        </w:rPr>
        <w:t xml:space="preserve"> </w:t>
      </w:r>
      <w:r w:rsidR="00A56F43" w:rsidRPr="003A1174">
        <w:rPr>
          <w:rFonts w:ascii="Garamond" w:hAnsi="Garamond" w:cs="Arial"/>
          <w:lang w:val="pt-PT"/>
        </w:rPr>
        <w:t>estratégia</w:t>
      </w:r>
      <w:r w:rsidR="000116D8" w:rsidRPr="003A1174">
        <w:rPr>
          <w:rFonts w:ascii="Garamond" w:hAnsi="Garamond" w:cs="Arial"/>
          <w:lang w:val="pt-PT"/>
        </w:rPr>
        <w:t xml:space="preserve">s de </w:t>
      </w:r>
      <w:r w:rsidR="0017447A" w:rsidRPr="003A1174">
        <w:rPr>
          <w:rFonts w:ascii="Garamond" w:hAnsi="Garamond" w:cs="Arial"/>
          <w:lang w:val="pt-PT"/>
        </w:rPr>
        <w:t>trabalho</w:t>
      </w:r>
      <w:r w:rsidR="003E2511">
        <w:rPr>
          <w:rFonts w:ascii="Garamond" w:hAnsi="Garamond" w:cs="Arial"/>
          <w:lang w:val="pt-PT"/>
        </w:rPr>
        <w:t>:</w:t>
      </w:r>
      <w:r w:rsidR="000116D8" w:rsidRPr="003A1174">
        <w:rPr>
          <w:rFonts w:ascii="Garamond" w:hAnsi="Garamond" w:cs="Arial"/>
          <w:lang w:val="pt-PT"/>
        </w:rPr>
        <w:t xml:space="preserve"> </w:t>
      </w:r>
      <w:r w:rsidR="003E2511">
        <w:rPr>
          <w:rFonts w:ascii="Garamond" w:hAnsi="Garamond" w:cs="Arial"/>
          <w:lang w:val="pt-PT"/>
        </w:rPr>
        <w:t>a</w:t>
      </w:r>
      <w:r w:rsidRPr="003A1174">
        <w:rPr>
          <w:rFonts w:ascii="Garamond" w:hAnsi="Garamond" w:cs="Arial"/>
          <w:lang w:val="pt-PT"/>
        </w:rPr>
        <w:t xml:space="preserve"> </w:t>
      </w:r>
      <w:r w:rsidR="004C1496" w:rsidRPr="003A1174">
        <w:rPr>
          <w:rFonts w:ascii="Garamond" w:hAnsi="Garamond" w:cs="Arial"/>
          <w:lang w:val="pt-PT"/>
        </w:rPr>
        <w:t>primeira</w:t>
      </w:r>
      <w:r w:rsidR="000116D8" w:rsidRPr="003A1174">
        <w:rPr>
          <w:rFonts w:ascii="Garamond" w:hAnsi="Garamond" w:cs="Arial"/>
          <w:lang w:val="pt-PT"/>
        </w:rPr>
        <w:t xml:space="preserve"> centrada </w:t>
      </w:r>
      <w:r w:rsidRPr="003A1174">
        <w:rPr>
          <w:rFonts w:ascii="Garamond" w:hAnsi="Garamond" w:cs="Arial"/>
          <w:lang w:val="pt-PT"/>
        </w:rPr>
        <w:t xml:space="preserve">no </w:t>
      </w:r>
      <w:r w:rsidR="00DC5DA7" w:rsidRPr="003A1174">
        <w:rPr>
          <w:rFonts w:ascii="Garamond" w:hAnsi="Garamond" w:cs="Arial"/>
          <w:lang w:val="pt-PT"/>
        </w:rPr>
        <w:t>fortalecimento</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w:t>
      </w:r>
      <w:r w:rsidR="00606CEE" w:rsidRPr="003A1174">
        <w:rPr>
          <w:rFonts w:ascii="Garamond" w:hAnsi="Garamond" w:cs="Arial"/>
          <w:lang w:val="pt-PT"/>
        </w:rPr>
        <w:t>adequação</w:t>
      </w:r>
      <w:r w:rsidR="000116D8" w:rsidRPr="003A1174">
        <w:rPr>
          <w:rFonts w:ascii="Garamond" w:hAnsi="Garamond" w:cs="Arial"/>
          <w:lang w:val="pt-PT"/>
        </w:rPr>
        <w:t xml:space="preserve"> institucional</w:t>
      </w:r>
      <w:r w:rsidR="00AB3185" w:rsidRPr="003A1174">
        <w:rPr>
          <w:rFonts w:ascii="Garamond" w:hAnsi="Garamond" w:cs="Arial"/>
          <w:lang w:val="pt-PT"/>
        </w:rPr>
        <w:t xml:space="preserve">, </w:t>
      </w:r>
      <w:r w:rsidRPr="003A1174">
        <w:rPr>
          <w:rFonts w:ascii="Garamond" w:hAnsi="Garamond" w:cs="Arial"/>
          <w:lang w:val="pt-PT"/>
        </w:rPr>
        <w:t>que inclui</w:t>
      </w:r>
      <w:r w:rsidR="000116D8" w:rsidRPr="003A1174">
        <w:rPr>
          <w:rFonts w:ascii="Garamond" w:hAnsi="Garamond" w:cs="Arial"/>
          <w:lang w:val="pt-PT"/>
        </w:rPr>
        <w:t xml:space="preserve"> </w:t>
      </w:r>
      <w:r w:rsidR="002C7510" w:rsidRPr="003A1174">
        <w:rPr>
          <w:rFonts w:ascii="Garamond" w:hAnsi="Garamond" w:cs="Arial"/>
          <w:lang w:val="pt-PT"/>
        </w:rPr>
        <w:t>ações</w:t>
      </w:r>
      <w:r w:rsidR="000116D8" w:rsidRPr="003A1174">
        <w:rPr>
          <w:rFonts w:ascii="Garamond" w:hAnsi="Garamond" w:cs="Arial"/>
          <w:lang w:val="pt-PT"/>
        </w:rPr>
        <w:t xml:space="preserve"> de </w:t>
      </w:r>
      <w:r w:rsidR="00454353" w:rsidRPr="003A1174">
        <w:rPr>
          <w:rFonts w:ascii="Garamond" w:hAnsi="Garamond" w:cs="Arial"/>
          <w:lang w:val="pt-PT"/>
        </w:rPr>
        <w:t>formação</w:t>
      </w:r>
      <w:r w:rsidRPr="003A1174">
        <w:rPr>
          <w:rFonts w:ascii="Garamond" w:hAnsi="Garamond" w:cs="Arial"/>
          <w:lang w:val="pt-PT"/>
        </w:rPr>
        <w:t xml:space="preserve"> para </w:t>
      </w:r>
      <w:r w:rsidR="000116D8" w:rsidRPr="003A1174">
        <w:rPr>
          <w:rFonts w:ascii="Garamond" w:hAnsi="Garamond" w:cs="Arial"/>
          <w:lang w:val="pt-PT"/>
        </w:rPr>
        <w:t xml:space="preserve">os </w:t>
      </w:r>
      <w:r w:rsidRPr="003A1174">
        <w:rPr>
          <w:rFonts w:ascii="Garamond" w:hAnsi="Garamond" w:cs="Arial"/>
          <w:lang w:val="pt-PT"/>
        </w:rPr>
        <w:t>funcionários (as) d</w:t>
      </w:r>
      <w:r w:rsidR="000116D8" w:rsidRPr="003A1174">
        <w:rPr>
          <w:rFonts w:ascii="Garamond" w:hAnsi="Garamond" w:cs="Arial"/>
          <w:lang w:val="pt-PT"/>
        </w:rPr>
        <w:t xml:space="preserve">a </w:t>
      </w:r>
      <w:r w:rsidR="00C04CA4" w:rsidRPr="003A1174">
        <w:rPr>
          <w:rFonts w:ascii="Garamond" w:hAnsi="Garamond" w:cs="Arial"/>
          <w:lang w:val="pt-PT"/>
        </w:rPr>
        <w:t>Provedoria de Justiça</w:t>
      </w:r>
      <w:r w:rsidR="000116D8" w:rsidRPr="003A1174">
        <w:rPr>
          <w:rFonts w:ascii="Garamond" w:hAnsi="Garamond" w:cs="Arial"/>
          <w:lang w:val="pt-PT"/>
        </w:rPr>
        <w:t xml:space="preserve">, </w:t>
      </w:r>
      <w:r w:rsidRPr="003A1174">
        <w:rPr>
          <w:rFonts w:ascii="Garamond" w:hAnsi="Garamond" w:cs="Arial"/>
          <w:lang w:val="pt-PT"/>
        </w:rPr>
        <w:t>qualificação</w:t>
      </w:r>
      <w:r w:rsidR="000116D8" w:rsidRPr="003A1174">
        <w:rPr>
          <w:rFonts w:ascii="Garamond" w:hAnsi="Garamond" w:cs="Arial"/>
          <w:lang w:val="pt-PT"/>
        </w:rPr>
        <w:t xml:space="preserve"> </w:t>
      </w:r>
      <w:r w:rsidR="008A3DA2" w:rsidRPr="003A1174">
        <w:rPr>
          <w:rFonts w:ascii="Garamond" w:hAnsi="Garamond" w:cs="Arial"/>
          <w:lang w:val="pt-PT"/>
        </w:rPr>
        <w:t>do</w:t>
      </w:r>
      <w:r w:rsidR="000116D8" w:rsidRPr="003A1174">
        <w:rPr>
          <w:rFonts w:ascii="Garamond" w:hAnsi="Garamond" w:cs="Arial"/>
          <w:lang w:val="pt-PT"/>
        </w:rPr>
        <w:t xml:space="preserve"> </w:t>
      </w:r>
      <w:r w:rsidR="003E2511">
        <w:rPr>
          <w:rFonts w:ascii="Garamond" w:hAnsi="Garamond" w:cs="Arial"/>
          <w:lang w:val="pt-PT"/>
        </w:rPr>
        <w:t xml:space="preserve">tipo de </w:t>
      </w:r>
      <w:r w:rsidRPr="003A1174">
        <w:rPr>
          <w:rFonts w:ascii="Garamond" w:hAnsi="Garamond" w:cs="Arial"/>
          <w:lang w:val="pt-PT"/>
        </w:rPr>
        <w:t xml:space="preserve">litígio para </w:t>
      </w:r>
      <w:r w:rsidR="000116D8" w:rsidRPr="003A1174">
        <w:rPr>
          <w:rFonts w:ascii="Garamond" w:hAnsi="Garamond" w:cs="Arial"/>
          <w:lang w:val="pt-PT"/>
        </w:rPr>
        <w:t>a</w:t>
      </w:r>
      <w:r w:rsidR="003E2511">
        <w:rPr>
          <w:rFonts w:ascii="Garamond" w:hAnsi="Garamond" w:cs="Arial"/>
          <w:lang w:val="pt-PT"/>
        </w:rPr>
        <w:t xml:space="preserve"> sua devida</w:t>
      </w:r>
      <w:r w:rsidR="000116D8" w:rsidRPr="003A1174">
        <w:rPr>
          <w:rFonts w:ascii="Garamond" w:hAnsi="Garamond" w:cs="Arial"/>
          <w:lang w:val="pt-PT"/>
        </w:rPr>
        <w:t xml:space="preserve"> </w:t>
      </w:r>
      <w:r w:rsidR="0017447A" w:rsidRPr="003A1174">
        <w:rPr>
          <w:rFonts w:ascii="Garamond" w:hAnsi="Garamond" w:cs="Arial"/>
          <w:lang w:val="pt-PT"/>
        </w:rPr>
        <w:t>representação</w:t>
      </w:r>
      <w:r w:rsidR="000116D8" w:rsidRPr="003A1174">
        <w:rPr>
          <w:rFonts w:ascii="Garamond" w:hAnsi="Garamond" w:cs="Arial"/>
          <w:lang w:val="pt-PT"/>
        </w:rPr>
        <w:t xml:space="preserve"> judicial de casos e</w:t>
      </w:r>
      <w:r w:rsidRPr="003A1174">
        <w:rPr>
          <w:rFonts w:ascii="Garamond" w:hAnsi="Garamond" w:cs="Arial"/>
          <w:lang w:val="pt-PT"/>
        </w:rPr>
        <w:t xml:space="preserve">m </w:t>
      </w:r>
      <w:r w:rsidR="000116D8" w:rsidRPr="003A1174">
        <w:rPr>
          <w:rFonts w:ascii="Garamond" w:hAnsi="Garamond" w:cs="Arial"/>
          <w:lang w:val="pt-PT"/>
        </w:rPr>
        <w:t xml:space="preserve">que </w:t>
      </w:r>
      <w:r w:rsidR="00D75A07" w:rsidRPr="003A1174">
        <w:rPr>
          <w:rFonts w:ascii="Garamond" w:hAnsi="Garamond" w:cs="Arial"/>
          <w:lang w:val="pt-PT"/>
        </w:rPr>
        <w:t>são</w:t>
      </w:r>
      <w:r w:rsidR="000116D8" w:rsidRPr="003A1174">
        <w:rPr>
          <w:rFonts w:ascii="Garamond" w:hAnsi="Garamond" w:cs="Arial"/>
          <w:lang w:val="pt-PT"/>
        </w:rPr>
        <w:t xml:space="preserve"> </w:t>
      </w:r>
      <w:r w:rsidR="003F012B" w:rsidRPr="003A1174">
        <w:rPr>
          <w:rFonts w:ascii="Garamond" w:hAnsi="Garamond" w:cs="Arial"/>
          <w:lang w:val="pt-PT"/>
        </w:rPr>
        <w:t>vítima</w:t>
      </w:r>
      <w:r w:rsidRPr="003A1174">
        <w:rPr>
          <w:rFonts w:ascii="Garamond" w:hAnsi="Garamond" w:cs="Arial"/>
          <w:lang w:val="pt-PT"/>
        </w:rPr>
        <w:t xml:space="preserve">s </w:t>
      </w:r>
      <w:r w:rsidR="000116D8" w:rsidRPr="003A1174">
        <w:rPr>
          <w:rFonts w:ascii="Garamond" w:hAnsi="Garamond" w:cs="Arial"/>
          <w:lang w:val="pt-PT"/>
        </w:rPr>
        <w:t xml:space="preserve">as </w:t>
      </w:r>
      <w:r w:rsidR="00054EE0" w:rsidRPr="003A1174">
        <w:rPr>
          <w:rFonts w:ascii="Garamond" w:hAnsi="Garamond" w:cs="Arial"/>
          <w:lang w:val="pt-PT"/>
        </w:rPr>
        <w:t>mulheres</w:t>
      </w:r>
      <w:r w:rsidRPr="003A1174">
        <w:rPr>
          <w:rFonts w:ascii="Garamond" w:hAnsi="Garamond" w:cs="Arial"/>
          <w:lang w:val="pt-PT"/>
        </w:rPr>
        <w:t xml:space="preserve">, crianças </w:t>
      </w:r>
      <w:r w:rsidR="00497503" w:rsidRPr="003A1174">
        <w:rPr>
          <w:rFonts w:ascii="Garamond" w:hAnsi="Garamond" w:cs="Arial"/>
          <w:lang w:val="pt-PT"/>
        </w:rPr>
        <w:t>e</w:t>
      </w:r>
      <w:r w:rsidR="000116D8" w:rsidRPr="003A1174">
        <w:rPr>
          <w:rFonts w:ascii="Garamond" w:hAnsi="Garamond" w:cs="Arial"/>
          <w:lang w:val="pt-PT"/>
        </w:rPr>
        <w:t xml:space="preserve"> adolescentes; e </w:t>
      </w:r>
      <w:r w:rsidR="00E67052">
        <w:rPr>
          <w:rFonts w:ascii="Garamond" w:hAnsi="Garamond" w:cs="Arial"/>
          <w:lang w:val="pt-PT"/>
        </w:rPr>
        <w:t>o aditamento</w:t>
      </w:r>
      <w:r w:rsidRPr="003A1174">
        <w:rPr>
          <w:rFonts w:ascii="Garamond" w:hAnsi="Garamond" w:cs="Arial"/>
          <w:lang w:val="pt-PT"/>
        </w:rPr>
        <w:t xml:space="preserve"> de um</w:t>
      </w:r>
      <w:r w:rsidR="000116D8" w:rsidRPr="003A1174">
        <w:rPr>
          <w:rFonts w:ascii="Garamond" w:hAnsi="Garamond" w:cs="Arial"/>
          <w:lang w:val="pt-PT"/>
        </w:rPr>
        <w:t xml:space="preserve">a </w:t>
      </w:r>
      <w:r w:rsidR="003E2511">
        <w:rPr>
          <w:rFonts w:ascii="Garamond" w:hAnsi="Garamond" w:cs="Arial"/>
          <w:lang w:val="pt-PT"/>
        </w:rPr>
        <w:t>cláusula</w:t>
      </w:r>
      <w:r w:rsidR="00E67052">
        <w:rPr>
          <w:rFonts w:ascii="Garamond" w:hAnsi="Garamond" w:cs="Arial"/>
          <w:lang w:val="pt-PT"/>
        </w:rPr>
        <w:t>,</w:t>
      </w:r>
      <w:r w:rsidR="003E2511">
        <w:rPr>
          <w:rFonts w:ascii="Garamond" w:hAnsi="Garamond" w:cs="Arial"/>
          <w:lang w:val="pt-PT"/>
        </w:rPr>
        <w:t xml:space="preserve"> respeitante aos</w:t>
      </w:r>
      <w:r w:rsidR="000116D8" w:rsidRPr="003A1174">
        <w:rPr>
          <w:rFonts w:ascii="Garamond" w:hAnsi="Garamond" w:cs="Arial"/>
          <w:lang w:val="pt-PT"/>
        </w:rPr>
        <w:t xml:space="preserve"> </w:t>
      </w:r>
      <w:r w:rsidR="00886D6A" w:rsidRPr="003A1174">
        <w:rPr>
          <w:rFonts w:ascii="Garamond" w:hAnsi="Garamond" w:cs="Arial"/>
          <w:lang w:val="pt-PT"/>
        </w:rPr>
        <w:t>direito</w:t>
      </w:r>
      <w:r w:rsidR="000116D8" w:rsidRPr="003A1174">
        <w:rPr>
          <w:rFonts w:ascii="Garamond" w:hAnsi="Garamond" w:cs="Arial"/>
          <w:lang w:val="pt-PT"/>
        </w:rPr>
        <w:t xml:space="preserve">s </w:t>
      </w:r>
      <w:r w:rsidR="00497503" w:rsidRPr="003A1174">
        <w:rPr>
          <w:rFonts w:ascii="Garamond" w:hAnsi="Garamond" w:cs="Arial"/>
          <w:lang w:val="pt-PT"/>
        </w:rPr>
        <w:t>das</w:t>
      </w:r>
      <w:r w:rsidR="000116D8" w:rsidRPr="003A1174">
        <w:rPr>
          <w:rFonts w:ascii="Garamond" w:hAnsi="Garamond" w:cs="Arial"/>
          <w:lang w:val="pt-PT"/>
        </w:rPr>
        <w:t xml:space="preserve"> </w:t>
      </w:r>
      <w:r w:rsidR="00054EE0" w:rsidRPr="003A1174">
        <w:rPr>
          <w:rFonts w:ascii="Garamond" w:hAnsi="Garamond" w:cs="Arial"/>
          <w:lang w:val="pt-PT"/>
        </w:rPr>
        <w:t>mulheres</w:t>
      </w:r>
      <w:r w:rsidRPr="003A1174">
        <w:rPr>
          <w:rFonts w:ascii="Garamond" w:hAnsi="Garamond" w:cs="Arial"/>
          <w:lang w:val="pt-PT"/>
        </w:rPr>
        <w:t xml:space="preserve"> e</w:t>
      </w:r>
      <w:r w:rsidR="000116D8" w:rsidRPr="003A1174">
        <w:rPr>
          <w:rFonts w:ascii="Garamond" w:hAnsi="Garamond" w:cs="Arial"/>
          <w:lang w:val="pt-PT"/>
        </w:rPr>
        <w:t xml:space="preserve"> </w:t>
      </w:r>
      <w:r w:rsidRPr="003A1174">
        <w:rPr>
          <w:rFonts w:ascii="Garamond" w:hAnsi="Garamond" w:cs="Arial"/>
          <w:lang w:val="pt-PT"/>
        </w:rPr>
        <w:t>crianças</w:t>
      </w:r>
      <w:r w:rsidR="00E67052">
        <w:rPr>
          <w:rFonts w:ascii="Garamond" w:hAnsi="Garamond" w:cs="Arial"/>
          <w:lang w:val="pt-PT"/>
        </w:rPr>
        <w:t>,</w:t>
      </w:r>
      <w:r w:rsidRPr="003A1174">
        <w:rPr>
          <w:rFonts w:ascii="Garamond" w:hAnsi="Garamond" w:cs="Arial"/>
          <w:lang w:val="pt-PT"/>
        </w:rPr>
        <w:t xml:space="preserve"> no </w:t>
      </w:r>
      <w:r w:rsidR="00802ACC" w:rsidRPr="003A1174">
        <w:rPr>
          <w:rFonts w:ascii="Garamond" w:hAnsi="Garamond" w:cs="Arial"/>
          <w:lang w:val="pt-PT"/>
        </w:rPr>
        <w:t>âmbito</w:t>
      </w:r>
      <w:r w:rsidR="000116D8" w:rsidRPr="003A1174">
        <w:rPr>
          <w:rFonts w:ascii="Garamond" w:hAnsi="Garamond" w:cs="Arial"/>
          <w:lang w:val="pt-PT"/>
        </w:rPr>
        <w:t xml:space="preserve"> institucional.</w:t>
      </w:r>
    </w:p>
    <w:p w:rsidR="000116D8" w:rsidRPr="003A1174" w:rsidRDefault="00964875" w:rsidP="00964875">
      <w:pPr>
        <w:pStyle w:val="NormalWeb"/>
        <w:spacing w:before="240" w:beforeAutospacing="0"/>
        <w:jc w:val="both"/>
        <w:rPr>
          <w:rFonts w:ascii="Garamond" w:hAnsi="Garamond" w:cs="Arial"/>
          <w:lang w:val="pt-PT"/>
        </w:rPr>
      </w:pPr>
      <w:r w:rsidRPr="003A1174">
        <w:rPr>
          <w:rFonts w:ascii="Garamond" w:hAnsi="Garamond" w:cs="Arial"/>
          <w:lang w:val="pt-PT"/>
        </w:rPr>
        <w:t xml:space="preserve">A </w:t>
      </w:r>
      <w:r w:rsidR="000116D8" w:rsidRPr="003A1174">
        <w:rPr>
          <w:rFonts w:ascii="Garamond" w:hAnsi="Garamond" w:cs="Arial"/>
          <w:lang w:val="pt-PT"/>
        </w:rPr>
        <w:t xml:space="preserve">segunda </w:t>
      </w:r>
      <w:r w:rsidR="00A56F43" w:rsidRPr="003A1174">
        <w:rPr>
          <w:rFonts w:ascii="Garamond" w:hAnsi="Garamond" w:cs="Arial"/>
          <w:lang w:val="pt-PT"/>
        </w:rPr>
        <w:t>estratégia</w:t>
      </w:r>
      <w:r w:rsidR="000116D8" w:rsidRPr="003A1174">
        <w:rPr>
          <w:rFonts w:ascii="Garamond" w:hAnsi="Garamond" w:cs="Arial"/>
          <w:lang w:val="pt-PT"/>
        </w:rPr>
        <w:t xml:space="preserve"> centra</w:t>
      </w:r>
      <w:r w:rsidRPr="003A1174">
        <w:rPr>
          <w:rFonts w:ascii="Garamond" w:hAnsi="Garamond" w:cs="Arial"/>
          <w:lang w:val="pt-PT"/>
        </w:rPr>
        <w:t xml:space="preserve">-se no </w:t>
      </w:r>
      <w:r w:rsidR="00F520D6" w:rsidRPr="003A1174">
        <w:rPr>
          <w:rFonts w:ascii="Garamond" w:hAnsi="Garamond" w:cs="Arial"/>
          <w:lang w:val="pt-PT"/>
        </w:rPr>
        <w:t>reconhecimento</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w:t>
      </w:r>
      <w:r w:rsidR="00DC5DA7" w:rsidRPr="003A1174">
        <w:rPr>
          <w:rFonts w:ascii="Garamond" w:hAnsi="Garamond" w:cs="Arial"/>
          <w:lang w:val="pt-PT"/>
        </w:rPr>
        <w:t>fortalecimento</w:t>
      </w:r>
      <w:r w:rsidR="000116D8" w:rsidRPr="003A1174">
        <w:rPr>
          <w:rFonts w:ascii="Garamond" w:hAnsi="Garamond" w:cs="Arial"/>
          <w:lang w:val="pt-PT"/>
        </w:rPr>
        <w:t xml:space="preserve"> da </w:t>
      </w:r>
      <w:r w:rsidR="0017447A" w:rsidRPr="003A1174">
        <w:rPr>
          <w:rFonts w:ascii="Garamond" w:hAnsi="Garamond" w:cs="Arial"/>
          <w:lang w:val="pt-PT"/>
        </w:rPr>
        <w:t>participação</w:t>
      </w:r>
      <w:r w:rsidR="000116D8" w:rsidRPr="003A1174">
        <w:rPr>
          <w:rFonts w:ascii="Garamond" w:hAnsi="Garamond" w:cs="Arial"/>
          <w:lang w:val="pt-PT"/>
        </w:rPr>
        <w:t xml:space="preserve"> </w:t>
      </w:r>
      <w:r w:rsidR="00497503" w:rsidRPr="003A1174">
        <w:rPr>
          <w:rFonts w:ascii="Garamond" w:hAnsi="Garamond" w:cs="Arial"/>
          <w:lang w:val="pt-PT"/>
        </w:rPr>
        <w:t>das</w:t>
      </w:r>
      <w:r w:rsidR="000116D8" w:rsidRPr="003A1174">
        <w:rPr>
          <w:rFonts w:ascii="Garamond" w:hAnsi="Garamond" w:cs="Arial"/>
          <w:lang w:val="pt-PT"/>
        </w:rPr>
        <w:t xml:space="preserve"> </w:t>
      </w:r>
      <w:r w:rsidR="00054EE0" w:rsidRPr="003A1174">
        <w:rPr>
          <w:rFonts w:ascii="Garamond" w:hAnsi="Garamond" w:cs="Arial"/>
          <w:lang w:val="pt-PT"/>
        </w:rPr>
        <w:t>mulheres</w:t>
      </w:r>
      <w:r w:rsidR="000116D8" w:rsidRPr="003A1174">
        <w:rPr>
          <w:rFonts w:ascii="Garamond" w:hAnsi="Garamond" w:cs="Arial"/>
          <w:lang w:val="pt-PT"/>
        </w:rPr>
        <w:t xml:space="preserve">, </w:t>
      </w:r>
      <w:r w:rsidRPr="003A1174">
        <w:rPr>
          <w:rFonts w:ascii="Garamond" w:hAnsi="Garamond" w:cs="Arial"/>
          <w:lang w:val="pt-PT"/>
        </w:rPr>
        <w:t>crianças</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adolescentes </w:t>
      </w:r>
      <w:r w:rsidR="003F012B" w:rsidRPr="003A1174">
        <w:rPr>
          <w:rFonts w:ascii="Garamond" w:hAnsi="Garamond" w:cs="Arial"/>
          <w:lang w:val="pt-PT"/>
        </w:rPr>
        <w:t>vítima</w:t>
      </w:r>
      <w:r w:rsidR="000116D8" w:rsidRPr="003A1174">
        <w:rPr>
          <w:rFonts w:ascii="Garamond" w:hAnsi="Garamond" w:cs="Arial"/>
          <w:lang w:val="pt-PT"/>
        </w:rPr>
        <w:t>s</w:t>
      </w:r>
      <w:r w:rsidR="00E67052">
        <w:rPr>
          <w:rFonts w:ascii="Garamond" w:hAnsi="Garamond" w:cs="Arial"/>
          <w:lang w:val="pt-PT"/>
        </w:rPr>
        <w:t>,</w:t>
      </w:r>
      <w:r w:rsidR="000116D8" w:rsidRPr="003A1174">
        <w:rPr>
          <w:rFonts w:ascii="Garamond" w:hAnsi="Garamond" w:cs="Arial"/>
          <w:lang w:val="pt-PT"/>
        </w:rPr>
        <w:t xml:space="preserve"> como u</w:t>
      </w:r>
      <w:r w:rsidRPr="003A1174">
        <w:rPr>
          <w:rFonts w:ascii="Garamond" w:hAnsi="Garamond" w:cs="Arial"/>
          <w:lang w:val="pt-PT"/>
        </w:rPr>
        <w:t>m</w:t>
      </w:r>
      <w:r w:rsidR="000116D8" w:rsidRPr="003A1174">
        <w:rPr>
          <w:rFonts w:ascii="Garamond" w:hAnsi="Garamond" w:cs="Arial"/>
          <w:lang w:val="pt-PT"/>
        </w:rPr>
        <w:t xml:space="preserve"> elemento fundamental para </w:t>
      </w:r>
      <w:r w:rsidRPr="003A1174">
        <w:rPr>
          <w:rFonts w:ascii="Garamond" w:hAnsi="Garamond" w:cs="Arial"/>
          <w:lang w:val="pt-PT"/>
        </w:rPr>
        <w:t>o</w:t>
      </w:r>
      <w:r w:rsidR="000116D8" w:rsidRPr="003A1174">
        <w:rPr>
          <w:rFonts w:ascii="Garamond" w:hAnsi="Garamond" w:cs="Arial"/>
          <w:lang w:val="pt-PT"/>
        </w:rPr>
        <w:t xml:space="preserve"> </w:t>
      </w:r>
      <w:r w:rsidR="00886D6A" w:rsidRPr="003A1174">
        <w:rPr>
          <w:rFonts w:ascii="Garamond" w:hAnsi="Garamond" w:cs="Arial"/>
          <w:lang w:val="pt-PT"/>
        </w:rPr>
        <w:t>acesso</w:t>
      </w:r>
      <w:r w:rsidR="000116D8" w:rsidRPr="003A1174">
        <w:rPr>
          <w:rFonts w:ascii="Garamond" w:hAnsi="Garamond" w:cs="Arial"/>
          <w:lang w:val="pt-PT"/>
        </w:rPr>
        <w:t xml:space="preserve"> </w:t>
      </w:r>
      <w:r w:rsidRPr="003A1174">
        <w:rPr>
          <w:rFonts w:ascii="Garamond" w:hAnsi="Garamond" w:cs="Arial"/>
          <w:lang w:val="pt-PT"/>
        </w:rPr>
        <w:t>à ju</w:t>
      </w:r>
      <w:r w:rsidR="00FC1F7F" w:rsidRPr="003A1174">
        <w:rPr>
          <w:rFonts w:ascii="Garamond" w:hAnsi="Garamond" w:cs="Arial"/>
          <w:lang w:val="pt-PT"/>
        </w:rPr>
        <w:t>stiça</w:t>
      </w:r>
      <w:r w:rsidR="000116D8" w:rsidRPr="003A1174">
        <w:rPr>
          <w:rFonts w:ascii="Garamond" w:hAnsi="Garamond" w:cs="Arial"/>
          <w:lang w:val="pt-PT"/>
        </w:rPr>
        <w:t xml:space="preserve"> </w:t>
      </w:r>
      <w:r w:rsidR="00497503" w:rsidRPr="003A1174">
        <w:rPr>
          <w:rFonts w:ascii="Garamond" w:hAnsi="Garamond" w:cs="Arial"/>
          <w:lang w:val="pt-PT"/>
        </w:rPr>
        <w:t>e</w:t>
      </w:r>
      <w:r w:rsidRPr="003A1174">
        <w:rPr>
          <w:rFonts w:ascii="Garamond" w:hAnsi="Garamond" w:cs="Arial"/>
          <w:lang w:val="pt-PT"/>
        </w:rPr>
        <w:t xml:space="preserve"> </w:t>
      </w:r>
      <w:r w:rsidR="00E67052">
        <w:rPr>
          <w:rFonts w:ascii="Garamond" w:hAnsi="Garamond" w:cs="Arial"/>
          <w:lang w:val="pt-PT"/>
        </w:rPr>
        <w:t>à</w:t>
      </w:r>
      <w:r w:rsidR="000116D8" w:rsidRPr="003A1174">
        <w:rPr>
          <w:rFonts w:ascii="Garamond" w:hAnsi="Garamond" w:cs="Arial"/>
          <w:lang w:val="pt-PT"/>
        </w:rPr>
        <w:t xml:space="preserve"> </w:t>
      </w:r>
      <w:r w:rsidRPr="003A1174">
        <w:rPr>
          <w:rFonts w:ascii="Garamond" w:hAnsi="Garamond" w:cs="Arial"/>
          <w:lang w:val="pt-PT"/>
        </w:rPr>
        <w:t>restituição</w:t>
      </w:r>
      <w:r w:rsidR="000116D8" w:rsidRPr="003A1174">
        <w:rPr>
          <w:rFonts w:ascii="Garamond" w:hAnsi="Garamond" w:cs="Arial"/>
          <w:lang w:val="pt-PT"/>
        </w:rPr>
        <w:t xml:space="preserve"> d</w:t>
      </w:r>
      <w:r w:rsidRPr="003A1174">
        <w:rPr>
          <w:rFonts w:ascii="Garamond" w:hAnsi="Garamond" w:cs="Arial"/>
          <w:lang w:val="pt-PT"/>
        </w:rPr>
        <w:t xml:space="preserve">os seus </w:t>
      </w:r>
      <w:r w:rsidR="00886D6A" w:rsidRPr="003A1174">
        <w:rPr>
          <w:rFonts w:ascii="Garamond" w:hAnsi="Garamond" w:cs="Arial"/>
          <w:lang w:val="pt-PT"/>
        </w:rPr>
        <w:t>direito</w:t>
      </w:r>
      <w:r w:rsidR="000116D8" w:rsidRPr="003A1174">
        <w:rPr>
          <w:rFonts w:ascii="Garamond" w:hAnsi="Garamond" w:cs="Arial"/>
          <w:lang w:val="pt-PT"/>
        </w:rPr>
        <w:t>s</w:t>
      </w:r>
      <w:r w:rsidR="00417A55" w:rsidRPr="003A1174">
        <w:rPr>
          <w:rFonts w:ascii="Garamond" w:hAnsi="Garamond" w:cs="Arial"/>
          <w:lang w:val="pt-PT"/>
        </w:rPr>
        <w:t xml:space="preserve">; </w:t>
      </w:r>
      <w:r w:rsidR="00152A44" w:rsidRPr="003A1174">
        <w:rPr>
          <w:rFonts w:ascii="Garamond" w:hAnsi="Garamond" w:cs="Arial"/>
          <w:lang w:val="pt-PT"/>
        </w:rPr>
        <w:t>inclui</w:t>
      </w:r>
      <w:r w:rsidR="000116D8" w:rsidRPr="003A1174">
        <w:rPr>
          <w:rFonts w:ascii="Garamond" w:hAnsi="Garamond" w:cs="Arial"/>
          <w:lang w:val="pt-PT"/>
        </w:rPr>
        <w:t xml:space="preserve"> </w:t>
      </w:r>
      <w:r w:rsidR="002C7510" w:rsidRPr="003A1174">
        <w:rPr>
          <w:rFonts w:ascii="Garamond" w:hAnsi="Garamond" w:cs="Arial"/>
          <w:lang w:val="pt-PT"/>
        </w:rPr>
        <w:t>ações</w:t>
      </w:r>
      <w:r w:rsidR="000116D8" w:rsidRPr="003A1174">
        <w:rPr>
          <w:rFonts w:ascii="Garamond" w:hAnsi="Garamond" w:cs="Arial"/>
          <w:lang w:val="pt-PT"/>
        </w:rPr>
        <w:t xml:space="preserve"> de </w:t>
      </w:r>
      <w:r w:rsidR="003F012B" w:rsidRPr="003A1174">
        <w:rPr>
          <w:rFonts w:ascii="Garamond" w:hAnsi="Garamond" w:cs="Arial"/>
          <w:lang w:val="pt-PT"/>
        </w:rPr>
        <w:t>acompanhamento</w:t>
      </w:r>
      <w:r w:rsidR="000116D8" w:rsidRPr="003A1174">
        <w:rPr>
          <w:rFonts w:ascii="Garamond" w:hAnsi="Garamond" w:cs="Arial"/>
          <w:lang w:val="pt-PT"/>
        </w:rPr>
        <w:t xml:space="preserve"> </w:t>
      </w:r>
      <w:r w:rsidR="00BA3CCE" w:rsidRPr="003A1174">
        <w:rPr>
          <w:rFonts w:ascii="Garamond" w:hAnsi="Garamond" w:cs="Arial"/>
          <w:lang w:val="pt-PT"/>
        </w:rPr>
        <w:t>psicossocial</w:t>
      </w:r>
      <w:r w:rsidR="000116D8" w:rsidRPr="003A1174">
        <w:rPr>
          <w:rFonts w:ascii="Garamond" w:hAnsi="Garamond" w:cs="Arial"/>
          <w:lang w:val="pt-PT"/>
        </w:rPr>
        <w:t xml:space="preserve">, </w:t>
      </w:r>
      <w:r w:rsidR="002A71E1">
        <w:rPr>
          <w:rFonts w:ascii="Garamond" w:hAnsi="Garamond" w:cs="Arial"/>
          <w:lang w:val="pt-PT"/>
        </w:rPr>
        <w:t>formação</w:t>
      </w:r>
      <w:r w:rsidR="000116D8" w:rsidRPr="003A1174">
        <w:rPr>
          <w:rFonts w:ascii="Garamond" w:hAnsi="Garamond" w:cs="Arial"/>
          <w:lang w:val="pt-PT"/>
        </w:rPr>
        <w:t xml:space="preserve"> </w:t>
      </w:r>
      <w:r w:rsidRPr="003A1174">
        <w:rPr>
          <w:rFonts w:ascii="Garamond" w:hAnsi="Garamond" w:cs="Arial"/>
          <w:lang w:val="pt-PT"/>
        </w:rPr>
        <w:t xml:space="preserve">com </w:t>
      </w:r>
      <w:r w:rsidR="00E67052">
        <w:rPr>
          <w:rFonts w:ascii="Garamond" w:hAnsi="Garamond" w:cs="Arial"/>
          <w:lang w:val="pt-PT"/>
        </w:rPr>
        <w:t xml:space="preserve">instrumentos </w:t>
      </w:r>
      <w:r w:rsidRPr="003A1174">
        <w:rPr>
          <w:rFonts w:ascii="Garamond" w:hAnsi="Garamond" w:cs="Arial"/>
          <w:lang w:val="pt-PT"/>
        </w:rPr>
        <w:t xml:space="preserve">para </w:t>
      </w:r>
      <w:r w:rsidR="000116D8" w:rsidRPr="003A1174">
        <w:rPr>
          <w:rFonts w:ascii="Garamond" w:hAnsi="Garamond" w:cs="Arial"/>
          <w:lang w:val="pt-PT"/>
        </w:rPr>
        <w:t xml:space="preserve">a </w:t>
      </w:r>
      <w:r w:rsidR="0017447A" w:rsidRPr="003A1174">
        <w:rPr>
          <w:rFonts w:ascii="Garamond" w:hAnsi="Garamond" w:cs="Arial"/>
          <w:lang w:val="pt-PT"/>
        </w:rPr>
        <w:t>participação</w:t>
      </w:r>
      <w:r w:rsidR="000116D8" w:rsidRPr="003A1174">
        <w:rPr>
          <w:rFonts w:ascii="Garamond" w:hAnsi="Garamond" w:cs="Arial"/>
          <w:lang w:val="pt-PT"/>
        </w:rPr>
        <w:t xml:space="preserve">, </w:t>
      </w:r>
      <w:r w:rsidR="007A3375" w:rsidRPr="003A1174">
        <w:rPr>
          <w:rFonts w:ascii="Garamond" w:hAnsi="Garamond" w:cs="Arial"/>
          <w:lang w:val="pt-PT"/>
        </w:rPr>
        <w:t>elaboração</w:t>
      </w:r>
      <w:r w:rsidR="000116D8" w:rsidRPr="003A1174">
        <w:rPr>
          <w:rFonts w:ascii="Garamond" w:hAnsi="Garamond" w:cs="Arial"/>
          <w:lang w:val="pt-PT"/>
        </w:rPr>
        <w:t xml:space="preserve"> de </w:t>
      </w:r>
      <w:r w:rsidR="008E7A2A" w:rsidRPr="003A1174">
        <w:rPr>
          <w:rFonts w:ascii="Garamond" w:hAnsi="Garamond" w:cs="Arial"/>
          <w:lang w:val="pt-PT"/>
        </w:rPr>
        <w:t>recomendações</w:t>
      </w:r>
      <w:r w:rsidR="000116D8" w:rsidRPr="003A1174">
        <w:rPr>
          <w:rFonts w:ascii="Garamond" w:hAnsi="Garamond" w:cs="Arial"/>
          <w:lang w:val="pt-PT"/>
        </w:rPr>
        <w:t xml:space="preserve"> e </w:t>
      </w:r>
      <w:r w:rsidR="00B362DF">
        <w:rPr>
          <w:rFonts w:ascii="Garamond" w:hAnsi="Garamond" w:cs="Arial"/>
          <w:lang w:val="pt-PT"/>
        </w:rPr>
        <w:t xml:space="preserve">impulsionar a </w:t>
      </w:r>
      <w:r w:rsidR="00E67052">
        <w:rPr>
          <w:rFonts w:ascii="Garamond" w:hAnsi="Garamond" w:cs="Arial"/>
          <w:lang w:val="pt-PT"/>
        </w:rPr>
        <w:t xml:space="preserve">criação </w:t>
      </w:r>
      <w:r w:rsidR="000116D8" w:rsidRPr="003A1174">
        <w:rPr>
          <w:rFonts w:ascii="Garamond" w:hAnsi="Garamond" w:cs="Arial"/>
          <w:lang w:val="pt-PT"/>
        </w:rPr>
        <w:t xml:space="preserve">e </w:t>
      </w:r>
      <w:r w:rsidR="006C760C" w:rsidRPr="003A1174">
        <w:rPr>
          <w:rFonts w:ascii="Garamond" w:hAnsi="Garamond" w:cs="Arial"/>
          <w:lang w:val="pt-PT"/>
        </w:rPr>
        <w:t>implementação</w:t>
      </w:r>
      <w:r w:rsidR="000116D8" w:rsidRPr="003A1174">
        <w:rPr>
          <w:rFonts w:ascii="Garamond" w:hAnsi="Garamond" w:cs="Arial"/>
          <w:lang w:val="pt-PT"/>
        </w:rPr>
        <w:t xml:space="preserve"> de políticas</w:t>
      </w:r>
      <w:r w:rsidR="00417A55" w:rsidRPr="003A1174">
        <w:rPr>
          <w:rFonts w:ascii="Garamond" w:hAnsi="Garamond" w:cs="Arial"/>
          <w:lang w:val="pt-PT"/>
        </w:rPr>
        <w:t>, as</w:t>
      </w:r>
      <w:r w:rsidRPr="003A1174">
        <w:rPr>
          <w:rFonts w:ascii="Garamond" w:hAnsi="Garamond" w:cs="Arial"/>
          <w:lang w:val="pt-PT"/>
        </w:rPr>
        <w:t xml:space="preserve">sim </w:t>
      </w:r>
      <w:r w:rsidR="00417A55" w:rsidRPr="003A1174">
        <w:rPr>
          <w:rFonts w:ascii="Garamond" w:hAnsi="Garamond" w:cs="Arial"/>
          <w:lang w:val="pt-PT"/>
        </w:rPr>
        <w:t>como</w:t>
      </w:r>
      <w:r w:rsidR="000116D8" w:rsidRPr="003A1174">
        <w:rPr>
          <w:rFonts w:ascii="Garamond" w:hAnsi="Garamond" w:cs="Arial"/>
          <w:lang w:val="pt-PT"/>
        </w:rPr>
        <w:t xml:space="preserve"> </w:t>
      </w:r>
      <w:r w:rsidR="00E67052">
        <w:rPr>
          <w:rFonts w:ascii="Garamond" w:hAnsi="Garamond" w:cs="Arial"/>
          <w:lang w:val="pt-PT"/>
        </w:rPr>
        <w:t xml:space="preserve">chamar a </w:t>
      </w:r>
      <w:r w:rsidR="008278C4" w:rsidRPr="003A1174">
        <w:rPr>
          <w:rFonts w:ascii="Garamond" w:hAnsi="Garamond" w:cs="Arial"/>
          <w:lang w:val="pt-PT"/>
        </w:rPr>
        <w:t>atenção</w:t>
      </w:r>
      <w:r w:rsidR="000116D8" w:rsidRPr="003A1174">
        <w:rPr>
          <w:rFonts w:ascii="Garamond" w:hAnsi="Garamond" w:cs="Arial"/>
          <w:lang w:val="pt-PT"/>
        </w:rPr>
        <w:t xml:space="preserve"> </w:t>
      </w:r>
      <w:r w:rsidR="00E67052">
        <w:rPr>
          <w:rFonts w:ascii="Garamond" w:hAnsi="Garamond" w:cs="Arial"/>
          <w:lang w:val="pt-PT"/>
        </w:rPr>
        <w:t>para</w:t>
      </w:r>
      <w:r w:rsidR="000116D8" w:rsidRPr="003A1174">
        <w:rPr>
          <w:rFonts w:ascii="Garamond" w:hAnsi="Garamond" w:cs="Arial"/>
          <w:lang w:val="pt-PT"/>
        </w:rPr>
        <w:t xml:space="preserve"> casos</w:t>
      </w:r>
      <w:r w:rsidRPr="003A1174">
        <w:rPr>
          <w:rFonts w:ascii="Garamond" w:hAnsi="Garamond" w:cs="Arial"/>
          <w:lang w:val="pt-PT"/>
        </w:rPr>
        <w:t xml:space="preserve"> a partir de um </w:t>
      </w:r>
      <w:r w:rsidR="000116D8" w:rsidRPr="003A1174">
        <w:rPr>
          <w:rFonts w:ascii="Garamond" w:hAnsi="Garamond" w:cs="Arial"/>
          <w:lang w:val="pt-PT"/>
        </w:rPr>
        <w:t xml:space="preserve">modelo estratégico jurídico </w:t>
      </w:r>
      <w:r w:rsidR="00497503" w:rsidRPr="003A1174">
        <w:rPr>
          <w:rFonts w:ascii="Garamond" w:hAnsi="Garamond" w:cs="Arial"/>
          <w:lang w:val="pt-PT"/>
        </w:rPr>
        <w:t>e</w:t>
      </w:r>
      <w:r w:rsidR="000116D8" w:rsidRPr="003A1174">
        <w:rPr>
          <w:rFonts w:ascii="Garamond" w:hAnsi="Garamond" w:cs="Arial"/>
          <w:lang w:val="pt-PT"/>
        </w:rPr>
        <w:t xml:space="preserve"> </w:t>
      </w:r>
      <w:r w:rsidR="00BA3CCE" w:rsidRPr="003A1174">
        <w:rPr>
          <w:rFonts w:ascii="Garamond" w:hAnsi="Garamond" w:cs="Arial"/>
          <w:lang w:val="pt-PT"/>
        </w:rPr>
        <w:t>psicossocial</w:t>
      </w:r>
      <w:r w:rsidR="000116D8" w:rsidRPr="003A1174">
        <w:rPr>
          <w:rFonts w:ascii="Garamond" w:hAnsi="Garamond" w:cs="Arial"/>
          <w:lang w:val="pt-PT"/>
        </w:rPr>
        <w:t xml:space="preserve">.   </w:t>
      </w:r>
    </w:p>
    <w:p w:rsidR="000116D8" w:rsidRPr="003A1174" w:rsidRDefault="00964875" w:rsidP="008719D4">
      <w:pPr>
        <w:pStyle w:val="NormalWeb"/>
        <w:spacing w:before="240" w:beforeAutospacing="0"/>
        <w:jc w:val="both"/>
        <w:rPr>
          <w:rFonts w:ascii="Garamond" w:hAnsi="Garamond" w:cs="Arial"/>
          <w:lang w:val="pt-PT"/>
        </w:rPr>
      </w:pPr>
      <w:r w:rsidRPr="003A1174">
        <w:rPr>
          <w:rFonts w:ascii="Garamond" w:hAnsi="Garamond" w:cs="Arial"/>
          <w:lang w:val="pt-PT"/>
        </w:rPr>
        <w:t xml:space="preserve">Finalmente, </w:t>
      </w:r>
      <w:r w:rsidR="000116D8" w:rsidRPr="003A1174">
        <w:rPr>
          <w:rFonts w:ascii="Garamond" w:hAnsi="Garamond" w:cs="Arial"/>
          <w:lang w:val="pt-PT"/>
        </w:rPr>
        <w:t>a terce</w:t>
      </w:r>
      <w:r w:rsidR="00936256" w:rsidRPr="003A1174">
        <w:rPr>
          <w:rFonts w:ascii="Garamond" w:hAnsi="Garamond" w:cs="Arial"/>
          <w:lang w:val="pt-PT"/>
        </w:rPr>
        <w:t>i</w:t>
      </w:r>
      <w:r w:rsidR="000116D8" w:rsidRPr="003A1174">
        <w:rPr>
          <w:rFonts w:ascii="Garamond" w:hAnsi="Garamond" w:cs="Arial"/>
          <w:lang w:val="pt-PT"/>
        </w:rPr>
        <w:t xml:space="preserve">ra </w:t>
      </w:r>
      <w:r w:rsidR="00A56F43" w:rsidRPr="003A1174">
        <w:rPr>
          <w:rFonts w:ascii="Garamond" w:hAnsi="Garamond" w:cs="Arial"/>
          <w:lang w:val="pt-PT"/>
        </w:rPr>
        <w:t>estratégia</w:t>
      </w:r>
      <w:r w:rsidR="005C4F04">
        <w:rPr>
          <w:rFonts w:ascii="Garamond" w:hAnsi="Garamond" w:cs="Arial"/>
          <w:lang w:val="pt-PT"/>
        </w:rPr>
        <w:t>,</w:t>
      </w:r>
      <w:r w:rsidR="000116D8" w:rsidRPr="003A1174">
        <w:rPr>
          <w:rFonts w:ascii="Garamond" w:hAnsi="Garamond" w:cs="Arial"/>
          <w:lang w:val="pt-PT"/>
        </w:rPr>
        <w:t xml:space="preserve"> relativa </w:t>
      </w:r>
      <w:r w:rsidRPr="003A1174">
        <w:rPr>
          <w:rFonts w:ascii="Garamond" w:hAnsi="Garamond" w:cs="Arial"/>
          <w:lang w:val="pt-PT"/>
        </w:rPr>
        <w:t xml:space="preserve">à </w:t>
      </w:r>
      <w:r w:rsidR="000116D8" w:rsidRPr="003A1174">
        <w:rPr>
          <w:rFonts w:ascii="Garamond" w:hAnsi="Garamond" w:cs="Arial"/>
          <w:lang w:val="pt-PT"/>
        </w:rPr>
        <w:t xml:space="preserve">magistratura moral e </w:t>
      </w:r>
      <w:r w:rsidR="00201889" w:rsidRPr="003A1174">
        <w:rPr>
          <w:rFonts w:ascii="Garamond" w:hAnsi="Garamond" w:cs="Arial"/>
          <w:lang w:val="pt-PT"/>
        </w:rPr>
        <w:t>incidência</w:t>
      </w:r>
      <w:r w:rsidR="000116D8" w:rsidRPr="003A1174">
        <w:rPr>
          <w:rFonts w:ascii="Garamond" w:hAnsi="Garamond" w:cs="Arial"/>
          <w:lang w:val="pt-PT"/>
        </w:rPr>
        <w:t xml:space="preserve"> política </w:t>
      </w:r>
      <w:r w:rsidR="00497503" w:rsidRPr="003A1174">
        <w:rPr>
          <w:rFonts w:ascii="Garamond" w:hAnsi="Garamond" w:cs="Arial"/>
          <w:lang w:val="pt-PT"/>
        </w:rPr>
        <w:t>e</w:t>
      </w:r>
      <w:r w:rsidR="000116D8" w:rsidRPr="003A1174">
        <w:rPr>
          <w:rFonts w:ascii="Garamond" w:hAnsi="Garamond" w:cs="Arial"/>
          <w:lang w:val="pt-PT"/>
        </w:rPr>
        <w:t xml:space="preserve"> social, centra</w:t>
      </w:r>
      <w:r w:rsidRPr="003A1174">
        <w:rPr>
          <w:rFonts w:ascii="Garamond" w:hAnsi="Garamond" w:cs="Arial"/>
          <w:lang w:val="pt-PT"/>
        </w:rPr>
        <w:t>-se na cara</w:t>
      </w:r>
      <w:r w:rsidR="00E67052">
        <w:rPr>
          <w:rFonts w:ascii="Garamond" w:hAnsi="Garamond" w:cs="Arial"/>
          <w:lang w:val="pt-PT"/>
        </w:rPr>
        <w:t>c</w:t>
      </w:r>
      <w:r w:rsidRPr="003A1174">
        <w:rPr>
          <w:rFonts w:ascii="Garamond" w:hAnsi="Garamond" w:cs="Arial"/>
          <w:lang w:val="pt-PT"/>
        </w:rPr>
        <w:t>terização</w:t>
      </w:r>
      <w:r w:rsidR="000116D8" w:rsidRPr="003A1174">
        <w:rPr>
          <w:rFonts w:ascii="Garamond" w:hAnsi="Garamond" w:cs="Arial"/>
          <w:lang w:val="pt-PT"/>
        </w:rPr>
        <w:t xml:space="preserve"> regional da </w:t>
      </w:r>
      <w:r w:rsidR="000350B1" w:rsidRPr="003A1174">
        <w:rPr>
          <w:rFonts w:ascii="Garamond" w:hAnsi="Garamond" w:cs="Arial"/>
          <w:lang w:val="pt-PT"/>
        </w:rPr>
        <w:t>violência</w:t>
      </w:r>
      <w:r w:rsidR="000116D8" w:rsidRPr="003A1174">
        <w:rPr>
          <w:rFonts w:ascii="Garamond" w:hAnsi="Garamond" w:cs="Arial"/>
          <w:lang w:val="pt-PT"/>
        </w:rPr>
        <w:t xml:space="preserve"> contra </w:t>
      </w:r>
      <w:r w:rsidR="00054EE0" w:rsidRPr="003A1174">
        <w:rPr>
          <w:rFonts w:ascii="Garamond" w:hAnsi="Garamond" w:cs="Arial"/>
          <w:lang w:val="pt-PT"/>
        </w:rPr>
        <w:t>mulheres</w:t>
      </w:r>
      <w:r w:rsidR="000116D8" w:rsidRPr="003A1174">
        <w:rPr>
          <w:rFonts w:ascii="Garamond" w:hAnsi="Garamond" w:cs="Arial"/>
          <w:lang w:val="pt-PT"/>
        </w:rPr>
        <w:t xml:space="preserve">, </w:t>
      </w:r>
      <w:r w:rsidRPr="003A1174">
        <w:rPr>
          <w:rFonts w:ascii="Garamond" w:hAnsi="Garamond" w:cs="Arial"/>
          <w:lang w:val="pt-PT"/>
        </w:rPr>
        <w:t>crianças</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adolescentes</w:t>
      </w:r>
      <w:r w:rsidR="00417A55" w:rsidRPr="003A1174">
        <w:rPr>
          <w:rFonts w:ascii="Garamond" w:hAnsi="Garamond" w:cs="Arial"/>
          <w:lang w:val="pt-PT"/>
        </w:rPr>
        <w:t>,</w:t>
      </w:r>
      <w:r w:rsidR="000116D8" w:rsidRPr="003A1174">
        <w:rPr>
          <w:rFonts w:ascii="Garamond" w:hAnsi="Garamond" w:cs="Arial"/>
          <w:lang w:val="pt-PT"/>
        </w:rPr>
        <w:t xml:space="preserve"> </w:t>
      </w:r>
      <w:r w:rsidR="00417A55" w:rsidRPr="003A1174">
        <w:rPr>
          <w:rFonts w:ascii="Garamond" w:hAnsi="Garamond" w:cs="Arial"/>
          <w:lang w:val="pt-PT"/>
        </w:rPr>
        <w:t xml:space="preserve">que </w:t>
      </w:r>
      <w:r w:rsidR="00152A44" w:rsidRPr="003A1174">
        <w:rPr>
          <w:rFonts w:ascii="Garamond" w:hAnsi="Garamond" w:cs="Arial"/>
          <w:lang w:val="pt-PT"/>
        </w:rPr>
        <w:lastRenderedPageBreak/>
        <w:t>inclui</w:t>
      </w:r>
      <w:r w:rsidRPr="003A1174">
        <w:rPr>
          <w:rFonts w:ascii="Garamond" w:hAnsi="Garamond" w:cs="Arial"/>
          <w:lang w:val="pt-PT"/>
        </w:rPr>
        <w:t xml:space="preserve"> </w:t>
      </w:r>
      <w:r w:rsidR="000116D8" w:rsidRPr="003A1174">
        <w:rPr>
          <w:rFonts w:ascii="Garamond" w:hAnsi="Garamond" w:cs="Arial"/>
          <w:lang w:val="pt-PT"/>
        </w:rPr>
        <w:t xml:space="preserve">os obstáculos </w:t>
      </w:r>
      <w:r w:rsidRPr="003A1174">
        <w:rPr>
          <w:rFonts w:ascii="Garamond" w:hAnsi="Garamond" w:cs="Arial"/>
          <w:lang w:val="pt-PT"/>
        </w:rPr>
        <w:t xml:space="preserve">no </w:t>
      </w:r>
      <w:r w:rsidR="00886D6A" w:rsidRPr="003A1174">
        <w:rPr>
          <w:rFonts w:ascii="Garamond" w:hAnsi="Garamond" w:cs="Arial"/>
          <w:lang w:val="pt-PT"/>
        </w:rPr>
        <w:t>Acesso</w:t>
      </w:r>
      <w:r w:rsidR="000116D8" w:rsidRPr="003A1174">
        <w:rPr>
          <w:rFonts w:ascii="Garamond" w:hAnsi="Garamond" w:cs="Arial"/>
          <w:lang w:val="pt-PT"/>
        </w:rPr>
        <w:t xml:space="preserve"> </w:t>
      </w:r>
      <w:r w:rsidRPr="003A1174">
        <w:rPr>
          <w:rFonts w:ascii="Garamond" w:hAnsi="Garamond" w:cs="Arial"/>
          <w:lang w:val="pt-PT"/>
        </w:rPr>
        <w:t xml:space="preserve">à </w:t>
      </w:r>
      <w:r w:rsidR="00FC1F7F" w:rsidRPr="003A1174">
        <w:rPr>
          <w:rFonts w:ascii="Garamond" w:hAnsi="Garamond" w:cs="Arial"/>
          <w:lang w:val="pt-PT"/>
        </w:rPr>
        <w:t>Justiça</w:t>
      </w:r>
      <w:r w:rsidRPr="003A1174">
        <w:rPr>
          <w:rFonts w:ascii="Garamond" w:hAnsi="Garamond" w:cs="Arial"/>
          <w:lang w:val="pt-PT"/>
        </w:rPr>
        <w:t xml:space="preserve">, </w:t>
      </w:r>
      <w:r w:rsidR="000116D8" w:rsidRPr="003A1174">
        <w:rPr>
          <w:rFonts w:ascii="Garamond" w:hAnsi="Garamond" w:cs="Arial"/>
          <w:lang w:val="pt-PT"/>
        </w:rPr>
        <w:t xml:space="preserve">a </w:t>
      </w:r>
      <w:r w:rsidR="00AB6522" w:rsidRPr="003A1174">
        <w:rPr>
          <w:rFonts w:ascii="Garamond" w:hAnsi="Garamond" w:cs="Arial"/>
          <w:lang w:val="pt-PT"/>
        </w:rPr>
        <w:t>resposta</w:t>
      </w:r>
      <w:r w:rsidRPr="003A1174">
        <w:rPr>
          <w:rFonts w:ascii="Garamond" w:hAnsi="Garamond" w:cs="Arial"/>
          <w:lang w:val="pt-PT"/>
        </w:rPr>
        <w:t xml:space="preserve"> social e institucional, </w:t>
      </w:r>
      <w:r w:rsidR="000116D8" w:rsidRPr="003A1174">
        <w:rPr>
          <w:rFonts w:ascii="Garamond" w:hAnsi="Garamond" w:cs="Arial"/>
          <w:lang w:val="pt-PT"/>
        </w:rPr>
        <w:t xml:space="preserve">a </w:t>
      </w:r>
      <w:r w:rsidRPr="003A1174">
        <w:rPr>
          <w:rFonts w:ascii="Garamond" w:hAnsi="Garamond" w:cs="Arial"/>
          <w:lang w:val="pt-PT"/>
        </w:rPr>
        <w:t>socialização</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w:t>
      </w:r>
      <w:r w:rsidRPr="003A1174">
        <w:rPr>
          <w:rFonts w:ascii="Garamond" w:hAnsi="Garamond" w:cs="Arial"/>
          <w:lang w:val="pt-PT"/>
        </w:rPr>
        <w:t xml:space="preserve">o </w:t>
      </w:r>
      <w:r w:rsidR="000116D8" w:rsidRPr="003A1174">
        <w:rPr>
          <w:rFonts w:ascii="Garamond" w:hAnsi="Garamond" w:cs="Arial"/>
          <w:lang w:val="pt-PT"/>
        </w:rPr>
        <w:t xml:space="preserve">debate público desta problemática, </w:t>
      </w:r>
      <w:r w:rsidR="00417A55" w:rsidRPr="003A1174">
        <w:rPr>
          <w:rFonts w:ascii="Garamond" w:hAnsi="Garamond" w:cs="Arial"/>
          <w:lang w:val="pt-PT"/>
        </w:rPr>
        <w:t>as</w:t>
      </w:r>
      <w:r w:rsidRPr="003A1174">
        <w:rPr>
          <w:rFonts w:ascii="Garamond" w:hAnsi="Garamond" w:cs="Arial"/>
          <w:lang w:val="pt-PT"/>
        </w:rPr>
        <w:t>sim</w:t>
      </w:r>
      <w:r w:rsidR="00417A55" w:rsidRPr="003A1174">
        <w:rPr>
          <w:rFonts w:ascii="Garamond" w:hAnsi="Garamond" w:cs="Arial"/>
          <w:lang w:val="pt-PT"/>
        </w:rPr>
        <w:t xml:space="preserve"> como</w:t>
      </w:r>
      <w:r w:rsidRPr="003A1174">
        <w:rPr>
          <w:rFonts w:ascii="Garamond" w:hAnsi="Garamond" w:cs="Arial"/>
          <w:lang w:val="pt-PT"/>
        </w:rPr>
        <w:t xml:space="preserve"> </w:t>
      </w:r>
      <w:r w:rsidR="000116D8" w:rsidRPr="003A1174">
        <w:rPr>
          <w:rFonts w:ascii="Garamond" w:hAnsi="Garamond" w:cs="Arial"/>
          <w:lang w:val="pt-PT"/>
        </w:rPr>
        <w:t xml:space="preserve">a </w:t>
      </w:r>
      <w:r w:rsidR="007A3375" w:rsidRPr="003A1174">
        <w:rPr>
          <w:rFonts w:ascii="Garamond" w:hAnsi="Garamond" w:cs="Arial"/>
          <w:lang w:val="pt-PT"/>
        </w:rPr>
        <w:t>elaboração</w:t>
      </w:r>
      <w:r w:rsidR="000116D8" w:rsidRPr="003A1174">
        <w:rPr>
          <w:rFonts w:ascii="Garamond" w:hAnsi="Garamond" w:cs="Arial"/>
          <w:lang w:val="pt-PT"/>
        </w:rPr>
        <w:t xml:space="preserve"> de </w:t>
      </w:r>
      <w:r w:rsidR="005D38DC" w:rsidRPr="003A1174">
        <w:rPr>
          <w:rFonts w:ascii="Garamond" w:hAnsi="Garamond" w:cs="Arial"/>
          <w:lang w:val="pt-PT"/>
        </w:rPr>
        <w:t>propostas</w:t>
      </w:r>
      <w:r w:rsidR="000116D8" w:rsidRPr="003A1174">
        <w:rPr>
          <w:rFonts w:ascii="Garamond" w:hAnsi="Garamond" w:cs="Arial"/>
          <w:lang w:val="pt-PT"/>
        </w:rPr>
        <w:t xml:space="preserve"> </w:t>
      </w:r>
      <w:r w:rsidR="00497503" w:rsidRPr="003A1174">
        <w:rPr>
          <w:rFonts w:ascii="Garamond" w:hAnsi="Garamond" w:cs="Arial"/>
          <w:lang w:val="pt-PT"/>
        </w:rPr>
        <w:t>e</w:t>
      </w:r>
      <w:r w:rsidR="000116D8" w:rsidRPr="003A1174">
        <w:rPr>
          <w:rFonts w:ascii="Garamond" w:hAnsi="Garamond" w:cs="Arial"/>
          <w:lang w:val="pt-PT"/>
        </w:rPr>
        <w:t xml:space="preserve"> </w:t>
      </w:r>
      <w:r w:rsidR="008E7A2A" w:rsidRPr="003A1174">
        <w:rPr>
          <w:rFonts w:ascii="Garamond" w:hAnsi="Garamond" w:cs="Arial"/>
          <w:lang w:val="pt-PT"/>
        </w:rPr>
        <w:t>recomendações</w:t>
      </w:r>
      <w:r w:rsidR="000116D8" w:rsidRPr="003A1174">
        <w:rPr>
          <w:rFonts w:ascii="Garamond" w:hAnsi="Garamond" w:cs="Arial"/>
          <w:lang w:val="pt-PT"/>
        </w:rPr>
        <w:t xml:space="preserve"> e</w:t>
      </w:r>
      <w:r w:rsidRPr="003A1174">
        <w:rPr>
          <w:rFonts w:ascii="Garamond" w:hAnsi="Garamond" w:cs="Arial"/>
          <w:lang w:val="pt-PT"/>
        </w:rPr>
        <w:t>m</w:t>
      </w:r>
      <w:r w:rsidR="000116D8" w:rsidRPr="003A1174">
        <w:rPr>
          <w:rFonts w:ascii="Garamond" w:hAnsi="Garamond" w:cs="Arial"/>
          <w:lang w:val="pt-PT"/>
        </w:rPr>
        <w:t xml:space="preserve"> torno </w:t>
      </w:r>
      <w:r w:rsidRPr="003A1174">
        <w:rPr>
          <w:rFonts w:ascii="Garamond" w:hAnsi="Garamond" w:cs="Arial"/>
          <w:lang w:val="pt-PT"/>
        </w:rPr>
        <w:t>d</w:t>
      </w:r>
      <w:r w:rsidR="000116D8" w:rsidRPr="003A1174">
        <w:rPr>
          <w:rFonts w:ascii="Garamond" w:hAnsi="Garamond" w:cs="Arial"/>
          <w:lang w:val="pt-PT"/>
        </w:rPr>
        <w:t>as políticas públicas.</w:t>
      </w:r>
    </w:p>
    <w:p w:rsidR="000116D8" w:rsidRPr="003A1174" w:rsidRDefault="000116D8" w:rsidP="008719D4">
      <w:pPr>
        <w:spacing w:before="240" w:line="240" w:lineRule="auto"/>
        <w:jc w:val="both"/>
        <w:rPr>
          <w:rFonts w:ascii="Garamond" w:hAnsi="Garamond" w:cs="Arial"/>
          <w:sz w:val="24"/>
          <w:szCs w:val="24"/>
        </w:rPr>
      </w:pPr>
      <w:r w:rsidRPr="003A1174">
        <w:rPr>
          <w:rFonts w:ascii="Garamond" w:hAnsi="Garamond" w:cs="Arial"/>
          <w:sz w:val="24"/>
          <w:szCs w:val="24"/>
        </w:rPr>
        <w:t>A</w:t>
      </w:r>
      <w:r w:rsidR="00964875" w:rsidRPr="003A1174">
        <w:rPr>
          <w:rFonts w:ascii="Garamond" w:hAnsi="Garamond" w:cs="Arial"/>
          <w:sz w:val="24"/>
          <w:szCs w:val="24"/>
        </w:rPr>
        <w:t xml:space="preserve">lém disso, </w:t>
      </w:r>
      <w:proofErr w:type="gramStart"/>
      <w:r w:rsidR="00964875" w:rsidRPr="003A1174">
        <w:rPr>
          <w:rFonts w:ascii="Garamond" w:hAnsi="Garamond" w:cs="Arial"/>
          <w:sz w:val="24"/>
          <w:szCs w:val="24"/>
        </w:rPr>
        <w:t xml:space="preserve">a </w:t>
      </w:r>
      <w:r w:rsidR="00C30647" w:rsidRPr="003A1174">
        <w:rPr>
          <w:rFonts w:ascii="Garamond" w:hAnsi="Garamond" w:cs="Arial"/>
          <w:sz w:val="24"/>
          <w:szCs w:val="24"/>
        </w:rPr>
        <w:t>equipa</w:t>
      </w:r>
      <w:proofErr w:type="gramEnd"/>
      <w:r w:rsidRPr="003A1174">
        <w:rPr>
          <w:rFonts w:ascii="Garamond" w:hAnsi="Garamond" w:cs="Arial"/>
          <w:sz w:val="24"/>
          <w:szCs w:val="24"/>
        </w:rPr>
        <w:t xml:space="preserve"> </w:t>
      </w:r>
      <w:r w:rsidRPr="003A1174">
        <w:rPr>
          <w:rFonts w:ascii="Garamond" w:hAnsi="Garamond" w:cs="Arial"/>
          <w:i/>
          <w:sz w:val="24"/>
          <w:szCs w:val="24"/>
        </w:rPr>
        <w:t>in situ</w:t>
      </w:r>
      <w:r w:rsidRPr="003A1174">
        <w:rPr>
          <w:rFonts w:ascii="Garamond" w:hAnsi="Garamond" w:cs="Arial"/>
          <w:sz w:val="24"/>
          <w:szCs w:val="24"/>
        </w:rPr>
        <w:t xml:space="preserve"> de Bogotá </w:t>
      </w:r>
      <w:r w:rsidR="008A3DA2" w:rsidRPr="003A1174">
        <w:rPr>
          <w:rFonts w:ascii="Garamond" w:hAnsi="Garamond" w:cs="Arial"/>
          <w:sz w:val="24"/>
          <w:szCs w:val="24"/>
        </w:rPr>
        <w:t>do</w:t>
      </w:r>
      <w:r w:rsidRPr="003A1174">
        <w:rPr>
          <w:rFonts w:ascii="Garamond" w:hAnsi="Garamond" w:cs="Arial"/>
          <w:sz w:val="24"/>
          <w:szCs w:val="24"/>
        </w:rPr>
        <w:t xml:space="preserve"> </w:t>
      </w:r>
      <w:r w:rsidR="00C30647" w:rsidRPr="003A1174">
        <w:rPr>
          <w:rFonts w:ascii="Garamond" w:hAnsi="Garamond" w:cs="Arial"/>
          <w:sz w:val="24"/>
          <w:szCs w:val="24"/>
        </w:rPr>
        <w:t>Projeto</w:t>
      </w:r>
      <w:r w:rsidRPr="003A1174">
        <w:rPr>
          <w:rFonts w:ascii="Garamond" w:hAnsi="Garamond" w:cs="Arial"/>
          <w:sz w:val="24"/>
          <w:szCs w:val="24"/>
        </w:rPr>
        <w:t xml:space="preserve"> Holanda </w:t>
      </w:r>
      <w:r w:rsidR="00D75A07" w:rsidRPr="003A1174">
        <w:rPr>
          <w:rFonts w:ascii="Garamond" w:hAnsi="Garamond" w:cs="Arial"/>
          <w:sz w:val="24"/>
          <w:szCs w:val="24"/>
        </w:rPr>
        <w:t>realizou</w:t>
      </w:r>
      <w:r w:rsidRPr="003A1174">
        <w:rPr>
          <w:rFonts w:ascii="Garamond" w:hAnsi="Garamond" w:cs="Arial"/>
          <w:sz w:val="24"/>
          <w:szCs w:val="24"/>
        </w:rPr>
        <w:t xml:space="preserve"> </w:t>
      </w:r>
      <w:r w:rsidR="002C7510" w:rsidRPr="003A1174">
        <w:rPr>
          <w:rFonts w:ascii="Garamond" w:hAnsi="Garamond" w:cs="Arial"/>
          <w:sz w:val="24"/>
          <w:szCs w:val="24"/>
        </w:rPr>
        <w:t>ações</w:t>
      </w:r>
      <w:r w:rsidRPr="003A1174">
        <w:rPr>
          <w:rFonts w:ascii="Garamond" w:hAnsi="Garamond" w:cs="Arial"/>
          <w:sz w:val="24"/>
          <w:szCs w:val="24"/>
        </w:rPr>
        <w:t xml:space="preserve"> de </w:t>
      </w:r>
      <w:r w:rsidR="00964875" w:rsidRPr="003A1174">
        <w:rPr>
          <w:rFonts w:ascii="Garamond" w:hAnsi="Garamond" w:cs="Arial"/>
          <w:sz w:val="24"/>
          <w:szCs w:val="24"/>
        </w:rPr>
        <w:t>articulação</w:t>
      </w:r>
      <w:r w:rsidRPr="003A1174">
        <w:rPr>
          <w:rFonts w:ascii="Garamond" w:hAnsi="Garamond" w:cs="Arial"/>
          <w:sz w:val="24"/>
          <w:szCs w:val="24"/>
        </w:rPr>
        <w:t xml:space="preserve"> co</w:t>
      </w:r>
      <w:r w:rsidR="00964875" w:rsidRPr="003A1174">
        <w:rPr>
          <w:rFonts w:ascii="Garamond" w:hAnsi="Garamond" w:cs="Arial"/>
          <w:sz w:val="24"/>
          <w:szCs w:val="24"/>
        </w:rPr>
        <w:t>m</w:t>
      </w:r>
      <w:r w:rsidRPr="003A1174">
        <w:rPr>
          <w:rFonts w:ascii="Garamond" w:hAnsi="Garamond" w:cs="Arial"/>
          <w:sz w:val="24"/>
          <w:szCs w:val="24"/>
        </w:rPr>
        <w:t xml:space="preserve"> entidades competentes</w:t>
      </w:r>
      <w:r w:rsidR="00417A55" w:rsidRPr="003A1174">
        <w:rPr>
          <w:rFonts w:ascii="Garamond" w:hAnsi="Garamond" w:cs="Arial"/>
          <w:sz w:val="24"/>
          <w:szCs w:val="24"/>
        </w:rPr>
        <w:t>,</w:t>
      </w:r>
      <w:r w:rsidRPr="003A1174">
        <w:rPr>
          <w:rFonts w:ascii="Garamond" w:hAnsi="Garamond" w:cs="Arial"/>
          <w:sz w:val="24"/>
          <w:szCs w:val="24"/>
        </w:rPr>
        <w:t xml:space="preserve"> especial</w:t>
      </w:r>
      <w:r w:rsidR="00964875" w:rsidRPr="003A1174">
        <w:rPr>
          <w:rFonts w:ascii="Garamond" w:hAnsi="Garamond" w:cs="Arial"/>
          <w:sz w:val="24"/>
          <w:szCs w:val="24"/>
        </w:rPr>
        <w:t>mente</w:t>
      </w:r>
      <w:r w:rsidR="005C4F04">
        <w:rPr>
          <w:rFonts w:ascii="Garamond" w:hAnsi="Garamond" w:cs="Arial"/>
          <w:sz w:val="24"/>
          <w:szCs w:val="24"/>
        </w:rPr>
        <w:t>,</w:t>
      </w:r>
      <w:r w:rsidRPr="003A1174">
        <w:rPr>
          <w:rFonts w:ascii="Garamond" w:hAnsi="Garamond" w:cs="Arial"/>
          <w:sz w:val="24"/>
          <w:szCs w:val="24"/>
        </w:rPr>
        <w:t xml:space="preserve"> co</w:t>
      </w:r>
      <w:r w:rsidR="00964875" w:rsidRPr="003A1174">
        <w:rPr>
          <w:rFonts w:ascii="Garamond" w:hAnsi="Garamond" w:cs="Arial"/>
          <w:sz w:val="24"/>
          <w:szCs w:val="24"/>
        </w:rPr>
        <w:t xml:space="preserve">m </w:t>
      </w:r>
      <w:r w:rsidRPr="003A1174">
        <w:rPr>
          <w:rFonts w:ascii="Garamond" w:hAnsi="Garamond" w:cs="Arial"/>
          <w:sz w:val="24"/>
          <w:szCs w:val="24"/>
        </w:rPr>
        <w:t xml:space="preserve">a </w:t>
      </w:r>
      <w:r w:rsidR="00D75A07" w:rsidRPr="003A1174">
        <w:rPr>
          <w:rFonts w:ascii="Garamond" w:hAnsi="Garamond" w:cs="Arial"/>
          <w:sz w:val="24"/>
          <w:szCs w:val="24"/>
        </w:rPr>
        <w:t>Secretaria</w:t>
      </w:r>
      <w:r w:rsidRPr="003A1174">
        <w:rPr>
          <w:rFonts w:ascii="Garamond" w:hAnsi="Garamond" w:cs="Arial"/>
          <w:sz w:val="24"/>
          <w:szCs w:val="24"/>
        </w:rPr>
        <w:t xml:space="preserve"> da </w:t>
      </w:r>
      <w:r w:rsidR="00AF192F" w:rsidRPr="003A1174">
        <w:rPr>
          <w:rFonts w:ascii="Garamond" w:hAnsi="Garamond" w:cs="Arial"/>
          <w:sz w:val="24"/>
          <w:szCs w:val="24"/>
        </w:rPr>
        <w:t>Mulher</w:t>
      </w:r>
      <w:r w:rsidRPr="003A1174">
        <w:rPr>
          <w:rFonts w:ascii="Garamond" w:hAnsi="Garamond" w:cs="Arial"/>
          <w:sz w:val="24"/>
          <w:szCs w:val="24"/>
        </w:rPr>
        <w:t xml:space="preserve">, </w:t>
      </w:r>
      <w:r w:rsidR="005C4F04">
        <w:rPr>
          <w:rFonts w:ascii="Garamond" w:hAnsi="Garamond" w:cs="Arial"/>
          <w:sz w:val="24"/>
          <w:szCs w:val="24"/>
        </w:rPr>
        <w:t>com ênfase na temática</w:t>
      </w:r>
      <w:r w:rsidRPr="003A1174">
        <w:rPr>
          <w:rFonts w:ascii="Garamond" w:hAnsi="Garamond" w:cs="Arial"/>
          <w:sz w:val="24"/>
          <w:szCs w:val="24"/>
        </w:rPr>
        <w:t xml:space="preserve"> d</w:t>
      </w:r>
      <w:r w:rsidR="00417A55" w:rsidRPr="003A1174">
        <w:rPr>
          <w:rFonts w:ascii="Garamond" w:hAnsi="Garamond" w:cs="Arial"/>
          <w:sz w:val="24"/>
          <w:szCs w:val="24"/>
        </w:rPr>
        <w:t xml:space="preserve">a </w:t>
      </w:r>
      <w:r w:rsidR="0017447A" w:rsidRPr="003A1174">
        <w:rPr>
          <w:rFonts w:ascii="Garamond" w:hAnsi="Garamond" w:cs="Arial"/>
          <w:sz w:val="24"/>
          <w:szCs w:val="24"/>
        </w:rPr>
        <w:t>representação</w:t>
      </w:r>
      <w:r w:rsidRPr="003A1174">
        <w:rPr>
          <w:rFonts w:ascii="Garamond" w:hAnsi="Garamond" w:cs="Arial"/>
          <w:sz w:val="24"/>
          <w:szCs w:val="24"/>
        </w:rPr>
        <w:t xml:space="preserve"> judicial para </w:t>
      </w:r>
      <w:r w:rsidR="00054EE0" w:rsidRPr="003A1174">
        <w:rPr>
          <w:rFonts w:ascii="Garamond" w:hAnsi="Garamond" w:cs="Arial"/>
          <w:sz w:val="24"/>
          <w:szCs w:val="24"/>
        </w:rPr>
        <w:t>mulheres</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w:t>
      </w:r>
    </w:p>
    <w:p w:rsidR="000116D8" w:rsidRPr="003A1174" w:rsidRDefault="000116D8" w:rsidP="008719D4">
      <w:pPr>
        <w:spacing w:before="240" w:line="240" w:lineRule="auto"/>
        <w:jc w:val="both"/>
        <w:rPr>
          <w:rFonts w:ascii="Garamond" w:hAnsi="Garamond" w:cs="Arial"/>
          <w:sz w:val="24"/>
          <w:szCs w:val="24"/>
        </w:rPr>
      </w:pPr>
      <w:r w:rsidRPr="003A1174">
        <w:rPr>
          <w:rFonts w:ascii="Garamond" w:hAnsi="Garamond" w:cs="Arial"/>
          <w:sz w:val="24"/>
          <w:szCs w:val="24"/>
        </w:rPr>
        <w:t>Co</w:t>
      </w:r>
      <w:r w:rsidR="00964875" w:rsidRPr="003A1174">
        <w:rPr>
          <w:rFonts w:ascii="Garamond" w:hAnsi="Garamond" w:cs="Arial"/>
          <w:sz w:val="24"/>
          <w:szCs w:val="24"/>
        </w:rPr>
        <w:t xml:space="preserve">m </w:t>
      </w:r>
      <w:r w:rsidRPr="003A1174">
        <w:rPr>
          <w:rFonts w:ascii="Garamond" w:hAnsi="Garamond" w:cs="Arial"/>
          <w:sz w:val="24"/>
          <w:szCs w:val="24"/>
        </w:rPr>
        <w:t xml:space="preserve">a </w:t>
      </w:r>
      <w:r w:rsidR="0096583F" w:rsidRPr="003A1174">
        <w:rPr>
          <w:rFonts w:ascii="Garamond" w:hAnsi="Garamond" w:cs="Arial"/>
          <w:sz w:val="24"/>
          <w:szCs w:val="24"/>
        </w:rPr>
        <w:t>Procuradoria</w:t>
      </w:r>
      <w:r w:rsidR="00964875" w:rsidRPr="003A1174">
        <w:rPr>
          <w:rFonts w:ascii="Garamond" w:hAnsi="Garamond" w:cs="Arial"/>
          <w:sz w:val="24"/>
          <w:szCs w:val="24"/>
        </w:rPr>
        <w:t xml:space="preserve"> Delegada para </w:t>
      </w:r>
      <w:r w:rsidRPr="003A1174">
        <w:rPr>
          <w:rFonts w:ascii="Garamond" w:hAnsi="Garamond" w:cs="Arial"/>
          <w:sz w:val="24"/>
          <w:szCs w:val="24"/>
        </w:rPr>
        <w:t xml:space="preserve">os </w:t>
      </w:r>
      <w:r w:rsidR="00973DDE" w:rsidRPr="003A1174">
        <w:rPr>
          <w:rFonts w:ascii="Garamond" w:hAnsi="Garamond" w:cs="Arial"/>
          <w:sz w:val="24"/>
          <w:szCs w:val="24"/>
        </w:rPr>
        <w:t>Assunto</w:t>
      </w:r>
      <w:r w:rsidRPr="003A1174">
        <w:rPr>
          <w:rFonts w:ascii="Garamond" w:hAnsi="Garamond" w:cs="Arial"/>
          <w:sz w:val="24"/>
          <w:szCs w:val="24"/>
        </w:rPr>
        <w:t xml:space="preserve">s </w:t>
      </w:r>
      <w:r w:rsidR="009A0CC2" w:rsidRPr="003A1174">
        <w:rPr>
          <w:rFonts w:ascii="Garamond" w:hAnsi="Garamond" w:cs="Arial"/>
          <w:sz w:val="24"/>
          <w:szCs w:val="24"/>
        </w:rPr>
        <w:t>Penais</w:t>
      </w:r>
      <w:r w:rsidRPr="003A1174">
        <w:rPr>
          <w:rFonts w:ascii="Garamond" w:hAnsi="Garamond" w:cs="Arial"/>
          <w:sz w:val="24"/>
          <w:szCs w:val="24"/>
        </w:rPr>
        <w:t xml:space="preserve"> </w:t>
      </w:r>
      <w:r w:rsidR="00964875" w:rsidRPr="003A1174">
        <w:rPr>
          <w:rFonts w:ascii="Garamond" w:hAnsi="Garamond" w:cs="Arial"/>
          <w:sz w:val="24"/>
          <w:szCs w:val="24"/>
        </w:rPr>
        <w:t>realizaram-</w:t>
      </w:r>
      <w:r w:rsidRPr="003A1174">
        <w:rPr>
          <w:rFonts w:ascii="Garamond" w:hAnsi="Garamond" w:cs="Arial"/>
          <w:sz w:val="24"/>
          <w:szCs w:val="24"/>
        </w:rPr>
        <w:t xml:space="preserve">se </w:t>
      </w:r>
      <w:r w:rsidR="002C7510" w:rsidRPr="003A1174">
        <w:rPr>
          <w:rFonts w:ascii="Garamond" w:hAnsi="Garamond" w:cs="Arial"/>
          <w:sz w:val="24"/>
          <w:szCs w:val="24"/>
        </w:rPr>
        <w:t>ações</w:t>
      </w:r>
      <w:r w:rsidRPr="003A1174">
        <w:rPr>
          <w:rFonts w:ascii="Garamond" w:hAnsi="Garamond" w:cs="Arial"/>
          <w:sz w:val="24"/>
          <w:szCs w:val="24"/>
        </w:rPr>
        <w:t xml:space="preserve"> de </w:t>
      </w:r>
      <w:r w:rsidR="00964875" w:rsidRPr="003A1174">
        <w:rPr>
          <w:rFonts w:ascii="Garamond" w:hAnsi="Garamond" w:cs="Arial"/>
          <w:sz w:val="24"/>
          <w:szCs w:val="24"/>
        </w:rPr>
        <w:t xml:space="preserve">articulação para </w:t>
      </w:r>
      <w:r w:rsidRPr="003A1174">
        <w:rPr>
          <w:rFonts w:ascii="Garamond" w:hAnsi="Garamond" w:cs="Arial"/>
          <w:sz w:val="24"/>
          <w:szCs w:val="24"/>
        </w:rPr>
        <w:t xml:space="preserve">a </w:t>
      </w:r>
      <w:r w:rsidR="00964875" w:rsidRPr="003A1174">
        <w:rPr>
          <w:rFonts w:ascii="Garamond" w:hAnsi="Garamond" w:cs="Arial"/>
          <w:sz w:val="24"/>
          <w:szCs w:val="24"/>
        </w:rPr>
        <w:t>vigilância</w:t>
      </w:r>
      <w:r w:rsidRPr="003A1174">
        <w:rPr>
          <w:rFonts w:ascii="Garamond" w:hAnsi="Garamond" w:cs="Arial"/>
          <w:sz w:val="24"/>
          <w:szCs w:val="24"/>
        </w:rPr>
        <w:t xml:space="preserve"> especial </w:t>
      </w:r>
      <w:r w:rsidR="00497503" w:rsidRPr="003A1174">
        <w:rPr>
          <w:rFonts w:ascii="Garamond" w:hAnsi="Garamond" w:cs="Arial"/>
          <w:sz w:val="24"/>
          <w:szCs w:val="24"/>
        </w:rPr>
        <w:t>dos</w:t>
      </w:r>
      <w:r w:rsidRPr="003A1174">
        <w:rPr>
          <w:rFonts w:ascii="Garamond" w:hAnsi="Garamond" w:cs="Arial"/>
          <w:sz w:val="24"/>
          <w:szCs w:val="24"/>
        </w:rPr>
        <w:t xml:space="preserve"> </w:t>
      </w:r>
      <w:r w:rsidR="002D1021" w:rsidRPr="003A1174">
        <w:rPr>
          <w:rFonts w:ascii="Garamond" w:hAnsi="Garamond" w:cs="Arial"/>
          <w:sz w:val="24"/>
          <w:szCs w:val="24"/>
        </w:rPr>
        <w:t>processo</w:t>
      </w:r>
      <w:r w:rsidRPr="003A1174">
        <w:rPr>
          <w:rFonts w:ascii="Garamond" w:hAnsi="Garamond" w:cs="Arial"/>
          <w:sz w:val="24"/>
          <w:szCs w:val="24"/>
        </w:rPr>
        <w:t xml:space="preserve">s </w:t>
      </w:r>
      <w:r w:rsidR="009A0CC2" w:rsidRPr="003A1174">
        <w:rPr>
          <w:rFonts w:ascii="Garamond" w:hAnsi="Garamond" w:cs="Arial"/>
          <w:sz w:val="24"/>
          <w:szCs w:val="24"/>
        </w:rPr>
        <w:t>penais</w:t>
      </w:r>
      <w:r w:rsidRPr="003A1174">
        <w:rPr>
          <w:rFonts w:ascii="Garamond" w:hAnsi="Garamond" w:cs="Arial"/>
          <w:sz w:val="24"/>
          <w:szCs w:val="24"/>
        </w:rPr>
        <w:t xml:space="preserve"> que se </w:t>
      </w:r>
      <w:r w:rsidR="00BE35DE">
        <w:rPr>
          <w:rFonts w:ascii="Garamond" w:hAnsi="Garamond" w:cs="Arial"/>
          <w:sz w:val="24"/>
          <w:szCs w:val="24"/>
        </w:rPr>
        <w:t>instauram</w:t>
      </w:r>
      <w:r w:rsidR="00964875" w:rsidRPr="003A1174">
        <w:rPr>
          <w:rFonts w:ascii="Garamond" w:hAnsi="Garamond" w:cs="Arial"/>
          <w:sz w:val="24"/>
          <w:szCs w:val="24"/>
        </w:rPr>
        <w:t xml:space="preserve"> a partir da </w:t>
      </w:r>
      <w:r w:rsidR="006C6E85" w:rsidRPr="003A1174">
        <w:rPr>
          <w:rFonts w:ascii="Garamond" w:hAnsi="Garamond" w:cs="Arial"/>
          <w:sz w:val="24"/>
          <w:szCs w:val="24"/>
        </w:rPr>
        <w:t>Provedoria</w:t>
      </w:r>
      <w:r w:rsidR="00964875" w:rsidRPr="003A1174">
        <w:rPr>
          <w:rFonts w:ascii="Garamond" w:hAnsi="Garamond" w:cs="Arial"/>
          <w:sz w:val="24"/>
          <w:szCs w:val="24"/>
        </w:rPr>
        <w:t xml:space="preserve"> Delegada para </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w:t>
      </w:r>
      <w:r w:rsidR="00497503" w:rsidRPr="003A1174">
        <w:rPr>
          <w:rFonts w:ascii="Garamond" w:hAnsi="Garamond" w:cs="Arial"/>
          <w:sz w:val="24"/>
          <w:szCs w:val="24"/>
        </w:rPr>
        <w:t>e</w:t>
      </w:r>
      <w:r w:rsidR="00964875" w:rsidRPr="003A1174">
        <w:rPr>
          <w:rFonts w:ascii="Garamond" w:hAnsi="Garamond" w:cs="Arial"/>
          <w:sz w:val="24"/>
          <w:szCs w:val="24"/>
        </w:rPr>
        <w:t xml:space="preserve"> d</w:t>
      </w:r>
      <w:r w:rsidRPr="003A1174">
        <w:rPr>
          <w:rFonts w:ascii="Garamond" w:hAnsi="Garamond" w:cs="Arial"/>
          <w:sz w:val="24"/>
          <w:szCs w:val="24"/>
        </w:rPr>
        <w:t xml:space="preserve">os </w:t>
      </w:r>
      <w:r w:rsidR="00973DDE" w:rsidRPr="003A1174">
        <w:rPr>
          <w:rFonts w:ascii="Garamond" w:hAnsi="Garamond" w:cs="Arial"/>
          <w:sz w:val="24"/>
          <w:szCs w:val="24"/>
        </w:rPr>
        <w:t>Assunto</w:t>
      </w:r>
      <w:r w:rsidRPr="003A1174">
        <w:rPr>
          <w:rFonts w:ascii="Garamond" w:hAnsi="Garamond" w:cs="Arial"/>
          <w:sz w:val="24"/>
          <w:szCs w:val="24"/>
        </w:rPr>
        <w:t>s de Género.</w:t>
      </w:r>
    </w:p>
    <w:p w:rsidR="000116D8" w:rsidRPr="003A1174" w:rsidRDefault="00964875" w:rsidP="008719D4">
      <w:pPr>
        <w:spacing w:before="240" w:line="240" w:lineRule="auto"/>
        <w:jc w:val="both"/>
        <w:rPr>
          <w:rFonts w:ascii="Garamond" w:hAnsi="Garamond" w:cs="Arial"/>
          <w:sz w:val="24"/>
          <w:szCs w:val="24"/>
        </w:rPr>
      </w:pPr>
      <w:r w:rsidRPr="003A1174">
        <w:rPr>
          <w:rFonts w:ascii="Garamond" w:hAnsi="Garamond" w:cs="Arial"/>
          <w:sz w:val="24"/>
          <w:szCs w:val="24"/>
        </w:rPr>
        <w:t>O Alto-</w:t>
      </w:r>
      <w:r w:rsidR="00BE35DE">
        <w:rPr>
          <w:rFonts w:ascii="Garamond" w:hAnsi="Garamond" w:cs="Arial"/>
          <w:sz w:val="24"/>
          <w:szCs w:val="24"/>
        </w:rPr>
        <w:t>C</w:t>
      </w:r>
      <w:r w:rsidRPr="003A1174">
        <w:rPr>
          <w:rFonts w:ascii="Garamond" w:hAnsi="Garamond" w:cs="Arial"/>
          <w:sz w:val="24"/>
          <w:szCs w:val="24"/>
        </w:rPr>
        <w:t>omissário</w:t>
      </w:r>
      <w:r w:rsidR="000116D8" w:rsidRPr="003A1174">
        <w:rPr>
          <w:rFonts w:ascii="Garamond" w:hAnsi="Garamond" w:cs="Arial"/>
          <w:sz w:val="24"/>
          <w:szCs w:val="24"/>
        </w:rPr>
        <w:t xml:space="preserve">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3F012B" w:rsidRPr="003A1174">
        <w:rPr>
          <w:rFonts w:ascii="Garamond" w:hAnsi="Garamond" w:cs="Arial"/>
          <w:sz w:val="24"/>
          <w:szCs w:val="24"/>
        </w:rPr>
        <w:t>Nações</w:t>
      </w:r>
      <w:r w:rsidR="000116D8" w:rsidRPr="003A1174">
        <w:rPr>
          <w:rFonts w:ascii="Garamond" w:hAnsi="Garamond" w:cs="Arial"/>
          <w:sz w:val="24"/>
          <w:szCs w:val="24"/>
        </w:rPr>
        <w:t xml:space="preserve"> Unidas para Refugiados </w:t>
      </w:r>
      <w:r w:rsidR="007A2492" w:rsidRPr="003A1174">
        <w:rPr>
          <w:rFonts w:ascii="Garamond" w:hAnsi="Garamond" w:cs="Arial"/>
          <w:sz w:val="24"/>
          <w:szCs w:val="24"/>
        </w:rPr>
        <w:t>tem</w:t>
      </w:r>
      <w:r w:rsidR="000116D8" w:rsidRPr="003A1174">
        <w:rPr>
          <w:rFonts w:ascii="Garamond" w:hAnsi="Garamond" w:cs="Arial"/>
          <w:sz w:val="24"/>
          <w:szCs w:val="24"/>
        </w:rPr>
        <w:t xml:space="preserve"> </w:t>
      </w:r>
      <w:r w:rsidRPr="003A1174">
        <w:rPr>
          <w:rFonts w:ascii="Garamond" w:hAnsi="Garamond" w:cs="Arial"/>
          <w:sz w:val="24"/>
          <w:szCs w:val="24"/>
        </w:rPr>
        <w:t xml:space="preserve">acordos </w:t>
      </w:r>
      <w:r w:rsidR="000116D8" w:rsidRPr="003A1174">
        <w:rPr>
          <w:rFonts w:ascii="Garamond" w:hAnsi="Garamond" w:cs="Arial"/>
          <w:sz w:val="24"/>
          <w:szCs w:val="24"/>
        </w:rPr>
        <w:t xml:space="preserve">de </w:t>
      </w:r>
      <w:r w:rsidR="00C30647" w:rsidRPr="003A1174">
        <w:rPr>
          <w:rFonts w:ascii="Garamond" w:hAnsi="Garamond" w:cs="Arial"/>
          <w:sz w:val="24"/>
          <w:szCs w:val="24"/>
        </w:rPr>
        <w:t>cooperação</w:t>
      </w:r>
      <w:r w:rsidR="000116D8" w:rsidRPr="003A1174">
        <w:rPr>
          <w:rFonts w:ascii="Garamond" w:hAnsi="Garamond" w:cs="Arial"/>
          <w:sz w:val="24"/>
          <w:szCs w:val="24"/>
        </w:rPr>
        <w:t xml:space="preserve"> vigentes co</w:t>
      </w:r>
      <w:r w:rsidRPr="003A1174">
        <w:rPr>
          <w:rFonts w:ascii="Garamond" w:hAnsi="Garamond" w:cs="Arial"/>
          <w:sz w:val="24"/>
          <w:szCs w:val="24"/>
        </w:rPr>
        <w:t>m vário</w:t>
      </w:r>
      <w:r w:rsidR="000116D8" w:rsidRPr="003A1174">
        <w:rPr>
          <w:rFonts w:ascii="Garamond" w:hAnsi="Garamond" w:cs="Arial"/>
          <w:sz w:val="24"/>
          <w:szCs w:val="24"/>
        </w:rPr>
        <w:t xml:space="preserve">s </w:t>
      </w:r>
      <w:r w:rsidRPr="003A1174">
        <w:rPr>
          <w:rFonts w:ascii="Garamond" w:hAnsi="Garamond" w:cs="Arial"/>
          <w:sz w:val="24"/>
          <w:szCs w:val="24"/>
        </w:rPr>
        <w:t xml:space="preserve">Distritos </w:t>
      </w:r>
      <w:r w:rsidR="008A3DA2" w:rsidRPr="003A1174">
        <w:rPr>
          <w:rFonts w:ascii="Garamond" w:hAnsi="Garamond" w:cs="Arial"/>
          <w:sz w:val="24"/>
          <w:szCs w:val="24"/>
        </w:rPr>
        <w:t>do</w:t>
      </w:r>
      <w:r w:rsidRPr="003A1174">
        <w:rPr>
          <w:rFonts w:ascii="Garamond" w:hAnsi="Garamond" w:cs="Arial"/>
          <w:sz w:val="24"/>
          <w:szCs w:val="24"/>
        </w:rPr>
        <w:t xml:space="preserve"> país, entre ele</w:t>
      </w:r>
      <w:r w:rsidR="000116D8" w:rsidRPr="003A1174">
        <w:rPr>
          <w:rFonts w:ascii="Garamond" w:hAnsi="Garamond" w:cs="Arial"/>
          <w:sz w:val="24"/>
          <w:szCs w:val="24"/>
        </w:rPr>
        <w:t>s</w:t>
      </w:r>
      <w:r w:rsidRPr="003A1174">
        <w:rPr>
          <w:rFonts w:ascii="Garamond" w:hAnsi="Garamond" w:cs="Arial"/>
          <w:sz w:val="24"/>
          <w:szCs w:val="24"/>
        </w:rPr>
        <w:t>,</w:t>
      </w:r>
      <w:r w:rsidR="000116D8" w:rsidRPr="003A1174">
        <w:rPr>
          <w:rFonts w:ascii="Garamond" w:hAnsi="Garamond" w:cs="Arial"/>
          <w:sz w:val="24"/>
          <w:szCs w:val="24"/>
        </w:rPr>
        <w:t xml:space="preserve"> </w:t>
      </w:r>
      <w:r w:rsidRPr="003A1174">
        <w:rPr>
          <w:rFonts w:ascii="Garamond" w:hAnsi="Garamond" w:cs="Arial"/>
          <w:sz w:val="24"/>
          <w:szCs w:val="24"/>
        </w:rPr>
        <w:t>o</w:t>
      </w:r>
      <w:r w:rsidR="000116D8" w:rsidRPr="003A1174">
        <w:rPr>
          <w:rFonts w:ascii="Garamond" w:hAnsi="Garamond" w:cs="Arial"/>
          <w:sz w:val="24"/>
          <w:szCs w:val="24"/>
        </w:rPr>
        <w:t xml:space="preserve">s de Tumaco, Buenaventura, Villavicencio, Arauca </w:t>
      </w:r>
      <w:r w:rsidR="00497503" w:rsidRPr="003A1174">
        <w:rPr>
          <w:rFonts w:ascii="Garamond" w:hAnsi="Garamond" w:cs="Arial"/>
          <w:sz w:val="24"/>
          <w:szCs w:val="24"/>
        </w:rPr>
        <w:t>e</w:t>
      </w:r>
      <w:r w:rsidR="000116D8" w:rsidRPr="003A1174">
        <w:rPr>
          <w:rFonts w:ascii="Garamond" w:hAnsi="Garamond" w:cs="Arial"/>
          <w:sz w:val="24"/>
          <w:szCs w:val="24"/>
        </w:rPr>
        <w:t xml:space="preserve"> Cúcuta, sobre </w:t>
      </w:r>
      <w:r w:rsidR="00886D6A" w:rsidRPr="003A1174">
        <w:rPr>
          <w:rFonts w:ascii="Garamond" w:hAnsi="Garamond" w:cs="Arial"/>
          <w:sz w:val="24"/>
          <w:szCs w:val="24"/>
        </w:rPr>
        <w:t>direito</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3F012B" w:rsidRPr="003A1174">
        <w:rPr>
          <w:rFonts w:ascii="Garamond" w:hAnsi="Garamond" w:cs="Arial"/>
          <w:sz w:val="24"/>
          <w:szCs w:val="24"/>
        </w:rPr>
        <w:t>vítima</w:t>
      </w:r>
      <w:r w:rsidR="000116D8" w:rsidRPr="003A1174">
        <w:rPr>
          <w:rFonts w:ascii="Garamond" w:hAnsi="Garamond" w:cs="Arial"/>
          <w:sz w:val="24"/>
          <w:szCs w:val="24"/>
        </w:rPr>
        <w:t>s.</w:t>
      </w:r>
    </w:p>
    <w:p w:rsidR="000116D8" w:rsidRPr="003A1174" w:rsidRDefault="00964875"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w:t>
      </w:r>
      <w:r w:rsidR="00731B19" w:rsidRPr="003A1174">
        <w:rPr>
          <w:rFonts w:ascii="Garamond" w:hAnsi="Garamond" w:cs="Arial"/>
          <w:sz w:val="24"/>
          <w:szCs w:val="24"/>
        </w:rPr>
        <w:t>exercício</w:t>
      </w:r>
      <w:r w:rsidR="00417A55" w:rsidRPr="003A1174">
        <w:rPr>
          <w:rFonts w:ascii="Garamond" w:hAnsi="Garamond" w:cs="Arial"/>
          <w:sz w:val="24"/>
          <w:szCs w:val="24"/>
        </w:rPr>
        <w:t xml:space="preserve"> d</w:t>
      </w:r>
      <w:r w:rsidRPr="003A1174">
        <w:rPr>
          <w:rFonts w:ascii="Garamond" w:hAnsi="Garamond" w:cs="Arial"/>
          <w:sz w:val="24"/>
          <w:szCs w:val="24"/>
        </w:rPr>
        <w:t xml:space="preserve">a sua </w:t>
      </w:r>
      <w:r w:rsidR="00417A55" w:rsidRPr="003A1174">
        <w:rPr>
          <w:rFonts w:ascii="Garamond" w:hAnsi="Garamond" w:cs="Arial"/>
          <w:sz w:val="24"/>
          <w:szCs w:val="24"/>
        </w:rPr>
        <w:t>magi</w:t>
      </w:r>
      <w:r w:rsidRPr="003A1174">
        <w:rPr>
          <w:rFonts w:ascii="Garamond" w:hAnsi="Garamond" w:cs="Arial"/>
          <w:sz w:val="24"/>
          <w:szCs w:val="24"/>
        </w:rPr>
        <w:t xml:space="preserve">stratura </w:t>
      </w:r>
      <w:r w:rsidR="00BE35DE">
        <w:rPr>
          <w:rFonts w:ascii="Garamond" w:hAnsi="Garamond" w:cs="Arial"/>
          <w:sz w:val="24"/>
          <w:szCs w:val="24"/>
        </w:rPr>
        <w:t>human</w:t>
      </w:r>
      <w:r w:rsidR="00237653">
        <w:rPr>
          <w:rFonts w:ascii="Garamond" w:hAnsi="Garamond" w:cs="Arial"/>
          <w:sz w:val="24"/>
          <w:szCs w:val="24"/>
        </w:rPr>
        <w:t>ista</w:t>
      </w:r>
      <w:r w:rsidRPr="003A1174">
        <w:rPr>
          <w:rFonts w:ascii="Garamond" w:hAnsi="Garamond" w:cs="Arial"/>
          <w:sz w:val="24"/>
          <w:szCs w:val="24"/>
        </w:rPr>
        <w:t xml:space="preserve">, </w:t>
      </w:r>
      <w:r w:rsidR="000116D8"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0116D8" w:rsidRPr="003A1174">
        <w:rPr>
          <w:rFonts w:ascii="Garamond" w:hAnsi="Garamond" w:cs="Arial"/>
          <w:sz w:val="24"/>
          <w:szCs w:val="24"/>
        </w:rPr>
        <w:t xml:space="preserve"> </w:t>
      </w:r>
      <w:r w:rsidR="00417A55" w:rsidRPr="003A1174">
        <w:rPr>
          <w:rFonts w:ascii="Garamond" w:hAnsi="Garamond" w:cs="Arial"/>
          <w:sz w:val="24"/>
          <w:szCs w:val="24"/>
        </w:rPr>
        <w:t>emiti</w:t>
      </w:r>
      <w:r w:rsidRPr="003A1174">
        <w:rPr>
          <w:rFonts w:ascii="Garamond" w:hAnsi="Garamond" w:cs="Arial"/>
          <w:sz w:val="24"/>
          <w:szCs w:val="24"/>
        </w:rPr>
        <w:t xml:space="preserve">u </w:t>
      </w:r>
      <w:r w:rsidR="00BE35DE">
        <w:rPr>
          <w:rFonts w:ascii="Garamond" w:hAnsi="Garamond" w:cs="Arial"/>
          <w:sz w:val="24"/>
          <w:szCs w:val="24"/>
        </w:rPr>
        <w:t xml:space="preserve">pareceres </w:t>
      </w:r>
      <w:r w:rsidRPr="003A1174">
        <w:rPr>
          <w:rFonts w:ascii="Garamond" w:hAnsi="Garamond" w:cs="Arial"/>
          <w:sz w:val="24"/>
          <w:szCs w:val="24"/>
        </w:rPr>
        <w:t xml:space="preserve">sobre </w:t>
      </w:r>
      <w:r w:rsidR="000116D8"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 xml:space="preserve">s humanos de todas </w:t>
      </w:r>
      <w:r w:rsidR="000116D8" w:rsidRPr="003A1174">
        <w:rPr>
          <w:rFonts w:ascii="Garamond" w:hAnsi="Garamond" w:cs="Arial"/>
          <w:sz w:val="24"/>
          <w:szCs w:val="24"/>
        </w:rPr>
        <w:t xml:space="preserve">as </w:t>
      </w:r>
      <w:r w:rsidR="0091213A" w:rsidRPr="003A1174">
        <w:rPr>
          <w:rFonts w:ascii="Garamond" w:hAnsi="Garamond" w:cs="Arial"/>
          <w:sz w:val="24"/>
          <w:szCs w:val="24"/>
        </w:rPr>
        <w:t>populações</w:t>
      </w:r>
      <w:r w:rsidR="000116D8" w:rsidRPr="003A1174">
        <w:rPr>
          <w:rFonts w:ascii="Garamond" w:hAnsi="Garamond" w:cs="Arial"/>
          <w:sz w:val="24"/>
          <w:szCs w:val="24"/>
        </w:rPr>
        <w:t xml:space="preserve">, </w:t>
      </w:r>
      <w:r w:rsidR="00BE35DE">
        <w:rPr>
          <w:rFonts w:ascii="Garamond" w:hAnsi="Garamond" w:cs="Arial"/>
          <w:sz w:val="24"/>
          <w:szCs w:val="24"/>
        </w:rPr>
        <w:t>designadamente,</w:t>
      </w:r>
      <w:r w:rsidR="000116D8" w:rsidRPr="003A1174">
        <w:rPr>
          <w:rFonts w:ascii="Garamond" w:hAnsi="Garamond" w:cs="Arial"/>
          <w:sz w:val="24"/>
          <w:szCs w:val="24"/>
        </w:rPr>
        <w:t xml:space="preserve"> </w:t>
      </w:r>
      <w:r w:rsidRPr="003A1174">
        <w:rPr>
          <w:rFonts w:ascii="Garamond" w:hAnsi="Garamond" w:cs="Arial"/>
          <w:sz w:val="24"/>
          <w:szCs w:val="24"/>
        </w:rPr>
        <w:t xml:space="preserve">no </w:t>
      </w:r>
      <w:r w:rsidR="000116D8" w:rsidRPr="003A1174">
        <w:rPr>
          <w:rFonts w:ascii="Garamond" w:hAnsi="Garamond" w:cs="Arial"/>
          <w:sz w:val="24"/>
          <w:szCs w:val="24"/>
        </w:rPr>
        <w:t xml:space="preserve">que </w:t>
      </w:r>
      <w:r w:rsidRPr="003A1174">
        <w:rPr>
          <w:rFonts w:ascii="Garamond" w:hAnsi="Garamond" w:cs="Arial"/>
          <w:sz w:val="24"/>
          <w:szCs w:val="24"/>
        </w:rPr>
        <w:t xml:space="preserve">compete a esta Delegada, </w:t>
      </w:r>
      <w:r w:rsidR="00BE35DE">
        <w:rPr>
          <w:rFonts w:ascii="Garamond" w:hAnsi="Garamond" w:cs="Arial"/>
          <w:sz w:val="24"/>
          <w:szCs w:val="24"/>
        </w:rPr>
        <w:t xml:space="preserve">elaboraram-se </w:t>
      </w:r>
      <w:r w:rsidR="009E3E55" w:rsidRPr="003A1174">
        <w:rPr>
          <w:rFonts w:ascii="Garamond" w:hAnsi="Garamond" w:cs="Arial"/>
          <w:sz w:val="24"/>
          <w:szCs w:val="24"/>
        </w:rPr>
        <w:t>relatório</w:t>
      </w:r>
      <w:r w:rsidR="000116D8" w:rsidRPr="003A1174">
        <w:rPr>
          <w:rFonts w:ascii="Garamond" w:hAnsi="Garamond" w:cs="Arial"/>
          <w:sz w:val="24"/>
          <w:szCs w:val="24"/>
        </w:rPr>
        <w:t xml:space="preserve">s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BE35DE">
        <w:rPr>
          <w:rFonts w:ascii="Garamond" w:hAnsi="Garamond" w:cs="Arial"/>
          <w:sz w:val="24"/>
          <w:szCs w:val="24"/>
        </w:rPr>
        <w:t>tomadas de posição</w:t>
      </w:r>
      <w:r w:rsidR="000116D8" w:rsidRPr="003A1174">
        <w:rPr>
          <w:rFonts w:ascii="Garamond" w:hAnsi="Garamond" w:cs="Arial"/>
          <w:sz w:val="24"/>
          <w:szCs w:val="24"/>
        </w:rPr>
        <w:t xml:space="preserve"> sobre temas</w:t>
      </w:r>
      <w:r w:rsidR="00BE35DE">
        <w:rPr>
          <w:rFonts w:ascii="Garamond" w:hAnsi="Garamond" w:cs="Arial"/>
          <w:sz w:val="24"/>
          <w:szCs w:val="24"/>
        </w:rPr>
        <w:t>,</w:t>
      </w:r>
      <w:r w:rsidR="000116D8" w:rsidRPr="003A1174">
        <w:rPr>
          <w:rFonts w:ascii="Garamond" w:hAnsi="Garamond" w:cs="Arial"/>
          <w:sz w:val="24"/>
          <w:szCs w:val="24"/>
        </w:rPr>
        <w:t xml:space="preserve"> </w:t>
      </w:r>
      <w:r w:rsidR="00417A55" w:rsidRPr="003A1174">
        <w:rPr>
          <w:rFonts w:ascii="Garamond" w:hAnsi="Garamond" w:cs="Arial"/>
          <w:sz w:val="24"/>
          <w:szCs w:val="24"/>
        </w:rPr>
        <w:t>ta</w:t>
      </w:r>
      <w:r w:rsidRPr="003A1174">
        <w:rPr>
          <w:rFonts w:ascii="Garamond" w:hAnsi="Garamond" w:cs="Arial"/>
          <w:sz w:val="24"/>
          <w:szCs w:val="24"/>
        </w:rPr>
        <w:t>i</w:t>
      </w:r>
      <w:r w:rsidR="00417A55" w:rsidRPr="003A1174">
        <w:rPr>
          <w:rFonts w:ascii="Garamond" w:hAnsi="Garamond" w:cs="Arial"/>
          <w:sz w:val="24"/>
          <w:szCs w:val="24"/>
        </w:rPr>
        <w:t xml:space="preserve">s </w:t>
      </w:r>
      <w:r w:rsidR="000116D8" w:rsidRPr="003A1174">
        <w:rPr>
          <w:rFonts w:ascii="Garamond" w:hAnsi="Garamond" w:cs="Arial"/>
          <w:sz w:val="24"/>
          <w:szCs w:val="24"/>
        </w:rPr>
        <w:t>como</w:t>
      </w:r>
      <w:r w:rsidR="00BE35DE">
        <w:rPr>
          <w:rFonts w:ascii="Garamond" w:hAnsi="Garamond" w:cs="Arial"/>
          <w:sz w:val="24"/>
          <w:szCs w:val="24"/>
        </w:rPr>
        <w:t xml:space="preserve">,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3F012B" w:rsidRPr="003A1174">
        <w:rPr>
          <w:rFonts w:ascii="Garamond" w:hAnsi="Garamond" w:cs="Arial"/>
          <w:sz w:val="24"/>
          <w:szCs w:val="24"/>
        </w:rPr>
        <w:t>vítima</w:t>
      </w:r>
      <w:r w:rsidR="000116D8" w:rsidRPr="003A1174">
        <w:rPr>
          <w:rFonts w:ascii="Garamond" w:hAnsi="Garamond" w:cs="Arial"/>
          <w:sz w:val="24"/>
          <w:szCs w:val="24"/>
        </w:rPr>
        <w:t>s de ataque co</w:t>
      </w:r>
      <w:r w:rsidRPr="003A1174">
        <w:rPr>
          <w:rFonts w:ascii="Garamond" w:hAnsi="Garamond" w:cs="Arial"/>
          <w:sz w:val="24"/>
          <w:szCs w:val="24"/>
        </w:rPr>
        <w:t>m</w:t>
      </w:r>
      <w:r w:rsidR="000116D8" w:rsidRPr="003A1174">
        <w:rPr>
          <w:rFonts w:ascii="Garamond" w:hAnsi="Garamond" w:cs="Arial"/>
          <w:sz w:val="24"/>
          <w:szCs w:val="24"/>
        </w:rPr>
        <w:t xml:space="preserve"> ácido, </w:t>
      </w:r>
      <w:r w:rsidR="000350B1" w:rsidRPr="003A1174">
        <w:rPr>
          <w:rFonts w:ascii="Garamond" w:hAnsi="Garamond" w:cs="Arial"/>
          <w:sz w:val="24"/>
          <w:szCs w:val="24"/>
        </w:rPr>
        <w:t>violência</w:t>
      </w:r>
      <w:r w:rsidRPr="003A1174">
        <w:rPr>
          <w:rFonts w:ascii="Garamond" w:hAnsi="Garamond" w:cs="Arial"/>
          <w:sz w:val="24"/>
          <w:szCs w:val="24"/>
        </w:rPr>
        <w:t xml:space="preserve"> sexual contra </w:t>
      </w:r>
      <w:r w:rsidR="000116D8" w:rsidRPr="003A1174">
        <w:rPr>
          <w:rFonts w:ascii="Garamond" w:hAnsi="Garamond" w:cs="Arial"/>
          <w:sz w:val="24"/>
          <w:szCs w:val="24"/>
        </w:rPr>
        <w:t xml:space="preserve">as </w:t>
      </w:r>
      <w:r w:rsidR="00054EE0" w:rsidRPr="003A1174">
        <w:rPr>
          <w:rFonts w:ascii="Garamond" w:hAnsi="Garamond" w:cs="Arial"/>
          <w:sz w:val="24"/>
          <w:szCs w:val="24"/>
        </w:rPr>
        <w:t>mulheres</w:t>
      </w:r>
      <w:r w:rsidR="00BE35DE">
        <w:rPr>
          <w:rFonts w:ascii="Garamond" w:hAnsi="Garamond" w:cs="Arial"/>
          <w:sz w:val="24"/>
          <w:szCs w:val="24"/>
        </w:rPr>
        <w:t>,</w:t>
      </w:r>
      <w:r w:rsidR="000116D8" w:rsidRPr="003A1174">
        <w:rPr>
          <w:rFonts w:ascii="Garamond" w:hAnsi="Garamond" w:cs="Arial"/>
          <w:sz w:val="24"/>
          <w:szCs w:val="24"/>
        </w:rPr>
        <w:t xml:space="preserve"> dentro </w:t>
      </w:r>
      <w:r w:rsidR="00497503" w:rsidRPr="003A1174">
        <w:rPr>
          <w:rFonts w:ascii="Garamond" w:hAnsi="Garamond" w:cs="Arial"/>
          <w:sz w:val="24"/>
          <w:szCs w:val="24"/>
        </w:rPr>
        <w:t>e</w:t>
      </w:r>
      <w:r w:rsidR="000116D8" w:rsidRPr="003A1174">
        <w:rPr>
          <w:rFonts w:ascii="Garamond" w:hAnsi="Garamond" w:cs="Arial"/>
          <w:sz w:val="24"/>
          <w:szCs w:val="24"/>
        </w:rPr>
        <w:t xml:space="preserve"> f</w:t>
      </w:r>
      <w:r w:rsidRPr="003A1174">
        <w:rPr>
          <w:rFonts w:ascii="Garamond" w:hAnsi="Garamond" w:cs="Arial"/>
          <w:sz w:val="24"/>
          <w:szCs w:val="24"/>
        </w:rPr>
        <w:t>o</w:t>
      </w:r>
      <w:r w:rsidR="000116D8" w:rsidRPr="003A1174">
        <w:rPr>
          <w:rFonts w:ascii="Garamond" w:hAnsi="Garamond" w:cs="Arial"/>
          <w:sz w:val="24"/>
          <w:szCs w:val="24"/>
        </w:rPr>
        <w:t xml:space="preserve">ra </w:t>
      </w:r>
      <w:r w:rsidR="00E85E59" w:rsidRPr="003A1174">
        <w:rPr>
          <w:rFonts w:ascii="Garamond" w:hAnsi="Garamond" w:cs="Arial"/>
          <w:sz w:val="24"/>
          <w:szCs w:val="24"/>
        </w:rPr>
        <w:t>do</w:t>
      </w:r>
      <w:r w:rsidR="000116D8" w:rsidRPr="003A1174">
        <w:rPr>
          <w:rFonts w:ascii="Garamond" w:hAnsi="Garamond" w:cs="Arial"/>
          <w:sz w:val="24"/>
          <w:szCs w:val="24"/>
        </w:rPr>
        <w:t xml:space="preserve"> </w:t>
      </w:r>
      <w:r w:rsidR="00D15AFF" w:rsidRPr="003A1174">
        <w:rPr>
          <w:rFonts w:ascii="Garamond" w:hAnsi="Garamond" w:cs="Arial"/>
          <w:sz w:val="24"/>
          <w:szCs w:val="24"/>
        </w:rPr>
        <w:t>conflito</w:t>
      </w:r>
      <w:r w:rsidR="000116D8" w:rsidRPr="003A1174">
        <w:rPr>
          <w:rFonts w:ascii="Garamond" w:hAnsi="Garamond" w:cs="Arial"/>
          <w:sz w:val="24"/>
          <w:szCs w:val="24"/>
        </w:rPr>
        <w:t xml:space="preserve"> armado, </w:t>
      </w:r>
      <w:r w:rsidR="00054EE0" w:rsidRPr="003A1174">
        <w:rPr>
          <w:rFonts w:ascii="Garamond" w:hAnsi="Garamond" w:cs="Arial"/>
          <w:sz w:val="24"/>
          <w:szCs w:val="24"/>
        </w:rPr>
        <w:t>mulheres</w:t>
      </w:r>
      <w:r w:rsidR="000116D8" w:rsidRPr="003A1174">
        <w:rPr>
          <w:rFonts w:ascii="Garamond" w:hAnsi="Garamond" w:cs="Arial"/>
          <w:sz w:val="24"/>
          <w:szCs w:val="24"/>
        </w:rPr>
        <w:t xml:space="preserve"> defensoras de </w:t>
      </w:r>
      <w:r w:rsidR="00886D6A" w:rsidRPr="003A1174">
        <w:rPr>
          <w:rFonts w:ascii="Garamond" w:hAnsi="Garamond" w:cs="Arial"/>
          <w:sz w:val="24"/>
          <w:szCs w:val="24"/>
        </w:rPr>
        <w:t>Direito</w:t>
      </w:r>
      <w:r w:rsidR="000116D8" w:rsidRPr="003A1174">
        <w:rPr>
          <w:rFonts w:ascii="Garamond" w:hAnsi="Garamond" w:cs="Arial"/>
          <w:sz w:val="24"/>
          <w:szCs w:val="24"/>
        </w:rPr>
        <w:t xml:space="preserve">s Humanos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Pr="003A1174">
        <w:rPr>
          <w:rFonts w:ascii="Garamond" w:hAnsi="Garamond" w:cs="Arial"/>
          <w:sz w:val="24"/>
          <w:szCs w:val="24"/>
        </w:rPr>
        <w:t>mulheres lí</w:t>
      </w:r>
      <w:r w:rsidR="000116D8" w:rsidRPr="003A1174">
        <w:rPr>
          <w:rFonts w:ascii="Garamond" w:hAnsi="Garamond" w:cs="Arial"/>
          <w:sz w:val="24"/>
          <w:szCs w:val="24"/>
        </w:rPr>
        <w:t>deres e</w:t>
      </w:r>
      <w:r w:rsidRPr="003A1174">
        <w:rPr>
          <w:rFonts w:ascii="Garamond" w:hAnsi="Garamond" w:cs="Arial"/>
          <w:sz w:val="24"/>
          <w:szCs w:val="24"/>
        </w:rPr>
        <w:t>m</w:t>
      </w:r>
      <w:r w:rsidR="000116D8" w:rsidRPr="003A1174">
        <w:rPr>
          <w:rFonts w:ascii="Garamond" w:hAnsi="Garamond" w:cs="Arial"/>
          <w:sz w:val="24"/>
          <w:szCs w:val="24"/>
        </w:rPr>
        <w:t xml:space="preserve"> </w:t>
      </w:r>
      <w:r w:rsidR="0017447A" w:rsidRPr="003A1174">
        <w:rPr>
          <w:rFonts w:ascii="Garamond" w:hAnsi="Garamond" w:cs="Arial"/>
          <w:sz w:val="24"/>
          <w:szCs w:val="24"/>
        </w:rPr>
        <w:t>situação</w:t>
      </w:r>
      <w:r w:rsidR="000116D8" w:rsidRPr="003A1174">
        <w:rPr>
          <w:rFonts w:ascii="Garamond" w:hAnsi="Garamond" w:cs="Arial"/>
          <w:sz w:val="24"/>
          <w:szCs w:val="24"/>
        </w:rPr>
        <w:t xml:space="preserve"> de </w:t>
      </w:r>
      <w:r w:rsidR="008651AF" w:rsidRPr="003A1174">
        <w:rPr>
          <w:rFonts w:ascii="Garamond" w:hAnsi="Garamond" w:cs="Arial"/>
          <w:sz w:val="24"/>
          <w:szCs w:val="24"/>
        </w:rPr>
        <w:t>risco</w:t>
      </w:r>
      <w:r w:rsidR="000116D8" w:rsidRPr="003A1174">
        <w:rPr>
          <w:rFonts w:ascii="Garamond" w:hAnsi="Garamond" w:cs="Arial"/>
          <w:sz w:val="24"/>
          <w:szCs w:val="24"/>
        </w:rPr>
        <w:t xml:space="preserve"> </w:t>
      </w:r>
      <w:r w:rsidRPr="003A1174">
        <w:rPr>
          <w:rFonts w:ascii="Garamond" w:hAnsi="Garamond" w:cs="Arial"/>
          <w:sz w:val="24"/>
          <w:szCs w:val="24"/>
        </w:rPr>
        <w:t xml:space="preserve">por </w:t>
      </w:r>
      <w:r w:rsidR="00BE35DE">
        <w:rPr>
          <w:rFonts w:ascii="Garamond" w:hAnsi="Garamond" w:cs="Arial"/>
          <w:sz w:val="24"/>
          <w:szCs w:val="24"/>
        </w:rPr>
        <w:t>razões relacionadas com as</w:t>
      </w:r>
      <w:r w:rsidRPr="003A1174">
        <w:rPr>
          <w:rFonts w:ascii="Garamond" w:hAnsi="Garamond" w:cs="Arial"/>
          <w:sz w:val="24"/>
          <w:szCs w:val="24"/>
        </w:rPr>
        <w:t xml:space="preserve"> suas </w:t>
      </w:r>
      <w:r w:rsidR="00374785" w:rsidRPr="003A1174">
        <w:rPr>
          <w:rFonts w:ascii="Garamond" w:hAnsi="Garamond" w:cs="Arial"/>
          <w:sz w:val="24"/>
          <w:szCs w:val="24"/>
        </w:rPr>
        <w:t>atividades</w:t>
      </w:r>
      <w:r w:rsidR="000116D8" w:rsidRPr="003A1174">
        <w:rPr>
          <w:rFonts w:ascii="Garamond" w:hAnsi="Garamond" w:cs="Arial"/>
          <w:sz w:val="24"/>
          <w:szCs w:val="24"/>
        </w:rPr>
        <w:t xml:space="preserve">, </w:t>
      </w:r>
      <w:r w:rsidR="00886D6A" w:rsidRPr="003A1174">
        <w:rPr>
          <w:rFonts w:ascii="Garamond" w:hAnsi="Garamond" w:cs="Arial"/>
          <w:sz w:val="24"/>
          <w:szCs w:val="24"/>
        </w:rPr>
        <w:t>direito</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054EE0" w:rsidRPr="003A1174">
        <w:rPr>
          <w:rFonts w:ascii="Garamond" w:hAnsi="Garamond" w:cs="Arial"/>
          <w:sz w:val="24"/>
          <w:szCs w:val="24"/>
        </w:rPr>
        <w:t>mulheres</w:t>
      </w:r>
      <w:r w:rsidR="000116D8" w:rsidRPr="003A1174">
        <w:rPr>
          <w:rFonts w:ascii="Garamond" w:hAnsi="Garamond" w:cs="Arial"/>
          <w:sz w:val="24"/>
          <w:szCs w:val="24"/>
        </w:rPr>
        <w:t xml:space="preserve">, entre </w:t>
      </w:r>
      <w:r w:rsidR="001F2F8B" w:rsidRPr="003A1174">
        <w:rPr>
          <w:rFonts w:ascii="Garamond" w:hAnsi="Garamond" w:cs="Arial"/>
          <w:sz w:val="24"/>
          <w:szCs w:val="24"/>
        </w:rPr>
        <w:t>outro</w:t>
      </w:r>
      <w:r w:rsidR="000116D8" w:rsidRPr="003A1174">
        <w:rPr>
          <w:rFonts w:ascii="Garamond" w:hAnsi="Garamond" w:cs="Arial"/>
          <w:sz w:val="24"/>
          <w:szCs w:val="24"/>
        </w:rPr>
        <w:t>s temas.</w:t>
      </w:r>
    </w:p>
    <w:p w:rsidR="00BE35DE" w:rsidRPr="003A1174" w:rsidRDefault="009A0CC2" w:rsidP="00BE35DE">
      <w:pPr>
        <w:spacing w:before="240" w:line="240" w:lineRule="auto"/>
        <w:jc w:val="both"/>
        <w:rPr>
          <w:rFonts w:ascii="Garamond" w:hAnsi="Garamond" w:cs="Arial"/>
          <w:sz w:val="24"/>
          <w:szCs w:val="24"/>
        </w:rPr>
      </w:pPr>
      <w:r w:rsidRPr="003A1174">
        <w:rPr>
          <w:rFonts w:ascii="Garamond" w:hAnsi="Garamond" w:cs="Arial"/>
          <w:sz w:val="24"/>
          <w:szCs w:val="24"/>
        </w:rPr>
        <w:t>Através</w:t>
      </w:r>
      <w:r w:rsidR="00964875" w:rsidRPr="003A1174">
        <w:rPr>
          <w:rFonts w:ascii="Garamond" w:hAnsi="Garamond" w:cs="Arial"/>
          <w:sz w:val="24"/>
          <w:szCs w:val="24"/>
        </w:rPr>
        <w:t xml:space="preserve"> d</w:t>
      </w:r>
      <w:r w:rsidR="000116D8" w:rsidRPr="003A1174">
        <w:rPr>
          <w:rFonts w:ascii="Garamond" w:hAnsi="Garamond" w:cs="Arial"/>
          <w:sz w:val="24"/>
          <w:szCs w:val="24"/>
        </w:rPr>
        <w:t xml:space="preserve">a </w:t>
      </w:r>
      <w:r w:rsidR="006C6E85" w:rsidRPr="003A1174">
        <w:rPr>
          <w:rFonts w:ascii="Garamond" w:hAnsi="Garamond" w:cs="Arial"/>
          <w:sz w:val="24"/>
          <w:szCs w:val="24"/>
        </w:rPr>
        <w:t>Provedoria</w:t>
      </w:r>
      <w:r w:rsidR="000116D8" w:rsidRPr="003A1174">
        <w:rPr>
          <w:rFonts w:ascii="Garamond" w:hAnsi="Garamond" w:cs="Arial"/>
          <w:sz w:val="24"/>
          <w:szCs w:val="24"/>
        </w:rPr>
        <w:t xml:space="preserve"> De</w:t>
      </w:r>
      <w:r w:rsidR="00964875" w:rsidRPr="003A1174">
        <w:rPr>
          <w:rFonts w:ascii="Garamond" w:hAnsi="Garamond" w:cs="Arial"/>
          <w:sz w:val="24"/>
          <w:szCs w:val="24"/>
        </w:rPr>
        <w:t xml:space="preserve">legada para </w:t>
      </w:r>
      <w:r w:rsidR="000116D8" w:rsidRPr="003A1174">
        <w:rPr>
          <w:rFonts w:ascii="Garamond" w:hAnsi="Garamond" w:cs="Arial"/>
          <w:sz w:val="24"/>
          <w:szCs w:val="24"/>
        </w:rPr>
        <w:t xml:space="preserve">os </w:t>
      </w:r>
      <w:r w:rsidR="00886D6A" w:rsidRPr="003A1174">
        <w:rPr>
          <w:rFonts w:ascii="Garamond" w:hAnsi="Garamond" w:cs="Arial"/>
          <w:sz w:val="24"/>
          <w:szCs w:val="24"/>
        </w:rPr>
        <w:t>Direito</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964875" w:rsidRPr="003A1174">
        <w:rPr>
          <w:rFonts w:ascii="Garamond" w:hAnsi="Garamond" w:cs="Arial"/>
          <w:sz w:val="24"/>
          <w:szCs w:val="24"/>
        </w:rPr>
        <w:t xml:space="preserve"> d</w:t>
      </w:r>
      <w:r w:rsidR="000116D8" w:rsidRPr="003A1174">
        <w:rPr>
          <w:rFonts w:ascii="Garamond" w:hAnsi="Garamond" w:cs="Arial"/>
          <w:sz w:val="24"/>
          <w:szCs w:val="24"/>
        </w:rPr>
        <w:t xml:space="preserve">os </w:t>
      </w:r>
      <w:r w:rsidR="00973DDE" w:rsidRPr="003A1174">
        <w:rPr>
          <w:rFonts w:ascii="Garamond" w:hAnsi="Garamond" w:cs="Arial"/>
          <w:sz w:val="24"/>
          <w:szCs w:val="24"/>
        </w:rPr>
        <w:t>Assunto</w:t>
      </w:r>
      <w:r w:rsidR="00964875" w:rsidRPr="003A1174">
        <w:rPr>
          <w:rFonts w:ascii="Garamond" w:hAnsi="Garamond" w:cs="Arial"/>
          <w:sz w:val="24"/>
          <w:szCs w:val="24"/>
        </w:rPr>
        <w:t xml:space="preserve">s de Género, </w:t>
      </w:r>
      <w:r w:rsidR="000116D8" w:rsidRPr="003A1174">
        <w:rPr>
          <w:rFonts w:ascii="Garamond" w:hAnsi="Garamond" w:cs="Arial"/>
          <w:sz w:val="24"/>
          <w:szCs w:val="24"/>
        </w:rPr>
        <w:t>n</w:t>
      </w:r>
      <w:r w:rsidR="00964875" w:rsidRPr="003A1174">
        <w:rPr>
          <w:rFonts w:ascii="Garamond" w:hAnsi="Garamond" w:cs="Arial"/>
          <w:sz w:val="24"/>
          <w:szCs w:val="24"/>
        </w:rPr>
        <w:t>o</w:t>
      </w:r>
      <w:r w:rsidR="000116D8" w:rsidRPr="003A1174">
        <w:rPr>
          <w:rFonts w:ascii="Garamond" w:hAnsi="Garamond" w:cs="Arial"/>
          <w:sz w:val="24"/>
          <w:szCs w:val="24"/>
        </w:rPr>
        <w:t xml:space="preserve"> </w:t>
      </w:r>
      <w:r w:rsidR="00D96FD0" w:rsidRPr="003A1174">
        <w:rPr>
          <w:rFonts w:ascii="Garamond" w:hAnsi="Garamond" w:cs="Arial"/>
          <w:sz w:val="24"/>
          <w:szCs w:val="24"/>
        </w:rPr>
        <w:t>cumprimento</w:t>
      </w:r>
      <w:r w:rsidR="000116D8" w:rsidRPr="003A1174">
        <w:rPr>
          <w:rFonts w:ascii="Garamond" w:hAnsi="Garamond" w:cs="Arial"/>
          <w:sz w:val="24"/>
          <w:szCs w:val="24"/>
        </w:rPr>
        <w:t xml:space="preserve"> d</w:t>
      </w:r>
      <w:r w:rsidR="00964875" w:rsidRPr="003A1174">
        <w:rPr>
          <w:rFonts w:ascii="Garamond" w:hAnsi="Garamond" w:cs="Arial"/>
          <w:sz w:val="24"/>
          <w:szCs w:val="24"/>
        </w:rPr>
        <w:t xml:space="preserve">as </w:t>
      </w:r>
      <w:r w:rsidR="000116D8" w:rsidRPr="003A1174">
        <w:rPr>
          <w:rFonts w:ascii="Garamond" w:hAnsi="Garamond" w:cs="Arial"/>
          <w:sz w:val="24"/>
          <w:szCs w:val="24"/>
        </w:rPr>
        <w:t>su</w:t>
      </w:r>
      <w:r w:rsidR="00964875" w:rsidRPr="003A1174">
        <w:rPr>
          <w:rFonts w:ascii="Garamond" w:hAnsi="Garamond" w:cs="Arial"/>
          <w:sz w:val="24"/>
          <w:szCs w:val="24"/>
        </w:rPr>
        <w:t>a</w:t>
      </w:r>
      <w:r w:rsidR="000116D8" w:rsidRPr="003A1174">
        <w:rPr>
          <w:rFonts w:ascii="Garamond" w:hAnsi="Garamond" w:cs="Arial"/>
          <w:sz w:val="24"/>
          <w:szCs w:val="24"/>
        </w:rPr>
        <w:t xml:space="preserve">s </w:t>
      </w:r>
      <w:r w:rsidR="00E150E9" w:rsidRPr="003A1174">
        <w:rPr>
          <w:rFonts w:ascii="Garamond" w:hAnsi="Garamond" w:cs="Arial"/>
          <w:sz w:val="24"/>
          <w:szCs w:val="24"/>
        </w:rPr>
        <w:t>funções</w:t>
      </w:r>
      <w:r w:rsidR="000116D8" w:rsidRPr="003A1174">
        <w:rPr>
          <w:rFonts w:ascii="Garamond" w:hAnsi="Garamond" w:cs="Arial"/>
          <w:sz w:val="24"/>
          <w:szCs w:val="24"/>
        </w:rPr>
        <w:t xml:space="preserve"> </w:t>
      </w:r>
      <w:r w:rsidR="002D1021" w:rsidRPr="003A1174">
        <w:rPr>
          <w:rFonts w:ascii="Garamond" w:hAnsi="Garamond" w:cs="Arial"/>
          <w:sz w:val="24"/>
          <w:szCs w:val="24"/>
        </w:rPr>
        <w:t>legais</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reg</w:t>
      </w:r>
      <w:r w:rsidR="00964875" w:rsidRPr="003A1174">
        <w:rPr>
          <w:rFonts w:ascii="Garamond" w:hAnsi="Garamond" w:cs="Arial"/>
          <w:sz w:val="24"/>
          <w:szCs w:val="24"/>
        </w:rPr>
        <w:t>u</w:t>
      </w:r>
      <w:r w:rsidR="000116D8" w:rsidRPr="003A1174">
        <w:rPr>
          <w:rFonts w:ascii="Garamond" w:hAnsi="Garamond" w:cs="Arial"/>
          <w:sz w:val="24"/>
          <w:szCs w:val="24"/>
        </w:rPr>
        <w:t>lamentar</w:t>
      </w:r>
      <w:r w:rsidR="00964875" w:rsidRPr="003A1174">
        <w:rPr>
          <w:rFonts w:ascii="Garamond" w:hAnsi="Garamond" w:cs="Arial"/>
          <w:sz w:val="24"/>
          <w:szCs w:val="24"/>
        </w:rPr>
        <w:t>e</w:t>
      </w:r>
      <w:r w:rsidR="000116D8" w:rsidRPr="003A1174">
        <w:rPr>
          <w:rFonts w:ascii="Garamond" w:hAnsi="Garamond" w:cs="Arial"/>
          <w:sz w:val="24"/>
          <w:szCs w:val="24"/>
        </w:rPr>
        <w:t xml:space="preserve">s de </w:t>
      </w:r>
      <w:r w:rsidR="00964875" w:rsidRPr="003A1174">
        <w:rPr>
          <w:rFonts w:ascii="Garamond" w:hAnsi="Garamond" w:cs="Arial"/>
          <w:sz w:val="24"/>
          <w:szCs w:val="24"/>
        </w:rPr>
        <w:t>divulgação</w:t>
      </w:r>
      <w:r w:rsidR="000116D8" w:rsidRPr="003A1174">
        <w:rPr>
          <w:rFonts w:ascii="Garamond" w:hAnsi="Garamond" w:cs="Arial"/>
          <w:sz w:val="24"/>
          <w:szCs w:val="24"/>
        </w:rPr>
        <w:t xml:space="preserve">, </w:t>
      </w:r>
      <w:r w:rsidR="002F5CD1" w:rsidRPr="003A1174">
        <w:rPr>
          <w:rFonts w:ascii="Garamond" w:hAnsi="Garamond" w:cs="Arial"/>
          <w:sz w:val="24"/>
          <w:szCs w:val="24"/>
        </w:rPr>
        <w:t>promoção</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886D6A" w:rsidRPr="003A1174">
        <w:rPr>
          <w:rFonts w:ascii="Garamond" w:hAnsi="Garamond" w:cs="Arial"/>
          <w:sz w:val="24"/>
          <w:szCs w:val="24"/>
        </w:rPr>
        <w:t>proteção</w:t>
      </w:r>
      <w:r w:rsidR="000116D8" w:rsidRPr="003A1174">
        <w:rPr>
          <w:rFonts w:ascii="Garamond" w:hAnsi="Garamond" w:cs="Arial"/>
          <w:sz w:val="24"/>
          <w:szCs w:val="24"/>
        </w:rPr>
        <w:t xml:space="preserve"> </w:t>
      </w:r>
      <w:r w:rsidR="00497503" w:rsidRPr="003A1174">
        <w:rPr>
          <w:rFonts w:ascii="Garamond" w:hAnsi="Garamond" w:cs="Arial"/>
          <w:sz w:val="24"/>
          <w:szCs w:val="24"/>
        </w:rPr>
        <w:t>dos</w:t>
      </w:r>
      <w:r w:rsidR="000116D8" w:rsidRPr="003A1174">
        <w:rPr>
          <w:rFonts w:ascii="Garamond" w:hAnsi="Garamond" w:cs="Arial"/>
          <w:sz w:val="24"/>
          <w:szCs w:val="24"/>
        </w:rPr>
        <w:t xml:space="preserve"> </w:t>
      </w:r>
      <w:r w:rsidR="00886D6A" w:rsidRPr="003A1174">
        <w:rPr>
          <w:rFonts w:ascii="Garamond" w:hAnsi="Garamond" w:cs="Arial"/>
          <w:sz w:val="24"/>
          <w:szCs w:val="24"/>
        </w:rPr>
        <w:t>direito</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w:t>
      </w:r>
      <w:r w:rsidR="0091213A" w:rsidRPr="003A1174">
        <w:rPr>
          <w:rFonts w:ascii="Garamond" w:hAnsi="Garamond" w:cs="Arial"/>
          <w:sz w:val="24"/>
          <w:szCs w:val="24"/>
        </w:rPr>
        <w:t>populações</w:t>
      </w:r>
      <w:r w:rsidR="000116D8" w:rsidRPr="003A1174">
        <w:rPr>
          <w:rFonts w:ascii="Garamond" w:hAnsi="Garamond" w:cs="Arial"/>
          <w:sz w:val="24"/>
          <w:szCs w:val="24"/>
        </w:rPr>
        <w:t xml:space="preserve"> a s</w:t>
      </w:r>
      <w:r w:rsidR="00964875" w:rsidRPr="003A1174">
        <w:rPr>
          <w:rFonts w:ascii="Garamond" w:hAnsi="Garamond" w:cs="Arial"/>
          <w:sz w:val="24"/>
          <w:szCs w:val="24"/>
        </w:rPr>
        <w:t>e</w:t>
      </w:r>
      <w:r w:rsidR="000116D8" w:rsidRPr="003A1174">
        <w:rPr>
          <w:rFonts w:ascii="Garamond" w:hAnsi="Garamond" w:cs="Arial"/>
          <w:sz w:val="24"/>
          <w:szCs w:val="24"/>
        </w:rPr>
        <w:t xml:space="preserve">u cargo, </w:t>
      </w:r>
      <w:r w:rsidR="00417A55"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417A55" w:rsidRPr="003A1174">
        <w:rPr>
          <w:rFonts w:ascii="Garamond" w:hAnsi="Garamond" w:cs="Arial"/>
          <w:sz w:val="24"/>
          <w:szCs w:val="24"/>
        </w:rPr>
        <w:t xml:space="preserve"> </w:t>
      </w:r>
      <w:r w:rsidR="00964875" w:rsidRPr="003A1174">
        <w:rPr>
          <w:rFonts w:ascii="Garamond" w:hAnsi="Garamond" w:cs="Arial"/>
          <w:sz w:val="24"/>
          <w:szCs w:val="24"/>
        </w:rPr>
        <w:t xml:space="preserve">tem vindo a </w:t>
      </w:r>
      <w:r w:rsidR="000116D8" w:rsidRPr="003A1174">
        <w:rPr>
          <w:rFonts w:ascii="Garamond" w:hAnsi="Garamond" w:cs="Arial"/>
          <w:sz w:val="24"/>
          <w:szCs w:val="24"/>
        </w:rPr>
        <w:t>impuls</w:t>
      </w:r>
      <w:r w:rsidR="00964875" w:rsidRPr="003A1174">
        <w:rPr>
          <w:rFonts w:ascii="Garamond" w:hAnsi="Garamond" w:cs="Arial"/>
          <w:sz w:val="24"/>
          <w:szCs w:val="24"/>
        </w:rPr>
        <w:t xml:space="preserve">ionar, </w:t>
      </w:r>
      <w:r w:rsidR="000116D8" w:rsidRPr="003A1174">
        <w:rPr>
          <w:rFonts w:ascii="Garamond" w:hAnsi="Garamond" w:cs="Arial"/>
          <w:sz w:val="24"/>
          <w:szCs w:val="24"/>
        </w:rPr>
        <w:t>desde 2010</w:t>
      </w:r>
      <w:r w:rsidR="00964875" w:rsidRPr="003A1174">
        <w:rPr>
          <w:rFonts w:ascii="Garamond" w:hAnsi="Garamond" w:cs="Arial"/>
          <w:sz w:val="24"/>
          <w:szCs w:val="24"/>
        </w:rPr>
        <w:t>,</w:t>
      </w:r>
      <w:r w:rsidR="000116D8" w:rsidRPr="003A1174">
        <w:rPr>
          <w:rFonts w:ascii="Garamond" w:hAnsi="Garamond" w:cs="Arial"/>
          <w:sz w:val="24"/>
          <w:szCs w:val="24"/>
        </w:rPr>
        <w:t xml:space="preserve"> </w:t>
      </w:r>
      <w:r w:rsidR="002C7510" w:rsidRPr="003A1174">
        <w:rPr>
          <w:rFonts w:ascii="Garamond" w:hAnsi="Garamond" w:cs="Arial"/>
          <w:sz w:val="24"/>
          <w:szCs w:val="24"/>
        </w:rPr>
        <w:t>ações</w:t>
      </w:r>
      <w:r w:rsidR="000116D8" w:rsidRPr="003A1174">
        <w:rPr>
          <w:rFonts w:ascii="Garamond" w:hAnsi="Garamond" w:cs="Arial"/>
          <w:sz w:val="24"/>
          <w:szCs w:val="24"/>
        </w:rPr>
        <w:t xml:space="preserve"> relacionadas co</w:t>
      </w:r>
      <w:r w:rsidR="00964875" w:rsidRPr="003A1174">
        <w:rPr>
          <w:rFonts w:ascii="Garamond" w:hAnsi="Garamond" w:cs="Arial"/>
          <w:sz w:val="24"/>
          <w:szCs w:val="24"/>
        </w:rPr>
        <w:t xml:space="preserve">m a conceção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EB78D9" w:rsidRPr="003A1174">
        <w:rPr>
          <w:rFonts w:ascii="Garamond" w:hAnsi="Garamond" w:cs="Arial"/>
          <w:sz w:val="24"/>
          <w:szCs w:val="24"/>
        </w:rPr>
        <w:t>execução</w:t>
      </w:r>
      <w:r w:rsidR="000116D8" w:rsidRPr="003A1174">
        <w:rPr>
          <w:rFonts w:ascii="Garamond" w:hAnsi="Garamond" w:cs="Arial"/>
          <w:sz w:val="24"/>
          <w:szCs w:val="24"/>
        </w:rPr>
        <w:t xml:space="preserve"> de </w:t>
      </w:r>
      <w:r w:rsidR="00A56F43" w:rsidRPr="003A1174">
        <w:rPr>
          <w:rFonts w:ascii="Garamond" w:hAnsi="Garamond" w:cs="Arial"/>
          <w:sz w:val="24"/>
          <w:szCs w:val="24"/>
        </w:rPr>
        <w:t>estratégia</w:t>
      </w:r>
      <w:r w:rsidR="000116D8" w:rsidRPr="003A1174">
        <w:rPr>
          <w:rFonts w:ascii="Garamond" w:hAnsi="Garamond" w:cs="Arial"/>
          <w:sz w:val="24"/>
          <w:szCs w:val="24"/>
        </w:rPr>
        <w:t xml:space="preserve">s orientadas </w:t>
      </w:r>
      <w:r w:rsidR="00964875" w:rsidRPr="003A1174">
        <w:rPr>
          <w:rFonts w:ascii="Garamond" w:hAnsi="Garamond" w:cs="Arial"/>
          <w:sz w:val="24"/>
          <w:szCs w:val="24"/>
        </w:rPr>
        <w:t xml:space="preserve">no sentido de </w:t>
      </w:r>
      <w:r w:rsidR="00AF192F" w:rsidRPr="003A1174">
        <w:rPr>
          <w:rFonts w:ascii="Garamond" w:hAnsi="Garamond" w:cs="Arial"/>
          <w:sz w:val="24"/>
          <w:szCs w:val="24"/>
        </w:rPr>
        <w:t>garantir</w:t>
      </w:r>
      <w:r w:rsidR="000116D8" w:rsidRPr="003A1174">
        <w:rPr>
          <w:rFonts w:ascii="Garamond" w:hAnsi="Garamond" w:cs="Arial"/>
          <w:sz w:val="24"/>
          <w:szCs w:val="24"/>
        </w:rPr>
        <w:t xml:space="preserve"> </w:t>
      </w:r>
      <w:r w:rsidR="00BE35DE">
        <w:rPr>
          <w:rFonts w:ascii="Garamond" w:hAnsi="Garamond" w:cs="Arial"/>
          <w:sz w:val="24"/>
          <w:szCs w:val="24"/>
        </w:rPr>
        <w:t>à</w:t>
      </w:r>
      <w:r w:rsidR="00BE35DE" w:rsidRPr="003A1174">
        <w:rPr>
          <w:rFonts w:ascii="Garamond" w:hAnsi="Garamond" w:cs="Arial"/>
          <w:sz w:val="24"/>
          <w:szCs w:val="24"/>
        </w:rPr>
        <w:t>s mulheres e</w:t>
      </w:r>
      <w:r w:rsidR="00237653">
        <w:rPr>
          <w:rFonts w:ascii="Garamond" w:hAnsi="Garamond" w:cs="Arial"/>
          <w:sz w:val="24"/>
          <w:szCs w:val="24"/>
        </w:rPr>
        <w:t>,</w:t>
      </w:r>
      <w:r w:rsidR="00BE35DE" w:rsidRPr="003A1174">
        <w:rPr>
          <w:rFonts w:ascii="Garamond" w:hAnsi="Garamond" w:cs="Arial"/>
          <w:sz w:val="24"/>
          <w:szCs w:val="24"/>
        </w:rPr>
        <w:t xml:space="preserve"> </w:t>
      </w:r>
      <w:r w:rsidR="00BE35DE">
        <w:rPr>
          <w:rFonts w:ascii="Garamond" w:hAnsi="Garamond" w:cs="Arial"/>
          <w:sz w:val="24"/>
          <w:szCs w:val="24"/>
        </w:rPr>
        <w:t>posteriormente,</w:t>
      </w:r>
      <w:r w:rsidR="00BE35DE" w:rsidRPr="003A1174">
        <w:rPr>
          <w:rFonts w:ascii="Garamond" w:hAnsi="Garamond" w:cs="Arial"/>
          <w:sz w:val="24"/>
          <w:szCs w:val="24"/>
        </w:rPr>
        <w:t xml:space="preserve"> </w:t>
      </w:r>
      <w:r w:rsidR="00BE35DE">
        <w:rPr>
          <w:rFonts w:ascii="Garamond" w:hAnsi="Garamond" w:cs="Arial"/>
          <w:sz w:val="24"/>
          <w:szCs w:val="24"/>
        </w:rPr>
        <w:t xml:space="preserve">às </w:t>
      </w:r>
      <w:r w:rsidR="00BE35DE" w:rsidRPr="003A1174">
        <w:rPr>
          <w:rFonts w:ascii="Garamond" w:hAnsi="Garamond" w:cs="Arial"/>
          <w:sz w:val="24"/>
          <w:szCs w:val="24"/>
        </w:rPr>
        <w:t>crianças vítimas de violência</w:t>
      </w:r>
      <w:r w:rsidR="00BE35DE">
        <w:rPr>
          <w:rFonts w:ascii="Garamond" w:hAnsi="Garamond" w:cs="Arial"/>
          <w:sz w:val="24"/>
          <w:szCs w:val="24"/>
        </w:rPr>
        <w:t xml:space="preserve"> </w:t>
      </w:r>
      <w:r w:rsidR="00BE35DE" w:rsidRPr="003A1174">
        <w:rPr>
          <w:rFonts w:ascii="Garamond" w:hAnsi="Garamond" w:cs="Arial"/>
          <w:sz w:val="24"/>
          <w:szCs w:val="24"/>
        </w:rPr>
        <w:t xml:space="preserve">o acesso à justiça. </w:t>
      </w:r>
    </w:p>
    <w:p w:rsidR="000116D8" w:rsidRPr="003A1174" w:rsidRDefault="00417A55" w:rsidP="008719D4">
      <w:pPr>
        <w:spacing w:before="240" w:line="240" w:lineRule="auto"/>
        <w:jc w:val="both"/>
        <w:rPr>
          <w:rFonts w:ascii="Garamond" w:hAnsi="Garamond" w:cs="Arial"/>
          <w:sz w:val="24"/>
          <w:szCs w:val="24"/>
        </w:rPr>
      </w:pPr>
      <w:r w:rsidRPr="003A1174">
        <w:rPr>
          <w:rFonts w:ascii="Garamond" w:hAnsi="Garamond" w:cs="Arial"/>
          <w:sz w:val="24"/>
          <w:szCs w:val="24"/>
        </w:rPr>
        <w:t>C</w:t>
      </w:r>
      <w:r w:rsidR="000116D8" w:rsidRPr="003A1174">
        <w:rPr>
          <w:rFonts w:ascii="Garamond" w:hAnsi="Garamond" w:cs="Arial"/>
          <w:sz w:val="24"/>
          <w:szCs w:val="24"/>
        </w:rPr>
        <w:t>o</w:t>
      </w:r>
      <w:r w:rsidR="00964875" w:rsidRPr="003A1174">
        <w:rPr>
          <w:rFonts w:ascii="Garamond" w:hAnsi="Garamond" w:cs="Arial"/>
          <w:sz w:val="24"/>
          <w:szCs w:val="24"/>
        </w:rPr>
        <w:t xml:space="preserve">m o </w:t>
      </w:r>
      <w:r w:rsidR="000116D8" w:rsidRPr="003A1174">
        <w:rPr>
          <w:rFonts w:ascii="Garamond" w:hAnsi="Garamond" w:cs="Arial"/>
          <w:sz w:val="24"/>
          <w:szCs w:val="24"/>
        </w:rPr>
        <w:t xml:space="preserve">propósito de dar </w:t>
      </w:r>
      <w:r w:rsidR="00D96FD0" w:rsidRPr="003A1174">
        <w:rPr>
          <w:rFonts w:ascii="Garamond" w:hAnsi="Garamond" w:cs="Arial"/>
          <w:sz w:val="24"/>
          <w:szCs w:val="24"/>
        </w:rPr>
        <w:t>cumprimento</w:t>
      </w:r>
      <w:r w:rsidR="000116D8" w:rsidRPr="003A1174">
        <w:rPr>
          <w:rFonts w:ascii="Garamond" w:hAnsi="Garamond" w:cs="Arial"/>
          <w:sz w:val="24"/>
          <w:szCs w:val="24"/>
        </w:rPr>
        <w:t xml:space="preserve"> ao </w:t>
      </w:r>
      <w:r w:rsidR="00661ADB" w:rsidRPr="003A1174">
        <w:rPr>
          <w:rFonts w:ascii="Garamond" w:hAnsi="Garamond" w:cs="Arial"/>
          <w:sz w:val="24"/>
          <w:szCs w:val="24"/>
        </w:rPr>
        <w:t>estabelecido</w:t>
      </w:r>
      <w:r w:rsidR="000116D8" w:rsidRPr="003A1174">
        <w:rPr>
          <w:rFonts w:ascii="Garamond" w:hAnsi="Garamond" w:cs="Arial"/>
          <w:sz w:val="24"/>
          <w:szCs w:val="24"/>
        </w:rPr>
        <w:t xml:space="preserve"> </w:t>
      </w:r>
      <w:r w:rsidR="00964875" w:rsidRPr="003A1174">
        <w:rPr>
          <w:rFonts w:ascii="Garamond" w:hAnsi="Garamond" w:cs="Arial"/>
          <w:sz w:val="24"/>
          <w:szCs w:val="24"/>
        </w:rPr>
        <w:t>n</w:t>
      </w:r>
      <w:r w:rsidR="000116D8" w:rsidRPr="003A1174">
        <w:rPr>
          <w:rFonts w:ascii="Garamond" w:hAnsi="Garamond" w:cs="Arial"/>
          <w:sz w:val="24"/>
          <w:szCs w:val="24"/>
        </w:rPr>
        <w:t xml:space="preserve">as </w:t>
      </w:r>
      <w:r w:rsidR="00F320F4" w:rsidRPr="003A1174">
        <w:rPr>
          <w:rFonts w:ascii="Garamond" w:hAnsi="Garamond" w:cs="Arial"/>
          <w:sz w:val="24"/>
          <w:szCs w:val="24"/>
        </w:rPr>
        <w:t>Leis</w:t>
      </w:r>
      <w:r w:rsidR="000116D8" w:rsidRPr="003A1174">
        <w:rPr>
          <w:rFonts w:ascii="Garamond" w:hAnsi="Garamond" w:cs="Arial"/>
          <w:sz w:val="24"/>
          <w:szCs w:val="24"/>
        </w:rPr>
        <w:t xml:space="preserve"> 1257</w:t>
      </w:r>
      <w:r w:rsidR="00237653">
        <w:rPr>
          <w:rFonts w:ascii="Garamond" w:hAnsi="Garamond" w:cs="Arial"/>
          <w:sz w:val="24"/>
          <w:szCs w:val="24"/>
        </w:rPr>
        <w:t>,</w:t>
      </w:r>
      <w:r w:rsidR="000116D8" w:rsidRPr="003A1174">
        <w:rPr>
          <w:rFonts w:ascii="Garamond" w:hAnsi="Garamond" w:cs="Arial"/>
          <w:sz w:val="24"/>
          <w:szCs w:val="24"/>
        </w:rPr>
        <w:t xml:space="preserve"> de 2008 (</w:t>
      </w:r>
      <w:r w:rsidR="007578C6" w:rsidRPr="003A1174">
        <w:rPr>
          <w:rFonts w:ascii="Garamond" w:hAnsi="Garamond" w:cs="Arial"/>
          <w:sz w:val="24"/>
          <w:szCs w:val="24"/>
        </w:rPr>
        <w:t>Prevenção</w:t>
      </w:r>
      <w:r w:rsidR="000116D8" w:rsidRPr="003A1174">
        <w:rPr>
          <w:rFonts w:ascii="Garamond" w:hAnsi="Garamond" w:cs="Arial"/>
          <w:sz w:val="24"/>
          <w:szCs w:val="24"/>
        </w:rPr>
        <w:t xml:space="preserve">, </w:t>
      </w:r>
      <w:r w:rsidR="008278C4" w:rsidRPr="003A1174">
        <w:rPr>
          <w:rFonts w:ascii="Garamond" w:hAnsi="Garamond" w:cs="Arial"/>
          <w:sz w:val="24"/>
          <w:szCs w:val="24"/>
        </w:rPr>
        <w:t>Atenção</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FC4727" w:rsidRPr="003A1174">
        <w:rPr>
          <w:rFonts w:ascii="Garamond" w:hAnsi="Garamond" w:cs="Arial"/>
          <w:sz w:val="24"/>
          <w:szCs w:val="24"/>
        </w:rPr>
        <w:t>Punição</w:t>
      </w:r>
      <w:r w:rsidR="000116D8" w:rsidRPr="003A1174">
        <w:rPr>
          <w:rFonts w:ascii="Garamond" w:hAnsi="Garamond" w:cs="Arial"/>
          <w:sz w:val="24"/>
          <w:szCs w:val="24"/>
        </w:rPr>
        <w:t xml:space="preserve"> da </w:t>
      </w:r>
      <w:r w:rsidR="000350B1" w:rsidRPr="003A1174">
        <w:rPr>
          <w:rFonts w:ascii="Garamond" w:hAnsi="Garamond" w:cs="Arial"/>
          <w:sz w:val="24"/>
          <w:szCs w:val="24"/>
        </w:rPr>
        <w:t>Violência</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17447A" w:rsidRPr="003A1174">
        <w:rPr>
          <w:rFonts w:ascii="Garamond" w:hAnsi="Garamond" w:cs="Arial"/>
          <w:sz w:val="24"/>
          <w:szCs w:val="24"/>
        </w:rPr>
        <w:t>Discriminação</w:t>
      </w:r>
      <w:r w:rsidR="00964875" w:rsidRPr="003A1174">
        <w:rPr>
          <w:rFonts w:ascii="Garamond" w:hAnsi="Garamond" w:cs="Arial"/>
          <w:sz w:val="24"/>
          <w:szCs w:val="24"/>
        </w:rPr>
        <w:t xml:space="preserve"> contra </w:t>
      </w:r>
      <w:r w:rsidR="000116D8" w:rsidRPr="003A1174">
        <w:rPr>
          <w:rFonts w:ascii="Garamond" w:hAnsi="Garamond" w:cs="Arial"/>
          <w:sz w:val="24"/>
          <w:szCs w:val="24"/>
        </w:rPr>
        <w:t xml:space="preserve">as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1448</w:t>
      </w:r>
      <w:r w:rsidR="00237653">
        <w:rPr>
          <w:rFonts w:ascii="Garamond" w:hAnsi="Garamond" w:cs="Arial"/>
          <w:sz w:val="24"/>
          <w:szCs w:val="24"/>
        </w:rPr>
        <w:t>,</w:t>
      </w:r>
      <w:r w:rsidR="000116D8" w:rsidRPr="003A1174">
        <w:rPr>
          <w:rFonts w:ascii="Garamond" w:hAnsi="Garamond" w:cs="Arial"/>
          <w:sz w:val="24"/>
          <w:szCs w:val="24"/>
        </w:rPr>
        <w:t xml:space="preserve"> de 2011 (</w:t>
      </w:r>
      <w:r w:rsidR="00D15AFF" w:rsidRPr="003A1174">
        <w:rPr>
          <w:rFonts w:ascii="Garamond" w:hAnsi="Garamond" w:cs="Arial"/>
          <w:sz w:val="24"/>
          <w:szCs w:val="24"/>
        </w:rPr>
        <w:t>Lei</w:t>
      </w:r>
      <w:r w:rsidR="000116D8" w:rsidRPr="003A1174">
        <w:rPr>
          <w:rFonts w:ascii="Garamond" w:hAnsi="Garamond" w:cs="Arial"/>
          <w:sz w:val="24"/>
          <w:szCs w:val="24"/>
        </w:rPr>
        <w:t xml:space="preserve"> de </w:t>
      </w:r>
      <w:r w:rsidR="003F012B" w:rsidRPr="003A1174">
        <w:rPr>
          <w:rFonts w:ascii="Garamond" w:hAnsi="Garamond" w:cs="Arial"/>
          <w:sz w:val="24"/>
          <w:szCs w:val="24"/>
        </w:rPr>
        <w:t>Vítima</w:t>
      </w:r>
      <w:r w:rsidR="000116D8" w:rsidRPr="003A1174">
        <w:rPr>
          <w:rFonts w:ascii="Garamond" w:hAnsi="Garamond" w:cs="Arial"/>
          <w:sz w:val="24"/>
          <w:szCs w:val="24"/>
        </w:rPr>
        <w:t xml:space="preserve">s), </w:t>
      </w:r>
      <w:r w:rsidRPr="003A1174">
        <w:rPr>
          <w:rFonts w:ascii="Garamond" w:hAnsi="Garamond" w:cs="Arial"/>
          <w:sz w:val="24"/>
          <w:szCs w:val="24"/>
        </w:rPr>
        <w:t xml:space="preserve">esta Delegada </w:t>
      </w:r>
      <w:r w:rsidR="00964875" w:rsidRPr="003A1174">
        <w:rPr>
          <w:rFonts w:ascii="Garamond" w:hAnsi="Garamond" w:cs="Arial"/>
          <w:sz w:val="24"/>
          <w:szCs w:val="24"/>
        </w:rPr>
        <w:t xml:space="preserve">tem vindo a </w:t>
      </w:r>
      <w:r w:rsidR="000116D8" w:rsidRPr="003A1174">
        <w:rPr>
          <w:rFonts w:ascii="Garamond" w:hAnsi="Garamond" w:cs="Arial"/>
          <w:sz w:val="24"/>
          <w:szCs w:val="24"/>
        </w:rPr>
        <w:t>implementa</w:t>
      </w:r>
      <w:r w:rsidR="00964875" w:rsidRPr="003A1174">
        <w:rPr>
          <w:rFonts w:ascii="Garamond" w:hAnsi="Garamond" w:cs="Arial"/>
          <w:sz w:val="24"/>
          <w:szCs w:val="24"/>
        </w:rPr>
        <w:t xml:space="preserve">r </w:t>
      </w:r>
      <w:r w:rsidR="002C7510" w:rsidRPr="003A1174">
        <w:rPr>
          <w:rFonts w:ascii="Garamond" w:hAnsi="Garamond" w:cs="Arial"/>
          <w:sz w:val="24"/>
          <w:szCs w:val="24"/>
        </w:rPr>
        <w:t>ações</w:t>
      </w:r>
      <w:r w:rsidR="000116D8" w:rsidRPr="003A1174">
        <w:rPr>
          <w:rFonts w:ascii="Garamond" w:hAnsi="Garamond" w:cs="Arial"/>
          <w:sz w:val="24"/>
          <w:szCs w:val="24"/>
        </w:rPr>
        <w:t xml:space="preserve"> </w:t>
      </w:r>
      <w:r w:rsidR="00964875" w:rsidRPr="003A1174">
        <w:rPr>
          <w:rFonts w:ascii="Garamond" w:hAnsi="Garamond" w:cs="Arial"/>
          <w:sz w:val="24"/>
          <w:szCs w:val="24"/>
        </w:rPr>
        <w:t xml:space="preserve">no </w:t>
      </w:r>
      <w:r w:rsidR="000116D8" w:rsidRPr="003A1174">
        <w:rPr>
          <w:rFonts w:ascii="Garamond" w:hAnsi="Garamond" w:cs="Arial"/>
          <w:sz w:val="24"/>
          <w:szCs w:val="24"/>
        </w:rPr>
        <w:t xml:space="preserve">interior da </w:t>
      </w:r>
      <w:r w:rsidR="00800D59" w:rsidRPr="003A1174">
        <w:rPr>
          <w:rFonts w:ascii="Garamond" w:hAnsi="Garamond" w:cs="Arial"/>
          <w:sz w:val="24"/>
          <w:szCs w:val="24"/>
        </w:rPr>
        <w:t>instituição</w:t>
      </w:r>
      <w:r w:rsidR="000116D8" w:rsidRPr="003A1174">
        <w:rPr>
          <w:rFonts w:ascii="Garamond" w:hAnsi="Garamond" w:cs="Arial"/>
          <w:sz w:val="24"/>
          <w:szCs w:val="24"/>
        </w:rPr>
        <w:t xml:space="preserve">, </w:t>
      </w:r>
      <w:r w:rsidR="00237653">
        <w:rPr>
          <w:rFonts w:ascii="Garamond" w:hAnsi="Garamond" w:cs="Arial"/>
          <w:sz w:val="24"/>
          <w:szCs w:val="24"/>
        </w:rPr>
        <w:t>perante</w:t>
      </w:r>
      <w:r w:rsidR="000116D8" w:rsidRPr="003A1174">
        <w:rPr>
          <w:rFonts w:ascii="Garamond" w:hAnsi="Garamond" w:cs="Arial"/>
          <w:sz w:val="24"/>
          <w:szCs w:val="24"/>
        </w:rPr>
        <w:t xml:space="preserve"> </w:t>
      </w:r>
      <w:r w:rsidR="0017447A" w:rsidRPr="003A1174">
        <w:rPr>
          <w:rFonts w:ascii="Garamond" w:hAnsi="Garamond" w:cs="Arial"/>
          <w:sz w:val="24"/>
          <w:szCs w:val="24"/>
        </w:rPr>
        <w:t>outras</w:t>
      </w:r>
      <w:r w:rsidR="000116D8" w:rsidRPr="003A1174">
        <w:rPr>
          <w:rFonts w:ascii="Garamond" w:hAnsi="Garamond" w:cs="Arial"/>
          <w:sz w:val="24"/>
          <w:szCs w:val="24"/>
        </w:rPr>
        <w:t xml:space="preserve"> entidades </w:t>
      </w:r>
      <w:r w:rsidR="00497503" w:rsidRPr="003A1174">
        <w:rPr>
          <w:rFonts w:ascii="Garamond" w:hAnsi="Garamond" w:cs="Arial"/>
          <w:sz w:val="24"/>
          <w:szCs w:val="24"/>
        </w:rPr>
        <w:t>e</w:t>
      </w:r>
      <w:r w:rsidR="000116D8" w:rsidRPr="003A1174">
        <w:rPr>
          <w:rFonts w:ascii="Garamond" w:hAnsi="Garamond" w:cs="Arial"/>
          <w:sz w:val="24"/>
          <w:szCs w:val="24"/>
        </w:rPr>
        <w:t xml:space="preserve"> e</w:t>
      </w:r>
      <w:r w:rsidR="000464C8" w:rsidRPr="003A1174">
        <w:rPr>
          <w:rFonts w:ascii="Garamond" w:hAnsi="Garamond" w:cs="Arial"/>
          <w:sz w:val="24"/>
          <w:szCs w:val="24"/>
        </w:rPr>
        <w:t>m</w:t>
      </w:r>
      <w:r w:rsidR="000116D8" w:rsidRPr="003A1174">
        <w:rPr>
          <w:rFonts w:ascii="Garamond" w:hAnsi="Garamond" w:cs="Arial"/>
          <w:sz w:val="24"/>
          <w:szCs w:val="24"/>
        </w:rPr>
        <w:t xml:space="preserve"> </w:t>
      </w:r>
      <w:r w:rsidR="002470B1" w:rsidRPr="003A1174">
        <w:rPr>
          <w:rFonts w:ascii="Garamond" w:hAnsi="Garamond" w:cs="Arial"/>
          <w:sz w:val="24"/>
          <w:szCs w:val="24"/>
        </w:rPr>
        <w:t>coordenação</w:t>
      </w:r>
      <w:r w:rsidR="000116D8" w:rsidRPr="003A1174">
        <w:rPr>
          <w:rFonts w:ascii="Garamond" w:hAnsi="Garamond" w:cs="Arial"/>
          <w:sz w:val="24"/>
          <w:szCs w:val="24"/>
        </w:rPr>
        <w:t xml:space="preserve"> co</w:t>
      </w:r>
      <w:r w:rsidR="000464C8" w:rsidRPr="003A1174">
        <w:rPr>
          <w:rFonts w:ascii="Garamond" w:hAnsi="Garamond" w:cs="Arial"/>
          <w:sz w:val="24"/>
          <w:szCs w:val="24"/>
        </w:rPr>
        <w:t xml:space="preserve">m </w:t>
      </w:r>
      <w:r w:rsidR="000116D8" w:rsidRPr="003A1174">
        <w:rPr>
          <w:rFonts w:ascii="Garamond" w:hAnsi="Garamond" w:cs="Arial"/>
          <w:sz w:val="24"/>
          <w:szCs w:val="24"/>
        </w:rPr>
        <w:t xml:space="preserve">as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0464C8" w:rsidRPr="003A1174">
        <w:rPr>
          <w:rFonts w:ascii="Garamond" w:hAnsi="Garamond" w:cs="Arial"/>
          <w:sz w:val="24"/>
          <w:szCs w:val="24"/>
        </w:rPr>
        <w:t xml:space="preserve">a as </w:t>
      </w:r>
      <w:r w:rsidR="000116D8" w:rsidRPr="003A1174">
        <w:rPr>
          <w:rFonts w:ascii="Garamond" w:hAnsi="Garamond" w:cs="Arial"/>
          <w:sz w:val="24"/>
          <w:szCs w:val="24"/>
        </w:rPr>
        <w:t>su</w:t>
      </w:r>
      <w:r w:rsidR="000464C8" w:rsidRPr="003A1174">
        <w:rPr>
          <w:rFonts w:ascii="Garamond" w:hAnsi="Garamond" w:cs="Arial"/>
          <w:sz w:val="24"/>
          <w:szCs w:val="24"/>
        </w:rPr>
        <w:t>a</w:t>
      </w:r>
      <w:r w:rsidR="000116D8" w:rsidRPr="003A1174">
        <w:rPr>
          <w:rFonts w:ascii="Garamond" w:hAnsi="Garamond" w:cs="Arial"/>
          <w:sz w:val="24"/>
          <w:szCs w:val="24"/>
        </w:rPr>
        <w:t xml:space="preserve">s </w:t>
      </w:r>
      <w:r w:rsidR="002470B1" w:rsidRPr="003A1174">
        <w:rPr>
          <w:rFonts w:ascii="Garamond" w:hAnsi="Garamond" w:cs="Arial"/>
          <w:sz w:val="24"/>
          <w:szCs w:val="24"/>
        </w:rPr>
        <w:t>organizações</w:t>
      </w:r>
      <w:r w:rsidR="000116D8" w:rsidRPr="003A1174">
        <w:rPr>
          <w:rFonts w:ascii="Garamond" w:hAnsi="Garamond" w:cs="Arial"/>
          <w:sz w:val="24"/>
          <w:szCs w:val="24"/>
        </w:rPr>
        <w:t xml:space="preserve">, para </w:t>
      </w:r>
      <w:r w:rsidR="000464C8" w:rsidRPr="003A1174">
        <w:rPr>
          <w:rFonts w:ascii="Garamond" w:hAnsi="Garamond" w:cs="Arial"/>
          <w:sz w:val="24"/>
          <w:szCs w:val="24"/>
        </w:rPr>
        <w:t xml:space="preserve">criar </w:t>
      </w:r>
      <w:r w:rsidR="00AC3351" w:rsidRPr="003A1174">
        <w:rPr>
          <w:rFonts w:ascii="Garamond" w:hAnsi="Garamond" w:cs="Arial"/>
          <w:sz w:val="24"/>
          <w:szCs w:val="24"/>
        </w:rPr>
        <w:t>condições</w:t>
      </w:r>
      <w:r w:rsidR="000116D8" w:rsidRPr="003A1174">
        <w:rPr>
          <w:rFonts w:ascii="Garamond" w:hAnsi="Garamond" w:cs="Arial"/>
          <w:sz w:val="24"/>
          <w:szCs w:val="24"/>
        </w:rPr>
        <w:t xml:space="preserve"> que garant</w:t>
      </w:r>
      <w:r w:rsidR="000464C8" w:rsidRPr="003A1174">
        <w:rPr>
          <w:rFonts w:ascii="Garamond" w:hAnsi="Garamond" w:cs="Arial"/>
          <w:sz w:val="24"/>
          <w:szCs w:val="24"/>
        </w:rPr>
        <w:t xml:space="preserve">am às </w:t>
      </w:r>
      <w:r w:rsidR="00054EE0" w:rsidRPr="003A1174">
        <w:rPr>
          <w:rFonts w:ascii="Garamond" w:hAnsi="Garamond" w:cs="Arial"/>
          <w:sz w:val="24"/>
          <w:szCs w:val="24"/>
        </w:rPr>
        <w:t>mulheres</w:t>
      </w:r>
      <w:r w:rsidR="000116D8" w:rsidRPr="003A1174">
        <w:rPr>
          <w:rFonts w:ascii="Garamond" w:hAnsi="Garamond" w:cs="Arial"/>
          <w:sz w:val="24"/>
          <w:szCs w:val="24"/>
        </w:rPr>
        <w:t xml:space="preserve"> </w:t>
      </w:r>
      <w:r w:rsidR="000464C8" w:rsidRPr="003A1174">
        <w:rPr>
          <w:rFonts w:ascii="Garamond" w:hAnsi="Garamond" w:cs="Arial"/>
          <w:sz w:val="24"/>
          <w:szCs w:val="24"/>
        </w:rPr>
        <w:t xml:space="preserve">o </w:t>
      </w:r>
      <w:r w:rsidR="00886D6A" w:rsidRPr="003A1174">
        <w:rPr>
          <w:rFonts w:ascii="Garamond" w:hAnsi="Garamond" w:cs="Arial"/>
          <w:sz w:val="24"/>
          <w:szCs w:val="24"/>
        </w:rPr>
        <w:t>acesso</w:t>
      </w:r>
      <w:r w:rsidR="000116D8" w:rsidRPr="003A1174">
        <w:rPr>
          <w:rFonts w:ascii="Garamond" w:hAnsi="Garamond" w:cs="Arial"/>
          <w:sz w:val="24"/>
          <w:szCs w:val="24"/>
        </w:rPr>
        <w:t xml:space="preserve"> </w:t>
      </w:r>
      <w:r w:rsidR="000464C8" w:rsidRPr="003A1174">
        <w:rPr>
          <w:rFonts w:ascii="Garamond" w:hAnsi="Garamond" w:cs="Arial"/>
          <w:sz w:val="24"/>
          <w:szCs w:val="24"/>
        </w:rPr>
        <w:t xml:space="preserve">à </w:t>
      </w:r>
      <w:r w:rsidR="00FC1F7F" w:rsidRPr="003A1174">
        <w:rPr>
          <w:rFonts w:ascii="Garamond" w:hAnsi="Garamond" w:cs="Arial"/>
          <w:sz w:val="24"/>
          <w:szCs w:val="24"/>
        </w:rPr>
        <w:t>justiça</w:t>
      </w:r>
      <w:r w:rsidR="000116D8" w:rsidRPr="003A1174">
        <w:rPr>
          <w:rFonts w:ascii="Garamond" w:hAnsi="Garamond" w:cs="Arial"/>
          <w:sz w:val="24"/>
          <w:szCs w:val="24"/>
        </w:rPr>
        <w:t xml:space="preserve"> </w:t>
      </w:r>
      <w:r w:rsidR="00497503" w:rsidRPr="003A1174">
        <w:rPr>
          <w:rFonts w:ascii="Garamond" w:hAnsi="Garamond" w:cs="Arial"/>
          <w:sz w:val="24"/>
          <w:szCs w:val="24"/>
        </w:rPr>
        <w:t>e</w:t>
      </w:r>
      <w:r w:rsidR="000116D8" w:rsidRPr="003A1174">
        <w:rPr>
          <w:rFonts w:ascii="Garamond" w:hAnsi="Garamond" w:cs="Arial"/>
          <w:sz w:val="24"/>
          <w:szCs w:val="24"/>
        </w:rPr>
        <w:t xml:space="preserve"> </w:t>
      </w:r>
      <w:r w:rsidR="000464C8" w:rsidRPr="003A1174">
        <w:rPr>
          <w:rFonts w:ascii="Garamond" w:hAnsi="Garamond" w:cs="Arial"/>
          <w:sz w:val="24"/>
          <w:szCs w:val="24"/>
        </w:rPr>
        <w:t xml:space="preserve">à </w:t>
      </w:r>
      <w:r w:rsidR="000116D8" w:rsidRPr="003A1174">
        <w:rPr>
          <w:rFonts w:ascii="Garamond" w:hAnsi="Garamond" w:cs="Arial"/>
          <w:sz w:val="24"/>
          <w:szCs w:val="24"/>
        </w:rPr>
        <w:t>oferta institucional</w:t>
      </w:r>
      <w:r w:rsidR="00237653">
        <w:rPr>
          <w:rFonts w:ascii="Garamond" w:hAnsi="Garamond" w:cs="Arial"/>
          <w:sz w:val="24"/>
          <w:szCs w:val="24"/>
        </w:rPr>
        <w:t>,</w:t>
      </w:r>
      <w:r w:rsidR="000116D8" w:rsidRPr="003A1174">
        <w:rPr>
          <w:rFonts w:ascii="Garamond" w:hAnsi="Garamond" w:cs="Arial"/>
          <w:sz w:val="24"/>
          <w:szCs w:val="24"/>
        </w:rPr>
        <w:t xml:space="preserve"> </w:t>
      </w:r>
      <w:r w:rsidRPr="003A1174">
        <w:rPr>
          <w:rFonts w:ascii="Garamond" w:hAnsi="Garamond" w:cs="Arial"/>
          <w:sz w:val="24"/>
          <w:szCs w:val="24"/>
        </w:rPr>
        <w:t>en</w:t>
      </w:r>
      <w:r w:rsidR="000464C8" w:rsidRPr="003A1174">
        <w:rPr>
          <w:rFonts w:ascii="Garamond" w:hAnsi="Garamond" w:cs="Arial"/>
          <w:sz w:val="24"/>
          <w:szCs w:val="24"/>
        </w:rPr>
        <w:t>qu</w:t>
      </w:r>
      <w:r w:rsidRPr="003A1174">
        <w:rPr>
          <w:rFonts w:ascii="Garamond" w:hAnsi="Garamond" w:cs="Arial"/>
          <w:sz w:val="24"/>
          <w:szCs w:val="24"/>
        </w:rPr>
        <w:t xml:space="preserve">anto </w:t>
      </w:r>
      <w:r w:rsidR="003F012B" w:rsidRPr="003A1174">
        <w:rPr>
          <w:rFonts w:ascii="Garamond" w:hAnsi="Garamond" w:cs="Arial"/>
          <w:sz w:val="24"/>
          <w:szCs w:val="24"/>
        </w:rPr>
        <w:t>vítima</w:t>
      </w:r>
      <w:r w:rsidR="000116D8" w:rsidRPr="003A1174">
        <w:rPr>
          <w:rFonts w:ascii="Garamond" w:hAnsi="Garamond" w:cs="Arial"/>
          <w:sz w:val="24"/>
          <w:szCs w:val="24"/>
        </w:rPr>
        <w:t xml:space="preserve">s </w:t>
      </w:r>
      <w:r w:rsidR="00497503" w:rsidRPr="003A1174">
        <w:rPr>
          <w:rFonts w:ascii="Garamond" w:hAnsi="Garamond" w:cs="Arial"/>
          <w:sz w:val="24"/>
          <w:szCs w:val="24"/>
        </w:rPr>
        <w:t>das</w:t>
      </w:r>
      <w:r w:rsidR="000116D8" w:rsidRPr="003A1174">
        <w:rPr>
          <w:rFonts w:ascii="Garamond" w:hAnsi="Garamond" w:cs="Arial"/>
          <w:sz w:val="24"/>
          <w:szCs w:val="24"/>
        </w:rPr>
        <w:t xml:space="preserve"> diferentes </w:t>
      </w:r>
      <w:r w:rsidR="000350B1" w:rsidRPr="003A1174">
        <w:rPr>
          <w:rFonts w:ascii="Garamond" w:hAnsi="Garamond" w:cs="Arial"/>
          <w:sz w:val="24"/>
          <w:szCs w:val="24"/>
        </w:rPr>
        <w:t>violência</w:t>
      </w:r>
      <w:r w:rsidR="000116D8" w:rsidRPr="003A1174">
        <w:rPr>
          <w:rFonts w:ascii="Garamond" w:hAnsi="Garamond" w:cs="Arial"/>
          <w:sz w:val="24"/>
          <w:szCs w:val="24"/>
        </w:rPr>
        <w:t xml:space="preserve">s, </w:t>
      </w:r>
      <w:r w:rsidR="002C7510" w:rsidRPr="003A1174">
        <w:rPr>
          <w:rFonts w:ascii="Garamond" w:hAnsi="Garamond" w:cs="Arial"/>
          <w:sz w:val="24"/>
          <w:szCs w:val="24"/>
        </w:rPr>
        <w:t>ações</w:t>
      </w:r>
      <w:r w:rsidR="000116D8" w:rsidRPr="003A1174">
        <w:rPr>
          <w:rFonts w:ascii="Garamond" w:hAnsi="Garamond" w:cs="Arial"/>
          <w:sz w:val="24"/>
          <w:szCs w:val="24"/>
        </w:rPr>
        <w:t xml:space="preserve"> que </w:t>
      </w:r>
      <w:r w:rsidR="00237653">
        <w:rPr>
          <w:rFonts w:ascii="Garamond" w:hAnsi="Garamond" w:cs="Arial"/>
          <w:sz w:val="24"/>
          <w:szCs w:val="24"/>
        </w:rPr>
        <w:t>-</w:t>
      </w:r>
      <w:r w:rsidR="000464C8" w:rsidRPr="003A1174">
        <w:rPr>
          <w:rFonts w:ascii="Garamond" w:hAnsi="Garamond" w:cs="Arial"/>
          <w:sz w:val="24"/>
          <w:szCs w:val="24"/>
        </w:rPr>
        <w:t xml:space="preserve"> </w:t>
      </w:r>
      <w:r w:rsidR="000116D8" w:rsidRPr="003A1174">
        <w:rPr>
          <w:rFonts w:ascii="Garamond" w:hAnsi="Garamond" w:cs="Arial"/>
          <w:sz w:val="24"/>
          <w:szCs w:val="24"/>
        </w:rPr>
        <w:t xml:space="preserve">entre </w:t>
      </w:r>
      <w:r w:rsidR="0017447A" w:rsidRPr="003A1174">
        <w:rPr>
          <w:rFonts w:ascii="Garamond" w:hAnsi="Garamond" w:cs="Arial"/>
          <w:sz w:val="24"/>
          <w:szCs w:val="24"/>
        </w:rPr>
        <w:t>outras</w:t>
      </w:r>
      <w:r w:rsidR="000464C8" w:rsidRPr="003A1174">
        <w:rPr>
          <w:rFonts w:ascii="Garamond" w:hAnsi="Garamond" w:cs="Arial"/>
          <w:sz w:val="24"/>
          <w:szCs w:val="24"/>
        </w:rPr>
        <w:t xml:space="preserve"> </w:t>
      </w:r>
      <w:r w:rsidR="00237653">
        <w:rPr>
          <w:rFonts w:ascii="Garamond" w:hAnsi="Garamond" w:cs="Arial"/>
          <w:sz w:val="24"/>
          <w:szCs w:val="24"/>
        </w:rPr>
        <w:t>-</w:t>
      </w:r>
      <w:r w:rsidR="000116D8" w:rsidRPr="003A1174">
        <w:rPr>
          <w:rFonts w:ascii="Garamond" w:hAnsi="Garamond" w:cs="Arial"/>
          <w:sz w:val="24"/>
          <w:szCs w:val="24"/>
        </w:rPr>
        <w:t xml:space="preserve"> se </w:t>
      </w:r>
      <w:r w:rsidR="00EC2E68" w:rsidRPr="003A1174">
        <w:rPr>
          <w:rFonts w:ascii="Garamond" w:hAnsi="Garamond" w:cs="Arial"/>
          <w:sz w:val="24"/>
          <w:szCs w:val="24"/>
        </w:rPr>
        <w:t>descreve</w:t>
      </w:r>
      <w:r w:rsidR="000464C8" w:rsidRPr="003A1174">
        <w:rPr>
          <w:rFonts w:ascii="Garamond" w:hAnsi="Garamond" w:cs="Arial"/>
          <w:sz w:val="24"/>
          <w:szCs w:val="24"/>
        </w:rPr>
        <w:t xml:space="preserve">m em seguida </w:t>
      </w:r>
      <w:r w:rsidR="000116D8" w:rsidRPr="003A1174">
        <w:rPr>
          <w:rFonts w:ascii="Garamond" w:hAnsi="Garamond" w:cs="Arial"/>
          <w:sz w:val="24"/>
          <w:szCs w:val="24"/>
        </w:rPr>
        <w:t xml:space="preserve">como </w:t>
      </w:r>
      <w:r w:rsidR="00661ADB" w:rsidRPr="003A1174">
        <w:rPr>
          <w:rFonts w:ascii="Garamond" w:hAnsi="Garamond" w:cs="Arial"/>
          <w:sz w:val="24"/>
          <w:szCs w:val="24"/>
        </w:rPr>
        <w:t>boas</w:t>
      </w:r>
      <w:r w:rsidR="000116D8" w:rsidRPr="003A1174">
        <w:rPr>
          <w:rFonts w:ascii="Garamond" w:hAnsi="Garamond" w:cs="Arial"/>
          <w:sz w:val="24"/>
          <w:szCs w:val="24"/>
        </w:rPr>
        <w:t xml:space="preserve"> </w:t>
      </w:r>
      <w:r w:rsidR="00661ADB" w:rsidRPr="003A1174">
        <w:rPr>
          <w:rFonts w:ascii="Garamond" w:hAnsi="Garamond" w:cs="Arial"/>
          <w:sz w:val="24"/>
          <w:szCs w:val="24"/>
        </w:rPr>
        <w:t>prática</w:t>
      </w:r>
      <w:r w:rsidR="000116D8" w:rsidRPr="003A1174">
        <w:rPr>
          <w:rFonts w:ascii="Garamond" w:hAnsi="Garamond" w:cs="Arial"/>
          <w:sz w:val="24"/>
          <w:szCs w:val="24"/>
        </w:rPr>
        <w:t xml:space="preserve">s </w:t>
      </w:r>
      <w:r w:rsidR="000464C8" w:rsidRPr="003A1174">
        <w:rPr>
          <w:rFonts w:ascii="Garamond" w:hAnsi="Garamond" w:cs="Arial"/>
          <w:sz w:val="24"/>
          <w:szCs w:val="24"/>
        </w:rPr>
        <w:t>n</w:t>
      </w:r>
      <w:r w:rsidR="000116D8" w:rsidRPr="003A1174">
        <w:rPr>
          <w:rFonts w:ascii="Garamond" w:hAnsi="Garamond" w:cs="Arial"/>
          <w:sz w:val="24"/>
          <w:szCs w:val="24"/>
        </w:rPr>
        <w:t xml:space="preserve">a </w:t>
      </w:r>
      <w:r w:rsidR="00EF645F" w:rsidRPr="003A1174">
        <w:rPr>
          <w:rFonts w:ascii="Garamond" w:hAnsi="Garamond" w:cs="Arial"/>
          <w:sz w:val="24"/>
          <w:szCs w:val="24"/>
        </w:rPr>
        <w:t>matéria</w:t>
      </w:r>
      <w:r w:rsidR="000116D8" w:rsidRPr="003A1174">
        <w:rPr>
          <w:rFonts w:ascii="Garamond" w:hAnsi="Garamond" w:cs="Arial"/>
          <w:sz w:val="24"/>
          <w:szCs w:val="24"/>
        </w:rPr>
        <w:t>:</w:t>
      </w:r>
    </w:p>
    <w:p w:rsidR="000116D8" w:rsidRPr="003A1174" w:rsidRDefault="00374785"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sidRPr="003A1174">
        <w:rPr>
          <w:rFonts w:ascii="Garamond" w:hAnsi="Garamond" w:cs="Arial"/>
          <w:sz w:val="24"/>
          <w:szCs w:val="24"/>
          <w:lang w:val="pt-PT"/>
        </w:rPr>
        <w:t>Atividades</w:t>
      </w:r>
      <w:r w:rsidR="000116D8" w:rsidRPr="003A1174">
        <w:rPr>
          <w:rFonts w:ascii="Garamond" w:hAnsi="Garamond" w:cs="Arial"/>
          <w:sz w:val="24"/>
          <w:szCs w:val="24"/>
          <w:lang w:val="pt-PT"/>
        </w:rPr>
        <w:t xml:space="preserve"> para </w:t>
      </w:r>
      <w:r w:rsidR="00237653">
        <w:rPr>
          <w:rFonts w:ascii="Garamond" w:hAnsi="Garamond" w:cs="Arial"/>
          <w:sz w:val="24"/>
          <w:szCs w:val="24"/>
          <w:lang w:val="pt-PT"/>
        </w:rPr>
        <w:t xml:space="preserve">dar visibilidade aos atos de </w:t>
      </w:r>
      <w:r w:rsidR="000350B1" w:rsidRPr="003A1174">
        <w:rPr>
          <w:rFonts w:ascii="Garamond" w:hAnsi="Garamond" w:cs="Arial"/>
          <w:sz w:val="24"/>
          <w:szCs w:val="24"/>
          <w:lang w:val="pt-PT"/>
        </w:rPr>
        <w:t>violência</w:t>
      </w:r>
      <w:r w:rsidR="000464C8" w:rsidRPr="003A1174">
        <w:rPr>
          <w:rFonts w:ascii="Garamond" w:hAnsi="Garamond" w:cs="Arial"/>
          <w:sz w:val="24"/>
          <w:szCs w:val="24"/>
          <w:lang w:val="pt-PT"/>
        </w:rPr>
        <w:t xml:space="preserve"> contra </w:t>
      </w:r>
      <w:r w:rsidR="000116D8"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9A0CC2" w:rsidRPr="003A1174">
        <w:rPr>
          <w:rFonts w:ascii="Garamond" w:hAnsi="Garamond" w:cs="Arial"/>
          <w:sz w:val="24"/>
          <w:szCs w:val="24"/>
          <w:lang w:val="pt-PT"/>
        </w:rPr>
        <w:t>através</w:t>
      </w:r>
      <w:r w:rsidR="000116D8" w:rsidRPr="003A1174">
        <w:rPr>
          <w:rFonts w:ascii="Garamond" w:hAnsi="Garamond" w:cs="Arial"/>
          <w:sz w:val="24"/>
          <w:szCs w:val="24"/>
          <w:lang w:val="pt-PT"/>
        </w:rPr>
        <w:t xml:space="preserve"> de </w:t>
      </w:r>
      <w:r w:rsidR="009E3E55" w:rsidRPr="003A1174">
        <w:rPr>
          <w:rFonts w:ascii="Garamond" w:hAnsi="Garamond" w:cs="Arial"/>
          <w:sz w:val="24"/>
          <w:szCs w:val="24"/>
          <w:lang w:val="pt-PT"/>
        </w:rPr>
        <w:t>Relatório</w:t>
      </w:r>
      <w:r w:rsidR="000116D8" w:rsidRPr="003A1174">
        <w:rPr>
          <w:rFonts w:ascii="Garamond" w:hAnsi="Garamond" w:cs="Arial"/>
          <w:sz w:val="24"/>
          <w:szCs w:val="24"/>
          <w:lang w:val="pt-PT"/>
        </w:rPr>
        <w:t>s Defens</w:t>
      </w:r>
      <w:r w:rsidR="000464C8" w:rsidRPr="003A1174">
        <w:rPr>
          <w:rFonts w:ascii="Garamond" w:hAnsi="Garamond" w:cs="Arial"/>
          <w:sz w:val="24"/>
          <w:szCs w:val="24"/>
          <w:lang w:val="pt-PT"/>
        </w:rPr>
        <w:t xml:space="preserve">órios, </w:t>
      </w:r>
      <w:r w:rsidR="000116D8" w:rsidRPr="003A1174">
        <w:rPr>
          <w:rFonts w:ascii="Garamond" w:hAnsi="Garamond" w:cs="Arial"/>
          <w:sz w:val="24"/>
          <w:szCs w:val="24"/>
          <w:lang w:val="pt-PT"/>
        </w:rPr>
        <w:t xml:space="preserve">documentos para </w:t>
      </w:r>
      <w:r w:rsidR="000464C8" w:rsidRPr="003A1174">
        <w:rPr>
          <w:rFonts w:ascii="Garamond" w:hAnsi="Garamond" w:cs="Arial"/>
          <w:sz w:val="24"/>
          <w:szCs w:val="24"/>
          <w:lang w:val="pt-PT"/>
        </w:rPr>
        <w:t xml:space="preserve">a </w:t>
      </w:r>
      <w:r w:rsidR="00417A55" w:rsidRPr="003A1174">
        <w:rPr>
          <w:rFonts w:ascii="Garamond" w:hAnsi="Garamond" w:cs="Arial"/>
          <w:sz w:val="24"/>
          <w:szCs w:val="24"/>
          <w:lang w:val="pt-PT"/>
        </w:rPr>
        <w:t>su</w:t>
      </w:r>
      <w:r w:rsidR="000464C8" w:rsidRPr="003A1174">
        <w:rPr>
          <w:rFonts w:ascii="Garamond" w:hAnsi="Garamond" w:cs="Arial"/>
          <w:sz w:val="24"/>
          <w:szCs w:val="24"/>
          <w:lang w:val="pt-PT"/>
        </w:rPr>
        <w:t>a</w:t>
      </w:r>
      <w:r w:rsidR="00417A55" w:rsidRPr="003A1174">
        <w:rPr>
          <w:rFonts w:ascii="Garamond" w:hAnsi="Garamond" w:cs="Arial"/>
          <w:sz w:val="24"/>
          <w:szCs w:val="24"/>
          <w:lang w:val="pt-PT"/>
        </w:rPr>
        <w:t xml:space="preserve"> </w:t>
      </w:r>
      <w:r w:rsidR="00237653">
        <w:rPr>
          <w:rFonts w:ascii="Garamond" w:hAnsi="Garamond" w:cs="Arial"/>
          <w:sz w:val="24"/>
          <w:szCs w:val="24"/>
          <w:lang w:val="pt-PT"/>
        </w:rPr>
        <w:t>divulgação</w:t>
      </w:r>
      <w:r w:rsidR="000464C8" w:rsidRPr="003A1174">
        <w:rPr>
          <w:rFonts w:ascii="Garamond" w:hAnsi="Garamond" w:cs="Arial"/>
          <w:sz w:val="24"/>
          <w:szCs w:val="24"/>
          <w:lang w:val="pt-PT"/>
        </w:rPr>
        <w:t>, folh</w:t>
      </w:r>
      <w:r w:rsidR="000116D8" w:rsidRPr="003A1174">
        <w:rPr>
          <w:rFonts w:ascii="Garamond" w:hAnsi="Garamond" w:cs="Arial"/>
          <w:sz w:val="24"/>
          <w:szCs w:val="24"/>
          <w:lang w:val="pt-PT"/>
        </w:rPr>
        <w:t xml:space="preserve">etos, </w:t>
      </w:r>
      <w:r w:rsidR="000464C8" w:rsidRPr="003A1174">
        <w:rPr>
          <w:rFonts w:ascii="Garamond" w:hAnsi="Garamond" w:cs="Arial"/>
          <w:sz w:val="24"/>
          <w:szCs w:val="24"/>
          <w:lang w:val="pt-PT"/>
        </w:rPr>
        <w:t>tratado</w:t>
      </w:r>
      <w:r w:rsidR="000116D8" w:rsidRPr="003A1174">
        <w:rPr>
          <w:rFonts w:ascii="Garamond" w:hAnsi="Garamond" w:cs="Arial"/>
          <w:sz w:val="24"/>
          <w:szCs w:val="24"/>
          <w:lang w:val="pt-PT"/>
        </w:rPr>
        <w:t xml:space="preserve">s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comunicados de </w:t>
      </w:r>
      <w:r w:rsidR="000464C8" w:rsidRPr="003A1174">
        <w:rPr>
          <w:rFonts w:ascii="Garamond" w:hAnsi="Garamond" w:cs="Arial"/>
          <w:sz w:val="24"/>
          <w:szCs w:val="24"/>
          <w:lang w:val="pt-PT"/>
        </w:rPr>
        <w:t xml:space="preserve">imprensa, no </w:t>
      </w:r>
      <w:r w:rsidR="00731B19" w:rsidRPr="003A1174">
        <w:rPr>
          <w:rFonts w:ascii="Garamond" w:hAnsi="Garamond" w:cs="Arial"/>
          <w:sz w:val="24"/>
          <w:szCs w:val="24"/>
          <w:lang w:val="pt-PT"/>
        </w:rPr>
        <w:t>exercício</w:t>
      </w:r>
      <w:r w:rsidR="000116D8" w:rsidRPr="003A1174">
        <w:rPr>
          <w:rFonts w:ascii="Garamond" w:hAnsi="Garamond" w:cs="Arial"/>
          <w:sz w:val="24"/>
          <w:szCs w:val="24"/>
          <w:lang w:val="pt-PT"/>
        </w:rPr>
        <w:t xml:space="preserve"> d</w:t>
      </w:r>
      <w:r w:rsidR="000464C8" w:rsidRPr="003A1174">
        <w:rPr>
          <w:rFonts w:ascii="Garamond" w:hAnsi="Garamond" w:cs="Arial"/>
          <w:sz w:val="24"/>
          <w:szCs w:val="24"/>
          <w:lang w:val="pt-PT"/>
        </w:rPr>
        <w:t xml:space="preserve">a sua </w:t>
      </w:r>
      <w:r w:rsidR="000116D8" w:rsidRPr="003A1174">
        <w:rPr>
          <w:rFonts w:ascii="Garamond" w:hAnsi="Garamond" w:cs="Arial"/>
          <w:sz w:val="24"/>
          <w:szCs w:val="24"/>
          <w:lang w:val="pt-PT"/>
        </w:rPr>
        <w:t>magistratura</w:t>
      </w:r>
      <w:r w:rsidR="00237653">
        <w:rPr>
          <w:rFonts w:ascii="Garamond" w:hAnsi="Garamond" w:cs="Arial"/>
          <w:sz w:val="24"/>
          <w:szCs w:val="24"/>
          <w:lang w:val="pt-PT"/>
        </w:rPr>
        <w:t xml:space="preserve"> humanista</w:t>
      </w:r>
      <w:r w:rsidR="000116D8" w:rsidRPr="003A1174">
        <w:rPr>
          <w:rFonts w:ascii="Garamond" w:hAnsi="Garamond" w:cs="Arial"/>
          <w:sz w:val="24"/>
          <w:szCs w:val="24"/>
          <w:lang w:val="pt-PT"/>
        </w:rPr>
        <w:t>.</w:t>
      </w:r>
    </w:p>
    <w:p w:rsidR="000116D8" w:rsidRPr="003A1174" w:rsidRDefault="003C2378"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Pr>
          <w:rFonts w:ascii="Garamond" w:hAnsi="Garamond" w:cs="Arial"/>
          <w:sz w:val="24"/>
          <w:szCs w:val="24"/>
          <w:lang w:val="pt-PT"/>
        </w:rPr>
        <w:t>Chamada de atenção para a necessidade de não subavaliar,</w:t>
      </w:r>
      <w:r w:rsidR="000116D8" w:rsidRPr="003A1174">
        <w:rPr>
          <w:rFonts w:ascii="Garamond" w:hAnsi="Garamond" w:cs="Arial"/>
          <w:sz w:val="24"/>
          <w:szCs w:val="24"/>
          <w:lang w:val="pt-PT"/>
        </w:rPr>
        <w:t xml:space="preserve"> social e institucional</w:t>
      </w:r>
      <w:r>
        <w:rPr>
          <w:rFonts w:ascii="Garamond" w:hAnsi="Garamond" w:cs="Arial"/>
          <w:sz w:val="24"/>
          <w:szCs w:val="24"/>
          <w:lang w:val="pt-PT"/>
        </w:rPr>
        <w:t xml:space="preserve">mente, </w:t>
      </w:r>
      <w:r w:rsidR="00497503" w:rsidRPr="003A1174">
        <w:rPr>
          <w:rFonts w:ascii="Garamond" w:hAnsi="Garamond" w:cs="Arial"/>
          <w:sz w:val="24"/>
          <w:szCs w:val="24"/>
          <w:lang w:val="pt-PT"/>
        </w:rPr>
        <w:t>a</w:t>
      </w:r>
      <w:r w:rsidR="000116D8"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000464C8" w:rsidRPr="003A1174">
        <w:rPr>
          <w:rFonts w:ascii="Garamond" w:hAnsi="Garamond" w:cs="Arial"/>
          <w:sz w:val="24"/>
          <w:szCs w:val="24"/>
          <w:lang w:val="pt-PT"/>
        </w:rPr>
        <w:t xml:space="preserve"> contra </w:t>
      </w:r>
      <w:r w:rsidR="000116D8"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através d</w:t>
      </w:r>
      <w:r w:rsidR="001A36C6"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2D1021" w:rsidRPr="003A1174">
        <w:rPr>
          <w:rFonts w:ascii="Garamond" w:hAnsi="Garamond" w:cs="Arial"/>
          <w:sz w:val="24"/>
          <w:szCs w:val="24"/>
          <w:lang w:val="pt-PT"/>
        </w:rPr>
        <w:t>processo</w:t>
      </w:r>
      <w:r w:rsidR="000116D8" w:rsidRPr="003A1174">
        <w:rPr>
          <w:rFonts w:ascii="Garamond" w:hAnsi="Garamond" w:cs="Arial"/>
          <w:sz w:val="24"/>
          <w:szCs w:val="24"/>
          <w:lang w:val="pt-PT"/>
        </w:rPr>
        <w:t xml:space="preserve">s de </w:t>
      </w:r>
      <w:r w:rsidR="00454353" w:rsidRPr="003A1174">
        <w:rPr>
          <w:rFonts w:ascii="Garamond" w:hAnsi="Garamond" w:cs="Arial"/>
          <w:sz w:val="24"/>
          <w:szCs w:val="24"/>
          <w:lang w:val="pt-PT"/>
        </w:rPr>
        <w:t>formação</w:t>
      </w:r>
      <w:r w:rsidR="000116D8" w:rsidRPr="003A1174">
        <w:rPr>
          <w:rFonts w:ascii="Garamond" w:hAnsi="Garamond" w:cs="Arial"/>
          <w:sz w:val="24"/>
          <w:szCs w:val="24"/>
          <w:lang w:val="pt-PT"/>
        </w:rPr>
        <w:t xml:space="preserve">, </w:t>
      </w:r>
      <w:r w:rsidR="002A71E1">
        <w:rPr>
          <w:rFonts w:ascii="Garamond" w:hAnsi="Garamond" w:cs="Arial"/>
          <w:sz w:val="24"/>
          <w:szCs w:val="24"/>
          <w:lang w:val="pt-PT"/>
        </w:rPr>
        <w:t>profissionalização</w:t>
      </w:r>
      <w:r w:rsidR="000116D8" w:rsidRPr="003A1174">
        <w:rPr>
          <w:rFonts w:ascii="Garamond" w:hAnsi="Garamond" w:cs="Arial"/>
          <w:sz w:val="24"/>
          <w:szCs w:val="24"/>
          <w:lang w:val="pt-PT"/>
        </w:rPr>
        <w:t xml:space="preserve">, </w:t>
      </w:r>
      <w:r w:rsidR="002F5CD1" w:rsidRPr="003A1174">
        <w:rPr>
          <w:rFonts w:ascii="Garamond" w:hAnsi="Garamond" w:cs="Arial"/>
          <w:sz w:val="24"/>
          <w:szCs w:val="24"/>
          <w:lang w:val="pt-PT"/>
        </w:rPr>
        <w:t>promoção</w:t>
      </w:r>
      <w:r w:rsidR="000116D8" w:rsidRPr="003A1174">
        <w:rPr>
          <w:rFonts w:ascii="Garamond" w:hAnsi="Garamond" w:cs="Arial"/>
          <w:sz w:val="24"/>
          <w:szCs w:val="24"/>
          <w:lang w:val="pt-PT"/>
        </w:rPr>
        <w:t xml:space="preserve">, </w:t>
      </w:r>
      <w:r w:rsidR="00976FB8" w:rsidRPr="003A1174">
        <w:rPr>
          <w:rFonts w:ascii="Garamond" w:hAnsi="Garamond" w:cs="Arial"/>
          <w:sz w:val="24"/>
          <w:szCs w:val="24"/>
          <w:lang w:val="pt-PT"/>
        </w:rPr>
        <w:t>sensibilização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2C7510" w:rsidRPr="003A1174">
        <w:rPr>
          <w:rFonts w:ascii="Garamond" w:hAnsi="Garamond" w:cs="Arial"/>
          <w:sz w:val="24"/>
          <w:szCs w:val="24"/>
          <w:lang w:val="pt-PT"/>
        </w:rPr>
        <w:t>difusão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000464C8" w:rsidRPr="003A1174">
        <w:rPr>
          <w:rFonts w:ascii="Garamond" w:hAnsi="Garamond" w:cs="Arial"/>
          <w:sz w:val="24"/>
          <w:szCs w:val="24"/>
          <w:lang w:val="pt-PT"/>
        </w:rPr>
        <w:t>s d</w:t>
      </w:r>
      <w:r w:rsidR="000116D8" w:rsidRPr="003A1174">
        <w:rPr>
          <w:rFonts w:ascii="Garamond" w:hAnsi="Garamond" w:cs="Arial"/>
          <w:sz w:val="24"/>
          <w:szCs w:val="24"/>
          <w:lang w:val="pt-PT"/>
        </w:rPr>
        <w:t xml:space="preserve">esta </w:t>
      </w:r>
      <w:r w:rsidR="007A2492" w:rsidRPr="003A1174">
        <w:rPr>
          <w:rFonts w:ascii="Garamond" w:hAnsi="Garamond" w:cs="Arial"/>
          <w:sz w:val="24"/>
          <w:szCs w:val="24"/>
          <w:lang w:val="pt-PT"/>
        </w:rPr>
        <w:t>população</w:t>
      </w:r>
      <w:r w:rsidR="000116D8" w:rsidRPr="003A1174">
        <w:rPr>
          <w:rFonts w:ascii="Garamond" w:hAnsi="Garamond" w:cs="Arial"/>
          <w:sz w:val="24"/>
          <w:szCs w:val="24"/>
          <w:lang w:val="pt-PT"/>
        </w:rPr>
        <w:t>.</w:t>
      </w:r>
    </w:p>
    <w:p w:rsidR="000116D8" w:rsidRPr="003A1174" w:rsidRDefault="003F012B"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sidRPr="003A1174">
        <w:rPr>
          <w:rFonts w:ascii="Garamond" w:hAnsi="Garamond" w:cs="Arial"/>
          <w:sz w:val="24"/>
          <w:szCs w:val="24"/>
          <w:lang w:val="pt-PT"/>
        </w:rPr>
        <w:t>Acompanhamento</w:t>
      </w:r>
      <w:r w:rsidR="000116D8" w:rsidRPr="003A1174">
        <w:rPr>
          <w:rFonts w:ascii="Garamond" w:hAnsi="Garamond" w:cs="Arial"/>
          <w:sz w:val="24"/>
          <w:szCs w:val="24"/>
          <w:lang w:val="pt-PT"/>
        </w:rPr>
        <w:t xml:space="preserve">, </w:t>
      </w:r>
      <w:r w:rsidR="00C30647" w:rsidRPr="003A1174">
        <w:rPr>
          <w:rFonts w:ascii="Garamond" w:hAnsi="Garamond" w:cs="Arial"/>
          <w:sz w:val="24"/>
          <w:szCs w:val="24"/>
          <w:lang w:val="pt-PT"/>
        </w:rPr>
        <w:t>assessoria</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791197" w:rsidRPr="003A1174">
        <w:rPr>
          <w:rFonts w:ascii="Garamond" w:hAnsi="Garamond" w:cs="Arial"/>
          <w:sz w:val="24"/>
          <w:szCs w:val="24"/>
          <w:lang w:val="pt-PT"/>
        </w:rPr>
        <w:t>apoio</w:t>
      </w:r>
      <w:r w:rsidR="000464C8" w:rsidRPr="003A1174">
        <w:rPr>
          <w:rFonts w:ascii="Garamond" w:hAnsi="Garamond" w:cs="Arial"/>
          <w:sz w:val="24"/>
          <w:szCs w:val="24"/>
          <w:lang w:val="pt-PT"/>
        </w:rPr>
        <w:t xml:space="preserve"> a</w:t>
      </w:r>
      <w:r w:rsidR="000116D8" w:rsidRPr="003A1174">
        <w:rPr>
          <w:rFonts w:ascii="Garamond" w:hAnsi="Garamond" w:cs="Arial"/>
          <w:sz w:val="24"/>
          <w:szCs w:val="24"/>
          <w:lang w:val="pt-PT"/>
        </w:rPr>
        <w:t xml:space="preserve">os </w:t>
      </w:r>
      <w:r w:rsidR="002D1021" w:rsidRPr="003A1174">
        <w:rPr>
          <w:rFonts w:ascii="Garamond" w:hAnsi="Garamond" w:cs="Arial"/>
          <w:sz w:val="24"/>
          <w:szCs w:val="24"/>
          <w:lang w:val="pt-PT"/>
        </w:rPr>
        <w:t>processo</w:t>
      </w:r>
      <w:r w:rsidR="000116D8" w:rsidRPr="003A1174">
        <w:rPr>
          <w:rFonts w:ascii="Garamond" w:hAnsi="Garamond" w:cs="Arial"/>
          <w:sz w:val="24"/>
          <w:szCs w:val="24"/>
          <w:lang w:val="pt-PT"/>
        </w:rPr>
        <w:t xml:space="preserve">s de </w:t>
      </w:r>
      <w:r w:rsidR="00964875" w:rsidRPr="003A1174">
        <w:rPr>
          <w:rFonts w:ascii="Garamond" w:hAnsi="Garamond" w:cs="Arial"/>
          <w:sz w:val="24"/>
          <w:szCs w:val="24"/>
          <w:lang w:val="pt-PT"/>
        </w:rPr>
        <w:t>qualificação</w:t>
      </w:r>
      <w:r w:rsidR="000116D8" w:rsidRPr="003A1174">
        <w:rPr>
          <w:rFonts w:ascii="Garamond" w:hAnsi="Garamond" w:cs="Arial"/>
          <w:sz w:val="24"/>
          <w:szCs w:val="24"/>
          <w:lang w:val="pt-PT"/>
        </w:rPr>
        <w:t xml:space="preserve"> de </w:t>
      </w:r>
      <w:r w:rsidR="000464C8" w:rsidRPr="003A1174">
        <w:rPr>
          <w:rFonts w:ascii="Garamond" w:hAnsi="Garamond" w:cs="Arial"/>
          <w:sz w:val="24"/>
          <w:szCs w:val="24"/>
          <w:lang w:val="pt-PT"/>
        </w:rPr>
        <w:t>litígio</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 xml:space="preserve">nos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da </w:t>
      </w:r>
      <w:r w:rsidR="00AF192F" w:rsidRPr="003A1174">
        <w:rPr>
          <w:rFonts w:ascii="Garamond" w:hAnsi="Garamond" w:cs="Arial"/>
          <w:sz w:val="24"/>
          <w:szCs w:val="24"/>
          <w:lang w:val="pt-PT"/>
        </w:rPr>
        <w:t>mulher</w:t>
      </w:r>
      <w:r w:rsidR="000116D8" w:rsidRPr="003A1174">
        <w:rPr>
          <w:rFonts w:ascii="Garamond" w:hAnsi="Garamond" w:cs="Arial"/>
          <w:sz w:val="24"/>
          <w:szCs w:val="24"/>
          <w:lang w:val="pt-PT"/>
        </w:rPr>
        <w:t xml:space="preserve">, </w:t>
      </w:r>
      <w:r w:rsidR="00A56F43" w:rsidRPr="003A1174">
        <w:rPr>
          <w:rFonts w:ascii="Garamond" w:hAnsi="Garamond" w:cs="Arial"/>
          <w:sz w:val="24"/>
          <w:szCs w:val="24"/>
          <w:lang w:val="pt-PT"/>
        </w:rPr>
        <w:t>estratégia</w:t>
      </w:r>
      <w:r w:rsidR="000116D8" w:rsidRPr="003A1174">
        <w:rPr>
          <w:rFonts w:ascii="Garamond" w:hAnsi="Garamond" w:cs="Arial"/>
          <w:sz w:val="24"/>
          <w:szCs w:val="24"/>
          <w:lang w:val="pt-PT"/>
        </w:rPr>
        <w:t xml:space="preserve"> que se des</w:t>
      </w:r>
      <w:r w:rsidR="000464C8" w:rsidRPr="003A1174">
        <w:rPr>
          <w:rFonts w:ascii="Garamond" w:hAnsi="Garamond" w:cs="Arial"/>
          <w:sz w:val="24"/>
          <w:szCs w:val="24"/>
          <w:lang w:val="pt-PT"/>
        </w:rPr>
        <w:t xml:space="preserve">envolve </w:t>
      </w:r>
      <w:r w:rsidR="009A0CC2" w:rsidRPr="003A1174">
        <w:rPr>
          <w:rFonts w:ascii="Garamond" w:hAnsi="Garamond" w:cs="Arial"/>
          <w:sz w:val="24"/>
          <w:szCs w:val="24"/>
          <w:lang w:val="pt-PT"/>
        </w:rPr>
        <w:t>através</w:t>
      </w:r>
      <w:r w:rsidR="000116D8" w:rsidRPr="003A1174">
        <w:rPr>
          <w:rFonts w:ascii="Garamond" w:hAnsi="Garamond" w:cs="Arial"/>
          <w:sz w:val="24"/>
          <w:szCs w:val="24"/>
          <w:lang w:val="pt-PT"/>
        </w:rPr>
        <w:t xml:space="preserve"> da </w:t>
      </w:r>
      <w:r w:rsidR="00524936" w:rsidRPr="003A1174">
        <w:rPr>
          <w:rFonts w:ascii="Garamond" w:hAnsi="Garamond" w:cs="Arial"/>
          <w:sz w:val="24"/>
          <w:szCs w:val="24"/>
          <w:lang w:val="pt-PT"/>
        </w:rPr>
        <w:t>mesma</w:t>
      </w:r>
      <w:r w:rsidR="000116D8" w:rsidRPr="003A1174">
        <w:rPr>
          <w:rFonts w:ascii="Garamond" w:hAnsi="Garamond" w:cs="Arial"/>
          <w:sz w:val="24"/>
          <w:szCs w:val="24"/>
          <w:lang w:val="pt-PT"/>
        </w:rPr>
        <w:t xml:space="preserve"> Delegada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0116D8" w:rsidRPr="003A1174">
        <w:rPr>
          <w:rFonts w:ascii="Garamond" w:hAnsi="Garamond" w:cs="Arial"/>
          <w:sz w:val="24"/>
          <w:szCs w:val="24"/>
          <w:lang w:val="pt-PT"/>
        </w:rPr>
        <w:t xml:space="preserve"> </w:t>
      </w:r>
      <w:r w:rsidR="003C2378">
        <w:rPr>
          <w:rFonts w:ascii="Garamond" w:hAnsi="Garamond" w:cs="Arial"/>
          <w:sz w:val="24"/>
          <w:szCs w:val="24"/>
          <w:lang w:val="pt-PT"/>
        </w:rPr>
        <w:t>«</w:t>
      </w:r>
      <w:r w:rsidR="00C30647" w:rsidRPr="003A1174">
        <w:rPr>
          <w:rFonts w:ascii="Garamond" w:hAnsi="Garamond" w:cs="Arial"/>
          <w:sz w:val="24"/>
          <w:szCs w:val="24"/>
          <w:lang w:val="pt-PT"/>
        </w:rPr>
        <w:t>Projeto</w:t>
      </w:r>
      <w:r w:rsidR="000464C8" w:rsidRPr="003A1174">
        <w:rPr>
          <w:rFonts w:ascii="Garamond" w:hAnsi="Garamond" w:cs="Arial"/>
          <w:sz w:val="24"/>
          <w:szCs w:val="24"/>
          <w:lang w:val="pt-PT"/>
        </w:rPr>
        <w:t xml:space="preserve"> para </w:t>
      </w:r>
      <w:r w:rsidR="000116D8" w:rsidRPr="003A1174">
        <w:rPr>
          <w:rFonts w:ascii="Garamond" w:hAnsi="Garamond" w:cs="Arial"/>
          <w:sz w:val="24"/>
          <w:szCs w:val="24"/>
          <w:lang w:val="pt-PT"/>
        </w:rPr>
        <w:t xml:space="preserve">a </w:t>
      </w:r>
      <w:r w:rsidR="00606CEE" w:rsidRPr="003A1174">
        <w:rPr>
          <w:rFonts w:ascii="Garamond" w:hAnsi="Garamond" w:cs="Arial"/>
          <w:sz w:val="24"/>
          <w:szCs w:val="24"/>
          <w:lang w:val="pt-PT"/>
        </w:rPr>
        <w:t>Adequação</w:t>
      </w:r>
      <w:r w:rsidR="000116D8" w:rsidRPr="003A1174">
        <w:rPr>
          <w:rFonts w:ascii="Garamond" w:hAnsi="Garamond" w:cs="Arial"/>
          <w:sz w:val="24"/>
          <w:szCs w:val="24"/>
          <w:lang w:val="pt-PT"/>
        </w:rPr>
        <w:t xml:space="preserve"> Institucional para </w:t>
      </w:r>
      <w:r w:rsidR="000464C8" w:rsidRPr="003A1174">
        <w:rPr>
          <w:rFonts w:ascii="Garamond" w:hAnsi="Garamond" w:cs="Arial"/>
          <w:sz w:val="24"/>
          <w:szCs w:val="24"/>
          <w:lang w:val="pt-PT"/>
        </w:rPr>
        <w:t xml:space="preserve">o </w:t>
      </w:r>
      <w:r w:rsidR="00886D6A" w:rsidRPr="003A1174">
        <w:rPr>
          <w:rFonts w:ascii="Garamond" w:hAnsi="Garamond" w:cs="Arial"/>
          <w:sz w:val="24"/>
          <w:szCs w:val="24"/>
          <w:lang w:val="pt-PT"/>
        </w:rPr>
        <w:t>Acesso</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 xml:space="preserve">à </w:t>
      </w:r>
      <w:r w:rsidR="00FC1F7F" w:rsidRPr="003A1174">
        <w:rPr>
          <w:rFonts w:ascii="Garamond" w:hAnsi="Garamond" w:cs="Arial"/>
          <w:sz w:val="24"/>
          <w:szCs w:val="24"/>
          <w:lang w:val="pt-PT"/>
        </w:rPr>
        <w:t>Justiça</w:t>
      </w:r>
      <w:r w:rsidR="003C2378">
        <w:rPr>
          <w:rFonts w:ascii="Garamond" w:hAnsi="Garamond" w:cs="Arial"/>
          <w:sz w:val="24"/>
          <w:szCs w:val="24"/>
          <w:lang w:val="pt-PT"/>
        </w:rPr>
        <w:t>»</w:t>
      </w:r>
      <w:r w:rsidR="000116D8" w:rsidRPr="003A1174">
        <w:rPr>
          <w:rFonts w:ascii="Garamond" w:hAnsi="Garamond" w:cs="Arial"/>
          <w:sz w:val="24"/>
          <w:szCs w:val="24"/>
          <w:lang w:val="pt-PT"/>
        </w:rPr>
        <w:t xml:space="preserve">, </w:t>
      </w:r>
      <w:r w:rsidR="001A36C6" w:rsidRPr="003A1174">
        <w:rPr>
          <w:rFonts w:ascii="Garamond" w:hAnsi="Garamond" w:cs="Arial"/>
          <w:sz w:val="24"/>
          <w:szCs w:val="24"/>
          <w:lang w:val="pt-PT"/>
        </w:rPr>
        <w:t xml:space="preserve">que </w:t>
      </w:r>
      <w:r w:rsidR="000116D8" w:rsidRPr="003A1174">
        <w:rPr>
          <w:rFonts w:ascii="Garamond" w:hAnsi="Garamond" w:cs="Arial"/>
          <w:sz w:val="24"/>
          <w:szCs w:val="24"/>
          <w:lang w:val="pt-PT"/>
        </w:rPr>
        <w:t xml:space="preserve">implica </w:t>
      </w:r>
      <w:r w:rsidR="000464C8" w:rsidRPr="003A1174">
        <w:rPr>
          <w:rFonts w:ascii="Garamond" w:hAnsi="Garamond" w:cs="Arial"/>
          <w:sz w:val="24"/>
          <w:szCs w:val="24"/>
          <w:lang w:val="pt-PT"/>
        </w:rPr>
        <w:t xml:space="preserve">o </w:t>
      </w:r>
      <w:r w:rsidRPr="003A1174">
        <w:rPr>
          <w:rFonts w:ascii="Garamond" w:hAnsi="Garamond" w:cs="Arial"/>
          <w:sz w:val="24"/>
          <w:szCs w:val="24"/>
          <w:lang w:val="pt-PT"/>
        </w:rPr>
        <w:t>acompanhamento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791197" w:rsidRPr="003A1174">
        <w:rPr>
          <w:rFonts w:ascii="Garamond" w:hAnsi="Garamond" w:cs="Arial"/>
          <w:sz w:val="24"/>
          <w:szCs w:val="24"/>
          <w:lang w:val="pt-PT"/>
        </w:rPr>
        <w:t>apoio</w:t>
      </w:r>
      <w:r w:rsidR="000116D8" w:rsidRPr="003A1174">
        <w:rPr>
          <w:rFonts w:ascii="Garamond" w:hAnsi="Garamond" w:cs="Arial"/>
          <w:sz w:val="24"/>
          <w:szCs w:val="24"/>
          <w:lang w:val="pt-PT"/>
        </w:rPr>
        <w:t xml:space="preserve"> jurídico (</w:t>
      </w:r>
      <w:r w:rsidR="007A3375" w:rsidRPr="003A1174">
        <w:rPr>
          <w:rFonts w:ascii="Garamond" w:hAnsi="Garamond" w:cs="Arial"/>
          <w:sz w:val="24"/>
          <w:szCs w:val="24"/>
          <w:lang w:val="pt-PT"/>
        </w:rPr>
        <w:t>elaboração</w:t>
      </w:r>
      <w:r w:rsidR="000116D8" w:rsidRPr="003A1174">
        <w:rPr>
          <w:rFonts w:ascii="Garamond" w:hAnsi="Garamond" w:cs="Arial"/>
          <w:sz w:val="24"/>
          <w:szCs w:val="24"/>
          <w:lang w:val="pt-PT"/>
        </w:rPr>
        <w:t xml:space="preserve"> de documentos, </w:t>
      </w:r>
      <w:r w:rsidR="00C30647" w:rsidRPr="003A1174">
        <w:rPr>
          <w:rFonts w:ascii="Garamond" w:hAnsi="Garamond" w:cs="Arial"/>
          <w:sz w:val="24"/>
          <w:szCs w:val="24"/>
          <w:lang w:val="pt-PT"/>
        </w:rPr>
        <w:t>assessoria</w:t>
      </w:r>
      <w:r w:rsidR="000116D8" w:rsidRPr="003A1174">
        <w:rPr>
          <w:rFonts w:ascii="Garamond" w:hAnsi="Garamond" w:cs="Arial"/>
          <w:sz w:val="24"/>
          <w:szCs w:val="24"/>
          <w:lang w:val="pt-PT"/>
        </w:rPr>
        <w:t xml:space="preserve">, </w:t>
      </w:r>
      <w:r w:rsidRPr="003A1174">
        <w:rPr>
          <w:rFonts w:ascii="Garamond" w:hAnsi="Garamond" w:cs="Arial"/>
          <w:sz w:val="24"/>
          <w:szCs w:val="24"/>
          <w:lang w:val="pt-PT"/>
        </w:rPr>
        <w:t>acompanhamento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3C2378">
        <w:rPr>
          <w:rFonts w:ascii="Garamond" w:hAnsi="Garamond" w:cs="Arial"/>
          <w:sz w:val="24"/>
          <w:szCs w:val="24"/>
          <w:lang w:val="pt-PT"/>
        </w:rPr>
        <w:t>de defesa</w:t>
      </w:r>
      <w:r w:rsidR="000464C8" w:rsidRPr="003A1174">
        <w:rPr>
          <w:rFonts w:ascii="Garamond" w:hAnsi="Garamond" w:cs="Arial"/>
          <w:sz w:val="24"/>
          <w:szCs w:val="24"/>
          <w:lang w:val="pt-PT"/>
        </w:rPr>
        <w:t xml:space="preserve"> </w:t>
      </w:r>
      <w:r w:rsidR="000464C8" w:rsidRPr="003A1174">
        <w:rPr>
          <w:rFonts w:ascii="Garamond" w:hAnsi="Garamond" w:cs="Arial"/>
          <w:sz w:val="24"/>
          <w:szCs w:val="24"/>
          <w:lang w:val="pt-PT"/>
        </w:rPr>
        <w:lastRenderedPageBreak/>
        <w:t xml:space="preserve">(requerimentos a entidades), </w:t>
      </w:r>
      <w:r w:rsidR="000116D8" w:rsidRPr="003A1174">
        <w:rPr>
          <w:rFonts w:ascii="Garamond" w:hAnsi="Garamond" w:cs="Arial"/>
          <w:sz w:val="24"/>
          <w:szCs w:val="24"/>
          <w:lang w:val="pt-PT"/>
        </w:rPr>
        <w:t xml:space="preserve">a </w:t>
      </w:r>
      <w:r w:rsidR="00976FB8" w:rsidRPr="003A1174">
        <w:rPr>
          <w:rFonts w:ascii="Garamond" w:hAnsi="Garamond" w:cs="Arial"/>
          <w:sz w:val="24"/>
          <w:szCs w:val="24"/>
          <w:lang w:val="pt-PT"/>
        </w:rPr>
        <w:t>intervenção</w:t>
      </w:r>
      <w:r w:rsidR="000116D8" w:rsidRPr="003A1174">
        <w:rPr>
          <w:rFonts w:ascii="Garamond" w:hAnsi="Garamond" w:cs="Arial"/>
          <w:sz w:val="24"/>
          <w:szCs w:val="24"/>
          <w:lang w:val="pt-PT"/>
        </w:rPr>
        <w:t xml:space="preserve"> que</w:t>
      </w:r>
      <w:r w:rsidR="000464C8" w:rsidRPr="003A1174">
        <w:rPr>
          <w:rFonts w:ascii="Garamond" w:hAnsi="Garamond" w:cs="Arial"/>
          <w:sz w:val="24"/>
          <w:szCs w:val="24"/>
          <w:lang w:val="pt-PT"/>
        </w:rPr>
        <w:t xml:space="preserve"> Provedores </w:t>
      </w:r>
      <w:r w:rsidR="000116D8" w:rsidRPr="003A1174">
        <w:rPr>
          <w:rFonts w:ascii="Garamond" w:hAnsi="Garamond" w:cs="Arial"/>
          <w:sz w:val="24"/>
          <w:szCs w:val="24"/>
          <w:lang w:val="pt-PT"/>
        </w:rPr>
        <w:t xml:space="preserve">(as) Públicos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Representantes </w:t>
      </w:r>
      <w:r w:rsidR="002D1021" w:rsidRPr="003A1174">
        <w:rPr>
          <w:rFonts w:ascii="Garamond" w:hAnsi="Garamond" w:cs="Arial"/>
          <w:sz w:val="24"/>
          <w:szCs w:val="24"/>
          <w:lang w:val="pt-PT"/>
        </w:rPr>
        <w:t>Judiciais</w:t>
      </w:r>
      <w:r w:rsidR="000116D8" w:rsidRPr="003A1174">
        <w:rPr>
          <w:rFonts w:ascii="Garamond" w:hAnsi="Garamond" w:cs="Arial"/>
          <w:sz w:val="24"/>
          <w:szCs w:val="24"/>
          <w:lang w:val="pt-PT"/>
        </w:rPr>
        <w:t xml:space="preserve"> de </w:t>
      </w:r>
      <w:r w:rsidRPr="003A1174">
        <w:rPr>
          <w:rFonts w:ascii="Garamond" w:hAnsi="Garamond" w:cs="Arial"/>
          <w:sz w:val="24"/>
          <w:szCs w:val="24"/>
          <w:lang w:val="pt-PT"/>
        </w:rPr>
        <w:t>Vítima</w:t>
      </w:r>
      <w:r w:rsidR="000116D8" w:rsidRPr="003A1174">
        <w:rPr>
          <w:rFonts w:ascii="Garamond" w:hAnsi="Garamond" w:cs="Arial"/>
          <w:sz w:val="24"/>
          <w:szCs w:val="24"/>
          <w:lang w:val="pt-PT"/>
        </w:rPr>
        <w:t>s realiza</w:t>
      </w:r>
      <w:r w:rsidR="000464C8" w:rsidRPr="003A1174">
        <w:rPr>
          <w:rFonts w:ascii="Garamond" w:hAnsi="Garamond" w:cs="Arial"/>
          <w:sz w:val="24"/>
          <w:szCs w:val="24"/>
          <w:lang w:val="pt-PT"/>
        </w:rPr>
        <w:t xml:space="preserve">m em </w:t>
      </w:r>
      <w:r w:rsidR="002D1021" w:rsidRPr="003A1174">
        <w:rPr>
          <w:rFonts w:ascii="Garamond" w:hAnsi="Garamond" w:cs="Arial"/>
          <w:sz w:val="24"/>
          <w:szCs w:val="24"/>
          <w:lang w:val="pt-PT"/>
        </w:rPr>
        <w:t>processo</w:t>
      </w:r>
      <w:r w:rsidR="000116D8" w:rsidRPr="003A1174">
        <w:rPr>
          <w:rFonts w:ascii="Garamond" w:hAnsi="Garamond" w:cs="Arial"/>
          <w:sz w:val="24"/>
          <w:szCs w:val="24"/>
          <w:lang w:val="pt-PT"/>
        </w:rPr>
        <w:t xml:space="preserve">s </w:t>
      </w:r>
      <w:r w:rsidR="009A0CC2" w:rsidRPr="003A1174">
        <w:rPr>
          <w:rFonts w:ascii="Garamond" w:hAnsi="Garamond" w:cs="Arial"/>
          <w:sz w:val="24"/>
          <w:szCs w:val="24"/>
          <w:lang w:val="pt-PT"/>
        </w:rPr>
        <w:t>penais</w:t>
      </w:r>
      <w:r w:rsidR="003C2378">
        <w:rPr>
          <w:rFonts w:ascii="Garamond" w:hAnsi="Garamond" w:cs="Arial"/>
          <w:sz w:val="24"/>
          <w:szCs w:val="24"/>
          <w:lang w:val="pt-PT"/>
        </w:rPr>
        <w:t>,</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 xml:space="preserve">em que </w:t>
      </w:r>
      <w:r w:rsidR="000116D8"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D75A07" w:rsidRPr="003A1174">
        <w:rPr>
          <w:rFonts w:ascii="Garamond" w:hAnsi="Garamond" w:cs="Arial"/>
          <w:sz w:val="24"/>
          <w:szCs w:val="24"/>
          <w:lang w:val="pt-PT"/>
        </w:rPr>
        <w:t>são</w:t>
      </w:r>
      <w:r w:rsidR="000116D8" w:rsidRPr="003A1174">
        <w:rPr>
          <w:rFonts w:ascii="Garamond" w:hAnsi="Garamond" w:cs="Arial"/>
          <w:sz w:val="24"/>
          <w:szCs w:val="24"/>
          <w:lang w:val="pt-PT"/>
        </w:rPr>
        <w:t xml:space="preserve"> parte (</w:t>
      </w:r>
      <w:r w:rsidR="003C2378">
        <w:rPr>
          <w:rFonts w:ascii="Garamond" w:hAnsi="Garamond" w:cs="Arial"/>
          <w:sz w:val="24"/>
          <w:szCs w:val="24"/>
          <w:lang w:val="pt-PT"/>
        </w:rPr>
        <w:t>na qualidade de</w:t>
      </w:r>
      <w:r w:rsidR="000116D8" w:rsidRPr="003A1174">
        <w:rPr>
          <w:rFonts w:ascii="Garamond" w:hAnsi="Garamond" w:cs="Arial"/>
          <w:sz w:val="24"/>
          <w:szCs w:val="24"/>
          <w:lang w:val="pt-PT"/>
        </w:rPr>
        <w:t xml:space="preserve"> </w:t>
      </w:r>
      <w:r w:rsidR="00BD4850">
        <w:rPr>
          <w:rFonts w:ascii="Garamond" w:hAnsi="Garamond" w:cs="Arial"/>
          <w:sz w:val="24"/>
          <w:szCs w:val="24"/>
          <w:lang w:val="pt-PT"/>
        </w:rPr>
        <w:t xml:space="preserve">arguidas </w:t>
      </w:r>
      <w:r w:rsidR="000116D8" w:rsidRPr="003A1174">
        <w:rPr>
          <w:rFonts w:ascii="Garamond" w:hAnsi="Garamond" w:cs="Arial"/>
          <w:sz w:val="24"/>
          <w:szCs w:val="24"/>
          <w:lang w:val="pt-PT"/>
        </w:rPr>
        <w:t>o</w:t>
      </w:r>
      <w:r w:rsidR="000464C8" w:rsidRPr="003A1174">
        <w:rPr>
          <w:rFonts w:ascii="Garamond" w:hAnsi="Garamond" w:cs="Arial"/>
          <w:sz w:val="24"/>
          <w:szCs w:val="24"/>
          <w:lang w:val="pt-PT"/>
        </w:rPr>
        <w:t>u</w:t>
      </w:r>
      <w:r w:rsidR="000116D8" w:rsidRPr="003A1174">
        <w:rPr>
          <w:rFonts w:ascii="Garamond" w:hAnsi="Garamond" w:cs="Arial"/>
          <w:sz w:val="24"/>
          <w:szCs w:val="24"/>
          <w:lang w:val="pt-PT"/>
        </w:rPr>
        <w:t xml:space="preserve"> </w:t>
      </w:r>
      <w:r w:rsidRPr="003A1174">
        <w:rPr>
          <w:rFonts w:ascii="Garamond" w:hAnsi="Garamond" w:cs="Arial"/>
          <w:sz w:val="24"/>
          <w:szCs w:val="24"/>
          <w:lang w:val="pt-PT"/>
        </w:rPr>
        <w:t>vítima</w:t>
      </w:r>
      <w:r w:rsidR="000116D8" w:rsidRPr="003A1174">
        <w:rPr>
          <w:rFonts w:ascii="Garamond" w:hAnsi="Garamond" w:cs="Arial"/>
          <w:sz w:val="24"/>
          <w:szCs w:val="24"/>
          <w:lang w:val="pt-PT"/>
        </w:rPr>
        <w:t>s)</w:t>
      </w:r>
      <w:r w:rsidR="001A36C6" w:rsidRPr="003A1174">
        <w:rPr>
          <w:rFonts w:ascii="Garamond" w:hAnsi="Garamond" w:cs="Arial"/>
          <w:sz w:val="24"/>
          <w:szCs w:val="24"/>
          <w:lang w:val="pt-PT"/>
        </w:rPr>
        <w:t>,</w:t>
      </w:r>
      <w:r w:rsidR="000464C8" w:rsidRPr="003A1174">
        <w:rPr>
          <w:rFonts w:ascii="Garamond" w:hAnsi="Garamond" w:cs="Arial"/>
          <w:sz w:val="24"/>
          <w:szCs w:val="24"/>
          <w:lang w:val="pt-PT"/>
        </w:rPr>
        <w:t xml:space="preserve"> tend</w:t>
      </w:r>
      <w:r w:rsidR="000116D8" w:rsidRPr="003A1174">
        <w:rPr>
          <w:rFonts w:ascii="Garamond" w:hAnsi="Garamond" w:cs="Arial"/>
          <w:sz w:val="24"/>
          <w:szCs w:val="24"/>
          <w:lang w:val="pt-PT"/>
        </w:rPr>
        <w:t>ente</w:t>
      </w:r>
      <w:r w:rsidR="001A36C6" w:rsidRPr="003A1174">
        <w:rPr>
          <w:rFonts w:ascii="Garamond" w:hAnsi="Garamond" w:cs="Arial"/>
          <w:sz w:val="24"/>
          <w:szCs w:val="24"/>
          <w:lang w:val="pt-PT"/>
        </w:rPr>
        <w:t>s</w:t>
      </w:r>
      <w:r w:rsidR="000116D8" w:rsidRPr="003A1174">
        <w:rPr>
          <w:rFonts w:ascii="Garamond" w:hAnsi="Garamond" w:cs="Arial"/>
          <w:sz w:val="24"/>
          <w:szCs w:val="24"/>
          <w:lang w:val="pt-PT"/>
        </w:rPr>
        <w:t xml:space="preserve"> a</w:t>
      </w:r>
      <w:r w:rsidR="000464C8" w:rsidRPr="003A1174">
        <w:rPr>
          <w:rFonts w:ascii="Garamond" w:hAnsi="Garamond" w:cs="Arial"/>
          <w:sz w:val="24"/>
          <w:szCs w:val="24"/>
          <w:lang w:val="pt-PT"/>
        </w:rPr>
        <w:t xml:space="preserve"> </w:t>
      </w:r>
      <w:r w:rsidR="000116D8" w:rsidRPr="003A1174">
        <w:rPr>
          <w:rFonts w:ascii="Garamond" w:hAnsi="Garamond" w:cs="Arial"/>
          <w:sz w:val="24"/>
          <w:szCs w:val="24"/>
          <w:lang w:val="pt-PT"/>
        </w:rPr>
        <w:t>r</w:t>
      </w:r>
      <w:r w:rsidR="002D1021" w:rsidRPr="003A1174">
        <w:rPr>
          <w:rFonts w:ascii="Garamond" w:hAnsi="Garamond" w:cs="Arial"/>
          <w:sz w:val="24"/>
          <w:szCs w:val="24"/>
          <w:lang w:val="pt-PT"/>
        </w:rPr>
        <w:t>estabelec</w:t>
      </w:r>
      <w:r w:rsidR="003C2378">
        <w:rPr>
          <w:rFonts w:ascii="Garamond" w:hAnsi="Garamond" w:cs="Arial"/>
          <w:sz w:val="24"/>
          <w:szCs w:val="24"/>
          <w:lang w:val="pt-PT"/>
        </w:rPr>
        <w:t xml:space="preserve">er </w:t>
      </w:r>
      <w:r w:rsidR="000464C8" w:rsidRPr="003A1174">
        <w:rPr>
          <w:rFonts w:ascii="Garamond" w:hAnsi="Garamond" w:cs="Arial"/>
          <w:sz w:val="24"/>
          <w:szCs w:val="24"/>
          <w:lang w:val="pt-PT"/>
        </w:rPr>
        <w:t xml:space="preserve">os seus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w:t>
      </w:r>
      <w:r w:rsidR="000464C8" w:rsidRPr="003A1174">
        <w:rPr>
          <w:rFonts w:ascii="Garamond" w:hAnsi="Garamond" w:cs="Arial"/>
          <w:sz w:val="24"/>
          <w:szCs w:val="24"/>
          <w:lang w:val="pt-PT"/>
        </w:rPr>
        <w:t xml:space="preserve">no </w:t>
      </w:r>
      <w:r w:rsidR="00253B1D" w:rsidRPr="003A1174">
        <w:rPr>
          <w:rFonts w:ascii="Garamond" w:hAnsi="Garamond" w:cs="Arial"/>
          <w:sz w:val="24"/>
          <w:szCs w:val="24"/>
          <w:lang w:val="pt-PT"/>
        </w:rPr>
        <w:t>quadro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mecanismos </w:t>
      </w:r>
      <w:r w:rsidR="00190B59" w:rsidRPr="003A1174">
        <w:rPr>
          <w:rFonts w:ascii="Garamond" w:hAnsi="Garamond" w:cs="Arial"/>
          <w:sz w:val="24"/>
          <w:szCs w:val="24"/>
          <w:lang w:val="pt-PT"/>
        </w:rPr>
        <w:t>nacionais</w:t>
      </w:r>
      <w:r w:rsidR="000116D8" w:rsidRPr="003A1174">
        <w:rPr>
          <w:rFonts w:ascii="Garamond" w:hAnsi="Garamond" w:cs="Arial"/>
          <w:sz w:val="24"/>
          <w:szCs w:val="24"/>
          <w:lang w:val="pt-PT"/>
        </w:rPr>
        <w:t xml:space="preserve"> e </w:t>
      </w:r>
      <w:r w:rsidR="00EF645F" w:rsidRPr="003A1174">
        <w:rPr>
          <w:rFonts w:ascii="Garamond" w:hAnsi="Garamond" w:cs="Arial"/>
          <w:sz w:val="24"/>
          <w:szCs w:val="24"/>
          <w:lang w:val="pt-PT"/>
        </w:rPr>
        <w:t>internacionais</w:t>
      </w:r>
      <w:r w:rsidR="000116D8" w:rsidRPr="003A1174">
        <w:rPr>
          <w:rFonts w:ascii="Garamond" w:hAnsi="Garamond" w:cs="Arial"/>
          <w:sz w:val="24"/>
          <w:szCs w:val="24"/>
          <w:lang w:val="pt-PT"/>
        </w:rPr>
        <w:t xml:space="preserve"> de </w:t>
      </w:r>
      <w:r w:rsidR="00886D6A" w:rsidRPr="003A1174">
        <w:rPr>
          <w:rFonts w:ascii="Garamond" w:hAnsi="Garamond" w:cs="Arial"/>
          <w:sz w:val="24"/>
          <w:szCs w:val="24"/>
          <w:lang w:val="pt-PT"/>
        </w:rPr>
        <w:t>proteção</w:t>
      </w:r>
      <w:r w:rsidR="000116D8" w:rsidRPr="003A1174">
        <w:rPr>
          <w:rFonts w:ascii="Garamond" w:hAnsi="Garamond" w:cs="Arial"/>
          <w:sz w:val="24"/>
          <w:szCs w:val="24"/>
          <w:lang w:val="pt-PT"/>
        </w:rPr>
        <w:t>.</w:t>
      </w:r>
    </w:p>
    <w:p w:rsidR="000116D8" w:rsidRPr="003A1174" w:rsidRDefault="00C30647"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sidRPr="003A1174">
        <w:rPr>
          <w:rFonts w:ascii="Garamond" w:hAnsi="Garamond" w:cs="Arial"/>
          <w:sz w:val="24"/>
          <w:szCs w:val="24"/>
          <w:lang w:val="pt-PT"/>
        </w:rPr>
        <w:t>Realização</w:t>
      </w:r>
      <w:r w:rsidR="000116D8" w:rsidRPr="003A1174">
        <w:rPr>
          <w:rFonts w:ascii="Garamond" w:hAnsi="Garamond" w:cs="Arial"/>
          <w:sz w:val="24"/>
          <w:szCs w:val="24"/>
          <w:lang w:val="pt-PT"/>
        </w:rPr>
        <w:t xml:space="preserve"> de </w:t>
      </w:r>
      <w:r w:rsidR="002C7510" w:rsidRPr="003A1174">
        <w:rPr>
          <w:rFonts w:ascii="Garamond" w:hAnsi="Garamond" w:cs="Arial"/>
          <w:sz w:val="24"/>
          <w:szCs w:val="24"/>
          <w:lang w:val="pt-PT"/>
        </w:rPr>
        <w:t>ações</w:t>
      </w:r>
      <w:r w:rsidR="000116D8" w:rsidRPr="003A1174">
        <w:rPr>
          <w:rFonts w:ascii="Garamond" w:hAnsi="Garamond" w:cs="Arial"/>
          <w:sz w:val="24"/>
          <w:szCs w:val="24"/>
          <w:lang w:val="pt-PT"/>
        </w:rPr>
        <w:t xml:space="preserve"> de </w:t>
      </w:r>
      <w:r w:rsidR="00606CEE" w:rsidRPr="003A1174">
        <w:rPr>
          <w:rFonts w:ascii="Garamond" w:hAnsi="Garamond" w:cs="Arial"/>
          <w:sz w:val="24"/>
          <w:szCs w:val="24"/>
          <w:lang w:val="pt-PT"/>
        </w:rPr>
        <w:t>adequação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DC5DA7" w:rsidRPr="003A1174">
        <w:rPr>
          <w:rFonts w:ascii="Garamond" w:hAnsi="Garamond" w:cs="Arial"/>
          <w:sz w:val="24"/>
          <w:szCs w:val="24"/>
          <w:lang w:val="pt-PT"/>
        </w:rPr>
        <w:t>fortalecimento</w:t>
      </w:r>
      <w:r w:rsidR="000116D8" w:rsidRPr="003A1174">
        <w:rPr>
          <w:rFonts w:ascii="Garamond" w:hAnsi="Garamond" w:cs="Arial"/>
          <w:sz w:val="24"/>
          <w:szCs w:val="24"/>
          <w:lang w:val="pt-PT"/>
        </w:rPr>
        <w:t xml:space="preserve"> institucional, a partir de </w:t>
      </w:r>
      <w:r w:rsidR="000464C8" w:rsidRPr="003A1174">
        <w:rPr>
          <w:rFonts w:ascii="Garamond" w:hAnsi="Garamond" w:cs="Arial"/>
          <w:sz w:val="24"/>
          <w:szCs w:val="24"/>
          <w:lang w:val="pt-PT"/>
        </w:rPr>
        <w:t>avaliações</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3F012B" w:rsidRPr="003A1174">
        <w:rPr>
          <w:rFonts w:ascii="Garamond" w:hAnsi="Garamond" w:cs="Arial"/>
          <w:sz w:val="24"/>
          <w:szCs w:val="24"/>
          <w:lang w:val="pt-PT"/>
        </w:rPr>
        <w:t>estudo</w:t>
      </w:r>
      <w:r w:rsidR="000116D8" w:rsidRPr="003A1174">
        <w:rPr>
          <w:rFonts w:ascii="Garamond" w:hAnsi="Garamond" w:cs="Arial"/>
          <w:sz w:val="24"/>
          <w:szCs w:val="24"/>
          <w:lang w:val="pt-PT"/>
        </w:rPr>
        <w:t>s externos</w:t>
      </w:r>
      <w:r w:rsidR="003C2378">
        <w:rPr>
          <w:rFonts w:ascii="Garamond" w:hAnsi="Garamond" w:cs="Arial"/>
          <w:sz w:val="24"/>
          <w:szCs w:val="24"/>
          <w:lang w:val="pt-PT"/>
        </w:rPr>
        <w:t>,</w:t>
      </w:r>
      <w:r w:rsidR="000116D8" w:rsidRPr="003A1174">
        <w:rPr>
          <w:rFonts w:ascii="Garamond" w:hAnsi="Garamond" w:cs="Arial"/>
          <w:sz w:val="24"/>
          <w:szCs w:val="24"/>
          <w:lang w:val="pt-PT"/>
        </w:rPr>
        <w:t xml:space="preserve"> </w:t>
      </w:r>
      <w:r w:rsidR="001A36C6" w:rsidRPr="003A1174">
        <w:rPr>
          <w:rFonts w:ascii="Garamond" w:hAnsi="Garamond" w:cs="Arial"/>
          <w:sz w:val="24"/>
          <w:szCs w:val="24"/>
          <w:lang w:val="pt-PT"/>
        </w:rPr>
        <w:t xml:space="preserve">relativos </w:t>
      </w:r>
      <w:r w:rsidR="000464C8" w:rsidRPr="003A1174">
        <w:rPr>
          <w:rFonts w:ascii="Garamond" w:hAnsi="Garamond" w:cs="Arial"/>
          <w:sz w:val="24"/>
          <w:szCs w:val="24"/>
          <w:lang w:val="pt-PT"/>
        </w:rPr>
        <w:t xml:space="preserve">à </w:t>
      </w:r>
      <w:r w:rsidR="005C051C" w:rsidRPr="003A1174">
        <w:rPr>
          <w:rFonts w:ascii="Garamond" w:hAnsi="Garamond" w:cs="Arial"/>
          <w:sz w:val="24"/>
          <w:szCs w:val="24"/>
          <w:lang w:val="pt-PT"/>
        </w:rPr>
        <w:t>incorporação</w:t>
      </w:r>
      <w:r w:rsidR="000116D8" w:rsidRPr="003A1174">
        <w:rPr>
          <w:rFonts w:ascii="Garamond" w:hAnsi="Garamond" w:cs="Arial"/>
          <w:sz w:val="24"/>
          <w:szCs w:val="24"/>
          <w:lang w:val="pt-PT"/>
        </w:rPr>
        <w:t xml:space="preserve"> </w:t>
      </w:r>
      <w:r w:rsidR="00D84A9F" w:rsidRPr="003A1174">
        <w:rPr>
          <w:rFonts w:ascii="Garamond" w:hAnsi="Garamond" w:cs="Arial"/>
          <w:sz w:val="24"/>
          <w:szCs w:val="24"/>
          <w:lang w:val="pt-PT"/>
        </w:rPr>
        <w:t>efetiva</w:t>
      </w:r>
      <w:r w:rsidR="000116D8" w:rsidRPr="003A1174">
        <w:rPr>
          <w:rFonts w:ascii="Garamond" w:hAnsi="Garamond" w:cs="Arial"/>
          <w:sz w:val="24"/>
          <w:szCs w:val="24"/>
          <w:lang w:val="pt-PT"/>
        </w:rPr>
        <w:t xml:space="preserve"> da </w:t>
      </w:r>
      <w:r w:rsidR="00D96FD0" w:rsidRPr="003A1174">
        <w:rPr>
          <w:rFonts w:ascii="Garamond" w:hAnsi="Garamond" w:cs="Arial"/>
          <w:sz w:val="24"/>
          <w:szCs w:val="24"/>
          <w:lang w:val="pt-PT"/>
        </w:rPr>
        <w:t>perspetiva</w:t>
      </w:r>
      <w:r w:rsidR="000116D8" w:rsidRPr="003A1174">
        <w:rPr>
          <w:rFonts w:ascii="Garamond" w:hAnsi="Garamond" w:cs="Arial"/>
          <w:sz w:val="24"/>
          <w:szCs w:val="24"/>
          <w:lang w:val="pt-PT"/>
        </w:rPr>
        <w:t xml:space="preserve"> de género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 xml:space="preserve">ao </w:t>
      </w:r>
      <w:r w:rsidR="000116D8" w:rsidRPr="003A1174">
        <w:rPr>
          <w:rFonts w:ascii="Garamond" w:hAnsi="Garamond" w:cs="Arial"/>
          <w:sz w:val="24"/>
          <w:szCs w:val="24"/>
          <w:lang w:val="pt-PT"/>
        </w:rPr>
        <w:t xml:space="preserve">enfoque de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n</w:t>
      </w:r>
      <w:r w:rsidR="000116D8" w:rsidRPr="003A1174">
        <w:rPr>
          <w:rFonts w:ascii="Garamond" w:hAnsi="Garamond" w:cs="Arial"/>
          <w:sz w:val="24"/>
          <w:szCs w:val="24"/>
          <w:lang w:val="pt-PT"/>
        </w:rPr>
        <w:t xml:space="preserve">as </w:t>
      </w:r>
      <w:r w:rsidR="00374785" w:rsidRPr="003A1174">
        <w:rPr>
          <w:rFonts w:ascii="Garamond" w:hAnsi="Garamond" w:cs="Arial"/>
          <w:sz w:val="24"/>
          <w:szCs w:val="24"/>
          <w:lang w:val="pt-PT"/>
        </w:rPr>
        <w:t>atividades</w:t>
      </w:r>
      <w:r w:rsidR="000116D8" w:rsidRPr="003A1174">
        <w:rPr>
          <w:rFonts w:ascii="Garamond" w:hAnsi="Garamond" w:cs="Arial"/>
          <w:sz w:val="24"/>
          <w:szCs w:val="24"/>
          <w:lang w:val="pt-PT"/>
        </w:rPr>
        <w:t xml:space="preserve"> </w:t>
      </w:r>
      <w:r w:rsidR="003F012B" w:rsidRPr="003A1174">
        <w:rPr>
          <w:rFonts w:ascii="Garamond" w:hAnsi="Garamond" w:cs="Arial"/>
          <w:sz w:val="24"/>
          <w:szCs w:val="24"/>
          <w:lang w:val="pt-PT"/>
        </w:rPr>
        <w:t>próprias</w:t>
      </w:r>
      <w:r w:rsidR="000116D8" w:rsidRPr="003A1174">
        <w:rPr>
          <w:rFonts w:ascii="Garamond" w:hAnsi="Garamond" w:cs="Arial"/>
          <w:sz w:val="24"/>
          <w:szCs w:val="24"/>
          <w:lang w:val="pt-PT"/>
        </w:rPr>
        <w:t xml:space="preserve"> da </w:t>
      </w:r>
      <w:r w:rsidR="00800D59" w:rsidRPr="003A1174">
        <w:rPr>
          <w:rFonts w:ascii="Garamond" w:hAnsi="Garamond" w:cs="Arial"/>
          <w:sz w:val="24"/>
          <w:szCs w:val="24"/>
          <w:lang w:val="pt-PT"/>
        </w:rPr>
        <w:t>instituição</w:t>
      </w:r>
      <w:r w:rsidR="000116D8" w:rsidRPr="003A1174">
        <w:rPr>
          <w:rFonts w:ascii="Garamond" w:hAnsi="Garamond" w:cs="Arial"/>
          <w:sz w:val="24"/>
          <w:szCs w:val="24"/>
          <w:lang w:val="pt-PT"/>
        </w:rPr>
        <w:t xml:space="preserve">, </w:t>
      </w:r>
      <w:r w:rsidR="000464C8" w:rsidRPr="003A1174">
        <w:rPr>
          <w:rFonts w:ascii="Garamond" w:hAnsi="Garamond" w:cs="Arial"/>
          <w:sz w:val="24"/>
          <w:szCs w:val="24"/>
          <w:lang w:val="pt-PT"/>
        </w:rPr>
        <w:t>assim</w:t>
      </w:r>
      <w:r w:rsidR="001A36C6" w:rsidRPr="003A1174">
        <w:rPr>
          <w:rFonts w:ascii="Garamond" w:hAnsi="Garamond" w:cs="Arial"/>
          <w:sz w:val="24"/>
          <w:szCs w:val="24"/>
          <w:lang w:val="pt-PT"/>
        </w:rPr>
        <w:t xml:space="preserve"> como</w:t>
      </w:r>
      <w:r w:rsidR="000464C8"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a </w:t>
      </w:r>
      <w:r w:rsidR="000464C8" w:rsidRPr="003A1174">
        <w:rPr>
          <w:rFonts w:ascii="Garamond" w:hAnsi="Garamond" w:cs="Arial"/>
          <w:sz w:val="24"/>
          <w:szCs w:val="24"/>
          <w:lang w:val="pt-PT"/>
        </w:rPr>
        <w:t>identificação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6506C6" w:rsidRPr="003A1174">
        <w:rPr>
          <w:rFonts w:ascii="Garamond" w:hAnsi="Garamond" w:cs="Arial"/>
          <w:sz w:val="24"/>
          <w:szCs w:val="24"/>
          <w:lang w:val="pt-PT"/>
        </w:rPr>
        <w:t>necessidades</w:t>
      </w:r>
      <w:r w:rsidR="000116D8" w:rsidRPr="003A1174">
        <w:rPr>
          <w:rFonts w:ascii="Garamond" w:hAnsi="Garamond" w:cs="Arial"/>
          <w:sz w:val="24"/>
          <w:szCs w:val="24"/>
          <w:lang w:val="pt-PT"/>
        </w:rPr>
        <w:t xml:space="preserve"> específicas de </w:t>
      </w:r>
      <w:r w:rsidR="00606CEE" w:rsidRPr="003A1174">
        <w:rPr>
          <w:rFonts w:ascii="Garamond" w:hAnsi="Garamond" w:cs="Arial"/>
          <w:sz w:val="24"/>
          <w:szCs w:val="24"/>
          <w:lang w:val="pt-PT"/>
        </w:rPr>
        <w:t>adequação</w:t>
      </w:r>
      <w:r w:rsidR="000116D8" w:rsidRPr="003A1174">
        <w:rPr>
          <w:rFonts w:ascii="Garamond" w:hAnsi="Garamond" w:cs="Arial"/>
          <w:sz w:val="24"/>
          <w:szCs w:val="24"/>
          <w:lang w:val="pt-PT"/>
        </w:rPr>
        <w:t xml:space="preserve"> institucional, que se </w:t>
      </w:r>
      <w:r w:rsidR="000464C8" w:rsidRPr="003A1174">
        <w:rPr>
          <w:rFonts w:ascii="Garamond" w:hAnsi="Garamond" w:cs="Arial"/>
          <w:sz w:val="24"/>
          <w:szCs w:val="24"/>
          <w:lang w:val="pt-PT"/>
        </w:rPr>
        <w:t xml:space="preserve">acrescentam ao </w:t>
      </w:r>
      <w:r w:rsidR="00462B11" w:rsidRPr="003A1174">
        <w:rPr>
          <w:rFonts w:ascii="Garamond" w:hAnsi="Garamond" w:cs="Arial"/>
          <w:sz w:val="24"/>
          <w:szCs w:val="24"/>
          <w:lang w:val="pt-PT"/>
        </w:rPr>
        <w:t>Plano</w:t>
      </w:r>
      <w:r w:rsidR="000116D8" w:rsidRPr="003A1174">
        <w:rPr>
          <w:rFonts w:ascii="Garamond" w:hAnsi="Garamond" w:cs="Arial"/>
          <w:sz w:val="24"/>
          <w:szCs w:val="24"/>
          <w:lang w:val="pt-PT"/>
        </w:rPr>
        <w:t xml:space="preserve"> Estratégico Institucional.</w:t>
      </w:r>
    </w:p>
    <w:p w:rsidR="000116D8" w:rsidRPr="003A1174" w:rsidRDefault="003C2378"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Pr>
          <w:rFonts w:ascii="Garamond" w:hAnsi="Garamond" w:cs="Arial"/>
          <w:sz w:val="24"/>
          <w:szCs w:val="24"/>
          <w:lang w:val="pt-PT"/>
        </w:rPr>
        <w:t xml:space="preserve">Divulgação </w:t>
      </w:r>
      <w:r w:rsidR="000116D8" w:rsidRPr="003A1174">
        <w:rPr>
          <w:rFonts w:ascii="Garamond" w:hAnsi="Garamond" w:cs="Arial"/>
          <w:sz w:val="24"/>
          <w:szCs w:val="24"/>
          <w:lang w:val="pt-PT"/>
        </w:rPr>
        <w:t xml:space="preserve">de </w:t>
      </w:r>
      <w:r w:rsidR="00AF192F" w:rsidRPr="003A1174">
        <w:rPr>
          <w:rFonts w:ascii="Garamond" w:hAnsi="Garamond" w:cs="Arial"/>
          <w:sz w:val="24"/>
          <w:szCs w:val="24"/>
          <w:lang w:val="pt-PT"/>
        </w:rPr>
        <w:t>conceito</w:t>
      </w:r>
      <w:r w:rsidR="000116D8" w:rsidRPr="003A1174">
        <w:rPr>
          <w:rFonts w:ascii="Garamond" w:hAnsi="Garamond" w:cs="Arial"/>
          <w:sz w:val="24"/>
          <w:szCs w:val="24"/>
          <w:lang w:val="pt-PT"/>
        </w:rPr>
        <w:t xml:space="preserve">s sobre iniciativas legislativas </w:t>
      </w:r>
      <w:r w:rsidR="006506C6" w:rsidRPr="003A1174">
        <w:rPr>
          <w:rFonts w:ascii="Garamond" w:hAnsi="Garamond" w:cs="Arial"/>
          <w:sz w:val="24"/>
          <w:szCs w:val="24"/>
          <w:lang w:val="pt-PT"/>
        </w:rPr>
        <w:t>favoráveis</w:t>
      </w:r>
      <w:r w:rsidR="000116D8" w:rsidRPr="003A1174">
        <w:rPr>
          <w:rFonts w:ascii="Garamond" w:hAnsi="Garamond" w:cs="Arial"/>
          <w:sz w:val="24"/>
          <w:szCs w:val="24"/>
          <w:lang w:val="pt-PT"/>
        </w:rPr>
        <w:t xml:space="preserve"> aos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Humanos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C30647" w:rsidRPr="003A1174">
        <w:rPr>
          <w:rFonts w:ascii="Garamond" w:hAnsi="Garamond" w:cs="Arial"/>
          <w:sz w:val="24"/>
          <w:szCs w:val="24"/>
          <w:lang w:val="pt-PT"/>
        </w:rPr>
        <w:t>realização</w:t>
      </w:r>
      <w:r w:rsidR="000116D8" w:rsidRPr="003A1174">
        <w:rPr>
          <w:rFonts w:ascii="Garamond" w:hAnsi="Garamond" w:cs="Arial"/>
          <w:sz w:val="24"/>
          <w:szCs w:val="24"/>
          <w:lang w:val="pt-PT"/>
        </w:rPr>
        <w:t xml:space="preserve"> de </w:t>
      </w:r>
      <w:r w:rsidR="002C7510" w:rsidRPr="003A1174">
        <w:rPr>
          <w:rFonts w:ascii="Garamond" w:hAnsi="Garamond" w:cs="Arial"/>
          <w:sz w:val="24"/>
          <w:szCs w:val="24"/>
          <w:lang w:val="pt-PT"/>
        </w:rPr>
        <w:t>ações</w:t>
      </w:r>
      <w:r w:rsidR="000116D8" w:rsidRPr="003A1174">
        <w:rPr>
          <w:rFonts w:ascii="Garamond" w:hAnsi="Garamond" w:cs="Arial"/>
          <w:sz w:val="24"/>
          <w:szCs w:val="24"/>
          <w:lang w:val="pt-PT"/>
        </w:rPr>
        <w:t xml:space="preserve"> orientadas </w:t>
      </w:r>
      <w:r w:rsidR="000464C8" w:rsidRPr="003A1174">
        <w:rPr>
          <w:rFonts w:ascii="Garamond" w:hAnsi="Garamond" w:cs="Arial"/>
          <w:sz w:val="24"/>
          <w:szCs w:val="24"/>
          <w:lang w:val="pt-PT"/>
        </w:rPr>
        <w:t xml:space="preserve">no sentido de </w:t>
      </w:r>
      <w:r w:rsidR="00AF192F" w:rsidRPr="003A1174">
        <w:rPr>
          <w:rFonts w:ascii="Garamond" w:hAnsi="Garamond" w:cs="Arial"/>
          <w:sz w:val="24"/>
          <w:szCs w:val="24"/>
          <w:lang w:val="pt-PT"/>
        </w:rPr>
        <w:t>garantir</w:t>
      </w:r>
      <w:r w:rsidR="000464C8" w:rsidRPr="003A1174">
        <w:rPr>
          <w:rFonts w:ascii="Garamond" w:hAnsi="Garamond" w:cs="Arial"/>
          <w:sz w:val="24"/>
          <w:szCs w:val="24"/>
          <w:lang w:val="pt-PT"/>
        </w:rPr>
        <w:t xml:space="preserve">em que </w:t>
      </w:r>
      <w:r w:rsidR="000116D8" w:rsidRPr="003A1174">
        <w:rPr>
          <w:rFonts w:ascii="Garamond" w:hAnsi="Garamond" w:cs="Arial"/>
          <w:sz w:val="24"/>
          <w:szCs w:val="24"/>
          <w:lang w:val="pt-PT"/>
        </w:rPr>
        <w:t xml:space="preserve">os </w:t>
      </w:r>
      <w:r w:rsidR="009B133A" w:rsidRPr="003A1174">
        <w:rPr>
          <w:rFonts w:ascii="Garamond" w:hAnsi="Garamond" w:cs="Arial"/>
          <w:sz w:val="24"/>
          <w:szCs w:val="24"/>
          <w:lang w:val="pt-PT"/>
        </w:rPr>
        <w:t>desenvolvimento</w:t>
      </w:r>
      <w:r w:rsidR="000116D8" w:rsidRPr="003A1174">
        <w:rPr>
          <w:rFonts w:ascii="Garamond" w:hAnsi="Garamond" w:cs="Arial"/>
          <w:sz w:val="24"/>
          <w:szCs w:val="24"/>
          <w:lang w:val="pt-PT"/>
        </w:rPr>
        <w:t xml:space="preserve">s legislativos </w:t>
      </w:r>
      <w:r w:rsidR="00190B59" w:rsidRPr="003A1174">
        <w:rPr>
          <w:rFonts w:ascii="Garamond" w:hAnsi="Garamond" w:cs="Arial"/>
          <w:sz w:val="24"/>
          <w:szCs w:val="24"/>
          <w:lang w:val="pt-PT"/>
        </w:rPr>
        <w:t>nacionais</w:t>
      </w:r>
      <w:r w:rsidR="000116D8" w:rsidRPr="003A1174">
        <w:rPr>
          <w:rFonts w:ascii="Garamond" w:hAnsi="Garamond" w:cs="Arial"/>
          <w:sz w:val="24"/>
          <w:szCs w:val="24"/>
          <w:lang w:val="pt-PT"/>
        </w:rPr>
        <w:t xml:space="preserve"> respe</w:t>
      </w:r>
      <w:r w:rsidR="000464C8" w:rsidRPr="003A1174">
        <w:rPr>
          <w:rFonts w:ascii="Garamond" w:hAnsi="Garamond" w:cs="Arial"/>
          <w:sz w:val="24"/>
          <w:szCs w:val="24"/>
          <w:lang w:val="pt-PT"/>
        </w:rPr>
        <w:t>i</w:t>
      </w:r>
      <w:r w:rsidR="000116D8" w:rsidRPr="003A1174">
        <w:rPr>
          <w:rFonts w:ascii="Garamond" w:hAnsi="Garamond" w:cs="Arial"/>
          <w:sz w:val="24"/>
          <w:szCs w:val="24"/>
          <w:lang w:val="pt-PT"/>
        </w:rPr>
        <w:t>te</w:t>
      </w:r>
      <w:r w:rsidR="000464C8" w:rsidRPr="003A1174">
        <w:rPr>
          <w:rFonts w:ascii="Garamond" w:hAnsi="Garamond" w:cs="Arial"/>
          <w:sz w:val="24"/>
          <w:szCs w:val="24"/>
          <w:lang w:val="pt-PT"/>
        </w:rPr>
        <w:t xml:space="preserve">m </w:t>
      </w:r>
      <w:r w:rsidR="000116D8" w:rsidRPr="003A1174">
        <w:rPr>
          <w:rFonts w:ascii="Garamond" w:hAnsi="Garamond" w:cs="Arial"/>
          <w:sz w:val="24"/>
          <w:szCs w:val="24"/>
          <w:lang w:val="pt-PT"/>
        </w:rPr>
        <w:t>e incorpore</w:t>
      </w:r>
      <w:r w:rsidR="000464C8" w:rsidRPr="003A1174">
        <w:rPr>
          <w:rFonts w:ascii="Garamond" w:hAnsi="Garamond" w:cs="Arial"/>
          <w:sz w:val="24"/>
          <w:szCs w:val="24"/>
          <w:lang w:val="pt-PT"/>
        </w:rPr>
        <w:t>m</w:t>
      </w:r>
      <w:r w:rsidR="001A0FE6">
        <w:rPr>
          <w:rFonts w:ascii="Garamond" w:hAnsi="Garamond" w:cs="Arial"/>
          <w:sz w:val="24"/>
          <w:szCs w:val="24"/>
          <w:lang w:val="pt-PT"/>
        </w:rPr>
        <w:t>,</w:t>
      </w:r>
      <w:r w:rsidR="000116D8" w:rsidRPr="003A1174">
        <w:rPr>
          <w:rFonts w:ascii="Garamond" w:hAnsi="Garamond" w:cs="Arial"/>
          <w:sz w:val="24"/>
          <w:szCs w:val="24"/>
          <w:lang w:val="pt-PT"/>
        </w:rPr>
        <w:t xml:space="preserve"> </w:t>
      </w:r>
      <w:r w:rsidR="00976FB8" w:rsidRPr="003A1174">
        <w:rPr>
          <w:rFonts w:ascii="Garamond" w:hAnsi="Garamond" w:cs="Arial"/>
          <w:sz w:val="24"/>
          <w:szCs w:val="24"/>
          <w:lang w:val="pt-PT"/>
        </w:rPr>
        <w:t>apropriad</w:t>
      </w:r>
      <w:r w:rsidR="000464C8" w:rsidRPr="003A1174">
        <w:rPr>
          <w:rFonts w:ascii="Garamond" w:hAnsi="Garamond" w:cs="Arial"/>
          <w:sz w:val="24"/>
          <w:szCs w:val="24"/>
          <w:lang w:val="pt-PT"/>
        </w:rPr>
        <w:t>amente</w:t>
      </w:r>
      <w:r w:rsidR="001A0FE6">
        <w:rPr>
          <w:rFonts w:ascii="Garamond" w:hAnsi="Garamond" w:cs="Arial"/>
          <w:sz w:val="24"/>
          <w:szCs w:val="24"/>
          <w:lang w:val="pt-PT"/>
        </w:rPr>
        <w:t>,</w:t>
      </w:r>
      <w:r w:rsidR="000464C8"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os </w:t>
      </w:r>
      <w:r w:rsidR="00731B19" w:rsidRPr="003A1174">
        <w:rPr>
          <w:rFonts w:ascii="Garamond" w:hAnsi="Garamond" w:cs="Arial"/>
          <w:sz w:val="24"/>
          <w:szCs w:val="24"/>
          <w:lang w:val="pt-PT"/>
        </w:rPr>
        <w:t>compromisso</w:t>
      </w:r>
      <w:r w:rsidR="000116D8" w:rsidRPr="003A1174">
        <w:rPr>
          <w:rFonts w:ascii="Garamond" w:hAnsi="Garamond" w:cs="Arial"/>
          <w:sz w:val="24"/>
          <w:szCs w:val="24"/>
          <w:lang w:val="pt-PT"/>
        </w:rPr>
        <w:t xml:space="preserve">s </w:t>
      </w:r>
      <w:r w:rsidR="006D0543" w:rsidRPr="003A1174">
        <w:rPr>
          <w:rFonts w:ascii="Garamond" w:hAnsi="Garamond" w:cs="Arial"/>
          <w:sz w:val="24"/>
          <w:szCs w:val="24"/>
          <w:lang w:val="pt-PT"/>
        </w:rPr>
        <w:t>assumido</w:t>
      </w:r>
      <w:r w:rsidR="000116D8" w:rsidRPr="003A1174">
        <w:rPr>
          <w:rFonts w:ascii="Garamond" w:hAnsi="Garamond" w:cs="Arial"/>
          <w:sz w:val="24"/>
          <w:szCs w:val="24"/>
          <w:lang w:val="pt-PT"/>
        </w:rPr>
        <w:t xml:space="preserve">s </w:t>
      </w:r>
      <w:r w:rsidR="005C2020" w:rsidRPr="003A1174">
        <w:rPr>
          <w:rFonts w:ascii="Garamond" w:hAnsi="Garamond" w:cs="Arial"/>
          <w:sz w:val="24"/>
          <w:szCs w:val="24"/>
          <w:lang w:val="pt-PT"/>
        </w:rPr>
        <w:t>pelo</w:t>
      </w:r>
      <w:r w:rsidR="000116D8" w:rsidRPr="003A1174">
        <w:rPr>
          <w:rFonts w:ascii="Garamond" w:hAnsi="Garamond" w:cs="Arial"/>
          <w:sz w:val="24"/>
          <w:szCs w:val="24"/>
          <w:lang w:val="pt-PT"/>
        </w:rPr>
        <w:t xml:space="preserve"> </w:t>
      </w:r>
      <w:r w:rsidR="001A36C6" w:rsidRPr="003A1174">
        <w:rPr>
          <w:rFonts w:ascii="Garamond" w:hAnsi="Garamond" w:cs="Arial"/>
          <w:sz w:val="24"/>
          <w:szCs w:val="24"/>
          <w:lang w:val="pt-PT"/>
        </w:rPr>
        <w:t>E</w:t>
      </w:r>
      <w:r w:rsidR="000116D8" w:rsidRPr="003A1174">
        <w:rPr>
          <w:rFonts w:ascii="Garamond" w:hAnsi="Garamond" w:cs="Arial"/>
          <w:sz w:val="24"/>
          <w:szCs w:val="24"/>
          <w:lang w:val="pt-PT"/>
        </w:rPr>
        <w:t>stado colombiano a</w:t>
      </w:r>
      <w:r w:rsidR="000464C8" w:rsidRPr="003A1174">
        <w:rPr>
          <w:rFonts w:ascii="Garamond" w:hAnsi="Garamond" w:cs="Arial"/>
          <w:sz w:val="24"/>
          <w:szCs w:val="24"/>
          <w:lang w:val="pt-PT"/>
        </w:rPr>
        <w:t>o</w:t>
      </w:r>
      <w:r w:rsidR="000116D8" w:rsidRPr="003A1174">
        <w:rPr>
          <w:rFonts w:ascii="Garamond" w:hAnsi="Garamond" w:cs="Arial"/>
          <w:sz w:val="24"/>
          <w:szCs w:val="24"/>
          <w:lang w:val="pt-PT"/>
        </w:rPr>
        <w:t xml:space="preserve"> ratificar instrumentos </w:t>
      </w:r>
      <w:r w:rsidR="00EF645F" w:rsidRPr="003A1174">
        <w:rPr>
          <w:rFonts w:ascii="Garamond" w:hAnsi="Garamond" w:cs="Arial"/>
          <w:sz w:val="24"/>
          <w:szCs w:val="24"/>
          <w:lang w:val="pt-PT"/>
        </w:rPr>
        <w:t>internacionais</w:t>
      </w:r>
      <w:r w:rsidR="000116D8" w:rsidRPr="003A1174">
        <w:rPr>
          <w:rFonts w:ascii="Garamond" w:hAnsi="Garamond" w:cs="Arial"/>
          <w:sz w:val="24"/>
          <w:szCs w:val="24"/>
          <w:lang w:val="pt-PT"/>
        </w:rPr>
        <w:t xml:space="preserve"> de </w:t>
      </w:r>
      <w:r w:rsidR="00886D6A" w:rsidRPr="003A1174">
        <w:rPr>
          <w:rFonts w:ascii="Garamond" w:hAnsi="Garamond" w:cs="Arial"/>
          <w:sz w:val="24"/>
          <w:szCs w:val="24"/>
          <w:lang w:val="pt-PT"/>
        </w:rPr>
        <w:t>proteção</w:t>
      </w:r>
      <w:r w:rsidR="000116D8" w:rsidRPr="003A1174">
        <w:rPr>
          <w:rFonts w:ascii="Garamond" w:hAnsi="Garamond" w:cs="Arial"/>
          <w:sz w:val="24"/>
          <w:szCs w:val="24"/>
          <w:lang w:val="pt-PT"/>
        </w:rPr>
        <w:t xml:space="preserve"> aos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3F012B" w:rsidRPr="003A1174">
        <w:rPr>
          <w:rFonts w:ascii="Garamond" w:hAnsi="Garamond" w:cs="Arial"/>
          <w:sz w:val="24"/>
          <w:szCs w:val="24"/>
          <w:lang w:val="pt-PT"/>
        </w:rPr>
        <w:t>vítima</w:t>
      </w:r>
      <w:r w:rsidR="000116D8" w:rsidRPr="003A1174">
        <w:rPr>
          <w:rFonts w:ascii="Garamond" w:hAnsi="Garamond" w:cs="Arial"/>
          <w:sz w:val="24"/>
          <w:szCs w:val="24"/>
          <w:lang w:val="pt-PT"/>
        </w:rPr>
        <w:t>s.</w:t>
      </w:r>
    </w:p>
    <w:p w:rsidR="000116D8" w:rsidRPr="003A1174" w:rsidRDefault="000464C8" w:rsidP="008719D4">
      <w:pPr>
        <w:pStyle w:val="Prrafodelista"/>
        <w:numPr>
          <w:ilvl w:val="1"/>
          <w:numId w:val="27"/>
        </w:numPr>
        <w:tabs>
          <w:tab w:val="clear" w:pos="708"/>
          <w:tab w:val="left" w:pos="284"/>
        </w:tabs>
        <w:spacing w:before="240" w:line="240" w:lineRule="auto"/>
        <w:ind w:left="284" w:firstLine="0"/>
        <w:jc w:val="both"/>
        <w:rPr>
          <w:rFonts w:ascii="Garamond" w:hAnsi="Garamond" w:cs="Arial"/>
          <w:sz w:val="24"/>
          <w:szCs w:val="24"/>
          <w:lang w:val="pt-PT"/>
        </w:rPr>
      </w:pPr>
      <w:r w:rsidRPr="003A1174">
        <w:rPr>
          <w:rFonts w:ascii="Garamond" w:hAnsi="Garamond" w:cs="Arial"/>
          <w:sz w:val="24"/>
          <w:szCs w:val="24"/>
          <w:lang w:val="pt-PT"/>
        </w:rPr>
        <w:t>Realizam-se</w:t>
      </w:r>
      <w:r w:rsidR="001A0FE6">
        <w:rPr>
          <w:rFonts w:ascii="Garamond" w:hAnsi="Garamond" w:cs="Arial"/>
          <w:sz w:val="24"/>
          <w:szCs w:val="24"/>
          <w:lang w:val="pt-PT"/>
        </w:rPr>
        <w:t>,</w:t>
      </w:r>
      <w:r w:rsidRPr="003A1174">
        <w:rPr>
          <w:rFonts w:ascii="Garamond" w:hAnsi="Garamond" w:cs="Arial"/>
          <w:sz w:val="24"/>
          <w:szCs w:val="24"/>
          <w:lang w:val="pt-PT"/>
        </w:rPr>
        <w:t xml:space="preserve"> </w:t>
      </w:r>
      <w:r w:rsidR="001A36C6" w:rsidRPr="003A1174">
        <w:rPr>
          <w:rFonts w:ascii="Garamond" w:hAnsi="Garamond" w:cs="Arial"/>
          <w:sz w:val="24"/>
          <w:szCs w:val="24"/>
          <w:lang w:val="pt-PT"/>
        </w:rPr>
        <w:t>permanentemente</w:t>
      </w:r>
      <w:r w:rsidR="001A0FE6">
        <w:rPr>
          <w:rFonts w:ascii="Garamond" w:hAnsi="Garamond" w:cs="Arial"/>
          <w:sz w:val="24"/>
          <w:szCs w:val="24"/>
          <w:lang w:val="pt-PT"/>
        </w:rPr>
        <w:t>,</w:t>
      </w:r>
      <w:r w:rsidR="001A36C6" w:rsidRPr="003A1174">
        <w:rPr>
          <w:rFonts w:ascii="Garamond" w:hAnsi="Garamond" w:cs="Arial"/>
          <w:sz w:val="24"/>
          <w:szCs w:val="24"/>
          <w:lang w:val="pt-PT"/>
        </w:rPr>
        <w:t xml:space="preserve"> </w:t>
      </w:r>
      <w:r w:rsidR="002C7510" w:rsidRPr="003A1174">
        <w:rPr>
          <w:rFonts w:ascii="Garamond" w:hAnsi="Garamond" w:cs="Arial"/>
          <w:sz w:val="24"/>
          <w:szCs w:val="24"/>
          <w:lang w:val="pt-PT"/>
        </w:rPr>
        <w:t>ações</w:t>
      </w:r>
      <w:r w:rsidR="000116D8" w:rsidRPr="003A1174">
        <w:rPr>
          <w:rFonts w:ascii="Garamond" w:hAnsi="Garamond" w:cs="Arial"/>
          <w:sz w:val="24"/>
          <w:szCs w:val="24"/>
          <w:lang w:val="pt-PT"/>
        </w:rPr>
        <w:t xml:space="preserve"> de </w:t>
      </w:r>
      <w:r w:rsidR="00632851" w:rsidRPr="003A1174">
        <w:rPr>
          <w:rFonts w:ascii="Garamond" w:hAnsi="Garamond" w:cs="Arial"/>
          <w:sz w:val="24"/>
          <w:szCs w:val="24"/>
          <w:lang w:val="pt-PT"/>
        </w:rPr>
        <w:t>monotorização</w:t>
      </w:r>
      <w:r w:rsidRPr="003A1174">
        <w:rPr>
          <w:rFonts w:ascii="Garamond" w:hAnsi="Garamond" w:cs="Arial"/>
          <w:sz w:val="24"/>
          <w:szCs w:val="24"/>
          <w:lang w:val="pt-PT"/>
        </w:rPr>
        <w:t xml:space="preserve"> sobre </w:t>
      </w:r>
      <w:r w:rsidR="000116D8" w:rsidRPr="003A1174">
        <w:rPr>
          <w:rFonts w:ascii="Garamond" w:hAnsi="Garamond" w:cs="Arial"/>
          <w:sz w:val="24"/>
          <w:szCs w:val="24"/>
          <w:lang w:val="pt-PT"/>
        </w:rPr>
        <w:t xml:space="preserve">as </w:t>
      </w:r>
      <w:r w:rsidR="00AB6522" w:rsidRPr="003A1174">
        <w:rPr>
          <w:rFonts w:ascii="Garamond" w:hAnsi="Garamond" w:cs="Arial"/>
          <w:sz w:val="24"/>
          <w:szCs w:val="24"/>
          <w:lang w:val="pt-PT"/>
        </w:rPr>
        <w:t>resposta</w:t>
      </w:r>
      <w:r w:rsidR="000116D8" w:rsidRPr="003A1174">
        <w:rPr>
          <w:rFonts w:ascii="Garamond" w:hAnsi="Garamond" w:cs="Arial"/>
          <w:sz w:val="24"/>
          <w:szCs w:val="24"/>
          <w:lang w:val="pt-PT"/>
        </w:rPr>
        <w:t xml:space="preserve">s </w:t>
      </w:r>
      <w:r w:rsidR="00C04CA4" w:rsidRPr="003A1174">
        <w:rPr>
          <w:rFonts w:ascii="Garamond" w:hAnsi="Garamond" w:cs="Arial"/>
          <w:sz w:val="24"/>
          <w:szCs w:val="24"/>
          <w:lang w:val="pt-PT"/>
        </w:rPr>
        <w:t>institucionais</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e</w:t>
      </w:r>
      <w:r w:rsidR="000116D8" w:rsidRPr="003A1174">
        <w:rPr>
          <w:rFonts w:ascii="Garamond" w:hAnsi="Garamond" w:cs="Arial"/>
          <w:sz w:val="24"/>
          <w:szCs w:val="24"/>
          <w:lang w:val="pt-PT"/>
        </w:rPr>
        <w:t xml:space="preserve"> emite</w:t>
      </w:r>
      <w:r w:rsidRPr="003A1174">
        <w:rPr>
          <w:rFonts w:ascii="Garamond" w:hAnsi="Garamond" w:cs="Arial"/>
          <w:sz w:val="24"/>
          <w:szCs w:val="24"/>
          <w:lang w:val="pt-PT"/>
        </w:rPr>
        <w:t xml:space="preserve">m-se </w:t>
      </w:r>
      <w:r w:rsidR="008E7A2A" w:rsidRPr="003A1174">
        <w:rPr>
          <w:rFonts w:ascii="Garamond" w:hAnsi="Garamond" w:cs="Arial"/>
          <w:sz w:val="24"/>
          <w:szCs w:val="24"/>
          <w:lang w:val="pt-PT"/>
        </w:rPr>
        <w:t>recomendações</w:t>
      </w:r>
      <w:r w:rsidR="001A0FE6">
        <w:rPr>
          <w:rFonts w:ascii="Garamond" w:hAnsi="Garamond" w:cs="Arial"/>
          <w:sz w:val="24"/>
          <w:szCs w:val="24"/>
          <w:lang w:val="pt-PT"/>
        </w:rPr>
        <w:t>,</w:t>
      </w:r>
      <w:r w:rsidR="000116D8" w:rsidRPr="003A1174">
        <w:rPr>
          <w:rFonts w:ascii="Garamond" w:hAnsi="Garamond" w:cs="Arial"/>
          <w:sz w:val="24"/>
          <w:szCs w:val="24"/>
          <w:lang w:val="pt-PT"/>
        </w:rPr>
        <w:t xml:space="preserve"> </w:t>
      </w:r>
      <w:r w:rsidR="001A0FE6">
        <w:rPr>
          <w:rFonts w:ascii="Garamond" w:hAnsi="Garamond" w:cs="Arial"/>
          <w:sz w:val="24"/>
          <w:szCs w:val="24"/>
          <w:lang w:val="pt-PT"/>
        </w:rPr>
        <w:t xml:space="preserve">sobre o </w:t>
      </w:r>
      <w:r w:rsidR="001A36C6" w:rsidRPr="003A1174">
        <w:rPr>
          <w:rFonts w:ascii="Garamond" w:hAnsi="Garamond" w:cs="Arial"/>
          <w:sz w:val="24"/>
          <w:szCs w:val="24"/>
          <w:lang w:val="pt-PT"/>
        </w:rPr>
        <w:t xml:space="preserve">tema de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contra </w:t>
      </w:r>
      <w:r w:rsidR="001A36C6"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1A0FE6">
        <w:rPr>
          <w:rFonts w:ascii="Garamond" w:hAnsi="Garamond" w:cs="Arial"/>
          <w:sz w:val="24"/>
          <w:szCs w:val="24"/>
          <w:lang w:val="pt-PT"/>
        </w:rPr>
        <w:t>,</w:t>
      </w:r>
      <w:r w:rsidR="001A36C6" w:rsidRPr="003A1174">
        <w:rPr>
          <w:rFonts w:ascii="Garamond" w:hAnsi="Garamond" w:cs="Arial"/>
          <w:sz w:val="24"/>
          <w:szCs w:val="24"/>
          <w:lang w:val="pt-PT"/>
        </w:rPr>
        <w:t xml:space="preserve"> </w:t>
      </w:r>
      <w:r w:rsidRPr="003A1174">
        <w:rPr>
          <w:rFonts w:ascii="Garamond" w:hAnsi="Garamond" w:cs="Arial"/>
          <w:sz w:val="24"/>
          <w:szCs w:val="24"/>
          <w:lang w:val="pt-PT"/>
        </w:rPr>
        <w:t xml:space="preserve">às </w:t>
      </w:r>
      <w:r w:rsidR="000116D8" w:rsidRPr="003A1174">
        <w:rPr>
          <w:rFonts w:ascii="Garamond" w:hAnsi="Garamond" w:cs="Arial"/>
          <w:sz w:val="24"/>
          <w:szCs w:val="24"/>
          <w:lang w:val="pt-PT"/>
        </w:rPr>
        <w:t xml:space="preserve">entidades </w:t>
      </w:r>
      <w:r w:rsidR="006F7276" w:rsidRPr="003A1174">
        <w:rPr>
          <w:rFonts w:ascii="Garamond" w:hAnsi="Garamond" w:cs="Arial"/>
          <w:sz w:val="24"/>
          <w:szCs w:val="24"/>
          <w:lang w:val="pt-PT"/>
        </w:rPr>
        <w:t>responsáveis</w:t>
      </w:r>
      <w:r w:rsidR="000116D8" w:rsidRPr="003A1174">
        <w:rPr>
          <w:rFonts w:ascii="Garamond" w:hAnsi="Garamond" w:cs="Arial"/>
          <w:sz w:val="24"/>
          <w:szCs w:val="24"/>
          <w:lang w:val="pt-PT"/>
        </w:rPr>
        <w:t xml:space="preserve"> </w:t>
      </w:r>
      <w:r w:rsidRPr="003A1174">
        <w:rPr>
          <w:rFonts w:ascii="Garamond" w:hAnsi="Garamond" w:cs="Arial"/>
          <w:sz w:val="24"/>
          <w:szCs w:val="24"/>
          <w:lang w:val="pt-PT"/>
        </w:rPr>
        <w:t>pel</w:t>
      </w:r>
      <w:r w:rsidR="00497503" w:rsidRPr="003A1174">
        <w:rPr>
          <w:rFonts w:ascii="Garamond" w:hAnsi="Garamond" w:cs="Arial"/>
          <w:sz w:val="24"/>
          <w:szCs w:val="24"/>
          <w:lang w:val="pt-PT"/>
        </w:rPr>
        <w:t>as</w:t>
      </w:r>
      <w:r w:rsidR="000116D8" w:rsidRPr="003A1174">
        <w:rPr>
          <w:rFonts w:ascii="Garamond" w:hAnsi="Garamond" w:cs="Arial"/>
          <w:sz w:val="24"/>
          <w:szCs w:val="24"/>
          <w:lang w:val="pt-PT"/>
        </w:rPr>
        <w:t xml:space="preserve"> </w:t>
      </w:r>
      <w:r w:rsidR="00524936" w:rsidRPr="003A1174">
        <w:rPr>
          <w:rFonts w:ascii="Garamond" w:hAnsi="Garamond" w:cs="Arial"/>
          <w:sz w:val="24"/>
          <w:szCs w:val="24"/>
          <w:lang w:val="pt-PT"/>
        </w:rPr>
        <w:t>mesma</w:t>
      </w:r>
      <w:r w:rsidR="000116D8" w:rsidRPr="003A1174">
        <w:rPr>
          <w:rFonts w:ascii="Garamond" w:hAnsi="Garamond" w:cs="Arial"/>
          <w:sz w:val="24"/>
          <w:szCs w:val="24"/>
          <w:lang w:val="pt-PT"/>
        </w:rPr>
        <w:t xml:space="preserve">s, </w:t>
      </w:r>
      <w:r w:rsidR="009A0CC2" w:rsidRPr="003A1174">
        <w:rPr>
          <w:rFonts w:ascii="Garamond" w:hAnsi="Garamond" w:cs="Arial"/>
          <w:sz w:val="24"/>
          <w:szCs w:val="24"/>
          <w:lang w:val="pt-PT"/>
        </w:rPr>
        <w:t>através</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1A0FE6">
        <w:rPr>
          <w:rFonts w:ascii="Garamond" w:hAnsi="Garamond" w:cs="Arial"/>
          <w:sz w:val="24"/>
          <w:szCs w:val="24"/>
          <w:lang w:val="pt-PT"/>
        </w:rPr>
        <w:t xml:space="preserve">setores </w:t>
      </w:r>
      <w:r w:rsidR="000116D8" w:rsidRPr="003A1174">
        <w:rPr>
          <w:rFonts w:ascii="Garamond" w:hAnsi="Garamond" w:cs="Arial"/>
          <w:sz w:val="24"/>
          <w:szCs w:val="24"/>
          <w:lang w:val="pt-PT"/>
        </w:rPr>
        <w:t xml:space="preserve">que </w:t>
      </w:r>
      <w:r w:rsidRPr="003A1174">
        <w:rPr>
          <w:rFonts w:ascii="Garamond" w:hAnsi="Garamond" w:cs="Arial"/>
          <w:sz w:val="24"/>
          <w:szCs w:val="24"/>
          <w:lang w:val="pt-PT"/>
        </w:rPr>
        <w:t xml:space="preserve">foram criados </w:t>
      </w:r>
      <w:r w:rsidR="000116D8" w:rsidRPr="003A1174">
        <w:rPr>
          <w:rFonts w:ascii="Garamond" w:hAnsi="Garamond" w:cs="Arial"/>
          <w:sz w:val="24"/>
          <w:szCs w:val="24"/>
          <w:lang w:val="pt-PT"/>
        </w:rPr>
        <w:t xml:space="preserve">para </w:t>
      </w:r>
      <w:r w:rsidR="00FC4A4E" w:rsidRPr="003A1174">
        <w:rPr>
          <w:rFonts w:ascii="Garamond" w:hAnsi="Garamond" w:cs="Arial"/>
          <w:sz w:val="24"/>
          <w:szCs w:val="24"/>
          <w:lang w:val="pt-PT"/>
        </w:rPr>
        <w:t>coordenar</w:t>
      </w:r>
      <w:r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a </w:t>
      </w:r>
      <w:r w:rsidR="00AB6522" w:rsidRPr="003A1174">
        <w:rPr>
          <w:rFonts w:ascii="Garamond" w:hAnsi="Garamond" w:cs="Arial"/>
          <w:sz w:val="24"/>
          <w:szCs w:val="24"/>
          <w:lang w:val="pt-PT"/>
        </w:rPr>
        <w:t>resposta</w:t>
      </w:r>
      <w:r w:rsidR="000116D8" w:rsidRPr="003A1174">
        <w:rPr>
          <w:rFonts w:ascii="Garamond" w:hAnsi="Garamond" w:cs="Arial"/>
          <w:sz w:val="24"/>
          <w:szCs w:val="24"/>
          <w:lang w:val="pt-PT"/>
        </w:rPr>
        <w:t xml:space="preserve"> institucional, </w:t>
      </w:r>
      <w:r w:rsidR="003A391A" w:rsidRPr="003A1174">
        <w:rPr>
          <w:rFonts w:ascii="Garamond" w:hAnsi="Garamond" w:cs="Arial"/>
          <w:sz w:val="24"/>
          <w:szCs w:val="24"/>
          <w:lang w:val="pt-PT"/>
        </w:rPr>
        <w:t>nos</w:t>
      </w:r>
      <w:r w:rsidR="000116D8" w:rsidRPr="003A1174">
        <w:rPr>
          <w:rFonts w:ascii="Garamond" w:hAnsi="Garamond" w:cs="Arial"/>
          <w:sz w:val="24"/>
          <w:szCs w:val="24"/>
          <w:lang w:val="pt-PT"/>
        </w:rPr>
        <w:t xml:space="preserve"> </w:t>
      </w:r>
      <w:r w:rsidR="00B936A7" w:rsidRPr="003A1174">
        <w:rPr>
          <w:rFonts w:ascii="Garamond" w:hAnsi="Garamond" w:cs="Arial"/>
          <w:sz w:val="24"/>
          <w:szCs w:val="24"/>
          <w:lang w:val="pt-PT"/>
        </w:rPr>
        <w:t>quais</w:t>
      </w:r>
      <w:r w:rsidR="000116D8" w:rsidRPr="003A1174">
        <w:rPr>
          <w:rFonts w:ascii="Garamond" w:hAnsi="Garamond" w:cs="Arial"/>
          <w:sz w:val="24"/>
          <w:szCs w:val="24"/>
          <w:lang w:val="pt-PT"/>
        </w:rPr>
        <w:t xml:space="preserve"> participa</w:t>
      </w:r>
      <w:r w:rsidR="001A0FE6">
        <w:rPr>
          <w:rFonts w:ascii="Garamond" w:hAnsi="Garamond" w:cs="Arial"/>
          <w:sz w:val="24"/>
          <w:szCs w:val="24"/>
          <w:lang w:val="pt-PT"/>
        </w:rPr>
        <w:t>,</w:t>
      </w:r>
      <w:r w:rsidR="000116D8" w:rsidRPr="003A1174">
        <w:rPr>
          <w:rFonts w:ascii="Garamond" w:hAnsi="Garamond" w:cs="Arial"/>
          <w:sz w:val="24"/>
          <w:szCs w:val="24"/>
          <w:lang w:val="pt-PT"/>
        </w:rPr>
        <w:t xml:space="preserve"> permanentemente</w:t>
      </w:r>
      <w:r w:rsidR="001A0FE6">
        <w:rPr>
          <w:rFonts w:ascii="Garamond" w:hAnsi="Garamond" w:cs="Arial"/>
          <w:sz w:val="24"/>
          <w:szCs w:val="24"/>
          <w:lang w:val="pt-PT"/>
        </w:rPr>
        <w:t>,</w:t>
      </w:r>
      <w:r w:rsidR="000116D8" w:rsidRPr="003A1174">
        <w:rPr>
          <w:rFonts w:ascii="Garamond" w:hAnsi="Garamond" w:cs="Arial"/>
          <w:sz w:val="24"/>
          <w:szCs w:val="24"/>
          <w:lang w:val="pt-PT"/>
        </w:rPr>
        <w:t xml:space="preserve"> esta Delegada.</w:t>
      </w:r>
    </w:p>
    <w:p w:rsidR="000116D8" w:rsidRPr="003A1174" w:rsidRDefault="000116D8"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Esta Delegada </w:t>
      </w:r>
      <w:r w:rsidR="000464C8" w:rsidRPr="003A1174">
        <w:rPr>
          <w:rFonts w:ascii="Garamond" w:hAnsi="Garamond" w:cs="Arial"/>
          <w:sz w:val="24"/>
          <w:szCs w:val="24"/>
        </w:rPr>
        <w:t xml:space="preserve">dá prioridade ao </w:t>
      </w:r>
      <w:r w:rsidR="007A6EF0">
        <w:rPr>
          <w:rFonts w:ascii="Garamond" w:hAnsi="Garamond" w:cs="Arial"/>
          <w:sz w:val="24"/>
          <w:szCs w:val="24"/>
        </w:rPr>
        <w:t xml:space="preserve">acompanhamento </w:t>
      </w:r>
      <w:r w:rsidR="001A36C6" w:rsidRPr="003A1174">
        <w:rPr>
          <w:rFonts w:ascii="Garamond" w:hAnsi="Garamond" w:cs="Arial"/>
          <w:sz w:val="24"/>
          <w:szCs w:val="24"/>
        </w:rPr>
        <w:t>de</w:t>
      </w:r>
      <w:r w:rsidRPr="003A1174">
        <w:rPr>
          <w:rFonts w:ascii="Garamond" w:hAnsi="Garamond" w:cs="Arial"/>
          <w:sz w:val="24"/>
          <w:szCs w:val="24"/>
        </w:rPr>
        <w:t xml:space="preserve"> casos específicos de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054EE0" w:rsidRPr="003A1174">
        <w:rPr>
          <w:rFonts w:ascii="Garamond" w:hAnsi="Garamond" w:cs="Arial"/>
          <w:sz w:val="24"/>
          <w:szCs w:val="24"/>
        </w:rPr>
        <w:t>mulheres</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w:t>
      </w:r>
      <w:r w:rsidR="000464C8" w:rsidRPr="003A1174">
        <w:rPr>
          <w:rFonts w:ascii="Garamond" w:hAnsi="Garamond" w:cs="Arial"/>
          <w:sz w:val="24"/>
          <w:szCs w:val="24"/>
        </w:rPr>
        <w:t xml:space="preserve">crianças, em </w:t>
      </w:r>
      <w:r w:rsidR="002C7510" w:rsidRPr="003A1174">
        <w:rPr>
          <w:rFonts w:ascii="Garamond" w:hAnsi="Garamond" w:cs="Arial"/>
          <w:sz w:val="24"/>
          <w:szCs w:val="24"/>
        </w:rPr>
        <w:t>espaços</w:t>
      </w:r>
      <w:r w:rsidRPr="003A1174">
        <w:rPr>
          <w:rFonts w:ascii="Garamond" w:hAnsi="Garamond" w:cs="Arial"/>
          <w:sz w:val="24"/>
          <w:szCs w:val="24"/>
        </w:rPr>
        <w:t xml:space="preserve"> públicos </w:t>
      </w:r>
      <w:r w:rsidR="00497503" w:rsidRPr="003A1174">
        <w:rPr>
          <w:rFonts w:ascii="Garamond" w:hAnsi="Garamond" w:cs="Arial"/>
          <w:sz w:val="24"/>
          <w:szCs w:val="24"/>
        </w:rPr>
        <w:t>e</w:t>
      </w:r>
      <w:r w:rsidRPr="003A1174">
        <w:rPr>
          <w:rFonts w:ascii="Garamond" w:hAnsi="Garamond" w:cs="Arial"/>
          <w:sz w:val="24"/>
          <w:szCs w:val="24"/>
        </w:rPr>
        <w:t xml:space="preserve"> privados, </w:t>
      </w:r>
      <w:r w:rsidR="0038185E">
        <w:rPr>
          <w:rFonts w:ascii="Garamond" w:hAnsi="Garamond" w:cs="Arial"/>
          <w:sz w:val="24"/>
          <w:szCs w:val="24"/>
        </w:rPr>
        <w:t xml:space="preserve">numa </w:t>
      </w:r>
      <w:r w:rsidR="00D96FD0" w:rsidRPr="003A1174">
        <w:rPr>
          <w:rFonts w:ascii="Garamond" w:hAnsi="Garamond" w:cs="Arial"/>
          <w:sz w:val="24"/>
          <w:szCs w:val="24"/>
        </w:rPr>
        <w:t>perspetiva</w:t>
      </w:r>
      <w:r w:rsidRPr="003A1174">
        <w:rPr>
          <w:rFonts w:ascii="Garamond" w:hAnsi="Garamond" w:cs="Arial"/>
          <w:sz w:val="24"/>
          <w:szCs w:val="24"/>
        </w:rPr>
        <w:t xml:space="preserve"> de </w:t>
      </w:r>
      <w:r w:rsidR="0038185E">
        <w:rPr>
          <w:rFonts w:ascii="Garamond" w:hAnsi="Garamond" w:cs="Arial"/>
          <w:sz w:val="24"/>
          <w:szCs w:val="24"/>
        </w:rPr>
        <w:t xml:space="preserve">análise </w:t>
      </w:r>
      <w:r w:rsidR="00BA3CCE" w:rsidRPr="003A1174">
        <w:rPr>
          <w:rFonts w:ascii="Garamond" w:hAnsi="Garamond" w:cs="Arial"/>
          <w:sz w:val="24"/>
          <w:szCs w:val="24"/>
        </w:rPr>
        <w:t>psicossocial</w:t>
      </w:r>
      <w:r w:rsidRPr="003A1174">
        <w:rPr>
          <w:rFonts w:ascii="Garamond" w:hAnsi="Garamond" w:cs="Arial"/>
          <w:sz w:val="24"/>
          <w:szCs w:val="24"/>
        </w:rPr>
        <w:t xml:space="preserve"> </w:t>
      </w:r>
      <w:r w:rsidR="00497503" w:rsidRPr="003A1174">
        <w:rPr>
          <w:rFonts w:ascii="Garamond" w:hAnsi="Garamond" w:cs="Arial"/>
          <w:sz w:val="24"/>
          <w:szCs w:val="24"/>
        </w:rPr>
        <w:t>e</w:t>
      </w:r>
      <w:r w:rsidRPr="003A1174">
        <w:rPr>
          <w:rFonts w:ascii="Garamond" w:hAnsi="Garamond" w:cs="Arial"/>
          <w:sz w:val="24"/>
          <w:szCs w:val="24"/>
        </w:rPr>
        <w:t xml:space="preserve"> jurídic</w:t>
      </w:r>
      <w:r w:rsidR="0038185E">
        <w:rPr>
          <w:rFonts w:ascii="Garamond" w:hAnsi="Garamond" w:cs="Arial"/>
          <w:sz w:val="24"/>
          <w:szCs w:val="24"/>
        </w:rPr>
        <w:t>a</w:t>
      </w:r>
      <w:r w:rsidRPr="003A1174">
        <w:rPr>
          <w:rFonts w:ascii="Garamond" w:hAnsi="Garamond" w:cs="Arial"/>
          <w:sz w:val="24"/>
          <w:szCs w:val="24"/>
        </w:rPr>
        <w:t xml:space="preserve"> que</w:t>
      </w:r>
      <w:r w:rsidR="001A0FE6">
        <w:rPr>
          <w:rFonts w:ascii="Garamond" w:hAnsi="Garamond" w:cs="Arial"/>
          <w:sz w:val="24"/>
          <w:szCs w:val="24"/>
        </w:rPr>
        <w:t>,</w:t>
      </w:r>
      <w:r w:rsidRPr="003A1174">
        <w:rPr>
          <w:rFonts w:ascii="Garamond" w:hAnsi="Garamond" w:cs="Arial"/>
          <w:sz w:val="24"/>
          <w:szCs w:val="24"/>
        </w:rPr>
        <w:t xml:space="preserve"> </w:t>
      </w:r>
      <w:r w:rsidR="009A0033" w:rsidRPr="003A1174">
        <w:rPr>
          <w:rFonts w:ascii="Garamond" w:hAnsi="Garamond" w:cs="Arial"/>
          <w:sz w:val="24"/>
          <w:szCs w:val="24"/>
        </w:rPr>
        <w:t>sob esta dupla</w:t>
      </w:r>
      <w:r w:rsidR="001A36C6" w:rsidRPr="003A1174">
        <w:rPr>
          <w:rFonts w:ascii="Garamond" w:hAnsi="Garamond" w:cs="Arial"/>
          <w:sz w:val="24"/>
          <w:szCs w:val="24"/>
        </w:rPr>
        <w:t xml:space="preserve"> </w:t>
      </w:r>
      <w:r w:rsidR="00D96FD0" w:rsidRPr="003A1174">
        <w:rPr>
          <w:rFonts w:ascii="Garamond" w:hAnsi="Garamond" w:cs="Arial"/>
          <w:sz w:val="24"/>
          <w:szCs w:val="24"/>
        </w:rPr>
        <w:t>perspetiva</w:t>
      </w:r>
      <w:r w:rsidR="001A0FE6">
        <w:rPr>
          <w:rFonts w:ascii="Garamond" w:hAnsi="Garamond" w:cs="Arial"/>
          <w:sz w:val="24"/>
          <w:szCs w:val="24"/>
        </w:rPr>
        <w:t>,</w:t>
      </w:r>
      <w:r w:rsidR="001A36C6" w:rsidRPr="003A1174">
        <w:rPr>
          <w:rFonts w:ascii="Garamond" w:hAnsi="Garamond" w:cs="Arial"/>
          <w:sz w:val="24"/>
          <w:szCs w:val="24"/>
        </w:rPr>
        <w:t xml:space="preserve"> </w:t>
      </w:r>
      <w:r w:rsidRPr="003A1174">
        <w:rPr>
          <w:rFonts w:ascii="Garamond" w:hAnsi="Garamond" w:cs="Arial"/>
          <w:sz w:val="24"/>
          <w:szCs w:val="24"/>
        </w:rPr>
        <w:t xml:space="preserve">permite </w:t>
      </w:r>
      <w:r w:rsidR="007A6EF0">
        <w:rPr>
          <w:rFonts w:ascii="Garamond" w:hAnsi="Garamond" w:cs="Arial"/>
          <w:sz w:val="24"/>
          <w:szCs w:val="24"/>
        </w:rPr>
        <w:t>constatar-se quais</w:t>
      </w:r>
      <w:r w:rsidR="009A0033" w:rsidRPr="003A1174">
        <w:rPr>
          <w:rFonts w:ascii="Garamond" w:hAnsi="Garamond" w:cs="Arial"/>
          <w:sz w:val="24"/>
          <w:szCs w:val="24"/>
        </w:rPr>
        <w:t xml:space="preserve"> </w:t>
      </w:r>
      <w:r w:rsidRPr="003A1174">
        <w:rPr>
          <w:rFonts w:ascii="Garamond" w:hAnsi="Garamond" w:cs="Arial"/>
          <w:sz w:val="24"/>
          <w:szCs w:val="24"/>
        </w:rPr>
        <w:t>os obstáculos concretos que se</w:t>
      </w:r>
      <w:r w:rsidR="009A0033" w:rsidRPr="003A1174">
        <w:rPr>
          <w:rFonts w:ascii="Garamond" w:hAnsi="Garamond" w:cs="Arial"/>
          <w:sz w:val="24"/>
          <w:szCs w:val="24"/>
        </w:rPr>
        <w:t xml:space="preserve"> costuma </w:t>
      </w:r>
      <w:r w:rsidRPr="003A1174">
        <w:rPr>
          <w:rFonts w:ascii="Garamond" w:hAnsi="Garamond" w:cs="Arial"/>
          <w:sz w:val="24"/>
          <w:szCs w:val="24"/>
        </w:rPr>
        <w:t>enfrenta</w:t>
      </w:r>
      <w:r w:rsidR="001A36C6" w:rsidRPr="003A1174">
        <w:rPr>
          <w:rFonts w:ascii="Garamond" w:hAnsi="Garamond" w:cs="Arial"/>
          <w:sz w:val="24"/>
          <w:szCs w:val="24"/>
        </w:rPr>
        <w:t>r</w:t>
      </w:r>
      <w:r w:rsidRPr="003A1174">
        <w:rPr>
          <w:rFonts w:ascii="Garamond" w:hAnsi="Garamond" w:cs="Arial"/>
          <w:sz w:val="24"/>
          <w:szCs w:val="24"/>
        </w:rPr>
        <w:t xml:space="preserve"> </w:t>
      </w:r>
      <w:r w:rsidR="009A0033" w:rsidRPr="003A1174">
        <w:rPr>
          <w:rFonts w:ascii="Garamond" w:hAnsi="Garamond" w:cs="Arial"/>
          <w:sz w:val="24"/>
          <w:szCs w:val="24"/>
        </w:rPr>
        <w:t xml:space="preserve">no </w:t>
      </w:r>
      <w:r w:rsidR="00886D6A" w:rsidRPr="003A1174">
        <w:rPr>
          <w:rFonts w:ascii="Garamond" w:hAnsi="Garamond" w:cs="Arial"/>
          <w:sz w:val="24"/>
          <w:szCs w:val="24"/>
        </w:rPr>
        <w:t>acesso</w:t>
      </w:r>
      <w:r w:rsidRPr="003A1174">
        <w:rPr>
          <w:rFonts w:ascii="Garamond" w:hAnsi="Garamond" w:cs="Arial"/>
          <w:sz w:val="24"/>
          <w:szCs w:val="24"/>
        </w:rPr>
        <w:t xml:space="preserve"> </w:t>
      </w:r>
      <w:r w:rsidR="009A0033" w:rsidRPr="003A1174">
        <w:rPr>
          <w:rFonts w:ascii="Garamond" w:hAnsi="Garamond" w:cs="Arial"/>
          <w:sz w:val="24"/>
          <w:szCs w:val="24"/>
        </w:rPr>
        <w:t xml:space="preserve">à </w:t>
      </w:r>
      <w:r w:rsidR="00FC1F7F" w:rsidRPr="003A1174">
        <w:rPr>
          <w:rFonts w:ascii="Garamond" w:hAnsi="Garamond" w:cs="Arial"/>
          <w:sz w:val="24"/>
          <w:szCs w:val="24"/>
        </w:rPr>
        <w:t>justiça</w:t>
      </w:r>
      <w:r w:rsidRPr="003A1174">
        <w:rPr>
          <w:rFonts w:ascii="Garamond" w:hAnsi="Garamond" w:cs="Arial"/>
          <w:sz w:val="24"/>
          <w:szCs w:val="24"/>
        </w:rPr>
        <w:t>.</w:t>
      </w:r>
    </w:p>
    <w:p w:rsidR="000116D8" w:rsidRPr="003A1174" w:rsidRDefault="009A0033" w:rsidP="008719D4">
      <w:pPr>
        <w:pStyle w:val="Prrafodelista"/>
        <w:spacing w:before="24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que se refere ao </w:t>
      </w:r>
      <w:r w:rsidR="000116D8" w:rsidRPr="003A1174">
        <w:rPr>
          <w:rFonts w:ascii="Garamond" w:hAnsi="Garamond" w:cs="Arial"/>
          <w:color w:val="auto"/>
          <w:sz w:val="24"/>
          <w:szCs w:val="24"/>
          <w:lang w:val="pt-PT"/>
        </w:rPr>
        <w:t>tema d</w:t>
      </w:r>
      <w:r w:rsidR="001A36C6" w:rsidRPr="003A1174">
        <w:rPr>
          <w:rFonts w:ascii="Garamond" w:hAnsi="Garamond" w:cs="Arial"/>
          <w:color w:val="auto"/>
          <w:sz w:val="24"/>
          <w:szCs w:val="24"/>
          <w:lang w:val="pt-PT"/>
        </w:rPr>
        <w:t xml:space="preserve">a </w:t>
      </w:r>
      <w:r w:rsidR="0017447A" w:rsidRPr="003A1174">
        <w:rPr>
          <w:rFonts w:ascii="Garamond" w:hAnsi="Garamond" w:cs="Arial"/>
          <w:color w:val="auto"/>
          <w:sz w:val="24"/>
          <w:szCs w:val="24"/>
          <w:lang w:val="pt-PT"/>
        </w:rPr>
        <w:t>Representação</w:t>
      </w:r>
      <w:r w:rsidR="000116D8" w:rsidRPr="003A1174">
        <w:rPr>
          <w:rFonts w:ascii="Garamond" w:hAnsi="Garamond" w:cs="Arial"/>
          <w:color w:val="auto"/>
          <w:sz w:val="24"/>
          <w:szCs w:val="24"/>
          <w:lang w:val="pt-PT"/>
        </w:rPr>
        <w:t xml:space="preserve"> Judicial </w:t>
      </w:r>
      <w:r w:rsidR="001A36C6" w:rsidRPr="003A1174">
        <w:rPr>
          <w:rFonts w:ascii="Garamond" w:hAnsi="Garamond" w:cs="Arial"/>
          <w:color w:val="auto"/>
          <w:sz w:val="24"/>
          <w:szCs w:val="24"/>
          <w:lang w:val="pt-PT"/>
        </w:rPr>
        <w:t>de</w:t>
      </w:r>
      <w:r w:rsidR="000116D8"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0116D8"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em </w:t>
      </w:r>
      <w:r w:rsidR="000116D8" w:rsidRPr="003A1174">
        <w:rPr>
          <w:rFonts w:ascii="Garamond" w:hAnsi="Garamond" w:cs="Arial"/>
          <w:color w:val="auto"/>
          <w:sz w:val="24"/>
          <w:szCs w:val="24"/>
          <w:lang w:val="pt-PT"/>
        </w:rPr>
        <w:t>conformidad</w:t>
      </w:r>
      <w:r w:rsidRPr="003A1174">
        <w:rPr>
          <w:rFonts w:ascii="Garamond" w:hAnsi="Garamond" w:cs="Arial"/>
          <w:color w:val="auto"/>
          <w:sz w:val="24"/>
          <w:szCs w:val="24"/>
          <w:lang w:val="pt-PT"/>
        </w:rPr>
        <w:t>e</w:t>
      </w:r>
      <w:r w:rsidR="000116D8"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 xml:space="preserve">m o orçamento atribuído ao </w:t>
      </w:r>
      <w:r w:rsidR="000116D8" w:rsidRPr="003A1174">
        <w:rPr>
          <w:rFonts w:ascii="Garamond" w:hAnsi="Garamond" w:cs="Arial"/>
          <w:color w:val="auto"/>
          <w:sz w:val="24"/>
          <w:szCs w:val="24"/>
          <w:lang w:val="pt-PT"/>
        </w:rPr>
        <w:t xml:space="preserve">Sistema Nacional de </w:t>
      </w:r>
      <w:r w:rsidR="006C6E85" w:rsidRPr="003A1174">
        <w:rPr>
          <w:rFonts w:ascii="Garamond" w:hAnsi="Garamond" w:cs="Arial"/>
          <w:color w:val="auto"/>
          <w:sz w:val="24"/>
          <w:szCs w:val="24"/>
          <w:lang w:val="pt-PT"/>
        </w:rPr>
        <w:t>Provedoria</w:t>
      </w:r>
      <w:r w:rsidR="000116D8" w:rsidRPr="003A1174">
        <w:rPr>
          <w:rFonts w:ascii="Garamond" w:hAnsi="Garamond" w:cs="Arial"/>
          <w:color w:val="auto"/>
          <w:sz w:val="24"/>
          <w:szCs w:val="24"/>
          <w:lang w:val="pt-PT"/>
        </w:rPr>
        <w:t xml:space="preserve"> Pública para este </w:t>
      </w:r>
      <w:r w:rsidR="00863197" w:rsidRPr="003A1174">
        <w:rPr>
          <w:rFonts w:ascii="Garamond" w:hAnsi="Garamond" w:cs="Arial"/>
          <w:color w:val="auto"/>
          <w:sz w:val="24"/>
          <w:szCs w:val="24"/>
          <w:lang w:val="pt-PT"/>
        </w:rPr>
        <w:t>efeito</w:t>
      </w:r>
      <w:r w:rsidRPr="003A1174">
        <w:rPr>
          <w:rFonts w:ascii="Garamond" w:hAnsi="Garamond" w:cs="Arial"/>
          <w:color w:val="auto"/>
          <w:sz w:val="24"/>
          <w:szCs w:val="24"/>
          <w:lang w:val="pt-PT"/>
        </w:rPr>
        <w:t xml:space="preserve">, </w:t>
      </w:r>
      <w:r w:rsidR="000116D8" w:rsidRPr="003A1174">
        <w:rPr>
          <w:rFonts w:ascii="Garamond" w:hAnsi="Garamond" w:cs="Arial"/>
          <w:color w:val="auto"/>
          <w:sz w:val="24"/>
          <w:szCs w:val="24"/>
          <w:lang w:val="pt-PT"/>
        </w:rPr>
        <w:t xml:space="preserve">a </w:t>
      </w:r>
      <w:r w:rsidR="00C04CA4" w:rsidRPr="003A1174">
        <w:rPr>
          <w:rFonts w:ascii="Garamond" w:hAnsi="Garamond" w:cs="Arial"/>
          <w:color w:val="auto"/>
          <w:sz w:val="24"/>
          <w:szCs w:val="24"/>
          <w:lang w:val="pt-PT"/>
        </w:rPr>
        <w:t>Provedoria de Justiça</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pôs em prática a </w:t>
      </w:r>
      <w:r w:rsidR="000116D8" w:rsidRPr="003A1174">
        <w:rPr>
          <w:rFonts w:ascii="Garamond" w:hAnsi="Garamond" w:cs="Arial"/>
          <w:color w:val="auto"/>
          <w:sz w:val="24"/>
          <w:szCs w:val="24"/>
          <w:lang w:val="pt-PT"/>
        </w:rPr>
        <w:t>contrata</w:t>
      </w:r>
      <w:r w:rsidRPr="003A1174">
        <w:rPr>
          <w:rFonts w:ascii="Garamond" w:hAnsi="Garamond" w:cs="Arial"/>
          <w:color w:val="auto"/>
          <w:sz w:val="24"/>
          <w:szCs w:val="24"/>
          <w:lang w:val="pt-PT"/>
        </w:rPr>
        <w:t xml:space="preserve">ção </w:t>
      </w:r>
      <w:r w:rsidR="000116D8" w:rsidRPr="003A1174">
        <w:rPr>
          <w:rFonts w:ascii="Garamond" w:hAnsi="Garamond" w:cs="Arial"/>
          <w:color w:val="auto"/>
          <w:sz w:val="24"/>
          <w:szCs w:val="24"/>
          <w:lang w:val="pt-PT"/>
        </w:rPr>
        <w:t xml:space="preserve">de defensoras </w:t>
      </w:r>
      <w:r w:rsidR="00497503" w:rsidRPr="003A1174">
        <w:rPr>
          <w:rFonts w:ascii="Garamond" w:hAnsi="Garamond" w:cs="Arial"/>
          <w:color w:val="auto"/>
          <w:sz w:val="24"/>
          <w:szCs w:val="24"/>
          <w:lang w:val="pt-PT"/>
        </w:rPr>
        <w:t>e</w:t>
      </w:r>
      <w:r w:rsidR="000116D8" w:rsidRPr="003A1174">
        <w:rPr>
          <w:rFonts w:ascii="Garamond" w:hAnsi="Garamond" w:cs="Arial"/>
          <w:color w:val="auto"/>
          <w:sz w:val="24"/>
          <w:szCs w:val="24"/>
          <w:lang w:val="pt-PT"/>
        </w:rPr>
        <w:t xml:space="preserve"> defensores públicos </w:t>
      </w:r>
      <w:r w:rsidR="00203282">
        <w:rPr>
          <w:rFonts w:ascii="Garamond" w:hAnsi="Garamond" w:cs="Arial"/>
          <w:color w:val="auto"/>
          <w:sz w:val="24"/>
          <w:szCs w:val="24"/>
          <w:lang w:val="pt-PT"/>
        </w:rPr>
        <w:t xml:space="preserve">para </w:t>
      </w:r>
      <w:r w:rsidR="0017447A" w:rsidRPr="003A1174">
        <w:rPr>
          <w:rFonts w:ascii="Garamond" w:hAnsi="Garamond" w:cs="Arial"/>
          <w:color w:val="auto"/>
          <w:sz w:val="24"/>
          <w:szCs w:val="24"/>
          <w:lang w:val="pt-PT"/>
        </w:rPr>
        <w:t>representa</w:t>
      </w:r>
      <w:r w:rsidR="00203282">
        <w:rPr>
          <w:rFonts w:ascii="Garamond" w:hAnsi="Garamond" w:cs="Arial"/>
          <w:color w:val="auto"/>
          <w:sz w:val="24"/>
          <w:szCs w:val="24"/>
          <w:lang w:val="pt-PT"/>
        </w:rPr>
        <w:t>rem</w:t>
      </w:r>
      <w:r w:rsidR="000116D8" w:rsidRPr="003A1174">
        <w:rPr>
          <w:rFonts w:ascii="Garamond" w:hAnsi="Garamond" w:cs="Arial"/>
          <w:color w:val="auto"/>
          <w:sz w:val="24"/>
          <w:szCs w:val="24"/>
          <w:lang w:val="pt-PT"/>
        </w:rPr>
        <w:t xml:space="preserve"> </w:t>
      </w:r>
      <w:r w:rsidR="001A36C6" w:rsidRPr="003A1174">
        <w:rPr>
          <w:rFonts w:ascii="Garamond" w:hAnsi="Garamond" w:cs="Arial"/>
          <w:color w:val="auto"/>
          <w:sz w:val="24"/>
          <w:szCs w:val="24"/>
          <w:lang w:val="pt-PT"/>
        </w:rPr>
        <w:t>j</w:t>
      </w:r>
      <w:r w:rsidR="000116D8" w:rsidRPr="003A1174">
        <w:rPr>
          <w:rFonts w:ascii="Garamond" w:hAnsi="Garamond" w:cs="Arial"/>
          <w:color w:val="auto"/>
          <w:sz w:val="24"/>
          <w:szCs w:val="24"/>
          <w:lang w:val="pt-PT"/>
        </w:rPr>
        <w:t>udicial</w:t>
      </w:r>
      <w:r w:rsidR="00203282">
        <w:rPr>
          <w:rFonts w:ascii="Garamond" w:hAnsi="Garamond" w:cs="Arial"/>
          <w:color w:val="auto"/>
          <w:sz w:val="24"/>
          <w:szCs w:val="24"/>
          <w:lang w:val="pt-PT"/>
        </w:rPr>
        <w:t>mente as</w:t>
      </w:r>
      <w:r w:rsidR="000116D8"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0116D8" w:rsidRPr="003A1174">
        <w:rPr>
          <w:rFonts w:ascii="Garamond" w:hAnsi="Garamond" w:cs="Arial"/>
          <w:color w:val="auto"/>
          <w:sz w:val="24"/>
          <w:szCs w:val="24"/>
          <w:lang w:val="pt-PT"/>
        </w:rPr>
        <w:t>s</w:t>
      </w:r>
      <w:r w:rsidR="001A36C6"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ao abrigo </w:t>
      </w:r>
      <w:r w:rsidR="000116D8" w:rsidRPr="003A1174">
        <w:rPr>
          <w:rFonts w:ascii="Garamond" w:hAnsi="Garamond" w:cs="Arial"/>
          <w:color w:val="auto"/>
          <w:sz w:val="24"/>
          <w:szCs w:val="24"/>
          <w:lang w:val="pt-PT"/>
        </w:rPr>
        <w:t xml:space="preserve">da </w:t>
      </w:r>
      <w:r w:rsidR="00D15AFF" w:rsidRPr="003A1174">
        <w:rPr>
          <w:rFonts w:ascii="Garamond" w:hAnsi="Garamond" w:cs="Arial"/>
          <w:color w:val="auto"/>
          <w:sz w:val="24"/>
          <w:szCs w:val="24"/>
          <w:lang w:val="pt-PT"/>
        </w:rPr>
        <w:t>Lei</w:t>
      </w:r>
      <w:r w:rsidRPr="003A1174">
        <w:rPr>
          <w:rFonts w:ascii="Garamond" w:hAnsi="Garamond" w:cs="Arial"/>
          <w:color w:val="auto"/>
          <w:sz w:val="24"/>
          <w:szCs w:val="24"/>
          <w:lang w:val="pt-PT"/>
        </w:rPr>
        <w:t xml:space="preserve"> 1257 de 2008, cuj</w:t>
      </w:r>
      <w:r w:rsidR="000116D8" w:rsidRPr="003A1174">
        <w:rPr>
          <w:rFonts w:ascii="Garamond" w:hAnsi="Garamond" w:cs="Arial"/>
          <w:color w:val="auto"/>
          <w:sz w:val="24"/>
          <w:szCs w:val="24"/>
          <w:lang w:val="pt-PT"/>
        </w:rPr>
        <w:t>o número se</w:t>
      </w:r>
      <w:r w:rsidR="00BD05D7">
        <w:rPr>
          <w:rFonts w:ascii="Garamond" w:hAnsi="Garamond" w:cs="Arial"/>
          <w:color w:val="auto"/>
          <w:sz w:val="24"/>
          <w:szCs w:val="24"/>
          <w:lang w:val="pt-PT"/>
        </w:rPr>
        <w:t xml:space="preserve"> pretende aumentar</w:t>
      </w:r>
      <w:r w:rsidR="0038185E">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progressivamente</w:t>
      </w:r>
      <w:r w:rsidR="0038185E">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00BD05D7">
        <w:rPr>
          <w:rFonts w:ascii="Garamond" w:hAnsi="Garamond" w:cs="Arial"/>
          <w:color w:val="auto"/>
          <w:sz w:val="24"/>
          <w:szCs w:val="24"/>
          <w:lang w:val="pt-PT"/>
        </w:rPr>
        <w:t>por</w:t>
      </w:r>
      <w:r w:rsidRPr="003A1174">
        <w:rPr>
          <w:rFonts w:ascii="Garamond" w:hAnsi="Garamond" w:cs="Arial"/>
          <w:color w:val="auto"/>
          <w:sz w:val="24"/>
          <w:szCs w:val="24"/>
          <w:lang w:val="pt-PT"/>
        </w:rPr>
        <w:t xml:space="preserve"> </w:t>
      </w:r>
      <w:r w:rsidR="0038185E">
        <w:rPr>
          <w:rFonts w:ascii="Garamond" w:hAnsi="Garamond" w:cs="Arial"/>
          <w:color w:val="auto"/>
          <w:sz w:val="24"/>
          <w:szCs w:val="24"/>
          <w:lang w:val="pt-PT"/>
        </w:rPr>
        <w:t xml:space="preserve">forma </w:t>
      </w:r>
      <w:r w:rsidRPr="003A1174">
        <w:rPr>
          <w:rFonts w:ascii="Garamond" w:hAnsi="Garamond" w:cs="Arial"/>
          <w:color w:val="auto"/>
          <w:sz w:val="24"/>
          <w:szCs w:val="24"/>
          <w:lang w:val="pt-PT"/>
        </w:rPr>
        <w:t xml:space="preserve">atingir </w:t>
      </w:r>
      <w:r w:rsidR="00497503" w:rsidRPr="003A1174">
        <w:rPr>
          <w:rFonts w:ascii="Garamond" w:hAnsi="Garamond" w:cs="Arial"/>
          <w:color w:val="auto"/>
          <w:sz w:val="24"/>
          <w:szCs w:val="24"/>
          <w:lang w:val="pt-PT"/>
        </w:rPr>
        <w:t>os</w:t>
      </w:r>
      <w:r w:rsidR="000116D8" w:rsidRPr="003A1174">
        <w:rPr>
          <w:rFonts w:ascii="Garamond" w:hAnsi="Garamond" w:cs="Arial"/>
          <w:color w:val="auto"/>
          <w:sz w:val="24"/>
          <w:szCs w:val="24"/>
          <w:lang w:val="pt-PT"/>
        </w:rPr>
        <w:t xml:space="preserve"> recursos </w:t>
      </w:r>
      <w:r w:rsidR="00C30647" w:rsidRPr="003A1174">
        <w:rPr>
          <w:rFonts w:ascii="Garamond" w:hAnsi="Garamond" w:cs="Arial"/>
          <w:color w:val="auto"/>
          <w:sz w:val="24"/>
          <w:szCs w:val="24"/>
          <w:lang w:val="pt-PT"/>
        </w:rPr>
        <w:t>necessário</w:t>
      </w:r>
      <w:r w:rsidR="000116D8" w:rsidRPr="003A1174">
        <w:rPr>
          <w:rFonts w:ascii="Garamond" w:hAnsi="Garamond" w:cs="Arial"/>
          <w:color w:val="auto"/>
          <w:sz w:val="24"/>
          <w:szCs w:val="24"/>
          <w:lang w:val="pt-PT"/>
        </w:rPr>
        <w:t xml:space="preserve">s. </w:t>
      </w:r>
    </w:p>
    <w:p w:rsidR="000116D8" w:rsidRPr="003A1174" w:rsidRDefault="000116D8" w:rsidP="008719D4">
      <w:pPr>
        <w:pStyle w:val="Prrafodelista"/>
        <w:tabs>
          <w:tab w:val="left" w:pos="0"/>
        </w:tabs>
        <w:spacing w:before="24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Existe u</w:t>
      </w:r>
      <w:r w:rsidR="009A0033"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Acordo</w:t>
      </w:r>
      <w:r w:rsidRPr="003A1174">
        <w:rPr>
          <w:rFonts w:ascii="Garamond" w:hAnsi="Garamond" w:cs="Arial"/>
          <w:color w:val="auto"/>
          <w:sz w:val="24"/>
          <w:szCs w:val="24"/>
          <w:lang w:val="pt-PT"/>
        </w:rPr>
        <w:t xml:space="preserve"> de </w:t>
      </w:r>
      <w:r w:rsidR="009A0033" w:rsidRPr="003A1174">
        <w:rPr>
          <w:rFonts w:ascii="Garamond" w:hAnsi="Garamond" w:cs="Arial"/>
          <w:color w:val="auto"/>
          <w:sz w:val="24"/>
          <w:szCs w:val="24"/>
          <w:lang w:val="pt-PT"/>
        </w:rPr>
        <w:t xml:space="preserve">Vontades vigente entre </w:t>
      </w:r>
      <w:r w:rsidRPr="003A1174">
        <w:rPr>
          <w:rFonts w:ascii="Garamond" w:hAnsi="Garamond" w:cs="Arial"/>
          <w:color w:val="auto"/>
          <w:sz w:val="24"/>
          <w:szCs w:val="24"/>
          <w:lang w:val="pt-PT"/>
        </w:rPr>
        <w:t xml:space="preserve">a </w:t>
      </w:r>
      <w:r w:rsidR="00D75A07" w:rsidRPr="003A1174">
        <w:rPr>
          <w:rFonts w:ascii="Garamond" w:hAnsi="Garamond" w:cs="Arial"/>
          <w:color w:val="auto"/>
          <w:sz w:val="24"/>
          <w:szCs w:val="24"/>
          <w:lang w:val="pt-PT"/>
        </w:rPr>
        <w:t>Secretaria</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d</w:t>
      </w:r>
      <w:r w:rsidR="009A0033" w:rsidRPr="003A1174">
        <w:rPr>
          <w:rFonts w:ascii="Garamond" w:hAnsi="Garamond" w:cs="Arial"/>
          <w:color w:val="auto"/>
          <w:sz w:val="24"/>
          <w:szCs w:val="24"/>
          <w:lang w:val="pt-PT"/>
        </w:rPr>
        <w:t xml:space="preserve">o </w:t>
      </w:r>
      <w:r w:rsidR="00BA3CCE" w:rsidRPr="003A1174">
        <w:rPr>
          <w:rFonts w:ascii="Garamond" w:hAnsi="Garamond" w:cs="Arial"/>
          <w:color w:val="auto"/>
          <w:sz w:val="24"/>
          <w:szCs w:val="24"/>
          <w:lang w:val="pt-PT"/>
        </w:rPr>
        <w:t>Município</w:t>
      </w:r>
      <w:r w:rsidR="009A00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de Medellín </w:t>
      </w:r>
      <w:r w:rsidR="00497503" w:rsidRPr="003A1174">
        <w:rPr>
          <w:rFonts w:ascii="Garamond" w:hAnsi="Garamond" w:cs="Arial"/>
          <w:color w:val="auto"/>
          <w:sz w:val="24"/>
          <w:szCs w:val="24"/>
          <w:lang w:val="pt-PT"/>
        </w:rPr>
        <w:t>e</w:t>
      </w:r>
      <w:r w:rsidR="009A00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C04CA4" w:rsidRPr="003A1174">
        <w:rPr>
          <w:rFonts w:ascii="Garamond" w:hAnsi="Garamond" w:cs="Arial"/>
          <w:color w:val="auto"/>
          <w:sz w:val="24"/>
          <w:szCs w:val="24"/>
          <w:lang w:val="pt-PT"/>
        </w:rPr>
        <w:t>Provedoria de Justiça</w:t>
      </w:r>
      <w:r w:rsidRPr="003A1174">
        <w:rPr>
          <w:rFonts w:ascii="Garamond" w:hAnsi="Garamond" w:cs="Arial"/>
          <w:color w:val="auto"/>
          <w:sz w:val="24"/>
          <w:szCs w:val="24"/>
          <w:lang w:val="pt-PT"/>
        </w:rPr>
        <w:t xml:space="preserve"> Regional </w:t>
      </w:r>
      <w:r w:rsidR="001A36C6" w:rsidRPr="003A1174">
        <w:rPr>
          <w:rFonts w:ascii="Garamond" w:hAnsi="Garamond" w:cs="Arial"/>
          <w:color w:val="auto"/>
          <w:sz w:val="24"/>
          <w:szCs w:val="24"/>
          <w:lang w:val="pt-PT"/>
        </w:rPr>
        <w:t xml:space="preserve">de </w:t>
      </w:r>
      <w:r w:rsidRPr="003A1174">
        <w:rPr>
          <w:rFonts w:ascii="Garamond" w:hAnsi="Garamond" w:cs="Arial"/>
          <w:color w:val="auto"/>
          <w:sz w:val="24"/>
          <w:szCs w:val="24"/>
          <w:lang w:val="pt-PT"/>
        </w:rPr>
        <w:t>Antioquia. E</w:t>
      </w:r>
      <w:r w:rsidR="009A0033" w:rsidRPr="003A1174">
        <w:rPr>
          <w:rFonts w:ascii="Garamond" w:hAnsi="Garamond" w:cs="Arial"/>
          <w:color w:val="auto"/>
          <w:sz w:val="24"/>
          <w:szCs w:val="24"/>
          <w:lang w:val="pt-PT"/>
        </w:rPr>
        <w:t xml:space="preserve">m </w:t>
      </w:r>
      <w:r w:rsidR="0038185E">
        <w:rPr>
          <w:rFonts w:ascii="Garamond" w:hAnsi="Garamond" w:cs="Arial"/>
          <w:color w:val="auto"/>
          <w:sz w:val="24"/>
          <w:szCs w:val="24"/>
          <w:lang w:val="pt-PT"/>
        </w:rPr>
        <w:t xml:space="preserve">consequência </w:t>
      </w:r>
      <w:r w:rsidR="009A0033" w:rsidRPr="003A1174">
        <w:rPr>
          <w:rFonts w:ascii="Garamond" w:hAnsi="Garamond" w:cs="Arial"/>
          <w:color w:val="auto"/>
          <w:sz w:val="24"/>
          <w:szCs w:val="24"/>
          <w:lang w:val="pt-PT"/>
        </w:rPr>
        <w:t xml:space="preserve">do referido acordo, </w:t>
      </w:r>
      <w:r w:rsidRPr="003A1174">
        <w:rPr>
          <w:rFonts w:ascii="Garamond" w:hAnsi="Garamond" w:cs="Arial"/>
          <w:color w:val="auto"/>
          <w:sz w:val="24"/>
          <w:szCs w:val="24"/>
          <w:lang w:val="pt-PT"/>
        </w:rPr>
        <w:t xml:space="preserve">denominado </w:t>
      </w:r>
      <w:r w:rsidR="0038185E">
        <w:rPr>
          <w:rFonts w:ascii="Garamond" w:hAnsi="Garamond" w:cs="Arial"/>
          <w:color w:val="auto"/>
          <w:sz w:val="24"/>
          <w:szCs w:val="24"/>
          <w:lang w:val="pt-PT"/>
        </w:rPr>
        <w:t>«</w:t>
      </w:r>
      <w:r w:rsidR="003F012B" w:rsidRPr="003A1174">
        <w:rPr>
          <w:rFonts w:ascii="Garamond" w:hAnsi="Garamond" w:cs="Arial"/>
          <w:color w:val="auto"/>
          <w:sz w:val="24"/>
          <w:szCs w:val="24"/>
          <w:lang w:val="pt-PT"/>
        </w:rPr>
        <w:t>Acordo</w:t>
      </w:r>
      <w:r w:rsidRPr="003A1174">
        <w:rPr>
          <w:rFonts w:ascii="Garamond" w:hAnsi="Garamond" w:cs="Arial"/>
          <w:color w:val="auto"/>
          <w:sz w:val="24"/>
          <w:szCs w:val="24"/>
          <w:lang w:val="pt-PT"/>
        </w:rPr>
        <w:t xml:space="preserve"> de </w:t>
      </w:r>
      <w:r w:rsidR="009A0033" w:rsidRPr="003A1174">
        <w:rPr>
          <w:rFonts w:ascii="Garamond" w:hAnsi="Garamond" w:cs="Arial"/>
          <w:color w:val="auto"/>
          <w:sz w:val="24"/>
          <w:szCs w:val="24"/>
          <w:lang w:val="pt-PT"/>
        </w:rPr>
        <w:t xml:space="preserve">Vontades para </w:t>
      </w:r>
      <w:r w:rsidRPr="003A1174">
        <w:rPr>
          <w:rFonts w:ascii="Garamond" w:hAnsi="Garamond" w:cs="Arial"/>
          <w:color w:val="auto"/>
          <w:sz w:val="24"/>
          <w:szCs w:val="24"/>
          <w:lang w:val="pt-PT"/>
        </w:rPr>
        <w:t xml:space="preserve">a </w:t>
      </w:r>
      <w:r w:rsidR="00462B11" w:rsidRPr="003A1174">
        <w:rPr>
          <w:rFonts w:ascii="Garamond" w:hAnsi="Garamond" w:cs="Arial"/>
          <w:color w:val="auto"/>
          <w:sz w:val="24"/>
          <w:szCs w:val="24"/>
          <w:lang w:val="pt-PT"/>
        </w:rPr>
        <w:t>Prestação</w:t>
      </w:r>
      <w:r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w:t>
      </w:r>
      <w:r w:rsidR="00B531F2" w:rsidRPr="003A1174">
        <w:rPr>
          <w:rFonts w:ascii="Garamond" w:hAnsi="Garamond" w:cs="Arial"/>
          <w:color w:val="auto"/>
          <w:sz w:val="24"/>
          <w:szCs w:val="24"/>
          <w:lang w:val="pt-PT"/>
        </w:rPr>
        <w:t>Serviço</w:t>
      </w:r>
      <w:r w:rsidRPr="003A1174">
        <w:rPr>
          <w:rFonts w:ascii="Garamond" w:hAnsi="Garamond" w:cs="Arial"/>
          <w:color w:val="auto"/>
          <w:sz w:val="24"/>
          <w:szCs w:val="24"/>
          <w:lang w:val="pt-PT"/>
        </w:rPr>
        <w:t xml:space="preserve"> de </w:t>
      </w:r>
      <w:r w:rsidR="006C6E85" w:rsidRPr="003A1174">
        <w:rPr>
          <w:rFonts w:ascii="Garamond" w:hAnsi="Garamond" w:cs="Arial"/>
          <w:color w:val="auto"/>
          <w:sz w:val="24"/>
          <w:szCs w:val="24"/>
          <w:lang w:val="pt-PT"/>
        </w:rPr>
        <w:t>Provedoria</w:t>
      </w:r>
      <w:r w:rsidRPr="003A1174">
        <w:rPr>
          <w:rFonts w:ascii="Garamond" w:hAnsi="Garamond" w:cs="Arial"/>
          <w:color w:val="auto"/>
          <w:sz w:val="24"/>
          <w:szCs w:val="24"/>
          <w:lang w:val="pt-PT"/>
        </w:rPr>
        <w:t xml:space="preserve"> Pública para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de género (Art. 8, </w:t>
      </w:r>
      <w:r w:rsidR="0038185E">
        <w:rPr>
          <w:rFonts w:ascii="Garamond" w:hAnsi="Garamond" w:cs="Arial"/>
          <w:color w:val="auto"/>
          <w:sz w:val="24"/>
          <w:szCs w:val="24"/>
          <w:lang w:val="pt-PT"/>
        </w:rPr>
        <w:t xml:space="preserve">alínea </w:t>
      </w:r>
      <w:r w:rsidRPr="003A1174">
        <w:rPr>
          <w:rFonts w:ascii="Garamond" w:hAnsi="Garamond" w:cs="Arial"/>
          <w:color w:val="auto"/>
          <w:sz w:val="24"/>
          <w:szCs w:val="24"/>
          <w:lang w:val="pt-PT"/>
        </w:rPr>
        <w:t>b</w:t>
      </w:r>
      <w:r w:rsidR="0038185E">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Lei</w:t>
      </w:r>
      <w:r w:rsidRPr="003A1174">
        <w:rPr>
          <w:rFonts w:ascii="Garamond" w:hAnsi="Garamond" w:cs="Arial"/>
          <w:color w:val="auto"/>
          <w:sz w:val="24"/>
          <w:szCs w:val="24"/>
          <w:lang w:val="pt-PT"/>
        </w:rPr>
        <w:t xml:space="preserve"> 1257</w:t>
      </w:r>
      <w:r w:rsidR="0038185E">
        <w:rPr>
          <w:rFonts w:ascii="Garamond" w:hAnsi="Garamond" w:cs="Arial"/>
          <w:color w:val="auto"/>
          <w:sz w:val="24"/>
          <w:szCs w:val="24"/>
          <w:lang w:val="pt-PT"/>
        </w:rPr>
        <w:t>,</w:t>
      </w:r>
      <w:r w:rsidRPr="003A1174">
        <w:rPr>
          <w:rFonts w:ascii="Garamond" w:hAnsi="Garamond" w:cs="Arial"/>
          <w:color w:val="auto"/>
          <w:sz w:val="24"/>
          <w:szCs w:val="24"/>
          <w:lang w:val="pt-PT"/>
        </w:rPr>
        <w:t xml:space="preserve"> de 2008)</w:t>
      </w:r>
      <w:r w:rsidR="0038185E">
        <w:rPr>
          <w:rFonts w:ascii="Garamond" w:hAnsi="Garamond" w:cs="Arial"/>
          <w:color w:val="auto"/>
          <w:sz w:val="24"/>
          <w:szCs w:val="24"/>
          <w:lang w:val="pt-PT"/>
        </w:rPr>
        <w:t>»</w:t>
      </w:r>
      <w:r w:rsidRPr="003A1174">
        <w:rPr>
          <w:rFonts w:ascii="Garamond" w:hAnsi="Garamond" w:cs="Arial"/>
          <w:i/>
          <w:color w:val="auto"/>
          <w:sz w:val="24"/>
          <w:szCs w:val="24"/>
          <w:lang w:val="pt-PT"/>
        </w:rPr>
        <w:t xml:space="preserve">, </w:t>
      </w:r>
      <w:r w:rsidR="009A0033"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w:t>
      </w:r>
      <w:r w:rsidR="009A0033" w:rsidRPr="003A1174">
        <w:rPr>
          <w:rFonts w:ascii="Garamond" w:hAnsi="Garamond" w:cs="Arial"/>
          <w:color w:val="auto"/>
          <w:sz w:val="24"/>
          <w:szCs w:val="24"/>
          <w:lang w:val="pt-PT"/>
        </w:rPr>
        <w:t>Município</w:t>
      </w:r>
      <w:r w:rsidRPr="003A1174">
        <w:rPr>
          <w:rFonts w:ascii="Garamond" w:hAnsi="Garamond" w:cs="Arial"/>
          <w:color w:val="auto"/>
          <w:sz w:val="24"/>
          <w:szCs w:val="24"/>
          <w:lang w:val="pt-PT"/>
        </w:rPr>
        <w:t xml:space="preserve"> de Medellín as</w:t>
      </w:r>
      <w:r w:rsidR="009A0033" w:rsidRPr="003A1174">
        <w:rPr>
          <w:rFonts w:ascii="Garamond" w:hAnsi="Garamond" w:cs="Arial"/>
          <w:color w:val="auto"/>
          <w:sz w:val="24"/>
          <w:szCs w:val="24"/>
          <w:lang w:val="pt-PT"/>
        </w:rPr>
        <w:t>s</w:t>
      </w:r>
      <w:r w:rsidRPr="003A1174">
        <w:rPr>
          <w:rFonts w:ascii="Garamond" w:hAnsi="Garamond" w:cs="Arial"/>
          <w:color w:val="auto"/>
          <w:sz w:val="24"/>
          <w:szCs w:val="24"/>
          <w:lang w:val="pt-PT"/>
        </w:rPr>
        <w:t xml:space="preserve">ume </w:t>
      </w:r>
      <w:r w:rsidR="009A0033"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w:t>
      </w:r>
      <w:r w:rsidR="009A0033" w:rsidRPr="003A1174">
        <w:rPr>
          <w:rFonts w:ascii="Garamond" w:hAnsi="Garamond" w:cs="Arial"/>
          <w:color w:val="auto"/>
          <w:sz w:val="24"/>
          <w:szCs w:val="24"/>
          <w:lang w:val="pt-PT"/>
        </w:rPr>
        <w:t>custo</w:t>
      </w:r>
      <w:r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9A0033" w:rsidRPr="003A1174">
        <w:rPr>
          <w:rFonts w:ascii="Garamond" w:hAnsi="Garamond" w:cs="Arial"/>
          <w:color w:val="auto"/>
          <w:sz w:val="24"/>
          <w:szCs w:val="24"/>
          <w:lang w:val="pt-PT"/>
        </w:rPr>
        <w:t xml:space="preserve"> honorá</w:t>
      </w:r>
      <w:r w:rsidRPr="003A1174">
        <w:rPr>
          <w:rFonts w:ascii="Garamond" w:hAnsi="Garamond" w:cs="Arial"/>
          <w:color w:val="auto"/>
          <w:sz w:val="24"/>
          <w:szCs w:val="24"/>
          <w:lang w:val="pt-PT"/>
        </w:rPr>
        <w:t xml:space="preserve">rios </w:t>
      </w:r>
      <w:r w:rsidR="00497503" w:rsidRPr="003A1174">
        <w:rPr>
          <w:rFonts w:ascii="Garamond" w:hAnsi="Garamond" w:cs="Arial"/>
          <w:color w:val="auto"/>
          <w:sz w:val="24"/>
          <w:szCs w:val="24"/>
          <w:lang w:val="pt-PT"/>
        </w:rPr>
        <w:t>e</w:t>
      </w:r>
      <w:r w:rsidR="009A00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C04CA4" w:rsidRPr="003A1174">
        <w:rPr>
          <w:rFonts w:ascii="Garamond" w:hAnsi="Garamond" w:cs="Arial"/>
          <w:color w:val="auto"/>
          <w:sz w:val="24"/>
          <w:szCs w:val="24"/>
          <w:lang w:val="pt-PT"/>
        </w:rPr>
        <w:t>Provedoria de Justiça</w:t>
      </w:r>
      <w:r w:rsidRPr="003A1174">
        <w:rPr>
          <w:rFonts w:ascii="Garamond" w:hAnsi="Garamond" w:cs="Arial"/>
          <w:color w:val="auto"/>
          <w:sz w:val="24"/>
          <w:szCs w:val="24"/>
          <w:lang w:val="pt-PT"/>
        </w:rPr>
        <w:t xml:space="preserve"> </w:t>
      </w:r>
      <w:r w:rsidR="001A36C6" w:rsidRPr="003A1174">
        <w:rPr>
          <w:rFonts w:ascii="Garamond" w:hAnsi="Garamond" w:cs="Arial"/>
          <w:color w:val="auto"/>
          <w:sz w:val="24"/>
          <w:szCs w:val="24"/>
          <w:lang w:val="pt-PT"/>
        </w:rPr>
        <w:t>a</w:t>
      </w:r>
      <w:r w:rsidR="009A0033" w:rsidRPr="003A1174">
        <w:rPr>
          <w:rFonts w:ascii="Garamond" w:hAnsi="Garamond" w:cs="Arial"/>
          <w:color w:val="auto"/>
          <w:sz w:val="24"/>
          <w:szCs w:val="24"/>
          <w:lang w:val="pt-PT"/>
        </w:rPr>
        <w:t xml:space="preserve">tua </w:t>
      </w:r>
      <w:r w:rsidRPr="003A1174">
        <w:rPr>
          <w:rFonts w:ascii="Garamond" w:hAnsi="Garamond" w:cs="Arial"/>
          <w:color w:val="auto"/>
          <w:sz w:val="24"/>
          <w:szCs w:val="24"/>
          <w:lang w:val="pt-PT"/>
        </w:rPr>
        <w:t xml:space="preserve">como operador </w:t>
      </w:r>
      <w:r w:rsidR="00497503"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supervisor </w:t>
      </w:r>
      <w:r w:rsidR="00E85E59"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contrato.  </w:t>
      </w:r>
    </w:p>
    <w:p w:rsidR="008B023E" w:rsidRPr="003A1174" w:rsidRDefault="009A0033" w:rsidP="008719D4">
      <w:pPr>
        <w:pStyle w:val="Prrafodelista"/>
        <w:spacing w:before="24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Devido a</w:t>
      </w:r>
      <w:r w:rsidR="000116D8" w:rsidRPr="003A1174">
        <w:rPr>
          <w:rFonts w:ascii="Garamond" w:hAnsi="Garamond" w:cs="Arial"/>
          <w:color w:val="auto"/>
          <w:sz w:val="24"/>
          <w:szCs w:val="24"/>
          <w:lang w:val="pt-PT"/>
        </w:rPr>
        <w:t xml:space="preserve">os </w:t>
      </w:r>
      <w:r w:rsidRPr="003A1174">
        <w:rPr>
          <w:rFonts w:ascii="Garamond" w:hAnsi="Garamond" w:cs="Arial"/>
          <w:color w:val="auto"/>
          <w:sz w:val="24"/>
          <w:szCs w:val="24"/>
          <w:lang w:val="pt-PT"/>
        </w:rPr>
        <w:t>bons</w:t>
      </w:r>
      <w:r w:rsidR="000116D8" w:rsidRPr="003A1174">
        <w:rPr>
          <w:rFonts w:ascii="Garamond" w:hAnsi="Garamond" w:cs="Arial"/>
          <w:color w:val="auto"/>
          <w:sz w:val="24"/>
          <w:szCs w:val="24"/>
          <w:lang w:val="pt-PT"/>
        </w:rPr>
        <w:t xml:space="preserve"> resultados </w:t>
      </w:r>
      <w:r w:rsidRPr="003A1174">
        <w:rPr>
          <w:rFonts w:ascii="Garamond" w:hAnsi="Garamond" w:cs="Arial"/>
          <w:color w:val="auto"/>
          <w:sz w:val="24"/>
          <w:szCs w:val="24"/>
          <w:lang w:val="pt-PT"/>
        </w:rPr>
        <w:t>obtido</w:t>
      </w:r>
      <w:r w:rsidR="000116D8" w:rsidRPr="003A1174">
        <w:rPr>
          <w:rFonts w:ascii="Garamond" w:hAnsi="Garamond" w:cs="Arial"/>
          <w:color w:val="auto"/>
          <w:sz w:val="24"/>
          <w:szCs w:val="24"/>
          <w:lang w:val="pt-PT"/>
        </w:rPr>
        <w:t>s co</w:t>
      </w:r>
      <w:r w:rsidRPr="003A1174">
        <w:rPr>
          <w:rFonts w:ascii="Garamond" w:hAnsi="Garamond" w:cs="Arial"/>
          <w:color w:val="auto"/>
          <w:sz w:val="24"/>
          <w:szCs w:val="24"/>
          <w:lang w:val="pt-PT"/>
        </w:rPr>
        <w:t>m a</w:t>
      </w:r>
      <w:r w:rsidR="000116D8" w:rsidRPr="003A1174">
        <w:rPr>
          <w:rFonts w:ascii="Garamond" w:hAnsi="Garamond" w:cs="Arial"/>
          <w:color w:val="auto"/>
          <w:sz w:val="24"/>
          <w:szCs w:val="24"/>
          <w:lang w:val="pt-PT"/>
        </w:rPr>
        <w:t xml:space="preserve">s </w:t>
      </w:r>
      <w:r w:rsidR="00C30647" w:rsidRPr="003A1174">
        <w:rPr>
          <w:rFonts w:ascii="Garamond" w:hAnsi="Garamond" w:cs="Arial"/>
          <w:color w:val="auto"/>
          <w:sz w:val="24"/>
          <w:szCs w:val="24"/>
          <w:lang w:val="pt-PT"/>
        </w:rPr>
        <w:t>equipa</w:t>
      </w:r>
      <w:r w:rsidR="000116D8" w:rsidRPr="003A1174">
        <w:rPr>
          <w:rFonts w:ascii="Garamond" w:hAnsi="Garamond" w:cs="Arial"/>
          <w:color w:val="auto"/>
          <w:sz w:val="24"/>
          <w:szCs w:val="24"/>
          <w:lang w:val="pt-PT"/>
        </w:rPr>
        <w:t xml:space="preserve">s </w:t>
      </w:r>
      <w:r w:rsidR="000116D8" w:rsidRPr="003A1174">
        <w:rPr>
          <w:rFonts w:ascii="Garamond" w:hAnsi="Garamond" w:cs="Arial"/>
          <w:i/>
          <w:color w:val="auto"/>
          <w:sz w:val="24"/>
          <w:szCs w:val="24"/>
          <w:lang w:val="pt-PT"/>
        </w:rPr>
        <w:t xml:space="preserve">in situ </w:t>
      </w:r>
      <w:r w:rsidR="00E85E59" w:rsidRPr="003A1174">
        <w:rPr>
          <w:rFonts w:ascii="Garamond" w:hAnsi="Garamond" w:cs="Arial"/>
          <w:color w:val="auto"/>
          <w:sz w:val="24"/>
          <w:szCs w:val="24"/>
          <w:lang w:val="pt-PT"/>
        </w:rPr>
        <w:t>do</w:t>
      </w:r>
      <w:r w:rsidR="000116D8"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Projeto</w:t>
      </w:r>
      <w:r w:rsidRPr="003A1174">
        <w:rPr>
          <w:rFonts w:ascii="Garamond" w:hAnsi="Garamond" w:cs="Arial"/>
          <w:color w:val="auto"/>
          <w:sz w:val="24"/>
          <w:szCs w:val="24"/>
          <w:lang w:val="pt-PT"/>
        </w:rPr>
        <w:t xml:space="preserve"> para </w:t>
      </w:r>
      <w:r w:rsidR="000116D8" w:rsidRPr="003A1174">
        <w:rPr>
          <w:rFonts w:ascii="Garamond" w:hAnsi="Garamond" w:cs="Arial"/>
          <w:color w:val="auto"/>
          <w:sz w:val="24"/>
          <w:szCs w:val="24"/>
          <w:lang w:val="pt-PT"/>
        </w:rPr>
        <w:t xml:space="preserve">a </w:t>
      </w:r>
      <w:r w:rsidR="005213A6">
        <w:rPr>
          <w:rFonts w:ascii="Garamond" w:hAnsi="Garamond" w:cs="Arial"/>
          <w:color w:val="auto"/>
          <w:sz w:val="24"/>
          <w:szCs w:val="24"/>
          <w:lang w:val="pt-PT"/>
        </w:rPr>
        <w:t>«</w:t>
      </w:r>
      <w:r w:rsidR="00606CEE" w:rsidRPr="003A1174">
        <w:rPr>
          <w:rFonts w:ascii="Garamond" w:hAnsi="Garamond" w:cs="Arial"/>
          <w:color w:val="auto"/>
          <w:sz w:val="24"/>
          <w:szCs w:val="24"/>
          <w:lang w:val="pt-PT"/>
        </w:rPr>
        <w:t>Adequação</w:t>
      </w:r>
      <w:r w:rsidR="000116D8" w:rsidRPr="003A1174">
        <w:rPr>
          <w:rFonts w:ascii="Garamond" w:hAnsi="Garamond" w:cs="Arial"/>
          <w:color w:val="auto"/>
          <w:sz w:val="24"/>
          <w:szCs w:val="24"/>
          <w:lang w:val="pt-PT"/>
        </w:rPr>
        <w:t xml:space="preserve"> Institucional </w:t>
      </w:r>
      <w:r w:rsidR="00E85E59" w:rsidRPr="003A1174">
        <w:rPr>
          <w:rFonts w:ascii="Garamond" w:hAnsi="Garamond" w:cs="Arial"/>
          <w:color w:val="auto"/>
          <w:sz w:val="24"/>
          <w:szCs w:val="24"/>
          <w:lang w:val="pt-PT"/>
        </w:rPr>
        <w:t>do</w:t>
      </w:r>
      <w:r w:rsidR="000116D8"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Acesso</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000116D8" w:rsidRPr="003A1174">
        <w:rPr>
          <w:rFonts w:ascii="Garamond" w:hAnsi="Garamond" w:cs="Arial"/>
          <w:color w:val="auto"/>
          <w:sz w:val="24"/>
          <w:szCs w:val="24"/>
          <w:lang w:val="pt-PT"/>
        </w:rPr>
        <w:t xml:space="preserve"> de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0116D8" w:rsidRPr="003A1174">
        <w:rPr>
          <w:rFonts w:ascii="Garamond" w:hAnsi="Garamond" w:cs="Arial"/>
          <w:color w:val="auto"/>
          <w:sz w:val="24"/>
          <w:szCs w:val="24"/>
          <w:lang w:val="pt-PT"/>
        </w:rPr>
        <w:t>s</w:t>
      </w:r>
      <w:r w:rsidR="005213A6">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005213A6">
        <w:rPr>
          <w:rFonts w:ascii="Garamond" w:hAnsi="Garamond" w:cs="Arial"/>
          <w:color w:val="auto"/>
          <w:sz w:val="24"/>
          <w:szCs w:val="24"/>
          <w:lang w:val="pt-PT"/>
        </w:rPr>
        <w:t xml:space="preserve">junto </w:t>
      </w:r>
      <w:r w:rsidR="000116D8" w:rsidRPr="003A1174">
        <w:rPr>
          <w:rFonts w:ascii="Garamond" w:hAnsi="Garamond" w:cs="Arial"/>
          <w:color w:val="auto"/>
          <w:sz w:val="24"/>
          <w:szCs w:val="24"/>
          <w:lang w:val="pt-PT"/>
        </w:rPr>
        <w:t xml:space="preserve">de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0116D8"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4C1496" w:rsidRPr="003A1174">
        <w:rPr>
          <w:rFonts w:ascii="Garamond" w:hAnsi="Garamond" w:cs="Arial"/>
          <w:color w:val="auto"/>
          <w:sz w:val="24"/>
          <w:szCs w:val="24"/>
          <w:lang w:val="pt-PT"/>
        </w:rPr>
        <w:t>Provedor de Justiça</w:t>
      </w:r>
      <w:r w:rsidRPr="003A1174">
        <w:rPr>
          <w:rFonts w:ascii="Garamond" w:hAnsi="Garamond" w:cs="Arial"/>
          <w:color w:val="auto"/>
          <w:sz w:val="24"/>
          <w:szCs w:val="24"/>
          <w:lang w:val="pt-PT"/>
        </w:rPr>
        <w:t xml:space="preserve"> da</w:t>
      </w:r>
      <w:r w:rsidR="000116D8"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Colômbia</w:t>
      </w:r>
      <w:r w:rsidR="000116D8" w:rsidRPr="003A1174">
        <w:rPr>
          <w:rFonts w:ascii="Garamond" w:hAnsi="Garamond" w:cs="Arial"/>
          <w:color w:val="auto"/>
          <w:sz w:val="24"/>
          <w:szCs w:val="24"/>
          <w:lang w:val="pt-PT"/>
        </w:rPr>
        <w:t>, Dr. Jorge Armando Otálora, decidi</w:t>
      </w:r>
      <w:r w:rsidRPr="003A1174">
        <w:rPr>
          <w:rFonts w:ascii="Garamond" w:hAnsi="Garamond" w:cs="Arial"/>
          <w:color w:val="auto"/>
          <w:sz w:val="24"/>
          <w:szCs w:val="24"/>
          <w:lang w:val="pt-PT"/>
        </w:rPr>
        <w:t xml:space="preserve">u </w:t>
      </w:r>
      <w:r w:rsidR="000116D8" w:rsidRPr="003A1174">
        <w:rPr>
          <w:rFonts w:ascii="Garamond" w:hAnsi="Garamond" w:cs="Arial"/>
          <w:color w:val="auto"/>
          <w:sz w:val="24"/>
          <w:szCs w:val="24"/>
          <w:lang w:val="pt-PT"/>
        </w:rPr>
        <w:t xml:space="preserve">vincular </w:t>
      </w:r>
      <w:r w:rsidRPr="003A1174">
        <w:rPr>
          <w:rFonts w:ascii="Garamond" w:hAnsi="Garamond" w:cs="Arial"/>
          <w:color w:val="auto"/>
          <w:sz w:val="24"/>
          <w:szCs w:val="24"/>
          <w:lang w:val="pt-PT"/>
        </w:rPr>
        <w:t xml:space="preserve">as referidas </w:t>
      </w:r>
      <w:r w:rsidR="00C30647" w:rsidRPr="003A1174">
        <w:rPr>
          <w:rFonts w:ascii="Garamond" w:hAnsi="Garamond" w:cs="Arial"/>
          <w:color w:val="auto"/>
          <w:sz w:val="24"/>
          <w:szCs w:val="24"/>
          <w:lang w:val="pt-PT"/>
        </w:rPr>
        <w:t>equipa</w:t>
      </w:r>
      <w:r w:rsidR="000116D8" w:rsidRPr="003A1174">
        <w:rPr>
          <w:rFonts w:ascii="Garamond" w:hAnsi="Garamond" w:cs="Arial"/>
          <w:color w:val="auto"/>
          <w:sz w:val="24"/>
          <w:szCs w:val="24"/>
          <w:lang w:val="pt-PT"/>
        </w:rPr>
        <w:t>s a</w:t>
      </w:r>
      <w:r w:rsidRPr="003A1174">
        <w:rPr>
          <w:rFonts w:ascii="Garamond" w:hAnsi="Garamond" w:cs="Arial"/>
          <w:color w:val="auto"/>
          <w:sz w:val="24"/>
          <w:szCs w:val="24"/>
          <w:lang w:val="pt-PT"/>
        </w:rPr>
        <w:t xml:space="preserve">os quadros da </w:t>
      </w:r>
      <w:r w:rsidR="00C04CA4" w:rsidRPr="003A1174">
        <w:rPr>
          <w:rFonts w:ascii="Garamond" w:hAnsi="Garamond" w:cs="Arial"/>
          <w:color w:val="auto"/>
          <w:sz w:val="24"/>
          <w:szCs w:val="24"/>
          <w:lang w:val="pt-PT"/>
        </w:rPr>
        <w:t>Provedoria de Justiça</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depois de terminado o </w:t>
      </w:r>
      <w:r w:rsidR="000116D8" w:rsidRPr="003A1174">
        <w:rPr>
          <w:rFonts w:ascii="Garamond" w:hAnsi="Garamond" w:cs="Arial"/>
          <w:color w:val="auto"/>
          <w:sz w:val="24"/>
          <w:szCs w:val="24"/>
          <w:lang w:val="pt-PT"/>
        </w:rPr>
        <w:t>contrato co</w:t>
      </w:r>
      <w:r w:rsidRPr="003A1174">
        <w:rPr>
          <w:rFonts w:ascii="Garamond" w:hAnsi="Garamond" w:cs="Arial"/>
          <w:color w:val="auto"/>
          <w:sz w:val="24"/>
          <w:szCs w:val="24"/>
          <w:lang w:val="pt-PT"/>
        </w:rPr>
        <w:t xml:space="preserve">m </w:t>
      </w:r>
      <w:r w:rsidR="001A36C6"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cooperação</w:t>
      </w:r>
      <w:r w:rsidR="000116D8" w:rsidRPr="003A1174">
        <w:rPr>
          <w:rFonts w:ascii="Garamond" w:hAnsi="Garamond" w:cs="Arial"/>
          <w:color w:val="auto"/>
          <w:sz w:val="24"/>
          <w:szCs w:val="24"/>
          <w:lang w:val="pt-PT"/>
        </w:rPr>
        <w:t xml:space="preserve"> internacional. </w:t>
      </w:r>
    </w:p>
    <w:p w:rsidR="008B023E" w:rsidRPr="003A1174" w:rsidRDefault="006466A5" w:rsidP="008719D4">
      <w:pPr>
        <w:pStyle w:val="Ttulo3"/>
        <w:spacing w:line="240" w:lineRule="auto"/>
        <w:rPr>
          <w:rFonts w:ascii="Garamond" w:eastAsia="Calibri" w:hAnsi="Garamond"/>
          <w:sz w:val="24"/>
          <w:szCs w:val="24"/>
        </w:rPr>
      </w:pPr>
      <w:bookmarkStart w:id="46" w:name="_Toc421529734"/>
      <w:r w:rsidRPr="003A1174">
        <w:rPr>
          <w:rFonts w:ascii="Garamond" w:eastAsia="Calibri" w:hAnsi="Garamond"/>
          <w:sz w:val="24"/>
          <w:szCs w:val="24"/>
        </w:rPr>
        <w:lastRenderedPageBreak/>
        <w:t>Costa Rica</w:t>
      </w:r>
      <w:bookmarkEnd w:id="46"/>
      <w:r w:rsidR="000D1A88" w:rsidRPr="003A1174">
        <w:rPr>
          <w:rFonts w:ascii="Garamond" w:eastAsia="Calibri" w:hAnsi="Garamond"/>
          <w:sz w:val="24"/>
          <w:szCs w:val="24"/>
        </w:rPr>
        <w:t xml:space="preserve"> </w:t>
      </w:r>
    </w:p>
    <w:p w:rsidR="008B023E" w:rsidRPr="003A1174" w:rsidRDefault="005213A6" w:rsidP="008719D4">
      <w:pPr>
        <w:spacing w:before="240" w:line="240" w:lineRule="auto"/>
        <w:jc w:val="both"/>
        <w:rPr>
          <w:rFonts w:ascii="Garamond" w:eastAsia="Calibri" w:hAnsi="Garamond" w:cs="Arial"/>
          <w:sz w:val="24"/>
          <w:szCs w:val="24"/>
        </w:rPr>
      </w:pPr>
      <w:r>
        <w:rPr>
          <w:rFonts w:ascii="Garamond" w:eastAsia="Calibri" w:hAnsi="Garamond" w:cs="Arial"/>
          <w:sz w:val="24"/>
          <w:szCs w:val="24"/>
        </w:rPr>
        <w:t>A Costa Rica, n</w:t>
      </w:r>
      <w:r w:rsidR="000D1A88" w:rsidRPr="003A1174">
        <w:rPr>
          <w:rFonts w:ascii="Garamond" w:eastAsia="Calibri" w:hAnsi="Garamond" w:cs="Arial"/>
          <w:sz w:val="24"/>
          <w:szCs w:val="24"/>
        </w:rPr>
        <w:t xml:space="preserve">o </w:t>
      </w:r>
      <w:r w:rsidR="00253B1D" w:rsidRPr="003A1174">
        <w:rPr>
          <w:rFonts w:ascii="Garamond" w:eastAsia="Calibri" w:hAnsi="Garamond" w:cs="Arial"/>
          <w:sz w:val="24"/>
          <w:szCs w:val="24"/>
        </w:rPr>
        <w:t>quadro</w:t>
      </w:r>
      <w:r w:rsidR="008B023E" w:rsidRPr="003A1174">
        <w:rPr>
          <w:rFonts w:ascii="Garamond" w:eastAsia="Calibri" w:hAnsi="Garamond" w:cs="Arial"/>
          <w:sz w:val="24"/>
          <w:szCs w:val="24"/>
        </w:rPr>
        <w:t xml:space="preserve"> da </w:t>
      </w:r>
      <w:r w:rsidR="00C30647" w:rsidRPr="003A1174">
        <w:rPr>
          <w:rFonts w:ascii="Garamond" w:eastAsia="Calibri" w:hAnsi="Garamond" w:cs="Arial"/>
          <w:sz w:val="24"/>
          <w:szCs w:val="24"/>
        </w:rPr>
        <w:t>cooperação</w:t>
      </w:r>
      <w:r w:rsidR="008B023E" w:rsidRPr="003A1174">
        <w:rPr>
          <w:rFonts w:ascii="Garamond" w:eastAsia="Calibri" w:hAnsi="Garamond" w:cs="Arial"/>
          <w:sz w:val="24"/>
          <w:szCs w:val="24"/>
        </w:rPr>
        <w:t xml:space="preserve"> interinstitucional, </w:t>
      </w:r>
      <w:r w:rsidR="009F23D7" w:rsidRPr="003A1174">
        <w:rPr>
          <w:rFonts w:ascii="Garamond" w:eastAsia="Calibri" w:hAnsi="Garamond" w:cs="Arial"/>
          <w:sz w:val="24"/>
          <w:szCs w:val="24"/>
        </w:rPr>
        <w:t xml:space="preserve">subscreveu </w:t>
      </w:r>
      <w:r w:rsidR="008B023E" w:rsidRPr="003A1174">
        <w:rPr>
          <w:rFonts w:ascii="Garamond" w:eastAsia="Calibri" w:hAnsi="Garamond" w:cs="Arial"/>
          <w:sz w:val="24"/>
          <w:szCs w:val="24"/>
        </w:rPr>
        <w:t xml:space="preserve">a Carta de </w:t>
      </w:r>
      <w:r w:rsidR="009F23D7" w:rsidRPr="003A1174">
        <w:rPr>
          <w:rFonts w:ascii="Garamond" w:eastAsia="Calibri" w:hAnsi="Garamond" w:cs="Arial"/>
          <w:sz w:val="24"/>
          <w:szCs w:val="24"/>
        </w:rPr>
        <w:t>Entendimento para a</w:t>
      </w:r>
      <w:r w:rsidR="008B023E" w:rsidRPr="003A1174">
        <w:rPr>
          <w:rFonts w:ascii="Garamond" w:eastAsia="Calibri" w:hAnsi="Garamond" w:cs="Arial"/>
          <w:sz w:val="24"/>
          <w:szCs w:val="24"/>
        </w:rPr>
        <w:t xml:space="preserve"> </w:t>
      </w:r>
      <w:r w:rsidR="006C760C" w:rsidRPr="003A1174">
        <w:rPr>
          <w:rFonts w:ascii="Garamond" w:eastAsia="Calibri" w:hAnsi="Garamond" w:cs="Arial"/>
          <w:sz w:val="24"/>
          <w:szCs w:val="24"/>
        </w:rPr>
        <w:t>implementação</w:t>
      </w:r>
      <w:r w:rsidR="008B023E"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008B023E" w:rsidRPr="003A1174">
        <w:rPr>
          <w:rFonts w:ascii="Garamond" w:eastAsia="Calibri" w:hAnsi="Garamond" w:cs="Arial"/>
          <w:sz w:val="24"/>
          <w:szCs w:val="24"/>
        </w:rPr>
        <w:t xml:space="preserve"> </w:t>
      </w:r>
      <w:r w:rsidR="008B023E" w:rsidRPr="003A1174">
        <w:rPr>
          <w:rFonts w:ascii="Garamond" w:eastAsia="Calibri" w:hAnsi="Garamond" w:cs="Arial"/>
          <w:i/>
          <w:sz w:val="24"/>
          <w:szCs w:val="24"/>
        </w:rPr>
        <w:t xml:space="preserve">Sistema Unificado de </w:t>
      </w:r>
      <w:r w:rsidR="008E259D">
        <w:rPr>
          <w:rFonts w:ascii="Garamond" w:eastAsia="Calibri" w:hAnsi="Garamond" w:cs="Arial"/>
          <w:i/>
          <w:sz w:val="24"/>
          <w:szCs w:val="24"/>
        </w:rPr>
        <w:t xml:space="preserve">Avaliação </w:t>
      </w:r>
      <w:r w:rsidR="00C15C97" w:rsidRPr="003A1174">
        <w:rPr>
          <w:rFonts w:ascii="Garamond" w:eastAsia="Calibri" w:hAnsi="Garamond" w:cs="Arial"/>
          <w:i/>
          <w:sz w:val="24"/>
          <w:szCs w:val="24"/>
        </w:rPr>
        <w:t>Estatística</w:t>
      </w:r>
      <w:r w:rsidR="009F23D7" w:rsidRPr="003A1174">
        <w:rPr>
          <w:rFonts w:ascii="Garamond" w:eastAsia="Calibri" w:hAnsi="Garamond" w:cs="Arial"/>
          <w:i/>
          <w:sz w:val="24"/>
          <w:szCs w:val="24"/>
        </w:rPr>
        <w:t xml:space="preserve"> d</w:t>
      </w:r>
      <w:r w:rsidR="008B023E" w:rsidRPr="003A1174">
        <w:rPr>
          <w:rFonts w:ascii="Garamond" w:eastAsia="Calibri" w:hAnsi="Garamond" w:cs="Arial"/>
          <w:i/>
          <w:sz w:val="24"/>
          <w:szCs w:val="24"/>
        </w:rPr>
        <w:t xml:space="preserve">a </w:t>
      </w:r>
      <w:r w:rsidR="000350B1" w:rsidRPr="003A1174">
        <w:rPr>
          <w:rFonts w:ascii="Garamond" w:eastAsia="Calibri" w:hAnsi="Garamond" w:cs="Arial"/>
          <w:i/>
          <w:sz w:val="24"/>
          <w:szCs w:val="24"/>
        </w:rPr>
        <w:t>Violência</w:t>
      </w:r>
      <w:r w:rsidR="008B023E" w:rsidRPr="003A1174">
        <w:rPr>
          <w:rFonts w:ascii="Garamond" w:eastAsia="Calibri" w:hAnsi="Garamond" w:cs="Arial"/>
          <w:i/>
          <w:sz w:val="24"/>
          <w:szCs w:val="24"/>
        </w:rPr>
        <w:t xml:space="preserve"> de Género </w:t>
      </w:r>
      <w:r w:rsidR="00067AA4" w:rsidRPr="003A1174">
        <w:rPr>
          <w:rFonts w:ascii="Garamond" w:eastAsia="Calibri" w:hAnsi="Garamond" w:cs="Arial"/>
          <w:i/>
          <w:sz w:val="24"/>
          <w:szCs w:val="24"/>
        </w:rPr>
        <w:t>para com a Mulher</w:t>
      </w:r>
      <w:r w:rsidR="008B023E" w:rsidRPr="003A1174">
        <w:rPr>
          <w:rFonts w:ascii="Garamond" w:eastAsia="Calibri" w:hAnsi="Garamond" w:cs="Arial"/>
          <w:sz w:val="24"/>
          <w:szCs w:val="24"/>
        </w:rPr>
        <w:t xml:space="preserve"> (SUMEVIG), de </w:t>
      </w:r>
      <w:r w:rsidR="009F23D7" w:rsidRPr="003A1174">
        <w:rPr>
          <w:rFonts w:ascii="Garamond" w:eastAsia="Calibri" w:hAnsi="Garamond" w:cs="Arial"/>
          <w:sz w:val="24"/>
          <w:szCs w:val="24"/>
        </w:rPr>
        <w:t xml:space="preserve">acordo com </w:t>
      </w:r>
      <w:r w:rsidR="008B023E" w:rsidRPr="003A1174">
        <w:rPr>
          <w:rFonts w:ascii="Garamond" w:eastAsia="Calibri" w:hAnsi="Garamond" w:cs="Arial"/>
          <w:sz w:val="24"/>
          <w:szCs w:val="24"/>
        </w:rPr>
        <w:t xml:space="preserve">as </w:t>
      </w:r>
      <w:r w:rsidR="008E7A2A" w:rsidRPr="003A1174">
        <w:rPr>
          <w:rFonts w:ascii="Garamond" w:eastAsia="Calibri" w:hAnsi="Garamond" w:cs="Arial"/>
          <w:sz w:val="24"/>
          <w:szCs w:val="24"/>
        </w:rPr>
        <w:t>Recomendações</w:t>
      </w:r>
      <w:r w:rsidR="008B023E" w:rsidRPr="003A1174">
        <w:rPr>
          <w:rFonts w:ascii="Garamond" w:eastAsia="Calibri" w:hAnsi="Garamond" w:cs="Arial"/>
          <w:sz w:val="24"/>
          <w:szCs w:val="24"/>
        </w:rPr>
        <w:t xml:space="preserve"> </w:t>
      </w:r>
      <w:r w:rsidR="009E3E55" w:rsidRPr="003A1174">
        <w:rPr>
          <w:rFonts w:ascii="Garamond" w:eastAsia="Calibri" w:hAnsi="Garamond" w:cs="Arial"/>
          <w:sz w:val="24"/>
          <w:szCs w:val="24"/>
        </w:rPr>
        <w:t>Gerais</w:t>
      </w:r>
      <w:r w:rsidR="008B023E" w:rsidRPr="003A1174">
        <w:rPr>
          <w:rFonts w:ascii="Garamond" w:eastAsia="Calibri" w:hAnsi="Garamond" w:cs="Arial"/>
          <w:sz w:val="24"/>
          <w:szCs w:val="24"/>
        </w:rPr>
        <w:t xml:space="preserve"> N</w:t>
      </w:r>
      <w:r>
        <w:rPr>
          <w:rFonts w:ascii="Garamond" w:eastAsia="Calibri" w:hAnsi="Garamond" w:cs="Arial"/>
          <w:sz w:val="24"/>
          <w:szCs w:val="24"/>
        </w:rPr>
        <w:t>.</w:t>
      </w:r>
      <w:r w:rsidR="008B023E" w:rsidRPr="003A1174">
        <w:rPr>
          <w:rFonts w:ascii="Garamond" w:eastAsia="Calibri" w:hAnsi="Garamond" w:cs="Arial"/>
          <w:sz w:val="24"/>
          <w:szCs w:val="24"/>
        </w:rPr>
        <w:t xml:space="preserve">° 12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19 </w:t>
      </w:r>
      <w:r w:rsidR="00E85E59" w:rsidRPr="003A1174">
        <w:rPr>
          <w:rFonts w:ascii="Garamond" w:eastAsia="Calibri" w:hAnsi="Garamond" w:cs="Arial"/>
          <w:sz w:val="24"/>
          <w:szCs w:val="24"/>
        </w:rPr>
        <w:t>do</w:t>
      </w:r>
      <w:r w:rsidR="009F23D7" w:rsidRPr="003A1174">
        <w:rPr>
          <w:rFonts w:ascii="Garamond" w:eastAsia="Calibri" w:hAnsi="Garamond" w:cs="Arial"/>
          <w:sz w:val="24"/>
          <w:szCs w:val="24"/>
        </w:rPr>
        <w:t xml:space="preserve"> Comité d</w:t>
      </w:r>
      <w:r w:rsidR="008B023E" w:rsidRPr="003A1174">
        <w:rPr>
          <w:rFonts w:ascii="Garamond" w:eastAsia="Calibri" w:hAnsi="Garamond" w:cs="Arial"/>
          <w:sz w:val="24"/>
          <w:szCs w:val="24"/>
        </w:rPr>
        <w:t xml:space="preserve">a CEDAW </w:t>
      </w:r>
      <w:r w:rsidR="00497503" w:rsidRPr="003A1174">
        <w:rPr>
          <w:rFonts w:ascii="Garamond" w:eastAsia="Calibri" w:hAnsi="Garamond" w:cs="Arial"/>
          <w:sz w:val="24"/>
          <w:szCs w:val="24"/>
        </w:rPr>
        <w:t>e</w:t>
      </w:r>
      <w:r w:rsidR="009F23D7" w:rsidRPr="003A1174">
        <w:rPr>
          <w:rFonts w:ascii="Garamond" w:eastAsia="Calibri" w:hAnsi="Garamond" w:cs="Arial"/>
          <w:sz w:val="24"/>
          <w:szCs w:val="24"/>
        </w:rPr>
        <w:t xml:space="preserve"> </w:t>
      </w:r>
      <w:r w:rsidR="008B023E" w:rsidRPr="003A1174">
        <w:rPr>
          <w:rFonts w:ascii="Garamond" w:eastAsia="Calibri" w:hAnsi="Garamond" w:cs="Arial"/>
          <w:sz w:val="24"/>
          <w:szCs w:val="24"/>
        </w:rPr>
        <w:t xml:space="preserve">a </w:t>
      </w:r>
      <w:r w:rsidR="00C965B4" w:rsidRPr="003A1174">
        <w:rPr>
          <w:rFonts w:ascii="Garamond" w:eastAsia="Calibri" w:hAnsi="Garamond" w:cs="Arial"/>
          <w:sz w:val="24"/>
          <w:szCs w:val="24"/>
        </w:rPr>
        <w:t>recomendação</w:t>
      </w:r>
      <w:r w:rsidR="00613B2A" w:rsidRPr="003A1174">
        <w:rPr>
          <w:rFonts w:ascii="Garamond" w:eastAsia="Calibri" w:hAnsi="Garamond" w:cs="Arial"/>
          <w:sz w:val="24"/>
          <w:szCs w:val="24"/>
        </w:rPr>
        <w:t>-</w:t>
      </w:r>
      <w:r w:rsidR="008B023E" w:rsidRPr="003A1174">
        <w:rPr>
          <w:rFonts w:ascii="Garamond" w:eastAsia="Calibri" w:hAnsi="Garamond" w:cs="Arial"/>
          <w:sz w:val="24"/>
          <w:szCs w:val="24"/>
        </w:rPr>
        <w:t>país</w:t>
      </w:r>
      <w:r>
        <w:rPr>
          <w:rFonts w:ascii="Garamond" w:eastAsia="Calibri" w:hAnsi="Garamond" w:cs="Arial"/>
          <w:sz w:val="24"/>
          <w:szCs w:val="24"/>
        </w:rPr>
        <w:t>,</w:t>
      </w:r>
      <w:r w:rsidR="008B023E" w:rsidRPr="003A1174">
        <w:rPr>
          <w:rFonts w:ascii="Garamond" w:eastAsia="Calibri" w:hAnsi="Garamond" w:cs="Arial"/>
          <w:sz w:val="24"/>
          <w:szCs w:val="24"/>
        </w:rPr>
        <w:t xml:space="preserve"> </w:t>
      </w:r>
      <w:r w:rsidR="00613B2A" w:rsidRPr="003A1174">
        <w:rPr>
          <w:rFonts w:ascii="Garamond" w:eastAsia="Calibri" w:hAnsi="Garamond" w:cs="Arial"/>
          <w:sz w:val="24"/>
          <w:szCs w:val="24"/>
        </w:rPr>
        <w:t>dirigida</w:t>
      </w:r>
      <w:r w:rsidR="008B023E" w:rsidRPr="003A1174">
        <w:rPr>
          <w:rFonts w:ascii="Garamond" w:eastAsia="Calibri" w:hAnsi="Garamond" w:cs="Arial"/>
          <w:sz w:val="24"/>
          <w:szCs w:val="24"/>
        </w:rPr>
        <w:t xml:space="preserve"> a</w:t>
      </w:r>
      <w:r w:rsidR="009F23D7" w:rsidRPr="003A1174">
        <w:rPr>
          <w:rFonts w:ascii="Garamond" w:eastAsia="Calibri" w:hAnsi="Garamond" w:cs="Arial"/>
          <w:sz w:val="24"/>
          <w:szCs w:val="24"/>
        </w:rPr>
        <w:t>o</w:t>
      </w:r>
      <w:r w:rsidR="008B023E" w:rsidRPr="003A1174">
        <w:rPr>
          <w:rFonts w:ascii="Garamond" w:eastAsia="Calibri" w:hAnsi="Garamond" w:cs="Arial"/>
          <w:sz w:val="24"/>
          <w:szCs w:val="24"/>
        </w:rPr>
        <w:t xml:space="preserve"> Estado </w:t>
      </w:r>
      <w:r w:rsidR="00A862C2" w:rsidRPr="003A1174">
        <w:rPr>
          <w:rFonts w:ascii="Garamond" w:eastAsia="Calibri" w:hAnsi="Garamond" w:cs="Arial"/>
          <w:sz w:val="24"/>
          <w:szCs w:val="24"/>
        </w:rPr>
        <w:t>costa-riquenho</w:t>
      </w:r>
      <w:r w:rsidR="008B023E" w:rsidRPr="003A1174">
        <w:rPr>
          <w:rFonts w:ascii="Garamond" w:eastAsia="Calibri" w:hAnsi="Garamond" w:cs="Arial"/>
          <w:sz w:val="24"/>
          <w:szCs w:val="24"/>
        </w:rPr>
        <w:t>, a fi</w:t>
      </w:r>
      <w:r w:rsidR="009F23D7" w:rsidRPr="003A1174">
        <w:rPr>
          <w:rFonts w:ascii="Garamond" w:eastAsia="Calibri" w:hAnsi="Garamond" w:cs="Arial"/>
          <w:sz w:val="24"/>
          <w:szCs w:val="24"/>
        </w:rPr>
        <w:t>m</w:t>
      </w:r>
      <w:r w:rsidR="008B023E" w:rsidRPr="003A1174">
        <w:rPr>
          <w:rFonts w:ascii="Garamond" w:eastAsia="Calibri" w:hAnsi="Garamond" w:cs="Arial"/>
          <w:sz w:val="24"/>
          <w:szCs w:val="24"/>
        </w:rPr>
        <w:t xml:space="preserve"> de </w:t>
      </w:r>
      <w:r w:rsidR="009F23D7" w:rsidRPr="003A1174">
        <w:rPr>
          <w:rFonts w:ascii="Garamond" w:eastAsia="Calibri" w:hAnsi="Garamond" w:cs="Arial"/>
          <w:sz w:val="24"/>
          <w:szCs w:val="24"/>
        </w:rPr>
        <w:t xml:space="preserve">dispor de um </w:t>
      </w:r>
      <w:r w:rsidR="008B023E" w:rsidRPr="003A1174">
        <w:rPr>
          <w:rFonts w:ascii="Garamond" w:eastAsia="Calibri" w:hAnsi="Garamond" w:cs="Arial"/>
          <w:sz w:val="24"/>
          <w:szCs w:val="24"/>
        </w:rPr>
        <w:t xml:space="preserve">sistema de </w:t>
      </w:r>
      <w:r w:rsidR="00FB7D5B" w:rsidRPr="003A1174">
        <w:rPr>
          <w:rFonts w:ascii="Garamond" w:eastAsia="Calibri" w:hAnsi="Garamond" w:cs="Arial"/>
          <w:sz w:val="24"/>
          <w:szCs w:val="24"/>
        </w:rPr>
        <w:t>colheita</w:t>
      </w:r>
      <w:r w:rsidR="008B023E" w:rsidRPr="003A1174">
        <w:rPr>
          <w:rFonts w:ascii="Garamond" w:eastAsia="Calibri" w:hAnsi="Garamond" w:cs="Arial"/>
          <w:sz w:val="24"/>
          <w:szCs w:val="24"/>
        </w:rPr>
        <w:t xml:space="preserve"> de </w:t>
      </w:r>
      <w:r w:rsidR="00FB7D5B" w:rsidRPr="003A1174">
        <w:rPr>
          <w:rFonts w:ascii="Garamond" w:eastAsia="Calibri" w:hAnsi="Garamond" w:cs="Arial"/>
          <w:sz w:val="24"/>
          <w:szCs w:val="24"/>
        </w:rPr>
        <w:t>dados e estatísticas, separados por sexo, que permitam visualizar a inter</w:t>
      </w:r>
      <w:r>
        <w:rPr>
          <w:rFonts w:ascii="Garamond" w:eastAsia="Calibri" w:hAnsi="Garamond" w:cs="Arial"/>
          <w:sz w:val="24"/>
          <w:szCs w:val="24"/>
        </w:rPr>
        <w:t>-relação</w:t>
      </w:r>
      <w:r w:rsidR="00FB7D5B" w:rsidRPr="003A1174">
        <w:rPr>
          <w:rFonts w:ascii="Garamond" w:eastAsia="Calibri" w:hAnsi="Garamond" w:cs="Arial"/>
          <w:sz w:val="24"/>
          <w:szCs w:val="24"/>
        </w:rPr>
        <w:t xml:space="preserve"> das discriminações e condições que as mulheres vítimas de violência sofrem no país. Através </w:t>
      </w:r>
      <w:r w:rsidR="00352EF1">
        <w:rPr>
          <w:rFonts w:ascii="Garamond" w:eastAsia="Calibri" w:hAnsi="Garamond" w:cs="Arial"/>
          <w:sz w:val="24"/>
          <w:szCs w:val="24"/>
        </w:rPr>
        <w:t>de grupos</w:t>
      </w:r>
      <w:r w:rsidR="008B023E" w:rsidRPr="003A1174">
        <w:rPr>
          <w:rFonts w:ascii="Garamond" w:eastAsia="Calibri" w:hAnsi="Garamond" w:cs="Arial"/>
          <w:sz w:val="24"/>
          <w:szCs w:val="24"/>
        </w:rPr>
        <w:t xml:space="preserve"> de </w:t>
      </w:r>
      <w:r w:rsidR="0017447A" w:rsidRPr="003A1174">
        <w:rPr>
          <w:rFonts w:ascii="Garamond" w:eastAsia="Calibri" w:hAnsi="Garamond" w:cs="Arial"/>
          <w:sz w:val="24"/>
          <w:szCs w:val="24"/>
        </w:rPr>
        <w:t>trabalho</w:t>
      </w:r>
      <w:r w:rsidR="008B023E" w:rsidRPr="003A1174">
        <w:rPr>
          <w:rFonts w:ascii="Garamond" w:eastAsia="Calibri" w:hAnsi="Garamond" w:cs="Arial"/>
          <w:sz w:val="24"/>
          <w:szCs w:val="24"/>
        </w:rPr>
        <w:t xml:space="preserve"> conjunto, </w:t>
      </w:r>
      <w:r w:rsidR="00FB7D5B" w:rsidRPr="003A1174">
        <w:rPr>
          <w:rFonts w:ascii="Garamond" w:eastAsia="Calibri" w:hAnsi="Garamond" w:cs="Arial"/>
          <w:sz w:val="24"/>
          <w:szCs w:val="24"/>
        </w:rPr>
        <w:t>editaram-se dua</w:t>
      </w:r>
      <w:r w:rsidR="008B023E" w:rsidRPr="003A1174">
        <w:rPr>
          <w:rFonts w:ascii="Garamond" w:eastAsia="Calibri" w:hAnsi="Garamond" w:cs="Arial"/>
          <w:sz w:val="24"/>
          <w:szCs w:val="24"/>
        </w:rPr>
        <w:t xml:space="preserve">s </w:t>
      </w:r>
      <w:r w:rsidR="00FB7D5B" w:rsidRPr="003A1174">
        <w:rPr>
          <w:rFonts w:ascii="Garamond" w:eastAsia="Calibri" w:hAnsi="Garamond" w:cs="Arial"/>
          <w:sz w:val="24"/>
          <w:szCs w:val="24"/>
        </w:rPr>
        <w:t>publicações</w:t>
      </w:r>
      <w:r w:rsidR="008B023E" w:rsidRPr="003A1174">
        <w:rPr>
          <w:rFonts w:ascii="Garamond" w:eastAsia="Calibri" w:hAnsi="Garamond" w:cs="Arial"/>
          <w:sz w:val="24"/>
          <w:szCs w:val="24"/>
        </w:rPr>
        <w:t xml:space="preserve"> </w:t>
      </w:r>
      <w:r w:rsidR="00E150E9" w:rsidRPr="003A1174">
        <w:rPr>
          <w:rFonts w:ascii="Garamond" w:eastAsia="Calibri" w:hAnsi="Garamond" w:cs="Arial"/>
          <w:sz w:val="24"/>
          <w:szCs w:val="24"/>
        </w:rPr>
        <w:t>oficiais</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FB7D5B" w:rsidRPr="003A1174">
        <w:rPr>
          <w:rFonts w:ascii="Garamond" w:eastAsia="Calibri" w:hAnsi="Garamond" w:cs="Arial"/>
          <w:sz w:val="24"/>
          <w:szCs w:val="24"/>
        </w:rPr>
        <w:t xml:space="preserve"> </w:t>
      </w:r>
      <w:r w:rsidR="008B023E" w:rsidRPr="003A1174">
        <w:rPr>
          <w:rFonts w:ascii="Garamond" w:eastAsia="Calibri" w:hAnsi="Garamond" w:cs="Arial"/>
          <w:sz w:val="24"/>
          <w:szCs w:val="24"/>
        </w:rPr>
        <w:t>a terce</w:t>
      </w:r>
      <w:r w:rsidR="00FB7D5B" w:rsidRPr="003A1174">
        <w:rPr>
          <w:rFonts w:ascii="Garamond" w:eastAsia="Calibri" w:hAnsi="Garamond" w:cs="Arial"/>
          <w:sz w:val="24"/>
          <w:szCs w:val="24"/>
        </w:rPr>
        <w:t>i</w:t>
      </w:r>
      <w:r w:rsidR="008B023E" w:rsidRPr="003A1174">
        <w:rPr>
          <w:rFonts w:ascii="Garamond" w:eastAsia="Calibri" w:hAnsi="Garamond" w:cs="Arial"/>
          <w:sz w:val="24"/>
          <w:szCs w:val="24"/>
        </w:rPr>
        <w:t xml:space="preserve">ra será </w:t>
      </w:r>
      <w:r w:rsidR="00FB7D5B" w:rsidRPr="003A1174">
        <w:rPr>
          <w:rFonts w:ascii="Garamond" w:eastAsia="Calibri" w:hAnsi="Garamond" w:cs="Arial"/>
          <w:sz w:val="24"/>
          <w:szCs w:val="24"/>
        </w:rPr>
        <w:t>a</w:t>
      </w:r>
      <w:r w:rsidR="008B023E" w:rsidRPr="003A1174">
        <w:rPr>
          <w:rFonts w:ascii="Garamond" w:eastAsia="Calibri" w:hAnsi="Garamond" w:cs="Arial"/>
          <w:sz w:val="24"/>
          <w:szCs w:val="24"/>
        </w:rPr>
        <w:t xml:space="preserve">presentada </w:t>
      </w:r>
      <w:r w:rsidR="00FB7D5B" w:rsidRPr="003A1174">
        <w:rPr>
          <w:rFonts w:ascii="Garamond" w:eastAsia="Calibri" w:hAnsi="Garamond" w:cs="Arial"/>
          <w:sz w:val="24"/>
          <w:szCs w:val="24"/>
        </w:rPr>
        <w:t xml:space="preserve">no </w:t>
      </w:r>
      <w:r w:rsidR="008B023E" w:rsidRPr="003A1174">
        <w:rPr>
          <w:rFonts w:ascii="Garamond" w:eastAsia="Calibri" w:hAnsi="Garamond" w:cs="Arial"/>
          <w:sz w:val="24"/>
          <w:szCs w:val="24"/>
        </w:rPr>
        <w:t xml:space="preserve">próximo </w:t>
      </w:r>
      <w:r w:rsidR="003A391A" w:rsidRPr="003A1174">
        <w:rPr>
          <w:rFonts w:ascii="Garamond" w:eastAsia="Calibri" w:hAnsi="Garamond" w:cs="Arial"/>
          <w:sz w:val="24"/>
          <w:szCs w:val="24"/>
        </w:rPr>
        <w:t>mês</w:t>
      </w:r>
      <w:r w:rsidR="008B023E" w:rsidRPr="003A1174">
        <w:rPr>
          <w:rFonts w:ascii="Garamond" w:eastAsia="Calibri" w:hAnsi="Garamond" w:cs="Arial"/>
          <w:sz w:val="24"/>
          <w:szCs w:val="24"/>
        </w:rPr>
        <w:t xml:space="preserve"> de </w:t>
      </w:r>
      <w:r w:rsidR="0094067E" w:rsidRPr="003A1174">
        <w:rPr>
          <w:rFonts w:ascii="Garamond" w:eastAsia="Calibri" w:hAnsi="Garamond" w:cs="Arial"/>
          <w:sz w:val="24"/>
          <w:szCs w:val="24"/>
        </w:rPr>
        <w:t>dezembro</w:t>
      </w:r>
      <w:r w:rsidR="00087645" w:rsidRPr="003A1174">
        <w:rPr>
          <w:rFonts w:ascii="Garamond" w:eastAsia="Calibri" w:hAnsi="Garamond" w:cs="Arial"/>
          <w:sz w:val="24"/>
          <w:szCs w:val="24"/>
        </w:rPr>
        <w:t xml:space="preserve"> de</w:t>
      </w:r>
      <w:r w:rsidR="00FB7D5B" w:rsidRPr="003A1174">
        <w:rPr>
          <w:rFonts w:ascii="Garamond" w:eastAsia="Calibri" w:hAnsi="Garamond" w:cs="Arial"/>
          <w:sz w:val="24"/>
          <w:szCs w:val="24"/>
        </w:rPr>
        <w:t xml:space="preserve"> </w:t>
      </w:r>
      <w:r w:rsidR="00087645" w:rsidRPr="003A1174">
        <w:rPr>
          <w:rFonts w:ascii="Garamond" w:eastAsia="Calibri" w:hAnsi="Garamond" w:cs="Arial"/>
          <w:sz w:val="24"/>
          <w:szCs w:val="24"/>
        </w:rPr>
        <w:t>2014</w:t>
      </w:r>
      <w:r w:rsidR="008B023E" w:rsidRPr="003A1174">
        <w:rPr>
          <w:rFonts w:ascii="Garamond" w:eastAsia="Calibri" w:hAnsi="Garamond" w:cs="Arial"/>
          <w:sz w:val="24"/>
          <w:szCs w:val="24"/>
        </w:rPr>
        <w:t xml:space="preserve">.    </w:t>
      </w:r>
    </w:p>
    <w:p w:rsidR="008B023E" w:rsidRPr="003A1174" w:rsidRDefault="00FB7D5B"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 xml:space="preserve">No que se refere à </w:t>
      </w:r>
      <w:r w:rsidR="00976FB8" w:rsidRPr="003A1174">
        <w:rPr>
          <w:rFonts w:ascii="Garamond" w:eastAsia="Calibri" w:hAnsi="Garamond" w:cs="Arial"/>
          <w:sz w:val="24"/>
          <w:szCs w:val="24"/>
        </w:rPr>
        <w:t>sensibilização</w:t>
      </w:r>
      <w:r w:rsidRPr="003A1174">
        <w:rPr>
          <w:rFonts w:ascii="Garamond" w:eastAsia="Calibri" w:hAnsi="Garamond" w:cs="Arial"/>
          <w:sz w:val="24"/>
          <w:szCs w:val="24"/>
        </w:rPr>
        <w:t xml:space="preserve"> d</w:t>
      </w:r>
      <w:r w:rsidR="008B023E" w:rsidRPr="003A1174">
        <w:rPr>
          <w:rFonts w:ascii="Garamond" w:eastAsia="Calibri" w:hAnsi="Garamond" w:cs="Arial"/>
          <w:sz w:val="24"/>
          <w:szCs w:val="24"/>
        </w:rPr>
        <w:t xml:space="preserve">a </w:t>
      </w:r>
      <w:r w:rsidR="007A2492" w:rsidRPr="003A1174">
        <w:rPr>
          <w:rFonts w:ascii="Garamond" w:eastAsia="Calibri" w:hAnsi="Garamond" w:cs="Arial"/>
          <w:sz w:val="24"/>
          <w:szCs w:val="24"/>
        </w:rPr>
        <w:t>população</w:t>
      </w:r>
      <w:r w:rsidR="00352EF1">
        <w:rPr>
          <w:rFonts w:ascii="Garamond" w:eastAsia="Calibri" w:hAnsi="Garamond" w:cs="Arial"/>
          <w:sz w:val="24"/>
          <w:szCs w:val="24"/>
        </w:rPr>
        <w:t>,</w:t>
      </w:r>
      <w:r w:rsidR="008B023E" w:rsidRPr="003A1174">
        <w:rPr>
          <w:rFonts w:ascii="Garamond" w:eastAsia="Calibri" w:hAnsi="Garamond" w:cs="Arial"/>
          <w:sz w:val="24"/>
          <w:szCs w:val="24"/>
        </w:rPr>
        <w:t xml:space="preserve"> e</w:t>
      </w:r>
      <w:r w:rsidRPr="003A1174">
        <w:rPr>
          <w:rFonts w:ascii="Garamond" w:eastAsia="Calibri" w:hAnsi="Garamond" w:cs="Arial"/>
          <w:sz w:val="24"/>
          <w:szCs w:val="24"/>
        </w:rPr>
        <w:t xml:space="preserve">m </w:t>
      </w:r>
      <w:r w:rsidR="00077461" w:rsidRPr="003A1174">
        <w:rPr>
          <w:rFonts w:ascii="Garamond" w:eastAsia="Calibri" w:hAnsi="Garamond" w:cs="Arial"/>
          <w:sz w:val="24"/>
          <w:szCs w:val="24"/>
        </w:rPr>
        <w:t>geral</w:t>
      </w:r>
      <w:r w:rsidR="00352EF1">
        <w:rPr>
          <w:rFonts w:ascii="Garamond" w:eastAsia="Calibri" w:hAnsi="Garamond" w:cs="Arial"/>
          <w:sz w:val="24"/>
          <w:szCs w:val="24"/>
        </w:rPr>
        <w:t>,</w:t>
      </w:r>
      <w:r w:rsidR="008B023E"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através dos </w:t>
      </w:r>
      <w:r w:rsidR="00682C71" w:rsidRPr="003A1174">
        <w:rPr>
          <w:rFonts w:ascii="Garamond" w:eastAsia="Calibri" w:hAnsi="Garamond" w:cs="Arial"/>
          <w:sz w:val="24"/>
          <w:szCs w:val="24"/>
        </w:rPr>
        <w:t>meios</w:t>
      </w:r>
      <w:r w:rsidR="008B023E" w:rsidRPr="003A1174">
        <w:rPr>
          <w:rFonts w:ascii="Garamond" w:eastAsia="Calibri" w:hAnsi="Garamond" w:cs="Arial"/>
          <w:sz w:val="24"/>
          <w:szCs w:val="24"/>
        </w:rPr>
        <w:t xml:space="preserve"> de </w:t>
      </w:r>
      <w:r w:rsidR="00C01806" w:rsidRPr="003A1174">
        <w:rPr>
          <w:rFonts w:ascii="Garamond" w:eastAsia="Calibri" w:hAnsi="Garamond" w:cs="Arial"/>
          <w:sz w:val="24"/>
          <w:szCs w:val="24"/>
        </w:rPr>
        <w:t>comunicação</w:t>
      </w:r>
      <w:r w:rsidR="008B023E" w:rsidRPr="003A1174">
        <w:rPr>
          <w:rFonts w:ascii="Garamond" w:eastAsia="Calibri" w:hAnsi="Garamond" w:cs="Arial"/>
          <w:sz w:val="24"/>
          <w:szCs w:val="24"/>
        </w:rPr>
        <w:t xml:space="preserve"> ma</w:t>
      </w:r>
      <w:r w:rsidRPr="003A1174">
        <w:rPr>
          <w:rFonts w:ascii="Garamond" w:eastAsia="Calibri" w:hAnsi="Garamond" w:cs="Arial"/>
          <w:sz w:val="24"/>
          <w:szCs w:val="24"/>
        </w:rPr>
        <w:t>s</w:t>
      </w:r>
      <w:r w:rsidR="008B023E" w:rsidRPr="003A1174">
        <w:rPr>
          <w:rFonts w:ascii="Garamond" w:eastAsia="Calibri" w:hAnsi="Garamond" w:cs="Arial"/>
          <w:sz w:val="24"/>
          <w:szCs w:val="24"/>
        </w:rPr>
        <w:t>siva, e</w:t>
      </w:r>
      <w:r w:rsidRPr="003A1174">
        <w:rPr>
          <w:rFonts w:ascii="Garamond" w:eastAsia="Calibri" w:hAnsi="Garamond" w:cs="Arial"/>
          <w:sz w:val="24"/>
          <w:szCs w:val="24"/>
        </w:rPr>
        <w:t xml:space="preserve">m </w:t>
      </w:r>
      <w:r w:rsidR="008B023E" w:rsidRPr="003A1174">
        <w:rPr>
          <w:rFonts w:ascii="Garamond" w:eastAsia="Calibri" w:hAnsi="Garamond" w:cs="Arial"/>
          <w:sz w:val="24"/>
          <w:szCs w:val="24"/>
        </w:rPr>
        <w:t>conjunto co</w:t>
      </w:r>
      <w:r w:rsidRPr="003A1174">
        <w:rPr>
          <w:rFonts w:ascii="Garamond" w:eastAsia="Calibri" w:hAnsi="Garamond" w:cs="Arial"/>
          <w:sz w:val="24"/>
          <w:szCs w:val="24"/>
        </w:rPr>
        <w:t xml:space="preserve">m o </w:t>
      </w:r>
      <w:r w:rsidR="00D77C19" w:rsidRPr="003A1174">
        <w:rPr>
          <w:rFonts w:ascii="Garamond" w:eastAsia="Calibri" w:hAnsi="Garamond" w:cs="Arial"/>
          <w:sz w:val="24"/>
          <w:szCs w:val="24"/>
        </w:rPr>
        <w:t>Ministério</w:t>
      </w:r>
      <w:r w:rsidR="008B023E" w:rsidRPr="003A1174">
        <w:rPr>
          <w:rFonts w:ascii="Garamond" w:eastAsia="Calibri" w:hAnsi="Garamond" w:cs="Arial"/>
          <w:sz w:val="24"/>
          <w:szCs w:val="24"/>
        </w:rPr>
        <w:t xml:space="preserve"> de </w:t>
      </w:r>
      <w:r w:rsidR="00D15AFF" w:rsidRPr="003A1174">
        <w:rPr>
          <w:rFonts w:ascii="Garamond" w:eastAsia="Calibri" w:hAnsi="Garamond" w:cs="Arial"/>
          <w:sz w:val="24"/>
          <w:szCs w:val="24"/>
        </w:rPr>
        <w:t>Segurança</w:t>
      </w:r>
      <w:r w:rsidR="008B023E" w:rsidRPr="003A1174">
        <w:rPr>
          <w:rFonts w:ascii="Garamond" w:eastAsia="Calibri" w:hAnsi="Garamond" w:cs="Arial"/>
          <w:sz w:val="24"/>
          <w:szCs w:val="24"/>
        </w:rPr>
        <w:t xml:space="preserve"> Pública</w:t>
      </w:r>
      <w:r w:rsidR="00087645"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087645"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 </w:t>
      </w:r>
      <w:r w:rsidR="00800D59" w:rsidRPr="003A1174">
        <w:rPr>
          <w:rFonts w:ascii="Garamond" w:hAnsi="Garamond" w:cs="Arial"/>
          <w:sz w:val="24"/>
          <w:szCs w:val="24"/>
          <w:shd w:val="clear" w:color="auto" w:fill="FFFFFF"/>
        </w:rPr>
        <w:t>Instituição</w:t>
      </w:r>
      <w:r w:rsidR="00087645"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responsável pel</w:t>
      </w:r>
      <w:r w:rsidR="00497503" w:rsidRPr="003A1174">
        <w:rPr>
          <w:rFonts w:ascii="Garamond" w:hAnsi="Garamond" w:cs="Arial"/>
          <w:sz w:val="24"/>
          <w:szCs w:val="24"/>
          <w:shd w:val="clear" w:color="auto" w:fill="FFFFFF"/>
        </w:rPr>
        <w:t>as</w:t>
      </w:r>
      <w:r w:rsidRPr="003A1174">
        <w:rPr>
          <w:rFonts w:ascii="Garamond" w:hAnsi="Garamond" w:cs="Arial"/>
          <w:sz w:val="24"/>
          <w:szCs w:val="24"/>
          <w:shd w:val="clear" w:color="auto" w:fill="FFFFFF"/>
        </w:rPr>
        <w:t xml:space="preserve"> políticas públicas para </w:t>
      </w:r>
      <w:r w:rsidR="00087645" w:rsidRPr="003A1174">
        <w:rPr>
          <w:rFonts w:ascii="Garamond" w:hAnsi="Garamond" w:cs="Arial"/>
          <w:sz w:val="24"/>
          <w:szCs w:val="24"/>
          <w:shd w:val="clear" w:color="auto" w:fill="FFFFFF"/>
        </w:rPr>
        <w:t xml:space="preserve">a </w:t>
      </w:r>
      <w:r w:rsidR="002C7510" w:rsidRPr="003A1174">
        <w:rPr>
          <w:rFonts w:ascii="Garamond" w:hAnsi="Garamond" w:cs="Arial"/>
          <w:sz w:val="24"/>
          <w:szCs w:val="24"/>
          <w:shd w:val="clear" w:color="auto" w:fill="FFFFFF"/>
        </w:rPr>
        <w:t>igualdade</w:t>
      </w:r>
      <w:r w:rsidR="00087645" w:rsidRPr="003A1174">
        <w:rPr>
          <w:rFonts w:ascii="Garamond" w:hAnsi="Garamond" w:cs="Arial"/>
          <w:sz w:val="24"/>
          <w:szCs w:val="24"/>
          <w:shd w:val="clear" w:color="auto" w:fill="FFFFFF"/>
        </w:rPr>
        <w:t xml:space="preserve"> </w:t>
      </w:r>
      <w:r w:rsidR="00497503" w:rsidRPr="003A1174">
        <w:rPr>
          <w:rFonts w:ascii="Garamond" w:hAnsi="Garamond" w:cs="Arial"/>
          <w:sz w:val="24"/>
          <w:szCs w:val="24"/>
          <w:shd w:val="clear" w:color="auto" w:fill="FFFFFF"/>
        </w:rPr>
        <w:t>e</w:t>
      </w:r>
      <w:r w:rsidR="00087645" w:rsidRPr="003A1174">
        <w:rPr>
          <w:rFonts w:ascii="Garamond" w:hAnsi="Garamond" w:cs="Arial"/>
          <w:sz w:val="24"/>
          <w:szCs w:val="24"/>
          <w:shd w:val="clear" w:color="auto" w:fill="FFFFFF"/>
        </w:rPr>
        <w:t xml:space="preserve"> </w:t>
      </w:r>
      <w:r w:rsidR="00C01806" w:rsidRPr="003A1174">
        <w:rPr>
          <w:rFonts w:ascii="Garamond" w:hAnsi="Garamond" w:cs="Arial"/>
          <w:sz w:val="24"/>
          <w:szCs w:val="24"/>
          <w:shd w:val="clear" w:color="auto" w:fill="FFFFFF"/>
        </w:rPr>
        <w:t>equidade</w:t>
      </w:r>
      <w:r w:rsidR="00087645" w:rsidRPr="003A1174">
        <w:rPr>
          <w:rFonts w:ascii="Garamond" w:hAnsi="Garamond" w:cs="Arial"/>
          <w:sz w:val="24"/>
          <w:szCs w:val="24"/>
          <w:shd w:val="clear" w:color="auto" w:fill="FFFFFF"/>
        </w:rPr>
        <w:t xml:space="preserve"> entre </w:t>
      </w:r>
      <w:r w:rsidR="00054EE0" w:rsidRPr="003A1174">
        <w:rPr>
          <w:rFonts w:ascii="Garamond" w:hAnsi="Garamond" w:cs="Arial"/>
          <w:sz w:val="24"/>
          <w:szCs w:val="24"/>
          <w:shd w:val="clear" w:color="auto" w:fill="FFFFFF"/>
        </w:rPr>
        <w:t>mulheres</w:t>
      </w:r>
      <w:r w:rsidR="00087645" w:rsidRPr="003A1174">
        <w:rPr>
          <w:rFonts w:ascii="Garamond" w:hAnsi="Garamond" w:cs="Arial"/>
          <w:sz w:val="24"/>
          <w:szCs w:val="24"/>
          <w:shd w:val="clear" w:color="auto" w:fill="FFFFFF"/>
        </w:rPr>
        <w:t xml:space="preserve"> </w:t>
      </w:r>
      <w:r w:rsidR="00497503" w:rsidRPr="003A1174">
        <w:rPr>
          <w:rFonts w:ascii="Garamond" w:hAnsi="Garamond" w:cs="Arial"/>
          <w:sz w:val="24"/>
          <w:szCs w:val="24"/>
          <w:shd w:val="clear" w:color="auto" w:fill="FFFFFF"/>
        </w:rPr>
        <w:t>e</w:t>
      </w:r>
      <w:r w:rsidR="00087645" w:rsidRPr="003A1174">
        <w:rPr>
          <w:rFonts w:ascii="Garamond" w:hAnsi="Garamond" w:cs="Arial"/>
          <w:sz w:val="24"/>
          <w:szCs w:val="24"/>
          <w:shd w:val="clear" w:color="auto" w:fill="FFFFFF"/>
        </w:rPr>
        <w:t xml:space="preserve"> </w:t>
      </w:r>
      <w:r w:rsidR="00524936" w:rsidRPr="003A1174">
        <w:rPr>
          <w:rFonts w:ascii="Garamond" w:hAnsi="Garamond" w:cs="Arial"/>
          <w:sz w:val="24"/>
          <w:szCs w:val="24"/>
          <w:shd w:val="clear" w:color="auto" w:fill="FFFFFF"/>
        </w:rPr>
        <w:t>homens</w:t>
      </w:r>
      <w:r w:rsidR="00087645" w:rsidRPr="003A1174">
        <w:rPr>
          <w:rFonts w:ascii="Garamond" w:eastAsia="Calibri" w:hAnsi="Garamond" w:cs="Arial"/>
          <w:sz w:val="24"/>
          <w:szCs w:val="24"/>
        </w:rPr>
        <w:t xml:space="preserve"> (</w:t>
      </w:r>
      <w:r w:rsidR="00613B2A" w:rsidRPr="003A1174">
        <w:rPr>
          <w:rFonts w:ascii="Garamond" w:eastAsia="Calibri" w:hAnsi="Garamond" w:cs="Arial"/>
          <w:sz w:val="24"/>
          <w:szCs w:val="24"/>
        </w:rPr>
        <w:t>INAMU</w:t>
      </w:r>
      <w:r w:rsidR="00087645" w:rsidRPr="003A1174">
        <w:rPr>
          <w:rFonts w:ascii="Garamond" w:eastAsia="Calibri" w:hAnsi="Garamond" w:cs="Arial"/>
          <w:sz w:val="24"/>
          <w:szCs w:val="24"/>
        </w:rPr>
        <w:t>)</w:t>
      </w:r>
      <w:r w:rsidR="00352EF1">
        <w:rPr>
          <w:rFonts w:ascii="Garamond" w:eastAsia="Calibri" w:hAnsi="Garamond" w:cs="Arial"/>
          <w:sz w:val="24"/>
          <w:szCs w:val="24"/>
        </w:rPr>
        <w:t>,</w:t>
      </w:r>
      <w:r w:rsidR="00613B2A" w:rsidRPr="003A1174">
        <w:rPr>
          <w:rFonts w:ascii="Garamond" w:eastAsia="Calibri" w:hAnsi="Garamond" w:cs="Arial"/>
          <w:sz w:val="24"/>
          <w:szCs w:val="24"/>
        </w:rPr>
        <w:t xml:space="preserve"> </w:t>
      </w:r>
      <w:r w:rsidR="008B023E" w:rsidRPr="003A1174">
        <w:rPr>
          <w:rFonts w:ascii="Garamond" w:eastAsia="Calibri" w:hAnsi="Garamond" w:cs="Arial"/>
          <w:sz w:val="24"/>
          <w:szCs w:val="24"/>
        </w:rPr>
        <w:t>des</w:t>
      </w:r>
      <w:r w:rsidRPr="003A1174">
        <w:rPr>
          <w:rFonts w:ascii="Garamond" w:eastAsia="Calibri" w:hAnsi="Garamond" w:cs="Arial"/>
          <w:sz w:val="24"/>
          <w:szCs w:val="24"/>
        </w:rPr>
        <w:t>envolveu-se um</w:t>
      </w:r>
      <w:r w:rsidR="008B023E" w:rsidRPr="003A1174">
        <w:rPr>
          <w:rFonts w:ascii="Garamond" w:eastAsia="Calibri" w:hAnsi="Garamond" w:cs="Arial"/>
          <w:sz w:val="24"/>
          <w:szCs w:val="24"/>
        </w:rPr>
        <w:t xml:space="preserve">a </w:t>
      </w:r>
      <w:r w:rsidRPr="003A1174">
        <w:rPr>
          <w:rFonts w:ascii="Garamond" w:eastAsia="Calibri" w:hAnsi="Garamond" w:cs="Arial"/>
          <w:sz w:val="24"/>
          <w:szCs w:val="24"/>
        </w:rPr>
        <w:t>campanha</w:t>
      </w:r>
      <w:r w:rsidR="008B023E" w:rsidRPr="003A1174">
        <w:rPr>
          <w:rFonts w:ascii="Garamond" w:eastAsia="Calibri" w:hAnsi="Garamond" w:cs="Arial"/>
          <w:sz w:val="24"/>
          <w:szCs w:val="24"/>
        </w:rPr>
        <w:t xml:space="preserve"> denominada </w:t>
      </w:r>
      <w:r w:rsidR="008B023E" w:rsidRPr="003A1174">
        <w:rPr>
          <w:rFonts w:ascii="Garamond" w:eastAsia="Calibri" w:hAnsi="Garamond" w:cs="Arial"/>
          <w:i/>
          <w:sz w:val="24"/>
          <w:szCs w:val="24"/>
        </w:rPr>
        <w:t>Tarjeta Roja</w:t>
      </w:r>
      <w:r w:rsidR="008B023E" w:rsidRPr="003A1174">
        <w:rPr>
          <w:rFonts w:ascii="Garamond" w:eastAsia="Calibri" w:hAnsi="Garamond" w:cs="Arial"/>
          <w:sz w:val="24"/>
          <w:szCs w:val="24"/>
        </w:rPr>
        <w:t xml:space="preserve"> </w:t>
      </w:r>
      <w:r w:rsidR="003A62B8" w:rsidRPr="003A1174">
        <w:rPr>
          <w:rFonts w:ascii="Garamond" w:eastAsia="Calibri" w:hAnsi="Garamond" w:cs="Arial"/>
          <w:sz w:val="24"/>
          <w:szCs w:val="24"/>
        </w:rPr>
        <w:t xml:space="preserve">(Cartão Vermelho) contra </w:t>
      </w:r>
      <w:r w:rsidR="00497503" w:rsidRPr="003A1174">
        <w:rPr>
          <w:rFonts w:ascii="Garamond" w:eastAsia="Calibri" w:hAnsi="Garamond" w:cs="Arial"/>
          <w:sz w:val="24"/>
          <w:szCs w:val="24"/>
        </w:rPr>
        <w:t>os</w:t>
      </w:r>
      <w:r w:rsidR="008B023E" w:rsidRPr="003A1174">
        <w:rPr>
          <w:rFonts w:ascii="Garamond" w:eastAsia="Calibri" w:hAnsi="Garamond" w:cs="Arial"/>
          <w:sz w:val="24"/>
          <w:szCs w:val="24"/>
        </w:rPr>
        <w:t xml:space="preserve"> </w:t>
      </w:r>
      <w:r w:rsidR="002D1021" w:rsidRPr="003A1174">
        <w:rPr>
          <w:rFonts w:ascii="Garamond" w:eastAsia="Calibri" w:hAnsi="Garamond" w:cs="Arial"/>
          <w:sz w:val="24"/>
          <w:szCs w:val="24"/>
        </w:rPr>
        <w:t>agressor</w:t>
      </w:r>
      <w:r w:rsidR="008B023E" w:rsidRPr="003A1174">
        <w:rPr>
          <w:rFonts w:ascii="Garamond" w:eastAsia="Calibri" w:hAnsi="Garamond" w:cs="Arial"/>
          <w:sz w:val="24"/>
          <w:szCs w:val="24"/>
        </w:rPr>
        <w:t xml:space="preserve">es domésticos. </w:t>
      </w:r>
      <w:r w:rsidR="003A62B8" w:rsidRPr="003A1174">
        <w:rPr>
          <w:rFonts w:ascii="Garamond" w:eastAsia="Calibri" w:hAnsi="Garamond" w:cs="Arial"/>
          <w:sz w:val="24"/>
          <w:szCs w:val="24"/>
        </w:rPr>
        <w:t>I</w:t>
      </w:r>
      <w:r w:rsidR="00613B2A" w:rsidRPr="003A1174">
        <w:rPr>
          <w:rFonts w:ascii="Garamond" w:eastAsia="Calibri" w:hAnsi="Garamond" w:cs="Arial"/>
          <w:sz w:val="24"/>
          <w:szCs w:val="24"/>
        </w:rPr>
        <w:t xml:space="preserve">sto </w:t>
      </w:r>
      <w:r w:rsidR="00352EF1">
        <w:rPr>
          <w:rFonts w:ascii="Garamond" w:eastAsia="Calibri" w:hAnsi="Garamond" w:cs="Arial"/>
          <w:sz w:val="24"/>
          <w:szCs w:val="24"/>
        </w:rPr>
        <w:t xml:space="preserve">deveu-se </w:t>
      </w:r>
      <w:r w:rsidR="003A62B8" w:rsidRPr="003A1174">
        <w:rPr>
          <w:rFonts w:ascii="Garamond" w:eastAsia="Calibri" w:hAnsi="Garamond" w:cs="Arial"/>
          <w:sz w:val="24"/>
          <w:szCs w:val="24"/>
        </w:rPr>
        <w:t xml:space="preserve">aos </w:t>
      </w:r>
      <w:r w:rsidR="008B023E" w:rsidRPr="003A1174">
        <w:rPr>
          <w:rFonts w:ascii="Garamond" w:eastAsia="Calibri" w:hAnsi="Garamond" w:cs="Arial"/>
          <w:sz w:val="24"/>
          <w:szCs w:val="24"/>
        </w:rPr>
        <w:t xml:space="preserve">altos índices de </w:t>
      </w:r>
      <w:r w:rsidR="000350B1" w:rsidRPr="003A1174">
        <w:rPr>
          <w:rFonts w:ascii="Garamond" w:eastAsia="Calibri" w:hAnsi="Garamond" w:cs="Arial"/>
          <w:sz w:val="24"/>
          <w:szCs w:val="24"/>
        </w:rPr>
        <w:t>violência</w:t>
      </w:r>
      <w:r w:rsidR="008B023E" w:rsidRPr="003A1174">
        <w:rPr>
          <w:rFonts w:ascii="Garamond" w:eastAsia="Calibri" w:hAnsi="Garamond" w:cs="Arial"/>
          <w:sz w:val="24"/>
          <w:szCs w:val="24"/>
        </w:rPr>
        <w:t xml:space="preserve"> que se </w:t>
      </w:r>
      <w:r w:rsidR="003A62B8" w:rsidRPr="003A1174">
        <w:rPr>
          <w:rFonts w:ascii="Garamond" w:eastAsia="Calibri" w:hAnsi="Garamond" w:cs="Arial"/>
          <w:sz w:val="24"/>
          <w:szCs w:val="24"/>
        </w:rPr>
        <w:t xml:space="preserve">registaram depois dos jogos da </w:t>
      </w:r>
      <w:r w:rsidR="008B023E" w:rsidRPr="003A1174">
        <w:rPr>
          <w:rFonts w:ascii="Garamond" w:eastAsia="Calibri" w:hAnsi="Garamond" w:cs="Arial"/>
          <w:sz w:val="24"/>
          <w:szCs w:val="24"/>
        </w:rPr>
        <w:t>sele</w:t>
      </w:r>
      <w:r w:rsidR="003A62B8" w:rsidRPr="003A1174">
        <w:rPr>
          <w:rFonts w:ascii="Garamond" w:eastAsia="Calibri" w:hAnsi="Garamond" w:cs="Arial"/>
          <w:sz w:val="24"/>
          <w:szCs w:val="24"/>
        </w:rPr>
        <w:t xml:space="preserve">ção </w:t>
      </w:r>
      <w:r w:rsidR="008B023E" w:rsidRPr="003A1174">
        <w:rPr>
          <w:rFonts w:ascii="Garamond" w:eastAsia="Calibri" w:hAnsi="Garamond" w:cs="Arial"/>
          <w:sz w:val="24"/>
          <w:szCs w:val="24"/>
        </w:rPr>
        <w:t xml:space="preserve">nacional durante </w:t>
      </w:r>
      <w:r w:rsidR="003A62B8" w:rsidRPr="003A1174">
        <w:rPr>
          <w:rFonts w:ascii="Garamond" w:eastAsia="Calibri" w:hAnsi="Garamond" w:cs="Arial"/>
          <w:sz w:val="24"/>
          <w:szCs w:val="24"/>
        </w:rPr>
        <w:t xml:space="preserve">o </w:t>
      </w:r>
      <w:r w:rsidR="008B023E" w:rsidRPr="003A1174">
        <w:rPr>
          <w:rFonts w:ascii="Garamond" w:eastAsia="Calibri" w:hAnsi="Garamond" w:cs="Arial"/>
          <w:sz w:val="24"/>
          <w:szCs w:val="24"/>
        </w:rPr>
        <w:t>Mundial d</w:t>
      </w:r>
      <w:r w:rsidR="003A62B8" w:rsidRPr="003A1174">
        <w:rPr>
          <w:rFonts w:ascii="Garamond" w:eastAsia="Calibri" w:hAnsi="Garamond" w:cs="Arial"/>
          <w:sz w:val="24"/>
          <w:szCs w:val="24"/>
        </w:rPr>
        <w:t>o</w:t>
      </w:r>
      <w:r w:rsidR="008B023E" w:rsidRPr="003A1174">
        <w:rPr>
          <w:rFonts w:ascii="Garamond" w:eastAsia="Calibri" w:hAnsi="Garamond" w:cs="Arial"/>
          <w:sz w:val="24"/>
          <w:szCs w:val="24"/>
        </w:rPr>
        <w:t xml:space="preserve"> Brasil 2014.  </w:t>
      </w:r>
    </w:p>
    <w:p w:rsidR="008B023E" w:rsidRPr="003A1174" w:rsidRDefault="003A62B8"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C</w:t>
      </w:r>
      <w:r w:rsidR="00E67EF8" w:rsidRPr="003A1174">
        <w:rPr>
          <w:rFonts w:ascii="Garamond" w:eastAsia="Calibri" w:hAnsi="Garamond" w:cs="Arial"/>
          <w:sz w:val="24"/>
          <w:szCs w:val="24"/>
        </w:rPr>
        <w:t>riou</w:t>
      </w:r>
      <w:r w:rsidRPr="003A1174">
        <w:rPr>
          <w:rFonts w:ascii="Garamond" w:eastAsia="Calibri" w:hAnsi="Garamond" w:cs="Arial"/>
          <w:sz w:val="24"/>
          <w:szCs w:val="24"/>
        </w:rPr>
        <w:t>-se também um</w:t>
      </w:r>
      <w:r w:rsidR="00856EEC">
        <w:rPr>
          <w:rFonts w:ascii="Garamond" w:eastAsia="Calibri" w:hAnsi="Garamond" w:cs="Arial"/>
          <w:sz w:val="24"/>
          <w:szCs w:val="24"/>
        </w:rPr>
        <w:t xml:space="preserve"> </w:t>
      </w:r>
      <w:r w:rsidR="00352EF1">
        <w:rPr>
          <w:rFonts w:ascii="Garamond" w:eastAsia="Calibri" w:hAnsi="Garamond" w:cs="Arial"/>
          <w:sz w:val="24"/>
          <w:szCs w:val="24"/>
        </w:rPr>
        <w:t>grupo</w:t>
      </w:r>
      <w:r w:rsidR="008B023E" w:rsidRPr="003A1174">
        <w:rPr>
          <w:rFonts w:ascii="Garamond" w:eastAsia="Calibri" w:hAnsi="Garamond" w:cs="Arial"/>
          <w:sz w:val="24"/>
          <w:szCs w:val="24"/>
        </w:rPr>
        <w:t xml:space="preserve"> de </w:t>
      </w:r>
      <w:r w:rsidR="0017447A" w:rsidRPr="003A1174">
        <w:rPr>
          <w:rFonts w:ascii="Garamond" w:eastAsia="Calibri" w:hAnsi="Garamond" w:cs="Arial"/>
          <w:sz w:val="24"/>
          <w:szCs w:val="24"/>
        </w:rPr>
        <w:t>trabalho</w:t>
      </w:r>
      <w:r w:rsidR="008B023E" w:rsidRPr="003A1174">
        <w:rPr>
          <w:rFonts w:ascii="Garamond" w:eastAsia="Calibri" w:hAnsi="Garamond" w:cs="Arial"/>
          <w:sz w:val="24"/>
          <w:szCs w:val="24"/>
        </w:rPr>
        <w:t xml:space="preserve"> sobre </w:t>
      </w:r>
      <w:r w:rsidR="00054EE0" w:rsidRPr="003A1174">
        <w:rPr>
          <w:rFonts w:ascii="Garamond" w:eastAsia="Calibri" w:hAnsi="Garamond" w:cs="Arial"/>
          <w:sz w:val="24"/>
          <w:szCs w:val="24"/>
        </w:rPr>
        <w:t>mulheres</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w:t>
      </w:r>
      <w:r w:rsidR="007A2492" w:rsidRPr="003A1174">
        <w:rPr>
          <w:rFonts w:ascii="Garamond" w:eastAsia="Calibri" w:hAnsi="Garamond" w:cs="Arial"/>
          <w:sz w:val="24"/>
          <w:szCs w:val="24"/>
        </w:rPr>
        <w:t>incapacidade</w:t>
      </w:r>
      <w:r w:rsidR="00613B2A" w:rsidRPr="003A1174">
        <w:rPr>
          <w:rFonts w:ascii="Garamond" w:eastAsia="Calibri" w:hAnsi="Garamond" w:cs="Arial"/>
          <w:sz w:val="24"/>
          <w:szCs w:val="24"/>
        </w:rPr>
        <w:t>,</w:t>
      </w:r>
      <w:r w:rsidRPr="003A1174">
        <w:rPr>
          <w:rFonts w:ascii="Garamond" w:eastAsia="Calibri" w:hAnsi="Garamond" w:cs="Arial"/>
          <w:sz w:val="24"/>
          <w:szCs w:val="24"/>
        </w:rPr>
        <w:t xml:space="preserve"> </w:t>
      </w:r>
      <w:r w:rsidR="008B023E" w:rsidRPr="003A1174">
        <w:rPr>
          <w:rFonts w:ascii="Garamond" w:eastAsia="Calibri" w:hAnsi="Garamond" w:cs="Arial"/>
          <w:sz w:val="24"/>
          <w:szCs w:val="24"/>
        </w:rPr>
        <w:t>formad</w:t>
      </w:r>
      <w:r w:rsidR="00352EF1">
        <w:rPr>
          <w:rFonts w:ascii="Garamond" w:eastAsia="Calibri" w:hAnsi="Garamond" w:cs="Arial"/>
          <w:sz w:val="24"/>
          <w:szCs w:val="24"/>
        </w:rPr>
        <w:t>o</w:t>
      </w:r>
      <w:r w:rsidR="008B023E" w:rsidRPr="003A1174">
        <w:rPr>
          <w:rFonts w:ascii="Garamond" w:eastAsia="Calibri" w:hAnsi="Garamond" w:cs="Arial"/>
          <w:sz w:val="24"/>
          <w:szCs w:val="24"/>
        </w:rPr>
        <w:t xml:space="preserve"> </w:t>
      </w:r>
      <w:r w:rsidR="00275092" w:rsidRPr="003A1174">
        <w:rPr>
          <w:rFonts w:ascii="Garamond" w:eastAsia="Calibri" w:hAnsi="Garamond" w:cs="Arial"/>
          <w:sz w:val="24"/>
          <w:szCs w:val="24"/>
        </w:rPr>
        <w:t>pela</w:t>
      </w:r>
      <w:r w:rsidR="008B023E" w:rsidRPr="003A1174">
        <w:rPr>
          <w:rFonts w:ascii="Garamond" w:eastAsia="Calibri" w:hAnsi="Garamond" w:cs="Arial"/>
          <w:sz w:val="24"/>
          <w:szCs w:val="24"/>
        </w:rPr>
        <w:t xml:space="preserve"> Vice</w:t>
      </w:r>
      <w:r w:rsidR="00BD05D7">
        <w:rPr>
          <w:rFonts w:ascii="Garamond" w:eastAsia="Calibri" w:hAnsi="Garamond" w:cs="Arial"/>
          <w:sz w:val="24"/>
          <w:szCs w:val="24"/>
        </w:rPr>
        <w:t>-</w:t>
      </w:r>
      <w:r w:rsidR="00352EF1">
        <w:rPr>
          <w:rFonts w:ascii="Garamond" w:eastAsia="Calibri" w:hAnsi="Garamond" w:cs="Arial"/>
          <w:sz w:val="24"/>
          <w:szCs w:val="24"/>
        </w:rPr>
        <w:t xml:space="preserve"> P</w:t>
      </w:r>
      <w:r w:rsidR="002C7510" w:rsidRPr="003A1174">
        <w:rPr>
          <w:rFonts w:ascii="Garamond" w:eastAsia="Calibri" w:hAnsi="Garamond" w:cs="Arial"/>
          <w:sz w:val="24"/>
          <w:szCs w:val="24"/>
        </w:rPr>
        <w:t>residência</w:t>
      </w:r>
      <w:r w:rsidRPr="003A1174">
        <w:rPr>
          <w:rFonts w:ascii="Garamond" w:eastAsia="Calibri" w:hAnsi="Garamond" w:cs="Arial"/>
          <w:sz w:val="24"/>
          <w:szCs w:val="24"/>
        </w:rPr>
        <w:t xml:space="preserve"> da República, </w:t>
      </w:r>
      <w:r w:rsidR="008B023E" w:rsidRPr="003A1174">
        <w:rPr>
          <w:rFonts w:ascii="Garamond" w:eastAsia="Calibri" w:hAnsi="Garamond" w:cs="Arial"/>
          <w:sz w:val="24"/>
          <w:szCs w:val="24"/>
        </w:rPr>
        <w:t xml:space="preserve">a </w:t>
      </w:r>
      <w:r w:rsidR="006C6E85" w:rsidRPr="003A1174">
        <w:rPr>
          <w:rFonts w:ascii="Garamond" w:eastAsia="Calibri" w:hAnsi="Garamond" w:cs="Arial"/>
          <w:sz w:val="24"/>
          <w:szCs w:val="24"/>
        </w:rPr>
        <w:t>Provedoria</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dos</w:t>
      </w:r>
      <w:r w:rsidR="008B023E" w:rsidRPr="003A1174">
        <w:rPr>
          <w:rFonts w:ascii="Garamond" w:eastAsia="Calibri" w:hAnsi="Garamond" w:cs="Arial"/>
          <w:sz w:val="24"/>
          <w:szCs w:val="24"/>
        </w:rPr>
        <w:t xml:space="preserve"> Habitantes, </w:t>
      </w:r>
      <w:r w:rsidRPr="003A1174">
        <w:rPr>
          <w:rFonts w:ascii="Garamond" w:eastAsia="Calibri" w:hAnsi="Garamond" w:cs="Arial"/>
          <w:sz w:val="24"/>
          <w:szCs w:val="24"/>
        </w:rPr>
        <w:t xml:space="preserve">o INAMU, </w:t>
      </w:r>
      <w:r w:rsidR="008B023E" w:rsidRPr="003A1174">
        <w:rPr>
          <w:rFonts w:ascii="Garamond" w:eastAsia="Calibri" w:hAnsi="Garamond" w:cs="Arial"/>
          <w:sz w:val="24"/>
          <w:szCs w:val="24"/>
        </w:rPr>
        <w:t xml:space="preserve">a </w:t>
      </w:r>
      <w:r w:rsidR="00C30647" w:rsidRPr="003A1174">
        <w:rPr>
          <w:rFonts w:ascii="Garamond" w:eastAsia="Calibri" w:hAnsi="Garamond" w:cs="Arial"/>
          <w:sz w:val="24"/>
          <w:szCs w:val="24"/>
        </w:rPr>
        <w:t>Federação</w:t>
      </w:r>
      <w:r w:rsidR="008B023E" w:rsidRPr="003A1174">
        <w:rPr>
          <w:rFonts w:ascii="Garamond" w:eastAsia="Calibri" w:hAnsi="Garamond" w:cs="Arial"/>
          <w:sz w:val="24"/>
          <w:szCs w:val="24"/>
        </w:rPr>
        <w:t xml:space="preserve"> </w:t>
      </w:r>
      <w:r w:rsidR="00A862C2" w:rsidRPr="003A1174">
        <w:rPr>
          <w:rFonts w:ascii="Garamond" w:eastAsia="Calibri" w:hAnsi="Garamond" w:cs="Arial"/>
          <w:sz w:val="24"/>
          <w:szCs w:val="24"/>
        </w:rPr>
        <w:t>Costa-riquenh</w:t>
      </w:r>
      <w:r w:rsidRPr="003A1174">
        <w:rPr>
          <w:rFonts w:ascii="Garamond" w:eastAsia="Calibri" w:hAnsi="Garamond" w:cs="Arial"/>
          <w:sz w:val="24"/>
          <w:szCs w:val="24"/>
        </w:rPr>
        <w:t>a</w:t>
      </w:r>
      <w:r w:rsidR="008B023E" w:rsidRPr="003A1174">
        <w:rPr>
          <w:rFonts w:ascii="Garamond" w:eastAsia="Calibri" w:hAnsi="Garamond" w:cs="Arial"/>
          <w:sz w:val="24"/>
          <w:szCs w:val="24"/>
        </w:rPr>
        <w:t xml:space="preserve"> de </w:t>
      </w:r>
      <w:r w:rsidR="002470B1" w:rsidRPr="003A1174">
        <w:rPr>
          <w:rFonts w:ascii="Garamond" w:eastAsia="Calibri" w:hAnsi="Garamond" w:cs="Arial"/>
          <w:sz w:val="24"/>
          <w:szCs w:val="24"/>
        </w:rPr>
        <w:t>Organizações</w:t>
      </w:r>
      <w:r w:rsidR="008B023E" w:rsidRPr="003A1174">
        <w:rPr>
          <w:rFonts w:ascii="Garamond" w:eastAsia="Calibri" w:hAnsi="Garamond" w:cs="Arial"/>
          <w:sz w:val="24"/>
          <w:szCs w:val="24"/>
        </w:rPr>
        <w:t xml:space="preserve"> de </w:t>
      </w:r>
      <w:r w:rsidR="006C760C" w:rsidRPr="003A1174">
        <w:rPr>
          <w:rFonts w:ascii="Garamond" w:eastAsia="Calibri" w:hAnsi="Garamond" w:cs="Arial"/>
          <w:sz w:val="24"/>
          <w:szCs w:val="24"/>
        </w:rPr>
        <w:t>Pessoas</w:t>
      </w:r>
      <w:r w:rsidR="008B023E" w:rsidRPr="003A1174">
        <w:rPr>
          <w:rFonts w:ascii="Garamond" w:eastAsia="Calibri" w:hAnsi="Garamond" w:cs="Arial"/>
          <w:sz w:val="24"/>
          <w:szCs w:val="24"/>
        </w:rPr>
        <w:t xml:space="preserve"> co</w:t>
      </w:r>
      <w:r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7A2492" w:rsidRPr="003A1174">
        <w:rPr>
          <w:rFonts w:ascii="Garamond" w:eastAsia="Calibri" w:hAnsi="Garamond" w:cs="Arial"/>
          <w:sz w:val="24"/>
          <w:szCs w:val="24"/>
        </w:rPr>
        <w:t>Incapacidade</w:t>
      </w:r>
      <w:r w:rsidR="008B023E" w:rsidRPr="003A1174">
        <w:rPr>
          <w:rFonts w:ascii="Garamond" w:eastAsia="Calibri" w:hAnsi="Garamond" w:cs="Arial"/>
          <w:sz w:val="24"/>
          <w:szCs w:val="24"/>
        </w:rPr>
        <w:t xml:space="preserve"> (FECODIS), </w:t>
      </w:r>
      <w:r w:rsidR="00497503" w:rsidRPr="003A1174">
        <w:rPr>
          <w:rFonts w:ascii="Garamond" w:eastAsia="Calibri" w:hAnsi="Garamond" w:cs="Arial"/>
          <w:sz w:val="24"/>
          <w:szCs w:val="24"/>
        </w:rPr>
        <w:t>e</w:t>
      </w:r>
      <w:r w:rsidRPr="003A1174">
        <w:rPr>
          <w:rFonts w:ascii="Garamond" w:eastAsia="Calibri" w:hAnsi="Garamond" w:cs="Arial"/>
          <w:sz w:val="24"/>
          <w:szCs w:val="24"/>
        </w:rPr>
        <w:t xml:space="preserve"> </w:t>
      </w:r>
      <w:r w:rsidR="008B023E" w:rsidRPr="003A1174">
        <w:rPr>
          <w:rFonts w:ascii="Garamond" w:eastAsia="Calibri" w:hAnsi="Garamond" w:cs="Arial"/>
          <w:sz w:val="24"/>
          <w:szCs w:val="24"/>
        </w:rPr>
        <w:t xml:space="preserve">a </w:t>
      </w:r>
      <w:r w:rsidRPr="003A1174">
        <w:rPr>
          <w:rFonts w:ascii="Garamond" w:eastAsia="Calibri" w:hAnsi="Garamond" w:cs="Arial"/>
          <w:sz w:val="24"/>
          <w:szCs w:val="24"/>
        </w:rPr>
        <w:t>Fundação</w:t>
      </w:r>
      <w:r w:rsidR="008B023E" w:rsidRPr="003A1174">
        <w:rPr>
          <w:rFonts w:ascii="Garamond" w:eastAsia="Calibri" w:hAnsi="Garamond" w:cs="Arial"/>
          <w:sz w:val="24"/>
          <w:szCs w:val="24"/>
        </w:rPr>
        <w:t xml:space="preserve"> Friedrich Ebert</w:t>
      </w:r>
      <w:r w:rsidR="00613B2A" w:rsidRPr="003A1174">
        <w:rPr>
          <w:rFonts w:ascii="Garamond" w:eastAsia="Calibri" w:hAnsi="Garamond" w:cs="Arial"/>
          <w:sz w:val="24"/>
          <w:szCs w:val="24"/>
        </w:rPr>
        <w:t>,</w:t>
      </w:r>
      <w:r w:rsidR="008B023E" w:rsidRPr="003A1174">
        <w:rPr>
          <w:rFonts w:ascii="Garamond" w:eastAsia="Calibri" w:hAnsi="Garamond" w:cs="Arial"/>
          <w:sz w:val="24"/>
          <w:szCs w:val="24"/>
        </w:rPr>
        <w:t xml:space="preserve"> </w:t>
      </w:r>
      <w:r w:rsidRPr="003A1174">
        <w:rPr>
          <w:rFonts w:ascii="Garamond" w:eastAsia="Calibri" w:hAnsi="Garamond" w:cs="Arial"/>
          <w:sz w:val="24"/>
          <w:szCs w:val="24"/>
        </w:rPr>
        <w:t xml:space="preserve">onde, </w:t>
      </w:r>
      <w:r w:rsidR="00FB09CA" w:rsidRPr="003A1174">
        <w:rPr>
          <w:rFonts w:ascii="Garamond" w:eastAsia="Calibri" w:hAnsi="Garamond" w:cs="Arial"/>
          <w:sz w:val="24"/>
          <w:szCs w:val="24"/>
        </w:rPr>
        <w:t>atual</w:t>
      </w:r>
      <w:r w:rsidR="008B023E" w:rsidRPr="003A1174">
        <w:rPr>
          <w:rFonts w:ascii="Garamond" w:eastAsia="Calibri" w:hAnsi="Garamond" w:cs="Arial"/>
          <w:sz w:val="24"/>
          <w:szCs w:val="24"/>
        </w:rPr>
        <w:t>mente</w:t>
      </w:r>
      <w:r w:rsidRPr="003A1174">
        <w:rPr>
          <w:rFonts w:ascii="Garamond" w:eastAsia="Calibri" w:hAnsi="Garamond" w:cs="Arial"/>
          <w:sz w:val="24"/>
          <w:szCs w:val="24"/>
        </w:rPr>
        <w:t xml:space="preserve">, se </w:t>
      </w:r>
      <w:r w:rsidR="00856EEC">
        <w:rPr>
          <w:rFonts w:ascii="Garamond" w:eastAsia="Calibri" w:hAnsi="Garamond" w:cs="Arial"/>
          <w:sz w:val="24"/>
          <w:szCs w:val="24"/>
        </w:rPr>
        <w:t>prepara</w:t>
      </w:r>
      <w:r w:rsidRPr="003A1174">
        <w:rPr>
          <w:rFonts w:ascii="Garamond" w:eastAsia="Calibri" w:hAnsi="Garamond" w:cs="Arial"/>
          <w:sz w:val="24"/>
          <w:szCs w:val="24"/>
        </w:rPr>
        <w:t xml:space="preserve"> um</w:t>
      </w:r>
      <w:r w:rsidR="008B023E" w:rsidRPr="003A1174">
        <w:rPr>
          <w:rFonts w:ascii="Garamond" w:eastAsia="Calibri" w:hAnsi="Garamond" w:cs="Arial"/>
          <w:sz w:val="24"/>
          <w:szCs w:val="24"/>
        </w:rPr>
        <w:t xml:space="preserve">a agenda política que </w:t>
      </w:r>
      <w:r w:rsidRPr="003A1174">
        <w:rPr>
          <w:rFonts w:ascii="Garamond" w:eastAsia="Calibri" w:hAnsi="Garamond" w:cs="Arial"/>
          <w:sz w:val="24"/>
          <w:szCs w:val="24"/>
        </w:rPr>
        <w:t xml:space="preserve">abranja </w:t>
      </w:r>
      <w:r w:rsidR="00856EEC">
        <w:rPr>
          <w:rFonts w:ascii="Garamond" w:eastAsia="Calibri" w:hAnsi="Garamond" w:cs="Arial"/>
          <w:sz w:val="24"/>
          <w:szCs w:val="24"/>
        </w:rPr>
        <w:t>os países ainda não envolvidos nos assuntos relativos</w:t>
      </w:r>
      <w:r w:rsidRPr="003A1174">
        <w:rPr>
          <w:rFonts w:ascii="Garamond" w:eastAsia="Calibri" w:hAnsi="Garamond" w:cs="Arial"/>
          <w:sz w:val="24"/>
          <w:szCs w:val="24"/>
        </w:rPr>
        <w:t xml:space="preserve"> à</w:t>
      </w:r>
      <w:r w:rsidR="008B023E" w:rsidRPr="003A1174">
        <w:rPr>
          <w:rFonts w:ascii="Garamond" w:eastAsia="Calibri" w:hAnsi="Garamond" w:cs="Arial"/>
          <w:sz w:val="24"/>
          <w:szCs w:val="24"/>
        </w:rPr>
        <w:t xml:space="preserve">s </w:t>
      </w:r>
      <w:r w:rsidR="00054EE0" w:rsidRPr="003A1174">
        <w:rPr>
          <w:rFonts w:ascii="Garamond" w:eastAsia="Calibri" w:hAnsi="Garamond" w:cs="Arial"/>
          <w:sz w:val="24"/>
          <w:szCs w:val="24"/>
        </w:rPr>
        <w:t>mulheres</w:t>
      </w:r>
      <w:r w:rsidR="008B023E" w:rsidRPr="003A1174">
        <w:rPr>
          <w:rFonts w:ascii="Garamond" w:eastAsia="Calibri" w:hAnsi="Garamond" w:cs="Arial"/>
          <w:sz w:val="24"/>
          <w:szCs w:val="24"/>
        </w:rPr>
        <w:t xml:space="preserve"> co</w:t>
      </w:r>
      <w:r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7A2492" w:rsidRPr="003A1174">
        <w:rPr>
          <w:rFonts w:ascii="Garamond" w:eastAsia="Calibri" w:hAnsi="Garamond" w:cs="Arial"/>
          <w:sz w:val="24"/>
          <w:szCs w:val="24"/>
        </w:rPr>
        <w:t>incapacidade</w:t>
      </w:r>
      <w:r w:rsidR="008B023E" w:rsidRPr="003A1174">
        <w:rPr>
          <w:rFonts w:ascii="Garamond" w:eastAsia="Calibri" w:hAnsi="Garamond" w:cs="Arial"/>
          <w:sz w:val="24"/>
          <w:szCs w:val="24"/>
        </w:rPr>
        <w:t xml:space="preserve">, </w:t>
      </w:r>
      <w:r w:rsidR="00BA3CCE" w:rsidRPr="003A1174">
        <w:rPr>
          <w:rFonts w:ascii="Garamond" w:eastAsia="Calibri" w:hAnsi="Garamond" w:cs="Arial"/>
          <w:sz w:val="24"/>
          <w:szCs w:val="24"/>
        </w:rPr>
        <w:t>acompanhada</w:t>
      </w:r>
      <w:r w:rsidR="008B023E" w:rsidRPr="003A1174">
        <w:rPr>
          <w:rFonts w:ascii="Garamond" w:eastAsia="Calibri" w:hAnsi="Garamond" w:cs="Arial"/>
          <w:sz w:val="24"/>
          <w:szCs w:val="24"/>
        </w:rPr>
        <w:t xml:space="preserve"> d</w:t>
      </w:r>
      <w:r w:rsidRPr="003A1174">
        <w:rPr>
          <w:rFonts w:ascii="Garamond" w:eastAsia="Calibri" w:hAnsi="Garamond" w:cs="Arial"/>
          <w:sz w:val="24"/>
          <w:szCs w:val="24"/>
        </w:rPr>
        <w:t xml:space="preserve">o seu </w:t>
      </w:r>
      <w:r w:rsidR="003E1D8A" w:rsidRPr="003A1174">
        <w:rPr>
          <w:rFonts w:ascii="Garamond" w:eastAsia="Calibri" w:hAnsi="Garamond" w:cs="Arial"/>
          <w:sz w:val="24"/>
          <w:szCs w:val="24"/>
        </w:rPr>
        <w:t>correspondente</w:t>
      </w:r>
      <w:r w:rsidR="008B023E" w:rsidRPr="003A1174">
        <w:rPr>
          <w:rFonts w:ascii="Garamond" w:eastAsia="Calibri" w:hAnsi="Garamond" w:cs="Arial"/>
          <w:sz w:val="24"/>
          <w:szCs w:val="24"/>
        </w:rPr>
        <w:t xml:space="preserve"> </w:t>
      </w:r>
      <w:r w:rsidR="00462B11" w:rsidRPr="003A1174">
        <w:rPr>
          <w:rFonts w:ascii="Garamond" w:eastAsia="Calibri" w:hAnsi="Garamond" w:cs="Arial"/>
          <w:sz w:val="24"/>
          <w:szCs w:val="24"/>
        </w:rPr>
        <w:t>plano</w:t>
      </w:r>
      <w:r w:rsidR="008B023E" w:rsidRPr="003A1174">
        <w:rPr>
          <w:rFonts w:ascii="Garamond" w:eastAsia="Calibri" w:hAnsi="Garamond" w:cs="Arial"/>
          <w:sz w:val="24"/>
          <w:szCs w:val="24"/>
        </w:rPr>
        <w:t xml:space="preserve"> estratégico. </w:t>
      </w:r>
    </w:p>
    <w:p w:rsidR="008B023E" w:rsidRPr="003A1174" w:rsidRDefault="006466A5" w:rsidP="008719D4">
      <w:pPr>
        <w:pStyle w:val="Ttulo3"/>
        <w:spacing w:line="240" w:lineRule="auto"/>
        <w:rPr>
          <w:rFonts w:ascii="Garamond" w:eastAsia="Calibri" w:hAnsi="Garamond"/>
          <w:sz w:val="24"/>
          <w:szCs w:val="24"/>
        </w:rPr>
      </w:pPr>
      <w:bookmarkStart w:id="47" w:name="_Toc421529735"/>
      <w:r w:rsidRPr="003A1174">
        <w:rPr>
          <w:rFonts w:ascii="Garamond" w:eastAsia="Calibri" w:hAnsi="Garamond"/>
          <w:sz w:val="24"/>
          <w:szCs w:val="24"/>
        </w:rPr>
        <w:t>El Salvador</w:t>
      </w:r>
      <w:bookmarkEnd w:id="47"/>
    </w:p>
    <w:p w:rsidR="008B023E" w:rsidRPr="003A1174" w:rsidRDefault="00203282" w:rsidP="008719D4">
      <w:pPr>
        <w:spacing w:line="240" w:lineRule="auto"/>
        <w:jc w:val="both"/>
        <w:rPr>
          <w:rFonts w:ascii="Garamond" w:eastAsia="Calibri" w:hAnsi="Garamond" w:cs="Arial"/>
          <w:sz w:val="24"/>
          <w:szCs w:val="24"/>
        </w:rPr>
      </w:pPr>
      <w:r>
        <w:rPr>
          <w:rFonts w:ascii="Garamond" w:eastAsia="Calibri" w:hAnsi="Garamond" w:cs="Arial"/>
          <w:sz w:val="24"/>
          <w:szCs w:val="24"/>
        </w:rPr>
        <w:t>Em El Salvador, n</w:t>
      </w:r>
      <w:r w:rsidR="003A62B8" w:rsidRPr="003A1174">
        <w:rPr>
          <w:rFonts w:ascii="Garamond" w:eastAsia="Calibri" w:hAnsi="Garamond" w:cs="Arial"/>
          <w:sz w:val="24"/>
          <w:szCs w:val="24"/>
        </w:rPr>
        <w:t xml:space="preserve">a </w:t>
      </w:r>
      <w:r w:rsidR="00FB09CA" w:rsidRPr="003A1174">
        <w:rPr>
          <w:rFonts w:ascii="Garamond" w:eastAsia="Calibri" w:hAnsi="Garamond" w:cs="Arial"/>
          <w:sz w:val="24"/>
          <w:szCs w:val="24"/>
        </w:rPr>
        <w:t>atual</w:t>
      </w:r>
      <w:r w:rsidR="008B023E" w:rsidRPr="003A1174">
        <w:rPr>
          <w:rFonts w:ascii="Garamond" w:eastAsia="Calibri" w:hAnsi="Garamond" w:cs="Arial"/>
          <w:sz w:val="24"/>
          <w:szCs w:val="24"/>
        </w:rPr>
        <w:t xml:space="preserve"> </w:t>
      </w:r>
      <w:r w:rsidR="00FB09CA" w:rsidRPr="003A1174">
        <w:rPr>
          <w:rFonts w:ascii="Garamond" w:eastAsia="Calibri" w:hAnsi="Garamond" w:cs="Arial"/>
          <w:sz w:val="24"/>
          <w:szCs w:val="24"/>
        </w:rPr>
        <w:t>administração</w:t>
      </w:r>
      <w:r w:rsidR="003A62B8" w:rsidRPr="003A1174">
        <w:rPr>
          <w:rFonts w:ascii="Garamond" w:eastAsia="Calibri" w:hAnsi="Garamond" w:cs="Arial"/>
          <w:sz w:val="24"/>
          <w:szCs w:val="24"/>
        </w:rPr>
        <w:t xml:space="preserve">, </w:t>
      </w:r>
      <w:r w:rsidR="008B023E" w:rsidRPr="003A1174">
        <w:rPr>
          <w:rFonts w:ascii="Garamond" w:eastAsia="Calibri" w:hAnsi="Garamond" w:cs="Arial"/>
          <w:sz w:val="24"/>
          <w:szCs w:val="24"/>
        </w:rPr>
        <w:t xml:space="preserve">a </w:t>
      </w:r>
      <w:r w:rsidR="0096583F" w:rsidRPr="003A1174">
        <w:rPr>
          <w:rFonts w:ascii="Garamond" w:eastAsia="Calibri" w:hAnsi="Garamond" w:cs="Arial"/>
          <w:sz w:val="24"/>
          <w:szCs w:val="24"/>
        </w:rPr>
        <w:t>Procuradoria</w:t>
      </w:r>
      <w:r w:rsidR="003A62B8" w:rsidRPr="003A1174">
        <w:rPr>
          <w:rFonts w:ascii="Garamond" w:eastAsia="Calibri" w:hAnsi="Garamond" w:cs="Arial"/>
          <w:sz w:val="24"/>
          <w:szCs w:val="24"/>
        </w:rPr>
        <w:t xml:space="preserve"> para </w:t>
      </w:r>
      <w:r w:rsidR="008B023E" w:rsidRPr="003A1174">
        <w:rPr>
          <w:rFonts w:ascii="Garamond" w:eastAsia="Calibri" w:hAnsi="Garamond" w:cs="Arial"/>
          <w:sz w:val="24"/>
          <w:szCs w:val="24"/>
        </w:rPr>
        <w:t xml:space="preserve">a </w:t>
      </w:r>
      <w:r w:rsidR="002C7510" w:rsidRPr="003A1174">
        <w:rPr>
          <w:rFonts w:ascii="Garamond" w:eastAsia="Calibri" w:hAnsi="Garamond" w:cs="Arial"/>
          <w:sz w:val="24"/>
          <w:szCs w:val="24"/>
        </w:rPr>
        <w:t>Defesa</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dos</w:t>
      </w:r>
      <w:r w:rsidR="008B023E" w:rsidRPr="003A1174">
        <w:rPr>
          <w:rFonts w:ascii="Garamond" w:eastAsia="Calibri" w:hAnsi="Garamond" w:cs="Arial"/>
          <w:sz w:val="24"/>
          <w:szCs w:val="24"/>
        </w:rPr>
        <w:t xml:space="preserve"> </w:t>
      </w:r>
      <w:r w:rsidR="00886D6A" w:rsidRPr="003A1174">
        <w:rPr>
          <w:rFonts w:ascii="Garamond" w:eastAsia="Calibri" w:hAnsi="Garamond" w:cs="Arial"/>
          <w:sz w:val="24"/>
          <w:szCs w:val="24"/>
        </w:rPr>
        <w:t>Direito</w:t>
      </w:r>
      <w:r w:rsidR="008B023E" w:rsidRPr="003A1174">
        <w:rPr>
          <w:rFonts w:ascii="Garamond" w:eastAsia="Calibri" w:hAnsi="Garamond" w:cs="Arial"/>
          <w:sz w:val="24"/>
          <w:szCs w:val="24"/>
        </w:rPr>
        <w:t xml:space="preserve">s Humanos </w:t>
      </w:r>
      <w:r w:rsidR="00BA3CCE" w:rsidRPr="003A1174">
        <w:rPr>
          <w:rFonts w:ascii="Garamond" w:eastAsia="Calibri" w:hAnsi="Garamond" w:cs="Arial"/>
          <w:sz w:val="24"/>
          <w:szCs w:val="24"/>
        </w:rPr>
        <w:t>constituiu</w:t>
      </w:r>
      <w:r w:rsidR="003A62B8" w:rsidRPr="003A1174">
        <w:rPr>
          <w:rFonts w:ascii="Garamond" w:eastAsia="Calibri" w:hAnsi="Garamond" w:cs="Arial"/>
          <w:sz w:val="24"/>
          <w:szCs w:val="24"/>
        </w:rPr>
        <w:t xml:space="preserve"> </w:t>
      </w:r>
      <w:r w:rsidR="00967370" w:rsidRPr="003A1174">
        <w:rPr>
          <w:rFonts w:ascii="Garamond" w:eastAsia="Calibri" w:hAnsi="Garamond" w:cs="Arial"/>
          <w:sz w:val="24"/>
          <w:szCs w:val="24"/>
        </w:rPr>
        <w:t>aliança</w:t>
      </w:r>
      <w:r w:rsidR="008B023E" w:rsidRPr="003A1174">
        <w:rPr>
          <w:rFonts w:ascii="Garamond" w:eastAsia="Calibri" w:hAnsi="Garamond" w:cs="Arial"/>
          <w:sz w:val="24"/>
          <w:szCs w:val="24"/>
        </w:rPr>
        <w:t>s estratégicas co</w:t>
      </w:r>
      <w:r w:rsidR="003A62B8"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2470B1" w:rsidRPr="003A1174">
        <w:rPr>
          <w:rFonts w:ascii="Garamond" w:eastAsia="Calibri" w:hAnsi="Garamond" w:cs="Arial"/>
          <w:sz w:val="24"/>
          <w:szCs w:val="24"/>
        </w:rPr>
        <w:t>organizações</w:t>
      </w:r>
      <w:r w:rsidR="008B023E" w:rsidRPr="003A1174">
        <w:rPr>
          <w:rFonts w:ascii="Garamond" w:eastAsia="Calibri" w:hAnsi="Garamond" w:cs="Arial"/>
          <w:sz w:val="24"/>
          <w:szCs w:val="24"/>
        </w:rPr>
        <w:t xml:space="preserve"> de </w:t>
      </w:r>
      <w:r w:rsidR="00054EE0" w:rsidRPr="003A1174">
        <w:rPr>
          <w:rFonts w:ascii="Garamond" w:eastAsia="Calibri" w:hAnsi="Garamond" w:cs="Arial"/>
          <w:sz w:val="24"/>
          <w:szCs w:val="24"/>
        </w:rPr>
        <w:t>mulheres</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feministas co</w:t>
      </w:r>
      <w:r w:rsidR="003A62B8"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17447A" w:rsidRPr="003A1174">
        <w:rPr>
          <w:rFonts w:ascii="Garamond" w:eastAsia="Calibri" w:hAnsi="Garamond" w:cs="Arial"/>
          <w:sz w:val="24"/>
          <w:szCs w:val="24"/>
        </w:rPr>
        <w:t>representação</w:t>
      </w:r>
      <w:r w:rsidR="008B023E" w:rsidRPr="003A1174">
        <w:rPr>
          <w:rFonts w:ascii="Garamond" w:eastAsia="Calibri" w:hAnsi="Garamond" w:cs="Arial"/>
          <w:sz w:val="24"/>
          <w:szCs w:val="24"/>
        </w:rPr>
        <w:t xml:space="preserve"> nacional. </w:t>
      </w:r>
      <w:r w:rsidR="003A62B8" w:rsidRPr="003A1174">
        <w:rPr>
          <w:rFonts w:ascii="Garamond" w:eastAsia="Calibri" w:hAnsi="Garamond" w:cs="Arial"/>
          <w:sz w:val="24"/>
          <w:szCs w:val="24"/>
        </w:rPr>
        <w:t xml:space="preserve">Concebeu-se um </w:t>
      </w:r>
      <w:r w:rsidR="00462B11" w:rsidRPr="003A1174">
        <w:rPr>
          <w:rFonts w:ascii="Garamond" w:eastAsia="Calibri" w:hAnsi="Garamond" w:cs="Arial"/>
          <w:sz w:val="24"/>
          <w:szCs w:val="24"/>
        </w:rPr>
        <w:t>plano</w:t>
      </w:r>
      <w:r w:rsidR="008B023E" w:rsidRPr="003A1174">
        <w:rPr>
          <w:rFonts w:ascii="Garamond" w:eastAsia="Calibri" w:hAnsi="Garamond" w:cs="Arial"/>
          <w:sz w:val="24"/>
          <w:szCs w:val="24"/>
        </w:rPr>
        <w:t xml:space="preserve"> de </w:t>
      </w:r>
      <w:r w:rsidR="0017447A" w:rsidRPr="003A1174">
        <w:rPr>
          <w:rFonts w:ascii="Garamond" w:eastAsia="Calibri" w:hAnsi="Garamond" w:cs="Arial"/>
          <w:sz w:val="24"/>
          <w:szCs w:val="24"/>
        </w:rPr>
        <w:t>trabalho</w:t>
      </w:r>
      <w:r w:rsidR="008B023E" w:rsidRPr="003A1174">
        <w:rPr>
          <w:rFonts w:ascii="Garamond" w:eastAsia="Calibri" w:hAnsi="Garamond" w:cs="Arial"/>
          <w:sz w:val="24"/>
          <w:szCs w:val="24"/>
        </w:rPr>
        <w:t xml:space="preserve"> para </w:t>
      </w:r>
      <w:r w:rsidR="003A62B8" w:rsidRPr="003A1174">
        <w:rPr>
          <w:rFonts w:ascii="Garamond" w:eastAsia="Calibri" w:hAnsi="Garamond" w:cs="Arial"/>
          <w:sz w:val="24"/>
          <w:szCs w:val="24"/>
        </w:rPr>
        <w:t xml:space="preserve">o </w:t>
      </w:r>
      <w:r w:rsidR="008B023E" w:rsidRPr="003A1174">
        <w:rPr>
          <w:rFonts w:ascii="Garamond" w:eastAsia="Calibri" w:hAnsi="Garamond" w:cs="Arial"/>
          <w:sz w:val="24"/>
          <w:szCs w:val="24"/>
        </w:rPr>
        <w:t>período</w:t>
      </w:r>
      <w:r w:rsidR="003A62B8" w:rsidRPr="003A1174">
        <w:rPr>
          <w:rFonts w:ascii="Garamond" w:eastAsia="Calibri" w:hAnsi="Garamond" w:cs="Arial"/>
          <w:sz w:val="24"/>
          <w:szCs w:val="24"/>
        </w:rPr>
        <w:t xml:space="preserve"> de</w:t>
      </w:r>
      <w:r w:rsidR="008B023E" w:rsidRPr="003A1174">
        <w:rPr>
          <w:rFonts w:ascii="Garamond" w:eastAsia="Calibri" w:hAnsi="Garamond" w:cs="Arial"/>
          <w:sz w:val="24"/>
          <w:szCs w:val="24"/>
        </w:rPr>
        <w:t xml:space="preserve"> 2014-2016, </w:t>
      </w:r>
      <w:r>
        <w:rPr>
          <w:rFonts w:ascii="Garamond" w:eastAsia="Calibri" w:hAnsi="Garamond" w:cs="Arial"/>
          <w:sz w:val="24"/>
          <w:szCs w:val="24"/>
        </w:rPr>
        <w:t xml:space="preserve">que tem por </w:t>
      </w:r>
      <w:r w:rsidR="008B023E" w:rsidRPr="003A1174">
        <w:rPr>
          <w:rFonts w:ascii="Garamond" w:eastAsia="Calibri" w:hAnsi="Garamond" w:cs="Arial"/>
          <w:sz w:val="24"/>
          <w:szCs w:val="24"/>
        </w:rPr>
        <w:t xml:space="preserve">base </w:t>
      </w:r>
      <w:r>
        <w:rPr>
          <w:rFonts w:ascii="Garamond" w:eastAsia="Calibri" w:hAnsi="Garamond" w:cs="Arial"/>
          <w:sz w:val="24"/>
          <w:szCs w:val="24"/>
        </w:rPr>
        <w:t xml:space="preserve">o </w:t>
      </w:r>
      <w:r w:rsidR="008B023E" w:rsidRPr="003A1174">
        <w:rPr>
          <w:rFonts w:ascii="Garamond" w:eastAsia="Calibri" w:hAnsi="Garamond" w:cs="Arial"/>
          <w:sz w:val="24"/>
          <w:szCs w:val="24"/>
        </w:rPr>
        <w:t xml:space="preserve">enfoque </w:t>
      </w:r>
      <w:r>
        <w:rPr>
          <w:rFonts w:ascii="Garamond" w:eastAsia="Calibri" w:hAnsi="Garamond" w:cs="Arial"/>
          <w:sz w:val="24"/>
          <w:szCs w:val="24"/>
        </w:rPr>
        <w:t xml:space="preserve">nos </w:t>
      </w:r>
      <w:r w:rsidR="00886D6A" w:rsidRPr="003A1174">
        <w:rPr>
          <w:rFonts w:ascii="Garamond" w:eastAsia="Calibri" w:hAnsi="Garamond" w:cs="Arial"/>
          <w:sz w:val="24"/>
          <w:szCs w:val="24"/>
        </w:rPr>
        <w:t>direito</w:t>
      </w:r>
      <w:r w:rsidR="008B023E" w:rsidRPr="003A1174">
        <w:rPr>
          <w:rFonts w:ascii="Garamond" w:eastAsia="Calibri" w:hAnsi="Garamond" w:cs="Arial"/>
          <w:sz w:val="24"/>
          <w:szCs w:val="24"/>
        </w:rPr>
        <w:t xml:space="preserve">s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w:t>
      </w:r>
      <w:r>
        <w:rPr>
          <w:rFonts w:ascii="Garamond" w:eastAsia="Calibri" w:hAnsi="Garamond" w:cs="Arial"/>
          <w:sz w:val="24"/>
          <w:szCs w:val="24"/>
        </w:rPr>
        <w:t xml:space="preserve">no </w:t>
      </w:r>
      <w:r w:rsidR="008B023E" w:rsidRPr="003A1174">
        <w:rPr>
          <w:rFonts w:ascii="Garamond" w:eastAsia="Calibri" w:hAnsi="Garamond" w:cs="Arial"/>
          <w:sz w:val="24"/>
          <w:szCs w:val="24"/>
        </w:rPr>
        <w:t>género. U</w:t>
      </w:r>
      <w:r w:rsidR="003A62B8" w:rsidRPr="003A1174">
        <w:rPr>
          <w:rFonts w:ascii="Garamond" w:eastAsia="Calibri" w:hAnsi="Garamond" w:cs="Arial"/>
          <w:sz w:val="24"/>
          <w:szCs w:val="24"/>
        </w:rPr>
        <w:t>m</w:t>
      </w:r>
      <w:r w:rsidR="008B023E" w:rsidRPr="003A1174">
        <w:rPr>
          <w:rFonts w:ascii="Garamond" w:eastAsia="Calibri" w:hAnsi="Garamond" w:cs="Arial"/>
          <w:sz w:val="24"/>
          <w:szCs w:val="24"/>
        </w:rPr>
        <w:t xml:space="preserve"> resultado concreto </w:t>
      </w:r>
      <w:r w:rsidR="00E85E59" w:rsidRPr="003A1174">
        <w:rPr>
          <w:rFonts w:ascii="Garamond" w:eastAsia="Calibri" w:hAnsi="Garamond" w:cs="Arial"/>
          <w:sz w:val="24"/>
          <w:szCs w:val="24"/>
        </w:rPr>
        <w:t>d</w:t>
      </w:r>
      <w:r>
        <w:rPr>
          <w:rFonts w:ascii="Garamond" w:eastAsia="Calibri" w:hAnsi="Garamond" w:cs="Arial"/>
          <w:sz w:val="24"/>
          <w:szCs w:val="24"/>
        </w:rPr>
        <w:t>este plano</w:t>
      </w:r>
      <w:r w:rsidR="008B023E" w:rsidRPr="003A1174">
        <w:rPr>
          <w:rFonts w:ascii="Garamond" w:eastAsia="Calibri" w:hAnsi="Garamond" w:cs="Arial"/>
          <w:sz w:val="24"/>
          <w:szCs w:val="24"/>
        </w:rPr>
        <w:t xml:space="preserve"> </w:t>
      </w:r>
      <w:r w:rsidR="003A62B8" w:rsidRPr="003A1174">
        <w:rPr>
          <w:rFonts w:ascii="Garamond" w:eastAsia="Calibri" w:hAnsi="Garamond" w:cs="Arial"/>
          <w:sz w:val="24"/>
          <w:szCs w:val="24"/>
        </w:rPr>
        <w:t xml:space="preserve">é </w:t>
      </w:r>
      <w:r w:rsidR="008B023E" w:rsidRPr="003A1174">
        <w:rPr>
          <w:rFonts w:ascii="Garamond" w:eastAsia="Calibri" w:hAnsi="Garamond" w:cs="Arial"/>
          <w:sz w:val="24"/>
          <w:szCs w:val="24"/>
        </w:rPr>
        <w:t xml:space="preserve">a </w:t>
      </w:r>
      <w:r w:rsidR="000464C8" w:rsidRPr="003A1174">
        <w:rPr>
          <w:rFonts w:ascii="Garamond" w:eastAsia="Calibri" w:hAnsi="Garamond" w:cs="Arial"/>
          <w:sz w:val="24"/>
          <w:szCs w:val="24"/>
        </w:rPr>
        <w:t>identificação</w:t>
      </w:r>
      <w:r w:rsidR="003A62B8" w:rsidRPr="003A1174">
        <w:rPr>
          <w:rFonts w:ascii="Garamond" w:eastAsia="Calibri" w:hAnsi="Garamond" w:cs="Arial"/>
          <w:sz w:val="24"/>
          <w:szCs w:val="24"/>
        </w:rPr>
        <w:t xml:space="preserve"> </w:t>
      </w:r>
      <w:r>
        <w:rPr>
          <w:rFonts w:ascii="Garamond" w:eastAsia="Calibri" w:hAnsi="Garamond" w:cs="Arial"/>
          <w:sz w:val="24"/>
          <w:szCs w:val="24"/>
        </w:rPr>
        <w:t xml:space="preserve">dos meios </w:t>
      </w:r>
      <w:r w:rsidR="00596434">
        <w:rPr>
          <w:rFonts w:ascii="Garamond" w:eastAsia="Calibri" w:hAnsi="Garamond" w:cs="Arial"/>
          <w:sz w:val="24"/>
          <w:szCs w:val="24"/>
        </w:rPr>
        <w:t xml:space="preserve">de </w:t>
      </w:r>
      <w:r>
        <w:rPr>
          <w:rFonts w:ascii="Garamond" w:eastAsia="Calibri" w:hAnsi="Garamond" w:cs="Arial"/>
          <w:sz w:val="24"/>
          <w:szCs w:val="24"/>
        </w:rPr>
        <w:t>ace</w:t>
      </w:r>
      <w:r w:rsidR="00596434">
        <w:rPr>
          <w:rFonts w:ascii="Garamond" w:eastAsia="Calibri" w:hAnsi="Garamond" w:cs="Arial"/>
          <w:sz w:val="24"/>
          <w:szCs w:val="24"/>
        </w:rPr>
        <w:t>sso</w:t>
      </w:r>
      <w:r w:rsidR="008B023E" w:rsidRPr="003A1174">
        <w:rPr>
          <w:rFonts w:ascii="Garamond" w:eastAsia="Calibri" w:hAnsi="Garamond" w:cs="Arial"/>
          <w:sz w:val="24"/>
          <w:szCs w:val="24"/>
        </w:rPr>
        <w:t xml:space="preserve"> </w:t>
      </w:r>
      <w:r w:rsidR="003A62B8" w:rsidRPr="003A1174">
        <w:rPr>
          <w:rFonts w:ascii="Garamond" w:eastAsia="Calibri" w:hAnsi="Garamond" w:cs="Arial"/>
          <w:sz w:val="24"/>
          <w:szCs w:val="24"/>
        </w:rPr>
        <w:t xml:space="preserve">à </w:t>
      </w:r>
      <w:r w:rsidR="00FC1F7F" w:rsidRPr="003A1174">
        <w:rPr>
          <w:rFonts w:ascii="Garamond" w:eastAsia="Calibri" w:hAnsi="Garamond" w:cs="Arial"/>
          <w:sz w:val="24"/>
          <w:szCs w:val="24"/>
        </w:rPr>
        <w:t>justiça</w:t>
      </w:r>
      <w:r w:rsidR="008B023E" w:rsidRPr="003A1174">
        <w:rPr>
          <w:rFonts w:ascii="Garamond" w:eastAsia="Calibri" w:hAnsi="Garamond" w:cs="Arial"/>
          <w:sz w:val="24"/>
          <w:szCs w:val="24"/>
        </w:rPr>
        <w:t xml:space="preserve"> p</w:t>
      </w:r>
      <w:r>
        <w:rPr>
          <w:rFonts w:ascii="Garamond" w:eastAsia="Calibri" w:hAnsi="Garamond" w:cs="Arial"/>
          <w:sz w:val="24"/>
          <w:szCs w:val="24"/>
        </w:rPr>
        <w:t xml:space="preserve">or parte das </w:t>
      </w:r>
      <w:r w:rsidR="00054EE0" w:rsidRPr="003A1174">
        <w:rPr>
          <w:rFonts w:ascii="Garamond" w:eastAsia="Calibri" w:hAnsi="Garamond" w:cs="Arial"/>
          <w:sz w:val="24"/>
          <w:szCs w:val="24"/>
        </w:rPr>
        <w:t>mulheres</w:t>
      </w:r>
      <w:r w:rsidR="008B023E" w:rsidRPr="003A1174">
        <w:rPr>
          <w:rFonts w:ascii="Garamond" w:eastAsia="Calibri" w:hAnsi="Garamond" w:cs="Arial"/>
          <w:sz w:val="24"/>
          <w:szCs w:val="24"/>
        </w:rPr>
        <w:t xml:space="preserve"> que </w:t>
      </w:r>
      <w:r w:rsidR="003A62B8" w:rsidRPr="003A1174">
        <w:rPr>
          <w:rFonts w:ascii="Garamond" w:eastAsia="Calibri" w:hAnsi="Garamond" w:cs="Arial"/>
          <w:sz w:val="24"/>
          <w:szCs w:val="24"/>
        </w:rPr>
        <w:t xml:space="preserve">tenham </w:t>
      </w:r>
      <w:r w:rsidR="008B023E" w:rsidRPr="003A1174">
        <w:rPr>
          <w:rFonts w:ascii="Garamond" w:eastAsia="Calibri" w:hAnsi="Garamond" w:cs="Arial"/>
          <w:sz w:val="24"/>
          <w:szCs w:val="24"/>
        </w:rPr>
        <w:t xml:space="preserve">enfrentado </w:t>
      </w:r>
      <w:r w:rsidR="000350B1" w:rsidRPr="003A1174">
        <w:rPr>
          <w:rFonts w:ascii="Garamond" w:eastAsia="Calibri" w:hAnsi="Garamond" w:cs="Arial"/>
          <w:sz w:val="24"/>
          <w:szCs w:val="24"/>
        </w:rPr>
        <w:t>violência</w:t>
      </w:r>
      <w:r w:rsidR="008B023E" w:rsidRPr="003A1174">
        <w:rPr>
          <w:rFonts w:ascii="Garamond" w:eastAsia="Calibri" w:hAnsi="Garamond" w:cs="Arial"/>
          <w:sz w:val="24"/>
          <w:szCs w:val="24"/>
        </w:rPr>
        <w:t xml:space="preserve"> sexual, simbólica, física, psicológica, entre </w:t>
      </w:r>
      <w:r w:rsidR="0017447A" w:rsidRPr="003A1174">
        <w:rPr>
          <w:rFonts w:ascii="Garamond" w:eastAsia="Calibri" w:hAnsi="Garamond" w:cs="Arial"/>
          <w:sz w:val="24"/>
          <w:szCs w:val="24"/>
        </w:rPr>
        <w:t>outras</w:t>
      </w:r>
      <w:r w:rsidR="008B023E" w:rsidRPr="003A1174">
        <w:rPr>
          <w:rFonts w:ascii="Garamond" w:eastAsia="Calibri" w:hAnsi="Garamond" w:cs="Arial"/>
          <w:sz w:val="24"/>
          <w:szCs w:val="24"/>
        </w:rPr>
        <w:t xml:space="preserve"> modalidades de </w:t>
      </w:r>
      <w:r w:rsidR="000350B1" w:rsidRPr="003A1174">
        <w:rPr>
          <w:rFonts w:ascii="Garamond" w:eastAsia="Calibri" w:hAnsi="Garamond" w:cs="Arial"/>
          <w:sz w:val="24"/>
          <w:szCs w:val="24"/>
        </w:rPr>
        <w:t>violência</w:t>
      </w:r>
      <w:r w:rsidR="008B023E" w:rsidRPr="003A1174">
        <w:rPr>
          <w:rFonts w:ascii="Garamond" w:eastAsia="Calibri" w:hAnsi="Garamond" w:cs="Arial"/>
          <w:sz w:val="24"/>
          <w:szCs w:val="24"/>
        </w:rPr>
        <w:t>.</w:t>
      </w:r>
    </w:p>
    <w:p w:rsidR="008B023E" w:rsidRPr="003A1174" w:rsidRDefault="008B023E" w:rsidP="008719D4">
      <w:pPr>
        <w:spacing w:line="240" w:lineRule="auto"/>
        <w:jc w:val="both"/>
        <w:rPr>
          <w:rFonts w:ascii="Garamond" w:eastAsia="Calibri" w:hAnsi="Garamond" w:cs="Arial"/>
          <w:sz w:val="24"/>
          <w:szCs w:val="24"/>
        </w:rPr>
      </w:pPr>
      <w:r w:rsidRPr="003A1174">
        <w:rPr>
          <w:rFonts w:ascii="Garamond" w:eastAsia="Calibri" w:hAnsi="Garamond" w:cs="Arial"/>
          <w:sz w:val="24"/>
          <w:szCs w:val="24"/>
        </w:rPr>
        <w:t>Co</w:t>
      </w:r>
      <w:r w:rsidR="003A62B8" w:rsidRPr="003A1174">
        <w:rPr>
          <w:rFonts w:ascii="Garamond" w:eastAsia="Calibri" w:hAnsi="Garamond" w:cs="Arial"/>
          <w:sz w:val="24"/>
          <w:szCs w:val="24"/>
        </w:rPr>
        <w:t xml:space="preserve">m </w:t>
      </w:r>
      <w:r w:rsidRPr="003A1174">
        <w:rPr>
          <w:rFonts w:ascii="Garamond" w:eastAsia="Calibri" w:hAnsi="Garamond" w:cs="Arial"/>
          <w:sz w:val="24"/>
          <w:szCs w:val="24"/>
        </w:rPr>
        <w:t>as autoridades instal</w:t>
      </w:r>
      <w:r w:rsidR="003A62B8" w:rsidRPr="003A1174">
        <w:rPr>
          <w:rFonts w:ascii="Garamond" w:eastAsia="Calibri" w:hAnsi="Garamond" w:cs="Arial"/>
          <w:sz w:val="24"/>
          <w:szCs w:val="24"/>
        </w:rPr>
        <w:t xml:space="preserve">ou-se um </w:t>
      </w:r>
      <w:r w:rsidR="006F7276" w:rsidRPr="003A1174">
        <w:rPr>
          <w:rFonts w:ascii="Garamond" w:eastAsia="Calibri" w:hAnsi="Garamond" w:cs="Arial"/>
          <w:sz w:val="24"/>
          <w:szCs w:val="24"/>
        </w:rPr>
        <w:t>espaço</w:t>
      </w:r>
      <w:r w:rsidRPr="003A1174">
        <w:rPr>
          <w:rFonts w:ascii="Garamond" w:eastAsia="Calibri" w:hAnsi="Garamond" w:cs="Arial"/>
          <w:sz w:val="24"/>
          <w:szCs w:val="24"/>
        </w:rPr>
        <w:t xml:space="preserve"> de diálogo, </w:t>
      </w:r>
      <w:r w:rsidR="00D75A07" w:rsidRPr="003A1174">
        <w:rPr>
          <w:rFonts w:ascii="Garamond" w:eastAsia="Calibri" w:hAnsi="Garamond" w:cs="Arial"/>
          <w:sz w:val="24"/>
          <w:szCs w:val="24"/>
        </w:rPr>
        <w:t>coordenado</w:t>
      </w:r>
      <w:r w:rsidRPr="003A1174">
        <w:rPr>
          <w:rFonts w:ascii="Garamond" w:eastAsia="Calibri" w:hAnsi="Garamond" w:cs="Arial"/>
          <w:sz w:val="24"/>
          <w:szCs w:val="24"/>
        </w:rPr>
        <w:t xml:space="preserve"> por esta </w:t>
      </w:r>
      <w:r w:rsidR="0096583F" w:rsidRPr="003A1174">
        <w:rPr>
          <w:rFonts w:ascii="Garamond" w:eastAsia="Calibri" w:hAnsi="Garamond" w:cs="Arial"/>
          <w:sz w:val="24"/>
          <w:szCs w:val="24"/>
        </w:rPr>
        <w:t>Procuradoria</w:t>
      </w:r>
      <w:r w:rsidR="0034283E" w:rsidRPr="003A1174">
        <w:rPr>
          <w:rFonts w:ascii="Garamond" w:eastAsia="Calibri" w:hAnsi="Garamond" w:cs="Arial"/>
          <w:sz w:val="24"/>
          <w:szCs w:val="24"/>
        </w:rPr>
        <w:t xml:space="preserve">, </w:t>
      </w:r>
      <w:r w:rsidRPr="003A1174">
        <w:rPr>
          <w:rFonts w:ascii="Garamond" w:eastAsia="Calibri" w:hAnsi="Garamond" w:cs="Arial"/>
          <w:sz w:val="24"/>
          <w:szCs w:val="24"/>
        </w:rPr>
        <w:t xml:space="preserve">onde se </w:t>
      </w:r>
      <w:r w:rsidR="00F520D6" w:rsidRPr="003A1174">
        <w:rPr>
          <w:rFonts w:ascii="Garamond" w:eastAsia="Calibri" w:hAnsi="Garamond" w:cs="Arial"/>
          <w:sz w:val="24"/>
          <w:szCs w:val="24"/>
        </w:rPr>
        <w:t>encontram</w:t>
      </w:r>
      <w:r w:rsidR="0034283E" w:rsidRPr="003A1174">
        <w:rPr>
          <w:rFonts w:ascii="Garamond" w:eastAsia="Calibri" w:hAnsi="Garamond" w:cs="Arial"/>
          <w:sz w:val="24"/>
          <w:szCs w:val="24"/>
        </w:rPr>
        <w:t xml:space="preserve"> representadas </w:t>
      </w:r>
      <w:r w:rsidRPr="003A1174">
        <w:rPr>
          <w:rFonts w:ascii="Garamond" w:eastAsia="Calibri" w:hAnsi="Garamond" w:cs="Arial"/>
          <w:sz w:val="24"/>
          <w:szCs w:val="24"/>
        </w:rPr>
        <w:t xml:space="preserve">as diferentes Unidades de Género </w:t>
      </w:r>
      <w:r w:rsidR="00497503" w:rsidRPr="003A1174">
        <w:rPr>
          <w:rFonts w:ascii="Garamond" w:eastAsia="Calibri" w:hAnsi="Garamond" w:cs="Arial"/>
          <w:sz w:val="24"/>
          <w:szCs w:val="24"/>
        </w:rPr>
        <w:t>e</w:t>
      </w:r>
      <w:r w:rsidRPr="003A1174">
        <w:rPr>
          <w:rFonts w:ascii="Garamond" w:eastAsia="Calibri" w:hAnsi="Garamond" w:cs="Arial"/>
          <w:sz w:val="24"/>
          <w:szCs w:val="24"/>
        </w:rPr>
        <w:t xml:space="preserve"> Unidades de </w:t>
      </w:r>
      <w:r w:rsidR="008278C4" w:rsidRPr="003A1174">
        <w:rPr>
          <w:rFonts w:ascii="Garamond" w:eastAsia="Calibri" w:hAnsi="Garamond" w:cs="Arial"/>
          <w:sz w:val="24"/>
          <w:szCs w:val="24"/>
        </w:rPr>
        <w:t>Atenção</w:t>
      </w:r>
      <w:r w:rsidRPr="003A1174">
        <w:rPr>
          <w:rFonts w:ascii="Garamond" w:eastAsia="Calibri" w:hAnsi="Garamond" w:cs="Arial"/>
          <w:sz w:val="24"/>
          <w:szCs w:val="24"/>
        </w:rPr>
        <w:t xml:space="preserve"> Especializada </w:t>
      </w:r>
      <w:r w:rsidR="0034283E" w:rsidRPr="003A1174">
        <w:rPr>
          <w:rFonts w:ascii="Garamond" w:eastAsia="Calibri" w:hAnsi="Garamond" w:cs="Arial"/>
          <w:sz w:val="24"/>
          <w:szCs w:val="24"/>
        </w:rPr>
        <w:t>à</w:t>
      </w:r>
      <w:r w:rsidRPr="003A1174">
        <w:rPr>
          <w:rFonts w:ascii="Garamond" w:eastAsia="Calibri" w:hAnsi="Garamond" w:cs="Arial"/>
          <w:sz w:val="24"/>
          <w:szCs w:val="24"/>
        </w:rPr>
        <w:t xml:space="preserve">s </w:t>
      </w:r>
      <w:r w:rsidR="00054EE0" w:rsidRPr="003A1174">
        <w:rPr>
          <w:rFonts w:ascii="Garamond" w:eastAsia="Calibri" w:hAnsi="Garamond" w:cs="Arial"/>
          <w:sz w:val="24"/>
          <w:szCs w:val="24"/>
        </w:rPr>
        <w:t>Mulheres</w:t>
      </w:r>
      <w:r w:rsidRPr="003A1174">
        <w:rPr>
          <w:rFonts w:ascii="Garamond" w:eastAsia="Calibri" w:hAnsi="Garamond" w:cs="Arial"/>
          <w:sz w:val="24"/>
          <w:szCs w:val="24"/>
        </w:rPr>
        <w:t xml:space="preserve"> </w:t>
      </w:r>
      <w:r w:rsidR="003F012B" w:rsidRPr="003A1174">
        <w:rPr>
          <w:rFonts w:ascii="Garamond" w:eastAsia="Calibri" w:hAnsi="Garamond" w:cs="Arial"/>
          <w:sz w:val="24"/>
          <w:szCs w:val="24"/>
        </w:rPr>
        <w:t>Vítima</w:t>
      </w:r>
      <w:r w:rsidRPr="003A1174">
        <w:rPr>
          <w:rFonts w:ascii="Garamond" w:eastAsia="Calibri" w:hAnsi="Garamond" w:cs="Arial"/>
          <w:sz w:val="24"/>
          <w:szCs w:val="24"/>
        </w:rPr>
        <w:t xml:space="preserve">s de </w:t>
      </w:r>
      <w:r w:rsidR="000350B1" w:rsidRPr="003A1174">
        <w:rPr>
          <w:rFonts w:ascii="Garamond" w:eastAsia="Calibri" w:hAnsi="Garamond" w:cs="Arial"/>
          <w:sz w:val="24"/>
          <w:szCs w:val="24"/>
        </w:rPr>
        <w:t>Violência</w:t>
      </w:r>
      <w:r w:rsidR="00203A8A" w:rsidRPr="003A1174">
        <w:rPr>
          <w:rFonts w:ascii="Garamond" w:eastAsia="Calibri" w:hAnsi="Garamond" w:cs="Arial"/>
          <w:sz w:val="24"/>
          <w:szCs w:val="24"/>
        </w:rPr>
        <w:t>,</w:t>
      </w:r>
      <w:r w:rsidRPr="003A1174">
        <w:rPr>
          <w:rFonts w:ascii="Garamond" w:eastAsia="Calibri" w:hAnsi="Garamond" w:cs="Arial"/>
          <w:sz w:val="24"/>
          <w:szCs w:val="24"/>
        </w:rPr>
        <w:t xml:space="preserve"> a fi</w:t>
      </w:r>
      <w:r w:rsidR="0034283E" w:rsidRPr="003A1174">
        <w:rPr>
          <w:rFonts w:ascii="Garamond" w:eastAsia="Calibri" w:hAnsi="Garamond" w:cs="Arial"/>
          <w:sz w:val="24"/>
          <w:szCs w:val="24"/>
        </w:rPr>
        <w:t>m</w:t>
      </w:r>
      <w:r w:rsidRPr="003A1174">
        <w:rPr>
          <w:rFonts w:ascii="Garamond" w:eastAsia="Calibri" w:hAnsi="Garamond" w:cs="Arial"/>
          <w:sz w:val="24"/>
          <w:szCs w:val="24"/>
        </w:rPr>
        <w:t xml:space="preserve"> de </w:t>
      </w:r>
      <w:r w:rsidR="00FC4A4E" w:rsidRPr="003A1174">
        <w:rPr>
          <w:rFonts w:ascii="Garamond" w:eastAsia="Calibri" w:hAnsi="Garamond" w:cs="Arial"/>
          <w:sz w:val="24"/>
          <w:szCs w:val="24"/>
        </w:rPr>
        <w:t>coordenar</w:t>
      </w:r>
      <w:r w:rsidRPr="003A1174">
        <w:rPr>
          <w:rFonts w:ascii="Garamond" w:eastAsia="Calibri" w:hAnsi="Garamond" w:cs="Arial"/>
          <w:sz w:val="24"/>
          <w:szCs w:val="24"/>
        </w:rPr>
        <w:t xml:space="preserve"> </w:t>
      </w:r>
      <w:r w:rsidR="00C30647" w:rsidRPr="003A1174">
        <w:rPr>
          <w:rFonts w:ascii="Garamond" w:eastAsia="Calibri" w:hAnsi="Garamond" w:cs="Arial"/>
          <w:sz w:val="24"/>
          <w:szCs w:val="24"/>
        </w:rPr>
        <w:t>esforço</w:t>
      </w:r>
      <w:r w:rsidRPr="003A1174">
        <w:rPr>
          <w:rFonts w:ascii="Garamond" w:eastAsia="Calibri" w:hAnsi="Garamond" w:cs="Arial"/>
          <w:sz w:val="24"/>
          <w:szCs w:val="24"/>
        </w:rPr>
        <w:t xml:space="preserve">s </w:t>
      </w:r>
      <w:r w:rsidR="00497503" w:rsidRPr="003A1174">
        <w:rPr>
          <w:rFonts w:ascii="Garamond" w:eastAsia="Calibri" w:hAnsi="Garamond" w:cs="Arial"/>
          <w:sz w:val="24"/>
          <w:szCs w:val="24"/>
        </w:rPr>
        <w:t>e</w:t>
      </w:r>
      <w:r w:rsidRPr="003A1174">
        <w:rPr>
          <w:rFonts w:ascii="Garamond" w:eastAsia="Calibri" w:hAnsi="Garamond" w:cs="Arial"/>
          <w:sz w:val="24"/>
          <w:szCs w:val="24"/>
        </w:rPr>
        <w:t xml:space="preserve"> </w:t>
      </w:r>
      <w:r w:rsidR="00374785" w:rsidRPr="003A1174">
        <w:rPr>
          <w:rFonts w:ascii="Garamond" w:eastAsia="Calibri" w:hAnsi="Garamond" w:cs="Arial"/>
          <w:sz w:val="24"/>
          <w:szCs w:val="24"/>
        </w:rPr>
        <w:t>atividades</w:t>
      </w:r>
      <w:r w:rsidRPr="003A1174">
        <w:rPr>
          <w:rFonts w:ascii="Garamond" w:eastAsia="Calibri" w:hAnsi="Garamond" w:cs="Arial"/>
          <w:sz w:val="24"/>
          <w:szCs w:val="24"/>
        </w:rPr>
        <w:t xml:space="preserve"> concretas.</w:t>
      </w:r>
    </w:p>
    <w:p w:rsidR="008B023E" w:rsidRPr="003A1174" w:rsidRDefault="009851E6" w:rsidP="008719D4">
      <w:pPr>
        <w:spacing w:line="240" w:lineRule="auto"/>
        <w:jc w:val="both"/>
        <w:rPr>
          <w:rFonts w:ascii="Garamond" w:eastAsia="Calibri" w:hAnsi="Garamond" w:cs="Arial"/>
          <w:sz w:val="24"/>
          <w:szCs w:val="24"/>
        </w:rPr>
      </w:pPr>
      <w:r>
        <w:rPr>
          <w:rFonts w:ascii="Garamond" w:eastAsia="Calibri" w:hAnsi="Garamond" w:cs="Arial"/>
          <w:sz w:val="24"/>
          <w:szCs w:val="24"/>
        </w:rPr>
        <w:t>Dando cumprimento ao estatuído no</w:t>
      </w:r>
      <w:r w:rsidR="0034283E" w:rsidRPr="003A1174">
        <w:rPr>
          <w:rFonts w:ascii="Garamond" w:eastAsia="Calibri" w:hAnsi="Garamond" w:cs="Arial"/>
          <w:sz w:val="24"/>
          <w:szCs w:val="24"/>
        </w:rPr>
        <w:t xml:space="preserve"> </w:t>
      </w:r>
      <w:r w:rsidR="00383B3F" w:rsidRPr="003A1174">
        <w:rPr>
          <w:rFonts w:ascii="Garamond" w:eastAsia="Calibri" w:hAnsi="Garamond" w:cs="Arial"/>
          <w:sz w:val="24"/>
          <w:szCs w:val="24"/>
        </w:rPr>
        <w:t>Art.</w:t>
      </w:r>
      <w:r w:rsidR="008B023E" w:rsidRPr="003A1174">
        <w:rPr>
          <w:rFonts w:ascii="Garamond" w:eastAsia="Calibri" w:hAnsi="Garamond" w:cs="Arial"/>
          <w:sz w:val="24"/>
          <w:szCs w:val="24"/>
        </w:rPr>
        <w:t xml:space="preserve"> 25 da </w:t>
      </w:r>
      <w:r w:rsidR="00D15AFF" w:rsidRPr="003A1174">
        <w:rPr>
          <w:rFonts w:ascii="Garamond" w:eastAsia="Calibri" w:hAnsi="Garamond" w:cs="Arial"/>
          <w:sz w:val="24"/>
          <w:szCs w:val="24"/>
        </w:rPr>
        <w:t>Lei</w:t>
      </w:r>
      <w:r w:rsidR="0034283E" w:rsidRPr="003A1174">
        <w:rPr>
          <w:rFonts w:ascii="Garamond" w:eastAsia="Calibri" w:hAnsi="Garamond" w:cs="Arial"/>
          <w:sz w:val="24"/>
          <w:szCs w:val="24"/>
        </w:rPr>
        <w:t xml:space="preserve"> Especial Integral para um</w:t>
      </w:r>
      <w:r w:rsidR="008B023E" w:rsidRPr="003A1174">
        <w:rPr>
          <w:rFonts w:ascii="Garamond" w:eastAsia="Calibri" w:hAnsi="Garamond" w:cs="Arial"/>
          <w:sz w:val="24"/>
          <w:szCs w:val="24"/>
        </w:rPr>
        <w:t xml:space="preserve">a Vida </w:t>
      </w:r>
      <w:r w:rsidR="00AF192F" w:rsidRPr="003A1174">
        <w:rPr>
          <w:rFonts w:ascii="Garamond" w:eastAsia="Calibri" w:hAnsi="Garamond" w:cs="Arial"/>
          <w:sz w:val="24"/>
          <w:szCs w:val="24"/>
        </w:rPr>
        <w:t>Livre</w:t>
      </w:r>
      <w:r w:rsidR="008B023E" w:rsidRPr="003A1174">
        <w:rPr>
          <w:rFonts w:ascii="Garamond" w:eastAsia="Calibri" w:hAnsi="Garamond" w:cs="Arial"/>
          <w:sz w:val="24"/>
          <w:szCs w:val="24"/>
        </w:rPr>
        <w:t xml:space="preserve"> de </w:t>
      </w:r>
      <w:r w:rsidR="000350B1" w:rsidRPr="003A1174">
        <w:rPr>
          <w:rFonts w:ascii="Garamond" w:eastAsia="Calibri" w:hAnsi="Garamond" w:cs="Arial"/>
          <w:sz w:val="24"/>
          <w:szCs w:val="24"/>
        </w:rPr>
        <w:t>Violência</w:t>
      </w:r>
      <w:r w:rsidR="0034283E" w:rsidRPr="003A1174">
        <w:rPr>
          <w:rFonts w:ascii="Garamond" w:eastAsia="Calibri" w:hAnsi="Garamond" w:cs="Arial"/>
          <w:sz w:val="24"/>
          <w:szCs w:val="24"/>
        </w:rPr>
        <w:t xml:space="preserve"> para </w:t>
      </w:r>
      <w:r w:rsidR="008B023E" w:rsidRPr="003A1174">
        <w:rPr>
          <w:rFonts w:ascii="Garamond" w:eastAsia="Calibri" w:hAnsi="Garamond" w:cs="Arial"/>
          <w:sz w:val="24"/>
          <w:szCs w:val="24"/>
        </w:rPr>
        <w:t xml:space="preserve">as </w:t>
      </w:r>
      <w:r w:rsidR="00054EE0" w:rsidRPr="003A1174">
        <w:rPr>
          <w:rFonts w:ascii="Garamond" w:eastAsia="Calibri" w:hAnsi="Garamond" w:cs="Arial"/>
          <w:sz w:val="24"/>
          <w:szCs w:val="24"/>
        </w:rPr>
        <w:t>Mulheres</w:t>
      </w:r>
      <w:r w:rsidR="008B023E" w:rsidRPr="003A1174">
        <w:rPr>
          <w:rFonts w:ascii="Garamond" w:eastAsia="Calibri" w:hAnsi="Garamond" w:cs="Arial"/>
          <w:sz w:val="24"/>
          <w:szCs w:val="24"/>
        </w:rPr>
        <w:t xml:space="preserve"> (LEIV)</w:t>
      </w:r>
      <w:r w:rsidR="00203A8A" w:rsidRPr="003A1174">
        <w:rPr>
          <w:rFonts w:ascii="Garamond" w:eastAsia="Calibri" w:hAnsi="Garamond" w:cs="Arial"/>
          <w:sz w:val="24"/>
          <w:szCs w:val="24"/>
        </w:rPr>
        <w:t>,</w:t>
      </w:r>
      <w:r w:rsidR="008B023E" w:rsidRPr="003A1174">
        <w:rPr>
          <w:rStyle w:val="Refdenotaalpie"/>
          <w:rFonts w:ascii="Garamond" w:eastAsia="Calibri" w:hAnsi="Garamond" w:cs="Arial"/>
          <w:sz w:val="24"/>
          <w:szCs w:val="24"/>
          <w:lang w:val="es-CR"/>
        </w:rPr>
        <w:footnoteReference w:id="107"/>
      </w:r>
      <w:r w:rsidR="008B023E" w:rsidRPr="003A1174">
        <w:rPr>
          <w:rFonts w:ascii="Garamond" w:eastAsia="Calibri" w:hAnsi="Garamond" w:cs="Arial"/>
          <w:sz w:val="24"/>
          <w:szCs w:val="24"/>
        </w:rPr>
        <w:t xml:space="preserve">esta </w:t>
      </w:r>
      <w:r w:rsidR="0096583F" w:rsidRPr="003A1174">
        <w:rPr>
          <w:rFonts w:ascii="Garamond" w:eastAsia="Calibri" w:hAnsi="Garamond" w:cs="Arial"/>
          <w:sz w:val="24"/>
          <w:szCs w:val="24"/>
        </w:rPr>
        <w:t>Procuradoria</w:t>
      </w:r>
      <w:r w:rsidR="008B023E" w:rsidRPr="003A1174">
        <w:rPr>
          <w:rFonts w:ascii="Garamond" w:eastAsia="Calibri" w:hAnsi="Garamond" w:cs="Arial"/>
          <w:sz w:val="24"/>
          <w:szCs w:val="24"/>
        </w:rPr>
        <w:t xml:space="preserve"> </w:t>
      </w:r>
      <w:r>
        <w:rPr>
          <w:rFonts w:ascii="Garamond" w:eastAsia="Calibri" w:hAnsi="Garamond" w:cs="Arial"/>
          <w:sz w:val="24"/>
          <w:szCs w:val="24"/>
        </w:rPr>
        <w:t>criou</w:t>
      </w:r>
      <w:r w:rsidR="0034283E" w:rsidRPr="003A1174">
        <w:rPr>
          <w:rFonts w:ascii="Garamond" w:eastAsia="Calibri" w:hAnsi="Garamond" w:cs="Arial"/>
          <w:sz w:val="24"/>
          <w:szCs w:val="24"/>
        </w:rPr>
        <w:t xml:space="preserve">, em </w:t>
      </w:r>
      <w:r w:rsidR="00077461" w:rsidRPr="003A1174">
        <w:rPr>
          <w:rFonts w:ascii="Garamond" w:eastAsia="Calibri" w:hAnsi="Garamond" w:cs="Arial"/>
          <w:sz w:val="24"/>
          <w:szCs w:val="24"/>
        </w:rPr>
        <w:t>junho</w:t>
      </w:r>
      <w:r w:rsidR="008B023E" w:rsidRPr="003A1174">
        <w:rPr>
          <w:rFonts w:ascii="Garamond" w:eastAsia="Calibri" w:hAnsi="Garamond" w:cs="Arial"/>
          <w:sz w:val="24"/>
          <w:szCs w:val="24"/>
        </w:rPr>
        <w:t xml:space="preserve"> de 2014</w:t>
      </w:r>
      <w:r w:rsidR="0034283E" w:rsidRPr="003A1174">
        <w:rPr>
          <w:rFonts w:ascii="Garamond" w:eastAsia="Calibri" w:hAnsi="Garamond" w:cs="Arial"/>
          <w:sz w:val="24"/>
          <w:szCs w:val="24"/>
        </w:rPr>
        <w:t>,</w:t>
      </w:r>
      <w:r w:rsidR="008B023E" w:rsidRPr="003A1174">
        <w:rPr>
          <w:rFonts w:ascii="Garamond" w:eastAsia="Calibri" w:hAnsi="Garamond" w:cs="Arial"/>
          <w:sz w:val="24"/>
          <w:szCs w:val="24"/>
        </w:rPr>
        <w:t xml:space="preserve"> a </w:t>
      </w:r>
      <w:r w:rsidR="00DE6DF6" w:rsidRPr="003A1174">
        <w:rPr>
          <w:rFonts w:ascii="Garamond" w:eastAsia="Calibri" w:hAnsi="Garamond" w:cs="Arial"/>
          <w:sz w:val="24"/>
          <w:szCs w:val="24"/>
        </w:rPr>
        <w:t>respetiva</w:t>
      </w:r>
      <w:r w:rsidR="008B023E" w:rsidRPr="003A1174">
        <w:rPr>
          <w:rFonts w:ascii="Garamond" w:eastAsia="Calibri" w:hAnsi="Garamond" w:cs="Arial"/>
          <w:sz w:val="24"/>
          <w:szCs w:val="24"/>
        </w:rPr>
        <w:t xml:space="preserve"> </w:t>
      </w:r>
      <w:r w:rsidR="00AC69A9" w:rsidRPr="003A1174">
        <w:rPr>
          <w:rFonts w:ascii="Garamond" w:eastAsia="Calibri" w:hAnsi="Garamond" w:cs="Arial"/>
          <w:sz w:val="24"/>
          <w:szCs w:val="24"/>
        </w:rPr>
        <w:t>unidad</w:t>
      </w:r>
      <w:r w:rsidR="0034283E" w:rsidRPr="003A1174">
        <w:rPr>
          <w:rFonts w:ascii="Garamond" w:eastAsia="Calibri" w:hAnsi="Garamond" w:cs="Arial"/>
          <w:sz w:val="24"/>
          <w:szCs w:val="24"/>
        </w:rPr>
        <w:t>e</w:t>
      </w:r>
      <w:r w:rsidR="00AC69A9" w:rsidRPr="003A1174">
        <w:rPr>
          <w:rFonts w:ascii="Garamond" w:eastAsia="Calibri" w:hAnsi="Garamond" w:cs="Arial"/>
          <w:sz w:val="24"/>
          <w:szCs w:val="24"/>
        </w:rPr>
        <w:t xml:space="preserve"> de género</w:t>
      </w:r>
      <w:r w:rsidR="008B023E" w:rsidRPr="003A1174">
        <w:rPr>
          <w:rFonts w:ascii="Garamond" w:eastAsia="Calibri" w:hAnsi="Garamond" w:cs="Arial"/>
          <w:sz w:val="24"/>
          <w:szCs w:val="24"/>
        </w:rPr>
        <w:t xml:space="preserve">. </w:t>
      </w:r>
      <w:r w:rsidR="00203A8A" w:rsidRPr="003A1174">
        <w:rPr>
          <w:rFonts w:ascii="Garamond" w:eastAsia="Calibri" w:hAnsi="Garamond" w:cs="Arial"/>
          <w:sz w:val="24"/>
          <w:szCs w:val="24"/>
        </w:rPr>
        <w:t>E</w:t>
      </w:r>
      <w:r w:rsidR="008B023E" w:rsidRPr="003A1174">
        <w:rPr>
          <w:rFonts w:ascii="Garamond" w:eastAsia="Calibri" w:hAnsi="Garamond" w:cs="Arial"/>
          <w:sz w:val="24"/>
          <w:szCs w:val="24"/>
        </w:rPr>
        <w:t>ntr</w:t>
      </w:r>
      <w:r w:rsidR="00203A8A" w:rsidRPr="003A1174">
        <w:rPr>
          <w:rFonts w:ascii="Garamond" w:eastAsia="Calibri" w:hAnsi="Garamond" w:cs="Arial"/>
          <w:sz w:val="24"/>
          <w:szCs w:val="24"/>
        </w:rPr>
        <w:t>e</w:t>
      </w:r>
      <w:r w:rsidR="008B023E" w:rsidRPr="003A1174">
        <w:rPr>
          <w:rFonts w:ascii="Garamond" w:eastAsia="Calibri" w:hAnsi="Garamond" w:cs="Arial"/>
          <w:sz w:val="24"/>
          <w:szCs w:val="24"/>
        </w:rPr>
        <w:t xml:space="preserve"> </w:t>
      </w:r>
      <w:r w:rsidR="0034283E" w:rsidRPr="003A1174">
        <w:rPr>
          <w:rFonts w:ascii="Garamond" w:eastAsia="Calibri" w:hAnsi="Garamond" w:cs="Arial"/>
          <w:sz w:val="24"/>
          <w:szCs w:val="24"/>
        </w:rPr>
        <w:t xml:space="preserve">as </w:t>
      </w:r>
      <w:r w:rsidR="008B023E" w:rsidRPr="003A1174">
        <w:rPr>
          <w:rFonts w:ascii="Garamond" w:eastAsia="Calibri" w:hAnsi="Garamond" w:cs="Arial"/>
          <w:sz w:val="24"/>
          <w:szCs w:val="24"/>
        </w:rPr>
        <w:t>su</w:t>
      </w:r>
      <w:r w:rsidR="0034283E" w:rsidRPr="003A1174">
        <w:rPr>
          <w:rFonts w:ascii="Garamond" w:eastAsia="Calibri" w:hAnsi="Garamond" w:cs="Arial"/>
          <w:sz w:val="24"/>
          <w:szCs w:val="24"/>
        </w:rPr>
        <w:t>a</w:t>
      </w:r>
      <w:r w:rsidR="008B023E" w:rsidRPr="003A1174">
        <w:rPr>
          <w:rFonts w:ascii="Garamond" w:eastAsia="Calibri" w:hAnsi="Garamond" w:cs="Arial"/>
          <w:sz w:val="24"/>
          <w:szCs w:val="24"/>
        </w:rPr>
        <w:t xml:space="preserve">s </w:t>
      </w:r>
      <w:r w:rsidR="002F5CD1" w:rsidRPr="003A1174">
        <w:rPr>
          <w:rFonts w:ascii="Garamond" w:eastAsia="Calibri" w:hAnsi="Garamond" w:cs="Arial"/>
          <w:sz w:val="24"/>
          <w:szCs w:val="24"/>
        </w:rPr>
        <w:t>principais</w:t>
      </w:r>
      <w:r w:rsidR="008B023E" w:rsidRPr="003A1174">
        <w:rPr>
          <w:rFonts w:ascii="Garamond" w:eastAsia="Calibri" w:hAnsi="Garamond" w:cs="Arial"/>
          <w:sz w:val="24"/>
          <w:szCs w:val="24"/>
        </w:rPr>
        <w:t xml:space="preserve"> </w:t>
      </w:r>
      <w:r w:rsidR="00E150E9" w:rsidRPr="003A1174">
        <w:rPr>
          <w:rFonts w:ascii="Garamond" w:eastAsia="Calibri" w:hAnsi="Garamond" w:cs="Arial"/>
          <w:sz w:val="24"/>
          <w:szCs w:val="24"/>
        </w:rPr>
        <w:t>funções</w:t>
      </w:r>
      <w:r w:rsidR="008B023E" w:rsidRPr="003A1174">
        <w:rPr>
          <w:rFonts w:ascii="Garamond" w:eastAsia="Calibri" w:hAnsi="Garamond" w:cs="Arial"/>
          <w:sz w:val="24"/>
          <w:szCs w:val="24"/>
        </w:rPr>
        <w:t xml:space="preserve"> </w:t>
      </w:r>
      <w:r w:rsidR="00F520D6" w:rsidRPr="003A1174">
        <w:rPr>
          <w:rFonts w:ascii="Garamond" w:eastAsia="Calibri" w:hAnsi="Garamond" w:cs="Arial"/>
          <w:sz w:val="24"/>
          <w:szCs w:val="24"/>
        </w:rPr>
        <w:t>encontram</w:t>
      </w:r>
      <w:r w:rsidR="0034283E" w:rsidRPr="003A1174">
        <w:rPr>
          <w:rFonts w:ascii="Garamond" w:eastAsia="Calibri" w:hAnsi="Garamond" w:cs="Arial"/>
          <w:sz w:val="24"/>
          <w:szCs w:val="24"/>
        </w:rPr>
        <w:t>-se</w:t>
      </w:r>
      <w:r w:rsidR="008B023E" w:rsidRPr="003A1174">
        <w:rPr>
          <w:rFonts w:ascii="Garamond" w:eastAsia="Calibri" w:hAnsi="Garamond" w:cs="Arial"/>
          <w:sz w:val="24"/>
          <w:szCs w:val="24"/>
        </w:rPr>
        <w:t xml:space="preserve">: </w:t>
      </w:r>
      <w:r w:rsidR="0034283E" w:rsidRPr="003A1174">
        <w:rPr>
          <w:rFonts w:ascii="Garamond" w:eastAsia="Calibri" w:hAnsi="Garamond" w:cs="Arial"/>
          <w:sz w:val="24"/>
          <w:szCs w:val="24"/>
        </w:rPr>
        <w:t xml:space="preserve">o </w:t>
      </w:r>
      <w:r w:rsidR="003F012B" w:rsidRPr="003A1174">
        <w:rPr>
          <w:rFonts w:ascii="Garamond" w:eastAsia="Calibri" w:hAnsi="Garamond" w:cs="Arial"/>
          <w:sz w:val="24"/>
          <w:szCs w:val="24"/>
        </w:rPr>
        <w:t>acompanhamento</w:t>
      </w:r>
      <w:r w:rsidR="008B023E" w:rsidRPr="003A1174">
        <w:rPr>
          <w:rFonts w:ascii="Garamond" w:eastAsia="Calibri" w:hAnsi="Garamond" w:cs="Arial"/>
          <w:sz w:val="24"/>
          <w:szCs w:val="24"/>
        </w:rPr>
        <w:t xml:space="preserve"> </w:t>
      </w:r>
      <w:r w:rsidR="00203A8A" w:rsidRPr="003A1174">
        <w:rPr>
          <w:rFonts w:ascii="Garamond" w:eastAsia="Calibri" w:hAnsi="Garamond" w:cs="Arial"/>
          <w:sz w:val="24"/>
          <w:szCs w:val="24"/>
        </w:rPr>
        <w:t>de</w:t>
      </w:r>
      <w:r w:rsidR="0034283E" w:rsidRPr="003A1174">
        <w:rPr>
          <w:rFonts w:ascii="Garamond" w:eastAsia="Calibri" w:hAnsi="Garamond" w:cs="Arial"/>
          <w:sz w:val="24"/>
          <w:szCs w:val="24"/>
        </w:rPr>
        <w:t xml:space="preserve"> </w:t>
      </w:r>
      <w:r w:rsidR="00B3766B">
        <w:rPr>
          <w:rFonts w:ascii="Garamond" w:eastAsia="Calibri" w:hAnsi="Garamond" w:cs="Arial"/>
          <w:sz w:val="24"/>
          <w:szCs w:val="24"/>
        </w:rPr>
        <w:t>queixosos</w:t>
      </w:r>
      <w:r w:rsidR="00596434">
        <w:rPr>
          <w:rFonts w:ascii="Garamond" w:eastAsia="Calibri" w:hAnsi="Garamond" w:cs="Arial"/>
          <w:sz w:val="24"/>
          <w:szCs w:val="24"/>
        </w:rPr>
        <w:t xml:space="preserve"> </w:t>
      </w:r>
      <w:r w:rsidR="008B023E" w:rsidRPr="003A1174">
        <w:rPr>
          <w:rFonts w:ascii="Garamond" w:eastAsia="Calibri" w:hAnsi="Garamond" w:cs="Arial"/>
          <w:sz w:val="24"/>
          <w:szCs w:val="24"/>
        </w:rPr>
        <w:t xml:space="preserve">a partir de </w:t>
      </w:r>
      <w:r w:rsidR="008651AF" w:rsidRPr="003A1174">
        <w:rPr>
          <w:rFonts w:ascii="Garamond" w:eastAsia="Calibri" w:hAnsi="Garamond" w:cs="Arial"/>
          <w:sz w:val="24"/>
          <w:szCs w:val="24"/>
        </w:rPr>
        <w:t>denúncia</w:t>
      </w:r>
      <w:r w:rsidR="008B023E" w:rsidRPr="003A1174">
        <w:rPr>
          <w:rFonts w:ascii="Garamond" w:eastAsia="Calibri" w:hAnsi="Garamond" w:cs="Arial"/>
          <w:sz w:val="24"/>
          <w:szCs w:val="24"/>
        </w:rPr>
        <w:t>s interp</w:t>
      </w:r>
      <w:r w:rsidR="00936256" w:rsidRPr="003A1174">
        <w:rPr>
          <w:rFonts w:ascii="Garamond" w:eastAsia="Calibri" w:hAnsi="Garamond" w:cs="Arial"/>
          <w:sz w:val="24"/>
          <w:szCs w:val="24"/>
        </w:rPr>
        <w:t>o</w:t>
      </w:r>
      <w:r w:rsidR="008B023E" w:rsidRPr="003A1174">
        <w:rPr>
          <w:rFonts w:ascii="Garamond" w:eastAsia="Calibri" w:hAnsi="Garamond" w:cs="Arial"/>
          <w:sz w:val="24"/>
          <w:szCs w:val="24"/>
        </w:rPr>
        <w:t>stas</w:t>
      </w:r>
      <w:r w:rsidR="00203A8A" w:rsidRPr="003A1174">
        <w:rPr>
          <w:rFonts w:ascii="Garamond" w:eastAsia="Calibri" w:hAnsi="Garamond" w:cs="Arial"/>
          <w:sz w:val="24"/>
          <w:szCs w:val="24"/>
        </w:rPr>
        <w:t>;</w:t>
      </w:r>
      <w:r w:rsidR="008B023E" w:rsidRPr="003A1174">
        <w:rPr>
          <w:rFonts w:ascii="Garamond" w:eastAsia="Calibri" w:hAnsi="Garamond" w:cs="Arial"/>
          <w:sz w:val="24"/>
          <w:szCs w:val="24"/>
        </w:rPr>
        <w:t xml:space="preserve"> </w:t>
      </w:r>
      <w:r w:rsidR="00B3766B">
        <w:rPr>
          <w:rFonts w:ascii="Garamond" w:eastAsia="Calibri" w:hAnsi="Garamond" w:cs="Arial"/>
          <w:sz w:val="24"/>
          <w:szCs w:val="24"/>
        </w:rPr>
        <w:t xml:space="preserve">registo </w:t>
      </w:r>
      <w:r w:rsidR="00936256" w:rsidRPr="003A1174">
        <w:rPr>
          <w:rFonts w:ascii="Garamond" w:eastAsia="Calibri" w:hAnsi="Garamond" w:cs="Arial"/>
          <w:sz w:val="24"/>
          <w:szCs w:val="24"/>
        </w:rPr>
        <w:t>de casos detetados vi</w:t>
      </w:r>
      <w:r w:rsidR="008B023E" w:rsidRPr="003A1174">
        <w:rPr>
          <w:rFonts w:ascii="Garamond" w:eastAsia="Calibri" w:hAnsi="Garamond" w:cs="Arial"/>
          <w:sz w:val="24"/>
          <w:szCs w:val="24"/>
        </w:rPr>
        <w:t xml:space="preserve">a telefónica, </w:t>
      </w:r>
      <w:r w:rsidR="00C01806" w:rsidRPr="003A1174">
        <w:rPr>
          <w:rFonts w:ascii="Garamond" w:eastAsia="Calibri" w:hAnsi="Garamond" w:cs="Arial"/>
          <w:sz w:val="24"/>
          <w:szCs w:val="24"/>
        </w:rPr>
        <w:lastRenderedPageBreak/>
        <w:t>comunicação</w:t>
      </w:r>
      <w:r w:rsidR="00B3766B">
        <w:rPr>
          <w:rFonts w:ascii="Garamond" w:eastAsia="Calibri" w:hAnsi="Garamond" w:cs="Arial"/>
          <w:sz w:val="24"/>
          <w:szCs w:val="24"/>
        </w:rPr>
        <w:t xml:space="preserve"> social,</w:t>
      </w:r>
      <w:r w:rsidR="008B023E" w:rsidRPr="003A1174">
        <w:rPr>
          <w:rFonts w:ascii="Garamond" w:eastAsia="Calibri" w:hAnsi="Garamond" w:cs="Arial"/>
          <w:sz w:val="24"/>
          <w:szCs w:val="24"/>
        </w:rPr>
        <w:t xml:space="preserve"> o</w:t>
      </w:r>
      <w:r w:rsidR="00936256" w:rsidRPr="003A1174">
        <w:rPr>
          <w:rFonts w:ascii="Garamond" w:eastAsia="Calibri" w:hAnsi="Garamond" w:cs="Arial"/>
          <w:sz w:val="24"/>
          <w:szCs w:val="24"/>
        </w:rPr>
        <w:t>u</w:t>
      </w:r>
      <w:r w:rsidR="008B023E" w:rsidRPr="003A1174">
        <w:rPr>
          <w:rFonts w:ascii="Garamond" w:eastAsia="Calibri" w:hAnsi="Garamond" w:cs="Arial"/>
          <w:sz w:val="24"/>
          <w:szCs w:val="24"/>
        </w:rPr>
        <w:t xml:space="preserve"> terce</w:t>
      </w:r>
      <w:r w:rsidR="00936256" w:rsidRPr="003A1174">
        <w:rPr>
          <w:rFonts w:ascii="Garamond" w:eastAsia="Calibri" w:hAnsi="Garamond" w:cs="Arial"/>
          <w:sz w:val="24"/>
          <w:szCs w:val="24"/>
        </w:rPr>
        <w:t>i</w:t>
      </w:r>
      <w:r w:rsidR="008B023E" w:rsidRPr="003A1174">
        <w:rPr>
          <w:rFonts w:ascii="Garamond" w:eastAsia="Calibri" w:hAnsi="Garamond" w:cs="Arial"/>
          <w:sz w:val="24"/>
          <w:szCs w:val="24"/>
        </w:rPr>
        <w:t xml:space="preserve">ras </w:t>
      </w:r>
      <w:r w:rsidR="006C760C" w:rsidRPr="003A1174">
        <w:rPr>
          <w:rFonts w:ascii="Garamond" w:eastAsia="Calibri" w:hAnsi="Garamond" w:cs="Arial"/>
          <w:sz w:val="24"/>
          <w:szCs w:val="24"/>
        </w:rPr>
        <w:t>pessoas</w:t>
      </w:r>
      <w:r w:rsidR="00203A8A" w:rsidRPr="003A1174">
        <w:rPr>
          <w:rFonts w:ascii="Garamond" w:eastAsia="Calibri" w:hAnsi="Garamond" w:cs="Arial"/>
          <w:sz w:val="24"/>
          <w:szCs w:val="24"/>
        </w:rPr>
        <w:t>;</w:t>
      </w:r>
      <w:r w:rsidR="008B023E" w:rsidRPr="003A1174">
        <w:rPr>
          <w:rFonts w:ascii="Garamond" w:eastAsia="Calibri" w:hAnsi="Garamond" w:cs="Arial"/>
          <w:sz w:val="24"/>
          <w:szCs w:val="24"/>
        </w:rPr>
        <w:t xml:space="preserve"> </w:t>
      </w:r>
      <w:r w:rsidR="00B3766B">
        <w:rPr>
          <w:rFonts w:ascii="Garamond" w:eastAsia="Calibri" w:hAnsi="Garamond" w:cs="Arial"/>
          <w:sz w:val="24"/>
          <w:szCs w:val="24"/>
        </w:rPr>
        <w:t xml:space="preserve">denúncia </w:t>
      </w:r>
      <w:r w:rsidR="008B023E" w:rsidRPr="003A1174">
        <w:rPr>
          <w:rFonts w:ascii="Garamond" w:eastAsia="Calibri" w:hAnsi="Garamond" w:cs="Arial"/>
          <w:sz w:val="24"/>
          <w:szCs w:val="24"/>
        </w:rPr>
        <w:t xml:space="preserve">de casos a </w:t>
      </w:r>
      <w:r w:rsidR="002C7510" w:rsidRPr="003A1174">
        <w:rPr>
          <w:rFonts w:ascii="Garamond" w:eastAsia="Calibri" w:hAnsi="Garamond" w:cs="Arial"/>
          <w:sz w:val="24"/>
          <w:szCs w:val="24"/>
        </w:rPr>
        <w:t>instituições</w:t>
      </w:r>
      <w:r w:rsidR="008B023E" w:rsidRPr="003A1174">
        <w:rPr>
          <w:rFonts w:ascii="Garamond" w:eastAsia="Calibri" w:hAnsi="Garamond" w:cs="Arial"/>
          <w:sz w:val="24"/>
          <w:szCs w:val="24"/>
        </w:rPr>
        <w:t xml:space="preserve"> competentes; </w:t>
      </w:r>
      <w:r w:rsidR="006C6E85" w:rsidRPr="003A1174">
        <w:rPr>
          <w:rFonts w:ascii="Garamond" w:eastAsia="Calibri" w:hAnsi="Garamond" w:cs="Arial"/>
          <w:sz w:val="24"/>
          <w:szCs w:val="24"/>
        </w:rPr>
        <w:t>abertura</w:t>
      </w:r>
      <w:r w:rsidR="008B023E" w:rsidRPr="003A1174">
        <w:rPr>
          <w:rFonts w:ascii="Garamond" w:eastAsia="Calibri" w:hAnsi="Garamond" w:cs="Arial"/>
          <w:sz w:val="24"/>
          <w:szCs w:val="24"/>
        </w:rPr>
        <w:t xml:space="preserve">, </w:t>
      </w:r>
      <w:r w:rsidR="00886D6A" w:rsidRPr="003A1174">
        <w:rPr>
          <w:rFonts w:ascii="Garamond" w:eastAsia="Calibri" w:hAnsi="Garamond" w:cs="Arial"/>
          <w:sz w:val="24"/>
          <w:szCs w:val="24"/>
        </w:rPr>
        <w:t>investigação</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w:t>
      </w:r>
      <w:r w:rsidR="00B3766B">
        <w:rPr>
          <w:rFonts w:ascii="Garamond" w:eastAsia="Calibri" w:hAnsi="Garamond" w:cs="Arial"/>
          <w:sz w:val="24"/>
          <w:szCs w:val="24"/>
        </w:rPr>
        <w:t xml:space="preserve">acompanhamento </w:t>
      </w:r>
      <w:r w:rsidR="00203A8A" w:rsidRPr="003A1174">
        <w:rPr>
          <w:rFonts w:ascii="Garamond" w:eastAsia="Calibri" w:hAnsi="Garamond" w:cs="Arial"/>
          <w:sz w:val="24"/>
          <w:szCs w:val="24"/>
        </w:rPr>
        <w:t>de</w:t>
      </w:r>
      <w:r w:rsidR="008B023E" w:rsidRPr="003A1174">
        <w:rPr>
          <w:rFonts w:ascii="Garamond" w:eastAsia="Calibri" w:hAnsi="Garamond" w:cs="Arial"/>
          <w:sz w:val="24"/>
          <w:szCs w:val="24"/>
        </w:rPr>
        <w:t xml:space="preserve"> expedientes relacionados co</w:t>
      </w:r>
      <w:r w:rsidR="00936256"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B3766B">
        <w:rPr>
          <w:rFonts w:ascii="Garamond" w:eastAsia="Calibri" w:hAnsi="Garamond" w:cs="Arial"/>
          <w:sz w:val="24"/>
          <w:szCs w:val="24"/>
        </w:rPr>
        <w:t xml:space="preserve">comportamentos </w:t>
      </w:r>
      <w:r w:rsidR="008B023E" w:rsidRPr="003A1174">
        <w:rPr>
          <w:rFonts w:ascii="Garamond" w:eastAsia="Calibri" w:hAnsi="Garamond" w:cs="Arial"/>
          <w:sz w:val="24"/>
          <w:szCs w:val="24"/>
        </w:rPr>
        <w:t xml:space="preserve">de </w:t>
      </w:r>
      <w:r w:rsidR="007342D9" w:rsidRPr="003A1174">
        <w:rPr>
          <w:rFonts w:ascii="Garamond" w:eastAsia="Calibri" w:hAnsi="Garamond" w:cs="Arial"/>
          <w:sz w:val="24"/>
          <w:szCs w:val="24"/>
        </w:rPr>
        <w:t>violação</w:t>
      </w:r>
      <w:r w:rsidR="008B023E" w:rsidRPr="003A1174">
        <w:rPr>
          <w:rFonts w:ascii="Garamond" w:eastAsia="Calibri" w:hAnsi="Garamond" w:cs="Arial"/>
          <w:sz w:val="24"/>
          <w:szCs w:val="24"/>
        </w:rPr>
        <w:t xml:space="preserve"> a</w:t>
      </w:r>
      <w:r w:rsidR="00936256" w:rsidRPr="003A1174">
        <w:rPr>
          <w:rFonts w:ascii="Garamond" w:eastAsia="Calibri" w:hAnsi="Garamond" w:cs="Arial"/>
          <w:sz w:val="24"/>
          <w:szCs w:val="24"/>
        </w:rPr>
        <w:t>o</w:t>
      </w:r>
      <w:r w:rsidR="008B023E" w:rsidRPr="003A1174">
        <w:rPr>
          <w:rFonts w:ascii="Garamond" w:eastAsia="Calibri" w:hAnsi="Garamond" w:cs="Arial"/>
          <w:sz w:val="24"/>
          <w:szCs w:val="24"/>
        </w:rPr>
        <w:t xml:space="preserve"> </w:t>
      </w:r>
      <w:r w:rsidR="00886D6A" w:rsidRPr="003A1174">
        <w:rPr>
          <w:rFonts w:ascii="Garamond" w:eastAsia="Calibri" w:hAnsi="Garamond" w:cs="Arial"/>
          <w:sz w:val="24"/>
          <w:szCs w:val="24"/>
        </w:rPr>
        <w:t>direito</w:t>
      </w:r>
      <w:r w:rsidR="008B023E" w:rsidRPr="003A1174">
        <w:rPr>
          <w:rFonts w:ascii="Garamond" w:eastAsia="Calibri" w:hAnsi="Garamond" w:cs="Arial"/>
          <w:sz w:val="24"/>
          <w:szCs w:val="24"/>
        </w:rPr>
        <w:t xml:space="preserve"> de toda </w:t>
      </w:r>
      <w:r w:rsidR="00AF192F" w:rsidRPr="003A1174">
        <w:rPr>
          <w:rFonts w:ascii="Garamond" w:eastAsia="Calibri" w:hAnsi="Garamond" w:cs="Arial"/>
          <w:sz w:val="24"/>
          <w:szCs w:val="24"/>
        </w:rPr>
        <w:t>mulher</w:t>
      </w:r>
      <w:r w:rsidR="00936256" w:rsidRPr="003A1174">
        <w:rPr>
          <w:rFonts w:ascii="Garamond" w:eastAsia="Calibri" w:hAnsi="Garamond" w:cs="Arial"/>
          <w:sz w:val="24"/>
          <w:szCs w:val="24"/>
        </w:rPr>
        <w:t xml:space="preserve"> a um</w:t>
      </w:r>
      <w:r w:rsidR="008B023E" w:rsidRPr="003A1174">
        <w:rPr>
          <w:rFonts w:ascii="Garamond" w:eastAsia="Calibri" w:hAnsi="Garamond" w:cs="Arial"/>
          <w:sz w:val="24"/>
          <w:szCs w:val="24"/>
        </w:rPr>
        <w:t xml:space="preserve">a vida </w:t>
      </w:r>
      <w:r w:rsidR="00B3766B">
        <w:rPr>
          <w:rFonts w:ascii="Garamond" w:eastAsia="Calibri" w:hAnsi="Garamond" w:cs="Arial"/>
          <w:sz w:val="24"/>
          <w:szCs w:val="24"/>
        </w:rPr>
        <w:t xml:space="preserve">sem </w:t>
      </w:r>
      <w:r w:rsidR="000350B1" w:rsidRPr="003A1174">
        <w:rPr>
          <w:rFonts w:ascii="Garamond" w:eastAsia="Calibri" w:hAnsi="Garamond" w:cs="Arial"/>
          <w:sz w:val="24"/>
          <w:szCs w:val="24"/>
        </w:rPr>
        <w:t>violência</w:t>
      </w:r>
      <w:r w:rsidR="008B023E" w:rsidRPr="003A1174">
        <w:rPr>
          <w:rFonts w:ascii="Garamond" w:eastAsia="Calibri" w:hAnsi="Garamond" w:cs="Arial"/>
          <w:sz w:val="24"/>
          <w:szCs w:val="24"/>
        </w:rPr>
        <w:t>, especialmente</w:t>
      </w:r>
      <w:r w:rsidR="00596434">
        <w:rPr>
          <w:rFonts w:ascii="Garamond" w:eastAsia="Calibri" w:hAnsi="Garamond" w:cs="Arial"/>
          <w:sz w:val="24"/>
          <w:szCs w:val="24"/>
        </w:rPr>
        <w:t>,</w:t>
      </w:r>
      <w:r w:rsidR="008B023E" w:rsidRPr="003A1174">
        <w:rPr>
          <w:rFonts w:ascii="Garamond" w:eastAsia="Calibri" w:hAnsi="Garamond" w:cs="Arial"/>
          <w:sz w:val="24"/>
          <w:szCs w:val="24"/>
        </w:rPr>
        <w:t xml:space="preserve"> </w:t>
      </w:r>
      <w:r w:rsidR="00936256" w:rsidRPr="003A1174">
        <w:rPr>
          <w:rFonts w:ascii="Garamond" w:eastAsia="Calibri" w:hAnsi="Garamond" w:cs="Arial"/>
          <w:sz w:val="24"/>
          <w:szCs w:val="24"/>
        </w:rPr>
        <w:t>no</w:t>
      </w:r>
      <w:r w:rsidR="008B023E" w:rsidRPr="003A1174">
        <w:rPr>
          <w:rFonts w:ascii="Garamond" w:eastAsia="Calibri" w:hAnsi="Garamond" w:cs="Arial"/>
          <w:sz w:val="24"/>
          <w:szCs w:val="24"/>
        </w:rPr>
        <w:t xml:space="preserve"> </w:t>
      </w:r>
      <w:r w:rsidR="00802ACC" w:rsidRPr="003A1174">
        <w:rPr>
          <w:rFonts w:ascii="Garamond" w:eastAsia="Calibri" w:hAnsi="Garamond" w:cs="Arial"/>
          <w:sz w:val="24"/>
          <w:szCs w:val="24"/>
        </w:rPr>
        <w:t>âmbito</w:t>
      </w:r>
      <w:r w:rsidR="008B023E"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008B023E" w:rsidRPr="003A1174">
        <w:rPr>
          <w:rFonts w:ascii="Garamond" w:eastAsia="Calibri" w:hAnsi="Garamond" w:cs="Arial"/>
          <w:sz w:val="24"/>
          <w:szCs w:val="24"/>
        </w:rPr>
        <w:t xml:space="preserve"> </w:t>
      </w:r>
      <w:r w:rsidR="00886D6A" w:rsidRPr="003A1174">
        <w:rPr>
          <w:rFonts w:ascii="Garamond" w:eastAsia="Calibri" w:hAnsi="Garamond" w:cs="Arial"/>
          <w:sz w:val="24"/>
          <w:szCs w:val="24"/>
        </w:rPr>
        <w:t>acesso</w:t>
      </w:r>
      <w:r w:rsidR="008B023E" w:rsidRPr="003A1174">
        <w:rPr>
          <w:rFonts w:ascii="Garamond" w:eastAsia="Calibri" w:hAnsi="Garamond" w:cs="Arial"/>
          <w:sz w:val="24"/>
          <w:szCs w:val="24"/>
        </w:rPr>
        <w:t xml:space="preserve"> </w:t>
      </w:r>
      <w:r w:rsidR="00BB2B00" w:rsidRPr="003A1174">
        <w:rPr>
          <w:rFonts w:ascii="Garamond" w:eastAsia="Calibri" w:hAnsi="Garamond" w:cs="Arial"/>
          <w:sz w:val="24"/>
          <w:szCs w:val="24"/>
        </w:rPr>
        <w:t>à</w:t>
      </w:r>
      <w:r w:rsidR="008B023E" w:rsidRPr="003A1174">
        <w:rPr>
          <w:rFonts w:ascii="Garamond" w:eastAsia="Calibri" w:hAnsi="Garamond" w:cs="Arial"/>
          <w:sz w:val="24"/>
          <w:szCs w:val="24"/>
        </w:rPr>
        <w:t xml:space="preserve"> </w:t>
      </w:r>
      <w:r w:rsidR="00FC1F7F" w:rsidRPr="003A1174">
        <w:rPr>
          <w:rFonts w:ascii="Garamond" w:eastAsia="Calibri" w:hAnsi="Garamond" w:cs="Arial"/>
          <w:sz w:val="24"/>
          <w:szCs w:val="24"/>
        </w:rPr>
        <w:t>justiça</w:t>
      </w:r>
      <w:r w:rsidR="008B023E" w:rsidRPr="003A1174">
        <w:rPr>
          <w:rFonts w:ascii="Garamond" w:eastAsia="Calibri" w:hAnsi="Garamond" w:cs="Arial"/>
          <w:sz w:val="24"/>
          <w:szCs w:val="24"/>
        </w:rPr>
        <w:t xml:space="preserve"> </w:t>
      </w:r>
      <w:r w:rsidR="00497503" w:rsidRPr="003A1174">
        <w:rPr>
          <w:rFonts w:ascii="Garamond" w:eastAsia="Calibri" w:hAnsi="Garamond" w:cs="Arial"/>
          <w:sz w:val="24"/>
          <w:szCs w:val="24"/>
        </w:rPr>
        <w:t>e</w:t>
      </w:r>
      <w:r w:rsidR="008B023E" w:rsidRPr="003A1174">
        <w:rPr>
          <w:rFonts w:ascii="Garamond" w:eastAsia="Calibri" w:hAnsi="Garamond" w:cs="Arial"/>
          <w:sz w:val="24"/>
          <w:szCs w:val="24"/>
        </w:rPr>
        <w:t xml:space="preserve"> </w:t>
      </w:r>
      <w:r w:rsidR="00596434">
        <w:rPr>
          <w:rFonts w:ascii="Garamond" w:eastAsia="Calibri" w:hAnsi="Garamond" w:cs="Arial"/>
          <w:sz w:val="24"/>
          <w:szCs w:val="24"/>
        </w:rPr>
        <w:t xml:space="preserve">abertura de </w:t>
      </w:r>
      <w:r w:rsidR="002D1021" w:rsidRPr="003A1174">
        <w:rPr>
          <w:rFonts w:ascii="Garamond" w:eastAsia="Calibri" w:hAnsi="Garamond" w:cs="Arial"/>
          <w:sz w:val="24"/>
          <w:szCs w:val="24"/>
        </w:rPr>
        <w:t>processo</w:t>
      </w:r>
      <w:r w:rsidR="008B023E" w:rsidRPr="003A1174">
        <w:rPr>
          <w:rFonts w:ascii="Garamond" w:eastAsia="Calibri" w:hAnsi="Garamond" w:cs="Arial"/>
          <w:sz w:val="24"/>
          <w:szCs w:val="24"/>
        </w:rPr>
        <w:t xml:space="preserve">. </w:t>
      </w:r>
      <w:r w:rsidR="00936256" w:rsidRPr="003A1174">
        <w:rPr>
          <w:rFonts w:ascii="Garamond" w:eastAsia="Calibri" w:hAnsi="Garamond" w:cs="Arial"/>
          <w:sz w:val="24"/>
          <w:szCs w:val="24"/>
        </w:rPr>
        <w:t>A i</w:t>
      </w:r>
      <w:r w:rsidR="008B023E" w:rsidRPr="003A1174">
        <w:rPr>
          <w:rFonts w:ascii="Garamond" w:eastAsia="Calibri" w:hAnsi="Garamond" w:cs="Arial"/>
          <w:sz w:val="24"/>
          <w:szCs w:val="24"/>
        </w:rPr>
        <w:t xml:space="preserve">sto </w:t>
      </w:r>
      <w:r w:rsidR="00936256" w:rsidRPr="003A1174">
        <w:rPr>
          <w:rFonts w:ascii="Garamond" w:eastAsia="Calibri" w:hAnsi="Garamond" w:cs="Arial"/>
          <w:sz w:val="24"/>
          <w:szCs w:val="24"/>
        </w:rPr>
        <w:t>soma-</w:t>
      </w:r>
      <w:r w:rsidR="008B023E" w:rsidRPr="003A1174">
        <w:rPr>
          <w:rFonts w:ascii="Garamond" w:eastAsia="Calibri" w:hAnsi="Garamond" w:cs="Arial"/>
          <w:sz w:val="24"/>
          <w:szCs w:val="24"/>
        </w:rPr>
        <w:t>se</w:t>
      </w:r>
      <w:r w:rsidR="00936256" w:rsidRPr="003A1174">
        <w:rPr>
          <w:rFonts w:ascii="Garamond" w:eastAsia="Calibri" w:hAnsi="Garamond" w:cs="Arial"/>
          <w:sz w:val="24"/>
          <w:szCs w:val="24"/>
        </w:rPr>
        <w:t xml:space="preserve"> </w:t>
      </w:r>
      <w:r w:rsidR="008B023E" w:rsidRPr="003A1174">
        <w:rPr>
          <w:rFonts w:ascii="Garamond" w:eastAsia="Calibri" w:hAnsi="Garamond" w:cs="Arial"/>
          <w:sz w:val="24"/>
          <w:szCs w:val="24"/>
        </w:rPr>
        <w:t xml:space="preserve">a </w:t>
      </w:r>
      <w:r w:rsidR="006C6E85" w:rsidRPr="003A1174">
        <w:rPr>
          <w:rFonts w:ascii="Garamond" w:eastAsia="Calibri" w:hAnsi="Garamond" w:cs="Arial"/>
          <w:sz w:val="24"/>
          <w:szCs w:val="24"/>
        </w:rPr>
        <w:t>abertura</w:t>
      </w:r>
      <w:r w:rsidR="008B023E" w:rsidRPr="003A1174">
        <w:rPr>
          <w:rFonts w:ascii="Garamond" w:eastAsia="Calibri" w:hAnsi="Garamond" w:cs="Arial"/>
          <w:sz w:val="24"/>
          <w:szCs w:val="24"/>
        </w:rPr>
        <w:t xml:space="preserve"> de expedientes relacionados co</w:t>
      </w:r>
      <w:r w:rsidR="00936256" w:rsidRPr="003A1174">
        <w:rPr>
          <w:rFonts w:ascii="Garamond" w:eastAsia="Calibri" w:hAnsi="Garamond" w:cs="Arial"/>
          <w:sz w:val="24"/>
          <w:szCs w:val="24"/>
        </w:rPr>
        <w:t>m</w:t>
      </w:r>
      <w:r w:rsidR="008B023E" w:rsidRPr="003A1174">
        <w:rPr>
          <w:rFonts w:ascii="Garamond" w:eastAsia="Calibri" w:hAnsi="Garamond" w:cs="Arial"/>
          <w:sz w:val="24"/>
          <w:szCs w:val="24"/>
        </w:rPr>
        <w:t xml:space="preserve"> </w:t>
      </w:r>
      <w:r w:rsidR="003F012B" w:rsidRPr="003A1174">
        <w:rPr>
          <w:rFonts w:ascii="Garamond" w:eastAsia="Calibri" w:hAnsi="Garamond" w:cs="Arial"/>
          <w:sz w:val="24"/>
          <w:szCs w:val="24"/>
        </w:rPr>
        <w:t>padrões</w:t>
      </w:r>
      <w:r w:rsidR="008B023E" w:rsidRPr="003A1174">
        <w:rPr>
          <w:rFonts w:ascii="Garamond" w:eastAsia="Calibri" w:hAnsi="Garamond" w:cs="Arial"/>
          <w:sz w:val="24"/>
          <w:szCs w:val="24"/>
        </w:rPr>
        <w:t xml:space="preserve"> de </w:t>
      </w:r>
      <w:r w:rsidR="007342D9" w:rsidRPr="003A1174">
        <w:rPr>
          <w:rFonts w:ascii="Garamond" w:eastAsia="Calibri" w:hAnsi="Garamond" w:cs="Arial"/>
          <w:sz w:val="24"/>
          <w:szCs w:val="24"/>
        </w:rPr>
        <w:t>violação</w:t>
      </w:r>
      <w:r w:rsidR="008B023E"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008B023E" w:rsidRPr="003A1174">
        <w:rPr>
          <w:rFonts w:ascii="Garamond" w:eastAsia="Calibri" w:hAnsi="Garamond" w:cs="Arial"/>
          <w:sz w:val="24"/>
          <w:szCs w:val="24"/>
        </w:rPr>
        <w:t xml:space="preserve"> </w:t>
      </w:r>
      <w:r w:rsidR="00886D6A" w:rsidRPr="003A1174">
        <w:rPr>
          <w:rFonts w:ascii="Garamond" w:eastAsia="Calibri" w:hAnsi="Garamond" w:cs="Arial"/>
          <w:sz w:val="24"/>
          <w:szCs w:val="24"/>
        </w:rPr>
        <w:t>direito</w:t>
      </w:r>
      <w:r w:rsidR="008B023E" w:rsidRPr="003A1174">
        <w:rPr>
          <w:rFonts w:ascii="Garamond" w:eastAsia="Calibri" w:hAnsi="Garamond" w:cs="Arial"/>
          <w:sz w:val="24"/>
          <w:szCs w:val="24"/>
        </w:rPr>
        <w:t xml:space="preserve"> de toda </w:t>
      </w:r>
      <w:r w:rsidR="00AF192F" w:rsidRPr="003A1174">
        <w:rPr>
          <w:rFonts w:ascii="Garamond" w:eastAsia="Calibri" w:hAnsi="Garamond" w:cs="Arial"/>
          <w:sz w:val="24"/>
          <w:szCs w:val="24"/>
        </w:rPr>
        <w:t>mulher</w:t>
      </w:r>
      <w:r w:rsidR="00936256" w:rsidRPr="003A1174">
        <w:rPr>
          <w:rFonts w:ascii="Garamond" w:eastAsia="Calibri" w:hAnsi="Garamond" w:cs="Arial"/>
          <w:sz w:val="24"/>
          <w:szCs w:val="24"/>
        </w:rPr>
        <w:t xml:space="preserve"> a um</w:t>
      </w:r>
      <w:r w:rsidR="008B023E" w:rsidRPr="003A1174">
        <w:rPr>
          <w:rFonts w:ascii="Garamond" w:eastAsia="Calibri" w:hAnsi="Garamond" w:cs="Arial"/>
          <w:sz w:val="24"/>
          <w:szCs w:val="24"/>
        </w:rPr>
        <w:t xml:space="preserve">a vida </w:t>
      </w:r>
      <w:r w:rsidR="00B3766B">
        <w:rPr>
          <w:rFonts w:ascii="Garamond" w:eastAsia="Calibri" w:hAnsi="Garamond" w:cs="Arial"/>
          <w:sz w:val="24"/>
          <w:szCs w:val="24"/>
        </w:rPr>
        <w:t xml:space="preserve">sem </w:t>
      </w:r>
      <w:r w:rsidR="000350B1" w:rsidRPr="003A1174">
        <w:rPr>
          <w:rFonts w:ascii="Garamond" w:eastAsia="Calibri" w:hAnsi="Garamond" w:cs="Arial"/>
          <w:sz w:val="24"/>
          <w:szCs w:val="24"/>
        </w:rPr>
        <w:t>violência</w:t>
      </w:r>
      <w:r w:rsidR="008B023E" w:rsidRPr="003A1174">
        <w:rPr>
          <w:rFonts w:ascii="Garamond" w:eastAsia="Calibri" w:hAnsi="Garamond" w:cs="Arial"/>
          <w:sz w:val="24"/>
          <w:szCs w:val="24"/>
        </w:rPr>
        <w:t>.</w:t>
      </w:r>
    </w:p>
    <w:p w:rsidR="00C328FC" w:rsidRPr="003A1174" w:rsidRDefault="006466A5" w:rsidP="008719D4">
      <w:pPr>
        <w:pStyle w:val="Ttulo3"/>
        <w:spacing w:line="240" w:lineRule="auto"/>
        <w:rPr>
          <w:rFonts w:ascii="Garamond" w:eastAsiaTheme="minorHAnsi" w:hAnsi="Garamond"/>
          <w:sz w:val="24"/>
          <w:szCs w:val="24"/>
        </w:rPr>
      </w:pPr>
      <w:bookmarkStart w:id="48" w:name="_Toc421529736"/>
      <w:r w:rsidRPr="003A1174">
        <w:rPr>
          <w:rFonts w:ascii="Garamond" w:eastAsiaTheme="minorHAnsi" w:hAnsi="Garamond"/>
          <w:sz w:val="24"/>
          <w:szCs w:val="24"/>
        </w:rPr>
        <w:t>Honduras</w:t>
      </w:r>
      <w:bookmarkEnd w:id="48"/>
    </w:p>
    <w:p w:rsidR="00C328FC" w:rsidRPr="003A1174" w:rsidRDefault="00BD4850" w:rsidP="008719D4">
      <w:pPr>
        <w:spacing w:before="240" w:line="240" w:lineRule="auto"/>
        <w:jc w:val="both"/>
        <w:rPr>
          <w:rFonts w:ascii="Garamond" w:eastAsiaTheme="minorHAnsi" w:hAnsi="Garamond" w:cs="Arial"/>
          <w:sz w:val="24"/>
          <w:szCs w:val="24"/>
        </w:rPr>
      </w:pPr>
      <w:r>
        <w:rPr>
          <w:rFonts w:ascii="Garamond" w:eastAsiaTheme="minorHAnsi" w:hAnsi="Garamond" w:cs="Arial"/>
          <w:sz w:val="24"/>
          <w:szCs w:val="24"/>
        </w:rPr>
        <w:t>Nas Honduras, n</w:t>
      </w:r>
      <w:r w:rsidR="008278C4" w:rsidRPr="003A1174">
        <w:rPr>
          <w:rFonts w:ascii="Garamond" w:eastAsiaTheme="minorHAnsi" w:hAnsi="Garamond" w:cs="Arial"/>
          <w:sz w:val="24"/>
          <w:szCs w:val="24"/>
        </w:rPr>
        <w:t>os município</w:t>
      </w:r>
      <w:r w:rsidR="00C328FC" w:rsidRPr="003A1174">
        <w:rPr>
          <w:rFonts w:ascii="Garamond" w:eastAsiaTheme="minorHAnsi" w:hAnsi="Garamond" w:cs="Arial"/>
          <w:sz w:val="24"/>
          <w:szCs w:val="24"/>
        </w:rPr>
        <w:t>s</w:t>
      </w:r>
      <w:r w:rsidR="008278C4" w:rsidRPr="003A1174">
        <w:rPr>
          <w:rFonts w:ascii="Garamond" w:eastAsiaTheme="minorHAnsi" w:hAnsi="Garamond" w:cs="Arial"/>
          <w:sz w:val="24"/>
          <w:szCs w:val="24"/>
        </w:rPr>
        <w:t xml:space="preserve"> de La Ceiba, Arizona, Jutiapa e</w:t>
      </w:r>
      <w:r w:rsidR="00C328FC" w:rsidRPr="003A1174">
        <w:rPr>
          <w:rFonts w:ascii="Garamond" w:eastAsiaTheme="minorHAnsi" w:hAnsi="Garamond" w:cs="Arial"/>
          <w:sz w:val="24"/>
          <w:szCs w:val="24"/>
        </w:rPr>
        <w:t xml:space="preserve"> Tela</w:t>
      </w:r>
      <w:r>
        <w:rPr>
          <w:rFonts w:ascii="Garamond" w:eastAsiaTheme="minorHAnsi" w:hAnsi="Garamond" w:cs="Arial"/>
          <w:sz w:val="24"/>
          <w:szCs w:val="24"/>
        </w:rPr>
        <w:t>,</w:t>
      </w:r>
      <w:r w:rsidR="00C328FC" w:rsidRPr="003A1174">
        <w:rPr>
          <w:rFonts w:ascii="Garamond" w:eastAsiaTheme="minorHAnsi" w:hAnsi="Garamond" w:cs="Arial"/>
          <w:sz w:val="24"/>
          <w:szCs w:val="24"/>
        </w:rPr>
        <w:t xml:space="preserve"> </w:t>
      </w:r>
      <w:r w:rsidR="008278C4" w:rsidRPr="003A1174">
        <w:rPr>
          <w:rFonts w:ascii="Garamond" w:eastAsiaTheme="minorHAnsi" w:hAnsi="Garamond" w:cs="Arial"/>
          <w:sz w:val="24"/>
          <w:szCs w:val="24"/>
        </w:rPr>
        <w:t xml:space="preserve">no </w:t>
      </w:r>
      <w:r w:rsidR="00C328FC" w:rsidRPr="003A1174">
        <w:rPr>
          <w:rFonts w:ascii="Garamond" w:eastAsiaTheme="minorHAnsi" w:hAnsi="Garamond" w:cs="Arial"/>
          <w:sz w:val="24"/>
          <w:szCs w:val="24"/>
        </w:rPr>
        <w:t xml:space="preserve">departamento de </w:t>
      </w:r>
      <w:r w:rsidRPr="003A1174">
        <w:rPr>
          <w:rFonts w:ascii="Garamond" w:eastAsiaTheme="minorHAnsi" w:hAnsi="Garamond" w:cs="Arial"/>
          <w:sz w:val="24"/>
          <w:szCs w:val="24"/>
        </w:rPr>
        <w:t>Atlântida</w:t>
      </w:r>
      <w:r w:rsidR="00C328FC" w:rsidRPr="003A1174">
        <w:rPr>
          <w:rFonts w:ascii="Garamond" w:eastAsiaTheme="minorHAnsi" w:hAnsi="Garamond" w:cs="Arial"/>
          <w:sz w:val="24"/>
          <w:szCs w:val="24"/>
        </w:rPr>
        <w:t xml:space="preserve">, </w:t>
      </w:r>
      <w:r>
        <w:rPr>
          <w:rFonts w:ascii="Garamond" w:eastAsiaTheme="minorHAnsi" w:hAnsi="Garamond" w:cs="Arial"/>
          <w:sz w:val="24"/>
          <w:szCs w:val="24"/>
        </w:rPr>
        <w:t xml:space="preserve">têm sido levadas a cabo </w:t>
      </w:r>
      <w:r w:rsidR="0017447A" w:rsidRPr="003A1174">
        <w:rPr>
          <w:rFonts w:ascii="Garamond" w:eastAsiaTheme="minorHAnsi" w:hAnsi="Garamond" w:cs="Arial"/>
          <w:sz w:val="24"/>
          <w:szCs w:val="24"/>
        </w:rPr>
        <w:t>experiência</w:t>
      </w:r>
      <w:r w:rsidR="00203A8A" w:rsidRPr="003A1174">
        <w:rPr>
          <w:rFonts w:ascii="Garamond" w:eastAsiaTheme="minorHAnsi" w:hAnsi="Garamond" w:cs="Arial"/>
          <w:sz w:val="24"/>
          <w:szCs w:val="24"/>
        </w:rPr>
        <w:t>s piloto</w:t>
      </w:r>
      <w:r>
        <w:rPr>
          <w:rFonts w:ascii="Garamond" w:eastAsiaTheme="minorHAnsi" w:hAnsi="Garamond" w:cs="Arial"/>
          <w:sz w:val="24"/>
          <w:szCs w:val="24"/>
        </w:rPr>
        <w:t>, com base em</w:t>
      </w:r>
      <w:r w:rsidR="008278C4" w:rsidRPr="003A1174">
        <w:rPr>
          <w:rFonts w:ascii="Garamond" w:eastAsiaTheme="minorHAnsi" w:hAnsi="Garamond" w:cs="Arial"/>
          <w:sz w:val="24"/>
          <w:szCs w:val="24"/>
        </w:rPr>
        <w:t xml:space="preserve"> um</w:t>
      </w:r>
      <w:r w:rsidR="00C328FC" w:rsidRPr="003A1174">
        <w:rPr>
          <w:rFonts w:ascii="Garamond" w:eastAsiaTheme="minorHAnsi" w:hAnsi="Garamond" w:cs="Arial"/>
          <w:sz w:val="24"/>
          <w:szCs w:val="24"/>
        </w:rPr>
        <w:t xml:space="preserve"> Modelo de </w:t>
      </w:r>
      <w:r w:rsidR="008278C4" w:rsidRPr="003A1174">
        <w:rPr>
          <w:rFonts w:ascii="Garamond" w:eastAsiaTheme="minorHAnsi" w:hAnsi="Garamond" w:cs="Arial"/>
          <w:sz w:val="24"/>
          <w:szCs w:val="24"/>
        </w:rPr>
        <w:t>Atenção</w:t>
      </w:r>
      <w:r w:rsidR="00C328FC" w:rsidRPr="003A1174">
        <w:rPr>
          <w:rFonts w:ascii="Garamond" w:eastAsiaTheme="minorHAnsi" w:hAnsi="Garamond" w:cs="Arial"/>
          <w:sz w:val="24"/>
          <w:szCs w:val="24"/>
        </w:rPr>
        <w:t xml:space="preserve"> Integral a </w:t>
      </w:r>
      <w:r w:rsidR="003F012B" w:rsidRPr="003A1174">
        <w:rPr>
          <w:rFonts w:ascii="Garamond" w:eastAsiaTheme="minorHAnsi" w:hAnsi="Garamond" w:cs="Arial"/>
          <w:sz w:val="24"/>
          <w:szCs w:val="24"/>
        </w:rPr>
        <w:t>vítima</w:t>
      </w:r>
      <w:r w:rsidR="00C328FC" w:rsidRPr="003A1174">
        <w:rPr>
          <w:rFonts w:ascii="Garamond" w:eastAsiaTheme="minorHAnsi" w:hAnsi="Garamond" w:cs="Arial"/>
          <w:sz w:val="24"/>
          <w:szCs w:val="24"/>
        </w:rPr>
        <w:t>s/</w:t>
      </w:r>
      <w:r w:rsidR="008278C4" w:rsidRPr="003A1174">
        <w:rPr>
          <w:rFonts w:ascii="Garamond" w:eastAsiaTheme="minorHAnsi" w:hAnsi="Garamond" w:cs="Arial"/>
          <w:sz w:val="24"/>
          <w:szCs w:val="24"/>
        </w:rPr>
        <w:t>sobrevivente</w:t>
      </w:r>
      <w:r w:rsidR="00C328FC"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00943D8D">
        <w:rPr>
          <w:rFonts w:ascii="Garamond" w:eastAsiaTheme="minorHAnsi" w:hAnsi="Garamond" w:cs="Arial"/>
          <w:sz w:val="24"/>
          <w:szCs w:val="24"/>
        </w:rPr>
        <w:t>, devido ao</w:t>
      </w:r>
      <w:r w:rsidR="008278C4" w:rsidRPr="003A1174">
        <w:rPr>
          <w:rFonts w:ascii="Garamond" w:eastAsiaTheme="minorHAnsi" w:hAnsi="Garamond" w:cs="Arial"/>
          <w:sz w:val="24"/>
          <w:szCs w:val="24"/>
        </w:rPr>
        <w:t xml:space="preserve"> </w:t>
      </w:r>
      <w:r w:rsidR="00C328FC" w:rsidRPr="003A1174">
        <w:rPr>
          <w:rFonts w:ascii="Garamond" w:eastAsiaTheme="minorHAnsi" w:hAnsi="Garamond" w:cs="Arial"/>
          <w:sz w:val="24"/>
          <w:szCs w:val="24"/>
        </w:rPr>
        <w:t xml:space="preserve">género, </w:t>
      </w:r>
      <w:r w:rsidR="008278C4" w:rsidRPr="003A1174">
        <w:rPr>
          <w:rFonts w:ascii="Garamond" w:eastAsiaTheme="minorHAnsi" w:hAnsi="Garamond" w:cs="Arial"/>
          <w:sz w:val="24"/>
          <w:szCs w:val="24"/>
        </w:rPr>
        <w:t>produto</w:t>
      </w:r>
      <w:r w:rsidR="00C328FC" w:rsidRPr="003A1174">
        <w:rPr>
          <w:rFonts w:ascii="Garamond" w:eastAsiaTheme="minorHAnsi" w:hAnsi="Garamond" w:cs="Arial"/>
          <w:sz w:val="24"/>
          <w:szCs w:val="24"/>
        </w:rPr>
        <w:t xml:space="preserve"> de u</w:t>
      </w:r>
      <w:r w:rsidR="008278C4" w:rsidRPr="003A1174">
        <w:rPr>
          <w:rFonts w:ascii="Garamond" w:eastAsiaTheme="minorHAnsi" w:hAnsi="Garamond" w:cs="Arial"/>
          <w:sz w:val="24"/>
          <w:szCs w:val="24"/>
        </w:rPr>
        <w:t>ma</w:t>
      </w:r>
      <w:r w:rsidR="00C328FC" w:rsidRPr="003A1174">
        <w:rPr>
          <w:rFonts w:ascii="Garamond" w:eastAsiaTheme="minorHAnsi" w:hAnsi="Garamond" w:cs="Arial"/>
          <w:sz w:val="24"/>
          <w:szCs w:val="24"/>
        </w:rPr>
        <w:t xml:space="preserve"> </w:t>
      </w:r>
      <w:r w:rsidR="0017447A" w:rsidRPr="003A1174">
        <w:rPr>
          <w:rFonts w:ascii="Garamond" w:eastAsiaTheme="minorHAnsi" w:hAnsi="Garamond" w:cs="Arial"/>
          <w:sz w:val="24"/>
          <w:szCs w:val="24"/>
        </w:rPr>
        <w:t>análise</w:t>
      </w:r>
      <w:r w:rsidR="00943D8D">
        <w:rPr>
          <w:rFonts w:ascii="Garamond" w:eastAsiaTheme="minorHAnsi" w:hAnsi="Garamond" w:cs="Arial"/>
          <w:sz w:val="24"/>
          <w:szCs w:val="24"/>
        </w:rPr>
        <w:t xml:space="preserve"> conjunta</w:t>
      </w:r>
      <w:r w:rsidR="00C328FC" w:rsidRPr="003A1174">
        <w:rPr>
          <w:rFonts w:ascii="Garamond" w:eastAsiaTheme="minorHAnsi" w:hAnsi="Garamond" w:cs="Arial"/>
          <w:sz w:val="24"/>
          <w:szCs w:val="24"/>
        </w:rPr>
        <w:t xml:space="preserve"> co</w:t>
      </w:r>
      <w:r w:rsidR="008278C4"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operadores de </w:t>
      </w:r>
      <w:r w:rsidR="00FC1F7F" w:rsidRPr="003A1174">
        <w:rPr>
          <w:rFonts w:ascii="Garamond" w:eastAsiaTheme="minorHAnsi" w:hAnsi="Garamond" w:cs="Arial"/>
          <w:sz w:val="24"/>
          <w:szCs w:val="24"/>
        </w:rPr>
        <w:t>justiça</w:t>
      </w:r>
      <w:r w:rsidR="00C328FC" w:rsidRPr="003A1174">
        <w:rPr>
          <w:rFonts w:ascii="Garamond" w:eastAsiaTheme="minorHAnsi" w:hAnsi="Garamond" w:cs="Arial"/>
          <w:sz w:val="24"/>
          <w:szCs w:val="24"/>
        </w:rPr>
        <w:t xml:space="preserve"> </w:t>
      </w:r>
      <w:r w:rsidR="008278C4" w:rsidRPr="003A1174">
        <w:rPr>
          <w:rFonts w:ascii="Garamond" w:eastAsiaTheme="minorHAnsi" w:hAnsi="Garamond" w:cs="Arial"/>
          <w:sz w:val="24"/>
          <w:szCs w:val="24"/>
        </w:rPr>
        <w:t>e prov</w:t>
      </w:r>
      <w:r w:rsidR="00C328FC" w:rsidRPr="003A1174">
        <w:rPr>
          <w:rFonts w:ascii="Garamond" w:eastAsiaTheme="minorHAnsi" w:hAnsi="Garamond" w:cs="Arial"/>
          <w:sz w:val="24"/>
          <w:szCs w:val="24"/>
        </w:rPr>
        <w:t xml:space="preserve">edores de </w:t>
      </w:r>
      <w:r w:rsidR="007C63D0" w:rsidRPr="003A1174">
        <w:rPr>
          <w:rFonts w:ascii="Garamond" w:eastAsiaTheme="minorHAnsi" w:hAnsi="Garamond" w:cs="Arial"/>
          <w:sz w:val="24"/>
          <w:szCs w:val="24"/>
        </w:rPr>
        <w:t>saúde</w:t>
      </w:r>
      <w:r w:rsidR="00C328FC" w:rsidRPr="003A1174">
        <w:rPr>
          <w:rFonts w:ascii="Garamond" w:eastAsiaTheme="minorHAnsi" w:hAnsi="Garamond" w:cs="Arial"/>
          <w:sz w:val="24"/>
          <w:szCs w:val="24"/>
        </w:rPr>
        <w:t>, co</w:t>
      </w:r>
      <w:r w:rsidR="008278C4" w:rsidRPr="003A1174">
        <w:rPr>
          <w:rFonts w:ascii="Garamond" w:eastAsiaTheme="minorHAnsi" w:hAnsi="Garamond" w:cs="Arial"/>
          <w:sz w:val="24"/>
          <w:szCs w:val="24"/>
        </w:rPr>
        <w:t xml:space="preserve">m o </w:t>
      </w:r>
      <w:r w:rsidR="00C328FC" w:rsidRPr="003A1174">
        <w:rPr>
          <w:rFonts w:ascii="Garamond" w:eastAsiaTheme="minorHAnsi" w:hAnsi="Garamond" w:cs="Arial"/>
          <w:sz w:val="24"/>
          <w:szCs w:val="24"/>
        </w:rPr>
        <w:t>objet</w:t>
      </w:r>
      <w:r w:rsidR="008278C4" w:rsidRPr="003A1174">
        <w:rPr>
          <w:rFonts w:ascii="Garamond" w:eastAsiaTheme="minorHAnsi" w:hAnsi="Garamond" w:cs="Arial"/>
          <w:sz w:val="24"/>
          <w:szCs w:val="24"/>
        </w:rPr>
        <w:t>iv</w:t>
      </w:r>
      <w:r w:rsidR="00C328FC" w:rsidRPr="003A1174">
        <w:rPr>
          <w:rFonts w:ascii="Garamond" w:eastAsiaTheme="minorHAnsi" w:hAnsi="Garamond" w:cs="Arial"/>
          <w:sz w:val="24"/>
          <w:szCs w:val="24"/>
        </w:rPr>
        <w:t xml:space="preserve">o de </w:t>
      </w:r>
      <w:r w:rsidR="008278C4" w:rsidRPr="003A1174">
        <w:rPr>
          <w:rFonts w:ascii="Garamond" w:eastAsiaTheme="minorHAnsi" w:hAnsi="Garamond" w:cs="Arial"/>
          <w:sz w:val="24"/>
          <w:szCs w:val="24"/>
        </w:rPr>
        <w:t>prestar</w:t>
      </w:r>
      <w:r w:rsidR="00C328FC" w:rsidRPr="003A1174">
        <w:rPr>
          <w:rFonts w:ascii="Garamond" w:eastAsiaTheme="minorHAnsi" w:hAnsi="Garamond" w:cs="Arial"/>
          <w:sz w:val="24"/>
          <w:szCs w:val="24"/>
        </w:rPr>
        <w:t xml:space="preserve"> </w:t>
      </w:r>
      <w:r w:rsidR="00943D8D">
        <w:rPr>
          <w:rFonts w:ascii="Garamond" w:eastAsiaTheme="minorHAnsi" w:hAnsi="Garamond" w:cs="Arial"/>
          <w:sz w:val="24"/>
          <w:szCs w:val="24"/>
        </w:rPr>
        <w:t xml:space="preserve">serviços </w:t>
      </w:r>
      <w:r w:rsidR="00C328FC" w:rsidRPr="003A1174">
        <w:rPr>
          <w:rFonts w:ascii="Garamond" w:eastAsiaTheme="minorHAnsi" w:hAnsi="Garamond" w:cs="Arial"/>
          <w:sz w:val="24"/>
          <w:szCs w:val="24"/>
        </w:rPr>
        <w:t xml:space="preserve">de </w:t>
      </w:r>
      <w:r w:rsidR="008278C4" w:rsidRPr="003A1174">
        <w:rPr>
          <w:rFonts w:ascii="Garamond" w:eastAsiaTheme="minorHAnsi" w:hAnsi="Garamond" w:cs="Arial"/>
          <w:sz w:val="24"/>
          <w:szCs w:val="24"/>
        </w:rPr>
        <w:t>qualidade</w:t>
      </w:r>
      <w:r w:rsidR="00943D8D">
        <w:rPr>
          <w:rFonts w:ascii="Garamond" w:eastAsiaTheme="minorHAnsi" w:hAnsi="Garamond" w:cs="Arial"/>
          <w:sz w:val="24"/>
          <w:szCs w:val="24"/>
        </w:rPr>
        <w:t xml:space="preserve"> </w:t>
      </w:r>
      <w:r w:rsidR="00943D8D" w:rsidRPr="003A1174">
        <w:rPr>
          <w:rFonts w:ascii="Garamond" w:eastAsiaTheme="minorHAnsi" w:hAnsi="Garamond" w:cs="Arial"/>
          <w:sz w:val="24"/>
          <w:szCs w:val="24"/>
        </w:rPr>
        <w:t>às vítimas</w:t>
      </w:r>
      <w:r w:rsidR="00943D8D">
        <w:rPr>
          <w:rFonts w:ascii="Garamond" w:eastAsiaTheme="minorHAnsi" w:hAnsi="Garamond" w:cs="Arial"/>
          <w:sz w:val="24"/>
          <w:szCs w:val="24"/>
        </w:rPr>
        <w:t>,</w:t>
      </w:r>
      <w:r w:rsidR="00943D8D" w:rsidRPr="003A1174">
        <w:rPr>
          <w:rFonts w:ascii="Garamond" w:eastAsiaTheme="minorHAnsi" w:hAnsi="Garamond" w:cs="Arial"/>
          <w:sz w:val="24"/>
          <w:szCs w:val="24"/>
        </w:rPr>
        <w:t xml:space="preserve"> </w:t>
      </w:r>
      <w:r w:rsidR="00943D8D">
        <w:rPr>
          <w:rFonts w:ascii="Garamond" w:eastAsiaTheme="minorHAnsi" w:hAnsi="Garamond" w:cs="Arial"/>
          <w:sz w:val="24"/>
          <w:szCs w:val="24"/>
        </w:rPr>
        <w:t>através de</w:t>
      </w:r>
      <w:r w:rsidR="00943D8D" w:rsidRPr="003A1174">
        <w:rPr>
          <w:rFonts w:ascii="Garamond" w:eastAsiaTheme="minorHAnsi" w:hAnsi="Garamond" w:cs="Arial"/>
          <w:sz w:val="24"/>
          <w:szCs w:val="24"/>
        </w:rPr>
        <w:t xml:space="preserve"> pessoal sensibilizado e capacitado para lidar</w:t>
      </w:r>
      <w:r w:rsidR="00943D8D">
        <w:rPr>
          <w:rFonts w:ascii="Garamond" w:eastAsiaTheme="minorHAnsi" w:hAnsi="Garamond" w:cs="Arial"/>
          <w:sz w:val="24"/>
          <w:szCs w:val="24"/>
        </w:rPr>
        <w:t>,</w:t>
      </w:r>
      <w:r w:rsidR="00943D8D" w:rsidRPr="003A1174">
        <w:rPr>
          <w:rFonts w:ascii="Garamond" w:eastAsiaTheme="minorHAnsi" w:hAnsi="Garamond" w:cs="Arial"/>
          <w:sz w:val="24"/>
          <w:szCs w:val="24"/>
        </w:rPr>
        <w:t xml:space="preserve"> adequadamente</w:t>
      </w:r>
      <w:r w:rsidR="00943D8D">
        <w:rPr>
          <w:rFonts w:ascii="Garamond" w:eastAsiaTheme="minorHAnsi" w:hAnsi="Garamond" w:cs="Arial"/>
          <w:sz w:val="24"/>
          <w:szCs w:val="24"/>
        </w:rPr>
        <w:t>,</w:t>
      </w:r>
      <w:r w:rsidR="00943D8D" w:rsidRPr="003A1174">
        <w:rPr>
          <w:rFonts w:ascii="Garamond" w:eastAsiaTheme="minorHAnsi" w:hAnsi="Garamond" w:cs="Arial"/>
          <w:sz w:val="24"/>
          <w:szCs w:val="24"/>
        </w:rPr>
        <w:t xml:space="preserve"> com a violência</w:t>
      </w:r>
      <w:r w:rsidR="00943D8D">
        <w:rPr>
          <w:rFonts w:ascii="Garamond" w:eastAsiaTheme="minorHAnsi" w:hAnsi="Garamond" w:cs="Arial"/>
          <w:sz w:val="24"/>
          <w:szCs w:val="24"/>
        </w:rPr>
        <w:t xml:space="preserve">, no </w:t>
      </w:r>
      <w:r w:rsidR="00C328FC" w:rsidRPr="003A1174">
        <w:rPr>
          <w:rFonts w:ascii="Garamond" w:eastAsiaTheme="minorHAnsi" w:hAnsi="Garamond" w:cs="Arial"/>
          <w:sz w:val="24"/>
          <w:szCs w:val="24"/>
        </w:rPr>
        <w:t>respe</w:t>
      </w:r>
      <w:r w:rsidR="008278C4" w:rsidRPr="003A1174">
        <w:rPr>
          <w:rFonts w:ascii="Garamond" w:eastAsiaTheme="minorHAnsi" w:hAnsi="Garamond" w:cs="Arial"/>
          <w:sz w:val="24"/>
          <w:szCs w:val="24"/>
        </w:rPr>
        <w:t>i</w:t>
      </w:r>
      <w:r w:rsidR="00C328FC" w:rsidRPr="003A1174">
        <w:rPr>
          <w:rFonts w:ascii="Garamond" w:eastAsiaTheme="minorHAnsi" w:hAnsi="Garamond" w:cs="Arial"/>
          <w:sz w:val="24"/>
          <w:szCs w:val="24"/>
        </w:rPr>
        <w:t>t</w:t>
      </w:r>
      <w:r w:rsidR="00943D8D">
        <w:rPr>
          <w:rFonts w:ascii="Garamond" w:eastAsiaTheme="minorHAnsi" w:hAnsi="Garamond" w:cs="Arial"/>
          <w:sz w:val="24"/>
          <w:szCs w:val="24"/>
        </w:rPr>
        <w:t>o pelos</w:t>
      </w:r>
      <w:r w:rsidR="008278C4" w:rsidRPr="003A1174">
        <w:rPr>
          <w:rFonts w:ascii="Garamond" w:eastAsiaTheme="minorHAnsi" w:hAnsi="Garamond" w:cs="Arial"/>
          <w:sz w:val="24"/>
          <w:szCs w:val="24"/>
        </w:rPr>
        <w:t xml:space="preserve"> </w:t>
      </w:r>
      <w:r w:rsidR="00C328FC" w:rsidRPr="003A1174">
        <w:rPr>
          <w:rFonts w:ascii="Garamond" w:eastAsiaTheme="minorHAnsi" w:hAnsi="Garamond" w:cs="Arial"/>
          <w:sz w:val="24"/>
          <w:szCs w:val="24"/>
        </w:rPr>
        <w:t>s</w:t>
      </w:r>
      <w:r w:rsidR="008278C4"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us </w:t>
      </w:r>
      <w:r w:rsidR="00886D6A" w:rsidRPr="003A1174">
        <w:rPr>
          <w:rFonts w:ascii="Garamond" w:eastAsiaTheme="minorHAnsi" w:hAnsi="Garamond" w:cs="Arial"/>
          <w:sz w:val="24"/>
          <w:szCs w:val="24"/>
        </w:rPr>
        <w:t>direito</w:t>
      </w:r>
      <w:r w:rsidR="00C328FC" w:rsidRPr="003A1174">
        <w:rPr>
          <w:rFonts w:ascii="Garamond" w:eastAsiaTheme="minorHAnsi" w:hAnsi="Garamond" w:cs="Arial"/>
          <w:sz w:val="24"/>
          <w:szCs w:val="24"/>
        </w:rPr>
        <w:t>s humanos</w:t>
      </w:r>
      <w:r w:rsidR="00943D8D">
        <w:rPr>
          <w:rFonts w:ascii="Garamond" w:eastAsiaTheme="minorHAnsi" w:hAnsi="Garamond" w:cs="Arial"/>
          <w:sz w:val="24"/>
          <w:szCs w:val="24"/>
        </w:rPr>
        <w:t>.</w:t>
      </w:r>
      <w:r w:rsidR="00C328FC" w:rsidRPr="003A1174">
        <w:rPr>
          <w:rFonts w:ascii="Garamond" w:eastAsiaTheme="minorHAnsi" w:hAnsi="Garamond" w:cs="Arial"/>
          <w:sz w:val="24"/>
          <w:szCs w:val="24"/>
        </w:rPr>
        <w:t xml:space="preserve"> </w:t>
      </w:r>
      <w:r w:rsidR="00943D8D">
        <w:rPr>
          <w:rFonts w:ascii="Garamond" w:eastAsiaTheme="minorHAnsi" w:hAnsi="Garamond" w:cs="Arial"/>
          <w:sz w:val="24"/>
          <w:szCs w:val="24"/>
        </w:rPr>
        <w:t xml:space="preserve">Com este propósito, </w:t>
      </w:r>
      <w:r w:rsidR="008278C4" w:rsidRPr="003A1174">
        <w:rPr>
          <w:rFonts w:ascii="Garamond" w:eastAsiaTheme="minorHAnsi" w:hAnsi="Garamond" w:cs="Arial"/>
          <w:sz w:val="24"/>
          <w:szCs w:val="24"/>
        </w:rPr>
        <w:t xml:space="preserve">formou-se uma </w:t>
      </w:r>
      <w:r w:rsidR="00C30647" w:rsidRPr="003A1174">
        <w:rPr>
          <w:rFonts w:ascii="Garamond" w:eastAsiaTheme="minorHAnsi" w:hAnsi="Garamond" w:cs="Arial"/>
          <w:sz w:val="24"/>
          <w:szCs w:val="24"/>
        </w:rPr>
        <w:t>Equipa</w:t>
      </w:r>
      <w:r w:rsidR="00FC4A4E" w:rsidRPr="003A1174">
        <w:rPr>
          <w:rFonts w:ascii="Garamond" w:eastAsiaTheme="minorHAnsi" w:hAnsi="Garamond" w:cs="Arial"/>
          <w:sz w:val="24"/>
          <w:szCs w:val="24"/>
        </w:rPr>
        <w:t xml:space="preserve"> Técnica Operativa</w:t>
      </w:r>
      <w:r w:rsidR="00C328FC" w:rsidRPr="003A1174">
        <w:rPr>
          <w:rFonts w:ascii="Garamond" w:eastAsiaTheme="minorHAnsi" w:hAnsi="Garamond" w:cs="Arial"/>
          <w:sz w:val="24"/>
          <w:szCs w:val="24"/>
        </w:rPr>
        <w:t xml:space="preserve"> co</w:t>
      </w:r>
      <w:r w:rsidR="00FC4A4E"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w:t>
      </w:r>
      <w:r w:rsidR="008278C4" w:rsidRPr="003A1174">
        <w:rPr>
          <w:rFonts w:ascii="Garamond" w:eastAsiaTheme="minorHAnsi" w:hAnsi="Garamond" w:cs="Arial"/>
          <w:sz w:val="24"/>
          <w:szCs w:val="24"/>
        </w:rPr>
        <w:t>pessoal</w:t>
      </w:r>
      <w:r w:rsidR="00C328FC" w:rsidRPr="003A1174">
        <w:rPr>
          <w:rFonts w:ascii="Garamond" w:eastAsiaTheme="minorHAnsi" w:hAnsi="Garamond" w:cs="Arial"/>
          <w:sz w:val="24"/>
          <w:szCs w:val="24"/>
        </w:rPr>
        <w:t xml:space="preserve"> de </w:t>
      </w:r>
      <w:r w:rsidR="007C63D0" w:rsidRPr="003A1174">
        <w:rPr>
          <w:rFonts w:ascii="Garamond" w:eastAsiaTheme="minorHAnsi" w:hAnsi="Garamond" w:cs="Arial"/>
          <w:sz w:val="24"/>
          <w:szCs w:val="24"/>
        </w:rPr>
        <w:t>Saúde</w:t>
      </w:r>
      <w:r w:rsidR="00FC4A4E" w:rsidRPr="003A1174">
        <w:rPr>
          <w:rFonts w:ascii="Garamond" w:eastAsiaTheme="minorHAnsi" w:hAnsi="Garamond" w:cs="Arial"/>
          <w:sz w:val="24"/>
          <w:szCs w:val="24"/>
        </w:rPr>
        <w:t xml:space="preserve"> e</w:t>
      </w:r>
      <w:r w:rsidR="00C328FC" w:rsidRPr="003A1174">
        <w:rPr>
          <w:rFonts w:ascii="Garamond" w:eastAsiaTheme="minorHAnsi" w:hAnsi="Garamond" w:cs="Arial"/>
          <w:sz w:val="24"/>
          <w:szCs w:val="24"/>
        </w:rPr>
        <w:t xml:space="preserve"> </w:t>
      </w:r>
      <w:r w:rsidR="00FC1F7F" w:rsidRPr="003A1174">
        <w:rPr>
          <w:rFonts w:ascii="Garamond" w:eastAsiaTheme="minorHAnsi" w:hAnsi="Garamond" w:cs="Arial"/>
          <w:sz w:val="24"/>
          <w:szCs w:val="24"/>
        </w:rPr>
        <w:t>Justiça</w:t>
      </w:r>
      <w:r w:rsidR="00C328FC" w:rsidRPr="003A1174">
        <w:rPr>
          <w:rFonts w:ascii="Garamond" w:eastAsiaTheme="minorHAnsi" w:hAnsi="Garamond" w:cs="Arial"/>
          <w:sz w:val="24"/>
          <w:szCs w:val="24"/>
        </w:rPr>
        <w:t xml:space="preserve">, para </w:t>
      </w:r>
      <w:r w:rsidR="00FC4A4E" w:rsidRPr="003A1174">
        <w:rPr>
          <w:rFonts w:ascii="Garamond" w:eastAsiaTheme="minorHAnsi" w:hAnsi="Garamond" w:cs="Arial"/>
          <w:sz w:val="24"/>
          <w:szCs w:val="24"/>
        </w:rPr>
        <w:t>coordenar e</w:t>
      </w:r>
      <w:r w:rsidR="00C328FC" w:rsidRPr="003A1174">
        <w:rPr>
          <w:rFonts w:ascii="Garamond" w:eastAsiaTheme="minorHAnsi" w:hAnsi="Garamond" w:cs="Arial"/>
          <w:sz w:val="24"/>
          <w:szCs w:val="24"/>
        </w:rPr>
        <w:t xml:space="preserve"> </w:t>
      </w:r>
      <w:r w:rsidR="00FC4A4E" w:rsidRPr="003A1174">
        <w:rPr>
          <w:rFonts w:ascii="Garamond" w:eastAsiaTheme="minorHAnsi" w:hAnsi="Garamond" w:cs="Arial"/>
          <w:sz w:val="24"/>
          <w:szCs w:val="24"/>
        </w:rPr>
        <w:t>monitorizar</w:t>
      </w:r>
      <w:r w:rsidR="00C328FC" w:rsidRPr="003A1174">
        <w:rPr>
          <w:rFonts w:ascii="Garamond" w:eastAsiaTheme="minorHAnsi" w:hAnsi="Garamond" w:cs="Arial"/>
          <w:sz w:val="24"/>
          <w:szCs w:val="24"/>
        </w:rPr>
        <w:t xml:space="preserve"> </w:t>
      </w:r>
      <w:r w:rsidR="00FC4A4E" w:rsidRPr="003A1174">
        <w:rPr>
          <w:rFonts w:ascii="Garamond" w:eastAsiaTheme="minorHAnsi" w:hAnsi="Garamond" w:cs="Arial"/>
          <w:sz w:val="24"/>
          <w:szCs w:val="24"/>
        </w:rPr>
        <w:t xml:space="preserve">este </w:t>
      </w:r>
      <w:r w:rsidR="00C328FC" w:rsidRPr="003A1174">
        <w:rPr>
          <w:rFonts w:ascii="Garamond" w:eastAsiaTheme="minorHAnsi" w:hAnsi="Garamond" w:cs="Arial"/>
          <w:sz w:val="24"/>
          <w:szCs w:val="24"/>
        </w:rPr>
        <w:t xml:space="preserve">modelo. </w:t>
      </w:r>
      <w:r w:rsidR="000350B1" w:rsidRPr="003A1174">
        <w:rPr>
          <w:rFonts w:ascii="Garamond" w:eastAsiaTheme="minorHAnsi" w:hAnsi="Garamond" w:cs="Arial"/>
          <w:sz w:val="24"/>
          <w:szCs w:val="24"/>
        </w:rPr>
        <w:t>Também</w:t>
      </w:r>
      <w:r w:rsidR="00C328FC" w:rsidRPr="003A1174">
        <w:rPr>
          <w:rFonts w:ascii="Garamond" w:eastAsiaTheme="minorHAnsi" w:hAnsi="Garamond" w:cs="Arial"/>
          <w:sz w:val="24"/>
          <w:szCs w:val="24"/>
        </w:rPr>
        <w:t xml:space="preserve"> se </w:t>
      </w:r>
      <w:r w:rsidR="00FC4A4E" w:rsidRPr="003A1174">
        <w:rPr>
          <w:rFonts w:ascii="Garamond" w:eastAsiaTheme="minorHAnsi" w:hAnsi="Garamond" w:cs="Arial"/>
          <w:sz w:val="24"/>
          <w:szCs w:val="24"/>
        </w:rPr>
        <w:t>dispõe d</w:t>
      </w:r>
      <w:r w:rsidR="00620CE8" w:rsidRPr="003A1174">
        <w:rPr>
          <w:rFonts w:ascii="Garamond" w:eastAsiaTheme="minorHAnsi" w:hAnsi="Garamond" w:cs="Arial"/>
          <w:sz w:val="24"/>
          <w:szCs w:val="24"/>
        </w:rPr>
        <w:t xml:space="preserve">o Gabinete </w:t>
      </w:r>
      <w:r w:rsidR="00C328FC" w:rsidRPr="003A1174">
        <w:rPr>
          <w:rFonts w:ascii="Garamond" w:eastAsiaTheme="minorHAnsi" w:hAnsi="Garamond" w:cs="Arial"/>
          <w:sz w:val="24"/>
          <w:szCs w:val="24"/>
        </w:rPr>
        <w:t xml:space="preserve">de </w:t>
      </w:r>
      <w:r w:rsidR="008278C4" w:rsidRPr="003A1174">
        <w:rPr>
          <w:rFonts w:ascii="Garamond" w:eastAsiaTheme="minorHAnsi" w:hAnsi="Garamond" w:cs="Arial"/>
          <w:sz w:val="24"/>
          <w:szCs w:val="24"/>
        </w:rPr>
        <w:t>Atenção</w:t>
      </w:r>
      <w:r w:rsidR="00FC4A4E" w:rsidRPr="003A1174">
        <w:rPr>
          <w:rFonts w:ascii="Garamond" w:eastAsiaTheme="minorHAnsi" w:hAnsi="Garamond" w:cs="Arial"/>
          <w:sz w:val="24"/>
          <w:szCs w:val="24"/>
        </w:rPr>
        <w:t xml:space="preserve"> Integral para </w:t>
      </w:r>
      <w:r w:rsidR="00C328FC" w:rsidRPr="003A1174">
        <w:rPr>
          <w:rFonts w:ascii="Garamond" w:eastAsiaTheme="minorHAnsi" w:hAnsi="Garamond" w:cs="Arial"/>
          <w:sz w:val="24"/>
          <w:szCs w:val="24"/>
        </w:rPr>
        <w:t xml:space="preserve">as </w:t>
      </w:r>
      <w:r w:rsidR="00054EE0" w:rsidRPr="003A1174">
        <w:rPr>
          <w:rFonts w:ascii="Garamond" w:eastAsiaTheme="minorHAnsi" w:hAnsi="Garamond" w:cs="Arial"/>
          <w:sz w:val="24"/>
          <w:szCs w:val="24"/>
        </w:rPr>
        <w:t>Mulheres</w:t>
      </w:r>
      <w:r w:rsidR="00C328FC" w:rsidRPr="003A1174">
        <w:rPr>
          <w:rFonts w:ascii="Garamond" w:eastAsiaTheme="minorHAnsi" w:hAnsi="Garamond" w:cs="Arial"/>
          <w:sz w:val="24"/>
          <w:szCs w:val="24"/>
        </w:rPr>
        <w:t xml:space="preserve"> </w:t>
      </w:r>
      <w:r w:rsidR="003F012B" w:rsidRPr="003A1174">
        <w:rPr>
          <w:rFonts w:ascii="Garamond" w:eastAsiaTheme="minorHAnsi" w:hAnsi="Garamond" w:cs="Arial"/>
          <w:sz w:val="24"/>
          <w:szCs w:val="24"/>
        </w:rPr>
        <w:t>Vítima</w:t>
      </w:r>
      <w:r w:rsidR="00C328FC"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00C328FC" w:rsidRPr="003A1174">
        <w:rPr>
          <w:rFonts w:ascii="Garamond" w:eastAsiaTheme="minorHAnsi" w:hAnsi="Garamond" w:cs="Arial"/>
          <w:sz w:val="24"/>
          <w:szCs w:val="24"/>
        </w:rPr>
        <w:t xml:space="preserve"> </w:t>
      </w:r>
      <w:r w:rsidR="00C328FC" w:rsidRPr="003A1174">
        <w:rPr>
          <w:rFonts w:ascii="Garamond" w:eastAsiaTheme="minorHAnsi" w:hAnsi="Garamond" w:cs="Arial"/>
          <w:color w:val="000000" w:themeColor="text1"/>
          <w:sz w:val="24"/>
          <w:szCs w:val="24"/>
        </w:rPr>
        <w:t xml:space="preserve">da </w:t>
      </w:r>
      <w:r w:rsidR="00A23EB8" w:rsidRPr="003A1174">
        <w:rPr>
          <w:rFonts w:ascii="Garamond" w:eastAsiaTheme="minorHAnsi" w:hAnsi="Garamond" w:cs="Arial"/>
          <w:color w:val="000000" w:themeColor="text1"/>
          <w:sz w:val="24"/>
          <w:szCs w:val="24"/>
        </w:rPr>
        <w:t xml:space="preserve">Procuradoria </w:t>
      </w:r>
      <w:r w:rsidR="00FC4A4E" w:rsidRPr="003A1174">
        <w:rPr>
          <w:rFonts w:ascii="Garamond" w:eastAsiaTheme="minorHAnsi" w:hAnsi="Garamond" w:cs="Arial"/>
          <w:sz w:val="24"/>
          <w:szCs w:val="24"/>
        </w:rPr>
        <w:t>d</w:t>
      </w:r>
      <w:r w:rsidR="00C328FC" w:rsidRPr="003A1174">
        <w:rPr>
          <w:rFonts w:ascii="Garamond" w:eastAsiaTheme="minorHAnsi" w:hAnsi="Garamond" w:cs="Arial"/>
          <w:sz w:val="24"/>
          <w:szCs w:val="24"/>
        </w:rPr>
        <w:t xml:space="preserve">a </w:t>
      </w:r>
      <w:r w:rsidR="00AF192F" w:rsidRPr="003A1174">
        <w:rPr>
          <w:rFonts w:ascii="Garamond" w:eastAsiaTheme="minorHAnsi" w:hAnsi="Garamond" w:cs="Arial"/>
          <w:sz w:val="24"/>
          <w:szCs w:val="24"/>
        </w:rPr>
        <w:t>Mulher</w:t>
      </w:r>
      <w:r w:rsidR="00C328FC" w:rsidRPr="003A1174">
        <w:rPr>
          <w:rFonts w:ascii="Garamond" w:eastAsiaTheme="minorHAnsi" w:hAnsi="Garamond" w:cs="Arial"/>
          <w:sz w:val="24"/>
          <w:szCs w:val="24"/>
        </w:rPr>
        <w:t xml:space="preserve"> d</w:t>
      </w:r>
      <w:r w:rsidR="00FC4A4E" w:rsidRPr="003A1174">
        <w:rPr>
          <w:rFonts w:ascii="Garamond" w:eastAsiaTheme="minorHAnsi" w:hAnsi="Garamond" w:cs="Arial"/>
          <w:sz w:val="24"/>
          <w:szCs w:val="24"/>
        </w:rPr>
        <w:t>o Ministé</w:t>
      </w:r>
      <w:r w:rsidR="00C328FC" w:rsidRPr="003A1174">
        <w:rPr>
          <w:rFonts w:ascii="Garamond" w:eastAsiaTheme="minorHAnsi" w:hAnsi="Garamond" w:cs="Arial"/>
          <w:sz w:val="24"/>
          <w:szCs w:val="24"/>
        </w:rPr>
        <w:t>rio Público e</w:t>
      </w:r>
      <w:r w:rsidR="00FC4A4E"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Tegucigalpa, </w:t>
      </w:r>
      <w:r w:rsidR="009A4795">
        <w:rPr>
          <w:rFonts w:ascii="Garamond" w:eastAsiaTheme="minorHAnsi" w:hAnsi="Garamond" w:cs="Arial"/>
          <w:sz w:val="24"/>
          <w:szCs w:val="24"/>
        </w:rPr>
        <w:t>que disponibiliza</w:t>
      </w:r>
      <w:r w:rsidR="00C328FC" w:rsidRPr="003A1174">
        <w:rPr>
          <w:rFonts w:ascii="Garamond" w:eastAsiaTheme="minorHAnsi" w:hAnsi="Garamond" w:cs="Arial"/>
          <w:sz w:val="24"/>
          <w:szCs w:val="24"/>
        </w:rPr>
        <w:t xml:space="preserve"> u</w:t>
      </w:r>
      <w:r w:rsidR="00FC4A4E" w:rsidRPr="003A1174">
        <w:rPr>
          <w:rFonts w:ascii="Garamond" w:eastAsiaTheme="minorHAnsi" w:hAnsi="Garamond" w:cs="Arial"/>
          <w:sz w:val="24"/>
          <w:szCs w:val="24"/>
        </w:rPr>
        <w:t xml:space="preserve">ma </w:t>
      </w:r>
      <w:r w:rsidR="00C30647" w:rsidRPr="003A1174">
        <w:rPr>
          <w:rFonts w:ascii="Garamond" w:eastAsiaTheme="minorHAnsi" w:hAnsi="Garamond" w:cs="Arial"/>
          <w:sz w:val="24"/>
          <w:szCs w:val="24"/>
        </w:rPr>
        <w:t>equipa</w:t>
      </w:r>
      <w:r w:rsidR="00C328FC" w:rsidRPr="003A1174">
        <w:rPr>
          <w:rFonts w:ascii="Garamond" w:eastAsiaTheme="minorHAnsi" w:hAnsi="Garamond" w:cs="Arial"/>
          <w:sz w:val="24"/>
          <w:szCs w:val="24"/>
        </w:rPr>
        <w:t xml:space="preserve"> de </w:t>
      </w:r>
      <w:r w:rsidR="0017447A" w:rsidRPr="003A1174">
        <w:rPr>
          <w:rFonts w:ascii="Garamond" w:eastAsiaTheme="minorHAnsi" w:hAnsi="Garamond" w:cs="Arial"/>
          <w:sz w:val="24"/>
          <w:szCs w:val="24"/>
        </w:rPr>
        <w:t>trabalho</w:t>
      </w:r>
      <w:r w:rsidR="00C328FC" w:rsidRPr="003A1174">
        <w:rPr>
          <w:rFonts w:ascii="Garamond" w:eastAsiaTheme="minorHAnsi" w:hAnsi="Garamond" w:cs="Arial"/>
          <w:sz w:val="24"/>
          <w:szCs w:val="24"/>
        </w:rPr>
        <w:t xml:space="preserve"> interdisciplinar que compre</w:t>
      </w:r>
      <w:r w:rsidR="00FC4A4E" w:rsidRPr="003A1174">
        <w:rPr>
          <w:rFonts w:ascii="Garamond" w:eastAsiaTheme="minorHAnsi" w:hAnsi="Garamond" w:cs="Arial"/>
          <w:sz w:val="24"/>
          <w:szCs w:val="24"/>
        </w:rPr>
        <w:t xml:space="preserve">ende </w:t>
      </w:r>
      <w:r w:rsidR="00C328FC" w:rsidRPr="003A1174">
        <w:rPr>
          <w:rFonts w:ascii="Garamond" w:eastAsiaTheme="minorHAnsi" w:hAnsi="Garamond" w:cs="Arial"/>
          <w:sz w:val="24"/>
          <w:szCs w:val="24"/>
        </w:rPr>
        <w:t xml:space="preserve">as áreas de </w:t>
      </w:r>
      <w:r w:rsidR="000350B1" w:rsidRPr="003A1174">
        <w:rPr>
          <w:rFonts w:ascii="Garamond" w:eastAsiaTheme="minorHAnsi" w:hAnsi="Garamond" w:cs="Arial"/>
          <w:sz w:val="24"/>
          <w:szCs w:val="24"/>
        </w:rPr>
        <w:t>assistência</w:t>
      </w:r>
      <w:r w:rsidR="00C328FC" w:rsidRPr="003A1174">
        <w:rPr>
          <w:rFonts w:ascii="Garamond" w:eastAsiaTheme="minorHAnsi" w:hAnsi="Garamond" w:cs="Arial"/>
          <w:sz w:val="24"/>
          <w:szCs w:val="24"/>
        </w:rPr>
        <w:t xml:space="preserve"> técnica jurídica, </w:t>
      </w:r>
      <w:r w:rsidR="0017447A" w:rsidRPr="003A1174">
        <w:rPr>
          <w:rFonts w:ascii="Garamond" w:eastAsiaTheme="minorHAnsi" w:hAnsi="Garamond" w:cs="Arial"/>
          <w:sz w:val="24"/>
          <w:szCs w:val="24"/>
        </w:rPr>
        <w:t>trabalho</w:t>
      </w:r>
      <w:r w:rsidR="00C328FC" w:rsidRPr="003A1174">
        <w:rPr>
          <w:rFonts w:ascii="Garamond" w:eastAsiaTheme="minorHAnsi" w:hAnsi="Garamond" w:cs="Arial"/>
          <w:sz w:val="24"/>
          <w:szCs w:val="24"/>
        </w:rPr>
        <w:t xml:space="preserve"> social, </w:t>
      </w:r>
      <w:r w:rsidR="000350B1" w:rsidRPr="003A1174">
        <w:rPr>
          <w:rFonts w:ascii="Garamond" w:eastAsiaTheme="minorHAnsi" w:hAnsi="Garamond" w:cs="Arial"/>
          <w:sz w:val="24"/>
          <w:szCs w:val="24"/>
        </w:rPr>
        <w:t>psicologia</w:t>
      </w:r>
      <w:r w:rsidR="00FC4A4E" w:rsidRPr="003A1174">
        <w:rPr>
          <w:rFonts w:ascii="Garamond" w:eastAsiaTheme="minorHAnsi" w:hAnsi="Garamond" w:cs="Arial"/>
          <w:sz w:val="24"/>
          <w:szCs w:val="24"/>
        </w:rPr>
        <w:t xml:space="preserve"> e</w:t>
      </w:r>
      <w:r w:rsidR="00C328FC" w:rsidRPr="003A1174">
        <w:rPr>
          <w:rFonts w:ascii="Garamond" w:eastAsiaTheme="minorHAnsi" w:hAnsi="Garamond" w:cs="Arial"/>
          <w:sz w:val="24"/>
          <w:szCs w:val="24"/>
        </w:rPr>
        <w:t xml:space="preserve"> medicina forense a fi</w:t>
      </w:r>
      <w:r w:rsidR="00FC4A4E" w:rsidRPr="003A1174">
        <w:rPr>
          <w:rFonts w:ascii="Garamond" w:eastAsiaTheme="minorHAnsi" w:hAnsi="Garamond" w:cs="Arial"/>
          <w:sz w:val="24"/>
          <w:szCs w:val="24"/>
        </w:rPr>
        <w:t>m de proporcionar um atendimento rápido e personalizado</w:t>
      </w:r>
      <w:r w:rsidR="00C328FC" w:rsidRPr="003A1174">
        <w:rPr>
          <w:rFonts w:ascii="Garamond" w:eastAsiaTheme="minorHAnsi" w:hAnsi="Garamond" w:cs="Arial"/>
          <w:sz w:val="24"/>
          <w:szCs w:val="24"/>
        </w:rPr>
        <w:t xml:space="preserve"> que </w:t>
      </w:r>
      <w:r w:rsidR="00203A8A" w:rsidRPr="003A1174">
        <w:rPr>
          <w:rFonts w:ascii="Garamond" w:eastAsiaTheme="minorHAnsi" w:hAnsi="Garamond" w:cs="Arial"/>
          <w:sz w:val="24"/>
          <w:szCs w:val="24"/>
        </w:rPr>
        <w:t>reduza</w:t>
      </w:r>
      <w:r w:rsidR="00C328FC" w:rsidRPr="003A1174">
        <w:rPr>
          <w:rFonts w:ascii="Garamond" w:eastAsiaTheme="minorHAnsi" w:hAnsi="Garamond" w:cs="Arial"/>
          <w:sz w:val="24"/>
          <w:szCs w:val="24"/>
        </w:rPr>
        <w:t xml:space="preserve"> </w:t>
      </w:r>
      <w:r w:rsidR="00FC4A4E" w:rsidRPr="003A1174">
        <w:rPr>
          <w:rFonts w:ascii="Garamond" w:eastAsiaTheme="minorHAnsi" w:hAnsi="Garamond" w:cs="Arial"/>
          <w:sz w:val="24"/>
          <w:szCs w:val="24"/>
        </w:rPr>
        <w:t xml:space="preserve">o </w:t>
      </w:r>
      <w:r w:rsidR="00C328FC" w:rsidRPr="003A1174">
        <w:rPr>
          <w:rFonts w:ascii="Garamond" w:eastAsiaTheme="minorHAnsi" w:hAnsi="Garamond" w:cs="Arial"/>
          <w:sz w:val="24"/>
          <w:szCs w:val="24"/>
        </w:rPr>
        <w:t>impacto causado p</w:t>
      </w:r>
      <w:r w:rsidR="00FC4A4E"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la </w:t>
      </w:r>
      <w:r w:rsidR="000350B1" w:rsidRPr="003A1174">
        <w:rPr>
          <w:rFonts w:ascii="Garamond" w:eastAsiaTheme="minorHAnsi" w:hAnsi="Garamond" w:cs="Arial"/>
          <w:sz w:val="24"/>
          <w:szCs w:val="24"/>
        </w:rPr>
        <w:t>violência</w:t>
      </w:r>
      <w:r w:rsidR="00C328FC" w:rsidRPr="003A1174">
        <w:rPr>
          <w:rFonts w:ascii="Garamond" w:eastAsiaTheme="minorHAnsi" w:hAnsi="Garamond" w:cs="Arial"/>
          <w:sz w:val="24"/>
          <w:szCs w:val="24"/>
        </w:rPr>
        <w:t>.</w:t>
      </w:r>
    </w:p>
    <w:p w:rsidR="00C328FC" w:rsidRPr="003A1174" w:rsidRDefault="00FC4A4E"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O Comissário</w:t>
      </w:r>
      <w:r w:rsidR="00C328FC" w:rsidRPr="003A1174">
        <w:rPr>
          <w:rFonts w:ascii="Garamond" w:eastAsiaTheme="minorHAnsi" w:hAnsi="Garamond" w:cs="Arial"/>
          <w:sz w:val="24"/>
          <w:szCs w:val="24"/>
        </w:rPr>
        <w:t xml:space="preserve"> Nacional dos </w:t>
      </w:r>
      <w:r w:rsidR="00886D6A" w:rsidRPr="003A1174">
        <w:rPr>
          <w:rFonts w:ascii="Garamond" w:eastAsiaTheme="minorHAnsi" w:hAnsi="Garamond" w:cs="Arial"/>
          <w:sz w:val="24"/>
          <w:szCs w:val="24"/>
        </w:rPr>
        <w:t>Direito</w:t>
      </w:r>
      <w:r w:rsidR="00C328FC" w:rsidRPr="003A1174">
        <w:rPr>
          <w:rFonts w:ascii="Garamond" w:eastAsiaTheme="minorHAnsi" w:hAnsi="Garamond" w:cs="Arial"/>
          <w:sz w:val="24"/>
          <w:szCs w:val="24"/>
        </w:rPr>
        <w:t>s Humanos f</w:t>
      </w:r>
      <w:r w:rsidRPr="003A1174">
        <w:rPr>
          <w:rFonts w:ascii="Garamond" w:eastAsiaTheme="minorHAnsi" w:hAnsi="Garamond" w:cs="Arial"/>
          <w:sz w:val="24"/>
          <w:szCs w:val="24"/>
        </w:rPr>
        <w:t xml:space="preserve">az </w:t>
      </w:r>
      <w:r w:rsidR="00C328FC" w:rsidRPr="003A1174">
        <w:rPr>
          <w:rFonts w:ascii="Garamond" w:eastAsiaTheme="minorHAnsi" w:hAnsi="Garamond" w:cs="Arial"/>
          <w:sz w:val="24"/>
          <w:szCs w:val="24"/>
        </w:rPr>
        <w:t xml:space="preserve">parte da </w:t>
      </w:r>
      <w:r w:rsidR="00FC1F7F" w:rsidRPr="003A1174">
        <w:rPr>
          <w:rFonts w:ascii="Garamond" w:eastAsiaTheme="minorHAnsi" w:hAnsi="Garamond" w:cs="Arial"/>
          <w:sz w:val="24"/>
          <w:szCs w:val="24"/>
        </w:rPr>
        <w:t>Comissão</w:t>
      </w:r>
      <w:r w:rsidR="00C328FC" w:rsidRPr="003A1174">
        <w:rPr>
          <w:rFonts w:ascii="Garamond" w:eastAsiaTheme="minorHAnsi" w:hAnsi="Garamond" w:cs="Arial"/>
          <w:sz w:val="24"/>
          <w:szCs w:val="24"/>
        </w:rPr>
        <w:t xml:space="preserve"> Interinstitucional de </w:t>
      </w:r>
      <w:r w:rsidR="00CD1643">
        <w:rPr>
          <w:rFonts w:ascii="Garamond" w:eastAsiaTheme="minorHAnsi" w:hAnsi="Garamond" w:cs="Arial"/>
          <w:sz w:val="24"/>
          <w:szCs w:val="24"/>
        </w:rPr>
        <w:t xml:space="preserve">Acompanhamento </w:t>
      </w:r>
      <w:r w:rsidR="002470B1" w:rsidRPr="003A1174">
        <w:rPr>
          <w:rFonts w:ascii="Garamond" w:eastAsiaTheme="minorHAnsi" w:hAnsi="Garamond" w:cs="Arial"/>
          <w:sz w:val="24"/>
          <w:szCs w:val="24"/>
        </w:rPr>
        <w:t xml:space="preserve">da </w:t>
      </w:r>
      <w:r w:rsidR="00B14AA6" w:rsidRPr="003A1174">
        <w:rPr>
          <w:rFonts w:ascii="Garamond" w:eastAsiaTheme="minorHAnsi" w:hAnsi="Garamond" w:cs="Arial"/>
          <w:sz w:val="24"/>
          <w:szCs w:val="24"/>
        </w:rPr>
        <w:t>Aplicação</w:t>
      </w:r>
      <w:r w:rsidR="002470B1" w:rsidRPr="003A1174">
        <w:rPr>
          <w:rFonts w:ascii="Garamond" w:eastAsiaTheme="minorHAnsi" w:hAnsi="Garamond" w:cs="Arial"/>
          <w:sz w:val="24"/>
          <w:szCs w:val="24"/>
        </w:rPr>
        <w:t xml:space="preserve"> d</w:t>
      </w:r>
      <w:r w:rsidR="00C328FC"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2470B1" w:rsidRPr="003A1174">
        <w:rPr>
          <w:rFonts w:ascii="Garamond" w:eastAsiaTheme="minorHAnsi" w:hAnsi="Garamond" w:cs="Arial"/>
          <w:sz w:val="24"/>
          <w:szCs w:val="24"/>
        </w:rPr>
        <w:t xml:space="preserve"> contra </w:t>
      </w:r>
      <w:r w:rsidR="00C328FC"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328FC" w:rsidRPr="003A1174">
        <w:rPr>
          <w:rFonts w:ascii="Garamond" w:eastAsiaTheme="minorHAnsi" w:hAnsi="Garamond" w:cs="Arial"/>
          <w:sz w:val="24"/>
          <w:szCs w:val="24"/>
        </w:rPr>
        <w:t xml:space="preserve"> Doméstica. Es</w:t>
      </w:r>
      <w:r w:rsidR="00FC18A9" w:rsidRPr="003A1174">
        <w:rPr>
          <w:rFonts w:ascii="Garamond" w:eastAsiaTheme="minorHAnsi" w:hAnsi="Garamond" w:cs="Arial"/>
          <w:sz w:val="24"/>
          <w:szCs w:val="24"/>
        </w:rPr>
        <w:t xml:space="preserve">te </w:t>
      </w:r>
      <w:r w:rsidR="002470B1" w:rsidRPr="003A1174">
        <w:rPr>
          <w:rFonts w:ascii="Garamond" w:eastAsiaTheme="minorHAnsi" w:hAnsi="Garamond" w:cs="Arial"/>
          <w:sz w:val="24"/>
          <w:szCs w:val="24"/>
        </w:rPr>
        <w:t xml:space="preserve">é um </w:t>
      </w:r>
      <w:r w:rsidR="006F7276" w:rsidRPr="003A1174">
        <w:rPr>
          <w:rFonts w:ascii="Garamond" w:eastAsiaTheme="minorHAnsi" w:hAnsi="Garamond" w:cs="Arial"/>
          <w:sz w:val="24"/>
          <w:szCs w:val="24"/>
        </w:rPr>
        <w:t>espaço</w:t>
      </w:r>
      <w:r w:rsidR="00C328FC" w:rsidRPr="003A1174">
        <w:rPr>
          <w:rFonts w:ascii="Garamond" w:eastAsiaTheme="minorHAnsi" w:hAnsi="Garamond" w:cs="Arial"/>
          <w:sz w:val="24"/>
          <w:szCs w:val="24"/>
        </w:rPr>
        <w:t xml:space="preserve"> de </w:t>
      </w:r>
      <w:r w:rsidR="002470B1" w:rsidRPr="003A1174">
        <w:rPr>
          <w:rFonts w:ascii="Garamond" w:eastAsiaTheme="minorHAnsi" w:hAnsi="Garamond" w:cs="Arial"/>
          <w:sz w:val="24"/>
          <w:szCs w:val="24"/>
        </w:rPr>
        <w:t xml:space="preserve">coordenação </w:t>
      </w:r>
      <w:r w:rsidR="00C328FC" w:rsidRPr="003A1174">
        <w:rPr>
          <w:rFonts w:ascii="Garamond" w:eastAsiaTheme="minorHAnsi" w:hAnsi="Garamond" w:cs="Arial"/>
          <w:sz w:val="24"/>
          <w:szCs w:val="24"/>
        </w:rPr>
        <w:t xml:space="preserve">onde se </w:t>
      </w:r>
      <w:r w:rsidR="002470B1" w:rsidRPr="003A1174">
        <w:rPr>
          <w:rFonts w:ascii="Garamond" w:eastAsiaTheme="minorHAnsi" w:hAnsi="Garamond" w:cs="Arial"/>
          <w:sz w:val="24"/>
          <w:szCs w:val="24"/>
        </w:rPr>
        <w:t xml:space="preserve">conseguiu </w:t>
      </w:r>
      <w:r w:rsidR="00802ACC" w:rsidRPr="003A1174">
        <w:rPr>
          <w:rFonts w:ascii="Garamond" w:eastAsiaTheme="minorHAnsi" w:hAnsi="Garamond" w:cs="Arial"/>
          <w:sz w:val="24"/>
          <w:szCs w:val="24"/>
        </w:rPr>
        <w:t>trabalhar</w:t>
      </w:r>
      <w:r w:rsidR="00C328FC" w:rsidRPr="003A1174">
        <w:rPr>
          <w:rFonts w:ascii="Garamond" w:eastAsiaTheme="minorHAnsi" w:hAnsi="Garamond" w:cs="Arial"/>
          <w:sz w:val="24"/>
          <w:szCs w:val="24"/>
        </w:rPr>
        <w:t xml:space="preserve"> e</w:t>
      </w:r>
      <w:r w:rsidR="002470B1"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conjunto co</w:t>
      </w:r>
      <w:r w:rsidR="002470B1" w:rsidRPr="003A1174">
        <w:rPr>
          <w:rFonts w:ascii="Garamond" w:eastAsiaTheme="minorHAnsi" w:hAnsi="Garamond" w:cs="Arial"/>
          <w:sz w:val="24"/>
          <w:szCs w:val="24"/>
        </w:rPr>
        <w:t xml:space="preserve">m </w:t>
      </w:r>
      <w:r w:rsidR="00C328FC" w:rsidRPr="003A1174">
        <w:rPr>
          <w:rFonts w:ascii="Garamond" w:eastAsiaTheme="minorHAnsi" w:hAnsi="Garamond" w:cs="Arial"/>
          <w:sz w:val="24"/>
          <w:szCs w:val="24"/>
        </w:rPr>
        <w:t xml:space="preserve">a </w:t>
      </w:r>
      <w:r w:rsidR="00620CE8" w:rsidRPr="003A1174">
        <w:rPr>
          <w:rFonts w:ascii="Garamond" w:eastAsiaTheme="minorHAnsi" w:hAnsi="Garamond" w:cs="Arial"/>
          <w:sz w:val="24"/>
          <w:szCs w:val="24"/>
        </w:rPr>
        <w:t xml:space="preserve">Procuradoria </w:t>
      </w:r>
      <w:r w:rsidR="002470B1" w:rsidRPr="003A1174">
        <w:rPr>
          <w:rFonts w:ascii="Garamond" w:eastAsiaTheme="minorHAnsi" w:hAnsi="Garamond" w:cs="Arial"/>
          <w:sz w:val="24"/>
          <w:szCs w:val="24"/>
        </w:rPr>
        <w:t>Especial d</w:t>
      </w:r>
      <w:r w:rsidR="00C328FC" w:rsidRPr="003A1174">
        <w:rPr>
          <w:rFonts w:ascii="Garamond" w:eastAsiaTheme="minorHAnsi" w:hAnsi="Garamond" w:cs="Arial"/>
          <w:sz w:val="24"/>
          <w:szCs w:val="24"/>
        </w:rPr>
        <w:t xml:space="preserve">a </w:t>
      </w:r>
      <w:r w:rsidR="00AF192F" w:rsidRPr="003A1174">
        <w:rPr>
          <w:rFonts w:ascii="Garamond" w:eastAsiaTheme="minorHAnsi" w:hAnsi="Garamond" w:cs="Arial"/>
          <w:sz w:val="24"/>
          <w:szCs w:val="24"/>
        </w:rPr>
        <w:t>Mulher</w:t>
      </w:r>
      <w:r w:rsidR="00C328FC" w:rsidRPr="003A1174">
        <w:rPr>
          <w:rFonts w:ascii="Garamond" w:eastAsiaTheme="minorHAnsi" w:hAnsi="Garamond" w:cs="Arial"/>
          <w:sz w:val="24"/>
          <w:szCs w:val="24"/>
        </w:rPr>
        <w:t xml:space="preserve"> d</w:t>
      </w:r>
      <w:r w:rsidR="002470B1" w:rsidRPr="003A1174">
        <w:rPr>
          <w:rFonts w:ascii="Garamond" w:eastAsiaTheme="minorHAnsi" w:hAnsi="Garamond" w:cs="Arial"/>
          <w:sz w:val="24"/>
          <w:szCs w:val="24"/>
        </w:rPr>
        <w:t>o</w:t>
      </w:r>
      <w:r w:rsidR="00C328FC" w:rsidRPr="003A1174">
        <w:rPr>
          <w:rFonts w:ascii="Garamond" w:eastAsiaTheme="minorHAnsi" w:hAnsi="Garamond" w:cs="Arial"/>
          <w:sz w:val="24"/>
          <w:szCs w:val="24"/>
        </w:rPr>
        <w:t xml:space="preserve"> </w:t>
      </w:r>
      <w:r w:rsidR="00D77C19" w:rsidRPr="003A1174">
        <w:rPr>
          <w:rFonts w:ascii="Garamond" w:eastAsiaTheme="minorHAnsi" w:hAnsi="Garamond" w:cs="Arial"/>
          <w:sz w:val="24"/>
          <w:szCs w:val="24"/>
        </w:rPr>
        <w:t>Ministério</w:t>
      </w:r>
      <w:r w:rsidR="00C328FC" w:rsidRPr="003A1174">
        <w:rPr>
          <w:rFonts w:ascii="Garamond" w:eastAsiaTheme="minorHAnsi" w:hAnsi="Garamond" w:cs="Arial"/>
          <w:sz w:val="24"/>
          <w:szCs w:val="24"/>
        </w:rPr>
        <w:t xml:space="preserve"> Público, </w:t>
      </w:r>
      <w:r w:rsidR="00FC18A9" w:rsidRPr="003A1174">
        <w:rPr>
          <w:rFonts w:ascii="Garamond" w:eastAsiaTheme="minorHAnsi" w:hAnsi="Garamond" w:cs="Arial"/>
          <w:sz w:val="24"/>
          <w:szCs w:val="24"/>
        </w:rPr>
        <w:t xml:space="preserve">os </w:t>
      </w:r>
      <w:r w:rsidR="002470B1" w:rsidRPr="003A1174">
        <w:rPr>
          <w:rFonts w:ascii="Garamond" w:eastAsiaTheme="minorHAnsi" w:hAnsi="Garamond" w:cs="Arial"/>
          <w:sz w:val="24"/>
          <w:szCs w:val="24"/>
        </w:rPr>
        <w:t xml:space="preserve">Tribunais Especializados contra </w:t>
      </w:r>
      <w:r w:rsidR="00C328FC"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328FC" w:rsidRPr="003A1174">
        <w:rPr>
          <w:rFonts w:ascii="Garamond" w:eastAsiaTheme="minorHAnsi" w:hAnsi="Garamond" w:cs="Arial"/>
          <w:sz w:val="24"/>
          <w:szCs w:val="24"/>
        </w:rPr>
        <w:t xml:space="preserve"> Doméstica, Unidad</w:t>
      </w:r>
      <w:r w:rsidR="002470B1"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de Género, </w:t>
      </w:r>
      <w:r w:rsidR="002C7510" w:rsidRPr="003A1174">
        <w:rPr>
          <w:rFonts w:ascii="Garamond" w:eastAsiaTheme="minorHAnsi" w:hAnsi="Garamond" w:cs="Arial"/>
          <w:sz w:val="24"/>
          <w:szCs w:val="24"/>
        </w:rPr>
        <w:t>Defesa</w:t>
      </w:r>
      <w:r w:rsidR="00C328FC" w:rsidRPr="003A1174">
        <w:rPr>
          <w:rFonts w:ascii="Garamond" w:eastAsiaTheme="minorHAnsi" w:hAnsi="Garamond" w:cs="Arial"/>
          <w:sz w:val="24"/>
          <w:szCs w:val="24"/>
        </w:rPr>
        <w:t xml:space="preserve"> Pública </w:t>
      </w:r>
      <w:r w:rsidR="002470B1" w:rsidRPr="003A1174">
        <w:rPr>
          <w:rFonts w:ascii="Garamond" w:eastAsiaTheme="minorHAnsi" w:hAnsi="Garamond" w:cs="Arial"/>
          <w:sz w:val="24"/>
          <w:szCs w:val="24"/>
        </w:rPr>
        <w:t xml:space="preserve">e a </w:t>
      </w:r>
      <w:r w:rsidR="00BA3CCE" w:rsidRPr="003A1174">
        <w:rPr>
          <w:rFonts w:ascii="Garamond" w:eastAsiaTheme="minorHAnsi" w:hAnsi="Garamond" w:cs="Arial"/>
          <w:sz w:val="24"/>
          <w:szCs w:val="24"/>
        </w:rPr>
        <w:t>Unidade</w:t>
      </w:r>
      <w:r w:rsidR="002470B1" w:rsidRPr="003A1174">
        <w:rPr>
          <w:rFonts w:ascii="Garamond" w:eastAsiaTheme="minorHAnsi" w:hAnsi="Garamond" w:cs="Arial"/>
          <w:sz w:val="24"/>
          <w:szCs w:val="24"/>
        </w:rPr>
        <w:t xml:space="preserve"> de Apoi</w:t>
      </w:r>
      <w:r w:rsidR="00C328FC" w:rsidRPr="003A1174">
        <w:rPr>
          <w:rFonts w:ascii="Garamond" w:eastAsiaTheme="minorHAnsi" w:hAnsi="Garamond" w:cs="Arial"/>
          <w:sz w:val="24"/>
          <w:szCs w:val="24"/>
        </w:rPr>
        <w:t xml:space="preserve">o </w:t>
      </w:r>
      <w:r w:rsidR="002470B1" w:rsidRPr="003A1174">
        <w:rPr>
          <w:rFonts w:ascii="Garamond" w:eastAsiaTheme="minorHAnsi" w:hAnsi="Garamond" w:cs="Arial"/>
          <w:sz w:val="24"/>
          <w:szCs w:val="24"/>
        </w:rPr>
        <w:t xml:space="preserve">às </w:t>
      </w:r>
      <w:r w:rsidR="002C7510" w:rsidRPr="003A1174">
        <w:rPr>
          <w:rFonts w:ascii="Garamond" w:eastAsiaTheme="minorHAnsi" w:hAnsi="Garamond" w:cs="Arial"/>
          <w:sz w:val="24"/>
          <w:szCs w:val="24"/>
        </w:rPr>
        <w:t>Comissões</w:t>
      </w:r>
      <w:r w:rsidR="00C328FC" w:rsidRPr="003A1174">
        <w:rPr>
          <w:rFonts w:ascii="Garamond" w:eastAsiaTheme="minorHAnsi" w:hAnsi="Garamond" w:cs="Arial"/>
          <w:sz w:val="24"/>
          <w:szCs w:val="24"/>
        </w:rPr>
        <w:t xml:space="preserve"> Inter</w:t>
      </w:r>
      <w:r w:rsidR="00C04CA4" w:rsidRPr="003A1174">
        <w:rPr>
          <w:rFonts w:ascii="Garamond" w:eastAsiaTheme="minorHAnsi" w:hAnsi="Garamond" w:cs="Arial"/>
          <w:sz w:val="24"/>
          <w:szCs w:val="24"/>
        </w:rPr>
        <w:t>institucionais</w:t>
      </w:r>
      <w:r w:rsidR="00C328FC" w:rsidRPr="003A1174">
        <w:rPr>
          <w:rFonts w:ascii="Garamond" w:eastAsiaTheme="minorHAnsi" w:hAnsi="Garamond" w:cs="Arial"/>
          <w:sz w:val="24"/>
          <w:szCs w:val="24"/>
        </w:rPr>
        <w:t xml:space="preserve"> de </w:t>
      </w:r>
      <w:r w:rsidR="00FC1F7F" w:rsidRPr="003A1174">
        <w:rPr>
          <w:rFonts w:ascii="Garamond" w:eastAsiaTheme="minorHAnsi" w:hAnsi="Garamond" w:cs="Arial"/>
          <w:sz w:val="24"/>
          <w:szCs w:val="24"/>
        </w:rPr>
        <w:t>Justiça</w:t>
      </w:r>
      <w:r w:rsidR="00C328FC" w:rsidRPr="003A1174">
        <w:rPr>
          <w:rFonts w:ascii="Garamond" w:eastAsiaTheme="minorHAnsi" w:hAnsi="Garamond" w:cs="Arial"/>
          <w:sz w:val="24"/>
          <w:szCs w:val="24"/>
        </w:rPr>
        <w:t xml:space="preserve"> d</w:t>
      </w:r>
      <w:r w:rsidR="002470B1" w:rsidRPr="003A1174">
        <w:rPr>
          <w:rFonts w:ascii="Garamond" w:eastAsiaTheme="minorHAnsi" w:hAnsi="Garamond" w:cs="Arial"/>
          <w:sz w:val="24"/>
          <w:szCs w:val="24"/>
        </w:rPr>
        <w:t>o</w:t>
      </w:r>
      <w:r w:rsidR="00C328FC" w:rsidRPr="003A1174">
        <w:rPr>
          <w:rFonts w:ascii="Garamond" w:eastAsiaTheme="minorHAnsi" w:hAnsi="Garamond" w:cs="Arial"/>
          <w:sz w:val="24"/>
          <w:szCs w:val="24"/>
        </w:rPr>
        <w:t xml:space="preserve"> Poder Judicial, Instituto Nacional da </w:t>
      </w:r>
      <w:r w:rsidR="00AF192F" w:rsidRPr="003A1174">
        <w:rPr>
          <w:rFonts w:ascii="Garamond" w:eastAsiaTheme="minorHAnsi" w:hAnsi="Garamond" w:cs="Arial"/>
          <w:sz w:val="24"/>
          <w:szCs w:val="24"/>
        </w:rPr>
        <w:t>Mulher</w:t>
      </w:r>
      <w:r w:rsidR="00C328FC" w:rsidRPr="003A1174">
        <w:rPr>
          <w:rFonts w:ascii="Garamond" w:eastAsiaTheme="minorHAnsi" w:hAnsi="Garamond" w:cs="Arial"/>
          <w:sz w:val="24"/>
          <w:szCs w:val="24"/>
        </w:rPr>
        <w:t xml:space="preserve"> (INAM), Unidad</w:t>
      </w:r>
      <w:r w:rsidR="002470B1"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de Género da </w:t>
      </w:r>
      <w:r w:rsidR="00CF42A3" w:rsidRPr="003A1174">
        <w:rPr>
          <w:rFonts w:ascii="Garamond" w:eastAsiaTheme="minorHAnsi" w:hAnsi="Garamond" w:cs="Arial"/>
          <w:sz w:val="24"/>
          <w:szCs w:val="24"/>
        </w:rPr>
        <w:t>Polícia</w:t>
      </w:r>
      <w:r w:rsidR="00C328FC" w:rsidRPr="003A1174">
        <w:rPr>
          <w:rFonts w:ascii="Garamond" w:eastAsiaTheme="minorHAnsi" w:hAnsi="Garamond" w:cs="Arial"/>
          <w:sz w:val="24"/>
          <w:szCs w:val="24"/>
        </w:rPr>
        <w:t xml:space="preserve"> Nacional, Programa de </w:t>
      </w:r>
      <w:r w:rsidR="007C63D0" w:rsidRPr="003A1174">
        <w:rPr>
          <w:rFonts w:ascii="Garamond" w:eastAsiaTheme="minorHAnsi" w:hAnsi="Garamond" w:cs="Arial"/>
          <w:sz w:val="24"/>
          <w:szCs w:val="24"/>
        </w:rPr>
        <w:t>Saúde</w:t>
      </w:r>
      <w:r w:rsidR="002470B1" w:rsidRPr="003A1174">
        <w:rPr>
          <w:rFonts w:ascii="Garamond" w:eastAsiaTheme="minorHAnsi" w:hAnsi="Garamond" w:cs="Arial"/>
          <w:sz w:val="24"/>
          <w:szCs w:val="24"/>
        </w:rPr>
        <w:t xml:space="preserve"> Mental e</w:t>
      </w:r>
      <w:r w:rsidR="00C328FC" w:rsidRPr="003A1174">
        <w:rPr>
          <w:rFonts w:ascii="Garamond" w:eastAsiaTheme="minorHAnsi" w:hAnsi="Garamond" w:cs="Arial"/>
          <w:sz w:val="24"/>
          <w:szCs w:val="24"/>
        </w:rPr>
        <w:t xml:space="preserve"> </w:t>
      </w:r>
      <w:r w:rsidR="00620CE8" w:rsidRPr="003A1174">
        <w:rPr>
          <w:rFonts w:ascii="Garamond" w:eastAsiaTheme="minorHAnsi" w:hAnsi="Garamond" w:cs="Arial"/>
          <w:color w:val="000000" w:themeColor="text1"/>
          <w:sz w:val="24"/>
          <w:szCs w:val="24"/>
        </w:rPr>
        <w:t>Departamento</w:t>
      </w:r>
      <w:r w:rsidR="00C328FC" w:rsidRPr="003A1174">
        <w:rPr>
          <w:rFonts w:ascii="Garamond" w:eastAsiaTheme="minorHAnsi" w:hAnsi="Garamond" w:cs="Arial"/>
          <w:sz w:val="24"/>
          <w:szCs w:val="24"/>
        </w:rPr>
        <w:t xml:space="preserve">s de </w:t>
      </w:r>
      <w:r w:rsidR="006C7AF1" w:rsidRPr="003A1174">
        <w:rPr>
          <w:rFonts w:ascii="Garamond" w:eastAsiaTheme="minorHAnsi" w:hAnsi="Garamond" w:cs="Arial"/>
          <w:sz w:val="24"/>
          <w:szCs w:val="24"/>
        </w:rPr>
        <w:t>Família</w:t>
      </w:r>
      <w:r w:rsidR="002470B1" w:rsidRPr="003A1174">
        <w:rPr>
          <w:rFonts w:ascii="Garamond" w:eastAsiaTheme="minorHAnsi" w:hAnsi="Garamond" w:cs="Arial"/>
          <w:sz w:val="24"/>
          <w:szCs w:val="24"/>
        </w:rPr>
        <w:t xml:space="preserve"> da Secretari</w:t>
      </w:r>
      <w:r w:rsidR="00C328FC" w:rsidRPr="003A1174">
        <w:rPr>
          <w:rFonts w:ascii="Garamond" w:eastAsiaTheme="minorHAnsi" w:hAnsi="Garamond" w:cs="Arial"/>
          <w:sz w:val="24"/>
          <w:szCs w:val="24"/>
        </w:rPr>
        <w:t xml:space="preserve">a de </w:t>
      </w:r>
      <w:r w:rsidR="007C63D0" w:rsidRPr="003A1174">
        <w:rPr>
          <w:rFonts w:ascii="Garamond" w:eastAsiaTheme="minorHAnsi" w:hAnsi="Garamond" w:cs="Arial"/>
          <w:sz w:val="24"/>
          <w:szCs w:val="24"/>
        </w:rPr>
        <w:t>Saúde</w:t>
      </w:r>
      <w:r w:rsidR="00C328FC" w:rsidRPr="003A1174">
        <w:rPr>
          <w:rFonts w:ascii="Garamond" w:eastAsiaTheme="minorHAnsi" w:hAnsi="Garamond" w:cs="Arial"/>
          <w:sz w:val="24"/>
          <w:szCs w:val="24"/>
        </w:rPr>
        <w:t xml:space="preserve">, </w:t>
      </w:r>
      <w:r w:rsidR="00620CE8" w:rsidRPr="003A1174">
        <w:rPr>
          <w:rFonts w:ascii="Garamond" w:eastAsiaTheme="minorHAnsi" w:hAnsi="Garamond" w:cs="Arial"/>
          <w:sz w:val="24"/>
          <w:szCs w:val="24"/>
        </w:rPr>
        <w:t>Câ</w:t>
      </w:r>
      <w:r w:rsidR="002470B1" w:rsidRPr="003A1174">
        <w:rPr>
          <w:rFonts w:ascii="Garamond" w:eastAsiaTheme="minorHAnsi" w:hAnsi="Garamond" w:cs="Arial"/>
          <w:sz w:val="24"/>
          <w:szCs w:val="24"/>
        </w:rPr>
        <w:t xml:space="preserve">mara Municipal </w:t>
      </w:r>
      <w:r w:rsidR="00C328FC" w:rsidRPr="003A1174">
        <w:rPr>
          <w:rFonts w:ascii="Garamond" w:eastAsiaTheme="minorHAnsi" w:hAnsi="Garamond" w:cs="Arial"/>
          <w:sz w:val="24"/>
          <w:szCs w:val="24"/>
        </w:rPr>
        <w:t>d</w:t>
      </w:r>
      <w:r w:rsidR="002470B1" w:rsidRPr="003A1174">
        <w:rPr>
          <w:rFonts w:ascii="Garamond" w:eastAsiaTheme="minorHAnsi" w:hAnsi="Garamond" w:cs="Arial"/>
          <w:sz w:val="24"/>
          <w:szCs w:val="24"/>
        </w:rPr>
        <w:t>o</w:t>
      </w:r>
      <w:r w:rsidR="00C328FC" w:rsidRPr="003A1174">
        <w:rPr>
          <w:rFonts w:ascii="Garamond" w:eastAsiaTheme="minorHAnsi" w:hAnsi="Garamond" w:cs="Arial"/>
          <w:sz w:val="24"/>
          <w:szCs w:val="24"/>
        </w:rPr>
        <w:t xml:space="preserve"> Distrito Central</w:t>
      </w:r>
      <w:r w:rsidR="00FC18A9" w:rsidRPr="003A1174">
        <w:rPr>
          <w:rFonts w:ascii="Garamond" w:eastAsiaTheme="minorHAnsi" w:hAnsi="Garamond" w:cs="Arial"/>
          <w:sz w:val="24"/>
          <w:szCs w:val="24"/>
        </w:rPr>
        <w:t>.</w:t>
      </w:r>
      <w:r w:rsidR="00C328FC" w:rsidRPr="003A1174">
        <w:rPr>
          <w:rFonts w:ascii="Garamond" w:eastAsiaTheme="minorHAnsi" w:hAnsi="Garamond" w:cs="Arial"/>
          <w:sz w:val="24"/>
          <w:szCs w:val="24"/>
        </w:rPr>
        <w:t xml:space="preserve"> </w:t>
      </w:r>
      <w:r w:rsidR="002470B1" w:rsidRPr="003A1174">
        <w:rPr>
          <w:rFonts w:ascii="Garamond" w:eastAsiaTheme="minorHAnsi" w:hAnsi="Garamond" w:cs="Arial"/>
          <w:sz w:val="24"/>
          <w:szCs w:val="24"/>
        </w:rPr>
        <w:t>A</w:t>
      </w:r>
      <w:r w:rsidR="00C328FC" w:rsidRPr="003A1174">
        <w:rPr>
          <w:rFonts w:ascii="Garamond" w:eastAsiaTheme="minorHAnsi" w:hAnsi="Garamond" w:cs="Arial"/>
          <w:sz w:val="24"/>
          <w:szCs w:val="24"/>
        </w:rPr>
        <w:t xml:space="preserve">s </w:t>
      </w:r>
      <w:r w:rsidR="002470B1" w:rsidRPr="003A1174">
        <w:rPr>
          <w:rFonts w:ascii="Garamond" w:eastAsiaTheme="minorHAnsi" w:hAnsi="Garamond" w:cs="Arial"/>
          <w:sz w:val="24"/>
          <w:szCs w:val="24"/>
        </w:rPr>
        <w:t>organizações d</w:t>
      </w:r>
      <w:r w:rsidR="00FC18A9" w:rsidRPr="003A1174">
        <w:rPr>
          <w:rFonts w:ascii="Garamond" w:eastAsiaTheme="minorHAnsi" w:hAnsi="Garamond" w:cs="Arial"/>
          <w:sz w:val="24"/>
          <w:szCs w:val="24"/>
        </w:rPr>
        <w:t xml:space="preserve">a </w:t>
      </w:r>
      <w:r w:rsidR="002C7510" w:rsidRPr="003A1174">
        <w:rPr>
          <w:rFonts w:ascii="Garamond" w:eastAsiaTheme="minorHAnsi" w:hAnsi="Garamond" w:cs="Arial"/>
          <w:sz w:val="24"/>
          <w:szCs w:val="24"/>
        </w:rPr>
        <w:t>sociedade</w:t>
      </w:r>
      <w:r w:rsidR="00C328FC" w:rsidRPr="003A1174">
        <w:rPr>
          <w:rFonts w:ascii="Garamond" w:eastAsiaTheme="minorHAnsi" w:hAnsi="Garamond" w:cs="Arial"/>
          <w:sz w:val="24"/>
          <w:szCs w:val="24"/>
        </w:rPr>
        <w:t xml:space="preserve"> civil</w:t>
      </w:r>
      <w:r w:rsidR="00FC18A9" w:rsidRPr="003A1174">
        <w:rPr>
          <w:rFonts w:ascii="Garamond" w:eastAsiaTheme="minorHAnsi" w:hAnsi="Garamond" w:cs="Arial"/>
          <w:sz w:val="24"/>
          <w:szCs w:val="24"/>
        </w:rPr>
        <w:t xml:space="preserve"> que participa</w:t>
      </w:r>
      <w:r w:rsidR="002470B1" w:rsidRPr="003A1174">
        <w:rPr>
          <w:rFonts w:ascii="Garamond" w:eastAsiaTheme="minorHAnsi" w:hAnsi="Garamond" w:cs="Arial"/>
          <w:sz w:val="24"/>
          <w:szCs w:val="24"/>
        </w:rPr>
        <w:t>m são</w:t>
      </w:r>
      <w:r w:rsidR="00C328FC" w:rsidRPr="003A1174">
        <w:rPr>
          <w:rFonts w:ascii="Garamond" w:eastAsiaTheme="minorHAnsi" w:hAnsi="Garamond" w:cs="Arial"/>
          <w:sz w:val="24"/>
          <w:szCs w:val="24"/>
        </w:rPr>
        <w:t xml:space="preserve">: </w:t>
      </w:r>
      <w:r w:rsidR="002470B1" w:rsidRPr="003A1174">
        <w:rPr>
          <w:rFonts w:ascii="Garamond" w:eastAsiaTheme="minorHAnsi" w:hAnsi="Garamond" w:cs="Arial"/>
          <w:sz w:val="24"/>
          <w:szCs w:val="24"/>
        </w:rPr>
        <w:t xml:space="preserve">o </w:t>
      </w:r>
      <w:r w:rsidR="00C328FC" w:rsidRPr="003A1174">
        <w:rPr>
          <w:rFonts w:ascii="Garamond" w:eastAsiaTheme="minorHAnsi" w:hAnsi="Garamond" w:cs="Arial"/>
          <w:sz w:val="24"/>
          <w:szCs w:val="24"/>
        </w:rPr>
        <w:t xml:space="preserve">Centro de </w:t>
      </w:r>
      <w:r w:rsidR="00886D6A" w:rsidRPr="003A1174">
        <w:rPr>
          <w:rFonts w:ascii="Garamond" w:eastAsiaTheme="minorHAnsi" w:hAnsi="Garamond" w:cs="Arial"/>
          <w:sz w:val="24"/>
          <w:szCs w:val="24"/>
        </w:rPr>
        <w:t>Direito</w:t>
      </w:r>
      <w:r w:rsidR="00C328FC" w:rsidRPr="003A1174">
        <w:rPr>
          <w:rFonts w:ascii="Garamond" w:eastAsiaTheme="minorHAnsi" w:hAnsi="Garamond" w:cs="Arial"/>
          <w:sz w:val="24"/>
          <w:szCs w:val="24"/>
        </w:rPr>
        <w:t xml:space="preserve">s de </w:t>
      </w:r>
      <w:r w:rsidR="00054EE0" w:rsidRPr="003A1174">
        <w:rPr>
          <w:rFonts w:ascii="Garamond" w:eastAsiaTheme="minorHAnsi" w:hAnsi="Garamond" w:cs="Arial"/>
          <w:sz w:val="24"/>
          <w:szCs w:val="24"/>
        </w:rPr>
        <w:t>Mulheres</w:t>
      </w:r>
      <w:r w:rsidR="00C328FC" w:rsidRPr="003A1174">
        <w:rPr>
          <w:rFonts w:ascii="Garamond" w:eastAsiaTheme="minorHAnsi" w:hAnsi="Garamond" w:cs="Arial"/>
          <w:sz w:val="24"/>
          <w:szCs w:val="24"/>
        </w:rPr>
        <w:t xml:space="preserve"> (CDM), </w:t>
      </w:r>
      <w:r w:rsidR="002470B1" w:rsidRPr="003A1174">
        <w:rPr>
          <w:rFonts w:ascii="Garamond" w:eastAsiaTheme="minorHAnsi" w:hAnsi="Garamond" w:cs="Arial"/>
          <w:sz w:val="24"/>
          <w:szCs w:val="24"/>
        </w:rPr>
        <w:t>o Movimento</w:t>
      </w:r>
      <w:r w:rsidR="00C328FC" w:rsidRPr="003A1174">
        <w:rPr>
          <w:rFonts w:ascii="Garamond" w:eastAsiaTheme="minorHAnsi" w:hAnsi="Garamond" w:cs="Arial"/>
          <w:sz w:val="24"/>
          <w:szCs w:val="24"/>
        </w:rPr>
        <w:t xml:space="preserve"> de </w:t>
      </w:r>
      <w:r w:rsidR="00054EE0" w:rsidRPr="003A1174">
        <w:rPr>
          <w:rFonts w:ascii="Garamond" w:eastAsiaTheme="minorHAnsi" w:hAnsi="Garamond" w:cs="Arial"/>
          <w:sz w:val="24"/>
          <w:szCs w:val="24"/>
        </w:rPr>
        <w:t>Mulheres</w:t>
      </w:r>
      <w:r w:rsidR="00C328FC" w:rsidRPr="003A1174">
        <w:rPr>
          <w:rFonts w:ascii="Garamond" w:eastAsiaTheme="minorHAnsi" w:hAnsi="Garamond" w:cs="Arial"/>
          <w:sz w:val="24"/>
          <w:szCs w:val="24"/>
        </w:rPr>
        <w:t xml:space="preserve"> </w:t>
      </w:r>
      <w:r w:rsidR="00275092" w:rsidRPr="003A1174">
        <w:rPr>
          <w:rFonts w:ascii="Garamond" w:eastAsiaTheme="minorHAnsi" w:hAnsi="Garamond" w:cs="Arial"/>
          <w:sz w:val="24"/>
          <w:szCs w:val="24"/>
        </w:rPr>
        <w:t>pela</w:t>
      </w:r>
      <w:r w:rsidR="00C328FC" w:rsidRPr="003A1174">
        <w:rPr>
          <w:rFonts w:ascii="Garamond" w:eastAsiaTheme="minorHAnsi" w:hAnsi="Garamond" w:cs="Arial"/>
          <w:sz w:val="24"/>
          <w:szCs w:val="24"/>
        </w:rPr>
        <w:t xml:space="preserve"> Paz </w:t>
      </w:r>
      <w:r w:rsidR="00271235">
        <w:rPr>
          <w:rFonts w:ascii="Garamond" w:eastAsiaTheme="minorHAnsi" w:hAnsi="Garamond" w:cs="Arial"/>
          <w:sz w:val="24"/>
          <w:szCs w:val="24"/>
        </w:rPr>
        <w:t>«</w:t>
      </w:r>
      <w:r w:rsidR="00C328FC" w:rsidRPr="003A1174">
        <w:rPr>
          <w:rFonts w:ascii="Garamond" w:eastAsiaTheme="minorHAnsi" w:hAnsi="Garamond" w:cs="Arial"/>
          <w:sz w:val="24"/>
          <w:szCs w:val="24"/>
        </w:rPr>
        <w:t>Visitación Padilla</w:t>
      </w:r>
      <w:r w:rsidR="00271235">
        <w:rPr>
          <w:rFonts w:ascii="Garamond" w:eastAsiaTheme="minorHAnsi" w:hAnsi="Garamond" w:cs="Arial"/>
          <w:sz w:val="24"/>
          <w:szCs w:val="24"/>
        </w:rPr>
        <w:t>»</w:t>
      </w:r>
      <w:r w:rsidR="00C328FC"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w:t>
      </w:r>
      <w:r w:rsidR="00FC18A9" w:rsidRPr="003A1174">
        <w:rPr>
          <w:rFonts w:ascii="Garamond" w:eastAsiaTheme="minorHAnsi" w:hAnsi="Garamond" w:cs="Arial"/>
          <w:sz w:val="24"/>
          <w:szCs w:val="24"/>
        </w:rPr>
        <w:t xml:space="preserve">a </w:t>
      </w:r>
      <w:r w:rsidR="003A391A" w:rsidRPr="003A1174">
        <w:rPr>
          <w:rFonts w:ascii="Garamond" w:eastAsiaTheme="minorHAnsi" w:hAnsi="Garamond" w:cs="Arial"/>
          <w:sz w:val="24"/>
          <w:szCs w:val="24"/>
        </w:rPr>
        <w:t>Associação</w:t>
      </w:r>
      <w:r w:rsidR="00C328FC" w:rsidRPr="003A1174">
        <w:rPr>
          <w:rFonts w:ascii="Garamond" w:eastAsiaTheme="minorHAnsi" w:hAnsi="Garamond" w:cs="Arial"/>
          <w:sz w:val="24"/>
          <w:szCs w:val="24"/>
        </w:rPr>
        <w:t xml:space="preserve"> </w:t>
      </w:r>
      <w:r w:rsidR="008278C4" w:rsidRPr="003A1174">
        <w:rPr>
          <w:rFonts w:ascii="Garamond" w:eastAsiaTheme="minorHAnsi" w:hAnsi="Garamond" w:cs="Arial"/>
          <w:sz w:val="24"/>
          <w:szCs w:val="24"/>
        </w:rPr>
        <w:t>Qualidade</w:t>
      </w:r>
      <w:r w:rsidR="00C328FC" w:rsidRPr="003A1174">
        <w:rPr>
          <w:rFonts w:ascii="Garamond" w:eastAsiaTheme="minorHAnsi" w:hAnsi="Garamond" w:cs="Arial"/>
          <w:sz w:val="24"/>
          <w:szCs w:val="24"/>
        </w:rPr>
        <w:t xml:space="preserve"> de Vida. Realiza</w:t>
      </w:r>
      <w:r w:rsidR="00620CE8"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u</w:t>
      </w:r>
      <w:r w:rsidR="00620CE8"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w:t>
      </w:r>
      <w:r w:rsidR="0017447A" w:rsidRPr="003A1174">
        <w:rPr>
          <w:rFonts w:ascii="Garamond" w:eastAsiaTheme="minorHAnsi" w:hAnsi="Garamond" w:cs="Arial"/>
          <w:sz w:val="24"/>
          <w:szCs w:val="24"/>
        </w:rPr>
        <w:t>trabalho</w:t>
      </w:r>
      <w:r w:rsidR="00C328FC" w:rsidRPr="003A1174">
        <w:rPr>
          <w:rFonts w:ascii="Garamond" w:eastAsiaTheme="minorHAnsi" w:hAnsi="Garamond" w:cs="Arial"/>
          <w:sz w:val="24"/>
          <w:szCs w:val="24"/>
        </w:rPr>
        <w:t xml:space="preserve"> de </w:t>
      </w:r>
      <w:r w:rsidR="00271235">
        <w:rPr>
          <w:rFonts w:ascii="Garamond" w:eastAsiaTheme="minorHAnsi" w:hAnsi="Garamond" w:cs="Arial"/>
          <w:sz w:val="24"/>
          <w:szCs w:val="24"/>
        </w:rPr>
        <w:t xml:space="preserve">insistência </w:t>
      </w:r>
      <w:r w:rsidR="00C328FC" w:rsidRPr="003A1174">
        <w:rPr>
          <w:rFonts w:ascii="Garamond" w:eastAsiaTheme="minorHAnsi" w:hAnsi="Garamond" w:cs="Arial"/>
          <w:sz w:val="24"/>
          <w:szCs w:val="24"/>
        </w:rPr>
        <w:t xml:space="preserve">para </w:t>
      </w:r>
      <w:r w:rsidR="00620CE8" w:rsidRPr="003A1174">
        <w:rPr>
          <w:rFonts w:ascii="Garamond" w:eastAsiaTheme="minorHAnsi" w:hAnsi="Garamond" w:cs="Arial"/>
          <w:sz w:val="24"/>
          <w:szCs w:val="24"/>
        </w:rPr>
        <w:t xml:space="preserve">conseguir a </w:t>
      </w:r>
      <w:r w:rsidR="00B14AA6" w:rsidRPr="003A1174">
        <w:rPr>
          <w:rFonts w:ascii="Garamond" w:eastAsiaTheme="minorHAnsi" w:hAnsi="Garamond" w:cs="Arial"/>
          <w:sz w:val="24"/>
          <w:szCs w:val="24"/>
        </w:rPr>
        <w:t>aplicação</w:t>
      </w:r>
      <w:r w:rsidR="00C328FC" w:rsidRPr="003A1174">
        <w:rPr>
          <w:rFonts w:ascii="Garamond" w:eastAsiaTheme="minorHAnsi" w:hAnsi="Garamond" w:cs="Arial"/>
          <w:sz w:val="24"/>
          <w:szCs w:val="24"/>
        </w:rPr>
        <w:t xml:space="preserve"> </w:t>
      </w:r>
      <w:r w:rsidR="00620CE8" w:rsidRPr="003A1174">
        <w:rPr>
          <w:rFonts w:ascii="Garamond" w:eastAsiaTheme="minorHAnsi" w:hAnsi="Garamond" w:cs="Arial"/>
          <w:sz w:val="24"/>
          <w:szCs w:val="24"/>
        </w:rPr>
        <w:t>correta d</w:t>
      </w:r>
      <w:r w:rsidR="00C328FC"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620CE8" w:rsidRPr="003A1174">
        <w:rPr>
          <w:rFonts w:ascii="Garamond" w:eastAsiaTheme="minorHAnsi" w:hAnsi="Garamond" w:cs="Arial"/>
          <w:sz w:val="24"/>
          <w:szCs w:val="24"/>
        </w:rPr>
        <w:t xml:space="preserve"> Contra </w:t>
      </w:r>
      <w:r w:rsidR="00C328FC"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328FC" w:rsidRPr="003A1174">
        <w:rPr>
          <w:rFonts w:ascii="Garamond" w:eastAsiaTheme="minorHAnsi" w:hAnsi="Garamond" w:cs="Arial"/>
          <w:sz w:val="24"/>
          <w:szCs w:val="24"/>
        </w:rPr>
        <w:t xml:space="preserve"> Doméstica </w:t>
      </w:r>
      <w:r w:rsidR="00620CE8" w:rsidRPr="003A1174">
        <w:rPr>
          <w:rFonts w:ascii="Garamond" w:eastAsiaTheme="minorHAnsi" w:hAnsi="Garamond" w:cs="Arial"/>
          <w:sz w:val="24"/>
          <w:szCs w:val="24"/>
        </w:rPr>
        <w:t xml:space="preserve">perante </w:t>
      </w:r>
      <w:r w:rsidR="00C328FC" w:rsidRPr="003A1174">
        <w:rPr>
          <w:rFonts w:ascii="Garamond" w:eastAsiaTheme="minorHAnsi" w:hAnsi="Garamond" w:cs="Arial"/>
          <w:sz w:val="24"/>
          <w:szCs w:val="24"/>
        </w:rPr>
        <w:t xml:space="preserve">os organismos </w:t>
      </w:r>
      <w:r w:rsidR="00DC5DA7" w:rsidRPr="003A1174">
        <w:rPr>
          <w:rFonts w:ascii="Garamond" w:eastAsiaTheme="minorHAnsi" w:hAnsi="Garamond" w:cs="Arial"/>
          <w:sz w:val="24"/>
          <w:szCs w:val="24"/>
        </w:rPr>
        <w:t>jurisdicionais</w:t>
      </w:r>
      <w:r w:rsidR="00C328FC" w:rsidRPr="003A1174">
        <w:rPr>
          <w:rFonts w:ascii="Garamond" w:eastAsiaTheme="minorHAnsi" w:hAnsi="Garamond" w:cs="Arial"/>
          <w:sz w:val="24"/>
          <w:szCs w:val="24"/>
        </w:rPr>
        <w:t xml:space="preserve">, unificando </w:t>
      </w:r>
      <w:r w:rsidR="00CB5DB2" w:rsidRPr="003A1174">
        <w:rPr>
          <w:rFonts w:ascii="Garamond" w:eastAsiaTheme="minorHAnsi" w:hAnsi="Garamond" w:cs="Arial"/>
          <w:sz w:val="24"/>
          <w:szCs w:val="24"/>
        </w:rPr>
        <w:t>critério</w:t>
      </w:r>
      <w:r w:rsidR="00C328FC" w:rsidRPr="003A1174">
        <w:rPr>
          <w:rFonts w:ascii="Garamond" w:eastAsiaTheme="minorHAnsi" w:hAnsi="Garamond" w:cs="Arial"/>
          <w:sz w:val="24"/>
          <w:szCs w:val="24"/>
        </w:rPr>
        <w:t xml:space="preserve">s para </w:t>
      </w:r>
      <w:r w:rsidR="0091213A" w:rsidRPr="003A1174">
        <w:rPr>
          <w:rFonts w:ascii="Garamond" w:eastAsiaTheme="minorHAnsi" w:hAnsi="Garamond" w:cs="Arial"/>
          <w:sz w:val="24"/>
          <w:szCs w:val="24"/>
        </w:rPr>
        <w:t>criar</w:t>
      </w:r>
      <w:r w:rsidR="00C328FC"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prática</w:t>
      </w:r>
      <w:r w:rsidR="00C328FC" w:rsidRPr="003A1174">
        <w:rPr>
          <w:rFonts w:ascii="Garamond" w:eastAsiaTheme="minorHAnsi" w:hAnsi="Garamond" w:cs="Arial"/>
          <w:sz w:val="24"/>
          <w:szCs w:val="24"/>
        </w:rPr>
        <w:t xml:space="preserve">s eficientes e </w:t>
      </w:r>
      <w:r w:rsidR="00271235">
        <w:rPr>
          <w:rFonts w:ascii="Garamond" w:eastAsiaTheme="minorHAnsi" w:hAnsi="Garamond" w:cs="Arial"/>
          <w:sz w:val="24"/>
          <w:szCs w:val="24"/>
        </w:rPr>
        <w:t>insistir</w:t>
      </w:r>
      <w:r w:rsidR="00C328FC" w:rsidRPr="003A1174">
        <w:rPr>
          <w:rFonts w:ascii="Garamond" w:eastAsiaTheme="minorHAnsi" w:hAnsi="Garamond" w:cs="Arial"/>
          <w:sz w:val="24"/>
          <w:szCs w:val="24"/>
        </w:rPr>
        <w:t xml:space="preserve"> e</w:t>
      </w:r>
      <w:r w:rsidR="00620CE8"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w:t>
      </w:r>
      <w:r w:rsidR="005D38DC" w:rsidRPr="003A1174">
        <w:rPr>
          <w:rFonts w:ascii="Garamond" w:eastAsiaTheme="minorHAnsi" w:hAnsi="Garamond" w:cs="Arial"/>
          <w:sz w:val="24"/>
          <w:szCs w:val="24"/>
        </w:rPr>
        <w:t>propostas</w:t>
      </w:r>
      <w:r w:rsidR="00C328FC" w:rsidRPr="003A1174">
        <w:rPr>
          <w:rFonts w:ascii="Garamond" w:eastAsiaTheme="minorHAnsi" w:hAnsi="Garamond" w:cs="Arial"/>
          <w:sz w:val="24"/>
          <w:szCs w:val="24"/>
        </w:rPr>
        <w:t xml:space="preserve"> de </w:t>
      </w:r>
      <w:r w:rsidR="00DB2452">
        <w:rPr>
          <w:rFonts w:ascii="Garamond" w:eastAsiaTheme="minorHAnsi" w:hAnsi="Garamond" w:cs="Arial"/>
          <w:sz w:val="24"/>
          <w:szCs w:val="24"/>
        </w:rPr>
        <w:t xml:space="preserve">revisões </w:t>
      </w:r>
      <w:r w:rsidR="00C328FC" w:rsidRPr="003A1174">
        <w:rPr>
          <w:rFonts w:ascii="Garamond" w:eastAsiaTheme="minorHAnsi" w:hAnsi="Garamond" w:cs="Arial"/>
          <w:sz w:val="24"/>
          <w:szCs w:val="24"/>
        </w:rPr>
        <w:t>e</w:t>
      </w:r>
      <w:r w:rsidR="00620CE8" w:rsidRPr="003A1174">
        <w:rPr>
          <w:rFonts w:ascii="Garamond" w:eastAsiaTheme="minorHAnsi" w:hAnsi="Garamond" w:cs="Arial"/>
          <w:sz w:val="24"/>
          <w:szCs w:val="24"/>
        </w:rPr>
        <w:t>m</w:t>
      </w:r>
      <w:r w:rsidR="00C328FC" w:rsidRPr="003A1174">
        <w:rPr>
          <w:rFonts w:ascii="Garamond" w:eastAsiaTheme="minorHAnsi" w:hAnsi="Garamond" w:cs="Arial"/>
          <w:sz w:val="24"/>
          <w:szCs w:val="24"/>
        </w:rPr>
        <w:t xml:space="preserve"> </w:t>
      </w:r>
      <w:r w:rsidR="002E2C71" w:rsidRPr="003A1174">
        <w:rPr>
          <w:rFonts w:ascii="Garamond" w:eastAsiaTheme="minorHAnsi" w:hAnsi="Garamond" w:cs="Arial"/>
          <w:sz w:val="24"/>
          <w:szCs w:val="24"/>
        </w:rPr>
        <w:t>função</w:t>
      </w:r>
      <w:r w:rsidR="00C328FC" w:rsidRPr="003A1174">
        <w:rPr>
          <w:rFonts w:ascii="Garamond" w:eastAsiaTheme="minorHAnsi" w:hAnsi="Garamond" w:cs="Arial"/>
          <w:sz w:val="24"/>
          <w:szCs w:val="24"/>
        </w:rPr>
        <w:t xml:space="preserve"> da </w:t>
      </w:r>
      <w:r w:rsidR="00B14AA6" w:rsidRPr="003A1174">
        <w:rPr>
          <w:rFonts w:ascii="Garamond" w:eastAsiaTheme="minorHAnsi" w:hAnsi="Garamond" w:cs="Arial"/>
          <w:sz w:val="24"/>
          <w:szCs w:val="24"/>
        </w:rPr>
        <w:t>aplicação</w:t>
      </w:r>
      <w:r w:rsidR="00C328FC" w:rsidRPr="003A1174">
        <w:rPr>
          <w:rFonts w:ascii="Garamond" w:eastAsiaTheme="minorHAnsi" w:hAnsi="Garamond" w:cs="Arial"/>
          <w:sz w:val="24"/>
          <w:szCs w:val="24"/>
        </w:rPr>
        <w:t xml:space="preserve"> da referida </w:t>
      </w:r>
      <w:r w:rsidR="00D15AFF" w:rsidRPr="003A1174">
        <w:rPr>
          <w:rFonts w:ascii="Garamond" w:eastAsiaTheme="minorHAnsi" w:hAnsi="Garamond" w:cs="Arial"/>
          <w:sz w:val="24"/>
          <w:szCs w:val="24"/>
        </w:rPr>
        <w:t>lei</w:t>
      </w:r>
      <w:r w:rsidR="00C328FC" w:rsidRPr="003A1174">
        <w:rPr>
          <w:rFonts w:ascii="Garamond" w:eastAsiaTheme="minorHAnsi" w:hAnsi="Garamond" w:cs="Arial"/>
          <w:sz w:val="24"/>
          <w:szCs w:val="24"/>
        </w:rPr>
        <w:t xml:space="preserve">, </w:t>
      </w:r>
      <w:r w:rsidRPr="003A1174">
        <w:rPr>
          <w:rFonts w:ascii="Garamond" w:eastAsiaTheme="minorHAnsi" w:hAnsi="Garamond" w:cs="Arial"/>
          <w:sz w:val="24"/>
          <w:szCs w:val="24"/>
        </w:rPr>
        <w:t>monitorizar</w:t>
      </w:r>
      <w:r w:rsidR="00C328FC"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prática</w:t>
      </w:r>
      <w:r w:rsidR="00C328FC" w:rsidRPr="003A1174">
        <w:rPr>
          <w:rFonts w:ascii="Garamond" w:eastAsiaTheme="minorHAnsi" w:hAnsi="Garamond" w:cs="Arial"/>
          <w:sz w:val="24"/>
          <w:szCs w:val="24"/>
        </w:rPr>
        <w:t>s que n</w:t>
      </w:r>
      <w:r w:rsidR="00620CE8" w:rsidRPr="003A1174">
        <w:rPr>
          <w:rFonts w:ascii="Garamond" w:eastAsiaTheme="minorHAnsi" w:hAnsi="Garamond" w:cs="Arial"/>
          <w:sz w:val="24"/>
          <w:szCs w:val="24"/>
        </w:rPr>
        <w:t>ã</w:t>
      </w:r>
      <w:r w:rsidR="00C328FC" w:rsidRPr="003A1174">
        <w:rPr>
          <w:rFonts w:ascii="Garamond" w:eastAsiaTheme="minorHAnsi" w:hAnsi="Garamond" w:cs="Arial"/>
          <w:sz w:val="24"/>
          <w:szCs w:val="24"/>
        </w:rPr>
        <w:t>o observa</w:t>
      </w:r>
      <w:r w:rsidR="00620CE8" w:rsidRPr="003A1174">
        <w:rPr>
          <w:rFonts w:ascii="Garamond" w:eastAsiaTheme="minorHAnsi" w:hAnsi="Garamond" w:cs="Arial"/>
          <w:sz w:val="24"/>
          <w:szCs w:val="24"/>
        </w:rPr>
        <w:t xml:space="preserve">m o </w:t>
      </w:r>
      <w:r w:rsidR="009A0033" w:rsidRPr="003A1174">
        <w:rPr>
          <w:rFonts w:ascii="Garamond" w:eastAsiaTheme="minorHAnsi" w:hAnsi="Garamond" w:cs="Arial"/>
          <w:sz w:val="24"/>
          <w:szCs w:val="24"/>
        </w:rPr>
        <w:t>devido</w:t>
      </w:r>
      <w:r w:rsidR="00C328FC" w:rsidRPr="003A1174">
        <w:rPr>
          <w:rFonts w:ascii="Garamond" w:eastAsiaTheme="minorHAnsi" w:hAnsi="Garamond" w:cs="Arial"/>
          <w:sz w:val="24"/>
          <w:szCs w:val="24"/>
        </w:rPr>
        <w:t xml:space="preserve"> </w:t>
      </w:r>
      <w:r w:rsidR="002D1021" w:rsidRPr="003A1174">
        <w:rPr>
          <w:rFonts w:ascii="Garamond" w:eastAsiaTheme="minorHAnsi" w:hAnsi="Garamond" w:cs="Arial"/>
          <w:sz w:val="24"/>
          <w:szCs w:val="24"/>
        </w:rPr>
        <w:t>processo</w:t>
      </w:r>
      <w:r w:rsidR="00C328FC"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w:t>
      </w:r>
      <w:r w:rsidR="00620CE8" w:rsidRPr="003A1174">
        <w:rPr>
          <w:rFonts w:ascii="Garamond" w:eastAsiaTheme="minorHAnsi" w:hAnsi="Garamond" w:cs="Arial"/>
          <w:sz w:val="24"/>
          <w:szCs w:val="24"/>
        </w:rPr>
        <w:t>procurar soluções</w:t>
      </w:r>
      <w:r w:rsidR="00C328FC" w:rsidRPr="003A1174">
        <w:rPr>
          <w:rFonts w:ascii="Garamond" w:eastAsiaTheme="minorHAnsi" w:hAnsi="Garamond" w:cs="Arial"/>
          <w:sz w:val="24"/>
          <w:szCs w:val="24"/>
        </w:rPr>
        <w:t xml:space="preserve"> a</w:t>
      </w:r>
      <w:r w:rsidR="00620CE8" w:rsidRPr="003A1174">
        <w:rPr>
          <w:rFonts w:ascii="Garamond" w:eastAsiaTheme="minorHAnsi" w:hAnsi="Garamond" w:cs="Arial"/>
          <w:sz w:val="24"/>
          <w:szCs w:val="24"/>
        </w:rPr>
        <w:t xml:space="preserve"> esse </w:t>
      </w:r>
      <w:r w:rsidR="001F2F8B" w:rsidRPr="003A1174">
        <w:rPr>
          <w:rFonts w:ascii="Garamond" w:eastAsiaTheme="minorHAnsi" w:hAnsi="Garamond" w:cs="Arial"/>
          <w:sz w:val="24"/>
          <w:szCs w:val="24"/>
        </w:rPr>
        <w:t>respeito</w:t>
      </w:r>
      <w:r w:rsidR="00C328FC" w:rsidRPr="003A1174">
        <w:rPr>
          <w:rFonts w:ascii="Garamond" w:eastAsiaTheme="minorHAnsi" w:hAnsi="Garamond" w:cs="Arial"/>
          <w:sz w:val="24"/>
          <w:szCs w:val="24"/>
        </w:rPr>
        <w:t xml:space="preserve">, </w:t>
      </w:r>
      <w:r w:rsidR="000464C8" w:rsidRPr="003A1174">
        <w:rPr>
          <w:rFonts w:ascii="Garamond" w:eastAsiaTheme="minorHAnsi" w:hAnsi="Garamond" w:cs="Arial"/>
          <w:sz w:val="24"/>
          <w:szCs w:val="24"/>
        </w:rPr>
        <w:t>assim</w:t>
      </w:r>
      <w:r w:rsidR="00FC18A9" w:rsidRPr="003A1174">
        <w:rPr>
          <w:rFonts w:ascii="Garamond" w:eastAsiaTheme="minorHAnsi" w:hAnsi="Garamond" w:cs="Arial"/>
          <w:sz w:val="24"/>
          <w:szCs w:val="24"/>
        </w:rPr>
        <w:t xml:space="preserve"> como</w:t>
      </w:r>
      <w:r w:rsidR="00C328FC" w:rsidRPr="003A1174">
        <w:rPr>
          <w:rFonts w:ascii="Garamond" w:eastAsiaTheme="minorHAnsi" w:hAnsi="Garamond" w:cs="Arial"/>
          <w:sz w:val="24"/>
          <w:szCs w:val="24"/>
        </w:rPr>
        <w:t xml:space="preserve"> ge</w:t>
      </w:r>
      <w:r w:rsidR="00620CE8" w:rsidRPr="003A1174">
        <w:rPr>
          <w:rFonts w:ascii="Garamond" w:eastAsiaTheme="minorHAnsi" w:hAnsi="Garamond" w:cs="Arial"/>
          <w:sz w:val="24"/>
          <w:szCs w:val="24"/>
        </w:rPr>
        <w:t xml:space="preserve">rir </w:t>
      </w:r>
      <w:r w:rsidR="00374785" w:rsidRPr="003A1174">
        <w:rPr>
          <w:rFonts w:ascii="Garamond" w:eastAsiaTheme="minorHAnsi" w:hAnsi="Garamond" w:cs="Arial"/>
          <w:sz w:val="24"/>
          <w:szCs w:val="24"/>
        </w:rPr>
        <w:t>atividades</w:t>
      </w:r>
      <w:r w:rsidR="00C328FC" w:rsidRPr="003A1174">
        <w:rPr>
          <w:rFonts w:ascii="Garamond" w:eastAsiaTheme="minorHAnsi" w:hAnsi="Garamond" w:cs="Arial"/>
          <w:sz w:val="24"/>
          <w:szCs w:val="24"/>
        </w:rPr>
        <w:t xml:space="preserve"> de </w:t>
      </w:r>
      <w:r w:rsidR="00976FB8" w:rsidRPr="003A1174">
        <w:rPr>
          <w:rFonts w:ascii="Garamond" w:eastAsiaTheme="minorHAnsi" w:hAnsi="Garamond" w:cs="Arial"/>
          <w:sz w:val="24"/>
          <w:szCs w:val="24"/>
        </w:rPr>
        <w:t>sensibilização</w:t>
      </w:r>
      <w:r w:rsidR="00C328FC" w:rsidRPr="003A1174">
        <w:rPr>
          <w:rFonts w:ascii="Garamond" w:eastAsiaTheme="minorHAnsi" w:hAnsi="Garamond" w:cs="Arial"/>
          <w:sz w:val="24"/>
          <w:szCs w:val="24"/>
        </w:rPr>
        <w:t xml:space="preserve">, </w:t>
      </w:r>
      <w:r w:rsidR="002A71E1">
        <w:rPr>
          <w:rFonts w:ascii="Garamond" w:eastAsiaTheme="minorHAnsi" w:hAnsi="Garamond" w:cs="Arial"/>
          <w:sz w:val="24"/>
          <w:szCs w:val="24"/>
        </w:rPr>
        <w:t>formação</w:t>
      </w:r>
      <w:r w:rsidR="00C328FC"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boas</w:t>
      </w:r>
      <w:r w:rsidR="00C328FC" w:rsidRPr="003A1174">
        <w:rPr>
          <w:rFonts w:ascii="Garamond" w:eastAsiaTheme="minorHAnsi" w:hAnsi="Garamond" w:cs="Arial"/>
          <w:sz w:val="24"/>
          <w:szCs w:val="24"/>
        </w:rPr>
        <w:t xml:space="preserve"> </w:t>
      </w:r>
      <w:r w:rsidR="00661ADB" w:rsidRPr="003A1174">
        <w:rPr>
          <w:rFonts w:ascii="Garamond" w:eastAsiaTheme="minorHAnsi" w:hAnsi="Garamond" w:cs="Arial"/>
          <w:sz w:val="24"/>
          <w:szCs w:val="24"/>
        </w:rPr>
        <w:t>prática</w:t>
      </w:r>
      <w:r w:rsidR="00C328FC" w:rsidRPr="003A1174">
        <w:rPr>
          <w:rFonts w:ascii="Garamond" w:eastAsiaTheme="minorHAnsi" w:hAnsi="Garamond" w:cs="Arial"/>
          <w:sz w:val="24"/>
          <w:szCs w:val="24"/>
        </w:rPr>
        <w:t xml:space="preserve">s </w:t>
      </w:r>
      <w:r w:rsidR="00620CE8" w:rsidRPr="003A1174">
        <w:rPr>
          <w:rFonts w:ascii="Garamond" w:eastAsiaTheme="minorHAnsi" w:hAnsi="Garamond" w:cs="Arial"/>
          <w:sz w:val="24"/>
          <w:szCs w:val="24"/>
        </w:rPr>
        <w:t>n</w:t>
      </w:r>
      <w:r w:rsidR="00C328FC" w:rsidRPr="003A1174">
        <w:rPr>
          <w:rFonts w:ascii="Garamond" w:eastAsiaTheme="minorHAnsi" w:hAnsi="Garamond" w:cs="Arial"/>
          <w:sz w:val="24"/>
          <w:szCs w:val="24"/>
        </w:rPr>
        <w:t xml:space="preserve">as diferentes </w:t>
      </w:r>
      <w:r w:rsidR="002C7510" w:rsidRPr="003A1174">
        <w:rPr>
          <w:rFonts w:ascii="Garamond" w:eastAsiaTheme="minorHAnsi" w:hAnsi="Garamond" w:cs="Arial"/>
          <w:sz w:val="24"/>
          <w:szCs w:val="24"/>
        </w:rPr>
        <w:t>instituições</w:t>
      </w:r>
      <w:r w:rsidR="00C328FC" w:rsidRPr="003A1174">
        <w:rPr>
          <w:rFonts w:ascii="Garamond" w:eastAsiaTheme="minorHAnsi" w:hAnsi="Garamond" w:cs="Arial"/>
          <w:sz w:val="24"/>
          <w:szCs w:val="24"/>
        </w:rPr>
        <w:t xml:space="preserve"> públicas </w:t>
      </w:r>
      <w:r w:rsidR="00497503" w:rsidRPr="003A1174">
        <w:rPr>
          <w:rFonts w:ascii="Garamond" w:eastAsiaTheme="minorHAnsi" w:hAnsi="Garamond" w:cs="Arial"/>
          <w:sz w:val="24"/>
          <w:szCs w:val="24"/>
        </w:rPr>
        <w:t>e</w:t>
      </w:r>
      <w:r w:rsidR="00C328FC" w:rsidRPr="003A1174">
        <w:rPr>
          <w:rFonts w:ascii="Garamond" w:eastAsiaTheme="minorHAnsi" w:hAnsi="Garamond" w:cs="Arial"/>
          <w:sz w:val="24"/>
          <w:szCs w:val="24"/>
        </w:rPr>
        <w:t xml:space="preserve"> privadas.</w:t>
      </w:r>
    </w:p>
    <w:p w:rsidR="00C328FC" w:rsidRPr="003A1174" w:rsidRDefault="00C328FC"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Desde 2013</w:t>
      </w:r>
      <w:r w:rsidR="002826EA">
        <w:rPr>
          <w:rFonts w:ascii="Garamond" w:eastAsiaTheme="minorHAnsi" w:hAnsi="Garamond" w:cs="Arial"/>
          <w:sz w:val="24"/>
          <w:szCs w:val="24"/>
        </w:rPr>
        <w:t>,</w:t>
      </w:r>
      <w:r w:rsidRPr="003A1174">
        <w:rPr>
          <w:rFonts w:ascii="Garamond" w:eastAsiaTheme="minorHAnsi" w:hAnsi="Garamond" w:cs="Arial"/>
          <w:sz w:val="24"/>
          <w:szCs w:val="24"/>
        </w:rPr>
        <w:t xml:space="preserve"> </w:t>
      </w:r>
      <w:r w:rsidR="00620CE8" w:rsidRPr="003A1174">
        <w:rPr>
          <w:rFonts w:ascii="Garamond" w:eastAsiaTheme="minorHAnsi" w:hAnsi="Garamond" w:cs="Arial"/>
          <w:sz w:val="24"/>
          <w:szCs w:val="24"/>
        </w:rPr>
        <w:t>t</w:t>
      </w:r>
      <w:r w:rsidR="00AC63DF" w:rsidRPr="003A1174">
        <w:rPr>
          <w:rFonts w:ascii="Garamond" w:eastAsiaTheme="minorHAnsi" w:hAnsi="Garamond" w:cs="Arial"/>
          <w:sz w:val="24"/>
          <w:szCs w:val="24"/>
        </w:rPr>
        <w:t>rabalh</w:t>
      </w:r>
      <w:r w:rsidR="00620CE8" w:rsidRPr="003A1174">
        <w:rPr>
          <w:rFonts w:ascii="Garamond" w:eastAsiaTheme="minorHAnsi" w:hAnsi="Garamond" w:cs="Arial"/>
          <w:sz w:val="24"/>
          <w:szCs w:val="24"/>
        </w:rPr>
        <w:t xml:space="preserve">ou-se </w:t>
      </w:r>
      <w:r w:rsidRPr="003A1174">
        <w:rPr>
          <w:rFonts w:ascii="Garamond" w:eastAsiaTheme="minorHAnsi" w:hAnsi="Garamond" w:cs="Arial"/>
          <w:sz w:val="24"/>
          <w:szCs w:val="24"/>
        </w:rPr>
        <w:t>e</w:t>
      </w:r>
      <w:r w:rsidR="00620CE8" w:rsidRPr="003A1174">
        <w:rPr>
          <w:rFonts w:ascii="Garamond" w:eastAsiaTheme="minorHAnsi" w:hAnsi="Garamond" w:cs="Arial"/>
          <w:sz w:val="24"/>
          <w:szCs w:val="24"/>
        </w:rPr>
        <w:t>m</w:t>
      </w:r>
      <w:r w:rsidRPr="003A1174">
        <w:rPr>
          <w:rFonts w:ascii="Garamond" w:eastAsiaTheme="minorHAnsi" w:hAnsi="Garamond" w:cs="Arial"/>
          <w:sz w:val="24"/>
          <w:szCs w:val="24"/>
        </w:rPr>
        <w:t xml:space="preserve"> conjunto co</w:t>
      </w:r>
      <w:r w:rsidR="00620CE8" w:rsidRPr="003A1174">
        <w:rPr>
          <w:rFonts w:ascii="Garamond" w:eastAsiaTheme="minorHAnsi" w:hAnsi="Garamond" w:cs="Arial"/>
          <w:sz w:val="24"/>
          <w:szCs w:val="24"/>
        </w:rPr>
        <w:t xml:space="preserve">m o </w:t>
      </w:r>
      <w:r w:rsidRPr="003A1174">
        <w:rPr>
          <w:rFonts w:ascii="Garamond" w:eastAsiaTheme="minorHAnsi" w:hAnsi="Garamond" w:cs="Arial"/>
          <w:sz w:val="24"/>
          <w:szCs w:val="24"/>
        </w:rPr>
        <w:t xml:space="preserve">Poder Judicial </w:t>
      </w:r>
      <w:r w:rsidR="00497503" w:rsidRPr="003A1174">
        <w:rPr>
          <w:rFonts w:ascii="Garamond" w:eastAsiaTheme="minorHAnsi" w:hAnsi="Garamond" w:cs="Arial"/>
          <w:sz w:val="24"/>
          <w:szCs w:val="24"/>
        </w:rPr>
        <w:t>e</w:t>
      </w:r>
      <w:r w:rsidR="00620CE8"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a </w:t>
      </w:r>
      <w:r w:rsidR="00FC1F7F" w:rsidRPr="003A1174">
        <w:rPr>
          <w:rFonts w:ascii="Garamond" w:eastAsiaTheme="minorHAnsi" w:hAnsi="Garamond" w:cs="Arial"/>
          <w:sz w:val="24"/>
          <w:szCs w:val="24"/>
        </w:rPr>
        <w:t>Comissão</w:t>
      </w:r>
      <w:r w:rsidRPr="003A1174">
        <w:rPr>
          <w:rFonts w:ascii="Garamond" w:eastAsiaTheme="minorHAnsi" w:hAnsi="Garamond" w:cs="Arial"/>
          <w:sz w:val="24"/>
          <w:szCs w:val="24"/>
        </w:rPr>
        <w:t xml:space="preserve"> Interinstitucional para </w:t>
      </w:r>
      <w:r w:rsidR="009024A0" w:rsidRPr="003A1174">
        <w:rPr>
          <w:rFonts w:ascii="Garamond" w:eastAsiaTheme="minorHAnsi" w:hAnsi="Garamond" w:cs="Arial"/>
          <w:sz w:val="24"/>
          <w:szCs w:val="24"/>
        </w:rPr>
        <w:t>o arranque</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funcionamento</w:t>
      </w:r>
      <w:r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Pr="003A1174">
        <w:rPr>
          <w:rFonts w:ascii="Garamond" w:eastAsiaTheme="minorHAnsi" w:hAnsi="Garamond" w:cs="Arial"/>
          <w:sz w:val="24"/>
          <w:szCs w:val="24"/>
        </w:rPr>
        <w:t xml:space="preserve"> Centro de </w:t>
      </w:r>
      <w:r w:rsidR="008278C4" w:rsidRPr="003A1174">
        <w:rPr>
          <w:rFonts w:ascii="Garamond" w:eastAsiaTheme="minorHAnsi" w:hAnsi="Garamond" w:cs="Arial"/>
          <w:sz w:val="24"/>
          <w:szCs w:val="24"/>
        </w:rPr>
        <w:t>Atenção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Proteção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Direito</w:t>
      </w:r>
      <w:r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Pr="003A1174">
        <w:rPr>
          <w:rFonts w:ascii="Garamond" w:eastAsiaTheme="minorHAnsi" w:hAnsi="Garamond" w:cs="Arial"/>
          <w:sz w:val="24"/>
          <w:szCs w:val="24"/>
        </w:rPr>
        <w:t xml:space="preserve"> (CAPRODEM), como </w:t>
      </w:r>
      <w:r w:rsidR="009024A0" w:rsidRPr="003A1174">
        <w:rPr>
          <w:rFonts w:ascii="Garamond" w:eastAsiaTheme="minorHAnsi" w:hAnsi="Garamond" w:cs="Arial"/>
          <w:sz w:val="24"/>
          <w:szCs w:val="24"/>
        </w:rPr>
        <w:t>projeto-piloto</w:t>
      </w:r>
      <w:r w:rsidRPr="003A1174">
        <w:rPr>
          <w:rFonts w:ascii="Garamond" w:eastAsiaTheme="minorHAnsi" w:hAnsi="Garamond" w:cs="Arial"/>
          <w:sz w:val="24"/>
          <w:szCs w:val="24"/>
        </w:rPr>
        <w:t xml:space="preserve"> </w:t>
      </w:r>
      <w:r w:rsidR="009024A0" w:rsidRPr="003A1174">
        <w:rPr>
          <w:rFonts w:ascii="Garamond" w:eastAsiaTheme="minorHAnsi" w:hAnsi="Garamond" w:cs="Arial"/>
          <w:sz w:val="24"/>
          <w:szCs w:val="24"/>
        </w:rPr>
        <w:t>n</w:t>
      </w:r>
      <w:r w:rsidRPr="003A1174">
        <w:rPr>
          <w:rFonts w:ascii="Garamond" w:eastAsiaTheme="minorHAnsi" w:hAnsi="Garamond" w:cs="Arial"/>
          <w:sz w:val="24"/>
          <w:szCs w:val="24"/>
        </w:rPr>
        <w:t xml:space="preserve">a </w:t>
      </w:r>
      <w:r w:rsidR="008651AF" w:rsidRPr="003A1174">
        <w:rPr>
          <w:rFonts w:ascii="Garamond" w:eastAsiaTheme="minorHAnsi" w:hAnsi="Garamond" w:cs="Arial"/>
          <w:sz w:val="24"/>
          <w:szCs w:val="24"/>
        </w:rPr>
        <w:t>cidade</w:t>
      </w:r>
      <w:r w:rsidRPr="003A1174">
        <w:rPr>
          <w:rFonts w:ascii="Garamond" w:eastAsiaTheme="minorHAnsi" w:hAnsi="Garamond" w:cs="Arial"/>
          <w:sz w:val="24"/>
          <w:szCs w:val="24"/>
        </w:rPr>
        <w:t xml:space="preserve"> de Comayagüela, </w:t>
      </w:r>
      <w:r w:rsidR="00FC18A9" w:rsidRPr="003A1174">
        <w:rPr>
          <w:rFonts w:ascii="Garamond" w:eastAsiaTheme="minorHAnsi" w:hAnsi="Garamond" w:cs="Arial"/>
          <w:sz w:val="24"/>
          <w:szCs w:val="24"/>
        </w:rPr>
        <w:t>e</w:t>
      </w:r>
      <w:r w:rsidR="009024A0" w:rsidRPr="003A1174">
        <w:rPr>
          <w:rFonts w:ascii="Garamond" w:eastAsiaTheme="minorHAnsi" w:hAnsi="Garamond" w:cs="Arial"/>
          <w:sz w:val="24"/>
          <w:szCs w:val="24"/>
        </w:rPr>
        <w:t>m</w:t>
      </w:r>
      <w:r w:rsidR="00FC18A9"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Francisco Morazán. </w:t>
      </w:r>
      <w:r w:rsidR="009024A0" w:rsidRPr="003A1174">
        <w:rPr>
          <w:rFonts w:ascii="Garamond" w:eastAsiaTheme="minorHAnsi" w:hAnsi="Garamond" w:cs="Arial"/>
          <w:sz w:val="24"/>
          <w:szCs w:val="24"/>
        </w:rPr>
        <w:t xml:space="preserve">O </w:t>
      </w:r>
      <w:r w:rsidRPr="003A1174">
        <w:rPr>
          <w:rFonts w:ascii="Garamond" w:eastAsiaTheme="minorHAnsi" w:hAnsi="Garamond" w:cs="Arial"/>
          <w:sz w:val="24"/>
          <w:szCs w:val="24"/>
        </w:rPr>
        <w:t xml:space="preserve">centro </w:t>
      </w:r>
      <w:r w:rsidR="007A2492" w:rsidRPr="003A1174">
        <w:rPr>
          <w:rFonts w:ascii="Garamond" w:eastAsiaTheme="minorHAnsi" w:hAnsi="Garamond" w:cs="Arial"/>
          <w:sz w:val="24"/>
          <w:szCs w:val="24"/>
        </w:rPr>
        <w:t>tem</w:t>
      </w:r>
      <w:r w:rsidR="002826EA">
        <w:rPr>
          <w:rFonts w:ascii="Garamond" w:eastAsiaTheme="minorHAnsi" w:hAnsi="Garamond" w:cs="Arial"/>
          <w:sz w:val="24"/>
          <w:szCs w:val="24"/>
        </w:rPr>
        <w:t>,</w:t>
      </w:r>
      <w:r w:rsidRPr="003A1174">
        <w:rPr>
          <w:rFonts w:ascii="Garamond" w:eastAsiaTheme="minorHAnsi" w:hAnsi="Garamond" w:cs="Arial"/>
          <w:sz w:val="24"/>
          <w:szCs w:val="24"/>
        </w:rPr>
        <w:t xml:space="preserve"> </w:t>
      </w:r>
      <w:r w:rsidR="00FC18A9" w:rsidRPr="003A1174">
        <w:rPr>
          <w:rFonts w:ascii="Garamond" w:eastAsiaTheme="minorHAnsi" w:hAnsi="Garamond" w:cs="Arial"/>
          <w:sz w:val="24"/>
          <w:szCs w:val="24"/>
        </w:rPr>
        <w:t>por</w:t>
      </w:r>
      <w:r w:rsidRPr="003A1174">
        <w:rPr>
          <w:rFonts w:ascii="Garamond" w:eastAsiaTheme="minorHAnsi" w:hAnsi="Garamond" w:cs="Arial"/>
          <w:sz w:val="24"/>
          <w:szCs w:val="24"/>
        </w:rPr>
        <w:t xml:space="preserve"> objet</w:t>
      </w:r>
      <w:r w:rsidR="002826EA">
        <w:rPr>
          <w:rFonts w:ascii="Garamond" w:eastAsiaTheme="minorHAnsi" w:hAnsi="Garamond" w:cs="Arial"/>
          <w:sz w:val="24"/>
          <w:szCs w:val="24"/>
        </w:rPr>
        <w:t>ivo</w:t>
      </w:r>
      <w:r w:rsidRPr="003A1174">
        <w:rPr>
          <w:rFonts w:ascii="Garamond" w:eastAsiaTheme="minorHAnsi" w:hAnsi="Garamond" w:cs="Arial"/>
          <w:sz w:val="24"/>
          <w:szCs w:val="24"/>
        </w:rPr>
        <w:t xml:space="preserve"> central</w:t>
      </w:r>
      <w:r w:rsidR="002826EA">
        <w:rPr>
          <w:rFonts w:ascii="Garamond" w:eastAsiaTheme="minorHAnsi" w:hAnsi="Garamond" w:cs="Arial"/>
          <w:sz w:val="24"/>
          <w:szCs w:val="24"/>
        </w:rPr>
        <w:t>,</w:t>
      </w:r>
      <w:r w:rsidRPr="003A1174">
        <w:rPr>
          <w:rFonts w:ascii="Garamond" w:eastAsiaTheme="minorHAnsi" w:hAnsi="Garamond" w:cs="Arial"/>
          <w:sz w:val="24"/>
          <w:szCs w:val="24"/>
        </w:rPr>
        <w:t xml:space="preserve"> </w:t>
      </w:r>
      <w:r w:rsidR="009024A0" w:rsidRPr="003A1174">
        <w:rPr>
          <w:rFonts w:ascii="Garamond" w:eastAsiaTheme="minorHAnsi" w:hAnsi="Garamond" w:cs="Arial"/>
          <w:sz w:val="24"/>
          <w:szCs w:val="24"/>
        </w:rPr>
        <w:t xml:space="preserve">proporcionar </w:t>
      </w:r>
      <w:r w:rsidR="00081B57" w:rsidRPr="003A1174">
        <w:rPr>
          <w:rFonts w:ascii="Garamond" w:eastAsiaTheme="minorHAnsi" w:hAnsi="Garamond" w:cs="Arial"/>
          <w:sz w:val="24"/>
          <w:szCs w:val="24"/>
        </w:rPr>
        <w:t>orientação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assistência</w:t>
      </w:r>
      <w:r w:rsidRPr="003A1174">
        <w:rPr>
          <w:rFonts w:ascii="Garamond" w:eastAsiaTheme="minorHAnsi" w:hAnsi="Garamond" w:cs="Arial"/>
          <w:sz w:val="24"/>
          <w:szCs w:val="24"/>
        </w:rPr>
        <w:t xml:space="preserve"> técnico-jurídica</w:t>
      </w:r>
      <w:r w:rsidR="002826EA">
        <w:rPr>
          <w:rFonts w:ascii="Garamond" w:eastAsiaTheme="minorHAnsi" w:hAnsi="Garamond" w:cs="Arial"/>
          <w:sz w:val="24"/>
          <w:szCs w:val="24"/>
        </w:rPr>
        <w:t>,</w:t>
      </w:r>
      <w:r w:rsidRPr="003A1174">
        <w:rPr>
          <w:rFonts w:ascii="Garamond" w:eastAsiaTheme="minorHAnsi" w:hAnsi="Garamond" w:cs="Arial"/>
          <w:sz w:val="24"/>
          <w:szCs w:val="24"/>
        </w:rPr>
        <w:t xml:space="preserve"> </w:t>
      </w:r>
      <w:r w:rsidR="00201889" w:rsidRPr="003A1174">
        <w:rPr>
          <w:rFonts w:ascii="Garamond" w:eastAsiaTheme="minorHAnsi" w:hAnsi="Garamond" w:cs="Arial"/>
          <w:sz w:val="24"/>
          <w:szCs w:val="24"/>
        </w:rPr>
        <w:t>imediata</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gratuita</w:t>
      </w:r>
      <w:r w:rsidR="002826EA">
        <w:rPr>
          <w:rFonts w:ascii="Garamond" w:eastAsiaTheme="minorHAnsi" w:hAnsi="Garamond" w:cs="Arial"/>
          <w:sz w:val="24"/>
          <w:szCs w:val="24"/>
        </w:rPr>
        <w:t>,</w:t>
      </w:r>
      <w:r w:rsidRPr="003A1174">
        <w:rPr>
          <w:rFonts w:ascii="Garamond" w:eastAsiaTheme="minorHAnsi" w:hAnsi="Garamond" w:cs="Arial"/>
          <w:sz w:val="24"/>
          <w:szCs w:val="24"/>
        </w:rPr>
        <w:t xml:space="preserve"> </w:t>
      </w:r>
      <w:r w:rsidR="009024A0" w:rsidRPr="003A1174">
        <w:rPr>
          <w:rFonts w:ascii="Garamond" w:eastAsiaTheme="minorHAnsi" w:hAnsi="Garamond" w:cs="Arial"/>
          <w:sz w:val="24"/>
          <w:szCs w:val="24"/>
        </w:rPr>
        <w:t>à</w:t>
      </w:r>
      <w:r w:rsidRPr="003A1174">
        <w:rPr>
          <w:rFonts w:ascii="Garamond" w:eastAsiaTheme="minorHAnsi" w:hAnsi="Garamond" w:cs="Arial"/>
          <w:sz w:val="24"/>
          <w:szCs w:val="24"/>
        </w:rPr>
        <w:t xml:space="preserve">s </w:t>
      </w:r>
      <w:r w:rsidR="00054EE0" w:rsidRPr="003A1174">
        <w:rPr>
          <w:rFonts w:ascii="Garamond" w:eastAsiaTheme="minorHAnsi" w:hAnsi="Garamond" w:cs="Arial"/>
          <w:sz w:val="24"/>
          <w:szCs w:val="24"/>
        </w:rPr>
        <w:t>mulheres</w:t>
      </w:r>
      <w:r w:rsidRPr="003A1174">
        <w:rPr>
          <w:rFonts w:ascii="Garamond" w:eastAsiaTheme="minorHAnsi" w:hAnsi="Garamond" w:cs="Arial"/>
          <w:sz w:val="24"/>
          <w:szCs w:val="24"/>
        </w:rPr>
        <w:t xml:space="preserve"> </w:t>
      </w:r>
      <w:r w:rsidR="003F012B" w:rsidRPr="003A1174">
        <w:rPr>
          <w:rFonts w:ascii="Garamond" w:eastAsiaTheme="minorHAnsi" w:hAnsi="Garamond" w:cs="Arial"/>
          <w:sz w:val="24"/>
          <w:szCs w:val="24"/>
        </w:rPr>
        <w:t>vítima</w:t>
      </w:r>
      <w:r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Pr="003A1174">
        <w:rPr>
          <w:rFonts w:ascii="Garamond" w:eastAsiaTheme="minorHAnsi" w:hAnsi="Garamond" w:cs="Arial"/>
          <w:sz w:val="24"/>
          <w:szCs w:val="24"/>
        </w:rPr>
        <w:t xml:space="preserve"> doméstica (física, sexual, psicológica, patrimonial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/o</w:t>
      </w:r>
      <w:r w:rsidR="009024A0" w:rsidRPr="003A1174">
        <w:rPr>
          <w:rFonts w:ascii="Garamond" w:eastAsiaTheme="minorHAnsi" w:hAnsi="Garamond" w:cs="Arial"/>
          <w:sz w:val="24"/>
          <w:szCs w:val="24"/>
        </w:rPr>
        <w:t>u</w:t>
      </w:r>
      <w:r w:rsidRPr="003A1174">
        <w:rPr>
          <w:rFonts w:ascii="Garamond" w:eastAsiaTheme="minorHAnsi" w:hAnsi="Garamond" w:cs="Arial"/>
          <w:sz w:val="24"/>
          <w:szCs w:val="24"/>
        </w:rPr>
        <w:t xml:space="preserve"> económica) </w:t>
      </w:r>
      <w:r w:rsidR="00497503" w:rsidRPr="003A1174">
        <w:rPr>
          <w:rFonts w:ascii="Garamond" w:eastAsiaTheme="minorHAnsi" w:hAnsi="Garamond" w:cs="Arial"/>
          <w:sz w:val="24"/>
          <w:szCs w:val="24"/>
        </w:rPr>
        <w:t>e</w:t>
      </w:r>
      <w:r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Pr="003A1174">
        <w:rPr>
          <w:rFonts w:ascii="Garamond" w:eastAsiaTheme="minorHAnsi" w:hAnsi="Garamond" w:cs="Arial"/>
          <w:sz w:val="24"/>
          <w:szCs w:val="24"/>
        </w:rPr>
        <w:t xml:space="preserve"> intrafamiliar, prestando </w:t>
      </w:r>
      <w:r w:rsidR="009024A0" w:rsidRPr="003A1174">
        <w:rPr>
          <w:rFonts w:ascii="Garamond" w:eastAsiaTheme="minorHAnsi" w:hAnsi="Garamond" w:cs="Arial"/>
          <w:sz w:val="24"/>
          <w:szCs w:val="24"/>
        </w:rPr>
        <w:t xml:space="preserve">os </w:t>
      </w:r>
      <w:r w:rsidRPr="003A1174">
        <w:rPr>
          <w:rFonts w:ascii="Garamond" w:eastAsiaTheme="minorHAnsi" w:hAnsi="Garamond" w:cs="Arial"/>
          <w:sz w:val="24"/>
          <w:szCs w:val="24"/>
        </w:rPr>
        <w:t>s</w:t>
      </w:r>
      <w:r w:rsidR="009024A0" w:rsidRPr="003A1174">
        <w:rPr>
          <w:rFonts w:ascii="Garamond" w:eastAsiaTheme="minorHAnsi" w:hAnsi="Garamond" w:cs="Arial"/>
          <w:sz w:val="24"/>
          <w:szCs w:val="24"/>
        </w:rPr>
        <w:t>e</w:t>
      </w:r>
      <w:r w:rsidRPr="003A1174">
        <w:rPr>
          <w:rFonts w:ascii="Garamond" w:eastAsiaTheme="minorHAnsi" w:hAnsi="Garamond" w:cs="Arial"/>
          <w:sz w:val="24"/>
          <w:szCs w:val="24"/>
        </w:rPr>
        <w:t xml:space="preserve">us </w:t>
      </w:r>
      <w:r w:rsidR="00B531F2" w:rsidRPr="003A1174">
        <w:rPr>
          <w:rFonts w:ascii="Garamond" w:eastAsiaTheme="minorHAnsi" w:hAnsi="Garamond" w:cs="Arial"/>
          <w:sz w:val="24"/>
          <w:szCs w:val="24"/>
        </w:rPr>
        <w:t>serviço</w:t>
      </w:r>
      <w:r w:rsidRPr="003A1174">
        <w:rPr>
          <w:rFonts w:ascii="Garamond" w:eastAsiaTheme="minorHAnsi" w:hAnsi="Garamond" w:cs="Arial"/>
          <w:sz w:val="24"/>
          <w:szCs w:val="24"/>
        </w:rPr>
        <w:t>s co</w:t>
      </w:r>
      <w:r w:rsidR="009024A0" w:rsidRPr="003A1174">
        <w:rPr>
          <w:rFonts w:ascii="Garamond" w:eastAsiaTheme="minorHAnsi" w:hAnsi="Garamond" w:cs="Arial"/>
          <w:sz w:val="24"/>
          <w:szCs w:val="24"/>
        </w:rPr>
        <w:t xml:space="preserve">m o </w:t>
      </w:r>
      <w:r w:rsidR="00791197" w:rsidRPr="003A1174">
        <w:rPr>
          <w:rFonts w:ascii="Garamond" w:eastAsiaTheme="minorHAnsi" w:hAnsi="Garamond" w:cs="Arial"/>
          <w:sz w:val="24"/>
          <w:szCs w:val="24"/>
        </w:rPr>
        <w:t>apoio</w:t>
      </w:r>
      <w:r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Pr="003A1174">
        <w:rPr>
          <w:rFonts w:ascii="Garamond" w:eastAsiaTheme="minorHAnsi" w:hAnsi="Garamond" w:cs="Arial"/>
          <w:sz w:val="24"/>
          <w:szCs w:val="24"/>
        </w:rPr>
        <w:t xml:space="preserve"> </w:t>
      </w:r>
      <w:r w:rsidR="002C7510" w:rsidRPr="003A1174">
        <w:rPr>
          <w:rFonts w:ascii="Garamond" w:eastAsiaTheme="minorHAnsi" w:hAnsi="Garamond" w:cs="Arial"/>
          <w:sz w:val="24"/>
          <w:szCs w:val="24"/>
        </w:rPr>
        <w:t>instituições</w:t>
      </w:r>
      <w:r w:rsidRPr="003A1174">
        <w:rPr>
          <w:rFonts w:ascii="Garamond" w:eastAsiaTheme="minorHAnsi" w:hAnsi="Garamond" w:cs="Arial"/>
          <w:sz w:val="24"/>
          <w:szCs w:val="24"/>
        </w:rPr>
        <w:t xml:space="preserve"> </w:t>
      </w:r>
      <w:r w:rsidR="009024A0" w:rsidRPr="003A1174">
        <w:rPr>
          <w:rFonts w:ascii="Garamond" w:eastAsiaTheme="minorHAnsi" w:hAnsi="Garamond" w:cs="Arial"/>
          <w:sz w:val="24"/>
          <w:szCs w:val="24"/>
        </w:rPr>
        <w:t>o</w:t>
      </w:r>
      <w:r w:rsidRPr="003A1174">
        <w:rPr>
          <w:rFonts w:ascii="Garamond" w:eastAsiaTheme="minorHAnsi" w:hAnsi="Garamond" w:cs="Arial"/>
          <w:sz w:val="24"/>
          <w:szCs w:val="24"/>
        </w:rPr>
        <w:t xml:space="preserve">u </w:t>
      </w:r>
      <w:r w:rsidR="002470B1" w:rsidRPr="003A1174">
        <w:rPr>
          <w:rFonts w:ascii="Garamond" w:eastAsiaTheme="minorHAnsi" w:hAnsi="Garamond" w:cs="Arial"/>
          <w:sz w:val="24"/>
          <w:szCs w:val="24"/>
        </w:rPr>
        <w:t>organizações</w:t>
      </w:r>
      <w:r w:rsidRPr="003A1174">
        <w:rPr>
          <w:rFonts w:ascii="Garamond" w:eastAsiaTheme="minorHAnsi" w:hAnsi="Garamond" w:cs="Arial"/>
          <w:sz w:val="24"/>
          <w:szCs w:val="24"/>
        </w:rPr>
        <w:t xml:space="preserve"> </w:t>
      </w:r>
      <w:r w:rsidR="00FC18A9" w:rsidRPr="003A1174">
        <w:rPr>
          <w:rFonts w:ascii="Garamond" w:eastAsiaTheme="minorHAnsi" w:hAnsi="Garamond" w:cs="Arial"/>
          <w:sz w:val="24"/>
          <w:szCs w:val="24"/>
        </w:rPr>
        <w:t xml:space="preserve">que </w:t>
      </w:r>
      <w:r w:rsidRPr="003A1174">
        <w:rPr>
          <w:rFonts w:ascii="Garamond" w:eastAsiaTheme="minorHAnsi" w:hAnsi="Garamond" w:cs="Arial"/>
          <w:sz w:val="24"/>
          <w:szCs w:val="24"/>
        </w:rPr>
        <w:t>integra</w:t>
      </w:r>
      <w:r w:rsidR="009024A0" w:rsidRPr="003A1174">
        <w:rPr>
          <w:rFonts w:ascii="Garamond" w:eastAsiaTheme="minorHAnsi" w:hAnsi="Garamond" w:cs="Arial"/>
          <w:sz w:val="24"/>
          <w:szCs w:val="24"/>
        </w:rPr>
        <w:t xml:space="preserve">m </w:t>
      </w:r>
      <w:r w:rsidRPr="003A1174">
        <w:rPr>
          <w:rFonts w:ascii="Garamond" w:eastAsiaTheme="minorHAnsi" w:hAnsi="Garamond" w:cs="Arial"/>
          <w:sz w:val="24"/>
          <w:szCs w:val="24"/>
        </w:rPr>
        <w:t xml:space="preserve">a </w:t>
      </w:r>
      <w:r w:rsidR="00FC1F7F" w:rsidRPr="003A1174">
        <w:rPr>
          <w:rFonts w:ascii="Garamond" w:eastAsiaTheme="minorHAnsi" w:hAnsi="Garamond" w:cs="Arial"/>
          <w:sz w:val="24"/>
          <w:szCs w:val="24"/>
        </w:rPr>
        <w:t>Comissão</w:t>
      </w:r>
      <w:r w:rsidRPr="003A1174">
        <w:rPr>
          <w:rFonts w:ascii="Garamond" w:eastAsiaTheme="minorHAnsi" w:hAnsi="Garamond" w:cs="Arial"/>
          <w:sz w:val="24"/>
          <w:szCs w:val="24"/>
        </w:rPr>
        <w:t xml:space="preserve"> </w:t>
      </w:r>
      <w:r w:rsidR="00FC18A9" w:rsidRPr="003A1174">
        <w:rPr>
          <w:rFonts w:ascii="Garamond" w:eastAsiaTheme="minorHAnsi" w:hAnsi="Garamond" w:cs="Arial"/>
          <w:sz w:val="24"/>
          <w:szCs w:val="24"/>
        </w:rPr>
        <w:t>I</w:t>
      </w:r>
      <w:r w:rsidRPr="003A1174">
        <w:rPr>
          <w:rFonts w:ascii="Garamond" w:eastAsiaTheme="minorHAnsi" w:hAnsi="Garamond" w:cs="Arial"/>
          <w:sz w:val="24"/>
          <w:szCs w:val="24"/>
        </w:rPr>
        <w:t xml:space="preserve">nterinstitucional, de </w:t>
      </w:r>
      <w:r w:rsidR="003F012B" w:rsidRPr="003A1174">
        <w:rPr>
          <w:rFonts w:ascii="Garamond" w:eastAsiaTheme="minorHAnsi" w:hAnsi="Garamond" w:cs="Arial"/>
          <w:sz w:val="24"/>
          <w:szCs w:val="24"/>
        </w:rPr>
        <w:t>acordo</w:t>
      </w:r>
      <w:r w:rsidRPr="003A1174">
        <w:rPr>
          <w:rFonts w:ascii="Garamond" w:eastAsiaTheme="minorHAnsi" w:hAnsi="Garamond" w:cs="Arial"/>
          <w:sz w:val="24"/>
          <w:szCs w:val="24"/>
        </w:rPr>
        <w:t xml:space="preserve"> </w:t>
      </w:r>
      <w:r w:rsidR="009024A0" w:rsidRPr="003A1174">
        <w:rPr>
          <w:rFonts w:ascii="Garamond" w:eastAsiaTheme="minorHAnsi" w:hAnsi="Garamond" w:cs="Arial"/>
          <w:sz w:val="24"/>
          <w:szCs w:val="24"/>
        </w:rPr>
        <w:t xml:space="preserve">com </w:t>
      </w:r>
      <w:r w:rsidRPr="003A1174">
        <w:rPr>
          <w:rFonts w:ascii="Garamond" w:eastAsiaTheme="minorHAnsi" w:hAnsi="Garamond" w:cs="Arial"/>
          <w:sz w:val="24"/>
          <w:szCs w:val="24"/>
        </w:rPr>
        <w:t xml:space="preserve">as </w:t>
      </w:r>
      <w:r w:rsidR="009024A0" w:rsidRPr="003A1174">
        <w:rPr>
          <w:rFonts w:ascii="Garamond" w:eastAsiaTheme="minorHAnsi" w:hAnsi="Garamond" w:cs="Arial"/>
          <w:sz w:val="24"/>
          <w:szCs w:val="24"/>
        </w:rPr>
        <w:t>atribuições de cada uma de el</w:t>
      </w:r>
      <w:r w:rsidRPr="003A1174">
        <w:rPr>
          <w:rFonts w:ascii="Garamond" w:eastAsiaTheme="minorHAnsi" w:hAnsi="Garamond" w:cs="Arial"/>
          <w:sz w:val="24"/>
          <w:szCs w:val="24"/>
        </w:rPr>
        <w:t xml:space="preserve">as: </w:t>
      </w:r>
      <w:r w:rsidR="0017447A" w:rsidRPr="003A1174">
        <w:rPr>
          <w:rFonts w:ascii="Garamond" w:eastAsiaTheme="minorHAnsi" w:hAnsi="Garamond" w:cs="Arial"/>
          <w:sz w:val="24"/>
          <w:szCs w:val="24"/>
        </w:rPr>
        <w:t>informação</w:t>
      </w:r>
      <w:r w:rsidRPr="003A1174">
        <w:rPr>
          <w:rFonts w:ascii="Garamond" w:eastAsiaTheme="minorHAnsi" w:hAnsi="Garamond" w:cs="Arial"/>
          <w:sz w:val="24"/>
          <w:szCs w:val="24"/>
        </w:rPr>
        <w:t xml:space="preserve">, </w:t>
      </w:r>
      <w:r w:rsidR="00081B57" w:rsidRPr="003A1174">
        <w:rPr>
          <w:rFonts w:ascii="Garamond" w:eastAsiaTheme="minorHAnsi" w:hAnsi="Garamond" w:cs="Arial"/>
          <w:sz w:val="24"/>
          <w:szCs w:val="24"/>
        </w:rPr>
        <w:t>orientação</w:t>
      </w:r>
      <w:r w:rsidRPr="003A1174">
        <w:rPr>
          <w:rFonts w:ascii="Garamond" w:eastAsiaTheme="minorHAnsi" w:hAnsi="Garamond" w:cs="Arial"/>
          <w:sz w:val="24"/>
          <w:szCs w:val="24"/>
        </w:rPr>
        <w:t xml:space="preserve"> </w:t>
      </w:r>
      <w:r w:rsidR="00FC18A9" w:rsidRPr="003A1174">
        <w:rPr>
          <w:rFonts w:ascii="Garamond" w:eastAsiaTheme="minorHAnsi" w:hAnsi="Garamond" w:cs="Arial"/>
          <w:sz w:val="24"/>
          <w:szCs w:val="24"/>
        </w:rPr>
        <w:t>(</w:t>
      </w:r>
      <w:r w:rsidRPr="003A1174">
        <w:rPr>
          <w:rFonts w:ascii="Garamond" w:eastAsiaTheme="minorHAnsi" w:hAnsi="Garamond" w:cs="Arial"/>
          <w:sz w:val="24"/>
          <w:szCs w:val="24"/>
        </w:rPr>
        <w:t xml:space="preserve">básica e </w:t>
      </w:r>
      <w:r w:rsidR="0017447A" w:rsidRPr="003A1174">
        <w:rPr>
          <w:rFonts w:ascii="Garamond" w:eastAsiaTheme="minorHAnsi" w:hAnsi="Garamond" w:cs="Arial"/>
          <w:sz w:val="24"/>
          <w:szCs w:val="24"/>
        </w:rPr>
        <w:t>informação</w:t>
      </w:r>
      <w:r w:rsidRPr="003A1174">
        <w:rPr>
          <w:rFonts w:ascii="Garamond" w:eastAsiaTheme="minorHAnsi" w:hAnsi="Garamond" w:cs="Arial"/>
          <w:sz w:val="24"/>
          <w:szCs w:val="24"/>
        </w:rPr>
        <w:t xml:space="preserve"> sobre </w:t>
      </w:r>
      <w:r w:rsidR="009024A0" w:rsidRPr="003A1174">
        <w:rPr>
          <w:rFonts w:ascii="Garamond" w:eastAsiaTheme="minorHAnsi" w:hAnsi="Garamond" w:cs="Arial"/>
          <w:sz w:val="24"/>
          <w:szCs w:val="24"/>
        </w:rPr>
        <w:t xml:space="preserve">os </w:t>
      </w:r>
      <w:r w:rsidRPr="003A1174">
        <w:rPr>
          <w:rFonts w:ascii="Garamond" w:eastAsiaTheme="minorHAnsi" w:hAnsi="Garamond" w:cs="Arial"/>
          <w:sz w:val="24"/>
          <w:szCs w:val="24"/>
        </w:rPr>
        <w:t>s</w:t>
      </w:r>
      <w:r w:rsidR="009024A0" w:rsidRPr="003A1174">
        <w:rPr>
          <w:rFonts w:ascii="Garamond" w:eastAsiaTheme="minorHAnsi" w:hAnsi="Garamond" w:cs="Arial"/>
          <w:sz w:val="24"/>
          <w:szCs w:val="24"/>
        </w:rPr>
        <w:t>e</w:t>
      </w:r>
      <w:r w:rsidRPr="003A1174">
        <w:rPr>
          <w:rFonts w:ascii="Garamond" w:eastAsiaTheme="minorHAnsi" w:hAnsi="Garamond" w:cs="Arial"/>
          <w:sz w:val="24"/>
          <w:szCs w:val="24"/>
        </w:rPr>
        <w:t xml:space="preserve">us </w:t>
      </w:r>
      <w:r w:rsidR="00886D6A" w:rsidRPr="003A1174">
        <w:rPr>
          <w:rFonts w:ascii="Garamond" w:eastAsiaTheme="minorHAnsi" w:hAnsi="Garamond" w:cs="Arial"/>
          <w:sz w:val="24"/>
          <w:szCs w:val="24"/>
        </w:rPr>
        <w:t>direito</w:t>
      </w:r>
      <w:r w:rsidRPr="003A1174">
        <w:rPr>
          <w:rFonts w:ascii="Garamond" w:eastAsiaTheme="minorHAnsi" w:hAnsi="Garamond" w:cs="Arial"/>
          <w:sz w:val="24"/>
          <w:szCs w:val="24"/>
        </w:rPr>
        <w:t>s</w:t>
      </w:r>
      <w:r w:rsidR="00FC18A9"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assistência</w:t>
      </w:r>
      <w:r w:rsidRPr="003A1174">
        <w:rPr>
          <w:rFonts w:ascii="Garamond" w:eastAsiaTheme="minorHAnsi" w:hAnsi="Garamond" w:cs="Arial"/>
          <w:sz w:val="24"/>
          <w:szCs w:val="24"/>
        </w:rPr>
        <w:t xml:space="preserve"> legal</w:t>
      </w:r>
      <w:r w:rsidR="009024A0" w:rsidRPr="003A1174">
        <w:rPr>
          <w:rFonts w:ascii="Garamond" w:eastAsiaTheme="minorHAnsi" w:hAnsi="Garamond" w:cs="Arial"/>
          <w:sz w:val="24"/>
          <w:szCs w:val="24"/>
        </w:rPr>
        <w:t>,</w:t>
      </w:r>
      <w:r w:rsidRPr="003A1174">
        <w:rPr>
          <w:rFonts w:ascii="Garamond" w:eastAsiaTheme="minorHAnsi" w:hAnsi="Garamond" w:cs="Arial"/>
          <w:sz w:val="24"/>
          <w:szCs w:val="24"/>
        </w:rPr>
        <w:t xml:space="preserve"> consultas jurídicas, </w:t>
      </w:r>
      <w:r w:rsidR="003F012B" w:rsidRPr="003A1174">
        <w:rPr>
          <w:rFonts w:ascii="Garamond" w:eastAsiaTheme="minorHAnsi" w:hAnsi="Garamond" w:cs="Arial"/>
          <w:sz w:val="24"/>
          <w:szCs w:val="24"/>
        </w:rPr>
        <w:t>acompanhamento</w:t>
      </w:r>
      <w:r w:rsidRPr="003A1174">
        <w:rPr>
          <w:rFonts w:ascii="Garamond" w:eastAsiaTheme="minorHAnsi" w:hAnsi="Garamond" w:cs="Arial"/>
          <w:sz w:val="24"/>
          <w:szCs w:val="24"/>
        </w:rPr>
        <w:t xml:space="preserve">, </w:t>
      </w:r>
      <w:r w:rsidR="002C7510" w:rsidRPr="003A1174">
        <w:rPr>
          <w:rFonts w:ascii="Garamond" w:eastAsiaTheme="minorHAnsi" w:hAnsi="Garamond" w:cs="Arial"/>
          <w:sz w:val="24"/>
          <w:szCs w:val="24"/>
        </w:rPr>
        <w:t>defesa</w:t>
      </w:r>
      <w:r w:rsidRPr="003A1174">
        <w:rPr>
          <w:rFonts w:ascii="Garamond" w:eastAsiaTheme="minorHAnsi" w:hAnsi="Garamond" w:cs="Arial"/>
          <w:sz w:val="24"/>
          <w:szCs w:val="24"/>
        </w:rPr>
        <w:t xml:space="preserve">, </w:t>
      </w:r>
      <w:r w:rsidR="008651AF" w:rsidRPr="003A1174">
        <w:rPr>
          <w:rFonts w:ascii="Garamond" w:eastAsiaTheme="minorHAnsi" w:hAnsi="Garamond" w:cs="Arial"/>
          <w:sz w:val="24"/>
          <w:szCs w:val="24"/>
        </w:rPr>
        <w:t>denúncia</w:t>
      </w:r>
      <w:r w:rsidRPr="003A1174">
        <w:rPr>
          <w:rFonts w:ascii="Garamond" w:eastAsiaTheme="minorHAnsi" w:hAnsi="Garamond" w:cs="Arial"/>
          <w:sz w:val="24"/>
          <w:szCs w:val="24"/>
        </w:rPr>
        <w:t>, solicit</w:t>
      </w:r>
      <w:r w:rsidR="009024A0" w:rsidRPr="003A1174">
        <w:rPr>
          <w:rFonts w:ascii="Garamond" w:eastAsiaTheme="minorHAnsi" w:hAnsi="Garamond" w:cs="Arial"/>
          <w:sz w:val="24"/>
          <w:szCs w:val="24"/>
        </w:rPr>
        <w:t xml:space="preserve">ações </w:t>
      </w:r>
      <w:r w:rsidRPr="003A1174">
        <w:rPr>
          <w:rFonts w:ascii="Garamond" w:eastAsiaTheme="minorHAnsi" w:hAnsi="Garamond" w:cs="Arial"/>
          <w:sz w:val="24"/>
          <w:szCs w:val="24"/>
        </w:rPr>
        <w:lastRenderedPageBreak/>
        <w:t xml:space="preserve">e </w:t>
      </w:r>
      <w:r w:rsidR="009024A0" w:rsidRPr="003A1174">
        <w:rPr>
          <w:rFonts w:ascii="Garamond" w:eastAsiaTheme="minorHAnsi" w:hAnsi="Garamond" w:cs="Arial"/>
          <w:sz w:val="24"/>
          <w:szCs w:val="24"/>
        </w:rPr>
        <w:t>imposição</w:t>
      </w:r>
      <w:r w:rsidRPr="003A1174">
        <w:rPr>
          <w:rFonts w:ascii="Garamond" w:eastAsiaTheme="minorHAnsi" w:hAnsi="Garamond" w:cs="Arial"/>
          <w:sz w:val="24"/>
          <w:szCs w:val="24"/>
        </w:rPr>
        <w:t xml:space="preserve"> de medidas de </w:t>
      </w:r>
      <w:r w:rsidR="00D15AFF" w:rsidRPr="003A1174">
        <w:rPr>
          <w:rFonts w:ascii="Garamond" w:eastAsiaTheme="minorHAnsi" w:hAnsi="Garamond" w:cs="Arial"/>
          <w:sz w:val="24"/>
          <w:szCs w:val="24"/>
        </w:rPr>
        <w:t>segurança</w:t>
      </w:r>
      <w:r w:rsidR="00FC18A9"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791197" w:rsidRPr="003A1174">
        <w:rPr>
          <w:rFonts w:ascii="Garamond" w:eastAsiaTheme="minorHAnsi" w:hAnsi="Garamond" w:cs="Arial"/>
          <w:sz w:val="24"/>
          <w:szCs w:val="24"/>
        </w:rPr>
        <w:t>apoio</w:t>
      </w:r>
      <w:r w:rsidRPr="003A1174">
        <w:rPr>
          <w:rFonts w:ascii="Garamond" w:eastAsiaTheme="minorHAnsi" w:hAnsi="Garamond" w:cs="Arial"/>
          <w:sz w:val="24"/>
          <w:szCs w:val="24"/>
        </w:rPr>
        <w:t xml:space="preserve"> </w:t>
      </w:r>
      <w:r w:rsidR="00BA3CCE" w:rsidRPr="003A1174">
        <w:rPr>
          <w:rFonts w:ascii="Garamond" w:eastAsiaTheme="minorHAnsi" w:hAnsi="Garamond" w:cs="Arial"/>
          <w:sz w:val="24"/>
          <w:szCs w:val="24"/>
        </w:rPr>
        <w:t>psicossocial</w:t>
      </w:r>
      <w:r w:rsidRPr="003A1174">
        <w:rPr>
          <w:rFonts w:ascii="Garamond" w:eastAsiaTheme="minorHAnsi" w:hAnsi="Garamond" w:cs="Arial"/>
          <w:sz w:val="24"/>
          <w:szCs w:val="24"/>
        </w:rPr>
        <w:t xml:space="preserve">, </w:t>
      </w:r>
      <w:r w:rsidR="00AB6522" w:rsidRPr="003A1174">
        <w:rPr>
          <w:rFonts w:ascii="Garamond" w:eastAsiaTheme="minorHAnsi" w:hAnsi="Garamond" w:cs="Arial"/>
          <w:sz w:val="24"/>
          <w:szCs w:val="24"/>
        </w:rPr>
        <w:t>avaliação</w:t>
      </w:r>
      <w:r w:rsidRPr="003A1174">
        <w:rPr>
          <w:rFonts w:ascii="Garamond" w:eastAsiaTheme="minorHAnsi" w:hAnsi="Garamond" w:cs="Arial"/>
          <w:sz w:val="24"/>
          <w:szCs w:val="24"/>
        </w:rPr>
        <w:t xml:space="preserve"> forense, </w:t>
      </w:r>
      <w:r w:rsidR="008278C4" w:rsidRPr="003A1174">
        <w:rPr>
          <w:rFonts w:ascii="Garamond" w:eastAsiaTheme="minorHAnsi" w:hAnsi="Garamond" w:cs="Arial"/>
          <w:sz w:val="24"/>
          <w:szCs w:val="24"/>
        </w:rPr>
        <w:t>atenção</w:t>
      </w:r>
      <w:r w:rsidRPr="003A1174">
        <w:rPr>
          <w:rFonts w:ascii="Garamond" w:eastAsiaTheme="minorHAnsi" w:hAnsi="Garamond" w:cs="Arial"/>
          <w:sz w:val="24"/>
          <w:szCs w:val="24"/>
        </w:rPr>
        <w:t xml:space="preserve"> clínica e</w:t>
      </w:r>
      <w:r w:rsidR="009024A0" w:rsidRPr="003A1174">
        <w:rPr>
          <w:rFonts w:ascii="Garamond" w:eastAsiaTheme="minorHAnsi" w:hAnsi="Garamond" w:cs="Arial"/>
          <w:sz w:val="24"/>
          <w:szCs w:val="24"/>
        </w:rPr>
        <w:t>m</w:t>
      </w:r>
      <w:r w:rsidRPr="003A1174">
        <w:rPr>
          <w:rFonts w:ascii="Garamond" w:eastAsiaTheme="minorHAnsi" w:hAnsi="Garamond" w:cs="Arial"/>
          <w:sz w:val="24"/>
          <w:szCs w:val="24"/>
        </w:rPr>
        <w:t xml:space="preserve"> </w:t>
      </w:r>
      <w:r w:rsidR="007C63D0" w:rsidRPr="003A1174">
        <w:rPr>
          <w:rFonts w:ascii="Garamond" w:eastAsiaTheme="minorHAnsi" w:hAnsi="Garamond" w:cs="Arial"/>
          <w:sz w:val="24"/>
          <w:szCs w:val="24"/>
        </w:rPr>
        <w:t>saúde</w:t>
      </w:r>
      <w:r w:rsidRPr="003A1174">
        <w:rPr>
          <w:rFonts w:ascii="Garamond" w:eastAsiaTheme="minorHAnsi" w:hAnsi="Garamond" w:cs="Arial"/>
          <w:sz w:val="24"/>
          <w:szCs w:val="24"/>
        </w:rPr>
        <w:t>.</w:t>
      </w:r>
    </w:p>
    <w:p w:rsidR="00341F33" w:rsidRPr="003A1174" w:rsidRDefault="006466A5" w:rsidP="008719D4">
      <w:pPr>
        <w:pStyle w:val="Ttulo3"/>
        <w:spacing w:line="240" w:lineRule="auto"/>
        <w:rPr>
          <w:rFonts w:ascii="Garamond" w:hAnsi="Garamond"/>
          <w:sz w:val="24"/>
          <w:szCs w:val="24"/>
        </w:rPr>
      </w:pPr>
      <w:bookmarkStart w:id="49" w:name="_Toc421529737"/>
      <w:r w:rsidRPr="003A1174">
        <w:rPr>
          <w:rFonts w:ascii="Garamond" w:hAnsi="Garamond"/>
          <w:sz w:val="24"/>
          <w:szCs w:val="24"/>
        </w:rPr>
        <w:t>México</w:t>
      </w:r>
      <w:bookmarkEnd w:id="49"/>
    </w:p>
    <w:p w:rsidR="00341F33" w:rsidRPr="003A1174" w:rsidRDefault="002826EA" w:rsidP="008719D4">
      <w:pPr>
        <w:pStyle w:val="Predeterminado"/>
        <w:spacing w:before="240" w:line="240" w:lineRule="auto"/>
        <w:jc w:val="both"/>
        <w:rPr>
          <w:rFonts w:ascii="Garamond" w:hAnsi="Garamond" w:cs="Arial"/>
          <w:color w:val="auto"/>
          <w:sz w:val="24"/>
          <w:szCs w:val="24"/>
          <w:lang w:val="pt-PT"/>
        </w:rPr>
      </w:pPr>
      <w:r>
        <w:rPr>
          <w:rFonts w:ascii="Garamond" w:hAnsi="Garamond" w:cs="Arial"/>
          <w:color w:val="auto"/>
          <w:sz w:val="24"/>
          <w:szCs w:val="24"/>
          <w:lang w:val="pt-PT"/>
        </w:rPr>
        <w:t>No México, e</w:t>
      </w:r>
      <w:r w:rsidR="009024A0" w:rsidRPr="003A1174">
        <w:rPr>
          <w:rFonts w:ascii="Garamond" w:hAnsi="Garamond" w:cs="Arial"/>
          <w:color w:val="auto"/>
          <w:sz w:val="24"/>
          <w:szCs w:val="24"/>
          <w:lang w:val="pt-PT"/>
        </w:rPr>
        <w:t>m</w:t>
      </w:r>
      <w:r w:rsidR="00341F33" w:rsidRPr="003A1174">
        <w:rPr>
          <w:rFonts w:ascii="Garamond" w:hAnsi="Garamond" w:cs="Arial"/>
          <w:color w:val="auto"/>
          <w:sz w:val="24"/>
          <w:szCs w:val="24"/>
          <w:lang w:val="pt-PT"/>
        </w:rPr>
        <w:t xml:space="preserve"> </w:t>
      </w:r>
      <w:r w:rsidR="00D2560E" w:rsidRPr="003A1174">
        <w:rPr>
          <w:rFonts w:ascii="Garamond" w:hAnsi="Garamond" w:cs="Arial"/>
          <w:color w:val="auto"/>
          <w:sz w:val="24"/>
          <w:szCs w:val="24"/>
          <w:lang w:val="pt-PT"/>
        </w:rPr>
        <w:t>maio</w:t>
      </w:r>
      <w:r w:rsidR="009024A0" w:rsidRPr="003A1174">
        <w:rPr>
          <w:rFonts w:ascii="Garamond" w:hAnsi="Garamond" w:cs="Arial"/>
          <w:color w:val="auto"/>
          <w:sz w:val="24"/>
          <w:szCs w:val="24"/>
          <w:lang w:val="pt-PT"/>
        </w:rPr>
        <w:t xml:space="preserve"> de 2014</w:t>
      </w:r>
      <w:r>
        <w:rPr>
          <w:rFonts w:ascii="Garamond" w:hAnsi="Garamond" w:cs="Arial"/>
          <w:color w:val="auto"/>
          <w:sz w:val="24"/>
          <w:szCs w:val="24"/>
          <w:lang w:val="pt-PT"/>
        </w:rPr>
        <w:t>,</w:t>
      </w:r>
      <w:r w:rsidR="009024A0" w:rsidRPr="003A1174">
        <w:rPr>
          <w:rFonts w:ascii="Garamond" w:hAnsi="Garamond" w:cs="Arial"/>
          <w:color w:val="auto"/>
          <w:sz w:val="24"/>
          <w:szCs w:val="24"/>
          <w:lang w:val="pt-PT"/>
        </w:rPr>
        <w:t xml:space="preserve"> </w:t>
      </w:r>
      <w:r w:rsidR="00341F33" w:rsidRPr="003A1174">
        <w:rPr>
          <w:rFonts w:ascii="Garamond" w:hAnsi="Garamond" w:cs="Arial"/>
          <w:color w:val="auto"/>
          <w:sz w:val="24"/>
          <w:szCs w:val="24"/>
          <w:lang w:val="pt-PT"/>
        </w:rPr>
        <w:t xml:space="preserve">a </w:t>
      </w:r>
      <w:r w:rsidR="00FC1F7F" w:rsidRPr="003A1174">
        <w:rPr>
          <w:rFonts w:ascii="Garamond" w:hAnsi="Garamond" w:cs="Arial"/>
          <w:color w:val="auto"/>
          <w:sz w:val="24"/>
          <w:szCs w:val="24"/>
          <w:lang w:val="pt-PT"/>
        </w:rPr>
        <w:t>Comissão</w:t>
      </w:r>
      <w:r w:rsidR="00341F33" w:rsidRPr="003A1174">
        <w:rPr>
          <w:rFonts w:ascii="Garamond" w:hAnsi="Garamond" w:cs="Arial"/>
          <w:color w:val="auto"/>
          <w:sz w:val="24"/>
          <w:szCs w:val="24"/>
          <w:lang w:val="pt-PT"/>
        </w:rPr>
        <w:t xml:space="preserve"> Nacional </w:t>
      </w:r>
      <w:r w:rsidR="00497503" w:rsidRPr="003A1174">
        <w:rPr>
          <w:rFonts w:ascii="Garamond" w:hAnsi="Garamond" w:cs="Arial"/>
          <w:color w:val="auto"/>
          <w:sz w:val="24"/>
          <w:szCs w:val="24"/>
          <w:lang w:val="pt-PT"/>
        </w:rPr>
        <w:t>dos</w:t>
      </w:r>
      <w:r w:rsidR="00341F33"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s Humanos d</w:t>
      </w:r>
      <w:r w:rsidR="009024A0" w:rsidRPr="003A1174">
        <w:rPr>
          <w:rFonts w:ascii="Garamond" w:hAnsi="Garamond" w:cs="Arial"/>
          <w:color w:val="auto"/>
          <w:sz w:val="24"/>
          <w:szCs w:val="24"/>
          <w:lang w:val="pt-PT"/>
        </w:rPr>
        <w:t>o</w:t>
      </w:r>
      <w:r w:rsidR="00341F33" w:rsidRPr="003A1174">
        <w:rPr>
          <w:rFonts w:ascii="Garamond" w:hAnsi="Garamond" w:cs="Arial"/>
          <w:color w:val="auto"/>
          <w:sz w:val="24"/>
          <w:szCs w:val="24"/>
          <w:lang w:val="pt-PT"/>
        </w:rPr>
        <w:t xml:space="preserve"> México, </w:t>
      </w:r>
      <w:r w:rsidR="009F23D7" w:rsidRPr="003A1174">
        <w:rPr>
          <w:rFonts w:ascii="Garamond" w:hAnsi="Garamond" w:cs="Arial"/>
          <w:color w:val="auto"/>
          <w:sz w:val="24"/>
          <w:szCs w:val="24"/>
          <w:lang w:val="pt-PT"/>
        </w:rPr>
        <w:t>subscreveu</w:t>
      </w:r>
      <w:r w:rsidR="00341F33" w:rsidRPr="003A1174">
        <w:rPr>
          <w:rFonts w:ascii="Garamond" w:hAnsi="Garamond" w:cs="Arial"/>
          <w:color w:val="auto"/>
          <w:sz w:val="24"/>
          <w:szCs w:val="24"/>
          <w:lang w:val="pt-PT"/>
        </w:rPr>
        <w:t xml:space="preserve"> </w:t>
      </w:r>
      <w:r w:rsidR="009024A0" w:rsidRPr="003A1174">
        <w:rPr>
          <w:rFonts w:ascii="Garamond" w:hAnsi="Garamond" w:cs="Arial"/>
          <w:color w:val="auto"/>
          <w:sz w:val="24"/>
          <w:szCs w:val="24"/>
          <w:lang w:val="pt-PT"/>
        </w:rPr>
        <w:t>acordo</w:t>
      </w:r>
      <w:r w:rsidR="00EB2F44" w:rsidRPr="003A1174">
        <w:rPr>
          <w:rFonts w:ascii="Garamond" w:hAnsi="Garamond" w:cs="Arial"/>
          <w:color w:val="auto"/>
          <w:sz w:val="24"/>
          <w:szCs w:val="24"/>
          <w:lang w:val="pt-PT"/>
        </w:rPr>
        <w:t>s</w:t>
      </w:r>
      <w:r w:rsidR="00341F33" w:rsidRPr="003A1174">
        <w:rPr>
          <w:rFonts w:ascii="Garamond" w:hAnsi="Garamond" w:cs="Arial"/>
          <w:color w:val="auto"/>
          <w:sz w:val="24"/>
          <w:szCs w:val="24"/>
          <w:lang w:val="pt-PT"/>
        </w:rPr>
        <w:t xml:space="preserve"> de </w:t>
      </w:r>
      <w:r w:rsidR="00CA633E" w:rsidRPr="003A1174">
        <w:rPr>
          <w:rFonts w:ascii="Garamond" w:hAnsi="Garamond" w:cs="Arial"/>
          <w:color w:val="auto"/>
          <w:sz w:val="24"/>
          <w:szCs w:val="24"/>
          <w:lang w:val="pt-PT"/>
        </w:rPr>
        <w:t>colaboração</w:t>
      </w:r>
      <w:r w:rsidR="009024A0" w:rsidRPr="003A1174">
        <w:rPr>
          <w:rFonts w:ascii="Garamond" w:hAnsi="Garamond" w:cs="Arial"/>
          <w:color w:val="auto"/>
          <w:sz w:val="24"/>
          <w:szCs w:val="24"/>
          <w:lang w:val="pt-PT"/>
        </w:rPr>
        <w:t xml:space="preserve"> sobre </w:t>
      </w:r>
      <w:r w:rsidR="00341F33" w:rsidRPr="003A1174">
        <w:rPr>
          <w:rFonts w:ascii="Garamond" w:hAnsi="Garamond" w:cs="Arial"/>
          <w:color w:val="auto"/>
          <w:sz w:val="24"/>
          <w:szCs w:val="24"/>
          <w:lang w:val="pt-PT"/>
        </w:rPr>
        <w:t xml:space="preserve">a </w:t>
      </w:r>
      <w:r>
        <w:rPr>
          <w:rFonts w:ascii="Garamond" w:hAnsi="Garamond" w:cs="Arial"/>
          <w:color w:val="auto"/>
          <w:sz w:val="24"/>
          <w:szCs w:val="24"/>
          <w:lang w:val="pt-PT"/>
        </w:rPr>
        <w:t>«</w:t>
      </w:r>
      <w:r w:rsidR="002C7510" w:rsidRPr="003A1174">
        <w:rPr>
          <w:rFonts w:ascii="Garamond" w:hAnsi="Garamond" w:cs="Arial"/>
          <w:color w:val="auto"/>
          <w:sz w:val="24"/>
          <w:szCs w:val="24"/>
          <w:lang w:val="pt-PT"/>
        </w:rPr>
        <w:t>Rede</w:t>
      </w:r>
      <w:r w:rsidR="00341F33"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Igualdade</w:t>
      </w:r>
      <w:r w:rsidR="00341F33" w:rsidRPr="003A1174">
        <w:rPr>
          <w:rFonts w:ascii="Garamond" w:hAnsi="Garamond" w:cs="Arial"/>
          <w:color w:val="auto"/>
          <w:sz w:val="24"/>
          <w:szCs w:val="24"/>
          <w:lang w:val="pt-PT"/>
        </w:rPr>
        <w:t xml:space="preserve"> entre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Homens</w:t>
      </w:r>
      <w:r>
        <w:rPr>
          <w:rFonts w:ascii="Garamond" w:hAnsi="Garamond" w:cs="Arial"/>
          <w:color w:val="auto"/>
          <w:sz w:val="24"/>
          <w:szCs w:val="24"/>
          <w:lang w:val="pt-PT"/>
        </w:rPr>
        <w:t>»</w:t>
      </w:r>
      <w:r w:rsidR="00341F33" w:rsidRPr="003A1174">
        <w:rPr>
          <w:rFonts w:ascii="Garamond" w:hAnsi="Garamond" w:cs="Arial"/>
          <w:color w:val="auto"/>
          <w:sz w:val="24"/>
          <w:szCs w:val="24"/>
          <w:lang w:val="pt-PT"/>
        </w:rPr>
        <w:t xml:space="preserve"> co</w:t>
      </w:r>
      <w:r w:rsidR="009024A0" w:rsidRPr="003A1174">
        <w:rPr>
          <w:rFonts w:ascii="Garamond" w:hAnsi="Garamond" w:cs="Arial"/>
          <w:color w:val="auto"/>
          <w:sz w:val="24"/>
          <w:szCs w:val="24"/>
          <w:lang w:val="pt-PT"/>
        </w:rPr>
        <w:t xml:space="preserve">m </w:t>
      </w:r>
      <w:r w:rsidR="00341F33"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Federação</w:t>
      </w:r>
      <w:r w:rsidR="00341F33" w:rsidRPr="003A1174">
        <w:rPr>
          <w:rFonts w:ascii="Garamond" w:hAnsi="Garamond" w:cs="Arial"/>
          <w:color w:val="auto"/>
          <w:sz w:val="24"/>
          <w:szCs w:val="24"/>
          <w:lang w:val="pt-PT"/>
        </w:rPr>
        <w:t xml:space="preserve"> Mexicana de Organismos Públicos de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 xml:space="preserve">s Humanos </w:t>
      </w:r>
      <w:r w:rsidR="00497503"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co</w:t>
      </w:r>
      <w:r w:rsidR="009024A0" w:rsidRPr="003A1174">
        <w:rPr>
          <w:rFonts w:ascii="Garamond" w:hAnsi="Garamond" w:cs="Arial"/>
          <w:color w:val="auto"/>
          <w:sz w:val="24"/>
          <w:szCs w:val="24"/>
          <w:lang w:val="pt-PT"/>
        </w:rPr>
        <w:t>m</w:t>
      </w:r>
      <w:r w:rsidR="00341F33" w:rsidRPr="003A1174">
        <w:rPr>
          <w:rFonts w:ascii="Garamond" w:hAnsi="Garamond" w:cs="Arial"/>
          <w:color w:val="auto"/>
          <w:sz w:val="24"/>
          <w:szCs w:val="24"/>
          <w:lang w:val="pt-PT"/>
        </w:rPr>
        <w:t xml:space="preserve"> 24 </w:t>
      </w:r>
      <w:r w:rsidR="002C7510" w:rsidRPr="003A1174">
        <w:rPr>
          <w:rFonts w:ascii="Garamond" w:hAnsi="Garamond" w:cs="Arial"/>
          <w:color w:val="auto"/>
          <w:sz w:val="24"/>
          <w:szCs w:val="24"/>
          <w:lang w:val="pt-PT"/>
        </w:rPr>
        <w:t>Comissões</w:t>
      </w:r>
      <w:r w:rsidR="00341F33" w:rsidRPr="003A1174">
        <w:rPr>
          <w:rFonts w:ascii="Garamond" w:hAnsi="Garamond" w:cs="Arial"/>
          <w:color w:val="auto"/>
          <w:sz w:val="24"/>
          <w:szCs w:val="24"/>
          <w:lang w:val="pt-PT"/>
        </w:rPr>
        <w:t xml:space="preserve">, </w:t>
      </w:r>
      <w:r w:rsidR="0096583F" w:rsidRPr="003A1174">
        <w:rPr>
          <w:rFonts w:ascii="Garamond" w:hAnsi="Garamond" w:cs="Arial"/>
          <w:color w:val="auto"/>
          <w:sz w:val="24"/>
          <w:szCs w:val="24"/>
          <w:lang w:val="pt-PT"/>
        </w:rPr>
        <w:t>Procuradoria</w:t>
      </w:r>
      <w:r w:rsidR="00341F33"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DC5DA7" w:rsidRPr="003A1174">
        <w:rPr>
          <w:rFonts w:ascii="Garamond" w:hAnsi="Garamond" w:cs="Arial"/>
          <w:color w:val="auto"/>
          <w:sz w:val="24"/>
          <w:szCs w:val="24"/>
          <w:lang w:val="pt-PT"/>
        </w:rPr>
        <w:t>Provedorias</w:t>
      </w:r>
      <w:r w:rsidR="00341F33"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 xml:space="preserve">s Humanos </w:t>
      </w:r>
      <w:r w:rsidR="00497503" w:rsidRPr="003A1174">
        <w:rPr>
          <w:rFonts w:ascii="Garamond" w:hAnsi="Garamond" w:cs="Arial"/>
          <w:color w:val="auto"/>
          <w:sz w:val="24"/>
          <w:szCs w:val="24"/>
          <w:lang w:val="pt-PT"/>
        </w:rPr>
        <w:t>das</w:t>
      </w:r>
      <w:r w:rsidR="00341F33" w:rsidRPr="003A1174">
        <w:rPr>
          <w:rFonts w:ascii="Garamond" w:hAnsi="Garamond" w:cs="Arial"/>
          <w:color w:val="auto"/>
          <w:sz w:val="24"/>
          <w:szCs w:val="24"/>
          <w:lang w:val="pt-PT"/>
        </w:rPr>
        <w:t xml:space="preserve"> entidades federa</w:t>
      </w:r>
      <w:r w:rsidR="009024A0" w:rsidRPr="003A1174">
        <w:rPr>
          <w:rFonts w:ascii="Garamond" w:hAnsi="Garamond" w:cs="Arial"/>
          <w:color w:val="auto"/>
          <w:sz w:val="24"/>
          <w:szCs w:val="24"/>
          <w:lang w:val="pt-PT"/>
        </w:rPr>
        <w:t>i</w:t>
      </w:r>
      <w:r w:rsidR="00341F33" w:rsidRPr="003A1174">
        <w:rPr>
          <w:rFonts w:ascii="Garamond" w:hAnsi="Garamond" w:cs="Arial"/>
          <w:color w:val="auto"/>
          <w:sz w:val="24"/>
          <w:szCs w:val="24"/>
          <w:lang w:val="pt-PT"/>
        </w:rPr>
        <w:t xml:space="preserve">s. </w:t>
      </w:r>
      <w:r w:rsidR="009024A0"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Rede</w:t>
      </w:r>
      <w:r w:rsidR="00341F33" w:rsidRPr="003A1174">
        <w:rPr>
          <w:rFonts w:ascii="Garamond" w:hAnsi="Garamond" w:cs="Arial"/>
          <w:color w:val="auto"/>
          <w:sz w:val="24"/>
          <w:szCs w:val="24"/>
          <w:lang w:val="pt-PT"/>
        </w:rPr>
        <w:t xml:space="preserve"> </w:t>
      </w:r>
      <w:r w:rsidR="007A2492" w:rsidRPr="003A1174">
        <w:rPr>
          <w:rFonts w:ascii="Garamond" w:hAnsi="Garamond" w:cs="Arial"/>
          <w:color w:val="auto"/>
          <w:sz w:val="24"/>
          <w:szCs w:val="24"/>
          <w:lang w:val="pt-PT"/>
        </w:rPr>
        <w:t>tem</w:t>
      </w:r>
      <w:r w:rsidR="00341F33" w:rsidRPr="003A1174">
        <w:rPr>
          <w:rFonts w:ascii="Garamond" w:hAnsi="Garamond" w:cs="Arial"/>
          <w:color w:val="auto"/>
          <w:sz w:val="24"/>
          <w:szCs w:val="24"/>
          <w:lang w:val="pt-PT"/>
        </w:rPr>
        <w:t xml:space="preserve"> </w:t>
      </w:r>
      <w:r w:rsidR="00FC18A9" w:rsidRPr="003A1174">
        <w:rPr>
          <w:rFonts w:ascii="Garamond" w:hAnsi="Garamond" w:cs="Arial"/>
          <w:color w:val="auto"/>
          <w:sz w:val="24"/>
          <w:szCs w:val="24"/>
          <w:lang w:val="pt-PT"/>
        </w:rPr>
        <w:t xml:space="preserve">por </w:t>
      </w:r>
      <w:r w:rsidR="00341F33" w:rsidRPr="003A1174">
        <w:rPr>
          <w:rFonts w:ascii="Garamond" w:hAnsi="Garamond" w:cs="Arial"/>
          <w:color w:val="auto"/>
          <w:sz w:val="24"/>
          <w:szCs w:val="24"/>
          <w:lang w:val="pt-PT"/>
        </w:rPr>
        <w:t>obje</w:t>
      </w:r>
      <w:r>
        <w:rPr>
          <w:rFonts w:ascii="Garamond" w:hAnsi="Garamond" w:cs="Arial"/>
          <w:color w:val="auto"/>
          <w:sz w:val="24"/>
          <w:szCs w:val="24"/>
          <w:lang w:val="pt-PT"/>
        </w:rPr>
        <w:t>tiv</w:t>
      </w:r>
      <w:r w:rsidR="00341F33" w:rsidRPr="003A1174">
        <w:rPr>
          <w:rFonts w:ascii="Garamond" w:hAnsi="Garamond" w:cs="Arial"/>
          <w:color w:val="auto"/>
          <w:sz w:val="24"/>
          <w:szCs w:val="24"/>
          <w:lang w:val="pt-PT"/>
        </w:rPr>
        <w:t xml:space="preserve">o </w:t>
      </w:r>
      <w:r w:rsidR="009024A0" w:rsidRPr="003A1174">
        <w:rPr>
          <w:rFonts w:ascii="Garamond" w:hAnsi="Garamond" w:cs="Arial"/>
          <w:color w:val="auto"/>
          <w:sz w:val="24"/>
          <w:szCs w:val="24"/>
          <w:lang w:val="pt-PT"/>
        </w:rPr>
        <w:t>estabelecer</w:t>
      </w:r>
      <w:r w:rsidR="00341F33" w:rsidRPr="003A1174">
        <w:rPr>
          <w:rFonts w:ascii="Garamond" w:hAnsi="Garamond" w:cs="Arial"/>
          <w:color w:val="auto"/>
          <w:sz w:val="24"/>
          <w:szCs w:val="24"/>
          <w:lang w:val="pt-PT"/>
        </w:rPr>
        <w:t xml:space="preserve"> bases de </w:t>
      </w:r>
      <w:r w:rsidR="00CA633E" w:rsidRPr="003A1174">
        <w:rPr>
          <w:rFonts w:ascii="Garamond" w:hAnsi="Garamond" w:cs="Arial"/>
          <w:color w:val="auto"/>
          <w:sz w:val="24"/>
          <w:szCs w:val="24"/>
          <w:lang w:val="pt-PT"/>
        </w:rPr>
        <w:t>colaboração</w:t>
      </w:r>
      <w:r w:rsidR="00341F33"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791197" w:rsidRPr="003A1174">
        <w:rPr>
          <w:rFonts w:ascii="Garamond" w:hAnsi="Garamond" w:cs="Arial"/>
          <w:color w:val="auto"/>
          <w:sz w:val="24"/>
          <w:szCs w:val="24"/>
          <w:lang w:val="pt-PT"/>
        </w:rPr>
        <w:t>apoio</w:t>
      </w:r>
      <w:r w:rsidR="00341F33" w:rsidRPr="003A1174">
        <w:rPr>
          <w:rFonts w:ascii="Garamond" w:hAnsi="Garamond" w:cs="Arial"/>
          <w:color w:val="auto"/>
          <w:sz w:val="24"/>
          <w:szCs w:val="24"/>
          <w:lang w:val="pt-PT"/>
        </w:rPr>
        <w:t xml:space="preserve"> interinstitucional</w:t>
      </w:r>
      <w:r w:rsidR="00FC18A9" w:rsidRPr="003A1174">
        <w:rPr>
          <w:rFonts w:ascii="Garamond" w:hAnsi="Garamond" w:cs="Arial"/>
          <w:color w:val="auto"/>
          <w:sz w:val="24"/>
          <w:szCs w:val="24"/>
          <w:lang w:val="pt-PT"/>
        </w:rPr>
        <w:t xml:space="preserve">, </w:t>
      </w:r>
      <w:r>
        <w:rPr>
          <w:rFonts w:ascii="Garamond" w:hAnsi="Garamond" w:cs="Arial"/>
          <w:color w:val="auto"/>
          <w:sz w:val="24"/>
          <w:szCs w:val="24"/>
          <w:lang w:val="pt-PT"/>
        </w:rPr>
        <w:t>bem como</w:t>
      </w:r>
      <w:r w:rsidR="00FC18A9" w:rsidRPr="003A1174">
        <w:rPr>
          <w:rFonts w:ascii="Garamond" w:hAnsi="Garamond" w:cs="Arial"/>
          <w:color w:val="auto"/>
          <w:sz w:val="24"/>
          <w:szCs w:val="24"/>
          <w:lang w:val="pt-PT"/>
        </w:rPr>
        <w:t xml:space="preserve"> </w:t>
      </w:r>
      <w:r w:rsidR="00341F33" w:rsidRPr="003A1174">
        <w:rPr>
          <w:rFonts w:ascii="Garamond" w:hAnsi="Garamond" w:cs="Arial"/>
          <w:color w:val="auto"/>
          <w:sz w:val="24"/>
          <w:szCs w:val="24"/>
          <w:lang w:val="pt-PT"/>
        </w:rPr>
        <w:t xml:space="preserve">dar </w:t>
      </w:r>
      <w:r w:rsidR="00563640" w:rsidRPr="003A1174">
        <w:rPr>
          <w:rFonts w:ascii="Garamond" w:hAnsi="Garamond" w:cs="Arial"/>
          <w:color w:val="auto"/>
          <w:sz w:val="24"/>
          <w:szCs w:val="24"/>
          <w:lang w:val="pt-PT"/>
        </w:rPr>
        <w:t>início</w:t>
      </w:r>
      <w:r w:rsidR="00341F33" w:rsidRPr="003A1174">
        <w:rPr>
          <w:rFonts w:ascii="Garamond" w:hAnsi="Garamond" w:cs="Arial"/>
          <w:color w:val="auto"/>
          <w:sz w:val="24"/>
          <w:szCs w:val="24"/>
          <w:lang w:val="pt-PT"/>
        </w:rPr>
        <w:t xml:space="preserve"> a todas </w:t>
      </w:r>
      <w:r w:rsidR="006B29BF" w:rsidRPr="003A1174">
        <w:rPr>
          <w:rFonts w:ascii="Garamond" w:hAnsi="Garamond" w:cs="Arial"/>
          <w:color w:val="auto"/>
          <w:sz w:val="24"/>
          <w:szCs w:val="24"/>
          <w:lang w:val="pt-PT"/>
        </w:rPr>
        <w:t>a</w:t>
      </w:r>
      <w:r w:rsidR="00341F33" w:rsidRPr="003A1174">
        <w:rPr>
          <w:rFonts w:ascii="Garamond" w:hAnsi="Garamond" w:cs="Arial"/>
          <w:color w:val="auto"/>
          <w:sz w:val="24"/>
          <w:szCs w:val="24"/>
          <w:lang w:val="pt-PT"/>
        </w:rPr>
        <w:t xml:space="preserve">s </w:t>
      </w:r>
      <w:r w:rsidR="00374785" w:rsidRPr="003A1174">
        <w:rPr>
          <w:rFonts w:ascii="Garamond" w:hAnsi="Garamond" w:cs="Arial"/>
          <w:color w:val="auto"/>
          <w:sz w:val="24"/>
          <w:szCs w:val="24"/>
          <w:lang w:val="pt-PT"/>
        </w:rPr>
        <w:t>atividades</w:t>
      </w:r>
      <w:r w:rsidR="00341F33" w:rsidRPr="003A1174">
        <w:rPr>
          <w:rFonts w:ascii="Garamond" w:hAnsi="Garamond" w:cs="Arial"/>
          <w:color w:val="auto"/>
          <w:sz w:val="24"/>
          <w:szCs w:val="24"/>
          <w:lang w:val="pt-PT"/>
        </w:rPr>
        <w:t xml:space="preserve"> </w:t>
      </w:r>
      <w:r>
        <w:rPr>
          <w:rFonts w:ascii="Garamond" w:hAnsi="Garamond" w:cs="Arial"/>
          <w:color w:val="auto"/>
          <w:sz w:val="24"/>
          <w:szCs w:val="24"/>
          <w:lang w:val="pt-PT"/>
        </w:rPr>
        <w:t xml:space="preserve">dirigidas à </w:t>
      </w:r>
      <w:r w:rsidR="002F5CD1" w:rsidRPr="003A1174">
        <w:rPr>
          <w:rFonts w:ascii="Garamond" w:hAnsi="Garamond" w:cs="Arial"/>
          <w:color w:val="auto"/>
          <w:sz w:val="24"/>
          <w:szCs w:val="24"/>
          <w:lang w:val="pt-PT"/>
        </w:rPr>
        <w:t>promoção</w:t>
      </w:r>
      <w:r w:rsidR="00341F33"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proteção</w:t>
      </w:r>
      <w:r w:rsidR="00341F33" w:rsidRPr="003A1174">
        <w:rPr>
          <w:rFonts w:ascii="Garamond" w:hAnsi="Garamond" w:cs="Arial"/>
          <w:color w:val="auto"/>
          <w:sz w:val="24"/>
          <w:szCs w:val="24"/>
          <w:lang w:val="pt-PT"/>
        </w:rPr>
        <w:t xml:space="preserve">, </w:t>
      </w:r>
      <w:r w:rsidR="00964875" w:rsidRPr="003A1174">
        <w:rPr>
          <w:rFonts w:ascii="Garamond" w:hAnsi="Garamond" w:cs="Arial"/>
          <w:color w:val="auto"/>
          <w:sz w:val="24"/>
          <w:szCs w:val="24"/>
          <w:lang w:val="pt-PT"/>
        </w:rPr>
        <w:t>divulgação</w:t>
      </w:r>
      <w:r w:rsidR="00341F33"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observa</w:t>
      </w:r>
      <w:r w:rsidR="009024A0" w:rsidRPr="003A1174">
        <w:rPr>
          <w:rFonts w:ascii="Garamond" w:hAnsi="Garamond" w:cs="Arial"/>
          <w:color w:val="auto"/>
          <w:sz w:val="24"/>
          <w:szCs w:val="24"/>
          <w:lang w:val="pt-PT"/>
        </w:rPr>
        <w:t>ção</w:t>
      </w:r>
      <w:r>
        <w:rPr>
          <w:rFonts w:ascii="Garamond" w:hAnsi="Garamond" w:cs="Arial"/>
          <w:color w:val="auto"/>
          <w:sz w:val="24"/>
          <w:szCs w:val="24"/>
          <w:lang w:val="pt-PT"/>
        </w:rPr>
        <w:t>,</w:t>
      </w:r>
      <w:r w:rsidR="009024A0" w:rsidRPr="003A1174">
        <w:rPr>
          <w:rFonts w:ascii="Garamond" w:hAnsi="Garamond" w:cs="Arial"/>
          <w:color w:val="auto"/>
          <w:sz w:val="24"/>
          <w:szCs w:val="24"/>
          <w:lang w:val="pt-PT"/>
        </w:rPr>
        <w:t xml:space="preserve"> </w:t>
      </w:r>
      <w:r w:rsidR="00FC18A9" w:rsidRPr="003A1174">
        <w:rPr>
          <w:rFonts w:ascii="Garamond" w:hAnsi="Garamond" w:cs="Arial"/>
          <w:color w:val="auto"/>
          <w:sz w:val="24"/>
          <w:szCs w:val="24"/>
          <w:lang w:val="pt-PT"/>
        </w:rPr>
        <w:t>relativ</w:t>
      </w:r>
      <w:r w:rsidR="009024A0" w:rsidRPr="003A1174">
        <w:rPr>
          <w:rFonts w:ascii="Garamond" w:hAnsi="Garamond" w:cs="Arial"/>
          <w:color w:val="auto"/>
          <w:sz w:val="24"/>
          <w:szCs w:val="24"/>
          <w:lang w:val="pt-PT"/>
        </w:rPr>
        <w:t xml:space="preserve">amente ao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 xml:space="preserve"> </w:t>
      </w:r>
      <w:r w:rsidR="009024A0" w:rsidRPr="003A1174">
        <w:rPr>
          <w:rFonts w:ascii="Garamond" w:hAnsi="Garamond" w:cs="Arial"/>
          <w:color w:val="auto"/>
          <w:sz w:val="24"/>
          <w:szCs w:val="24"/>
          <w:lang w:val="pt-PT"/>
        </w:rPr>
        <w:t xml:space="preserve">à </w:t>
      </w:r>
      <w:r w:rsidR="002C7510" w:rsidRPr="003A1174">
        <w:rPr>
          <w:rFonts w:ascii="Garamond" w:hAnsi="Garamond" w:cs="Arial"/>
          <w:color w:val="auto"/>
          <w:sz w:val="24"/>
          <w:szCs w:val="24"/>
          <w:lang w:val="pt-PT"/>
        </w:rPr>
        <w:t>igualdade</w:t>
      </w:r>
      <w:r w:rsidR="00341F33" w:rsidRPr="003A1174">
        <w:rPr>
          <w:rFonts w:ascii="Garamond" w:hAnsi="Garamond" w:cs="Arial"/>
          <w:color w:val="auto"/>
          <w:sz w:val="24"/>
          <w:szCs w:val="24"/>
          <w:lang w:val="pt-PT"/>
        </w:rPr>
        <w:t xml:space="preserve"> su</w:t>
      </w:r>
      <w:r w:rsidR="009024A0" w:rsidRPr="003A1174">
        <w:rPr>
          <w:rFonts w:ascii="Garamond" w:hAnsi="Garamond" w:cs="Arial"/>
          <w:color w:val="auto"/>
          <w:sz w:val="24"/>
          <w:szCs w:val="24"/>
          <w:lang w:val="pt-PT"/>
        </w:rPr>
        <w:t>b</w:t>
      </w:r>
      <w:r w:rsidR="00341F33" w:rsidRPr="003A1174">
        <w:rPr>
          <w:rFonts w:ascii="Garamond" w:hAnsi="Garamond" w:cs="Arial"/>
          <w:color w:val="auto"/>
          <w:sz w:val="24"/>
          <w:szCs w:val="24"/>
          <w:lang w:val="pt-PT"/>
        </w:rPr>
        <w:t xml:space="preserve">stantiva entre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homens</w:t>
      </w:r>
      <w:r w:rsidR="00341F33" w:rsidRPr="003A1174">
        <w:rPr>
          <w:rFonts w:ascii="Garamond" w:hAnsi="Garamond" w:cs="Arial"/>
          <w:color w:val="auto"/>
          <w:sz w:val="24"/>
          <w:szCs w:val="24"/>
          <w:lang w:val="pt-PT"/>
        </w:rPr>
        <w:t xml:space="preserve">, </w:t>
      </w:r>
      <w:r w:rsidR="00FC18A9" w:rsidRPr="003A1174">
        <w:rPr>
          <w:rFonts w:ascii="Garamond" w:hAnsi="Garamond" w:cs="Arial"/>
          <w:color w:val="auto"/>
          <w:sz w:val="24"/>
          <w:szCs w:val="24"/>
          <w:lang w:val="pt-PT"/>
        </w:rPr>
        <w:t>a</w:t>
      </w:r>
      <w:r w:rsidR="009024A0" w:rsidRPr="003A1174">
        <w:rPr>
          <w:rFonts w:ascii="Garamond" w:hAnsi="Garamond" w:cs="Arial"/>
          <w:color w:val="auto"/>
          <w:sz w:val="24"/>
          <w:szCs w:val="24"/>
          <w:lang w:val="pt-PT"/>
        </w:rPr>
        <w:t>o</w:t>
      </w:r>
      <w:r w:rsidR="00341F33"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341F33"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 xml:space="preserve"> a </w:t>
      </w:r>
      <w:r w:rsidR="00AC3351" w:rsidRPr="003A1174">
        <w:rPr>
          <w:rFonts w:ascii="Garamond" w:hAnsi="Garamond" w:cs="Arial"/>
          <w:color w:val="auto"/>
          <w:sz w:val="24"/>
          <w:szCs w:val="24"/>
          <w:lang w:val="pt-PT"/>
        </w:rPr>
        <w:t>viver</w:t>
      </w:r>
      <w:r w:rsidR="009024A0" w:rsidRPr="003A1174">
        <w:rPr>
          <w:rFonts w:ascii="Garamond" w:hAnsi="Garamond" w:cs="Arial"/>
          <w:color w:val="auto"/>
          <w:sz w:val="24"/>
          <w:szCs w:val="24"/>
          <w:lang w:val="pt-PT"/>
        </w:rPr>
        <w:t>em um</w:t>
      </w:r>
      <w:r w:rsidR="00341F33" w:rsidRPr="003A1174">
        <w:rPr>
          <w:rFonts w:ascii="Garamond" w:hAnsi="Garamond" w:cs="Arial"/>
          <w:color w:val="auto"/>
          <w:sz w:val="24"/>
          <w:szCs w:val="24"/>
          <w:lang w:val="pt-PT"/>
        </w:rPr>
        <w:t xml:space="preserve">a vida </w:t>
      </w:r>
      <w:r w:rsidR="00AF192F" w:rsidRPr="003A1174">
        <w:rPr>
          <w:rFonts w:ascii="Garamond" w:hAnsi="Garamond" w:cs="Arial"/>
          <w:color w:val="auto"/>
          <w:sz w:val="24"/>
          <w:szCs w:val="24"/>
          <w:lang w:val="pt-PT"/>
        </w:rPr>
        <w:t>livre</w:t>
      </w:r>
      <w:r w:rsidR="00341F33"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341F33"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9024A0" w:rsidRPr="003A1174">
        <w:rPr>
          <w:rFonts w:ascii="Garamond" w:hAnsi="Garamond" w:cs="Arial"/>
          <w:color w:val="auto"/>
          <w:sz w:val="24"/>
          <w:szCs w:val="24"/>
          <w:lang w:val="pt-PT"/>
        </w:rPr>
        <w:t>a</w:t>
      </w:r>
      <w:r w:rsidR="00341F33" w:rsidRPr="003A1174">
        <w:rPr>
          <w:rFonts w:ascii="Garamond" w:hAnsi="Garamond" w:cs="Arial"/>
          <w:color w:val="auto"/>
          <w:sz w:val="24"/>
          <w:szCs w:val="24"/>
          <w:lang w:val="pt-PT"/>
        </w:rPr>
        <w:t xml:space="preserve"> </w:t>
      </w:r>
      <w:r>
        <w:rPr>
          <w:rFonts w:ascii="Garamond" w:hAnsi="Garamond" w:cs="Arial"/>
          <w:color w:val="auto"/>
          <w:sz w:val="24"/>
          <w:szCs w:val="24"/>
          <w:lang w:val="pt-PT"/>
        </w:rPr>
        <w:t>simplificação</w:t>
      </w:r>
      <w:r w:rsidR="009024A0" w:rsidRPr="003A1174">
        <w:rPr>
          <w:rFonts w:ascii="Garamond" w:hAnsi="Garamond" w:cs="Arial"/>
          <w:color w:val="auto"/>
          <w:sz w:val="24"/>
          <w:szCs w:val="24"/>
          <w:lang w:val="pt-PT"/>
        </w:rPr>
        <w:t xml:space="preserve"> </w:t>
      </w:r>
      <w:r>
        <w:rPr>
          <w:rFonts w:ascii="Garamond" w:hAnsi="Garamond" w:cs="Arial"/>
          <w:color w:val="auto"/>
          <w:sz w:val="24"/>
          <w:szCs w:val="24"/>
          <w:lang w:val="pt-PT"/>
        </w:rPr>
        <w:t xml:space="preserve">dos </w:t>
      </w:r>
      <w:r w:rsidR="00341F33" w:rsidRPr="003A1174">
        <w:rPr>
          <w:rFonts w:ascii="Garamond" w:hAnsi="Garamond" w:cs="Arial"/>
          <w:color w:val="auto"/>
          <w:sz w:val="24"/>
          <w:szCs w:val="24"/>
          <w:lang w:val="pt-PT"/>
        </w:rPr>
        <w:t xml:space="preserve">mecanismos de </w:t>
      </w:r>
      <w:r w:rsidR="00886D6A" w:rsidRPr="003A1174">
        <w:rPr>
          <w:rFonts w:ascii="Garamond" w:hAnsi="Garamond" w:cs="Arial"/>
          <w:color w:val="auto"/>
          <w:sz w:val="24"/>
          <w:szCs w:val="24"/>
          <w:lang w:val="pt-PT"/>
        </w:rPr>
        <w:t>acesso</w:t>
      </w:r>
      <w:r w:rsidR="00341F33" w:rsidRPr="003A1174">
        <w:rPr>
          <w:rFonts w:ascii="Garamond" w:hAnsi="Garamond" w:cs="Arial"/>
          <w:color w:val="auto"/>
          <w:sz w:val="24"/>
          <w:szCs w:val="24"/>
          <w:lang w:val="pt-PT"/>
        </w:rPr>
        <w:t xml:space="preserve"> </w:t>
      </w:r>
      <w:r w:rsidR="009024A0"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00341F33" w:rsidRPr="003A1174">
        <w:rPr>
          <w:rFonts w:ascii="Garamond" w:hAnsi="Garamond" w:cs="Arial"/>
          <w:color w:val="auto"/>
          <w:sz w:val="24"/>
          <w:szCs w:val="24"/>
          <w:lang w:val="pt-PT"/>
        </w:rPr>
        <w:t xml:space="preserve"> para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w:t>
      </w:r>
    </w:p>
    <w:p w:rsidR="00341F33" w:rsidRPr="003A1174" w:rsidRDefault="009024A0" w:rsidP="008719D4">
      <w:pPr>
        <w:spacing w:after="0" w:line="240" w:lineRule="auto"/>
        <w:jc w:val="both"/>
        <w:rPr>
          <w:rFonts w:ascii="Garamond" w:hAnsi="Garamond" w:cs="Arial"/>
          <w:sz w:val="24"/>
          <w:szCs w:val="24"/>
        </w:rPr>
      </w:pPr>
      <w:r w:rsidRPr="003A1174">
        <w:rPr>
          <w:rFonts w:ascii="Garamond" w:hAnsi="Garamond" w:cs="Arial"/>
          <w:sz w:val="24"/>
          <w:szCs w:val="24"/>
        </w:rPr>
        <w:t xml:space="preserve">Por </w:t>
      </w:r>
      <w:r w:rsidR="001F2F8B" w:rsidRPr="003A1174">
        <w:rPr>
          <w:rFonts w:ascii="Garamond" w:hAnsi="Garamond" w:cs="Arial"/>
          <w:sz w:val="24"/>
          <w:szCs w:val="24"/>
        </w:rPr>
        <w:t>outro</w:t>
      </w:r>
      <w:r w:rsidR="00341F33" w:rsidRPr="003A1174">
        <w:rPr>
          <w:rFonts w:ascii="Garamond" w:hAnsi="Garamond" w:cs="Arial"/>
          <w:sz w:val="24"/>
          <w:szCs w:val="24"/>
        </w:rPr>
        <w:t xml:space="preserve"> lado, entre </w:t>
      </w:r>
      <w:r w:rsidR="009E3E55" w:rsidRPr="003A1174">
        <w:rPr>
          <w:rFonts w:ascii="Garamond" w:hAnsi="Garamond" w:cs="Arial"/>
          <w:sz w:val="24"/>
          <w:szCs w:val="24"/>
        </w:rPr>
        <w:t>novembro</w:t>
      </w:r>
      <w:r w:rsidR="00341F33" w:rsidRPr="003A1174">
        <w:rPr>
          <w:rFonts w:ascii="Garamond" w:hAnsi="Garamond" w:cs="Arial"/>
          <w:sz w:val="24"/>
          <w:szCs w:val="24"/>
        </w:rPr>
        <w:t xml:space="preserve"> </w:t>
      </w:r>
      <w:r w:rsidR="00E85E59" w:rsidRPr="003A1174">
        <w:rPr>
          <w:rFonts w:ascii="Garamond" w:hAnsi="Garamond" w:cs="Arial"/>
          <w:sz w:val="24"/>
          <w:szCs w:val="24"/>
        </w:rPr>
        <w:t>do</w:t>
      </w:r>
      <w:r w:rsidR="00341F33" w:rsidRPr="003A1174">
        <w:rPr>
          <w:rFonts w:ascii="Garamond" w:hAnsi="Garamond" w:cs="Arial"/>
          <w:sz w:val="24"/>
          <w:szCs w:val="24"/>
        </w:rPr>
        <w:t xml:space="preserve"> </w:t>
      </w:r>
      <w:r w:rsidR="002C7510" w:rsidRPr="003A1174">
        <w:rPr>
          <w:rFonts w:ascii="Garamond" w:hAnsi="Garamond" w:cs="Arial"/>
          <w:sz w:val="24"/>
          <w:szCs w:val="24"/>
        </w:rPr>
        <w:t>ano</w:t>
      </w:r>
      <w:r w:rsidR="00341F33" w:rsidRPr="003A1174">
        <w:rPr>
          <w:rFonts w:ascii="Garamond" w:hAnsi="Garamond" w:cs="Arial"/>
          <w:sz w:val="24"/>
          <w:szCs w:val="24"/>
        </w:rPr>
        <w:t xml:space="preserve"> </w:t>
      </w:r>
      <w:r w:rsidR="00D4575C" w:rsidRPr="003A1174">
        <w:rPr>
          <w:rFonts w:ascii="Garamond" w:hAnsi="Garamond" w:cs="Arial"/>
          <w:sz w:val="24"/>
          <w:szCs w:val="24"/>
        </w:rPr>
        <w:t>passado</w:t>
      </w:r>
      <w:r w:rsidR="00341F33" w:rsidRPr="003A1174">
        <w:rPr>
          <w:rFonts w:ascii="Garamond" w:hAnsi="Garamond" w:cs="Arial"/>
          <w:sz w:val="24"/>
          <w:szCs w:val="24"/>
        </w:rPr>
        <w:t xml:space="preserve"> </w:t>
      </w:r>
      <w:r w:rsidR="000672E8" w:rsidRPr="003A1174">
        <w:rPr>
          <w:rFonts w:ascii="Garamond" w:hAnsi="Garamond" w:cs="Arial"/>
          <w:sz w:val="24"/>
          <w:szCs w:val="24"/>
        </w:rPr>
        <w:t>e</w:t>
      </w:r>
      <w:r w:rsidR="00341F33" w:rsidRPr="003A1174">
        <w:rPr>
          <w:rFonts w:ascii="Garamond" w:hAnsi="Garamond" w:cs="Arial"/>
          <w:sz w:val="24"/>
          <w:szCs w:val="24"/>
        </w:rPr>
        <w:t xml:space="preserve"> </w:t>
      </w:r>
      <w:r w:rsidR="00077461" w:rsidRPr="003A1174">
        <w:rPr>
          <w:rFonts w:ascii="Garamond" w:hAnsi="Garamond" w:cs="Arial"/>
          <w:sz w:val="24"/>
          <w:szCs w:val="24"/>
        </w:rPr>
        <w:t>junho</w:t>
      </w:r>
      <w:r w:rsidR="00341F33" w:rsidRPr="003A1174">
        <w:rPr>
          <w:rFonts w:ascii="Garamond" w:hAnsi="Garamond" w:cs="Arial"/>
          <w:sz w:val="24"/>
          <w:szCs w:val="24"/>
        </w:rPr>
        <w:t xml:space="preserve"> </w:t>
      </w:r>
      <w:r w:rsidR="00E85E59" w:rsidRPr="003A1174">
        <w:rPr>
          <w:rFonts w:ascii="Garamond" w:hAnsi="Garamond" w:cs="Arial"/>
          <w:sz w:val="24"/>
          <w:szCs w:val="24"/>
        </w:rPr>
        <w:t>do</w:t>
      </w:r>
      <w:r w:rsidR="00341F33" w:rsidRPr="003A1174">
        <w:rPr>
          <w:rFonts w:ascii="Garamond" w:hAnsi="Garamond" w:cs="Arial"/>
          <w:sz w:val="24"/>
          <w:szCs w:val="24"/>
        </w:rPr>
        <w:t xml:space="preserve"> presente</w:t>
      </w:r>
      <w:r w:rsidR="002826EA">
        <w:rPr>
          <w:rFonts w:ascii="Garamond" w:hAnsi="Garamond" w:cs="Arial"/>
          <w:sz w:val="24"/>
          <w:szCs w:val="24"/>
        </w:rPr>
        <w:t xml:space="preserve"> ano</w:t>
      </w:r>
      <w:r w:rsidR="00FC18A9" w:rsidRPr="003A1174">
        <w:rPr>
          <w:rFonts w:ascii="Garamond" w:hAnsi="Garamond" w:cs="Arial"/>
          <w:sz w:val="24"/>
          <w:szCs w:val="24"/>
        </w:rPr>
        <w:t>,</w:t>
      </w:r>
      <w:r w:rsidRPr="003A1174">
        <w:rPr>
          <w:rFonts w:ascii="Garamond" w:hAnsi="Garamond" w:cs="Arial"/>
          <w:sz w:val="24"/>
          <w:szCs w:val="24"/>
        </w:rPr>
        <w:t xml:space="preserve"> </w:t>
      </w:r>
      <w:r w:rsidR="00341F33" w:rsidRPr="003A1174">
        <w:rPr>
          <w:rFonts w:ascii="Garamond" w:hAnsi="Garamond" w:cs="Arial"/>
          <w:sz w:val="24"/>
          <w:szCs w:val="24"/>
        </w:rPr>
        <w:t xml:space="preserve">a </w:t>
      </w:r>
      <w:r w:rsidR="00FC1F7F" w:rsidRPr="003A1174">
        <w:rPr>
          <w:rFonts w:ascii="Garamond" w:hAnsi="Garamond" w:cs="Arial"/>
          <w:sz w:val="24"/>
          <w:szCs w:val="24"/>
        </w:rPr>
        <w:t>Comissão</w:t>
      </w:r>
      <w:r w:rsidR="00341F33" w:rsidRPr="003A1174">
        <w:rPr>
          <w:rFonts w:ascii="Garamond" w:hAnsi="Garamond" w:cs="Arial"/>
          <w:sz w:val="24"/>
          <w:szCs w:val="24"/>
        </w:rPr>
        <w:t xml:space="preserve"> Nacional </w:t>
      </w:r>
      <w:r w:rsidR="00AC63DF" w:rsidRPr="003A1174">
        <w:rPr>
          <w:rFonts w:ascii="Garamond" w:hAnsi="Garamond" w:cs="Arial"/>
          <w:sz w:val="24"/>
          <w:szCs w:val="24"/>
        </w:rPr>
        <w:t>trabalh</w:t>
      </w:r>
      <w:r w:rsidRPr="003A1174">
        <w:rPr>
          <w:rFonts w:ascii="Garamond" w:hAnsi="Garamond" w:cs="Arial"/>
          <w:sz w:val="24"/>
          <w:szCs w:val="24"/>
        </w:rPr>
        <w:t xml:space="preserve">ou na </w:t>
      </w:r>
      <w:r w:rsidR="00C30647" w:rsidRPr="003A1174">
        <w:rPr>
          <w:rFonts w:ascii="Garamond" w:hAnsi="Garamond" w:cs="Arial"/>
          <w:sz w:val="24"/>
          <w:szCs w:val="24"/>
        </w:rPr>
        <w:t>realização</w:t>
      </w:r>
      <w:r w:rsidR="00341F33" w:rsidRPr="003A1174">
        <w:rPr>
          <w:rFonts w:ascii="Garamond" w:hAnsi="Garamond" w:cs="Arial"/>
          <w:sz w:val="24"/>
          <w:szCs w:val="24"/>
        </w:rPr>
        <w:t xml:space="preserve"> </w:t>
      </w:r>
      <w:r w:rsidR="00E85E59" w:rsidRPr="003A1174">
        <w:rPr>
          <w:rFonts w:ascii="Garamond" w:hAnsi="Garamond" w:cs="Arial"/>
          <w:sz w:val="24"/>
          <w:szCs w:val="24"/>
        </w:rPr>
        <w:t>do</w:t>
      </w:r>
      <w:r w:rsidR="00341F33" w:rsidRPr="003A1174">
        <w:rPr>
          <w:rFonts w:ascii="Garamond" w:hAnsi="Garamond" w:cs="Arial"/>
          <w:sz w:val="24"/>
          <w:szCs w:val="24"/>
        </w:rPr>
        <w:t xml:space="preserve"> Sétimo </w:t>
      </w:r>
      <w:r w:rsidR="009E3E55" w:rsidRPr="003A1174">
        <w:rPr>
          <w:rFonts w:ascii="Garamond" w:hAnsi="Garamond" w:cs="Arial"/>
          <w:sz w:val="24"/>
          <w:szCs w:val="24"/>
        </w:rPr>
        <w:t>Relatório</w:t>
      </w:r>
      <w:r w:rsidR="00341F33" w:rsidRPr="003A1174">
        <w:rPr>
          <w:rFonts w:ascii="Garamond" w:hAnsi="Garamond" w:cs="Arial"/>
          <w:sz w:val="24"/>
          <w:szCs w:val="24"/>
        </w:rPr>
        <w:t xml:space="preserve"> especial 2013 sobre </w:t>
      </w:r>
      <w:r w:rsidRPr="003A1174">
        <w:rPr>
          <w:rFonts w:ascii="Garamond" w:hAnsi="Garamond" w:cs="Arial"/>
          <w:sz w:val="24"/>
          <w:szCs w:val="24"/>
        </w:rPr>
        <w:t xml:space="preserve">o </w:t>
      </w:r>
      <w:r w:rsidR="00886D6A" w:rsidRPr="003A1174">
        <w:rPr>
          <w:rFonts w:ascii="Garamond" w:hAnsi="Garamond" w:cs="Arial"/>
          <w:sz w:val="24"/>
          <w:szCs w:val="24"/>
        </w:rPr>
        <w:t>direito</w:t>
      </w:r>
      <w:r w:rsidR="00341F33" w:rsidRPr="003A1174">
        <w:rPr>
          <w:rFonts w:ascii="Garamond" w:hAnsi="Garamond" w:cs="Arial"/>
          <w:sz w:val="24"/>
          <w:szCs w:val="24"/>
        </w:rPr>
        <w:t xml:space="preserve"> de </w:t>
      </w:r>
      <w:r w:rsidR="002C7510" w:rsidRPr="003A1174">
        <w:rPr>
          <w:rFonts w:ascii="Garamond" w:hAnsi="Garamond" w:cs="Arial"/>
          <w:sz w:val="24"/>
          <w:szCs w:val="24"/>
        </w:rPr>
        <w:t>igualdade</w:t>
      </w:r>
      <w:r w:rsidR="00341F33" w:rsidRPr="003A1174">
        <w:rPr>
          <w:rFonts w:ascii="Garamond" w:hAnsi="Garamond" w:cs="Arial"/>
          <w:sz w:val="24"/>
          <w:szCs w:val="24"/>
        </w:rPr>
        <w:t xml:space="preserve"> entre </w:t>
      </w:r>
      <w:r w:rsidR="00054EE0" w:rsidRPr="003A1174">
        <w:rPr>
          <w:rFonts w:ascii="Garamond" w:hAnsi="Garamond" w:cs="Arial"/>
          <w:sz w:val="24"/>
          <w:szCs w:val="24"/>
        </w:rPr>
        <w:t>mulheres</w:t>
      </w:r>
      <w:r w:rsidR="00341F33" w:rsidRPr="003A1174">
        <w:rPr>
          <w:rFonts w:ascii="Garamond" w:hAnsi="Garamond" w:cs="Arial"/>
          <w:sz w:val="24"/>
          <w:szCs w:val="24"/>
        </w:rPr>
        <w:t xml:space="preserve"> </w:t>
      </w:r>
      <w:r w:rsidR="000672E8" w:rsidRPr="003A1174">
        <w:rPr>
          <w:rFonts w:ascii="Garamond" w:hAnsi="Garamond" w:cs="Arial"/>
          <w:sz w:val="24"/>
          <w:szCs w:val="24"/>
        </w:rPr>
        <w:t>e</w:t>
      </w:r>
      <w:r w:rsidR="00341F33" w:rsidRPr="003A1174">
        <w:rPr>
          <w:rFonts w:ascii="Garamond" w:hAnsi="Garamond" w:cs="Arial"/>
          <w:sz w:val="24"/>
          <w:szCs w:val="24"/>
        </w:rPr>
        <w:t xml:space="preserve"> </w:t>
      </w:r>
      <w:r w:rsidR="00524936" w:rsidRPr="003A1174">
        <w:rPr>
          <w:rFonts w:ascii="Garamond" w:hAnsi="Garamond" w:cs="Arial"/>
          <w:sz w:val="24"/>
          <w:szCs w:val="24"/>
        </w:rPr>
        <w:t>homens</w:t>
      </w:r>
      <w:r w:rsidR="00341F33" w:rsidRPr="003A1174">
        <w:rPr>
          <w:rFonts w:ascii="Garamond" w:hAnsi="Garamond" w:cs="Arial"/>
          <w:sz w:val="24"/>
          <w:szCs w:val="24"/>
        </w:rPr>
        <w:t xml:space="preserve">, </w:t>
      </w:r>
      <w:r w:rsidR="002826EA">
        <w:rPr>
          <w:rFonts w:ascii="Garamond" w:hAnsi="Garamond" w:cs="Arial"/>
          <w:sz w:val="24"/>
          <w:szCs w:val="24"/>
        </w:rPr>
        <w:t xml:space="preserve">em que </w:t>
      </w:r>
      <w:r w:rsidR="00341F33" w:rsidRPr="003A1174">
        <w:rPr>
          <w:rFonts w:ascii="Garamond" w:hAnsi="Garamond" w:cs="Arial"/>
          <w:sz w:val="24"/>
          <w:szCs w:val="24"/>
        </w:rPr>
        <w:t>se trata</w:t>
      </w:r>
      <w:r w:rsidRPr="003A1174">
        <w:rPr>
          <w:rFonts w:ascii="Garamond" w:hAnsi="Garamond" w:cs="Arial"/>
          <w:sz w:val="24"/>
          <w:szCs w:val="24"/>
        </w:rPr>
        <w:t xml:space="preserve">m </w:t>
      </w:r>
      <w:r w:rsidR="00341F33" w:rsidRPr="003A1174">
        <w:rPr>
          <w:rFonts w:ascii="Garamond" w:hAnsi="Garamond" w:cs="Arial"/>
          <w:sz w:val="24"/>
          <w:szCs w:val="24"/>
        </w:rPr>
        <w:t xml:space="preserve">temas vinculados </w:t>
      </w:r>
      <w:r w:rsidRPr="003A1174">
        <w:rPr>
          <w:rFonts w:ascii="Garamond" w:hAnsi="Garamond" w:cs="Arial"/>
          <w:sz w:val="24"/>
          <w:szCs w:val="24"/>
        </w:rPr>
        <w:t xml:space="preserve">à </w:t>
      </w:r>
      <w:r w:rsidR="000350B1" w:rsidRPr="003A1174">
        <w:rPr>
          <w:rFonts w:ascii="Garamond" w:hAnsi="Garamond" w:cs="Arial"/>
          <w:sz w:val="24"/>
          <w:szCs w:val="24"/>
        </w:rPr>
        <w:t>violência</w:t>
      </w:r>
      <w:r w:rsidRPr="003A1174">
        <w:rPr>
          <w:rFonts w:ascii="Garamond" w:hAnsi="Garamond" w:cs="Arial"/>
          <w:sz w:val="24"/>
          <w:szCs w:val="24"/>
        </w:rPr>
        <w:t xml:space="preserve"> contra </w:t>
      </w:r>
      <w:r w:rsidR="00341F33" w:rsidRPr="003A1174">
        <w:rPr>
          <w:rFonts w:ascii="Garamond" w:hAnsi="Garamond" w:cs="Arial"/>
          <w:sz w:val="24"/>
          <w:szCs w:val="24"/>
        </w:rPr>
        <w:t xml:space="preserve">as </w:t>
      </w:r>
      <w:r w:rsidR="00054EE0" w:rsidRPr="003A1174">
        <w:rPr>
          <w:rFonts w:ascii="Garamond" w:hAnsi="Garamond" w:cs="Arial"/>
          <w:sz w:val="24"/>
          <w:szCs w:val="24"/>
        </w:rPr>
        <w:t>mulheres</w:t>
      </w:r>
      <w:r w:rsidR="002826EA">
        <w:rPr>
          <w:rFonts w:ascii="Garamond" w:hAnsi="Garamond" w:cs="Arial"/>
          <w:sz w:val="24"/>
          <w:szCs w:val="24"/>
        </w:rPr>
        <w:t>,</w:t>
      </w:r>
      <w:r w:rsidR="00FC18A9" w:rsidRPr="003A1174">
        <w:rPr>
          <w:rFonts w:ascii="Garamond" w:hAnsi="Garamond" w:cs="Arial"/>
          <w:sz w:val="24"/>
          <w:szCs w:val="24"/>
        </w:rPr>
        <w:t xml:space="preserve"> ta</w:t>
      </w:r>
      <w:r w:rsidRPr="003A1174">
        <w:rPr>
          <w:rFonts w:ascii="Garamond" w:hAnsi="Garamond" w:cs="Arial"/>
          <w:sz w:val="24"/>
          <w:szCs w:val="24"/>
        </w:rPr>
        <w:t>i</w:t>
      </w:r>
      <w:r w:rsidR="00FC18A9" w:rsidRPr="003A1174">
        <w:rPr>
          <w:rFonts w:ascii="Garamond" w:hAnsi="Garamond" w:cs="Arial"/>
          <w:sz w:val="24"/>
          <w:szCs w:val="24"/>
        </w:rPr>
        <w:t>s</w:t>
      </w:r>
      <w:r w:rsidRPr="003A1174">
        <w:rPr>
          <w:rFonts w:ascii="Garamond" w:hAnsi="Garamond" w:cs="Arial"/>
          <w:sz w:val="24"/>
          <w:szCs w:val="24"/>
        </w:rPr>
        <w:t xml:space="preserve"> como</w:t>
      </w:r>
      <w:r w:rsidR="002826EA">
        <w:rPr>
          <w:rFonts w:ascii="Garamond" w:hAnsi="Garamond" w:cs="Arial"/>
          <w:sz w:val="24"/>
          <w:szCs w:val="24"/>
        </w:rPr>
        <w:t>,</w:t>
      </w:r>
      <w:r w:rsidRPr="003A1174">
        <w:rPr>
          <w:rFonts w:ascii="Garamond" w:hAnsi="Garamond" w:cs="Arial"/>
          <w:sz w:val="24"/>
          <w:szCs w:val="24"/>
        </w:rPr>
        <w:t xml:space="preserve"> </w:t>
      </w:r>
      <w:r w:rsidR="00341F33" w:rsidRPr="003A1174">
        <w:rPr>
          <w:rFonts w:ascii="Garamond" w:hAnsi="Garamond" w:cs="Arial"/>
          <w:sz w:val="24"/>
          <w:szCs w:val="24"/>
        </w:rPr>
        <w:t xml:space="preserve">as </w:t>
      </w:r>
      <w:r w:rsidR="00F320F4" w:rsidRPr="003A1174">
        <w:rPr>
          <w:rFonts w:ascii="Garamond" w:hAnsi="Garamond" w:cs="Arial"/>
          <w:sz w:val="24"/>
          <w:szCs w:val="24"/>
        </w:rPr>
        <w:t>leis</w:t>
      </w:r>
      <w:r w:rsidR="00341F33" w:rsidRPr="003A1174">
        <w:rPr>
          <w:rFonts w:ascii="Garamond" w:hAnsi="Garamond" w:cs="Arial"/>
          <w:sz w:val="24"/>
          <w:szCs w:val="24"/>
        </w:rPr>
        <w:t xml:space="preserve"> </w:t>
      </w:r>
      <w:r w:rsidR="000672E8" w:rsidRPr="003A1174">
        <w:rPr>
          <w:rFonts w:ascii="Garamond" w:hAnsi="Garamond" w:cs="Arial"/>
          <w:sz w:val="24"/>
          <w:szCs w:val="24"/>
        </w:rPr>
        <w:t>e</w:t>
      </w:r>
      <w:r w:rsidR="00341F33" w:rsidRPr="003A1174">
        <w:rPr>
          <w:rFonts w:ascii="Garamond" w:hAnsi="Garamond" w:cs="Arial"/>
          <w:sz w:val="24"/>
          <w:szCs w:val="24"/>
        </w:rPr>
        <w:t xml:space="preserve"> </w:t>
      </w:r>
      <w:r w:rsidR="00CD707D" w:rsidRPr="003A1174">
        <w:rPr>
          <w:rFonts w:ascii="Garamond" w:hAnsi="Garamond" w:cs="Arial"/>
          <w:sz w:val="24"/>
          <w:szCs w:val="24"/>
        </w:rPr>
        <w:t>regulamento</w:t>
      </w:r>
      <w:r w:rsidRPr="003A1174">
        <w:rPr>
          <w:rFonts w:ascii="Garamond" w:hAnsi="Garamond" w:cs="Arial"/>
          <w:sz w:val="24"/>
          <w:szCs w:val="24"/>
        </w:rPr>
        <w:t xml:space="preserve">s, </w:t>
      </w:r>
      <w:r w:rsidR="00341F33" w:rsidRPr="003A1174">
        <w:rPr>
          <w:rFonts w:ascii="Garamond" w:hAnsi="Garamond" w:cs="Arial"/>
          <w:sz w:val="24"/>
          <w:szCs w:val="24"/>
        </w:rPr>
        <w:t xml:space="preserve">a </w:t>
      </w:r>
      <w:r w:rsidR="009A0CC2" w:rsidRPr="003A1174">
        <w:rPr>
          <w:rFonts w:ascii="Garamond" w:hAnsi="Garamond" w:cs="Arial"/>
          <w:sz w:val="24"/>
          <w:szCs w:val="24"/>
        </w:rPr>
        <w:t>tipificação</w:t>
      </w:r>
      <w:r w:rsidR="00341F33" w:rsidRPr="003A1174">
        <w:rPr>
          <w:rFonts w:ascii="Garamond" w:hAnsi="Garamond" w:cs="Arial"/>
          <w:sz w:val="24"/>
          <w:szCs w:val="24"/>
        </w:rPr>
        <w:t xml:space="preserve"> de delitos, </w:t>
      </w:r>
      <w:r w:rsidR="003C7CB4" w:rsidRPr="003A1174">
        <w:rPr>
          <w:rFonts w:ascii="Garamond" w:hAnsi="Garamond" w:cs="Arial"/>
          <w:sz w:val="24"/>
          <w:szCs w:val="24"/>
        </w:rPr>
        <w:t xml:space="preserve">as </w:t>
      </w:r>
      <w:r w:rsidR="00976FB8" w:rsidRPr="003A1174">
        <w:rPr>
          <w:rFonts w:ascii="Garamond" w:hAnsi="Garamond" w:cs="Arial"/>
          <w:sz w:val="24"/>
          <w:szCs w:val="24"/>
        </w:rPr>
        <w:t>ordens</w:t>
      </w:r>
      <w:r w:rsidR="00341F33" w:rsidRPr="003A1174">
        <w:rPr>
          <w:rFonts w:ascii="Garamond" w:hAnsi="Garamond" w:cs="Arial"/>
          <w:sz w:val="24"/>
          <w:szCs w:val="24"/>
        </w:rPr>
        <w:t xml:space="preserve"> de </w:t>
      </w:r>
      <w:r w:rsidR="00886D6A" w:rsidRPr="003A1174">
        <w:rPr>
          <w:rFonts w:ascii="Garamond" w:hAnsi="Garamond" w:cs="Arial"/>
          <w:sz w:val="24"/>
          <w:szCs w:val="24"/>
        </w:rPr>
        <w:t>proteção</w:t>
      </w:r>
      <w:r w:rsidR="00341F33" w:rsidRPr="003A1174">
        <w:rPr>
          <w:rFonts w:ascii="Garamond" w:hAnsi="Garamond" w:cs="Arial"/>
          <w:sz w:val="24"/>
          <w:szCs w:val="24"/>
        </w:rPr>
        <w:t xml:space="preserve">, </w:t>
      </w:r>
      <w:r w:rsidR="003C7CB4" w:rsidRPr="003A1174">
        <w:rPr>
          <w:rFonts w:ascii="Garamond" w:hAnsi="Garamond" w:cs="Arial"/>
          <w:sz w:val="24"/>
          <w:szCs w:val="24"/>
        </w:rPr>
        <w:t xml:space="preserve">os </w:t>
      </w:r>
      <w:r w:rsidR="00341F33" w:rsidRPr="003A1174">
        <w:rPr>
          <w:rFonts w:ascii="Garamond" w:hAnsi="Garamond" w:cs="Arial"/>
          <w:sz w:val="24"/>
          <w:szCs w:val="24"/>
        </w:rPr>
        <w:t xml:space="preserve">Centros de </w:t>
      </w:r>
      <w:r w:rsidR="00886D6A" w:rsidRPr="003A1174">
        <w:rPr>
          <w:rFonts w:ascii="Garamond" w:hAnsi="Garamond" w:cs="Arial"/>
          <w:sz w:val="24"/>
          <w:szCs w:val="24"/>
        </w:rPr>
        <w:t>Acesso</w:t>
      </w:r>
      <w:r w:rsidR="00341F33" w:rsidRPr="003A1174">
        <w:rPr>
          <w:rFonts w:ascii="Garamond" w:hAnsi="Garamond" w:cs="Arial"/>
          <w:sz w:val="24"/>
          <w:szCs w:val="24"/>
        </w:rPr>
        <w:t xml:space="preserve"> </w:t>
      </w:r>
      <w:r w:rsidRPr="003A1174">
        <w:rPr>
          <w:rFonts w:ascii="Garamond" w:hAnsi="Garamond" w:cs="Arial"/>
          <w:sz w:val="24"/>
          <w:szCs w:val="24"/>
        </w:rPr>
        <w:t xml:space="preserve">à </w:t>
      </w:r>
      <w:r w:rsidR="00FC1F7F" w:rsidRPr="003A1174">
        <w:rPr>
          <w:rFonts w:ascii="Garamond" w:hAnsi="Garamond" w:cs="Arial"/>
          <w:sz w:val="24"/>
          <w:szCs w:val="24"/>
        </w:rPr>
        <w:t>Justiça</w:t>
      </w:r>
      <w:r w:rsidR="00341F33" w:rsidRPr="003A1174">
        <w:rPr>
          <w:rFonts w:ascii="Garamond" w:hAnsi="Garamond" w:cs="Arial"/>
          <w:sz w:val="24"/>
          <w:szCs w:val="24"/>
        </w:rPr>
        <w:t xml:space="preserve"> para </w:t>
      </w:r>
      <w:r w:rsidR="00054EE0" w:rsidRPr="003A1174">
        <w:rPr>
          <w:rFonts w:ascii="Garamond" w:hAnsi="Garamond" w:cs="Arial"/>
          <w:sz w:val="24"/>
          <w:szCs w:val="24"/>
        </w:rPr>
        <w:t>Mulheres</w:t>
      </w:r>
      <w:r w:rsidR="00341F33" w:rsidRPr="003A1174">
        <w:rPr>
          <w:rFonts w:ascii="Garamond" w:hAnsi="Garamond" w:cs="Arial"/>
          <w:sz w:val="24"/>
          <w:szCs w:val="24"/>
        </w:rPr>
        <w:t xml:space="preserve">, </w:t>
      </w:r>
      <w:r w:rsidR="003C7CB4" w:rsidRPr="003A1174">
        <w:rPr>
          <w:rFonts w:ascii="Garamond" w:hAnsi="Garamond" w:cs="Arial"/>
          <w:sz w:val="24"/>
          <w:szCs w:val="24"/>
        </w:rPr>
        <w:t xml:space="preserve">as </w:t>
      </w:r>
      <w:r w:rsidR="009529F1" w:rsidRPr="003A1174">
        <w:rPr>
          <w:rFonts w:ascii="Garamond" w:hAnsi="Garamond" w:cs="Arial"/>
          <w:sz w:val="24"/>
          <w:szCs w:val="24"/>
        </w:rPr>
        <w:t>queixa</w:t>
      </w:r>
      <w:r w:rsidR="00341F33" w:rsidRPr="003A1174">
        <w:rPr>
          <w:rFonts w:ascii="Garamond" w:hAnsi="Garamond" w:cs="Arial"/>
          <w:sz w:val="24"/>
          <w:szCs w:val="24"/>
        </w:rPr>
        <w:t xml:space="preserve">s atendidas </w:t>
      </w:r>
      <w:r w:rsidR="000672E8" w:rsidRPr="003A1174">
        <w:rPr>
          <w:rFonts w:ascii="Garamond" w:hAnsi="Garamond" w:cs="Arial"/>
          <w:sz w:val="24"/>
          <w:szCs w:val="24"/>
        </w:rPr>
        <w:t>e</w:t>
      </w:r>
      <w:r w:rsidR="00341F33" w:rsidRPr="003A1174">
        <w:rPr>
          <w:rFonts w:ascii="Garamond" w:hAnsi="Garamond" w:cs="Arial"/>
          <w:sz w:val="24"/>
          <w:szCs w:val="24"/>
        </w:rPr>
        <w:t xml:space="preserve"> </w:t>
      </w:r>
      <w:r w:rsidR="008E7A2A" w:rsidRPr="003A1174">
        <w:rPr>
          <w:rFonts w:ascii="Garamond" w:hAnsi="Garamond" w:cs="Arial"/>
          <w:sz w:val="24"/>
          <w:szCs w:val="24"/>
        </w:rPr>
        <w:t>recomendações</w:t>
      </w:r>
      <w:r w:rsidR="00341F33" w:rsidRPr="003A1174">
        <w:rPr>
          <w:rFonts w:ascii="Garamond" w:hAnsi="Garamond" w:cs="Arial"/>
          <w:sz w:val="24"/>
          <w:szCs w:val="24"/>
        </w:rPr>
        <w:t xml:space="preserve"> emitidas por este Organismo Nacional, </w:t>
      </w:r>
      <w:r w:rsidR="003C7CB4" w:rsidRPr="003A1174">
        <w:rPr>
          <w:rFonts w:ascii="Garamond" w:hAnsi="Garamond" w:cs="Arial"/>
          <w:sz w:val="24"/>
          <w:szCs w:val="24"/>
        </w:rPr>
        <w:t xml:space="preserve">os </w:t>
      </w:r>
      <w:r w:rsidR="00341F33" w:rsidRPr="003A1174">
        <w:rPr>
          <w:rFonts w:ascii="Garamond" w:hAnsi="Garamond" w:cs="Arial"/>
          <w:sz w:val="24"/>
          <w:szCs w:val="24"/>
        </w:rPr>
        <w:t xml:space="preserve">indicadores de </w:t>
      </w:r>
      <w:r w:rsidR="000350B1" w:rsidRPr="003A1174">
        <w:rPr>
          <w:rFonts w:ascii="Garamond" w:hAnsi="Garamond" w:cs="Arial"/>
          <w:sz w:val="24"/>
          <w:szCs w:val="24"/>
        </w:rPr>
        <w:t>violência</w:t>
      </w:r>
      <w:r w:rsidR="003C7CB4" w:rsidRPr="003A1174">
        <w:rPr>
          <w:rFonts w:ascii="Garamond" w:hAnsi="Garamond" w:cs="Arial"/>
          <w:sz w:val="24"/>
          <w:szCs w:val="24"/>
        </w:rPr>
        <w:t xml:space="preserve">, </w:t>
      </w:r>
      <w:r w:rsidR="000464C8" w:rsidRPr="003A1174">
        <w:rPr>
          <w:rFonts w:ascii="Garamond" w:hAnsi="Garamond" w:cs="Arial"/>
          <w:sz w:val="24"/>
          <w:szCs w:val="24"/>
        </w:rPr>
        <w:t>assim</w:t>
      </w:r>
      <w:r w:rsidR="003C7CB4" w:rsidRPr="003A1174">
        <w:rPr>
          <w:rFonts w:ascii="Garamond" w:hAnsi="Garamond" w:cs="Arial"/>
          <w:sz w:val="24"/>
          <w:szCs w:val="24"/>
        </w:rPr>
        <w:t xml:space="preserve"> como</w:t>
      </w:r>
      <w:r w:rsidR="00341F33" w:rsidRPr="003A1174">
        <w:rPr>
          <w:rFonts w:ascii="Garamond" w:hAnsi="Garamond" w:cs="Arial"/>
          <w:sz w:val="24"/>
          <w:szCs w:val="24"/>
        </w:rPr>
        <w:t xml:space="preserve"> </w:t>
      </w:r>
      <w:r w:rsidR="003C7CB4" w:rsidRPr="003A1174">
        <w:rPr>
          <w:rFonts w:ascii="Garamond" w:hAnsi="Garamond" w:cs="Arial"/>
          <w:sz w:val="24"/>
          <w:szCs w:val="24"/>
        </w:rPr>
        <w:t xml:space="preserve">as </w:t>
      </w:r>
      <w:r w:rsidR="002C7510" w:rsidRPr="003A1174">
        <w:rPr>
          <w:rFonts w:ascii="Garamond" w:hAnsi="Garamond" w:cs="Arial"/>
          <w:sz w:val="24"/>
          <w:szCs w:val="24"/>
        </w:rPr>
        <w:t>ações</w:t>
      </w:r>
      <w:r w:rsidR="00341F33" w:rsidRPr="003A1174">
        <w:rPr>
          <w:rFonts w:ascii="Garamond" w:hAnsi="Garamond" w:cs="Arial"/>
          <w:sz w:val="24"/>
          <w:szCs w:val="24"/>
        </w:rPr>
        <w:t xml:space="preserve"> realizadas </w:t>
      </w:r>
      <w:r w:rsidR="00275092" w:rsidRPr="003A1174">
        <w:rPr>
          <w:rFonts w:ascii="Garamond" w:hAnsi="Garamond" w:cs="Arial"/>
          <w:sz w:val="24"/>
          <w:szCs w:val="24"/>
        </w:rPr>
        <w:t>pela</w:t>
      </w:r>
      <w:r w:rsidR="00341F33" w:rsidRPr="003A1174">
        <w:rPr>
          <w:rFonts w:ascii="Garamond" w:hAnsi="Garamond" w:cs="Arial"/>
          <w:sz w:val="24"/>
          <w:szCs w:val="24"/>
        </w:rPr>
        <w:t xml:space="preserve">s </w:t>
      </w:r>
      <w:r w:rsidR="007A2492" w:rsidRPr="003A1174">
        <w:rPr>
          <w:rFonts w:ascii="Garamond" w:hAnsi="Garamond" w:cs="Arial"/>
          <w:sz w:val="24"/>
          <w:szCs w:val="24"/>
        </w:rPr>
        <w:t>dependência</w:t>
      </w:r>
      <w:r w:rsidR="00341F33" w:rsidRPr="003A1174">
        <w:rPr>
          <w:rFonts w:ascii="Garamond" w:hAnsi="Garamond" w:cs="Arial"/>
          <w:sz w:val="24"/>
          <w:szCs w:val="24"/>
        </w:rPr>
        <w:t xml:space="preserve">s de </w:t>
      </w:r>
      <w:r w:rsidR="006506C6" w:rsidRPr="003A1174">
        <w:rPr>
          <w:rFonts w:ascii="Garamond" w:hAnsi="Garamond" w:cs="Arial"/>
          <w:sz w:val="24"/>
          <w:szCs w:val="24"/>
        </w:rPr>
        <w:t>governo</w:t>
      </w:r>
      <w:r w:rsidR="00341F33" w:rsidRPr="003A1174">
        <w:rPr>
          <w:rFonts w:ascii="Garamond" w:hAnsi="Garamond" w:cs="Arial"/>
          <w:sz w:val="24"/>
          <w:szCs w:val="24"/>
        </w:rPr>
        <w:t xml:space="preserve"> Federal </w:t>
      </w:r>
      <w:r w:rsidR="000672E8" w:rsidRPr="003A1174">
        <w:rPr>
          <w:rFonts w:ascii="Garamond" w:hAnsi="Garamond" w:cs="Arial"/>
          <w:sz w:val="24"/>
          <w:szCs w:val="24"/>
        </w:rPr>
        <w:t>e</w:t>
      </w:r>
      <w:r w:rsidRPr="003A1174">
        <w:rPr>
          <w:rFonts w:ascii="Garamond" w:hAnsi="Garamond" w:cs="Arial"/>
          <w:sz w:val="24"/>
          <w:szCs w:val="24"/>
        </w:rPr>
        <w:t xml:space="preserve"> </w:t>
      </w:r>
      <w:r w:rsidR="00341F33" w:rsidRPr="003A1174">
        <w:rPr>
          <w:rFonts w:ascii="Garamond" w:hAnsi="Garamond" w:cs="Arial"/>
          <w:sz w:val="24"/>
          <w:szCs w:val="24"/>
        </w:rPr>
        <w:t>as entidades federa</w:t>
      </w:r>
      <w:r w:rsidRPr="003A1174">
        <w:rPr>
          <w:rFonts w:ascii="Garamond" w:hAnsi="Garamond" w:cs="Arial"/>
          <w:sz w:val="24"/>
          <w:szCs w:val="24"/>
        </w:rPr>
        <w:t>i</w:t>
      </w:r>
      <w:r w:rsidR="00341F33" w:rsidRPr="003A1174">
        <w:rPr>
          <w:rFonts w:ascii="Garamond" w:hAnsi="Garamond" w:cs="Arial"/>
          <w:sz w:val="24"/>
          <w:szCs w:val="24"/>
        </w:rPr>
        <w:t>s.</w:t>
      </w:r>
    </w:p>
    <w:p w:rsidR="00341F33" w:rsidRPr="00163A24" w:rsidRDefault="009024A0" w:rsidP="009024A0">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que se refere ao </w:t>
      </w:r>
      <w:r w:rsidR="00341F33" w:rsidRPr="003A1174">
        <w:rPr>
          <w:rFonts w:ascii="Garamond" w:hAnsi="Garamond" w:cs="Arial"/>
          <w:color w:val="auto"/>
          <w:sz w:val="24"/>
          <w:szCs w:val="24"/>
          <w:lang w:val="pt-PT"/>
        </w:rPr>
        <w:t xml:space="preserve">Estado de Guanajuato, </w:t>
      </w:r>
      <w:r w:rsidR="003C7CB4" w:rsidRPr="003A1174">
        <w:rPr>
          <w:rFonts w:ascii="Garamond" w:hAnsi="Garamond" w:cs="Arial"/>
          <w:color w:val="auto"/>
          <w:sz w:val="24"/>
          <w:szCs w:val="24"/>
          <w:lang w:val="pt-PT"/>
        </w:rPr>
        <w:t>e</w:t>
      </w:r>
      <w:r w:rsidRPr="003A1174">
        <w:rPr>
          <w:rFonts w:ascii="Garamond" w:hAnsi="Garamond" w:cs="Arial"/>
          <w:color w:val="auto"/>
          <w:sz w:val="24"/>
          <w:szCs w:val="24"/>
          <w:lang w:val="pt-PT"/>
        </w:rPr>
        <w:t>m</w:t>
      </w:r>
      <w:r w:rsidR="003C7CB4" w:rsidRPr="003A1174">
        <w:rPr>
          <w:rFonts w:ascii="Garamond" w:hAnsi="Garamond" w:cs="Arial"/>
          <w:color w:val="auto"/>
          <w:sz w:val="24"/>
          <w:szCs w:val="24"/>
          <w:lang w:val="pt-PT"/>
        </w:rPr>
        <w:t xml:space="preserve"> </w:t>
      </w:r>
      <w:r w:rsidR="0094067E" w:rsidRPr="003A1174">
        <w:rPr>
          <w:rFonts w:ascii="Garamond" w:hAnsi="Garamond" w:cs="Arial"/>
          <w:color w:val="auto"/>
          <w:sz w:val="24"/>
          <w:szCs w:val="24"/>
          <w:lang w:val="pt-PT"/>
        </w:rPr>
        <w:t>dezembro</w:t>
      </w:r>
      <w:r w:rsidR="003C7CB4" w:rsidRPr="003A1174">
        <w:rPr>
          <w:rFonts w:ascii="Garamond" w:hAnsi="Garamond" w:cs="Arial"/>
          <w:color w:val="auto"/>
          <w:sz w:val="24"/>
          <w:szCs w:val="24"/>
          <w:lang w:val="pt-PT"/>
        </w:rPr>
        <w:t xml:space="preserve"> </w:t>
      </w:r>
      <w:r w:rsidR="00D4575C" w:rsidRPr="003A1174">
        <w:rPr>
          <w:rFonts w:ascii="Garamond" w:hAnsi="Garamond" w:cs="Arial"/>
          <w:color w:val="auto"/>
          <w:sz w:val="24"/>
          <w:szCs w:val="24"/>
          <w:lang w:val="pt-PT"/>
        </w:rPr>
        <w:t>passado</w:t>
      </w:r>
      <w:r w:rsidR="002F319E" w:rsidRPr="003A1174">
        <w:rPr>
          <w:rFonts w:ascii="Garamond" w:hAnsi="Garamond" w:cs="Arial"/>
          <w:color w:val="auto"/>
          <w:sz w:val="24"/>
          <w:szCs w:val="24"/>
          <w:lang w:val="pt-PT"/>
        </w:rPr>
        <w:t>,</w:t>
      </w:r>
      <w:r w:rsidR="003C7CB4"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341F33" w:rsidRPr="003A1174">
        <w:rPr>
          <w:rFonts w:ascii="Garamond" w:hAnsi="Garamond" w:cs="Arial"/>
          <w:color w:val="auto"/>
          <w:sz w:val="24"/>
          <w:szCs w:val="24"/>
          <w:lang w:val="pt-PT"/>
        </w:rPr>
        <w:t>su</w:t>
      </w:r>
      <w:r w:rsidRPr="003A1174">
        <w:rPr>
          <w:rFonts w:ascii="Garamond" w:hAnsi="Garamond" w:cs="Arial"/>
          <w:color w:val="auto"/>
          <w:sz w:val="24"/>
          <w:szCs w:val="24"/>
          <w:lang w:val="pt-PT"/>
        </w:rPr>
        <w:t>a</w:t>
      </w:r>
      <w:r w:rsidR="00341F33" w:rsidRPr="003A1174">
        <w:rPr>
          <w:rFonts w:ascii="Garamond" w:hAnsi="Garamond" w:cs="Arial"/>
          <w:color w:val="auto"/>
          <w:sz w:val="24"/>
          <w:szCs w:val="24"/>
          <w:lang w:val="pt-PT"/>
        </w:rPr>
        <w:t xml:space="preserve"> </w:t>
      </w:r>
      <w:r w:rsidR="0096583F" w:rsidRPr="003A1174">
        <w:rPr>
          <w:rFonts w:ascii="Garamond" w:hAnsi="Garamond" w:cs="Arial"/>
          <w:color w:val="auto"/>
          <w:sz w:val="24"/>
          <w:szCs w:val="24"/>
          <w:lang w:val="pt-PT"/>
        </w:rPr>
        <w:t>Procuradoria</w:t>
      </w:r>
      <w:r w:rsidR="00341F33"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341F33" w:rsidRPr="003A1174">
        <w:rPr>
          <w:rFonts w:ascii="Garamond" w:hAnsi="Garamond" w:cs="Arial"/>
          <w:color w:val="auto"/>
          <w:sz w:val="24"/>
          <w:szCs w:val="24"/>
          <w:lang w:val="pt-PT"/>
        </w:rPr>
        <w:t xml:space="preserve">s Humanos </w:t>
      </w:r>
      <w:r w:rsidR="009F23D7" w:rsidRPr="003A1174">
        <w:rPr>
          <w:rFonts w:ascii="Garamond" w:hAnsi="Garamond" w:cs="Arial"/>
          <w:color w:val="auto"/>
          <w:sz w:val="24"/>
          <w:szCs w:val="24"/>
          <w:lang w:val="pt-PT"/>
        </w:rPr>
        <w:t>subscreveu</w:t>
      </w:r>
      <w:r w:rsidR="002826EA">
        <w:rPr>
          <w:rFonts w:ascii="Garamond" w:hAnsi="Garamond" w:cs="Arial"/>
          <w:color w:val="auto"/>
          <w:sz w:val="24"/>
          <w:szCs w:val="24"/>
          <w:lang w:val="pt-PT"/>
        </w:rPr>
        <w:t>,</w:t>
      </w:r>
      <w:r w:rsidR="00341F33"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m</w:t>
      </w:r>
      <w:r w:rsidR="00341F33" w:rsidRPr="003A1174">
        <w:rPr>
          <w:rFonts w:ascii="Garamond" w:hAnsi="Garamond" w:cs="Arial"/>
          <w:color w:val="auto"/>
          <w:sz w:val="24"/>
          <w:szCs w:val="24"/>
          <w:lang w:val="pt-PT"/>
        </w:rPr>
        <w:t xml:space="preserve"> diversas entidades esta</w:t>
      </w:r>
      <w:r w:rsidR="002F319E" w:rsidRPr="003A1174">
        <w:rPr>
          <w:rFonts w:ascii="Garamond" w:hAnsi="Garamond" w:cs="Arial"/>
          <w:color w:val="auto"/>
          <w:sz w:val="24"/>
          <w:szCs w:val="24"/>
          <w:lang w:val="pt-PT"/>
        </w:rPr>
        <w:t>tais</w:t>
      </w:r>
      <w:r w:rsidR="002826EA">
        <w:rPr>
          <w:rFonts w:ascii="Garamond" w:hAnsi="Garamond" w:cs="Arial"/>
          <w:color w:val="auto"/>
          <w:sz w:val="24"/>
          <w:szCs w:val="24"/>
          <w:lang w:val="pt-PT"/>
        </w:rPr>
        <w:t>,</w:t>
      </w:r>
      <w:r w:rsidRPr="003A1174">
        <w:rPr>
          <w:rFonts w:ascii="Garamond" w:hAnsi="Garamond" w:cs="Arial"/>
          <w:color w:val="auto"/>
          <w:sz w:val="24"/>
          <w:szCs w:val="24"/>
          <w:lang w:val="pt-PT"/>
        </w:rPr>
        <w:t xml:space="preserve"> um Acordo</w:t>
      </w:r>
      <w:r w:rsidR="00341F33" w:rsidRPr="003A1174">
        <w:rPr>
          <w:rFonts w:ascii="Garamond" w:hAnsi="Garamond" w:cs="Arial"/>
          <w:color w:val="auto"/>
          <w:sz w:val="24"/>
          <w:szCs w:val="24"/>
          <w:lang w:val="pt-PT"/>
        </w:rPr>
        <w:t xml:space="preserve"> de bases de </w:t>
      </w:r>
      <w:r w:rsidR="00CA633E" w:rsidRPr="003A1174">
        <w:rPr>
          <w:rFonts w:ascii="Garamond" w:hAnsi="Garamond" w:cs="Arial"/>
          <w:color w:val="auto"/>
          <w:sz w:val="24"/>
          <w:szCs w:val="24"/>
          <w:lang w:val="pt-PT"/>
        </w:rPr>
        <w:t>colaboração</w:t>
      </w:r>
      <w:r w:rsidR="00341F33"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2470B1" w:rsidRPr="003A1174">
        <w:rPr>
          <w:rFonts w:ascii="Garamond" w:hAnsi="Garamond" w:cs="Arial"/>
          <w:color w:val="auto"/>
          <w:sz w:val="24"/>
          <w:szCs w:val="24"/>
          <w:lang w:val="pt-PT"/>
        </w:rPr>
        <w:t>coordenação</w:t>
      </w:r>
      <w:r w:rsidR="00341F33" w:rsidRPr="003A1174">
        <w:rPr>
          <w:rFonts w:ascii="Garamond" w:hAnsi="Garamond" w:cs="Arial"/>
          <w:color w:val="auto"/>
          <w:sz w:val="24"/>
          <w:szCs w:val="24"/>
          <w:lang w:val="pt-PT"/>
        </w:rPr>
        <w:t xml:space="preserve"> interinstitucional </w:t>
      </w:r>
      <w:r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341F33" w:rsidRPr="003A1174">
        <w:rPr>
          <w:rFonts w:ascii="Garamond" w:hAnsi="Garamond" w:cs="Arial"/>
          <w:color w:val="auto"/>
          <w:sz w:val="24"/>
          <w:szCs w:val="24"/>
          <w:lang w:val="pt-PT"/>
        </w:rPr>
        <w:t xml:space="preserve"> da </w:t>
      </w:r>
      <w:r w:rsidRPr="003A1174">
        <w:rPr>
          <w:rFonts w:ascii="Garamond" w:hAnsi="Garamond" w:cs="Arial"/>
          <w:color w:val="auto"/>
          <w:sz w:val="24"/>
          <w:szCs w:val="24"/>
          <w:lang w:val="pt-PT"/>
        </w:rPr>
        <w:t>Operação</w:t>
      </w:r>
      <w:r w:rsidR="00341F33"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341F33" w:rsidRPr="003A1174">
        <w:rPr>
          <w:rFonts w:ascii="Garamond" w:hAnsi="Garamond" w:cs="Arial"/>
          <w:color w:val="auto"/>
          <w:sz w:val="24"/>
          <w:szCs w:val="24"/>
          <w:lang w:val="pt-PT"/>
        </w:rPr>
        <w:t xml:space="preserve"> Centro de </w:t>
      </w:r>
      <w:r w:rsidR="00FC1F7F" w:rsidRPr="003A1174">
        <w:rPr>
          <w:rFonts w:ascii="Garamond" w:hAnsi="Garamond" w:cs="Arial"/>
          <w:color w:val="auto"/>
          <w:sz w:val="24"/>
          <w:szCs w:val="24"/>
          <w:lang w:val="pt-PT"/>
        </w:rPr>
        <w:t>Justiça</w:t>
      </w:r>
      <w:r w:rsidRPr="003A1174">
        <w:rPr>
          <w:rFonts w:ascii="Garamond" w:hAnsi="Garamond" w:cs="Arial"/>
          <w:color w:val="auto"/>
          <w:sz w:val="24"/>
          <w:szCs w:val="24"/>
          <w:lang w:val="pt-PT"/>
        </w:rPr>
        <w:t xml:space="preserve"> para </w:t>
      </w:r>
      <w:r w:rsidR="00341F33"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341F33" w:rsidRPr="003A1174">
        <w:rPr>
          <w:rFonts w:ascii="Garamond" w:hAnsi="Garamond" w:cs="Arial"/>
          <w:color w:val="auto"/>
          <w:sz w:val="24"/>
          <w:szCs w:val="24"/>
          <w:lang w:val="pt-PT"/>
        </w:rPr>
        <w:t xml:space="preserve"> Estado de Guanajuato</w:t>
      </w:r>
      <w:r w:rsidR="003C7CB4" w:rsidRPr="003A1174">
        <w:rPr>
          <w:rFonts w:ascii="Garamond" w:hAnsi="Garamond" w:cs="Arial"/>
          <w:color w:val="auto"/>
          <w:sz w:val="24"/>
          <w:szCs w:val="24"/>
          <w:lang w:val="pt-PT"/>
        </w:rPr>
        <w:t>,</w:t>
      </w:r>
      <w:r w:rsidR="00341F33"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 xml:space="preserve">tenta concentrar </w:t>
      </w:r>
      <w:r w:rsidR="00341F33" w:rsidRPr="003A1174">
        <w:rPr>
          <w:rFonts w:ascii="Garamond" w:hAnsi="Garamond" w:cs="Arial"/>
          <w:color w:val="auto"/>
          <w:sz w:val="24"/>
          <w:szCs w:val="24"/>
          <w:lang w:val="pt-PT"/>
        </w:rPr>
        <w:t xml:space="preserve">a </w:t>
      </w:r>
      <w:r w:rsidR="00462B11" w:rsidRPr="003A1174">
        <w:rPr>
          <w:rFonts w:ascii="Garamond" w:hAnsi="Garamond" w:cs="Arial"/>
          <w:color w:val="auto"/>
          <w:sz w:val="24"/>
          <w:szCs w:val="24"/>
          <w:lang w:val="pt-PT"/>
        </w:rPr>
        <w:t>prestação</w:t>
      </w:r>
      <w:r w:rsidR="00341F33"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341F33" w:rsidRPr="003A1174">
        <w:rPr>
          <w:rFonts w:ascii="Garamond" w:hAnsi="Garamond" w:cs="Arial"/>
          <w:color w:val="auto"/>
          <w:sz w:val="24"/>
          <w:szCs w:val="24"/>
          <w:lang w:val="pt-PT"/>
        </w:rPr>
        <w:t xml:space="preserve"> </w:t>
      </w:r>
      <w:r w:rsidR="00D4575C" w:rsidRPr="003A1174">
        <w:rPr>
          <w:rFonts w:ascii="Garamond" w:hAnsi="Garamond" w:cs="Arial"/>
          <w:color w:val="auto"/>
          <w:sz w:val="24"/>
          <w:szCs w:val="24"/>
          <w:lang w:val="pt-PT"/>
        </w:rPr>
        <w:t>gestão</w:t>
      </w:r>
      <w:r w:rsidR="00341F33"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341F33" w:rsidRPr="003A1174">
        <w:rPr>
          <w:rFonts w:ascii="Garamond" w:hAnsi="Garamond" w:cs="Arial"/>
          <w:color w:val="auto"/>
          <w:sz w:val="24"/>
          <w:szCs w:val="24"/>
          <w:lang w:val="pt-PT"/>
        </w:rPr>
        <w:t xml:space="preserve"> </w:t>
      </w:r>
      <w:r w:rsidR="00B531F2" w:rsidRPr="003A1174">
        <w:rPr>
          <w:rFonts w:ascii="Garamond" w:hAnsi="Garamond" w:cs="Arial"/>
          <w:color w:val="auto"/>
          <w:sz w:val="24"/>
          <w:szCs w:val="24"/>
          <w:lang w:val="pt-PT"/>
        </w:rPr>
        <w:t>serviço</w:t>
      </w:r>
      <w:r w:rsidR="00341F33" w:rsidRPr="003A1174">
        <w:rPr>
          <w:rFonts w:ascii="Garamond" w:hAnsi="Garamond" w:cs="Arial"/>
          <w:color w:val="auto"/>
          <w:sz w:val="24"/>
          <w:szCs w:val="24"/>
          <w:lang w:val="pt-PT"/>
        </w:rPr>
        <w:t>s que favore</w:t>
      </w:r>
      <w:r w:rsidRPr="003A1174">
        <w:rPr>
          <w:rFonts w:ascii="Garamond" w:hAnsi="Garamond" w:cs="Arial"/>
          <w:color w:val="auto"/>
          <w:sz w:val="24"/>
          <w:szCs w:val="24"/>
          <w:lang w:val="pt-PT"/>
        </w:rPr>
        <w:t xml:space="preserve">çam o </w:t>
      </w:r>
      <w:r w:rsidR="00886D6A" w:rsidRPr="003A1174">
        <w:rPr>
          <w:rFonts w:ascii="Garamond" w:hAnsi="Garamond" w:cs="Arial"/>
          <w:color w:val="auto"/>
          <w:sz w:val="24"/>
          <w:szCs w:val="24"/>
          <w:lang w:val="pt-PT"/>
        </w:rPr>
        <w:t>acesso</w:t>
      </w:r>
      <w:r w:rsidR="00341F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Pr="003A1174">
        <w:rPr>
          <w:rFonts w:ascii="Garamond" w:hAnsi="Garamond" w:cs="Arial"/>
          <w:color w:val="auto"/>
          <w:sz w:val="24"/>
          <w:szCs w:val="24"/>
          <w:lang w:val="pt-PT"/>
        </w:rPr>
        <w:t xml:space="preserve"> para </w:t>
      </w:r>
      <w:r w:rsidR="00341F33"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341F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as </w:t>
      </w:r>
      <w:r w:rsidR="00341F33" w:rsidRPr="003A1174">
        <w:rPr>
          <w:rFonts w:ascii="Garamond" w:hAnsi="Garamond" w:cs="Arial"/>
          <w:color w:val="auto"/>
          <w:sz w:val="24"/>
          <w:szCs w:val="24"/>
          <w:lang w:val="pt-PT"/>
        </w:rPr>
        <w:t>su</w:t>
      </w:r>
      <w:r w:rsidRPr="003A1174">
        <w:rPr>
          <w:rFonts w:ascii="Garamond" w:hAnsi="Garamond" w:cs="Arial"/>
          <w:color w:val="auto"/>
          <w:sz w:val="24"/>
          <w:szCs w:val="24"/>
          <w:lang w:val="pt-PT"/>
        </w:rPr>
        <w:t>a</w:t>
      </w:r>
      <w:r w:rsidR="00341F33" w:rsidRPr="003A1174">
        <w:rPr>
          <w:rFonts w:ascii="Garamond" w:hAnsi="Garamond" w:cs="Arial"/>
          <w:color w:val="auto"/>
          <w:sz w:val="24"/>
          <w:szCs w:val="24"/>
          <w:lang w:val="pt-PT"/>
        </w:rPr>
        <w:t xml:space="preserve">s </w:t>
      </w:r>
      <w:r w:rsidR="007A2492" w:rsidRPr="003A1174">
        <w:rPr>
          <w:rFonts w:ascii="Garamond" w:hAnsi="Garamond" w:cs="Arial"/>
          <w:color w:val="auto"/>
          <w:sz w:val="24"/>
          <w:szCs w:val="24"/>
          <w:lang w:val="pt-PT"/>
        </w:rPr>
        <w:t>filha</w:t>
      </w:r>
      <w:r w:rsidR="00341F33" w:rsidRPr="003A1174">
        <w:rPr>
          <w:rFonts w:ascii="Garamond" w:hAnsi="Garamond" w:cs="Arial"/>
          <w:color w:val="auto"/>
          <w:sz w:val="24"/>
          <w:szCs w:val="24"/>
          <w:lang w:val="pt-PT"/>
        </w:rPr>
        <w:t xml:space="preserve">s e </w:t>
      </w:r>
      <w:r w:rsidR="007A2492" w:rsidRPr="003A1174">
        <w:rPr>
          <w:rFonts w:ascii="Garamond" w:hAnsi="Garamond" w:cs="Arial"/>
          <w:color w:val="auto"/>
          <w:sz w:val="24"/>
          <w:szCs w:val="24"/>
          <w:lang w:val="pt-PT"/>
        </w:rPr>
        <w:t>filho</w:t>
      </w:r>
      <w:r w:rsidR="00341F33" w:rsidRPr="003A1174">
        <w:rPr>
          <w:rFonts w:ascii="Garamond" w:hAnsi="Garamond" w:cs="Arial"/>
          <w:color w:val="auto"/>
          <w:sz w:val="24"/>
          <w:szCs w:val="24"/>
          <w:lang w:val="pt-PT"/>
        </w:rPr>
        <w:t>s, e</w:t>
      </w:r>
      <w:r w:rsidRPr="003A1174">
        <w:rPr>
          <w:rFonts w:ascii="Garamond" w:hAnsi="Garamond" w:cs="Arial"/>
          <w:color w:val="auto"/>
          <w:sz w:val="24"/>
          <w:szCs w:val="24"/>
          <w:lang w:val="pt-PT"/>
        </w:rPr>
        <w:t xml:space="preserve">m </w:t>
      </w:r>
      <w:r w:rsidR="00152A44" w:rsidRPr="003A1174">
        <w:rPr>
          <w:rFonts w:ascii="Garamond" w:hAnsi="Garamond" w:cs="Arial"/>
          <w:color w:val="auto"/>
          <w:sz w:val="24"/>
          <w:szCs w:val="24"/>
          <w:lang w:val="pt-PT"/>
        </w:rPr>
        <w:t>relação</w:t>
      </w:r>
      <w:r w:rsidR="00341F33" w:rsidRPr="003A1174">
        <w:rPr>
          <w:rFonts w:ascii="Garamond" w:hAnsi="Garamond" w:cs="Arial"/>
          <w:color w:val="auto"/>
          <w:sz w:val="24"/>
          <w:szCs w:val="24"/>
          <w:lang w:val="pt-PT"/>
        </w:rPr>
        <w:t xml:space="preserve"> ao </w:t>
      </w:r>
      <w:r w:rsidR="003A391A" w:rsidRPr="003A1174">
        <w:rPr>
          <w:rFonts w:ascii="Garamond" w:hAnsi="Garamond" w:cs="Arial"/>
          <w:color w:val="auto"/>
          <w:sz w:val="24"/>
          <w:szCs w:val="24"/>
          <w:lang w:val="pt-PT"/>
        </w:rPr>
        <w:t>disposto</w:t>
      </w:r>
      <w:r w:rsidR="00341F33" w:rsidRPr="003A1174">
        <w:rPr>
          <w:rFonts w:ascii="Garamond" w:hAnsi="Garamond" w:cs="Arial"/>
          <w:color w:val="auto"/>
          <w:sz w:val="24"/>
          <w:szCs w:val="24"/>
          <w:lang w:val="pt-PT"/>
        </w:rPr>
        <w:t xml:space="preserve"> </w:t>
      </w:r>
      <w:r w:rsidR="00275092" w:rsidRPr="003A1174">
        <w:rPr>
          <w:rFonts w:ascii="Garamond" w:hAnsi="Garamond" w:cs="Arial"/>
          <w:color w:val="auto"/>
          <w:sz w:val="24"/>
          <w:szCs w:val="24"/>
          <w:lang w:val="pt-PT"/>
        </w:rPr>
        <w:t>pela</w:t>
      </w:r>
      <w:r w:rsidR="00341F33"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Lei</w:t>
      </w:r>
      <w:r w:rsidR="00341F33"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Acesso</w:t>
      </w:r>
      <w:r w:rsidR="00341F33"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341F33"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a um</w:t>
      </w:r>
      <w:r w:rsidR="00341F33" w:rsidRPr="003A1174">
        <w:rPr>
          <w:rFonts w:ascii="Garamond" w:hAnsi="Garamond" w:cs="Arial"/>
          <w:color w:val="auto"/>
          <w:sz w:val="24"/>
          <w:szCs w:val="24"/>
          <w:lang w:val="pt-PT"/>
        </w:rPr>
        <w:t xml:space="preserve">a Vida </w:t>
      </w:r>
      <w:r w:rsidR="00AF192F" w:rsidRPr="003A1174">
        <w:rPr>
          <w:rFonts w:ascii="Garamond" w:hAnsi="Garamond" w:cs="Arial"/>
          <w:color w:val="auto"/>
          <w:sz w:val="24"/>
          <w:szCs w:val="24"/>
          <w:lang w:val="pt-PT"/>
        </w:rPr>
        <w:t>Livre</w:t>
      </w:r>
      <w:r w:rsidR="00341F33"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341F33"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o </w:t>
      </w:r>
      <w:r w:rsidR="00341F33" w:rsidRPr="003A1174">
        <w:rPr>
          <w:rFonts w:ascii="Garamond" w:hAnsi="Garamond" w:cs="Arial"/>
          <w:color w:val="auto"/>
          <w:sz w:val="24"/>
          <w:szCs w:val="24"/>
          <w:lang w:val="pt-PT"/>
        </w:rPr>
        <w:t xml:space="preserve">Estado de Guanajuato, </w:t>
      </w:r>
      <w:r w:rsidR="00275092" w:rsidRPr="003A1174">
        <w:rPr>
          <w:rFonts w:ascii="Garamond" w:hAnsi="Garamond" w:cs="Arial"/>
          <w:color w:val="auto"/>
          <w:sz w:val="24"/>
          <w:szCs w:val="24"/>
          <w:lang w:val="pt-PT"/>
        </w:rPr>
        <w:t>pela</w:t>
      </w:r>
      <w:r w:rsidR="00341F33" w:rsidRPr="003A1174">
        <w:rPr>
          <w:rFonts w:ascii="Garamond" w:hAnsi="Garamond" w:cs="Arial"/>
          <w:color w:val="auto"/>
          <w:sz w:val="24"/>
          <w:szCs w:val="24"/>
          <w:lang w:val="pt-PT"/>
        </w:rPr>
        <w:t xml:space="preserve"> </w:t>
      </w:r>
      <w:r w:rsidR="002C7510" w:rsidRPr="003A1174">
        <w:rPr>
          <w:rFonts w:ascii="Garamond" w:hAnsi="Garamond" w:cs="Arial"/>
          <w:color w:val="auto"/>
          <w:sz w:val="24"/>
          <w:szCs w:val="24"/>
          <w:lang w:val="pt-PT"/>
        </w:rPr>
        <w:t>legislação</w:t>
      </w:r>
      <w:r w:rsidR="00341F33" w:rsidRPr="003A1174">
        <w:rPr>
          <w:rFonts w:ascii="Garamond" w:hAnsi="Garamond" w:cs="Arial"/>
          <w:color w:val="auto"/>
          <w:sz w:val="24"/>
          <w:szCs w:val="24"/>
          <w:lang w:val="pt-PT"/>
        </w:rPr>
        <w:t xml:space="preserve"> nacional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p</w:t>
      </w:r>
      <w:r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los tratados </w:t>
      </w:r>
      <w:r w:rsidR="00EF645F" w:rsidRPr="003A1174">
        <w:rPr>
          <w:rFonts w:ascii="Garamond" w:hAnsi="Garamond" w:cs="Arial"/>
          <w:color w:val="auto"/>
          <w:sz w:val="24"/>
          <w:szCs w:val="24"/>
          <w:lang w:val="pt-PT"/>
        </w:rPr>
        <w:t>internacionais</w:t>
      </w:r>
      <w:r w:rsidR="00341F33" w:rsidRPr="003A1174">
        <w:rPr>
          <w:rFonts w:ascii="Garamond" w:hAnsi="Garamond" w:cs="Arial"/>
          <w:color w:val="auto"/>
          <w:sz w:val="24"/>
          <w:szCs w:val="24"/>
          <w:lang w:val="pt-PT"/>
        </w:rPr>
        <w:t xml:space="preserve"> </w:t>
      </w:r>
      <w:r w:rsidR="00852CA5" w:rsidRPr="003A1174">
        <w:rPr>
          <w:rFonts w:ascii="Garamond" w:hAnsi="Garamond" w:cs="Arial"/>
          <w:color w:val="auto"/>
          <w:sz w:val="24"/>
          <w:szCs w:val="24"/>
          <w:lang w:val="pt-PT"/>
        </w:rPr>
        <w:t>aplicáveis</w:t>
      </w:r>
      <w:r w:rsidR="00341F33"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w:t>
      </w:r>
      <w:r w:rsidR="00341F33" w:rsidRPr="003A1174">
        <w:rPr>
          <w:rFonts w:ascii="Garamond" w:hAnsi="Garamond" w:cs="Arial"/>
          <w:color w:val="auto"/>
          <w:sz w:val="24"/>
          <w:szCs w:val="24"/>
          <w:lang w:val="pt-PT"/>
        </w:rPr>
        <w:t xml:space="preserve">a </w:t>
      </w:r>
      <w:r w:rsidR="00EF645F" w:rsidRPr="003A1174">
        <w:rPr>
          <w:rFonts w:ascii="Garamond" w:hAnsi="Garamond" w:cs="Arial"/>
          <w:color w:val="auto"/>
          <w:sz w:val="24"/>
          <w:szCs w:val="24"/>
          <w:lang w:val="pt-PT"/>
        </w:rPr>
        <w:t>matéria</w:t>
      </w:r>
      <w:r w:rsidR="00341F33" w:rsidRPr="003A1174">
        <w:rPr>
          <w:rFonts w:ascii="Garamond" w:hAnsi="Garamond" w:cs="Arial"/>
          <w:color w:val="auto"/>
          <w:sz w:val="24"/>
          <w:szCs w:val="24"/>
          <w:lang w:val="pt-PT"/>
        </w:rPr>
        <w:t xml:space="preserve">, de modo </w:t>
      </w:r>
      <w:r w:rsidRPr="003A1174">
        <w:rPr>
          <w:rFonts w:ascii="Garamond" w:hAnsi="Garamond" w:cs="Arial"/>
          <w:color w:val="auto"/>
          <w:sz w:val="24"/>
          <w:szCs w:val="24"/>
          <w:lang w:val="pt-PT"/>
        </w:rPr>
        <w:t>a proporcionar-</w:t>
      </w:r>
      <w:r w:rsidR="00341F33" w:rsidRPr="003A1174">
        <w:rPr>
          <w:rFonts w:ascii="Garamond" w:hAnsi="Garamond" w:cs="Arial"/>
          <w:color w:val="auto"/>
          <w:sz w:val="24"/>
          <w:szCs w:val="24"/>
          <w:lang w:val="pt-PT"/>
        </w:rPr>
        <w:t>l</w:t>
      </w:r>
      <w:r w:rsidRPr="003A1174">
        <w:rPr>
          <w:rFonts w:ascii="Garamond" w:hAnsi="Garamond" w:cs="Arial"/>
          <w:color w:val="auto"/>
          <w:sz w:val="24"/>
          <w:szCs w:val="24"/>
          <w:lang w:val="pt-PT"/>
        </w:rPr>
        <w:t>h</w:t>
      </w:r>
      <w:r w:rsidR="00341F33" w:rsidRPr="003A1174">
        <w:rPr>
          <w:rFonts w:ascii="Garamond" w:hAnsi="Garamond" w:cs="Arial"/>
          <w:color w:val="auto"/>
          <w:sz w:val="24"/>
          <w:szCs w:val="24"/>
          <w:lang w:val="pt-PT"/>
        </w:rPr>
        <w:t xml:space="preserve">es </w:t>
      </w:r>
      <w:r w:rsidR="003C7CB4" w:rsidRPr="003A1174">
        <w:rPr>
          <w:rFonts w:ascii="Garamond" w:hAnsi="Garamond" w:cs="Arial"/>
          <w:color w:val="auto"/>
          <w:sz w:val="24"/>
          <w:szCs w:val="24"/>
          <w:lang w:val="pt-PT"/>
        </w:rPr>
        <w:t xml:space="preserve">as </w:t>
      </w:r>
      <w:r w:rsidR="00D572A9" w:rsidRPr="003A1174">
        <w:rPr>
          <w:rFonts w:ascii="Garamond" w:hAnsi="Garamond" w:cs="Arial"/>
          <w:color w:val="auto"/>
          <w:sz w:val="24"/>
          <w:szCs w:val="24"/>
          <w:lang w:val="pt-PT"/>
        </w:rPr>
        <w:t>ferramenta</w:t>
      </w:r>
      <w:r w:rsidR="00341F33" w:rsidRPr="003A1174">
        <w:rPr>
          <w:rFonts w:ascii="Garamond" w:hAnsi="Garamond" w:cs="Arial"/>
          <w:color w:val="auto"/>
          <w:sz w:val="24"/>
          <w:szCs w:val="24"/>
          <w:lang w:val="pt-PT"/>
        </w:rPr>
        <w:t xml:space="preserve">s </w:t>
      </w:r>
      <w:r w:rsidR="007578C6" w:rsidRPr="003A1174">
        <w:rPr>
          <w:rFonts w:ascii="Garamond" w:hAnsi="Garamond" w:cs="Arial"/>
          <w:color w:val="auto"/>
          <w:sz w:val="24"/>
          <w:szCs w:val="24"/>
          <w:lang w:val="pt-PT"/>
        </w:rPr>
        <w:t>necessária</w:t>
      </w:r>
      <w:r w:rsidR="00341F33" w:rsidRPr="003A1174">
        <w:rPr>
          <w:rFonts w:ascii="Garamond" w:hAnsi="Garamond" w:cs="Arial"/>
          <w:color w:val="auto"/>
          <w:sz w:val="24"/>
          <w:szCs w:val="24"/>
          <w:lang w:val="pt-PT"/>
        </w:rPr>
        <w:t xml:space="preserve">s para </w:t>
      </w:r>
      <w:r w:rsidR="00AC3351" w:rsidRPr="003A1174">
        <w:rPr>
          <w:rFonts w:ascii="Garamond" w:hAnsi="Garamond" w:cs="Arial"/>
          <w:color w:val="auto"/>
          <w:sz w:val="24"/>
          <w:szCs w:val="24"/>
          <w:lang w:val="pt-PT"/>
        </w:rPr>
        <w:t>viver</w:t>
      </w:r>
      <w:r w:rsidRPr="003A1174">
        <w:rPr>
          <w:rFonts w:ascii="Garamond" w:hAnsi="Garamond" w:cs="Arial"/>
          <w:color w:val="auto"/>
          <w:sz w:val="24"/>
          <w:szCs w:val="24"/>
          <w:lang w:val="pt-PT"/>
        </w:rPr>
        <w:t>em</w:t>
      </w:r>
      <w:r w:rsidR="00341F33"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livre</w:t>
      </w:r>
      <w:r w:rsidR="00341F33"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341F33"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341F33" w:rsidRPr="003A1174">
        <w:rPr>
          <w:rFonts w:ascii="Garamond" w:hAnsi="Garamond" w:cs="Arial"/>
          <w:color w:val="auto"/>
          <w:sz w:val="24"/>
          <w:szCs w:val="24"/>
          <w:lang w:val="pt-PT"/>
        </w:rPr>
        <w:t xml:space="preserve"> </w:t>
      </w:r>
      <w:r w:rsidR="00BD6A0C" w:rsidRPr="00163A24">
        <w:rPr>
          <w:rFonts w:ascii="Garamond" w:hAnsi="Garamond" w:cs="Arial"/>
          <w:color w:val="auto"/>
          <w:sz w:val="24"/>
          <w:szCs w:val="24"/>
          <w:lang w:val="pt-PT"/>
        </w:rPr>
        <w:t>executa</w:t>
      </w:r>
      <w:r w:rsidR="00341F33" w:rsidRPr="00163A24">
        <w:rPr>
          <w:rFonts w:ascii="Garamond" w:hAnsi="Garamond" w:cs="Arial"/>
          <w:color w:val="auto"/>
          <w:sz w:val="24"/>
          <w:szCs w:val="24"/>
          <w:lang w:val="pt-PT"/>
        </w:rPr>
        <w:t>r</w:t>
      </w:r>
      <w:r w:rsidRPr="00163A24">
        <w:rPr>
          <w:rFonts w:ascii="Garamond" w:hAnsi="Garamond" w:cs="Arial"/>
          <w:color w:val="auto"/>
          <w:sz w:val="24"/>
          <w:szCs w:val="24"/>
          <w:lang w:val="pt-PT"/>
        </w:rPr>
        <w:t xml:space="preserve">em o </w:t>
      </w:r>
      <w:r w:rsidR="00341F33" w:rsidRPr="00163A24">
        <w:rPr>
          <w:rFonts w:ascii="Garamond" w:hAnsi="Garamond" w:cs="Arial"/>
          <w:color w:val="auto"/>
          <w:sz w:val="24"/>
          <w:szCs w:val="24"/>
          <w:lang w:val="pt-PT"/>
        </w:rPr>
        <w:t>s</w:t>
      </w:r>
      <w:r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 xml:space="preserve">u </w:t>
      </w:r>
      <w:r w:rsidR="00C30647" w:rsidRPr="00163A24">
        <w:rPr>
          <w:rFonts w:ascii="Garamond" w:hAnsi="Garamond" w:cs="Arial"/>
          <w:color w:val="auto"/>
          <w:sz w:val="24"/>
          <w:szCs w:val="24"/>
          <w:lang w:val="pt-PT"/>
        </w:rPr>
        <w:t>projeto</w:t>
      </w:r>
      <w:r w:rsidR="00341F33" w:rsidRPr="00163A24">
        <w:rPr>
          <w:rFonts w:ascii="Garamond" w:hAnsi="Garamond" w:cs="Arial"/>
          <w:color w:val="auto"/>
          <w:sz w:val="24"/>
          <w:szCs w:val="24"/>
          <w:lang w:val="pt-PT"/>
        </w:rPr>
        <w:t xml:space="preserve"> de vida. </w:t>
      </w:r>
    </w:p>
    <w:p w:rsidR="00341F33" w:rsidRPr="00163A24" w:rsidRDefault="009024A0" w:rsidP="008719D4">
      <w:pPr>
        <w:pStyle w:val="Cuerpo"/>
        <w:jc w:val="both"/>
        <w:rPr>
          <w:rFonts w:ascii="Garamond" w:eastAsia="Arial" w:hAnsi="Garamond" w:cs="Arial"/>
          <w:color w:val="auto"/>
          <w:sz w:val="24"/>
          <w:szCs w:val="24"/>
          <w:lang w:val="pt-PT"/>
        </w:rPr>
      </w:pPr>
      <w:r w:rsidRPr="00163A24">
        <w:rPr>
          <w:rFonts w:ascii="Garamond" w:hAnsi="Garamond" w:cs="Arial"/>
          <w:color w:val="auto"/>
          <w:sz w:val="24"/>
          <w:szCs w:val="24"/>
          <w:lang w:val="pt-PT"/>
        </w:rPr>
        <w:t>No</w:t>
      </w:r>
      <w:r w:rsidR="00341F33" w:rsidRPr="00163A24">
        <w:rPr>
          <w:rFonts w:ascii="Garamond" w:hAnsi="Garamond" w:cs="Arial"/>
          <w:color w:val="auto"/>
          <w:sz w:val="24"/>
          <w:szCs w:val="24"/>
          <w:lang w:val="pt-PT"/>
        </w:rPr>
        <w:t xml:space="preserve"> </w:t>
      </w:r>
      <w:r w:rsidR="003A391A" w:rsidRPr="00163A24">
        <w:rPr>
          <w:rFonts w:ascii="Garamond" w:hAnsi="Garamond" w:cs="Arial"/>
          <w:color w:val="auto"/>
          <w:sz w:val="24"/>
          <w:szCs w:val="24"/>
          <w:lang w:val="pt-PT"/>
        </w:rPr>
        <w:t>mês</w:t>
      </w:r>
      <w:r w:rsidR="00341F33" w:rsidRPr="00163A24">
        <w:rPr>
          <w:rFonts w:ascii="Garamond" w:hAnsi="Garamond" w:cs="Arial"/>
          <w:color w:val="auto"/>
          <w:sz w:val="24"/>
          <w:szCs w:val="24"/>
          <w:lang w:val="pt-PT"/>
        </w:rPr>
        <w:t xml:space="preserve"> de </w:t>
      </w:r>
      <w:r w:rsidR="00497503" w:rsidRPr="00163A24">
        <w:rPr>
          <w:rFonts w:ascii="Garamond" w:hAnsi="Garamond" w:cs="Arial"/>
          <w:color w:val="auto"/>
          <w:sz w:val="24"/>
          <w:szCs w:val="24"/>
          <w:lang w:val="pt-PT"/>
        </w:rPr>
        <w:t>fevereiro</w:t>
      </w:r>
      <w:r w:rsidR="00341F33" w:rsidRPr="00163A24">
        <w:rPr>
          <w:rFonts w:ascii="Garamond" w:hAnsi="Garamond" w:cs="Arial"/>
          <w:color w:val="auto"/>
          <w:sz w:val="24"/>
          <w:szCs w:val="24"/>
          <w:lang w:val="pt-PT"/>
        </w:rPr>
        <w:t xml:space="preserve"> de 2014, </w:t>
      </w:r>
      <w:r w:rsidRPr="00163A24">
        <w:rPr>
          <w:rFonts w:ascii="Garamond" w:hAnsi="Garamond" w:cs="Arial"/>
          <w:color w:val="auto"/>
          <w:sz w:val="24"/>
          <w:szCs w:val="24"/>
          <w:lang w:val="pt-PT"/>
        </w:rPr>
        <w:t xml:space="preserve">o </w:t>
      </w:r>
      <w:r w:rsidR="006506C6" w:rsidRPr="00163A24">
        <w:rPr>
          <w:rFonts w:ascii="Garamond" w:hAnsi="Garamond" w:cs="Arial"/>
          <w:color w:val="auto"/>
          <w:sz w:val="24"/>
          <w:szCs w:val="24"/>
          <w:lang w:val="pt-PT"/>
        </w:rPr>
        <w:t>Governo</w:t>
      </w:r>
      <w:r w:rsidR="00341F33" w:rsidRPr="00163A24">
        <w:rPr>
          <w:rFonts w:ascii="Garamond" w:hAnsi="Garamond" w:cs="Arial"/>
          <w:color w:val="auto"/>
          <w:sz w:val="24"/>
          <w:szCs w:val="24"/>
          <w:lang w:val="pt-PT"/>
        </w:rPr>
        <w:t xml:space="preserve"> </w:t>
      </w:r>
      <w:r w:rsidR="00E85E59" w:rsidRPr="00163A24">
        <w:rPr>
          <w:rFonts w:ascii="Garamond" w:hAnsi="Garamond" w:cs="Arial"/>
          <w:color w:val="auto"/>
          <w:sz w:val="24"/>
          <w:szCs w:val="24"/>
          <w:lang w:val="pt-PT"/>
        </w:rPr>
        <w:t>do</w:t>
      </w:r>
      <w:r w:rsidR="00341F33" w:rsidRPr="00163A24">
        <w:rPr>
          <w:rFonts w:ascii="Garamond" w:hAnsi="Garamond" w:cs="Arial"/>
          <w:color w:val="auto"/>
          <w:sz w:val="24"/>
          <w:szCs w:val="24"/>
          <w:lang w:val="pt-PT"/>
        </w:rPr>
        <w:t xml:space="preserve"> </w:t>
      </w:r>
      <w:r w:rsidR="003C7CB4"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 xml:space="preserve">stado </w:t>
      </w:r>
      <w:r w:rsidR="000672E8"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 xml:space="preserve"> </w:t>
      </w:r>
      <w:r w:rsidRPr="00163A24">
        <w:rPr>
          <w:rFonts w:ascii="Garamond" w:hAnsi="Garamond" w:cs="Arial"/>
          <w:color w:val="auto"/>
          <w:sz w:val="24"/>
          <w:szCs w:val="24"/>
          <w:lang w:val="pt-PT"/>
        </w:rPr>
        <w:t xml:space="preserve">o </w:t>
      </w:r>
      <w:r w:rsidR="00341F33" w:rsidRPr="00163A24">
        <w:rPr>
          <w:rFonts w:ascii="Garamond" w:hAnsi="Garamond" w:cs="Arial"/>
          <w:color w:val="auto"/>
          <w:sz w:val="24"/>
          <w:szCs w:val="24"/>
          <w:lang w:val="pt-PT"/>
        </w:rPr>
        <w:t xml:space="preserve">Programa </w:t>
      </w:r>
      <w:r w:rsidR="00497503" w:rsidRPr="00163A24">
        <w:rPr>
          <w:rFonts w:ascii="Garamond" w:hAnsi="Garamond" w:cs="Arial"/>
          <w:color w:val="auto"/>
          <w:sz w:val="24"/>
          <w:szCs w:val="24"/>
          <w:lang w:val="pt-PT"/>
        </w:rPr>
        <w:t>das</w:t>
      </w:r>
      <w:r w:rsidR="00341F33" w:rsidRPr="00163A24">
        <w:rPr>
          <w:rFonts w:ascii="Garamond" w:hAnsi="Garamond" w:cs="Arial"/>
          <w:color w:val="auto"/>
          <w:sz w:val="24"/>
          <w:szCs w:val="24"/>
          <w:lang w:val="pt-PT"/>
        </w:rPr>
        <w:t xml:space="preserve"> </w:t>
      </w:r>
      <w:r w:rsidR="003F012B" w:rsidRPr="00163A24">
        <w:rPr>
          <w:rFonts w:ascii="Garamond" w:hAnsi="Garamond" w:cs="Arial"/>
          <w:color w:val="auto"/>
          <w:sz w:val="24"/>
          <w:szCs w:val="24"/>
          <w:lang w:val="pt-PT"/>
        </w:rPr>
        <w:t>Nações</w:t>
      </w:r>
      <w:r w:rsidR="00341F33" w:rsidRPr="00163A24">
        <w:rPr>
          <w:rFonts w:ascii="Garamond" w:hAnsi="Garamond" w:cs="Arial"/>
          <w:color w:val="auto"/>
          <w:sz w:val="24"/>
          <w:szCs w:val="24"/>
          <w:lang w:val="pt-PT"/>
        </w:rPr>
        <w:t xml:space="preserve"> Unidas para </w:t>
      </w:r>
      <w:r w:rsidRPr="00163A24">
        <w:rPr>
          <w:rFonts w:ascii="Garamond" w:hAnsi="Garamond" w:cs="Arial"/>
          <w:color w:val="auto"/>
          <w:sz w:val="24"/>
          <w:szCs w:val="24"/>
          <w:lang w:val="pt-PT"/>
        </w:rPr>
        <w:t xml:space="preserve">o </w:t>
      </w:r>
      <w:r w:rsidR="009B133A" w:rsidRPr="00163A24">
        <w:rPr>
          <w:rFonts w:ascii="Garamond" w:hAnsi="Garamond" w:cs="Arial"/>
          <w:color w:val="auto"/>
          <w:sz w:val="24"/>
          <w:szCs w:val="24"/>
          <w:lang w:val="pt-PT"/>
        </w:rPr>
        <w:t>Desenvolvimento</w:t>
      </w:r>
      <w:r w:rsidR="00341F33" w:rsidRPr="00163A24">
        <w:rPr>
          <w:rFonts w:ascii="Garamond" w:hAnsi="Garamond" w:cs="Arial"/>
          <w:color w:val="auto"/>
          <w:sz w:val="24"/>
          <w:szCs w:val="24"/>
          <w:lang w:val="pt-PT"/>
        </w:rPr>
        <w:t xml:space="preserve"> </w:t>
      </w:r>
      <w:r w:rsidRPr="00163A24">
        <w:rPr>
          <w:rFonts w:ascii="Garamond" w:hAnsi="Garamond" w:cs="Arial"/>
          <w:color w:val="auto"/>
          <w:sz w:val="24"/>
          <w:szCs w:val="24"/>
          <w:lang w:val="pt-PT"/>
        </w:rPr>
        <w:t>assinaram um acordo</w:t>
      </w:r>
      <w:r w:rsidR="00341F33" w:rsidRPr="00163A24">
        <w:rPr>
          <w:rFonts w:ascii="Garamond" w:hAnsi="Garamond" w:cs="Arial"/>
          <w:color w:val="auto"/>
          <w:sz w:val="24"/>
          <w:szCs w:val="24"/>
          <w:lang w:val="pt-PT"/>
        </w:rPr>
        <w:t xml:space="preserve"> de </w:t>
      </w:r>
      <w:r w:rsidR="00CA633E" w:rsidRPr="00163A24">
        <w:rPr>
          <w:rFonts w:ascii="Garamond" w:hAnsi="Garamond" w:cs="Arial"/>
          <w:color w:val="auto"/>
          <w:sz w:val="24"/>
          <w:szCs w:val="24"/>
          <w:lang w:val="pt-PT"/>
        </w:rPr>
        <w:t>colaboração</w:t>
      </w:r>
      <w:r w:rsidR="00341F33" w:rsidRPr="00163A24">
        <w:rPr>
          <w:rFonts w:ascii="Garamond" w:hAnsi="Garamond" w:cs="Arial"/>
          <w:color w:val="auto"/>
          <w:sz w:val="24"/>
          <w:szCs w:val="24"/>
          <w:lang w:val="pt-PT"/>
        </w:rPr>
        <w:t xml:space="preserve"> para unir </w:t>
      </w:r>
      <w:r w:rsidR="00C30647" w:rsidRPr="00163A24">
        <w:rPr>
          <w:rFonts w:ascii="Garamond" w:hAnsi="Garamond" w:cs="Arial"/>
          <w:color w:val="auto"/>
          <w:sz w:val="24"/>
          <w:szCs w:val="24"/>
          <w:lang w:val="pt-PT"/>
        </w:rPr>
        <w:t>esforço</w:t>
      </w:r>
      <w:r w:rsidR="00341F33" w:rsidRPr="00163A24">
        <w:rPr>
          <w:rFonts w:ascii="Garamond" w:hAnsi="Garamond" w:cs="Arial"/>
          <w:color w:val="auto"/>
          <w:sz w:val="24"/>
          <w:szCs w:val="24"/>
          <w:lang w:val="pt-PT"/>
        </w:rPr>
        <w:t>s</w:t>
      </w:r>
      <w:r w:rsidRPr="00163A24">
        <w:rPr>
          <w:rFonts w:ascii="Garamond" w:hAnsi="Garamond" w:cs="Arial"/>
          <w:color w:val="auto"/>
          <w:sz w:val="24"/>
          <w:szCs w:val="24"/>
          <w:lang w:val="pt-PT"/>
        </w:rPr>
        <w:t xml:space="preserve"> no sentido de </w:t>
      </w:r>
      <w:r w:rsidR="00341F33" w:rsidRPr="00163A24">
        <w:rPr>
          <w:rFonts w:ascii="Garamond" w:hAnsi="Garamond" w:cs="Arial"/>
          <w:color w:val="auto"/>
          <w:sz w:val="24"/>
          <w:szCs w:val="24"/>
          <w:lang w:val="pt-PT"/>
        </w:rPr>
        <w:t>impuls</w:t>
      </w:r>
      <w:r w:rsidRPr="00163A24">
        <w:rPr>
          <w:rFonts w:ascii="Garamond" w:hAnsi="Garamond" w:cs="Arial"/>
          <w:color w:val="auto"/>
          <w:sz w:val="24"/>
          <w:szCs w:val="24"/>
          <w:lang w:val="pt-PT"/>
        </w:rPr>
        <w:t xml:space="preserve">ionar </w:t>
      </w:r>
      <w:r w:rsidR="00341F33" w:rsidRPr="00163A24">
        <w:rPr>
          <w:rFonts w:ascii="Garamond" w:hAnsi="Garamond" w:cs="Arial"/>
          <w:color w:val="auto"/>
          <w:sz w:val="24"/>
          <w:szCs w:val="24"/>
          <w:lang w:val="pt-PT"/>
        </w:rPr>
        <w:t xml:space="preserve">políticas públicas </w:t>
      </w:r>
      <w:r w:rsidR="00501083" w:rsidRPr="00163A24">
        <w:rPr>
          <w:rFonts w:ascii="Garamond" w:hAnsi="Garamond" w:cs="Arial"/>
          <w:color w:val="auto"/>
          <w:sz w:val="24"/>
          <w:szCs w:val="24"/>
          <w:lang w:val="pt-PT"/>
        </w:rPr>
        <w:t>integrais</w:t>
      </w:r>
      <w:r w:rsidR="00341F33" w:rsidRPr="00163A24">
        <w:rPr>
          <w:rFonts w:ascii="Garamond" w:hAnsi="Garamond" w:cs="Arial"/>
          <w:color w:val="auto"/>
          <w:sz w:val="24"/>
          <w:szCs w:val="24"/>
          <w:lang w:val="pt-PT"/>
        </w:rPr>
        <w:t xml:space="preserve"> que garant</w:t>
      </w:r>
      <w:r w:rsidRPr="00163A24">
        <w:rPr>
          <w:rFonts w:ascii="Garamond" w:hAnsi="Garamond" w:cs="Arial"/>
          <w:color w:val="auto"/>
          <w:sz w:val="24"/>
          <w:szCs w:val="24"/>
          <w:lang w:val="pt-PT"/>
        </w:rPr>
        <w:t xml:space="preserve">am o </w:t>
      </w:r>
      <w:r w:rsidR="00886D6A" w:rsidRPr="00163A24">
        <w:rPr>
          <w:rFonts w:ascii="Garamond" w:hAnsi="Garamond" w:cs="Arial"/>
          <w:color w:val="auto"/>
          <w:sz w:val="24"/>
          <w:szCs w:val="24"/>
          <w:lang w:val="pt-PT"/>
        </w:rPr>
        <w:t>direito</w:t>
      </w:r>
      <w:r w:rsidR="00341F33" w:rsidRPr="00163A24">
        <w:rPr>
          <w:rFonts w:ascii="Garamond" w:hAnsi="Garamond" w:cs="Arial"/>
          <w:color w:val="auto"/>
          <w:sz w:val="24"/>
          <w:szCs w:val="24"/>
          <w:lang w:val="pt-PT"/>
        </w:rPr>
        <w:t xml:space="preserve"> </w:t>
      </w:r>
      <w:r w:rsidR="00497503" w:rsidRPr="00163A24">
        <w:rPr>
          <w:rFonts w:ascii="Garamond" w:hAnsi="Garamond" w:cs="Arial"/>
          <w:color w:val="auto"/>
          <w:sz w:val="24"/>
          <w:szCs w:val="24"/>
          <w:lang w:val="pt-PT"/>
        </w:rPr>
        <w:t>das</w:t>
      </w:r>
      <w:r w:rsidR="00341F33" w:rsidRPr="00163A24">
        <w:rPr>
          <w:rFonts w:ascii="Garamond" w:hAnsi="Garamond" w:cs="Arial"/>
          <w:color w:val="auto"/>
          <w:sz w:val="24"/>
          <w:szCs w:val="24"/>
          <w:lang w:val="pt-PT"/>
        </w:rPr>
        <w:t xml:space="preserve"> </w:t>
      </w:r>
      <w:r w:rsidR="00054EE0" w:rsidRPr="00163A24">
        <w:rPr>
          <w:rFonts w:ascii="Garamond" w:hAnsi="Garamond" w:cs="Arial"/>
          <w:color w:val="auto"/>
          <w:sz w:val="24"/>
          <w:szCs w:val="24"/>
          <w:lang w:val="pt-PT"/>
        </w:rPr>
        <w:t>mulheres</w:t>
      </w:r>
      <w:r w:rsidRPr="00163A24">
        <w:rPr>
          <w:rFonts w:ascii="Garamond" w:hAnsi="Garamond" w:cs="Arial"/>
          <w:color w:val="auto"/>
          <w:sz w:val="24"/>
          <w:szCs w:val="24"/>
          <w:lang w:val="pt-PT"/>
        </w:rPr>
        <w:t xml:space="preserve"> a um</w:t>
      </w:r>
      <w:r w:rsidR="00341F33" w:rsidRPr="00163A24">
        <w:rPr>
          <w:rFonts w:ascii="Garamond" w:hAnsi="Garamond" w:cs="Arial"/>
          <w:color w:val="auto"/>
          <w:sz w:val="24"/>
          <w:szCs w:val="24"/>
          <w:lang w:val="pt-PT"/>
        </w:rPr>
        <w:t xml:space="preserve">a vida </w:t>
      </w:r>
      <w:r w:rsidR="00AF192F" w:rsidRPr="00163A24">
        <w:rPr>
          <w:rFonts w:ascii="Garamond" w:hAnsi="Garamond" w:cs="Arial"/>
          <w:color w:val="auto"/>
          <w:sz w:val="24"/>
          <w:szCs w:val="24"/>
          <w:lang w:val="pt-PT"/>
        </w:rPr>
        <w:t>livre</w:t>
      </w:r>
      <w:r w:rsidR="00341F33" w:rsidRPr="00163A24">
        <w:rPr>
          <w:rFonts w:ascii="Garamond" w:hAnsi="Garamond" w:cs="Arial"/>
          <w:color w:val="auto"/>
          <w:sz w:val="24"/>
          <w:szCs w:val="24"/>
          <w:lang w:val="pt-PT"/>
        </w:rPr>
        <w:t xml:space="preserve"> de </w:t>
      </w:r>
      <w:r w:rsidR="000350B1" w:rsidRPr="00163A24">
        <w:rPr>
          <w:rFonts w:ascii="Garamond" w:hAnsi="Garamond" w:cs="Arial"/>
          <w:color w:val="auto"/>
          <w:sz w:val="24"/>
          <w:szCs w:val="24"/>
          <w:lang w:val="pt-PT"/>
        </w:rPr>
        <w:t>violência</w:t>
      </w:r>
      <w:r w:rsidR="00341F33" w:rsidRPr="00163A24">
        <w:rPr>
          <w:rFonts w:ascii="Garamond" w:hAnsi="Garamond" w:cs="Arial"/>
          <w:color w:val="auto"/>
          <w:sz w:val="24"/>
          <w:szCs w:val="24"/>
          <w:lang w:val="pt-PT"/>
        </w:rPr>
        <w:t xml:space="preserve">. </w:t>
      </w:r>
      <w:r w:rsidRPr="00163A24">
        <w:rPr>
          <w:rFonts w:ascii="Garamond" w:hAnsi="Garamond" w:cs="Arial"/>
          <w:color w:val="auto"/>
          <w:sz w:val="24"/>
          <w:szCs w:val="24"/>
          <w:lang w:val="pt-PT"/>
        </w:rPr>
        <w:t xml:space="preserve">Entre </w:t>
      </w:r>
      <w:r w:rsidR="00341F33" w:rsidRPr="00163A24">
        <w:rPr>
          <w:rFonts w:ascii="Garamond" w:hAnsi="Garamond" w:cs="Arial"/>
          <w:color w:val="auto"/>
          <w:sz w:val="24"/>
          <w:szCs w:val="24"/>
          <w:lang w:val="pt-PT"/>
        </w:rPr>
        <w:t xml:space="preserve">as </w:t>
      </w:r>
      <w:r w:rsidR="002C7510" w:rsidRPr="00163A24">
        <w:rPr>
          <w:rFonts w:ascii="Garamond" w:hAnsi="Garamond" w:cs="Arial"/>
          <w:color w:val="auto"/>
          <w:sz w:val="24"/>
          <w:szCs w:val="24"/>
          <w:lang w:val="pt-PT"/>
        </w:rPr>
        <w:t>ações</w:t>
      </w:r>
      <w:r w:rsidR="00341F33" w:rsidRPr="00163A24">
        <w:rPr>
          <w:rFonts w:ascii="Garamond" w:hAnsi="Garamond" w:cs="Arial"/>
          <w:color w:val="auto"/>
          <w:sz w:val="24"/>
          <w:szCs w:val="24"/>
          <w:lang w:val="pt-PT"/>
        </w:rPr>
        <w:t xml:space="preserve"> a empr</w:t>
      </w:r>
      <w:r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ender</w:t>
      </w:r>
      <w:r w:rsidR="003C7CB4" w:rsidRPr="00163A24">
        <w:rPr>
          <w:rFonts w:ascii="Garamond" w:hAnsi="Garamond" w:cs="Arial"/>
          <w:color w:val="auto"/>
          <w:sz w:val="24"/>
          <w:szCs w:val="24"/>
          <w:lang w:val="pt-PT"/>
        </w:rPr>
        <w:t>,</w:t>
      </w:r>
      <w:r w:rsidR="00341F33" w:rsidRPr="00163A24">
        <w:rPr>
          <w:rFonts w:ascii="Garamond" w:hAnsi="Garamond" w:cs="Arial"/>
          <w:color w:val="auto"/>
          <w:sz w:val="24"/>
          <w:szCs w:val="24"/>
          <w:lang w:val="pt-PT"/>
        </w:rPr>
        <w:t xml:space="preserve"> </w:t>
      </w:r>
      <w:r w:rsidR="00152A44" w:rsidRPr="00163A24">
        <w:rPr>
          <w:rFonts w:ascii="Garamond" w:hAnsi="Garamond" w:cs="Arial"/>
          <w:color w:val="auto"/>
          <w:sz w:val="24"/>
          <w:szCs w:val="24"/>
          <w:lang w:val="pt-PT"/>
        </w:rPr>
        <w:t>inclui</w:t>
      </w:r>
      <w:r w:rsidRPr="00163A24">
        <w:rPr>
          <w:rFonts w:ascii="Garamond" w:hAnsi="Garamond" w:cs="Arial"/>
          <w:color w:val="auto"/>
          <w:sz w:val="24"/>
          <w:szCs w:val="24"/>
          <w:lang w:val="pt-PT"/>
        </w:rPr>
        <w:t xml:space="preserve">-se um diagnóstico sobre </w:t>
      </w:r>
      <w:r w:rsidR="00341F33" w:rsidRPr="00163A24">
        <w:rPr>
          <w:rFonts w:ascii="Garamond" w:hAnsi="Garamond" w:cs="Arial"/>
          <w:color w:val="auto"/>
          <w:sz w:val="24"/>
          <w:szCs w:val="24"/>
          <w:lang w:val="pt-PT"/>
        </w:rPr>
        <w:t>a</w:t>
      </w:r>
      <w:r w:rsidRPr="00163A24">
        <w:rPr>
          <w:rFonts w:ascii="Garamond" w:hAnsi="Garamond" w:cs="Arial"/>
          <w:color w:val="auto"/>
          <w:sz w:val="24"/>
          <w:szCs w:val="24"/>
          <w:lang w:val="pt-PT"/>
        </w:rPr>
        <w:t>s</w:t>
      </w:r>
      <w:r w:rsidR="00341F33" w:rsidRPr="00163A24">
        <w:rPr>
          <w:rFonts w:ascii="Garamond" w:hAnsi="Garamond" w:cs="Arial"/>
          <w:color w:val="auto"/>
          <w:sz w:val="24"/>
          <w:szCs w:val="24"/>
          <w:lang w:val="pt-PT"/>
        </w:rPr>
        <w:t xml:space="preserve"> norma</w:t>
      </w:r>
      <w:r w:rsidRPr="00163A24">
        <w:rPr>
          <w:rFonts w:ascii="Garamond" w:hAnsi="Garamond" w:cs="Arial"/>
          <w:color w:val="auto"/>
          <w:sz w:val="24"/>
          <w:szCs w:val="24"/>
          <w:lang w:val="pt-PT"/>
        </w:rPr>
        <w:t>s</w:t>
      </w:r>
      <w:r w:rsidR="00341F33" w:rsidRPr="00163A24">
        <w:rPr>
          <w:rFonts w:ascii="Garamond" w:hAnsi="Garamond" w:cs="Arial"/>
          <w:color w:val="auto"/>
          <w:sz w:val="24"/>
          <w:szCs w:val="24"/>
          <w:lang w:val="pt-PT"/>
        </w:rPr>
        <w:t xml:space="preserve">, programas </w:t>
      </w:r>
      <w:r w:rsidR="000672E8"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 xml:space="preserve"> transversalidad</w:t>
      </w:r>
      <w:r w:rsidRPr="00163A24">
        <w:rPr>
          <w:rFonts w:ascii="Garamond" w:hAnsi="Garamond" w:cs="Arial"/>
          <w:color w:val="auto"/>
          <w:sz w:val="24"/>
          <w:szCs w:val="24"/>
          <w:lang w:val="pt-PT"/>
        </w:rPr>
        <w:t>e</w:t>
      </w:r>
      <w:r w:rsidR="00341F33" w:rsidRPr="00163A24">
        <w:rPr>
          <w:rFonts w:ascii="Garamond" w:hAnsi="Garamond" w:cs="Arial"/>
          <w:color w:val="auto"/>
          <w:sz w:val="24"/>
          <w:szCs w:val="24"/>
          <w:lang w:val="pt-PT"/>
        </w:rPr>
        <w:t xml:space="preserve"> </w:t>
      </w:r>
      <w:r w:rsidR="00497503" w:rsidRPr="00163A24">
        <w:rPr>
          <w:rFonts w:ascii="Garamond" w:hAnsi="Garamond" w:cs="Arial"/>
          <w:color w:val="auto"/>
          <w:sz w:val="24"/>
          <w:szCs w:val="24"/>
          <w:lang w:val="pt-PT"/>
        </w:rPr>
        <w:t>das</w:t>
      </w:r>
      <w:r w:rsidR="00341F33" w:rsidRPr="00163A24">
        <w:rPr>
          <w:rFonts w:ascii="Garamond" w:hAnsi="Garamond" w:cs="Arial"/>
          <w:color w:val="auto"/>
          <w:sz w:val="24"/>
          <w:szCs w:val="24"/>
          <w:lang w:val="pt-PT"/>
        </w:rPr>
        <w:t xml:space="preserve"> políticas públicas relacionadas co</w:t>
      </w:r>
      <w:r w:rsidRPr="00163A24">
        <w:rPr>
          <w:rFonts w:ascii="Garamond" w:hAnsi="Garamond" w:cs="Arial"/>
          <w:color w:val="auto"/>
          <w:sz w:val="24"/>
          <w:szCs w:val="24"/>
          <w:lang w:val="pt-PT"/>
        </w:rPr>
        <w:t xml:space="preserve">m </w:t>
      </w:r>
      <w:r w:rsidR="00341F33" w:rsidRPr="00163A24">
        <w:rPr>
          <w:rFonts w:ascii="Garamond" w:hAnsi="Garamond" w:cs="Arial"/>
          <w:color w:val="auto"/>
          <w:sz w:val="24"/>
          <w:szCs w:val="24"/>
          <w:lang w:val="pt-PT"/>
        </w:rPr>
        <w:t xml:space="preserve">a </w:t>
      </w:r>
      <w:r w:rsidR="00EF645F" w:rsidRPr="00163A24">
        <w:rPr>
          <w:rFonts w:ascii="Garamond" w:hAnsi="Garamond" w:cs="Arial"/>
          <w:color w:val="auto"/>
          <w:sz w:val="24"/>
          <w:szCs w:val="24"/>
          <w:lang w:val="pt-PT"/>
        </w:rPr>
        <w:t>matéria</w:t>
      </w:r>
      <w:r w:rsidR="00341F33" w:rsidRPr="00163A24">
        <w:rPr>
          <w:rFonts w:ascii="Garamond" w:hAnsi="Garamond" w:cs="Arial"/>
          <w:color w:val="auto"/>
          <w:sz w:val="24"/>
          <w:szCs w:val="24"/>
          <w:lang w:val="pt-PT"/>
        </w:rPr>
        <w:t>.</w:t>
      </w:r>
    </w:p>
    <w:p w:rsidR="00341F33" w:rsidRPr="003069B4" w:rsidRDefault="009024A0" w:rsidP="008719D4">
      <w:pPr>
        <w:pStyle w:val="Cuerpo"/>
        <w:spacing w:before="240"/>
        <w:jc w:val="both"/>
        <w:rPr>
          <w:rFonts w:ascii="Garamond" w:eastAsia="Arial" w:hAnsi="Garamond" w:cs="Arial"/>
          <w:color w:val="auto"/>
          <w:sz w:val="24"/>
          <w:szCs w:val="24"/>
          <w:lang w:val="pt-PT"/>
        </w:rPr>
      </w:pPr>
      <w:r w:rsidRPr="003069B4">
        <w:rPr>
          <w:rFonts w:ascii="Garamond" w:hAnsi="Garamond" w:cs="Arial"/>
          <w:color w:val="auto"/>
          <w:sz w:val="24"/>
          <w:szCs w:val="24"/>
          <w:lang w:val="pt-PT"/>
        </w:rPr>
        <w:t xml:space="preserve">É importante salientar </w:t>
      </w:r>
      <w:r w:rsidR="00341F33" w:rsidRPr="003069B4">
        <w:rPr>
          <w:rFonts w:ascii="Garamond" w:hAnsi="Garamond" w:cs="Arial"/>
          <w:color w:val="auto"/>
          <w:sz w:val="24"/>
          <w:szCs w:val="24"/>
          <w:lang w:val="pt-PT"/>
        </w:rPr>
        <w:t>que</w:t>
      </w:r>
      <w:r w:rsidR="002F319E" w:rsidRPr="003069B4">
        <w:rPr>
          <w:rFonts w:ascii="Garamond" w:hAnsi="Garamond" w:cs="Arial"/>
          <w:color w:val="auto"/>
          <w:sz w:val="24"/>
          <w:szCs w:val="24"/>
          <w:lang w:val="pt-PT"/>
        </w:rPr>
        <w:t>,</w:t>
      </w:r>
      <w:r w:rsidR="00341F33" w:rsidRPr="003069B4">
        <w:rPr>
          <w:rFonts w:ascii="Garamond" w:hAnsi="Garamond" w:cs="Arial"/>
          <w:color w:val="auto"/>
          <w:sz w:val="24"/>
          <w:szCs w:val="24"/>
          <w:lang w:val="pt-PT"/>
        </w:rPr>
        <w:t xml:space="preserve"> durante 2013</w:t>
      </w:r>
      <w:r w:rsidR="002F319E" w:rsidRPr="003069B4">
        <w:rPr>
          <w:rFonts w:ascii="Garamond" w:hAnsi="Garamond" w:cs="Arial"/>
          <w:color w:val="auto"/>
          <w:sz w:val="24"/>
          <w:szCs w:val="24"/>
          <w:lang w:val="pt-PT"/>
        </w:rPr>
        <w:t>,</w:t>
      </w:r>
      <w:r w:rsidR="00341F33" w:rsidRPr="003069B4">
        <w:rPr>
          <w:rFonts w:ascii="Garamond" w:hAnsi="Garamond" w:cs="Arial"/>
          <w:color w:val="auto"/>
          <w:sz w:val="24"/>
          <w:szCs w:val="24"/>
          <w:lang w:val="pt-PT"/>
        </w:rPr>
        <w:t xml:space="preserve"> </w:t>
      </w:r>
      <w:r w:rsidRPr="003069B4">
        <w:rPr>
          <w:rFonts w:ascii="Garamond" w:hAnsi="Garamond" w:cs="Arial"/>
          <w:color w:val="auto"/>
          <w:sz w:val="24"/>
          <w:szCs w:val="24"/>
          <w:lang w:val="pt-PT"/>
        </w:rPr>
        <w:t xml:space="preserve">o </w:t>
      </w:r>
      <w:r w:rsidR="006506C6" w:rsidRPr="003069B4">
        <w:rPr>
          <w:rFonts w:ascii="Garamond" w:hAnsi="Garamond" w:cs="Arial"/>
          <w:color w:val="auto"/>
          <w:sz w:val="24"/>
          <w:szCs w:val="24"/>
          <w:lang w:val="pt-PT"/>
        </w:rPr>
        <w:t>Governo</w:t>
      </w:r>
      <w:r w:rsidR="00341F33" w:rsidRPr="003069B4">
        <w:rPr>
          <w:rFonts w:ascii="Garamond" w:hAnsi="Garamond" w:cs="Arial"/>
          <w:color w:val="auto"/>
          <w:sz w:val="24"/>
          <w:szCs w:val="24"/>
          <w:lang w:val="pt-PT"/>
        </w:rPr>
        <w:t xml:space="preserve"> </w:t>
      </w:r>
      <w:r w:rsidR="00E85E59" w:rsidRPr="003069B4">
        <w:rPr>
          <w:rFonts w:ascii="Garamond" w:hAnsi="Garamond" w:cs="Arial"/>
          <w:color w:val="auto"/>
          <w:sz w:val="24"/>
          <w:szCs w:val="24"/>
          <w:lang w:val="pt-PT"/>
        </w:rPr>
        <w:t>do</w:t>
      </w:r>
      <w:r w:rsidR="00341F33" w:rsidRPr="003069B4">
        <w:rPr>
          <w:rFonts w:ascii="Garamond" w:hAnsi="Garamond" w:cs="Arial"/>
          <w:color w:val="auto"/>
          <w:sz w:val="24"/>
          <w:szCs w:val="24"/>
          <w:lang w:val="pt-PT"/>
        </w:rPr>
        <w:t xml:space="preserve"> </w:t>
      </w:r>
      <w:r w:rsidR="003C7CB4" w:rsidRPr="003069B4">
        <w:rPr>
          <w:rFonts w:ascii="Garamond" w:hAnsi="Garamond" w:cs="Arial"/>
          <w:color w:val="auto"/>
          <w:sz w:val="24"/>
          <w:szCs w:val="24"/>
          <w:lang w:val="pt-PT"/>
        </w:rPr>
        <w:t>E</w:t>
      </w:r>
      <w:r w:rsidR="00341F33" w:rsidRPr="003069B4">
        <w:rPr>
          <w:rFonts w:ascii="Garamond" w:hAnsi="Garamond" w:cs="Arial"/>
          <w:color w:val="auto"/>
          <w:sz w:val="24"/>
          <w:szCs w:val="24"/>
          <w:lang w:val="pt-PT"/>
        </w:rPr>
        <w:t xml:space="preserve">stado </w:t>
      </w:r>
      <w:r w:rsidRPr="003069B4">
        <w:rPr>
          <w:rFonts w:ascii="Garamond" w:hAnsi="Garamond" w:cs="Arial"/>
          <w:color w:val="auto"/>
          <w:sz w:val="24"/>
          <w:szCs w:val="24"/>
          <w:lang w:val="pt-PT"/>
        </w:rPr>
        <w:t xml:space="preserve">começou a </w:t>
      </w:r>
      <w:r w:rsidR="00C031E1" w:rsidRPr="003069B4">
        <w:rPr>
          <w:rFonts w:ascii="Garamond" w:hAnsi="Garamond" w:cs="Arial"/>
          <w:color w:val="auto"/>
          <w:sz w:val="24"/>
          <w:szCs w:val="24"/>
          <w:lang w:val="pt-PT"/>
        </w:rPr>
        <w:t>d</w:t>
      </w:r>
      <w:r w:rsidRPr="003069B4">
        <w:rPr>
          <w:rFonts w:ascii="Garamond" w:hAnsi="Garamond" w:cs="Arial"/>
          <w:color w:val="auto"/>
          <w:sz w:val="24"/>
          <w:szCs w:val="24"/>
          <w:lang w:val="pt-PT"/>
        </w:rPr>
        <w:t xml:space="preserve">ifundir a </w:t>
      </w:r>
      <w:r w:rsidR="00A56F43" w:rsidRPr="003069B4">
        <w:rPr>
          <w:rFonts w:ascii="Garamond" w:hAnsi="Garamond" w:cs="Arial"/>
          <w:color w:val="auto"/>
          <w:sz w:val="24"/>
          <w:szCs w:val="24"/>
          <w:lang w:val="pt-PT"/>
        </w:rPr>
        <w:t>estratégia</w:t>
      </w:r>
      <w:r w:rsidR="00341F33" w:rsidRPr="003069B4">
        <w:rPr>
          <w:rFonts w:ascii="Garamond" w:hAnsi="Garamond" w:cs="Arial"/>
          <w:color w:val="auto"/>
          <w:sz w:val="24"/>
          <w:szCs w:val="24"/>
          <w:lang w:val="pt-PT"/>
        </w:rPr>
        <w:t xml:space="preserve"> </w:t>
      </w:r>
      <w:r w:rsidR="00B3766B" w:rsidRPr="003069B4">
        <w:rPr>
          <w:rFonts w:ascii="Garamond" w:hAnsi="Garamond" w:cs="Arial"/>
          <w:i/>
          <w:color w:val="auto"/>
          <w:sz w:val="24"/>
          <w:szCs w:val="24"/>
          <w:lang w:val="pt-PT"/>
        </w:rPr>
        <w:t>«</w:t>
      </w:r>
      <w:r w:rsidR="00341F33" w:rsidRPr="003069B4">
        <w:rPr>
          <w:rFonts w:ascii="Garamond" w:hAnsi="Garamond" w:cs="Arial"/>
          <w:i/>
          <w:color w:val="auto"/>
          <w:sz w:val="24"/>
          <w:szCs w:val="24"/>
          <w:lang w:val="pt-PT"/>
        </w:rPr>
        <w:t>Código Naranja</w:t>
      </w:r>
      <w:r w:rsidR="00B3766B" w:rsidRPr="003069B4">
        <w:rPr>
          <w:rFonts w:ascii="Garamond" w:hAnsi="Garamond" w:cs="Arial"/>
          <w:i/>
          <w:color w:val="auto"/>
          <w:sz w:val="24"/>
          <w:szCs w:val="24"/>
          <w:lang w:val="pt-PT"/>
        </w:rPr>
        <w:t>»</w:t>
      </w:r>
      <w:r w:rsidRPr="003069B4">
        <w:rPr>
          <w:rFonts w:ascii="Garamond" w:hAnsi="Garamond" w:cs="Arial"/>
          <w:color w:val="auto"/>
          <w:sz w:val="24"/>
          <w:szCs w:val="24"/>
          <w:lang w:val="pt-PT"/>
        </w:rPr>
        <w:t xml:space="preserve"> (Código Laranja)</w:t>
      </w:r>
      <w:r w:rsidR="00341F33" w:rsidRPr="003069B4">
        <w:rPr>
          <w:rFonts w:ascii="Garamond" w:hAnsi="Garamond" w:cs="Arial"/>
          <w:color w:val="auto"/>
          <w:sz w:val="24"/>
          <w:szCs w:val="24"/>
          <w:lang w:val="pt-PT"/>
        </w:rPr>
        <w:t xml:space="preserve">, como </w:t>
      </w:r>
      <w:r w:rsidR="00976FB8" w:rsidRPr="003069B4">
        <w:rPr>
          <w:rFonts w:ascii="Garamond" w:hAnsi="Garamond" w:cs="Arial"/>
          <w:color w:val="auto"/>
          <w:sz w:val="24"/>
          <w:szCs w:val="24"/>
          <w:lang w:val="pt-PT"/>
        </w:rPr>
        <w:t>eixo</w:t>
      </w:r>
      <w:r w:rsidR="00341F33" w:rsidRPr="003069B4">
        <w:rPr>
          <w:rFonts w:ascii="Garamond" w:hAnsi="Garamond" w:cs="Arial"/>
          <w:color w:val="auto"/>
          <w:sz w:val="24"/>
          <w:szCs w:val="24"/>
          <w:lang w:val="pt-PT"/>
        </w:rPr>
        <w:t xml:space="preserve"> articulador </w:t>
      </w:r>
      <w:r w:rsidR="00497503" w:rsidRPr="003069B4">
        <w:rPr>
          <w:rFonts w:ascii="Garamond" w:hAnsi="Garamond" w:cs="Arial"/>
          <w:color w:val="auto"/>
          <w:sz w:val="24"/>
          <w:szCs w:val="24"/>
          <w:lang w:val="pt-PT"/>
        </w:rPr>
        <w:t>dos</w:t>
      </w:r>
      <w:r w:rsidR="00341F33" w:rsidRPr="003069B4">
        <w:rPr>
          <w:rFonts w:ascii="Garamond" w:hAnsi="Garamond" w:cs="Arial"/>
          <w:color w:val="auto"/>
          <w:sz w:val="24"/>
          <w:szCs w:val="24"/>
          <w:lang w:val="pt-PT"/>
        </w:rPr>
        <w:t xml:space="preserve"> </w:t>
      </w:r>
      <w:r w:rsidR="00C30647" w:rsidRPr="003069B4">
        <w:rPr>
          <w:rFonts w:ascii="Garamond" w:hAnsi="Garamond" w:cs="Arial"/>
          <w:color w:val="auto"/>
          <w:sz w:val="24"/>
          <w:szCs w:val="24"/>
          <w:lang w:val="pt-PT"/>
        </w:rPr>
        <w:t>esforço</w:t>
      </w:r>
      <w:r w:rsidR="00341F33" w:rsidRPr="003069B4">
        <w:rPr>
          <w:rFonts w:ascii="Garamond" w:hAnsi="Garamond" w:cs="Arial"/>
          <w:color w:val="auto"/>
          <w:sz w:val="24"/>
          <w:szCs w:val="24"/>
          <w:lang w:val="pt-PT"/>
        </w:rPr>
        <w:t>s que des</w:t>
      </w:r>
      <w:r w:rsidRPr="003069B4">
        <w:rPr>
          <w:rFonts w:ascii="Garamond" w:hAnsi="Garamond" w:cs="Arial"/>
          <w:color w:val="auto"/>
          <w:sz w:val="24"/>
          <w:szCs w:val="24"/>
          <w:lang w:val="pt-PT"/>
        </w:rPr>
        <w:t xml:space="preserve">envolvem </w:t>
      </w:r>
      <w:r w:rsidR="00341F33" w:rsidRPr="003069B4">
        <w:rPr>
          <w:rFonts w:ascii="Garamond" w:hAnsi="Garamond" w:cs="Arial"/>
          <w:color w:val="auto"/>
          <w:sz w:val="24"/>
          <w:szCs w:val="24"/>
          <w:lang w:val="pt-PT"/>
        </w:rPr>
        <w:t>co</w:t>
      </w:r>
      <w:r w:rsidRPr="003069B4">
        <w:rPr>
          <w:rFonts w:ascii="Garamond" w:hAnsi="Garamond" w:cs="Arial"/>
          <w:color w:val="auto"/>
          <w:sz w:val="24"/>
          <w:szCs w:val="24"/>
          <w:lang w:val="pt-PT"/>
        </w:rPr>
        <w:t xml:space="preserve">m </w:t>
      </w:r>
      <w:r w:rsidR="00341F33" w:rsidRPr="003069B4">
        <w:rPr>
          <w:rFonts w:ascii="Garamond" w:hAnsi="Garamond" w:cs="Arial"/>
          <w:color w:val="auto"/>
          <w:sz w:val="24"/>
          <w:szCs w:val="24"/>
          <w:lang w:val="pt-PT"/>
        </w:rPr>
        <w:t xml:space="preserve">a </w:t>
      </w:r>
      <w:r w:rsidR="008E7A2A" w:rsidRPr="003069B4">
        <w:rPr>
          <w:rFonts w:ascii="Garamond" w:hAnsi="Garamond" w:cs="Arial"/>
          <w:color w:val="auto"/>
          <w:sz w:val="24"/>
          <w:szCs w:val="24"/>
          <w:lang w:val="pt-PT"/>
        </w:rPr>
        <w:t>Organização</w:t>
      </w:r>
      <w:r w:rsidR="00341F33" w:rsidRPr="003069B4">
        <w:rPr>
          <w:rFonts w:ascii="Garamond" w:hAnsi="Garamond" w:cs="Arial"/>
          <w:color w:val="auto"/>
          <w:sz w:val="24"/>
          <w:szCs w:val="24"/>
          <w:lang w:val="pt-PT"/>
        </w:rPr>
        <w:t xml:space="preserve"> d</w:t>
      </w:r>
      <w:r w:rsidRPr="003069B4">
        <w:rPr>
          <w:rFonts w:ascii="Garamond" w:hAnsi="Garamond" w:cs="Arial"/>
          <w:color w:val="auto"/>
          <w:sz w:val="24"/>
          <w:szCs w:val="24"/>
          <w:lang w:val="pt-PT"/>
        </w:rPr>
        <w:t xml:space="preserve">as </w:t>
      </w:r>
      <w:r w:rsidR="003F012B" w:rsidRPr="003069B4">
        <w:rPr>
          <w:rFonts w:ascii="Garamond" w:hAnsi="Garamond" w:cs="Arial"/>
          <w:color w:val="auto"/>
          <w:sz w:val="24"/>
          <w:szCs w:val="24"/>
          <w:lang w:val="pt-PT"/>
        </w:rPr>
        <w:t>Nações</w:t>
      </w:r>
      <w:r w:rsidR="00341F33" w:rsidRPr="003069B4">
        <w:rPr>
          <w:rFonts w:ascii="Garamond" w:hAnsi="Garamond" w:cs="Arial"/>
          <w:color w:val="auto"/>
          <w:sz w:val="24"/>
          <w:szCs w:val="24"/>
          <w:lang w:val="pt-PT"/>
        </w:rPr>
        <w:t xml:space="preserve"> Unidas</w:t>
      </w:r>
      <w:r w:rsidR="00163A24" w:rsidRPr="003069B4">
        <w:rPr>
          <w:rFonts w:ascii="Garamond" w:hAnsi="Garamond" w:cs="Arial"/>
          <w:color w:val="auto"/>
          <w:sz w:val="24"/>
          <w:szCs w:val="24"/>
          <w:lang w:val="pt-PT"/>
        </w:rPr>
        <w:t>,</w:t>
      </w:r>
      <w:r w:rsidR="00341F33" w:rsidRPr="003069B4">
        <w:rPr>
          <w:rFonts w:ascii="Garamond" w:hAnsi="Garamond" w:cs="Arial"/>
          <w:color w:val="auto"/>
          <w:sz w:val="24"/>
          <w:szCs w:val="24"/>
          <w:lang w:val="pt-PT"/>
        </w:rPr>
        <w:t xml:space="preserve"> </w:t>
      </w:r>
      <w:r w:rsidRPr="003069B4">
        <w:rPr>
          <w:rFonts w:ascii="Garamond" w:hAnsi="Garamond" w:cs="Arial"/>
          <w:color w:val="auto"/>
          <w:sz w:val="24"/>
          <w:szCs w:val="24"/>
          <w:lang w:val="pt-PT"/>
        </w:rPr>
        <w:t xml:space="preserve">relativamente </w:t>
      </w:r>
      <w:r w:rsidR="00341F33" w:rsidRPr="003069B4">
        <w:rPr>
          <w:rFonts w:ascii="Garamond" w:hAnsi="Garamond" w:cs="Arial"/>
          <w:color w:val="auto"/>
          <w:sz w:val="24"/>
          <w:szCs w:val="24"/>
          <w:lang w:val="pt-PT"/>
        </w:rPr>
        <w:t xml:space="preserve">a </w:t>
      </w:r>
      <w:r w:rsidR="002C7510" w:rsidRPr="003069B4">
        <w:rPr>
          <w:rFonts w:ascii="Garamond" w:hAnsi="Garamond" w:cs="Arial"/>
          <w:color w:val="auto"/>
          <w:sz w:val="24"/>
          <w:szCs w:val="24"/>
          <w:lang w:val="pt-PT"/>
        </w:rPr>
        <w:t>ações</w:t>
      </w:r>
      <w:r w:rsidR="00341F33" w:rsidRPr="003069B4">
        <w:rPr>
          <w:rFonts w:ascii="Garamond" w:hAnsi="Garamond" w:cs="Arial"/>
          <w:color w:val="auto"/>
          <w:sz w:val="24"/>
          <w:szCs w:val="24"/>
          <w:lang w:val="pt-PT"/>
        </w:rPr>
        <w:t xml:space="preserve"> </w:t>
      </w:r>
      <w:r w:rsidR="00163A24" w:rsidRPr="003069B4">
        <w:rPr>
          <w:rFonts w:ascii="Garamond" w:hAnsi="Garamond" w:cs="Arial"/>
          <w:color w:val="auto"/>
          <w:sz w:val="24"/>
          <w:szCs w:val="24"/>
          <w:lang w:val="pt-PT"/>
        </w:rPr>
        <w:t>para</w:t>
      </w:r>
      <w:r w:rsidR="00341F33" w:rsidRPr="003069B4">
        <w:rPr>
          <w:rFonts w:ascii="Garamond" w:hAnsi="Garamond" w:cs="Arial"/>
          <w:color w:val="auto"/>
          <w:sz w:val="24"/>
          <w:szCs w:val="24"/>
          <w:lang w:val="pt-PT"/>
        </w:rPr>
        <w:t xml:space="preserve"> prevenir, atender, </w:t>
      </w:r>
      <w:r w:rsidR="003F493C" w:rsidRPr="003069B4">
        <w:rPr>
          <w:rFonts w:ascii="Garamond" w:hAnsi="Garamond" w:cs="Arial"/>
          <w:color w:val="auto"/>
          <w:sz w:val="24"/>
          <w:szCs w:val="24"/>
          <w:lang w:val="pt-PT"/>
        </w:rPr>
        <w:t>punir</w:t>
      </w:r>
      <w:r w:rsidR="00341F33" w:rsidRPr="003069B4">
        <w:rPr>
          <w:rFonts w:ascii="Garamond" w:hAnsi="Garamond" w:cs="Arial"/>
          <w:color w:val="auto"/>
          <w:sz w:val="24"/>
          <w:szCs w:val="24"/>
          <w:lang w:val="pt-PT"/>
        </w:rPr>
        <w:t xml:space="preserve"> </w:t>
      </w:r>
      <w:r w:rsidR="000672E8" w:rsidRPr="003069B4">
        <w:rPr>
          <w:rFonts w:ascii="Garamond" w:hAnsi="Garamond" w:cs="Arial"/>
          <w:color w:val="auto"/>
          <w:sz w:val="24"/>
          <w:szCs w:val="24"/>
          <w:lang w:val="pt-PT"/>
        </w:rPr>
        <w:t>e</w:t>
      </w:r>
      <w:r w:rsidRPr="003069B4">
        <w:rPr>
          <w:rFonts w:ascii="Garamond" w:hAnsi="Garamond" w:cs="Arial"/>
          <w:color w:val="auto"/>
          <w:sz w:val="24"/>
          <w:szCs w:val="24"/>
          <w:lang w:val="pt-PT"/>
        </w:rPr>
        <w:t xml:space="preserve"> erradicar </w:t>
      </w:r>
      <w:r w:rsidR="00341F33" w:rsidRPr="003069B4">
        <w:rPr>
          <w:rFonts w:ascii="Garamond" w:hAnsi="Garamond" w:cs="Arial"/>
          <w:color w:val="auto"/>
          <w:sz w:val="24"/>
          <w:szCs w:val="24"/>
          <w:lang w:val="pt-PT"/>
        </w:rPr>
        <w:t xml:space="preserve">a </w:t>
      </w:r>
      <w:r w:rsidR="000350B1" w:rsidRPr="003069B4">
        <w:rPr>
          <w:rFonts w:ascii="Garamond" w:hAnsi="Garamond" w:cs="Arial"/>
          <w:color w:val="auto"/>
          <w:sz w:val="24"/>
          <w:szCs w:val="24"/>
          <w:lang w:val="pt-PT"/>
        </w:rPr>
        <w:t>violência</w:t>
      </w:r>
      <w:r w:rsidRPr="003069B4">
        <w:rPr>
          <w:rFonts w:ascii="Garamond" w:hAnsi="Garamond" w:cs="Arial"/>
          <w:color w:val="auto"/>
          <w:sz w:val="24"/>
          <w:szCs w:val="24"/>
          <w:lang w:val="pt-PT"/>
        </w:rPr>
        <w:t xml:space="preserve"> contra </w:t>
      </w:r>
      <w:r w:rsidR="00341F33" w:rsidRPr="003069B4">
        <w:rPr>
          <w:rFonts w:ascii="Garamond" w:hAnsi="Garamond" w:cs="Arial"/>
          <w:color w:val="auto"/>
          <w:sz w:val="24"/>
          <w:szCs w:val="24"/>
          <w:lang w:val="pt-PT"/>
        </w:rPr>
        <w:t xml:space="preserve">as </w:t>
      </w:r>
      <w:r w:rsidR="00054EE0" w:rsidRPr="003069B4">
        <w:rPr>
          <w:rFonts w:ascii="Garamond" w:hAnsi="Garamond" w:cs="Arial"/>
          <w:color w:val="auto"/>
          <w:sz w:val="24"/>
          <w:szCs w:val="24"/>
          <w:lang w:val="pt-PT"/>
        </w:rPr>
        <w:t>mulheres</w:t>
      </w:r>
      <w:r w:rsidR="00341F33" w:rsidRPr="003069B4">
        <w:rPr>
          <w:rFonts w:ascii="Garamond" w:hAnsi="Garamond" w:cs="Arial"/>
          <w:color w:val="auto"/>
          <w:sz w:val="24"/>
          <w:szCs w:val="24"/>
          <w:lang w:val="pt-PT"/>
        </w:rPr>
        <w:t>.</w:t>
      </w:r>
    </w:p>
    <w:p w:rsidR="00CA39B2" w:rsidRPr="009370B1" w:rsidRDefault="00C30647" w:rsidP="008719D4">
      <w:pPr>
        <w:pStyle w:val="Ttulo3"/>
        <w:spacing w:line="240" w:lineRule="auto"/>
        <w:rPr>
          <w:rFonts w:ascii="Garamond" w:hAnsi="Garamond"/>
          <w:sz w:val="24"/>
          <w:szCs w:val="24"/>
        </w:rPr>
      </w:pPr>
      <w:bookmarkStart w:id="50" w:name="_Toc421529738"/>
      <w:r w:rsidRPr="009370B1">
        <w:rPr>
          <w:rFonts w:ascii="Garamond" w:hAnsi="Garamond"/>
          <w:sz w:val="24"/>
          <w:szCs w:val="24"/>
        </w:rPr>
        <w:t>Paraguai</w:t>
      </w:r>
      <w:bookmarkEnd w:id="50"/>
    </w:p>
    <w:p w:rsidR="00CA39B2" w:rsidRPr="003A1174" w:rsidRDefault="003069B4" w:rsidP="008719D4">
      <w:pPr>
        <w:pStyle w:val="Predeterminado"/>
        <w:spacing w:before="240" w:line="240" w:lineRule="auto"/>
        <w:jc w:val="both"/>
        <w:rPr>
          <w:rFonts w:ascii="Garamond" w:eastAsia="Times New Roman" w:hAnsi="Garamond" w:cs="Arial"/>
          <w:color w:val="auto"/>
          <w:sz w:val="24"/>
          <w:szCs w:val="24"/>
          <w:lang w:val="pt-PT" w:eastAsia="es-ES"/>
        </w:rPr>
      </w:pPr>
      <w:r w:rsidRPr="009370B1">
        <w:rPr>
          <w:rFonts w:ascii="Garamond" w:hAnsi="Garamond" w:cs="Arial"/>
          <w:color w:val="auto"/>
          <w:sz w:val="24"/>
          <w:szCs w:val="24"/>
          <w:lang w:val="pt-PT"/>
        </w:rPr>
        <w:t>No Paragu</w:t>
      </w:r>
      <w:r w:rsidR="00B70E1F">
        <w:rPr>
          <w:rFonts w:ascii="Garamond" w:hAnsi="Garamond" w:cs="Arial"/>
          <w:color w:val="auto"/>
          <w:sz w:val="24"/>
          <w:szCs w:val="24"/>
          <w:lang w:val="pt-PT"/>
        </w:rPr>
        <w:t>a</w:t>
      </w:r>
      <w:r w:rsidRPr="009370B1">
        <w:rPr>
          <w:rFonts w:ascii="Garamond" w:hAnsi="Garamond" w:cs="Arial"/>
          <w:color w:val="auto"/>
          <w:sz w:val="24"/>
          <w:szCs w:val="24"/>
          <w:lang w:val="pt-PT"/>
        </w:rPr>
        <w:t>i, e</w:t>
      </w:r>
      <w:r w:rsidR="009024A0" w:rsidRPr="009370B1">
        <w:rPr>
          <w:rFonts w:ascii="Garamond" w:hAnsi="Garamond" w:cs="Arial"/>
          <w:color w:val="auto"/>
          <w:sz w:val="24"/>
          <w:szCs w:val="24"/>
          <w:lang w:val="pt-PT"/>
        </w:rPr>
        <w:t>m</w:t>
      </w:r>
      <w:r w:rsidR="00CA39B2" w:rsidRPr="009370B1">
        <w:rPr>
          <w:rFonts w:ascii="Garamond" w:eastAsia="Times New Roman" w:hAnsi="Garamond" w:cs="Arial"/>
          <w:color w:val="auto"/>
          <w:sz w:val="24"/>
          <w:szCs w:val="24"/>
          <w:lang w:val="pt-PT" w:eastAsia="es-ES"/>
        </w:rPr>
        <w:t xml:space="preserve"> </w:t>
      </w:r>
      <w:r w:rsidR="00497503" w:rsidRPr="009370B1">
        <w:rPr>
          <w:rFonts w:ascii="Garamond" w:eastAsia="Times New Roman" w:hAnsi="Garamond" w:cs="Arial"/>
          <w:color w:val="auto"/>
          <w:sz w:val="24"/>
          <w:szCs w:val="24"/>
          <w:lang w:val="pt-PT" w:eastAsia="es-ES"/>
        </w:rPr>
        <w:t>fevereiro</w:t>
      </w:r>
      <w:r w:rsidR="009024A0" w:rsidRPr="009370B1">
        <w:rPr>
          <w:rFonts w:ascii="Garamond" w:eastAsia="Times New Roman" w:hAnsi="Garamond" w:cs="Arial"/>
          <w:color w:val="auto"/>
          <w:sz w:val="24"/>
          <w:szCs w:val="24"/>
          <w:lang w:val="pt-PT" w:eastAsia="es-ES"/>
        </w:rPr>
        <w:t xml:space="preserve"> de 2014</w:t>
      </w:r>
      <w:r w:rsidRPr="009370B1">
        <w:rPr>
          <w:rFonts w:ascii="Garamond" w:eastAsia="Times New Roman" w:hAnsi="Garamond" w:cs="Arial"/>
          <w:color w:val="auto"/>
          <w:sz w:val="24"/>
          <w:szCs w:val="24"/>
          <w:lang w:val="pt-PT" w:eastAsia="es-ES"/>
        </w:rPr>
        <w:t>,</w:t>
      </w:r>
      <w:r w:rsidR="009024A0" w:rsidRPr="009370B1">
        <w:rPr>
          <w:rFonts w:ascii="Garamond" w:eastAsia="Times New Roman" w:hAnsi="Garamond" w:cs="Arial"/>
          <w:color w:val="auto"/>
          <w:sz w:val="24"/>
          <w:szCs w:val="24"/>
          <w:lang w:val="pt-PT" w:eastAsia="es-ES"/>
        </w:rPr>
        <w:t xml:space="preserve"> </w:t>
      </w:r>
      <w:r w:rsidRPr="009370B1">
        <w:rPr>
          <w:rFonts w:ascii="Garamond" w:eastAsia="Times New Roman" w:hAnsi="Garamond" w:cs="Arial"/>
          <w:color w:val="auto"/>
          <w:sz w:val="24"/>
          <w:szCs w:val="24"/>
          <w:lang w:val="pt-PT" w:eastAsia="es-ES"/>
        </w:rPr>
        <w:t xml:space="preserve">o Supremo Tribunal </w:t>
      </w:r>
      <w:r w:rsidR="00CA39B2" w:rsidRPr="009370B1">
        <w:rPr>
          <w:rFonts w:ascii="Garamond" w:eastAsia="Times New Roman" w:hAnsi="Garamond" w:cs="Arial"/>
          <w:color w:val="auto"/>
          <w:sz w:val="24"/>
          <w:szCs w:val="24"/>
          <w:lang w:val="pt-PT" w:eastAsia="es-ES"/>
        </w:rPr>
        <w:t xml:space="preserve">de </w:t>
      </w:r>
      <w:r w:rsidR="00FC1F7F" w:rsidRPr="009370B1">
        <w:rPr>
          <w:rFonts w:ascii="Garamond" w:eastAsia="Times New Roman" w:hAnsi="Garamond" w:cs="Arial"/>
          <w:color w:val="auto"/>
          <w:sz w:val="24"/>
          <w:szCs w:val="24"/>
          <w:lang w:val="pt-PT" w:eastAsia="es-ES"/>
        </w:rPr>
        <w:t>Justiça</w:t>
      </w:r>
      <w:r w:rsidR="00CA39B2" w:rsidRPr="009370B1">
        <w:rPr>
          <w:rFonts w:ascii="Garamond" w:eastAsia="Times New Roman" w:hAnsi="Garamond" w:cs="Arial"/>
          <w:color w:val="auto"/>
          <w:sz w:val="24"/>
          <w:szCs w:val="24"/>
          <w:lang w:val="pt-PT" w:eastAsia="es-ES"/>
        </w:rPr>
        <w:t xml:space="preserve">, </w:t>
      </w:r>
      <w:r w:rsidR="009A0CC2" w:rsidRPr="009370B1">
        <w:rPr>
          <w:rFonts w:ascii="Garamond" w:eastAsia="Times New Roman" w:hAnsi="Garamond" w:cs="Arial"/>
          <w:color w:val="auto"/>
          <w:sz w:val="24"/>
          <w:szCs w:val="24"/>
          <w:lang w:val="pt-PT" w:eastAsia="es-ES"/>
        </w:rPr>
        <w:t>através</w:t>
      </w:r>
      <w:r w:rsidR="00CA39B2" w:rsidRPr="009370B1">
        <w:rPr>
          <w:rFonts w:ascii="Garamond" w:eastAsia="Times New Roman" w:hAnsi="Garamond" w:cs="Arial"/>
          <w:color w:val="auto"/>
          <w:sz w:val="24"/>
          <w:szCs w:val="24"/>
          <w:lang w:val="pt-PT" w:eastAsia="es-ES"/>
        </w:rPr>
        <w:t xml:space="preserve"> de Sistema Nacional de Facilitadores </w:t>
      </w:r>
      <w:r w:rsidR="002D1021" w:rsidRPr="009370B1">
        <w:rPr>
          <w:rFonts w:ascii="Garamond" w:eastAsia="Times New Roman" w:hAnsi="Garamond" w:cs="Arial"/>
          <w:color w:val="auto"/>
          <w:sz w:val="24"/>
          <w:szCs w:val="24"/>
          <w:lang w:val="pt-PT" w:eastAsia="es-ES"/>
        </w:rPr>
        <w:t>Judiciais</w:t>
      </w:r>
      <w:r w:rsidR="00CA39B2" w:rsidRPr="009370B1">
        <w:rPr>
          <w:rFonts w:ascii="Garamond" w:eastAsia="Times New Roman" w:hAnsi="Garamond" w:cs="Arial"/>
          <w:color w:val="auto"/>
          <w:sz w:val="24"/>
          <w:szCs w:val="24"/>
          <w:lang w:val="pt-PT" w:eastAsia="es-ES"/>
        </w:rPr>
        <w:t xml:space="preserve">, </w:t>
      </w:r>
      <w:r w:rsidR="00BA3CCE" w:rsidRPr="009370B1">
        <w:rPr>
          <w:rFonts w:ascii="Garamond" w:eastAsia="Times New Roman" w:hAnsi="Garamond" w:cs="Arial"/>
          <w:color w:val="auto"/>
          <w:sz w:val="24"/>
          <w:szCs w:val="24"/>
          <w:lang w:val="pt-PT" w:eastAsia="es-ES"/>
        </w:rPr>
        <w:t>assinou</w:t>
      </w:r>
      <w:r w:rsidR="009024A0" w:rsidRPr="009370B1">
        <w:rPr>
          <w:rFonts w:ascii="Garamond" w:eastAsia="Times New Roman" w:hAnsi="Garamond" w:cs="Arial"/>
          <w:color w:val="auto"/>
          <w:sz w:val="24"/>
          <w:szCs w:val="24"/>
          <w:lang w:val="pt-PT" w:eastAsia="es-ES"/>
        </w:rPr>
        <w:t xml:space="preserve"> um acordo</w:t>
      </w:r>
      <w:r w:rsidR="00CA39B2" w:rsidRPr="009370B1">
        <w:rPr>
          <w:rFonts w:ascii="Garamond" w:eastAsia="Times New Roman" w:hAnsi="Garamond" w:cs="Arial"/>
          <w:color w:val="auto"/>
          <w:sz w:val="24"/>
          <w:szCs w:val="24"/>
          <w:lang w:val="pt-PT" w:eastAsia="es-ES"/>
        </w:rPr>
        <w:t xml:space="preserve"> de </w:t>
      </w:r>
      <w:r w:rsidR="00C30647" w:rsidRPr="009370B1">
        <w:rPr>
          <w:rFonts w:ascii="Garamond" w:eastAsia="Times New Roman" w:hAnsi="Garamond" w:cs="Arial"/>
          <w:color w:val="auto"/>
          <w:sz w:val="24"/>
          <w:szCs w:val="24"/>
          <w:lang w:val="pt-PT" w:eastAsia="es-ES"/>
        </w:rPr>
        <w:t>cooperação</w:t>
      </w:r>
      <w:r w:rsidR="009024A0" w:rsidRPr="009370B1">
        <w:rPr>
          <w:rFonts w:ascii="Garamond" w:eastAsia="Times New Roman" w:hAnsi="Garamond" w:cs="Arial"/>
          <w:color w:val="auto"/>
          <w:sz w:val="24"/>
          <w:szCs w:val="24"/>
          <w:lang w:val="pt-PT" w:eastAsia="es-ES"/>
        </w:rPr>
        <w:t xml:space="preserve"> mú</w:t>
      </w:r>
      <w:r w:rsidR="00CA39B2" w:rsidRPr="009370B1">
        <w:rPr>
          <w:rFonts w:ascii="Garamond" w:eastAsia="Times New Roman" w:hAnsi="Garamond" w:cs="Arial"/>
          <w:color w:val="auto"/>
          <w:sz w:val="24"/>
          <w:szCs w:val="24"/>
          <w:lang w:val="pt-PT" w:eastAsia="es-ES"/>
        </w:rPr>
        <w:t>tua co</w:t>
      </w:r>
      <w:r w:rsidR="009024A0" w:rsidRPr="009370B1">
        <w:rPr>
          <w:rFonts w:ascii="Garamond" w:eastAsia="Times New Roman" w:hAnsi="Garamond" w:cs="Arial"/>
          <w:color w:val="auto"/>
          <w:sz w:val="24"/>
          <w:szCs w:val="24"/>
          <w:lang w:val="pt-PT" w:eastAsia="es-ES"/>
        </w:rPr>
        <w:t xml:space="preserve">m o </w:t>
      </w:r>
      <w:r w:rsidR="00D77C19" w:rsidRPr="009370B1">
        <w:rPr>
          <w:rFonts w:ascii="Garamond" w:eastAsia="Times New Roman" w:hAnsi="Garamond" w:cs="Arial"/>
          <w:color w:val="auto"/>
          <w:sz w:val="24"/>
          <w:szCs w:val="24"/>
          <w:lang w:val="pt-PT" w:eastAsia="es-ES"/>
        </w:rPr>
        <w:t>Ministério</w:t>
      </w:r>
      <w:r w:rsidR="00CA39B2" w:rsidRPr="009370B1">
        <w:rPr>
          <w:rFonts w:ascii="Garamond" w:eastAsia="Times New Roman" w:hAnsi="Garamond" w:cs="Arial"/>
          <w:color w:val="auto"/>
          <w:sz w:val="24"/>
          <w:szCs w:val="24"/>
          <w:lang w:val="pt-PT" w:eastAsia="es-ES"/>
        </w:rPr>
        <w:t xml:space="preserve"> </w:t>
      </w:r>
      <w:r w:rsidR="00CA39B2" w:rsidRPr="009370B1">
        <w:rPr>
          <w:rFonts w:ascii="Garamond" w:eastAsia="Times New Roman" w:hAnsi="Garamond" w:cs="Arial"/>
          <w:color w:val="auto"/>
          <w:sz w:val="24"/>
          <w:szCs w:val="24"/>
          <w:lang w:val="pt-PT" w:eastAsia="es-ES"/>
        </w:rPr>
        <w:lastRenderedPageBreak/>
        <w:t xml:space="preserve">da </w:t>
      </w:r>
      <w:r w:rsidR="00AF192F" w:rsidRPr="009370B1">
        <w:rPr>
          <w:rFonts w:ascii="Garamond" w:eastAsia="Times New Roman" w:hAnsi="Garamond" w:cs="Arial"/>
          <w:color w:val="auto"/>
          <w:sz w:val="24"/>
          <w:szCs w:val="24"/>
          <w:lang w:val="pt-PT" w:eastAsia="es-ES"/>
        </w:rPr>
        <w:t>Mulher</w:t>
      </w:r>
      <w:r w:rsidR="00CA39B2" w:rsidRPr="009370B1">
        <w:rPr>
          <w:rFonts w:ascii="Garamond" w:eastAsia="Times New Roman" w:hAnsi="Garamond" w:cs="Arial"/>
          <w:color w:val="auto"/>
          <w:sz w:val="24"/>
          <w:szCs w:val="24"/>
          <w:lang w:val="pt-PT" w:eastAsia="es-ES"/>
        </w:rPr>
        <w:t xml:space="preserve"> co</w:t>
      </w:r>
      <w:r w:rsidR="009024A0" w:rsidRPr="009370B1">
        <w:rPr>
          <w:rFonts w:ascii="Garamond" w:eastAsia="Times New Roman" w:hAnsi="Garamond" w:cs="Arial"/>
          <w:color w:val="auto"/>
          <w:sz w:val="24"/>
          <w:szCs w:val="24"/>
          <w:lang w:val="pt-PT" w:eastAsia="es-ES"/>
        </w:rPr>
        <w:t xml:space="preserve">m o fim de continuar a desenvolver </w:t>
      </w:r>
      <w:r w:rsidR="00CA39B2" w:rsidRPr="009370B1">
        <w:rPr>
          <w:rFonts w:ascii="Garamond" w:eastAsia="Times New Roman" w:hAnsi="Garamond" w:cs="Arial"/>
          <w:color w:val="auto"/>
          <w:sz w:val="24"/>
          <w:szCs w:val="24"/>
          <w:lang w:val="pt-PT" w:eastAsia="es-ES"/>
        </w:rPr>
        <w:t xml:space="preserve">a </w:t>
      </w:r>
      <w:r w:rsidR="00D96FD0" w:rsidRPr="009370B1">
        <w:rPr>
          <w:rFonts w:ascii="Garamond" w:eastAsia="Times New Roman" w:hAnsi="Garamond" w:cs="Arial"/>
          <w:color w:val="auto"/>
          <w:sz w:val="24"/>
          <w:szCs w:val="24"/>
          <w:lang w:val="pt-PT" w:eastAsia="es-ES"/>
        </w:rPr>
        <w:t>perspetiva</w:t>
      </w:r>
      <w:r w:rsidR="00CA39B2" w:rsidRPr="009370B1">
        <w:rPr>
          <w:rFonts w:ascii="Garamond" w:eastAsia="Times New Roman" w:hAnsi="Garamond" w:cs="Arial"/>
          <w:color w:val="auto"/>
          <w:sz w:val="24"/>
          <w:szCs w:val="24"/>
          <w:lang w:val="pt-PT" w:eastAsia="es-ES"/>
        </w:rPr>
        <w:t xml:space="preserve"> de género </w:t>
      </w:r>
      <w:r w:rsidR="009024A0" w:rsidRPr="009370B1">
        <w:rPr>
          <w:rFonts w:ascii="Garamond" w:eastAsia="Times New Roman" w:hAnsi="Garamond" w:cs="Arial"/>
          <w:color w:val="auto"/>
          <w:sz w:val="24"/>
          <w:szCs w:val="24"/>
          <w:lang w:val="pt-PT" w:eastAsia="es-ES"/>
        </w:rPr>
        <w:t>n</w:t>
      </w:r>
      <w:r w:rsidR="00CA39B2" w:rsidRPr="009370B1">
        <w:rPr>
          <w:rFonts w:ascii="Garamond" w:eastAsia="Times New Roman" w:hAnsi="Garamond" w:cs="Arial"/>
          <w:color w:val="auto"/>
          <w:sz w:val="24"/>
          <w:szCs w:val="24"/>
          <w:lang w:val="pt-PT" w:eastAsia="es-ES"/>
        </w:rPr>
        <w:t xml:space="preserve">as diferentes </w:t>
      </w:r>
      <w:r w:rsidR="002C7510" w:rsidRPr="009370B1">
        <w:rPr>
          <w:rFonts w:ascii="Garamond" w:eastAsia="Times New Roman" w:hAnsi="Garamond" w:cs="Arial"/>
          <w:color w:val="auto"/>
          <w:sz w:val="24"/>
          <w:szCs w:val="24"/>
          <w:lang w:val="pt-PT" w:eastAsia="es-ES"/>
        </w:rPr>
        <w:t>ações</w:t>
      </w:r>
      <w:r w:rsidR="00CA39B2" w:rsidRPr="009370B1">
        <w:rPr>
          <w:rFonts w:ascii="Garamond" w:eastAsia="Times New Roman" w:hAnsi="Garamond" w:cs="Arial"/>
          <w:color w:val="auto"/>
          <w:sz w:val="24"/>
          <w:szCs w:val="24"/>
          <w:lang w:val="pt-PT" w:eastAsia="es-ES"/>
        </w:rPr>
        <w:t xml:space="preserve"> que</w:t>
      </w:r>
      <w:r w:rsidR="00E560D8" w:rsidRPr="009370B1">
        <w:rPr>
          <w:rFonts w:ascii="Garamond" w:eastAsia="Times New Roman" w:hAnsi="Garamond" w:cs="Arial"/>
          <w:color w:val="auto"/>
          <w:sz w:val="24"/>
          <w:szCs w:val="24"/>
          <w:lang w:val="pt-PT" w:eastAsia="es-ES"/>
        </w:rPr>
        <w:t xml:space="preserve"> realizam </w:t>
      </w:r>
      <w:r w:rsidR="00CA39B2" w:rsidRPr="009370B1">
        <w:rPr>
          <w:rFonts w:ascii="Garamond" w:eastAsia="Times New Roman" w:hAnsi="Garamond" w:cs="Arial"/>
          <w:color w:val="auto"/>
          <w:sz w:val="24"/>
          <w:szCs w:val="24"/>
          <w:lang w:val="pt-PT" w:eastAsia="es-ES"/>
        </w:rPr>
        <w:t xml:space="preserve">os </w:t>
      </w:r>
      <w:r w:rsidR="00CA39B2" w:rsidRPr="009370B1">
        <w:rPr>
          <w:rFonts w:ascii="Garamond" w:eastAsia="Times New Roman" w:hAnsi="Garamond" w:cs="Arial"/>
          <w:i/>
          <w:color w:val="auto"/>
          <w:sz w:val="24"/>
          <w:szCs w:val="24"/>
          <w:lang w:val="pt-PT" w:eastAsia="es-ES"/>
        </w:rPr>
        <w:t>facilitadores</w:t>
      </w:r>
      <w:r w:rsidR="00CA39B2" w:rsidRPr="009370B1">
        <w:rPr>
          <w:rFonts w:ascii="Garamond" w:eastAsia="Times New Roman" w:hAnsi="Garamond" w:cs="Arial"/>
          <w:color w:val="auto"/>
          <w:sz w:val="24"/>
          <w:szCs w:val="24"/>
          <w:lang w:val="pt-PT" w:eastAsia="es-ES"/>
        </w:rPr>
        <w:t xml:space="preserve"> </w:t>
      </w:r>
      <w:r w:rsidR="002D1021" w:rsidRPr="009370B1">
        <w:rPr>
          <w:rFonts w:ascii="Garamond" w:eastAsia="Times New Roman" w:hAnsi="Garamond" w:cs="Arial"/>
          <w:color w:val="auto"/>
          <w:sz w:val="24"/>
          <w:szCs w:val="24"/>
          <w:lang w:val="pt-PT" w:eastAsia="es-ES"/>
        </w:rPr>
        <w:t>judiciais</w:t>
      </w:r>
      <w:r w:rsidR="00CA39B2" w:rsidRPr="009370B1">
        <w:rPr>
          <w:rFonts w:ascii="Garamond" w:eastAsia="Times New Roman" w:hAnsi="Garamond" w:cs="Arial"/>
          <w:color w:val="auto"/>
          <w:sz w:val="24"/>
          <w:szCs w:val="24"/>
          <w:lang w:val="pt-PT" w:eastAsia="es-ES"/>
        </w:rPr>
        <w:t xml:space="preserve"> </w:t>
      </w:r>
      <w:r w:rsidR="00E560D8" w:rsidRPr="009370B1">
        <w:rPr>
          <w:rFonts w:ascii="Garamond" w:eastAsia="Times New Roman" w:hAnsi="Garamond" w:cs="Arial"/>
          <w:color w:val="auto"/>
          <w:sz w:val="24"/>
          <w:szCs w:val="24"/>
          <w:lang w:val="pt-PT" w:eastAsia="es-ES"/>
        </w:rPr>
        <w:t xml:space="preserve">nas </w:t>
      </w:r>
      <w:r w:rsidR="00CA39B2" w:rsidRPr="009370B1">
        <w:rPr>
          <w:rFonts w:ascii="Garamond" w:eastAsia="Times New Roman" w:hAnsi="Garamond" w:cs="Arial"/>
          <w:color w:val="auto"/>
          <w:sz w:val="24"/>
          <w:szCs w:val="24"/>
          <w:lang w:val="pt-PT" w:eastAsia="es-ES"/>
        </w:rPr>
        <w:t>su</w:t>
      </w:r>
      <w:r w:rsidR="00E560D8" w:rsidRPr="009370B1">
        <w:rPr>
          <w:rFonts w:ascii="Garamond" w:eastAsia="Times New Roman" w:hAnsi="Garamond" w:cs="Arial"/>
          <w:color w:val="auto"/>
          <w:sz w:val="24"/>
          <w:szCs w:val="24"/>
          <w:lang w:val="pt-PT" w:eastAsia="es-ES"/>
        </w:rPr>
        <w:t>a</w:t>
      </w:r>
      <w:r w:rsidR="00CA39B2" w:rsidRPr="009370B1">
        <w:rPr>
          <w:rFonts w:ascii="Garamond" w:eastAsia="Times New Roman" w:hAnsi="Garamond" w:cs="Arial"/>
          <w:color w:val="auto"/>
          <w:sz w:val="24"/>
          <w:szCs w:val="24"/>
          <w:lang w:val="pt-PT" w:eastAsia="es-ES"/>
        </w:rPr>
        <w:t>s comunidades.</w:t>
      </w:r>
    </w:p>
    <w:p w:rsidR="00CA39B2" w:rsidRPr="003A1174" w:rsidRDefault="00BA3CCE" w:rsidP="008719D4">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Além disso, através do Departamento de Direitos da Mulher, a Provedoria de Justiça efetuou uma análise</w:t>
      </w:r>
      <w:r w:rsidR="009370B1">
        <w:rPr>
          <w:rFonts w:ascii="Garamond" w:hAnsi="Garamond" w:cs="Arial"/>
          <w:color w:val="auto"/>
          <w:sz w:val="24"/>
          <w:szCs w:val="24"/>
          <w:lang w:val="pt-PT"/>
        </w:rPr>
        <w:t>,</w:t>
      </w:r>
      <w:r w:rsidRPr="003A1174">
        <w:rPr>
          <w:rFonts w:ascii="Garamond" w:hAnsi="Garamond" w:cs="Arial"/>
          <w:color w:val="auto"/>
          <w:sz w:val="24"/>
          <w:szCs w:val="24"/>
          <w:lang w:val="pt-PT"/>
        </w:rPr>
        <w:t xml:space="preserve"> no âmbito da monotorização dos Tribunais de Paz da Capital, para efeitos de detetar a qualidade do tratamento, a atenção e agilidade das tramitações</w:t>
      </w:r>
      <w:r w:rsidR="009370B1">
        <w:rPr>
          <w:rFonts w:ascii="Garamond" w:hAnsi="Garamond" w:cs="Arial"/>
          <w:color w:val="auto"/>
          <w:sz w:val="24"/>
          <w:szCs w:val="24"/>
          <w:lang w:val="pt-PT"/>
        </w:rPr>
        <w:t>,</w:t>
      </w:r>
      <w:r w:rsidRPr="003A1174">
        <w:rPr>
          <w:rFonts w:ascii="Garamond" w:hAnsi="Garamond" w:cs="Arial"/>
          <w:color w:val="auto"/>
          <w:sz w:val="24"/>
          <w:szCs w:val="24"/>
          <w:lang w:val="pt-PT"/>
        </w:rPr>
        <w:t xml:space="preserve"> n</w:t>
      </w:r>
      <w:r w:rsidR="009370B1">
        <w:rPr>
          <w:rFonts w:ascii="Garamond" w:hAnsi="Garamond" w:cs="Arial"/>
          <w:color w:val="auto"/>
          <w:sz w:val="24"/>
          <w:szCs w:val="24"/>
          <w:lang w:val="pt-PT"/>
        </w:rPr>
        <w:t>o</w:t>
      </w:r>
      <w:r w:rsidR="00B70E1F">
        <w:rPr>
          <w:rFonts w:ascii="Garamond" w:hAnsi="Garamond" w:cs="Arial"/>
          <w:color w:val="auto"/>
          <w:sz w:val="24"/>
          <w:szCs w:val="24"/>
          <w:lang w:val="pt-PT"/>
        </w:rPr>
        <w:t xml:space="preserve"> </w:t>
      </w:r>
      <w:r w:rsidR="009370B1">
        <w:rPr>
          <w:rFonts w:ascii="Garamond" w:hAnsi="Garamond" w:cs="Arial"/>
          <w:color w:val="auto"/>
          <w:sz w:val="24"/>
          <w:szCs w:val="24"/>
          <w:lang w:val="pt-PT"/>
        </w:rPr>
        <w:t>momento</w:t>
      </w:r>
      <w:r w:rsidRPr="003A1174">
        <w:rPr>
          <w:rFonts w:ascii="Garamond" w:hAnsi="Garamond" w:cs="Arial"/>
          <w:color w:val="auto"/>
          <w:sz w:val="24"/>
          <w:szCs w:val="24"/>
          <w:lang w:val="pt-PT"/>
        </w:rPr>
        <w:t xml:space="preserve"> em que as mulheres vítimas de violência</w:t>
      </w:r>
      <w:r w:rsidR="009370B1">
        <w:rPr>
          <w:rFonts w:ascii="Garamond" w:hAnsi="Garamond" w:cs="Arial"/>
          <w:color w:val="auto"/>
          <w:sz w:val="24"/>
          <w:szCs w:val="24"/>
          <w:lang w:val="pt-PT"/>
        </w:rPr>
        <w:t>,</w:t>
      </w:r>
      <w:r w:rsidRPr="003A1174">
        <w:rPr>
          <w:rFonts w:ascii="Garamond" w:hAnsi="Garamond" w:cs="Arial"/>
          <w:color w:val="auto"/>
          <w:sz w:val="24"/>
          <w:szCs w:val="24"/>
          <w:lang w:val="pt-PT"/>
        </w:rPr>
        <w:t xml:space="preserve"> comparecem para </w:t>
      </w:r>
      <w:r w:rsidR="009370B1">
        <w:rPr>
          <w:rFonts w:ascii="Garamond" w:hAnsi="Garamond" w:cs="Arial"/>
          <w:color w:val="auto"/>
          <w:sz w:val="24"/>
          <w:szCs w:val="24"/>
          <w:lang w:val="pt-PT"/>
        </w:rPr>
        <w:t xml:space="preserve">apresentar </w:t>
      </w:r>
      <w:r w:rsidRPr="003A1174">
        <w:rPr>
          <w:rFonts w:ascii="Garamond" w:hAnsi="Garamond" w:cs="Arial"/>
          <w:color w:val="auto"/>
          <w:sz w:val="24"/>
          <w:szCs w:val="24"/>
          <w:lang w:val="pt-PT"/>
        </w:rPr>
        <w:t xml:space="preserve">as suas denúncias. </w:t>
      </w:r>
      <w:r w:rsidR="00CA39B2" w:rsidRPr="003A1174">
        <w:rPr>
          <w:rFonts w:ascii="Garamond" w:hAnsi="Garamond" w:cs="Arial"/>
          <w:color w:val="auto"/>
          <w:sz w:val="24"/>
          <w:szCs w:val="24"/>
          <w:lang w:val="pt-PT"/>
        </w:rPr>
        <w:t>A</w:t>
      </w:r>
      <w:r w:rsidR="00E560D8" w:rsidRPr="003A1174">
        <w:rPr>
          <w:rFonts w:ascii="Garamond" w:hAnsi="Garamond" w:cs="Arial"/>
          <w:color w:val="auto"/>
          <w:sz w:val="24"/>
          <w:szCs w:val="24"/>
          <w:lang w:val="pt-PT"/>
        </w:rPr>
        <w:t xml:space="preserve"> esse </w:t>
      </w:r>
      <w:r w:rsidR="001F2F8B" w:rsidRPr="003A1174">
        <w:rPr>
          <w:rFonts w:ascii="Garamond" w:hAnsi="Garamond" w:cs="Arial"/>
          <w:color w:val="auto"/>
          <w:sz w:val="24"/>
          <w:szCs w:val="24"/>
          <w:lang w:val="pt-PT"/>
        </w:rPr>
        <w:t>respeito</w:t>
      </w:r>
      <w:r w:rsidR="003C7CB4"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E560D8" w:rsidRPr="003A1174">
        <w:rPr>
          <w:rFonts w:ascii="Garamond" w:hAnsi="Garamond" w:cs="Arial"/>
          <w:color w:val="auto"/>
          <w:sz w:val="24"/>
          <w:szCs w:val="24"/>
          <w:lang w:val="pt-PT"/>
        </w:rPr>
        <w:t>é importante mencionar que</w:t>
      </w:r>
      <w:r w:rsidR="009370B1">
        <w:rPr>
          <w:rFonts w:ascii="Garamond" w:hAnsi="Garamond" w:cs="Arial"/>
          <w:color w:val="auto"/>
          <w:sz w:val="24"/>
          <w:szCs w:val="24"/>
          <w:lang w:val="pt-PT"/>
        </w:rPr>
        <w:t>,</w:t>
      </w:r>
      <w:r w:rsidR="00E560D8"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as medidas </w:t>
      </w:r>
      <w:r w:rsidR="009E3E55" w:rsidRPr="003A1174">
        <w:rPr>
          <w:rFonts w:ascii="Garamond" w:hAnsi="Garamond" w:cs="Arial"/>
          <w:color w:val="auto"/>
          <w:sz w:val="24"/>
          <w:szCs w:val="24"/>
          <w:lang w:val="pt-PT"/>
        </w:rPr>
        <w:t>adotada</w:t>
      </w:r>
      <w:r w:rsidR="00E560D8" w:rsidRPr="003A1174">
        <w:rPr>
          <w:rFonts w:ascii="Garamond" w:hAnsi="Garamond" w:cs="Arial"/>
          <w:color w:val="auto"/>
          <w:sz w:val="24"/>
          <w:szCs w:val="24"/>
          <w:lang w:val="pt-PT"/>
        </w:rPr>
        <w:t xml:space="preserve">s contra </w:t>
      </w:r>
      <w:r w:rsidR="00CA39B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E560D8" w:rsidRPr="003A1174">
        <w:rPr>
          <w:rFonts w:ascii="Garamond" w:hAnsi="Garamond" w:cs="Arial"/>
          <w:color w:val="auto"/>
          <w:sz w:val="24"/>
          <w:szCs w:val="24"/>
          <w:lang w:val="pt-PT"/>
        </w:rPr>
        <w:t xml:space="preserve"> doméstica e intrafamiliar</w:t>
      </w:r>
      <w:r w:rsidR="009370B1">
        <w:rPr>
          <w:rFonts w:ascii="Garamond" w:hAnsi="Garamond" w:cs="Arial"/>
          <w:color w:val="auto"/>
          <w:sz w:val="24"/>
          <w:szCs w:val="24"/>
          <w:lang w:val="pt-PT"/>
        </w:rPr>
        <w:t>,</w:t>
      </w:r>
      <w:r w:rsidR="00E560D8" w:rsidRPr="003A1174">
        <w:rPr>
          <w:rFonts w:ascii="Garamond" w:hAnsi="Garamond" w:cs="Arial"/>
          <w:color w:val="auto"/>
          <w:sz w:val="24"/>
          <w:szCs w:val="24"/>
          <w:lang w:val="pt-PT"/>
        </w:rPr>
        <w:t xml:space="preserve"> tai</w:t>
      </w:r>
      <w:r w:rsidR="00CA39B2" w:rsidRPr="003A1174">
        <w:rPr>
          <w:rFonts w:ascii="Garamond" w:hAnsi="Garamond" w:cs="Arial"/>
          <w:color w:val="auto"/>
          <w:sz w:val="24"/>
          <w:szCs w:val="24"/>
          <w:lang w:val="pt-PT"/>
        </w:rPr>
        <w:t xml:space="preserve">s como programas de </w:t>
      </w:r>
      <w:r w:rsidR="002C7510" w:rsidRPr="003A1174">
        <w:rPr>
          <w:rFonts w:ascii="Garamond" w:hAnsi="Garamond" w:cs="Arial"/>
          <w:color w:val="auto"/>
          <w:sz w:val="24"/>
          <w:szCs w:val="24"/>
          <w:lang w:val="pt-PT"/>
        </w:rPr>
        <w:t>difusão</w:t>
      </w:r>
      <w:r w:rsidR="00CA39B2" w:rsidRPr="003A1174">
        <w:rPr>
          <w:rFonts w:ascii="Garamond" w:hAnsi="Garamond" w:cs="Arial"/>
          <w:color w:val="auto"/>
          <w:sz w:val="24"/>
          <w:szCs w:val="24"/>
          <w:lang w:val="pt-PT"/>
        </w:rPr>
        <w:t xml:space="preserve">, </w:t>
      </w:r>
      <w:r w:rsidR="002A71E1">
        <w:rPr>
          <w:rFonts w:ascii="Garamond" w:hAnsi="Garamond" w:cs="Arial"/>
          <w:color w:val="auto"/>
          <w:sz w:val="24"/>
          <w:szCs w:val="24"/>
          <w:lang w:val="pt-PT"/>
        </w:rPr>
        <w:t xml:space="preserve">formação </w:t>
      </w:r>
      <w:r w:rsidR="00CA39B2" w:rsidRPr="003A1174">
        <w:rPr>
          <w:rFonts w:ascii="Garamond" w:hAnsi="Garamond" w:cs="Arial"/>
          <w:color w:val="auto"/>
          <w:sz w:val="24"/>
          <w:szCs w:val="24"/>
          <w:lang w:val="pt-PT"/>
        </w:rPr>
        <w:t xml:space="preserve">e </w:t>
      </w:r>
      <w:r w:rsidR="006C760C" w:rsidRPr="003A1174">
        <w:rPr>
          <w:rFonts w:ascii="Garamond" w:hAnsi="Garamond" w:cs="Arial"/>
          <w:color w:val="auto"/>
          <w:sz w:val="24"/>
          <w:szCs w:val="24"/>
          <w:lang w:val="pt-PT"/>
        </w:rPr>
        <w:t>implementação</w:t>
      </w:r>
      <w:r w:rsidR="00E560D8" w:rsidRPr="003A1174">
        <w:rPr>
          <w:rFonts w:ascii="Garamond" w:hAnsi="Garamond" w:cs="Arial"/>
          <w:color w:val="auto"/>
          <w:sz w:val="24"/>
          <w:szCs w:val="24"/>
          <w:lang w:val="pt-PT"/>
        </w:rPr>
        <w:t xml:space="preserve"> d</w:t>
      </w:r>
      <w:r w:rsidR="00CA39B2"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00CA39B2" w:rsidRPr="003A1174">
        <w:rPr>
          <w:rFonts w:ascii="Garamond" w:hAnsi="Garamond" w:cs="Arial"/>
          <w:color w:val="auto"/>
          <w:sz w:val="24"/>
          <w:szCs w:val="24"/>
          <w:lang w:val="pt-PT"/>
        </w:rPr>
        <w:t xml:space="preserve"> 1600, </w:t>
      </w:r>
      <w:r w:rsidR="00E560D8" w:rsidRPr="003A1174">
        <w:rPr>
          <w:rFonts w:ascii="Garamond" w:hAnsi="Garamond" w:cs="Arial"/>
          <w:color w:val="auto"/>
          <w:sz w:val="24"/>
          <w:szCs w:val="24"/>
          <w:lang w:val="pt-PT"/>
        </w:rPr>
        <w:t xml:space="preserve">infelizmente, não conseguem uma </w:t>
      </w:r>
      <w:r w:rsidR="00B14AA6" w:rsidRPr="003A1174">
        <w:rPr>
          <w:rFonts w:ascii="Garamond" w:hAnsi="Garamond" w:cs="Arial"/>
          <w:color w:val="auto"/>
          <w:sz w:val="24"/>
          <w:szCs w:val="24"/>
          <w:lang w:val="pt-PT"/>
        </w:rPr>
        <w:t>aplicação</w:t>
      </w:r>
      <w:r w:rsidR="00CA39B2" w:rsidRPr="003A1174">
        <w:rPr>
          <w:rFonts w:ascii="Garamond" w:hAnsi="Garamond" w:cs="Arial"/>
          <w:color w:val="auto"/>
          <w:sz w:val="24"/>
          <w:szCs w:val="24"/>
          <w:lang w:val="pt-PT"/>
        </w:rPr>
        <w:t xml:space="preserve"> suficientemente </w:t>
      </w:r>
      <w:r w:rsidR="00D84A9F" w:rsidRPr="003A1174">
        <w:rPr>
          <w:rFonts w:ascii="Garamond" w:hAnsi="Garamond" w:cs="Arial"/>
          <w:color w:val="auto"/>
          <w:sz w:val="24"/>
          <w:szCs w:val="24"/>
          <w:lang w:val="pt-PT"/>
        </w:rPr>
        <w:t>efetiva</w:t>
      </w:r>
      <w:r w:rsidR="00CA39B2" w:rsidRPr="003A1174">
        <w:rPr>
          <w:rFonts w:ascii="Garamond" w:hAnsi="Garamond" w:cs="Arial"/>
          <w:color w:val="auto"/>
          <w:sz w:val="24"/>
          <w:szCs w:val="24"/>
          <w:lang w:val="pt-PT"/>
        </w:rPr>
        <w:t xml:space="preserve">. </w:t>
      </w:r>
    </w:p>
    <w:p w:rsidR="00CA39B2" w:rsidRPr="003A1174" w:rsidRDefault="00EE7406" w:rsidP="008719D4">
      <w:pPr>
        <w:pStyle w:val="Predeterminado"/>
        <w:spacing w:before="240" w:line="240" w:lineRule="auto"/>
        <w:jc w:val="both"/>
        <w:rPr>
          <w:rFonts w:ascii="Garamond" w:hAnsi="Garamond" w:cs="Arial"/>
          <w:color w:val="auto"/>
          <w:sz w:val="24"/>
          <w:szCs w:val="24"/>
          <w:lang w:val="pt-PT"/>
        </w:rPr>
      </w:pPr>
      <w:r w:rsidRPr="003A1174">
        <w:rPr>
          <w:rFonts w:ascii="Garamond" w:eastAsia="Times New Roman" w:hAnsi="Garamond" w:cs="Arial"/>
          <w:color w:val="auto"/>
          <w:sz w:val="24"/>
          <w:szCs w:val="24"/>
          <w:lang w:val="pt-PT"/>
        </w:rPr>
        <w:t>Apesar</w:t>
      </w:r>
      <w:r w:rsidR="00E560D8" w:rsidRPr="003A1174">
        <w:rPr>
          <w:rFonts w:ascii="Garamond" w:eastAsia="Times New Roman" w:hAnsi="Garamond" w:cs="Arial"/>
          <w:color w:val="auto"/>
          <w:sz w:val="24"/>
          <w:szCs w:val="24"/>
          <w:lang w:val="pt-PT"/>
        </w:rPr>
        <w:t xml:space="preserve"> d</w:t>
      </w:r>
      <w:r w:rsidR="00CA39B2" w:rsidRPr="003A1174">
        <w:rPr>
          <w:rFonts w:ascii="Garamond" w:eastAsia="Times New Roman" w:hAnsi="Garamond" w:cs="Arial"/>
          <w:color w:val="auto"/>
          <w:sz w:val="24"/>
          <w:szCs w:val="24"/>
          <w:lang w:val="pt-PT"/>
        </w:rPr>
        <w:t xml:space="preserve">estas </w:t>
      </w:r>
      <w:r w:rsidR="00C30647" w:rsidRPr="003A1174">
        <w:rPr>
          <w:rFonts w:ascii="Garamond" w:eastAsia="Times New Roman" w:hAnsi="Garamond" w:cs="Arial"/>
          <w:color w:val="auto"/>
          <w:sz w:val="24"/>
          <w:szCs w:val="24"/>
          <w:lang w:val="pt-PT"/>
        </w:rPr>
        <w:t>dificuldade</w:t>
      </w:r>
      <w:r w:rsidR="00CA39B2" w:rsidRPr="003A1174">
        <w:rPr>
          <w:rFonts w:ascii="Garamond" w:eastAsia="Times New Roman" w:hAnsi="Garamond" w:cs="Arial"/>
          <w:color w:val="auto"/>
          <w:sz w:val="24"/>
          <w:szCs w:val="24"/>
          <w:lang w:val="pt-PT"/>
        </w:rPr>
        <w:t xml:space="preserve">s, </w:t>
      </w:r>
      <w:r w:rsidR="00E560D8" w:rsidRPr="003A1174">
        <w:rPr>
          <w:rFonts w:ascii="Garamond" w:eastAsia="Times New Roman" w:hAnsi="Garamond" w:cs="Arial"/>
          <w:color w:val="auto"/>
          <w:sz w:val="24"/>
          <w:szCs w:val="24"/>
          <w:lang w:val="pt-PT"/>
        </w:rPr>
        <w:t xml:space="preserve">realça-se que </w:t>
      </w:r>
      <w:r w:rsidR="00CA39B2" w:rsidRPr="003A1174">
        <w:rPr>
          <w:rFonts w:ascii="Garamond" w:eastAsia="Times New Roman" w:hAnsi="Garamond" w:cs="Arial"/>
          <w:color w:val="auto"/>
          <w:sz w:val="24"/>
          <w:szCs w:val="24"/>
          <w:lang w:val="pt-PT"/>
        </w:rPr>
        <w:t xml:space="preserve">as </w:t>
      </w:r>
      <w:r w:rsidR="003F012B" w:rsidRPr="003A1174">
        <w:rPr>
          <w:rFonts w:ascii="Garamond" w:eastAsia="Times New Roman" w:hAnsi="Garamond" w:cs="Arial"/>
          <w:color w:val="auto"/>
          <w:sz w:val="24"/>
          <w:szCs w:val="24"/>
          <w:lang w:val="pt-PT"/>
        </w:rPr>
        <w:t>vítima</w:t>
      </w:r>
      <w:r w:rsidR="00CA39B2" w:rsidRPr="003A1174">
        <w:rPr>
          <w:rFonts w:ascii="Garamond" w:eastAsia="Times New Roman" w:hAnsi="Garamond" w:cs="Arial"/>
          <w:color w:val="auto"/>
          <w:sz w:val="24"/>
          <w:szCs w:val="24"/>
          <w:lang w:val="pt-PT"/>
        </w:rPr>
        <w:t>s demo</w:t>
      </w:r>
      <w:r w:rsidR="00E560D8" w:rsidRPr="003A1174">
        <w:rPr>
          <w:rFonts w:ascii="Garamond" w:eastAsia="Times New Roman" w:hAnsi="Garamond" w:cs="Arial"/>
          <w:color w:val="auto"/>
          <w:sz w:val="24"/>
          <w:szCs w:val="24"/>
          <w:lang w:val="pt-PT"/>
        </w:rPr>
        <w:t>n</w:t>
      </w:r>
      <w:r w:rsidR="00CA39B2" w:rsidRPr="003A1174">
        <w:rPr>
          <w:rFonts w:ascii="Garamond" w:eastAsia="Times New Roman" w:hAnsi="Garamond" w:cs="Arial"/>
          <w:color w:val="auto"/>
          <w:sz w:val="24"/>
          <w:szCs w:val="24"/>
          <w:lang w:val="pt-PT"/>
        </w:rPr>
        <w:t>stra</w:t>
      </w:r>
      <w:r w:rsidR="00E560D8" w:rsidRPr="003A1174">
        <w:rPr>
          <w:rFonts w:ascii="Garamond" w:eastAsia="Times New Roman" w:hAnsi="Garamond" w:cs="Arial"/>
          <w:color w:val="auto"/>
          <w:sz w:val="24"/>
          <w:szCs w:val="24"/>
          <w:lang w:val="pt-PT"/>
        </w:rPr>
        <w:t xml:space="preserve">ram </w:t>
      </w:r>
      <w:r w:rsidR="00EF645F" w:rsidRPr="003A1174">
        <w:rPr>
          <w:rFonts w:ascii="Garamond" w:eastAsia="Times New Roman" w:hAnsi="Garamond" w:cs="Arial"/>
          <w:color w:val="auto"/>
          <w:sz w:val="24"/>
          <w:szCs w:val="24"/>
          <w:lang w:val="pt-PT"/>
        </w:rPr>
        <w:t>interesse</w:t>
      </w:r>
      <w:r w:rsidR="00CA39B2" w:rsidRPr="003A1174">
        <w:rPr>
          <w:rFonts w:ascii="Garamond" w:eastAsia="Times New Roman" w:hAnsi="Garamond" w:cs="Arial"/>
          <w:color w:val="auto"/>
          <w:sz w:val="24"/>
          <w:szCs w:val="24"/>
          <w:lang w:val="pt-PT"/>
        </w:rPr>
        <w:t xml:space="preserve"> </w:t>
      </w:r>
      <w:r w:rsidR="003C7CB4" w:rsidRPr="003A1174">
        <w:rPr>
          <w:rFonts w:ascii="Garamond" w:eastAsia="Times New Roman" w:hAnsi="Garamond" w:cs="Arial"/>
          <w:color w:val="auto"/>
          <w:sz w:val="24"/>
          <w:szCs w:val="24"/>
          <w:lang w:val="pt-PT"/>
        </w:rPr>
        <w:t>p</w:t>
      </w:r>
      <w:r w:rsidR="00E560D8" w:rsidRPr="003A1174">
        <w:rPr>
          <w:rFonts w:ascii="Garamond" w:eastAsia="Times New Roman" w:hAnsi="Garamond" w:cs="Arial"/>
          <w:color w:val="auto"/>
          <w:sz w:val="24"/>
          <w:szCs w:val="24"/>
          <w:lang w:val="pt-PT"/>
        </w:rPr>
        <w:t>e</w:t>
      </w:r>
      <w:r w:rsidR="00CA39B2" w:rsidRPr="003A1174">
        <w:rPr>
          <w:rFonts w:ascii="Garamond" w:eastAsia="Times New Roman" w:hAnsi="Garamond" w:cs="Arial"/>
          <w:color w:val="auto"/>
          <w:sz w:val="24"/>
          <w:szCs w:val="24"/>
          <w:lang w:val="pt-PT"/>
        </w:rPr>
        <w:t xml:space="preserve">los </w:t>
      </w:r>
      <w:r w:rsidR="00886D6A" w:rsidRPr="003A1174">
        <w:rPr>
          <w:rFonts w:ascii="Garamond" w:eastAsia="Times New Roman" w:hAnsi="Garamond" w:cs="Arial"/>
          <w:color w:val="auto"/>
          <w:sz w:val="24"/>
          <w:szCs w:val="24"/>
          <w:lang w:val="pt-PT"/>
        </w:rPr>
        <w:t>direito</w:t>
      </w:r>
      <w:r w:rsidR="00E560D8" w:rsidRPr="003A1174">
        <w:rPr>
          <w:rFonts w:ascii="Garamond" w:eastAsia="Times New Roman" w:hAnsi="Garamond" w:cs="Arial"/>
          <w:color w:val="auto"/>
          <w:sz w:val="24"/>
          <w:szCs w:val="24"/>
          <w:lang w:val="pt-PT"/>
        </w:rPr>
        <w:t xml:space="preserve">s que </w:t>
      </w:r>
      <w:r w:rsidR="00CA39B2" w:rsidRPr="003A1174">
        <w:rPr>
          <w:rFonts w:ascii="Garamond" w:eastAsia="Times New Roman" w:hAnsi="Garamond" w:cs="Arial"/>
          <w:color w:val="auto"/>
          <w:sz w:val="24"/>
          <w:szCs w:val="24"/>
          <w:lang w:val="pt-PT"/>
        </w:rPr>
        <w:t xml:space="preserve">as </w:t>
      </w:r>
      <w:r w:rsidR="00E560D8" w:rsidRPr="003A1174">
        <w:rPr>
          <w:rFonts w:ascii="Garamond" w:eastAsia="Times New Roman" w:hAnsi="Garamond" w:cs="Arial"/>
          <w:color w:val="auto"/>
          <w:sz w:val="24"/>
          <w:szCs w:val="24"/>
          <w:lang w:val="pt-PT"/>
        </w:rPr>
        <w:t xml:space="preserve">defendem, </w:t>
      </w:r>
      <w:r w:rsidR="003C7CB4" w:rsidRPr="003A1174">
        <w:rPr>
          <w:rFonts w:ascii="Garamond" w:eastAsia="Times New Roman" w:hAnsi="Garamond" w:cs="Arial"/>
          <w:color w:val="auto"/>
          <w:sz w:val="24"/>
          <w:szCs w:val="24"/>
          <w:lang w:val="pt-PT"/>
        </w:rPr>
        <w:t>porque</w:t>
      </w:r>
      <w:r w:rsidR="00CA39B2" w:rsidRPr="003A1174">
        <w:rPr>
          <w:rFonts w:ascii="Garamond" w:eastAsia="Times New Roman" w:hAnsi="Garamond" w:cs="Arial"/>
          <w:color w:val="auto"/>
          <w:sz w:val="24"/>
          <w:szCs w:val="24"/>
          <w:lang w:val="pt-PT"/>
        </w:rPr>
        <w:t xml:space="preserve"> </w:t>
      </w:r>
      <w:r w:rsidR="00E560D8" w:rsidRPr="003A1174">
        <w:rPr>
          <w:rFonts w:ascii="Garamond" w:eastAsia="Times New Roman" w:hAnsi="Garamond" w:cs="Arial"/>
          <w:color w:val="auto"/>
          <w:sz w:val="24"/>
          <w:szCs w:val="24"/>
          <w:lang w:val="pt-PT"/>
        </w:rPr>
        <w:t>comparecem na P</w:t>
      </w:r>
      <w:r w:rsidR="00C04CA4" w:rsidRPr="003A1174">
        <w:rPr>
          <w:rFonts w:ascii="Garamond" w:eastAsia="Times New Roman" w:hAnsi="Garamond" w:cs="Arial"/>
          <w:color w:val="auto"/>
          <w:sz w:val="24"/>
          <w:szCs w:val="24"/>
          <w:lang w:val="pt-PT"/>
        </w:rPr>
        <w:t>rovedoria de Justiça</w:t>
      </w:r>
      <w:r w:rsidR="00CA39B2" w:rsidRPr="003A1174">
        <w:rPr>
          <w:rFonts w:ascii="Garamond" w:eastAsia="Times New Roman" w:hAnsi="Garamond" w:cs="Arial"/>
          <w:color w:val="auto"/>
          <w:sz w:val="24"/>
          <w:szCs w:val="24"/>
          <w:lang w:val="pt-PT"/>
        </w:rPr>
        <w:t xml:space="preserve"> </w:t>
      </w:r>
      <w:r w:rsidR="00E560D8" w:rsidRPr="003A1174">
        <w:rPr>
          <w:rFonts w:ascii="Garamond" w:eastAsia="Times New Roman" w:hAnsi="Garamond" w:cs="Arial"/>
          <w:color w:val="auto"/>
          <w:sz w:val="24"/>
          <w:szCs w:val="24"/>
          <w:lang w:val="pt-PT"/>
        </w:rPr>
        <w:t xml:space="preserve">para se </w:t>
      </w:r>
      <w:r w:rsidR="009370B1">
        <w:rPr>
          <w:rFonts w:ascii="Garamond" w:eastAsia="Times New Roman" w:hAnsi="Garamond" w:cs="Arial"/>
          <w:color w:val="auto"/>
          <w:sz w:val="24"/>
          <w:szCs w:val="24"/>
          <w:lang w:val="pt-PT"/>
        </w:rPr>
        <w:t xml:space="preserve">informarem </w:t>
      </w:r>
      <w:r w:rsidR="00E560D8" w:rsidRPr="003A1174">
        <w:rPr>
          <w:rFonts w:ascii="Garamond" w:eastAsia="Times New Roman" w:hAnsi="Garamond" w:cs="Arial"/>
          <w:color w:val="auto"/>
          <w:sz w:val="24"/>
          <w:szCs w:val="24"/>
          <w:lang w:val="pt-PT"/>
        </w:rPr>
        <w:t>melhor</w:t>
      </w:r>
      <w:r w:rsidR="00CA39B2" w:rsidRPr="003A1174">
        <w:rPr>
          <w:rFonts w:ascii="Garamond" w:eastAsia="Times New Roman" w:hAnsi="Garamond" w:cs="Arial"/>
          <w:color w:val="auto"/>
          <w:sz w:val="24"/>
          <w:szCs w:val="24"/>
          <w:lang w:val="pt-PT"/>
        </w:rPr>
        <w:t xml:space="preserve"> so</w:t>
      </w:r>
      <w:r w:rsidR="00E560D8" w:rsidRPr="003A1174">
        <w:rPr>
          <w:rFonts w:ascii="Garamond" w:eastAsia="Times New Roman" w:hAnsi="Garamond" w:cs="Arial"/>
          <w:color w:val="auto"/>
          <w:sz w:val="24"/>
          <w:szCs w:val="24"/>
          <w:lang w:val="pt-PT"/>
        </w:rPr>
        <w:t xml:space="preserve">bre </w:t>
      </w:r>
      <w:r w:rsidR="009370B1">
        <w:rPr>
          <w:rFonts w:ascii="Garamond" w:eastAsia="Times New Roman" w:hAnsi="Garamond" w:cs="Arial"/>
          <w:color w:val="auto"/>
          <w:sz w:val="24"/>
          <w:szCs w:val="24"/>
          <w:lang w:val="pt-PT"/>
        </w:rPr>
        <w:t xml:space="preserve">quais </w:t>
      </w:r>
      <w:r w:rsidR="00CA39B2" w:rsidRPr="003A1174">
        <w:rPr>
          <w:rFonts w:ascii="Garamond" w:eastAsia="Times New Roman" w:hAnsi="Garamond" w:cs="Arial"/>
          <w:color w:val="auto"/>
          <w:sz w:val="24"/>
          <w:szCs w:val="24"/>
          <w:lang w:val="pt-PT"/>
        </w:rPr>
        <w:t xml:space="preserve">os </w:t>
      </w:r>
      <w:r w:rsidR="003F012B" w:rsidRPr="003A1174">
        <w:rPr>
          <w:rFonts w:ascii="Garamond" w:eastAsia="Times New Roman" w:hAnsi="Garamond" w:cs="Arial"/>
          <w:color w:val="auto"/>
          <w:sz w:val="24"/>
          <w:szCs w:val="24"/>
          <w:lang w:val="pt-PT"/>
        </w:rPr>
        <w:t>procedimentos</w:t>
      </w:r>
      <w:r w:rsidR="00CA39B2" w:rsidRPr="003A1174">
        <w:rPr>
          <w:rFonts w:ascii="Garamond" w:eastAsia="Times New Roman" w:hAnsi="Garamond" w:cs="Arial"/>
          <w:color w:val="auto"/>
          <w:sz w:val="24"/>
          <w:szCs w:val="24"/>
          <w:lang w:val="pt-PT"/>
        </w:rPr>
        <w:t xml:space="preserve"> para realizar</w:t>
      </w:r>
      <w:r w:rsidR="00E560D8" w:rsidRPr="003A1174">
        <w:rPr>
          <w:rFonts w:ascii="Garamond" w:eastAsia="Times New Roman" w:hAnsi="Garamond" w:cs="Arial"/>
          <w:color w:val="auto"/>
          <w:sz w:val="24"/>
          <w:szCs w:val="24"/>
          <w:lang w:val="pt-PT"/>
        </w:rPr>
        <w:t xml:space="preserve">em as </w:t>
      </w:r>
      <w:r w:rsidR="00CA39B2" w:rsidRPr="003A1174">
        <w:rPr>
          <w:rFonts w:ascii="Garamond" w:eastAsia="Times New Roman" w:hAnsi="Garamond" w:cs="Arial"/>
          <w:color w:val="auto"/>
          <w:sz w:val="24"/>
          <w:szCs w:val="24"/>
          <w:lang w:val="pt-PT"/>
        </w:rPr>
        <w:t>su</w:t>
      </w:r>
      <w:r w:rsidR="00E560D8" w:rsidRPr="003A1174">
        <w:rPr>
          <w:rFonts w:ascii="Garamond" w:eastAsia="Times New Roman" w:hAnsi="Garamond" w:cs="Arial"/>
          <w:color w:val="auto"/>
          <w:sz w:val="24"/>
          <w:szCs w:val="24"/>
          <w:lang w:val="pt-PT"/>
        </w:rPr>
        <w:t>a</w:t>
      </w:r>
      <w:r w:rsidR="00CA39B2" w:rsidRPr="003A1174">
        <w:rPr>
          <w:rFonts w:ascii="Garamond" w:eastAsia="Times New Roman" w:hAnsi="Garamond" w:cs="Arial"/>
          <w:color w:val="auto"/>
          <w:sz w:val="24"/>
          <w:szCs w:val="24"/>
          <w:lang w:val="pt-PT"/>
        </w:rPr>
        <w:t xml:space="preserve">s </w:t>
      </w:r>
      <w:r w:rsidR="008651AF" w:rsidRPr="003A1174">
        <w:rPr>
          <w:rFonts w:ascii="Garamond" w:eastAsia="Times New Roman" w:hAnsi="Garamond" w:cs="Arial"/>
          <w:color w:val="auto"/>
          <w:sz w:val="24"/>
          <w:szCs w:val="24"/>
          <w:lang w:val="pt-PT"/>
        </w:rPr>
        <w:t>denúncia</w:t>
      </w:r>
      <w:r w:rsidR="00CA39B2" w:rsidRPr="003A1174">
        <w:rPr>
          <w:rFonts w:ascii="Garamond" w:eastAsia="Times New Roman" w:hAnsi="Garamond" w:cs="Arial"/>
          <w:color w:val="auto"/>
          <w:sz w:val="24"/>
          <w:szCs w:val="24"/>
          <w:lang w:val="pt-PT"/>
        </w:rPr>
        <w:t>s.</w:t>
      </w:r>
    </w:p>
    <w:p w:rsidR="000116D8" w:rsidRPr="003A1174" w:rsidRDefault="00C30647" w:rsidP="008719D4">
      <w:pPr>
        <w:pStyle w:val="Ttulo3"/>
        <w:spacing w:line="240" w:lineRule="auto"/>
        <w:rPr>
          <w:rFonts w:ascii="Garamond" w:hAnsi="Garamond"/>
          <w:sz w:val="24"/>
          <w:szCs w:val="24"/>
        </w:rPr>
      </w:pPr>
      <w:bookmarkStart w:id="51" w:name="_Toc421529739"/>
      <w:r w:rsidRPr="003A1174">
        <w:rPr>
          <w:rFonts w:ascii="Garamond" w:hAnsi="Garamond"/>
          <w:sz w:val="24"/>
          <w:szCs w:val="24"/>
        </w:rPr>
        <w:t>Peru</w:t>
      </w:r>
      <w:bookmarkEnd w:id="51"/>
    </w:p>
    <w:p w:rsidR="000116D8" w:rsidRPr="003A1174" w:rsidRDefault="009370B1" w:rsidP="008719D4">
      <w:pPr>
        <w:pStyle w:val="ListParagraph1"/>
        <w:tabs>
          <w:tab w:val="left" w:pos="708"/>
        </w:tabs>
        <w:suppressAutoHyphens/>
        <w:spacing w:before="240" w:line="240" w:lineRule="auto"/>
        <w:ind w:left="0"/>
        <w:jc w:val="both"/>
        <w:rPr>
          <w:rFonts w:ascii="Garamond" w:hAnsi="Garamond" w:cs="Arial"/>
          <w:sz w:val="24"/>
          <w:szCs w:val="24"/>
          <w:lang w:val="pt-PT"/>
        </w:rPr>
      </w:pPr>
      <w:r>
        <w:rPr>
          <w:rFonts w:ascii="Garamond" w:hAnsi="Garamond" w:cs="Arial"/>
          <w:sz w:val="24"/>
          <w:szCs w:val="24"/>
          <w:lang w:val="pt-PT"/>
        </w:rPr>
        <w:t xml:space="preserve">No Peru, </w:t>
      </w:r>
      <w:r w:rsidR="005F2C5E">
        <w:rPr>
          <w:rFonts w:ascii="Garamond" w:hAnsi="Garamond" w:cs="Arial"/>
          <w:sz w:val="24"/>
          <w:szCs w:val="24"/>
          <w:lang w:val="pt-PT"/>
        </w:rPr>
        <w:t>em</w:t>
      </w:r>
      <w:r w:rsidR="00E560D8"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25 de </w:t>
      </w:r>
      <w:r w:rsidR="00077461" w:rsidRPr="003A1174">
        <w:rPr>
          <w:rFonts w:ascii="Garamond" w:hAnsi="Garamond" w:cs="Arial"/>
          <w:sz w:val="24"/>
          <w:szCs w:val="24"/>
          <w:lang w:val="pt-PT"/>
        </w:rPr>
        <w:t>junho</w:t>
      </w:r>
      <w:r w:rsidR="000116D8" w:rsidRPr="003A1174">
        <w:rPr>
          <w:rFonts w:ascii="Garamond" w:hAnsi="Garamond" w:cs="Arial"/>
          <w:sz w:val="24"/>
          <w:szCs w:val="24"/>
          <w:lang w:val="pt-PT"/>
        </w:rPr>
        <w:t xml:space="preserve"> de 2014</w:t>
      </w:r>
      <w:r w:rsidR="003C7CB4" w:rsidRPr="003A1174">
        <w:rPr>
          <w:rFonts w:ascii="Garamond" w:hAnsi="Garamond" w:cs="Arial"/>
          <w:sz w:val="24"/>
          <w:szCs w:val="24"/>
          <w:lang w:val="pt-PT"/>
        </w:rPr>
        <w:t>,</w:t>
      </w:r>
      <w:r w:rsidR="000116D8" w:rsidRPr="003A1174">
        <w:rPr>
          <w:rFonts w:ascii="Garamond" w:hAnsi="Garamond" w:cs="Arial"/>
          <w:sz w:val="24"/>
          <w:szCs w:val="24"/>
          <w:lang w:val="pt-PT"/>
        </w:rPr>
        <w:t xml:space="preserve"> </w:t>
      </w:r>
      <w:r w:rsidR="00E560D8" w:rsidRPr="003A1174">
        <w:rPr>
          <w:rFonts w:ascii="Garamond" w:hAnsi="Garamond" w:cs="Arial"/>
          <w:sz w:val="24"/>
          <w:szCs w:val="24"/>
          <w:lang w:val="pt-PT"/>
        </w:rPr>
        <w:t xml:space="preserve">o </w:t>
      </w:r>
      <w:r w:rsidR="000116D8" w:rsidRPr="003A1174">
        <w:rPr>
          <w:rFonts w:ascii="Garamond" w:hAnsi="Garamond" w:cs="Arial"/>
          <w:sz w:val="24"/>
          <w:szCs w:val="24"/>
          <w:lang w:val="pt-PT"/>
        </w:rPr>
        <w:t xml:space="preserve">Representante </w:t>
      </w:r>
      <w:r w:rsidR="00E85E59" w:rsidRPr="003A1174">
        <w:rPr>
          <w:rFonts w:ascii="Garamond" w:hAnsi="Garamond" w:cs="Arial"/>
          <w:sz w:val="24"/>
          <w:szCs w:val="24"/>
          <w:lang w:val="pt-PT"/>
        </w:rPr>
        <w:t>do</w:t>
      </w:r>
      <w:r w:rsidR="000116D8" w:rsidRPr="003A1174">
        <w:rPr>
          <w:rFonts w:ascii="Garamond" w:hAnsi="Garamond" w:cs="Arial"/>
          <w:sz w:val="24"/>
          <w:szCs w:val="24"/>
          <w:lang w:val="pt-PT"/>
        </w:rPr>
        <w:t xml:space="preserve"> </w:t>
      </w:r>
      <w:r w:rsidR="00E560D8" w:rsidRPr="003A1174">
        <w:rPr>
          <w:rFonts w:ascii="Garamond" w:hAnsi="Garamond" w:cs="Arial"/>
          <w:sz w:val="24"/>
          <w:szCs w:val="24"/>
          <w:lang w:val="pt-PT"/>
        </w:rPr>
        <w:t>Fundo</w:t>
      </w:r>
      <w:r w:rsidR="000116D8" w:rsidRPr="003A1174">
        <w:rPr>
          <w:rFonts w:ascii="Garamond" w:hAnsi="Garamond" w:cs="Arial"/>
          <w:sz w:val="24"/>
          <w:szCs w:val="24"/>
          <w:lang w:val="pt-PT"/>
        </w:rPr>
        <w:t xml:space="preserve"> de </w:t>
      </w:r>
      <w:r w:rsidR="007A2492" w:rsidRPr="003A1174">
        <w:rPr>
          <w:rFonts w:ascii="Garamond" w:hAnsi="Garamond" w:cs="Arial"/>
          <w:sz w:val="24"/>
          <w:szCs w:val="24"/>
          <w:lang w:val="pt-PT"/>
        </w:rPr>
        <w:t>População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3F012B" w:rsidRPr="003A1174">
        <w:rPr>
          <w:rFonts w:ascii="Garamond" w:hAnsi="Garamond" w:cs="Arial"/>
          <w:sz w:val="24"/>
          <w:szCs w:val="24"/>
          <w:lang w:val="pt-PT"/>
        </w:rPr>
        <w:t>Nações</w:t>
      </w:r>
      <w:r w:rsidR="000116D8" w:rsidRPr="003A1174">
        <w:rPr>
          <w:rFonts w:ascii="Garamond" w:hAnsi="Garamond" w:cs="Arial"/>
          <w:sz w:val="24"/>
          <w:szCs w:val="24"/>
          <w:lang w:val="pt-PT"/>
        </w:rPr>
        <w:t xml:space="preserve"> Unidas (UNFPA)</w:t>
      </w:r>
      <w:r w:rsidR="00496CB2" w:rsidRPr="003A1174">
        <w:rPr>
          <w:rFonts w:ascii="Garamond" w:hAnsi="Garamond" w:cs="Arial"/>
          <w:sz w:val="24"/>
          <w:szCs w:val="24"/>
          <w:lang w:val="pt-PT"/>
        </w:rPr>
        <w:t>, Pedro</w:t>
      </w:r>
      <w:r w:rsidR="000116D8" w:rsidRPr="003A1174">
        <w:rPr>
          <w:rFonts w:ascii="Garamond" w:hAnsi="Garamond" w:cs="Arial"/>
          <w:sz w:val="24"/>
          <w:szCs w:val="24"/>
          <w:lang w:val="pt-PT"/>
        </w:rPr>
        <w:t xml:space="preserve"> Pablo Villanueva,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E560D8" w:rsidRPr="003A1174">
        <w:rPr>
          <w:rFonts w:ascii="Garamond" w:hAnsi="Garamond" w:cs="Arial"/>
          <w:sz w:val="24"/>
          <w:szCs w:val="24"/>
          <w:lang w:val="pt-PT"/>
        </w:rPr>
        <w:t xml:space="preserve">o </w:t>
      </w:r>
      <w:r w:rsidR="004C1496" w:rsidRPr="003A1174">
        <w:rPr>
          <w:rFonts w:ascii="Garamond" w:hAnsi="Garamond" w:cs="Arial"/>
          <w:sz w:val="24"/>
          <w:szCs w:val="24"/>
          <w:lang w:val="pt-PT"/>
        </w:rPr>
        <w:t>Provedor de Justiça</w:t>
      </w:r>
      <w:r w:rsidR="000116D8" w:rsidRPr="003A1174">
        <w:rPr>
          <w:rFonts w:ascii="Garamond" w:hAnsi="Garamond" w:cs="Arial"/>
          <w:sz w:val="24"/>
          <w:szCs w:val="24"/>
          <w:lang w:val="pt-PT"/>
        </w:rPr>
        <w:t xml:space="preserve"> (e), Eduardo Vega Luna, </w:t>
      </w:r>
      <w:r w:rsidR="00E560D8" w:rsidRPr="003A1174">
        <w:rPr>
          <w:rFonts w:ascii="Garamond" w:hAnsi="Garamond" w:cs="Arial"/>
          <w:sz w:val="24"/>
          <w:szCs w:val="24"/>
          <w:lang w:val="pt-PT"/>
        </w:rPr>
        <w:t xml:space="preserve">assinaram um </w:t>
      </w:r>
      <w:r w:rsidR="009024A0" w:rsidRPr="003A1174">
        <w:rPr>
          <w:rFonts w:ascii="Garamond" w:hAnsi="Garamond" w:cs="Arial"/>
          <w:sz w:val="24"/>
          <w:szCs w:val="24"/>
          <w:lang w:val="pt-PT"/>
        </w:rPr>
        <w:t>Acordo</w:t>
      </w:r>
      <w:r w:rsidR="000116D8" w:rsidRPr="003A1174">
        <w:rPr>
          <w:rFonts w:ascii="Garamond" w:hAnsi="Garamond" w:cs="Arial"/>
          <w:sz w:val="24"/>
          <w:szCs w:val="24"/>
          <w:lang w:val="pt-PT"/>
        </w:rPr>
        <w:t xml:space="preserve"> de </w:t>
      </w:r>
      <w:r w:rsidR="00C30647" w:rsidRPr="003A1174">
        <w:rPr>
          <w:rFonts w:ascii="Garamond" w:hAnsi="Garamond" w:cs="Arial"/>
          <w:sz w:val="24"/>
          <w:szCs w:val="24"/>
          <w:lang w:val="pt-PT"/>
        </w:rPr>
        <w:t>Cooperação</w:t>
      </w:r>
      <w:r w:rsidR="005F2C5E">
        <w:rPr>
          <w:rFonts w:ascii="Garamond" w:hAnsi="Garamond" w:cs="Arial"/>
          <w:sz w:val="24"/>
          <w:szCs w:val="24"/>
          <w:lang w:val="pt-PT"/>
        </w:rPr>
        <w:t>,</w:t>
      </w:r>
      <w:r w:rsidR="000116D8" w:rsidRPr="003A1174">
        <w:rPr>
          <w:rFonts w:ascii="Garamond" w:hAnsi="Garamond" w:cs="Arial"/>
          <w:sz w:val="24"/>
          <w:szCs w:val="24"/>
          <w:lang w:val="pt-PT"/>
        </w:rPr>
        <w:t xml:space="preserve"> </w:t>
      </w:r>
      <w:r w:rsidR="002C7510" w:rsidRPr="003A1174">
        <w:rPr>
          <w:rFonts w:ascii="Garamond" w:hAnsi="Garamond" w:cs="Arial"/>
          <w:sz w:val="24"/>
          <w:szCs w:val="24"/>
          <w:lang w:val="pt-PT"/>
        </w:rPr>
        <w:t>graças</w:t>
      </w:r>
      <w:r w:rsidR="003C7CB4" w:rsidRPr="003A1174">
        <w:rPr>
          <w:rFonts w:ascii="Garamond" w:hAnsi="Garamond" w:cs="Arial"/>
          <w:sz w:val="24"/>
          <w:szCs w:val="24"/>
          <w:lang w:val="pt-PT"/>
        </w:rPr>
        <w:t xml:space="preserve"> a</w:t>
      </w:r>
      <w:r w:rsidR="00E560D8" w:rsidRPr="003A1174">
        <w:rPr>
          <w:rFonts w:ascii="Garamond" w:hAnsi="Garamond" w:cs="Arial"/>
          <w:sz w:val="24"/>
          <w:szCs w:val="24"/>
          <w:lang w:val="pt-PT"/>
        </w:rPr>
        <w:t>o q</w:t>
      </w:r>
      <w:r w:rsidR="000116D8" w:rsidRPr="003A1174">
        <w:rPr>
          <w:rFonts w:ascii="Garamond" w:hAnsi="Garamond" w:cs="Arial"/>
          <w:sz w:val="24"/>
          <w:szCs w:val="24"/>
          <w:lang w:val="pt-PT"/>
        </w:rPr>
        <w:t>ual</w:t>
      </w:r>
      <w:r w:rsidR="005F2C5E">
        <w:rPr>
          <w:rFonts w:ascii="Garamond" w:hAnsi="Garamond" w:cs="Arial"/>
          <w:sz w:val="24"/>
          <w:szCs w:val="24"/>
          <w:lang w:val="pt-PT"/>
        </w:rPr>
        <w:t>,</w:t>
      </w:r>
      <w:r w:rsidR="000116D8" w:rsidRPr="003A1174">
        <w:rPr>
          <w:rFonts w:ascii="Garamond" w:hAnsi="Garamond" w:cs="Arial"/>
          <w:sz w:val="24"/>
          <w:szCs w:val="24"/>
          <w:lang w:val="pt-PT"/>
        </w:rPr>
        <w:t xml:space="preserve"> se</w:t>
      </w:r>
      <w:r w:rsidR="005F2C5E">
        <w:rPr>
          <w:rFonts w:ascii="Garamond" w:hAnsi="Garamond" w:cs="Arial"/>
          <w:sz w:val="24"/>
          <w:szCs w:val="24"/>
          <w:lang w:val="pt-PT"/>
        </w:rPr>
        <w:t>rá</w:t>
      </w:r>
      <w:r w:rsidR="000116D8" w:rsidRPr="003A1174">
        <w:rPr>
          <w:rFonts w:ascii="Garamond" w:hAnsi="Garamond" w:cs="Arial"/>
          <w:sz w:val="24"/>
          <w:szCs w:val="24"/>
          <w:lang w:val="pt-PT"/>
        </w:rPr>
        <w:t xml:space="preserve"> presta</w:t>
      </w:r>
      <w:r w:rsidR="005F2C5E">
        <w:rPr>
          <w:rFonts w:ascii="Garamond" w:hAnsi="Garamond" w:cs="Arial"/>
          <w:sz w:val="24"/>
          <w:szCs w:val="24"/>
          <w:lang w:val="pt-PT"/>
        </w:rPr>
        <w:t>do</w:t>
      </w:r>
      <w:r w:rsidR="000116D8" w:rsidRPr="003A1174">
        <w:rPr>
          <w:rFonts w:ascii="Garamond" w:hAnsi="Garamond" w:cs="Arial"/>
          <w:sz w:val="24"/>
          <w:szCs w:val="24"/>
          <w:lang w:val="pt-PT"/>
        </w:rPr>
        <w:t xml:space="preserve"> </w:t>
      </w:r>
      <w:r w:rsidR="00791197" w:rsidRPr="003A1174">
        <w:rPr>
          <w:rFonts w:ascii="Garamond" w:hAnsi="Garamond" w:cs="Arial"/>
          <w:sz w:val="24"/>
          <w:szCs w:val="24"/>
          <w:lang w:val="pt-PT"/>
        </w:rPr>
        <w:t>apoio</w:t>
      </w:r>
      <w:r w:rsidR="000116D8" w:rsidRPr="003A1174">
        <w:rPr>
          <w:rFonts w:ascii="Garamond" w:hAnsi="Garamond" w:cs="Arial"/>
          <w:sz w:val="24"/>
          <w:szCs w:val="24"/>
          <w:lang w:val="pt-PT"/>
        </w:rPr>
        <w:t xml:space="preserve"> a</w:t>
      </w:r>
      <w:r w:rsidR="00E560D8" w:rsidRPr="003A1174">
        <w:rPr>
          <w:rFonts w:ascii="Garamond" w:hAnsi="Garamond" w:cs="Arial"/>
          <w:sz w:val="24"/>
          <w:szCs w:val="24"/>
          <w:lang w:val="pt-PT"/>
        </w:rPr>
        <w:t>o</w:t>
      </w:r>
      <w:r w:rsidR="000116D8" w:rsidRPr="003A1174">
        <w:rPr>
          <w:rFonts w:ascii="Garamond" w:hAnsi="Garamond" w:cs="Arial"/>
          <w:sz w:val="24"/>
          <w:szCs w:val="24"/>
          <w:lang w:val="pt-PT"/>
        </w:rPr>
        <w:t xml:space="preserve"> </w:t>
      </w:r>
      <w:r w:rsidR="0017447A" w:rsidRPr="003A1174">
        <w:rPr>
          <w:rFonts w:ascii="Garamond" w:hAnsi="Garamond" w:cs="Arial"/>
          <w:sz w:val="24"/>
          <w:szCs w:val="24"/>
          <w:lang w:val="pt-PT"/>
        </w:rPr>
        <w:t>trabalho</w:t>
      </w:r>
      <w:r w:rsidR="000116D8" w:rsidRPr="003A1174">
        <w:rPr>
          <w:rFonts w:ascii="Garamond" w:hAnsi="Garamond" w:cs="Arial"/>
          <w:sz w:val="24"/>
          <w:szCs w:val="24"/>
          <w:lang w:val="pt-PT"/>
        </w:rPr>
        <w:t xml:space="preserve"> institucional </w:t>
      </w:r>
      <w:r w:rsidR="00E560D8" w:rsidRPr="003A1174">
        <w:rPr>
          <w:rFonts w:ascii="Garamond" w:hAnsi="Garamond" w:cs="Arial"/>
          <w:sz w:val="24"/>
          <w:szCs w:val="24"/>
          <w:lang w:val="pt-PT"/>
        </w:rPr>
        <w:t xml:space="preserve">a </w:t>
      </w:r>
      <w:r w:rsidR="000116D8" w:rsidRPr="003A1174">
        <w:rPr>
          <w:rFonts w:ascii="Garamond" w:hAnsi="Garamond" w:cs="Arial"/>
          <w:sz w:val="24"/>
          <w:szCs w:val="24"/>
          <w:lang w:val="pt-PT"/>
        </w:rPr>
        <w:t xml:space="preserve">favor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91213A" w:rsidRPr="003A1174">
        <w:rPr>
          <w:rFonts w:ascii="Garamond" w:hAnsi="Garamond" w:cs="Arial"/>
          <w:sz w:val="24"/>
          <w:szCs w:val="24"/>
          <w:lang w:val="pt-PT"/>
        </w:rPr>
        <w:t>populações</w:t>
      </w:r>
      <w:r w:rsidR="000116D8" w:rsidRPr="003A1174">
        <w:rPr>
          <w:rFonts w:ascii="Garamond" w:hAnsi="Garamond" w:cs="Arial"/>
          <w:sz w:val="24"/>
          <w:szCs w:val="24"/>
          <w:lang w:val="pt-PT"/>
        </w:rPr>
        <w:t xml:space="preserve"> e</w:t>
      </w:r>
      <w:r w:rsidR="00E560D8" w:rsidRPr="003A1174">
        <w:rPr>
          <w:rFonts w:ascii="Garamond" w:hAnsi="Garamond" w:cs="Arial"/>
          <w:sz w:val="24"/>
          <w:szCs w:val="24"/>
          <w:lang w:val="pt-PT"/>
        </w:rPr>
        <w:t>m</w:t>
      </w:r>
      <w:r w:rsidR="000116D8" w:rsidRPr="003A1174">
        <w:rPr>
          <w:rFonts w:ascii="Garamond" w:hAnsi="Garamond" w:cs="Arial"/>
          <w:sz w:val="24"/>
          <w:szCs w:val="24"/>
          <w:lang w:val="pt-PT"/>
        </w:rPr>
        <w:t xml:space="preserve"> </w:t>
      </w:r>
      <w:r w:rsidR="0017447A" w:rsidRPr="003A1174">
        <w:rPr>
          <w:rFonts w:ascii="Garamond" w:hAnsi="Garamond" w:cs="Arial"/>
          <w:sz w:val="24"/>
          <w:szCs w:val="24"/>
          <w:lang w:val="pt-PT"/>
        </w:rPr>
        <w:t>situação</w:t>
      </w:r>
      <w:r w:rsidR="000116D8" w:rsidRPr="003A1174">
        <w:rPr>
          <w:rFonts w:ascii="Garamond" w:hAnsi="Garamond" w:cs="Arial"/>
          <w:sz w:val="24"/>
          <w:szCs w:val="24"/>
          <w:lang w:val="pt-PT"/>
        </w:rPr>
        <w:t xml:space="preserve"> de </w:t>
      </w:r>
      <w:r w:rsidR="004E3A1A" w:rsidRPr="003A1174">
        <w:rPr>
          <w:rFonts w:ascii="Garamond" w:hAnsi="Garamond" w:cs="Arial"/>
          <w:sz w:val="24"/>
          <w:szCs w:val="24"/>
          <w:lang w:val="pt-PT"/>
        </w:rPr>
        <w:t>vulnerabilidade</w:t>
      </w:r>
      <w:r w:rsidR="000116D8"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964875" w:rsidRPr="003A1174">
        <w:rPr>
          <w:rFonts w:ascii="Garamond" w:hAnsi="Garamond" w:cs="Arial"/>
          <w:sz w:val="24"/>
          <w:szCs w:val="24"/>
          <w:lang w:val="pt-PT"/>
        </w:rPr>
        <w:t>crianças</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adolescentes </w:t>
      </w:r>
      <w:r w:rsidR="00E85E59" w:rsidRPr="003A1174">
        <w:rPr>
          <w:rFonts w:ascii="Garamond" w:hAnsi="Garamond" w:cs="Arial"/>
          <w:sz w:val="24"/>
          <w:szCs w:val="24"/>
          <w:lang w:val="pt-PT"/>
        </w:rPr>
        <w:t>do</w:t>
      </w:r>
      <w:r w:rsidR="000116D8" w:rsidRPr="003A1174">
        <w:rPr>
          <w:rFonts w:ascii="Garamond" w:hAnsi="Garamond" w:cs="Arial"/>
          <w:sz w:val="24"/>
          <w:szCs w:val="24"/>
          <w:lang w:val="pt-PT"/>
        </w:rPr>
        <w:t xml:space="preserve"> país.</w:t>
      </w:r>
    </w:p>
    <w:p w:rsidR="000116D8" w:rsidRPr="003A1174" w:rsidRDefault="000116D8"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 xml:space="preserve">Este </w:t>
      </w:r>
      <w:r w:rsidR="00E560D8" w:rsidRPr="003A1174">
        <w:rPr>
          <w:rFonts w:ascii="Garamond" w:hAnsi="Garamond" w:cs="Arial"/>
          <w:sz w:val="24"/>
          <w:szCs w:val="24"/>
          <w:lang w:val="pt-PT"/>
        </w:rPr>
        <w:t>acordo pretende apoiar</w:t>
      </w:r>
      <w:r w:rsidRPr="003A1174">
        <w:rPr>
          <w:rFonts w:ascii="Garamond" w:hAnsi="Garamond" w:cs="Arial"/>
          <w:sz w:val="24"/>
          <w:szCs w:val="24"/>
          <w:lang w:val="pt-PT"/>
        </w:rPr>
        <w:t xml:space="preserve"> </w:t>
      </w:r>
      <w:r w:rsidR="00E560D8" w:rsidRPr="003A1174">
        <w:rPr>
          <w:rFonts w:ascii="Garamond" w:hAnsi="Garamond" w:cs="Arial"/>
          <w:sz w:val="24"/>
          <w:szCs w:val="24"/>
          <w:lang w:val="pt-PT"/>
        </w:rPr>
        <w:t xml:space="preserve">o </w:t>
      </w:r>
      <w:r w:rsidR="0017447A" w:rsidRPr="003A1174">
        <w:rPr>
          <w:rFonts w:ascii="Garamond" w:hAnsi="Garamond" w:cs="Arial"/>
          <w:sz w:val="24"/>
          <w:szCs w:val="24"/>
          <w:lang w:val="pt-PT"/>
        </w:rPr>
        <w:t>trabalho</w:t>
      </w:r>
      <w:r w:rsidRPr="003A1174">
        <w:rPr>
          <w:rFonts w:ascii="Garamond" w:hAnsi="Garamond" w:cs="Arial"/>
          <w:sz w:val="24"/>
          <w:szCs w:val="24"/>
          <w:lang w:val="pt-PT"/>
        </w:rPr>
        <w:t xml:space="preserve"> da </w:t>
      </w:r>
      <w:r w:rsidR="00C04CA4" w:rsidRPr="003A1174">
        <w:rPr>
          <w:rFonts w:ascii="Garamond" w:hAnsi="Garamond" w:cs="Arial"/>
          <w:sz w:val="24"/>
          <w:szCs w:val="24"/>
          <w:lang w:val="pt-PT"/>
        </w:rPr>
        <w:t>Provedoria de Justiça</w:t>
      </w:r>
      <w:r w:rsidR="005F2C5E">
        <w:rPr>
          <w:rFonts w:ascii="Garamond" w:hAnsi="Garamond" w:cs="Arial"/>
          <w:sz w:val="24"/>
          <w:szCs w:val="24"/>
          <w:lang w:val="pt-PT"/>
        </w:rPr>
        <w:t>,</w:t>
      </w:r>
      <w:r w:rsidRPr="003A1174">
        <w:rPr>
          <w:rFonts w:ascii="Garamond" w:hAnsi="Garamond" w:cs="Arial"/>
          <w:sz w:val="24"/>
          <w:szCs w:val="24"/>
          <w:lang w:val="pt-PT"/>
        </w:rPr>
        <w:t xml:space="preserve"> </w:t>
      </w:r>
      <w:r w:rsidR="00E560D8" w:rsidRPr="003A1174">
        <w:rPr>
          <w:rFonts w:ascii="Garamond" w:hAnsi="Garamond" w:cs="Arial"/>
          <w:sz w:val="24"/>
          <w:szCs w:val="24"/>
          <w:lang w:val="pt-PT"/>
        </w:rPr>
        <w:t xml:space="preserve">relativamente à </w:t>
      </w:r>
      <w:r w:rsidR="002F5CD1" w:rsidRPr="003A1174">
        <w:rPr>
          <w:rFonts w:ascii="Garamond" w:hAnsi="Garamond" w:cs="Arial"/>
          <w:sz w:val="24"/>
          <w:szCs w:val="24"/>
          <w:lang w:val="pt-PT"/>
        </w:rPr>
        <w:t>promoção</w:t>
      </w:r>
      <w:r w:rsidRPr="003A1174">
        <w:rPr>
          <w:rFonts w:ascii="Garamond" w:hAnsi="Garamond" w:cs="Arial"/>
          <w:sz w:val="24"/>
          <w:szCs w:val="24"/>
          <w:lang w:val="pt-PT"/>
        </w:rPr>
        <w:t xml:space="preserve">, </w:t>
      </w:r>
      <w:r w:rsidR="00886D6A" w:rsidRPr="003A1174">
        <w:rPr>
          <w:rFonts w:ascii="Garamond" w:hAnsi="Garamond" w:cs="Arial"/>
          <w:sz w:val="24"/>
          <w:szCs w:val="24"/>
          <w:lang w:val="pt-PT"/>
        </w:rPr>
        <w:t>proteção</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2C7510" w:rsidRPr="003A1174">
        <w:rPr>
          <w:rFonts w:ascii="Garamond" w:hAnsi="Garamond" w:cs="Arial"/>
          <w:sz w:val="24"/>
          <w:szCs w:val="24"/>
          <w:lang w:val="pt-PT"/>
        </w:rPr>
        <w:t>defesa</w:t>
      </w:r>
      <w:r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Pr="003A1174">
        <w:rPr>
          <w:rFonts w:ascii="Garamond" w:hAnsi="Garamond" w:cs="Arial"/>
          <w:sz w:val="24"/>
          <w:szCs w:val="24"/>
          <w:lang w:val="pt-PT"/>
        </w:rPr>
        <w:t xml:space="preserve">s humanos da </w:t>
      </w:r>
      <w:r w:rsidR="007A2492" w:rsidRPr="003A1174">
        <w:rPr>
          <w:rFonts w:ascii="Garamond" w:hAnsi="Garamond" w:cs="Arial"/>
          <w:sz w:val="24"/>
          <w:szCs w:val="24"/>
          <w:lang w:val="pt-PT"/>
        </w:rPr>
        <w:t>população</w:t>
      </w:r>
      <w:r w:rsidR="00E560D8" w:rsidRPr="003A1174">
        <w:rPr>
          <w:rFonts w:ascii="Garamond" w:hAnsi="Garamond" w:cs="Arial"/>
          <w:sz w:val="24"/>
          <w:szCs w:val="24"/>
          <w:lang w:val="pt-PT"/>
        </w:rPr>
        <w:t>, em particular</w:t>
      </w:r>
      <w:r w:rsidR="005F2C5E">
        <w:rPr>
          <w:rFonts w:ascii="Garamond" w:hAnsi="Garamond" w:cs="Arial"/>
          <w:sz w:val="24"/>
          <w:szCs w:val="24"/>
          <w:lang w:val="pt-PT"/>
        </w:rPr>
        <w:t>,</w:t>
      </w:r>
      <w:r w:rsidR="00E560D8" w:rsidRPr="003A1174">
        <w:rPr>
          <w:rFonts w:ascii="Garamond" w:hAnsi="Garamond" w:cs="Arial"/>
          <w:sz w:val="24"/>
          <w:szCs w:val="24"/>
          <w:lang w:val="pt-PT"/>
        </w:rPr>
        <w:t xml:space="preserve"> </w:t>
      </w:r>
      <w:r w:rsidR="005F2C5E">
        <w:rPr>
          <w:rFonts w:ascii="Garamond" w:hAnsi="Garamond" w:cs="Arial"/>
          <w:sz w:val="24"/>
          <w:szCs w:val="24"/>
          <w:lang w:val="pt-PT"/>
        </w:rPr>
        <w:t>d</w:t>
      </w:r>
      <w:r w:rsidRPr="003A1174">
        <w:rPr>
          <w:rFonts w:ascii="Garamond" w:hAnsi="Garamond" w:cs="Arial"/>
          <w:sz w:val="24"/>
          <w:szCs w:val="24"/>
          <w:lang w:val="pt-PT"/>
        </w:rPr>
        <w:t xml:space="preserve">os </w:t>
      </w:r>
      <w:r w:rsidR="00886D6A" w:rsidRPr="003A1174">
        <w:rPr>
          <w:rFonts w:ascii="Garamond" w:hAnsi="Garamond" w:cs="Arial"/>
          <w:sz w:val="24"/>
          <w:szCs w:val="24"/>
          <w:lang w:val="pt-PT"/>
        </w:rPr>
        <w:t>direito</w:t>
      </w:r>
      <w:r w:rsidRPr="003A1174">
        <w:rPr>
          <w:rFonts w:ascii="Garamond" w:hAnsi="Garamond" w:cs="Arial"/>
          <w:sz w:val="24"/>
          <w:szCs w:val="24"/>
          <w:lang w:val="pt-PT"/>
        </w:rPr>
        <w:t xml:space="preserve">s </w:t>
      </w:r>
      <w:r w:rsidR="0091113A" w:rsidRPr="003A1174">
        <w:rPr>
          <w:rFonts w:ascii="Garamond" w:hAnsi="Garamond" w:cs="Arial"/>
          <w:sz w:val="24"/>
          <w:szCs w:val="24"/>
          <w:lang w:val="pt-PT"/>
        </w:rPr>
        <w:t>sexuais</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reprodutivos</w:t>
      </w:r>
      <w:r w:rsidR="003C7CB4" w:rsidRPr="003A1174">
        <w:rPr>
          <w:rFonts w:ascii="Garamond" w:hAnsi="Garamond" w:cs="Arial"/>
          <w:sz w:val="24"/>
          <w:szCs w:val="24"/>
          <w:lang w:val="pt-PT"/>
        </w:rPr>
        <w:t>,</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5F2C5E">
        <w:rPr>
          <w:rFonts w:ascii="Garamond" w:hAnsi="Garamond" w:cs="Arial"/>
          <w:sz w:val="24"/>
          <w:szCs w:val="24"/>
          <w:lang w:val="pt-PT"/>
        </w:rPr>
        <w:t>de</w:t>
      </w:r>
      <w:r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de género.</w:t>
      </w:r>
    </w:p>
    <w:p w:rsidR="000116D8" w:rsidRPr="003A1174" w:rsidRDefault="000116D8"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Durante </w:t>
      </w:r>
      <w:r w:rsidR="00E560D8" w:rsidRPr="003A1174">
        <w:rPr>
          <w:rFonts w:ascii="Garamond" w:hAnsi="Garamond" w:cs="Arial"/>
          <w:sz w:val="24"/>
          <w:szCs w:val="24"/>
        </w:rPr>
        <w:t xml:space="preserve">o </w:t>
      </w:r>
      <w:r w:rsidRPr="003A1174">
        <w:rPr>
          <w:rFonts w:ascii="Garamond" w:hAnsi="Garamond" w:cs="Arial"/>
          <w:sz w:val="24"/>
          <w:szCs w:val="24"/>
        </w:rPr>
        <w:t xml:space="preserve">período </w:t>
      </w:r>
      <w:r w:rsidR="005F2C5E">
        <w:rPr>
          <w:rFonts w:ascii="Garamond" w:hAnsi="Garamond" w:cs="Arial"/>
          <w:sz w:val="24"/>
          <w:szCs w:val="24"/>
        </w:rPr>
        <w:t xml:space="preserve">de elaboração </w:t>
      </w:r>
      <w:r w:rsidR="00E85E59" w:rsidRPr="003A1174">
        <w:rPr>
          <w:rFonts w:ascii="Garamond" w:hAnsi="Garamond" w:cs="Arial"/>
          <w:sz w:val="24"/>
          <w:szCs w:val="24"/>
        </w:rPr>
        <w:t>do</w:t>
      </w:r>
      <w:r w:rsidRPr="003A1174">
        <w:rPr>
          <w:rFonts w:ascii="Garamond" w:hAnsi="Garamond" w:cs="Arial"/>
          <w:sz w:val="24"/>
          <w:szCs w:val="24"/>
        </w:rPr>
        <w:t xml:space="preserve"> presente </w:t>
      </w:r>
      <w:r w:rsidR="003F012B" w:rsidRPr="003A1174">
        <w:rPr>
          <w:rFonts w:ascii="Garamond" w:hAnsi="Garamond" w:cs="Arial"/>
          <w:sz w:val="24"/>
          <w:szCs w:val="24"/>
        </w:rPr>
        <w:t>estudo</w:t>
      </w:r>
      <w:r w:rsidR="00AC69A9" w:rsidRPr="003A1174">
        <w:rPr>
          <w:rFonts w:ascii="Garamond" w:hAnsi="Garamond" w:cs="Arial"/>
          <w:sz w:val="24"/>
          <w:szCs w:val="24"/>
        </w:rPr>
        <w:t xml:space="preserve"> </w:t>
      </w:r>
      <w:r w:rsidR="005F2C5E">
        <w:rPr>
          <w:rFonts w:ascii="Garamond" w:hAnsi="Garamond" w:cs="Arial"/>
          <w:sz w:val="24"/>
          <w:szCs w:val="24"/>
        </w:rPr>
        <w:t xml:space="preserve">preparados </w:t>
      </w:r>
      <w:r w:rsidRPr="003A1174">
        <w:rPr>
          <w:rFonts w:ascii="Garamond" w:hAnsi="Garamond" w:cs="Arial"/>
          <w:sz w:val="24"/>
          <w:szCs w:val="24"/>
        </w:rPr>
        <w:t xml:space="preserve">os </w:t>
      </w:r>
      <w:r w:rsidR="006F7276" w:rsidRPr="003A1174">
        <w:rPr>
          <w:rFonts w:ascii="Garamond" w:hAnsi="Garamond" w:cs="Arial"/>
          <w:sz w:val="24"/>
          <w:szCs w:val="24"/>
        </w:rPr>
        <w:t>seguintes</w:t>
      </w:r>
      <w:r w:rsidRPr="003A1174">
        <w:rPr>
          <w:rFonts w:ascii="Garamond" w:hAnsi="Garamond" w:cs="Arial"/>
          <w:sz w:val="24"/>
          <w:szCs w:val="24"/>
        </w:rPr>
        <w:t xml:space="preserve"> </w:t>
      </w:r>
      <w:r w:rsidR="009E3E55" w:rsidRPr="003A1174">
        <w:rPr>
          <w:rFonts w:ascii="Garamond" w:hAnsi="Garamond" w:cs="Arial"/>
          <w:sz w:val="24"/>
          <w:szCs w:val="24"/>
        </w:rPr>
        <w:t>relatório</w:t>
      </w:r>
      <w:r w:rsidRPr="003A1174">
        <w:rPr>
          <w:rFonts w:ascii="Garamond" w:hAnsi="Garamond" w:cs="Arial"/>
          <w:sz w:val="24"/>
          <w:szCs w:val="24"/>
        </w:rPr>
        <w:t>s:</w:t>
      </w:r>
    </w:p>
    <w:p w:rsidR="000116D8" w:rsidRPr="003A1174" w:rsidRDefault="009E3E55" w:rsidP="008719D4">
      <w:pPr>
        <w:pStyle w:val="ListParagraph1"/>
        <w:numPr>
          <w:ilvl w:val="0"/>
          <w:numId w:val="28"/>
        </w:numPr>
        <w:tabs>
          <w:tab w:val="left" w:pos="708"/>
        </w:tabs>
        <w:suppressAutoHyphens/>
        <w:spacing w:before="240" w:line="240" w:lineRule="auto"/>
        <w:jc w:val="both"/>
        <w:rPr>
          <w:rFonts w:ascii="Garamond" w:hAnsi="Garamond" w:cs="Arial"/>
          <w:sz w:val="24"/>
          <w:szCs w:val="24"/>
          <w:lang w:val="pt-PT"/>
        </w:rPr>
      </w:pPr>
      <w:r w:rsidRPr="003A1174">
        <w:rPr>
          <w:rFonts w:ascii="Garamond" w:hAnsi="Garamond" w:cs="Arial"/>
          <w:sz w:val="24"/>
          <w:szCs w:val="24"/>
          <w:lang w:val="pt-PT"/>
        </w:rPr>
        <w:t>Relatório</w:t>
      </w:r>
      <w:r w:rsidR="000116D8" w:rsidRPr="003A1174">
        <w:rPr>
          <w:rFonts w:ascii="Garamond" w:hAnsi="Garamond" w:cs="Arial"/>
          <w:sz w:val="24"/>
          <w:szCs w:val="24"/>
          <w:lang w:val="pt-PT"/>
        </w:rPr>
        <w:t xml:space="preserve"> de </w:t>
      </w:r>
      <w:r w:rsidR="000116D8" w:rsidRPr="003A1174">
        <w:rPr>
          <w:rFonts w:ascii="Garamond" w:hAnsi="Garamond" w:cs="Arial"/>
          <w:i/>
          <w:sz w:val="24"/>
          <w:szCs w:val="24"/>
          <w:lang w:val="pt-PT"/>
        </w:rPr>
        <w:t>Adjuntía</w:t>
      </w:r>
      <w:r w:rsidR="000116D8" w:rsidRPr="003A1174">
        <w:rPr>
          <w:rFonts w:ascii="Garamond" w:hAnsi="Garamond" w:cs="Arial"/>
          <w:sz w:val="24"/>
          <w:szCs w:val="24"/>
          <w:lang w:val="pt-PT"/>
        </w:rPr>
        <w:t xml:space="preserve"> N</w:t>
      </w:r>
      <w:r w:rsidR="00B3766B">
        <w:rPr>
          <w:rFonts w:ascii="Garamond" w:hAnsi="Garamond" w:cs="Arial"/>
          <w:sz w:val="24"/>
          <w:szCs w:val="24"/>
          <w:lang w:val="pt-PT"/>
        </w:rPr>
        <w:t>.</w:t>
      </w:r>
      <w:r w:rsidR="000116D8" w:rsidRPr="003A1174">
        <w:rPr>
          <w:rFonts w:ascii="Garamond" w:hAnsi="Garamond" w:cs="Arial"/>
          <w:sz w:val="24"/>
          <w:szCs w:val="24"/>
          <w:lang w:val="pt-PT"/>
        </w:rPr>
        <w:t>° 007-2013-DP/ADM</w:t>
      </w:r>
      <w:r w:rsidR="00080235" w:rsidRPr="003A1174">
        <w:rPr>
          <w:rFonts w:ascii="Garamond" w:hAnsi="Garamond" w:cs="Arial"/>
          <w:sz w:val="24"/>
          <w:szCs w:val="24"/>
          <w:lang w:val="pt-PT"/>
        </w:rPr>
        <w:t xml:space="preserve">, </w:t>
      </w:r>
      <w:r w:rsidR="00B3766B">
        <w:rPr>
          <w:rFonts w:ascii="Garamond" w:hAnsi="Garamond" w:cs="Arial"/>
          <w:sz w:val="24"/>
          <w:szCs w:val="24"/>
          <w:lang w:val="pt-PT"/>
        </w:rPr>
        <w:t>«</w:t>
      </w:r>
      <w:r w:rsidR="00D54730" w:rsidRPr="003A1174">
        <w:rPr>
          <w:rFonts w:ascii="Garamond" w:hAnsi="Garamond" w:cs="Arial"/>
          <w:sz w:val="24"/>
          <w:szCs w:val="24"/>
          <w:lang w:val="pt-PT"/>
        </w:rPr>
        <w:t>A</w:t>
      </w:r>
      <w:r w:rsidR="000116D8" w:rsidRPr="003A1174">
        <w:rPr>
          <w:rFonts w:ascii="Garamond" w:hAnsi="Garamond" w:cs="Arial"/>
          <w:sz w:val="24"/>
          <w:szCs w:val="24"/>
          <w:lang w:val="pt-PT"/>
        </w:rPr>
        <w:t xml:space="preserve">s </w:t>
      </w:r>
      <w:r w:rsidR="00D54730" w:rsidRPr="003A1174">
        <w:rPr>
          <w:rFonts w:ascii="Garamond" w:hAnsi="Garamond" w:cs="Arial"/>
          <w:sz w:val="24"/>
          <w:szCs w:val="24"/>
          <w:lang w:val="pt-PT"/>
        </w:rPr>
        <w:t xml:space="preserve">Donas de casa no </w:t>
      </w:r>
      <w:r w:rsidR="00C30647" w:rsidRPr="003A1174">
        <w:rPr>
          <w:rFonts w:ascii="Garamond" w:hAnsi="Garamond" w:cs="Arial"/>
          <w:sz w:val="24"/>
          <w:szCs w:val="24"/>
          <w:lang w:val="pt-PT"/>
        </w:rPr>
        <w:t>Peru</w:t>
      </w:r>
      <w:r w:rsidR="000116D8" w:rsidRPr="003A1174">
        <w:rPr>
          <w:rFonts w:ascii="Garamond" w:hAnsi="Garamond" w:cs="Arial"/>
          <w:sz w:val="24"/>
          <w:szCs w:val="24"/>
          <w:lang w:val="pt-PT"/>
        </w:rPr>
        <w:t xml:space="preserve">. </w:t>
      </w:r>
      <w:r w:rsidR="00FC1F7F" w:rsidRPr="003A1174">
        <w:rPr>
          <w:rFonts w:ascii="Garamond" w:hAnsi="Garamond" w:cs="Arial"/>
          <w:sz w:val="24"/>
          <w:szCs w:val="24"/>
          <w:lang w:val="pt-PT"/>
        </w:rPr>
        <w:t>Supervisão</w:t>
      </w:r>
      <w:r w:rsidR="000116D8" w:rsidRPr="003A1174">
        <w:rPr>
          <w:rFonts w:ascii="Garamond" w:hAnsi="Garamond" w:cs="Arial"/>
          <w:sz w:val="24"/>
          <w:szCs w:val="24"/>
          <w:lang w:val="pt-PT"/>
        </w:rPr>
        <w:t xml:space="preserve"> aos </w:t>
      </w:r>
      <w:r w:rsidR="00BE4EB8" w:rsidRPr="003A1174">
        <w:rPr>
          <w:rFonts w:ascii="Garamond" w:hAnsi="Garamond" w:cs="Arial"/>
          <w:sz w:val="24"/>
          <w:szCs w:val="24"/>
          <w:lang w:val="pt-PT"/>
        </w:rPr>
        <w:t>setores</w:t>
      </w:r>
      <w:r w:rsidR="000116D8" w:rsidRPr="003A1174">
        <w:rPr>
          <w:rFonts w:ascii="Garamond" w:hAnsi="Garamond" w:cs="Arial"/>
          <w:sz w:val="24"/>
          <w:szCs w:val="24"/>
          <w:lang w:val="pt-PT"/>
        </w:rPr>
        <w:t xml:space="preserve"> </w:t>
      </w:r>
      <w:r w:rsidR="00976FB8" w:rsidRPr="003A1174">
        <w:rPr>
          <w:rFonts w:ascii="Garamond" w:hAnsi="Garamond" w:cs="Arial"/>
          <w:sz w:val="24"/>
          <w:szCs w:val="24"/>
          <w:lang w:val="pt-PT"/>
        </w:rPr>
        <w:t>encarregado</w:t>
      </w:r>
      <w:r w:rsidR="000116D8" w:rsidRPr="003A1174">
        <w:rPr>
          <w:rFonts w:ascii="Garamond" w:hAnsi="Garamond" w:cs="Arial"/>
          <w:sz w:val="24"/>
          <w:szCs w:val="24"/>
          <w:lang w:val="pt-PT"/>
        </w:rPr>
        <w:t xml:space="preserve">s da </w:t>
      </w:r>
      <w:r w:rsidR="002F5CD1" w:rsidRPr="003A1174">
        <w:rPr>
          <w:rFonts w:ascii="Garamond" w:hAnsi="Garamond" w:cs="Arial"/>
          <w:sz w:val="24"/>
          <w:szCs w:val="24"/>
          <w:lang w:val="pt-PT"/>
        </w:rPr>
        <w:t>promoção</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2C7510" w:rsidRPr="003A1174">
        <w:rPr>
          <w:rFonts w:ascii="Garamond" w:hAnsi="Garamond" w:cs="Arial"/>
          <w:sz w:val="24"/>
          <w:szCs w:val="24"/>
          <w:lang w:val="pt-PT"/>
        </w:rPr>
        <w:t>defesa</w:t>
      </w:r>
      <w:r w:rsidR="000116D8" w:rsidRPr="003A1174">
        <w:rPr>
          <w:rFonts w:ascii="Garamond" w:hAnsi="Garamond" w:cs="Arial"/>
          <w:sz w:val="24"/>
          <w:szCs w:val="24"/>
          <w:lang w:val="pt-PT"/>
        </w:rPr>
        <w:t xml:space="preserve"> d</w:t>
      </w:r>
      <w:r w:rsidR="00D54730" w:rsidRPr="003A1174">
        <w:rPr>
          <w:rFonts w:ascii="Garamond" w:hAnsi="Garamond" w:cs="Arial"/>
          <w:sz w:val="24"/>
          <w:szCs w:val="24"/>
          <w:lang w:val="pt-PT"/>
        </w:rPr>
        <w:t xml:space="preserve">os seus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s.</w:t>
      </w:r>
      <w:r w:rsidR="00B3766B">
        <w:rPr>
          <w:rFonts w:ascii="Garamond" w:hAnsi="Garamond" w:cs="Arial"/>
          <w:sz w:val="24"/>
          <w:szCs w:val="24"/>
          <w:lang w:val="pt-PT"/>
        </w:rPr>
        <w:t>»</w:t>
      </w:r>
      <w:r w:rsidR="000116D8" w:rsidRPr="003A1174">
        <w:rPr>
          <w:rFonts w:ascii="Garamond" w:hAnsi="Garamond" w:cs="Arial"/>
          <w:sz w:val="24"/>
          <w:szCs w:val="24"/>
          <w:lang w:val="pt-PT"/>
        </w:rPr>
        <w:t xml:space="preserve"> Este </w:t>
      </w:r>
      <w:r w:rsidRPr="003A1174">
        <w:rPr>
          <w:rFonts w:ascii="Garamond" w:hAnsi="Garamond" w:cs="Arial"/>
          <w:sz w:val="24"/>
          <w:szCs w:val="24"/>
          <w:lang w:val="pt-PT"/>
        </w:rPr>
        <w:t>relatório</w:t>
      </w:r>
      <w:r w:rsidR="000116D8" w:rsidRPr="003A1174">
        <w:rPr>
          <w:rFonts w:ascii="Garamond" w:hAnsi="Garamond" w:cs="Arial"/>
          <w:sz w:val="24"/>
          <w:szCs w:val="24"/>
          <w:lang w:val="pt-PT"/>
        </w:rPr>
        <w:t xml:space="preserve"> </w:t>
      </w:r>
      <w:r w:rsidR="00D54730" w:rsidRPr="003A1174">
        <w:rPr>
          <w:rFonts w:ascii="Garamond" w:hAnsi="Garamond" w:cs="Arial"/>
          <w:sz w:val="24"/>
          <w:szCs w:val="24"/>
          <w:lang w:val="pt-PT"/>
        </w:rPr>
        <w:t xml:space="preserve">revelou </w:t>
      </w:r>
      <w:r w:rsidR="000116D8" w:rsidRPr="003A1174">
        <w:rPr>
          <w:rFonts w:ascii="Garamond" w:hAnsi="Garamond" w:cs="Arial"/>
          <w:sz w:val="24"/>
          <w:szCs w:val="24"/>
          <w:lang w:val="pt-PT"/>
        </w:rPr>
        <w:t xml:space="preserve">as graves </w:t>
      </w:r>
      <w:r w:rsidR="00D54730" w:rsidRPr="003A1174">
        <w:rPr>
          <w:rFonts w:ascii="Garamond" w:hAnsi="Garamond" w:cs="Arial"/>
          <w:sz w:val="24"/>
          <w:szCs w:val="24"/>
          <w:lang w:val="pt-PT"/>
        </w:rPr>
        <w:t>carências</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5D38DC" w:rsidRPr="003A1174">
        <w:rPr>
          <w:rFonts w:ascii="Garamond" w:hAnsi="Garamond" w:cs="Arial"/>
          <w:sz w:val="24"/>
          <w:szCs w:val="24"/>
          <w:lang w:val="pt-PT"/>
        </w:rPr>
        <w:t>limitações</w:t>
      </w:r>
      <w:r w:rsidR="000116D8" w:rsidRPr="003A1174">
        <w:rPr>
          <w:rFonts w:ascii="Garamond" w:hAnsi="Garamond" w:cs="Arial"/>
          <w:sz w:val="24"/>
          <w:szCs w:val="24"/>
          <w:lang w:val="pt-PT"/>
        </w:rPr>
        <w:t xml:space="preserve"> da </w:t>
      </w:r>
      <w:r w:rsidR="002C7510" w:rsidRPr="003A1174">
        <w:rPr>
          <w:rFonts w:ascii="Garamond" w:hAnsi="Garamond" w:cs="Arial"/>
          <w:sz w:val="24"/>
          <w:szCs w:val="24"/>
          <w:lang w:val="pt-PT"/>
        </w:rPr>
        <w:t>legislação</w:t>
      </w:r>
      <w:r w:rsidR="000116D8" w:rsidRPr="003A1174">
        <w:rPr>
          <w:rFonts w:ascii="Garamond" w:hAnsi="Garamond" w:cs="Arial"/>
          <w:sz w:val="24"/>
          <w:szCs w:val="24"/>
          <w:lang w:val="pt-PT"/>
        </w:rPr>
        <w:t xml:space="preserve"> </w:t>
      </w:r>
      <w:r w:rsidR="00FB09CA" w:rsidRPr="003A1174">
        <w:rPr>
          <w:rFonts w:ascii="Garamond" w:hAnsi="Garamond" w:cs="Arial"/>
          <w:sz w:val="24"/>
          <w:szCs w:val="24"/>
          <w:lang w:val="pt-PT"/>
        </w:rPr>
        <w:t>atual</w:t>
      </w:r>
      <w:r w:rsidR="000116D8" w:rsidRPr="003A1174">
        <w:rPr>
          <w:rFonts w:ascii="Garamond" w:hAnsi="Garamond" w:cs="Arial"/>
          <w:sz w:val="24"/>
          <w:szCs w:val="24"/>
          <w:lang w:val="pt-PT"/>
        </w:rPr>
        <w:t xml:space="preserve"> e</w:t>
      </w:r>
      <w:r w:rsidR="00D54730" w:rsidRPr="003A1174">
        <w:rPr>
          <w:rFonts w:ascii="Garamond" w:hAnsi="Garamond" w:cs="Arial"/>
          <w:sz w:val="24"/>
          <w:szCs w:val="24"/>
          <w:lang w:val="pt-PT"/>
        </w:rPr>
        <w:t>m</w:t>
      </w:r>
      <w:r w:rsidR="000116D8" w:rsidRPr="003A1174">
        <w:rPr>
          <w:rFonts w:ascii="Garamond" w:hAnsi="Garamond" w:cs="Arial"/>
          <w:sz w:val="24"/>
          <w:szCs w:val="24"/>
          <w:lang w:val="pt-PT"/>
        </w:rPr>
        <w:t xml:space="preserve"> </w:t>
      </w:r>
      <w:r w:rsidR="00EF645F" w:rsidRPr="003A1174">
        <w:rPr>
          <w:rFonts w:ascii="Garamond" w:hAnsi="Garamond" w:cs="Arial"/>
          <w:sz w:val="24"/>
          <w:szCs w:val="24"/>
          <w:lang w:val="pt-PT"/>
        </w:rPr>
        <w:t>matéria</w:t>
      </w:r>
      <w:r w:rsidR="000116D8" w:rsidRPr="003A1174">
        <w:rPr>
          <w:rFonts w:ascii="Garamond" w:hAnsi="Garamond" w:cs="Arial"/>
          <w:sz w:val="24"/>
          <w:szCs w:val="24"/>
          <w:lang w:val="pt-PT"/>
        </w:rPr>
        <w:t xml:space="preserve"> de </w:t>
      </w:r>
      <w:r w:rsidR="00886D6A" w:rsidRPr="003A1174">
        <w:rPr>
          <w:rFonts w:ascii="Garamond" w:hAnsi="Garamond" w:cs="Arial"/>
          <w:sz w:val="24"/>
          <w:szCs w:val="24"/>
          <w:lang w:val="pt-PT"/>
        </w:rPr>
        <w:t>proteção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000116D8" w:rsidRPr="003A1174">
        <w:rPr>
          <w:rFonts w:ascii="Garamond" w:hAnsi="Garamond" w:cs="Arial"/>
          <w:sz w:val="24"/>
          <w:szCs w:val="24"/>
          <w:lang w:val="pt-PT"/>
        </w:rPr>
        <w:t xml:space="preserve">s </w:t>
      </w:r>
      <w:r w:rsidR="00CA633E" w:rsidRPr="003A1174">
        <w:rPr>
          <w:rFonts w:ascii="Garamond" w:hAnsi="Garamond" w:cs="Arial"/>
          <w:sz w:val="24"/>
          <w:szCs w:val="24"/>
          <w:lang w:val="pt-PT"/>
        </w:rPr>
        <w:t>fundamentais</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w:t>
      </w:r>
    </w:p>
    <w:p w:rsidR="000116D8" w:rsidRPr="003A1174" w:rsidRDefault="009E3E55" w:rsidP="008719D4">
      <w:pPr>
        <w:pStyle w:val="ListParagraph1"/>
        <w:numPr>
          <w:ilvl w:val="0"/>
          <w:numId w:val="28"/>
        </w:numPr>
        <w:tabs>
          <w:tab w:val="left" w:pos="708"/>
        </w:tabs>
        <w:suppressAutoHyphens/>
        <w:spacing w:before="240" w:line="240" w:lineRule="auto"/>
        <w:jc w:val="both"/>
        <w:rPr>
          <w:rFonts w:ascii="Garamond" w:hAnsi="Garamond" w:cs="Arial"/>
          <w:sz w:val="24"/>
          <w:szCs w:val="24"/>
          <w:lang w:val="pt-PT"/>
        </w:rPr>
      </w:pPr>
      <w:r w:rsidRPr="003A1174">
        <w:rPr>
          <w:rFonts w:ascii="Garamond" w:hAnsi="Garamond" w:cs="Arial"/>
          <w:sz w:val="24"/>
          <w:szCs w:val="24"/>
          <w:lang w:val="pt-PT"/>
        </w:rPr>
        <w:t>Relatório</w:t>
      </w:r>
      <w:r w:rsidR="000116D8" w:rsidRPr="003A1174">
        <w:rPr>
          <w:rFonts w:ascii="Garamond" w:hAnsi="Garamond" w:cs="Arial"/>
          <w:sz w:val="24"/>
          <w:szCs w:val="24"/>
          <w:lang w:val="pt-PT"/>
        </w:rPr>
        <w:t xml:space="preserve"> de </w:t>
      </w:r>
      <w:r w:rsidR="000116D8" w:rsidRPr="003A1174">
        <w:rPr>
          <w:rFonts w:ascii="Garamond" w:hAnsi="Garamond" w:cs="Arial"/>
          <w:i/>
          <w:sz w:val="24"/>
          <w:szCs w:val="24"/>
          <w:lang w:val="pt-PT"/>
        </w:rPr>
        <w:t>Adjuntía</w:t>
      </w:r>
      <w:r w:rsidR="000116D8" w:rsidRPr="003A1174">
        <w:rPr>
          <w:rFonts w:ascii="Garamond" w:hAnsi="Garamond" w:cs="Arial"/>
          <w:sz w:val="24"/>
          <w:szCs w:val="24"/>
          <w:lang w:val="pt-PT"/>
        </w:rPr>
        <w:t xml:space="preserve"> N</w:t>
      </w:r>
      <w:r w:rsidR="00B3766B">
        <w:rPr>
          <w:rFonts w:ascii="Garamond" w:hAnsi="Garamond" w:cs="Arial"/>
          <w:sz w:val="24"/>
          <w:szCs w:val="24"/>
          <w:lang w:val="pt-PT"/>
        </w:rPr>
        <w:t>.</w:t>
      </w:r>
      <w:r w:rsidR="000116D8" w:rsidRPr="003A1174">
        <w:rPr>
          <w:rFonts w:ascii="Garamond" w:hAnsi="Garamond" w:cs="Arial"/>
          <w:sz w:val="24"/>
          <w:szCs w:val="24"/>
          <w:lang w:val="pt-PT"/>
        </w:rPr>
        <w:t xml:space="preserve">° 009-2013-DP/ADM </w:t>
      </w:r>
      <w:r w:rsidR="00B3766B">
        <w:rPr>
          <w:rFonts w:ascii="Garamond" w:hAnsi="Garamond" w:cs="Arial"/>
          <w:sz w:val="24"/>
          <w:szCs w:val="24"/>
          <w:lang w:val="pt-PT"/>
        </w:rPr>
        <w:t>«</w:t>
      </w:r>
      <w:r w:rsidR="000116D8" w:rsidRPr="003A1174">
        <w:rPr>
          <w:rFonts w:ascii="Garamond" w:hAnsi="Garamond" w:cs="Arial"/>
          <w:sz w:val="24"/>
          <w:szCs w:val="24"/>
          <w:lang w:val="pt-PT"/>
        </w:rPr>
        <w:t xml:space="preserve">Sexto </w:t>
      </w:r>
      <w:r w:rsidR="00D54730" w:rsidRPr="003A1174">
        <w:rPr>
          <w:rFonts w:ascii="Garamond" w:hAnsi="Garamond" w:cs="Arial"/>
          <w:sz w:val="24"/>
          <w:szCs w:val="24"/>
          <w:lang w:val="pt-PT"/>
        </w:rPr>
        <w:t>relatório</w:t>
      </w:r>
      <w:r w:rsidR="000116D8" w:rsidRPr="003A1174">
        <w:rPr>
          <w:rFonts w:ascii="Garamond" w:hAnsi="Garamond" w:cs="Arial"/>
          <w:sz w:val="24"/>
          <w:szCs w:val="24"/>
          <w:lang w:val="pt-PT"/>
        </w:rPr>
        <w:t xml:space="preserve"> da </w:t>
      </w:r>
      <w:r w:rsidR="00C04CA4" w:rsidRPr="003A1174">
        <w:rPr>
          <w:rFonts w:ascii="Garamond" w:hAnsi="Garamond" w:cs="Arial"/>
          <w:sz w:val="24"/>
          <w:szCs w:val="24"/>
          <w:lang w:val="pt-PT"/>
        </w:rPr>
        <w:t>Provedoria de Justiça</w:t>
      </w:r>
      <w:r w:rsidR="000116D8" w:rsidRPr="003A1174">
        <w:rPr>
          <w:rFonts w:ascii="Garamond" w:hAnsi="Garamond" w:cs="Arial"/>
          <w:sz w:val="24"/>
          <w:szCs w:val="24"/>
          <w:lang w:val="pt-PT"/>
        </w:rPr>
        <w:t xml:space="preserve"> sobre </w:t>
      </w:r>
      <w:r w:rsidR="00D54730" w:rsidRPr="003A1174">
        <w:rPr>
          <w:rFonts w:ascii="Garamond" w:hAnsi="Garamond" w:cs="Arial"/>
          <w:sz w:val="24"/>
          <w:szCs w:val="24"/>
          <w:lang w:val="pt-PT"/>
        </w:rPr>
        <w:t xml:space="preserve">a </w:t>
      </w:r>
      <w:r w:rsidR="00D15AFF" w:rsidRPr="003A1174">
        <w:rPr>
          <w:rFonts w:ascii="Garamond" w:hAnsi="Garamond" w:cs="Arial"/>
          <w:sz w:val="24"/>
          <w:szCs w:val="24"/>
          <w:lang w:val="pt-PT"/>
        </w:rPr>
        <w:t>Lei</w:t>
      </w:r>
      <w:r w:rsidR="000116D8" w:rsidRPr="003A1174">
        <w:rPr>
          <w:rFonts w:ascii="Garamond" w:hAnsi="Garamond" w:cs="Arial"/>
          <w:sz w:val="24"/>
          <w:szCs w:val="24"/>
          <w:lang w:val="pt-PT"/>
        </w:rPr>
        <w:t xml:space="preserve"> de </w:t>
      </w:r>
      <w:r w:rsidR="002C7510" w:rsidRPr="003A1174">
        <w:rPr>
          <w:rFonts w:ascii="Garamond" w:hAnsi="Garamond" w:cs="Arial"/>
          <w:sz w:val="24"/>
          <w:szCs w:val="24"/>
          <w:lang w:val="pt-PT"/>
        </w:rPr>
        <w:t>Igualdade</w:t>
      </w:r>
      <w:r w:rsidR="000116D8" w:rsidRPr="003A1174">
        <w:rPr>
          <w:rFonts w:ascii="Garamond" w:hAnsi="Garamond" w:cs="Arial"/>
          <w:sz w:val="24"/>
          <w:szCs w:val="24"/>
          <w:lang w:val="pt-PT"/>
        </w:rPr>
        <w:t xml:space="preserve"> de Oportunidades entre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524936" w:rsidRPr="003A1174">
        <w:rPr>
          <w:rFonts w:ascii="Garamond" w:hAnsi="Garamond" w:cs="Arial"/>
          <w:sz w:val="24"/>
          <w:szCs w:val="24"/>
          <w:lang w:val="pt-PT"/>
        </w:rPr>
        <w:t>Homens</w:t>
      </w:r>
      <w:r w:rsidR="00B3766B">
        <w:rPr>
          <w:rFonts w:ascii="Garamond" w:hAnsi="Garamond" w:cs="Arial"/>
          <w:sz w:val="24"/>
          <w:szCs w:val="24"/>
          <w:lang w:val="pt-PT"/>
        </w:rPr>
        <w:t>»</w:t>
      </w:r>
      <w:r w:rsidR="000116D8" w:rsidRPr="003A1174">
        <w:rPr>
          <w:rFonts w:ascii="Garamond" w:hAnsi="Garamond" w:cs="Arial"/>
          <w:sz w:val="24"/>
          <w:szCs w:val="24"/>
          <w:lang w:val="pt-PT"/>
        </w:rPr>
        <w:t xml:space="preserve">. Este </w:t>
      </w:r>
      <w:r w:rsidRPr="003A1174">
        <w:rPr>
          <w:rFonts w:ascii="Garamond" w:hAnsi="Garamond" w:cs="Arial"/>
          <w:sz w:val="24"/>
          <w:szCs w:val="24"/>
          <w:lang w:val="pt-PT"/>
        </w:rPr>
        <w:t>relatório</w:t>
      </w:r>
      <w:r w:rsidR="000116D8" w:rsidRPr="003A1174">
        <w:rPr>
          <w:rFonts w:ascii="Garamond" w:hAnsi="Garamond" w:cs="Arial"/>
          <w:sz w:val="24"/>
          <w:szCs w:val="24"/>
          <w:lang w:val="pt-PT"/>
        </w:rPr>
        <w:t xml:space="preserve"> aborda do</w:t>
      </w:r>
      <w:r w:rsidR="00D54730" w:rsidRPr="003A1174">
        <w:rPr>
          <w:rFonts w:ascii="Garamond" w:hAnsi="Garamond" w:cs="Arial"/>
          <w:sz w:val="24"/>
          <w:szCs w:val="24"/>
          <w:lang w:val="pt-PT"/>
        </w:rPr>
        <w:t>i</w:t>
      </w:r>
      <w:r w:rsidR="000116D8" w:rsidRPr="003A1174">
        <w:rPr>
          <w:rFonts w:ascii="Garamond" w:hAnsi="Garamond" w:cs="Arial"/>
          <w:sz w:val="24"/>
          <w:szCs w:val="24"/>
          <w:lang w:val="pt-PT"/>
        </w:rPr>
        <w:t>s temas importantes</w:t>
      </w:r>
      <w:r w:rsidR="00080235" w:rsidRPr="003A1174">
        <w:rPr>
          <w:rFonts w:ascii="Garamond" w:hAnsi="Garamond" w:cs="Arial"/>
          <w:sz w:val="24"/>
          <w:szCs w:val="24"/>
          <w:lang w:val="pt-PT"/>
        </w:rPr>
        <w:t>:</w:t>
      </w:r>
      <w:r w:rsidR="00D54730"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a </w:t>
      </w:r>
      <w:r w:rsidR="00FC1F7F" w:rsidRPr="003A1174">
        <w:rPr>
          <w:rFonts w:ascii="Garamond" w:hAnsi="Garamond" w:cs="Arial"/>
          <w:sz w:val="24"/>
          <w:szCs w:val="24"/>
          <w:lang w:val="pt-PT"/>
        </w:rPr>
        <w:t>supervisão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D54730" w:rsidRPr="003A1174">
        <w:rPr>
          <w:rFonts w:ascii="Garamond" w:hAnsi="Garamond" w:cs="Arial"/>
          <w:sz w:val="24"/>
          <w:szCs w:val="24"/>
          <w:lang w:val="pt-PT"/>
        </w:rPr>
        <w:t xml:space="preserve">orçamentos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6506C6" w:rsidRPr="003A1174">
        <w:rPr>
          <w:rFonts w:ascii="Garamond" w:hAnsi="Garamond" w:cs="Arial"/>
          <w:sz w:val="24"/>
          <w:szCs w:val="24"/>
          <w:lang w:val="pt-PT"/>
        </w:rPr>
        <w:t>governo</w:t>
      </w:r>
      <w:r w:rsidR="000116D8" w:rsidRPr="003A1174">
        <w:rPr>
          <w:rFonts w:ascii="Garamond" w:hAnsi="Garamond" w:cs="Arial"/>
          <w:sz w:val="24"/>
          <w:szCs w:val="24"/>
          <w:lang w:val="pt-PT"/>
        </w:rPr>
        <w:t xml:space="preserve">s </w:t>
      </w:r>
      <w:r w:rsidR="0086401D" w:rsidRPr="003A1174">
        <w:rPr>
          <w:rFonts w:ascii="Garamond" w:hAnsi="Garamond" w:cs="Arial"/>
          <w:sz w:val="24"/>
          <w:szCs w:val="24"/>
          <w:lang w:val="pt-PT"/>
        </w:rPr>
        <w:t>regionais</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D54730" w:rsidRPr="003A1174">
        <w:rPr>
          <w:rFonts w:ascii="Garamond" w:hAnsi="Garamond" w:cs="Arial"/>
          <w:sz w:val="24"/>
          <w:szCs w:val="24"/>
          <w:lang w:val="pt-PT"/>
        </w:rPr>
        <w:t xml:space="preserve"> </w:t>
      </w:r>
      <w:r w:rsidR="000116D8" w:rsidRPr="003A1174">
        <w:rPr>
          <w:rFonts w:ascii="Garamond" w:hAnsi="Garamond" w:cs="Arial"/>
          <w:sz w:val="24"/>
          <w:szCs w:val="24"/>
          <w:lang w:val="pt-PT"/>
        </w:rPr>
        <w:t xml:space="preserve">a </w:t>
      </w:r>
      <w:r w:rsidR="0017447A" w:rsidRPr="003A1174">
        <w:rPr>
          <w:rFonts w:ascii="Garamond" w:hAnsi="Garamond" w:cs="Arial"/>
          <w:sz w:val="24"/>
          <w:szCs w:val="24"/>
          <w:lang w:val="pt-PT"/>
        </w:rPr>
        <w:t>participação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0116D8"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0116D8" w:rsidRPr="003A1174">
        <w:rPr>
          <w:rFonts w:ascii="Garamond" w:hAnsi="Garamond" w:cs="Arial"/>
          <w:sz w:val="24"/>
          <w:szCs w:val="24"/>
          <w:lang w:val="pt-PT"/>
        </w:rPr>
        <w:t xml:space="preserve"> </w:t>
      </w:r>
      <w:r w:rsidR="00D54730" w:rsidRPr="003A1174">
        <w:rPr>
          <w:rFonts w:ascii="Garamond" w:hAnsi="Garamond" w:cs="Arial"/>
          <w:sz w:val="24"/>
          <w:szCs w:val="24"/>
          <w:lang w:val="pt-PT"/>
        </w:rPr>
        <w:t>n</w:t>
      </w:r>
      <w:r w:rsidR="000116D8" w:rsidRPr="003A1174">
        <w:rPr>
          <w:rFonts w:ascii="Garamond" w:hAnsi="Garamond" w:cs="Arial"/>
          <w:sz w:val="24"/>
          <w:szCs w:val="24"/>
          <w:lang w:val="pt-PT"/>
        </w:rPr>
        <w:t xml:space="preserve">a </w:t>
      </w:r>
      <w:r w:rsidR="00FB09CA" w:rsidRPr="003A1174">
        <w:rPr>
          <w:rFonts w:ascii="Garamond" w:hAnsi="Garamond" w:cs="Arial"/>
          <w:sz w:val="24"/>
          <w:szCs w:val="24"/>
          <w:lang w:val="pt-PT"/>
        </w:rPr>
        <w:t>administração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w:t>
      </w:r>
      <w:r w:rsidR="006506C6" w:rsidRPr="003A1174">
        <w:rPr>
          <w:rFonts w:ascii="Garamond" w:hAnsi="Garamond" w:cs="Arial"/>
          <w:sz w:val="24"/>
          <w:szCs w:val="24"/>
          <w:lang w:val="pt-PT"/>
        </w:rPr>
        <w:t>governo</w:t>
      </w:r>
      <w:r w:rsidR="000116D8" w:rsidRPr="003A1174">
        <w:rPr>
          <w:rFonts w:ascii="Garamond" w:hAnsi="Garamond" w:cs="Arial"/>
          <w:sz w:val="24"/>
          <w:szCs w:val="24"/>
          <w:lang w:val="pt-PT"/>
        </w:rPr>
        <w:t xml:space="preserve">s </w:t>
      </w:r>
      <w:r w:rsidR="0086401D" w:rsidRPr="003A1174">
        <w:rPr>
          <w:rFonts w:ascii="Garamond" w:hAnsi="Garamond" w:cs="Arial"/>
          <w:sz w:val="24"/>
          <w:szCs w:val="24"/>
          <w:lang w:val="pt-PT"/>
        </w:rPr>
        <w:t>regionais</w:t>
      </w:r>
      <w:r w:rsidR="000116D8"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0116D8" w:rsidRPr="003A1174">
        <w:rPr>
          <w:rFonts w:ascii="Garamond" w:hAnsi="Garamond" w:cs="Arial"/>
          <w:sz w:val="24"/>
          <w:szCs w:val="24"/>
          <w:lang w:val="pt-PT"/>
        </w:rPr>
        <w:t xml:space="preserve"> </w:t>
      </w:r>
      <w:r w:rsidR="00080235" w:rsidRPr="003A1174">
        <w:rPr>
          <w:rFonts w:ascii="Garamond" w:hAnsi="Garamond" w:cs="Arial"/>
          <w:sz w:val="24"/>
          <w:szCs w:val="24"/>
          <w:lang w:val="pt-PT"/>
        </w:rPr>
        <w:t xml:space="preserve">a </w:t>
      </w:r>
      <w:r w:rsidR="00D4575C" w:rsidRPr="003A1174">
        <w:rPr>
          <w:rFonts w:ascii="Garamond" w:hAnsi="Garamond" w:cs="Arial"/>
          <w:sz w:val="24"/>
          <w:szCs w:val="24"/>
          <w:lang w:val="pt-PT"/>
        </w:rPr>
        <w:t>gestão</w:t>
      </w:r>
      <w:r w:rsidR="000116D8"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0116D8" w:rsidRPr="003A1174">
        <w:rPr>
          <w:rFonts w:ascii="Garamond" w:hAnsi="Garamond" w:cs="Arial"/>
          <w:sz w:val="24"/>
          <w:szCs w:val="24"/>
          <w:lang w:val="pt-PT"/>
        </w:rPr>
        <w:t xml:space="preserve"> recursos humanos </w:t>
      </w:r>
      <w:r w:rsidR="00D54730" w:rsidRPr="003A1174">
        <w:rPr>
          <w:rFonts w:ascii="Garamond" w:hAnsi="Garamond" w:cs="Arial"/>
          <w:sz w:val="24"/>
          <w:szCs w:val="24"/>
          <w:lang w:val="pt-PT"/>
        </w:rPr>
        <w:t xml:space="preserve">com base no </w:t>
      </w:r>
      <w:r w:rsidR="006D0543" w:rsidRPr="003A1174">
        <w:rPr>
          <w:rFonts w:ascii="Garamond" w:hAnsi="Garamond" w:cs="Arial"/>
          <w:sz w:val="24"/>
          <w:szCs w:val="24"/>
          <w:lang w:val="pt-PT"/>
        </w:rPr>
        <w:t>princípio</w:t>
      </w:r>
      <w:r w:rsidR="000116D8" w:rsidRPr="003A1174">
        <w:rPr>
          <w:rFonts w:ascii="Garamond" w:hAnsi="Garamond" w:cs="Arial"/>
          <w:sz w:val="24"/>
          <w:szCs w:val="24"/>
          <w:lang w:val="pt-PT"/>
        </w:rPr>
        <w:t xml:space="preserve"> da </w:t>
      </w:r>
      <w:r w:rsidR="002C7510" w:rsidRPr="003A1174">
        <w:rPr>
          <w:rFonts w:ascii="Garamond" w:hAnsi="Garamond" w:cs="Arial"/>
          <w:sz w:val="24"/>
          <w:szCs w:val="24"/>
          <w:lang w:val="pt-PT"/>
        </w:rPr>
        <w:t>igualdade</w:t>
      </w:r>
      <w:r w:rsidR="000116D8" w:rsidRPr="003A1174">
        <w:rPr>
          <w:rFonts w:ascii="Garamond" w:hAnsi="Garamond" w:cs="Arial"/>
          <w:sz w:val="24"/>
          <w:szCs w:val="24"/>
          <w:lang w:val="pt-PT"/>
        </w:rPr>
        <w:t xml:space="preserve"> de género.</w:t>
      </w:r>
    </w:p>
    <w:p w:rsidR="000116D8" w:rsidRPr="003A1174" w:rsidRDefault="000116D8"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Por </w:t>
      </w:r>
      <w:r w:rsidR="001F2F8B" w:rsidRPr="003A1174">
        <w:rPr>
          <w:rFonts w:ascii="Garamond" w:hAnsi="Garamond" w:cs="Arial"/>
          <w:sz w:val="24"/>
          <w:szCs w:val="24"/>
        </w:rPr>
        <w:t>outro</w:t>
      </w:r>
      <w:r w:rsidRPr="003A1174">
        <w:rPr>
          <w:rFonts w:ascii="Garamond" w:hAnsi="Garamond" w:cs="Arial"/>
          <w:sz w:val="24"/>
          <w:szCs w:val="24"/>
        </w:rPr>
        <w:t xml:space="preserve"> lado, durante </w:t>
      </w:r>
      <w:r w:rsidR="005F2C5E">
        <w:rPr>
          <w:rFonts w:ascii="Garamond" w:hAnsi="Garamond" w:cs="Arial"/>
          <w:sz w:val="24"/>
          <w:szCs w:val="24"/>
        </w:rPr>
        <w:t xml:space="preserve">este </w:t>
      </w:r>
      <w:r w:rsidR="00D54730" w:rsidRPr="003A1174">
        <w:rPr>
          <w:rFonts w:ascii="Garamond" w:hAnsi="Garamond" w:cs="Arial"/>
          <w:sz w:val="24"/>
          <w:szCs w:val="24"/>
        </w:rPr>
        <w:t xml:space="preserve">período </w:t>
      </w:r>
      <w:r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Pr="003A1174">
        <w:rPr>
          <w:rFonts w:ascii="Garamond" w:hAnsi="Garamond" w:cs="Arial"/>
          <w:sz w:val="24"/>
          <w:szCs w:val="24"/>
        </w:rPr>
        <w:t xml:space="preserve"> </w:t>
      </w:r>
      <w:r w:rsidR="00E85E59" w:rsidRPr="003A1174">
        <w:rPr>
          <w:rFonts w:ascii="Garamond" w:hAnsi="Garamond" w:cs="Arial"/>
          <w:sz w:val="24"/>
          <w:szCs w:val="24"/>
        </w:rPr>
        <w:t>do</w:t>
      </w:r>
      <w:r w:rsidRPr="003A1174">
        <w:rPr>
          <w:rFonts w:ascii="Garamond" w:hAnsi="Garamond" w:cs="Arial"/>
          <w:sz w:val="24"/>
          <w:szCs w:val="24"/>
        </w:rPr>
        <w:t xml:space="preserve"> </w:t>
      </w:r>
      <w:r w:rsidR="00C30647" w:rsidRPr="003A1174">
        <w:rPr>
          <w:rFonts w:ascii="Garamond" w:hAnsi="Garamond" w:cs="Arial"/>
          <w:sz w:val="24"/>
          <w:szCs w:val="24"/>
        </w:rPr>
        <w:t>Peru</w:t>
      </w:r>
      <w:r w:rsidRPr="003A1174">
        <w:rPr>
          <w:rFonts w:ascii="Garamond" w:hAnsi="Garamond" w:cs="Arial"/>
          <w:sz w:val="24"/>
          <w:szCs w:val="24"/>
        </w:rPr>
        <w:t xml:space="preserve"> </w:t>
      </w:r>
      <w:r w:rsidR="00D54730" w:rsidRPr="003A1174">
        <w:rPr>
          <w:rFonts w:ascii="Garamond" w:hAnsi="Garamond" w:cs="Arial"/>
          <w:sz w:val="24"/>
          <w:szCs w:val="24"/>
        </w:rPr>
        <w:t>elaborou</w:t>
      </w:r>
      <w:r w:rsidRPr="003A1174">
        <w:rPr>
          <w:rFonts w:ascii="Garamond" w:hAnsi="Garamond" w:cs="Arial"/>
          <w:sz w:val="24"/>
          <w:szCs w:val="24"/>
        </w:rPr>
        <w:t xml:space="preserve"> </w:t>
      </w:r>
      <w:r w:rsidR="00D54730" w:rsidRPr="003A1174">
        <w:rPr>
          <w:rFonts w:ascii="Garamond" w:hAnsi="Garamond" w:cs="Arial"/>
          <w:sz w:val="24"/>
          <w:szCs w:val="24"/>
        </w:rPr>
        <w:t>a</w:t>
      </w:r>
      <w:r w:rsidRPr="003A1174">
        <w:rPr>
          <w:rFonts w:ascii="Garamond" w:hAnsi="Garamond" w:cs="Arial"/>
          <w:sz w:val="24"/>
          <w:szCs w:val="24"/>
        </w:rPr>
        <w:t xml:space="preserve">s </w:t>
      </w:r>
      <w:r w:rsidR="006F7276" w:rsidRPr="003A1174">
        <w:rPr>
          <w:rFonts w:ascii="Garamond" w:hAnsi="Garamond" w:cs="Arial"/>
          <w:sz w:val="24"/>
          <w:szCs w:val="24"/>
        </w:rPr>
        <w:t>seguintes</w:t>
      </w:r>
      <w:r w:rsidRPr="003A1174">
        <w:rPr>
          <w:rFonts w:ascii="Garamond" w:hAnsi="Garamond" w:cs="Arial"/>
          <w:sz w:val="24"/>
          <w:szCs w:val="24"/>
        </w:rPr>
        <w:t xml:space="preserve"> </w:t>
      </w:r>
      <w:r w:rsidR="00D54730" w:rsidRPr="003A1174">
        <w:rPr>
          <w:rFonts w:ascii="Garamond" w:hAnsi="Garamond" w:cs="Arial"/>
          <w:sz w:val="24"/>
          <w:szCs w:val="24"/>
        </w:rPr>
        <w:t>diretrizes</w:t>
      </w:r>
      <w:r w:rsidRPr="003A1174">
        <w:rPr>
          <w:rFonts w:ascii="Garamond" w:hAnsi="Garamond" w:cs="Arial"/>
          <w:sz w:val="24"/>
          <w:szCs w:val="24"/>
        </w:rPr>
        <w:t xml:space="preserve"> o</w:t>
      </w:r>
      <w:r w:rsidR="00D54730" w:rsidRPr="003A1174">
        <w:rPr>
          <w:rFonts w:ascii="Garamond" w:hAnsi="Garamond" w:cs="Arial"/>
          <w:sz w:val="24"/>
          <w:szCs w:val="24"/>
        </w:rPr>
        <w:t>u</w:t>
      </w:r>
      <w:r w:rsidRPr="003A1174">
        <w:rPr>
          <w:rFonts w:ascii="Garamond" w:hAnsi="Garamond" w:cs="Arial"/>
          <w:sz w:val="24"/>
          <w:szCs w:val="24"/>
        </w:rPr>
        <w:t xml:space="preserve"> pautas </w:t>
      </w:r>
      <w:r w:rsidR="00D54730" w:rsidRPr="003A1174">
        <w:rPr>
          <w:rFonts w:ascii="Garamond" w:hAnsi="Garamond" w:cs="Arial"/>
          <w:sz w:val="24"/>
          <w:szCs w:val="24"/>
        </w:rPr>
        <w:t xml:space="preserve">para que servissem de </w:t>
      </w:r>
      <w:r w:rsidR="00081B57" w:rsidRPr="003A1174">
        <w:rPr>
          <w:rFonts w:ascii="Garamond" w:hAnsi="Garamond" w:cs="Arial"/>
          <w:sz w:val="24"/>
          <w:szCs w:val="24"/>
        </w:rPr>
        <w:t>orientação</w:t>
      </w:r>
      <w:r w:rsidRPr="003A1174">
        <w:rPr>
          <w:rFonts w:ascii="Garamond" w:hAnsi="Garamond" w:cs="Arial"/>
          <w:sz w:val="24"/>
          <w:szCs w:val="24"/>
        </w:rPr>
        <w:t xml:space="preserve"> a</w:t>
      </w:r>
      <w:r w:rsidR="00D54730" w:rsidRPr="003A1174">
        <w:rPr>
          <w:rFonts w:ascii="Garamond" w:hAnsi="Garamond" w:cs="Arial"/>
          <w:sz w:val="24"/>
          <w:szCs w:val="24"/>
        </w:rPr>
        <w:t xml:space="preserve">os </w:t>
      </w:r>
      <w:r w:rsidRPr="003A1174">
        <w:rPr>
          <w:rFonts w:ascii="Garamond" w:hAnsi="Garamond" w:cs="Arial"/>
          <w:sz w:val="24"/>
          <w:szCs w:val="24"/>
        </w:rPr>
        <w:t xml:space="preserve">38 </w:t>
      </w:r>
      <w:r w:rsidR="00D54730" w:rsidRPr="003A1174">
        <w:rPr>
          <w:rFonts w:ascii="Garamond" w:hAnsi="Garamond" w:cs="Arial"/>
          <w:sz w:val="24"/>
          <w:szCs w:val="24"/>
        </w:rPr>
        <w:t>gabinetes de</w:t>
      </w:r>
      <w:r w:rsidR="005F2C5E">
        <w:rPr>
          <w:rFonts w:ascii="Garamond" w:hAnsi="Garamond" w:cs="Arial"/>
          <w:sz w:val="24"/>
          <w:szCs w:val="24"/>
        </w:rPr>
        <w:t xml:space="preserve"> defesa</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módulos de </w:t>
      </w:r>
      <w:r w:rsidR="008278C4" w:rsidRPr="003A1174">
        <w:rPr>
          <w:rFonts w:ascii="Garamond" w:hAnsi="Garamond" w:cs="Arial"/>
          <w:sz w:val="24"/>
          <w:szCs w:val="24"/>
        </w:rPr>
        <w:t>atenção</w:t>
      </w:r>
      <w:r w:rsidRPr="003A1174">
        <w:rPr>
          <w:rFonts w:ascii="Garamond" w:hAnsi="Garamond" w:cs="Arial"/>
          <w:sz w:val="24"/>
          <w:szCs w:val="24"/>
        </w:rPr>
        <w:t xml:space="preserve"> que existe</w:t>
      </w:r>
      <w:r w:rsidR="00D54730" w:rsidRPr="003A1174">
        <w:rPr>
          <w:rFonts w:ascii="Garamond" w:hAnsi="Garamond" w:cs="Arial"/>
          <w:sz w:val="24"/>
          <w:szCs w:val="24"/>
        </w:rPr>
        <w:t xml:space="preserve">m a nível </w:t>
      </w:r>
      <w:r w:rsidR="00080235" w:rsidRPr="003A1174">
        <w:rPr>
          <w:rFonts w:ascii="Garamond" w:hAnsi="Garamond" w:cs="Arial"/>
          <w:sz w:val="24"/>
          <w:szCs w:val="24"/>
        </w:rPr>
        <w:t>n</w:t>
      </w:r>
      <w:r w:rsidRPr="003A1174">
        <w:rPr>
          <w:rFonts w:ascii="Garamond" w:hAnsi="Garamond" w:cs="Arial"/>
          <w:sz w:val="24"/>
          <w:szCs w:val="24"/>
        </w:rPr>
        <w:t>acional:</w:t>
      </w:r>
    </w:p>
    <w:p w:rsidR="000116D8" w:rsidRPr="005F2C5E" w:rsidRDefault="00D54730" w:rsidP="008719D4">
      <w:pPr>
        <w:pStyle w:val="Prrafodelista"/>
        <w:numPr>
          <w:ilvl w:val="0"/>
          <w:numId w:val="9"/>
        </w:numPr>
        <w:suppressAutoHyphens w:val="0"/>
        <w:spacing w:before="240" w:after="0" w:line="240" w:lineRule="auto"/>
        <w:contextualSpacing/>
        <w:jc w:val="both"/>
        <w:rPr>
          <w:rFonts w:ascii="Garamond" w:hAnsi="Garamond" w:cs="Arial"/>
          <w:color w:val="auto"/>
          <w:sz w:val="24"/>
          <w:szCs w:val="24"/>
          <w:lang w:val="pt-PT"/>
        </w:rPr>
      </w:pPr>
      <w:r w:rsidRPr="005F2C5E">
        <w:rPr>
          <w:rFonts w:ascii="Garamond" w:hAnsi="Garamond" w:cs="Arial"/>
          <w:color w:val="auto"/>
          <w:sz w:val="24"/>
          <w:szCs w:val="24"/>
          <w:lang w:val="pt-PT"/>
        </w:rPr>
        <w:t>Diretrizes</w:t>
      </w:r>
      <w:r w:rsidR="000116D8" w:rsidRPr="005F2C5E">
        <w:rPr>
          <w:rFonts w:ascii="Garamond" w:hAnsi="Garamond" w:cs="Arial"/>
          <w:color w:val="auto"/>
          <w:sz w:val="24"/>
          <w:szCs w:val="24"/>
          <w:lang w:val="pt-PT"/>
        </w:rPr>
        <w:t xml:space="preserve"> de </w:t>
      </w:r>
      <w:r w:rsidR="00976FB8" w:rsidRPr="005F2C5E">
        <w:rPr>
          <w:rFonts w:ascii="Garamond" w:hAnsi="Garamond" w:cs="Arial"/>
          <w:color w:val="auto"/>
          <w:sz w:val="24"/>
          <w:szCs w:val="24"/>
          <w:lang w:val="pt-PT"/>
        </w:rPr>
        <w:t>intervenção</w:t>
      </w:r>
      <w:r w:rsidR="000116D8" w:rsidRPr="005F2C5E">
        <w:rPr>
          <w:rFonts w:ascii="Garamond" w:hAnsi="Garamond" w:cs="Arial"/>
          <w:color w:val="auto"/>
          <w:sz w:val="24"/>
          <w:szCs w:val="24"/>
          <w:lang w:val="pt-PT"/>
        </w:rPr>
        <w:t xml:space="preserve"> </w:t>
      </w:r>
      <w:r w:rsidR="005F2C5E" w:rsidRPr="005F2C5E">
        <w:rPr>
          <w:rFonts w:ascii="Garamond" w:hAnsi="Garamond" w:cs="Arial"/>
          <w:color w:val="auto"/>
          <w:sz w:val="24"/>
          <w:szCs w:val="24"/>
          <w:lang w:val="pt-PT"/>
        </w:rPr>
        <w:t xml:space="preserve">de defesa </w:t>
      </w:r>
      <w:r w:rsidRPr="005F2C5E">
        <w:rPr>
          <w:rFonts w:ascii="Garamond" w:hAnsi="Garamond" w:cs="Arial"/>
          <w:color w:val="auto"/>
          <w:sz w:val="24"/>
          <w:szCs w:val="24"/>
          <w:lang w:val="pt-PT"/>
        </w:rPr>
        <w:t xml:space="preserve">para </w:t>
      </w:r>
      <w:r w:rsidR="005F2C5E" w:rsidRPr="005F2C5E">
        <w:rPr>
          <w:rFonts w:ascii="Garamond" w:hAnsi="Garamond" w:cs="Arial"/>
          <w:color w:val="auto"/>
          <w:sz w:val="24"/>
          <w:szCs w:val="24"/>
          <w:lang w:val="pt-PT"/>
        </w:rPr>
        <w:t xml:space="preserve">tratamento </w:t>
      </w:r>
      <w:r w:rsidR="000116D8" w:rsidRPr="005F2C5E">
        <w:rPr>
          <w:rFonts w:ascii="Garamond" w:hAnsi="Garamond" w:cs="Arial"/>
          <w:color w:val="auto"/>
          <w:sz w:val="24"/>
          <w:szCs w:val="24"/>
          <w:lang w:val="pt-PT"/>
        </w:rPr>
        <w:t xml:space="preserve">de casos de </w:t>
      </w:r>
      <w:r w:rsidR="000350B1" w:rsidRPr="005F2C5E">
        <w:rPr>
          <w:rFonts w:ascii="Garamond" w:hAnsi="Garamond" w:cs="Arial"/>
          <w:color w:val="auto"/>
          <w:sz w:val="24"/>
          <w:szCs w:val="24"/>
          <w:lang w:val="pt-PT"/>
        </w:rPr>
        <w:t>violência</w:t>
      </w:r>
      <w:r w:rsidR="000116D8" w:rsidRPr="005F2C5E">
        <w:rPr>
          <w:rFonts w:ascii="Garamond" w:hAnsi="Garamond" w:cs="Arial"/>
          <w:color w:val="auto"/>
          <w:sz w:val="24"/>
          <w:szCs w:val="24"/>
          <w:lang w:val="pt-PT"/>
        </w:rPr>
        <w:t xml:space="preserve"> familiar contra </w:t>
      </w:r>
      <w:r w:rsidR="00054EE0" w:rsidRPr="005F2C5E">
        <w:rPr>
          <w:rFonts w:ascii="Garamond" w:hAnsi="Garamond" w:cs="Arial"/>
          <w:color w:val="auto"/>
          <w:sz w:val="24"/>
          <w:szCs w:val="24"/>
          <w:lang w:val="pt-PT"/>
        </w:rPr>
        <w:t>mulheres</w:t>
      </w:r>
      <w:r w:rsidR="000116D8" w:rsidRPr="005F2C5E">
        <w:rPr>
          <w:rFonts w:ascii="Garamond" w:hAnsi="Garamond" w:cs="Arial"/>
          <w:color w:val="auto"/>
          <w:sz w:val="24"/>
          <w:szCs w:val="24"/>
          <w:lang w:val="pt-PT"/>
        </w:rPr>
        <w:t xml:space="preserve">. </w:t>
      </w:r>
    </w:p>
    <w:p w:rsidR="000116D8" w:rsidRPr="003A1174" w:rsidRDefault="000116D8" w:rsidP="008719D4">
      <w:pPr>
        <w:pStyle w:val="Prrafodelista"/>
        <w:suppressAutoHyphens w:val="0"/>
        <w:spacing w:before="240" w:after="0" w:line="240" w:lineRule="auto"/>
        <w:contextualSpacing/>
        <w:jc w:val="both"/>
        <w:rPr>
          <w:rFonts w:ascii="Garamond" w:hAnsi="Garamond" w:cs="Arial"/>
          <w:color w:val="auto"/>
          <w:sz w:val="24"/>
          <w:szCs w:val="24"/>
          <w:lang w:val="pt-PT"/>
        </w:rPr>
      </w:pPr>
    </w:p>
    <w:p w:rsidR="000116D8" w:rsidRPr="003A1174" w:rsidRDefault="00D54730" w:rsidP="008719D4">
      <w:pPr>
        <w:pStyle w:val="Prrafodelista"/>
        <w:suppressAutoHyphens w:val="0"/>
        <w:spacing w:before="240" w:after="0"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 xml:space="preserve">A sua </w:t>
      </w:r>
      <w:r w:rsidR="006F4B2C" w:rsidRPr="003A1174">
        <w:rPr>
          <w:rFonts w:ascii="Garamond" w:hAnsi="Garamond" w:cs="Arial"/>
          <w:color w:val="auto"/>
          <w:sz w:val="24"/>
          <w:szCs w:val="24"/>
          <w:lang w:val="pt-PT"/>
        </w:rPr>
        <w:t>finalidade</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é </w:t>
      </w:r>
      <w:r w:rsidR="002F5CD1" w:rsidRPr="003A1174">
        <w:rPr>
          <w:rFonts w:ascii="Garamond" w:hAnsi="Garamond" w:cs="Arial"/>
          <w:color w:val="auto"/>
          <w:sz w:val="24"/>
          <w:szCs w:val="24"/>
          <w:lang w:val="pt-PT"/>
        </w:rPr>
        <w:t>estabelecer</w:t>
      </w:r>
      <w:r w:rsidRPr="003A1174">
        <w:rPr>
          <w:rFonts w:ascii="Garamond" w:hAnsi="Garamond" w:cs="Arial"/>
          <w:color w:val="auto"/>
          <w:sz w:val="24"/>
          <w:szCs w:val="24"/>
          <w:lang w:val="pt-PT"/>
        </w:rPr>
        <w:t xml:space="preserve"> </w:t>
      </w:r>
      <w:r w:rsidR="000116D8" w:rsidRPr="003A1174">
        <w:rPr>
          <w:rFonts w:ascii="Garamond" w:hAnsi="Garamond" w:cs="Arial"/>
          <w:color w:val="auto"/>
          <w:sz w:val="24"/>
          <w:szCs w:val="24"/>
          <w:lang w:val="pt-PT"/>
        </w:rPr>
        <w:t xml:space="preserve">as pautas básicas de </w:t>
      </w:r>
      <w:r w:rsidR="00976FB8" w:rsidRPr="003A1174">
        <w:rPr>
          <w:rFonts w:ascii="Garamond" w:hAnsi="Garamond" w:cs="Arial"/>
          <w:color w:val="auto"/>
          <w:sz w:val="24"/>
          <w:szCs w:val="24"/>
          <w:lang w:val="pt-PT"/>
        </w:rPr>
        <w:t>intervenção</w:t>
      </w:r>
      <w:r w:rsidR="000116D8" w:rsidRPr="003A1174">
        <w:rPr>
          <w:rFonts w:ascii="Garamond" w:hAnsi="Garamond" w:cs="Arial"/>
          <w:color w:val="auto"/>
          <w:sz w:val="24"/>
          <w:szCs w:val="24"/>
          <w:lang w:val="pt-PT"/>
        </w:rPr>
        <w:t xml:space="preserve"> </w:t>
      </w:r>
      <w:r w:rsidR="003A391A" w:rsidRPr="003A1174">
        <w:rPr>
          <w:rFonts w:ascii="Garamond" w:hAnsi="Garamond" w:cs="Arial"/>
          <w:color w:val="auto"/>
          <w:sz w:val="24"/>
          <w:szCs w:val="24"/>
          <w:lang w:val="pt-PT"/>
        </w:rPr>
        <w:t>nos</w:t>
      </w:r>
      <w:r w:rsidR="000116D8" w:rsidRPr="003A1174">
        <w:rPr>
          <w:rFonts w:ascii="Garamond" w:hAnsi="Garamond" w:cs="Arial"/>
          <w:color w:val="auto"/>
          <w:sz w:val="24"/>
          <w:szCs w:val="24"/>
          <w:lang w:val="pt-PT"/>
        </w:rPr>
        <w:t xml:space="preserve"> casos de </w:t>
      </w:r>
      <w:r w:rsidR="000350B1" w:rsidRPr="003A1174">
        <w:rPr>
          <w:rFonts w:ascii="Garamond" w:hAnsi="Garamond" w:cs="Arial"/>
          <w:color w:val="auto"/>
          <w:sz w:val="24"/>
          <w:szCs w:val="24"/>
          <w:lang w:val="pt-PT"/>
        </w:rPr>
        <w:t>violência</w:t>
      </w:r>
      <w:r w:rsidR="000116D8" w:rsidRPr="003A1174">
        <w:rPr>
          <w:rFonts w:ascii="Garamond" w:hAnsi="Garamond" w:cs="Arial"/>
          <w:color w:val="auto"/>
          <w:sz w:val="24"/>
          <w:szCs w:val="24"/>
          <w:lang w:val="pt-PT"/>
        </w:rPr>
        <w:t xml:space="preserve"> familiar</w:t>
      </w:r>
      <w:r w:rsidR="005F2C5E">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atendidos </w:t>
      </w:r>
      <w:r w:rsidR="00275092" w:rsidRPr="003A1174">
        <w:rPr>
          <w:rFonts w:ascii="Garamond" w:hAnsi="Garamond" w:cs="Arial"/>
          <w:color w:val="auto"/>
          <w:sz w:val="24"/>
          <w:szCs w:val="24"/>
          <w:lang w:val="pt-PT"/>
        </w:rPr>
        <w:t>pela</w:t>
      </w:r>
      <w:r w:rsidR="000116D8" w:rsidRPr="003A1174">
        <w:rPr>
          <w:rFonts w:ascii="Garamond" w:hAnsi="Garamond" w:cs="Arial"/>
          <w:color w:val="auto"/>
          <w:sz w:val="24"/>
          <w:szCs w:val="24"/>
          <w:lang w:val="pt-PT"/>
        </w:rPr>
        <w:t xml:space="preserve"> </w:t>
      </w:r>
      <w:r w:rsidR="00C04CA4" w:rsidRPr="003A1174">
        <w:rPr>
          <w:rFonts w:ascii="Garamond" w:hAnsi="Garamond" w:cs="Arial"/>
          <w:color w:val="auto"/>
          <w:sz w:val="24"/>
          <w:szCs w:val="24"/>
          <w:lang w:val="pt-PT"/>
        </w:rPr>
        <w:t>Provedoria de Justiça</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nível </w:t>
      </w:r>
      <w:r w:rsidR="000116D8" w:rsidRPr="003A1174">
        <w:rPr>
          <w:rFonts w:ascii="Garamond" w:hAnsi="Garamond" w:cs="Arial"/>
          <w:color w:val="auto"/>
          <w:sz w:val="24"/>
          <w:szCs w:val="24"/>
          <w:lang w:val="pt-PT"/>
        </w:rPr>
        <w:t xml:space="preserve">nacional, </w:t>
      </w:r>
      <w:r w:rsidR="000464C8" w:rsidRPr="003A1174">
        <w:rPr>
          <w:rFonts w:ascii="Garamond" w:hAnsi="Garamond" w:cs="Arial"/>
          <w:color w:val="auto"/>
          <w:sz w:val="24"/>
          <w:szCs w:val="24"/>
          <w:lang w:val="pt-PT"/>
        </w:rPr>
        <w:t>assim</w:t>
      </w:r>
      <w:r w:rsidR="000116D8" w:rsidRPr="003A1174">
        <w:rPr>
          <w:rFonts w:ascii="Garamond" w:hAnsi="Garamond" w:cs="Arial"/>
          <w:color w:val="auto"/>
          <w:sz w:val="24"/>
          <w:szCs w:val="24"/>
          <w:lang w:val="pt-PT"/>
        </w:rPr>
        <w:t xml:space="preserve"> como unificar </w:t>
      </w:r>
      <w:r w:rsidR="00CB5DB2" w:rsidRPr="003A1174">
        <w:rPr>
          <w:rFonts w:ascii="Garamond" w:hAnsi="Garamond" w:cs="Arial"/>
          <w:color w:val="auto"/>
          <w:sz w:val="24"/>
          <w:szCs w:val="24"/>
          <w:lang w:val="pt-PT"/>
        </w:rPr>
        <w:t>critério</w:t>
      </w:r>
      <w:r w:rsidR="000116D8" w:rsidRPr="003A1174">
        <w:rPr>
          <w:rFonts w:ascii="Garamond" w:hAnsi="Garamond" w:cs="Arial"/>
          <w:color w:val="auto"/>
          <w:sz w:val="24"/>
          <w:szCs w:val="24"/>
          <w:lang w:val="pt-PT"/>
        </w:rPr>
        <w:t xml:space="preserve">s de </w:t>
      </w:r>
      <w:r w:rsidR="009859FC" w:rsidRPr="003A1174">
        <w:rPr>
          <w:rFonts w:ascii="Garamond" w:hAnsi="Garamond" w:cs="Arial"/>
          <w:color w:val="auto"/>
          <w:sz w:val="24"/>
          <w:szCs w:val="24"/>
          <w:lang w:val="pt-PT"/>
        </w:rPr>
        <w:t>atuação</w:t>
      </w:r>
      <w:r w:rsidR="000116D8" w:rsidRPr="003A1174">
        <w:rPr>
          <w:rFonts w:ascii="Garamond" w:hAnsi="Garamond" w:cs="Arial"/>
          <w:color w:val="auto"/>
          <w:sz w:val="24"/>
          <w:szCs w:val="24"/>
          <w:lang w:val="pt-PT"/>
        </w:rPr>
        <w:t xml:space="preserve"> que </w:t>
      </w:r>
      <w:r w:rsidR="00D75A07" w:rsidRPr="003A1174">
        <w:rPr>
          <w:rFonts w:ascii="Garamond" w:hAnsi="Garamond" w:cs="Arial"/>
          <w:color w:val="auto"/>
          <w:sz w:val="24"/>
          <w:szCs w:val="24"/>
          <w:lang w:val="pt-PT"/>
        </w:rPr>
        <w:t>contribuam</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par</w:t>
      </w:r>
      <w:r w:rsidR="000116D8"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garantir</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886D6A" w:rsidRPr="003A1174">
        <w:rPr>
          <w:rFonts w:ascii="Garamond" w:hAnsi="Garamond" w:cs="Arial"/>
          <w:color w:val="auto"/>
          <w:sz w:val="24"/>
          <w:szCs w:val="24"/>
          <w:lang w:val="pt-PT"/>
        </w:rPr>
        <w:t>acesso</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à </w:t>
      </w:r>
      <w:r w:rsidR="00FC1F7F" w:rsidRPr="003A1174">
        <w:rPr>
          <w:rFonts w:ascii="Garamond" w:hAnsi="Garamond" w:cs="Arial"/>
          <w:color w:val="auto"/>
          <w:sz w:val="24"/>
          <w:szCs w:val="24"/>
          <w:lang w:val="pt-PT"/>
        </w:rPr>
        <w:t>justiça</w:t>
      </w:r>
      <w:r w:rsidR="000116D8"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0116D8"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0116D8"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0116D8" w:rsidRPr="003A1174">
        <w:rPr>
          <w:rFonts w:ascii="Garamond" w:hAnsi="Garamond" w:cs="Arial"/>
          <w:color w:val="auto"/>
          <w:sz w:val="24"/>
          <w:szCs w:val="24"/>
          <w:lang w:val="pt-PT"/>
        </w:rPr>
        <w:t xml:space="preserve"> familiar. </w:t>
      </w:r>
    </w:p>
    <w:p w:rsidR="000116D8" w:rsidRPr="003A1174" w:rsidRDefault="000116D8" w:rsidP="008719D4">
      <w:pPr>
        <w:pStyle w:val="Prrafodelista"/>
        <w:suppressAutoHyphens w:val="0"/>
        <w:spacing w:before="240" w:after="0" w:line="240" w:lineRule="auto"/>
        <w:contextualSpacing/>
        <w:jc w:val="both"/>
        <w:rPr>
          <w:rFonts w:ascii="Garamond" w:hAnsi="Garamond" w:cs="Arial"/>
          <w:color w:val="auto"/>
          <w:sz w:val="24"/>
          <w:szCs w:val="24"/>
          <w:lang w:val="pt-PT"/>
        </w:rPr>
      </w:pPr>
    </w:p>
    <w:p w:rsidR="000116D8" w:rsidRPr="003A1174" w:rsidRDefault="005F2C5E" w:rsidP="00D54730">
      <w:pPr>
        <w:pStyle w:val="Prrafodelista"/>
        <w:numPr>
          <w:ilvl w:val="0"/>
          <w:numId w:val="9"/>
        </w:numPr>
        <w:suppressAutoHyphens w:val="0"/>
        <w:autoSpaceDE w:val="0"/>
        <w:autoSpaceDN w:val="0"/>
        <w:adjustRightInd w:val="0"/>
        <w:spacing w:before="240" w:after="0" w:line="240" w:lineRule="auto"/>
        <w:contextualSpacing/>
        <w:jc w:val="both"/>
        <w:rPr>
          <w:rFonts w:ascii="Garamond" w:hAnsi="Garamond" w:cs="Arial"/>
          <w:color w:val="auto"/>
          <w:sz w:val="24"/>
          <w:szCs w:val="24"/>
          <w:lang w:val="pt-PT"/>
        </w:rPr>
      </w:pPr>
      <w:r>
        <w:rPr>
          <w:rFonts w:ascii="Garamond" w:hAnsi="Garamond" w:cs="Arial"/>
          <w:color w:val="auto"/>
          <w:sz w:val="24"/>
          <w:szCs w:val="24"/>
          <w:lang w:val="pt-PT"/>
        </w:rPr>
        <w:t>Orientações</w:t>
      </w:r>
      <w:r w:rsidR="000116D8" w:rsidRPr="003A1174">
        <w:rPr>
          <w:rFonts w:ascii="Garamond" w:hAnsi="Garamond" w:cs="Arial"/>
          <w:color w:val="auto"/>
          <w:sz w:val="24"/>
          <w:szCs w:val="24"/>
          <w:lang w:val="pt-PT"/>
        </w:rPr>
        <w:t xml:space="preserve"> de </w:t>
      </w:r>
      <w:r w:rsidR="009859FC" w:rsidRPr="003A1174">
        <w:rPr>
          <w:rFonts w:ascii="Garamond" w:hAnsi="Garamond" w:cs="Arial"/>
          <w:color w:val="auto"/>
          <w:sz w:val="24"/>
          <w:szCs w:val="24"/>
          <w:lang w:val="pt-PT"/>
        </w:rPr>
        <w:t>atuação</w:t>
      </w:r>
      <w:r w:rsidR="000116D8" w:rsidRPr="003A1174">
        <w:rPr>
          <w:rFonts w:ascii="Garamond" w:hAnsi="Garamond" w:cs="Arial"/>
          <w:color w:val="auto"/>
          <w:sz w:val="24"/>
          <w:szCs w:val="24"/>
          <w:lang w:val="pt-PT"/>
        </w:rPr>
        <w:t xml:space="preserve"> de</w:t>
      </w:r>
      <w:r>
        <w:rPr>
          <w:rFonts w:ascii="Garamond" w:hAnsi="Garamond" w:cs="Arial"/>
          <w:color w:val="auto"/>
          <w:sz w:val="24"/>
          <w:szCs w:val="24"/>
          <w:lang w:val="pt-PT"/>
        </w:rPr>
        <w:t xml:space="preserve"> defesa,</w:t>
      </w:r>
      <w:r w:rsidR="00D54730" w:rsidRPr="003A1174">
        <w:rPr>
          <w:rFonts w:ascii="Garamond" w:hAnsi="Garamond" w:cs="Arial"/>
          <w:color w:val="auto"/>
          <w:sz w:val="24"/>
          <w:szCs w:val="24"/>
          <w:lang w:val="pt-PT"/>
        </w:rPr>
        <w:t xml:space="preserve"> em </w:t>
      </w:r>
      <w:r w:rsidR="00EF645F" w:rsidRPr="003A1174">
        <w:rPr>
          <w:rFonts w:ascii="Garamond" w:hAnsi="Garamond" w:cs="Arial"/>
          <w:color w:val="auto"/>
          <w:sz w:val="24"/>
          <w:szCs w:val="24"/>
          <w:lang w:val="pt-PT"/>
        </w:rPr>
        <w:t>matéria</w:t>
      </w:r>
      <w:r w:rsidR="000116D8"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0116D8"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das</w:t>
      </w:r>
      <w:r w:rsidR="000116D8"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00D54730" w:rsidRPr="003A1174">
        <w:rPr>
          <w:rFonts w:ascii="Garamond" w:hAnsi="Garamond" w:cs="Arial"/>
          <w:color w:val="auto"/>
          <w:sz w:val="24"/>
          <w:szCs w:val="24"/>
          <w:lang w:val="pt-PT"/>
        </w:rPr>
        <w:t>n</w:t>
      </w:r>
      <w:r w:rsidR="000116D8" w:rsidRPr="003A1174">
        <w:rPr>
          <w:rFonts w:ascii="Garamond" w:hAnsi="Garamond" w:cs="Arial"/>
          <w:color w:val="auto"/>
          <w:sz w:val="24"/>
          <w:szCs w:val="24"/>
          <w:lang w:val="pt-PT"/>
        </w:rPr>
        <w:t xml:space="preserve">as </w:t>
      </w:r>
      <w:r w:rsidR="001F2F8B" w:rsidRPr="003A1174">
        <w:rPr>
          <w:rFonts w:ascii="Garamond" w:hAnsi="Garamond" w:cs="Arial"/>
          <w:color w:val="auto"/>
          <w:sz w:val="24"/>
          <w:szCs w:val="24"/>
          <w:lang w:val="pt-PT"/>
        </w:rPr>
        <w:t>eleições</w:t>
      </w:r>
      <w:r w:rsidR="000116D8" w:rsidRPr="003A1174">
        <w:rPr>
          <w:rFonts w:ascii="Garamond" w:hAnsi="Garamond" w:cs="Arial"/>
          <w:color w:val="auto"/>
          <w:sz w:val="24"/>
          <w:szCs w:val="24"/>
          <w:lang w:val="pt-PT"/>
        </w:rPr>
        <w:t xml:space="preserve"> </w:t>
      </w:r>
      <w:r w:rsidR="0086401D" w:rsidRPr="003A1174">
        <w:rPr>
          <w:rFonts w:ascii="Garamond" w:hAnsi="Garamond" w:cs="Arial"/>
          <w:color w:val="auto"/>
          <w:sz w:val="24"/>
          <w:szCs w:val="24"/>
          <w:lang w:val="pt-PT"/>
        </w:rPr>
        <w:t>regionais</w:t>
      </w:r>
      <w:r w:rsidR="000116D8"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0116D8" w:rsidRPr="003A1174">
        <w:rPr>
          <w:rFonts w:ascii="Garamond" w:hAnsi="Garamond" w:cs="Arial"/>
          <w:color w:val="auto"/>
          <w:sz w:val="24"/>
          <w:szCs w:val="24"/>
          <w:lang w:val="pt-PT"/>
        </w:rPr>
        <w:t xml:space="preserve"> </w:t>
      </w:r>
      <w:r w:rsidR="00374785" w:rsidRPr="003A1174">
        <w:rPr>
          <w:rFonts w:ascii="Garamond" w:hAnsi="Garamond" w:cs="Arial"/>
          <w:color w:val="auto"/>
          <w:sz w:val="24"/>
          <w:szCs w:val="24"/>
          <w:lang w:val="pt-PT"/>
        </w:rPr>
        <w:t>municipais</w:t>
      </w:r>
      <w:r w:rsidR="000116D8" w:rsidRPr="003A1174">
        <w:rPr>
          <w:rFonts w:ascii="Garamond" w:hAnsi="Garamond" w:cs="Arial"/>
          <w:color w:val="auto"/>
          <w:sz w:val="24"/>
          <w:szCs w:val="24"/>
          <w:lang w:val="pt-PT"/>
        </w:rPr>
        <w:t xml:space="preserve"> 2014.</w:t>
      </w:r>
    </w:p>
    <w:p w:rsidR="000116D8" w:rsidRPr="003A1174" w:rsidRDefault="000116D8" w:rsidP="00D54730">
      <w:pPr>
        <w:pStyle w:val="Prrafodelista"/>
        <w:suppressAutoHyphens w:val="0"/>
        <w:autoSpaceDE w:val="0"/>
        <w:autoSpaceDN w:val="0"/>
        <w:adjustRightInd w:val="0"/>
        <w:spacing w:before="240" w:after="0" w:line="240" w:lineRule="auto"/>
        <w:contextualSpacing/>
        <w:jc w:val="both"/>
        <w:rPr>
          <w:rFonts w:ascii="Garamond" w:hAnsi="Garamond" w:cs="Arial"/>
          <w:color w:val="auto"/>
          <w:sz w:val="24"/>
          <w:szCs w:val="24"/>
          <w:lang w:val="pt-PT"/>
        </w:rPr>
      </w:pPr>
    </w:p>
    <w:p w:rsidR="000116D8" w:rsidRPr="003A1174" w:rsidRDefault="00D54730" w:rsidP="00D54730">
      <w:pPr>
        <w:pStyle w:val="Prrafodelista"/>
        <w:suppressAutoHyphens w:val="0"/>
        <w:autoSpaceDE w:val="0"/>
        <w:autoSpaceDN w:val="0"/>
        <w:adjustRightInd w:val="0"/>
        <w:spacing w:before="240" w:after="0" w:line="240" w:lineRule="auto"/>
        <w:contextualSpacing/>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 sua </w:t>
      </w:r>
      <w:r w:rsidR="006F4B2C" w:rsidRPr="003A1174">
        <w:rPr>
          <w:rFonts w:ascii="Garamond" w:hAnsi="Garamond" w:cs="Arial"/>
          <w:color w:val="auto"/>
          <w:sz w:val="24"/>
          <w:szCs w:val="24"/>
          <w:lang w:val="pt-PT"/>
        </w:rPr>
        <w:t>finalidade</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é </w:t>
      </w:r>
      <w:r w:rsidR="002F5CD1" w:rsidRPr="003A1174">
        <w:rPr>
          <w:rFonts w:ascii="Garamond" w:hAnsi="Garamond" w:cs="Arial"/>
          <w:color w:val="auto"/>
          <w:sz w:val="24"/>
          <w:szCs w:val="24"/>
          <w:lang w:val="pt-PT"/>
        </w:rPr>
        <w:t>estabelecer</w:t>
      </w:r>
      <w:r w:rsidR="000116D8" w:rsidRPr="003A1174">
        <w:rPr>
          <w:rFonts w:ascii="Garamond" w:hAnsi="Garamond" w:cs="Arial"/>
          <w:color w:val="auto"/>
          <w:sz w:val="24"/>
          <w:szCs w:val="24"/>
          <w:lang w:val="pt-PT"/>
        </w:rPr>
        <w:t xml:space="preserve"> </w:t>
      </w:r>
      <w:r w:rsidR="00CB5DB2" w:rsidRPr="003A1174">
        <w:rPr>
          <w:rFonts w:ascii="Garamond" w:hAnsi="Garamond" w:cs="Arial"/>
          <w:color w:val="auto"/>
          <w:sz w:val="24"/>
          <w:szCs w:val="24"/>
          <w:lang w:val="pt-PT"/>
        </w:rPr>
        <w:t>critério</w:t>
      </w:r>
      <w:r w:rsidR="000116D8" w:rsidRPr="003A1174">
        <w:rPr>
          <w:rFonts w:ascii="Garamond" w:hAnsi="Garamond" w:cs="Arial"/>
          <w:color w:val="auto"/>
          <w:sz w:val="24"/>
          <w:szCs w:val="24"/>
          <w:lang w:val="pt-PT"/>
        </w:rPr>
        <w:t xml:space="preserve">s </w:t>
      </w:r>
      <w:r w:rsidR="006F4B2C" w:rsidRPr="003A1174">
        <w:rPr>
          <w:rFonts w:ascii="Garamond" w:hAnsi="Garamond" w:cs="Arial"/>
          <w:color w:val="auto"/>
          <w:sz w:val="24"/>
          <w:szCs w:val="24"/>
          <w:lang w:val="pt-PT"/>
        </w:rPr>
        <w:t>comuns</w:t>
      </w:r>
      <w:r w:rsidR="000116D8" w:rsidRPr="003A1174">
        <w:rPr>
          <w:rFonts w:ascii="Garamond" w:hAnsi="Garamond" w:cs="Arial"/>
          <w:color w:val="auto"/>
          <w:sz w:val="24"/>
          <w:szCs w:val="24"/>
          <w:lang w:val="pt-PT"/>
        </w:rPr>
        <w:t xml:space="preserve"> de </w:t>
      </w:r>
      <w:r w:rsidR="009859FC" w:rsidRPr="003A1174">
        <w:rPr>
          <w:rFonts w:ascii="Garamond" w:hAnsi="Garamond" w:cs="Arial"/>
          <w:color w:val="auto"/>
          <w:sz w:val="24"/>
          <w:szCs w:val="24"/>
          <w:lang w:val="pt-PT"/>
        </w:rPr>
        <w:t>atuação</w:t>
      </w:r>
      <w:r w:rsidR="000116D8" w:rsidRPr="003A1174">
        <w:rPr>
          <w:rFonts w:ascii="Garamond" w:hAnsi="Garamond" w:cs="Arial"/>
          <w:color w:val="auto"/>
          <w:sz w:val="24"/>
          <w:szCs w:val="24"/>
          <w:lang w:val="pt-PT"/>
        </w:rPr>
        <w:t xml:space="preserve"> </w:t>
      </w:r>
      <w:r w:rsidR="005F2C5E">
        <w:rPr>
          <w:rFonts w:ascii="Garamond" w:hAnsi="Garamond" w:cs="Arial"/>
          <w:color w:val="auto"/>
          <w:sz w:val="24"/>
          <w:szCs w:val="24"/>
          <w:lang w:val="pt-PT"/>
        </w:rPr>
        <w:t xml:space="preserve">no tratamento </w:t>
      </w:r>
      <w:r w:rsidR="000116D8" w:rsidRPr="003A1174">
        <w:rPr>
          <w:rFonts w:ascii="Garamond" w:hAnsi="Garamond" w:cs="Arial"/>
          <w:color w:val="auto"/>
          <w:sz w:val="24"/>
          <w:szCs w:val="24"/>
          <w:lang w:val="pt-PT"/>
        </w:rPr>
        <w:t xml:space="preserve">de </w:t>
      </w:r>
      <w:r w:rsidR="009529F1" w:rsidRPr="003A1174">
        <w:rPr>
          <w:rFonts w:ascii="Garamond" w:hAnsi="Garamond" w:cs="Arial"/>
          <w:color w:val="auto"/>
          <w:sz w:val="24"/>
          <w:szCs w:val="24"/>
          <w:lang w:val="pt-PT"/>
        </w:rPr>
        <w:t>queixa</w:t>
      </w:r>
      <w:r w:rsidR="000116D8" w:rsidRPr="003A1174">
        <w:rPr>
          <w:rFonts w:ascii="Garamond" w:hAnsi="Garamond" w:cs="Arial"/>
          <w:color w:val="auto"/>
          <w:sz w:val="24"/>
          <w:szCs w:val="24"/>
          <w:lang w:val="pt-PT"/>
        </w:rPr>
        <w:t xml:space="preserve">s, consultas </w:t>
      </w:r>
      <w:r w:rsidR="000672E8" w:rsidRPr="003A1174">
        <w:rPr>
          <w:rFonts w:ascii="Garamond" w:hAnsi="Garamond" w:cs="Arial"/>
          <w:color w:val="auto"/>
          <w:sz w:val="24"/>
          <w:szCs w:val="24"/>
          <w:lang w:val="pt-PT"/>
        </w:rPr>
        <w:t>e</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petições</w:t>
      </w:r>
      <w:r w:rsidR="000116D8"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 xml:space="preserve">cheguem à </w:t>
      </w:r>
      <w:r w:rsidR="00C04CA4" w:rsidRPr="003A1174">
        <w:rPr>
          <w:rFonts w:ascii="Garamond" w:hAnsi="Garamond" w:cs="Arial"/>
          <w:color w:val="auto"/>
          <w:sz w:val="24"/>
          <w:szCs w:val="24"/>
          <w:lang w:val="pt-PT"/>
        </w:rPr>
        <w:t>Provedoria de Justiça</w:t>
      </w:r>
      <w:r w:rsidR="005F2C5E">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re</w:t>
      </w:r>
      <w:r w:rsidRPr="003A1174">
        <w:rPr>
          <w:rFonts w:ascii="Garamond" w:hAnsi="Garamond" w:cs="Arial"/>
          <w:color w:val="auto"/>
          <w:sz w:val="24"/>
          <w:szCs w:val="24"/>
          <w:lang w:val="pt-PT"/>
        </w:rPr>
        <w:t xml:space="preserve">lativamente </w:t>
      </w:r>
      <w:r w:rsidR="000116D8" w:rsidRPr="003A1174">
        <w:rPr>
          <w:rFonts w:ascii="Garamond" w:hAnsi="Garamond" w:cs="Arial"/>
          <w:color w:val="auto"/>
          <w:sz w:val="24"/>
          <w:szCs w:val="24"/>
          <w:lang w:val="pt-PT"/>
        </w:rPr>
        <w:t>a problemas</w:t>
      </w:r>
      <w:r w:rsidR="005F2C5E">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00080235" w:rsidRPr="003A1174">
        <w:rPr>
          <w:rFonts w:ascii="Garamond" w:hAnsi="Garamond" w:cs="Arial"/>
          <w:color w:val="auto"/>
          <w:sz w:val="24"/>
          <w:szCs w:val="24"/>
          <w:lang w:val="pt-PT"/>
        </w:rPr>
        <w:t>ta</w:t>
      </w:r>
      <w:r w:rsidRPr="003A1174">
        <w:rPr>
          <w:rFonts w:ascii="Garamond" w:hAnsi="Garamond" w:cs="Arial"/>
          <w:color w:val="auto"/>
          <w:sz w:val="24"/>
          <w:szCs w:val="24"/>
          <w:lang w:val="pt-PT"/>
        </w:rPr>
        <w:t>i</w:t>
      </w:r>
      <w:r w:rsidR="00080235" w:rsidRPr="003A1174">
        <w:rPr>
          <w:rFonts w:ascii="Garamond" w:hAnsi="Garamond" w:cs="Arial"/>
          <w:color w:val="auto"/>
          <w:sz w:val="24"/>
          <w:szCs w:val="24"/>
          <w:lang w:val="pt-PT"/>
        </w:rPr>
        <w:t xml:space="preserve">s </w:t>
      </w:r>
      <w:r w:rsidR="000116D8" w:rsidRPr="003A1174">
        <w:rPr>
          <w:rFonts w:ascii="Garamond" w:hAnsi="Garamond" w:cs="Arial"/>
          <w:color w:val="auto"/>
          <w:sz w:val="24"/>
          <w:szCs w:val="24"/>
          <w:lang w:val="pt-PT"/>
        </w:rPr>
        <w:t>como</w:t>
      </w:r>
      <w:r w:rsidR="005F2C5E">
        <w:rPr>
          <w:rFonts w:ascii="Garamond" w:hAnsi="Garamond" w:cs="Arial"/>
          <w:color w:val="auto"/>
          <w:sz w:val="24"/>
          <w:szCs w:val="24"/>
          <w:lang w:val="pt-PT"/>
        </w:rPr>
        <w:t>,</w:t>
      </w:r>
      <w:r w:rsidR="000116D8"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0116D8" w:rsidRPr="003A1174">
        <w:rPr>
          <w:rFonts w:ascii="Garamond" w:hAnsi="Garamond" w:cs="Arial"/>
          <w:color w:val="auto"/>
          <w:sz w:val="24"/>
          <w:szCs w:val="24"/>
          <w:lang w:val="pt-PT"/>
        </w:rPr>
        <w:t>in</w:t>
      </w:r>
      <w:r w:rsidR="00D96FD0" w:rsidRPr="003A1174">
        <w:rPr>
          <w:rFonts w:ascii="Garamond" w:hAnsi="Garamond" w:cs="Arial"/>
          <w:color w:val="auto"/>
          <w:sz w:val="24"/>
          <w:szCs w:val="24"/>
          <w:lang w:val="pt-PT"/>
        </w:rPr>
        <w:t>cumprimento</w:t>
      </w:r>
      <w:r w:rsidR="000116D8"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a q</w:t>
      </w:r>
      <w:r w:rsidR="000116D8" w:rsidRPr="003A1174">
        <w:rPr>
          <w:rFonts w:ascii="Garamond" w:hAnsi="Garamond" w:cs="Arial"/>
          <w:color w:val="auto"/>
          <w:sz w:val="24"/>
          <w:szCs w:val="24"/>
          <w:lang w:val="pt-PT"/>
        </w:rPr>
        <w:t>uota ele</w:t>
      </w:r>
      <w:r w:rsidRPr="003A1174">
        <w:rPr>
          <w:rFonts w:ascii="Garamond" w:hAnsi="Garamond" w:cs="Arial"/>
          <w:color w:val="auto"/>
          <w:sz w:val="24"/>
          <w:szCs w:val="24"/>
          <w:lang w:val="pt-PT"/>
        </w:rPr>
        <w:t>i</w:t>
      </w:r>
      <w:r w:rsidR="000116D8" w:rsidRPr="003A1174">
        <w:rPr>
          <w:rFonts w:ascii="Garamond" w:hAnsi="Garamond" w:cs="Arial"/>
          <w:color w:val="auto"/>
          <w:sz w:val="24"/>
          <w:szCs w:val="24"/>
          <w:lang w:val="pt-PT"/>
        </w:rPr>
        <w:t xml:space="preserve">toral, </w:t>
      </w:r>
      <w:r w:rsidR="00080235" w:rsidRPr="003A1174">
        <w:rPr>
          <w:rFonts w:ascii="Garamond" w:hAnsi="Garamond" w:cs="Arial"/>
          <w:color w:val="auto"/>
          <w:sz w:val="24"/>
          <w:szCs w:val="24"/>
          <w:lang w:val="pt-PT"/>
        </w:rPr>
        <w:t xml:space="preserve">a </w:t>
      </w:r>
      <w:r w:rsidR="006D0543" w:rsidRPr="003A1174">
        <w:rPr>
          <w:rFonts w:ascii="Garamond" w:hAnsi="Garamond" w:cs="Arial"/>
          <w:color w:val="auto"/>
          <w:sz w:val="24"/>
          <w:szCs w:val="24"/>
          <w:lang w:val="pt-PT"/>
        </w:rPr>
        <w:t>violação</w:t>
      </w:r>
      <w:r w:rsidR="000116D8"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0116D8"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0116D8" w:rsidRPr="003A1174">
        <w:rPr>
          <w:rFonts w:ascii="Garamond" w:hAnsi="Garamond" w:cs="Arial"/>
          <w:color w:val="auto"/>
          <w:sz w:val="24"/>
          <w:szCs w:val="24"/>
          <w:lang w:val="pt-PT"/>
        </w:rPr>
        <w:t xml:space="preserve"> fundamental </w:t>
      </w:r>
      <w:r w:rsidRPr="003A1174">
        <w:rPr>
          <w:rFonts w:ascii="Garamond" w:hAnsi="Garamond" w:cs="Arial"/>
          <w:color w:val="auto"/>
          <w:sz w:val="24"/>
          <w:szCs w:val="24"/>
          <w:lang w:val="pt-PT"/>
        </w:rPr>
        <w:t xml:space="preserve">à </w:t>
      </w:r>
      <w:r w:rsidR="0017447A" w:rsidRPr="003A1174">
        <w:rPr>
          <w:rFonts w:ascii="Garamond" w:hAnsi="Garamond" w:cs="Arial"/>
          <w:color w:val="auto"/>
          <w:sz w:val="24"/>
          <w:szCs w:val="24"/>
          <w:lang w:val="pt-PT"/>
        </w:rPr>
        <w:t>participação</w:t>
      </w:r>
      <w:r w:rsidR="000116D8" w:rsidRPr="003A1174">
        <w:rPr>
          <w:rFonts w:ascii="Garamond" w:hAnsi="Garamond" w:cs="Arial"/>
          <w:color w:val="auto"/>
          <w:sz w:val="24"/>
          <w:szCs w:val="24"/>
          <w:lang w:val="pt-PT"/>
        </w:rPr>
        <w:t xml:space="preserve"> política de </w:t>
      </w:r>
      <w:r w:rsidR="00054EE0" w:rsidRPr="003A1174">
        <w:rPr>
          <w:rFonts w:ascii="Garamond" w:hAnsi="Garamond" w:cs="Arial"/>
          <w:color w:val="auto"/>
          <w:sz w:val="24"/>
          <w:szCs w:val="24"/>
          <w:lang w:val="pt-PT"/>
        </w:rPr>
        <w:t>mulheres</w:t>
      </w:r>
      <w:r w:rsidR="000116D8" w:rsidRPr="003A1174">
        <w:rPr>
          <w:rFonts w:ascii="Garamond" w:hAnsi="Garamond" w:cs="Arial"/>
          <w:color w:val="auto"/>
          <w:sz w:val="24"/>
          <w:szCs w:val="24"/>
          <w:lang w:val="pt-PT"/>
        </w:rPr>
        <w:t>, o</w:t>
      </w:r>
      <w:r w:rsidRPr="003A1174">
        <w:rPr>
          <w:rFonts w:ascii="Garamond" w:hAnsi="Garamond" w:cs="Arial"/>
          <w:color w:val="auto"/>
          <w:sz w:val="24"/>
          <w:szCs w:val="24"/>
          <w:lang w:val="pt-PT"/>
        </w:rPr>
        <w:t>u</w:t>
      </w:r>
      <w:r w:rsidR="000116D8" w:rsidRPr="003A1174">
        <w:rPr>
          <w:rFonts w:ascii="Garamond" w:hAnsi="Garamond" w:cs="Arial"/>
          <w:color w:val="auto"/>
          <w:sz w:val="24"/>
          <w:szCs w:val="24"/>
          <w:lang w:val="pt-PT"/>
        </w:rPr>
        <w:t xml:space="preserve"> casos de </w:t>
      </w:r>
      <w:r w:rsidR="00A41573" w:rsidRPr="003A1174">
        <w:rPr>
          <w:rFonts w:ascii="Garamond" w:hAnsi="Garamond" w:cs="Arial"/>
          <w:color w:val="auto"/>
          <w:sz w:val="24"/>
          <w:szCs w:val="24"/>
          <w:lang w:val="pt-PT"/>
        </w:rPr>
        <w:t>assédio</w:t>
      </w:r>
      <w:r w:rsidR="000116D8" w:rsidRPr="003A1174">
        <w:rPr>
          <w:rFonts w:ascii="Garamond" w:hAnsi="Garamond" w:cs="Arial"/>
          <w:color w:val="auto"/>
          <w:sz w:val="24"/>
          <w:szCs w:val="24"/>
          <w:lang w:val="pt-PT"/>
        </w:rPr>
        <w:t xml:space="preserve"> político </w:t>
      </w:r>
      <w:r w:rsidR="00A41573" w:rsidRPr="003A1174">
        <w:rPr>
          <w:rFonts w:ascii="Garamond" w:hAnsi="Garamond" w:cs="Arial"/>
          <w:color w:val="auto"/>
          <w:sz w:val="24"/>
          <w:szCs w:val="24"/>
          <w:lang w:val="pt-PT"/>
        </w:rPr>
        <w:t>à</w:t>
      </w:r>
      <w:r w:rsidR="000116D8" w:rsidRPr="003A1174">
        <w:rPr>
          <w:rFonts w:ascii="Garamond" w:hAnsi="Garamond" w:cs="Arial"/>
          <w:color w:val="auto"/>
          <w:sz w:val="24"/>
          <w:szCs w:val="24"/>
          <w:lang w:val="pt-PT"/>
        </w:rPr>
        <w:t>s candidatas.</w:t>
      </w:r>
    </w:p>
    <w:p w:rsidR="000116D8" w:rsidRPr="003A1174" w:rsidRDefault="000116D8" w:rsidP="008719D4">
      <w:pPr>
        <w:pStyle w:val="estilo25"/>
        <w:spacing w:before="240" w:beforeAutospacing="0" w:after="0" w:afterAutospacing="0"/>
        <w:jc w:val="both"/>
        <w:rPr>
          <w:rStyle w:val="nfasis"/>
          <w:rFonts w:ascii="Garamond" w:hAnsi="Garamond" w:cs="Arial"/>
          <w:bCs/>
          <w:lang w:val="pt-PT"/>
        </w:rPr>
      </w:pPr>
      <w:r w:rsidRPr="003A1174">
        <w:rPr>
          <w:rStyle w:val="nfasis"/>
          <w:rFonts w:ascii="Garamond" w:hAnsi="Garamond" w:cs="Arial"/>
          <w:bCs/>
          <w:i w:val="0"/>
          <w:lang w:val="pt-PT"/>
        </w:rPr>
        <w:t xml:space="preserve">A </w:t>
      </w:r>
      <w:r w:rsidR="005F2C5E">
        <w:rPr>
          <w:rStyle w:val="nfasis"/>
          <w:rFonts w:ascii="Garamond" w:hAnsi="Garamond" w:cs="Arial"/>
          <w:bCs/>
          <w:i w:val="0"/>
          <w:lang w:val="pt-PT"/>
        </w:rPr>
        <w:t xml:space="preserve">título </w:t>
      </w:r>
      <w:r w:rsidRPr="003A1174">
        <w:rPr>
          <w:rStyle w:val="nfasis"/>
          <w:rFonts w:ascii="Garamond" w:hAnsi="Garamond" w:cs="Arial"/>
          <w:bCs/>
          <w:i w:val="0"/>
          <w:lang w:val="pt-PT"/>
        </w:rPr>
        <w:t xml:space="preserve">de </w:t>
      </w:r>
      <w:r w:rsidR="002F5CD1" w:rsidRPr="003A1174">
        <w:rPr>
          <w:rStyle w:val="nfasis"/>
          <w:rFonts w:ascii="Garamond" w:hAnsi="Garamond" w:cs="Arial"/>
          <w:bCs/>
          <w:i w:val="0"/>
          <w:lang w:val="pt-PT"/>
        </w:rPr>
        <w:t>exemplo</w:t>
      </w:r>
      <w:r w:rsidR="00080235" w:rsidRPr="003A1174">
        <w:rPr>
          <w:rStyle w:val="nfasis"/>
          <w:rFonts w:ascii="Garamond" w:hAnsi="Garamond" w:cs="Arial"/>
          <w:bCs/>
          <w:i w:val="0"/>
          <w:lang w:val="pt-PT"/>
        </w:rPr>
        <w:t>,</w:t>
      </w:r>
      <w:r w:rsidR="00A41573" w:rsidRPr="003A1174">
        <w:rPr>
          <w:rStyle w:val="nfasis"/>
          <w:rFonts w:ascii="Garamond" w:hAnsi="Garamond" w:cs="Arial"/>
          <w:bCs/>
          <w:i w:val="0"/>
          <w:lang w:val="pt-PT"/>
        </w:rPr>
        <w:t xml:space="preserve"> cabe referir </w:t>
      </w:r>
      <w:r w:rsidRPr="003A1174">
        <w:rPr>
          <w:rStyle w:val="nfasis"/>
          <w:rFonts w:ascii="Garamond" w:hAnsi="Garamond" w:cs="Arial"/>
          <w:bCs/>
          <w:i w:val="0"/>
          <w:lang w:val="pt-PT"/>
        </w:rPr>
        <w:t xml:space="preserve">a </w:t>
      </w:r>
      <w:r w:rsidR="00A41573" w:rsidRPr="003A1174">
        <w:rPr>
          <w:rStyle w:val="nfasis"/>
          <w:rFonts w:ascii="Garamond" w:hAnsi="Garamond" w:cs="Arial"/>
          <w:bCs/>
          <w:i w:val="0"/>
          <w:lang w:val="pt-PT"/>
        </w:rPr>
        <w:t>celebração</w:t>
      </w:r>
      <w:r w:rsidRPr="003A1174">
        <w:rPr>
          <w:rStyle w:val="nfasis"/>
          <w:rFonts w:ascii="Garamond" w:hAnsi="Garamond" w:cs="Arial"/>
          <w:bCs/>
          <w:i w:val="0"/>
          <w:lang w:val="pt-PT"/>
        </w:rPr>
        <w:t xml:space="preserve"> </w:t>
      </w:r>
      <w:r w:rsidR="00497503" w:rsidRPr="003A1174">
        <w:rPr>
          <w:rStyle w:val="nfasis"/>
          <w:rFonts w:ascii="Garamond" w:hAnsi="Garamond" w:cs="Arial"/>
          <w:bCs/>
          <w:i w:val="0"/>
          <w:lang w:val="pt-PT"/>
        </w:rPr>
        <w:t>dos</w:t>
      </w:r>
      <w:r w:rsidRPr="003A1174">
        <w:rPr>
          <w:rStyle w:val="nfasis"/>
          <w:rFonts w:ascii="Garamond" w:hAnsi="Garamond" w:cs="Arial"/>
          <w:bCs/>
          <w:i w:val="0"/>
          <w:lang w:val="pt-PT"/>
        </w:rPr>
        <w:t xml:space="preserve"> </w:t>
      </w:r>
      <w:r w:rsidR="00A41573" w:rsidRPr="003A1174">
        <w:rPr>
          <w:rStyle w:val="nfasis"/>
          <w:rFonts w:ascii="Garamond" w:hAnsi="Garamond" w:cs="Arial"/>
          <w:bCs/>
          <w:i w:val="0"/>
          <w:lang w:val="pt-PT"/>
        </w:rPr>
        <w:t>acordos</w:t>
      </w:r>
      <w:r w:rsidR="005F2C5E">
        <w:rPr>
          <w:rStyle w:val="nfasis"/>
          <w:rFonts w:ascii="Garamond" w:hAnsi="Garamond" w:cs="Arial"/>
          <w:bCs/>
          <w:i w:val="0"/>
          <w:lang w:val="pt-PT"/>
        </w:rPr>
        <w:t>,</w:t>
      </w:r>
      <w:r w:rsidRPr="003A1174">
        <w:rPr>
          <w:rStyle w:val="nfasis"/>
          <w:rFonts w:ascii="Garamond" w:hAnsi="Garamond" w:cs="Arial"/>
          <w:bCs/>
          <w:i w:val="0"/>
          <w:lang w:val="pt-PT"/>
        </w:rPr>
        <w:t xml:space="preserve"> </w:t>
      </w:r>
      <w:r w:rsidR="000464C8" w:rsidRPr="003A1174">
        <w:rPr>
          <w:rStyle w:val="nfasis"/>
          <w:rFonts w:ascii="Garamond" w:hAnsi="Garamond" w:cs="Arial"/>
          <w:bCs/>
          <w:i w:val="0"/>
          <w:lang w:val="pt-PT"/>
        </w:rPr>
        <w:t>assim</w:t>
      </w:r>
      <w:r w:rsidR="00A41573" w:rsidRPr="003A1174">
        <w:rPr>
          <w:rStyle w:val="nfasis"/>
          <w:rFonts w:ascii="Garamond" w:hAnsi="Garamond" w:cs="Arial"/>
          <w:bCs/>
          <w:i w:val="0"/>
          <w:lang w:val="pt-PT"/>
        </w:rPr>
        <w:t xml:space="preserve"> como </w:t>
      </w:r>
      <w:r w:rsidRPr="003A1174">
        <w:rPr>
          <w:rStyle w:val="nfasis"/>
          <w:rFonts w:ascii="Garamond" w:hAnsi="Garamond" w:cs="Arial"/>
          <w:bCs/>
          <w:i w:val="0"/>
          <w:lang w:val="pt-PT"/>
        </w:rPr>
        <w:t xml:space="preserve">a </w:t>
      </w:r>
      <w:r w:rsidR="007A3375" w:rsidRPr="003A1174">
        <w:rPr>
          <w:rStyle w:val="nfasis"/>
          <w:rFonts w:ascii="Garamond" w:hAnsi="Garamond" w:cs="Arial"/>
          <w:bCs/>
          <w:i w:val="0"/>
          <w:lang w:val="pt-PT"/>
        </w:rPr>
        <w:t>elaboração</w:t>
      </w:r>
      <w:r w:rsidRPr="003A1174">
        <w:rPr>
          <w:rStyle w:val="nfasis"/>
          <w:rFonts w:ascii="Garamond" w:hAnsi="Garamond" w:cs="Arial"/>
          <w:bCs/>
          <w:i w:val="0"/>
          <w:lang w:val="pt-PT"/>
        </w:rPr>
        <w:t xml:space="preserve"> de </w:t>
      </w:r>
      <w:r w:rsidR="00A41573" w:rsidRPr="003A1174">
        <w:rPr>
          <w:rStyle w:val="nfasis"/>
          <w:rFonts w:ascii="Garamond" w:hAnsi="Garamond" w:cs="Arial"/>
          <w:bCs/>
          <w:i w:val="0"/>
          <w:lang w:val="pt-PT"/>
        </w:rPr>
        <w:t>diretrizes mencionadas</w:t>
      </w:r>
      <w:r w:rsidRPr="003A1174">
        <w:rPr>
          <w:rStyle w:val="nfasis"/>
          <w:rFonts w:ascii="Garamond" w:hAnsi="Garamond" w:cs="Arial"/>
          <w:bCs/>
          <w:i w:val="0"/>
          <w:lang w:val="pt-PT"/>
        </w:rPr>
        <w:t xml:space="preserve"> </w:t>
      </w:r>
      <w:r w:rsidR="00A41573" w:rsidRPr="003A1174">
        <w:rPr>
          <w:rStyle w:val="nfasis"/>
          <w:rFonts w:ascii="Garamond" w:hAnsi="Garamond" w:cs="Arial"/>
          <w:bCs/>
          <w:i w:val="0"/>
          <w:lang w:val="pt-PT"/>
        </w:rPr>
        <w:t>n</w:t>
      </w:r>
      <w:r w:rsidRPr="003A1174">
        <w:rPr>
          <w:rStyle w:val="nfasis"/>
          <w:rFonts w:ascii="Garamond" w:hAnsi="Garamond" w:cs="Arial"/>
          <w:bCs/>
          <w:i w:val="0"/>
          <w:lang w:val="pt-PT"/>
        </w:rPr>
        <w:t xml:space="preserve">as </w:t>
      </w:r>
      <w:r w:rsidR="005F2C5E">
        <w:rPr>
          <w:rStyle w:val="nfasis"/>
          <w:rFonts w:ascii="Garamond" w:hAnsi="Garamond" w:cs="Arial"/>
          <w:bCs/>
          <w:i w:val="0"/>
          <w:lang w:val="pt-PT"/>
        </w:rPr>
        <w:t xml:space="preserve">questões </w:t>
      </w:r>
      <w:r w:rsidRPr="003A1174">
        <w:rPr>
          <w:rStyle w:val="nfasis"/>
          <w:rFonts w:ascii="Garamond" w:hAnsi="Garamond" w:cs="Arial"/>
          <w:bCs/>
          <w:i w:val="0"/>
          <w:lang w:val="pt-PT"/>
        </w:rPr>
        <w:t xml:space="preserve">anteriores. </w:t>
      </w:r>
      <w:r w:rsidR="00080235" w:rsidRPr="003A1174">
        <w:rPr>
          <w:rStyle w:val="nfasis"/>
          <w:rFonts w:ascii="Garamond" w:hAnsi="Garamond" w:cs="Arial"/>
          <w:bCs/>
          <w:i w:val="0"/>
          <w:lang w:val="pt-PT"/>
        </w:rPr>
        <w:t xml:space="preserve">A </w:t>
      </w:r>
      <w:r w:rsidR="00A41573" w:rsidRPr="003A1174">
        <w:rPr>
          <w:rStyle w:val="nfasis"/>
          <w:rFonts w:ascii="Garamond" w:hAnsi="Garamond" w:cs="Arial"/>
          <w:bCs/>
          <w:i w:val="0"/>
          <w:lang w:val="pt-PT"/>
        </w:rPr>
        <w:t>isto deve acrescentar-se a r</w:t>
      </w:r>
      <w:r w:rsidR="00C30647" w:rsidRPr="003A1174">
        <w:rPr>
          <w:rStyle w:val="nfasis"/>
          <w:rFonts w:ascii="Garamond" w:hAnsi="Garamond" w:cs="Arial"/>
          <w:bCs/>
          <w:i w:val="0"/>
          <w:lang w:val="pt-PT"/>
        </w:rPr>
        <w:t>ealização</w:t>
      </w:r>
      <w:r w:rsidRPr="003A1174">
        <w:rPr>
          <w:rStyle w:val="nfasis"/>
          <w:rFonts w:ascii="Garamond" w:hAnsi="Garamond" w:cs="Arial"/>
          <w:bCs/>
          <w:i w:val="0"/>
          <w:lang w:val="pt-PT"/>
        </w:rPr>
        <w:t xml:space="preserve"> </w:t>
      </w:r>
      <w:r w:rsidR="00E85E59" w:rsidRPr="003A1174">
        <w:rPr>
          <w:rStyle w:val="nfasis"/>
          <w:rFonts w:ascii="Garamond" w:hAnsi="Garamond" w:cs="Arial"/>
          <w:bCs/>
          <w:i w:val="0"/>
          <w:lang w:val="pt-PT"/>
        </w:rPr>
        <w:t>do</w:t>
      </w:r>
      <w:r w:rsidRPr="003A1174">
        <w:rPr>
          <w:rStyle w:val="nfasis"/>
          <w:rFonts w:ascii="Garamond" w:hAnsi="Garamond" w:cs="Arial"/>
          <w:bCs/>
          <w:i w:val="0"/>
          <w:lang w:val="pt-PT"/>
        </w:rPr>
        <w:t xml:space="preserve"> </w:t>
      </w:r>
      <w:r w:rsidR="00276DCA" w:rsidRPr="003A1174">
        <w:rPr>
          <w:rStyle w:val="nfasis"/>
          <w:rFonts w:ascii="Garamond" w:hAnsi="Garamond" w:cs="Arial"/>
          <w:bCs/>
          <w:i w:val="0"/>
          <w:lang w:val="pt-PT"/>
        </w:rPr>
        <w:t>Primeiro</w:t>
      </w:r>
      <w:r w:rsidRPr="003A1174">
        <w:rPr>
          <w:rStyle w:val="nfasis"/>
          <w:rFonts w:ascii="Garamond" w:hAnsi="Garamond" w:cs="Arial"/>
          <w:bCs/>
          <w:i w:val="0"/>
          <w:lang w:val="pt-PT"/>
        </w:rPr>
        <w:t xml:space="preserve"> </w:t>
      </w:r>
      <w:r w:rsidRPr="003A1174">
        <w:rPr>
          <w:rFonts w:ascii="Garamond" w:hAnsi="Garamond" w:cs="Arial"/>
          <w:lang w:val="pt-PT"/>
        </w:rPr>
        <w:t xml:space="preserve">Diploma </w:t>
      </w:r>
      <w:r w:rsidR="005F2C5E">
        <w:rPr>
          <w:rFonts w:ascii="Garamond" w:hAnsi="Garamond" w:cs="Arial"/>
          <w:lang w:val="pt-PT"/>
        </w:rPr>
        <w:t>«</w:t>
      </w:r>
      <w:r w:rsidR="000350B1" w:rsidRPr="003A1174">
        <w:rPr>
          <w:rFonts w:ascii="Garamond" w:hAnsi="Garamond" w:cs="Arial"/>
          <w:lang w:val="pt-PT"/>
        </w:rPr>
        <w:t>Violência</w:t>
      </w:r>
      <w:r w:rsidRPr="003A1174">
        <w:rPr>
          <w:rFonts w:ascii="Garamond" w:hAnsi="Garamond" w:cs="Arial"/>
          <w:lang w:val="pt-PT"/>
        </w:rPr>
        <w:t xml:space="preserve"> de Género: </w:t>
      </w:r>
      <w:r w:rsidR="00886D6A" w:rsidRPr="003A1174">
        <w:rPr>
          <w:rFonts w:ascii="Garamond" w:hAnsi="Garamond" w:cs="Arial"/>
          <w:lang w:val="pt-PT"/>
        </w:rPr>
        <w:t>Direito</w:t>
      </w:r>
      <w:r w:rsidRPr="003A1174">
        <w:rPr>
          <w:rFonts w:ascii="Garamond" w:hAnsi="Garamond" w:cs="Arial"/>
          <w:lang w:val="pt-PT"/>
        </w:rPr>
        <w:t xml:space="preserve">s </w:t>
      </w:r>
      <w:r w:rsidR="00CA633E" w:rsidRPr="003A1174">
        <w:rPr>
          <w:rFonts w:ascii="Garamond" w:hAnsi="Garamond" w:cs="Arial"/>
          <w:lang w:val="pt-PT"/>
        </w:rPr>
        <w:t>Fundamentais</w:t>
      </w:r>
      <w:r w:rsidRPr="003A1174">
        <w:rPr>
          <w:rFonts w:ascii="Garamond" w:hAnsi="Garamond" w:cs="Arial"/>
          <w:lang w:val="pt-PT"/>
        </w:rPr>
        <w:t xml:space="preserve"> </w:t>
      </w:r>
      <w:r w:rsidR="00497503" w:rsidRPr="003A1174">
        <w:rPr>
          <w:rFonts w:ascii="Garamond" w:hAnsi="Garamond" w:cs="Arial"/>
          <w:lang w:val="pt-PT"/>
        </w:rPr>
        <w:t>das</w:t>
      </w:r>
      <w:r w:rsidRPr="003A1174">
        <w:rPr>
          <w:rFonts w:ascii="Garamond" w:hAnsi="Garamond" w:cs="Arial"/>
          <w:lang w:val="pt-PT"/>
        </w:rPr>
        <w:t xml:space="preserve"> </w:t>
      </w:r>
      <w:r w:rsidR="00054EE0" w:rsidRPr="003A1174">
        <w:rPr>
          <w:rFonts w:ascii="Garamond" w:hAnsi="Garamond" w:cs="Arial"/>
          <w:lang w:val="pt-PT"/>
        </w:rPr>
        <w:t>Mulheres</w:t>
      </w:r>
      <w:r w:rsidR="005F2C5E">
        <w:rPr>
          <w:rFonts w:ascii="Garamond" w:hAnsi="Garamond" w:cs="Arial"/>
          <w:lang w:val="pt-PT"/>
        </w:rPr>
        <w:t>»</w:t>
      </w:r>
      <w:r w:rsidRPr="003A1174">
        <w:rPr>
          <w:rFonts w:ascii="Garamond" w:hAnsi="Garamond" w:cs="Arial"/>
          <w:lang w:val="pt-PT"/>
        </w:rPr>
        <w:t>.</w:t>
      </w:r>
    </w:p>
    <w:p w:rsidR="000116D8" w:rsidRPr="003A1174" w:rsidRDefault="000116D8" w:rsidP="008719D4">
      <w:pPr>
        <w:tabs>
          <w:tab w:val="left" w:pos="708"/>
        </w:tabs>
        <w:suppressAutoHyphens/>
        <w:spacing w:before="240" w:after="0" w:line="240" w:lineRule="auto"/>
        <w:jc w:val="both"/>
        <w:rPr>
          <w:rFonts w:ascii="Garamond" w:hAnsi="Garamond" w:cs="Arial"/>
          <w:i/>
          <w:sz w:val="24"/>
          <w:szCs w:val="24"/>
        </w:rPr>
      </w:pPr>
      <w:r w:rsidRPr="003A1174">
        <w:rPr>
          <w:rStyle w:val="nfasis"/>
          <w:rFonts w:ascii="Garamond" w:hAnsi="Garamond" w:cs="Arial"/>
          <w:bCs/>
          <w:i w:val="0"/>
          <w:sz w:val="24"/>
          <w:szCs w:val="24"/>
        </w:rPr>
        <w:t xml:space="preserve">Finalmente, </w:t>
      </w:r>
      <w:r w:rsidR="00A41573" w:rsidRPr="003A1174">
        <w:rPr>
          <w:rStyle w:val="nfasis"/>
          <w:rFonts w:ascii="Garamond" w:hAnsi="Garamond" w:cs="Arial"/>
          <w:bCs/>
          <w:i w:val="0"/>
          <w:sz w:val="24"/>
          <w:szCs w:val="24"/>
        </w:rPr>
        <w:t xml:space="preserve">no </w:t>
      </w:r>
      <w:r w:rsidR="00253B1D" w:rsidRPr="003A1174">
        <w:rPr>
          <w:rStyle w:val="nfasis"/>
          <w:rFonts w:ascii="Garamond" w:hAnsi="Garamond" w:cs="Arial"/>
          <w:bCs/>
          <w:i w:val="0"/>
          <w:sz w:val="24"/>
          <w:szCs w:val="24"/>
        </w:rPr>
        <w:t>quadro</w:t>
      </w:r>
      <w:r w:rsidR="00080235" w:rsidRPr="003A1174">
        <w:rPr>
          <w:rStyle w:val="nfasis"/>
          <w:rFonts w:ascii="Garamond" w:hAnsi="Garamond" w:cs="Arial"/>
          <w:bCs/>
          <w:i w:val="0"/>
          <w:sz w:val="24"/>
          <w:szCs w:val="24"/>
        </w:rPr>
        <w:t xml:space="preserve"> d</w:t>
      </w:r>
      <w:r w:rsidR="00A41573" w:rsidRPr="003A1174">
        <w:rPr>
          <w:rStyle w:val="nfasis"/>
          <w:rFonts w:ascii="Garamond" w:hAnsi="Garamond" w:cs="Arial"/>
          <w:bCs/>
          <w:i w:val="0"/>
          <w:sz w:val="24"/>
          <w:szCs w:val="24"/>
        </w:rPr>
        <w:t xml:space="preserve">as suas </w:t>
      </w:r>
      <w:r w:rsidR="00E150E9" w:rsidRPr="003A1174">
        <w:rPr>
          <w:rStyle w:val="nfasis"/>
          <w:rFonts w:ascii="Garamond" w:hAnsi="Garamond" w:cs="Arial"/>
          <w:bCs/>
          <w:i w:val="0"/>
          <w:sz w:val="24"/>
          <w:szCs w:val="24"/>
        </w:rPr>
        <w:t>funções</w:t>
      </w:r>
      <w:r w:rsidR="00080235" w:rsidRPr="003A1174">
        <w:rPr>
          <w:rStyle w:val="nfasis"/>
          <w:rFonts w:ascii="Garamond" w:hAnsi="Garamond" w:cs="Arial"/>
          <w:bCs/>
          <w:i w:val="0"/>
          <w:sz w:val="24"/>
          <w:szCs w:val="24"/>
        </w:rPr>
        <w:t xml:space="preserve">, </w:t>
      </w:r>
      <w:r w:rsidRPr="003A1174">
        <w:rPr>
          <w:rStyle w:val="nfasis"/>
          <w:rFonts w:ascii="Garamond" w:hAnsi="Garamond" w:cs="Arial"/>
          <w:bCs/>
          <w:i w:val="0"/>
          <w:sz w:val="24"/>
          <w:szCs w:val="24"/>
        </w:rPr>
        <w:t xml:space="preserve">a </w:t>
      </w:r>
      <w:r w:rsidRPr="003A1174">
        <w:rPr>
          <w:rStyle w:val="nfasis"/>
          <w:rFonts w:ascii="Garamond" w:hAnsi="Garamond" w:cs="Arial"/>
          <w:bCs/>
          <w:sz w:val="24"/>
          <w:szCs w:val="24"/>
        </w:rPr>
        <w:t>Adjuntía</w:t>
      </w:r>
      <w:r w:rsidR="00A41573" w:rsidRPr="003A1174">
        <w:rPr>
          <w:rStyle w:val="nfasis"/>
          <w:rFonts w:ascii="Garamond" w:hAnsi="Garamond" w:cs="Arial"/>
          <w:bCs/>
          <w:i w:val="0"/>
          <w:sz w:val="24"/>
          <w:szCs w:val="24"/>
        </w:rPr>
        <w:t xml:space="preserve"> para </w:t>
      </w:r>
      <w:r w:rsidRPr="003A1174">
        <w:rPr>
          <w:rStyle w:val="nfasis"/>
          <w:rFonts w:ascii="Garamond" w:hAnsi="Garamond" w:cs="Arial"/>
          <w:bCs/>
          <w:i w:val="0"/>
          <w:sz w:val="24"/>
          <w:szCs w:val="24"/>
        </w:rPr>
        <w:t xml:space="preserve">os </w:t>
      </w:r>
      <w:r w:rsidR="00886D6A" w:rsidRPr="003A1174">
        <w:rPr>
          <w:rStyle w:val="nfasis"/>
          <w:rFonts w:ascii="Garamond" w:hAnsi="Garamond" w:cs="Arial"/>
          <w:bCs/>
          <w:i w:val="0"/>
          <w:sz w:val="24"/>
          <w:szCs w:val="24"/>
        </w:rPr>
        <w:t>Direito</w:t>
      </w:r>
      <w:r w:rsidR="00A41573" w:rsidRPr="003A1174">
        <w:rPr>
          <w:rStyle w:val="nfasis"/>
          <w:rFonts w:ascii="Garamond" w:hAnsi="Garamond" w:cs="Arial"/>
          <w:bCs/>
          <w:i w:val="0"/>
          <w:sz w:val="24"/>
          <w:szCs w:val="24"/>
        </w:rPr>
        <w:t>s d</w:t>
      </w:r>
      <w:r w:rsidRPr="003A1174">
        <w:rPr>
          <w:rStyle w:val="nfasis"/>
          <w:rFonts w:ascii="Garamond" w:hAnsi="Garamond" w:cs="Arial"/>
          <w:bCs/>
          <w:i w:val="0"/>
          <w:sz w:val="24"/>
          <w:szCs w:val="24"/>
        </w:rPr>
        <w:t xml:space="preserve">a </w:t>
      </w:r>
      <w:r w:rsidR="00AF192F" w:rsidRPr="003A1174">
        <w:rPr>
          <w:rStyle w:val="nfasis"/>
          <w:rFonts w:ascii="Garamond" w:hAnsi="Garamond" w:cs="Arial"/>
          <w:bCs/>
          <w:i w:val="0"/>
          <w:sz w:val="24"/>
          <w:szCs w:val="24"/>
        </w:rPr>
        <w:t>Mulher</w:t>
      </w:r>
      <w:r w:rsidRPr="003A1174">
        <w:rPr>
          <w:rStyle w:val="nfasis"/>
          <w:rFonts w:ascii="Garamond" w:hAnsi="Garamond" w:cs="Arial"/>
          <w:bCs/>
          <w:i w:val="0"/>
          <w:sz w:val="24"/>
          <w:szCs w:val="24"/>
        </w:rPr>
        <w:t xml:space="preserve"> da </w:t>
      </w:r>
      <w:r w:rsidR="00C04CA4" w:rsidRPr="003A1174">
        <w:rPr>
          <w:rStyle w:val="nfasis"/>
          <w:rFonts w:ascii="Garamond" w:hAnsi="Garamond" w:cs="Arial"/>
          <w:bCs/>
          <w:i w:val="0"/>
          <w:sz w:val="24"/>
          <w:szCs w:val="24"/>
        </w:rPr>
        <w:t>Provedoria de Justiça</w:t>
      </w:r>
      <w:r w:rsidRPr="003A1174">
        <w:rPr>
          <w:rStyle w:val="nfasis"/>
          <w:rFonts w:ascii="Garamond" w:hAnsi="Garamond" w:cs="Arial"/>
          <w:bCs/>
          <w:i w:val="0"/>
          <w:sz w:val="24"/>
          <w:szCs w:val="24"/>
        </w:rPr>
        <w:t xml:space="preserve"> </w:t>
      </w:r>
      <w:r w:rsidR="00E85E59" w:rsidRPr="003A1174">
        <w:rPr>
          <w:rStyle w:val="nfasis"/>
          <w:rFonts w:ascii="Garamond" w:hAnsi="Garamond" w:cs="Arial"/>
          <w:bCs/>
          <w:i w:val="0"/>
          <w:sz w:val="24"/>
          <w:szCs w:val="24"/>
        </w:rPr>
        <w:t>do</w:t>
      </w:r>
      <w:r w:rsidRPr="003A1174">
        <w:rPr>
          <w:rStyle w:val="nfasis"/>
          <w:rFonts w:ascii="Garamond" w:hAnsi="Garamond" w:cs="Arial"/>
          <w:bCs/>
          <w:i w:val="0"/>
          <w:sz w:val="24"/>
          <w:szCs w:val="24"/>
        </w:rPr>
        <w:t xml:space="preserve"> </w:t>
      </w:r>
      <w:r w:rsidR="00C30647" w:rsidRPr="003A1174">
        <w:rPr>
          <w:rStyle w:val="nfasis"/>
          <w:rFonts w:ascii="Garamond" w:hAnsi="Garamond" w:cs="Arial"/>
          <w:bCs/>
          <w:i w:val="0"/>
          <w:sz w:val="24"/>
          <w:szCs w:val="24"/>
        </w:rPr>
        <w:t>Peru</w:t>
      </w:r>
      <w:r w:rsidRPr="003A1174">
        <w:rPr>
          <w:rStyle w:val="nfasis"/>
          <w:rFonts w:ascii="Garamond" w:hAnsi="Garamond" w:cs="Arial"/>
          <w:bCs/>
          <w:i w:val="0"/>
          <w:sz w:val="24"/>
          <w:szCs w:val="24"/>
        </w:rPr>
        <w:t xml:space="preserve"> particip</w:t>
      </w:r>
      <w:r w:rsidR="00A41573" w:rsidRPr="003A1174">
        <w:rPr>
          <w:rStyle w:val="nfasis"/>
          <w:rFonts w:ascii="Garamond" w:hAnsi="Garamond" w:cs="Arial"/>
          <w:bCs/>
          <w:i w:val="0"/>
          <w:sz w:val="24"/>
          <w:szCs w:val="24"/>
        </w:rPr>
        <w:t xml:space="preserve">ou em </w:t>
      </w:r>
      <w:r w:rsidRPr="003A1174">
        <w:rPr>
          <w:rStyle w:val="nfasis"/>
          <w:rFonts w:ascii="Garamond" w:hAnsi="Garamond" w:cs="Arial"/>
          <w:bCs/>
          <w:i w:val="0"/>
          <w:sz w:val="24"/>
          <w:szCs w:val="24"/>
        </w:rPr>
        <w:t xml:space="preserve">mesas de </w:t>
      </w:r>
      <w:r w:rsidR="0017447A" w:rsidRPr="003A1174">
        <w:rPr>
          <w:rStyle w:val="nfasis"/>
          <w:rFonts w:ascii="Garamond" w:hAnsi="Garamond" w:cs="Arial"/>
          <w:bCs/>
          <w:i w:val="0"/>
          <w:sz w:val="24"/>
          <w:szCs w:val="24"/>
        </w:rPr>
        <w:t>trabalho</w:t>
      </w:r>
      <w:r w:rsidRPr="003A1174">
        <w:rPr>
          <w:rStyle w:val="nfasis"/>
          <w:rFonts w:ascii="Garamond" w:hAnsi="Garamond" w:cs="Arial"/>
          <w:bCs/>
          <w:i w:val="0"/>
          <w:sz w:val="24"/>
          <w:szCs w:val="24"/>
        </w:rPr>
        <w:t xml:space="preserve"> convocadas por diferentes ent</w:t>
      </w:r>
      <w:r w:rsidR="00A41573" w:rsidRPr="003A1174">
        <w:rPr>
          <w:rStyle w:val="nfasis"/>
          <w:rFonts w:ascii="Garamond" w:hAnsi="Garamond" w:cs="Arial"/>
          <w:bCs/>
          <w:i w:val="0"/>
          <w:sz w:val="24"/>
          <w:szCs w:val="24"/>
        </w:rPr>
        <w:t>idad</w:t>
      </w:r>
      <w:r w:rsidRPr="003A1174">
        <w:rPr>
          <w:rStyle w:val="nfasis"/>
          <w:rFonts w:ascii="Garamond" w:hAnsi="Garamond" w:cs="Arial"/>
          <w:bCs/>
          <w:i w:val="0"/>
          <w:sz w:val="24"/>
          <w:szCs w:val="24"/>
        </w:rPr>
        <w:t xml:space="preserve">es </w:t>
      </w:r>
      <w:r w:rsidR="00E85E59" w:rsidRPr="003A1174">
        <w:rPr>
          <w:rStyle w:val="nfasis"/>
          <w:rFonts w:ascii="Garamond" w:hAnsi="Garamond" w:cs="Arial"/>
          <w:bCs/>
          <w:i w:val="0"/>
          <w:sz w:val="24"/>
          <w:szCs w:val="24"/>
        </w:rPr>
        <w:t>do</w:t>
      </w:r>
      <w:r w:rsidRPr="003A1174">
        <w:rPr>
          <w:rStyle w:val="nfasis"/>
          <w:rFonts w:ascii="Garamond" w:hAnsi="Garamond" w:cs="Arial"/>
          <w:bCs/>
          <w:i w:val="0"/>
          <w:sz w:val="24"/>
          <w:szCs w:val="24"/>
        </w:rPr>
        <w:t xml:space="preserve"> Estado co</w:t>
      </w:r>
      <w:r w:rsidR="00A41573" w:rsidRPr="003A1174">
        <w:rPr>
          <w:rStyle w:val="nfasis"/>
          <w:rFonts w:ascii="Garamond" w:hAnsi="Garamond" w:cs="Arial"/>
          <w:bCs/>
          <w:i w:val="0"/>
          <w:sz w:val="24"/>
          <w:szCs w:val="24"/>
        </w:rPr>
        <w:t xml:space="preserve">m </w:t>
      </w:r>
      <w:r w:rsidRPr="003A1174">
        <w:rPr>
          <w:rStyle w:val="nfasis"/>
          <w:rFonts w:ascii="Garamond" w:hAnsi="Garamond" w:cs="Arial"/>
          <w:bCs/>
          <w:i w:val="0"/>
          <w:sz w:val="24"/>
          <w:szCs w:val="24"/>
        </w:rPr>
        <w:t xml:space="preserve">a </w:t>
      </w:r>
      <w:r w:rsidR="006F4B2C" w:rsidRPr="003A1174">
        <w:rPr>
          <w:rStyle w:val="nfasis"/>
          <w:rFonts w:ascii="Garamond" w:hAnsi="Garamond" w:cs="Arial"/>
          <w:bCs/>
          <w:i w:val="0"/>
          <w:sz w:val="24"/>
          <w:szCs w:val="24"/>
        </w:rPr>
        <w:t>finalidade</w:t>
      </w:r>
      <w:r w:rsidRPr="003A1174">
        <w:rPr>
          <w:rStyle w:val="nfasis"/>
          <w:rFonts w:ascii="Garamond" w:hAnsi="Garamond" w:cs="Arial"/>
          <w:bCs/>
          <w:i w:val="0"/>
          <w:sz w:val="24"/>
          <w:szCs w:val="24"/>
        </w:rPr>
        <w:t xml:space="preserve"> de articular e impuls</w:t>
      </w:r>
      <w:r w:rsidR="00A41573" w:rsidRPr="003A1174">
        <w:rPr>
          <w:rStyle w:val="nfasis"/>
          <w:rFonts w:ascii="Garamond" w:hAnsi="Garamond" w:cs="Arial"/>
          <w:bCs/>
          <w:i w:val="0"/>
          <w:sz w:val="24"/>
          <w:szCs w:val="24"/>
        </w:rPr>
        <w:t>ion</w:t>
      </w:r>
      <w:r w:rsidRPr="003A1174">
        <w:rPr>
          <w:rStyle w:val="nfasis"/>
          <w:rFonts w:ascii="Garamond" w:hAnsi="Garamond" w:cs="Arial"/>
          <w:bCs/>
          <w:i w:val="0"/>
          <w:sz w:val="24"/>
          <w:szCs w:val="24"/>
        </w:rPr>
        <w:t xml:space="preserve">ar </w:t>
      </w:r>
      <w:r w:rsidR="002C7510" w:rsidRPr="003A1174">
        <w:rPr>
          <w:rStyle w:val="nfasis"/>
          <w:rFonts w:ascii="Garamond" w:hAnsi="Garamond" w:cs="Arial"/>
          <w:bCs/>
          <w:i w:val="0"/>
          <w:sz w:val="24"/>
          <w:szCs w:val="24"/>
        </w:rPr>
        <w:t>ações</w:t>
      </w:r>
      <w:r w:rsidRPr="003A1174">
        <w:rPr>
          <w:rStyle w:val="nfasis"/>
          <w:rFonts w:ascii="Garamond" w:hAnsi="Garamond" w:cs="Arial"/>
          <w:bCs/>
          <w:i w:val="0"/>
          <w:sz w:val="24"/>
          <w:szCs w:val="24"/>
        </w:rPr>
        <w:t xml:space="preserve"> concretas para </w:t>
      </w:r>
      <w:r w:rsidR="00AF192F" w:rsidRPr="003A1174">
        <w:rPr>
          <w:rStyle w:val="nfasis"/>
          <w:rFonts w:ascii="Garamond" w:hAnsi="Garamond" w:cs="Arial"/>
          <w:bCs/>
          <w:i w:val="0"/>
          <w:sz w:val="24"/>
          <w:szCs w:val="24"/>
        </w:rPr>
        <w:t>garantir</w:t>
      </w:r>
      <w:r w:rsidRPr="003A1174">
        <w:rPr>
          <w:rStyle w:val="nfasis"/>
          <w:rFonts w:ascii="Garamond" w:hAnsi="Garamond" w:cs="Arial"/>
          <w:bCs/>
          <w:i w:val="0"/>
          <w:sz w:val="24"/>
          <w:szCs w:val="24"/>
        </w:rPr>
        <w:t xml:space="preserve"> os </w:t>
      </w:r>
      <w:r w:rsidR="00886D6A" w:rsidRPr="003A1174">
        <w:rPr>
          <w:rStyle w:val="nfasis"/>
          <w:rFonts w:ascii="Garamond" w:hAnsi="Garamond" w:cs="Arial"/>
          <w:bCs/>
          <w:i w:val="0"/>
          <w:sz w:val="24"/>
          <w:szCs w:val="24"/>
        </w:rPr>
        <w:t>direito</w:t>
      </w:r>
      <w:r w:rsidRPr="003A1174">
        <w:rPr>
          <w:rStyle w:val="nfasis"/>
          <w:rFonts w:ascii="Garamond" w:hAnsi="Garamond" w:cs="Arial"/>
          <w:bCs/>
          <w:i w:val="0"/>
          <w:sz w:val="24"/>
          <w:szCs w:val="24"/>
        </w:rPr>
        <w:t xml:space="preserve">s humanos </w:t>
      </w:r>
      <w:r w:rsidR="00497503" w:rsidRPr="003A1174">
        <w:rPr>
          <w:rStyle w:val="nfasis"/>
          <w:rFonts w:ascii="Garamond" w:hAnsi="Garamond" w:cs="Arial"/>
          <w:bCs/>
          <w:i w:val="0"/>
          <w:sz w:val="24"/>
          <w:szCs w:val="24"/>
        </w:rPr>
        <w:t>das</w:t>
      </w:r>
      <w:r w:rsidRPr="003A1174">
        <w:rPr>
          <w:rStyle w:val="nfasis"/>
          <w:rFonts w:ascii="Garamond" w:hAnsi="Garamond" w:cs="Arial"/>
          <w:bCs/>
          <w:i w:val="0"/>
          <w:sz w:val="24"/>
          <w:szCs w:val="24"/>
        </w:rPr>
        <w:t xml:space="preserve"> </w:t>
      </w:r>
      <w:r w:rsidR="00054EE0" w:rsidRPr="003A1174">
        <w:rPr>
          <w:rStyle w:val="nfasis"/>
          <w:rFonts w:ascii="Garamond" w:hAnsi="Garamond" w:cs="Arial"/>
          <w:bCs/>
          <w:i w:val="0"/>
          <w:sz w:val="24"/>
          <w:szCs w:val="24"/>
        </w:rPr>
        <w:t>mulheres</w:t>
      </w:r>
      <w:r w:rsidRPr="003A1174">
        <w:rPr>
          <w:rStyle w:val="nfasis"/>
          <w:rFonts w:ascii="Garamond" w:hAnsi="Garamond" w:cs="Arial"/>
          <w:bCs/>
          <w:i w:val="0"/>
          <w:sz w:val="24"/>
          <w:szCs w:val="24"/>
        </w:rPr>
        <w:t>, entre el</w:t>
      </w:r>
      <w:r w:rsidR="00A41573" w:rsidRPr="003A1174">
        <w:rPr>
          <w:rStyle w:val="nfasis"/>
          <w:rFonts w:ascii="Garamond" w:hAnsi="Garamond" w:cs="Arial"/>
          <w:bCs/>
          <w:i w:val="0"/>
          <w:sz w:val="24"/>
          <w:szCs w:val="24"/>
        </w:rPr>
        <w:t>e</w:t>
      </w:r>
      <w:r w:rsidRPr="003A1174">
        <w:rPr>
          <w:rStyle w:val="nfasis"/>
          <w:rFonts w:ascii="Garamond" w:hAnsi="Garamond" w:cs="Arial"/>
          <w:bCs/>
          <w:i w:val="0"/>
          <w:sz w:val="24"/>
          <w:szCs w:val="24"/>
        </w:rPr>
        <w:t xml:space="preserve">s </w:t>
      </w:r>
      <w:r w:rsidR="00A41573" w:rsidRPr="003A1174">
        <w:rPr>
          <w:rStyle w:val="nfasis"/>
          <w:rFonts w:ascii="Garamond" w:hAnsi="Garamond" w:cs="Arial"/>
          <w:bCs/>
          <w:i w:val="0"/>
          <w:sz w:val="24"/>
          <w:szCs w:val="24"/>
        </w:rPr>
        <w:t xml:space="preserve">o </w:t>
      </w:r>
      <w:r w:rsidR="00886D6A" w:rsidRPr="003A1174">
        <w:rPr>
          <w:rStyle w:val="nfasis"/>
          <w:rFonts w:ascii="Garamond" w:hAnsi="Garamond" w:cs="Arial"/>
          <w:bCs/>
          <w:i w:val="0"/>
          <w:sz w:val="24"/>
          <w:szCs w:val="24"/>
        </w:rPr>
        <w:t>direito</w:t>
      </w:r>
      <w:r w:rsidR="00A41573" w:rsidRPr="003A1174">
        <w:rPr>
          <w:rStyle w:val="nfasis"/>
          <w:rFonts w:ascii="Garamond" w:hAnsi="Garamond" w:cs="Arial"/>
          <w:bCs/>
          <w:i w:val="0"/>
          <w:sz w:val="24"/>
          <w:szCs w:val="24"/>
        </w:rPr>
        <w:t xml:space="preserve"> a um</w:t>
      </w:r>
      <w:r w:rsidRPr="003A1174">
        <w:rPr>
          <w:rStyle w:val="nfasis"/>
          <w:rFonts w:ascii="Garamond" w:hAnsi="Garamond" w:cs="Arial"/>
          <w:bCs/>
          <w:i w:val="0"/>
          <w:sz w:val="24"/>
          <w:szCs w:val="24"/>
        </w:rPr>
        <w:t xml:space="preserve">a vida </w:t>
      </w:r>
      <w:r w:rsidR="00AF192F" w:rsidRPr="003A1174">
        <w:rPr>
          <w:rStyle w:val="nfasis"/>
          <w:rFonts w:ascii="Garamond" w:hAnsi="Garamond" w:cs="Arial"/>
          <w:bCs/>
          <w:i w:val="0"/>
          <w:sz w:val="24"/>
          <w:szCs w:val="24"/>
        </w:rPr>
        <w:t>livre</w:t>
      </w:r>
      <w:r w:rsidRPr="003A1174">
        <w:rPr>
          <w:rStyle w:val="nfasis"/>
          <w:rFonts w:ascii="Garamond" w:hAnsi="Garamond" w:cs="Arial"/>
          <w:bCs/>
          <w:i w:val="0"/>
          <w:sz w:val="24"/>
          <w:szCs w:val="24"/>
        </w:rPr>
        <w:t xml:space="preserve"> de </w:t>
      </w:r>
      <w:r w:rsidR="000350B1" w:rsidRPr="003A1174">
        <w:rPr>
          <w:rStyle w:val="nfasis"/>
          <w:rFonts w:ascii="Garamond" w:hAnsi="Garamond" w:cs="Arial"/>
          <w:bCs/>
          <w:i w:val="0"/>
          <w:sz w:val="24"/>
          <w:szCs w:val="24"/>
        </w:rPr>
        <w:t>violência</w:t>
      </w:r>
      <w:r w:rsidRPr="003A1174">
        <w:rPr>
          <w:rStyle w:val="nfasis"/>
          <w:rFonts w:ascii="Garamond" w:hAnsi="Garamond" w:cs="Arial"/>
          <w:bCs/>
          <w:i w:val="0"/>
          <w:sz w:val="24"/>
          <w:szCs w:val="24"/>
        </w:rPr>
        <w:t>.</w:t>
      </w:r>
    </w:p>
    <w:p w:rsidR="008B023E" w:rsidRPr="003A1174" w:rsidRDefault="0017447A" w:rsidP="008719D4">
      <w:pPr>
        <w:pStyle w:val="Ttulo3"/>
        <w:spacing w:line="240" w:lineRule="auto"/>
        <w:rPr>
          <w:rFonts w:ascii="Garamond" w:hAnsi="Garamond"/>
          <w:sz w:val="24"/>
          <w:szCs w:val="24"/>
        </w:rPr>
      </w:pPr>
      <w:bookmarkStart w:id="52" w:name="_Toc421529740"/>
      <w:r w:rsidRPr="003A1174">
        <w:rPr>
          <w:rFonts w:ascii="Garamond" w:hAnsi="Garamond"/>
          <w:sz w:val="24"/>
          <w:szCs w:val="24"/>
        </w:rPr>
        <w:t>Porto</w:t>
      </w:r>
      <w:r w:rsidR="006466A5" w:rsidRPr="003A1174">
        <w:rPr>
          <w:rFonts w:ascii="Garamond" w:hAnsi="Garamond"/>
          <w:sz w:val="24"/>
          <w:szCs w:val="24"/>
        </w:rPr>
        <w:t xml:space="preserve"> Rico</w:t>
      </w:r>
      <w:bookmarkEnd w:id="52"/>
    </w:p>
    <w:p w:rsidR="008B023E" w:rsidRPr="003A1174" w:rsidRDefault="00B70E1F" w:rsidP="00A41573">
      <w:pPr>
        <w:spacing w:before="240" w:line="240" w:lineRule="auto"/>
        <w:jc w:val="both"/>
        <w:rPr>
          <w:rFonts w:ascii="Garamond" w:hAnsi="Garamond" w:cs="Arial"/>
          <w:sz w:val="24"/>
          <w:szCs w:val="24"/>
        </w:rPr>
      </w:pPr>
      <w:r>
        <w:rPr>
          <w:rFonts w:ascii="Garamond" w:hAnsi="Garamond" w:cs="Arial"/>
          <w:sz w:val="24"/>
          <w:szCs w:val="24"/>
        </w:rPr>
        <w:t>Em Porto Rico, o</w:t>
      </w:r>
      <w:r w:rsidR="00A41573" w:rsidRPr="003A1174">
        <w:rPr>
          <w:rFonts w:ascii="Garamond" w:hAnsi="Garamond" w:cs="Arial"/>
          <w:sz w:val="24"/>
          <w:szCs w:val="24"/>
        </w:rPr>
        <w:t xml:space="preserve"> Gabinete </w:t>
      </w:r>
      <w:r w:rsidR="00E85E59" w:rsidRPr="003A1174">
        <w:rPr>
          <w:rFonts w:ascii="Garamond" w:hAnsi="Garamond" w:cs="Arial"/>
          <w:sz w:val="24"/>
          <w:szCs w:val="24"/>
        </w:rPr>
        <w:t>do</w:t>
      </w:r>
      <w:r w:rsidR="008B023E" w:rsidRPr="003A1174">
        <w:rPr>
          <w:rFonts w:ascii="Garamond" w:hAnsi="Garamond" w:cs="Arial"/>
          <w:sz w:val="24"/>
          <w:szCs w:val="24"/>
        </w:rPr>
        <w:t xml:space="preserve"> </w:t>
      </w:r>
      <w:r w:rsidR="001A53AD" w:rsidRPr="003A1174">
        <w:rPr>
          <w:rFonts w:ascii="Garamond" w:hAnsi="Garamond" w:cs="Arial"/>
          <w:sz w:val="24"/>
          <w:szCs w:val="24"/>
        </w:rPr>
        <w:t>Provedor de Justiça</w:t>
      </w:r>
      <w:r w:rsidR="008B023E" w:rsidRPr="003A1174">
        <w:rPr>
          <w:rFonts w:ascii="Garamond" w:hAnsi="Garamond" w:cs="Arial"/>
          <w:sz w:val="24"/>
          <w:szCs w:val="24"/>
        </w:rPr>
        <w:t xml:space="preserve"> </w:t>
      </w:r>
      <w:r w:rsidR="00A41573" w:rsidRPr="003A1174">
        <w:rPr>
          <w:rFonts w:ascii="Garamond" w:hAnsi="Garamond" w:cs="Arial"/>
          <w:sz w:val="24"/>
          <w:szCs w:val="24"/>
        </w:rPr>
        <w:t>esclareceu</w:t>
      </w:r>
      <w:r w:rsidR="002F319E" w:rsidRPr="003A1174">
        <w:rPr>
          <w:rFonts w:ascii="Garamond" w:hAnsi="Garamond" w:cs="Arial"/>
          <w:sz w:val="24"/>
          <w:szCs w:val="24"/>
        </w:rPr>
        <w:t>,</w:t>
      </w:r>
      <w:r w:rsidR="00A41573" w:rsidRPr="003A1174">
        <w:rPr>
          <w:rFonts w:ascii="Garamond" w:hAnsi="Garamond" w:cs="Arial"/>
          <w:sz w:val="24"/>
          <w:szCs w:val="24"/>
        </w:rPr>
        <w:t xml:space="preserve"> </w:t>
      </w:r>
      <w:r w:rsidR="00807FB2">
        <w:rPr>
          <w:rFonts w:ascii="Garamond" w:hAnsi="Garamond" w:cs="Arial"/>
          <w:sz w:val="24"/>
          <w:szCs w:val="24"/>
        </w:rPr>
        <w:t>pormenorizadamente</w:t>
      </w:r>
      <w:r w:rsidR="002F319E" w:rsidRPr="003A1174">
        <w:rPr>
          <w:rFonts w:ascii="Garamond" w:hAnsi="Garamond" w:cs="Arial"/>
          <w:sz w:val="24"/>
          <w:szCs w:val="24"/>
        </w:rPr>
        <w:t>,</w:t>
      </w:r>
      <w:r w:rsidR="00F35E7E" w:rsidRPr="003A1174">
        <w:rPr>
          <w:rFonts w:ascii="Garamond" w:hAnsi="Garamond" w:cs="Arial"/>
          <w:sz w:val="24"/>
          <w:szCs w:val="24"/>
        </w:rPr>
        <w:t xml:space="preserve"> </w:t>
      </w:r>
      <w:r w:rsidR="00A41573" w:rsidRPr="003A1174">
        <w:rPr>
          <w:rFonts w:ascii="Garamond" w:hAnsi="Garamond" w:cs="Arial"/>
          <w:sz w:val="24"/>
          <w:szCs w:val="24"/>
        </w:rPr>
        <w:t xml:space="preserve">o </w:t>
      </w:r>
      <w:r w:rsidR="008B023E" w:rsidRPr="003A1174">
        <w:rPr>
          <w:rFonts w:ascii="Garamond" w:hAnsi="Garamond" w:cs="Arial"/>
          <w:sz w:val="24"/>
          <w:szCs w:val="24"/>
        </w:rPr>
        <w:t xml:space="preserve">tema </w:t>
      </w:r>
      <w:r w:rsidR="00497503" w:rsidRPr="003A1174">
        <w:rPr>
          <w:rFonts w:ascii="Garamond" w:hAnsi="Garamond" w:cs="Arial"/>
          <w:sz w:val="24"/>
          <w:szCs w:val="24"/>
        </w:rPr>
        <w:t>dos</w:t>
      </w:r>
      <w:r w:rsidR="008B023E" w:rsidRPr="003A1174">
        <w:rPr>
          <w:rFonts w:ascii="Garamond" w:hAnsi="Garamond" w:cs="Arial"/>
          <w:sz w:val="24"/>
          <w:szCs w:val="24"/>
        </w:rPr>
        <w:t xml:space="preserve"> </w:t>
      </w:r>
      <w:r w:rsidR="00A41573" w:rsidRPr="003A1174">
        <w:rPr>
          <w:rFonts w:ascii="Garamond" w:hAnsi="Garamond" w:cs="Arial"/>
          <w:sz w:val="24"/>
          <w:szCs w:val="24"/>
        </w:rPr>
        <w:t>Acordos</w:t>
      </w:r>
      <w:r w:rsidR="008B023E" w:rsidRPr="003A1174">
        <w:rPr>
          <w:rFonts w:ascii="Garamond" w:hAnsi="Garamond" w:cs="Arial"/>
          <w:sz w:val="24"/>
          <w:szCs w:val="24"/>
        </w:rPr>
        <w:t>. Comprometidos co</w:t>
      </w:r>
      <w:r w:rsidR="00A41573" w:rsidRPr="003A1174">
        <w:rPr>
          <w:rFonts w:ascii="Garamond" w:hAnsi="Garamond" w:cs="Arial"/>
          <w:sz w:val="24"/>
          <w:szCs w:val="24"/>
        </w:rPr>
        <w:t xml:space="preserve">m o </w:t>
      </w:r>
      <w:r w:rsidR="00EB78D9" w:rsidRPr="003A1174">
        <w:rPr>
          <w:rFonts w:ascii="Garamond" w:hAnsi="Garamond" w:cs="Arial"/>
          <w:sz w:val="24"/>
          <w:szCs w:val="24"/>
        </w:rPr>
        <w:t>nosso</w:t>
      </w:r>
      <w:r w:rsidR="008B023E" w:rsidRPr="003A1174">
        <w:rPr>
          <w:rFonts w:ascii="Garamond" w:hAnsi="Garamond" w:cs="Arial"/>
          <w:sz w:val="24"/>
          <w:szCs w:val="24"/>
        </w:rPr>
        <w:t xml:space="preserve"> </w:t>
      </w:r>
      <w:r w:rsidR="00AF192F" w:rsidRPr="003A1174">
        <w:rPr>
          <w:rFonts w:ascii="Garamond" w:hAnsi="Garamond" w:cs="Arial"/>
          <w:sz w:val="24"/>
          <w:szCs w:val="24"/>
        </w:rPr>
        <w:t>dever</w:t>
      </w:r>
      <w:r w:rsidR="008B023E" w:rsidRPr="003A1174">
        <w:rPr>
          <w:rFonts w:ascii="Garamond" w:hAnsi="Garamond" w:cs="Arial"/>
          <w:sz w:val="24"/>
          <w:szCs w:val="24"/>
        </w:rPr>
        <w:t xml:space="preserve"> ministerial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00807FB2">
        <w:rPr>
          <w:rFonts w:ascii="Garamond" w:hAnsi="Garamond" w:cs="Arial"/>
          <w:sz w:val="24"/>
          <w:szCs w:val="24"/>
        </w:rPr>
        <w:t xml:space="preserve">na qualidade de </w:t>
      </w:r>
      <w:r w:rsidR="00C30647" w:rsidRPr="003A1174">
        <w:rPr>
          <w:rFonts w:ascii="Garamond" w:hAnsi="Garamond" w:cs="Arial"/>
          <w:sz w:val="24"/>
          <w:szCs w:val="24"/>
        </w:rPr>
        <w:t>membro</w:t>
      </w:r>
      <w:r w:rsidR="008B023E" w:rsidRPr="003A1174">
        <w:rPr>
          <w:rFonts w:ascii="Garamond" w:hAnsi="Garamond" w:cs="Arial"/>
          <w:sz w:val="24"/>
          <w:szCs w:val="24"/>
        </w:rPr>
        <w:t>s</w:t>
      </w:r>
      <w:r w:rsidR="00A41573" w:rsidRPr="003A1174">
        <w:rPr>
          <w:rFonts w:ascii="Garamond" w:hAnsi="Garamond" w:cs="Arial"/>
          <w:sz w:val="24"/>
          <w:szCs w:val="24"/>
        </w:rPr>
        <w:t xml:space="preserve"> d</w:t>
      </w:r>
      <w:r w:rsidR="008B023E" w:rsidRPr="003A1174">
        <w:rPr>
          <w:rFonts w:ascii="Garamond" w:hAnsi="Garamond" w:cs="Arial"/>
          <w:sz w:val="24"/>
          <w:szCs w:val="24"/>
        </w:rPr>
        <w:t>a FIO</w:t>
      </w:r>
      <w:r w:rsidR="00F35E7E" w:rsidRPr="003A1174">
        <w:rPr>
          <w:rFonts w:ascii="Garamond" w:hAnsi="Garamond" w:cs="Arial"/>
          <w:sz w:val="24"/>
          <w:szCs w:val="24"/>
        </w:rPr>
        <w:t>,</w:t>
      </w:r>
      <w:r w:rsidR="008B023E" w:rsidRPr="003A1174">
        <w:rPr>
          <w:rFonts w:ascii="Garamond" w:hAnsi="Garamond" w:cs="Arial"/>
          <w:sz w:val="24"/>
          <w:szCs w:val="24"/>
        </w:rPr>
        <w:t xml:space="preserve"> </w:t>
      </w:r>
      <w:r w:rsidR="00A41573" w:rsidRPr="003A1174">
        <w:rPr>
          <w:rFonts w:ascii="Garamond" w:hAnsi="Garamond" w:cs="Arial"/>
          <w:sz w:val="24"/>
          <w:szCs w:val="24"/>
        </w:rPr>
        <w:t xml:space="preserve">adotamos </w:t>
      </w:r>
      <w:r w:rsidR="00661ADB" w:rsidRPr="003A1174">
        <w:rPr>
          <w:rFonts w:ascii="Garamond" w:hAnsi="Garamond" w:cs="Arial"/>
          <w:sz w:val="24"/>
          <w:szCs w:val="24"/>
        </w:rPr>
        <w:t>Boas</w:t>
      </w:r>
      <w:r w:rsidR="008B023E" w:rsidRPr="003A1174">
        <w:rPr>
          <w:rFonts w:ascii="Garamond" w:hAnsi="Garamond" w:cs="Arial"/>
          <w:sz w:val="24"/>
          <w:szCs w:val="24"/>
        </w:rPr>
        <w:t xml:space="preserve"> </w:t>
      </w:r>
      <w:r w:rsidR="00661ADB" w:rsidRPr="003A1174">
        <w:rPr>
          <w:rFonts w:ascii="Garamond" w:hAnsi="Garamond" w:cs="Arial"/>
          <w:sz w:val="24"/>
          <w:szCs w:val="24"/>
        </w:rPr>
        <w:t>Prática</w:t>
      </w:r>
      <w:r w:rsidR="008B023E" w:rsidRPr="003A1174">
        <w:rPr>
          <w:rFonts w:ascii="Garamond" w:hAnsi="Garamond" w:cs="Arial"/>
          <w:sz w:val="24"/>
          <w:szCs w:val="24"/>
        </w:rPr>
        <w:t xml:space="preserve">s </w:t>
      </w:r>
      <w:r w:rsidR="00C04CA4" w:rsidRPr="003A1174">
        <w:rPr>
          <w:rFonts w:ascii="Garamond" w:hAnsi="Garamond" w:cs="Arial"/>
          <w:sz w:val="24"/>
          <w:szCs w:val="24"/>
        </w:rPr>
        <w:t>Institucionais</w:t>
      </w:r>
      <w:r w:rsidR="008B023E" w:rsidRPr="003A1174">
        <w:rPr>
          <w:rFonts w:ascii="Garamond" w:hAnsi="Garamond" w:cs="Arial"/>
          <w:sz w:val="24"/>
          <w:szCs w:val="24"/>
        </w:rPr>
        <w:t xml:space="preserve"> </w:t>
      </w:r>
      <w:r w:rsidR="00807FB2">
        <w:rPr>
          <w:rFonts w:ascii="Garamond" w:hAnsi="Garamond" w:cs="Arial"/>
          <w:sz w:val="24"/>
          <w:szCs w:val="24"/>
        </w:rPr>
        <w:t xml:space="preserve">entre as quais, </w:t>
      </w:r>
      <w:r w:rsidR="00A41573" w:rsidRPr="003A1174">
        <w:rPr>
          <w:rFonts w:ascii="Garamond" w:hAnsi="Garamond" w:cs="Arial"/>
          <w:sz w:val="24"/>
          <w:szCs w:val="24"/>
        </w:rPr>
        <w:t xml:space="preserve">a </w:t>
      </w:r>
      <w:r w:rsidR="00802ACC" w:rsidRPr="003A1174">
        <w:rPr>
          <w:rFonts w:ascii="Garamond" w:hAnsi="Garamond" w:cs="Arial"/>
          <w:sz w:val="24"/>
          <w:szCs w:val="24"/>
        </w:rPr>
        <w:t>educação</w:t>
      </w:r>
      <w:r w:rsidR="008B023E" w:rsidRPr="003A1174">
        <w:rPr>
          <w:rFonts w:ascii="Garamond" w:hAnsi="Garamond" w:cs="Arial"/>
          <w:sz w:val="24"/>
          <w:szCs w:val="24"/>
        </w:rPr>
        <w:t xml:space="preserve">, </w:t>
      </w:r>
      <w:r w:rsidR="002F5CD1" w:rsidRPr="003A1174">
        <w:rPr>
          <w:rFonts w:ascii="Garamond" w:hAnsi="Garamond" w:cs="Arial"/>
          <w:sz w:val="24"/>
          <w:szCs w:val="24"/>
        </w:rPr>
        <w:t>promoção</w:t>
      </w:r>
      <w:r w:rsidR="008B023E" w:rsidRPr="003A1174">
        <w:rPr>
          <w:rFonts w:ascii="Garamond" w:hAnsi="Garamond" w:cs="Arial"/>
          <w:sz w:val="24"/>
          <w:szCs w:val="24"/>
        </w:rPr>
        <w:t xml:space="preserve">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007578C6" w:rsidRPr="003A1174">
        <w:rPr>
          <w:rFonts w:ascii="Garamond" w:hAnsi="Garamond" w:cs="Arial"/>
          <w:sz w:val="24"/>
          <w:szCs w:val="24"/>
        </w:rPr>
        <w:t>prevenção</w:t>
      </w:r>
      <w:r w:rsidR="008B023E" w:rsidRPr="003A1174">
        <w:rPr>
          <w:rFonts w:ascii="Garamond" w:hAnsi="Garamond" w:cs="Arial"/>
          <w:sz w:val="24"/>
          <w:szCs w:val="24"/>
        </w:rPr>
        <w:t xml:space="preserve"> </w:t>
      </w:r>
      <w:r w:rsidR="003A391A" w:rsidRPr="003A1174">
        <w:rPr>
          <w:rFonts w:ascii="Garamond" w:hAnsi="Garamond" w:cs="Arial"/>
          <w:sz w:val="24"/>
          <w:szCs w:val="24"/>
        </w:rPr>
        <w:t>nos</w:t>
      </w:r>
      <w:r w:rsidR="008B023E" w:rsidRPr="003A1174">
        <w:rPr>
          <w:rFonts w:ascii="Garamond" w:hAnsi="Garamond" w:cs="Arial"/>
          <w:sz w:val="24"/>
          <w:szCs w:val="24"/>
        </w:rPr>
        <w:t xml:space="preserve"> temas de </w:t>
      </w:r>
      <w:r w:rsidR="00863197" w:rsidRPr="003A1174">
        <w:rPr>
          <w:rFonts w:ascii="Garamond" w:hAnsi="Garamond" w:cs="Arial"/>
          <w:sz w:val="24"/>
          <w:szCs w:val="24"/>
        </w:rPr>
        <w:t>maior</w:t>
      </w:r>
      <w:r w:rsidR="008B023E" w:rsidRPr="003A1174">
        <w:rPr>
          <w:rFonts w:ascii="Garamond" w:hAnsi="Garamond" w:cs="Arial"/>
          <w:sz w:val="24"/>
          <w:szCs w:val="24"/>
        </w:rPr>
        <w:t xml:space="preserve"> </w:t>
      </w:r>
      <w:r w:rsidR="004E3A1A" w:rsidRPr="003A1174">
        <w:rPr>
          <w:rFonts w:ascii="Garamond" w:hAnsi="Garamond" w:cs="Arial"/>
          <w:sz w:val="24"/>
          <w:szCs w:val="24"/>
        </w:rPr>
        <w:t>vulnerabilidade</w:t>
      </w:r>
      <w:r w:rsidR="008B023E" w:rsidRPr="003A1174">
        <w:rPr>
          <w:rFonts w:ascii="Garamond" w:hAnsi="Garamond" w:cs="Arial"/>
          <w:sz w:val="24"/>
          <w:szCs w:val="24"/>
        </w:rPr>
        <w:t xml:space="preserve"> contra a </w:t>
      </w:r>
      <w:r w:rsidR="00AF192F" w:rsidRPr="003A1174">
        <w:rPr>
          <w:rFonts w:ascii="Garamond" w:hAnsi="Garamond" w:cs="Arial"/>
          <w:sz w:val="24"/>
          <w:szCs w:val="24"/>
        </w:rPr>
        <w:t>mulher</w:t>
      </w:r>
      <w:r w:rsidR="008B023E" w:rsidRPr="003A1174">
        <w:rPr>
          <w:rFonts w:ascii="Garamond" w:hAnsi="Garamond" w:cs="Arial"/>
          <w:sz w:val="24"/>
          <w:szCs w:val="24"/>
        </w:rPr>
        <w:t xml:space="preserve">. </w:t>
      </w:r>
      <w:r w:rsidR="00807FB2">
        <w:rPr>
          <w:rFonts w:ascii="Garamond" w:hAnsi="Garamond" w:cs="Arial"/>
          <w:sz w:val="24"/>
          <w:szCs w:val="24"/>
        </w:rPr>
        <w:t>Forma-se</w:t>
      </w:r>
      <w:r w:rsidR="00A41573" w:rsidRPr="003A1174">
        <w:rPr>
          <w:rFonts w:ascii="Garamond" w:hAnsi="Garamond" w:cs="Arial"/>
          <w:sz w:val="24"/>
          <w:szCs w:val="24"/>
        </w:rPr>
        <w:t xml:space="preserve"> o </w:t>
      </w:r>
      <w:r w:rsidR="0005622E" w:rsidRPr="003A1174">
        <w:rPr>
          <w:rFonts w:ascii="Garamond" w:hAnsi="Garamond" w:cs="Arial"/>
          <w:sz w:val="24"/>
          <w:szCs w:val="24"/>
        </w:rPr>
        <w:t>pessoa</w:t>
      </w:r>
      <w:r w:rsidR="008B023E" w:rsidRPr="003A1174">
        <w:rPr>
          <w:rFonts w:ascii="Garamond" w:hAnsi="Garamond" w:cs="Arial"/>
          <w:sz w:val="24"/>
          <w:szCs w:val="24"/>
        </w:rPr>
        <w:t xml:space="preserve">l institucional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007407BD" w:rsidRPr="003A1174">
        <w:rPr>
          <w:rFonts w:ascii="Garamond" w:hAnsi="Garamond" w:cs="Arial"/>
          <w:sz w:val="24"/>
          <w:szCs w:val="24"/>
        </w:rPr>
        <w:t>este</w:t>
      </w:r>
      <w:r w:rsidR="00A41573" w:rsidRPr="003A1174">
        <w:rPr>
          <w:rFonts w:ascii="Garamond" w:hAnsi="Garamond" w:cs="Arial"/>
          <w:sz w:val="24"/>
          <w:szCs w:val="24"/>
        </w:rPr>
        <w:t xml:space="preserve">, por sua </w:t>
      </w:r>
      <w:r w:rsidR="008B023E" w:rsidRPr="003A1174">
        <w:rPr>
          <w:rFonts w:ascii="Garamond" w:hAnsi="Garamond" w:cs="Arial"/>
          <w:sz w:val="24"/>
          <w:szCs w:val="24"/>
        </w:rPr>
        <w:t>vez</w:t>
      </w:r>
      <w:r w:rsidR="00A41573" w:rsidRPr="003A1174">
        <w:rPr>
          <w:rFonts w:ascii="Garamond" w:hAnsi="Garamond" w:cs="Arial"/>
          <w:sz w:val="24"/>
          <w:szCs w:val="24"/>
        </w:rPr>
        <w:t>,</w:t>
      </w:r>
      <w:r w:rsidR="008B023E" w:rsidRPr="003A1174">
        <w:rPr>
          <w:rFonts w:ascii="Garamond" w:hAnsi="Garamond" w:cs="Arial"/>
          <w:sz w:val="24"/>
          <w:szCs w:val="24"/>
        </w:rPr>
        <w:t xml:space="preserve"> orienta</w:t>
      </w:r>
      <w:r w:rsidR="00A41573" w:rsidRPr="003A1174">
        <w:rPr>
          <w:rFonts w:ascii="Garamond" w:hAnsi="Garamond" w:cs="Arial"/>
          <w:sz w:val="24"/>
          <w:szCs w:val="24"/>
        </w:rPr>
        <w:t xml:space="preserve"> </w:t>
      </w:r>
      <w:r w:rsidR="008B023E" w:rsidRPr="003A1174">
        <w:rPr>
          <w:rFonts w:ascii="Garamond" w:hAnsi="Garamond" w:cs="Arial"/>
          <w:sz w:val="24"/>
          <w:szCs w:val="24"/>
        </w:rPr>
        <w:t xml:space="preserve">a </w:t>
      </w:r>
      <w:r w:rsidR="00C90370" w:rsidRPr="003A1174">
        <w:rPr>
          <w:rFonts w:ascii="Garamond" w:hAnsi="Garamond" w:cs="Arial"/>
          <w:sz w:val="24"/>
          <w:szCs w:val="24"/>
        </w:rPr>
        <w:t>cidadania</w:t>
      </w:r>
      <w:r w:rsidR="008B023E" w:rsidRPr="003A1174">
        <w:rPr>
          <w:rFonts w:ascii="Garamond" w:hAnsi="Garamond" w:cs="Arial"/>
          <w:sz w:val="24"/>
          <w:szCs w:val="24"/>
        </w:rPr>
        <w:t xml:space="preserve"> sobre </w:t>
      </w:r>
      <w:r w:rsidR="00A41573" w:rsidRPr="003A1174">
        <w:rPr>
          <w:rFonts w:ascii="Garamond" w:hAnsi="Garamond" w:cs="Arial"/>
          <w:sz w:val="24"/>
          <w:szCs w:val="24"/>
        </w:rPr>
        <w:t xml:space="preserve">as </w:t>
      </w:r>
      <w:r w:rsidR="00F320F4" w:rsidRPr="003A1174">
        <w:rPr>
          <w:rFonts w:ascii="Garamond" w:hAnsi="Garamond" w:cs="Arial"/>
          <w:sz w:val="24"/>
          <w:szCs w:val="24"/>
        </w:rPr>
        <w:t>leis</w:t>
      </w:r>
      <w:r w:rsidR="008B023E" w:rsidRPr="003A1174">
        <w:rPr>
          <w:rFonts w:ascii="Garamond" w:hAnsi="Garamond" w:cs="Arial"/>
          <w:sz w:val="24"/>
          <w:szCs w:val="24"/>
        </w:rPr>
        <w:t xml:space="preserve"> de </w:t>
      </w:r>
      <w:r w:rsidR="00886D6A" w:rsidRPr="003A1174">
        <w:rPr>
          <w:rFonts w:ascii="Garamond" w:hAnsi="Garamond" w:cs="Arial"/>
          <w:sz w:val="24"/>
          <w:szCs w:val="24"/>
        </w:rPr>
        <w:t>acesso</w:t>
      </w:r>
      <w:r w:rsidR="008B023E" w:rsidRPr="003A1174">
        <w:rPr>
          <w:rFonts w:ascii="Garamond" w:hAnsi="Garamond" w:cs="Arial"/>
          <w:sz w:val="24"/>
          <w:szCs w:val="24"/>
        </w:rPr>
        <w:t xml:space="preserve"> </w:t>
      </w:r>
      <w:r w:rsidR="00A41573" w:rsidRPr="003A1174">
        <w:rPr>
          <w:rFonts w:ascii="Garamond" w:hAnsi="Garamond" w:cs="Arial"/>
          <w:sz w:val="24"/>
          <w:szCs w:val="24"/>
        </w:rPr>
        <w:t xml:space="preserve">à </w:t>
      </w:r>
      <w:r w:rsidR="00FC1F7F" w:rsidRPr="003A1174">
        <w:rPr>
          <w:rFonts w:ascii="Garamond" w:hAnsi="Garamond" w:cs="Arial"/>
          <w:sz w:val="24"/>
          <w:szCs w:val="24"/>
        </w:rPr>
        <w:t>justiça</w:t>
      </w:r>
      <w:r w:rsidR="008B023E" w:rsidRPr="003A1174">
        <w:rPr>
          <w:rFonts w:ascii="Garamond" w:hAnsi="Garamond" w:cs="Arial"/>
          <w:sz w:val="24"/>
          <w:szCs w:val="24"/>
        </w:rPr>
        <w:t xml:space="preserve"> </w:t>
      </w:r>
      <w:r w:rsidR="00A41573" w:rsidRPr="003A1174">
        <w:rPr>
          <w:rFonts w:ascii="Garamond" w:hAnsi="Garamond" w:cs="Arial"/>
          <w:sz w:val="24"/>
          <w:szCs w:val="24"/>
        </w:rPr>
        <w:t>tais</w:t>
      </w:r>
      <w:r w:rsidR="00F35E7E" w:rsidRPr="003A1174">
        <w:rPr>
          <w:rFonts w:ascii="Garamond" w:hAnsi="Garamond" w:cs="Arial"/>
          <w:sz w:val="24"/>
          <w:szCs w:val="24"/>
        </w:rPr>
        <w:t xml:space="preserve"> </w:t>
      </w:r>
      <w:r w:rsidR="00A41573" w:rsidRPr="003A1174">
        <w:rPr>
          <w:rFonts w:ascii="Garamond" w:hAnsi="Garamond" w:cs="Arial"/>
          <w:sz w:val="24"/>
          <w:szCs w:val="24"/>
        </w:rPr>
        <w:t xml:space="preserve">como: </w:t>
      </w:r>
      <w:r w:rsidR="008B023E" w:rsidRPr="003A1174">
        <w:rPr>
          <w:rFonts w:ascii="Garamond" w:hAnsi="Garamond" w:cs="Arial"/>
          <w:sz w:val="24"/>
          <w:szCs w:val="24"/>
        </w:rPr>
        <w:t xml:space="preserve">a </w:t>
      </w:r>
      <w:r w:rsidR="00D15AFF" w:rsidRPr="003A1174">
        <w:rPr>
          <w:rFonts w:ascii="Garamond" w:hAnsi="Garamond" w:cs="Arial"/>
          <w:sz w:val="24"/>
          <w:szCs w:val="24"/>
        </w:rPr>
        <w:t>Lei</w:t>
      </w:r>
      <w:r w:rsidR="008B023E" w:rsidRPr="003A1174">
        <w:rPr>
          <w:rFonts w:ascii="Garamond" w:hAnsi="Garamond" w:cs="Arial"/>
          <w:sz w:val="24"/>
          <w:szCs w:val="24"/>
        </w:rPr>
        <w:t xml:space="preserve"> N</w:t>
      </w:r>
      <w:r w:rsidR="00807FB2">
        <w:rPr>
          <w:rFonts w:ascii="Garamond" w:hAnsi="Garamond" w:cs="Arial"/>
          <w:sz w:val="24"/>
          <w:szCs w:val="24"/>
        </w:rPr>
        <w:t>.</w:t>
      </w:r>
      <w:r w:rsidR="00F35E7E" w:rsidRPr="003A1174">
        <w:rPr>
          <w:rFonts w:ascii="Garamond" w:hAnsi="Garamond" w:cs="Arial"/>
          <w:sz w:val="24"/>
          <w:szCs w:val="24"/>
        </w:rPr>
        <w:t xml:space="preserve">° </w:t>
      </w:r>
      <w:r w:rsidR="008B023E" w:rsidRPr="003A1174">
        <w:rPr>
          <w:rFonts w:ascii="Garamond" w:hAnsi="Garamond" w:cs="Arial"/>
          <w:sz w:val="24"/>
          <w:szCs w:val="24"/>
        </w:rPr>
        <w:t>54</w:t>
      </w:r>
      <w:r w:rsidR="00807FB2">
        <w:rPr>
          <w:rFonts w:ascii="Garamond" w:hAnsi="Garamond" w:cs="Arial"/>
          <w:sz w:val="24"/>
          <w:szCs w:val="24"/>
        </w:rPr>
        <w:t>,</w:t>
      </w:r>
      <w:r w:rsidR="008B023E" w:rsidRPr="003A1174">
        <w:rPr>
          <w:rFonts w:ascii="Garamond" w:hAnsi="Garamond" w:cs="Arial"/>
          <w:sz w:val="24"/>
          <w:szCs w:val="24"/>
        </w:rPr>
        <w:t xml:space="preserve"> de 15 de agosto de 1989</w:t>
      </w:r>
      <w:r w:rsidR="00A41573" w:rsidRPr="003A1174">
        <w:rPr>
          <w:rFonts w:ascii="Garamond" w:hAnsi="Garamond" w:cs="Arial"/>
          <w:sz w:val="24"/>
          <w:szCs w:val="24"/>
        </w:rPr>
        <w:t xml:space="preserve">, </w:t>
      </w:r>
      <w:r w:rsidR="00807FB2">
        <w:rPr>
          <w:rFonts w:ascii="Garamond" w:hAnsi="Garamond" w:cs="Arial"/>
          <w:sz w:val="24"/>
          <w:szCs w:val="24"/>
        </w:rPr>
        <w:t>alterada</w:t>
      </w:r>
      <w:r w:rsidR="00F35E7E" w:rsidRPr="003A1174">
        <w:rPr>
          <w:rFonts w:ascii="Garamond" w:hAnsi="Garamond" w:cs="Arial"/>
          <w:sz w:val="24"/>
          <w:szCs w:val="24"/>
        </w:rPr>
        <w:t xml:space="preserve">, </w:t>
      </w:r>
      <w:r w:rsidR="008B023E" w:rsidRPr="003A1174">
        <w:rPr>
          <w:rFonts w:ascii="Garamond" w:hAnsi="Garamond" w:cs="Arial"/>
          <w:sz w:val="24"/>
          <w:szCs w:val="24"/>
        </w:rPr>
        <w:t>m</w:t>
      </w:r>
      <w:r w:rsidR="00A41573" w:rsidRPr="003A1174">
        <w:rPr>
          <w:rFonts w:ascii="Garamond" w:hAnsi="Garamond" w:cs="Arial"/>
          <w:sz w:val="24"/>
          <w:szCs w:val="24"/>
        </w:rPr>
        <w:t>ais conhecid</w:t>
      </w:r>
      <w:r w:rsidR="008B023E" w:rsidRPr="003A1174">
        <w:rPr>
          <w:rFonts w:ascii="Garamond" w:hAnsi="Garamond" w:cs="Arial"/>
          <w:sz w:val="24"/>
          <w:szCs w:val="24"/>
        </w:rPr>
        <w:t xml:space="preserve">a como </w:t>
      </w:r>
      <w:r w:rsidR="00807FB2">
        <w:rPr>
          <w:rFonts w:ascii="Garamond" w:hAnsi="Garamond" w:cs="Arial"/>
          <w:sz w:val="24"/>
          <w:szCs w:val="24"/>
        </w:rPr>
        <w:t>«</w:t>
      </w:r>
      <w:r w:rsidR="00D15AFF" w:rsidRPr="003A1174">
        <w:rPr>
          <w:rFonts w:ascii="Garamond" w:hAnsi="Garamond" w:cs="Arial"/>
          <w:sz w:val="24"/>
          <w:szCs w:val="24"/>
        </w:rPr>
        <w:t>Lei</w:t>
      </w:r>
      <w:r w:rsidR="00A41573" w:rsidRPr="003A1174">
        <w:rPr>
          <w:rFonts w:ascii="Garamond" w:hAnsi="Garamond" w:cs="Arial"/>
          <w:sz w:val="24"/>
          <w:szCs w:val="24"/>
        </w:rPr>
        <w:t xml:space="preserve"> para </w:t>
      </w:r>
      <w:r w:rsidR="008B023E" w:rsidRPr="003A1174">
        <w:rPr>
          <w:rFonts w:ascii="Garamond" w:hAnsi="Garamond" w:cs="Arial"/>
          <w:sz w:val="24"/>
          <w:szCs w:val="24"/>
        </w:rPr>
        <w:t xml:space="preserve">a </w:t>
      </w:r>
      <w:r w:rsidR="007578C6" w:rsidRPr="003A1174">
        <w:rPr>
          <w:rFonts w:ascii="Garamond" w:hAnsi="Garamond" w:cs="Arial"/>
          <w:sz w:val="24"/>
          <w:szCs w:val="24"/>
        </w:rPr>
        <w:t>Prevenção</w:t>
      </w:r>
      <w:r w:rsidR="008B023E" w:rsidRPr="003A1174">
        <w:rPr>
          <w:rFonts w:ascii="Garamond" w:hAnsi="Garamond" w:cs="Arial"/>
          <w:sz w:val="24"/>
          <w:szCs w:val="24"/>
        </w:rPr>
        <w:t xml:space="preserve"> e </w:t>
      </w:r>
      <w:r w:rsidR="00976FB8" w:rsidRPr="003A1174">
        <w:rPr>
          <w:rFonts w:ascii="Garamond" w:hAnsi="Garamond" w:cs="Arial"/>
          <w:sz w:val="24"/>
          <w:szCs w:val="24"/>
        </w:rPr>
        <w:t>Intervenção</w:t>
      </w:r>
      <w:r w:rsidR="008B023E" w:rsidRPr="003A1174">
        <w:rPr>
          <w:rFonts w:ascii="Garamond" w:hAnsi="Garamond" w:cs="Arial"/>
          <w:sz w:val="24"/>
          <w:szCs w:val="24"/>
        </w:rPr>
        <w:t xml:space="preserve"> </w:t>
      </w:r>
      <w:r w:rsidR="00807FB2">
        <w:rPr>
          <w:rFonts w:ascii="Garamond" w:hAnsi="Garamond" w:cs="Arial"/>
          <w:sz w:val="24"/>
          <w:szCs w:val="24"/>
        </w:rPr>
        <w:t xml:space="preserve">contra </w:t>
      </w:r>
      <w:r w:rsidR="008B023E" w:rsidRPr="003A1174">
        <w:rPr>
          <w:rFonts w:ascii="Garamond" w:hAnsi="Garamond" w:cs="Arial"/>
          <w:sz w:val="24"/>
          <w:szCs w:val="24"/>
        </w:rPr>
        <w:t xml:space="preserve">a </w:t>
      </w:r>
      <w:r w:rsidR="000350B1" w:rsidRPr="003A1174">
        <w:rPr>
          <w:rFonts w:ascii="Garamond" w:hAnsi="Garamond" w:cs="Arial"/>
          <w:sz w:val="24"/>
          <w:szCs w:val="24"/>
        </w:rPr>
        <w:t>Violência</w:t>
      </w:r>
      <w:r w:rsidR="008B023E" w:rsidRPr="003A1174">
        <w:rPr>
          <w:rFonts w:ascii="Garamond" w:hAnsi="Garamond" w:cs="Arial"/>
          <w:sz w:val="24"/>
          <w:szCs w:val="24"/>
        </w:rPr>
        <w:t xml:space="preserve"> Doméstica</w:t>
      </w:r>
      <w:r w:rsidR="00807FB2">
        <w:rPr>
          <w:rFonts w:ascii="Garamond" w:hAnsi="Garamond" w:cs="Arial"/>
          <w:sz w:val="24"/>
          <w:szCs w:val="24"/>
        </w:rPr>
        <w:t>»</w:t>
      </w:r>
      <w:r w:rsidR="008B023E" w:rsidRPr="003A1174">
        <w:rPr>
          <w:rFonts w:ascii="Garamond" w:hAnsi="Garamond" w:cs="Arial"/>
          <w:sz w:val="24"/>
          <w:szCs w:val="24"/>
        </w:rPr>
        <w:t xml:space="preserve">, que </w:t>
      </w:r>
      <w:r w:rsidR="00152A44" w:rsidRPr="003A1174">
        <w:rPr>
          <w:rFonts w:ascii="Garamond" w:hAnsi="Garamond" w:cs="Arial"/>
          <w:sz w:val="24"/>
          <w:szCs w:val="24"/>
        </w:rPr>
        <w:t>estabelece</w:t>
      </w:r>
      <w:r w:rsidR="00A41573" w:rsidRPr="003A1174">
        <w:rPr>
          <w:rFonts w:ascii="Garamond" w:hAnsi="Garamond" w:cs="Arial"/>
          <w:sz w:val="24"/>
          <w:szCs w:val="24"/>
        </w:rPr>
        <w:t xml:space="preserve"> </w:t>
      </w:r>
      <w:r w:rsidR="008B023E" w:rsidRPr="003A1174">
        <w:rPr>
          <w:rFonts w:ascii="Garamond" w:hAnsi="Garamond" w:cs="Arial"/>
          <w:sz w:val="24"/>
          <w:szCs w:val="24"/>
        </w:rPr>
        <w:t>a</w:t>
      </w:r>
      <w:r w:rsidR="00807FB2">
        <w:rPr>
          <w:rFonts w:ascii="Garamond" w:hAnsi="Garamond" w:cs="Arial"/>
          <w:sz w:val="24"/>
          <w:szCs w:val="24"/>
        </w:rPr>
        <w:t>s</w:t>
      </w:r>
      <w:r w:rsidR="008B023E" w:rsidRPr="003A1174">
        <w:rPr>
          <w:rFonts w:ascii="Garamond" w:hAnsi="Garamond" w:cs="Arial"/>
          <w:sz w:val="24"/>
          <w:szCs w:val="24"/>
        </w:rPr>
        <w:t xml:space="preserve"> política</w:t>
      </w:r>
      <w:r w:rsidR="00807FB2">
        <w:rPr>
          <w:rFonts w:ascii="Garamond" w:hAnsi="Garamond" w:cs="Arial"/>
          <w:sz w:val="24"/>
          <w:szCs w:val="24"/>
        </w:rPr>
        <w:t>s</w:t>
      </w:r>
      <w:r w:rsidR="008B023E" w:rsidRPr="003A1174">
        <w:rPr>
          <w:rFonts w:ascii="Garamond" w:hAnsi="Garamond" w:cs="Arial"/>
          <w:sz w:val="24"/>
          <w:szCs w:val="24"/>
        </w:rPr>
        <w:t xml:space="preserve"> de </w:t>
      </w:r>
      <w:r w:rsidR="0017447A" w:rsidRPr="003A1174">
        <w:rPr>
          <w:rFonts w:ascii="Garamond" w:hAnsi="Garamond" w:cs="Arial"/>
          <w:sz w:val="24"/>
          <w:szCs w:val="24"/>
        </w:rPr>
        <w:t>Porto</w:t>
      </w:r>
      <w:r w:rsidR="008B023E" w:rsidRPr="003A1174">
        <w:rPr>
          <w:rFonts w:ascii="Garamond" w:hAnsi="Garamond" w:cs="Arial"/>
          <w:sz w:val="24"/>
          <w:szCs w:val="24"/>
        </w:rPr>
        <w:t xml:space="preserve"> Rico</w:t>
      </w:r>
      <w:r w:rsidR="00807FB2">
        <w:rPr>
          <w:rFonts w:ascii="Garamond" w:hAnsi="Garamond" w:cs="Arial"/>
          <w:sz w:val="24"/>
          <w:szCs w:val="24"/>
        </w:rPr>
        <w:t>,</w:t>
      </w:r>
      <w:r w:rsidR="008B023E" w:rsidRPr="003A1174">
        <w:rPr>
          <w:rFonts w:ascii="Garamond" w:hAnsi="Garamond" w:cs="Arial"/>
          <w:sz w:val="24"/>
          <w:szCs w:val="24"/>
        </w:rPr>
        <w:t xml:space="preserve"> </w:t>
      </w:r>
      <w:r w:rsidR="00A41573" w:rsidRPr="003A1174">
        <w:rPr>
          <w:rFonts w:ascii="Garamond" w:hAnsi="Garamond" w:cs="Arial"/>
          <w:sz w:val="24"/>
          <w:szCs w:val="24"/>
        </w:rPr>
        <w:t>relativamente</w:t>
      </w:r>
      <w:r w:rsidR="00807FB2">
        <w:rPr>
          <w:rFonts w:ascii="Garamond" w:hAnsi="Garamond" w:cs="Arial"/>
          <w:sz w:val="24"/>
          <w:szCs w:val="24"/>
        </w:rPr>
        <w:t>,</w:t>
      </w:r>
      <w:r w:rsidR="00A41573" w:rsidRPr="003A1174">
        <w:rPr>
          <w:rFonts w:ascii="Garamond" w:hAnsi="Garamond" w:cs="Arial"/>
          <w:sz w:val="24"/>
          <w:szCs w:val="24"/>
        </w:rPr>
        <w:t xml:space="preserve"> à </w:t>
      </w:r>
      <w:r w:rsidR="000350B1" w:rsidRPr="003A1174">
        <w:rPr>
          <w:rFonts w:ascii="Garamond" w:hAnsi="Garamond" w:cs="Arial"/>
          <w:sz w:val="24"/>
          <w:szCs w:val="24"/>
        </w:rPr>
        <w:t>violência</w:t>
      </w:r>
      <w:r w:rsidR="008B023E" w:rsidRPr="003A1174">
        <w:rPr>
          <w:rFonts w:ascii="Garamond" w:hAnsi="Garamond" w:cs="Arial"/>
          <w:sz w:val="24"/>
          <w:szCs w:val="24"/>
        </w:rPr>
        <w:t xml:space="preserve"> doméstica. De igual forma</w:t>
      </w:r>
      <w:r w:rsidR="00F35E7E" w:rsidRPr="003A1174">
        <w:rPr>
          <w:rFonts w:ascii="Garamond" w:hAnsi="Garamond" w:cs="Arial"/>
          <w:sz w:val="24"/>
          <w:szCs w:val="24"/>
        </w:rPr>
        <w:t>,</w:t>
      </w:r>
      <w:r w:rsidR="008B023E" w:rsidRPr="003A1174">
        <w:rPr>
          <w:rFonts w:ascii="Garamond" w:hAnsi="Garamond" w:cs="Arial"/>
          <w:sz w:val="24"/>
          <w:szCs w:val="24"/>
        </w:rPr>
        <w:t xml:space="preserve"> </w:t>
      </w:r>
      <w:r w:rsidR="00A41573" w:rsidRPr="003A1174">
        <w:rPr>
          <w:rFonts w:ascii="Garamond" w:hAnsi="Garamond" w:cs="Arial"/>
          <w:sz w:val="24"/>
          <w:szCs w:val="24"/>
        </w:rPr>
        <w:t xml:space="preserve">O Gabinete da </w:t>
      </w:r>
      <w:r w:rsidR="008B023E" w:rsidRPr="003A1174">
        <w:rPr>
          <w:rFonts w:ascii="Garamond" w:hAnsi="Garamond" w:cs="Arial"/>
          <w:sz w:val="24"/>
          <w:szCs w:val="24"/>
        </w:rPr>
        <w:t xml:space="preserve">Procuradora da </w:t>
      </w:r>
      <w:r w:rsidR="00AF192F" w:rsidRPr="003A1174">
        <w:rPr>
          <w:rFonts w:ascii="Garamond" w:hAnsi="Garamond" w:cs="Arial"/>
          <w:sz w:val="24"/>
          <w:szCs w:val="24"/>
        </w:rPr>
        <w:t>Mulher</w:t>
      </w:r>
      <w:r w:rsidR="008B023E" w:rsidRPr="003A1174">
        <w:rPr>
          <w:rFonts w:ascii="Garamond" w:hAnsi="Garamond" w:cs="Arial"/>
          <w:sz w:val="24"/>
          <w:szCs w:val="24"/>
        </w:rPr>
        <w:t xml:space="preserve"> </w:t>
      </w:r>
      <w:r w:rsidR="00807FB2">
        <w:rPr>
          <w:rFonts w:ascii="Garamond" w:hAnsi="Garamond" w:cs="Arial"/>
          <w:sz w:val="24"/>
          <w:szCs w:val="24"/>
        </w:rPr>
        <w:t xml:space="preserve">proporcionou-nos formação </w:t>
      </w:r>
      <w:r w:rsidR="00A41573" w:rsidRPr="003A1174">
        <w:rPr>
          <w:rFonts w:ascii="Garamond" w:hAnsi="Garamond" w:cs="Arial"/>
          <w:sz w:val="24"/>
          <w:szCs w:val="24"/>
        </w:rPr>
        <w:t xml:space="preserve">sobre </w:t>
      </w:r>
      <w:r w:rsidR="008B023E" w:rsidRPr="003A1174">
        <w:rPr>
          <w:rFonts w:ascii="Garamond" w:hAnsi="Garamond" w:cs="Arial"/>
          <w:sz w:val="24"/>
          <w:szCs w:val="24"/>
        </w:rPr>
        <w:t xml:space="preserve">a </w:t>
      </w:r>
      <w:r w:rsidR="000350B1" w:rsidRPr="003A1174">
        <w:rPr>
          <w:rFonts w:ascii="Garamond" w:hAnsi="Garamond" w:cs="Arial"/>
          <w:sz w:val="24"/>
          <w:szCs w:val="24"/>
        </w:rPr>
        <w:t>Violência</w:t>
      </w:r>
      <w:r w:rsidR="008B023E" w:rsidRPr="003A1174">
        <w:rPr>
          <w:rFonts w:ascii="Garamond" w:hAnsi="Garamond" w:cs="Arial"/>
          <w:sz w:val="24"/>
          <w:szCs w:val="24"/>
        </w:rPr>
        <w:t xml:space="preserve"> Doméstica </w:t>
      </w:r>
      <w:r w:rsidR="00A41573" w:rsidRPr="003A1174">
        <w:rPr>
          <w:rFonts w:ascii="Garamond" w:hAnsi="Garamond" w:cs="Arial"/>
          <w:sz w:val="24"/>
          <w:szCs w:val="24"/>
        </w:rPr>
        <w:t xml:space="preserve">no </w:t>
      </w:r>
      <w:r w:rsidR="001A53AD" w:rsidRPr="003A1174">
        <w:rPr>
          <w:rFonts w:ascii="Garamond" w:hAnsi="Garamond" w:cs="Arial"/>
          <w:sz w:val="24"/>
          <w:szCs w:val="24"/>
        </w:rPr>
        <w:t>Local</w:t>
      </w:r>
      <w:r w:rsidR="008B023E" w:rsidRPr="003A1174">
        <w:rPr>
          <w:rFonts w:ascii="Garamond" w:hAnsi="Garamond" w:cs="Arial"/>
          <w:sz w:val="24"/>
          <w:szCs w:val="24"/>
        </w:rPr>
        <w:t xml:space="preserve"> de </w:t>
      </w:r>
      <w:r w:rsidR="0017447A" w:rsidRPr="003A1174">
        <w:rPr>
          <w:rFonts w:ascii="Garamond" w:hAnsi="Garamond" w:cs="Arial"/>
          <w:sz w:val="24"/>
          <w:szCs w:val="24"/>
        </w:rPr>
        <w:t>Trabalho</w:t>
      </w:r>
      <w:r w:rsidR="008B023E" w:rsidRPr="003A1174">
        <w:rPr>
          <w:rFonts w:ascii="Garamond" w:hAnsi="Garamond" w:cs="Arial"/>
          <w:sz w:val="24"/>
          <w:szCs w:val="24"/>
        </w:rPr>
        <w:t xml:space="preserve">, </w:t>
      </w:r>
      <w:r w:rsidR="00D15AFF" w:rsidRPr="003A1174">
        <w:rPr>
          <w:rFonts w:ascii="Garamond" w:hAnsi="Garamond" w:cs="Arial"/>
          <w:sz w:val="24"/>
          <w:szCs w:val="24"/>
        </w:rPr>
        <w:t>Lei</w:t>
      </w:r>
      <w:r w:rsidR="008B023E" w:rsidRPr="003A1174">
        <w:rPr>
          <w:rFonts w:ascii="Garamond" w:hAnsi="Garamond" w:cs="Arial"/>
          <w:sz w:val="24"/>
          <w:szCs w:val="24"/>
        </w:rPr>
        <w:t xml:space="preserve"> N</w:t>
      </w:r>
      <w:r w:rsidR="00807FB2">
        <w:rPr>
          <w:rFonts w:ascii="Garamond" w:hAnsi="Garamond" w:cs="Arial"/>
          <w:sz w:val="24"/>
          <w:szCs w:val="24"/>
        </w:rPr>
        <w:t>.</w:t>
      </w:r>
      <w:r w:rsidR="00F35E7E" w:rsidRPr="003A1174">
        <w:rPr>
          <w:rFonts w:ascii="Garamond" w:hAnsi="Garamond" w:cs="Arial"/>
          <w:sz w:val="24"/>
          <w:szCs w:val="24"/>
        </w:rPr>
        <w:t>°</w:t>
      </w:r>
      <w:r w:rsidR="008B023E" w:rsidRPr="003A1174">
        <w:rPr>
          <w:rFonts w:ascii="Garamond" w:hAnsi="Garamond" w:cs="Arial"/>
          <w:sz w:val="24"/>
          <w:szCs w:val="24"/>
        </w:rPr>
        <w:t xml:space="preserve"> 212</w:t>
      </w:r>
      <w:r w:rsidR="00A4594E">
        <w:rPr>
          <w:rFonts w:ascii="Garamond" w:hAnsi="Garamond" w:cs="Arial"/>
          <w:sz w:val="24"/>
          <w:szCs w:val="24"/>
        </w:rPr>
        <w:t>,</w:t>
      </w:r>
      <w:r w:rsidR="008B023E" w:rsidRPr="003A1174">
        <w:rPr>
          <w:rFonts w:ascii="Garamond" w:hAnsi="Garamond" w:cs="Arial"/>
          <w:sz w:val="24"/>
          <w:szCs w:val="24"/>
        </w:rPr>
        <w:t xml:space="preserve"> de 1999, </w:t>
      </w:r>
      <w:r w:rsidR="00F35E7E" w:rsidRPr="003A1174">
        <w:rPr>
          <w:rFonts w:ascii="Garamond" w:hAnsi="Garamond" w:cs="Arial"/>
          <w:sz w:val="24"/>
          <w:szCs w:val="24"/>
        </w:rPr>
        <w:t>para</w:t>
      </w:r>
      <w:r w:rsidR="008B023E" w:rsidRPr="003A1174">
        <w:rPr>
          <w:rFonts w:ascii="Garamond" w:hAnsi="Garamond" w:cs="Arial"/>
          <w:sz w:val="24"/>
          <w:szCs w:val="24"/>
        </w:rPr>
        <w:t xml:space="preserve"> </w:t>
      </w:r>
      <w:r w:rsidR="00AF192F" w:rsidRPr="003A1174">
        <w:rPr>
          <w:rFonts w:ascii="Garamond" w:hAnsi="Garamond" w:cs="Arial"/>
          <w:sz w:val="24"/>
          <w:szCs w:val="24"/>
        </w:rPr>
        <w:t>Garantir</w:t>
      </w:r>
      <w:r w:rsidR="00A41573" w:rsidRPr="003A1174">
        <w:rPr>
          <w:rFonts w:ascii="Garamond" w:hAnsi="Garamond" w:cs="Arial"/>
          <w:sz w:val="24"/>
          <w:szCs w:val="24"/>
        </w:rPr>
        <w:t xml:space="preserve"> </w:t>
      </w:r>
      <w:r w:rsidR="008B023E" w:rsidRPr="003A1174">
        <w:rPr>
          <w:rFonts w:ascii="Garamond" w:hAnsi="Garamond" w:cs="Arial"/>
          <w:sz w:val="24"/>
          <w:szCs w:val="24"/>
        </w:rPr>
        <w:t xml:space="preserve">a </w:t>
      </w:r>
      <w:r w:rsidR="002C7510" w:rsidRPr="003A1174">
        <w:rPr>
          <w:rFonts w:ascii="Garamond" w:hAnsi="Garamond" w:cs="Arial"/>
          <w:sz w:val="24"/>
          <w:szCs w:val="24"/>
        </w:rPr>
        <w:t>Igualdade</w:t>
      </w:r>
      <w:r w:rsidR="008B023E" w:rsidRPr="003A1174">
        <w:rPr>
          <w:rFonts w:ascii="Garamond" w:hAnsi="Garamond" w:cs="Arial"/>
          <w:sz w:val="24"/>
          <w:szCs w:val="24"/>
        </w:rPr>
        <w:t xml:space="preserve"> de Oportunidad</w:t>
      </w:r>
      <w:r w:rsidR="00A41573" w:rsidRPr="003A1174">
        <w:rPr>
          <w:rFonts w:ascii="Garamond" w:hAnsi="Garamond" w:cs="Arial"/>
          <w:sz w:val="24"/>
          <w:szCs w:val="24"/>
        </w:rPr>
        <w:t xml:space="preserve">es no </w:t>
      </w:r>
      <w:r w:rsidR="00046E19" w:rsidRPr="003A1174">
        <w:rPr>
          <w:rFonts w:ascii="Garamond" w:hAnsi="Garamond" w:cs="Arial"/>
          <w:sz w:val="24"/>
          <w:szCs w:val="24"/>
        </w:rPr>
        <w:t>Emprego</w:t>
      </w:r>
      <w:r w:rsidR="008B023E" w:rsidRPr="003A1174">
        <w:rPr>
          <w:rFonts w:ascii="Garamond" w:hAnsi="Garamond" w:cs="Arial"/>
          <w:sz w:val="24"/>
          <w:szCs w:val="24"/>
        </w:rPr>
        <w:t xml:space="preserve"> por Género </w:t>
      </w:r>
      <w:r w:rsidR="00807FB2">
        <w:rPr>
          <w:rFonts w:ascii="Garamond" w:hAnsi="Garamond" w:cs="Arial"/>
          <w:sz w:val="24"/>
          <w:szCs w:val="24"/>
        </w:rPr>
        <w:t xml:space="preserve">e </w:t>
      </w:r>
      <w:r w:rsidR="00A41573" w:rsidRPr="003A1174">
        <w:rPr>
          <w:rFonts w:ascii="Garamond" w:hAnsi="Garamond" w:cs="Arial"/>
          <w:sz w:val="24"/>
          <w:szCs w:val="24"/>
        </w:rPr>
        <w:t xml:space="preserve">pela </w:t>
      </w:r>
      <w:r w:rsidR="00C01806" w:rsidRPr="003A1174">
        <w:rPr>
          <w:rFonts w:ascii="Garamond" w:hAnsi="Garamond" w:cs="Arial"/>
          <w:sz w:val="24"/>
          <w:szCs w:val="24"/>
        </w:rPr>
        <w:t>equidade</w:t>
      </w:r>
      <w:r w:rsidR="008B023E" w:rsidRPr="003A1174">
        <w:rPr>
          <w:rFonts w:ascii="Garamond" w:hAnsi="Garamond" w:cs="Arial"/>
          <w:sz w:val="24"/>
          <w:szCs w:val="24"/>
        </w:rPr>
        <w:t xml:space="preserve"> </w:t>
      </w:r>
      <w:r w:rsidR="00A41573" w:rsidRPr="003A1174">
        <w:rPr>
          <w:rFonts w:ascii="Garamond" w:hAnsi="Garamond" w:cs="Arial"/>
          <w:sz w:val="24"/>
          <w:szCs w:val="24"/>
        </w:rPr>
        <w:t xml:space="preserve">no </w:t>
      </w:r>
      <w:r w:rsidR="0017447A" w:rsidRPr="003A1174">
        <w:rPr>
          <w:rFonts w:ascii="Garamond" w:hAnsi="Garamond" w:cs="Arial"/>
          <w:sz w:val="24"/>
          <w:szCs w:val="24"/>
        </w:rPr>
        <w:t>trabalho</w:t>
      </w:r>
      <w:r w:rsidR="008B023E" w:rsidRPr="003A1174">
        <w:rPr>
          <w:rFonts w:ascii="Garamond" w:hAnsi="Garamond" w:cs="Arial"/>
          <w:sz w:val="24"/>
          <w:szCs w:val="24"/>
        </w:rPr>
        <w:t xml:space="preserve">. </w:t>
      </w:r>
    </w:p>
    <w:p w:rsidR="008B023E" w:rsidRPr="003A1174" w:rsidRDefault="00A41573" w:rsidP="00A41573">
      <w:pPr>
        <w:spacing w:before="240" w:after="240" w:line="240" w:lineRule="auto"/>
        <w:jc w:val="both"/>
        <w:rPr>
          <w:rFonts w:ascii="Garamond" w:hAnsi="Garamond" w:cs="Arial"/>
          <w:iCs/>
          <w:sz w:val="24"/>
          <w:szCs w:val="24"/>
          <w:lang w:val="es-ES"/>
        </w:rPr>
      </w:pPr>
      <w:r w:rsidRPr="003A1174">
        <w:rPr>
          <w:rFonts w:ascii="Garamond" w:hAnsi="Garamond" w:cs="Arial"/>
          <w:sz w:val="24"/>
          <w:szCs w:val="24"/>
        </w:rPr>
        <w:t>N</w:t>
      </w:r>
      <w:r w:rsidR="003C71DE">
        <w:rPr>
          <w:rFonts w:ascii="Garamond" w:hAnsi="Garamond" w:cs="Arial"/>
          <w:sz w:val="24"/>
          <w:szCs w:val="24"/>
        </w:rPr>
        <w:t>o âmbito d</w:t>
      </w:r>
      <w:r w:rsidR="008B023E" w:rsidRPr="003A1174">
        <w:rPr>
          <w:rFonts w:ascii="Garamond" w:hAnsi="Garamond" w:cs="Arial"/>
          <w:sz w:val="24"/>
          <w:szCs w:val="24"/>
        </w:rPr>
        <w:t>este tema</w:t>
      </w:r>
      <w:r w:rsidRPr="003A1174">
        <w:rPr>
          <w:rFonts w:ascii="Garamond" w:hAnsi="Garamond" w:cs="Arial"/>
          <w:sz w:val="24"/>
          <w:szCs w:val="24"/>
        </w:rPr>
        <w:t xml:space="preserve">, estamos a </w:t>
      </w:r>
      <w:r w:rsidR="00AC63DF" w:rsidRPr="003A1174">
        <w:rPr>
          <w:rFonts w:ascii="Garamond" w:hAnsi="Garamond" w:cs="Arial"/>
          <w:sz w:val="24"/>
          <w:szCs w:val="24"/>
        </w:rPr>
        <w:t>trabalha</w:t>
      </w:r>
      <w:r w:rsidRPr="003A1174">
        <w:rPr>
          <w:rFonts w:ascii="Garamond" w:hAnsi="Garamond" w:cs="Arial"/>
          <w:sz w:val="24"/>
          <w:szCs w:val="24"/>
        </w:rPr>
        <w:t xml:space="preserve">r com o </w:t>
      </w:r>
      <w:r w:rsidR="00C30647" w:rsidRPr="003A1174">
        <w:rPr>
          <w:rFonts w:ascii="Garamond" w:hAnsi="Garamond" w:cs="Arial"/>
          <w:sz w:val="24"/>
          <w:szCs w:val="24"/>
        </w:rPr>
        <w:t>Projeto</w:t>
      </w:r>
      <w:r w:rsidR="008B023E" w:rsidRPr="003A1174">
        <w:rPr>
          <w:rFonts w:ascii="Garamond" w:hAnsi="Garamond" w:cs="Arial"/>
          <w:sz w:val="24"/>
          <w:szCs w:val="24"/>
        </w:rPr>
        <w:t xml:space="preserve"> da </w:t>
      </w:r>
      <w:r w:rsidR="002C7510" w:rsidRPr="003A1174">
        <w:rPr>
          <w:rFonts w:ascii="Garamond" w:hAnsi="Garamond" w:cs="Arial"/>
          <w:sz w:val="24"/>
          <w:szCs w:val="24"/>
        </w:rPr>
        <w:t>Rede</w:t>
      </w:r>
      <w:r w:rsidR="008B023E" w:rsidRPr="003A1174">
        <w:rPr>
          <w:rFonts w:ascii="Garamond" w:hAnsi="Garamond" w:cs="Arial"/>
          <w:sz w:val="24"/>
          <w:szCs w:val="24"/>
        </w:rPr>
        <w:t xml:space="preserve"> </w:t>
      </w:r>
      <w:r w:rsidR="00497503" w:rsidRPr="003A1174">
        <w:rPr>
          <w:rFonts w:ascii="Garamond" w:hAnsi="Garamond" w:cs="Arial"/>
          <w:sz w:val="24"/>
          <w:szCs w:val="24"/>
        </w:rPr>
        <w:t>das</w:t>
      </w:r>
      <w:r w:rsidR="008B023E" w:rsidRPr="003A1174">
        <w:rPr>
          <w:rFonts w:ascii="Garamond" w:hAnsi="Garamond" w:cs="Arial"/>
          <w:sz w:val="24"/>
          <w:szCs w:val="24"/>
        </w:rPr>
        <w:t xml:space="preserve"> </w:t>
      </w:r>
      <w:r w:rsidR="00DC5DA7" w:rsidRPr="003A1174">
        <w:rPr>
          <w:rFonts w:ascii="Garamond" w:hAnsi="Garamond" w:cs="Arial"/>
          <w:sz w:val="24"/>
          <w:szCs w:val="24"/>
        </w:rPr>
        <w:t>Provedorias</w:t>
      </w:r>
      <w:r w:rsidR="008B023E" w:rsidRPr="003A1174">
        <w:rPr>
          <w:rFonts w:ascii="Garamond" w:hAnsi="Garamond" w:cs="Arial"/>
          <w:sz w:val="24"/>
          <w:szCs w:val="24"/>
        </w:rPr>
        <w:t xml:space="preserve"> de </w:t>
      </w:r>
      <w:r w:rsidR="00054EE0" w:rsidRPr="003A1174">
        <w:rPr>
          <w:rFonts w:ascii="Garamond" w:hAnsi="Garamond" w:cs="Arial"/>
          <w:sz w:val="24"/>
          <w:szCs w:val="24"/>
        </w:rPr>
        <w:t>Mulheres</w:t>
      </w:r>
      <w:r w:rsidR="008B023E" w:rsidRPr="003A1174">
        <w:rPr>
          <w:rFonts w:ascii="Garamond" w:hAnsi="Garamond" w:cs="Arial"/>
          <w:sz w:val="24"/>
          <w:szCs w:val="24"/>
        </w:rPr>
        <w:t xml:space="preserve"> da FIO, para </w:t>
      </w:r>
      <w:r w:rsidR="00A4594E">
        <w:rPr>
          <w:rFonts w:ascii="Garamond" w:hAnsi="Garamond" w:cs="Arial"/>
          <w:sz w:val="24"/>
          <w:szCs w:val="24"/>
        </w:rPr>
        <w:t>o tornar transversal a todas as</w:t>
      </w:r>
      <w:r w:rsidR="003C71DE">
        <w:rPr>
          <w:rFonts w:ascii="Garamond" w:hAnsi="Garamond" w:cs="Arial"/>
          <w:sz w:val="24"/>
          <w:szCs w:val="24"/>
        </w:rPr>
        <w:t xml:space="preserve"> </w:t>
      </w:r>
      <w:r w:rsidR="00DC5DA7" w:rsidRPr="003A1174">
        <w:rPr>
          <w:rFonts w:ascii="Garamond" w:hAnsi="Garamond" w:cs="Arial"/>
          <w:sz w:val="24"/>
          <w:szCs w:val="24"/>
        </w:rPr>
        <w:t>Provedorias</w:t>
      </w:r>
      <w:r w:rsidR="008B023E" w:rsidRPr="003A1174">
        <w:rPr>
          <w:rFonts w:ascii="Garamond" w:hAnsi="Garamond" w:cs="Arial"/>
          <w:sz w:val="24"/>
          <w:szCs w:val="24"/>
        </w:rPr>
        <w:t>. </w:t>
      </w:r>
      <w:r w:rsidRPr="003A1174">
        <w:rPr>
          <w:rFonts w:ascii="Garamond" w:hAnsi="Garamond" w:cs="Arial"/>
          <w:sz w:val="24"/>
          <w:szCs w:val="24"/>
        </w:rPr>
        <w:t xml:space="preserve">A </w:t>
      </w:r>
      <w:r w:rsidR="008B023E" w:rsidRPr="003A1174">
        <w:rPr>
          <w:rFonts w:ascii="Garamond" w:hAnsi="Garamond" w:cs="Arial"/>
          <w:sz w:val="24"/>
          <w:szCs w:val="24"/>
        </w:rPr>
        <w:t xml:space="preserve">Procuradora </w:t>
      </w:r>
      <w:r w:rsidR="00E85E59" w:rsidRPr="003A1174">
        <w:rPr>
          <w:rFonts w:ascii="Garamond" w:hAnsi="Garamond" w:cs="Arial"/>
          <w:sz w:val="24"/>
          <w:szCs w:val="24"/>
        </w:rPr>
        <w:t>do</w:t>
      </w:r>
      <w:r w:rsidR="008B023E" w:rsidRPr="003A1174">
        <w:rPr>
          <w:rFonts w:ascii="Garamond" w:hAnsi="Garamond" w:cs="Arial"/>
          <w:sz w:val="24"/>
          <w:szCs w:val="24"/>
        </w:rPr>
        <w:t xml:space="preserve"> </w:t>
      </w:r>
      <w:r w:rsidRPr="003A1174">
        <w:rPr>
          <w:rFonts w:ascii="Garamond" w:hAnsi="Garamond" w:cs="Arial"/>
          <w:sz w:val="24"/>
          <w:szCs w:val="24"/>
        </w:rPr>
        <w:t>Cidadão</w:t>
      </w:r>
      <w:r w:rsidR="008B023E" w:rsidRPr="003A1174">
        <w:rPr>
          <w:rFonts w:ascii="Garamond" w:hAnsi="Garamond" w:cs="Arial"/>
          <w:sz w:val="24"/>
          <w:szCs w:val="24"/>
        </w:rPr>
        <w:t xml:space="preserve"> de </w:t>
      </w:r>
      <w:r w:rsidR="0017447A" w:rsidRPr="003A1174">
        <w:rPr>
          <w:rFonts w:ascii="Garamond" w:hAnsi="Garamond" w:cs="Arial"/>
          <w:sz w:val="24"/>
          <w:szCs w:val="24"/>
        </w:rPr>
        <w:t>Porto</w:t>
      </w:r>
      <w:r w:rsidR="008B023E" w:rsidRPr="003A1174">
        <w:rPr>
          <w:rFonts w:ascii="Garamond" w:hAnsi="Garamond" w:cs="Arial"/>
          <w:sz w:val="24"/>
          <w:szCs w:val="24"/>
        </w:rPr>
        <w:t xml:space="preserve"> Rico </w:t>
      </w:r>
      <w:r w:rsidR="00276DCA" w:rsidRPr="003A1174">
        <w:rPr>
          <w:rFonts w:ascii="Garamond" w:hAnsi="Garamond" w:cs="Arial"/>
          <w:sz w:val="24"/>
          <w:szCs w:val="24"/>
        </w:rPr>
        <w:t>apresentou</w:t>
      </w:r>
      <w:r w:rsidRPr="003A1174">
        <w:rPr>
          <w:rFonts w:ascii="Garamond" w:hAnsi="Garamond" w:cs="Arial"/>
          <w:sz w:val="24"/>
          <w:szCs w:val="24"/>
        </w:rPr>
        <w:t xml:space="preserve"> </w:t>
      </w:r>
      <w:r w:rsidR="008B023E" w:rsidRPr="003A1174">
        <w:rPr>
          <w:rFonts w:ascii="Garamond" w:hAnsi="Garamond" w:cs="Arial"/>
          <w:sz w:val="24"/>
          <w:szCs w:val="24"/>
        </w:rPr>
        <w:t xml:space="preserve">a </w:t>
      </w:r>
      <w:r w:rsidR="00374785" w:rsidRPr="003A1174">
        <w:rPr>
          <w:rFonts w:ascii="Garamond" w:hAnsi="Garamond" w:cs="Arial"/>
          <w:sz w:val="24"/>
          <w:szCs w:val="24"/>
        </w:rPr>
        <w:t>Ordem</w:t>
      </w:r>
      <w:r w:rsidR="008B023E" w:rsidRPr="003A1174">
        <w:rPr>
          <w:rFonts w:ascii="Garamond" w:hAnsi="Garamond" w:cs="Arial"/>
          <w:sz w:val="24"/>
          <w:szCs w:val="24"/>
        </w:rPr>
        <w:t xml:space="preserve"> Administrativa 14-001</w:t>
      </w:r>
      <w:r w:rsidR="00A4594E">
        <w:rPr>
          <w:rFonts w:ascii="Garamond" w:hAnsi="Garamond" w:cs="Arial"/>
          <w:sz w:val="24"/>
          <w:szCs w:val="24"/>
        </w:rPr>
        <w:t xml:space="preserve">, com o objetivo de fortalecer as potencialidades </w:t>
      </w:r>
      <w:r w:rsidR="00C04CA4" w:rsidRPr="003A1174">
        <w:rPr>
          <w:rFonts w:ascii="Garamond" w:hAnsi="Garamond" w:cs="Arial"/>
          <w:sz w:val="24"/>
          <w:szCs w:val="24"/>
        </w:rPr>
        <w:t>institucionais</w:t>
      </w:r>
      <w:r w:rsidR="003C71DE">
        <w:rPr>
          <w:rFonts w:ascii="Garamond" w:hAnsi="Garamond" w:cs="Arial"/>
          <w:sz w:val="24"/>
          <w:szCs w:val="24"/>
        </w:rPr>
        <w:t>,</w:t>
      </w:r>
      <w:r w:rsidR="00F35E7E" w:rsidRPr="003A1174">
        <w:rPr>
          <w:rFonts w:ascii="Garamond" w:hAnsi="Garamond" w:cs="Arial"/>
          <w:sz w:val="24"/>
          <w:szCs w:val="24"/>
        </w:rPr>
        <w:t xml:space="preserve"> </w:t>
      </w:r>
      <w:r w:rsidR="00556810">
        <w:rPr>
          <w:rFonts w:ascii="Garamond" w:hAnsi="Garamond" w:cs="Arial"/>
          <w:sz w:val="24"/>
          <w:szCs w:val="24"/>
        </w:rPr>
        <w:t xml:space="preserve">no sentido de chamar a atenção para </w:t>
      </w:r>
      <w:r w:rsidR="003C71DE">
        <w:rPr>
          <w:rFonts w:ascii="Garamond" w:hAnsi="Garamond" w:cs="Arial"/>
          <w:sz w:val="24"/>
          <w:szCs w:val="24"/>
        </w:rPr>
        <w:t xml:space="preserve">a abordagem </w:t>
      </w:r>
      <w:r w:rsidR="00556810">
        <w:rPr>
          <w:rFonts w:ascii="Garamond" w:hAnsi="Garamond" w:cs="Arial"/>
          <w:sz w:val="24"/>
          <w:szCs w:val="24"/>
        </w:rPr>
        <w:t xml:space="preserve">de género </w:t>
      </w:r>
      <w:r w:rsidR="008B023E" w:rsidRPr="003A1174">
        <w:rPr>
          <w:rFonts w:ascii="Garamond" w:hAnsi="Garamond" w:cs="Arial"/>
          <w:sz w:val="24"/>
          <w:szCs w:val="24"/>
        </w:rPr>
        <w:t>e</w:t>
      </w:r>
      <w:r w:rsidRPr="003A1174">
        <w:rPr>
          <w:rFonts w:ascii="Garamond" w:hAnsi="Garamond" w:cs="Arial"/>
          <w:sz w:val="24"/>
          <w:szCs w:val="24"/>
        </w:rPr>
        <w:t>m</w:t>
      </w:r>
      <w:r w:rsidR="008B023E" w:rsidRPr="003A1174">
        <w:rPr>
          <w:rFonts w:ascii="Garamond" w:hAnsi="Garamond" w:cs="Arial"/>
          <w:sz w:val="24"/>
          <w:szCs w:val="24"/>
        </w:rPr>
        <w:t xml:space="preserve"> </w:t>
      </w:r>
      <w:r w:rsidR="00054EE0" w:rsidRPr="003A1174">
        <w:rPr>
          <w:rFonts w:ascii="Garamond" w:hAnsi="Garamond" w:cs="Arial"/>
          <w:sz w:val="24"/>
          <w:szCs w:val="24"/>
        </w:rPr>
        <w:t>mulheres</w:t>
      </w:r>
      <w:r w:rsidR="008B023E" w:rsidRPr="003A1174">
        <w:rPr>
          <w:rFonts w:ascii="Garamond" w:hAnsi="Garamond" w:cs="Arial"/>
          <w:sz w:val="24"/>
          <w:szCs w:val="24"/>
        </w:rPr>
        <w:t xml:space="preserve">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00524936" w:rsidRPr="003A1174">
        <w:rPr>
          <w:rFonts w:ascii="Garamond" w:hAnsi="Garamond" w:cs="Arial"/>
          <w:sz w:val="24"/>
          <w:szCs w:val="24"/>
        </w:rPr>
        <w:t>homens</w:t>
      </w:r>
      <w:r w:rsidR="008B023E" w:rsidRPr="003A1174">
        <w:rPr>
          <w:rFonts w:ascii="Garamond" w:hAnsi="Garamond" w:cs="Arial"/>
          <w:sz w:val="24"/>
          <w:szCs w:val="24"/>
        </w:rPr>
        <w:t xml:space="preserve">. </w:t>
      </w:r>
      <w:r w:rsidRPr="003A1174">
        <w:rPr>
          <w:rFonts w:ascii="Garamond" w:hAnsi="Garamond" w:cs="Arial"/>
          <w:sz w:val="24"/>
          <w:szCs w:val="24"/>
        </w:rPr>
        <w:t>No</w:t>
      </w:r>
      <w:r w:rsidR="008B023E" w:rsidRPr="003A1174">
        <w:rPr>
          <w:rFonts w:ascii="Garamond" w:hAnsi="Garamond" w:cs="Arial"/>
          <w:sz w:val="24"/>
          <w:szCs w:val="24"/>
        </w:rPr>
        <w:t xml:space="preserve"> </w:t>
      </w:r>
      <w:r w:rsidR="00462B11" w:rsidRPr="003A1174">
        <w:rPr>
          <w:rFonts w:ascii="Garamond" w:hAnsi="Garamond" w:cs="Arial"/>
          <w:sz w:val="24"/>
          <w:szCs w:val="24"/>
        </w:rPr>
        <w:t>Plano</w:t>
      </w:r>
      <w:r w:rsidR="008B023E" w:rsidRPr="003A1174">
        <w:rPr>
          <w:rFonts w:ascii="Garamond" w:hAnsi="Garamond" w:cs="Arial"/>
          <w:sz w:val="24"/>
          <w:szCs w:val="24"/>
        </w:rPr>
        <w:t xml:space="preserve"> de </w:t>
      </w:r>
      <w:r w:rsidR="003C71DE">
        <w:rPr>
          <w:rFonts w:ascii="Garamond" w:hAnsi="Garamond" w:cs="Arial"/>
          <w:sz w:val="24"/>
          <w:szCs w:val="24"/>
        </w:rPr>
        <w:t>T</w:t>
      </w:r>
      <w:r w:rsidR="0017447A" w:rsidRPr="003A1174">
        <w:rPr>
          <w:rFonts w:ascii="Garamond" w:hAnsi="Garamond" w:cs="Arial"/>
          <w:sz w:val="24"/>
          <w:szCs w:val="24"/>
        </w:rPr>
        <w:t>rabalho</w:t>
      </w:r>
      <w:r w:rsidR="008B023E" w:rsidRPr="003A1174">
        <w:rPr>
          <w:rFonts w:ascii="Garamond" w:hAnsi="Garamond" w:cs="Arial"/>
          <w:sz w:val="24"/>
          <w:szCs w:val="24"/>
        </w:rPr>
        <w:t xml:space="preserve">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00661ADB" w:rsidRPr="003A1174">
        <w:rPr>
          <w:rFonts w:ascii="Garamond" w:hAnsi="Garamond" w:cs="Arial"/>
          <w:sz w:val="24"/>
          <w:szCs w:val="24"/>
        </w:rPr>
        <w:t>Boas</w:t>
      </w:r>
      <w:r w:rsidR="008B023E" w:rsidRPr="003A1174">
        <w:rPr>
          <w:rFonts w:ascii="Garamond" w:hAnsi="Garamond" w:cs="Arial"/>
          <w:sz w:val="24"/>
          <w:szCs w:val="24"/>
        </w:rPr>
        <w:t xml:space="preserve"> </w:t>
      </w:r>
      <w:r w:rsidR="00661ADB" w:rsidRPr="003A1174">
        <w:rPr>
          <w:rFonts w:ascii="Garamond" w:hAnsi="Garamond" w:cs="Arial"/>
          <w:sz w:val="24"/>
          <w:szCs w:val="24"/>
        </w:rPr>
        <w:t>Prática</w:t>
      </w:r>
      <w:r w:rsidR="008B023E" w:rsidRPr="003A1174">
        <w:rPr>
          <w:rFonts w:ascii="Garamond" w:hAnsi="Garamond" w:cs="Arial"/>
          <w:sz w:val="24"/>
          <w:szCs w:val="24"/>
        </w:rPr>
        <w:t xml:space="preserve">s, </w:t>
      </w:r>
      <w:r w:rsidRPr="003A1174">
        <w:rPr>
          <w:rFonts w:ascii="Garamond" w:hAnsi="Garamond" w:cs="Arial"/>
          <w:sz w:val="24"/>
          <w:szCs w:val="24"/>
        </w:rPr>
        <w:t>iniciou-se a formação</w:t>
      </w:r>
      <w:r w:rsidR="008B023E" w:rsidRPr="003A1174">
        <w:rPr>
          <w:rFonts w:ascii="Garamond" w:hAnsi="Garamond" w:cs="Arial"/>
          <w:sz w:val="24"/>
          <w:szCs w:val="24"/>
        </w:rPr>
        <w:t xml:space="preserve"> </w:t>
      </w:r>
      <w:r w:rsidR="00556810">
        <w:rPr>
          <w:rFonts w:ascii="Garamond" w:hAnsi="Garamond" w:cs="Arial"/>
          <w:sz w:val="24"/>
          <w:szCs w:val="24"/>
        </w:rPr>
        <w:t xml:space="preserve">de </w:t>
      </w:r>
      <w:r w:rsidR="008278C4" w:rsidRPr="003A1174">
        <w:rPr>
          <w:rFonts w:ascii="Garamond" w:hAnsi="Garamond" w:cs="Arial"/>
          <w:sz w:val="24"/>
          <w:szCs w:val="24"/>
        </w:rPr>
        <w:t>pessoal</w:t>
      </w:r>
      <w:r w:rsidR="008B023E" w:rsidRPr="003A1174">
        <w:rPr>
          <w:rFonts w:ascii="Garamond" w:hAnsi="Garamond" w:cs="Arial"/>
          <w:sz w:val="24"/>
          <w:szCs w:val="24"/>
        </w:rPr>
        <w:t xml:space="preserve"> institucional</w:t>
      </w:r>
      <w:r w:rsidR="00556810">
        <w:rPr>
          <w:rFonts w:ascii="Garamond" w:hAnsi="Garamond" w:cs="Arial"/>
          <w:sz w:val="24"/>
          <w:szCs w:val="24"/>
        </w:rPr>
        <w:t>,</w:t>
      </w:r>
      <w:r w:rsidR="008B023E" w:rsidRPr="003A1174">
        <w:rPr>
          <w:rFonts w:ascii="Garamond" w:hAnsi="Garamond" w:cs="Arial"/>
          <w:sz w:val="24"/>
          <w:szCs w:val="24"/>
        </w:rPr>
        <w:t xml:space="preserve"> co</w:t>
      </w:r>
      <w:r w:rsidRPr="003A1174">
        <w:rPr>
          <w:rFonts w:ascii="Garamond" w:hAnsi="Garamond" w:cs="Arial"/>
          <w:sz w:val="24"/>
          <w:szCs w:val="24"/>
        </w:rPr>
        <w:t xml:space="preserve">m o </w:t>
      </w:r>
      <w:r w:rsidR="008B023E" w:rsidRPr="003A1174">
        <w:rPr>
          <w:rFonts w:ascii="Garamond" w:hAnsi="Garamond" w:cs="Arial"/>
          <w:sz w:val="24"/>
          <w:szCs w:val="24"/>
        </w:rPr>
        <w:t>fi</w:t>
      </w:r>
      <w:r w:rsidRPr="003A1174">
        <w:rPr>
          <w:rFonts w:ascii="Garamond" w:hAnsi="Garamond" w:cs="Arial"/>
          <w:sz w:val="24"/>
          <w:szCs w:val="24"/>
        </w:rPr>
        <w:t xml:space="preserve">m </w:t>
      </w:r>
      <w:r w:rsidR="008B023E" w:rsidRPr="003A1174">
        <w:rPr>
          <w:rFonts w:ascii="Garamond" w:hAnsi="Garamond" w:cs="Arial"/>
          <w:sz w:val="24"/>
          <w:szCs w:val="24"/>
        </w:rPr>
        <w:t xml:space="preserve">de fortalecer </w:t>
      </w:r>
      <w:r w:rsidRPr="003A1174">
        <w:rPr>
          <w:rFonts w:ascii="Garamond" w:hAnsi="Garamond" w:cs="Arial"/>
          <w:sz w:val="24"/>
          <w:szCs w:val="24"/>
        </w:rPr>
        <w:t xml:space="preserve">as </w:t>
      </w:r>
      <w:r w:rsidR="008B023E" w:rsidRPr="003A1174">
        <w:rPr>
          <w:rFonts w:ascii="Garamond" w:hAnsi="Garamond" w:cs="Arial"/>
          <w:sz w:val="24"/>
          <w:szCs w:val="24"/>
        </w:rPr>
        <w:t>su</w:t>
      </w:r>
      <w:r w:rsidRPr="003A1174">
        <w:rPr>
          <w:rFonts w:ascii="Garamond" w:hAnsi="Garamond" w:cs="Arial"/>
          <w:sz w:val="24"/>
          <w:szCs w:val="24"/>
        </w:rPr>
        <w:t>a</w:t>
      </w:r>
      <w:r w:rsidR="008B023E" w:rsidRPr="003A1174">
        <w:rPr>
          <w:rFonts w:ascii="Garamond" w:hAnsi="Garamond" w:cs="Arial"/>
          <w:sz w:val="24"/>
          <w:szCs w:val="24"/>
        </w:rPr>
        <w:t xml:space="preserve">s capacidades </w:t>
      </w:r>
      <w:r w:rsidRPr="003A1174">
        <w:rPr>
          <w:rFonts w:ascii="Garamond" w:hAnsi="Garamond" w:cs="Arial"/>
          <w:sz w:val="24"/>
          <w:szCs w:val="24"/>
        </w:rPr>
        <w:t>n</w:t>
      </w:r>
      <w:r w:rsidR="003C71DE">
        <w:rPr>
          <w:rFonts w:ascii="Garamond" w:hAnsi="Garamond" w:cs="Arial"/>
          <w:sz w:val="24"/>
          <w:szCs w:val="24"/>
        </w:rPr>
        <w:t>a matéria</w:t>
      </w:r>
      <w:r w:rsidR="00F35E7E" w:rsidRPr="003A1174">
        <w:rPr>
          <w:rFonts w:ascii="Garamond" w:hAnsi="Garamond" w:cs="Arial"/>
          <w:sz w:val="24"/>
          <w:szCs w:val="24"/>
        </w:rPr>
        <w:t xml:space="preserve">, </w:t>
      </w:r>
      <w:r w:rsidR="000464C8" w:rsidRPr="003A1174">
        <w:rPr>
          <w:rFonts w:ascii="Garamond" w:hAnsi="Garamond" w:cs="Arial"/>
          <w:sz w:val="24"/>
          <w:szCs w:val="24"/>
        </w:rPr>
        <w:t>assim</w:t>
      </w:r>
      <w:r w:rsidRPr="003A1174">
        <w:rPr>
          <w:rFonts w:ascii="Garamond" w:hAnsi="Garamond" w:cs="Arial"/>
          <w:sz w:val="24"/>
          <w:szCs w:val="24"/>
        </w:rPr>
        <w:t xml:space="preserve"> como</w:t>
      </w:r>
      <w:r w:rsidR="00556810">
        <w:rPr>
          <w:rFonts w:ascii="Garamond" w:hAnsi="Garamond" w:cs="Arial"/>
          <w:sz w:val="24"/>
          <w:szCs w:val="24"/>
        </w:rPr>
        <w:t>, foi feita</w:t>
      </w:r>
      <w:r w:rsidRPr="003A1174">
        <w:rPr>
          <w:rFonts w:ascii="Garamond" w:hAnsi="Garamond" w:cs="Arial"/>
          <w:sz w:val="24"/>
          <w:szCs w:val="24"/>
        </w:rPr>
        <w:t xml:space="preserve"> </w:t>
      </w:r>
      <w:r w:rsidR="00F35E7E" w:rsidRPr="003A1174">
        <w:rPr>
          <w:rFonts w:ascii="Garamond" w:hAnsi="Garamond" w:cs="Arial"/>
          <w:sz w:val="24"/>
          <w:szCs w:val="24"/>
        </w:rPr>
        <w:t>a</w:t>
      </w:r>
      <w:r w:rsidR="008B023E" w:rsidRPr="003A1174">
        <w:rPr>
          <w:rFonts w:ascii="Garamond" w:hAnsi="Garamond" w:cs="Arial"/>
          <w:sz w:val="24"/>
          <w:szCs w:val="24"/>
        </w:rPr>
        <w:t xml:space="preserve"> </w:t>
      </w:r>
      <w:r w:rsidR="006E0719" w:rsidRPr="003A1174">
        <w:rPr>
          <w:rFonts w:ascii="Garamond" w:hAnsi="Garamond" w:cs="Arial"/>
          <w:i/>
          <w:iCs/>
          <w:sz w:val="24"/>
          <w:szCs w:val="24"/>
        </w:rPr>
        <w:t>revisão</w:t>
      </w:r>
      <w:r w:rsidRPr="003A1174">
        <w:rPr>
          <w:rFonts w:ascii="Garamond" w:hAnsi="Garamond" w:cs="Arial"/>
          <w:i/>
          <w:iCs/>
          <w:sz w:val="24"/>
          <w:szCs w:val="24"/>
        </w:rPr>
        <w:t xml:space="preserve"> de toda </w:t>
      </w:r>
      <w:r w:rsidR="008B023E" w:rsidRPr="003A1174">
        <w:rPr>
          <w:rFonts w:ascii="Garamond" w:hAnsi="Garamond" w:cs="Arial"/>
          <w:i/>
          <w:iCs/>
          <w:sz w:val="24"/>
          <w:szCs w:val="24"/>
        </w:rPr>
        <w:t xml:space="preserve">a </w:t>
      </w:r>
      <w:r w:rsidRPr="003A1174">
        <w:rPr>
          <w:rFonts w:ascii="Garamond" w:hAnsi="Garamond" w:cs="Arial"/>
          <w:i/>
          <w:iCs/>
          <w:sz w:val="24"/>
          <w:szCs w:val="24"/>
        </w:rPr>
        <w:t>documentação</w:t>
      </w:r>
      <w:r w:rsidR="008B023E" w:rsidRPr="003A1174">
        <w:rPr>
          <w:rFonts w:ascii="Garamond" w:hAnsi="Garamond" w:cs="Arial"/>
          <w:i/>
          <w:iCs/>
          <w:sz w:val="24"/>
          <w:szCs w:val="24"/>
        </w:rPr>
        <w:t xml:space="preserve">, </w:t>
      </w:r>
      <w:r w:rsidR="00CD707D" w:rsidRPr="003A1174">
        <w:rPr>
          <w:rFonts w:ascii="Garamond" w:hAnsi="Garamond" w:cs="Arial"/>
          <w:i/>
          <w:iCs/>
          <w:sz w:val="24"/>
          <w:szCs w:val="24"/>
        </w:rPr>
        <w:t>regulamento</w:t>
      </w:r>
      <w:r w:rsidR="008B023E" w:rsidRPr="003A1174">
        <w:rPr>
          <w:rFonts w:ascii="Garamond" w:hAnsi="Garamond" w:cs="Arial"/>
          <w:i/>
          <w:iCs/>
          <w:sz w:val="24"/>
          <w:szCs w:val="24"/>
        </w:rPr>
        <w:t xml:space="preserve">s </w:t>
      </w:r>
      <w:r w:rsidR="000672E8" w:rsidRPr="003A1174">
        <w:rPr>
          <w:rFonts w:ascii="Garamond" w:hAnsi="Garamond" w:cs="Arial"/>
          <w:i/>
          <w:iCs/>
          <w:sz w:val="24"/>
          <w:szCs w:val="24"/>
        </w:rPr>
        <w:t>e</w:t>
      </w:r>
      <w:r w:rsidR="008B023E" w:rsidRPr="003A1174">
        <w:rPr>
          <w:rFonts w:ascii="Garamond" w:hAnsi="Garamond" w:cs="Arial"/>
          <w:i/>
          <w:iCs/>
          <w:sz w:val="24"/>
          <w:szCs w:val="24"/>
        </w:rPr>
        <w:t xml:space="preserve"> programas existentes para </w:t>
      </w:r>
      <w:r w:rsidR="00306B73" w:rsidRPr="003A1174">
        <w:rPr>
          <w:rFonts w:ascii="Garamond" w:hAnsi="Garamond" w:cs="Arial"/>
          <w:i/>
          <w:iCs/>
          <w:sz w:val="24"/>
          <w:szCs w:val="24"/>
        </w:rPr>
        <w:t>cumprir</w:t>
      </w:r>
      <w:r w:rsidR="008B023E" w:rsidRPr="003A1174">
        <w:rPr>
          <w:rFonts w:ascii="Garamond" w:hAnsi="Garamond" w:cs="Arial"/>
          <w:i/>
          <w:iCs/>
          <w:sz w:val="24"/>
          <w:szCs w:val="24"/>
        </w:rPr>
        <w:t xml:space="preserve"> co</w:t>
      </w:r>
      <w:r w:rsidRPr="003A1174">
        <w:rPr>
          <w:rFonts w:ascii="Garamond" w:hAnsi="Garamond" w:cs="Arial"/>
          <w:i/>
          <w:iCs/>
          <w:sz w:val="24"/>
          <w:szCs w:val="24"/>
        </w:rPr>
        <w:t xml:space="preserve">m o </w:t>
      </w:r>
      <w:r w:rsidR="00462B11" w:rsidRPr="003A1174">
        <w:rPr>
          <w:rFonts w:ascii="Garamond" w:hAnsi="Garamond" w:cs="Arial"/>
          <w:i/>
          <w:iCs/>
          <w:sz w:val="24"/>
          <w:szCs w:val="24"/>
        </w:rPr>
        <w:t>plano</w:t>
      </w:r>
      <w:r w:rsidR="008B023E" w:rsidRPr="003A1174">
        <w:rPr>
          <w:rFonts w:ascii="Garamond" w:hAnsi="Garamond" w:cs="Arial"/>
          <w:i/>
          <w:iCs/>
          <w:sz w:val="24"/>
          <w:szCs w:val="24"/>
        </w:rPr>
        <w:t xml:space="preserve"> prop</w:t>
      </w:r>
      <w:r w:rsidRPr="003A1174">
        <w:rPr>
          <w:rFonts w:ascii="Garamond" w:hAnsi="Garamond" w:cs="Arial"/>
          <w:i/>
          <w:iCs/>
          <w:sz w:val="24"/>
          <w:szCs w:val="24"/>
        </w:rPr>
        <w:t>o</w:t>
      </w:r>
      <w:r w:rsidR="008B023E" w:rsidRPr="003A1174">
        <w:rPr>
          <w:rFonts w:ascii="Garamond" w:hAnsi="Garamond" w:cs="Arial"/>
          <w:i/>
          <w:iCs/>
          <w:sz w:val="24"/>
          <w:szCs w:val="24"/>
        </w:rPr>
        <w:t>sto.</w:t>
      </w:r>
      <w:r w:rsidR="008B023E" w:rsidRPr="003A1174">
        <w:rPr>
          <w:rFonts w:ascii="Garamond" w:hAnsi="Garamond" w:cs="Arial"/>
          <w:iCs/>
          <w:sz w:val="24"/>
          <w:szCs w:val="24"/>
        </w:rPr>
        <w:t xml:space="preserve"> </w:t>
      </w:r>
      <w:r w:rsidR="00F35E7E" w:rsidRPr="003A1174">
        <w:rPr>
          <w:rFonts w:ascii="Garamond" w:hAnsi="Garamond" w:cs="Arial"/>
          <w:iCs/>
          <w:sz w:val="24"/>
          <w:szCs w:val="24"/>
        </w:rPr>
        <w:t>E</w:t>
      </w:r>
      <w:r w:rsidRPr="003A1174">
        <w:rPr>
          <w:rFonts w:ascii="Garamond" w:hAnsi="Garamond" w:cs="Arial"/>
          <w:iCs/>
          <w:sz w:val="24"/>
          <w:szCs w:val="24"/>
        </w:rPr>
        <w:t>m</w:t>
      </w:r>
      <w:r w:rsidR="00F35E7E" w:rsidRPr="003A1174">
        <w:rPr>
          <w:rFonts w:ascii="Garamond" w:hAnsi="Garamond" w:cs="Arial"/>
          <w:iCs/>
          <w:sz w:val="24"/>
          <w:szCs w:val="24"/>
          <w:lang w:val="es-ES"/>
        </w:rPr>
        <w:t xml:space="preserve"> especial:</w:t>
      </w:r>
    </w:p>
    <w:p w:rsidR="008B023E" w:rsidRPr="003A1174" w:rsidRDefault="00374785" w:rsidP="008719D4">
      <w:pPr>
        <w:pStyle w:val="Prrafodelista"/>
        <w:numPr>
          <w:ilvl w:val="0"/>
          <w:numId w:val="29"/>
        </w:numPr>
        <w:tabs>
          <w:tab w:val="clear" w:pos="708"/>
        </w:tabs>
        <w:suppressAutoHyphens w:val="0"/>
        <w:spacing w:before="240" w:line="240" w:lineRule="auto"/>
        <w:contextualSpacing/>
        <w:jc w:val="both"/>
        <w:rPr>
          <w:rFonts w:ascii="Garamond" w:hAnsi="Garamond" w:cs="Arial"/>
          <w:iCs/>
          <w:sz w:val="24"/>
          <w:szCs w:val="24"/>
          <w:lang w:val="pt-PT"/>
        </w:rPr>
      </w:pPr>
      <w:r w:rsidRPr="003A1174">
        <w:rPr>
          <w:rFonts w:ascii="Garamond" w:hAnsi="Garamond" w:cs="Arial"/>
          <w:iCs/>
          <w:sz w:val="24"/>
          <w:szCs w:val="24"/>
          <w:lang w:val="pt-PT"/>
        </w:rPr>
        <w:t>Ordem</w:t>
      </w:r>
      <w:r w:rsidR="008B023E" w:rsidRPr="003A1174">
        <w:rPr>
          <w:rFonts w:ascii="Garamond" w:hAnsi="Garamond" w:cs="Arial"/>
          <w:iCs/>
          <w:sz w:val="24"/>
          <w:szCs w:val="24"/>
          <w:lang w:val="pt-PT"/>
        </w:rPr>
        <w:t xml:space="preserve"> Administrativa 14-001</w:t>
      </w:r>
      <w:r w:rsidR="00F35E7E" w:rsidRPr="003A1174">
        <w:rPr>
          <w:rFonts w:ascii="Garamond" w:hAnsi="Garamond" w:cs="Arial"/>
          <w:iCs/>
          <w:sz w:val="24"/>
          <w:szCs w:val="24"/>
          <w:lang w:val="pt-PT"/>
        </w:rPr>
        <w:t>.</w:t>
      </w:r>
      <w:r w:rsidR="008B023E" w:rsidRPr="003A1174">
        <w:rPr>
          <w:rFonts w:ascii="Garamond" w:hAnsi="Garamond" w:cs="Arial"/>
          <w:iCs/>
          <w:sz w:val="24"/>
          <w:szCs w:val="24"/>
          <w:lang w:val="pt-PT"/>
        </w:rPr>
        <w:t xml:space="preserve"> </w:t>
      </w:r>
      <w:r w:rsidR="00DC5DA7" w:rsidRPr="003A1174">
        <w:rPr>
          <w:rFonts w:ascii="Garamond" w:hAnsi="Garamond" w:cs="Arial"/>
          <w:iCs/>
          <w:sz w:val="24"/>
          <w:szCs w:val="24"/>
          <w:lang w:val="pt-PT"/>
        </w:rPr>
        <w:t>Fortalecimento</w:t>
      </w:r>
      <w:r w:rsidR="008B023E" w:rsidRPr="003A1174">
        <w:rPr>
          <w:rFonts w:ascii="Garamond" w:hAnsi="Garamond" w:cs="Arial"/>
          <w:iCs/>
          <w:sz w:val="24"/>
          <w:szCs w:val="24"/>
          <w:lang w:val="pt-PT"/>
        </w:rPr>
        <w:t xml:space="preserve"> de Capacidades </w:t>
      </w:r>
      <w:r w:rsidR="00C04CA4" w:rsidRPr="003A1174">
        <w:rPr>
          <w:rFonts w:ascii="Garamond" w:hAnsi="Garamond" w:cs="Arial"/>
          <w:iCs/>
          <w:sz w:val="24"/>
          <w:szCs w:val="24"/>
          <w:lang w:val="pt-PT"/>
        </w:rPr>
        <w:t>Institucionais</w:t>
      </w:r>
      <w:r w:rsidR="008B023E" w:rsidRPr="003A1174">
        <w:rPr>
          <w:rFonts w:ascii="Garamond" w:hAnsi="Garamond" w:cs="Arial"/>
          <w:iCs/>
          <w:sz w:val="24"/>
          <w:szCs w:val="24"/>
          <w:lang w:val="pt-PT"/>
        </w:rPr>
        <w:t xml:space="preserve"> para Transversalizar</w:t>
      </w:r>
      <w:r w:rsidR="00F35E7E" w:rsidRPr="003A1174">
        <w:rPr>
          <w:rFonts w:ascii="Garamond" w:hAnsi="Garamond" w:cs="Arial"/>
          <w:iCs/>
          <w:sz w:val="24"/>
          <w:szCs w:val="24"/>
          <w:lang w:val="pt-PT"/>
        </w:rPr>
        <w:t xml:space="preserve"> </w:t>
      </w:r>
      <w:r w:rsidR="00A41573" w:rsidRPr="003A1174">
        <w:rPr>
          <w:rFonts w:ascii="Garamond" w:hAnsi="Garamond" w:cs="Arial"/>
          <w:iCs/>
          <w:sz w:val="24"/>
          <w:szCs w:val="24"/>
          <w:lang w:val="pt-PT"/>
        </w:rPr>
        <w:t xml:space="preserve">o </w:t>
      </w:r>
      <w:r w:rsidR="008B023E" w:rsidRPr="003A1174">
        <w:rPr>
          <w:rFonts w:ascii="Garamond" w:hAnsi="Garamond" w:cs="Arial"/>
          <w:iCs/>
          <w:sz w:val="24"/>
          <w:szCs w:val="24"/>
          <w:lang w:val="pt-PT"/>
        </w:rPr>
        <w:t>enfoque de Género</w:t>
      </w:r>
      <w:r w:rsidR="00F35E7E" w:rsidRPr="003A1174">
        <w:rPr>
          <w:rFonts w:ascii="Garamond" w:hAnsi="Garamond" w:cs="Arial"/>
          <w:iCs/>
          <w:sz w:val="24"/>
          <w:szCs w:val="24"/>
          <w:lang w:val="pt-PT"/>
        </w:rPr>
        <w:t>.</w:t>
      </w:r>
    </w:p>
    <w:p w:rsidR="008B023E" w:rsidRPr="003A1174" w:rsidRDefault="008B023E" w:rsidP="008719D4">
      <w:pPr>
        <w:pStyle w:val="Prrafodelista"/>
        <w:numPr>
          <w:ilvl w:val="0"/>
          <w:numId w:val="29"/>
        </w:numPr>
        <w:tabs>
          <w:tab w:val="clear" w:pos="708"/>
        </w:tabs>
        <w:suppressAutoHyphens w:val="0"/>
        <w:spacing w:before="240" w:line="240" w:lineRule="auto"/>
        <w:contextualSpacing/>
        <w:jc w:val="both"/>
        <w:rPr>
          <w:rFonts w:ascii="Garamond" w:hAnsi="Garamond" w:cs="Arial"/>
          <w:iCs/>
          <w:sz w:val="24"/>
          <w:szCs w:val="24"/>
        </w:rPr>
      </w:pPr>
      <w:r w:rsidRPr="003A1174">
        <w:rPr>
          <w:rFonts w:ascii="Garamond" w:hAnsi="Garamond" w:cs="Arial"/>
          <w:iCs/>
          <w:sz w:val="24"/>
          <w:szCs w:val="24"/>
        </w:rPr>
        <w:t>Protocolo de</w:t>
      </w:r>
      <w:r w:rsidRPr="003A1174">
        <w:rPr>
          <w:rFonts w:ascii="Garamond" w:hAnsi="Garamond" w:cs="Arial"/>
          <w:iCs/>
          <w:sz w:val="24"/>
          <w:szCs w:val="24"/>
          <w:lang w:val="pt-PT"/>
        </w:rPr>
        <w:t xml:space="preserve"> </w:t>
      </w:r>
      <w:r w:rsidR="000350B1" w:rsidRPr="003A1174">
        <w:rPr>
          <w:rFonts w:ascii="Garamond" w:hAnsi="Garamond" w:cs="Arial"/>
          <w:iCs/>
          <w:sz w:val="24"/>
          <w:szCs w:val="24"/>
          <w:lang w:val="pt-PT"/>
        </w:rPr>
        <w:t>Violência</w:t>
      </w:r>
      <w:r w:rsidRPr="003A1174">
        <w:rPr>
          <w:rFonts w:ascii="Garamond" w:hAnsi="Garamond" w:cs="Arial"/>
          <w:iCs/>
          <w:sz w:val="24"/>
          <w:szCs w:val="24"/>
        </w:rPr>
        <w:t xml:space="preserve"> Doméstica</w:t>
      </w:r>
      <w:r w:rsidR="00F35E7E" w:rsidRPr="003A1174">
        <w:rPr>
          <w:rFonts w:ascii="Garamond" w:hAnsi="Garamond" w:cs="Arial"/>
          <w:iCs/>
          <w:sz w:val="24"/>
          <w:szCs w:val="24"/>
        </w:rPr>
        <w:t>.</w:t>
      </w:r>
    </w:p>
    <w:p w:rsidR="008B023E" w:rsidRPr="003A1174" w:rsidRDefault="008B023E" w:rsidP="008719D4">
      <w:pPr>
        <w:pStyle w:val="Prrafodelista"/>
        <w:numPr>
          <w:ilvl w:val="0"/>
          <w:numId w:val="29"/>
        </w:numPr>
        <w:tabs>
          <w:tab w:val="clear" w:pos="708"/>
        </w:tabs>
        <w:suppressAutoHyphens w:val="0"/>
        <w:spacing w:before="240" w:line="240" w:lineRule="auto"/>
        <w:contextualSpacing/>
        <w:jc w:val="both"/>
        <w:rPr>
          <w:rFonts w:ascii="Garamond" w:hAnsi="Garamond" w:cs="Arial"/>
          <w:iCs/>
          <w:sz w:val="24"/>
          <w:szCs w:val="24"/>
          <w:lang w:val="pt-PT"/>
        </w:rPr>
      </w:pPr>
      <w:r w:rsidRPr="003A1174">
        <w:rPr>
          <w:rFonts w:ascii="Garamond" w:hAnsi="Garamond" w:cs="Arial"/>
          <w:iCs/>
          <w:sz w:val="24"/>
          <w:szCs w:val="24"/>
          <w:lang w:val="pt-PT"/>
        </w:rPr>
        <w:t xml:space="preserve">Protocolo de </w:t>
      </w:r>
      <w:r w:rsidR="001A53AD" w:rsidRPr="003A1174">
        <w:rPr>
          <w:rFonts w:ascii="Garamond" w:hAnsi="Garamond" w:cs="Arial"/>
          <w:iCs/>
          <w:sz w:val="24"/>
          <w:szCs w:val="24"/>
          <w:lang w:val="pt-PT"/>
        </w:rPr>
        <w:t>Gestão</w:t>
      </w:r>
      <w:r w:rsidRPr="003A1174">
        <w:rPr>
          <w:rFonts w:ascii="Garamond" w:hAnsi="Garamond" w:cs="Arial"/>
          <w:iCs/>
          <w:sz w:val="24"/>
          <w:szCs w:val="24"/>
          <w:lang w:val="pt-PT"/>
        </w:rPr>
        <w:t xml:space="preserve"> d</w:t>
      </w:r>
      <w:r w:rsidR="00F35E7E" w:rsidRPr="003A1174">
        <w:rPr>
          <w:rFonts w:ascii="Garamond" w:hAnsi="Garamond" w:cs="Arial"/>
          <w:iCs/>
          <w:sz w:val="24"/>
          <w:szCs w:val="24"/>
          <w:lang w:val="pt-PT"/>
        </w:rPr>
        <w:t xml:space="preserve">a </w:t>
      </w:r>
      <w:r w:rsidR="000350B1" w:rsidRPr="003A1174">
        <w:rPr>
          <w:rFonts w:ascii="Garamond" w:hAnsi="Garamond" w:cs="Arial"/>
          <w:iCs/>
          <w:sz w:val="24"/>
          <w:szCs w:val="24"/>
          <w:lang w:val="pt-PT"/>
        </w:rPr>
        <w:t>Violência</w:t>
      </w:r>
      <w:r w:rsidRPr="003A1174">
        <w:rPr>
          <w:rFonts w:ascii="Garamond" w:hAnsi="Garamond" w:cs="Arial"/>
          <w:iCs/>
          <w:sz w:val="24"/>
          <w:szCs w:val="24"/>
          <w:lang w:val="pt-PT"/>
        </w:rPr>
        <w:t xml:space="preserve"> Doméstica </w:t>
      </w:r>
      <w:r w:rsidR="00A41573" w:rsidRPr="003A1174">
        <w:rPr>
          <w:rFonts w:ascii="Garamond" w:hAnsi="Garamond" w:cs="Arial"/>
          <w:iCs/>
          <w:sz w:val="24"/>
          <w:szCs w:val="24"/>
          <w:lang w:val="pt-PT"/>
        </w:rPr>
        <w:t xml:space="preserve">no </w:t>
      </w:r>
      <w:r w:rsidR="001A53AD" w:rsidRPr="003A1174">
        <w:rPr>
          <w:rFonts w:ascii="Garamond" w:hAnsi="Garamond" w:cs="Arial"/>
          <w:iCs/>
          <w:sz w:val="24"/>
          <w:szCs w:val="24"/>
          <w:lang w:val="pt-PT"/>
        </w:rPr>
        <w:t>Local</w:t>
      </w:r>
      <w:r w:rsidRPr="003A1174">
        <w:rPr>
          <w:rFonts w:ascii="Garamond" w:hAnsi="Garamond" w:cs="Arial"/>
          <w:iCs/>
          <w:sz w:val="24"/>
          <w:szCs w:val="24"/>
          <w:lang w:val="pt-PT"/>
        </w:rPr>
        <w:t xml:space="preserve"> de </w:t>
      </w:r>
      <w:r w:rsidR="0017447A" w:rsidRPr="003A1174">
        <w:rPr>
          <w:rFonts w:ascii="Garamond" w:hAnsi="Garamond" w:cs="Arial"/>
          <w:iCs/>
          <w:sz w:val="24"/>
          <w:szCs w:val="24"/>
          <w:lang w:val="pt-PT"/>
        </w:rPr>
        <w:t>Trabalho</w:t>
      </w:r>
      <w:r w:rsidR="00F35E7E" w:rsidRPr="003A1174">
        <w:rPr>
          <w:rFonts w:ascii="Garamond" w:hAnsi="Garamond" w:cs="Arial"/>
          <w:iCs/>
          <w:sz w:val="24"/>
          <w:szCs w:val="24"/>
          <w:lang w:val="pt-PT"/>
        </w:rPr>
        <w:t>.</w:t>
      </w:r>
    </w:p>
    <w:p w:rsidR="008B023E" w:rsidRPr="003A1174" w:rsidRDefault="00CD707D" w:rsidP="008719D4">
      <w:pPr>
        <w:pStyle w:val="Prrafodelista"/>
        <w:numPr>
          <w:ilvl w:val="0"/>
          <w:numId w:val="29"/>
        </w:numPr>
        <w:tabs>
          <w:tab w:val="clear" w:pos="708"/>
        </w:tabs>
        <w:suppressAutoHyphens w:val="0"/>
        <w:spacing w:before="240" w:line="240" w:lineRule="auto"/>
        <w:contextualSpacing/>
        <w:jc w:val="both"/>
        <w:rPr>
          <w:rFonts w:ascii="Garamond" w:hAnsi="Garamond" w:cs="Arial"/>
          <w:iCs/>
          <w:sz w:val="24"/>
          <w:szCs w:val="24"/>
          <w:lang w:val="pt-PT"/>
        </w:rPr>
      </w:pPr>
      <w:r w:rsidRPr="003A1174">
        <w:rPr>
          <w:rFonts w:ascii="Garamond" w:hAnsi="Garamond" w:cs="Arial"/>
          <w:iCs/>
          <w:sz w:val="24"/>
          <w:szCs w:val="24"/>
          <w:lang w:val="pt-PT"/>
        </w:rPr>
        <w:lastRenderedPageBreak/>
        <w:t>Regulamento</w:t>
      </w:r>
      <w:r w:rsidR="008B023E" w:rsidRPr="003A1174">
        <w:rPr>
          <w:rFonts w:ascii="Garamond" w:hAnsi="Garamond" w:cs="Arial"/>
          <w:iCs/>
          <w:sz w:val="24"/>
          <w:szCs w:val="24"/>
          <w:lang w:val="pt-PT"/>
        </w:rPr>
        <w:t xml:space="preserve"> N</w:t>
      </w:r>
      <w:r w:rsidR="003C71DE">
        <w:rPr>
          <w:rFonts w:ascii="Garamond" w:hAnsi="Garamond" w:cs="Arial"/>
          <w:iCs/>
          <w:sz w:val="24"/>
          <w:szCs w:val="24"/>
          <w:lang w:val="pt-PT"/>
        </w:rPr>
        <w:t>.</w:t>
      </w:r>
      <w:r w:rsidR="00F35E7E" w:rsidRPr="003A1174">
        <w:rPr>
          <w:rFonts w:ascii="Garamond" w:hAnsi="Garamond" w:cs="Arial"/>
          <w:iCs/>
          <w:sz w:val="24"/>
          <w:szCs w:val="24"/>
          <w:lang w:val="pt-PT"/>
        </w:rPr>
        <w:t>°</w:t>
      </w:r>
      <w:r w:rsidR="00A41573" w:rsidRPr="003A1174">
        <w:rPr>
          <w:rFonts w:ascii="Garamond" w:hAnsi="Garamond" w:cs="Arial"/>
          <w:iCs/>
          <w:sz w:val="24"/>
          <w:szCs w:val="24"/>
          <w:lang w:val="pt-PT"/>
        </w:rPr>
        <w:t xml:space="preserve">15 - Para </w:t>
      </w:r>
      <w:r w:rsidR="008B023E" w:rsidRPr="003A1174">
        <w:rPr>
          <w:rFonts w:ascii="Garamond" w:hAnsi="Garamond" w:cs="Arial"/>
          <w:iCs/>
          <w:sz w:val="24"/>
          <w:szCs w:val="24"/>
          <w:lang w:val="pt-PT"/>
        </w:rPr>
        <w:t xml:space="preserve">a </w:t>
      </w:r>
      <w:r w:rsidR="00FB09CA" w:rsidRPr="003A1174">
        <w:rPr>
          <w:rFonts w:ascii="Garamond" w:hAnsi="Garamond" w:cs="Arial"/>
          <w:iCs/>
          <w:sz w:val="24"/>
          <w:szCs w:val="24"/>
          <w:lang w:val="pt-PT"/>
        </w:rPr>
        <w:t>Administração</w:t>
      </w:r>
      <w:r w:rsidR="008B023E" w:rsidRPr="003A1174">
        <w:rPr>
          <w:rFonts w:ascii="Garamond" w:hAnsi="Garamond" w:cs="Arial"/>
          <w:iCs/>
          <w:sz w:val="24"/>
          <w:szCs w:val="24"/>
          <w:lang w:val="pt-PT"/>
        </w:rPr>
        <w:t xml:space="preserve"> </w:t>
      </w:r>
      <w:r w:rsidR="00497503" w:rsidRPr="003A1174">
        <w:rPr>
          <w:rFonts w:ascii="Garamond" w:hAnsi="Garamond" w:cs="Arial"/>
          <w:iCs/>
          <w:sz w:val="24"/>
          <w:szCs w:val="24"/>
          <w:lang w:val="pt-PT"/>
        </w:rPr>
        <w:t>dos</w:t>
      </w:r>
      <w:r w:rsidR="008B023E" w:rsidRPr="003A1174">
        <w:rPr>
          <w:rFonts w:ascii="Garamond" w:hAnsi="Garamond" w:cs="Arial"/>
          <w:iCs/>
          <w:sz w:val="24"/>
          <w:szCs w:val="24"/>
          <w:lang w:val="pt-PT"/>
        </w:rPr>
        <w:t xml:space="preserve"> Recursos Humanos </w:t>
      </w:r>
      <w:r w:rsidR="00E85E59" w:rsidRPr="003A1174">
        <w:rPr>
          <w:rFonts w:ascii="Garamond" w:hAnsi="Garamond" w:cs="Arial"/>
          <w:iCs/>
          <w:sz w:val="24"/>
          <w:szCs w:val="24"/>
          <w:lang w:val="pt-PT"/>
        </w:rPr>
        <w:t>do</w:t>
      </w:r>
      <w:r w:rsidR="008B023E" w:rsidRPr="003A1174">
        <w:rPr>
          <w:rFonts w:ascii="Garamond" w:hAnsi="Garamond" w:cs="Arial"/>
          <w:iCs/>
          <w:sz w:val="24"/>
          <w:szCs w:val="24"/>
          <w:lang w:val="pt-PT"/>
        </w:rPr>
        <w:t xml:space="preserve"> </w:t>
      </w:r>
      <w:r w:rsidR="00A41573" w:rsidRPr="003A1174">
        <w:rPr>
          <w:rFonts w:ascii="Garamond" w:hAnsi="Garamond" w:cs="Arial"/>
          <w:iCs/>
          <w:sz w:val="24"/>
          <w:szCs w:val="24"/>
          <w:lang w:val="pt-PT"/>
        </w:rPr>
        <w:t>Gabinete</w:t>
      </w:r>
      <w:r w:rsidR="008B023E" w:rsidRPr="003A1174">
        <w:rPr>
          <w:rFonts w:ascii="Garamond" w:hAnsi="Garamond" w:cs="Arial"/>
          <w:iCs/>
          <w:sz w:val="24"/>
          <w:szCs w:val="24"/>
          <w:lang w:val="pt-PT"/>
        </w:rPr>
        <w:t xml:space="preserve"> </w:t>
      </w:r>
      <w:r w:rsidR="00E85E59" w:rsidRPr="003A1174">
        <w:rPr>
          <w:rFonts w:ascii="Garamond" w:hAnsi="Garamond" w:cs="Arial"/>
          <w:iCs/>
          <w:sz w:val="24"/>
          <w:szCs w:val="24"/>
          <w:lang w:val="pt-PT"/>
        </w:rPr>
        <w:t>do</w:t>
      </w:r>
      <w:r w:rsidR="008B023E" w:rsidRPr="003A1174">
        <w:rPr>
          <w:rFonts w:ascii="Garamond" w:hAnsi="Garamond" w:cs="Arial"/>
          <w:iCs/>
          <w:sz w:val="24"/>
          <w:szCs w:val="24"/>
          <w:lang w:val="pt-PT"/>
        </w:rPr>
        <w:t xml:space="preserve"> </w:t>
      </w:r>
      <w:r w:rsidR="001A53AD" w:rsidRPr="003A1174">
        <w:rPr>
          <w:rFonts w:ascii="Garamond" w:hAnsi="Garamond" w:cs="Arial"/>
          <w:iCs/>
          <w:sz w:val="24"/>
          <w:szCs w:val="24"/>
          <w:lang w:val="pt-PT"/>
        </w:rPr>
        <w:t>Provedor de Justiça</w:t>
      </w:r>
      <w:r w:rsidR="00F35E7E" w:rsidRPr="003A1174">
        <w:rPr>
          <w:rFonts w:ascii="Garamond" w:hAnsi="Garamond" w:cs="Arial"/>
          <w:iCs/>
          <w:sz w:val="24"/>
          <w:szCs w:val="24"/>
          <w:lang w:val="pt-PT"/>
        </w:rPr>
        <w:t>.</w:t>
      </w:r>
      <w:r w:rsidR="008B023E" w:rsidRPr="003A1174">
        <w:rPr>
          <w:rFonts w:ascii="Garamond" w:hAnsi="Garamond" w:cs="Arial"/>
          <w:iCs/>
          <w:sz w:val="24"/>
          <w:szCs w:val="24"/>
          <w:lang w:val="pt-PT"/>
        </w:rPr>
        <w:t xml:space="preserve"> </w:t>
      </w:r>
    </w:p>
    <w:p w:rsidR="008B023E" w:rsidRPr="003A1174" w:rsidRDefault="00CD707D" w:rsidP="008719D4">
      <w:pPr>
        <w:pStyle w:val="Prrafodelista"/>
        <w:numPr>
          <w:ilvl w:val="0"/>
          <w:numId w:val="29"/>
        </w:numPr>
        <w:tabs>
          <w:tab w:val="clear" w:pos="708"/>
        </w:tabs>
        <w:suppressAutoHyphens w:val="0"/>
        <w:spacing w:before="240" w:line="240" w:lineRule="auto"/>
        <w:contextualSpacing/>
        <w:jc w:val="both"/>
        <w:rPr>
          <w:rFonts w:ascii="Garamond" w:hAnsi="Garamond" w:cs="Arial"/>
          <w:iCs/>
          <w:sz w:val="24"/>
          <w:szCs w:val="24"/>
          <w:lang w:val="pt-PT"/>
        </w:rPr>
      </w:pPr>
      <w:r w:rsidRPr="003A1174">
        <w:rPr>
          <w:rFonts w:ascii="Garamond" w:hAnsi="Garamond" w:cs="Arial"/>
          <w:iCs/>
          <w:sz w:val="24"/>
          <w:szCs w:val="24"/>
          <w:lang w:val="pt-PT"/>
        </w:rPr>
        <w:t>Regulamento</w:t>
      </w:r>
      <w:r w:rsidR="008B023E" w:rsidRPr="003A1174">
        <w:rPr>
          <w:rFonts w:ascii="Garamond" w:hAnsi="Garamond" w:cs="Arial"/>
          <w:iCs/>
          <w:sz w:val="24"/>
          <w:szCs w:val="24"/>
          <w:lang w:val="pt-PT"/>
        </w:rPr>
        <w:t xml:space="preserve"> N</w:t>
      </w:r>
      <w:r w:rsidR="003C71DE">
        <w:rPr>
          <w:rFonts w:ascii="Garamond" w:hAnsi="Garamond" w:cs="Arial"/>
          <w:iCs/>
          <w:sz w:val="24"/>
          <w:szCs w:val="24"/>
          <w:lang w:val="pt-PT"/>
        </w:rPr>
        <w:t>.</w:t>
      </w:r>
      <w:r w:rsidR="00F35E7E" w:rsidRPr="003A1174">
        <w:rPr>
          <w:rFonts w:ascii="Garamond" w:hAnsi="Garamond" w:cs="Arial"/>
          <w:iCs/>
          <w:sz w:val="24"/>
          <w:szCs w:val="24"/>
          <w:lang w:val="pt-PT"/>
        </w:rPr>
        <w:t>°</w:t>
      </w:r>
      <w:r w:rsidR="008B023E" w:rsidRPr="003A1174">
        <w:rPr>
          <w:rFonts w:ascii="Garamond" w:hAnsi="Garamond" w:cs="Arial"/>
          <w:iCs/>
          <w:sz w:val="24"/>
          <w:szCs w:val="24"/>
          <w:lang w:val="pt-PT"/>
        </w:rPr>
        <w:t xml:space="preserve">18 – </w:t>
      </w:r>
      <w:r w:rsidRPr="003A1174">
        <w:rPr>
          <w:rFonts w:ascii="Garamond" w:hAnsi="Garamond" w:cs="Arial"/>
          <w:iCs/>
          <w:sz w:val="24"/>
          <w:szCs w:val="24"/>
          <w:lang w:val="pt-PT"/>
        </w:rPr>
        <w:t>Regulamento</w:t>
      </w:r>
      <w:r w:rsidR="008B023E" w:rsidRPr="003A1174">
        <w:rPr>
          <w:rFonts w:ascii="Garamond" w:hAnsi="Garamond" w:cs="Arial"/>
          <w:iCs/>
          <w:sz w:val="24"/>
          <w:szCs w:val="24"/>
          <w:lang w:val="pt-PT"/>
        </w:rPr>
        <w:t xml:space="preserve"> Sobre </w:t>
      </w:r>
      <w:r w:rsidR="00A41573" w:rsidRPr="003A1174">
        <w:rPr>
          <w:rFonts w:ascii="Garamond" w:hAnsi="Garamond" w:cs="Arial"/>
          <w:iCs/>
          <w:sz w:val="24"/>
          <w:szCs w:val="24"/>
          <w:lang w:val="pt-PT"/>
        </w:rPr>
        <w:t>Aleitamento</w:t>
      </w:r>
      <w:r w:rsidR="00F35E7E" w:rsidRPr="003A1174">
        <w:rPr>
          <w:rFonts w:ascii="Garamond" w:hAnsi="Garamond" w:cs="Arial"/>
          <w:iCs/>
          <w:sz w:val="24"/>
          <w:szCs w:val="24"/>
          <w:lang w:val="pt-PT"/>
        </w:rPr>
        <w:t>.</w:t>
      </w:r>
    </w:p>
    <w:p w:rsidR="00AE7513" w:rsidRPr="003A1174" w:rsidRDefault="008B023E"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Para </w:t>
      </w:r>
      <w:r w:rsidR="00A41573" w:rsidRPr="003A1174">
        <w:rPr>
          <w:rFonts w:ascii="Garamond" w:hAnsi="Garamond" w:cs="Arial"/>
          <w:sz w:val="24"/>
          <w:szCs w:val="24"/>
        </w:rPr>
        <w:t>o</w:t>
      </w:r>
      <w:r w:rsidRPr="003A1174">
        <w:rPr>
          <w:rFonts w:ascii="Garamond" w:hAnsi="Garamond" w:cs="Arial"/>
          <w:sz w:val="24"/>
          <w:szCs w:val="24"/>
        </w:rPr>
        <w:t xml:space="preserve"> </w:t>
      </w:r>
      <w:r w:rsidR="002C7510" w:rsidRPr="003A1174">
        <w:rPr>
          <w:rFonts w:ascii="Garamond" w:hAnsi="Garamond" w:cs="Arial"/>
          <w:sz w:val="24"/>
          <w:szCs w:val="24"/>
        </w:rPr>
        <w:t>ano</w:t>
      </w:r>
      <w:r w:rsidRPr="003A1174">
        <w:rPr>
          <w:rFonts w:ascii="Garamond" w:hAnsi="Garamond" w:cs="Arial"/>
          <w:sz w:val="24"/>
          <w:szCs w:val="24"/>
        </w:rPr>
        <w:t xml:space="preserve"> </w:t>
      </w:r>
      <w:r w:rsidR="00A41573" w:rsidRPr="003A1174">
        <w:rPr>
          <w:rFonts w:ascii="Garamond" w:hAnsi="Garamond" w:cs="Arial"/>
          <w:sz w:val="24"/>
          <w:szCs w:val="24"/>
        </w:rPr>
        <w:t xml:space="preserve">de </w:t>
      </w:r>
      <w:r w:rsidRPr="003A1174">
        <w:rPr>
          <w:rFonts w:ascii="Garamond" w:hAnsi="Garamond" w:cs="Arial"/>
          <w:sz w:val="24"/>
          <w:szCs w:val="24"/>
        </w:rPr>
        <w:t>2007</w:t>
      </w:r>
      <w:r w:rsidR="00F35E7E" w:rsidRPr="003A1174">
        <w:rPr>
          <w:rFonts w:ascii="Garamond" w:hAnsi="Garamond" w:cs="Arial"/>
          <w:sz w:val="24"/>
          <w:szCs w:val="24"/>
        </w:rPr>
        <w:t>,</w:t>
      </w:r>
      <w:r w:rsidRPr="003A1174">
        <w:rPr>
          <w:rFonts w:ascii="Garamond" w:hAnsi="Garamond" w:cs="Arial"/>
          <w:sz w:val="24"/>
          <w:szCs w:val="24"/>
        </w:rPr>
        <w:t xml:space="preserve"> </w:t>
      </w:r>
      <w:r w:rsidR="00A41573" w:rsidRPr="003A1174">
        <w:rPr>
          <w:rFonts w:ascii="Garamond" w:hAnsi="Garamond" w:cs="Arial"/>
          <w:sz w:val="24"/>
          <w:szCs w:val="24"/>
        </w:rPr>
        <w:t>assinou-</w:t>
      </w:r>
      <w:r w:rsidRPr="003A1174">
        <w:rPr>
          <w:rFonts w:ascii="Garamond" w:hAnsi="Garamond" w:cs="Arial"/>
          <w:sz w:val="24"/>
          <w:szCs w:val="24"/>
        </w:rPr>
        <w:t xml:space="preserve">se a </w:t>
      </w:r>
      <w:r w:rsidR="00374785" w:rsidRPr="003A1174">
        <w:rPr>
          <w:rFonts w:ascii="Garamond" w:hAnsi="Garamond" w:cs="Arial"/>
          <w:sz w:val="24"/>
          <w:szCs w:val="24"/>
        </w:rPr>
        <w:t>Ordem</w:t>
      </w:r>
      <w:r w:rsidRPr="003A1174">
        <w:rPr>
          <w:rFonts w:ascii="Garamond" w:hAnsi="Garamond" w:cs="Arial"/>
          <w:sz w:val="24"/>
          <w:szCs w:val="24"/>
        </w:rPr>
        <w:t xml:space="preserve"> </w:t>
      </w:r>
      <w:r w:rsidR="00A41573" w:rsidRPr="003A1174">
        <w:rPr>
          <w:rFonts w:ascii="Garamond" w:hAnsi="Garamond" w:cs="Arial"/>
          <w:sz w:val="24"/>
          <w:szCs w:val="24"/>
        </w:rPr>
        <w:t>Executiva</w:t>
      </w:r>
      <w:r w:rsidRPr="003A1174">
        <w:rPr>
          <w:rFonts w:ascii="Garamond" w:hAnsi="Garamond" w:cs="Arial"/>
          <w:sz w:val="24"/>
          <w:szCs w:val="24"/>
        </w:rPr>
        <w:t xml:space="preserve"> N</w:t>
      </w:r>
      <w:r w:rsidR="00C16AF6">
        <w:rPr>
          <w:rFonts w:ascii="Garamond" w:hAnsi="Garamond" w:cs="Arial"/>
          <w:sz w:val="24"/>
          <w:szCs w:val="24"/>
        </w:rPr>
        <w:t>.</w:t>
      </w:r>
      <w:r w:rsidR="00F35E7E" w:rsidRPr="003A1174">
        <w:rPr>
          <w:rFonts w:ascii="Garamond" w:hAnsi="Garamond" w:cs="Arial"/>
          <w:sz w:val="24"/>
          <w:szCs w:val="24"/>
        </w:rPr>
        <w:t>°</w:t>
      </w:r>
      <w:r w:rsidRPr="003A1174">
        <w:rPr>
          <w:rFonts w:ascii="Garamond" w:hAnsi="Garamond" w:cs="Arial"/>
          <w:sz w:val="24"/>
          <w:szCs w:val="24"/>
        </w:rPr>
        <w:t xml:space="preserve"> 17 (OE-2007-17)</w:t>
      </w:r>
      <w:r w:rsidR="00F35E7E" w:rsidRPr="003A1174">
        <w:rPr>
          <w:rFonts w:ascii="Garamond" w:hAnsi="Garamond" w:cs="Arial"/>
          <w:sz w:val="24"/>
          <w:szCs w:val="24"/>
        </w:rPr>
        <w:t xml:space="preserve"> que</w:t>
      </w:r>
      <w:r w:rsidRPr="003A1174">
        <w:rPr>
          <w:rFonts w:ascii="Garamond" w:hAnsi="Garamond" w:cs="Arial"/>
          <w:sz w:val="24"/>
          <w:szCs w:val="24"/>
        </w:rPr>
        <w:t xml:space="preserve"> </w:t>
      </w:r>
      <w:r w:rsidR="00152A44" w:rsidRPr="003A1174">
        <w:rPr>
          <w:rFonts w:ascii="Garamond" w:hAnsi="Garamond" w:cs="Arial"/>
          <w:sz w:val="24"/>
          <w:szCs w:val="24"/>
        </w:rPr>
        <w:t>estabelece</w:t>
      </w:r>
      <w:r w:rsidR="00C16AF6">
        <w:rPr>
          <w:rFonts w:ascii="Garamond" w:hAnsi="Garamond" w:cs="Arial"/>
          <w:sz w:val="24"/>
          <w:szCs w:val="24"/>
        </w:rPr>
        <w:t>,</w:t>
      </w:r>
      <w:r w:rsidRPr="003A1174">
        <w:rPr>
          <w:rFonts w:ascii="Garamond" w:hAnsi="Garamond" w:cs="Arial"/>
          <w:sz w:val="24"/>
          <w:szCs w:val="24"/>
        </w:rPr>
        <w:t xml:space="preserve"> como política pública para </w:t>
      </w:r>
      <w:r w:rsidR="00A41573" w:rsidRPr="003A1174">
        <w:rPr>
          <w:rFonts w:ascii="Garamond" w:hAnsi="Garamond" w:cs="Arial"/>
          <w:sz w:val="24"/>
          <w:szCs w:val="24"/>
        </w:rPr>
        <w:t>o</w:t>
      </w:r>
      <w:r w:rsidRPr="003A1174">
        <w:rPr>
          <w:rFonts w:ascii="Garamond" w:hAnsi="Garamond" w:cs="Arial"/>
          <w:sz w:val="24"/>
          <w:szCs w:val="24"/>
        </w:rPr>
        <w:t xml:space="preserve"> Estado </w:t>
      </w:r>
      <w:r w:rsidR="00AF192F" w:rsidRPr="003A1174">
        <w:rPr>
          <w:rFonts w:ascii="Garamond" w:hAnsi="Garamond" w:cs="Arial"/>
          <w:sz w:val="24"/>
          <w:szCs w:val="24"/>
        </w:rPr>
        <w:t>Livre</w:t>
      </w:r>
      <w:r w:rsidRPr="003A1174">
        <w:rPr>
          <w:rFonts w:ascii="Garamond" w:hAnsi="Garamond" w:cs="Arial"/>
          <w:sz w:val="24"/>
          <w:szCs w:val="24"/>
        </w:rPr>
        <w:t xml:space="preserve"> </w:t>
      </w:r>
      <w:r w:rsidR="00800D59" w:rsidRPr="003A1174">
        <w:rPr>
          <w:rFonts w:ascii="Garamond" w:hAnsi="Garamond" w:cs="Arial"/>
          <w:sz w:val="24"/>
          <w:szCs w:val="24"/>
        </w:rPr>
        <w:t>Associado</w:t>
      </w:r>
      <w:r w:rsidRPr="003A1174">
        <w:rPr>
          <w:rFonts w:ascii="Garamond" w:hAnsi="Garamond" w:cs="Arial"/>
          <w:sz w:val="24"/>
          <w:szCs w:val="24"/>
        </w:rPr>
        <w:t xml:space="preserve"> de </w:t>
      </w:r>
      <w:r w:rsidR="0017447A" w:rsidRPr="003A1174">
        <w:rPr>
          <w:rFonts w:ascii="Garamond" w:hAnsi="Garamond" w:cs="Arial"/>
          <w:sz w:val="24"/>
          <w:szCs w:val="24"/>
        </w:rPr>
        <w:t>Porto</w:t>
      </w:r>
      <w:r w:rsidR="00A41573" w:rsidRPr="003A1174">
        <w:rPr>
          <w:rFonts w:ascii="Garamond" w:hAnsi="Garamond" w:cs="Arial"/>
          <w:sz w:val="24"/>
          <w:szCs w:val="24"/>
        </w:rPr>
        <w:t xml:space="preserve"> Rico, </w:t>
      </w:r>
      <w:r w:rsidRPr="003A1174">
        <w:rPr>
          <w:rFonts w:ascii="Garamond" w:hAnsi="Garamond" w:cs="Arial"/>
          <w:sz w:val="24"/>
          <w:szCs w:val="24"/>
        </w:rPr>
        <w:t xml:space="preserve">a </w:t>
      </w:r>
      <w:r w:rsidR="006F4B2C" w:rsidRPr="003A1174">
        <w:rPr>
          <w:rFonts w:ascii="Garamond" w:hAnsi="Garamond" w:cs="Arial"/>
          <w:sz w:val="24"/>
          <w:szCs w:val="24"/>
        </w:rPr>
        <w:t>integração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C30647" w:rsidRPr="003A1174">
        <w:rPr>
          <w:rFonts w:ascii="Garamond" w:hAnsi="Garamond" w:cs="Arial"/>
          <w:sz w:val="24"/>
          <w:szCs w:val="24"/>
        </w:rPr>
        <w:t>esforço</w:t>
      </w:r>
      <w:r w:rsidRPr="003A1174">
        <w:rPr>
          <w:rFonts w:ascii="Garamond" w:hAnsi="Garamond" w:cs="Arial"/>
          <w:sz w:val="24"/>
          <w:szCs w:val="24"/>
        </w:rPr>
        <w:t xml:space="preserve">s </w:t>
      </w:r>
      <w:r w:rsidR="00100435" w:rsidRPr="003A1174">
        <w:rPr>
          <w:rFonts w:ascii="Garamond" w:hAnsi="Garamond" w:cs="Arial"/>
          <w:sz w:val="24"/>
          <w:szCs w:val="24"/>
        </w:rPr>
        <w:t>governamentais</w:t>
      </w:r>
      <w:r w:rsidRPr="003A1174">
        <w:rPr>
          <w:rFonts w:ascii="Garamond" w:hAnsi="Garamond" w:cs="Arial"/>
          <w:sz w:val="24"/>
          <w:szCs w:val="24"/>
        </w:rPr>
        <w:t xml:space="preserve"> para atender</w:t>
      </w:r>
      <w:r w:rsidR="00A41573" w:rsidRPr="003A1174">
        <w:rPr>
          <w:rFonts w:ascii="Garamond" w:hAnsi="Garamond" w:cs="Arial"/>
          <w:sz w:val="24"/>
          <w:szCs w:val="24"/>
        </w:rPr>
        <w:t xml:space="preserve"> </w:t>
      </w:r>
      <w:r w:rsidR="00C16AF6">
        <w:rPr>
          <w:rFonts w:ascii="Garamond" w:hAnsi="Garamond" w:cs="Arial"/>
          <w:sz w:val="24"/>
          <w:szCs w:val="24"/>
        </w:rPr>
        <w:t>à</w:t>
      </w:r>
      <w:r w:rsidRPr="003A1174">
        <w:rPr>
          <w:rFonts w:ascii="Garamond" w:hAnsi="Garamond" w:cs="Arial"/>
          <w:sz w:val="24"/>
          <w:szCs w:val="24"/>
        </w:rPr>
        <w:t xml:space="preserve"> problemática da </w:t>
      </w:r>
      <w:r w:rsidR="000350B1" w:rsidRPr="003A1174">
        <w:rPr>
          <w:rFonts w:ascii="Garamond" w:hAnsi="Garamond" w:cs="Arial"/>
          <w:sz w:val="24"/>
          <w:szCs w:val="24"/>
        </w:rPr>
        <w:t>violência</w:t>
      </w:r>
      <w:r w:rsidRPr="003A1174">
        <w:rPr>
          <w:rFonts w:ascii="Garamond" w:hAnsi="Garamond" w:cs="Arial"/>
          <w:sz w:val="24"/>
          <w:szCs w:val="24"/>
        </w:rPr>
        <w:t xml:space="preserve"> sexual </w:t>
      </w:r>
      <w:r w:rsidR="000672E8" w:rsidRPr="003A1174">
        <w:rPr>
          <w:rFonts w:ascii="Garamond" w:hAnsi="Garamond" w:cs="Arial"/>
          <w:sz w:val="24"/>
          <w:szCs w:val="24"/>
        </w:rPr>
        <w:t>e</w:t>
      </w:r>
      <w:r w:rsidRPr="003A1174">
        <w:rPr>
          <w:rFonts w:ascii="Garamond" w:hAnsi="Garamond" w:cs="Arial"/>
          <w:sz w:val="24"/>
          <w:szCs w:val="24"/>
        </w:rPr>
        <w:t xml:space="preserve"> para delegar </w:t>
      </w:r>
      <w:r w:rsidR="00A41573" w:rsidRPr="003A1174">
        <w:rPr>
          <w:rFonts w:ascii="Garamond" w:hAnsi="Garamond" w:cs="Arial"/>
          <w:sz w:val="24"/>
          <w:szCs w:val="24"/>
        </w:rPr>
        <w:t xml:space="preserve">numa </w:t>
      </w:r>
      <w:r w:rsidR="00FC1F7F" w:rsidRPr="003A1174">
        <w:rPr>
          <w:rFonts w:ascii="Garamond" w:hAnsi="Garamond" w:cs="Arial"/>
          <w:sz w:val="24"/>
          <w:szCs w:val="24"/>
        </w:rPr>
        <w:t>Comissão</w:t>
      </w:r>
      <w:r w:rsidRPr="003A1174">
        <w:rPr>
          <w:rFonts w:ascii="Garamond" w:hAnsi="Garamond" w:cs="Arial"/>
          <w:sz w:val="24"/>
          <w:szCs w:val="24"/>
        </w:rPr>
        <w:t xml:space="preserve"> </w:t>
      </w:r>
      <w:r w:rsidR="002C7510" w:rsidRPr="003A1174">
        <w:rPr>
          <w:rFonts w:ascii="Garamond" w:hAnsi="Garamond" w:cs="Arial"/>
          <w:sz w:val="24"/>
          <w:szCs w:val="24"/>
        </w:rPr>
        <w:t>criada</w:t>
      </w:r>
      <w:r w:rsidRPr="003A1174">
        <w:rPr>
          <w:rFonts w:ascii="Garamond" w:hAnsi="Garamond" w:cs="Arial"/>
          <w:sz w:val="24"/>
          <w:szCs w:val="24"/>
        </w:rPr>
        <w:t xml:space="preserve"> </w:t>
      </w:r>
      <w:r w:rsidR="00C16AF6">
        <w:rPr>
          <w:rFonts w:ascii="Garamond" w:hAnsi="Garamond" w:cs="Arial"/>
          <w:sz w:val="24"/>
          <w:szCs w:val="24"/>
        </w:rPr>
        <w:t>ao abrigo do</w:t>
      </w:r>
      <w:r w:rsidR="00A41573" w:rsidRPr="003A1174">
        <w:rPr>
          <w:rFonts w:ascii="Garamond" w:hAnsi="Garamond" w:cs="Arial"/>
          <w:sz w:val="24"/>
          <w:szCs w:val="24"/>
        </w:rPr>
        <w:t xml:space="preserve"> </w:t>
      </w:r>
      <w:r w:rsidRPr="003A1174">
        <w:rPr>
          <w:rFonts w:ascii="Garamond" w:hAnsi="Garamond" w:cs="Arial"/>
          <w:sz w:val="24"/>
          <w:szCs w:val="24"/>
        </w:rPr>
        <w:t>OE-2003-40</w:t>
      </w:r>
      <w:r w:rsidR="00C16AF6">
        <w:rPr>
          <w:rFonts w:ascii="Garamond" w:hAnsi="Garamond" w:cs="Arial"/>
          <w:sz w:val="24"/>
          <w:szCs w:val="24"/>
        </w:rPr>
        <w:t xml:space="preserve"> o </w:t>
      </w:r>
      <w:r w:rsidR="002F5CD1" w:rsidRPr="003A1174">
        <w:rPr>
          <w:rFonts w:ascii="Garamond" w:hAnsi="Garamond" w:cs="Arial"/>
          <w:sz w:val="24"/>
          <w:szCs w:val="24"/>
        </w:rPr>
        <w:t>estabelec</w:t>
      </w:r>
      <w:r w:rsidR="00C16AF6">
        <w:rPr>
          <w:rFonts w:ascii="Garamond" w:hAnsi="Garamond" w:cs="Arial"/>
          <w:sz w:val="24"/>
          <w:szCs w:val="24"/>
        </w:rPr>
        <w:t>imento de</w:t>
      </w:r>
      <w:r w:rsidR="000123BB">
        <w:rPr>
          <w:rFonts w:ascii="Garamond" w:hAnsi="Garamond" w:cs="Arial"/>
          <w:sz w:val="24"/>
          <w:szCs w:val="24"/>
        </w:rPr>
        <w:t xml:space="preserve"> </w:t>
      </w:r>
      <w:r w:rsidR="00C16AF6">
        <w:rPr>
          <w:rFonts w:ascii="Garamond" w:hAnsi="Garamond" w:cs="Arial"/>
          <w:sz w:val="24"/>
          <w:szCs w:val="24"/>
        </w:rPr>
        <w:t>uma</w:t>
      </w:r>
      <w:r w:rsidRPr="003A1174">
        <w:rPr>
          <w:rFonts w:ascii="Garamond" w:hAnsi="Garamond" w:cs="Arial"/>
          <w:sz w:val="24"/>
          <w:szCs w:val="24"/>
        </w:rPr>
        <w:t xml:space="preserve"> política pública sobre </w:t>
      </w:r>
      <w:r w:rsidR="000350B1" w:rsidRPr="003A1174">
        <w:rPr>
          <w:rFonts w:ascii="Garamond" w:hAnsi="Garamond" w:cs="Arial"/>
          <w:sz w:val="24"/>
          <w:szCs w:val="24"/>
        </w:rPr>
        <w:t>Violência</w:t>
      </w:r>
      <w:r w:rsidRPr="003A1174">
        <w:rPr>
          <w:rFonts w:ascii="Garamond" w:hAnsi="Garamond" w:cs="Arial"/>
          <w:sz w:val="24"/>
          <w:szCs w:val="24"/>
        </w:rPr>
        <w:t xml:space="preserve"> Doméstica </w:t>
      </w:r>
      <w:r w:rsidR="000672E8" w:rsidRPr="003A1174">
        <w:rPr>
          <w:rFonts w:ascii="Garamond" w:hAnsi="Garamond" w:cs="Arial"/>
          <w:sz w:val="24"/>
          <w:szCs w:val="24"/>
        </w:rPr>
        <w:t>e</w:t>
      </w:r>
      <w:r w:rsidRPr="003A1174">
        <w:rPr>
          <w:rFonts w:ascii="Garamond" w:hAnsi="Garamond" w:cs="Arial"/>
          <w:sz w:val="24"/>
          <w:szCs w:val="24"/>
        </w:rPr>
        <w:t xml:space="preserve"> </w:t>
      </w:r>
      <w:r w:rsidR="00A41573" w:rsidRPr="003A1174">
        <w:rPr>
          <w:rFonts w:ascii="Garamond" w:hAnsi="Garamond" w:cs="Arial"/>
          <w:sz w:val="24"/>
          <w:szCs w:val="24"/>
        </w:rPr>
        <w:t xml:space="preserve">o </w:t>
      </w:r>
      <w:r w:rsidR="00D96FD0" w:rsidRPr="003A1174">
        <w:rPr>
          <w:rFonts w:ascii="Garamond" w:hAnsi="Garamond" w:cs="Arial"/>
          <w:sz w:val="24"/>
          <w:szCs w:val="24"/>
        </w:rPr>
        <w:t>cumprimento</w:t>
      </w:r>
      <w:r w:rsidRPr="003A1174">
        <w:rPr>
          <w:rFonts w:ascii="Garamond" w:hAnsi="Garamond" w:cs="Arial"/>
          <w:sz w:val="24"/>
          <w:szCs w:val="24"/>
        </w:rPr>
        <w:t xml:space="preserve"> da </w:t>
      </w:r>
      <w:r w:rsidR="00524936" w:rsidRPr="003A1174">
        <w:rPr>
          <w:rFonts w:ascii="Garamond" w:hAnsi="Garamond" w:cs="Arial"/>
          <w:sz w:val="24"/>
          <w:szCs w:val="24"/>
        </w:rPr>
        <w:t>mesma</w:t>
      </w:r>
      <w:r w:rsidRPr="003A1174">
        <w:rPr>
          <w:rFonts w:ascii="Garamond" w:hAnsi="Garamond" w:cs="Arial"/>
          <w:sz w:val="24"/>
          <w:szCs w:val="24"/>
        </w:rPr>
        <w:t>. Como resultado d</w:t>
      </w:r>
      <w:r w:rsidR="00A41573" w:rsidRPr="003A1174">
        <w:rPr>
          <w:rFonts w:ascii="Garamond" w:hAnsi="Garamond" w:cs="Arial"/>
          <w:sz w:val="24"/>
          <w:szCs w:val="24"/>
        </w:rPr>
        <w:t>e</w:t>
      </w:r>
      <w:r w:rsidRPr="003A1174">
        <w:rPr>
          <w:rFonts w:ascii="Garamond" w:hAnsi="Garamond" w:cs="Arial"/>
          <w:sz w:val="24"/>
          <w:szCs w:val="24"/>
        </w:rPr>
        <w:t xml:space="preserve">stas iniciativas </w:t>
      </w:r>
      <w:r w:rsidR="00A41573" w:rsidRPr="003A1174">
        <w:rPr>
          <w:rFonts w:ascii="Garamond" w:hAnsi="Garamond" w:cs="Arial"/>
          <w:sz w:val="24"/>
          <w:szCs w:val="24"/>
        </w:rPr>
        <w:t>conseguiu-</w:t>
      </w:r>
      <w:r w:rsidRPr="003A1174">
        <w:rPr>
          <w:rFonts w:ascii="Garamond" w:hAnsi="Garamond" w:cs="Arial"/>
          <w:sz w:val="24"/>
          <w:szCs w:val="24"/>
        </w:rPr>
        <w:t>se</w:t>
      </w:r>
      <w:r w:rsidR="00A41573" w:rsidRPr="003A1174">
        <w:rPr>
          <w:rFonts w:ascii="Garamond" w:hAnsi="Garamond" w:cs="Arial"/>
          <w:sz w:val="24"/>
          <w:szCs w:val="24"/>
        </w:rPr>
        <w:t>,</w:t>
      </w:r>
      <w:r w:rsidRPr="003A1174">
        <w:rPr>
          <w:rFonts w:ascii="Garamond" w:hAnsi="Garamond" w:cs="Arial"/>
          <w:sz w:val="24"/>
          <w:szCs w:val="24"/>
        </w:rPr>
        <w:t xml:space="preserve"> </w:t>
      </w:r>
      <w:r w:rsidR="00A41573" w:rsidRPr="003A1174">
        <w:rPr>
          <w:rFonts w:ascii="Garamond" w:hAnsi="Garamond" w:cs="Arial"/>
          <w:sz w:val="24"/>
          <w:szCs w:val="24"/>
        </w:rPr>
        <w:t xml:space="preserve">em </w:t>
      </w:r>
      <w:r w:rsidR="00497503" w:rsidRPr="003A1174">
        <w:rPr>
          <w:rFonts w:ascii="Garamond" w:hAnsi="Garamond" w:cs="Arial"/>
          <w:sz w:val="24"/>
          <w:szCs w:val="24"/>
        </w:rPr>
        <w:t>fevereiro</w:t>
      </w:r>
      <w:r w:rsidRPr="003A1174">
        <w:rPr>
          <w:rFonts w:ascii="Garamond" w:hAnsi="Garamond" w:cs="Arial"/>
          <w:sz w:val="24"/>
          <w:szCs w:val="24"/>
        </w:rPr>
        <w:t xml:space="preserve"> de 2012</w:t>
      </w:r>
      <w:r w:rsidR="00A41573" w:rsidRPr="003A1174">
        <w:rPr>
          <w:rFonts w:ascii="Garamond" w:hAnsi="Garamond" w:cs="Arial"/>
          <w:sz w:val="24"/>
          <w:szCs w:val="24"/>
        </w:rPr>
        <w:t>,</w:t>
      </w:r>
      <w:r w:rsidRPr="003A1174">
        <w:rPr>
          <w:rFonts w:ascii="Garamond" w:hAnsi="Garamond" w:cs="Arial"/>
          <w:sz w:val="24"/>
          <w:szCs w:val="24"/>
        </w:rPr>
        <w:t xml:space="preserve"> concret</w:t>
      </w:r>
      <w:r w:rsidR="00A41573" w:rsidRPr="003A1174">
        <w:rPr>
          <w:rFonts w:ascii="Garamond" w:hAnsi="Garamond" w:cs="Arial"/>
          <w:sz w:val="24"/>
          <w:szCs w:val="24"/>
        </w:rPr>
        <w:t>iz</w:t>
      </w:r>
      <w:r w:rsidRPr="003A1174">
        <w:rPr>
          <w:rFonts w:ascii="Garamond" w:hAnsi="Garamond" w:cs="Arial"/>
          <w:sz w:val="24"/>
          <w:szCs w:val="24"/>
        </w:rPr>
        <w:t xml:space="preserve">ar a </w:t>
      </w:r>
      <w:r w:rsidR="00A41573" w:rsidRPr="003A1174">
        <w:rPr>
          <w:rFonts w:ascii="Garamond" w:hAnsi="Garamond" w:cs="Arial"/>
          <w:sz w:val="24"/>
          <w:szCs w:val="24"/>
        </w:rPr>
        <w:t xml:space="preserve">assinatura do </w:t>
      </w:r>
      <w:r w:rsidRPr="003A1174">
        <w:rPr>
          <w:rFonts w:ascii="Garamond" w:hAnsi="Garamond" w:cs="Arial"/>
          <w:sz w:val="24"/>
          <w:szCs w:val="24"/>
        </w:rPr>
        <w:t>Protoc</w:t>
      </w:r>
      <w:r w:rsidR="00A41573" w:rsidRPr="003A1174">
        <w:rPr>
          <w:rFonts w:ascii="Garamond" w:hAnsi="Garamond" w:cs="Arial"/>
          <w:sz w:val="24"/>
          <w:szCs w:val="24"/>
        </w:rPr>
        <w:t xml:space="preserve">olo Multiagencial para Atender </w:t>
      </w:r>
      <w:r w:rsidRPr="003A1174">
        <w:rPr>
          <w:rFonts w:ascii="Garamond" w:hAnsi="Garamond" w:cs="Arial"/>
          <w:sz w:val="24"/>
          <w:szCs w:val="24"/>
        </w:rPr>
        <w:t xml:space="preserve">os Casos de </w:t>
      </w:r>
      <w:r w:rsidR="000350B1" w:rsidRPr="003A1174">
        <w:rPr>
          <w:rFonts w:ascii="Garamond" w:hAnsi="Garamond" w:cs="Arial"/>
          <w:sz w:val="24"/>
          <w:szCs w:val="24"/>
        </w:rPr>
        <w:t>Violência</w:t>
      </w:r>
      <w:r w:rsidRPr="003A1174">
        <w:rPr>
          <w:rFonts w:ascii="Garamond" w:hAnsi="Garamond" w:cs="Arial"/>
          <w:sz w:val="24"/>
          <w:szCs w:val="24"/>
        </w:rPr>
        <w:t xml:space="preserve"> Doméstica Mediante </w:t>
      </w:r>
      <w:r w:rsidR="00FC1F7F" w:rsidRPr="003A1174">
        <w:rPr>
          <w:rFonts w:ascii="Garamond" w:hAnsi="Garamond" w:cs="Arial"/>
          <w:sz w:val="24"/>
          <w:szCs w:val="24"/>
        </w:rPr>
        <w:t>Supervisão</w:t>
      </w:r>
      <w:r w:rsidRPr="003A1174">
        <w:rPr>
          <w:rFonts w:ascii="Garamond" w:hAnsi="Garamond" w:cs="Arial"/>
          <w:sz w:val="24"/>
          <w:szCs w:val="24"/>
        </w:rPr>
        <w:t xml:space="preserve"> Eletrónica, </w:t>
      </w:r>
      <w:r w:rsidR="00A41573" w:rsidRPr="003A1174">
        <w:rPr>
          <w:rFonts w:ascii="Garamond" w:hAnsi="Garamond" w:cs="Arial"/>
          <w:sz w:val="24"/>
          <w:szCs w:val="24"/>
        </w:rPr>
        <w:t xml:space="preserve">assinadas </w:t>
      </w:r>
      <w:r w:rsidR="00275092" w:rsidRPr="003A1174">
        <w:rPr>
          <w:rFonts w:ascii="Garamond" w:hAnsi="Garamond" w:cs="Arial"/>
          <w:sz w:val="24"/>
          <w:szCs w:val="24"/>
        </w:rPr>
        <w:t>pel</w:t>
      </w:r>
      <w:r w:rsidR="002169EA">
        <w:rPr>
          <w:rFonts w:ascii="Garamond" w:hAnsi="Garamond" w:cs="Arial"/>
          <w:sz w:val="24"/>
          <w:szCs w:val="24"/>
        </w:rPr>
        <w:t>os</w:t>
      </w:r>
      <w:r w:rsidRPr="003A1174">
        <w:rPr>
          <w:rFonts w:ascii="Garamond" w:hAnsi="Garamond" w:cs="Arial"/>
          <w:sz w:val="24"/>
          <w:szCs w:val="24"/>
        </w:rPr>
        <w:t xml:space="preserve"> </w:t>
      </w:r>
      <w:r w:rsidR="00682663" w:rsidRPr="003A1174">
        <w:rPr>
          <w:rFonts w:ascii="Garamond" w:hAnsi="Garamond" w:cs="Arial"/>
          <w:sz w:val="24"/>
          <w:szCs w:val="24"/>
        </w:rPr>
        <w:t>diretores</w:t>
      </w:r>
      <w:r w:rsidRPr="003A1174">
        <w:rPr>
          <w:rFonts w:ascii="Garamond" w:hAnsi="Garamond" w:cs="Arial"/>
          <w:sz w:val="24"/>
          <w:szCs w:val="24"/>
        </w:rPr>
        <w:t xml:space="preserve"> </w:t>
      </w:r>
      <w:r w:rsidR="00497503" w:rsidRPr="003A1174">
        <w:rPr>
          <w:rFonts w:ascii="Garamond" w:hAnsi="Garamond" w:cs="Arial"/>
          <w:sz w:val="24"/>
          <w:szCs w:val="24"/>
        </w:rPr>
        <w:t>d</w:t>
      </w:r>
      <w:r w:rsidR="002169EA">
        <w:rPr>
          <w:rFonts w:ascii="Garamond" w:hAnsi="Garamond" w:cs="Arial"/>
          <w:sz w:val="24"/>
          <w:szCs w:val="24"/>
        </w:rPr>
        <w:t>os</w:t>
      </w:r>
      <w:r w:rsidRPr="003A1174">
        <w:rPr>
          <w:rFonts w:ascii="Garamond" w:hAnsi="Garamond" w:cs="Arial"/>
          <w:sz w:val="24"/>
          <w:szCs w:val="24"/>
        </w:rPr>
        <w:t xml:space="preserve"> </w:t>
      </w:r>
      <w:r w:rsidR="006F7276" w:rsidRPr="003A1174">
        <w:rPr>
          <w:rFonts w:ascii="Garamond" w:hAnsi="Garamond" w:cs="Arial"/>
          <w:sz w:val="24"/>
          <w:szCs w:val="24"/>
        </w:rPr>
        <w:t>seguintes</w:t>
      </w:r>
      <w:r w:rsidRPr="003A1174">
        <w:rPr>
          <w:rFonts w:ascii="Garamond" w:hAnsi="Garamond" w:cs="Arial"/>
          <w:sz w:val="24"/>
          <w:szCs w:val="24"/>
        </w:rPr>
        <w:t xml:space="preserve"> </w:t>
      </w:r>
      <w:r w:rsidR="002169EA">
        <w:rPr>
          <w:rFonts w:ascii="Garamond" w:hAnsi="Garamond" w:cs="Arial"/>
          <w:sz w:val="24"/>
          <w:szCs w:val="24"/>
        </w:rPr>
        <w:t>organismos</w:t>
      </w:r>
      <w:r w:rsidR="00F35E7E" w:rsidRPr="003A1174">
        <w:rPr>
          <w:rFonts w:ascii="Garamond" w:hAnsi="Garamond" w:cs="Arial"/>
          <w:sz w:val="24"/>
          <w:szCs w:val="24"/>
        </w:rPr>
        <w:t xml:space="preserve">: </w:t>
      </w:r>
      <w:r w:rsidR="00682663" w:rsidRPr="003A1174">
        <w:rPr>
          <w:rFonts w:ascii="Garamond" w:hAnsi="Garamond" w:cs="Arial"/>
          <w:sz w:val="24"/>
          <w:szCs w:val="24"/>
        </w:rPr>
        <w:t xml:space="preserve">Gabinete </w:t>
      </w:r>
      <w:r w:rsidRPr="003A1174">
        <w:rPr>
          <w:rFonts w:ascii="Garamond" w:hAnsi="Garamond" w:cs="Arial"/>
          <w:sz w:val="24"/>
          <w:szCs w:val="24"/>
        </w:rPr>
        <w:t xml:space="preserve">de </w:t>
      </w:r>
      <w:r w:rsidR="00B531F2" w:rsidRPr="003A1174">
        <w:rPr>
          <w:rFonts w:ascii="Garamond" w:hAnsi="Garamond" w:cs="Arial"/>
          <w:sz w:val="24"/>
          <w:szCs w:val="24"/>
        </w:rPr>
        <w:t>Serviço</w:t>
      </w:r>
      <w:r w:rsidRPr="003A1174">
        <w:rPr>
          <w:rFonts w:ascii="Garamond" w:hAnsi="Garamond" w:cs="Arial"/>
          <w:sz w:val="24"/>
          <w:szCs w:val="24"/>
        </w:rPr>
        <w:t>s Ante</w:t>
      </w:r>
      <w:r w:rsidR="00C246B4" w:rsidRPr="003A1174">
        <w:rPr>
          <w:rFonts w:ascii="Garamond" w:hAnsi="Garamond" w:cs="Arial"/>
          <w:sz w:val="24"/>
          <w:szCs w:val="24"/>
        </w:rPr>
        <w:t xml:space="preserve">riores ao Julgamento, </w:t>
      </w:r>
      <w:r w:rsidR="00CF42A3" w:rsidRPr="003A1174">
        <w:rPr>
          <w:rFonts w:ascii="Garamond" w:hAnsi="Garamond" w:cs="Arial"/>
          <w:sz w:val="24"/>
          <w:szCs w:val="24"/>
        </w:rPr>
        <w:t>Polícia</w:t>
      </w:r>
      <w:r w:rsidRPr="003A1174">
        <w:rPr>
          <w:rFonts w:ascii="Garamond" w:hAnsi="Garamond" w:cs="Arial"/>
          <w:sz w:val="24"/>
          <w:szCs w:val="24"/>
        </w:rPr>
        <w:t xml:space="preserve"> de </w:t>
      </w:r>
      <w:r w:rsidR="0017447A" w:rsidRPr="003A1174">
        <w:rPr>
          <w:rFonts w:ascii="Garamond" w:hAnsi="Garamond" w:cs="Arial"/>
          <w:sz w:val="24"/>
          <w:szCs w:val="24"/>
        </w:rPr>
        <w:t>Porto</w:t>
      </w:r>
      <w:r w:rsidRPr="003A1174">
        <w:rPr>
          <w:rFonts w:ascii="Garamond" w:hAnsi="Garamond" w:cs="Arial"/>
          <w:sz w:val="24"/>
          <w:szCs w:val="24"/>
        </w:rPr>
        <w:t xml:space="preserve"> Rico, </w:t>
      </w:r>
      <w:r w:rsidR="00C246B4" w:rsidRPr="003A1174">
        <w:rPr>
          <w:rFonts w:ascii="Garamond" w:hAnsi="Garamond" w:cs="Arial"/>
          <w:sz w:val="24"/>
          <w:szCs w:val="24"/>
        </w:rPr>
        <w:t>Gabinete</w:t>
      </w:r>
      <w:r w:rsidRPr="003A1174">
        <w:rPr>
          <w:rFonts w:ascii="Garamond" w:hAnsi="Garamond" w:cs="Arial"/>
          <w:sz w:val="24"/>
          <w:szCs w:val="24"/>
        </w:rPr>
        <w:t xml:space="preserve"> da Procuradora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Departamento de </w:t>
      </w:r>
      <w:r w:rsidR="00C246B4" w:rsidRPr="003A1174">
        <w:rPr>
          <w:rFonts w:ascii="Garamond" w:hAnsi="Garamond" w:cs="Arial"/>
          <w:sz w:val="24"/>
          <w:szCs w:val="24"/>
        </w:rPr>
        <w:t>Correção</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C246B4" w:rsidRPr="003A1174">
        <w:rPr>
          <w:rFonts w:ascii="Garamond" w:hAnsi="Garamond" w:cs="Arial"/>
          <w:sz w:val="24"/>
          <w:szCs w:val="24"/>
        </w:rPr>
        <w:t>Reabilitação</w:t>
      </w:r>
      <w:r w:rsidRPr="003A1174">
        <w:rPr>
          <w:rFonts w:ascii="Garamond" w:hAnsi="Garamond" w:cs="Arial"/>
          <w:sz w:val="24"/>
          <w:szCs w:val="24"/>
        </w:rPr>
        <w:t xml:space="preserve">, Departamento de </w:t>
      </w:r>
      <w:r w:rsidR="00FC1F7F" w:rsidRPr="003A1174">
        <w:rPr>
          <w:rFonts w:ascii="Garamond" w:hAnsi="Garamond" w:cs="Arial"/>
          <w:sz w:val="24"/>
          <w:szCs w:val="24"/>
        </w:rPr>
        <w:t>Justiça</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Sistema de </w:t>
      </w:r>
      <w:r w:rsidR="009E3E55" w:rsidRPr="003A1174">
        <w:rPr>
          <w:rFonts w:ascii="Garamond" w:hAnsi="Garamond" w:cs="Arial"/>
          <w:sz w:val="24"/>
          <w:szCs w:val="24"/>
        </w:rPr>
        <w:t>Emergência</w:t>
      </w:r>
      <w:r w:rsidRPr="003A1174">
        <w:rPr>
          <w:rFonts w:ascii="Garamond" w:hAnsi="Garamond" w:cs="Arial"/>
          <w:sz w:val="24"/>
          <w:szCs w:val="24"/>
        </w:rPr>
        <w:t xml:space="preserve"> 9-1-1.</w:t>
      </w:r>
      <w:r w:rsidR="00F35E7E" w:rsidRPr="003A1174">
        <w:rPr>
          <w:rFonts w:ascii="Garamond" w:hAnsi="Garamond" w:cs="Arial"/>
          <w:sz w:val="24"/>
          <w:szCs w:val="24"/>
        </w:rPr>
        <w:t xml:space="preserve"> </w:t>
      </w:r>
      <w:r w:rsidRPr="003A1174">
        <w:rPr>
          <w:rFonts w:ascii="Garamond" w:hAnsi="Garamond" w:cs="Arial"/>
          <w:sz w:val="24"/>
          <w:szCs w:val="24"/>
        </w:rPr>
        <w:t>Co</w:t>
      </w:r>
      <w:r w:rsidR="00C246B4" w:rsidRPr="003A1174">
        <w:rPr>
          <w:rFonts w:ascii="Garamond" w:hAnsi="Garamond" w:cs="Arial"/>
          <w:sz w:val="24"/>
          <w:szCs w:val="24"/>
        </w:rPr>
        <w:t xml:space="preserve">m o </w:t>
      </w:r>
      <w:r w:rsidRPr="003A1174">
        <w:rPr>
          <w:rFonts w:ascii="Garamond" w:hAnsi="Garamond" w:cs="Arial"/>
          <w:sz w:val="24"/>
          <w:szCs w:val="24"/>
        </w:rPr>
        <w:t xml:space="preserve">propósito de orientar, </w:t>
      </w:r>
      <w:r w:rsidR="002169EA" w:rsidRPr="003A1174">
        <w:rPr>
          <w:rFonts w:ascii="Garamond" w:hAnsi="Garamond" w:cs="Arial"/>
          <w:sz w:val="24"/>
          <w:szCs w:val="24"/>
        </w:rPr>
        <w:t xml:space="preserve">as vítimas de violência doméstica </w:t>
      </w:r>
      <w:r w:rsidR="002169EA">
        <w:rPr>
          <w:rFonts w:ascii="Garamond" w:hAnsi="Garamond" w:cs="Arial"/>
          <w:sz w:val="24"/>
          <w:szCs w:val="24"/>
        </w:rPr>
        <w:t xml:space="preserve">de uma forma </w:t>
      </w:r>
      <w:r w:rsidRPr="003A1174">
        <w:rPr>
          <w:rFonts w:ascii="Garamond" w:hAnsi="Garamond" w:cs="Arial"/>
          <w:sz w:val="24"/>
          <w:szCs w:val="24"/>
        </w:rPr>
        <w:t>a</w:t>
      </w:r>
      <w:r w:rsidR="00C246B4" w:rsidRPr="003A1174">
        <w:rPr>
          <w:rFonts w:ascii="Garamond" w:hAnsi="Garamond" w:cs="Arial"/>
          <w:sz w:val="24"/>
          <w:szCs w:val="24"/>
        </w:rPr>
        <w:t>s</w:t>
      </w:r>
      <w:r w:rsidRPr="003A1174">
        <w:rPr>
          <w:rFonts w:ascii="Garamond" w:hAnsi="Garamond" w:cs="Arial"/>
          <w:sz w:val="24"/>
          <w:szCs w:val="24"/>
        </w:rPr>
        <w:t xml:space="preserve">sertiva </w:t>
      </w:r>
      <w:r w:rsidR="000672E8" w:rsidRPr="003A1174">
        <w:rPr>
          <w:rFonts w:ascii="Garamond" w:hAnsi="Garamond" w:cs="Arial"/>
          <w:sz w:val="24"/>
          <w:szCs w:val="24"/>
        </w:rPr>
        <w:t>e</w:t>
      </w:r>
      <w:r w:rsidRPr="003A1174">
        <w:rPr>
          <w:rFonts w:ascii="Garamond" w:hAnsi="Garamond" w:cs="Arial"/>
          <w:sz w:val="24"/>
          <w:szCs w:val="24"/>
        </w:rPr>
        <w:t xml:space="preserve"> oportuna, </w:t>
      </w:r>
      <w:r w:rsidR="00C246B4" w:rsidRPr="003A1174">
        <w:rPr>
          <w:rFonts w:ascii="Garamond" w:hAnsi="Garamond" w:cs="Arial"/>
          <w:sz w:val="24"/>
          <w:szCs w:val="24"/>
        </w:rPr>
        <w:t xml:space="preserve">sobre </w:t>
      </w:r>
      <w:r w:rsidRPr="003A1174">
        <w:rPr>
          <w:rFonts w:ascii="Garamond" w:hAnsi="Garamond" w:cs="Arial"/>
          <w:sz w:val="24"/>
          <w:szCs w:val="24"/>
        </w:rPr>
        <w:t xml:space="preserve">os </w:t>
      </w:r>
      <w:r w:rsidR="00886D6A" w:rsidRPr="003A1174">
        <w:rPr>
          <w:rFonts w:ascii="Garamond" w:hAnsi="Garamond" w:cs="Arial"/>
          <w:sz w:val="24"/>
          <w:szCs w:val="24"/>
        </w:rPr>
        <w:t>direito</w:t>
      </w:r>
      <w:r w:rsidRPr="003A1174">
        <w:rPr>
          <w:rFonts w:ascii="Garamond" w:hAnsi="Garamond" w:cs="Arial"/>
          <w:sz w:val="24"/>
          <w:szCs w:val="24"/>
        </w:rPr>
        <w:t>s que l</w:t>
      </w:r>
      <w:r w:rsidR="00C246B4" w:rsidRPr="003A1174">
        <w:rPr>
          <w:rFonts w:ascii="Garamond" w:hAnsi="Garamond" w:cs="Arial"/>
          <w:sz w:val="24"/>
          <w:szCs w:val="24"/>
        </w:rPr>
        <w:t>h</w:t>
      </w:r>
      <w:r w:rsidRPr="003A1174">
        <w:rPr>
          <w:rFonts w:ascii="Garamond" w:hAnsi="Garamond" w:cs="Arial"/>
          <w:sz w:val="24"/>
          <w:szCs w:val="24"/>
        </w:rPr>
        <w:t>e</w:t>
      </w:r>
      <w:r w:rsidR="00C246B4" w:rsidRPr="003A1174">
        <w:rPr>
          <w:rFonts w:ascii="Garamond" w:hAnsi="Garamond" w:cs="Arial"/>
          <w:sz w:val="24"/>
          <w:szCs w:val="24"/>
        </w:rPr>
        <w:t>s</w:t>
      </w:r>
      <w:r w:rsidRPr="003A1174">
        <w:rPr>
          <w:rFonts w:ascii="Garamond" w:hAnsi="Garamond" w:cs="Arial"/>
          <w:sz w:val="24"/>
          <w:szCs w:val="24"/>
        </w:rPr>
        <w:t xml:space="preserve"> a</w:t>
      </w:r>
      <w:r w:rsidR="00C246B4" w:rsidRPr="003A1174">
        <w:rPr>
          <w:rFonts w:ascii="Garamond" w:hAnsi="Garamond" w:cs="Arial"/>
          <w:sz w:val="24"/>
          <w:szCs w:val="24"/>
        </w:rPr>
        <w:t>s</w:t>
      </w:r>
      <w:r w:rsidRPr="003A1174">
        <w:rPr>
          <w:rFonts w:ascii="Garamond" w:hAnsi="Garamond" w:cs="Arial"/>
          <w:sz w:val="24"/>
          <w:szCs w:val="24"/>
        </w:rPr>
        <w:t>siste</w:t>
      </w:r>
      <w:r w:rsidR="00C246B4" w:rsidRPr="003A1174">
        <w:rPr>
          <w:rFonts w:ascii="Garamond" w:hAnsi="Garamond" w:cs="Arial"/>
          <w:sz w:val="24"/>
          <w:szCs w:val="24"/>
        </w:rPr>
        <w:t xml:space="preserve">m, </w:t>
      </w:r>
      <w:r w:rsidRPr="003A1174">
        <w:rPr>
          <w:rFonts w:ascii="Garamond" w:hAnsi="Garamond" w:cs="Arial"/>
          <w:sz w:val="24"/>
          <w:szCs w:val="24"/>
        </w:rPr>
        <w:t xml:space="preserve">os </w:t>
      </w:r>
      <w:r w:rsidR="00B531F2" w:rsidRPr="003A1174">
        <w:rPr>
          <w:rFonts w:ascii="Garamond" w:hAnsi="Garamond" w:cs="Arial"/>
          <w:sz w:val="24"/>
          <w:szCs w:val="24"/>
        </w:rPr>
        <w:t>serviço</w:t>
      </w:r>
      <w:r w:rsidRPr="003A1174">
        <w:rPr>
          <w:rFonts w:ascii="Garamond" w:hAnsi="Garamond" w:cs="Arial"/>
          <w:sz w:val="24"/>
          <w:szCs w:val="24"/>
        </w:rPr>
        <w:t xml:space="preserve">s </w:t>
      </w:r>
      <w:r w:rsidR="00C246B4" w:rsidRPr="003A1174">
        <w:rPr>
          <w:rFonts w:ascii="Garamond" w:hAnsi="Garamond" w:cs="Arial"/>
          <w:sz w:val="24"/>
          <w:szCs w:val="24"/>
        </w:rPr>
        <w:t>disponíveis</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C246B4" w:rsidRPr="003A1174">
        <w:rPr>
          <w:rFonts w:ascii="Garamond" w:hAnsi="Garamond" w:cs="Arial"/>
          <w:sz w:val="24"/>
          <w:szCs w:val="24"/>
        </w:rPr>
        <w:t>o</w:t>
      </w:r>
      <w:r w:rsidRPr="003A1174">
        <w:rPr>
          <w:rFonts w:ascii="Garamond" w:hAnsi="Garamond" w:cs="Arial"/>
          <w:sz w:val="24"/>
          <w:szCs w:val="24"/>
        </w:rPr>
        <w:t xml:space="preserve"> </w:t>
      </w:r>
      <w:r w:rsidR="002D1021" w:rsidRPr="003A1174">
        <w:rPr>
          <w:rFonts w:ascii="Garamond" w:hAnsi="Garamond" w:cs="Arial"/>
          <w:sz w:val="24"/>
          <w:szCs w:val="24"/>
        </w:rPr>
        <w:t>processo</w:t>
      </w:r>
      <w:r w:rsidRPr="003A1174">
        <w:rPr>
          <w:rFonts w:ascii="Garamond" w:hAnsi="Garamond" w:cs="Arial"/>
          <w:sz w:val="24"/>
          <w:szCs w:val="24"/>
        </w:rPr>
        <w:t xml:space="preserve"> judicial que </w:t>
      </w:r>
      <w:r w:rsidR="00C246B4" w:rsidRPr="003A1174">
        <w:rPr>
          <w:rFonts w:ascii="Garamond" w:hAnsi="Garamond" w:cs="Arial"/>
          <w:sz w:val="24"/>
          <w:szCs w:val="24"/>
        </w:rPr>
        <w:t xml:space="preserve">irão </w:t>
      </w:r>
      <w:r w:rsidRPr="003A1174">
        <w:rPr>
          <w:rFonts w:ascii="Garamond" w:hAnsi="Garamond" w:cs="Arial"/>
          <w:sz w:val="24"/>
          <w:szCs w:val="24"/>
        </w:rPr>
        <w:t>enfrenta</w:t>
      </w:r>
      <w:r w:rsidR="00C246B4" w:rsidRPr="003A1174">
        <w:rPr>
          <w:rFonts w:ascii="Garamond" w:hAnsi="Garamond" w:cs="Arial"/>
          <w:sz w:val="24"/>
          <w:szCs w:val="24"/>
        </w:rPr>
        <w:t>r</w:t>
      </w:r>
      <w:r w:rsidRPr="003A1174">
        <w:rPr>
          <w:rFonts w:ascii="Garamond" w:hAnsi="Garamond" w:cs="Arial"/>
          <w:sz w:val="24"/>
          <w:szCs w:val="24"/>
        </w:rPr>
        <w:t xml:space="preserve">, </w:t>
      </w:r>
      <w:r w:rsidR="000464C8" w:rsidRPr="003A1174">
        <w:rPr>
          <w:rFonts w:ascii="Garamond" w:hAnsi="Garamond" w:cs="Arial"/>
          <w:sz w:val="24"/>
          <w:szCs w:val="24"/>
        </w:rPr>
        <w:t>assim</w:t>
      </w:r>
      <w:r w:rsidRPr="003A1174">
        <w:rPr>
          <w:rFonts w:ascii="Garamond" w:hAnsi="Garamond" w:cs="Arial"/>
          <w:sz w:val="24"/>
          <w:szCs w:val="24"/>
        </w:rPr>
        <w:t xml:space="preserve"> como </w:t>
      </w:r>
      <w:r w:rsidR="002F5CD1" w:rsidRPr="003A1174">
        <w:rPr>
          <w:rFonts w:ascii="Garamond" w:hAnsi="Garamond" w:cs="Arial"/>
          <w:sz w:val="24"/>
          <w:szCs w:val="24"/>
        </w:rPr>
        <w:t>estabelecer</w:t>
      </w:r>
      <w:r w:rsidRPr="003A1174">
        <w:rPr>
          <w:rFonts w:ascii="Garamond" w:hAnsi="Garamond" w:cs="Arial"/>
          <w:sz w:val="24"/>
          <w:szCs w:val="24"/>
        </w:rPr>
        <w:t xml:space="preserve"> u</w:t>
      </w:r>
      <w:r w:rsidR="00C246B4" w:rsidRPr="003A1174">
        <w:rPr>
          <w:rFonts w:ascii="Garamond" w:hAnsi="Garamond" w:cs="Arial"/>
          <w:sz w:val="24"/>
          <w:szCs w:val="24"/>
        </w:rPr>
        <w:t>m intercâ</w:t>
      </w:r>
      <w:r w:rsidRPr="003A1174">
        <w:rPr>
          <w:rFonts w:ascii="Garamond" w:hAnsi="Garamond" w:cs="Arial"/>
          <w:sz w:val="24"/>
          <w:szCs w:val="24"/>
        </w:rPr>
        <w:t xml:space="preserve">mbio </w:t>
      </w:r>
      <w:r w:rsidR="00802ACC" w:rsidRPr="003A1174">
        <w:rPr>
          <w:rFonts w:ascii="Garamond" w:hAnsi="Garamond" w:cs="Arial"/>
          <w:sz w:val="24"/>
          <w:szCs w:val="24"/>
        </w:rPr>
        <w:t>efetivo</w:t>
      </w:r>
      <w:r w:rsidRPr="003A1174">
        <w:rPr>
          <w:rFonts w:ascii="Garamond" w:hAnsi="Garamond" w:cs="Arial"/>
          <w:sz w:val="24"/>
          <w:szCs w:val="24"/>
        </w:rPr>
        <w:t xml:space="preserve"> de </w:t>
      </w:r>
      <w:r w:rsidR="0017447A" w:rsidRPr="003A1174">
        <w:rPr>
          <w:rFonts w:ascii="Garamond" w:hAnsi="Garamond" w:cs="Arial"/>
          <w:sz w:val="24"/>
          <w:szCs w:val="24"/>
        </w:rPr>
        <w:t>informação</w:t>
      </w:r>
      <w:r w:rsidR="00C246B4" w:rsidRPr="003A1174">
        <w:rPr>
          <w:rFonts w:ascii="Garamond" w:hAnsi="Garamond" w:cs="Arial"/>
          <w:sz w:val="24"/>
          <w:szCs w:val="24"/>
        </w:rPr>
        <w:t xml:space="preserve"> entre </w:t>
      </w:r>
      <w:r w:rsidRPr="003A1174">
        <w:rPr>
          <w:rFonts w:ascii="Garamond" w:hAnsi="Garamond" w:cs="Arial"/>
          <w:sz w:val="24"/>
          <w:szCs w:val="24"/>
        </w:rPr>
        <w:t xml:space="preserve">os componentes </w:t>
      </w:r>
      <w:r w:rsidR="00E85E59" w:rsidRPr="003A1174">
        <w:rPr>
          <w:rFonts w:ascii="Garamond" w:hAnsi="Garamond" w:cs="Arial"/>
          <w:sz w:val="24"/>
          <w:szCs w:val="24"/>
        </w:rPr>
        <w:t>do</w:t>
      </w:r>
      <w:r w:rsidRPr="003A1174">
        <w:rPr>
          <w:rFonts w:ascii="Garamond" w:hAnsi="Garamond" w:cs="Arial"/>
          <w:sz w:val="24"/>
          <w:szCs w:val="24"/>
        </w:rPr>
        <w:t xml:space="preserve"> sistema de </w:t>
      </w:r>
      <w:r w:rsidR="00FC1F7F" w:rsidRPr="003A1174">
        <w:rPr>
          <w:rFonts w:ascii="Garamond" w:hAnsi="Garamond" w:cs="Arial"/>
          <w:sz w:val="24"/>
          <w:szCs w:val="24"/>
        </w:rPr>
        <w:t>justiça</w:t>
      </w:r>
      <w:r w:rsidR="00C246B4" w:rsidRPr="003A1174">
        <w:rPr>
          <w:rFonts w:ascii="Garamond" w:hAnsi="Garamond" w:cs="Arial"/>
          <w:sz w:val="24"/>
          <w:szCs w:val="24"/>
        </w:rPr>
        <w:t xml:space="preserve"> para um</w:t>
      </w:r>
      <w:r w:rsidRPr="003A1174">
        <w:rPr>
          <w:rFonts w:ascii="Garamond" w:hAnsi="Garamond" w:cs="Arial"/>
          <w:sz w:val="24"/>
          <w:szCs w:val="24"/>
        </w:rPr>
        <w:t xml:space="preserve">a </w:t>
      </w:r>
      <w:r w:rsidR="00976FB8" w:rsidRPr="003A1174">
        <w:rPr>
          <w:rFonts w:ascii="Garamond" w:hAnsi="Garamond" w:cs="Arial"/>
          <w:sz w:val="24"/>
          <w:szCs w:val="24"/>
        </w:rPr>
        <w:t>intervenção</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7578C6" w:rsidRPr="003A1174">
        <w:rPr>
          <w:rFonts w:ascii="Garamond" w:hAnsi="Garamond" w:cs="Arial"/>
          <w:sz w:val="24"/>
          <w:szCs w:val="24"/>
        </w:rPr>
        <w:t>prevenção</w:t>
      </w:r>
      <w:r w:rsidRPr="003A1174">
        <w:rPr>
          <w:rFonts w:ascii="Garamond" w:hAnsi="Garamond" w:cs="Arial"/>
          <w:sz w:val="24"/>
          <w:szCs w:val="24"/>
        </w:rPr>
        <w:t xml:space="preserve"> </w:t>
      </w:r>
      <w:r w:rsidR="00D84A9F" w:rsidRPr="003A1174">
        <w:rPr>
          <w:rFonts w:ascii="Garamond" w:hAnsi="Garamond" w:cs="Arial"/>
          <w:sz w:val="24"/>
          <w:szCs w:val="24"/>
        </w:rPr>
        <w:t>efetiva</w:t>
      </w:r>
      <w:r w:rsidRPr="003A1174">
        <w:rPr>
          <w:rFonts w:ascii="Garamond" w:hAnsi="Garamond" w:cs="Arial"/>
          <w:sz w:val="24"/>
          <w:szCs w:val="24"/>
        </w:rPr>
        <w:t xml:space="preserve">, </w:t>
      </w:r>
      <w:r w:rsidR="00C246B4" w:rsidRPr="003A1174">
        <w:rPr>
          <w:rFonts w:ascii="Garamond" w:hAnsi="Garamond" w:cs="Arial"/>
          <w:sz w:val="24"/>
          <w:szCs w:val="24"/>
        </w:rPr>
        <w:t xml:space="preserve">promulgou-se em </w:t>
      </w:r>
      <w:r w:rsidRPr="003A1174">
        <w:rPr>
          <w:rFonts w:ascii="Garamond" w:hAnsi="Garamond" w:cs="Arial"/>
          <w:sz w:val="24"/>
          <w:szCs w:val="24"/>
        </w:rPr>
        <w:t xml:space="preserve">2013 </w:t>
      </w:r>
      <w:r w:rsidR="00C246B4" w:rsidRPr="003A1174">
        <w:rPr>
          <w:rFonts w:ascii="Garamond" w:hAnsi="Garamond" w:cs="Arial"/>
          <w:sz w:val="24"/>
          <w:szCs w:val="24"/>
        </w:rPr>
        <w:t xml:space="preserve">o </w:t>
      </w:r>
      <w:r w:rsidR="002169EA">
        <w:rPr>
          <w:rFonts w:ascii="Garamond" w:hAnsi="Garamond" w:cs="Arial"/>
          <w:sz w:val="24"/>
          <w:szCs w:val="24"/>
        </w:rPr>
        <w:t>«</w:t>
      </w:r>
      <w:r w:rsidRPr="003A1174">
        <w:rPr>
          <w:rFonts w:ascii="Garamond" w:hAnsi="Garamond" w:cs="Arial"/>
          <w:sz w:val="24"/>
          <w:szCs w:val="24"/>
        </w:rPr>
        <w:t xml:space="preserve">Protocolo Interagencial para </w:t>
      </w:r>
      <w:r w:rsidR="00C246B4" w:rsidRPr="003A1174">
        <w:rPr>
          <w:rFonts w:ascii="Garamond" w:hAnsi="Garamond" w:cs="Arial"/>
          <w:sz w:val="24"/>
          <w:szCs w:val="24"/>
        </w:rPr>
        <w:t>Fornecer</w:t>
      </w:r>
      <w:r w:rsidRPr="003A1174">
        <w:rPr>
          <w:rFonts w:ascii="Garamond" w:hAnsi="Garamond" w:cs="Arial"/>
          <w:sz w:val="24"/>
          <w:szCs w:val="24"/>
        </w:rPr>
        <w:t xml:space="preserve"> </w:t>
      </w:r>
      <w:r w:rsidR="00081B57" w:rsidRPr="003A1174">
        <w:rPr>
          <w:rFonts w:ascii="Garamond" w:hAnsi="Garamond" w:cs="Arial"/>
          <w:sz w:val="24"/>
          <w:szCs w:val="24"/>
        </w:rPr>
        <w:t>Orientação</w:t>
      </w:r>
      <w:r w:rsidRPr="003A1174">
        <w:rPr>
          <w:rFonts w:ascii="Garamond" w:hAnsi="Garamond" w:cs="Arial"/>
          <w:sz w:val="24"/>
          <w:szCs w:val="24"/>
        </w:rPr>
        <w:t xml:space="preserve"> a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Pr="003A1174">
        <w:rPr>
          <w:rFonts w:ascii="Garamond" w:hAnsi="Garamond" w:cs="Arial"/>
          <w:sz w:val="24"/>
          <w:szCs w:val="24"/>
        </w:rPr>
        <w:t xml:space="preserve"> Doméstica </w:t>
      </w:r>
      <w:r w:rsidR="000672E8" w:rsidRPr="003A1174">
        <w:rPr>
          <w:rFonts w:ascii="Garamond" w:hAnsi="Garamond" w:cs="Arial"/>
          <w:sz w:val="24"/>
          <w:szCs w:val="24"/>
        </w:rPr>
        <w:t>e</w:t>
      </w:r>
      <w:r w:rsidRPr="003A1174">
        <w:rPr>
          <w:rFonts w:ascii="Garamond" w:hAnsi="Garamond" w:cs="Arial"/>
          <w:sz w:val="24"/>
          <w:szCs w:val="24"/>
        </w:rPr>
        <w:t xml:space="preserve"> </w:t>
      </w:r>
      <w:r w:rsidR="00FC4A4E" w:rsidRPr="003A1174">
        <w:rPr>
          <w:rFonts w:ascii="Garamond" w:hAnsi="Garamond" w:cs="Arial"/>
          <w:sz w:val="24"/>
          <w:szCs w:val="24"/>
        </w:rPr>
        <w:t>Coordenar</w:t>
      </w:r>
      <w:r w:rsidR="00C246B4" w:rsidRPr="003A1174">
        <w:rPr>
          <w:rFonts w:ascii="Garamond" w:hAnsi="Garamond" w:cs="Arial"/>
          <w:sz w:val="24"/>
          <w:szCs w:val="24"/>
        </w:rPr>
        <w:t xml:space="preserve"> Intercâ</w:t>
      </w:r>
      <w:r w:rsidRPr="003A1174">
        <w:rPr>
          <w:rFonts w:ascii="Garamond" w:hAnsi="Garamond" w:cs="Arial"/>
          <w:sz w:val="24"/>
          <w:szCs w:val="24"/>
        </w:rPr>
        <w:t xml:space="preserve">mbio de </w:t>
      </w:r>
      <w:r w:rsidR="0017447A" w:rsidRPr="003A1174">
        <w:rPr>
          <w:rFonts w:ascii="Garamond" w:hAnsi="Garamond" w:cs="Arial"/>
          <w:sz w:val="24"/>
          <w:szCs w:val="24"/>
        </w:rPr>
        <w:t>Informação</w:t>
      </w:r>
      <w:r w:rsidR="002169EA">
        <w:rPr>
          <w:rFonts w:ascii="Garamond" w:hAnsi="Garamond" w:cs="Arial"/>
          <w:sz w:val="24"/>
          <w:szCs w:val="24"/>
        </w:rPr>
        <w:t>»</w:t>
      </w:r>
      <w:r w:rsidR="00C246B4" w:rsidRPr="003A1174">
        <w:rPr>
          <w:rFonts w:ascii="Garamond" w:hAnsi="Garamond" w:cs="Arial"/>
          <w:sz w:val="24"/>
          <w:szCs w:val="24"/>
        </w:rPr>
        <w:t xml:space="preserve">. </w:t>
      </w:r>
      <w:r w:rsidR="00AE7513" w:rsidRPr="003A1174">
        <w:rPr>
          <w:rFonts w:ascii="Garamond" w:hAnsi="Garamond" w:cs="Arial"/>
          <w:sz w:val="24"/>
          <w:szCs w:val="24"/>
        </w:rPr>
        <w:t>A</w:t>
      </w:r>
      <w:r w:rsidR="00C246B4" w:rsidRPr="003A1174">
        <w:rPr>
          <w:rFonts w:ascii="Garamond" w:hAnsi="Garamond" w:cs="Arial"/>
          <w:sz w:val="24"/>
          <w:szCs w:val="24"/>
        </w:rPr>
        <w:t xml:space="preserve">lém das </w:t>
      </w:r>
      <w:r w:rsidR="00EC2E68" w:rsidRPr="003A1174">
        <w:rPr>
          <w:rFonts w:ascii="Garamond" w:hAnsi="Garamond" w:cs="Arial"/>
          <w:sz w:val="24"/>
          <w:szCs w:val="24"/>
        </w:rPr>
        <w:t>agência</w:t>
      </w:r>
      <w:r w:rsidRPr="003A1174">
        <w:rPr>
          <w:rFonts w:ascii="Garamond" w:hAnsi="Garamond" w:cs="Arial"/>
          <w:sz w:val="24"/>
          <w:szCs w:val="24"/>
        </w:rPr>
        <w:t xml:space="preserve">s </w:t>
      </w:r>
      <w:r w:rsidR="00100435" w:rsidRPr="003A1174">
        <w:rPr>
          <w:rFonts w:ascii="Garamond" w:hAnsi="Garamond" w:cs="Arial"/>
          <w:sz w:val="24"/>
          <w:szCs w:val="24"/>
        </w:rPr>
        <w:t>governamentais</w:t>
      </w:r>
      <w:r w:rsidRPr="003A1174">
        <w:rPr>
          <w:rFonts w:ascii="Garamond" w:hAnsi="Garamond" w:cs="Arial"/>
          <w:sz w:val="24"/>
          <w:szCs w:val="24"/>
        </w:rPr>
        <w:t xml:space="preserve"> </w:t>
      </w:r>
      <w:r w:rsidR="00C246B4" w:rsidRPr="003A1174">
        <w:rPr>
          <w:rFonts w:ascii="Garamond" w:hAnsi="Garamond" w:cs="Arial"/>
          <w:sz w:val="24"/>
          <w:szCs w:val="24"/>
        </w:rPr>
        <w:t>que o assinaram</w:t>
      </w:r>
      <w:r w:rsidRPr="003A1174">
        <w:rPr>
          <w:rFonts w:ascii="Garamond" w:hAnsi="Garamond" w:cs="Arial"/>
          <w:sz w:val="24"/>
          <w:szCs w:val="24"/>
        </w:rPr>
        <w:t xml:space="preserve">, </w:t>
      </w:r>
      <w:r w:rsidR="00AE7513" w:rsidRPr="003A1174">
        <w:rPr>
          <w:rFonts w:ascii="Garamond" w:hAnsi="Garamond" w:cs="Arial"/>
          <w:sz w:val="24"/>
          <w:szCs w:val="24"/>
        </w:rPr>
        <w:t xml:space="preserve">este protocolo </w:t>
      </w:r>
      <w:r w:rsidR="00C246B4" w:rsidRPr="003A1174">
        <w:rPr>
          <w:rFonts w:ascii="Garamond" w:hAnsi="Garamond" w:cs="Arial"/>
          <w:sz w:val="24"/>
          <w:szCs w:val="24"/>
        </w:rPr>
        <w:t>foi assinado</w:t>
      </w:r>
      <w:r w:rsidR="00AE7513" w:rsidRPr="003A1174">
        <w:rPr>
          <w:rFonts w:ascii="Garamond" w:hAnsi="Garamond" w:cs="Arial"/>
          <w:sz w:val="24"/>
          <w:szCs w:val="24"/>
        </w:rPr>
        <w:t xml:space="preserve"> p</w:t>
      </w:r>
      <w:r w:rsidR="002169EA">
        <w:rPr>
          <w:rFonts w:ascii="Garamond" w:hAnsi="Garamond" w:cs="Arial"/>
          <w:sz w:val="24"/>
          <w:szCs w:val="24"/>
        </w:rPr>
        <w:t>elo</w:t>
      </w:r>
      <w:r w:rsidR="00C246B4" w:rsidRPr="003A1174">
        <w:rPr>
          <w:rFonts w:ascii="Garamond" w:hAnsi="Garamond" w:cs="Arial"/>
          <w:sz w:val="24"/>
          <w:szCs w:val="24"/>
        </w:rPr>
        <w:t xml:space="preserve"> </w:t>
      </w:r>
      <w:r w:rsidRPr="003A1174">
        <w:rPr>
          <w:rFonts w:ascii="Garamond" w:hAnsi="Garamond" w:cs="Arial"/>
          <w:sz w:val="24"/>
          <w:szCs w:val="24"/>
        </w:rPr>
        <w:t xml:space="preserve">Departamento de </w:t>
      </w:r>
      <w:r w:rsidR="007C63D0" w:rsidRPr="003A1174">
        <w:rPr>
          <w:rFonts w:ascii="Garamond" w:hAnsi="Garamond" w:cs="Arial"/>
          <w:sz w:val="24"/>
          <w:szCs w:val="24"/>
        </w:rPr>
        <w:t>Saúde</w:t>
      </w:r>
      <w:r w:rsidR="00C246B4" w:rsidRPr="003A1174">
        <w:rPr>
          <w:rFonts w:ascii="Garamond" w:hAnsi="Garamond" w:cs="Arial"/>
          <w:sz w:val="24"/>
          <w:szCs w:val="24"/>
        </w:rPr>
        <w:t xml:space="preserve">, </w:t>
      </w:r>
      <w:r w:rsidR="002169EA">
        <w:rPr>
          <w:rFonts w:ascii="Garamond" w:hAnsi="Garamond" w:cs="Arial"/>
          <w:sz w:val="24"/>
          <w:szCs w:val="24"/>
        </w:rPr>
        <w:t>pela</w:t>
      </w:r>
      <w:r w:rsidRPr="003A1174">
        <w:rPr>
          <w:rFonts w:ascii="Garamond" w:hAnsi="Garamond" w:cs="Arial"/>
          <w:sz w:val="24"/>
          <w:szCs w:val="24"/>
        </w:rPr>
        <w:t xml:space="preserve"> Junta de </w:t>
      </w:r>
      <w:r w:rsidR="001B02AD" w:rsidRPr="003A1174">
        <w:rPr>
          <w:rFonts w:ascii="Garamond" w:hAnsi="Garamond" w:cs="Arial"/>
          <w:sz w:val="24"/>
          <w:szCs w:val="24"/>
        </w:rPr>
        <w:t>Liberdade</w:t>
      </w:r>
      <w:r w:rsidRPr="003A1174">
        <w:rPr>
          <w:rFonts w:ascii="Garamond" w:hAnsi="Garamond" w:cs="Arial"/>
          <w:sz w:val="24"/>
          <w:szCs w:val="24"/>
        </w:rPr>
        <w:t xml:space="preserve"> </w:t>
      </w:r>
      <w:r w:rsidR="00C246B4" w:rsidRPr="003A1174">
        <w:rPr>
          <w:rFonts w:ascii="Garamond" w:hAnsi="Garamond" w:cs="Arial"/>
          <w:sz w:val="24"/>
          <w:szCs w:val="24"/>
        </w:rPr>
        <w:t xml:space="preserve">Sob </w:t>
      </w:r>
      <w:r w:rsidR="00B531F2" w:rsidRPr="003A1174">
        <w:rPr>
          <w:rFonts w:ascii="Garamond" w:hAnsi="Garamond" w:cs="Arial"/>
          <w:sz w:val="24"/>
          <w:szCs w:val="24"/>
        </w:rPr>
        <w:t>Palavra</w:t>
      </w:r>
      <w:r w:rsidRPr="003A1174">
        <w:rPr>
          <w:rFonts w:ascii="Garamond" w:hAnsi="Garamond" w:cs="Arial"/>
          <w:sz w:val="24"/>
          <w:szCs w:val="24"/>
        </w:rPr>
        <w:t xml:space="preserve">, </w:t>
      </w:r>
      <w:r w:rsidR="002169EA">
        <w:rPr>
          <w:rFonts w:ascii="Garamond" w:hAnsi="Garamond" w:cs="Arial"/>
          <w:sz w:val="24"/>
          <w:szCs w:val="24"/>
        </w:rPr>
        <w:t>pelo</w:t>
      </w:r>
      <w:r w:rsidRPr="003A1174">
        <w:rPr>
          <w:rFonts w:ascii="Garamond" w:hAnsi="Garamond" w:cs="Arial"/>
          <w:sz w:val="24"/>
          <w:szCs w:val="24"/>
        </w:rPr>
        <w:t xml:space="preserve"> Departamento da </w:t>
      </w:r>
      <w:r w:rsidR="006C7AF1" w:rsidRPr="003A1174">
        <w:rPr>
          <w:rFonts w:ascii="Garamond" w:hAnsi="Garamond" w:cs="Arial"/>
          <w:sz w:val="24"/>
          <w:szCs w:val="24"/>
        </w:rPr>
        <w:t>Família</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2169EA">
        <w:rPr>
          <w:rFonts w:ascii="Garamond" w:hAnsi="Garamond" w:cs="Arial"/>
          <w:sz w:val="24"/>
          <w:szCs w:val="24"/>
        </w:rPr>
        <w:t>pel</w:t>
      </w:r>
      <w:r w:rsidR="00C246B4" w:rsidRPr="003A1174">
        <w:rPr>
          <w:rFonts w:ascii="Garamond" w:hAnsi="Garamond" w:cs="Arial"/>
          <w:sz w:val="24"/>
          <w:szCs w:val="24"/>
        </w:rPr>
        <w:t xml:space="preserve">o </w:t>
      </w:r>
      <w:r w:rsidR="00253B1D" w:rsidRPr="003A1174">
        <w:rPr>
          <w:rFonts w:ascii="Garamond" w:hAnsi="Garamond" w:cs="Arial"/>
          <w:sz w:val="24"/>
          <w:szCs w:val="24"/>
        </w:rPr>
        <w:t>Juiz</w:t>
      </w:r>
      <w:r w:rsidRPr="003A1174">
        <w:rPr>
          <w:rFonts w:ascii="Garamond" w:hAnsi="Garamond" w:cs="Arial"/>
          <w:sz w:val="24"/>
          <w:szCs w:val="24"/>
        </w:rPr>
        <w:t xml:space="preserve"> Presidente </w:t>
      </w:r>
      <w:r w:rsidR="00E85E59" w:rsidRPr="003A1174">
        <w:rPr>
          <w:rFonts w:ascii="Garamond" w:hAnsi="Garamond" w:cs="Arial"/>
          <w:sz w:val="24"/>
          <w:szCs w:val="24"/>
        </w:rPr>
        <w:t>do</w:t>
      </w:r>
      <w:r w:rsidRPr="003A1174">
        <w:rPr>
          <w:rFonts w:ascii="Garamond" w:hAnsi="Garamond" w:cs="Arial"/>
          <w:sz w:val="24"/>
          <w:szCs w:val="24"/>
        </w:rPr>
        <w:t xml:space="preserve"> Supremo</w:t>
      </w:r>
      <w:r w:rsidR="002169EA">
        <w:rPr>
          <w:rFonts w:ascii="Garamond" w:hAnsi="Garamond" w:cs="Arial"/>
          <w:sz w:val="24"/>
          <w:szCs w:val="24"/>
        </w:rPr>
        <w:t xml:space="preserve"> </w:t>
      </w:r>
      <w:r w:rsidR="002169EA" w:rsidRPr="003A1174">
        <w:rPr>
          <w:rFonts w:ascii="Garamond" w:hAnsi="Garamond" w:cs="Arial"/>
          <w:sz w:val="24"/>
          <w:szCs w:val="24"/>
        </w:rPr>
        <w:t>Tribunal</w:t>
      </w:r>
      <w:r w:rsidR="002169EA">
        <w:rPr>
          <w:rFonts w:ascii="Garamond" w:hAnsi="Garamond" w:cs="Arial"/>
          <w:sz w:val="24"/>
          <w:szCs w:val="24"/>
        </w:rPr>
        <w:t>,</w:t>
      </w:r>
      <w:r w:rsidRPr="003A1174">
        <w:rPr>
          <w:rFonts w:ascii="Garamond" w:hAnsi="Garamond" w:cs="Arial"/>
          <w:sz w:val="24"/>
          <w:szCs w:val="24"/>
        </w:rPr>
        <w:t xml:space="preserve"> </w:t>
      </w:r>
      <w:r w:rsidR="00A13226" w:rsidRPr="003A1174">
        <w:rPr>
          <w:rFonts w:ascii="Garamond" w:hAnsi="Garamond" w:cs="Arial"/>
          <w:sz w:val="24"/>
          <w:szCs w:val="24"/>
        </w:rPr>
        <w:t>na qualidade de último a</w:t>
      </w:r>
      <w:r w:rsidRPr="003A1174">
        <w:rPr>
          <w:rFonts w:ascii="Garamond" w:hAnsi="Garamond" w:cs="Arial"/>
          <w:sz w:val="24"/>
          <w:szCs w:val="24"/>
        </w:rPr>
        <w:t xml:space="preserve">dministrador </w:t>
      </w:r>
      <w:r w:rsidR="00A13226" w:rsidRPr="003A1174">
        <w:rPr>
          <w:rFonts w:ascii="Garamond" w:hAnsi="Garamond" w:cs="Arial"/>
          <w:sz w:val="24"/>
          <w:szCs w:val="24"/>
        </w:rPr>
        <w:t>do Ramo</w:t>
      </w:r>
      <w:r w:rsidRPr="003A1174">
        <w:rPr>
          <w:rFonts w:ascii="Garamond" w:hAnsi="Garamond" w:cs="Arial"/>
          <w:sz w:val="24"/>
          <w:szCs w:val="24"/>
        </w:rPr>
        <w:t xml:space="preserve"> Judicial. </w:t>
      </w:r>
    </w:p>
    <w:p w:rsidR="008B023E" w:rsidRPr="003A1174" w:rsidRDefault="00A13226" w:rsidP="008719D4">
      <w:pPr>
        <w:spacing w:before="240" w:line="240" w:lineRule="auto"/>
        <w:jc w:val="both"/>
        <w:rPr>
          <w:rFonts w:ascii="Garamond" w:hAnsi="Garamond" w:cs="Arial"/>
          <w:sz w:val="24"/>
          <w:szCs w:val="24"/>
        </w:rPr>
      </w:pPr>
      <w:r w:rsidRPr="003A1174">
        <w:rPr>
          <w:rFonts w:ascii="Garamond" w:hAnsi="Garamond" w:cs="Arial"/>
          <w:sz w:val="24"/>
          <w:szCs w:val="24"/>
        </w:rPr>
        <w:t>Através d</w:t>
      </w:r>
      <w:r w:rsidR="008B023E" w:rsidRPr="003A1174">
        <w:rPr>
          <w:rFonts w:ascii="Garamond" w:hAnsi="Garamond" w:cs="Arial"/>
          <w:sz w:val="24"/>
          <w:szCs w:val="24"/>
        </w:rPr>
        <w:t>este último protocolo</w:t>
      </w:r>
      <w:r w:rsidR="00AE7513" w:rsidRPr="003A1174">
        <w:rPr>
          <w:rFonts w:ascii="Garamond" w:hAnsi="Garamond" w:cs="Arial"/>
          <w:sz w:val="24"/>
          <w:szCs w:val="24"/>
        </w:rPr>
        <w:t>,</w:t>
      </w:r>
      <w:r w:rsidR="008B023E" w:rsidRPr="003A1174">
        <w:rPr>
          <w:rFonts w:ascii="Garamond" w:hAnsi="Garamond" w:cs="Arial"/>
          <w:sz w:val="24"/>
          <w:szCs w:val="24"/>
        </w:rPr>
        <w:t xml:space="preserve"> </w:t>
      </w:r>
      <w:r w:rsidR="002F319E" w:rsidRPr="003A1174">
        <w:rPr>
          <w:rFonts w:ascii="Garamond" w:hAnsi="Garamond" w:cs="Arial"/>
          <w:sz w:val="24"/>
          <w:szCs w:val="24"/>
        </w:rPr>
        <w:t>o</w:t>
      </w:r>
      <w:r w:rsidRPr="003A1174">
        <w:rPr>
          <w:rFonts w:ascii="Garamond" w:hAnsi="Garamond" w:cs="Arial"/>
          <w:sz w:val="24"/>
          <w:szCs w:val="24"/>
        </w:rPr>
        <w:t xml:space="preserve">s signatários comprometem-se a </w:t>
      </w:r>
      <w:r w:rsidR="00802ACC" w:rsidRPr="003A1174">
        <w:rPr>
          <w:rFonts w:ascii="Garamond" w:hAnsi="Garamond" w:cs="Arial"/>
          <w:sz w:val="24"/>
          <w:szCs w:val="24"/>
        </w:rPr>
        <w:t>trabalhar</w:t>
      </w:r>
      <w:r w:rsidR="000123BB">
        <w:rPr>
          <w:rFonts w:ascii="Garamond" w:hAnsi="Garamond" w:cs="Arial"/>
          <w:sz w:val="24"/>
          <w:szCs w:val="24"/>
        </w:rPr>
        <w:t>,</w:t>
      </w:r>
      <w:r w:rsidR="008B023E" w:rsidRPr="003A1174">
        <w:rPr>
          <w:rFonts w:ascii="Garamond" w:hAnsi="Garamond" w:cs="Arial"/>
          <w:sz w:val="24"/>
          <w:szCs w:val="24"/>
        </w:rPr>
        <w:t xml:space="preserve"> de forma </w:t>
      </w:r>
      <w:r w:rsidRPr="003A1174">
        <w:rPr>
          <w:rFonts w:ascii="Garamond" w:hAnsi="Garamond" w:cs="Arial"/>
          <w:sz w:val="24"/>
          <w:szCs w:val="24"/>
        </w:rPr>
        <w:t>coordenada</w:t>
      </w:r>
      <w:r w:rsidR="000123BB">
        <w:rPr>
          <w:rFonts w:ascii="Garamond" w:hAnsi="Garamond" w:cs="Arial"/>
          <w:sz w:val="24"/>
          <w:szCs w:val="24"/>
        </w:rPr>
        <w:t xml:space="preserve">, </w:t>
      </w:r>
      <w:r w:rsidRPr="003A1174">
        <w:rPr>
          <w:rFonts w:ascii="Garamond" w:hAnsi="Garamond" w:cs="Arial"/>
          <w:sz w:val="24"/>
          <w:szCs w:val="24"/>
        </w:rPr>
        <w:t xml:space="preserve">a </w:t>
      </w:r>
      <w:r w:rsidR="001A53AD" w:rsidRPr="003A1174">
        <w:rPr>
          <w:rFonts w:ascii="Garamond" w:hAnsi="Garamond" w:cs="Arial"/>
          <w:sz w:val="24"/>
          <w:szCs w:val="24"/>
        </w:rPr>
        <w:t>gestão</w:t>
      </w:r>
      <w:r w:rsidR="008B023E" w:rsidRPr="003A1174">
        <w:rPr>
          <w:rFonts w:ascii="Garamond" w:hAnsi="Garamond" w:cs="Arial"/>
          <w:sz w:val="24"/>
          <w:szCs w:val="24"/>
        </w:rPr>
        <w:t xml:space="preserve"> </w:t>
      </w:r>
      <w:r w:rsidR="00497503" w:rsidRPr="003A1174">
        <w:rPr>
          <w:rFonts w:ascii="Garamond" w:hAnsi="Garamond" w:cs="Arial"/>
          <w:sz w:val="24"/>
          <w:szCs w:val="24"/>
        </w:rPr>
        <w:t>dos</w:t>
      </w:r>
      <w:r w:rsidR="008B023E" w:rsidRPr="003A1174">
        <w:rPr>
          <w:rFonts w:ascii="Garamond" w:hAnsi="Garamond" w:cs="Arial"/>
          <w:sz w:val="24"/>
          <w:szCs w:val="24"/>
        </w:rPr>
        <w:t xml:space="preserve"> casos de </w:t>
      </w:r>
      <w:r w:rsidR="000350B1" w:rsidRPr="003A1174">
        <w:rPr>
          <w:rFonts w:ascii="Garamond" w:hAnsi="Garamond" w:cs="Arial"/>
          <w:sz w:val="24"/>
          <w:szCs w:val="24"/>
        </w:rPr>
        <w:t>violência</w:t>
      </w:r>
      <w:r w:rsidR="008B023E" w:rsidRPr="003A1174">
        <w:rPr>
          <w:rFonts w:ascii="Garamond" w:hAnsi="Garamond" w:cs="Arial"/>
          <w:sz w:val="24"/>
          <w:szCs w:val="24"/>
        </w:rPr>
        <w:t xml:space="preserve"> doméstica, tanto </w:t>
      </w:r>
      <w:r w:rsidRPr="003A1174">
        <w:rPr>
          <w:rFonts w:ascii="Garamond" w:hAnsi="Garamond" w:cs="Arial"/>
          <w:sz w:val="24"/>
          <w:szCs w:val="24"/>
        </w:rPr>
        <w:t xml:space="preserve">no </w:t>
      </w:r>
      <w:r w:rsidR="00802ACC" w:rsidRPr="003A1174">
        <w:rPr>
          <w:rFonts w:ascii="Garamond" w:hAnsi="Garamond" w:cs="Arial"/>
          <w:sz w:val="24"/>
          <w:szCs w:val="24"/>
        </w:rPr>
        <w:t>âmbito</w:t>
      </w:r>
      <w:r w:rsidR="008B023E" w:rsidRPr="003A1174">
        <w:rPr>
          <w:rFonts w:ascii="Garamond" w:hAnsi="Garamond" w:cs="Arial"/>
          <w:sz w:val="24"/>
          <w:szCs w:val="24"/>
        </w:rPr>
        <w:t xml:space="preserve"> criminal</w:t>
      </w:r>
      <w:r w:rsidR="000123BB">
        <w:rPr>
          <w:rFonts w:ascii="Garamond" w:hAnsi="Garamond" w:cs="Arial"/>
          <w:sz w:val="24"/>
          <w:szCs w:val="24"/>
        </w:rPr>
        <w:t>,</w:t>
      </w:r>
      <w:r w:rsidR="008B023E" w:rsidRPr="003A1174">
        <w:rPr>
          <w:rFonts w:ascii="Garamond" w:hAnsi="Garamond" w:cs="Arial"/>
          <w:sz w:val="24"/>
          <w:szCs w:val="24"/>
        </w:rPr>
        <w:t xml:space="preserve"> como </w:t>
      </w:r>
      <w:r w:rsidRPr="003A1174">
        <w:rPr>
          <w:rFonts w:ascii="Garamond" w:hAnsi="Garamond" w:cs="Arial"/>
          <w:sz w:val="24"/>
          <w:szCs w:val="24"/>
        </w:rPr>
        <w:t xml:space="preserve">no </w:t>
      </w:r>
      <w:r w:rsidR="008B023E" w:rsidRPr="003A1174">
        <w:rPr>
          <w:rFonts w:ascii="Garamond" w:hAnsi="Garamond" w:cs="Arial"/>
          <w:sz w:val="24"/>
          <w:szCs w:val="24"/>
        </w:rPr>
        <w:t xml:space="preserve">civil. </w:t>
      </w:r>
      <w:r w:rsidRPr="003A1174">
        <w:rPr>
          <w:rFonts w:ascii="Garamond" w:hAnsi="Garamond" w:cs="Arial"/>
          <w:sz w:val="24"/>
          <w:szCs w:val="24"/>
        </w:rPr>
        <w:t xml:space="preserve">O protocolo contempla </w:t>
      </w:r>
      <w:r w:rsidR="008B023E" w:rsidRPr="003A1174">
        <w:rPr>
          <w:rFonts w:ascii="Garamond" w:hAnsi="Garamond" w:cs="Arial"/>
          <w:sz w:val="24"/>
          <w:szCs w:val="24"/>
        </w:rPr>
        <w:t xml:space="preserve">os casos </w:t>
      </w:r>
      <w:r w:rsidR="00AE7513" w:rsidRPr="003A1174">
        <w:rPr>
          <w:rFonts w:ascii="Garamond" w:hAnsi="Garamond" w:cs="Arial"/>
          <w:sz w:val="24"/>
          <w:szCs w:val="24"/>
        </w:rPr>
        <w:t>e</w:t>
      </w:r>
      <w:r w:rsidRPr="003A1174">
        <w:rPr>
          <w:rFonts w:ascii="Garamond" w:hAnsi="Garamond" w:cs="Arial"/>
          <w:sz w:val="24"/>
          <w:szCs w:val="24"/>
        </w:rPr>
        <w:t>m</w:t>
      </w:r>
      <w:r w:rsidR="00AE7513" w:rsidRPr="003A1174">
        <w:rPr>
          <w:rFonts w:ascii="Garamond" w:hAnsi="Garamond" w:cs="Arial"/>
          <w:sz w:val="24"/>
          <w:szCs w:val="24"/>
        </w:rPr>
        <w:t xml:space="preserve"> </w:t>
      </w:r>
      <w:r w:rsidR="008B023E" w:rsidRPr="003A1174">
        <w:rPr>
          <w:rFonts w:ascii="Garamond" w:hAnsi="Garamond" w:cs="Arial"/>
          <w:sz w:val="24"/>
          <w:szCs w:val="24"/>
        </w:rPr>
        <w:t xml:space="preserve">que </w:t>
      </w:r>
      <w:r w:rsidR="000123BB">
        <w:rPr>
          <w:rFonts w:ascii="Garamond" w:hAnsi="Garamond" w:cs="Arial"/>
          <w:sz w:val="24"/>
          <w:szCs w:val="24"/>
        </w:rPr>
        <w:t xml:space="preserve">haja </w:t>
      </w:r>
      <w:r w:rsidRPr="003A1174">
        <w:rPr>
          <w:rFonts w:ascii="Garamond" w:hAnsi="Garamond" w:cs="Arial"/>
          <w:sz w:val="24"/>
          <w:szCs w:val="24"/>
        </w:rPr>
        <w:t>menores envolvidos</w:t>
      </w:r>
      <w:r w:rsidR="000123BB">
        <w:rPr>
          <w:rFonts w:ascii="Garamond" w:hAnsi="Garamond" w:cs="Arial"/>
          <w:sz w:val="24"/>
          <w:szCs w:val="24"/>
        </w:rPr>
        <w:t>,</w:t>
      </w:r>
      <w:r w:rsidRPr="003A1174">
        <w:rPr>
          <w:rFonts w:ascii="Garamond" w:hAnsi="Garamond" w:cs="Arial"/>
          <w:sz w:val="24"/>
          <w:szCs w:val="24"/>
        </w:rPr>
        <w:t xml:space="preserve"> atribui </w:t>
      </w:r>
      <w:r w:rsidR="008B023E" w:rsidRPr="003A1174">
        <w:rPr>
          <w:rFonts w:ascii="Garamond" w:hAnsi="Garamond" w:cs="Arial"/>
          <w:sz w:val="24"/>
          <w:szCs w:val="24"/>
        </w:rPr>
        <w:t xml:space="preserve">responsabilidades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Pr="003A1174">
        <w:rPr>
          <w:rFonts w:ascii="Garamond" w:hAnsi="Garamond" w:cs="Arial"/>
          <w:sz w:val="24"/>
          <w:szCs w:val="24"/>
        </w:rPr>
        <w:t xml:space="preserve">exige para </w:t>
      </w:r>
      <w:r w:rsidR="008B023E" w:rsidRPr="003A1174">
        <w:rPr>
          <w:rFonts w:ascii="Garamond" w:hAnsi="Garamond" w:cs="Arial"/>
          <w:sz w:val="24"/>
          <w:szCs w:val="24"/>
        </w:rPr>
        <w:t xml:space="preserve">as </w:t>
      </w:r>
      <w:r w:rsidR="003F012B" w:rsidRPr="003A1174">
        <w:rPr>
          <w:rFonts w:ascii="Garamond" w:hAnsi="Garamond" w:cs="Arial"/>
          <w:sz w:val="24"/>
          <w:szCs w:val="24"/>
        </w:rPr>
        <w:t>vítima</w:t>
      </w:r>
      <w:r w:rsidR="008B023E" w:rsidRPr="003A1174">
        <w:rPr>
          <w:rFonts w:ascii="Garamond" w:hAnsi="Garamond" w:cs="Arial"/>
          <w:sz w:val="24"/>
          <w:szCs w:val="24"/>
        </w:rPr>
        <w:t>s u</w:t>
      </w:r>
      <w:r w:rsidRPr="003A1174">
        <w:rPr>
          <w:rFonts w:ascii="Garamond" w:hAnsi="Garamond" w:cs="Arial"/>
          <w:sz w:val="24"/>
          <w:szCs w:val="24"/>
        </w:rPr>
        <w:t>m</w:t>
      </w:r>
      <w:r w:rsidR="008B023E" w:rsidRPr="003A1174">
        <w:rPr>
          <w:rFonts w:ascii="Garamond" w:hAnsi="Garamond" w:cs="Arial"/>
          <w:sz w:val="24"/>
          <w:szCs w:val="24"/>
        </w:rPr>
        <w:t xml:space="preserve"> </w:t>
      </w:r>
      <w:r w:rsidR="008B023E" w:rsidRPr="003A3461">
        <w:rPr>
          <w:rFonts w:ascii="Garamond" w:hAnsi="Garamond" w:cs="Arial"/>
          <w:sz w:val="24"/>
          <w:szCs w:val="24"/>
        </w:rPr>
        <w:t>trat</w:t>
      </w:r>
      <w:r w:rsidRPr="003A3461">
        <w:rPr>
          <w:rFonts w:ascii="Garamond" w:hAnsi="Garamond" w:cs="Arial"/>
          <w:sz w:val="24"/>
          <w:szCs w:val="24"/>
        </w:rPr>
        <w:t>ament</w:t>
      </w:r>
      <w:r w:rsidR="008B023E" w:rsidRPr="003A3461">
        <w:rPr>
          <w:rFonts w:ascii="Garamond" w:hAnsi="Garamond" w:cs="Arial"/>
          <w:sz w:val="24"/>
          <w:szCs w:val="24"/>
        </w:rPr>
        <w:t>o</w:t>
      </w:r>
      <w:r w:rsidR="00CB5BDA" w:rsidRPr="003A3461">
        <w:rPr>
          <w:rFonts w:ascii="Garamond" w:hAnsi="Garamond" w:cs="Arial"/>
          <w:sz w:val="24"/>
          <w:szCs w:val="24"/>
        </w:rPr>
        <w:t xml:space="preserve"> amistoso</w:t>
      </w:r>
      <w:r w:rsidR="00AE7513" w:rsidRPr="003A3461">
        <w:rPr>
          <w:rFonts w:ascii="Garamond" w:hAnsi="Garamond" w:cs="Arial"/>
          <w:sz w:val="24"/>
          <w:szCs w:val="24"/>
        </w:rPr>
        <w:t>,</w:t>
      </w:r>
      <w:r w:rsidR="008B023E" w:rsidRPr="003A1174">
        <w:rPr>
          <w:rFonts w:ascii="Garamond" w:hAnsi="Garamond" w:cs="Arial"/>
          <w:sz w:val="24"/>
          <w:szCs w:val="24"/>
        </w:rPr>
        <w:t xml:space="preserve"> </w:t>
      </w:r>
      <w:r w:rsidR="005C3959">
        <w:rPr>
          <w:rFonts w:ascii="Garamond" w:hAnsi="Garamond" w:cs="Arial"/>
          <w:sz w:val="24"/>
          <w:szCs w:val="24"/>
        </w:rPr>
        <w:t xml:space="preserve">para tentar </w:t>
      </w:r>
      <w:r w:rsidR="008B023E" w:rsidRPr="003A1174">
        <w:rPr>
          <w:rFonts w:ascii="Garamond" w:hAnsi="Garamond" w:cs="Arial"/>
          <w:sz w:val="24"/>
          <w:szCs w:val="24"/>
        </w:rPr>
        <w:t xml:space="preserve">evitar </w:t>
      </w:r>
      <w:r w:rsidRPr="003A1174">
        <w:rPr>
          <w:rFonts w:ascii="Garamond" w:hAnsi="Garamond" w:cs="Arial"/>
          <w:sz w:val="24"/>
          <w:szCs w:val="24"/>
        </w:rPr>
        <w:t xml:space="preserve">a </w:t>
      </w:r>
      <w:r w:rsidR="008B023E" w:rsidRPr="003A1174">
        <w:rPr>
          <w:rFonts w:ascii="Garamond" w:hAnsi="Garamond" w:cs="Arial"/>
          <w:sz w:val="24"/>
          <w:szCs w:val="24"/>
        </w:rPr>
        <w:t>su</w:t>
      </w:r>
      <w:r w:rsidRPr="003A1174">
        <w:rPr>
          <w:rFonts w:ascii="Garamond" w:hAnsi="Garamond" w:cs="Arial"/>
          <w:sz w:val="24"/>
          <w:szCs w:val="24"/>
        </w:rPr>
        <w:t>a</w:t>
      </w:r>
      <w:r w:rsidR="008B023E" w:rsidRPr="003A1174">
        <w:rPr>
          <w:rFonts w:ascii="Garamond" w:hAnsi="Garamond" w:cs="Arial"/>
          <w:sz w:val="24"/>
          <w:szCs w:val="24"/>
        </w:rPr>
        <w:t xml:space="preserve"> re</w:t>
      </w:r>
      <w:r w:rsidR="00EE7406" w:rsidRPr="003A1174">
        <w:rPr>
          <w:rFonts w:ascii="Garamond" w:hAnsi="Garamond" w:cs="Arial"/>
          <w:sz w:val="24"/>
          <w:szCs w:val="24"/>
        </w:rPr>
        <w:t>vitimização</w:t>
      </w:r>
      <w:r w:rsidR="008B023E" w:rsidRPr="003A1174">
        <w:rPr>
          <w:rFonts w:ascii="Garamond" w:hAnsi="Garamond" w:cs="Arial"/>
          <w:sz w:val="24"/>
          <w:szCs w:val="24"/>
        </w:rPr>
        <w:t xml:space="preserve">. Para </w:t>
      </w:r>
      <w:r w:rsidRPr="003A1174">
        <w:rPr>
          <w:rFonts w:ascii="Garamond" w:hAnsi="Garamond" w:cs="Arial"/>
          <w:sz w:val="24"/>
          <w:szCs w:val="24"/>
        </w:rPr>
        <w:t>isso</w:t>
      </w:r>
      <w:r w:rsidR="008B023E" w:rsidRPr="003A1174">
        <w:rPr>
          <w:rFonts w:ascii="Garamond" w:hAnsi="Garamond" w:cs="Arial"/>
          <w:sz w:val="24"/>
          <w:szCs w:val="24"/>
        </w:rPr>
        <w:t xml:space="preserve">, cada </w:t>
      </w:r>
      <w:r w:rsidR="00EC2E68" w:rsidRPr="003A1174">
        <w:rPr>
          <w:rFonts w:ascii="Garamond" w:hAnsi="Garamond" w:cs="Arial"/>
          <w:sz w:val="24"/>
          <w:szCs w:val="24"/>
        </w:rPr>
        <w:t>agência</w:t>
      </w:r>
      <w:r w:rsidR="008B023E" w:rsidRPr="003A1174">
        <w:rPr>
          <w:rFonts w:ascii="Garamond" w:hAnsi="Garamond" w:cs="Arial"/>
          <w:sz w:val="24"/>
          <w:szCs w:val="24"/>
        </w:rPr>
        <w:t xml:space="preserve"> </w:t>
      </w:r>
      <w:r w:rsidRPr="003A1174">
        <w:rPr>
          <w:rFonts w:ascii="Garamond" w:hAnsi="Garamond" w:cs="Arial"/>
          <w:sz w:val="24"/>
          <w:szCs w:val="24"/>
        </w:rPr>
        <w:t xml:space="preserve">não só </w:t>
      </w:r>
      <w:r w:rsidR="005C3959">
        <w:rPr>
          <w:rFonts w:ascii="Garamond" w:hAnsi="Garamond" w:cs="Arial"/>
          <w:sz w:val="24"/>
          <w:szCs w:val="24"/>
        </w:rPr>
        <w:t>dará a conhecer a</w:t>
      </w:r>
      <w:r w:rsidRPr="003A1174">
        <w:rPr>
          <w:rFonts w:ascii="Garamond" w:hAnsi="Garamond" w:cs="Arial"/>
          <w:sz w:val="24"/>
          <w:szCs w:val="24"/>
        </w:rPr>
        <w:t>os seus f</w:t>
      </w:r>
      <w:r w:rsidR="003E6403" w:rsidRPr="003A1174">
        <w:rPr>
          <w:rFonts w:ascii="Garamond" w:hAnsi="Garamond" w:cs="Arial"/>
          <w:sz w:val="24"/>
          <w:szCs w:val="24"/>
        </w:rPr>
        <w:t>uncionári</w:t>
      </w:r>
      <w:r w:rsidR="008B023E" w:rsidRPr="003A1174">
        <w:rPr>
          <w:rFonts w:ascii="Garamond" w:hAnsi="Garamond" w:cs="Arial"/>
          <w:sz w:val="24"/>
          <w:szCs w:val="24"/>
        </w:rPr>
        <w:t xml:space="preserve">os as particularidades </w:t>
      </w:r>
      <w:r w:rsidR="00E85E59" w:rsidRPr="003A1174">
        <w:rPr>
          <w:rFonts w:ascii="Garamond" w:hAnsi="Garamond" w:cs="Arial"/>
          <w:sz w:val="24"/>
          <w:szCs w:val="24"/>
        </w:rPr>
        <w:t>do</w:t>
      </w:r>
      <w:r w:rsidRPr="003A1174">
        <w:rPr>
          <w:rFonts w:ascii="Garamond" w:hAnsi="Garamond" w:cs="Arial"/>
          <w:sz w:val="24"/>
          <w:szCs w:val="24"/>
        </w:rPr>
        <w:t xml:space="preserve"> protocolo, como também o fará dando </w:t>
      </w:r>
      <w:r w:rsidR="00964875" w:rsidRPr="003A1174">
        <w:rPr>
          <w:rFonts w:ascii="Garamond" w:hAnsi="Garamond" w:cs="Arial"/>
          <w:sz w:val="24"/>
          <w:szCs w:val="24"/>
        </w:rPr>
        <w:t>ênfase</w:t>
      </w:r>
      <w:r w:rsidR="008B023E" w:rsidRPr="003A1174">
        <w:rPr>
          <w:rFonts w:ascii="Garamond" w:hAnsi="Garamond" w:cs="Arial"/>
          <w:sz w:val="24"/>
          <w:szCs w:val="24"/>
        </w:rPr>
        <w:t xml:space="preserve"> </w:t>
      </w:r>
      <w:r w:rsidRPr="003A1174">
        <w:rPr>
          <w:rFonts w:ascii="Garamond" w:hAnsi="Garamond" w:cs="Arial"/>
          <w:sz w:val="24"/>
          <w:szCs w:val="24"/>
        </w:rPr>
        <w:t xml:space="preserve">à </w:t>
      </w:r>
      <w:r w:rsidR="005C3959">
        <w:rPr>
          <w:rFonts w:ascii="Garamond" w:hAnsi="Garamond" w:cs="Arial"/>
          <w:sz w:val="24"/>
          <w:szCs w:val="24"/>
        </w:rPr>
        <w:t xml:space="preserve">sua </w:t>
      </w:r>
      <w:r w:rsidR="00976FB8" w:rsidRPr="003A1174">
        <w:rPr>
          <w:rFonts w:ascii="Garamond" w:hAnsi="Garamond" w:cs="Arial"/>
          <w:sz w:val="24"/>
          <w:szCs w:val="24"/>
        </w:rPr>
        <w:t>sensibilização</w:t>
      </w:r>
      <w:r w:rsidR="008B023E" w:rsidRPr="003A1174">
        <w:rPr>
          <w:rFonts w:ascii="Garamond" w:hAnsi="Garamond" w:cs="Arial"/>
          <w:sz w:val="24"/>
          <w:szCs w:val="24"/>
        </w:rPr>
        <w:t xml:space="preserve"> para co</w:t>
      </w:r>
      <w:r w:rsidRPr="003A1174">
        <w:rPr>
          <w:rFonts w:ascii="Garamond" w:hAnsi="Garamond" w:cs="Arial"/>
          <w:sz w:val="24"/>
          <w:szCs w:val="24"/>
        </w:rPr>
        <w:t xml:space="preserve">m </w:t>
      </w:r>
      <w:r w:rsidR="008B023E" w:rsidRPr="003A1174">
        <w:rPr>
          <w:rFonts w:ascii="Garamond" w:hAnsi="Garamond" w:cs="Arial"/>
          <w:sz w:val="24"/>
          <w:szCs w:val="24"/>
        </w:rPr>
        <w:t xml:space="preserve">os </w:t>
      </w:r>
      <w:r w:rsidR="0017447A" w:rsidRPr="003A1174">
        <w:rPr>
          <w:rFonts w:ascii="Garamond" w:hAnsi="Garamond" w:cs="Arial"/>
          <w:sz w:val="24"/>
          <w:szCs w:val="24"/>
        </w:rPr>
        <w:t>trabalho</w:t>
      </w:r>
      <w:r w:rsidR="008B023E" w:rsidRPr="003A1174">
        <w:rPr>
          <w:rFonts w:ascii="Garamond" w:hAnsi="Garamond" w:cs="Arial"/>
          <w:sz w:val="24"/>
          <w:szCs w:val="24"/>
        </w:rPr>
        <w:t>s relacionados</w:t>
      </w:r>
      <w:r w:rsidR="005C3959">
        <w:rPr>
          <w:rFonts w:ascii="Garamond" w:hAnsi="Garamond" w:cs="Arial"/>
          <w:sz w:val="24"/>
          <w:szCs w:val="24"/>
        </w:rPr>
        <w:t>,</w:t>
      </w:r>
      <w:r w:rsidR="008B023E" w:rsidRPr="003A1174">
        <w:rPr>
          <w:rFonts w:ascii="Garamond" w:hAnsi="Garamond" w:cs="Arial"/>
          <w:sz w:val="24"/>
          <w:szCs w:val="24"/>
        </w:rPr>
        <w:t xml:space="preserve"> </w:t>
      </w:r>
      <w:r w:rsidR="009A0CC2" w:rsidRPr="003A1174">
        <w:rPr>
          <w:rFonts w:ascii="Garamond" w:hAnsi="Garamond" w:cs="Arial"/>
          <w:sz w:val="24"/>
          <w:szCs w:val="24"/>
        </w:rPr>
        <w:t>através</w:t>
      </w:r>
      <w:r w:rsidR="008B023E" w:rsidRPr="003A1174">
        <w:rPr>
          <w:rFonts w:ascii="Garamond" w:hAnsi="Garamond" w:cs="Arial"/>
          <w:sz w:val="24"/>
          <w:szCs w:val="24"/>
        </w:rPr>
        <w:t xml:space="preserve"> de </w:t>
      </w:r>
      <w:r w:rsidR="005C3959">
        <w:rPr>
          <w:rFonts w:ascii="Garamond" w:hAnsi="Garamond" w:cs="Arial"/>
          <w:sz w:val="24"/>
          <w:szCs w:val="24"/>
        </w:rPr>
        <w:t xml:space="preserve">ações de </w:t>
      </w:r>
      <w:r w:rsidR="00A41573" w:rsidRPr="003A1174">
        <w:rPr>
          <w:rFonts w:ascii="Garamond" w:hAnsi="Garamond" w:cs="Arial"/>
          <w:sz w:val="24"/>
          <w:szCs w:val="24"/>
        </w:rPr>
        <w:t>formação</w:t>
      </w:r>
      <w:r w:rsidRPr="003A1174">
        <w:rPr>
          <w:rFonts w:ascii="Garamond" w:hAnsi="Garamond" w:cs="Arial"/>
          <w:sz w:val="24"/>
          <w:szCs w:val="24"/>
        </w:rPr>
        <w:t>,</w:t>
      </w:r>
      <w:r w:rsidR="008B023E" w:rsidRPr="003A1174">
        <w:rPr>
          <w:rFonts w:ascii="Garamond" w:hAnsi="Garamond" w:cs="Arial"/>
          <w:sz w:val="24"/>
          <w:szCs w:val="24"/>
        </w:rPr>
        <w:t xml:space="preserve"> </w:t>
      </w:r>
      <w:r w:rsidRPr="003A1174">
        <w:rPr>
          <w:rFonts w:ascii="Garamond" w:hAnsi="Garamond" w:cs="Arial"/>
          <w:sz w:val="24"/>
          <w:szCs w:val="24"/>
        </w:rPr>
        <w:t xml:space="preserve">pelo menos, uma </w:t>
      </w:r>
      <w:r w:rsidR="008B023E" w:rsidRPr="003A1174">
        <w:rPr>
          <w:rFonts w:ascii="Garamond" w:hAnsi="Garamond" w:cs="Arial"/>
          <w:sz w:val="24"/>
          <w:szCs w:val="24"/>
        </w:rPr>
        <w:t xml:space="preserve">vez </w:t>
      </w:r>
      <w:r w:rsidRPr="003A1174">
        <w:rPr>
          <w:rFonts w:ascii="Garamond" w:hAnsi="Garamond" w:cs="Arial"/>
          <w:sz w:val="24"/>
          <w:szCs w:val="24"/>
        </w:rPr>
        <w:t xml:space="preserve">por </w:t>
      </w:r>
      <w:r w:rsidR="002C7510" w:rsidRPr="003A1174">
        <w:rPr>
          <w:rFonts w:ascii="Garamond" w:hAnsi="Garamond" w:cs="Arial"/>
          <w:sz w:val="24"/>
          <w:szCs w:val="24"/>
        </w:rPr>
        <w:t>ano</w:t>
      </w:r>
      <w:r w:rsidR="008B023E" w:rsidRPr="003A1174">
        <w:rPr>
          <w:rFonts w:ascii="Garamond" w:hAnsi="Garamond" w:cs="Arial"/>
          <w:sz w:val="24"/>
          <w:szCs w:val="24"/>
        </w:rPr>
        <w:t xml:space="preserve">. Por </w:t>
      </w:r>
      <w:r w:rsidR="001F2F8B" w:rsidRPr="003A1174">
        <w:rPr>
          <w:rFonts w:ascii="Garamond" w:hAnsi="Garamond" w:cs="Arial"/>
          <w:sz w:val="24"/>
          <w:szCs w:val="24"/>
        </w:rPr>
        <w:t>outro</w:t>
      </w:r>
      <w:r w:rsidR="008B023E" w:rsidRPr="003A1174">
        <w:rPr>
          <w:rFonts w:ascii="Garamond" w:hAnsi="Garamond" w:cs="Arial"/>
          <w:sz w:val="24"/>
          <w:szCs w:val="24"/>
        </w:rPr>
        <w:t xml:space="preserve"> lado, </w:t>
      </w:r>
      <w:r w:rsidRPr="003A1174">
        <w:rPr>
          <w:rFonts w:ascii="Garamond" w:hAnsi="Garamond" w:cs="Arial"/>
          <w:sz w:val="24"/>
          <w:szCs w:val="24"/>
        </w:rPr>
        <w:t>n</w:t>
      </w:r>
      <w:r w:rsidR="008B023E" w:rsidRPr="003A1174">
        <w:rPr>
          <w:rFonts w:ascii="Garamond" w:hAnsi="Garamond" w:cs="Arial"/>
          <w:sz w:val="24"/>
          <w:szCs w:val="24"/>
        </w:rPr>
        <w:t xml:space="preserve">a </w:t>
      </w:r>
      <w:r w:rsidR="00462B11" w:rsidRPr="003A1174">
        <w:rPr>
          <w:rFonts w:ascii="Garamond" w:hAnsi="Garamond" w:cs="Arial"/>
          <w:sz w:val="24"/>
          <w:szCs w:val="24"/>
        </w:rPr>
        <w:t>estrutura</w:t>
      </w:r>
      <w:r w:rsidR="008B023E" w:rsidRPr="003A1174">
        <w:rPr>
          <w:rFonts w:ascii="Garamond" w:hAnsi="Garamond" w:cs="Arial"/>
          <w:sz w:val="24"/>
          <w:szCs w:val="24"/>
        </w:rPr>
        <w:t xml:space="preserve"> da OPM, </w:t>
      </w:r>
      <w:r w:rsidR="00E67EF8" w:rsidRPr="003A1174">
        <w:rPr>
          <w:rFonts w:ascii="Garamond" w:hAnsi="Garamond" w:cs="Arial"/>
          <w:sz w:val="24"/>
          <w:szCs w:val="24"/>
        </w:rPr>
        <w:t>criou</w:t>
      </w:r>
      <w:r w:rsidRPr="003A1174">
        <w:rPr>
          <w:rFonts w:ascii="Garamond" w:hAnsi="Garamond" w:cs="Arial"/>
          <w:sz w:val="24"/>
          <w:szCs w:val="24"/>
        </w:rPr>
        <w:t xml:space="preserve">-se </w:t>
      </w:r>
      <w:r w:rsidR="008B023E" w:rsidRPr="003A1174">
        <w:rPr>
          <w:rFonts w:ascii="Garamond" w:hAnsi="Garamond" w:cs="Arial"/>
          <w:sz w:val="24"/>
          <w:szCs w:val="24"/>
        </w:rPr>
        <w:t xml:space="preserve">a </w:t>
      </w:r>
      <w:r w:rsidR="00FC1F7F" w:rsidRPr="003A1174">
        <w:rPr>
          <w:rFonts w:ascii="Garamond" w:hAnsi="Garamond" w:cs="Arial"/>
          <w:sz w:val="24"/>
          <w:szCs w:val="24"/>
        </w:rPr>
        <w:t>Comissão</w:t>
      </w:r>
      <w:r w:rsidR="008B023E" w:rsidRPr="003A1174">
        <w:rPr>
          <w:rFonts w:ascii="Garamond" w:hAnsi="Garamond" w:cs="Arial"/>
          <w:sz w:val="24"/>
          <w:szCs w:val="24"/>
        </w:rPr>
        <w:t xml:space="preserve"> N</w:t>
      </w:r>
      <w:r w:rsidR="008B023E" w:rsidRPr="003A1174">
        <w:rPr>
          <w:rFonts w:ascii="Garamond" w:hAnsi="Garamond" w:cs="Arial"/>
          <w:spacing w:val="-3"/>
          <w:sz w:val="24"/>
          <w:szCs w:val="24"/>
        </w:rPr>
        <w:t>a</w:t>
      </w:r>
      <w:r w:rsidR="008B023E" w:rsidRPr="003A1174">
        <w:rPr>
          <w:rFonts w:ascii="Garamond" w:hAnsi="Garamond" w:cs="Arial"/>
          <w:sz w:val="24"/>
          <w:szCs w:val="24"/>
        </w:rPr>
        <w:t>c</w:t>
      </w:r>
      <w:r w:rsidR="008B023E" w:rsidRPr="003A1174">
        <w:rPr>
          <w:rFonts w:ascii="Garamond" w:hAnsi="Garamond" w:cs="Arial"/>
          <w:spacing w:val="-1"/>
          <w:sz w:val="24"/>
          <w:szCs w:val="24"/>
        </w:rPr>
        <w:t>i</w:t>
      </w:r>
      <w:r w:rsidR="008B023E" w:rsidRPr="003A1174">
        <w:rPr>
          <w:rFonts w:ascii="Garamond" w:hAnsi="Garamond" w:cs="Arial"/>
          <w:sz w:val="24"/>
          <w:szCs w:val="24"/>
        </w:rPr>
        <w:t>o</w:t>
      </w:r>
      <w:r w:rsidR="008B023E" w:rsidRPr="003A1174">
        <w:rPr>
          <w:rFonts w:ascii="Garamond" w:hAnsi="Garamond" w:cs="Arial"/>
          <w:spacing w:val="-1"/>
          <w:sz w:val="24"/>
          <w:szCs w:val="24"/>
        </w:rPr>
        <w:t>n</w:t>
      </w:r>
      <w:r w:rsidR="008B023E" w:rsidRPr="003A1174">
        <w:rPr>
          <w:rFonts w:ascii="Garamond" w:hAnsi="Garamond" w:cs="Arial"/>
          <w:spacing w:val="-7"/>
          <w:sz w:val="24"/>
          <w:szCs w:val="24"/>
        </w:rPr>
        <w:t>a</w:t>
      </w:r>
      <w:r w:rsidR="008B023E" w:rsidRPr="003A1174">
        <w:rPr>
          <w:rFonts w:ascii="Garamond" w:hAnsi="Garamond" w:cs="Arial"/>
          <w:sz w:val="24"/>
          <w:szCs w:val="24"/>
        </w:rPr>
        <w:t>l</w:t>
      </w:r>
      <w:r w:rsidR="008B023E" w:rsidRPr="003A1174">
        <w:rPr>
          <w:rFonts w:ascii="Garamond" w:hAnsi="Garamond" w:cs="Arial"/>
          <w:spacing w:val="14"/>
          <w:sz w:val="24"/>
          <w:szCs w:val="24"/>
        </w:rPr>
        <w:t xml:space="preserve"> </w:t>
      </w:r>
      <w:r w:rsidR="008B023E" w:rsidRPr="003A1174">
        <w:rPr>
          <w:rFonts w:ascii="Garamond" w:hAnsi="Garamond" w:cs="Arial"/>
          <w:spacing w:val="-2"/>
          <w:sz w:val="24"/>
          <w:szCs w:val="24"/>
        </w:rPr>
        <w:t>pa</w:t>
      </w:r>
      <w:r w:rsidR="008B023E" w:rsidRPr="003A1174">
        <w:rPr>
          <w:rFonts w:ascii="Garamond" w:hAnsi="Garamond" w:cs="Arial"/>
          <w:sz w:val="24"/>
          <w:szCs w:val="24"/>
        </w:rPr>
        <w:t>ra</w:t>
      </w:r>
      <w:r w:rsidR="008B023E" w:rsidRPr="003A1174">
        <w:rPr>
          <w:rFonts w:ascii="Garamond" w:hAnsi="Garamond" w:cs="Arial"/>
          <w:spacing w:val="-1"/>
          <w:sz w:val="24"/>
          <w:szCs w:val="24"/>
        </w:rPr>
        <w:t xml:space="preserve"> </w:t>
      </w:r>
      <w:r w:rsidR="008B023E" w:rsidRPr="003A1174">
        <w:rPr>
          <w:rFonts w:ascii="Garamond" w:hAnsi="Garamond" w:cs="Arial"/>
          <w:sz w:val="24"/>
          <w:szCs w:val="24"/>
        </w:rPr>
        <w:t>a</w:t>
      </w:r>
      <w:r w:rsidR="008B023E" w:rsidRPr="003A1174">
        <w:rPr>
          <w:rFonts w:ascii="Garamond" w:hAnsi="Garamond" w:cs="Arial"/>
          <w:spacing w:val="-1"/>
          <w:sz w:val="24"/>
          <w:szCs w:val="24"/>
        </w:rPr>
        <w:t xml:space="preserve"> </w:t>
      </w:r>
      <w:r w:rsidR="00C30647" w:rsidRPr="003A1174">
        <w:rPr>
          <w:rFonts w:ascii="Garamond" w:hAnsi="Garamond" w:cs="Arial"/>
          <w:spacing w:val="4"/>
          <w:sz w:val="24"/>
          <w:szCs w:val="24"/>
        </w:rPr>
        <w:t>Erradicação</w:t>
      </w:r>
      <w:r w:rsidR="008B023E" w:rsidRPr="003A1174">
        <w:rPr>
          <w:rFonts w:ascii="Garamond" w:hAnsi="Garamond" w:cs="Arial"/>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z w:val="24"/>
          <w:szCs w:val="24"/>
        </w:rPr>
        <w:t>a</w:t>
      </w:r>
      <w:r w:rsidR="008B023E" w:rsidRPr="003A1174">
        <w:rPr>
          <w:rFonts w:ascii="Garamond" w:hAnsi="Garamond" w:cs="Arial"/>
          <w:spacing w:val="-1"/>
          <w:sz w:val="24"/>
          <w:szCs w:val="24"/>
        </w:rPr>
        <w:t xml:space="preserve"> </w:t>
      </w:r>
      <w:r w:rsidR="000350B1" w:rsidRPr="003A1174">
        <w:rPr>
          <w:rFonts w:ascii="Garamond" w:hAnsi="Garamond" w:cs="Arial"/>
          <w:spacing w:val="3"/>
          <w:sz w:val="24"/>
          <w:szCs w:val="24"/>
        </w:rPr>
        <w:t>Violência</w:t>
      </w:r>
      <w:r w:rsidR="008B023E" w:rsidRPr="003A1174">
        <w:rPr>
          <w:rFonts w:ascii="Garamond" w:hAnsi="Garamond" w:cs="Arial"/>
          <w:spacing w:val="3"/>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pacing w:val="-6"/>
          <w:sz w:val="24"/>
          <w:szCs w:val="24"/>
        </w:rPr>
        <w:t>o</w:t>
      </w:r>
      <w:r w:rsidR="008B023E" w:rsidRPr="003A1174">
        <w:rPr>
          <w:rFonts w:ascii="Garamond" w:hAnsi="Garamond" w:cs="Arial"/>
          <w:spacing w:val="8"/>
          <w:sz w:val="24"/>
          <w:szCs w:val="24"/>
        </w:rPr>
        <w:t>m</w:t>
      </w:r>
      <w:r w:rsidR="008B023E" w:rsidRPr="003A1174">
        <w:rPr>
          <w:rFonts w:ascii="Garamond" w:hAnsi="Garamond" w:cs="Arial"/>
          <w:spacing w:val="4"/>
          <w:sz w:val="24"/>
          <w:szCs w:val="24"/>
        </w:rPr>
        <w:t>é</w:t>
      </w:r>
      <w:r w:rsidR="008B023E" w:rsidRPr="003A1174">
        <w:rPr>
          <w:rFonts w:ascii="Garamond" w:hAnsi="Garamond" w:cs="Arial"/>
          <w:sz w:val="24"/>
          <w:szCs w:val="24"/>
        </w:rPr>
        <w:t>s</w:t>
      </w:r>
      <w:r w:rsidR="008B023E" w:rsidRPr="003A1174">
        <w:rPr>
          <w:rFonts w:ascii="Garamond" w:hAnsi="Garamond" w:cs="Arial"/>
          <w:spacing w:val="-3"/>
          <w:sz w:val="24"/>
          <w:szCs w:val="24"/>
        </w:rPr>
        <w:t>t</w:t>
      </w:r>
      <w:r w:rsidR="008B023E" w:rsidRPr="003A1174">
        <w:rPr>
          <w:rFonts w:ascii="Garamond" w:hAnsi="Garamond" w:cs="Arial"/>
          <w:spacing w:val="-1"/>
          <w:sz w:val="24"/>
          <w:szCs w:val="24"/>
        </w:rPr>
        <w:t>i</w:t>
      </w:r>
      <w:r w:rsidR="008B023E" w:rsidRPr="003A1174">
        <w:rPr>
          <w:rFonts w:ascii="Garamond" w:hAnsi="Garamond" w:cs="Arial"/>
          <w:sz w:val="24"/>
          <w:szCs w:val="24"/>
        </w:rPr>
        <w:t>c</w:t>
      </w:r>
      <w:r w:rsidR="008B023E" w:rsidRPr="003A1174">
        <w:rPr>
          <w:rFonts w:ascii="Garamond" w:hAnsi="Garamond" w:cs="Arial"/>
          <w:spacing w:val="-2"/>
          <w:sz w:val="24"/>
          <w:szCs w:val="24"/>
        </w:rPr>
        <w:t>a</w:t>
      </w:r>
      <w:r w:rsidR="008B023E" w:rsidRPr="003A1174">
        <w:rPr>
          <w:rFonts w:ascii="Garamond" w:hAnsi="Garamond" w:cs="Arial"/>
          <w:sz w:val="24"/>
          <w:szCs w:val="24"/>
        </w:rPr>
        <w:t>,</w:t>
      </w:r>
      <w:r w:rsidR="008B023E" w:rsidRPr="003A1174">
        <w:rPr>
          <w:rFonts w:ascii="Garamond" w:hAnsi="Garamond" w:cs="Arial"/>
          <w:spacing w:val="-3"/>
          <w:sz w:val="24"/>
          <w:szCs w:val="24"/>
        </w:rPr>
        <w:t xml:space="preserve"> </w:t>
      </w:r>
      <w:r w:rsidR="008B023E" w:rsidRPr="003A1174">
        <w:rPr>
          <w:rFonts w:ascii="Garamond" w:hAnsi="Garamond" w:cs="Arial"/>
          <w:sz w:val="24"/>
          <w:szCs w:val="24"/>
        </w:rPr>
        <w:t>a</w:t>
      </w:r>
      <w:r w:rsidR="008B023E" w:rsidRPr="003A1174">
        <w:rPr>
          <w:rFonts w:ascii="Garamond" w:hAnsi="Garamond" w:cs="Arial"/>
          <w:spacing w:val="3"/>
          <w:sz w:val="24"/>
          <w:szCs w:val="24"/>
        </w:rPr>
        <w:t xml:space="preserve"> </w:t>
      </w:r>
      <w:r w:rsidR="009A0623" w:rsidRPr="003A1174">
        <w:rPr>
          <w:rFonts w:ascii="Garamond" w:hAnsi="Garamond" w:cs="Arial"/>
          <w:spacing w:val="-6"/>
          <w:sz w:val="24"/>
          <w:szCs w:val="24"/>
        </w:rPr>
        <w:t>Agressão</w:t>
      </w:r>
      <w:r w:rsidR="008B023E" w:rsidRPr="003A1174">
        <w:rPr>
          <w:rFonts w:ascii="Garamond" w:hAnsi="Garamond" w:cs="Arial"/>
          <w:spacing w:val="7"/>
          <w:sz w:val="24"/>
          <w:szCs w:val="24"/>
        </w:rPr>
        <w:t xml:space="preserve"> </w:t>
      </w:r>
      <w:r w:rsidR="008B023E" w:rsidRPr="003A1174">
        <w:rPr>
          <w:rFonts w:ascii="Garamond" w:hAnsi="Garamond" w:cs="Arial"/>
          <w:spacing w:val="-5"/>
          <w:sz w:val="24"/>
          <w:szCs w:val="24"/>
        </w:rPr>
        <w:t>S</w:t>
      </w:r>
      <w:r w:rsidR="008B023E" w:rsidRPr="003A1174">
        <w:rPr>
          <w:rFonts w:ascii="Garamond" w:hAnsi="Garamond" w:cs="Arial"/>
          <w:sz w:val="24"/>
          <w:szCs w:val="24"/>
        </w:rPr>
        <w:t>exu</w:t>
      </w:r>
      <w:r w:rsidR="008B023E" w:rsidRPr="003A1174">
        <w:rPr>
          <w:rFonts w:ascii="Garamond" w:hAnsi="Garamond" w:cs="Arial"/>
          <w:spacing w:val="-7"/>
          <w:sz w:val="24"/>
          <w:szCs w:val="24"/>
        </w:rPr>
        <w:t>a</w:t>
      </w:r>
      <w:r w:rsidR="008B023E" w:rsidRPr="003A1174">
        <w:rPr>
          <w:rFonts w:ascii="Garamond" w:hAnsi="Garamond" w:cs="Arial"/>
          <w:sz w:val="24"/>
          <w:szCs w:val="24"/>
        </w:rPr>
        <w:t>l</w:t>
      </w:r>
      <w:r w:rsidR="008B023E" w:rsidRPr="003A1174">
        <w:rPr>
          <w:rFonts w:ascii="Garamond" w:hAnsi="Garamond" w:cs="Arial"/>
          <w:spacing w:val="9"/>
          <w:sz w:val="24"/>
          <w:szCs w:val="24"/>
        </w:rPr>
        <w:t xml:space="preserve"> </w:t>
      </w:r>
      <w:r w:rsidR="000672E8" w:rsidRPr="003A1174">
        <w:rPr>
          <w:rFonts w:ascii="Garamond" w:hAnsi="Garamond" w:cs="Arial"/>
          <w:sz w:val="24"/>
          <w:szCs w:val="24"/>
        </w:rPr>
        <w:t>e</w:t>
      </w:r>
      <w:r w:rsidR="008B023E" w:rsidRPr="003A1174">
        <w:rPr>
          <w:rFonts w:ascii="Garamond" w:hAnsi="Garamond" w:cs="Arial"/>
          <w:spacing w:val="2"/>
          <w:sz w:val="24"/>
          <w:szCs w:val="24"/>
        </w:rPr>
        <w:t xml:space="preserve"> </w:t>
      </w:r>
      <w:r w:rsidRPr="003A1174">
        <w:rPr>
          <w:rFonts w:ascii="Garamond" w:hAnsi="Garamond" w:cs="Arial"/>
          <w:spacing w:val="2"/>
          <w:sz w:val="24"/>
          <w:szCs w:val="24"/>
        </w:rPr>
        <w:t xml:space="preserve">as </w:t>
      </w:r>
      <w:r w:rsidRPr="003A1174">
        <w:rPr>
          <w:rFonts w:ascii="Garamond" w:hAnsi="Garamond" w:cs="Arial"/>
          <w:spacing w:val="-6"/>
          <w:sz w:val="24"/>
          <w:szCs w:val="24"/>
        </w:rPr>
        <w:t>Ameaça</w:t>
      </w:r>
      <w:r w:rsidR="008B023E" w:rsidRPr="003A1174">
        <w:rPr>
          <w:rFonts w:ascii="Garamond" w:hAnsi="Garamond" w:cs="Arial"/>
          <w:spacing w:val="-5"/>
          <w:sz w:val="24"/>
          <w:szCs w:val="24"/>
        </w:rPr>
        <w:t xml:space="preserve"> </w:t>
      </w:r>
      <w:r w:rsidRPr="003A1174">
        <w:rPr>
          <w:rFonts w:ascii="Garamond" w:hAnsi="Garamond" w:cs="Arial"/>
          <w:spacing w:val="-5"/>
          <w:sz w:val="24"/>
          <w:szCs w:val="24"/>
        </w:rPr>
        <w:t xml:space="preserve">às </w:t>
      </w:r>
      <w:r w:rsidR="00054EE0" w:rsidRPr="003A1174">
        <w:rPr>
          <w:rFonts w:ascii="Garamond" w:hAnsi="Garamond" w:cs="Arial"/>
          <w:spacing w:val="3"/>
          <w:sz w:val="24"/>
          <w:szCs w:val="24"/>
        </w:rPr>
        <w:t>Mulheres</w:t>
      </w:r>
      <w:r w:rsidR="008B023E" w:rsidRPr="003A1174">
        <w:rPr>
          <w:rFonts w:ascii="Garamond" w:hAnsi="Garamond" w:cs="Arial"/>
          <w:spacing w:val="-7"/>
          <w:sz w:val="24"/>
          <w:szCs w:val="24"/>
        </w:rPr>
        <w:t xml:space="preserve"> </w:t>
      </w:r>
      <w:r w:rsidR="008B023E" w:rsidRPr="003A1174">
        <w:rPr>
          <w:rFonts w:ascii="Garamond" w:hAnsi="Garamond" w:cs="Arial"/>
          <w:spacing w:val="-5"/>
          <w:sz w:val="24"/>
          <w:szCs w:val="24"/>
        </w:rPr>
        <w:t>(</w:t>
      </w:r>
      <w:r w:rsidR="008B023E" w:rsidRPr="003A1174">
        <w:rPr>
          <w:rFonts w:ascii="Garamond" w:hAnsi="Garamond" w:cs="Arial"/>
          <w:spacing w:val="-2"/>
          <w:sz w:val="24"/>
          <w:szCs w:val="24"/>
        </w:rPr>
        <w:t>C</w:t>
      </w:r>
      <w:r w:rsidR="008B023E" w:rsidRPr="003A1174">
        <w:rPr>
          <w:rFonts w:ascii="Garamond" w:hAnsi="Garamond" w:cs="Arial"/>
          <w:spacing w:val="1"/>
          <w:sz w:val="24"/>
          <w:szCs w:val="24"/>
        </w:rPr>
        <w:t>E</w:t>
      </w:r>
      <w:r w:rsidR="008B023E" w:rsidRPr="003A1174">
        <w:rPr>
          <w:rFonts w:ascii="Garamond" w:hAnsi="Garamond" w:cs="Arial"/>
          <w:sz w:val="24"/>
          <w:szCs w:val="24"/>
        </w:rPr>
        <w:t>N</w:t>
      </w:r>
      <w:r w:rsidR="008B023E" w:rsidRPr="003A1174">
        <w:rPr>
          <w:rFonts w:ascii="Garamond" w:hAnsi="Garamond" w:cs="Arial"/>
          <w:spacing w:val="1"/>
          <w:sz w:val="24"/>
          <w:szCs w:val="24"/>
        </w:rPr>
        <w:t>E</w:t>
      </w:r>
      <w:r w:rsidR="008B023E" w:rsidRPr="003A1174">
        <w:rPr>
          <w:rFonts w:ascii="Garamond" w:hAnsi="Garamond" w:cs="Arial"/>
          <w:spacing w:val="-2"/>
          <w:sz w:val="24"/>
          <w:szCs w:val="24"/>
        </w:rPr>
        <w:t>V</w:t>
      </w:r>
      <w:r w:rsidR="008B023E" w:rsidRPr="003A1174">
        <w:rPr>
          <w:rFonts w:ascii="Garamond" w:hAnsi="Garamond" w:cs="Arial"/>
          <w:sz w:val="24"/>
          <w:szCs w:val="24"/>
        </w:rPr>
        <w:t xml:space="preserve">), </w:t>
      </w:r>
      <w:r w:rsidR="005C3959">
        <w:rPr>
          <w:rFonts w:ascii="Garamond" w:hAnsi="Garamond" w:cs="Arial"/>
          <w:spacing w:val="-4"/>
          <w:sz w:val="24"/>
          <w:szCs w:val="24"/>
        </w:rPr>
        <w:t xml:space="preserve">composta </w:t>
      </w:r>
      <w:r w:rsidR="008B023E" w:rsidRPr="003A1174">
        <w:rPr>
          <w:rFonts w:ascii="Garamond" w:hAnsi="Garamond" w:cs="Arial"/>
          <w:spacing w:val="-2"/>
          <w:sz w:val="24"/>
          <w:szCs w:val="24"/>
        </w:rPr>
        <w:t>p</w:t>
      </w:r>
      <w:r w:rsidR="008B023E" w:rsidRPr="003A1174">
        <w:rPr>
          <w:rFonts w:ascii="Garamond" w:hAnsi="Garamond" w:cs="Arial"/>
          <w:sz w:val="24"/>
          <w:szCs w:val="24"/>
        </w:rPr>
        <w:t>or</w:t>
      </w:r>
      <w:r w:rsidR="008B023E" w:rsidRPr="003A1174">
        <w:rPr>
          <w:rFonts w:ascii="Garamond" w:hAnsi="Garamond" w:cs="Arial"/>
          <w:spacing w:val="-8"/>
          <w:sz w:val="24"/>
          <w:szCs w:val="24"/>
        </w:rPr>
        <w:t xml:space="preserve"> </w:t>
      </w:r>
      <w:r w:rsidR="008B023E" w:rsidRPr="003A1174">
        <w:rPr>
          <w:rFonts w:ascii="Garamond" w:hAnsi="Garamond" w:cs="Arial"/>
          <w:sz w:val="24"/>
          <w:szCs w:val="24"/>
        </w:rPr>
        <w:t>en</w:t>
      </w:r>
      <w:r w:rsidR="008B023E" w:rsidRPr="003A1174">
        <w:rPr>
          <w:rFonts w:ascii="Garamond" w:hAnsi="Garamond" w:cs="Arial"/>
          <w:spacing w:val="-3"/>
          <w:sz w:val="24"/>
          <w:szCs w:val="24"/>
        </w:rPr>
        <w:t>t</w:t>
      </w:r>
      <w:r w:rsidR="008B023E" w:rsidRPr="003A1174">
        <w:rPr>
          <w:rFonts w:ascii="Garamond" w:hAnsi="Garamond" w:cs="Arial"/>
          <w:spacing w:val="-1"/>
          <w:sz w:val="24"/>
          <w:szCs w:val="24"/>
        </w:rPr>
        <w:t>i</w:t>
      </w:r>
      <w:r w:rsidR="008B023E" w:rsidRPr="003A1174">
        <w:rPr>
          <w:rFonts w:ascii="Garamond" w:hAnsi="Garamond" w:cs="Arial"/>
          <w:spacing w:val="2"/>
          <w:sz w:val="24"/>
          <w:szCs w:val="24"/>
        </w:rPr>
        <w:t>d</w:t>
      </w:r>
      <w:r w:rsidR="008B023E" w:rsidRPr="003A1174">
        <w:rPr>
          <w:rFonts w:ascii="Garamond" w:hAnsi="Garamond" w:cs="Arial"/>
          <w:spacing w:val="-2"/>
          <w:sz w:val="24"/>
          <w:szCs w:val="24"/>
        </w:rPr>
        <w:t>a</w:t>
      </w:r>
      <w:r w:rsidR="008B023E" w:rsidRPr="003A1174">
        <w:rPr>
          <w:rFonts w:ascii="Garamond" w:hAnsi="Garamond" w:cs="Arial"/>
          <w:spacing w:val="2"/>
          <w:sz w:val="24"/>
          <w:szCs w:val="24"/>
        </w:rPr>
        <w:t>d</w:t>
      </w:r>
      <w:r w:rsidR="008B023E" w:rsidRPr="003A1174">
        <w:rPr>
          <w:rFonts w:ascii="Garamond" w:hAnsi="Garamond" w:cs="Arial"/>
          <w:spacing w:val="-5"/>
          <w:sz w:val="24"/>
          <w:szCs w:val="24"/>
        </w:rPr>
        <w:t>e</w:t>
      </w:r>
      <w:r w:rsidR="008B023E" w:rsidRPr="003A1174">
        <w:rPr>
          <w:rFonts w:ascii="Garamond" w:hAnsi="Garamond" w:cs="Arial"/>
          <w:sz w:val="24"/>
          <w:szCs w:val="24"/>
        </w:rPr>
        <w:t xml:space="preserve">s </w:t>
      </w:r>
      <w:r w:rsidR="00100435" w:rsidRPr="003A1174">
        <w:rPr>
          <w:rFonts w:ascii="Garamond" w:hAnsi="Garamond" w:cs="Arial"/>
          <w:sz w:val="24"/>
          <w:szCs w:val="24"/>
        </w:rPr>
        <w:t>governamentais</w:t>
      </w:r>
      <w:r w:rsidR="008B023E" w:rsidRPr="003A1174">
        <w:rPr>
          <w:rFonts w:ascii="Garamond" w:hAnsi="Garamond" w:cs="Arial"/>
          <w:spacing w:val="50"/>
          <w:sz w:val="24"/>
          <w:szCs w:val="24"/>
        </w:rPr>
        <w:t xml:space="preserve"> </w:t>
      </w:r>
      <w:r w:rsidR="000672E8" w:rsidRPr="003A1174">
        <w:rPr>
          <w:rFonts w:ascii="Garamond" w:hAnsi="Garamond" w:cs="Arial"/>
          <w:sz w:val="24"/>
          <w:szCs w:val="24"/>
        </w:rPr>
        <w:t>e</w:t>
      </w:r>
      <w:r w:rsidR="008B023E" w:rsidRPr="003A1174">
        <w:rPr>
          <w:rFonts w:ascii="Garamond" w:hAnsi="Garamond" w:cs="Arial"/>
          <w:spacing w:val="52"/>
          <w:sz w:val="24"/>
          <w:szCs w:val="24"/>
        </w:rPr>
        <w:t xml:space="preserve"> </w:t>
      </w:r>
      <w:r w:rsidR="002470B1" w:rsidRPr="003A1174">
        <w:rPr>
          <w:rFonts w:ascii="Garamond" w:hAnsi="Garamond" w:cs="Arial"/>
          <w:sz w:val="24"/>
          <w:szCs w:val="24"/>
        </w:rPr>
        <w:t>organizações</w:t>
      </w:r>
      <w:r w:rsidR="008B023E" w:rsidRPr="003A1174">
        <w:rPr>
          <w:rFonts w:ascii="Garamond" w:hAnsi="Garamond" w:cs="Arial"/>
          <w:spacing w:val="51"/>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z w:val="24"/>
          <w:szCs w:val="24"/>
        </w:rPr>
        <w:t>e</w:t>
      </w:r>
      <w:r w:rsidR="008B023E" w:rsidRPr="003A1174">
        <w:rPr>
          <w:rFonts w:ascii="Garamond" w:hAnsi="Garamond" w:cs="Arial"/>
          <w:spacing w:val="55"/>
          <w:sz w:val="24"/>
          <w:szCs w:val="24"/>
        </w:rPr>
        <w:t xml:space="preserve"> </w:t>
      </w:r>
      <w:r w:rsidR="008B023E" w:rsidRPr="003A1174">
        <w:rPr>
          <w:rFonts w:ascii="Garamond" w:hAnsi="Garamond" w:cs="Arial"/>
          <w:spacing w:val="-2"/>
          <w:sz w:val="24"/>
          <w:szCs w:val="24"/>
        </w:rPr>
        <w:t>ba</w:t>
      </w:r>
      <w:r w:rsidR="008B023E" w:rsidRPr="003A1174">
        <w:rPr>
          <w:rFonts w:ascii="Garamond" w:hAnsi="Garamond" w:cs="Arial"/>
          <w:sz w:val="24"/>
          <w:szCs w:val="24"/>
        </w:rPr>
        <w:t>se</w:t>
      </w:r>
      <w:r w:rsidR="008B023E" w:rsidRPr="003A1174">
        <w:rPr>
          <w:rFonts w:ascii="Garamond" w:hAnsi="Garamond" w:cs="Arial"/>
          <w:spacing w:val="56"/>
          <w:sz w:val="24"/>
          <w:szCs w:val="24"/>
        </w:rPr>
        <w:t xml:space="preserve"> </w:t>
      </w:r>
      <w:r w:rsidR="008B023E" w:rsidRPr="003A1174">
        <w:rPr>
          <w:rFonts w:ascii="Garamond" w:hAnsi="Garamond" w:cs="Arial"/>
          <w:sz w:val="24"/>
          <w:szCs w:val="24"/>
        </w:rPr>
        <w:t>c</w:t>
      </w:r>
      <w:r w:rsidR="008B023E" w:rsidRPr="003A1174">
        <w:rPr>
          <w:rFonts w:ascii="Garamond" w:hAnsi="Garamond" w:cs="Arial"/>
          <w:spacing w:val="-6"/>
          <w:sz w:val="24"/>
          <w:szCs w:val="24"/>
        </w:rPr>
        <w:t>o</w:t>
      </w:r>
      <w:r w:rsidR="008B023E" w:rsidRPr="003A1174">
        <w:rPr>
          <w:rFonts w:ascii="Garamond" w:hAnsi="Garamond" w:cs="Arial"/>
          <w:spacing w:val="3"/>
          <w:sz w:val="24"/>
          <w:szCs w:val="24"/>
        </w:rPr>
        <w:t>m</w:t>
      </w:r>
      <w:r w:rsidR="008B023E" w:rsidRPr="003A1174">
        <w:rPr>
          <w:rFonts w:ascii="Garamond" w:hAnsi="Garamond" w:cs="Arial"/>
          <w:sz w:val="24"/>
          <w:szCs w:val="24"/>
        </w:rPr>
        <w:t>un</w:t>
      </w:r>
      <w:r w:rsidR="008B023E" w:rsidRPr="003A1174">
        <w:rPr>
          <w:rFonts w:ascii="Garamond" w:hAnsi="Garamond" w:cs="Arial"/>
          <w:spacing w:val="-2"/>
          <w:sz w:val="24"/>
          <w:szCs w:val="24"/>
        </w:rPr>
        <w:t>i</w:t>
      </w:r>
      <w:r w:rsidR="008B023E" w:rsidRPr="003A1174">
        <w:rPr>
          <w:rFonts w:ascii="Garamond" w:hAnsi="Garamond" w:cs="Arial"/>
          <w:spacing w:val="-3"/>
          <w:sz w:val="24"/>
          <w:szCs w:val="24"/>
        </w:rPr>
        <w:t>t</w:t>
      </w:r>
      <w:r w:rsidRPr="003A1174">
        <w:rPr>
          <w:rFonts w:ascii="Garamond" w:hAnsi="Garamond" w:cs="Arial"/>
          <w:spacing w:val="-3"/>
          <w:sz w:val="24"/>
          <w:szCs w:val="24"/>
        </w:rPr>
        <w:t>á</w:t>
      </w:r>
      <w:r w:rsidR="008B023E" w:rsidRPr="003A1174">
        <w:rPr>
          <w:rFonts w:ascii="Garamond" w:hAnsi="Garamond" w:cs="Arial"/>
          <w:spacing w:val="2"/>
          <w:sz w:val="24"/>
          <w:szCs w:val="24"/>
        </w:rPr>
        <w:t>r</w:t>
      </w:r>
      <w:r w:rsidR="008B023E" w:rsidRPr="003A1174">
        <w:rPr>
          <w:rFonts w:ascii="Garamond" w:hAnsi="Garamond" w:cs="Arial"/>
          <w:spacing w:val="-1"/>
          <w:sz w:val="24"/>
          <w:szCs w:val="24"/>
        </w:rPr>
        <w:t>i</w:t>
      </w:r>
      <w:r w:rsidR="008B023E" w:rsidRPr="003A1174">
        <w:rPr>
          <w:rFonts w:ascii="Garamond" w:hAnsi="Garamond" w:cs="Arial"/>
          <w:sz w:val="24"/>
          <w:szCs w:val="24"/>
        </w:rPr>
        <w:t>a</w:t>
      </w:r>
      <w:r w:rsidR="005C3959">
        <w:rPr>
          <w:rFonts w:ascii="Garamond" w:hAnsi="Garamond" w:cs="Arial"/>
          <w:sz w:val="24"/>
          <w:szCs w:val="24"/>
        </w:rPr>
        <w:t>,</w:t>
      </w:r>
      <w:r w:rsidR="008B023E" w:rsidRPr="003A1174">
        <w:rPr>
          <w:rFonts w:ascii="Garamond" w:hAnsi="Garamond" w:cs="Arial"/>
          <w:spacing w:val="53"/>
          <w:sz w:val="24"/>
          <w:szCs w:val="24"/>
        </w:rPr>
        <w:t xml:space="preserve"> </w:t>
      </w:r>
      <w:r w:rsidR="008B023E" w:rsidRPr="003A1174">
        <w:rPr>
          <w:rFonts w:ascii="Garamond" w:hAnsi="Garamond" w:cs="Arial"/>
          <w:spacing w:val="-2"/>
          <w:sz w:val="24"/>
          <w:szCs w:val="24"/>
        </w:rPr>
        <w:t>p</w:t>
      </w:r>
      <w:r w:rsidR="008B023E" w:rsidRPr="003A1174">
        <w:rPr>
          <w:rFonts w:ascii="Garamond" w:hAnsi="Garamond" w:cs="Arial"/>
          <w:sz w:val="24"/>
          <w:szCs w:val="24"/>
        </w:rPr>
        <w:t>ro</w:t>
      </w:r>
      <w:r w:rsidR="008B023E" w:rsidRPr="003A1174">
        <w:rPr>
          <w:rFonts w:ascii="Garamond" w:hAnsi="Garamond" w:cs="Arial"/>
          <w:spacing w:val="1"/>
          <w:sz w:val="24"/>
          <w:szCs w:val="24"/>
        </w:rPr>
        <w:t>v</w:t>
      </w:r>
      <w:r w:rsidR="008B023E" w:rsidRPr="003A1174">
        <w:rPr>
          <w:rFonts w:ascii="Garamond" w:hAnsi="Garamond" w:cs="Arial"/>
          <w:sz w:val="24"/>
          <w:szCs w:val="24"/>
        </w:rPr>
        <w:t>e</w:t>
      </w:r>
      <w:r w:rsidR="008B023E" w:rsidRPr="003A1174">
        <w:rPr>
          <w:rFonts w:ascii="Garamond" w:hAnsi="Garamond" w:cs="Arial"/>
          <w:spacing w:val="2"/>
          <w:sz w:val="24"/>
          <w:szCs w:val="24"/>
        </w:rPr>
        <w:t>d</w:t>
      </w:r>
      <w:r w:rsidR="008B023E" w:rsidRPr="003A1174">
        <w:rPr>
          <w:rFonts w:ascii="Garamond" w:hAnsi="Garamond" w:cs="Arial"/>
          <w:spacing w:val="-6"/>
          <w:sz w:val="24"/>
          <w:szCs w:val="24"/>
        </w:rPr>
        <w:t>o</w:t>
      </w:r>
      <w:r w:rsidR="008B023E" w:rsidRPr="003A1174">
        <w:rPr>
          <w:rFonts w:ascii="Garamond" w:hAnsi="Garamond" w:cs="Arial"/>
          <w:sz w:val="24"/>
          <w:szCs w:val="24"/>
        </w:rPr>
        <w:t>r</w:t>
      </w:r>
      <w:r w:rsidR="008B023E" w:rsidRPr="003A1174">
        <w:rPr>
          <w:rFonts w:ascii="Garamond" w:hAnsi="Garamond" w:cs="Arial"/>
          <w:spacing w:val="-2"/>
          <w:sz w:val="24"/>
          <w:szCs w:val="24"/>
        </w:rPr>
        <w:t>a</w:t>
      </w:r>
      <w:r w:rsidR="008B023E" w:rsidRPr="003A1174">
        <w:rPr>
          <w:rFonts w:ascii="Garamond" w:hAnsi="Garamond" w:cs="Arial"/>
          <w:sz w:val="24"/>
          <w:szCs w:val="24"/>
        </w:rPr>
        <w:t>s</w:t>
      </w:r>
      <w:r w:rsidR="008B023E" w:rsidRPr="003A1174">
        <w:rPr>
          <w:rFonts w:ascii="Garamond" w:hAnsi="Garamond" w:cs="Arial"/>
          <w:spacing w:val="51"/>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z w:val="24"/>
          <w:szCs w:val="24"/>
        </w:rPr>
        <w:t xml:space="preserve">e </w:t>
      </w:r>
      <w:r w:rsidR="00B531F2" w:rsidRPr="003A1174">
        <w:rPr>
          <w:rFonts w:ascii="Garamond" w:hAnsi="Garamond" w:cs="Arial"/>
          <w:sz w:val="24"/>
          <w:szCs w:val="24"/>
        </w:rPr>
        <w:t>serviço</w:t>
      </w:r>
      <w:r w:rsidR="008B023E" w:rsidRPr="003A1174">
        <w:rPr>
          <w:rFonts w:ascii="Garamond" w:hAnsi="Garamond" w:cs="Arial"/>
          <w:sz w:val="24"/>
          <w:szCs w:val="24"/>
        </w:rPr>
        <w:t>s</w:t>
      </w:r>
      <w:r w:rsidR="008B023E" w:rsidRPr="003A1174">
        <w:rPr>
          <w:rFonts w:ascii="Garamond" w:hAnsi="Garamond" w:cs="Arial"/>
          <w:spacing w:val="58"/>
          <w:sz w:val="24"/>
          <w:szCs w:val="24"/>
        </w:rPr>
        <w:t xml:space="preserve"> </w:t>
      </w:r>
      <w:r w:rsidRPr="003A1174">
        <w:rPr>
          <w:rFonts w:ascii="Garamond" w:hAnsi="Garamond" w:cs="Arial"/>
          <w:sz w:val="24"/>
          <w:szCs w:val="24"/>
        </w:rPr>
        <w:t xml:space="preserve">a </w:t>
      </w:r>
      <w:r w:rsidR="003F012B" w:rsidRPr="003A1174">
        <w:rPr>
          <w:rFonts w:ascii="Garamond" w:hAnsi="Garamond" w:cs="Arial"/>
          <w:spacing w:val="-3"/>
          <w:sz w:val="24"/>
          <w:szCs w:val="24"/>
        </w:rPr>
        <w:t>vítima</w:t>
      </w:r>
      <w:r w:rsidR="008B023E" w:rsidRPr="003A1174">
        <w:rPr>
          <w:rFonts w:ascii="Garamond" w:hAnsi="Garamond" w:cs="Arial"/>
          <w:sz w:val="24"/>
          <w:szCs w:val="24"/>
        </w:rPr>
        <w:t>s/</w:t>
      </w:r>
      <w:r w:rsidR="008278C4" w:rsidRPr="003A1174">
        <w:rPr>
          <w:rFonts w:ascii="Garamond" w:hAnsi="Garamond" w:cs="Arial"/>
          <w:sz w:val="24"/>
          <w:szCs w:val="24"/>
        </w:rPr>
        <w:t>sobrevivente</w:t>
      </w:r>
      <w:r w:rsidR="008B023E" w:rsidRPr="003A1174">
        <w:rPr>
          <w:rFonts w:ascii="Garamond" w:hAnsi="Garamond" w:cs="Arial"/>
          <w:sz w:val="24"/>
          <w:szCs w:val="24"/>
        </w:rPr>
        <w:t>s</w:t>
      </w:r>
      <w:r w:rsidR="008B023E" w:rsidRPr="003A1174">
        <w:rPr>
          <w:rFonts w:ascii="Garamond" w:hAnsi="Garamond" w:cs="Arial"/>
          <w:spacing w:val="59"/>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z w:val="24"/>
          <w:szCs w:val="24"/>
        </w:rPr>
        <w:t>e</w:t>
      </w:r>
      <w:r w:rsidR="008B023E" w:rsidRPr="003A1174">
        <w:rPr>
          <w:rFonts w:ascii="Garamond" w:hAnsi="Garamond" w:cs="Arial"/>
          <w:spacing w:val="59"/>
          <w:sz w:val="24"/>
          <w:szCs w:val="24"/>
        </w:rPr>
        <w:t xml:space="preserve"> </w:t>
      </w:r>
      <w:r w:rsidR="000350B1" w:rsidRPr="003A1174">
        <w:rPr>
          <w:rFonts w:ascii="Garamond" w:hAnsi="Garamond" w:cs="Arial"/>
          <w:spacing w:val="2"/>
          <w:sz w:val="24"/>
          <w:szCs w:val="24"/>
        </w:rPr>
        <w:t>violência</w:t>
      </w:r>
      <w:r w:rsidR="008B023E" w:rsidRPr="003A1174">
        <w:rPr>
          <w:rFonts w:ascii="Garamond" w:hAnsi="Garamond" w:cs="Arial"/>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z w:val="24"/>
          <w:szCs w:val="24"/>
        </w:rPr>
        <w:t>o</w:t>
      </w:r>
      <w:r w:rsidR="008B023E" w:rsidRPr="003A1174">
        <w:rPr>
          <w:rFonts w:ascii="Garamond" w:hAnsi="Garamond" w:cs="Arial"/>
          <w:spacing w:val="3"/>
          <w:sz w:val="24"/>
          <w:szCs w:val="24"/>
        </w:rPr>
        <w:t>m</w:t>
      </w:r>
      <w:r w:rsidR="008B023E" w:rsidRPr="003A1174">
        <w:rPr>
          <w:rFonts w:ascii="Garamond" w:hAnsi="Garamond" w:cs="Arial"/>
          <w:sz w:val="24"/>
          <w:szCs w:val="24"/>
        </w:rPr>
        <w:t>és</w:t>
      </w:r>
      <w:r w:rsidR="008B023E" w:rsidRPr="003A1174">
        <w:rPr>
          <w:rFonts w:ascii="Garamond" w:hAnsi="Garamond" w:cs="Arial"/>
          <w:spacing w:val="-3"/>
          <w:sz w:val="24"/>
          <w:szCs w:val="24"/>
        </w:rPr>
        <w:t>t</w:t>
      </w:r>
      <w:r w:rsidR="008B023E" w:rsidRPr="003A1174">
        <w:rPr>
          <w:rFonts w:ascii="Garamond" w:hAnsi="Garamond" w:cs="Arial"/>
          <w:spacing w:val="-1"/>
          <w:sz w:val="24"/>
          <w:szCs w:val="24"/>
        </w:rPr>
        <w:t>i</w:t>
      </w:r>
      <w:r w:rsidR="008B023E" w:rsidRPr="003A1174">
        <w:rPr>
          <w:rFonts w:ascii="Garamond" w:hAnsi="Garamond" w:cs="Arial"/>
          <w:sz w:val="24"/>
          <w:szCs w:val="24"/>
        </w:rPr>
        <w:t>c</w:t>
      </w:r>
      <w:r w:rsidR="008B023E" w:rsidRPr="003A1174">
        <w:rPr>
          <w:rFonts w:ascii="Garamond" w:hAnsi="Garamond" w:cs="Arial"/>
          <w:spacing w:val="-2"/>
          <w:sz w:val="24"/>
          <w:szCs w:val="24"/>
        </w:rPr>
        <w:t>a</w:t>
      </w:r>
      <w:r w:rsidR="008B023E" w:rsidRPr="003A1174">
        <w:rPr>
          <w:rFonts w:ascii="Garamond" w:hAnsi="Garamond" w:cs="Arial"/>
          <w:sz w:val="24"/>
          <w:szCs w:val="24"/>
        </w:rPr>
        <w:t>,</w:t>
      </w:r>
      <w:r w:rsidR="008B023E" w:rsidRPr="003A1174">
        <w:rPr>
          <w:rFonts w:ascii="Garamond" w:hAnsi="Garamond" w:cs="Arial"/>
          <w:spacing w:val="60"/>
          <w:sz w:val="24"/>
          <w:szCs w:val="24"/>
        </w:rPr>
        <w:t xml:space="preserve"> </w:t>
      </w:r>
      <w:r w:rsidR="009A0623" w:rsidRPr="003A1174">
        <w:rPr>
          <w:rFonts w:ascii="Garamond" w:hAnsi="Garamond" w:cs="Arial"/>
          <w:spacing w:val="-2"/>
          <w:sz w:val="24"/>
          <w:szCs w:val="24"/>
        </w:rPr>
        <w:t>agressão</w:t>
      </w:r>
      <w:r w:rsidR="008B023E" w:rsidRPr="003A1174">
        <w:rPr>
          <w:rFonts w:ascii="Garamond" w:hAnsi="Garamond" w:cs="Arial"/>
          <w:spacing w:val="1"/>
          <w:sz w:val="24"/>
          <w:szCs w:val="24"/>
        </w:rPr>
        <w:t xml:space="preserve"> </w:t>
      </w:r>
      <w:r w:rsidR="008B023E" w:rsidRPr="003A1174">
        <w:rPr>
          <w:rFonts w:ascii="Garamond" w:hAnsi="Garamond" w:cs="Arial"/>
          <w:sz w:val="24"/>
          <w:szCs w:val="24"/>
        </w:rPr>
        <w:t>sexu</w:t>
      </w:r>
      <w:r w:rsidR="008B023E" w:rsidRPr="003A1174">
        <w:rPr>
          <w:rFonts w:ascii="Garamond" w:hAnsi="Garamond" w:cs="Arial"/>
          <w:spacing w:val="-7"/>
          <w:sz w:val="24"/>
          <w:szCs w:val="24"/>
        </w:rPr>
        <w:t>a</w:t>
      </w:r>
      <w:r w:rsidR="008B023E" w:rsidRPr="003A1174">
        <w:rPr>
          <w:rFonts w:ascii="Garamond" w:hAnsi="Garamond" w:cs="Arial"/>
          <w:sz w:val="24"/>
          <w:szCs w:val="24"/>
        </w:rPr>
        <w:t>l</w:t>
      </w:r>
      <w:r w:rsidR="008B023E" w:rsidRPr="003A1174">
        <w:rPr>
          <w:rFonts w:ascii="Garamond" w:hAnsi="Garamond" w:cs="Arial"/>
          <w:spacing w:val="6"/>
          <w:sz w:val="24"/>
          <w:szCs w:val="24"/>
        </w:rPr>
        <w:t xml:space="preserve"> </w:t>
      </w:r>
      <w:r w:rsidR="000672E8" w:rsidRPr="003A1174">
        <w:rPr>
          <w:rFonts w:ascii="Garamond" w:hAnsi="Garamond" w:cs="Arial"/>
          <w:sz w:val="24"/>
          <w:szCs w:val="24"/>
        </w:rPr>
        <w:t>e</w:t>
      </w:r>
      <w:r w:rsidR="008B023E" w:rsidRPr="003A1174">
        <w:rPr>
          <w:rFonts w:ascii="Garamond" w:hAnsi="Garamond" w:cs="Arial"/>
          <w:sz w:val="24"/>
          <w:szCs w:val="24"/>
        </w:rPr>
        <w:t xml:space="preserve"> </w:t>
      </w:r>
      <w:r w:rsidRPr="003A1174">
        <w:rPr>
          <w:rFonts w:ascii="Garamond" w:hAnsi="Garamond" w:cs="Arial"/>
          <w:spacing w:val="-2"/>
          <w:sz w:val="24"/>
          <w:szCs w:val="24"/>
        </w:rPr>
        <w:t>ameaças</w:t>
      </w:r>
      <w:r w:rsidR="008B023E" w:rsidRPr="003A1174">
        <w:rPr>
          <w:rFonts w:ascii="Garamond" w:hAnsi="Garamond" w:cs="Arial"/>
          <w:sz w:val="24"/>
          <w:szCs w:val="24"/>
        </w:rPr>
        <w:t>.</w:t>
      </w:r>
      <w:r w:rsidR="008B023E" w:rsidRPr="003A1174">
        <w:rPr>
          <w:rFonts w:ascii="Garamond" w:hAnsi="Garamond" w:cs="Arial"/>
          <w:spacing w:val="56"/>
          <w:sz w:val="24"/>
          <w:szCs w:val="24"/>
        </w:rPr>
        <w:t xml:space="preserve"> </w:t>
      </w:r>
      <w:r w:rsidR="008B023E" w:rsidRPr="003A1174">
        <w:rPr>
          <w:rFonts w:ascii="Garamond" w:hAnsi="Garamond" w:cs="Arial"/>
          <w:spacing w:val="-4"/>
          <w:sz w:val="24"/>
          <w:szCs w:val="24"/>
        </w:rPr>
        <w:t>E</w:t>
      </w:r>
      <w:r w:rsidR="008B023E" w:rsidRPr="003A1174">
        <w:rPr>
          <w:rFonts w:ascii="Garamond" w:hAnsi="Garamond" w:cs="Arial"/>
          <w:sz w:val="24"/>
          <w:szCs w:val="24"/>
        </w:rPr>
        <w:t>n</w:t>
      </w:r>
      <w:r w:rsidR="008B023E" w:rsidRPr="003A1174">
        <w:rPr>
          <w:rFonts w:ascii="Garamond" w:hAnsi="Garamond" w:cs="Arial"/>
          <w:spacing w:val="-4"/>
          <w:sz w:val="24"/>
          <w:szCs w:val="24"/>
        </w:rPr>
        <w:t>t</w:t>
      </w:r>
      <w:r w:rsidR="008B023E" w:rsidRPr="003A1174">
        <w:rPr>
          <w:rFonts w:ascii="Garamond" w:hAnsi="Garamond" w:cs="Arial"/>
          <w:sz w:val="24"/>
          <w:szCs w:val="24"/>
        </w:rPr>
        <w:t>re</w:t>
      </w:r>
      <w:r w:rsidRPr="003A1174">
        <w:rPr>
          <w:rFonts w:ascii="Garamond" w:hAnsi="Garamond" w:cs="Arial"/>
          <w:sz w:val="24"/>
          <w:szCs w:val="24"/>
        </w:rPr>
        <w:t xml:space="preserve"> as</w:t>
      </w:r>
      <w:r w:rsidR="008B023E" w:rsidRPr="003A1174">
        <w:rPr>
          <w:rFonts w:ascii="Garamond" w:hAnsi="Garamond" w:cs="Arial"/>
          <w:spacing w:val="30"/>
          <w:sz w:val="24"/>
          <w:szCs w:val="24"/>
        </w:rPr>
        <w:t xml:space="preserve"> </w:t>
      </w:r>
      <w:r w:rsidR="008B023E" w:rsidRPr="003A1174">
        <w:rPr>
          <w:rFonts w:ascii="Garamond" w:hAnsi="Garamond" w:cs="Arial"/>
          <w:sz w:val="24"/>
          <w:szCs w:val="24"/>
        </w:rPr>
        <w:t>s</w:t>
      </w:r>
      <w:r w:rsidR="008B023E" w:rsidRPr="003A1174">
        <w:rPr>
          <w:rFonts w:ascii="Garamond" w:hAnsi="Garamond" w:cs="Arial"/>
          <w:spacing w:val="-5"/>
          <w:sz w:val="24"/>
          <w:szCs w:val="24"/>
        </w:rPr>
        <w:t>u</w:t>
      </w:r>
      <w:r w:rsidRPr="003A1174">
        <w:rPr>
          <w:rFonts w:ascii="Garamond" w:hAnsi="Garamond" w:cs="Arial"/>
          <w:spacing w:val="-5"/>
          <w:sz w:val="24"/>
          <w:szCs w:val="24"/>
        </w:rPr>
        <w:t>a</w:t>
      </w:r>
      <w:r w:rsidR="008B023E" w:rsidRPr="003A1174">
        <w:rPr>
          <w:rFonts w:ascii="Garamond" w:hAnsi="Garamond" w:cs="Arial"/>
          <w:sz w:val="24"/>
          <w:szCs w:val="24"/>
        </w:rPr>
        <w:t>s</w:t>
      </w:r>
      <w:r w:rsidR="008B023E" w:rsidRPr="003A1174">
        <w:rPr>
          <w:rFonts w:ascii="Garamond" w:hAnsi="Garamond" w:cs="Arial"/>
          <w:spacing w:val="30"/>
          <w:sz w:val="24"/>
          <w:szCs w:val="24"/>
        </w:rPr>
        <w:t xml:space="preserve"> </w:t>
      </w:r>
      <w:r w:rsidR="005C3959" w:rsidRPr="003A1174">
        <w:rPr>
          <w:rFonts w:ascii="Garamond" w:hAnsi="Garamond" w:cs="Arial"/>
          <w:spacing w:val="-2"/>
          <w:sz w:val="24"/>
          <w:szCs w:val="24"/>
        </w:rPr>
        <w:t>principais</w:t>
      </w:r>
      <w:r w:rsidR="005C3959" w:rsidRPr="003A1174">
        <w:rPr>
          <w:rFonts w:ascii="Garamond" w:hAnsi="Garamond" w:cs="Arial"/>
          <w:spacing w:val="30"/>
          <w:sz w:val="24"/>
          <w:szCs w:val="24"/>
        </w:rPr>
        <w:t xml:space="preserve"> </w:t>
      </w:r>
      <w:r w:rsidR="00E150E9" w:rsidRPr="003A1174">
        <w:rPr>
          <w:rFonts w:ascii="Garamond" w:hAnsi="Garamond" w:cs="Arial"/>
          <w:spacing w:val="-3"/>
          <w:sz w:val="24"/>
          <w:szCs w:val="24"/>
        </w:rPr>
        <w:t>funções</w:t>
      </w:r>
      <w:r w:rsidR="005C3959">
        <w:rPr>
          <w:rFonts w:ascii="Garamond" w:hAnsi="Garamond" w:cs="Arial"/>
          <w:spacing w:val="-3"/>
          <w:sz w:val="24"/>
          <w:szCs w:val="24"/>
        </w:rPr>
        <w:t>,</w:t>
      </w:r>
      <w:r w:rsidR="008B023E" w:rsidRPr="003A1174">
        <w:rPr>
          <w:rFonts w:ascii="Garamond" w:hAnsi="Garamond" w:cs="Arial"/>
          <w:spacing w:val="26"/>
          <w:sz w:val="24"/>
          <w:szCs w:val="24"/>
        </w:rPr>
        <w:t xml:space="preserve"> </w:t>
      </w:r>
      <w:r w:rsidR="00AB6522" w:rsidRPr="003A1174">
        <w:rPr>
          <w:rFonts w:ascii="Garamond" w:hAnsi="Garamond" w:cs="Arial"/>
          <w:sz w:val="24"/>
          <w:szCs w:val="24"/>
        </w:rPr>
        <w:t>encontra</w:t>
      </w:r>
      <w:r w:rsidRPr="003A1174">
        <w:rPr>
          <w:rFonts w:ascii="Garamond" w:hAnsi="Garamond" w:cs="Arial"/>
          <w:sz w:val="24"/>
          <w:szCs w:val="24"/>
        </w:rPr>
        <w:t xml:space="preserve">-se a </w:t>
      </w:r>
      <w:r w:rsidR="005C3959">
        <w:rPr>
          <w:rFonts w:ascii="Garamond" w:hAnsi="Garamond" w:cs="Arial"/>
          <w:sz w:val="24"/>
          <w:szCs w:val="24"/>
        </w:rPr>
        <w:t xml:space="preserve">da </w:t>
      </w:r>
      <w:r w:rsidRPr="003A1174">
        <w:rPr>
          <w:rFonts w:ascii="Garamond" w:hAnsi="Garamond" w:cs="Arial"/>
          <w:sz w:val="24"/>
          <w:szCs w:val="24"/>
        </w:rPr>
        <w:t>p</w:t>
      </w:r>
      <w:r w:rsidR="008B023E" w:rsidRPr="003A1174">
        <w:rPr>
          <w:rFonts w:ascii="Garamond" w:hAnsi="Garamond" w:cs="Arial"/>
          <w:sz w:val="24"/>
          <w:szCs w:val="24"/>
        </w:rPr>
        <w:t>r</w:t>
      </w:r>
      <w:r w:rsidR="008B023E" w:rsidRPr="003A1174">
        <w:rPr>
          <w:rFonts w:ascii="Garamond" w:hAnsi="Garamond" w:cs="Arial"/>
          <w:spacing w:val="-6"/>
          <w:sz w:val="24"/>
          <w:szCs w:val="24"/>
        </w:rPr>
        <w:t>o</w:t>
      </w:r>
      <w:r w:rsidR="008B023E" w:rsidRPr="003A1174">
        <w:rPr>
          <w:rFonts w:ascii="Garamond" w:hAnsi="Garamond" w:cs="Arial"/>
          <w:spacing w:val="8"/>
          <w:sz w:val="24"/>
          <w:szCs w:val="24"/>
        </w:rPr>
        <w:t>m</w:t>
      </w:r>
      <w:r w:rsidR="008B023E" w:rsidRPr="003A1174">
        <w:rPr>
          <w:rFonts w:ascii="Garamond" w:hAnsi="Garamond" w:cs="Arial"/>
          <w:spacing w:val="-6"/>
          <w:sz w:val="24"/>
          <w:szCs w:val="24"/>
        </w:rPr>
        <w:t>o</w:t>
      </w:r>
      <w:r w:rsidRPr="003A1174">
        <w:rPr>
          <w:rFonts w:ascii="Garamond" w:hAnsi="Garamond" w:cs="Arial"/>
          <w:spacing w:val="-6"/>
          <w:sz w:val="24"/>
          <w:szCs w:val="24"/>
        </w:rPr>
        <w:t xml:space="preserve">ção da </w:t>
      </w:r>
      <w:r w:rsidR="00C01806" w:rsidRPr="003A1174">
        <w:rPr>
          <w:rFonts w:ascii="Garamond" w:hAnsi="Garamond" w:cs="Arial"/>
          <w:sz w:val="24"/>
          <w:szCs w:val="24"/>
        </w:rPr>
        <w:t>comunicação</w:t>
      </w:r>
      <w:r w:rsidR="008B023E" w:rsidRPr="003A1174">
        <w:rPr>
          <w:rFonts w:ascii="Garamond" w:hAnsi="Garamond" w:cs="Arial"/>
          <w:spacing w:val="29"/>
          <w:sz w:val="24"/>
          <w:szCs w:val="24"/>
        </w:rPr>
        <w:t xml:space="preserve"> </w:t>
      </w:r>
      <w:r w:rsidR="008B023E" w:rsidRPr="003A1174">
        <w:rPr>
          <w:rFonts w:ascii="Garamond" w:hAnsi="Garamond" w:cs="Arial"/>
          <w:sz w:val="24"/>
          <w:szCs w:val="24"/>
        </w:rPr>
        <w:t>en</w:t>
      </w:r>
      <w:r w:rsidR="008B023E" w:rsidRPr="003A1174">
        <w:rPr>
          <w:rFonts w:ascii="Garamond" w:hAnsi="Garamond" w:cs="Arial"/>
          <w:spacing w:val="-3"/>
          <w:sz w:val="24"/>
          <w:szCs w:val="24"/>
        </w:rPr>
        <w:t>t</w:t>
      </w:r>
      <w:r w:rsidR="008B023E" w:rsidRPr="003A1174">
        <w:rPr>
          <w:rFonts w:ascii="Garamond" w:hAnsi="Garamond" w:cs="Arial"/>
          <w:sz w:val="24"/>
          <w:szCs w:val="24"/>
        </w:rPr>
        <w:t xml:space="preserve">re </w:t>
      </w:r>
      <w:r w:rsidR="002470B1" w:rsidRPr="003A1174">
        <w:rPr>
          <w:rFonts w:ascii="Garamond" w:hAnsi="Garamond" w:cs="Arial"/>
          <w:sz w:val="24"/>
          <w:szCs w:val="24"/>
        </w:rPr>
        <w:t>organizações</w:t>
      </w:r>
      <w:r w:rsidR="008B023E" w:rsidRPr="003A1174">
        <w:rPr>
          <w:rFonts w:ascii="Garamond" w:hAnsi="Garamond" w:cs="Arial"/>
          <w:spacing w:val="-13"/>
          <w:sz w:val="24"/>
          <w:szCs w:val="24"/>
        </w:rPr>
        <w:t xml:space="preserve"> </w:t>
      </w:r>
      <w:r w:rsidRPr="003A1174">
        <w:rPr>
          <w:rFonts w:ascii="Garamond" w:hAnsi="Garamond" w:cs="Arial"/>
          <w:sz w:val="24"/>
          <w:szCs w:val="24"/>
        </w:rPr>
        <w:t>não</w:t>
      </w:r>
      <w:r w:rsidRPr="003A1174">
        <w:rPr>
          <w:rFonts w:ascii="Garamond" w:hAnsi="Garamond" w:cs="Arial"/>
          <w:spacing w:val="-14"/>
          <w:sz w:val="24"/>
          <w:szCs w:val="24"/>
        </w:rPr>
        <w:t>-governamentais</w:t>
      </w:r>
      <w:r w:rsidR="008B023E" w:rsidRPr="003A1174">
        <w:rPr>
          <w:rFonts w:ascii="Garamond" w:hAnsi="Garamond" w:cs="Arial"/>
          <w:spacing w:val="-17"/>
          <w:sz w:val="24"/>
          <w:szCs w:val="24"/>
        </w:rPr>
        <w:t xml:space="preserve"> </w:t>
      </w:r>
      <w:r w:rsidR="000672E8" w:rsidRPr="003A1174">
        <w:rPr>
          <w:rFonts w:ascii="Garamond" w:hAnsi="Garamond" w:cs="Arial"/>
          <w:sz w:val="24"/>
          <w:szCs w:val="24"/>
        </w:rPr>
        <w:t>e</w:t>
      </w:r>
      <w:r w:rsidR="008B023E" w:rsidRPr="003A1174">
        <w:rPr>
          <w:rFonts w:ascii="Garamond" w:hAnsi="Garamond" w:cs="Arial"/>
          <w:spacing w:val="-12"/>
          <w:sz w:val="24"/>
          <w:szCs w:val="24"/>
        </w:rPr>
        <w:t xml:space="preserve"> </w:t>
      </w:r>
      <w:r w:rsidR="00100435" w:rsidRPr="003A1174">
        <w:rPr>
          <w:rFonts w:ascii="Garamond" w:hAnsi="Garamond" w:cs="Arial"/>
          <w:sz w:val="24"/>
          <w:szCs w:val="24"/>
        </w:rPr>
        <w:t>governamentais</w:t>
      </w:r>
      <w:r w:rsidR="008B023E" w:rsidRPr="003A1174">
        <w:rPr>
          <w:rFonts w:ascii="Garamond" w:hAnsi="Garamond" w:cs="Arial"/>
          <w:spacing w:val="-13"/>
          <w:sz w:val="24"/>
          <w:szCs w:val="24"/>
        </w:rPr>
        <w:t xml:space="preserve"> </w:t>
      </w:r>
      <w:r w:rsidR="008B023E" w:rsidRPr="003A1174">
        <w:rPr>
          <w:rFonts w:ascii="Garamond" w:hAnsi="Garamond" w:cs="Arial"/>
          <w:spacing w:val="-2"/>
          <w:sz w:val="24"/>
          <w:szCs w:val="24"/>
        </w:rPr>
        <w:t>pa</w:t>
      </w:r>
      <w:r w:rsidR="008B023E" w:rsidRPr="003A1174">
        <w:rPr>
          <w:rFonts w:ascii="Garamond" w:hAnsi="Garamond" w:cs="Arial"/>
          <w:sz w:val="24"/>
          <w:szCs w:val="24"/>
        </w:rPr>
        <w:t>ra</w:t>
      </w:r>
      <w:r w:rsidR="008B023E" w:rsidRPr="003A1174">
        <w:rPr>
          <w:rFonts w:ascii="Garamond" w:hAnsi="Garamond" w:cs="Arial"/>
          <w:spacing w:val="-16"/>
          <w:sz w:val="24"/>
          <w:szCs w:val="24"/>
        </w:rPr>
        <w:t xml:space="preserve"> </w:t>
      </w:r>
      <w:r w:rsidR="008B023E" w:rsidRPr="003A1174">
        <w:rPr>
          <w:rFonts w:ascii="Garamond" w:hAnsi="Garamond" w:cs="Arial"/>
          <w:spacing w:val="-3"/>
          <w:sz w:val="24"/>
          <w:szCs w:val="24"/>
        </w:rPr>
        <w:t>f</w:t>
      </w:r>
      <w:r w:rsidR="008B023E" w:rsidRPr="003A1174">
        <w:rPr>
          <w:rFonts w:ascii="Garamond" w:hAnsi="Garamond" w:cs="Arial"/>
          <w:sz w:val="24"/>
          <w:szCs w:val="24"/>
        </w:rPr>
        <w:t>or</w:t>
      </w:r>
      <w:r w:rsidR="008B023E" w:rsidRPr="003A1174">
        <w:rPr>
          <w:rFonts w:ascii="Garamond" w:hAnsi="Garamond" w:cs="Arial"/>
          <w:spacing w:val="-3"/>
          <w:sz w:val="24"/>
          <w:szCs w:val="24"/>
        </w:rPr>
        <w:t>t</w:t>
      </w:r>
      <w:r w:rsidR="008B023E" w:rsidRPr="003A1174">
        <w:rPr>
          <w:rFonts w:ascii="Garamond" w:hAnsi="Garamond" w:cs="Arial"/>
          <w:spacing w:val="-7"/>
          <w:sz w:val="24"/>
          <w:szCs w:val="24"/>
        </w:rPr>
        <w:t>a</w:t>
      </w:r>
      <w:r w:rsidR="008B023E" w:rsidRPr="003A1174">
        <w:rPr>
          <w:rFonts w:ascii="Garamond" w:hAnsi="Garamond" w:cs="Arial"/>
          <w:spacing w:val="8"/>
          <w:sz w:val="24"/>
          <w:szCs w:val="24"/>
        </w:rPr>
        <w:t>l</w:t>
      </w:r>
      <w:r w:rsidR="008B023E" w:rsidRPr="003A1174">
        <w:rPr>
          <w:rFonts w:ascii="Garamond" w:hAnsi="Garamond" w:cs="Arial"/>
          <w:sz w:val="24"/>
          <w:szCs w:val="24"/>
        </w:rPr>
        <w:t>e</w:t>
      </w:r>
      <w:r w:rsidR="008B023E" w:rsidRPr="003A1174">
        <w:rPr>
          <w:rFonts w:ascii="Garamond" w:hAnsi="Garamond" w:cs="Arial"/>
          <w:spacing w:val="-4"/>
          <w:sz w:val="24"/>
          <w:szCs w:val="24"/>
        </w:rPr>
        <w:t>c</w:t>
      </w:r>
      <w:r w:rsidR="008B023E" w:rsidRPr="003A1174">
        <w:rPr>
          <w:rFonts w:ascii="Garamond" w:hAnsi="Garamond" w:cs="Arial"/>
          <w:sz w:val="24"/>
          <w:szCs w:val="24"/>
        </w:rPr>
        <w:t>er</w:t>
      </w:r>
      <w:r w:rsidR="008B023E" w:rsidRPr="003A1174">
        <w:rPr>
          <w:rFonts w:ascii="Garamond" w:hAnsi="Garamond" w:cs="Arial"/>
          <w:spacing w:val="-17"/>
          <w:sz w:val="24"/>
          <w:szCs w:val="24"/>
        </w:rPr>
        <w:t xml:space="preserve"> </w:t>
      </w:r>
      <w:r w:rsidR="008B023E" w:rsidRPr="003A1174">
        <w:rPr>
          <w:rFonts w:ascii="Garamond" w:hAnsi="Garamond" w:cs="Arial"/>
          <w:spacing w:val="-7"/>
          <w:sz w:val="24"/>
          <w:szCs w:val="24"/>
        </w:rPr>
        <w:t>a</w:t>
      </w:r>
      <w:r w:rsidR="008B023E" w:rsidRPr="003A1174">
        <w:rPr>
          <w:rFonts w:ascii="Garamond" w:hAnsi="Garamond" w:cs="Arial"/>
          <w:sz w:val="24"/>
          <w:szCs w:val="24"/>
        </w:rPr>
        <w:t>s</w:t>
      </w:r>
      <w:r w:rsidR="008B023E" w:rsidRPr="003A1174">
        <w:rPr>
          <w:rFonts w:ascii="Garamond" w:hAnsi="Garamond" w:cs="Arial"/>
          <w:spacing w:val="-13"/>
          <w:sz w:val="24"/>
          <w:szCs w:val="24"/>
        </w:rPr>
        <w:t xml:space="preserve"> </w:t>
      </w:r>
      <w:r w:rsidR="008B023E" w:rsidRPr="003A1174">
        <w:rPr>
          <w:rFonts w:ascii="Garamond" w:hAnsi="Garamond" w:cs="Arial"/>
          <w:sz w:val="24"/>
          <w:szCs w:val="24"/>
        </w:rPr>
        <w:t>r</w:t>
      </w:r>
      <w:r w:rsidR="008B023E" w:rsidRPr="003A1174">
        <w:rPr>
          <w:rFonts w:ascii="Garamond" w:hAnsi="Garamond" w:cs="Arial"/>
          <w:spacing w:val="-5"/>
          <w:sz w:val="24"/>
          <w:szCs w:val="24"/>
        </w:rPr>
        <w:t>e</w:t>
      </w:r>
      <w:r w:rsidR="008B023E" w:rsidRPr="003A1174">
        <w:rPr>
          <w:rFonts w:ascii="Garamond" w:hAnsi="Garamond" w:cs="Arial"/>
          <w:spacing w:val="2"/>
          <w:sz w:val="24"/>
          <w:szCs w:val="24"/>
        </w:rPr>
        <w:t>d</w:t>
      </w:r>
      <w:r w:rsidR="008B023E" w:rsidRPr="003A1174">
        <w:rPr>
          <w:rFonts w:ascii="Garamond" w:hAnsi="Garamond" w:cs="Arial"/>
          <w:sz w:val="24"/>
          <w:szCs w:val="24"/>
        </w:rPr>
        <w:t xml:space="preserve">es </w:t>
      </w:r>
      <w:r w:rsidR="008B023E" w:rsidRPr="003A1174">
        <w:rPr>
          <w:rFonts w:ascii="Garamond" w:hAnsi="Garamond" w:cs="Arial"/>
          <w:spacing w:val="2"/>
          <w:sz w:val="24"/>
          <w:szCs w:val="24"/>
        </w:rPr>
        <w:t>d</w:t>
      </w:r>
      <w:r w:rsidR="008B023E" w:rsidRPr="003A1174">
        <w:rPr>
          <w:rFonts w:ascii="Garamond" w:hAnsi="Garamond" w:cs="Arial"/>
          <w:sz w:val="24"/>
          <w:szCs w:val="24"/>
        </w:rPr>
        <w:t>e</w:t>
      </w:r>
      <w:r w:rsidR="008B023E" w:rsidRPr="003A1174">
        <w:rPr>
          <w:rFonts w:ascii="Garamond" w:hAnsi="Garamond" w:cs="Arial"/>
          <w:spacing w:val="50"/>
          <w:sz w:val="24"/>
          <w:szCs w:val="24"/>
        </w:rPr>
        <w:t xml:space="preserve"> </w:t>
      </w:r>
      <w:r w:rsidR="00791197" w:rsidRPr="003A1174">
        <w:rPr>
          <w:rFonts w:ascii="Garamond" w:hAnsi="Garamond" w:cs="Arial"/>
          <w:spacing w:val="-2"/>
          <w:sz w:val="24"/>
          <w:szCs w:val="24"/>
        </w:rPr>
        <w:t>apoio</w:t>
      </w:r>
      <w:r w:rsidR="008B023E" w:rsidRPr="003A1174">
        <w:rPr>
          <w:rFonts w:ascii="Garamond" w:hAnsi="Garamond" w:cs="Arial"/>
          <w:sz w:val="24"/>
          <w:szCs w:val="24"/>
        </w:rPr>
        <w:t>,</w:t>
      </w:r>
      <w:r w:rsidR="008B023E" w:rsidRPr="003A1174">
        <w:rPr>
          <w:rFonts w:ascii="Garamond" w:hAnsi="Garamond" w:cs="Arial"/>
          <w:spacing w:val="45"/>
          <w:sz w:val="24"/>
          <w:szCs w:val="24"/>
        </w:rPr>
        <w:t xml:space="preserve"> </w:t>
      </w:r>
      <w:r w:rsidR="003E1D8A" w:rsidRPr="003A1174">
        <w:rPr>
          <w:rFonts w:ascii="Garamond" w:hAnsi="Garamond" w:cs="Arial"/>
          <w:sz w:val="24"/>
          <w:szCs w:val="24"/>
        </w:rPr>
        <w:t>estabelecendo</w:t>
      </w:r>
      <w:r w:rsidR="008B023E" w:rsidRPr="003A1174">
        <w:rPr>
          <w:rFonts w:ascii="Garamond" w:hAnsi="Garamond" w:cs="Arial"/>
          <w:spacing w:val="50"/>
          <w:sz w:val="24"/>
          <w:szCs w:val="24"/>
        </w:rPr>
        <w:t xml:space="preserve"> </w:t>
      </w:r>
      <w:r w:rsidR="008B023E" w:rsidRPr="003A1174">
        <w:rPr>
          <w:rFonts w:ascii="Garamond" w:hAnsi="Garamond" w:cs="Arial"/>
          <w:sz w:val="24"/>
          <w:szCs w:val="24"/>
        </w:rPr>
        <w:t>u</w:t>
      </w:r>
      <w:r w:rsidRPr="003A1174">
        <w:rPr>
          <w:rFonts w:ascii="Garamond" w:hAnsi="Garamond" w:cs="Arial"/>
          <w:sz w:val="24"/>
          <w:szCs w:val="24"/>
        </w:rPr>
        <w:t>m</w:t>
      </w:r>
      <w:r w:rsidR="008B023E" w:rsidRPr="003A1174">
        <w:rPr>
          <w:rFonts w:ascii="Garamond" w:hAnsi="Garamond" w:cs="Arial"/>
          <w:spacing w:val="46"/>
          <w:sz w:val="24"/>
          <w:szCs w:val="24"/>
        </w:rPr>
        <w:t xml:space="preserve"> </w:t>
      </w:r>
      <w:r w:rsidR="008B023E" w:rsidRPr="003A1174">
        <w:rPr>
          <w:rFonts w:ascii="Garamond" w:hAnsi="Garamond" w:cs="Arial"/>
          <w:spacing w:val="2"/>
          <w:sz w:val="24"/>
          <w:szCs w:val="24"/>
        </w:rPr>
        <w:t>d</w:t>
      </w:r>
      <w:r w:rsidR="008B023E" w:rsidRPr="003A1174">
        <w:rPr>
          <w:rFonts w:ascii="Garamond" w:hAnsi="Garamond" w:cs="Arial"/>
          <w:spacing w:val="-1"/>
          <w:sz w:val="24"/>
          <w:szCs w:val="24"/>
        </w:rPr>
        <w:t>i</w:t>
      </w:r>
      <w:r w:rsidR="00AE7513" w:rsidRPr="003A1174">
        <w:rPr>
          <w:rFonts w:ascii="Garamond" w:hAnsi="Garamond" w:cs="Arial"/>
          <w:spacing w:val="-7"/>
          <w:sz w:val="24"/>
          <w:szCs w:val="24"/>
        </w:rPr>
        <w:t>á</w:t>
      </w:r>
      <w:r w:rsidR="008B023E" w:rsidRPr="003A1174">
        <w:rPr>
          <w:rFonts w:ascii="Garamond" w:hAnsi="Garamond" w:cs="Arial"/>
          <w:spacing w:val="3"/>
          <w:sz w:val="24"/>
          <w:szCs w:val="24"/>
        </w:rPr>
        <w:t>l</w:t>
      </w:r>
      <w:r w:rsidR="008B023E" w:rsidRPr="003A1174">
        <w:rPr>
          <w:rFonts w:ascii="Garamond" w:hAnsi="Garamond" w:cs="Arial"/>
          <w:sz w:val="24"/>
          <w:szCs w:val="24"/>
        </w:rPr>
        <w:t>ogo</w:t>
      </w:r>
      <w:r w:rsidRPr="003A1174">
        <w:rPr>
          <w:rFonts w:ascii="Garamond" w:hAnsi="Garamond" w:cs="Arial"/>
          <w:sz w:val="24"/>
          <w:szCs w:val="24"/>
        </w:rPr>
        <w:t xml:space="preserve"> de</w:t>
      </w:r>
      <w:r w:rsidR="008B023E" w:rsidRPr="003A1174">
        <w:rPr>
          <w:rFonts w:ascii="Garamond" w:hAnsi="Garamond" w:cs="Arial"/>
          <w:spacing w:val="45"/>
          <w:sz w:val="24"/>
          <w:szCs w:val="24"/>
        </w:rPr>
        <w:t xml:space="preserve"> </w:t>
      </w:r>
      <w:r w:rsidR="008B023E" w:rsidRPr="003A1174">
        <w:rPr>
          <w:rFonts w:ascii="Garamond" w:hAnsi="Garamond" w:cs="Arial"/>
          <w:sz w:val="24"/>
          <w:szCs w:val="24"/>
        </w:rPr>
        <w:t>c</w:t>
      </w:r>
      <w:r w:rsidR="008B023E" w:rsidRPr="003A1174">
        <w:rPr>
          <w:rFonts w:ascii="Garamond" w:hAnsi="Garamond" w:cs="Arial"/>
          <w:spacing w:val="-6"/>
          <w:sz w:val="24"/>
          <w:szCs w:val="24"/>
        </w:rPr>
        <w:t>o</w:t>
      </w:r>
      <w:r w:rsidR="008B023E" w:rsidRPr="003A1174">
        <w:rPr>
          <w:rFonts w:ascii="Garamond" w:hAnsi="Garamond" w:cs="Arial"/>
          <w:spacing w:val="3"/>
          <w:sz w:val="24"/>
          <w:szCs w:val="24"/>
        </w:rPr>
        <w:t>l</w:t>
      </w:r>
      <w:r w:rsidR="008B023E" w:rsidRPr="003A1174">
        <w:rPr>
          <w:rFonts w:ascii="Garamond" w:hAnsi="Garamond" w:cs="Arial"/>
          <w:spacing w:val="-2"/>
          <w:sz w:val="24"/>
          <w:szCs w:val="24"/>
        </w:rPr>
        <w:t>ab</w:t>
      </w:r>
      <w:r w:rsidR="008B023E" w:rsidRPr="003A1174">
        <w:rPr>
          <w:rFonts w:ascii="Garamond" w:hAnsi="Garamond" w:cs="Arial"/>
          <w:sz w:val="24"/>
          <w:szCs w:val="24"/>
        </w:rPr>
        <w:t>or</w:t>
      </w:r>
      <w:r w:rsidR="008B023E" w:rsidRPr="003A1174">
        <w:rPr>
          <w:rFonts w:ascii="Garamond" w:hAnsi="Garamond" w:cs="Arial"/>
          <w:spacing w:val="-2"/>
          <w:sz w:val="24"/>
          <w:szCs w:val="24"/>
        </w:rPr>
        <w:t>a</w:t>
      </w:r>
      <w:r w:rsidRPr="003A1174">
        <w:rPr>
          <w:rFonts w:ascii="Garamond" w:hAnsi="Garamond" w:cs="Arial"/>
          <w:spacing w:val="-2"/>
          <w:sz w:val="24"/>
          <w:szCs w:val="24"/>
        </w:rPr>
        <w:t xml:space="preserve">ção com </w:t>
      </w:r>
      <w:r w:rsidR="008B023E" w:rsidRPr="003A1174">
        <w:rPr>
          <w:rFonts w:ascii="Garamond" w:hAnsi="Garamond" w:cs="Arial"/>
          <w:sz w:val="24"/>
          <w:szCs w:val="24"/>
        </w:rPr>
        <w:t>a</w:t>
      </w:r>
      <w:r w:rsidR="008B023E" w:rsidRPr="003A1174">
        <w:rPr>
          <w:rFonts w:ascii="Garamond" w:hAnsi="Garamond" w:cs="Arial"/>
          <w:spacing w:val="48"/>
          <w:sz w:val="24"/>
          <w:szCs w:val="24"/>
        </w:rPr>
        <w:t xml:space="preserve"> </w:t>
      </w:r>
      <w:r w:rsidR="002C7510" w:rsidRPr="003A1174">
        <w:rPr>
          <w:rFonts w:ascii="Garamond" w:hAnsi="Garamond" w:cs="Arial"/>
          <w:sz w:val="24"/>
          <w:szCs w:val="24"/>
        </w:rPr>
        <w:t>sociedade</w:t>
      </w:r>
      <w:r w:rsidR="008B023E" w:rsidRPr="003A1174">
        <w:rPr>
          <w:rFonts w:ascii="Garamond" w:hAnsi="Garamond" w:cs="Arial"/>
          <w:spacing w:val="53"/>
          <w:sz w:val="24"/>
          <w:szCs w:val="24"/>
        </w:rPr>
        <w:t xml:space="preserve"> </w:t>
      </w:r>
      <w:r w:rsidR="008B023E" w:rsidRPr="003A1174">
        <w:rPr>
          <w:rFonts w:ascii="Garamond" w:hAnsi="Garamond" w:cs="Arial"/>
          <w:sz w:val="24"/>
          <w:szCs w:val="24"/>
        </w:rPr>
        <w:t>c</w:t>
      </w:r>
      <w:r w:rsidR="008B023E" w:rsidRPr="003A1174">
        <w:rPr>
          <w:rFonts w:ascii="Garamond" w:hAnsi="Garamond" w:cs="Arial"/>
          <w:spacing w:val="-6"/>
          <w:sz w:val="24"/>
          <w:szCs w:val="24"/>
        </w:rPr>
        <w:t>i</w:t>
      </w:r>
      <w:r w:rsidR="008B023E" w:rsidRPr="003A1174">
        <w:rPr>
          <w:rFonts w:ascii="Garamond" w:hAnsi="Garamond" w:cs="Arial"/>
          <w:spacing w:val="2"/>
          <w:sz w:val="24"/>
          <w:szCs w:val="24"/>
        </w:rPr>
        <w:t>v</w:t>
      </w:r>
      <w:r w:rsidR="008B023E" w:rsidRPr="003A1174">
        <w:rPr>
          <w:rFonts w:ascii="Garamond" w:hAnsi="Garamond" w:cs="Arial"/>
          <w:spacing w:val="-6"/>
          <w:sz w:val="24"/>
          <w:szCs w:val="24"/>
        </w:rPr>
        <w:t>i</w:t>
      </w:r>
      <w:r w:rsidR="008B023E" w:rsidRPr="003A1174">
        <w:rPr>
          <w:rFonts w:ascii="Garamond" w:hAnsi="Garamond" w:cs="Arial"/>
          <w:spacing w:val="8"/>
          <w:sz w:val="24"/>
          <w:szCs w:val="24"/>
        </w:rPr>
        <w:t>l</w:t>
      </w:r>
      <w:r w:rsidR="008B023E" w:rsidRPr="003A1174">
        <w:rPr>
          <w:rFonts w:ascii="Garamond" w:hAnsi="Garamond" w:cs="Arial"/>
          <w:sz w:val="24"/>
          <w:szCs w:val="24"/>
        </w:rPr>
        <w:t xml:space="preserve">, </w:t>
      </w:r>
      <w:r w:rsidR="008B023E" w:rsidRPr="003A1174">
        <w:rPr>
          <w:rFonts w:ascii="Garamond" w:hAnsi="Garamond" w:cs="Arial"/>
          <w:spacing w:val="-5"/>
          <w:sz w:val="24"/>
          <w:szCs w:val="24"/>
        </w:rPr>
        <w:t>e</w:t>
      </w:r>
      <w:r w:rsidR="008B023E" w:rsidRPr="003A1174">
        <w:rPr>
          <w:rFonts w:ascii="Garamond" w:hAnsi="Garamond" w:cs="Arial"/>
          <w:spacing w:val="8"/>
          <w:sz w:val="24"/>
          <w:szCs w:val="24"/>
        </w:rPr>
        <w:t>l</w:t>
      </w:r>
      <w:r w:rsidR="008B023E" w:rsidRPr="003A1174">
        <w:rPr>
          <w:rFonts w:ascii="Garamond" w:hAnsi="Garamond" w:cs="Arial"/>
          <w:spacing w:val="-2"/>
          <w:sz w:val="24"/>
          <w:szCs w:val="24"/>
        </w:rPr>
        <w:t>ab</w:t>
      </w:r>
      <w:r w:rsidR="008B023E" w:rsidRPr="003A1174">
        <w:rPr>
          <w:rFonts w:ascii="Garamond" w:hAnsi="Garamond" w:cs="Arial"/>
          <w:sz w:val="24"/>
          <w:szCs w:val="24"/>
        </w:rPr>
        <w:t>or</w:t>
      </w:r>
      <w:r w:rsidR="008B023E" w:rsidRPr="003A1174">
        <w:rPr>
          <w:rFonts w:ascii="Garamond" w:hAnsi="Garamond" w:cs="Arial"/>
          <w:spacing w:val="-2"/>
          <w:sz w:val="24"/>
          <w:szCs w:val="24"/>
        </w:rPr>
        <w:t>a</w:t>
      </w:r>
      <w:r w:rsidR="008B023E" w:rsidRPr="003A1174">
        <w:rPr>
          <w:rFonts w:ascii="Garamond" w:hAnsi="Garamond" w:cs="Arial"/>
          <w:sz w:val="24"/>
          <w:szCs w:val="24"/>
        </w:rPr>
        <w:t>n</w:t>
      </w:r>
      <w:r w:rsidR="008B023E" w:rsidRPr="003A1174">
        <w:rPr>
          <w:rFonts w:ascii="Garamond" w:hAnsi="Garamond" w:cs="Arial"/>
          <w:spacing w:val="1"/>
          <w:sz w:val="24"/>
          <w:szCs w:val="24"/>
        </w:rPr>
        <w:t>d</w:t>
      </w:r>
      <w:r w:rsidR="008B023E" w:rsidRPr="003A1174">
        <w:rPr>
          <w:rFonts w:ascii="Garamond" w:hAnsi="Garamond" w:cs="Arial"/>
          <w:sz w:val="24"/>
          <w:szCs w:val="24"/>
        </w:rPr>
        <w:t>o</w:t>
      </w:r>
      <w:r w:rsidR="008B023E" w:rsidRPr="003A1174">
        <w:rPr>
          <w:rFonts w:ascii="Garamond" w:hAnsi="Garamond" w:cs="Arial"/>
          <w:spacing w:val="6"/>
          <w:sz w:val="24"/>
          <w:szCs w:val="24"/>
        </w:rPr>
        <w:t xml:space="preserve"> </w:t>
      </w:r>
      <w:r w:rsidR="00A56F43" w:rsidRPr="003A1174">
        <w:rPr>
          <w:rFonts w:ascii="Garamond" w:hAnsi="Garamond" w:cs="Arial"/>
          <w:sz w:val="24"/>
          <w:szCs w:val="24"/>
        </w:rPr>
        <w:t>estratégia</w:t>
      </w:r>
      <w:r w:rsidR="008B023E" w:rsidRPr="003A1174">
        <w:rPr>
          <w:rFonts w:ascii="Garamond" w:hAnsi="Garamond" w:cs="Arial"/>
          <w:sz w:val="24"/>
          <w:szCs w:val="24"/>
        </w:rPr>
        <w:t>s</w:t>
      </w:r>
      <w:r w:rsidR="008B023E" w:rsidRPr="003A1174">
        <w:rPr>
          <w:rFonts w:ascii="Garamond" w:hAnsi="Garamond" w:cs="Arial"/>
          <w:spacing w:val="12"/>
          <w:sz w:val="24"/>
          <w:szCs w:val="24"/>
        </w:rPr>
        <w:t xml:space="preserve"> </w:t>
      </w:r>
      <w:r w:rsidR="008B023E" w:rsidRPr="003A1174">
        <w:rPr>
          <w:rFonts w:ascii="Garamond" w:hAnsi="Garamond" w:cs="Arial"/>
          <w:sz w:val="24"/>
          <w:szCs w:val="24"/>
        </w:rPr>
        <w:t>co</w:t>
      </w:r>
      <w:r w:rsidRPr="003A1174">
        <w:rPr>
          <w:rFonts w:ascii="Garamond" w:hAnsi="Garamond" w:cs="Arial"/>
          <w:sz w:val="24"/>
          <w:szCs w:val="24"/>
        </w:rPr>
        <w:t>m o</w:t>
      </w:r>
      <w:r w:rsidR="008B023E" w:rsidRPr="003A1174">
        <w:rPr>
          <w:rFonts w:ascii="Garamond" w:hAnsi="Garamond" w:cs="Arial"/>
          <w:spacing w:val="15"/>
          <w:sz w:val="24"/>
          <w:szCs w:val="24"/>
        </w:rPr>
        <w:t xml:space="preserve"> </w:t>
      </w:r>
      <w:r w:rsidR="008B023E" w:rsidRPr="003A1174">
        <w:rPr>
          <w:rFonts w:ascii="Garamond" w:hAnsi="Garamond" w:cs="Arial"/>
          <w:spacing w:val="-2"/>
          <w:sz w:val="24"/>
          <w:szCs w:val="24"/>
        </w:rPr>
        <w:t>p</w:t>
      </w:r>
      <w:r w:rsidR="008B023E" w:rsidRPr="003A1174">
        <w:rPr>
          <w:rFonts w:ascii="Garamond" w:hAnsi="Garamond" w:cs="Arial"/>
          <w:sz w:val="24"/>
          <w:szCs w:val="24"/>
        </w:rPr>
        <w:t>ro</w:t>
      </w:r>
      <w:r w:rsidR="008B023E" w:rsidRPr="003A1174">
        <w:rPr>
          <w:rFonts w:ascii="Garamond" w:hAnsi="Garamond" w:cs="Arial"/>
          <w:spacing w:val="-3"/>
          <w:sz w:val="24"/>
          <w:szCs w:val="24"/>
        </w:rPr>
        <w:t>p</w:t>
      </w:r>
      <w:r w:rsidR="008B023E" w:rsidRPr="003A1174">
        <w:rPr>
          <w:rFonts w:ascii="Garamond" w:hAnsi="Garamond" w:cs="Arial"/>
          <w:sz w:val="24"/>
          <w:szCs w:val="24"/>
        </w:rPr>
        <w:t>ós</w:t>
      </w:r>
      <w:r w:rsidR="008B023E" w:rsidRPr="003A1174">
        <w:rPr>
          <w:rFonts w:ascii="Garamond" w:hAnsi="Garamond" w:cs="Arial"/>
          <w:spacing w:val="-1"/>
          <w:sz w:val="24"/>
          <w:szCs w:val="24"/>
        </w:rPr>
        <w:t>i</w:t>
      </w:r>
      <w:r w:rsidR="008B023E" w:rsidRPr="003A1174">
        <w:rPr>
          <w:rFonts w:ascii="Garamond" w:hAnsi="Garamond" w:cs="Arial"/>
          <w:spacing w:val="-3"/>
          <w:sz w:val="24"/>
          <w:szCs w:val="24"/>
        </w:rPr>
        <w:t>t</w:t>
      </w:r>
      <w:r w:rsidR="008B023E" w:rsidRPr="003A1174">
        <w:rPr>
          <w:rFonts w:ascii="Garamond" w:hAnsi="Garamond" w:cs="Arial"/>
          <w:sz w:val="24"/>
          <w:szCs w:val="24"/>
        </w:rPr>
        <w:t>o</w:t>
      </w:r>
      <w:r w:rsidR="008B023E" w:rsidRPr="003A1174">
        <w:rPr>
          <w:rFonts w:ascii="Garamond" w:hAnsi="Garamond" w:cs="Arial"/>
          <w:spacing w:val="11"/>
          <w:sz w:val="24"/>
          <w:szCs w:val="24"/>
        </w:rPr>
        <w:t xml:space="preserve"> </w:t>
      </w:r>
      <w:r w:rsidR="008B023E" w:rsidRPr="003A1174">
        <w:rPr>
          <w:rFonts w:ascii="Garamond" w:hAnsi="Garamond" w:cs="Arial"/>
          <w:spacing w:val="-3"/>
          <w:sz w:val="24"/>
          <w:szCs w:val="24"/>
        </w:rPr>
        <w:t>d</w:t>
      </w:r>
      <w:r w:rsidR="008B023E" w:rsidRPr="003A1174">
        <w:rPr>
          <w:rFonts w:ascii="Garamond" w:hAnsi="Garamond" w:cs="Arial"/>
          <w:sz w:val="24"/>
          <w:szCs w:val="24"/>
        </w:rPr>
        <w:t>e</w:t>
      </w:r>
      <w:r w:rsidR="008B023E" w:rsidRPr="003A1174">
        <w:rPr>
          <w:rFonts w:ascii="Garamond" w:hAnsi="Garamond" w:cs="Arial"/>
          <w:spacing w:val="12"/>
          <w:sz w:val="24"/>
          <w:szCs w:val="24"/>
        </w:rPr>
        <w:t xml:space="preserve"> </w:t>
      </w:r>
      <w:r w:rsidR="008B023E" w:rsidRPr="003A1174">
        <w:rPr>
          <w:rFonts w:ascii="Garamond" w:hAnsi="Garamond" w:cs="Arial"/>
          <w:spacing w:val="-5"/>
          <w:sz w:val="24"/>
          <w:szCs w:val="24"/>
        </w:rPr>
        <w:t>e</w:t>
      </w:r>
      <w:r w:rsidR="008B023E" w:rsidRPr="003A1174">
        <w:rPr>
          <w:rFonts w:ascii="Garamond" w:hAnsi="Garamond" w:cs="Arial"/>
          <w:spacing w:val="2"/>
          <w:sz w:val="24"/>
          <w:szCs w:val="24"/>
        </w:rPr>
        <w:t>d</w:t>
      </w:r>
      <w:r w:rsidR="008B023E" w:rsidRPr="003A1174">
        <w:rPr>
          <w:rFonts w:ascii="Garamond" w:hAnsi="Garamond" w:cs="Arial"/>
          <w:sz w:val="24"/>
          <w:szCs w:val="24"/>
        </w:rPr>
        <w:t>u</w:t>
      </w:r>
      <w:r w:rsidR="008B023E" w:rsidRPr="003A1174">
        <w:rPr>
          <w:rFonts w:ascii="Garamond" w:hAnsi="Garamond" w:cs="Arial"/>
          <w:spacing w:val="1"/>
          <w:sz w:val="24"/>
          <w:szCs w:val="24"/>
        </w:rPr>
        <w:t>c</w:t>
      </w:r>
      <w:r w:rsidR="008B023E" w:rsidRPr="003A1174">
        <w:rPr>
          <w:rFonts w:ascii="Garamond" w:hAnsi="Garamond" w:cs="Arial"/>
          <w:spacing w:val="-2"/>
          <w:sz w:val="24"/>
          <w:szCs w:val="24"/>
        </w:rPr>
        <w:t>a</w:t>
      </w:r>
      <w:r w:rsidR="008B023E" w:rsidRPr="003A1174">
        <w:rPr>
          <w:rFonts w:ascii="Garamond" w:hAnsi="Garamond" w:cs="Arial"/>
          <w:sz w:val="24"/>
          <w:szCs w:val="24"/>
        </w:rPr>
        <w:t>r</w:t>
      </w:r>
      <w:r w:rsidR="008B023E" w:rsidRPr="003A1174">
        <w:rPr>
          <w:rFonts w:ascii="Garamond" w:hAnsi="Garamond" w:cs="Arial"/>
          <w:spacing w:val="8"/>
          <w:sz w:val="24"/>
          <w:szCs w:val="24"/>
        </w:rPr>
        <w:t xml:space="preserve"> </w:t>
      </w:r>
      <w:r w:rsidR="000672E8" w:rsidRPr="003A1174">
        <w:rPr>
          <w:rFonts w:ascii="Garamond" w:hAnsi="Garamond" w:cs="Arial"/>
          <w:sz w:val="24"/>
          <w:szCs w:val="24"/>
        </w:rPr>
        <w:t>e</w:t>
      </w:r>
      <w:r w:rsidR="008B023E" w:rsidRPr="003A1174">
        <w:rPr>
          <w:rFonts w:ascii="Garamond" w:hAnsi="Garamond" w:cs="Arial"/>
          <w:spacing w:val="8"/>
          <w:sz w:val="24"/>
          <w:szCs w:val="24"/>
        </w:rPr>
        <w:t xml:space="preserve"> </w:t>
      </w:r>
      <w:r w:rsidRPr="003A1174">
        <w:rPr>
          <w:rFonts w:ascii="Garamond" w:hAnsi="Garamond" w:cs="Arial"/>
          <w:sz w:val="24"/>
          <w:szCs w:val="24"/>
        </w:rPr>
        <w:t>conscie</w:t>
      </w:r>
      <w:r w:rsidR="001C2738" w:rsidRPr="003A1174">
        <w:rPr>
          <w:rFonts w:ascii="Garamond" w:hAnsi="Garamond" w:cs="Arial"/>
          <w:sz w:val="24"/>
          <w:szCs w:val="24"/>
        </w:rPr>
        <w:t>nci</w:t>
      </w:r>
      <w:r w:rsidRPr="003A1174">
        <w:rPr>
          <w:rFonts w:ascii="Garamond" w:hAnsi="Garamond" w:cs="Arial"/>
          <w:sz w:val="24"/>
          <w:szCs w:val="24"/>
        </w:rPr>
        <w:t>aliza</w:t>
      </w:r>
      <w:r w:rsidR="008B023E" w:rsidRPr="003A1174">
        <w:rPr>
          <w:rFonts w:ascii="Garamond" w:hAnsi="Garamond" w:cs="Arial"/>
          <w:sz w:val="24"/>
          <w:szCs w:val="24"/>
        </w:rPr>
        <w:t>r</w:t>
      </w:r>
      <w:r w:rsidR="008B023E" w:rsidRPr="003A1174">
        <w:rPr>
          <w:rFonts w:ascii="Garamond" w:hAnsi="Garamond" w:cs="Arial"/>
          <w:spacing w:val="12"/>
          <w:sz w:val="24"/>
          <w:szCs w:val="24"/>
        </w:rPr>
        <w:t xml:space="preserve"> </w:t>
      </w:r>
      <w:r w:rsidR="005C3959">
        <w:rPr>
          <w:rFonts w:ascii="Garamond" w:hAnsi="Garamond" w:cs="Arial"/>
          <w:spacing w:val="12"/>
          <w:sz w:val="24"/>
          <w:szCs w:val="24"/>
        </w:rPr>
        <w:t xml:space="preserve">sobre a </w:t>
      </w:r>
      <w:r w:rsidR="000350B1" w:rsidRPr="003A1174">
        <w:rPr>
          <w:rFonts w:ascii="Garamond" w:hAnsi="Garamond" w:cs="Arial"/>
          <w:spacing w:val="2"/>
          <w:sz w:val="24"/>
          <w:szCs w:val="24"/>
        </w:rPr>
        <w:t>violência</w:t>
      </w:r>
      <w:r w:rsidR="008B023E" w:rsidRPr="003A1174">
        <w:rPr>
          <w:rFonts w:ascii="Garamond" w:hAnsi="Garamond" w:cs="Arial"/>
          <w:spacing w:val="3"/>
          <w:sz w:val="24"/>
          <w:szCs w:val="24"/>
        </w:rPr>
        <w:t xml:space="preserve"> </w:t>
      </w:r>
      <w:r w:rsidRPr="003A1174">
        <w:rPr>
          <w:rFonts w:ascii="Garamond" w:hAnsi="Garamond" w:cs="Arial"/>
          <w:spacing w:val="3"/>
          <w:sz w:val="24"/>
          <w:szCs w:val="24"/>
        </w:rPr>
        <w:t xml:space="preserve">para com as </w:t>
      </w:r>
      <w:r w:rsidR="00054EE0" w:rsidRPr="003A1174">
        <w:rPr>
          <w:rFonts w:ascii="Garamond" w:hAnsi="Garamond" w:cs="Arial"/>
          <w:spacing w:val="3"/>
          <w:sz w:val="24"/>
          <w:szCs w:val="24"/>
        </w:rPr>
        <w:t>mulheres</w:t>
      </w:r>
      <w:r w:rsidR="008B023E" w:rsidRPr="003A1174">
        <w:rPr>
          <w:rFonts w:ascii="Garamond" w:hAnsi="Garamond" w:cs="Arial"/>
          <w:spacing w:val="2"/>
          <w:sz w:val="24"/>
          <w:szCs w:val="24"/>
        </w:rPr>
        <w:t xml:space="preserve"> </w:t>
      </w:r>
      <w:r w:rsidRPr="003A1174">
        <w:rPr>
          <w:rFonts w:ascii="Garamond" w:hAnsi="Garamond" w:cs="Arial"/>
          <w:spacing w:val="2"/>
          <w:sz w:val="24"/>
          <w:szCs w:val="24"/>
        </w:rPr>
        <w:t>n</w:t>
      </w:r>
      <w:r w:rsidR="008B023E" w:rsidRPr="003A1174">
        <w:rPr>
          <w:rFonts w:ascii="Garamond" w:hAnsi="Garamond" w:cs="Arial"/>
          <w:spacing w:val="-2"/>
          <w:sz w:val="24"/>
          <w:szCs w:val="24"/>
        </w:rPr>
        <w:t>a</w:t>
      </w:r>
      <w:r w:rsidR="008B023E" w:rsidRPr="003A1174">
        <w:rPr>
          <w:rFonts w:ascii="Garamond" w:hAnsi="Garamond" w:cs="Arial"/>
          <w:sz w:val="24"/>
          <w:szCs w:val="24"/>
        </w:rPr>
        <w:t>s</w:t>
      </w:r>
      <w:r w:rsidR="008B023E" w:rsidRPr="003A1174">
        <w:rPr>
          <w:rFonts w:ascii="Garamond" w:hAnsi="Garamond" w:cs="Arial"/>
          <w:spacing w:val="6"/>
          <w:sz w:val="24"/>
          <w:szCs w:val="24"/>
        </w:rPr>
        <w:t xml:space="preserve"> </w:t>
      </w:r>
      <w:r w:rsidR="002C7510" w:rsidRPr="003A1174">
        <w:rPr>
          <w:rFonts w:ascii="Garamond" w:hAnsi="Garamond" w:cs="Arial"/>
          <w:spacing w:val="-1"/>
          <w:sz w:val="24"/>
          <w:szCs w:val="24"/>
        </w:rPr>
        <w:t>instituições</w:t>
      </w:r>
      <w:r w:rsidR="008B023E" w:rsidRPr="003A1174">
        <w:rPr>
          <w:rFonts w:ascii="Garamond" w:hAnsi="Garamond" w:cs="Arial"/>
          <w:spacing w:val="6"/>
          <w:sz w:val="24"/>
          <w:szCs w:val="24"/>
        </w:rPr>
        <w:t xml:space="preserve"> </w:t>
      </w:r>
      <w:r w:rsidR="008B023E" w:rsidRPr="003A1174">
        <w:rPr>
          <w:rFonts w:ascii="Garamond" w:hAnsi="Garamond" w:cs="Arial"/>
          <w:spacing w:val="-2"/>
          <w:sz w:val="24"/>
          <w:szCs w:val="24"/>
        </w:rPr>
        <w:t>p</w:t>
      </w:r>
      <w:r w:rsidR="008B023E" w:rsidRPr="003A1174">
        <w:rPr>
          <w:rFonts w:ascii="Garamond" w:hAnsi="Garamond" w:cs="Arial"/>
          <w:sz w:val="24"/>
          <w:szCs w:val="24"/>
        </w:rPr>
        <w:t>ú</w:t>
      </w:r>
      <w:r w:rsidR="008B023E" w:rsidRPr="003A1174">
        <w:rPr>
          <w:rFonts w:ascii="Garamond" w:hAnsi="Garamond" w:cs="Arial"/>
          <w:spacing w:val="-7"/>
          <w:sz w:val="24"/>
          <w:szCs w:val="24"/>
        </w:rPr>
        <w:t>b</w:t>
      </w:r>
      <w:r w:rsidR="008B023E" w:rsidRPr="003A1174">
        <w:rPr>
          <w:rFonts w:ascii="Garamond" w:hAnsi="Garamond" w:cs="Arial"/>
          <w:spacing w:val="8"/>
          <w:sz w:val="24"/>
          <w:szCs w:val="24"/>
        </w:rPr>
        <w:t>l</w:t>
      </w:r>
      <w:r w:rsidR="008B023E" w:rsidRPr="003A1174">
        <w:rPr>
          <w:rFonts w:ascii="Garamond" w:hAnsi="Garamond" w:cs="Arial"/>
          <w:spacing w:val="-1"/>
          <w:sz w:val="24"/>
          <w:szCs w:val="24"/>
        </w:rPr>
        <w:t>i</w:t>
      </w:r>
      <w:r w:rsidR="008B023E" w:rsidRPr="003A1174">
        <w:rPr>
          <w:rFonts w:ascii="Garamond" w:hAnsi="Garamond" w:cs="Arial"/>
          <w:sz w:val="24"/>
          <w:szCs w:val="24"/>
        </w:rPr>
        <w:t>c</w:t>
      </w:r>
      <w:r w:rsidR="008B023E" w:rsidRPr="003A1174">
        <w:rPr>
          <w:rFonts w:ascii="Garamond" w:hAnsi="Garamond" w:cs="Arial"/>
          <w:spacing w:val="-2"/>
          <w:sz w:val="24"/>
          <w:szCs w:val="24"/>
        </w:rPr>
        <w:t>a</w:t>
      </w:r>
      <w:r w:rsidR="008B023E" w:rsidRPr="003A1174">
        <w:rPr>
          <w:rFonts w:ascii="Garamond" w:hAnsi="Garamond" w:cs="Arial"/>
          <w:sz w:val="24"/>
          <w:szCs w:val="24"/>
        </w:rPr>
        <w:t>s,</w:t>
      </w:r>
      <w:r w:rsidR="008B023E" w:rsidRPr="003A1174">
        <w:rPr>
          <w:rFonts w:ascii="Garamond" w:hAnsi="Garamond" w:cs="Arial"/>
          <w:spacing w:val="2"/>
          <w:sz w:val="24"/>
          <w:szCs w:val="24"/>
        </w:rPr>
        <w:t xml:space="preserve"> </w:t>
      </w:r>
      <w:r w:rsidR="002470B1" w:rsidRPr="003A1174">
        <w:rPr>
          <w:rFonts w:ascii="Garamond" w:hAnsi="Garamond" w:cs="Arial"/>
          <w:sz w:val="24"/>
          <w:szCs w:val="24"/>
        </w:rPr>
        <w:t>organizações</w:t>
      </w:r>
      <w:r w:rsidR="008B023E" w:rsidRPr="003A1174">
        <w:rPr>
          <w:rFonts w:ascii="Garamond" w:hAnsi="Garamond" w:cs="Arial"/>
          <w:spacing w:val="6"/>
          <w:sz w:val="24"/>
          <w:szCs w:val="24"/>
        </w:rPr>
        <w:t xml:space="preserve"> </w:t>
      </w:r>
      <w:r w:rsidR="008B023E" w:rsidRPr="003A1174">
        <w:rPr>
          <w:rFonts w:ascii="Garamond" w:hAnsi="Garamond" w:cs="Arial"/>
          <w:spacing w:val="-2"/>
          <w:sz w:val="24"/>
          <w:szCs w:val="24"/>
        </w:rPr>
        <w:t>p</w:t>
      </w:r>
      <w:r w:rsidR="008B023E" w:rsidRPr="003A1174">
        <w:rPr>
          <w:rFonts w:ascii="Garamond" w:hAnsi="Garamond" w:cs="Arial"/>
          <w:sz w:val="24"/>
          <w:szCs w:val="24"/>
        </w:rPr>
        <w:t>r</w:t>
      </w:r>
      <w:r w:rsidR="008B023E" w:rsidRPr="003A1174">
        <w:rPr>
          <w:rFonts w:ascii="Garamond" w:hAnsi="Garamond" w:cs="Arial"/>
          <w:spacing w:val="-1"/>
          <w:sz w:val="24"/>
          <w:szCs w:val="24"/>
        </w:rPr>
        <w:t>i</w:t>
      </w:r>
      <w:r w:rsidR="008B023E" w:rsidRPr="003A1174">
        <w:rPr>
          <w:rFonts w:ascii="Garamond" w:hAnsi="Garamond" w:cs="Arial"/>
          <w:spacing w:val="2"/>
          <w:sz w:val="24"/>
          <w:szCs w:val="24"/>
        </w:rPr>
        <w:t>v</w:t>
      </w:r>
      <w:r w:rsidR="008B023E" w:rsidRPr="003A1174">
        <w:rPr>
          <w:rFonts w:ascii="Garamond" w:hAnsi="Garamond" w:cs="Arial"/>
          <w:spacing w:val="-7"/>
          <w:sz w:val="24"/>
          <w:szCs w:val="24"/>
        </w:rPr>
        <w:t>a</w:t>
      </w:r>
      <w:r w:rsidR="008B023E" w:rsidRPr="003A1174">
        <w:rPr>
          <w:rFonts w:ascii="Garamond" w:hAnsi="Garamond" w:cs="Arial"/>
          <w:spacing w:val="2"/>
          <w:sz w:val="24"/>
          <w:szCs w:val="24"/>
        </w:rPr>
        <w:t>d</w:t>
      </w:r>
      <w:r w:rsidR="008B023E" w:rsidRPr="003A1174">
        <w:rPr>
          <w:rFonts w:ascii="Garamond" w:hAnsi="Garamond" w:cs="Arial"/>
          <w:spacing w:val="-2"/>
          <w:sz w:val="24"/>
          <w:szCs w:val="24"/>
        </w:rPr>
        <w:t>a</w:t>
      </w:r>
      <w:r w:rsidR="008B023E" w:rsidRPr="003A1174">
        <w:rPr>
          <w:rFonts w:ascii="Garamond" w:hAnsi="Garamond" w:cs="Arial"/>
          <w:sz w:val="24"/>
          <w:szCs w:val="24"/>
        </w:rPr>
        <w:t xml:space="preserve">s </w:t>
      </w:r>
      <w:r w:rsidR="000672E8" w:rsidRPr="003A1174">
        <w:rPr>
          <w:rFonts w:ascii="Garamond" w:hAnsi="Garamond" w:cs="Arial"/>
          <w:sz w:val="24"/>
          <w:szCs w:val="24"/>
        </w:rPr>
        <w:t>e</w:t>
      </w:r>
      <w:r w:rsidR="008B023E" w:rsidRPr="003A1174">
        <w:rPr>
          <w:rFonts w:ascii="Garamond" w:hAnsi="Garamond" w:cs="Arial"/>
          <w:spacing w:val="2"/>
          <w:sz w:val="24"/>
          <w:szCs w:val="24"/>
        </w:rPr>
        <w:t xml:space="preserve"> </w:t>
      </w:r>
      <w:r w:rsidRPr="003A1174">
        <w:rPr>
          <w:rFonts w:ascii="Garamond" w:hAnsi="Garamond" w:cs="Arial"/>
          <w:spacing w:val="2"/>
          <w:sz w:val="24"/>
          <w:szCs w:val="24"/>
        </w:rPr>
        <w:t>n</w:t>
      </w:r>
      <w:r w:rsidR="008B023E" w:rsidRPr="003A1174">
        <w:rPr>
          <w:rFonts w:ascii="Garamond" w:hAnsi="Garamond" w:cs="Arial"/>
          <w:sz w:val="24"/>
          <w:szCs w:val="24"/>
        </w:rPr>
        <w:t>a</w:t>
      </w:r>
      <w:r w:rsidR="008B023E" w:rsidRPr="003A1174">
        <w:rPr>
          <w:rFonts w:ascii="Garamond" w:hAnsi="Garamond" w:cs="Arial"/>
          <w:spacing w:val="-6"/>
          <w:sz w:val="24"/>
          <w:szCs w:val="24"/>
        </w:rPr>
        <w:t xml:space="preserve"> </w:t>
      </w:r>
      <w:r w:rsidR="009F035C" w:rsidRPr="003A1174">
        <w:rPr>
          <w:rFonts w:ascii="Garamond" w:hAnsi="Garamond" w:cs="Arial"/>
          <w:sz w:val="24"/>
          <w:szCs w:val="24"/>
        </w:rPr>
        <w:t>comunidade</w:t>
      </w:r>
      <w:r w:rsidR="008B023E" w:rsidRPr="003A1174">
        <w:rPr>
          <w:rFonts w:ascii="Garamond" w:hAnsi="Garamond" w:cs="Arial"/>
          <w:spacing w:val="-2"/>
          <w:sz w:val="24"/>
          <w:szCs w:val="24"/>
        </w:rPr>
        <w:t xml:space="preserve"> </w:t>
      </w:r>
      <w:r w:rsidR="008B023E" w:rsidRPr="003A1174">
        <w:rPr>
          <w:rFonts w:ascii="Garamond" w:hAnsi="Garamond" w:cs="Arial"/>
          <w:sz w:val="24"/>
          <w:szCs w:val="24"/>
        </w:rPr>
        <w:t>e</w:t>
      </w:r>
      <w:r w:rsidRPr="003A1174">
        <w:rPr>
          <w:rFonts w:ascii="Garamond" w:hAnsi="Garamond" w:cs="Arial"/>
          <w:sz w:val="24"/>
          <w:szCs w:val="24"/>
        </w:rPr>
        <w:t>m</w:t>
      </w:r>
      <w:r w:rsidR="008B023E" w:rsidRPr="003A1174">
        <w:rPr>
          <w:rFonts w:ascii="Garamond" w:hAnsi="Garamond" w:cs="Arial"/>
          <w:spacing w:val="-4"/>
          <w:sz w:val="24"/>
          <w:szCs w:val="24"/>
        </w:rPr>
        <w:t xml:space="preserve"> </w:t>
      </w:r>
      <w:r w:rsidR="00077461" w:rsidRPr="003A1174">
        <w:rPr>
          <w:rFonts w:ascii="Garamond" w:hAnsi="Garamond" w:cs="Arial"/>
          <w:sz w:val="24"/>
          <w:szCs w:val="24"/>
        </w:rPr>
        <w:t>geral</w:t>
      </w:r>
      <w:r w:rsidR="008B023E" w:rsidRPr="003A1174">
        <w:rPr>
          <w:rFonts w:ascii="Garamond" w:hAnsi="Garamond" w:cs="Arial"/>
          <w:spacing w:val="3"/>
          <w:sz w:val="24"/>
          <w:szCs w:val="24"/>
        </w:rPr>
        <w:t>.</w:t>
      </w:r>
    </w:p>
    <w:p w:rsidR="00CA39B2" w:rsidRPr="003A1174" w:rsidRDefault="00C30647" w:rsidP="008719D4">
      <w:pPr>
        <w:pStyle w:val="Ttulo3"/>
        <w:spacing w:line="240" w:lineRule="auto"/>
        <w:rPr>
          <w:rFonts w:ascii="Garamond" w:hAnsi="Garamond"/>
          <w:sz w:val="24"/>
          <w:szCs w:val="24"/>
        </w:rPr>
      </w:pPr>
      <w:bookmarkStart w:id="53" w:name="_Toc421529741"/>
      <w:r w:rsidRPr="003A1174">
        <w:rPr>
          <w:rStyle w:val="Ttulo2Car"/>
          <w:rFonts w:ascii="Garamond" w:hAnsi="Garamond" w:cs="Arial"/>
          <w:b/>
          <w:bCs/>
          <w:sz w:val="24"/>
          <w:szCs w:val="24"/>
        </w:rPr>
        <w:t>Uruguai</w:t>
      </w:r>
      <w:bookmarkEnd w:id="53"/>
    </w:p>
    <w:p w:rsidR="00CA39B2" w:rsidRPr="003A1174" w:rsidRDefault="005C3959" w:rsidP="008719D4">
      <w:pPr>
        <w:pStyle w:val="Prrafodelista"/>
        <w:spacing w:before="240" w:line="240" w:lineRule="auto"/>
        <w:ind w:left="0"/>
        <w:jc w:val="both"/>
        <w:rPr>
          <w:rFonts w:ascii="Garamond" w:hAnsi="Garamond" w:cs="Arial"/>
          <w:color w:val="auto"/>
          <w:sz w:val="24"/>
          <w:szCs w:val="24"/>
          <w:lang w:val="pt-PT"/>
        </w:rPr>
      </w:pPr>
      <w:r>
        <w:rPr>
          <w:rFonts w:ascii="Garamond" w:hAnsi="Garamond" w:cs="Arial"/>
          <w:color w:val="auto"/>
          <w:sz w:val="24"/>
          <w:szCs w:val="24"/>
          <w:lang w:val="pt-PT"/>
        </w:rPr>
        <w:t>No Uruguai, o</w:t>
      </w:r>
      <w:r w:rsidR="00A13226"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trabalho</w:t>
      </w:r>
      <w:r w:rsidR="00CA39B2" w:rsidRPr="003A1174">
        <w:rPr>
          <w:rFonts w:ascii="Garamond" w:hAnsi="Garamond" w:cs="Arial"/>
          <w:color w:val="auto"/>
          <w:sz w:val="24"/>
          <w:szCs w:val="24"/>
          <w:lang w:val="pt-PT"/>
        </w:rPr>
        <w:t xml:space="preserve"> interinstitucional e </w:t>
      </w:r>
      <w:r w:rsidR="00BA3CCE" w:rsidRPr="003A1174">
        <w:rPr>
          <w:rFonts w:ascii="Garamond" w:hAnsi="Garamond" w:cs="Arial"/>
          <w:color w:val="auto"/>
          <w:sz w:val="24"/>
          <w:szCs w:val="24"/>
          <w:lang w:val="pt-PT"/>
        </w:rPr>
        <w:t>intersetorial</w:t>
      </w:r>
      <w:r w:rsidR="00CA39B2" w:rsidRPr="003A1174">
        <w:rPr>
          <w:rFonts w:ascii="Garamond" w:hAnsi="Garamond" w:cs="Arial"/>
          <w:color w:val="auto"/>
          <w:sz w:val="24"/>
          <w:szCs w:val="24"/>
          <w:lang w:val="pt-PT"/>
        </w:rPr>
        <w:t xml:space="preserve"> </w:t>
      </w:r>
      <w:r w:rsidR="00A13226" w:rsidRPr="003A1174">
        <w:rPr>
          <w:rFonts w:ascii="Garamond" w:hAnsi="Garamond" w:cs="Arial"/>
          <w:color w:val="auto"/>
          <w:sz w:val="24"/>
          <w:szCs w:val="24"/>
          <w:lang w:val="pt-PT"/>
        </w:rPr>
        <w:t xml:space="preserve">foi uma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w:t>
      </w:r>
      <w:r w:rsidR="00A56F43" w:rsidRPr="003A1174">
        <w:rPr>
          <w:rFonts w:ascii="Garamond" w:hAnsi="Garamond" w:cs="Arial"/>
          <w:color w:val="auto"/>
          <w:sz w:val="24"/>
          <w:szCs w:val="24"/>
          <w:lang w:val="pt-PT"/>
        </w:rPr>
        <w:t>estratégia</w:t>
      </w:r>
      <w:r w:rsidR="00CA39B2" w:rsidRPr="003A1174">
        <w:rPr>
          <w:rFonts w:ascii="Garamond" w:hAnsi="Garamond" w:cs="Arial"/>
          <w:color w:val="auto"/>
          <w:sz w:val="24"/>
          <w:szCs w:val="24"/>
          <w:lang w:val="pt-PT"/>
        </w:rPr>
        <w:t xml:space="preserve">s priorizadas </w:t>
      </w:r>
      <w:r w:rsidR="00275092" w:rsidRPr="003A1174">
        <w:rPr>
          <w:rFonts w:ascii="Garamond" w:hAnsi="Garamond" w:cs="Arial"/>
          <w:color w:val="auto"/>
          <w:sz w:val="24"/>
          <w:szCs w:val="24"/>
          <w:lang w:val="pt-PT"/>
        </w:rPr>
        <w:t>pela</w:t>
      </w:r>
      <w:r w:rsidR="00CA39B2"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força</w:t>
      </w:r>
      <w:r w:rsidR="00CA39B2" w:rsidRPr="003A1174">
        <w:rPr>
          <w:rFonts w:ascii="Garamond" w:hAnsi="Garamond" w:cs="Arial"/>
          <w:color w:val="auto"/>
          <w:sz w:val="24"/>
          <w:szCs w:val="24"/>
          <w:lang w:val="pt-PT"/>
        </w:rPr>
        <w:t xml:space="preserve"> política que </w:t>
      </w:r>
      <w:r w:rsidR="00A13226" w:rsidRPr="003A1174">
        <w:rPr>
          <w:rFonts w:ascii="Garamond" w:hAnsi="Garamond" w:cs="Arial"/>
          <w:color w:val="auto"/>
          <w:sz w:val="24"/>
          <w:szCs w:val="24"/>
          <w:lang w:val="pt-PT"/>
        </w:rPr>
        <w:t xml:space="preserve">está no </w:t>
      </w:r>
      <w:r w:rsidR="006506C6" w:rsidRPr="003A1174">
        <w:rPr>
          <w:rFonts w:ascii="Garamond" w:hAnsi="Garamond" w:cs="Arial"/>
          <w:color w:val="auto"/>
          <w:sz w:val="24"/>
          <w:szCs w:val="24"/>
          <w:lang w:val="pt-PT"/>
        </w:rPr>
        <w:t>governo</w:t>
      </w:r>
      <w:r w:rsidR="00CA39B2" w:rsidRPr="003A1174">
        <w:rPr>
          <w:rFonts w:ascii="Garamond" w:hAnsi="Garamond" w:cs="Arial"/>
          <w:color w:val="auto"/>
          <w:sz w:val="24"/>
          <w:szCs w:val="24"/>
          <w:lang w:val="pt-PT"/>
        </w:rPr>
        <w:t xml:space="preserve"> nacional. </w:t>
      </w:r>
      <w:r w:rsidR="00A13226"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este sentido, </w:t>
      </w:r>
      <w:r w:rsidR="00A13226" w:rsidRPr="003A1174">
        <w:rPr>
          <w:rFonts w:ascii="Garamond" w:hAnsi="Garamond" w:cs="Arial"/>
          <w:color w:val="auto"/>
          <w:sz w:val="24"/>
          <w:szCs w:val="24"/>
          <w:lang w:val="pt-PT"/>
        </w:rPr>
        <w:t xml:space="preserve">foram-se </w:t>
      </w:r>
      <w:r w:rsidR="00CA39B2" w:rsidRPr="003A1174">
        <w:rPr>
          <w:rFonts w:ascii="Garamond" w:hAnsi="Garamond" w:cs="Arial"/>
          <w:color w:val="auto"/>
          <w:sz w:val="24"/>
          <w:szCs w:val="24"/>
          <w:lang w:val="pt-PT"/>
        </w:rPr>
        <w:t>instalando di</w:t>
      </w:r>
      <w:r w:rsidR="00A13226" w:rsidRPr="003A1174">
        <w:rPr>
          <w:rFonts w:ascii="Garamond" w:hAnsi="Garamond" w:cs="Arial"/>
          <w:color w:val="auto"/>
          <w:sz w:val="24"/>
          <w:szCs w:val="24"/>
          <w:lang w:val="pt-PT"/>
        </w:rPr>
        <w:t xml:space="preserve">ferentes </w:t>
      </w:r>
      <w:r w:rsidR="00802ACC" w:rsidRPr="003A1174">
        <w:rPr>
          <w:rFonts w:ascii="Garamond" w:hAnsi="Garamond" w:cs="Arial"/>
          <w:color w:val="auto"/>
          <w:sz w:val="24"/>
          <w:szCs w:val="24"/>
          <w:lang w:val="pt-PT"/>
        </w:rPr>
        <w:t>âmbito</w:t>
      </w:r>
      <w:r w:rsidR="00CA39B2" w:rsidRPr="003A1174">
        <w:rPr>
          <w:rFonts w:ascii="Garamond" w:hAnsi="Garamond" w:cs="Arial"/>
          <w:color w:val="auto"/>
          <w:sz w:val="24"/>
          <w:szCs w:val="24"/>
          <w:lang w:val="pt-PT"/>
        </w:rPr>
        <w:t xml:space="preserve">s de </w:t>
      </w:r>
      <w:r w:rsidR="00C30647" w:rsidRPr="003A1174">
        <w:rPr>
          <w:rFonts w:ascii="Garamond" w:hAnsi="Garamond" w:cs="Arial"/>
          <w:color w:val="auto"/>
          <w:sz w:val="24"/>
          <w:szCs w:val="24"/>
          <w:lang w:val="pt-PT"/>
        </w:rPr>
        <w:t>assessoria</w:t>
      </w:r>
      <w:r w:rsidR="00CA39B2" w:rsidRPr="003A1174">
        <w:rPr>
          <w:rFonts w:ascii="Garamond" w:hAnsi="Garamond" w:cs="Arial"/>
          <w:color w:val="auto"/>
          <w:sz w:val="24"/>
          <w:szCs w:val="24"/>
          <w:lang w:val="pt-PT"/>
        </w:rPr>
        <w:t xml:space="preserve">, </w:t>
      </w:r>
      <w:r w:rsidR="00A13226" w:rsidRPr="003A1174">
        <w:rPr>
          <w:rFonts w:ascii="Garamond" w:hAnsi="Garamond" w:cs="Arial"/>
          <w:color w:val="auto"/>
          <w:sz w:val="24"/>
          <w:szCs w:val="24"/>
          <w:lang w:val="pt-PT"/>
        </w:rPr>
        <w:t xml:space="preserve">conceção e </w:t>
      </w:r>
      <w:r w:rsidR="00253B1D" w:rsidRPr="003A1174">
        <w:rPr>
          <w:rFonts w:ascii="Garamond" w:hAnsi="Garamond" w:cs="Arial"/>
          <w:color w:val="auto"/>
          <w:sz w:val="24"/>
          <w:szCs w:val="24"/>
          <w:lang w:val="pt-PT"/>
        </w:rPr>
        <w:t>controlo</w:t>
      </w:r>
      <w:r w:rsidR="00CA39B2" w:rsidRPr="003A1174">
        <w:rPr>
          <w:rFonts w:ascii="Garamond" w:hAnsi="Garamond" w:cs="Arial"/>
          <w:color w:val="auto"/>
          <w:sz w:val="24"/>
          <w:szCs w:val="24"/>
          <w:lang w:val="pt-PT"/>
        </w:rPr>
        <w:t xml:space="preserve"> de políticas </w:t>
      </w:r>
      <w:r w:rsidR="00BA3CCE" w:rsidRPr="003A1174">
        <w:rPr>
          <w:rFonts w:ascii="Garamond" w:hAnsi="Garamond" w:cs="Arial"/>
          <w:color w:val="auto"/>
          <w:sz w:val="24"/>
          <w:szCs w:val="24"/>
          <w:lang w:val="pt-PT"/>
        </w:rPr>
        <w:t>intersectoriais</w:t>
      </w:r>
      <w:r w:rsidR="00CA39B2" w:rsidRPr="003A1174">
        <w:rPr>
          <w:rFonts w:ascii="Garamond" w:hAnsi="Garamond" w:cs="Arial"/>
          <w:color w:val="auto"/>
          <w:sz w:val="24"/>
          <w:szCs w:val="24"/>
          <w:lang w:val="pt-PT"/>
        </w:rPr>
        <w:t xml:space="preserve">. </w:t>
      </w:r>
      <w:r w:rsidR="00A13226" w:rsidRPr="003A1174">
        <w:rPr>
          <w:rFonts w:ascii="Garamond" w:hAnsi="Garamond" w:cs="Arial"/>
          <w:color w:val="auto"/>
          <w:sz w:val="24"/>
          <w:szCs w:val="24"/>
          <w:lang w:val="pt-PT"/>
        </w:rPr>
        <w:t>Os</w:t>
      </w:r>
      <w:r w:rsidR="00CA39B2" w:rsidRPr="003A1174">
        <w:rPr>
          <w:rFonts w:ascii="Garamond" w:hAnsi="Garamond" w:cs="Arial"/>
          <w:color w:val="auto"/>
          <w:sz w:val="24"/>
          <w:szCs w:val="24"/>
          <w:lang w:val="pt-PT"/>
        </w:rPr>
        <w:t xml:space="preserve"> </w:t>
      </w:r>
      <w:r w:rsidR="002F5CD1" w:rsidRPr="003A1174">
        <w:rPr>
          <w:rFonts w:ascii="Garamond" w:hAnsi="Garamond" w:cs="Arial"/>
          <w:color w:val="auto"/>
          <w:sz w:val="24"/>
          <w:szCs w:val="24"/>
          <w:lang w:val="pt-PT"/>
        </w:rPr>
        <w:t>principais</w:t>
      </w:r>
      <w:r w:rsidR="00CA39B2" w:rsidRPr="003A1174">
        <w:rPr>
          <w:rFonts w:ascii="Garamond" w:hAnsi="Garamond" w:cs="Arial"/>
          <w:color w:val="auto"/>
          <w:sz w:val="24"/>
          <w:szCs w:val="24"/>
          <w:lang w:val="pt-PT"/>
        </w:rPr>
        <w:t xml:space="preserve"> </w:t>
      </w:r>
      <w:r>
        <w:rPr>
          <w:rFonts w:ascii="Garamond" w:hAnsi="Garamond" w:cs="Arial"/>
          <w:color w:val="auto"/>
          <w:sz w:val="24"/>
          <w:szCs w:val="24"/>
          <w:lang w:val="pt-PT"/>
        </w:rPr>
        <w:t>envolvidos na</w:t>
      </w:r>
      <w:r w:rsidR="00A13226"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intrafamiliar </w:t>
      </w:r>
      <w:r w:rsidR="00D75A07" w:rsidRPr="003A1174">
        <w:rPr>
          <w:rFonts w:ascii="Garamond" w:hAnsi="Garamond" w:cs="Arial"/>
          <w:color w:val="auto"/>
          <w:sz w:val="24"/>
          <w:szCs w:val="24"/>
          <w:lang w:val="pt-PT"/>
        </w:rPr>
        <w:t>são</w:t>
      </w:r>
      <w:r w:rsidR="00A13226"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os </w:t>
      </w:r>
      <w:r w:rsidR="006F7276" w:rsidRPr="003A1174">
        <w:rPr>
          <w:rFonts w:ascii="Garamond" w:hAnsi="Garamond" w:cs="Arial"/>
          <w:color w:val="auto"/>
          <w:sz w:val="24"/>
          <w:szCs w:val="24"/>
          <w:lang w:val="pt-PT"/>
        </w:rPr>
        <w:t>seguintes</w:t>
      </w:r>
      <w:r w:rsidR="00CA39B2" w:rsidRPr="003A1174">
        <w:rPr>
          <w:rFonts w:ascii="Garamond" w:hAnsi="Garamond" w:cs="Arial"/>
          <w:color w:val="auto"/>
          <w:sz w:val="24"/>
          <w:szCs w:val="24"/>
          <w:lang w:val="pt-PT"/>
        </w:rPr>
        <w:t>:</w:t>
      </w:r>
    </w:p>
    <w:p w:rsidR="00CA39B2" w:rsidRPr="003A1174" w:rsidRDefault="00A13226" w:rsidP="008719D4">
      <w:pPr>
        <w:pStyle w:val="Prrafodelista"/>
        <w:numPr>
          <w:ilvl w:val="0"/>
          <w:numId w:val="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O</w:t>
      </w:r>
      <w:r w:rsidR="00CA39B2" w:rsidRPr="003A1174">
        <w:rPr>
          <w:rFonts w:ascii="Garamond" w:hAnsi="Garamond" w:cs="Arial"/>
          <w:color w:val="auto"/>
          <w:sz w:val="24"/>
          <w:szCs w:val="24"/>
          <w:lang w:val="pt-PT"/>
        </w:rPr>
        <w:t xml:space="preserve"> </w:t>
      </w:r>
      <w:r w:rsidR="004C1496" w:rsidRPr="003A1174">
        <w:rPr>
          <w:rFonts w:ascii="Garamond" w:hAnsi="Garamond" w:cs="Arial"/>
          <w:color w:val="auto"/>
          <w:sz w:val="24"/>
          <w:szCs w:val="24"/>
          <w:lang w:val="pt-PT"/>
        </w:rPr>
        <w:t>Conselho</w:t>
      </w:r>
      <w:r w:rsidR="00CA39B2" w:rsidRPr="003A1174">
        <w:rPr>
          <w:rFonts w:ascii="Garamond" w:hAnsi="Garamond" w:cs="Arial"/>
          <w:color w:val="auto"/>
          <w:sz w:val="24"/>
          <w:szCs w:val="24"/>
          <w:lang w:val="pt-PT"/>
        </w:rPr>
        <w:t xml:space="preserve"> Nacional Consultivo de </w:t>
      </w:r>
      <w:r w:rsidR="001C2738" w:rsidRPr="003A1174">
        <w:rPr>
          <w:rFonts w:ascii="Garamond" w:hAnsi="Garamond" w:cs="Arial"/>
          <w:color w:val="auto"/>
          <w:sz w:val="24"/>
          <w:szCs w:val="24"/>
          <w:lang w:val="pt-PT"/>
        </w:rPr>
        <w:t>Luta</w:t>
      </w:r>
      <w:r w:rsidRPr="003A1174">
        <w:rPr>
          <w:rFonts w:ascii="Garamond" w:hAnsi="Garamond" w:cs="Arial"/>
          <w:color w:val="auto"/>
          <w:sz w:val="24"/>
          <w:szCs w:val="24"/>
          <w:lang w:val="pt-PT"/>
        </w:rPr>
        <w:t xml:space="preserve"> </w:t>
      </w:r>
      <w:r w:rsidR="005C3959">
        <w:rPr>
          <w:rFonts w:ascii="Garamond" w:hAnsi="Garamond" w:cs="Arial"/>
          <w:color w:val="auto"/>
          <w:sz w:val="24"/>
          <w:szCs w:val="24"/>
          <w:lang w:val="pt-PT"/>
        </w:rPr>
        <w:t>C</w:t>
      </w:r>
      <w:r w:rsidRPr="003A1174">
        <w:rPr>
          <w:rFonts w:ascii="Garamond" w:hAnsi="Garamond" w:cs="Arial"/>
          <w:color w:val="auto"/>
          <w:sz w:val="24"/>
          <w:szCs w:val="24"/>
          <w:lang w:val="pt-PT"/>
        </w:rPr>
        <w:t xml:space="preserve">ontra </w:t>
      </w:r>
      <w:r w:rsidR="00CA39B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w:t>
      </w:r>
    </w:p>
    <w:p w:rsidR="00CA39B2" w:rsidRPr="003A1174" w:rsidRDefault="005C3959" w:rsidP="008719D4">
      <w:pPr>
        <w:spacing w:before="240" w:line="240" w:lineRule="auto"/>
        <w:ind w:left="708"/>
        <w:jc w:val="both"/>
        <w:rPr>
          <w:rFonts w:ascii="Garamond" w:hAnsi="Garamond" w:cs="Arial"/>
          <w:sz w:val="24"/>
          <w:szCs w:val="24"/>
        </w:rPr>
      </w:pPr>
      <w:r>
        <w:rPr>
          <w:rFonts w:ascii="Garamond" w:hAnsi="Garamond" w:cs="Arial"/>
          <w:sz w:val="24"/>
          <w:szCs w:val="24"/>
        </w:rPr>
        <w:t>Este Conselho f</w:t>
      </w:r>
      <w:r w:rsidR="00462B11" w:rsidRPr="003A1174">
        <w:rPr>
          <w:rFonts w:ascii="Garamond" w:hAnsi="Garamond" w:cs="Arial"/>
          <w:sz w:val="24"/>
          <w:szCs w:val="24"/>
        </w:rPr>
        <w:t>oi</w:t>
      </w:r>
      <w:r w:rsidR="00A13226" w:rsidRPr="003A1174">
        <w:rPr>
          <w:rFonts w:ascii="Garamond" w:hAnsi="Garamond" w:cs="Arial"/>
          <w:sz w:val="24"/>
          <w:szCs w:val="24"/>
        </w:rPr>
        <w:t xml:space="preserve"> cri</w:t>
      </w:r>
      <w:r w:rsidR="00CA39B2" w:rsidRPr="003A1174">
        <w:rPr>
          <w:rFonts w:ascii="Garamond" w:hAnsi="Garamond" w:cs="Arial"/>
          <w:sz w:val="24"/>
          <w:szCs w:val="24"/>
        </w:rPr>
        <w:t xml:space="preserve">ado </w:t>
      </w:r>
      <w:r w:rsidR="00275092" w:rsidRPr="003A1174">
        <w:rPr>
          <w:rFonts w:ascii="Garamond" w:hAnsi="Garamond" w:cs="Arial"/>
          <w:sz w:val="24"/>
          <w:szCs w:val="24"/>
        </w:rPr>
        <w:t>pela</w:t>
      </w:r>
      <w:r w:rsidR="00CA39B2" w:rsidRPr="003A1174">
        <w:rPr>
          <w:rFonts w:ascii="Garamond" w:hAnsi="Garamond" w:cs="Arial"/>
          <w:sz w:val="24"/>
          <w:szCs w:val="24"/>
        </w:rPr>
        <w:t xml:space="preserve"> </w:t>
      </w:r>
      <w:r w:rsidR="00D15AFF" w:rsidRPr="003A1174">
        <w:rPr>
          <w:rFonts w:ascii="Garamond" w:hAnsi="Garamond" w:cs="Arial"/>
          <w:sz w:val="24"/>
          <w:szCs w:val="24"/>
        </w:rPr>
        <w:t>Lei</w:t>
      </w:r>
      <w:r w:rsidR="00CA39B2" w:rsidRPr="003A1174">
        <w:rPr>
          <w:rFonts w:ascii="Garamond" w:hAnsi="Garamond" w:cs="Arial"/>
          <w:sz w:val="24"/>
          <w:szCs w:val="24"/>
        </w:rPr>
        <w:t xml:space="preserve"> N</w:t>
      </w:r>
      <w:r>
        <w:rPr>
          <w:rFonts w:ascii="Garamond" w:hAnsi="Garamond" w:cs="Arial"/>
          <w:sz w:val="24"/>
          <w:szCs w:val="24"/>
        </w:rPr>
        <w:t>.</w:t>
      </w:r>
      <w:r w:rsidR="00CA39B2" w:rsidRPr="003A1174">
        <w:rPr>
          <w:rFonts w:ascii="Garamond" w:hAnsi="Garamond" w:cs="Arial"/>
          <w:sz w:val="24"/>
          <w:szCs w:val="24"/>
        </w:rPr>
        <w:t>° 17</w:t>
      </w:r>
      <w:r>
        <w:rPr>
          <w:rFonts w:ascii="Garamond" w:hAnsi="Garamond" w:cs="Arial"/>
          <w:sz w:val="24"/>
          <w:szCs w:val="24"/>
        </w:rPr>
        <w:t xml:space="preserve"> </w:t>
      </w:r>
      <w:r w:rsidR="00CA39B2" w:rsidRPr="003A1174">
        <w:rPr>
          <w:rFonts w:ascii="Garamond" w:hAnsi="Garamond" w:cs="Arial"/>
          <w:sz w:val="24"/>
          <w:szCs w:val="24"/>
        </w:rPr>
        <w:t xml:space="preserve">514 </w:t>
      </w:r>
      <w:r w:rsidR="003A3461">
        <w:rPr>
          <w:rFonts w:ascii="Garamond" w:hAnsi="Garamond" w:cs="Arial"/>
          <w:sz w:val="24"/>
          <w:szCs w:val="24"/>
        </w:rPr>
        <w:t>relativa à</w:t>
      </w:r>
      <w:r w:rsidR="00CA39B2" w:rsidRPr="003A1174">
        <w:rPr>
          <w:rFonts w:ascii="Garamond" w:hAnsi="Garamond" w:cs="Arial"/>
          <w:sz w:val="24"/>
          <w:szCs w:val="24"/>
        </w:rPr>
        <w:t xml:space="preserve"> </w:t>
      </w:r>
      <w:r w:rsidR="001C2738" w:rsidRPr="003A1174">
        <w:rPr>
          <w:rFonts w:ascii="Garamond" w:hAnsi="Garamond" w:cs="Arial"/>
          <w:sz w:val="24"/>
          <w:szCs w:val="24"/>
        </w:rPr>
        <w:t>Luta</w:t>
      </w:r>
      <w:r w:rsidR="00A13226"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w:t>
      </w:r>
      <w:r w:rsidR="00A13226" w:rsidRPr="003A1174">
        <w:rPr>
          <w:rFonts w:ascii="Garamond" w:hAnsi="Garamond" w:cs="Arial"/>
          <w:sz w:val="24"/>
          <w:szCs w:val="24"/>
        </w:rPr>
        <w:t>, em</w:t>
      </w:r>
      <w:r w:rsidR="00CA39B2" w:rsidRPr="003A1174">
        <w:rPr>
          <w:rFonts w:ascii="Garamond" w:hAnsi="Garamond" w:cs="Arial"/>
          <w:sz w:val="24"/>
          <w:szCs w:val="24"/>
        </w:rPr>
        <w:t xml:space="preserve"> </w:t>
      </w:r>
      <w:r w:rsidR="00077461" w:rsidRPr="003A1174">
        <w:rPr>
          <w:rFonts w:ascii="Garamond" w:hAnsi="Garamond" w:cs="Arial"/>
          <w:sz w:val="24"/>
          <w:szCs w:val="24"/>
        </w:rPr>
        <w:t>junho</w:t>
      </w:r>
      <w:r w:rsidR="00CA39B2" w:rsidRPr="003A1174">
        <w:rPr>
          <w:rFonts w:ascii="Garamond" w:hAnsi="Garamond" w:cs="Arial"/>
          <w:sz w:val="24"/>
          <w:szCs w:val="24"/>
        </w:rPr>
        <w:t xml:space="preserve"> de 2002, </w:t>
      </w:r>
      <w:r w:rsidR="00A13226" w:rsidRPr="003A1174">
        <w:rPr>
          <w:rFonts w:ascii="Garamond" w:hAnsi="Garamond" w:cs="Arial"/>
          <w:sz w:val="24"/>
          <w:szCs w:val="24"/>
        </w:rPr>
        <w:t xml:space="preserve">e </w:t>
      </w:r>
      <w:r w:rsidR="00CA39B2" w:rsidRPr="003A1174">
        <w:rPr>
          <w:rFonts w:ascii="Garamond" w:hAnsi="Garamond" w:cs="Arial"/>
          <w:sz w:val="24"/>
          <w:szCs w:val="24"/>
        </w:rPr>
        <w:t xml:space="preserve">declara de </w:t>
      </w:r>
      <w:r w:rsidR="00EF645F" w:rsidRPr="003A1174">
        <w:rPr>
          <w:rFonts w:ascii="Garamond" w:hAnsi="Garamond" w:cs="Arial"/>
          <w:sz w:val="24"/>
          <w:szCs w:val="24"/>
        </w:rPr>
        <w:t>interesse</w:t>
      </w:r>
      <w:r w:rsidR="00CA39B2" w:rsidRPr="003A1174">
        <w:rPr>
          <w:rFonts w:ascii="Garamond" w:hAnsi="Garamond" w:cs="Arial"/>
          <w:sz w:val="24"/>
          <w:szCs w:val="24"/>
        </w:rPr>
        <w:t xml:space="preserve"> </w:t>
      </w:r>
      <w:r w:rsidR="00077461" w:rsidRPr="003A1174">
        <w:rPr>
          <w:rFonts w:ascii="Garamond" w:hAnsi="Garamond" w:cs="Arial"/>
          <w:sz w:val="24"/>
          <w:szCs w:val="24"/>
        </w:rPr>
        <w:t>geral</w:t>
      </w:r>
      <w:r w:rsidR="00A13226" w:rsidRPr="003A1174">
        <w:rPr>
          <w:rFonts w:ascii="Garamond" w:hAnsi="Garamond" w:cs="Arial"/>
          <w:sz w:val="24"/>
          <w:szCs w:val="24"/>
        </w:rPr>
        <w:t xml:space="preserve"> </w:t>
      </w:r>
      <w:r w:rsidR="00CA39B2" w:rsidRPr="003A1174">
        <w:rPr>
          <w:rFonts w:ascii="Garamond" w:hAnsi="Garamond" w:cs="Arial"/>
          <w:sz w:val="24"/>
          <w:szCs w:val="24"/>
        </w:rPr>
        <w:t xml:space="preserve">as </w:t>
      </w:r>
      <w:r w:rsidR="00374785" w:rsidRPr="003A1174">
        <w:rPr>
          <w:rFonts w:ascii="Garamond" w:hAnsi="Garamond" w:cs="Arial"/>
          <w:sz w:val="24"/>
          <w:szCs w:val="24"/>
        </w:rPr>
        <w:t>atividades</w:t>
      </w:r>
      <w:r w:rsidR="00AE7513" w:rsidRPr="003A1174">
        <w:rPr>
          <w:rFonts w:ascii="Garamond" w:hAnsi="Garamond" w:cs="Arial"/>
          <w:sz w:val="24"/>
          <w:szCs w:val="24"/>
        </w:rPr>
        <w:t xml:space="preserve"> </w:t>
      </w:r>
      <w:r w:rsidR="00CA39B2" w:rsidRPr="003A1174">
        <w:rPr>
          <w:rFonts w:ascii="Garamond" w:hAnsi="Garamond" w:cs="Arial"/>
          <w:sz w:val="24"/>
          <w:szCs w:val="24"/>
        </w:rPr>
        <w:t xml:space="preserve">orientadas </w:t>
      </w:r>
      <w:r w:rsidR="00A13226" w:rsidRPr="003A1174">
        <w:rPr>
          <w:rFonts w:ascii="Garamond" w:hAnsi="Garamond" w:cs="Arial"/>
          <w:sz w:val="24"/>
          <w:szCs w:val="24"/>
        </w:rPr>
        <w:t xml:space="preserve">para </w:t>
      </w:r>
      <w:r w:rsidR="00CA39B2" w:rsidRPr="003A1174">
        <w:rPr>
          <w:rFonts w:ascii="Garamond" w:hAnsi="Garamond" w:cs="Arial"/>
          <w:sz w:val="24"/>
          <w:szCs w:val="24"/>
        </w:rPr>
        <w:t xml:space="preserve">a </w:t>
      </w:r>
      <w:r w:rsidR="007578C6" w:rsidRPr="003A1174">
        <w:rPr>
          <w:rFonts w:ascii="Garamond" w:hAnsi="Garamond" w:cs="Arial"/>
          <w:sz w:val="24"/>
          <w:szCs w:val="24"/>
        </w:rPr>
        <w:t>prevenção</w:t>
      </w:r>
      <w:r w:rsidR="00CA39B2" w:rsidRPr="003A1174">
        <w:rPr>
          <w:rFonts w:ascii="Garamond" w:hAnsi="Garamond" w:cs="Arial"/>
          <w:sz w:val="24"/>
          <w:szCs w:val="24"/>
        </w:rPr>
        <w:t xml:space="preserve">, </w:t>
      </w:r>
      <w:r w:rsidR="00A13226" w:rsidRPr="003A1174">
        <w:rPr>
          <w:rFonts w:ascii="Garamond" w:hAnsi="Garamond" w:cs="Arial"/>
          <w:sz w:val="24"/>
          <w:szCs w:val="24"/>
        </w:rPr>
        <w:t>deteção</w:t>
      </w:r>
      <w:r w:rsidR="00CA39B2" w:rsidRPr="003A1174">
        <w:rPr>
          <w:rFonts w:ascii="Garamond" w:hAnsi="Garamond" w:cs="Arial"/>
          <w:sz w:val="24"/>
          <w:szCs w:val="24"/>
        </w:rPr>
        <w:t xml:space="preserve"> </w:t>
      </w:r>
      <w:r w:rsidR="00A13226" w:rsidRPr="003A1174">
        <w:rPr>
          <w:rFonts w:ascii="Garamond" w:hAnsi="Garamond" w:cs="Arial"/>
          <w:sz w:val="24"/>
          <w:szCs w:val="24"/>
        </w:rPr>
        <w:t>precoce</w:t>
      </w:r>
      <w:r w:rsidR="00CA39B2" w:rsidRPr="003A1174">
        <w:rPr>
          <w:rFonts w:ascii="Garamond" w:hAnsi="Garamond" w:cs="Arial"/>
          <w:sz w:val="24"/>
          <w:szCs w:val="24"/>
        </w:rPr>
        <w:t xml:space="preserve">, </w:t>
      </w:r>
      <w:r w:rsidR="008278C4" w:rsidRPr="003A1174">
        <w:rPr>
          <w:rFonts w:ascii="Garamond" w:hAnsi="Garamond" w:cs="Arial"/>
          <w:sz w:val="24"/>
          <w:szCs w:val="24"/>
        </w:rPr>
        <w:t>atenção</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C30647" w:rsidRPr="003A1174">
        <w:rPr>
          <w:rFonts w:ascii="Garamond" w:hAnsi="Garamond" w:cs="Arial"/>
          <w:sz w:val="24"/>
          <w:szCs w:val="24"/>
        </w:rPr>
        <w:t>erradicação</w:t>
      </w:r>
      <w:r w:rsidR="00CA39B2" w:rsidRPr="003A1174">
        <w:rPr>
          <w:rFonts w:ascii="Garamond" w:hAnsi="Garamond" w:cs="Arial"/>
          <w:sz w:val="24"/>
          <w:szCs w:val="24"/>
        </w:rPr>
        <w:t xml:space="preserve"> da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Oficialmente</w:t>
      </w:r>
      <w:r w:rsidR="00AE181E">
        <w:rPr>
          <w:rFonts w:ascii="Garamond" w:hAnsi="Garamond" w:cs="Arial"/>
          <w:sz w:val="24"/>
          <w:szCs w:val="24"/>
        </w:rPr>
        <w:t>,</w:t>
      </w:r>
      <w:r w:rsidR="00CA39B2" w:rsidRPr="003A1174">
        <w:rPr>
          <w:rFonts w:ascii="Garamond" w:hAnsi="Garamond" w:cs="Arial"/>
          <w:sz w:val="24"/>
          <w:szCs w:val="24"/>
        </w:rPr>
        <w:t xml:space="preserve"> </w:t>
      </w:r>
      <w:r w:rsidR="00A13226" w:rsidRPr="003A1174">
        <w:rPr>
          <w:rFonts w:ascii="Garamond" w:hAnsi="Garamond" w:cs="Arial"/>
          <w:sz w:val="24"/>
          <w:szCs w:val="24"/>
        </w:rPr>
        <w:t xml:space="preserve">é </w:t>
      </w:r>
      <w:r w:rsidR="00CA39B2" w:rsidRPr="003A1174">
        <w:rPr>
          <w:rFonts w:ascii="Garamond" w:hAnsi="Garamond" w:cs="Arial"/>
          <w:sz w:val="24"/>
          <w:szCs w:val="24"/>
        </w:rPr>
        <w:t xml:space="preserve">integrado </w:t>
      </w:r>
      <w:r w:rsidR="005C2020" w:rsidRPr="003A1174">
        <w:rPr>
          <w:rFonts w:ascii="Garamond" w:hAnsi="Garamond" w:cs="Arial"/>
          <w:sz w:val="24"/>
          <w:szCs w:val="24"/>
        </w:rPr>
        <w:t>pelo</w:t>
      </w:r>
      <w:r w:rsidR="00CA39B2" w:rsidRPr="003A1174">
        <w:rPr>
          <w:rFonts w:ascii="Garamond" w:hAnsi="Garamond" w:cs="Arial"/>
          <w:sz w:val="24"/>
          <w:szCs w:val="24"/>
        </w:rPr>
        <w:t xml:space="preserve"> Instituto Nacional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D77C19" w:rsidRPr="003A1174">
        <w:rPr>
          <w:rFonts w:ascii="Garamond" w:hAnsi="Garamond" w:cs="Arial"/>
          <w:sz w:val="24"/>
          <w:szCs w:val="24"/>
        </w:rPr>
        <w:t>Ministério</w:t>
      </w:r>
      <w:r w:rsidR="00CA39B2" w:rsidRPr="003A1174">
        <w:rPr>
          <w:rFonts w:ascii="Garamond" w:hAnsi="Garamond" w:cs="Arial"/>
          <w:sz w:val="24"/>
          <w:szCs w:val="24"/>
        </w:rPr>
        <w:t xml:space="preserve"> de </w:t>
      </w:r>
      <w:r w:rsidR="009B133A" w:rsidRPr="003A1174">
        <w:rPr>
          <w:rFonts w:ascii="Garamond" w:hAnsi="Garamond" w:cs="Arial"/>
          <w:sz w:val="24"/>
          <w:szCs w:val="24"/>
        </w:rPr>
        <w:t>Desenvolvimento</w:t>
      </w:r>
      <w:r w:rsidR="00CA39B2" w:rsidRPr="003A1174">
        <w:rPr>
          <w:rFonts w:ascii="Garamond" w:hAnsi="Garamond" w:cs="Arial"/>
          <w:sz w:val="24"/>
          <w:szCs w:val="24"/>
        </w:rPr>
        <w:t xml:space="preserve"> Social, </w:t>
      </w:r>
      <w:r w:rsidR="00A13226" w:rsidRPr="003A1174">
        <w:rPr>
          <w:rFonts w:ascii="Garamond" w:hAnsi="Garamond" w:cs="Arial"/>
          <w:sz w:val="24"/>
          <w:szCs w:val="24"/>
        </w:rPr>
        <w:t xml:space="preserve">o </w:t>
      </w:r>
      <w:r w:rsidR="00D77C19" w:rsidRPr="003A1174">
        <w:rPr>
          <w:rFonts w:ascii="Garamond" w:hAnsi="Garamond" w:cs="Arial"/>
          <w:sz w:val="24"/>
          <w:szCs w:val="24"/>
        </w:rPr>
        <w:t>Ministério</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Interior, </w:t>
      </w:r>
      <w:r w:rsidR="00A13226" w:rsidRPr="003A1174">
        <w:rPr>
          <w:rFonts w:ascii="Garamond" w:hAnsi="Garamond" w:cs="Arial"/>
          <w:sz w:val="24"/>
          <w:szCs w:val="24"/>
        </w:rPr>
        <w:t>o</w:t>
      </w:r>
      <w:r w:rsidR="00CA39B2" w:rsidRPr="003A1174">
        <w:rPr>
          <w:rFonts w:ascii="Garamond" w:hAnsi="Garamond" w:cs="Arial"/>
          <w:sz w:val="24"/>
          <w:szCs w:val="24"/>
        </w:rPr>
        <w:t xml:space="preserve"> </w:t>
      </w:r>
      <w:r w:rsidR="00D77C19" w:rsidRPr="003A1174">
        <w:rPr>
          <w:rFonts w:ascii="Garamond" w:hAnsi="Garamond" w:cs="Arial"/>
          <w:sz w:val="24"/>
          <w:szCs w:val="24"/>
        </w:rPr>
        <w:t>Ministério</w:t>
      </w:r>
      <w:r w:rsidR="00A13226" w:rsidRPr="003A1174">
        <w:rPr>
          <w:rFonts w:ascii="Garamond" w:hAnsi="Garamond" w:cs="Arial"/>
          <w:sz w:val="24"/>
          <w:szCs w:val="24"/>
        </w:rPr>
        <w:t xml:space="preserve"> da</w:t>
      </w:r>
      <w:r w:rsidR="00CA39B2" w:rsidRPr="003A1174">
        <w:rPr>
          <w:rFonts w:ascii="Garamond" w:hAnsi="Garamond" w:cs="Arial"/>
          <w:sz w:val="24"/>
          <w:szCs w:val="24"/>
        </w:rPr>
        <w:t xml:space="preserve"> </w:t>
      </w:r>
      <w:r w:rsidR="007C63D0" w:rsidRPr="003A1174">
        <w:rPr>
          <w:rFonts w:ascii="Garamond" w:hAnsi="Garamond" w:cs="Arial"/>
          <w:sz w:val="24"/>
          <w:szCs w:val="24"/>
        </w:rPr>
        <w:t>Saúde</w:t>
      </w:r>
      <w:r w:rsidR="00CA39B2" w:rsidRPr="003A1174">
        <w:rPr>
          <w:rFonts w:ascii="Garamond" w:hAnsi="Garamond" w:cs="Arial"/>
          <w:sz w:val="24"/>
          <w:szCs w:val="24"/>
        </w:rPr>
        <w:t xml:space="preserve"> Pública, </w:t>
      </w:r>
      <w:r w:rsidR="00A13226" w:rsidRPr="003A1174">
        <w:rPr>
          <w:rFonts w:ascii="Garamond" w:hAnsi="Garamond" w:cs="Arial"/>
          <w:sz w:val="24"/>
          <w:szCs w:val="24"/>
        </w:rPr>
        <w:t>o</w:t>
      </w:r>
      <w:r w:rsidR="00CA39B2" w:rsidRPr="003A1174">
        <w:rPr>
          <w:rFonts w:ascii="Garamond" w:hAnsi="Garamond" w:cs="Arial"/>
          <w:sz w:val="24"/>
          <w:szCs w:val="24"/>
        </w:rPr>
        <w:t xml:space="preserve"> Instituto Nacional </w:t>
      </w:r>
      <w:r w:rsidR="00E85E59" w:rsidRPr="003A1174">
        <w:rPr>
          <w:rFonts w:ascii="Garamond" w:hAnsi="Garamond" w:cs="Arial"/>
          <w:sz w:val="24"/>
          <w:szCs w:val="24"/>
        </w:rPr>
        <w:t>d</w:t>
      </w:r>
      <w:r w:rsidR="00A13226" w:rsidRPr="003A1174">
        <w:rPr>
          <w:rFonts w:ascii="Garamond" w:hAnsi="Garamond" w:cs="Arial"/>
          <w:sz w:val="24"/>
          <w:szCs w:val="24"/>
        </w:rPr>
        <w:t>a Criança e do</w:t>
      </w:r>
      <w:r w:rsidR="00CA39B2" w:rsidRPr="003A1174">
        <w:rPr>
          <w:rFonts w:ascii="Garamond" w:hAnsi="Garamond" w:cs="Arial"/>
          <w:sz w:val="24"/>
          <w:szCs w:val="24"/>
        </w:rPr>
        <w:t xml:space="preserve"> Adolescente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C30647" w:rsidRPr="003A1174">
        <w:rPr>
          <w:rFonts w:ascii="Garamond" w:hAnsi="Garamond" w:cs="Arial"/>
          <w:sz w:val="24"/>
          <w:szCs w:val="24"/>
        </w:rPr>
        <w:t>Uruguai</w:t>
      </w:r>
      <w:r w:rsidR="00CA39B2" w:rsidRPr="003A1174">
        <w:rPr>
          <w:rFonts w:ascii="Garamond" w:hAnsi="Garamond" w:cs="Arial"/>
          <w:sz w:val="24"/>
          <w:szCs w:val="24"/>
        </w:rPr>
        <w:t xml:space="preserve">, </w:t>
      </w:r>
      <w:r w:rsidR="00A13226" w:rsidRPr="003A1174">
        <w:rPr>
          <w:rFonts w:ascii="Garamond" w:hAnsi="Garamond" w:cs="Arial"/>
          <w:sz w:val="24"/>
          <w:szCs w:val="24"/>
        </w:rPr>
        <w:t>o</w:t>
      </w:r>
      <w:r w:rsidR="00CA39B2" w:rsidRPr="003A1174">
        <w:rPr>
          <w:rFonts w:ascii="Garamond" w:hAnsi="Garamond" w:cs="Arial"/>
          <w:sz w:val="24"/>
          <w:szCs w:val="24"/>
        </w:rPr>
        <w:t xml:space="preserve"> Poder Judicial, </w:t>
      </w:r>
      <w:r w:rsidR="00AE7513" w:rsidRPr="003A1174">
        <w:rPr>
          <w:rFonts w:ascii="Garamond" w:hAnsi="Garamond" w:cs="Arial"/>
          <w:sz w:val="24"/>
          <w:szCs w:val="24"/>
        </w:rPr>
        <w:t xml:space="preserve">a </w:t>
      </w:r>
      <w:r w:rsidR="00FB09CA" w:rsidRPr="003A1174">
        <w:rPr>
          <w:rFonts w:ascii="Garamond" w:hAnsi="Garamond" w:cs="Arial"/>
          <w:sz w:val="24"/>
          <w:szCs w:val="24"/>
        </w:rPr>
        <w:t>Administração</w:t>
      </w:r>
      <w:r w:rsidR="00CA39B2" w:rsidRPr="003A1174">
        <w:rPr>
          <w:rFonts w:ascii="Garamond" w:hAnsi="Garamond" w:cs="Arial"/>
          <w:sz w:val="24"/>
          <w:szCs w:val="24"/>
        </w:rPr>
        <w:t xml:space="preserve"> Nacional de </w:t>
      </w:r>
      <w:r w:rsidR="00802ACC" w:rsidRPr="003A1174">
        <w:rPr>
          <w:rFonts w:ascii="Garamond" w:hAnsi="Garamond" w:cs="Arial"/>
          <w:sz w:val="24"/>
          <w:szCs w:val="24"/>
        </w:rPr>
        <w:t>Educação</w:t>
      </w:r>
      <w:r w:rsidR="00CA39B2" w:rsidRPr="003A1174">
        <w:rPr>
          <w:rFonts w:ascii="Garamond" w:hAnsi="Garamond" w:cs="Arial"/>
          <w:sz w:val="24"/>
          <w:szCs w:val="24"/>
        </w:rPr>
        <w:t xml:space="preserve"> Pública, </w:t>
      </w:r>
      <w:r w:rsidR="00A13226" w:rsidRPr="003A1174">
        <w:rPr>
          <w:rFonts w:ascii="Garamond" w:hAnsi="Garamond" w:cs="Arial"/>
          <w:sz w:val="24"/>
          <w:szCs w:val="24"/>
        </w:rPr>
        <w:t xml:space="preserve">o </w:t>
      </w:r>
      <w:r w:rsidR="003F012B" w:rsidRPr="003A1174">
        <w:rPr>
          <w:rFonts w:ascii="Garamond" w:hAnsi="Garamond" w:cs="Arial"/>
          <w:sz w:val="24"/>
          <w:szCs w:val="24"/>
        </w:rPr>
        <w:t>Congresso</w:t>
      </w:r>
      <w:r w:rsidR="00CA39B2" w:rsidRPr="003A1174">
        <w:rPr>
          <w:rFonts w:ascii="Garamond" w:hAnsi="Garamond" w:cs="Arial"/>
          <w:sz w:val="24"/>
          <w:szCs w:val="24"/>
        </w:rPr>
        <w:t xml:space="preserve"> Nacional de</w:t>
      </w:r>
      <w:r w:rsidR="00AE181E">
        <w:rPr>
          <w:rFonts w:ascii="Garamond" w:hAnsi="Garamond" w:cs="Arial"/>
          <w:sz w:val="24"/>
          <w:szCs w:val="24"/>
        </w:rPr>
        <w:t xml:space="preserve"> Prefeitos</w:t>
      </w:r>
      <w:r w:rsidR="00561431">
        <w:rPr>
          <w:rFonts w:ascii="Garamond" w:hAnsi="Garamond" w:cs="Arial"/>
          <w:sz w:val="24"/>
          <w:szCs w:val="24"/>
        </w:rPr>
        <w:t xml:space="preserve"> </w:t>
      </w:r>
      <w:r w:rsidR="000672E8" w:rsidRPr="003A1174">
        <w:rPr>
          <w:rFonts w:ascii="Garamond" w:hAnsi="Garamond" w:cs="Arial"/>
          <w:sz w:val="24"/>
          <w:szCs w:val="24"/>
        </w:rPr>
        <w:t>e</w:t>
      </w:r>
      <w:r w:rsidR="00A13226" w:rsidRPr="003A1174">
        <w:rPr>
          <w:rFonts w:ascii="Garamond" w:hAnsi="Garamond" w:cs="Arial"/>
          <w:sz w:val="24"/>
          <w:szCs w:val="24"/>
        </w:rPr>
        <w:t xml:space="preserve"> </w:t>
      </w:r>
      <w:r w:rsidR="00CA39B2" w:rsidRPr="003A1174">
        <w:rPr>
          <w:rFonts w:ascii="Garamond" w:hAnsi="Garamond" w:cs="Arial"/>
          <w:sz w:val="24"/>
          <w:szCs w:val="24"/>
        </w:rPr>
        <w:t xml:space="preserve">a </w:t>
      </w:r>
      <w:r w:rsidR="003A391A" w:rsidRPr="003A1174">
        <w:rPr>
          <w:rFonts w:ascii="Garamond" w:hAnsi="Garamond" w:cs="Arial"/>
          <w:sz w:val="24"/>
          <w:szCs w:val="24"/>
        </w:rPr>
        <w:t>Associação</w:t>
      </w:r>
      <w:r w:rsidR="00CA39B2" w:rsidRPr="003A1174">
        <w:rPr>
          <w:rFonts w:ascii="Garamond" w:hAnsi="Garamond" w:cs="Arial"/>
          <w:sz w:val="24"/>
          <w:szCs w:val="24"/>
        </w:rPr>
        <w:t xml:space="preserve"> Nacional de </w:t>
      </w:r>
      <w:r w:rsidR="002470B1" w:rsidRPr="003A1174">
        <w:rPr>
          <w:rFonts w:ascii="Garamond" w:hAnsi="Garamond" w:cs="Arial"/>
          <w:sz w:val="24"/>
          <w:szCs w:val="24"/>
        </w:rPr>
        <w:t>Organizações</w:t>
      </w:r>
      <w:r w:rsidR="00CA39B2" w:rsidRPr="003A1174">
        <w:rPr>
          <w:rFonts w:ascii="Garamond" w:hAnsi="Garamond" w:cs="Arial"/>
          <w:sz w:val="24"/>
          <w:szCs w:val="24"/>
        </w:rPr>
        <w:t xml:space="preserve"> N</w:t>
      </w:r>
      <w:r w:rsidR="00A13226" w:rsidRPr="003A1174">
        <w:rPr>
          <w:rFonts w:ascii="Garamond" w:hAnsi="Garamond" w:cs="Arial"/>
          <w:sz w:val="24"/>
          <w:szCs w:val="24"/>
        </w:rPr>
        <w:t>ã</w:t>
      </w:r>
      <w:r w:rsidR="00CA39B2" w:rsidRPr="003A1174">
        <w:rPr>
          <w:rFonts w:ascii="Garamond" w:hAnsi="Garamond" w:cs="Arial"/>
          <w:sz w:val="24"/>
          <w:szCs w:val="24"/>
        </w:rPr>
        <w:t xml:space="preserve">o </w:t>
      </w:r>
      <w:r w:rsidR="00100435" w:rsidRPr="003A1174">
        <w:rPr>
          <w:rFonts w:ascii="Garamond" w:hAnsi="Garamond" w:cs="Arial"/>
          <w:sz w:val="24"/>
          <w:szCs w:val="24"/>
        </w:rPr>
        <w:t>Governamentais</w:t>
      </w:r>
      <w:r w:rsidR="00CA39B2" w:rsidRPr="003A1174">
        <w:rPr>
          <w:rFonts w:ascii="Garamond" w:hAnsi="Garamond" w:cs="Arial"/>
          <w:sz w:val="24"/>
          <w:szCs w:val="24"/>
        </w:rPr>
        <w:t xml:space="preserve">. </w:t>
      </w:r>
      <w:r w:rsidR="00A13226" w:rsidRPr="003A1174">
        <w:rPr>
          <w:rFonts w:ascii="Garamond" w:hAnsi="Garamond" w:cs="Arial"/>
          <w:sz w:val="24"/>
          <w:szCs w:val="24"/>
        </w:rPr>
        <w:t xml:space="preserve">Os seus </w:t>
      </w:r>
      <w:r w:rsidR="002F5CD1" w:rsidRPr="003A1174">
        <w:rPr>
          <w:rFonts w:ascii="Garamond" w:hAnsi="Garamond" w:cs="Arial"/>
          <w:sz w:val="24"/>
          <w:szCs w:val="24"/>
        </w:rPr>
        <w:t>principais</w:t>
      </w:r>
      <w:r w:rsidR="00CA39B2" w:rsidRPr="003A1174">
        <w:rPr>
          <w:rFonts w:ascii="Garamond" w:hAnsi="Garamond" w:cs="Arial"/>
          <w:sz w:val="24"/>
          <w:szCs w:val="24"/>
        </w:rPr>
        <w:t xml:space="preserve"> objetivos </w:t>
      </w:r>
      <w:r w:rsidR="00D75A07" w:rsidRPr="003A1174">
        <w:rPr>
          <w:rFonts w:ascii="Garamond" w:hAnsi="Garamond" w:cs="Arial"/>
          <w:sz w:val="24"/>
          <w:szCs w:val="24"/>
        </w:rPr>
        <w:t>são</w:t>
      </w:r>
      <w:r w:rsidR="00CA39B2" w:rsidRPr="003A1174">
        <w:rPr>
          <w:rFonts w:ascii="Garamond" w:hAnsi="Garamond" w:cs="Arial"/>
          <w:sz w:val="24"/>
          <w:szCs w:val="24"/>
        </w:rPr>
        <w:t>:</w:t>
      </w:r>
      <w:r w:rsidR="00AE7513" w:rsidRPr="003A1174">
        <w:rPr>
          <w:rFonts w:ascii="Garamond" w:hAnsi="Garamond" w:cs="Arial"/>
          <w:sz w:val="24"/>
          <w:szCs w:val="24"/>
        </w:rPr>
        <w:t xml:space="preserve"> </w:t>
      </w:r>
      <w:r w:rsidR="00FC1F7F" w:rsidRPr="003A1174">
        <w:rPr>
          <w:rFonts w:ascii="Garamond" w:hAnsi="Garamond" w:cs="Arial"/>
          <w:sz w:val="24"/>
          <w:szCs w:val="24"/>
        </w:rPr>
        <w:t>assessora</w:t>
      </w:r>
      <w:r w:rsidR="00CA39B2" w:rsidRPr="003A1174">
        <w:rPr>
          <w:rFonts w:ascii="Garamond" w:hAnsi="Garamond" w:cs="Arial"/>
          <w:sz w:val="24"/>
          <w:szCs w:val="24"/>
        </w:rPr>
        <w:t xml:space="preserve">r </w:t>
      </w:r>
      <w:r w:rsidR="00A13226" w:rsidRPr="003A1174">
        <w:rPr>
          <w:rFonts w:ascii="Garamond" w:hAnsi="Garamond" w:cs="Arial"/>
          <w:sz w:val="24"/>
          <w:szCs w:val="24"/>
        </w:rPr>
        <w:t xml:space="preserve">o </w:t>
      </w:r>
      <w:r w:rsidR="00CA39B2" w:rsidRPr="003A1174">
        <w:rPr>
          <w:rFonts w:ascii="Garamond" w:hAnsi="Garamond" w:cs="Arial"/>
          <w:sz w:val="24"/>
          <w:szCs w:val="24"/>
        </w:rPr>
        <w:t xml:space="preserve">Poder </w:t>
      </w:r>
      <w:r w:rsidR="00F83BA2" w:rsidRPr="003A1174">
        <w:rPr>
          <w:rFonts w:ascii="Garamond" w:hAnsi="Garamond" w:cs="Arial"/>
          <w:sz w:val="24"/>
          <w:szCs w:val="24"/>
        </w:rPr>
        <w:t>Executivo</w:t>
      </w:r>
      <w:r w:rsidR="00CA39B2" w:rsidRPr="003A1174">
        <w:rPr>
          <w:rFonts w:ascii="Garamond" w:hAnsi="Garamond" w:cs="Arial"/>
          <w:sz w:val="24"/>
          <w:szCs w:val="24"/>
        </w:rPr>
        <w:t xml:space="preserve"> </w:t>
      </w:r>
      <w:r w:rsidR="00AE181E">
        <w:rPr>
          <w:rFonts w:ascii="Garamond" w:hAnsi="Garamond" w:cs="Arial"/>
          <w:sz w:val="24"/>
          <w:szCs w:val="24"/>
        </w:rPr>
        <w:t xml:space="preserve">em </w:t>
      </w:r>
      <w:r w:rsidR="00EF645F" w:rsidRPr="003A1174">
        <w:rPr>
          <w:rFonts w:ascii="Garamond" w:hAnsi="Garamond" w:cs="Arial"/>
          <w:sz w:val="24"/>
          <w:szCs w:val="24"/>
        </w:rPr>
        <w:t>matéria</w:t>
      </w:r>
      <w:r w:rsidR="0079736A">
        <w:rPr>
          <w:rFonts w:ascii="Garamond" w:hAnsi="Garamond" w:cs="Arial"/>
          <w:sz w:val="24"/>
          <w:szCs w:val="24"/>
        </w:rPr>
        <w:t>s</w:t>
      </w:r>
      <w:r w:rsidR="00CA39B2" w:rsidRPr="003A1174">
        <w:rPr>
          <w:rFonts w:ascii="Garamond" w:hAnsi="Garamond" w:cs="Arial"/>
          <w:sz w:val="24"/>
          <w:szCs w:val="24"/>
        </w:rPr>
        <w:t xml:space="preserve"> d</w:t>
      </w:r>
      <w:r w:rsidR="00A13226" w:rsidRPr="003A1174">
        <w:rPr>
          <w:rFonts w:ascii="Garamond" w:hAnsi="Garamond" w:cs="Arial"/>
          <w:sz w:val="24"/>
          <w:szCs w:val="24"/>
        </w:rPr>
        <w:t xml:space="preserve">a sua </w:t>
      </w:r>
      <w:r w:rsidR="00C86C58" w:rsidRPr="003A1174">
        <w:rPr>
          <w:rFonts w:ascii="Garamond" w:hAnsi="Garamond" w:cs="Arial"/>
          <w:sz w:val="24"/>
          <w:szCs w:val="24"/>
        </w:rPr>
        <w:t>competência</w:t>
      </w:r>
      <w:r w:rsidR="00CA39B2" w:rsidRPr="003A1174">
        <w:rPr>
          <w:rFonts w:ascii="Garamond" w:hAnsi="Garamond" w:cs="Arial"/>
          <w:sz w:val="24"/>
          <w:szCs w:val="24"/>
        </w:rPr>
        <w:t>;</w:t>
      </w:r>
      <w:r w:rsidR="00A13226" w:rsidRPr="003A1174">
        <w:rPr>
          <w:rFonts w:ascii="Garamond" w:hAnsi="Garamond" w:cs="Arial"/>
          <w:sz w:val="24"/>
          <w:szCs w:val="24"/>
        </w:rPr>
        <w:t xml:space="preserve"> conceber e </w:t>
      </w:r>
      <w:r w:rsidR="00CA39B2" w:rsidRPr="003A1174">
        <w:rPr>
          <w:rFonts w:ascii="Garamond" w:hAnsi="Garamond" w:cs="Arial"/>
          <w:sz w:val="24"/>
          <w:szCs w:val="24"/>
        </w:rPr>
        <w:t xml:space="preserve">organizar </w:t>
      </w:r>
      <w:r w:rsidR="00CD707D" w:rsidRPr="003A1174">
        <w:rPr>
          <w:rFonts w:ascii="Garamond" w:hAnsi="Garamond" w:cs="Arial"/>
          <w:sz w:val="24"/>
          <w:szCs w:val="24"/>
        </w:rPr>
        <w:t>plano</w:t>
      </w:r>
      <w:r w:rsidR="00CA39B2" w:rsidRPr="003A1174">
        <w:rPr>
          <w:rFonts w:ascii="Garamond" w:hAnsi="Garamond" w:cs="Arial"/>
          <w:sz w:val="24"/>
          <w:szCs w:val="24"/>
        </w:rPr>
        <w:t xml:space="preserve">s de </w:t>
      </w:r>
      <w:r w:rsidR="001C2738" w:rsidRPr="003A1174">
        <w:rPr>
          <w:rFonts w:ascii="Garamond" w:hAnsi="Garamond" w:cs="Arial"/>
          <w:sz w:val="24"/>
          <w:szCs w:val="24"/>
        </w:rPr>
        <w:t>luta</w:t>
      </w:r>
      <w:r w:rsidR="00A13226"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A13226" w:rsidRPr="003A1174">
        <w:rPr>
          <w:rFonts w:ascii="Garamond" w:hAnsi="Garamond" w:cs="Arial"/>
          <w:sz w:val="24"/>
          <w:szCs w:val="24"/>
        </w:rPr>
        <w:t xml:space="preserve"> doméstica; promover </w:t>
      </w:r>
      <w:r w:rsidR="00CA39B2" w:rsidRPr="003A1174">
        <w:rPr>
          <w:rFonts w:ascii="Garamond" w:hAnsi="Garamond" w:cs="Arial"/>
          <w:sz w:val="24"/>
          <w:szCs w:val="24"/>
        </w:rPr>
        <w:t xml:space="preserve">a </w:t>
      </w:r>
      <w:r w:rsidR="002470B1" w:rsidRPr="003A1174">
        <w:rPr>
          <w:rFonts w:ascii="Garamond" w:hAnsi="Garamond" w:cs="Arial"/>
          <w:sz w:val="24"/>
          <w:szCs w:val="24"/>
        </w:rPr>
        <w:t>coordenação</w:t>
      </w:r>
      <w:r w:rsidR="00CA39B2" w:rsidRPr="003A1174">
        <w:rPr>
          <w:rFonts w:ascii="Garamond" w:hAnsi="Garamond" w:cs="Arial"/>
          <w:sz w:val="24"/>
          <w:szCs w:val="24"/>
        </w:rPr>
        <w:t xml:space="preserve"> e </w:t>
      </w:r>
      <w:r w:rsidR="006F4B2C" w:rsidRPr="003A1174">
        <w:rPr>
          <w:rFonts w:ascii="Garamond" w:hAnsi="Garamond" w:cs="Arial"/>
          <w:sz w:val="24"/>
          <w:szCs w:val="24"/>
        </w:rPr>
        <w:t>integração</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políticas </w:t>
      </w:r>
      <w:r w:rsidR="00F96DD1" w:rsidRPr="003A1174">
        <w:rPr>
          <w:rFonts w:ascii="Garamond" w:hAnsi="Garamond" w:cs="Arial"/>
          <w:sz w:val="24"/>
          <w:szCs w:val="24"/>
        </w:rPr>
        <w:t>setor</w:t>
      </w:r>
      <w:r w:rsidR="00CA39B2" w:rsidRPr="003A1174">
        <w:rPr>
          <w:rFonts w:ascii="Garamond" w:hAnsi="Garamond" w:cs="Arial"/>
          <w:sz w:val="24"/>
          <w:szCs w:val="24"/>
        </w:rPr>
        <w:t>ia</w:t>
      </w:r>
      <w:r w:rsidR="00A13226" w:rsidRPr="003A1174">
        <w:rPr>
          <w:rFonts w:ascii="Garamond" w:hAnsi="Garamond" w:cs="Arial"/>
          <w:sz w:val="24"/>
          <w:szCs w:val="24"/>
        </w:rPr>
        <w:t>i</w:t>
      </w:r>
      <w:r w:rsidR="00CA39B2" w:rsidRPr="003A1174">
        <w:rPr>
          <w:rFonts w:ascii="Garamond" w:hAnsi="Garamond" w:cs="Arial"/>
          <w:sz w:val="24"/>
          <w:szCs w:val="24"/>
        </w:rPr>
        <w:t xml:space="preserve">s de </w:t>
      </w:r>
      <w:r w:rsidR="001C2738" w:rsidRPr="003A1174">
        <w:rPr>
          <w:rFonts w:ascii="Garamond" w:hAnsi="Garamond" w:cs="Arial"/>
          <w:sz w:val="24"/>
          <w:szCs w:val="24"/>
        </w:rPr>
        <w:t>luta</w:t>
      </w:r>
      <w:r w:rsidR="00A13226" w:rsidRPr="003A1174">
        <w:rPr>
          <w:rFonts w:ascii="Garamond" w:hAnsi="Garamond" w:cs="Arial"/>
          <w:sz w:val="24"/>
          <w:szCs w:val="24"/>
        </w:rPr>
        <w:t xml:space="preserve"> contra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r w:rsidR="00A13226" w:rsidRPr="003A1174">
        <w:rPr>
          <w:rFonts w:ascii="Garamond" w:hAnsi="Garamond" w:cs="Arial"/>
          <w:sz w:val="24"/>
          <w:szCs w:val="24"/>
        </w:rPr>
        <w:t xml:space="preserve">concebidas </w:t>
      </w:r>
      <w:r w:rsidR="00275092" w:rsidRPr="003A1174">
        <w:rPr>
          <w:rFonts w:ascii="Garamond" w:hAnsi="Garamond" w:cs="Arial"/>
          <w:sz w:val="24"/>
          <w:szCs w:val="24"/>
        </w:rPr>
        <w:t>pela</w:t>
      </w:r>
      <w:r w:rsidR="00CA39B2" w:rsidRPr="003A1174">
        <w:rPr>
          <w:rFonts w:ascii="Garamond" w:hAnsi="Garamond" w:cs="Arial"/>
          <w:sz w:val="24"/>
          <w:szCs w:val="24"/>
        </w:rPr>
        <w:t xml:space="preserve">s diferentes entidades públicas vinculadas </w:t>
      </w:r>
      <w:r w:rsidR="00A13226" w:rsidRPr="003A1174">
        <w:rPr>
          <w:rFonts w:ascii="Garamond" w:hAnsi="Garamond" w:cs="Arial"/>
          <w:sz w:val="24"/>
          <w:szCs w:val="24"/>
        </w:rPr>
        <w:t xml:space="preserve">ao </w:t>
      </w:r>
      <w:r w:rsidR="00CA39B2" w:rsidRPr="003A1174">
        <w:rPr>
          <w:rFonts w:ascii="Garamond" w:hAnsi="Garamond" w:cs="Arial"/>
          <w:sz w:val="24"/>
          <w:szCs w:val="24"/>
        </w:rPr>
        <w:t>tema; elaborar u</w:t>
      </w:r>
      <w:r w:rsidR="00A13226" w:rsidRPr="003A1174">
        <w:rPr>
          <w:rFonts w:ascii="Garamond" w:hAnsi="Garamond" w:cs="Arial"/>
          <w:sz w:val="24"/>
          <w:szCs w:val="24"/>
        </w:rPr>
        <w:t>m</w:t>
      </w:r>
      <w:r w:rsidR="00CA39B2" w:rsidRPr="003A1174">
        <w:rPr>
          <w:rFonts w:ascii="Garamond" w:hAnsi="Garamond" w:cs="Arial"/>
          <w:sz w:val="24"/>
          <w:szCs w:val="24"/>
        </w:rPr>
        <w:t xml:space="preserve"> </w:t>
      </w:r>
      <w:r w:rsidR="009E3E55" w:rsidRPr="003A1174">
        <w:rPr>
          <w:rFonts w:ascii="Garamond" w:hAnsi="Garamond" w:cs="Arial"/>
          <w:sz w:val="24"/>
          <w:szCs w:val="24"/>
        </w:rPr>
        <w:t>relatório</w:t>
      </w:r>
      <w:r w:rsidR="00CA39B2" w:rsidRPr="003A1174">
        <w:rPr>
          <w:rFonts w:ascii="Garamond" w:hAnsi="Garamond" w:cs="Arial"/>
          <w:sz w:val="24"/>
          <w:szCs w:val="24"/>
        </w:rPr>
        <w:t xml:space="preserve"> anual acerca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D96FD0" w:rsidRPr="003A1174">
        <w:rPr>
          <w:rFonts w:ascii="Garamond" w:hAnsi="Garamond" w:cs="Arial"/>
          <w:sz w:val="24"/>
          <w:szCs w:val="24"/>
        </w:rPr>
        <w:t>cumprimento</w:t>
      </w:r>
      <w:r w:rsidR="00CA39B2" w:rsidRPr="003A1174">
        <w:rPr>
          <w:rFonts w:ascii="Garamond" w:hAnsi="Garamond" w:cs="Arial"/>
          <w:sz w:val="24"/>
          <w:szCs w:val="24"/>
        </w:rPr>
        <w:t xml:space="preserve"> d</w:t>
      </w:r>
      <w:r w:rsidR="00A13226" w:rsidRPr="003A1174">
        <w:rPr>
          <w:rFonts w:ascii="Garamond" w:hAnsi="Garamond" w:cs="Arial"/>
          <w:sz w:val="24"/>
          <w:szCs w:val="24"/>
        </w:rPr>
        <w:t xml:space="preserve">os seus objetivos </w:t>
      </w:r>
      <w:r w:rsidR="000672E8" w:rsidRPr="003A1174">
        <w:rPr>
          <w:rFonts w:ascii="Garamond" w:hAnsi="Garamond" w:cs="Arial"/>
          <w:sz w:val="24"/>
          <w:szCs w:val="24"/>
        </w:rPr>
        <w:t>e</w:t>
      </w:r>
      <w:r w:rsidR="00A13226" w:rsidRPr="003A1174">
        <w:rPr>
          <w:rFonts w:ascii="Garamond" w:hAnsi="Garamond" w:cs="Arial"/>
          <w:sz w:val="24"/>
          <w:szCs w:val="24"/>
        </w:rPr>
        <w:t xml:space="preserve"> sobre </w:t>
      </w:r>
      <w:r w:rsidR="00CA39B2" w:rsidRPr="003A1174">
        <w:rPr>
          <w:rFonts w:ascii="Garamond" w:hAnsi="Garamond" w:cs="Arial"/>
          <w:sz w:val="24"/>
          <w:szCs w:val="24"/>
        </w:rPr>
        <w:t xml:space="preserve">a </w:t>
      </w:r>
      <w:r w:rsidR="0017447A" w:rsidRPr="003A1174">
        <w:rPr>
          <w:rFonts w:ascii="Garamond" w:hAnsi="Garamond" w:cs="Arial"/>
          <w:sz w:val="24"/>
          <w:szCs w:val="24"/>
        </w:rPr>
        <w:t>situação</w:t>
      </w:r>
      <w:r w:rsidR="00CA39B2" w:rsidRPr="003A1174">
        <w:rPr>
          <w:rFonts w:ascii="Garamond" w:hAnsi="Garamond" w:cs="Arial"/>
          <w:sz w:val="24"/>
          <w:szCs w:val="24"/>
        </w:rPr>
        <w:t xml:space="preserve"> nacional da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ser o</w:t>
      </w:r>
      <w:r w:rsidR="00A13226" w:rsidRPr="003A1174">
        <w:rPr>
          <w:rFonts w:ascii="Garamond" w:hAnsi="Garamond" w:cs="Arial"/>
          <w:sz w:val="24"/>
          <w:szCs w:val="24"/>
        </w:rPr>
        <w:t>uvi</w:t>
      </w:r>
      <w:r w:rsidR="00CA39B2" w:rsidRPr="003A1174">
        <w:rPr>
          <w:rFonts w:ascii="Garamond" w:hAnsi="Garamond" w:cs="Arial"/>
          <w:sz w:val="24"/>
          <w:szCs w:val="24"/>
        </w:rPr>
        <w:t>do</w:t>
      </w:r>
      <w:r w:rsidR="003A3461">
        <w:rPr>
          <w:rFonts w:ascii="Garamond" w:hAnsi="Garamond" w:cs="Arial"/>
          <w:sz w:val="24"/>
          <w:szCs w:val="24"/>
        </w:rPr>
        <w:t>,</w:t>
      </w:r>
      <w:r w:rsidR="00CA39B2" w:rsidRPr="003A1174">
        <w:rPr>
          <w:rFonts w:ascii="Garamond" w:hAnsi="Garamond" w:cs="Arial"/>
          <w:sz w:val="24"/>
          <w:szCs w:val="24"/>
        </w:rPr>
        <w:t xml:space="preserve"> </w:t>
      </w:r>
      <w:r w:rsidR="003A3461">
        <w:rPr>
          <w:rFonts w:ascii="Garamond" w:hAnsi="Garamond" w:cs="Arial"/>
          <w:sz w:val="24"/>
          <w:szCs w:val="24"/>
        </w:rPr>
        <w:t>com muita atenção,</w:t>
      </w:r>
      <w:r w:rsidR="00CA39B2" w:rsidRPr="003A3461">
        <w:rPr>
          <w:rFonts w:ascii="Garamond" w:hAnsi="Garamond" w:cs="Arial"/>
          <w:sz w:val="24"/>
          <w:szCs w:val="24"/>
        </w:rPr>
        <w:t xml:space="preserve"> </w:t>
      </w:r>
      <w:r w:rsidR="00A13226" w:rsidRPr="003A3461">
        <w:rPr>
          <w:rFonts w:ascii="Garamond" w:hAnsi="Garamond" w:cs="Arial"/>
          <w:sz w:val="24"/>
          <w:szCs w:val="24"/>
        </w:rPr>
        <w:t>n</w:t>
      </w:r>
      <w:r w:rsidR="00A13226" w:rsidRPr="003A1174">
        <w:rPr>
          <w:rFonts w:ascii="Garamond" w:hAnsi="Garamond" w:cs="Arial"/>
          <w:sz w:val="24"/>
          <w:szCs w:val="24"/>
        </w:rPr>
        <w:t xml:space="preserve">a </w:t>
      </w:r>
      <w:r w:rsidR="007A3375" w:rsidRPr="003A1174">
        <w:rPr>
          <w:rFonts w:ascii="Garamond" w:hAnsi="Garamond" w:cs="Arial"/>
          <w:sz w:val="24"/>
          <w:szCs w:val="24"/>
        </w:rPr>
        <w:t>elaboração</w:t>
      </w:r>
      <w:r w:rsidR="00CA39B2" w:rsidRPr="003A1174">
        <w:rPr>
          <w:rFonts w:ascii="Garamond" w:hAnsi="Garamond" w:cs="Arial"/>
          <w:sz w:val="24"/>
          <w:szCs w:val="24"/>
        </w:rPr>
        <w:t xml:space="preserve">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009E3E55" w:rsidRPr="003A1174">
        <w:rPr>
          <w:rFonts w:ascii="Garamond" w:hAnsi="Garamond" w:cs="Arial"/>
          <w:sz w:val="24"/>
          <w:szCs w:val="24"/>
        </w:rPr>
        <w:t>relatório</w:t>
      </w:r>
      <w:r w:rsidR="00CA39B2" w:rsidRPr="003A1174">
        <w:rPr>
          <w:rFonts w:ascii="Garamond" w:hAnsi="Garamond" w:cs="Arial"/>
          <w:sz w:val="24"/>
          <w:szCs w:val="24"/>
        </w:rPr>
        <w:t>s que</w:t>
      </w:r>
      <w:r w:rsidR="00A13226" w:rsidRPr="003A1174">
        <w:rPr>
          <w:rFonts w:ascii="Garamond" w:hAnsi="Garamond" w:cs="Arial"/>
          <w:sz w:val="24"/>
          <w:szCs w:val="24"/>
        </w:rPr>
        <w:t xml:space="preserve"> o </w:t>
      </w:r>
      <w:r w:rsidR="00CA39B2" w:rsidRPr="003A1174">
        <w:rPr>
          <w:rFonts w:ascii="Garamond" w:hAnsi="Garamond" w:cs="Arial"/>
          <w:sz w:val="24"/>
          <w:szCs w:val="24"/>
        </w:rPr>
        <w:t xml:space="preserve">Estado </w:t>
      </w:r>
      <w:r w:rsidR="00A862C2" w:rsidRPr="003A1174">
        <w:rPr>
          <w:rFonts w:ascii="Garamond" w:hAnsi="Garamond" w:cs="Arial"/>
          <w:sz w:val="24"/>
          <w:szCs w:val="24"/>
        </w:rPr>
        <w:t>deve</w:t>
      </w:r>
      <w:r w:rsidR="00CA39B2" w:rsidRPr="003A1174">
        <w:rPr>
          <w:rFonts w:ascii="Garamond" w:hAnsi="Garamond" w:cs="Arial"/>
          <w:sz w:val="24"/>
          <w:szCs w:val="24"/>
        </w:rPr>
        <w:t xml:space="preserve"> </w:t>
      </w:r>
      <w:r w:rsidR="00B441F4" w:rsidRPr="003A1174">
        <w:rPr>
          <w:rFonts w:ascii="Garamond" w:hAnsi="Garamond" w:cs="Arial"/>
          <w:sz w:val="24"/>
          <w:szCs w:val="24"/>
        </w:rPr>
        <w:t xml:space="preserve">promover no </w:t>
      </w:r>
      <w:r w:rsidR="00253B1D" w:rsidRPr="003A1174">
        <w:rPr>
          <w:rFonts w:ascii="Garamond" w:hAnsi="Garamond" w:cs="Arial"/>
          <w:sz w:val="24"/>
          <w:szCs w:val="24"/>
        </w:rPr>
        <w:t>quadro</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EB2F44" w:rsidRPr="003A1174">
        <w:rPr>
          <w:rFonts w:ascii="Garamond" w:hAnsi="Garamond" w:cs="Arial"/>
          <w:sz w:val="24"/>
          <w:szCs w:val="24"/>
        </w:rPr>
        <w:t>Convenções</w:t>
      </w:r>
      <w:r w:rsidR="00CA39B2" w:rsidRPr="003A1174">
        <w:rPr>
          <w:rFonts w:ascii="Garamond" w:hAnsi="Garamond" w:cs="Arial"/>
          <w:sz w:val="24"/>
          <w:szCs w:val="24"/>
        </w:rPr>
        <w:t xml:space="preserve"> </w:t>
      </w:r>
      <w:r w:rsidR="00EF645F" w:rsidRPr="003A1174">
        <w:rPr>
          <w:rFonts w:ascii="Garamond" w:hAnsi="Garamond" w:cs="Arial"/>
          <w:sz w:val="24"/>
          <w:szCs w:val="24"/>
        </w:rPr>
        <w:t>Internacionais</w:t>
      </w:r>
      <w:r w:rsidR="00CA39B2" w:rsidRPr="003A1174">
        <w:rPr>
          <w:rFonts w:ascii="Garamond" w:hAnsi="Garamond" w:cs="Arial"/>
          <w:sz w:val="24"/>
          <w:szCs w:val="24"/>
        </w:rPr>
        <w:t xml:space="preserve"> vigente</w:t>
      </w:r>
      <w:r w:rsidR="00B441F4" w:rsidRPr="003A1174">
        <w:rPr>
          <w:rFonts w:ascii="Garamond" w:hAnsi="Garamond" w:cs="Arial"/>
          <w:sz w:val="24"/>
          <w:szCs w:val="24"/>
        </w:rPr>
        <w:t>s, relacionado</w:t>
      </w:r>
      <w:r w:rsidR="00CA39B2" w:rsidRPr="003A1174">
        <w:rPr>
          <w:rFonts w:ascii="Garamond" w:hAnsi="Garamond" w:cs="Arial"/>
          <w:sz w:val="24"/>
          <w:szCs w:val="24"/>
        </w:rPr>
        <w:t>s co</w:t>
      </w:r>
      <w:r w:rsidR="00B441F4" w:rsidRPr="003A1174">
        <w:rPr>
          <w:rFonts w:ascii="Garamond" w:hAnsi="Garamond" w:cs="Arial"/>
          <w:sz w:val="24"/>
          <w:szCs w:val="24"/>
        </w:rPr>
        <w:t xml:space="preserve">m </w:t>
      </w:r>
      <w:r w:rsidR="00CA39B2" w:rsidRPr="003A1174">
        <w:rPr>
          <w:rFonts w:ascii="Garamond" w:hAnsi="Garamond" w:cs="Arial"/>
          <w:sz w:val="24"/>
          <w:szCs w:val="24"/>
        </w:rPr>
        <w:t>os temas d</w:t>
      </w:r>
      <w:r w:rsidR="00AE7513"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a que </w:t>
      </w:r>
      <w:r w:rsidR="00B441F4" w:rsidRPr="003A1174">
        <w:rPr>
          <w:rFonts w:ascii="Garamond" w:hAnsi="Garamond" w:cs="Arial"/>
          <w:sz w:val="24"/>
          <w:szCs w:val="24"/>
        </w:rPr>
        <w:t xml:space="preserve">se </w:t>
      </w:r>
      <w:r w:rsidR="00D96FD0" w:rsidRPr="003A1174">
        <w:rPr>
          <w:rFonts w:ascii="Garamond" w:hAnsi="Garamond" w:cs="Arial"/>
          <w:sz w:val="24"/>
          <w:szCs w:val="24"/>
        </w:rPr>
        <w:t>refere</w:t>
      </w:r>
      <w:r w:rsidR="00B441F4" w:rsidRPr="003A1174">
        <w:rPr>
          <w:rFonts w:ascii="Garamond" w:hAnsi="Garamond" w:cs="Arial"/>
          <w:sz w:val="24"/>
          <w:szCs w:val="24"/>
        </w:rPr>
        <w:t xml:space="preserve"> </w:t>
      </w:r>
      <w:r w:rsidR="00CA39B2" w:rsidRPr="003A1174">
        <w:rPr>
          <w:rFonts w:ascii="Garamond" w:hAnsi="Garamond" w:cs="Arial"/>
          <w:sz w:val="24"/>
          <w:szCs w:val="24"/>
        </w:rPr>
        <w:t xml:space="preserve">a </w:t>
      </w:r>
      <w:r w:rsidR="00561431">
        <w:rPr>
          <w:rFonts w:ascii="Garamond" w:hAnsi="Garamond" w:cs="Arial"/>
          <w:sz w:val="24"/>
          <w:szCs w:val="24"/>
        </w:rPr>
        <w:t>L</w:t>
      </w:r>
      <w:r w:rsidR="00D15AFF" w:rsidRPr="003A1174">
        <w:rPr>
          <w:rFonts w:ascii="Garamond" w:hAnsi="Garamond" w:cs="Arial"/>
          <w:sz w:val="24"/>
          <w:szCs w:val="24"/>
        </w:rPr>
        <w:t>ei</w:t>
      </w:r>
      <w:r w:rsidR="00CA39B2" w:rsidRPr="003A1174">
        <w:rPr>
          <w:rFonts w:ascii="Garamond" w:hAnsi="Garamond" w:cs="Arial"/>
          <w:sz w:val="24"/>
          <w:szCs w:val="24"/>
        </w:rPr>
        <w:t xml:space="preserve"> 17</w:t>
      </w:r>
      <w:r w:rsidR="00561431">
        <w:rPr>
          <w:rFonts w:ascii="Garamond" w:hAnsi="Garamond" w:cs="Arial"/>
          <w:sz w:val="24"/>
          <w:szCs w:val="24"/>
        </w:rPr>
        <w:t xml:space="preserve"> </w:t>
      </w:r>
      <w:r w:rsidR="00CA39B2" w:rsidRPr="003A1174">
        <w:rPr>
          <w:rFonts w:ascii="Garamond" w:hAnsi="Garamond" w:cs="Arial"/>
          <w:sz w:val="24"/>
          <w:szCs w:val="24"/>
        </w:rPr>
        <w:t xml:space="preserve">514; </w:t>
      </w:r>
      <w:r w:rsidR="00B441F4" w:rsidRPr="003A1174">
        <w:rPr>
          <w:rFonts w:ascii="Garamond" w:hAnsi="Garamond" w:cs="Arial"/>
          <w:sz w:val="24"/>
          <w:szCs w:val="24"/>
        </w:rPr>
        <w:t xml:space="preserve">manifestar opiniões, </w:t>
      </w:r>
      <w:r w:rsidR="00561431">
        <w:rPr>
          <w:rFonts w:ascii="Garamond" w:hAnsi="Garamond" w:cs="Arial"/>
          <w:sz w:val="24"/>
          <w:szCs w:val="24"/>
        </w:rPr>
        <w:t>expressamente pedidas</w:t>
      </w:r>
      <w:r w:rsidR="00CA39B2" w:rsidRPr="003A1174">
        <w:rPr>
          <w:rFonts w:ascii="Garamond" w:hAnsi="Garamond" w:cs="Arial"/>
          <w:sz w:val="24"/>
          <w:szCs w:val="24"/>
        </w:rPr>
        <w:t xml:space="preserve">, </w:t>
      </w:r>
      <w:r w:rsidR="00B441F4" w:rsidRPr="003A1174">
        <w:rPr>
          <w:rFonts w:ascii="Garamond" w:hAnsi="Garamond" w:cs="Arial"/>
          <w:sz w:val="24"/>
          <w:szCs w:val="24"/>
        </w:rPr>
        <w:t>n</w:t>
      </w:r>
      <w:r w:rsidR="00CA39B2" w:rsidRPr="003A1174">
        <w:rPr>
          <w:rFonts w:ascii="Garamond" w:hAnsi="Garamond" w:cs="Arial"/>
          <w:sz w:val="24"/>
          <w:szCs w:val="24"/>
        </w:rPr>
        <w:t xml:space="preserve">a </w:t>
      </w:r>
      <w:r w:rsidR="00B441F4" w:rsidRPr="003A1174">
        <w:rPr>
          <w:rFonts w:ascii="Garamond" w:hAnsi="Garamond" w:cs="Arial"/>
          <w:sz w:val="24"/>
          <w:szCs w:val="24"/>
        </w:rPr>
        <w:t xml:space="preserve">conceção de </w:t>
      </w:r>
      <w:r w:rsidR="00C30647" w:rsidRPr="003A1174">
        <w:rPr>
          <w:rFonts w:ascii="Garamond" w:hAnsi="Garamond" w:cs="Arial"/>
          <w:sz w:val="24"/>
          <w:szCs w:val="24"/>
        </w:rPr>
        <w:t>projeto</w:t>
      </w:r>
      <w:r w:rsidR="00CA39B2" w:rsidRPr="003A1174">
        <w:rPr>
          <w:rFonts w:ascii="Garamond" w:hAnsi="Garamond" w:cs="Arial"/>
          <w:sz w:val="24"/>
          <w:szCs w:val="24"/>
        </w:rPr>
        <w:t xml:space="preserve">s de </w:t>
      </w:r>
      <w:r w:rsidR="00D15AFF" w:rsidRPr="003A1174">
        <w:rPr>
          <w:rFonts w:ascii="Garamond" w:hAnsi="Garamond" w:cs="Arial"/>
          <w:sz w:val="24"/>
          <w:szCs w:val="24"/>
        </w:rPr>
        <w:t>lei</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programas que ten</w:t>
      </w:r>
      <w:r w:rsidR="00B441F4" w:rsidRPr="003A1174">
        <w:rPr>
          <w:rFonts w:ascii="Garamond" w:hAnsi="Garamond" w:cs="Arial"/>
          <w:sz w:val="24"/>
          <w:szCs w:val="24"/>
        </w:rPr>
        <w:t xml:space="preserve">ham </w:t>
      </w:r>
      <w:r w:rsidR="00152A44" w:rsidRPr="003A1174">
        <w:rPr>
          <w:rFonts w:ascii="Garamond" w:hAnsi="Garamond" w:cs="Arial"/>
          <w:sz w:val="24"/>
          <w:szCs w:val="24"/>
        </w:rPr>
        <w:t>relação</w:t>
      </w:r>
      <w:r w:rsidR="00CA39B2" w:rsidRPr="003A1174">
        <w:rPr>
          <w:rFonts w:ascii="Garamond" w:hAnsi="Garamond" w:cs="Arial"/>
          <w:sz w:val="24"/>
          <w:szCs w:val="24"/>
        </w:rPr>
        <w:t xml:space="preserve"> co</w:t>
      </w:r>
      <w:r w:rsidR="00B441F4" w:rsidRPr="003A1174">
        <w:rPr>
          <w:rFonts w:ascii="Garamond" w:hAnsi="Garamond" w:cs="Arial"/>
          <w:sz w:val="24"/>
          <w:szCs w:val="24"/>
        </w:rPr>
        <w:t xml:space="preserve">m </w:t>
      </w:r>
      <w:r w:rsidR="00CA39B2" w:rsidRPr="003A1174">
        <w:rPr>
          <w:rFonts w:ascii="Garamond" w:hAnsi="Garamond" w:cs="Arial"/>
          <w:sz w:val="24"/>
          <w:szCs w:val="24"/>
        </w:rPr>
        <w:t xml:space="preserve">a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r w:rsidR="000672E8" w:rsidRPr="003A1174">
        <w:rPr>
          <w:rFonts w:ascii="Garamond" w:hAnsi="Garamond" w:cs="Arial"/>
          <w:sz w:val="24"/>
          <w:szCs w:val="24"/>
        </w:rPr>
        <w:t>e</w:t>
      </w:r>
      <w:r w:rsidR="00CA39B2" w:rsidRPr="003A1174">
        <w:rPr>
          <w:rFonts w:ascii="Garamond" w:hAnsi="Garamond" w:cs="Arial"/>
          <w:sz w:val="24"/>
          <w:szCs w:val="24"/>
        </w:rPr>
        <w:t xml:space="preserve"> colaborar co</w:t>
      </w:r>
      <w:r w:rsidR="00B441F4" w:rsidRPr="003A1174">
        <w:rPr>
          <w:rFonts w:ascii="Garamond" w:hAnsi="Garamond" w:cs="Arial"/>
          <w:sz w:val="24"/>
          <w:szCs w:val="24"/>
        </w:rPr>
        <w:t xml:space="preserve">m </w:t>
      </w:r>
      <w:r w:rsidR="003069B4">
        <w:rPr>
          <w:rFonts w:ascii="Garamond" w:hAnsi="Garamond" w:cs="Arial"/>
          <w:sz w:val="24"/>
          <w:szCs w:val="24"/>
        </w:rPr>
        <w:t>o</w:t>
      </w:r>
      <w:r w:rsidR="00561431">
        <w:rPr>
          <w:rFonts w:ascii="Garamond" w:hAnsi="Garamond" w:cs="Arial"/>
          <w:sz w:val="24"/>
          <w:szCs w:val="24"/>
        </w:rPr>
        <w:t xml:space="preserve"> </w:t>
      </w:r>
      <w:r w:rsidR="00CA39B2" w:rsidRPr="003A1174">
        <w:rPr>
          <w:rFonts w:ascii="Garamond" w:hAnsi="Garamond" w:cs="Arial"/>
          <w:sz w:val="24"/>
          <w:szCs w:val="24"/>
        </w:rPr>
        <w:t>Suprem</w:t>
      </w:r>
      <w:r w:rsidR="003069B4">
        <w:rPr>
          <w:rFonts w:ascii="Garamond" w:hAnsi="Garamond" w:cs="Arial"/>
          <w:sz w:val="24"/>
          <w:szCs w:val="24"/>
        </w:rPr>
        <w:t>o</w:t>
      </w:r>
      <w:r w:rsidR="00CA39B2" w:rsidRPr="003A1174">
        <w:rPr>
          <w:rFonts w:ascii="Garamond" w:hAnsi="Garamond" w:cs="Arial"/>
          <w:sz w:val="24"/>
          <w:szCs w:val="24"/>
        </w:rPr>
        <w:t xml:space="preserve"> </w:t>
      </w:r>
      <w:r w:rsidR="003069B4">
        <w:rPr>
          <w:rFonts w:ascii="Garamond" w:hAnsi="Garamond" w:cs="Arial"/>
          <w:sz w:val="24"/>
          <w:szCs w:val="24"/>
        </w:rPr>
        <w:t xml:space="preserve">Tribunal </w:t>
      </w:r>
      <w:r w:rsidR="00CA39B2" w:rsidRPr="003A1174">
        <w:rPr>
          <w:rFonts w:ascii="Garamond" w:hAnsi="Garamond" w:cs="Arial"/>
          <w:sz w:val="24"/>
          <w:szCs w:val="24"/>
        </w:rPr>
        <w:t xml:space="preserve">de </w:t>
      </w:r>
      <w:r w:rsidR="00FC1F7F" w:rsidRPr="003A1174">
        <w:rPr>
          <w:rFonts w:ascii="Garamond" w:hAnsi="Garamond" w:cs="Arial"/>
          <w:sz w:val="24"/>
          <w:szCs w:val="24"/>
        </w:rPr>
        <w:t>Justiça</w:t>
      </w:r>
      <w:r w:rsidR="00CA39B2" w:rsidRPr="003A1174">
        <w:rPr>
          <w:rFonts w:ascii="Garamond" w:hAnsi="Garamond" w:cs="Arial"/>
          <w:sz w:val="24"/>
          <w:szCs w:val="24"/>
        </w:rPr>
        <w:t xml:space="preserve"> </w:t>
      </w:r>
      <w:r w:rsidR="00B441F4" w:rsidRPr="003A1174">
        <w:rPr>
          <w:rFonts w:ascii="Garamond" w:hAnsi="Garamond" w:cs="Arial"/>
          <w:sz w:val="24"/>
          <w:szCs w:val="24"/>
        </w:rPr>
        <w:t>n</w:t>
      </w:r>
      <w:r w:rsidR="00CA39B2" w:rsidRPr="003A1174">
        <w:rPr>
          <w:rFonts w:ascii="Garamond" w:hAnsi="Garamond" w:cs="Arial"/>
          <w:sz w:val="24"/>
          <w:szCs w:val="24"/>
        </w:rPr>
        <w:t xml:space="preserve">a </w:t>
      </w:r>
      <w:r w:rsidR="006C760C" w:rsidRPr="003A1174">
        <w:rPr>
          <w:rFonts w:ascii="Garamond" w:hAnsi="Garamond" w:cs="Arial"/>
          <w:sz w:val="24"/>
          <w:szCs w:val="24"/>
        </w:rPr>
        <w:t>implementação</w:t>
      </w:r>
      <w:r w:rsidR="00CA39B2" w:rsidRPr="003A1174">
        <w:rPr>
          <w:rFonts w:ascii="Garamond" w:hAnsi="Garamond" w:cs="Arial"/>
          <w:sz w:val="24"/>
          <w:szCs w:val="24"/>
        </w:rPr>
        <w:t xml:space="preserve"> da </w:t>
      </w:r>
      <w:r w:rsidR="000350B1" w:rsidRPr="003A1174">
        <w:rPr>
          <w:rFonts w:ascii="Garamond" w:hAnsi="Garamond" w:cs="Arial"/>
          <w:sz w:val="24"/>
          <w:szCs w:val="24"/>
        </w:rPr>
        <w:t>assistência</w:t>
      </w:r>
      <w:r w:rsidR="00CA39B2" w:rsidRPr="003A1174">
        <w:rPr>
          <w:rFonts w:ascii="Garamond" w:hAnsi="Garamond" w:cs="Arial"/>
          <w:sz w:val="24"/>
          <w:szCs w:val="24"/>
        </w:rPr>
        <w:t xml:space="preserve"> </w:t>
      </w:r>
      <w:r w:rsidR="00B441F4" w:rsidRPr="003A1174">
        <w:rPr>
          <w:rFonts w:ascii="Garamond" w:hAnsi="Garamond" w:cs="Arial"/>
          <w:sz w:val="24"/>
          <w:szCs w:val="24"/>
        </w:rPr>
        <w:t xml:space="preserve">profissional </w:t>
      </w:r>
      <w:r w:rsidR="00E67EF8" w:rsidRPr="003A1174">
        <w:rPr>
          <w:rFonts w:ascii="Garamond" w:hAnsi="Garamond" w:cs="Arial"/>
          <w:sz w:val="24"/>
          <w:szCs w:val="24"/>
        </w:rPr>
        <w:t>estabelecida</w:t>
      </w:r>
      <w:r w:rsidR="00CA39B2" w:rsidRPr="003A1174">
        <w:rPr>
          <w:rFonts w:ascii="Garamond" w:hAnsi="Garamond" w:cs="Arial"/>
          <w:sz w:val="24"/>
          <w:szCs w:val="24"/>
        </w:rPr>
        <w:t xml:space="preserve"> </w:t>
      </w:r>
      <w:r w:rsidR="00B441F4" w:rsidRPr="003A1174">
        <w:rPr>
          <w:rFonts w:ascii="Garamond" w:hAnsi="Garamond" w:cs="Arial"/>
          <w:sz w:val="24"/>
          <w:szCs w:val="24"/>
        </w:rPr>
        <w:t>n</w:t>
      </w:r>
      <w:r w:rsidR="00CA39B2" w:rsidRPr="003A1174">
        <w:rPr>
          <w:rFonts w:ascii="Garamond" w:hAnsi="Garamond" w:cs="Arial"/>
          <w:sz w:val="24"/>
          <w:szCs w:val="24"/>
        </w:rPr>
        <w:t xml:space="preserve">a </w:t>
      </w:r>
      <w:r w:rsidR="00D15AFF" w:rsidRPr="003A1174">
        <w:rPr>
          <w:rFonts w:ascii="Garamond" w:hAnsi="Garamond" w:cs="Arial"/>
          <w:sz w:val="24"/>
          <w:szCs w:val="24"/>
        </w:rPr>
        <w:t>lei</w:t>
      </w:r>
      <w:r w:rsidR="00CA39B2" w:rsidRPr="003A1174">
        <w:rPr>
          <w:rFonts w:ascii="Garamond" w:hAnsi="Garamond" w:cs="Arial"/>
          <w:sz w:val="24"/>
          <w:szCs w:val="24"/>
        </w:rPr>
        <w:t xml:space="preserve"> 17.514</w:t>
      </w:r>
    </w:p>
    <w:p w:rsidR="00AE7513" w:rsidRPr="003A1174" w:rsidRDefault="00B441F4" w:rsidP="008719D4">
      <w:pPr>
        <w:pStyle w:val="Prrafodelista"/>
        <w:numPr>
          <w:ilvl w:val="0"/>
          <w:numId w:val="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C30647" w:rsidRPr="003A1174">
        <w:rPr>
          <w:rFonts w:ascii="Garamond" w:hAnsi="Garamond" w:cs="Arial"/>
          <w:color w:val="auto"/>
          <w:sz w:val="24"/>
          <w:szCs w:val="24"/>
          <w:lang w:val="pt-PT"/>
        </w:rPr>
        <w:t>projeto</w:t>
      </w:r>
      <w:r w:rsidR="00CA39B2" w:rsidRPr="003A1174">
        <w:rPr>
          <w:rFonts w:ascii="Garamond" w:hAnsi="Garamond" w:cs="Arial"/>
          <w:color w:val="auto"/>
          <w:sz w:val="24"/>
          <w:szCs w:val="24"/>
          <w:lang w:val="pt-PT"/>
        </w:rPr>
        <w:t xml:space="preserve"> </w:t>
      </w:r>
      <w:r w:rsidR="00561431">
        <w:rPr>
          <w:rFonts w:ascii="Garamond" w:hAnsi="Garamond" w:cs="Arial"/>
          <w:color w:val="auto"/>
          <w:sz w:val="24"/>
          <w:szCs w:val="24"/>
          <w:lang w:val="pt-PT"/>
        </w:rPr>
        <w:t>«</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 xml:space="preserve"> unido para p</w:t>
      </w:r>
      <w:r w:rsidRPr="003A1174">
        <w:rPr>
          <w:rFonts w:ascii="Garamond" w:hAnsi="Garamond" w:cs="Arial"/>
          <w:color w:val="auto"/>
          <w:sz w:val="24"/>
          <w:szCs w:val="24"/>
          <w:lang w:val="pt-PT"/>
        </w:rPr>
        <w:t xml:space="preserve">ôr </w:t>
      </w:r>
      <w:r w:rsidR="00CA39B2" w:rsidRPr="003A1174">
        <w:rPr>
          <w:rFonts w:ascii="Garamond" w:hAnsi="Garamond" w:cs="Arial"/>
          <w:color w:val="auto"/>
          <w:sz w:val="24"/>
          <w:szCs w:val="24"/>
          <w:lang w:val="pt-PT"/>
        </w:rPr>
        <w:t>fi</w:t>
      </w:r>
      <w:r w:rsidRPr="003A1174">
        <w:rPr>
          <w:rFonts w:ascii="Garamond" w:hAnsi="Garamond" w:cs="Arial"/>
          <w:color w:val="auto"/>
          <w:sz w:val="24"/>
          <w:szCs w:val="24"/>
          <w:lang w:val="pt-PT"/>
        </w:rPr>
        <w:t xml:space="preserve">m à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contra </w:t>
      </w:r>
      <w:r w:rsidR="00CA39B2"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as adolescentes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as crianças</w:t>
      </w:r>
      <w:r w:rsidR="00561431">
        <w:rPr>
          <w:rFonts w:ascii="Garamond" w:hAnsi="Garamond" w:cs="Arial"/>
          <w:color w:val="auto"/>
          <w:sz w:val="24"/>
          <w:szCs w:val="24"/>
          <w:lang w:val="pt-PT"/>
        </w:rPr>
        <w:t>»</w:t>
      </w:r>
      <w:r w:rsidR="00CA39B2" w:rsidRPr="003A1174">
        <w:rPr>
          <w:rFonts w:ascii="Garamond" w:hAnsi="Garamond" w:cs="Arial"/>
          <w:color w:val="auto"/>
          <w:sz w:val="24"/>
          <w:szCs w:val="24"/>
          <w:lang w:val="pt-PT"/>
        </w:rPr>
        <w:t>.</w:t>
      </w:r>
      <w:r w:rsidR="00AE7513" w:rsidRPr="003A1174">
        <w:rPr>
          <w:rFonts w:ascii="Garamond" w:hAnsi="Garamond" w:cs="Arial"/>
          <w:color w:val="auto"/>
          <w:sz w:val="24"/>
          <w:szCs w:val="24"/>
          <w:lang w:val="pt-PT"/>
        </w:rPr>
        <w:t xml:space="preserve"> </w:t>
      </w:r>
    </w:p>
    <w:p w:rsidR="00CA39B2" w:rsidRPr="003A1174" w:rsidRDefault="00CA39B2" w:rsidP="008719D4">
      <w:pPr>
        <w:pStyle w:val="Prrafodelista"/>
        <w:spacing w:before="240" w:line="240" w:lineRule="auto"/>
        <w:jc w:val="both"/>
        <w:rPr>
          <w:rFonts w:ascii="Garamond" w:hAnsi="Garamond" w:cs="Arial"/>
          <w:sz w:val="24"/>
          <w:szCs w:val="24"/>
          <w:u w:val="single"/>
          <w:lang w:val="pt-PT"/>
        </w:rPr>
      </w:pPr>
      <w:r w:rsidRPr="003A1174">
        <w:rPr>
          <w:rFonts w:ascii="Garamond" w:hAnsi="Garamond" w:cs="Arial"/>
          <w:sz w:val="24"/>
          <w:szCs w:val="24"/>
          <w:lang w:val="pt-PT"/>
        </w:rPr>
        <w:t>Surgi</w:t>
      </w:r>
      <w:r w:rsidR="00B441F4" w:rsidRPr="003A1174">
        <w:rPr>
          <w:rFonts w:ascii="Garamond" w:hAnsi="Garamond" w:cs="Arial"/>
          <w:sz w:val="24"/>
          <w:szCs w:val="24"/>
          <w:lang w:val="pt-PT"/>
        </w:rPr>
        <w:t>u como um</w:t>
      </w:r>
      <w:r w:rsidRPr="003A1174">
        <w:rPr>
          <w:rFonts w:ascii="Garamond" w:hAnsi="Garamond" w:cs="Arial"/>
          <w:sz w:val="24"/>
          <w:szCs w:val="24"/>
          <w:lang w:val="pt-PT"/>
        </w:rPr>
        <w:t xml:space="preserve">a </w:t>
      </w:r>
      <w:r w:rsidR="00201889" w:rsidRPr="003A1174">
        <w:rPr>
          <w:rFonts w:ascii="Garamond" w:hAnsi="Garamond" w:cs="Arial"/>
          <w:sz w:val="24"/>
          <w:szCs w:val="24"/>
          <w:lang w:val="pt-PT"/>
        </w:rPr>
        <w:t>proposta</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w:t>
      </w:r>
      <w:r w:rsidR="004C1496" w:rsidRPr="003A1174">
        <w:rPr>
          <w:rFonts w:ascii="Garamond" w:hAnsi="Garamond" w:cs="Arial"/>
          <w:sz w:val="24"/>
          <w:szCs w:val="24"/>
          <w:lang w:val="pt-PT"/>
        </w:rPr>
        <w:t>Conselho</w:t>
      </w:r>
      <w:r w:rsidRPr="003A1174">
        <w:rPr>
          <w:rFonts w:ascii="Garamond" w:hAnsi="Garamond" w:cs="Arial"/>
          <w:sz w:val="24"/>
          <w:szCs w:val="24"/>
          <w:lang w:val="pt-PT"/>
        </w:rPr>
        <w:t xml:space="preserve"> Nacional Consultivo de </w:t>
      </w:r>
      <w:r w:rsidR="001C2738" w:rsidRPr="003A1174">
        <w:rPr>
          <w:rFonts w:ascii="Garamond" w:hAnsi="Garamond" w:cs="Arial"/>
          <w:sz w:val="24"/>
          <w:szCs w:val="24"/>
          <w:lang w:val="pt-PT"/>
        </w:rPr>
        <w:t>Luta</w:t>
      </w:r>
      <w:r w:rsidR="00B441F4" w:rsidRPr="003A1174">
        <w:rPr>
          <w:rFonts w:ascii="Garamond" w:hAnsi="Garamond" w:cs="Arial"/>
          <w:sz w:val="24"/>
          <w:szCs w:val="24"/>
          <w:lang w:val="pt-PT"/>
        </w:rPr>
        <w:t xml:space="preserve"> </w:t>
      </w:r>
      <w:r w:rsidR="00561431">
        <w:rPr>
          <w:rFonts w:ascii="Garamond" w:hAnsi="Garamond" w:cs="Arial"/>
          <w:sz w:val="24"/>
          <w:szCs w:val="24"/>
          <w:lang w:val="pt-PT"/>
        </w:rPr>
        <w:t>C</w:t>
      </w:r>
      <w:r w:rsidR="00B441F4" w:rsidRPr="003A1174">
        <w:rPr>
          <w:rFonts w:ascii="Garamond" w:hAnsi="Garamond" w:cs="Arial"/>
          <w:sz w:val="24"/>
          <w:szCs w:val="24"/>
          <w:lang w:val="pt-PT"/>
        </w:rPr>
        <w:t xml:space="preserve">ontra </w:t>
      </w:r>
      <w:r w:rsidRPr="003A1174">
        <w:rPr>
          <w:rFonts w:ascii="Garamond" w:hAnsi="Garamond" w:cs="Arial"/>
          <w:sz w:val="24"/>
          <w:szCs w:val="24"/>
          <w:lang w:val="pt-PT"/>
        </w:rPr>
        <w:t xml:space="preserve">a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Doméstica (CNCLVD)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Sistema Integral de </w:t>
      </w:r>
      <w:r w:rsidR="00886D6A" w:rsidRPr="003A1174">
        <w:rPr>
          <w:rFonts w:ascii="Garamond" w:hAnsi="Garamond" w:cs="Arial"/>
          <w:sz w:val="24"/>
          <w:szCs w:val="24"/>
          <w:lang w:val="pt-PT"/>
        </w:rPr>
        <w:t>Proteção</w:t>
      </w:r>
      <w:r w:rsidRPr="003A1174">
        <w:rPr>
          <w:rFonts w:ascii="Garamond" w:hAnsi="Garamond" w:cs="Arial"/>
          <w:sz w:val="24"/>
          <w:szCs w:val="24"/>
          <w:lang w:val="pt-PT"/>
        </w:rPr>
        <w:t xml:space="preserve"> </w:t>
      </w:r>
      <w:r w:rsidR="00B441F4" w:rsidRPr="003A1174">
        <w:rPr>
          <w:rFonts w:ascii="Garamond" w:hAnsi="Garamond" w:cs="Arial"/>
          <w:sz w:val="24"/>
          <w:szCs w:val="24"/>
          <w:lang w:val="pt-PT"/>
        </w:rPr>
        <w:t>à Infância</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3A391A" w:rsidRPr="003A1174">
        <w:rPr>
          <w:rFonts w:ascii="Garamond" w:hAnsi="Garamond" w:cs="Arial"/>
          <w:sz w:val="24"/>
          <w:szCs w:val="24"/>
          <w:lang w:val="pt-PT"/>
        </w:rPr>
        <w:t>Adolescência</w:t>
      </w:r>
      <w:r w:rsidR="00B441F4" w:rsidRPr="003A1174">
        <w:rPr>
          <w:rFonts w:ascii="Garamond" w:hAnsi="Garamond" w:cs="Arial"/>
          <w:sz w:val="24"/>
          <w:szCs w:val="24"/>
          <w:lang w:val="pt-PT"/>
        </w:rPr>
        <w:t xml:space="preserve"> </w:t>
      </w:r>
      <w:r w:rsidR="00561431">
        <w:rPr>
          <w:rFonts w:ascii="Garamond" w:hAnsi="Garamond" w:cs="Arial"/>
          <w:sz w:val="24"/>
          <w:szCs w:val="24"/>
          <w:lang w:val="pt-PT"/>
        </w:rPr>
        <w:t>C</w:t>
      </w:r>
      <w:r w:rsidR="00B441F4" w:rsidRPr="003A1174">
        <w:rPr>
          <w:rFonts w:ascii="Garamond" w:hAnsi="Garamond" w:cs="Arial"/>
          <w:sz w:val="24"/>
          <w:szCs w:val="24"/>
          <w:lang w:val="pt-PT"/>
        </w:rPr>
        <w:t xml:space="preserve">ontra </w:t>
      </w:r>
      <w:r w:rsidRPr="003A1174">
        <w:rPr>
          <w:rFonts w:ascii="Garamond" w:hAnsi="Garamond" w:cs="Arial"/>
          <w:sz w:val="24"/>
          <w:szCs w:val="24"/>
          <w:lang w:val="pt-PT"/>
        </w:rPr>
        <w:t xml:space="preserve">a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(SIPIAV). </w:t>
      </w:r>
      <w:r w:rsidR="00B441F4" w:rsidRPr="003A1174">
        <w:rPr>
          <w:rFonts w:ascii="Garamond" w:hAnsi="Garamond" w:cs="Arial"/>
          <w:sz w:val="24"/>
          <w:szCs w:val="24"/>
          <w:lang w:val="pt-PT"/>
        </w:rPr>
        <w:t xml:space="preserve">Dispõe de </w:t>
      </w:r>
      <w:r w:rsidR="00606CEE" w:rsidRPr="003A1174">
        <w:rPr>
          <w:rFonts w:ascii="Garamond" w:hAnsi="Garamond" w:cs="Arial"/>
          <w:sz w:val="24"/>
          <w:szCs w:val="24"/>
          <w:lang w:val="pt-PT"/>
        </w:rPr>
        <w:t>financiamento</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w:t>
      </w:r>
      <w:r w:rsidR="00E560D8" w:rsidRPr="003A1174">
        <w:rPr>
          <w:rFonts w:ascii="Garamond" w:hAnsi="Garamond" w:cs="Arial"/>
          <w:sz w:val="24"/>
          <w:szCs w:val="24"/>
          <w:lang w:val="pt-PT"/>
        </w:rPr>
        <w:t>Fundo</w:t>
      </w:r>
      <w:r w:rsidRPr="003A1174">
        <w:rPr>
          <w:rFonts w:ascii="Garamond" w:hAnsi="Garamond" w:cs="Arial"/>
          <w:sz w:val="24"/>
          <w:szCs w:val="24"/>
          <w:lang w:val="pt-PT"/>
        </w:rPr>
        <w:t xml:space="preserve"> </w:t>
      </w:r>
      <w:r w:rsidR="00B441F4" w:rsidRPr="003A1174">
        <w:rPr>
          <w:rFonts w:ascii="Garamond" w:hAnsi="Garamond" w:cs="Arial"/>
          <w:sz w:val="24"/>
          <w:szCs w:val="24"/>
          <w:lang w:val="pt-PT"/>
        </w:rPr>
        <w:t>Fiduciário</w:t>
      </w:r>
      <w:r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Pr="003A1174">
        <w:rPr>
          <w:rFonts w:ascii="Garamond" w:hAnsi="Garamond" w:cs="Arial"/>
          <w:sz w:val="24"/>
          <w:szCs w:val="24"/>
          <w:lang w:val="pt-PT"/>
        </w:rPr>
        <w:t xml:space="preserve"> </w:t>
      </w:r>
      <w:r w:rsidR="003F012B" w:rsidRPr="003A1174">
        <w:rPr>
          <w:rFonts w:ascii="Garamond" w:hAnsi="Garamond" w:cs="Arial"/>
          <w:sz w:val="24"/>
          <w:szCs w:val="24"/>
          <w:lang w:val="pt-PT"/>
        </w:rPr>
        <w:t>Nações</w:t>
      </w:r>
      <w:r w:rsidRPr="003A1174">
        <w:rPr>
          <w:rFonts w:ascii="Garamond" w:hAnsi="Garamond" w:cs="Arial"/>
          <w:sz w:val="24"/>
          <w:szCs w:val="24"/>
          <w:lang w:val="pt-PT"/>
        </w:rPr>
        <w:t xml:space="preserve"> Unidas.</w:t>
      </w:r>
    </w:p>
    <w:p w:rsidR="00CA39B2" w:rsidRPr="003A1174" w:rsidRDefault="00B441F4" w:rsidP="008719D4">
      <w:pPr>
        <w:pStyle w:val="Prrafodelista"/>
        <w:numPr>
          <w:ilvl w:val="0"/>
          <w:numId w:val="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E560D8" w:rsidRPr="003A1174">
        <w:rPr>
          <w:rFonts w:ascii="Garamond" w:hAnsi="Garamond" w:cs="Arial"/>
          <w:color w:val="auto"/>
          <w:sz w:val="24"/>
          <w:szCs w:val="24"/>
          <w:lang w:val="pt-PT"/>
        </w:rPr>
        <w:t>Fundo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Fiduciário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Nações</w:t>
      </w:r>
      <w:r w:rsidR="00CA39B2" w:rsidRPr="003A1174">
        <w:rPr>
          <w:rFonts w:ascii="Garamond" w:hAnsi="Garamond" w:cs="Arial"/>
          <w:color w:val="auto"/>
          <w:sz w:val="24"/>
          <w:szCs w:val="24"/>
          <w:lang w:val="pt-PT"/>
        </w:rPr>
        <w:t xml:space="preserve"> Unidas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791197" w:rsidRPr="003A1174">
        <w:rPr>
          <w:rFonts w:ascii="Garamond" w:hAnsi="Garamond" w:cs="Arial"/>
          <w:color w:val="auto"/>
          <w:sz w:val="24"/>
          <w:szCs w:val="24"/>
          <w:lang w:val="pt-PT"/>
        </w:rPr>
        <w:t>Apoio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Pr="003A1174">
        <w:rPr>
          <w:rFonts w:ascii="Garamond" w:hAnsi="Garamond" w:cs="Arial"/>
          <w:color w:val="auto"/>
          <w:sz w:val="24"/>
          <w:szCs w:val="24"/>
          <w:lang w:val="pt-PT"/>
        </w:rPr>
        <w:t xml:space="preserve"> Medidas para Eliminar </w:t>
      </w:r>
      <w:r w:rsidR="00CA39B2" w:rsidRPr="003A1174">
        <w:rPr>
          <w:rFonts w:ascii="Garamond" w:hAnsi="Garamond" w:cs="Arial"/>
          <w:color w:val="auto"/>
          <w:sz w:val="24"/>
          <w:szCs w:val="24"/>
          <w:lang w:val="pt-PT"/>
        </w:rPr>
        <w:t xml:space="preserve">a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contra </w:t>
      </w:r>
      <w:r w:rsidR="00CA39B2"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CA39B2" w:rsidRPr="003A1174">
        <w:rPr>
          <w:rFonts w:ascii="Garamond" w:hAnsi="Garamond" w:cs="Arial"/>
          <w:color w:val="auto"/>
          <w:sz w:val="24"/>
          <w:szCs w:val="24"/>
          <w:lang w:val="pt-PT"/>
        </w:rPr>
        <w:t>.</w:t>
      </w:r>
    </w:p>
    <w:p w:rsidR="00CA39B2" w:rsidRPr="003A1174" w:rsidRDefault="00CA39B2" w:rsidP="008719D4">
      <w:pPr>
        <w:spacing w:before="240" w:line="240" w:lineRule="auto"/>
        <w:ind w:left="709"/>
        <w:jc w:val="both"/>
        <w:rPr>
          <w:rFonts w:ascii="Garamond" w:eastAsia="Times New Roman" w:hAnsi="Garamond" w:cs="Arial"/>
          <w:bCs/>
          <w:sz w:val="24"/>
          <w:szCs w:val="24"/>
          <w:u w:val="single"/>
        </w:rPr>
      </w:pPr>
      <w:r w:rsidRPr="003A1174">
        <w:rPr>
          <w:rFonts w:ascii="Garamond" w:hAnsi="Garamond" w:cs="Arial"/>
          <w:sz w:val="24"/>
          <w:szCs w:val="24"/>
        </w:rPr>
        <w:t>Mecanismo multilateral</w:t>
      </w:r>
      <w:r w:rsidR="00AE7513" w:rsidRPr="003A1174">
        <w:rPr>
          <w:rFonts w:ascii="Garamond" w:hAnsi="Garamond" w:cs="Arial"/>
          <w:sz w:val="24"/>
          <w:szCs w:val="24"/>
        </w:rPr>
        <w:t xml:space="preserve">, </w:t>
      </w:r>
      <w:r w:rsidR="00B441F4" w:rsidRPr="003A1174">
        <w:rPr>
          <w:rFonts w:ascii="Garamond" w:hAnsi="Garamond" w:cs="Arial"/>
          <w:sz w:val="24"/>
          <w:szCs w:val="24"/>
        </w:rPr>
        <w:t xml:space="preserve">líder </w:t>
      </w:r>
      <w:r w:rsidR="00AE7513" w:rsidRPr="003A1174">
        <w:rPr>
          <w:rFonts w:ascii="Garamond" w:hAnsi="Garamond" w:cs="Arial"/>
          <w:sz w:val="24"/>
          <w:szCs w:val="24"/>
        </w:rPr>
        <w:t>mundial</w:t>
      </w:r>
      <w:r w:rsidRPr="003A1174">
        <w:rPr>
          <w:rFonts w:ascii="Garamond" w:hAnsi="Garamond" w:cs="Arial"/>
          <w:sz w:val="24"/>
          <w:szCs w:val="24"/>
        </w:rPr>
        <w:t xml:space="preserve"> que </w:t>
      </w:r>
      <w:r w:rsidR="00561431">
        <w:rPr>
          <w:rFonts w:ascii="Garamond" w:hAnsi="Garamond" w:cs="Arial"/>
          <w:sz w:val="24"/>
          <w:szCs w:val="24"/>
        </w:rPr>
        <w:t xml:space="preserve">apoia </w:t>
      </w:r>
      <w:r w:rsidRPr="003A1174">
        <w:rPr>
          <w:rFonts w:ascii="Garamond" w:hAnsi="Garamond" w:cs="Arial"/>
          <w:sz w:val="24"/>
          <w:szCs w:val="24"/>
        </w:rPr>
        <w:t xml:space="preserve">iniciativas </w:t>
      </w:r>
      <w:r w:rsidR="00190B59" w:rsidRPr="003A1174">
        <w:rPr>
          <w:rFonts w:ascii="Garamond" w:hAnsi="Garamond" w:cs="Arial"/>
          <w:sz w:val="24"/>
          <w:szCs w:val="24"/>
        </w:rPr>
        <w:t>nacionais</w:t>
      </w:r>
      <w:r w:rsidRPr="003A1174">
        <w:rPr>
          <w:rFonts w:ascii="Garamond" w:hAnsi="Garamond" w:cs="Arial"/>
          <w:sz w:val="24"/>
          <w:szCs w:val="24"/>
        </w:rPr>
        <w:t xml:space="preserve"> </w:t>
      </w:r>
      <w:r w:rsidR="00B441F4" w:rsidRPr="003A1174">
        <w:rPr>
          <w:rFonts w:ascii="Garamond" w:hAnsi="Garamond" w:cs="Arial"/>
          <w:sz w:val="24"/>
          <w:szCs w:val="24"/>
        </w:rPr>
        <w:t xml:space="preserve">que se </w:t>
      </w:r>
      <w:r w:rsidR="00561431">
        <w:rPr>
          <w:rFonts w:ascii="Garamond" w:hAnsi="Garamond" w:cs="Arial"/>
          <w:sz w:val="24"/>
          <w:szCs w:val="24"/>
        </w:rPr>
        <w:t xml:space="preserve">destinem </w:t>
      </w:r>
      <w:r w:rsidR="00B441F4" w:rsidRPr="003A1174">
        <w:rPr>
          <w:rFonts w:ascii="Garamond" w:hAnsi="Garamond" w:cs="Arial"/>
          <w:sz w:val="24"/>
          <w:szCs w:val="24"/>
        </w:rPr>
        <w:t>a pôr fim a um</w:t>
      </w:r>
      <w:r w:rsidRPr="003A1174">
        <w:rPr>
          <w:rFonts w:ascii="Garamond" w:hAnsi="Garamond" w:cs="Arial"/>
          <w:sz w:val="24"/>
          <w:szCs w:val="24"/>
        </w:rPr>
        <w:t xml:space="preserve">a </w:t>
      </w:r>
      <w:r w:rsidR="00497503" w:rsidRPr="003A1174">
        <w:rPr>
          <w:rFonts w:ascii="Garamond" w:hAnsi="Garamond" w:cs="Arial"/>
          <w:sz w:val="24"/>
          <w:szCs w:val="24"/>
        </w:rPr>
        <w:t>das</w:t>
      </w:r>
      <w:r w:rsidRPr="003A1174">
        <w:rPr>
          <w:rFonts w:ascii="Garamond" w:hAnsi="Garamond" w:cs="Arial"/>
          <w:sz w:val="24"/>
          <w:szCs w:val="24"/>
        </w:rPr>
        <w:t xml:space="preserve"> </w:t>
      </w:r>
      <w:r w:rsidR="002F62B0" w:rsidRPr="003A1174">
        <w:rPr>
          <w:rFonts w:ascii="Garamond" w:hAnsi="Garamond" w:cs="Arial"/>
          <w:sz w:val="24"/>
          <w:szCs w:val="24"/>
        </w:rPr>
        <w:t>violações</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00B441F4" w:rsidRPr="003A1174">
        <w:rPr>
          <w:rFonts w:ascii="Garamond" w:hAnsi="Garamond" w:cs="Arial"/>
          <w:sz w:val="24"/>
          <w:szCs w:val="24"/>
        </w:rPr>
        <w:t xml:space="preserve">s </w:t>
      </w:r>
      <w:proofErr w:type="gramStart"/>
      <w:r w:rsidR="00B441F4" w:rsidRPr="003A1174">
        <w:rPr>
          <w:rFonts w:ascii="Garamond" w:hAnsi="Garamond" w:cs="Arial"/>
          <w:sz w:val="24"/>
          <w:szCs w:val="24"/>
        </w:rPr>
        <w:t>humanos mai</w:t>
      </w:r>
      <w:r w:rsidRPr="003A1174">
        <w:rPr>
          <w:rFonts w:ascii="Garamond" w:hAnsi="Garamond" w:cs="Arial"/>
          <w:sz w:val="24"/>
          <w:szCs w:val="24"/>
        </w:rPr>
        <w:t xml:space="preserve">s </w:t>
      </w:r>
      <w:r w:rsidR="00BA3CCE" w:rsidRPr="003A1174">
        <w:rPr>
          <w:rFonts w:ascii="Garamond" w:hAnsi="Garamond" w:cs="Arial"/>
          <w:sz w:val="24"/>
          <w:szCs w:val="24"/>
        </w:rPr>
        <w:t>generalizadas</w:t>
      </w:r>
      <w:proofErr w:type="gramEnd"/>
      <w:r w:rsidRPr="003A1174">
        <w:rPr>
          <w:rFonts w:ascii="Garamond" w:hAnsi="Garamond" w:cs="Arial"/>
          <w:sz w:val="24"/>
          <w:szCs w:val="24"/>
        </w:rPr>
        <w:t xml:space="preserve"> </w:t>
      </w:r>
      <w:r w:rsidR="00E85E59" w:rsidRPr="003A1174">
        <w:rPr>
          <w:rFonts w:ascii="Garamond" w:hAnsi="Garamond" w:cs="Arial"/>
          <w:sz w:val="24"/>
          <w:szCs w:val="24"/>
        </w:rPr>
        <w:t>do</w:t>
      </w:r>
      <w:r w:rsidRPr="003A1174">
        <w:rPr>
          <w:rFonts w:ascii="Garamond" w:hAnsi="Garamond" w:cs="Arial"/>
          <w:sz w:val="24"/>
          <w:szCs w:val="24"/>
        </w:rPr>
        <w:t xml:space="preserve"> mundo. </w:t>
      </w:r>
      <w:r w:rsidR="00661ADB" w:rsidRPr="003A1174">
        <w:rPr>
          <w:rFonts w:ascii="Garamond" w:hAnsi="Garamond" w:cs="Arial"/>
          <w:sz w:val="24"/>
          <w:szCs w:val="24"/>
        </w:rPr>
        <w:t>Estabelecido</w:t>
      </w:r>
      <w:r w:rsidRPr="003A1174">
        <w:rPr>
          <w:rFonts w:ascii="Garamond" w:hAnsi="Garamond" w:cs="Arial"/>
          <w:sz w:val="24"/>
          <w:szCs w:val="24"/>
        </w:rPr>
        <w:t xml:space="preserve"> e</w:t>
      </w:r>
      <w:r w:rsidR="00B441F4" w:rsidRPr="003A1174">
        <w:rPr>
          <w:rFonts w:ascii="Garamond" w:hAnsi="Garamond" w:cs="Arial"/>
          <w:sz w:val="24"/>
          <w:szCs w:val="24"/>
        </w:rPr>
        <w:t>m</w:t>
      </w:r>
      <w:r w:rsidRPr="003A1174">
        <w:rPr>
          <w:rFonts w:ascii="Garamond" w:hAnsi="Garamond" w:cs="Arial"/>
          <w:sz w:val="24"/>
          <w:szCs w:val="24"/>
        </w:rPr>
        <w:t xml:space="preserve"> 1996 </w:t>
      </w:r>
      <w:r w:rsidR="00B441F4" w:rsidRPr="003A1174">
        <w:rPr>
          <w:rFonts w:ascii="Garamond" w:hAnsi="Garamond" w:cs="Arial"/>
          <w:sz w:val="24"/>
          <w:szCs w:val="24"/>
        </w:rPr>
        <w:t xml:space="preserve">através da </w:t>
      </w:r>
      <w:r w:rsidR="00561431">
        <w:rPr>
          <w:rFonts w:ascii="Garamond" w:hAnsi="Garamond" w:cs="Arial"/>
          <w:sz w:val="24"/>
          <w:szCs w:val="24"/>
        </w:rPr>
        <w:t>R</w:t>
      </w:r>
      <w:r w:rsidR="003F012B" w:rsidRPr="003A1174">
        <w:rPr>
          <w:rFonts w:ascii="Garamond" w:hAnsi="Garamond" w:cs="Arial"/>
          <w:sz w:val="24"/>
          <w:szCs w:val="24"/>
        </w:rPr>
        <w:t>esolução</w:t>
      </w:r>
      <w:r w:rsidRPr="003A1174">
        <w:rPr>
          <w:rFonts w:ascii="Garamond" w:hAnsi="Garamond" w:cs="Arial"/>
          <w:sz w:val="24"/>
          <w:szCs w:val="24"/>
        </w:rPr>
        <w:t xml:space="preserve"> 50/166 da </w:t>
      </w:r>
      <w:r w:rsidR="00C30647" w:rsidRPr="003A1174">
        <w:rPr>
          <w:rFonts w:ascii="Garamond" w:hAnsi="Garamond" w:cs="Arial"/>
          <w:sz w:val="24"/>
          <w:szCs w:val="24"/>
        </w:rPr>
        <w:t>Assembleia</w:t>
      </w:r>
      <w:r w:rsidRPr="003A1174">
        <w:rPr>
          <w:rFonts w:ascii="Garamond" w:hAnsi="Garamond" w:cs="Arial"/>
          <w:sz w:val="24"/>
          <w:szCs w:val="24"/>
        </w:rPr>
        <w:t xml:space="preserve"> </w:t>
      </w:r>
      <w:r w:rsidR="00077461" w:rsidRPr="003A1174">
        <w:rPr>
          <w:rFonts w:ascii="Garamond" w:hAnsi="Garamond" w:cs="Arial"/>
          <w:sz w:val="24"/>
          <w:szCs w:val="24"/>
        </w:rPr>
        <w:t>Geral</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3F012B" w:rsidRPr="003A1174">
        <w:rPr>
          <w:rFonts w:ascii="Garamond" w:hAnsi="Garamond" w:cs="Arial"/>
          <w:sz w:val="24"/>
          <w:szCs w:val="24"/>
        </w:rPr>
        <w:t>Nações</w:t>
      </w:r>
      <w:r w:rsidRPr="003A1174">
        <w:rPr>
          <w:rFonts w:ascii="Garamond" w:hAnsi="Garamond" w:cs="Arial"/>
          <w:sz w:val="24"/>
          <w:szCs w:val="24"/>
        </w:rPr>
        <w:t xml:space="preserve"> Unidas, </w:t>
      </w:r>
      <w:r w:rsidR="00B441F4" w:rsidRPr="003A1174">
        <w:rPr>
          <w:rFonts w:ascii="Garamond" w:hAnsi="Garamond" w:cs="Arial"/>
          <w:sz w:val="24"/>
          <w:szCs w:val="24"/>
        </w:rPr>
        <w:t>o</w:t>
      </w:r>
      <w:r w:rsidRPr="003A1174">
        <w:rPr>
          <w:rFonts w:ascii="Garamond" w:hAnsi="Garamond" w:cs="Arial"/>
          <w:sz w:val="24"/>
          <w:szCs w:val="24"/>
        </w:rPr>
        <w:t xml:space="preserve"> </w:t>
      </w:r>
      <w:r w:rsidR="00E560D8" w:rsidRPr="003A1174">
        <w:rPr>
          <w:rFonts w:ascii="Garamond" w:hAnsi="Garamond" w:cs="Arial"/>
          <w:sz w:val="24"/>
          <w:szCs w:val="24"/>
        </w:rPr>
        <w:t>Fundo</w:t>
      </w:r>
      <w:r w:rsidRPr="003A1174">
        <w:rPr>
          <w:rFonts w:ascii="Garamond" w:hAnsi="Garamond" w:cs="Arial"/>
          <w:sz w:val="24"/>
          <w:szCs w:val="24"/>
        </w:rPr>
        <w:t xml:space="preserve"> </w:t>
      </w:r>
      <w:r w:rsidR="00B441F4" w:rsidRPr="003A1174">
        <w:rPr>
          <w:rFonts w:ascii="Garamond" w:hAnsi="Garamond" w:cs="Arial"/>
          <w:sz w:val="24"/>
          <w:szCs w:val="24"/>
        </w:rPr>
        <w:t>Fiduciário</w:t>
      </w:r>
      <w:r w:rsidRPr="003A1174">
        <w:rPr>
          <w:rFonts w:ascii="Garamond" w:hAnsi="Garamond" w:cs="Arial"/>
          <w:sz w:val="24"/>
          <w:szCs w:val="24"/>
        </w:rPr>
        <w:t xml:space="preserve"> </w:t>
      </w:r>
      <w:r w:rsidR="00B441F4" w:rsidRPr="003A1174">
        <w:rPr>
          <w:rFonts w:ascii="Garamond" w:hAnsi="Garamond" w:cs="Arial"/>
          <w:sz w:val="24"/>
          <w:szCs w:val="24"/>
        </w:rPr>
        <w:t xml:space="preserve">é </w:t>
      </w:r>
      <w:r w:rsidRPr="003A1174">
        <w:rPr>
          <w:rFonts w:ascii="Garamond" w:hAnsi="Garamond" w:cs="Arial"/>
          <w:sz w:val="24"/>
          <w:szCs w:val="24"/>
        </w:rPr>
        <w:t xml:space="preserve">administrado </w:t>
      </w:r>
      <w:r w:rsidR="00275092" w:rsidRPr="003A1174">
        <w:rPr>
          <w:rFonts w:ascii="Garamond" w:hAnsi="Garamond" w:cs="Arial"/>
          <w:sz w:val="24"/>
          <w:szCs w:val="24"/>
        </w:rPr>
        <w:t>pela</w:t>
      </w:r>
      <w:r w:rsidRPr="003A1174">
        <w:rPr>
          <w:rFonts w:ascii="Garamond" w:hAnsi="Garamond" w:cs="Arial"/>
          <w:sz w:val="24"/>
          <w:szCs w:val="24"/>
        </w:rPr>
        <w:t xml:space="preserve"> </w:t>
      </w:r>
      <w:r w:rsidR="00A862C2" w:rsidRPr="003A1174">
        <w:rPr>
          <w:rFonts w:ascii="Garamond" w:hAnsi="Garamond" w:cs="Arial"/>
          <w:sz w:val="24"/>
          <w:szCs w:val="24"/>
        </w:rPr>
        <w:t>Entidade</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3F012B" w:rsidRPr="003A1174">
        <w:rPr>
          <w:rFonts w:ascii="Garamond" w:hAnsi="Garamond" w:cs="Arial"/>
          <w:sz w:val="24"/>
          <w:szCs w:val="24"/>
        </w:rPr>
        <w:t>Nações</w:t>
      </w:r>
      <w:r w:rsidR="00B441F4" w:rsidRPr="003A1174">
        <w:rPr>
          <w:rFonts w:ascii="Garamond" w:hAnsi="Garamond" w:cs="Arial"/>
          <w:sz w:val="24"/>
          <w:szCs w:val="24"/>
        </w:rPr>
        <w:t xml:space="preserve"> Unidas para </w:t>
      </w:r>
      <w:r w:rsidRPr="003A1174">
        <w:rPr>
          <w:rFonts w:ascii="Garamond" w:hAnsi="Garamond" w:cs="Arial"/>
          <w:sz w:val="24"/>
          <w:szCs w:val="24"/>
        </w:rPr>
        <w:t xml:space="preserve">a </w:t>
      </w:r>
      <w:r w:rsidR="002C7510" w:rsidRPr="003A1174">
        <w:rPr>
          <w:rFonts w:ascii="Garamond" w:hAnsi="Garamond" w:cs="Arial"/>
          <w:sz w:val="24"/>
          <w:szCs w:val="24"/>
        </w:rPr>
        <w:t>Igualdade</w:t>
      </w:r>
      <w:r w:rsidR="00B441F4" w:rsidRPr="003A1174">
        <w:rPr>
          <w:rFonts w:ascii="Garamond" w:hAnsi="Garamond" w:cs="Arial"/>
          <w:sz w:val="24"/>
          <w:szCs w:val="24"/>
        </w:rPr>
        <w:t xml:space="preserve"> entre </w:t>
      </w:r>
      <w:r w:rsidRPr="003A1174">
        <w:rPr>
          <w:rFonts w:ascii="Garamond" w:hAnsi="Garamond" w:cs="Arial"/>
          <w:sz w:val="24"/>
          <w:szCs w:val="24"/>
        </w:rPr>
        <w:t xml:space="preserve">os Géneros </w:t>
      </w:r>
      <w:r w:rsidR="000672E8" w:rsidRPr="003A1174">
        <w:rPr>
          <w:rFonts w:ascii="Garamond" w:hAnsi="Garamond" w:cs="Arial"/>
          <w:sz w:val="24"/>
          <w:szCs w:val="24"/>
        </w:rPr>
        <w:t>e</w:t>
      </w:r>
      <w:r w:rsidRPr="003A1174">
        <w:rPr>
          <w:rFonts w:ascii="Garamond" w:hAnsi="Garamond" w:cs="Arial"/>
          <w:sz w:val="24"/>
          <w:szCs w:val="24"/>
        </w:rPr>
        <w:t xml:space="preserve"> </w:t>
      </w:r>
      <w:r w:rsidR="00B441F4" w:rsidRPr="003A1174">
        <w:rPr>
          <w:rFonts w:ascii="Garamond" w:hAnsi="Garamond" w:cs="Arial"/>
          <w:sz w:val="24"/>
          <w:szCs w:val="24"/>
        </w:rPr>
        <w:t>o</w:t>
      </w:r>
      <w:r w:rsidR="002C7866" w:rsidRPr="003A1174">
        <w:rPr>
          <w:rFonts w:ascii="Garamond" w:hAnsi="Garamond" w:cs="Arial"/>
          <w:sz w:val="24"/>
          <w:szCs w:val="24"/>
        </w:rPr>
        <w:t xml:space="preserve"> Empoderam</w:t>
      </w:r>
      <w:r w:rsidRPr="003A1174">
        <w:rPr>
          <w:rFonts w:ascii="Garamond" w:hAnsi="Garamond" w:cs="Arial"/>
          <w:sz w:val="24"/>
          <w:szCs w:val="24"/>
        </w:rPr>
        <w:t xml:space="preserve">ento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(ONU </w:t>
      </w:r>
      <w:r w:rsidR="00054EE0" w:rsidRPr="003A1174">
        <w:rPr>
          <w:rFonts w:ascii="Garamond" w:hAnsi="Garamond" w:cs="Arial"/>
          <w:sz w:val="24"/>
          <w:szCs w:val="24"/>
        </w:rPr>
        <w:t>Mulheres</w:t>
      </w:r>
      <w:r w:rsidRPr="003A1174">
        <w:rPr>
          <w:rFonts w:ascii="Garamond" w:hAnsi="Garamond" w:cs="Arial"/>
          <w:sz w:val="24"/>
          <w:szCs w:val="24"/>
        </w:rPr>
        <w:t>) e</w:t>
      </w:r>
      <w:r w:rsidR="002C7866" w:rsidRPr="003A1174">
        <w:rPr>
          <w:rFonts w:ascii="Garamond" w:hAnsi="Garamond" w:cs="Arial"/>
          <w:sz w:val="24"/>
          <w:szCs w:val="24"/>
        </w:rPr>
        <w:t>m</w:t>
      </w:r>
      <w:r w:rsidRPr="003A1174">
        <w:rPr>
          <w:rFonts w:ascii="Garamond" w:hAnsi="Garamond" w:cs="Arial"/>
          <w:sz w:val="24"/>
          <w:szCs w:val="24"/>
        </w:rPr>
        <w:t xml:space="preserve"> </w:t>
      </w:r>
      <w:r w:rsidR="00FB09CA" w:rsidRPr="003A1174">
        <w:rPr>
          <w:rFonts w:ascii="Garamond" w:hAnsi="Garamond" w:cs="Arial"/>
          <w:sz w:val="24"/>
          <w:szCs w:val="24"/>
        </w:rPr>
        <w:t>nome</w:t>
      </w:r>
      <w:r w:rsidRPr="003A1174">
        <w:rPr>
          <w:rFonts w:ascii="Garamond" w:hAnsi="Garamond" w:cs="Arial"/>
          <w:sz w:val="24"/>
          <w:szCs w:val="24"/>
        </w:rPr>
        <w:t xml:space="preserve"> </w:t>
      </w:r>
      <w:r w:rsidR="00E85E59" w:rsidRPr="003A1174">
        <w:rPr>
          <w:rFonts w:ascii="Garamond" w:hAnsi="Garamond" w:cs="Arial"/>
          <w:sz w:val="24"/>
          <w:szCs w:val="24"/>
        </w:rPr>
        <w:t>do</w:t>
      </w:r>
      <w:r w:rsidRPr="003A1174">
        <w:rPr>
          <w:rFonts w:ascii="Garamond" w:hAnsi="Garamond" w:cs="Arial"/>
          <w:sz w:val="24"/>
          <w:szCs w:val="24"/>
        </w:rPr>
        <w:t xml:space="preserve"> Sistema </w:t>
      </w:r>
      <w:r w:rsidR="00497503" w:rsidRPr="003A1174">
        <w:rPr>
          <w:rFonts w:ascii="Garamond" w:hAnsi="Garamond" w:cs="Arial"/>
          <w:sz w:val="24"/>
          <w:szCs w:val="24"/>
        </w:rPr>
        <w:t>das</w:t>
      </w:r>
      <w:r w:rsidRPr="003A1174">
        <w:rPr>
          <w:rFonts w:ascii="Garamond" w:hAnsi="Garamond" w:cs="Arial"/>
          <w:sz w:val="24"/>
          <w:szCs w:val="24"/>
        </w:rPr>
        <w:t xml:space="preserve"> </w:t>
      </w:r>
      <w:r w:rsidR="003F012B" w:rsidRPr="003A1174">
        <w:rPr>
          <w:rFonts w:ascii="Garamond" w:hAnsi="Garamond" w:cs="Arial"/>
          <w:sz w:val="24"/>
          <w:szCs w:val="24"/>
        </w:rPr>
        <w:t>Nações</w:t>
      </w:r>
      <w:r w:rsidRPr="003A1174">
        <w:rPr>
          <w:rFonts w:ascii="Garamond" w:hAnsi="Garamond" w:cs="Arial"/>
          <w:sz w:val="24"/>
          <w:szCs w:val="24"/>
        </w:rPr>
        <w:t xml:space="preserve"> Unidas. </w:t>
      </w:r>
    </w:p>
    <w:p w:rsidR="00CA39B2" w:rsidRPr="003A1174" w:rsidRDefault="002C7866" w:rsidP="008719D4">
      <w:pPr>
        <w:pStyle w:val="Prrafodelista"/>
        <w:numPr>
          <w:ilvl w:val="0"/>
          <w:numId w:val="8"/>
        </w:numPr>
        <w:shd w:val="clear" w:color="auto" w:fill="FFFFFF"/>
        <w:spacing w:before="240" w:after="280" w:line="240" w:lineRule="auto"/>
        <w:jc w:val="both"/>
        <w:rPr>
          <w:rStyle w:val="Textoennegrita"/>
          <w:rFonts w:ascii="Garamond" w:hAnsi="Garamond" w:cs="Arial"/>
          <w:b w:val="0"/>
          <w:color w:val="auto"/>
          <w:sz w:val="24"/>
          <w:szCs w:val="24"/>
          <w:lang w:val="pt-PT"/>
        </w:rPr>
      </w:pPr>
      <w:r w:rsidRPr="003A1174">
        <w:rPr>
          <w:rFonts w:ascii="Garamond" w:eastAsia="Times New Roman" w:hAnsi="Garamond" w:cs="Arial"/>
          <w:bCs/>
          <w:color w:val="auto"/>
          <w:sz w:val="24"/>
          <w:szCs w:val="24"/>
          <w:lang w:val="pt-PT"/>
        </w:rPr>
        <w:t xml:space="preserve">O </w:t>
      </w:r>
      <w:r w:rsidR="00CA39B2" w:rsidRPr="003A1174">
        <w:rPr>
          <w:rFonts w:ascii="Garamond" w:eastAsia="Times New Roman" w:hAnsi="Garamond" w:cs="Arial"/>
          <w:bCs/>
          <w:color w:val="auto"/>
          <w:sz w:val="24"/>
          <w:szCs w:val="24"/>
          <w:lang w:val="pt-PT"/>
        </w:rPr>
        <w:t xml:space="preserve">Programa Integral de </w:t>
      </w:r>
      <w:r w:rsidR="001C2738" w:rsidRPr="003A1174">
        <w:rPr>
          <w:rFonts w:ascii="Garamond" w:eastAsia="Times New Roman" w:hAnsi="Garamond" w:cs="Arial"/>
          <w:bCs/>
          <w:color w:val="auto"/>
          <w:sz w:val="24"/>
          <w:szCs w:val="24"/>
          <w:lang w:val="pt-PT"/>
        </w:rPr>
        <w:t>Luta</w:t>
      </w:r>
      <w:r w:rsidRPr="003A1174">
        <w:rPr>
          <w:rFonts w:ascii="Garamond" w:eastAsia="Times New Roman" w:hAnsi="Garamond" w:cs="Arial"/>
          <w:bCs/>
          <w:color w:val="auto"/>
          <w:sz w:val="24"/>
          <w:szCs w:val="24"/>
          <w:lang w:val="pt-PT"/>
        </w:rPr>
        <w:t xml:space="preserve"> contra </w:t>
      </w:r>
      <w:r w:rsidR="00CA39B2" w:rsidRPr="003A1174">
        <w:rPr>
          <w:rFonts w:ascii="Garamond" w:eastAsia="Times New Roman" w:hAnsi="Garamond" w:cs="Arial"/>
          <w:bCs/>
          <w:color w:val="auto"/>
          <w:sz w:val="24"/>
          <w:szCs w:val="24"/>
          <w:lang w:val="pt-PT"/>
        </w:rPr>
        <w:t xml:space="preserve">a </w:t>
      </w:r>
      <w:r w:rsidR="000350B1" w:rsidRPr="003A1174">
        <w:rPr>
          <w:rFonts w:ascii="Garamond" w:eastAsia="Times New Roman" w:hAnsi="Garamond" w:cs="Arial"/>
          <w:bCs/>
          <w:color w:val="auto"/>
          <w:sz w:val="24"/>
          <w:szCs w:val="24"/>
          <w:lang w:val="pt-PT"/>
        </w:rPr>
        <w:t>Violência</w:t>
      </w:r>
      <w:r w:rsidR="00CA39B2" w:rsidRPr="003A1174">
        <w:rPr>
          <w:rFonts w:ascii="Garamond" w:eastAsia="Times New Roman" w:hAnsi="Garamond" w:cs="Arial"/>
          <w:bCs/>
          <w:color w:val="auto"/>
          <w:sz w:val="24"/>
          <w:szCs w:val="24"/>
          <w:lang w:val="pt-PT"/>
        </w:rPr>
        <w:t xml:space="preserve"> de Género </w:t>
      </w:r>
      <w:r w:rsidRPr="003A1174">
        <w:rPr>
          <w:rFonts w:ascii="Garamond" w:eastAsia="Times New Roman" w:hAnsi="Garamond" w:cs="Arial"/>
          <w:bCs/>
          <w:color w:val="auto"/>
          <w:sz w:val="24"/>
          <w:szCs w:val="24"/>
          <w:lang w:val="pt-PT"/>
        </w:rPr>
        <w:t xml:space="preserve">no </w:t>
      </w:r>
      <w:r w:rsidR="00C30647" w:rsidRPr="003A1174">
        <w:rPr>
          <w:rFonts w:ascii="Garamond" w:eastAsia="Times New Roman" w:hAnsi="Garamond" w:cs="Arial"/>
          <w:bCs/>
          <w:color w:val="auto"/>
          <w:sz w:val="24"/>
          <w:szCs w:val="24"/>
          <w:lang w:val="pt-PT"/>
        </w:rPr>
        <w:t>Uruguai</w:t>
      </w:r>
      <w:r w:rsidR="00CA39B2" w:rsidRPr="003A1174">
        <w:rPr>
          <w:rFonts w:ascii="Garamond" w:eastAsia="Times New Roman" w:hAnsi="Garamond" w:cs="Arial"/>
          <w:bCs/>
          <w:color w:val="auto"/>
          <w:sz w:val="24"/>
          <w:szCs w:val="24"/>
          <w:lang w:val="pt-PT"/>
        </w:rPr>
        <w:t xml:space="preserve"> (PILCVG).</w:t>
      </w:r>
    </w:p>
    <w:p w:rsidR="00CA39B2" w:rsidRPr="003A1174" w:rsidRDefault="00CA39B2" w:rsidP="008719D4">
      <w:pPr>
        <w:spacing w:before="240" w:line="240" w:lineRule="auto"/>
        <w:ind w:left="709"/>
        <w:jc w:val="both"/>
        <w:rPr>
          <w:rStyle w:val="Textoennegrita"/>
          <w:rFonts w:ascii="Garamond" w:hAnsi="Garamond" w:cs="Arial"/>
          <w:b w:val="0"/>
          <w:sz w:val="24"/>
          <w:szCs w:val="24"/>
        </w:rPr>
      </w:pPr>
      <w:r w:rsidRPr="003A1174">
        <w:rPr>
          <w:rStyle w:val="Textoennegrita"/>
          <w:rFonts w:ascii="Garamond" w:hAnsi="Garamond" w:cs="Arial"/>
          <w:b w:val="0"/>
          <w:sz w:val="24"/>
          <w:szCs w:val="24"/>
        </w:rPr>
        <w:t xml:space="preserve">Este programa de </w:t>
      </w:r>
      <w:r w:rsidR="00C30647" w:rsidRPr="003A1174">
        <w:rPr>
          <w:rStyle w:val="Textoennegrita"/>
          <w:rFonts w:ascii="Garamond" w:hAnsi="Garamond" w:cs="Arial"/>
          <w:b w:val="0"/>
          <w:sz w:val="24"/>
          <w:szCs w:val="24"/>
        </w:rPr>
        <w:t>cooperação</w:t>
      </w:r>
      <w:r w:rsidRPr="003A1174">
        <w:rPr>
          <w:rStyle w:val="Textoennegrita"/>
          <w:rFonts w:ascii="Garamond" w:hAnsi="Garamond" w:cs="Arial"/>
          <w:b w:val="0"/>
          <w:sz w:val="24"/>
          <w:szCs w:val="24"/>
        </w:rPr>
        <w:t xml:space="preserve"> </w:t>
      </w:r>
      <w:r w:rsidR="002C7866" w:rsidRPr="003A1174">
        <w:rPr>
          <w:rStyle w:val="Textoennegrita"/>
          <w:rFonts w:ascii="Garamond" w:hAnsi="Garamond" w:cs="Arial"/>
          <w:b w:val="0"/>
          <w:sz w:val="24"/>
          <w:szCs w:val="24"/>
        </w:rPr>
        <w:t xml:space="preserve">funciona no </w:t>
      </w:r>
      <w:r w:rsidR="00C30647" w:rsidRPr="003A1174">
        <w:rPr>
          <w:rStyle w:val="Textoennegrita"/>
          <w:rFonts w:ascii="Garamond" w:hAnsi="Garamond" w:cs="Arial"/>
          <w:b w:val="0"/>
          <w:sz w:val="24"/>
          <w:szCs w:val="24"/>
        </w:rPr>
        <w:t>Uruguai</w:t>
      </w:r>
      <w:r w:rsidR="002C7866" w:rsidRPr="003A1174">
        <w:rPr>
          <w:rStyle w:val="Textoennegrita"/>
          <w:rFonts w:ascii="Garamond" w:hAnsi="Garamond" w:cs="Arial"/>
          <w:b w:val="0"/>
          <w:sz w:val="24"/>
          <w:szCs w:val="24"/>
        </w:rPr>
        <w:t xml:space="preserve"> com q</w:t>
      </w:r>
      <w:r w:rsidRPr="003A1174">
        <w:rPr>
          <w:rStyle w:val="Textoennegrita"/>
          <w:rFonts w:ascii="Garamond" w:hAnsi="Garamond" w:cs="Arial"/>
          <w:b w:val="0"/>
          <w:sz w:val="24"/>
          <w:szCs w:val="24"/>
        </w:rPr>
        <w:t xml:space="preserve">uatro </w:t>
      </w:r>
      <w:r w:rsidR="002C7510" w:rsidRPr="003A1174">
        <w:rPr>
          <w:rStyle w:val="Textoennegrita"/>
          <w:rFonts w:ascii="Garamond" w:hAnsi="Garamond" w:cs="Arial"/>
          <w:b w:val="0"/>
          <w:sz w:val="24"/>
          <w:szCs w:val="24"/>
        </w:rPr>
        <w:t>instituições</w:t>
      </w:r>
      <w:r w:rsidRPr="003A1174">
        <w:rPr>
          <w:rStyle w:val="Textoennegrita"/>
          <w:rFonts w:ascii="Garamond" w:hAnsi="Garamond" w:cs="Arial"/>
          <w:b w:val="0"/>
          <w:sz w:val="24"/>
          <w:szCs w:val="24"/>
        </w:rPr>
        <w:t>:</w:t>
      </w:r>
      <w:r w:rsidR="002C7866" w:rsidRPr="003A1174">
        <w:rPr>
          <w:rStyle w:val="Textoennegrita"/>
          <w:rFonts w:ascii="Garamond" w:hAnsi="Garamond" w:cs="Arial"/>
          <w:b w:val="0"/>
          <w:sz w:val="24"/>
          <w:szCs w:val="24"/>
        </w:rPr>
        <w:t xml:space="preserve"> o </w:t>
      </w:r>
      <w:r w:rsidRPr="003A1174">
        <w:rPr>
          <w:rStyle w:val="Textoennegrita"/>
          <w:rFonts w:ascii="Garamond" w:hAnsi="Garamond" w:cs="Arial"/>
          <w:b w:val="0"/>
          <w:sz w:val="24"/>
          <w:szCs w:val="24"/>
        </w:rPr>
        <w:t xml:space="preserve">Instituto Nacional </w:t>
      </w:r>
      <w:r w:rsidR="00497503" w:rsidRPr="003A1174">
        <w:rPr>
          <w:rStyle w:val="Textoennegrita"/>
          <w:rFonts w:ascii="Garamond" w:hAnsi="Garamond" w:cs="Arial"/>
          <w:b w:val="0"/>
          <w:sz w:val="24"/>
          <w:szCs w:val="24"/>
        </w:rPr>
        <w:t>das</w:t>
      </w:r>
      <w:r w:rsidRPr="003A1174">
        <w:rPr>
          <w:rStyle w:val="Textoennegrita"/>
          <w:rFonts w:ascii="Garamond" w:hAnsi="Garamond" w:cs="Arial"/>
          <w:b w:val="0"/>
          <w:sz w:val="24"/>
          <w:szCs w:val="24"/>
        </w:rPr>
        <w:t xml:space="preserve"> </w:t>
      </w:r>
      <w:r w:rsidR="00054EE0" w:rsidRPr="003A1174">
        <w:rPr>
          <w:rStyle w:val="Textoennegrita"/>
          <w:rFonts w:ascii="Garamond" w:hAnsi="Garamond" w:cs="Arial"/>
          <w:b w:val="0"/>
          <w:sz w:val="24"/>
          <w:szCs w:val="24"/>
        </w:rPr>
        <w:t>Mulheres</w:t>
      </w:r>
      <w:r w:rsidRPr="003A1174">
        <w:rPr>
          <w:rStyle w:val="Textoennegrita"/>
          <w:rFonts w:ascii="Garamond" w:hAnsi="Garamond" w:cs="Arial"/>
          <w:b w:val="0"/>
          <w:sz w:val="24"/>
          <w:szCs w:val="24"/>
        </w:rPr>
        <w:t xml:space="preserve">, </w:t>
      </w:r>
      <w:r w:rsidR="002C7866" w:rsidRPr="003A1174">
        <w:rPr>
          <w:rStyle w:val="Textoennegrita"/>
          <w:rFonts w:ascii="Garamond" w:hAnsi="Garamond" w:cs="Arial"/>
          <w:b w:val="0"/>
          <w:sz w:val="24"/>
          <w:szCs w:val="24"/>
        </w:rPr>
        <w:t xml:space="preserve">o </w:t>
      </w:r>
      <w:r w:rsidR="00D77C19" w:rsidRPr="003A1174">
        <w:rPr>
          <w:rStyle w:val="Textoennegrita"/>
          <w:rFonts w:ascii="Garamond" w:hAnsi="Garamond" w:cs="Arial"/>
          <w:b w:val="0"/>
          <w:sz w:val="24"/>
          <w:szCs w:val="24"/>
        </w:rPr>
        <w:t>Ministério</w:t>
      </w:r>
      <w:r w:rsidRPr="003A1174">
        <w:rPr>
          <w:rStyle w:val="Textoennegrita"/>
          <w:rFonts w:ascii="Garamond" w:hAnsi="Garamond" w:cs="Arial"/>
          <w:b w:val="0"/>
          <w:sz w:val="24"/>
          <w:szCs w:val="24"/>
        </w:rPr>
        <w:t xml:space="preserve"> </w:t>
      </w:r>
      <w:r w:rsidR="00E85E59" w:rsidRPr="003A1174">
        <w:rPr>
          <w:rStyle w:val="Textoennegrita"/>
          <w:rFonts w:ascii="Garamond" w:hAnsi="Garamond" w:cs="Arial"/>
          <w:b w:val="0"/>
          <w:sz w:val="24"/>
          <w:szCs w:val="24"/>
        </w:rPr>
        <w:t>do</w:t>
      </w:r>
      <w:r w:rsidRPr="003A1174">
        <w:rPr>
          <w:rStyle w:val="Textoennegrita"/>
          <w:rFonts w:ascii="Garamond" w:hAnsi="Garamond" w:cs="Arial"/>
          <w:b w:val="0"/>
          <w:sz w:val="24"/>
          <w:szCs w:val="24"/>
        </w:rPr>
        <w:t xml:space="preserve"> Interior, </w:t>
      </w:r>
      <w:r w:rsidR="002C7866" w:rsidRPr="003A1174">
        <w:rPr>
          <w:rStyle w:val="Textoennegrita"/>
          <w:rFonts w:ascii="Garamond" w:hAnsi="Garamond" w:cs="Arial"/>
          <w:b w:val="0"/>
          <w:sz w:val="24"/>
          <w:szCs w:val="24"/>
        </w:rPr>
        <w:t xml:space="preserve">o </w:t>
      </w:r>
      <w:r w:rsidR="00D77C19" w:rsidRPr="003A1174">
        <w:rPr>
          <w:rStyle w:val="Textoennegrita"/>
          <w:rFonts w:ascii="Garamond" w:hAnsi="Garamond" w:cs="Arial"/>
          <w:b w:val="0"/>
          <w:sz w:val="24"/>
          <w:szCs w:val="24"/>
        </w:rPr>
        <w:t>Ministério</w:t>
      </w:r>
      <w:r w:rsidRPr="003A1174">
        <w:rPr>
          <w:rStyle w:val="Textoennegrita"/>
          <w:rFonts w:ascii="Garamond" w:hAnsi="Garamond" w:cs="Arial"/>
          <w:b w:val="0"/>
          <w:sz w:val="24"/>
          <w:szCs w:val="24"/>
        </w:rPr>
        <w:t xml:space="preserve"> d</w:t>
      </w:r>
      <w:r w:rsidR="002C7866" w:rsidRPr="003A1174">
        <w:rPr>
          <w:rStyle w:val="Textoennegrita"/>
          <w:rFonts w:ascii="Garamond" w:hAnsi="Garamond" w:cs="Arial"/>
          <w:b w:val="0"/>
          <w:sz w:val="24"/>
          <w:szCs w:val="24"/>
        </w:rPr>
        <w:t>a</w:t>
      </w:r>
      <w:r w:rsidRPr="003A1174">
        <w:rPr>
          <w:rStyle w:val="Textoennegrita"/>
          <w:rFonts w:ascii="Garamond" w:hAnsi="Garamond" w:cs="Arial"/>
          <w:b w:val="0"/>
          <w:sz w:val="24"/>
          <w:szCs w:val="24"/>
        </w:rPr>
        <w:t xml:space="preserve"> </w:t>
      </w:r>
      <w:r w:rsidR="007C63D0" w:rsidRPr="003A1174">
        <w:rPr>
          <w:rStyle w:val="Textoennegrita"/>
          <w:rFonts w:ascii="Garamond" w:hAnsi="Garamond" w:cs="Arial"/>
          <w:b w:val="0"/>
          <w:sz w:val="24"/>
          <w:szCs w:val="24"/>
        </w:rPr>
        <w:t>Saúde</w:t>
      </w:r>
      <w:r w:rsidRPr="003A1174">
        <w:rPr>
          <w:rStyle w:val="Textoennegrita"/>
          <w:rFonts w:ascii="Garamond" w:hAnsi="Garamond" w:cs="Arial"/>
          <w:b w:val="0"/>
          <w:sz w:val="24"/>
          <w:szCs w:val="24"/>
        </w:rPr>
        <w:t xml:space="preserve"> Pública </w:t>
      </w:r>
      <w:r w:rsidR="000672E8" w:rsidRPr="003A1174">
        <w:rPr>
          <w:rStyle w:val="Textoennegrita"/>
          <w:rFonts w:ascii="Garamond" w:hAnsi="Garamond" w:cs="Arial"/>
          <w:b w:val="0"/>
          <w:sz w:val="24"/>
          <w:szCs w:val="24"/>
        </w:rPr>
        <w:t>e</w:t>
      </w:r>
      <w:r w:rsidRPr="003A1174">
        <w:rPr>
          <w:rStyle w:val="Textoennegrita"/>
          <w:rFonts w:ascii="Garamond" w:hAnsi="Garamond" w:cs="Arial"/>
          <w:b w:val="0"/>
          <w:sz w:val="24"/>
          <w:szCs w:val="24"/>
        </w:rPr>
        <w:t xml:space="preserve"> </w:t>
      </w:r>
      <w:r w:rsidR="002C7866" w:rsidRPr="003A1174">
        <w:rPr>
          <w:rStyle w:val="Textoennegrita"/>
          <w:rFonts w:ascii="Garamond" w:hAnsi="Garamond" w:cs="Arial"/>
          <w:b w:val="0"/>
          <w:sz w:val="24"/>
          <w:szCs w:val="24"/>
        </w:rPr>
        <w:t xml:space="preserve">o </w:t>
      </w:r>
      <w:r w:rsidRPr="003A1174">
        <w:rPr>
          <w:rStyle w:val="Textoennegrita"/>
          <w:rFonts w:ascii="Garamond" w:hAnsi="Garamond" w:cs="Arial"/>
          <w:b w:val="0"/>
          <w:sz w:val="24"/>
          <w:szCs w:val="24"/>
        </w:rPr>
        <w:t>Poder Judicial</w:t>
      </w:r>
      <w:r w:rsidR="000D4DE8" w:rsidRPr="003A1174">
        <w:rPr>
          <w:rStyle w:val="Textoennegrita"/>
          <w:rFonts w:ascii="Garamond" w:hAnsi="Garamond" w:cs="Arial"/>
          <w:b w:val="0"/>
          <w:sz w:val="24"/>
          <w:szCs w:val="24"/>
        </w:rPr>
        <w:t>;</w:t>
      </w:r>
      <w:r w:rsidRPr="003A1174">
        <w:rPr>
          <w:rStyle w:val="Textoennegrita"/>
          <w:rFonts w:ascii="Garamond" w:hAnsi="Garamond" w:cs="Arial"/>
          <w:b w:val="0"/>
          <w:sz w:val="24"/>
          <w:szCs w:val="24"/>
        </w:rPr>
        <w:t xml:space="preserve"> </w:t>
      </w:r>
      <w:r w:rsidR="002C7866" w:rsidRPr="003A1174">
        <w:rPr>
          <w:rStyle w:val="Textoennegrita"/>
          <w:rFonts w:ascii="Garamond" w:hAnsi="Garamond" w:cs="Arial"/>
          <w:b w:val="0"/>
          <w:sz w:val="24"/>
          <w:szCs w:val="24"/>
        </w:rPr>
        <w:t xml:space="preserve">é </w:t>
      </w:r>
      <w:r w:rsidRPr="003A1174">
        <w:rPr>
          <w:rStyle w:val="Textoennegrita"/>
          <w:rFonts w:ascii="Garamond" w:hAnsi="Garamond" w:cs="Arial"/>
          <w:b w:val="0"/>
          <w:sz w:val="24"/>
          <w:szCs w:val="24"/>
        </w:rPr>
        <w:t xml:space="preserve">financiado </w:t>
      </w:r>
      <w:r w:rsidR="00275092" w:rsidRPr="003A1174">
        <w:rPr>
          <w:rStyle w:val="Textoennegrita"/>
          <w:rFonts w:ascii="Garamond" w:hAnsi="Garamond" w:cs="Arial"/>
          <w:b w:val="0"/>
          <w:sz w:val="24"/>
          <w:szCs w:val="24"/>
        </w:rPr>
        <w:t>pela</w:t>
      </w:r>
      <w:r w:rsidRPr="003A1174">
        <w:rPr>
          <w:rStyle w:val="Textoennegrita"/>
          <w:rFonts w:ascii="Garamond" w:hAnsi="Garamond" w:cs="Arial"/>
          <w:b w:val="0"/>
          <w:sz w:val="24"/>
          <w:szCs w:val="24"/>
        </w:rPr>
        <w:t xml:space="preserve"> </w:t>
      </w:r>
      <w:r w:rsidR="00EC2E68" w:rsidRPr="003A1174">
        <w:rPr>
          <w:rStyle w:val="Textoennegrita"/>
          <w:rFonts w:ascii="Garamond" w:hAnsi="Garamond" w:cs="Arial"/>
          <w:b w:val="0"/>
          <w:sz w:val="24"/>
          <w:szCs w:val="24"/>
        </w:rPr>
        <w:t>Agência</w:t>
      </w:r>
      <w:r w:rsidR="002C7866" w:rsidRPr="003A1174">
        <w:rPr>
          <w:rStyle w:val="Textoennegrita"/>
          <w:rFonts w:ascii="Garamond" w:hAnsi="Garamond" w:cs="Arial"/>
          <w:b w:val="0"/>
          <w:sz w:val="24"/>
          <w:szCs w:val="24"/>
        </w:rPr>
        <w:t xml:space="preserve"> Espanh</w:t>
      </w:r>
      <w:r w:rsidRPr="003A1174">
        <w:rPr>
          <w:rStyle w:val="Textoennegrita"/>
          <w:rFonts w:ascii="Garamond" w:hAnsi="Garamond" w:cs="Arial"/>
          <w:b w:val="0"/>
          <w:sz w:val="24"/>
          <w:szCs w:val="24"/>
        </w:rPr>
        <w:t xml:space="preserve">ola de </w:t>
      </w:r>
      <w:r w:rsidR="00C30647" w:rsidRPr="003A1174">
        <w:rPr>
          <w:rStyle w:val="Textoennegrita"/>
          <w:rFonts w:ascii="Garamond" w:hAnsi="Garamond" w:cs="Arial"/>
          <w:b w:val="0"/>
          <w:sz w:val="24"/>
          <w:szCs w:val="24"/>
        </w:rPr>
        <w:t>Cooperação</w:t>
      </w:r>
      <w:r w:rsidRPr="003A1174">
        <w:rPr>
          <w:rStyle w:val="Textoennegrita"/>
          <w:rFonts w:ascii="Garamond" w:hAnsi="Garamond" w:cs="Arial"/>
          <w:b w:val="0"/>
          <w:sz w:val="24"/>
          <w:szCs w:val="24"/>
        </w:rPr>
        <w:t xml:space="preserve"> Internacional para </w:t>
      </w:r>
      <w:r w:rsidR="002C7866" w:rsidRPr="003A1174">
        <w:rPr>
          <w:rStyle w:val="Textoennegrita"/>
          <w:rFonts w:ascii="Garamond" w:hAnsi="Garamond" w:cs="Arial"/>
          <w:b w:val="0"/>
          <w:sz w:val="24"/>
          <w:szCs w:val="24"/>
        </w:rPr>
        <w:t xml:space="preserve">o </w:t>
      </w:r>
      <w:r w:rsidR="009B133A" w:rsidRPr="003A1174">
        <w:rPr>
          <w:rStyle w:val="Textoennegrita"/>
          <w:rFonts w:ascii="Garamond" w:hAnsi="Garamond" w:cs="Arial"/>
          <w:b w:val="0"/>
          <w:sz w:val="24"/>
          <w:szCs w:val="24"/>
        </w:rPr>
        <w:t>Desenvolvimento</w:t>
      </w:r>
      <w:r w:rsidRPr="003A1174">
        <w:rPr>
          <w:rStyle w:val="Textoennegrita"/>
          <w:rFonts w:ascii="Garamond" w:hAnsi="Garamond" w:cs="Arial"/>
          <w:b w:val="0"/>
          <w:sz w:val="24"/>
          <w:szCs w:val="24"/>
        </w:rPr>
        <w:t xml:space="preserve"> (AECID). </w:t>
      </w:r>
    </w:p>
    <w:p w:rsidR="00CA39B2" w:rsidRPr="003A1174" w:rsidRDefault="002C7866" w:rsidP="008719D4">
      <w:pPr>
        <w:spacing w:before="240" w:line="240" w:lineRule="auto"/>
        <w:ind w:left="709"/>
        <w:jc w:val="both"/>
        <w:rPr>
          <w:rStyle w:val="Textoennegrita"/>
          <w:rFonts w:ascii="Garamond" w:hAnsi="Garamond" w:cs="Arial"/>
          <w:b w:val="0"/>
          <w:sz w:val="24"/>
          <w:szCs w:val="24"/>
        </w:rPr>
      </w:pPr>
      <w:r w:rsidRPr="003A1174">
        <w:rPr>
          <w:rStyle w:val="Textoennegrita"/>
          <w:rFonts w:ascii="Garamond" w:hAnsi="Garamond" w:cs="Arial"/>
          <w:b w:val="0"/>
          <w:sz w:val="24"/>
          <w:szCs w:val="24"/>
        </w:rPr>
        <w:lastRenderedPageBreak/>
        <w:t>As q</w:t>
      </w:r>
      <w:r w:rsidR="00CA39B2" w:rsidRPr="003A1174">
        <w:rPr>
          <w:rStyle w:val="Textoennegrita"/>
          <w:rFonts w:ascii="Garamond" w:hAnsi="Garamond" w:cs="Arial"/>
          <w:b w:val="0"/>
          <w:sz w:val="24"/>
          <w:szCs w:val="24"/>
        </w:rPr>
        <w:t xml:space="preserve">uatro </w:t>
      </w:r>
      <w:r w:rsidR="002C7510" w:rsidRPr="003A1174">
        <w:rPr>
          <w:rStyle w:val="Textoennegrita"/>
          <w:rFonts w:ascii="Garamond" w:hAnsi="Garamond" w:cs="Arial"/>
          <w:b w:val="0"/>
          <w:sz w:val="24"/>
          <w:szCs w:val="24"/>
        </w:rPr>
        <w:t>instituições</w:t>
      </w:r>
      <w:r w:rsidR="00CA39B2" w:rsidRPr="003A1174">
        <w:rPr>
          <w:rStyle w:val="Textoennegrita"/>
          <w:rFonts w:ascii="Garamond" w:hAnsi="Garamond" w:cs="Arial"/>
          <w:b w:val="0"/>
          <w:sz w:val="24"/>
          <w:szCs w:val="24"/>
        </w:rPr>
        <w:t xml:space="preserve"> mencionadas formular</w:t>
      </w:r>
      <w:r w:rsidRPr="003A1174">
        <w:rPr>
          <w:rStyle w:val="Textoennegrita"/>
          <w:rFonts w:ascii="Garamond" w:hAnsi="Garamond" w:cs="Arial"/>
          <w:b w:val="0"/>
          <w:sz w:val="24"/>
          <w:szCs w:val="24"/>
        </w:rPr>
        <w:t>am</w:t>
      </w:r>
      <w:r w:rsidR="00561431">
        <w:rPr>
          <w:rStyle w:val="Textoennegrita"/>
          <w:rFonts w:ascii="Garamond" w:hAnsi="Garamond" w:cs="Arial"/>
          <w:b w:val="0"/>
          <w:sz w:val="24"/>
          <w:szCs w:val="24"/>
        </w:rPr>
        <w:t>,</w:t>
      </w:r>
      <w:r w:rsidRPr="003A1174">
        <w:rPr>
          <w:rStyle w:val="Textoennegrita"/>
          <w:rFonts w:ascii="Garamond" w:hAnsi="Garamond" w:cs="Arial"/>
          <w:b w:val="0"/>
          <w:sz w:val="24"/>
          <w:szCs w:val="24"/>
        </w:rPr>
        <w:t xml:space="preserve"> </w:t>
      </w:r>
      <w:r w:rsidR="00CA39B2" w:rsidRPr="003A1174">
        <w:rPr>
          <w:rStyle w:val="Textoennegrita"/>
          <w:rFonts w:ascii="Garamond" w:hAnsi="Garamond" w:cs="Arial"/>
          <w:b w:val="0"/>
          <w:sz w:val="24"/>
          <w:szCs w:val="24"/>
        </w:rPr>
        <w:t xml:space="preserve">junto </w:t>
      </w:r>
      <w:r w:rsidRPr="003A1174">
        <w:rPr>
          <w:rStyle w:val="Textoennegrita"/>
          <w:rFonts w:ascii="Garamond" w:hAnsi="Garamond" w:cs="Arial"/>
          <w:b w:val="0"/>
          <w:sz w:val="24"/>
          <w:szCs w:val="24"/>
        </w:rPr>
        <w:t xml:space="preserve">da </w:t>
      </w:r>
      <w:r w:rsidR="00EC2E68" w:rsidRPr="003A1174">
        <w:rPr>
          <w:rStyle w:val="Textoennegrita"/>
          <w:rFonts w:ascii="Garamond" w:hAnsi="Garamond" w:cs="Arial"/>
          <w:b w:val="0"/>
          <w:sz w:val="24"/>
          <w:szCs w:val="24"/>
        </w:rPr>
        <w:t>Agência</w:t>
      </w:r>
      <w:r w:rsidR="00CA39B2" w:rsidRPr="003A1174">
        <w:rPr>
          <w:rStyle w:val="Textoennegrita"/>
          <w:rFonts w:ascii="Garamond" w:hAnsi="Garamond" w:cs="Arial"/>
          <w:b w:val="0"/>
          <w:sz w:val="24"/>
          <w:szCs w:val="24"/>
        </w:rPr>
        <w:t xml:space="preserve"> </w:t>
      </w:r>
      <w:r w:rsidR="00C30647" w:rsidRPr="003A1174">
        <w:rPr>
          <w:rStyle w:val="Textoennegrita"/>
          <w:rFonts w:ascii="Garamond" w:hAnsi="Garamond" w:cs="Arial"/>
          <w:b w:val="0"/>
          <w:sz w:val="24"/>
          <w:szCs w:val="24"/>
        </w:rPr>
        <w:t>Uruguai</w:t>
      </w:r>
      <w:r w:rsidR="00CA39B2" w:rsidRPr="003A1174">
        <w:rPr>
          <w:rStyle w:val="Textoennegrita"/>
          <w:rFonts w:ascii="Garamond" w:hAnsi="Garamond" w:cs="Arial"/>
          <w:b w:val="0"/>
          <w:sz w:val="24"/>
          <w:szCs w:val="24"/>
        </w:rPr>
        <w:t xml:space="preserve">a de </w:t>
      </w:r>
      <w:r w:rsidR="00C30647" w:rsidRPr="003A1174">
        <w:rPr>
          <w:rStyle w:val="Textoennegrita"/>
          <w:rFonts w:ascii="Garamond" w:hAnsi="Garamond" w:cs="Arial"/>
          <w:b w:val="0"/>
          <w:sz w:val="24"/>
          <w:szCs w:val="24"/>
        </w:rPr>
        <w:t>Cooperação</w:t>
      </w:r>
      <w:r w:rsidR="00CA39B2" w:rsidRPr="003A1174">
        <w:rPr>
          <w:rStyle w:val="Textoennegrita"/>
          <w:rFonts w:ascii="Garamond" w:hAnsi="Garamond" w:cs="Arial"/>
          <w:b w:val="0"/>
          <w:sz w:val="24"/>
          <w:szCs w:val="24"/>
        </w:rPr>
        <w:t xml:space="preserve"> Internacional (AUCI) </w:t>
      </w:r>
      <w:r w:rsidR="000672E8" w:rsidRPr="003A1174">
        <w:rPr>
          <w:rStyle w:val="Textoennegrita"/>
          <w:rFonts w:ascii="Garamond" w:hAnsi="Garamond" w:cs="Arial"/>
          <w:b w:val="0"/>
          <w:sz w:val="24"/>
          <w:szCs w:val="24"/>
        </w:rPr>
        <w:t>e</w:t>
      </w:r>
      <w:r w:rsidR="00CA39B2" w:rsidRPr="003A1174">
        <w:rPr>
          <w:rStyle w:val="Textoennegrita"/>
          <w:rFonts w:ascii="Garamond" w:hAnsi="Garamond" w:cs="Arial"/>
          <w:b w:val="0"/>
          <w:sz w:val="24"/>
          <w:szCs w:val="24"/>
        </w:rPr>
        <w:t xml:space="preserve"> </w:t>
      </w:r>
      <w:r w:rsidRPr="003A1174">
        <w:rPr>
          <w:rStyle w:val="Textoennegrita"/>
          <w:rFonts w:ascii="Garamond" w:hAnsi="Garamond" w:cs="Arial"/>
          <w:b w:val="0"/>
          <w:sz w:val="24"/>
          <w:szCs w:val="24"/>
        </w:rPr>
        <w:t xml:space="preserve">da </w:t>
      </w:r>
      <w:r w:rsidR="00CA39B2" w:rsidRPr="003A1174">
        <w:rPr>
          <w:rStyle w:val="Textoennegrita"/>
          <w:rFonts w:ascii="Garamond" w:hAnsi="Garamond" w:cs="Arial"/>
          <w:b w:val="0"/>
          <w:sz w:val="24"/>
          <w:szCs w:val="24"/>
        </w:rPr>
        <w:t xml:space="preserve">AECID, </w:t>
      </w:r>
      <w:r w:rsidRPr="003A1174">
        <w:rPr>
          <w:rStyle w:val="Textoennegrita"/>
          <w:rFonts w:ascii="Garamond" w:hAnsi="Garamond" w:cs="Arial"/>
          <w:b w:val="0"/>
          <w:sz w:val="24"/>
          <w:szCs w:val="24"/>
        </w:rPr>
        <w:t xml:space="preserve">o </w:t>
      </w:r>
      <w:r w:rsidR="00CA39B2" w:rsidRPr="003A1174">
        <w:rPr>
          <w:rStyle w:val="Textoennegrita"/>
          <w:rFonts w:ascii="Garamond" w:hAnsi="Garamond" w:cs="Arial"/>
          <w:b w:val="0"/>
          <w:sz w:val="24"/>
          <w:szCs w:val="24"/>
        </w:rPr>
        <w:t xml:space="preserve">documento </w:t>
      </w:r>
      <w:r w:rsidR="00E85E59" w:rsidRPr="003A1174">
        <w:rPr>
          <w:rStyle w:val="Textoennegrita"/>
          <w:rFonts w:ascii="Garamond" w:hAnsi="Garamond" w:cs="Arial"/>
          <w:b w:val="0"/>
          <w:sz w:val="24"/>
          <w:szCs w:val="24"/>
        </w:rPr>
        <w:t>do</w:t>
      </w:r>
      <w:r w:rsidR="00CA39B2" w:rsidRPr="003A1174">
        <w:rPr>
          <w:rStyle w:val="Textoennegrita"/>
          <w:rFonts w:ascii="Garamond" w:hAnsi="Garamond" w:cs="Arial"/>
          <w:b w:val="0"/>
          <w:sz w:val="24"/>
          <w:szCs w:val="24"/>
        </w:rPr>
        <w:t xml:space="preserve"> programa, que se </w:t>
      </w:r>
      <w:r w:rsidR="00AB6522" w:rsidRPr="003A1174">
        <w:rPr>
          <w:rStyle w:val="Textoennegrita"/>
          <w:rFonts w:ascii="Garamond" w:hAnsi="Garamond" w:cs="Arial"/>
          <w:b w:val="0"/>
          <w:sz w:val="24"/>
          <w:szCs w:val="24"/>
        </w:rPr>
        <w:t>encontra</w:t>
      </w:r>
      <w:r w:rsidRPr="003A1174">
        <w:rPr>
          <w:rStyle w:val="Textoennegrita"/>
          <w:rFonts w:ascii="Garamond" w:hAnsi="Garamond" w:cs="Arial"/>
          <w:b w:val="0"/>
          <w:sz w:val="24"/>
          <w:szCs w:val="24"/>
        </w:rPr>
        <w:t xml:space="preserve"> dentro da</w:t>
      </w:r>
      <w:r w:rsidR="00CA39B2" w:rsidRPr="003A1174">
        <w:rPr>
          <w:rStyle w:val="Textoennegrita"/>
          <w:rFonts w:ascii="Garamond" w:hAnsi="Garamond" w:cs="Arial"/>
          <w:b w:val="0"/>
          <w:sz w:val="24"/>
          <w:szCs w:val="24"/>
        </w:rPr>
        <w:t xml:space="preserve">s </w:t>
      </w:r>
      <w:r w:rsidR="00D54730" w:rsidRPr="003A1174">
        <w:rPr>
          <w:rStyle w:val="Textoennegrita"/>
          <w:rFonts w:ascii="Garamond" w:hAnsi="Garamond" w:cs="Arial"/>
          <w:b w:val="0"/>
          <w:sz w:val="24"/>
          <w:szCs w:val="24"/>
        </w:rPr>
        <w:t>diretrizes</w:t>
      </w:r>
      <w:r w:rsidR="00CA39B2" w:rsidRPr="003A1174">
        <w:rPr>
          <w:rStyle w:val="Textoennegrita"/>
          <w:rFonts w:ascii="Garamond" w:hAnsi="Garamond" w:cs="Arial"/>
          <w:b w:val="0"/>
          <w:sz w:val="24"/>
          <w:szCs w:val="24"/>
        </w:rPr>
        <w:t xml:space="preserve"> </w:t>
      </w:r>
      <w:r w:rsidR="00661ADB" w:rsidRPr="003A1174">
        <w:rPr>
          <w:rStyle w:val="Textoennegrita"/>
          <w:rFonts w:ascii="Garamond" w:hAnsi="Garamond" w:cs="Arial"/>
          <w:b w:val="0"/>
          <w:sz w:val="24"/>
          <w:szCs w:val="24"/>
        </w:rPr>
        <w:t>estabelecid</w:t>
      </w:r>
      <w:r w:rsidRPr="003A1174">
        <w:rPr>
          <w:rStyle w:val="Textoennegrita"/>
          <w:rFonts w:ascii="Garamond" w:hAnsi="Garamond" w:cs="Arial"/>
          <w:b w:val="0"/>
          <w:sz w:val="24"/>
          <w:szCs w:val="24"/>
        </w:rPr>
        <w:t>a</w:t>
      </w:r>
      <w:r w:rsidR="00CA39B2" w:rsidRPr="003A1174">
        <w:rPr>
          <w:rStyle w:val="Textoennegrita"/>
          <w:rFonts w:ascii="Garamond" w:hAnsi="Garamond" w:cs="Arial"/>
          <w:b w:val="0"/>
          <w:sz w:val="24"/>
          <w:szCs w:val="24"/>
        </w:rPr>
        <w:t xml:space="preserve">s </w:t>
      </w:r>
      <w:r w:rsidRPr="003A1174">
        <w:rPr>
          <w:rStyle w:val="Textoennegrita"/>
          <w:rFonts w:ascii="Garamond" w:hAnsi="Garamond" w:cs="Arial"/>
          <w:b w:val="0"/>
          <w:sz w:val="24"/>
          <w:szCs w:val="24"/>
        </w:rPr>
        <w:t xml:space="preserve">no </w:t>
      </w:r>
      <w:r w:rsidR="00CA39B2" w:rsidRPr="003A1174">
        <w:rPr>
          <w:rStyle w:val="Textoennegrita"/>
          <w:rFonts w:ascii="Garamond" w:hAnsi="Garamond" w:cs="Arial"/>
          <w:b w:val="0"/>
          <w:sz w:val="24"/>
          <w:szCs w:val="24"/>
        </w:rPr>
        <w:t xml:space="preserve">IV </w:t>
      </w:r>
      <w:r w:rsidR="00462B11" w:rsidRPr="003A1174">
        <w:rPr>
          <w:rStyle w:val="Textoennegrita"/>
          <w:rFonts w:ascii="Garamond" w:hAnsi="Garamond" w:cs="Arial"/>
          <w:b w:val="0"/>
          <w:sz w:val="24"/>
          <w:szCs w:val="24"/>
        </w:rPr>
        <w:t>Plano</w:t>
      </w:r>
      <w:r w:rsidR="00CA39B2" w:rsidRPr="003A1174">
        <w:rPr>
          <w:rStyle w:val="Textoennegrita"/>
          <w:rFonts w:ascii="Garamond" w:hAnsi="Garamond" w:cs="Arial"/>
          <w:b w:val="0"/>
          <w:sz w:val="24"/>
          <w:szCs w:val="24"/>
        </w:rPr>
        <w:t xml:space="preserve"> </w:t>
      </w:r>
      <w:r w:rsidR="006E0719" w:rsidRPr="003A1174">
        <w:rPr>
          <w:rStyle w:val="Textoennegrita"/>
          <w:rFonts w:ascii="Garamond" w:hAnsi="Garamond" w:cs="Arial"/>
          <w:b w:val="0"/>
          <w:sz w:val="24"/>
          <w:szCs w:val="24"/>
        </w:rPr>
        <w:t>Direto</w:t>
      </w:r>
      <w:r w:rsidR="00CA39B2" w:rsidRPr="003A1174">
        <w:rPr>
          <w:rStyle w:val="Textoennegrita"/>
          <w:rFonts w:ascii="Garamond" w:hAnsi="Garamond" w:cs="Arial"/>
          <w:b w:val="0"/>
          <w:sz w:val="24"/>
          <w:szCs w:val="24"/>
        </w:rPr>
        <w:t xml:space="preserve">r da </w:t>
      </w:r>
      <w:r w:rsidR="00C30647" w:rsidRPr="003A1174">
        <w:rPr>
          <w:rStyle w:val="Textoennegrita"/>
          <w:rFonts w:ascii="Garamond" w:hAnsi="Garamond" w:cs="Arial"/>
          <w:b w:val="0"/>
          <w:sz w:val="24"/>
          <w:szCs w:val="24"/>
        </w:rPr>
        <w:t>Cooperação</w:t>
      </w:r>
      <w:r w:rsidR="00CA39B2" w:rsidRPr="003A1174">
        <w:rPr>
          <w:rStyle w:val="Textoennegrita"/>
          <w:rFonts w:ascii="Garamond" w:hAnsi="Garamond" w:cs="Arial"/>
          <w:b w:val="0"/>
          <w:sz w:val="24"/>
          <w:szCs w:val="24"/>
        </w:rPr>
        <w:t xml:space="preserve"> </w:t>
      </w:r>
      <w:r w:rsidRPr="003A1174">
        <w:rPr>
          <w:rStyle w:val="Textoennegrita"/>
          <w:rFonts w:ascii="Garamond" w:hAnsi="Garamond" w:cs="Arial"/>
          <w:b w:val="0"/>
          <w:sz w:val="24"/>
          <w:szCs w:val="24"/>
        </w:rPr>
        <w:t>Espanhola</w:t>
      </w:r>
      <w:r w:rsidR="00CA39B2" w:rsidRPr="003A1174">
        <w:rPr>
          <w:rStyle w:val="Textoennegrita"/>
          <w:rFonts w:ascii="Garamond" w:hAnsi="Garamond" w:cs="Arial"/>
          <w:b w:val="0"/>
          <w:sz w:val="24"/>
          <w:szCs w:val="24"/>
        </w:rPr>
        <w:t xml:space="preserve"> 2013-2016 (PD) para </w:t>
      </w:r>
      <w:r w:rsidRPr="003A1174">
        <w:rPr>
          <w:rStyle w:val="Textoennegrita"/>
          <w:rFonts w:ascii="Garamond" w:hAnsi="Garamond" w:cs="Arial"/>
          <w:b w:val="0"/>
          <w:sz w:val="24"/>
          <w:szCs w:val="24"/>
        </w:rPr>
        <w:t xml:space="preserve">o </w:t>
      </w:r>
      <w:r w:rsidR="00F96DD1" w:rsidRPr="003A1174">
        <w:rPr>
          <w:rStyle w:val="Textoennegrita"/>
          <w:rFonts w:ascii="Garamond" w:hAnsi="Garamond" w:cs="Arial"/>
          <w:b w:val="0"/>
          <w:sz w:val="24"/>
          <w:szCs w:val="24"/>
        </w:rPr>
        <w:t>setor</w:t>
      </w:r>
      <w:r w:rsidR="00CA39B2" w:rsidRPr="003A1174">
        <w:rPr>
          <w:rStyle w:val="Textoennegrita"/>
          <w:rFonts w:ascii="Garamond" w:hAnsi="Garamond" w:cs="Arial"/>
          <w:b w:val="0"/>
          <w:sz w:val="24"/>
          <w:szCs w:val="24"/>
        </w:rPr>
        <w:t xml:space="preserve"> Género </w:t>
      </w:r>
      <w:r w:rsidR="000672E8" w:rsidRPr="003A1174">
        <w:rPr>
          <w:rStyle w:val="Textoennegrita"/>
          <w:rFonts w:ascii="Garamond" w:hAnsi="Garamond" w:cs="Arial"/>
          <w:b w:val="0"/>
          <w:sz w:val="24"/>
          <w:szCs w:val="24"/>
        </w:rPr>
        <w:t>e</w:t>
      </w:r>
      <w:r w:rsidR="00CA39B2" w:rsidRPr="003A1174">
        <w:rPr>
          <w:rStyle w:val="Textoennegrita"/>
          <w:rFonts w:ascii="Garamond" w:hAnsi="Garamond" w:cs="Arial"/>
          <w:b w:val="0"/>
          <w:sz w:val="24"/>
          <w:szCs w:val="24"/>
        </w:rPr>
        <w:t xml:space="preserve"> </w:t>
      </w:r>
      <w:r w:rsidR="009B133A" w:rsidRPr="003A1174">
        <w:rPr>
          <w:rStyle w:val="Textoennegrita"/>
          <w:rFonts w:ascii="Garamond" w:hAnsi="Garamond" w:cs="Arial"/>
          <w:b w:val="0"/>
          <w:sz w:val="24"/>
          <w:szCs w:val="24"/>
        </w:rPr>
        <w:t>Desenvolvimento</w:t>
      </w:r>
      <w:r w:rsidR="00CA39B2" w:rsidRPr="003A1174">
        <w:rPr>
          <w:rStyle w:val="Textoennegrita"/>
          <w:rFonts w:ascii="Garamond" w:hAnsi="Garamond" w:cs="Arial"/>
          <w:b w:val="0"/>
          <w:sz w:val="24"/>
          <w:szCs w:val="24"/>
        </w:rPr>
        <w:t xml:space="preserve">. </w:t>
      </w:r>
      <w:r w:rsidR="00687287" w:rsidRPr="003A1174">
        <w:rPr>
          <w:rStyle w:val="Textoennegrita"/>
          <w:rFonts w:ascii="Garamond" w:hAnsi="Garamond" w:cs="Arial"/>
          <w:b w:val="0"/>
          <w:sz w:val="24"/>
          <w:szCs w:val="24"/>
        </w:rPr>
        <w:t xml:space="preserve">Este programa também se reflete no </w:t>
      </w:r>
      <w:r w:rsidR="00253B1D" w:rsidRPr="003A1174">
        <w:rPr>
          <w:rStyle w:val="Textoennegrita"/>
          <w:rFonts w:ascii="Garamond" w:hAnsi="Garamond" w:cs="Arial"/>
          <w:b w:val="0"/>
          <w:sz w:val="24"/>
          <w:szCs w:val="24"/>
        </w:rPr>
        <w:t>Quadro</w:t>
      </w:r>
      <w:r w:rsidR="00687287" w:rsidRPr="003A1174">
        <w:rPr>
          <w:rStyle w:val="Textoennegrita"/>
          <w:rFonts w:ascii="Garamond" w:hAnsi="Garamond" w:cs="Arial"/>
          <w:b w:val="0"/>
          <w:sz w:val="24"/>
          <w:szCs w:val="24"/>
        </w:rPr>
        <w:t xml:space="preserve"> da</w:t>
      </w:r>
      <w:r w:rsidR="00CA39B2" w:rsidRPr="003A1174">
        <w:rPr>
          <w:rStyle w:val="Textoennegrita"/>
          <w:rFonts w:ascii="Garamond" w:hAnsi="Garamond" w:cs="Arial"/>
          <w:b w:val="0"/>
          <w:sz w:val="24"/>
          <w:szCs w:val="24"/>
        </w:rPr>
        <w:t xml:space="preserve"> </w:t>
      </w:r>
      <w:r w:rsidR="003A391A" w:rsidRPr="003A1174">
        <w:rPr>
          <w:rStyle w:val="Textoennegrita"/>
          <w:rFonts w:ascii="Garamond" w:hAnsi="Garamond" w:cs="Arial"/>
          <w:b w:val="0"/>
          <w:sz w:val="24"/>
          <w:szCs w:val="24"/>
        </w:rPr>
        <w:t>Associação</w:t>
      </w:r>
      <w:r w:rsidR="00CA39B2" w:rsidRPr="003A1174">
        <w:rPr>
          <w:rStyle w:val="Textoennegrita"/>
          <w:rFonts w:ascii="Garamond" w:hAnsi="Garamond" w:cs="Arial"/>
          <w:b w:val="0"/>
          <w:sz w:val="24"/>
          <w:szCs w:val="24"/>
        </w:rPr>
        <w:t xml:space="preserve"> </w:t>
      </w:r>
      <w:r w:rsidR="0017447A" w:rsidRPr="003A1174">
        <w:rPr>
          <w:rStyle w:val="Textoennegrita"/>
          <w:rFonts w:ascii="Garamond" w:hAnsi="Garamond" w:cs="Arial"/>
          <w:b w:val="0"/>
          <w:sz w:val="24"/>
          <w:szCs w:val="24"/>
        </w:rPr>
        <w:t>Espanha</w:t>
      </w:r>
      <w:r w:rsidR="00CA39B2" w:rsidRPr="003A1174">
        <w:rPr>
          <w:rStyle w:val="Textoennegrita"/>
          <w:rFonts w:ascii="Garamond" w:hAnsi="Garamond" w:cs="Arial"/>
          <w:b w:val="0"/>
          <w:sz w:val="24"/>
          <w:szCs w:val="24"/>
        </w:rPr>
        <w:t>-</w:t>
      </w:r>
      <w:r w:rsidR="00C30647" w:rsidRPr="003A1174">
        <w:rPr>
          <w:rStyle w:val="Textoennegrita"/>
          <w:rFonts w:ascii="Garamond" w:hAnsi="Garamond" w:cs="Arial"/>
          <w:b w:val="0"/>
          <w:sz w:val="24"/>
          <w:szCs w:val="24"/>
        </w:rPr>
        <w:t>Uruguai</w:t>
      </w:r>
      <w:r w:rsidR="00CA39B2" w:rsidRPr="003A1174">
        <w:rPr>
          <w:rStyle w:val="Textoennegrita"/>
          <w:rFonts w:ascii="Garamond" w:hAnsi="Garamond" w:cs="Arial"/>
          <w:b w:val="0"/>
          <w:sz w:val="24"/>
          <w:szCs w:val="24"/>
        </w:rPr>
        <w:t xml:space="preserve"> </w:t>
      </w:r>
      <w:r w:rsidR="00687287" w:rsidRPr="003A1174">
        <w:rPr>
          <w:rStyle w:val="Textoennegrita"/>
          <w:rFonts w:ascii="Garamond" w:hAnsi="Garamond" w:cs="Arial"/>
          <w:b w:val="0"/>
          <w:sz w:val="24"/>
          <w:szCs w:val="24"/>
        </w:rPr>
        <w:t>2011 – 2015</w:t>
      </w:r>
      <w:r w:rsidR="00CA39B2" w:rsidRPr="003A1174">
        <w:rPr>
          <w:rStyle w:val="Textoennegrita"/>
          <w:rFonts w:ascii="Garamond" w:hAnsi="Garamond" w:cs="Arial"/>
          <w:b w:val="0"/>
          <w:sz w:val="24"/>
          <w:szCs w:val="24"/>
        </w:rPr>
        <w:t xml:space="preserve"> (MA), </w:t>
      </w:r>
      <w:r w:rsidR="00687287" w:rsidRPr="003A1174">
        <w:rPr>
          <w:rStyle w:val="Textoennegrita"/>
          <w:rFonts w:ascii="Garamond" w:hAnsi="Garamond" w:cs="Arial"/>
          <w:b w:val="0"/>
          <w:sz w:val="24"/>
          <w:szCs w:val="24"/>
        </w:rPr>
        <w:t xml:space="preserve">através do </w:t>
      </w:r>
      <w:r w:rsidR="0017447A" w:rsidRPr="003A1174">
        <w:rPr>
          <w:rStyle w:val="Textoennegrita"/>
          <w:rFonts w:ascii="Garamond" w:hAnsi="Garamond" w:cs="Arial"/>
          <w:b w:val="0"/>
          <w:sz w:val="24"/>
          <w:szCs w:val="24"/>
        </w:rPr>
        <w:t>trabalho</w:t>
      </w:r>
      <w:r w:rsidR="00CA39B2" w:rsidRPr="003A1174">
        <w:rPr>
          <w:rStyle w:val="Textoennegrita"/>
          <w:rFonts w:ascii="Garamond" w:hAnsi="Garamond" w:cs="Arial"/>
          <w:b w:val="0"/>
          <w:sz w:val="24"/>
          <w:szCs w:val="24"/>
        </w:rPr>
        <w:t xml:space="preserve"> conjunto co</w:t>
      </w:r>
      <w:r w:rsidR="00687287" w:rsidRPr="003A1174">
        <w:rPr>
          <w:rStyle w:val="Textoennegrita"/>
          <w:rFonts w:ascii="Garamond" w:hAnsi="Garamond" w:cs="Arial"/>
          <w:b w:val="0"/>
          <w:sz w:val="24"/>
          <w:szCs w:val="24"/>
        </w:rPr>
        <w:t xml:space="preserve">m os parceiros </w:t>
      </w:r>
      <w:r w:rsidR="00190B59" w:rsidRPr="003A1174">
        <w:rPr>
          <w:rStyle w:val="Textoennegrita"/>
          <w:rFonts w:ascii="Garamond" w:hAnsi="Garamond" w:cs="Arial"/>
          <w:b w:val="0"/>
          <w:sz w:val="24"/>
          <w:szCs w:val="24"/>
        </w:rPr>
        <w:t>nacionais</w:t>
      </w:r>
      <w:r w:rsidR="00CA39B2" w:rsidRPr="003A1174">
        <w:rPr>
          <w:rStyle w:val="Textoennegrita"/>
          <w:rFonts w:ascii="Garamond" w:hAnsi="Garamond" w:cs="Arial"/>
          <w:b w:val="0"/>
          <w:sz w:val="24"/>
          <w:szCs w:val="24"/>
        </w:rPr>
        <w:t xml:space="preserve"> </w:t>
      </w:r>
      <w:r w:rsidR="00687287" w:rsidRPr="003A1174">
        <w:rPr>
          <w:rStyle w:val="Textoennegrita"/>
          <w:rFonts w:ascii="Garamond" w:hAnsi="Garamond" w:cs="Arial"/>
          <w:b w:val="0"/>
          <w:sz w:val="24"/>
          <w:szCs w:val="24"/>
        </w:rPr>
        <w:t xml:space="preserve">envolvidos na </w:t>
      </w:r>
      <w:r w:rsidR="00C30647" w:rsidRPr="003A1174">
        <w:rPr>
          <w:rStyle w:val="Textoennegrita"/>
          <w:rFonts w:ascii="Garamond" w:hAnsi="Garamond" w:cs="Arial"/>
          <w:b w:val="0"/>
          <w:sz w:val="24"/>
          <w:szCs w:val="24"/>
        </w:rPr>
        <w:t>erradicação</w:t>
      </w:r>
      <w:r w:rsidR="000D4DE8" w:rsidRPr="003A1174">
        <w:rPr>
          <w:rStyle w:val="Textoennegrita"/>
          <w:rFonts w:ascii="Garamond" w:hAnsi="Garamond" w:cs="Arial"/>
          <w:b w:val="0"/>
          <w:sz w:val="24"/>
          <w:szCs w:val="24"/>
        </w:rPr>
        <w:t xml:space="preserve"> d</w:t>
      </w:r>
      <w:r w:rsidR="00CA39B2" w:rsidRPr="003A1174">
        <w:rPr>
          <w:rStyle w:val="Textoennegrita"/>
          <w:rFonts w:ascii="Garamond" w:hAnsi="Garamond" w:cs="Arial"/>
          <w:b w:val="0"/>
          <w:sz w:val="24"/>
          <w:szCs w:val="24"/>
        </w:rPr>
        <w:t xml:space="preserve">a </w:t>
      </w:r>
      <w:r w:rsidR="000350B1" w:rsidRPr="003A1174">
        <w:rPr>
          <w:rStyle w:val="Textoennegrita"/>
          <w:rFonts w:ascii="Garamond" w:hAnsi="Garamond" w:cs="Arial"/>
          <w:b w:val="0"/>
          <w:sz w:val="24"/>
          <w:szCs w:val="24"/>
        </w:rPr>
        <w:t>violência</w:t>
      </w:r>
      <w:r w:rsidR="00CA39B2" w:rsidRPr="003A1174">
        <w:rPr>
          <w:rStyle w:val="Textoennegrita"/>
          <w:rFonts w:ascii="Garamond" w:hAnsi="Garamond" w:cs="Arial"/>
          <w:b w:val="0"/>
          <w:sz w:val="24"/>
          <w:szCs w:val="24"/>
        </w:rPr>
        <w:t xml:space="preserve"> de género </w:t>
      </w:r>
      <w:r w:rsidR="00687287" w:rsidRPr="003A1174">
        <w:rPr>
          <w:rStyle w:val="Textoennegrita"/>
          <w:rFonts w:ascii="Garamond" w:hAnsi="Garamond" w:cs="Arial"/>
          <w:b w:val="0"/>
          <w:sz w:val="24"/>
          <w:szCs w:val="24"/>
        </w:rPr>
        <w:t>no</w:t>
      </w:r>
      <w:r w:rsidR="00CA39B2" w:rsidRPr="003A1174">
        <w:rPr>
          <w:rStyle w:val="Textoennegrita"/>
          <w:rFonts w:ascii="Garamond" w:hAnsi="Garamond" w:cs="Arial"/>
          <w:b w:val="0"/>
          <w:sz w:val="24"/>
          <w:szCs w:val="24"/>
        </w:rPr>
        <w:t xml:space="preserve"> </w:t>
      </w:r>
      <w:r w:rsidR="00C30647" w:rsidRPr="003A1174">
        <w:rPr>
          <w:rStyle w:val="Textoennegrita"/>
          <w:rFonts w:ascii="Garamond" w:hAnsi="Garamond" w:cs="Arial"/>
          <w:b w:val="0"/>
          <w:sz w:val="24"/>
          <w:szCs w:val="24"/>
        </w:rPr>
        <w:t>Uruguai</w:t>
      </w:r>
      <w:r w:rsidR="00CA39B2" w:rsidRPr="003A1174">
        <w:rPr>
          <w:rStyle w:val="Textoennegrita"/>
          <w:rFonts w:ascii="Garamond" w:hAnsi="Garamond" w:cs="Arial"/>
          <w:b w:val="0"/>
          <w:sz w:val="24"/>
          <w:szCs w:val="24"/>
        </w:rPr>
        <w:t xml:space="preserve">. </w:t>
      </w:r>
    </w:p>
    <w:p w:rsidR="00CA39B2" w:rsidRPr="003A1174" w:rsidRDefault="007A2492" w:rsidP="008719D4">
      <w:pPr>
        <w:spacing w:before="240" w:line="240" w:lineRule="auto"/>
        <w:ind w:left="709"/>
        <w:jc w:val="both"/>
        <w:rPr>
          <w:rFonts w:ascii="Garamond" w:hAnsi="Garamond" w:cs="Arial"/>
          <w:sz w:val="24"/>
          <w:szCs w:val="24"/>
        </w:rPr>
      </w:pPr>
      <w:r w:rsidRPr="003A1174">
        <w:rPr>
          <w:rStyle w:val="Textoennegrita"/>
          <w:rFonts w:ascii="Garamond" w:hAnsi="Garamond" w:cs="Arial"/>
          <w:b w:val="0"/>
          <w:sz w:val="24"/>
          <w:szCs w:val="24"/>
        </w:rPr>
        <w:t>Tem</w:t>
      </w:r>
      <w:r w:rsidR="00CA39B2" w:rsidRPr="003A1174">
        <w:rPr>
          <w:rStyle w:val="Textoennegrita"/>
          <w:rFonts w:ascii="Garamond" w:hAnsi="Garamond" w:cs="Arial"/>
          <w:b w:val="0"/>
          <w:sz w:val="24"/>
          <w:szCs w:val="24"/>
        </w:rPr>
        <w:t xml:space="preserve"> por objet</w:t>
      </w:r>
      <w:r w:rsidR="00687287" w:rsidRPr="003A1174">
        <w:rPr>
          <w:rStyle w:val="Textoennegrita"/>
          <w:rFonts w:ascii="Garamond" w:hAnsi="Garamond" w:cs="Arial"/>
          <w:b w:val="0"/>
          <w:sz w:val="24"/>
          <w:szCs w:val="24"/>
        </w:rPr>
        <w:t xml:space="preserve">ivo estratégico </w:t>
      </w:r>
      <w:r w:rsidR="00CA39B2" w:rsidRPr="003A1174">
        <w:rPr>
          <w:rStyle w:val="Textoennegrita"/>
          <w:rFonts w:ascii="Garamond" w:hAnsi="Garamond" w:cs="Arial"/>
          <w:b w:val="0"/>
          <w:sz w:val="24"/>
          <w:szCs w:val="24"/>
        </w:rPr>
        <w:t xml:space="preserve">a </w:t>
      </w:r>
      <w:r w:rsidR="00C30647" w:rsidRPr="003A1174">
        <w:rPr>
          <w:rStyle w:val="Textoennegrita"/>
          <w:rFonts w:ascii="Garamond" w:hAnsi="Garamond" w:cs="Arial"/>
          <w:b w:val="0"/>
          <w:sz w:val="24"/>
          <w:szCs w:val="24"/>
        </w:rPr>
        <w:t>erradicação</w:t>
      </w:r>
      <w:r w:rsidR="00CA39B2" w:rsidRPr="003A1174">
        <w:rPr>
          <w:rStyle w:val="Textoennegrita"/>
          <w:rFonts w:ascii="Garamond" w:hAnsi="Garamond" w:cs="Arial"/>
          <w:b w:val="0"/>
          <w:sz w:val="24"/>
          <w:szCs w:val="24"/>
        </w:rPr>
        <w:t xml:space="preserve"> da </w:t>
      </w:r>
      <w:r w:rsidR="000350B1" w:rsidRPr="003A1174">
        <w:rPr>
          <w:rStyle w:val="Textoennegrita"/>
          <w:rFonts w:ascii="Garamond" w:hAnsi="Garamond" w:cs="Arial"/>
          <w:b w:val="0"/>
          <w:sz w:val="24"/>
          <w:szCs w:val="24"/>
        </w:rPr>
        <w:t>violência</w:t>
      </w:r>
      <w:r w:rsidR="00CA39B2" w:rsidRPr="003A1174">
        <w:rPr>
          <w:rStyle w:val="Textoennegrita"/>
          <w:rFonts w:ascii="Garamond" w:hAnsi="Garamond" w:cs="Arial"/>
          <w:b w:val="0"/>
          <w:sz w:val="24"/>
          <w:szCs w:val="24"/>
        </w:rPr>
        <w:t xml:space="preserve"> de género </w:t>
      </w:r>
      <w:r w:rsidR="00687287" w:rsidRPr="003A1174">
        <w:rPr>
          <w:rStyle w:val="Textoennegrita"/>
          <w:rFonts w:ascii="Garamond" w:hAnsi="Garamond" w:cs="Arial"/>
          <w:b w:val="0"/>
          <w:sz w:val="24"/>
          <w:szCs w:val="24"/>
        </w:rPr>
        <w:t xml:space="preserve">no </w:t>
      </w:r>
      <w:r w:rsidR="00CA39B2" w:rsidRPr="003A1174">
        <w:rPr>
          <w:rStyle w:val="Textoennegrita"/>
          <w:rFonts w:ascii="Garamond" w:hAnsi="Garamond" w:cs="Arial"/>
          <w:b w:val="0"/>
          <w:sz w:val="24"/>
          <w:szCs w:val="24"/>
        </w:rPr>
        <w:t xml:space="preserve">país. Para </w:t>
      </w:r>
      <w:r w:rsidR="00687287" w:rsidRPr="003A1174">
        <w:rPr>
          <w:rStyle w:val="Textoennegrita"/>
          <w:rFonts w:ascii="Garamond" w:hAnsi="Garamond" w:cs="Arial"/>
          <w:b w:val="0"/>
          <w:sz w:val="24"/>
          <w:szCs w:val="24"/>
        </w:rPr>
        <w:t>o conseguir, tenta implementar um</w:t>
      </w:r>
      <w:r w:rsidR="00CA39B2" w:rsidRPr="003A1174">
        <w:rPr>
          <w:rStyle w:val="Textoennegrita"/>
          <w:rFonts w:ascii="Garamond" w:hAnsi="Garamond" w:cs="Arial"/>
          <w:b w:val="0"/>
          <w:sz w:val="24"/>
          <w:szCs w:val="24"/>
        </w:rPr>
        <w:t xml:space="preserve">a </w:t>
      </w:r>
      <w:r w:rsidR="00A56F43" w:rsidRPr="003A1174">
        <w:rPr>
          <w:rStyle w:val="Textoennegrita"/>
          <w:rFonts w:ascii="Garamond" w:hAnsi="Garamond" w:cs="Arial"/>
          <w:b w:val="0"/>
          <w:sz w:val="24"/>
          <w:szCs w:val="24"/>
        </w:rPr>
        <w:t>Estratégia</w:t>
      </w:r>
      <w:r w:rsidR="00CA39B2" w:rsidRPr="003A1174">
        <w:rPr>
          <w:rStyle w:val="Textoennegrita"/>
          <w:rFonts w:ascii="Garamond" w:hAnsi="Garamond" w:cs="Arial"/>
          <w:b w:val="0"/>
          <w:sz w:val="24"/>
          <w:szCs w:val="24"/>
        </w:rPr>
        <w:t xml:space="preserve"> Nacional de </w:t>
      </w:r>
      <w:r w:rsidR="001C2738" w:rsidRPr="003A1174">
        <w:rPr>
          <w:rStyle w:val="Textoennegrita"/>
          <w:rFonts w:ascii="Garamond" w:hAnsi="Garamond" w:cs="Arial"/>
          <w:b w:val="0"/>
          <w:sz w:val="24"/>
          <w:szCs w:val="24"/>
        </w:rPr>
        <w:t>Luta</w:t>
      </w:r>
      <w:r w:rsidR="00687287" w:rsidRPr="003A1174">
        <w:rPr>
          <w:rStyle w:val="Textoennegrita"/>
          <w:rFonts w:ascii="Garamond" w:hAnsi="Garamond" w:cs="Arial"/>
          <w:b w:val="0"/>
          <w:sz w:val="24"/>
          <w:szCs w:val="24"/>
        </w:rPr>
        <w:t xml:space="preserve"> contra </w:t>
      </w:r>
      <w:r w:rsidR="00CA39B2" w:rsidRPr="003A1174">
        <w:rPr>
          <w:rStyle w:val="Textoennegrita"/>
          <w:rFonts w:ascii="Garamond" w:hAnsi="Garamond" w:cs="Arial"/>
          <w:b w:val="0"/>
          <w:sz w:val="24"/>
          <w:szCs w:val="24"/>
        </w:rPr>
        <w:t xml:space="preserve">a </w:t>
      </w:r>
      <w:r w:rsidR="000350B1" w:rsidRPr="003A1174">
        <w:rPr>
          <w:rStyle w:val="Textoennegrita"/>
          <w:rFonts w:ascii="Garamond" w:hAnsi="Garamond" w:cs="Arial"/>
          <w:b w:val="0"/>
          <w:sz w:val="24"/>
          <w:szCs w:val="24"/>
        </w:rPr>
        <w:t>Violência</w:t>
      </w:r>
      <w:r w:rsidR="00CA39B2" w:rsidRPr="003A1174">
        <w:rPr>
          <w:rStyle w:val="Textoennegrita"/>
          <w:rFonts w:ascii="Garamond" w:hAnsi="Garamond" w:cs="Arial"/>
          <w:b w:val="0"/>
          <w:sz w:val="24"/>
          <w:szCs w:val="24"/>
        </w:rPr>
        <w:t xml:space="preserve"> de Género, </w:t>
      </w:r>
      <w:r w:rsidR="002F62B0" w:rsidRPr="003A1174">
        <w:rPr>
          <w:rStyle w:val="Textoennegrita"/>
          <w:rFonts w:ascii="Garamond" w:hAnsi="Garamond" w:cs="Arial"/>
          <w:b w:val="0"/>
          <w:sz w:val="24"/>
          <w:szCs w:val="24"/>
        </w:rPr>
        <w:t>assumindo</w:t>
      </w:r>
      <w:r w:rsidR="00CA39B2" w:rsidRPr="003A1174">
        <w:rPr>
          <w:rStyle w:val="Textoennegrita"/>
          <w:rFonts w:ascii="Garamond" w:hAnsi="Garamond" w:cs="Arial"/>
          <w:b w:val="0"/>
          <w:sz w:val="24"/>
          <w:szCs w:val="24"/>
        </w:rPr>
        <w:t xml:space="preserve"> como </w:t>
      </w:r>
      <w:r w:rsidR="00253B1D" w:rsidRPr="003A1174">
        <w:rPr>
          <w:rStyle w:val="Textoennegrita"/>
          <w:rFonts w:ascii="Garamond" w:hAnsi="Garamond" w:cs="Arial"/>
          <w:b w:val="0"/>
          <w:sz w:val="24"/>
          <w:szCs w:val="24"/>
        </w:rPr>
        <w:t>quadro</w:t>
      </w:r>
      <w:r w:rsidR="00CA39B2" w:rsidRPr="003A1174">
        <w:rPr>
          <w:rStyle w:val="Textoennegrita"/>
          <w:rFonts w:ascii="Garamond" w:hAnsi="Garamond" w:cs="Arial"/>
          <w:b w:val="0"/>
          <w:sz w:val="24"/>
          <w:szCs w:val="24"/>
        </w:rPr>
        <w:t xml:space="preserve"> de </w:t>
      </w:r>
      <w:r w:rsidR="00CB5DB2" w:rsidRPr="003A1174">
        <w:rPr>
          <w:rStyle w:val="Textoennegrita"/>
          <w:rFonts w:ascii="Garamond" w:hAnsi="Garamond" w:cs="Arial"/>
          <w:b w:val="0"/>
          <w:sz w:val="24"/>
          <w:szCs w:val="24"/>
        </w:rPr>
        <w:t>referência</w:t>
      </w:r>
      <w:r w:rsidR="00687287" w:rsidRPr="003A1174">
        <w:rPr>
          <w:rStyle w:val="Textoennegrita"/>
          <w:rFonts w:ascii="Garamond" w:hAnsi="Garamond" w:cs="Arial"/>
          <w:b w:val="0"/>
          <w:sz w:val="24"/>
          <w:szCs w:val="24"/>
        </w:rPr>
        <w:t xml:space="preserve"> </w:t>
      </w:r>
      <w:r w:rsidR="00CA39B2" w:rsidRPr="003A1174">
        <w:rPr>
          <w:rStyle w:val="Textoennegrita"/>
          <w:rFonts w:ascii="Garamond" w:hAnsi="Garamond" w:cs="Arial"/>
          <w:b w:val="0"/>
          <w:sz w:val="24"/>
          <w:szCs w:val="24"/>
        </w:rPr>
        <w:t xml:space="preserve">a </w:t>
      </w:r>
      <w:r w:rsidR="006C760C" w:rsidRPr="003A1174">
        <w:rPr>
          <w:rStyle w:val="Textoennegrita"/>
          <w:rFonts w:ascii="Garamond" w:hAnsi="Garamond" w:cs="Arial"/>
          <w:b w:val="0"/>
          <w:sz w:val="24"/>
          <w:szCs w:val="24"/>
        </w:rPr>
        <w:t>implementação</w:t>
      </w:r>
      <w:r w:rsidR="00CA39B2" w:rsidRPr="003A1174">
        <w:rPr>
          <w:rStyle w:val="Textoennegrita"/>
          <w:rFonts w:ascii="Garamond" w:hAnsi="Garamond" w:cs="Arial"/>
          <w:b w:val="0"/>
          <w:sz w:val="24"/>
          <w:szCs w:val="24"/>
        </w:rPr>
        <w:t xml:space="preserve"> </w:t>
      </w:r>
      <w:r w:rsidR="00E85E59" w:rsidRPr="003A1174">
        <w:rPr>
          <w:rStyle w:val="Textoennegrita"/>
          <w:rFonts w:ascii="Garamond" w:hAnsi="Garamond" w:cs="Arial"/>
          <w:b w:val="0"/>
          <w:sz w:val="24"/>
          <w:szCs w:val="24"/>
        </w:rPr>
        <w:t>do</w:t>
      </w:r>
      <w:r w:rsidR="00CA39B2" w:rsidRPr="003A1174">
        <w:rPr>
          <w:rStyle w:val="Textoennegrita"/>
          <w:rFonts w:ascii="Garamond" w:hAnsi="Garamond" w:cs="Arial"/>
          <w:b w:val="0"/>
          <w:sz w:val="24"/>
          <w:szCs w:val="24"/>
        </w:rPr>
        <w:t xml:space="preserve"> II </w:t>
      </w:r>
      <w:r w:rsidR="00462B11" w:rsidRPr="003A1174">
        <w:rPr>
          <w:rStyle w:val="Textoennegrita"/>
          <w:rFonts w:ascii="Garamond" w:hAnsi="Garamond" w:cs="Arial"/>
          <w:b w:val="0"/>
          <w:sz w:val="24"/>
          <w:szCs w:val="24"/>
        </w:rPr>
        <w:t>Plano</w:t>
      </w:r>
      <w:r w:rsidR="00CA39B2" w:rsidRPr="003A1174">
        <w:rPr>
          <w:rStyle w:val="Textoennegrita"/>
          <w:rFonts w:ascii="Garamond" w:hAnsi="Garamond" w:cs="Arial"/>
          <w:b w:val="0"/>
          <w:sz w:val="24"/>
          <w:szCs w:val="24"/>
        </w:rPr>
        <w:t xml:space="preserve"> Nacional de </w:t>
      </w:r>
      <w:r w:rsidR="001C2738" w:rsidRPr="003A1174">
        <w:rPr>
          <w:rStyle w:val="Textoennegrita"/>
          <w:rFonts w:ascii="Garamond" w:hAnsi="Garamond" w:cs="Arial"/>
          <w:b w:val="0"/>
          <w:sz w:val="24"/>
          <w:szCs w:val="24"/>
        </w:rPr>
        <w:t>Luta</w:t>
      </w:r>
      <w:r w:rsidR="00687287" w:rsidRPr="003A1174">
        <w:rPr>
          <w:rStyle w:val="Textoennegrita"/>
          <w:rFonts w:ascii="Garamond" w:hAnsi="Garamond" w:cs="Arial"/>
          <w:b w:val="0"/>
          <w:sz w:val="24"/>
          <w:szCs w:val="24"/>
        </w:rPr>
        <w:t xml:space="preserve"> contra </w:t>
      </w:r>
      <w:r w:rsidR="00CA39B2" w:rsidRPr="003A1174">
        <w:rPr>
          <w:rStyle w:val="Textoennegrita"/>
          <w:rFonts w:ascii="Garamond" w:hAnsi="Garamond" w:cs="Arial"/>
          <w:b w:val="0"/>
          <w:sz w:val="24"/>
          <w:szCs w:val="24"/>
        </w:rPr>
        <w:t xml:space="preserve">a </w:t>
      </w:r>
      <w:r w:rsidR="000350B1" w:rsidRPr="003A1174">
        <w:rPr>
          <w:rStyle w:val="Textoennegrita"/>
          <w:rFonts w:ascii="Garamond" w:hAnsi="Garamond" w:cs="Arial"/>
          <w:b w:val="0"/>
          <w:sz w:val="24"/>
          <w:szCs w:val="24"/>
        </w:rPr>
        <w:t>Violência</w:t>
      </w:r>
      <w:r w:rsidR="00CA39B2" w:rsidRPr="003A1174">
        <w:rPr>
          <w:rStyle w:val="Textoennegrita"/>
          <w:rFonts w:ascii="Garamond" w:hAnsi="Garamond" w:cs="Arial"/>
          <w:b w:val="0"/>
          <w:sz w:val="24"/>
          <w:szCs w:val="24"/>
        </w:rPr>
        <w:t xml:space="preserve"> Doméstica. </w:t>
      </w:r>
    </w:p>
    <w:p w:rsidR="00CA39B2" w:rsidRPr="003A1174" w:rsidRDefault="00687287" w:rsidP="008719D4">
      <w:pPr>
        <w:spacing w:before="240" w:line="240" w:lineRule="auto"/>
        <w:ind w:left="709"/>
        <w:jc w:val="both"/>
        <w:rPr>
          <w:rFonts w:ascii="Garamond" w:hAnsi="Garamond" w:cs="Arial"/>
          <w:sz w:val="24"/>
          <w:szCs w:val="24"/>
          <w:u w:val="single"/>
        </w:rPr>
      </w:pPr>
      <w:r w:rsidRPr="003A1174">
        <w:rPr>
          <w:rStyle w:val="Textoennegrita"/>
          <w:rFonts w:ascii="Garamond" w:hAnsi="Garamond" w:cs="Arial"/>
          <w:b w:val="0"/>
          <w:sz w:val="24"/>
          <w:szCs w:val="24"/>
        </w:rPr>
        <w:t xml:space="preserve">No </w:t>
      </w:r>
      <w:r w:rsidR="00561431">
        <w:rPr>
          <w:rStyle w:val="Textoennegrita"/>
          <w:rFonts w:ascii="Garamond" w:hAnsi="Garamond" w:cs="Arial"/>
          <w:b w:val="0"/>
          <w:sz w:val="24"/>
          <w:szCs w:val="24"/>
        </w:rPr>
        <w:t xml:space="preserve">âmbito </w:t>
      </w:r>
      <w:r w:rsidR="00CA39B2" w:rsidRPr="003A1174">
        <w:rPr>
          <w:rStyle w:val="Textoennegrita"/>
          <w:rFonts w:ascii="Garamond" w:hAnsi="Garamond" w:cs="Arial"/>
          <w:b w:val="0"/>
          <w:sz w:val="24"/>
          <w:szCs w:val="24"/>
        </w:rPr>
        <w:t xml:space="preserve">deste </w:t>
      </w:r>
      <w:r w:rsidR="00C30647" w:rsidRPr="003A1174">
        <w:rPr>
          <w:rStyle w:val="Textoennegrita"/>
          <w:rFonts w:ascii="Garamond" w:hAnsi="Garamond" w:cs="Arial"/>
          <w:b w:val="0"/>
          <w:sz w:val="24"/>
          <w:szCs w:val="24"/>
        </w:rPr>
        <w:t>projeto</w:t>
      </w:r>
      <w:r w:rsidR="00CA39B2" w:rsidRPr="003A1174">
        <w:rPr>
          <w:rStyle w:val="Textoennegrita"/>
          <w:rFonts w:ascii="Garamond" w:hAnsi="Garamond" w:cs="Arial"/>
          <w:b w:val="0"/>
          <w:sz w:val="24"/>
          <w:szCs w:val="24"/>
        </w:rPr>
        <w:t xml:space="preserve">, </w:t>
      </w:r>
      <w:r w:rsidRPr="003A1174">
        <w:rPr>
          <w:rStyle w:val="Textoennegrita"/>
          <w:rFonts w:ascii="Garamond" w:hAnsi="Garamond" w:cs="Arial"/>
          <w:b w:val="0"/>
          <w:sz w:val="24"/>
          <w:szCs w:val="24"/>
        </w:rPr>
        <w:t xml:space="preserve">o </w:t>
      </w:r>
      <w:r w:rsidR="00CA39B2" w:rsidRPr="003A1174">
        <w:rPr>
          <w:rStyle w:val="Textoennegrita"/>
          <w:rFonts w:ascii="Garamond" w:hAnsi="Garamond" w:cs="Arial"/>
          <w:b w:val="0"/>
          <w:sz w:val="24"/>
          <w:szCs w:val="24"/>
        </w:rPr>
        <w:t xml:space="preserve">Poder Judicial </w:t>
      </w:r>
      <w:r w:rsidRPr="003A1174">
        <w:rPr>
          <w:rStyle w:val="Textoennegrita"/>
          <w:rFonts w:ascii="Garamond" w:hAnsi="Garamond" w:cs="Arial"/>
          <w:b w:val="0"/>
          <w:sz w:val="24"/>
          <w:szCs w:val="24"/>
        </w:rPr>
        <w:t xml:space="preserve">assinou um Acordo de </w:t>
      </w:r>
      <w:r w:rsidRPr="003A1174">
        <w:rPr>
          <w:rFonts w:ascii="Garamond" w:hAnsi="Garamond" w:cs="Arial"/>
          <w:sz w:val="24"/>
          <w:szCs w:val="24"/>
        </w:rPr>
        <w:t>C</w:t>
      </w:r>
      <w:r w:rsidR="00C30647" w:rsidRPr="003A1174">
        <w:rPr>
          <w:rFonts w:ascii="Garamond" w:hAnsi="Garamond" w:cs="Arial"/>
          <w:sz w:val="24"/>
          <w:szCs w:val="24"/>
        </w:rPr>
        <w:t>ooperação</w:t>
      </w:r>
      <w:r w:rsidR="00CA39B2" w:rsidRPr="003A1174">
        <w:rPr>
          <w:rFonts w:ascii="Garamond" w:hAnsi="Garamond" w:cs="Arial"/>
          <w:sz w:val="24"/>
          <w:szCs w:val="24"/>
        </w:rPr>
        <w:t xml:space="preserve"> interinstitucional co</w:t>
      </w:r>
      <w:r w:rsidRPr="003A1174">
        <w:rPr>
          <w:rFonts w:ascii="Garamond" w:hAnsi="Garamond" w:cs="Arial"/>
          <w:sz w:val="24"/>
          <w:szCs w:val="24"/>
        </w:rPr>
        <w:t xml:space="preserve">m </w:t>
      </w:r>
      <w:r w:rsidR="003069B4">
        <w:rPr>
          <w:rFonts w:ascii="Garamond" w:hAnsi="Garamond" w:cs="Arial"/>
          <w:sz w:val="24"/>
          <w:szCs w:val="24"/>
        </w:rPr>
        <w:t>o Supremo Tribunal</w:t>
      </w:r>
      <w:r w:rsidR="00CA39B2" w:rsidRPr="003A1174">
        <w:rPr>
          <w:rFonts w:ascii="Garamond" w:hAnsi="Garamond" w:cs="Arial"/>
          <w:sz w:val="24"/>
          <w:szCs w:val="24"/>
        </w:rPr>
        <w:t xml:space="preserve"> de </w:t>
      </w:r>
      <w:r w:rsidR="00FC1F7F" w:rsidRPr="003A1174">
        <w:rPr>
          <w:rFonts w:ascii="Garamond" w:hAnsi="Garamond" w:cs="Arial"/>
          <w:sz w:val="24"/>
          <w:szCs w:val="24"/>
        </w:rPr>
        <w:t>Justiça</w:t>
      </w:r>
      <w:r w:rsidR="00CA39B2" w:rsidRPr="003A1174">
        <w:rPr>
          <w:rFonts w:ascii="Garamond" w:hAnsi="Garamond" w:cs="Arial"/>
          <w:sz w:val="24"/>
          <w:szCs w:val="24"/>
        </w:rPr>
        <w:t xml:space="preserve"> da </w:t>
      </w:r>
      <w:r w:rsidR="006E0719" w:rsidRPr="003A1174">
        <w:rPr>
          <w:rFonts w:ascii="Garamond" w:hAnsi="Garamond" w:cs="Arial"/>
          <w:sz w:val="24"/>
          <w:szCs w:val="24"/>
        </w:rPr>
        <w:t>Nação</w:t>
      </w:r>
      <w:r w:rsidR="00CA39B2" w:rsidRPr="003A1174">
        <w:rPr>
          <w:rFonts w:ascii="Garamond" w:hAnsi="Garamond" w:cs="Arial"/>
          <w:sz w:val="24"/>
          <w:szCs w:val="24"/>
        </w:rPr>
        <w:t xml:space="preserve"> Argentina</w:t>
      </w:r>
      <w:r w:rsidR="000D4DE8" w:rsidRPr="003A1174">
        <w:rPr>
          <w:rFonts w:ascii="Garamond" w:hAnsi="Garamond" w:cs="Arial"/>
          <w:sz w:val="24"/>
          <w:szCs w:val="24"/>
        </w:rPr>
        <w:t>,</w:t>
      </w:r>
      <w:r w:rsidR="00CA39B2" w:rsidRPr="003A1174">
        <w:rPr>
          <w:rFonts w:ascii="Garamond" w:hAnsi="Garamond" w:cs="Arial"/>
          <w:sz w:val="24"/>
          <w:szCs w:val="24"/>
        </w:rPr>
        <w:t xml:space="preserve"> para </w:t>
      </w:r>
      <w:r w:rsidR="00561431">
        <w:rPr>
          <w:rFonts w:ascii="Garamond" w:hAnsi="Garamond" w:cs="Arial"/>
          <w:sz w:val="24"/>
          <w:szCs w:val="24"/>
        </w:rPr>
        <w:t xml:space="preserve">formar </w:t>
      </w:r>
      <w:r w:rsidRPr="003A1174">
        <w:rPr>
          <w:rFonts w:ascii="Garamond" w:hAnsi="Garamond" w:cs="Arial"/>
          <w:sz w:val="24"/>
          <w:szCs w:val="24"/>
        </w:rPr>
        <w:t>operadores judiciais do Uruguai n</w:t>
      </w:r>
      <w:r w:rsidR="00561431">
        <w:rPr>
          <w:rFonts w:ascii="Garamond" w:hAnsi="Garamond" w:cs="Arial"/>
          <w:sz w:val="24"/>
          <w:szCs w:val="24"/>
        </w:rPr>
        <w:t>est</w:t>
      </w:r>
      <w:r w:rsidRPr="003A1174">
        <w:rPr>
          <w:rFonts w:ascii="Garamond" w:hAnsi="Garamond" w:cs="Arial"/>
          <w:sz w:val="24"/>
          <w:szCs w:val="24"/>
        </w:rPr>
        <w:t xml:space="preserve">a </w:t>
      </w:r>
      <w:r w:rsidR="00CA39B2" w:rsidRPr="003A1174">
        <w:rPr>
          <w:rFonts w:ascii="Garamond" w:hAnsi="Garamond" w:cs="Arial"/>
          <w:sz w:val="24"/>
          <w:szCs w:val="24"/>
        </w:rPr>
        <w:t>temática.</w:t>
      </w:r>
    </w:p>
    <w:p w:rsidR="00CA39B2" w:rsidRPr="003A1174" w:rsidRDefault="00687287" w:rsidP="008719D4">
      <w:pPr>
        <w:pStyle w:val="Prrafodelista"/>
        <w:numPr>
          <w:ilvl w:val="0"/>
          <w:numId w:val="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w:t>
      </w:r>
      <w:r w:rsidR="004C1496" w:rsidRPr="003A1174">
        <w:rPr>
          <w:rFonts w:ascii="Garamond" w:hAnsi="Garamond" w:cs="Arial"/>
          <w:color w:val="auto"/>
          <w:sz w:val="24"/>
          <w:szCs w:val="24"/>
          <w:lang w:val="pt-PT"/>
        </w:rPr>
        <w:t>Conselho</w:t>
      </w:r>
      <w:r w:rsidR="00CA39B2" w:rsidRPr="003A1174">
        <w:rPr>
          <w:rFonts w:ascii="Garamond" w:hAnsi="Garamond" w:cs="Arial"/>
          <w:color w:val="auto"/>
          <w:sz w:val="24"/>
          <w:szCs w:val="24"/>
          <w:lang w:val="pt-PT"/>
        </w:rPr>
        <w:t xml:space="preserve"> Nacional </w:t>
      </w:r>
      <w:r w:rsidR="00D75A07" w:rsidRPr="003A1174">
        <w:rPr>
          <w:rFonts w:ascii="Garamond" w:hAnsi="Garamond" w:cs="Arial"/>
          <w:color w:val="auto"/>
          <w:sz w:val="24"/>
          <w:szCs w:val="24"/>
          <w:lang w:val="pt-PT"/>
        </w:rPr>
        <w:t>Coordenado</w:t>
      </w:r>
      <w:r w:rsidR="00CA39B2" w:rsidRPr="003A1174">
        <w:rPr>
          <w:rFonts w:ascii="Garamond" w:hAnsi="Garamond" w:cs="Arial"/>
          <w:color w:val="auto"/>
          <w:sz w:val="24"/>
          <w:szCs w:val="24"/>
          <w:lang w:val="pt-PT"/>
        </w:rPr>
        <w:t xml:space="preserve">r de Políticas Públicas de </w:t>
      </w:r>
      <w:r w:rsidR="002C7510" w:rsidRPr="003A1174">
        <w:rPr>
          <w:rFonts w:ascii="Garamond" w:hAnsi="Garamond" w:cs="Arial"/>
          <w:color w:val="auto"/>
          <w:sz w:val="24"/>
          <w:szCs w:val="24"/>
          <w:lang w:val="pt-PT"/>
        </w:rPr>
        <w:t>Igualdade</w:t>
      </w:r>
      <w:r w:rsidR="00CA39B2" w:rsidRPr="003A1174">
        <w:rPr>
          <w:rFonts w:ascii="Garamond" w:hAnsi="Garamond" w:cs="Arial"/>
          <w:color w:val="auto"/>
          <w:sz w:val="24"/>
          <w:szCs w:val="24"/>
          <w:lang w:val="pt-PT"/>
        </w:rPr>
        <w:t xml:space="preserve"> de </w:t>
      </w:r>
      <w:r w:rsidR="000116D8" w:rsidRPr="003A1174">
        <w:rPr>
          <w:rFonts w:ascii="Garamond" w:hAnsi="Garamond" w:cs="Arial"/>
          <w:color w:val="auto"/>
          <w:sz w:val="24"/>
          <w:szCs w:val="24"/>
          <w:lang w:val="pt-PT"/>
        </w:rPr>
        <w:t>Género (</w:t>
      </w:r>
      <w:r w:rsidR="004C1496" w:rsidRPr="003A1174">
        <w:rPr>
          <w:rFonts w:ascii="Garamond" w:hAnsi="Garamond" w:cs="Arial"/>
          <w:color w:val="auto"/>
          <w:sz w:val="24"/>
          <w:szCs w:val="24"/>
          <w:lang w:val="pt-PT"/>
        </w:rPr>
        <w:t>Conselho</w:t>
      </w:r>
      <w:r w:rsidR="00CA39B2" w:rsidRPr="003A1174">
        <w:rPr>
          <w:rFonts w:ascii="Garamond" w:hAnsi="Garamond" w:cs="Arial"/>
          <w:color w:val="auto"/>
          <w:sz w:val="24"/>
          <w:szCs w:val="24"/>
          <w:lang w:val="pt-PT"/>
        </w:rPr>
        <w:t xml:space="preserve"> Nacional de Género).</w:t>
      </w:r>
    </w:p>
    <w:p w:rsidR="00CA39B2" w:rsidRPr="003A1174" w:rsidRDefault="00462B11" w:rsidP="00687287">
      <w:pPr>
        <w:pStyle w:val="Prrafodelista"/>
        <w:spacing w:before="240" w:line="240" w:lineRule="auto"/>
        <w:jc w:val="both"/>
        <w:rPr>
          <w:rFonts w:ascii="Garamond" w:eastAsia="Times New Roman" w:hAnsi="Garamond" w:cs="Arial"/>
          <w:color w:val="auto"/>
          <w:sz w:val="24"/>
          <w:szCs w:val="24"/>
          <w:lang w:val="pt-PT"/>
        </w:rPr>
      </w:pPr>
      <w:r w:rsidRPr="003A1174">
        <w:rPr>
          <w:rFonts w:ascii="Garamond" w:hAnsi="Garamond" w:cs="Arial"/>
          <w:color w:val="auto"/>
          <w:sz w:val="24"/>
          <w:szCs w:val="24"/>
          <w:lang w:val="pt-PT"/>
        </w:rPr>
        <w:t>Foi</w:t>
      </w:r>
      <w:r w:rsidR="00687287" w:rsidRPr="003A1174">
        <w:rPr>
          <w:rFonts w:ascii="Garamond" w:hAnsi="Garamond" w:cs="Arial"/>
          <w:color w:val="auto"/>
          <w:sz w:val="24"/>
          <w:szCs w:val="24"/>
          <w:lang w:val="pt-PT"/>
        </w:rPr>
        <w:t xml:space="preserve"> cri</w:t>
      </w:r>
      <w:r w:rsidR="00CA39B2" w:rsidRPr="003A1174">
        <w:rPr>
          <w:rFonts w:ascii="Garamond" w:hAnsi="Garamond" w:cs="Arial"/>
          <w:color w:val="auto"/>
          <w:sz w:val="24"/>
          <w:szCs w:val="24"/>
          <w:lang w:val="pt-PT"/>
        </w:rPr>
        <w:t xml:space="preserve">ado </w:t>
      </w:r>
      <w:r w:rsidR="00275092" w:rsidRPr="003A1174">
        <w:rPr>
          <w:rFonts w:ascii="Garamond" w:hAnsi="Garamond" w:cs="Arial"/>
          <w:color w:val="auto"/>
          <w:sz w:val="24"/>
          <w:szCs w:val="24"/>
          <w:lang w:val="pt-PT"/>
        </w:rPr>
        <w:t>pela</w:t>
      </w:r>
      <w:r w:rsidR="00CA39B2"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Lei</w:t>
      </w:r>
      <w:r w:rsidR="00CA39B2"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Igualdade</w:t>
      </w:r>
      <w:r w:rsidR="00CA39B2" w:rsidRPr="003A1174">
        <w:rPr>
          <w:rFonts w:ascii="Garamond" w:hAnsi="Garamond" w:cs="Arial"/>
          <w:color w:val="auto"/>
          <w:sz w:val="24"/>
          <w:szCs w:val="24"/>
          <w:lang w:val="pt-PT"/>
        </w:rPr>
        <w:t xml:space="preserve"> de Oportunidades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CA39B2" w:rsidRPr="003A1174">
        <w:rPr>
          <w:rFonts w:ascii="Garamond" w:hAnsi="Garamond" w:cs="Arial"/>
          <w:color w:val="auto"/>
          <w:sz w:val="24"/>
          <w:szCs w:val="24"/>
          <w:lang w:val="pt-PT"/>
        </w:rPr>
        <w:t xml:space="preserve">s entre </w:t>
      </w:r>
      <w:r w:rsidR="00524936" w:rsidRPr="003A1174">
        <w:rPr>
          <w:rFonts w:ascii="Garamond" w:hAnsi="Garamond" w:cs="Arial"/>
          <w:color w:val="auto"/>
          <w:sz w:val="24"/>
          <w:szCs w:val="24"/>
          <w:lang w:val="pt-PT"/>
        </w:rPr>
        <w:t>homens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como instrumento complementar</w:t>
      </w:r>
      <w:r w:rsidR="00687287"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276DCA" w:rsidRPr="003A1174">
        <w:rPr>
          <w:rFonts w:ascii="Garamond" w:hAnsi="Garamond" w:cs="Arial"/>
          <w:color w:val="auto"/>
          <w:sz w:val="24"/>
          <w:szCs w:val="24"/>
          <w:lang w:val="pt-PT"/>
        </w:rPr>
        <w:t>Primeiro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Plano</w:t>
      </w:r>
      <w:r w:rsidR="00CA39B2" w:rsidRPr="003A1174">
        <w:rPr>
          <w:rFonts w:ascii="Garamond" w:hAnsi="Garamond" w:cs="Arial"/>
          <w:color w:val="auto"/>
          <w:sz w:val="24"/>
          <w:szCs w:val="24"/>
          <w:lang w:val="pt-PT"/>
        </w:rPr>
        <w:t xml:space="preserve"> Nacional de </w:t>
      </w:r>
      <w:r w:rsidR="002C7510" w:rsidRPr="003A1174">
        <w:rPr>
          <w:rFonts w:ascii="Garamond" w:hAnsi="Garamond" w:cs="Arial"/>
          <w:color w:val="auto"/>
          <w:sz w:val="24"/>
          <w:szCs w:val="24"/>
          <w:lang w:val="pt-PT"/>
        </w:rPr>
        <w:t>Igualdade</w:t>
      </w:r>
      <w:r w:rsidR="00CA39B2" w:rsidRPr="003A1174">
        <w:rPr>
          <w:rFonts w:ascii="Garamond" w:hAnsi="Garamond" w:cs="Arial"/>
          <w:color w:val="auto"/>
          <w:sz w:val="24"/>
          <w:szCs w:val="24"/>
          <w:lang w:val="pt-PT"/>
        </w:rPr>
        <w:t xml:space="preserve"> de Oportunidades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687287" w:rsidRPr="003A1174">
        <w:rPr>
          <w:rFonts w:ascii="Garamond" w:hAnsi="Garamond" w:cs="Arial"/>
          <w:color w:val="auto"/>
          <w:sz w:val="24"/>
          <w:szCs w:val="24"/>
          <w:lang w:val="pt-PT"/>
        </w:rPr>
        <w:t>Direitos, para</w:t>
      </w:r>
      <w:r w:rsidR="00CA39B2" w:rsidRPr="003A1174">
        <w:rPr>
          <w:rFonts w:ascii="Garamond" w:hAnsi="Garamond" w:cs="Arial"/>
          <w:color w:val="auto"/>
          <w:sz w:val="24"/>
          <w:szCs w:val="24"/>
          <w:lang w:val="pt-PT"/>
        </w:rPr>
        <w:t xml:space="preserve"> que </w:t>
      </w:r>
      <w:r w:rsidR="00687287" w:rsidRPr="003A1174">
        <w:rPr>
          <w:rFonts w:ascii="Garamond" w:hAnsi="Garamond" w:cs="Arial"/>
          <w:color w:val="auto"/>
          <w:sz w:val="24"/>
          <w:szCs w:val="24"/>
          <w:lang w:val="pt-PT"/>
        </w:rPr>
        <w:t>o</w:t>
      </w:r>
      <w:r w:rsidR="00CA39B2" w:rsidRPr="003A1174">
        <w:rPr>
          <w:rFonts w:ascii="Garamond" w:hAnsi="Garamond" w:cs="Arial"/>
          <w:color w:val="auto"/>
          <w:sz w:val="24"/>
          <w:szCs w:val="24"/>
          <w:lang w:val="pt-PT"/>
        </w:rPr>
        <w:t xml:space="preserve"> Estado </w:t>
      </w:r>
      <w:r w:rsidR="00687287" w:rsidRPr="003A1174">
        <w:rPr>
          <w:rFonts w:ascii="Garamond" w:hAnsi="Garamond" w:cs="Arial"/>
          <w:color w:val="auto"/>
          <w:sz w:val="24"/>
          <w:szCs w:val="24"/>
          <w:lang w:val="pt-PT"/>
        </w:rPr>
        <w:t xml:space="preserve">considere o </w:t>
      </w:r>
      <w:r w:rsidR="00CA39B2" w:rsidRPr="003A1174">
        <w:rPr>
          <w:rFonts w:ascii="Garamond" w:hAnsi="Garamond" w:cs="Arial"/>
          <w:color w:val="auto"/>
          <w:sz w:val="24"/>
          <w:szCs w:val="24"/>
          <w:lang w:val="pt-PT"/>
        </w:rPr>
        <w:t>enfoque de género</w:t>
      </w:r>
      <w:r w:rsidR="00687287" w:rsidRPr="003A1174">
        <w:rPr>
          <w:rFonts w:ascii="Garamond" w:hAnsi="Garamond" w:cs="Arial"/>
          <w:color w:val="auto"/>
          <w:sz w:val="24"/>
          <w:szCs w:val="24"/>
          <w:lang w:val="pt-PT"/>
        </w:rPr>
        <w:t xml:space="preserve"> nas suas ações</w:t>
      </w:r>
      <w:r w:rsidR="00CA39B2" w:rsidRPr="003A1174">
        <w:rPr>
          <w:rFonts w:ascii="Garamond" w:hAnsi="Garamond" w:cs="Arial"/>
          <w:color w:val="auto"/>
          <w:sz w:val="24"/>
          <w:szCs w:val="24"/>
          <w:lang w:val="pt-PT"/>
        </w:rPr>
        <w:t>.</w:t>
      </w:r>
      <w:r w:rsidR="000D4DE8" w:rsidRPr="003A1174">
        <w:rPr>
          <w:rFonts w:ascii="Garamond" w:hAnsi="Garamond" w:cs="Arial"/>
          <w:color w:val="auto"/>
          <w:sz w:val="24"/>
          <w:szCs w:val="24"/>
          <w:lang w:val="pt-PT"/>
        </w:rPr>
        <w:t xml:space="preserve"> </w:t>
      </w:r>
      <w:r w:rsidR="00687287" w:rsidRPr="003A1174">
        <w:rPr>
          <w:rFonts w:ascii="Garamond" w:hAnsi="Garamond" w:cs="Arial"/>
          <w:color w:val="auto"/>
          <w:sz w:val="24"/>
          <w:szCs w:val="24"/>
          <w:lang w:val="pt-PT"/>
        </w:rPr>
        <w:t xml:space="preserve">É o </w:t>
      </w:r>
      <w:r w:rsidR="006F7276" w:rsidRPr="003A1174">
        <w:rPr>
          <w:rFonts w:ascii="Garamond" w:hAnsi="Garamond" w:cs="Arial"/>
          <w:color w:val="auto"/>
          <w:sz w:val="24"/>
          <w:szCs w:val="24"/>
          <w:lang w:val="pt-PT"/>
        </w:rPr>
        <w:t>espaço</w:t>
      </w:r>
      <w:r w:rsidR="00CA39B2" w:rsidRPr="003A1174">
        <w:rPr>
          <w:rFonts w:ascii="Garamond" w:hAnsi="Garamond" w:cs="Arial"/>
          <w:color w:val="auto"/>
          <w:sz w:val="24"/>
          <w:szCs w:val="24"/>
          <w:lang w:val="pt-PT"/>
        </w:rPr>
        <w:t xml:space="preserve"> e</w:t>
      </w:r>
      <w:r w:rsidR="00687287" w:rsidRPr="003A1174">
        <w:rPr>
          <w:rFonts w:ascii="Garamond" w:hAnsi="Garamond" w:cs="Arial"/>
          <w:color w:val="auto"/>
          <w:sz w:val="24"/>
          <w:szCs w:val="24"/>
          <w:lang w:val="pt-PT"/>
        </w:rPr>
        <w:t xml:space="preserve">m que </w:t>
      </w:r>
      <w:r w:rsidR="00CA39B2" w:rsidRPr="003A1174">
        <w:rPr>
          <w:rFonts w:ascii="Garamond" w:hAnsi="Garamond" w:cs="Arial"/>
          <w:color w:val="auto"/>
          <w:sz w:val="24"/>
          <w:szCs w:val="24"/>
          <w:lang w:val="pt-PT"/>
        </w:rPr>
        <w:t xml:space="preserve">as </w:t>
      </w:r>
      <w:r w:rsidR="002C7510" w:rsidRPr="003A1174">
        <w:rPr>
          <w:rFonts w:ascii="Garamond" w:hAnsi="Garamond" w:cs="Arial"/>
          <w:color w:val="auto"/>
          <w:sz w:val="24"/>
          <w:szCs w:val="24"/>
          <w:lang w:val="pt-PT"/>
        </w:rPr>
        <w:t>instituições</w:t>
      </w:r>
      <w:r w:rsidR="00CA39B2" w:rsidRPr="003A1174">
        <w:rPr>
          <w:rFonts w:ascii="Garamond" w:hAnsi="Garamond" w:cs="Arial"/>
          <w:color w:val="auto"/>
          <w:sz w:val="24"/>
          <w:szCs w:val="24"/>
          <w:lang w:val="pt-PT"/>
        </w:rPr>
        <w:t xml:space="preserve"> públicas </w:t>
      </w:r>
      <w:r w:rsidR="000672E8" w:rsidRPr="003A1174">
        <w:rPr>
          <w:rFonts w:ascii="Garamond" w:hAnsi="Garamond" w:cs="Arial"/>
          <w:color w:val="auto"/>
          <w:sz w:val="24"/>
          <w:szCs w:val="24"/>
          <w:lang w:val="pt-PT"/>
        </w:rPr>
        <w:t>e</w:t>
      </w:r>
      <w:r w:rsidR="00687287"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sociedade</w:t>
      </w:r>
      <w:r w:rsidR="00CA39B2" w:rsidRPr="003A1174">
        <w:rPr>
          <w:rFonts w:ascii="Garamond" w:hAnsi="Garamond" w:cs="Arial"/>
          <w:color w:val="auto"/>
          <w:sz w:val="24"/>
          <w:szCs w:val="24"/>
          <w:lang w:val="pt-PT"/>
        </w:rPr>
        <w:t xml:space="preserve"> civil anali</w:t>
      </w:r>
      <w:r w:rsidR="00687287" w:rsidRPr="003A1174">
        <w:rPr>
          <w:rFonts w:ascii="Garamond" w:hAnsi="Garamond" w:cs="Arial"/>
          <w:color w:val="auto"/>
          <w:sz w:val="24"/>
          <w:szCs w:val="24"/>
          <w:lang w:val="pt-PT"/>
        </w:rPr>
        <w:t xml:space="preserve">sam </w:t>
      </w:r>
      <w:r w:rsidR="00CA39B2" w:rsidRPr="003A1174">
        <w:rPr>
          <w:rFonts w:ascii="Garamond" w:hAnsi="Garamond" w:cs="Arial"/>
          <w:color w:val="auto"/>
          <w:sz w:val="24"/>
          <w:szCs w:val="24"/>
          <w:lang w:val="pt-PT"/>
        </w:rPr>
        <w:t xml:space="preserve">as </w:t>
      </w:r>
      <w:r w:rsidR="007342D9" w:rsidRPr="003A1174">
        <w:rPr>
          <w:rFonts w:ascii="Garamond" w:hAnsi="Garamond" w:cs="Arial"/>
          <w:color w:val="auto"/>
          <w:sz w:val="24"/>
          <w:szCs w:val="24"/>
          <w:lang w:val="pt-PT"/>
        </w:rPr>
        <w:t>situações</w:t>
      </w:r>
      <w:r w:rsidR="00CA39B2" w:rsidRPr="003A1174">
        <w:rPr>
          <w:rFonts w:ascii="Garamond" w:hAnsi="Garamond" w:cs="Arial"/>
          <w:color w:val="auto"/>
          <w:sz w:val="24"/>
          <w:szCs w:val="24"/>
          <w:lang w:val="pt-PT"/>
        </w:rPr>
        <w:t xml:space="preserve"> que limita</w:t>
      </w:r>
      <w:r w:rsidR="00687287" w:rsidRPr="003A1174">
        <w:rPr>
          <w:rFonts w:ascii="Garamond" w:hAnsi="Garamond" w:cs="Arial"/>
          <w:color w:val="auto"/>
          <w:sz w:val="24"/>
          <w:szCs w:val="24"/>
          <w:lang w:val="pt-PT"/>
        </w:rPr>
        <w:t xml:space="preserve">m </w:t>
      </w:r>
      <w:r w:rsidR="00CA39B2"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igualdade</w:t>
      </w:r>
      <w:r w:rsidR="00CA39B2" w:rsidRPr="003A1174">
        <w:rPr>
          <w:rFonts w:ascii="Garamond" w:hAnsi="Garamond" w:cs="Arial"/>
          <w:color w:val="auto"/>
          <w:sz w:val="24"/>
          <w:szCs w:val="24"/>
          <w:lang w:val="pt-PT"/>
        </w:rPr>
        <w:t xml:space="preserve"> de oportunidades, trat</w:t>
      </w:r>
      <w:r w:rsidR="00687287" w:rsidRPr="003A1174">
        <w:rPr>
          <w:rFonts w:ascii="Garamond" w:hAnsi="Garamond" w:cs="Arial"/>
          <w:color w:val="auto"/>
          <w:sz w:val="24"/>
          <w:szCs w:val="24"/>
          <w:lang w:val="pt-PT"/>
        </w:rPr>
        <w:t>ament</w:t>
      </w:r>
      <w:r w:rsidR="00CA39B2" w:rsidRPr="003A1174">
        <w:rPr>
          <w:rFonts w:ascii="Garamond" w:hAnsi="Garamond" w:cs="Arial"/>
          <w:color w:val="auto"/>
          <w:sz w:val="24"/>
          <w:szCs w:val="24"/>
          <w:lang w:val="pt-PT"/>
        </w:rPr>
        <w:t xml:space="preserve">o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CA39B2" w:rsidRPr="003A1174">
        <w:rPr>
          <w:rFonts w:ascii="Garamond" w:hAnsi="Garamond" w:cs="Arial"/>
          <w:color w:val="auto"/>
          <w:sz w:val="24"/>
          <w:szCs w:val="24"/>
          <w:lang w:val="pt-PT"/>
        </w:rPr>
        <w:t xml:space="preserve">s entre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687287" w:rsidRPr="003A1174">
        <w:rPr>
          <w:rFonts w:ascii="Garamond" w:hAnsi="Garamond" w:cs="Arial"/>
          <w:color w:val="auto"/>
          <w:sz w:val="24"/>
          <w:szCs w:val="24"/>
          <w:lang w:val="pt-PT"/>
        </w:rPr>
        <w:t xml:space="preserve">homens,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AC63DF" w:rsidRPr="003A1174">
        <w:rPr>
          <w:rFonts w:ascii="Garamond" w:hAnsi="Garamond" w:cs="Arial"/>
          <w:color w:val="auto"/>
          <w:sz w:val="24"/>
          <w:szCs w:val="24"/>
          <w:lang w:val="pt-PT"/>
        </w:rPr>
        <w:t>propõe</w:t>
      </w:r>
      <w:r w:rsidR="00687287"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D572A9" w:rsidRPr="003A1174">
        <w:rPr>
          <w:rFonts w:ascii="Garamond" w:hAnsi="Garamond" w:cs="Arial"/>
          <w:color w:val="auto"/>
          <w:sz w:val="24"/>
          <w:szCs w:val="24"/>
          <w:lang w:val="pt-PT"/>
        </w:rPr>
        <w:t>ferramenta</w:t>
      </w:r>
      <w:r w:rsidR="00CA39B2" w:rsidRPr="003A1174">
        <w:rPr>
          <w:rFonts w:ascii="Garamond" w:hAnsi="Garamond" w:cs="Arial"/>
          <w:color w:val="auto"/>
          <w:sz w:val="24"/>
          <w:szCs w:val="24"/>
          <w:lang w:val="pt-PT"/>
        </w:rPr>
        <w:t xml:space="preserve">s </w:t>
      </w:r>
      <w:r w:rsidR="00973DDE" w:rsidRPr="003A1174">
        <w:rPr>
          <w:rFonts w:ascii="Garamond" w:hAnsi="Garamond" w:cs="Arial"/>
          <w:color w:val="auto"/>
          <w:sz w:val="24"/>
          <w:szCs w:val="24"/>
          <w:lang w:val="pt-PT"/>
        </w:rPr>
        <w:t>conceptuais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661ADB" w:rsidRPr="003A1174">
        <w:rPr>
          <w:rFonts w:ascii="Garamond" w:hAnsi="Garamond" w:cs="Arial"/>
          <w:color w:val="auto"/>
          <w:sz w:val="24"/>
          <w:szCs w:val="24"/>
          <w:lang w:val="pt-PT"/>
        </w:rPr>
        <w:t>prática</w:t>
      </w:r>
      <w:r w:rsidR="00CA39B2" w:rsidRPr="003A1174">
        <w:rPr>
          <w:rFonts w:ascii="Garamond" w:hAnsi="Garamond" w:cs="Arial"/>
          <w:color w:val="auto"/>
          <w:sz w:val="24"/>
          <w:szCs w:val="24"/>
          <w:lang w:val="pt-PT"/>
        </w:rPr>
        <w:t xml:space="preserve">s para </w:t>
      </w:r>
      <w:r w:rsidR="00AF6765" w:rsidRPr="003A1174">
        <w:rPr>
          <w:rFonts w:ascii="Garamond" w:hAnsi="Garamond" w:cs="Arial"/>
          <w:color w:val="auto"/>
          <w:sz w:val="24"/>
          <w:szCs w:val="24"/>
          <w:lang w:val="pt-PT"/>
        </w:rPr>
        <w:t>as reverter</w:t>
      </w:r>
      <w:r w:rsidR="00CA39B2" w:rsidRPr="003A1174">
        <w:rPr>
          <w:rFonts w:ascii="Garamond" w:hAnsi="Garamond" w:cs="Arial"/>
          <w:color w:val="auto"/>
          <w:sz w:val="24"/>
          <w:szCs w:val="24"/>
          <w:lang w:val="pt-PT"/>
        </w:rPr>
        <w:t>.</w:t>
      </w:r>
    </w:p>
    <w:p w:rsidR="00CA39B2" w:rsidRPr="003A1174" w:rsidRDefault="00AF6765" w:rsidP="008719D4">
      <w:pPr>
        <w:shd w:val="clear" w:color="auto" w:fill="FFFFFF"/>
        <w:spacing w:before="240" w:after="0" w:line="240" w:lineRule="auto"/>
        <w:ind w:left="709"/>
        <w:jc w:val="both"/>
        <w:rPr>
          <w:rFonts w:ascii="Garamond" w:hAnsi="Garamond" w:cs="Arial"/>
          <w:sz w:val="24"/>
          <w:szCs w:val="24"/>
        </w:rPr>
      </w:pPr>
      <w:r w:rsidRPr="003A1174">
        <w:rPr>
          <w:rFonts w:ascii="Garamond" w:eastAsia="Times New Roman" w:hAnsi="Garamond" w:cs="Arial"/>
          <w:sz w:val="24"/>
          <w:szCs w:val="24"/>
        </w:rPr>
        <w:t xml:space="preserve">As suas </w:t>
      </w:r>
      <w:r w:rsidR="002F5CD1" w:rsidRPr="003A1174">
        <w:rPr>
          <w:rFonts w:ascii="Garamond" w:eastAsia="Times New Roman" w:hAnsi="Garamond" w:cs="Arial"/>
          <w:sz w:val="24"/>
          <w:szCs w:val="24"/>
        </w:rPr>
        <w:t>principais</w:t>
      </w:r>
      <w:r w:rsidR="000D4DE8" w:rsidRPr="003A1174">
        <w:rPr>
          <w:rFonts w:ascii="Garamond" w:eastAsia="Times New Roman" w:hAnsi="Garamond" w:cs="Arial"/>
          <w:sz w:val="24"/>
          <w:szCs w:val="24"/>
        </w:rPr>
        <w:t xml:space="preserve"> finalidades </w:t>
      </w:r>
      <w:r w:rsidR="00D75A07" w:rsidRPr="003A1174">
        <w:rPr>
          <w:rFonts w:ascii="Garamond" w:eastAsia="Times New Roman" w:hAnsi="Garamond" w:cs="Arial"/>
          <w:sz w:val="24"/>
          <w:szCs w:val="24"/>
        </w:rPr>
        <w:t>são</w:t>
      </w:r>
      <w:r w:rsidR="00CA39B2" w:rsidRPr="003A1174">
        <w:rPr>
          <w:rFonts w:ascii="Garamond" w:eastAsia="Times New Roman" w:hAnsi="Garamond" w:cs="Arial"/>
          <w:sz w:val="24"/>
          <w:szCs w:val="24"/>
        </w:rPr>
        <w:t xml:space="preserve">: </w:t>
      </w:r>
      <w:r w:rsidR="00FC1F7F" w:rsidRPr="003A1174">
        <w:rPr>
          <w:rFonts w:ascii="Garamond" w:eastAsia="Times New Roman" w:hAnsi="Garamond" w:cs="Arial"/>
          <w:sz w:val="24"/>
          <w:szCs w:val="24"/>
        </w:rPr>
        <w:t>assessora</w:t>
      </w:r>
      <w:r w:rsidR="00CA39B2" w:rsidRPr="003A1174">
        <w:rPr>
          <w:rFonts w:ascii="Garamond" w:eastAsia="Times New Roman" w:hAnsi="Garamond" w:cs="Arial"/>
          <w:sz w:val="24"/>
          <w:szCs w:val="24"/>
        </w:rPr>
        <w:t xml:space="preserve">r </w:t>
      </w:r>
      <w:r w:rsidRPr="003A1174">
        <w:rPr>
          <w:rFonts w:ascii="Garamond" w:eastAsia="Times New Roman" w:hAnsi="Garamond" w:cs="Arial"/>
          <w:sz w:val="24"/>
          <w:szCs w:val="24"/>
        </w:rPr>
        <w:t xml:space="preserve">o </w:t>
      </w:r>
      <w:r w:rsidR="00CA39B2" w:rsidRPr="003A1174">
        <w:rPr>
          <w:rFonts w:ascii="Garamond" w:eastAsia="Times New Roman" w:hAnsi="Garamond" w:cs="Arial"/>
          <w:sz w:val="24"/>
          <w:szCs w:val="24"/>
        </w:rPr>
        <w:t xml:space="preserve">Poder </w:t>
      </w:r>
      <w:r w:rsidR="00F83BA2" w:rsidRPr="003A1174">
        <w:rPr>
          <w:rFonts w:ascii="Garamond" w:eastAsia="Times New Roman" w:hAnsi="Garamond" w:cs="Arial"/>
          <w:sz w:val="24"/>
          <w:szCs w:val="24"/>
        </w:rPr>
        <w:t>Executivo</w:t>
      </w:r>
      <w:r w:rsidR="00CA39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CA39B2" w:rsidRPr="003A1174">
        <w:rPr>
          <w:rFonts w:ascii="Garamond" w:eastAsia="Times New Roman" w:hAnsi="Garamond" w:cs="Arial"/>
          <w:sz w:val="24"/>
          <w:szCs w:val="24"/>
        </w:rPr>
        <w:t xml:space="preserve"> promover </w:t>
      </w:r>
      <w:r w:rsidR="00CD707D" w:rsidRPr="003A1174">
        <w:rPr>
          <w:rFonts w:ascii="Garamond" w:eastAsia="Times New Roman" w:hAnsi="Garamond" w:cs="Arial"/>
          <w:sz w:val="24"/>
          <w:szCs w:val="24"/>
        </w:rPr>
        <w:t>plano</w:t>
      </w:r>
      <w:r w:rsidR="00CA39B2" w:rsidRPr="003A1174">
        <w:rPr>
          <w:rFonts w:ascii="Garamond" w:eastAsia="Times New Roman" w:hAnsi="Garamond" w:cs="Arial"/>
          <w:sz w:val="24"/>
          <w:szCs w:val="24"/>
        </w:rPr>
        <w:t>s departamen</w:t>
      </w:r>
      <w:r w:rsidR="00A41573" w:rsidRPr="003A1174">
        <w:rPr>
          <w:rFonts w:ascii="Garamond" w:eastAsia="Times New Roman" w:hAnsi="Garamond" w:cs="Arial"/>
          <w:sz w:val="24"/>
          <w:szCs w:val="24"/>
        </w:rPr>
        <w:t>tais</w:t>
      </w:r>
      <w:r w:rsidR="00CA39B2" w:rsidRPr="003A1174">
        <w:rPr>
          <w:rFonts w:ascii="Garamond" w:eastAsia="Times New Roman" w:hAnsi="Garamond" w:cs="Arial"/>
          <w:sz w:val="24"/>
          <w:szCs w:val="24"/>
        </w:rPr>
        <w:t xml:space="preserve"> de </w:t>
      </w:r>
      <w:r w:rsidR="002C7510" w:rsidRPr="003A1174">
        <w:rPr>
          <w:rFonts w:ascii="Garamond" w:eastAsia="Times New Roman" w:hAnsi="Garamond" w:cs="Arial"/>
          <w:sz w:val="24"/>
          <w:szCs w:val="24"/>
        </w:rPr>
        <w:t>igualdade</w:t>
      </w:r>
      <w:r w:rsidR="00B725A7" w:rsidRPr="003A1174">
        <w:rPr>
          <w:rFonts w:ascii="Garamond" w:eastAsia="Times New Roman" w:hAnsi="Garamond" w:cs="Arial"/>
          <w:sz w:val="24"/>
          <w:szCs w:val="24"/>
        </w:rPr>
        <w:t xml:space="preserve"> de género</w:t>
      </w:r>
      <w:r w:rsidR="00CA39B2"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É </w:t>
      </w:r>
      <w:r w:rsidR="00CA39B2" w:rsidRPr="003A1174">
        <w:rPr>
          <w:rFonts w:ascii="Garamond" w:eastAsia="Times New Roman" w:hAnsi="Garamond" w:cs="Arial"/>
          <w:sz w:val="24"/>
          <w:szCs w:val="24"/>
        </w:rPr>
        <w:t xml:space="preserve">presidido </w:t>
      </w:r>
      <w:r w:rsidR="005C2020" w:rsidRPr="003A1174">
        <w:rPr>
          <w:rFonts w:ascii="Garamond" w:eastAsia="Times New Roman" w:hAnsi="Garamond" w:cs="Arial"/>
          <w:sz w:val="24"/>
          <w:szCs w:val="24"/>
        </w:rPr>
        <w:t>pelo</w:t>
      </w:r>
      <w:r w:rsidR="00CA39B2" w:rsidRPr="003A1174">
        <w:rPr>
          <w:rFonts w:ascii="Garamond" w:eastAsia="Times New Roman" w:hAnsi="Garamond" w:cs="Arial"/>
          <w:sz w:val="24"/>
          <w:szCs w:val="24"/>
        </w:rPr>
        <w:t xml:space="preserve"> Instituto Nacional </w:t>
      </w:r>
      <w:r w:rsidR="00497503" w:rsidRPr="003A1174">
        <w:rPr>
          <w:rFonts w:ascii="Garamond" w:eastAsia="Times New Roman" w:hAnsi="Garamond" w:cs="Arial"/>
          <w:sz w:val="24"/>
          <w:szCs w:val="24"/>
        </w:rPr>
        <w:t>das</w:t>
      </w:r>
      <w:r w:rsidR="00CA39B2" w:rsidRPr="003A1174">
        <w:rPr>
          <w:rFonts w:ascii="Garamond" w:eastAsia="Times New Roman" w:hAnsi="Garamond" w:cs="Arial"/>
          <w:sz w:val="24"/>
          <w:szCs w:val="24"/>
        </w:rPr>
        <w:t xml:space="preserve"> </w:t>
      </w:r>
      <w:r w:rsidR="00054EE0" w:rsidRPr="003A1174">
        <w:rPr>
          <w:rFonts w:ascii="Garamond" w:eastAsia="Times New Roman" w:hAnsi="Garamond" w:cs="Arial"/>
          <w:sz w:val="24"/>
          <w:szCs w:val="24"/>
        </w:rPr>
        <w:t>Mulheres</w:t>
      </w:r>
      <w:r w:rsidR="00CA39B2" w:rsidRPr="003A1174">
        <w:rPr>
          <w:rFonts w:ascii="Garamond" w:eastAsia="Times New Roman" w:hAnsi="Garamond" w:cs="Arial"/>
          <w:sz w:val="24"/>
          <w:szCs w:val="24"/>
        </w:rPr>
        <w:t xml:space="preserve"> e integrado </w:t>
      </w:r>
      <w:r w:rsidR="00CA39B2" w:rsidRPr="003A1174">
        <w:rPr>
          <w:rFonts w:ascii="Garamond" w:hAnsi="Garamond" w:cs="Arial"/>
          <w:sz w:val="24"/>
          <w:szCs w:val="24"/>
          <w:shd w:val="clear" w:color="auto" w:fill="FFFFFF"/>
        </w:rPr>
        <w:t xml:space="preserve">por </w:t>
      </w:r>
      <w:r w:rsidR="00D77C19" w:rsidRPr="003A1174">
        <w:rPr>
          <w:rFonts w:ascii="Garamond" w:hAnsi="Garamond" w:cs="Arial"/>
          <w:sz w:val="24"/>
          <w:szCs w:val="24"/>
          <w:shd w:val="clear" w:color="auto" w:fill="FFFFFF"/>
        </w:rPr>
        <w:t>Ministério</w:t>
      </w:r>
      <w:r w:rsidR="00CA39B2" w:rsidRPr="003A1174">
        <w:rPr>
          <w:rFonts w:ascii="Garamond" w:hAnsi="Garamond" w:cs="Arial"/>
          <w:sz w:val="24"/>
          <w:szCs w:val="24"/>
          <w:shd w:val="clear" w:color="auto" w:fill="FFFFFF"/>
        </w:rPr>
        <w:t xml:space="preserve">s, </w:t>
      </w:r>
      <w:r w:rsidR="003F012B" w:rsidRPr="003A1174">
        <w:rPr>
          <w:rFonts w:ascii="Garamond" w:hAnsi="Garamond" w:cs="Arial"/>
          <w:sz w:val="24"/>
          <w:szCs w:val="24"/>
          <w:shd w:val="clear" w:color="auto" w:fill="FFFFFF"/>
        </w:rPr>
        <w:t>Congresso</w:t>
      </w:r>
      <w:r w:rsidR="00CA39B2" w:rsidRPr="003A1174">
        <w:rPr>
          <w:rFonts w:ascii="Garamond" w:hAnsi="Garamond" w:cs="Arial"/>
          <w:sz w:val="24"/>
          <w:szCs w:val="24"/>
          <w:shd w:val="clear" w:color="auto" w:fill="FFFFFF"/>
        </w:rPr>
        <w:t xml:space="preserve"> de</w:t>
      </w:r>
      <w:r w:rsidR="0010482B">
        <w:rPr>
          <w:rFonts w:ascii="Garamond" w:hAnsi="Garamond" w:cs="Arial"/>
          <w:sz w:val="24"/>
          <w:szCs w:val="24"/>
          <w:shd w:val="clear" w:color="auto" w:fill="FFFFFF"/>
        </w:rPr>
        <w:t xml:space="preserve"> Prefeitos</w:t>
      </w:r>
      <w:r w:rsidR="00CA39B2" w:rsidRPr="003A1174">
        <w:rPr>
          <w:rFonts w:ascii="Garamond" w:hAnsi="Garamond" w:cs="Arial"/>
          <w:sz w:val="24"/>
          <w:szCs w:val="24"/>
          <w:shd w:val="clear" w:color="auto" w:fill="FFFFFF"/>
        </w:rPr>
        <w:t>, Poder Judicial, Universidad</w:t>
      </w:r>
      <w:r w:rsidRPr="003A1174">
        <w:rPr>
          <w:rFonts w:ascii="Garamond" w:hAnsi="Garamond" w:cs="Arial"/>
          <w:sz w:val="24"/>
          <w:szCs w:val="24"/>
          <w:shd w:val="clear" w:color="auto" w:fill="FFFFFF"/>
        </w:rPr>
        <w:t>e</w:t>
      </w:r>
      <w:r w:rsidR="00CA39B2" w:rsidRPr="003A1174">
        <w:rPr>
          <w:rFonts w:ascii="Garamond" w:hAnsi="Garamond" w:cs="Arial"/>
          <w:sz w:val="24"/>
          <w:szCs w:val="24"/>
          <w:shd w:val="clear" w:color="auto" w:fill="FFFFFF"/>
        </w:rPr>
        <w:t xml:space="preserve"> da República, </w:t>
      </w:r>
      <w:r w:rsidR="002470B1" w:rsidRPr="003A1174">
        <w:rPr>
          <w:rFonts w:ascii="Garamond" w:hAnsi="Garamond" w:cs="Arial"/>
          <w:sz w:val="24"/>
          <w:szCs w:val="24"/>
          <w:shd w:val="clear" w:color="auto" w:fill="FFFFFF"/>
        </w:rPr>
        <w:t>organizações</w:t>
      </w:r>
      <w:r w:rsidR="00CA39B2" w:rsidRPr="003A1174">
        <w:rPr>
          <w:rFonts w:ascii="Garamond" w:hAnsi="Garamond" w:cs="Arial"/>
          <w:sz w:val="24"/>
          <w:szCs w:val="24"/>
          <w:shd w:val="clear" w:color="auto" w:fill="FFFFFF"/>
        </w:rPr>
        <w:t xml:space="preserve"> da </w:t>
      </w:r>
      <w:r w:rsidR="002C7510" w:rsidRPr="003A1174">
        <w:rPr>
          <w:rFonts w:ascii="Garamond" w:hAnsi="Garamond" w:cs="Arial"/>
          <w:sz w:val="24"/>
          <w:szCs w:val="24"/>
          <w:shd w:val="clear" w:color="auto" w:fill="FFFFFF"/>
        </w:rPr>
        <w:t>sociedade</w:t>
      </w:r>
      <w:r w:rsidR="00CA39B2" w:rsidRPr="003A1174">
        <w:rPr>
          <w:rFonts w:ascii="Garamond" w:hAnsi="Garamond" w:cs="Arial"/>
          <w:sz w:val="24"/>
          <w:szCs w:val="24"/>
          <w:shd w:val="clear" w:color="auto" w:fill="FFFFFF"/>
        </w:rPr>
        <w:t xml:space="preserve"> civil e </w:t>
      </w:r>
      <w:r w:rsidR="002C7510" w:rsidRPr="003A1174">
        <w:rPr>
          <w:rFonts w:ascii="Garamond" w:hAnsi="Garamond" w:cs="Arial"/>
          <w:sz w:val="24"/>
          <w:szCs w:val="24"/>
          <w:shd w:val="clear" w:color="auto" w:fill="FFFFFF"/>
        </w:rPr>
        <w:t>instituições</w:t>
      </w:r>
      <w:r w:rsidRPr="003A1174">
        <w:rPr>
          <w:rFonts w:ascii="Garamond" w:hAnsi="Garamond" w:cs="Arial"/>
          <w:sz w:val="24"/>
          <w:szCs w:val="24"/>
          <w:shd w:val="clear" w:color="auto" w:fill="FFFFFF"/>
        </w:rPr>
        <w:t xml:space="preserve"> convidadas, t</w:t>
      </w:r>
      <w:r w:rsidR="00A41573" w:rsidRPr="003A1174">
        <w:rPr>
          <w:rFonts w:ascii="Garamond" w:hAnsi="Garamond" w:cs="Arial"/>
          <w:sz w:val="24"/>
          <w:szCs w:val="24"/>
          <w:shd w:val="clear" w:color="auto" w:fill="FFFFFF"/>
        </w:rPr>
        <w:t>ais</w:t>
      </w:r>
      <w:r w:rsidR="00CA39B2" w:rsidRPr="003A1174">
        <w:rPr>
          <w:rFonts w:ascii="Garamond" w:hAnsi="Garamond" w:cs="Arial"/>
          <w:sz w:val="24"/>
          <w:szCs w:val="24"/>
          <w:shd w:val="clear" w:color="auto" w:fill="FFFFFF"/>
        </w:rPr>
        <w:t xml:space="preserve"> como </w:t>
      </w:r>
      <w:r w:rsidRPr="003A1174">
        <w:rPr>
          <w:rFonts w:ascii="Garamond" w:hAnsi="Garamond" w:cs="Arial"/>
          <w:sz w:val="24"/>
          <w:szCs w:val="24"/>
          <w:shd w:val="clear" w:color="auto" w:fill="FFFFFF"/>
        </w:rPr>
        <w:t xml:space="preserve">o </w:t>
      </w:r>
      <w:r w:rsidR="00C246B4" w:rsidRPr="003A1174">
        <w:rPr>
          <w:rFonts w:ascii="Garamond" w:hAnsi="Garamond" w:cs="Arial"/>
          <w:sz w:val="24"/>
          <w:szCs w:val="24"/>
          <w:shd w:val="clear" w:color="auto" w:fill="FFFFFF"/>
        </w:rPr>
        <w:t>Gabinete</w:t>
      </w:r>
      <w:r w:rsidR="00CA39B2" w:rsidRPr="003A1174">
        <w:rPr>
          <w:rFonts w:ascii="Garamond" w:hAnsi="Garamond" w:cs="Arial"/>
          <w:sz w:val="24"/>
          <w:szCs w:val="24"/>
          <w:shd w:val="clear" w:color="auto" w:fill="FFFFFF"/>
        </w:rPr>
        <w:t xml:space="preserve"> de </w:t>
      </w:r>
      <w:r w:rsidRPr="003A1174">
        <w:rPr>
          <w:rFonts w:ascii="Garamond" w:hAnsi="Garamond" w:cs="Arial"/>
          <w:sz w:val="24"/>
          <w:szCs w:val="24"/>
          <w:shd w:val="clear" w:color="auto" w:fill="FFFFFF"/>
        </w:rPr>
        <w:t>Planeam</w:t>
      </w:r>
      <w:r w:rsidR="00CA39B2" w:rsidRPr="003A1174">
        <w:rPr>
          <w:rFonts w:ascii="Garamond" w:hAnsi="Garamond" w:cs="Arial"/>
          <w:sz w:val="24"/>
          <w:szCs w:val="24"/>
          <w:shd w:val="clear" w:color="auto" w:fill="FFFFFF"/>
        </w:rPr>
        <w:t xml:space="preserve">ento </w:t>
      </w:r>
      <w:r w:rsidR="000672E8" w:rsidRPr="003A1174">
        <w:rPr>
          <w:rFonts w:ascii="Garamond" w:hAnsi="Garamond" w:cs="Arial"/>
          <w:sz w:val="24"/>
          <w:szCs w:val="24"/>
          <w:shd w:val="clear" w:color="auto" w:fill="FFFFFF"/>
        </w:rPr>
        <w:t>e</w:t>
      </w:r>
      <w:r w:rsidR="00CA39B2" w:rsidRPr="003A1174">
        <w:rPr>
          <w:rFonts w:ascii="Garamond" w:hAnsi="Garamond" w:cs="Arial"/>
          <w:sz w:val="24"/>
          <w:szCs w:val="24"/>
          <w:shd w:val="clear" w:color="auto" w:fill="FFFFFF"/>
        </w:rPr>
        <w:t xml:space="preserve"> </w:t>
      </w:r>
      <w:r w:rsidR="0010482B">
        <w:rPr>
          <w:rFonts w:ascii="Garamond" w:hAnsi="Garamond" w:cs="Arial"/>
          <w:sz w:val="24"/>
          <w:szCs w:val="24"/>
          <w:shd w:val="clear" w:color="auto" w:fill="FFFFFF"/>
        </w:rPr>
        <w:t>O</w:t>
      </w:r>
      <w:r w:rsidRPr="003A1174">
        <w:rPr>
          <w:rFonts w:ascii="Garamond" w:hAnsi="Garamond" w:cs="Arial"/>
          <w:sz w:val="24"/>
          <w:szCs w:val="24"/>
          <w:shd w:val="clear" w:color="auto" w:fill="FFFFFF"/>
        </w:rPr>
        <w:t xml:space="preserve">rçamento, </w:t>
      </w:r>
      <w:r w:rsidR="00CA39B2" w:rsidRPr="003A1174">
        <w:rPr>
          <w:rFonts w:ascii="Garamond" w:hAnsi="Garamond" w:cs="Arial"/>
          <w:sz w:val="24"/>
          <w:szCs w:val="24"/>
          <w:shd w:val="clear" w:color="auto" w:fill="FFFFFF"/>
        </w:rPr>
        <w:t xml:space="preserve">a </w:t>
      </w:r>
      <w:r w:rsidR="00FB09CA" w:rsidRPr="003A1174">
        <w:rPr>
          <w:rFonts w:ascii="Garamond" w:hAnsi="Garamond" w:cs="Arial"/>
          <w:sz w:val="24"/>
          <w:szCs w:val="24"/>
          <w:shd w:val="clear" w:color="auto" w:fill="FFFFFF"/>
        </w:rPr>
        <w:t>Administração</w:t>
      </w:r>
      <w:r w:rsidR="00CA39B2" w:rsidRPr="003A1174">
        <w:rPr>
          <w:rFonts w:ascii="Garamond" w:hAnsi="Garamond" w:cs="Arial"/>
          <w:sz w:val="24"/>
          <w:szCs w:val="24"/>
          <w:shd w:val="clear" w:color="auto" w:fill="FFFFFF"/>
        </w:rPr>
        <w:t xml:space="preserve"> Nacional de </w:t>
      </w:r>
      <w:r w:rsidR="00802ACC" w:rsidRPr="003A1174">
        <w:rPr>
          <w:rFonts w:ascii="Garamond" w:hAnsi="Garamond" w:cs="Arial"/>
          <w:sz w:val="24"/>
          <w:szCs w:val="24"/>
          <w:shd w:val="clear" w:color="auto" w:fill="FFFFFF"/>
        </w:rPr>
        <w:t>Educação</w:t>
      </w:r>
      <w:r w:rsidRPr="003A1174">
        <w:rPr>
          <w:rFonts w:ascii="Garamond" w:hAnsi="Garamond" w:cs="Arial"/>
          <w:sz w:val="24"/>
          <w:szCs w:val="24"/>
          <w:shd w:val="clear" w:color="auto" w:fill="FFFFFF"/>
        </w:rPr>
        <w:t xml:space="preserve"> Pública, </w:t>
      </w:r>
      <w:r w:rsidR="00CA39B2" w:rsidRPr="003A1174">
        <w:rPr>
          <w:rFonts w:ascii="Garamond" w:hAnsi="Garamond" w:cs="Arial"/>
          <w:sz w:val="24"/>
          <w:szCs w:val="24"/>
          <w:shd w:val="clear" w:color="auto" w:fill="FFFFFF"/>
        </w:rPr>
        <w:t xml:space="preserve">a Bancada Bicameral </w:t>
      </w:r>
      <w:r w:rsidR="007A2492" w:rsidRPr="003A1174">
        <w:rPr>
          <w:rFonts w:ascii="Garamond" w:hAnsi="Garamond" w:cs="Arial"/>
          <w:sz w:val="24"/>
          <w:szCs w:val="24"/>
          <w:shd w:val="clear" w:color="auto" w:fill="FFFFFF"/>
        </w:rPr>
        <w:t>Feminina</w:t>
      </w:r>
      <w:r w:rsidR="00CA39B2" w:rsidRPr="003A1174">
        <w:rPr>
          <w:rFonts w:ascii="Garamond" w:hAnsi="Garamond" w:cs="Arial"/>
          <w:sz w:val="24"/>
          <w:szCs w:val="24"/>
          <w:shd w:val="clear" w:color="auto" w:fill="FFFFFF"/>
        </w:rPr>
        <w:t xml:space="preserve"> </w:t>
      </w:r>
      <w:r w:rsidR="00E85E59" w:rsidRPr="003A1174">
        <w:rPr>
          <w:rFonts w:ascii="Garamond" w:hAnsi="Garamond" w:cs="Arial"/>
          <w:sz w:val="24"/>
          <w:szCs w:val="24"/>
          <w:shd w:val="clear" w:color="auto" w:fill="FFFFFF"/>
        </w:rPr>
        <w:t>do</w:t>
      </w:r>
      <w:r w:rsidR="00CA39B2" w:rsidRPr="003A1174">
        <w:rPr>
          <w:rFonts w:ascii="Garamond" w:hAnsi="Garamond" w:cs="Arial"/>
          <w:sz w:val="24"/>
          <w:szCs w:val="24"/>
          <w:shd w:val="clear" w:color="auto" w:fill="FFFFFF"/>
        </w:rPr>
        <w:t xml:space="preserve"> Poder Legislativo, </w:t>
      </w:r>
      <w:r w:rsidRPr="003A1174">
        <w:rPr>
          <w:rFonts w:ascii="Garamond" w:hAnsi="Garamond" w:cs="Arial"/>
          <w:sz w:val="24"/>
          <w:szCs w:val="24"/>
          <w:shd w:val="clear" w:color="auto" w:fill="FFFFFF"/>
        </w:rPr>
        <w:t>o</w:t>
      </w:r>
      <w:r w:rsidR="00CA39B2" w:rsidRPr="003A1174">
        <w:rPr>
          <w:rFonts w:ascii="Garamond" w:hAnsi="Garamond" w:cs="Arial"/>
          <w:sz w:val="24"/>
          <w:szCs w:val="24"/>
          <w:shd w:val="clear" w:color="auto" w:fill="FFFFFF"/>
        </w:rPr>
        <w:t xml:space="preserve"> Banco de P</w:t>
      </w:r>
      <w:r w:rsidR="006E0719" w:rsidRPr="003A1174">
        <w:rPr>
          <w:rFonts w:ascii="Garamond" w:hAnsi="Garamond" w:cs="Arial"/>
          <w:sz w:val="24"/>
          <w:szCs w:val="24"/>
          <w:shd w:val="clear" w:color="auto" w:fill="FFFFFF"/>
        </w:rPr>
        <w:t>revisão</w:t>
      </w:r>
      <w:r w:rsidR="00CA39B2" w:rsidRPr="003A1174">
        <w:rPr>
          <w:rFonts w:ascii="Garamond" w:hAnsi="Garamond" w:cs="Arial"/>
          <w:sz w:val="24"/>
          <w:szCs w:val="24"/>
          <w:shd w:val="clear" w:color="auto" w:fill="FFFFFF"/>
        </w:rPr>
        <w:t xml:space="preserve"> Social </w:t>
      </w:r>
      <w:r w:rsidR="000672E8" w:rsidRPr="003A1174">
        <w:rPr>
          <w:rFonts w:ascii="Garamond" w:hAnsi="Garamond" w:cs="Arial"/>
          <w:sz w:val="24"/>
          <w:szCs w:val="24"/>
          <w:shd w:val="clear" w:color="auto" w:fill="FFFFFF"/>
        </w:rPr>
        <w:t>e</w:t>
      </w:r>
      <w:r w:rsidR="00CA39B2" w:rsidRPr="003A1174">
        <w:rPr>
          <w:rFonts w:ascii="Garamond" w:hAnsi="Garamond" w:cs="Arial"/>
          <w:sz w:val="24"/>
          <w:szCs w:val="24"/>
          <w:shd w:val="clear" w:color="auto" w:fill="FFFFFF"/>
        </w:rPr>
        <w:t xml:space="preserve"> </w:t>
      </w:r>
      <w:r w:rsidRPr="003A1174">
        <w:rPr>
          <w:rFonts w:ascii="Garamond" w:hAnsi="Garamond" w:cs="Arial"/>
          <w:sz w:val="24"/>
          <w:szCs w:val="24"/>
          <w:shd w:val="clear" w:color="auto" w:fill="FFFFFF"/>
        </w:rPr>
        <w:t>o</w:t>
      </w:r>
      <w:r w:rsidR="00CA39B2" w:rsidRPr="003A1174">
        <w:rPr>
          <w:rFonts w:ascii="Garamond" w:hAnsi="Garamond" w:cs="Arial"/>
          <w:sz w:val="24"/>
          <w:szCs w:val="24"/>
          <w:shd w:val="clear" w:color="auto" w:fill="FFFFFF"/>
        </w:rPr>
        <w:t xml:space="preserve"> </w:t>
      </w:r>
      <w:r w:rsidR="00C246B4" w:rsidRPr="003A1174">
        <w:rPr>
          <w:rFonts w:ascii="Garamond" w:hAnsi="Garamond" w:cs="Arial"/>
          <w:sz w:val="24"/>
          <w:szCs w:val="24"/>
          <w:shd w:val="clear" w:color="auto" w:fill="FFFFFF"/>
        </w:rPr>
        <w:t>Gabinete</w:t>
      </w:r>
      <w:r w:rsidRPr="003A1174">
        <w:rPr>
          <w:rFonts w:ascii="Garamond" w:hAnsi="Garamond" w:cs="Arial"/>
          <w:sz w:val="24"/>
          <w:szCs w:val="24"/>
          <w:shd w:val="clear" w:color="auto" w:fill="FFFFFF"/>
        </w:rPr>
        <w:t xml:space="preserve"> Nacional do</w:t>
      </w:r>
      <w:r w:rsidR="00CA39B2" w:rsidRPr="003A1174">
        <w:rPr>
          <w:rFonts w:ascii="Garamond" w:hAnsi="Garamond" w:cs="Arial"/>
          <w:sz w:val="24"/>
          <w:szCs w:val="24"/>
          <w:shd w:val="clear" w:color="auto" w:fill="FFFFFF"/>
        </w:rPr>
        <w:t xml:space="preserve"> </w:t>
      </w:r>
      <w:r w:rsidR="00B531F2" w:rsidRPr="003A1174">
        <w:rPr>
          <w:rFonts w:ascii="Garamond" w:hAnsi="Garamond" w:cs="Arial"/>
          <w:sz w:val="24"/>
          <w:szCs w:val="24"/>
          <w:shd w:val="clear" w:color="auto" w:fill="FFFFFF"/>
        </w:rPr>
        <w:t>Serviço</w:t>
      </w:r>
      <w:r w:rsidR="00CA39B2" w:rsidRPr="003A1174">
        <w:rPr>
          <w:rFonts w:ascii="Garamond" w:hAnsi="Garamond" w:cs="Arial"/>
          <w:sz w:val="24"/>
          <w:szCs w:val="24"/>
          <w:shd w:val="clear" w:color="auto" w:fill="FFFFFF"/>
        </w:rPr>
        <w:t xml:space="preserve"> Civil.</w:t>
      </w:r>
    </w:p>
    <w:p w:rsidR="00CA39B2" w:rsidRPr="003A1174" w:rsidRDefault="00BA3CCE"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que se refere à Instituição Nacional de Direitos Humanos e Provedoria de Justiça (INDDHH), destaca-se </w:t>
      </w:r>
      <w:r w:rsidR="0010482B">
        <w:rPr>
          <w:rFonts w:ascii="Garamond" w:hAnsi="Garamond" w:cs="Arial"/>
          <w:sz w:val="24"/>
          <w:szCs w:val="24"/>
        </w:rPr>
        <w:t xml:space="preserve">o seu trabalho </w:t>
      </w:r>
      <w:r w:rsidRPr="003A1174">
        <w:rPr>
          <w:rFonts w:ascii="Garamond" w:hAnsi="Garamond" w:cs="Arial"/>
          <w:sz w:val="24"/>
          <w:szCs w:val="24"/>
        </w:rPr>
        <w:t>aprofund</w:t>
      </w:r>
      <w:r w:rsidR="0010482B">
        <w:rPr>
          <w:rFonts w:ascii="Garamond" w:hAnsi="Garamond" w:cs="Arial"/>
          <w:sz w:val="24"/>
          <w:szCs w:val="24"/>
        </w:rPr>
        <w:t>ado</w:t>
      </w:r>
      <w:r w:rsidRPr="003A1174">
        <w:rPr>
          <w:rFonts w:ascii="Garamond" w:hAnsi="Garamond" w:cs="Arial"/>
          <w:sz w:val="24"/>
          <w:szCs w:val="24"/>
        </w:rPr>
        <w:t xml:space="preserve"> sobre os direitos das mulheres</w:t>
      </w:r>
      <w:r w:rsidR="0010482B">
        <w:rPr>
          <w:rFonts w:ascii="Garamond" w:hAnsi="Garamond" w:cs="Arial"/>
          <w:sz w:val="24"/>
          <w:szCs w:val="24"/>
        </w:rPr>
        <w:t>,</w:t>
      </w:r>
      <w:r w:rsidRPr="003A1174">
        <w:rPr>
          <w:rFonts w:ascii="Garamond" w:hAnsi="Garamond" w:cs="Arial"/>
          <w:sz w:val="24"/>
          <w:szCs w:val="24"/>
        </w:rPr>
        <w:t xml:space="preserve"> a partir de uma série de denúncias recebidas</w:t>
      </w:r>
      <w:r w:rsidR="0010482B">
        <w:rPr>
          <w:rFonts w:ascii="Garamond" w:hAnsi="Garamond" w:cs="Arial"/>
          <w:sz w:val="24"/>
          <w:szCs w:val="24"/>
        </w:rPr>
        <w:t>,</w:t>
      </w:r>
      <w:r w:rsidRPr="003A1174">
        <w:rPr>
          <w:rFonts w:ascii="Garamond" w:hAnsi="Garamond" w:cs="Arial"/>
          <w:sz w:val="24"/>
          <w:szCs w:val="24"/>
        </w:rPr>
        <w:t xml:space="preserve"> e das problemáticas apresentadas por diferentes coletivos feministas e de mulheres nas sessões temáticas </w:t>
      </w:r>
      <w:r w:rsidR="0010482B">
        <w:rPr>
          <w:rFonts w:ascii="Garamond" w:hAnsi="Garamond" w:cs="Arial"/>
          <w:sz w:val="24"/>
          <w:szCs w:val="24"/>
        </w:rPr>
        <w:t>«</w:t>
      </w:r>
      <w:r w:rsidRPr="003A1174">
        <w:rPr>
          <w:rFonts w:ascii="Garamond" w:hAnsi="Garamond" w:cs="Arial"/>
          <w:sz w:val="24"/>
          <w:szCs w:val="24"/>
        </w:rPr>
        <w:t>Mulheres</w:t>
      </w:r>
      <w:r w:rsidR="0010482B">
        <w:rPr>
          <w:rFonts w:ascii="Garamond" w:hAnsi="Garamond" w:cs="Arial"/>
          <w:sz w:val="24"/>
          <w:szCs w:val="24"/>
        </w:rPr>
        <w:t>»</w:t>
      </w:r>
      <w:r w:rsidRPr="003A1174">
        <w:rPr>
          <w:rFonts w:ascii="Garamond" w:hAnsi="Garamond" w:cs="Arial"/>
          <w:sz w:val="24"/>
          <w:szCs w:val="24"/>
        </w:rPr>
        <w:t xml:space="preserve"> e </w:t>
      </w:r>
      <w:r w:rsidR="0010482B">
        <w:rPr>
          <w:rFonts w:ascii="Garamond" w:hAnsi="Garamond" w:cs="Arial"/>
          <w:sz w:val="24"/>
          <w:szCs w:val="24"/>
        </w:rPr>
        <w:t>«</w:t>
      </w:r>
      <w:r w:rsidRPr="003A1174">
        <w:rPr>
          <w:rFonts w:ascii="Garamond" w:hAnsi="Garamond" w:cs="Arial"/>
          <w:sz w:val="24"/>
          <w:szCs w:val="24"/>
        </w:rPr>
        <w:t>Implementação de políticas de prevenção de violência de género</w:t>
      </w:r>
      <w:r w:rsidR="0010482B">
        <w:rPr>
          <w:rFonts w:ascii="Garamond" w:hAnsi="Garamond" w:cs="Arial"/>
          <w:sz w:val="24"/>
          <w:szCs w:val="24"/>
        </w:rPr>
        <w:t>»</w:t>
      </w:r>
      <w:r w:rsidRPr="003A1174">
        <w:rPr>
          <w:rFonts w:ascii="Garamond" w:hAnsi="Garamond" w:cs="Arial"/>
          <w:sz w:val="24"/>
          <w:szCs w:val="24"/>
        </w:rPr>
        <w:t xml:space="preserve">, desenvolvidas na </w:t>
      </w:r>
      <w:r w:rsidRPr="0010482B">
        <w:rPr>
          <w:rFonts w:ascii="Garamond" w:hAnsi="Garamond" w:cs="Arial"/>
          <w:sz w:val="20"/>
          <w:szCs w:val="20"/>
        </w:rPr>
        <w:t>I</w:t>
      </w:r>
      <w:r w:rsidRPr="003A1174">
        <w:rPr>
          <w:rFonts w:ascii="Garamond" w:hAnsi="Garamond" w:cs="Arial"/>
          <w:sz w:val="24"/>
          <w:szCs w:val="24"/>
        </w:rPr>
        <w:t xml:space="preserve"> e </w:t>
      </w:r>
      <w:r w:rsidRPr="0010482B">
        <w:rPr>
          <w:rFonts w:ascii="Garamond" w:hAnsi="Garamond" w:cs="Arial"/>
          <w:sz w:val="20"/>
          <w:szCs w:val="20"/>
        </w:rPr>
        <w:t>II</w:t>
      </w:r>
      <w:r w:rsidRPr="003A1174">
        <w:rPr>
          <w:rFonts w:ascii="Garamond" w:hAnsi="Garamond" w:cs="Arial"/>
          <w:sz w:val="24"/>
          <w:szCs w:val="24"/>
        </w:rPr>
        <w:t xml:space="preserve"> Assembleias Nacionais de Direitos Humanos, respetivamente.</w:t>
      </w:r>
      <w:r w:rsidR="00CA39B2" w:rsidRPr="003A1174">
        <w:rPr>
          <w:rStyle w:val="Caracteresdenotaalpie"/>
          <w:rFonts w:ascii="Garamond" w:hAnsi="Garamond" w:cs="Arial"/>
          <w:sz w:val="24"/>
          <w:szCs w:val="24"/>
        </w:rPr>
        <w:footnoteReference w:id="108"/>
      </w:r>
      <w:r w:rsidR="00CA39B2" w:rsidRPr="003A1174">
        <w:rPr>
          <w:rFonts w:ascii="Garamond" w:hAnsi="Garamond" w:cs="Arial"/>
          <w:sz w:val="24"/>
          <w:szCs w:val="24"/>
        </w:rPr>
        <w:t xml:space="preserve"> </w:t>
      </w:r>
    </w:p>
    <w:p w:rsidR="00CA39B2" w:rsidRPr="003A1174" w:rsidRDefault="0010482B" w:rsidP="008719D4">
      <w:pPr>
        <w:spacing w:before="240" w:line="240" w:lineRule="auto"/>
        <w:jc w:val="both"/>
        <w:rPr>
          <w:rFonts w:ascii="Garamond" w:hAnsi="Garamond" w:cs="Arial"/>
          <w:sz w:val="24"/>
          <w:szCs w:val="24"/>
        </w:rPr>
      </w:pPr>
      <w:r>
        <w:rPr>
          <w:rFonts w:ascii="Garamond" w:hAnsi="Garamond" w:cs="Arial"/>
          <w:sz w:val="24"/>
          <w:szCs w:val="24"/>
        </w:rPr>
        <w:t>Apresentou, t</w:t>
      </w:r>
      <w:r w:rsidR="00AF6765" w:rsidRPr="003A1174">
        <w:rPr>
          <w:rFonts w:ascii="Garamond" w:hAnsi="Garamond" w:cs="Arial"/>
          <w:sz w:val="24"/>
          <w:szCs w:val="24"/>
        </w:rPr>
        <w:t>ambém</w:t>
      </w:r>
      <w:r>
        <w:rPr>
          <w:rFonts w:ascii="Garamond" w:hAnsi="Garamond" w:cs="Arial"/>
          <w:sz w:val="24"/>
          <w:szCs w:val="24"/>
        </w:rPr>
        <w:t>,</w:t>
      </w:r>
      <w:r w:rsidR="00AF6765" w:rsidRPr="003A1174">
        <w:rPr>
          <w:rFonts w:ascii="Garamond" w:hAnsi="Garamond" w:cs="Arial"/>
          <w:sz w:val="24"/>
          <w:szCs w:val="24"/>
        </w:rPr>
        <w:t xml:space="preserve"> </w:t>
      </w:r>
      <w:r w:rsidR="008E7A2A" w:rsidRPr="003A1174">
        <w:rPr>
          <w:rFonts w:ascii="Garamond" w:hAnsi="Garamond" w:cs="Arial"/>
          <w:sz w:val="24"/>
          <w:szCs w:val="24"/>
        </w:rPr>
        <w:t>recomendações</w:t>
      </w:r>
      <w:r w:rsidR="00CA39B2" w:rsidRPr="003A1174">
        <w:rPr>
          <w:rFonts w:ascii="Garamond" w:hAnsi="Garamond" w:cs="Arial"/>
          <w:sz w:val="24"/>
          <w:szCs w:val="24"/>
        </w:rPr>
        <w:t xml:space="preserve"> a</w:t>
      </w:r>
      <w:r w:rsidR="00AF6765" w:rsidRPr="003A1174">
        <w:rPr>
          <w:rFonts w:ascii="Garamond" w:hAnsi="Garamond" w:cs="Arial"/>
          <w:sz w:val="24"/>
          <w:szCs w:val="24"/>
        </w:rPr>
        <w:t>o</w:t>
      </w:r>
      <w:r w:rsidR="00CA39B2" w:rsidRPr="003A1174">
        <w:rPr>
          <w:rFonts w:ascii="Garamond" w:hAnsi="Garamond" w:cs="Arial"/>
          <w:sz w:val="24"/>
          <w:szCs w:val="24"/>
        </w:rPr>
        <w:t xml:space="preserve"> Parlamento vinculadas a</w:t>
      </w:r>
      <w:r w:rsidR="00AF6765" w:rsidRPr="003A1174">
        <w:rPr>
          <w:rFonts w:ascii="Garamond" w:hAnsi="Garamond" w:cs="Arial"/>
          <w:sz w:val="24"/>
          <w:szCs w:val="24"/>
        </w:rPr>
        <w:t>o</w:t>
      </w:r>
      <w:r w:rsidR="00CA39B2" w:rsidRPr="003A1174">
        <w:rPr>
          <w:rFonts w:ascii="Garamond" w:hAnsi="Garamond" w:cs="Arial"/>
          <w:sz w:val="24"/>
          <w:szCs w:val="24"/>
        </w:rPr>
        <w:t xml:space="preserve"> tema; </w:t>
      </w:r>
      <w:r w:rsidR="00AF6765" w:rsidRPr="003A1174">
        <w:rPr>
          <w:rFonts w:ascii="Garamond" w:hAnsi="Garamond" w:cs="Arial"/>
          <w:sz w:val="24"/>
          <w:szCs w:val="24"/>
        </w:rPr>
        <w:t>redigiu</w:t>
      </w:r>
      <w:r w:rsidR="00CA39B2" w:rsidRPr="003A1174">
        <w:rPr>
          <w:rFonts w:ascii="Garamond" w:hAnsi="Garamond" w:cs="Arial"/>
          <w:sz w:val="24"/>
          <w:szCs w:val="24"/>
        </w:rPr>
        <w:t xml:space="preserve"> </w:t>
      </w:r>
      <w:r w:rsidR="0017447A" w:rsidRPr="003A1174">
        <w:rPr>
          <w:rFonts w:ascii="Garamond" w:hAnsi="Garamond" w:cs="Arial"/>
          <w:sz w:val="24"/>
          <w:szCs w:val="24"/>
        </w:rPr>
        <w:t>declarações</w:t>
      </w:r>
      <w:r>
        <w:rPr>
          <w:rFonts w:ascii="Garamond" w:hAnsi="Garamond" w:cs="Arial"/>
          <w:sz w:val="24"/>
          <w:szCs w:val="24"/>
        </w:rPr>
        <w:t>,</w:t>
      </w:r>
      <w:r w:rsidR="00CA39B2" w:rsidRPr="003A1174">
        <w:rPr>
          <w:rFonts w:ascii="Garamond" w:hAnsi="Garamond" w:cs="Arial"/>
          <w:sz w:val="24"/>
          <w:szCs w:val="24"/>
        </w:rPr>
        <w:t xml:space="preserve"> </w:t>
      </w:r>
      <w:r w:rsidR="00AF6765" w:rsidRPr="003A1174">
        <w:rPr>
          <w:rFonts w:ascii="Garamond" w:hAnsi="Garamond" w:cs="Arial"/>
          <w:sz w:val="24"/>
          <w:szCs w:val="24"/>
        </w:rPr>
        <w:t xml:space="preserve">por </w:t>
      </w:r>
      <w:r w:rsidR="00964875" w:rsidRPr="003A1174">
        <w:rPr>
          <w:rFonts w:ascii="Garamond" w:hAnsi="Garamond" w:cs="Arial"/>
          <w:sz w:val="24"/>
          <w:szCs w:val="24"/>
        </w:rPr>
        <w:t>ocasião</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9D5ED8" w:rsidRPr="003A1174">
        <w:rPr>
          <w:rFonts w:ascii="Garamond" w:hAnsi="Garamond" w:cs="Arial"/>
          <w:sz w:val="24"/>
          <w:szCs w:val="24"/>
        </w:rPr>
        <w:t>Dia</w:t>
      </w:r>
      <w:r w:rsidR="00CA39B2" w:rsidRPr="003A1174">
        <w:rPr>
          <w:rFonts w:ascii="Garamond" w:hAnsi="Garamond" w:cs="Arial"/>
          <w:sz w:val="24"/>
          <w:szCs w:val="24"/>
        </w:rPr>
        <w:t xml:space="preserve"> internacional da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9D5ED8" w:rsidRPr="003A1174">
        <w:rPr>
          <w:rFonts w:ascii="Garamond" w:hAnsi="Garamond" w:cs="Arial"/>
          <w:sz w:val="24"/>
          <w:szCs w:val="24"/>
        </w:rPr>
        <w:t>Dia</w:t>
      </w:r>
      <w:r w:rsidR="00AF6765" w:rsidRPr="003A1174">
        <w:rPr>
          <w:rFonts w:ascii="Garamond" w:hAnsi="Garamond" w:cs="Arial"/>
          <w:sz w:val="24"/>
          <w:szCs w:val="24"/>
        </w:rPr>
        <w:t xml:space="preserve"> internacional para </w:t>
      </w:r>
      <w:r w:rsidR="00CA39B2" w:rsidRPr="003A1174">
        <w:rPr>
          <w:rFonts w:ascii="Garamond" w:hAnsi="Garamond" w:cs="Arial"/>
          <w:sz w:val="24"/>
          <w:szCs w:val="24"/>
        </w:rPr>
        <w:t xml:space="preserve">a </w:t>
      </w:r>
      <w:r w:rsidR="008E7A2A" w:rsidRPr="003A1174">
        <w:rPr>
          <w:rFonts w:ascii="Garamond" w:hAnsi="Garamond" w:cs="Arial"/>
          <w:sz w:val="24"/>
          <w:szCs w:val="24"/>
        </w:rPr>
        <w:t>Eliminação</w:t>
      </w:r>
      <w:r w:rsidR="00CA39B2" w:rsidRPr="003A1174">
        <w:rPr>
          <w:rFonts w:ascii="Garamond" w:hAnsi="Garamond" w:cs="Arial"/>
          <w:sz w:val="24"/>
          <w:szCs w:val="24"/>
        </w:rPr>
        <w:t xml:space="preserve"> da </w:t>
      </w:r>
      <w:r w:rsidR="000350B1" w:rsidRPr="003A1174">
        <w:rPr>
          <w:rFonts w:ascii="Garamond" w:hAnsi="Garamond" w:cs="Arial"/>
          <w:sz w:val="24"/>
          <w:szCs w:val="24"/>
        </w:rPr>
        <w:t>Violência</w:t>
      </w:r>
      <w:r w:rsidR="00AF6765" w:rsidRPr="003A1174">
        <w:rPr>
          <w:rFonts w:ascii="Garamond" w:hAnsi="Garamond" w:cs="Arial"/>
          <w:sz w:val="24"/>
          <w:szCs w:val="24"/>
        </w:rPr>
        <w:t xml:space="preserve"> contra </w:t>
      </w:r>
      <w:r w:rsidR="00CA39B2" w:rsidRPr="003A1174">
        <w:rPr>
          <w:rFonts w:ascii="Garamond" w:hAnsi="Garamond" w:cs="Arial"/>
          <w:sz w:val="24"/>
          <w:szCs w:val="24"/>
        </w:rPr>
        <w:t xml:space="preserve">as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AF6765" w:rsidRPr="003A1174">
        <w:rPr>
          <w:rFonts w:ascii="Garamond" w:hAnsi="Garamond" w:cs="Arial"/>
          <w:sz w:val="24"/>
          <w:szCs w:val="24"/>
        </w:rPr>
        <w:t xml:space="preserve">a </w:t>
      </w:r>
      <w:proofErr w:type="gramStart"/>
      <w:r w:rsidR="00CA39B2" w:rsidRPr="003A1174">
        <w:rPr>
          <w:rFonts w:ascii="Garamond" w:hAnsi="Garamond" w:cs="Arial"/>
          <w:sz w:val="24"/>
          <w:szCs w:val="24"/>
        </w:rPr>
        <w:t>8</w:t>
      </w:r>
      <w:proofErr w:type="gramEnd"/>
      <w:r w:rsidR="00CA39B2" w:rsidRPr="003A1174">
        <w:rPr>
          <w:rFonts w:ascii="Garamond" w:hAnsi="Garamond" w:cs="Arial"/>
          <w:sz w:val="24"/>
          <w:szCs w:val="24"/>
        </w:rPr>
        <w:t xml:space="preserve"> de </w:t>
      </w:r>
      <w:r w:rsidR="00C553E2" w:rsidRPr="003A1174">
        <w:rPr>
          <w:rFonts w:ascii="Garamond" w:hAnsi="Garamond" w:cs="Arial"/>
          <w:sz w:val="24"/>
          <w:szCs w:val="24"/>
        </w:rPr>
        <w:t>março</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AF6765" w:rsidRPr="003A1174">
        <w:rPr>
          <w:rFonts w:ascii="Garamond" w:hAnsi="Garamond" w:cs="Arial"/>
          <w:sz w:val="24"/>
          <w:szCs w:val="24"/>
        </w:rPr>
        <w:t xml:space="preserve">a </w:t>
      </w:r>
      <w:r w:rsidR="00CA39B2" w:rsidRPr="003A1174">
        <w:rPr>
          <w:rFonts w:ascii="Garamond" w:hAnsi="Garamond" w:cs="Arial"/>
          <w:sz w:val="24"/>
          <w:szCs w:val="24"/>
        </w:rPr>
        <w:t xml:space="preserve">25 de </w:t>
      </w:r>
      <w:r w:rsidR="009E3E55" w:rsidRPr="003A1174">
        <w:rPr>
          <w:rFonts w:ascii="Garamond" w:hAnsi="Garamond" w:cs="Arial"/>
          <w:sz w:val="24"/>
          <w:szCs w:val="24"/>
        </w:rPr>
        <w:t>novembro</w:t>
      </w:r>
      <w:r>
        <w:rPr>
          <w:rFonts w:ascii="Garamond" w:hAnsi="Garamond" w:cs="Arial"/>
          <w:sz w:val="24"/>
          <w:szCs w:val="24"/>
        </w:rPr>
        <w:t>,</w:t>
      </w:r>
      <w:r w:rsidR="00CA39B2" w:rsidRPr="003A1174">
        <w:rPr>
          <w:rFonts w:ascii="Garamond" w:hAnsi="Garamond" w:cs="Arial"/>
          <w:sz w:val="24"/>
          <w:szCs w:val="24"/>
        </w:rPr>
        <w:t xml:space="preserve"> </w:t>
      </w:r>
      <w:r w:rsidR="00C86C58" w:rsidRPr="003A1174">
        <w:rPr>
          <w:rFonts w:ascii="Garamond" w:hAnsi="Garamond" w:cs="Arial"/>
          <w:sz w:val="24"/>
          <w:szCs w:val="24"/>
        </w:rPr>
        <w:t>respetivamente</w:t>
      </w:r>
      <w:r w:rsidR="00B725A7" w:rsidRPr="003A1174">
        <w:rPr>
          <w:rFonts w:ascii="Garamond" w:hAnsi="Garamond" w:cs="Arial"/>
          <w:sz w:val="24"/>
          <w:szCs w:val="24"/>
        </w:rPr>
        <w:t>,</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2F319E" w:rsidRPr="003A1174">
        <w:rPr>
          <w:rFonts w:ascii="Garamond" w:hAnsi="Garamond" w:cs="Arial"/>
          <w:sz w:val="24"/>
          <w:szCs w:val="24"/>
        </w:rPr>
        <w:t xml:space="preserve"> elaborou </w:t>
      </w:r>
      <w:r w:rsidR="00CA39B2" w:rsidRPr="003A1174">
        <w:rPr>
          <w:rFonts w:ascii="Garamond" w:hAnsi="Garamond" w:cs="Arial"/>
          <w:sz w:val="24"/>
          <w:szCs w:val="24"/>
        </w:rPr>
        <w:t>contribu</w:t>
      </w:r>
      <w:r w:rsidR="002F319E" w:rsidRPr="003A1174">
        <w:rPr>
          <w:rFonts w:ascii="Garamond" w:hAnsi="Garamond" w:cs="Arial"/>
          <w:sz w:val="24"/>
          <w:szCs w:val="24"/>
        </w:rPr>
        <w:t>to</w:t>
      </w:r>
      <w:r w:rsidR="00AF6765" w:rsidRPr="003A1174">
        <w:rPr>
          <w:rFonts w:ascii="Garamond" w:hAnsi="Garamond" w:cs="Arial"/>
          <w:sz w:val="24"/>
          <w:szCs w:val="24"/>
        </w:rPr>
        <w:t xml:space="preserve">s acerca do tema para </w:t>
      </w:r>
      <w:r w:rsidR="00CA39B2" w:rsidRPr="003A1174">
        <w:rPr>
          <w:rFonts w:ascii="Garamond" w:hAnsi="Garamond" w:cs="Arial"/>
          <w:sz w:val="24"/>
          <w:szCs w:val="24"/>
        </w:rPr>
        <w:t xml:space="preserve">os </w:t>
      </w:r>
      <w:r w:rsidR="009E3E55" w:rsidRPr="003A1174">
        <w:rPr>
          <w:rFonts w:ascii="Garamond" w:hAnsi="Garamond" w:cs="Arial"/>
          <w:sz w:val="24"/>
          <w:szCs w:val="24"/>
        </w:rPr>
        <w:t>relatório</w:t>
      </w:r>
      <w:r w:rsidR="00CA39B2" w:rsidRPr="003A1174">
        <w:rPr>
          <w:rFonts w:ascii="Garamond" w:hAnsi="Garamond" w:cs="Arial"/>
          <w:sz w:val="24"/>
          <w:szCs w:val="24"/>
        </w:rPr>
        <w:t>s</w:t>
      </w:r>
      <w:r>
        <w:rPr>
          <w:rFonts w:ascii="Garamond" w:hAnsi="Garamond" w:cs="Arial"/>
          <w:sz w:val="24"/>
          <w:szCs w:val="24"/>
        </w:rPr>
        <w:t>,</w:t>
      </w:r>
      <w:r w:rsidR="00CA39B2" w:rsidRPr="003A1174">
        <w:rPr>
          <w:rFonts w:ascii="Garamond" w:hAnsi="Garamond" w:cs="Arial"/>
          <w:sz w:val="24"/>
          <w:szCs w:val="24"/>
        </w:rPr>
        <w:t xml:space="preserve"> </w:t>
      </w:r>
      <w:r w:rsidR="00AF6765" w:rsidRPr="003A1174">
        <w:rPr>
          <w:rFonts w:ascii="Garamond" w:hAnsi="Garamond" w:cs="Arial"/>
          <w:sz w:val="24"/>
          <w:szCs w:val="24"/>
        </w:rPr>
        <w:t xml:space="preserve">perante </w:t>
      </w:r>
      <w:r w:rsidR="00CA39B2" w:rsidRPr="003A1174">
        <w:rPr>
          <w:rFonts w:ascii="Garamond" w:hAnsi="Garamond" w:cs="Arial"/>
          <w:sz w:val="24"/>
          <w:szCs w:val="24"/>
        </w:rPr>
        <w:t xml:space="preserve">os </w:t>
      </w:r>
      <w:r w:rsidR="003F012B" w:rsidRPr="003A1174">
        <w:rPr>
          <w:rFonts w:ascii="Garamond" w:hAnsi="Garamond" w:cs="Arial"/>
          <w:sz w:val="24"/>
          <w:szCs w:val="24"/>
        </w:rPr>
        <w:t>órgão</w:t>
      </w:r>
      <w:r w:rsidR="00CA39B2" w:rsidRPr="003A1174">
        <w:rPr>
          <w:rFonts w:ascii="Garamond" w:hAnsi="Garamond" w:cs="Arial"/>
          <w:sz w:val="24"/>
          <w:szCs w:val="24"/>
        </w:rPr>
        <w:t xml:space="preserve">s </w:t>
      </w:r>
      <w:r w:rsidR="00EF645F" w:rsidRPr="003A1174">
        <w:rPr>
          <w:rFonts w:ascii="Garamond" w:hAnsi="Garamond" w:cs="Arial"/>
          <w:sz w:val="24"/>
          <w:szCs w:val="24"/>
        </w:rPr>
        <w:t>internacionais</w:t>
      </w:r>
      <w:r w:rsidR="00CA39B2" w:rsidRPr="003A1174">
        <w:rPr>
          <w:rFonts w:ascii="Garamond" w:hAnsi="Garamond" w:cs="Arial"/>
          <w:sz w:val="24"/>
          <w:szCs w:val="24"/>
        </w:rPr>
        <w:t xml:space="preserve"> de </w:t>
      </w:r>
      <w:r w:rsidR="00253B1D" w:rsidRPr="003A1174">
        <w:rPr>
          <w:rFonts w:ascii="Garamond" w:hAnsi="Garamond" w:cs="Arial"/>
          <w:sz w:val="24"/>
          <w:szCs w:val="24"/>
        </w:rPr>
        <w:t>controlo</w:t>
      </w:r>
      <w:r w:rsidR="00CA39B2" w:rsidRPr="003A1174">
        <w:rPr>
          <w:rFonts w:ascii="Garamond" w:hAnsi="Garamond" w:cs="Arial"/>
          <w:sz w:val="24"/>
          <w:szCs w:val="24"/>
        </w:rPr>
        <w:t xml:space="preserve">: </w:t>
      </w:r>
      <w:r w:rsidR="00AF6765" w:rsidRPr="003A1174">
        <w:rPr>
          <w:rFonts w:ascii="Garamond" w:hAnsi="Garamond" w:cs="Arial"/>
          <w:sz w:val="24"/>
          <w:szCs w:val="24"/>
        </w:rPr>
        <w:t>o</w:t>
      </w:r>
      <w:r w:rsidR="00CA39B2" w:rsidRPr="003A1174">
        <w:rPr>
          <w:rFonts w:ascii="Garamond" w:hAnsi="Garamond" w:cs="Arial"/>
          <w:sz w:val="24"/>
          <w:szCs w:val="24"/>
        </w:rPr>
        <w:t xml:space="preserve"> </w:t>
      </w:r>
      <w:r w:rsidR="004C1496" w:rsidRPr="003A1174">
        <w:rPr>
          <w:rFonts w:ascii="Garamond" w:hAnsi="Garamond" w:cs="Arial"/>
          <w:sz w:val="24"/>
          <w:szCs w:val="24"/>
        </w:rPr>
        <w:lastRenderedPageBreak/>
        <w:t>Conselho</w:t>
      </w:r>
      <w:r w:rsidR="00CA39B2" w:rsidRPr="003A1174">
        <w:rPr>
          <w:rFonts w:ascii="Garamond" w:hAnsi="Garamond" w:cs="Arial"/>
          <w:sz w:val="24"/>
          <w:szCs w:val="24"/>
        </w:rPr>
        <w:t xml:space="preserve"> de </w:t>
      </w:r>
      <w:r w:rsidR="00886D6A" w:rsidRPr="003A1174">
        <w:rPr>
          <w:rFonts w:ascii="Garamond" w:hAnsi="Garamond" w:cs="Arial"/>
          <w:sz w:val="24"/>
          <w:szCs w:val="24"/>
        </w:rPr>
        <w:t>Direito</w:t>
      </w:r>
      <w:r w:rsidR="00CA39B2" w:rsidRPr="003A1174">
        <w:rPr>
          <w:rFonts w:ascii="Garamond" w:hAnsi="Garamond" w:cs="Arial"/>
          <w:sz w:val="24"/>
          <w:szCs w:val="24"/>
        </w:rPr>
        <w:t>s Humanos co</w:t>
      </w:r>
      <w:r w:rsidR="00AF6765" w:rsidRPr="003A1174">
        <w:rPr>
          <w:rFonts w:ascii="Garamond" w:hAnsi="Garamond" w:cs="Arial"/>
          <w:sz w:val="24"/>
          <w:szCs w:val="24"/>
        </w:rPr>
        <w:t xml:space="preserve">m o seu </w:t>
      </w:r>
      <w:r w:rsidR="00120915" w:rsidRPr="003A1174">
        <w:rPr>
          <w:rFonts w:ascii="Garamond" w:hAnsi="Garamond" w:cs="Arial"/>
          <w:sz w:val="24"/>
          <w:szCs w:val="24"/>
        </w:rPr>
        <w:t>Exame</w:t>
      </w:r>
      <w:r w:rsidR="00CA39B2" w:rsidRPr="003A1174">
        <w:rPr>
          <w:rFonts w:ascii="Garamond" w:hAnsi="Garamond" w:cs="Arial"/>
          <w:sz w:val="24"/>
          <w:szCs w:val="24"/>
        </w:rPr>
        <w:t xml:space="preserve"> Periódico Universal (Segunda Ronda)</w:t>
      </w:r>
      <w:r w:rsidR="00B725A7" w:rsidRPr="003A1174">
        <w:rPr>
          <w:rFonts w:ascii="Garamond" w:hAnsi="Garamond" w:cs="Arial"/>
          <w:sz w:val="24"/>
          <w:szCs w:val="24"/>
        </w:rPr>
        <w:t>,</w:t>
      </w:r>
      <w:r w:rsidR="00CA39B2" w:rsidRPr="003A1174">
        <w:rPr>
          <w:rStyle w:val="Caracteresdenotaalpie"/>
          <w:rFonts w:ascii="Garamond" w:hAnsi="Garamond" w:cs="Arial"/>
          <w:sz w:val="24"/>
          <w:szCs w:val="24"/>
        </w:rPr>
        <w:footnoteReference w:id="109"/>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AF6765" w:rsidRPr="003A1174">
        <w:rPr>
          <w:rFonts w:ascii="Garamond" w:hAnsi="Garamond" w:cs="Arial"/>
          <w:sz w:val="24"/>
          <w:szCs w:val="24"/>
        </w:rPr>
        <w:t>o</w:t>
      </w:r>
      <w:r w:rsidR="00CA39B2" w:rsidRPr="003A1174">
        <w:rPr>
          <w:rFonts w:ascii="Garamond" w:hAnsi="Garamond" w:cs="Arial"/>
          <w:sz w:val="24"/>
          <w:szCs w:val="24"/>
        </w:rPr>
        <w:t xml:space="preserve"> Comité de </w:t>
      </w:r>
      <w:r w:rsidR="00886D6A" w:rsidRPr="003A1174">
        <w:rPr>
          <w:rFonts w:ascii="Garamond" w:hAnsi="Garamond" w:cs="Arial"/>
          <w:sz w:val="24"/>
          <w:szCs w:val="24"/>
        </w:rPr>
        <w:t>Direito</w:t>
      </w:r>
      <w:r w:rsidR="00CA39B2" w:rsidRPr="003A1174">
        <w:rPr>
          <w:rFonts w:ascii="Garamond" w:hAnsi="Garamond" w:cs="Arial"/>
          <w:sz w:val="24"/>
          <w:szCs w:val="24"/>
        </w:rPr>
        <w:t xml:space="preserve">s Humanos, que </w:t>
      </w:r>
      <w:r w:rsidR="00AF6765" w:rsidRPr="003A1174">
        <w:rPr>
          <w:rFonts w:ascii="Garamond" w:hAnsi="Garamond" w:cs="Arial"/>
          <w:sz w:val="24"/>
          <w:szCs w:val="24"/>
        </w:rPr>
        <w:t xml:space="preserve">na sua </w:t>
      </w:r>
      <w:r w:rsidR="00CA39B2" w:rsidRPr="003A1174">
        <w:rPr>
          <w:rFonts w:ascii="Garamond" w:hAnsi="Garamond" w:cs="Arial"/>
          <w:sz w:val="24"/>
          <w:szCs w:val="24"/>
        </w:rPr>
        <w:t>109</w:t>
      </w:r>
      <w:r>
        <w:rPr>
          <w:rFonts w:ascii="Garamond" w:hAnsi="Garamond" w:cs="Arial"/>
          <w:sz w:val="24"/>
          <w:szCs w:val="24"/>
        </w:rPr>
        <w:t>.</w:t>
      </w:r>
      <w:r w:rsidR="00CA39B2" w:rsidRPr="003A1174">
        <w:rPr>
          <w:rFonts w:ascii="Garamond" w:hAnsi="Garamond" w:cs="Arial"/>
          <w:sz w:val="24"/>
          <w:szCs w:val="24"/>
        </w:rPr>
        <w:t xml:space="preserve">ª </w:t>
      </w:r>
      <w:r w:rsidR="00AF6765" w:rsidRPr="003A1174">
        <w:rPr>
          <w:rFonts w:ascii="Garamond" w:hAnsi="Garamond" w:cs="Arial"/>
          <w:sz w:val="24"/>
          <w:szCs w:val="24"/>
        </w:rPr>
        <w:t>Sessão</w:t>
      </w:r>
      <w:r w:rsidR="00CA39B2" w:rsidRPr="003A1174">
        <w:rPr>
          <w:rFonts w:ascii="Garamond" w:hAnsi="Garamond" w:cs="Arial"/>
          <w:sz w:val="24"/>
          <w:szCs w:val="24"/>
        </w:rPr>
        <w:t xml:space="preserve"> </w:t>
      </w:r>
      <w:r>
        <w:rPr>
          <w:rFonts w:ascii="Garamond" w:hAnsi="Garamond" w:cs="Arial"/>
          <w:sz w:val="24"/>
          <w:szCs w:val="24"/>
        </w:rPr>
        <w:t xml:space="preserve">avaliou </w:t>
      </w:r>
      <w:r w:rsidR="00AF6765" w:rsidRPr="003A1174">
        <w:rPr>
          <w:rFonts w:ascii="Garamond" w:hAnsi="Garamond" w:cs="Arial"/>
          <w:sz w:val="24"/>
          <w:szCs w:val="24"/>
        </w:rPr>
        <w:t xml:space="preserve">o </w:t>
      </w:r>
      <w:r w:rsidR="00CA39B2" w:rsidRPr="003A1174">
        <w:rPr>
          <w:rFonts w:ascii="Garamond" w:hAnsi="Garamond" w:cs="Arial"/>
          <w:sz w:val="24"/>
          <w:szCs w:val="24"/>
        </w:rPr>
        <w:t xml:space="preserve">Estado </w:t>
      </w:r>
      <w:r w:rsidR="00AF6765" w:rsidRPr="003A1174">
        <w:rPr>
          <w:rFonts w:ascii="Garamond" w:hAnsi="Garamond" w:cs="Arial"/>
          <w:sz w:val="24"/>
          <w:szCs w:val="24"/>
        </w:rPr>
        <w:t>n</w:t>
      </w:r>
      <w:r w:rsidR="00CA39B2" w:rsidRPr="003A1174">
        <w:rPr>
          <w:rFonts w:ascii="Garamond" w:hAnsi="Garamond" w:cs="Arial"/>
          <w:sz w:val="24"/>
          <w:szCs w:val="24"/>
        </w:rPr>
        <w:t xml:space="preserve">a </w:t>
      </w:r>
      <w:r w:rsidR="00B14AA6" w:rsidRPr="003A1174">
        <w:rPr>
          <w:rFonts w:ascii="Garamond" w:hAnsi="Garamond" w:cs="Arial"/>
          <w:sz w:val="24"/>
          <w:szCs w:val="24"/>
        </w:rPr>
        <w:t>aplicação</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Pacto Internacional de </w:t>
      </w:r>
      <w:r w:rsidR="00886D6A" w:rsidRPr="003A1174">
        <w:rPr>
          <w:rFonts w:ascii="Garamond" w:hAnsi="Garamond" w:cs="Arial"/>
          <w:sz w:val="24"/>
          <w:szCs w:val="24"/>
        </w:rPr>
        <w:t>Direito</w:t>
      </w:r>
      <w:r w:rsidR="00CA39B2" w:rsidRPr="003A1174">
        <w:rPr>
          <w:rFonts w:ascii="Garamond" w:hAnsi="Garamond" w:cs="Arial"/>
          <w:sz w:val="24"/>
          <w:szCs w:val="24"/>
        </w:rPr>
        <w:t xml:space="preserve">s </w:t>
      </w:r>
      <w:r w:rsidR="00745303" w:rsidRPr="003A1174">
        <w:rPr>
          <w:rFonts w:ascii="Garamond" w:hAnsi="Garamond" w:cs="Arial"/>
          <w:sz w:val="24"/>
          <w:szCs w:val="24"/>
        </w:rPr>
        <w:t>Civis</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Políticos.</w:t>
      </w:r>
      <w:r w:rsidR="00CA39B2" w:rsidRPr="003A1174">
        <w:rPr>
          <w:rStyle w:val="Caracteresdenotaalpie"/>
          <w:rFonts w:ascii="Garamond" w:hAnsi="Garamond" w:cs="Arial"/>
          <w:sz w:val="24"/>
          <w:szCs w:val="24"/>
        </w:rPr>
        <w:footnoteReference w:id="110"/>
      </w:r>
      <w:r w:rsidR="00CA39B2" w:rsidRPr="003A1174">
        <w:rPr>
          <w:rStyle w:val="Refdecomentario"/>
          <w:rFonts w:ascii="Garamond" w:hAnsi="Garamond" w:cs="Arial"/>
          <w:sz w:val="24"/>
          <w:szCs w:val="24"/>
        </w:rPr>
        <w:t xml:space="preserve"> </w:t>
      </w:r>
    </w:p>
    <w:p w:rsidR="00CA39B2" w:rsidRPr="003A1174" w:rsidRDefault="00AF6765" w:rsidP="008719D4">
      <w:pPr>
        <w:spacing w:before="240" w:line="240" w:lineRule="auto"/>
        <w:jc w:val="both"/>
        <w:rPr>
          <w:rFonts w:ascii="Garamond" w:eastAsia="Arial" w:hAnsi="Garamond" w:cs="Arial"/>
          <w:sz w:val="24"/>
          <w:szCs w:val="24"/>
        </w:rPr>
      </w:pPr>
      <w:r w:rsidRPr="003A1174">
        <w:rPr>
          <w:rFonts w:ascii="Garamond" w:hAnsi="Garamond" w:cs="Arial"/>
          <w:sz w:val="24"/>
          <w:szCs w:val="24"/>
        </w:rPr>
        <w:t xml:space="preserve">No </w:t>
      </w:r>
      <w:r w:rsidR="009E3E55" w:rsidRPr="003A1174">
        <w:rPr>
          <w:rFonts w:ascii="Garamond" w:hAnsi="Garamond" w:cs="Arial"/>
          <w:sz w:val="24"/>
          <w:szCs w:val="24"/>
        </w:rPr>
        <w:t>relatório</w:t>
      </w:r>
      <w:r w:rsidR="00CA39B2" w:rsidRPr="003A1174">
        <w:rPr>
          <w:rFonts w:ascii="Garamond" w:hAnsi="Garamond" w:cs="Arial"/>
          <w:sz w:val="24"/>
          <w:szCs w:val="24"/>
        </w:rPr>
        <w:t xml:space="preserve"> anual</w:t>
      </w:r>
      <w:r w:rsidR="002F319E" w:rsidRPr="003A1174">
        <w:rPr>
          <w:rFonts w:ascii="Garamond" w:hAnsi="Garamond" w:cs="Arial"/>
          <w:sz w:val="24"/>
          <w:szCs w:val="24"/>
        </w:rPr>
        <w:t>,</w:t>
      </w:r>
      <w:r w:rsidR="00CA39B2" w:rsidRPr="003A1174">
        <w:rPr>
          <w:rFonts w:ascii="Garamond" w:hAnsi="Garamond" w:cs="Arial"/>
          <w:sz w:val="24"/>
          <w:szCs w:val="24"/>
        </w:rPr>
        <w:t xml:space="preserve"> entreg</w:t>
      </w:r>
      <w:r w:rsidRPr="003A1174">
        <w:rPr>
          <w:rFonts w:ascii="Garamond" w:hAnsi="Garamond" w:cs="Arial"/>
          <w:sz w:val="24"/>
          <w:szCs w:val="24"/>
        </w:rPr>
        <w:t xml:space="preserve">ue a </w:t>
      </w:r>
      <w:r w:rsidR="00CA39B2" w:rsidRPr="003A1174">
        <w:rPr>
          <w:rFonts w:ascii="Garamond" w:hAnsi="Garamond" w:cs="Arial"/>
          <w:sz w:val="24"/>
          <w:szCs w:val="24"/>
        </w:rPr>
        <w:t>30 de abril de 2014</w:t>
      </w:r>
      <w:r w:rsidR="0010482B">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à </w:t>
      </w:r>
      <w:r w:rsidR="00C30647" w:rsidRPr="003A1174">
        <w:rPr>
          <w:rFonts w:ascii="Garamond" w:hAnsi="Garamond" w:cs="Arial"/>
          <w:sz w:val="24"/>
          <w:szCs w:val="24"/>
        </w:rPr>
        <w:t>Assembleia</w:t>
      </w:r>
      <w:r w:rsidR="00CA39B2" w:rsidRPr="003A1174">
        <w:rPr>
          <w:rFonts w:ascii="Garamond" w:hAnsi="Garamond" w:cs="Arial"/>
          <w:sz w:val="24"/>
          <w:szCs w:val="24"/>
        </w:rPr>
        <w:t xml:space="preserve"> </w:t>
      </w:r>
      <w:r w:rsidR="00077461" w:rsidRPr="003A1174">
        <w:rPr>
          <w:rFonts w:ascii="Garamond" w:hAnsi="Garamond" w:cs="Arial"/>
          <w:sz w:val="24"/>
          <w:szCs w:val="24"/>
        </w:rPr>
        <w:t>Geral</w:t>
      </w:r>
      <w:r w:rsidR="00B725A7" w:rsidRPr="003A1174">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incluiu-</w:t>
      </w:r>
      <w:r w:rsidR="00CA39B2" w:rsidRPr="003A1174">
        <w:rPr>
          <w:rFonts w:ascii="Garamond" w:hAnsi="Garamond" w:cs="Arial"/>
          <w:sz w:val="24"/>
          <w:szCs w:val="24"/>
        </w:rPr>
        <w:t xml:space="preserve">se </w:t>
      </w:r>
      <w:r w:rsidRPr="003A1174">
        <w:rPr>
          <w:rFonts w:ascii="Garamond" w:hAnsi="Garamond" w:cs="Arial"/>
          <w:sz w:val="24"/>
          <w:szCs w:val="24"/>
        </w:rPr>
        <w:t xml:space="preserve">um </w:t>
      </w:r>
      <w:r w:rsidR="00CA39B2" w:rsidRPr="003A1174">
        <w:rPr>
          <w:rFonts w:ascii="Garamond" w:hAnsi="Garamond" w:cs="Arial"/>
          <w:sz w:val="24"/>
          <w:szCs w:val="24"/>
        </w:rPr>
        <w:t>capítulo s</w:t>
      </w:r>
      <w:r w:rsidRPr="003A1174">
        <w:rPr>
          <w:rFonts w:ascii="Garamond" w:hAnsi="Garamond" w:cs="Arial"/>
          <w:sz w:val="24"/>
          <w:szCs w:val="24"/>
        </w:rPr>
        <w:t xml:space="preserve">obre </w:t>
      </w:r>
      <w:r w:rsidR="00CA39B2" w:rsidRPr="003A1174">
        <w:rPr>
          <w:rFonts w:ascii="Garamond" w:hAnsi="Garamond" w:cs="Arial"/>
          <w:sz w:val="24"/>
          <w:szCs w:val="24"/>
        </w:rPr>
        <w:t xml:space="preserve">os </w:t>
      </w:r>
      <w:r w:rsidR="00886D6A" w:rsidRPr="003A1174">
        <w:rPr>
          <w:rFonts w:ascii="Garamond" w:hAnsi="Garamond" w:cs="Arial"/>
          <w:sz w:val="24"/>
          <w:szCs w:val="24"/>
        </w:rPr>
        <w:t>direito</w:t>
      </w:r>
      <w:r w:rsidR="00CA39B2" w:rsidRPr="003A1174">
        <w:rPr>
          <w:rFonts w:ascii="Garamond" w:hAnsi="Garamond" w:cs="Arial"/>
          <w:sz w:val="24"/>
          <w:szCs w:val="24"/>
        </w:rPr>
        <w:t xml:space="preserve">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3A391A" w:rsidRPr="003A1174">
        <w:rPr>
          <w:rFonts w:ascii="Garamond" w:hAnsi="Garamond" w:cs="Arial"/>
          <w:sz w:val="24"/>
          <w:szCs w:val="24"/>
        </w:rPr>
        <w:t>Nos</w:t>
      </w:r>
      <w:r w:rsidR="00CA39B2" w:rsidRPr="003A1174">
        <w:rPr>
          <w:rFonts w:ascii="Garamond" w:hAnsi="Garamond" w:cs="Arial"/>
          <w:sz w:val="24"/>
          <w:szCs w:val="24"/>
        </w:rPr>
        <w:t xml:space="preserve"> </w:t>
      </w:r>
      <w:r w:rsidR="006F7276" w:rsidRPr="003A1174">
        <w:rPr>
          <w:rFonts w:ascii="Garamond" w:hAnsi="Garamond" w:cs="Arial"/>
          <w:sz w:val="24"/>
          <w:szCs w:val="24"/>
        </w:rPr>
        <w:t>seguintes</w:t>
      </w:r>
      <w:r w:rsidR="00CA39B2" w:rsidRPr="003A1174">
        <w:rPr>
          <w:rFonts w:ascii="Garamond" w:hAnsi="Garamond" w:cs="Arial"/>
          <w:sz w:val="24"/>
          <w:szCs w:val="24"/>
        </w:rPr>
        <w:t xml:space="preserve"> </w:t>
      </w:r>
      <w:r w:rsidR="002E7FD5" w:rsidRPr="003A1174">
        <w:rPr>
          <w:rFonts w:ascii="Garamond" w:hAnsi="Garamond" w:cs="Arial"/>
          <w:sz w:val="24"/>
          <w:szCs w:val="24"/>
        </w:rPr>
        <w:t>parágrafo</w:t>
      </w:r>
      <w:r w:rsidR="00CA39B2" w:rsidRPr="003A1174">
        <w:rPr>
          <w:rFonts w:ascii="Garamond" w:hAnsi="Garamond" w:cs="Arial"/>
          <w:sz w:val="24"/>
          <w:szCs w:val="24"/>
        </w:rPr>
        <w:t xml:space="preserve">s </w:t>
      </w:r>
      <w:r w:rsidRPr="003A1174">
        <w:rPr>
          <w:rFonts w:ascii="Garamond" w:hAnsi="Garamond" w:cs="Arial"/>
          <w:sz w:val="24"/>
          <w:szCs w:val="24"/>
        </w:rPr>
        <w:t>faz-</w:t>
      </w:r>
      <w:r w:rsidR="00CA39B2" w:rsidRPr="003A1174">
        <w:rPr>
          <w:rFonts w:ascii="Garamond" w:hAnsi="Garamond" w:cs="Arial"/>
          <w:sz w:val="24"/>
          <w:szCs w:val="24"/>
        </w:rPr>
        <w:t xml:space="preserve">se </w:t>
      </w:r>
      <w:r w:rsidR="00CB5DB2" w:rsidRPr="003A1174">
        <w:rPr>
          <w:rFonts w:ascii="Garamond" w:hAnsi="Garamond" w:cs="Arial"/>
          <w:sz w:val="24"/>
          <w:szCs w:val="24"/>
        </w:rPr>
        <w:t>referência</w:t>
      </w:r>
      <w:r w:rsidR="00CA39B2" w:rsidRPr="003A1174">
        <w:rPr>
          <w:rFonts w:ascii="Garamond" w:hAnsi="Garamond" w:cs="Arial"/>
          <w:sz w:val="24"/>
          <w:szCs w:val="24"/>
        </w:rPr>
        <w:t xml:space="preserve"> ao</w:t>
      </w:r>
      <w:r w:rsidRPr="003A1174">
        <w:rPr>
          <w:rFonts w:ascii="Garamond" w:hAnsi="Garamond" w:cs="Arial"/>
          <w:sz w:val="24"/>
          <w:szCs w:val="24"/>
        </w:rPr>
        <w:t xml:space="preserve"> </w:t>
      </w:r>
      <w:r w:rsidR="0010482B">
        <w:rPr>
          <w:rFonts w:ascii="Garamond" w:hAnsi="Garamond" w:cs="Arial"/>
          <w:sz w:val="24"/>
          <w:szCs w:val="24"/>
        </w:rPr>
        <w:t xml:space="preserve">que foi dito </w:t>
      </w:r>
      <w:r w:rsidRPr="003A1174">
        <w:rPr>
          <w:rFonts w:ascii="Garamond" w:hAnsi="Garamond" w:cs="Arial"/>
          <w:sz w:val="24"/>
          <w:szCs w:val="24"/>
        </w:rPr>
        <w:t xml:space="preserve">nessa ocasião, </w:t>
      </w:r>
      <w:r w:rsidR="00A41BDF" w:rsidRPr="003A1174">
        <w:rPr>
          <w:rFonts w:ascii="Garamond" w:hAnsi="Garamond" w:cs="Arial"/>
          <w:sz w:val="24"/>
          <w:szCs w:val="24"/>
        </w:rPr>
        <w:t>especialmente</w:t>
      </w:r>
      <w:r w:rsidR="0010482B">
        <w:rPr>
          <w:rFonts w:ascii="Garamond" w:hAnsi="Garamond" w:cs="Arial"/>
          <w:sz w:val="24"/>
          <w:szCs w:val="24"/>
        </w:rPr>
        <w:t>,</w:t>
      </w:r>
      <w:r w:rsidRPr="003A1174">
        <w:rPr>
          <w:rFonts w:ascii="Garamond" w:hAnsi="Garamond" w:cs="Arial"/>
          <w:sz w:val="24"/>
          <w:szCs w:val="24"/>
        </w:rPr>
        <w:t xml:space="preserve"> no que respeit</w:t>
      </w:r>
      <w:r w:rsidR="00C409EE">
        <w:rPr>
          <w:rFonts w:ascii="Garamond" w:hAnsi="Garamond" w:cs="Arial"/>
          <w:sz w:val="24"/>
          <w:szCs w:val="24"/>
        </w:rPr>
        <w:t>a</w:t>
      </w:r>
      <w:r w:rsidRPr="003A1174">
        <w:rPr>
          <w:rFonts w:ascii="Garamond" w:hAnsi="Garamond" w:cs="Arial"/>
          <w:sz w:val="24"/>
          <w:szCs w:val="24"/>
        </w:rPr>
        <w:t xml:space="preserve"> à </w:t>
      </w:r>
      <w:r w:rsidR="000350B1" w:rsidRPr="003A1174">
        <w:rPr>
          <w:rFonts w:ascii="Garamond" w:hAnsi="Garamond" w:cs="Arial"/>
          <w:sz w:val="24"/>
          <w:szCs w:val="24"/>
        </w:rPr>
        <w:t>violência</w:t>
      </w:r>
      <w:r w:rsidR="00CA39B2" w:rsidRPr="003A1174">
        <w:rPr>
          <w:rFonts w:ascii="Garamond" w:hAnsi="Garamond" w:cs="Arial"/>
          <w:sz w:val="24"/>
          <w:szCs w:val="24"/>
        </w:rPr>
        <w:t xml:space="preserve"> intrafamiliar.</w:t>
      </w:r>
    </w:p>
    <w:p w:rsidR="00CA39B2" w:rsidRPr="003A1174" w:rsidRDefault="00AF6765" w:rsidP="008719D4">
      <w:pPr>
        <w:spacing w:before="240" w:line="240" w:lineRule="auto"/>
        <w:jc w:val="both"/>
        <w:rPr>
          <w:rFonts w:ascii="Garamond" w:eastAsia="Arial" w:hAnsi="Garamond" w:cs="Arial"/>
          <w:sz w:val="24"/>
          <w:szCs w:val="24"/>
        </w:rPr>
      </w:pPr>
      <w:r w:rsidRPr="003A1174">
        <w:rPr>
          <w:rFonts w:ascii="Garamond" w:hAnsi="Garamond" w:cs="Arial"/>
          <w:sz w:val="24"/>
          <w:szCs w:val="24"/>
        </w:rPr>
        <w:t>Apesar d</w:t>
      </w:r>
      <w:r w:rsidR="003A3461">
        <w:rPr>
          <w:rFonts w:ascii="Garamond" w:hAnsi="Garamond" w:cs="Arial"/>
          <w:sz w:val="24"/>
          <w:szCs w:val="24"/>
        </w:rPr>
        <w:t xml:space="preserve">e </w:t>
      </w:r>
      <w:r w:rsidRPr="003A1174">
        <w:rPr>
          <w:rFonts w:ascii="Garamond" w:hAnsi="Garamond" w:cs="Arial"/>
          <w:sz w:val="24"/>
          <w:szCs w:val="24"/>
        </w:rPr>
        <w:t xml:space="preserve">a </w:t>
      </w:r>
      <w:r w:rsidR="00CA39B2" w:rsidRPr="003A1174">
        <w:rPr>
          <w:rFonts w:ascii="Garamond" w:hAnsi="Garamond" w:cs="Arial"/>
          <w:sz w:val="24"/>
          <w:szCs w:val="24"/>
        </w:rPr>
        <w:t>INDDHH destaca</w:t>
      </w:r>
      <w:r w:rsidRPr="003A1174">
        <w:rPr>
          <w:rFonts w:ascii="Garamond" w:hAnsi="Garamond" w:cs="Arial"/>
          <w:sz w:val="24"/>
          <w:szCs w:val="24"/>
        </w:rPr>
        <w:t xml:space="preserve">r </w:t>
      </w:r>
      <w:r w:rsidR="00CA39B2" w:rsidRPr="003A1174">
        <w:rPr>
          <w:rFonts w:ascii="Garamond" w:hAnsi="Garamond" w:cs="Arial"/>
          <w:sz w:val="24"/>
          <w:szCs w:val="24"/>
        </w:rPr>
        <w:t xml:space="preserve">os </w:t>
      </w:r>
      <w:r w:rsidR="00FC1F7F" w:rsidRPr="003A1174">
        <w:rPr>
          <w:rFonts w:ascii="Garamond" w:hAnsi="Garamond" w:cs="Arial"/>
          <w:sz w:val="24"/>
          <w:szCs w:val="24"/>
        </w:rPr>
        <w:t>avanços</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país </w:t>
      </w:r>
      <w:r w:rsidRPr="003A1174">
        <w:rPr>
          <w:rFonts w:ascii="Garamond" w:hAnsi="Garamond" w:cs="Arial"/>
          <w:sz w:val="24"/>
          <w:szCs w:val="24"/>
        </w:rPr>
        <w:t xml:space="preserve">na </w:t>
      </w:r>
      <w:r w:rsidR="00CA39B2" w:rsidRPr="003A1174">
        <w:rPr>
          <w:rFonts w:ascii="Garamond" w:hAnsi="Garamond" w:cs="Arial"/>
          <w:sz w:val="24"/>
          <w:szCs w:val="24"/>
        </w:rPr>
        <w:t xml:space="preserve">área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00886D6A" w:rsidRPr="003A1174">
        <w:rPr>
          <w:rFonts w:ascii="Garamond" w:hAnsi="Garamond" w:cs="Arial"/>
          <w:sz w:val="24"/>
          <w:szCs w:val="24"/>
        </w:rPr>
        <w:t>direito</w:t>
      </w:r>
      <w:r w:rsidR="00CA39B2" w:rsidRPr="003A1174">
        <w:rPr>
          <w:rFonts w:ascii="Garamond" w:hAnsi="Garamond" w:cs="Arial"/>
          <w:sz w:val="24"/>
          <w:szCs w:val="24"/>
        </w:rPr>
        <w:t xml:space="preserve">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ent</w:t>
      </w:r>
      <w:r w:rsidR="00CA39B2" w:rsidRPr="003A1174">
        <w:rPr>
          <w:rFonts w:ascii="Garamond" w:hAnsi="Garamond" w:cs="Arial"/>
          <w:sz w:val="24"/>
          <w:szCs w:val="24"/>
        </w:rPr>
        <w:t>ende</w:t>
      </w:r>
      <w:r w:rsidR="00C409EE">
        <w:rPr>
          <w:rFonts w:ascii="Garamond" w:hAnsi="Garamond" w:cs="Arial"/>
          <w:sz w:val="24"/>
          <w:szCs w:val="24"/>
        </w:rPr>
        <w:t>-se</w:t>
      </w:r>
      <w:r w:rsidR="00CA39B2" w:rsidRPr="003A1174">
        <w:rPr>
          <w:rFonts w:ascii="Garamond" w:hAnsi="Garamond" w:cs="Arial"/>
          <w:sz w:val="24"/>
          <w:szCs w:val="24"/>
        </w:rPr>
        <w:t xml:space="preserve"> que</w:t>
      </w:r>
      <w:r w:rsidR="00C409EE">
        <w:rPr>
          <w:rFonts w:ascii="Garamond" w:hAnsi="Garamond" w:cs="Arial"/>
          <w:sz w:val="24"/>
          <w:szCs w:val="24"/>
        </w:rPr>
        <w:t>,</w:t>
      </w:r>
      <w:r w:rsidR="00CA39B2" w:rsidRPr="003A1174">
        <w:rPr>
          <w:rFonts w:ascii="Garamond" w:hAnsi="Garamond" w:cs="Arial"/>
          <w:sz w:val="24"/>
          <w:szCs w:val="24"/>
        </w:rPr>
        <w:t xml:space="preserve"> a</w:t>
      </w:r>
      <w:r w:rsidRPr="003A1174">
        <w:rPr>
          <w:rFonts w:ascii="Garamond" w:hAnsi="Garamond" w:cs="Arial"/>
          <w:sz w:val="24"/>
          <w:szCs w:val="24"/>
        </w:rPr>
        <w:t xml:space="preserve">inda </w:t>
      </w:r>
      <w:r w:rsidR="00CA39B2" w:rsidRPr="003A1174">
        <w:rPr>
          <w:rFonts w:ascii="Garamond" w:hAnsi="Garamond" w:cs="Arial"/>
          <w:sz w:val="24"/>
          <w:szCs w:val="24"/>
        </w:rPr>
        <w:t>persiste</w:t>
      </w:r>
      <w:r w:rsidRPr="003A1174">
        <w:rPr>
          <w:rFonts w:ascii="Garamond" w:hAnsi="Garamond" w:cs="Arial"/>
          <w:sz w:val="24"/>
          <w:szCs w:val="24"/>
        </w:rPr>
        <w:t>m vários desafi</w:t>
      </w:r>
      <w:r w:rsidR="00CA39B2" w:rsidRPr="003A1174">
        <w:rPr>
          <w:rFonts w:ascii="Garamond" w:hAnsi="Garamond" w:cs="Arial"/>
          <w:sz w:val="24"/>
          <w:szCs w:val="24"/>
        </w:rPr>
        <w:t>os que</w:t>
      </w:r>
      <w:r w:rsidR="00C409EE">
        <w:rPr>
          <w:rFonts w:ascii="Garamond" w:hAnsi="Garamond" w:cs="Arial"/>
          <w:sz w:val="24"/>
          <w:szCs w:val="24"/>
        </w:rPr>
        <w:t>,</w:t>
      </w:r>
      <w:r w:rsidR="00CA39B2" w:rsidRPr="003A1174">
        <w:rPr>
          <w:rFonts w:ascii="Garamond" w:hAnsi="Garamond" w:cs="Arial"/>
          <w:sz w:val="24"/>
          <w:szCs w:val="24"/>
        </w:rPr>
        <w:t xml:space="preserve"> como </w:t>
      </w:r>
      <w:r w:rsidR="002C7510" w:rsidRPr="003A1174">
        <w:rPr>
          <w:rFonts w:ascii="Garamond" w:hAnsi="Garamond" w:cs="Arial"/>
          <w:sz w:val="24"/>
          <w:szCs w:val="24"/>
        </w:rPr>
        <w:t>sociedade</w:t>
      </w:r>
      <w:r w:rsidR="00C409EE">
        <w:rPr>
          <w:rFonts w:ascii="Garamond" w:hAnsi="Garamond" w:cs="Arial"/>
          <w:sz w:val="24"/>
          <w:szCs w:val="24"/>
        </w:rPr>
        <w:t>,</w:t>
      </w:r>
      <w:r w:rsidR="00CA39B2" w:rsidRPr="003A1174">
        <w:rPr>
          <w:rFonts w:ascii="Garamond" w:hAnsi="Garamond" w:cs="Arial"/>
          <w:sz w:val="24"/>
          <w:szCs w:val="24"/>
        </w:rPr>
        <w:t xml:space="preserve"> se </w:t>
      </w:r>
      <w:r w:rsidR="00A862C2" w:rsidRPr="003A1174">
        <w:rPr>
          <w:rFonts w:ascii="Garamond" w:hAnsi="Garamond" w:cs="Arial"/>
          <w:sz w:val="24"/>
          <w:szCs w:val="24"/>
        </w:rPr>
        <w:t>deve</w:t>
      </w:r>
      <w:r w:rsidRPr="003A1174">
        <w:rPr>
          <w:rFonts w:ascii="Garamond" w:hAnsi="Garamond" w:cs="Arial"/>
          <w:sz w:val="24"/>
          <w:szCs w:val="24"/>
        </w:rPr>
        <w:t>m</w:t>
      </w:r>
      <w:r w:rsidR="00CA39B2" w:rsidRPr="003A1174">
        <w:rPr>
          <w:rFonts w:ascii="Garamond" w:hAnsi="Garamond" w:cs="Arial"/>
          <w:sz w:val="24"/>
          <w:szCs w:val="24"/>
        </w:rPr>
        <w:t xml:space="preserve"> superar.</w:t>
      </w:r>
      <w:r w:rsidR="00A41BDF" w:rsidRPr="003A1174">
        <w:rPr>
          <w:rFonts w:ascii="Garamond" w:hAnsi="Garamond" w:cs="Arial"/>
          <w:sz w:val="24"/>
          <w:szCs w:val="24"/>
        </w:rPr>
        <w:t xml:space="preserve"> </w:t>
      </w:r>
      <w:r w:rsidRPr="003A1174">
        <w:rPr>
          <w:rFonts w:ascii="Garamond" w:hAnsi="Garamond" w:cs="Arial"/>
          <w:sz w:val="24"/>
          <w:szCs w:val="24"/>
        </w:rPr>
        <w:t xml:space="preserve">Nesse </w:t>
      </w:r>
      <w:r w:rsidR="00CA39B2" w:rsidRPr="003A1174">
        <w:rPr>
          <w:rFonts w:ascii="Garamond" w:hAnsi="Garamond" w:cs="Arial"/>
          <w:sz w:val="24"/>
          <w:szCs w:val="24"/>
        </w:rPr>
        <w:t>sentido</w:t>
      </w:r>
      <w:r w:rsidR="00A41BDF" w:rsidRPr="003A1174">
        <w:rPr>
          <w:rFonts w:ascii="Garamond" w:hAnsi="Garamond" w:cs="Arial"/>
          <w:sz w:val="24"/>
          <w:szCs w:val="24"/>
        </w:rPr>
        <w:t>,</w:t>
      </w:r>
      <w:r w:rsidR="00CA39B2" w:rsidRPr="003A1174">
        <w:rPr>
          <w:rFonts w:ascii="Garamond" w:hAnsi="Garamond" w:cs="Arial"/>
          <w:sz w:val="24"/>
          <w:szCs w:val="24"/>
        </w:rPr>
        <w:t xml:space="preserve"> considera</w:t>
      </w:r>
      <w:r w:rsidRPr="003A1174">
        <w:rPr>
          <w:rFonts w:ascii="Garamond" w:hAnsi="Garamond" w:cs="Arial"/>
          <w:sz w:val="24"/>
          <w:szCs w:val="24"/>
        </w:rPr>
        <w:t>-se prioritá</w:t>
      </w:r>
      <w:r w:rsidR="00CA39B2" w:rsidRPr="003A1174">
        <w:rPr>
          <w:rFonts w:ascii="Garamond" w:hAnsi="Garamond" w:cs="Arial"/>
          <w:sz w:val="24"/>
          <w:szCs w:val="24"/>
        </w:rPr>
        <w:t xml:space="preserve">rio que </w:t>
      </w:r>
      <w:r w:rsidRPr="003A1174">
        <w:rPr>
          <w:rFonts w:ascii="Garamond" w:hAnsi="Garamond" w:cs="Arial"/>
          <w:sz w:val="24"/>
          <w:szCs w:val="24"/>
        </w:rPr>
        <w:t xml:space="preserve">o </w:t>
      </w:r>
      <w:r w:rsidR="00CA39B2" w:rsidRPr="003A1174">
        <w:rPr>
          <w:rFonts w:ascii="Garamond" w:hAnsi="Garamond" w:cs="Arial"/>
          <w:sz w:val="24"/>
          <w:szCs w:val="24"/>
        </w:rPr>
        <w:t xml:space="preserve">Estado </w:t>
      </w:r>
      <w:r w:rsidR="00C30647" w:rsidRPr="003A1174">
        <w:rPr>
          <w:rFonts w:ascii="Garamond" w:hAnsi="Garamond" w:cs="Arial"/>
          <w:sz w:val="24"/>
          <w:szCs w:val="24"/>
        </w:rPr>
        <w:t>uruguai</w:t>
      </w:r>
      <w:r w:rsidR="00CA39B2" w:rsidRPr="003A1174">
        <w:rPr>
          <w:rFonts w:ascii="Garamond" w:hAnsi="Garamond" w:cs="Arial"/>
          <w:sz w:val="24"/>
          <w:szCs w:val="24"/>
        </w:rPr>
        <w:t>o contin</w:t>
      </w:r>
      <w:r w:rsidRPr="003A1174">
        <w:rPr>
          <w:rFonts w:ascii="Garamond" w:hAnsi="Garamond" w:cs="Arial"/>
          <w:sz w:val="24"/>
          <w:szCs w:val="24"/>
        </w:rPr>
        <w:t xml:space="preserve">ue a </w:t>
      </w:r>
      <w:r w:rsidR="00CA39B2" w:rsidRPr="003A1174">
        <w:rPr>
          <w:rFonts w:ascii="Garamond" w:hAnsi="Garamond" w:cs="Arial"/>
          <w:sz w:val="24"/>
          <w:szCs w:val="24"/>
        </w:rPr>
        <w:t>impuls</w:t>
      </w:r>
      <w:r w:rsidRPr="003A1174">
        <w:rPr>
          <w:rFonts w:ascii="Garamond" w:hAnsi="Garamond" w:cs="Arial"/>
          <w:sz w:val="24"/>
          <w:szCs w:val="24"/>
        </w:rPr>
        <w:t xml:space="preserve">ionar </w:t>
      </w:r>
      <w:r w:rsidR="002C7510" w:rsidRPr="003A1174">
        <w:rPr>
          <w:rFonts w:ascii="Garamond" w:hAnsi="Garamond" w:cs="Arial"/>
          <w:sz w:val="24"/>
          <w:szCs w:val="24"/>
        </w:rPr>
        <w:t>ações</w:t>
      </w:r>
      <w:r w:rsidR="00CA39B2" w:rsidRPr="003A1174">
        <w:rPr>
          <w:rFonts w:ascii="Garamond" w:hAnsi="Garamond" w:cs="Arial"/>
          <w:sz w:val="24"/>
          <w:szCs w:val="24"/>
        </w:rPr>
        <w:t xml:space="preserve"> </w:t>
      </w:r>
      <w:r w:rsidRPr="003A1174">
        <w:rPr>
          <w:rFonts w:ascii="Garamond" w:hAnsi="Garamond" w:cs="Arial"/>
          <w:sz w:val="24"/>
          <w:szCs w:val="24"/>
        </w:rPr>
        <w:t xml:space="preserve">no sentido da </w:t>
      </w:r>
      <w:r w:rsidR="002F5CD1" w:rsidRPr="003A1174">
        <w:rPr>
          <w:rFonts w:ascii="Garamond" w:hAnsi="Garamond" w:cs="Arial"/>
          <w:sz w:val="24"/>
          <w:szCs w:val="24"/>
        </w:rPr>
        <w:t>promoção</w:t>
      </w:r>
      <w:r w:rsidR="00CA39B2" w:rsidRPr="003A1174">
        <w:rPr>
          <w:rFonts w:ascii="Garamond" w:hAnsi="Garamond" w:cs="Arial"/>
          <w:sz w:val="24"/>
          <w:szCs w:val="24"/>
        </w:rPr>
        <w:t xml:space="preserve">, </w:t>
      </w:r>
      <w:r w:rsidR="00886D6A" w:rsidRPr="003A1174">
        <w:rPr>
          <w:rFonts w:ascii="Garamond" w:hAnsi="Garamond" w:cs="Arial"/>
          <w:sz w:val="24"/>
          <w:szCs w:val="24"/>
        </w:rPr>
        <w:t>proteção</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pleno </w:t>
      </w:r>
      <w:r w:rsidR="00731B19" w:rsidRPr="003A1174">
        <w:rPr>
          <w:rFonts w:ascii="Garamond" w:hAnsi="Garamond" w:cs="Arial"/>
          <w:sz w:val="24"/>
          <w:szCs w:val="24"/>
        </w:rPr>
        <w:t>exercício</w:t>
      </w:r>
      <w:r w:rsidR="00CA39B2" w:rsidRPr="003A1174">
        <w:rPr>
          <w:rFonts w:ascii="Garamond" w:hAnsi="Garamond" w:cs="Arial"/>
          <w:sz w:val="24"/>
          <w:szCs w:val="24"/>
        </w:rPr>
        <w:t xml:space="preserve"> </w:t>
      </w:r>
      <w:r w:rsidR="00497503" w:rsidRPr="003A1174">
        <w:rPr>
          <w:rFonts w:ascii="Garamond" w:hAnsi="Garamond" w:cs="Arial"/>
          <w:sz w:val="24"/>
          <w:szCs w:val="24"/>
        </w:rPr>
        <w:t>dos</w:t>
      </w:r>
      <w:r w:rsidR="00CA39B2" w:rsidRPr="003A1174">
        <w:rPr>
          <w:rFonts w:ascii="Garamond" w:hAnsi="Garamond" w:cs="Arial"/>
          <w:sz w:val="24"/>
          <w:szCs w:val="24"/>
        </w:rPr>
        <w:t xml:space="preserve"> </w:t>
      </w:r>
      <w:r w:rsidR="00886D6A" w:rsidRPr="003A1174">
        <w:rPr>
          <w:rFonts w:ascii="Garamond" w:hAnsi="Garamond" w:cs="Arial"/>
          <w:sz w:val="24"/>
          <w:szCs w:val="24"/>
        </w:rPr>
        <w:t>direito</w:t>
      </w:r>
      <w:r w:rsidR="00CA39B2" w:rsidRPr="003A1174">
        <w:rPr>
          <w:rFonts w:ascii="Garamond" w:hAnsi="Garamond" w:cs="Arial"/>
          <w:sz w:val="24"/>
          <w:szCs w:val="24"/>
        </w:rPr>
        <w:t xml:space="preserve">s humanos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Pr="003A1174">
        <w:rPr>
          <w:rFonts w:ascii="Garamond" w:hAnsi="Garamond" w:cs="Arial"/>
          <w:sz w:val="24"/>
          <w:szCs w:val="24"/>
        </w:rPr>
        <w:t xml:space="preserve">Destaca-se </w:t>
      </w:r>
      <w:r w:rsidR="00CA39B2" w:rsidRPr="003A1174">
        <w:rPr>
          <w:rFonts w:ascii="Garamond" w:hAnsi="Garamond" w:cs="Arial"/>
          <w:sz w:val="24"/>
          <w:szCs w:val="24"/>
        </w:rPr>
        <w:t xml:space="preserve">a </w:t>
      </w:r>
      <w:r w:rsidR="006506C6" w:rsidRPr="003A1174">
        <w:rPr>
          <w:rFonts w:ascii="Garamond" w:hAnsi="Garamond" w:cs="Arial"/>
          <w:sz w:val="24"/>
          <w:szCs w:val="24"/>
        </w:rPr>
        <w:t>necessidade</w:t>
      </w:r>
      <w:r w:rsidR="00CA39B2" w:rsidRPr="003A1174">
        <w:rPr>
          <w:rFonts w:ascii="Garamond" w:hAnsi="Garamond" w:cs="Arial"/>
          <w:sz w:val="24"/>
          <w:szCs w:val="24"/>
        </w:rPr>
        <w:t xml:space="preserve"> de </w:t>
      </w:r>
      <w:r w:rsidR="00C30647" w:rsidRPr="003A1174">
        <w:rPr>
          <w:rFonts w:ascii="Garamond" w:hAnsi="Garamond" w:cs="Arial"/>
          <w:sz w:val="24"/>
          <w:szCs w:val="24"/>
        </w:rPr>
        <w:t>avançar</w:t>
      </w:r>
      <w:r w:rsidR="00C409EE">
        <w:rPr>
          <w:rFonts w:ascii="Garamond" w:hAnsi="Garamond" w:cs="Arial"/>
          <w:sz w:val="24"/>
          <w:szCs w:val="24"/>
        </w:rPr>
        <w:t>,</w:t>
      </w:r>
      <w:r w:rsidR="00CA39B2" w:rsidRPr="003A1174">
        <w:rPr>
          <w:rFonts w:ascii="Garamond" w:hAnsi="Garamond" w:cs="Arial"/>
          <w:sz w:val="24"/>
          <w:szCs w:val="24"/>
        </w:rPr>
        <w:t xml:space="preserve"> particularmente</w:t>
      </w:r>
      <w:r w:rsidR="00C409EE">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nos </w:t>
      </w:r>
      <w:r w:rsidR="00CA39B2" w:rsidRPr="003A1174">
        <w:rPr>
          <w:rFonts w:ascii="Garamond" w:hAnsi="Garamond" w:cs="Arial"/>
          <w:sz w:val="24"/>
          <w:szCs w:val="24"/>
        </w:rPr>
        <w:t xml:space="preserve">temas que </w:t>
      </w:r>
      <w:r w:rsidRPr="003A1174">
        <w:rPr>
          <w:rFonts w:ascii="Garamond" w:hAnsi="Garamond" w:cs="Arial"/>
          <w:sz w:val="24"/>
          <w:szCs w:val="24"/>
        </w:rPr>
        <w:t>a</w:t>
      </w:r>
      <w:r w:rsidR="00CA39B2" w:rsidRPr="003A1174">
        <w:rPr>
          <w:rFonts w:ascii="Garamond" w:hAnsi="Garamond" w:cs="Arial"/>
          <w:sz w:val="24"/>
          <w:szCs w:val="24"/>
        </w:rPr>
        <w:t>presenta</w:t>
      </w:r>
      <w:r w:rsidRPr="003A1174">
        <w:rPr>
          <w:rFonts w:ascii="Garamond" w:hAnsi="Garamond" w:cs="Arial"/>
          <w:sz w:val="24"/>
          <w:szCs w:val="24"/>
        </w:rPr>
        <w:t>m</w:t>
      </w:r>
      <w:r w:rsidR="00CA39B2" w:rsidRPr="003A1174">
        <w:rPr>
          <w:rFonts w:ascii="Garamond" w:hAnsi="Garamond" w:cs="Arial"/>
          <w:sz w:val="24"/>
          <w:szCs w:val="24"/>
        </w:rPr>
        <w:t xml:space="preserve"> </w:t>
      </w:r>
      <w:r w:rsidR="00FC1F7F" w:rsidRPr="003A1174">
        <w:rPr>
          <w:rFonts w:ascii="Garamond" w:hAnsi="Garamond" w:cs="Arial"/>
          <w:sz w:val="24"/>
          <w:szCs w:val="24"/>
        </w:rPr>
        <w:t>maiores</w:t>
      </w:r>
      <w:r w:rsidR="00CA39B2" w:rsidRPr="003A1174">
        <w:rPr>
          <w:rFonts w:ascii="Garamond" w:hAnsi="Garamond" w:cs="Arial"/>
          <w:sz w:val="24"/>
          <w:szCs w:val="24"/>
        </w:rPr>
        <w:t xml:space="preserve"> </w:t>
      </w:r>
      <w:r w:rsidRPr="003A1174">
        <w:rPr>
          <w:rFonts w:ascii="Garamond" w:hAnsi="Garamond" w:cs="Arial"/>
          <w:sz w:val="24"/>
          <w:szCs w:val="24"/>
        </w:rPr>
        <w:t>deficiências</w:t>
      </w:r>
      <w:r w:rsidR="00CA39B2" w:rsidRPr="003A1174">
        <w:rPr>
          <w:rFonts w:ascii="Garamond" w:hAnsi="Garamond" w:cs="Arial"/>
          <w:sz w:val="24"/>
          <w:szCs w:val="24"/>
        </w:rPr>
        <w:t xml:space="preserve">. </w:t>
      </w:r>
    </w:p>
    <w:p w:rsidR="00CA39B2" w:rsidRPr="003A1174" w:rsidRDefault="000464C8" w:rsidP="00AF6765">
      <w:pPr>
        <w:pStyle w:val="Default"/>
        <w:spacing w:before="240"/>
        <w:jc w:val="both"/>
        <w:rPr>
          <w:rFonts w:ascii="Garamond" w:hAnsi="Garamond" w:cs="Arial"/>
          <w:lang w:val="pt-PT"/>
        </w:rPr>
      </w:pPr>
      <w:r w:rsidRPr="003A1174">
        <w:rPr>
          <w:rFonts w:ascii="Garamond" w:eastAsia="Arial" w:hAnsi="Garamond" w:cs="Arial"/>
          <w:color w:val="auto"/>
          <w:lang w:val="pt-PT"/>
        </w:rPr>
        <w:t>Assim</w:t>
      </w:r>
      <w:r w:rsidR="00CA39B2" w:rsidRPr="003A1174">
        <w:rPr>
          <w:rFonts w:ascii="Garamond" w:eastAsia="Arial" w:hAnsi="Garamond" w:cs="Arial"/>
          <w:color w:val="auto"/>
          <w:lang w:val="pt-PT"/>
        </w:rPr>
        <w:t xml:space="preserve">, </w:t>
      </w:r>
      <w:r w:rsidR="00AF6765" w:rsidRPr="003A1174">
        <w:rPr>
          <w:rFonts w:ascii="Garamond" w:eastAsia="Arial" w:hAnsi="Garamond" w:cs="Arial"/>
          <w:color w:val="auto"/>
          <w:lang w:val="pt-PT"/>
        </w:rPr>
        <w:t xml:space="preserve">a </w:t>
      </w:r>
      <w:r w:rsidR="00CA39B2" w:rsidRPr="003A1174">
        <w:rPr>
          <w:rFonts w:ascii="Garamond" w:hAnsi="Garamond" w:cs="Arial"/>
          <w:color w:val="auto"/>
          <w:lang w:val="pt-PT"/>
        </w:rPr>
        <w:t xml:space="preserve">25 de </w:t>
      </w:r>
      <w:r w:rsidR="009E3E55" w:rsidRPr="003A1174">
        <w:rPr>
          <w:rFonts w:ascii="Garamond" w:hAnsi="Garamond" w:cs="Arial"/>
          <w:color w:val="auto"/>
          <w:lang w:val="pt-PT"/>
        </w:rPr>
        <w:t>novembro</w:t>
      </w:r>
      <w:r w:rsidR="00AF6765" w:rsidRPr="003A1174">
        <w:rPr>
          <w:rFonts w:ascii="Garamond" w:hAnsi="Garamond" w:cs="Arial"/>
          <w:color w:val="auto"/>
          <w:lang w:val="pt-PT"/>
        </w:rPr>
        <w:t xml:space="preserve"> de 2013</w:t>
      </w:r>
      <w:r w:rsidR="002F319E" w:rsidRPr="003A1174">
        <w:rPr>
          <w:rFonts w:ascii="Garamond" w:hAnsi="Garamond" w:cs="Arial"/>
          <w:color w:val="auto"/>
          <w:lang w:val="pt-PT"/>
        </w:rPr>
        <w:t>,</w:t>
      </w:r>
      <w:r w:rsidR="00AF6765" w:rsidRPr="003A1174">
        <w:rPr>
          <w:rFonts w:ascii="Garamond" w:hAnsi="Garamond" w:cs="Arial"/>
          <w:color w:val="auto"/>
          <w:lang w:val="pt-PT"/>
        </w:rPr>
        <w:t xml:space="preserve"> </w:t>
      </w:r>
      <w:r w:rsidR="00CA39B2" w:rsidRPr="003A1174">
        <w:rPr>
          <w:rFonts w:ascii="Garamond" w:hAnsi="Garamond" w:cs="Arial"/>
          <w:color w:val="auto"/>
          <w:lang w:val="pt-PT"/>
        </w:rPr>
        <w:t>a INDDHH manifest</w:t>
      </w:r>
      <w:r w:rsidR="00AF6765" w:rsidRPr="003A1174">
        <w:rPr>
          <w:rFonts w:ascii="Garamond" w:hAnsi="Garamond" w:cs="Arial"/>
          <w:color w:val="auto"/>
          <w:lang w:val="pt-PT"/>
        </w:rPr>
        <w:t>ou</w:t>
      </w:r>
      <w:r w:rsidR="00C409EE">
        <w:rPr>
          <w:rFonts w:ascii="Garamond" w:hAnsi="Garamond" w:cs="Arial"/>
          <w:color w:val="auto"/>
          <w:lang w:val="pt-PT"/>
        </w:rPr>
        <w:t>,</w:t>
      </w:r>
      <w:r w:rsidR="00CA39B2" w:rsidRPr="003A1174">
        <w:rPr>
          <w:rFonts w:ascii="Garamond" w:hAnsi="Garamond" w:cs="Arial"/>
          <w:color w:val="auto"/>
          <w:lang w:val="pt-PT"/>
        </w:rPr>
        <w:t xml:space="preserve"> p</w:t>
      </w:r>
      <w:r w:rsidR="00AF6765" w:rsidRPr="003A1174">
        <w:rPr>
          <w:rFonts w:ascii="Garamond" w:hAnsi="Garamond" w:cs="Arial"/>
          <w:color w:val="auto"/>
          <w:lang w:val="pt-PT"/>
        </w:rPr>
        <w:t>u</w:t>
      </w:r>
      <w:r w:rsidR="00CA39B2" w:rsidRPr="003A1174">
        <w:rPr>
          <w:rFonts w:ascii="Garamond" w:hAnsi="Garamond" w:cs="Arial"/>
          <w:color w:val="auto"/>
          <w:lang w:val="pt-PT"/>
        </w:rPr>
        <w:t>blicamente</w:t>
      </w:r>
      <w:r w:rsidR="00C409EE">
        <w:rPr>
          <w:rFonts w:ascii="Garamond" w:hAnsi="Garamond" w:cs="Arial"/>
          <w:color w:val="auto"/>
          <w:lang w:val="pt-PT"/>
        </w:rPr>
        <w:t>,</w:t>
      </w:r>
      <w:r w:rsidR="00CA39B2" w:rsidRPr="003A1174">
        <w:rPr>
          <w:rStyle w:val="Caracteresdenotaalpie"/>
          <w:rFonts w:ascii="Garamond" w:hAnsi="Garamond" w:cs="Arial"/>
          <w:color w:val="auto"/>
        </w:rPr>
        <w:footnoteReference w:id="111"/>
      </w:r>
      <w:r w:rsidR="00CA39B2" w:rsidRPr="003A1174">
        <w:rPr>
          <w:rFonts w:ascii="Garamond" w:hAnsi="Garamond" w:cs="Arial"/>
          <w:color w:val="auto"/>
          <w:lang w:val="pt-PT"/>
        </w:rPr>
        <w:t xml:space="preserve"> </w:t>
      </w:r>
      <w:r w:rsidR="00AF6765" w:rsidRPr="003A1174">
        <w:rPr>
          <w:rFonts w:ascii="Garamond" w:hAnsi="Garamond" w:cs="Arial"/>
          <w:color w:val="auto"/>
          <w:lang w:val="pt-PT"/>
        </w:rPr>
        <w:t xml:space="preserve">o </w:t>
      </w:r>
      <w:r w:rsidR="00F520D6" w:rsidRPr="003A1174">
        <w:rPr>
          <w:rFonts w:ascii="Garamond" w:hAnsi="Garamond" w:cs="Arial"/>
          <w:color w:val="auto"/>
          <w:lang w:val="pt-PT"/>
        </w:rPr>
        <w:t>reconhecimento</w:t>
      </w:r>
      <w:r w:rsidR="00CA39B2" w:rsidRPr="003A1174">
        <w:rPr>
          <w:rFonts w:ascii="Garamond" w:hAnsi="Garamond" w:cs="Arial"/>
          <w:color w:val="auto"/>
          <w:lang w:val="pt-PT"/>
        </w:rPr>
        <w:t xml:space="preserve"> </w:t>
      </w:r>
      <w:r w:rsidR="00497503" w:rsidRPr="003A1174">
        <w:rPr>
          <w:rFonts w:ascii="Garamond" w:hAnsi="Garamond" w:cs="Arial"/>
          <w:color w:val="auto"/>
          <w:lang w:val="pt-PT"/>
        </w:rPr>
        <w:t>dos</w:t>
      </w:r>
      <w:r w:rsidR="00CA39B2" w:rsidRPr="003A1174">
        <w:rPr>
          <w:rFonts w:ascii="Garamond" w:hAnsi="Garamond" w:cs="Arial"/>
          <w:color w:val="auto"/>
          <w:lang w:val="pt-PT"/>
        </w:rPr>
        <w:t xml:space="preserve"> </w:t>
      </w:r>
      <w:r w:rsidR="00FC1F7F" w:rsidRPr="003A1174">
        <w:rPr>
          <w:rFonts w:ascii="Garamond" w:hAnsi="Garamond" w:cs="Arial"/>
          <w:color w:val="auto"/>
          <w:lang w:val="pt-PT"/>
        </w:rPr>
        <w:t>avanços</w:t>
      </w:r>
      <w:r w:rsidR="00CA39B2" w:rsidRPr="003A1174">
        <w:rPr>
          <w:rFonts w:ascii="Garamond" w:hAnsi="Garamond" w:cs="Arial"/>
          <w:color w:val="auto"/>
          <w:lang w:val="pt-PT"/>
        </w:rPr>
        <w:t xml:space="preserve"> </w:t>
      </w:r>
      <w:r w:rsidR="00AF6765" w:rsidRPr="003A1174">
        <w:rPr>
          <w:rFonts w:ascii="Garamond" w:hAnsi="Garamond" w:cs="Arial"/>
          <w:color w:val="auto"/>
          <w:lang w:val="pt-PT"/>
        </w:rPr>
        <w:t>n</w:t>
      </w:r>
      <w:r w:rsidR="00CA39B2" w:rsidRPr="003A1174">
        <w:rPr>
          <w:rFonts w:ascii="Garamond" w:hAnsi="Garamond" w:cs="Arial"/>
          <w:color w:val="auto"/>
          <w:lang w:val="pt-PT"/>
        </w:rPr>
        <w:t xml:space="preserve">a </w:t>
      </w:r>
      <w:proofErr w:type="gramStart"/>
      <w:r w:rsidR="006C760C" w:rsidRPr="003A1174">
        <w:rPr>
          <w:rFonts w:ascii="Garamond" w:hAnsi="Garamond" w:cs="Arial"/>
          <w:color w:val="auto"/>
          <w:lang w:val="pt-PT"/>
        </w:rPr>
        <w:t>implementação</w:t>
      </w:r>
      <w:proofErr w:type="gramEnd"/>
      <w:r w:rsidR="00CA39B2" w:rsidRPr="003A1174">
        <w:rPr>
          <w:rFonts w:ascii="Garamond" w:hAnsi="Garamond" w:cs="Arial"/>
          <w:color w:val="auto"/>
          <w:lang w:val="pt-PT"/>
        </w:rPr>
        <w:t xml:space="preserve"> de políticas públicas </w:t>
      </w:r>
      <w:r w:rsidR="000672E8" w:rsidRPr="003A1174">
        <w:rPr>
          <w:rFonts w:ascii="Garamond" w:hAnsi="Garamond" w:cs="Arial"/>
          <w:color w:val="auto"/>
          <w:lang w:val="pt-PT"/>
        </w:rPr>
        <w:t>e</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 xml:space="preserve">prestou contas </w:t>
      </w:r>
      <w:r w:rsidR="00C409EE">
        <w:rPr>
          <w:rFonts w:ascii="Garamond" w:hAnsi="Garamond" w:cs="Arial"/>
          <w:color w:val="auto"/>
          <w:lang w:val="pt-PT"/>
        </w:rPr>
        <w:t xml:space="preserve">do </w:t>
      </w:r>
      <w:r w:rsidR="00CA39B2" w:rsidRPr="003A1174">
        <w:rPr>
          <w:rFonts w:ascii="Garamond" w:hAnsi="Garamond" w:cs="Arial"/>
          <w:color w:val="auto"/>
          <w:lang w:val="pt-PT"/>
        </w:rPr>
        <w:t xml:space="preserve">que </w:t>
      </w:r>
      <w:r w:rsidR="00BB2B00" w:rsidRPr="003A1174">
        <w:rPr>
          <w:rFonts w:ascii="Garamond" w:hAnsi="Garamond" w:cs="Arial"/>
          <w:color w:val="auto"/>
          <w:lang w:val="pt-PT"/>
        </w:rPr>
        <w:t>fo</w:t>
      </w:r>
      <w:r w:rsidR="00C409EE">
        <w:rPr>
          <w:rFonts w:ascii="Garamond" w:hAnsi="Garamond" w:cs="Arial"/>
          <w:color w:val="auto"/>
          <w:lang w:val="pt-PT"/>
        </w:rPr>
        <w:t>i</w:t>
      </w:r>
      <w:r w:rsidR="00BB2B00" w:rsidRPr="003A1174">
        <w:rPr>
          <w:rFonts w:ascii="Garamond" w:hAnsi="Garamond" w:cs="Arial"/>
          <w:color w:val="auto"/>
          <w:lang w:val="pt-PT"/>
        </w:rPr>
        <w:t xml:space="preserve"> </w:t>
      </w:r>
      <w:r w:rsidR="00C409EE">
        <w:rPr>
          <w:rFonts w:ascii="Garamond" w:hAnsi="Garamond" w:cs="Arial"/>
          <w:color w:val="auto"/>
          <w:lang w:val="pt-PT"/>
        </w:rPr>
        <w:t xml:space="preserve">conseguido </w:t>
      </w:r>
      <w:r w:rsidR="00BB2B00" w:rsidRPr="003A1174">
        <w:rPr>
          <w:rFonts w:ascii="Garamond" w:hAnsi="Garamond" w:cs="Arial"/>
          <w:color w:val="auto"/>
          <w:lang w:val="pt-PT"/>
        </w:rPr>
        <w:t>pe</w:t>
      </w:r>
      <w:r w:rsidR="00CA39B2" w:rsidRPr="003A1174">
        <w:rPr>
          <w:rFonts w:ascii="Garamond" w:hAnsi="Garamond" w:cs="Arial"/>
          <w:color w:val="auto"/>
          <w:lang w:val="pt-PT"/>
        </w:rPr>
        <w:t xml:space="preserve">los organismos competentes </w:t>
      </w:r>
      <w:r w:rsidR="00BB2B00" w:rsidRPr="003A1174">
        <w:rPr>
          <w:rFonts w:ascii="Garamond" w:hAnsi="Garamond" w:cs="Arial"/>
          <w:color w:val="auto"/>
          <w:lang w:val="pt-PT"/>
        </w:rPr>
        <w:t>e</w:t>
      </w:r>
      <w:r w:rsidR="00C409EE">
        <w:rPr>
          <w:rFonts w:ascii="Garamond" w:hAnsi="Garamond" w:cs="Arial"/>
          <w:color w:val="auto"/>
          <w:lang w:val="pt-PT"/>
        </w:rPr>
        <w:t>,</w:t>
      </w:r>
      <w:r w:rsidR="00BB2B00" w:rsidRPr="003A1174">
        <w:rPr>
          <w:rFonts w:ascii="Garamond" w:hAnsi="Garamond" w:cs="Arial"/>
          <w:color w:val="auto"/>
          <w:lang w:val="pt-PT"/>
        </w:rPr>
        <w:t xml:space="preserve"> ao mesmo tempo</w:t>
      </w:r>
      <w:r w:rsidR="00C409EE">
        <w:rPr>
          <w:rFonts w:ascii="Garamond" w:hAnsi="Garamond" w:cs="Arial"/>
          <w:color w:val="auto"/>
          <w:lang w:val="pt-PT"/>
        </w:rPr>
        <w:t>,</w:t>
      </w:r>
      <w:r w:rsidR="00BB2B00" w:rsidRPr="003A1174">
        <w:rPr>
          <w:rFonts w:ascii="Garamond" w:hAnsi="Garamond" w:cs="Arial"/>
          <w:color w:val="auto"/>
          <w:lang w:val="pt-PT"/>
        </w:rPr>
        <w:t xml:space="preserve"> destacou o papel </w:t>
      </w:r>
      <w:r w:rsidR="00CA39B2" w:rsidRPr="003A1174">
        <w:rPr>
          <w:rFonts w:ascii="Garamond" w:hAnsi="Garamond" w:cs="Arial"/>
          <w:color w:val="auto"/>
          <w:lang w:val="pt-PT"/>
        </w:rPr>
        <w:t xml:space="preserve">fundamental </w:t>
      </w:r>
      <w:r w:rsidR="00497503" w:rsidRPr="003A1174">
        <w:rPr>
          <w:rFonts w:ascii="Garamond" w:hAnsi="Garamond" w:cs="Arial"/>
          <w:color w:val="auto"/>
          <w:lang w:val="pt-PT"/>
        </w:rPr>
        <w:t>das</w:t>
      </w:r>
      <w:r w:rsidR="00CA39B2" w:rsidRPr="003A1174">
        <w:rPr>
          <w:rFonts w:ascii="Garamond" w:hAnsi="Garamond" w:cs="Arial"/>
          <w:color w:val="auto"/>
          <w:lang w:val="pt-PT"/>
        </w:rPr>
        <w:t xml:space="preserve"> </w:t>
      </w:r>
      <w:r w:rsidR="002470B1" w:rsidRPr="003A1174">
        <w:rPr>
          <w:rFonts w:ascii="Garamond" w:hAnsi="Garamond" w:cs="Arial"/>
          <w:color w:val="auto"/>
          <w:lang w:val="pt-PT"/>
        </w:rPr>
        <w:t>organizações</w:t>
      </w:r>
      <w:r w:rsidR="00CA39B2" w:rsidRPr="003A1174">
        <w:rPr>
          <w:rFonts w:ascii="Garamond" w:hAnsi="Garamond" w:cs="Arial"/>
          <w:color w:val="auto"/>
          <w:lang w:val="pt-PT"/>
        </w:rPr>
        <w:t xml:space="preserve"> </w:t>
      </w:r>
      <w:r w:rsidR="003F012B" w:rsidRPr="003A1174">
        <w:rPr>
          <w:rFonts w:ascii="Garamond" w:hAnsi="Garamond" w:cs="Arial"/>
          <w:color w:val="auto"/>
          <w:lang w:val="pt-PT"/>
        </w:rPr>
        <w:t>sociais</w:t>
      </w:r>
      <w:r w:rsidR="00A41BDF" w:rsidRPr="003A1174">
        <w:rPr>
          <w:rFonts w:ascii="Garamond" w:hAnsi="Garamond" w:cs="Arial"/>
          <w:color w:val="auto"/>
          <w:lang w:val="pt-PT"/>
        </w:rPr>
        <w:t xml:space="preserve"> </w:t>
      </w:r>
      <w:r w:rsidR="00C409EE">
        <w:rPr>
          <w:rFonts w:ascii="Garamond" w:hAnsi="Garamond" w:cs="Arial"/>
          <w:color w:val="auto"/>
          <w:lang w:val="pt-PT"/>
        </w:rPr>
        <w:t>-</w:t>
      </w:r>
      <w:r w:rsidR="00BB2B00" w:rsidRPr="003A1174">
        <w:rPr>
          <w:rFonts w:ascii="Garamond" w:hAnsi="Garamond" w:cs="Arial"/>
          <w:color w:val="auto"/>
          <w:lang w:val="pt-PT"/>
        </w:rPr>
        <w:t xml:space="preserve"> em </w:t>
      </w:r>
      <w:r w:rsidR="00CA39B2" w:rsidRPr="003A1174">
        <w:rPr>
          <w:rFonts w:ascii="Garamond" w:hAnsi="Garamond" w:cs="Arial"/>
          <w:color w:val="auto"/>
          <w:lang w:val="pt-PT"/>
        </w:rPr>
        <w:t xml:space="preserve">particular de </w:t>
      </w:r>
      <w:r w:rsidR="00054EE0" w:rsidRPr="003A1174">
        <w:rPr>
          <w:rFonts w:ascii="Garamond" w:hAnsi="Garamond" w:cs="Arial"/>
          <w:color w:val="auto"/>
          <w:lang w:val="pt-PT"/>
        </w:rPr>
        <w:t>mulheres</w:t>
      </w:r>
      <w:r w:rsidR="00CA39B2" w:rsidRPr="003A1174">
        <w:rPr>
          <w:rFonts w:ascii="Garamond" w:hAnsi="Garamond" w:cs="Arial"/>
          <w:color w:val="auto"/>
          <w:lang w:val="pt-PT"/>
        </w:rPr>
        <w:t xml:space="preserve"> </w:t>
      </w:r>
      <w:r w:rsidR="000672E8" w:rsidRPr="003A1174">
        <w:rPr>
          <w:rFonts w:ascii="Garamond" w:hAnsi="Garamond" w:cs="Arial"/>
          <w:color w:val="auto"/>
          <w:lang w:val="pt-PT"/>
        </w:rPr>
        <w:t>e</w:t>
      </w:r>
      <w:r w:rsidR="00CA39B2" w:rsidRPr="003A1174">
        <w:rPr>
          <w:rFonts w:ascii="Garamond" w:hAnsi="Garamond" w:cs="Arial"/>
          <w:color w:val="auto"/>
          <w:lang w:val="pt-PT"/>
        </w:rPr>
        <w:t xml:space="preserve"> grupos feministas</w:t>
      </w:r>
      <w:r w:rsidR="00BB2B00" w:rsidRPr="003A1174">
        <w:rPr>
          <w:rFonts w:ascii="Garamond" w:hAnsi="Garamond" w:cs="Arial"/>
          <w:color w:val="auto"/>
          <w:lang w:val="pt-PT"/>
        </w:rPr>
        <w:t xml:space="preserve"> </w:t>
      </w:r>
      <w:r w:rsidR="00C409EE">
        <w:rPr>
          <w:rFonts w:ascii="Garamond" w:hAnsi="Garamond" w:cs="Arial"/>
          <w:color w:val="auto"/>
          <w:lang w:val="pt-PT"/>
        </w:rPr>
        <w:t>-</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na visibilidade d</w:t>
      </w:r>
      <w:r w:rsidR="00CA39B2" w:rsidRPr="003A1174">
        <w:rPr>
          <w:rFonts w:ascii="Garamond" w:hAnsi="Garamond" w:cs="Arial"/>
          <w:color w:val="auto"/>
          <w:lang w:val="pt-PT"/>
        </w:rPr>
        <w:t xml:space="preserve">a </w:t>
      </w:r>
      <w:r w:rsidR="000350B1" w:rsidRPr="003A1174">
        <w:rPr>
          <w:rFonts w:ascii="Garamond" w:hAnsi="Garamond" w:cs="Arial"/>
          <w:color w:val="auto"/>
          <w:lang w:val="pt-PT"/>
        </w:rPr>
        <w:t>violência</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 xml:space="preserve">para com </w:t>
      </w:r>
      <w:r w:rsidR="00CA39B2" w:rsidRPr="003A1174">
        <w:rPr>
          <w:rFonts w:ascii="Garamond" w:hAnsi="Garamond" w:cs="Arial"/>
          <w:color w:val="auto"/>
          <w:lang w:val="pt-PT"/>
        </w:rPr>
        <w:t xml:space="preserve">as </w:t>
      </w:r>
      <w:r w:rsidR="00054EE0" w:rsidRPr="003A1174">
        <w:rPr>
          <w:rFonts w:ascii="Garamond" w:hAnsi="Garamond" w:cs="Arial"/>
          <w:color w:val="auto"/>
          <w:lang w:val="pt-PT"/>
        </w:rPr>
        <w:t>mulheres</w:t>
      </w:r>
      <w:r w:rsidR="00BB2B00" w:rsidRPr="003A1174">
        <w:rPr>
          <w:rFonts w:ascii="Garamond" w:hAnsi="Garamond" w:cs="Arial"/>
          <w:color w:val="auto"/>
          <w:lang w:val="pt-PT"/>
        </w:rPr>
        <w:t>. Em</w:t>
      </w:r>
      <w:r w:rsidR="00CA39B2" w:rsidRPr="003A1174">
        <w:rPr>
          <w:rFonts w:ascii="Garamond" w:hAnsi="Garamond" w:cs="Arial"/>
          <w:color w:val="auto"/>
          <w:lang w:val="pt-PT"/>
        </w:rPr>
        <w:t xml:space="preserve"> </w:t>
      </w:r>
      <w:r w:rsidR="00152A44" w:rsidRPr="003A1174">
        <w:rPr>
          <w:rFonts w:ascii="Garamond" w:hAnsi="Garamond" w:cs="Arial"/>
          <w:color w:val="auto"/>
          <w:lang w:val="pt-PT"/>
        </w:rPr>
        <w:t>relação</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 xml:space="preserve">à </w:t>
      </w:r>
      <w:r w:rsidR="000350B1" w:rsidRPr="003A1174">
        <w:rPr>
          <w:rFonts w:ascii="Garamond" w:hAnsi="Garamond" w:cs="Arial"/>
          <w:color w:val="auto"/>
          <w:lang w:val="pt-PT"/>
        </w:rPr>
        <w:t>violência</w:t>
      </w:r>
      <w:r w:rsidR="00CA39B2" w:rsidRPr="003A1174">
        <w:rPr>
          <w:rFonts w:ascii="Garamond" w:hAnsi="Garamond" w:cs="Arial"/>
          <w:color w:val="auto"/>
          <w:lang w:val="pt-PT"/>
        </w:rPr>
        <w:t xml:space="preserve"> doméstica, </w:t>
      </w:r>
      <w:r w:rsidR="00BB2B00" w:rsidRPr="003A1174">
        <w:rPr>
          <w:rFonts w:ascii="Garamond" w:hAnsi="Garamond" w:cs="Arial"/>
          <w:color w:val="auto"/>
          <w:lang w:val="pt-PT"/>
        </w:rPr>
        <w:t>o</w:t>
      </w:r>
      <w:r w:rsidR="00CA39B2" w:rsidRPr="003A1174">
        <w:rPr>
          <w:rFonts w:ascii="Garamond" w:hAnsi="Garamond" w:cs="Arial"/>
          <w:color w:val="auto"/>
          <w:lang w:val="pt-PT"/>
        </w:rPr>
        <w:t xml:space="preserve"> Estado </w:t>
      </w:r>
      <w:r w:rsidR="00C30647" w:rsidRPr="003A1174">
        <w:rPr>
          <w:rFonts w:ascii="Garamond" w:hAnsi="Garamond" w:cs="Arial"/>
          <w:color w:val="auto"/>
          <w:lang w:val="pt-PT"/>
        </w:rPr>
        <w:t>uruguai</w:t>
      </w:r>
      <w:r w:rsidR="00CA39B2" w:rsidRPr="003A1174">
        <w:rPr>
          <w:rFonts w:ascii="Garamond" w:hAnsi="Garamond" w:cs="Arial"/>
          <w:color w:val="auto"/>
          <w:lang w:val="pt-PT"/>
        </w:rPr>
        <w:t xml:space="preserve">o </w:t>
      </w:r>
      <w:r w:rsidR="00BB2B00" w:rsidRPr="003A1174">
        <w:rPr>
          <w:rFonts w:ascii="Garamond" w:hAnsi="Garamond" w:cs="Arial"/>
          <w:color w:val="auto"/>
          <w:lang w:val="pt-PT"/>
        </w:rPr>
        <w:t xml:space="preserve">aumentou os seus </w:t>
      </w:r>
      <w:r w:rsidR="00B531F2" w:rsidRPr="003A1174">
        <w:rPr>
          <w:rFonts w:ascii="Garamond" w:hAnsi="Garamond" w:cs="Arial"/>
          <w:color w:val="auto"/>
          <w:lang w:val="pt-PT"/>
        </w:rPr>
        <w:t>serviço</w:t>
      </w:r>
      <w:r w:rsidR="00CA39B2" w:rsidRPr="003A1174">
        <w:rPr>
          <w:rFonts w:ascii="Garamond" w:hAnsi="Garamond" w:cs="Arial"/>
          <w:color w:val="auto"/>
          <w:lang w:val="pt-PT"/>
        </w:rPr>
        <w:t xml:space="preserve">s de </w:t>
      </w:r>
      <w:r w:rsidR="00C409EE">
        <w:rPr>
          <w:rFonts w:ascii="Garamond" w:hAnsi="Garamond" w:cs="Arial"/>
          <w:color w:val="auto"/>
          <w:lang w:val="pt-PT"/>
        </w:rPr>
        <w:t xml:space="preserve">apoio </w:t>
      </w:r>
      <w:r w:rsidR="001C315D" w:rsidRPr="003A1174">
        <w:rPr>
          <w:rFonts w:ascii="Garamond" w:hAnsi="Garamond" w:cs="Arial"/>
          <w:color w:val="auto"/>
          <w:lang w:val="pt-PT"/>
        </w:rPr>
        <w:t>psicológic</w:t>
      </w:r>
      <w:r w:rsidR="00C409EE">
        <w:rPr>
          <w:rFonts w:ascii="Garamond" w:hAnsi="Garamond" w:cs="Arial"/>
          <w:color w:val="auto"/>
          <w:lang w:val="pt-PT"/>
        </w:rPr>
        <w:t>o</w:t>
      </w:r>
      <w:r w:rsidR="00CA39B2" w:rsidRPr="003A1174">
        <w:rPr>
          <w:rFonts w:ascii="Garamond" w:hAnsi="Garamond" w:cs="Arial"/>
          <w:color w:val="auto"/>
          <w:lang w:val="pt-PT"/>
        </w:rPr>
        <w:t xml:space="preserve">, social </w:t>
      </w:r>
      <w:r w:rsidR="000672E8" w:rsidRPr="003A1174">
        <w:rPr>
          <w:rFonts w:ascii="Garamond" w:hAnsi="Garamond" w:cs="Arial"/>
          <w:color w:val="auto"/>
          <w:lang w:val="pt-PT"/>
        </w:rPr>
        <w:t>e</w:t>
      </w:r>
      <w:r w:rsidR="00CA39B2" w:rsidRPr="003A1174">
        <w:rPr>
          <w:rFonts w:ascii="Garamond" w:hAnsi="Garamond" w:cs="Arial"/>
          <w:color w:val="auto"/>
          <w:lang w:val="pt-PT"/>
        </w:rPr>
        <w:t xml:space="preserve"> jurídic</w:t>
      </w:r>
      <w:r w:rsidR="00C409EE">
        <w:rPr>
          <w:rFonts w:ascii="Garamond" w:hAnsi="Garamond" w:cs="Arial"/>
          <w:color w:val="auto"/>
          <w:lang w:val="pt-PT"/>
        </w:rPr>
        <w:t>o</w:t>
      </w:r>
      <w:r w:rsidR="00CA39B2" w:rsidRPr="003A1174">
        <w:rPr>
          <w:rFonts w:ascii="Garamond" w:hAnsi="Garamond" w:cs="Arial"/>
          <w:color w:val="auto"/>
          <w:lang w:val="pt-PT"/>
        </w:rPr>
        <w:t>, instal</w:t>
      </w:r>
      <w:r w:rsidR="00BB2B00" w:rsidRPr="003A1174">
        <w:rPr>
          <w:rFonts w:ascii="Garamond" w:hAnsi="Garamond" w:cs="Arial"/>
          <w:color w:val="auto"/>
          <w:lang w:val="pt-PT"/>
        </w:rPr>
        <w:t xml:space="preserve">ou </w:t>
      </w:r>
      <w:r w:rsidR="00C409EE">
        <w:rPr>
          <w:rFonts w:ascii="Garamond" w:hAnsi="Garamond" w:cs="Arial"/>
          <w:color w:val="auto"/>
          <w:lang w:val="pt-PT"/>
        </w:rPr>
        <w:t>t</w:t>
      </w:r>
      <w:r w:rsidR="002470B1" w:rsidRPr="003A1174">
        <w:rPr>
          <w:rFonts w:ascii="Garamond" w:hAnsi="Garamond" w:cs="Arial"/>
          <w:color w:val="auto"/>
          <w:lang w:val="pt-PT"/>
        </w:rPr>
        <w:t>ribunais</w:t>
      </w:r>
      <w:r w:rsidR="00CA39B2" w:rsidRPr="003A1174">
        <w:rPr>
          <w:rFonts w:ascii="Garamond" w:hAnsi="Garamond" w:cs="Arial"/>
          <w:color w:val="auto"/>
          <w:lang w:val="pt-PT"/>
        </w:rPr>
        <w:t xml:space="preserve"> especializados, </w:t>
      </w:r>
      <w:r w:rsidR="00E560D8" w:rsidRPr="003A1174">
        <w:rPr>
          <w:rFonts w:ascii="Garamond" w:hAnsi="Garamond" w:cs="Arial"/>
          <w:color w:val="auto"/>
          <w:lang w:val="pt-PT"/>
        </w:rPr>
        <w:t>melhor</w:t>
      </w:r>
      <w:r w:rsidR="00BB2B00" w:rsidRPr="003A1174">
        <w:rPr>
          <w:rFonts w:ascii="Garamond" w:hAnsi="Garamond" w:cs="Arial"/>
          <w:color w:val="auto"/>
          <w:lang w:val="pt-PT"/>
        </w:rPr>
        <w:t xml:space="preserve">ou </w:t>
      </w:r>
      <w:r w:rsidR="000672E8" w:rsidRPr="003A1174">
        <w:rPr>
          <w:rFonts w:ascii="Garamond" w:hAnsi="Garamond" w:cs="Arial"/>
          <w:color w:val="auto"/>
          <w:lang w:val="pt-PT"/>
        </w:rPr>
        <w:t>e</w:t>
      </w:r>
      <w:r w:rsidR="00CA39B2" w:rsidRPr="003A1174">
        <w:rPr>
          <w:rFonts w:ascii="Garamond" w:hAnsi="Garamond" w:cs="Arial"/>
          <w:color w:val="auto"/>
          <w:lang w:val="pt-PT"/>
        </w:rPr>
        <w:t xml:space="preserve"> aument</w:t>
      </w:r>
      <w:r w:rsidR="00BB2B00" w:rsidRPr="003A1174">
        <w:rPr>
          <w:rFonts w:ascii="Garamond" w:hAnsi="Garamond" w:cs="Arial"/>
          <w:color w:val="auto"/>
          <w:lang w:val="pt-PT"/>
        </w:rPr>
        <w:t xml:space="preserve">ou </w:t>
      </w:r>
      <w:r w:rsidR="00CA39B2" w:rsidRPr="003A1174">
        <w:rPr>
          <w:rFonts w:ascii="Garamond" w:hAnsi="Garamond" w:cs="Arial"/>
          <w:color w:val="auto"/>
          <w:lang w:val="pt-PT"/>
        </w:rPr>
        <w:t xml:space="preserve">as unidades </w:t>
      </w:r>
      <w:r w:rsidR="001F2F8B" w:rsidRPr="003A1174">
        <w:rPr>
          <w:rFonts w:ascii="Garamond" w:hAnsi="Garamond" w:cs="Arial"/>
          <w:color w:val="auto"/>
          <w:lang w:val="pt-PT"/>
        </w:rPr>
        <w:t>policiais</w:t>
      </w:r>
      <w:r w:rsidR="00CA39B2" w:rsidRPr="003A1174">
        <w:rPr>
          <w:rFonts w:ascii="Garamond" w:hAnsi="Garamond" w:cs="Arial"/>
          <w:color w:val="auto"/>
          <w:lang w:val="pt-PT"/>
        </w:rPr>
        <w:t xml:space="preserve"> especializadas </w:t>
      </w:r>
      <w:r w:rsidR="000672E8" w:rsidRPr="003A1174">
        <w:rPr>
          <w:rFonts w:ascii="Garamond" w:hAnsi="Garamond" w:cs="Arial"/>
          <w:color w:val="auto"/>
          <w:lang w:val="pt-PT"/>
        </w:rPr>
        <w:t>e</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a</w:t>
      </w:r>
      <w:r w:rsidR="00CA39B2" w:rsidRPr="003A1174">
        <w:rPr>
          <w:rFonts w:ascii="Garamond" w:hAnsi="Garamond" w:cs="Arial"/>
          <w:color w:val="auto"/>
          <w:lang w:val="pt-PT"/>
        </w:rPr>
        <w:t xml:space="preserve">s </w:t>
      </w:r>
      <w:r w:rsidR="00C30647" w:rsidRPr="003A1174">
        <w:rPr>
          <w:rFonts w:ascii="Garamond" w:hAnsi="Garamond" w:cs="Arial"/>
          <w:color w:val="auto"/>
          <w:lang w:val="pt-PT"/>
        </w:rPr>
        <w:t>equipa</w:t>
      </w:r>
      <w:r w:rsidR="00CA39B2" w:rsidRPr="003A1174">
        <w:rPr>
          <w:rFonts w:ascii="Garamond" w:hAnsi="Garamond" w:cs="Arial"/>
          <w:color w:val="auto"/>
          <w:lang w:val="pt-PT"/>
        </w:rPr>
        <w:t xml:space="preserve">s de </w:t>
      </w:r>
      <w:r w:rsidR="00CB5DB2" w:rsidRPr="003A1174">
        <w:rPr>
          <w:rFonts w:ascii="Garamond" w:hAnsi="Garamond" w:cs="Arial"/>
          <w:color w:val="auto"/>
          <w:lang w:val="pt-PT"/>
        </w:rPr>
        <w:t>referência</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 xml:space="preserve">no </w:t>
      </w:r>
      <w:r w:rsidR="00CA39B2" w:rsidRPr="003A1174">
        <w:rPr>
          <w:rFonts w:ascii="Garamond" w:hAnsi="Garamond" w:cs="Arial"/>
          <w:color w:val="auto"/>
          <w:lang w:val="pt-PT"/>
        </w:rPr>
        <w:t xml:space="preserve">sistema de </w:t>
      </w:r>
      <w:r w:rsidR="007C63D0" w:rsidRPr="003A1174">
        <w:rPr>
          <w:rFonts w:ascii="Garamond" w:hAnsi="Garamond" w:cs="Arial"/>
          <w:color w:val="auto"/>
          <w:lang w:val="pt-PT"/>
        </w:rPr>
        <w:t>Saúde</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 xml:space="preserve">A </w:t>
      </w:r>
      <w:r w:rsidR="00CA39B2" w:rsidRPr="003A1174">
        <w:rPr>
          <w:rFonts w:ascii="Garamond" w:hAnsi="Garamond" w:cs="Arial"/>
          <w:color w:val="auto"/>
          <w:lang w:val="pt-PT"/>
        </w:rPr>
        <w:t xml:space="preserve">INDDHH </w:t>
      </w:r>
      <w:r w:rsidR="00BB2B00" w:rsidRPr="003A1174">
        <w:rPr>
          <w:rFonts w:ascii="Garamond" w:hAnsi="Garamond" w:cs="Arial"/>
          <w:color w:val="auto"/>
          <w:lang w:val="pt-PT"/>
        </w:rPr>
        <w:t xml:space="preserve">salientou </w:t>
      </w:r>
      <w:r w:rsidR="00CA39B2" w:rsidRPr="003A1174">
        <w:rPr>
          <w:rFonts w:ascii="Garamond" w:hAnsi="Garamond" w:cs="Arial"/>
          <w:color w:val="auto"/>
          <w:lang w:val="pt-PT"/>
        </w:rPr>
        <w:t xml:space="preserve">que este tipo de </w:t>
      </w:r>
      <w:r w:rsidR="000350B1" w:rsidRPr="003A1174">
        <w:rPr>
          <w:rFonts w:ascii="Garamond" w:hAnsi="Garamond" w:cs="Arial"/>
          <w:color w:val="auto"/>
          <w:lang w:val="pt-PT"/>
        </w:rPr>
        <w:t>violência</w:t>
      </w:r>
      <w:r w:rsidR="00CA39B2" w:rsidRPr="003A1174">
        <w:rPr>
          <w:rFonts w:ascii="Garamond" w:hAnsi="Garamond" w:cs="Arial"/>
          <w:color w:val="auto"/>
          <w:lang w:val="pt-PT"/>
        </w:rPr>
        <w:t xml:space="preserve"> </w:t>
      </w:r>
      <w:r w:rsidR="00BB2B00" w:rsidRPr="003A1174">
        <w:rPr>
          <w:rFonts w:ascii="Garamond" w:hAnsi="Garamond" w:cs="Arial"/>
          <w:color w:val="auto"/>
          <w:lang w:val="pt-PT"/>
        </w:rPr>
        <w:t>é prioritá</w:t>
      </w:r>
      <w:r w:rsidR="00CA39B2" w:rsidRPr="003A1174">
        <w:rPr>
          <w:rFonts w:ascii="Garamond" w:hAnsi="Garamond" w:cs="Arial"/>
          <w:color w:val="auto"/>
          <w:lang w:val="pt-PT"/>
        </w:rPr>
        <w:t>rio, considerando</w:t>
      </w:r>
      <w:r w:rsidR="00CA39B2" w:rsidRPr="003A1174">
        <w:rPr>
          <w:rFonts w:ascii="Garamond" w:eastAsiaTheme="minorHAnsi" w:hAnsi="Garamond" w:cs="Arial"/>
          <w:lang w:val="pt-PT"/>
        </w:rPr>
        <w:t xml:space="preserve"> </w:t>
      </w:r>
      <w:proofErr w:type="gramStart"/>
      <w:r w:rsidR="008362BA" w:rsidRPr="008362BA">
        <w:rPr>
          <w:rFonts w:ascii="Garamond" w:eastAsiaTheme="minorHAnsi" w:hAnsi="Garamond" w:cs="Arial"/>
          <w:lang w:val="pt-PT"/>
        </w:rPr>
        <w:t>«</w:t>
      </w:r>
      <w:r w:rsidR="00A41BDF" w:rsidRPr="008362BA">
        <w:rPr>
          <w:rFonts w:ascii="Garamond" w:eastAsiaTheme="minorHAnsi" w:hAnsi="Garamond" w:cs="Arial"/>
          <w:lang w:val="pt-PT"/>
        </w:rPr>
        <w:t>…</w:t>
      </w:r>
      <w:proofErr w:type="gramEnd"/>
      <w:r w:rsidR="00CA39B2" w:rsidRPr="008362BA">
        <w:rPr>
          <w:rFonts w:ascii="Garamond" w:eastAsiaTheme="minorHAnsi" w:hAnsi="Garamond" w:cs="Arial"/>
          <w:lang w:val="pt-PT"/>
        </w:rPr>
        <w:t xml:space="preserve">que </w:t>
      </w:r>
      <w:r w:rsidR="00BB2B00" w:rsidRPr="008362BA">
        <w:rPr>
          <w:rFonts w:ascii="Garamond" w:eastAsiaTheme="minorHAnsi" w:hAnsi="Garamond" w:cs="Arial"/>
          <w:lang w:val="pt-PT"/>
        </w:rPr>
        <w:t xml:space="preserve">o </w:t>
      </w:r>
      <w:r w:rsidR="00C30647" w:rsidRPr="008362BA">
        <w:rPr>
          <w:rFonts w:ascii="Garamond" w:eastAsiaTheme="minorHAnsi" w:hAnsi="Garamond" w:cs="Arial"/>
          <w:lang w:val="pt-PT"/>
        </w:rPr>
        <w:t>Uruguai</w:t>
      </w:r>
      <w:r w:rsidR="00CA39B2" w:rsidRPr="008362BA">
        <w:rPr>
          <w:rFonts w:ascii="Garamond" w:eastAsiaTheme="minorHAnsi" w:hAnsi="Garamond" w:cs="Arial"/>
          <w:lang w:val="pt-PT"/>
        </w:rPr>
        <w:t xml:space="preserve"> </w:t>
      </w:r>
      <w:r w:rsidR="00BB2B00" w:rsidRPr="008362BA">
        <w:rPr>
          <w:rFonts w:ascii="Garamond" w:eastAsiaTheme="minorHAnsi" w:hAnsi="Garamond" w:cs="Arial"/>
          <w:lang w:val="pt-PT"/>
        </w:rPr>
        <w:t xml:space="preserve">é o </w:t>
      </w:r>
      <w:r w:rsidR="00CA39B2" w:rsidRPr="008362BA">
        <w:rPr>
          <w:rFonts w:ascii="Garamond" w:eastAsiaTheme="minorHAnsi" w:hAnsi="Garamond" w:cs="Arial"/>
          <w:lang w:val="pt-PT"/>
        </w:rPr>
        <w:t>segundo país d</w:t>
      </w:r>
      <w:r w:rsidR="00BB2B00" w:rsidRPr="008362BA">
        <w:rPr>
          <w:rFonts w:ascii="Garamond" w:eastAsiaTheme="minorHAnsi" w:hAnsi="Garamond" w:cs="Arial"/>
          <w:lang w:val="pt-PT"/>
        </w:rPr>
        <w:t>a</w:t>
      </w:r>
      <w:r w:rsidR="00CA39B2" w:rsidRPr="008362BA">
        <w:rPr>
          <w:rFonts w:ascii="Garamond" w:eastAsiaTheme="minorHAnsi" w:hAnsi="Garamond" w:cs="Arial"/>
          <w:lang w:val="pt-PT"/>
        </w:rPr>
        <w:t xml:space="preserve"> América Latina </w:t>
      </w:r>
      <w:r w:rsidR="008362BA">
        <w:rPr>
          <w:rFonts w:ascii="Garamond" w:eastAsiaTheme="minorHAnsi" w:hAnsi="Garamond" w:cs="Arial"/>
          <w:lang w:val="pt-PT"/>
        </w:rPr>
        <w:t>com maior</w:t>
      </w:r>
      <w:r w:rsidR="00BB2B00" w:rsidRPr="008362BA">
        <w:rPr>
          <w:rFonts w:ascii="Garamond" w:eastAsiaTheme="minorHAnsi" w:hAnsi="Garamond" w:cs="Arial"/>
          <w:lang w:val="pt-PT"/>
        </w:rPr>
        <w:t xml:space="preserve"> taxa</w:t>
      </w:r>
      <w:r w:rsidR="00CA39B2" w:rsidRPr="008362BA">
        <w:rPr>
          <w:rFonts w:ascii="Garamond" w:eastAsiaTheme="minorHAnsi" w:hAnsi="Garamond" w:cs="Arial"/>
          <w:lang w:val="pt-PT"/>
        </w:rPr>
        <w:t xml:space="preserve"> de </w:t>
      </w:r>
      <w:r w:rsidR="00054EE0" w:rsidRPr="008362BA">
        <w:rPr>
          <w:rFonts w:ascii="Garamond" w:eastAsiaTheme="minorHAnsi" w:hAnsi="Garamond" w:cs="Arial"/>
          <w:lang w:val="pt-PT"/>
        </w:rPr>
        <w:t>mulheres</w:t>
      </w:r>
      <w:r w:rsidR="00CA39B2" w:rsidRPr="008362BA">
        <w:rPr>
          <w:rFonts w:ascii="Garamond" w:eastAsiaTheme="minorHAnsi" w:hAnsi="Garamond" w:cs="Arial"/>
          <w:lang w:val="pt-PT"/>
        </w:rPr>
        <w:t xml:space="preserve"> </w:t>
      </w:r>
      <w:r w:rsidR="00EE7406" w:rsidRPr="008362BA">
        <w:rPr>
          <w:rFonts w:ascii="Garamond" w:eastAsiaTheme="minorHAnsi" w:hAnsi="Garamond" w:cs="Arial"/>
          <w:lang w:val="pt-PT"/>
        </w:rPr>
        <w:t>assassinada</w:t>
      </w:r>
      <w:r w:rsidR="00CA39B2" w:rsidRPr="008362BA">
        <w:rPr>
          <w:rFonts w:ascii="Garamond" w:eastAsiaTheme="minorHAnsi" w:hAnsi="Garamond" w:cs="Arial"/>
          <w:lang w:val="pt-PT"/>
        </w:rPr>
        <w:t>s p</w:t>
      </w:r>
      <w:r w:rsidR="00BB2B00" w:rsidRPr="008362BA">
        <w:rPr>
          <w:rFonts w:ascii="Garamond" w:eastAsiaTheme="minorHAnsi" w:hAnsi="Garamond" w:cs="Arial"/>
          <w:lang w:val="pt-PT"/>
        </w:rPr>
        <w:t xml:space="preserve">elo seu companheiro ou </w:t>
      </w:r>
      <w:r w:rsidR="00CA39B2" w:rsidRPr="008362BA">
        <w:rPr>
          <w:rFonts w:ascii="Garamond" w:eastAsiaTheme="minorHAnsi" w:hAnsi="Garamond" w:cs="Arial"/>
          <w:lang w:val="pt-PT"/>
        </w:rPr>
        <w:t>ex</w:t>
      </w:r>
      <w:r w:rsidR="00477220">
        <w:rPr>
          <w:rFonts w:ascii="Garamond" w:eastAsiaTheme="minorHAnsi" w:hAnsi="Garamond" w:cs="Arial"/>
          <w:lang w:val="pt-PT"/>
        </w:rPr>
        <w:t>-</w:t>
      </w:r>
      <w:r w:rsidR="00BB2B00" w:rsidRPr="008362BA">
        <w:rPr>
          <w:rFonts w:ascii="Garamond" w:eastAsiaTheme="minorHAnsi" w:hAnsi="Garamond" w:cs="Arial"/>
          <w:lang w:val="pt-PT"/>
        </w:rPr>
        <w:t>companheiro</w:t>
      </w:r>
      <w:r w:rsidR="008362BA" w:rsidRPr="008362BA">
        <w:rPr>
          <w:rFonts w:ascii="Garamond" w:eastAsiaTheme="minorHAnsi" w:hAnsi="Garamond" w:cs="Arial"/>
          <w:lang w:val="pt-PT"/>
        </w:rPr>
        <w:t>»</w:t>
      </w:r>
      <w:r w:rsidR="00A41BDF" w:rsidRPr="003A1174">
        <w:rPr>
          <w:rFonts w:ascii="Garamond" w:eastAsiaTheme="minorHAnsi" w:hAnsi="Garamond" w:cs="Arial"/>
          <w:lang w:val="pt-PT"/>
        </w:rPr>
        <w:t>,</w:t>
      </w:r>
      <w:r w:rsidR="00CA39B2" w:rsidRPr="003A1174">
        <w:rPr>
          <w:rStyle w:val="Refdenotaalpie"/>
          <w:rFonts w:ascii="Garamond" w:eastAsiaTheme="minorHAnsi" w:hAnsi="Garamond" w:cs="Arial"/>
        </w:rPr>
        <w:footnoteReference w:id="112"/>
      </w:r>
      <w:r w:rsidR="00CA39B2" w:rsidRPr="003A1174">
        <w:rPr>
          <w:rFonts w:ascii="Garamond" w:eastAsiaTheme="minorHAnsi" w:hAnsi="Garamond" w:cs="Arial"/>
          <w:lang w:val="pt-PT"/>
        </w:rPr>
        <w:t xml:space="preserve"> </w:t>
      </w:r>
      <w:r w:rsidR="00BB2B00" w:rsidRPr="003A1174">
        <w:rPr>
          <w:rFonts w:ascii="Garamond" w:eastAsiaTheme="minorHAnsi" w:hAnsi="Garamond" w:cs="Arial"/>
          <w:lang w:val="pt-PT"/>
        </w:rPr>
        <w:t xml:space="preserve">chamando </w:t>
      </w:r>
      <w:r w:rsidR="00CA39B2" w:rsidRPr="003A1174">
        <w:rPr>
          <w:rFonts w:ascii="Garamond" w:eastAsiaTheme="minorHAnsi" w:hAnsi="Garamond" w:cs="Arial"/>
          <w:lang w:val="pt-PT"/>
        </w:rPr>
        <w:t xml:space="preserve">a </w:t>
      </w:r>
      <w:r w:rsidR="008278C4" w:rsidRPr="003A1174">
        <w:rPr>
          <w:rFonts w:ascii="Garamond" w:eastAsiaTheme="minorHAnsi" w:hAnsi="Garamond" w:cs="Arial"/>
          <w:lang w:val="pt-PT"/>
        </w:rPr>
        <w:t>atenção</w:t>
      </w:r>
      <w:r w:rsidR="00CA39B2" w:rsidRPr="003A1174">
        <w:rPr>
          <w:rFonts w:ascii="Garamond" w:eastAsiaTheme="minorHAnsi" w:hAnsi="Garamond" w:cs="Arial"/>
          <w:lang w:val="pt-PT"/>
        </w:rPr>
        <w:t xml:space="preserve"> sobre </w:t>
      </w:r>
      <w:r w:rsidR="008362BA">
        <w:rPr>
          <w:rFonts w:ascii="Garamond" w:eastAsiaTheme="minorHAnsi" w:hAnsi="Garamond" w:cs="Arial"/>
          <w:lang w:val="pt-PT"/>
        </w:rPr>
        <w:t>«</w:t>
      </w:r>
      <w:r w:rsidR="00CA39B2" w:rsidRPr="003A1174">
        <w:rPr>
          <w:rFonts w:ascii="Garamond" w:hAnsi="Garamond" w:cs="Arial"/>
          <w:lang w:val="pt-PT"/>
        </w:rPr>
        <w:t xml:space="preserve">a </w:t>
      </w:r>
      <w:r w:rsidR="00C30647" w:rsidRPr="003A1174">
        <w:rPr>
          <w:rFonts w:ascii="Garamond" w:hAnsi="Garamond" w:cs="Arial"/>
          <w:lang w:val="pt-PT"/>
        </w:rPr>
        <w:t>persistência</w:t>
      </w:r>
      <w:r w:rsidR="00BB2B00" w:rsidRPr="003A1174">
        <w:rPr>
          <w:rFonts w:ascii="Garamond" w:hAnsi="Garamond" w:cs="Arial"/>
          <w:lang w:val="pt-PT"/>
        </w:rPr>
        <w:t xml:space="preserve"> de um</w:t>
      </w:r>
      <w:r w:rsidR="00CA39B2" w:rsidRPr="003A1174">
        <w:rPr>
          <w:rFonts w:ascii="Garamond" w:hAnsi="Garamond" w:cs="Arial"/>
          <w:lang w:val="pt-PT"/>
        </w:rPr>
        <w:t xml:space="preserve">a cultura </w:t>
      </w:r>
      <w:r w:rsidR="00BB2B00" w:rsidRPr="003A1174">
        <w:rPr>
          <w:rFonts w:ascii="Garamond" w:hAnsi="Garamond" w:cs="Arial"/>
          <w:lang w:val="pt-PT"/>
        </w:rPr>
        <w:t xml:space="preserve">institucional que </w:t>
      </w:r>
      <w:r w:rsidR="002F319E" w:rsidRPr="003A1174">
        <w:rPr>
          <w:rFonts w:ascii="Garamond" w:hAnsi="Garamond" w:cs="Arial"/>
          <w:lang w:val="pt-PT"/>
        </w:rPr>
        <w:t>não dá vi</w:t>
      </w:r>
      <w:r w:rsidR="00BB2B00" w:rsidRPr="003A1174">
        <w:rPr>
          <w:rFonts w:ascii="Garamond" w:hAnsi="Garamond" w:cs="Arial"/>
          <w:lang w:val="pt-PT"/>
        </w:rPr>
        <w:t>sibili</w:t>
      </w:r>
      <w:r w:rsidR="002F319E" w:rsidRPr="003A1174">
        <w:rPr>
          <w:rFonts w:ascii="Garamond" w:hAnsi="Garamond" w:cs="Arial"/>
          <w:lang w:val="pt-PT"/>
        </w:rPr>
        <w:t xml:space="preserve">dade à </w:t>
      </w:r>
      <w:r w:rsidR="00CA39B2" w:rsidRPr="003A1174">
        <w:rPr>
          <w:rFonts w:ascii="Garamond" w:hAnsi="Garamond" w:cs="Arial"/>
          <w:lang w:val="pt-PT"/>
        </w:rPr>
        <w:t xml:space="preserve">problemática </w:t>
      </w:r>
      <w:r w:rsidR="00497503" w:rsidRPr="003A1174">
        <w:rPr>
          <w:rFonts w:ascii="Garamond" w:hAnsi="Garamond" w:cs="Arial"/>
          <w:lang w:val="pt-PT"/>
        </w:rPr>
        <w:t>das</w:t>
      </w:r>
      <w:r w:rsidR="00CA39B2" w:rsidRPr="003A1174">
        <w:rPr>
          <w:rFonts w:ascii="Garamond" w:hAnsi="Garamond" w:cs="Arial"/>
          <w:lang w:val="pt-PT"/>
        </w:rPr>
        <w:t xml:space="preserve"> diferentes formas de </w:t>
      </w:r>
      <w:r w:rsidR="000350B1" w:rsidRPr="003A1174">
        <w:rPr>
          <w:rFonts w:ascii="Garamond" w:hAnsi="Garamond" w:cs="Arial"/>
          <w:lang w:val="pt-PT"/>
        </w:rPr>
        <w:t>violência</w:t>
      </w:r>
      <w:r w:rsidR="00BB2B00" w:rsidRPr="003A1174">
        <w:rPr>
          <w:rFonts w:ascii="Garamond" w:hAnsi="Garamond" w:cs="Arial"/>
          <w:lang w:val="pt-PT"/>
        </w:rPr>
        <w:t xml:space="preserve"> contra </w:t>
      </w:r>
      <w:r w:rsidR="00CA39B2" w:rsidRPr="003A1174">
        <w:rPr>
          <w:rFonts w:ascii="Garamond" w:hAnsi="Garamond" w:cs="Arial"/>
          <w:lang w:val="pt-PT"/>
        </w:rPr>
        <w:t xml:space="preserve">as </w:t>
      </w:r>
      <w:r w:rsidR="00054EE0" w:rsidRPr="003A1174">
        <w:rPr>
          <w:rFonts w:ascii="Garamond" w:hAnsi="Garamond" w:cs="Arial"/>
          <w:lang w:val="pt-PT"/>
        </w:rPr>
        <w:t>mulheres</w:t>
      </w:r>
      <w:r w:rsidR="00CA39B2" w:rsidRPr="003A1174">
        <w:rPr>
          <w:rFonts w:ascii="Garamond" w:hAnsi="Garamond" w:cs="Arial"/>
          <w:lang w:val="pt-PT"/>
        </w:rPr>
        <w:t>, p</w:t>
      </w:r>
      <w:r w:rsidR="00BB2B00" w:rsidRPr="003A1174">
        <w:rPr>
          <w:rFonts w:ascii="Garamond" w:hAnsi="Garamond" w:cs="Arial"/>
          <w:lang w:val="pt-PT"/>
        </w:rPr>
        <w:t>e</w:t>
      </w:r>
      <w:r w:rsidR="00CA39B2" w:rsidRPr="003A1174">
        <w:rPr>
          <w:rFonts w:ascii="Garamond" w:hAnsi="Garamond" w:cs="Arial"/>
          <w:lang w:val="pt-PT"/>
        </w:rPr>
        <w:t xml:space="preserve">lo que </w:t>
      </w:r>
      <w:r w:rsidR="00BB2B00" w:rsidRPr="003A1174">
        <w:rPr>
          <w:rFonts w:ascii="Garamond" w:hAnsi="Garamond" w:cs="Arial"/>
          <w:lang w:val="pt-PT"/>
        </w:rPr>
        <w:t xml:space="preserve">destaca </w:t>
      </w:r>
      <w:r w:rsidR="00CA39B2" w:rsidRPr="003A1174">
        <w:rPr>
          <w:rFonts w:ascii="Garamond" w:hAnsi="Garamond" w:cs="Arial"/>
          <w:lang w:val="pt-PT"/>
        </w:rPr>
        <w:t xml:space="preserve">a </w:t>
      </w:r>
      <w:r w:rsidR="006506C6" w:rsidRPr="003A1174">
        <w:rPr>
          <w:rFonts w:ascii="Garamond" w:hAnsi="Garamond" w:cs="Arial"/>
          <w:lang w:val="pt-PT"/>
        </w:rPr>
        <w:t>necessidade</w:t>
      </w:r>
      <w:r w:rsidR="00CA39B2" w:rsidRPr="003A1174">
        <w:rPr>
          <w:rFonts w:ascii="Garamond" w:hAnsi="Garamond" w:cs="Arial"/>
          <w:lang w:val="pt-PT"/>
        </w:rPr>
        <w:t xml:space="preserve"> de </w:t>
      </w:r>
      <w:r w:rsidR="00BB2B00" w:rsidRPr="003A1174">
        <w:rPr>
          <w:rFonts w:ascii="Garamond" w:hAnsi="Garamond" w:cs="Arial"/>
          <w:lang w:val="pt-PT"/>
        </w:rPr>
        <w:t>a</w:t>
      </w:r>
      <w:r w:rsidR="00CA39B2" w:rsidRPr="003A1174">
        <w:rPr>
          <w:rFonts w:ascii="Garamond" w:hAnsi="Garamond" w:cs="Arial"/>
          <w:lang w:val="pt-PT"/>
        </w:rPr>
        <w:t>profund</w:t>
      </w:r>
      <w:r w:rsidR="00BB2B00" w:rsidRPr="003A1174">
        <w:rPr>
          <w:rFonts w:ascii="Garamond" w:hAnsi="Garamond" w:cs="Arial"/>
          <w:lang w:val="pt-PT"/>
        </w:rPr>
        <w:t xml:space="preserve">ar </w:t>
      </w:r>
      <w:r w:rsidR="00CA39B2" w:rsidRPr="003A1174">
        <w:rPr>
          <w:rFonts w:ascii="Garamond" w:hAnsi="Garamond" w:cs="Arial"/>
          <w:lang w:val="pt-PT"/>
        </w:rPr>
        <w:t xml:space="preserve">a </w:t>
      </w:r>
      <w:r w:rsidR="00454353" w:rsidRPr="003A1174">
        <w:rPr>
          <w:rFonts w:ascii="Garamond" w:hAnsi="Garamond" w:cs="Arial"/>
          <w:lang w:val="pt-PT"/>
        </w:rPr>
        <w:t>formação</w:t>
      </w:r>
      <w:r w:rsidR="00CA39B2" w:rsidRPr="003A1174">
        <w:rPr>
          <w:rFonts w:ascii="Garamond" w:hAnsi="Garamond" w:cs="Arial"/>
          <w:lang w:val="pt-PT"/>
        </w:rPr>
        <w:t xml:space="preserve"> </w:t>
      </w:r>
      <w:r w:rsidR="000672E8" w:rsidRPr="003A1174">
        <w:rPr>
          <w:rFonts w:ascii="Garamond" w:hAnsi="Garamond" w:cs="Arial"/>
          <w:lang w:val="pt-PT"/>
        </w:rPr>
        <w:t>e</w:t>
      </w:r>
      <w:r w:rsidR="00CA39B2" w:rsidRPr="003A1174">
        <w:rPr>
          <w:rFonts w:ascii="Garamond" w:hAnsi="Garamond" w:cs="Arial"/>
          <w:lang w:val="pt-PT"/>
        </w:rPr>
        <w:t xml:space="preserve"> </w:t>
      </w:r>
      <w:r w:rsidR="002A71E1">
        <w:rPr>
          <w:rFonts w:ascii="Garamond" w:hAnsi="Garamond" w:cs="Arial"/>
          <w:lang w:val="pt-PT"/>
        </w:rPr>
        <w:t>profissionalização</w:t>
      </w:r>
      <w:r w:rsidR="00CA39B2" w:rsidRPr="003A1174">
        <w:rPr>
          <w:rFonts w:ascii="Garamond" w:hAnsi="Garamond" w:cs="Arial"/>
          <w:lang w:val="pt-PT"/>
        </w:rPr>
        <w:t xml:space="preserve"> </w:t>
      </w:r>
      <w:r w:rsidR="00497503" w:rsidRPr="003A1174">
        <w:rPr>
          <w:rFonts w:ascii="Garamond" w:hAnsi="Garamond" w:cs="Arial"/>
          <w:lang w:val="pt-PT"/>
        </w:rPr>
        <w:t>dos</w:t>
      </w:r>
      <w:r w:rsidR="00CA39B2" w:rsidRPr="003A1174">
        <w:rPr>
          <w:rFonts w:ascii="Garamond" w:hAnsi="Garamond" w:cs="Arial"/>
          <w:lang w:val="pt-PT"/>
        </w:rPr>
        <w:t xml:space="preserve"> diferentes operadores </w:t>
      </w:r>
      <w:r w:rsidR="00C04CA4" w:rsidRPr="003A1174">
        <w:rPr>
          <w:rFonts w:ascii="Garamond" w:hAnsi="Garamond" w:cs="Arial"/>
          <w:lang w:val="pt-PT"/>
        </w:rPr>
        <w:t>institucionais</w:t>
      </w:r>
      <w:r w:rsidR="00CA39B2" w:rsidRPr="003A1174">
        <w:rPr>
          <w:rFonts w:ascii="Garamond" w:hAnsi="Garamond" w:cs="Arial"/>
          <w:lang w:val="pt-PT"/>
        </w:rPr>
        <w:t xml:space="preserve"> </w:t>
      </w:r>
      <w:r w:rsidR="00B91ED4" w:rsidRPr="003A1174">
        <w:rPr>
          <w:rFonts w:ascii="Garamond" w:hAnsi="Garamond" w:cs="Arial"/>
          <w:lang w:val="pt-PT"/>
        </w:rPr>
        <w:t>envolvidos</w:t>
      </w:r>
      <w:r w:rsidR="00BB2B00" w:rsidRPr="003A1174">
        <w:rPr>
          <w:rFonts w:ascii="Garamond" w:hAnsi="Garamond" w:cs="Arial"/>
          <w:lang w:val="pt-PT"/>
        </w:rPr>
        <w:t xml:space="preserve">, para evitar </w:t>
      </w:r>
      <w:r w:rsidR="00CA39B2" w:rsidRPr="003A1174">
        <w:rPr>
          <w:rFonts w:ascii="Garamond" w:hAnsi="Garamond" w:cs="Arial"/>
          <w:lang w:val="pt-PT"/>
        </w:rPr>
        <w:t>a re</w:t>
      </w:r>
      <w:r w:rsidR="00EE7406" w:rsidRPr="003A1174">
        <w:rPr>
          <w:rFonts w:ascii="Garamond" w:hAnsi="Garamond" w:cs="Arial"/>
          <w:lang w:val="pt-PT"/>
        </w:rPr>
        <w:t>vitimização</w:t>
      </w:r>
      <w:r w:rsidR="00CA39B2" w:rsidRPr="003A1174">
        <w:rPr>
          <w:rFonts w:ascii="Garamond" w:hAnsi="Garamond" w:cs="Arial"/>
          <w:lang w:val="pt-PT"/>
        </w:rPr>
        <w:t>.</w:t>
      </w:r>
      <w:r w:rsidR="008362BA">
        <w:rPr>
          <w:rFonts w:ascii="Garamond" w:hAnsi="Garamond" w:cs="Arial"/>
          <w:lang w:val="pt-PT"/>
        </w:rPr>
        <w:t>»</w:t>
      </w:r>
      <w:r w:rsidR="00CA39B2" w:rsidRPr="003A1174">
        <w:rPr>
          <w:rStyle w:val="Refdenotaalpie"/>
          <w:rFonts w:ascii="Garamond" w:hAnsi="Garamond" w:cs="Arial"/>
        </w:rPr>
        <w:footnoteReference w:id="113"/>
      </w:r>
      <w:r w:rsidR="00CA39B2" w:rsidRPr="003A1174">
        <w:rPr>
          <w:rFonts w:ascii="Garamond" w:hAnsi="Garamond" w:cs="Arial"/>
          <w:lang w:val="pt-PT"/>
        </w:rPr>
        <w:t xml:space="preserve"> </w:t>
      </w:r>
      <w:r w:rsidR="00BB2B00" w:rsidRPr="003A1174">
        <w:rPr>
          <w:rFonts w:ascii="Garamond" w:hAnsi="Garamond" w:cs="Arial"/>
          <w:lang w:val="pt-PT"/>
        </w:rPr>
        <w:t xml:space="preserve">Salienta </w:t>
      </w:r>
      <w:r w:rsidR="000350B1" w:rsidRPr="003A1174">
        <w:rPr>
          <w:rFonts w:ascii="Garamond" w:hAnsi="Garamond" w:cs="Arial"/>
          <w:lang w:val="pt-PT"/>
        </w:rPr>
        <w:t>também</w:t>
      </w:r>
      <w:r w:rsidR="00CA39B2" w:rsidRPr="003A1174">
        <w:rPr>
          <w:rFonts w:ascii="Garamond" w:hAnsi="Garamond" w:cs="Arial"/>
          <w:lang w:val="pt-PT"/>
        </w:rPr>
        <w:t xml:space="preserve">, </w:t>
      </w:r>
      <w:r w:rsidR="00BB2B00" w:rsidRPr="003A1174">
        <w:rPr>
          <w:rFonts w:ascii="Garamond" w:hAnsi="Garamond" w:cs="Arial"/>
          <w:lang w:val="pt-PT"/>
        </w:rPr>
        <w:t>enquanto</w:t>
      </w:r>
      <w:r w:rsidR="00CA39B2" w:rsidRPr="003A1174">
        <w:rPr>
          <w:rFonts w:ascii="Garamond" w:hAnsi="Garamond" w:cs="Arial"/>
          <w:lang w:val="pt-PT"/>
        </w:rPr>
        <w:t xml:space="preserve"> </w:t>
      </w:r>
      <w:r w:rsidR="00800D59" w:rsidRPr="003A1174">
        <w:rPr>
          <w:rFonts w:ascii="Garamond" w:hAnsi="Garamond" w:cs="Arial"/>
          <w:lang w:val="pt-PT"/>
        </w:rPr>
        <w:t>instituição</w:t>
      </w:r>
      <w:r w:rsidR="00CA39B2" w:rsidRPr="003A1174">
        <w:rPr>
          <w:rFonts w:ascii="Garamond" w:hAnsi="Garamond" w:cs="Arial"/>
          <w:lang w:val="pt-PT"/>
        </w:rPr>
        <w:t xml:space="preserve">, </w:t>
      </w:r>
      <w:r w:rsidR="008362BA">
        <w:rPr>
          <w:rFonts w:ascii="Garamond" w:hAnsi="Garamond" w:cs="Arial"/>
          <w:lang w:val="pt-PT"/>
        </w:rPr>
        <w:t>«</w:t>
      </w:r>
      <w:r w:rsidR="00A41BDF" w:rsidRPr="003A1174">
        <w:rPr>
          <w:rFonts w:ascii="Garamond" w:hAnsi="Garamond" w:cs="Arial"/>
          <w:lang w:val="pt-PT"/>
        </w:rPr>
        <w:t>…</w:t>
      </w:r>
      <w:r w:rsidR="00CA39B2" w:rsidRPr="003A1174">
        <w:rPr>
          <w:rFonts w:ascii="Garamond" w:hAnsi="Garamond" w:cs="Arial"/>
          <w:lang w:val="pt-PT"/>
        </w:rPr>
        <w:t xml:space="preserve">a </w:t>
      </w:r>
      <w:r w:rsidR="005D38DC" w:rsidRPr="003A1174">
        <w:rPr>
          <w:rFonts w:ascii="Garamond" w:hAnsi="Garamond" w:cs="Arial"/>
          <w:lang w:val="pt-PT"/>
        </w:rPr>
        <w:t>importância</w:t>
      </w:r>
      <w:r w:rsidR="00BB2B00" w:rsidRPr="003A1174">
        <w:rPr>
          <w:rFonts w:ascii="Garamond" w:hAnsi="Garamond" w:cs="Arial"/>
          <w:lang w:val="pt-PT"/>
        </w:rPr>
        <w:t xml:space="preserve"> de evidenciar </w:t>
      </w:r>
      <w:r w:rsidR="00CA39B2" w:rsidRPr="003A1174">
        <w:rPr>
          <w:rFonts w:ascii="Garamond" w:hAnsi="Garamond" w:cs="Arial"/>
          <w:lang w:val="pt-PT"/>
        </w:rPr>
        <w:t xml:space="preserve">a </w:t>
      </w:r>
      <w:r w:rsidR="000350B1" w:rsidRPr="003A1174">
        <w:rPr>
          <w:rFonts w:ascii="Garamond" w:hAnsi="Garamond" w:cs="Arial"/>
          <w:lang w:val="pt-PT"/>
        </w:rPr>
        <w:t>violência</w:t>
      </w:r>
      <w:r w:rsidR="00CA39B2" w:rsidRPr="003A1174">
        <w:rPr>
          <w:rFonts w:ascii="Garamond" w:hAnsi="Garamond" w:cs="Arial"/>
          <w:lang w:val="pt-PT"/>
        </w:rPr>
        <w:t xml:space="preserve"> simbólica que as </w:t>
      </w:r>
      <w:r w:rsidR="00054EE0" w:rsidRPr="003A1174">
        <w:rPr>
          <w:rFonts w:ascii="Garamond" w:hAnsi="Garamond" w:cs="Arial"/>
          <w:lang w:val="pt-PT"/>
        </w:rPr>
        <w:t>mulheres</w:t>
      </w:r>
      <w:r w:rsidR="00BB2B00" w:rsidRPr="003A1174">
        <w:rPr>
          <w:rFonts w:ascii="Garamond" w:hAnsi="Garamond" w:cs="Arial"/>
          <w:lang w:val="pt-PT"/>
        </w:rPr>
        <w:t xml:space="preserve"> sofrem</w:t>
      </w:r>
      <w:r w:rsidR="00CA39B2" w:rsidRPr="003A1174">
        <w:rPr>
          <w:rFonts w:ascii="Garamond" w:hAnsi="Garamond" w:cs="Arial"/>
          <w:lang w:val="pt-PT"/>
        </w:rPr>
        <w:t xml:space="preserve"> </w:t>
      </w:r>
      <w:r w:rsidR="000672E8" w:rsidRPr="003A1174">
        <w:rPr>
          <w:rFonts w:ascii="Garamond" w:hAnsi="Garamond" w:cs="Arial"/>
          <w:lang w:val="pt-PT"/>
        </w:rPr>
        <w:t>e</w:t>
      </w:r>
      <w:r w:rsidR="00BB2B00" w:rsidRPr="003A1174">
        <w:rPr>
          <w:rFonts w:ascii="Garamond" w:hAnsi="Garamond" w:cs="Arial"/>
          <w:lang w:val="pt-PT"/>
        </w:rPr>
        <w:t xml:space="preserve"> ent</w:t>
      </w:r>
      <w:r w:rsidR="00CA39B2" w:rsidRPr="003A1174">
        <w:rPr>
          <w:rFonts w:ascii="Garamond" w:hAnsi="Garamond" w:cs="Arial"/>
          <w:lang w:val="pt-PT"/>
        </w:rPr>
        <w:t xml:space="preserve">ende que </w:t>
      </w:r>
      <w:r w:rsidR="00BB2B00" w:rsidRPr="003A1174">
        <w:rPr>
          <w:rFonts w:ascii="Garamond" w:hAnsi="Garamond" w:cs="Arial"/>
          <w:lang w:val="pt-PT"/>
        </w:rPr>
        <w:t xml:space="preserve">é </w:t>
      </w:r>
      <w:r w:rsidR="00C30647" w:rsidRPr="003A1174">
        <w:rPr>
          <w:rFonts w:ascii="Garamond" w:hAnsi="Garamond" w:cs="Arial"/>
          <w:lang w:val="pt-PT"/>
        </w:rPr>
        <w:t>necessário</w:t>
      </w:r>
      <w:r w:rsidR="00BB2B00" w:rsidRPr="003A1174">
        <w:rPr>
          <w:rFonts w:ascii="Garamond" w:hAnsi="Garamond" w:cs="Arial"/>
          <w:lang w:val="pt-PT"/>
        </w:rPr>
        <w:t xml:space="preserve"> que </w:t>
      </w:r>
      <w:r w:rsidR="00CA39B2" w:rsidRPr="003A1174">
        <w:rPr>
          <w:rFonts w:ascii="Garamond" w:hAnsi="Garamond" w:cs="Arial"/>
          <w:lang w:val="pt-PT"/>
        </w:rPr>
        <w:t xml:space="preserve">a </w:t>
      </w:r>
      <w:r w:rsidR="002A59E7" w:rsidRPr="003A1174">
        <w:rPr>
          <w:rFonts w:ascii="Garamond" w:hAnsi="Garamond" w:cs="Arial"/>
          <w:lang w:val="pt-PT"/>
        </w:rPr>
        <w:t>nova</w:t>
      </w:r>
      <w:r w:rsidR="00CA39B2" w:rsidRPr="003A1174">
        <w:rPr>
          <w:rFonts w:ascii="Garamond" w:hAnsi="Garamond" w:cs="Arial"/>
          <w:lang w:val="pt-PT"/>
        </w:rPr>
        <w:t xml:space="preserve"> </w:t>
      </w:r>
      <w:r w:rsidR="00D15AFF" w:rsidRPr="003A1174">
        <w:rPr>
          <w:rFonts w:ascii="Garamond" w:hAnsi="Garamond" w:cs="Arial"/>
          <w:lang w:val="pt-PT"/>
        </w:rPr>
        <w:t>Lei</w:t>
      </w:r>
      <w:r w:rsidR="00CA39B2" w:rsidRPr="003A1174">
        <w:rPr>
          <w:rFonts w:ascii="Garamond" w:hAnsi="Garamond" w:cs="Arial"/>
          <w:lang w:val="pt-PT"/>
        </w:rPr>
        <w:t xml:space="preserve"> de </w:t>
      </w:r>
      <w:r w:rsidR="00B531F2" w:rsidRPr="003A1174">
        <w:rPr>
          <w:rFonts w:ascii="Garamond" w:hAnsi="Garamond" w:cs="Arial"/>
          <w:lang w:val="pt-PT"/>
        </w:rPr>
        <w:t>Serviço</w:t>
      </w:r>
      <w:r w:rsidR="00CA39B2" w:rsidRPr="003A1174">
        <w:rPr>
          <w:rFonts w:ascii="Garamond" w:hAnsi="Garamond" w:cs="Arial"/>
          <w:lang w:val="pt-PT"/>
        </w:rPr>
        <w:t xml:space="preserve">s de </w:t>
      </w:r>
      <w:r w:rsidR="00C01806" w:rsidRPr="003A1174">
        <w:rPr>
          <w:rFonts w:ascii="Garamond" w:hAnsi="Garamond" w:cs="Arial"/>
          <w:lang w:val="pt-PT"/>
        </w:rPr>
        <w:t>Comunicação</w:t>
      </w:r>
      <w:r w:rsidR="00CA39B2" w:rsidRPr="003A1174">
        <w:rPr>
          <w:rFonts w:ascii="Garamond" w:hAnsi="Garamond" w:cs="Arial"/>
          <w:lang w:val="pt-PT"/>
        </w:rPr>
        <w:t xml:space="preserve"> </w:t>
      </w:r>
      <w:r w:rsidR="00BA3CCE" w:rsidRPr="003A1174">
        <w:rPr>
          <w:rFonts w:ascii="Garamond" w:hAnsi="Garamond" w:cs="Arial"/>
          <w:lang w:val="pt-PT"/>
        </w:rPr>
        <w:t>Audiovisual</w:t>
      </w:r>
      <w:r w:rsidR="00CA39B2" w:rsidRPr="003A1174">
        <w:rPr>
          <w:rFonts w:ascii="Garamond" w:hAnsi="Garamond" w:cs="Arial"/>
          <w:lang w:val="pt-PT"/>
        </w:rPr>
        <w:t xml:space="preserve"> se constitua </w:t>
      </w:r>
      <w:r w:rsidR="00BB2B00" w:rsidRPr="003A1174">
        <w:rPr>
          <w:rFonts w:ascii="Garamond" w:hAnsi="Garamond" w:cs="Arial"/>
          <w:lang w:val="pt-PT"/>
        </w:rPr>
        <w:t xml:space="preserve">num </w:t>
      </w:r>
      <w:r w:rsidR="00253B1D" w:rsidRPr="003A1174">
        <w:rPr>
          <w:rFonts w:ascii="Garamond" w:hAnsi="Garamond" w:cs="Arial"/>
          <w:lang w:val="pt-PT"/>
        </w:rPr>
        <w:t>quadro</w:t>
      </w:r>
      <w:r w:rsidR="00CA39B2" w:rsidRPr="003A1174">
        <w:rPr>
          <w:rFonts w:ascii="Garamond" w:hAnsi="Garamond" w:cs="Arial"/>
          <w:lang w:val="pt-PT"/>
        </w:rPr>
        <w:t xml:space="preserve"> para dar </w:t>
      </w:r>
      <w:r w:rsidR="00AB6522" w:rsidRPr="003A1174">
        <w:rPr>
          <w:rFonts w:ascii="Garamond" w:hAnsi="Garamond" w:cs="Arial"/>
          <w:lang w:val="pt-PT"/>
        </w:rPr>
        <w:t>resposta</w:t>
      </w:r>
      <w:r w:rsidR="00CA39B2" w:rsidRPr="003A1174">
        <w:rPr>
          <w:rFonts w:ascii="Garamond" w:hAnsi="Garamond" w:cs="Arial"/>
          <w:lang w:val="pt-PT"/>
        </w:rPr>
        <w:t xml:space="preserve">s </w:t>
      </w:r>
      <w:r w:rsidR="000672E8" w:rsidRPr="003A1174">
        <w:rPr>
          <w:rFonts w:ascii="Garamond" w:hAnsi="Garamond" w:cs="Arial"/>
          <w:lang w:val="pt-PT"/>
        </w:rPr>
        <w:t>e</w:t>
      </w:r>
      <w:r w:rsidR="00BB2B00" w:rsidRPr="003A1174">
        <w:rPr>
          <w:rFonts w:ascii="Garamond" w:hAnsi="Garamond" w:cs="Arial"/>
          <w:lang w:val="pt-PT"/>
        </w:rPr>
        <w:t xml:space="preserve"> questionar </w:t>
      </w:r>
      <w:r w:rsidR="00CA39B2" w:rsidRPr="003A1174">
        <w:rPr>
          <w:rFonts w:ascii="Garamond" w:hAnsi="Garamond" w:cs="Arial"/>
          <w:lang w:val="pt-PT"/>
        </w:rPr>
        <w:t xml:space="preserve">os modelos </w:t>
      </w:r>
      <w:r w:rsidR="000672E8" w:rsidRPr="003A1174">
        <w:rPr>
          <w:rFonts w:ascii="Garamond" w:hAnsi="Garamond" w:cs="Arial"/>
          <w:lang w:val="pt-PT"/>
        </w:rPr>
        <w:t>e</w:t>
      </w:r>
      <w:r w:rsidR="00CA39B2" w:rsidRPr="003A1174">
        <w:rPr>
          <w:rFonts w:ascii="Garamond" w:hAnsi="Garamond" w:cs="Arial"/>
          <w:lang w:val="pt-PT"/>
        </w:rPr>
        <w:t xml:space="preserve"> </w:t>
      </w:r>
      <w:r w:rsidR="00067AA4" w:rsidRPr="003A1174">
        <w:rPr>
          <w:rFonts w:ascii="Garamond" w:hAnsi="Garamond" w:cs="Arial"/>
          <w:lang w:val="pt-PT"/>
        </w:rPr>
        <w:t>estereótipo</w:t>
      </w:r>
      <w:r w:rsidR="00CA39B2" w:rsidRPr="003A1174">
        <w:rPr>
          <w:rFonts w:ascii="Garamond" w:hAnsi="Garamond" w:cs="Arial"/>
          <w:lang w:val="pt-PT"/>
        </w:rPr>
        <w:t xml:space="preserve">s de género persistentes </w:t>
      </w:r>
      <w:r w:rsidR="00BB2B00" w:rsidRPr="003A1174">
        <w:rPr>
          <w:rFonts w:ascii="Garamond" w:hAnsi="Garamond" w:cs="Arial"/>
          <w:lang w:val="pt-PT"/>
        </w:rPr>
        <w:t xml:space="preserve">na </w:t>
      </w:r>
      <w:r w:rsidR="00462B11" w:rsidRPr="003A1174">
        <w:rPr>
          <w:rFonts w:ascii="Garamond" w:hAnsi="Garamond" w:cs="Arial"/>
          <w:lang w:val="pt-PT"/>
        </w:rPr>
        <w:t>nossa</w:t>
      </w:r>
      <w:r w:rsidR="00CA39B2" w:rsidRPr="003A1174">
        <w:rPr>
          <w:rFonts w:ascii="Garamond" w:hAnsi="Garamond" w:cs="Arial"/>
          <w:lang w:val="pt-PT"/>
        </w:rPr>
        <w:t xml:space="preserve"> </w:t>
      </w:r>
      <w:r w:rsidR="002C7510" w:rsidRPr="003A1174">
        <w:rPr>
          <w:rFonts w:ascii="Garamond" w:hAnsi="Garamond" w:cs="Arial"/>
          <w:lang w:val="pt-PT"/>
        </w:rPr>
        <w:t>sociedade</w:t>
      </w:r>
      <w:r w:rsidR="00CA39B2" w:rsidRPr="003A1174">
        <w:rPr>
          <w:rFonts w:ascii="Garamond" w:hAnsi="Garamond" w:cs="Arial"/>
          <w:lang w:val="pt-PT"/>
        </w:rPr>
        <w:t>.</w:t>
      </w:r>
      <w:r w:rsidR="008362BA">
        <w:rPr>
          <w:rFonts w:ascii="Garamond" w:hAnsi="Garamond" w:cs="Arial"/>
          <w:lang w:val="pt-PT"/>
        </w:rPr>
        <w:t>»</w:t>
      </w:r>
      <w:r w:rsidR="00CA39B2" w:rsidRPr="003A1174">
        <w:rPr>
          <w:rStyle w:val="Refdenotaalpie"/>
          <w:rFonts w:ascii="Garamond" w:hAnsi="Garamond" w:cs="Arial"/>
        </w:rPr>
        <w:footnoteReference w:id="114"/>
      </w:r>
    </w:p>
    <w:p w:rsidR="008362BA" w:rsidRPr="008362BA" w:rsidRDefault="00BB2B00" w:rsidP="008362BA">
      <w:pPr>
        <w:spacing w:before="240" w:line="240" w:lineRule="auto"/>
        <w:jc w:val="both"/>
        <w:rPr>
          <w:rFonts w:ascii="Garamond" w:hAnsi="Garamond" w:cs="Arial"/>
          <w:sz w:val="24"/>
          <w:szCs w:val="24"/>
        </w:rPr>
      </w:pPr>
      <w:r w:rsidRPr="003A1174">
        <w:rPr>
          <w:rFonts w:ascii="Garamond" w:hAnsi="Garamond" w:cs="Arial"/>
          <w:sz w:val="24"/>
          <w:szCs w:val="24"/>
        </w:rPr>
        <w:t xml:space="preserve">Relativamente ao </w:t>
      </w:r>
      <w:r w:rsidR="00886D6A" w:rsidRPr="003A1174">
        <w:rPr>
          <w:rFonts w:ascii="Garamond" w:hAnsi="Garamond" w:cs="Arial"/>
          <w:sz w:val="24"/>
          <w:szCs w:val="24"/>
        </w:rPr>
        <w:t>acesso</w:t>
      </w:r>
      <w:r w:rsidR="00CA39B2" w:rsidRPr="003A1174">
        <w:rPr>
          <w:rFonts w:ascii="Garamond" w:hAnsi="Garamond" w:cs="Arial"/>
          <w:sz w:val="24"/>
          <w:szCs w:val="24"/>
        </w:rPr>
        <w:t xml:space="preserve"> </w:t>
      </w:r>
      <w:r w:rsidRPr="003A1174">
        <w:rPr>
          <w:rFonts w:ascii="Garamond" w:hAnsi="Garamond" w:cs="Arial"/>
          <w:sz w:val="24"/>
          <w:szCs w:val="24"/>
        </w:rPr>
        <w:t>à</w:t>
      </w:r>
      <w:r w:rsidR="00CA39B2" w:rsidRPr="003A1174">
        <w:rPr>
          <w:rFonts w:ascii="Garamond" w:hAnsi="Garamond" w:cs="Arial"/>
          <w:sz w:val="24"/>
          <w:szCs w:val="24"/>
        </w:rPr>
        <w:t xml:space="preserve"> </w:t>
      </w:r>
      <w:r w:rsidR="00FC1F7F" w:rsidRPr="003A1174">
        <w:rPr>
          <w:rFonts w:ascii="Garamond" w:hAnsi="Garamond" w:cs="Arial"/>
          <w:sz w:val="24"/>
          <w:szCs w:val="24"/>
        </w:rPr>
        <w:t>justiça</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17447A" w:rsidRPr="003A1174">
        <w:rPr>
          <w:rFonts w:ascii="Garamond" w:hAnsi="Garamond" w:cs="Arial"/>
          <w:sz w:val="24"/>
          <w:szCs w:val="24"/>
        </w:rPr>
        <w:t>situação</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 xml:space="preserve">, </w:t>
      </w:r>
      <w:r w:rsidR="00CA39B2" w:rsidRPr="003A1174">
        <w:rPr>
          <w:rFonts w:ascii="Garamond" w:hAnsi="Garamond" w:cs="Arial"/>
          <w:sz w:val="24"/>
          <w:szCs w:val="24"/>
        </w:rPr>
        <w:t>a INDDHH</w:t>
      </w:r>
      <w:r w:rsidRPr="003A1174">
        <w:rPr>
          <w:rFonts w:ascii="Garamond" w:hAnsi="Garamond" w:cs="Arial"/>
          <w:sz w:val="24"/>
          <w:szCs w:val="24"/>
        </w:rPr>
        <w:t xml:space="preserve"> destacou a </w:t>
      </w:r>
      <w:r w:rsidR="005D38DC" w:rsidRPr="003A1174">
        <w:rPr>
          <w:rFonts w:ascii="Garamond" w:hAnsi="Garamond" w:cs="Arial"/>
          <w:sz w:val="24"/>
          <w:szCs w:val="24"/>
        </w:rPr>
        <w:t>importância</w:t>
      </w:r>
      <w:r w:rsidR="00CA39B2" w:rsidRPr="003A1174">
        <w:rPr>
          <w:rFonts w:ascii="Garamond" w:hAnsi="Garamond" w:cs="Arial"/>
          <w:sz w:val="24"/>
          <w:szCs w:val="24"/>
        </w:rPr>
        <w:t xml:space="preserve"> da </w:t>
      </w:r>
      <w:r w:rsidR="007A2492" w:rsidRPr="003A1174">
        <w:rPr>
          <w:rFonts w:ascii="Garamond" w:hAnsi="Garamond" w:cs="Arial"/>
          <w:sz w:val="24"/>
          <w:szCs w:val="24"/>
        </w:rPr>
        <w:t>aprovação</w:t>
      </w:r>
      <w:r w:rsidR="00CA39B2" w:rsidRPr="003A1174">
        <w:rPr>
          <w:rFonts w:ascii="Garamond" w:hAnsi="Garamond" w:cs="Arial"/>
          <w:sz w:val="24"/>
          <w:szCs w:val="24"/>
        </w:rPr>
        <w:t xml:space="preserve"> d</w:t>
      </w:r>
      <w:r w:rsidR="008362BA">
        <w:rPr>
          <w:rFonts w:ascii="Garamond" w:hAnsi="Garamond" w:cs="Arial"/>
          <w:sz w:val="24"/>
          <w:szCs w:val="24"/>
        </w:rPr>
        <w:t>o</w:t>
      </w:r>
      <w:r w:rsidRPr="003A1174">
        <w:rPr>
          <w:rFonts w:ascii="Garamond" w:hAnsi="Garamond" w:cs="Arial"/>
          <w:sz w:val="24"/>
          <w:szCs w:val="24"/>
        </w:rPr>
        <w:t xml:space="preserve"> Ac</w:t>
      </w:r>
      <w:r w:rsidR="008362BA">
        <w:rPr>
          <w:rFonts w:ascii="Garamond" w:hAnsi="Garamond" w:cs="Arial"/>
          <w:sz w:val="24"/>
          <w:szCs w:val="24"/>
        </w:rPr>
        <w:t>ó</w:t>
      </w:r>
      <w:r w:rsidRPr="003A1174">
        <w:rPr>
          <w:rFonts w:ascii="Garamond" w:hAnsi="Garamond" w:cs="Arial"/>
          <w:sz w:val="24"/>
          <w:szCs w:val="24"/>
        </w:rPr>
        <w:t>rd</w:t>
      </w:r>
      <w:r w:rsidR="008362BA">
        <w:rPr>
          <w:rFonts w:ascii="Garamond" w:hAnsi="Garamond" w:cs="Arial"/>
          <w:sz w:val="24"/>
          <w:szCs w:val="24"/>
        </w:rPr>
        <w:t>ão</w:t>
      </w:r>
      <w:r w:rsidRPr="003A1174">
        <w:rPr>
          <w:rFonts w:ascii="Garamond" w:hAnsi="Garamond" w:cs="Arial"/>
          <w:sz w:val="24"/>
          <w:szCs w:val="24"/>
        </w:rPr>
        <w:t xml:space="preserve"> N</w:t>
      </w:r>
      <w:r w:rsidR="003069B4">
        <w:rPr>
          <w:rFonts w:ascii="Garamond" w:hAnsi="Garamond" w:cs="Arial"/>
          <w:sz w:val="24"/>
          <w:szCs w:val="24"/>
        </w:rPr>
        <w:t>.</w:t>
      </w:r>
      <w:r w:rsidRPr="003A1174">
        <w:rPr>
          <w:rFonts w:ascii="Garamond" w:hAnsi="Garamond" w:cs="Arial"/>
          <w:sz w:val="24"/>
          <w:szCs w:val="24"/>
        </w:rPr>
        <w:t>° 7755 d</w:t>
      </w:r>
      <w:r w:rsidR="003069B4">
        <w:rPr>
          <w:rFonts w:ascii="Garamond" w:hAnsi="Garamond" w:cs="Arial"/>
          <w:sz w:val="24"/>
          <w:szCs w:val="24"/>
        </w:rPr>
        <w:t>o</w:t>
      </w:r>
      <w:r w:rsidR="00CA39B2" w:rsidRPr="003A1174">
        <w:rPr>
          <w:rFonts w:ascii="Garamond" w:hAnsi="Garamond" w:cs="Arial"/>
          <w:sz w:val="24"/>
          <w:szCs w:val="24"/>
        </w:rPr>
        <w:t xml:space="preserve"> Suprem</w:t>
      </w:r>
      <w:r w:rsidR="003069B4">
        <w:rPr>
          <w:rFonts w:ascii="Garamond" w:hAnsi="Garamond" w:cs="Arial"/>
          <w:sz w:val="24"/>
          <w:szCs w:val="24"/>
        </w:rPr>
        <w:t>o</w:t>
      </w:r>
      <w:r w:rsidR="00CA39B2" w:rsidRPr="003A1174">
        <w:rPr>
          <w:rFonts w:ascii="Garamond" w:hAnsi="Garamond" w:cs="Arial"/>
          <w:sz w:val="24"/>
          <w:szCs w:val="24"/>
        </w:rPr>
        <w:t xml:space="preserve"> </w:t>
      </w:r>
      <w:r w:rsidR="003069B4">
        <w:rPr>
          <w:rFonts w:ascii="Garamond" w:hAnsi="Garamond" w:cs="Arial"/>
          <w:sz w:val="24"/>
          <w:szCs w:val="24"/>
        </w:rPr>
        <w:t>Tribunal</w:t>
      </w:r>
      <w:r w:rsidR="00CA39B2" w:rsidRPr="003A1174">
        <w:rPr>
          <w:rFonts w:ascii="Garamond" w:hAnsi="Garamond" w:cs="Arial"/>
          <w:sz w:val="24"/>
          <w:szCs w:val="24"/>
        </w:rPr>
        <w:t xml:space="preserve"> de </w:t>
      </w:r>
      <w:r w:rsidR="00FC1F7F" w:rsidRPr="003A1174">
        <w:rPr>
          <w:rFonts w:ascii="Garamond" w:hAnsi="Garamond" w:cs="Arial"/>
          <w:sz w:val="24"/>
          <w:szCs w:val="24"/>
        </w:rPr>
        <w:t>Justiça</w:t>
      </w:r>
      <w:r w:rsidRPr="003A1174">
        <w:rPr>
          <w:rFonts w:ascii="Garamond" w:hAnsi="Garamond" w:cs="Arial"/>
          <w:sz w:val="24"/>
          <w:szCs w:val="24"/>
        </w:rPr>
        <w:t xml:space="preserve"> (SCJ), como resultado de um</w:t>
      </w:r>
      <w:r w:rsidR="00CA39B2" w:rsidRPr="003A1174">
        <w:rPr>
          <w:rFonts w:ascii="Garamond" w:hAnsi="Garamond" w:cs="Arial"/>
          <w:sz w:val="24"/>
          <w:szCs w:val="24"/>
        </w:rPr>
        <w:t xml:space="preserve">a </w:t>
      </w:r>
      <w:r w:rsidR="00077461" w:rsidRPr="003A1174">
        <w:rPr>
          <w:rFonts w:ascii="Garamond" w:hAnsi="Garamond" w:cs="Arial"/>
          <w:sz w:val="24"/>
          <w:szCs w:val="24"/>
        </w:rPr>
        <w:t>ação</w:t>
      </w:r>
      <w:r w:rsidR="00CA39B2" w:rsidRPr="003A1174">
        <w:rPr>
          <w:rFonts w:ascii="Garamond" w:hAnsi="Garamond" w:cs="Arial"/>
          <w:sz w:val="24"/>
          <w:szCs w:val="24"/>
        </w:rPr>
        <w:t xml:space="preserve"> de peti</w:t>
      </w:r>
      <w:r w:rsidR="00EC199F" w:rsidRPr="003A1174">
        <w:rPr>
          <w:rFonts w:ascii="Garamond" w:hAnsi="Garamond" w:cs="Arial"/>
          <w:sz w:val="24"/>
          <w:szCs w:val="24"/>
        </w:rPr>
        <w:t xml:space="preserve">ção </w:t>
      </w:r>
      <w:r w:rsidR="00CA39B2" w:rsidRPr="003A1174">
        <w:rPr>
          <w:rFonts w:ascii="Garamond" w:hAnsi="Garamond" w:cs="Arial"/>
          <w:sz w:val="24"/>
          <w:szCs w:val="24"/>
        </w:rPr>
        <w:t>constitucional</w:t>
      </w:r>
      <w:r w:rsidR="008362BA">
        <w:rPr>
          <w:rFonts w:ascii="Garamond" w:hAnsi="Garamond" w:cs="Arial"/>
          <w:sz w:val="24"/>
          <w:szCs w:val="24"/>
        </w:rPr>
        <w:t>,</w:t>
      </w:r>
      <w:r w:rsidR="00CA39B2" w:rsidRPr="003A1174">
        <w:rPr>
          <w:rFonts w:ascii="Garamond" w:hAnsi="Garamond" w:cs="Arial"/>
          <w:sz w:val="24"/>
          <w:szCs w:val="24"/>
        </w:rPr>
        <w:t xml:space="preserve"> des</w:t>
      </w:r>
      <w:r w:rsidR="00EC199F" w:rsidRPr="003A1174">
        <w:rPr>
          <w:rFonts w:ascii="Garamond" w:hAnsi="Garamond" w:cs="Arial"/>
          <w:sz w:val="24"/>
          <w:szCs w:val="24"/>
        </w:rPr>
        <w:t>envolvida por mai</w:t>
      </w:r>
      <w:r w:rsidR="00CA39B2" w:rsidRPr="003A1174">
        <w:rPr>
          <w:rFonts w:ascii="Garamond" w:hAnsi="Garamond" w:cs="Arial"/>
          <w:sz w:val="24"/>
          <w:szCs w:val="24"/>
        </w:rPr>
        <w:t xml:space="preserve">s de 100 </w:t>
      </w:r>
      <w:r w:rsidR="002470B1" w:rsidRPr="003A1174">
        <w:rPr>
          <w:rFonts w:ascii="Garamond" w:hAnsi="Garamond" w:cs="Arial"/>
          <w:sz w:val="24"/>
          <w:szCs w:val="24"/>
        </w:rPr>
        <w:t>organizações</w:t>
      </w:r>
      <w:r w:rsidR="00CA39B2" w:rsidRPr="003A1174">
        <w:rPr>
          <w:rFonts w:ascii="Garamond" w:hAnsi="Garamond" w:cs="Arial"/>
          <w:sz w:val="24"/>
          <w:szCs w:val="24"/>
        </w:rPr>
        <w:t xml:space="preserve"> </w:t>
      </w:r>
      <w:r w:rsidR="003F012B" w:rsidRPr="003A1174">
        <w:rPr>
          <w:rFonts w:ascii="Garamond" w:hAnsi="Garamond" w:cs="Arial"/>
          <w:sz w:val="24"/>
          <w:szCs w:val="24"/>
        </w:rPr>
        <w:t>sociais</w:t>
      </w:r>
      <w:r w:rsidR="00CA39B2" w:rsidRPr="003A1174">
        <w:rPr>
          <w:rFonts w:ascii="Garamond" w:hAnsi="Garamond" w:cs="Arial"/>
          <w:sz w:val="24"/>
          <w:szCs w:val="24"/>
        </w:rPr>
        <w:t xml:space="preserve">. </w:t>
      </w:r>
      <w:r w:rsidR="00EC199F" w:rsidRPr="003A1174">
        <w:rPr>
          <w:rFonts w:ascii="Garamond" w:hAnsi="Garamond" w:cs="Arial"/>
          <w:sz w:val="24"/>
          <w:szCs w:val="24"/>
        </w:rPr>
        <w:t xml:space="preserve">Nesta </w:t>
      </w:r>
      <w:r w:rsidR="00077461" w:rsidRPr="003A1174">
        <w:rPr>
          <w:rFonts w:ascii="Garamond" w:hAnsi="Garamond" w:cs="Arial"/>
          <w:sz w:val="24"/>
          <w:szCs w:val="24"/>
        </w:rPr>
        <w:t>ação</w:t>
      </w:r>
      <w:r w:rsidR="00A41BDF" w:rsidRPr="003A1174">
        <w:rPr>
          <w:rFonts w:ascii="Garamond" w:hAnsi="Garamond" w:cs="Arial"/>
          <w:sz w:val="24"/>
          <w:szCs w:val="24"/>
        </w:rPr>
        <w:t>,</w:t>
      </w:r>
      <w:r w:rsidR="00EC199F" w:rsidRPr="003A1174">
        <w:rPr>
          <w:rFonts w:ascii="Garamond" w:hAnsi="Garamond" w:cs="Arial"/>
          <w:sz w:val="24"/>
          <w:szCs w:val="24"/>
        </w:rPr>
        <w:t xml:space="preserve"> </w:t>
      </w:r>
      <w:r w:rsidR="00CA39B2" w:rsidRPr="003A1174">
        <w:rPr>
          <w:rFonts w:ascii="Garamond" w:hAnsi="Garamond" w:cs="Arial"/>
          <w:sz w:val="24"/>
          <w:szCs w:val="24"/>
        </w:rPr>
        <w:t xml:space="preserve">as </w:t>
      </w:r>
      <w:r w:rsidR="002470B1" w:rsidRPr="003A1174">
        <w:rPr>
          <w:rFonts w:ascii="Garamond" w:hAnsi="Garamond" w:cs="Arial"/>
          <w:sz w:val="24"/>
          <w:szCs w:val="24"/>
        </w:rPr>
        <w:t>organizações</w:t>
      </w:r>
      <w:r w:rsidR="00CA39B2" w:rsidRPr="003A1174">
        <w:rPr>
          <w:rFonts w:ascii="Garamond" w:hAnsi="Garamond" w:cs="Arial"/>
          <w:sz w:val="24"/>
          <w:szCs w:val="24"/>
        </w:rPr>
        <w:t xml:space="preserve"> da </w:t>
      </w:r>
      <w:r w:rsidR="002C7510" w:rsidRPr="003A1174">
        <w:rPr>
          <w:rFonts w:ascii="Garamond" w:hAnsi="Garamond" w:cs="Arial"/>
          <w:sz w:val="24"/>
          <w:szCs w:val="24"/>
        </w:rPr>
        <w:t>sociedade</w:t>
      </w:r>
      <w:r w:rsidR="00CA39B2" w:rsidRPr="003A1174">
        <w:rPr>
          <w:rFonts w:ascii="Garamond" w:hAnsi="Garamond" w:cs="Arial"/>
          <w:sz w:val="24"/>
          <w:szCs w:val="24"/>
        </w:rPr>
        <w:t xml:space="preserve"> civil denuncia</w:t>
      </w:r>
      <w:r w:rsidR="00EC199F" w:rsidRPr="003A1174">
        <w:rPr>
          <w:rFonts w:ascii="Garamond" w:hAnsi="Garamond" w:cs="Arial"/>
          <w:sz w:val="24"/>
          <w:szCs w:val="24"/>
        </w:rPr>
        <w:t xml:space="preserve">vam </w:t>
      </w:r>
      <w:r w:rsidR="00CA39B2" w:rsidRPr="003A1174">
        <w:rPr>
          <w:rFonts w:ascii="Garamond" w:hAnsi="Garamond" w:cs="Arial"/>
          <w:sz w:val="24"/>
          <w:szCs w:val="24"/>
        </w:rPr>
        <w:t xml:space="preserve">a </w:t>
      </w:r>
      <w:r w:rsidR="007578C6" w:rsidRPr="003A1174">
        <w:rPr>
          <w:rFonts w:ascii="Garamond" w:hAnsi="Garamond" w:cs="Arial"/>
          <w:sz w:val="24"/>
          <w:szCs w:val="24"/>
        </w:rPr>
        <w:t>existência</w:t>
      </w:r>
      <w:r w:rsidR="00CA39B2" w:rsidRPr="003A1174">
        <w:rPr>
          <w:rFonts w:ascii="Garamond" w:hAnsi="Garamond" w:cs="Arial"/>
          <w:sz w:val="24"/>
          <w:szCs w:val="24"/>
        </w:rPr>
        <w:t xml:space="preserve"> de </w:t>
      </w:r>
      <w:r w:rsidR="00661ADB" w:rsidRPr="003A1174">
        <w:rPr>
          <w:rFonts w:ascii="Garamond" w:hAnsi="Garamond" w:cs="Arial"/>
          <w:sz w:val="24"/>
          <w:szCs w:val="24"/>
        </w:rPr>
        <w:t>prática</w:t>
      </w:r>
      <w:r w:rsidR="00CA39B2" w:rsidRPr="003A1174">
        <w:rPr>
          <w:rFonts w:ascii="Garamond" w:hAnsi="Garamond" w:cs="Arial"/>
          <w:sz w:val="24"/>
          <w:szCs w:val="24"/>
        </w:rPr>
        <w:t xml:space="preserve">s </w:t>
      </w:r>
      <w:r w:rsidR="00C04CA4" w:rsidRPr="003A1174">
        <w:rPr>
          <w:rFonts w:ascii="Garamond" w:hAnsi="Garamond" w:cs="Arial"/>
          <w:sz w:val="24"/>
          <w:szCs w:val="24"/>
        </w:rPr>
        <w:t>institucionais</w:t>
      </w:r>
      <w:r w:rsidR="00CA39B2" w:rsidRPr="003A1174">
        <w:rPr>
          <w:rFonts w:ascii="Garamond" w:hAnsi="Garamond" w:cs="Arial"/>
          <w:sz w:val="24"/>
          <w:szCs w:val="24"/>
        </w:rPr>
        <w:t xml:space="preserve"> que n</w:t>
      </w:r>
      <w:r w:rsidR="00EC199F" w:rsidRPr="003A1174">
        <w:rPr>
          <w:rFonts w:ascii="Garamond" w:hAnsi="Garamond" w:cs="Arial"/>
          <w:sz w:val="24"/>
          <w:szCs w:val="24"/>
        </w:rPr>
        <w:t>ã</w:t>
      </w:r>
      <w:r w:rsidR="00CA39B2" w:rsidRPr="003A1174">
        <w:rPr>
          <w:rFonts w:ascii="Garamond" w:hAnsi="Garamond" w:cs="Arial"/>
          <w:sz w:val="24"/>
          <w:szCs w:val="24"/>
        </w:rPr>
        <w:t>o respe</w:t>
      </w:r>
      <w:r w:rsidR="00EC199F" w:rsidRPr="003A1174">
        <w:rPr>
          <w:rFonts w:ascii="Garamond" w:hAnsi="Garamond" w:cs="Arial"/>
          <w:sz w:val="24"/>
          <w:szCs w:val="24"/>
        </w:rPr>
        <w:t xml:space="preserve">itavam </w:t>
      </w:r>
      <w:r w:rsidR="00CA39B2" w:rsidRPr="003A1174">
        <w:rPr>
          <w:rFonts w:ascii="Garamond" w:hAnsi="Garamond" w:cs="Arial"/>
          <w:sz w:val="24"/>
          <w:szCs w:val="24"/>
        </w:rPr>
        <w:t xml:space="preserve">os </w:t>
      </w:r>
      <w:r w:rsidR="00886D6A" w:rsidRPr="003A1174">
        <w:rPr>
          <w:rFonts w:ascii="Garamond" w:hAnsi="Garamond" w:cs="Arial"/>
          <w:sz w:val="24"/>
          <w:szCs w:val="24"/>
        </w:rPr>
        <w:t>direito</w:t>
      </w:r>
      <w:r w:rsidR="00CA39B2" w:rsidRPr="003A1174">
        <w:rPr>
          <w:rFonts w:ascii="Garamond" w:hAnsi="Garamond" w:cs="Arial"/>
          <w:sz w:val="24"/>
          <w:szCs w:val="24"/>
        </w:rPr>
        <w:t xml:space="preserve">s humanos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054EE0" w:rsidRPr="003A1174">
        <w:rPr>
          <w:rFonts w:ascii="Garamond" w:hAnsi="Garamond" w:cs="Arial"/>
          <w:sz w:val="24"/>
          <w:szCs w:val="24"/>
        </w:rPr>
        <w:t>mulheres</w:t>
      </w:r>
      <w:r w:rsidR="008362BA">
        <w:rPr>
          <w:rFonts w:ascii="Garamond" w:hAnsi="Garamond" w:cs="Arial"/>
          <w:sz w:val="24"/>
          <w:szCs w:val="24"/>
        </w:rPr>
        <w:t>,</w:t>
      </w:r>
      <w:r w:rsidR="00CA39B2" w:rsidRPr="003A1174">
        <w:rPr>
          <w:rFonts w:ascii="Garamond" w:hAnsi="Garamond" w:cs="Arial"/>
          <w:sz w:val="24"/>
          <w:szCs w:val="24"/>
        </w:rPr>
        <w:t xml:space="preserve"> consagrados </w:t>
      </w:r>
      <w:r w:rsidR="00EC199F" w:rsidRPr="003A1174">
        <w:rPr>
          <w:rFonts w:ascii="Garamond" w:hAnsi="Garamond" w:cs="Arial"/>
          <w:sz w:val="24"/>
          <w:szCs w:val="24"/>
        </w:rPr>
        <w:t xml:space="preserve">nas leis </w:t>
      </w:r>
      <w:r w:rsidR="00190B59" w:rsidRPr="003A1174">
        <w:rPr>
          <w:rFonts w:ascii="Garamond" w:hAnsi="Garamond" w:cs="Arial"/>
          <w:sz w:val="24"/>
          <w:szCs w:val="24"/>
        </w:rPr>
        <w:t>nacionais</w:t>
      </w:r>
      <w:r w:rsidR="00CA39B2" w:rsidRPr="003A1174">
        <w:rPr>
          <w:rFonts w:ascii="Garamond" w:hAnsi="Garamond" w:cs="Arial"/>
          <w:sz w:val="24"/>
          <w:szCs w:val="24"/>
        </w:rPr>
        <w:t xml:space="preserve"> e </w:t>
      </w:r>
      <w:r w:rsidR="00EF645F" w:rsidRPr="003A1174">
        <w:rPr>
          <w:rFonts w:ascii="Garamond" w:hAnsi="Garamond" w:cs="Arial"/>
          <w:sz w:val="24"/>
          <w:szCs w:val="24"/>
        </w:rPr>
        <w:t>internacionais</w:t>
      </w:r>
      <w:r w:rsidR="00CA39B2" w:rsidRPr="003A1174">
        <w:rPr>
          <w:rFonts w:ascii="Garamond" w:hAnsi="Garamond" w:cs="Arial"/>
          <w:sz w:val="24"/>
          <w:szCs w:val="24"/>
        </w:rPr>
        <w:t xml:space="preserve"> vigentes. </w:t>
      </w:r>
      <w:r w:rsidR="00EC199F" w:rsidRPr="003A1174">
        <w:rPr>
          <w:rFonts w:ascii="Garamond" w:hAnsi="Garamond" w:cs="Arial"/>
          <w:sz w:val="24"/>
          <w:szCs w:val="24"/>
        </w:rPr>
        <w:t xml:space="preserve">Na consideração </w:t>
      </w:r>
      <w:r w:rsidR="00EC199F" w:rsidRPr="008362BA">
        <w:rPr>
          <w:rFonts w:ascii="Garamond" w:hAnsi="Garamond" w:cs="Arial"/>
          <w:sz w:val="20"/>
          <w:szCs w:val="20"/>
        </w:rPr>
        <w:t>IV</w:t>
      </w:r>
      <w:r w:rsidR="00EC199F" w:rsidRPr="003A1174">
        <w:rPr>
          <w:rFonts w:ascii="Garamond" w:hAnsi="Garamond" w:cs="Arial"/>
          <w:sz w:val="24"/>
          <w:szCs w:val="24"/>
        </w:rPr>
        <w:t xml:space="preserve">, </w:t>
      </w:r>
      <w:r w:rsidR="00CA39B2" w:rsidRPr="003A1174">
        <w:rPr>
          <w:rFonts w:ascii="Garamond" w:hAnsi="Garamond" w:cs="Arial"/>
          <w:sz w:val="24"/>
          <w:szCs w:val="24"/>
        </w:rPr>
        <w:t xml:space="preserve">a SCJ </w:t>
      </w:r>
      <w:r w:rsidR="00EC199F" w:rsidRPr="003A1174">
        <w:rPr>
          <w:rFonts w:ascii="Garamond" w:hAnsi="Garamond" w:cs="Arial"/>
          <w:sz w:val="24"/>
          <w:szCs w:val="24"/>
        </w:rPr>
        <w:t xml:space="preserve">refere </w:t>
      </w:r>
      <w:r w:rsidR="00CA39B2" w:rsidRPr="003A1174">
        <w:rPr>
          <w:rFonts w:ascii="Garamond" w:hAnsi="Garamond" w:cs="Arial"/>
          <w:sz w:val="24"/>
          <w:szCs w:val="24"/>
        </w:rPr>
        <w:t>que:</w:t>
      </w:r>
      <w:r w:rsidR="008362BA">
        <w:rPr>
          <w:rFonts w:ascii="Garamond" w:hAnsi="Garamond" w:cs="Arial"/>
          <w:sz w:val="24"/>
          <w:szCs w:val="24"/>
        </w:rPr>
        <w:t xml:space="preserve"> «</w:t>
      </w:r>
      <w:r w:rsidR="008362BA" w:rsidRPr="008362BA">
        <w:rPr>
          <w:rFonts w:ascii="Garamond" w:eastAsia="Arial" w:hAnsi="Garamond" w:cs="Arial"/>
          <w:sz w:val="24"/>
          <w:szCs w:val="24"/>
        </w:rPr>
        <w:t xml:space="preserve">[…] </w:t>
      </w:r>
      <w:r w:rsidR="008362BA" w:rsidRPr="008362BA">
        <w:rPr>
          <w:rFonts w:ascii="Garamond" w:hAnsi="Garamond" w:cs="Arial"/>
          <w:sz w:val="24"/>
          <w:szCs w:val="24"/>
        </w:rPr>
        <w:t xml:space="preserve">considera procedente </w:t>
      </w:r>
      <w:r w:rsidR="008362BA">
        <w:rPr>
          <w:rFonts w:ascii="Garamond" w:hAnsi="Garamond" w:cs="Arial"/>
          <w:sz w:val="24"/>
          <w:szCs w:val="24"/>
        </w:rPr>
        <w:t xml:space="preserve">acatar, </w:t>
      </w:r>
      <w:r w:rsidR="008362BA" w:rsidRPr="008362BA">
        <w:rPr>
          <w:rFonts w:ascii="Garamond" w:hAnsi="Garamond" w:cs="Arial"/>
          <w:sz w:val="24"/>
          <w:szCs w:val="24"/>
        </w:rPr>
        <w:t>parcialmente</w:t>
      </w:r>
      <w:r w:rsidR="008362BA">
        <w:rPr>
          <w:rFonts w:ascii="Garamond" w:hAnsi="Garamond" w:cs="Arial"/>
          <w:sz w:val="24"/>
          <w:szCs w:val="24"/>
        </w:rPr>
        <w:t>,</w:t>
      </w:r>
      <w:r w:rsidR="008362BA" w:rsidRPr="008362BA">
        <w:rPr>
          <w:rFonts w:ascii="Garamond" w:hAnsi="Garamond" w:cs="Arial"/>
          <w:sz w:val="24"/>
          <w:szCs w:val="24"/>
        </w:rPr>
        <w:t xml:space="preserve"> a sugestão formulada </w:t>
      </w:r>
      <w:r w:rsidR="008362BA">
        <w:rPr>
          <w:rFonts w:ascii="Garamond" w:hAnsi="Garamond" w:cs="Arial"/>
          <w:sz w:val="24"/>
          <w:szCs w:val="24"/>
        </w:rPr>
        <w:t>-</w:t>
      </w:r>
      <w:r w:rsidR="008362BA" w:rsidRPr="008362BA">
        <w:rPr>
          <w:rFonts w:ascii="Garamond" w:hAnsi="Garamond" w:cs="Arial"/>
          <w:sz w:val="24"/>
          <w:szCs w:val="24"/>
        </w:rPr>
        <w:t xml:space="preserve"> através do direito de petição (Art. 30 </w:t>
      </w:r>
      <w:r w:rsidR="008362BA" w:rsidRPr="008362BA">
        <w:rPr>
          <w:rFonts w:ascii="Garamond" w:hAnsi="Garamond" w:cs="Arial"/>
          <w:sz w:val="24"/>
          <w:szCs w:val="24"/>
        </w:rPr>
        <w:lastRenderedPageBreak/>
        <w:t xml:space="preserve">da Constituição Nacional) </w:t>
      </w:r>
      <w:r w:rsidR="008362BA">
        <w:rPr>
          <w:rFonts w:ascii="Garamond" w:hAnsi="Garamond" w:cs="Arial"/>
          <w:sz w:val="24"/>
          <w:szCs w:val="24"/>
        </w:rPr>
        <w:t>-</w:t>
      </w:r>
      <w:r w:rsidR="008362BA" w:rsidRPr="008362BA">
        <w:rPr>
          <w:rFonts w:ascii="Garamond" w:hAnsi="Garamond" w:cs="Arial"/>
          <w:sz w:val="24"/>
          <w:szCs w:val="24"/>
        </w:rPr>
        <w:t xml:space="preserve"> por diferentes organizações sociais envolvidas na temática relativa à violência doméstica e familiar; instrumentado pel</w:t>
      </w:r>
      <w:r w:rsidR="00477220">
        <w:rPr>
          <w:rFonts w:ascii="Garamond" w:hAnsi="Garamond" w:cs="Arial"/>
          <w:sz w:val="24"/>
          <w:szCs w:val="24"/>
        </w:rPr>
        <w:t>o</w:t>
      </w:r>
      <w:r w:rsidR="008362BA" w:rsidRPr="008362BA">
        <w:rPr>
          <w:rFonts w:ascii="Garamond" w:hAnsi="Garamond" w:cs="Arial"/>
          <w:sz w:val="24"/>
          <w:szCs w:val="24"/>
        </w:rPr>
        <w:t xml:space="preserve"> presente </w:t>
      </w:r>
      <w:r w:rsidR="008362BA" w:rsidRPr="003A3461">
        <w:rPr>
          <w:rFonts w:ascii="Garamond" w:hAnsi="Garamond" w:cs="Arial"/>
          <w:sz w:val="24"/>
          <w:szCs w:val="24"/>
        </w:rPr>
        <w:t>Ac</w:t>
      </w:r>
      <w:r w:rsidR="00477220" w:rsidRPr="003A3461">
        <w:rPr>
          <w:rFonts w:ascii="Garamond" w:hAnsi="Garamond" w:cs="Arial"/>
          <w:sz w:val="24"/>
          <w:szCs w:val="24"/>
        </w:rPr>
        <w:t>órdão</w:t>
      </w:r>
      <w:r w:rsidR="008362BA" w:rsidRPr="003A3461">
        <w:rPr>
          <w:rFonts w:ascii="Garamond" w:hAnsi="Garamond" w:cs="Arial"/>
          <w:sz w:val="24"/>
          <w:szCs w:val="24"/>
        </w:rPr>
        <w:t>».</w:t>
      </w:r>
      <w:r w:rsidR="008362BA" w:rsidRPr="008362BA">
        <w:rPr>
          <w:rFonts w:ascii="Garamond" w:hAnsi="Garamond" w:cs="Arial"/>
          <w:sz w:val="24"/>
          <w:szCs w:val="24"/>
        </w:rPr>
        <w:t xml:space="preserve"> </w:t>
      </w:r>
    </w:p>
    <w:p w:rsidR="00CA39B2" w:rsidRPr="003A1174" w:rsidRDefault="00A56705" w:rsidP="008719D4">
      <w:pPr>
        <w:pStyle w:val="Prrafodelista"/>
        <w:spacing w:before="24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En</w:t>
      </w:r>
      <w:r w:rsidR="00EC199F" w:rsidRPr="003A1174">
        <w:rPr>
          <w:rFonts w:ascii="Garamond" w:hAnsi="Garamond" w:cs="Arial"/>
          <w:color w:val="auto"/>
          <w:sz w:val="24"/>
          <w:szCs w:val="24"/>
          <w:lang w:val="pt-PT"/>
        </w:rPr>
        <w:t xml:space="preserve">tretanto, no que se refere às </w:t>
      </w:r>
      <w:r w:rsidR="005D38DC" w:rsidRPr="003A1174">
        <w:rPr>
          <w:rFonts w:ascii="Garamond" w:hAnsi="Garamond" w:cs="Arial"/>
          <w:color w:val="auto"/>
          <w:sz w:val="24"/>
          <w:szCs w:val="24"/>
          <w:lang w:val="pt-PT"/>
        </w:rPr>
        <w:t>propostas</w:t>
      </w:r>
      <w:r w:rsidR="00EC199F" w:rsidRPr="003A1174">
        <w:rPr>
          <w:rFonts w:ascii="Garamond" w:hAnsi="Garamond" w:cs="Arial"/>
          <w:color w:val="auto"/>
          <w:sz w:val="24"/>
          <w:szCs w:val="24"/>
          <w:lang w:val="pt-PT"/>
        </w:rPr>
        <w:t xml:space="preserve"> para erradicação das </w:t>
      </w:r>
      <w:r w:rsidR="00CA39B2" w:rsidRPr="003A1174">
        <w:rPr>
          <w:rFonts w:ascii="Garamond" w:hAnsi="Garamond" w:cs="Arial"/>
          <w:color w:val="auto"/>
          <w:sz w:val="24"/>
          <w:szCs w:val="24"/>
          <w:lang w:val="pt-PT"/>
        </w:rPr>
        <w:t>m</w:t>
      </w:r>
      <w:r w:rsidR="00EC199F" w:rsidRPr="003A1174">
        <w:rPr>
          <w:rFonts w:ascii="Garamond" w:hAnsi="Garamond" w:cs="Arial"/>
          <w:color w:val="auto"/>
          <w:sz w:val="24"/>
          <w:szCs w:val="24"/>
          <w:lang w:val="pt-PT"/>
        </w:rPr>
        <w:t xml:space="preserve">ás </w:t>
      </w:r>
      <w:r w:rsidR="00661ADB" w:rsidRPr="003A1174">
        <w:rPr>
          <w:rFonts w:ascii="Garamond" w:hAnsi="Garamond" w:cs="Arial"/>
          <w:color w:val="auto"/>
          <w:sz w:val="24"/>
          <w:szCs w:val="24"/>
          <w:lang w:val="pt-PT"/>
        </w:rPr>
        <w:t>prática</w:t>
      </w:r>
      <w:r w:rsidR="00CA39B2" w:rsidRPr="003A1174">
        <w:rPr>
          <w:rFonts w:ascii="Garamond" w:hAnsi="Garamond" w:cs="Arial"/>
          <w:color w:val="auto"/>
          <w:sz w:val="24"/>
          <w:szCs w:val="24"/>
          <w:lang w:val="pt-PT"/>
        </w:rPr>
        <w:t>s</w:t>
      </w:r>
      <w:r w:rsidRPr="003A1174">
        <w:rPr>
          <w:rFonts w:ascii="Garamond" w:hAnsi="Garamond" w:cs="Arial"/>
          <w:color w:val="auto"/>
          <w:sz w:val="24"/>
          <w:szCs w:val="24"/>
          <w:lang w:val="pt-PT"/>
        </w:rPr>
        <w:t>,</w:t>
      </w:r>
      <w:r w:rsidR="0026029B"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salienta-se</w:t>
      </w:r>
      <w:r w:rsidR="0026029B"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a </w:t>
      </w:r>
      <w:r w:rsidR="00A862C2" w:rsidRPr="003A1174">
        <w:rPr>
          <w:rFonts w:ascii="Garamond" w:hAnsi="Garamond" w:cs="Arial"/>
          <w:color w:val="auto"/>
          <w:sz w:val="24"/>
          <w:szCs w:val="24"/>
          <w:lang w:val="pt-PT"/>
        </w:rPr>
        <w:t>proibição</w:t>
      </w:r>
      <w:r w:rsidR="00CA39B2" w:rsidRPr="003A1174">
        <w:rPr>
          <w:rFonts w:ascii="Garamond" w:hAnsi="Garamond" w:cs="Arial"/>
          <w:color w:val="auto"/>
          <w:sz w:val="24"/>
          <w:szCs w:val="24"/>
          <w:lang w:val="pt-PT"/>
        </w:rPr>
        <w:t xml:space="preserve"> de confronta</w:t>
      </w:r>
      <w:r w:rsidR="00EC199F" w:rsidRPr="003A1174">
        <w:rPr>
          <w:rFonts w:ascii="Garamond" w:hAnsi="Garamond" w:cs="Arial"/>
          <w:color w:val="auto"/>
          <w:sz w:val="24"/>
          <w:szCs w:val="24"/>
          <w:lang w:val="pt-PT"/>
        </w:rPr>
        <w:t>ção</w:t>
      </w:r>
      <w:r w:rsidR="00CA39B2" w:rsidRPr="003A1174">
        <w:rPr>
          <w:rFonts w:ascii="Garamond" w:hAnsi="Garamond" w:cs="Arial"/>
          <w:color w:val="auto"/>
          <w:sz w:val="24"/>
          <w:szCs w:val="24"/>
          <w:lang w:val="pt-PT"/>
        </w:rPr>
        <w:t xml:space="preserve"> o</w:t>
      </w:r>
      <w:r w:rsidR="00EC199F" w:rsidRPr="003A1174">
        <w:rPr>
          <w:rFonts w:ascii="Garamond" w:hAnsi="Garamond" w:cs="Arial"/>
          <w:color w:val="auto"/>
          <w:sz w:val="24"/>
          <w:szCs w:val="24"/>
          <w:lang w:val="pt-PT"/>
        </w:rPr>
        <w:t>u comparecimento conjunto; a inconveniê</w:t>
      </w:r>
      <w:r w:rsidR="00CA39B2" w:rsidRPr="003A1174">
        <w:rPr>
          <w:rFonts w:ascii="Garamond" w:hAnsi="Garamond" w:cs="Arial"/>
          <w:color w:val="auto"/>
          <w:sz w:val="24"/>
          <w:szCs w:val="24"/>
          <w:lang w:val="pt-PT"/>
        </w:rPr>
        <w:t xml:space="preserve">ncia de emitir </w:t>
      </w:r>
      <w:r w:rsidR="002E7FD5" w:rsidRPr="003A1174">
        <w:rPr>
          <w:rFonts w:ascii="Garamond" w:hAnsi="Garamond" w:cs="Arial"/>
          <w:color w:val="auto"/>
          <w:sz w:val="24"/>
          <w:szCs w:val="24"/>
          <w:lang w:val="pt-PT"/>
        </w:rPr>
        <w:t>pronúncias</w:t>
      </w:r>
      <w:r w:rsidR="00EC199F" w:rsidRPr="003A1174">
        <w:rPr>
          <w:rFonts w:ascii="Garamond" w:hAnsi="Garamond" w:cs="Arial"/>
          <w:color w:val="auto"/>
          <w:sz w:val="24"/>
          <w:szCs w:val="24"/>
          <w:lang w:val="pt-PT"/>
        </w:rPr>
        <w:t xml:space="preserve"> genéricas; </w:t>
      </w:r>
      <w:r w:rsidR="00CA39B2" w:rsidRPr="003A1174">
        <w:rPr>
          <w:rFonts w:ascii="Garamond" w:hAnsi="Garamond" w:cs="Arial"/>
          <w:color w:val="auto"/>
          <w:sz w:val="24"/>
          <w:szCs w:val="24"/>
          <w:lang w:val="pt-PT"/>
        </w:rPr>
        <w:t xml:space="preserve">a </w:t>
      </w:r>
      <w:r w:rsidR="00BA3CCE" w:rsidRPr="003A1174">
        <w:rPr>
          <w:rFonts w:ascii="Garamond" w:hAnsi="Garamond" w:cs="Arial"/>
          <w:color w:val="auto"/>
          <w:sz w:val="24"/>
          <w:szCs w:val="24"/>
          <w:lang w:val="pt-PT"/>
        </w:rPr>
        <w:t>inconveniência</w:t>
      </w:r>
      <w:r w:rsidR="00CA39B2" w:rsidRPr="003A1174">
        <w:rPr>
          <w:rFonts w:ascii="Garamond" w:hAnsi="Garamond" w:cs="Arial"/>
          <w:color w:val="auto"/>
          <w:sz w:val="24"/>
          <w:szCs w:val="24"/>
          <w:lang w:val="pt-PT"/>
        </w:rPr>
        <w:t xml:space="preserve"> de </w:t>
      </w:r>
      <w:r w:rsidR="006C760C" w:rsidRPr="003A1174">
        <w:rPr>
          <w:rFonts w:ascii="Garamond" w:hAnsi="Garamond" w:cs="Arial"/>
          <w:color w:val="auto"/>
          <w:sz w:val="24"/>
          <w:szCs w:val="24"/>
          <w:lang w:val="pt-PT"/>
        </w:rPr>
        <w:t>adotar</w:t>
      </w:r>
      <w:r w:rsidR="00CA39B2" w:rsidRPr="003A1174">
        <w:rPr>
          <w:rFonts w:ascii="Garamond" w:hAnsi="Garamond" w:cs="Arial"/>
          <w:color w:val="auto"/>
          <w:sz w:val="24"/>
          <w:szCs w:val="24"/>
          <w:lang w:val="pt-PT"/>
        </w:rPr>
        <w:t xml:space="preserve"> medidas de </w:t>
      </w:r>
      <w:r w:rsidR="00886D6A" w:rsidRPr="003A1174">
        <w:rPr>
          <w:rFonts w:ascii="Garamond" w:hAnsi="Garamond" w:cs="Arial"/>
          <w:color w:val="auto"/>
          <w:sz w:val="24"/>
          <w:szCs w:val="24"/>
          <w:lang w:val="pt-PT"/>
        </w:rPr>
        <w:t>proteção</w:t>
      </w:r>
      <w:r w:rsidR="00EC199F" w:rsidRPr="003A1174">
        <w:rPr>
          <w:rFonts w:ascii="Garamond" w:hAnsi="Garamond" w:cs="Arial"/>
          <w:color w:val="auto"/>
          <w:sz w:val="24"/>
          <w:szCs w:val="24"/>
          <w:lang w:val="pt-PT"/>
        </w:rPr>
        <w:t xml:space="preserve"> recíprocas; </w:t>
      </w:r>
      <w:r w:rsidR="00CA39B2" w:rsidRPr="003A1174">
        <w:rPr>
          <w:rFonts w:ascii="Garamond" w:hAnsi="Garamond" w:cs="Arial"/>
          <w:color w:val="auto"/>
          <w:sz w:val="24"/>
          <w:szCs w:val="24"/>
          <w:lang w:val="pt-PT"/>
        </w:rPr>
        <w:t xml:space="preserve">a </w:t>
      </w:r>
      <w:r w:rsidR="005D38DC" w:rsidRPr="003A1174">
        <w:rPr>
          <w:rFonts w:ascii="Garamond" w:hAnsi="Garamond" w:cs="Arial"/>
          <w:color w:val="auto"/>
          <w:sz w:val="24"/>
          <w:szCs w:val="24"/>
          <w:lang w:val="pt-PT"/>
        </w:rPr>
        <w:t>importância</w:t>
      </w:r>
      <w:r w:rsidR="00CA39B2" w:rsidRPr="003A1174">
        <w:rPr>
          <w:rFonts w:ascii="Garamond" w:hAnsi="Garamond" w:cs="Arial"/>
          <w:color w:val="auto"/>
          <w:sz w:val="24"/>
          <w:szCs w:val="24"/>
          <w:lang w:val="pt-PT"/>
        </w:rPr>
        <w:t xml:space="preserve"> de </w:t>
      </w:r>
      <w:r w:rsidR="002D1021" w:rsidRPr="003A1174">
        <w:rPr>
          <w:rFonts w:ascii="Garamond" w:hAnsi="Garamond" w:cs="Arial"/>
          <w:color w:val="auto"/>
          <w:sz w:val="24"/>
          <w:szCs w:val="24"/>
          <w:lang w:val="pt-PT"/>
        </w:rPr>
        <w:t>assegurar</w:t>
      </w:r>
      <w:r w:rsidR="00CA39B2"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 xml:space="preserve">o </w:t>
      </w:r>
      <w:r w:rsidR="00D96FD0" w:rsidRPr="003A1174">
        <w:rPr>
          <w:rFonts w:ascii="Garamond" w:hAnsi="Garamond" w:cs="Arial"/>
          <w:color w:val="auto"/>
          <w:sz w:val="24"/>
          <w:szCs w:val="24"/>
          <w:lang w:val="pt-PT"/>
        </w:rPr>
        <w:t>cumprimento</w:t>
      </w:r>
      <w:r w:rsidR="00CA39B2" w:rsidRPr="003A1174">
        <w:rPr>
          <w:rFonts w:ascii="Garamond" w:hAnsi="Garamond" w:cs="Arial"/>
          <w:color w:val="auto"/>
          <w:sz w:val="24"/>
          <w:szCs w:val="24"/>
          <w:lang w:val="pt-PT"/>
        </w:rPr>
        <w:t xml:space="preserve"> de medidas cautelares; </w:t>
      </w:r>
      <w:r w:rsidR="00EC199F" w:rsidRPr="003A1174">
        <w:rPr>
          <w:rFonts w:ascii="Garamond" w:hAnsi="Garamond" w:cs="Arial"/>
          <w:color w:val="auto"/>
          <w:sz w:val="24"/>
          <w:szCs w:val="24"/>
          <w:lang w:val="pt-PT"/>
        </w:rPr>
        <w:t xml:space="preserve">o </w:t>
      </w:r>
      <w:r w:rsidR="00AF192F" w:rsidRPr="003A1174">
        <w:rPr>
          <w:rFonts w:ascii="Garamond" w:hAnsi="Garamond" w:cs="Arial"/>
          <w:color w:val="auto"/>
          <w:sz w:val="24"/>
          <w:szCs w:val="24"/>
          <w:lang w:val="pt-PT"/>
        </w:rPr>
        <w:t>dever</w:t>
      </w:r>
      <w:r w:rsidR="00EC199F" w:rsidRPr="003A1174">
        <w:rPr>
          <w:rFonts w:ascii="Garamond" w:hAnsi="Garamond" w:cs="Arial"/>
          <w:color w:val="auto"/>
          <w:sz w:val="24"/>
          <w:szCs w:val="24"/>
          <w:lang w:val="pt-PT"/>
        </w:rPr>
        <w:t xml:space="preserve"> de funda</w:t>
      </w:r>
      <w:r w:rsidR="00477220">
        <w:rPr>
          <w:rFonts w:ascii="Garamond" w:hAnsi="Garamond" w:cs="Arial"/>
          <w:color w:val="auto"/>
          <w:sz w:val="24"/>
          <w:szCs w:val="24"/>
          <w:lang w:val="pt-PT"/>
        </w:rPr>
        <w:t>mentar</w:t>
      </w:r>
      <w:r w:rsidR="00EC199F" w:rsidRPr="003A1174">
        <w:rPr>
          <w:rFonts w:ascii="Garamond" w:hAnsi="Garamond" w:cs="Arial"/>
          <w:color w:val="auto"/>
          <w:sz w:val="24"/>
          <w:szCs w:val="24"/>
          <w:lang w:val="pt-PT"/>
        </w:rPr>
        <w:t xml:space="preserve"> todas </w:t>
      </w:r>
      <w:r w:rsidR="00CA39B2" w:rsidRPr="003A1174">
        <w:rPr>
          <w:rFonts w:ascii="Garamond" w:hAnsi="Garamond" w:cs="Arial"/>
          <w:color w:val="auto"/>
          <w:sz w:val="24"/>
          <w:szCs w:val="24"/>
          <w:lang w:val="pt-PT"/>
        </w:rPr>
        <w:t xml:space="preserve">as </w:t>
      </w:r>
      <w:r w:rsidR="00175015" w:rsidRPr="003A1174">
        <w:rPr>
          <w:rFonts w:ascii="Garamond" w:hAnsi="Garamond" w:cs="Arial"/>
          <w:color w:val="auto"/>
          <w:sz w:val="24"/>
          <w:szCs w:val="24"/>
          <w:lang w:val="pt-PT"/>
        </w:rPr>
        <w:t>resoluções</w:t>
      </w:r>
      <w:r w:rsidR="00CA39B2" w:rsidRPr="003A1174">
        <w:rPr>
          <w:rFonts w:ascii="Garamond" w:hAnsi="Garamond" w:cs="Arial"/>
          <w:color w:val="auto"/>
          <w:sz w:val="24"/>
          <w:szCs w:val="24"/>
          <w:lang w:val="pt-PT"/>
        </w:rPr>
        <w:t xml:space="preserve"> </w:t>
      </w:r>
      <w:r w:rsidR="009E3E55" w:rsidRPr="003A1174">
        <w:rPr>
          <w:rFonts w:ascii="Garamond" w:hAnsi="Garamond" w:cs="Arial"/>
          <w:color w:val="auto"/>
          <w:sz w:val="24"/>
          <w:szCs w:val="24"/>
          <w:lang w:val="pt-PT"/>
        </w:rPr>
        <w:t>adotada</w:t>
      </w:r>
      <w:r w:rsidR="00CA39B2" w:rsidRPr="003A1174">
        <w:rPr>
          <w:rFonts w:ascii="Garamond" w:hAnsi="Garamond" w:cs="Arial"/>
          <w:color w:val="auto"/>
          <w:sz w:val="24"/>
          <w:szCs w:val="24"/>
          <w:lang w:val="pt-PT"/>
        </w:rPr>
        <w:t xml:space="preserve">s </w:t>
      </w:r>
      <w:r w:rsidR="00EC199F" w:rsidRPr="003A1174">
        <w:rPr>
          <w:rFonts w:ascii="Garamond" w:hAnsi="Garamond" w:cs="Arial"/>
          <w:color w:val="auto"/>
          <w:sz w:val="24"/>
          <w:szCs w:val="24"/>
          <w:lang w:val="pt-PT"/>
        </w:rPr>
        <w:t xml:space="preserve">no </w:t>
      </w:r>
      <w:r w:rsidR="002D1021" w:rsidRPr="003A1174">
        <w:rPr>
          <w:rFonts w:ascii="Garamond" w:hAnsi="Garamond" w:cs="Arial"/>
          <w:color w:val="auto"/>
          <w:sz w:val="24"/>
          <w:szCs w:val="24"/>
          <w:lang w:val="pt-PT"/>
        </w:rPr>
        <w:t>processo</w:t>
      </w:r>
      <w:r w:rsidR="00EC199F"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a regula</w:t>
      </w:r>
      <w:r w:rsidR="00EC199F" w:rsidRPr="003A1174">
        <w:rPr>
          <w:rFonts w:ascii="Garamond" w:hAnsi="Garamond" w:cs="Arial"/>
          <w:color w:val="auto"/>
          <w:sz w:val="24"/>
          <w:szCs w:val="24"/>
          <w:lang w:val="pt-PT"/>
        </w:rPr>
        <w:t xml:space="preserve">ção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w:t>
      </w:r>
      <w:r w:rsidR="00175015" w:rsidRPr="003A1174">
        <w:rPr>
          <w:rFonts w:ascii="Garamond" w:hAnsi="Garamond" w:cs="Arial"/>
          <w:color w:val="auto"/>
          <w:sz w:val="24"/>
          <w:szCs w:val="24"/>
          <w:lang w:val="pt-PT"/>
        </w:rPr>
        <w:t>resoluções</w:t>
      </w:r>
      <w:r w:rsidR="00CA39B2" w:rsidRPr="003A1174">
        <w:rPr>
          <w:rFonts w:ascii="Garamond" w:hAnsi="Garamond" w:cs="Arial"/>
          <w:color w:val="auto"/>
          <w:sz w:val="24"/>
          <w:szCs w:val="24"/>
          <w:lang w:val="pt-PT"/>
        </w:rPr>
        <w:t xml:space="preserve"> telefónicas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d</w:t>
      </w:r>
      <w:r w:rsidRPr="003A1174">
        <w:rPr>
          <w:rFonts w:ascii="Garamond" w:hAnsi="Garamond" w:cs="Arial"/>
          <w:color w:val="auto"/>
          <w:sz w:val="24"/>
          <w:szCs w:val="24"/>
          <w:lang w:val="pt-PT"/>
        </w:rPr>
        <w:t xml:space="preserve">a </w:t>
      </w:r>
      <w:r w:rsidR="00EC199F" w:rsidRPr="003A1174">
        <w:rPr>
          <w:rFonts w:ascii="Garamond" w:hAnsi="Garamond" w:cs="Arial"/>
          <w:color w:val="auto"/>
          <w:sz w:val="24"/>
          <w:szCs w:val="24"/>
          <w:lang w:val="pt-PT"/>
        </w:rPr>
        <w:t>convocató</w:t>
      </w:r>
      <w:r w:rsidR="00CA39B2" w:rsidRPr="003A1174">
        <w:rPr>
          <w:rFonts w:ascii="Garamond" w:hAnsi="Garamond" w:cs="Arial"/>
          <w:color w:val="auto"/>
          <w:sz w:val="24"/>
          <w:szCs w:val="24"/>
          <w:lang w:val="pt-PT"/>
        </w:rPr>
        <w:t>ria</w:t>
      </w:r>
      <w:r w:rsidR="00EC199F" w:rsidRPr="003A1174">
        <w:rPr>
          <w:rFonts w:ascii="Garamond" w:hAnsi="Garamond" w:cs="Arial"/>
          <w:color w:val="auto"/>
          <w:sz w:val="24"/>
          <w:szCs w:val="24"/>
          <w:lang w:val="pt-PT"/>
        </w:rPr>
        <w:t xml:space="preserve"> para</w:t>
      </w:r>
      <w:r w:rsidR="00CA39B2" w:rsidRPr="003A1174">
        <w:rPr>
          <w:rFonts w:ascii="Garamond" w:hAnsi="Garamond" w:cs="Arial"/>
          <w:color w:val="auto"/>
          <w:sz w:val="24"/>
          <w:szCs w:val="24"/>
          <w:lang w:val="pt-PT"/>
        </w:rPr>
        <w:t xml:space="preserve"> a </w:t>
      </w:r>
      <w:r w:rsidR="00D2560E" w:rsidRPr="003A1174">
        <w:rPr>
          <w:rFonts w:ascii="Garamond" w:hAnsi="Garamond" w:cs="Arial"/>
          <w:color w:val="auto"/>
          <w:sz w:val="24"/>
          <w:szCs w:val="24"/>
          <w:lang w:val="pt-PT"/>
        </w:rPr>
        <w:t>audiência</w:t>
      </w:r>
      <w:r w:rsidR="00EC199F" w:rsidRPr="003A1174">
        <w:rPr>
          <w:rFonts w:ascii="Garamond" w:hAnsi="Garamond" w:cs="Arial"/>
          <w:color w:val="auto"/>
          <w:sz w:val="24"/>
          <w:szCs w:val="24"/>
          <w:lang w:val="pt-PT"/>
        </w:rPr>
        <w:t xml:space="preserve">; </w:t>
      </w:r>
      <w:r w:rsidR="00CA39B2" w:rsidRPr="003A3461">
        <w:rPr>
          <w:rFonts w:ascii="Garamond" w:hAnsi="Garamond" w:cs="Arial"/>
          <w:color w:val="auto"/>
          <w:sz w:val="24"/>
          <w:szCs w:val="24"/>
          <w:lang w:val="pt-PT"/>
        </w:rPr>
        <w:t xml:space="preserve">a </w:t>
      </w:r>
      <w:r w:rsidR="006506C6" w:rsidRPr="003A3461">
        <w:rPr>
          <w:rFonts w:ascii="Garamond" w:hAnsi="Garamond" w:cs="Arial"/>
          <w:color w:val="auto"/>
          <w:sz w:val="24"/>
          <w:szCs w:val="24"/>
          <w:lang w:val="pt-PT"/>
        </w:rPr>
        <w:t>necessidade</w:t>
      </w:r>
      <w:r w:rsidR="00CA39B2" w:rsidRPr="003A3461">
        <w:rPr>
          <w:rFonts w:ascii="Garamond" w:hAnsi="Garamond" w:cs="Arial"/>
          <w:color w:val="auto"/>
          <w:sz w:val="24"/>
          <w:szCs w:val="24"/>
          <w:lang w:val="pt-PT"/>
        </w:rPr>
        <w:t xml:space="preserve"> de que se </w:t>
      </w:r>
      <w:r w:rsidR="00CA39B2" w:rsidRPr="007B3401">
        <w:rPr>
          <w:rFonts w:ascii="Garamond" w:hAnsi="Garamond" w:cs="Arial"/>
          <w:color w:val="auto"/>
          <w:sz w:val="24"/>
          <w:szCs w:val="24"/>
          <w:lang w:val="pt-PT"/>
        </w:rPr>
        <w:t>ado</w:t>
      </w:r>
      <w:r w:rsidR="00EC199F" w:rsidRPr="007B3401">
        <w:rPr>
          <w:rFonts w:ascii="Garamond" w:hAnsi="Garamond" w:cs="Arial"/>
          <w:color w:val="auto"/>
          <w:sz w:val="24"/>
          <w:szCs w:val="24"/>
          <w:lang w:val="pt-PT"/>
        </w:rPr>
        <w:t>tem as diligências</w:t>
      </w:r>
      <w:r w:rsidR="00CA39B2" w:rsidRPr="007B3401">
        <w:rPr>
          <w:rFonts w:ascii="Garamond" w:hAnsi="Garamond" w:cs="Arial"/>
          <w:color w:val="auto"/>
          <w:sz w:val="24"/>
          <w:szCs w:val="24"/>
          <w:lang w:val="pt-PT"/>
        </w:rPr>
        <w:t xml:space="preserve"> </w:t>
      </w:r>
      <w:r w:rsidR="007B3401">
        <w:rPr>
          <w:rFonts w:ascii="Garamond" w:hAnsi="Garamond" w:cs="Arial"/>
          <w:color w:val="auto"/>
          <w:sz w:val="24"/>
          <w:szCs w:val="24"/>
          <w:lang w:val="pt-PT"/>
        </w:rPr>
        <w:t>necessárias</w:t>
      </w:r>
      <w:r w:rsidR="00CA39B2" w:rsidRPr="003A1174">
        <w:rPr>
          <w:rFonts w:ascii="Garamond" w:hAnsi="Garamond" w:cs="Arial"/>
          <w:color w:val="auto"/>
          <w:sz w:val="24"/>
          <w:szCs w:val="24"/>
          <w:lang w:val="pt-PT"/>
        </w:rPr>
        <w:t xml:space="preserve"> para </w:t>
      </w:r>
      <w:r w:rsidR="00224671" w:rsidRPr="003A1174">
        <w:rPr>
          <w:rFonts w:ascii="Garamond" w:hAnsi="Garamond" w:cs="Arial"/>
          <w:color w:val="auto"/>
          <w:sz w:val="24"/>
          <w:szCs w:val="24"/>
          <w:lang w:val="pt-PT"/>
        </w:rPr>
        <w:t>supervisionar</w:t>
      </w:r>
      <w:r w:rsidR="00477220">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501083" w:rsidRPr="003A1174">
        <w:rPr>
          <w:rFonts w:ascii="Garamond" w:hAnsi="Garamond" w:cs="Arial"/>
          <w:color w:val="auto"/>
          <w:sz w:val="24"/>
          <w:szCs w:val="24"/>
          <w:lang w:val="pt-PT"/>
        </w:rPr>
        <w:t>adequada</w:t>
      </w:r>
      <w:r w:rsidR="00CA39B2" w:rsidRPr="003A1174">
        <w:rPr>
          <w:rFonts w:ascii="Garamond" w:hAnsi="Garamond" w:cs="Arial"/>
          <w:color w:val="auto"/>
          <w:sz w:val="24"/>
          <w:szCs w:val="24"/>
          <w:lang w:val="pt-PT"/>
        </w:rPr>
        <w:t>mente</w:t>
      </w:r>
      <w:r w:rsidR="00477220">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 xml:space="preserve">o cumprimento </w:t>
      </w:r>
      <w:r w:rsidR="00802ACC" w:rsidRPr="003A1174">
        <w:rPr>
          <w:rFonts w:ascii="Garamond" w:hAnsi="Garamond" w:cs="Arial"/>
          <w:color w:val="auto"/>
          <w:sz w:val="24"/>
          <w:szCs w:val="24"/>
          <w:lang w:val="pt-PT"/>
        </w:rPr>
        <w:t>efetivo</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medidas cautelares disp</w:t>
      </w:r>
      <w:r w:rsidR="00EC199F" w:rsidRPr="003A1174">
        <w:rPr>
          <w:rFonts w:ascii="Garamond" w:hAnsi="Garamond" w:cs="Arial"/>
          <w:color w:val="auto"/>
          <w:sz w:val="24"/>
          <w:szCs w:val="24"/>
          <w:lang w:val="pt-PT"/>
        </w:rPr>
        <w:t>o</w:t>
      </w:r>
      <w:r w:rsidR="00CA39B2" w:rsidRPr="003A1174">
        <w:rPr>
          <w:rFonts w:ascii="Garamond" w:hAnsi="Garamond" w:cs="Arial"/>
          <w:color w:val="auto"/>
          <w:sz w:val="24"/>
          <w:szCs w:val="24"/>
          <w:lang w:val="pt-PT"/>
        </w:rPr>
        <w:t xml:space="preserve">stas; </w:t>
      </w:r>
      <w:r w:rsidR="00EC199F" w:rsidRPr="003A1174">
        <w:rPr>
          <w:rFonts w:ascii="Garamond" w:hAnsi="Garamond" w:cs="Arial"/>
          <w:color w:val="auto"/>
          <w:sz w:val="24"/>
          <w:szCs w:val="24"/>
          <w:lang w:val="pt-PT"/>
        </w:rPr>
        <w:t xml:space="preserve">o </w:t>
      </w:r>
      <w:r w:rsidR="00AF192F" w:rsidRPr="003A1174">
        <w:rPr>
          <w:rFonts w:ascii="Garamond" w:hAnsi="Garamond" w:cs="Arial"/>
          <w:color w:val="auto"/>
          <w:sz w:val="24"/>
          <w:szCs w:val="24"/>
          <w:lang w:val="pt-PT"/>
        </w:rPr>
        <w:t>dever</w:t>
      </w:r>
      <w:r w:rsidR="00EC199F" w:rsidRPr="003A1174">
        <w:rPr>
          <w:rFonts w:ascii="Garamond" w:hAnsi="Garamond" w:cs="Arial"/>
          <w:color w:val="auto"/>
          <w:sz w:val="24"/>
          <w:szCs w:val="24"/>
          <w:lang w:val="pt-PT"/>
        </w:rPr>
        <w:t xml:space="preserve"> de dar um</w:t>
      </w:r>
      <w:r w:rsidR="00CA39B2" w:rsidRPr="003A1174">
        <w:rPr>
          <w:rFonts w:ascii="Garamond" w:hAnsi="Garamond" w:cs="Arial"/>
          <w:color w:val="auto"/>
          <w:sz w:val="24"/>
          <w:szCs w:val="24"/>
          <w:lang w:val="pt-PT"/>
        </w:rPr>
        <w:t xml:space="preserve">a </w:t>
      </w:r>
      <w:r w:rsidR="00AB6522" w:rsidRPr="003A1174">
        <w:rPr>
          <w:rFonts w:ascii="Garamond" w:hAnsi="Garamond" w:cs="Arial"/>
          <w:color w:val="auto"/>
          <w:sz w:val="24"/>
          <w:szCs w:val="24"/>
          <w:lang w:val="pt-PT"/>
        </w:rPr>
        <w:t>resposta</w:t>
      </w:r>
      <w:r w:rsidR="00CA39B2" w:rsidRPr="003A1174">
        <w:rPr>
          <w:rFonts w:ascii="Garamond" w:hAnsi="Garamond" w:cs="Arial"/>
          <w:color w:val="auto"/>
          <w:sz w:val="24"/>
          <w:szCs w:val="24"/>
          <w:lang w:val="pt-PT"/>
        </w:rPr>
        <w:t xml:space="preserve"> integral, </w:t>
      </w:r>
      <w:r w:rsidR="006A293D" w:rsidRPr="003A1174">
        <w:rPr>
          <w:rFonts w:ascii="Garamond" w:hAnsi="Garamond" w:cs="Arial"/>
          <w:color w:val="auto"/>
          <w:sz w:val="24"/>
          <w:szCs w:val="24"/>
          <w:lang w:val="pt-PT"/>
        </w:rPr>
        <w:t>sem</w:t>
      </w:r>
      <w:r w:rsidR="00CA39B2" w:rsidRPr="003A1174">
        <w:rPr>
          <w:rFonts w:ascii="Garamond" w:hAnsi="Garamond" w:cs="Arial"/>
          <w:color w:val="auto"/>
          <w:sz w:val="24"/>
          <w:szCs w:val="24"/>
          <w:lang w:val="pt-PT"/>
        </w:rPr>
        <w:t xml:space="preserve"> dila</w:t>
      </w:r>
      <w:r w:rsidR="00EC199F" w:rsidRPr="003A1174">
        <w:rPr>
          <w:rFonts w:ascii="Garamond" w:hAnsi="Garamond" w:cs="Arial"/>
          <w:color w:val="auto"/>
          <w:sz w:val="24"/>
          <w:szCs w:val="24"/>
          <w:lang w:val="pt-PT"/>
        </w:rPr>
        <w:t>ções</w:t>
      </w:r>
      <w:r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a </w:t>
      </w:r>
      <w:r w:rsidR="007342D9" w:rsidRPr="003A1174">
        <w:rPr>
          <w:rFonts w:ascii="Garamond" w:hAnsi="Garamond" w:cs="Arial"/>
          <w:color w:val="auto"/>
          <w:sz w:val="24"/>
          <w:szCs w:val="24"/>
          <w:lang w:val="pt-PT"/>
        </w:rPr>
        <w:t>situações</w:t>
      </w:r>
      <w:r w:rsidR="00CA39B2"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 xml:space="preserve">para com as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w:t>
      </w:r>
      <w:r w:rsidR="00964875" w:rsidRPr="003A1174">
        <w:rPr>
          <w:rFonts w:ascii="Garamond" w:hAnsi="Garamond" w:cs="Arial"/>
          <w:color w:val="auto"/>
          <w:sz w:val="24"/>
          <w:szCs w:val="24"/>
          <w:lang w:val="pt-PT"/>
        </w:rPr>
        <w:t>crianças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adolescentes;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EC199F" w:rsidRPr="003A1174">
        <w:rPr>
          <w:rFonts w:ascii="Garamond" w:hAnsi="Garamond" w:cs="Arial"/>
          <w:color w:val="auto"/>
          <w:sz w:val="24"/>
          <w:szCs w:val="24"/>
          <w:lang w:val="pt-PT"/>
        </w:rPr>
        <w:t xml:space="preserve">o </w:t>
      </w:r>
      <w:r w:rsidR="00AF192F" w:rsidRPr="003A1174">
        <w:rPr>
          <w:rFonts w:ascii="Garamond" w:hAnsi="Garamond" w:cs="Arial"/>
          <w:color w:val="auto"/>
          <w:sz w:val="24"/>
          <w:szCs w:val="24"/>
          <w:lang w:val="pt-PT"/>
        </w:rPr>
        <w:t>dever</w:t>
      </w:r>
      <w:r w:rsidR="00CA39B2" w:rsidRPr="003A1174">
        <w:rPr>
          <w:rFonts w:ascii="Garamond" w:hAnsi="Garamond" w:cs="Arial"/>
          <w:color w:val="auto"/>
          <w:sz w:val="24"/>
          <w:szCs w:val="24"/>
          <w:lang w:val="pt-PT"/>
        </w:rPr>
        <w:t xml:space="preserve"> de comunicar </w:t>
      </w:r>
      <w:r w:rsidR="007C63D0" w:rsidRPr="003A1174">
        <w:rPr>
          <w:rFonts w:ascii="Garamond" w:hAnsi="Garamond" w:cs="Arial"/>
          <w:color w:val="auto"/>
          <w:sz w:val="24"/>
          <w:szCs w:val="24"/>
          <w:lang w:val="pt-PT"/>
        </w:rPr>
        <w:t>comportamento</w:t>
      </w:r>
      <w:r w:rsidR="00EC199F" w:rsidRPr="003A1174">
        <w:rPr>
          <w:rFonts w:ascii="Garamond" w:hAnsi="Garamond" w:cs="Arial"/>
          <w:color w:val="auto"/>
          <w:sz w:val="24"/>
          <w:szCs w:val="24"/>
          <w:lang w:val="pt-PT"/>
        </w:rPr>
        <w:t>s</w:t>
      </w:r>
      <w:r w:rsidR="00477220">
        <w:rPr>
          <w:rFonts w:ascii="Garamond" w:hAnsi="Garamond" w:cs="Arial"/>
          <w:color w:val="auto"/>
          <w:sz w:val="24"/>
          <w:szCs w:val="24"/>
          <w:lang w:val="pt-PT"/>
        </w:rPr>
        <w:t>,</w:t>
      </w:r>
      <w:r w:rsidR="00EC199F" w:rsidRPr="003A1174">
        <w:rPr>
          <w:rFonts w:ascii="Garamond" w:hAnsi="Garamond" w:cs="Arial"/>
          <w:color w:val="auto"/>
          <w:sz w:val="24"/>
          <w:szCs w:val="24"/>
          <w:lang w:val="pt-PT"/>
        </w:rPr>
        <w:t xml:space="preserve"> aparentemente </w:t>
      </w:r>
      <w:r w:rsidR="00455D57" w:rsidRPr="003A1174">
        <w:rPr>
          <w:rFonts w:ascii="Garamond" w:hAnsi="Garamond" w:cs="Arial"/>
          <w:color w:val="auto"/>
          <w:sz w:val="24"/>
          <w:szCs w:val="24"/>
          <w:lang w:val="pt-PT"/>
        </w:rPr>
        <w:t>delit</w:t>
      </w:r>
      <w:r w:rsidR="00477220">
        <w:rPr>
          <w:rFonts w:ascii="Garamond" w:hAnsi="Garamond" w:cs="Arial"/>
          <w:color w:val="auto"/>
          <w:sz w:val="24"/>
          <w:szCs w:val="24"/>
          <w:lang w:val="pt-PT"/>
        </w:rPr>
        <w:t>uosos</w:t>
      </w:r>
      <w:r w:rsidR="00CA39B2" w:rsidRPr="003A1174">
        <w:rPr>
          <w:rFonts w:ascii="Garamond" w:hAnsi="Garamond" w:cs="Arial"/>
          <w:color w:val="auto"/>
          <w:sz w:val="24"/>
          <w:szCs w:val="24"/>
          <w:lang w:val="pt-PT"/>
        </w:rPr>
        <w:t xml:space="preserve">, entre </w:t>
      </w:r>
      <w:r w:rsidR="0017447A" w:rsidRPr="003A1174">
        <w:rPr>
          <w:rFonts w:ascii="Garamond" w:hAnsi="Garamond" w:cs="Arial"/>
          <w:color w:val="auto"/>
          <w:sz w:val="24"/>
          <w:szCs w:val="24"/>
          <w:lang w:val="pt-PT"/>
        </w:rPr>
        <w:t>outr</w:t>
      </w:r>
      <w:r w:rsidR="00477220">
        <w:rPr>
          <w:rFonts w:ascii="Garamond" w:hAnsi="Garamond" w:cs="Arial"/>
          <w:color w:val="auto"/>
          <w:sz w:val="24"/>
          <w:szCs w:val="24"/>
          <w:lang w:val="pt-PT"/>
        </w:rPr>
        <w:t>o</w:t>
      </w:r>
      <w:r w:rsidR="0017447A" w:rsidRPr="003A1174">
        <w:rPr>
          <w:rFonts w:ascii="Garamond" w:hAnsi="Garamond" w:cs="Arial"/>
          <w:color w:val="auto"/>
          <w:sz w:val="24"/>
          <w:szCs w:val="24"/>
          <w:lang w:val="pt-PT"/>
        </w:rPr>
        <w:t>s</w:t>
      </w:r>
      <w:r w:rsidR="00CA39B2" w:rsidRPr="003A1174">
        <w:rPr>
          <w:rFonts w:ascii="Garamond" w:hAnsi="Garamond" w:cs="Arial"/>
          <w:color w:val="auto"/>
          <w:sz w:val="24"/>
          <w:szCs w:val="24"/>
          <w:lang w:val="pt-PT"/>
        </w:rPr>
        <w:t>.</w:t>
      </w:r>
    </w:p>
    <w:p w:rsidR="00CA39B2" w:rsidRPr="003A1174" w:rsidRDefault="00CA39B2" w:rsidP="008719D4">
      <w:pPr>
        <w:spacing w:before="240" w:line="240" w:lineRule="auto"/>
        <w:jc w:val="both"/>
        <w:rPr>
          <w:rFonts w:ascii="Garamond" w:hAnsi="Garamond" w:cs="Arial"/>
          <w:sz w:val="24"/>
          <w:szCs w:val="24"/>
        </w:rPr>
      </w:pPr>
      <w:r w:rsidRPr="003A1174">
        <w:rPr>
          <w:rFonts w:ascii="Garamond" w:hAnsi="Garamond" w:cs="Arial"/>
          <w:sz w:val="24"/>
          <w:szCs w:val="24"/>
        </w:rPr>
        <w:t>S</w:t>
      </w:r>
      <w:r w:rsidR="00EC199F" w:rsidRPr="003A1174">
        <w:rPr>
          <w:rFonts w:ascii="Garamond" w:hAnsi="Garamond" w:cs="Arial"/>
          <w:sz w:val="24"/>
          <w:szCs w:val="24"/>
        </w:rPr>
        <w:t xml:space="preserve">em prejuízo </w:t>
      </w:r>
      <w:r w:rsidRPr="003A1174">
        <w:rPr>
          <w:rFonts w:ascii="Garamond" w:hAnsi="Garamond" w:cs="Arial"/>
          <w:sz w:val="24"/>
          <w:szCs w:val="24"/>
        </w:rPr>
        <w:t xml:space="preserve">de </w:t>
      </w:r>
      <w:r w:rsidR="00CD707D" w:rsidRPr="003A1174">
        <w:rPr>
          <w:rFonts w:ascii="Garamond" w:hAnsi="Garamond" w:cs="Arial"/>
          <w:sz w:val="24"/>
          <w:szCs w:val="24"/>
        </w:rPr>
        <w:t>alguma</w:t>
      </w:r>
      <w:r w:rsidRPr="003A1174">
        <w:rPr>
          <w:rFonts w:ascii="Garamond" w:hAnsi="Garamond" w:cs="Arial"/>
          <w:sz w:val="24"/>
          <w:szCs w:val="24"/>
        </w:rPr>
        <w:t xml:space="preserve">s </w:t>
      </w:r>
      <w:r w:rsidR="008651AF" w:rsidRPr="003A1174">
        <w:rPr>
          <w:rFonts w:ascii="Garamond" w:hAnsi="Garamond" w:cs="Arial"/>
          <w:sz w:val="24"/>
          <w:szCs w:val="24"/>
        </w:rPr>
        <w:t>denúncia</w:t>
      </w:r>
      <w:r w:rsidRPr="003A1174">
        <w:rPr>
          <w:rFonts w:ascii="Garamond" w:hAnsi="Garamond" w:cs="Arial"/>
          <w:sz w:val="24"/>
          <w:szCs w:val="24"/>
        </w:rPr>
        <w:t>s rec</w:t>
      </w:r>
      <w:r w:rsidR="00EC199F" w:rsidRPr="003A1174">
        <w:rPr>
          <w:rFonts w:ascii="Garamond" w:hAnsi="Garamond" w:cs="Arial"/>
          <w:sz w:val="24"/>
          <w:szCs w:val="24"/>
        </w:rPr>
        <w:t>e</w:t>
      </w:r>
      <w:r w:rsidRPr="003A1174">
        <w:rPr>
          <w:rFonts w:ascii="Garamond" w:hAnsi="Garamond" w:cs="Arial"/>
          <w:sz w:val="24"/>
          <w:szCs w:val="24"/>
        </w:rPr>
        <w:t xml:space="preserve">bidas </w:t>
      </w:r>
      <w:r w:rsidR="00EC199F" w:rsidRPr="003A1174">
        <w:rPr>
          <w:rFonts w:ascii="Garamond" w:hAnsi="Garamond" w:cs="Arial"/>
          <w:sz w:val="24"/>
          <w:szCs w:val="24"/>
        </w:rPr>
        <w:t xml:space="preserve">relativas </w:t>
      </w:r>
      <w:r w:rsidRPr="003A1174">
        <w:rPr>
          <w:rFonts w:ascii="Garamond" w:hAnsi="Garamond" w:cs="Arial"/>
          <w:sz w:val="24"/>
          <w:szCs w:val="24"/>
        </w:rPr>
        <w:t xml:space="preserve">a </w:t>
      </w:r>
      <w:r w:rsidR="009859FC" w:rsidRPr="003A1174">
        <w:rPr>
          <w:rFonts w:ascii="Garamond" w:hAnsi="Garamond" w:cs="Arial"/>
          <w:sz w:val="24"/>
          <w:szCs w:val="24"/>
        </w:rPr>
        <w:t>eventuais</w:t>
      </w:r>
      <w:r w:rsidRPr="003A1174">
        <w:rPr>
          <w:rFonts w:ascii="Garamond" w:hAnsi="Garamond" w:cs="Arial"/>
          <w:sz w:val="24"/>
          <w:szCs w:val="24"/>
        </w:rPr>
        <w:t xml:space="preserve"> casos de </w:t>
      </w:r>
      <w:r w:rsidR="000350B1" w:rsidRPr="003A1174">
        <w:rPr>
          <w:rFonts w:ascii="Garamond" w:hAnsi="Garamond" w:cs="Arial"/>
          <w:sz w:val="24"/>
          <w:szCs w:val="24"/>
        </w:rPr>
        <w:t>violência</w:t>
      </w:r>
      <w:r w:rsidRPr="003A1174">
        <w:rPr>
          <w:rFonts w:ascii="Garamond" w:hAnsi="Garamond" w:cs="Arial"/>
          <w:sz w:val="24"/>
          <w:szCs w:val="24"/>
        </w:rPr>
        <w:t xml:space="preserve"> doméstica </w:t>
      </w:r>
      <w:r w:rsidR="000672E8" w:rsidRPr="003A1174">
        <w:rPr>
          <w:rFonts w:ascii="Garamond" w:hAnsi="Garamond" w:cs="Arial"/>
          <w:sz w:val="24"/>
          <w:szCs w:val="24"/>
        </w:rPr>
        <w:t>e</w:t>
      </w:r>
      <w:r w:rsidRPr="003A1174">
        <w:rPr>
          <w:rFonts w:ascii="Garamond" w:hAnsi="Garamond" w:cs="Arial"/>
          <w:sz w:val="24"/>
          <w:szCs w:val="24"/>
        </w:rPr>
        <w:t>/o</w:t>
      </w:r>
      <w:r w:rsidR="00EC199F" w:rsidRPr="003A1174">
        <w:rPr>
          <w:rFonts w:ascii="Garamond" w:hAnsi="Garamond" w:cs="Arial"/>
          <w:sz w:val="24"/>
          <w:szCs w:val="24"/>
        </w:rPr>
        <w:t>u</w:t>
      </w:r>
      <w:r w:rsidRPr="003A1174">
        <w:rPr>
          <w:rFonts w:ascii="Garamond" w:hAnsi="Garamond" w:cs="Arial"/>
          <w:sz w:val="24"/>
          <w:szCs w:val="24"/>
        </w:rPr>
        <w:t xml:space="preserve"> delitos </w:t>
      </w:r>
      <w:r w:rsidR="0091113A" w:rsidRPr="003A1174">
        <w:rPr>
          <w:rFonts w:ascii="Garamond" w:hAnsi="Garamond" w:cs="Arial"/>
          <w:sz w:val="24"/>
          <w:szCs w:val="24"/>
        </w:rPr>
        <w:t>sexuais</w:t>
      </w:r>
      <w:r w:rsidR="00697509" w:rsidRPr="003A1174">
        <w:rPr>
          <w:rFonts w:ascii="Garamond" w:hAnsi="Garamond" w:cs="Arial"/>
          <w:sz w:val="24"/>
          <w:szCs w:val="24"/>
        </w:rPr>
        <w:t>,</w:t>
      </w:r>
      <w:r w:rsidRPr="003A1174">
        <w:rPr>
          <w:rStyle w:val="Caracteresdenotaalpie"/>
          <w:rFonts w:ascii="Garamond" w:hAnsi="Garamond" w:cs="Arial"/>
          <w:sz w:val="24"/>
          <w:szCs w:val="24"/>
        </w:rPr>
        <w:footnoteReference w:id="115"/>
      </w:r>
      <w:r w:rsidR="00EC199F" w:rsidRPr="003A1174">
        <w:rPr>
          <w:rFonts w:ascii="Garamond" w:hAnsi="Garamond" w:cs="Arial"/>
          <w:sz w:val="24"/>
          <w:szCs w:val="24"/>
        </w:rPr>
        <w:t xml:space="preserve"> </w:t>
      </w:r>
      <w:r w:rsidRPr="003A1174">
        <w:rPr>
          <w:rFonts w:ascii="Garamond" w:hAnsi="Garamond" w:cs="Arial"/>
          <w:sz w:val="24"/>
          <w:szCs w:val="24"/>
        </w:rPr>
        <w:t xml:space="preserve">a INDDHH </w:t>
      </w:r>
      <w:r w:rsidR="00EC199F" w:rsidRPr="003A1174">
        <w:rPr>
          <w:rFonts w:ascii="Garamond" w:hAnsi="Garamond" w:cs="Arial"/>
          <w:sz w:val="24"/>
          <w:szCs w:val="24"/>
        </w:rPr>
        <w:t xml:space="preserve">manifestou </w:t>
      </w:r>
      <w:r w:rsidR="00BB2B00" w:rsidRPr="003A1174">
        <w:rPr>
          <w:rFonts w:ascii="Garamond" w:hAnsi="Garamond" w:cs="Arial"/>
          <w:sz w:val="24"/>
          <w:szCs w:val="24"/>
        </w:rPr>
        <w:t>à</w:t>
      </w:r>
      <w:r w:rsidRPr="003A1174">
        <w:rPr>
          <w:rFonts w:ascii="Garamond" w:hAnsi="Garamond" w:cs="Arial"/>
          <w:sz w:val="24"/>
          <w:szCs w:val="24"/>
        </w:rPr>
        <w:t xml:space="preserve"> SCJ </w:t>
      </w:r>
      <w:r w:rsidR="00EC199F" w:rsidRPr="003A1174">
        <w:rPr>
          <w:rFonts w:ascii="Garamond" w:hAnsi="Garamond" w:cs="Arial"/>
          <w:sz w:val="24"/>
          <w:szCs w:val="24"/>
        </w:rPr>
        <w:t xml:space="preserve">a </w:t>
      </w:r>
      <w:r w:rsidRPr="003A1174">
        <w:rPr>
          <w:rFonts w:ascii="Garamond" w:hAnsi="Garamond" w:cs="Arial"/>
          <w:sz w:val="24"/>
          <w:szCs w:val="24"/>
        </w:rPr>
        <w:t>su</w:t>
      </w:r>
      <w:r w:rsidR="00EC199F" w:rsidRPr="003A1174">
        <w:rPr>
          <w:rFonts w:ascii="Garamond" w:hAnsi="Garamond" w:cs="Arial"/>
          <w:sz w:val="24"/>
          <w:szCs w:val="24"/>
        </w:rPr>
        <w:t>a</w:t>
      </w:r>
      <w:r w:rsidRPr="003A1174">
        <w:rPr>
          <w:rFonts w:ascii="Garamond" w:hAnsi="Garamond" w:cs="Arial"/>
          <w:sz w:val="24"/>
          <w:szCs w:val="24"/>
        </w:rPr>
        <w:t xml:space="preserve"> </w:t>
      </w:r>
      <w:r w:rsidR="00EC199F" w:rsidRPr="003A1174">
        <w:rPr>
          <w:rFonts w:ascii="Garamond" w:hAnsi="Garamond" w:cs="Arial"/>
          <w:sz w:val="24"/>
          <w:szCs w:val="24"/>
        </w:rPr>
        <w:t>preocupação</w:t>
      </w:r>
      <w:r w:rsidRPr="003A1174">
        <w:rPr>
          <w:rFonts w:ascii="Garamond" w:hAnsi="Garamond" w:cs="Arial"/>
          <w:sz w:val="24"/>
          <w:szCs w:val="24"/>
        </w:rPr>
        <w:t xml:space="preserve"> </w:t>
      </w:r>
      <w:r w:rsidR="005C2020" w:rsidRPr="003A1174">
        <w:rPr>
          <w:rFonts w:ascii="Garamond" w:hAnsi="Garamond" w:cs="Arial"/>
          <w:sz w:val="24"/>
          <w:szCs w:val="24"/>
        </w:rPr>
        <w:t>pelo</w:t>
      </w:r>
      <w:r w:rsidRPr="003A1174">
        <w:rPr>
          <w:rFonts w:ascii="Garamond" w:hAnsi="Garamond" w:cs="Arial"/>
          <w:sz w:val="24"/>
          <w:szCs w:val="24"/>
        </w:rPr>
        <w:t xml:space="preserve"> </w:t>
      </w:r>
      <w:r w:rsidR="00D96FD0" w:rsidRPr="003A1174">
        <w:rPr>
          <w:rFonts w:ascii="Garamond" w:hAnsi="Garamond" w:cs="Arial"/>
          <w:sz w:val="24"/>
          <w:szCs w:val="24"/>
        </w:rPr>
        <w:t>cumprimento</w:t>
      </w:r>
      <w:r w:rsidRPr="003A1174">
        <w:rPr>
          <w:rFonts w:ascii="Garamond" w:hAnsi="Garamond" w:cs="Arial"/>
          <w:sz w:val="24"/>
          <w:szCs w:val="24"/>
        </w:rPr>
        <w:t xml:space="preserve"> </w:t>
      </w:r>
      <w:r w:rsidR="00497503" w:rsidRPr="003A1174">
        <w:rPr>
          <w:rFonts w:ascii="Garamond" w:hAnsi="Garamond" w:cs="Arial"/>
          <w:sz w:val="24"/>
          <w:szCs w:val="24"/>
        </w:rPr>
        <w:t>dos</w:t>
      </w:r>
      <w:r w:rsidR="00EC199F" w:rsidRPr="003A1174">
        <w:rPr>
          <w:rFonts w:ascii="Garamond" w:hAnsi="Garamond" w:cs="Arial"/>
          <w:sz w:val="24"/>
          <w:szCs w:val="24"/>
        </w:rPr>
        <w:t xml:space="preserve"> </w:t>
      </w:r>
      <w:proofErr w:type="gramStart"/>
      <w:r w:rsidR="00EC199F" w:rsidRPr="003A1174">
        <w:rPr>
          <w:rFonts w:ascii="Garamond" w:hAnsi="Garamond" w:cs="Arial"/>
          <w:i/>
          <w:sz w:val="24"/>
          <w:szCs w:val="24"/>
        </w:rPr>
        <w:t>sta</w:t>
      </w:r>
      <w:r w:rsidRPr="003A1174">
        <w:rPr>
          <w:rFonts w:ascii="Garamond" w:hAnsi="Garamond" w:cs="Arial"/>
          <w:i/>
          <w:sz w:val="24"/>
          <w:szCs w:val="24"/>
        </w:rPr>
        <w:t>ndar</w:t>
      </w:r>
      <w:r w:rsidR="00EC199F" w:rsidRPr="003A1174">
        <w:rPr>
          <w:rFonts w:ascii="Garamond" w:hAnsi="Garamond" w:cs="Arial"/>
          <w:i/>
          <w:sz w:val="24"/>
          <w:szCs w:val="24"/>
        </w:rPr>
        <w:t>d</w:t>
      </w:r>
      <w:r w:rsidRPr="003A1174">
        <w:rPr>
          <w:rFonts w:ascii="Garamond" w:hAnsi="Garamond" w:cs="Arial"/>
          <w:i/>
          <w:sz w:val="24"/>
          <w:szCs w:val="24"/>
        </w:rPr>
        <w:t>s</w:t>
      </w:r>
      <w:proofErr w:type="gramEnd"/>
      <w:r w:rsidRPr="003A1174">
        <w:rPr>
          <w:rFonts w:ascii="Garamond" w:hAnsi="Garamond" w:cs="Arial"/>
          <w:sz w:val="24"/>
          <w:szCs w:val="24"/>
        </w:rPr>
        <w:t xml:space="preserve"> </w:t>
      </w:r>
      <w:r w:rsidR="00EF645F" w:rsidRPr="003A1174">
        <w:rPr>
          <w:rFonts w:ascii="Garamond" w:hAnsi="Garamond" w:cs="Arial"/>
          <w:sz w:val="24"/>
          <w:szCs w:val="24"/>
        </w:rPr>
        <w:t>internacionais</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190B59" w:rsidRPr="003A1174">
        <w:rPr>
          <w:rFonts w:ascii="Garamond" w:hAnsi="Garamond" w:cs="Arial"/>
          <w:sz w:val="24"/>
          <w:szCs w:val="24"/>
        </w:rPr>
        <w:t>nacionais</w:t>
      </w:r>
      <w:r w:rsidR="00EC199F" w:rsidRPr="003A1174">
        <w:rPr>
          <w:rFonts w:ascii="Garamond" w:hAnsi="Garamond" w:cs="Arial"/>
          <w:sz w:val="24"/>
          <w:szCs w:val="24"/>
        </w:rPr>
        <w:t xml:space="preserve"> fix</w:t>
      </w:r>
      <w:r w:rsidRPr="003A1174">
        <w:rPr>
          <w:rFonts w:ascii="Garamond" w:hAnsi="Garamond" w:cs="Arial"/>
          <w:sz w:val="24"/>
          <w:szCs w:val="24"/>
        </w:rPr>
        <w:t xml:space="preserve">ados para </w:t>
      </w:r>
      <w:r w:rsidR="00EC199F" w:rsidRPr="003A1174">
        <w:rPr>
          <w:rFonts w:ascii="Garamond" w:hAnsi="Garamond" w:cs="Arial"/>
          <w:sz w:val="24"/>
          <w:szCs w:val="24"/>
        </w:rPr>
        <w:t>o</w:t>
      </w:r>
      <w:r w:rsidRPr="003A1174">
        <w:rPr>
          <w:rFonts w:ascii="Garamond" w:hAnsi="Garamond" w:cs="Arial"/>
          <w:sz w:val="24"/>
          <w:szCs w:val="24"/>
        </w:rPr>
        <w:t xml:space="preserve"> </w:t>
      </w:r>
      <w:r w:rsidR="00886D6A" w:rsidRPr="003A1174">
        <w:rPr>
          <w:rFonts w:ascii="Garamond" w:hAnsi="Garamond" w:cs="Arial"/>
          <w:sz w:val="24"/>
          <w:szCs w:val="24"/>
        </w:rPr>
        <w:t>acesso</w:t>
      </w:r>
      <w:r w:rsidRPr="003A1174">
        <w:rPr>
          <w:rFonts w:ascii="Garamond" w:hAnsi="Garamond" w:cs="Arial"/>
          <w:sz w:val="24"/>
          <w:szCs w:val="24"/>
        </w:rPr>
        <w:t xml:space="preserve"> </w:t>
      </w:r>
      <w:r w:rsidR="00BB2B00" w:rsidRPr="003A1174">
        <w:rPr>
          <w:rFonts w:ascii="Garamond" w:hAnsi="Garamond" w:cs="Arial"/>
          <w:sz w:val="24"/>
          <w:szCs w:val="24"/>
        </w:rPr>
        <w:t>à</w:t>
      </w:r>
      <w:r w:rsidRPr="003A1174">
        <w:rPr>
          <w:rFonts w:ascii="Garamond" w:hAnsi="Garamond" w:cs="Arial"/>
          <w:sz w:val="24"/>
          <w:szCs w:val="24"/>
        </w:rPr>
        <w:t xml:space="preserve"> </w:t>
      </w:r>
      <w:r w:rsidR="00FC1F7F" w:rsidRPr="003A1174">
        <w:rPr>
          <w:rFonts w:ascii="Garamond" w:hAnsi="Garamond" w:cs="Arial"/>
          <w:sz w:val="24"/>
          <w:szCs w:val="24"/>
        </w:rPr>
        <w:t>justiça</w:t>
      </w:r>
      <w:r w:rsidRPr="003A1174">
        <w:rPr>
          <w:rFonts w:ascii="Garamond" w:hAnsi="Garamond" w:cs="Arial"/>
          <w:sz w:val="24"/>
          <w:szCs w:val="24"/>
        </w:rPr>
        <w:t xml:space="preserve">. </w:t>
      </w:r>
    </w:p>
    <w:p w:rsidR="00CA39B2" w:rsidRPr="003A1174" w:rsidRDefault="00EC199F"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Relativamente ao </w:t>
      </w:r>
      <w:r w:rsidR="00CA39B2" w:rsidRPr="003A1174">
        <w:rPr>
          <w:rFonts w:ascii="Garamond" w:hAnsi="Garamond" w:cs="Arial"/>
          <w:sz w:val="24"/>
          <w:szCs w:val="24"/>
        </w:rPr>
        <w:t xml:space="preserve">sistema de </w:t>
      </w:r>
      <w:r w:rsidR="00FC1F7F" w:rsidRPr="003A1174">
        <w:rPr>
          <w:rFonts w:ascii="Garamond" w:hAnsi="Garamond" w:cs="Arial"/>
          <w:sz w:val="24"/>
          <w:szCs w:val="24"/>
        </w:rPr>
        <w:t>justiça</w:t>
      </w:r>
      <w:r w:rsidR="00CA39B2" w:rsidRPr="003A1174">
        <w:rPr>
          <w:rFonts w:ascii="Garamond" w:hAnsi="Garamond" w:cs="Arial"/>
          <w:sz w:val="24"/>
          <w:szCs w:val="24"/>
        </w:rPr>
        <w:t xml:space="preserve"> e</w:t>
      </w:r>
      <w:r w:rsidRPr="003A1174">
        <w:rPr>
          <w:rFonts w:ascii="Garamond" w:hAnsi="Garamond" w:cs="Arial"/>
          <w:sz w:val="24"/>
          <w:szCs w:val="24"/>
        </w:rPr>
        <w:t>m</w:t>
      </w:r>
      <w:r w:rsidR="00CA39B2" w:rsidRPr="003A1174">
        <w:rPr>
          <w:rFonts w:ascii="Garamond" w:hAnsi="Garamond" w:cs="Arial"/>
          <w:sz w:val="24"/>
          <w:szCs w:val="24"/>
        </w:rPr>
        <w:t xml:space="preserve"> </w:t>
      </w:r>
      <w:r w:rsidR="00077461" w:rsidRPr="003A1174">
        <w:rPr>
          <w:rFonts w:ascii="Garamond" w:hAnsi="Garamond" w:cs="Arial"/>
          <w:sz w:val="24"/>
          <w:szCs w:val="24"/>
        </w:rPr>
        <w:t>geral</w:t>
      </w:r>
      <w:r w:rsidRPr="003A1174">
        <w:rPr>
          <w:rFonts w:ascii="Garamond" w:hAnsi="Garamond" w:cs="Arial"/>
          <w:sz w:val="24"/>
          <w:szCs w:val="24"/>
        </w:rPr>
        <w:t xml:space="preserve">, </w:t>
      </w:r>
      <w:r w:rsidR="00CA39B2" w:rsidRPr="003A1174">
        <w:rPr>
          <w:rFonts w:ascii="Garamond" w:hAnsi="Garamond" w:cs="Arial"/>
          <w:sz w:val="24"/>
          <w:szCs w:val="24"/>
        </w:rPr>
        <w:t>a INDDHH recomend</w:t>
      </w:r>
      <w:r w:rsidRPr="003A1174">
        <w:rPr>
          <w:rFonts w:ascii="Garamond" w:hAnsi="Garamond" w:cs="Arial"/>
          <w:sz w:val="24"/>
          <w:szCs w:val="24"/>
        </w:rPr>
        <w:t>ou</w:t>
      </w:r>
      <w:r w:rsidR="00CA39B2" w:rsidRPr="003A1174">
        <w:rPr>
          <w:rStyle w:val="Caracteresdenotaalpie"/>
          <w:rFonts w:ascii="Garamond" w:hAnsi="Garamond" w:cs="Arial"/>
          <w:sz w:val="24"/>
          <w:szCs w:val="24"/>
        </w:rPr>
        <w:footnoteReference w:id="116"/>
      </w:r>
      <w:r w:rsidRPr="003A1174">
        <w:rPr>
          <w:rFonts w:ascii="Garamond" w:hAnsi="Garamond" w:cs="Arial"/>
          <w:sz w:val="24"/>
          <w:szCs w:val="24"/>
        </w:rPr>
        <w:t xml:space="preserve"> </w:t>
      </w:r>
      <w:r w:rsidR="00CA39B2" w:rsidRPr="003A1174">
        <w:rPr>
          <w:rFonts w:ascii="Garamond" w:hAnsi="Garamond" w:cs="Arial"/>
          <w:sz w:val="24"/>
          <w:szCs w:val="24"/>
        </w:rPr>
        <w:t xml:space="preserve">a </w:t>
      </w:r>
      <w:r w:rsidR="007A2492" w:rsidRPr="003A1174">
        <w:rPr>
          <w:rFonts w:ascii="Garamond" w:hAnsi="Garamond" w:cs="Arial"/>
          <w:sz w:val="24"/>
          <w:szCs w:val="24"/>
        </w:rPr>
        <w:t>alteração</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Código Penal vigente, co</w:t>
      </w:r>
      <w:r w:rsidRPr="003A1174">
        <w:rPr>
          <w:rFonts w:ascii="Garamond" w:hAnsi="Garamond" w:cs="Arial"/>
          <w:sz w:val="24"/>
          <w:szCs w:val="24"/>
        </w:rPr>
        <w:t xml:space="preserve">m o fim de eliminar </w:t>
      </w:r>
      <w:r w:rsidR="00CA39B2" w:rsidRPr="003A1174">
        <w:rPr>
          <w:rFonts w:ascii="Garamond" w:hAnsi="Garamond" w:cs="Arial"/>
          <w:sz w:val="24"/>
          <w:szCs w:val="24"/>
        </w:rPr>
        <w:t xml:space="preserve">os </w:t>
      </w:r>
      <w:r w:rsidR="00067AA4" w:rsidRPr="003A1174">
        <w:rPr>
          <w:rFonts w:ascii="Garamond" w:hAnsi="Garamond" w:cs="Arial"/>
          <w:sz w:val="24"/>
          <w:szCs w:val="24"/>
        </w:rPr>
        <w:t>estereótipo</w:t>
      </w:r>
      <w:r w:rsidR="00CA39B2" w:rsidRPr="003A1174">
        <w:rPr>
          <w:rFonts w:ascii="Garamond" w:hAnsi="Garamond" w:cs="Arial"/>
          <w:sz w:val="24"/>
          <w:szCs w:val="24"/>
        </w:rPr>
        <w:t xml:space="preserve">s de género </w:t>
      </w:r>
      <w:r w:rsidR="000672E8" w:rsidRPr="003A1174">
        <w:rPr>
          <w:rFonts w:ascii="Garamond" w:hAnsi="Garamond" w:cs="Arial"/>
          <w:sz w:val="24"/>
          <w:szCs w:val="24"/>
        </w:rPr>
        <w:t>e</w:t>
      </w:r>
      <w:r w:rsidRPr="003A1174">
        <w:rPr>
          <w:rFonts w:ascii="Garamond" w:hAnsi="Garamond" w:cs="Arial"/>
          <w:sz w:val="24"/>
          <w:szCs w:val="24"/>
        </w:rPr>
        <w:t xml:space="preserve"> </w:t>
      </w:r>
      <w:r w:rsidR="00CA39B2" w:rsidRPr="003A1174">
        <w:rPr>
          <w:rFonts w:ascii="Garamond" w:hAnsi="Garamond" w:cs="Arial"/>
          <w:sz w:val="24"/>
          <w:szCs w:val="24"/>
        </w:rPr>
        <w:t xml:space="preserve">as </w:t>
      </w:r>
      <w:r w:rsidR="00B14AA6" w:rsidRPr="003A1174">
        <w:rPr>
          <w:rFonts w:ascii="Garamond" w:hAnsi="Garamond" w:cs="Arial"/>
          <w:sz w:val="24"/>
          <w:szCs w:val="24"/>
        </w:rPr>
        <w:t>disposições</w:t>
      </w:r>
      <w:r w:rsidR="00CA39B2" w:rsidRPr="003A1174">
        <w:rPr>
          <w:rFonts w:ascii="Garamond" w:hAnsi="Garamond" w:cs="Arial"/>
          <w:sz w:val="24"/>
          <w:szCs w:val="24"/>
        </w:rPr>
        <w:t xml:space="preserve"> </w:t>
      </w:r>
      <w:r w:rsidR="009A0CC2" w:rsidRPr="003A1174">
        <w:rPr>
          <w:rFonts w:ascii="Garamond" w:hAnsi="Garamond" w:cs="Arial"/>
          <w:sz w:val="24"/>
          <w:szCs w:val="24"/>
        </w:rPr>
        <w:t>penais</w:t>
      </w:r>
      <w:r w:rsidR="00CA39B2" w:rsidRPr="003A1174">
        <w:rPr>
          <w:rFonts w:ascii="Garamond" w:hAnsi="Garamond" w:cs="Arial"/>
          <w:sz w:val="24"/>
          <w:szCs w:val="24"/>
        </w:rPr>
        <w:t xml:space="preserve"> que discrimina</w:t>
      </w:r>
      <w:r w:rsidRPr="003A1174">
        <w:rPr>
          <w:rFonts w:ascii="Garamond" w:hAnsi="Garamond" w:cs="Arial"/>
          <w:sz w:val="24"/>
          <w:szCs w:val="24"/>
        </w:rPr>
        <w:t>m a</w:t>
      </w:r>
      <w:r w:rsidR="00CA39B2" w:rsidRPr="003A1174">
        <w:rPr>
          <w:rFonts w:ascii="Garamond" w:hAnsi="Garamond" w:cs="Arial"/>
          <w:sz w:val="24"/>
          <w:szCs w:val="24"/>
        </w:rPr>
        <w:t xml:space="preserve">s </w:t>
      </w:r>
      <w:r w:rsidR="00054EE0" w:rsidRPr="003A1174">
        <w:rPr>
          <w:rFonts w:ascii="Garamond" w:hAnsi="Garamond" w:cs="Arial"/>
          <w:sz w:val="24"/>
          <w:szCs w:val="24"/>
        </w:rPr>
        <w:t>mulheres</w:t>
      </w:r>
      <w:r w:rsidR="00CA39B2" w:rsidRPr="003A1174">
        <w:rPr>
          <w:rFonts w:ascii="Garamond" w:hAnsi="Garamond" w:cs="Arial"/>
          <w:sz w:val="24"/>
          <w:szCs w:val="24"/>
        </w:rPr>
        <w:t>, a</w:t>
      </w:r>
      <w:r w:rsidRPr="003A1174">
        <w:rPr>
          <w:rFonts w:ascii="Garamond" w:hAnsi="Garamond" w:cs="Arial"/>
          <w:sz w:val="24"/>
          <w:szCs w:val="24"/>
        </w:rPr>
        <w:t>o</w:t>
      </w:r>
      <w:r w:rsidR="00CA39B2" w:rsidRPr="003A1174">
        <w:rPr>
          <w:rFonts w:ascii="Garamond" w:hAnsi="Garamond" w:cs="Arial"/>
          <w:sz w:val="24"/>
          <w:szCs w:val="24"/>
        </w:rPr>
        <w:t xml:space="preserve"> conservar</w:t>
      </w:r>
      <w:r w:rsidRPr="003A1174">
        <w:rPr>
          <w:rFonts w:ascii="Garamond" w:hAnsi="Garamond" w:cs="Arial"/>
          <w:sz w:val="24"/>
          <w:szCs w:val="24"/>
        </w:rPr>
        <w:t>em</w:t>
      </w:r>
      <w:r w:rsidR="00CA39B2" w:rsidRPr="003A1174">
        <w:rPr>
          <w:rFonts w:ascii="Garamond" w:hAnsi="Garamond" w:cs="Arial"/>
          <w:sz w:val="24"/>
          <w:szCs w:val="24"/>
        </w:rPr>
        <w:t xml:space="preserve"> </w:t>
      </w:r>
      <w:r w:rsidR="00AF192F" w:rsidRPr="003A1174">
        <w:rPr>
          <w:rFonts w:ascii="Garamond" w:hAnsi="Garamond" w:cs="Arial"/>
          <w:sz w:val="24"/>
          <w:szCs w:val="24"/>
        </w:rPr>
        <w:t>conceito</w:t>
      </w:r>
      <w:r w:rsidRPr="003A1174">
        <w:rPr>
          <w:rFonts w:ascii="Garamond" w:hAnsi="Garamond" w:cs="Arial"/>
          <w:sz w:val="24"/>
          <w:szCs w:val="24"/>
        </w:rPr>
        <w:t xml:space="preserve">s como o pudor, </w:t>
      </w:r>
      <w:r w:rsidR="00CA39B2" w:rsidRPr="003A1174">
        <w:rPr>
          <w:rFonts w:ascii="Garamond" w:hAnsi="Garamond" w:cs="Arial"/>
          <w:sz w:val="24"/>
          <w:szCs w:val="24"/>
        </w:rPr>
        <w:t>a honestidad</w:t>
      </w:r>
      <w:r w:rsidRPr="003A1174">
        <w:rPr>
          <w:rFonts w:ascii="Garamond" w:hAnsi="Garamond" w:cs="Arial"/>
          <w:sz w:val="24"/>
          <w:szCs w:val="24"/>
        </w:rPr>
        <w:t>e</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Pr="003A1174">
        <w:rPr>
          <w:rFonts w:ascii="Garamond" w:hAnsi="Garamond" w:cs="Arial"/>
          <w:sz w:val="24"/>
          <w:szCs w:val="24"/>
        </w:rPr>
        <w:t>o escâ</w:t>
      </w:r>
      <w:r w:rsidR="00CA39B2" w:rsidRPr="003A1174">
        <w:rPr>
          <w:rFonts w:ascii="Garamond" w:hAnsi="Garamond" w:cs="Arial"/>
          <w:sz w:val="24"/>
          <w:szCs w:val="24"/>
        </w:rPr>
        <w:t xml:space="preserve">ndalo público </w:t>
      </w:r>
      <w:r w:rsidRPr="003A1174">
        <w:rPr>
          <w:rFonts w:ascii="Garamond" w:hAnsi="Garamond" w:cs="Arial"/>
          <w:sz w:val="24"/>
          <w:szCs w:val="24"/>
        </w:rPr>
        <w:t>n</w:t>
      </w:r>
      <w:r w:rsidR="00CA39B2" w:rsidRPr="003A1174">
        <w:rPr>
          <w:rFonts w:ascii="Garamond" w:hAnsi="Garamond" w:cs="Arial"/>
          <w:sz w:val="24"/>
          <w:szCs w:val="24"/>
        </w:rPr>
        <w:t xml:space="preserve">a </w:t>
      </w:r>
      <w:r w:rsidR="009A0CC2" w:rsidRPr="003A1174">
        <w:rPr>
          <w:rFonts w:ascii="Garamond" w:hAnsi="Garamond" w:cs="Arial"/>
          <w:sz w:val="24"/>
          <w:szCs w:val="24"/>
        </w:rPr>
        <w:t>tipificação</w:t>
      </w:r>
      <w:r w:rsidR="00CA39B2" w:rsidRPr="003A1174">
        <w:rPr>
          <w:rFonts w:ascii="Garamond" w:hAnsi="Garamond" w:cs="Arial"/>
          <w:sz w:val="24"/>
          <w:szCs w:val="24"/>
        </w:rPr>
        <w:t xml:space="preserve"> </w:t>
      </w:r>
      <w:r w:rsidR="00497503" w:rsidRPr="003A1174">
        <w:rPr>
          <w:rFonts w:ascii="Garamond" w:hAnsi="Garamond" w:cs="Arial"/>
          <w:sz w:val="24"/>
          <w:szCs w:val="24"/>
        </w:rPr>
        <w:t>dos</w:t>
      </w:r>
      <w:r w:rsidR="00CA39B2" w:rsidRPr="003A1174">
        <w:rPr>
          <w:rFonts w:ascii="Garamond" w:hAnsi="Garamond" w:cs="Arial"/>
          <w:sz w:val="24"/>
          <w:szCs w:val="24"/>
        </w:rPr>
        <w:t xml:space="preserve"> delitos </w:t>
      </w:r>
      <w:r w:rsidR="0091113A" w:rsidRPr="003A1174">
        <w:rPr>
          <w:rFonts w:ascii="Garamond" w:hAnsi="Garamond" w:cs="Arial"/>
          <w:sz w:val="24"/>
          <w:szCs w:val="24"/>
        </w:rPr>
        <w:t>sexuais</w:t>
      </w:r>
      <w:r w:rsidR="00CA39B2" w:rsidRPr="003A1174">
        <w:rPr>
          <w:rFonts w:ascii="Garamond" w:hAnsi="Garamond" w:cs="Arial"/>
          <w:sz w:val="24"/>
          <w:szCs w:val="24"/>
        </w:rPr>
        <w:t xml:space="preserve">, </w:t>
      </w:r>
      <w:r w:rsidR="000464C8" w:rsidRPr="003A1174">
        <w:rPr>
          <w:rFonts w:ascii="Garamond" w:hAnsi="Garamond" w:cs="Arial"/>
          <w:sz w:val="24"/>
          <w:szCs w:val="24"/>
        </w:rPr>
        <w:t>assim</w:t>
      </w:r>
      <w:r w:rsidR="00CA39B2" w:rsidRPr="003A1174">
        <w:rPr>
          <w:rFonts w:ascii="Garamond" w:hAnsi="Garamond" w:cs="Arial"/>
          <w:sz w:val="24"/>
          <w:szCs w:val="24"/>
        </w:rPr>
        <w:t xml:space="preserve"> como a </w:t>
      </w:r>
      <w:r w:rsidR="00BA3CCE" w:rsidRPr="003A1174">
        <w:rPr>
          <w:rFonts w:ascii="Garamond" w:hAnsi="Garamond" w:cs="Arial"/>
          <w:sz w:val="24"/>
          <w:szCs w:val="24"/>
        </w:rPr>
        <w:t>harmonização</w:t>
      </w:r>
      <w:r w:rsidRPr="003A1174">
        <w:rPr>
          <w:rFonts w:ascii="Garamond" w:hAnsi="Garamond" w:cs="Arial"/>
          <w:sz w:val="24"/>
          <w:szCs w:val="24"/>
        </w:rPr>
        <w:t xml:space="preserve"> </w:t>
      </w:r>
      <w:r w:rsidR="00CA39B2" w:rsidRPr="003A1174">
        <w:rPr>
          <w:rFonts w:ascii="Garamond" w:hAnsi="Garamond" w:cs="Arial"/>
          <w:sz w:val="24"/>
          <w:szCs w:val="24"/>
        </w:rPr>
        <w:t xml:space="preserve">da </w:t>
      </w:r>
      <w:r w:rsidR="002C7510" w:rsidRPr="003A1174">
        <w:rPr>
          <w:rFonts w:ascii="Garamond" w:hAnsi="Garamond" w:cs="Arial"/>
          <w:sz w:val="24"/>
          <w:szCs w:val="24"/>
        </w:rPr>
        <w:t>legislação</w:t>
      </w:r>
      <w:r w:rsidR="00CA39B2" w:rsidRPr="003A1174">
        <w:rPr>
          <w:rFonts w:ascii="Garamond" w:hAnsi="Garamond" w:cs="Arial"/>
          <w:sz w:val="24"/>
          <w:szCs w:val="24"/>
        </w:rPr>
        <w:t xml:space="preserve"> doméstica a</w:t>
      </w:r>
      <w:r w:rsidRPr="003A1174">
        <w:rPr>
          <w:rFonts w:ascii="Garamond" w:hAnsi="Garamond" w:cs="Arial"/>
          <w:sz w:val="24"/>
          <w:szCs w:val="24"/>
        </w:rPr>
        <w:t xml:space="preserve">os </w:t>
      </w:r>
      <w:proofErr w:type="gramStart"/>
      <w:r w:rsidRPr="003A1174">
        <w:rPr>
          <w:rFonts w:ascii="Garamond" w:hAnsi="Garamond" w:cs="Arial"/>
          <w:i/>
          <w:sz w:val="24"/>
          <w:szCs w:val="24"/>
        </w:rPr>
        <w:t>sta</w:t>
      </w:r>
      <w:r w:rsidR="00CA39B2" w:rsidRPr="003A1174">
        <w:rPr>
          <w:rFonts w:ascii="Garamond" w:hAnsi="Garamond" w:cs="Arial"/>
          <w:i/>
          <w:sz w:val="24"/>
          <w:szCs w:val="24"/>
        </w:rPr>
        <w:t>ndar</w:t>
      </w:r>
      <w:r w:rsidRPr="003A1174">
        <w:rPr>
          <w:rFonts w:ascii="Garamond" w:hAnsi="Garamond" w:cs="Arial"/>
          <w:i/>
          <w:sz w:val="24"/>
          <w:szCs w:val="24"/>
        </w:rPr>
        <w:t>d</w:t>
      </w:r>
      <w:r w:rsidR="00CA39B2" w:rsidRPr="003A1174">
        <w:rPr>
          <w:rFonts w:ascii="Garamond" w:hAnsi="Garamond" w:cs="Arial"/>
          <w:i/>
          <w:sz w:val="24"/>
          <w:szCs w:val="24"/>
        </w:rPr>
        <w:t>s</w:t>
      </w:r>
      <w:proofErr w:type="gramEnd"/>
      <w:r w:rsidR="00CA39B2" w:rsidRPr="003A1174">
        <w:rPr>
          <w:rFonts w:ascii="Garamond" w:hAnsi="Garamond" w:cs="Arial"/>
          <w:sz w:val="24"/>
          <w:szCs w:val="24"/>
        </w:rPr>
        <w:t xml:space="preserve"> </w:t>
      </w:r>
      <w:r w:rsidR="00EF645F" w:rsidRPr="003A1174">
        <w:rPr>
          <w:rFonts w:ascii="Garamond" w:hAnsi="Garamond" w:cs="Arial"/>
          <w:sz w:val="24"/>
          <w:szCs w:val="24"/>
        </w:rPr>
        <w:t>internacionais</w:t>
      </w:r>
      <w:r w:rsidR="00CA39B2" w:rsidRPr="003A1174">
        <w:rPr>
          <w:rFonts w:ascii="Garamond" w:hAnsi="Garamond" w:cs="Arial"/>
          <w:sz w:val="24"/>
          <w:szCs w:val="24"/>
        </w:rPr>
        <w:t>.</w:t>
      </w:r>
    </w:p>
    <w:p w:rsidR="00CA39B2" w:rsidRPr="003A1174" w:rsidRDefault="000350B1" w:rsidP="008719D4">
      <w:pPr>
        <w:spacing w:before="240" w:line="240" w:lineRule="auto"/>
        <w:jc w:val="both"/>
        <w:rPr>
          <w:rFonts w:ascii="Garamond" w:hAnsi="Garamond" w:cs="Arial"/>
          <w:sz w:val="24"/>
          <w:szCs w:val="24"/>
        </w:rPr>
      </w:pPr>
      <w:r w:rsidRPr="003A1174">
        <w:rPr>
          <w:rFonts w:ascii="Garamond" w:hAnsi="Garamond" w:cs="Arial"/>
          <w:sz w:val="24"/>
          <w:szCs w:val="24"/>
        </w:rPr>
        <w:t>Também</w:t>
      </w:r>
      <w:r w:rsidR="00CA39B2" w:rsidRPr="003A1174">
        <w:rPr>
          <w:rFonts w:ascii="Garamond" w:hAnsi="Garamond" w:cs="Arial"/>
          <w:sz w:val="24"/>
          <w:szCs w:val="24"/>
        </w:rPr>
        <w:t xml:space="preserve"> </w:t>
      </w:r>
      <w:r w:rsidR="00EC199F" w:rsidRPr="003A1174">
        <w:rPr>
          <w:rFonts w:ascii="Garamond" w:hAnsi="Garamond" w:cs="Arial"/>
          <w:sz w:val="24"/>
          <w:szCs w:val="24"/>
        </w:rPr>
        <w:t xml:space="preserve">destacou a </w:t>
      </w:r>
      <w:r w:rsidR="006506C6" w:rsidRPr="003A1174">
        <w:rPr>
          <w:rFonts w:ascii="Garamond" w:hAnsi="Garamond" w:cs="Arial"/>
          <w:sz w:val="24"/>
          <w:szCs w:val="24"/>
        </w:rPr>
        <w:t>necessidade</w:t>
      </w:r>
      <w:r w:rsidR="00CA39B2" w:rsidRPr="003A1174">
        <w:rPr>
          <w:rFonts w:ascii="Garamond" w:hAnsi="Garamond" w:cs="Arial"/>
          <w:sz w:val="24"/>
          <w:szCs w:val="24"/>
        </w:rPr>
        <w:t xml:space="preserve"> de </w:t>
      </w:r>
      <w:r w:rsidR="008651AF" w:rsidRPr="003A1174">
        <w:rPr>
          <w:rFonts w:ascii="Garamond" w:hAnsi="Garamond" w:cs="Arial"/>
          <w:sz w:val="24"/>
          <w:szCs w:val="24"/>
        </w:rPr>
        <w:t>avaliar</w:t>
      </w:r>
      <w:r w:rsidR="00CA39B2" w:rsidRPr="003A1174">
        <w:rPr>
          <w:rFonts w:ascii="Garamond" w:hAnsi="Garamond" w:cs="Arial"/>
          <w:sz w:val="24"/>
          <w:szCs w:val="24"/>
        </w:rPr>
        <w:t xml:space="preserve"> </w:t>
      </w:r>
      <w:r w:rsidR="00DB2452">
        <w:rPr>
          <w:rFonts w:ascii="Garamond" w:hAnsi="Garamond" w:cs="Arial"/>
          <w:sz w:val="24"/>
          <w:szCs w:val="24"/>
        </w:rPr>
        <w:t xml:space="preserve">revisões </w:t>
      </w:r>
      <w:r w:rsidR="00CA39B2" w:rsidRPr="003A1174">
        <w:rPr>
          <w:rFonts w:ascii="Garamond" w:hAnsi="Garamond" w:cs="Arial"/>
          <w:sz w:val="24"/>
          <w:szCs w:val="24"/>
        </w:rPr>
        <w:t xml:space="preserve">legislativas </w:t>
      </w:r>
      <w:r w:rsidR="00EC199F" w:rsidRPr="003A1174">
        <w:rPr>
          <w:rFonts w:ascii="Garamond" w:hAnsi="Garamond" w:cs="Arial"/>
          <w:sz w:val="24"/>
          <w:szCs w:val="24"/>
        </w:rPr>
        <w:t>que</w:t>
      </w:r>
      <w:r w:rsidR="001D6B56" w:rsidRPr="003A1174">
        <w:rPr>
          <w:rFonts w:ascii="Garamond" w:hAnsi="Garamond" w:cs="Arial"/>
          <w:sz w:val="24"/>
          <w:szCs w:val="24"/>
        </w:rPr>
        <w:t xml:space="preserve"> visem a </w:t>
      </w:r>
      <w:r w:rsidR="007A2492" w:rsidRPr="003A1174">
        <w:rPr>
          <w:rFonts w:ascii="Garamond" w:hAnsi="Garamond" w:cs="Arial"/>
          <w:sz w:val="24"/>
          <w:szCs w:val="24"/>
        </w:rPr>
        <w:t>aprovação</w:t>
      </w:r>
      <w:r w:rsidR="001D6B56" w:rsidRPr="003A1174">
        <w:rPr>
          <w:rFonts w:ascii="Garamond" w:hAnsi="Garamond" w:cs="Arial"/>
          <w:sz w:val="24"/>
          <w:szCs w:val="24"/>
        </w:rPr>
        <w:t xml:space="preserve"> de um</w:t>
      </w:r>
      <w:r w:rsidR="00CA39B2" w:rsidRPr="003A1174">
        <w:rPr>
          <w:rFonts w:ascii="Garamond" w:hAnsi="Garamond" w:cs="Arial"/>
          <w:sz w:val="24"/>
          <w:szCs w:val="24"/>
        </w:rPr>
        <w:t xml:space="preserve">a </w:t>
      </w:r>
      <w:r w:rsidR="00D15AFF" w:rsidRPr="003A1174">
        <w:rPr>
          <w:rFonts w:ascii="Garamond" w:hAnsi="Garamond" w:cs="Arial"/>
          <w:sz w:val="24"/>
          <w:szCs w:val="24"/>
        </w:rPr>
        <w:t>lei</w:t>
      </w:r>
      <w:r w:rsidR="00CA39B2" w:rsidRPr="003A1174">
        <w:rPr>
          <w:rFonts w:ascii="Garamond" w:hAnsi="Garamond" w:cs="Arial"/>
          <w:sz w:val="24"/>
          <w:szCs w:val="24"/>
        </w:rPr>
        <w:t xml:space="preserve"> integral de </w:t>
      </w:r>
      <w:r w:rsidRPr="003A1174">
        <w:rPr>
          <w:rFonts w:ascii="Garamond" w:hAnsi="Garamond" w:cs="Arial"/>
          <w:sz w:val="24"/>
          <w:szCs w:val="24"/>
        </w:rPr>
        <w:t>violência</w:t>
      </w:r>
      <w:r w:rsidR="00CA39B2" w:rsidRPr="003A1174">
        <w:rPr>
          <w:rFonts w:ascii="Garamond" w:hAnsi="Garamond" w:cs="Arial"/>
          <w:sz w:val="24"/>
          <w:szCs w:val="24"/>
        </w:rPr>
        <w:t xml:space="preserve"> </w:t>
      </w:r>
      <w:r w:rsidR="007C63D0" w:rsidRPr="003A1174">
        <w:rPr>
          <w:rFonts w:ascii="Garamond" w:hAnsi="Garamond" w:cs="Arial"/>
          <w:sz w:val="24"/>
          <w:szCs w:val="24"/>
        </w:rPr>
        <w:t>baseada</w:t>
      </w:r>
      <w:r w:rsidR="00CA39B2" w:rsidRPr="003A1174">
        <w:rPr>
          <w:rFonts w:ascii="Garamond" w:hAnsi="Garamond" w:cs="Arial"/>
          <w:sz w:val="24"/>
          <w:szCs w:val="24"/>
        </w:rPr>
        <w:t xml:space="preserve"> e</w:t>
      </w:r>
      <w:r w:rsidR="001D6B56" w:rsidRPr="003A1174">
        <w:rPr>
          <w:rFonts w:ascii="Garamond" w:hAnsi="Garamond" w:cs="Arial"/>
          <w:sz w:val="24"/>
          <w:szCs w:val="24"/>
        </w:rPr>
        <w:t xml:space="preserve">m género, dada </w:t>
      </w:r>
      <w:r w:rsidR="00CA39B2" w:rsidRPr="003A1174">
        <w:rPr>
          <w:rFonts w:ascii="Garamond" w:hAnsi="Garamond" w:cs="Arial"/>
          <w:sz w:val="24"/>
          <w:szCs w:val="24"/>
        </w:rPr>
        <w:t xml:space="preserve">a </w:t>
      </w:r>
      <w:r w:rsidR="00C30647" w:rsidRPr="003A1174">
        <w:rPr>
          <w:rFonts w:ascii="Garamond" w:hAnsi="Garamond" w:cs="Arial"/>
          <w:sz w:val="24"/>
          <w:szCs w:val="24"/>
        </w:rPr>
        <w:t>persistência</w:t>
      </w:r>
      <w:r w:rsidR="00CA39B2" w:rsidRPr="003A1174">
        <w:rPr>
          <w:rFonts w:ascii="Garamond" w:hAnsi="Garamond" w:cs="Arial"/>
          <w:sz w:val="24"/>
          <w:szCs w:val="24"/>
        </w:rPr>
        <w:t xml:space="preserve"> </w:t>
      </w:r>
      <w:r w:rsidR="00497503" w:rsidRPr="003A1174">
        <w:rPr>
          <w:rFonts w:ascii="Garamond" w:hAnsi="Garamond" w:cs="Arial"/>
          <w:sz w:val="24"/>
          <w:szCs w:val="24"/>
        </w:rPr>
        <w:t>das</w:t>
      </w:r>
      <w:r w:rsidR="00CA39B2" w:rsidRPr="003A1174">
        <w:rPr>
          <w:rFonts w:ascii="Garamond" w:hAnsi="Garamond" w:cs="Arial"/>
          <w:sz w:val="24"/>
          <w:szCs w:val="24"/>
        </w:rPr>
        <w:t xml:space="preserve"> múltipl</w:t>
      </w:r>
      <w:r w:rsidR="001D6B56" w:rsidRPr="003A1174">
        <w:rPr>
          <w:rFonts w:ascii="Garamond" w:hAnsi="Garamond" w:cs="Arial"/>
          <w:sz w:val="24"/>
          <w:szCs w:val="24"/>
        </w:rPr>
        <w:t>a</w:t>
      </w:r>
      <w:r w:rsidR="00CA39B2" w:rsidRPr="003A1174">
        <w:rPr>
          <w:rFonts w:ascii="Garamond" w:hAnsi="Garamond" w:cs="Arial"/>
          <w:sz w:val="24"/>
          <w:szCs w:val="24"/>
        </w:rPr>
        <w:t>s formas deste fenómeno.</w:t>
      </w:r>
    </w:p>
    <w:p w:rsidR="00CA39B2" w:rsidRPr="003A1174" w:rsidRDefault="001D6B56" w:rsidP="008719D4">
      <w:pPr>
        <w:spacing w:before="240" w:line="240" w:lineRule="auto"/>
        <w:jc w:val="both"/>
        <w:rPr>
          <w:rFonts w:ascii="Garamond" w:hAnsi="Garamond" w:cs="Arial"/>
          <w:sz w:val="24"/>
          <w:szCs w:val="24"/>
        </w:rPr>
      </w:pPr>
      <w:r w:rsidRPr="003A1174">
        <w:rPr>
          <w:rFonts w:ascii="Garamond" w:hAnsi="Garamond" w:cs="Arial"/>
          <w:sz w:val="24"/>
          <w:szCs w:val="24"/>
        </w:rPr>
        <w:t>A</w:t>
      </w:r>
      <w:r w:rsidR="00CA39B2" w:rsidRPr="003A1174">
        <w:rPr>
          <w:rFonts w:ascii="Garamond" w:hAnsi="Garamond" w:cs="Arial"/>
          <w:sz w:val="24"/>
          <w:szCs w:val="24"/>
        </w:rPr>
        <w:t xml:space="preserve">o anteriormente </w:t>
      </w:r>
      <w:r w:rsidR="00524936" w:rsidRPr="003A1174">
        <w:rPr>
          <w:rFonts w:ascii="Garamond" w:hAnsi="Garamond" w:cs="Arial"/>
          <w:sz w:val="24"/>
          <w:szCs w:val="24"/>
        </w:rPr>
        <w:t>exp</w:t>
      </w:r>
      <w:r w:rsidRPr="003A1174">
        <w:rPr>
          <w:rFonts w:ascii="Garamond" w:hAnsi="Garamond" w:cs="Arial"/>
          <w:sz w:val="24"/>
          <w:szCs w:val="24"/>
        </w:rPr>
        <w:t>osto</w:t>
      </w:r>
      <w:r w:rsidR="00477220">
        <w:rPr>
          <w:rFonts w:ascii="Garamond" w:hAnsi="Garamond" w:cs="Arial"/>
          <w:sz w:val="24"/>
          <w:szCs w:val="24"/>
        </w:rPr>
        <w:t>,</w:t>
      </w:r>
      <w:r w:rsidRPr="003A1174">
        <w:rPr>
          <w:rFonts w:ascii="Garamond" w:hAnsi="Garamond" w:cs="Arial"/>
          <w:sz w:val="24"/>
          <w:szCs w:val="24"/>
        </w:rPr>
        <w:t xml:space="preserve"> importa </w:t>
      </w:r>
      <w:r w:rsidR="002F319E" w:rsidRPr="003A1174">
        <w:rPr>
          <w:rFonts w:ascii="Garamond" w:hAnsi="Garamond" w:cs="Arial"/>
          <w:sz w:val="24"/>
          <w:szCs w:val="24"/>
        </w:rPr>
        <w:t xml:space="preserve">apenas </w:t>
      </w:r>
      <w:r w:rsidRPr="003A1174">
        <w:rPr>
          <w:rFonts w:ascii="Garamond" w:hAnsi="Garamond" w:cs="Arial"/>
          <w:sz w:val="24"/>
          <w:szCs w:val="24"/>
        </w:rPr>
        <w:t xml:space="preserve">acrescentar </w:t>
      </w:r>
      <w:r w:rsidR="00CA39B2" w:rsidRPr="003A1174">
        <w:rPr>
          <w:rFonts w:ascii="Garamond" w:hAnsi="Garamond" w:cs="Arial"/>
          <w:sz w:val="24"/>
          <w:szCs w:val="24"/>
        </w:rPr>
        <w:t>que</w:t>
      </w:r>
      <w:r w:rsidR="002F319E" w:rsidRPr="003A1174">
        <w:rPr>
          <w:rFonts w:ascii="Garamond" w:hAnsi="Garamond" w:cs="Arial"/>
          <w:sz w:val="24"/>
          <w:szCs w:val="24"/>
        </w:rPr>
        <w:t>,</w:t>
      </w:r>
      <w:r w:rsidR="00CA39B2" w:rsidRPr="003A1174">
        <w:rPr>
          <w:rFonts w:ascii="Garamond" w:hAnsi="Garamond" w:cs="Arial"/>
          <w:sz w:val="24"/>
          <w:szCs w:val="24"/>
        </w:rPr>
        <w:t xml:space="preserve"> de </w:t>
      </w:r>
      <w:r w:rsidR="003F012B" w:rsidRPr="003A1174">
        <w:rPr>
          <w:rFonts w:ascii="Garamond" w:hAnsi="Garamond" w:cs="Arial"/>
          <w:sz w:val="24"/>
          <w:szCs w:val="24"/>
        </w:rPr>
        <w:t>acordo</w:t>
      </w:r>
      <w:r w:rsidR="00CA39B2" w:rsidRPr="003A1174">
        <w:rPr>
          <w:rFonts w:ascii="Garamond" w:hAnsi="Garamond" w:cs="Arial"/>
          <w:sz w:val="24"/>
          <w:szCs w:val="24"/>
        </w:rPr>
        <w:t xml:space="preserve"> </w:t>
      </w:r>
      <w:r w:rsidRPr="003A1174">
        <w:rPr>
          <w:rFonts w:ascii="Garamond" w:hAnsi="Garamond" w:cs="Arial"/>
          <w:sz w:val="24"/>
          <w:szCs w:val="24"/>
        </w:rPr>
        <w:t>com a i</w:t>
      </w:r>
      <w:r w:rsidR="0017447A" w:rsidRPr="003A1174">
        <w:rPr>
          <w:rFonts w:ascii="Garamond" w:hAnsi="Garamond" w:cs="Arial"/>
          <w:sz w:val="24"/>
          <w:szCs w:val="24"/>
        </w:rPr>
        <w:t>nformação</w:t>
      </w:r>
      <w:r w:rsidR="00CA39B2" w:rsidRPr="003A1174">
        <w:rPr>
          <w:rFonts w:ascii="Garamond" w:hAnsi="Garamond" w:cs="Arial"/>
          <w:sz w:val="24"/>
          <w:szCs w:val="24"/>
        </w:rPr>
        <w:t xml:space="preserve"> obtida para este </w:t>
      </w:r>
      <w:r w:rsidR="009E3E55" w:rsidRPr="003A1174">
        <w:rPr>
          <w:rFonts w:ascii="Garamond" w:hAnsi="Garamond" w:cs="Arial"/>
          <w:sz w:val="24"/>
          <w:szCs w:val="24"/>
        </w:rPr>
        <w:t>relatório</w:t>
      </w:r>
      <w:r w:rsidRPr="003A1174">
        <w:rPr>
          <w:rFonts w:ascii="Garamond" w:hAnsi="Garamond" w:cs="Arial"/>
          <w:sz w:val="24"/>
          <w:szCs w:val="24"/>
        </w:rPr>
        <w:t xml:space="preserve">, a INDDHH louva </w:t>
      </w:r>
      <w:r w:rsidR="00CA39B2" w:rsidRPr="003A1174">
        <w:rPr>
          <w:rFonts w:ascii="Garamond" w:hAnsi="Garamond" w:cs="Arial"/>
          <w:sz w:val="24"/>
          <w:szCs w:val="24"/>
        </w:rPr>
        <w:t xml:space="preserve">os </w:t>
      </w:r>
      <w:r w:rsidR="001F2F8B" w:rsidRPr="003A1174">
        <w:rPr>
          <w:rFonts w:ascii="Garamond" w:hAnsi="Garamond" w:cs="Arial"/>
          <w:sz w:val="24"/>
          <w:szCs w:val="24"/>
        </w:rPr>
        <w:t>passo</w:t>
      </w:r>
      <w:r w:rsidR="00CA39B2" w:rsidRPr="003A1174">
        <w:rPr>
          <w:rFonts w:ascii="Garamond" w:hAnsi="Garamond" w:cs="Arial"/>
          <w:sz w:val="24"/>
          <w:szCs w:val="24"/>
        </w:rPr>
        <w:t>s dados p</w:t>
      </w:r>
      <w:r w:rsidRPr="003A1174">
        <w:rPr>
          <w:rFonts w:ascii="Garamond" w:hAnsi="Garamond" w:cs="Arial"/>
          <w:sz w:val="24"/>
          <w:szCs w:val="24"/>
        </w:rPr>
        <w:t>e</w:t>
      </w:r>
      <w:r w:rsidR="00CA39B2" w:rsidRPr="003A1174">
        <w:rPr>
          <w:rFonts w:ascii="Garamond" w:hAnsi="Garamond" w:cs="Arial"/>
          <w:sz w:val="24"/>
          <w:szCs w:val="24"/>
        </w:rPr>
        <w:t>los di</w:t>
      </w:r>
      <w:r w:rsidRPr="003A1174">
        <w:rPr>
          <w:rFonts w:ascii="Garamond" w:hAnsi="Garamond" w:cs="Arial"/>
          <w:sz w:val="24"/>
          <w:szCs w:val="24"/>
        </w:rPr>
        <w:t xml:space="preserve">ferentes </w:t>
      </w:r>
      <w:r w:rsidR="00CA39B2" w:rsidRPr="003A1174">
        <w:rPr>
          <w:rFonts w:ascii="Garamond" w:hAnsi="Garamond" w:cs="Arial"/>
          <w:sz w:val="24"/>
          <w:szCs w:val="24"/>
        </w:rPr>
        <w:t xml:space="preserve">organismos </w:t>
      </w:r>
      <w:r w:rsidR="00B91ED4" w:rsidRPr="003A1174">
        <w:rPr>
          <w:rFonts w:ascii="Garamond" w:hAnsi="Garamond" w:cs="Arial"/>
          <w:sz w:val="24"/>
          <w:szCs w:val="24"/>
        </w:rPr>
        <w:t>envolvidos</w:t>
      </w:r>
      <w:r w:rsidR="00477220">
        <w:rPr>
          <w:rFonts w:ascii="Garamond" w:hAnsi="Garamond" w:cs="Arial"/>
          <w:sz w:val="24"/>
          <w:szCs w:val="24"/>
        </w:rPr>
        <w:t>,</w:t>
      </w:r>
      <w:r w:rsidR="00CA39B2" w:rsidRPr="003A1174">
        <w:rPr>
          <w:rFonts w:ascii="Garamond" w:hAnsi="Garamond" w:cs="Arial"/>
          <w:sz w:val="24"/>
          <w:szCs w:val="24"/>
        </w:rPr>
        <w:t xml:space="preserve"> </w:t>
      </w:r>
      <w:r w:rsidR="0074243F" w:rsidRPr="003A1174">
        <w:rPr>
          <w:rFonts w:ascii="Garamond" w:hAnsi="Garamond" w:cs="Arial"/>
          <w:sz w:val="24"/>
          <w:szCs w:val="24"/>
        </w:rPr>
        <w:t>mas</w:t>
      </w:r>
      <w:r w:rsidRPr="003A1174">
        <w:rPr>
          <w:rFonts w:ascii="Garamond" w:hAnsi="Garamond" w:cs="Arial"/>
          <w:sz w:val="24"/>
          <w:szCs w:val="24"/>
        </w:rPr>
        <w:t xml:space="preserve"> reafirma </w:t>
      </w:r>
      <w:r w:rsidR="00CA39B2" w:rsidRPr="003A1174">
        <w:rPr>
          <w:rFonts w:ascii="Garamond" w:hAnsi="Garamond" w:cs="Arial"/>
          <w:sz w:val="24"/>
          <w:szCs w:val="24"/>
        </w:rPr>
        <w:t xml:space="preserve">a </w:t>
      </w:r>
      <w:r w:rsidR="006506C6" w:rsidRPr="003A1174">
        <w:rPr>
          <w:rFonts w:ascii="Garamond" w:hAnsi="Garamond" w:cs="Arial"/>
          <w:sz w:val="24"/>
          <w:szCs w:val="24"/>
        </w:rPr>
        <w:t>necessidade</w:t>
      </w:r>
      <w:r w:rsidR="00CA39B2" w:rsidRPr="003A1174">
        <w:rPr>
          <w:rFonts w:ascii="Garamond" w:hAnsi="Garamond" w:cs="Arial"/>
          <w:sz w:val="24"/>
          <w:szCs w:val="24"/>
        </w:rPr>
        <w:t xml:space="preserve"> de </w:t>
      </w:r>
      <w:r w:rsidRPr="003A1174">
        <w:rPr>
          <w:rFonts w:ascii="Garamond" w:hAnsi="Garamond" w:cs="Arial"/>
          <w:sz w:val="24"/>
          <w:szCs w:val="24"/>
        </w:rPr>
        <w:t>inverter as fragilidades apresentadas, em particular</w:t>
      </w:r>
      <w:r w:rsidR="00477220">
        <w:rPr>
          <w:rFonts w:ascii="Garamond" w:hAnsi="Garamond" w:cs="Arial"/>
          <w:sz w:val="24"/>
          <w:szCs w:val="24"/>
        </w:rPr>
        <w:t>,</w:t>
      </w:r>
      <w:r w:rsidRPr="003A1174">
        <w:rPr>
          <w:rFonts w:ascii="Garamond" w:hAnsi="Garamond" w:cs="Arial"/>
          <w:sz w:val="24"/>
          <w:szCs w:val="24"/>
        </w:rPr>
        <w:t xml:space="preserve"> </w:t>
      </w:r>
      <w:r w:rsidR="00CA39B2" w:rsidRPr="003A1174">
        <w:rPr>
          <w:rFonts w:ascii="Garamond" w:hAnsi="Garamond" w:cs="Arial"/>
          <w:sz w:val="24"/>
          <w:szCs w:val="24"/>
        </w:rPr>
        <w:t xml:space="preserve">as </w:t>
      </w:r>
      <w:r w:rsidR="00DC5DA7" w:rsidRPr="003A1174">
        <w:rPr>
          <w:rFonts w:ascii="Garamond" w:hAnsi="Garamond" w:cs="Arial"/>
          <w:sz w:val="24"/>
          <w:szCs w:val="24"/>
        </w:rPr>
        <w:t>conclusões</w:t>
      </w:r>
      <w:r w:rsidR="00CA39B2" w:rsidRPr="003A1174">
        <w:rPr>
          <w:rFonts w:ascii="Garamond" w:hAnsi="Garamond" w:cs="Arial"/>
          <w:sz w:val="24"/>
          <w:szCs w:val="24"/>
        </w:rPr>
        <w:t xml:space="preserve"> obtidas</w:t>
      </w:r>
      <w:r w:rsidR="00477220">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relativamente</w:t>
      </w:r>
      <w:r w:rsidR="00477220">
        <w:rPr>
          <w:rFonts w:ascii="Garamond" w:hAnsi="Garamond" w:cs="Arial"/>
          <w:sz w:val="24"/>
          <w:szCs w:val="24"/>
        </w:rPr>
        <w:t>,</w:t>
      </w:r>
      <w:r w:rsidRPr="003A1174">
        <w:rPr>
          <w:rFonts w:ascii="Garamond" w:hAnsi="Garamond" w:cs="Arial"/>
          <w:sz w:val="24"/>
          <w:szCs w:val="24"/>
        </w:rPr>
        <w:t xml:space="preserve"> ao </w:t>
      </w:r>
      <w:r w:rsidR="00CA39B2" w:rsidRPr="003A1174">
        <w:rPr>
          <w:rFonts w:ascii="Garamond" w:hAnsi="Garamond" w:cs="Arial"/>
          <w:sz w:val="24"/>
          <w:szCs w:val="24"/>
        </w:rPr>
        <w:t xml:space="preserve">diagnóstico </w:t>
      </w:r>
      <w:r w:rsidR="00E85E59" w:rsidRPr="003A1174">
        <w:rPr>
          <w:rFonts w:ascii="Garamond" w:hAnsi="Garamond" w:cs="Arial"/>
          <w:sz w:val="24"/>
          <w:szCs w:val="24"/>
        </w:rPr>
        <w:t>do</w:t>
      </w:r>
      <w:r w:rsidR="00CA39B2" w:rsidRPr="003A1174">
        <w:rPr>
          <w:rFonts w:ascii="Garamond" w:hAnsi="Garamond" w:cs="Arial"/>
          <w:sz w:val="24"/>
          <w:szCs w:val="24"/>
        </w:rPr>
        <w:t xml:space="preserve"> Poder Judicial.</w:t>
      </w:r>
    </w:p>
    <w:p w:rsidR="00CA39B2" w:rsidRPr="003A1174" w:rsidRDefault="00243E93" w:rsidP="008719D4">
      <w:pPr>
        <w:pStyle w:val="Ttulo3"/>
        <w:spacing w:line="240" w:lineRule="auto"/>
        <w:rPr>
          <w:rFonts w:ascii="Garamond" w:hAnsi="Garamond"/>
          <w:sz w:val="24"/>
          <w:szCs w:val="24"/>
        </w:rPr>
      </w:pPr>
      <w:bookmarkStart w:id="54" w:name="_Toc421529742"/>
      <w:r w:rsidRPr="003A1174">
        <w:rPr>
          <w:rFonts w:ascii="Garamond" w:hAnsi="Garamond"/>
          <w:sz w:val="24"/>
          <w:szCs w:val="24"/>
        </w:rPr>
        <w:t>Venezuela</w:t>
      </w:r>
      <w:bookmarkEnd w:id="54"/>
    </w:p>
    <w:p w:rsidR="00CA39B2" w:rsidRPr="003A1174" w:rsidRDefault="00477220" w:rsidP="008719D4">
      <w:pPr>
        <w:pStyle w:val="Prrafodelista"/>
        <w:spacing w:before="240" w:line="240" w:lineRule="auto"/>
        <w:ind w:left="0"/>
        <w:jc w:val="both"/>
        <w:rPr>
          <w:rFonts w:ascii="Garamond" w:hAnsi="Garamond" w:cs="Arial"/>
          <w:color w:val="auto"/>
          <w:sz w:val="24"/>
          <w:szCs w:val="24"/>
          <w:lang w:val="pt-PT"/>
        </w:rPr>
      </w:pPr>
      <w:r>
        <w:rPr>
          <w:rFonts w:ascii="Garamond" w:hAnsi="Garamond" w:cs="Arial"/>
          <w:color w:val="auto"/>
          <w:sz w:val="24"/>
          <w:szCs w:val="24"/>
          <w:lang w:val="pt-PT"/>
        </w:rPr>
        <w:t>Na Venezuela, a</w:t>
      </w:r>
      <w:r w:rsidR="001D6B56" w:rsidRPr="003A1174">
        <w:rPr>
          <w:rFonts w:ascii="Garamond" w:hAnsi="Garamond" w:cs="Arial"/>
          <w:color w:val="auto"/>
          <w:sz w:val="24"/>
          <w:szCs w:val="24"/>
          <w:lang w:val="pt-PT"/>
        </w:rPr>
        <w:t xml:space="preserve"> </w:t>
      </w:r>
      <w:r w:rsidR="006C6E85" w:rsidRPr="003A1174">
        <w:rPr>
          <w:rFonts w:ascii="Garamond" w:hAnsi="Garamond" w:cs="Arial"/>
          <w:color w:val="auto"/>
          <w:sz w:val="24"/>
          <w:szCs w:val="24"/>
          <w:lang w:val="pt-PT"/>
        </w:rPr>
        <w:t>Provedoria</w:t>
      </w:r>
      <w:r w:rsidR="00CA39B2" w:rsidRPr="003A1174">
        <w:rPr>
          <w:rFonts w:ascii="Garamond" w:hAnsi="Garamond" w:cs="Arial"/>
          <w:color w:val="auto"/>
          <w:sz w:val="24"/>
          <w:szCs w:val="24"/>
          <w:lang w:val="pt-PT"/>
        </w:rPr>
        <w:t xml:space="preserve"> Nacional </w:t>
      </w:r>
      <w:r w:rsidR="00497503" w:rsidRPr="003A1174">
        <w:rPr>
          <w:rFonts w:ascii="Garamond" w:hAnsi="Garamond" w:cs="Arial"/>
          <w:color w:val="auto"/>
          <w:sz w:val="24"/>
          <w:szCs w:val="24"/>
          <w:lang w:val="pt-PT"/>
        </w:rPr>
        <w:t>dos</w:t>
      </w:r>
      <w:r w:rsidR="00CA39B2"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CA39B2" w:rsidRPr="003A1174">
        <w:rPr>
          <w:rFonts w:ascii="Garamond" w:hAnsi="Garamond" w:cs="Arial"/>
          <w:color w:val="auto"/>
          <w:sz w:val="24"/>
          <w:szCs w:val="24"/>
          <w:lang w:val="pt-PT"/>
        </w:rPr>
        <w:t xml:space="preserve">s da </w:t>
      </w:r>
      <w:r w:rsidR="00AF192F" w:rsidRPr="003A1174">
        <w:rPr>
          <w:rFonts w:ascii="Garamond" w:hAnsi="Garamond" w:cs="Arial"/>
          <w:color w:val="auto"/>
          <w:sz w:val="24"/>
          <w:szCs w:val="24"/>
          <w:lang w:val="pt-PT"/>
        </w:rPr>
        <w:t>Mulher</w:t>
      </w:r>
      <w:r w:rsidR="00CA39B2" w:rsidRPr="003A1174">
        <w:rPr>
          <w:rFonts w:ascii="Garamond" w:hAnsi="Garamond" w:cs="Arial"/>
          <w:color w:val="auto"/>
          <w:sz w:val="24"/>
          <w:szCs w:val="24"/>
          <w:lang w:val="pt-PT"/>
        </w:rPr>
        <w:t xml:space="preserve"> de </w:t>
      </w:r>
      <w:r w:rsidR="00275092" w:rsidRPr="003A1174">
        <w:rPr>
          <w:rFonts w:ascii="Garamond" w:hAnsi="Garamond" w:cs="Arial"/>
          <w:color w:val="auto"/>
          <w:sz w:val="24"/>
          <w:szCs w:val="24"/>
          <w:lang w:val="pt-PT"/>
        </w:rPr>
        <w:t>INAMUJER</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1D6B56" w:rsidRPr="003A1174">
        <w:rPr>
          <w:rFonts w:ascii="Garamond" w:hAnsi="Garamond" w:cs="Arial"/>
          <w:color w:val="auto"/>
          <w:sz w:val="24"/>
          <w:szCs w:val="24"/>
          <w:lang w:val="pt-PT"/>
        </w:rPr>
        <w:t xml:space="preserve">o </w:t>
      </w:r>
      <w:r w:rsidR="00CA39B2" w:rsidRPr="003A1174">
        <w:rPr>
          <w:rFonts w:ascii="Garamond" w:hAnsi="Garamond" w:cs="Arial"/>
          <w:color w:val="auto"/>
          <w:sz w:val="24"/>
          <w:szCs w:val="24"/>
          <w:lang w:val="pt-PT"/>
        </w:rPr>
        <w:t>Vice</w:t>
      </w:r>
      <w:r>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inistro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Sistema Integrado de </w:t>
      </w:r>
      <w:r w:rsidR="00886D6A" w:rsidRPr="003A1174">
        <w:rPr>
          <w:rFonts w:ascii="Garamond" w:hAnsi="Garamond" w:cs="Arial"/>
          <w:color w:val="auto"/>
          <w:sz w:val="24"/>
          <w:szCs w:val="24"/>
          <w:lang w:val="pt-PT"/>
        </w:rPr>
        <w:t>Investigação</w:t>
      </w:r>
      <w:r w:rsidR="00CA39B2" w:rsidRPr="003A1174">
        <w:rPr>
          <w:rFonts w:ascii="Garamond" w:hAnsi="Garamond" w:cs="Arial"/>
          <w:color w:val="auto"/>
          <w:sz w:val="24"/>
          <w:szCs w:val="24"/>
          <w:lang w:val="pt-PT"/>
        </w:rPr>
        <w:t xml:space="preserve"> Penal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Poder Popular para </w:t>
      </w:r>
      <w:r w:rsidR="001D6B56" w:rsidRPr="003A1174">
        <w:rPr>
          <w:rFonts w:ascii="Garamond" w:hAnsi="Garamond" w:cs="Arial"/>
          <w:color w:val="auto"/>
          <w:sz w:val="24"/>
          <w:szCs w:val="24"/>
          <w:lang w:val="pt-PT"/>
        </w:rPr>
        <w:t xml:space="preserve">o </w:t>
      </w:r>
      <w:r w:rsidR="00CA39B2" w:rsidRPr="003A1174">
        <w:rPr>
          <w:rFonts w:ascii="Garamond" w:hAnsi="Garamond" w:cs="Arial"/>
          <w:color w:val="auto"/>
          <w:sz w:val="24"/>
          <w:szCs w:val="24"/>
          <w:lang w:val="pt-PT"/>
        </w:rPr>
        <w:t xml:space="preserve">Interior, </w:t>
      </w:r>
      <w:r w:rsidR="00FC1F7F" w:rsidRPr="003A1174">
        <w:rPr>
          <w:rFonts w:ascii="Garamond" w:hAnsi="Garamond" w:cs="Arial"/>
          <w:color w:val="auto"/>
          <w:sz w:val="24"/>
          <w:szCs w:val="24"/>
          <w:lang w:val="pt-PT"/>
        </w:rPr>
        <w:t>Justiça</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Paz,</w:t>
      </w:r>
      <w:r w:rsidR="00CA39B2" w:rsidRPr="003A1174">
        <w:rPr>
          <w:rStyle w:val="Refdenotaalpie"/>
          <w:rFonts w:ascii="Garamond" w:hAnsi="Garamond" w:cs="Arial"/>
          <w:color w:val="auto"/>
          <w:sz w:val="24"/>
          <w:szCs w:val="24"/>
        </w:rPr>
        <w:footnoteReference w:id="117"/>
      </w:r>
      <w:r w:rsidR="00CA39B2" w:rsidRPr="003A1174">
        <w:rPr>
          <w:rFonts w:ascii="Garamond" w:hAnsi="Garamond" w:cs="Arial"/>
          <w:color w:val="auto"/>
          <w:sz w:val="24"/>
          <w:szCs w:val="24"/>
          <w:lang w:val="pt-PT"/>
        </w:rPr>
        <w:t xml:space="preserve"> </w:t>
      </w:r>
      <w:r w:rsidR="00D4575C" w:rsidRPr="003A1174">
        <w:rPr>
          <w:rFonts w:ascii="Garamond" w:hAnsi="Garamond" w:cs="Arial"/>
          <w:color w:val="auto"/>
          <w:sz w:val="24"/>
          <w:szCs w:val="24"/>
          <w:lang w:val="pt-PT"/>
        </w:rPr>
        <w:t>têm</w:t>
      </w:r>
      <w:r w:rsidR="001D6B56" w:rsidRPr="003A1174">
        <w:rPr>
          <w:rFonts w:ascii="Garamond" w:hAnsi="Garamond" w:cs="Arial"/>
          <w:color w:val="auto"/>
          <w:sz w:val="24"/>
          <w:szCs w:val="24"/>
          <w:lang w:val="pt-PT"/>
        </w:rPr>
        <w:t xml:space="preserve"> </w:t>
      </w:r>
      <w:r>
        <w:rPr>
          <w:rFonts w:ascii="Garamond" w:hAnsi="Garamond" w:cs="Arial"/>
          <w:color w:val="auto"/>
          <w:sz w:val="24"/>
          <w:szCs w:val="24"/>
          <w:lang w:val="pt-PT"/>
        </w:rPr>
        <w:t>p</w:t>
      </w:r>
      <w:r w:rsidR="001D6B56" w:rsidRPr="003A1174">
        <w:rPr>
          <w:rFonts w:ascii="Garamond" w:hAnsi="Garamond" w:cs="Arial"/>
          <w:color w:val="auto"/>
          <w:sz w:val="24"/>
          <w:szCs w:val="24"/>
          <w:lang w:val="pt-PT"/>
        </w:rPr>
        <w:t>o</w:t>
      </w:r>
      <w:r>
        <w:rPr>
          <w:rFonts w:ascii="Garamond" w:hAnsi="Garamond" w:cs="Arial"/>
          <w:color w:val="auto"/>
          <w:sz w:val="24"/>
          <w:szCs w:val="24"/>
          <w:lang w:val="pt-PT"/>
        </w:rPr>
        <w:t>r</w:t>
      </w:r>
      <w:r w:rsidR="00CA39B2" w:rsidRPr="003A1174">
        <w:rPr>
          <w:rFonts w:ascii="Garamond" w:hAnsi="Garamond" w:cs="Arial"/>
          <w:color w:val="auto"/>
          <w:sz w:val="24"/>
          <w:szCs w:val="24"/>
          <w:lang w:val="pt-PT"/>
        </w:rPr>
        <w:t xml:space="preserve"> objetivo homologar u</w:t>
      </w:r>
      <w:r w:rsidR="001D6B56"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formato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u</w:t>
      </w:r>
      <w:r w:rsidR="001D6B56"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protocolo de rece</w:t>
      </w:r>
      <w:r w:rsidR="001D6B56" w:rsidRPr="003A1174">
        <w:rPr>
          <w:rFonts w:ascii="Garamond" w:hAnsi="Garamond" w:cs="Arial"/>
          <w:color w:val="auto"/>
          <w:sz w:val="24"/>
          <w:szCs w:val="24"/>
          <w:lang w:val="pt-PT"/>
        </w:rPr>
        <w:t xml:space="preserve">ção </w:t>
      </w:r>
      <w:r w:rsidR="00CA39B2" w:rsidRPr="003A1174">
        <w:rPr>
          <w:rFonts w:ascii="Garamond" w:hAnsi="Garamond" w:cs="Arial"/>
          <w:color w:val="auto"/>
          <w:sz w:val="24"/>
          <w:szCs w:val="24"/>
          <w:lang w:val="pt-PT"/>
        </w:rPr>
        <w:lastRenderedPageBreak/>
        <w:t xml:space="preserve">de </w:t>
      </w:r>
      <w:r w:rsidR="008651AF" w:rsidRPr="003A1174">
        <w:rPr>
          <w:rFonts w:ascii="Garamond" w:hAnsi="Garamond" w:cs="Arial"/>
          <w:color w:val="auto"/>
          <w:sz w:val="24"/>
          <w:szCs w:val="24"/>
          <w:lang w:val="pt-PT"/>
        </w:rPr>
        <w:t>denúncia</w:t>
      </w:r>
      <w:r w:rsidR="00CA39B2"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 xml:space="preserve">contra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t</w:t>
      </w:r>
      <w:r w:rsidR="001D6B56" w:rsidRPr="003A1174">
        <w:rPr>
          <w:rFonts w:ascii="Garamond" w:hAnsi="Garamond" w:cs="Arial"/>
          <w:color w:val="auto"/>
          <w:sz w:val="24"/>
          <w:szCs w:val="24"/>
          <w:lang w:val="pt-PT"/>
        </w:rPr>
        <w:t xml:space="preserve">endo </w:t>
      </w:r>
      <w:r w:rsidR="00CA39B2" w:rsidRPr="003A1174">
        <w:rPr>
          <w:rFonts w:ascii="Garamond" w:hAnsi="Garamond" w:cs="Arial"/>
          <w:color w:val="auto"/>
          <w:sz w:val="24"/>
          <w:szCs w:val="24"/>
          <w:lang w:val="pt-PT"/>
        </w:rPr>
        <w:t xml:space="preserve">como </w:t>
      </w:r>
      <w:r w:rsidR="001D6B56" w:rsidRPr="003A1174">
        <w:rPr>
          <w:rFonts w:ascii="Garamond" w:hAnsi="Garamond" w:cs="Arial"/>
          <w:color w:val="auto"/>
          <w:sz w:val="24"/>
          <w:szCs w:val="24"/>
          <w:lang w:val="pt-PT"/>
        </w:rPr>
        <w:t xml:space="preserve">formato base </w:t>
      </w:r>
      <w:r w:rsidR="00CA39B2" w:rsidRPr="003A1174">
        <w:rPr>
          <w:rFonts w:ascii="Garamond" w:hAnsi="Garamond" w:cs="Arial"/>
          <w:color w:val="auto"/>
          <w:sz w:val="24"/>
          <w:szCs w:val="24"/>
          <w:lang w:val="pt-PT"/>
        </w:rPr>
        <w:t xml:space="preserve">a </w:t>
      </w:r>
      <w:r w:rsidR="00201889" w:rsidRPr="003A1174">
        <w:rPr>
          <w:rFonts w:ascii="Garamond" w:hAnsi="Garamond" w:cs="Arial"/>
          <w:color w:val="auto"/>
          <w:sz w:val="24"/>
          <w:szCs w:val="24"/>
          <w:lang w:val="pt-PT"/>
        </w:rPr>
        <w:t>proposta</w:t>
      </w:r>
      <w:r w:rsidR="00CA39B2" w:rsidRPr="003A1174">
        <w:rPr>
          <w:rFonts w:ascii="Garamond" w:hAnsi="Garamond" w:cs="Arial"/>
          <w:color w:val="auto"/>
          <w:sz w:val="24"/>
          <w:szCs w:val="24"/>
          <w:lang w:val="pt-PT"/>
        </w:rPr>
        <w:t xml:space="preserve"> da </w:t>
      </w:r>
      <w:r w:rsidR="00C04CA4" w:rsidRPr="003A1174">
        <w:rPr>
          <w:rFonts w:ascii="Garamond" w:hAnsi="Garamond" w:cs="Arial"/>
          <w:color w:val="auto"/>
          <w:sz w:val="24"/>
          <w:szCs w:val="24"/>
          <w:lang w:val="pt-PT"/>
        </w:rPr>
        <w:t>Provedoria de Justiça</w:t>
      </w:r>
      <w:r w:rsidR="00CA39B2" w:rsidRPr="003A1174">
        <w:rPr>
          <w:rFonts w:ascii="Garamond" w:hAnsi="Garamond" w:cs="Arial"/>
          <w:color w:val="auto"/>
          <w:sz w:val="24"/>
          <w:szCs w:val="24"/>
          <w:lang w:val="pt-PT"/>
        </w:rPr>
        <w:t xml:space="preserve"> que se </w:t>
      </w:r>
      <w:r w:rsidR="00AB6522" w:rsidRPr="003A1174">
        <w:rPr>
          <w:rFonts w:ascii="Garamond" w:hAnsi="Garamond" w:cs="Arial"/>
          <w:color w:val="auto"/>
          <w:sz w:val="24"/>
          <w:szCs w:val="24"/>
          <w:lang w:val="pt-PT"/>
        </w:rPr>
        <w:t>encontra</w:t>
      </w:r>
      <w:r w:rsidR="00CA39B2" w:rsidRPr="003A1174">
        <w:rPr>
          <w:rFonts w:ascii="Garamond" w:hAnsi="Garamond" w:cs="Arial"/>
          <w:color w:val="auto"/>
          <w:sz w:val="24"/>
          <w:szCs w:val="24"/>
          <w:lang w:val="pt-PT"/>
        </w:rPr>
        <w:t xml:space="preserve"> </w:t>
      </w:r>
      <w:r w:rsidR="001D6B56" w:rsidRPr="003A1174">
        <w:rPr>
          <w:rFonts w:ascii="Garamond" w:hAnsi="Garamond" w:cs="Arial"/>
          <w:color w:val="auto"/>
          <w:sz w:val="24"/>
          <w:szCs w:val="24"/>
          <w:lang w:val="pt-PT"/>
        </w:rPr>
        <w:t xml:space="preserve">na sua </w:t>
      </w:r>
      <w:r w:rsidR="00FC1F7F" w:rsidRPr="003A1174">
        <w:rPr>
          <w:rFonts w:ascii="Garamond" w:hAnsi="Garamond" w:cs="Arial"/>
          <w:color w:val="auto"/>
          <w:sz w:val="24"/>
          <w:szCs w:val="24"/>
          <w:lang w:val="pt-PT"/>
        </w:rPr>
        <w:t>publicação</w:t>
      </w:r>
      <w:r w:rsidR="00CA39B2" w:rsidRPr="003A1174">
        <w:rPr>
          <w:rFonts w:ascii="Garamond" w:hAnsi="Garamond" w:cs="Arial"/>
          <w:color w:val="auto"/>
          <w:sz w:val="24"/>
          <w:szCs w:val="24"/>
          <w:lang w:val="pt-PT"/>
        </w:rPr>
        <w:t xml:space="preserve"> </w:t>
      </w:r>
      <w:r w:rsidR="000C6A23">
        <w:rPr>
          <w:rFonts w:ascii="Garamond" w:hAnsi="Garamond" w:cs="Arial"/>
          <w:color w:val="auto"/>
          <w:sz w:val="24"/>
          <w:szCs w:val="24"/>
          <w:lang w:val="pt-PT"/>
        </w:rPr>
        <w:t>«</w:t>
      </w:r>
      <w:r w:rsidR="008E7A2A" w:rsidRPr="003A1174">
        <w:rPr>
          <w:rFonts w:ascii="Garamond" w:hAnsi="Garamond" w:cs="Arial"/>
          <w:color w:val="auto"/>
          <w:sz w:val="24"/>
          <w:szCs w:val="24"/>
          <w:lang w:val="pt-PT"/>
        </w:rPr>
        <w:t>Recomendações</w:t>
      </w:r>
      <w:r w:rsidR="00CA39B2" w:rsidRPr="003A1174">
        <w:rPr>
          <w:rFonts w:ascii="Garamond" w:hAnsi="Garamond" w:cs="Arial"/>
          <w:color w:val="auto"/>
          <w:sz w:val="24"/>
          <w:szCs w:val="24"/>
          <w:lang w:val="pt-PT"/>
        </w:rPr>
        <w:t xml:space="preserve"> para </w:t>
      </w:r>
      <w:proofErr w:type="gramStart"/>
      <w:r w:rsidR="00CA39B2" w:rsidRPr="003A1174">
        <w:rPr>
          <w:rFonts w:ascii="Garamond" w:hAnsi="Garamond" w:cs="Arial"/>
          <w:color w:val="auto"/>
          <w:sz w:val="24"/>
          <w:szCs w:val="24"/>
          <w:lang w:val="pt-PT"/>
        </w:rPr>
        <w:t>O</w:t>
      </w:r>
      <w:r w:rsidR="001D6B56" w:rsidRPr="003A1174">
        <w:rPr>
          <w:rFonts w:ascii="Garamond" w:hAnsi="Garamond" w:cs="Arial"/>
          <w:color w:val="auto"/>
          <w:sz w:val="24"/>
          <w:szCs w:val="24"/>
          <w:lang w:val="pt-PT"/>
        </w:rPr>
        <w:t>timizar</w:t>
      </w:r>
      <w:proofErr w:type="gramEnd"/>
      <w:r w:rsidR="001D6B56" w:rsidRPr="003A1174">
        <w:rPr>
          <w:rFonts w:ascii="Garamond" w:hAnsi="Garamond" w:cs="Arial"/>
          <w:color w:val="auto"/>
          <w:sz w:val="24"/>
          <w:szCs w:val="24"/>
          <w:lang w:val="pt-PT"/>
        </w:rPr>
        <w:t xml:space="preserve"> a R</w:t>
      </w:r>
      <w:r w:rsidR="00CA39B2" w:rsidRPr="003A1174">
        <w:rPr>
          <w:rFonts w:ascii="Garamond" w:hAnsi="Garamond" w:cs="Arial"/>
          <w:color w:val="auto"/>
          <w:sz w:val="24"/>
          <w:szCs w:val="24"/>
          <w:lang w:val="pt-PT"/>
        </w:rPr>
        <w:t>ece</w:t>
      </w:r>
      <w:r w:rsidR="001D6B56" w:rsidRPr="003A1174">
        <w:rPr>
          <w:rFonts w:ascii="Garamond" w:hAnsi="Garamond" w:cs="Arial"/>
          <w:color w:val="auto"/>
          <w:sz w:val="24"/>
          <w:szCs w:val="24"/>
          <w:lang w:val="pt-PT"/>
        </w:rPr>
        <w:t xml:space="preserve">ção </w:t>
      </w:r>
      <w:r w:rsidR="00CA39B2" w:rsidRPr="003A1174">
        <w:rPr>
          <w:rFonts w:ascii="Garamond" w:hAnsi="Garamond" w:cs="Arial"/>
          <w:color w:val="auto"/>
          <w:sz w:val="24"/>
          <w:szCs w:val="24"/>
          <w:lang w:val="pt-PT"/>
        </w:rPr>
        <w:t xml:space="preserve">de </w:t>
      </w:r>
      <w:r w:rsidR="008651AF" w:rsidRPr="003A1174">
        <w:rPr>
          <w:rFonts w:ascii="Garamond" w:hAnsi="Garamond" w:cs="Arial"/>
          <w:color w:val="auto"/>
          <w:sz w:val="24"/>
          <w:szCs w:val="24"/>
          <w:lang w:val="pt-PT"/>
        </w:rPr>
        <w:t>Denúncia</w:t>
      </w:r>
      <w:r w:rsidR="00CA39B2"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contra a</w:t>
      </w:r>
      <w:r w:rsidR="00CA39B2" w:rsidRPr="003A1174">
        <w:rPr>
          <w:rFonts w:ascii="Garamond" w:hAnsi="Garamond" w:cs="Arial"/>
          <w:color w:val="auto"/>
          <w:sz w:val="24"/>
          <w:szCs w:val="24"/>
          <w:lang w:val="pt-PT"/>
        </w:rPr>
        <w:t xml:space="preserve">s </w:t>
      </w:r>
      <w:r w:rsidR="00054EE0" w:rsidRPr="003A1174">
        <w:rPr>
          <w:rFonts w:ascii="Garamond" w:hAnsi="Garamond" w:cs="Arial"/>
          <w:color w:val="auto"/>
          <w:sz w:val="24"/>
          <w:szCs w:val="24"/>
          <w:lang w:val="pt-PT"/>
        </w:rPr>
        <w:t>Mulheres</w:t>
      </w:r>
      <w:r w:rsidR="000C6A23">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C516C5" w:rsidRPr="003A1174">
        <w:rPr>
          <w:rFonts w:ascii="Garamond" w:hAnsi="Garamond" w:cs="Arial"/>
          <w:color w:val="auto"/>
          <w:sz w:val="24"/>
          <w:szCs w:val="24"/>
          <w:lang w:val="pt-PT"/>
        </w:rPr>
        <w:t>editada</w:t>
      </w:r>
      <w:r w:rsidR="00CA39B2" w:rsidRPr="003A1174">
        <w:rPr>
          <w:rFonts w:ascii="Garamond" w:hAnsi="Garamond" w:cs="Arial"/>
          <w:color w:val="auto"/>
          <w:sz w:val="24"/>
          <w:szCs w:val="24"/>
          <w:lang w:val="pt-PT"/>
        </w:rPr>
        <w:t xml:space="preserve"> co</w:t>
      </w:r>
      <w:r w:rsidR="001D6B56"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791197" w:rsidRPr="003A1174">
        <w:rPr>
          <w:rFonts w:ascii="Garamond" w:hAnsi="Garamond" w:cs="Arial"/>
          <w:color w:val="auto"/>
          <w:sz w:val="24"/>
          <w:szCs w:val="24"/>
          <w:lang w:val="pt-PT"/>
        </w:rPr>
        <w:t>apoio</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E560D8" w:rsidRPr="003A1174">
        <w:rPr>
          <w:rFonts w:ascii="Garamond" w:hAnsi="Garamond" w:cs="Arial"/>
          <w:color w:val="auto"/>
          <w:sz w:val="24"/>
          <w:szCs w:val="24"/>
          <w:lang w:val="pt-PT"/>
        </w:rPr>
        <w:t>Fundo</w:t>
      </w:r>
      <w:r w:rsidR="00CA39B2" w:rsidRPr="003A1174">
        <w:rPr>
          <w:rFonts w:ascii="Garamond" w:hAnsi="Garamond" w:cs="Arial"/>
          <w:color w:val="auto"/>
          <w:sz w:val="24"/>
          <w:szCs w:val="24"/>
          <w:lang w:val="pt-PT"/>
        </w:rPr>
        <w:t xml:space="preserve"> de </w:t>
      </w:r>
      <w:r w:rsidR="007A2492" w:rsidRPr="003A1174">
        <w:rPr>
          <w:rFonts w:ascii="Garamond" w:hAnsi="Garamond" w:cs="Arial"/>
          <w:color w:val="auto"/>
          <w:sz w:val="24"/>
          <w:szCs w:val="24"/>
          <w:lang w:val="pt-PT"/>
        </w:rPr>
        <w:t>População</w:t>
      </w:r>
      <w:r w:rsidR="001D6B56" w:rsidRPr="003A1174">
        <w:rPr>
          <w:rFonts w:ascii="Garamond" w:hAnsi="Garamond" w:cs="Arial"/>
          <w:color w:val="auto"/>
          <w:sz w:val="24"/>
          <w:szCs w:val="24"/>
          <w:lang w:val="pt-PT"/>
        </w:rPr>
        <w:t xml:space="preserve"> das</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Nações</w:t>
      </w:r>
      <w:r w:rsidR="00CA39B2" w:rsidRPr="003A1174">
        <w:rPr>
          <w:rFonts w:ascii="Garamond" w:hAnsi="Garamond" w:cs="Arial"/>
          <w:color w:val="auto"/>
          <w:sz w:val="24"/>
          <w:szCs w:val="24"/>
          <w:lang w:val="pt-PT"/>
        </w:rPr>
        <w:t xml:space="preserve"> Unidas e</w:t>
      </w:r>
      <w:r w:rsidR="001D6B56"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2012.</w:t>
      </w:r>
      <w:r w:rsidR="00CA39B2" w:rsidRPr="003A1174">
        <w:rPr>
          <w:rStyle w:val="Refdenotaalpie"/>
          <w:rFonts w:ascii="Garamond" w:hAnsi="Garamond" w:cs="Arial"/>
          <w:color w:val="auto"/>
          <w:sz w:val="24"/>
          <w:szCs w:val="24"/>
        </w:rPr>
        <w:footnoteReference w:id="118"/>
      </w:r>
    </w:p>
    <w:p w:rsidR="00CA39B2" w:rsidRPr="003A1174" w:rsidRDefault="00C516C5" w:rsidP="008719D4">
      <w:pPr>
        <w:autoSpaceDE w:val="0"/>
        <w:autoSpaceDN w:val="0"/>
        <w:adjustRightInd w:val="0"/>
        <w:spacing w:before="240" w:after="0" w:line="240" w:lineRule="auto"/>
        <w:jc w:val="both"/>
        <w:rPr>
          <w:rFonts w:ascii="Garamond" w:hAnsi="Garamond" w:cs="Arial"/>
          <w:color w:val="FF0000"/>
          <w:sz w:val="24"/>
          <w:szCs w:val="24"/>
        </w:rPr>
      </w:pPr>
      <w:r w:rsidRPr="003A1174">
        <w:rPr>
          <w:rFonts w:ascii="Garamond" w:hAnsi="Garamond" w:cs="Arial"/>
          <w:sz w:val="24"/>
          <w:szCs w:val="24"/>
        </w:rPr>
        <w:t>En</w:t>
      </w:r>
      <w:r w:rsidR="001D6B56" w:rsidRPr="003A1174">
        <w:rPr>
          <w:rFonts w:ascii="Garamond" w:hAnsi="Garamond" w:cs="Arial"/>
          <w:sz w:val="24"/>
          <w:szCs w:val="24"/>
        </w:rPr>
        <w:t>tretanto</w:t>
      </w:r>
      <w:r w:rsidR="00B971ED" w:rsidRPr="003A1174">
        <w:rPr>
          <w:rFonts w:ascii="Garamond" w:hAnsi="Garamond" w:cs="Arial"/>
          <w:sz w:val="24"/>
          <w:szCs w:val="24"/>
        </w:rPr>
        <w:t>,</w:t>
      </w:r>
      <w:r w:rsidR="00CA39B2" w:rsidRPr="003A1174">
        <w:rPr>
          <w:rFonts w:ascii="Garamond" w:hAnsi="Garamond" w:cs="Arial"/>
          <w:sz w:val="24"/>
          <w:szCs w:val="24"/>
        </w:rPr>
        <w:t xml:space="preserve"> </w:t>
      </w:r>
      <w:r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B971ED" w:rsidRPr="003A1174">
        <w:rPr>
          <w:rFonts w:ascii="Garamond" w:hAnsi="Garamond" w:cs="Arial"/>
          <w:sz w:val="24"/>
          <w:szCs w:val="24"/>
        </w:rPr>
        <w:t xml:space="preserve"> </w:t>
      </w:r>
      <w:r w:rsidR="00D54730" w:rsidRPr="003A1174">
        <w:rPr>
          <w:rFonts w:ascii="Garamond" w:hAnsi="Garamond" w:cs="Arial"/>
          <w:sz w:val="24"/>
          <w:szCs w:val="24"/>
        </w:rPr>
        <w:t>elaborou</w:t>
      </w:r>
      <w:r w:rsidR="00CA39B2" w:rsidRPr="003A1174">
        <w:rPr>
          <w:rFonts w:ascii="Garamond" w:hAnsi="Garamond" w:cs="Arial"/>
          <w:sz w:val="24"/>
          <w:szCs w:val="24"/>
        </w:rPr>
        <w:t xml:space="preserve"> u</w:t>
      </w:r>
      <w:r w:rsidR="001D6B56" w:rsidRPr="003A1174">
        <w:rPr>
          <w:rFonts w:ascii="Garamond" w:hAnsi="Garamond" w:cs="Arial"/>
          <w:sz w:val="24"/>
          <w:szCs w:val="24"/>
        </w:rPr>
        <w:t>m</w:t>
      </w:r>
      <w:r w:rsidR="00CA39B2" w:rsidRPr="003A1174">
        <w:rPr>
          <w:rFonts w:ascii="Garamond" w:hAnsi="Garamond" w:cs="Arial"/>
          <w:sz w:val="24"/>
          <w:szCs w:val="24"/>
        </w:rPr>
        <w:t xml:space="preserve"> </w:t>
      </w:r>
      <w:r w:rsidR="009E3E55" w:rsidRPr="003A1174">
        <w:rPr>
          <w:rFonts w:ascii="Garamond" w:hAnsi="Garamond" w:cs="Arial"/>
          <w:sz w:val="24"/>
          <w:szCs w:val="24"/>
        </w:rPr>
        <w:t>relatório</w:t>
      </w:r>
      <w:r w:rsidR="00CA39B2" w:rsidRPr="003A1174">
        <w:rPr>
          <w:rFonts w:ascii="Garamond" w:hAnsi="Garamond" w:cs="Arial"/>
          <w:sz w:val="24"/>
          <w:szCs w:val="24"/>
        </w:rPr>
        <w:t xml:space="preserve"> </w:t>
      </w:r>
      <w:r w:rsidR="001D6B56" w:rsidRPr="003A1174">
        <w:rPr>
          <w:rFonts w:ascii="Garamond" w:hAnsi="Garamond" w:cs="Arial"/>
          <w:sz w:val="24"/>
          <w:szCs w:val="24"/>
        </w:rPr>
        <w:t xml:space="preserve">sobre </w:t>
      </w:r>
      <w:r w:rsidR="00497503" w:rsidRPr="003A1174">
        <w:rPr>
          <w:rFonts w:ascii="Garamond" w:hAnsi="Garamond" w:cs="Arial"/>
          <w:sz w:val="24"/>
          <w:szCs w:val="24"/>
        </w:rPr>
        <w:t>as</w:t>
      </w:r>
      <w:r w:rsidR="00CA39B2" w:rsidRPr="003A1174">
        <w:rPr>
          <w:rFonts w:ascii="Garamond" w:hAnsi="Garamond" w:cs="Arial"/>
          <w:sz w:val="24"/>
          <w:szCs w:val="24"/>
        </w:rPr>
        <w:t xml:space="preserve"> </w:t>
      </w:r>
      <w:r w:rsidR="002C7510" w:rsidRPr="003A1174">
        <w:rPr>
          <w:rFonts w:ascii="Garamond" w:hAnsi="Garamond" w:cs="Arial"/>
          <w:sz w:val="24"/>
          <w:szCs w:val="24"/>
        </w:rPr>
        <w:t>ações</w:t>
      </w:r>
      <w:r w:rsidR="00CA39B2" w:rsidRPr="003A1174">
        <w:rPr>
          <w:rFonts w:ascii="Garamond" w:hAnsi="Garamond" w:cs="Arial"/>
          <w:sz w:val="24"/>
          <w:szCs w:val="24"/>
        </w:rPr>
        <w:t xml:space="preserve"> </w:t>
      </w:r>
      <w:r w:rsidR="00CA39B2" w:rsidRPr="003A1174">
        <w:rPr>
          <w:rFonts w:ascii="Garamond" w:hAnsi="Garamond" w:cs="Arial"/>
          <w:bCs/>
          <w:sz w:val="24"/>
          <w:szCs w:val="24"/>
        </w:rPr>
        <w:t xml:space="preserve">da República Bolivariana de Venezuela </w:t>
      </w:r>
      <w:r w:rsidR="001D6B56" w:rsidRPr="003A1174">
        <w:rPr>
          <w:rFonts w:ascii="Garamond" w:hAnsi="Garamond" w:cs="Arial"/>
          <w:bCs/>
          <w:sz w:val="24"/>
          <w:szCs w:val="24"/>
        </w:rPr>
        <w:t>per</w:t>
      </w:r>
      <w:r w:rsidR="00CA39B2" w:rsidRPr="003A1174">
        <w:rPr>
          <w:rFonts w:ascii="Garamond" w:hAnsi="Garamond" w:cs="Arial"/>
          <w:bCs/>
          <w:sz w:val="24"/>
          <w:szCs w:val="24"/>
        </w:rPr>
        <w:t xml:space="preserve">ante </w:t>
      </w:r>
      <w:r w:rsidR="001D6B56" w:rsidRPr="003A1174">
        <w:rPr>
          <w:rFonts w:ascii="Garamond" w:hAnsi="Garamond" w:cs="Arial"/>
          <w:bCs/>
          <w:sz w:val="24"/>
          <w:szCs w:val="24"/>
        </w:rPr>
        <w:t xml:space="preserve">o Comité para </w:t>
      </w:r>
      <w:r w:rsidR="00CA39B2" w:rsidRPr="003A1174">
        <w:rPr>
          <w:rFonts w:ascii="Garamond" w:hAnsi="Garamond" w:cs="Arial"/>
          <w:bCs/>
          <w:sz w:val="24"/>
          <w:szCs w:val="24"/>
        </w:rPr>
        <w:t xml:space="preserve">a </w:t>
      </w:r>
      <w:r w:rsidR="008E7A2A" w:rsidRPr="003A1174">
        <w:rPr>
          <w:rFonts w:ascii="Garamond" w:hAnsi="Garamond" w:cs="Arial"/>
          <w:bCs/>
          <w:sz w:val="24"/>
          <w:szCs w:val="24"/>
        </w:rPr>
        <w:t>Eliminação</w:t>
      </w:r>
      <w:r w:rsidR="001D6B56" w:rsidRPr="003A1174">
        <w:rPr>
          <w:rFonts w:ascii="Garamond" w:hAnsi="Garamond" w:cs="Arial"/>
          <w:bCs/>
          <w:sz w:val="24"/>
          <w:szCs w:val="24"/>
        </w:rPr>
        <w:t xml:space="preserve"> d</w:t>
      </w:r>
      <w:r w:rsidR="00CA39B2" w:rsidRPr="003A1174">
        <w:rPr>
          <w:rFonts w:ascii="Garamond" w:hAnsi="Garamond" w:cs="Arial"/>
          <w:bCs/>
          <w:sz w:val="24"/>
          <w:szCs w:val="24"/>
        </w:rPr>
        <w:t xml:space="preserve">a </w:t>
      </w:r>
      <w:r w:rsidR="0017447A" w:rsidRPr="003A1174">
        <w:rPr>
          <w:rFonts w:ascii="Garamond" w:hAnsi="Garamond" w:cs="Arial"/>
          <w:bCs/>
          <w:sz w:val="24"/>
          <w:szCs w:val="24"/>
        </w:rPr>
        <w:t>Discriminação</w:t>
      </w:r>
      <w:r w:rsidR="00CA39B2" w:rsidRPr="003A1174">
        <w:rPr>
          <w:rFonts w:ascii="Garamond" w:hAnsi="Garamond" w:cs="Arial"/>
          <w:bCs/>
          <w:sz w:val="24"/>
          <w:szCs w:val="24"/>
        </w:rPr>
        <w:t xml:space="preserve"> </w:t>
      </w:r>
      <w:r w:rsidR="00BB2B00" w:rsidRPr="003A1174">
        <w:rPr>
          <w:rFonts w:ascii="Garamond" w:hAnsi="Garamond" w:cs="Arial"/>
          <w:bCs/>
          <w:sz w:val="24"/>
          <w:szCs w:val="24"/>
        </w:rPr>
        <w:t>contra a</w:t>
      </w:r>
      <w:r w:rsidR="00CA39B2" w:rsidRPr="003A1174">
        <w:rPr>
          <w:rFonts w:ascii="Garamond" w:hAnsi="Garamond" w:cs="Arial"/>
          <w:bCs/>
          <w:sz w:val="24"/>
          <w:szCs w:val="24"/>
        </w:rPr>
        <w:t xml:space="preserve"> </w:t>
      </w:r>
      <w:r w:rsidR="00AF192F" w:rsidRPr="003A1174">
        <w:rPr>
          <w:rFonts w:ascii="Garamond" w:hAnsi="Garamond" w:cs="Arial"/>
          <w:bCs/>
          <w:sz w:val="24"/>
          <w:szCs w:val="24"/>
        </w:rPr>
        <w:t>Mulher</w:t>
      </w:r>
      <w:r w:rsidR="00CA39B2" w:rsidRPr="003A1174">
        <w:rPr>
          <w:rFonts w:ascii="Garamond" w:hAnsi="Garamond" w:cs="Arial"/>
          <w:bCs/>
          <w:sz w:val="24"/>
          <w:szCs w:val="24"/>
        </w:rPr>
        <w:t>, co</w:t>
      </w:r>
      <w:r w:rsidR="001D6B56" w:rsidRPr="003A1174">
        <w:rPr>
          <w:rFonts w:ascii="Garamond" w:hAnsi="Garamond" w:cs="Arial"/>
          <w:bCs/>
          <w:sz w:val="24"/>
          <w:szCs w:val="24"/>
        </w:rPr>
        <w:t xml:space="preserve">m um </w:t>
      </w:r>
      <w:r w:rsidR="00CA39B2" w:rsidRPr="003A1174">
        <w:rPr>
          <w:rFonts w:ascii="Garamond" w:hAnsi="Garamond" w:cs="Arial"/>
          <w:bCs/>
          <w:sz w:val="24"/>
          <w:szCs w:val="24"/>
        </w:rPr>
        <w:t>balan</w:t>
      </w:r>
      <w:r w:rsidR="001D6B56" w:rsidRPr="003A1174">
        <w:rPr>
          <w:rFonts w:ascii="Garamond" w:hAnsi="Garamond" w:cs="Arial"/>
          <w:bCs/>
          <w:sz w:val="24"/>
          <w:szCs w:val="24"/>
        </w:rPr>
        <w:t>ço positivo no</w:t>
      </w:r>
      <w:r w:rsidR="00497503" w:rsidRPr="003A1174">
        <w:rPr>
          <w:rFonts w:ascii="Garamond" w:hAnsi="Garamond" w:cs="Arial"/>
          <w:bCs/>
          <w:sz w:val="24"/>
          <w:szCs w:val="24"/>
        </w:rPr>
        <w:t>s</w:t>
      </w:r>
      <w:r w:rsidR="00CA39B2" w:rsidRPr="003A1174">
        <w:rPr>
          <w:rFonts w:ascii="Garamond" w:hAnsi="Garamond" w:cs="Arial"/>
          <w:bCs/>
          <w:sz w:val="24"/>
          <w:szCs w:val="24"/>
        </w:rPr>
        <w:t xml:space="preserve"> </w:t>
      </w:r>
      <w:r w:rsidR="00C30647" w:rsidRPr="003A1174">
        <w:rPr>
          <w:rFonts w:ascii="Garamond" w:hAnsi="Garamond" w:cs="Arial"/>
          <w:bCs/>
          <w:sz w:val="24"/>
          <w:szCs w:val="24"/>
        </w:rPr>
        <w:t>esforço</w:t>
      </w:r>
      <w:r w:rsidR="00CA39B2" w:rsidRPr="003A1174">
        <w:rPr>
          <w:rFonts w:ascii="Garamond" w:hAnsi="Garamond" w:cs="Arial"/>
          <w:bCs/>
          <w:sz w:val="24"/>
          <w:szCs w:val="24"/>
        </w:rPr>
        <w:t>s</w:t>
      </w:r>
      <w:r w:rsidR="000C6A23">
        <w:rPr>
          <w:rFonts w:ascii="Garamond" w:hAnsi="Garamond" w:cs="Arial"/>
          <w:bCs/>
          <w:sz w:val="24"/>
          <w:szCs w:val="24"/>
        </w:rPr>
        <w:t>,</w:t>
      </w:r>
      <w:r w:rsidR="00CA39B2" w:rsidRPr="003A1174">
        <w:rPr>
          <w:rFonts w:ascii="Garamond" w:hAnsi="Garamond" w:cs="Arial"/>
          <w:bCs/>
          <w:sz w:val="24"/>
          <w:szCs w:val="24"/>
        </w:rPr>
        <w:t xml:space="preserve"> </w:t>
      </w:r>
      <w:r w:rsidR="001D6B56" w:rsidRPr="003A1174">
        <w:rPr>
          <w:rFonts w:ascii="Garamond" w:hAnsi="Garamond" w:cs="Arial"/>
          <w:bCs/>
          <w:sz w:val="24"/>
          <w:szCs w:val="24"/>
        </w:rPr>
        <w:t xml:space="preserve">no sentido de </w:t>
      </w:r>
      <w:r w:rsidR="00C30647" w:rsidRPr="003A1174">
        <w:rPr>
          <w:rFonts w:ascii="Garamond" w:hAnsi="Garamond" w:cs="Arial"/>
          <w:bCs/>
          <w:sz w:val="24"/>
          <w:szCs w:val="24"/>
        </w:rPr>
        <w:t>avançar</w:t>
      </w:r>
      <w:r w:rsidR="00CA39B2" w:rsidRPr="003A1174">
        <w:rPr>
          <w:rFonts w:ascii="Garamond" w:hAnsi="Garamond" w:cs="Arial"/>
          <w:bCs/>
          <w:sz w:val="24"/>
          <w:szCs w:val="24"/>
        </w:rPr>
        <w:t xml:space="preserve"> </w:t>
      </w:r>
      <w:r w:rsidR="001D6B56" w:rsidRPr="003A1174">
        <w:rPr>
          <w:rFonts w:ascii="Garamond" w:hAnsi="Garamond" w:cs="Arial"/>
          <w:bCs/>
          <w:sz w:val="24"/>
          <w:szCs w:val="24"/>
        </w:rPr>
        <w:t>n</w:t>
      </w:r>
      <w:r w:rsidR="00CA39B2" w:rsidRPr="003A1174">
        <w:rPr>
          <w:rFonts w:ascii="Garamond" w:hAnsi="Garamond" w:cs="Arial"/>
          <w:bCs/>
          <w:sz w:val="24"/>
          <w:szCs w:val="24"/>
        </w:rPr>
        <w:t xml:space="preserve">a </w:t>
      </w:r>
      <w:r w:rsidR="00C30647" w:rsidRPr="003A1174">
        <w:rPr>
          <w:rFonts w:ascii="Garamond" w:hAnsi="Garamond" w:cs="Arial"/>
          <w:bCs/>
          <w:sz w:val="24"/>
          <w:szCs w:val="24"/>
        </w:rPr>
        <w:t>erradicação</w:t>
      </w:r>
      <w:r w:rsidR="00CA39B2" w:rsidRPr="003A1174">
        <w:rPr>
          <w:rFonts w:ascii="Garamond" w:hAnsi="Garamond" w:cs="Arial"/>
          <w:bCs/>
          <w:sz w:val="24"/>
          <w:szCs w:val="24"/>
        </w:rPr>
        <w:t xml:space="preserve"> de </w:t>
      </w:r>
      <w:r w:rsidR="007342D9" w:rsidRPr="003A1174">
        <w:rPr>
          <w:rFonts w:ascii="Garamond" w:hAnsi="Garamond" w:cs="Arial"/>
          <w:bCs/>
          <w:sz w:val="24"/>
          <w:szCs w:val="24"/>
        </w:rPr>
        <w:t>qualquer</w:t>
      </w:r>
      <w:r w:rsidR="00CA39B2" w:rsidRPr="003A1174">
        <w:rPr>
          <w:rFonts w:ascii="Garamond" w:hAnsi="Garamond" w:cs="Arial"/>
          <w:bCs/>
          <w:sz w:val="24"/>
          <w:szCs w:val="24"/>
        </w:rPr>
        <w:t xml:space="preserve"> tipo de </w:t>
      </w:r>
      <w:r w:rsidR="0017447A" w:rsidRPr="003A1174">
        <w:rPr>
          <w:rFonts w:ascii="Garamond" w:hAnsi="Garamond" w:cs="Arial"/>
          <w:bCs/>
          <w:sz w:val="24"/>
          <w:szCs w:val="24"/>
        </w:rPr>
        <w:t>discriminação</w:t>
      </w:r>
      <w:r w:rsidR="00CA39B2" w:rsidRPr="003A1174">
        <w:rPr>
          <w:rFonts w:ascii="Garamond" w:hAnsi="Garamond" w:cs="Arial"/>
          <w:bCs/>
          <w:sz w:val="24"/>
          <w:szCs w:val="24"/>
        </w:rPr>
        <w:t xml:space="preserve"> </w:t>
      </w:r>
      <w:r w:rsidR="00067AA4" w:rsidRPr="003A1174">
        <w:rPr>
          <w:rFonts w:ascii="Garamond" w:hAnsi="Garamond" w:cs="Arial"/>
          <w:bCs/>
          <w:sz w:val="24"/>
          <w:szCs w:val="24"/>
        </w:rPr>
        <w:t>para com a Mulher</w:t>
      </w:r>
      <w:r w:rsidR="00CA39B2" w:rsidRPr="003A1174">
        <w:rPr>
          <w:rFonts w:ascii="Garamond" w:hAnsi="Garamond" w:cs="Arial"/>
          <w:bCs/>
          <w:sz w:val="24"/>
          <w:szCs w:val="24"/>
        </w:rPr>
        <w:t xml:space="preserve">, que </w:t>
      </w:r>
      <w:r w:rsidR="001D6B56" w:rsidRPr="003A1174">
        <w:rPr>
          <w:rFonts w:ascii="Garamond" w:hAnsi="Garamond" w:cs="Arial"/>
          <w:bCs/>
          <w:sz w:val="24"/>
          <w:szCs w:val="24"/>
        </w:rPr>
        <w:t xml:space="preserve">o </w:t>
      </w:r>
      <w:r w:rsidR="00CA39B2" w:rsidRPr="003A1174">
        <w:rPr>
          <w:rFonts w:ascii="Garamond" w:hAnsi="Garamond" w:cs="Arial"/>
          <w:bCs/>
          <w:sz w:val="24"/>
          <w:szCs w:val="24"/>
        </w:rPr>
        <w:t xml:space="preserve">Estado </w:t>
      </w:r>
      <w:r w:rsidR="005A5191" w:rsidRPr="003A1174">
        <w:rPr>
          <w:rFonts w:ascii="Garamond" w:hAnsi="Garamond" w:cs="Arial"/>
          <w:bCs/>
          <w:sz w:val="24"/>
          <w:szCs w:val="24"/>
        </w:rPr>
        <w:t>Venezuelano</w:t>
      </w:r>
      <w:r w:rsidR="001D6B56" w:rsidRPr="003A1174">
        <w:rPr>
          <w:rFonts w:ascii="Garamond" w:hAnsi="Garamond" w:cs="Arial"/>
          <w:bCs/>
          <w:sz w:val="24"/>
          <w:szCs w:val="24"/>
        </w:rPr>
        <w:t xml:space="preserve"> empreendeu</w:t>
      </w:r>
      <w:r w:rsidR="00CA39B2" w:rsidRPr="003A1174">
        <w:rPr>
          <w:rFonts w:ascii="Garamond" w:hAnsi="Garamond" w:cs="Arial"/>
          <w:bCs/>
          <w:sz w:val="24"/>
          <w:szCs w:val="24"/>
        </w:rPr>
        <w:t>, cump</w:t>
      </w:r>
      <w:r w:rsidR="001D6B56" w:rsidRPr="003A1174">
        <w:rPr>
          <w:rFonts w:ascii="Garamond" w:hAnsi="Garamond" w:cs="Arial"/>
          <w:bCs/>
          <w:sz w:val="24"/>
          <w:szCs w:val="24"/>
        </w:rPr>
        <w:t>rin</w:t>
      </w:r>
      <w:r w:rsidR="00CA39B2" w:rsidRPr="003A1174">
        <w:rPr>
          <w:rFonts w:ascii="Garamond" w:hAnsi="Garamond" w:cs="Arial"/>
          <w:bCs/>
          <w:sz w:val="24"/>
          <w:szCs w:val="24"/>
        </w:rPr>
        <w:t>do co</w:t>
      </w:r>
      <w:r w:rsidR="001D6B56" w:rsidRPr="003A1174">
        <w:rPr>
          <w:rFonts w:ascii="Garamond" w:hAnsi="Garamond" w:cs="Arial"/>
          <w:bCs/>
          <w:sz w:val="24"/>
          <w:szCs w:val="24"/>
        </w:rPr>
        <w:t xml:space="preserve">m </w:t>
      </w:r>
      <w:r w:rsidR="00CA39B2" w:rsidRPr="003A1174">
        <w:rPr>
          <w:rFonts w:ascii="Garamond" w:hAnsi="Garamond" w:cs="Arial"/>
          <w:bCs/>
          <w:sz w:val="24"/>
          <w:szCs w:val="24"/>
        </w:rPr>
        <w:t xml:space="preserve">o </w:t>
      </w:r>
      <w:r w:rsidR="00661ADB" w:rsidRPr="003A1174">
        <w:rPr>
          <w:rFonts w:ascii="Garamond" w:hAnsi="Garamond" w:cs="Arial"/>
          <w:bCs/>
          <w:sz w:val="24"/>
          <w:szCs w:val="24"/>
        </w:rPr>
        <w:t>estabelecido</w:t>
      </w:r>
      <w:r w:rsidR="00CA39B2" w:rsidRPr="003A1174">
        <w:rPr>
          <w:rFonts w:ascii="Garamond" w:hAnsi="Garamond" w:cs="Arial"/>
          <w:bCs/>
          <w:sz w:val="24"/>
          <w:szCs w:val="24"/>
        </w:rPr>
        <w:t xml:space="preserve"> </w:t>
      </w:r>
      <w:r w:rsidR="001D6B56" w:rsidRPr="003A1174">
        <w:rPr>
          <w:rFonts w:ascii="Garamond" w:hAnsi="Garamond" w:cs="Arial"/>
          <w:bCs/>
          <w:sz w:val="24"/>
          <w:szCs w:val="24"/>
        </w:rPr>
        <w:t>n</w:t>
      </w:r>
      <w:r w:rsidR="00CA39B2" w:rsidRPr="003A1174">
        <w:rPr>
          <w:rFonts w:ascii="Garamond" w:hAnsi="Garamond" w:cs="Arial"/>
          <w:bCs/>
          <w:sz w:val="24"/>
          <w:szCs w:val="24"/>
        </w:rPr>
        <w:t xml:space="preserve">a </w:t>
      </w:r>
      <w:r w:rsidR="00E150E9" w:rsidRPr="003A1174">
        <w:rPr>
          <w:rFonts w:ascii="Garamond" w:hAnsi="Garamond" w:cs="Arial"/>
          <w:bCs/>
          <w:sz w:val="24"/>
          <w:szCs w:val="24"/>
        </w:rPr>
        <w:t>Constituição</w:t>
      </w:r>
      <w:r w:rsidR="001D6B56" w:rsidRPr="003A1174">
        <w:rPr>
          <w:rFonts w:ascii="Garamond" w:hAnsi="Garamond" w:cs="Arial"/>
          <w:bCs/>
          <w:sz w:val="24"/>
          <w:szCs w:val="24"/>
        </w:rPr>
        <w:t xml:space="preserve"> d</w:t>
      </w:r>
      <w:r w:rsidR="00CA39B2" w:rsidRPr="003A1174">
        <w:rPr>
          <w:rFonts w:ascii="Garamond" w:hAnsi="Garamond" w:cs="Arial"/>
          <w:bCs/>
          <w:sz w:val="24"/>
          <w:szCs w:val="24"/>
        </w:rPr>
        <w:t>a República Bolivariana de Venezuela de 1999. Destaca</w:t>
      </w:r>
      <w:r w:rsidR="001D6B56" w:rsidRPr="003A1174">
        <w:rPr>
          <w:rFonts w:ascii="Garamond" w:hAnsi="Garamond" w:cs="Arial"/>
          <w:bCs/>
          <w:sz w:val="24"/>
          <w:szCs w:val="24"/>
        </w:rPr>
        <w:t xml:space="preserve">m </w:t>
      </w:r>
      <w:r w:rsidR="00CA39B2" w:rsidRPr="003A1174">
        <w:rPr>
          <w:rFonts w:ascii="Garamond" w:hAnsi="Garamond" w:cs="Arial"/>
          <w:bCs/>
          <w:sz w:val="24"/>
          <w:szCs w:val="24"/>
        </w:rPr>
        <w:t xml:space="preserve">as medidas políticas, </w:t>
      </w:r>
      <w:r w:rsidR="003F012B" w:rsidRPr="003A1174">
        <w:rPr>
          <w:rFonts w:ascii="Garamond" w:hAnsi="Garamond" w:cs="Arial"/>
          <w:bCs/>
          <w:sz w:val="24"/>
          <w:szCs w:val="24"/>
        </w:rPr>
        <w:t>sociais</w:t>
      </w:r>
      <w:r w:rsidR="00CA39B2" w:rsidRPr="003A1174">
        <w:rPr>
          <w:rFonts w:ascii="Garamond" w:hAnsi="Garamond" w:cs="Arial"/>
          <w:bCs/>
          <w:sz w:val="24"/>
          <w:szCs w:val="24"/>
        </w:rPr>
        <w:t xml:space="preserve">, económicas </w:t>
      </w:r>
      <w:r w:rsidR="000672E8" w:rsidRPr="003A1174">
        <w:rPr>
          <w:rFonts w:ascii="Garamond" w:hAnsi="Garamond" w:cs="Arial"/>
          <w:bCs/>
          <w:sz w:val="24"/>
          <w:szCs w:val="24"/>
        </w:rPr>
        <w:t>e</w:t>
      </w:r>
      <w:r w:rsidR="00CA39B2" w:rsidRPr="003A1174">
        <w:rPr>
          <w:rFonts w:ascii="Garamond" w:hAnsi="Garamond" w:cs="Arial"/>
          <w:bCs/>
          <w:sz w:val="24"/>
          <w:szCs w:val="24"/>
        </w:rPr>
        <w:t xml:space="preserve"> legislativas </w:t>
      </w:r>
      <w:r w:rsidR="000C6A23">
        <w:rPr>
          <w:rFonts w:ascii="Garamond" w:hAnsi="Garamond" w:cs="Arial"/>
          <w:bCs/>
          <w:sz w:val="24"/>
          <w:szCs w:val="24"/>
        </w:rPr>
        <w:t xml:space="preserve">a ter presentes </w:t>
      </w:r>
      <w:r w:rsidR="00CA39B2" w:rsidRPr="003A1174">
        <w:rPr>
          <w:rFonts w:ascii="Garamond" w:hAnsi="Garamond" w:cs="Arial"/>
          <w:bCs/>
          <w:sz w:val="24"/>
          <w:szCs w:val="24"/>
        </w:rPr>
        <w:t xml:space="preserve">para </w:t>
      </w:r>
      <w:r w:rsidR="001D6B56" w:rsidRPr="003A1174">
        <w:rPr>
          <w:rFonts w:ascii="Garamond" w:hAnsi="Garamond" w:cs="Arial"/>
          <w:bCs/>
          <w:sz w:val="24"/>
          <w:szCs w:val="24"/>
        </w:rPr>
        <w:t xml:space="preserve">que se atinja a </w:t>
      </w:r>
      <w:r w:rsidR="002C7510" w:rsidRPr="003A1174">
        <w:rPr>
          <w:rFonts w:ascii="Garamond" w:hAnsi="Garamond" w:cs="Arial"/>
          <w:bCs/>
          <w:sz w:val="24"/>
          <w:szCs w:val="24"/>
        </w:rPr>
        <w:t>igualdade</w:t>
      </w:r>
      <w:r w:rsidR="00CA39B2" w:rsidRPr="003A1174">
        <w:rPr>
          <w:rFonts w:ascii="Garamond" w:hAnsi="Garamond" w:cs="Arial"/>
          <w:bCs/>
          <w:sz w:val="24"/>
          <w:szCs w:val="24"/>
        </w:rPr>
        <w:t xml:space="preserve"> entre </w:t>
      </w:r>
      <w:r w:rsidR="00054EE0" w:rsidRPr="003A1174">
        <w:rPr>
          <w:rFonts w:ascii="Garamond" w:hAnsi="Garamond" w:cs="Arial"/>
          <w:bCs/>
          <w:sz w:val="24"/>
          <w:szCs w:val="24"/>
        </w:rPr>
        <w:t>mulheres</w:t>
      </w:r>
      <w:r w:rsidR="00CA39B2" w:rsidRPr="003A1174">
        <w:rPr>
          <w:rFonts w:ascii="Garamond" w:hAnsi="Garamond" w:cs="Arial"/>
          <w:bCs/>
          <w:sz w:val="24"/>
          <w:szCs w:val="24"/>
        </w:rPr>
        <w:t xml:space="preserve"> </w:t>
      </w:r>
      <w:r w:rsidR="000672E8" w:rsidRPr="003A1174">
        <w:rPr>
          <w:rFonts w:ascii="Garamond" w:hAnsi="Garamond" w:cs="Arial"/>
          <w:bCs/>
          <w:sz w:val="24"/>
          <w:szCs w:val="24"/>
        </w:rPr>
        <w:t>e</w:t>
      </w:r>
      <w:r w:rsidR="00CA39B2" w:rsidRPr="003A1174">
        <w:rPr>
          <w:rFonts w:ascii="Garamond" w:hAnsi="Garamond" w:cs="Arial"/>
          <w:bCs/>
          <w:sz w:val="24"/>
          <w:szCs w:val="24"/>
        </w:rPr>
        <w:t xml:space="preserve"> </w:t>
      </w:r>
      <w:r w:rsidR="00524936" w:rsidRPr="003A1174">
        <w:rPr>
          <w:rFonts w:ascii="Garamond" w:hAnsi="Garamond" w:cs="Arial"/>
          <w:bCs/>
          <w:sz w:val="24"/>
          <w:szCs w:val="24"/>
        </w:rPr>
        <w:t>homens</w:t>
      </w:r>
      <w:r w:rsidR="00CA39B2" w:rsidRPr="003A1174">
        <w:rPr>
          <w:rFonts w:ascii="Garamond" w:hAnsi="Garamond" w:cs="Arial"/>
          <w:bCs/>
          <w:sz w:val="24"/>
          <w:szCs w:val="24"/>
        </w:rPr>
        <w:t xml:space="preserve">, </w:t>
      </w:r>
      <w:r w:rsidR="000464C8" w:rsidRPr="003A1174">
        <w:rPr>
          <w:rFonts w:ascii="Garamond" w:hAnsi="Garamond" w:cs="Arial"/>
          <w:bCs/>
          <w:sz w:val="24"/>
          <w:szCs w:val="24"/>
        </w:rPr>
        <w:t>assim</w:t>
      </w:r>
      <w:r w:rsidR="001D6B56" w:rsidRPr="003A1174">
        <w:rPr>
          <w:rFonts w:ascii="Garamond" w:hAnsi="Garamond" w:cs="Arial"/>
          <w:bCs/>
          <w:sz w:val="24"/>
          <w:szCs w:val="24"/>
        </w:rPr>
        <w:t xml:space="preserve"> como, </w:t>
      </w:r>
      <w:r w:rsidR="00CA39B2" w:rsidRPr="003A1174">
        <w:rPr>
          <w:rFonts w:ascii="Garamond" w:hAnsi="Garamond" w:cs="Arial"/>
          <w:bCs/>
          <w:sz w:val="24"/>
          <w:szCs w:val="24"/>
        </w:rPr>
        <w:t xml:space="preserve">os </w:t>
      </w:r>
      <w:r w:rsidR="002F5CD1" w:rsidRPr="003A1174">
        <w:rPr>
          <w:rFonts w:ascii="Garamond" w:hAnsi="Garamond" w:cs="Arial"/>
          <w:bCs/>
          <w:sz w:val="24"/>
          <w:szCs w:val="24"/>
        </w:rPr>
        <w:t>principais</w:t>
      </w:r>
      <w:r w:rsidR="00CA39B2" w:rsidRPr="003A1174">
        <w:rPr>
          <w:rFonts w:ascii="Garamond" w:hAnsi="Garamond" w:cs="Arial"/>
          <w:bCs/>
          <w:sz w:val="24"/>
          <w:szCs w:val="24"/>
        </w:rPr>
        <w:t xml:space="preserve"> </w:t>
      </w:r>
      <w:r w:rsidR="00BA3CCE" w:rsidRPr="003A1174">
        <w:rPr>
          <w:rFonts w:ascii="Garamond" w:hAnsi="Garamond" w:cs="Arial"/>
          <w:bCs/>
          <w:sz w:val="24"/>
          <w:szCs w:val="24"/>
        </w:rPr>
        <w:t>desafios</w:t>
      </w:r>
      <w:r w:rsidR="00CA39B2" w:rsidRPr="003A1174">
        <w:rPr>
          <w:rFonts w:ascii="Garamond" w:hAnsi="Garamond" w:cs="Arial"/>
          <w:bCs/>
          <w:sz w:val="24"/>
          <w:szCs w:val="24"/>
        </w:rPr>
        <w:t xml:space="preserve"> que </w:t>
      </w:r>
      <w:r w:rsidR="00A862C2" w:rsidRPr="003A1174">
        <w:rPr>
          <w:rFonts w:ascii="Garamond" w:hAnsi="Garamond" w:cs="Arial"/>
          <w:bCs/>
          <w:sz w:val="24"/>
          <w:szCs w:val="24"/>
        </w:rPr>
        <w:t>deve</w:t>
      </w:r>
      <w:r w:rsidR="00CA39B2" w:rsidRPr="003A1174">
        <w:rPr>
          <w:rFonts w:ascii="Garamond" w:hAnsi="Garamond" w:cs="Arial"/>
          <w:bCs/>
          <w:sz w:val="24"/>
          <w:szCs w:val="24"/>
        </w:rPr>
        <w:t xml:space="preserve">mos superar. </w:t>
      </w:r>
    </w:p>
    <w:p w:rsidR="00CA39B2" w:rsidRPr="003A1174" w:rsidRDefault="001D6B56" w:rsidP="008719D4">
      <w:pPr>
        <w:pStyle w:val="Prrafodelista"/>
        <w:suppressAutoHyphens w:val="0"/>
        <w:spacing w:before="240" w:line="240" w:lineRule="auto"/>
        <w:ind w:left="0"/>
        <w:contextualSpacing/>
        <w:jc w:val="both"/>
        <w:rPr>
          <w:rFonts w:ascii="Garamond" w:hAnsi="Garamond" w:cs="Arial"/>
          <w:color w:val="auto"/>
          <w:sz w:val="24"/>
          <w:szCs w:val="24"/>
          <w:lang w:val="pt-PT" w:eastAsia="es-VE"/>
        </w:rPr>
      </w:pPr>
      <w:r w:rsidRPr="003A1174">
        <w:rPr>
          <w:rStyle w:val="Textoennegrita"/>
          <w:rFonts w:ascii="Garamond" w:hAnsi="Garamond" w:cs="Arial"/>
          <w:b w:val="0"/>
          <w:color w:val="auto"/>
          <w:sz w:val="24"/>
          <w:szCs w:val="24"/>
          <w:lang w:val="pt-PT"/>
        </w:rPr>
        <w:t>A</w:t>
      </w:r>
      <w:r w:rsidR="00CA39B2" w:rsidRPr="003A1174">
        <w:rPr>
          <w:rFonts w:ascii="Garamond" w:hAnsi="Garamond" w:cs="Arial"/>
          <w:color w:val="auto"/>
          <w:sz w:val="24"/>
          <w:szCs w:val="24"/>
          <w:lang w:val="pt-PT" w:eastAsia="es-VE"/>
        </w:rPr>
        <w:t xml:space="preserve"> </w:t>
      </w:r>
      <w:r w:rsidR="006C6E85" w:rsidRPr="003A1174">
        <w:rPr>
          <w:rStyle w:val="Textoennegrita"/>
          <w:rFonts w:ascii="Garamond" w:hAnsi="Garamond" w:cs="Arial"/>
          <w:b w:val="0"/>
          <w:color w:val="auto"/>
          <w:sz w:val="24"/>
          <w:szCs w:val="24"/>
          <w:lang w:val="pt-PT"/>
        </w:rPr>
        <w:t>Provedoria</w:t>
      </w:r>
      <w:r w:rsidR="00CA39B2" w:rsidRPr="003A1174">
        <w:rPr>
          <w:rStyle w:val="Textoennegrita"/>
          <w:rFonts w:ascii="Garamond" w:hAnsi="Garamond" w:cs="Arial"/>
          <w:b w:val="0"/>
          <w:color w:val="auto"/>
          <w:sz w:val="24"/>
          <w:szCs w:val="24"/>
          <w:lang w:val="pt-PT"/>
        </w:rPr>
        <w:t xml:space="preserve"> </w:t>
      </w:r>
      <w:r w:rsidRPr="003A1174">
        <w:rPr>
          <w:rFonts w:ascii="Garamond" w:hAnsi="Garamond" w:cs="Arial"/>
          <w:color w:val="auto"/>
          <w:sz w:val="24"/>
          <w:szCs w:val="24"/>
          <w:lang w:val="pt-PT" w:eastAsia="es-VE"/>
        </w:rPr>
        <w:t>reconheceu</w:t>
      </w:r>
      <w:r w:rsidR="00CA39B2" w:rsidRPr="003A1174">
        <w:rPr>
          <w:rFonts w:ascii="Garamond" w:hAnsi="Garamond" w:cs="Arial"/>
          <w:color w:val="auto"/>
          <w:sz w:val="24"/>
          <w:szCs w:val="24"/>
          <w:lang w:val="pt-PT" w:eastAsia="es-VE"/>
        </w:rPr>
        <w:t xml:space="preserve"> </w:t>
      </w:r>
      <w:r w:rsidRPr="003A1174">
        <w:rPr>
          <w:rFonts w:ascii="Garamond" w:hAnsi="Garamond" w:cs="Arial"/>
          <w:color w:val="auto"/>
          <w:sz w:val="24"/>
          <w:szCs w:val="24"/>
          <w:lang w:val="pt-PT" w:eastAsia="es-VE"/>
        </w:rPr>
        <w:t>o</w:t>
      </w:r>
      <w:r w:rsidR="00CA39B2" w:rsidRPr="003A1174">
        <w:rPr>
          <w:rFonts w:ascii="Garamond" w:hAnsi="Garamond" w:cs="Arial"/>
          <w:color w:val="auto"/>
          <w:sz w:val="24"/>
          <w:szCs w:val="24"/>
          <w:lang w:val="pt-PT" w:eastAsia="es-VE"/>
        </w:rPr>
        <w:t xml:space="preserve"> </w:t>
      </w:r>
      <w:r w:rsidR="00381336" w:rsidRPr="003A1174">
        <w:rPr>
          <w:rFonts w:ascii="Garamond" w:hAnsi="Garamond" w:cs="Arial"/>
          <w:color w:val="auto"/>
          <w:sz w:val="24"/>
          <w:szCs w:val="24"/>
          <w:lang w:val="pt-PT" w:eastAsia="es-VE"/>
        </w:rPr>
        <w:t>progresso</w:t>
      </w:r>
      <w:r w:rsidR="00CA39B2" w:rsidRPr="003A1174">
        <w:rPr>
          <w:rFonts w:ascii="Garamond" w:hAnsi="Garamond" w:cs="Arial"/>
          <w:color w:val="auto"/>
          <w:sz w:val="24"/>
          <w:szCs w:val="24"/>
          <w:lang w:val="pt-PT" w:eastAsia="es-VE"/>
        </w:rPr>
        <w:t xml:space="preserve"> e</w:t>
      </w:r>
      <w:r w:rsidRPr="003A1174">
        <w:rPr>
          <w:rFonts w:ascii="Garamond" w:hAnsi="Garamond" w:cs="Arial"/>
          <w:color w:val="auto"/>
          <w:sz w:val="24"/>
          <w:szCs w:val="24"/>
          <w:lang w:val="pt-PT" w:eastAsia="es-VE"/>
        </w:rPr>
        <w:t>m</w:t>
      </w:r>
      <w:r w:rsidR="00CA39B2" w:rsidRPr="003A1174">
        <w:rPr>
          <w:rFonts w:ascii="Garamond" w:hAnsi="Garamond" w:cs="Arial"/>
          <w:color w:val="auto"/>
          <w:sz w:val="24"/>
          <w:szCs w:val="24"/>
          <w:lang w:val="pt-PT" w:eastAsia="es-VE"/>
        </w:rPr>
        <w:t xml:space="preserve"> </w:t>
      </w:r>
      <w:r w:rsidR="00EF645F" w:rsidRPr="003A1174">
        <w:rPr>
          <w:rFonts w:ascii="Garamond" w:hAnsi="Garamond" w:cs="Arial"/>
          <w:color w:val="auto"/>
          <w:sz w:val="24"/>
          <w:szCs w:val="24"/>
          <w:lang w:val="pt-PT" w:eastAsia="es-VE"/>
        </w:rPr>
        <w:t>matéria</w:t>
      </w:r>
      <w:r w:rsidR="00CA39B2" w:rsidRPr="003A1174">
        <w:rPr>
          <w:rFonts w:ascii="Garamond" w:hAnsi="Garamond" w:cs="Arial"/>
          <w:color w:val="auto"/>
          <w:sz w:val="24"/>
          <w:szCs w:val="24"/>
          <w:lang w:val="pt-PT" w:eastAsia="es-VE"/>
        </w:rPr>
        <w:t xml:space="preserve"> de </w:t>
      </w:r>
      <w:r w:rsidR="00886D6A" w:rsidRPr="003A1174">
        <w:rPr>
          <w:rFonts w:ascii="Garamond" w:hAnsi="Garamond" w:cs="Arial"/>
          <w:color w:val="auto"/>
          <w:sz w:val="24"/>
          <w:szCs w:val="24"/>
          <w:lang w:val="pt-PT" w:eastAsia="es-VE"/>
        </w:rPr>
        <w:t>direito</w:t>
      </w:r>
      <w:r w:rsidR="00CA39B2" w:rsidRPr="003A1174">
        <w:rPr>
          <w:rFonts w:ascii="Garamond" w:hAnsi="Garamond" w:cs="Arial"/>
          <w:color w:val="auto"/>
          <w:sz w:val="24"/>
          <w:szCs w:val="24"/>
          <w:lang w:val="pt-PT" w:eastAsia="es-VE"/>
        </w:rPr>
        <w:t xml:space="preserve">s </w:t>
      </w:r>
      <w:r w:rsidR="00497503" w:rsidRPr="003A1174">
        <w:rPr>
          <w:rFonts w:ascii="Garamond" w:hAnsi="Garamond" w:cs="Arial"/>
          <w:color w:val="auto"/>
          <w:sz w:val="24"/>
          <w:szCs w:val="24"/>
          <w:lang w:val="pt-PT" w:eastAsia="es-VE"/>
        </w:rPr>
        <w:t>das</w:t>
      </w:r>
      <w:r w:rsidR="00CA39B2" w:rsidRPr="003A1174">
        <w:rPr>
          <w:rFonts w:ascii="Garamond" w:hAnsi="Garamond" w:cs="Arial"/>
          <w:color w:val="auto"/>
          <w:sz w:val="24"/>
          <w:szCs w:val="24"/>
          <w:lang w:val="pt-PT" w:eastAsia="es-VE"/>
        </w:rPr>
        <w:t xml:space="preserve"> </w:t>
      </w:r>
      <w:r w:rsidR="00054EE0" w:rsidRPr="003A1174">
        <w:rPr>
          <w:rFonts w:ascii="Garamond" w:hAnsi="Garamond" w:cs="Arial"/>
          <w:color w:val="auto"/>
          <w:sz w:val="24"/>
          <w:szCs w:val="24"/>
          <w:lang w:val="pt-PT" w:eastAsia="es-VE"/>
        </w:rPr>
        <w:t>mulheres</w:t>
      </w:r>
      <w:r w:rsidR="00CA39B2" w:rsidRPr="003A1174">
        <w:rPr>
          <w:rFonts w:ascii="Garamond" w:hAnsi="Garamond" w:cs="Arial"/>
          <w:color w:val="auto"/>
          <w:sz w:val="24"/>
          <w:szCs w:val="24"/>
          <w:lang w:val="pt-PT" w:eastAsia="es-VE"/>
        </w:rPr>
        <w:t xml:space="preserve">, que </w:t>
      </w:r>
      <w:r w:rsidRPr="003A1174">
        <w:rPr>
          <w:rFonts w:ascii="Garamond" w:hAnsi="Garamond" w:cs="Arial"/>
          <w:color w:val="auto"/>
          <w:sz w:val="24"/>
          <w:szCs w:val="24"/>
          <w:lang w:val="pt-PT" w:eastAsia="es-VE"/>
        </w:rPr>
        <w:t>promove a</w:t>
      </w:r>
      <w:r w:rsidR="00CA39B2" w:rsidRPr="003A1174">
        <w:rPr>
          <w:rFonts w:ascii="Garamond" w:hAnsi="Garamond" w:cs="Arial"/>
          <w:color w:val="auto"/>
          <w:sz w:val="24"/>
          <w:szCs w:val="24"/>
          <w:lang w:val="pt-PT" w:eastAsia="es-VE"/>
        </w:rPr>
        <w:t xml:space="preserve"> </w:t>
      </w:r>
      <w:r w:rsidR="00886D6A" w:rsidRPr="003A1174">
        <w:rPr>
          <w:rFonts w:ascii="Garamond" w:hAnsi="Garamond" w:cs="Arial"/>
          <w:color w:val="auto"/>
          <w:sz w:val="24"/>
          <w:szCs w:val="24"/>
          <w:lang w:val="pt-PT" w:eastAsia="es-VE"/>
        </w:rPr>
        <w:t>proteção</w:t>
      </w:r>
      <w:r w:rsidR="00CA39B2" w:rsidRPr="003A1174">
        <w:rPr>
          <w:rFonts w:ascii="Garamond" w:hAnsi="Garamond" w:cs="Arial"/>
          <w:color w:val="auto"/>
          <w:sz w:val="24"/>
          <w:szCs w:val="24"/>
          <w:lang w:val="pt-PT" w:eastAsia="es-VE"/>
        </w:rPr>
        <w:t xml:space="preserve">, </w:t>
      </w:r>
      <w:r w:rsidR="002F5CD1" w:rsidRPr="003A1174">
        <w:rPr>
          <w:rFonts w:ascii="Garamond" w:hAnsi="Garamond" w:cs="Arial"/>
          <w:color w:val="auto"/>
          <w:sz w:val="24"/>
          <w:szCs w:val="24"/>
          <w:lang w:val="pt-PT" w:eastAsia="es-VE"/>
        </w:rPr>
        <w:t>promoção</w:t>
      </w:r>
      <w:r w:rsidR="00CA39B2" w:rsidRPr="003A1174">
        <w:rPr>
          <w:rFonts w:ascii="Garamond" w:hAnsi="Garamond" w:cs="Arial"/>
          <w:color w:val="auto"/>
          <w:sz w:val="24"/>
          <w:szCs w:val="24"/>
          <w:lang w:val="pt-PT" w:eastAsia="es-VE"/>
        </w:rPr>
        <w:t xml:space="preserve"> </w:t>
      </w:r>
      <w:r w:rsidR="000672E8" w:rsidRPr="003A1174">
        <w:rPr>
          <w:rFonts w:ascii="Garamond" w:hAnsi="Garamond" w:cs="Arial"/>
          <w:color w:val="auto"/>
          <w:sz w:val="24"/>
          <w:szCs w:val="24"/>
          <w:lang w:val="pt-PT" w:eastAsia="es-VE"/>
        </w:rPr>
        <w:t>e</w:t>
      </w:r>
      <w:r w:rsidR="00CA39B2" w:rsidRPr="003A1174">
        <w:rPr>
          <w:rFonts w:ascii="Garamond" w:hAnsi="Garamond" w:cs="Arial"/>
          <w:color w:val="auto"/>
          <w:sz w:val="24"/>
          <w:szCs w:val="24"/>
          <w:lang w:val="pt-PT" w:eastAsia="es-VE"/>
        </w:rPr>
        <w:t xml:space="preserve"> </w:t>
      </w:r>
      <w:r w:rsidR="002C7510" w:rsidRPr="003A1174">
        <w:rPr>
          <w:rFonts w:ascii="Garamond" w:hAnsi="Garamond" w:cs="Arial"/>
          <w:color w:val="auto"/>
          <w:sz w:val="24"/>
          <w:szCs w:val="24"/>
          <w:lang w:val="pt-PT" w:eastAsia="es-VE"/>
        </w:rPr>
        <w:t>difusão</w:t>
      </w:r>
      <w:r w:rsidR="00CA39B2" w:rsidRPr="003A1174">
        <w:rPr>
          <w:rFonts w:ascii="Garamond" w:hAnsi="Garamond" w:cs="Arial"/>
          <w:color w:val="auto"/>
          <w:sz w:val="24"/>
          <w:szCs w:val="24"/>
          <w:lang w:val="pt-PT" w:eastAsia="es-VE"/>
        </w:rPr>
        <w:t xml:space="preserve"> </w:t>
      </w:r>
      <w:r w:rsidR="00E85E59" w:rsidRPr="003A1174">
        <w:rPr>
          <w:rFonts w:ascii="Garamond" w:hAnsi="Garamond" w:cs="Arial"/>
          <w:color w:val="auto"/>
          <w:sz w:val="24"/>
          <w:szCs w:val="24"/>
          <w:lang w:val="pt-PT" w:eastAsia="es-VE"/>
        </w:rPr>
        <w:t>do</w:t>
      </w:r>
      <w:r w:rsidR="00CA39B2" w:rsidRPr="003A1174">
        <w:rPr>
          <w:rFonts w:ascii="Garamond" w:hAnsi="Garamond" w:cs="Arial"/>
          <w:color w:val="auto"/>
          <w:sz w:val="24"/>
          <w:szCs w:val="24"/>
          <w:lang w:val="pt-PT" w:eastAsia="es-VE"/>
        </w:rPr>
        <w:t xml:space="preserve"> </w:t>
      </w:r>
      <w:r w:rsidR="00886D6A" w:rsidRPr="003A1174">
        <w:rPr>
          <w:rFonts w:ascii="Garamond" w:hAnsi="Garamond" w:cs="Arial"/>
          <w:color w:val="auto"/>
          <w:sz w:val="24"/>
          <w:szCs w:val="24"/>
          <w:lang w:val="pt-PT" w:eastAsia="es-VE"/>
        </w:rPr>
        <w:t>direito</w:t>
      </w:r>
      <w:r w:rsidR="00CA39B2" w:rsidRPr="003A1174">
        <w:rPr>
          <w:rFonts w:ascii="Garamond" w:hAnsi="Garamond" w:cs="Arial"/>
          <w:color w:val="auto"/>
          <w:sz w:val="24"/>
          <w:szCs w:val="24"/>
          <w:lang w:val="pt-PT" w:eastAsia="es-VE"/>
        </w:rPr>
        <w:t xml:space="preserve"> </w:t>
      </w:r>
      <w:r w:rsidR="00497503" w:rsidRPr="003A1174">
        <w:rPr>
          <w:rFonts w:ascii="Garamond" w:hAnsi="Garamond" w:cs="Arial"/>
          <w:color w:val="auto"/>
          <w:sz w:val="24"/>
          <w:szCs w:val="24"/>
          <w:lang w:val="pt-PT" w:eastAsia="es-VE"/>
        </w:rPr>
        <w:t>das</w:t>
      </w:r>
      <w:r w:rsidR="00CA39B2" w:rsidRPr="003A1174">
        <w:rPr>
          <w:rFonts w:ascii="Garamond" w:hAnsi="Garamond" w:cs="Arial"/>
          <w:color w:val="auto"/>
          <w:sz w:val="24"/>
          <w:szCs w:val="24"/>
          <w:lang w:val="pt-PT" w:eastAsia="es-VE"/>
        </w:rPr>
        <w:t xml:space="preserve"> </w:t>
      </w:r>
      <w:r w:rsidR="00054EE0" w:rsidRPr="003A1174">
        <w:rPr>
          <w:rFonts w:ascii="Garamond" w:hAnsi="Garamond" w:cs="Arial"/>
          <w:color w:val="auto"/>
          <w:sz w:val="24"/>
          <w:szCs w:val="24"/>
          <w:lang w:val="pt-PT" w:eastAsia="es-VE"/>
        </w:rPr>
        <w:t>mulheres</w:t>
      </w:r>
      <w:r w:rsidR="00CA39B2" w:rsidRPr="003A1174">
        <w:rPr>
          <w:rFonts w:ascii="Garamond" w:hAnsi="Garamond" w:cs="Arial"/>
          <w:color w:val="auto"/>
          <w:sz w:val="24"/>
          <w:szCs w:val="24"/>
          <w:lang w:val="pt-PT" w:eastAsia="es-VE"/>
        </w:rPr>
        <w:t xml:space="preserve"> a </w:t>
      </w:r>
      <w:r w:rsidR="00AC3351" w:rsidRPr="003A1174">
        <w:rPr>
          <w:rFonts w:ascii="Garamond" w:hAnsi="Garamond" w:cs="Arial"/>
          <w:color w:val="auto"/>
          <w:sz w:val="24"/>
          <w:szCs w:val="24"/>
          <w:lang w:val="pt-PT" w:eastAsia="es-VE"/>
        </w:rPr>
        <w:t>viver</w:t>
      </w:r>
      <w:r w:rsidRPr="003A1174">
        <w:rPr>
          <w:rFonts w:ascii="Garamond" w:hAnsi="Garamond" w:cs="Arial"/>
          <w:color w:val="auto"/>
          <w:sz w:val="24"/>
          <w:szCs w:val="24"/>
          <w:lang w:val="pt-PT" w:eastAsia="es-VE"/>
        </w:rPr>
        <w:t>em um</w:t>
      </w:r>
      <w:r w:rsidR="00CA39B2" w:rsidRPr="003A1174">
        <w:rPr>
          <w:rFonts w:ascii="Garamond" w:hAnsi="Garamond" w:cs="Arial"/>
          <w:color w:val="auto"/>
          <w:sz w:val="24"/>
          <w:szCs w:val="24"/>
          <w:lang w:val="pt-PT" w:eastAsia="es-VE"/>
        </w:rPr>
        <w:t xml:space="preserve">a vida </w:t>
      </w:r>
      <w:r w:rsidR="00AF192F" w:rsidRPr="003A1174">
        <w:rPr>
          <w:rFonts w:ascii="Garamond" w:hAnsi="Garamond" w:cs="Arial"/>
          <w:color w:val="auto"/>
          <w:sz w:val="24"/>
          <w:szCs w:val="24"/>
          <w:lang w:val="pt-PT" w:eastAsia="es-VE"/>
        </w:rPr>
        <w:t>livre</w:t>
      </w:r>
      <w:r w:rsidR="00CA39B2" w:rsidRPr="003A1174">
        <w:rPr>
          <w:rFonts w:ascii="Garamond" w:hAnsi="Garamond" w:cs="Arial"/>
          <w:color w:val="auto"/>
          <w:sz w:val="24"/>
          <w:szCs w:val="24"/>
          <w:lang w:val="pt-PT" w:eastAsia="es-VE"/>
        </w:rPr>
        <w:t xml:space="preserve"> de toda</w:t>
      </w:r>
      <w:r w:rsidRPr="003A1174">
        <w:rPr>
          <w:rFonts w:ascii="Garamond" w:hAnsi="Garamond" w:cs="Arial"/>
          <w:color w:val="auto"/>
          <w:sz w:val="24"/>
          <w:szCs w:val="24"/>
          <w:lang w:val="pt-PT" w:eastAsia="es-VE"/>
        </w:rPr>
        <w:t xml:space="preserve">s as </w:t>
      </w:r>
      <w:r w:rsidR="00CA39B2" w:rsidRPr="003A1174">
        <w:rPr>
          <w:rFonts w:ascii="Garamond" w:hAnsi="Garamond" w:cs="Arial"/>
          <w:color w:val="auto"/>
          <w:sz w:val="24"/>
          <w:szCs w:val="24"/>
          <w:lang w:val="pt-PT" w:eastAsia="es-VE"/>
        </w:rPr>
        <w:t>forma</w:t>
      </w:r>
      <w:r w:rsidRPr="003A1174">
        <w:rPr>
          <w:rFonts w:ascii="Garamond" w:hAnsi="Garamond" w:cs="Arial"/>
          <w:color w:val="auto"/>
          <w:sz w:val="24"/>
          <w:szCs w:val="24"/>
          <w:lang w:val="pt-PT" w:eastAsia="es-VE"/>
        </w:rPr>
        <w:t>s</w:t>
      </w:r>
      <w:r w:rsidR="00CA39B2" w:rsidRPr="003A1174">
        <w:rPr>
          <w:rFonts w:ascii="Garamond" w:hAnsi="Garamond" w:cs="Arial"/>
          <w:color w:val="auto"/>
          <w:sz w:val="24"/>
          <w:szCs w:val="24"/>
          <w:lang w:val="pt-PT" w:eastAsia="es-VE"/>
        </w:rPr>
        <w:t xml:space="preserve"> de </w:t>
      </w:r>
      <w:r w:rsidR="0017447A" w:rsidRPr="003A1174">
        <w:rPr>
          <w:rFonts w:ascii="Garamond" w:hAnsi="Garamond" w:cs="Arial"/>
          <w:color w:val="auto"/>
          <w:sz w:val="24"/>
          <w:szCs w:val="24"/>
          <w:lang w:val="pt-PT" w:eastAsia="es-VE"/>
        </w:rPr>
        <w:t>discriminação</w:t>
      </w:r>
      <w:r w:rsidR="00CA39B2" w:rsidRPr="003A1174">
        <w:rPr>
          <w:rFonts w:ascii="Garamond" w:hAnsi="Garamond" w:cs="Arial"/>
          <w:color w:val="auto"/>
          <w:sz w:val="24"/>
          <w:szCs w:val="24"/>
          <w:lang w:val="pt-PT" w:eastAsia="es-VE"/>
        </w:rPr>
        <w:t xml:space="preserve">. </w:t>
      </w:r>
      <w:r w:rsidR="00E85E59" w:rsidRPr="003A1174">
        <w:rPr>
          <w:rFonts w:ascii="Garamond" w:hAnsi="Garamond" w:cs="Arial"/>
          <w:color w:val="auto"/>
          <w:sz w:val="24"/>
          <w:szCs w:val="24"/>
          <w:lang w:val="pt-PT" w:eastAsia="es-VE"/>
        </w:rPr>
        <w:t>Do</w:t>
      </w:r>
      <w:r w:rsidR="00CA39B2" w:rsidRPr="003A1174">
        <w:rPr>
          <w:rFonts w:ascii="Garamond" w:hAnsi="Garamond" w:cs="Arial"/>
          <w:color w:val="auto"/>
          <w:sz w:val="24"/>
          <w:szCs w:val="24"/>
          <w:lang w:val="pt-PT" w:eastAsia="es-VE"/>
        </w:rPr>
        <w:t xml:space="preserve"> </w:t>
      </w:r>
      <w:r w:rsidR="00023AD6" w:rsidRPr="003A1174">
        <w:rPr>
          <w:rFonts w:ascii="Garamond" w:hAnsi="Garamond" w:cs="Arial"/>
          <w:color w:val="auto"/>
          <w:sz w:val="24"/>
          <w:szCs w:val="24"/>
          <w:lang w:val="pt-PT" w:eastAsia="es-VE"/>
        </w:rPr>
        <w:t>mesmo</w:t>
      </w:r>
      <w:r w:rsidR="00CA39B2" w:rsidRPr="003A1174">
        <w:rPr>
          <w:rFonts w:ascii="Garamond" w:hAnsi="Garamond" w:cs="Arial"/>
          <w:color w:val="auto"/>
          <w:sz w:val="24"/>
          <w:szCs w:val="24"/>
          <w:lang w:val="pt-PT" w:eastAsia="es-VE"/>
        </w:rPr>
        <w:t xml:space="preserve"> modo, </w:t>
      </w:r>
      <w:r w:rsidRPr="003A1174">
        <w:rPr>
          <w:rFonts w:ascii="Garamond" w:hAnsi="Garamond" w:cs="Arial"/>
          <w:color w:val="auto"/>
          <w:sz w:val="24"/>
          <w:szCs w:val="24"/>
          <w:lang w:val="pt-PT" w:eastAsia="es-VE"/>
        </w:rPr>
        <w:t xml:space="preserve">manifestou as </w:t>
      </w:r>
      <w:r w:rsidR="00CA39B2" w:rsidRPr="003A1174">
        <w:rPr>
          <w:rFonts w:ascii="Garamond" w:hAnsi="Garamond" w:cs="Arial"/>
          <w:color w:val="auto"/>
          <w:sz w:val="24"/>
          <w:szCs w:val="24"/>
          <w:lang w:val="pt-PT" w:eastAsia="es-VE"/>
        </w:rPr>
        <w:t>su</w:t>
      </w:r>
      <w:r w:rsidRPr="003A1174">
        <w:rPr>
          <w:rFonts w:ascii="Garamond" w:hAnsi="Garamond" w:cs="Arial"/>
          <w:color w:val="auto"/>
          <w:sz w:val="24"/>
          <w:szCs w:val="24"/>
          <w:lang w:val="pt-PT" w:eastAsia="es-VE"/>
        </w:rPr>
        <w:t>a</w:t>
      </w:r>
      <w:r w:rsidR="00CA39B2" w:rsidRPr="003A1174">
        <w:rPr>
          <w:rFonts w:ascii="Garamond" w:hAnsi="Garamond" w:cs="Arial"/>
          <w:color w:val="auto"/>
          <w:sz w:val="24"/>
          <w:szCs w:val="24"/>
          <w:lang w:val="pt-PT" w:eastAsia="es-VE"/>
        </w:rPr>
        <w:t xml:space="preserve">s </w:t>
      </w:r>
      <w:r w:rsidRPr="003A1174">
        <w:rPr>
          <w:rFonts w:ascii="Garamond" w:hAnsi="Garamond" w:cs="Arial"/>
          <w:color w:val="auto"/>
          <w:sz w:val="24"/>
          <w:szCs w:val="24"/>
          <w:lang w:val="pt-PT" w:eastAsia="es-VE"/>
        </w:rPr>
        <w:t xml:space="preserve">considerações sobre </w:t>
      </w:r>
      <w:r w:rsidR="00CA39B2" w:rsidRPr="003A1174">
        <w:rPr>
          <w:rFonts w:ascii="Garamond" w:hAnsi="Garamond" w:cs="Arial"/>
          <w:color w:val="auto"/>
          <w:sz w:val="24"/>
          <w:szCs w:val="24"/>
          <w:lang w:val="pt-PT" w:eastAsia="es-VE"/>
        </w:rPr>
        <w:t xml:space="preserve">a </w:t>
      </w:r>
      <w:r w:rsidR="006506C6" w:rsidRPr="003A1174">
        <w:rPr>
          <w:rFonts w:ascii="Garamond" w:hAnsi="Garamond" w:cs="Arial"/>
          <w:color w:val="auto"/>
          <w:sz w:val="24"/>
          <w:szCs w:val="24"/>
          <w:lang w:val="pt-PT" w:eastAsia="es-VE"/>
        </w:rPr>
        <w:t>necessidade</w:t>
      </w:r>
      <w:r w:rsidR="00CA39B2" w:rsidRPr="003A1174">
        <w:rPr>
          <w:rFonts w:ascii="Garamond" w:hAnsi="Garamond" w:cs="Arial"/>
          <w:color w:val="auto"/>
          <w:sz w:val="24"/>
          <w:szCs w:val="24"/>
          <w:lang w:val="pt-PT" w:eastAsia="es-VE"/>
        </w:rPr>
        <w:t xml:space="preserve"> de </w:t>
      </w:r>
      <w:r w:rsidRPr="003A1174">
        <w:rPr>
          <w:rFonts w:ascii="Garamond" w:hAnsi="Garamond" w:cs="Arial"/>
          <w:color w:val="auto"/>
          <w:sz w:val="24"/>
          <w:szCs w:val="24"/>
          <w:lang w:val="pt-PT" w:eastAsia="es-VE"/>
        </w:rPr>
        <w:t xml:space="preserve">continuar a </w:t>
      </w:r>
      <w:r w:rsidR="00CA39B2" w:rsidRPr="003A1174">
        <w:rPr>
          <w:rFonts w:ascii="Garamond" w:hAnsi="Garamond" w:cs="Arial"/>
          <w:color w:val="auto"/>
          <w:sz w:val="24"/>
          <w:szCs w:val="24"/>
          <w:lang w:val="pt-PT" w:eastAsia="es-VE"/>
        </w:rPr>
        <w:t>fortalec</w:t>
      </w:r>
      <w:r w:rsidRPr="003A1174">
        <w:rPr>
          <w:rFonts w:ascii="Garamond" w:hAnsi="Garamond" w:cs="Arial"/>
          <w:color w:val="auto"/>
          <w:sz w:val="24"/>
          <w:szCs w:val="24"/>
          <w:lang w:val="pt-PT" w:eastAsia="es-VE"/>
        </w:rPr>
        <w:t xml:space="preserve">er </w:t>
      </w:r>
      <w:r w:rsidR="00CA39B2" w:rsidRPr="003A1174">
        <w:rPr>
          <w:rFonts w:ascii="Garamond" w:hAnsi="Garamond" w:cs="Arial"/>
          <w:color w:val="auto"/>
          <w:sz w:val="24"/>
          <w:szCs w:val="24"/>
          <w:lang w:val="pt-PT" w:eastAsia="es-VE"/>
        </w:rPr>
        <w:t xml:space="preserve">mecanismos </w:t>
      </w:r>
      <w:r w:rsidR="00C04CA4" w:rsidRPr="003A1174">
        <w:rPr>
          <w:rFonts w:ascii="Garamond" w:hAnsi="Garamond" w:cs="Arial"/>
          <w:color w:val="auto"/>
          <w:sz w:val="24"/>
          <w:szCs w:val="24"/>
          <w:lang w:val="pt-PT" w:eastAsia="es-VE"/>
        </w:rPr>
        <w:t>institucionais</w:t>
      </w:r>
      <w:r w:rsidR="00CA39B2" w:rsidRPr="003A1174">
        <w:rPr>
          <w:rFonts w:ascii="Garamond" w:hAnsi="Garamond" w:cs="Arial"/>
          <w:color w:val="auto"/>
          <w:sz w:val="24"/>
          <w:szCs w:val="24"/>
          <w:lang w:val="pt-PT" w:eastAsia="es-VE"/>
        </w:rPr>
        <w:t xml:space="preserve"> </w:t>
      </w:r>
      <w:r w:rsidR="00CA39B2" w:rsidRPr="003A1174">
        <w:rPr>
          <w:rFonts w:ascii="Garamond" w:hAnsi="Garamond" w:cs="Arial"/>
          <w:bCs/>
          <w:color w:val="auto"/>
          <w:sz w:val="24"/>
          <w:szCs w:val="24"/>
          <w:lang w:val="pt-PT" w:eastAsia="es-VE"/>
        </w:rPr>
        <w:t>que garant</w:t>
      </w:r>
      <w:r w:rsidRPr="003A1174">
        <w:rPr>
          <w:rFonts w:ascii="Garamond" w:hAnsi="Garamond" w:cs="Arial"/>
          <w:bCs/>
          <w:color w:val="auto"/>
          <w:sz w:val="24"/>
          <w:szCs w:val="24"/>
          <w:lang w:val="pt-PT" w:eastAsia="es-VE"/>
        </w:rPr>
        <w:t xml:space="preserve">am, </w:t>
      </w:r>
      <w:r w:rsidR="00CA39B2" w:rsidRPr="003A1174">
        <w:rPr>
          <w:rFonts w:ascii="Garamond" w:hAnsi="Garamond" w:cs="Arial"/>
          <w:bCs/>
          <w:color w:val="auto"/>
          <w:sz w:val="24"/>
          <w:szCs w:val="24"/>
          <w:lang w:val="pt-PT" w:eastAsia="es-VE"/>
        </w:rPr>
        <w:t>de facto</w:t>
      </w:r>
      <w:r w:rsidRPr="003A1174">
        <w:rPr>
          <w:rFonts w:ascii="Garamond" w:hAnsi="Garamond" w:cs="Arial"/>
          <w:bCs/>
          <w:color w:val="auto"/>
          <w:sz w:val="24"/>
          <w:szCs w:val="24"/>
          <w:lang w:val="pt-PT" w:eastAsia="es-VE"/>
        </w:rPr>
        <w:t>,</w:t>
      </w:r>
      <w:r w:rsidR="00CA39B2" w:rsidRPr="003A1174">
        <w:rPr>
          <w:rFonts w:ascii="Garamond" w:hAnsi="Garamond" w:cs="Arial"/>
          <w:bCs/>
          <w:color w:val="auto"/>
          <w:sz w:val="24"/>
          <w:szCs w:val="24"/>
          <w:lang w:val="pt-PT" w:eastAsia="es-VE"/>
        </w:rPr>
        <w:t xml:space="preserve"> a </w:t>
      </w:r>
      <w:r w:rsidR="00964875" w:rsidRPr="003A1174">
        <w:rPr>
          <w:rFonts w:ascii="Garamond" w:hAnsi="Garamond" w:cs="Arial"/>
          <w:bCs/>
          <w:color w:val="auto"/>
          <w:sz w:val="24"/>
          <w:szCs w:val="24"/>
          <w:lang w:val="pt-PT" w:eastAsia="es-VE"/>
        </w:rPr>
        <w:t>superação</w:t>
      </w:r>
      <w:r w:rsidR="00CA39B2" w:rsidRPr="003A1174">
        <w:rPr>
          <w:rFonts w:ascii="Garamond" w:hAnsi="Garamond" w:cs="Arial"/>
          <w:bCs/>
          <w:color w:val="auto"/>
          <w:sz w:val="24"/>
          <w:szCs w:val="24"/>
          <w:lang w:val="pt-PT" w:eastAsia="es-VE"/>
        </w:rPr>
        <w:t xml:space="preserve"> </w:t>
      </w:r>
      <w:r w:rsidR="00497503" w:rsidRPr="003A1174">
        <w:rPr>
          <w:rFonts w:ascii="Garamond" w:hAnsi="Garamond" w:cs="Arial"/>
          <w:bCs/>
          <w:color w:val="auto"/>
          <w:sz w:val="24"/>
          <w:szCs w:val="24"/>
          <w:lang w:val="pt-PT" w:eastAsia="es-VE"/>
        </w:rPr>
        <w:t>das</w:t>
      </w:r>
      <w:r w:rsidR="00CA39B2" w:rsidRPr="003A1174">
        <w:rPr>
          <w:rFonts w:ascii="Garamond" w:hAnsi="Garamond" w:cs="Arial"/>
          <w:bCs/>
          <w:color w:val="auto"/>
          <w:sz w:val="24"/>
          <w:szCs w:val="24"/>
          <w:lang w:val="pt-PT" w:eastAsia="es-VE"/>
        </w:rPr>
        <w:t xml:space="preserve"> brechas que persiste</w:t>
      </w:r>
      <w:r w:rsidRPr="003A1174">
        <w:rPr>
          <w:rFonts w:ascii="Garamond" w:hAnsi="Garamond" w:cs="Arial"/>
          <w:bCs/>
          <w:color w:val="auto"/>
          <w:sz w:val="24"/>
          <w:szCs w:val="24"/>
          <w:lang w:val="pt-PT" w:eastAsia="es-VE"/>
        </w:rPr>
        <w:t xml:space="preserve">m para </w:t>
      </w:r>
      <w:r w:rsidR="00282F38" w:rsidRPr="003A1174">
        <w:rPr>
          <w:rFonts w:ascii="Garamond" w:hAnsi="Garamond" w:cs="Arial"/>
          <w:bCs/>
          <w:color w:val="auto"/>
          <w:sz w:val="24"/>
          <w:szCs w:val="24"/>
          <w:lang w:val="pt-PT" w:eastAsia="es-VE"/>
        </w:rPr>
        <w:t xml:space="preserve">garantir o exercício </w:t>
      </w:r>
      <w:r w:rsidR="00CA39B2" w:rsidRPr="003A1174">
        <w:rPr>
          <w:rFonts w:ascii="Garamond" w:hAnsi="Garamond" w:cs="Arial"/>
          <w:bCs/>
          <w:color w:val="auto"/>
          <w:sz w:val="24"/>
          <w:szCs w:val="24"/>
          <w:lang w:val="pt-PT" w:eastAsia="es-VE"/>
        </w:rPr>
        <w:t xml:space="preserve">pleno </w:t>
      </w:r>
      <w:r w:rsidR="00497503" w:rsidRPr="003A1174">
        <w:rPr>
          <w:rFonts w:ascii="Garamond" w:hAnsi="Garamond" w:cs="Arial"/>
          <w:bCs/>
          <w:color w:val="auto"/>
          <w:sz w:val="24"/>
          <w:szCs w:val="24"/>
          <w:lang w:val="pt-PT" w:eastAsia="es-VE"/>
        </w:rPr>
        <w:t>dos</w:t>
      </w:r>
      <w:r w:rsidR="00CA39B2" w:rsidRPr="003A1174">
        <w:rPr>
          <w:rFonts w:ascii="Garamond" w:hAnsi="Garamond" w:cs="Arial"/>
          <w:bCs/>
          <w:color w:val="auto"/>
          <w:sz w:val="24"/>
          <w:szCs w:val="24"/>
          <w:lang w:val="pt-PT" w:eastAsia="es-VE"/>
        </w:rPr>
        <w:t xml:space="preserve"> </w:t>
      </w:r>
      <w:r w:rsidR="00886D6A" w:rsidRPr="003A1174">
        <w:rPr>
          <w:rFonts w:ascii="Garamond" w:hAnsi="Garamond" w:cs="Arial"/>
          <w:bCs/>
          <w:color w:val="auto"/>
          <w:sz w:val="24"/>
          <w:szCs w:val="24"/>
          <w:lang w:val="pt-PT" w:eastAsia="es-VE"/>
        </w:rPr>
        <w:t>direito</w:t>
      </w:r>
      <w:r w:rsidR="00CA39B2" w:rsidRPr="003A1174">
        <w:rPr>
          <w:rFonts w:ascii="Garamond" w:hAnsi="Garamond" w:cs="Arial"/>
          <w:bCs/>
          <w:color w:val="auto"/>
          <w:sz w:val="24"/>
          <w:szCs w:val="24"/>
          <w:lang w:val="pt-PT" w:eastAsia="es-VE"/>
        </w:rPr>
        <w:t xml:space="preserve">s </w:t>
      </w:r>
      <w:r w:rsidR="00497503" w:rsidRPr="003A1174">
        <w:rPr>
          <w:rFonts w:ascii="Garamond" w:hAnsi="Garamond" w:cs="Arial"/>
          <w:bCs/>
          <w:color w:val="auto"/>
          <w:sz w:val="24"/>
          <w:szCs w:val="24"/>
          <w:lang w:val="pt-PT" w:eastAsia="es-VE"/>
        </w:rPr>
        <w:t>das</w:t>
      </w:r>
      <w:r w:rsidR="00CA39B2" w:rsidRPr="003A1174">
        <w:rPr>
          <w:rFonts w:ascii="Garamond" w:hAnsi="Garamond" w:cs="Arial"/>
          <w:bCs/>
          <w:color w:val="auto"/>
          <w:sz w:val="24"/>
          <w:szCs w:val="24"/>
          <w:lang w:val="pt-PT" w:eastAsia="es-VE"/>
        </w:rPr>
        <w:t xml:space="preserve"> </w:t>
      </w:r>
      <w:r w:rsidR="00054EE0" w:rsidRPr="003A1174">
        <w:rPr>
          <w:rFonts w:ascii="Garamond" w:hAnsi="Garamond" w:cs="Arial"/>
          <w:bCs/>
          <w:color w:val="auto"/>
          <w:sz w:val="24"/>
          <w:szCs w:val="24"/>
          <w:lang w:val="pt-PT" w:eastAsia="es-VE"/>
        </w:rPr>
        <w:t>mulheres</w:t>
      </w:r>
      <w:r w:rsidR="00CA39B2" w:rsidRPr="003A1174">
        <w:rPr>
          <w:rFonts w:ascii="Garamond" w:hAnsi="Garamond" w:cs="Arial"/>
          <w:bCs/>
          <w:color w:val="auto"/>
          <w:sz w:val="24"/>
          <w:szCs w:val="24"/>
          <w:lang w:val="pt-PT" w:eastAsia="es-VE"/>
        </w:rPr>
        <w:t>. E</w:t>
      </w:r>
      <w:r w:rsidR="00282F38" w:rsidRPr="003A1174">
        <w:rPr>
          <w:rFonts w:ascii="Garamond" w:hAnsi="Garamond" w:cs="Arial"/>
          <w:bCs/>
          <w:color w:val="auto"/>
          <w:sz w:val="24"/>
          <w:szCs w:val="24"/>
          <w:lang w:val="pt-PT" w:eastAsia="es-VE"/>
        </w:rPr>
        <w:t>m</w:t>
      </w:r>
      <w:r w:rsidR="00CA39B2" w:rsidRPr="003A1174">
        <w:rPr>
          <w:rFonts w:ascii="Garamond" w:hAnsi="Garamond" w:cs="Arial"/>
          <w:bCs/>
          <w:color w:val="auto"/>
          <w:sz w:val="24"/>
          <w:szCs w:val="24"/>
          <w:lang w:val="pt-PT" w:eastAsia="es-VE"/>
        </w:rPr>
        <w:t xml:space="preserve"> </w:t>
      </w:r>
      <w:r w:rsidR="00497503" w:rsidRPr="003A1174">
        <w:rPr>
          <w:rFonts w:ascii="Garamond" w:hAnsi="Garamond" w:cs="Arial"/>
          <w:bCs/>
          <w:color w:val="auto"/>
          <w:sz w:val="24"/>
          <w:szCs w:val="24"/>
          <w:lang w:val="pt-PT" w:eastAsia="es-VE"/>
        </w:rPr>
        <w:t>fevereiro</w:t>
      </w:r>
      <w:r w:rsidR="00282F38" w:rsidRPr="003A1174">
        <w:rPr>
          <w:rFonts w:ascii="Garamond" w:hAnsi="Garamond" w:cs="Arial"/>
          <w:bCs/>
          <w:color w:val="auto"/>
          <w:sz w:val="24"/>
          <w:szCs w:val="24"/>
          <w:lang w:val="pt-PT" w:eastAsia="es-VE"/>
        </w:rPr>
        <w:t xml:space="preserve"> de 2014, </w:t>
      </w:r>
      <w:r w:rsidR="00CA39B2" w:rsidRPr="003A1174">
        <w:rPr>
          <w:rFonts w:ascii="Garamond" w:hAnsi="Garamond" w:cs="Arial"/>
          <w:bCs/>
          <w:color w:val="auto"/>
          <w:sz w:val="24"/>
          <w:szCs w:val="24"/>
          <w:lang w:val="pt-PT" w:eastAsia="es-VE"/>
        </w:rPr>
        <w:t xml:space="preserve">a </w:t>
      </w:r>
      <w:r w:rsidR="006C6E85" w:rsidRPr="003A1174">
        <w:rPr>
          <w:rFonts w:ascii="Garamond" w:hAnsi="Garamond" w:cs="Arial"/>
          <w:bCs/>
          <w:color w:val="auto"/>
          <w:sz w:val="24"/>
          <w:szCs w:val="24"/>
          <w:lang w:val="pt-PT" w:eastAsia="es-VE"/>
        </w:rPr>
        <w:t>Provedoria</w:t>
      </w:r>
      <w:r w:rsidR="00CA39B2" w:rsidRPr="003A1174">
        <w:rPr>
          <w:rFonts w:ascii="Garamond" w:hAnsi="Garamond" w:cs="Arial"/>
          <w:bCs/>
          <w:color w:val="auto"/>
          <w:sz w:val="24"/>
          <w:szCs w:val="24"/>
          <w:lang w:val="pt-PT" w:eastAsia="es-VE"/>
        </w:rPr>
        <w:t xml:space="preserve"> </w:t>
      </w:r>
      <w:r w:rsidR="000C6A23">
        <w:rPr>
          <w:rFonts w:ascii="Garamond" w:hAnsi="Garamond" w:cs="Arial"/>
          <w:bCs/>
          <w:color w:val="auto"/>
          <w:sz w:val="24"/>
          <w:szCs w:val="24"/>
          <w:lang w:val="pt-PT" w:eastAsia="es-VE"/>
        </w:rPr>
        <w:t xml:space="preserve">disponibilizou </w:t>
      </w:r>
      <w:r w:rsidR="00282F38" w:rsidRPr="003A1174">
        <w:rPr>
          <w:rStyle w:val="Textoennegrita"/>
          <w:rFonts w:ascii="Garamond" w:hAnsi="Garamond" w:cs="Arial"/>
          <w:b w:val="0"/>
          <w:color w:val="auto"/>
          <w:sz w:val="24"/>
          <w:szCs w:val="24"/>
          <w:lang w:val="pt-PT"/>
        </w:rPr>
        <w:t xml:space="preserve">a todas </w:t>
      </w:r>
      <w:r w:rsidR="00CA39B2" w:rsidRPr="003A1174">
        <w:rPr>
          <w:rStyle w:val="Textoennegrita"/>
          <w:rFonts w:ascii="Garamond" w:hAnsi="Garamond" w:cs="Arial"/>
          <w:b w:val="0"/>
          <w:color w:val="auto"/>
          <w:sz w:val="24"/>
          <w:szCs w:val="24"/>
          <w:lang w:val="pt-PT"/>
        </w:rPr>
        <w:t>as sedes esta</w:t>
      </w:r>
      <w:r w:rsidR="00282F38" w:rsidRPr="003A1174">
        <w:rPr>
          <w:rStyle w:val="Textoennegrita"/>
          <w:rFonts w:ascii="Garamond" w:hAnsi="Garamond" w:cs="Arial"/>
          <w:b w:val="0"/>
          <w:color w:val="auto"/>
          <w:sz w:val="24"/>
          <w:szCs w:val="24"/>
          <w:lang w:val="pt-PT"/>
        </w:rPr>
        <w:t>tais</w:t>
      </w:r>
      <w:r w:rsidR="000C6A23">
        <w:rPr>
          <w:rStyle w:val="Textoennegrita"/>
          <w:rFonts w:ascii="Garamond" w:hAnsi="Garamond" w:cs="Arial"/>
          <w:b w:val="0"/>
          <w:color w:val="auto"/>
          <w:sz w:val="24"/>
          <w:szCs w:val="24"/>
          <w:lang w:val="pt-PT"/>
        </w:rPr>
        <w:t>,</w:t>
      </w:r>
      <w:r w:rsidR="00CA39B2" w:rsidRPr="003A1174">
        <w:rPr>
          <w:rStyle w:val="Textoennegrita"/>
          <w:rFonts w:ascii="Garamond" w:hAnsi="Garamond" w:cs="Arial"/>
          <w:b w:val="0"/>
          <w:color w:val="auto"/>
          <w:sz w:val="24"/>
          <w:szCs w:val="24"/>
          <w:lang w:val="pt-PT"/>
        </w:rPr>
        <w:t xml:space="preserve"> a </w:t>
      </w:r>
      <w:r w:rsidR="0017447A" w:rsidRPr="003A1174">
        <w:rPr>
          <w:rStyle w:val="Textoennegrita"/>
          <w:rFonts w:ascii="Garamond" w:hAnsi="Garamond" w:cs="Arial"/>
          <w:b w:val="0"/>
          <w:color w:val="auto"/>
          <w:sz w:val="24"/>
          <w:szCs w:val="24"/>
          <w:lang w:val="pt-PT"/>
        </w:rPr>
        <w:t>nível</w:t>
      </w:r>
      <w:r w:rsidR="00282F38" w:rsidRPr="003A1174">
        <w:rPr>
          <w:rStyle w:val="Textoennegrita"/>
          <w:rFonts w:ascii="Garamond" w:hAnsi="Garamond" w:cs="Arial"/>
          <w:b w:val="0"/>
          <w:color w:val="auto"/>
          <w:sz w:val="24"/>
          <w:szCs w:val="24"/>
          <w:lang w:val="pt-PT"/>
        </w:rPr>
        <w:t xml:space="preserve"> nacional, </w:t>
      </w:r>
      <w:r w:rsidR="00CA39B2" w:rsidRPr="003A1174">
        <w:rPr>
          <w:rStyle w:val="Textoennegrita"/>
          <w:rFonts w:ascii="Garamond" w:hAnsi="Garamond" w:cs="Arial"/>
          <w:b w:val="0"/>
          <w:color w:val="auto"/>
          <w:sz w:val="24"/>
          <w:szCs w:val="24"/>
          <w:lang w:val="pt-PT"/>
        </w:rPr>
        <w:t xml:space="preserve">a </w:t>
      </w:r>
      <w:r w:rsidR="00C30647" w:rsidRPr="003A1174">
        <w:rPr>
          <w:rStyle w:val="Textoennegrita"/>
          <w:rFonts w:ascii="Garamond" w:hAnsi="Garamond" w:cs="Arial"/>
          <w:b w:val="0"/>
          <w:color w:val="auto"/>
          <w:sz w:val="24"/>
          <w:szCs w:val="24"/>
          <w:lang w:val="pt-PT"/>
        </w:rPr>
        <w:t>declaração</w:t>
      </w:r>
      <w:r w:rsidR="00CA39B2" w:rsidRPr="003A1174">
        <w:rPr>
          <w:rStyle w:val="Textoennegrita"/>
          <w:rFonts w:ascii="Garamond" w:hAnsi="Garamond" w:cs="Arial"/>
          <w:b w:val="0"/>
          <w:color w:val="auto"/>
          <w:sz w:val="24"/>
          <w:szCs w:val="24"/>
          <w:lang w:val="pt-PT"/>
        </w:rPr>
        <w:t xml:space="preserve"> </w:t>
      </w:r>
      <w:r w:rsidR="000C6A23">
        <w:rPr>
          <w:rFonts w:ascii="Garamond" w:hAnsi="Garamond" w:cs="Arial"/>
          <w:color w:val="auto"/>
          <w:sz w:val="24"/>
          <w:szCs w:val="24"/>
          <w:lang w:val="pt-PT"/>
        </w:rPr>
        <w:t>«</w:t>
      </w:r>
      <w:r w:rsidR="00CF4C35" w:rsidRPr="003A1174">
        <w:rPr>
          <w:rFonts w:ascii="Garamond" w:hAnsi="Garamond" w:cs="Arial"/>
          <w:color w:val="auto"/>
          <w:sz w:val="24"/>
          <w:szCs w:val="24"/>
          <w:lang w:val="pt-PT"/>
        </w:rPr>
        <w:t>Diligência Devida</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contra a</w:t>
      </w:r>
      <w:r w:rsidR="00CA39B2" w:rsidRPr="003A1174">
        <w:rPr>
          <w:rFonts w:ascii="Garamond" w:hAnsi="Garamond" w:cs="Arial"/>
          <w:color w:val="auto"/>
          <w:sz w:val="24"/>
          <w:szCs w:val="24"/>
          <w:lang w:val="pt-PT"/>
        </w:rPr>
        <w:t xml:space="preserve">s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w:t>
      </w:r>
      <w:r w:rsidR="00282F38" w:rsidRPr="003A1174">
        <w:rPr>
          <w:rFonts w:ascii="Garamond" w:hAnsi="Garamond" w:cs="Arial"/>
          <w:color w:val="auto"/>
          <w:sz w:val="24"/>
          <w:szCs w:val="24"/>
          <w:lang w:val="pt-PT"/>
        </w:rPr>
        <w:t xml:space="preserve">para um acesso </w:t>
      </w:r>
      <w:r w:rsidR="00CA39B2" w:rsidRPr="003A1174">
        <w:rPr>
          <w:rFonts w:ascii="Garamond" w:hAnsi="Garamond" w:cs="Arial"/>
          <w:color w:val="auto"/>
          <w:sz w:val="24"/>
          <w:szCs w:val="24"/>
          <w:lang w:val="pt-PT"/>
        </w:rPr>
        <w:t xml:space="preserve">real </w:t>
      </w:r>
      <w:r w:rsidR="00BB2B00" w:rsidRPr="003A1174">
        <w:rPr>
          <w:rFonts w:ascii="Garamond" w:hAnsi="Garamond" w:cs="Arial"/>
          <w:color w:val="auto"/>
          <w:sz w:val="24"/>
          <w:szCs w:val="24"/>
          <w:lang w:val="pt-PT"/>
        </w:rPr>
        <w:t>à</w:t>
      </w:r>
      <w:r w:rsidR="00CA39B2"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0C6A23">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282F38" w:rsidRPr="003A1174">
        <w:rPr>
          <w:rFonts w:ascii="Garamond" w:hAnsi="Garamond" w:cs="Arial"/>
          <w:color w:val="auto"/>
          <w:sz w:val="24"/>
          <w:szCs w:val="24"/>
          <w:lang w:val="pt-PT"/>
        </w:rPr>
        <w:t xml:space="preserve">assinada </w:t>
      </w:r>
      <w:r w:rsidR="00275092" w:rsidRPr="003A1174">
        <w:rPr>
          <w:rFonts w:ascii="Garamond" w:hAnsi="Garamond" w:cs="Arial"/>
          <w:color w:val="auto"/>
          <w:sz w:val="24"/>
          <w:szCs w:val="24"/>
          <w:lang w:val="pt-PT"/>
        </w:rPr>
        <w:t>pela</w:t>
      </w:r>
      <w:r w:rsidR="00CA39B2" w:rsidRPr="003A1174">
        <w:rPr>
          <w:rFonts w:ascii="Garamond" w:hAnsi="Garamond" w:cs="Arial"/>
          <w:color w:val="auto"/>
          <w:sz w:val="24"/>
          <w:szCs w:val="24"/>
          <w:lang w:val="pt-PT"/>
        </w:rPr>
        <w:t xml:space="preserve"> </w:t>
      </w:r>
      <w:r w:rsidR="002C7510" w:rsidRPr="003A1174">
        <w:rPr>
          <w:rFonts w:ascii="Garamond" w:hAnsi="Garamond" w:cs="Arial"/>
          <w:color w:val="auto"/>
          <w:sz w:val="24"/>
          <w:szCs w:val="24"/>
          <w:lang w:val="pt-PT"/>
        </w:rPr>
        <w:t>Rede</w:t>
      </w:r>
      <w:r w:rsidR="00CA39B2" w:rsidRPr="003A1174">
        <w:rPr>
          <w:rFonts w:ascii="Garamond" w:hAnsi="Garamond" w:cs="Arial"/>
          <w:color w:val="auto"/>
          <w:sz w:val="24"/>
          <w:szCs w:val="24"/>
          <w:lang w:val="pt-PT"/>
        </w:rPr>
        <w:t xml:space="preserve"> de </w:t>
      </w:r>
      <w:r w:rsidR="00DC5DA7" w:rsidRPr="003A1174">
        <w:rPr>
          <w:rFonts w:ascii="Garamond" w:hAnsi="Garamond" w:cs="Arial"/>
          <w:color w:val="auto"/>
          <w:sz w:val="24"/>
          <w:szCs w:val="24"/>
          <w:lang w:val="pt-PT"/>
        </w:rPr>
        <w:t>Provedorias</w:t>
      </w:r>
      <w:r w:rsidR="00CA39B2" w:rsidRPr="003A1174">
        <w:rPr>
          <w:rFonts w:ascii="Garamond" w:hAnsi="Garamond" w:cs="Arial"/>
          <w:color w:val="auto"/>
          <w:sz w:val="24"/>
          <w:szCs w:val="24"/>
          <w:lang w:val="pt-PT"/>
        </w:rPr>
        <w:t xml:space="preserve"> de  </w:t>
      </w:r>
      <w:r w:rsidR="00054EE0" w:rsidRPr="003A1174">
        <w:rPr>
          <w:rFonts w:ascii="Garamond" w:hAnsi="Garamond" w:cs="Arial"/>
          <w:color w:val="auto"/>
          <w:sz w:val="24"/>
          <w:szCs w:val="24"/>
          <w:lang w:val="pt-PT"/>
        </w:rPr>
        <w:t>Mulheres</w:t>
      </w:r>
      <w:r w:rsidR="00282F38" w:rsidRPr="003A1174">
        <w:rPr>
          <w:rFonts w:ascii="Garamond" w:hAnsi="Garamond" w:cs="Arial"/>
          <w:color w:val="auto"/>
          <w:sz w:val="24"/>
          <w:szCs w:val="24"/>
          <w:lang w:val="pt-PT"/>
        </w:rPr>
        <w:t xml:space="preserve"> d</w:t>
      </w:r>
      <w:r w:rsidR="00CA39B2"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Federação</w:t>
      </w:r>
      <w:r w:rsidR="00CA39B2" w:rsidRPr="003A1174">
        <w:rPr>
          <w:rFonts w:ascii="Garamond" w:hAnsi="Garamond" w:cs="Arial"/>
          <w:color w:val="auto"/>
          <w:sz w:val="24"/>
          <w:szCs w:val="24"/>
          <w:lang w:val="pt-PT"/>
        </w:rPr>
        <w:t xml:space="preserve"> Iberoamericana de Ombudsman (</w:t>
      </w:r>
      <w:r w:rsidR="00CA39B2" w:rsidRPr="003A1174">
        <w:rPr>
          <w:rStyle w:val="zmsearchresult"/>
          <w:rFonts w:ascii="Garamond" w:hAnsi="Garamond" w:cs="Arial"/>
          <w:color w:val="auto"/>
          <w:sz w:val="24"/>
          <w:szCs w:val="24"/>
          <w:lang w:val="pt-PT"/>
        </w:rPr>
        <w:t>FIO</w:t>
      </w:r>
      <w:r w:rsidR="00CA39B2" w:rsidRPr="003A1174">
        <w:rPr>
          <w:rFonts w:ascii="Garamond" w:hAnsi="Garamond" w:cs="Arial"/>
          <w:color w:val="auto"/>
          <w:sz w:val="24"/>
          <w:szCs w:val="24"/>
          <w:lang w:val="pt-PT"/>
        </w:rPr>
        <w:t xml:space="preserve">) </w:t>
      </w:r>
      <w:r w:rsidR="00282F38"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00CA39B2" w:rsidRPr="000C6A23">
        <w:rPr>
          <w:rFonts w:ascii="Garamond" w:hAnsi="Garamond" w:cs="Arial"/>
          <w:color w:val="auto"/>
          <w:sz w:val="20"/>
          <w:szCs w:val="20"/>
          <w:lang w:val="pt-PT"/>
        </w:rPr>
        <w:t>XVIII</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Congresso</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Assembleia</w:t>
      </w:r>
      <w:r w:rsidR="00282F38" w:rsidRPr="003A1174">
        <w:rPr>
          <w:rFonts w:ascii="Garamond" w:hAnsi="Garamond" w:cs="Arial"/>
          <w:color w:val="auto"/>
          <w:sz w:val="24"/>
          <w:szCs w:val="24"/>
          <w:lang w:val="pt-PT"/>
        </w:rPr>
        <w:t xml:space="preserve"> d</w:t>
      </w:r>
      <w:r w:rsidR="00CA39B2"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Federação</w:t>
      </w:r>
      <w:r w:rsidR="00CA39B2" w:rsidRPr="003A1174">
        <w:rPr>
          <w:rFonts w:ascii="Garamond" w:hAnsi="Garamond" w:cs="Arial"/>
          <w:color w:val="auto"/>
          <w:sz w:val="24"/>
          <w:szCs w:val="24"/>
          <w:lang w:val="pt-PT"/>
        </w:rPr>
        <w:t xml:space="preserve"> Iberoamericana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Ombudsman (</w:t>
      </w:r>
      <w:r w:rsidR="00CA39B2" w:rsidRPr="003A1174">
        <w:rPr>
          <w:rStyle w:val="zmsearchresult"/>
          <w:rFonts w:ascii="Garamond" w:hAnsi="Garamond" w:cs="Arial"/>
          <w:color w:val="auto"/>
          <w:sz w:val="24"/>
          <w:szCs w:val="24"/>
          <w:lang w:val="pt-PT"/>
        </w:rPr>
        <w:t>FIO</w:t>
      </w:r>
      <w:r w:rsidR="00CA39B2" w:rsidRPr="003A1174">
        <w:rPr>
          <w:rFonts w:ascii="Garamond" w:hAnsi="Garamond" w:cs="Arial"/>
          <w:color w:val="auto"/>
          <w:sz w:val="24"/>
          <w:szCs w:val="24"/>
          <w:lang w:val="pt-PT"/>
        </w:rPr>
        <w:t>) realizada e</w:t>
      </w:r>
      <w:r w:rsidR="00282F38"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San Juan de </w:t>
      </w:r>
      <w:r w:rsidR="0017447A" w:rsidRPr="003A1174">
        <w:rPr>
          <w:rFonts w:ascii="Garamond" w:hAnsi="Garamond" w:cs="Arial"/>
          <w:color w:val="auto"/>
          <w:sz w:val="24"/>
          <w:szCs w:val="24"/>
          <w:lang w:val="pt-PT"/>
        </w:rPr>
        <w:t>Porto</w:t>
      </w:r>
      <w:r w:rsidR="00CA39B2" w:rsidRPr="003A1174">
        <w:rPr>
          <w:rFonts w:ascii="Garamond" w:hAnsi="Garamond" w:cs="Arial"/>
          <w:color w:val="auto"/>
          <w:sz w:val="24"/>
          <w:szCs w:val="24"/>
          <w:lang w:val="pt-PT"/>
        </w:rPr>
        <w:t xml:space="preserve"> Rico </w:t>
      </w:r>
      <w:r w:rsidR="00282F38" w:rsidRPr="003A1174">
        <w:rPr>
          <w:rFonts w:ascii="Garamond" w:hAnsi="Garamond" w:cs="Arial"/>
          <w:color w:val="auto"/>
          <w:sz w:val="24"/>
          <w:szCs w:val="24"/>
          <w:lang w:val="pt-PT"/>
        </w:rPr>
        <w:t>n</w:t>
      </w:r>
      <w:r w:rsidR="00CA39B2" w:rsidRPr="003A1174">
        <w:rPr>
          <w:rFonts w:ascii="Garamond" w:hAnsi="Garamond" w:cs="Arial"/>
          <w:color w:val="auto"/>
          <w:sz w:val="24"/>
          <w:szCs w:val="24"/>
          <w:lang w:val="pt-PT"/>
        </w:rPr>
        <w:t xml:space="preserve">os </w:t>
      </w:r>
      <w:r w:rsidR="009D5ED8" w:rsidRPr="003A1174">
        <w:rPr>
          <w:rFonts w:ascii="Garamond" w:hAnsi="Garamond" w:cs="Arial"/>
          <w:color w:val="auto"/>
          <w:sz w:val="24"/>
          <w:szCs w:val="24"/>
          <w:lang w:val="pt-PT"/>
        </w:rPr>
        <w:t>dia</w:t>
      </w:r>
      <w:r w:rsidR="00CA39B2" w:rsidRPr="003A1174">
        <w:rPr>
          <w:rFonts w:ascii="Garamond" w:hAnsi="Garamond" w:cs="Arial"/>
          <w:color w:val="auto"/>
          <w:sz w:val="24"/>
          <w:szCs w:val="24"/>
          <w:lang w:val="pt-PT"/>
        </w:rPr>
        <w:t xml:space="preserve">s 4, 5, 6,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CA39B2" w:rsidRPr="003A1174">
        <w:rPr>
          <w:rStyle w:val="object"/>
          <w:rFonts w:ascii="Garamond" w:hAnsi="Garamond" w:cs="Arial"/>
          <w:color w:val="auto"/>
          <w:sz w:val="24"/>
          <w:szCs w:val="24"/>
          <w:lang w:val="pt-PT"/>
        </w:rPr>
        <w:t xml:space="preserve">7 de </w:t>
      </w:r>
      <w:r w:rsidR="009E3E55" w:rsidRPr="003A1174">
        <w:rPr>
          <w:rStyle w:val="object"/>
          <w:rFonts w:ascii="Garamond" w:hAnsi="Garamond" w:cs="Arial"/>
          <w:color w:val="auto"/>
          <w:sz w:val="24"/>
          <w:szCs w:val="24"/>
          <w:lang w:val="pt-PT"/>
        </w:rPr>
        <w:t>novembro</w:t>
      </w:r>
      <w:r w:rsidR="00CA39B2" w:rsidRPr="003A1174">
        <w:rPr>
          <w:rFonts w:ascii="Garamond" w:hAnsi="Garamond" w:cs="Arial"/>
          <w:color w:val="auto"/>
          <w:sz w:val="24"/>
          <w:szCs w:val="24"/>
          <w:lang w:val="pt-PT"/>
        </w:rPr>
        <w:t xml:space="preserve"> de 2013.</w:t>
      </w:r>
    </w:p>
    <w:p w:rsidR="00CA39B2" w:rsidRPr="003A1174" w:rsidRDefault="00CA39B2" w:rsidP="008719D4">
      <w:pPr>
        <w:pStyle w:val="estilo25"/>
        <w:spacing w:before="240" w:beforeAutospacing="0"/>
        <w:jc w:val="both"/>
        <w:rPr>
          <w:rFonts w:ascii="Garamond" w:hAnsi="Garamond" w:cs="Arial"/>
          <w:bCs/>
          <w:lang w:val="pt-PT"/>
        </w:rPr>
      </w:pPr>
      <w:r w:rsidRPr="003A1174">
        <w:rPr>
          <w:rFonts w:ascii="Garamond" w:hAnsi="Garamond" w:cs="Arial"/>
          <w:bCs/>
          <w:lang w:val="pt-PT"/>
        </w:rPr>
        <w:t>E</w:t>
      </w:r>
      <w:r w:rsidR="00282F38" w:rsidRPr="003A1174">
        <w:rPr>
          <w:rFonts w:ascii="Garamond" w:hAnsi="Garamond" w:cs="Arial"/>
          <w:bCs/>
          <w:lang w:val="pt-PT"/>
        </w:rPr>
        <w:t>m</w:t>
      </w:r>
      <w:r w:rsidRPr="003A1174">
        <w:rPr>
          <w:rFonts w:ascii="Garamond" w:hAnsi="Garamond" w:cs="Arial"/>
          <w:bCs/>
          <w:lang w:val="pt-PT"/>
        </w:rPr>
        <w:t xml:space="preserve"> </w:t>
      </w:r>
      <w:r w:rsidR="00C553E2" w:rsidRPr="003A1174">
        <w:rPr>
          <w:rFonts w:ascii="Garamond" w:hAnsi="Garamond" w:cs="Arial"/>
          <w:bCs/>
          <w:lang w:val="pt-PT"/>
        </w:rPr>
        <w:t>março</w:t>
      </w:r>
      <w:r w:rsidR="00282F38" w:rsidRPr="003A1174">
        <w:rPr>
          <w:rFonts w:ascii="Garamond" w:hAnsi="Garamond" w:cs="Arial"/>
          <w:bCs/>
          <w:lang w:val="pt-PT"/>
        </w:rPr>
        <w:t xml:space="preserve"> de 2014, </w:t>
      </w:r>
      <w:r w:rsidRPr="003A1174">
        <w:rPr>
          <w:rFonts w:ascii="Garamond" w:hAnsi="Garamond" w:cs="Arial"/>
          <w:bCs/>
          <w:lang w:val="pt-PT"/>
        </w:rPr>
        <w:t xml:space="preserve">a </w:t>
      </w:r>
      <w:r w:rsidR="006C6E85" w:rsidRPr="003A1174">
        <w:rPr>
          <w:rFonts w:ascii="Garamond" w:hAnsi="Garamond" w:cs="Arial"/>
          <w:bCs/>
          <w:lang w:val="pt-PT"/>
        </w:rPr>
        <w:t>Provedoria</w:t>
      </w:r>
      <w:r w:rsidRPr="003A1174">
        <w:rPr>
          <w:rFonts w:ascii="Garamond" w:hAnsi="Garamond" w:cs="Arial"/>
          <w:bCs/>
          <w:lang w:val="pt-PT"/>
        </w:rPr>
        <w:t xml:space="preserve"> </w:t>
      </w:r>
      <w:r w:rsidR="00276DCA" w:rsidRPr="003A1174">
        <w:rPr>
          <w:rFonts w:ascii="Garamond" w:hAnsi="Garamond" w:cs="Arial"/>
          <w:bCs/>
          <w:lang w:val="pt-PT"/>
        </w:rPr>
        <w:t>apresentou</w:t>
      </w:r>
      <w:r w:rsidR="000C6A23">
        <w:rPr>
          <w:rFonts w:ascii="Garamond" w:hAnsi="Garamond" w:cs="Arial"/>
          <w:bCs/>
          <w:lang w:val="pt-PT"/>
        </w:rPr>
        <w:t>,</w:t>
      </w:r>
      <w:r w:rsidRPr="003A1174">
        <w:rPr>
          <w:rFonts w:ascii="Garamond" w:hAnsi="Garamond" w:cs="Arial"/>
          <w:bCs/>
          <w:lang w:val="pt-PT"/>
        </w:rPr>
        <w:t xml:space="preserve"> </w:t>
      </w:r>
      <w:r w:rsidR="00282F38" w:rsidRPr="003A1174">
        <w:rPr>
          <w:rFonts w:ascii="Garamond" w:hAnsi="Garamond" w:cs="Arial"/>
          <w:bCs/>
          <w:lang w:val="pt-PT"/>
        </w:rPr>
        <w:t xml:space="preserve">no </w:t>
      </w:r>
      <w:r w:rsidR="00253B1D" w:rsidRPr="003A1174">
        <w:rPr>
          <w:rFonts w:ascii="Garamond" w:hAnsi="Garamond" w:cs="Arial"/>
          <w:bCs/>
          <w:lang w:val="pt-PT"/>
        </w:rPr>
        <w:t>quadro</w:t>
      </w:r>
      <w:r w:rsidR="00282F38" w:rsidRPr="003A1174">
        <w:rPr>
          <w:rFonts w:ascii="Garamond" w:hAnsi="Garamond" w:cs="Arial"/>
          <w:bCs/>
          <w:lang w:val="pt-PT"/>
        </w:rPr>
        <w:t xml:space="preserve"> d</w:t>
      </w:r>
      <w:r w:rsidRPr="003A1174">
        <w:rPr>
          <w:rFonts w:ascii="Garamond" w:hAnsi="Garamond" w:cs="Arial"/>
          <w:lang w:val="pt-PT"/>
        </w:rPr>
        <w:t xml:space="preserve">a décima </w:t>
      </w:r>
      <w:r w:rsidR="00282F38" w:rsidRPr="003A1174">
        <w:rPr>
          <w:rFonts w:ascii="Garamond" w:hAnsi="Garamond" w:cs="Arial"/>
          <w:lang w:val="pt-PT"/>
        </w:rPr>
        <w:t>edição d</w:t>
      </w:r>
      <w:r w:rsidRPr="003A1174">
        <w:rPr>
          <w:rFonts w:ascii="Garamond" w:hAnsi="Garamond" w:cs="Arial"/>
          <w:lang w:val="pt-PT"/>
        </w:rPr>
        <w:t>a Fei</w:t>
      </w:r>
      <w:r w:rsidR="00282F38" w:rsidRPr="003A1174">
        <w:rPr>
          <w:rFonts w:ascii="Garamond" w:hAnsi="Garamond" w:cs="Arial"/>
          <w:lang w:val="pt-PT"/>
        </w:rPr>
        <w:t>r</w:t>
      </w:r>
      <w:r w:rsidRPr="003A1174">
        <w:rPr>
          <w:rFonts w:ascii="Garamond" w:hAnsi="Garamond" w:cs="Arial"/>
          <w:lang w:val="pt-PT"/>
        </w:rPr>
        <w:t xml:space="preserve">a Internacional </w:t>
      </w:r>
      <w:r w:rsidR="00E85E59" w:rsidRPr="003A1174">
        <w:rPr>
          <w:rFonts w:ascii="Garamond" w:hAnsi="Garamond" w:cs="Arial"/>
          <w:lang w:val="pt-PT"/>
        </w:rPr>
        <w:t>do</w:t>
      </w:r>
      <w:r w:rsidR="00282F38" w:rsidRPr="003A1174">
        <w:rPr>
          <w:rFonts w:ascii="Garamond" w:hAnsi="Garamond" w:cs="Arial"/>
          <w:lang w:val="pt-PT"/>
        </w:rPr>
        <w:t xml:space="preserve"> Livro da Venezuela, </w:t>
      </w:r>
      <w:r w:rsidRPr="003A1174">
        <w:rPr>
          <w:rFonts w:ascii="Garamond" w:hAnsi="Garamond" w:cs="Arial"/>
          <w:lang w:val="pt-PT"/>
        </w:rPr>
        <w:t xml:space="preserve">a </w:t>
      </w:r>
      <w:r w:rsidR="00FC1F7F" w:rsidRPr="003A1174">
        <w:rPr>
          <w:rFonts w:ascii="Garamond" w:hAnsi="Garamond" w:cs="Arial"/>
          <w:lang w:val="pt-PT"/>
        </w:rPr>
        <w:t>publicação</w:t>
      </w:r>
      <w:r w:rsidRPr="003A1174">
        <w:rPr>
          <w:rFonts w:ascii="Garamond" w:hAnsi="Garamond" w:cs="Arial"/>
          <w:lang w:val="pt-PT"/>
        </w:rPr>
        <w:t xml:space="preserve"> </w:t>
      </w:r>
      <w:r w:rsidRPr="003A1174">
        <w:rPr>
          <w:rStyle w:val="nfasis"/>
          <w:rFonts w:ascii="Garamond" w:hAnsi="Garamond" w:cs="Arial"/>
          <w:bCs/>
          <w:lang w:val="pt-PT"/>
        </w:rPr>
        <w:t>Orienta</w:t>
      </w:r>
      <w:r w:rsidR="00165A80" w:rsidRPr="003A1174">
        <w:rPr>
          <w:rStyle w:val="nfasis"/>
          <w:rFonts w:ascii="Garamond" w:hAnsi="Garamond" w:cs="Arial"/>
          <w:bCs/>
          <w:lang w:val="pt-PT"/>
        </w:rPr>
        <w:t xml:space="preserve">ções </w:t>
      </w:r>
      <w:r w:rsidRPr="003A1174">
        <w:rPr>
          <w:rStyle w:val="nfasis"/>
          <w:rFonts w:ascii="Garamond" w:hAnsi="Garamond" w:cs="Arial"/>
          <w:bCs/>
          <w:lang w:val="pt-PT"/>
        </w:rPr>
        <w:t xml:space="preserve">Teórico–Metodológicas </w:t>
      </w:r>
      <w:r w:rsidR="000672E8" w:rsidRPr="003A1174">
        <w:rPr>
          <w:rStyle w:val="nfasis"/>
          <w:rFonts w:ascii="Garamond" w:hAnsi="Garamond" w:cs="Arial"/>
          <w:bCs/>
          <w:lang w:val="pt-PT"/>
        </w:rPr>
        <w:t>e</w:t>
      </w:r>
      <w:r w:rsidRPr="003A1174">
        <w:rPr>
          <w:rStyle w:val="nfasis"/>
          <w:rFonts w:ascii="Garamond" w:hAnsi="Garamond" w:cs="Arial"/>
          <w:bCs/>
          <w:lang w:val="pt-PT"/>
        </w:rPr>
        <w:t xml:space="preserve"> </w:t>
      </w:r>
      <w:r w:rsidR="00165A80" w:rsidRPr="003A1174">
        <w:rPr>
          <w:rStyle w:val="nfasis"/>
          <w:rFonts w:ascii="Garamond" w:hAnsi="Garamond" w:cs="Arial"/>
          <w:bCs/>
          <w:lang w:val="pt-PT"/>
        </w:rPr>
        <w:t xml:space="preserve">os Procedimentos </w:t>
      </w:r>
      <w:r w:rsidRPr="003A1174">
        <w:rPr>
          <w:rStyle w:val="nfasis"/>
          <w:rFonts w:ascii="Garamond" w:hAnsi="Garamond" w:cs="Arial"/>
          <w:bCs/>
          <w:lang w:val="pt-PT"/>
        </w:rPr>
        <w:t>para formar</w:t>
      </w:r>
      <w:r w:rsidR="00165A80" w:rsidRPr="003A1174">
        <w:rPr>
          <w:rStyle w:val="nfasis"/>
          <w:rFonts w:ascii="Garamond" w:hAnsi="Garamond" w:cs="Arial"/>
          <w:bCs/>
          <w:lang w:val="pt-PT"/>
        </w:rPr>
        <w:t>em</w:t>
      </w:r>
      <w:r w:rsidRPr="003A1174">
        <w:rPr>
          <w:rStyle w:val="nfasis"/>
          <w:rFonts w:ascii="Garamond" w:hAnsi="Garamond" w:cs="Arial"/>
          <w:bCs/>
          <w:lang w:val="pt-PT"/>
        </w:rPr>
        <w:t xml:space="preserve"> Púberes </w:t>
      </w:r>
      <w:r w:rsidR="000672E8" w:rsidRPr="003A1174">
        <w:rPr>
          <w:rStyle w:val="nfasis"/>
          <w:rFonts w:ascii="Garamond" w:hAnsi="Garamond" w:cs="Arial"/>
          <w:bCs/>
          <w:lang w:val="pt-PT"/>
        </w:rPr>
        <w:t>e</w:t>
      </w:r>
      <w:r w:rsidRPr="003A1174">
        <w:rPr>
          <w:rStyle w:val="nfasis"/>
          <w:rFonts w:ascii="Garamond" w:hAnsi="Garamond" w:cs="Arial"/>
          <w:bCs/>
          <w:lang w:val="pt-PT"/>
        </w:rPr>
        <w:t xml:space="preserve"> Adolescentes </w:t>
      </w:r>
      <w:r w:rsidR="00165A80" w:rsidRPr="003A1174">
        <w:rPr>
          <w:rStyle w:val="nfasis"/>
          <w:rFonts w:ascii="Garamond" w:hAnsi="Garamond" w:cs="Arial"/>
          <w:bCs/>
          <w:lang w:val="pt-PT"/>
        </w:rPr>
        <w:t xml:space="preserve">numa </w:t>
      </w:r>
      <w:r w:rsidRPr="003A1174">
        <w:rPr>
          <w:rStyle w:val="nfasis"/>
          <w:rFonts w:ascii="Garamond" w:hAnsi="Garamond" w:cs="Arial"/>
          <w:bCs/>
          <w:lang w:val="pt-PT"/>
        </w:rPr>
        <w:t>Sexualidad</w:t>
      </w:r>
      <w:r w:rsidR="00165A80" w:rsidRPr="003A1174">
        <w:rPr>
          <w:rStyle w:val="nfasis"/>
          <w:rFonts w:ascii="Garamond" w:hAnsi="Garamond" w:cs="Arial"/>
          <w:bCs/>
          <w:lang w:val="pt-PT"/>
        </w:rPr>
        <w:t>e</w:t>
      </w:r>
      <w:r w:rsidRPr="003A1174">
        <w:rPr>
          <w:rStyle w:val="nfasis"/>
          <w:rFonts w:ascii="Garamond" w:hAnsi="Garamond" w:cs="Arial"/>
          <w:bCs/>
          <w:lang w:val="pt-PT"/>
        </w:rPr>
        <w:t xml:space="preserve"> </w:t>
      </w:r>
      <w:r w:rsidR="007C63D0" w:rsidRPr="003A1174">
        <w:rPr>
          <w:rStyle w:val="nfasis"/>
          <w:rFonts w:ascii="Garamond" w:hAnsi="Garamond" w:cs="Arial"/>
          <w:bCs/>
          <w:lang w:val="pt-PT"/>
        </w:rPr>
        <w:t>Sa</w:t>
      </w:r>
      <w:r w:rsidR="00165A80" w:rsidRPr="003A1174">
        <w:rPr>
          <w:rStyle w:val="nfasis"/>
          <w:rFonts w:ascii="Garamond" w:hAnsi="Garamond" w:cs="Arial"/>
          <w:bCs/>
          <w:lang w:val="pt-PT"/>
        </w:rPr>
        <w:t xml:space="preserve">udável, Agradável </w:t>
      </w:r>
      <w:r w:rsidR="000672E8" w:rsidRPr="003A1174">
        <w:rPr>
          <w:rStyle w:val="nfasis"/>
          <w:rFonts w:ascii="Garamond" w:hAnsi="Garamond" w:cs="Arial"/>
          <w:bCs/>
          <w:lang w:val="pt-PT"/>
        </w:rPr>
        <w:t>e</w:t>
      </w:r>
      <w:r w:rsidRPr="003A1174">
        <w:rPr>
          <w:rStyle w:val="nfasis"/>
          <w:rFonts w:ascii="Garamond" w:hAnsi="Garamond" w:cs="Arial"/>
          <w:bCs/>
          <w:lang w:val="pt-PT"/>
        </w:rPr>
        <w:t xml:space="preserve"> </w:t>
      </w:r>
      <w:r w:rsidR="00FC1F7F" w:rsidRPr="003A1174">
        <w:rPr>
          <w:rStyle w:val="nfasis"/>
          <w:rFonts w:ascii="Garamond" w:hAnsi="Garamond" w:cs="Arial"/>
          <w:bCs/>
          <w:lang w:val="pt-PT"/>
        </w:rPr>
        <w:t>Responsável</w:t>
      </w:r>
      <w:r w:rsidRPr="003A1174">
        <w:rPr>
          <w:rFonts w:ascii="Garamond" w:hAnsi="Garamond" w:cs="Arial"/>
          <w:lang w:val="pt-PT"/>
        </w:rPr>
        <w:t>.</w:t>
      </w:r>
      <w:r w:rsidRPr="003A1174">
        <w:rPr>
          <w:rStyle w:val="Refdenotaalpie"/>
          <w:rFonts w:ascii="Garamond" w:hAnsi="Garamond" w:cs="Arial"/>
        </w:rPr>
        <w:footnoteReference w:id="119"/>
      </w:r>
      <w:r w:rsidR="00282F38" w:rsidRPr="003A1174">
        <w:rPr>
          <w:rFonts w:ascii="Garamond" w:hAnsi="Garamond" w:cs="Arial"/>
          <w:lang w:val="pt-PT"/>
        </w:rPr>
        <w:t>De</w:t>
      </w:r>
      <w:r w:rsidR="00D56EFC" w:rsidRPr="003A1174">
        <w:rPr>
          <w:rFonts w:ascii="Garamond" w:hAnsi="Garamond" w:cs="Arial"/>
          <w:lang w:val="pt-PT"/>
        </w:rPr>
        <w:t>s</w:t>
      </w:r>
      <w:r w:rsidR="00282F38" w:rsidRPr="003A1174">
        <w:rPr>
          <w:rFonts w:ascii="Garamond" w:hAnsi="Garamond" w:cs="Arial"/>
          <w:lang w:val="pt-PT"/>
        </w:rPr>
        <w:t xml:space="preserve">camamos a </w:t>
      </w:r>
      <w:r w:rsidR="005C051C" w:rsidRPr="003A1174">
        <w:rPr>
          <w:rStyle w:val="nfasis"/>
          <w:rFonts w:ascii="Garamond" w:hAnsi="Garamond" w:cs="Arial"/>
          <w:bCs/>
          <w:i w:val="0"/>
          <w:lang w:val="pt-PT"/>
        </w:rPr>
        <w:t>incorporação</w:t>
      </w:r>
      <w:r w:rsidRPr="003A1174">
        <w:rPr>
          <w:rStyle w:val="nfasis"/>
          <w:rFonts w:ascii="Garamond" w:hAnsi="Garamond" w:cs="Arial"/>
          <w:bCs/>
          <w:i w:val="0"/>
          <w:lang w:val="pt-PT"/>
        </w:rPr>
        <w:t xml:space="preserve"> </w:t>
      </w:r>
      <w:r w:rsidR="00E85E59" w:rsidRPr="003A1174">
        <w:rPr>
          <w:rStyle w:val="nfasis"/>
          <w:rFonts w:ascii="Garamond" w:hAnsi="Garamond" w:cs="Arial"/>
          <w:bCs/>
          <w:i w:val="0"/>
          <w:lang w:val="pt-PT"/>
        </w:rPr>
        <w:t>do</w:t>
      </w:r>
      <w:r w:rsidRPr="003A1174">
        <w:rPr>
          <w:rStyle w:val="nfasis"/>
          <w:rFonts w:ascii="Garamond" w:hAnsi="Garamond" w:cs="Arial"/>
          <w:bCs/>
          <w:i w:val="0"/>
          <w:lang w:val="pt-PT"/>
        </w:rPr>
        <w:t xml:space="preserve"> enfoque de género tra</w:t>
      </w:r>
      <w:r w:rsidR="000D3EED" w:rsidRPr="003A1174">
        <w:rPr>
          <w:rStyle w:val="nfasis"/>
          <w:rFonts w:ascii="Garamond" w:hAnsi="Garamond" w:cs="Arial"/>
          <w:bCs/>
          <w:i w:val="0"/>
          <w:lang w:val="pt-PT"/>
        </w:rPr>
        <w:t>n</w:t>
      </w:r>
      <w:r w:rsidRPr="003A1174">
        <w:rPr>
          <w:rStyle w:val="nfasis"/>
          <w:rFonts w:ascii="Garamond" w:hAnsi="Garamond" w:cs="Arial"/>
          <w:bCs/>
          <w:i w:val="0"/>
          <w:lang w:val="pt-PT"/>
        </w:rPr>
        <w:t xml:space="preserve">sversalizada </w:t>
      </w:r>
      <w:r w:rsidR="00282F38" w:rsidRPr="003A1174">
        <w:rPr>
          <w:rStyle w:val="nfasis"/>
          <w:rFonts w:ascii="Garamond" w:hAnsi="Garamond" w:cs="Arial"/>
          <w:bCs/>
          <w:i w:val="0"/>
          <w:lang w:val="pt-PT"/>
        </w:rPr>
        <w:t>n</w:t>
      </w:r>
      <w:r w:rsidRPr="003A1174">
        <w:rPr>
          <w:rStyle w:val="nfasis"/>
          <w:rFonts w:ascii="Garamond" w:hAnsi="Garamond" w:cs="Arial"/>
          <w:bCs/>
          <w:i w:val="0"/>
          <w:lang w:val="pt-PT"/>
        </w:rPr>
        <w:t xml:space="preserve">as </w:t>
      </w:r>
      <w:r w:rsidR="000C6A23">
        <w:rPr>
          <w:rStyle w:val="nfasis"/>
          <w:rFonts w:ascii="Garamond" w:hAnsi="Garamond" w:cs="Arial"/>
          <w:bCs/>
          <w:i w:val="0"/>
          <w:lang w:val="pt-PT"/>
        </w:rPr>
        <w:t>«</w:t>
      </w:r>
      <w:r w:rsidRPr="003A1174">
        <w:rPr>
          <w:rStyle w:val="nfasis"/>
          <w:rFonts w:ascii="Garamond" w:hAnsi="Garamond" w:cs="Arial"/>
          <w:bCs/>
          <w:i w:val="0"/>
          <w:lang w:val="pt-PT"/>
        </w:rPr>
        <w:t>Orienta</w:t>
      </w:r>
      <w:r w:rsidR="00282F38" w:rsidRPr="003A1174">
        <w:rPr>
          <w:rStyle w:val="nfasis"/>
          <w:rFonts w:ascii="Garamond" w:hAnsi="Garamond" w:cs="Arial"/>
          <w:bCs/>
          <w:i w:val="0"/>
          <w:lang w:val="pt-PT"/>
        </w:rPr>
        <w:t>ções</w:t>
      </w:r>
      <w:r w:rsidR="000C6A23">
        <w:rPr>
          <w:rStyle w:val="nfasis"/>
          <w:rFonts w:ascii="Garamond" w:hAnsi="Garamond" w:cs="Arial"/>
          <w:bCs/>
          <w:i w:val="0"/>
          <w:lang w:val="pt-PT"/>
        </w:rPr>
        <w:t>»</w:t>
      </w:r>
      <w:r w:rsidR="000D3EED" w:rsidRPr="003A1174">
        <w:rPr>
          <w:rStyle w:val="nfasis"/>
          <w:rFonts w:ascii="Garamond" w:hAnsi="Garamond" w:cs="Arial"/>
          <w:bCs/>
          <w:i w:val="0"/>
          <w:lang w:val="pt-PT"/>
        </w:rPr>
        <w:t>;</w:t>
      </w:r>
      <w:r w:rsidR="00282F38" w:rsidRPr="003A1174">
        <w:rPr>
          <w:rStyle w:val="nfasis"/>
          <w:rFonts w:ascii="Garamond" w:hAnsi="Garamond" w:cs="Arial"/>
          <w:bCs/>
          <w:i w:val="0"/>
          <w:lang w:val="pt-PT"/>
        </w:rPr>
        <w:t xml:space="preserve"> d</w:t>
      </w:r>
      <w:r w:rsidR="000D3EED" w:rsidRPr="003A1174">
        <w:rPr>
          <w:rStyle w:val="nfasis"/>
          <w:rFonts w:ascii="Garamond" w:hAnsi="Garamond" w:cs="Arial"/>
          <w:bCs/>
          <w:i w:val="0"/>
          <w:lang w:val="pt-PT"/>
        </w:rPr>
        <w:t>a</w:t>
      </w:r>
      <w:r w:rsidRPr="003A1174">
        <w:rPr>
          <w:rStyle w:val="nfasis"/>
          <w:rFonts w:ascii="Garamond" w:hAnsi="Garamond" w:cs="Arial"/>
          <w:bCs/>
          <w:i w:val="0"/>
          <w:lang w:val="pt-PT"/>
        </w:rPr>
        <w:t xml:space="preserve"> </w:t>
      </w:r>
      <w:r w:rsidR="00524936" w:rsidRPr="003A1174">
        <w:rPr>
          <w:rStyle w:val="nfasis"/>
          <w:rFonts w:ascii="Garamond" w:hAnsi="Garamond" w:cs="Arial"/>
          <w:bCs/>
          <w:i w:val="0"/>
          <w:lang w:val="pt-PT"/>
        </w:rPr>
        <w:t>mesma</w:t>
      </w:r>
      <w:r w:rsidRPr="003A1174">
        <w:rPr>
          <w:rStyle w:val="nfasis"/>
          <w:rFonts w:ascii="Garamond" w:hAnsi="Garamond" w:cs="Arial"/>
          <w:bCs/>
          <w:i w:val="0"/>
          <w:lang w:val="pt-PT"/>
        </w:rPr>
        <w:t xml:space="preserve"> </w:t>
      </w:r>
      <w:r w:rsidR="00282F38" w:rsidRPr="003A1174">
        <w:rPr>
          <w:rStyle w:val="nfasis"/>
          <w:rFonts w:ascii="Garamond" w:hAnsi="Garamond" w:cs="Arial"/>
          <w:bCs/>
          <w:i w:val="0"/>
          <w:lang w:val="pt-PT"/>
        </w:rPr>
        <w:t xml:space="preserve">forma, </w:t>
      </w:r>
      <w:r w:rsidR="00AC63DF" w:rsidRPr="003A1174">
        <w:rPr>
          <w:rStyle w:val="nfasis"/>
          <w:rFonts w:ascii="Garamond" w:hAnsi="Garamond" w:cs="Arial"/>
          <w:bCs/>
          <w:i w:val="0"/>
          <w:lang w:val="pt-PT"/>
        </w:rPr>
        <w:t>trabalha</w:t>
      </w:r>
      <w:r w:rsidR="00282F38" w:rsidRPr="003A1174">
        <w:rPr>
          <w:rStyle w:val="nfasis"/>
          <w:rFonts w:ascii="Garamond" w:hAnsi="Garamond" w:cs="Arial"/>
          <w:bCs/>
          <w:i w:val="0"/>
          <w:lang w:val="pt-PT"/>
        </w:rPr>
        <w:t xml:space="preserve">-se o </w:t>
      </w:r>
      <w:r w:rsidRPr="003A1174">
        <w:rPr>
          <w:rStyle w:val="nfasis"/>
          <w:rFonts w:ascii="Garamond" w:hAnsi="Garamond" w:cs="Arial"/>
          <w:bCs/>
          <w:i w:val="0"/>
          <w:lang w:val="pt-PT"/>
        </w:rPr>
        <w:t xml:space="preserve">tema da </w:t>
      </w:r>
      <w:r w:rsidR="000350B1" w:rsidRPr="003A1174">
        <w:rPr>
          <w:rStyle w:val="nfasis"/>
          <w:rFonts w:ascii="Garamond" w:hAnsi="Garamond" w:cs="Arial"/>
          <w:bCs/>
          <w:i w:val="0"/>
          <w:lang w:val="pt-PT"/>
        </w:rPr>
        <w:t>violência</w:t>
      </w:r>
      <w:r w:rsidRPr="003A1174">
        <w:rPr>
          <w:rStyle w:val="nfasis"/>
          <w:rFonts w:ascii="Garamond" w:hAnsi="Garamond" w:cs="Arial"/>
          <w:bCs/>
          <w:i w:val="0"/>
          <w:lang w:val="pt-PT"/>
        </w:rPr>
        <w:t xml:space="preserve"> </w:t>
      </w:r>
      <w:r w:rsidR="00BB2B00" w:rsidRPr="003A1174">
        <w:rPr>
          <w:rStyle w:val="nfasis"/>
          <w:rFonts w:ascii="Garamond" w:hAnsi="Garamond" w:cs="Arial"/>
          <w:bCs/>
          <w:i w:val="0"/>
          <w:lang w:val="pt-PT"/>
        </w:rPr>
        <w:t>contra a</w:t>
      </w:r>
      <w:r w:rsidRPr="003A1174">
        <w:rPr>
          <w:rStyle w:val="nfasis"/>
          <w:rFonts w:ascii="Garamond" w:hAnsi="Garamond" w:cs="Arial"/>
          <w:bCs/>
          <w:i w:val="0"/>
          <w:lang w:val="pt-PT"/>
        </w:rPr>
        <w:t xml:space="preserve">s </w:t>
      </w:r>
      <w:r w:rsidR="00054EE0" w:rsidRPr="003A1174">
        <w:rPr>
          <w:rStyle w:val="nfasis"/>
          <w:rFonts w:ascii="Garamond" w:hAnsi="Garamond" w:cs="Arial"/>
          <w:bCs/>
          <w:i w:val="0"/>
          <w:lang w:val="pt-PT"/>
        </w:rPr>
        <w:t>mulheres</w:t>
      </w:r>
      <w:r w:rsidRPr="003A1174">
        <w:rPr>
          <w:rStyle w:val="nfasis"/>
          <w:rFonts w:ascii="Garamond" w:hAnsi="Garamond" w:cs="Arial"/>
          <w:bCs/>
          <w:i w:val="0"/>
          <w:lang w:val="pt-PT"/>
        </w:rPr>
        <w:t xml:space="preserve">, apostando </w:t>
      </w:r>
      <w:r w:rsidR="00282F38" w:rsidRPr="003A1174">
        <w:rPr>
          <w:rStyle w:val="nfasis"/>
          <w:rFonts w:ascii="Garamond" w:hAnsi="Garamond" w:cs="Arial"/>
          <w:bCs/>
          <w:i w:val="0"/>
          <w:lang w:val="pt-PT"/>
        </w:rPr>
        <w:t xml:space="preserve">na </w:t>
      </w:r>
      <w:r w:rsidR="0017447A" w:rsidRPr="003A1174">
        <w:rPr>
          <w:rStyle w:val="nfasis"/>
          <w:rFonts w:ascii="Garamond" w:hAnsi="Garamond" w:cs="Arial"/>
          <w:bCs/>
          <w:i w:val="0"/>
          <w:lang w:val="pt-PT"/>
        </w:rPr>
        <w:t>informação</w:t>
      </w:r>
      <w:r w:rsidRPr="003A1174">
        <w:rPr>
          <w:rStyle w:val="nfasis"/>
          <w:rFonts w:ascii="Garamond" w:hAnsi="Garamond" w:cs="Arial"/>
          <w:bCs/>
          <w:i w:val="0"/>
          <w:lang w:val="pt-PT"/>
        </w:rPr>
        <w:t xml:space="preserve"> </w:t>
      </w:r>
      <w:r w:rsidR="00497503" w:rsidRPr="003A1174">
        <w:rPr>
          <w:rStyle w:val="nfasis"/>
          <w:rFonts w:ascii="Garamond" w:hAnsi="Garamond" w:cs="Arial"/>
          <w:bCs/>
          <w:i w:val="0"/>
          <w:lang w:val="pt-PT"/>
        </w:rPr>
        <w:t>das</w:t>
      </w:r>
      <w:r w:rsidRPr="003A1174">
        <w:rPr>
          <w:rStyle w:val="nfasis"/>
          <w:rFonts w:ascii="Garamond" w:hAnsi="Garamond" w:cs="Arial"/>
          <w:bCs/>
          <w:i w:val="0"/>
          <w:lang w:val="pt-PT"/>
        </w:rPr>
        <w:t xml:space="preserve"> </w:t>
      </w:r>
      <w:r w:rsidR="00282F38" w:rsidRPr="003A1174">
        <w:rPr>
          <w:rStyle w:val="nfasis"/>
          <w:rFonts w:ascii="Garamond" w:hAnsi="Garamond" w:cs="Arial"/>
          <w:bCs/>
          <w:i w:val="0"/>
          <w:lang w:val="pt-PT"/>
        </w:rPr>
        <w:t xml:space="preserve">meninas </w:t>
      </w:r>
      <w:r w:rsidR="000672E8" w:rsidRPr="003A1174">
        <w:rPr>
          <w:rStyle w:val="nfasis"/>
          <w:rFonts w:ascii="Garamond" w:hAnsi="Garamond" w:cs="Arial"/>
          <w:bCs/>
          <w:i w:val="0"/>
          <w:lang w:val="pt-PT"/>
        </w:rPr>
        <w:t>e</w:t>
      </w:r>
      <w:r w:rsidRPr="003A1174">
        <w:rPr>
          <w:rStyle w:val="nfasis"/>
          <w:rFonts w:ascii="Garamond" w:hAnsi="Garamond" w:cs="Arial"/>
          <w:bCs/>
          <w:i w:val="0"/>
          <w:lang w:val="pt-PT"/>
        </w:rPr>
        <w:t xml:space="preserve"> adolescente</w:t>
      </w:r>
      <w:r w:rsidR="000D3EED" w:rsidRPr="003A1174">
        <w:rPr>
          <w:rStyle w:val="nfasis"/>
          <w:rFonts w:ascii="Garamond" w:hAnsi="Garamond" w:cs="Arial"/>
          <w:bCs/>
          <w:i w:val="0"/>
          <w:lang w:val="pt-PT"/>
        </w:rPr>
        <w:t>s</w:t>
      </w:r>
      <w:r w:rsidRPr="003A1174">
        <w:rPr>
          <w:rStyle w:val="nfasis"/>
          <w:rFonts w:ascii="Garamond" w:hAnsi="Garamond" w:cs="Arial"/>
          <w:bCs/>
          <w:i w:val="0"/>
          <w:lang w:val="pt-PT"/>
        </w:rPr>
        <w:t xml:space="preserve"> e</w:t>
      </w:r>
      <w:r w:rsidR="00282F38" w:rsidRPr="003A1174">
        <w:rPr>
          <w:rStyle w:val="nfasis"/>
          <w:rFonts w:ascii="Garamond" w:hAnsi="Garamond" w:cs="Arial"/>
          <w:bCs/>
          <w:i w:val="0"/>
          <w:lang w:val="pt-PT"/>
        </w:rPr>
        <w:t>m</w:t>
      </w:r>
      <w:r w:rsidRPr="003A1174">
        <w:rPr>
          <w:rStyle w:val="nfasis"/>
          <w:rFonts w:ascii="Garamond" w:hAnsi="Garamond" w:cs="Arial"/>
          <w:bCs/>
          <w:i w:val="0"/>
          <w:lang w:val="pt-PT"/>
        </w:rPr>
        <w:t xml:space="preserve"> </w:t>
      </w:r>
      <w:r w:rsidR="00EF645F" w:rsidRPr="003A1174">
        <w:rPr>
          <w:rStyle w:val="nfasis"/>
          <w:rFonts w:ascii="Garamond" w:hAnsi="Garamond" w:cs="Arial"/>
          <w:bCs/>
          <w:i w:val="0"/>
          <w:lang w:val="pt-PT"/>
        </w:rPr>
        <w:t>matéria</w:t>
      </w:r>
      <w:r w:rsidRPr="003A1174">
        <w:rPr>
          <w:rStyle w:val="nfasis"/>
          <w:rFonts w:ascii="Garamond" w:hAnsi="Garamond" w:cs="Arial"/>
          <w:bCs/>
          <w:i w:val="0"/>
          <w:lang w:val="pt-PT"/>
        </w:rPr>
        <w:t xml:space="preserve"> de </w:t>
      </w:r>
      <w:r w:rsidR="00C04CA4" w:rsidRPr="003A1174">
        <w:rPr>
          <w:rStyle w:val="nfasis"/>
          <w:rFonts w:ascii="Garamond" w:hAnsi="Garamond" w:cs="Arial"/>
          <w:bCs/>
          <w:i w:val="0"/>
          <w:lang w:val="pt-PT"/>
        </w:rPr>
        <w:t>relações</w:t>
      </w:r>
      <w:r w:rsidRPr="003A1174">
        <w:rPr>
          <w:rStyle w:val="nfasis"/>
          <w:rFonts w:ascii="Garamond" w:hAnsi="Garamond" w:cs="Arial"/>
          <w:bCs/>
          <w:i w:val="0"/>
          <w:lang w:val="pt-PT"/>
        </w:rPr>
        <w:t xml:space="preserve"> </w:t>
      </w:r>
      <w:r w:rsidR="00282F38" w:rsidRPr="003A1174">
        <w:rPr>
          <w:rStyle w:val="nfasis"/>
          <w:rFonts w:ascii="Garamond" w:hAnsi="Garamond" w:cs="Arial"/>
          <w:bCs/>
          <w:i w:val="0"/>
          <w:lang w:val="pt-PT"/>
        </w:rPr>
        <w:t xml:space="preserve">baseadas na </w:t>
      </w:r>
      <w:r w:rsidR="002C7510" w:rsidRPr="003A1174">
        <w:rPr>
          <w:rStyle w:val="nfasis"/>
          <w:rFonts w:ascii="Garamond" w:hAnsi="Garamond" w:cs="Arial"/>
          <w:bCs/>
          <w:i w:val="0"/>
          <w:lang w:val="pt-PT"/>
        </w:rPr>
        <w:t>igualdade</w:t>
      </w:r>
      <w:r w:rsidRPr="003A1174">
        <w:rPr>
          <w:rStyle w:val="nfasis"/>
          <w:rFonts w:ascii="Garamond" w:hAnsi="Garamond" w:cs="Arial"/>
          <w:bCs/>
          <w:i w:val="0"/>
          <w:lang w:val="pt-PT"/>
        </w:rPr>
        <w:t xml:space="preserve"> </w:t>
      </w:r>
      <w:r w:rsidR="000672E8" w:rsidRPr="003A1174">
        <w:rPr>
          <w:rStyle w:val="nfasis"/>
          <w:rFonts w:ascii="Garamond" w:hAnsi="Garamond" w:cs="Arial"/>
          <w:bCs/>
          <w:i w:val="0"/>
          <w:lang w:val="pt-PT"/>
        </w:rPr>
        <w:t>e</w:t>
      </w:r>
      <w:r w:rsidRPr="003A1174">
        <w:rPr>
          <w:rStyle w:val="nfasis"/>
          <w:rFonts w:ascii="Garamond" w:hAnsi="Garamond" w:cs="Arial"/>
          <w:bCs/>
          <w:i w:val="0"/>
          <w:lang w:val="pt-PT"/>
        </w:rPr>
        <w:t xml:space="preserve"> </w:t>
      </w:r>
      <w:r w:rsidR="00282F38" w:rsidRPr="003A1174">
        <w:rPr>
          <w:rStyle w:val="nfasis"/>
          <w:rFonts w:ascii="Garamond" w:hAnsi="Garamond" w:cs="Arial"/>
          <w:bCs/>
          <w:i w:val="0"/>
          <w:lang w:val="pt-PT"/>
        </w:rPr>
        <w:t xml:space="preserve">no </w:t>
      </w:r>
      <w:r w:rsidR="008843FD" w:rsidRPr="003A1174">
        <w:rPr>
          <w:rStyle w:val="nfasis"/>
          <w:rFonts w:ascii="Garamond" w:hAnsi="Garamond" w:cs="Arial"/>
          <w:bCs/>
          <w:i w:val="0"/>
          <w:lang w:val="pt-PT"/>
        </w:rPr>
        <w:t>respeito</w:t>
      </w:r>
      <w:r w:rsidRPr="003A1174">
        <w:rPr>
          <w:rStyle w:val="nfasis"/>
          <w:rFonts w:ascii="Garamond" w:hAnsi="Garamond" w:cs="Arial"/>
          <w:bCs/>
          <w:i w:val="0"/>
          <w:lang w:val="pt-PT"/>
        </w:rPr>
        <w:t>.</w:t>
      </w:r>
      <w:proofErr w:type="gramStart"/>
      <w:r w:rsidRPr="003A1174">
        <w:rPr>
          <w:rStyle w:val="Refdenotaalpie"/>
          <w:rFonts w:ascii="Garamond" w:hAnsi="Garamond" w:cs="Arial"/>
          <w:bCs/>
        </w:rPr>
        <w:footnoteReference w:id="120"/>
      </w:r>
      <w:proofErr w:type="gramEnd"/>
    </w:p>
    <w:p w:rsidR="00CA39B2" w:rsidRPr="003A1174" w:rsidRDefault="00282F38" w:rsidP="00282F38">
      <w:pPr>
        <w:pStyle w:val="estilo25"/>
        <w:spacing w:before="240" w:beforeAutospacing="0"/>
        <w:jc w:val="both"/>
        <w:rPr>
          <w:rStyle w:val="nfasis"/>
          <w:rFonts w:ascii="Garamond" w:hAnsi="Garamond" w:cs="Arial"/>
          <w:i w:val="0"/>
          <w:lang w:val="pt-PT"/>
        </w:rPr>
      </w:pPr>
      <w:r w:rsidRPr="003A1174">
        <w:rPr>
          <w:rStyle w:val="nfasis"/>
          <w:rFonts w:ascii="Garamond" w:hAnsi="Garamond" w:cs="Arial"/>
          <w:bCs/>
          <w:i w:val="0"/>
          <w:lang w:val="pt-PT"/>
        </w:rPr>
        <w:t xml:space="preserve">A </w:t>
      </w:r>
      <w:r w:rsidR="000D3EED" w:rsidRPr="003A1174">
        <w:rPr>
          <w:rFonts w:ascii="Garamond" w:hAnsi="Garamond" w:cs="Arial"/>
          <w:lang w:val="pt-PT"/>
        </w:rPr>
        <w:t>i</w:t>
      </w:r>
      <w:r w:rsidR="00CA39B2" w:rsidRPr="003A1174">
        <w:rPr>
          <w:rFonts w:ascii="Garamond" w:hAnsi="Garamond" w:cs="Arial"/>
          <w:lang w:val="pt-PT"/>
        </w:rPr>
        <w:t xml:space="preserve">niciativa da </w:t>
      </w:r>
      <w:r w:rsidR="007A3375" w:rsidRPr="003A1174">
        <w:rPr>
          <w:rFonts w:ascii="Garamond" w:hAnsi="Garamond" w:cs="Arial"/>
          <w:lang w:val="pt-PT"/>
        </w:rPr>
        <w:t>elaboração</w:t>
      </w:r>
      <w:r w:rsidR="00CA39B2" w:rsidRPr="003A1174">
        <w:rPr>
          <w:rFonts w:ascii="Garamond" w:hAnsi="Garamond" w:cs="Arial"/>
          <w:lang w:val="pt-PT"/>
        </w:rPr>
        <w:t xml:space="preserve"> d</w:t>
      </w:r>
      <w:r w:rsidR="000D3EED" w:rsidRPr="003A1174">
        <w:rPr>
          <w:rFonts w:ascii="Garamond" w:hAnsi="Garamond" w:cs="Arial"/>
          <w:lang w:val="pt-PT"/>
        </w:rPr>
        <w:t>est</w:t>
      </w:r>
      <w:r w:rsidR="00CA39B2" w:rsidRPr="003A1174">
        <w:rPr>
          <w:rFonts w:ascii="Garamond" w:hAnsi="Garamond" w:cs="Arial"/>
          <w:lang w:val="pt-PT"/>
        </w:rPr>
        <w:t xml:space="preserve">as </w:t>
      </w:r>
      <w:r w:rsidR="00FB7D5B" w:rsidRPr="003A1174">
        <w:rPr>
          <w:rFonts w:ascii="Garamond" w:hAnsi="Garamond" w:cs="Arial"/>
          <w:lang w:val="pt-PT"/>
        </w:rPr>
        <w:t>publicações</w:t>
      </w:r>
      <w:r w:rsidR="00CA39B2" w:rsidRPr="003A1174">
        <w:rPr>
          <w:rFonts w:ascii="Garamond" w:hAnsi="Garamond" w:cs="Arial"/>
          <w:lang w:val="pt-PT"/>
        </w:rPr>
        <w:t xml:space="preserve"> </w:t>
      </w:r>
      <w:r w:rsidR="00D56EFC" w:rsidRPr="003A1174">
        <w:rPr>
          <w:rFonts w:ascii="Garamond" w:hAnsi="Garamond" w:cs="Arial"/>
          <w:lang w:val="pt-PT"/>
        </w:rPr>
        <w:t xml:space="preserve">surge </w:t>
      </w:r>
      <w:r w:rsidR="000D3EED" w:rsidRPr="003A1174">
        <w:rPr>
          <w:rFonts w:ascii="Garamond" w:hAnsi="Garamond" w:cs="Arial"/>
          <w:lang w:val="pt-PT"/>
        </w:rPr>
        <w:t xml:space="preserve">como </w:t>
      </w:r>
      <w:r w:rsidR="00CA39B2" w:rsidRPr="003A1174">
        <w:rPr>
          <w:rFonts w:ascii="Garamond" w:hAnsi="Garamond" w:cs="Arial"/>
          <w:lang w:val="pt-PT"/>
        </w:rPr>
        <w:t xml:space="preserve">parte </w:t>
      </w:r>
      <w:r w:rsidR="00E85E59" w:rsidRPr="003A1174">
        <w:rPr>
          <w:rFonts w:ascii="Garamond" w:hAnsi="Garamond" w:cs="Arial"/>
          <w:lang w:val="pt-PT"/>
        </w:rPr>
        <w:t>do</w:t>
      </w:r>
      <w:r w:rsidR="00CA39B2" w:rsidRPr="003A1174">
        <w:rPr>
          <w:rFonts w:ascii="Garamond" w:hAnsi="Garamond" w:cs="Arial"/>
          <w:lang w:val="pt-PT"/>
        </w:rPr>
        <w:t xml:space="preserve"> Programa de </w:t>
      </w:r>
      <w:r w:rsidR="00454353" w:rsidRPr="003A1174">
        <w:rPr>
          <w:rFonts w:ascii="Garamond" w:hAnsi="Garamond" w:cs="Arial"/>
          <w:lang w:val="pt-PT"/>
        </w:rPr>
        <w:t>Formação</w:t>
      </w:r>
      <w:r w:rsidR="00CA39B2" w:rsidRPr="003A1174">
        <w:rPr>
          <w:rFonts w:ascii="Garamond" w:hAnsi="Garamond" w:cs="Arial"/>
          <w:lang w:val="pt-PT"/>
        </w:rPr>
        <w:t xml:space="preserve"> e</w:t>
      </w:r>
      <w:r w:rsidR="00D56EFC" w:rsidRPr="003A1174">
        <w:rPr>
          <w:rFonts w:ascii="Garamond" w:hAnsi="Garamond" w:cs="Arial"/>
          <w:lang w:val="pt-PT"/>
        </w:rPr>
        <w:t>m</w:t>
      </w:r>
      <w:r w:rsidR="00CA39B2" w:rsidRPr="003A1174">
        <w:rPr>
          <w:rFonts w:ascii="Garamond" w:hAnsi="Garamond" w:cs="Arial"/>
          <w:lang w:val="pt-PT"/>
        </w:rPr>
        <w:t xml:space="preserve"> </w:t>
      </w:r>
      <w:r w:rsidR="00886D6A" w:rsidRPr="003A1174">
        <w:rPr>
          <w:rFonts w:ascii="Garamond" w:hAnsi="Garamond" w:cs="Arial"/>
          <w:lang w:val="pt-PT"/>
        </w:rPr>
        <w:t>Direito</w:t>
      </w:r>
      <w:r w:rsidR="00CA39B2" w:rsidRPr="003A1174">
        <w:rPr>
          <w:rFonts w:ascii="Garamond" w:hAnsi="Garamond" w:cs="Arial"/>
          <w:lang w:val="pt-PT"/>
        </w:rPr>
        <w:t xml:space="preserve">s </w:t>
      </w:r>
      <w:r w:rsidR="0091113A" w:rsidRPr="003A1174">
        <w:rPr>
          <w:rFonts w:ascii="Garamond" w:hAnsi="Garamond" w:cs="Arial"/>
          <w:lang w:val="pt-PT"/>
        </w:rPr>
        <w:t>Sexuais</w:t>
      </w:r>
      <w:r w:rsidR="00CA39B2" w:rsidRPr="003A1174">
        <w:rPr>
          <w:rFonts w:ascii="Garamond" w:hAnsi="Garamond" w:cs="Arial"/>
          <w:lang w:val="pt-PT"/>
        </w:rPr>
        <w:t xml:space="preserve"> </w:t>
      </w:r>
      <w:r w:rsidR="000672E8" w:rsidRPr="003A1174">
        <w:rPr>
          <w:rFonts w:ascii="Garamond" w:hAnsi="Garamond" w:cs="Arial"/>
          <w:lang w:val="pt-PT"/>
        </w:rPr>
        <w:t>e</w:t>
      </w:r>
      <w:r w:rsidR="00CA39B2" w:rsidRPr="003A1174">
        <w:rPr>
          <w:rFonts w:ascii="Garamond" w:hAnsi="Garamond" w:cs="Arial"/>
          <w:lang w:val="pt-PT"/>
        </w:rPr>
        <w:t xml:space="preserve"> </w:t>
      </w:r>
      <w:r w:rsidR="00D56EFC" w:rsidRPr="003A1174">
        <w:rPr>
          <w:rFonts w:ascii="Garamond" w:hAnsi="Garamond" w:cs="Arial"/>
          <w:lang w:val="pt-PT"/>
        </w:rPr>
        <w:t>Reprodutivo</w:t>
      </w:r>
      <w:r w:rsidR="00CA39B2" w:rsidRPr="003A1174">
        <w:rPr>
          <w:rFonts w:ascii="Garamond" w:hAnsi="Garamond" w:cs="Arial"/>
          <w:lang w:val="pt-PT"/>
        </w:rPr>
        <w:t xml:space="preserve">s para </w:t>
      </w:r>
      <w:r w:rsidR="00964875" w:rsidRPr="003A1174">
        <w:rPr>
          <w:rFonts w:ascii="Garamond" w:hAnsi="Garamond" w:cs="Arial"/>
          <w:lang w:val="pt-PT"/>
        </w:rPr>
        <w:t>crianças</w:t>
      </w:r>
      <w:r w:rsidR="00CA39B2" w:rsidRPr="003A1174">
        <w:rPr>
          <w:rFonts w:ascii="Garamond" w:hAnsi="Garamond" w:cs="Arial"/>
          <w:lang w:val="pt-PT"/>
        </w:rPr>
        <w:t xml:space="preserve"> </w:t>
      </w:r>
      <w:r w:rsidR="000672E8" w:rsidRPr="003A1174">
        <w:rPr>
          <w:rFonts w:ascii="Garamond" w:hAnsi="Garamond" w:cs="Arial"/>
          <w:lang w:val="pt-PT"/>
        </w:rPr>
        <w:t>e</w:t>
      </w:r>
      <w:r w:rsidR="00CA39B2" w:rsidRPr="003A1174">
        <w:rPr>
          <w:rFonts w:ascii="Garamond" w:hAnsi="Garamond" w:cs="Arial"/>
          <w:lang w:val="pt-PT"/>
        </w:rPr>
        <w:t xml:space="preserve"> adolescentes</w:t>
      </w:r>
      <w:r w:rsidR="008323A7">
        <w:rPr>
          <w:rFonts w:ascii="Garamond" w:hAnsi="Garamond" w:cs="Arial"/>
          <w:lang w:val="pt-PT"/>
        </w:rPr>
        <w:t>,</w:t>
      </w:r>
      <w:r w:rsidR="00CA39B2" w:rsidRPr="003A1174">
        <w:rPr>
          <w:rFonts w:ascii="Garamond" w:hAnsi="Garamond" w:cs="Arial"/>
          <w:lang w:val="pt-PT"/>
        </w:rPr>
        <w:t xml:space="preserve"> </w:t>
      </w:r>
      <w:r w:rsidR="000C6A23">
        <w:rPr>
          <w:rFonts w:ascii="Garamond" w:hAnsi="Garamond" w:cs="Arial"/>
          <w:lang w:val="pt-PT"/>
        </w:rPr>
        <w:t>promovida</w:t>
      </w:r>
      <w:r w:rsidR="00CA39B2" w:rsidRPr="003A1174">
        <w:rPr>
          <w:rFonts w:ascii="Garamond" w:hAnsi="Garamond" w:cs="Arial"/>
          <w:lang w:val="pt-PT"/>
        </w:rPr>
        <w:t xml:space="preserve"> </w:t>
      </w:r>
      <w:r w:rsidR="00331309" w:rsidRPr="003A1174">
        <w:rPr>
          <w:rFonts w:ascii="Garamond" w:hAnsi="Garamond" w:cs="Arial"/>
          <w:lang w:val="pt-PT"/>
        </w:rPr>
        <w:t>pe</w:t>
      </w:r>
      <w:r w:rsidR="00CA39B2" w:rsidRPr="003A1174">
        <w:rPr>
          <w:rFonts w:ascii="Garamond" w:hAnsi="Garamond" w:cs="Arial"/>
          <w:lang w:val="pt-PT"/>
        </w:rPr>
        <w:t xml:space="preserve">la </w:t>
      </w:r>
      <w:r w:rsidR="00800D59" w:rsidRPr="003A1174">
        <w:rPr>
          <w:rFonts w:ascii="Garamond" w:hAnsi="Garamond" w:cs="Arial"/>
          <w:lang w:val="pt-PT"/>
        </w:rPr>
        <w:t>Instituição</w:t>
      </w:r>
      <w:r w:rsidR="00CA39B2" w:rsidRPr="003A1174">
        <w:rPr>
          <w:rFonts w:ascii="Garamond" w:hAnsi="Garamond" w:cs="Arial"/>
          <w:lang w:val="pt-PT"/>
        </w:rPr>
        <w:t xml:space="preserve"> Nacional de </w:t>
      </w:r>
      <w:r w:rsidR="00886D6A" w:rsidRPr="003A1174">
        <w:rPr>
          <w:rFonts w:ascii="Garamond" w:hAnsi="Garamond" w:cs="Arial"/>
          <w:lang w:val="pt-PT"/>
        </w:rPr>
        <w:t>Direito</w:t>
      </w:r>
      <w:r w:rsidR="00CA39B2" w:rsidRPr="003A1174">
        <w:rPr>
          <w:rFonts w:ascii="Garamond" w:hAnsi="Garamond" w:cs="Arial"/>
          <w:lang w:val="pt-PT"/>
        </w:rPr>
        <w:t>s Humanos.</w:t>
      </w:r>
      <w:r w:rsidR="00CA39B2" w:rsidRPr="003A1174">
        <w:rPr>
          <w:rStyle w:val="Refdenotaalpie"/>
          <w:rFonts w:ascii="Garamond" w:hAnsi="Garamond" w:cs="Arial"/>
        </w:rPr>
        <w:footnoteReference w:id="121"/>
      </w:r>
      <w:r w:rsidR="000D3EED" w:rsidRPr="003A1174">
        <w:rPr>
          <w:rFonts w:ascii="Garamond" w:hAnsi="Garamond" w:cs="Arial"/>
          <w:lang w:val="pt-PT"/>
        </w:rPr>
        <w:t xml:space="preserve"> </w:t>
      </w:r>
      <w:r w:rsidR="00331309" w:rsidRPr="003A1174">
        <w:rPr>
          <w:rFonts w:ascii="Garamond" w:hAnsi="Garamond" w:cs="Arial"/>
          <w:lang w:val="pt-PT"/>
        </w:rPr>
        <w:t>P</w:t>
      </w:r>
      <w:r w:rsidR="007342D9" w:rsidRPr="003A1174">
        <w:rPr>
          <w:rFonts w:ascii="Garamond" w:hAnsi="Garamond" w:cs="Arial"/>
          <w:lang w:val="pt-PT"/>
        </w:rPr>
        <w:t>ode</w:t>
      </w:r>
      <w:r w:rsidR="00331309" w:rsidRPr="003A1174">
        <w:rPr>
          <w:rFonts w:ascii="Garamond" w:hAnsi="Garamond" w:cs="Arial"/>
          <w:lang w:val="pt-PT"/>
        </w:rPr>
        <w:t>-se</w:t>
      </w:r>
      <w:r w:rsidR="000D3EED" w:rsidRPr="003A1174">
        <w:rPr>
          <w:rFonts w:ascii="Garamond" w:hAnsi="Garamond" w:cs="Arial"/>
          <w:lang w:val="pt-PT"/>
        </w:rPr>
        <w:t xml:space="preserve"> </w:t>
      </w:r>
      <w:r w:rsidR="00CA39B2" w:rsidRPr="003A1174">
        <w:rPr>
          <w:rFonts w:ascii="Garamond" w:hAnsi="Garamond" w:cs="Arial"/>
          <w:lang w:val="pt-PT"/>
        </w:rPr>
        <w:t>anota</w:t>
      </w:r>
      <w:r w:rsidR="000D3EED" w:rsidRPr="003A1174">
        <w:rPr>
          <w:rFonts w:ascii="Garamond" w:hAnsi="Garamond" w:cs="Arial"/>
          <w:lang w:val="pt-PT"/>
        </w:rPr>
        <w:t>r</w:t>
      </w:r>
      <w:r w:rsidR="00CA39B2" w:rsidRPr="003A1174">
        <w:rPr>
          <w:rFonts w:ascii="Garamond" w:hAnsi="Garamond" w:cs="Arial"/>
          <w:lang w:val="pt-PT"/>
        </w:rPr>
        <w:t xml:space="preserve"> que </w:t>
      </w:r>
      <w:r w:rsidR="00331309" w:rsidRPr="003A1174">
        <w:rPr>
          <w:rFonts w:ascii="Garamond" w:hAnsi="Garamond" w:cs="Arial"/>
          <w:lang w:val="pt-PT"/>
        </w:rPr>
        <w:t xml:space="preserve">no </w:t>
      </w:r>
      <w:r w:rsidR="00CA39B2" w:rsidRPr="003A1174">
        <w:rPr>
          <w:rFonts w:ascii="Garamond" w:hAnsi="Garamond" w:cs="Arial"/>
          <w:lang w:val="pt-PT"/>
        </w:rPr>
        <w:t>perí</w:t>
      </w:r>
      <w:r w:rsidR="000D3EED" w:rsidRPr="003A1174">
        <w:rPr>
          <w:rFonts w:ascii="Garamond" w:hAnsi="Garamond" w:cs="Arial"/>
          <w:lang w:val="pt-PT"/>
        </w:rPr>
        <w:t>o</w:t>
      </w:r>
      <w:r w:rsidR="00331309" w:rsidRPr="003A1174">
        <w:rPr>
          <w:rFonts w:ascii="Garamond" w:hAnsi="Garamond" w:cs="Arial"/>
          <w:lang w:val="pt-PT"/>
        </w:rPr>
        <w:t xml:space="preserve">do escolar 2013-2014 </w:t>
      </w:r>
      <w:r w:rsidR="00CA39B2" w:rsidRPr="003A1174">
        <w:rPr>
          <w:rFonts w:ascii="Garamond" w:hAnsi="Garamond" w:cs="Arial"/>
          <w:lang w:val="pt-PT"/>
        </w:rPr>
        <w:t xml:space="preserve">a </w:t>
      </w:r>
      <w:r w:rsidR="006C6E85" w:rsidRPr="003A1174">
        <w:rPr>
          <w:rFonts w:ascii="Garamond" w:hAnsi="Garamond" w:cs="Arial"/>
          <w:lang w:val="pt-PT"/>
        </w:rPr>
        <w:lastRenderedPageBreak/>
        <w:t>Provedoria</w:t>
      </w:r>
      <w:r w:rsidR="00CA39B2" w:rsidRPr="003A1174">
        <w:rPr>
          <w:rFonts w:ascii="Garamond" w:hAnsi="Garamond" w:cs="Arial"/>
          <w:lang w:val="pt-PT"/>
        </w:rPr>
        <w:t xml:space="preserve"> </w:t>
      </w:r>
      <w:r w:rsidR="00331309" w:rsidRPr="003A1174">
        <w:rPr>
          <w:rFonts w:ascii="Garamond" w:hAnsi="Garamond" w:cs="Arial"/>
          <w:lang w:val="pt-PT"/>
        </w:rPr>
        <w:t xml:space="preserve">deu </w:t>
      </w:r>
      <w:r w:rsidR="00CA39B2" w:rsidRPr="003A1174">
        <w:rPr>
          <w:rFonts w:ascii="Garamond" w:hAnsi="Garamond" w:cs="Arial"/>
          <w:lang w:val="pt-PT"/>
        </w:rPr>
        <w:t>forma</w:t>
      </w:r>
      <w:r w:rsidR="00331309" w:rsidRPr="003A1174">
        <w:rPr>
          <w:rFonts w:ascii="Garamond" w:hAnsi="Garamond" w:cs="Arial"/>
          <w:lang w:val="pt-PT"/>
        </w:rPr>
        <w:t>ção a 5</w:t>
      </w:r>
      <w:r w:rsidR="00CA39B2" w:rsidRPr="003A1174">
        <w:rPr>
          <w:rFonts w:ascii="Garamond" w:hAnsi="Garamond" w:cs="Arial"/>
          <w:lang w:val="pt-PT"/>
        </w:rPr>
        <w:t xml:space="preserve">000 </w:t>
      </w:r>
      <w:r w:rsidR="00331309" w:rsidRPr="003A1174">
        <w:rPr>
          <w:rFonts w:ascii="Garamond" w:hAnsi="Garamond" w:cs="Arial"/>
          <w:lang w:val="pt-PT"/>
        </w:rPr>
        <w:t>crianças e</w:t>
      </w:r>
      <w:r w:rsidR="00CA39B2" w:rsidRPr="003A1174">
        <w:rPr>
          <w:rFonts w:ascii="Garamond" w:hAnsi="Garamond" w:cs="Arial"/>
          <w:lang w:val="pt-PT"/>
        </w:rPr>
        <w:t xml:space="preserve"> adolescentes e</w:t>
      </w:r>
      <w:r w:rsidR="00331309" w:rsidRPr="003A1174">
        <w:rPr>
          <w:rFonts w:ascii="Garamond" w:hAnsi="Garamond" w:cs="Arial"/>
          <w:lang w:val="pt-PT"/>
        </w:rPr>
        <w:t>m</w:t>
      </w:r>
      <w:r w:rsidR="00CA39B2" w:rsidRPr="003A1174">
        <w:rPr>
          <w:rFonts w:ascii="Garamond" w:hAnsi="Garamond" w:cs="Arial"/>
          <w:lang w:val="pt-PT"/>
        </w:rPr>
        <w:t xml:space="preserve"> diferentes programas</w:t>
      </w:r>
      <w:r w:rsidR="000D3EED" w:rsidRPr="003A1174">
        <w:rPr>
          <w:rFonts w:ascii="Garamond" w:hAnsi="Garamond" w:cs="Arial"/>
          <w:lang w:val="pt-PT"/>
        </w:rPr>
        <w:t xml:space="preserve"> a </w:t>
      </w:r>
      <w:r w:rsidR="0017447A" w:rsidRPr="003A1174">
        <w:rPr>
          <w:rFonts w:ascii="Garamond" w:hAnsi="Garamond" w:cs="Arial"/>
          <w:lang w:val="pt-PT"/>
        </w:rPr>
        <w:t>nível</w:t>
      </w:r>
      <w:r w:rsidR="000D3EED" w:rsidRPr="003A1174">
        <w:rPr>
          <w:rFonts w:ascii="Garamond" w:hAnsi="Garamond" w:cs="Arial"/>
          <w:lang w:val="pt-PT"/>
        </w:rPr>
        <w:t xml:space="preserve"> nacional</w:t>
      </w:r>
      <w:r w:rsidR="00CA39B2" w:rsidRPr="003A1174">
        <w:rPr>
          <w:rFonts w:ascii="Garamond" w:hAnsi="Garamond" w:cs="Arial"/>
          <w:lang w:val="pt-PT"/>
        </w:rPr>
        <w:t xml:space="preserve">, </w:t>
      </w:r>
      <w:r w:rsidR="00331309" w:rsidRPr="003A1174">
        <w:rPr>
          <w:rFonts w:ascii="Garamond" w:hAnsi="Garamond" w:cs="Arial"/>
          <w:lang w:val="pt-PT"/>
        </w:rPr>
        <w:t xml:space="preserve">destacando o </w:t>
      </w:r>
      <w:r w:rsidR="001647F2" w:rsidRPr="003A1174">
        <w:rPr>
          <w:rFonts w:ascii="Garamond" w:hAnsi="Garamond" w:cs="Arial"/>
          <w:lang w:val="pt-PT"/>
        </w:rPr>
        <w:t>facto</w:t>
      </w:r>
      <w:r w:rsidR="000D3EED" w:rsidRPr="003A1174">
        <w:rPr>
          <w:rFonts w:ascii="Garamond" w:hAnsi="Garamond" w:cs="Arial"/>
          <w:lang w:val="pt-PT"/>
        </w:rPr>
        <w:t xml:space="preserve"> de </w:t>
      </w:r>
      <w:r w:rsidR="00CA39B2" w:rsidRPr="003A1174">
        <w:rPr>
          <w:rFonts w:ascii="Garamond" w:hAnsi="Garamond" w:cs="Arial"/>
          <w:lang w:val="pt-PT"/>
        </w:rPr>
        <w:t xml:space="preserve">que se </w:t>
      </w:r>
      <w:r w:rsidR="000C6A23">
        <w:rPr>
          <w:rFonts w:ascii="Garamond" w:hAnsi="Garamond" w:cs="Arial"/>
          <w:lang w:val="pt-PT"/>
        </w:rPr>
        <w:t xml:space="preserve">terem </w:t>
      </w:r>
      <w:r w:rsidR="00331309" w:rsidRPr="003A1174">
        <w:rPr>
          <w:rFonts w:ascii="Garamond" w:hAnsi="Garamond" w:cs="Arial"/>
          <w:lang w:val="pt-PT"/>
        </w:rPr>
        <w:t>junta</w:t>
      </w:r>
      <w:r w:rsidR="000C6A23">
        <w:rPr>
          <w:rFonts w:ascii="Garamond" w:hAnsi="Garamond" w:cs="Arial"/>
          <w:lang w:val="pt-PT"/>
        </w:rPr>
        <w:t>do</w:t>
      </w:r>
      <w:r w:rsidR="00331309" w:rsidRPr="003A1174">
        <w:rPr>
          <w:rFonts w:ascii="Garamond" w:hAnsi="Garamond" w:cs="Arial"/>
          <w:lang w:val="pt-PT"/>
        </w:rPr>
        <w:t xml:space="preserve"> </w:t>
      </w:r>
      <w:r w:rsidR="00CA39B2" w:rsidRPr="003A1174">
        <w:rPr>
          <w:rFonts w:ascii="Garamond" w:hAnsi="Garamond" w:cs="Arial"/>
          <w:lang w:val="pt-PT"/>
        </w:rPr>
        <w:t xml:space="preserve">os </w:t>
      </w:r>
      <w:r w:rsidR="00D77C19" w:rsidRPr="003A1174">
        <w:rPr>
          <w:rFonts w:ascii="Garamond" w:hAnsi="Garamond" w:cs="Arial"/>
          <w:lang w:val="pt-PT"/>
        </w:rPr>
        <w:t>Ministério</w:t>
      </w:r>
      <w:r w:rsidR="00CA39B2" w:rsidRPr="003A1174">
        <w:rPr>
          <w:rFonts w:ascii="Garamond" w:hAnsi="Garamond" w:cs="Arial"/>
          <w:lang w:val="pt-PT"/>
        </w:rPr>
        <w:t xml:space="preserve">s </w:t>
      </w:r>
      <w:r w:rsidR="00E85E59" w:rsidRPr="003A1174">
        <w:rPr>
          <w:rFonts w:ascii="Garamond" w:hAnsi="Garamond" w:cs="Arial"/>
          <w:lang w:val="pt-PT"/>
        </w:rPr>
        <w:t>do</w:t>
      </w:r>
      <w:r w:rsidR="00CA39B2" w:rsidRPr="003A1174">
        <w:rPr>
          <w:rFonts w:ascii="Garamond" w:hAnsi="Garamond" w:cs="Arial"/>
          <w:lang w:val="pt-PT"/>
        </w:rPr>
        <w:t xml:space="preserve"> Poder Popular d</w:t>
      </w:r>
      <w:r w:rsidR="00331309" w:rsidRPr="003A1174">
        <w:rPr>
          <w:rFonts w:ascii="Garamond" w:hAnsi="Garamond" w:cs="Arial"/>
          <w:lang w:val="pt-PT"/>
        </w:rPr>
        <w:t xml:space="preserve">a </w:t>
      </w:r>
      <w:r w:rsidR="00802ACC" w:rsidRPr="003A1174">
        <w:rPr>
          <w:rFonts w:ascii="Garamond" w:hAnsi="Garamond" w:cs="Arial"/>
          <w:lang w:val="pt-PT"/>
        </w:rPr>
        <w:t>Educação</w:t>
      </w:r>
      <w:r w:rsidR="00CA39B2" w:rsidRPr="003A1174">
        <w:rPr>
          <w:rFonts w:ascii="Garamond" w:hAnsi="Garamond" w:cs="Arial"/>
          <w:lang w:val="pt-PT"/>
        </w:rPr>
        <w:t>, Juventud</w:t>
      </w:r>
      <w:r w:rsidR="00331309" w:rsidRPr="003A1174">
        <w:rPr>
          <w:rFonts w:ascii="Garamond" w:hAnsi="Garamond" w:cs="Arial"/>
          <w:lang w:val="pt-PT"/>
        </w:rPr>
        <w:t>e</w:t>
      </w:r>
      <w:r w:rsidR="00CA39B2" w:rsidRPr="003A1174">
        <w:rPr>
          <w:rFonts w:ascii="Garamond" w:hAnsi="Garamond" w:cs="Arial"/>
          <w:lang w:val="pt-PT"/>
        </w:rPr>
        <w:t xml:space="preserve"> </w:t>
      </w:r>
      <w:r w:rsidR="000672E8" w:rsidRPr="003A1174">
        <w:rPr>
          <w:rFonts w:ascii="Garamond" w:hAnsi="Garamond" w:cs="Arial"/>
          <w:lang w:val="pt-PT"/>
        </w:rPr>
        <w:t>e</w:t>
      </w:r>
      <w:r w:rsidR="00CA39B2" w:rsidRPr="003A1174">
        <w:rPr>
          <w:rFonts w:ascii="Garamond" w:hAnsi="Garamond" w:cs="Arial"/>
          <w:lang w:val="pt-PT"/>
        </w:rPr>
        <w:t xml:space="preserve"> </w:t>
      </w:r>
      <w:r w:rsidR="00AF192F" w:rsidRPr="003A1174">
        <w:rPr>
          <w:rFonts w:ascii="Garamond" w:hAnsi="Garamond" w:cs="Arial"/>
          <w:lang w:val="pt-PT"/>
        </w:rPr>
        <w:t>Mulher</w:t>
      </w:r>
      <w:r w:rsidR="00CA39B2" w:rsidRPr="003A1174">
        <w:rPr>
          <w:rFonts w:ascii="Garamond" w:hAnsi="Garamond" w:cs="Arial"/>
          <w:lang w:val="pt-PT"/>
        </w:rPr>
        <w:t xml:space="preserve"> para </w:t>
      </w:r>
      <w:r w:rsidR="00331309" w:rsidRPr="003A1174">
        <w:rPr>
          <w:rFonts w:ascii="Garamond" w:hAnsi="Garamond" w:cs="Arial"/>
          <w:lang w:val="pt-PT"/>
        </w:rPr>
        <w:t xml:space="preserve">darem </w:t>
      </w:r>
      <w:r w:rsidR="00CA39B2" w:rsidRPr="003A1174">
        <w:rPr>
          <w:rFonts w:ascii="Garamond" w:hAnsi="Garamond" w:cs="Arial"/>
          <w:lang w:val="pt-PT"/>
        </w:rPr>
        <w:t xml:space="preserve">a </w:t>
      </w:r>
      <w:r w:rsidR="00BA3CCE" w:rsidRPr="003A1174">
        <w:rPr>
          <w:rFonts w:ascii="Garamond" w:hAnsi="Garamond" w:cs="Arial"/>
          <w:lang w:val="pt-PT"/>
        </w:rPr>
        <w:t>metodologia</w:t>
      </w:r>
      <w:r w:rsidR="00CA39B2" w:rsidRPr="003A1174">
        <w:rPr>
          <w:rFonts w:ascii="Garamond" w:hAnsi="Garamond" w:cs="Arial"/>
          <w:lang w:val="pt-PT"/>
        </w:rPr>
        <w:t xml:space="preserve"> </w:t>
      </w:r>
      <w:r w:rsidR="00331309" w:rsidRPr="003A1174">
        <w:rPr>
          <w:rFonts w:ascii="Garamond" w:hAnsi="Garamond" w:cs="Arial"/>
          <w:lang w:val="pt-PT"/>
        </w:rPr>
        <w:t xml:space="preserve">concebida </w:t>
      </w:r>
      <w:r w:rsidR="00275092" w:rsidRPr="003A1174">
        <w:rPr>
          <w:rFonts w:ascii="Garamond" w:hAnsi="Garamond" w:cs="Arial"/>
          <w:lang w:val="pt-PT"/>
        </w:rPr>
        <w:t>pela</w:t>
      </w:r>
      <w:r w:rsidR="00CA39B2" w:rsidRPr="003A1174">
        <w:rPr>
          <w:rFonts w:ascii="Garamond" w:hAnsi="Garamond" w:cs="Arial"/>
          <w:lang w:val="pt-PT"/>
        </w:rPr>
        <w:t xml:space="preserve"> </w:t>
      </w:r>
      <w:r w:rsidR="006C6E85" w:rsidRPr="003A1174">
        <w:rPr>
          <w:rFonts w:ascii="Garamond" w:hAnsi="Garamond" w:cs="Arial"/>
          <w:lang w:val="pt-PT"/>
        </w:rPr>
        <w:t>Provedoria</w:t>
      </w:r>
      <w:r w:rsidR="00CA39B2" w:rsidRPr="003A1174">
        <w:rPr>
          <w:rFonts w:ascii="Garamond" w:hAnsi="Garamond" w:cs="Arial"/>
          <w:lang w:val="pt-PT"/>
        </w:rPr>
        <w:t>.</w:t>
      </w:r>
      <w:r w:rsidR="00CA39B2" w:rsidRPr="003A1174">
        <w:rPr>
          <w:rStyle w:val="Refdenotaalpie"/>
          <w:rFonts w:ascii="Garamond" w:hAnsi="Garamond" w:cs="Arial"/>
        </w:rPr>
        <w:footnoteReference w:id="122"/>
      </w:r>
    </w:p>
    <w:p w:rsidR="00CA39B2" w:rsidRPr="003A1174" w:rsidRDefault="00331309" w:rsidP="00282F38">
      <w:pPr>
        <w:pStyle w:val="estilo25"/>
        <w:spacing w:before="240" w:beforeAutospacing="0"/>
        <w:jc w:val="both"/>
        <w:rPr>
          <w:rStyle w:val="nfasis"/>
          <w:rFonts w:ascii="Garamond" w:hAnsi="Garamond" w:cs="Arial"/>
          <w:bCs/>
          <w:i w:val="0"/>
          <w:lang w:val="pt-PT"/>
        </w:rPr>
      </w:pPr>
      <w:r w:rsidRPr="003A1174">
        <w:rPr>
          <w:rStyle w:val="nfasis"/>
          <w:rFonts w:ascii="Garamond" w:hAnsi="Garamond" w:cs="Arial"/>
          <w:bCs/>
          <w:i w:val="0"/>
          <w:lang w:val="pt-PT"/>
        </w:rPr>
        <w:t xml:space="preserve">Entre </w:t>
      </w:r>
      <w:r w:rsidR="00CA39B2" w:rsidRPr="003A1174">
        <w:rPr>
          <w:rStyle w:val="nfasis"/>
          <w:rFonts w:ascii="Garamond" w:hAnsi="Garamond" w:cs="Arial"/>
          <w:bCs/>
          <w:i w:val="0"/>
          <w:lang w:val="pt-PT"/>
        </w:rPr>
        <w:t xml:space="preserve">as </w:t>
      </w:r>
      <w:r w:rsidR="00374785" w:rsidRPr="003A1174">
        <w:rPr>
          <w:rStyle w:val="nfasis"/>
          <w:rFonts w:ascii="Garamond" w:hAnsi="Garamond" w:cs="Arial"/>
          <w:bCs/>
          <w:i w:val="0"/>
          <w:lang w:val="pt-PT"/>
        </w:rPr>
        <w:t>atividades</w:t>
      </w:r>
      <w:r w:rsidR="00CA39B2" w:rsidRPr="003A1174">
        <w:rPr>
          <w:rStyle w:val="nfasis"/>
          <w:rFonts w:ascii="Garamond" w:hAnsi="Garamond" w:cs="Arial"/>
          <w:bCs/>
          <w:i w:val="0"/>
          <w:lang w:val="pt-PT"/>
        </w:rPr>
        <w:t xml:space="preserve"> </w:t>
      </w:r>
      <w:r w:rsidR="004C71E0" w:rsidRPr="003A1174">
        <w:rPr>
          <w:rStyle w:val="nfasis"/>
          <w:rFonts w:ascii="Garamond" w:hAnsi="Garamond" w:cs="Arial"/>
          <w:bCs/>
          <w:i w:val="0"/>
          <w:lang w:val="pt-PT"/>
        </w:rPr>
        <w:t>efetua</w:t>
      </w:r>
      <w:r w:rsidR="00CA39B2" w:rsidRPr="003A1174">
        <w:rPr>
          <w:rStyle w:val="nfasis"/>
          <w:rFonts w:ascii="Garamond" w:hAnsi="Garamond" w:cs="Arial"/>
          <w:bCs/>
          <w:i w:val="0"/>
          <w:lang w:val="pt-PT"/>
        </w:rPr>
        <w:t xml:space="preserve">das </w:t>
      </w:r>
      <w:r w:rsidRPr="003A1174">
        <w:rPr>
          <w:rStyle w:val="nfasis"/>
          <w:rFonts w:ascii="Garamond" w:hAnsi="Garamond" w:cs="Arial"/>
          <w:bCs/>
          <w:i w:val="0"/>
          <w:lang w:val="pt-PT"/>
        </w:rPr>
        <w:t>destaca</w:t>
      </w:r>
      <w:r w:rsidR="008323A7">
        <w:rPr>
          <w:rStyle w:val="nfasis"/>
          <w:rFonts w:ascii="Garamond" w:hAnsi="Garamond" w:cs="Arial"/>
          <w:bCs/>
          <w:i w:val="0"/>
          <w:lang w:val="pt-PT"/>
        </w:rPr>
        <w:t>-se</w:t>
      </w:r>
      <w:r w:rsidRPr="003A1174">
        <w:rPr>
          <w:rStyle w:val="nfasis"/>
          <w:rFonts w:ascii="Garamond" w:hAnsi="Garamond" w:cs="Arial"/>
          <w:bCs/>
          <w:i w:val="0"/>
          <w:lang w:val="pt-PT"/>
        </w:rPr>
        <w:t xml:space="preserve">, também, </w:t>
      </w:r>
      <w:r w:rsidR="00CA39B2" w:rsidRPr="003A1174">
        <w:rPr>
          <w:rStyle w:val="nfasis"/>
          <w:rFonts w:ascii="Garamond" w:hAnsi="Garamond" w:cs="Arial"/>
          <w:bCs/>
          <w:i w:val="0"/>
          <w:lang w:val="pt-PT"/>
        </w:rPr>
        <w:t xml:space="preserve">a </w:t>
      </w:r>
      <w:r w:rsidR="0017447A" w:rsidRPr="003A1174">
        <w:rPr>
          <w:rStyle w:val="nfasis"/>
          <w:rFonts w:ascii="Garamond" w:hAnsi="Garamond" w:cs="Arial"/>
          <w:bCs/>
          <w:i w:val="0"/>
          <w:lang w:val="pt-PT"/>
        </w:rPr>
        <w:t>participação</w:t>
      </w:r>
      <w:r w:rsidR="00CA39B2" w:rsidRPr="003A1174">
        <w:rPr>
          <w:rStyle w:val="nfasis"/>
          <w:rFonts w:ascii="Garamond" w:hAnsi="Garamond" w:cs="Arial"/>
          <w:bCs/>
          <w:i w:val="0"/>
          <w:lang w:val="pt-PT"/>
        </w:rPr>
        <w:t xml:space="preserve"> e</w:t>
      </w:r>
      <w:r w:rsidRPr="003A1174">
        <w:rPr>
          <w:rStyle w:val="nfasis"/>
          <w:rFonts w:ascii="Garamond" w:hAnsi="Garamond" w:cs="Arial"/>
          <w:bCs/>
          <w:i w:val="0"/>
          <w:lang w:val="pt-PT"/>
        </w:rPr>
        <w:t>m</w:t>
      </w:r>
      <w:r w:rsidR="00CA39B2" w:rsidRPr="003A1174">
        <w:rPr>
          <w:rStyle w:val="nfasis"/>
          <w:rFonts w:ascii="Garamond" w:hAnsi="Garamond" w:cs="Arial"/>
          <w:bCs/>
          <w:i w:val="0"/>
          <w:lang w:val="pt-PT"/>
        </w:rPr>
        <w:t xml:space="preserve"> </w:t>
      </w:r>
      <w:r w:rsidR="008323A7">
        <w:rPr>
          <w:rStyle w:val="nfasis"/>
          <w:rFonts w:ascii="Garamond" w:hAnsi="Garamond" w:cs="Arial"/>
          <w:bCs/>
          <w:i w:val="0"/>
          <w:lang w:val="pt-PT"/>
        </w:rPr>
        <w:t xml:space="preserve">grupos </w:t>
      </w:r>
      <w:r w:rsidR="00CA39B2" w:rsidRPr="003A1174">
        <w:rPr>
          <w:rStyle w:val="nfasis"/>
          <w:rFonts w:ascii="Garamond" w:hAnsi="Garamond" w:cs="Arial"/>
          <w:bCs/>
          <w:i w:val="0"/>
          <w:lang w:val="pt-PT"/>
        </w:rPr>
        <w:t xml:space="preserve">de </w:t>
      </w:r>
      <w:r w:rsidR="0017447A" w:rsidRPr="003A1174">
        <w:rPr>
          <w:rStyle w:val="nfasis"/>
          <w:rFonts w:ascii="Garamond" w:hAnsi="Garamond" w:cs="Arial"/>
          <w:bCs/>
          <w:i w:val="0"/>
          <w:lang w:val="pt-PT"/>
        </w:rPr>
        <w:t>trabalho</w:t>
      </w:r>
      <w:r w:rsidR="00CA39B2" w:rsidRPr="003A1174">
        <w:rPr>
          <w:rStyle w:val="nfasis"/>
          <w:rFonts w:ascii="Garamond" w:hAnsi="Garamond" w:cs="Arial"/>
          <w:bCs/>
          <w:i w:val="0"/>
          <w:lang w:val="pt-PT"/>
        </w:rPr>
        <w:t xml:space="preserve"> convocad</w:t>
      </w:r>
      <w:r w:rsidR="008323A7">
        <w:rPr>
          <w:rStyle w:val="nfasis"/>
          <w:rFonts w:ascii="Garamond" w:hAnsi="Garamond" w:cs="Arial"/>
          <w:bCs/>
          <w:i w:val="0"/>
          <w:lang w:val="pt-PT"/>
        </w:rPr>
        <w:t>o</w:t>
      </w:r>
      <w:r w:rsidR="00CA39B2" w:rsidRPr="003A1174">
        <w:rPr>
          <w:rStyle w:val="nfasis"/>
          <w:rFonts w:ascii="Garamond" w:hAnsi="Garamond" w:cs="Arial"/>
          <w:bCs/>
          <w:i w:val="0"/>
          <w:lang w:val="pt-PT"/>
        </w:rPr>
        <w:t>s por diferentes ent</w:t>
      </w:r>
      <w:r w:rsidRPr="003A1174">
        <w:rPr>
          <w:rStyle w:val="nfasis"/>
          <w:rFonts w:ascii="Garamond" w:hAnsi="Garamond" w:cs="Arial"/>
          <w:bCs/>
          <w:i w:val="0"/>
          <w:lang w:val="pt-PT"/>
        </w:rPr>
        <w:t>idad</w:t>
      </w:r>
      <w:r w:rsidR="00CA39B2" w:rsidRPr="003A1174">
        <w:rPr>
          <w:rStyle w:val="nfasis"/>
          <w:rFonts w:ascii="Garamond" w:hAnsi="Garamond" w:cs="Arial"/>
          <w:bCs/>
          <w:i w:val="0"/>
          <w:lang w:val="pt-PT"/>
        </w:rPr>
        <w:t xml:space="preserve">es </w:t>
      </w:r>
      <w:r w:rsidR="00E85E59" w:rsidRPr="003A1174">
        <w:rPr>
          <w:rStyle w:val="nfasis"/>
          <w:rFonts w:ascii="Garamond" w:hAnsi="Garamond" w:cs="Arial"/>
          <w:bCs/>
          <w:i w:val="0"/>
          <w:lang w:val="pt-PT"/>
        </w:rPr>
        <w:t>do</w:t>
      </w:r>
      <w:r w:rsidR="00CA39B2" w:rsidRPr="003A1174">
        <w:rPr>
          <w:rStyle w:val="nfasis"/>
          <w:rFonts w:ascii="Garamond" w:hAnsi="Garamond" w:cs="Arial"/>
          <w:bCs/>
          <w:i w:val="0"/>
          <w:lang w:val="pt-PT"/>
        </w:rPr>
        <w:t xml:space="preserve"> Estado co</w:t>
      </w:r>
      <w:r w:rsidRPr="003A1174">
        <w:rPr>
          <w:rStyle w:val="nfasis"/>
          <w:rFonts w:ascii="Garamond" w:hAnsi="Garamond" w:cs="Arial"/>
          <w:bCs/>
          <w:i w:val="0"/>
          <w:lang w:val="pt-PT"/>
        </w:rPr>
        <w:t xml:space="preserve">m </w:t>
      </w:r>
      <w:r w:rsidR="00CA39B2" w:rsidRPr="003A1174">
        <w:rPr>
          <w:rStyle w:val="nfasis"/>
          <w:rFonts w:ascii="Garamond" w:hAnsi="Garamond" w:cs="Arial"/>
          <w:bCs/>
          <w:i w:val="0"/>
          <w:lang w:val="pt-PT"/>
        </w:rPr>
        <w:t xml:space="preserve">a </w:t>
      </w:r>
      <w:r w:rsidR="006F4B2C" w:rsidRPr="003A1174">
        <w:rPr>
          <w:rStyle w:val="nfasis"/>
          <w:rFonts w:ascii="Garamond" w:hAnsi="Garamond" w:cs="Arial"/>
          <w:bCs/>
          <w:i w:val="0"/>
          <w:lang w:val="pt-PT"/>
        </w:rPr>
        <w:t>finalidade</w:t>
      </w:r>
      <w:r w:rsidR="00CA39B2" w:rsidRPr="003A1174">
        <w:rPr>
          <w:rStyle w:val="nfasis"/>
          <w:rFonts w:ascii="Garamond" w:hAnsi="Garamond" w:cs="Arial"/>
          <w:bCs/>
          <w:i w:val="0"/>
          <w:lang w:val="pt-PT"/>
        </w:rPr>
        <w:t xml:space="preserve"> de articular e impuls</w:t>
      </w:r>
      <w:r w:rsidRPr="003A1174">
        <w:rPr>
          <w:rStyle w:val="nfasis"/>
          <w:rFonts w:ascii="Garamond" w:hAnsi="Garamond" w:cs="Arial"/>
          <w:bCs/>
          <w:i w:val="0"/>
          <w:lang w:val="pt-PT"/>
        </w:rPr>
        <w:t>ion</w:t>
      </w:r>
      <w:r w:rsidR="00CA39B2" w:rsidRPr="003A1174">
        <w:rPr>
          <w:rStyle w:val="nfasis"/>
          <w:rFonts w:ascii="Garamond" w:hAnsi="Garamond" w:cs="Arial"/>
          <w:bCs/>
          <w:i w:val="0"/>
          <w:lang w:val="pt-PT"/>
        </w:rPr>
        <w:t xml:space="preserve">ar </w:t>
      </w:r>
      <w:r w:rsidR="002C7510" w:rsidRPr="003A1174">
        <w:rPr>
          <w:rStyle w:val="nfasis"/>
          <w:rFonts w:ascii="Garamond" w:hAnsi="Garamond" w:cs="Arial"/>
          <w:bCs/>
          <w:i w:val="0"/>
          <w:lang w:val="pt-PT"/>
        </w:rPr>
        <w:t>ações</w:t>
      </w:r>
      <w:r w:rsidR="00CA39B2" w:rsidRPr="003A1174">
        <w:rPr>
          <w:rStyle w:val="nfasis"/>
          <w:rFonts w:ascii="Garamond" w:hAnsi="Garamond" w:cs="Arial"/>
          <w:bCs/>
          <w:i w:val="0"/>
          <w:lang w:val="pt-PT"/>
        </w:rPr>
        <w:t xml:space="preserve"> concretas para </w:t>
      </w:r>
      <w:r w:rsidR="00AF192F" w:rsidRPr="003A1174">
        <w:rPr>
          <w:rStyle w:val="nfasis"/>
          <w:rFonts w:ascii="Garamond" w:hAnsi="Garamond" w:cs="Arial"/>
          <w:bCs/>
          <w:i w:val="0"/>
          <w:lang w:val="pt-PT"/>
        </w:rPr>
        <w:t>garantir</w:t>
      </w:r>
      <w:r w:rsidRPr="003A1174">
        <w:rPr>
          <w:rStyle w:val="nfasis"/>
          <w:rFonts w:ascii="Garamond" w:hAnsi="Garamond" w:cs="Arial"/>
          <w:bCs/>
          <w:i w:val="0"/>
          <w:lang w:val="pt-PT"/>
        </w:rPr>
        <w:t xml:space="preserve">em </w:t>
      </w:r>
      <w:r w:rsidR="00CA39B2" w:rsidRPr="003A1174">
        <w:rPr>
          <w:rStyle w:val="nfasis"/>
          <w:rFonts w:ascii="Garamond" w:hAnsi="Garamond" w:cs="Arial"/>
          <w:bCs/>
          <w:i w:val="0"/>
          <w:lang w:val="pt-PT"/>
        </w:rPr>
        <w:t xml:space="preserve">os </w:t>
      </w:r>
      <w:r w:rsidR="00886D6A" w:rsidRPr="003A1174">
        <w:rPr>
          <w:rStyle w:val="nfasis"/>
          <w:rFonts w:ascii="Garamond" w:hAnsi="Garamond" w:cs="Arial"/>
          <w:bCs/>
          <w:i w:val="0"/>
          <w:lang w:val="pt-PT"/>
        </w:rPr>
        <w:t>direito</w:t>
      </w:r>
      <w:r w:rsidR="00CA39B2" w:rsidRPr="003A1174">
        <w:rPr>
          <w:rStyle w:val="nfasis"/>
          <w:rFonts w:ascii="Garamond" w:hAnsi="Garamond" w:cs="Arial"/>
          <w:bCs/>
          <w:i w:val="0"/>
          <w:lang w:val="pt-PT"/>
        </w:rPr>
        <w:t xml:space="preserve">s </w:t>
      </w:r>
      <w:r w:rsidR="00497503" w:rsidRPr="003A1174">
        <w:rPr>
          <w:rStyle w:val="nfasis"/>
          <w:rFonts w:ascii="Garamond" w:hAnsi="Garamond" w:cs="Arial"/>
          <w:bCs/>
          <w:i w:val="0"/>
          <w:lang w:val="pt-PT"/>
        </w:rPr>
        <w:t>das</w:t>
      </w:r>
      <w:r w:rsidR="00CA39B2" w:rsidRPr="003A1174">
        <w:rPr>
          <w:rStyle w:val="nfasis"/>
          <w:rFonts w:ascii="Garamond" w:hAnsi="Garamond" w:cs="Arial"/>
          <w:bCs/>
          <w:i w:val="0"/>
          <w:lang w:val="pt-PT"/>
        </w:rPr>
        <w:t xml:space="preserve"> </w:t>
      </w:r>
      <w:r w:rsidR="00054EE0" w:rsidRPr="003A1174">
        <w:rPr>
          <w:rStyle w:val="nfasis"/>
          <w:rFonts w:ascii="Garamond" w:hAnsi="Garamond" w:cs="Arial"/>
          <w:bCs/>
          <w:i w:val="0"/>
          <w:lang w:val="pt-PT"/>
        </w:rPr>
        <w:t>mulheres</w:t>
      </w:r>
      <w:r w:rsidR="00CA39B2" w:rsidRPr="003A1174">
        <w:rPr>
          <w:rStyle w:val="nfasis"/>
          <w:rFonts w:ascii="Garamond" w:hAnsi="Garamond" w:cs="Arial"/>
          <w:bCs/>
          <w:i w:val="0"/>
          <w:lang w:val="pt-PT"/>
        </w:rPr>
        <w:t xml:space="preserve">. </w:t>
      </w:r>
    </w:p>
    <w:p w:rsidR="00CA39B2" w:rsidRPr="003A1174" w:rsidRDefault="00E633D3" w:rsidP="008719D4">
      <w:pPr>
        <w:pStyle w:val="Ttulo2"/>
        <w:numPr>
          <w:ilvl w:val="1"/>
          <w:numId w:val="54"/>
        </w:numPr>
        <w:rPr>
          <w:rFonts w:ascii="Garamond" w:hAnsi="Garamond"/>
          <w:sz w:val="24"/>
          <w:szCs w:val="24"/>
        </w:rPr>
      </w:pPr>
      <w:bookmarkStart w:id="55" w:name="_Toc421529743"/>
      <w:r w:rsidRPr="003A1174">
        <w:rPr>
          <w:rFonts w:ascii="Garamond" w:hAnsi="Garamond"/>
          <w:sz w:val="24"/>
          <w:szCs w:val="24"/>
        </w:rPr>
        <w:t xml:space="preserve">Medidas operativas relevantes que se </w:t>
      </w:r>
      <w:r w:rsidR="00331309" w:rsidRPr="003A1174">
        <w:rPr>
          <w:rFonts w:ascii="Garamond" w:hAnsi="Garamond"/>
          <w:sz w:val="24"/>
          <w:szCs w:val="24"/>
        </w:rPr>
        <w:t>realizaram</w:t>
      </w:r>
      <w:bookmarkEnd w:id="55"/>
    </w:p>
    <w:p w:rsidR="0026029B" w:rsidRPr="003A1174" w:rsidRDefault="00331309" w:rsidP="008719D4">
      <w:pPr>
        <w:pStyle w:val="Predeterminado"/>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w:t>
      </w:r>
      <w:r w:rsidR="00CB05FB" w:rsidRPr="003A1174">
        <w:rPr>
          <w:rFonts w:ascii="Garamond" w:hAnsi="Garamond" w:cs="Arial"/>
          <w:color w:val="auto"/>
          <w:sz w:val="24"/>
          <w:szCs w:val="24"/>
          <w:lang w:val="pt-PT"/>
        </w:rPr>
        <w:t xml:space="preserve">este </w:t>
      </w:r>
      <w:r w:rsidR="000D3EED" w:rsidRPr="003A1174">
        <w:rPr>
          <w:rFonts w:ascii="Garamond" w:hAnsi="Garamond" w:cs="Arial"/>
          <w:color w:val="auto"/>
          <w:sz w:val="24"/>
          <w:szCs w:val="24"/>
          <w:lang w:val="pt-PT"/>
        </w:rPr>
        <w:t>c</w:t>
      </w:r>
      <w:r w:rsidR="00CB05FB" w:rsidRPr="003A1174">
        <w:rPr>
          <w:rFonts w:ascii="Garamond" w:hAnsi="Garamond" w:cs="Arial"/>
          <w:color w:val="auto"/>
          <w:sz w:val="24"/>
          <w:szCs w:val="24"/>
          <w:lang w:val="pt-PT"/>
        </w:rPr>
        <w:t xml:space="preserve">apítulo </w:t>
      </w:r>
      <w:r w:rsidR="0006035F">
        <w:rPr>
          <w:rFonts w:ascii="Garamond" w:hAnsi="Garamond" w:cs="Arial"/>
          <w:color w:val="auto"/>
          <w:sz w:val="24"/>
          <w:szCs w:val="24"/>
          <w:lang w:val="pt-PT"/>
        </w:rPr>
        <w:t xml:space="preserve">apresenta-se a </w:t>
      </w:r>
      <w:r w:rsidR="0017447A" w:rsidRPr="003A1174">
        <w:rPr>
          <w:rFonts w:ascii="Garamond" w:hAnsi="Garamond" w:cs="Arial"/>
          <w:color w:val="auto"/>
          <w:sz w:val="24"/>
          <w:szCs w:val="24"/>
          <w:lang w:val="pt-PT"/>
        </w:rPr>
        <w:t>informação</w:t>
      </w:r>
      <w:r w:rsidR="0006035F">
        <w:rPr>
          <w:rFonts w:ascii="Garamond" w:hAnsi="Garamond" w:cs="Arial"/>
          <w:color w:val="auto"/>
          <w:sz w:val="24"/>
          <w:szCs w:val="24"/>
          <w:lang w:val="pt-PT"/>
        </w:rPr>
        <w:t xml:space="preserve"> recolhida </w:t>
      </w:r>
      <w:r w:rsidR="00CB05FB" w:rsidRPr="003A1174">
        <w:rPr>
          <w:rFonts w:ascii="Garamond" w:hAnsi="Garamond" w:cs="Arial"/>
          <w:color w:val="auto"/>
          <w:sz w:val="24"/>
          <w:szCs w:val="24"/>
          <w:lang w:val="pt-PT"/>
        </w:rPr>
        <w:t xml:space="preserve">sobre </w:t>
      </w:r>
      <w:r w:rsidR="002C7510" w:rsidRPr="003A1174">
        <w:rPr>
          <w:rFonts w:ascii="Garamond" w:hAnsi="Garamond" w:cs="Arial"/>
          <w:color w:val="auto"/>
          <w:sz w:val="24"/>
          <w:szCs w:val="24"/>
          <w:lang w:val="pt-PT"/>
        </w:rPr>
        <w:t>ações</w:t>
      </w:r>
      <w:r w:rsidR="00CB05FB" w:rsidRPr="003A1174">
        <w:rPr>
          <w:rFonts w:ascii="Garamond" w:hAnsi="Garamond" w:cs="Arial"/>
          <w:color w:val="auto"/>
          <w:sz w:val="24"/>
          <w:szCs w:val="24"/>
          <w:lang w:val="pt-PT"/>
        </w:rPr>
        <w:t xml:space="preserve"> significativas </w:t>
      </w:r>
      <w:r w:rsidR="003A391A" w:rsidRPr="003A1174">
        <w:rPr>
          <w:rFonts w:ascii="Garamond" w:hAnsi="Garamond" w:cs="Arial"/>
          <w:color w:val="auto"/>
          <w:sz w:val="24"/>
          <w:szCs w:val="24"/>
          <w:lang w:val="pt-PT"/>
        </w:rPr>
        <w:t>nos</w:t>
      </w:r>
      <w:r w:rsidR="00CB05FB"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seguintes</w:t>
      </w:r>
      <w:r w:rsidR="00CB05FB" w:rsidRPr="003A1174">
        <w:rPr>
          <w:rFonts w:ascii="Garamond" w:hAnsi="Garamond" w:cs="Arial"/>
          <w:color w:val="auto"/>
          <w:sz w:val="24"/>
          <w:szCs w:val="24"/>
          <w:lang w:val="pt-PT"/>
        </w:rPr>
        <w:t xml:space="preserve"> </w:t>
      </w:r>
      <w:r w:rsidR="005D38DC" w:rsidRPr="003A1174">
        <w:rPr>
          <w:rFonts w:ascii="Garamond" w:hAnsi="Garamond" w:cs="Arial"/>
          <w:color w:val="auto"/>
          <w:sz w:val="24"/>
          <w:szCs w:val="24"/>
          <w:lang w:val="pt-PT"/>
        </w:rPr>
        <w:t>aspeto</w:t>
      </w:r>
      <w:r w:rsidR="00CB05FB" w:rsidRPr="003A1174">
        <w:rPr>
          <w:rFonts w:ascii="Garamond" w:hAnsi="Garamond" w:cs="Arial"/>
          <w:color w:val="auto"/>
          <w:sz w:val="24"/>
          <w:szCs w:val="24"/>
          <w:lang w:val="pt-PT"/>
        </w:rPr>
        <w:t xml:space="preserve">s: </w:t>
      </w:r>
      <w:r w:rsidR="009859FC" w:rsidRPr="003A1174">
        <w:rPr>
          <w:rFonts w:ascii="Garamond" w:hAnsi="Garamond" w:cs="Arial"/>
          <w:color w:val="auto"/>
          <w:sz w:val="24"/>
          <w:szCs w:val="24"/>
          <w:lang w:val="pt-PT"/>
        </w:rPr>
        <w:t>melhoria</w:t>
      </w:r>
      <w:r w:rsidR="0026029B"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w:t>
      </w:r>
      <w:r w:rsidR="002D1021" w:rsidRPr="003A1174">
        <w:rPr>
          <w:rFonts w:ascii="Garamond" w:hAnsi="Garamond" w:cs="Arial"/>
          <w:color w:val="auto"/>
          <w:sz w:val="24"/>
          <w:szCs w:val="24"/>
          <w:lang w:val="pt-PT"/>
        </w:rPr>
        <w:t>estabelecimento</w:t>
      </w:r>
      <w:r w:rsidR="0026029B"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26029B" w:rsidRPr="003A1174">
        <w:rPr>
          <w:rFonts w:ascii="Garamond" w:hAnsi="Garamond" w:cs="Arial"/>
          <w:color w:val="auto"/>
          <w:sz w:val="24"/>
          <w:szCs w:val="24"/>
          <w:lang w:val="pt-PT"/>
        </w:rPr>
        <w:t xml:space="preserve"> </w:t>
      </w:r>
      <w:r w:rsidR="0091213A" w:rsidRPr="003A1174">
        <w:rPr>
          <w:rFonts w:ascii="Garamond" w:hAnsi="Garamond" w:cs="Arial"/>
          <w:color w:val="auto"/>
          <w:sz w:val="24"/>
          <w:szCs w:val="24"/>
          <w:lang w:val="pt-PT"/>
        </w:rPr>
        <w:t>efetividade</w:t>
      </w:r>
      <w:r w:rsidR="0026029B"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26029B" w:rsidRPr="003A1174">
        <w:rPr>
          <w:rFonts w:ascii="Garamond" w:hAnsi="Garamond" w:cs="Arial"/>
          <w:color w:val="auto"/>
          <w:sz w:val="24"/>
          <w:szCs w:val="24"/>
          <w:lang w:val="pt-PT"/>
        </w:rPr>
        <w:t xml:space="preserve"> medidas de </w:t>
      </w:r>
      <w:r w:rsidR="00886D6A" w:rsidRPr="003A1174">
        <w:rPr>
          <w:rFonts w:ascii="Garamond" w:hAnsi="Garamond" w:cs="Arial"/>
          <w:color w:val="auto"/>
          <w:sz w:val="24"/>
          <w:szCs w:val="24"/>
          <w:lang w:val="pt-PT"/>
        </w:rPr>
        <w:t>proteção</w:t>
      </w:r>
      <w:r w:rsidR="0026029B" w:rsidRPr="003A1174">
        <w:rPr>
          <w:rFonts w:ascii="Garamond" w:hAnsi="Garamond" w:cs="Arial"/>
          <w:color w:val="auto"/>
          <w:sz w:val="24"/>
          <w:szCs w:val="24"/>
          <w:lang w:val="pt-PT"/>
        </w:rPr>
        <w:t>/</w:t>
      </w:r>
      <w:r w:rsidR="00CF4C35" w:rsidRPr="003A1174">
        <w:rPr>
          <w:rFonts w:ascii="Garamond" w:hAnsi="Garamond" w:cs="Arial"/>
          <w:color w:val="auto"/>
          <w:sz w:val="24"/>
          <w:szCs w:val="24"/>
          <w:lang w:val="pt-PT"/>
        </w:rPr>
        <w:t>reabilitação</w:t>
      </w:r>
      <w:r w:rsidR="0026029B"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melhoria</w:t>
      </w:r>
      <w:r w:rsidR="0026029B"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 xml:space="preserve">no </w:t>
      </w:r>
      <w:r w:rsidR="0026029B" w:rsidRPr="003A1174">
        <w:rPr>
          <w:rFonts w:ascii="Garamond" w:hAnsi="Garamond" w:cs="Arial"/>
          <w:color w:val="auto"/>
          <w:sz w:val="24"/>
          <w:szCs w:val="24"/>
          <w:lang w:val="pt-PT"/>
        </w:rPr>
        <w:t>número o</w:t>
      </w:r>
      <w:r w:rsidRPr="003A1174">
        <w:rPr>
          <w:rFonts w:ascii="Garamond" w:hAnsi="Garamond" w:cs="Arial"/>
          <w:color w:val="auto"/>
          <w:sz w:val="24"/>
          <w:szCs w:val="24"/>
          <w:lang w:val="pt-PT"/>
        </w:rPr>
        <w:t>u</w:t>
      </w:r>
      <w:r w:rsidR="0026029B"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qualidade</w:t>
      </w:r>
      <w:r w:rsidR="0026029B" w:rsidRPr="003A1174">
        <w:rPr>
          <w:rFonts w:ascii="Garamond" w:hAnsi="Garamond" w:cs="Arial"/>
          <w:color w:val="auto"/>
          <w:sz w:val="24"/>
          <w:szCs w:val="24"/>
          <w:lang w:val="pt-PT"/>
        </w:rPr>
        <w:t xml:space="preserve"> de casas de </w:t>
      </w:r>
      <w:r w:rsidR="00B936A7" w:rsidRPr="003A1174">
        <w:rPr>
          <w:rFonts w:ascii="Garamond" w:hAnsi="Garamond" w:cs="Arial"/>
          <w:color w:val="auto"/>
          <w:sz w:val="24"/>
          <w:szCs w:val="24"/>
          <w:lang w:val="pt-PT"/>
        </w:rPr>
        <w:t>abrigo</w:t>
      </w:r>
      <w:r w:rsidR="0026029B" w:rsidRPr="003A1174">
        <w:rPr>
          <w:rFonts w:ascii="Garamond" w:hAnsi="Garamond" w:cs="Arial"/>
          <w:color w:val="auto"/>
          <w:sz w:val="24"/>
          <w:szCs w:val="24"/>
          <w:lang w:val="pt-PT"/>
        </w:rPr>
        <w:t xml:space="preserve"> tempor</w:t>
      </w:r>
      <w:r w:rsidRPr="003A1174">
        <w:rPr>
          <w:rFonts w:ascii="Garamond" w:hAnsi="Garamond" w:cs="Arial"/>
          <w:color w:val="auto"/>
          <w:sz w:val="24"/>
          <w:szCs w:val="24"/>
          <w:lang w:val="pt-PT"/>
        </w:rPr>
        <w:t xml:space="preserve">árias </w:t>
      </w:r>
      <w:r w:rsidR="0026029B" w:rsidRPr="003A1174">
        <w:rPr>
          <w:rFonts w:ascii="Garamond" w:hAnsi="Garamond" w:cs="Arial"/>
          <w:color w:val="auto"/>
          <w:sz w:val="24"/>
          <w:szCs w:val="24"/>
          <w:lang w:val="pt-PT"/>
        </w:rPr>
        <w:t xml:space="preserve">para </w:t>
      </w:r>
      <w:r w:rsidR="00054EE0" w:rsidRPr="003A1174">
        <w:rPr>
          <w:rFonts w:ascii="Garamond" w:hAnsi="Garamond" w:cs="Arial"/>
          <w:color w:val="auto"/>
          <w:sz w:val="24"/>
          <w:szCs w:val="24"/>
          <w:lang w:val="pt-PT"/>
        </w:rPr>
        <w:t>mulheres</w:t>
      </w:r>
      <w:r w:rsidR="0026029B"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26029B"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26029B"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26029B" w:rsidRPr="003A1174">
        <w:rPr>
          <w:rFonts w:ascii="Garamond" w:hAnsi="Garamond" w:cs="Arial"/>
          <w:color w:val="auto"/>
          <w:sz w:val="24"/>
          <w:szCs w:val="24"/>
          <w:lang w:val="pt-PT"/>
        </w:rPr>
        <w:t>/o</w:t>
      </w:r>
      <w:r w:rsidRPr="003A1174">
        <w:rPr>
          <w:rFonts w:ascii="Garamond" w:hAnsi="Garamond" w:cs="Arial"/>
          <w:color w:val="auto"/>
          <w:sz w:val="24"/>
          <w:szCs w:val="24"/>
          <w:lang w:val="pt-PT"/>
        </w:rPr>
        <w:t>u</w:t>
      </w:r>
      <w:r w:rsidR="0026029B"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os</w:t>
      </w:r>
      <w:r w:rsidR="0026029B" w:rsidRPr="003A1174">
        <w:rPr>
          <w:rFonts w:ascii="Garamond" w:hAnsi="Garamond" w:cs="Arial"/>
          <w:color w:val="auto"/>
          <w:sz w:val="24"/>
          <w:szCs w:val="24"/>
          <w:lang w:val="pt-PT"/>
        </w:rPr>
        <w:t xml:space="preserve"> s</w:t>
      </w:r>
      <w:r w:rsidRPr="003A1174">
        <w:rPr>
          <w:rFonts w:ascii="Garamond" w:hAnsi="Garamond" w:cs="Arial"/>
          <w:color w:val="auto"/>
          <w:sz w:val="24"/>
          <w:szCs w:val="24"/>
          <w:lang w:val="pt-PT"/>
        </w:rPr>
        <w:t>e</w:t>
      </w:r>
      <w:r w:rsidR="0026029B" w:rsidRPr="003A1174">
        <w:rPr>
          <w:rFonts w:ascii="Garamond" w:hAnsi="Garamond" w:cs="Arial"/>
          <w:color w:val="auto"/>
          <w:sz w:val="24"/>
          <w:szCs w:val="24"/>
          <w:lang w:val="pt-PT"/>
        </w:rPr>
        <w:t xml:space="preserve">us </w:t>
      </w:r>
      <w:r w:rsidR="007A2492" w:rsidRPr="003A1174">
        <w:rPr>
          <w:rFonts w:ascii="Garamond" w:hAnsi="Garamond" w:cs="Arial"/>
          <w:color w:val="auto"/>
          <w:sz w:val="24"/>
          <w:szCs w:val="24"/>
          <w:lang w:val="pt-PT"/>
        </w:rPr>
        <w:t>filho</w:t>
      </w:r>
      <w:r w:rsidR="0026029B" w:rsidRPr="003A1174">
        <w:rPr>
          <w:rFonts w:ascii="Garamond" w:hAnsi="Garamond" w:cs="Arial"/>
          <w:color w:val="auto"/>
          <w:sz w:val="24"/>
          <w:szCs w:val="24"/>
          <w:lang w:val="pt-PT"/>
        </w:rPr>
        <w:t xml:space="preserve">s; </w:t>
      </w:r>
      <w:r w:rsidR="00FC1F7F" w:rsidRPr="003A1174">
        <w:rPr>
          <w:rFonts w:ascii="Garamond" w:hAnsi="Garamond" w:cs="Arial"/>
          <w:color w:val="auto"/>
          <w:sz w:val="24"/>
          <w:szCs w:val="24"/>
          <w:lang w:val="pt-PT"/>
        </w:rPr>
        <w:t>avanços</w:t>
      </w:r>
      <w:r w:rsidRPr="003A1174">
        <w:rPr>
          <w:rFonts w:ascii="Garamond" w:hAnsi="Garamond" w:cs="Arial"/>
          <w:color w:val="auto"/>
          <w:sz w:val="24"/>
          <w:szCs w:val="24"/>
          <w:lang w:val="pt-PT"/>
        </w:rPr>
        <w:t>,</w:t>
      </w:r>
      <w:r w:rsidR="0026029B"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26029B" w:rsidRPr="003A1174">
        <w:rPr>
          <w:rFonts w:ascii="Garamond" w:hAnsi="Garamond" w:cs="Arial"/>
          <w:color w:val="auto"/>
          <w:sz w:val="24"/>
          <w:szCs w:val="24"/>
          <w:lang w:val="pt-PT"/>
        </w:rPr>
        <w:t xml:space="preserve"> </w:t>
      </w:r>
      <w:r w:rsidR="0006035F">
        <w:rPr>
          <w:rFonts w:ascii="Garamond" w:hAnsi="Garamond" w:cs="Arial"/>
          <w:color w:val="auto"/>
          <w:sz w:val="24"/>
          <w:szCs w:val="24"/>
          <w:lang w:val="pt-PT"/>
        </w:rPr>
        <w:t xml:space="preserve">inexistência </w:t>
      </w:r>
      <w:r w:rsidR="0026029B" w:rsidRPr="003A1174">
        <w:rPr>
          <w:rFonts w:ascii="Garamond" w:hAnsi="Garamond" w:cs="Arial"/>
          <w:color w:val="auto"/>
          <w:sz w:val="24"/>
          <w:szCs w:val="24"/>
          <w:lang w:val="pt-PT"/>
        </w:rPr>
        <w:t>de</w:t>
      </w:r>
      <w:r w:rsidRPr="003A1174">
        <w:rPr>
          <w:rFonts w:ascii="Garamond" w:hAnsi="Garamond" w:cs="Arial"/>
          <w:color w:val="auto"/>
          <w:sz w:val="24"/>
          <w:szCs w:val="24"/>
          <w:lang w:val="pt-PT"/>
        </w:rPr>
        <w:t xml:space="preserve">les, em </w:t>
      </w:r>
      <w:r w:rsidR="00EF645F" w:rsidRPr="003A1174">
        <w:rPr>
          <w:rFonts w:ascii="Garamond" w:hAnsi="Garamond" w:cs="Arial"/>
          <w:color w:val="auto"/>
          <w:sz w:val="24"/>
          <w:szCs w:val="24"/>
          <w:lang w:val="pt-PT"/>
        </w:rPr>
        <w:t>matéria</w:t>
      </w:r>
      <w:r w:rsidR="0026029B" w:rsidRPr="003A1174">
        <w:rPr>
          <w:rFonts w:ascii="Garamond" w:hAnsi="Garamond" w:cs="Arial"/>
          <w:color w:val="auto"/>
          <w:sz w:val="24"/>
          <w:szCs w:val="24"/>
          <w:lang w:val="pt-PT"/>
        </w:rPr>
        <w:t xml:space="preserve"> de </w:t>
      </w:r>
      <w:r w:rsidR="00077461" w:rsidRPr="003A1174">
        <w:rPr>
          <w:rFonts w:ascii="Garamond" w:hAnsi="Garamond" w:cs="Arial"/>
          <w:color w:val="auto"/>
          <w:sz w:val="24"/>
          <w:szCs w:val="24"/>
          <w:lang w:val="pt-PT"/>
        </w:rPr>
        <w:t>registo</w:t>
      </w:r>
      <w:r w:rsidR="0026029B"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informação</w:t>
      </w:r>
      <w:r w:rsidR="0026029B" w:rsidRPr="003A1174">
        <w:rPr>
          <w:rFonts w:ascii="Garamond" w:hAnsi="Garamond" w:cs="Arial"/>
          <w:color w:val="auto"/>
          <w:sz w:val="24"/>
          <w:szCs w:val="24"/>
          <w:lang w:val="pt-PT"/>
        </w:rPr>
        <w:t xml:space="preserve"> sobre </w:t>
      </w:r>
      <w:r w:rsidR="00054EE0" w:rsidRPr="003A1174">
        <w:rPr>
          <w:rFonts w:ascii="Garamond" w:hAnsi="Garamond" w:cs="Arial"/>
          <w:color w:val="auto"/>
          <w:sz w:val="24"/>
          <w:szCs w:val="24"/>
          <w:lang w:val="pt-PT"/>
        </w:rPr>
        <w:t>mulheres</w:t>
      </w:r>
      <w:r w:rsidR="0026029B"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26029B"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26029B"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melhoria</w:t>
      </w:r>
      <w:r w:rsidR="0026029B" w:rsidRPr="003A1174">
        <w:rPr>
          <w:rFonts w:ascii="Garamond" w:hAnsi="Garamond" w:cs="Arial"/>
          <w:color w:val="auto"/>
          <w:sz w:val="24"/>
          <w:szCs w:val="24"/>
          <w:lang w:val="pt-PT"/>
        </w:rPr>
        <w:t>s e</w:t>
      </w:r>
      <w:r w:rsidRPr="003A1174">
        <w:rPr>
          <w:rFonts w:ascii="Garamond" w:hAnsi="Garamond" w:cs="Arial"/>
          <w:color w:val="auto"/>
          <w:sz w:val="24"/>
          <w:szCs w:val="24"/>
          <w:lang w:val="pt-PT"/>
        </w:rPr>
        <w:t>m</w:t>
      </w:r>
      <w:r w:rsidR="0026029B"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26029B" w:rsidRPr="003A1174">
        <w:rPr>
          <w:rFonts w:ascii="Garamond" w:hAnsi="Garamond" w:cs="Arial"/>
          <w:color w:val="auto"/>
          <w:sz w:val="24"/>
          <w:szCs w:val="24"/>
          <w:lang w:val="pt-PT"/>
        </w:rPr>
        <w:t xml:space="preserve"> de </w:t>
      </w:r>
      <w:r w:rsidR="008E259D">
        <w:rPr>
          <w:rFonts w:ascii="Garamond" w:hAnsi="Garamond" w:cs="Arial"/>
          <w:color w:val="auto"/>
          <w:sz w:val="24"/>
          <w:szCs w:val="24"/>
          <w:lang w:val="pt-PT"/>
        </w:rPr>
        <w:t xml:space="preserve">avaliação </w:t>
      </w:r>
      <w:r w:rsidR="00E85E59" w:rsidRPr="003A1174">
        <w:rPr>
          <w:rFonts w:ascii="Garamond" w:hAnsi="Garamond" w:cs="Arial"/>
          <w:color w:val="auto"/>
          <w:sz w:val="24"/>
          <w:szCs w:val="24"/>
          <w:lang w:val="pt-PT"/>
        </w:rPr>
        <w:t>do</w:t>
      </w:r>
      <w:r w:rsidR="0026029B" w:rsidRPr="003A1174">
        <w:rPr>
          <w:rFonts w:ascii="Garamond" w:hAnsi="Garamond" w:cs="Arial"/>
          <w:color w:val="auto"/>
          <w:sz w:val="24"/>
          <w:szCs w:val="24"/>
          <w:lang w:val="pt-PT"/>
        </w:rPr>
        <w:t xml:space="preserve"> d</w:t>
      </w:r>
      <w:r w:rsidR="002C7510" w:rsidRPr="003A1174">
        <w:rPr>
          <w:rFonts w:ascii="Garamond" w:hAnsi="Garamond" w:cs="Arial"/>
          <w:color w:val="auto"/>
          <w:sz w:val="24"/>
          <w:szCs w:val="24"/>
          <w:lang w:val="pt-PT"/>
        </w:rPr>
        <w:t>ano</w:t>
      </w:r>
      <w:r w:rsidR="0026029B" w:rsidRPr="003A1174">
        <w:rPr>
          <w:rFonts w:ascii="Garamond" w:hAnsi="Garamond" w:cs="Arial"/>
          <w:color w:val="auto"/>
          <w:sz w:val="24"/>
          <w:szCs w:val="24"/>
          <w:lang w:val="pt-PT"/>
        </w:rPr>
        <w:t xml:space="preserve"> psicológico; </w:t>
      </w:r>
      <w:r w:rsidR="000672E8" w:rsidRPr="003A1174">
        <w:rPr>
          <w:rFonts w:ascii="Garamond" w:hAnsi="Garamond" w:cs="Arial"/>
          <w:color w:val="auto"/>
          <w:sz w:val="24"/>
          <w:szCs w:val="24"/>
          <w:lang w:val="pt-PT"/>
        </w:rPr>
        <w:t>e</w:t>
      </w:r>
      <w:r w:rsidR="0026029B"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avanços</w:t>
      </w:r>
      <w:r w:rsidRPr="003A1174">
        <w:rPr>
          <w:rFonts w:ascii="Garamond" w:hAnsi="Garamond" w:cs="Arial"/>
          <w:color w:val="auto"/>
          <w:sz w:val="24"/>
          <w:szCs w:val="24"/>
          <w:lang w:val="pt-PT"/>
        </w:rPr>
        <w:t>,</w:t>
      </w:r>
      <w:r w:rsidR="0026029B" w:rsidRPr="003A1174">
        <w:rPr>
          <w:rFonts w:ascii="Garamond" w:hAnsi="Garamond" w:cs="Arial"/>
          <w:color w:val="auto"/>
          <w:sz w:val="24"/>
          <w:szCs w:val="24"/>
          <w:lang w:val="pt-PT"/>
        </w:rPr>
        <w:t xml:space="preserve"> o</w:t>
      </w:r>
      <w:r w:rsidRPr="003A1174">
        <w:rPr>
          <w:rFonts w:ascii="Garamond" w:hAnsi="Garamond" w:cs="Arial"/>
          <w:color w:val="auto"/>
          <w:sz w:val="24"/>
          <w:szCs w:val="24"/>
          <w:lang w:val="pt-PT"/>
        </w:rPr>
        <w:t>u</w:t>
      </w:r>
      <w:r w:rsidR="0026029B" w:rsidRPr="003A1174">
        <w:rPr>
          <w:rFonts w:ascii="Garamond" w:hAnsi="Garamond" w:cs="Arial"/>
          <w:color w:val="auto"/>
          <w:sz w:val="24"/>
          <w:szCs w:val="24"/>
          <w:lang w:val="pt-PT"/>
        </w:rPr>
        <w:t xml:space="preserve"> </w:t>
      </w:r>
      <w:r w:rsidR="0006035F">
        <w:rPr>
          <w:rFonts w:ascii="Garamond" w:hAnsi="Garamond" w:cs="Arial"/>
          <w:color w:val="auto"/>
          <w:sz w:val="24"/>
          <w:szCs w:val="24"/>
          <w:lang w:val="pt-PT"/>
        </w:rPr>
        <w:t xml:space="preserve">ausência </w:t>
      </w:r>
      <w:r w:rsidR="0026029B" w:rsidRPr="003A1174">
        <w:rPr>
          <w:rFonts w:ascii="Garamond" w:hAnsi="Garamond" w:cs="Arial"/>
          <w:color w:val="auto"/>
          <w:sz w:val="24"/>
          <w:szCs w:val="24"/>
          <w:lang w:val="pt-PT"/>
        </w:rPr>
        <w:t>de</w:t>
      </w:r>
      <w:r w:rsidRPr="003A1174">
        <w:rPr>
          <w:rFonts w:ascii="Garamond" w:hAnsi="Garamond" w:cs="Arial"/>
          <w:color w:val="auto"/>
          <w:sz w:val="24"/>
          <w:szCs w:val="24"/>
          <w:lang w:val="pt-PT"/>
        </w:rPr>
        <w:t>l</w:t>
      </w:r>
      <w:r w:rsidR="007407BD" w:rsidRPr="003A1174">
        <w:rPr>
          <w:rFonts w:ascii="Garamond" w:hAnsi="Garamond" w:cs="Arial"/>
          <w:color w:val="auto"/>
          <w:sz w:val="24"/>
          <w:szCs w:val="24"/>
          <w:lang w:val="pt-PT"/>
        </w:rPr>
        <w:t>es</w:t>
      </w:r>
      <w:r w:rsidRPr="003A1174">
        <w:rPr>
          <w:rFonts w:ascii="Garamond" w:hAnsi="Garamond" w:cs="Arial"/>
          <w:color w:val="auto"/>
          <w:sz w:val="24"/>
          <w:szCs w:val="24"/>
          <w:lang w:val="pt-PT"/>
        </w:rPr>
        <w:t>,</w:t>
      </w:r>
      <w:r w:rsidR="0026029B" w:rsidRPr="003A1174">
        <w:rPr>
          <w:rFonts w:ascii="Garamond" w:hAnsi="Garamond" w:cs="Arial"/>
          <w:color w:val="auto"/>
          <w:sz w:val="24"/>
          <w:szCs w:val="24"/>
          <w:lang w:val="pt-PT"/>
        </w:rPr>
        <w:t xml:space="preserve"> </w:t>
      </w:r>
      <w:r w:rsidR="00BA3CCE" w:rsidRPr="003A1174">
        <w:rPr>
          <w:rFonts w:ascii="Garamond" w:hAnsi="Garamond" w:cs="Arial"/>
          <w:color w:val="auto"/>
          <w:sz w:val="24"/>
          <w:szCs w:val="24"/>
          <w:lang w:val="pt-PT"/>
        </w:rPr>
        <w:t>em</w:t>
      </w:r>
      <w:r w:rsidR="0026029B"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26029B" w:rsidRPr="003A1174">
        <w:rPr>
          <w:rFonts w:ascii="Garamond" w:hAnsi="Garamond" w:cs="Arial"/>
          <w:color w:val="auto"/>
          <w:sz w:val="24"/>
          <w:szCs w:val="24"/>
          <w:lang w:val="pt-PT"/>
        </w:rPr>
        <w:t xml:space="preserve"> de </w:t>
      </w:r>
      <w:r w:rsidR="002A71E1">
        <w:rPr>
          <w:rFonts w:ascii="Garamond" w:hAnsi="Garamond" w:cs="Arial"/>
          <w:color w:val="auto"/>
          <w:sz w:val="24"/>
          <w:szCs w:val="24"/>
          <w:lang w:val="pt-PT"/>
        </w:rPr>
        <w:t>formação</w:t>
      </w:r>
      <w:r w:rsidR="0026029B" w:rsidRPr="003A1174">
        <w:rPr>
          <w:rFonts w:ascii="Garamond" w:hAnsi="Garamond" w:cs="Arial"/>
          <w:color w:val="auto"/>
          <w:sz w:val="24"/>
          <w:szCs w:val="24"/>
          <w:lang w:val="pt-PT"/>
        </w:rPr>
        <w:t>/</w:t>
      </w:r>
      <w:r w:rsidR="00976FB8" w:rsidRPr="003A1174">
        <w:rPr>
          <w:rFonts w:ascii="Garamond" w:hAnsi="Garamond" w:cs="Arial"/>
          <w:color w:val="auto"/>
          <w:sz w:val="24"/>
          <w:szCs w:val="24"/>
          <w:lang w:val="pt-PT"/>
        </w:rPr>
        <w:t>sensibilização</w:t>
      </w:r>
      <w:r w:rsidR="0026029B"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do</w:t>
      </w:r>
      <w:r w:rsidR="0026029B" w:rsidRPr="003A1174">
        <w:rPr>
          <w:rFonts w:ascii="Garamond" w:hAnsi="Garamond" w:cs="Arial"/>
          <w:color w:val="auto"/>
          <w:sz w:val="24"/>
          <w:szCs w:val="24"/>
          <w:lang w:val="pt-PT"/>
        </w:rPr>
        <w:t xml:space="preserve">s operadores </w:t>
      </w:r>
      <w:r w:rsidR="00E85E59" w:rsidRPr="003A1174">
        <w:rPr>
          <w:rFonts w:ascii="Garamond" w:hAnsi="Garamond" w:cs="Arial"/>
          <w:color w:val="auto"/>
          <w:sz w:val="24"/>
          <w:szCs w:val="24"/>
          <w:lang w:val="pt-PT"/>
        </w:rPr>
        <w:t>do</w:t>
      </w:r>
      <w:r w:rsidR="0026029B" w:rsidRPr="003A1174">
        <w:rPr>
          <w:rFonts w:ascii="Garamond" w:hAnsi="Garamond" w:cs="Arial"/>
          <w:color w:val="auto"/>
          <w:sz w:val="24"/>
          <w:szCs w:val="24"/>
          <w:lang w:val="pt-PT"/>
        </w:rPr>
        <w:t xml:space="preserve"> sistema de </w:t>
      </w:r>
      <w:r w:rsidR="00FC1F7F" w:rsidRPr="003A1174">
        <w:rPr>
          <w:rFonts w:ascii="Garamond" w:hAnsi="Garamond" w:cs="Arial"/>
          <w:color w:val="auto"/>
          <w:sz w:val="24"/>
          <w:szCs w:val="24"/>
          <w:lang w:val="pt-PT"/>
        </w:rPr>
        <w:t>justiça</w:t>
      </w:r>
      <w:r w:rsidR="0026029B" w:rsidRPr="003A1174">
        <w:rPr>
          <w:rFonts w:ascii="Garamond" w:hAnsi="Garamond" w:cs="Arial"/>
          <w:color w:val="auto"/>
          <w:sz w:val="24"/>
          <w:szCs w:val="24"/>
          <w:lang w:val="pt-PT"/>
        </w:rPr>
        <w:t xml:space="preserve"> (</w:t>
      </w:r>
      <w:r w:rsidR="00CF42A3" w:rsidRPr="003A1174">
        <w:rPr>
          <w:rFonts w:ascii="Garamond" w:hAnsi="Garamond" w:cs="Arial"/>
          <w:color w:val="auto"/>
          <w:sz w:val="24"/>
          <w:szCs w:val="24"/>
          <w:lang w:val="pt-PT"/>
        </w:rPr>
        <w:t>polícia</w:t>
      </w:r>
      <w:r w:rsidR="0026029B" w:rsidRPr="003A1174">
        <w:rPr>
          <w:rFonts w:ascii="Garamond" w:hAnsi="Garamond" w:cs="Arial"/>
          <w:color w:val="auto"/>
          <w:sz w:val="24"/>
          <w:szCs w:val="24"/>
          <w:lang w:val="pt-PT"/>
        </w:rPr>
        <w:t xml:space="preserve">, poder judicial, </w:t>
      </w:r>
      <w:r w:rsidRPr="003A1174">
        <w:rPr>
          <w:rFonts w:ascii="Garamond" w:hAnsi="Garamond" w:cs="Arial"/>
          <w:color w:val="auto"/>
          <w:sz w:val="24"/>
          <w:szCs w:val="24"/>
          <w:lang w:val="pt-PT"/>
        </w:rPr>
        <w:t>Ministério Público</w:t>
      </w:r>
      <w:r w:rsidR="0026029B" w:rsidRPr="003A1174">
        <w:rPr>
          <w:rFonts w:ascii="Garamond" w:hAnsi="Garamond" w:cs="Arial"/>
          <w:color w:val="auto"/>
          <w:sz w:val="24"/>
          <w:szCs w:val="24"/>
          <w:lang w:val="pt-PT"/>
        </w:rPr>
        <w:t xml:space="preserve">, </w:t>
      </w:r>
      <w:r w:rsidR="00C031E1" w:rsidRPr="003A1174">
        <w:rPr>
          <w:rFonts w:ascii="Garamond" w:hAnsi="Garamond" w:cs="Arial"/>
          <w:color w:val="auto"/>
          <w:sz w:val="24"/>
          <w:szCs w:val="24"/>
          <w:lang w:val="pt-PT"/>
        </w:rPr>
        <w:t>etc.</w:t>
      </w:r>
      <w:r w:rsidR="0026029B" w:rsidRPr="003A1174">
        <w:rPr>
          <w:rFonts w:ascii="Garamond" w:hAnsi="Garamond" w:cs="Arial"/>
          <w:color w:val="auto"/>
          <w:sz w:val="24"/>
          <w:szCs w:val="24"/>
          <w:lang w:val="pt-PT"/>
        </w:rPr>
        <w:t>) e</w:t>
      </w:r>
      <w:r w:rsidRPr="003A1174">
        <w:rPr>
          <w:rFonts w:ascii="Garamond" w:hAnsi="Garamond" w:cs="Arial"/>
          <w:color w:val="auto"/>
          <w:sz w:val="24"/>
          <w:szCs w:val="24"/>
          <w:lang w:val="pt-PT"/>
        </w:rPr>
        <w:t>m</w:t>
      </w:r>
      <w:r w:rsidR="0026029B" w:rsidRPr="003A1174">
        <w:rPr>
          <w:rFonts w:ascii="Garamond" w:hAnsi="Garamond" w:cs="Arial"/>
          <w:color w:val="auto"/>
          <w:sz w:val="24"/>
          <w:szCs w:val="24"/>
          <w:lang w:val="pt-PT"/>
        </w:rPr>
        <w:t xml:space="preserve"> temas de </w:t>
      </w:r>
      <w:r w:rsidR="00886D6A" w:rsidRPr="003A1174">
        <w:rPr>
          <w:rFonts w:ascii="Garamond" w:hAnsi="Garamond" w:cs="Arial"/>
          <w:color w:val="auto"/>
          <w:sz w:val="24"/>
          <w:szCs w:val="24"/>
          <w:lang w:val="pt-PT"/>
        </w:rPr>
        <w:t>acesso</w:t>
      </w:r>
      <w:r w:rsidR="0026029B"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à</w:t>
      </w:r>
      <w:r w:rsidR="0026029B"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26029B" w:rsidRPr="003A1174">
        <w:rPr>
          <w:rFonts w:ascii="Garamond" w:hAnsi="Garamond" w:cs="Arial"/>
          <w:color w:val="auto"/>
          <w:sz w:val="24"/>
          <w:szCs w:val="24"/>
          <w:lang w:val="pt-PT"/>
        </w:rPr>
        <w:t xml:space="preserve"> de </w:t>
      </w:r>
      <w:r w:rsidR="00054EE0" w:rsidRPr="003A1174">
        <w:rPr>
          <w:rFonts w:ascii="Garamond" w:hAnsi="Garamond" w:cs="Arial"/>
          <w:color w:val="auto"/>
          <w:sz w:val="24"/>
          <w:szCs w:val="24"/>
          <w:lang w:val="pt-PT"/>
        </w:rPr>
        <w:t>mulheres</w:t>
      </w:r>
      <w:r w:rsidR="0026029B"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26029B"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26029B" w:rsidRPr="003A1174">
        <w:rPr>
          <w:rFonts w:ascii="Garamond" w:hAnsi="Garamond" w:cs="Arial"/>
          <w:color w:val="auto"/>
          <w:sz w:val="24"/>
          <w:szCs w:val="24"/>
          <w:lang w:val="pt-PT"/>
        </w:rPr>
        <w:t xml:space="preserve"> de género</w:t>
      </w:r>
      <w:r w:rsidR="008323A7">
        <w:rPr>
          <w:rFonts w:ascii="Garamond" w:hAnsi="Garamond" w:cs="Arial"/>
          <w:color w:val="auto"/>
          <w:sz w:val="24"/>
          <w:szCs w:val="24"/>
          <w:lang w:val="pt-PT"/>
        </w:rPr>
        <w:t>.</w:t>
      </w:r>
    </w:p>
    <w:p w:rsidR="00CA39B2" w:rsidRPr="003A1174" w:rsidRDefault="0031002B" w:rsidP="00331309">
      <w:pPr>
        <w:pStyle w:val="Ttulo3"/>
        <w:spacing w:line="240" w:lineRule="auto"/>
        <w:jc w:val="both"/>
        <w:rPr>
          <w:rFonts w:ascii="Garamond" w:hAnsi="Garamond"/>
          <w:sz w:val="24"/>
          <w:szCs w:val="24"/>
        </w:rPr>
      </w:pPr>
      <w:bookmarkStart w:id="56" w:name="_Toc421529744"/>
      <w:r w:rsidRPr="003A1174">
        <w:rPr>
          <w:rStyle w:val="Ttulo2Car"/>
          <w:rFonts w:ascii="Garamond" w:hAnsi="Garamond"/>
          <w:b/>
          <w:bCs/>
          <w:sz w:val="24"/>
          <w:szCs w:val="24"/>
        </w:rPr>
        <w:t>Argentina</w:t>
      </w:r>
      <w:bookmarkEnd w:id="56"/>
      <w:r w:rsidR="00F945B2" w:rsidRPr="003A1174">
        <w:rPr>
          <w:rStyle w:val="Ttulo2Car"/>
          <w:rFonts w:ascii="Garamond" w:hAnsi="Garamond"/>
          <w:b/>
          <w:bCs/>
          <w:sz w:val="24"/>
          <w:szCs w:val="24"/>
        </w:rPr>
        <w:tab/>
      </w:r>
    </w:p>
    <w:p w:rsidR="00CA39B2" w:rsidRPr="003A1174" w:rsidRDefault="00F945B2" w:rsidP="00331309">
      <w:pPr>
        <w:pStyle w:val="Ttulo4"/>
        <w:spacing w:line="240" w:lineRule="auto"/>
        <w:jc w:val="both"/>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CA39B2" w:rsidRPr="003A1174" w:rsidRDefault="008323A7" w:rsidP="00331309">
      <w:pPr>
        <w:spacing w:before="240" w:after="0" w:line="240" w:lineRule="auto"/>
        <w:jc w:val="both"/>
        <w:rPr>
          <w:rFonts w:ascii="Garamond" w:hAnsi="Garamond" w:cs="Arial"/>
          <w:sz w:val="24"/>
          <w:szCs w:val="24"/>
        </w:rPr>
      </w:pPr>
      <w:r>
        <w:rPr>
          <w:rFonts w:ascii="Garamond" w:hAnsi="Garamond" w:cs="Arial"/>
          <w:sz w:val="24"/>
          <w:szCs w:val="24"/>
        </w:rPr>
        <w:t>Na Argentina, d</w:t>
      </w:r>
      <w:r w:rsidR="00331309" w:rsidRPr="003A1174">
        <w:rPr>
          <w:rFonts w:ascii="Garamond" w:hAnsi="Garamond" w:cs="Arial"/>
          <w:sz w:val="24"/>
          <w:szCs w:val="24"/>
        </w:rPr>
        <w:t>esde 2014</w:t>
      </w:r>
      <w:r>
        <w:rPr>
          <w:rFonts w:ascii="Garamond" w:hAnsi="Garamond" w:cs="Arial"/>
          <w:sz w:val="24"/>
          <w:szCs w:val="24"/>
        </w:rPr>
        <w:t>,</w:t>
      </w:r>
      <w:r w:rsidR="00331309" w:rsidRPr="003A1174">
        <w:rPr>
          <w:rFonts w:ascii="Garamond" w:hAnsi="Garamond" w:cs="Arial"/>
          <w:sz w:val="24"/>
          <w:szCs w:val="24"/>
        </w:rPr>
        <w:t xml:space="preserve"> que a </w:t>
      </w:r>
      <w:r w:rsidR="008651AF" w:rsidRPr="003A1174">
        <w:rPr>
          <w:rFonts w:ascii="Garamond" w:hAnsi="Garamond" w:cs="Arial"/>
          <w:sz w:val="24"/>
          <w:szCs w:val="24"/>
        </w:rPr>
        <w:t>Cidade</w:t>
      </w:r>
      <w:r w:rsidR="00331309" w:rsidRPr="003A1174">
        <w:rPr>
          <w:rFonts w:ascii="Garamond" w:hAnsi="Garamond" w:cs="Arial"/>
          <w:sz w:val="24"/>
          <w:szCs w:val="24"/>
        </w:rPr>
        <w:t xml:space="preserve"> Autónoma de Buenos Aires</w:t>
      </w:r>
      <w:r w:rsidR="00CA39B2" w:rsidRPr="003A1174">
        <w:rPr>
          <w:rFonts w:ascii="Garamond" w:hAnsi="Garamond" w:cs="Arial"/>
          <w:sz w:val="24"/>
          <w:szCs w:val="24"/>
        </w:rPr>
        <w:t xml:space="preserve"> </w:t>
      </w:r>
      <w:r w:rsidR="00331309" w:rsidRPr="003A1174">
        <w:rPr>
          <w:rFonts w:ascii="Garamond" w:hAnsi="Garamond" w:cs="Arial"/>
          <w:sz w:val="24"/>
          <w:szCs w:val="24"/>
        </w:rPr>
        <w:t xml:space="preserve">dispõe de um </w:t>
      </w:r>
      <w:r w:rsidR="00CA39B2" w:rsidRPr="003A1174">
        <w:rPr>
          <w:rFonts w:ascii="Garamond" w:hAnsi="Garamond" w:cs="Arial"/>
          <w:sz w:val="24"/>
          <w:szCs w:val="24"/>
        </w:rPr>
        <w:t>sistema de bot</w:t>
      </w:r>
      <w:r w:rsidR="00331309" w:rsidRPr="003A1174">
        <w:rPr>
          <w:rFonts w:ascii="Garamond" w:hAnsi="Garamond" w:cs="Arial"/>
          <w:sz w:val="24"/>
          <w:szCs w:val="24"/>
        </w:rPr>
        <w:t>ões antipâ</w:t>
      </w:r>
      <w:r w:rsidR="00CA39B2" w:rsidRPr="003A1174">
        <w:rPr>
          <w:rFonts w:ascii="Garamond" w:hAnsi="Garamond" w:cs="Arial"/>
          <w:sz w:val="24"/>
          <w:szCs w:val="24"/>
        </w:rPr>
        <w:t xml:space="preserve">nico para </w:t>
      </w:r>
      <w:r w:rsidR="00054EE0" w:rsidRPr="003A1174">
        <w:rPr>
          <w:rFonts w:ascii="Garamond" w:hAnsi="Garamond" w:cs="Arial"/>
          <w:sz w:val="24"/>
          <w:szCs w:val="24"/>
        </w:rPr>
        <w:t>mulheres</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s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r w:rsidR="006D41D1" w:rsidRPr="003A1174">
        <w:rPr>
          <w:rFonts w:ascii="Garamond" w:hAnsi="Garamond" w:cs="Arial"/>
          <w:sz w:val="24"/>
          <w:szCs w:val="24"/>
        </w:rPr>
        <w:t>que</w:t>
      </w:r>
      <w:r w:rsidR="00CA39B2" w:rsidRPr="003A1174">
        <w:rPr>
          <w:rFonts w:ascii="Garamond" w:hAnsi="Garamond" w:cs="Arial"/>
          <w:sz w:val="24"/>
          <w:szCs w:val="24"/>
        </w:rPr>
        <w:t xml:space="preserve"> permite </w:t>
      </w:r>
      <w:r w:rsidR="00331309" w:rsidRPr="003A1174">
        <w:rPr>
          <w:rFonts w:ascii="Garamond" w:hAnsi="Garamond" w:cs="Arial"/>
          <w:sz w:val="24"/>
          <w:szCs w:val="24"/>
        </w:rPr>
        <w:t>que</w:t>
      </w:r>
      <w:r>
        <w:rPr>
          <w:rFonts w:ascii="Garamond" w:hAnsi="Garamond" w:cs="Arial"/>
          <w:sz w:val="24"/>
          <w:szCs w:val="24"/>
        </w:rPr>
        <w:t>,</w:t>
      </w:r>
      <w:r w:rsidR="00331309" w:rsidRPr="003A1174">
        <w:rPr>
          <w:rFonts w:ascii="Garamond" w:hAnsi="Garamond" w:cs="Arial"/>
          <w:sz w:val="24"/>
          <w:szCs w:val="24"/>
        </w:rPr>
        <w:t xml:space="preserve"> em </w:t>
      </w:r>
      <w:r w:rsidR="00CA39B2" w:rsidRPr="003A1174">
        <w:rPr>
          <w:rFonts w:ascii="Garamond" w:hAnsi="Garamond" w:cs="Arial"/>
          <w:sz w:val="24"/>
          <w:szCs w:val="24"/>
        </w:rPr>
        <w:t>15 segundos</w:t>
      </w:r>
      <w:r>
        <w:rPr>
          <w:rFonts w:ascii="Garamond" w:hAnsi="Garamond" w:cs="Arial"/>
          <w:sz w:val="24"/>
          <w:szCs w:val="24"/>
        </w:rPr>
        <w:t>,</w:t>
      </w:r>
      <w:r w:rsidR="00331309" w:rsidRPr="003A1174">
        <w:rPr>
          <w:rFonts w:ascii="Garamond" w:hAnsi="Garamond" w:cs="Arial"/>
          <w:sz w:val="24"/>
          <w:szCs w:val="24"/>
        </w:rPr>
        <w:t xml:space="preserve"> se</w:t>
      </w:r>
      <w:r w:rsidR="00CA39B2" w:rsidRPr="003A1174">
        <w:rPr>
          <w:rFonts w:ascii="Garamond" w:hAnsi="Garamond" w:cs="Arial"/>
          <w:sz w:val="24"/>
          <w:szCs w:val="24"/>
        </w:rPr>
        <w:t xml:space="preserve"> rec</w:t>
      </w:r>
      <w:r w:rsidR="00331309" w:rsidRPr="003A1174">
        <w:rPr>
          <w:rFonts w:ascii="Garamond" w:hAnsi="Garamond" w:cs="Arial"/>
          <w:sz w:val="24"/>
          <w:szCs w:val="24"/>
        </w:rPr>
        <w:t>eba o</w:t>
      </w:r>
      <w:r w:rsidR="00CA39B2" w:rsidRPr="003A1174">
        <w:rPr>
          <w:rFonts w:ascii="Garamond" w:hAnsi="Garamond" w:cs="Arial"/>
          <w:sz w:val="24"/>
          <w:szCs w:val="24"/>
        </w:rPr>
        <w:t xml:space="preserve"> alerta </w:t>
      </w:r>
      <w:r w:rsidR="00331309" w:rsidRPr="003A1174">
        <w:rPr>
          <w:rFonts w:ascii="Garamond" w:hAnsi="Garamond" w:cs="Arial"/>
          <w:sz w:val="24"/>
          <w:szCs w:val="24"/>
        </w:rPr>
        <w:t>na Central de Alarme</w:t>
      </w:r>
      <w:r w:rsidR="00CA39B2" w:rsidRPr="003A1174">
        <w:rPr>
          <w:rFonts w:ascii="Garamond" w:hAnsi="Garamond" w:cs="Arial"/>
          <w:sz w:val="24"/>
          <w:szCs w:val="24"/>
        </w:rPr>
        <w:t xml:space="preserve">s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6506C6" w:rsidRPr="003A1174">
        <w:rPr>
          <w:rFonts w:ascii="Garamond" w:hAnsi="Garamond" w:cs="Arial"/>
          <w:sz w:val="24"/>
          <w:szCs w:val="24"/>
        </w:rPr>
        <w:t>Governo</w:t>
      </w:r>
      <w:r w:rsidR="00331309" w:rsidRPr="003A1174">
        <w:rPr>
          <w:rFonts w:ascii="Garamond" w:hAnsi="Garamond" w:cs="Arial"/>
          <w:sz w:val="24"/>
          <w:szCs w:val="24"/>
        </w:rPr>
        <w:t xml:space="preserve"> d</w:t>
      </w:r>
      <w:r w:rsidR="00CA39B2" w:rsidRPr="003A1174">
        <w:rPr>
          <w:rFonts w:ascii="Garamond" w:hAnsi="Garamond" w:cs="Arial"/>
          <w:sz w:val="24"/>
          <w:szCs w:val="24"/>
        </w:rPr>
        <w:t xml:space="preserve">a </w:t>
      </w:r>
      <w:r w:rsidR="008651AF" w:rsidRPr="003A1174">
        <w:rPr>
          <w:rFonts w:ascii="Garamond" w:hAnsi="Garamond" w:cs="Arial"/>
          <w:sz w:val="24"/>
          <w:szCs w:val="24"/>
        </w:rPr>
        <w:t>Cidade</w:t>
      </w:r>
      <w:r w:rsidR="00CA39B2" w:rsidRPr="003A1174">
        <w:rPr>
          <w:rFonts w:ascii="Garamond" w:hAnsi="Garamond" w:cs="Arial"/>
          <w:sz w:val="24"/>
          <w:szCs w:val="24"/>
        </w:rPr>
        <w:t>. A</w:t>
      </w:r>
      <w:r w:rsidR="00331309" w:rsidRPr="003A1174">
        <w:rPr>
          <w:rFonts w:ascii="Garamond" w:hAnsi="Garamond" w:cs="Arial"/>
          <w:sz w:val="24"/>
          <w:szCs w:val="24"/>
        </w:rPr>
        <w:t>o</w:t>
      </w:r>
      <w:r w:rsidR="006D41D1" w:rsidRPr="003A1174">
        <w:rPr>
          <w:rFonts w:ascii="Garamond" w:hAnsi="Garamond" w:cs="Arial"/>
          <w:sz w:val="24"/>
          <w:szCs w:val="24"/>
        </w:rPr>
        <w:t xml:space="preserve"> </w:t>
      </w:r>
      <w:r w:rsidR="00CA39B2" w:rsidRPr="003A1174">
        <w:rPr>
          <w:rFonts w:ascii="Garamond" w:hAnsi="Garamond" w:cs="Arial"/>
          <w:sz w:val="24"/>
          <w:szCs w:val="24"/>
        </w:rPr>
        <w:t xml:space="preserve">acionar </w:t>
      </w:r>
      <w:r w:rsidR="00331309" w:rsidRPr="003A1174">
        <w:rPr>
          <w:rFonts w:ascii="Garamond" w:hAnsi="Garamond" w:cs="Arial"/>
          <w:sz w:val="24"/>
          <w:szCs w:val="24"/>
        </w:rPr>
        <w:t xml:space="preserve">o aparelho, </w:t>
      </w:r>
      <w:r w:rsidR="00E85E59" w:rsidRPr="003A1174">
        <w:rPr>
          <w:rFonts w:ascii="Garamond" w:hAnsi="Garamond" w:cs="Arial"/>
          <w:sz w:val="24"/>
          <w:szCs w:val="24"/>
        </w:rPr>
        <w:t>do</w:t>
      </w:r>
      <w:r w:rsidR="00331309" w:rsidRPr="003A1174">
        <w:rPr>
          <w:rFonts w:ascii="Garamond" w:hAnsi="Garamond" w:cs="Arial"/>
          <w:sz w:val="24"/>
          <w:szCs w:val="24"/>
        </w:rPr>
        <w:t xml:space="preserve"> tamanh</w:t>
      </w:r>
      <w:r w:rsidR="00CA39B2" w:rsidRPr="003A1174">
        <w:rPr>
          <w:rFonts w:ascii="Garamond" w:hAnsi="Garamond" w:cs="Arial"/>
          <w:sz w:val="24"/>
          <w:szCs w:val="24"/>
        </w:rPr>
        <w:t>o de u</w:t>
      </w:r>
      <w:r w:rsidR="00331309" w:rsidRPr="003A1174">
        <w:rPr>
          <w:rFonts w:ascii="Garamond" w:hAnsi="Garamond" w:cs="Arial"/>
          <w:sz w:val="24"/>
          <w:szCs w:val="24"/>
        </w:rPr>
        <w:t xml:space="preserve">m telemóvel, </w:t>
      </w:r>
      <w:r w:rsidR="00CA39B2" w:rsidRPr="003A1174">
        <w:rPr>
          <w:rFonts w:ascii="Garamond" w:hAnsi="Garamond" w:cs="Arial"/>
          <w:sz w:val="24"/>
          <w:szCs w:val="24"/>
        </w:rPr>
        <w:t>a</w:t>
      </w:r>
      <w:r w:rsidR="00331309" w:rsidRPr="003A1174">
        <w:rPr>
          <w:rFonts w:ascii="Garamond" w:hAnsi="Garamond" w:cs="Arial"/>
          <w:sz w:val="24"/>
          <w:szCs w:val="24"/>
        </w:rPr>
        <w:t>tiva</w:t>
      </w:r>
      <w:r>
        <w:rPr>
          <w:rFonts w:ascii="Garamond" w:hAnsi="Garamond" w:cs="Arial"/>
          <w:sz w:val="24"/>
          <w:szCs w:val="24"/>
        </w:rPr>
        <w:t>,</w:t>
      </w:r>
      <w:r w:rsidR="00331309" w:rsidRPr="003A1174">
        <w:rPr>
          <w:rFonts w:ascii="Garamond" w:hAnsi="Garamond" w:cs="Arial"/>
          <w:sz w:val="24"/>
          <w:szCs w:val="24"/>
        </w:rPr>
        <w:t xml:space="preserve"> de i</w:t>
      </w:r>
      <w:r w:rsidR="00CA39B2" w:rsidRPr="003A1174">
        <w:rPr>
          <w:rFonts w:ascii="Garamond" w:hAnsi="Garamond" w:cs="Arial"/>
          <w:sz w:val="24"/>
          <w:szCs w:val="24"/>
        </w:rPr>
        <w:t>mediato</w:t>
      </w:r>
      <w:r>
        <w:rPr>
          <w:rFonts w:ascii="Garamond" w:hAnsi="Garamond" w:cs="Arial"/>
          <w:sz w:val="24"/>
          <w:szCs w:val="24"/>
        </w:rPr>
        <w:t>,</w:t>
      </w:r>
      <w:r w:rsidR="00CA39B2" w:rsidRPr="003A1174">
        <w:rPr>
          <w:rFonts w:ascii="Garamond" w:hAnsi="Garamond" w:cs="Arial"/>
          <w:sz w:val="24"/>
          <w:szCs w:val="24"/>
        </w:rPr>
        <w:t xml:space="preserve"> </w:t>
      </w:r>
      <w:r w:rsidR="00331309" w:rsidRPr="003A1174">
        <w:rPr>
          <w:rFonts w:ascii="Garamond" w:hAnsi="Garamond" w:cs="Arial"/>
          <w:sz w:val="24"/>
          <w:szCs w:val="24"/>
        </w:rPr>
        <w:t>o</w:t>
      </w:r>
      <w:r w:rsidR="00CA39B2" w:rsidRPr="003A1174">
        <w:rPr>
          <w:rFonts w:ascii="Garamond" w:hAnsi="Garamond" w:cs="Arial"/>
          <w:sz w:val="24"/>
          <w:szCs w:val="24"/>
        </w:rPr>
        <w:t xml:space="preserve"> sistema de </w:t>
      </w:r>
      <w:r w:rsidR="00165A80" w:rsidRPr="003A1174">
        <w:rPr>
          <w:rFonts w:ascii="Garamond" w:hAnsi="Garamond" w:cs="Arial"/>
          <w:sz w:val="24"/>
          <w:szCs w:val="24"/>
        </w:rPr>
        <w:t>georreferenciação</w:t>
      </w:r>
      <w:r w:rsidR="00CA39B2" w:rsidRPr="003A1174">
        <w:rPr>
          <w:rFonts w:ascii="Garamond" w:hAnsi="Garamond" w:cs="Arial"/>
          <w:sz w:val="24"/>
          <w:szCs w:val="24"/>
        </w:rPr>
        <w:t xml:space="preserve"> que </w:t>
      </w:r>
      <w:r w:rsidR="00331309" w:rsidRPr="003A1174">
        <w:rPr>
          <w:rFonts w:ascii="Garamond" w:hAnsi="Garamond" w:cs="Arial"/>
          <w:sz w:val="24"/>
          <w:szCs w:val="24"/>
        </w:rPr>
        <w:t xml:space="preserve">localiza o sítio onde </w:t>
      </w:r>
      <w:r w:rsidR="00CA39B2" w:rsidRPr="003A1174">
        <w:rPr>
          <w:rFonts w:ascii="Garamond" w:hAnsi="Garamond" w:cs="Arial"/>
          <w:sz w:val="24"/>
          <w:szCs w:val="24"/>
        </w:rPr>
        <w:t xml:space="preserve">se </w:t>
      </w:r>
      <w:r w:rsidR="00AB6522" w:rsidRPr="003A1174">
        <w:rPr>
          <w:rFonts w:ascii="Garamond" w:hAnsi="Garamond" w:cs="Arial"/>
          <w:sz w:val="24"/>
          <w:szCs w:val="24"/>
        </w:rPr>
        <w:t>en</w:t>
      </w:r>
      <w:r w:rsidR="00BB2B00" w:rsidRPr="003A1174">
        <w:rPr>
          <w:rFonts w:ascii="Garamond" w:hAnsi="Garamond" w:cs="Arial"/>
          <w:sz w:val="24"/>
          <w:szCs w:val="24"/>
        </w:rPr>
        <w:t>contra a</w:t>
      </w:r>
      <w:r w:rsidR="00CA39B2" w:rsidRPr="003A1174">
        <w:rPr>
          <w:rFonts w:ascii="Garamond" w:hAnsi="Garamond" w:cs="Arial"/>
          <w:sz w:val="24"/>
          <w:szCs w:val="24"/>
        </w:rPr>
        <w:t xml:space="preserve"> </w:t>
      </w:r>
      <w:r w:rsidR="0005622E" w:rsidRPr="003A1174">
        <w:rPr>
          <w:rFonts w:ascii="Garamond" w:hAnsi="Garamond" w:cs="Arial"/>
          <w:sz w:val="24"/>
          <w:szCs w:val="24"/>
        </w:rPr>
        <w:t>pessoa</w:t>
      </w:r>
      <w:r w:rsidR="00CA39B2" w:rsidRPr="003A1174">
        <w:rPr>
          <w:rFonts w:ascii="Garamond" w:hAnsi="Garamond" w:cs="Arial"/>
          <w:sz w:val="24"/>
          <w:szCs w:val="24"/>
        </w:rPr>
        <w:t xml:space="preserve"> que está </w:t>
      </w:r>
      <w:r w:rsidR="00331309" w:rsidRPr="003A1174">
        <w:rPr>
          <w:rFonts w:ascii="Garamond" w:hAnsi="Garamond" w:cs="Arial"/>
          <w:sz w:val="24"/>
          <w:szCs w:val="24"/>
        </w:rPr>
        <w:t>a enfrentar um</w:t>
      </w:r>
      <w:r w:rsidR="00CA39B2" w:rsidRPr="003A1174">
        <w:rPr>
          <w:rFonts w:ascii="Garamond" w:hAnsi="Garamond" w:cs="Arial"/>
          <w:sz w:val="24"/>
          <w:szCs w:val="24"/>
        </w:rPr>
        <w:t xml:space="preserve">a </w:t>
      </w:r>
      <w:r w:rsidR="0017447A" w:rsidRPr="003A1174">
        <w:rPr>
          <w:rFonts w:ascii="Garamond" w:hAnsi="Garamond" w:cs="Arial"/>
          <w:sz w:val="24"/>
          <w:szCs w:val="24"/>
        </w:rPr>
        <w:t>situação</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o</w:t>
      </w:r>
      <w:r w:rsidR="00331309" w:rsidRPr="003A1174">
        <w:rPr>
          <w:rFonts w:ascii="Garamond" w:hAnsi="Garamond" w:cs="Arial"/>
          <w:sz w:val="24"/>
          <w:szCs w:val="24"/>
        </w:rPr>
        <w:t>u</w:t>
      </w:r>
      <w:r w:rsidR="00CA39B2" w:rsidRPr="003A1174">
        <w:rPr>
          <w:rFonts w:ascii="Garamond" w:hAnsi="Garamond" w:cs="Arial"/>
          <w:sz w:val="24"/>
          <w:szCs w:val="24"/>
        </w:rPr>
        <w:t xml:space="preserve"> de </w:t>
      </w:r>
      <w:r w:rsidR="001B02AD" w:rsidRPr="003A1174">
        <w:rPr>
          <w:rFonts w:ascii="Garamond" w:hAnsi="Garamond" w:cs="Arial"/>
          <w:sz w:val="24"/>
          <w:szCs w:val="24"/>
        </w:rPr>
        <w:t>ameaça</w:t>
      </w:r>
      <w:r w:rsidR="00331309" w:rsidRPr="003A1174">
        <w:rPr>
          <w:rFonts w:ascii="Garamond" w:hAnsi="Garamond" w:cs="Arial"/>
          <w:sz w:val="24"/>
          <w:szCs w:val="24"/>
        </w:rPr>
        <w:t xml:space="preserve">s, a partir do qual se cria uma </w:t>
      </w:r>
      <w:r w:rsidR="00CA39B2" w:rsidRPr="003A1174">
        <w:rPr>
          <w:rFonts w:ascii="Garamond" w:hAnsi="Garamond" w:cs="Arial"/>
          <w:sz w:val="24"/>
          <w:szCs w:val="24"/>
        </w:rPr>
        <w:t>gra</w:t>
      </w:r>
      <w:r w:rsidR="00331309" w:rsidRPr="003A1174">
        <w:rPr>
          <w:rFonts w:ascii="Garamond" w:hAnsi="Garamond" w:cs="Arial"/>
          <w:sz w:val="24"/>
          <w:szCs w:val="24"/>
        </w:rPr>
        <w:t xml:space="preserve">vação de tudo </w:t>
      </w:r>
      <w:r w:rsidR="00CA39B2" w:rsidRPr="003A1174">
        <w:rPr>
          <w:rFonts w:ascii="Garamond" w:hAnsi="Garamond" w:cs="Arial"/>
          <w:sz w:val="24"/>
          <w:szCs w:val="24"/>
        </w:rPr>
        <w:t>o que est</w:t>
      </w:r>
      <w:r w:rsidR="00331309" w:rsidRPr="003A1174">
        <w:rPr>
          <w:rFonts w:ascii="Garamond" w:hAnsi="Garamond" w:cs="Arial"/>
          <w:sz w:val="24"/>
          <w:szCs w:val="24"/>
        </w:rPr>
        <w:t xml:space="preserve">iver a acontecer naquele </w:t>
      </w:r>
      <w:r w:rsidR="00CA39B2" w:rsidRPr="003A1174">
        <w:rPr>
          <w:rFonts w:ascii="Garamond" w:hAnsi="Garamond" w:cs="Arial"/>
          <w:sz w:val="24"/>
          <w:szCs w:val="24"/>
        </w:rPr>
        <w:t xml:space="preserve">ambiente. </w:t>
      </w:r>
      <w:r w:rsidR="00165A80" w:rsidRPr="003A1174">
        <w:rPr>
          <w:rFonts w:ascii="Garamond" w:hAnsi="Garamond" w:cs="Arial"/>
          <w:sz w:val="24"/>
          <w:szCs w:val="24"/>
        </w:rPr>
        <w:t>I</w:t>
      </w:r>
      <w:r w:rsidR="00CA39B2" w:rsidRPr="003A1174">
        <w:rPr>
          <w:rFonts w:ascii="Garamond" w:hAnsi="Garamond" w:cs="Arial"/>
          <w:sz w:val="24"/>
          <w:szCs w:val="24"/>
        </w:rPr>
        <w:t xml:space="preserve">sto </w:t>
      </w:r>
      <w:r w:rsidR="00165A80" w:rsidRPr="003A1174">
        <w:rPr>
          <w:rFonts w:ascii="Garamond" w:hAnsi="Garamond" w:cs="Arial"/>
          <w:sz w:val="24"/>
          <w:szCs w:val="24"/>
        </w:rPr>
        <w:t xml:space="preserve">torna </w:t>
      </w:r>
      <w:r w:rsidR="00DE5AF4" w:rsidRPr="003A1174">
        <w:rPr>
          <w:rFonts w:ascii="Garamond" w:hAnsi="Garamond" w:cs="Arial"/>
          <w:sz w:val="24"/>
          <w:szCs w:val="24"/>
        </w:rPr>
        <w:t>possível</w:t>
      </w:r>
      <w:r w:rsidR="00CA39B2" w:rsidRPr="003A1174">
        <w:rPr>
          <w:rFonts w:ascii="Garamond" w:hAnsi="Garamond" w:cs="Arial"/>
          <w:sz w:val="24"/>
          <w:szCs w:val="24"/>
        </w:rPr>
        <w:t xml:space="preserve"> qu</w:t>
      </w:r>
      <w:r w:rsidR="00165A80" w:rsidRPr="003A1174">
        <w:rPr>
          <w:rFonts w:ascii="Garamond" w:hAnsi="Garamond" w:cs="Arial"/>
          <w:sz w:val="24"/>
          <w:szCs w:val="24"/>
        </w:rPr>
        <w:t xml:space="preserve">e </w:t>
      </w:r>
      <w:r w:rsidR="00CA39B2" w:rsidRPr="003A1174">
        <w:rPr>
          <w:rFonts w:ascii="Garamond" w:hAnsi="Garamond" w:cs="Arial"/>
          <w:sz w:val="24"/>
          <w:szCs w:val="24"/>
        </w:rPr>
        <w:t xml:space="preserve">a </w:t>
      </w:r>
      <w:r w:rsidR="00165A80" w:rsidRPr="003A1174">
        <w:rPr>
          <w:rFonts w:ascii="Garamond" w:hAnsi="Garamond" w:cs="Arial"/>
          <w:sz w:val="24"/>
          <w:szCs w:val="24"/>
        </w:rPr>
        <w:t>gravação</w:t>
      </w:r>
      <w:r w:rsidR="00CA39B2" w:rsidRPr="003A1174">
        <w:rPr>
          <w:rFonts w:ascii="Garamond" w:hAnsi="Garamond" w:cs="Arial"/>
          <w:sz w:val="24"/>
          <w:szCs w:val="24"/>
        </w:rPr>
        <w:t xml:space="preserve"> p</w:t>
      </w:r>
      <w:r w:rsidR="00165A80" w:rsidRPr="003A1174">
        <w:rPr>
          <w:rFonts w:ascii="Garamond" w:hAnsi="Garamond" w:cs="Arial"/>
          <w:sz w:val="24"/>
          <w:szCs w:val="24"/>
        </w:rPr>
        <w:t xml:space="preserve">ossa </w:t>
      </w:r>
      <w:r w:rsidR="00CA39B2" w:rsidRPr="003A1174">
        <w:rPr>
          <w:rFonts w:ascii="Garamond" w:hAnsi="Garamond" w:cs="Arial"/>
          <w:sz w:val="24"/>
          <w:szCs w:val="24"/>
        </w:rPr>
        <w:t>ser utilizada</w:t>
      </w:r>
      <w:r>
        <w:rPr>
          <w:rFonts w:ascii="Garamond" w:hAnsi="Garamond" w:cs="Arial"/>
          <w:sz w:val="24"/>
          <w:szCs w:val="24"/>
        </w:rPr>
        <w:t>,</w:t>
      </w:r>
      <w:r w:rsidR="00CA39B2" w:rsidRPr="003A1174">
        <w:rPr>
          <w:rFonts w:ascii="Garamond" w:hAnsi="Garamond" w:cs="Arial"/>
          <w:sz w:val="24"/>
          <w:szCs w:val="24"/>
        </w:rPr>
        <w:t xml:space="preserve"> </w:t>
      </w:r>
      <w:r w:rsidR="00165A80" w:rsidRPr="003A1174">
        <w:rPr>
          <w:rFonts w:ascii="Garamond" w:hAnsi="Garamond" w:cs="Arial"/>
          <w:sz w:val="24"/>
          <w:szCs w:val="24"/>
        </w:rPr>
        <w:t>depois</w:t>
      </w:r>
      <w:r>
        <w:rPr>
          <w:rFonts w:ascii="Garamond" w:hAnsi="Garamond" w:cs="Arial"/>
          <w:sz w:val="24"/>
          <w:szCs w:val="24"/>
        </w:rPr>
        <w:t>,</w:t>
      </w:r>
      <w:r w:rsidR="00165A80" w:rsidRPr="003A1174">
        <w:rPr>
          <w:rFonts w:ascii="Garamond" w:hAnsi="Garamond" w:cs="Arial"/>
          <w:sz w:val="24"/>
          <w:szCs w:val="24"/>
        </w:rPr>
        <w:t xml:space="preserve"> </w:t>
      </w:r>
      <w:r w:rsidR="00CA39B2" w:rsidRPr="003A1174">
        <w:rPr>
          <w:rFonts w:ascii="Garamond" w:hAnsi="Garamond" w:cs="Arial"/>
          <w:sz w:val="24"/>
          <w:szCs w:val="24"/>
        </w:rPr>
        <w:t xml:space="preserve">como </w:t>
      </w:r>
      <w:r w:rsidR="002B6C5B" w:rsidRPr="003A1174">
        <w:rPr>
          <w:rFonts w:ascii="Garamond" w:hAnsi="Garamond" w:cs="Arial"/>
          <w:sz w:val="24"/>
          <w:szCs w:val="24"/>
        </w:rPr>
        <w:t>prova</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1647F2" w:rsidRPr="003A1174">
        <w:rPr>
          <w:rFonts w:ascii="Garamond" w:hAnsi="Garamond" w:cs="Arial"/>
          <w:sz w:val="24"/>
          <w:szCs w:val="24"/>
        </w:rPr>
        <w:t>facto</w:t>
      </w:r>
      <w:r w:rsidR="006D41D1" w:rsidRPr="003A1174">
        <w:rPr>
          <w:rFonts w:ascii="Garamond" w:hAnsi="Garamond" w:cs="Arial"/>
          <w:sz w:val="24"/>
          <w:szCs w:val="24"/>
        </w:rPr>
        <w:t>,</w:t>
      </w:r>
      <w:r w:rsidR="00CA39B2" w:rsidRPr="003A1174">
        <w:rPr>
          <w:rFonts w:ascii="Garamond" w:hAnsi="Garamond" w:cs="Arial"/>
          <w:sz w:val="24"/>
          <w:szCs w:val="24"/>
        </w:rPr>
        <w:t xml:space="preserve"> </w:t>
      </w:r>
      <w:r w:rsidR="00727DB3">
        <w:rPr>
          <w:rFonts w:ascii="Garamond" w:hAnsi="Garamond" w:cs="Arial"/>
          <w:sz w:val="24"/>
          <w:szCs w:val="24"/>
        </w:rPr>
        <w:t xml:space="preserve">revelando-se </w:t>
      </w:r>
      <w:r w:rsidR="00165A80" w:rsidRPr="003A1174">
        <w:rPr>
          <w:rFonts w:ascii="Garamond" w:hAnsi="Garamond" w:cs="Arial"/>
          <w:sz w:val="24"/>
          <w:szCs w:val="24"/>
        </w:rPr>
        <w:t xml:space="preserve">uma </w:t>
      </w:r>
      <w:r w:rsidR="00CA39B2" w:rsidRPr="003A1174">
        <w:rPr>
          <w:rFonts w:ascii="Garamond" w:hAnsi="Garamond" w:cs="Arial"/>
          <w:sz w:val="24"/>
          <w:szCs w:val="24"/>
        </w:rPr>
        <w:t xml:space="preserve">importante </w:t>
      </w:r>
      <w:r w:rsidR="00D572A9" w:rsidRPr="003A1174">
        <w:rPr>
          <w:rFonts w:ascii="Garamond" w:hAnsi="Garamond" w:cs="Arial"/>
          <w:sz w:val="24"/>
          <w:szCs w:val="24"/>
        </w:rPr>
        <w:t>ferramenta</w:t>
      </w:r>
      <w:r w:rsidR="00165A80" w:rsidRPr="003A1174">
        <w:rPr>
          <w:rFonts w:ascii="Garamond" w:hAnsi="Garamond" w:cs="Arial"/>
          <w:sz w:val="24"/>
          <w:szCs w:val="24"/>
        </w:rPr>
        <w:t xml:space="preserve"> para </w:t>
      </w:r>
      <w:r w:rsidR="00CA39B2" w:rsidRPr="003A1174">
        <w:rPr>
          <w:rFonts w:ascii="Garamond" w:hAnsi="Garamond" w:cs="Arial"/>
          <w:sz w:val="24"/>
          <w:szCs w:val="24"/>
        </w:rPr>
        <w:t xml:space="preserve">a </w:t>
      </w:r>
      <w:r w:rsidR="00FC1F7F" w:rsidRPr="003A1174">
        <w:rPr>
          <w:rFonts w:ascii="Garamond" w:hAnsi="Garamond" w:cs="Arial"/>
          <w:sz w:val="24"/>
          <w:szCs w:val="24"/>
        </w:rPr>
        <w:t>Justiça</w:t>
      </w:r>
      <w:r w:rsidR="00CA39B2" w:rsidRPr="003A1174">
        <w:rPr>
          <w:rFonts w:ascii="Garamond" w:hAnsi="Garamond" w:cs="Arial"/>
          <w:sz w:val="24"/>
          <w:szCs w:val="24"/>
        </w:rPr>
        <w:t>. S</w:t>
      </w:r>
      <w:r w:rsidR="00165A80" w:rsidRPr="003A1174">
        <w:rPr>
          <w:rFonts w:ascii="Garamond" w:hAnsi="Garamond" w:cs="Arial"/>
          <w:sz w:val="24"/>
          <w:szCs w:val="24"/>
        </w:rPr>
        <w:t>e</w:t>
      </w:r>
      <w:r w:rsidR="00CA39B2" w:rsidRPr="003A1174">
        <w:rPr>
          <w:rFonts w:ascii="Garamond" w:hAnsi="Garamond" w:cs="Arial"/>
          <w:sz w:val="24"/>
          <w:szCs w:val="24"/>
        </w:rPr>
        <w:t xml:space="preserve"> se </w:t>
      </w:r>
      <w:r w:rsidR="00165A80" w:rsidRPr="003A1174">
        <w:rPr>
          <w:rFonts w:ascii="Garamond" w:hAnsi="Garamond" w:cs="Arial"/>
          <w:sz w:val="24"/>
          <w:szCs w:val="24"/>
        </w:rPr>
        <w:t>conseguir estabelecer</w:t>
      </w:r>
      <w:r w:rsidR="00CA39B2" w:rsidRPr="003A1174">
        <w:rPr>
          <w:rFonts w:ascii="Garamond" w:hAnsi="Garamond" w:cs="Arial"/>
          <w:sz w:val="24"/>
          <w:szCs w:val="24"/>
        </w:rPr>
        <w:t xml:space="preserve"> </w:t>
      </w:r>
      <w:r w:rsidR="00C01806" w:rsidRPr="003A1174">
        <w:rPr>
          <w:rFonts w:ascii="Garamond" w:hAnsi="Garamond" w:cs="Arial"/>
          <w:sz w:val="24"/>
          <w:szCs w:val="24"/>
        </w:rPr>
        <w:t>comunicação</w:t>
      </w:r>
      <w:r w:rsidR="00CA39B2" w:rsidRPr="003A1174">
        <w:rPr>
          <w:rFonts w:ascii="Garamond" w:hAnsi="Garamond" w:cs="Arial"/>
          <w:sz w:val="24"/>
          <w:szCs w:val="24"/>
        </w:rPr>
        <w:t xml:space="preserve"> co</w:t>
      </w:r>
      <w:r w:rsidR="00165A80" w:rsidRPr="003A1174">
        <w:rPr>
          <w:rFonts w:ascii="Garamond" w:hAnsi="Garamond" w:cs="Arial"/>
          <w:sz w:val="24"/>
          <w:szCs w:val="24"/>
        </w:rPr>
        <w:t>m a</w:t>
      </w:r>
      <w:r w:rsidR="00727DB3">
        <w:rPr>
          <w:rFonts w:ascii="Garamond" w:hAnsi="Garamond" w:cs="Arial"/>
          <w:sz w:val="24"/>
          <w:szCs w:val="24"/>
        </w:rPr>
        <w:t xml:space="preserve"> </w:t>
      </w:r>
      <w:r w:rsidR="00727DB3" w:rsidRPr="00EA2345">
        <w:rPr>
          <w:rFonts w:ascii="Garamond" w:hAnsi="Garamond" w:cs="Arial"/>
          <w:sz w:val="24"/>
          <w:szCs w:val="24"/>
        </w:rPr>
        <w:t>utilizadora do botão</w:t>
      </w:r>
      <w:r w:rsidR="00CA39B2" w:rsidRPr="00EA2345">
        <w:rPr>
          <w:rFonts w:ascii="Garamond" w:hAnsi="Garamond" w:cs="Arial"/>
          <w:sz w:val="24"/>
          <w:szCs w:val="24"/>
        </w:rPr>
        <w:t xml:space="preserve">, </w:t>
      </w:r>
      <w:r w:rsidR="00165A80" w:rsidRPr="00EA2345">
        <w:rPr>
          <w:rFonts w:ascii="Garamond" w:hAnsi="Garamond" w:cs="Arial"/>
          <w:sz w:val="24"/>
          <w:szCs w:val="24"/>
        </w:rPr>
        <w:t>tenta</w:t>
      </w:r>
      <w:r w:rsidR="00165A80" w:rsidRPr="003A1174">
        <w:rPr>
          <w:rFonts w:ascii="Garamond" w:hAnsi="Garamond" w:cs="Arial"/>
          <w:sz w:val="24"/>
          <w:szCs w:val="24"/>
        </w:rPr>
        <w:t>-</w:t>
      </w:r>
      <w:r w:rsidR="00CA39B2" w:rsidRPr="003A1174">
        <w:rPr>
          <w:rFonts w:ascii="Garamond" w:hAnsi="Garamond" w:cs="Arial"/>
          <w:sz w:val="24"/>
          <w:szCs w:val="24"/>
        </w:rPr>
        <w:t xml:space="preserve">se </w:t>
      </w:r>
      <w:r w:rsidR="00165A80" w:rsidRPr="003A1174">
        <w:rPr>
          <w:rFonts w:ascii="Garamond" w:hAnsi="Garamond" w:cs="Arial"/>
          <w:sz w:val="24"/>
          <w:szCs w:val="24"/>
        </w:rPr>
        <w:t>recolher</w:t>
      </w:r>
      <w:r w:rsidR="00CA39B2" w:rsidRPr="003A1174">
        <w:rPr>
          <w:rFonts w:ascii="Garamond" w:hAnsi="Garamond" w:cs="Arial"/>
          <w:sz w:val="24"/>
          <w:szCs w:val="24"/>
        </w:rPr>
        <w:t xml:space="preserve"> </w:t>
      </w:r>
      <w:r w:rsidR="0017447A" w:rsidRPr="003A1174">
        <w:rPr>
          <w:rFonts w:ascii="Garamond" w:hAnsi="Garamond" w:cs="Arial"/>
          <w:sz w:val="24"/>
          <w:szCs w:val="24"/>
        </w:rPr>
        <w:t>informação</w:t>
      </w:r>
      <w:r w:rsidR="00165A80" w:rsidRPr="003A1174">
        <w:rPr>
          <w:rFonts w:ascii="Garamond" w:hAnsi="Garamond" w:cs="Arial"/>
          <w:sz w:val="24"/>
          <w:szCs w:val="24"/>
        </w:rPr>
        <w:t xml:space="preserve"> sobre </w:t>
      </w:r>
      <w:r w:rsidR="00CA39B2" w:rsidRPr="003A1174">
        <w:rPr>
          <w:rFonts w:ascii="Garamond" w:hAnsi="Garamond" w:cs="Arial"/>
          <w:sz w:val="24"/>
          <w:szCs w:val="24"/>
        </w:rPr>
        <w:t xml:space="preserve">a </w:t>
      </w:r>
      <w:r w:rsidR="0017447A" w:rsidRPr="003A1174">
        <w:rPr>
          <w:rFonts w:ascii="Garamond" w:hAnsi="Garamond" w:cs="Arial"/>
          <w:sz w:val="24"/>
          <w:szCs w:val="24"/>
        </w:rPr>
        <w:t>situação</w:t>
      </w:r>
      <w:r w:rsidR="00CA39B2" w:rsidRPr="003A1174">
        <w:rPr>
          <w:rFonts w:ascii="Garamond" w:hAnsi="Garamond" w:cs="Arial"/>
          <w:sz w:val="24"/>
          <w:szCs w:val="24"/>
        </w:rPr>
        <w:t xml:space="preserve"> </w:t>
      </w:r>
      <w:r w:rsidR="00165A80" w:rsidRPr="003A1174">
        <w:rPr>
          <w:rFonts w:ascii="Garamond" w:hAnsi="Garamond" w:cs="Arial"/>
          <w:sz w:val="24"/>
          <w:szCs w:val="24"/>
        </w:rPr>
        <w:t xml:space="preserve">com o fim </w:t>
      </w:r>
      <w:r w:rsidR="00CA39B2" w:rsidRPr="003A1174">
        <w:rPr>
          <w:rFonts w:ascii="Garamond" w:hAnsi="Garamond" w:cs="Arial"/>
          <w:sz w:val="24"/>
          <w:szCs w:val="24"/>
        </w:rPr>
        <w:t xml:space="preserve">de </w:t>
      </w:r>
      <w:r w:rsidR="00AF192F" w:rsidRPr="003A1174">
        <w:rPr>
          <w:rFonts w:ascii="Garamond" w:hAnsi="Garamond" w:cs="Arial"/>
          <w:sz w:val="24"/>
          <w:szCs w:val="24"/>
        </w:rPr>
        <w:t>garantir</w:t>
      </w:r>
      <w:r w:rsidR="00CA39B2" w:rsidRPr="003A1174">
        <w:rPr>
          <w:rFonts w:ascii="Garamond" w:hAnsi="Garamond" w:cs="Arial"/>
          <w:sz w:val="24"/>
          <w:szCs w:val="24"/>
        </w:rPr>
        <w:t xml:space="preserve"> </w:t>
      </w:r>
      <w:r w:rsidR="00791197" w:rsidRPr="003A1174">
        <w:rPr>
          <w:rFonts w:ascii="Garamond" w:hAnsi="Garamond" w:cs="Arial"/>
          <w:sz w:val="24"/>
          <w:szCs w:val="24"/>
        </w:rPr>
        <w:t>apoio</w:t>
      </w:r>
      <w:r w:rsidR="00CA39B2" w:rsidRPr="003A1174">
        <w:rPr>
          <w:rFonts w:ascii="Garamond" w:hAnsi="Garamond" w:cs="Arial"/>
          <w:sz w:val="24"/>
          <w:szCs w:val="24"/>
        </w:rPr>
        <w:t xml:space="preserve"> emocional </w:t>
      </w:r>
      <w:r w:rsidR="00BB2B00" w:rsidRPr="003A1174">
        <w:rPr>
          <w:rFonts w:ascii="Garamond" w:hAnsi="Garamond" w:cs="Arial"/>
          <w:sz w:val="24"/>
          <w:szCs w:val="24"/>
        </w:rPr>
        <w:t>à</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 e inform</w:t>
      </w:r>
      <w:r w:rsidR="00165A80" w:rsidRPr="003A1174">
        <w:rPr>
          <w:rFonts w:ascii="Garamond" w:hAnsi="Garamond" w:cs="Arial"/>
          <w:sz w:val="24"/>
          <w:szCs w:val="24"/>
        </w:rPr>
        <w:t xml:space="preserve">á-la </w:t>
      </w:r>
      <w:r w:rsidR="00727DB3">
        <w:rPr>
          <w:rFonts w:ascii="Garamond" w:hAnsi="Garamond" w:cs="Arial"/>
          <w:sz w:val="24"/>
          <w:szCs w:val="24"/>
        </w:rPr>
        <w:t xml:space="preserve">de </w:t>
      </w:r>
      <w:r w:rsidR="00CA39B2" w:rsidRPr="003A1174">
        <w:rPr>
          <w:rFonts w:ascii="Garamond" w:hAnsi="Garamond" w:cs="Arial"/>
          <w:sz w:val="24"/>
          <w:szCs w:val="24"/>
        </w:rPr>
        <w:t>que</w:t>
      </w:r>
      <w:r w:rsidR="00727DB3">
        <w:rPr>
          <w:rFonts w:ascii="Garamond" w:hAnsi="Garamond" w:cs="Arial"/>
          <w:sz w:val="24"/>
          <w:szCs w:val="24"/>
        </w:rPr>
        <w:t xml:space="preserve"> uma força</w:t>
      </w:r>
      <w:r w:rsidR="00CA39B2" w:rsidRPr="003A1174">
        <w:rPr>
          <w:rFonts w:ascii="Garamond" w:hAnsi="Garamond" w:cs="Arial"/>
          <w:sz w:val="24"/>
          <w:szCs w:val="24"/>
        </w:rPr>
        <w:t xml:space="preserve"> policial </w:t>
      </w:r>
      <w:r w:rsidR="00165A80" w:rsidRPr="003A1174">
        <w:rPr>
          <w:rFonts w:ascii="Garamond" w:hAnsi="Garamond" w:cs="Arial"/>
          <w:sz w:val="24"/>
          <w:szCs w:val="24"/>
        </w:rPr>
        <w:t>deslocar</w:t>
      </w:r>
      <w:r w:rsidR="00727DB3">
        <w:rPr>
          <w:rFonts w:ascii="Garamond" w:hAnsi="Garamond" w:cs="Arial"/>
          <w:sz w:val="24"/>
          <w:szCs w:val="24"/>
        </w:rPr>
        <w:t>-se-á, de imediato,</w:t>
      </w:r>
      <w:r w:rsidR="00165A80" w:rsidRPr="003A1174">
        <w:rPr>
          <w:rFonts w:ascii="Garamond" w:hAnsi="Garamond" w:cs="Arial"/>
          <w:sz w:val="24"/>
          <w:szCs w:val="24"/>
        </w:rPr>
        <w:t xml:space="preserve"> </w:t>
      </w:r>
      <w:r w:rsidR="00CA39B2" w:rsidRPr="003A1174">
        <w:rPr>
          <w:rFonts w:ascii="Garamond" w:hAnsi="Garamond" w:cs="Arial"/>
          <w:sz w:val="24"/>
          <w:szCs w:val="24"/>
        </w:rPr>
        <w:t xml:space="preserve">para </w:t>
      </w:r>
      <w:r w:rsidR="00165A80" w:rsidRPr="003A1174">
        <w:rPr>
          <w:rFonts w:ascii="Garamond" w:hAnsi="Garamond" w:cs="Arial"/>
          <w:sz w:val="24"/>
          <w:szCs w:val="24"/>
        </w:rPr>
        <w:t xml:space="preserve">lhe </w:t>
      </w:r>
      <w:r w:rsidR="009024A0" w:rsidRPr="003A1174">
        <w:rPr>
          <w:rFonts w:ascii="Garamond" w:hAnsi="Garamond" w:cs="Arial"/>
          <w:sz w:val="24"/>
          <w:szCs w:val="24"/>
        </w:rPr>
        <w:t>proporcionar</w:t>
      </w:r>
      <w:r w:rsidR="00CA39B2" w:rsidRPr="003A1174">
        <w:rPr>
          <w:rFonts w:ascii="Garamond" w:hAnsi="Garamond" w:cs="Arial"/>
          <w:sz w:val="24"/>
          <w:szCs w:val="24"/>
        </w:rPr>
        <w:t xml:space="preserve"> </w:t>
      </w:r>
      <w:r w:rsidR="000672E8" w:rsidRPr="003A1174">
        <w:rPr>
          <w:rFonts w:ascii="Garamond" w:hAnsi="Garamond" w:cs="Arial"/>
          <w:sz w:val="24"/>
          <w:szCs w:val="24"/>
        </w:rPr>
        <w:t>ajuda</w:t>
      </w:r>
      <w:r w:rsidR="00CA39B2" w:rsidRPr="003A1174">
        <w:rPr>
          <w:rFonts w:ascii="Garamond" w:hAnsi="Garamond" w:cs="Arial"/>
          <w:sz w:val="24"/>
          <w:szCs w:val="24"/>
        </w:rPr>
        <w:t xml:space="preserve">. </w:t>
      </w:r>
      <w:r w:rsidR="0074243F" w:rsidRPr="003A1174">
        <w:rPr>
          <w:rFonts w:ascii="Garamond" w:hAnsi="Garamond" w:cs="Arial"/>
          <w:sz w:val="24"/>
          <w:szCs w:val="24"/>
        </w:rPr>
        <w:t>Mas</w:t>
      </w:r>
      <w:r w:rsidR="00727DB3">
        <w:rPr>
          <w:rFonts w:ascii="Garamond" w:hAnsi="Garamond" w:cs="Arial"/>
          <w:sz w:val="24"/>
          <w:szCs w:val="24"/>
        </w:rPr>
        <w:t>,</w:t>
      </w:r>
      <w:r w:rsidR="00CA39B2" w:rsidRPr="003A1174">
        <w:rPr>
          <w:rFonts w:ascii="Garamond" w:hAnsi="Garamond" w:cs="Arial"/>
          <w:sz w:val="24"/>
          <w:szCs w:val="24"/>
        </w:rPr>
        <w:t xml:space="preserve"> s</w:t>
      </w:r>
      <w:r w:rsidR="00165A80" w:rsidRPr="003A1174">
        <w:rPr>
          <w:rFonts w:ascii="Garamond" w:hAnsi="Garamond" w:cs="Arial"/>
          <w:sz w:val="24"/>
          <w:szCs w:val="24"/>
        </w:rPr>
        <w:t>e</w:t>
      </w:r>
      <w:r w:rsidR="00CA39B2" w:rsidRPr="003A1174">
        <w:rPr>
          <w:rFonts w:ascii="Garamond" w:hAnsi="Garamond" w:cs="Arial"/>
          <w:sz w:val="24"/>
          <w:szCs w:val="24"/>
        </w:rPr>
        <w:t xml:space="preserve"> n</w:t>
      </w:r>
      <w:r w:rsidR="00165A80" w:rsidRPr="003A1174">
        <w:rPr>
          <w:rFonts w:ascii="Garamond" w:hAnsi="Garamond" w:cs="Arial"/>
          <w:sz w:val="24"/>
          <w:szCs w:val="24"/>
        </w:rPr>
        <w:t>ã</w:t>
      </w:r>
      <w:r w:rsidR="00CA39B2" w:rsidRPr="003A1174">
        <w:rPr>
          <w:rFonts w:ascii="Garamond" w:hAnsi="Garamond" w:cs="Arial"/>
          <w:sz w:val="24"/>
          <w:szCs w:val="24"/>
        </w:rPr>
        <w:t>o exist</w:t>
      </w:r>
      <w:r w:rsidR="00165A80" w:rsidRPr="003A1174">
        <w:rPr>
          <w:rFonts w:ascii="Garamond" w:hAnsi="Garamond" w:cs="Arial"/>
          <w:sz w:val="24"/>
          <w:szCs w:val="24"/>
        </w:rPr>
        <w:t>ir a</w:t>
      </w:r>
      <w:r w:rsidR="00CA39B2" w:rsidRPr="003A1174">
        <w:rPr>
          <w:rFonts w:ascii="Garamond" w:hAnsi="Garamond" w:cs="Arial"/>
          <w:sz w:val="24"/>
          <w:szCs w:val="24"/>
        </w:rPr>
        <w:t xml:space="preserve"> </w:t>
      </w:r>
      <w:r w:rsidR="008843FD" w:rsidRPr="003A1174">
        <w:rPr>
          <w:rFonts w:ascii="Garamond" w:hAnsi="Garamond" w:cs="Arial"/>
          <w:sz w:val="24"/>
          <w:szCs w:val="24"/>
        </w:rPr>
        <w:t>possibilidade</w:t>
      </w:r>
      <w:r w:rsidR="00CA39B2" w:rsidRPr="003A1174">
        <w:rPr>
          <w:rFonts w:ascii="Garamond" w:hAnsi="Garamond" w:cs="Arial"/>
          <w:sz w:val="24"/>
          <w:szCs w:val="24"/>
        </w:rPr>
        <w:t xml:space="preserve"> de </w:t>
      </w:r>
      <w:r w:rsidR="004C71E0" w:rsidRPr="003A1174">
        <w:rPr>
          <w:rFonts w:ascii="Garamond" w:hAnsi="Garamond" w:cs="Arial"/>
          <w:sz w:val="24"/>
          <w:szCs w:val="24"/>
        </w:rPr>
        <w:t>falar</w:t>
      </w:r>
      <w:r w:rsidR="00CA39B2" w:rsidRPr="003A1174">
        <w:rPr>
          <w:rFonts w:ascii="Garamond" w:hAnsi="Garamond" w:cs="Arial"/>
          <w:sz w:val="24"/>
          <w:szCs w:val="24"/>
        </w:rPr>
        <w:t xml:space="preserve"> co</w:t>
      </w:r>
      <w:r w:rsidR="00165A80" w:rsidRPr="003A1174">
        <w:rPr>
          <w:rFonts w:ascii="Garamond" w:hAnsi="Garamond" w:cs="Arial"/>
          <w:sz w:val="24"/>
          <w:szCs w:val="24"/>
        </w:rPr>
        <w:t xml:space="preserve">m </w:t>
      </w:r>
      <w:r w:rsidR="00CA39B2" w:rsidRPr="003A1174">
        <w:rPr>
          <w:rFonts w:ascii="Garamond" w:hAnsi="Garamond" w:cs="Arial"/>
          <w:sz w:val="24"/>
          <w:szCs w:val="24"/>
        </w:rPr>
        <w:t xml:space="preserve">a </w:t>
      </w:r>
      <w:r w:rsidR="0005622E" w:rsidRPr="003A1174">
        <w:rPr>
          <w:rFonts w:ascii="Garamond" w:hAnsi="Garamond" w:cs="Arial"/>
          <w:sz w:val="24"/>
          <w:szCs w:val="24"/>
        </w:rPr>
        <w:t>pessoa</w:t>
      </w:r>
      <w:r w:rsidR="00CA39B2" w:rsidRPr="003A1174">
        <w:rPr>
          <w:rFonts w:ascii="Garamond" w:hAnsi="Garamond" w:cs="Arial"/>
          <w:sz w:val="24"/>
          <w:szCs w:val="24"/>
        </w:rPr>
        <w:t xml:space="preserve"> que ap</w:t>
      </w:r>
      <w:r w:rsidR="00165A80" w:rsidRPr="003A1174">
        <w:rPr>
          <w:rFonts w:ascii="Garamond" w:hAnsi="Garamond" w:cs="Arial"/>
          <w:sz w:val="24"/>
          <w:szCs w:val="24"/>
        </w:rPr>
        <w:t xml:space="preserve">ertou o </w:t>
      </w:r>
      <w:r w:rsidR="00CA39B2" w:rsidRPr="003A1174">
        <w:rPr>
          <w:rFonts w:ascii="Garamond" w:hAnsi="Garamond" w:cs="Arial"/>
          <w:sz w:val="24"/>
          <w:szCs w:val="24"/>
        </w:rPr>
        <w:t>bot</w:t>
      </w:r>
      <w:r w:rsidR="00165A80" w:rsidRPr="003A1174">
        <w:rPr>
          <w:rFonts w:ascii="Garamond" w:hAnsi="Garamond" w:cs="Arial"/>
          <w:sz w:val="24"/>
          <w:szCs w:val="24"/>
        </w:rPr>
        <w:t>ão</w:t>
      </w:r>
      <w:r w:rsidR="00CA39B2" w:rsidRPr="003A1174">
        <w:rPr>
          <w:rFonts w:ascii="Garamond" w:hAnsi="Garamond" w:cs="Arial"/>
          <w:sz w:val="24"/>
          <w:szCs w:val="24"/>
        </w:rPr>
        <w:t xml:space="preserve">, </w:t>
      </w:r>
      <w:r w:rsidR="00165A80" w:rsidRPr="003A1174">
        <w:rPr>
          <w:rFonts w:ascii="Garamond" w:hAnsi="Garamond" w:cs="Arial"/>
          <w:sz w:val="24"/>
          <w:szCs w:val="24"/>
        </w:rPr>
        <w:t xml:space="preserve">o </w:t>
      </w:r>
      <w:r w:rsidR="008278C4" w:rsidRPr="003A1174">
        <w:rPr>
          <w:rFonts w:ascii="Garamond" w:hAnsi="Garamond" w:cs="Arial"/>
          <w:sz w:val="24"/>
          <w:szCs w:val="24"/>
        </w:rPr>
        <w:t>pessoal</w:t>
      </w:r>
      <w:r w:rsidR="00165A80" w:rsidRPr="003A1174">
        <w:rPr>
          <w:rFonts w:ascii="Garamond" w:hAnsi="Garamond" w:cs="Arial"/>
          <w:sz w:val="24"/>
          <w:szCs w:val="24"/>
        </w:rPr>
        <w:t xml:space="preserve"> de </w:t>
      </w:r>
      <w:r w:rsidR="00727DB3">
        <w:rPr>
          <w:rFonts w:ascii="Garamond" w:hAnsi="Garamond" w:cs="Arial"/>
          <w:sz w:val="24"/>
          <w:szCs w:val="24"/>
        </w:rPr>
        <w:t>serviço</w:t>
      </w:r>
      <w:r w:rsidR="00CA39B2" w:rsidRPr="003A1174">
        <w:rPr>
          <w:rFonts w:ascii="Garamond" w:hAnsi="Garamond" w:cs="Arial"/>
          <w:sz w:val="24"/>
          <w:szCs w:val="24"/>
        </w:rPr>
        <w:t xml:space="preserve"> </w:t>
      </w:r>
      <w:r w:rsidR="00727DB3">
        <w:rPr>
          <w:rFonts w:ascii="Garamond" w:hAnsi="Garamond" w:cs="Arial"/>
          <w:sz w:val="24"/>
          <w:szCs w:val="24"/>
        </w:rPr>
        <w:t>procede à realização de</w:t>
      </w:r>
      <w:r w:rsidR="00165A80" w:rsidRPr="003A1174">
        <w:rPr>
          <w:rFonts w:ascii="Garamond" w:hAnsi="Garamond" w:cs="Arial"/>
          <w:sz w:val="24"/>
          <w:szCs w:val="24"/>
        </w:rPr>
        <w:t xml:space="preserve"> </w:t>
      </w:r>
      <w:r w:rsidR="00CA39B2" w:rsidRPr="003A1174">
        <w:rPr>
          <w:rFonts w:ascii="Garamond" w:hAnsi="Garamond" w:cs="Arial"/>
          <w:sz w:val="24"/>
          <w:szCs w:val="24"/>
        </w:rPr>
        <w:t>escu</w:t>
      </w:r>
      <w:r w:rsidR="00165A80" w:rsidRPr="003A1174">
        <w:rPr>
          <w:rFonts w:ascii="Garamond" w:hAnsi="Garamond" w:cs="Arial"/>
          <w:sz w:val="24"/>
          <w:szCs w:val="24"/>
        </w:rPr>
        <w:t>t</w:t>
      </w:r>
      <w:r w:rsidR="00CA39B2" w:rsidRPr="003A1174">
        <w:rPr>
          <w:rFonts w:ascii="Garamond" w:hAnsi="Garamond" w:cs="Arial"/>
          <w:sz w:val="24"/>
          <w:szCs w:val="24"/>
        </w:rPr>
        <w:t>a</w:t>
      </w:r>
      <w:r w:rsidR="00727DB3">
        <w:rPr>
          <w:rFonts w:ascii="Garamond" w:hAnsi="Garamond" w:cs="Arial"/>
          <w:sz w:val="24"/>
          <w:szCs w:val="24"/>
        </w:rPr>
        <w:t>s</w:t>
      </w:r>
      <w:r w:rsidR="00CA39B2" w:rsidRPr="003A1174">
        <w:rPr>
          <w:rFonts w:ascii="Garamond" w:hAnsi="Garamond" w:cs="Arial"/>
          <w:sz w:val="24"/>
          <w:szCs w:val="24"/>
        </w:rPr>
        <w:t xml:space="preserve"> </w:t>
      </w:r>
      <w:r w:rsidR="009A0CC2" w:rsidRPr="003A1174">
        <w:rPr>
          <w:rFonts w:ascii="Garamond" w:hAnsi="Garamond" w:cs="Arial"/>
          <w:sz w:val="24"/>
          <w:szCs w:val="24"/>
        </w:rPr>
        <w:t>através</w:t>
      </w:r>
      <w:r w:rsidR="00CA39B2" w:rsidRPr="003A1174">
        <w:rPr>
          <w:rFonts w:ascii="Garamond" w:hAnsi="Garamond" w:cs="Arial"/>
          <w:sz w:val="24"/>
          <w:szCs w:val="24"/>
        </w:rPr>
        <w:t xml:space="preserve"> </w:t>
      </w:r>
      <w:r w:rsidR="00E85E59" w:rsidRPr="003A1174">
        <w:rPr>
          <w:rFonts w:ascii="Garamond" w:hAnsi="Garamond" w:cs="Arial"/>
          <w:sz w:val="24"/>
          <w:szCs w:val="24"/>
        </w:rPr>
        <w:t>do</w:t>
      </w:r>
      <w:r w:rsidR="00CA39B2" w:rsidRPr="003A1174">
        <w:rPr>
          <w:rFonts w:ascii="Garamond" w:hAnsi="Garamond" w:cs="Arial"/>
          <w:sz w:val="24"/>
          <w:szCs w:val="24"/>
        </w:rPr>
        <w:t xml:space="preserve"> sistema de </w:t>
      </w:r>
      <w:r w:rsidR="00165A80" w:rsidRPr="003A1174">
        <w:rPr>
          <w:rFonts w:ascii="Garamond" w:hAnsi="Garamond" w:cs="Arial"/>
          <w:sz w:val="24"/>
          <w:szCs w:val="24"/>
        </w:rPr>
        <w:t>áudio</w:t>
      </w:r>
      <w:r w:rsidR="00CA39B2" w:rsidRPr="003A1174">
        <w:rPr>
          <w:rFonts w:ascii="Garamond" w:hAnsi="Garamond" w:cs="Arial"/>
          <w:sz w:val="24"/>
          <w:szCs w:val="24"/>
        </w:rPr>
        <w:t xml:space="preserve"> ambiental para </w:t>
      </w:r>
      <w:r w:rsidR="00727DB3">
        <w:rPr>
          <w:rFonts w:ascii="Garamond" w:hAnsi="Garamond" w:cs="Arial"/>
          <w:sz w:val="24"/>
          <w:szCs w:val="24"/>
        </w:rPr>
        <w:t xml:space="preserve">se inteirar do </w:t>
      </w:r>
      <w:r w:rsidR="00CA39B2" w:rsidRPr="003A1174">
        <w:rPr>
          <w:rFonts w:ascii="Garamond" w:hAnsi="Garamond" w:cs="Arial"/>
          <w:sz w:val="24"/>
          <w:szCs w:val="24"/>
        </w:rPr>
        <w:t>estado d</w:t>
      </w:r>
      <w:r w:rsidR="006D41D1" w:rsidRPr="003A1174">
        <w:rPr>
          <w:rFonts w:ascii="Garamond" w:hAnsi="Garamond" w:cs="Arial"/>
          <w:sz w:val="24"/>
          <w:szCs w:val="24"/>
        </w:rPr>
        <w:t xml:space="preserve">a </w:t>
      </w:r>
      <w:r w:rsidR="0017447A" w:rsidRPr="003A1174">
        <w:rPr>
          <w:rFonts w:ascii="Garamond" w:hAnsi="Garamond" w:cs="Arial"/>
          <w:sz w:val="24"/>
          <w:szCs w:val="24"/>
        </w:rPr>
        <w:t>situação</w:t>
      </w:r>
      <w:r w:rsidR="00727DB3">
        <w:rPr>
          <w:rFonts w:ascii="Garamond" w:hAnsi="Garamond" w:cs="Arial"/>
          <w:sz w:val="24"/>
          <w:szCs w:val="24"/>
        </w:rPr>
        <w:t>,</w:t>
      </w:r>
      <w:r w:rsidR="00CA39B2" w:rsidRPr="003A1174">
        <w:rPr>
          <w:rFonts w:ascii="Garamond" w:hAnsi="Garamond" w:cs="Arial"/>
          <w:sz w:val="24"/>
          <w:szCs w:val="24"/>
        </w:rPr>
        <w:t xml:space="preserve"> </w:t>
      </w:r>
      <w:r w:rsidR="00165A80" w:rsidRPr="003A1174">
        <w:rPr>
          <w:rFonts w:ascii="Garamond" w:hAnsi="Garamond" w:cs="Arial"/>
          <w:sz w:val="24"/>
          <w:szCs w:val="24"/>
        </w:rPr>
        <w:t xml:space="preserve">no </w:t>
      </w:r>
      <w:r w:rsidR="001A53AD" w:rsidRPr="003A1174">
        <w:rPr>
          <w:rFonts w:ascii="Garamond" w:hAnsi="Garamond" w:cs="Arial"/>
          <w:sz w:val="24"/>
          <w:szCs w:val="24"/>
        </w:rPr>
        <w:t>local</w:t>
      </w:r>
      <w:r w:rsidR="00727DB3">
        <w:rPr>
          <w:rFonts w:ascii="Garamond" w:hAnsi="Garamond" w:cs="Arial"/>
          <w:sz w:val="24"/>
          <w:szCs w:val="24"/>
        </w:rPr>
        <w:t>,</w:t>
      </w:r>
      <w:r w:rsidR="00CA39B2" w:rsidRPr="003A1174">
        <w:rPr>
          <w:rFonts w:ascii="Garamond" w:hAnsi="Garamond" w:cs="Arial"/>
          <w:sz w:val="24"/>
          <w:szCs w:val="24"/>
        </w:rPr>
        <w:t xml:space="preserve"> e informar </w:t>
      </w:r>
      <w:r w:rsidR="00165A80" w:rsidRPr="003A1174">
        <w:rPr>
          <w:rFonts w:ascii="Garamond" w:hAnsi="Garamond" w:cs="Arial"/>
          <w:sz w:val="24"/>
          <w:szCs w:val="24"/>
        </w:rPr>
        <w:t xml:space="preserve">a </w:t>
      </w:r>
      <w:r w:rsidR="00CF42A3" w:rsidRPr="003A1174">
        <w:rPr>
          <w:rFonts w:ascii="Garamond" w:hAnsi="Garamond" w:cs="Arial"/>
          <w:sz w:val="24"/>
          <w:szCs w:val="24"/>
        </w:rPr>
        <w:t>Polícia</w:t>
      </w:r>
      <w:r w:rsidR="00CA39B2" w:rsidRPr="003A1174">
        <w:rPr>
          <w:rFonts w:ascii="Garamond" w:hAnsi="Garamond" w:cs="Arial"/>
          <w:sz w:val="24"/>
          <w:szCs w:val="24"/>
        </w:rPr>
        <w:t xml:space="preserve">. </w:t>
      </w:r>
      <w:r w:rsidR="00165A80" w:rsidRPr="003A1174">
        <w:rPr>
          <w:rFonts w:ascii="Garamond" w:hAnsi="Garamond" w:cs="Arial"/>
          <w:sz w:val="24"/>
          <w:szCs w:val="24"/>
        </w:rPr>
        <w:t xml:space="preserve">Geralmente, </w:t>
      </w:r>
      <w:r w:rsidR="00CA39B2" w:rsidRPr="003A1174">
        <w:rPr>
          <w:rFonts w:ascii="Garamond" w:hAnsi="Garamond" w:cs="Arial"/>
          <w:sz w:val="24"/>
          <w:szCs w:val="24"/>
        </w:rPr>
        <w:t xml:space="preserve">a </w:t>
      </w:r>
      <w:r w:rsidR="00C01806" w:rsidRPr="003A1174">
        <w:rPr>
          <w:rFonts w:ascii="Garamond" w:hAnsi="Garamond" w:cs="Arial"/>
          <w:sz w:val="24"/>
          <w:szCs w:val="24"/>
        </w:rPr>
        <w:t>comunicação</w:t>
      </w:r>
      <w:r w:rsidR="00CA39B2" w:rsidRPr="003A1174">
        <w:rPr>
          <w:rFonts w:ascii="Garamond" w:hAnsi="Garamond" w:cs="Arial"/>
          <w:sz w:val="24"/>
          <w:szCs w:val="24"/>
        </w:rPr>
        <w:t xml:space="preserve"> permanece </w:t>
      </w:r>
      <w:r w:rsidR="00473E27">
        <w:rPr>
          <w:rFonts w:ascii="Garamond" w:hAnsi="Garamond" w:cs="Arial"/>
          <w:sz w:val="24"/>
          <w:szCs w:val="24"/>
        </w:rPr>
        <w:t xml:space="preserve">ligada </w:t>
      </w:r>
      <w:r w:rsidR="00165A80" w:rsidRPr="003A1174">
        <w:rPr>
          <w:rFonts w:ascii="Garamond" w:hAnsi="Garamond" w:cs="Arial"/>
          <w:sz w:val="24"/>
          <w:szCs w:val="24"/>
        </w:rPr>
        <w:t xml:space="preserve">até à chegada da </w:t>
      </w:r>
      <w:r w:rsidR="00CA39B2" w:rsidRPr="003A1174">
        <w:rPr>
          <w:rFonts w:ascii="Garamond" w:hAnsi="Garamond" w:cs="Arial"/>
          <w:sz w:val="24"/>
          <w:szCs w:val="24"/>
        </w:rPr>
        <w:t>pol</w:t>
      </w:r>
      <w:r w:rsidR="00165A80" w:rsidRPr="003A1174">
        <w:rPr>
          <w:rFonts w:ascii="Garamond" w:hAnsi="Garamond" w:cs="Arial"/>
          <w:sz w:val="24"/>
          <w:szCs w:val="24"/>
        </w:rPr>
        <w:t>ícia</w:t>
      </w:r>
      <w:r w:rsidR="00CA39B2" w:rsidRPr="003A1174">
        <w:rPr>
          <w:rFonts w:ascii="Garamond" w:hAnsi="Garamond" w:cs="Arial"/>
          <w:sz w:val="24"/>
          <w:szCs w:val="24"/>
        </w:rPr>
        <w:t>.</w:t>
      </w:r>
    </w:p>
    <w:p w:rsidR="00CA39B2" w:rsidRPr="003A1174" w:rsidRDefault="00165A80" w:rsidP="00331309">
      <w:pPr>
        <w:spacing w:before="240" w:after="0" w:line="240" w:lineRule="auto"/>
        <w:jc w:val="both"/>
        <w:rPr>
          <w:rFonts w:ascii="Garamond" w:hAnsi="Garamond" w:cs="Arial"/>
          <w:sz w:val="24"/>
          <w:szCs w:val="24"/>
        </w:rPr>
      </w:pPr>
      <w:r w:rsidRPr="003A1174">
        <w:rPr>
          <w:rFonts w:ascii="Garamond" w:hAnsi="Garamond" w:cs="Arial"/>
          <w:sz w:val="24"/>
          <w:szCs w:val="24"/>
        </w:rPr>
        <w:t xml:space="preserve">No </w:t>
      </w:r>
      <w:r w:rsidR="008278C4" w:rsidRPr="003A1174">
        <w:rPr>
          <w:rFonts w:ascii="Garamond" w:hAnsi="Garamond" w:cs="Arial"/>
          <w:sz w:val="24"/>
          <w:szCs w:val="24"/>
        </w:rPr>
        <w:t>município</w:t>
      </w:r>
      <w:r w:rsidRPr="003A1174">
        <w:rPr>
          <w:rFonts w:ascii="Garamond" w:hAnsi="Garamond" w:cs="Arial"/>
          <w:sz w:val="24"/>
          <w:szCs w:val="24"/>
        </w:rPr>
        <w:t xml:space="preserve"> de Tigre, proví</w:t>
      </w:r>
      <w:r w:rsidR="00CA39B2" w:rsidRPr="003A1174">
        <w:rPr>
          <w:rFonts w:ascii="Garamond" w:hAnsi="Garamond" w:cs="Arial"/>
          <w:sz w:val="24"/>
          <w:szCs w:val="24"/>
        </w:rPr>
        <w:t xml:space="preserve">ncia de Buenos Aires, </w:t>
      </w:r>
      <w:r w:rsidRPr="003A1174">
        <w:rPr>
          <w:rFonts w:ascii="Garamond" w:hAnsi="Garamond" w:cs="Arial"/>
          <w:sz w:val="24"/>
          <w:szCs w:val="24"/>
        </w:rPr>
        <w:t xml:space="preserve">o </w:t>
      </w:r>
      <w:r w:rsidR="00CA39B2" w:rsidRPr="003A1174">
        <w:rPr>
          <w:rFonts w:ascii="Garamond" w:hAnsi="Garamond" w:cs="Arial"/>
          <w:sz w:val="24"/>
          <w:szCs w:val="24"/>
        </w:rPr>
        <w:t xml:space="preserve">sistema funciona desde 2012. </w:t>
      </w:r>
      <w:r w:rsidRPr="003A1174">
        <w:rPr>
          <w:rFonts w:ascii="Garamond" w:hAnsi="Garamond" w:cs="Arial"/>
          <w:sz w:val="24"/>
          <w:szCs w:val="24"/>
        </w:rPr>
        <w:t>No decurso d</w:t>
      </w:r>
      <w:r w:rsidR="00CA39B2" w:rsidRPr="003A1174">
        <w:rPr>
          <w:rFonts w:ascii="Garamond" w:hAnsi="Garamond" w:cs="Arial"/>
          <w:sz w:val="24"/>
          <w:szCs w:val="24"/>
        </w:rPr>
        <w:t xml:space="preserve">este </w:t>
      </w:r>
      <w:r w:rsidR="002C7510" w:rsidRPr="003A1174">
        <w:rPr>
          <w:rFonts w:ascii="Garamond" w:hAnsi="Garamond" w:cs="Arial"/>
          <w:sz w:val="24"/>
          <w:szCs w:val="24"/>
        </w:rPr>
        <w:t>ano</w:t>
      </w:r>
      <w:r w:rsidR="00473E27">
        <w:rPr>
          <w:rFonts w:ascii="Garamond" w:hAnsi="Garamond" w:cs="Arial"/>
          <w:sz w:val="24"/>
          <w:szCs w:val="24"/>
        </w:rPr>
        <w:t>,</w:t>
      </w:r>
      <w:r w:rsidR="00CA39B2" w:rsidRPr="003A1174">
        <w:rPr>
          <w:rFonts w:ascii="Garamond" w:hAnsi="Garamond" w:cs="Arial"/>
          <w:sz w:val="24"/>
          <w:szCs w:val="24"/>
        </w:rPr>
        <w:t xml:space="preserve"> </w:t>
      </w:r>
      <w:r w:rsidR="00BD6A0C" w:rsidRPr="003A1174">
        <w:rPr>
          <w:rFonts w:ascii="Garamond" w:hAnsi="Garamond" w:cs="Arial"/>
          <w:sz w:val="24"/>
          <w:szCs w:val="24"/>
        </w:rPr>
        <w:t>começar</w:t>
      </w:r>
      <w:r w:rsidRPr="003A1174">
        <w:rPr>
          <w:rFonts w:ascii="Garamond" w:hAnsi="Garamond" w:cs="Arial"/>
          <w:sz w:val="24"/>
          <w:szCs w:val="24"/>
        </w:rPr>
        <w:t>am</w:t>
      </w:r>
      <w:r w:rsidR="00473E27">
        <w:rPr>
          <w:rFonts w:ascii="Garamond" w:hAnsi="Garamond" w:cs="Arial"/>
          <w:sz w:val="24"/>
          <w:szCs w:val="24"/>
        </w:rPr>
        <w:t>, também a ser</w:t>
      </w:r>
      <w:r w:rsidR="00CA39B2" w:rsidRPr="003A1174">
        <w:rPr>
          <w:rFonts w:ascii="Garamond" w:hAnsi="Garamond" w:cs="Arial"/>
          <w:sz w:val="24"/>
          <w:szCs w:val="24"/>
        </w:rPr>
        <w:t xml:space="preserve"> implementa</w:t>
      </w:r>
      <w:r w:rsidR="00473E27">
        <w:rPr>
          <w:rFonts w:ascii="Garamond" w:hAnsi="Garamond" w:cs="Arial"/>
          <w:sz w:val="24"/>
          <w:szCs w:val="24"/>
        </w:rPr>
        <w:t>das</w:t>
      </w:r>
      <w:r w:rsidRPr="003A1174">
        <w:rPr>
          <w:rFonts w:ascii="Garamond" w:hAnsi="Garamond" w:cs="Arial"/>
          <w:sz w:val="24"/>
          <w:szCs w:val="24"/>
        </w:rPr>
        <w:t xml:space="preserve"> nas província</w:t>
      </w:r>
      <w:r w:rsidR="00CA39B2" w:rsidRPr="003A1174">
        <w:rPr>
          <w:rFonts w:ascii="Garamond" w:hAnsi="Garamond" w:cs="Arial"/>
          <w:sz w:val="24"/>
          <w:szCs w:val="24"/>
        </w:rPr>
        <w:t xml:space="preserve">s de La Pampa, Misiones </w:t>
      </w:r>
      <w:r w:rsidR="000672E8" w:rsidRPr="003A1174">
        <w:rPr>
          <w:rFonts w:ascii="Garamond" w:hAnsi="Garamond" w:cs="Arial"/>
          <w:sz w:val="24"/>
          <w:szCs w:val="24"/>
        </w:rPr>
        <w:t>e</w:t>
      </w:r>
      <w:r w:rsidR="00CA39B2" w:rsidRPr="003A1174">
        <w:rPr>
          <w:rFonts w:ascii="Garamond" w:hAnsi="Garamond" w:cs="Arial"/>
          <w:sz w:val="24"/>
          <w:szCs w:val="24"/>
        </w:rPr>
        <w:t xml:space="preserve"> Entre Ríos.</w:t>
      </w:r>
    </w:p>
    <w:p w:rsidR="00CA39B2" w:rsidRPr="003A1174" w:rsidRDefault="00F945B2" w:rsidP="00331309">
      <w:pPr>
        <w:pStyle w:val="Ttulo4"/>
        <w:spacing w:line="240" w:lineRule="auto"/>
        <w:jc w:val="both"/>
        <w:rPr>
          <w:rFonts w:ascii="Garamond" w:hAnsi="Garamond"/>
          <w:sz w:val="24"/>
          <w:szCs w:val="24"/>
        </w:rPr>
      </w:pPr>
      <w:r w:rsidRPr="003A1174">
        <w:rPr>
          <w:rFonts w:ascii="Garamond" w:hAnsi="Garamond"/>
          <w:sz w:val="24"/>
          <w:szCs w:val="24"/>
        </w:rPr>
        <w:lastRenderedPageBreak/>
        <w:t xml:space="preserve">Casas de </w:t>
      </w:r>
      <w:r w:rsidR="00B936A7" w:rsidRPr="003A1174">
        <w:rPr>
          <w:rFonts w:ascii="Garamond" w:hAnsi="Garamond"/>
          <w:sz w:val="24"/>
          <w:szCs w:val="24"/>
        </w:rPr>
        <w:t>abrigo</w:t>
      </w:r>
    </w:p>
    <w:p w:rsidR="00CA39B2" w:rsidRPr="003A1174" w:rsidRDefault="00165A80" w:rsidP="00331309">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Embora o n</w:t>
      </w:r>
      <w:r w:rsidR="006D41D1" w:rsidRPr="003A1174">
        <w:rPr>
          <w:rFonts w:ascii="Garamond" w:hAnsi="Garamond" w:cs="Arial"/>
          <w:color w:val="auto"/>
          <w:sz w:val="24"/>
          <w:szCs w:val="24"/>
        </w:rPr>
        <w:t xml:space="preserve">úmero </w:t>
      </w:r>
      <w:r w:rsidR="00497503" w:rsidRPr="003A1174">
        <w:rPr>
          <w:rFonts w:ascii="Garamond" w:hAnsi="Garamond" w:cs="Arial"/>
          <w:color w:val="auto"/>
          <w:sz w:val="24"/>
          <w:szCs w:val="24"/>
        </w:rPr>
        <w:t>d</w:t>
      </w:r>
      <w:r w:rsidRPr="003A1174">
        <w:rPr>
          <w:rFonts w:ascii="Garamond" w:hAnsi="Garamond" w:cs="Arial"/>
          <w:color w:val="auto"/>
          <w:sz w:val="24"/>
          <w:szCs w:val="24"/>
        </w:rPr>
        <w:t>e</w:t>
      </w:r>
      <w:r w:rsidR="00CA39B2" w:rsidRPr="003A1174">
        <w:rPr>
          <w:rFonts w:ascii="Garamond" w:hAnsi="Garamond" w:cs="Arial"/>
          <w:color w:val="auto"/>
          <w:sz w:val="24"/>
          <w:szCs w:val="24"/>
        </w:rPr>
        <w:t xml:space="preserve"> casas de </w:t>
      </w:r>
      <w:r w:rsidR="00B936A7" w:rsidRPr="003A1174">
        <w:rPr>
          <w:rFonts w:ascii="Garamond" w:hAnsi="Garamond" w:cs="Arial"/>
          <w:color w:val="auto"/>
          <w:sz w:val="24"/>
          <w:szCs w:val="24"/>
        </w:rPr>
        <w:t>abrigo</w:t>
      </w:r>
      <w:r w:rsidR="002F319E" w:rsidRPr="003A1174">
        <w:rPr>
          <w:rFonts w:ascii="Garamond" w:hAnsi="Garamond" w:cs="Arial"/>
          <w:color w:val="auto"/>
          <w:sz w:val="24"/>
          <w:szCs w:val="24"/>
        </w:rPr>
        <w:t xml:space="preserve"> tempo</w:t>
      </w:r>
      <w:r w:rsidRPr="003A1174">
        <w:rPr>
          <w:rFonts w:ascii="Garamond" w:hAnsi="Garamond" w:cs="Arial"/>
          <w:color w:val="auto"/>
          <w:sz w:val="24"/>
          <w:szCs w:val="24"/>
        </w:rPr>
        <w:t xml:space="preserve">rário não tenha aumentado, na </w:t>
      </w:r>
      <w:r w:rsidR="008651AF" w:rsidRPr="003A1174">
        <w:rPr>
          <w:rFonts w:ascii="Garamond" w:hAnsi="Garamond" w:cs="Arial"/>
          <w:color w:val="auto"/>
          <w:sz w:val="24"/>
          <w:szCs w:val="24"/>
        </w:rPr>
        <w:t>Cidade</w:t>
      </w:r>
      <w:r w:rsidR="00CA39B2" w:rsidRPr="003A1174">
        <w:rPr>
          <w:rFonts w:ascii="Garamond" w:hAnsi="Garamond" w:cs="Arial"/>
          <w:color w:val="auto"/>
          <w:sz w:val="24"/>
          <w:szCs w:val="24"/>
        </w:rPr>
        <w:t xml:space="preserve"> de Buenos Aires</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 xml:space="preserve">as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dispõem de um </w:t>
      </w:r>
      <w:r w:rsidR="00B936A7" w:rsidRPr="003A1174">
        <w:rPr>
          <w:rFonts w:ascii="Garamond" w:hAnsi="Garamond" w:cs="Arial"/>
          <w:color w:val="auto"/>
          <w:sz w:val="24"/>
          <w:szCs w:val="24"/>
        </w:rPr>
        <w:t>abrigo</w:t>
      </w:r>
      <w:r w:rsidRPr="003A1174">
        <w:rPr>
          <w:rFonts w:ascii="Garamond" w:hAnsi="Garamond" w:cs="Arial"/>
          <w:color w:val="auto"/>
          <w:sz w:val="24"/>
          <w:szCs w:val="24"/>
        </w:rPr>
        <w:t>, um</w:t>
      </w:r>
      <w:r w:rsidR="00CA39B2" w:rsidRPr="003A1174">
        <w:rPr>
          <w:rFonts w:ascii="Garamond" w:hAnsi="Garamond" w:cs="Arial"/>
          <w:color w:val="auto"/>
          <w:sz w:val="24"/>
          <w:szCs w:val="24"/>
        </w:rPr>
        <w:t xml:space="preserve">a casa </w:t>
      </w:r>
      <w:r w:rsidR="00C15C97" w:rsidRPr="003A1174">
        <w:rPr>
          <w:rFonts w:ascii="Garamond" w:hAnsi="Garamond" w:cs="Arial"/>
          <w:color w:val="auto"/>
          <w:sz w:val="24"/>
          <w:szCs w:val="24"/>
        </w:rPr>
        <w:t>transitória e um la</w:t>
      </w:r>
      <w:r w:rsidR="00CA39B2" w:rsidRPr="003A1174">
        <w:rPr>
          <w:rFonts w:ascii="Garamond" w:hAnsi="Garamond" w:cs="Arial"/>
          <w:color w:val="auto"/>
          <w:sz w:val="24"/>
          <w:szCs w:val="24"/>
        </w:rPr>
        <w:t>r.</w:t>
      </w:r>
    </w:p>
    <w:p w:rsidR="00CA39B2" w:rsidRPr="003A1174" w:rsidRDefault="00C15C97" w:rsidP="00331309">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O </w:t>
      </w:r>
      <w:r w:rsidR="00B936A7" w:rsidRPr="003A1174">
        <w:rPr>
          <w:rFonts w:ascii="Garamond" w:hAnsi="Garamond" w:cs="Arial"/>
          <w:color w:val="auto"/>
          <w:sz w:val="24"/>
          <w:szCs w:val="24"/>
        </w:rPr>
        <w:t>abrigo</w:t>
      </w:r>
      <w:r w:rsidR="00CA39B2" w:rsidRPr="003A1174">
        <w:rPr>
          <w:rFonts w:ascii="Garamond" w:hAnsi="Garamond" w:cs="Arial"/>
          <w:color w:val="auto"/>
          <w:sz w:val="24"/>
          <w:szCs w:val="24"/>
        </w:rPr>
        <w:t xml:space="preserve"> </w:t>
      </w:r>
      <w:r w:rsidR="00473E27">
        <w:rPr>
          <w:rFonts w:ascii="Garamond" w:hAnsi="Garamond" w:cs="Arial"/>
          <w:color w:val="auto"/>
          <w:sz w:val="24"/>
          <w:szCs w:val="24"/>
        </w:rPr>
        <w:t>«</w:t>
      </w:r>
      <w:r w:rsidR="00CA39B2" w:rsidRPr="003A1174">
        <w:rPr>
          <w:rFonts w:ascii="Garamond" w:hAnsi="Garamond" w:cs="Arial"/>
          <w:color w:val="auto"/>
          <w:sz w:val="24"/>
          <w:szCs w:val="24"/>
        </w:rPr>
        <w:t>Mariquita Sánchez</w:t>
      </w:r>
      <w:r w:rsidR="00473E27">
        <w:rPr>
          <w:rFonts w:ascii="Garamond" w:hAnsi="Garamond" w:cs="Arial"/>
          <w:color w:val="auto"/>
          <w:sz w:val="24"/>
          <w:szCs w:val="24"/>
        </w:rPr>
        <w:t>»</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proporciona alojamento</w:t>
      </w:r>
      <w:r w:rsidR="00CA39B2" w:rsidRPr="003A1174">
        <w:rPr>
          <w:rFonts w:ascii="Garamond" w:hAnsi="Garamond" w:cs="Arial"/>
          <w:color w:val="auto"/>
          <w:sz w:val="24"/>
          <w:szCs w:val="24"/>
        </w:rPr>
        <w:t xml:space="preserve"> seguro para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ou </w:t>
      </w:r>
      <w:r w:rsidR="006A293D" w:rsidRPr="003A1174">
        <w:rPr>
          <w:rFonts w:ascii="Garamond" w:hAnsi="Garamond" w:cs="Arial"/>
          <w:color w:val="auto"/>
          <w:sz w:val="24"/>
          <w:szCs w:val="24"/>
        </w:rPr>
        <w:t>sem</w:t>
      </w:r>
      <w:r w:rsidR="00CA39B2" w:rsidRPr="003A1174">
        <w:rPr>
          <w:rFonts w:ascii="Garamond" w:hAnsi="Garamond" w:cs="Arial"/>
          <w:color w:val="auto"/>
          <w:sz w:val="24"/>
          <w:szCs w:val="24"/>
        </w:rPr>
        <w:t xml:space="preserve"> </w:t>
      </w:r>
      <w:r w:rsidR="007A2492" w:rsidRPr="003A1174">
        <w:rPr>
          <w:rFonts w:ascii="Garamond" w:hAnsi="Garamond" w:cs="Arial"/>
          <w:color w:val="auto"/>
          <w:sz w:val="24"/>
          <w:szCs w:val="24"/>
        </w:rPr>
        <w:t>filho</w:t>
      </w:r>
      <w:r w:rsidR="00CA39B2" w:rsidRPr="003A1174">
        <w:rPr>
          <w:rFonts w:ascii="Garamond" w:hAnsi="Garamond" w:cs="Arial"/>
          <w:color w:val="auto"/>
          <w:sz w:val="24"/>
          <w:szCs w:val="24"/>
        </w:rPr>
        <w:t xml:space="preserve">s, que </w:t>
      </w:r>
      <w:r w:rsidR="00473E27">
        <w:rPr>
          <w:rFonts w:ascii="Garamond" w:hAnsi="Garamond" w:cs="Arial"/>
          <w:color w:val="auto"/>
          <w:sz w:val="24"/>
          <w:szCs w:val="24"/>
        </w:rPr>
        <w:t xml:space="preserve">estejam </w:t>
      </w:r>
      <w:r w:rsidRPr="003A1174">
        <w:rPr>
          <w:rFonts w:ascii="Garamond" w:hAnsi="Garamond" w:cs="Arial"/>
          <w:color w:val="auto"/>
          <w:sz w:val="24"/>
          <w:szCs w:val="24"/>
        </w:rPr>
        <w:t xml:space="preserve">a </w:t>
      </w:r>
      <w:r w:rsidR="00CA39B2" w:rsidRPr="003A1174">
        <w:rPr>
          <w:rFonts w:ascii="Garamond" w:hAnsi="Garamond" w:cs="Arial"/>
          <w:color w:val="auto"/>
          <w:sz w:val="24"/>
          <w:szCs w:val="24"/>
        </w:rPr>
        <w:t>atraves</w:t>
      </w:r>
      <w:r w:rsidRPr="003A1174">
        <w:rPr>
          <w:rFonts w:ascii="Garamond" w:hAnsi="Garamond" w:cs="Arial"/>
          <w:color w:val="auto"/>
          <w:sz w:val="24"/>
          <w:szCs w:val="24"/>
        </w:rPr>
        <w:t>sar um</w:t>
      </w:r>
      <w:r w:rsidR="00CA39B2" w:rsidRPr="003A1174">
        <w:rPr>
          <w:rFonts w:ascii="Garamond" w:hAnsi="Garamond" w:cs="Arial"/>
          <w:color w:val="auto"/>
          <w:sz w:val="24"/>
          <w:szCs w:val="24"/>
        </w:rPr>
        <w:t xml:space="preserve">a </w:t>
      </w:r>
      <w:r w:rsidR="0017447A" w:rsidRPr="003A1174">
        <w:rPr>
          <w:rFonts w:ascii="Garamond" w:hAnsi="Garamond" w:cs="Arial"/>
          <w:color w:val="auto"/>
          <w:sz w:val="24"/>
          <w:szCs w:val="24"/>
        </w:rPr>
        <w:t>situação</w:t>
      </w:r>
      <w:r w:rsidR="00CA39B2" w:rsidRPr="003A1174">
        <w:rPr>
          <w:rFonts w:ascii="Garamond" w:hAnsi="Garamond" w:cs="Arial"/>
          <w:color w:val="auto"/>
          <w:sz w:val="24"/>
          <w:szCs w:val="24"/>
        </w:rPr>
        <w:t xml:space="preserve"> de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grave, co</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alto </w:t>
      </w:r>
      <w:r w:rsidR="008651AF" w:rsidRPr="003A1174">
        <w:rPr>
          <w:rFonts w:ascii="Garamond" w:hAnsi="Garamond" w:cs="Arial"/>
          <w:color w:val="auto"/>
          <w:sz w:val="24"/>
          <w:szCs w:val="24"/>
        </w:rPr>
        <w:t>risco</w:t>
      </w:r>
      <w:r w:rsidR="00CA39B2" w:rsidRPr="003A1174">
        <w:rPr>
          <w:rFonts w:ascii="Garamond" w:hAnsi="Garamond" w:cs="Arial"/>
          <w:color w:val="auto"/>
          <w:sz w:val="24"/>
          <w:szCs w:val="24"/>
        </w:rPr>
        <w:t xml:space="preserve"> para </w:t>
      </w:r>
      <w:r w:rsidRPr="003A1174">
        <w:rPr>
          <w:rFonts w:ascii="Garamond" w:hAnsi="Garamond" w:cs="Arial"/>
          <w:color w:val="auto"/>
          <w:sz w:val="24"/>
          <w:szCs w:val="24"/>
        </w:rPr>
        <w:t xml:space="preserve">a </w:t>
      </w:r>
      <w:r w:rsidR="00CA39B2" w:rsidRPr="003A1174">
        <w:rPr>
          <w:rFonts w:ascii="Garamond" w:hAnsi="Garamond" w:cs="Arial"/>
          <w:color w:val="auto"/>
          <w:sz w:val="24"/>
          <w:szCs w:val="24"/>
        </w:rPr>
        <w:t>su</w:t>
      </w:r>
      <w:r w:rsidRPr="003A1174">
        <w:rPr>
          <w:rFonts w:ascii="Garamond" w:hAnsi="Garamond" w:cs="Arial"/>
          <w:color w:val="auto"/>
          <w:sz w:val="24"/>
          <w:szCs w:val="24"/>
        </w:rPr>
        <w:t>a</w:t>
      </w:r>
      <w:r w:rsidR="00CA39B2" w:rsidRPr="003A1174">
        <w:rPr>
          <w:rFonts w:ascii="Garamond" w:hAnsi="Garamond" w:cs="Arial"/>
          <w:color w:val="auto"/>
          <w:sz w:val="24"/>
          <w:szCs w:val="24"/>
        </w:rPr>
        <w:t xml:space="preserve"> </w:t>
      </w:r>
      <w:r w:rsidR="007C63D0" w:rsidRPr="003A1174">
        <w:rPr>
          <w:rFonts w:ascii="Garamond" w:hAnsi="Garamond" w:cs="Arial"/>
          <w:color w:val="auto"/>
          <w:sz w:val="24"/>
          <w:szCs w:val="24"/>
        </w:rPr>
        <w:t>saúde</w:t>
      </w:r>
      <w:r w:rsidR="00CA39B2" w:rsidRPr="003A1174">
        <w:rPr>
          <w:rFonts w:ascii="Garamond" w:hAnsi="Garamond" w:cs="Arial"/>
          <w:color w:val="auto"/>
          <w:sz w:val="24"/>
          <w:szCs w:val="24"/>
        </w:rPr>
        <w:t xml:space="preserve"> psicofísica. </w:t>
      </w:r>
      <w:r w:rsidRPr="003A1174">
        <w:rPr>
          <w:rFonts w:ascii="Garamond" w:hAnsi="Garamond" w:cs="Arial"/>
          <w:color w:val="auto"/>
          <w:sz w:val="24"/>
          <w:szCs w:val="24"/>
        </w:rPr>
        <w:t>É d</w:t>
      </w:r>
      <w:r w:rsidR="00CA39B2" w:rsidRPr="003A1174">
        <w:rPr>
          <w:rFonts w:ascii="Garamond" w:hAnsi="Garamond" w:cs="Arial"/>
          <w:color w:val="auto"/>
          <w:sz w:val="24"/>
          <w:szCs w:val="24"/>
        </w:rPr>
        <w:t>e p</w:t>
      </w:r>
      <w:r w:rsidRPr="003A1174">
        <w:rPr>
          <w:rFonts w:ascii="Garamond" w:hAnsi="Garamond" w:cs="Arial"/>
          <w:color w:val="auto"/>
          <w:sz w:val="24"/>
          <w:szCs w:val="24"/>
        </w:rPr>
        <w:t>o</w:t>
      </w:r>
      <w:r w:rsidR="00CA39B2" w:rsidRPr="003A1174">
        <w:rPr>
          <w:rFonts w:ascii="Garamond" w:hAnsi="Garamond" w:cs="Arial"/>
          <w:color w:val="auto"/>
          <w:sz w:val="24"/>
          <w:szCs w:val="24"/>
        </w:rPr>
        <w:t xml:space="preserve">rtas </w:t>
      </w:r>
      <w:r w:rsidRPr="003A1174">
        <w:rPr>
          <w:rFonts w:ascii="Garamond" w:hAnsi="Garamond" w:cs="Arial"/>
          <w:color w:val="auto"/>
          <w:sz w:val="24"/>
          <w:szCs w:val="24"/>
        </w:rPr>
        <w:t xml:space="preserve">fechadas e </w:t>
      </w:r>
      <w:r w:rsidR="00CA39B2" w:rsidRPr="003A1174">
        <w:rPr>
          <w:rFonts w:ascii="Garamond" w:hAnsi="Garamond" w:cs="Arial"/>
          <w:color w:val="auto"/>
          <w:sz w:val="24"/>
          <w:szCs w:val="24"/>
        </w:rPr>
        <w:t>co</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w:t>
      </w:r>
      <w:r w:rsidR="00152A44" w:rsidRPr="003A1174">
        <w:rPr>
          <w:rFonts w:ascii="Garamond" w:hAnsi="Garamond" w:cs="Arial"/>
          <w:color w:val="auto"/>
          <w:sz w:val="24"/>
          <w:szCs w:val="24"/>
        </w:rPr>
        <w:t>domicílio</w:t>
      </w:r>
      <w:r w:rsidR="00CA39B2" w:rsidRPr="003A1174">
        <w:rPr>
          <w:rFonts w:ascii="Garamond" w:hAnsi="Garamond" w:cs="Arial"/>
          <w:color w:val="auto"/>
          <w:sz w:val="24"/>
          <w:szCs w:val="24"/>
        </w:rPr>
        <w:t xml:space="preserve"> reservado. </w:t>
      </w:r>
      <w:r w:rsidRPr="003A1174">
        <w:rPr>
          <w:rFonts w:ascii="Garamond" w:hAnsi="Garamond" w:cs="Arial"/>
          <w:color w:val="auto"/>
          <w:sz w:val="24"/>
          <w:szCs w:val="24"/>
        </w:rPr>
        <w:t>Proporciona a</w:t>
      </w:r>
      <w:r w:rsidR="000350B1" w:rsidRPr="003A1174">
        <w:rPr>
          <w:rFonts w:ascii="Garamond" w:hAnsi="Garamond" w:cs="Arial"/>
          <w:color w:val="auto"/>
          <w:sz w:val="24"/>
          <w:szCs w:val="24"/>
        </w:rPr>
        <w:t>ssistência</w:t>
      </w:r>
      <w:r w:rsidR="00CA39B2" w:rsidRPr="003A1174">
        <w:rPr>
          <w:rFonts w:ascii="Garamond" w:hAnsi="Garamond" w:cs="Arial"/>
          <w:color w:val="auto"/>
          <w:sz w:val="24"/>
          <w:szCs w:val="24"/>
        </w:rPr>
        <w:t xml:space="preserve"> psicológica individual co</w:t>
      </w:r>
      <w:r w:rsidRPr="003A1174">
        <w:rPr>
          <w:rFonts w:ascii="Garamond" w:hAnsi="Garamond" w:cs="Arial"/>
          <w:color w:val="auto"/>
          <w:sz w:val="24"/>
          <w:szCs w:val="24"/>
        </w:rPr>
        <w:t xml:space="preserve">m o </w:t>
      </w:r>
      <w:r w:rsidR="00CA39B2" w:rsidRPr="003A1174">
        <w:rPr>
          <w:rFonts w:ascii="Garamond" w:hAnsi="Garamond" w:cs="Arial"/>
          <w:color w:val="auto"/>
          <w:sz w:val="24"/>
          <w:szCs w:val="24"/>
        </w:rPr>
        <w:t xml:space="preserve">propósito de </w:t>
      </w:r>
      <w:r w:rsidR="003A391A" w:rsidRPr="003A1174">
        <w:rPr>
          <w:rFonts w:ascii="Garamond" w:hAnsi="Garamond" w:cs="Arial"/>
          <w:color w:val="auto"/>
          <w:sz w:val="24"/>
          <w:szCs w:val="24"/>
        </w:rPr>
        <w:t>reforçar</w:t>
      </w:r>
      <w:r w:rsidRPr="003A1174">
        <w:rPr>
          <w:rFonts w:ascii="Garamond" w:hAnsi="Garamond" w:cs="Arial"/>
          <w:color w:val="auto"/>
          <w:sz w:val="24"/>
          <w:szCs w:val="24"/>
        </w:rPr>
        <w:t xml:space="preserve"> </w:t>
      </w:r>
      <w:r w:rsidR="00CA39B2" w:rsidRPr="003A1174">
        <w:rPr>
          <w:rFonts w:ascii="Garamond" w:hAnsi="Garamond" w:cs="Arial"/>
          <w:color w:val="auto"/>
          <w:sz w:val="24"/>
          <w:szCs w:val="24"/>
        </w:rPr>
        <w:t>a autoestima, redu</w:t>
      </w:r>
      <w:r w:rsidRPr="003A1174">
        <w:rPr>
          <w:rFonts w:ascii="Garamond" w:hAnsi="Garamond" w:cs="Arial"/>
          <w:color w:val="auto"/>
          <w:sz w:val="24"/>
          <w:szCs w:val="24"/>
        </w:rPr>
        <w:t>zir a angú</w:t>
      </w:r>
      <w:r w:rsidR="00CA39B2" w:rsidRPr="003A1174">
        <w:rPr>
          <w:rFonts w:ascii="Garamond" w:hAnsi="Garamond" w:cs="Arial"/>
          <w:color w:val="auto"/>
          <w:sz w:val="24"/>
          <w:szCs w:val="24"/>
        </w:rPr>
        <w:t xml:space="preserve">stia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gerar </w:t>
      </w:r>
      <w:r w:rsidR="005D38DC" w:rsidRPr="003A1174">
        <w:rPr>
          <w:rFonts w:ascii="Garamond" w:hAnsi="Garamond" w:cs="Arial"/>
          <w:color w:val="auto"/>
          <w:sz w:val="24"/>
          <w:szCs w:val="24"/>
        </w:rPr>
        <w:t>novo</w:t>
      </w:r>
      <w:r w:rsidR="00CA39B2" w:rsidRPr="003A1174">
        <w:rPr>
          <w:rFonts w:ascii="Garamond" w:hAnsi="Garamond" w:cs="Arial"/>
          <w:color w:val="auto"/>
          <w:sz w:val="24"/>
          <w:szCs w:val="24"/>
        </w:rPr>
        <w:t xml:space="preserve">s </w:t>
      </w:r>
      <w:r w:rsidRPr="003A1174">
        <w:rPr>
          <w:rFonts w:ascii="Garamond" w:hAnsi="Garamond" w:cs="Arial"/>
          <w:color w:val="auto"/>
          <w:sz w:val="24"/>
          <w:szCs w:val="24"/>
        </w:rPr>
        <w:t>modelos de vinculação</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pares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os </w:t>
      </w:r>
      <w:r w:rsidR="00CA39B2" w:rsidRPr="003A1174">
        <w:rPr>
          <w:rFonts w:ascii="Garamond" w:hAnsi="Garamond" w:cs="Arial"/>
          <w:color w:val="auto"/>
          <w:sz w:val="24"/>
          <w:szCs w:val="24"/>
        </w:rPr>
        <w:t>s</w:t>
      </w:r>
      <w:r w:rsidRPr="003A1174">
        <w:rPr>
          <w:rFonts w:ascii="Garamond" w:hAnsi="Garamond" w:cs="Arial"/>
          <w:color w:val="auto"/>
          <w:sz w:val="24"/>
          <w:szCs w:val="24"/>
        </w:rPr>
        <w:t>e</w:t>
      </w:r>
      <w:r w:rsidR="00CA39B2" w:rsidRPr="003A1174">
        <w:rPr>
          <w:rFonts w:ascii="Garamond" w:hAnsi="Garamond" w:cs="Arial"/>
          <w:color w:val="auto"/>
          <w:sz w:val="24"/>
          <w:szCs w:val="24"/>
        </w:rPr>
        <w:t xml:space="preserve">us </w:t>
      </w:r>
      <w:r w:rsidR="007A2492" w:rsidRPr="003A1174">
        <w:rPr>
          <w:rFonts w:ascii="Garamond" w:hAnsi="Garamond" w:cs="Arial"/>
          <w:color w:val="auto"/>
          <w:sz w:val="24"/>
          <w:szCs w:val="24"/>
        </w:rPr>
        <w:t>filho</w:t>
      </w:r>
      <w:r w:rsidR="00CA39B2" w:rsidRPr="003A1174">
        <w:rPr>
          <w:rFonts w:ascii="Garamond" w:hAnsi="Garamond" w:cs="Arial"/>
          <w:color w:val="auto"/>
          <w:sz w:val="24"/>
          <w:szCs w:val="24"/>
        </w:rPr>
        <w:t>s (</w:t>
      </w:r>
      <w:r w:rsidRPr="003A1174">
        <w:rPr>
          <w:rFonts w:ascii="Garamond" w:hAnsi="Garamond" w:cs="Arial"/>
          <w:color w:val="auto"/>
          <w:sz w:val="24"/>
          <w:szCs w:val="24"/>
        </w:rPr>
        <w:t xml:space="preserve">rapazes até aos </w:t>
      </w:r>
      <w:r w:rsidR="00CA39B2" w:rsidRPr="003A1174">
        <w:rPr>
          <w:rFonts w:ascii="Garamond" w:hAnsi="Garamond" w:cs="Arial"/>
          <w:color w:val="auto"/>
          <w:sz w:val="24"/>
          <w:szCs w:val="24"/>
        </w:rPr>
        <w:t xml:space="preserve">12 </w:t>
      </w:r>
      <w:r w:rsidR="002C7510" w:rsidRPr="003A1174">
        <w:rPr>
          <w:rFonts w:ascii="Garamond" w:hAnsi="Garamond" w:cs="Arial"/>
          <w:color w:val="auto"/>
          <w:sz w:val="24"/>
          <w:szCs w:val="24"/>
        </w:rPr>
        <w:t>ano</w:t>
      </w:r>
      <w:r w:rsidR="00CA39B2" w:rsidRPr="003A1174">
        <w:rPr>
          <w:rFonts w:ascii="Garamond" w:hAnsi="Garamond" w:cs="Arial"/>
          <w:color w:val="auto"/>
          <w:sz w:val="24"/>
          <w:szCs w:val="24"/>
        </w:rPr>
        <w:t xml:space="preserve">s) e </w:t>
      </w:r>
      <w:r w:rsidR="007A2492" w:rsidRPr="003A1174">
        <w:rPr>
          <w:rFonts w:ascii="Garamond" w:hAnsi="Garamond" w:cs="Arial"/>
          <w:color w:val="auto"/>
          <w:sz w:val="24"/>
          <w:szCs w:val="24"/>
        </w:rPr>
        <w:t>filha</w:t>
      </w:r>
      <w:r w:rsidR="00CA39B2" w:rsidRPr="003A1174">
        <w:rPr>
          <w:rFonts w:ascii="Garamond" w:hAnsi="Garamond" w:cs="Arial"/>
          <w:color w:val="auto"/>
          <w:sz w:val="24"/>
          <w:szCs w:val="24"/>
        </w:rPr>
        <w:t>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até aos </w:t>
      </w:r>
      <w:r w:rsidR="00CA39B2" w:rsidRPr="003A1174">
        <w:rPr>
          <w:rFonts w:ascii="Garamond" w:hAnsi="Garamond" w:cs="Arial"/>
          <w:color w:val="auto"/>
          <w:sz w:val="24"/>
          <w:szCs w:val="24"/>
        </w:rPr>
        <w:t xml:space="preserve">18 </w:t>
      </w:r>
      <w:r w:rsidR="002C7510" w:rsidRPr="003A1174">
        <w:rPr>
          <w:rFonts w:ascii="Garamond" w:hAnsi="Garamond" w:cs="Arial"/>
          <w:color w:val="auto"/>
          <w:sz w:val="24"/>
          <w:szCs w:val="24"/>
        </w:rPr>
        <w:t>ano</w:t>
      </w:r>
      <w:r w:rsidR="00CA39B2" w:rsidRPr="003A1174">
        <w:rPr>
          <w:rFonts w:ascii="Garamond" w:hAnsi="Garamond" w:cs="Arial"/>
          <w:color w:val="auto"/>
          <w:sz w:val="24"/>
          <w:szCs w:val="24"/>
        </w:rPr>
        <w:t>s).</w:t>
      </w:r>
      <w:r w:rsidR="00473E27">
        <w:rPr>
          <w:rFonts w:ascii="Garamond" w:hAnsi="Garamond" w:cs="Arial"/>
          <w:color w:val="auto"/>
          <w:sz w:val="24"/>
          <w:szCs w:val="24"/>
        </w:rPr>
        <w:t xml:space="preserve"> </w:t>
      </w:r>
      <w:r w:rsidR="000350B1" w:rsidRPr="003A1174">
        <w:rPr>
          <w:rFonts w:ascii="Garamond" w:hAnsi="Garamond" w:cs="Arial"/>
          <w:color w:val="auto"/>
          <w:sz w:val="24"/>
          <w:szCs w:val="24"/>
        </w:rPr>
        <w:t>Também</w:t>
      </w:r>
      <w:r w:rsidR="00CA39B2" w:rsidRPr="003A1174">
        <w:rPr>
          <w:rFonts w:ascii="Garamond" w:hAnsi="Garamond" w:cs="Arial"/>
          <w:color w:val="auto"/>
          <w:sz w:val="24"/>
          <w:szCs w:val="24"/>
        </w:rPr>
        <w:t xml:space="preserve"> se </w:t>
      </w:r>
      <w:r w:rsidRPr="003A1174">
        <w:rPr>
          <w:rFonts w:ascii="Garamond" w:hAnsi="Garamond" w:cs="Arial"/>
          <w:color w:val="auto"/>
          <w:sz w:val="24"/>
          <w:szCs w:val="24"/>
        </w:rPr>
        <w:t xml:space="preserve">proporciona apoio </w:t>
      </w:r>
      <w:r w:rsidR="00473E27">
        <w:rPr>
          <w:rFonts w:ascii="Garamond" w:hAnsi="Garamond" w:cs="Arial"/>
          <w:color w:val="auto"/>
          <w:sz w:val="24"/>
          <w:szCs w:val="24"/>
        </w:rPr>
        <w:t xml:space="preserve">e assessoria </w:t>
      </w:r>
      <w:r w:rsidR="00CA39B2" w:rsidRPr="003A1174">
        <w:rPr>
          <w:rFonts w:ascii="Garamond" w:hAnsi="Garamond" w:cs="Arial"/>
          <w:color w:val="auto"/>
          <w:sz w:val="24"/>
          <w:szCs w:val="24"/>
        </w:rPr>
        <w:t>jurídic</w:t>
      </w:r>
      <w:r w:rsidR="00473E27">
        <w:rPr>
          <w:rFonts w:ascii="Garamond" w:hAnsi="Garamond" w:cs="Arial"/>
          <w:color w:val="auto"/>
          <w:sz w:val="24"/>
          <w:szCs w:val="24"/>
        </w:rPr>
        <w:t>a</w:t>
      </w:r>
      <w:r w:rsidR="00CA39B2" w:rsidRPr="003A1174">
        <w:rPr>
          <w:rFonts w:ascii="Garamond" w:hAnsi="Garamond" w:cs="Arial"/>
          <w:color w:val="auto"/>
          <w:sz w:val="24"/>
          <w:szCs w:val="24"/>
        </w:rPr>
        <w:t xml:space="preserve"> gratuit</w:t>
      </w:r>
      <w:r w:rsidR="00473E27">
        <w:rPr>
          <w:rFonts w:ascii="Garamond" w:hAnsi="Garamond" w:cs="Arial"/>
          <w:color w:val="auto"/>
          <w:sz w:val="24"/>
          <w:szCs w:val="24"/>
        </w:rPr>
        <w:t>a</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a todas </w:t>
      </w:r>
      <w:r w:rsidR="00CA39B2" w:rsidRPr="003A1174">
        <w:rPr>
          <w:rFonts w:ascii="Garamond" w:hAnsi="Garamond" w:cs="Arial"/>
          <w:color w:val="auto"/>
          <w:sz w:val="24"/>
          <w:szCs w:val="24"/>
        </w:rPr>
        <w:t xml:space="preserve">as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alojadas.</w:t>
      </w:r>
    </w:p>
    <w:p w:rsidR="006D41D1" w:rsidRPr="003A1174" w:rsidRDefault="006D41D1" w:rsidP="00331309">
      <w:pPr>
        <w:spacing w:line="240" w:lineRule="auto"/>
        <w:jc w:val="both"/>
        <w:rPr>
          <w:rFonts w:ascii="Garamond" w:hAnsi="Garamond"/>
          <w:sz w:val="24"/>
          <w:szCs w:val="24"/>
        </w:rPr>
      </w:pPr>
    </w:p>
    <w:p w:rsidR="006D41D1" w:rsidRPr="003A1174" w:rsidRDefault="00077461" w:rsidP="008719D4">
      <w:pPr>
        <w:spacing w:line="240" w:lineRule="auto"/>
        <w:rPr>
          <w:rFonts w:ascii="Garamond" w:hAnsi="Garamond" w:cs="Arial"/>
          <w:b/>
          <w:i/>
          <w:sz w:val="24"/>
          <w:szCs w:val="24"/>
        </w:rPr>
      </w:pPr>
      <w:r w:rsidRPr="003A1174">
        <w:rPr>
          <w:rFonts w:ascii="Garamond" w:hAnsi="Garamond" w:cs="Arial"/>
          <w:b/>
          <w:i/>
          <w:sz w:val="24"/>
          <w:szCs w:val="24"/>
        </w:rPr>
        <w:t>Registo</w:t>
      </w:r>
      <w:r w:rsidR="00F945B2" w:rsidRPr="003A1174">
        <w:rPr>
          <w:rFonts w:ascii="Garamond" w:hAnsi="Garamond" w:cs="Arial"/>
          <w:b/>
          <w:i/>
          <w:sz w:val="24"/>
          <w:szCs w:val="24"/>
        </w:rPr>
        <w:t xml:space="preserve"> de </w:t>
      </w:r>
      <w:r w:rsidR="0017447A" w:rsidRPr="003A1174">
        <w:rPr>
          <w:rFonts w:ascii="Garamond" w:hAnsi="Garamond" w:cs="Arial"/>
          <w:b/>
          <w:i/>
          <w:sz w:val="24"/>
          <w:szCs w:val="24"/>
        </w:rPr>
        <w:t>informação</w:t>
      </w:r>
    </w:p>
    <w:p w:rsidR="00CA39B2" w:rsidRPr="003A1174" w:rsidRDefault="00C15C97" w:rsidP="008719D4">
      <w:pPr>
        <w:pStyle w:val="Ttulo4"/>
        <w:spacing w:line="240" w:lineRule="auto"/>
        <w:jc w:val="both"/>
        <w:rPr>
          <w:rFonts w:ascii="Garamond" w:hAnsi="Garamond"/>
          <w:b w:val="0"/>
          <w:i w:val="0"/>
          <w:sz w:val="24"/>
          <w:szCs w:val="24"/>
        </w:rPr>
      </w:pPr>
      <w:r w:rsidRPr="003A1174">
        <w:rPr>
          <w:rFonts w:ascii="Garamond" w:hAnsi="Garamond"/>
          <w:b w:val="0"/>
          <w:i w:val="0"/>
          <w:sz w:val="24"/>
          <w:szCs w:val="24"/>
        </w:rPr>
        <w:t>A Unidade de Captação, Transversalização</w:t>
      </w:r>
      <w:r w:rsidRPr="003A1174">
        <w:rPr>
          <w:rStyle w:val="Textoennegrita"/>
          <w:rFonts w:ascii="Garamond" w:hAnsi="Garamond" w:cs="Arial"/>
          <w:i w:val="0"/>
          <w:sz w:val="24"/>
          <w:szCs w:val="24"/>
        </w:rPr>
        <w:t xml:space="preserve"> d</w:t>
      </w:r>
      <w:r w:rsidR="00CA39B2" w:rsidRPr="003A1174">
        <w:rPr>
          <w:rStyle w:val="Textoennegrita"/>
          <w:rFonts w:ascii="Garamond" w:hAnsi="Garamond" w:cs="Arial"/>
          <w:i w:val="0"/>
          <w:sz w:val="24"/>
          <w:szCs w:val="24"/>
        </w:rPr>
        <w:t xml:space="preserve">a </w:t>
      </w:r>
      <w:r w:rsidR="00D96FD0" w:rsidRPr="003A1174">
        <w:rPr>
          <w:rStyle w:val="Textoennegrita"/>
          <w:rFonts w:ascii="Garamond" w:hAnsi="Garamond" w:cs="Arial"/>
          <w:i w:val="0"/>
          <w:sz w:val="24"/>
          <w:szCs w:val="24"/>
        </w:rPr>
        <w:t>perspetiva</w:t>
      </w:r>
      <w:r w:rsidR="00CA39B2" w:rsidRPr="003A1174">
        <w:rPr>
          <w:rStyle w:val="Textoennegrita"/>
          <w:rFonts w:ascii="Garamond" w:hAnsi="Garamond" w:cs="Arial"/>
          <w:i w:val="0"/>
          <w:sz w:val="24"/>
          <w:szCs w:val="24"/>
        </w:rPr>
        <w:t xml:space="preserve"> de género </w:t>
      </w:r>
      <w:r w:rsidRPr="003A1174">
        <w:rPr>
          <w:rStyle w:val="Textoennegrita"/>
          <w:rFonts w:ascii="Garamond" w:hAnsi="Garamond" w:cs="Arial"/>
          <w:i w:val="0"/>
          <w:sz w:val="24"/>
          <w:szCs w:val="24"/>
        </w:rPr>
        <w:t>n</w:t>
      </w:r>
      <w:r w:rsidR="00CA39B2" w:rsidRPr="003A1174">
        <w:rPr>
          <w:rStyle w:val="Textoennegrita"/>
          <w:rFonts w:ascii="Garamond" w:hAnsi="Garamond" w:cs="Arial"/>
          <w:i w:val="0"/>
          <w:sz w:val="24"/>
          <w:szCs w:val="24"/>
        </w:rPr>
        <w:t xml:space="preserve">as </w:t>
      </w:r>
      <w:r w:rsidR="005D38DC" w:rsidRPr="003A1174">
        <w:rPr>
          <w:rStyle w:val="Textoennegrita"/>
          <w:rFonts w:ascii="Garamond" w:hAnsi="Garamond" w:cs="Arial"/>
          <w:i w:val="0"/>
          <w:sz w:val="24"/>
          <w:szCs w:val="24"/>
        </w:rPr>
        <w:t>decisões</w:t>
      </w:r>
      <w:r w:rsidR="00CA39B2" w:rsidRPr="003A1174">
        <w:rPr>
          <w:rStyle w:val="Textoennegrita"/>
          <w:rFonts w:ascii="Garamond" w:hAnsi="Garamond" w:cs="Arial"/>
          <w:i w:val="0"/>
          <w:sz w:val="24"/>
          <w:szCs w:val="24"/>
        </w:rPr>
        <w:t xml:space="preserve"> </w:t>
      </w:r>
      <w:r w:rsidR="000672E8" w:rsidRPr="003A1174">
        <w:rPr>
          <w:rStyle w:val="Textoennegrita"/>
          <w:rFonts w:ascii="Garamond" w:hAnsi="Garamond" w:cs="Arial"/>
          <w:i w:val="0"/>
          <w:sz w:val="24"/>
          <w:szCs w:val="24"/>
        </w:rPr>
        <w:t>e</w:t>
      </w:r>
      <w:r w:rsidR="00CA39B2" w:rsidRPr="003A1174">
        <w:rPr>
          <w:rStyle w:val="Textoennegrita"/>
          <w:rFonts w:ascii="Garamond" w:hAnsi="Garamond" w:cs="Arial"/>
          <w:i w:val="0"/>
          <w:sz w:val="24"/>
          <w:szCs w:val="24"/>
        </w:rPr>
        <w:t xml:space="preserve"> </w:t>
      </w:r>
      <w:r w:rsidR="00190B59" w:rsidRPr="003A1174">
        <w:rPr>
          <w:rStyle w:val="Textoennegrita"/>
          <w:rFonts w:ascii="Garamond" w:hAnsi="Garamond" w:cs="Arial"/>
          <w:i w:val="0"/>
          <w:sz w:val="24"/>
          <w:szCs w:val="24"/>
        </w:rPr>
        <w:t>estatísticas</w:t>
      </w:r>
      <w:r w:rsidR="00CA39B2" w:rsidRPr="003A1174">
        <w:rPr>
          <w:rStyle w:val="Textoennegrita"/>
          <w:rFonts w:ascii="Garamond" w:hAnsi="Garamond" w:cs="Arial"/>
          <w:i w:val="0"/>
          <w:sz w:val="24"/>
          <w:szCs w:val="24"/>
        </w:rPr>
        <w:t xml:space="preserve"> </w:t>
      </w:r>
      <w:r w:rsidR="002D1021" w:rsidRPr="003A1174">
        <w:rPr>
          <w:rStyle w:val="Textoennegrita"/>
          <w:rFonts w:ascii="Garamond" w:hAnsi="Garamond" w:cs="Arial"/>
          <w:i w:val="0"/>
          <w:sz w:val="24"/>
          <w:szCs w:val="24"/>
        </w:rPr>
        <w:t>judiciais</w:t>
      </w:r>
      <w:r w:rsidR="00CA39B2" w:rsidRPr="003A1174">
        <w:rPr>
          <w:rStyle w:val="Textoennegrita"/>
          <w:rFonts w:ascii="Garamond" w:hAnsi="Garamond" w:cs="Arial"/>
          <w:i w:val="0"/>
          <w:sz w:val="24"/>
          <w:szCs w:val="24"/>
        </w:rPr>
        <w:t>,</w:t>
      </w:r>
      <w:r w:rsidR="00CA39B2" w:rsidRPr="003A1174">
        <w:rPr>
          <w:rStyle w:val="Textoennegrita"/>
          <w:rFonts w:ascii="Garamond" w:hAnsi="Garamond" w:cs="Arial"/>
          <w:b/>
          <w:i w:val="0"/>
          <w:sz w:val="24"/>
          <w:szCs w:val="24"/>
        </w:rPr>
        <w:t xml:space="preserve"> </w:t>
      </w:r>
      <w:r w:rsidR="00886D6A" w:rsidRPr="003A1174">
        <w:rPr>
          <w:rFonts w:ascii="Garamond" w:hAnsi="Garamond"/>
          <w:b w:val="0"/>
          <w:i w:val="0"/>
          <w:sz w:val="24"/>
          <w:szCs w:val="24"/>
        </w:rPr>
        <w:t>Investigação</w:t>
      </w:r>
      <w:r w:rsidR="00CA39B2" w:rsidRPr="003A1174">
        <w:rPr>
          <w:rFonts w:ascii="Garamond" w:hAnsi="Garamond"/>
          <w:b w:val="0"/>
          <w:i w:val="0"/>
          <w:sz w:val="24"/>
          <w:szCs w:val="24"/>
        </w:rPr>
        <w:t xml:space="preserve"> </w:t>
      </w:r>
      <w:r w:rsidR="000672E8" w:rsidRPr="003A1174">
        <w:rPr>
          <w:rFonts w:ascii="Garamond" w:hAnsi="Garamond"/>
          <w:b w:val="0"/>
          <w:i w:val="0"/>
          <w:sz w:val="24"/>
          <w:szCs w:val="24"/>
        </w:rPr>
        <w:t>e</w:t>
      </w:r>
      <w:r w:rsidR="00CA39B2" w:rsidRPr="003A1174">
        <w:rPr>
          <w:rFonts w:ascii="Garamond" w:hAnsi="Garamond"/>
          <w:b w:val="0"/>
          <w:i w:val="0"/>
          <w:sz w:val="24"/>
          <w:szCs w:val="24"/>
        </w:rPr>
        <w:t xml:space="preserve"> Diagnóstico </w:t>
      </w:r>
      <w:r w:rsidR="00A41573" w:rsidRPr="003A1174">
        <w:rPr>
          <w:rFonts w:ascii="Garamond" w:hAnsi="Garamond"/>
          <w:b w:val="0"/>
          <w:i w:val="0"/>
          <w:sz w:val="24"/>
          <w:szCs w:val="24"/>
        </w:rPr>
        <w:t>do Gabinete</w:t>
      </w:r>
      <w:r w:rsidR="00CA39B2" w:rsidRPr="003A1174">
        <w:rPr>
          <w:rFonts w:ascii="Garamond" w:hAnsi="Garamond"/>
          <w:b w:val="0"/>
          <w:i w:val="0"/>
          <w:sz w:val="24"/>
          <w:szCs w:val="24"/>
        </w:rPr>
        <w:t xml:space="preserve"> da </w:t>
      </w:r>
      <w:r w:rsidR="00AF192F" w:rsidRPr="003A1174">
        <w:rPr>
          <w:rFonts w:ascii="Garamond" w:hAnsi="Garamond"/>
          <w:b w:val="0"/>
          <w:i w:val="0"/>
          <w:sz w:val="24"/>
          <w:szCs w:val="24"/>
        </w:rPr>
        <w:t>Mulher</w:t>
      </w:r>
      <w:r w:rsidR="00CA39B2" w:rsidRPr="003A1174">
        <w:rPr>
          <w:rFonts w:ascii="Garamond" w:hAnsi="Garamond"/>
          <w:b w:val="0"/>
          <w:i w:val="0"/>
          <w:sz w:val="24"/>
          <w:szCs w:val="24"/>
        </w:rPr>
        <w:t xml:space="preserve">, está </w:t>
      </w:r>
      <w:r w:rsidRPr="003A1174">
        <w:rPr>
          <w:rFonts w:ascii="Garamond" w:hAnsi="Garamond"/>
          <w:b w:val="0"/>
          <w:i w:val="0"/>
          <w:sz w:val="24"/>
          <w:szCs w:val="24"/>
        </w:rPr>
        <w:t xml:space="preserve">a desenvolver um </w:t>
      </w:r>
      <w:r w:rsidR="00C30647" w:rsidRPr="003A1174">
        <w:rPr>
          <w:rFonts w:ascii="Garamond" w:hAnsi="Garamond"/>
          <w:b w:val="0"/>
          <w:i w:val="0"/>
          <w:sz w:val="24"/>
          <w:szCs w:val="24"/>
        </w:rPr>
        <w:t>projeto</w:t>
      </w:r>
      <w:r w:rsidR="00CA39B2" w:rsidRPr="003A1174">
        <w:rPr>
          <w:rFonts w:ascii="Garamond" w:hAnsi="Garamond"/>
          <w:b w:val="0"/>
          <w:i w:val="0"/>
          <w:sz w:val="24"/>
          <w:szCs w:val="24"/>
        </w:rPr>
        <w:t xml:space="preserve"> e</w:t>
      </w:r>
      <w:r w:rsidRPr="003A1174">
        <w:rPr>
          <w:rFonts w:ascii="Garamond" w:hAnsi="Garamond"/>
          <w:b w:val="0"/>
          <w:i w:val="0"/>
          <w:sz w:val="24"/>
          <w:szCs w:val="24"/>
        </w:rPr>
        <w:t>m</w:t>
      </w:r>
      <w:r w:rsidR="00CA39B2" w:rsidRPr="003A1174">
        <w:rPr>
          <w:rFonts w:ascii="Garamond" w:hAnsi="Garamond"/>
          <w:b w:val="0"/>
          <w:i w:val="0"/>
          <w:sz w:val="24"/>
          <w:szCs w:val="24"/>
        </w:rPr>
        <w:t xml:space="preserve"> </w:t>
      </w:r>
      <w:r w:rsidR="002470B1" w:rsidRPr="003A1174">
        <w:rPr>
          <w:rFonts w:ascii="Garamond" w:hAnsi="Garamond"/>
          <w:b w:val="0"/>
          <w:i w:val="0"/>
          <w:sz w:val="24"/>
          <w:szCs w:val="24"/>
        </w:rPr>
        <w:t>coordenação</w:t>
      </w:r>
      <w:r w:rsidR="00CA39B2" w:rsidRPr="003A1174">
        <w:rPr>
          <w:rFonts w:ascii="Garamond" w:hAnsi="Garamond"/>
          <w:b w:val="0"/>
          <w:i w:val="0"/>
          <w:sz w:val="24"/>
          <w:szCs w:val="24"/>
        </w:rPr>
        <w:t xml:space="preserve"> co</w:t>
      </w:r>
      <w:r w:rsidRPr="003A1174">
        <w:rPr>
          <w:rFonts w:ascii="Garamond" w:hAnsi="Garamond"/>
          <w:b w:val="0"/>
          <w:i w:val="0"/>
          <w:sz w:val="24"/>
          <w:szCs w:val="24"/>
        </w:rPr>
        <w:t xml:space="preserve">m a </w:t>
      </w:r>
      <w:r w:rsidR="00C30647" w:rsidRPr="003A1174">
        <w:rPr>
          <w:rFonts w:ascii="Garamond" w:hAnsi="Garamond"/>
          <w:b w:val="0"/>
          <w:i w:val="0"/>
          <w:sz w:val="24"/>
          <w:szCs w:val="24"/>
        </w:rPr>
        <w:t>Equipa</w:t>
      </w:r>
      <w:r w:rsidR="00CA39B2" w:rsidRPr="003A1174">
        <w:rPr>
          <w:rFonts w:ascii="Garamond" w:hAnsi="Garamond"/>
          <w:b w:val="0"/>
          <w:i w:val="0"/>
          <w:sz w:val="24"/>
          <w:szCs w:val="24"/>
        </w:rPr>
        <w:t xml:space="preserve"> Latinoamerican</w:t>
      </w:r>
      <w:r w:rsidRPr="003A1174">
        <w:rPr>
          <w:rFonts w:ascii="Garamond" w:hAnsi="Garamond"/>
          <w:b w:val="0"/>
          <w:i w:val="0"/>
          <w:sz w:val="24"/>
          <w:szCs w:val="24"/>
        </w:rPr>
        <w:t>a</w:t>
      </w:r>
      <w:r w:rsidR="00CA39B2" w:rsidRPr="003A1174">
        <w:rPr>
          <w:rFonts w:ascii="Garamond" w:hAnsi="Garamond"/>
          <w:b w:val="0"/>
          <w:i w:val="0"/>
          <w:sz w:val="24"/>
          <w:szCs w:val="24"/>
        </w:rPr>
        <w:t xml:space="preserve"> de </w:t>
      </w:r>
      <w:r w:rsidR="00FC1F7F" w:rsidRPr="003A1174">
        <w:rPr>
          <w:rFonts w:ascii="Garamond" w:hAnsi="Garamond"/>
          <w:b w:val="0"/>
          <w:i w:val="0"/>
          <w:sz w:val="24"/>
          <w:szCs w:val="24"/>
        </w:rPr>
        <w:t>Justiça</w:t>
      </w:r>
      <w:r w:rsidR="00CA39B2" w:rsidRPr="003A1174">
        <w:rPr>
          <w:rFonts w:ascii="Garamond" w:hAnsi="Garamond"/>
          <w:b w:val="0"/>
          <w:i w:val="0"/>
          <w:sz w:val="24"/>
          <w:szCs w:val="24"/>
        </w:rPr>
        <w:t xml:space="preserve"> </w:t>
      </w:r>
      <w:r w:rsidR="000672E8" w:rsidRPr="003A1174">
        <w:rPr>
          <w:rFonts w:ascii="Garamond" w:hAnsi="Garamond"/>
          <w:b w:val="0"/>
          <w:i w:val="0"/>
          <w:sz w:val="24"/>
          <w:szCs w:val="24"/>
        </w:rPr>
        <w:t>e</w:t>
      </w:r>
      <w:r w:rsidR="00CA39B2" w:rsidRPr="003A1174">
        <w:rPr>
          <w:rFonts w:ascii="Garamond" w:hAnsi="Garamond"/>
          <w:b w:val="0"/>
          <w:i w:val="0"/>
          <w:sz w:val="24"/>
          <w:szCs w:val="24"/>
        </w:rPr>
        <w:t xml:space="preserve"> Género (ELA), </w:t>
      </w:r>
      <w:r w:rsidR="006D41D1" w:rsidRPr="003A1174">
        <w:rPr>
          <w:rFonts w:ascii="Garamond" w:hAnsi="Garamond"/>
          <w:b w:val="0"/>
          <w:i w:val="0"/>
          <w:sz w:val="24"/>
          <w:szCs w:val="24"/>
        </w:rPr>
        <w:t>contando</w:t>
      </w:r>
      <w:r w:rsidR="00CA39B2" w:rsidRPr="003A1174">
        <w:rPr>
          <w:rFonts w:ascii="Garamond" w:hAnsi="Garamond"/>
          <w:b w:val="0"/>
          <w:i w:val="0"/>
          <w:sz w:val="24"/>
          <w:szCs w:val="24"/>
        </w:rPr>
        <w:t xml:space="preserve"> co</w:t>
      </w:r>
      <w:r w:rsidRPr="003A1174">
        <w:rPr>
          <w:rFonts w:ascii="Garamond" w:hAnsi="Garamond"/>
          <w:b w:val="0"/>
          <w:i w:val="0"/>
          <w:sz w:val="24"/>
          <w:szCs w:val="24"/>
        </w:rPr>
        <w:t xml:space="preserve">m o </w:t>
      </w:r>
      <w:r w:rsidR="00791197" w:rsidRPr="003A1174">
        <w:rPr>
          <w:rFonts w:ascii="Garamond" w:hAnsi="Garamond"/>
          <w:b w:val="0"/>
          <w:i w:val="0"/>
          <w:sz w:val="24"/>
          <w:szCs w:val="24"/>
        </w:rPr>
        <w:t>apoio</w:t>
      </w:r>
      <w:r w:rsidR="00CA39B2" w:rsidRPr="003A1174">
        <w:rPr>
          <w:rFonts w:ascii="Garamond" w:hAnsi="Garamond"/>
          <w:b w:val="0"/>
          <w:i w:val="0"/>
          <w:sz w:val="24"/>
          <w:szCs w:val="24"/>
        </w:rPr>
        <w:t xml:space="preserve"> </w:t>
      </w:r>
      <w:r w:rsidR="00E85E59" w:rsidRPr="003A1174">
        <w:rPr>
          <w:rFonts w:ascii="Garamond" w:hAnsi="Garamond"/>
          <w:b w:val="0"/>
          <w:i w:val="0"/>
          <w:sz w:val="24"/>
          <w:szCs w:val="24"/>
        </w:rPr>
        <w:t>do</w:t>
      </w:r>
      <w:r w:rsidR="00CA39B2" w:rsidRPr="003A1174">
        <w:rPr>
          <w:rFonts w:ascii="Garamond" w:hAnsi="Garamond"/>
          <w:b w:val="0"/>
          <w:i w:val="0"/>
          <w:sz w:val="24"/>
          <w:szCs w:val="24"/>
        </w:rPr>
        <w:t xml:space="preserve"> </w:t>
      </w:r>
      <w:r w:rsidR="00E560D8" w:rsidRPr="003A1174">
        <w:rPr>
          <w:rFonts w:ascii="Garamond" w:hAnsi="Garamond"/>
          <w:b w:val="0"/>
          <w:i w:val="0"/>
          <w:sz w:val="24"/>
          <w:szCs w:val="24"/>
        </w:rPr>
        <w:t>Fundo</w:t>
      </w:r>
      <w:r w:rsidR="00CA39B2" w:rsidRPr="003A1174">
        <w:rPr>
          <w:rFonts w:ascii="Garamond" w:hAnsi="Garamond"/>
          <w:b w:val="0"/>
          <w:i w:val="0"/>
          <w:sz w:val="24"/>
          <w:szCs w:val="24"/>
        </w:rPr>
        <w:t xml:space="preserve"> </w:t>
      </w:r>
      <w:r w:rsidR="00497503" w:rsidRPr="003A1174">
        <w:rPr>
          <w:rFonts w:ascii="Garamond" w:hAnsi="Garamond"/>
          <w:b w:val="0"/>
          <w:i w:val="0"/>
          <w:sz w:val="24"/>
          <w:szCs w:val="24"/>
        </w:rPr>
        <w:t>das</w:t>
      </w:r>
      <w:r w:rsidR="00CA39B2" w:rsidRPr="003A1174">
        <w:rPr>
          <w:rFonts w:ascii="Garamond" w:hAnsi="Garamond"/>
          <w:b w:val="0"/>
          <w:i w:val="0"/>
          <w:sz w:val="24"/>
          <w:szCs w:val="24"/>
        </w:rPr>
        <w:t xml:space="preserve"> </w:t>
      </w:r>
      <w:r w:rsidR="003F012B" w:rsidRPr="003A1174">
        <w:rPr>
          <w:rFonts w:ascii="Garamond" w:hAnsi="Garamond"/>
          <w:b w:val="0"/>
          <w:i w:val="0"/>
          <w:sz w:val="24"/>
          <w:szCs w:val="24"/>
        </w:rPr>
        <w:t>Nações</w:t>
      </w:r>
      <w:r w:rsidRPr="003A1174">
        <w:rPr>
          <w:rFonts w:ascii="Garamond" w:hAnsi="Garamond"/>
          <w:b w:val="0"/>
          <w:i w:val="0"/>
          <w:sz w:val="24"/>
          <w:szCs w:val="24"/>
        </w:rPr>
        <w:t xml:space="preserve"> Unidas para </w:t>
      </w:r>
      <w:r w:rsidR="00CA39B2" w:rsidRPr="003A1174">
        <w:rPr>
          <w:rFonts w:ascii="Garamond" w:hAnsi="Garamond"/>
          <w:b w:val="0"/>
          <w:i w:val="0"/>
          <w:sz w:val="24"/>
          <w:szCs w:val="24"/>
        </w:rPr>
        <w:t xml:space="preserve">a </w:t>
      </w:r>
      <w:r w:rsidR="00B441F4" w:rsidRPr="003A1174">
        <w:rPr>
          <w:rFonts w:ascii="Garamond" w:hAnsi="Garamond"/>
          <w:b w:val="0"/>
          <w:i w:val="0"/>
          <w:sz w:val="24"/>
          <w:szCs w:val="24"/>
        </w:rPr>
        <w:t>Infância</w:t>
      </w:r>
      <w:r w:rsidR="00CA39B2" w:rsidRPr="003A1174">
        <w:rPr>
          <w:rFonts w:ascii="Garamond" w:hAnsi="Garamond"/>
          <w:b w:val="0"/>
          <w:i w:val="0"/>
          <w:sz w:val="24"/>
          <w:szCs w:val="24"/>
        </w:rPr>
        <w:t xml:space="preserve"> (UNICEF), a fi</w:t>
      </w:r>
      <w:r w:rsidRPr="003A1174">
        <w:rPr>
          <w:rFonts w:ascii="Garamond" w:hAnsi="Garamond"/>
          <w:b w:val="0"/>
          <w:i w:val="0"/>
          <w:sz w:val="24"/>
          <w:szCs w:val="24"/>
        </w:rPr>
        <w:t xml:space="preserve">m de centralizar </w:t>
      </w:r>
      <w:r w:rsidR="00CA39B2" w:rsidRPr="003A1174">
        <w:rPr>
          <w:rFonts w:ascii="Garamond" w:hAnsi="Garamond"/>
          <w:b w:val="0"/>
          <w:i w:val="0"/>
          <w:sz w:val="24"/>
          <w:szCs w:val="24"/>
        </w:rPr>
        <w:t xml:space="preserve">as </w:t>
      </w:r>
      <w:r w:rsidR="00175015" w:rsidRPr="003A1174">
        <w:rPr>
          <w:rFonts w:ascii="Garamond" w:hAnsi="Garamond"/>
          <w:b w:val="0"/>
          <w:i w:val="0"/>
          <w:sz w:val="24"/>
          <w:szCs w:val="24"/>
        </w:rPr>
        <w:t>resoluções</w:t>
      </w:r>
      <w:r w:rsidR="00CA39B2" w:rsidRPr="003A1174">
        <w:rPr>
          <w:rFonts w:ascii="Garamond" w:hAnsi="Garamond"/>
          <w:b w:val="0"/>
          <w:i w:val="0"/>
          <w:sz w:val="24"/>
          <w:szCs w:val="24"/>
        </w:rPr>
        <w:t xml:space="preserve"> </w:t>
      </w:r>
      <w:r w:rsidR="002D1021" w:rsidRPr="003A1174">
        <w:rPr>
          <w:rFonts w:ascii="Garamond" w:hAnsi="Garamond"/>
          <w:b w:val="0"/>
          <w:i w:val="0"/>
          <w:sz w:val="24"/>
          <w:szCs w:val="24"/>
        </w:rPr>
        <w:t>judiciais</w:t>
      </w:r>
      <w:r w:rsidR="00614147">
        <w:rPr>
          <w:rFonts w:ascii="Garamond" w:hAnsi="Garamond"/>
          <w:b w:val="0"/>
          <w:i w:val="0"/>
          <w:sz w:val="24"/>
          <w:szCs w:val="24"/>
        </w:rPr>
        <w:t>,</w:t>
      </w:r>
      <w:r w:rsidR="00CA39B2" w:rsidRPr="003A1174">
        <w:rPr>
          <w:rFonts w:ascii="Garamond" w:hAnsi="Garamond"/>
          <w:b w:val="0"/>
          <w:i w:val="0"/>
          <w:sz w:val="24"/>
          <w:szCs w:val="24"/>
        </w:rPr>
        <w:t xml:space="preserve"> definitivas e </w:t>
      </w:r>
      <w:r w:rsidRPr="003A1174">
        <w:rPr>
          <w:rFonts w:ascii="Garamond" w:hAnsi="Garamond"/>
          <w:b w:val="0"/>
          <w:i w:val="0"/>
          <w:sz w:val="24"/>
          <w:szCs w:val="24"/>
        </w:rPr>
        <w:t>interlocutórias</w:t>
      </w:r>
      <w:r w:rsidR="00614147">
        <w:rPr>
          <w:rFonts w:ascii="Garamond" w:hAnsi="Garamond"/>
          <w:b w:val="0"/>
          <w:i w:val="0"/>
          <w:sz w:val="24"/>
          <w:szCs w:val="24"/>
        </w:rPr>
        <w:t>,</w:t>
      </w:r>
      <w:r w:rsidR="00CA39B2" w:rsidRPr="003A1174">
        <w:rPr>
          <w:rFonts w:ascii="Garamond" w:hAnsi="Garamond"/>
          <w:b w:val="0"/>
          <w:i w:val="0"/>
          <w:sz w:val="24"/>
          <w:szCs w:val="24"/>
        </w:rPr>
        <w:t xml:space="preserve"> sobre </w:t>
      </w:r>
      <w:r w:rsidR="00566C0C" w:rsidRPr="003A1174">
        <w:rPr>
          <w:rFonts w:ascii="Garamond" w:hAnsi="Garamond"/>
          <w:b w:val="0"/>
          <w:i w:val="0"/>
          <w:sz w:val="24"/>
          <w:szCs w:val="24"/>
        </w:rPr>
        <w:t>questões</w:t>
      </w:r>
      <w:r w:rsidR="00CA39B2" w:rsidRPr="003A1174">
        <w:rPr>
          <w:rFonts w:ascii="Garamond" w:hAnsi="Garamond"/>
          <w:b w:val="0"/>
          <w:i w:val="0"/>
          <w:sz w:val="24"/>
          <w:szCs w:val="24"/>
        </w:rPr>
        <w:t xml:space="preserve"> de género</w:t>
      </w:r>
      <w:r w:rsidR="00614147">
        <w:rPr>
          <w:rFonts w:ascii="Garamond" w:hAnsi="Garamond"/>
          <w:b w:val="0"/>
          <w:i w:val="0"/>
          <w:sz w:val="24"/>
          <w:szCs w:val="24"/>
        </w:rPr>
        <w:t>,</w:t>
      </w:r>
      <w:r w:rsidR="00CA39B2" w:rsidRPr="003A1174">
        <w:rPr>
          <w:rFonts w:ascii="Garamond" w:hAnsi="Garamond"/>
          <w:b w:val="0"/>
          <w:i w:val="0"/>
          <w:sz w:val="24"/>
          <w:szCs w:val="24"/>
        </w:rPr>
        <w:t xml:space="preserve"> </w:t>
      </w:r>
      <w:r w:rsidRPr="003A1174">
        <w:rPr>
          <w:rFonts w:ascii="Garamond" w:hAnsi="Garamond"/>
          <w:b w:val="0"/>
          <w:i w:val="0"/>
          <w:sz w:val="24"/>
          <w:szCs w:val="24"/>
        </w:rPr>
        <w:t xml:space="preserve">proferidas pelos </w:t>
      </w:r>
      <w:r w:rsidR="00FB09CA" w:rsidRPr="003A1174">
        <w:rPr>
          <w:rFonts w:ascii="Garamond" w:hAnsi="Garamond"/>
          <w:b w:val="0"/>
          <w:i w:val="0"/>
          <w:sz w:val="24"/>
          <w:szCs w:val="24"/>
        </w:rPr>
        <w:t>tribunais</w:t>
      </w:r>
      <w:r w:rsidR="00CA39B2" w:rsidRPr="003A1174">
        <w:rPr>
          <w:rFonts w:ascii="Garamond" w:hAnsi="Garamond"/>
          <w:b w:val="0"/>
          <w:i w:val="0"/>
          <w:sz w:val="24"/>
          <w:szCs w:val="24"/>
        </w:rPr>
        <w:t xml:space="preserve"> </w:t>
      </w:r>
      <w:r w:rsidR="00FC5E28" w:rsidRPr="003A1174">
        <w:rPr>
          <w:rFonts w:ascii="Garamond" w:hAnsi="Garamond"/>
          <w:b w:val="0"/>
          <w:i w:val="0"/>
          <w:sz w:val="24"/>
          <w:szCs w:val="24"/>
        </w:rPr>
        <w:t>federais</w:t>
      </w:r>
      <w:r w:rsidR="00CA39B2" w:rsidRPr="003A1174">
        <w:rPr>
          <w:rFonts w:ascii="Garamond" w:hAnsi="Garamond"/>
          <w:b w:val="0"/>
          <w:i w:val="0"/>
          <w:sz w:val="24"/>
          <w:szCs w:val="24"/>
        </w:rPr>
        <w:t xml:space="preserve">, </w:t>
      </w:r>
      <w:r w:rsidR="00190B59" w:rsidRPr="003A1174">
        <w:rPr>
          <w:rFonts w:ascii="Garamond" w:hAnsi="Garamond"/>
          <w:b w:val="0"/>
          <w:i w:val="0"/>
          <w:sz w:val="24"/>
          <w:szCs w:val="24"/>
        </w:rPr>
        <w:t>nacionais</w:t>
      </w:r>
      <w:r w:rsidR="00CA39B2" w:rsidRPr="003A1174">
        <w:rPr>
          <w:rFonts w:ascii="Garamond" w:hAnsi="Garamond"/>
          <w:b w:val="0"/>
          <w:i w:val="0"/>
          <w:sz w:val="24"/>
          <w:szCs w:val="24"/>
        </w:rPr>
        <w:t xml:space="preserve"> </w:t>
      </w:r>
      <w:r w:rsidR="000672E8" w:rsidRPr="003A1174">
        <w:rPr>
          <w:rFonts w:ascii="Garamond" w:hAnsi="Garamond"/>
          <w:b w:val="0"/>
          <w:i w:val="0"/>
          <w:sz w:val="24"/>
          <w:szCs w:val="24"/>
        </w:rPr>
        <w:t>e</w:t>
      </w:r>
      <w:r w:rsidR="00CA39B2" w:rsidRPr="003A1174">
        <w:rPr>
          <w:rFonts w:ascii="Garamond" w:hAnsi="Garamond"/>
          <w:b w:val="0"/>
          <w:i w:val="0"/>
          <w:sz w:val="24"/>
          <w:szCs w:val="24"/>
        </w:rPr>
        <w:t xml:space="preserve"> </w:t>
      </w:r>
      <w:r w:rsidR="00165A80" w:rsidRPr="003A1174">
        <w:rPr>
          <w:rFonts w:ascii="Garamond" w:hAnsi="Garamond"/>
          <w:b w:val="0"/>
          <w:i w:val="0"/>
          <w:sz w:val="24"/>
          <w:szCs w:val="24"/>
        </w:rPr>
        <w:t>prov</w:t>
      </w:r>
      <w:r w:rsidRPr="003A1174">
        <w:rPr>
          <w:rFonts w:ascii="Garamond" w:hAnsi="Garamond"/>
          <w:b w:val="0"/>
          <w:i w:val="0"/>
          <w:sz w:val="24"/>
          <w:szCs w:val="24"/>
        </w:rPr>
        <w:t xml:space="preserve">inciais </w:t>
      </w:r>
      <w:r w:rsidR="00CA39B2" w:rsidRPr="003A1174">
        <w:rPr>
          <w:rFonts w:ascii="Garamond" w:hAnsi="Garamond"/>
          <w:b w:val="0"/>
          <w:i w:val="0"/>
          <w:sz w:val="24"/>
          <w:szCs w:val="24"/>
        </w:rPr>
        <w:t xml:space="preserve">de todo </w:t>
      </w:r>
      <w:r w:rsidRPr="003A1174">
        <w:rPr>
          <w:rFonts w:ascii="Garamond" w:hAnsi="Garamond"/>
          <w:b w:val="0"/>
          <w:i w:val="0"/>
          <w:sz w:val="24"/>
          <w:szCs w:val="24"/>
        </w:rPr>
        <w:t xml:space="preserve">o </w:t>
      </w:r>
      <w:r w:rsidR="00CA39B2" w:rsidRPr="003A1174">
        <w:rPr>
          <w:rFonts w:ascii="Garamond" w:hAnsi="Garamond"/>
          <w:b w:val="0"/>
          <w:i w:val="0"/>
          <w:sz w:val="24"/>
          <w:szCs w:val="24"/>
        </w:rPr>
        <w:t>país</w:t>
      </w:r>
      <w:r w:rsidR="006D41D1" w:rsidRPr="003A1174">
        <w:rPr>
          <w:rFonts w:ascii="Garamond" w:hAnsi="Garamond"/>
          <w:b w:val="0"/>
          <w:i w:val="0"/>
          <w:sz w:val="24"/>
          <w:szCs w:val="24"/>
        </w:rPr>
        <w:t>.</w:t>
      </w:r>
      <w:r w:rsidR="00CA39B2" w:rsidRPr="003A1174">
        <w:rPr>
          <w:rFonts w:ascii="Garamond" w:hAnsi="Garamond"/>
          <w:b w:val="0"/>
          <w:i w:val="0"/>
          <w:sz w:val="24"/>
          <w:szCs w:val="24"/>
        </w:rPr>
        <w:t xml:space="preserve"> </w:t>
      </w:r>
      <w:r w:rsidR="000672E8" w:rsidRPr="003A1174">
        <w:rPr>
          <w:rFonts w:ascii="Garamond" w:hAnsi="Garamond"/>
          <w:b w:val="0"/>
          <w:i w:val="0"/>
          <w:sz w:val="24"/>
          <w:szCs w:val="24"/>
        </w:rPr>
        <w:t>E</w:t>
      </w:r>
      <w:r w:rsidRPr="003A1174">
        <w:rPr>
          <w:rFonts w:ascii="Garamond" w:hAnsi="Garamond"/>
          <w:b w:val="0"/>
          <w:i w:val="0"/>
          <w:sz w:val="24"/>
          <w:szCs w:val="24"/>
        </w:rPr>
        <w:t xml:space="preserve">, por sua vez, produzir elementos para </w:t>
      </w:r>
      <w:r w:rsidR="00CA39B2" w:rsidRPr="003A1174">
        <w:rPr>
          <w:rFonts w:ascii="Garamond" w:hAnsi="Garamond"/>
          <w:b w:val="0"/>
          <w:i w:val="0"/>
          <w:sz w:val="24"/>
          <w:szCs w:val="24"/>
        </w:rPr>
        <w:t>a</w:t>
      </w:r>
      <w:r w:rsidR="006D41D1" w:rsidRPr="003A1174">
        <w:rPr>
          <w:rFonts w:ascii="Garamond" w:hAnsi="Garamond"/>
          <w:b w:val="0"/>
          <w:i w:val="0"/>
          <w:sz w:val="24"/>
          <w:szCs w:val="24"/>
        </w:rPr>
        <w:t xml:space="preserve"> </w:t>
      </w:r>
      <w:r w:rsidR="002E2C71" w:rsidRPr="003A1174">
        <w:rPr>
          <w:rFonts w:ascii="Garamond" w:hAnsi="Garamond"/>
          <w:b w:val="0"/>
          <w:i w:val="0"/>
          <w:sz w:val="24"/>
          <w:szCs w:val="24"/>
        </w:rPr>
        <w:t>função</w:t>
      </w:r>
      <w:r w:rsidR="00CA39B2" w:rsidRPr="003A1174">
        <w:rPr>
          <w:rFonts w:ascii="Garamond" w:hAnsi="Garamond"/>
          <w:b w:val="0"/>
          <w:i w:val="0"/>
          <w:sz w:val="24"/>
          <w:szCs w:val="24"/>
        </w:rPr>
        <w:t xml:space="preserve"> </w:t>
      </w:r>
      <w:r w:rsidR="001F2F8B" w:rsidRPr="003A1174">
        <w:rPr>
          <w:rFonts w:ascii="Garamond" w:hAnsi="Garamond"/>
          <w:b w:val="0"/>
          <w:i w:val="0"/>
          <w:sz w:val="24"/>
          <w:szCs w:val="24"/>
        </w:rPr>
        <w:t>jurisdicional</w:t>
      </w:r>
      <w:r w:rsidR="006D41D1" w:rsidRPr="003A1174">
        <w:rPr>
          <w:rFonts w:ascii="Garamond" w:hAnsi="Garamond"/>
          <w:b w:val="0"/>
          <w:i w:val="0"/>
          <w:sz w:val="24"/>
          <w:szCs w:val="24"/>
        </w:rPr>
        <w:t>,</w:t>
      </w:r>
      <w:r w:rsidR="00CA39B2" w:rsidRPr="003A1174">
        <w:rPr>
          <w:rFonts w:ascii="Garamond" w:hAnsi="Garamond"/>
          <w:b w:val="0"/>
          <w:i w:val="0"/>
          <w:sz w:val="24"/>
          <w:szCs w:val="24"/>
        </w:rPr>
        <w:t xml:space="preserve"> a</w:t>
      </w:r>
      <w:r w:rsidRPr="003A1174">
        <w:rPr>
          <w:rFonts w:ascii="Garamond" w:hAnsi="Garamond"/>
          <w:b w:val="0"/>
          <w:i w:val="0"/>
          <w:sz w:val="24"/>
          <w:szCs w:val="24"/>
        </w:rPr>
        <w:t xml:space="preserve">lém de contribuírem para o </w:t>
      </w:r>
      <w:r w:rsidR="00DC5DA7" w:rsidRPr="003A1174">
        <w:rPr>
          <w:rFonts w:ascii="Garamond" w:hAnsi="Garamond"/>
          <w:b w:val="0"/>
          <w:i w:val="0"/>
          <w:sz w:val="24"/>
          <w:szCs w:val="24"/>
        </w:rPr>
        <w:t>fortalecimento</w:t>
      </w:r>
      <w:r w:rsidR="00CA39B2" w:rsidRPr="003A1174">
        <w:rPr>
          <w:rFonts w:ascii="Garamond" w:hAnsi="Garamond"/>
          <w:b w:val="0"/>
          <w:i w:val="0"/>
          <w:sz w:val="24"/>
          <w:szCs w:val="24"/>
        </w:rPr>
        <w:t xml:space="preserve"> da cultura </w:t>
      </w:r>
      <w:r w:rsidRPr="003A1174">
        <w:rPr>
          <w:rFonts w:ascii="Garamond" w:hAnsi="Garamond"/>
          <w:b w:val="0"/>
          <w:i w:val="0"/>
          <w:sz w:val="24"/>
          <w:szCs w:val="24"/>
        </w:rPr>
        <w:t xml:space="preserve">estatística entre </w:t>
      </w:r>
      <w:r w:rsidR="00CA39B2" w:rsidRPr="003A1174">
        <w:rPr>
          <w:rFonts w:ascii="Garamond" w:hAnsi="Garamond"/>
          <w:b w:val="0"/>
          <w:i w:val="0"/>
          <w:sz w:val="24"/>
          <w:szCs w:val="24"/>
        </w:rPr>
        <w:t xml:space="preserve">os operadores </w:t>
      </w:r>
      <w:r w:rsidR="00E85E59" w:rsidRPr="003A1174">
        <w:rPr>
          <w:rFonts w:ascii="Garamond" w:hAnsi="Garamond"/>
          <w:b w:val="0"/>
          <w:i w:val="0"/>
          <w:sz w:val="24"/>
          <w:szCs w:val="24"/>
        </w:rPr>
        <w:t>do</w:t>
      </w:r>
      <w:r w:rsidR="00CA39B2" w:rsidRPr="003A1174">
        <w:rPr>
          <w:rFonts w:ascii="Garamond" w:hAnsi="Garamond"/>
          <w:b w:val="0"/>
          <w:i w:val="0"/>
          <w:sz w:val="24"/>
          <w:szCs w:val="24"/>
        </w:rPr>
        <w:t xml:space="preserve"> </w:t>
      </w:r>
      <w:r w:rsidR="00886D6A" w:rsidRPr="003A1174">
        <w:rPr>
          <w:rFonts w:ascii="Garamond" w:hAnsi="Garamond"/>
          <w:b w:val="0"/>
          <w:i w:val="0"/>
          <w:sz w:val="24"/>
          <w:szCs w:val="24"/>
        </w:rPr>
        <w:t>direito</w:t>
      </w:r>
      <w:r w:rsidR="00CA39B2" w:rsidRPr="003A1174">
        <w:rPr>
          <w:rFonts w:ascii="Garamond" w:hAnsi="Garamond"/>
          <w:b w:val="0"/>
          <w:i w:val="0"/>
          <w:sz w:val="24"/>
          <w:szCs w:val="24"/>
        </w:rPr>
        <w:t xml:space="preserve">. </w:t>
      </w:r>
    </w:p>
    <w:p w:rsidR="00CA39B2" w:rsidRDefault="00C15C97" w:rsidP="00C15C97">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O </w:t>
      </w:r>
      <w:r w:rsidR="00276DCA" w:rsidRPr="003A1174">
        <w:rPr>
          <w:rFonts w:ascii="Garamond" w:hAnsi="Garamond" w:cs="Arial"/>
          <w:color w:val="auto"/>
          <w:sz w:val="24"/>
          <w:szCs w:val="24"/>
        </w:rPr>
        <w:t>primeiro</w:t>
      </w:r>
      <w:r w:rsidR="00CA39B2" w:rsidRPr="003A1174">
        <w:rPr>
          <w:rFonts w:ascii="Garamond" w:hAnsi="Garamond" w:cs="Arial"/>
          <w:color w:val="auto"/>
          <w:sz w:val="24"/>
          <w:szCs w:val="24"/>
        </w:rPr>
        <w:t xml:space="preserve"> componente deste </w:t>
      </w:r>
      <w:r w:rsidR="00C30647" w:rsidRPr="003A1174">
        <w:rPr>
          <w:rFonts w:ascii="Garamond" w:hAnsi="Garamond" w:cs="Arial"/>
          <w:color w:val="auto"/>
          <w:sz w:val="24"/>
          <w:szCs w:val="24"/>
        </w:rPr>
        <w:t>projeto</w:t>
      </w:r>
      <w:r w:rsidR="00CA39B2" w:rsidRPr="003A1174">
        <w:rPr>
          <w:rFonts w:ascii="Garamond" w:hAnsi="Garamond" w:cs="Arial"/>
          <w:color w:val="auto"/>
          <w:sz w:val="24"/>
          <w:szCs w:val="24"/>
        </w:rPr>
        <w:t xml:space="preserve"> prev</w:t>
      </w:r>
      <w:r w:rsidRPr="003A1174">
        <w:rPr>
          <w:rFonts w:ascii="Garamond" w:hAnsi="Garamond" w:cs="Arial"/>
          <w:color w:val="auto"/>
          <w:sz w:val="24"/>
          <w:szCs w:val="24"/>
        </w:rPr>
        <w:t>ê a</w:t>
      </w:r>
      <w:r w:rsidR="00CA39B2" w:rsidRPr="003A1174">
        <w:rPr>
          <w:rFonts w:ascii="Garamond" w:hAnsi="Garamond" w:cs="Arial"/>
          <w:color w:val="auto"/>
          <w:sz w:val="24"/>
          <w:szCs w:val="24"/>
        </w:rPr>
        <w:t>presentar</w:t>
      </w:r>
      <w:r w:rsidRPr="003A1174">
        <w:rPr>
          <w:rFonts w:ascii="Garamond" w:hAnsi="Garamond" w:cs="Arial"/>
          <w:color w:val="auto"/>
          <w:sz w:val="24"/>
          <w:szCs w:val="24"/>
        </w:rPr>
        <w:t xml:space="preserve">, em meados de </w:t>
      </w:r>
      <w:r w:rsidR="00CA39B2" w:rsidRPr="003A1174">
        <w:rPr>
          <w:rFonts w:ascii="Garamond" w:hAnsi="Garamond" w:cs="Arial"/>
          <w:color w:val="auto"/>
          <w:sz w:val="24"/>
          <w:szCs w:val="24"/>
        </w:rPr>
        <w:t>2014</w:t>
      </w:r>
      <w:r w:rsidRPr="003A1174">
        <w:rPr>
          <w:rFonts w:ascii="Garamond" w:hAnsi="Garamond" w:cs="Arial"/>
          <w:color w:val="auto"/>
          <w:sz w:val="24"/>
          <w:szCs w:val="24"/>
        </w:rPr>
        <w:t xml:space="preserve">, uma </w:t>
      </w:r>
      <w:r w:rsidR="00FC1F7F" w:rsidRPr="003A1174">
        <w:rPr>
          <w:rFonts w:ascii="Garamond" w:hAnsi="Garamond" w:cs="Arial"/>
          <w:color w:val="auto"/>
          <w:sz w:val="24"/>
          <w:szCs w:val="24"/>
        </w:rPr>
        <w:t>publicação</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w:t>
      </w:r>
      <w:r w:rsidR="00CA39B2" w:rsidRPr="003A1174">
        <w:rPr>
          <w:rFonts w:ascii="Garamond" w:hAnsi="Garamond" w:cs="Arial"/>
          <w:color w:val="auto"/>
          <w:sz w:val="24"/>
          <w:szCs w:val="24"/>
        </w:rPr>
        <w:t xml:space="preserve">as </w:t>
      </w:r>
      <w:r w:rsidR="002F5CD1" w:rsidRPr="003A1174">
        <w:rPr>
          <w:rFonts w:ascii="Garamond" w:hAnsi="Garamond" w:cs="Arial"/>
          <w:color w:val="auto"/>
          <w:sz w:val="24"/>
          <w:szCs w:val="24"/>
        </w:rPr>
        <w:t>principais</w:t>
      </w:r>
      <w:r w:rsidR="00CA39B2" w:rsidRPr="003A1174">
        <w:rPr>
          <w:rFonts w:ascii="Garamond" w:hAnsi="Garamond" w:cs="Arial"/>
          <w:color w:val="auto"/>
          <w:sz w:val="24"/>
          <w:szCs w:val="24"/>
        </w:rPr>
        <w:t xml:space="preserve"> </w:t>
      </w:r>
      <w:r w:rsidR="003F012B" w:rsidRPr="003A1174">
        <w:rPr>
          <w:rFonts w:ascii="Garamond" w:hAnsi="Garamond" w:cs="Arial"/>
          <w:color w:val="auto"/>
          <w:sz w:val="24"/>
          <w:szCs w:val="24"/>
        </w:rPr>
        <w:t>linhas</w:t>
      </w:r>
      <w:r w:rsidR="00CA39B2" w:rsidRPr="003A1174">
        <w:rPr>
          <w:rFonts w:ascii="Garamond" w:hAnsi="Garamond" w:cs="Arial"/>
          <w:color w:val="auto"/>
          <w:sz w:val="24"/>
          <w:szCs w:val="24"/>
        </w:rPr>
        <w:t xml:space="preserve"> </w:t>
      </w:r>
      <w:r w:rsidR="00774697" w:rsidRPr="003A1174">
        <w:rPr>
          <w:rFonts w:ascii="Garamond" w:hAnsi="Garamond" w:cs="Arial"/>
          <w:color w:val="auto"/>
          <w:sz w:val="24"/>
          <w:szCs w:val="24"/>
        </w:rPr>
        <w:t>jurisprudenciais</w:t>
      </w:r>
      <w:r w:rsidR="00CA39B2" w:rsidRPr="003A1174">
        <w:rPr>
          <w:rFonts w:ascii="Garamond" w:hAnsi="Garamond" w:cs="Arial"/>
          <w:color w:val="auto"/>
          <w:sz w:val="24"/>
          <w:szCs w:val="24"/>
        </w:rPr>
        <w:t xml:space="preserve"> encontradas</w:t>
      </w:r>
      <w:r w:rsidR="006D41D1" w:rsidRPr="003A1174">
        <w:rPr>
          <w:rFonts w:ascii="Garamond" w:hAnsi="Garamond" w:cs="Arial"/>
          <w:color w:val="auto"/>
          <w:sz w:val="24"/>
          <w:szCs w:val="24"/>
        </w:rPr>
        <w:t>,</w:t>
      </w:r>
      <w:r w:rsidR="00CA39B2" w:rsidRPr="003A1174">
        <w:rPr>
          <w:rFonts w:ascii="Garamond" w:hAnsi="Garamond" w:cs="Arial"/>
          <w:color w:val="auto"/>
          <w:sz w:val="24"/>
          <w:szCs w:val="24"/>
        </w:rPr>
        <w:t xml:space="preserve"> vincul</w:t>
      </w:r>
      <w:r w:rsidRPr="003A1174">
        <w:rPr>
          <w:rFonts w:ascii="Garamond" w:hAnsi="Garamond" w:cs="Arial"/>
          <w:color w:val="auto"/>
          <w:sz w:val="24"/>
          <w:szCs w:val="24"/>
        </w:rPr>
        <w:t>ando-</w:t>
      </w:r>
      <w:r w:rsidR="00CA39B2" w:rsidRPr="003A1174">
        <w:rPr>
          <w:rFonts w:ascii="Garamond" w:hAnsi="Garamond" w:cs="Arial"/>
          <w:color w:val="auto"/>
          <w:sz w:val="24"/>
          <w:szCs w:val="24"/>
        </w:rPr>
        <w:t xml:space="preserve">as </w:t>
      </w:r>
      <w:r w:rsidRPr="003A1174">
        <w:rPr>
          <w:rFonts w:ascii="Garamond" w:hAnsi="Garamond" w:cs="Arial"/>
          <w:color w:val="auto"/>
          <w:sz w:val="24"/>
          <w:szCs w:val="24"/>
        </w:rPr>
        <w:t>a</w:t>
      </w:r>
      <w:r w:rsidR="00CA39B2" w:rsidRPr="003A1174">
        <w:rPr>
          <w:rFonts w:ascii="Garamond" w:hAnsi="Garamond" w:cs="Arial"/>
          <w:color w:val="auto"/>
          <w:sz w:val="24"/>
          <w:szCs w:val="24"/>
        </w:rPr>
        <w:t xml:space="preserve">os instrumentos </w:t>
      </w:r>
      <w:r w:rsidR="00EF645F" w:rsidRPr="003A1174">
        <w:rPr>
          <w:rFonts w:ascii="Garamond" w:hAnsi="Garamond" w:cs="Arial"/>
          <w:color w:val="auto"/>
          <w:sz w:val="24"/>
          <w:szCs w:val="24"/>
        </w:rPr>
        <w:t>internacionais</w:t>
      </w:r>
      <w:r w:rsidR="00CA39B2" w:rsidRPr="003A1174">
        <w:rPr>
          <w:rFonts w:ascii="Garamond" w:hAnsi="Garamond" w:cs="Arial"/>
          <w:color w:val="auto"/>
          <w:sz w:val="24"/>
          <w:szCs w:val="24"/>
        </w:rPr>
        <w:t xml:space="preserve"> de </w:t>
      </w:r>
      <w:r w:rsidR="00886D6A" w:rsidRPr="003A1174">
        <w:rPr>
          <w:rFonts w:ascii="Garamond" w:hAnsi="Garamond" w:cs="Arial"/>
          <w:color w:val="auto"/>
          <w:sz w:val="24"/>
          <w:szCs w:val="24"/>
        </w:rPr>
        <w:t>proteção</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dos</w:t>
      </w:r>
      <w:r w:rsidR="00CA39B2" w:rsidRPr="003A1174">
        <w:rPr>
          <w:rFonts w:ascii="Garamond" w:hAnsi="Garamond" w:cs="Arial"/>
          <w:color w:val="auto"/>
          <w:sz w:val="24"/>
          <w:szCs w:val="24"/>
        </w:rPr>
        <w:t xml:space="preserve"> </w:t>
      </w:r>
      <w:r w:rsidR="00886D6A" w:rsidRPr="003A1174">
        <w:rPr>
          <w:rFonts w:ascii="Garamond" w:hAnsi="Garamond" w:cs="Arial"/>
          <w:color w:val="auto"/>
          <w:sz w:val="24"/>
          <w:szCs w:val="24"/>
        </w:rPr>
        <w:t>direito</w:t>
      </w:r>
      <w:r w:rsidR="00CA39B2" w:rsidRPr="003A1174">
        <w:rPr>
          <w:rFonts w:ascii="Garamond" w:hAnsi="Garamond" w:cs="Arial"/>
          <w:color w:val="auto"/>
          <w:sz w:val="24"/>
          <w:szCs w:val="24"/>
        </w:rPr>
        <w:t xml:space="preserve">s </w:t>
      </w:r>
      <w:r w:rsidR="00497503" w:rsidRPr="003A1174">
        <w:rPr>
          <w:rFonts w:ascii="Garamond" w:hAnsi="Garamond" w:cs="Arial"/>
          <w:color w:val="auto"/>
          <w:sz w:val="24"/>
          <w:szCs w:val="24"/>
        </w:rPr>
        <w:t>das</w:t>
      </w:r>
      <w:r w:rsidR="00CA39B2" w:rsidRPr="003A1174">
        <w:rPr>
          <w:rFonts w:ascii="Garamond" w:hAnsi="Garamond" w:cs="Arial"/>
          <w:color w:val="auto"/>
          <w:sz w:val="24"/>
          <w:szCs w:val="24"/>
        </w:rPr>
        <w:t xml:space="preserve"> </w:t>
      </w:r>
      <w:r w:rsidR="00054EE0" w:rsidRPr="003A1174">
        <w:rPr>
          <w:rFonts w:ascii="Garamond" w:hAnsi="Garamond" w:cs="Arial"/>
          <w:color w:val="auto"/>
          <w:sz w:val="24"/>
          <w:szCs w:val="24"/>
        </w:rPr>
        <w:t>mulheres</w:t>
      </w:r>
      <w:r w:rsidR="00CA39B2" w:rsidRPr="003A1174">
        <w:rPr>
          <w:rFonts w:ascii="Garamond" w:hAnsi="Garamond" w:cs="Arial"/>
          <w:color w:val="auto"/>
          <w:sz w:val="24"/>
          <w:szCs w:val="24"/>
        </w:rPr>
        <w:t xml:space="preserve">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d</w:t>
      </w:r>
      <w:r w:rsidR="006D41D1" w:rsidRPr="003A1174">
        <w:rPr>
          <w:rFonts w:ascii="Garamond" w:hAnsi="Garamond" w:cs="Arial"/>
          <w:color w:val="auto"/>
          <w:sz w:val="24"/>
          <w:szCs w:val="24"/>
        </w:rPr>
        <w:t xml:space="preserve">a </w:t>
      </w:r>
      <w:r w:rsidR="003A391A" w:rsidRPr="003A1174">
        <w:rPr>
          <w:rFonts w:ascii="Garamond" w:hAnsi="Garamond" w:cs="Arial"/>
          <w:color w:val="auto"/>
          <w:sz w:val="24"/>
          <w:szCs w:val="24"/>
        </w:rPr>
        <w:t>infância</w:t>
      </w:r>
      <w:r w:rsidR="00CA39B2" w:rsidRPr="003A1174">
        <w:rPr>
          <w:rFonts w:ascii="Garamond" w:hAnsi="Garamond" w:cs="Arial"/>
          <w:color w:val="auto"/>
          <w:sz w:val="24"/>
          <w:szCs w:val="24"/>
        </w:rPr>
        <w:t xml:space="preserve"> vigentes, e ilustr</w:t>
      </w:r>
      <w:r w:rsidRPr="003A1174">
        <w:rPr>
          <w:rFonts w:ascii="Garamond" w:hAnsi="Garamond" w:cs="Arial"/>
          <w:color w:val="auto"/>
          <w:sz w:val="24"/>
          <w:szCs w:val="24"/>
        </w:rPr>
        <w:t>ando-</w:t>
      </w:r>
      <w:r w:rsidR="00CA39B2" w:rsidRPr="003A1174">
        <w:rPr>
          <w:rFonts w:ascii="Garamond" w:hAnsi="Garamond" w:cs="Arial"/>
          <w:color w:val="auto"/>
          <w:sz w:val="24"/>
          <w:szCs w:val="24"/>
        </w:rPr>
        <w:t>as co</w:t>
      </w:r>
      <w:r w:rsidRPr="003A1174">
        <w:rPr>
          <w:rFonts w:ascii="Garamond" w:hAnsi="Garamond" w:cs="Arial"/>
          <w:color w:val="auto"/>
          <w:sz w:val="24"/>
          <w:szCs w:val="24"/>
        </w:rPr>
        <w:t>m</w:t>
      </w:r>
      <w:r w:rsidR="00CA39B2" w:rsidRPr="003A1174">
        <w:rPr>
          <w:rFonts w:ascii="Garamond" w:hAnsi="Garamond" w:cs="Arial"/>
          <w:color w:val="auto"/>
          <w:sz w:val="24"/>
          <w:szCs w:val="24"/>
        </w:rPr>
        <w:t xml:space="preserve"> extr</w:t>
      </w:r>
      <w:r w:rsidR="001B02AD" w:rsidRPr="003A1174">
        <w:rPr>
          <w:rFonts w:ascii="Garamond" w:hAnsi="Garamond" w:cs="Arial"/>
          <w:color w:val="auto"/>
          <w:sz w:val="24"/>
          <w:szCs w:val="24"/>
        </w:rPr>
        <w:t>atos</w:t>
      </w:r>
      <w:r w:rsidR="00CA39B2" w:rsidRPr="003A1174">
        <w:rPr>
          <w:rFonts w:ascii="Garamond" w:hAnsi="Garamond" w:cs="Arial"/>
          <w:color w:val="auto"/>
          <w:sz w:val="24"/>
          <w:szCs w:val="24"/>
        </w:rPr>
        <w:t xml:space="preserve"> </w:t>
      </w:r>
      <w:r w:rsidR="00497503" w:rsidRPr="003A1174">
        <w:rPr>
          <w:rFonts w:ascii="Garamond" w:hAnsi="Garamond" w:cs="Arial"/>
          <w:color w:val="auto"/>
          <w:sz w:val="24"/>
          <w:szCs w:val="24"/>
        </w:rPr>
        <w:t>das</w:t>
      </w:r>
      <w:r w:rsidR="00CA39B2" w:rsidRPr="003A1174">
        <w:rPr>
          <w:rFonts w:ascii="Garamond" w:hAnsi="Garamond" w:cs="Arial"/>
          <w:color w:val="auto"/>
          <w:sz w:val="24"/>
          <w:szCs w:val="24"/>
        </w:rPr>
        <w:t xml:space="preserve"> </w:t>
      </w:r>
      <w:r w:rsidR="00175015" w:rsidRPr="003A1174">
        <w:rPr>
          <w:rFonts w:ascii="Garamond" w:hAnsi="Garamond" w:cs="Arial"/>
          <w:color w:val="auto"/>
          <w:sz w:val="24"/>
          <w:szCs w:val="24"/>
        </w:rPr>
        <w:t>resoluções</w:t>
      </w:r>
      <w:r w:rsidR="00CA39B2" w:rsidRPr="003A1174">
        <w:rPr>
          <w:rFonts w:ascii="Garamond" w:hAnsi="Garamond" w:cs="Arial"/>
          <w:color w:val="auto"/>
          <w:sz w:val="24"/>
          <w:szCs w:val="24"/>
        </w:rPr>
        <w:t xml:space="preserve"> publicadas </w:t>
      </w:r>
      <w:r w:rsidRPr="003A1174">
        <w:rPr>
          <w:rFonts w:ascii="Garamond" w:hAnsi="Garamond" w:cs="Arial"/>
          <w:color w:val="auto"/>
          <w:sz w:val="24"/>
          <w:szCs w:val="24"/>
        </w:rPr>
        <w:t xml:space="preserve">com base </w:t>
      </w:r>
      <w:r w:rsidR="00614147">
        <w:rPr>
          <w:rFonts w:ascii="Garamond" w:hAnsi="Garamond" w:cs="Arial"/>
          <w:color w:val="auto"/>
          <w:sz w:val="24"/>
          <w:szCs w:val="24"/>
        </w:rPr>
        <w:t xml:space="preserve">na </w:t>
      </w:r>
      <w:r w:rsidR="00682C71" w:rsidRPr="003A1174">
        <w:rPr>
          <w:rFonts w:ascii="Garamond" w:hAnsi="Garamond" w:cs="Arial"/>
          <w:color w:val="auto"/>
          <w:sz w:val="24"/>
          <w:szCs w:val="24"/>
        </w:rPr>
        <w:t>jurisprudência</w:t>
      </w:r>
      <w:r w:rsidR="00CA39B2" w:rsidRPr="003A1174">
        <w:rPr>
          <w:rFonts w:ascii="Garamond" w:hAnsi="Garamond" w:cs="Arial"/>
          <w:color w:val="auto"/>
          <w:sz w:val="24"/>
          <w:szCs w:val="24"/>
        </w:rPr>
        <w:t xml:space="preserve"> de género </w:t>
      </w:r>
      <w:r w:rsidR="00A41573" w:rsidRPr="003A1174">
        <w:rPr>
          <w:rFonts w:ascii="Garamond" w:hAnsi="Garamond" w:cs="Arial"/>
          <w:color w:val="auto"/>
          <w:sz w:val="24"/>
          <w:szCs w:val="24"/>
        </w:rPr>
        <w:t>do Gabinete</w:t>
      </w:r>
      <w:r w:rsidR="00CA39B2" w:rsidRPr="003A1174">
        <w:rPr>
          <w:rFonts w:ascii="Garamond" w:hAnsi="Garamond" w:cs="Arial"/>
          <w:color w:val="auto"/>
          <w:sz w:val="24"/>
          <w:szCs w:val="24"/>
        </w:rPr>
        <w:t xml:space="preserve"> da </w:t>
      </w:r>
      <w:r w:rsidR="00AF192F" w:rsidRPr="003A1174">
        <w:rPr>
          <w:rFonts w:ascii="Garamond" w:hAnsi="Garamond" w:cs="Arial"/>
          <w:color w:val="auto"/>
          <w:sz w:val="24"/>
          <w:szCs w:val="24"/>
        </w:rPr>
        <w:t>Mulher</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O</w:t>
      </w:r>
      <w:r w:rsidR="00CA39B2" w:rsidRPr="003A1174">
        <w:rPr>
          <w:rFonts w:ascii="Garamond" w:hAnsi="Garamond" w:cs="Arial"/>
          <w:color w:val="auto"/>
          <w:sz w:val="24"/>
          <w:szCs w:val="24"/>
        </w:rPr>
        <w:t xml:space="preserve"> segundo componente contempla </w:t>
      </w:r>
      <w:r w:rsidRPr="003A1174">
        <w:rPr>
          <w:rFonts w:ascii="Garamond" w:hAnsi="Garamond" w:cs="Arial"/>
          <w:color w:val="auto"/>
          <w:sz w:val="24"/>
          <w:szCs w:val="24"/>
        </w:rPr>
        <w:t>o</w:t>
      </w:r>
      <w:r w:rsidR="00CA39B2" w:rsidRPr="003A1174">
        <w:rPr>
          <w:rFonts w:ascii="Garamond" w:hAnsi="Garamond" w:cs="Arial"/>
          <w:color w:val="auto"/>
          <w:sz w:val="24"/>
          <w:szCs w:val="24"/>
        </w:rPr>
        <w:t xml:space="preserve"> </w:t>
      </w:r>
      <w:r w:rsidR="009B133A" w:rsidRPr="003A1174">
        <w:rPr>
          <w:rFonts w:ascii="Garamond" w:hAnsi="Garamond" w:cs="Arial"/>
          <w:color w:val="auto"/>
          <w:sz w:val="24"/>
          <w:szCs w:val="24"/>
        </w:rPr>
        <w:t>desenvolvimento</w:t>
      </w:r>
      <w:r w:rsidRPr="003A1174">
        <w:rPr>
          <w:rFonts w:ascii="Garamond" w:hAnsi="Garamond" w:cs="Arial"/>
          <w:color w:val="auto"/>
          <w:sz w:val="24"/>
          <w:szCs w:val="24"/>
        </w:rPr>
        <w:t xml:space="preserve"> de um</w:t>
      </w:r>
      <w:r w:rsidR="00CA39B2" w:rsidRPr="003A1174">
        <w:rPr>
          <w:rFonts w:ascii="Garamond" w:hAnsi="Garamond" w:cs="Arial"/>
          <w:color w:val="auto"/>
          <w:sz w:val="24"/>
          <w:szCs w:val="24"/>
        </w:rPr>
        <w:t xml:space="preserve">a </w:t>
      </w:r>
      <w:r w:rsidR="00D572A9" w:rsidRPr="003A1174">
        <w:rPr>
          <w:rFonts w:ascii="Garamond" w:hAnsi="Garamond" w:cs="Arial"/>
          <w:color w:val="auto"/>
          <w:sz w:val="24"/>
          <w:szCs w:val="24"/>
        </w:rPr>
        <w:t>ferramenta</w:t>
      </w:r>
      <w:r w:rsidR="00CA39B2" w:rsidRPr="003A1174">
        <w:rPr>
          <w:rFonts w:ascii="Garamond" w:hAnsi="Garamond" w:cs="Arial"/>
          <w:color w:val="auto"/>
          <w:sz w:val="24"/>
          <w:szCs w:val="24"/>
        </w:rPr>
        <w:t xml:space="preserve"> interati</w:t>
      </w:r>
      <w:r w:rsidRPr="003A1174">
        <w:rPr>
          <w:rFonts w:ascii="Garamond" w:hAnsi="Garamond" w:cs="Arial"/>
          <w:color w:val="auto"/>
          <w:sz w:val="24"/>
          <w:szCs w:val="24"/>
        </w:rPr>
        <w:t xml:space="preserve">va destinada a todas </w:t>
      </w:r>
      <w:r w:rsidR="00CA39B2" w:rsidRPr="003A1174">
        <w:rPr>
          <w:rFonts w:ascii="Garamond" w:hAnsi="Garamond" w:cs="Arial"/>
          <w:color w:val="auto"/>
          <w:sz w:val="24"/>
          <w:szCs w:val="24"/>
        </w:rPr>
        <w:t xml:space="preserve">as </w:t>
      </w:r>
      <w:r w:rsidR="006C760C" w:rsidRPr="003A1174">
        <w:rPr>
          <w:rFonts w:ascii="Garamond" w:hAnsi="Garamond" w:cs="Arial"/>
          <w:color w:val="auto"/>
          <w:sz w:val="24"/>
          <w:szCs w:val="24"/>
        </w:rPr>
        <w:t>pessoas</w:t>
      </w:r>
      <w:r w:rsidR="00CA39B2" w:rsidRPr="003A1174">
        <w:rPr>
          <w:rFonts w:ascii="Garamond" w:hAnsi="Garamond" w:cs="Arial"/>
          <w:color w:val="auto"/>
          <w:sz w:val="24"/>
          <w:szCs w:val="24"/>
        </w:rPr>
        <w:t xml:space="preserve"> que opera</w:t>
      </w:r>
      <w:r w:rsidRPr="003A1174">
        <w:rPr>
          <w:rFonts w:ascii="Garamond" w:hAnsi="Garamond" w:cs="Arial"/>
          <w:color w:val="auto"/>
          <w:sz w:val="24"/>
          <w:szCs w:val="24"/>
        </w:rPr>
        <w:t xml:space="preserve">m o </w:t>
      </w:r>
      <w:r w:rsidR="00CA39B2" w:rsidRPr="003A1174">
        <w:rPr>
          <w:rFonts w:ascii="Garamond" w:hAnsi="Garamond" w:cs="Arial"/>
          <w:color w:val="auto"/>
          <w:sz w:val="24"/>
          <w:szCs w:val="24"/>
        </w:rPr>
        <w:t xml:space="preserve">Sistema Informático Unificado de </w:t>
      </w:r>
      <w:r w:rsidR="00D4575C" w:rsidRPr="003A1174">
        <w:rPr>
          <w:rFonts w:ascii="Garamond" w:hAnsi="Garamond" w:cs="Arial"/>
          <w:color w:val="auto"/>
          <w:sz w:val="24"/>
          <w:szCs w:val="24"/>
        </w:rPr>
        <w:t>Gestão</w:t>
      </w:r>
      <w:r w:rsidR="00CA39B2" w:rsidRPr="003A1174">
        <w:rPr>
          <w:rFonts w:ascii="Garamond" w:hAnsi="Garamond" w:cs="Arial"/>
          <w:color w:val="auto"/>
          <w:sz w:val="24"/>
          <w:szCs w:val="24"/>
        </w:rPr>
        <w:t xml:space="preserve"> Judicial, cu</w:t>
      </w:r>
      <w:r w:rsidRPr="003A1174">
        <w:rPr>
          <w:rFonts w:ascii="Garamond" w:hAnsi="Garamond" w:cs="Arial"/>
          <w:color w:val="auto"/>
          <w:sz w:val="24"/>
          <w:szCs w:val="24"/>
        </w:rPr>
        <w:t>j</w:t>
      </w:r>
      <w:r w:rsidR="00CA39B2" w:rsidRPr="003A1174">
        <w:rPr>
          <w:rFonts w:ascii="Garamond" w:hAnsi="Garamond" w:cs="Arial"/>
          <w:color w:val="auto"/>
          <w:sz w:val="24"/>
          <w:szCs w:val="24"/>
        </w:rPr>
        <w:t xml:space="preserve">a </w:t>
      </w:r>
      <w:r w:rsidR="00B14AA6" w:rsidRPr="003A1174">
        <w:rPr>
          <w:rFonts w:ascii="Garamond" w:hAnsi="Garamond" w:cs="Arial"/>
          <w:color w:val="auto"/>
          <w:sz w:val="24"/>
          <w:szCs w:val="24"/>
        </w:rPr>
        <w:t>aplicação</w:t>
      </w:r>
      <w:r w:rsidR="00CA39B2" w:rsidRPr="003A1174">
        <w:rPr>
          <w:rFonts w:ascii="Garamond" w:hAnsi="Garamond" w:cs="Arial"/>
          <w:color w:val="auto"/>
          <w:sz w:val="24"/>
          <w:szCs w:val="24"/>
        </w:rPr>
        <w:t xml:space="preserve"> está </w:t>
      </w:r>
      <w:r w:rsidRPr="003A1174">
        <w:rPr>
          <w:rFonts w:ascii="Garamond" w:hAnsi="Garamond" w:cs="Arial"/>
          <w:color w:val="auto"/>
          <w:sz w:val="24"/>
          <w:szCs w:val="24"/>
        </w:rPr>
        <w:t xml:space="preserve">a </w:t>
      </w:r>
      <w:r w:rsidR="00E539A2" w:rsidRPr="003A1174">
        <w:rPr>
          <w:rFonts w:ascii="Garamond" w:hAnsi="Garamond" w:cs="Arial"/>
          <w:color w:val="auto"/>
          <w:sz w:val="24"/>
          <w:szCs w:val="24"/>
        </w:rPr>
        <w:t>se</w:t>
      </w:r>
      <w:r w:rsidRPr="003A1174">
        <w:rPr>
          <w:rFonts w:ascii="Garamond" w:hAnsi="Garamond" w:cs="Arial"/>
          <w:color w:val="auto"/>
          <w:sz w:val="24"/>
          <w:szCs w:val="24"/>
        </w:rPr>
        <w:t xml:space="preserve">r </w:t>
      </w:r>
      <w:r w:rsidR="00A13226" w:rsidRPr="003A1174">
        <w:rPr>
          <w:rFonts w:ascii="Garamond" w:hAnsi="Garamond" w:cs="Arial"/>
          <w:color w:val="auto"/>
          <w:sz w:val="24"/>
          <w:szCs w:val="24"/>
        </w:rPr>
        <w:t>coordenada</w:t>
      </w:r>
      <w:r w:rsidR="00614147">
        <w:rPr>
          <w:rFonts w:ascii="Garamond" w:hAnsi="Garamond" w:cs="Arial"/>
          <w:color w:val="auto"/>
          <w:sz w:val="24"/>
          <w:szCs w:val="24"/>
        </w:rPr>
        <w:t>, juntamente,</w:t>
      </w:r>
      <w:r w:rsidR="00CA39B2" w:rsidRPr="003A1174">
        <w:rPr>
          <w:rFonts w:ascii="Garamond" w:hAnsi="Garamond" w:cs="Arial"/>
          <w:color w:val="auto"/>
          <w:sz w:val="24"/>
          <w:szCs w:val="24"/>
        </w:rPr>
        <w:t xml:space="preserve"> co</w:t>
      </w:r>
      <w:r w:rsidRPr="003A1174">
        <w:rPr>
          <w:rFonts w:ascii="Garamond" w:hAnsi="Garamond" w:cs="Arial"/>
          <w:color w:val="auto"/>
          <w:sz w:val="24"/>
          <w:szCs w:val="24"/>
        </w:rPr>
        <w:t xml:space="preserve">m </w:t>
      </w:r>
      <w:r w:rsidR="00CA39B2" w:rsidRPr="003A1174">
        <w:rPr>
          <w:rFonts w:ascii="Garamond" w:hAnsi="Garamond" w:cs="Arial"/>
          <w:color w:val="auto"/>
          <w:sz w:val="24"/>
          <w:szCs w:val="24"/>
        </w:rPr>
        <w:t xml:space="preserve">a </w:t>
      </w:r>
      <w:r w:rsidR="00FC1F7F" w:rsidRPr="003A1174">
        <w:rPr>
          <w:rFonts w:ascii="Garamond" w:hAnsi="Garamond" w:cs="Arial"/>
          <w:color w:val="auto"/>
          <w:sz w:val="24"/>
          <w:szCs w:val="24"/>
        </w:rPr>
        <w:t>Comissão</w:t>
      </w:r>
      <w:r w:rsidR="00CA39B2" w:rsidRPr="003A1174">
        <w:rPr>
          <w:rFonts w:ascii="Garamond" w:hAnsi="Garamond" w:cs="Arial"/>
          <w:color w:val="auto"/>
          <w:sz w:val="24"/>
          <w:szCs w:val="24"/>
        </w:rPr>
        <w:t xml:space="preserve"> Nacional de </w:t>
      </w:r>
      <w:r w:rsidR="00D4575C" w:rsidRPr="003A1174">
        <w:rPr>
          <w:rFonts w:ascii="Garamond" w:hAnsi="Garamond" w:cs="Arial"/>
          <w:color w:val="auto"/>
          <w:sz w:val="24"/>
          <w:szCs w:val="24"/>
        </w:rPr>
        <w:t>Gestão</w:t>
      </w:r>
      <w:r w:rsidR="00CA39B2" w:rsidRPr="003A1174">
        <w:rPr>
          <w:rFonts w:ascii="Garamond" w:hAnsi="Garamond" w:cs="Arial"/>
          <w:color w:val="auto"/>
          <w:sz w:val="24"/>
          <w:szCs w:val="24"/>
        </w:rPr>
        <w:t>.</w:t>
      </w:r>
    </w:p>
    <w:p w:rsidR="00CA39B2" w:rsidRPr="003A1174" w:rsidRDefault="009859FC" w:rsidP="008719D4">
      <w:pPr>
        <w:pStyle w:val="Ttulo4"/>
        <w:spacing w:line="240" w:lineRule="auto"/>
        <w:rPr>
          <w:rFonts w:ascii="Garamond" w:hAnsi="Garamond"/>
          <w:sz w:val="24"/>
          <w:szCs w:val="24"/>
        </w:rPr>
      </w:pPr>
      <w:r w:rsidRPr="003A1174">
        <w:rPr>
          <w:rFonts w:ascii="Garamond" w:hAnsi="Garamond"/>
          <w:sz w:val="24"/>
          <w:szCs w:val="24"/>
        </w:rPr>
        <w:t>Melhoria</w:t>
      </w:r>
      <w:r w:rsidR="00F945B2" w:rsidRPr="003A1174">
        <w:rPr>
          <w:rFonts w:ascii="Garamond" w:hAnsi="Garamond"/>
          <w:sz w:val="24"/>
          <w:szCs w:val="24"/>
        </w:rPr>
        <w:t xml:space="preserve">s </w:t>
      </w:r>
      <w:r w:rsidR="00C15C97" w:rsidRPr="003A1174">
        <w:rPr>
          <w:rFonts w:ascii="Garamond" w:hAnsi="Garamond"/>
          <w:sz w:val="24"/>
          <w:szCs w:val="24"/>
        </w:rPr>
        <w:t xml:space="preserve">na </w:t>
      </w:r>
      <w:r w:rsidR="008E259D">
        <w:rPr>
          <w:rFonts w:ascii="Garamond" w:hAnsi="Garamond"/>
          <w:sz w:val="24"/>
          <w:szCs w:val="24"/>
        </w:rPr>
        <w:t xml:space="preserve">avaliação </w:t>
      </w:r>
      <w:r w:rsidR="00C15C97" w:rsidRPr="003A1174">
        <w:rPr>
          <w:rFonts w:ascii="Garamond" w:hAnsi="Garamond"/>
          <w:sz w:val="24"/>
          <w:szCs w:val="24"/>
        </w:rPr>
        <w:t>do</w:t>
      </w:r>
      <w:r w:rsidR="00F945B2" w:rsidRPr="003A1174">
        <w:rPr>
          <w:rFonts w:ascii="Garamond" w:hAnsi="Garamond"/>
          <w:sz w:val="24"/>
          <w:szCs w:val="24"/>
        </w:rPr>
        <w:t xml:space="preserve"> d</w:t>
      </w:r>
      <w:r w:rsidR="002C7510" w:rsidRPr="003A1174">
        <w:rPr>
          <w:rFonts w:ascii="Garamond" w:hAnsi="Garamond"/>
          <w:sz w:val="24"/>
          <w:szCs w:val="24"/>
        </w:rPr>
        <w:t>ano</w:t>
      </w:r>
      <w:r w:rsidR="00F945B2" w:rsidRPr="003A1174">
        <w:rPr>
          <w:rFonts w:ascii="Garamond" w:hAnsi="Garamond"/>
          <w:sz w:val="24"/>
          <w:szCs w:val="24"/>
        </w:rPr>
        <w:t xml:space="preserve"> psicológico</w:t>
      </w:r>
    </w:p>
    <w:p w:rsidR="00CA39B2" w:rsidRPr="003A1174" w:rsidRDefault="00CA39B2" w:rsidP="008719D4">
      <w:pPr>
        <w:spacing w:before="240" w:line="240" w:lineRule="auto"/>
        <w:jc w:val="both"/>
        <w:rPr>
          <w:rFonts w:ascii="Garamond" w:hAnsi="Garamond" w:cs="Arial"/>
          <w:sz w:val="24"/>
          <w:szCs w:val="24"/>
        </w:rPr>
      </w:pPr>
      <w:r w:rsidRPr="003A1174">
        <w:rPr>
          <w:rFonts w:ascii="Garamond" w:hAnsi="Garamond" w:cs="Arial"/>
          <w:sz w:val="24"/>
          <w:szCs w:val="24"/>
        </w:rPr>
        <w:t>N</w:t>
      </w:r>
      <w:r w:rsidR="00C15C97" w:rsidRPr="003A1174">
        <w:rPr>
          <w:rFonts w:ascii="Garamond" w:hAnsi="Garamond" w:cs="Arial"/>
          <w:sz w:val="24"/>
          <w:szCs w:val="24"/>
        </w:rPr>
        <w:t>ã</w:t>
      </w:r>
      <w:r w:rsidRPr="003A1174">
        <w:rPr>
          <w:rFonts w:ascii="Garamond" w:hAnsi="Garamond" w:cs="Arial"/>
          <w:sz w:val="24"/>
          <w:szCs w:val="24"/>
        </w:rPr>
        <w:t>o se indica</w:t>
      </w:r>
      <w:r w:rsidR="00C15C97" w:rsidRPr="003A1174">
        <w:rPr>
          <w:rFonts w:ascii="Garamond" w:hAnsi="Garamond" w:cs="Arial"/>
          <w:sz w:val="24"/>
          <w:szCs w:val="24"/>
        </w:rPr>
        <w:t xml:space="preserve">m </w:t>
      </w:r>
      <w:r w:rsidR="00FC1F7F" w:rsidRPr="003A1174">
        <w:rPr>
          <w:rFonts w:ascii="Garamond" w:hAnsi="Garamond" w:cs="Arial"/>
          <w:sz w:val="24"/>
          <w:szCs w:val="24"/>
        </w:rPr>
        <w:t>avanços</w:t>
      </w:r>
      <w:r w:rsidRPr="003A1174">
        <w:rPr>
          <w:rFonts w:ascii="Garamond" w:hAnsi="Garamond" w:cs="Arial"/>
          <w:sz w:val="24"/>
          <w:szCs w:val="24"/>
        </w:rPr>
        <w:t xml:space="preserve"> </w:t>
      </w:r>
      <w:r w:rsidR="00C15C97" w:rsidRPr="003A1174">
        <w:rPr>
          <w:rFonts w:ascii="Garamond" w:hAnsi="Garamond" w:cs="Arial"/>
          <w:sz w:val="24"/>
          <w:szCs w:val="24"/>
        </w:rPr>
        <w:t>n</w:t>
      </w:r>
      <w:r w:rsidRPr="003A1174">
        <w:rPr>
          <w:rFonts w:ascii="Garamond" w:hAnsi="Garamond" w:cs="Arial"/>
          <w:sz w:val="24"/>
          <w:szCs w:val="24"/>
        </w:rPr>
        <w:t>este sentido.</w:t>
      </w:r>
    </w:p>
    <w:p w:rsidR="00CA39B2" w:rsidRPr="003A1174" w:rsidRDefault="002A71E1" w:rsidP="008719D4">
      <w:pPr>
        <w:pStyle w:val="Ttulo4"/>
        <w:spacing w:line="240" w:lineRule="auto"/>
        <w:rPr>
          <w:rFonts w:ascii="Garamond" w:hAnsi="Garamond"/>
          <w:sz w:val="24"/>
          <w:szCs w:val="24"/>
        </w:rPr>
      </w:pPr>
      <w:r>
        <w:rPr>
          <w:rFonts w:ascii="Garamond" w:hAnsi="Garamond"/>
          <w:sz w:val="24"/>
          <w:szCs w:val="24"/>
        </w:rPr>
        <w:t>Formação</w:t>
      </w:r>
      <w:r w:rsidR="00F945B2" w:rsidRPr="003A1174">
        <w:rPr>
          <w:rFonts w:ascii="Garamond" w:hAnsi="Garamond"/>
          <w:sz w:val="24"/>
          <w:szCs w:val="24"/>
        </w:rPr>
        <w:t>/</w:t>
      </w:r>
      <w:r w:rsidR="00C15C97" w:rsidRPr="003A1174">
        <w:rPr>
          <w:rFonts w:ascii="Garamond" w:hAnsi="Garamond"/>
          <w:sz w:val="24"/>
          <w:szCs w:val="24"/>
        </w:rPr>
        <w:t>sensibilização de</w:t>
      </w:r>
      <w:r w:rsidR="00F945B2" w:rsidRPr="003A1174">
        <w:rPr>
          <w:rFonts w:ascii="Garamond" w:hAnsi="Garamond"/>
          <w:sz w:val="24"/>
          <w:szCs w:val="24"/>
        </w:rPr>
        <w:t xml:space="preserve"> operadores </w:t>
      </w:r>
      <w:r w:rsidR="00E85E59" w:rsidRPr="003A1174">
        <w:rPr>
          <w:rFonts w:ascii="Garamond" w:hAnsi="Garamond"/>
          <w:sz w:val="24"/>
          <w:szCs w:val="24"/>
        </w:rPr>
        <w:t>do</w:t>
      </w:r>
      <w:r w:rsidR="00F945B2" w:rsidRPr="003A1174">
        <w:rPr>
          <w:rFonts w:ascii="Garamond" w:hAnsi="Garamond"/>
          <w:sz w:val="24"/>
          <w:szCs w:val="24"/>
        </w:rPr>
        <w:t xml:space="preserve"> Sistema </w:t>
      </w:r>
      <w:r w:rsidR="00614147">
        <w:rPr>
          <w:rFonts w:ascii="Garamond" w:hAnsi="Garamond"/>
          <w:sz w:val="24"/>
          <w:szCs w:val="24"/>
        </w:rPr>
        <w:t>Judicial</w:t>
      </w:r>
    </w:p>
    <w:p w:rsidR="00CA39B2" w:rsidRPr="003A1174" w:rsidRDefault="00CA39B2"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E</w:t>
      </w:r>
      <w:r w:rsidR="00C15C97" w:rsidRPr="003A1174">
        <w:rPr>
          <w:rFonts w:ascii="Garamond" w:hAnsi="Garamond" w:cs="Arial"/>
          <w:color w:val="auto"/>
          <w:sz w:val="24"/>
          <w:szCs w:val="24"/>
        </w:rPr>
        <w:t>m</w:t>
      </w:r>
      <w:r w:rsidRPr="003A1174">
        <w:rPr>
          <w:rFonts w:ascii="Garamond" w:hAnsi="Garamond" w:cs="Arial"/>
          <w:color w:val="auto"/>
          <w:sz w:val="24"/>
          <w:szCs w:val="24"/>
        </w:rPr>
        <w:t xml:space="preserve"> </w:t>
      </w:r>
      <w:r w:rsidR="00EF645F" w:rsidRPr="003A1174">
        <w:rPr>
          <w:rFonts w:ascii="Garamond" w:hAnsi="Garamond" w:cs="Arial"/>
          <w:color w:val="auto"/>
          <w:sz w:val="24"/>
          <w:szCs w:val="24"/>
        </w:rPr>
        <w:t>matéria</w:t>
      </w:r>
      <w:r w:rsidRPr="003A1174">
        <w:rPr>
          <w:rFonts w:ascii="Garamond" w:hAnsi="Garamond" w:cs="Arial"/>
          <w:color w:val="auto"/>
          <w:sz w:val="24"/>
          <w:szCs w:val="24"/>
        </w:rPr>
        <w:t xml:space="preserve"> de </w:t>
      </w:r>
      <w:r w:rsidR="002A71E1">
        <w:rPr>
          <w:rFonts w:ascii="Garamond" w:hAnsi="Garamond" w:cs="Arial"/>
          <w:color w:val="auto"/>
          <w:sz w:val="24"/>
          <w:szCs w:val="24"/>
        </w:rPr>
        <w:t xml:space="preserve">formação </w:t>
      </w:r>
      <w:r w:rsidRPr="003A1174">
        <w:rPr>
          <w:rFonts w:ascii="Garamond" w:hAnsi="Garamond" w:cs="Arial"/>
          <w:color w:val="auto"/>
          <w:sz w:val="24"/>
          <w:szCs w:val="24"/>
        </w:rPr>
        <w:t xml:space="preserve">de operadores </w:t>
      </w:r>
      <w:r w:rsidR="00E85E59" w:rsidRPr="003A1174">
        <w:rPr>
          <w:rFonts w:ascii="Garamond" w:hAnsi="Garamond" w:cs="Arial"/>
          <w:color w:val="auto"/>
          <w:sz w:val="24"/>
          <w:szCs w:val="24"/>
        </w:rPr>
        <w:t>do</w:t>
      </w:r>
      <w:r w:rsidRPr="003A1174">
        <w:rPr>
          <w:rFonts w:ascii="Garamond" w:hAnsi="Garamond" w:cs="Arial"/>
          <w:color w:val="auto"/>
          <w:sz w:val="24"/>
          <w:szCs w:val="24"/>
        </w:rPr>
        <w:t xml:space="preserve"> </w:t>
      </w:r>
      <w:r w:rsidR="00861B54" w:rsidRPr="003A1174">
        <w:rPr>
          <w:rFonts w:ascii="Garamond" w:hAnsi="Garamond" w:cs="Arial"/>
          <w:color w:val="auto"/>
          <w:sz w:val="24"/>
          <w:szCs w:val="24"/>
        </w:rPr>
        <w:t>S</w:t>
      </w:r>
      <w:r w:rsidRPr="003A1174">
        <w:rPr>
          <w:rFonts w:ascii="Garamond" w:hAnsi="Garamond" w:cs="Arial"/>
          <w:color w:val="auto"/>
          <w:sz w:val="24"/>
          <w:szCs w:val="24"/>
        </w:rPr>
        <w:t>istema</w:t>
      </w:r>
      <w:r w:rsidR="00760815">
        <w:rPr>
          <w:rFonts w:ascii="Garamond" w:hAnsi="Garamond" w:cs="Arial"/>
          <w:color w:val="auto"/>
          <w:sz w:val="24"/>
          <w:szCs w:val="24"/>
        </w:rPr>
        <w:t xml:space="preserve"> </w:t>
      </w:r>
      <w:r w:rsidR="00614147">
        <w:rPr>
          <w:rFonts w:ascii="Garamond" w:hAnsi="Garamond" w:cs="Arial"/>
          <w:color w:val="auto"/>
          <w:sz w:val="24"/>
          <w:szCs w:val="24"/>
        </w:rPr>
        <w:t>Judicial</w:t>
      </w:r>
      <w:r w:rsidR="00861B54" w:rsidRPr="003A1174">
        <w:rPr>
          <w:rFonts w:ascii="Garamond" w:hAnsi="Garamond" w:cs="Arial"/>
          <w:color w:val="auto"/>
          <w:sz w:val="24"/>
          <w:szCs w:val="24"/>
        </w:rPr>
        <w:t>,</w:t>
      </w:r>
      <w:r w:rsidRPr="003A1174">
        <w:rPr>
          <w:rFonts w:ascii="Garamond" w:hAnsi="Garamond" w:cs="Arial"/>
          <w:color w:val="auto"/>
          <w:sz w:val="24"/>
          <w:szCs w:val="24"/>
        </w:rPr>
        <w:t xml:space="preserve"> </w:t>
      </w:r>
      <w:r w:rsidR="00C15C97" w:rsidRPr="003A1174">
        <w:rPr>
          <w:rFonts w:ascii="Garamond" w:hAnsi="Garamond" w:cs="Arial"/>
          <w:color w:val="auto"/>
          <w:sz w:val="24"/>
          <w:szCs w:val="24"/>
        </w:rPr>
        <w:t xml:space="preserve">continuou-se </w:t>
      </w:r>
      <w:r w:rsidRPr="003A1174">
        <w:rPr>
          <w:rFonts w:ascii="Garamond" w:hAnsi="Garamond" w:cs="Arial"/>
          <w:color w:val="auto"/>
          <w:sz w:val="24"/>
          <w:szCs w:val="24"/>
        </w:rPr>
        <w:t>co</w:t>
      </w:r>
      <w:r w:rsidR="00C15C97" w:rsidRPr="003A1174">
        <w:rPr>
          <w:rFonts w:ascii="Garamond" w:hAnsi="Garamond" w:cs="Arial"/>
          <w:color w:val="auto"/>
          <w:sz w:val="24"/>
          <w:szCs w:val="24"/>
        </w:rPr>
        <w:t xml:space="preserve">m </w:t>
      </w:r>
      <w:r w:rsidRPr="003A1174">
        <w:rPr>
          <w:rFonts w:ascii="Garamond" w:hAnsi="Garamond" w:cs="Arial"/>
          <w:color w:val="auto"/>
          <w:sz w:val="24"/>
          <w:szCs w:val="24"/>
        </w:rPr>
        <w:t xml:space="preserve">a </w:t>
      </w:r>
      <w:r w:rsidR="00614147">
        <w:rPr>
          <w:rFonts w:ascii="Garamond" w:hAnsi="Garamond" w:cs="Arial"/>
          <w:color w:val="auto"/>
          <w:sz w:val="24"/>
          <w:szCs w:val="24"/>
        </w:rPr>
        <w:t xml:space="preserve">formação </w:t>
      </w:r>
      <w:r w:rsidRPr="003A1174">
        <w:rPr>
          <w:rFonts w:ascii="Garamond" w:hAnsi="Garamond" w:cs="Arial"/>
          <w:color w:val="auto"/>
          <w:sz w:val="24"/>
          <w:szCs w:val="24"/>
        </w:rPr>
        <w:t xml:space="preserve">permanente </w:t>
      </w:r>
      <w:r w:rsidR="00614147">
        <w:rPr>
          <w:rFonts w:ascii="Garamond" w:hAnsi="Garamond" w:cs="Arial"/>
          <w:color w:val="auto"/>
          <w:sz w:val="24"/>
          <w:szCs w:val="24"/>
        </w:rPr>
        <w:t xml:space="preserve">disponibilizada </w:t>
      </w:r>
      <w:r w:rsidR="00C15C97" w:rsidRPr="003A1174">
        <w:rPr>
          <w:rFonts w:ascii="Garamond" w:hAnsi="Garamond" w:cs="Arial"/>
          <w:color w:val="auto"/>
          <w:sz w:val="24"/>
          <w:szCs w:val="24"/>
        </w:rPr>
        <w:t>pe</w:t>
      </w:r>
      <w:r w:rsidRPr="003A1174">
        <w:rPr>
          <w:rFonts w:ascii="Garamond" w:hAnsi="Garamond" w:cs="Arial"/>
          <w:color w:val="auto"/>
          <w:sz w:val="24"/>
          <w:szCs w:val="24"/>
        </w:rPr>
        <w:t>l</w:t>
      </w:r>
      <w:r w:rsidR="003069B4">
        <w:rPr>
          <w:rFonts w:ascii="Garamond" w:hAnsi="Garamond" w:cs="Arial"/>
          <w:color w:val="auto"/>
          <w:sz w:val="24"/>
          <w:szCs w:val="24"/>
        </w:rPr>
        <w:t>o</w:t>
      </w:r>
      <w:r w:rsidRPr="003A1174">
        <w:rPr>
          <w:rFonts w:ascii="Garamond" w:hAnsi="Garamond" w:cs="Arial"/>
          <w:color w:val="auto"/>
          <w:sz w:val="24"/>
          <w:szCs w:val="24"/>
        </w:rPr>
        <w:t xml:space="preserve"> Suprem</w:t>
      </w:r>
      <w:r w:rsidR="003069B4">
        <w:rPr>
          <w:rFonts w:ascii="Garamond" w:hAnsi="Garamond" w:cs="Arial"/>
          <w:color w:val="auto"/>
          <w:sz w:val="24"/>
          <w:szCs w:val="24"/>
        </w:rPr>
        <w:t>o Tribunal</w:t>
      </w:r>
      <w:r w:rsidRPr="003A1174">
        <w:rPr>
          <w:rFonts w:ascii="Garamond" w:hAnsi="Garamond" w:cs="Arial"/>
          <w:color w:val="auto"/>
          <w:sz w:val="24"/>
          <w:szCs w:val="24"/>
        </w:rPr>
        <w:t xml:space="preserve"> de </w:t>
      </w:r>
      <w:r w:rsidR="00FC1F7F" w:rsidRPr="003A1174">
        <w:rPr>
          <w:rFonts w:ascii="Garamond" w:hAnsi="Garamond" w:cs="Arial"/>
          <w:color w:val="auto"/>
          <w:sz w:val="24"/>
          <w:szCs w:val="24"/>
        </w:rPr>
        <w:t>Justiça</w:t>
      </w:r>
      <w:r w:rsidRPr="003A1174">
        <w:rPr>
          <w:rFonts w:ascii="Garamond" w:hAnsi="Garamond" w:cs="Arial"/>
          <w:color w:val="auto"/>
          <w:sz w:val="24"/>
          <w:szCs w:val="24"/>
        </w:rPr>
        <w:t xml:space="preserve"> da </w:t>
      </w:r>
      <w:r w:rsidR="006E0719" w:rsidRPr="003A1174">
        <w:rPr>
          <w:rFonts w:ascii="Garamond" w:hAnsi="Garamond" w:cs="Arial"/>
          <w:color w:val="auto"/>
          <w:sz w:val="24"/>
          <w:szCs w:val="24"/>
        </w:rPr>
        <w:t>Nação</w:t>
      </w:r>
      <w:r w:rsidRPr="003A1174">
        <w:rPr>
          <w:rFonts w:ascii="Garamond" w:hAnsi="Garamond" w:cs="Arial"/>
          <w:color w:val="auto"/>
          <w:sz w:val="24"/>
          <w:szCs w:val="24"/>
        </w:rPr>
        <w:t xml:space="preserve"> </w:t>
      </w:r>
      <w:r w:rsidR="000672E8" w:rsidRPr="003A1174">
        <w:rPr>
          <w:rFonts w:ascii="Garamond" w:hAnsi="Garamond" w:cs="Arial"/>
          <w:color w:val="auto"/>
          <w:sz w:val="24"/>
          <w:szCs w:val="24"/>
        </w:rPr>
        <w:t>e</w:t>
      </w:r>
      <w:r w:rsidRPr="003A1174">
        <w:rPr>
          <w:rFonts w:ascii="Garamond" w:hAnsi="Garamond" w:cs="Arial"/>
          <w:color w:val="auto"/>
          <w:sz w:val="24"/>
          <w:szCs w:val="24"/>
        </w:rPr>
        <w:t xml:space="preserve"> </w:t>
      </w:r>
      <w:r w:rsidR="00C15C97" w:rsidRPr="003A1174">
        <w:rPr>
          <w:rFonts w:ascii="Garamond" w:hAnsi="Garamond" w:cs="Arial"/>
          <w:color w:val="auto"/>
          <w:sz w:val="24"/>
          <w:szCs w:val="24"/>
        </w:rPr>
        <w:t>implementaram-se</w:t>
      </w:r>
      <w:r w:rsidRPr="003A1174">
        <w:rPr>
          <w:rFonts w:ascii="Garamond" w:hAnsi="Garamond" w:cs="Arial"/>
          <w:color w:val="auto"/>
          <w:sz w:val="24"/>
          <w:szCs w:val="24"/>
        </w:rPr>
        <w:t xml:space="preserve"> </w:t>
      </w:r>
      <w:r w:rsidR="005D38DC" w:rsidRPr="003A1174">
        <w:rPr>
          <w:rFonts w:ascii="Garamond" w:hAnsi="Garamond" w:cs="Arial"/>
          <w:color w:val="auto"/>
          <w:sz w:val="24"/>
          <w:szCs w:val="24"/>
        </w:rPr>
        <w:t>novo</w:t>
      </w:r>
      <w:r w:rsidRPr="003A1174">
        <w:rPr>
          <w:rFonts w:ascii="Garamond" w:hAnsi="Garamond" w:cs="Arial"/>
          <w:color w:val="auto"/>
          <w:sz w:val="24"/>
          <w:szCs w:val="24"/>
        </w:rPr>
        <w:t>s formatos de</w:t>
      </w:r>
      <w:r w:rsidR="00614147">
        <w:rPr>
          <w:rFonts w:ascii="Garamond" w:hAnsi="Garamond" w:cs="Arial"/>
          <w:color w:val="auto"/>
          <w:sz w:val="24"/>
          <w:szCs w:val="24"/>
        </w:rPr>
        <w:t>formação</w:t>
      </w:r>
      <w:r w:rsidRPr="003A1174">
        <w:rPr>
          <w:rFonts w:ascii="Garamond" w:hAnsi="Garamond" w:cs="Arial"/>
          <w:color w:val="auto"/>
          <w:sz w:val="24"/>
          <w:szCs w:val="24"/>
        </w:rPr>
        <w:t xml:space="preserve">.  </w:t>
      </w:r>
    </w:p>
    <w:p w:rsidR="00CA39B2" w:rsidRPr="003A1174" w:rsidRDefault="00CA39B2"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A partir </w:t>
      </w:r>
      <w:r w:rsidR="00E85E59" w:rsidRPr="003A1174">
        <w:rPr>
          <w:rFonts w:ascii="Garamond" w:hAnsi="Garamond" w:cs="Arial"/>
          <w:color w:val="auto"/>
          <w:sz w:val="24"/>
          <w:szCs w:val="24"/>
        </w:rPr>
        <w:t>do</w:t>
      </w:r>
      <w:r w:rsidRPr="003A1174">
        <w:rPr>
          <w:rFonts w:ascii="Garamond" w:hAnsi="Garamond" w:cs="Arial"/>
          <w:color w:val="auto"/>
          <w:sz w:val="24"/>
          <w:szCs w:val="24"/>
        </w:rPr>
        <w:t xml:space="preserve"> </w:t>
      </w:r>
      <w:r w:rsidR="003A391A" w:rsidRPr="003A1174">
        <w:rPr>
          <w:rFonts w:ascii="Garamond" w:hAnsi="Garamond" w:cs="Arial"/>
          <w:color w:val="auto"/>
          <w:sz w:val="24"/>
          <w:szCs w:val="24"/>
        </w:rPr>
        <w:t>mês</w:t>
      </w:r>
      <w:r w:rsidRPr="003A1174">
        <w:rPr>
          <w:rFonts w:ascii="Garamond" w:hAnsi="Garamond" w:cs="Arial"/>
          <w:color w:val="auto"/>
          <w:sz w:val="24"/>
          <w:szCs w:val="24"/>
        </w:rPr>
        <w:t xml:space="preserve"> de </w:t>
      </w:r>
      <w:r w:rsidR="009E3E55" w:rsidRPr="003A1174">
        <w:rPr>
          <w:rFonts w:ascii="Garamond" w:hAnsi="Garamond" w:cs="Arial"/>
          <w:color w:val="auto"/>
          <w:sz w:val="24"/>
          <w:szCs w:val="24"/>
        </w:rPr>
        <w:t>novembro</w:t>
      </w:r>
      <w:r w:rsidRPr="003A1174">
        <w:rPr>
          <w:rFonts w:ascii="Garamond" w:hAnsi="Garamond" w:cs="Arial"/>
          <w:color w:val="auto"/>
          <w:sz w:val="24"/>
          <w:szCs w:val="24"/>
        </w:rPr>
        <w:t xml:space="preserve"> </w:t>
      </w:r>
      <w:r w:rsidR="00C15C97" w:rsidRPr="003A1174">
        <w:rPr>
          <w:rFonts w:ascii="Garamond" w:hAnsi="Garamond" w:cs="Arial"/>
          <w:color w:val="auto"/>
          <w:sz w:val="24"/>
          <w:szCs w:val="24"/>
        </w:rPr>
        <w:t xml:space="preserve">foi </w:t>
      </w:r>
      <w:r w:rsidR="00614147">
        <w:rPr>
          <w:rFonts w:ascii="Garamond" w:hAnsi="Garamond" w:cs="Arial"/>
          <w:color w:val="auto"/>
          <w:sz w:val="24"/>
          <w:szCs w:val="24"/>
        </w:rPr>
        <w:t xml:space="preserve">posta </w:t>
      </w:r>
      <w:r w:rsidR="00C15C97" w:rsidRPr="003A1174">
        <w:rPr>
          <w:rFonts w:ascii="Garamond" w:hAnsi="Garamond" w:cs="Arial"/>
          <w:color w:val="auto"/>
          <w:sz w:val="24"/>
          <w:szCs w:val="24"/>
        </w:rPr>
        <w:t xml:space="preserve">em </w:t>
      </w:r>
      <w:r w:rsidR="00FB09CA" w:rsidRPr="003A1174">
        <w:rPr>
          <w:rFonts w:ascii="Garamond" w:hAnsi="Garamond" w:cs="Arial"/>
          <w:color w:val="auto"/>
          <w:sz w:val="24"/>
          <w:szCs w:val="24"/>
        </w:rPr>
        <w:t>funcionamento</w:t>
      </w:r>
      <w:r w:rsidR="00C15C97" w:rsidRPr="003A1174">
        <w:rPr>
          <w:rFonts w:ascii="Garamond" w:hAnsi="Garamond" w:cs="Arial"/>
          <w:color w:val="auto"/>
          <w:sz w:val="24"/>
          <w:szCs w:val="24"/>
        </w:rPr>
        <w:t xml:space="preserve"> um</w:t>
      </w:r>
      <w:r w:rsidRPr="003A1174">
        <w:rPr>
          <w:rFonts w:ascii="Garamond" w:hAnsi="Garamond" w:cs="Arial"/>
          <w:color w:val="auto"/>
          <w:sz w:val="24"/>
          <w:szCs w:val="24"/>
        </w:rPr>
        <w:t xml:space="preserve">a </w:t>
      </w:r>
      <w:r w:rsidR="00614147">
        <w:rPr>
          <w:rFonts w:ascii="Garamond" w:hAnsi="Garamond" w:cs="Arial"/>
          <w:color w:val="auto"/>
          <w:sz w:val="24"/>
          <w:szCs w:val="24"/>
        </w:rPr>
        <w:t xml:space="preserve">formação </w:t>
      </w:r>
      <w:r w:rsidR="00C15C97" w:rsidRPr="003A1174">
        <w:rPr>
          <w:rFonts w:ascii="Garamond" w:hAnsi="Garamond" w:cs="Arial"/>
          <w:color w:val="auto"/>
          <w:sz w:val="24"/>
          <w:szCs w:val="24"/>
        </w:rPr>
        <w:t>à distâ</w:t>
      </w:r>
      <w:r w:rsidRPr="003A1174">
        <w:rPr>
          <w:rFonts w:ascii="Garamond" w:hAnsi="Garamond" w:cs="Arial"/>
          <w:color w:val="auto"/>
          <w:sz w:val="24"/>
          <w:szCs w:val="24"/>
        </w:rPr>
        <w:t xml:space="preserve">ncia </w:t>
      </w:r>
      <w:r w:rsidR="00C15C97" w:rsidRPr="003A1174">
        <w:rPr>
          <w:rFonts w:ascii="Garamond" w:hAnsi="Garamond" w:cs="Arial"/>
          <w:color w:val="auto"/>
          <w:sz w:val="24"/>
          <w:szCs w:val="24"/>
        </w:rPr>
        <w:t xml:space="preserve">com </w:t>
      </w:r>
      <w:r w:rsidRPr="003A1174">
        <w:rPr>
          <w:rFonts w:ascii="Garamond" w:hAnsi="Garamond" w:cs="Arial"/>
          <w:color w:val="auto"/>
          <w:sz w:val="24"/>
          <w:szCs w:val="24"/>
        </w:rPr>
        <w:t xml:space="preserve">formato </w:t>
      </w:r>
      <w:r w:rsidR="00BA3CCE" w:rsidRPr="003A1174">
        <w:rPr>
          <w:rFonts w:ascii="Garamond" w:hAnsi="Garamond" w:cs="Arial"/>
          <w:i/>
          <w:iCs/>
          <w:color w:val="auto"/>
          <w:sz w:val="24"/>
          <w:szCs w:val="24"/>
        </w:rPr>
        <w:t>on-line</w:t>
      </w:r>
      <w:r w:rsidRPr="003A1174">
        <w:rPr>
          <w:rFonts w:ascii="Garamond" w:hAnsi="Garamond" w:cs="Arial"/>
          <w:i/>
          <w:iCs/>
          <w:color w:val="auto"/>
          <w:sz w:val="24"/>
          <w:szCs w:val="24"/>
        </w:rPr>
        <w:t xml:space="preserve"> </w:t>
      </w:r>
      <w:r w:rsidRPr="003A1174">
        <w:rPr>
          <w:rFonts w:ascii="Garamond" w:hAnsi="Garamond" w:cs="Arial"/>
          <w:color w:val="auto"/>
          <w:sz w:val="24"/>
          <w:szCs w:val="24"/>
        </w:rPr>
        <w:t>para difundir</w:t>
      </w:r>
      <w:r w:rsidR="00614147">
        <w:rPr>
          <w:rFonts w:ascii="Garamond" w:hAnsi="Garamond" w:cs="Arial"/>
          <w:color w:val="auto"/>
          <w:sz w:val="24"/>
          <w:szCs w:val="24"/>
        </w:rPr>
        <w:t>,</w:t>
      </w:r>
      <w:r w:rsidRPr="003A1174">
        <w:rPr>
          <w:rFonts w:ascii="Garamond" w:hAnsi="Garamond" w:cs="Arial"/>
          <w:color w:val="auto"/>
          <w:sz w:val="24"/>
          <w:szCs w:val="24"/>
        </w:rPr>
        <w:t xml:space="preserve"> </w:t>
      </w:r>
      <w:r w:rsidR="009A0CC2" w:rsidRPr="003A1174">
        <w:rPr>
          <w:rFonts w:ascii="Garamond" w:hAnsi="Garamond" w:cs="Arial"/>
          <w:color w:val="auto"/>
          <w:sz w:val="24"/>
          <w:szCs w:val="24"/>
        </w:rPr>
        <w:t>através</w:t>
      </w:r>
      <w:r w:rsidRPr="003A1174">
        <w:rPr>
          <w:rFonts w:ascii="Garamond" w:hAnsi="Garamond" w:cs="Arial"/>
          <w:color w:val="auto"/>
          <w:sz w:val="24"/>
          <w:szCs w:val="24"/>
        </w:rPr>
        <w:t xml:space="preserve"> d</w:t>
      </w:r>
      <w:r w:rsidR="00C15C97" w:rsidRPr="003A1174">
        <w:rPr>
          <w:rFonts w:ascii="Garamond" w:hAnsi="Garamond" w:cs="Arial"/>
          <w:color w:val="auto"/>
          <w:sz w:val="24"/>
          <w:szCs w:val="24"/>
        </w:rPr>
        <w:t xml:space="preserve">a </w:t>
      </w:r>
      <w:r w:rsidR="00C15C97" w:rsidRPr="00614147">
        <w:rPr>
          <w:rFonts w:ascii="Garamond" w:hAnsi="Garamond" w:cs="Arial"/>
          <w:i/>
          <w:color w:val="auto"/>
          <w:sz w:val="24"/>
          <w:szCs w:val="24"/>
        </w:rPr>
        <w:t>Internet</w:t>
      </w:r>
      <w:r w:rsidR="00614147">
        <w:rPr>
          <w:rFonts w:ascii="Garamond" w:hAnsi="Garamond" w:cs="Arial"/>
          <w:color w:val="auto"/>
          <w:sz w:val="24"/>
          <w:szCs w:val="24"/>
        </w:rPr>
        <w:t>,</w:t>
      </w:r>
      <w:r w:rsidR="00C15C97" w:rsidRPr="003A1174">
        <w:rPr>
          <w:rFonts w:ascii="Garamond" w:hAnsi="Garamond" w:cs="Arial"/>
          <w:color w:val="auto"/>
          <w:sz w:val="24"/>
          <w:szCs w:val="24"/>
        </w:rPr>
        <w:t xml:space="preserve"> </w:t>
      </w:r>
      <w:r w:rsidRPr="00614147">
        <w:rPr>
          <w:rFonts w:ascii="Garamond" w:hAnsi="Garamond" w:cs="Arial"/>
          <w:color w:val="auto"/>
          <w:sz w:val="24"/>
          <w:szCs w:val="24"/>
        </w:rPr>
        <w:t xml:space="preserve">os </w:t>
      </w:r>
      <w:r w:rsidR="00C15C97" w:rsidRPr="00614147">
        <w:rPr>
          <w:rFonts w:ascii="Garamond" w:hAnsi="Garamond" w:cs="Arial"/>
          <w:i/>
          <w:color w:val="auto"/>
          <w:sz w:val="24"/>
          <w:szCs w:val="24"/>
        </w:rPr>
        <w:t>ateliers</w:t>
      </w:r>
      <w:r w:rsidR="00C15C97" w:rsidRPr="003A1174">
        <w:rPr>
          <w:rFonts w:ascii="Garamond" w:hAnsi="Garamond" w:cs="Arial"/>
          <w:color w:val="auto"/>
          <w:sz w:val="24"/>
          <w:szCs w:val="24"/>
        </w:rPr>
        <w:t xml:space="preserve"> </w:t>
      </w:r>
      <w:r w:rsidRPr="003A1174">
        <w:rPr>
          <w:rFonts w:ascii="Garamond" w:hAnsi="Garamond" w:cs="Arial"/>
          <w:color w:val="auto"/>
          <w:sz w:val="24"/>
          <w:szCs w:val="24"/>
        </w:rPr>
        <w:t xml:space="preserve">de </w:t>
      </w:r>
      <w:r w:rsidR="00976FB8" w:rsidRPr="003A1174">
        <w:rPr>
          <w:rFonts w:ascii="Garamond" w:hAnsi="Garamond" w:cs="Arial"/>
          <w:color w:val="auto"/>
          <w:sz w:val="24"/>
          <w:szCs w:val="24"/>
        </w:rPr>
        <w:t>sensibilização</w:t>
      </w:r>
      <w:r w:rsidRPr="003A1174">
        <w:rPr>
          <w:rFonts w:ascii="Garamond" w:hAnsi="Garamond" w:cs="Arial"/>
          <w:color w:val="auto"/>
          <w:sz w:val="24"/>
          <w:szCs w:val="24"/>
        </w:rPr>
        <w:t xml:space="preserve"> e</w:t>
      </w:r>
      <w:r w:rsidR="00C15C97" w:rsidRPr="003A1174">
        <w:rPr>
          <w:rFonts w:ascii="Garamond" w:hAnsi="Garamond" w:cs="Arial"/>
          <w:color w:val="auto"/>
          <w:sz w:val="24"/>
          <w:szCs w:val="24"/>
        </w:rPr>
        <w:t xml:space="preserve">m </w:t>
      </w:r>
      <w:r w:rsidRPr="003A1174">
        <w:rPr>
          <w:rFonts w:ascii="Garamond" w:hAnsi="Garamond" w:cs="Arial"/>
          <w:color w:val="auto"/>
          <w:sz w:val="24"/>
          <w:szCs w:val="24"/>
        </w:rPr>
        <w:t>género</w:t>
      </w:r>
      <w:r w:rsidR="00614147">
        <w:rPr>
          <w:rFonts w:ascii="Garamond" w:hAnsi="Garamond" w:cs="Arial"/>
          <w:color w:val="auto"/>
          <w:sz w:val="24"/>
          <w:szCs w:val="24"/>
        </w:rPr>
        <w:t>,</w:t>
      </w:r>
      <w:r w:rsidRPr="003A1174">
        <w:rPr>
          <w:rFonts w:ascii="Garamond" w:hAnsi="Garamond" w:cs="Arial"/>
          <w:color w:val="auto"/>
          <w:sz w:val="24"/>
          <w:szCs w:val="24"/>
        </w:rPr>
        <w:t xml:space="preserve"> elaborados </w:t>
      </w:r>
      <w:r w:rsidR="00275092" w:rsidRPr="003A1174">
        <w:rPr>
          <w:rFonts w:ascii="Garamond" w:hAnsi="Garamond" w:cs="Arial"/>
          <w:color w:val="auto"/>
          <w:sz w:val="24"/>
          <w:szCs w:val="24"/>
        </w:rPr>
        <w:t>pel</w:t>
      </w:r>
      <w:r w:rsidR="00C15C97" w:rsidRPr="003A1174">
        <w:rPr>
          <w:rFonts w:ascii="Garamond" w:hAnsi="Garamond" w:cs="Arial"/>
          <w:color w:val="auto"/>
          <w:sz w:val="24"/>
          <w:szCs w:val="24"/>
        </w:rPr>
        <w:t>o</w:t>
      </w:r>
      <w:r w:rsidRPr="003A1174">
        <w:rPr>
          <w:rFonts w:ascii="Garamond" w:hAnsi="Garamond" w:cs="Arial"/>
          <w:color w:val="auto"/>
          <w:sz w:val="24"/>
          <w:szCs w:val="24"/>
        </w:rPr>
        <w:t xml:space="preserve"> </w:t>
      </w:r>
      <w:r w:rsidR="00C246B4" w:rsidRPr="003A1174">
        <w:rPr>
          <w:rFonts w:ascii="Garamond" w:hAnsi="Garamond" w:cs="Arial"/>
          <w:color w:val="auto"/>
          <w:sz w:val="24"/>
          <w:szCs w:val="24"/>
        </w:rPr>
        <w:t>Gabinete</w:t>
      </w:r>
      <w:r w:rsidR="00C15C97" w:rsidRPr="003A1174">
        <w:rPr>
          <w:rFonts w:ascii="Garamond" w:hAnsi="Garamond" w:cs="Arial"/>
          <w:color w:val="auto"/>
          <w:sz w:val="24"/>
          <w:szCs w:val="24"/>
        </w:rPr>
        <w:t xml:space="preserve"> d</w:t>
      </w:r>
      <w:r w:rsidRPr="003A1174">
        <w:rPr>
          <w:rFonts w:ascii="Garamond" w:hAnsi="Garamond" w:cs="Arial"/>
          <w:color w:val="auto"/>
          <w:sz w:val="24"/>
          <w:szCs w:val="24"/>
        </w:rPr>
        <w:t xml:space="preserve">a </w:t>
      </w:r>
      <w:r w:rsidR="00AF192F" w:rsidRPr="003A1174">
        <w:rPr>
          <w:rFonts w:ascii="Garamond" w:hAnsi="Garamond" w:cs="Arial"/>
          <w:color w:val="auto"/>
          <w:sz w:val="24"/>
          <w:szCs w:val="24"/>
        </w:rPr>
        <w:t>Mulher</w:t>
      </w:r>
      <w:r w:rsidR="00614147">
        <w:rPr>
          <w:rFonts w:ascii="Garamond" w:hAnsi="Garamond" w:cs="Arial"/>
          <w:color w:val="auto"/>
          <w:sz w:val="24"/>
          <w:szCs w:val="24"/>
        </w:rPr>
        <w:t>,</w:t>
      </w:r>
      <w:r w:rsidRPr="003A1174">
        <w:rPr>
          <w:rFonts w:ascii="Garamond" w:hAnsi="Garamond" w:cs="Arial"/>
          <w:color w:val="auto"/>
          <w:sz w:val="24"/>
          <w:szCs w:val="24"/>
        </w:rPr>
        <w:t xml:space="preserve"> d</w:t>
      </w:r>
      <w:r w:rsidR="003069B4">
        <w:rPr>
          <w:rFonts w:ascii="Garamond" w:hAnsi="Garamond" w:cs="Arial"/>
          <w:color w:val="auto"/>
          <w:sz w:val="24"/>
          <w:szCs w:val="24"/>
        </w:rPr>
        <w:t>o</w:t>
      </w:r>
      <w:r w:rsidRPr="003A1174">
        <w:rPr>
          <w:rFonts w:ascii="Garamond" w:hAnsi="Garamond" w:cs="Arial"/>
          <w:color w:val="auto"/>
          <w:sz w:val="24"/>
          <w:szCs w:val="24"/>
        </w:rPr>
        <w:t xml:space="preserve"> Suprem</w:t>
      </w:r>
      <w:r w:rsidR="003069B4">
        <w:rPr>
          <w:rFonts w:ascii="Garamond" w:hAnsi="Garamond" w:cs="Arial"/>
          <w:color w:val="auto"/>
          <w:sz w:val="24"/>
          <w:szCs w:val="24"/>
        </w:rPr>
        <w:t>o Tribunal</w:t>
      </w:r>
      <w:r w:rsidRPr="003A1174">
        <w:rPr>
          <w:rFonts w:ascii="Garamond" w:hAnsi="Garamond" w:cs="Arial"/>
          <w:color w:val="auto"/>
          <w:sz w:val="24"/>
          <w:szCs w:val="24"/>
        </w:rPr>
        <w:t xml:space="preserve"> de </w:t>
      </w:r>
      <w:r w:rsidR="00FC1F7F" w:rsidRPr="003A1174">
        <w:rPr>
          <w:rFonts w:ascii="Garamond" w:hAnsi="Garamond" w:cs="Arial"/>
          <w:color w:val="auto"/>
          <w:sz w:val="24"/>
          <w:szCs w:val="24"/>
        </w:rPr>
        <w:t>Justiça</w:t>
      </w:r>
      <w:r w:rsidRPr="003A1174">
        <w:rPr>
          <w:rFonts w:ascii="Garamond" w:hAnsi="Garamond" w:cs="Arial"/>
          <w:color w:val="auto"/>
          <w:sz w:val="24"/>
          <w:szCs w:val="24"/>
        </w:rPr>
        <w:t xml:space="preserve">. </w:t>
      </w:r>
      <w:r w:rsidR="00C15C97" w:rsidRPr="003A1174">
        <w:rPr>
          <w:rFonts w:ascii="Garamond" w:hAnsi="Garamond" w:cs="Arial"/>
          <w:color w:val="auto"/>
          <w:sz w:val="24"/>
          <w:szCs w:val="24"/>
        </w:rPr>
        <w:t>O</w:t>
      </w:r>
      <w:r w:rsidRPr="003A1174">
        <w:rPr>
          <w:rFonts w:ascii="Garamond" w:hAnsi="Garamond" w:cs="Arial"/>
          <w:color w:val="auto"/>
          <w:sz w:val="24"/>
          <w:szCs w:val="24"/>
        </w:rPr>
        <w:t xml:space="preserve"> curso </w:t>
      </w:r>
      <w:r w:rsidR="00614147">
        <w:rPr>
          <w:rFonts w:ascii="Garamond" w:hAnsi="Garamond" w:cs="Arial"/>
          <w:color w:val="auto"/>
          <w:sz w:val="24"/>
          <w:szCs w:val="24"/>
        </w:rPr>
        <w:t xml:space="preserve">destinava-se </w:t>
      </w:r>
      <w:proofErr w:type="gramStart"/>
      <w:r w:rsidR="00614147">
        <w:rPr>
          <w:rFonts w:ascii="Garamond" w:hAnsi="Garamond" w:cs="Arial"/>
          <w:color w:val="auto"/>
          <w:sz w:val="24"/>
          <w:szCs w:val="24"/>
        </w:rPr>
        <w:t>a trabalhadores</w:t>
      </w:r>
      <w:proofErr w:type="gramEnd"/>
      <w:r w:rsidRPr="003A1174">
        <w:rPr>
          <w:rFonts w:ascii="Garamond" w:hAnsi="Garamond" w:cs="Arial"/>
          <w:color w:val="auto"/>
          <w:sz w:val="24"/>
          <w:szCs w:val="24"/>
        </w:rPr>
        <w:t xml:space="preserve"> </w:t>
      </w:r>
      <w:r w:rsidR="00E85E59" w:rsidRPr="003A1174">
        <w:rPr>
          <w:rFonts w:ascii="Garamond" w:hAnsi="Garamond" w:cs="Arial"/>
          <w:color w:val="auto"/>
          <w:sz w:val="24"/>
          <w:szCs w:val="24"/>
        </w:rPr>
        <w:t>do</w:t>
      </w:r>
      <w:r w:rsidRPr="003A1174">
        <w:rPr>
          <w:rFonts w:ascii="Garamond" w:hAnsi="Garamond" w:cs="Arial"/>
          <w:color w:val="auto"/>
          <w:sz w:val="24"/>
          <w:szCs w:val="24"/>
        </w:rPr>
        <w:t xml:space="preserve"> </w:t>
      </w:r>
      <w:r w:rsidR="00760815">
        <w:rPr>
          <w:rFonts w:ascii="Garamond" w:hAnsi="Garamond" w:cs="Arial"/>
          <w:color w:val="auto"/>
          <w:sz w:val="24"/>
          <w:szCs w:val="24"/>
        </w:rPr>
        <w:t xml:space="preserve">Sistema </w:t>
      </w:r>
      <w:r w:rsidRPr="003A1174">
        <w:rPr>
          <w:rFonts w:ascii="Garamond" w:hAnsi="Garamond" w:cs="Arial"/>
          <w:color w:val="auto"/>
          <w:sz w:val="24"/>
          <w:szCs w:val="24"/>
        </w:rPr>
        <w:t xml:space="preserve">Judicial </w:t>
      </w:r>
      <w:r w:rsidR="00760815">
        <w:rPr>
          <w:rFonts w:ascii="Garamond" w:hAnsi="Garamond" w:cs="Arial"/>
          <w:color w:val="auto"/>
          <w:sz w:val="24"/>
          <w:szCs w:val="24"/>
        </w:rPr>
        <w:t xml:space="preserve">os </w:t>
      </w:r>
      <w:r w:rsidRPr="003A1174">
        <w:rPr>
          <w:rFonts w:ascii="Garamond" w:hAnsi="Garamond" w:cs="Arial"/>
          <w:color w:val="auto"/>
          <w:sz w:val="24"/>
          <w:szCs w:val="24"/>
        </w:rPr>
        <w:t>qu</w:t>
      </w:r>
      <w:r w:rsidR="00760815">
        <w:rPr>
          <w:rFonts w:ascii="Garamond" w:hAnsi="Garamond" w:cs="Arial"/>
          <w:color w:val="auto"/>
          <w:sz w:val="24"/>
          <w:szCs w:val="24"/>
        </w:rPr>
        <w:t>ais</w:t>
      </w:r>
      <w:r w:rsidR="00614147">
        <w:rPr>
          <w:rFonts w:ascii="Garamond" w:hAnsi="Garamond" w:cs="Arial"/>
          <w:color w:val="auto"/>
          <w:sz w:val="24"/>
          <w:szCs w:val="24"/>
        </w:rPr>
        <w:t>,</w:t>
      </w:r>
      <w:r w:rsidRPr="003A1174">
        <w:rPr>
          <w:rFonts w:ascii="Garamond" w:hAnsi="Garamond" w:cs="Arial"/>
          <w:color w:val="auto"/>
          <w:sz w:val="24"/>
          <w:szCs w:val="24"/>
        </w:rPr>
        <w:t xml:space="preserve"> durante u</w:t>
      </w:r>
      <w:r w:rsidR="00C15C97" w:rsidRPr="003A1174">
        <w:rPr>
          <w:rFonts w:ascii="Garamond" w:hAnsi="Garamond" w:cs="Arial"/>
          <w:color w:val="auto"/>
          <w:sz w:val="24"/>
          <w:szCs w:val="24"/>
        </w:rPr>
        <w:t>m</w:t>
      </w:r>
      <w:r w:rsidRPr="003A1174">
        <w:rPr>
          <w:rFonts w:ascii="Garamond" w:hAnsi="Garamond" w:cs="Arial"/>
          <w:color w:val="auto"/>
          <w:sz w:val="24"/>
          <w:szCs w:val="24"/>
        </w:rPr>
        <w:t xml:space="preserve"> </w:t>
      </w:r>
      <w:r w:rsidR="003A391A" w:rsidRPr="003A1174">
        <w:rPr>
          <w:rFonts w:ascii="Garamond" w:hAnsi="Garamond" w:cs="Arial"/>
          <w:color w:val="auto"/>
          <w:sz w:val="24"/>
          <w:szCs w:val="24"/>
        </w:rPr>
        <w:t>mês</w:t>
      </w:r>
      <w:r w:rsidR="00614147">
        <w:rPr>
          <w:rFonts w:ascii="Garamond" w:hAnsi="Garamond" w:cs="Arial"/>
          <w:color w:val="auto"/>
          <w:sz w:val="24"/>
          <w:szCs w:val="24"/>
        </w:rPr>
        <w:t>,</w:t>
      </w:r>
      <w:r w:rsidRPr="003A1174">
        <w:rPr>
          <w:rFonts w:ascii="Garamond" w:hAnsi="Garamond" w:cs="Arial"/>
          <w:color w:val="auto"/>
          <w:sz w:val="24"/>
          <w:szCs w:val="24"/>
        </w:rPr>
        <w:t xml:space="preserve"> completar</w:t>
      </w:r>
      <w:r w:rsidR="00C15C97" w:rsidRPr="003A1174">
        <w:rPr>
          <w:rFonts w:ascii="Garamond" w:hAnsi="Garamond" w:cs="Arial"/>
          <w:color w:val="auto"/>
          <w:sz w:val="24"/>
          <w:szCs w:val="24"/>
        </w:rPr>
        <w:t xml:space="preserve">am um </w:t>
      </w:r>
      <w:r w:rsidRPr="003A1174">
        <w:rPr>
          <w:rFonts w:ascii="Garamond" w:hAnsi="Garamond" w:cs="Arial"/>
          <w:color w:val="auto"/>
          <w:sz w:val="24"/>
          <w:szCs w:val="24"/>
        </w:rPr>
        <w:t xml:space="preserve">protocolo </w:t>
      </w:r>
      <w:r w:rsidR="00497503" w:rsidRPr="003A1174">
        <w:rPr>
          <w:rFonts w:ascii="Garamond" w:hAnsi="Garamond" w:cs="Arial"/>
          <w:color w:val="auto"/>
          <w:sz w:val="24"/>
          <w:szCs w:val="24"/>
        </w:rPr>
        <w:t>dos</w:t>
      </w:r>
      <w:r w:rsidRPr="003A1174">
        <w:rPr>
          <w:rFonts w:ascii="Garamond" w:hAnsi="Garamond" w:cs="Arial"/>
          <w:color w:val="auto"/>
          <w:sz w:val="24"/>
          <w:szCs w:val="24"/>
        </w:rPr>
        <w:t xml:space="preserve"> </w:t>
      </w:r>
      <w:r w:rsidR="00614147">
        <w:rPr>
          <w:rFonts w:ascii="Garamond" w:hAnsi="Garamond" w:cs="Arial"/>
          <w:color w:val="auto"/>
          <w:sz w:val="24"/>
          <w:szCs w:val="24"/>
        </w:rPr>
        <w:t>«</w:t>
      </w:r>
      <w:r w:rsidR="00C15C97" w:rsidRPr="003A1174">
        <w:rPr>
          <w:rFonts w:ascii="Garamond" w:hAnsi="Garamond" w:cs="Arial"/>
          <w:i/>
          <w:color w:val="auto"/>
          <w:sz w:val="24"/>
          <w:szCs w:val="24"/>
        </w:rPr>
        <w:t>Ateliers</w:t>
      </w:r>
      <w:r w:rsidR="00C15C97" w:rsidRPr="003A1174">
        <w:rPr>
          <w:rFonts w:ascii="Garamond" w:hAnsi="Garamond" w:cs="Arial"/>
          <w:color w:val="auto"/>
          <w:sz w:val="24"/>
          <w:szCs w:val="24"/>
        </w:rPr>
        <w:t xml:space="preserve"> </w:t>
      </w:r>
      <w:r w:rsidRPr="003A1174">
        <w:rPr>
          <w:rFonts w:ascii="Garamond" w:hAnsi="Garamond" w:cs="Arial"/>
          <w:color w:val="auto"/>
          <w:sz w:val="24"/>
          <w:szCs w:val="24"/>
        </w:rPr>
        <w:t xml:space="preserve">de </w:t>
      </w:r>
      <w:r w:rsidR="0017447A" w:rsidRPr="003A1174">
        <w:rPr>
          <w:rFonts w:ascii="Garamond" w:hAnsi="Garamond" w:cs="Arial"/>
          <w:color w:val="auto"/>
          <w:sz w:val="24"/>
          <w:szCs w:val="24"/>
        </w:rPr>
        <w:t>trabalho</w:t>
      </w:r>
      <w:r w:rsidR="00C15C97" w:rsidRPr="003A1174">
        <w:rPr>
          <w:rFonts w:ascii="Garamond" w:hAnsi="Garamond" w:cs="Arial"/>
          <w:color w:val="auto"/>
          <w:sz w:val="24"/>
          <w:szCs w:val="24"/>
        </w:rPr>
        <w:t xml:space="preserve"> para um</w:t>
      </w:r>
      <w:r w:rsidRPr="003A1174">
        <w:rPr>
          <w:rFonts w:ascii="Garamond" w:hAnsi="Garamond" w:cs="Arial"/>
          <w:color w:val="auto"/>
          <w:sz w:val="24"/>
          <w:szCs w:val="24"/>
        </w:rPr>
        <w:t xml:space="preserve">a </w:t>
      </w:r>
      <w:r w:rsidR="00FC1F7F" w:rsidRPr="003A1174">
        <w:rPr>
          <w:rFonts w:ascii="Garamond" w:hAnsi="Garamond" w:cs="Arial"/>
          <w:color w:val="auto"/>
          <w:sz w:val="24"/>
          <w:szCs w:val="24"/>
        </w:rPr>
        <w:t>justiça</w:t>
      </w:r>
      <w:r w:rsidRPr="003A1174">
        <w:rPr>
          <w:rFonts w:ascii="Garamond" w:hAnsi="Garamond" w:cs="Arial"/>
          <w:color w:val="auto"/>
          <w:sz w:val="24"/>
          <w:szCs w:val="24"/>
        </w:rPr>
        <w:t xml:space="preserve"> co</w:t>
      </w:r>
      <w:r w:rsidR="00C15C97" w:rsidRPr="003A1174">
        <w:rPr>
          <w:rFonts w:ascii="Garamond" w:hAnsi="Garamond" w:cs="Arial"/>
          <w:color w:val="auto"/>
          <w:sz w:val="24"/>
          <w:szCs w:val="24"/>
        </w:rPr>
        <w:t>m</w:t>
      </w:r>
      <w:r w:rsidRPr="003A1174">
        <w:rPr>
          <w:rFonts w:ascii="Garamond" w:hAnsi="Garamond" w:cs="Arial"/>
          <w:color w:val="auto"/>
          <w:sz w:val="24"/>
          <w:szCs w:val="24"/>
        </w:rPr>
        <w:t xml:space="preserve"> </w:t>
      </w:r>
      <w:r w:rsidR="00D96FD0" w:rsidRPr="003A1174">
        <w:rPr>
          <w:rFonts w:ascii="Garamond" w:hAnsi="Garamond" w:cs="Arial"/>
          <w:color w:val="auto"/>
          <w:sz w:val="24"/>
          <w:szCs w:val="24"/>
        </w:rPr>
        <w:t>perspetiva</w:t>
      </w:r>
      <w:r w:rsidRPr="003A1174">
        <w:rPr>
          <w:rFonts w:ascii="Garamond" w:hAnsi="Garamond" w:cs="Arial"/>
          <w:color w:val="auto"/>
          <w:sz w:val="24"/>
          <w:szCs w:val="24"/>
        </w:rPr>
        <w:t xml:space="preserve"> de género</w:t>
      </w:r>
      <w:r w:rsidR="00760815">
        <w:rPr>
          <w:rFonts w:ascii="Garamond" w:hAnsi="Garamond" w:cs="Arial"/>
          <w:color w:val="auto"/>
          <w:sz w:val="24"/>
          <w:szCs w:val="24"/>
        </w:rPr>
        <w:t>»</w:t>
      </w:r>
      <w:r w:rsidRPr="003A1174">
        <w:rPr>
          <w:rFonts w:ascii="Garamond" w:hAnsi="Garamond" w:cs="Arial"/>
          <w:color w:val="auto"/>
          <w:sz w:val="24"/>
          <w:szCs w:val="24"/>
        </w:rPr>
        <w:t xml:space="preserve">. </w:t>
      </w:r>
    </w:p>
    <w:p w:rsidR="00CA39B2" w:rsidRPr="003A1174" w:rsidRDefault="007407BD" w:rsidP="008719D4">
      <w:pPr>
        <w:pStyle w:val="Prrafodelista1"/>
        <w:spacing w:before="240" w:after="0" w:line="240" w:lineRule="auto"/>
        <w:jc w:val="both"/>
        <w:rPr>
          <w:rFonts w:ascii="Garamond" w:eastAsia="Arial" w:hAnsi="Garamond" w:cs="Arial"/>
          <w:color w:val="auto"/>
          <w:sz w:val="24"/>
          <w:szCs w:val="24"/>
        </w:rPr>
      </w:pPr>
      <w:r w:rsidRPr="003A1174">
        <w:rPr>
          <w:rFonts w:ascii="Garamond" w:hAnsi="Garamond" w:cs="Arial"/>
          <w:color w:val="auto"/>
          <w:sz w:val="24"/>
          <w:szCs w:val="24"/>
        </w:rPr>
        <w:lastRenderedPageBreak/>
        <w:t>Estes</w:t>
      </w:r>
      <w:r w:rsidR="00CA39B2" w:rsidRPr="003A1174">
        <w:rPr>
          <w:rFonts w:ascii="Garamond" w:hAnsi="Garamond" w:cs="Arial"/>
          <w:color w:val="auto"/>
          <w:sz w:val="24"/>
          <w:szCs w:val="24"/>
        </w:rPr>
        <w:t xml:space="preserve"> </w:t>
      </w:r>
      <w:r w:rsidR="00C15C97" w:rsidRPr="003A1174">
        <w:rPr>
          <w:rFonts w:ascii="Garamond" w:hAnsi="Garamond" w:cs="Arial"/>
          <w:i/>
          <w:color w:val="auto"/>
          <w:sz w:val="24"/>
          <w:szCs w:val="24"/>
        </w:rPr>
        <w:t>ateliers</w:t>
      </w:r>
      <w:r w:rsidR="00CA39B2" w:rsidRPr="003A1174">
        <w:rPr>
          <w:rFonts w:ascii="Garamond" w:hAnsi="Garamond" w:cs="Arial"/>
          <w:color w:val="auto"/>
          <w:sz w:val="24"/>
          <w:szCs w:val="24"/>
        </w:rPr>
        <w:t xml:space="preserve"> </w:t>
      </w:r>
      <w:r w:rsidR="009D05C3" w:rsidRPr="003A1174">
        <w:rPr>
          <w:rFonts w:ascii="Garamond" w:hAnsi="Garamond" w:cs="Arial"/>
          <w:color w:val="auto"/>
          <w:sz w:val="24"/>
          <w:szCs w:val="24"/>
        </w:rPr>
        <w:t>repetem-</w:t>
      </w:r>
      <w:r w:rsidR="00CA39B2" w:rsidRPr="003A1174">
        <w:rPr>
          <w:rFonts w:ascii="Garamond" w:hAnsi="Garamond" w:cs="Arial"/>
          <w:color w:val="auto"/>
          <w:sz w:val="24"/>
          <w:szCs w:val="24"/>
        </w:rPr>
        <w:t>se</w:t>
      </w:r>
      <w:r w:rsidR="00760815">
        <w:rPr>
          <w:rFonts w:ascii="Garamond" w:hAnsi="Garamond" w:cs="Arial"/>
          <w:color w:val="auto"/>
          <w:sz w:val="24"/>
          <w:szCs w:val="24"/>
        </w:rPr>
        <w:t>,</w:t>
      </w:r>
      <w:r w:rsidR="00CA39B2" w:rsidRPr="003A1174">
        <w:rPr>
          <w:rFonts w:ascii="Garamond" w:hAnsi="Garamond" w:cs="Arial"/>
          <w:color w:val="auto"/>
          <w:sz w:val="24"/>
          <w:szCs w:val="24"/>
        </w:rPr>
        <w:t xml:space="preserve"> regularmente,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D75A07" w:rsidRPr="003A1174">
        <w:rPr>
          <w:rFonts w:ascii="Garamond" w:hAnsi="Garamond" w:cs="Arial"/>
          <w:color w:val="auto"/>
          <w:sz w:val="24"/>
          <w:szCs w:val="24"/>
        </w:rPr>
        <w:t>são</w:t>
      </w:r>
      <w:r w:rsidR="00CA39B2" w:rsidRPr="003A1174">
        <w:rPr>
          <w:rFonts w:ascii="Garamond" w:hAnsi="Garamond" w:cs="Arial"/>
          <w:color w:val="auto"/>
          <w:sz w:val="24"/>
          <w:szCs w:val="24"/>
        </w:rPr>
        <w:t xml:space="preserve"> </w:t>
      </w:r>
      <w:r w:rsidR="00760815">
        <w:rPr>
          <w:rFonts w:ascii="Garamond" w:hAnsi="Garamond" w:cs="Arial"/>
          <w:color w:val="auto"/>
          <w:sz w:val="24"/>
          <w:szCs w:val="24"/>
        </w:rPr>
        <w:t>disponibilizados,</w:t>
      </w:r>
      <w:r w:rsidR="00CA39B2" w:rsidRPr="003A1174">
        <w:rPr>
          <w:rFonts w:ascii="Garamond" w:hAnsi="Garamond" w:cs="Arial"/>
          <w:color w:val="auto"/>
          <w:sz w:val="24"/>
          <w:szCs w:val="24"/>
        </w:rPr>
        <w:t xml:space="preserve"> e</w:t>
      </w:r>
      <w:r w:rsidR="009D05C3" w:rsidRPr="003A1174">
        <w:rPr>
          <w:rFonts w:ascii="Garamond" w:hAnsi="Garamond" w:cs="Arial"/>
          <w:color w:val="auto"/>
          <w:sz w:val="24"/>
          <w:szCs w:val="24"/>
        </w:rPr>
        <w:t>m</w:t>
      </w:r>
      <w:r w:rsidR="00CA39B2" w:rsidRPr="003A1174">
        <w:rPr>
          <w:rFonts w:ascii="Garamond" w:hAnsi="Garamond" w:cs="Arial"/>
          <w:color w:val="auto"/>
          <w:sz w:val="24"/>
          <w:szCs w:val="24"/>
        </w:rPr>
        <w:t xml:space="preserve"> todo </w:t>
      </w:r>
      <w:r w:rsidR="009D05C3" w:rsidRPr="003A1174">
        <w:rPr>
          <w:rFonts w:ascii="Garamond" w:hAnsi="Garamond" w:cs="Arial"/>
          <w:color w:val="auto"/>
          <w:sz w:val="24"/>
          <w:szCs w:val="24"/>
        </w:rPr>
        <w:t xml:space="preserve">o </w:t>
      </w:r>
      <w:r w:rsidR="00CA39B2" w:rsidRPr="003A1174">
        <w:rPr>
          <w:rFonts w:ascii="Garamond" w:hAnsi="Garamond" w:cs="Arial"/>
          <w:color w:val="auto"/>
          <w:sz w:val="24"/>
          <w:szCs w:val="24"/>
        </w:rPr>
        <w:t>país</w:t>
      </w:r>
      <w:r w:rsidR="00760815">
        <w:rPr>
          <w:rFonts w:ascii="Garamond" w:hAnsi="Garamond" w:cs="Arial"/>
          <w:color w:val="auto"/>
          <w:sz w:val="24"/>
          <w:szCs w:val="24"/>
        </w:rPr>
        <w:t>,</w:t>
      </w:r>
      <w:r w:rsidR="00CA39B2" w:rsidRPr="003A1174">
        <w:rPr>
          <w:rFonts w:ascii="Garamond" w:hAnsi="Garamond" w:cs="Arial"/>
          <w:color w:val="auto"/>
          <w:sz w:val="24"/>
          <w:szCs w:val="24"/>
        </w:rPr>
        <w:t xml:space="preserve"> </w:t>
      </w:r>
      <w:r w:rsidR="00760815">
        <w:rPr>
          <w:rFonts w:ascii="Garamond" w:hAnsi="Garamond" w:cs="Arial"/>
          <w:color w:val="auto"/>
          <w:sz w:val="24"/>
          <w:szCs w:val="24"/>
        </w:rPr>
        <w:t xml:space="preserve">a nível </w:t>
      </w:r>
      <w:r w:rsidR="00CA39B2" w:rsidRPr="003A1174">
        <w:rPr>
          <w:rFonts w:ascii="Garamond" w:hAnsi="Garamond" w:cs="Arial"/>
          <w:color w:val="auto"/>
          <w:sz w:val="24"/>
          <w:szCs w:val="24"/>
        </w:rPr>
        <w:t xml:space="preserve">nacional, federal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BA3CCE" w:rsidRPr="003A1174">
        <w:rPr>
          <w:rFonts w:ascii="Garamond" w:hAnsi="Garamond" w:cs="Arial"/>
          <w:color w:val="auto"/>
          <w:sz w:val="24"/>
          <w:szCs w:val="24"/>
        </w:rPr>
        <w:t>provincial</w:t>
      </w:r>
      <w:r w:rsidR="00CA39B2" w:rsidRPr="003A1174">
        <w:rPr>
          <w:rFonts w:ascii="Garamond" w:hAnsi="Garamond" w:cs="Arial"/>
          <w:color w:val="auto"/>
          <w:sz w:val="24"/>
          <w:szCs w:val="24"/>
        </w:rPr>
        <w:t xml:space="preserve">, </w:t>
      </w:r>
      <w:r w:rsidR="00861B54" w:rsidRPr="003A1174">
        <w:rPr>
          <w:rFonts w:ascii="Garamond" w:hAnsi="Garamond" w:cs="Arial"/>
          <w:color w:val="auto"/>
          <w:sz w:val="24"/>
          <w:szCs w:val="24"/>
        </w:rPr>
        <w:t xml:space="preserve">contando </w:t>
      </w:r>
      <w:r w:rsidR="00CA39B2" w:rsidRPr="003A1174">
        <w:rPr>
          <w:rFonts w:ascii="Garamond" w:hAnsi="Garamond" w:cs="Arial"/>
          <w:color w:val="auto"/>
          <w:sz w:val="24"/>
          <w:szCs w:val="24"/>
        </w:rPr>
        <w:t>co</w:t>
      </w:r>
      <w:r w:rsidR="009D05C3" w:rsidRPr="003A1174">
        <w:rPr>
          <w:rFonts w:ascii="Garamond" w:hAnsi="Garamond" w:cs="Arial"/>
          <w:color w:val="auto"/>
          <w:sz w:val="24"/>
          <w:szCs w:val="24"/>
        </w:rPr>
        <w:t xml:space="preserve">m o apoio da </w:t>
      </w:r>
      <w:r w:rsidR="00CA39B2" w:rsidRPr="003A1174">
        <w:rPr>
          <w:rFonts w:ascii="Garamond" w:hAnsi="Garamond" w:cs="Arial"/>
          <w:color w:val="auto"/>
          <w:sz w:val="24"/>
          <w:szCs w:val="24"/>
        </w:rPr>
        <w:t>Esc</w:t>
      </w:r>
      <w:r w:rsidR="009D05C3" w:rsidRPr="003A1174">
        <w:rPr>
          <w:rFonts w:ascii="Garamond" w:hAnsi="Garamond" w:cs="Arial"/>
          <w:color w:val="auto"/>
          <w:sz w:val="24"/>
          <w:szCs w:val="24"/>
        </w:rPr>
        <w:t>o</w:t>
      </w:r>
      <w:r w:rsidR="00CA39B2" w:rsidRPr="003A1174">
        <w:rPr>
          <w:rFonts w:ascii="Garamond" w:hAnsi="Garamond" w:cs="Arial"/>
          <w:color w:val="auto"/>
          <w:sz w:val="24"/>
          <w:szCs w:val="24"/>
        </w:rPr>
        <w:t xml:space="preserve">la Judicial da </w:t>
      </w:r>
      <w:r w:rsidR="006E0719" w:rsidRPr="003A1174">
        <w:rPr>
          <w:rFonts w:ascii="Garamond" w:hAnsi="Garamond" w:cs="Arial"/>
          <w:color w:val="auto"/>
          <w:sz w:val="24"/>
          <w:szCs w:val="24"/>
        </w:rPr>
        <w:t>Nação</w:t>
      </w:r>
      <w:r w:rsidR="00CA39B2" w:rsidRPr="003A1174">
        <w:rPr>
          <w:rFonts w:ascii="Garamond" w:hAnsi="Garamond" w:cs="Arial"/>
          <w:color w:val="auto"/>
          <w:sz w:val="24"/>
          <w:szCs w:val="24"/>
        </w:rPr>
        <w:t xml:space="preserve">, </w:t>
      </w:r>
      <w:r w:rsidR="00861B54" w:rsidRPr="003A1174">
        <w:rPr>
          <w:rFonts w:ascii="Garamond" w:hAnsi="Garamond" w:cs="Arial"/>
          <w:color w:val="auto"/>
          <w:sz w:val="24"/>
          <w:szCs w:val="24"/>
        </w:rPr>
        <w:t xml:space="preserve">que </w:t>
      </w:r>
      <w:r w:rsidR="00CA39B2" w:rsidRPr="003A1174">
        <w:rPr>
          <w:rFonts w:ascii="Garamond" w:hAnsi="Garamond" w:cs="Arial"/>
          <w:color w:val="auto"/>
          <w:sz w:val="24"/>
          <w:szCs w:val="24"/>
        </w:rPr>
        <w:t>depend</w:t>
      </w:r>
      <w:r w:rsidR="00861B54"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E85E59" w:rsidRPr="003A1174">
        <w:rPr>
          <w:rFonts w:ascii="Garamond" w:hAnsi="Garamond" w:cs="Arial"/>
          <w:color w:val="auto"/>
          <w:sz w:val="24"/>
          <w:szCs w:val="24"/>
        </w:rPr>
        <w:t>do</w:t>
      </w:r>
      <w:r w:rsidR="00CA39B2" w:rsidRPr="003A1174">
        <w:rPr>
          <w:rFonts w:ascii="Garamond" w:hAnsi="Garamond" w:cs="Arial"/>
          <w:color w:val="auto"/>
          <w:sz w:val="24"/>
          <w:szCs w:val="24"/>
        </w:rPr>
        <w:t xml:space="preserve"> </w:t>
      </w:r>
      <w:r w:rsidR="004C1496" w:rsidRPr="003A1174">
        <w:rPr>
          <w:rFonts w:ascii="Garamond" w:hAnsi="Garamond" w:cs="Arial"/>
          <w:color w:val="auto"/>
          <w:sz w:val="24"/>
          <w:szCs w:val="24"/>
        </w:rPr>
        <w:t>Conselho</w:t>
      </w:r>
      <w:r w:rsidR="00CA39B2" w:rsidRPr="003A1174">
        <w:rPr>
          <w:rFonts w:ascii="Garamond" w:hAnsi="Garamond" w:cs="Arial"/>
          <w:color w:val="auto"/>
          <w:sz w:val="24"/>
          <w:szCs w:val="24"/>
        </w:rPr>
        <w:t xml:space="preserve"> da Magistratura</w:t>
      </w:r>
      <w:r w:rsidR="00760815">
        <w:rPr>
          <w:rFonts w:ascii="Garamond" w:hAnsi="Garamond" w:cs="Arial"/>
          <w:color w:val="auto"/>
          <w:sz w:val="24"/>
          <w:szCs w:val="24"/>
        </w:rPr>
        <w:t>.</w:t>
      </w:r>
      <w:r w:rsidR="00CA39B2" w:rsidRPr="003A1174">
        <w:rPr>
          <w:rFonts w:ascii="Garamond" w:hAnsi="Garamond" w:cs="Arial"/>
          <w:color w:val="auto"/>
          <w:sz w:val="24"/>
          <w:szCs w:val="24"/>
        </w:rPr>
        <w:t xml:space="preserve">    </w:t>
      </w:r>
    </w:p>
    <w:p w:rsidR="00CA39B2" w:rsidRPr="003A1174" w:rsidRDefault="00CA39B2" w:rsidP="008719D4">
      <w:pPr>
        <w:pStyle w:val="Prrafodelista1"/>
        <w:keepNext/>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 xml:space="preserve">Por </w:t>
      </w:r>
      <w:r w:rsidR="001F2F8B" w:rsidRPr="003A1174">
        <w:rPr>
          <w:rFonts w:ascii="Garamond" w:hAnsi="Garamond" w:cs="Arial"/>
          <w:color w:val="auto"/>
          <w:sz w:val="24"/>
          <w:szCs w:val="24"/>
        </w:rPr>
        <w:t>outro</w:t>
      </w:r>
      <w:r w:rsidR="009D05C3" w:rsidRPr="003A1174">
        <w:rPr>
          <w:rFonts w:ascii="Garamond" w:hAnsi="Garamond" w:cs="Arial"/>
          <w:color w:val="auto"/>
          <w:sz w:val="24"/>
          <w:szCs w:val="24"/>
        </w:rPr>
        <w:t xml:space="preserve"> lado, </w:t>
      </w:r>
      <w:r w:rsidRPr="003A1174">
        <w:rPr>
          <w:rFonts w:ascii="Garamond" w:hAnsi="Garamond" w:cs="Arial"/>
          <w:color w:val="auto"/>
          <w:sz w:val="24"/>
          <w:szCs w:val="24"/>
        </w:rPr>
        <w:t xml:space="preserve">a </w:t>
      </w:r>
      <w:r w:rsidR="00147717" w:rsidRPr="003A1174">
        <w:rPr>
          <w:rFonts w:ascii="Garamond" w:hAnsi="Garamond" w:cs="Arial"/>
          <w:color w:val="auto"/>
          <w:sz w:val="24"/>
          <w:szCs w:val="24"/>
        </w:rPr>
        <w:t>Câmara</w:t>
      </w:r>
      <w:r w:rsidRPr="003A1174">
        <w:rPr>
          <w:rFonts w:ascii="Garamond" w:hAnsi="Garamond" w:cs="Arial"/>
          <w:color w:val="auto"/>
          <w:sz w:val="24"/>
          <w:szCs w:val="24"/>
        </w:rPr>
        <w:t xml:space="preserve"> Nacional Ele</w:t>
      </w:r>
      <w:r w:rsidR="009D05C3" w:rsidRPr="003A1174">
        <w:rPr>
          <w:rFonts w:ascii="Garamond" w:hAnsi="Garamond" w:cs="Arial"/>
          <w:color w:val="auto"/>
          <w:sz w:val="24"/>
          <w:szCs w:val="24"/>
        </w:rPr>
        <w:t>i</w:t>
      </w:r>
      <w:r w:rsidRPr="003A1174">
        <w:rPr>
          <w:rFonts w:ascii="Garamond" w:hAnsi="Garamond" w:cs="Arial"/>
          <w:color w:val="auto"/>
          <w:sz w:val="24"/>
          <w:szCs w:val="24"/>
        </w:rPr>
        <w:t xml:space="preserve">toral </w:t>
      </w:r>
      <w:r w:rsidR="000672E8" w:rsidRPr="003A1174">
        <w:rPr>
          <w:rFonts w:ascii="Garamond" w:hAnsi="Garamond" w:cs="Arial"/>
          <w:color w:val="auto"/>
          <w:sz w:val="24"/>
          <w:szCs w:val="24"/>
        </w:rPr>
        <w:t>e</w:t>
      </w:r>
      <w:r w:rsidR="009D05C3" w:rsidRPr="003A1174">
        <w:rPr>
          <w:rFonts w:ascii="Garamond" w:hAnsi="Garamond" w:cs="Arial"/>
          <w:color w:val="auto"/>
          <w:sz w:val="24"/>
          <w:szCs w:val="24"/>
        </w:rPr>
        <w:t xml:space="preserve"> </w:t>
      </w:r>
      <w:r w:rsidRPr="003A1174">
        <w:rPr>
          <w:rFonts w:ascii="Garamond" w:hAnsi="Garamond" w:cs="Arial"/>
          <w:color w:val="auto"/>
          <w:sz w:val="24"/>
          <w:szCs w:val="24"/>
        </w:rPr>
        <w:t xml:space="preserve">as </w:t>
      </w:r>
      <w:r w:rsidR="00147717" w:rsidRPr="003A1174">
        <w:rPr>
          <w:rFonts w:ascii="Garamond" w:hAnsi="Garamond" w:cs="Arial"/>
          <w:color w:val="auto"/>
          <w:sz w:val="24"/>
          <w:szCs w:val="24"/>
        </w:rPr>
        <w:t>Câmara</w:t>
      </w:r>
      <w:r w:rsidRPr="003A1174">
        <w:rPr>
          <w:rFonts w:ascii="Garamond" w:hAnsi="Garamond" w:cs="Arial"/>
          <w:color w:val="auto"/>
          <w:sz w:val="24"/>
          <w:szCs w:val="24"/>
        </w:rPr>
        <w:t xml:space="preserve">s </w:t>
      </w:r>
      <w:r w:rsidR="00FC5E28" w:rsidRPr="003A1174">
        <w:rPr>
          <w:rFonts w:ascii="Garamond" w:hAnsi="Garamond" w:cs="Arial"/>
          <w:color w:val="auto"/>
          <w:sz w:val="24"/>
          <w:szCs w:val="24"/>
        </w:rPr>
        <w:t>Federais</w:t>
      </w:r>
      <w:r w:rsidRPr="003A1174">
        <w:rPr>
          <w:rFonts w:ascii="Garamond" w:hAnsi="Garamond" w:cs="Arial"/>
          <w:color w:val="auto"/>
          <w:sz w:val="24"/>
          <w:szCs w:val="24"/>
        </w:rPr>
        <w:t xml:space="preserve"> de </w:t>
      </w:r>
      <w:r w:rsidR="00077461" w:rsidRPr="003A1174">
        <w:rPr>
          <w:rFonts w:ascii="Garamond" w:hAnsi="Garamond" w:cs="Arial"/>
          <w:color w:val="auto"/>
          <w:sz w:val="24"/>
          <w:szCs w:val="24"/>
        </w:rPr>
        <w:t>Geral</w:t>
      </w:r>
      <w:r w:rsidRPr="003A1174">
        <w:rPr>
          <w:rFonts w:ascii="Garamond" w:hAnsi="Garamond" w:cs="Arial"/>
          <w:color w:val="auto"/>
          <w:sz w:val="24"/>
          <w:szCs w:val="24"/>
        </w:rPr>
        <w:t xml:space="preserve"> Roca, Posadas, Mar </w:t>
      </w:r>
      <w:proofErr w:type="gramStart"/>
      <w:r w:rsidRPr="003A1174">
        <w:rPr>
          <w:rFonts w:ascii="Garamond" w:hAnsi="Garamond" w:cs="Arial"/>
          <w:color w:val="auto"/>
          <w:sz w:val="24"/>
          <w:szCs w:val="24"/>
        </w:rPr>
        <w:t>del</w:t>
      </w:r>
      <w:proofErr w:type="gramEnd"/>
      <w:r w:rsidRPr="003A1174">
        <w:rPr>
          <w:rFonts w:ascii="Garamond" w:hAnsi="Garamond" w:cs="Arial"/>
          <w:color w:val="auto"/>
          <w:sz w:val="24"/>
          <w:szCs w:val="24"/>
        </w:rPr>
        <w:t xml:space="preserve"> Plata, Salta </w:t>
      </w:r>
      <w:r w:rsidR="000672E8" w:rsidRPr="003A1174">
        <w:rPr>
          <w:rFonts w:ascii="Garamond" w:hAnsi="Garamond" w:cs="Arial"/>
          <w:color w:val="auto"/>
          <w:sz w:val="24"/>
          <w:szCs w:val="24"/>
        </w:rPr>
        <w:t>e</w:t>
      </w:r>
      <w:r w:rsidRPr="003A1174">
        <w:rPr>
          <w:rFonts w:ascii="Garamond" w:hAnsi="Garamond" w:cs="Arial"/>
          <w:color w:val="auto"/>
          <w:sz w:val="24"/>
          <w:szCs w:val="24"/>
        </w:rPr>
        <w:t xml:space="preserve"> Rosario </w:t>
      </w:r>
      <w:r w:rsidR="00A207EB" w:rsidRPr="003A1174">
        <w:rPr>
          <w:rFonts w:ascii="Garamond" w:hAnsi="Garamond" w:cs="Arial"/>
          <w:color w:val="auto"/>
          <w:sz w:val="24"/>
          <w:szCs w:val="24"/>
        </w:rPr>
        <w:t>determinaram a</w:t>
      </w:r>
      <w:r w:rsidRPr="003A1174">
        <w:rPr>
          <w:rFonts w:ascii="Garamond" w:hAnsi="Garamond" w:cs="Arial"/>
          <w:color w:val="auto"/>
          <w:sz w:val="24"/>
          <w:szCs w:val="24"/>
        </w:rPr>
        <w:t xml:space="preserve"> </w:t>
      </w:r>
      <w:r w:rsidR="00EB2F44" w:rsidRPr="003A1174">
        <w:rPr>
          <w:rFonts w:ascii="Garamond" w:hAnsi="Garamond" w:cs="Arial"/>
          <w:color w:val="auto"/>
          <w:sz w:val="24"/>
          <w:szCs w:val="24"/>
        </w:rPr>
        <w:t>obrigatoriedade</w:t>
      </w:r>
      <w:r w:rsidR="00A207EB" w:rsidRPr="003A1174">
        <w:rPr>
          <w:rFonts w:ascii="Garamond" w:hAnsi="Garamond" w:cs="Arial"/>
          <w:color w:val="auto"/>
          <w:sz w:val="24"/>
          <w:szCs w:val="24"/>
        </w:rPr>
        <w:t xml:space="preserve"> </w:t>
      </w:r>
      <w:r w:rsidR="00760815">
        <w:rPr>
          <w:rFonts w:ascii="Garamond" w:hAnsi="Garamond" w:cs="Arial"/>
          <w:color w:val="auto"/>
          <w:sz w:val="24"/>
          <w:szCs w:val="24"/>
        </w:rPr>
        <w:t xml:space="preserve">de </w:t>
      </w:r>
      <w:r w:rsidR="00A207EB" w:rsidRPr="003A1174">
        <w:rPr>
          <w:rFonts w:ascii="Garamond" w:hAnsi="Garamond" w:cs="Arial"/>
          <w:color w:val="auto"/>
          <w:sz w:val="24"/>
          <w:szCs w:val="24"/>
        </w:rPr>
        <w:t xml:space="preserve">todas </w:t>
      </w:r>
      <w:r w:rsidRPr="003A1174">
        <w:rPr>
          <w:rFonts w:ascii="Garamond" w:hAnsi="Garamond" w:cs="Arial"/>
          <w:color w:val="auto"/>
          <w:sz w:val="24"/>
          <w:szCs w:val="24"/>
        </w:rPr>
        <w:t xml:space="preserve">as </w:t>
      </w:r>
      <w:r w:rsidR="006C760C" w:rsidRPr="003A1174">
        <w:rPr>
          <w:rFonts w:ascii="Garamond" w:hAnsi="Garamond" w:cs="Arial"/>
          <w:color w:val="auto"/>
          <w:sz w:val="24"/>
          <w:szCs w:val="24"/>
        </w:rPr>
        <w:t>pessoas</w:t>
      </w:r>
      <w:r w:rsidRPr="003A1174">
        <w:rPr>
          <w:rFonts w:ascii="Garamond" w:hAnsi="Garamond" w:cs="Arial"/>
          <w:color w:val="auto"/>
          <w:sz w:val="24"/>
          <w:szCs w:val="24"/>
        </w:rPr>
        <w:t xml:space="preserve"> que preste</w:t>
      </w:r>
      <w:r w:rsidR="00A207EB" w:rsidRPr="003A1174">
        <w:rPr>
          <w:rFonts w:ascii="Garamond" w:hAnsi="Garamond" w:cs="Arial"/>
          <w:color w:val="auto"/>
          <w:sz w:val="24"/>
          <w:szCs w:val="24"/>
        </w:rPr>
        <w:t xml:space="preserve">m </w:t>
      </w:r>
      <w:r w:rsidR="00B531F2" w:rsidRPr="003A1174">
        <w:rPr>
          <w:rFonts w:ascii="Garamond" w:hAnsi="Garamond" w:cs="Arial"/>
          <w:color w:val="auto"/>
          <w:sz w:val="24"/>
          <w:szCs w:val="24"/>
        </w:rPr>
        <w:t>serviço</w:t>
      </w:r>
      <w:r w:rsidRPr="003A1174">
        <w:rPr>
          <w:rFonts w:ascii="Garamond" w:hAnsi="Garamond" w:cs="Arial"/>
          <w:color w:val="auto"/>
          <w:sz w:val="24"/>
          <w:szCs w:val="24"/>
        </w:rPr>
        <w:t>s e</w:t>
      </w:r>
      <w:r w:rsidR="00A207EB" w:rsidRPr="003A1174">
        <w:rPr>
          <w:rFonts w:ascii="Garamond" w:hAnsi="Garamond" w:cs="Arial"/>
          <w:color w:val="auto"/>
          <w:sz w:val="24"/>
          <w:szCs w:val="24"/>
        </w:rPr>
        <w:t>m</w:t>
      </w:r>
      <w:r w:rsidRPr="003A1174">
        <w:rPr>
          <w:rFonts w:ascii="Garamond" w:hAnsi="Garamond" w:cs="Arial"/>
          <w:color w:val="auto"/>
          <w:sz w:val="24"/>
          <w:szCs w:val="24"/>
        </w:rPr>
        <w:t xml:space="preserve"> </w:t>
      </w:r>
      <w:r w:rsidR="00FB09CA" w:rsidRPr="003A1174">
        <w:rPr>
          <w:rFonts w:ascii="Garamond" w:hAnsi="Garamond" w:cs="Arial"/>
          <w:color w:val="auto"/>
          <w:sz w:val="24"/>
          <w:szCs w:val="24"/>
        </w:rPr>
        <w:t>tribunais</w:t>
      </w:r>
      <w:r w:rsidRPr="003A1174">
        <w:rPr>
          <w:rFonts w:ascii="Garamond" w:hAnsi="Garamond" w:cs="Arial"/>
          <w:color w:val="auto"/>
          <w:sz w:val="24"/>
          <w:szCs w:val="24"/>
        </w:rPr>
        <w:t xml:space="preserve"> de</w:t>
      </w:r>
      <w:r w:rsidR="00A207EB" w:rsidRPr="003A1174">
        <w:rPr>
          <w:rFonts w:ascii="Garamond" w:hAnsi="Garamond" w:cs="Arial"/>
          <w:color w:val="auto"/>
          <w:sz w:val="24"/>
          <w:szCs w:val="24"/>
        </w:rPr>
        <w:t>s</w:t>
      </w:r>
      <w:r w:rsidRPr="003A1174">
        <w:rPr>
          <w:rFonts w:ascii="Garamond" w:hAnsi="Garamond" w:cs="Arial"/>
          <w:color w:val="auto"/>
          <w:sz w:val="24"/>
          <w:szCs w:val="24"/>
        </w:rPr>
        <w:t xml:space="preserve">sas </w:t>
      </w:r>
      <w:r w:rsidR="00A207EB" w:rsidRPr="003A1174">
        <w:rPr>
          <w:rFonts w:ascii="Garamond" w:hAnsi="Garamond" w:cs="Arial"/>
          <w:color w:val="auto"/>
          <w:sz w:val="24"/>
          <w:szCs w:val="24"/>
        </w:rPr>
        <w:t>jurisdições</w:t>
      </w:r>
      <w:r w:rsidR="009A08B5">
        <w:rPr>
          <w:rFonts w:ascii="Garamond" w:hAnsi="Garamond" w:cs="Arial"/>
          <w:color w:val="auto"/>
          <w:sz w:val="24"/>
          <w:szCs w:val="24"/>
        </w:rPr>
        <w:t>,</w:t>
      </w:r>
      <w:r w:rsidRPr="003A1174">
        <w:rPr>
          <w:rFonts w:ascii="Garamond" w:hAnsi="Garamond" w:cs="Arial"/>
          <w:color w:val="auto"/>
          <w:sz w:val="24"/>
          <w:szCs w:val="24"/>
        </w:rPr>
        <w:t xml:space="preserve"> a</w:t>
      </w:r>
      <w:r w:rsidR="00A207EB" w:rsidRPr="003A1174">
        <w:rPr>
          <w:rFonts w:ascii="Garamond" w:hAnsi="Garamond" w:cs="Arial"/>
          <w:color w:val="auto"/>
          <w:sz w:val="24"/>
          <w:szCs w:val="24"/>
        </w:rPr>
        <w:t>s</w:t>
      </w:r>
      <w:r w:rsidRPr="003A1174">
        <w:rPr>
          <w:rFonts w:ascii="Garamond" w:hAnsi="Garamond" w:cs="Arial"/>
          <w:color w:val="auto"/>
          <w:sz w:val="24"/>
          <w:szCs w:val="24"/>
        </w:rPr>
        <w:t>sistir</w:t>
      </w:r>
      <w:r w:rsidR="00A207EB" w:rsidRPr="003A1174">
        <w:rPr>
          <w:rFonts w:ascii="Garamond" w:hAnsi="Garamond" w:cs="Arial"/>
          <w:color w:val="auto"/>
          <w:sz w:val="24"/>
          <w:szCs w:val="24"/>
        </w:rPr>
        <w:t xml:space="preserve">em </w:t>
      </w:r>
      <w:r w:rsidRPr="009A08B5">
        <w:rPr>
          <w:rFonts w:ascii="Garamond" w:hAnsi="Garamond" w:cs="Arial"/>
          <w:color w:val="auto"/>
          <w:sz w:val="24"/>
          <w:szCs w:val="24"/>
        </w:rPr>
        <w:t xml:space="preserve">aos </w:t>
      </w:r>
      <w:r w:rsidR="00C15C97" w:rsidRPr="009A08B5">
        <w:rPr>
          <w:rFonts w:ascii="Garamond" w:hAnsi="Garamond" w:cs="Arial"/>
          <w:i/>
          <w:color w:val="auto"/>
          <w:sz w:val="24"/>
          <w:szCs w:val="24"/>
        </w:rPr>
        <w:t>ateliers</w:t>
      </w:r>
      <w:r w:rsidRPr="003A1174">
        <w:rPr>
          <w:rFonts w:ascii="Garamond" w:hAnsi="Garamond" w:cs="Arial"/>
          <w:color w:val="auto"/>
          <w:sz w:val="24"/>
          <w:szCs w:val="24"/>
        </w:rPr>
        <w:t xml:space="preserve"> que</w:t>
      </w:r>
      <w:r w:rsidR="00A207EB" w:rsidRPr="003A1174">
        <w:rPr>
          <w:rFonts w:ascii="Garamond" w:hAnsi="Garamond" w:cs="Arial"/>
          <w:color w:val="auto"/>
          <w:sz w:val="24"/>
          <w:szCs w:val="24"/>
        </w:rPr>
        <w:t xml:space="preserve"> promovem </w:t>
      </w:r>
      <w:r w:rsidRPr="003A1174">
        <w:rPr>
          <w:rFonts w:ascii="Garamond" w:hAnsi="Garamond" w:cs="Arial"/>
          <w:color w:val="auto"/>
          <w:sz w:val="24"/>
          <w:szCs w:val="24"/>
        </w:rPr>
        <w:t xml:space="preserve">a </w:t>
      </w:r>
      <w:r w:rsidR="00D96FD0" w:rsidRPr="003A1174">
        <w:rPr>
          <w:rFonts w:ascii="Garamond" w:hAnsi="Garamond" w:cs="Arial"/>
          <w:color w:val="auto"/>
          <w:sz w:val="24"/>
          <w:szCs w:val="24"/>
        </w:rPr>
        <w:t>perspetiva</w:t>
      </w:r>
      <w:r w:rsidR="00A207EB" w:rsidRPr="003A1174">
        <w:rPr>
          <w:rFonts w:ascii="Garamond" w:hAnsi="Garamond" w:cs="Arial"/>
          <w:color w:val="auto"/>
          <w:sz w:val="24"/>
          <w:szCs w:val="24"/>
        </w:rPr>
        <w:t xml:space="preserve"> de género elaborada</w:t>
      </w:r>
      <w:r w:rsidRPr="003A1174">
        <w:rPr>
          <w:rFonts w:ascii="Garamond" w:hAnsi="Garamond" w:cs="Arial"/>
          <w:color w:val="auto"/>
          <w:sz w:val="24"/>
          <w:szCs w:val="24"/>
        </w:rPr>
        <w:t xml:space="preserve">s </w:t>
      </w:r>
      <w:r w:rsidR="00275092" w:rsidRPr="003A1174">
        <w:rPr>
          <w:rFonts w:ascii="Garamond" w:hAnsi="Garamond" w:cs="Arial"/>
          <w:color w:val="auto"/>
          <w:sz w:val="24"/>
          <w:szCs w:val="24"/>
        </w:rPr>
        <w:t>pel</w:t>
      </w:r>
      <w:r w:rsidR="003069B4">
        <w:rPr>
          <w:rFonts w:ascii="Garamond" w:hAnsi="Garamond" w:cs="Arial"/>
          <w:color w:val="auto"/>
          <w:sz w:val="24"/>
          <w:szCs w:val="24"/>
        </w:rPr>
        <w:t>o tribunal.</w:t>
      </w:r>
    </w:p>
    <w:p w:rsidR="00CA39B2" w:rsidRPr="003A1174" w:rsidRDefault="00A207EB" w:rsidP="008719D4">
      <w:pPr>
        <w:pStyle w:val="Prrafodelista1"/>
        <w:spacing w:before="240" w:after="0" w:line="240" w:lineRule="auto"/>
        <w:jc w:val="both"/>
        <w:rPr>
          <w:rFonts w:ascii="Garamond" w:hAnsi="Garamond" w:cs="Arial"/>
          <w:color w:val="auto"/>
          <w:sz w:val="24"/>
          <w:szCs w:val="24"/>
        </w:rPr>
      </w:pPr>
      <w:r w:rsidRPr="003A1174">
        <w:rPr>
          <w:rFonts w:ascii="Garamond" w:hAnsi="Garamond" w:cs="Arial"/>
          <w:color w:val="auto"/>
          <w:sz w:val="24"/>
          <w:szCs w:val="24"/>
        </w:rPr>
        <w:t>Do mesmo modo, os</w:t>
      </w:r>
      <w:r w:rsidR="00CA39B2" w:rsidRPr="003A1174">
        <w:rPr>
          <w:rFonts w:ascii="Garamond" w:hAnsi="Garamond" w:cs="Arial"/>
          <w:color w:val="auto"/>
          <w:sz w:val="24"/>
          <w:szCs w:val="24"/>
        </w:rPr>
        <w:t xml:space="preserve"> </w:t>
      </w:r>
      <w:r w:rsidR="000350B1" w:rsidRPr="003A1174">
        <w:rPr>
          <w:rFonts w:ascii="Garamond" w:hAnsi="Garamond" w:cs="Arial"/>
          <w:color w:val="auto"/>
          <w:sz w:val="24"/>
          <w:szCs w:val="24"/>
        </w:rPr>
        <w:t>profissionais</w:t>
      </w:r>
      <w:r w:rsidR="00CA39B2" w:rsidRPr="003A1174">
        <w:rPr>
          <w:rFonts w:ascii="Garamond" w:hAnsi="Garamond" w:cs="Arial"/>
          <w:color w:val="auto"/>
          <w:sz w:val="24"/>
          <w:szCs w:val="24"/>
        </w:rPr>
        <w:t xml:space="preserve"> </w:t>
      </w:r>
      <w:r w:rsidR="00E85E59" w:rsidRPr="003A1174">
        <w:rPr>
          <w:rFonts w:ascii="Garamond" w:hAnsi="Garamond" w:cs="Arial"/>
          <w:color w:val="auto"/>
          <w:sz w:val="24"/>
          <w:szCs w:val="24"/>
        </w:rPr>
        <w:t>do</w:t>
      </w:r>
      <w:r w:rsidR="00CA39B2" w:rsidRPr="003A1174">
        <w:rPr>
          <w:rFonts w:ascii="Garamond" w:hAnsi="Garamond" w:cs="Arial"/>
          <w:color w:val="auto"/>
          <w:sz w:val="24"/>
          <w:szCs w:val="24"/>
        </w:rPr>
        <w:t xml:space="preserve"> programa </w:t>
      </w:r>
      <w:r w:rsidR="009A08B5">
        <w:rPr>
          <w:rFonts w:ascii="Garamond" w:hAnsi="Garamond" w:cs="Arial"/>
          <w:color w:val="auto"/>
          <w:sz w:val="24"/>
          <w:szCs w:val="24"/>
        </w:rPr>
        <w:t>«</w:t>
      </w:r>
      <w:r w:rsidRPr="003A1174">
        <w:rPr>
          <w:rFonts w:ascii="Garamond" w:hAnsi="Garamond" w:cs="Arial"/>
          <w:color w:val="auto"/>
          <w:sz w:val="24"/>
          <w:szCs w:val="24"/>
        </w:rPr>
        <w:t>A</w:t>
      </w:r>
      <w:r w:rsidR="00CA39B2" w:rsidRPr="003A1174">
        <w:rPr>
          <w:rFonts w:ascii="Garamond" w:hAnsi="Garamond" w:cs="Arial"/>
          <w:color w:val="auto"/>
          <w:sz w:val="24"/>
          <w:szCs w:val="24"/>
        </w:rPr>
        <w:t xml:space="preserve">s </w:t>
      </w:r>
      <w:r w:rsidR="003F012B" w:rsidRPr="003A1174">
        <w:rPr>
          <w:rFonts w:ascii="Garamond" w:hAnsi="Garamond" w:cs="Arial"/>
          <w:color w:val="auto"/>
          <w:sz w:val="24"/>
          <w:szCs w:val="24"/>
        </w:rPr>
        <w:t>vítima</w:t>
      </w:r>
      <w:r w:rsidR="00CA39B2" w:rsidRPr="003A1174">
        <w:rPr>
          <w:rFonts w:ascii="Garamond" w:hAnsi="Garamond" w:cs="Arial"/>
          <w:color w:val="auto"/>
          <w:sz w:val="24"/>
          <w:szCs w:val="24"/>
        </w:rPr>
        <w:t xml:space="preserve">s </w:t>
      </w:r>
      <w:r w:rsidR="00BB2B00" w:rsidRPr="003A1174">
        <w:rPr>
          <w:rFonts w:ascii="Garamond" w:hAnsi="Garamond" w:cs="Arial"/>
          <w:color w:val="auto"/>
          <w:sz w:val="24"/>
          <w:szCs w:val="24"/>
        </w:rPr>
        <w:t>contra a</w:t>
      </w:r>
      <w:r w:rsidR="00CA39B2" w:rsidRPr="003A1174">
        <w:rPr>
          <w:rFonts w:ascii="Garamond" w:hAnsi="Garamond" w:cs="Arial"/>
          <w:color w:val="auto"/>
          <w:sz w:val="24"/>
          <w:szCs w:val="24"/>
        </w:rPr>
        <w:t xml:space="preserve">s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s</w:t>
      </w:r>
      <w:r w:rsidR="009A08B5">
        <w:rPr>
          <w:rFonts w:ascii="Garamond" w:hAnsi="Garamond" w:cs="Arial"/>
          <w:color w:val="auto"/>
          <w:sz w:val="24"/>
          <w:szCs w:val="24"/>
        </w:rPr>
        <w:t>»</w:t>
      </w:r>
      <w:r w:rsidR="00CA39B2" w:rsidRPr="003A1174">
        <w:rPr>
          <w:rFonts w:ascii="Garamond" w:hAnsi="Garamond" w:cs="Arial"/>
          <w:color w:val="auto"/>
          <w:sz w:val="24"/>
          <w:szCs w:val="24"/>
        </w:rPr>
        <w:t xml:space="preserve">, </w:t>
      </w:r>
      <w:r w:rsidR="00861B54" w:rsidRPr="003A1174">
        <w:rPr>
          <w:rFonts w:ascii="Garamond" w:hAnsi="Garamond" w:cs="Arial"/>
          <w:color w:val="auto"/>
          <w:sz w:val="24"/>
          <w:szCs w:val="24"/>
        </w:rPr>
        <w:t xml:space="preserve">que </w:t>
      </w:r>
      <w:r w:rsidR="00CA39B2" w:rsidRPr="003A1174">
        <w:rPr>
          <w:rFonts w:ascii="Garamond" w:hAnsi="Garamond" w:cs="Arial"/>
          <w:color w:val="auto"/>
          <w:sz w:val="24"/>
          <w:szCs w:val="24"/>
        </w:rPr>
        <w:t>depend</w:t>
      </w:r>
      <w:r w:rsidR="00861B54"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E85E59" w:rsidRPr="003A1174">
        <w:rPr>
          <w:rFonts w:ascii="Garamond" w:hAnsi="Garamond" w:cs="Arial"/>
          <w:color w:val="auto"/>
          <w:sz w:val="24"/>
          <w:szCs w:val="24"/>
        </w:rPr>
        <w:t>do</w:t>
      </w:r>
      <w:r w:rsidR="00CA39B2" w:rsidRPr="003A1174">
        <w:rPr>
          <w:rFonts w:ascii="Garamond" w:hAnsi="Garamond" w:cs="Arial"/>
          <w:color w:val="auto"/>
          <w:sz w:val="24"/>
          <w:szCs w:val="24"/>
        </w:rPr>
        <w:t xml:space="preserve"> </w:t>
      </w:r>
      <w:r w:rsidR="00D77C19" w:rsidRPr="003A1174">
        <w:rPr>
          <w:rFonts w:ascii="Garamond" w:hAnsi="Garamond" w:cs="Arial"/>
          <w:color w:val="auto"/>
          <w:sz w:val="24"/>
          <w:szCs w:val="24"/>
        </w:rPr>
        <w:t>Ministério</w:t>
      </w:r>
      <w:r w:rsidR="00CA39B2" w:rsidRPr="003A1174">
        <w:rPr>
          <w:rFonts w:ascii="Garamond" w:hAnsi="Garamond" w:cs="Arial"/>
          <w:color w:val="auto"/>
          <w:sz w:val="24"/>
          <w:szCs w:val="24"/>
        </w:rPr>
        <w:t xml:space="preserve"> de </w:t>
      </w:r>
      <w:r w:rsidR="00FC1F7F" w:rsidRPr="003A1174">
        <w:rPr>
          <w:rFonts w:ascii="Garamond" w:hAnsi="Garamond" w:cs="Arial"/>
          <w:color w:val="auto"/>
          <w:sz w:val="24"/>
          <w:szCs w:val="24"/>
        </w:rPr>
        <w:t>Justiça</w:t>
      </w:r>
      <w:r w:rsidR="00CA39B2" w:rsidRPr="003A1174">
        <w:rPr>
          <w:rFonts w:ascii="Garamond" w:hAnsi="Garamond" w:cs="Arial"/>
          <w:color w:val="auto"/>
          <w:sz w:val="24"/>
          <w:szCs w:val="24"/>
        </w:rPr>
        <w:t xml:space="preserve"> </w:t>
      </w:r>
      <w:r w:rsidR="000672E8" w:rsidRPr="003A1174">
        <w:rPr>
          <w:rFonts w:ascii="Garamond" w:hAnsi="Garamond" w:cs="Arial"/>
          <w:color w:val="auto"/>
          <w:sz w:val="24"/>
          <w:szCs w:val="24"/>
        </w:rPr>
        <w:t>e</w:t>
      </w:r>
      <w:r w:rsidR="00CA39B2" w:rsidRPr="003A1174">
        <w:rPr>
          <w:rFonts w:ascii="Garamond" w:hAnsi="Garamond" w:cs="Arial"/>
          <w:color w:val="auto"/>
          <w:sz w:val="24"/>
          <w:szCs w:val="24"/>
        </w:rPr>
        <w:t xml:space="preserve"> </w:t>
      </w:r>
      <w:r w:rsidR="00886D6A" w:rsidRPr="003A1174">
        <w:rPr>
          <w:rFonts w:ascii="Garamond" w:hAnsi="Garamond" w:cs="Arial"/>
          <w:color w:val="auto"/>
          <w:sz w:val="24"/>
          <w:szCs w:val="24"/>
        </w:rPr>
        <w:t>Direito</w:t>
      </w:r>
      <w:r w:rsidR="00CA39B2" w:rsidRPr="003A1174">
        <w:rPr>
          <w:rFonts w:ascii="Garamond" w:hAnsi="Garamond" w:cs="Arial"/>
          <w:color w:val="auto"/>
          <w:sz w:val="24"/>
          <w:szCs w:val="24"/>
        </w:rPr>
        <w:t xml:space="preserve">s Humanos da </w:t>
      </w:r>
      <w:r w:rsidR="006E0719" w:rsidRPr="003A1174">
        <w:rPr>
          <w:rFonts w:ascii="Garamond" w:hAnsi="Garamond" w:cs="Arial"/>
          <w:color w:val="auto"/>
          <w:sz w:val="24"/>
          <w:szCs w:val="24"/>
        </w:rPr>
        <w:t>Nação</w:t>
      </w:r>
      <w:r w:rsidR="00CA39B2" w:rsidRPr="003A1174">
        <w:rPr>
          <w:rFonts w:ascii="Garamond" w:hAnsi="Garamond" w:cs="Arial"/>
          <w:color w:val="auto"/>
          <w:sz w:val="24"/>
          <w:szCs w:val="24"/>
        </w:rPr>
        <w:t>, integra</w:t>
      </w:r>
      <w:r w:rsidRPr="003A1174">
        <w:rPr>
          <w:rFonts w:ascii="Garamond" w:hAnsi="Garamond" w:cs="Arial"/>
          <w:color w:val="auto"/>
          <w:sz w:val="24"/>
          <w:szCs w:val="24"/>
        </w:rPr>
        <w:t xml:space="preserve">m o </w:t>
      </w:r>
      <w:r w:rsidR="00D1487B" w:rsidRPr="003A1174">
        <w:rPr>
          <w:rFonts w:ascii="Garamond" w:hAnsi="Garamond" w:cs="Arial"/>
          <w:color w:val="auto"/>
          <w:sz w:val="24"/>
          <w:szCs w:val="24"/>
        </w:rPr>
        <w:t>corpo</w:t>
      </w:r>
      <w:r w:rsidR="00CA39B2" w:rsidRPr="003A1174">
        <w:rPr>
          <w:rFonts w:ascii="Garamond" w:hAnsi="Garamond" w:cs="Arial"/>
          <w:color w:val="auto"/>
          <w:sz w:val="24"/>
          <w:szCs w:val="24"/>
        </w:rPr>
        <w:t xml:space="preserve"> de docentes </w:t>
      </w:r>
      <w:r w:rsidRPr="003A1174">
        <w:rPr>
          <w:rFonts w:ascii="Garamond" w:hAnsi="Garamond" w:cs="Arial"/>
          <w:color w:val="auto"/>
          <w:sz w:val="24"/>
          <w:szCs w:val="24"/>
        </w:rPr>
        <w:t>das matérias obrigatóri</w:t>
      </w:r>
      <w:r w:rsidR="00CA39B2" w:rsidRPr="003A1174">
        <w:rPr>
          <w:rFonts w:ascii="Garamond" w:hAnsi="Garamond" w:cs="Arial"/>
          <w:color w:val="auto"/>
          <w:sz w:val="24"/>
          <w:szCs w:val="24"/>
        </w:rPr>
        <w:t xml:space="preserve">as sobre </w:t>
      </w:r>
      <w:r w:rsidR="000350B1" w:rsidRPr="003A1174">
        <w:rPr>
          <w:rFonts w:ascii="Garamond" w:hAnsi="Garamond" w:cs="Arial"/>
          <w:color w:val="auto"/>
          <w:sz w:val="24"/>
          <w:szCs w:val="24"/>
        </w:rPr>
        <w:t>violência</w:t>
      </w:r>
      <w:r w:rsidR="00CA39B2" w:rsidRPr="003A1174">
        <w:rPr>
          <w:rFonts w:ascii="Garamond" w:hAnsi="Garamond" w:cs="Arial"/>
          <w:color w:val="auto"/>
          <w:sz w:val="24"/>
          <w:szCs w:val="24"/>
        </w:rPr>
        <w:t xml:space="preserve">, </w:t>
      </w:r>
      <w:r w:rsidR="00E85E59" w:rsidRPr="003A1174">
        <w:rPr>
          <w:rFonts w:ascii="Garamond" w:hAnsi="Garamond" w:cs="Arial"/>
          <w:color w:val="auto"/>
          <w:sz w:val="24"/>
          <w:szCs w:val="24"/>
        </w:rPr>
        <w:t>do</w:t>
      </w:r>
      <w:r w:rsidR="00CA39B2" w:rsidRPr="003A1174">
        <w:rPr>
          <w:rFonts w:ascii="Garamond" w:hAnsi="Garamond" w:cs="Arial"/>
          <w:color w:val="auto"/>
          <w:sz w:val="24"/>
          <w:szCs w:val="24"/>
        </w:rPr>
        <w:t xml:space="preserve"> </w:t>
      </w:r>
      <w:r w:rsidR="00462B11" w:rsidRPr="003A1174">
        <w:rPr>
          <w:rFonts w:ascii="Garamond" w:hAnsi="Garamond" w:cs="Arial"/>
          <w:color w:val="auto"/>
          <w:sz w:val="24"/>
          <w:szCs w:val="24"/>
        </w:rPr>
        <w:t>Plano</w:t>
      </w:r>
      <w:r w:rsidR="00CA39B2" w:rsidRPr="003A1174">
        <w:rPr>
          <w:rFonts w:ascii="Garamond" w:hAnsi="Garamond" w:cs="Arial"/>
          <w:color w:val="auto"/>
          <w:sz w:val="24"/>
          <w:szCs w:val="24"/>
        </w:rPr>
        <w:t xml:space="preserve"> de </w:t>
      </w:r>
      <w:r w:rsidR="003F012B" w:rsidRPr="003A1174">
        <w:rPr>
          <w:rFonts w:ascii="Garamond" w:hAnsi="Garamond" w:cs="Arial"/>
          <w:color w:val="auto"/>
          <w:sz w:val="24"/>
          <w:szCs w:val="24"/>
        </w:rPr>
        <w:t>Estudo</w:t>
      </w:r>
      <w:r w:rsidR="00CA39B2" w:rsidRPr="003A1174">
        <w:rPr>
          <w:rFonts w:ascii="Garamond" w:hAnsi="Garamond" w:cs="Arial"/>
          <w:color w:val="auto"/>
          <w:sz w:val="24"/>
          <w:szCs w:val="24"/>
        </w:rPr>
        <w:t xml:space="preserve">s </w:t>
      </w:r>
      <w:r w:rsidR="00497503" w:rsidRPr="003A1174">
        <w:rPr>
          <w:rFonts w:ascii="Garamond" w:hAnsi="Garamond" w:cs="Arial"/>
          <w:color w:val="auto"/>
          <w:sz w:val="24"/>
          <w:szCs w:val="24"/>
        </w:rPr>
        <w:t>das</w:t>
      </w:r>
      <w:r w:rsidR="00CA39B2" w:rsidRPr="003A1174">
        <w:rPr>
          <w:rFonts w:ascii="Garamond" w:hAnsi="Garamond" w:cs="Arial"/>
          <w:color w:val="auto"/>
          <w:sz w:val="24"/>
          <w:szCs w:val="24"/>
        </w:rPr>
        <w:t xml:space="preserve"> Esc</w:t>
      </w:r>
      <w:r w:rsidRPr="003A1174">
        <w:rPr>
          <w:rFonts w:ascii="Garamond" w:hAnsi="Garamond" w:cs="Arial"/>
          <w:color w:val="auto"/>
          <w:sz w:val="24"/>
          <w:szCs w:val="24"/>
        </w:rPr>
        <w:t>o</w:t>
      </w:r>
      <w:r w:rsidR="00CA39B2" w:rsidRPr="003A1174">
        <w:rPr>
          <w:rFonts w:ascii="Garamond" w:hAnsi="Garamond" w:cs="Arial"/>
          <w:color w:val="auto"/>
          <w:sz w:val="24"/>
          <w:szCs w:val="24"/>
        </w:rPr>
        <w:t xml:space="preserve">las da </w:t>
      </w:r>
      <w:r w:rsidR="00CF42A3" w:rsidRPr="003A1174">
        <w:rPr>
          <w:rFonts w:ascii="Garamond" w:hAnsi="Garamond" w:cs="Arial"/>
          <w:color w:val="auto"/>
          <w:sz w:val="24"/>
          <w:szCs w:val="24"/>
        </w:rPr>
        <w:t>Polícia</w:t>
      </w:r>
      <w:r w:rsidR="00CA39B2" w:rsidRPr="003A1174">
        <w:rPr>
          <w:rFonts w:ascii="Garamond" w:hAnsi="Garamond" w:cs="Arial"/>
          <w:color w:val="auto"/>
          <w:sz w:val="24"/>
          <w:szCs w:val="24"/>
        </w:rPr>
        <w:t xml:space="preserve"> Federal. Desde 2009, </w:t>
      </w:r>
      <w:r w:rsidR="002C7510" w:rsidRPr="003A1174">
        <w:rPr>
          <w:rFonts w:ascii="Garamond" w:hAnsi="Garamond" w:cs="Arial"/>
          <w:color w:val="auto"/>
          <w:sz w:val="24"/>
          <w:szCs w:val="24"/>
        </w:rPr>
        <w:t>ano</w:t>
      </w:r>
      <w:r w:rsidR="00861B54" w:rsidRPr="003A1174">
        <w:rPr>
          <w:rFonts w:ascii="Garamond" w:hAnsi="Garamond" w:cs="Arial"/>
          <w:color w:val="auto"/>
          <w:sz w:val="24"/>
          <w:szCs w:val="24"/>
        </w:rPr>
        <w:t xml:space="preserve"> </w:t>
      </w:r>
      <w:r w:rsidR="00CA39B2" w:rsidRPr="003A1174">
        <w:rPr>
          <w:rFonts w:ascii="Garamond" w:hAnsi="Garamond" w:cs="Arial"/>
          <w:color w:val="auto"/>
          <w:sz w:val="24"/>
          <w:szCs w:val="24"/>
        </w:rPr>
        <w:t>e</w:t>
      </w:r>
      <w:r w:rsidRPr="003A1174">
        <w:rPr>
          <w:rFonts w:ascii="Garamond" w:hAnsi="Garamond" w:cs="Arial"/>
          <w:color w:val="auto"/>
          <w:sz w:val="24"/>
          <w:szCs w:val="24"/>
        </w:rPr>
        <w:t xml:space="preserve">m </w:t>
      </w:r>
      <w:r w:rsidR="00CA39B2" w:rsidRPr="003A1174">
        <w:rPr>
          <w:rFonts w:ascii="Garamond" w:hAnsi="Garamond" w:cs="Arial"/>
          <w:color w:val="auto"/>
          <w:sz w:val="24"/>
          <w:szCs w:val="24"/>
        </w:rPr>
        <w:t>que se i</w:t>
      </w:r>
      <w:r w:rsidRPr="003A1174">
        <w:rPr>
          <w:rFonts w:ascii="Garamond" w:hAnsi="Garamond" w:cs="Arial"/>
          <w:color w:val="auto"/>
          <w:sz w:val="24"/>
          <w:szCs w:val="24"/>
        </w:rPr>
        <w:t xml:space="preserve">mplementou a </w:t>
      </w:r>
      <w:r w:rsidR="00EB2F44" w:rsidRPr="003A1174">
        <w:rPr>
          <w:rFonts w:ascii="Garamond" w:hAnsi="Garamond" w:cs="Arial"/>
          <w:color w:val="auto"/>
          <w:sz w:val="24"/>
          <w:szCs w:val="24"/>
        </w:rPr>
        <w:t>obrigatoriedade</w:t>
      </w:r>
      <w:r w:rsidR="00CA39B2" w:rsidRPr="003A1174">
        <w:rPr>
          <w:rFonts w:ascii="Garamond" w:hAnsi="Garamond" w:cs="Arial"/>
          <w:color w:val="auto"/>
          <w:sz w:val="24"/>
          <w:szCs w:val="24"/>
        </w:rPr>
        <w:t xml:space="preserve">, </w:t>
      </w:r>
      <w:r w:rsidRPr="003A1174">
        <w:rPr>
          <w:rFonts w:ascii="Garamond" w:hAnsi="Garamond" w:cs="Arial"/>
          <w:color w:val="auto"/>
          <w:sz w:val="24"/>
          <w:szCs w:val="24"/>
        </w:rPr>
        <w:t xml:space="preserve">até à </w:t>
      </w:r>
      <w:r w:rsidR="0074243F" w:rsidRPr="003A1174">
        <w:rPr>
          <w:rFonts w:ascii="Garamond" w:hAnsi="Garamond" w:cs="Arial"/>
          <w:color w:val="auto"/>
          <w:sz w:val="24"/>
          <w:szCs w:val="24"/>
        </w:rPr>
        <w:t>data</w:t>
      </w:r>
      <w:r w:rsidR="009A08B5">
        <w:rPr>
          <w:rFonts w:ascii="Garamond" w:hAnsi="Garamond" w:cs="Arial"/>
          <w:color w:val="auto"/>
          <w:sz w:val="24"/>
          <w:szCs w:val="24"/>
        </w:rPr>
        <w:t>,</w:t>
      </w:r>
      <w:r w:rsidR="00CA39B2" w:rsidRPr="003A1174">
        <w:rPr>
          <w:rFonts w:ascii="Garamond" w:hAnsi="Garamond" w:cs="Arial"/>
          <w:color w:val="auto"/>
          <w:sz w:val="24"/>
          <w:szCs w:val="24"/>
        </w:rPr>
        <w:t xml:space="preserve"> </w:t>
      </w:r>
      <w:r w:rsidR="009A08B5">
        <w:rPr>
          <w:rFonts w:ascii="Garamond" w:hAnsi="Garamond" w:cs="Arial"/>
          <w:color w:val="auto"/>
          <w:sz w:val="24"/>
          <w:szCs w:val="24"/>
        </w:rPr>
        <w:t>formaram</w:t>
      </w:r>
      <w:r w:rsidRPr="003A1174">
        <w:rPr>
          <w:rFonts w:ascii="Garamond" w:hAnsi="Garamond" w:cs="Arial"/>
          <w:color w:val="auto"/>
          <w:sz w:val="24"/>
          <w:szCs w:val="24"/>
        </w:rPr>
        <w:t xml:space="preserve">-se </w:t>
      </w:r>
      <w:r w:rsidR="00CA39B2" w:rsidRPr="003A1174">
        <w:rPr>
          <w:rFonts w:ascii="Garamond" w:hAnsi="Garamond" w:cs="Arial"/>
          <w:color w:val="auto"/>
          <w:sz w:val="24"/>
          <w:szCs w:val="24"/>
        </w:rPr>
        <w:t>19 mil agentes.</w:t>
      </w:r>
    </w:p>
    <w:p w:rsidR="00F945B2" w:rsidRPr="003A1174" w:rsidRDefault="00C30647" w:rsidP="008719D4">
      <w:pPr>
        <w:pStyle w:val="Ttulo3"/>
        <w:spacing w:line="240" w:lineRule="auto"/>
        <w:rPr>
          <w:rFonts w:ascii="Garamond" w:hAnsi="Garamond"/>
          <w:sz w:val="24"/>
          <w:szCs w:val="24"/>
        </w:rPr>
      </w:pPr>
      <w:bookmarkStart w:id="57" w:name="_Toc421529745"/>
      <w:r w:rsidRPr="003A1174">
        <w:rPr>
          <w:rFonts w:ascii="Garamond" w:hAnsi="Garamond"/>
          <w:sz w:val="24"/>
          <w:szCs w:val="24"/>
        </w:rPr>
        <w:t>Bolívia</w:t>
      </w:r>
      <w:bookmarkEnd w:id="57"/>
    </w:p>
    <w:p w:rsidR="009A08B5" w:rsidRDefault="009A08B5" w:rsidP="008719D4">
      <w:pPr>
        <w:spacing w:before="240" w:line="240" w:lineRule="auto"/>
        <w:jc w:val="both"/>
        <w:rPr>
          <w:rFonts w:ascii="Garamond" w:hAnsi="Garamond" w:cs="Arial"/>
          <w:sz w:val="24"/>
          <w:szCs w:val="24"/>
        </w:rPr>
      </w:pPr>
      <w:r>
        <w:rPr>
          <w:rFonts w:ascii="Garamond" w:hAnsi="Garamond" w:cs="Arial"/>
          <w:sz w:val="24"/>
          <w:szCs w:val="24"/>
        </w:rPr>
        <w:t>Na Bolívia, não existe informação disponível s</w:t>
      </w:r>
      <w:r w:rsidR="009D05C3" w:rsidRPr="003A1174">
        <w:rPr>
          <w:rFonts w:ascii="Garamond" w:hAnsi="Garamond" w:cs="Arial"/>
          <w:sz w:val="24"/>
          <w:szCs w:val="24"/>
        </w:rPr>
        <w:t>obre danos</w:t>
      </w:r>
      <w:r w:rsidR="00F945B2" w:rsidRPr="003A1174">
        <w:rPr>
          <w:rFonts w:ascii="Garamond" w:hAnsi="Garamond" w:cs="Arial"/>
          <w:sz w:val="24"/>
          <w:szCs w:val="24"/>
        </w:rPr>
        <w:t xml:space="preserve"> psicológicos</w:t>
      </w:r>
      <w:r>
        <w:rPr>
          <w:rFonts w:ascii="Garamond" w:hAnsi="Garamond" w:cs="Arial"/>
          <w:sz w:val="24"/>
          <w:szCs w:val="24"/>
        </w:rPr>
        <w:t>.</w:t>
      </w:r>
      <w:r w:rsidR="00F945B2" w:rsidRPr="003A1174">
        <w:rPr>
          <w:rFonts w:ascii="Garamond" w:hAnsi="Garamond" w:cs="Arial"/>
          <w:sz w:val="24"/>
          <w:szCs w:val="24"/>
        </w:rPr>
        <w:t xml:space="preserve"> </w:t>
      </w:r>
    </w:p>
    <w:p w:rsidR="00F945B2" w:rsidRPr="003A1174" w:rsidRDefault="001F2F8B" w:rsidP="008719D4">
      <w:pPr>
        <w:spacing w:before="240" w:line="240" w:lineRule="auto"/>
        <w:jc w:val="both"/>
        <w:rPr>
          <w:rFonts w:ascii="Garamond" w:hAnsi="Garamond" w:cs="Arial"/>
          <w:sz w:val="24"/>
          <w:szCs w:val="24"/>
        </w:rPr>
      </w:pPr>
      <w:r w:rsidRPr="003A1174">
        <w:rPr>
          <w:rFonts w:ascii="Garamond" w:hAnsi="Garamond" w:cs="Arial"/>
          <w:sz w:val="24"/>
          <w:szCs w:val="24"/>
        </w:rPr>
        <w:t>Re</w:t>
      </w:r>
      <w:r w:rsidR="00A207EB" w:rsidRPr="003A1174">
        <w:rPr>
          <w:rFonts w:ascii="Garamond" w:hAnsi="Garamond" w:cs="Arial"/>
          <w:sz w:val="24"/>
          <w:szCs w:val="24"/>
        </w:rPr>
        <w:t xml:space="preserve">lativamente ao </w:t>
      </w:r>
      <w:r w:rsidR="002D1021" w:rsidRPr="003A1174">
        <w:rPr>
          <w:rFonts w:ascii="Garamond" w:hAnsi="Garamond" w:cs="Arial"/>
          <w:sz w:val="24"/>
          <w:szCs w:val="24"/>
        </w:rPr>
        <w:t>estabelecimento</w:t>
      </w:r>
      <w:r w:rsidR="00F945B2" w:rsidRPr="003A1174">
        <w:rPr>
          <w:rFonts w:ascii="Garamond" w:hAnsi="Garamond" w:cs="Arial"/>
          <w:sz w:val="24"/>
          <w:szCs w:val="24"/>
        </w:rPr>
        <w:t xml:space="preserve"> </w:t>
      </w:r>
      <w:r w:rsidR="000672E8" w:rsidRPr="003A1174">
        <w:rPr>
          <w:rFonts w:ascii="Garamond" w:hAnsi="Garamond" w:cs="Arial"/>
          <w:sz w:val="24"/>
          <w:szCs w:val="24"/>
        </w:rPr>
        <w:t>e</w:t>
      </w:r>
      <w:r w:rsidR="00F945B2" w:rsidRPr="003A1174">
        <w:rPr>
          <w:rFonts w:ascii="Garamond" w:hAnsi="Garamond" w:cs="Arial"/>
          <w:sz w:val="24"/>
          <w:szCs w:val="24"/>
        </w:rPr>
        <w:t xml:space="preserve"> </w:t>
      </w:r>
      <w:r w:rsidR="0091213A" w:rsidRPr="003A1174">
        <w:rPr>
          <w:rFonts w:ascii="Garamond" w:hAnsi="Garamond" w:cs="Arial"/>
          <w:sz w:val="24"/>
          <w:szCs w:val="24"/>
        </w:rPr>
        <w:t>efetividade</w:t>
      </w:r>
      <w:r w:rsidR="00F945B2" w:rsidRPr="003A1174">
        <w:rPr>
          <w:rFonts w:ascii="Garamond" w:hAnsi="Garamond" w:cs="Arial"/>
          <w:sz w:val="24"/>
          <w:szCs w:val="24"/>
        </w:rPr>
        <w:t xml:space="preserve"> </w:t>
      </w:r>
      <w:r w:rsidR="00497503" w:rsidRPr="003A1174">
        <w:rPr>
          <w:rFonts w:ascii="Garamond" w:hAnsi="Garamond" w:cs="Arial"/>
          <w:sz w:val="24"/>
          <w:szCs w:val="24"/>
        </w:rPr>
        <w:t>d</w:t>
      </w:r>
      <w:r w:rsidR="009A08B5">
        <w:rPr>
          <w:rFonts w:ascii="Garamond" w:hAnsi="Garamond" w:cs="Arial"/>
          <w:sz w:val="24"/>
          <w:szCs w:val="24"/>
        </w:rPr>
        <w:t>e</w:t>
      </w:r>
      <w:r w:rsidR="00F945B2" w:rsidRPr="003A1174">
        <w:rPr>
          <w:rFonts w:ascii="Garamond" w:hAnsi="Garamond" w:cs="Arial"/>
          <w:sz w:val="24"/>
          <w:szCs w:val="24"/>
        </w:rPr>
        <w:t xml:space="preserve"> medidas de </w:t>
      </w:r>
      <w:r w:rsidR="00886D6A" w:rsidRPr="003A1174">
        <w:rPr>
          <w:rFonts w:ascii="Garamond" w:hAnsi="Garamond" w:cs="Arial"/>
          <w:sz w:val="24"/>
          <w:szCs w:val="24"/>
        </w:rPr>
        <w:t>proteção</w:t>
      </w:r>
      <w:r w:rsidR="00F945B2" w:rsidRPr="003A1174">
        <w:rPr>
          <w:rFonts w:ascii="Garamond" w:hAnsi="Garamond" w:cs="Arial"/>
          <w:sz w:val="24"/>
          <w:szCs w:val="24"/>
        </w:rPr>
        <w:t xml:space="preserve"> </w:t>
      </w:r>
      <w:r w:rsidR="00A207EB" w:rsidRPr="003A1174">
        <w:rPr>
          <w:rFonts w:ascii="Garamond" w:hAnsi="Garamond" w:cs="Arial"/>
          <w:sz w:val="24"/>
          <w:szCs w:val="24"/>
        </w:rPr>
        <w:t xml:space="preserve">e </w:t>
      </w:r>
      <w:r w:rsidR="00CF4C35" w:rsidRPr="003A1174">
        <w:rPr>
          <w:rFonts w:ascii="Garamond" w:hAnsi="Garamond" w:cs="Arial"/>
          <w:sz w:val="24"/>
          <w:szCs w:val="24"/>
        </w:rPr>
        <w:t>reabilitação</w:t>
      </w:r>
      <w:r w:rsidR="00F945B2" w:rsidRPr="003A1174">
        <w:rPr>
          <w:rFonts w:ascii="Garamond" w:hAnsi="Garamond" w:cs="Arial"/>
          <w:sz w:val="24"/>
          <w:szCs w:val="24"/>
        </w:rPr>
        <w:t>,</w:t>
      </w:r>
      <w:r w:rsidR="00A207EB" w:rsidRPr="003A1174">
        <w:rPr>
          <w:rFonts w:ascii="Garamond" w:hAnsi="Garamond" w:cs="Arial"/>
          <w:sz w:val="24"/>
          <w:szCs w:val="24"/>
        </w:rPr>
        <w:t xml:space="preserve"> apesar de</w:t>
      </w:r>
      <w:r w:rsidR="009A08B5">
        <w:rPr>
          <w:rFonts w:ascii="Garamond" w:hAnsi="Garamond" w:cs="Arial"/>
          <w:sz w:val="24"/>
          <w:szCs w:val="24"/>
        </w:rPr>
        <w:t>,</w:t>
      </w:r>
      <w:r w:rsidR="00A207EB" w:rsidRPr="003A1174">
        <w:rPr>
          <w:rFonts w:ascii="Garamond" w:hAnsi="Garamond" w:cs="Arial"/>
          <w:sz w:val="24"/>
          <w:szCs w:val="24"/>
        </w:rPr>
        <w:t xml:space="preserve"> </w:t>
      </w:r>
      <w:r w:rsidR="00CD707D" w:rsidRPr="003A1174">
        <w:rPr>
          <w:rFonts w:ascii="Garamond" w:hAnsi="Garamond" w:cs="Arial"/>
          <w:sz w:val="24"/>
          <w:szCs w:val="24"/>
        </w:rPr>
        <w:t>alguma</w:t>
      </w:r>
      <w:r w:rsidR="00F945B2" w:rsidRPr="003A1174">
        <w:rPr>
          <w:rFonts w:ascii="Garamond" w:hAnsi="Garamond" w:cs="Arial"/>
          <w:sz w:val="24"/>
          <w:szCs w:val="24"/>
        </w:rPr>
        <w:t xml:space="preserve">s </w:t>
      </w:r>
      <w:r w:rsidR="003F012B" w:rsidRPr="003A1174">
        <w:rPr>
          <w:rFonts w:ascii="Garamond" w:hAnsi="Garamond" w:cs="Arial"/>
          <w:sz w:val="24"/>
          <w:szCs w:val="24"/>
        </w:rPr>
        <w:t>vítima</w:t>
      </w:r>
      <w:r w:rsidR="00F945B2" w:rsidRPr="003A1174">
        <w:rPr>
          <w:rFonts w:ascii="Garamond" w:hAnsi="Garamond" w:cs="Arial"/>
          <w:sz w:val="24"/>
          <w:szCs w:val="24"/>
        </w:rPr>
        <w:t>s</w:t>
      </w:r>
      <w:r w:rsidR="009A08B5">
        <w:rPr>
          <w:rFonts w:ascii="Garamond" w:hAnsi="Garamond" w:cs="Arial"/>
          <w:sz w:val="24"/>
          <w:szCs w:val="24"/>
        </w:rPr>
        <w:t>,</w:t>
      </w:r>
      <w:r w:rsidR="00F945B2" w:rsidRPr="003A1174">
        <w:rPr>
          <w:rFonts w:ascii="Garamond" w:hAnsi="Garamond" w:cs="Arial"/>
          <w:sz w:val="24"/>
          <w:szCs w:val="24"/>
        </w:rPr>
        <w:t xml:space="preserve"> </w:t>
      </w:r>
      <w:r w:rsidR="00D75A07" w:rsidRPr="003A1174">
        <w:rPr>
          <w:rFonts w:ascii="Garamond" w:hAnsi="Garamond" w:cs="Arial"/>
          <w:sz w:val="24"/>
          <w:szCs w:val="24"/>
        </w:rPr>
        <w:t>s</w:t>
      </w:r>
      <w:r w:rsidR="00A207EB" w:rsidRPr="003A1174">
        <w:rPr>
          <w:rFonts w:ascii="Garamond" w:hAnsi="Garamond" w:cs="Arial"/>
          <w:sz w:val="24"/>
          <w:szCs w:val="24"/>
        </w:rPr>
        <w:t xml:space="preserve">erem enviadas para </w:t>
      </w:r>
      <w:r w:rsidR="00FB09CA" w:rsidRPr="003A1174">
        <w:rPr>
          <w:rFonts w:ascii="Garamond" w:hAnsi="Garamond" w:cs="Arial"/>
          <w:sz w:val="24"/>
          <w:szCs w:val="24"/>
        </w:rPr>
        <w:t>instância</w:t>
      </w:r>
      <w:r w:rsidR="00F945B2" w:rsidRPr="003A1174">
        <w:rPr>
          <w:rFonts w:ascii="Garamond" w:hAnsi="Garamond" w:cs="Arial"/>
          <w:sz w:val="24"/>
          <w:szCs w:val="24"/>
        </w:rPr>
        <w:t xml:space="preserve">s de </w:t>
      </w:r>
      <w:r w:rsidR="00CF4C35" w:rsidRPr="003A1174">
        <w:rPr>
          <w:rFonts w:ascii="Garamond" w:hAnsi="Garamond" w:cs="Arial"/>
          <w:sz w:val="24"/>
          <w:szCs w:val="24"/>
        </w:rPr>
        <w:t>reabilitação</w:t>
      </w:r>
      <w:r w:rsidR="00F945B2" w:rsidRPr="003A1174">
        <w:rPr>
          <w:rFonts w:ascii="Garamond" w:hAnsi="Garamond" w:cs="Arial"/>
          <w:sz w:val="24"/>
          <w:szCs w:val="24"/>
        </w:rPr>
        <w:t xml:space="preserve">, </w:t>
      </w:r>
      <w:r w:rsidR="00282E09">
        <w:rPr>
          <w:rFonts w:ascii="Garamond" w:hAnsi="Garamond" w:cs="Arial"/>
          <w:sz w:val="24"/>
          <w:szCs w:val="24"/>
        </w:rPr>
        <w:t>esta situação</w:t>
      </w:r>
      <w:r w:rsidR="00A207EB" w:rsidRPr="003A1174">
        <w:rPr>
          <w:rFonts w:ascii="Garamond" w:hAnsi="Garamond" w:cs="Arial"/>
          <w:sz w:val="24"/>
          <w:szCs w:val="24"/>
        </w:rPr>
        <w:t xml:space="preserve"> não é </w:t>
      </w:r>
      <w:r w:rsidR="00F945B2" w:rsidRPr="003A1174">
        <w:rPr>
          <w:rFonts w:ascii="Garamond" w:hAnsi="Garamond" w:cs="Arial"/>
          <w:sz w:val="24"/>
          <w:szCs w:val="24"/>
        </w:rPr>
        <w:t>sistemátic</w:t>
      </w:r>
      <w:r w:rsidR="00282E09">
        <w:rPr>
          <w:rFonts w:ascii="Garamond" w:hAnsi="Garamond" w:cs="Arial"/>
          <w:sz w:val="24"/>
          <w:szCs w:val="24"/>
        </w:rPr>
        <w:t>a</w:t>
      </w:r>
      <w:r w:rsidR="00F945B2" w:rsidRPr="003A1174">
        <w:rPr>
          <w:rFonts w:ascii="Garamond" w:hAnsi="Garamond" w:cs="Arial"/>
          <w:sz w:val="24"/>
          <w:szCs w:val="24"/>
        </w:rPr>
        <w:t xml:space="preserve"> </w:t>
      </w:r>
      <w:r w:rsidR="000672E8" w:rsidRPr="003A1174">
        <w:rPr>
          <w:rFonts w:ascii="Garamond" w:hAnsi="Garamond" w:cs="Arial"/>
          <w:sz w:val="24"/>
          <w:szCs w:val="24"/>
        </w:rPr>
        <w:t>e</w:t>
      </w:r>
      <w:r w:rsidR="008D32E5" w:rsidRPr="003A1174">
        <w:rPr>
          <w:rFonts w:ascii="Garamond" w:hAnsi="Garamond" w:cs="Arial"/>
          <w:sz w:val="24"/>
          <w:szCs w:val="24"/>
        </w:rPr>
        <w:t xml:space="preserve"> </w:t>
      </w:r>
      <w:r w:rsidR="00A207EB" w:rsidRPr="003A1174">
        <w:rPr>
          <w:rFonts w:ascii="Garamond" w:hAnsi="Garamond" w:cs="Arial"/>
          <w:sz w:val="24"/>
          <w:szCs w:val="24"/>
        </w:rPr>
        <w:t xml:space="preserve">apenas </w:t>
      </w:r>
      <w:r w:rsidR="008D32E5" w:rsidRPr="003A1174">
        <w:rPr>
          <w:rFonts w:ascii="Garamond" w:hAnsi="Garamond" w:cs="Arial"/>
          <w:sz w:val="24"/>
          <w:szCs w:val="24"/>
        </w:rPr>
        <w:t xml:space="preserve">se limita a recomendar </w:t>
      </w:r>
      <w:r w:rsidR="00A207EB" w:rsidRPr="003A1174">
        <w:rPr>
          <w:rFonts w:ascii="Garamond" w:hAnsi="Garamond" w:cs="Arial"/>
          <w:sz w:val="24"/>
          <w:szCs w:val="24"/>
        </w:rPr>
        <w:t xml:space="preserve">o </w:t>
      </w:r>
      <w:r w:rsidR="001C2738" w:rsidRPr="003A1174">
        <w:rPr>
          <w:rFonts w:ascii="Garamond" w:hAnsi="Garamond" w:cs="Arial"/>
          <w:sz w:val="24"/>
          <w:szCs w:val="24"/>
        </w:rPr>
        <w:t>tratamento</w:t>
      </w:r>
      <w:r w:rsidR="008D32E5" w:rsidRPr="003A1174">
        <w:rPr>
          <w:rFonts w:ascii="Garamond" w:hAnsi="Garamond" w:cs="Arial"/>
          <w:sz w:val="24"/>
          <w:szCs w:val="24"/>
        </w:rPr>
        <w:t xml:space="preserve"> de </w:t>
      </w:r>
      <w:r w:rsidR="00CF4C35" w:rsidRPr="003A1174">
        <w:rPr>
          <w:rFonts w:ascii="Garamond" w:hAnsi="Garamond" w:cs="Arial"/>
          <w:sz w:val="24"/>
          <w:szCs w:val="24"/>
        </w:rPr>
        <w:t>reabilitação</w:t>
      </w:r>
      <w:r w:rsidR="008D32E5" w:rsidRPr="003A1174">
        <w:rPr>
          <w:rFonts w:ascii="Garamond" w:hAnsi="Garamond" w:cs="Arial"/>
          <w:sz w:val="24"/>
          <w:szCs w:val="24"/>
        </w:rPr>
        <w:t xml:space="preserve"> </w:t>
      </w:r>
      <w:r w:rsidR="00BB2B00" w:rsidRPr="003A1174">
        <w:rPr>
          <w:rFonts w:ascii="Garamond" w:hAnsi="Garamond" w:cs="Arial"/>
          <w:sz w:val="24"/>
          <w:szCs w:val="24"/>
        </w:rPr>
        <w:t>à</w:t>
      </w:r>
      <w:r w:rsidR="008D32E5" w:rsidRPr="003A1174">
        <w:rPr>
          <w:rFonts w:ascii="Garamond" w:hAnsi="Garamond" w:cs="Arial"/>
          <w:sz w:val="24"/>
          <w:szCs w:val="24"/>
        </w:rPr>
        <w:t xml:space="preserve"> </w:t>
      </w:r>
      <w:r w:rsidR="003F012B" w:rsidRPr="003A1174">
        <w:rPr>
          <w:rFonts w:ascii="Garamond" w:hAnsi="Garamond" w:cs="Arial"/>
          <w:sz w:val="24"/>
          <w:szCs w:val="24"/>
        </w:rPr>
        <w:t>vítima</w:t>
      </w:r>
      <w:r w:rsidR="00F945B2" w:rsidRPr="003A1174">
        <w:rPr>
          <w:rFonts w:ascii="Garamond" w:hAnsi="Garamond" w:cs="Arial"/>
          <w:sz w:val="24"/>
          <w:szCs w:val="24"/>
        </w:rPr>
        <w:t xml:space="preserve"> o</w:t>
      </w:r>
      <w:r w:rsidR="00A207EB" w:rsidRPr="003A1174">
        <w:rPr>
          <w:rFonts w:ascii="Garamond" w:hAnsi="Garamond" w:cs="Arial"/>
          <w:sz w:val="24"/>
          <w:szCs w:val="24"/>
        </w:rPr>
        <w:t>u</w:t>
      </w:r>
      <w:r w:rsidR="00F945B2" w:rsidRPr="003A1174">
        <w:rPr>
          <w:rFonts w:ascii="Garamond" w:hAnsi="Garamond" w:cs="Arial"/>
          <w:sz w:val="24"/>
          <w:szCs w:val="24"/>
        </w:rPr>
        <w:t xml:space="preserve"> </w:t>
      </w:r>
      <w:r w:rsidR="00282E09">
        <w:rPr>
          <w:rFonts w:ascii="Garamond" w:hAnsi="Garamond" w:cs="Arial"/>
          <w:sz w:val="24"/>
          <w:szCs w:val="24"/>
        </w:rPr>
        <w:t xml:space="preserve">à </w:t>
      </w:r>
      <w:r w:rsidR="008278C4" w:rsidRPr="003A1174">
        <w:rPr>
          <w:rFonts w:ascii="Garamond" w:hAnsi="Garamond" w:cs="Arial"/>
          <w:sz w:val="24"/>
          <w:szCs w:val="24"/>
        </w:rPr>
        <w:t>sobrevivente</w:t>
      </w:r>
      <w:r w:rsidR="00F945B2" w:rsidRPr="003A1174">
        <w:rPr>
          <w:rFonts w:ascii="Garamond" w:hAnsi="Garamond" w:cs="Arial"/>
          <w:sz w:val="24"/>
          <w:szCs w:val="24"/>
        </w:rPr>
        <w:t>.</w:t>
      </w:r>
      <w:r w:rsidR="00A207EB" w:rsidRPr="003A1174">
        <w:rPr>
          <w:rFonts w:ascii="Garamond" w:hAnsi="Garamond" w:cs="Arial"/>
          <w:sz w:val="24"/>
          <w:szCs w:val="24"/>
        </w:rPr>
        <w:t xml:space="preserve"> Também não se dispõe de </w:t>
      </w:r>
      <w:r w:rsidR="00F945B2" w:rsidRPr="003A1174">
        <w:rPr>
          <w:rFonts w:ascii="Garamond" w:hAnsi="Garamond" w:cs="Arial"/>
          <w:sz w:val="24"/>
          <w:szCs w:val="24"/>
        </w:rPr>
        <w:t>a</w:t>
      </w:r>
      <w:r w:rsidR="00B5431B" w:rsidRPr="003A1174">
        <w:rPr>
          <w:rFonts w:ascii="Garamond" w:hAnsi="Garamond" w:cs="Arial"/>
          <w:sz w:val="24"/>
          <w:szCs w:val="24"/>
        </w:rPr>
        <w:t xml:space="preserve">brigos </w:t>
      </w:r>
      <w:r w:rsidR="00F945B2" w:rsidRPr="003A1174">
        <w:rPr>
          <w:rFonts w:ascii="Garamond" w:hAnsi="Garamond" w:cs="Arial"/>
          <w:sz w:val="24"/>
          <w:szCs w:val="24"/>
        </w:rPr>
        <w:t>tempor</w:t>
      </w:r>
      <w:r w:rsidR="00A207EB" w:rsidRPr="003A1174">
        <w:rPr>
          <w:rFonts w:ascii="Garamond" w:hAnsi="Garamond" w:cs="Arial"/>
          <w:sz w:val="24"/>
          <w:szCs w:val="24"/>
        </w:rPr>
        <w:t>ários,</w:t>
      </w:r>
      <w:r w:rsidR="00F945B2" w:rsidRPr="003A1174">
        <w:rPr>
          <w:rFonts w:ascii="Garamond" w:hAnsi="Garamond" w:cs="Arial"/>
          <w:sz w:val="24"/>
          <w:szCs w:val="24"/>
        </w:rPr>
        <w:t xml:space="preserve"> </w:t>
      </w:r>
      <w:r w:rsidR="00A207EB" w:rsidRPr="003A1174">
        <w:rPr>
          <w:rFonts w:ascii="Garamond" w:hAnsi="Garamond" w:cs="Arial"/>
          <w:sz w:val="24"/>
          <w:szCs w:val="24"/>
        </w:rPr>
        <w:t xml:space="preserve">apenas dois em </w:t>
      </w:r>
      <w:r w:rsidR="00F945B2" w:rsidRPr="003A1174">
        <w:rPr>
          <w:rFonts w:ascii="Garamond" w:hAnsi="Garamond" w:cs="Arial"/>
          <w:sz w:val="24"/>
          <w:szCs w:val="24"/>
        </w:rPr>
        <w:t xml:space="preserve">todo </w:t>
      </w:r>
      <w:r w:rsidR="00A207EB" w:rsidRPr="003A1174">
        <w:rPr>
          <w:rFonts w:ascii="Garamond" w:hAnsi="Garamond" w:cs="Arial"/>
          <w:sz w:val="24"/>
          <w:szCs w:val="24"/>
        </w:rPr>
        <w:t xml:space="preserve">o </w:t>
      </w:r>
      <w:r w:rsidR="00F945B2" w:rsidRPr="003A1174">
        <w:rPr>
          <w:rFonts w:ascii="Garamond" w:hAnsi="Garamond" w:cs="Arial"/>
          <w:sz w:val="24"/>
          <w:szCs w:val="24"/>
        </w:rPr>
        <w:t xml:space="preserve">país. </w:t>
      </w:r>
      <w:r w:rsidR="00A207EB" w:rsidRPr="003A1174">
        <w:rPr>
          <w:rFonts w:ascii="Garamond" w:hAnsi="Garamond" w:cs="Arial"/>
          <w:sz w:val="24"/>
          <w:szCs w:val="24"/>
        </w:rPr>
        <w:t xml:space="preserve">De resto, não se </w:t>
      </w:r>
      <w:r w:rsidR="00F945B2" w:rsidRPr="003A1174">
        <w:rPr>
          <w:rFonts w:ascii="Garamond" w:hAnsi="Garamond" w:cs="Arial"/>
          <w:sz w:val="24"/>
          <w:szCs w:val="24"/>
        </w:rPr>
        <w:t>e</w:t>
      </w:r>
      <w:r w:rsidR="00A207EB" w:rsidRPr="003A1174">
        <w:rPr>
          <w:rFonts w:ascii="Garamond" w:hAnsi="Garamond" w:cs="Arial"/>
          <w:sz w:val="24"/>
          <w:szCs w:val="24"/>
        </w:rPr>
        <w:t>fetuou nenhuma</w:t>
      </w:r>
      <w:r w:rsidR="00F945B2" w:rsidRPr="003A1174">
        <w:rPr>
          <w:rFonts w:ascii="Garamond" w:hAnsi="Garamond" w:cs="Arial"/>
          <w:sz w:val="24"/>
          <w:szCs w:val="24"/>
        </w:rPr>
        <w:t xml:space="preserve"> </w:t>
      </w:r>
      <w:r w:rsidR="00886D6A" w:rsidRPr="003A1174">
        <w:rPr>
          <w:rFonts w:ascii="Garamond" w:hAnsi="Garamond" w:cs="Arial"/>
          <w:sz w:val="24"/>
          <w:szCs w:val="24"/>
        </w:rPr>
        <w:t>investigação</w:t>
      </w:r>
      <w:r w:rsidR="00F945B2" w:rsidRPr="003A1174">
        <w:rPr>
          <w:rFonts w:ascii="Garamond" w:hAnsi="Garamond" w:cs="Arial"/>
          <w:sz w:val="24"/>
          <w:szCs w:val="24"/>
        </w:rPr>
        <w:t xml:space="preserve"> </w:t>
      </w:r>
      <w:r w:rsidR="00A207EB" w:rsidRPr="003A1174">
        <w:rPr>
          <w:rFonts w:ascii="Garamond" w:hAnsi="Garamond" w:cs="Arial"/>
          <w:sz w:val="24"/>
          <w:szCs w:val="24"/>
        </w:rPr>
        <w:t xml:space="preserve">sobre </w:t>
      </w:r>
      <w:r w:rsidR="00F945B2" w:rsidRPr="003A1174">
        <w:rPr>
          <w:rFonts w:ascii="Garamond" w:hAnsi="Garamond" w:cs="Arial"/>
          <w:sz w:val="24"/>
          <w:szCs w:val="24"/>
        </w:rPr>
        <w:t xml:space="preserve">este </w:t>
      </w:r>
      <w:r w:rsidR="005D38DC" w:rsidRPr="003A1174">
        <w:rPr>
          <w:rFonts w:ascii="Garamond" w:hAnsi="Garamond" w:cs="Arial"/>
          <w:sz w:val="24"/>
          <w:szCs w:val="24"/>
        </w:rPr>
        <w:t>aspeto</w:t>
      </w:r>
      <w:r w:rsidR="00F945B2" w:rsidRPr="003A1174">
        <w:rPr>
          <w:rFonts w:ascii="Garamond" w:hAnsi="Garamond" w:cs="Arial"/>
          <w:sz w:val="24"/>
          <w:szCs w:val="24"/>
        </w:rPr>
        <w:t>.</w:t>
      </w:r>
    </w:p>
    <w:p w:rsidR="00F945B2" w:rsidRPr="003A1174" w:rsidRDefault="00A207EB" w:rsidP="00A207EB">
      <w:pPr>
        <w:spacing w:before="240" w:line="240" w:lineRule="auto"/>
        <w:jc w:val="both"/>
        <w:rPr>
          <w:rFonts w:ascii="Garamond" w:hAnsi="Garamond" w:cs="Arial"/>
          <w:sz w:val="24"/>
          <w:szCs w:val="24"/>
        </w:rPr>
      </w:pPr>
      <w:r w:rsidRPr="003A1174">
        <w:rPr>
          <w:rFonts w:ascii="Garamond" w:hAnsi="Garamond" w:cs="Arial"/>
          <w:sz w:val="24"/>
          <w:szCs w:val="24"/>
        </w:rPr>
        <w:t xml:space="preserve">No que se refere </w:t>
      </w:r>
      <w:r w:rsidR="00F945B2" w:rsidRPr="003A1174">
        <w:rPr>
          <w:rFonts w:ascii="Garamond" w:hAnsi="Garamond" w:cs="Arial"/>
          <w:sz w:val="24"/>
          <w:szCs w:val="24"/>
        </w:rPr>
        <w:t xml:space="preserve">a </w:t>
      </w:r>
      <w:r w:rsidR="009859FC" w:rsidRPr="003A1174">
        <w:rPr>
          <w:rFonts w:ascii="Garamond" w:hAnsi="Garamond" w:cs="Arial"/>
          <w:sz w:val="24"/>
          <w:szCs w:val="24"/>
        </w:rPr>
        <w:t>melhoria</w:t>
      </w:r>
      <w:r w:rsidR="00F945B2" w:rsidRPr="003A1174">
        <w:rPr>
          <w:rFonts w:ascii="Garamond" w:hAnsi="Garamond" w:cs="Arial"/>
          <w:sz w:val="24"/>
          <w:szCs w:val="24"/>
        </w:rPr>
        <w:t xml:space="preserve">s </w:t>
      </w:r>
      <w:r w:rsidRPr="003A1174">
        <w:rPr>
          <w:rFonts w:ascii="Garamond" w:hAnsi="Garamond" w:cs="Arial"/>
          <w:sz w:val="24"/>
          <w:szCs w:val="24"/>
        </w:rPr>
        <w:t xml:space="preserve">no </w:t>
      </w:r>
      <w:r w:rsidR="00F945B2" w:rsidRPr="003A1174">
        <w:rPr>
          <w:rFonts w:ascii="Garamond" w:hAnsi="Garamond" w:cs="Arial"/>
          <w:sz w:val="24"/>
          <w:szCs w:val="24"/>
        </w:rPr>
        <w:t>número o</w:t>
      </w:r>
      <w:r w:rsidRPr="003A1174">
        <w:rPr>
          <w:rFonts w:ascii="Garamond" w:hAnsi="Garamond" w:cs="Arial"/>
          <w:sz w:val="24"/>
          <w:szCs w:val="24"/>
        </w:rPr>
        <w:t>u</w:t>
      </w:r>
      <w:r w:rsidR="00F945B2" w:rsidRPr="003A1174">
        <w:rPr>
          <w:rFonts w:ascii="Garamond" w:hAnsi="Garamond" w:cs="Arial"/>
          <w:sz w:val="24"/>
          <w:szCs w:val="24"/>
        </w:rPr>
        <w:t xml:space="preserve"> </w:t>
      </w:r>
      <w:r w:rsidR="008278C4" w:rsidRPr="003A1174">
        <w:rPr>
          <w:rFonts w:ascii="Garamond" w:hAnsi="Garamond" w:cs="Arial"/>
          <w:sz w:val="24"/>
          <w:szCs w:val="24"/>
        </w:rPr>
        <w:t>qualidade</w:t>
      </w:r>
      <w:r w:rsidR="00F945B2" w:rsidRPr="003A1174">
        <w:rPr>
          <w:rFonts w:ascii="Garamond" w:hAnsi="Garamond" w:cs="Arial"/>
          <w:sz w:val="24"/>
          <w:szCs w:val="24"/>
        </w:rPr>
        <w:t xml:space="preserve"> </w:t>
      </w:r>
      <w:r w:rsidR="00497503" w:rsidRPr="003A1174">
        <w:rPr>
          <w:rFonts w:ascii="Garamond" w:hAnsi="Garamond" w:cs="Arial"/>
          <w:sz w:val="24"/>
          <w:szCs w:val="24"/>
        </w:rPr>
        <w:t>das</w:t>
      </w:r>
      <w:r w:rsidR="00861B54" w:rsidRPr="003A1174">
        <w:rPr>
          <w:rFonts w:ascii="Garamond" w:hAnsi="Garamond" w:cs="Arial"/>
          <w:sz w:val="24"/>
          <w:szCs w:val="24"/>
        </w:rPr>
        <w:t xml:space="preserve"> </w:t>
      </w:r>
      <w:r w:rsidR="00F945B2" w:rsidRPr="003A1174">
        <w:rPr>
          <w:rFonts w:ascii="Garamond" w:hAnsi="Garamond" w:cs="Arial"/>
          <w:sz w:val="24"/>
          <w:szCs w:val="24"/>
        </w:rPr>
        <w:t xml:space="preserve">casas de </w:t>
      </w:r>
      <w:r w:rsidR="00B936A7" w:rsidRPr="003A1174">
        <w:rPr>
          <w:rFonts w:ascii="Garamond" w:hAnsi="Garamond" w:cs="Arial"/>
          <w:sz w:val="24"/>
          <w:szCs w:val="24"/>
        </w:rPr>
        <w:t>abrigo</w:t>
      </w:r>
      <w:r w:rsidR="00F945B2" w:rsidRPr="003A1174">
        <w:rPr>
          <w:rFonts w:ascii="Garamond" w:hAnsi="Garamond" w:cs="Arial"/>
          <w:sz w:val="24"/>
          <w:szCs w:val="24"/>
        </w:rPr>
        <w:t xml:space="preserve"> tempor</w:t>
      </w:r>
      <w:r w:rsidRPr="003A1174">
        <w:rPr>
          <w:rFonts w:ascii="Garamond" w:hAnsi="Garamond" w:cs="Arial"/>
          <w:sz w:val="24"/>
          <w:szCs w:val="24"/>
        </w:rPr>
        <w:t xml:space="preserve">ário </w:t>
      </w:r>
      <w:r w:rsidR="00F945B2" w:rsidRPr="003A1174">
        <w:rPr>
          <w:rFonts w:ascii="Garamond" w:hAnsi="Garamond" w:cs="Arial"/>
          <w:sz w:val="24"/>
          <w:szCs w:val="24"/>
        </w:rPr>
        <w:t xml:space="preserve">para </w:t>
      </w:r>
      <w:r w:rsidR="00054EE0" w:rsidRPr="003A1174">
        <w:rPr>
          <w:rFonts w:ascii="Garamond" w:hAnsi="Garamond" w:cs="Arial"/>
          <w:sz w:val="24"/>
          <w:szCs w:val="24"/>
        </w:rPr>
        <w:t>mulheres</w:t>
      </w:r>
      <w:r w:rsidR="00F945B2" w:rsidRPr="003A1174">
        <w:rPr>
          <w:rFonts w:ascii="Garamond" w:hAnsi="Garamond" w:cs="Arial"/>
          <w:sz w:val="24"/>
          <w:szCs w:val="24"/>
        </w:rPr>
        <w:t xml:space="preserve"> </w:t>
      </w:r>
      <w:r w:rsidR="003F012B" w:rsidRPr="003A1174">
        <w:rPr>
          <w:rFonts w:ascii="Garamond" w:hAnsi="Garamond" w:cs="Arial"/>
          <w:sz w:val="24"/>
          <w:szCs w:val="24"/>
        </w:rPr>
        <w:t>vítima</w:t>
      </w:r>
      <w:r w:rsidR="00F945B2" w:rsidRPr="003A1174">
        <w:rPr>
          <w:rFonts w:ascii="Garamond" w:hAnsi="Garamond" w:cs="Arial"/>
          <w:sz w:val="24"/>
          <w:szCs w:val="24"/>
        </w:rPr>
        <w:t xml:space="preserve">s de </w:t>
      </w:r>
      <w:r w:rsidR="000350B1" w:rsidRPr="003A1174">
        <w:rPr>
          <w:rFonts w:ascii="Garamond" w:hAnsi="Garamond" w:cs="Arial"/>
          <w:sz w:val="24"/>
          <w:szCs w:val="24"/>
        </w:rPr>
        <w:t>violência</w:t>
      </w:r>
      <w:r w:rsidR="00F945B2" w:rsidRPr="003A1174">
        <w:rPr>
          <w:rFonts w:ascii="Garamond" w:hAnsi="Garamond" w:cs="Arial"/>
          <w:sz w:val="24"/>
          <w:szCs w:val="24"/>
        </w:rPr>
        <w:t xml:space="preserve"> </w:t>
      </w:r>
      <w:r w:rsidR="000672E8" w:rsidRPr="003A1174">
        <w:rPr>
          <w:rFonts w:ascii="Garamond" w:hAnsi="Garamond" w:cs="Arial"/>
          <w:sz w:val="24"/>
          <w:szCs w:val="24"/>
        </w:rPr>
        <w:t>e</w:t>
      </w:r>
      <w:r w:rsidR="00F945B2" w:rsidRPr="003A1174">
        <w:rPr>
          <w:rFonts w:ascii="Garamond" w:hAnsi="Garamond" w:cs="Arial"/>
          <w:sz w:val="24"/>
          <w:szCs w:val="24"/>
        </w:rPr>
        <w:t>/o</w:t>
      </w:r>
      <w:r w:rsidRPr="003A1174">
        <w:rPr>
          <w:rFonts w:ascii="Garamond" w:hAnsi="Garamond" w:cs="Arial"/>
          <w:sz w:val="24"/>
          <w:szCs w:val="24"/>
        </w:rPr>
        <w:t>u</w:t>
      </w:r>
      <w:r w:rsidR="00F945B2" w:rsidRPr="003A1174">
        <w:rPr>
          <w:rFonts w:ascii="Garamond" w:hAnsi="Garamond" w:cs="Arial"/>
          <w:sz w:val="24"/>
          <w:szCs w:val="24"/>
        </w:rPr>
        <w:t xml:space="preserve"> d</w:t>
      </w:r>
      <w:r w:rsidRPr="003A1174">
        <w:rPr>
          <w:rFonts w:ascii="Garamond" w:hAnsi="Garamond" w:cs="Arial"/>
          <w:sz w:val="24"/>
          <w:szCs w:val="24"/>
        </w:rPr>
        <w:t xml:space="preserve">os </w:t>
      </w:r>
      <w:r w:rsidR="00F945B2" w:rsidRPr="003A1174">
        <w:rPr>
          <w:rFonts w:ascii="Garamond" w:hAnsi="Garamond" w:cs="Arial"/>
          <w:sz w:val="24"/>
          <w:szCs w:val="24"/>
        </w:rPr>
        <w:t>s</w:t>
      </w:r>
      <w:r w:rsidRPr="003A1174">
        <w:rPr>
          <w:rFonts w:ascii="Garamond" w:hAnsi="Garamond" w:cs="Arial"/>
          <w:sz w:val="24"/>
          <w:szCs w:val="24"/>
        </w:rPr>
        <w:t>e</w:t>
      </w:r>
      <w:r w:rsidR="00F945B2" w:rsidRPr="003A1174">
        <w:rPr>
          <w:rFonts w:ascii="Garamond" w:hAnsi="Garamond" w:cs="Arial"/>
          <w:sz w:val="24"/>
          <w:szCs w:val="24"/>
        </w:rPr>
        <w:t xml:space="preserve">us </w:t>
      </w:r>
      <w:r w:rsidR="007A2492" w:rsidRPr="003A1174">
        <w:rPr>
          <w:rFonts w:ascii="Garamond" w:hAnsi="Garamond" w:cs="Arial"/>
          <w:sz w:val="24"/>
          <w:szCs w:val="24"/>
        </w:rPr>
        <w:t>filho</w:t>
      </w:r>
      <w:r w:rsidR="00F945B2" w:rsidRPr="003A1174">
        <w:rPr>
          <w:rFonts w:ascii="Garamond" w:hAnsi="Garamond" w:cs="Arial"/>
          <w:sz w:val="24"/>
          <w:szCs w:val="24"/>
        </w:rPr>
        <w:t xml:space="preserve">s, </w:t>
      </w:r>
      <w:r w:rsidRPr="003A1174">
        <w:rPr>
          <w:rFonts w:ascii="Garamond" w:hAnsi="Garamond" w:cs="Arial"/>
          <w:sz w:val="24"/>
          <w:szCs w:val="24"/>
        </w:rPr>
        <w:t>dispõe-</w:t>
      </w:r>
      <w:r w:rsidR="00F945B2" w:rsidRPr="003A1174">
        <w:rPr>
          <w:rFonts w:ascii="Garamond" w:hAnsi="Garamond" w:cs="Arial"/>
          <w:sz w:val="24"/>
          <w:szCs w:val="24"/>
        </w:rPr>
        <w:t>se</w:t>
      </w:r>
      <w:r w:rsidRPr="003A1174">
        <w:rPr>
          <w:rFonts w:ascii="Garamond" w:hAnsi="Garamond" w:cs="Arial"/>
          <w:sz w:val="24"/>
          <w:szCs w:val="24"/>
        </w:rPr>
        <w:t xml:space="preserve"> de </w:t>
      </w:r>
      <w:r w:rsidR="00F945B2" w:rsidRPr="003A1174">
        <w:rPr>
          <w:rFonts w:ascii="Garamond" w:hAnsi="Garamond" w:cs="Arial"/>
          <w:sz w:val="24"/>
          <w:szCs w:val="24"/>
        </w:rPr>
        <w:t>do</w:t>
      </w:r>
      <w:r w:rsidRPr="003A1174">
        <w:rPr>
          <w:rFonts w:ascii="Garamond" w:hAnsi="Garamond" w:cs="Arial"/>
          <w:sz w:val="24"/>
          <w:szCs w:val="24"/>
        </w:rPr>
        <w:t>i</w:t>
      </w:r>
      <w:r w:rsidR="00F945B2" w:rsidRPr="003A1174">
        <w:rPr>
          <w:rFonts w:ascii="Garamond" w:hAnsi="Garamond" w:cs="Arial"/>
          <w:sz w:val="24"/>
          <w:szCs w:val="24"/>
        </w:rPr>
        <w:t xml:space="preserve">s </w:t>
      </w:r>
      <w:r w:rsidR="00D44677" w:rsidRPr="003A1174">
        <w:rPr>
          <w:rFonts w:ascii="Garamond" w:hAnsi="Garamond" w:cs="Arial"/>
          <w:sz w:val="24"/>
          <w:szCs w:val="24"/>
        </w:rPr>
        <w:t>abrigo</w:t>
      </w:r>
      <w:r w:rsidR="00F945B2" w:rsidRPr="003A1174">
        <w:rPr>
          <w:rFonts w:ascii="Garamond" w:hAnsi="Garamond" w:cs="Arial"/>
          <w:sz w:val="24"/>
          <w:szCs w:val="24"/>
        </w:rPr>
        <w:t>s</w:t>
      </w:r>
      <w:r w:rsidR="00282E09">
        <w:rPr>
          <w:rFonts w:ascii="Garamond" w:hAnsi="Garamond" w:cs="Arial"/>
          <w:sz w:val="24"/>
          <w:szCs w:val="24"/>
        </w:rPr>
        <w:t>,</w:t>
      </w:r>
      <w:r w:rsidR="00F945B2" w:rsidRPr="003A1174">
        <w:rPr>
          <w:rFonts w:ascii="Garamond" w:hAnsi="Garamond" w:cs="Arial"/>
          <w:sz w:val="24"/>
          <w:szCs w:val="24"/>
        </w:rPr>
        <w:t xml:space="preserve"> e</w:t>
      </w:r>
      <w:r w:rsidRPr="003A1174">
        <w:rPr>
          <w:rFonts w:ascii="Garamond" w:hAnsi="Garamond" w:cs="Arial"/>
          <w:sz w:val="24"/>
          <w:szCs w:val="24"/>
        </w:rPr>
        <w:t>m</w:t>
      </w:r>
      <w:r w:rsidR="00F945B2" w:rsidRPr="003A1174">
        <w:rPr>
          <w:rFonts w:ascii="Garamond" w:hAnsi="Garamond" w:cs="Arial"/>
          <w:sz w:val="24"/>
          <w:szCs w:val="24"/>
        </w:rPr>
        <w:t xml:space="preserve"> do</w:t>
      </w:r>
      <w:r w:rsidRPr="003A1174">
        <w:rPr>
          <w:rFonts w:ascii="Garamond" w:hAnsi="Garamond" w:cs="Arial"/>
          <w:sz w:val="24"/>
          <w:szCs w:val="24"/>
        </w:rPr>
        <w:t>i</w:t>
      </w:r>
      <w:r w:rsidR="00F945B2" w:rsidRPr="003A1174">
        <w:rPr>
          <w:rFonts w:ascii="Garamond" w:hAnsi="Garamond" w:cs="Arial"/>
          <w:sz w:val="24"/>
          <w:szCs w:val="24"/>
        </w:rPr>
        <w:t>s departamentos</w:t>
      </w:r>
      <w:r w:rsidR="00282E09">
        <w:rPr>
          <w:rFonts w:ascii="Garamond" w:hAnsi="Garamond" w:cs="Arial"/>
          <w:sz w:val="24"/>
          <w:szCs w:val="24"/>
        </w:rPr>
        <w:t>,</w:t>
      </w:r>
      <w:r w:rsidR="00F945B2" w:rsidRPr="003A1174">
        <w:rPr>
          <w:rFonts w:ascii="Garamond" w:hAnsi="Garamond" w:cs="Arial"/>
          <w:sz w:val="24"/>
          <w:szCs w:val="24"/>
        </w:rPr>
        <w:t xml:space="preserve"> </w:t>
      </w:r>
      <w:r w:rsidRPr="003A1174">
        <w:rPr>
          <w:rFonts w:ascii="Garamond" w:hAnsi="Garamond" w:cs="Arial"/>
          <w:sz w:val="24"/>
          <w:szCs w:val="24"/>
        </w:rPr>
        <w:t xml:space="preserve">num </w:t>
      </w:r>
      <w:r w:rsidR="00F945B2" w:rsidRPr="003A1174">
        <w:rPr>
          <w:rFonts w:ascii="Garamond" w:hAnsi="Garamond" w:cs="Arial"/>
          <w:sz w:val="24"/>
          <w:szCs w:val="24"/>
        </w:rPr>
        <w:t>total de n</w:t>
      </w:r>
      <w:r w:rsidRPr="003A1174">
        <w:rPr>
          <w:rFonts w:ascii="Garamond" w:hAnsi="Garamond" w:cs="Arial"/>
          <w:sz w:val="24"/>
          <w:szCs w:val="24"/>
        </w:rPr>
        <w:t>o</w:t>
      </w:r>
      <w:r w:rsidR="00F945B2" w:rsidRPr="003A1174">
        <w:rPr>
          <w:rFonts w:ascii="Garamond" w:hAnsi="Garamond" w:cs="Arial"/>
          <w:sz w:val="24"/>
          <w:szCs w:val="24"/>
        </w:rPr>
        <w:t xml:space="preserve">ve, </w:t>
      </w:r>
      <w:r w:rsidR="000672E8" w:rsidRPr="003A1174">
        <w:rPr>
          <w:rFonts w:ascii="Garamond" w:hAnsi="Garamond" w:cs="Arial"/>
          <w:sz w:val="24"/>
          <w:szCs w:val="24"/>
        </w:rPr>
        <w:t>e</w:t>
      </w:r>
      <w:r w:rsidR="00F945B2" w:rsidRPr="003A1174">
        <w:rPr>
          <w:rFonts w:ascii="Garamond" w:hAnsi="Garamond" w:cs="Arial"/>
          <w:sz w:val="24"/>
          <w:szCs w:val="24"/>
        </w:rPr>
        <w:t xml:space="preserve"> estima</w:t>
      </w:r>
      <w:r w:rsidRPr="003A1174">
        <w:rPr>
          <w:rFonts w:ascii="Garamond" w:hAnsi="Garamond" w:cs="Arial"/>
          <w:sz w:val="24"/>
          <w:szCs w:val="24"/>
        </w:rPr>
        <w:t>-se</w:t>
      </w:r>
      <w:r w:rsidR="00F945B2" w:rsidRPr="003A1174">
        <w:rPr>
          <w:rFonts w:ascii="Garamond" w:hAnsi="Garamond" w:cs="Arial"/>
          <w:sz w:val="24"/>
          <w:szCs w:val="24"/>
        </w:rPr>
        <w:t xml:space="preserve"> que</w:t>
      </w:r>
      <w:r w:rsidRPr="003A1174">
        <w:rPr>
          <w:rFonts w:ascii="Garamond" w:hAnsi="Garamond" w:cs="Arial"/>
          <w:sz w:val="24"/>
          <w:szCs w:val="24"/>
        </w:rPr>
        <w:t>,</w:t>
      </w:r>
      <w:r w:rsidR="00F945B2" w:rsidRPr="003A1174">
        <w:rPr>
          <w:rFonts w:ascii="Garamond" w:hAnsi="Garamond" w:cs="Arial"/>
          <w:sz w:val="24"/>
          <w:szCs w:val="24"/>
        </w:rPr>
        <w:t xml:space="preserve"> </w:t>
      </w:r>
      <w:r w:rsidRPr="003A1174">
        <w:rPr>
          <w:rFonts w:ascii="Garamond" w:hAnsi="Garamond" w:cs="Arial"/>
          <w:sz w:val="24"/>
          <w:szCs w:val="24"/>
        </w:rPr>
        <w:t xml:space="preserve">na </w:t>
      </w:r>
      <w:r w:rsidR="002C7510" w:rsidRPr="003A1174">
        <w:rPr>
          <w:rFonts w:ascii="Garamond" w:hAnsi="Garamond" w:cs="Arial"/>
          <w:sz w:val="24"/>
          <w:szCs w:val="24"/>
        </w:rPr>
        <w:t>realidade</w:t>
      </w:r>
      <w:r w:rsidRPr="003A1174">
        <w:rPr>
          <w:rFonts w:ascii="Garamond" w:hAnsi="Garamond" w:cs="Arial"/>
          <w:sz w:val="24"/>
          <w:szCs w:val="24"/>
        </w:rPr>
        <w:t>,</w:t>
      </w:r>
      <w:r w:rsidR="00F945B2" w:rsidRPr="003A1174">
        <w:rPr>
          <w:rFonts w:ascii="Garamond" w:hAnsi="Garamond" w:cs="Arial"/>
          <w:sz w:val="24"/>
          <w:szCs w:val="24"/>
        </w:rPr>
        <w:t xml:space="preserve"> n</w:t>
      </w:r>
      <w:r w:rsidRPr="003A1174">
        <w:rPr>
          <w:rFonts w:ascii="Garamond" w:hAnsi="Garamond" w:cs="Arial"/>
          <w:sz w:val="24"/>
          <w:szCs w:val="24"/>
        </w:rPr>
        <w:t>ã</w:t>
      </w:r>
      <w:r w:rsidR="00F945B2" w:rsidRPr="003A1174">
        <w:rPr>
          <w:rFonts w:ascii="Garamond" w:hAnsi="Garamond" w:cs="Arial"/>
          <w:sz w:val="24"/>
          <w:szCs w:val="24"/>
        </w:rPr>
        <w:t>o existe</w:t>
      </w:r>
      <w:r w:rsidR="00282E09">
        <w:rPr>
          <w:rFonts w:ascii="Garamond" w:hAnsi="Garamond" w:cs="Arial"/>
          <w:sz w:val="24"/>
          <w:szCs w:val="24"/>
        </w:rPr>
        <w:t>, de facto,</w:t>
      </w:r>
      <w:r w:rsidR="00F945B2" w:rsidRPr="003A1174">
        <w:rPr>
          <w:rFonts w:ascii="Garamond" w:hAnsi="Garamond" w:cs="Arial"/>
          <w:sz w:val="24"/>
          <w:szCs w:val="24"/>
        </w:rPr>
        <w:t xml:space="preserve"> </w:t>
      </w:r>
      <w:r w:rsidR="00282E09">
        <w:rPr>
          <w:rFonts w:ascii="Garamond" w:hAnsi="Garamond" w:cs="Arial"/>
          <w:sz w:val="24"/>
          <w:szCs w:val="24"/>
        </w:rPr>
        <w:t xml:space="preserve">um </w:t>
      </w:r>
      <w:r w:rsidR="00F945B2" w:rsidRPr="003A1174">
        <w:rPr>
          <w:rFonts w:ascii="Garamond" w:hAnsi="Garamond" w:cs="Arial"/>
          <w:sz w:val="24"/>
          <w:szCs w:val="24"/>
        </w:rPr>
        <w:t xml:space="preserve">sistema de </w:t>
      </w:r>
      <w:r w:rsidR="00886D6A" w:rsidRPr="003A1174">
        <w:rPr>
          <w:rFonts w:ascii="Garamond" w:hAnsi="Garamond" w:cs="Arial"/>
          <w:sz w:val="24"/>
          <w:szCs w:val="24"/>
        </w:rPr>
        <w:t>proteção</w:t>
      </w:r>
      <w:r w:rsidR="00282E09">
        <w:rPr>
          <w:rFonts w:ascii="Garamond" w:hAnsi="Garamond" w:cs="Arial"/>
          <w:sz w:val="24"/>
          <w:szCs w:val="24"/>
        </w:rPr>
        <w:t>.</w:t>
      </w:r>
    </w:p>
    <w:p w:rsidR="00F945B2" w:rsidRPr="003A1174" w:rsidRDefault="00F945B2" w:rsidP="008719D4">
      <w:pPr>
        <w:spacing w:before="240" w:line="240" w:lineRule="auto"/>
        <w:jc w:val="both"/>
        <w:rPr>
          <w:rFonts w:ascii="Garamond" w:hAnsi="Garamond" w:cs="Arial"/>
          <w:sz w:val="24"/>
          <w:szCs w:val="24"/>
        </w:rPr>
      </w:pPr>
      <w:r w:rsidRPr="003A1174">
        <w:rPr>
          <w:rFonts w:ascii="Garamond" w:hAnsi="Garamond" w:cs="Arial"/>
          <w:sz w:val="24"/>
          <w:szCs w:val="24"/>
        </w:rPr>
        <w:t>Sobre s</w:t>
      </w:r>
      <w:r w:rsidR="00A207EB" w:rsidRPr="003A1174">
        <w:rPr>
          <w:rFonts w:ascii="Garamond" w:hAnsi="Garamond" w:cs="Arial"/>
          <w:sz w:val="24"/>
          <w:szCs w:val="24"/>
        </w:rPr>
        <w:t xml:space="preserve">e tem </w:t>
      </w:r>
      <w:r w:rsidRPr="003A1174">
        <w:rPr>
          <w:rFonts w:ascii="Garamond" w:hAnsi="Garamond" w:cs="Arial"/>
          <w:sz w:val="24"/>
          <w:szCs w:val="24"/>
        </w:rPr>
        <w:t>ha</w:t>
      </w:r>
      <w:r w:rsidR="00A207EB" w:rsidRPr="003A1174">
        <w:rPr>
          <w:rFonts w:ascii="Garamond" w:hAnsi="Garamond" w:cs="Arial"/>
          <w:sz w:val="24"/>
          <w:szCs w:val="24"/>
        </w:rPr>
        <w:t>v</w:t>
      </w:r>
      <w:r w:rsidRPr="003A1174">
        <w:rPr>
          <w:rFonts w:ascii="Garamond" w:hAnsi="Garamond" w:cs="Arial"/>
          <w:sz w:val="24"/>
          <w:szCs w:val="24"/>
        </w:rPr>
        <w:t>ido</w:t>
      </w:r>
      <w:r w:rsidR="00282E09">
        <w:rPr>
          <w:rFonts w:ascii="Garamond" w:hAnsi="Garamond" w:cs="Arial"/>
          <w:sz w:val="24"/>
          <w:szCs w:val="24"/>
        </w:rPr>
        <w:t>,</w:t>
      </w:r>
      <w:r w:rsidRPr="003A1174">
        <w:rPr>
          <w:rFonts w:ascii="Garamond" w:hAnsi="Garamond" w:cs="Arial"/>
          <w:sz w:val="24"/>
          <w:szCs w:val="24"/>
        </w:rPr>
        <w:t xml:space="preserve"> o</w:t>
      </w:r>
      <w:r w:rsidR="00A207EB" w:rsidRPr="003A1174">
        <w:rPr>
          <w:rFonts w:ascii="Garamond" w:hAnsi="Garamond" w:cs="Arial"/>
          <w:sz w:val="24"/>
          <w:szCs w:val="24"/>
        </w:rPr>
        <w:t>u</w:t>
      </w:r>
      <w:r w:rsidRPr="003A1174">
        <w:rPr>
          <w:rFonts w:ascii="Garamond" w:hAnsi="Garamond" w:cs="Arial"/>
          <w:sz w:val="24"/>
          <w:szCs w:val="24"/>
        </w:rPr>
        <w:t xml:space="preserve"> n</w:t>
      </w:r>
      <w:r w:rsidR="00A207EB" w:rsidRPr="003A1174">
        <w:rPr>
          <w:rFonts w:ascii="Garamond" w:hAnsi="Garamond" w:cs="Arial"/>
          <w:sz w:val="24"/>
          <w:szCs w:val="24"/>
        </w:rPr>
        <w:t>ã</w:t>
      </w:r>
      <w:r w:rsidRPr="003A1174">
        <w:rPr>
          <w:rFonts w:ascii="Garamond" w:hAnsi="Garamond" w:cs="Arial"/>
          <w:sz w:val="24"/>
          <w:szCs w:val="24"/>
        </w:rPr>
        <w:t>o</w:t>
      </w:r>
      <w:r w:rsidR="00282E09">
        <w:rPr>
          <w:rFonts w:ascii="Garamond" w:hAnsi="Garamond" w:cs="Arial"/>
          <w:sz w:val="24"/>
          <w:szCs w:val="24"/>
        </w:rPr>
        <w:t>,</w:t>
      </w:r>
      <w:r w:rsidRPr="003A1174">
        <w:rPr>
          <w:rFonts w:ascii="Garamond" w:hAnsi="Garamond" w:cs="Arial"/>
          <w:sz w:val="24"/>
          <w:szCs w:val="24"/>
        </w:rPr>
        <w:t xml:space="preserve"> </w:t>
      </w:r>
      <w:r w:rsidR="00FC1F7F" w:rsidRPr="003A1174">
        <w:rPr>
          <w:rFonts w:ascii="Garamond" w:hAnsi="Garamond" w:cs="Arial"/>
          <w:sz w:val="24"/>
          <w:szCs w:val="24"/>
        </w:rPr>
        <w:t>avanços</w:t>
      </w:r>
      <w:r w:rsidRPr="003A1174">
        <w:rPr>
          <w:rFonts w:ascii="Garamond" w:hAnsi="Garamond" w:cs="Arial"/>
          <w:sz w:val="24"/>
          <w:szCs w:val="24"/>
        </w:rPr>
        <w:t xml:space="preserve"> e</w:t>
      </w:r>
      <w:r w:rsidR="00A207EB" w:rsidRPr="003A1174">
        <w:rPr>
          <w:rFonts w:ascii="Garamond" w:hAnsi="Garamond" w:cs="Arial"/>
          <w:sz w:val="24"/>
          <w:szCs w:val="24"/>
        </w:rPr>
        <w:t>m</w:t>
      </w:r>
      <w:r w:rsidRPr="003A1174">
        <w:rPr>
          <w:rFonts w:ascii="Garamond" w:hAnsi="Garamond" w:cs="Arial"/>
          <w:sz w:val="24"/>
          <w:szCs w:val="24"/>
        </w:rPr>
        <w:t xml:space="preserve"> </w:t>
      </w:r>
      <w:r w:rsidR="00EF645F" w:rsidRPr="003A1174">
        <w:rPr>
          <w:rFonts w:ascii="Garamond" w:hAnsi="Garamond" w:cs="Arial"/>
          <w:sz w:val="24"/>
          <w:szCs w:val="24"/>
        </w:rPr>
        <w:t>matéria</w:t>
      </w:r>
      <w:r w:rsidRPr="003A1174">
        <w:rPr>
          <w:rFonts w:ascii="Garamond" w:hAnsi="Garamond" w:cs="Arial"/>
          <w:sz w:val="24"/>
          <w:szCs w:val="24"/>
        </w:rPr>
        <w:t xml:space="preserve"> de </w:t>
      </w:r>
      <w:r w:rsidR="00077461" w:rsidRPr="003A1174">
        <w:rPr>
          <w:rFonts w:ascii="Garamond" w:hAnsi="Garamond" w:cs="Arial"/>
          <w:sz w:val="24"/>
          <w:szCs w:val="24"/>
        </w:rPr>
        <w:t>registo</w:t>
      </w:r>
      <w:r w:rsidRPr="003A1174">
        <w:rPr>
          <w:rFonts w:ascii="Garamond" w:hAnsi="Garamond" w:cs="Arial"/>
          <w:sz w:val="24"/>
          <w:szCs w:val="24"/>
        </w:rPr>
        <w:t xml:space="preserve"> de </w:t>
      </w:r>
      <w:r w:rsidR="0017447A" w:rsidRPr="003A1174">
        <w:rPr>
          <w:rFonts w:ascii="Garamond" w:hAnsi="Garamond" w:cs="Arial"/>
          <w:sz w:val="24"/>
          <w:szCs w:val="24"/>
        </w:rPr>
        <w:t>informação</w:t>
      </w:r>
      <w:r w:rsidRPr="003A1174">
        <w:rPr>
          <w:rFonts w:ascii="Garamond" w:hAnsi="Garamond" w:cs="Arial"/>
          <w:sz w:val="24"/>
          <w:szCs w:val="24"/>
        </w:rPr>
        <w:t xml:space="preserve"> sobre </w:t>
      </w:r>
      <w:r w:rsidR="00054EE0" w:rsidRPr="003A1174">
        <w:rPr>
          <w:rFonts w:ascii="Garamond" w:hAnsi="Garamond" w:cs="Arial"/>
          <w:sz w:val="24"/>
          <w:szCs w:val="24"/>
        </w:rPr>
        <w:t>mulheres</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Pr="003A1174">
        <w:rPr>
          <w:rFonts w:ascii="Garamond" w:hAnsi="Garamond" w:cs="Arial"/>
          <w:sz w:val="24"/>
          <w:szCs w:val="24"/>
        </w:rPr>
        <w:t xml:space="preserve">, </w:t>
      </w:r>
      <w:r w:rsidR="00A207EB" w:rsidRPr="003A1174">
        <w:rPr>
          <w:rFonts w:ascii="Garamond" w:hAnsi="Garamond" w:cs="Arial"/>
          <w:sz w:val="24"/>
          <w:szCs w:val="24"/>
        </w:rPr>
        <w:t>t</w:t>
      </w:r>
      <w:r w:rsidR="00282E09">
        <w:rPr>
          <w:rFonts w:ascii="Garamond" w:hAnsi="Garamond" w:cs="Arial"/>
          <w:sz w:val="24"/>
          <w:szCs w:val="24"/>
        </w:rPr>
        <w:t>e</w:t>
      </w:r>
      <w:r w:rsidR="00A207EB" w:rsidRPr="003A1174">
        <w:rPr>
          <w:rFonts w:ascii="Garamond" w:hAnsi="Garamond" w:cs="Arial"/>
          <w:sz w:val="24"/>
          <w:szCs w:val="24"/>
        </w:rPr>
        <w:t>m-</w:t>
      </w:r>
      <w:r w:rsidRPr="003A1174">
        <w:rPr>
          <w:rFonts w:ascii="Garamond" w:hAnsi="Garamond" w:cs="Arial"/>
          <w:sz w:val="24"/>
          <w:szCs w:val="24"/>
        </w:rPr>
        <w:t>se vi</w:t>
      </w:r>
      <w:r w:rsidR="00A207EB" w:rsidRPr="003A1174">
        <w:rPr>
          <w:rFonts w:ascii="Garamond" w:hAnsi="Garamond" w:cs="Arial"/>
          <w:sz w:val="24"/>
          <w:szCs w:val="24"/>
        </w:rPr>
        <w:t xml:space="preserve">ndo a verificar </w:t>
      </w:r>
      <w:r w:rsidR="006F4B2C" w:rsidRPr="003A1174">
        <w:rPr>
          <w:rFonts w:ascii="Garamond" w:hAnsi="Garamond" w:cs="Arial"/>
          <w:sz w:val="24"/>
          <w:szCs w:val="24"/>
        </w:rPr>
        <w:t>alguns</w:t>
      </w:r>
      <w:r w:rsidRPr="003A1174">
        <w:rPr>
          <w:rFonts w:ascii="Garamond" w:hAnsi="Garamond" w:cs="Arial"/>
          <w:sz w:val="24"/>
          <w:szCs w:val="24"/>
        </w:rPr>
        <w:t xml:space="preserve"> </w:t>
      </w:r>
      <w:r w:rsidR="00FC1F7F" w:rsidRPr="003A1174">
        <w:rPr>
          <w:rFonts w:ascii="Garamond" w:hAnsi="Garamond" w:cs="Arial"/>
          <w:sz w:val="24"/>
          <w:szCs w:val="24"/>
        </w:rPr>
        <w:t>avanços</w:t>
      </w:r>
      <w:r w:rsidRPr="003A1174">
        <w:rPr>
          <w:rFonts w:ascii="Garamond" w:hAnsi="Garamond" w:cs="Arial"/>
          <w:sz w:val="24"/>
          <w:szCs w:val="24"/>
        </w:rPr>
        <w:t xml:space="preserve"> </w:t>
      </w:r>
      <w:r w:rsidR="002C7510" w:rsidRPr="003A1174">
        <w:rPr>
          <w:rFonts w:ascii="Garamond" w:hAnsi="Garamond" w:cs="Arial"/>
          <w:sz w:val="24"/>
          <w:szCs w:val="24"/>
        </w:rPr>
        <w:t>graças</w:t>
      </w:r>
      <w:r w:rsidRPr="003A1174">
        <w:rPr>
          <w:rFonts w:ascii="Garamond" w:hAnsi="Garamond" w:cs="Arial"/>
          <w:sz w:val="24"/>
          <w:szCs w:val="24"/>
        </w:rPr>
        <w:t xml:space="preserve"> </w:t>
      </w:r>
      <w:r w:rsidR="00BB2B00" w:rsidRPr="003A1174">
        <w:rPr>
          <w:rFonts w:ascii="Garamond" w:hAnsi="Garamond" w:cs="Arial"/>
          <w:sz w:val="24"/>
          <w:szCs w:val="24"/>
        </w:rPr>
        <w:t>à</w:t>
      </w:r>
      <w:r w:rsidRPr="003A1174">
        <w:rPr>
          <w:rFonts w:ascii="Garamond" w:hAnsi="Garamond" w:cs="Arial"/>
          <w:sz w:val="24"/>
          <w:szCs w:val="24"/>
        </w:rPr>
        <w:t xml:space="preserve">s </w:t>
      </w:r>
      <w:r w:rsidR="00802ACC" w:rsidRPr="003A1174">
        <w:rPr>
          <w:rFonts w:ascii="Garamond" w:hAnsi="Garamond" w:cs="Arial"/>
          <w:sz w:val="24"/>
          <w:szCs w:val="24"/>
        </w:rPr>
        <w:t>exigência</w:t>
      </w:r>
      <w:r w:rsidRPr="003A1174">
        <w:rPr>
          <w:rFonts w:ascii="Garamond" w:hAnsi="Garamond" w:cs="Arial"/>
          <w:sz w:val="24"/>
          <w:szCs w:val="24"/>
        </w:rPr>
        <w:t xml:space="preserve">s que </w:t>
      </w:r>
      <w:r w:rsidR="00A207EB" w:rsidRPr="003A1174">
        <w:rPr>
          <w:rFonts w:ascii="Garamond" w:hAnsi="Garamond" w:cs="Arial"/>
          <w:sz w:val="24"/>
          <w:szCs w:val="24"/>
        </w:rPr>
        <w:t xml:space="preserve">fizemos em </w:t>
      </w:r>
      <w:r w:rsidR="00861B54" w:rsidRPr="003A1174">
        <w:rPr>
          <w:rFonts w:ascii="Garamond" w:hAnsi="Garamond" w:cs="Arial"/>
          <w:sz w:val="24"/>
          <w:szCs w:val="24"/>
        </w:rPr>
        <w:t>con</w:t>
      </w:r>
      <w:r w:rsidRPr="003A1174">
        <w:rPr>
          <w:rFonts w:ascii="Garamond" w:hAnsi="Garamond" w:cs="Arial"/>
          <w:sz w:val="24"/>
          <w:szCs w:val="24"/>
        </w:rPr>
        <w:t>junt</w:t>
      </w:r>
      <w:r w:rsidR="00A207EB" w:rsidRPr="003A1174">
        <w:rPr>
          <w:rFonts w:ascii="Garamond" w:hAnsi="Garamond" w:cs="Arial"/>
          <w:sz w:val="24"/>
          <w:szCs w:val="24"/>
        </w:rPr>
        <w:t xml:space="preserve">o </w:t>
      </w:r>
      <w:r w:rsidRPr="003A1174">
        <w:rPr>
          <w:rFonts w:ascii="Garamond" w:hAnsi="Garamond" w:cs="Arial"/>
          <w:sz w:val="24"/>
          <w:szCs w:val="24"/>
        </w:rPr>
        <w:t>co</w:t>
      </w:r>
      <w:r w:rsidR="00A207EB" w:rsidRPr="003A1174">
        <w:rPr>
          <w:rFonts w:ascii="Garamond" w:hAnsi="Garamond" w:cs="Arial"/>
          <w:sz w:val="24"/>
          <w:szCs w:val="24"/>
        </w:rPr>
        <w:t>m</w:t>
      </w:r>
      <w:r w:rsidRPr="003A1174">
        <w:rPr>
          <w:rFonts w:ascii="Garamond" w:hAnsi="Garamond" w:cs="Arial"/>
          <w:sz w:val="24"/>
          <w:szCs w:val="24"/>
        </w:rPr>
        <w:t xml:space="preserve"> entidades </w:t>
      </w:r>
      <w:r w:rsidR="000672E8" w:rsidRPr="003A1174">
        <w:rPr>
          <w:rFonts w:ascii="Garamond" w:hAnsi="Garamond" w:cs="Arial"/>
          <w:sz w:val="24"/>
          <w:szCs w:val="24"/>
        </w:rPr>
        <w:t>e</w:t>
      </w:r>
      <w:r w:rsidRPr="003A1174">
        <w:rPr>
          <w:rFonts w:ascii="Garamond" w:hAnsi="Garamond" w:cs="Arial"/>
          <w:sz w:val="24"/>
          <w:szCs w:val="24"/>
        </w:rPr>
        <w:t xml:space="preserve"> </w:t>
      </w:r>
      <w:r w:rsidR="006C760C" w:rsidRPr="003A1174">
        <w:rPr>
          <w:rFonts w:ascii="Garamond" w:hAnsi="Garamond" w:cs="Arial"/>
          <w:sz w:val="24"/>
          <w:szCs w:val="24"/>
        </w:rPr>
        <w:t>pessoas</w:t>
      </w:r>
      <w:r w:rsidR="00A207EB" w:rsidRPr="003A1174">
        <w:rPr>
          <w:rFonts w:ascii="Garamond" w:hAnsi="Garamond" w:cs="Arial"/>
          <w:sz w:val="24"/>
          <w:szCs w:val="24"/>
        </w:rPr>
        <w:t xml:space="preserve"> d</w:t>
      </w:r>
      <w:r w:rsidRPr="003A1174">
        <w:rPr>
          <w:rFonts w:ascii="Garamond" w:hAnsi="Garamond" w:cs="Arial"/>
          <w:sz w:val="24"/>
          <w:szCs w:val="24"/>
        </w:rPr>
        <w:t xml:space="preserve">a </w:t>
      </w:r>
      <w:r w:rsidR="002C7510" w:rsidRPr="003A1174">
        <w:rPr>
          <w:rFonts w:ascii="Garamond" w:hAnsi="Garamond" w:cs="Arial"/>
          <w:sz w:val="24"/>
          <w:szCs w:val="24"/>
        </w:rPr>
        <w:t>sociedade</w:t>
      </w:r>
      <w:r w:rsidRPr="003A1174">
        <w:rPr>
          <w:rFonts w:ascii="Garamond" w:hAnsi="Garamond" w:cs="Arial"/>
          <w:sz w:val="24"/>
          <w:szCs w:val="24"/>
        </w:rPr>
        <w:t xml:space="preserve"> civil. </w:t>
      </w:r>
      <w:r w:rsidR="00A207EB" w:rsidRPr="003A1174">
        <w:rPr>
          <w:rFonts w:ascii="Garamond" w:hAnsi="Garamond" w:cs="Arial"/>
          <w:sz w:val="24"/>
          <w:szCs w:val="24"/>
        </w:rPr>
        <w:t xml:space="preserve">O </w:t>
      </w:r>
      <w:r w:rsidRPr="003A1174">
        <w:rPr>
          <w:rFonts w:ascii="Garamond" w:hAnsi="Garamond" w:cs="Arial"/>
          <w:sz w:val="24"/>
          <w:szCs w:val="24"/>
        </w:rPr>
        <w:t xml:space="preserve">sistema de </w:t>
      </w:r>
      <w:r w:rsidR="00077461" w:rsidRPr="003A1174">
        <w:rPr>
          <w:rFonts w:ascii="Garamond" w:hAnsi="Garamond" w:cs="Arial"/>
          <w:sz w:val="24"/>
          <w:szCs w:val="24"/>
        </w:rPr>
        <w:t>registo</w:t>
      </w:r>
      <w:r w:rsidRPr="003A1174">
        <w:rPr>
          <w:rFonts w:ascii="Garamond" w:hAnsi="Garamond" w:cs="Arial"/>
          <w:sz w:val="24"/>
          <w:szCs w:val="24"/>
        </w:rPr>
        <w:t xml:space="preserve"> nacional </w:t>
      </w:r>
      <w:r w:rsidR="00A207EB" w:rsidRPr="003A1174">
        <w:rPr>
          <w:rFonts w:ascii="Garamond" w:hAnsi="Garamond" w:cs="Arial"/>
          <w:sz w:val="24"/>
          <w:szCs w:val="24"/>
        </w:rPr>
        <w:t xml:space="preserve">também se encontra em </w:t>
      </w:r>
      <w:r w:rsidR="002D1021" w:rsidRPr="003A1174">
        <w:rPr>
          <w:rFonts w:ascii="Garamond" w:hAnsi="Garamond" w:cs="Arial"/>
          <w:sz w:val="24"/>
          <w:szCs w:val="24"/>
        </w:rPr>
        <w:t>processo</w:t>
      </w:r>
      <w:r w:rsidRPr="003A1174">
        <w:rPr>
          <w:rFonts w:ascii="Garamond" w:hAnsi="Garamond" w:cs="Arial"/>
          <w:sz w:val="24"/>
          <w:szCs w:val="24"/>
        </w:rPr>
        <w:t xml:space="preserve"> de </w:t>
      </w:r>
      <w:r w:rsidR="007A3375" w:rsidRPr="003A1174">
        <w:rPr>
          <w:rFonts w:ascii="Garamond" w:hAnsi="Garamond" w:cs="Arial"/>
          <w:sz w:val="24"/>
          <w:szCs w:val="24"/>
        </w:rPr>
        <w:t>elaboração</w:t>
      </w:r>
      <w:r w:rsidR="00861B54" w:rsidRPr="003A1174">
        <w:rPr>
          <w:rFonts w:ascii="Garamond" w:hAnsi="Garamond" w:cs="Arial"/>
          <w:sz w:val="24"/>
          <w:szCs w:val="24"/>
        </w:rPr>
        <w:t>,</w:t>
      </w:r>
      <w:r w:rsidRPr="003A1174">
        <w:rPr>
          <w:rFonts w:ascii="Garamond" w:hAnsi="Garamond" w:cs="Arial"/>
          <w:sz w:val="24"/>
          <w:szCs w:val="24"/>
        </w:rPr>
        <w:t xml:space="preserve"> </w:t>
      </w:r>
      <w:r w:rsidR="00A207EB" w:rsidRPr="003A1174">
        <w:rPr>
          <w:rFonts w:ascii="Garamond" w:hAnsi="Garamond" w:cs="Arial"/>
          <w:sz w:val="24"/>
          <w:szCs w:val="24"/>
        </w:rPr>
        <w:t>tendo-</w:t>
      </w:r>
      <w:r w:rsidRPr="003A1174">
        <w:rPr>
          <w:rFonts w:ascii="Garamond" w:hAnsi="Garamond" w:cs="Arial"/>
          <w:sz w:val="24"/>
          <w:szCs w:val="24"/>
        </w:rPr>
        <w:t>nos</w:t>
      </w:r>
      <w:r w:rsidR="00A207EB" w:rsidRPr="003A1174">
        <w:rPr>
          <w:rFonts w:ascii="Garamond" w:hAnsi="Garamond" w:cs="Arial"/>
          <w:sz w:val="24"/>
          <w:szCs w:val="24"/>
        </w:rPr>
        <w:t xml:space="preserve"> sido </w:t>
      </w:r>
      <w:r w:rsidR="00282E09">
        <w:rPr>
          <w:rFonts w:ascii="Garamond" w:hAnsi="Garamond" w:cs="Arial"/>
          <w:sz w:val="24"/>
          <w:szCs w:val="24"/>
        </w:rPr>
        <w:t xml:space="preserve">comunicado </w:t>
      </w:r>
      <w:r w:rsidRPr="003A1174">
        <w:rPr>
          <w:rFonts w:ascii="Garamond" w:hAnsi="Garamond" w:cs="Arial"/>
          <w:sz w:val="24"/>
          <w:szCs w:val="24"/>
        </w:rPr>
        <w:t xml:space="preserve">que se </w:t>
      </w:r>
      <w:r w:rsidR="00A207EB" w:rsidRPr="003A1174">
        <w:rPr>
          <w:rFonts w:ascii="Garamond" w:hAnsi="Garamond" w:cs="Arial"/>
          <w:sz w:val="24"/>
          <w:szCs w:val="24"/>
        </w:rPr>
        <w:t xml:space="preserve">disporá do </w:t>
      </w:r>
      <w:r w:rsidR="00023AD6" w:rsidRPr="003A1174">
        <w:rPr>
          <w:rFonts w:ascii="Garamond" w:hAnsi="Garamond" w:cs="Arial"/>
          <w:sz w:val="24"/>
          <w:szCs w:val="24"/>
        </w:rPr>
        <w:t>mesmo</w:t>
      </w:r>
      <w:r w:rsidRPr="003A1174">
        <w:rPr>
          <w:rFonts w:ascii="Garamond" w:hAnsi="Garamond" w:cs="Arial"/>
          <w:sz w:val="24"/>
          <w:szCs w:val="24"/>
        </w:rPr>
        <w:t xml:space="preserve"> </w:t>
      </w:r>
      <w:r w:rsidR="00A207EB" w:rsidRPr="003A1174">
        <w:rPr>
          <w:rFonts w:ascii="Garamond" w:hAnsi="Garamond" w:cs="Arial"/>
          <w:sz w:val="24"/>
          <w:szCs w:val="24"/>
        </w:rPr>
        <w:t xml:space="preserve">em </w:t>
      </w:r>
      <w:r w:rsidRPr="003A1174">
        <w:rPr>
          <w:rFonts w:ascii="Garamond" w:hAnsi="Garamond" w:cs="Arial"/>
          <w:sz w:val="24"/>
          <w:szCs w:val="24"/>
        </w:rPr>
        <w:t>fin</w:t>
      </w:r>
      <w:r w:rsidR="00A207EB" w:rsidRPr="003A1174">
        <w:rPr>
          <w:rFonts w:ascii="Garamond" w:hAnsi="Garamond" w:cs="Arial"/>
          <w:sz w:val="24"/>
          <w:szCs w:val="24"/>
        </w:rPr>
        <w:t>ai</w:t>
      </w:r>
      <w:r w:rsidRPr="003A1174">
        <w:rPr>
          <w:rFonts w:ascii="Garamond" w:hAnsi="Garamond" w:cs="Arial"/>
          <w:sz w:val="24"/>
          <w:szCs w:val="24"/>
        </w:rPr>
        <w:t>s de 2014.</w:t>
      </w:r>
    </w:p>
    <w:p w:rsidR="00823BE0" w:rsidRPr="003A1174" w:rsidRDefault="0017447A" w:rsidP="008719D4">
      <w:pPr>
        <w:pStyle w:val="Ttulo3"/>
        <w:spacing w:line="240" w:lineRule="auto"/>
        <w:rPr>
          <w:rFonts w:ascii="Garamond" w:hAnsi="Garamond"/>
          <w:sz w:val="24"/>
          <w:szCs w:val="24"/>
        </w:rPr>
      </w:pPr>
      <w:bookmarkStart w:id="58" w:name="_Toc421529746"/>
      <w:r w:rsidRPr="003A1174">
        <w:rPr>
          <w:rFonts w:ascii="Garamond" w:hAnsi="Garamond"/>
          <w:sz w:val="24"/>
          <w:szCs w:val="24"/>
        </w:rPr>
        <w:t>Colômbia</w:t>
      </w:r>
      <w:bookmarkEnd w:id="58"/>
    </w:p>
    <w:p w:rsidR="00823BE0" w:rsidRPr="003A1174" w:rsidRDefault="00823BE0"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823BE0" w:rsidRPr="003A1174" w:rsidRDefault="00A207EB"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Na </w:t>
      </w:r>
      <w:r w:rsidR="0017447A" w:rsidRPr="003A1174">
        <w:rPr>
          <w:rFonts w:ascii="Garamond" w:hAnsi="Garamond" w:cs="Arial"/>
          <w:sz w:val="24"/>
          <w:szCs w:val="24"/>
        </w:rPr>
        <w:t>Colômbia</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6506C6" w:rsidRPr="003A1174">
        <w:rPr>
          <w:rFonts w:ascii="Garamond" w:hAnsi="Garamond" w:cs="Arial"/>
          <w:sz w:val="24"/>
          <w:szCs w:val="24"/>
        </w:rPr>
        <w:t>Governo</w:t>
      </w:r>
      <w:r w:rsidR="00823BE0" w:rsidRPr="003A1174">
        <w:rPr>
          <w:rFonts w:ascii="Garamond" w:hAnsi="Garamond" w:cs="Arial"/>
          <w:sz w:val="24"/>
          <w:szCs w:val="24"/>
        </w:rPr>
        <w:t xml:space="preserve"> Nacional </w:t>
      </w:r>
      <w:r w:rsidR="00CF42A3" w:rsidRPr="003A1174">
        <w:rPr>
          <w:rFonts w:ascii="Garamond" w:hAnsi="Garamond" w:cs="Arial"/>
          <w:sz w:val="24"/>
          <w:szCs w:val="24"/>
        </w:rPr>
        <w:t xml:space="preserve">emitiu </w:t>
      </w:r>
      <w:r w:rsidR="00823BE0" w:rsidRPr="003A1174">
        <w:rPr>
          <w:rFonts w:ascii="Garamond" w:hAnsi="Garamond" w:cs="Arial"/>
          <w:sz w:val="24"/>
          <w:szCs w:val="24"/>
        </w:rPr>
        <w:t>os Decretos 4796</w:t>
      </w:r>
      <w:r w:rsidR="00282E09">
        <w:rPr>
          <w:rFonts w:ascii="Garamond" w:hAnsi="Garamond" w:cs="Arial"/>
          <w:sz w:val="24"/>
          <w:szCs w:val="24"/>
        </w:rPr>
        <w:t>,</w:t>
      </w:r>
      <w:r w:rsidR="00823BE0" w:rsidRPr="003A1174">
        <w:rPr>
          <w:rFonts w:ascii="Garamond" w:hAnsi="Garamond" w:cs="Arial"/>
          <w:sz w:val="24"/>
          <w:szCs w:val="24"/>
        </w:rPr>
        <w:t xml:space="preserve"> de 2011 </w:t>
      </w:r>
      <w:r w:rsidR="000672E8" w:rsidRPr="003A1174">
        <w:rPr>
          <w:rFonts w:ascii="Garamond" w:hAnsi="Garamond" w:cs="Arial"/>
          <w:sz w:val="24"/>
          <w:szCs w:val="24"/>
        </w:rPr>
        <w:t>e</w:t>
      </w:r>
      <w:r w:rsidR="00823BE0" w:rsidRPr="003A1174">
        <w:rPr>
          <w:rFonts w:ascii="Garamond" w:hAnsi="Garamond" w:cs="Arial"/>
          <w:sz w:val="24"/>
          <w:szCs w:val="24"/>
        </w:rPr>
        <w:t xml:space="preserve"> 2734</w:t>
      </w:r>
      <w:r w:rsidR="00282E09">
        <w:rPr>
          <w:rFonts w:ascii="Garamond" w:hAnsi="Garamond" w:cs="Arial"/>
          <w:sz w:val="24"/>
          <w:szCs w:val="24"/>
        </w:rPr>
        <w:t>,</w:t>
      </w:r>
      <w:r w:rsidR="00823BE0" w:rsidRPr="003A1174">
        <w:rPr>
          <w:rFonts w:ascii="Garamond" w:hAnsi="Garamond" w:cs="Arial"/>
          <w:sz w:val="24"/>
          <w:szCs w:val="24"/>
        </w:rPr>
        <w:t xml:space="preserve"> de 2012, que reg</w:t>
      </w:r>
      <w:r w:rsidR="00CF42A3" w:rsidRPr="003A1174">
        <w:rPr>
          <w:rFonts w:ascii="Garamond" w:hAnsi="Garamond" w:cs="Arial"/>
          <w:sz w:val="24"/>
          <w:szCs w:val="24"/>
        </w:rPr>
        <w:t>u</w:t>
      </w:r>
      <w:r w:rsidR="00823BE0" w:rsidRPr="003A1174">
        <w:rPr>
          <w:rFonts w:ascii="Garamond" w:hAnsi="Garamond" w:cs="Arial"/>
          <w:sz w:val="24"/>
          <w:szCs w:val="24"/>
        </w:rPr>
        <w:t>lamentar</w:t>
      </w:r>
      <w:r w:rsidR="00CF42A3" w:rsidRPr="003A1174">
        <w:rPr>
          <w:rFonts w:ascii="Garamond" w:hAnsi="Garamond" w:cs="Arial"/>
          <w:sz w:val="24"/>
          <w:szCs w:val="24"/>
        </w:rPr>
        <w:t xml:space="preserve">am </w:t>
      </w:r>
      <w:r w:rsidR="00823BE0" w:rsidRPr="003A1174">
        <w:rPr>
          <w:rFonts w:ascii="Garamond" w:hAnsi="Garamond" w:cs="Arial"/>
          <w:sz w:val="24"/>
          <w:szCs w:val="24"/>
        </w:rPr>
        <w:t xml:space="preserve">a </w:t>
      </w:r>
      <w:r w:rsidR="00D15AFF" w:rsidRPr="003A1174">
        <w:rPr>
          <w:rFonts w:ascii="Garamond" w:hAnsi="Garamond" w:cs="Arial"/>
          <w:sz w:val="24"/>
          <w:szCs w:val="24"/>
        </w:rPr>
        <w:t>Lei</w:t>
      </w:r>
      <w:r w:rsidR="00823BE0" w:rsidRPr="003A1174">
        <w:rPr>
          <w:rFonts w:ascii="Garamond" w:hAnsi="Garamond" w:cs="Arial"/>
          <w:sz w:val="24"/>
          <w:szCs w:val="24"/>
        </w:rPr>
        <w:t xml:space="preserve"> 1257</w:t>
      </w:r>
      <w:r w:rsidR="00282E09">
        <w:rPr>
          <w:rFonts w:ascii="Garamond" w:hAnsi="Garamond" w:cs="Arial"/>
          <w:sz w:val="24"/>
          <w:szCs w:val="24"/>
        </w:rPr>
        <w:t>,</w:t>
      </w:r>
      <w:r w:rsidR="00823BE0" w:rsidRPr="003A1174">
        <w:rPr>
          <w:rFonts w:ascii="Garamond" w:hAnsi="Garamond" w:cs="Arial"/>
          <w:sz w:val="24"/>
          <w:szCs w:val="24"/>
        </w:rPr>
        <w:t xml:space="preserve"> de 2008, e</w:t>
      </w:r>
      <w:r w:rsidR="00CF42A3" w:rsidRPr="003A1174">
        <w:rPr>
          <w:rFonts w:ascii="Garamond" w:hAnsi="Garamond" w:cs="Arial"/>
          <w:sz w:val="24"/>
          <w:szCs w:val="24"/>
        </w:rPr>
        <w:t>m</w:t>
      </w:r>
      <w:r w:rsidR="00823BE0" w:rsidRPr="003A1174">
        <w:rPr>
          <w:rFonts w:ascii="Garamond" w:hAnsi="Garamond" w:cs="Arial"/>
          <w:sz w:val="24"/>
          <w:szCs w:val="24"/>
        </w:rPr>
        <w:t xml:space="preserve"> </w:t>
      </w:r>
      <w:r w:rsidR="00152A44" w:rsidRPr="003A1174">
        <w:rPr>
          <w:rFonts w:ascii="Garamond" w:hAnsi="Garamond" w:cs="Arial"/>
          <w:sz w:val="24"/>
          <w:szCs w:val="24"/>
        </w:rPr>
        <w:t>relação</w:t>
      </w:r>
      <w:r w:rsidR="00823BE0" w:rsidRPr="003A1174">
        <w:rPr>
          <w:rFonts w:ascii="Garamond" w:hAnsi="Garamond" w:cs="Arial"/>
          <w:sz w:val="24"/>
          <w:szCs w:val="24"/>
        </w:rPr>
        <w:t xml:space="preserve"> </w:t>
      </w:r>
      <w:r w:rsidR="00CF42A3" w:rsidRPr="003A1174">
        <w:rPr>
          <w:rFonts w:ascii="Garamond" w:hAnsi="Garamond" w:cs="Arial"/>
          <w:sz w:val="24"/>
          <w:szCs w:val="24"/>
        </w:rPr>
        <w:t xml:space="preserve">ao </w:t>
      </w:r>
      <w:r w:rsidR="00823BE0" w:rsidRPr="003A1174">
        <w:rPr>
          <w:rFonts w:ascii="Garamond" w:hAnsi="Garamond" w:cs="Arial"/>
          <w:sz w:val="24"/>
          <w:szCs w:val="24"/>
        </w:rPr>
        <w:t>mecanismo nacional que regul</w:t>
      </w:r>
      <w:r w:rsidR="00CF42A3" w:rsidRPr="003A1174">
        <w:rPr>
          <w:rFonts w:ascii="Garamond" w:hAnsi="Garamond" w:cs="Arial"/>
          <w:sz w:val="24"/>
          <w:szCs w:val="24"/>
        </w:rPr>
        <w:t xml:space="preserve">ou o </w:t>
      </w:r>
      <w:r w:rsidR="00B936A7" w:rsidRPr="003A1174">
        <w:rPr>
          <w:rFonts w:ascii="Garamond" w:hAnsi="Garamond" w:cs="Arial"/>
          <w:sz w:val="24"/>
          <w:szCs w:val="24"/>
        </w:rPr>
        <w:t>abrigo</w:t>
      </w:r>
      <w:r w:rsidR="00CF42A3" w:rsidRPr="003A1174">
        <w:rPr>
          <w:rFonts w:ascii="Garamond" w:hAnsi="Garamond" w:cs="Arial"/>
          <w:sz w:val="24"/>
          <w:szCs w:val="24"/>
        </w:rPr>
        <w:t xml:space="preserve"> para </w:t>
      </w:r>
      <w:r w:rsidR="00823BE0" w:rsidRPr="003A1174">
        <w:rPr>
          <w:rFonts w:ascii="Garamond" w:hAnsi="Garamond" w:cs="Arial"/>
          <w:sz w:val="24"/>
          <w:szCs w:val="24"/>
        </w:rPr>
        <w:t xml:space="preserve">as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s d</w:t>
      </w:r>
      <w:r w:rsidR="00282E09">
        <w:rPr>
          <w:rFonts w:ascii="Garamond" w:hAnsi="Garamond" w:cs="Arial"/>
          <w:sz w:val="24"/>
          <w:szCs w:val="24"/>
        </w:rPr>
        <w:t>e</w:t>
      </w:r>
      <w:r w:rsidR="00823BE0" w:rsidRPr="003A1174">
        <w:rPr>
          <w:rFonts w:ascii="Garamond" w:hAnsi="Garamond" w:cs="Arial"/>
          <w:sz w:val="24"/>
          <w:szCs w:val="24"/>
        </w:rPr>
        <w:t xml:space="preserve"> </w:t>
      </w:r>
      <w:r w:rsidR="000350B1" w:rsidRPr="003A1174">
        <w:rPr>
          <w:rFonts w:ascii="Garamond" w:hAnsi="Garamond" w:cs="Arial"/>
          <w:sz w:val="24"/>
          <w:szCs w:val="24"/>
        </w:rPr>
        <w:t>violência</w:t>
      </w:r>
      <w:r w:rsidR="00861B54" w:rsidRPr="003A1174">
        <w:rPr>
          <w:rFonts w:ascii="Garamond" w:hAnsi="Garamond" w:cs="Arial"/>
          <w:sz w:val="24"/>
          <w:szCs w:val="24"/>
        </w:rPr>
        <w:t>;</w:t>
      </w:r>
      <w:r w:rsidR="00823BE0" w:rsidRPr="003A1174">
        <w:rPr>
          <w:rFonts w:ascii="Garamond" w:hAnsi="Garamond" w:cs="Arial"/>
          <w:sz w:val="24"/>
          <w:szCs w:val="24"/>
        </w:rPr>
        <w:t xml:space="preserve"> </w:t>
      </w:r>
      <w:r w:rsidR="00CF42A3" w:rsidRPr="003A1174">
        <w:rPr>
          <w:rFonts w:ascii="Garamond" w:hAnsi="Garamond" w:cs="Arial"/>
          <w:sz w:val="24"/>
          <w:szCs w:val="24"/>
        </w:rPr>
        <w:t xml:space="preserve">no entanto, o </w:t>
      </w:r>
      <w:r w:rsidR="00C01806" w:rsidRPr="003A1174">
        <w:rPr>
          <w:rFonts w:ascii="Garamond" w:hAnsi="Garamond" w:cs="Arial"/>
          <w:sz w:val="24"/>
          <w:szCs w:val="24"/>
        </w:rPr>
        <w:t>seguimento</w:t>
      </w:r>
      <w:r w:rsidR="00823BE0" w:rsidRPr="003A1174">
        <w:rPr>
          <w:rFonts w:ascii="Garamond" w:hAnsi="Garamond" w:cs="Arial"/>
          <w:sz w:val="24"/>
          <w:szCs w:val="24"/>
        </w:rPr>
        <w:t xml:space="preserve"> </w:t>
      </w:r>
      <w:r w:rsidR="00CF42A3" w:rsidRPr="003A1174">
        <w:rPr>
          <w:rFonts w:ascii="Garamond" w:hAnsi="Garamond" w:cs="Arial"/>
          <w:sz w:val="24"/>
          <w:szCs w:val="24"/>
        </w:rPr>
        <w:t xml:space="preserve">de </w:t>
      </w:r>
      <w:r w:rsidR="00823BE0" w:rsidRPr="003A1174">
        <w:rPr>
          <w:rFonts w:ascii="Garamond" w:hAnsi="Garamond" w:cs="Arial"/>
          <w:sz w:val="24"/>
          <w:szCs w:val="24"/>
        </w:rPr>
        <w:t xml:space="preserve">casos particulares por parte da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mostr</w:t>
      </w:r>
      <w:r w:rsidR="00CF42A3" w:rsidRPr="003A1174">
        <w:rPr>
          <w:rFonts w:ascii="Garamond" w:hAnsi="Garamond" w:cs="Arial"/>
          <w:sz w:val="24"/>
          <w:szCs w:val="24"/>
        </w:rPr>
        <w:t xml:space="preserve">ou </w:t>
      </w:r>
      <w:r w:rsidR="00823BE0" w:rsidRPr="003A1174">
        <w:rPr>
          <w:rFonts w:ascii="Garamond" w:hAnsi="Garamond" w:cs="Arial"/>
          <w:sz w:val="24"/>
          <w:szCs w:val="24"/>
        </w:rPr>
        <w:t>que</w:t>
      </w:r>
      <w:r w:rsidR="00CF42A3" w:rsidRPr="003A1174">
        <w:rPr>
          <w:rFonts w:ascii="Garamond" w:hAnsi="Garamond" w:cs="Arial"/>
          <w:sz w:val="24"/>
          <w:szCs w:val="24"/>
        </w:rPr>
        <w:t>,</w:t>
      </w:r>
      <w:r w:rsidR="00823BE0" w:rsidRPr="003A1174">
        <w:rPr>
          <w:rFonts w:ascii="Garamond" w:hAnsi="Garamond" w:cs="Arial"/>
          <w:sz w:val="24"/>
          <w:szCs w:val="24"/>
        </w:rPr>
        <w:t xml:space="preserve"> </w:t>
      </w:r>
      <w:r w:rsidR="00CF42A3" w:rsidRPr="003A1174">
        <w:rPr>
          <w:rFonts w:ascii="Garamond" w:hAnsi="Garamond" w:cs="Arial"/>
          <w:sz w:val="24"/>
          <w:szCs w:val="24"/>
        </w:rPr>
        <w:t>n</w:t>
      </w:r>
      <w:r w:rsidR="00823BE0" w:rsidRPr="003A1174">
        <w:rPr>
          <w:rFonts w:ascii="Garamond" w:hAnsi="Garamond" w:cs="Arial"/>
          <w:sz w:val="24"/>
          <w:szCs w:val="24"/>
        </w:rPr>
        <w:t xml:space="preserve">a </w:t>
      </w:r>
      <w:r w:rsidR="00661ADB" w:rsidRPr="003A1174">
        <w:rPr>
          <w:rFonts w:ascii="Garamond" w:hAnsi="Garamond" w:cs="Arial"/>
          <w:sz w:val="24"/>
          <w:szCs w:val="24"/>
        </w:rPr>
        <w:t>prática</w:t>
      </w:r>
      <w:r w:rsidR="00CF42A3" w:rsidRPr="003A1174">
        <w:rPr>
          <w:rFonts w:ascii="Garamond" w:hAnsi="Garamond" w:cs="Arial"/>
          <w:sz w:val="24"/>
          <w:szCs w:val="24"/>
        </w:rPr>
        <w:t>,</w:t>
      </w:r>
      <w:r w:rsidR="00823BE0" w:rsidRPr="003A1174">
        <w:rPr>
          <w:rFonts w:ascii="Garamond" w:hAnsi="Garamond" w:cs="Arial"/>
          <w:sz w:val="24"/>
          <w:szCs w:val="24"/>
        </w:rPr>
        <w:t xml:space="preserve"> </w:t>
      </w:r>
      <w:r w:rsidR="00CF42A3" w:rsidRPr="003A1174">
        <w:rPr>
          <w:rFonts w:ascii="Garamond" w:hAnsi="Garamond" w:cs="Arial"/>
          <w:sz w:val="24"/>
          <w:szCs w:val="24"/>
        </w:rPr>
        <w:t>o</w:t>
      </w:r>
      <w:r w:rsidR="00823BE0" w:rsidRPr="003A1174">
        <w:rPr>
          <w:rFonts w:ascii="Garamond" w:hAnsi="Garamond" w:cs="Arial"/>
          <w:sz w:val="24"/>
          <w:szCs w:val="24"/>
        </w:rPr>
        <w:t xml:space="preserve"> mecanismo </w:t>
      </w:r>
      <w:r w:rsidR="00CF42A3" w:rsidRPr="003A1174">
        <w:rPr>
          <w:rFonts w:ascii="Garamond" w:hAnsi="Garamond" w:cs="Arial"/>
          <w:sz w:val="24"/>
          <w:szCs w:val="24"/>
        </w:rPr>
        <w:t xml:space="preserve">é </w:t>
      </w:r>
      <w:r w:rsidR="00F96DD1" w:rsidRPr="003A1174">
        <w:rPr>
          <w:rFonts w:ascii="Garamond" w:hAnsi="Garamond" w:cs="Arial"/>
          <w:sz w:val="24"/>
          <w:szCs w:val="24"/>
        </w:rPr>
        <w:t>complexo</w:t>
      </w:r>
      <w:r w:rsidR="00823BE0" w:rsidRPr="003A1174">
        <w:rPr>
          <w:rFonts w:ascii="Garamond" w:hAnsi="Garamond" w:cs="Arial"/>
          <w:sz w:val="24"/>
          <w:szCs w:val="24"/>
        </w:rPr>
        <w:t>, n</w:t>
      </w:r>
      <w:r w:rsidR="00CF42A3" w:rsidRPr="003A1174">
        <w:rPr>
          <w:rFonts w:ascii="Garamond" w:hAnsi="Garamond" w:cs="Arial"/>
          <w:sz w:val="24"/>
          <w:szCs w:val="24"/>
        </w:rPr>
        <w:t>ã</w:t>
      </w:r>
      <w:r w:rsidR="00823BE0" w:rsidRPr="003A1174">
        <w:rPr>
          <w:rFonts w:ascii="Garamond" w:hAnsi="Garamond" w:cs="Arial"/>
          <w:sz w:val="24"/>
          <w:szCs w:val="24"/>
        </w:rPr>
        <w:t xml:space="preserve">o responde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6506C6" w:rsidRPr="003A1174">
        <w:rPr>
          <w:rFonts w:ascii="Garamond" w:hAnsi="Garamond" w:cs="Arial"/>
          <w:sz w:val="24"/>
          <w:szCs w:val="24"/>
        </w:rPr>
        <w:t>necessidades</w:t>
      </w:r>
      <w:r w:rsidR="00823BE0" w:rsidRPr="003A1174">
        <w:rPr>
          <w:rFonts w:ascii="Garamond" w:hAnsi="Garamond" w:cs="Arial"/>
          <w:sz w:val="24"/>
          <w:szCs w:val="24"/>
        </w:rPr>
        <w:t xml:space="preserve"> n</w:t>
      </w:r>
      <w:r w:rsidR="00CF42A3" w:rsidRPr="003A1174">
        <w:rPr>
          <w:rFonts w:ascii="Garamond" w:hAnsi="Garamond" w:cs="Arial"/>
          <w:sz w:val="24"/>
          <w:szCs w:val="24"/>
        </w:rPr>
        <w:t xml:space="preserve">em </w:t>
      </w:r>
      <w:r w:rsidR="00282E09">
        <w:rPr>
          <w:rFonts w:ascii="Garamond" w:hAnsi="Garamond" w:cs="Arial"/>
          <w:sz w:val="24"/>
          <w:szCs w:val="24"/>
        </w:rPr>
        <w:t xml:space="preserve">à </w:t>
      </w:r>
      <w:r w:rsidR="006C760C" w:rsidRPr="003A1174">
        <w:rPr>
          <w:rFonts w:ascii="Garamond" w:hAnsi="Garamond" w:cs="Arial"/>
          <w:sz w:val="24"/>
          <w:szCs w:val="24"/>
        </w:rPr>
        <w:t>urgência</w:t>
      </w:r>
      <w:r w:rsidR="00823BE0" w:rsidRPr="003A1174">
        <w:rPr>
          <w:rFonts w:ascii="Garamond" w:hAnsi="Garamond" w:cs="Arial"/>
          <w:sz w:val="24"/>
          <w:szCs w:val="24"/>
        </w:rPr>
        <w:t xml:space="preserve"> da </w:t>
      </w:r>
      <w:r w:rsidR="0017447A" w:rsidRPr="003A1174">
        <w:rPr>
          <w:rFonts w:ascii="Garamond" w:hAnsi="Garamond" w:cs="Arial"/>
          <w:sz w:val="24"/>
          <w:szCs w:val="24"/>
        </w:rPr>
        <w:t>situação</w:t>
      </w:r>
      <w:r w:rsidR="00823BE0" w:rsidRPr="003A1174">
        <w:rPr>
          <w:rFonts w:ascii="Garamond" w:hAnsi="Garamond" w:cs="Arial"/>
          <w:sz w:val="24"/>
          <w:szCs w:val="24"/>
        </w:rPr>
        <w:t xml:space="preserve">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po</w:t>
      </w:r>
      <w:r w:rsidR="00CF42A3" w:rsidRPr="003A1174">
        <w:rPr>
          <w:rFonts w:ascii="Garamond" w:hAnsi="Garamond" w:cs="Arial"/>
          <w:sz w:val="24"/>
          <w:szCs w:val="24"/>
        </w:rPr>
        <w:t>u</w:t>
      </w:r>
      <w:r w:rsidR="00823BE0" w:rsidRPr="003A1174">
        <w:rPr>
          <w:rFonts w:ascii="Garamond" w:hAnsi="Garamond" w:cs="Arial"/>
          <w:sz w:val="24"/>
          <w:szCs w:val="24"/>
        </w:rPr>
        <w:t xml:space="preserve">cas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CF42A3" w:rsidRPr="003A1174">
        <w:rPr>
          <w:rFonts w:ascii="Garamond" w:hAnsi="Garamond" w:cs="Arial"/>
          <w:sz w:val="24"/>
          <w:szCs w:val="24"/>
        </w:rPr>
        <w:t xml:space="preserve">recorrem às mencionadas </w:t>
      </w:r>
      <w:r w:rsidR="00823BE0" w:rsidRPr="003A1174">
        <w:rPr>
          <w:rFonts w:ascii="Garamond" w:hAnsi="Garamond" w:cs="Arial"/>
          <w:sz w:val="24"/>
          <w:szCs w:val="24"/>
        </w:rPr>
        <w:t xml:space="preserve">medidas de </w:t>
      </w:r>
      <w:r w:rsidR="00886D6A" w:rsidRPr="003A1174">
        <w:rPr>
          <w:rFonts w:ascii="Garamond" w:hAnsi="Garamond" w:cs="Arial"/>
          <w:sz w:val="24"/>
          <w:szCs w:val="24"/>
        </w:rPr>
        <w:t>proteção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8278C4" w:rsidRPr="003A1174">
        <w:rPr>
          <w:rFonts w:ascii="Garamond" w:hAnsi="Garamond" w:cs="Arial"/>
          <w:sz w:val="24"/>
          <w:szCs w:val="24"/>
        </w:rPr>
        <w:t>atenção</w:t>
      </w:r>
      <w:r w:rsidR="00823BE0" w:rsidRPr="003A1174">
        <w:rPr>
          <w:rFonts w:ascii="Garamond" w:hAnsi="Garamond" w:cs="Arial"/>
          <w:sz w:val="24"/>
          <w:szCs w:val="24"/>
        </w:rPr>
        <w:t>.</w:t>
      </w:r>
    </w:p>
    <w:p w:rsidR="00823BE0" w:rsidRPr="003A1174" w:rsidRDefault="00CF42A3" w:rsidP="008719D4">
      <w:pPr>
        <w:spacing w:before="240" w:line="240" w:lineRule="auto"/>
        <w:jc w:val="both"/>
        <w:rPr>
          <w:rFonts w:ascii="Garamond" w:hAnsi="Garamond" w:cs="Arial"/>
          <w:sz w:val="24"/>
          <w:szCs w:val="24"/>
        </w:rPr>
      </w:pPr>
      <w:r w:rsidRPr="003A1174">
        <w:rPr>
          <w:rFonts w:ascii="Garamond" w:hAnsi="Garamond" w:cs="Arial"/>
          <w:sz w:val="24"/>
          <w:szCs w:val="24"/>
        </w:rPr>
        <w:lastRenderedPageBreak/>
        <w:t xml:space="preserve">A </w:t>
      </w:r>
      <w:r w:rsidR="006C6E85" w:rsidRPr="003A1174">
        <w:rPr>
          <w:rFonts w:ascii="Garamond" w:hAnsi="Garamond" w:cs="Arial"/>
          <w:sz w:val="24"/>
          <w:szCs w:val="24"/>
        </w:rPr>
        <w:t>Provedoria</w:t>
      </w:r>
      <w:r w:rsidRPr="003A1174">
        <w:rPr>
          <w:rFonts w:ascii="Garamond" w:hAnsi="Garamond" w:cs="Arial"/>
          <w:sz w:val="24"/>
          <w:szCs w:val="24"/>
        </w:rPr>
        <w:t xml:space="preserve"> Delegada para </w:t>
      </w:r>
      <w:r w:rsidR="00823BE0" w:rsidRPr="003A1174">
        <w:rPr>
          <w:rFonts w:ascii="Garamond" w:hAnsi="Garamond" w:cs="Arial"/>
          <w:sz w:val="24"/>
          <w:szCs w:val="24"/>
        </w:rPr>
        <w:t xml:space="preserve">os </w:t>
      </w:r>
      <w:r w:rsidR="00886D6A" w:rsidRPr="003A1174">
        <w:rPr>
          <w:rFonts w:ascii="Garamond" w:hAnsi="Garamond" w:cs="Arial"/>
          <w:sz w:val="24"/>
          <w:szCs w:val="24"/>
        </w:rPr>
        <w:t>Direito</w:t>
      </w:r>
      <w:r w:rsidR="00823BE0" w:rsidRPr="003A1174">
        <w:rPr>
          <w:rFonts w:ascii="Garamond" w:hAnsi="Garamond" w:cs="Arial"/>
          <w:sz w:val="24"/>
          <w:szCs w:val="24"/>
        </w:rPr>
        <w:t xml:space="preserve">s da </w:t>
      </w:r>
      <w:r w:rsidR="003A391A" w:rsidRPr="003A1174">
        <w:rPr>
          <w:rFonts w:ascii="Garamond" w:hAnsi="Garamond" w:cs="Arial"/>
          <w:sz w:val="24"/>
          <w:szCs w:val="24"/>
        </w:rPr>
        <w:t>Infância</w:t>
      </w:r>
      <w:r w:rsidRPr="003A1174">
        <w:rPr>
          <w:rFonts w:ascii="Garamond" w:hAnsi="Garamond" w:cs="Arial"/>
          <w:sz w:val="24"/>
          <w:szCs w:val="24"/>
        </w:rPr>
        <w:t>, d</w:t>
      </w:r>
      <w:r w:rsidR="00823BE0" w:rsidRPr="003A1174">
        <w:rPr>
          <w:rFonts w:ascii="Garamond" w:hAnsi="Garamond" w:cs="Arial"/>
          <w:sz w:val="24"/>
          <w:szCs w:val="24"/>
        </w:rPr>
        <w:t>a Juventud</w:t>
      </w:r>
      <w:r w:rsidRPr="003A1174">
        <w:rPr>
          <w:rFonts w:ascii="Garamond" w:hAnsi="Garamond" w:cs="Arial"/>
          <w:sz w:val="24"/>
          <w:szCs w:val="24"/>
        </w:rPr>
        <w:t>e</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d</w:t>
      </w:r>
      <w:r w:rsidR="00823BE0" w:rsidRPr="003A1174">
        <w:rPr>
          <w:rFonts w:ascii="Garamond" w:hAnsi="Garamond" w:cs="Arial"/>
          <w:sz w:val="24"/>
          <w:szCs w:val="24"/>
        </w:rPr>
        <w:t xml:space="preserve">a </w:t>
      </w:r>
      <w:r w:rsidR="00AF192F" w:rsidRPr="003A1174">
        <w:rPr>
          <w:rFonts w:ascii="Garamond" w:hAnsi="Garamond" w:cs="Arial"/>
          <w:sz w:val="24"/>
          <w:szCs w:val="24"/>
        </w:rPr>
        <w:t>Mulher</w:t>
      </w:r>
      <w:r w:rsidR="00823BE0" w:rsidRPr="003A1174">
        <w:rPr>
          <w:rFonts w:ascii="Garamond" w:hAnsi="Garamond" w:cs="Arial"/>
          <w:sz w:val="24"/>
          <w:szCs w:val="24"/>
        </w:rPr>
        <w:t xml:space="preserve">, </w:t>
      </w:r>
      <w:r w:rsidR="00DD569C" w:rsidRPr="003A1174">
        <w:rPr>
          <w:rFonts w:ascii="Garamond" w:hAnsi="Garamond" w:cs="Arial"/>
          <w:sz w:val="24"/>
          <w:szCs w:val="24"/>
        </w:rPr>
        <w:t>a</w:t>
      </w:r>
      <w:r w:rsidRPr="003A1174">
        <w:rPr>
          <w:rFonts w:ascii="Garamond" w:hAnsi="Garamond" w:cs="Arial"/>
          <w:sz w:val="24"/>
          <w:szCs w:val="24"/>
        </w:rPr>
        <w:t>s</w:t>
      </w:r>
      <w:r w:rsidR="00DD569C" w:rsidRPr="003A1174">
        <w:rPr>
          <w:rFonts w:ascii="Garamond" w:hAnsi="Garamond" w:cs="Arial"/>
          <w:sz w:val="24"/>
          <w:szCs w:val="24"/>
        </w:rPr>
        <w:t>sociada</w:t>
      </w:r>
      <w:r w:rsidRPr="003A1174">
        <w:rPr>
          <w:rFonts w:ascii="Garamond" w:hAnsi="Garamond" w:cs="Arial"/>
          <w:sz w:val="24"/>
          <w:szCs w:val="24"/>
        </w:rPr>
        <w:t xml:space="preserve"> à Procuradoria-Geral</w:t>
      </w:r>
      <w:r w:rsidR="00823BE0" w:rsidRPr="003A1174">
        <w:rPr>
          <w:rFonts w:ascii="Garamond" w:hAnsi="Garamond" w:cs="Arial"/>
          <w:sz w:val="24"/>
          <w:szCs w:val="24"/>
        </w:rPr>
        <w:t xml:space="preserve"> da </w:t>
      </w:r>
      <w:r w:rsidR="006E0719" w:rsidRPr="003A1174">
        <w:rPr>
          <w:rFonts w:ascii="Garamond" w:hAnsi="Garamond" w:cs="Arial"/>
          <w:sz w:val="24"/>
          <w:szCs w:val="24"/>
        </w:rPr>
        <w:t>Nação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à</w:t>
      </w:r>
      <w:r w:rsidR="00823BE0" w:rsidRPr="003A1174">
        <w:rPr>
          <w:rFonts w:ascii="Garamond" w:hAnsi="Garamond" w:cs="Arial"/>
          <w:sz w:val="24"/>
          <w:szCs w:val="24"/>
        </w:rPr>
        <w:t xml:space="preserve"> </w:t>
      </w:r>
      <w:r w:rsidRPr="003A1174">
        <w:rPr>
          <w:rFonts w:ascii="Garamond" w:hAnsi="Garamond" w:cs="Arial"/>
          <w:sz w:val="24"/>
          <w:szCs w:val="24"/>
        </w:rPr>
        <w:t xml:space="preserve">Alta Assessoria para </w:t>
      </w:r>
      <w:r w:rsidR="00823BE0" w:rsidRPr="003A1174">
        <w:rPr>
          <w:rFonts w:ascii="Garamond" w:hAnsi="Garamond" w:cs="Arial"/>
          <w:sz w:val="24"/>
          <w:szCs w:val="24"/>
        </w:rPr>
        <w:t xml:space="preserve">a </w:t>
      </w:r>
      <w:r w:rsidR="00C01806" w:rsidRPr="003A1174">
        <w:rPr>
          <w:rFonts w:ascii="Garamond" w:hAnsi="Garamond" w:cs="Arial"/>
          <w:sz w:val="24"/>
          <w:szCs w:val="24"/>
        </w:rPr>
        <w:t>Equidade</w:t>
      </w:r>
      <w:r w:rsidR="00823BE0" w:rsidRPr="003A1174">
        <w:rPr>
          <w:rFonts w:ascii="Garamond" w:hAnsi="Garamond" w:cs="Arial"/>
          <w:sz w:val="24"/>
          <w:szCs w:val="24"/>
        </w:rPr>
        <w:t xml:space="preserve"> da </w:t>
      </w:r>
      <w:r w:rsidR="00AF192F" w:rsidRPr="003A1174">
        <w:rPr>
          <w:rFonts w:ascii="Garamond" w:hAnsi="Garamond" w:cs="Arial"/>
          <w:sz w:val="24"/>
          <w:szCs w:val="24"/>
        </w:rPr>
        <w:t>Mulher</w:t>
      </w:r>
      <w:r w:rsidR="00823BE0" w:rsidRPr="003A1174">
        <w:rPr>
          <w:rFonts w:ascii="Garamond" w:hAnsi="Garamond" w:cs="Arial"/>
          <w:sz w:val="24"/>
          <w:szCs w:val="24"/>
        </w:rPr>
        <w:t>, realizar</w:t>
      </w:r>
      <w:r w:rsidRPr="003A1174">
        <w:rPr>
          <w:rFonts w:ascii="Garamond" w:hAnsi="Garamond" w:cs="Arial"/>
          <w:sz w:val="24"/>
          <w:szCs w:val="24"/>
        </w:rPr>
        <w:t xml:space="preserve">am um </w:t>
      </w:r>
      <w:r w:rsidR="003F012B" w:rsidRPr="003A1174">
        <w:rPr>
          <w:rFonts w:ascii="Garamond" w:hAnsi="Garamond" w:cs="Arial"/>
          <w:sz w:val="24"/>
          <w:szCs w:val="24"/>
        </w:rPr>
        <w:t>estudo</w:t>
      </w:r>
      <w:r w:rsidR="00823BE0" w:rsidRPr="003A1174">
        <w:rPr>
          <w:rFonts w:ascii="Garamond" w:hAnsi="Garamond" w:cs="Arial"/>
          <w:sz w:val="24"/>
          <w:szCs w:val="24"/>
        </w:rPr>
        <w:t xml:space="preserve"> jurídico </w:t>
      </w:r>
      <w:r w:rsidR="00497503" w:rsidRPr="003A1174">
        <w:rPr>
          <w:rFonts w:ascii="Garamond" w:hAnsi="Garamond" w:cs="Arial"/>
          <w:sz w:val="24"/>
          <w:szCs w:val="24"/>
        </w:rPr>
        <w:t>dos</w:t>
      </w:r>
      <w:r w:rsidR="00823BE0" w:rsidRPr="003A1174">
        <w:rPr>
          <w:rFonts w:ascii="Garamond" w:hAnsi="Garamond" w:cs="Arial"/>
          <w:sz w:val="24"/>
          <w:szCs w:val="24"/>
        </w:rPr>
        <w:t xml:space="preserve"> </w:t>
      </w:r>
      <w:r w:rsidR="001D06C0">
        <w:rPr>
          <w:rFonts w:ascii="Garamond" w:hAnsi="Garamond" w:cs="Arial"/>
          <w:sz w:val="24"/>
          <w:szCs w:val="24"/>
        </w:rPr>
        <w:t xml:space="preserve">mencionados </w:t>
      </w:r>
      <w:r w:rsidR="00823BE0" w:rsidRPr="003A1174">
        <w:rPr>
          <w:rFonts w:ascii="Garamond" w:hAnsi="Garamond" w:cs="Arial"/>
          <w:sz w:val="24"/>
          <w:szCs w:val="24"/>
        </w:rPr>
        <w:t>decretos</w:t>
      </w:r>
      <w:r w:rsidRPr="003A1174">
        <w:rPr>
          <w:rFonts w:ascii="Garamond" w:hAnsi="Garamond" w:cs="Arial"/>
          <w:sz w:val="24"/>
          <w:szCs w:val="24"/>
        </w:rPr>
        <w:t xml:space="preserve">, através da esquematização dos passos que as mulheres </w:t>
      </w:r>
      <w:r w:rsidR="00A862C2" w:rsidRPr="003A1174">
        <w:rPr>
          <w:rFonts w:ascii="Garamond" w:hAnsi="Garamond" w:cs="Arial"/>
          <w:sz w:val="24"/>
          <w:szCs w:val="24"/>
        </w:rPr>
        <w:t>deve</w:t>
      </w:r>
      <w:r w:rsidRPr="003A1174">
        <w:rPr>
          <w:rFonts w:ascii="Garamond" w:hAnsi="Garamond" w:cs="Arial"/>
          <w:sz w:val="24"/>
          <w:szCs w:val="24"/>
        </w:rPr>
        <w:t>m</w:t>
      </w:r>
      <w:r w:rsidR="00823BE0" w:rsidRPr="003A1174">
        <w:rPr>
          <w:rFonts w:ascii="Garamond" w:hAnsi="Garamond" w:cs="Arial"/>
          <w:sz w:val="24"/>
          <w:szCs w:val="24"/>
        </w:rPr>
        <w:t xml:space="preserve"> seguir para aceder</w:t>
      </w:r>
      <w:r w:rsidRPr="003A1174">
        <w:rPr>
          <w:rFonts w:ascii="Garamond" w:hAnsi="Garamond" w:cs="Arial"/>
          <w:sz w:val="24"/>
          <w:szCs w:val="24"/>
        </w:rPr>
        <w:t>em</w:t>
      </w:r>
      <w:r w:rsidR="00823BE0" w:rsidRPr="003A1174">
        <w:rPr>
          <w:rFonts w:ascii="Garamond" w:hAnsi="Garamond" w:cs="Arial"/>
          <w:sz w:val="24"/>
          <w:szCs w:val="24"/>
        </w:rPr>
        <w:t xml:space="preserve"> </w:t>
      </w:r>
      <w:r w:rsidR="00BB2B00" w:rsidRPr="003A1174">
        <w:rPr>
          <w:rFonts w:ascii="Garamond" w:hAnsi="Garamond" w:cs="Arial"/>
          <w:sz w:val="24"/>
          <w:szCs w:val="24"/>
        </w:rPr>
        <w:t>à</w:t>
      </w:r>
      <w:r w:rsidR="00823BE0" w:rsidRPr="003A1174">
        <w:rPr>
          <w:rFonts w:ascii="Garamond" w:hAnsi="Garamond" w:cs="Arial"/>
          <w:sz w:val="24"/>
          <w:szCs w:val="24"/>
        </w:rPr>
        <w:t xml:space="preserve">s medidas de </w:t>
      </w:r>
      <w:r w:rsidR="00886D6A" w:rsidRPr="003A1174">
        <w:rPr>
          <w:rFonts w:ascii="Garamond" w:hAnsi="Garamond" w:cs="Arial"/>
          <w:sz w:val="24"/>
          <w:szCs w:val="24"/>
        </w:rPr>
        <w:t>proteção</w:t>
      </w:r>
      <w:r w:rsidR="00823BE0" w:rsidRPr="003A1174">
        <w:rPr>
          <w:rFonts w:ascii="Garamond" w:hAnsi="Garamond" w:cs="Arial"/>
          <w:sz w:val="24"/>
          <w:szCs w:val="24"/>
        </w:rPr>
        <w:t xml:space="preserve"> o</w:t>
      </w:r>
      <w:r w:rsidRPr="003A1174">
        <w:rPr>
          <w:rFonts w:ascii="Garamond" w:hAnsi="Garamond" w:cs="Arial"/>
          <w:sz w:val="24"/>
          <w:szCs w:val="24"/>
        </w:rPr>
        <w:t>u</w:t>
      </w:r>
      <w:r w:rsidR="00823BE0" w:rsidRPr="003A1174">
        <w:rPr>
          <w:rFonts w:ascii="Garamond" w:hAnsi="Garamond" w:cs="Arial"/>
          <w:sz w:val="24"/>
          <w:szCs w:val="24"/>
        </w:rPr>
        <w:t xml:space="preserve"> </w:t>
      </w:r>
      <w:r w:rsidR="008278C4" w:rsidRPr="003A1174">
        <w:rPr>
          <w:rFonts w:ascii="Garamond" w:hAnsi="Garamond" w:cs="Arial"/>
          <w:sz w:val="24"/>
          <w:szCs w:val="24"/>
        </w:rPr>
        <w:t>atenção</w:t>
      </w:r>
      <w:r w:rsidRPr="003A1174">
        <w:rPr>
          <w:rFonts w:ascii="Garamond" w:hAnsi="Garamond" w:cs="Arial"/>
          <w:sz w:val="24"/>
          <w:szCs w:val="24"/>
        </w:rPr>
        <w:t xml:space="preserve"> e </w:t>
      </w:r>
      <w:r w:rsidR="00823BE0" w:rsidRPr="003A1174">
        <w:rPr>
          <w:rFonts w:ascii="Garamond" w:hAnsi="Garamond" w:cs="Arial"/>
          <w:sz w:val="24"/>
          <w:szCs w:val="24"/>
        </w:rPr>
        <w:t>encontra</w:t>
      </w:r>
      <w:r w:rsidRPr="003A1174">
        <w:rPr>
          <w:rFonts w:ascii="Garamond" w:hAnsi="Garamond" w:cs="Arial"/>
          <w:sz w:val="24"/>
          <w:szCs w:val="24"/>
        </w:rPr>
        <w:t xml:space="preserve">ram </w:t>
      </w:r>
      <w:r w:rsidR="001D06C0">
        <w:rPr>
          <w:rFonts w:ascii="Garamond" w:hAnsi="Garamond" w:cs="Arial"/>
          <w:sz w:val="24"/>
          <w:szCs w:val="24"/>
        </w:rPr>
        <w:t xml:space="preserve">inúmeros </w:t>
      </w:r>
      <w:r w:rsidR="00823BE0" w:rsidRPr="003A1174">
        <w:rPr>
          <w:rFonts w:ascii="Garamond" w:hAnsi="Garamond" w:cs="Arial"/>
          <w:sz w:val="24"/>
          <w:szCs w:val="24"/>
        </w:rPr>
        <w:t xml:space="preserve">obstáculos </w:t>
      </w:r>
      <w:r w:rsidR="000672E8" w:rsidRPr="003A1174">
        <w:rPr>
          <w:rFonts w:ascii="Garamond" w:hAnsi="Garamond" w:cs="Arial"/>
          <w:sz w:val="24"/>
          <w:szCs w:val="24"/>
        </w:rPr>
        <w:t>e</w:t>
      </w:r>
      <w:r w:rsidR="00823BE0" w:rsidRPr="003A1174">
        <w:rPr>
          <w:rFonts w:ascii="Garamond" w:hAnsi="Garamond" w:cs="Arial"/>
          <w:sz w:val="24"/>
          <w:szCs w:val="24"/>
        </w:rPr>
        <w:t xml:space="preserve"> va</w:t>
      </w:r>
      <w:r w:rsidRPr="003A1174">
        <w:rPr>
          <w:rFonts w:ascii="Garamond" w:hAnsi="Garamond" w:cs="Arial"/>
          <w:sz w:val="24"/>
          <w:szCs w:val="24"/>
        </w:rPr>
        <w:t>zi</w:t>
      </w:r>
      <w:r w:rsidR="00823BE0" w:rsidRPr="003A1174">
        <w:rPr>
          <w:rFonts w:ascii="Garamond" w:hAnsi="Garamond" w:cs="Arial"/>
          <w:sz w:val="24"/>
          <w:szCs w:val="24"/>
        </w:rPr>
        <w:t xml:space="preserve">os </w:t>
      </w:r>
      <w:r w:rsidRPr="003A1174">
        <w:rPr>
          <w:rFonts w:ascii="Garamond" w:hAnsi="Garamond" w:cs="Arial"/>
          <w:sz w:val="24"/>
          <w:szCs w:val="24"/>
        </w:rPr>
        <w:t>n</w:t>
      </w:r>
      <w:r w:rsidR="00823BE0" w:rsidRPr="003A1174">
        <w:rPr>
          <w:rFonts w:ascii="Garamond" w:hAnsi="Garamond" w:cs="Arial"/>
          <w:sz w:val="24"/>
          <w:szCs w:val="24"/>
        </w:rPr>
        <w:t xml:space="preserve">a </w:t>
      </w:r>
      <w:r w:rsidR="00E45CCF" w:rsidRPr="003A1174">
        <w:rPr>
          <w:rFonts w:ascii="Garamond" w:hAnsi="Garamond" w:cs="Arial"/>
          <w:sz w:val="24"/>
          <w:szCs w:val="24"/>
        </w:rPr>
        <w:t>definição</w:t>
      </w:r>
      <w:r w:rsidR="00823BE0" w:rsidRPr="003A1174">
        <w:rPr>
          <w:rFonts w:ascii="Garamond" w:hAnsi="Garamond" w:cs="Arial"/>
          <w:sz w:val="24"/>
          <w:szCs w:val="24"/>
        </w:rPr>
        <w:t xml:space="preserve"> de </w:t>
      </w:r>
      <w:r w:rsidR="003F012B" w:rsidRPr="003A1174">
        <w:rPr>
          <w:rFonts w:ascii="Garamond" w:hAnsi="Garamond" w:cs="Arial"/>
          <w:sz w:val="24"/>
          <w:szCs w:val="24"/>
        </w:rPr>
        <w:t>procedimentos</w:t>
      </w:r>
      <w:r w:rsidR="00823BE0" w:rsidRPr="003A1174">
        <w:rPr>
          <w:rFonts w:ascii="Garamond" w:hAnsi="Garamond" w:cs="Arial"/>
          <w:sz w:val="24"/>
          <w:szCs w:val="24"/>
        </w:rPr>
        <w:t xml:space="preserve">, </w:t>
      </w:r>
      <w:r w:rsidR="003F012B" w:rsidRPr="003A1174">
        <w:rPr>
          <w:rFonts w:ascii="Garamond" w:hAnsi="Garamond" w:cs="Arial"/>
          <w:sz w:val="24"/>
          <w:szCs w:val="24"/>
        </w:rPr>
        <w:t>tempo</w:t>
      </w:r>
      <w:r w:rsidR="00823BE0" w:rsidRPr="003A1174">
        <w:rPr>
          <w:rFonts w:ascii="Garamond" w:hAnsi="Garamond" w:cs="Arial"/>
          <w:sz w:val="24"/>
          <w:szCs w:val="24"/>
        </w:rPr>
        <w:t xml:space="preserve">s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6F7276" w:rsidRPr="003A1174">
        <w:rPr>
          <w:rFonts w:ascii="Garamond" w:hAnsi="Garamond" w:cs="Arial"/>
          <w:sz w:val="24"/>
          <w:szCs w:val="24"/>
        </w:rPr>
        <w:t>responsáveis</w:t>
      </w:r>
      <w:r w:rsidRPr="003A1174">
        <w:rPr>
          <w:rFonts w:ascii="Garamond" w:hAnsi="Garamond" w:cs="Arial"/>
          <w:sz w:val="24"/>
          <w:szCs w:val="24"/>
        </w:rPr>
        <w:t xml:space="preserve"> por cada um</w:t>
      </w:r>
      <w:r w:rsidR="00823BE0" w:rsidRPr="003A1174">
        <w:rPr>
          <w:rFonts w:ascii="Garamond" w:hAnsi="Garamond" w:cs="Arial"/>
          <w:sz w:val="24"/>
          <w:szCs w:val="24"/>
        </w:rPr>
        <w:t xml:space="preserve">a </w:t>
      </w:r>
      <w:r w:rsidR="00497503" w:rsidRPr="003A1174">
        <w:rPr>
          <w:rFonts w:ascii="Garamond" w:hAnsi="Garamond" w:cs="Arial"/>
          <w:sz w:val="24"/>
          <w:szCs w:val="24"/>
        </w:rPr>
        <w:t>das</w:t>
      </w:r>
      <w:r w:rsidR="00823BE0" w:rsidRPr="003A1174">
        <w:rPr>
          <w:rFonts w:ascii="Garamond" w:hAnsi="Garamond" w:cs="Arial"/>
          <w:sz w:val="24"/>
          <w:szCs w:val="24"/>
        </w:rPr>
        <w:t xml:space="preserve"> etapas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2D1021" w:rsidRPr="003A1174">
        <w:rPr>
          <w:rFonts w:ascii="Garamond" w:hAnsi="Garamond" w:cs="Arial"/>
          <w:sz w:val="24"/>
          <w:szCs w:val="24"/>
        </w:rPr>
        <w:t>processo</w:t>
      </w:r>
      <w:r w:rsidR="00823BE0" w:rsidRPr="003A1174">
        <w:rPr>
          <w:rFonts w:ascii="Garamond" w:hAnsi="Garamond" w:cs="Arial"/>
          <w:sz w:val="24"/>
          <w:szCs w:val="24"/>
        </w:rPr>
        <w:t xml:space="preserve">. </w:t>
      </w:r>
      <w:r w:rsidR="00A41573" w:rsidRPr="003A1174">
        <w:rPr>
          <w:rFonts w:ascii="Garamond" w:hAnsi="Garamond" w:cs="Arial"/>
          <w:sz w:val="24"/>
          <w:szCs w:val="24"/>
        </w:rPr>
        <w:t>Tais</w:t>
      </w:r>
      <w:r w:rsidR="00823BE0" w:rsidRPr="003A1174">
        <w:rPr>
          <w:rFonts w:ascii="Garamond" w:hAnsi="Garamond" w:cs="Arial"/>
          <w:sz w:val="24"/>
          <w:szCs w:val="24"/>
        </w:rPr>
        <w:t xml:space="preserve"> decretos, l</w:t>
      </w:r>
      <w:r w:rsidRPr="003A1174">
        <w:rPr>
          <w:rFonts w:ascii="Garamond" w:hAnsi="Garamond" w:cs="Arial"/>
          <w:sz w:val="24"/>
          <w:szCs w:val="24"/>
        </w:rPr>
        <w:t xml:space="preserve">onge </w:t>
      </w:r>
      <w:r w:rsidR="00823BE0" w:rsidRPr="003A1174">
        <w:rPr>
          <w:rFonts w:ascii="Garamond" w:hAnsi="Garamond" w:cs="Arial"/>
          <w:sz w:val="24"/>
          <w:szCs w:val="24"/>
        </w:rPr>
        <w:t xml:space="preserve">de </w:t>
      </w:r>
      <w:r w:rsidR="001D06C0">
        <w:rPr>
          <w:rFonts w:ascii="Garamond" w:hAnsi="Garamond" w:cs="Arial"/>
          <w:sz w:val="24"/>
          <w:szCs w:val="24"/>
        </w:rPr>
        <w:t xml:space="preserve">se tornarem </w:t>
      </w:r>
      <w:r w:rsidR="00823BE0" w:rsidRPr="003A1174">
        <w:rPr>
          <w:rFonts w:ascii="Garamond" w:hAnsi="Garamond" w:cs="Arial"/>
          <w:sz w:val="24"/>
          <w:szCs w:val="24"/>
        </w:rPr>
        <w:t>opera</w:t>
      </w:r>
      <w:r w:rsidR="001D06C0">
        <w:rPr>
          <w:rFonts w:ascii="Garamond" w:hAnsi="Garamond" w:cs="Arial"/>
          <w:sz w:val="24"/>
          <w:szCs w:val="24"/>
        </w:rPr>
        <w:t>cionais</w:t>
      </w:r>
      <w:r w:rsidR="00823BE0" w:rsidRPr="003A1174">
        <w:rPr>
          <w:rFonts w:ascii="Garamond" w:hAnsi="Garamond" w:cs="Arial"/>
          <w:sz w:val="24"/>
          <w:szCs w:val="24"/>
        </w:rPr>
        <w:t xml:space="preserve"> o</w:t>
      </w:r>
      <w:r w:rsidRPr="003A1174">
        <w:rPr>
          <w:rFonts w:ascii="Garamond" w:hAnsi="Garamond" w:cs="Arial"/>
          <w:sz w:val="24"/>
          <w:szCs w:val="24"/>
        </w:rPr>
        <w:t>u</w:t>
      </w:r>
      <w:r w:rsidR="00823BE0" w:rsidRPr="003A1174">
        <w:rPr>
          <w:rFonts w:ascii="Garamond" w:hAnsi="Garamond" w:cs="Arial"/>
          <w:sz w:val="24"/>
          <w:szCs w:val="24"/>
        </w:rPr>
        <w:t xml:space="preserve"> </w:t>
      </w:r>
      <w:r w:rsidR="001D06C0">
        <w:rPr>
          <w:rFonts w:ascii="Garamond" w:hAnsi="Garamond" w:cs="Arial"/>
          <w:sz w:val="24"/>
          <w:szCs w:val="24"/>
        </w:rPr>
        <w:t xml:space="preserve">de </w:t>
      </w:r>
      <w:r w:rsidR="00823BE0" w:rsidRPr="003A1174">
        <w:rPr>
          <w:rFonts w:ascii="Garamond" w:hAnsi="Garamond" w:cs="Arial"/>
          <w:sz w:val="24"/>
          <w:szCs w:val="24"/>
        </w:rPr>
        <w:t>permitir</w:t>
      </w:r>
      <w:r w:rsidRPr="003A1174">
        <w:rPr>
          <w:rFonts w:ascii="Garamond" w:hAnsi="Garamond" w:cs="Arial"/>
          <w:sz w:val="24"/>
          <w:szCs w:val="24"/>
        </w:rPr>
        <w:t xml:space="preserve">em </w:t>
      </w:r>
      <w:r w:rsidR="00823BE0" w:rsidRPr="003A1174">
        <w:rPr>
          <w:rFonts w:ascii="Garamond" w:hAnsi="Garamond" w:cs="Arial"/>
          <w:sz w:val="24"/>
          <w:szCs w:val="24"/>
        </w:rPr>
        <w:t xml:space="preserve">a </w:t>
      </w:r>
      <w:r w:rsidR="00B14AA6" w:rsidRPr="003A1174">
        <w:rPr>
          <w:rFonts w:ascii="Garamond" w:hAnsi="Garamond" w:cs="Arial"/>
          <w:sz w:val="24"/>
          <w:szCs w:val="24"/>
        </w:rPr>
        <w:t>aplicação</w:t>
      </w:r>
      <w:r w:rsidRPr="003A1174">
        <w:rPr>
          <w:rFonts w:ascii="Garamond" w:hAnsi="Garamond" w:cs="Arial"/>
          <w:sz w:val="24"/>
          <w:szCs w:val="24"/>
        </w:rPr>
        <w:t xml:space="preserve"> d</w:t>
      </w:r>
      <w:r w:rsidR="00823BE0" w:rsidRPr="003A1174">
        <w:rPr>
          <w:rFonts w:ascii="Garamond" w:hAnsi="Garamond" w:cs="Arial"/>
          <w:sz w:val="24"/>
          <w:szCs w:val="24"/>
        </w:rPr>
        <w:t xml:space="preserve">a </w:t>
      </w:r>
      <w:r w:rsidR="001D06C0">
        <w:rPr>
          <w:rFonts w:ascii="Garamond" w:hAnsi="Garamond" w:cs="Arial"/>
          <w:sz w:val="24"/>
          <w:szCs w:val="24"/>
        </w:rPr>
        <w:t>l</w:t>
      </w:r>
      <w:r w:rsidR="00D15AFF" w:rsidRPr="003A1174">
        <w:rPr>
          <w:rFonts w:ascii="Garamond" w:hAnsi="Garamond" w:cs="Arial"/>
          <w:sz w:val="24"/>
          <w:szCs w:val="24"/>
        </w:rPr>
        <w:t>ei</w:t>
      </w:r>
      <w:r w:rsidR="00823BE0" w:rsidRPr="003A1174">
        <w:rPr>
          <w:rFonts w:ascii="Garamond" w:hAnsi="Garamond" w:cs="Arial"/>
          <w:sz w:val="24"/>
          <w:szCs w:val="24"/>
        </w:rPr>
        <w:t>, ge</w:t>
      </w:r>
      <w:r w:rsidRPr="003A1174">
        <w:rPr>
          <w:rFonts w:ascii="Garamond" w:hAnsi="Garamond" w:cs="Arial"/>
          <w:sz w:val="24"/>
          <w:szCs w:val="24"/>
        </w:rPr>
        <w:t xml:space="preserve">raram </w:t>
      </w:r>
      <w:r w:rsidR="00863197" w:rsidRPr="003A1174">
        <w:rPr>
          <w:rFonts w:ascii="Garamond" w:hAnsi="Garamond" w:cs="Arial"/>
          <w:sz w:val="24"/>
          <w:szCs w:val="24"/>
        </w:rPr>
        <w:t>maior</w:t>
      </w:r>
      <w:r w:rsidR="00823BE0" w:rsidRPr="003A1174">
        <w:rPr>
          <w:rFonts w:ascii="Garamond" w:hAnsi="Garamond" w:cs="Arial"/>
          <w:sz w:val="24"/>
          <w:szCs w:val="24"/>
        </w:rPr>
        <w:t xml:space="preserve"> confus</w:t>
      </w:r>
      <w:r w:rsidRPr="003A1174">
        <w:rPr>
          <w:rFonts w:ascii="Garamond" w:hAnsi="Garamond" w:cs="Arial"/>
          <w:sz w:val="24"/>
          <w:szCs w:val="24"/>
        </w:rPr>
        <w:t xml:space="preserve">ão e </w:t>
      </w:r>
      <w:r w:rsidR="00823BE0" w:rsidRPr="003A1174">
        <w:rPr>
          <w:rFonts w:ascii="Garamond" w:hAnsi="Garamond" w:cs="Arial"/>
          <w:sz w:val="24"/>
          <w:szCs w:val="24"/>
        </w:rPr>
        <w:t>dificulta</w:t>
      </w:r>
      <w:r w:rsidRPr="003A1174">
        <w:rPr>
          <w:rFonts w:ascii="Garamond" w:hAnsi="Garamond" w:cs="Arial"/>
          <w:sz w:val="24"/>
          <w:szCs w:val="24"/>
        </w:rPr>
        <w:t xml:space="preserve">ram o </w:t>
      </w:r>
      <w:r w:rsidR="00886D6A" w:rsidRPr="003A1174">
        <w:rPr>
          <w:rFonts w:ascii="Garamond" w:hAnsi="Garamond" w:cs="Arial"/>
          <w:sz w:val="24"/>
          <w:szCs w:val="24"/>
        </w:rPr>
        <w:t>acesso</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a benefí</w:t>
      </w:r>
      <w:r w:rsidR="00823BE0" w:rsidRPr="003A1174">
        <w:rPr>
          <w:rFonts w:ascii="Garamond" w:hAnsi="Garamond" w:cs="Arial"/>
          <w:sz w:val="24"/>
          <w:szCs w:val="24"/>
        </w:rPr>
        <w:t>cios</w:t>
      </w:r>
      <w:r w:rsidR="001D06C0">
        <w:rPr>
          <w:rFonts w:ascii="Garamond" w:hAnsi="Garamond" w:cs="Arial"/>
          <w:sz w:val="24"/>
          <w:szCs w:val="24"/>
        </w:rPr>
        <w:t>,</w:t>
      </w:r>
      <w:r w:rsidR="00823BE0" w:rsidRPr="003A1174">
        <w:rPr>
          <w:rFonts w:ascii="Garamond" w:hAnsi="Garamond" w:cs="Arial"/>
          <w:sz w:val="24"/>
          <w:szCs w:val="24"/>
        </w:rPr>
        <w:t xml:space="preserve"> </w:t>
      </w:r>
      <w:r w:rsidR="00A41573" w:rsidRPr="003A1174">
        <w:rPr>
          <w:rFonts w:ascii="Garamond" w:hAnsi="Garamond" w:cs="Arial"/>
          <w:sz w:val="24"/>
          <w:szCs w:val="24"/>
        </w:rPr>
        <w:t>tais</w:t>
      </w:r>
      <w:r w:rsidR="00861B54" w:rsidRPr="003A1174">
        <w:rPr>
          <w:rFonts w:ascii="Garamond" w:hAnsi="Garamond" w:cs="Arial"/>
          <w:sz w:val="24"/>
          <w:szCs w:val="24"/>
        </w:rPr>
        <w:t xml:space="preserve"> </w:t>
      </w:r>
      <w:r w:rsidR="00823BE0" w:rsidRPr="003A1174">
        <w:rPr>
          <w:rFonts w:ascii="Garamond" w:hAnsi="Garamond" w:cs="Arial"/>
          <w:sz w:val="24"/>
          <w:szCs w:val="24"/>
        </w:rPr>
        <w:t>como</w:t>
      </w:r>
      <w:r w:rsidR="001D06C0">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o</w:t>
      </w:r>
      <w:r w:rsidR="00861B54" w:rsidRPr="003A1174">
        <w:rPr>
          <w:rFonts w:ascii="Garamond" w:hAnsi="Garamond" w:cs="Arial"/>
          <w:sz w:val="24"/>
          <w:szCs w:val="24"/>
        </w:rPr>
        <w:t xml:space="preserve"> </w:t>
      </w:r>
      <w:r w:rsidR="00C15C97" w:rsidRPr="003A1174">
        <w:rPr>
          <w:rFonts w:ascii="Garamond" w:hAnsi="Garamond" w:cs="Arial"/>
          <w:sz w:val="24"/>
          <w:szCs w:val="24"/>
        </w:rPr>
        <w:t>alojamento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D44677" w:rsidRPr="003A1174">
        <w:rPr>
          <w:rFonts w:ascii="Garamond" w:hAnsi="Garamond" w:cs="Arial"/>
          <w:sz w:val="24"/>
          <w:szCs w:val="24"/>
        </w:rPr>
        <w:t>abrigo</w:t>
      </w:r>
      <w:r w:rsidR="00823BE0" w:rsidRPr="003A1174">
        <w:rPr>
          <w:rFonts w:ascii="Garamond" w:hAnsi="Garamond" w:cs="Arial"/>
          <w:sz w:val="24"/>
          <w:szCs w:val="24"/>
        </w:rPr>
        <w:t xml:space="preserve">. </w:t>
      </w:r>
    </w:p>
    <w:p w:rsidR="00823BE0" w:rsidRPr="003A1174" w:rsidRDefault="00E560D8" w:rsidP="008719D4">
      <w:pPr>
        <w:spacing w:before="240" w:line="240" w:lineRule="auto"/>
        <w:jc w:val="both"/>
        <w:rPr>
          <w:rFonts w:ascii="Garamond" w:hAnsi="Garamond" w:cs="Arial"/>
          <w:sz w:val="24"/>
          <w:szCs w:val="24"/>
        </w:rPr>
      </w:pPr>
      <w:r w:rsidRPr="003A1174">
        <w:rPr>
          <w:rFonts w:ascii="Garamond" w:hAnsi="Garamond" w:cs="Arial"/>
          <w:sz w:val="24"/>
          <w:szCs w:val="24"/>
        </w:rPr>
        <w:t>Além disso</w:t>
      </w:r>
      <w:r w:rsidR="00823BE0" w:rsidRPr="003A1174">
        <w:rPr>
          <w:rFonts w:ascii="Garamond" w:hAnsi="Garamond" w:cs="Arial"/>
          <w:sz w:val="24"/>
          <w:szCs w:val="24"/>
        </w:rPr>
        <w:t xml:space="preserve">, </w:t>
      </w:r>
      <w:r w:rsidR="00CF42A3" w:rsidRPr="003A1174">
        <w:rPr>
          <w:rFonts w:ascii="Garamond" w:hAnsi="Garamond" w:cs="Arial"/>
          <w:sz w:val="24"/>
          <w:szCs w:val="24"/>
        </w:rPr>
        <w:t>identificou-</w:t>
      </w:r>
      <w:r w:rsidR="00823BE0" w:rsidRPr="003A1174">
        <w:rPr>
          <w:rFonts w:ascii="Garamond" w:hAnsi="Garamond" w:cs="Arial"/>
          <w:sz w:val="24"/>
          <w:szCs w:val="24"/>
        </w:rPr>
        <w:t xml:space="preserve">se que </w:t>
      </w:r>
      <w:r w:rsidR="003A391A" w:rsidRPr="003A1174">
        <w:rPr>
          <w:rFonts w:ascii="Garamond" w:hAnsi="Garamond" w:cs="Arial"/>
          <w:sz w:val="24"/>
          <w:szCs w:val="24"/>
        </w:rPr>
        <w:t>nos</w:t>
      </w:r>
      <w:r w:rsidR="00823BE0" w:rsidRPr="003A1174">
        <w:rPr>
          <w:rFonts w:ascii="Garamond" w:hAnsi="Garamond" w:cs="Arial"/>
          <w:sz w:val="24"/>
          <w:szCs w:val="24"/>
        </w:rPr>
        <w:t xml:space="preserve"> </w:t>
      </w:r>
      <w:r w:rsidR="00861B54" w:rsidRPr="003A1174">
        <w:rPr>
          <w:rFonts w:ascii="Garamond" w:hAnsi="Garamond" w:cs="Arial"/>
          <w:sz w:val="24"/>
          <w:szCs w:val="24"/>
        </w:rPr>
        <w:t>d</w:t>
      </w:r>
      <w:r w:rsidR="00823BE0" w:rsidRPr="003A1174">
        <w:rPr>
          <w:rFonts w:ascii="Garamond" w:hAnsi="Garamond" w:cs="Arial"/>
          <w:sz w:val="24"/>
          <w:szCs w:val="24"/>
        </w:rPr>
        <w:t>ecretos mencionados, n</w:t>
      </w:r>
      <w:r w:rsidR="00CF42A3" w:rsidRPr="003A1174">
        <w:rPr>
          <w:rFonts w:ascii="Garamond" w:hAnsi="Garamond" w:cs="Arial"/>
          <w:sz w:val="24"/>
          <w:szCs w:val="24"/>
        </w:rPr>
        <w:t>ã</w:t>
      </w:r>
      <w:r w:rsidR="00823BE0" w:rsidRPr="003A1174">
        <w:rPr>
          <w:rFonts w:ascii="Garamond" w:hAnsi="Garamond" w:cs="Arial"/>
          <w:sz w:val="24"/>
          <w:szCs w:val="24"/>
        </w:rPr>
        <w:t xml:space="preserve">o se </w:t>
      </w:r>
      <w:r w:rsidR="00462B11" w:rsidRPr="003A1174">
        <w:rPr>
          <w:rFonts w:ascii="Garamond" w:hAnsi="Garamond" w:cs="Arial"/>
          <w:sz w:val="24"/>
          <w:szCs w:val="24"/>
        </w:rPr>
        <w:t>incluem</w:t>
      </w:r>
      <w:r w:rsidR="00823BE0" w:rsidRPr="003A1174">
        <w:rPr>
          <w:rFonts w:ascii="Garamond" w:hAnsi="Garamond" w:cs="Arial"/>
          <w:sz w:val="24"/>
          <w:szCs w:val="24"/>
        </w:rPr>
        <w:t xml:space="preserve"> medidas de </w:t>
      </w:r>
      <w:r w:rsidR="008278C4" w:rsidRPr="003A1174">
        <w:rPr>
          <w:rFonts w:ascii="Garamond" w:hAnsi="Garamond" w:cs="Arial"/>
          <w:sz w:val="24"/>
          <w:szCs w:val="24"/>
        </w:rPr>
        <w:t>atenção</w:t>
      </w:r>
      <w:r w:rsidR="00CF42A3" w:rsidRPr="003A1174">
        <w:rPr>
          <w:rFonts w:ascii="Garamond" w:hAnsi="Garamond" w:cs="Arial"/>
          <w:sz w:val="24"/>
          <w:szCs w:val="24"/>
        </w:rPr>
        <w:t xml:space="preserve"> para </w:t>
      </w:r>
      <w:r w:rsidR="00823BE0" w:rsidRPr="003A1174">
        <w:rPr>
          <w:rFonts w:ascii="Garamond" w:hAnsi="Garamond" w:cs="Arial"/>
          <w:sz w:val="24"/>
          <w:szCs w:val="24"/>
        </w:rPr>
        <w:t xml:space="preserve">as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 xml:space="preserve">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económica o</w:t>
      </w:r>
      <w:r w:rsidR="00CF42A3" w:rsidRPr="003A1174">
        <w:rPr>
          <w:rFonts w:ascii="Garamond" w:hAnsi="Garamond" w:cs="Arial"/>
          <w:sz w:val="24"/>
          <w:szCs w:val="24"/>
        </w:rPr>
        <w:t>u</w:t>
      </w:r>
      <w:r w:rsidR="00823BE0" w:rsidRPr="003A1174">
        <w:rPr>
          <w:rFonts w:ascii="Garamond" w:hAnsi="Garamond" w:cs="Arial"/>
          <w:sz w:val="24"/>
          <w:szCs w:val="24"/>
        </w:rPr>
        <w:t xml:space="preserve"> patrimonial</w:t>
      </w:r>
      <w:r w:rsidR="00861B54" w:rsidRPr="003A1174">
        <w:rPr>
          <w:rFonts w:ascii="Garamond" w:hAnsi="Garamond" w:cs="Arial"/>
          <w:sz w:val="24"/>
          <w:szCs w:val="24"/>
        </w:rPr>
        <w:t>;</w:t>
      </w:r>
      <w:r w:rsidR="00CF42A3" w:rsidRPr="003A1174">
        <w:rPr>
          <w:rFonts w:ascii="Garamond" w:hAnsi="Garamond" w:cs="Arial"/>
          <w:sz w:val="24"/>
          <w:szCs w:val="24"/>
        </w:rPr>
        <w:t xml:space="preserve"> i</w:t>
      </w:r>
      <w:r w:rsidR="00823BE0" w:rsidRPr="003A1174">
        <w:rPr>
          <w:rFonts w:ascii="Garamond" w:hAnsi="Garamond" w:cs="Arial"/>
          <w:sz w:val="24"/>
          <w:szCs w:val="24"/>
        </w:rPr>
        <w:t>s</w:t>
      </w:r>
      <w:r w:rsidR="00861B54" w:rsidRPr="003A1174">
        <w:rPr>
          <w:rFonts w:ascii="Garamond" w:hAnsi="Garamond" w:cs="Arial"/>
          <w:sz w:val="24"/>
          <w:szCs w:val="24"/>
        </w:rPr>
        <w:t>to quer</w:t>
      </w:r>
      <w:r w:rsidR="00823BE0" w:rsidRPr="003A1174">
        <w:rPr>
          <w:rFonts w:ascii="Garamond" w:hAnsi="Garamond" w:cs="Arial"/>
          <w:sz w:val="24"/>
          <w:szCs w:val="24"/>
        </w:rPr>
        <w:t xml:space="preserve"> d</w:t>
      </w:r>
      <w:r w:rsidR="00CF42A3" w:rsidRPr="003A1174">
        <w:rPr>
          <w:rFonts w:ascii="Garamond" w:hAnsi="Garamond" w:cs="Arial"/>
          <w:sz w:val="24"/>
          <w:szCs w:val="24"/>
        </w:rPr>
        <w:t xml:space="preserve">izer </w:t>
      </w:r>
      <w:r w:rsidR="00861B54" w:rsidRPr="003A1174">
        <w:rPr>
          <w:rFonts w:ascii="Garamond" w:hAnsi="Garamond" w:cs="Arial"/>
          <w:sz w:val="24"/>
          <w:szCs w:val="24"/>
        </w:rPr>
        <w:t>que</w:t>
      </w:r>
      <w:r w:rsidR="001D06C0">
        <w:rPr>
          <w:rFonts w:ascii="Garamond" w:hAnsi="Garamond" w:cs="Arial"/>
          <w:sz w:val="24"/>
          <w:szCs w:val="24"/>
        </w:rPr>
        <w:t>,</w:t>
      </w:r>
      <w:r w:rsidR="00823BE0" w:rsidRPr="003A1174">
        <w:rPr>
          <w:rFonts w:ascii="Garamond" w:hAnsi="Garamond" w:cs="Arial"/>
          <w:sz w:val="24"/>
          <w:szCs w:val="24"/>
        </w:rPr>
        <w:t xml:space="preserve"> </w:t>
      </w:r>
      <w:r w:rsidR="00CF42A3" w:rsidRPr="003A1174">
        <w:rPr>
          <w:rFonts w:ascii="Garamond" w:hAnsi="Garamond" w:cs="Arial"/>
          <w:sz w:val="24"/>
          <w:szCs w:val="24"/>
        </w:rPr>
        <w:t>n</w:t>
      </w:r>
      <w:r w:rsidR="00823BE0" w:rsidRPr="003A1174">
        <w:rPr>
          <w:rFonts w:ascii="Garamond" w:hAnsi="Garamond" w:cs="Arial"/>
          <w:sz w:val="24"/>
          <w:szCs w:val="24"/>
        </w:rPr>
        <w:t xml:space="preserve">a </w:t>
      </w:r>
      <w:r w:rsidR="000350B1" w:rsidRPr="003A1174">
        <w:rPr>
          <w:rFonts w:ascii="Garamond" w:hAnsi="Garamond" w:cs="Arial"/>
          <w:sz w:val="24"/>
          <w:szCs w:val="24"/>
        </w:rPr>
        <w:t>violência</w:t>
      </w:r>
      <w:r w:rsidR="00861B54" w:rsidRPr="003A1174">
        <w:rPr>
          <w:rFonts w:ascii="Garamond" w:hAnsi="Garamond" w:cs="Arial"/>
          <w:sz w:val="24"/>
          <w:szCs w:val="24"/>
        </w:rPr>
        <w:t xml:space="preserve"> int</w:t>
      </w:r>
      <w:r w:rsidR="00823BE0" w:rsidRPr="003A1174">
        <w:rPr>
          <w:rFonts w:ascii="Garamond" w:hAnsi="Garamond" w:cs="Arial"/>
          <w:sz w:val="24"/>
          <w:szCs w:val="24"/>
        </w:rPr>
        <w:t>rafamiliar</w:t>
      </w:r>
      <w:r w:rsidR="001D06C0">
        <w:rPr>
          <w:rFonts w:ascii="Garamond" w:hAnsi="Garamond" w:cs="Arial"/>
          <w:sz w:val="24"/>
          <w:szCs w:val="24"/>
        </w:rPr>
        <w:t>,</w:t>
      </w:r>
      <w:r w:rsidR="00823BE0" w:rsidRPr="003A1174">
        <w:rPr>
          <w:rFonts w:ascii="Garamond" w:hAnsi="Garamond" w:cs="Arial"/>
          <w:sz w:val="24"/>
          <w:szCs w:val="24"/>
        </w:rPr>
        <w:t xml:space="preserve"> </w:t>
      </w:r>
      <w:r w:rsidR="00CF42A3" w:rsidRPr="003A1174">
        <w:rPr>
          <w:rFonts w:ascii="Garamond" w:hAnsi="Garamond" w:cs="Arial"/>
          <w:sz w:val="24"/>
          <w:szCs w:val="24"/>
        </w:rPr>
        <w:t xml:space="preserve">apenas se </w:t>
      </w:r>
      <w:r w:rsidR="0091213A" w:rsidRPr="003A1174">
        <w:rPr>
          <w:rFonts w:ascii="Garamond" w:hAnsi="Garamond" w:cs="Arial"/>
          <w:sz w:val="24"/>
          <w:szCs w:val="24"/>
        </w:rPr>
        <w:t>reconhece</w:t>
      </w:r>
      <w:r w:rsidR="00CF42A3" w:rsidRPr="003A1174">
        <w:rPr>
          <w:rFonts w:ascii="Garamond" w:hAnsi="Garamond" w:cs="Arial"/>
          <w:sz w:val="24"/>
          <w:szCs w:val="24"/>
        </w:rPr>
        <w:t xml:space="preserve"> </w:t>
      </w:r>
      <w:r w:rsidR="00823BE0" w:rsidRPr="003A1174">
        <w:rPr>
          <w:rFonts w:ascii="Garamond" w:hAnsi="Garamond" w:cs="Arial"/>
          <w:sz w:val="24"/>
          <w:szCs w:val="24"/>
        </w:rPr>
        <w:t xml:space="preserve">a </w:t>
      </w:r>
      <w:r w:rsidR="000350B1" w:rsidRPr="003A1174">
        <w:rPr>
          <w:rFonts w:ascii="Garamond" w:hAnsi="Garamond" w:cs="Arial"/>
          <w:sz w:val="24"/>
          <w:szCs w:val="24"/>
        </w:rPr>
        <w:t>violência</w:t>
      </w:r>
      <w:r w:rsidR="00823BE0" w:rsidRPr="003A1174">
        <w:rPr>
          <w:rFonts w:ascii="Garamond" w:hAnsi="Garamond" w:cs="Arial"/>
          <w:sz w:val="24"/>
          <w:szCs w:val="24"/>
        </w:rPr>
        <w:t xml:space="preserve"> física </w:t>
      </w:r>
      <w:r w:rsidR="000672E8" w:rsidRPr="003A1174">
        <w:rPr>
          <w:rFonts w:ascii="Garamond" w:hAnsi="Garamond" w:cs="Arial"/>
          <w:sz w:val="24"/>
          <w:szCs w:val="24"/>
        </w:rPr>
        <w:t>e</w:t>
      </w:r>
      <w:r w:rsidR="00823BE0" w:rsidRPr="003A1174">
        <w:rPr>
          <w:rFonts w:ascii="Garamond" w:hAnsi="Garamond" w:cs="Arial"/>
          <w:sz w:val="24"/>
          <w:szCs w:val="24"/>
        </w:rPr>
        <w:t xml:space="preserve"> psicológica.  </w:t>
      </w:r>
    </w:p>
    <w:p w:rsidR="00823BE0" w:rsidRPr="003A1174" w:rsidRDefault="00CF42A3" w:rsidP="00CF42A3">
      <w:pPr>
        <w:spacing w:before="240" w:line="240" w:lineRule="auto"/>
        <w:jc w:val="both"/>
        <w:rPr>
          <w:rFonts w:ascii="Garamond" w:hAnsi="Garamond" w:cs="Arial"/>
          <w:sz w:val="24"/>
          <w:szCs w:val="24"/>
        </w:rPr>
      </w:pPr>
      <w:r w:rsidRPr="003A1174">
        <w:rPr>
          <w:rFonts w:ascii="Garamond" w:hAnsi="Garamond" w:cs="Arial"/>
          <w:sz w:val="24"/>
          <w:szCs w:val="24"/>
        </w:rPr>
        <w:t xml:space="preserve">Tendo em </w:t>
      </w:r>
      <w:r w:rsidR="00863197" w:rsidRPr="003A1174">
        <w:rPr>
          <w:rFonts w:ascii="Garamond" w:hAnsi="Garamond" w:cs="Arial"/>
          <w:sz w:val="24"/>
          <w:szCs w:val="24"/>
        </w:rPr>
        <w:t>consideração</w:t>
      </w:r>
      <w:r w:rsidRPr="003A1174">
        <w:rPr>
          <w:rFonts w:ascii="Garamond" w:hAnsi="Garamond" w:cs="Arial"/>
          <w:sz w:val="24"/>
          <w:szCs w:val="24"/>
        </w:rPr>
        <w:t xml:space="preserve"> que </w:t>
      </w:r>
      <w:r w:rsidR="00823BE0" w:rsidRPr="003A1174">
        <w:rPr>
          <w:rFonts w:ascii="Garamond" w:hAnsi="Garamond" w:cs="Arial"/>
          <w:sz w:val="24"/>
          <w:szCs w:val="24"/>
        </w:rPr>
        <w:t xml:space="preserve">as medidas de </w:t>
      </w:r>
      <w:r w:rsidR="008278C4" w:rsidRPr="003A1174">
        <w:rPr>
          <w:rFonts w:ascii="Garamond" w:hAnsi="Garamond" w:cs="Arial"/>
          <w:sz w:val="24"/>
          <w:szCs w:val="24"/>
        </w:rPr>
        <w:t>atenção</w:t>
      </w:r>
      <w:r w:rsidR="00823BE0" w:rsidRPr="003A1174">
        <w:rPr>
          <w:rFonts w:ascii="Garamond" w:hAnsi="Garamond" w:cs="Arial"/>
          <w:sz w:val="24"/>
          <w:szCs w:val="24"/>
        </w:rPr>
        <w:t>,</w:t>
      </w:r>
      <w:r w:rsidR="00861B54" w:rsidRPr="003A1174">
        <w:rPr>
          <w:rFonts w:ascii="Garamond" w:hAnsi="Garamond" w:cs="Arial"/>
          <w:sz w:val="24"/>
          <w:szCs w:val="24"/>
        </w:rPr>
        <w:t xml:space="preserve"> </w:t>
      </w:r>
      <w:r w:rsidRPr="003A1174">
        <w:rPr>
          <w:rFonts w:ascii="Garamond" w:hAnsi="Garamond" w:cs="Arial"/>
          <w:sz w:val="24"/>
          <w:szCs w:val="24"/>
        </w:rPr>
        <w:t xml:space="preserve">de acordo com os </w:t>
      </w:r>
      <w:r w:rsidR="00861B54" w:rsidRPr="003A1174">
        <w:rPr>
          <w:rFonts w:ascii="Garamond" w:hAnsi="Garamond" w:cs="Arial"/>
          <w:sz w:val="24"/>
          <w:szCs w:val="24"/>
        </w:rPr>
        <w:t>d</w:t>
      </w:r>
      <w:r w:rsidR="00823BE0" w:rsidRPr="003A1174">
        <w:rPr>
          <w:rFonts w:ascii="Garamond" w:hAnsi="Garamond" w:cs="Arial"/>
          <w:sz w:val="24"/>
          <w:szCs w:val="24"/>
        </w:rPr>
        <w:t>ecretos,</w:t>
      </w:r>
      <w:r w:rsidR="00861B54" w:rsidRPr="003A1174">
        <w:rPr>
          <w:rFonts w:ascii="Garamond" w:hAnsi="Garamond" w:cs="Arial"/>
          <w:sz w:val="24"/>
          <w:szCs w:val="24"/>
        </w:rPr>
        <w:t xml:space="preserve"> </w:t>
      </w:r>
      <w:r w:rsidRPr="003A1174">
        <w:rPr>
          <w:rFonts w:ascii="Garamond" w:hAnsi="Garamond" w:cs="Arial"/>
          <w:sz w:val="24"/>
          <w:szCs w:val="24"/>
        </w:rPr>
        <w:t xml:space="preserve">ficaram </w:t>
      </w:r>
      <w:r w:rsidR="00E67EF8" w:rsidRPr="003A1174">
        <w:rPr>
          <w:rFonts w:ascii="Garamond" w:hAnsi="Garamond" w:cs="Arial"/>
          <w:sz w:val="24"/>
          <w:szCs w:val="24"/>
        </w:rPr>
        <w:t>estabelecida</w:t>
      </w:r>
      <w:r w:rsidR="00DD569C" w:rsidRPr="003A1174">
        <w:rPr>
          <w:rFonts w:ascii="Garamond" w:hAnsi="Garamond" w:cs="Arial"/>
          <w:sz w:val="24"/>
          <w:szCs w:val="24"/>
        </w:rPr>
        <w:t>s</w:t>
      </w:r>
      <w:r w:rsidR="00823BE0" w:rsidRPr="003A1174">
        <w:rPr>
          <w:rFonts w:ascii="Garamond" w:hAnsi="Garamond" w:cs="Arial"/>
          <w:sz w:val="24"/>
          <w:szCs w:val="24"/>
        </w:rPr>
        <w:t xml:space="preserve"> </w:t>
      </w:r>
      <w:r w:rsidRPr="003A1174">
        <w:rPr>
          <w:rFonts w:ascii="Garamond" w:hAnsi="Garamond" w:cs="Arial"/>
          <w:sz w:val="24"/>
          <w:szCs w:val="24"/>
        </w:rPr>
        <w:t>n</w:t>
      </w:r>
      <w:r w:rsidR="008D32E5" w:rsidRPr="003A1174">
        <w:rPr>
          <w:rFonts w:ascii="Garamond" w:hAnsi="Garamond" w:cs="Arial"/>
          <w:sz w:val="24"/>
          <w:szCs w:val="24"/>
        </w:rPr>
        <w:t xml:space="preserve">as autoridades </w:t>
      </w:r>
      <w:r w:rsidR="001D06C0">
        <w:rPr>
          <w:rFonts w:ascii="Garamond" w:hAnsi="Garamond" w:cs="Arial"/>
          <w:sz w:val="24"/>
          <w:szCs w:val="24"/>
        </w:rPr>
        <w:t xml:space="preserve">superiores </w:t>
      </w:r>
      <w:r w:rsidR="00497503" w:rsidRPr="003A1174">
        <w:rPr>
          <w:rFonts w:ascii="Garamond" w:hAnsi="Garamond" w:cs="Arial"/>
          <w:sz w:val="24"/>
          <w:szCs w:val="24"/>
        </w:rPr>
        <w:t>das</w:t>
      </w:r>
      <w:r w:rsidR="008D32E5" w:rsidRPr="003A1174">
        <w:rPr>
          <w:rFonts w:ascii="Garamond" w:hAnsi="Garamond" w:cs="Arial"/>
          <w:sz w:val="24"/>
          <w:szCs w:val="24"/>
        </w:rPr>
        <w:t xml:space="preserve"> </w:t>
      </w:r>
      <w:r w:rsidR="002C7510" w:rsidRPr="003A1174">
        <w:rPr>
          <w:rFonts w:ascii="Garamond" w:hAnsi="Garamond" w:cs="Arial"/>
          <w:sz w:val="24"/>
          <w:szCs w:val="24"/>
        </w:rPr>
        <w:t>instituições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8D32E5" w:rsidRPr="003A1174">
        <w:rPr>
          <w:rFonts w:ascii="Garamond" w:hAnsi="Garamond" w:cs="Arial"/>
          <w:sz w:val="24"/>
          <w:szCs w:val="24"/>
        </w:rPr>
        <w:t>e</w:t>
      </w:r>
      <w:r w:rsidR="00823BE0" w:rsidRPr="003A1174">
        <w:rPr>
          <w:rFonts w:ascii="Garamond" w:hAnsi="Garamond" w:cs="Arial"/>
          <w:sz w:val="24"/>
          <w:szCs w:val="24"/>
        </w:rPr>
        <w:t xml:space="preserve">ntidades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F96DD1" w:rsidRPr="003A1174">
        <w:rPr>
          <w:rFonts w:ascii="Garamond" w:hAnsi="Garamond" w:cs="Arial"/>
          <w:sz w:val="24"/>
          <w:szCs w:val="24"/>
        </w:rPr>
        <w:t>setor</w:t>
      </w:r>
      <w:r w:rsidRPr="003A1174">
        <w:rPr>
          <w:rFonts w:ascii="Garamond" w:hAnsi="Garamond" w:cs="Arial"/>
          <w:sz w:val="24"/>
          <w:szCs w:val="24"/>
        </w:rPr>
        <w:t xml:space="preserve"> da</w:t>
      </w:r>
      <w:r w:rsidR="00823BE0" w:rsidRPr="003A1174">
        <w:rPr>
          <w:rFonts w:ascii="Garamond" w:hAnsi="Garamond" w:cs="Arial"/>
          <w:sz w:val="24"/>
          <w:szCs w:val="24"/>
        </w:rPr>
        <w:t xml:space="preserve"> </w:t>
      </w:r>
      <w:r w:rsidR="007C63D0" w:rsidRPr="003A1174">
        <w:rPr>
          <w:rFonts w:ascii="Garamond" w:hAnsi="Garamond" w:cs="Arial"/>
          <w:sz w:val="24"/>
          <w:szCs w:val="24"/>
        </w:rPr>
        <w:t>saúde</w:t>
      </w:r>
      <w:r w:rsidR="00823BE0" w:rsidRPr="003A1174">
        <w:rPr>
          <w:rFonts w:ascii="Garamond" w:hAnsi="Garamond" w:cs="Arial"/>
          <w:sz w:val="24"/>
          <w:szCs w:val="24"/>
        </w:rPr>
        <w:t>, existe</w:t>
      </w:r>
      <w:r w:rsidRPr="003A1174">
        <w:rPr>
          <w:rFonts w:ascii="Garamond" w:hAnsi="Garamond" w:cs="Arial"/>
          <w:sz w:val="24"/>
          <w:szCs w:val="24"/>
        </w:rPr>
        <w:t>m</w:t>
      </w:r>
      <w:r w:rsidR="00823BE0" w:rsidRPr="003A1174">
        <w:rPr>
          <w:rFonts w:ascii="Garamond" w:hAnsi="Garamond" w:cs="Arial"/>
          <w:sz w:val="24"/>
          <w:szCs w:val="24"/>
        </w:rPr>
        <w:t xml:space="preserve"> </w:t>
      </w:r>
      <w:r w:rsidR="004E3A1A" w:rsidRPr="003A1174">
        <w:rPr>
          <w:rFonts w:ascii="Garamond" w:hAnsi="Garamond" w:cs="Arial"/>
          <w:sz w:val="24"/>
          <w:szCs w:val="24"/>
        </w:rPr>
        <w:t>séria</w:t>
      </w:r>
      <w:r w:rsidR="00823BE0" w:rsidRPr="003A1174">
        <w:rPr>
          <w:rFonts w:ascii="Garamond" w:hAnsi="Garamond" w:cs="Arial"/>
          <w:sz w:val="24"/>
          <w:szCs w:val="24"/>
        </w:rPr>
        <w:t xml:space="preserve">s </w:t>
      </w:r>
      <w:r w:rsidR="00C30647" w:rsidRPr="003A1174">
        <w:rPr>
          <w:rFonts w:ascii="Garamond" w:hAnsi="Garamond" w:cs="Arial"/>
          <w:sz w:val="24"/>
          <w:szCs w:val="24"/>
        </w:rPr>
        <w:t>dificuldade</w:t>
      </w:r>
      <w:r w:rsidR="00823BE0" w:rsidRPr="003A1174">
        <w:rPr>
          <w:rFonts w:ascii="Garamond" w:hAnsi="Garamond" w:cs="Arial"/>
          <w:sz w:val="24"/>
          <w:szCs w:val="24"/>
        </w:rPr>
        <w:t xml:space="preserve">s </w:t>
      </w:r>
      <w:r w:rsidR="002F319E" w:rsidRPr="003A1174">
        <w:rPr>
          <w:rFonts w:ascii="Garamond" w:hAnsi="Garamond" w:cs="Arial"/>
          <w:sz w:val="24"/>
          <w:szCs w:val="24"/>
        </w:rPr>
        <w:t xml:space="preserve">em </w:t>
      </w:r>
      <w:r w:rsidR="00823BE0" w:rsidRPr="003A1174">
        <w:rPr>
          <w:rFonts w:ascii="Garamond" w:hAnsi="Garamond" w:cs="Arial"/>
          <w:sz w:val="24"/>
          <w:szCs w:val="24"/>
        </w:rPr>
        <w:t xml:space="preserve">aceder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524936" w:rsidRPr="003A1174">
        <w:rPr>
          <w:rFonts w:ascii="Garamond" w:hAnsi="Garamond" w:cs="Arial"/>
          <w:sz w:val="24"/>
          <w:szCs w:val="24"/>
        </w:rPr>
        <w:t>mesma</w:t>
      </w:r>
      <w:r w:rsidR="00823BE0" w:rsidRPr="003A1174">
        <w:rPr>
          <w:rFonts w:ascii="Garamond" w:hAnsi="Garamond" w:cs="Arial"/>
          <w:sz w:val="24"/>
          <w:szCs w:val="24"/>
        </w:rPr>
        <w:t>s</w:t>
      </w:r>
      <w:r w:rsidR="001D06C0">
        <w:rPr>
          <w:rFonts w:ascii="Garamond" w:hAnsi="Garamond" w:cs="Arial"/>
          <w:sz w:val="24"/>
          <w:szCs w:val="24"/>
        </w:rPr>
        <w:t>,</w:t>
      </w:r>
      <w:r w:rsidR="00823BE0" w:rsidRPr="003A1174">
        <w:rPr>
          <w:rFonts w:ascii="Garamond" w:hAnsi="Garamond" w:cs="Arial"/>
          <w:sz w:val="24"/>
          <w:szCs w:val="24"/>
        </w:rPr>
        <w:t xml:space="preserve"> para </w:t>
      </w:r>
      <w:r w:rsidR="006B29BF" w:rsidRPr="003A1174">
        <w:rPr>
          <w:rFonts w:ascii="Garamond" w:hAnsi="Garamond" w:cs="Arial"/>
          <w:sz w:val="24"/>
          <w:szCs w:val="24"/>
        </w:rPr>
        <w:t>aquela</w:t>
      </w:r>
      <w:r w:rsidR="00823BE0" w:rsidRPr="003A1174">
        <w:rPr>
          <w:rFonts w:ascii="Garamond" w:hAnsi="Garamond" w:cs="Arial"/>
          <w:sz w:val="24"/>
          <w:szCs w:val="24"/>
        </w:rPr>
        <w:t xml:space="preserve">s </w:t>
      </w:r>
      <w:r w:rsidR="00054EE0" w:rsidRPr="003A1174">
        <w:rPr>
          <w:rFonts w:ascii="Garamond" w:hAnsi="Garamond" w:cs="Arial"/>
          <w:sz w:val="24"/>
          <w:szCs w:val="24"/>
        </w:rPr>
        <w:t>mulheres</w:t>
      </w:r>
      <w:r w:rsidR="00823BE0" w:rsidRPr="003A1174">
        <w:rPr>
          <w:rFonts w:ascii="Garamond" w:hAnsi="Garamond" w:cs="Arial"/>
          <w:sz w:val="24"/>
          <w:szCs w:val="24"/>
        </w:rPr>
        <w:t xml:space="preserve"> que n</w:t>
      </w:r>
      <w:r w:rsidRPr="003A1174">
        <w:rPr>
          <w:rFonts w:ascii="Garamond" w:hAnsi="Garamond" w:cs="Arial"/>
          <w:sz w:val="24"/>
          <w:szCs w:val="24"/>
        </w:rPr>
        <w:t>ã</w:t>
      </w:r>
      <w:r w:rsidR="00823BE0" w:rsidRPr="003A1174">
        <w:rPr>
          <w:rFonts w:ascii="Garamond" w:hAnsi="Garamond" w:cs="Arial"/>
          <w:sz w:val="24"/>
          <w:szCs w:val="24"/>
        </w:rPr>
        <w:t xml:space="preserve">o </w:t>
      </w:r>
      <w:r w:rsidRPr="003A1174">
        <w:rPr>
          <w:rFonts w:ascii="Garamond" w:hAnsi="Garamond" w:cs="Arial"/>
          <w:sz w:val="24"/>
          <w:szCs w:val="24"/>
        </w:rPr>
        <w:t xml:space="preserve">estão ligadas a nenhum </w:t>
      </w:r>
      <w:r w:rsidR="00443084" w:rsidRPr="003A1174">
        <w:rPr>
          <w:rFonts w:ascii="Garamond" w:hAnsi="Garamond" w:cs="Arial"/>
          <w:sz w:val="24"/>
          <w:szCs w:val="24"/>
        </w:rPr>
        <w:t xml:space="preserve">programa de </w:t>
      </w:r>
      <w:r w:rsidR="007C63D0" w:rsidRPr="003A1174">
        <w:rPr>
          <w:rFonts w:ascii="Garamond" w:hAnsi="Garamond" w:cs="Arial"/>
          <w:sz w:val="24"/>
          <w:szCs w:val="24"/>
        </w:rPr>
        <w:t>saúde</w:t>
      </w:r>
      <w:r w:rsidR="00823BE0" w:rsidRPr="003A1174">
        <w:rPr>
          <w:rFonts w:ascii="Garamond" w:hAnsi="Garamond" w:cs="Arial"/>
          <w:sz w:val="24"/>
          <w:szCs w:val="24"/>
        </w:rPr>
        <w:t xml:space="preserve">, </w:t>
      </w:r>
      <w:r w:rsidR="00120915" w:rsidRPr="003A1174">
        <w:rPr>
          <w:rFonts w:ascii="Garamond" w:hAnsi="Garamond" w:cs="Arial"/>
          <w:sz w:val="24"/>
          <w:szCs w:val="24"/>
        </w:rPr>
        <w:t>pois</w:t>
      </w:r>
      <w:r w:rsidR="00823BE0" w:rsidRPr="003A1174">
        <w:rPr>
          <w:rFonts w:ascii="Garamond" w:hAnsi="Garamond" w:cs="Arial"/>
          <w:sz w:val="24"/>
          <w:szCs w:val="24"/>
        </w:rPr>
        <w:t xml:space="preserve"> </w:t>
      </w:r>
      <w:r w:rsidRPr="003A1174">
        <w:rPr>
          <w:rFonts w:ascii="Garamond" w:hAnsi="Garamond" w:cs="Arial"/>
          <w:sz w:val="24"/>
          <w:szCs w:val="24"/>
        </w:rPr>
        <w:t xml:space="preserve">o processo </w:t>
      </w:r>
      <w:r w:rsidR="00823BE0" w:rsidRPr="003A1174">
        <w:rPr>
          <w:rFonts w:ascii="Garamond" w:hAnsi="Garamond" w:cs="Arial"/>
          <w:sz w:val="24"/>
          <w:szCs w:val="24"/>
        </w:rPr>
        <w:t>torna</w:t>
      </w:r>
      <w:r w:rsidRPr="003A1174">
        <w:rPr>
          <w:rFonts w:ascii="Garamond" w:hAnsi="Garamond" w:cs="Arial"/>
          <w:sz w:val="24"/>
          <w:szCs w:val="24"/>
        </w:rPr>
        <w:t>-se mais longo e</w:t>
      </w:r>
      <w:r w:rsidR="00823BE0" w:rsidRPr="003A1174">
        <w:rPr>
          <w:rFonts w:ascii="Garamond" w:hAnsi="Garamond" w:cs="Arial"/>
          <w:sz w:val="24"/>
          <w:szCs w:val="24"/>
        </w:rPr>
        <w:t xml:space="preserve"> comple</w:t>
      </w:r>
      <w:r w:rsidRPr="003A1174">
        <w:rPr>
          <w:rFonts w:ascii="Garamond" w:hAnsi="Garamond" w:cs="Arial"/>
          <w:sz w:val="24"/>
          <w:szCs w:val="24"/>
        </w:rPr>
        <w:t>xo</w:t>
      </w:r>
      <w:r w:rsidR="00823BE0" w:rsidRPr="003A1174">
        <w:rPr>
          <w:rFonts w:ascii="Garamond" w:hAnsi="Garamond" w:cs="Arial"/>
          <w:sz w:val="24"/>
          <w:szCs w:val="24"/>
        </w:rPr>
        <w:t xml:space="preserve">. </w:t>
      </w:r>
      <w:r w:rsidR="002B6C5B" w:rsidRPr="003A1174">
        <w:rPr>
          <w:rFonts w:ascii="Garamond" w:hAnsi="Garamond" w:cs="Arial"/>
          <w:sz w:val="24"/>
          <w:szCs w:val="24"/>
        </w:rPr>
        <w:t>Outra</w:t>
      </w:r>
      <w:r w:rsidR="00823BE0" w:rsidRPr="003A1174">
        <w:rPr>
          <w:rFonts w:ascii="Garamond" w:hAnsi="Garamond" w:cs="Arial"/>
          <w:sz w:val="24"/>
          <w:szCs w:val="24"/>
        </w:rPr>
        <w:t xml:space="preserve"> </w:t>
      </w:r>
      <w:r w:rsidR="009A0CC2" w:rsidRPr="003A1174">
        <w:rPr>
          <w:rFonts w:ascii="Garamond" w:hAnsi="Garamond" w:cs="Arial"/>
          <w:sz w:val="24"/>
          <w:szCs w:val="24"/>
        </w:rPr>
        <w:t>dificuldade</w:t>
      </w:r>
      <w:r w:rsidRPr="003A1174">
        <w:rPr>
          <w:rFonts w:ascii="Garamond" w:hAnsi="Garamond" w:cs="Arial"/>
          <w:sz w:val="24"/>
          <w:szCs w:val="24"/>
        </w:rPr>
        <w:t xml:space="preserve"> que </w:t>
      </w:r>
      <w:r w:rsidR="00823BE0" w:rsidRPr="003A1174">
        <w:rPr>
          <w:rFonts w:ascii="Garamond" w:hAnsi="Garamond" w:cs="Arial"/>
          <w:sz w:val="24"/>
          <w:szCs w:val="24"/>
        </w:rPr>
        <w:t xml:space="preserve">as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Pr="003A1174">
        <w:rPr>
          <w:rFonts w:ascii="Garamond" w:hAnsi="Garamond" w:cs="Arial"/>
          <w:sz w:val="24"/>
          <w:szCs w:val="24"/>
        </w:rPr>
        <w:t xml:space="preserve">referiram </w:t>
      </w:r>
      <w:r w:rsidR="00823BE0" w:rsidRPr="003A1174">
        <w:rPr>
          <w:rFonts w:ascii="Garamond" w:hAnsi="Garamond" w:cs="Arial"/>
          <w:sz w:val="24"/>
          <w:szCs w:val="24"/>
        </w:rPr>
        <w:t xml:space="preserve">a esta </w:t>
      </w:r>
      <w:r w:rsidR="00A862C2" w:rsidRPr="003A1174">
        <w:rPr>
          <w:rFonts w:ascii="Garamond" w:hAnsi="Garamond" w:cs="Arial"/>
          <w:sz w:val="24"/>
          <w:szCs w:val="24"/>
        </w:rPr>
        <w:t>entidade</w:t>
      </w:r>
      <w:r w:rsidR="00823BE0" w:rsidRPr="003A1174">
        <w:rPr>
          <w:rFonts w:ascii="Garamond" w:hAnsi="Garamond" w:cs="Arial"/>
          <w:sz w:val="24"/>
          <w:szCs w:val="24"/>
        </w:rPr>
        <w:t xml:space="preserve">, </w:t>
      </w:r>
      <w:r w:rsidRPr="003A1174">
        <w:rPr>
          <w:rFonts w:ascii="Garamond" w:hAnsi="Garamond" w:cs="Arial"/>
          <w:sz w:val="24"/>
          <w:szCs w:val="24"/>
        </w:rPr>
        <w:t xml:space="preserve">é </w:t>
      </w:r>
      <w:r w:rsidR="00823BE0" w:rsidRPr="003A1174">
        <w:rPr>
          <w:rFonts w:ascii="Garamond" w:hAnsi="Garamond" w:cs="Arial"/>
          <w:sz w:val="24"/>
          <w:szCs w:val="24"/>
        </w:rPr>
        <w:t xml:space="preserve">a </w:t>
      </w:r>
      <w:r w:rsidR="00EE7406" w:rsidRPr="003A1174">
        <w:rPr>
          <w:rFonts w:ascii="Garamond" w:hAnsi="Garamond" w:cs="Arial"/>
          <w:sz w:val="24"/>
          <w:szCs w:val="24"/>
        </w:rPr>
        <w:t>avaliação</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8651AF" w:rsidRPr="003A1174">
        <w:rPr>
          <w:rFonts w:ascii="Garamond" w:hAnsi="Garamond" w:cs="Arial"/>
          <w:sz w:val="24"/>
          <w:szCs w:val="24"/>
        </w:rPr>
        <w:t>risco</w:t>
      </w:r>
      <w:r w:rsidR="00823BE0" w:rsidRPr="003A1174">
        <w:rPr>
          <w:rFonts w:ascii="Garamond" w:hAnsi="Garamond" w:cs="Arial"/>
          <w:sz w:val="24"/>
          <w:szCs w:val="24"/>
        </w:rPr>
        <w:t xml:space="preserve"> a cargo </w:t>
      </w:r>
      <w:r w:rsidR="00497503" w:rsidRPr="003A1174">
        <w:rPr>
          <w:rFonts w:ascii="Garamond" w:hAnsi="Garamond" w:cs="Arial"/>
          <w:sz w:val="24"/>
          <w:szCs w:val="24"/>
        </w:rPr>
        <w:t>das</w:t>
      </w:r>
      <w:r w:rsidR="00823BE0" w:rsidRPr="003A1174">
        <w:rPr>
          <w:rFonts w:ascii="Garamond" w:hAnsi="Garamond" w:cs="Arial"/>
          <w:sz w:val="24"/>
          <w:szCs w:val="24"/>
        </w:rPr>
        <w:t xml:space="preserve"> autoridades d</w:t>
      </w:r>
      <w:r w:rsidR="001D06C0">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Polícia</w:t>
      </w:r>
      <w:r w:rsidR="00823BE0" w:rsidRPr="003A1174">
        <w:rPr>
          <w:rFonts w:ascii="Garamond" w:hAnsi="Garamond" w:cs="Arial"/>
          <w:sz w:val="24"/>
          <w:szCs w:val="24"/>
        </w:rPr>
        <w:t xml:space="preserve">, </w:t>
      </w:r>
      <w:r w:rsidR="00120915" w:rsidRPr="003A1174">
        <w:rPr>
          <w:rFonts w:ascii="Garamond" w:hAnsi="Garamond" w:cs="Arial"/>
          <w:sz w:val="24"/>
          <w:szCs w:val="24"/>
        </w:rPr>
        <w:t>pois</w:t>
      </w:r>
      <w:r w:rsidR="001D06C0">
        <w:rPr>
          <w:rFonts w:ascii="Garamond" w:hAnsi="Garamond" w:cs="Arial"/>
          <w:sz w:val="24"/>
          <w:szCs w:val="24"/>
        </w:rPr>
        <w:t>,</w:t>
      </w:r>
      <w:r w:rsidR="00823BE0" w:rsidRPr="003A1174">
        <w:rPr>
          <w:rFonts w:ascii="Garamond" w:hAnsi="Garamond" w:cs="Arial"/>
          <w:sz w:val="24"/>
          <w:szCs w:val="24"/>
        </w:rPr>
        <w:t xml:space="preserve"> e</w:t>
      </w:r>
      <w:r w:rsidRPr="003A1174">
        <w:rPr>
          <w:rFonts w:ascii="Garamond" w:hAnsi="Garamond" w:cs="Arial"/>
          <w:sz w:val="24"/>
          <w:szCs w:val="24"/>
        </w:rPr>
        <w:t>m</w:t>
      </w:r>
      <w:r w:rsidR="00823BE0" w:rsidRPr="003A1174">
        <w:rPr>
          <w:rFonts w:ascii="Garamond" w:hAnsi="Garamond" w:cs="Arial"/>
          <w:sz w:val="24"/>
          <w:szCs w:val="24"/>
        </w:rPr>
        <w:t xml:space="preserve"> </w:t>
      </w:r>
      <w:r w:rsidR="00CD707D" w:rsidRPr="003A1174">
        <w:rPr>
          <w:rFonts w:ascii="Garamond" w:hAnsi="Garamond" w:cs="Arial"/>
          <w:sz w:val="24"/>
          <w:szCs w:val="24"/>
        </w:rPr>
        <w:t>alguma</w:t>
      </w:r>
      <w:r w:rsidR="00823BE0" w:rsidRPr="003A1174">
        <w:rPr>
          <w:rFonts w:ascii="Garamond" w:hAnsi="Garamond" w:cs="Arial"/>
          <w:sz w:val="24"/>
          <w:szCs w:val="24"/>
        </w:rPr>
        <w:t xml:space="preserve">s </w:t>
      </w:r>
      <w:r w:rsidR="00EE7406" w:rsidRPr="003A1174">
        <w:rPr>
          <w:rFonts w:ascii="Garamond" w:hAnsi="Garamond" w:cs="Arial"/>
          <w:sz w:val="24"/>
          <w:szCs w:val="24"/>
        </w:rPr>
        <w:t>ocasiões</w:t>
      </w:r>
      <w:r w:rsidR="001D06C0">
        <w:rPr>
          <w:rFonts w:ascii="Garamond" w:hAnsi="Garamond" w:cs="Arial"/>
          <w:sz w:val="24"/>
          <w:szCs w:val="24"/>
        </w:rPr>
        <w:t>,</w:t>
      </w:r>
      <w:r w:rsidRPr="003A1174">
        <w:rPr>
          <w:rFonts w:ascii="Garamond" w:hAnsi="Garamond" w:cs="Arial"/>
          <w:sz w:val="24"/>
          <w:szCs w:val="24"/>
        </w:rPr>
        <w:t xml:space="preserve"> </w:t>
      </w:r>
      <w:r w:rsidR="00823BE0" w:rsidRPr="003A1174">
        <w:rPr>
          <w:rFonts w:ascii="Garamond" w:hAnsi="Garamond" w:cs="Arial"/>
          <w:sz w:val="24"/>
          <w:szCs w:val="24"/>
        </w:rPr>
        <w:t xml:space="preserve">os </w:t>
      </w:r>
      <w:r w:rsidR="003E6403" w:rsidRPr="003A1174">
        <w:rPr>
          <w:rFonts w:ascii="Garamond" w:hAnsi="Garamond" w:cs="Arial"/>
          <w:sz w:val="24"/>
          <w:szCs w:val="24"/>
        </w:rPr>
        <w:t>funcionári</w:t>
      </w:r>
      <w:r w:rsidR="00823BE0" w:rsidRPr="003A1174">
        <w:rPr>
          <w:rFonts w:ascii="Garamond" w:hAnsi="Garamond" w:cs="Arial"/>
          <w:sz w:val="24"/>
          <w:szCs w:val="24"/>
        </w:rPr>
        <w:t>os d</w:t>
      </w:r>
      <w:r w:rsidRPr="003A1174">
        <w:rPr>
          <w:rFonts w:ascii="Garamond" w:hAnsi="Garamond" w:cs="Arial"/>
          <w:sz w:val="24"/>
          <w:szCs w:val="24"/>
        </w:rPr>
        <w:t>e</w:t>
      </w:r>
      <w:r w:rsidR="00823BE0" w:rsidRPr="003A1174">
        <w:rPr>
          <w:rFonts w:ascii="Garamond" w:hAnsi="Garamond" w:cs="Arial"/>
          <w:sz w:val="24"/>
          <w:szCs w:val="24"/>
        </w:rPr>
        <w:t xml:space="preserve">sta </w:t>
      </w:r>
      <w:r w:rsidR="00A862C2" w:rsidRPr="003A1174">
        <w:rPr>
          <w:rFonts w:ascii="Garamond" w:hAnsi="Garamond" w:cs="Arial"/>
          <w:sz w:val="24"/>
          <w:szCs w:val="24"/>
        </w:rPr>
        <w:t>entidade</w:t>
      </w:r>
      <w:r w:rsidR="00823BE0" w:rsidRPr="003A1174">
        <w:rPr>
          <w:rFonts w:ascii="Garamond" w:hAnsi="Garamond" w:cs="Arial"/>
          <w:sz w:val="24"/>
          <w:szCs w:val="24"/>
        </w:rPr>
        <w:t xml:space="preserve"> n</w:t>
      </w:r>
      <w:r w:rsidRPr="003A1174">
        <w:rPr>
          <w:rFonts w:ascii="Garamond" w:hAnsi="Garamond" w:cs="Arial"/>
          <w:sz w:val="24"/>
          <w:szCs w:val="24"/>
        </w:rPr>
        <w:t>ã</w:t>
      </w:r>
      <w:r w:rsidR="00823BE0" w:rsidRPr="003A1174">
        <w:rPr>
          <w:rFonts w:ascii="Garamond" w:hAnsi="Garamond" w:cs="Arial"/>
          <w:sz w:val="24"/>
          <w:szCs w:val="24"/>
        </w:rPr>
        <w:t>o inspira</w:t>
      </w:r>
      <w:r w:rsidRPr="003A1174">
        <w:rPr>
          <w:rFonts w:ascii="Garamond" w:hAnsi="Garamond" w:cs="Arial"/>
          <w:sz w:val="24"/>
          <w:szCs w:val="24"/>
        </w:rPr>
        <w:t>m</w:t>
      </w:r>
      <w:r w:rsidR="00823BE0" w:rsidRPr="003A1174">
        <w:rPr>
          <w:rFonts w:ascii="Garamond" w:hAnsi="Garamond" w:cs="Arial"/>
          <w:sz w:val="24"/>
          <w:szCs w:val="24"/>
        </w:rPr>
        <w:t xml:space="preserve"> </w:t>
      </w:r>
      <w:r w:rsidRPr="003A1174">
        <w:rPr>
          <w:rFonts w:ascii="Garamond" w:hAnsi="Garamond" w:cs="Arial"/>
          <w:sz w:val="24"/>
          <w:szCs w:val="24"/>
        </w:rPr>
        <w:t>confiança</w:t>
      </w:r>
      <w:r w:rsidR="00823BE0" w:rsidRPr="003A1174">
        <w:rPr>
          <w:rFonts w:ascii="Garamond" w:hAnsi="Garamond" w:cs="Arial"/>
          <w:sz w:val="24"/>
          <w:szCs w:val="24"/>
        </w:rPr>
        <w:t xml:space="preserve">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3F012B" w:rsidRPr="003A1174">
        <w:rPr>
          <w:rFonts w:ascii="Garamond" w:hAnsi="Garamond" w:cs="Arial"/>
          <w:sz w:val="24"/>
          <w:szCs w:val="24"/>
        </w:rPr>
        <w:t>vítima</w:t>
      </w:r>
      <w:r w:rsidR="00823BE0" w:rsidRPr="003A1174">
        <w:rPr>
          <w:rFonts w:ascii="Garamond" w:hAnsi="Garamond" w:cs="Arial"/>
          <w:sz w:val="24"/>
          <w:szCs w:val="24"/>
        </w:rPr>
        <w:t>s o</w:t>
      </w:r>
      <w:r w:rsidRPr="003A1174">
        <w:rPr>
          <w:rFonts w:ascii="Garamond" w:hAnsi="Garamond" w:cs="Arial"/>
          <w:sz w:val="24"/>
          <w:szCs w:val="24"/>
        </w:rPr>
        <w:t>u</w:t>
      </w:r>
      <w:r w:rsidR="00823BE0" w:rsidRPr="003A1174">
        <w:rPr>
          <w:rFonts w:ascii="Garamond" w:hAnsi="Garamond" w:cs="Arial"/>
          <w:sz w:val="24"/>
          <w:szCs w:val="24"/>
        </w:rPr>
        <w:t xml:space="preserve"> n</w:t>
      </w:r>
      <w:r w:rsidRPr="003A1174">
        <w:rPr>
          <w:rFonts w:ascii="Garamond" w:hAnsi="Garamond" w:cs="Arial"/>
          <w:sz w:val="24"/>
          <w:szCs w:val="24"/>
        </w:rPr>
        <w:t>ã</w:t>
      </w:r>
      <w:r w:rsidR="00823BE0" w:rsidRPr="003A1174">
        <w:rPr>
          <w:rFonts w:ascii="Garamond" w:hAnsi="Garamond" w:cs="Arial"/>
          <w:sz w:val="24"/>
          <w:szCs w:val="24"/>
        </w:rPr>
        <w:t>o cump</w:t>
      </w:r>
      <w:r w:rsidRPr="003A1174">
        <w:rPr>
          <w:rFonts w:ascii="Garamond" w:hAnsi="Garamond" w:cs="Arial"/>
          <w:sz w:val="24"/>
          <w:szCs w:val="24"/>
        </w:rPr>
        <w:t xml:space="preserve">rem com o seu </w:t>
      </w:r>
      <w:r w:rsidR="00AF192F" w:rsidRPr="003A1174">
        <w:rPr>
          <w:rFonts w:ascii="Garamond" w:hAnsi="Garamond" w:cs="Arial"/>
          <w:sz w:val="24"/>
          <w:szCs w:val="24"/>
        </w:rPr>
        <w:t>dever</w:t>
      </w:r>
      <w:r w:rsidR="00823BE0" w:rsidRPr="003A1174">
        <w:rPr>
          <w:rFonts w:ascii="Garamond" w:hAnsi="Garamond" w:cs="Arial"/>
          <w:sz w:val="24"/>
          <w:szCs w:val="24"/>
        </w:rPr>
        <w:t xml:space="preserve"> como </w:t>
      </w:r>
      <w:r w:rsidRPr="003A1174">
        <w:rPr>
          <w:rFonts w:ascii="Garamond" w:hAnsi="Garamond" w:cs="Arial"/>
          <w:sz w:val="24"/>
          <w:szCs w:val="24"/>
        </w:rPr>
        <w:t xml:space="preserve">é </w:t>
      </w:r>
      <w:r w:rsidR="009A0033" w:rsidRPr="003A1174">
        <w:rPr>
          <w:rFonts w:ascii="Garamond" w:hAnsi="Garamond" w:cs="Arial"/>
          <w:sz w:val="24"/>
          <w:szCs w:val="24"/>
        </w:rPr>
        <w:t>devido</w:t>
      </w:r>
      <w:r w:rsidR="00823BE0" w:rsidRPr="003A1174">
        <w:rPr>
          <w:rFonts w:ascii="Garamond" w:hAnsi="Garamond" w:cs="Arial"/>
          <w:sz w:val="24"/>
          <w:szCs w:val="24"/>
        </w:rPr>
        <w:t xml:space="preserve">, </w:t>
      </w:r>
      <w:r w:rsidR="00443084" w:rsidRPr="003A1174">
        <w:rPr>
          <w:rFonts w:ascii="Garamond" w:hAnsi="Garamond" w:cs="Arial"/>
          <w:sz w:val="24"/>
          <w:szCs w:val="24"/>
        </w:rPr>
        <w:t xml:space="preserve">o que </w:t>
      </w:r>
      <w:r w:rsidR="0089062D">
        <w:rPr>
          <w:rFonts w:ascii="Garamond" w:hAnsi="Garamond" w:cs="Arial"/>
          <w:sz w:val="24"/>
          <w:szCs w:val="24"/>
        </w:rPr>
        <w:t>é sintomático da</w:t>
      </w:r>
      <w:r w:rsidR="00823BE0" w:rsidRPr="003A1174">
        <w:rPr>
          <w:rFonts w:ascii="Garamond" w:hAnsi="Garamond" w:cs="Arial"/>
          <w:sz w:val="24"/>
          <w:szCs w:val="24"/>
        </w:rPr>
        <w:t xml:space="preserve"> </w:t>
      </w:r>
      <w:r w:rsidRPr="003A1174">
        <w:rPr>
          <w:rFonts w:ascii="Garamond" w:hAnsi="Garamond" w:cs="Arial"/>
          <w:sz w:val="24"/>
          <w:szCs w:val="24"/>
        </w:rPr>
        <w:t xml:space="preserve">desvalorização que alguns polícias </w:t>
      </w:r>
      <w:r w:rsidR="0089062D">
        <w:rPr>
          <w:rFonts w:ascii="Garamond" w:hAnsi="Garamond" w:cs="Arial"/>
          <w:sz w:val="24"/>
          <w:szCs w:val="24"/>
        </w:rPr>
        <w:t xml:space="preserve">revelam, relativamente </w:t>
      </w:r>
      <w:r w:rsidRPr="003A1174">
        <w:rPr>
          <w:rFonts w:ascii="Garamond" w:hAnsi="Garamond" w:cs="Arial"/>
          <w:sz w:val="24"/>
          <w:szCs w:val="24"/>
        </w:rPr>
        <w:t xml:space="preserve">à </w:t>
      </w:r>
      <w:r w:rsidR="000350B1" w:rsidRPr="003A1174">
        <w:rPr>
          <w:rFonts w:ascii="Garamond" w:hAnsi="Garamond" w:cs="Arial"/>
          <w:sz w:val="24"/>
          <w:szCs w:val="24"/>
        </w:rPr>
        <w:t>violência</w:t>
      </w:r>
      <w:r w:rsidR="00823BE0" w:rsidRPr="003A1174">
        <w:rPr>
          <w:rFonts w:ascii="Garamond" w:hAnsi="Garamond" w:cs="Arial"/>
          <w:sz w:val="24"/>
          <w:szCs w:val="24"/>
        </w:rPr>
        <w:t xml:space="preserve"> </w:t>
      </w:r>
      <w:r w:rsidR="00BB2B00" w:rsidRPr="003A1174">
        <w:rPr>
          <w:rFonts w:ascii="Garamond" w:hAnsi="Garamond" w:cs="Arial"/>
          <w:sz w:val="24"/>
          <w:szCs w:val="24"/>
        </w:rPr>
        <w:t>contra a</w:t>
      </w:r>
      <w:r w:rsidR="00823BE0" w:rsidRPr="003A1174">
        <w:rPr>
          <w:rFonts w:ascii="Garamond" w:hAnsi="Garamond" w:cs="Arial"/>
          <w:sz w:val="24"/>
          <w:szCs w:val="24"/>
        </w:rPr>
        <w:t xml:space="preserve"> </w:t>
      </w:r>
      <w:r w:rsidRPr="003A1174">
        <w:rPr>
          <w:rFonts w:ascii="Garamond" w:hAnsi="Garamond" w:cs="Arial"/>
          <w:sz w:val="24"/>
          <w:szCs w:val="24"/>
        </w:rPr>
        <w:t xml:space="preserve">mulher. </w:t>
      </w:r>
      <w:r w:rsidR="00823BE0" w:rsidRPr="003A1174">
        <w:rPr>
          <w:rFonts w:ascii="Garamond" w:hAnsi="Garamond" w:cs="Arial"/>
          <w:sz w:val="24"/>
          <w:szCs w:val="24"/>
        </w:rPr>
        <w:t>E</w:t>
      </w:r>
      <w:r w:rsidRPr="003A1174">
        <w:rPr>
          <w:rFonts w:ascii="Garamond" w:hAnsi="Garamond" w:cs="Arial"/>
          <w:sz w:val="24"/>
          <w:szCs w:val="24"/>
        </w:rPr>
        <w:t xml:space="preserve">m </w:t>
      </w:r>
      <w:r w:rsidR="00152A44" w:rsidRPr="003A1174">
        <w:rPr>
          <w:rFonts w:ascii="Garamond" w:hAnsi="Garamond" w:cs="Arial"/>
          <w:sz w:val="24"/>
          <w:szCs w:val="24"/>
        </w:rPr>
        <w:t>relação</w:t>
      </w:r>
      <w:r w:rsidR="00823BE0" w:rsidRPr="003A1174">
        <w:rPr>
          <w:rFonts w:ascii="Garamond" w:hAnsi="Garamond" w:cs="Arial"/>
          <w:sz w:val="24"/>
          <w:szCs w:val="24"/>
        </w:rPr>
        <w:t xml:space="preserve"> </w:t>
      </w:r>
      <w:r w:rsidRPr="003A1174">
        <w:rPr>
          <w:rFonts w:ascii="Garamond" w:hAnsi="Garamond" w:cs="Arial"/>
          <w:sz w:val="24"/>
          <w:szCs w:val="24"/>
        </w:rPr>
        <w:t xml:space="preserve">a </w:t>
      </w:r>
      <w:r w:rsidR="00823BE0" w:rsidRPr="003A1174">
        <w:rPr>
          <w:rFonts w:ascii="Garamond" w:hAnsi="Garamond" w:cs="Arial"/>
          <w:sz w:val="24"/>
          <w:szCs w:val="24"/>
        </w:rPr>
        <w:t xml:space="preserve">esta problemática, </w:t>
      </w:r>
      <w:r w:rsidR="00B830CA" w:rsidRPr="003A1174">
        <w:rPr>
          <w:rFonts w:ascii="Garamond" w:hAnsi="Garamond" w:cs="Arial"/>
          <w:sz w:val="24"/>
          <w:szCs w:val="24"/>
        </w:rPr>
        <w:t>realizou-</w:t>
      </w:r>
      <w:r w:rsidR="00823BE0" w:rsidRPr="003A1174">
        <w:rPr>
          <w:rFonts w:ascii="Garamond" w:hAnsi="Garamond" w:cs="Arial"/>
          <w:sz w:val="24"/>
          <w:szCs w:val="24"/>
        </w:rPr>
        <w:t>se</w:t>
      </w:r>
      <w:r w:rsidR="00B830CA" w:rsidRPr="003A1174">
        <w:rPr>
          <w:rFonts w:ascii="Garamond" w:hAnsi="Garamond" w:cs="Arial"/>
          <w:sz w:val="24"/>
          <w:szCs w:val="24"/>
        </w:rPr>
        <w:t xml:space="preserve"> uma reunião</w:t>
      </w:r>
      <w:r w:rsidR="00823BE0" w:rsidRPr="003A1174">
        <w:rPr>
          <w:rFonts w:ascii="Garamond" w:hAnsi="Garamond" w:cs="Arial"/>
          <w:sz w:val="24"/>
          <w:szCs w:val="24"/>
        </w:rPr>
        <w:t xml:space="preserve"> co</w:t>
      </w:r>
      <w:r w:rsidR="00B830CA" w:rsidRPr="003A1174">
        <w:rPr>
          <w:rFonts w:ascii="Garamond" w:hAnsi="Garamond" w:cs="Arial"/>
          <w:sz w:val="24"/>
          <w:szCs w:val="24"/>
        </w:rPr>
        <w:t>m</w:t>
      </w:r>
      <w:r w:rsidR="00823BE0" w:rsidRPr="003A1174">
        <w:rPr>
          <w:rFonts w:ascii="Garamond" w:hAnsi="Garamond" w:cs="Arial"/>
          <w:sz w:val="24"/>
          <w:szCs w:val="24"/>
        </w:rPr>
        <w:t xml:space="preserve"> </w:t>
      </w:r>
      <w:r w:rsidR="003E6403" w:rsidRPr="003A1174">
        <w:rPr>
          <w:rFonts w:ascii="Garamond" w:hAnsi="Garamond" w:cs="Arial"/>
          <w:sz w:val="24"/>
          <w:szCs w:val="24"/>
        </w:rPr>
        <w:t>funcionári</w:t>
      </w:r>
      <w:r w:rsidR="0089062D">
        <w:rPr>
          <w:rFonts w:ascii="Garamond" w:hAnsi="Garamond" w:cs="Arial"/>
          <w:sz w:val="24"/>
          <w:szCs w:val="24"/>
        </w:rPr>
        <w:t>o</w:t>
      </w:r>
      <w:r w:rsidR="00823BE0" w:rsidRPr="003A1174">
        <w:rPr>
          <w:rFonts w:ascii="Garamond" w:hAnsi="Garamond" w:cs="Arial"/>
          <w:sz w:val="24"/>
          <w:szCs w:val="24"/>
        </w:rPr>
        <w:t xml:space="preserve">s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D77C19" w:rsidRPr="003A1174">
        <w:rPr>
          <w:rFonts w:ascii="Garamond" w:hAnsi="Garamond" w:cs="Arial"/>
          <w:sz w:val="24"/>
          <w:szCs w:val="24"/>
        </w:rPr>
        <w:t>Ministério</w:t>
      </w:r>
      <w:r w:rsidR="00823BE0" w:rsidRPr="003A1174">
        <w:rPr>
          <w:rFonts w:ascii="Garamond" w:hAnsi="Garamond" w:cs="Arial"/>
          <w:sz w:val="24"/>
          <w:szCs w:val="24"/>
        </w:rPr>
        <w:t xml:space="preserve"> de </w:t>
      </w:r>
      <w:r w:rsidR="007C63D0" w:rsidRPr="003A1174">
        <w:rPr>
          <w:rFonts w:ascii="Garamond" w:hAnsi="Garamond" w:cs="Arial"/>
          <w:sz w:val="24"/>
          <w:szCs w:val="24"/>
        </w:rPr>
        <w:t>Saúde</w:t>
      </w:r>
      <w:r w:rsidR="00823BE0" w:rsidRPr="003A1174">
        <w:rPr>
          <w:rFonts w:ascii="Garamond" w:hAnsi="Garamond" w:cs="Arial"/>
          <w:sz w:val="24"/>
          <w:szCs w:val="24"/>
        </w:rPr>
        <w:t>, qu</w:t>
      </w:r>
      <w:r w:rsidR="00B830CA" w:rsidRPr="003A1174">
        <w:rPr>
          <w:rFonts w:ascii="Garamond" w:hAnsi="Garamond" w:cs="Arial"/>
          <w:sz w:val="24"/>
          <w:szCs w:val="24"/>
        </w:rPr>
        <w:t xml:space="preserve">e referiram estar a </w:t>
      </w:r>
      <w:r w:rsidR="00AC63DF" w:rsidRPr="003A1174">
        <w:rPr>
          <w:rFonts w:ascii="Garamond" w:hAnsi="Garamond" w:cs="Arial"/>
          <w:sz w:val="24"/>
          <w:szCs w:val="24"/>
        </w:rPr>
        <w:t>trabalha</w:t>
      </w:r>
      <w:r w:rsidR="00B830CA" w:rsidRPr="003A1174">
        <w:rPr>
          <w:rFonts w:ascii="Garamond" w:hAnsi="Garamond" w:cs="Arial"/>
          <w:sz w:val="24"/>
          <w:szCs w:val="24"/>
        </w:rPr>
        <w:t xml:space="preserve">r na </w:t>
      </w:r>
      <w:r w:rsidR="007A3375" w:rsidRPr="003A1174">
        <w:rPr>
          <w:rFonts w:ascii="Garamond" w:hAnsi="Garamond" w:cs="Arial"/>
          <w:sz w:val="24"/>
          <w:szCs w:val="24"/>
        </w:rPr>
        <w:t>elaboração</w:t>
      </w:r>
      <w:r w:rsidR="00823BE0" w:rsidRPr="003A1174">
        <w:rPr>
          <w:rFonts w:ascii="Garamond" w:hAnsi="Garamond" w:cs="Arial"/>
          <w:sz w:val="24"/>
          <w:szCs w:val="24"/>
        </w:rPr>
        <w:t xml:space="preserve"> de u</w:t>
      </w:r>
      <w:r w:rsidR="00B830CA" w:rsidRPr="003A1174">
        <w:rPr>
          <w:rFonts w:ascii="Garamond" w:hAnsi="Garamond" w:cs="Arial"/>
          <w:sz w:val="24"/>
          <w:szCs w:val="24"/>
        </w:rPr>
        <w:t>m</w:t>
      </w:r>
      <w:r w:rsidR="00823BE0" w:rsidRPr="003A1174">
        <w:rPr>
          <w:rFonts w:ascii="Garamond" w:hAnsi="Garamond" w:cs="Arial"/>
          <w:sz w:val="24"/>
          <w:szCs w:val="24"/>
        </w:rPr>
        <w:t xml:space="preserve"> </w:t>
      </w:r>
      <w:r w:rsidR="005D38DC" w:rsidRPr="003A1174">
        <w:rPr>
          <w:rFonts w:ascii="Garamond" w:hAnsi="Garamond" w:cs="Arial"/>
          <w:sz w:val="24"/>
          <w:szCs w:val="24"/>
        </w:rPr>
        <w:t>novo</w:t>
      </w:r>
      <w:r w:rsidR="00823BE0" w:rsidRPr="003A1174">
        <w:rPr>
          <w:rFonts w:ascii="Garamond" w:hAnsi="Garamond" w:cs="Arial"/>
          <w:sz w:val="24"/>
          <w:szCs w:val="24"/>
        </w:rPr>
        <w:t xml:space="preserve"> decreto que sol</w:t>
      </w:r>
      <w:r w:rsidR="00443084" w:rsidRPr="003A1174">
        <w:rPr>
          <w:rFonts w:ascii="Garamond" w:hAnsi="Garamond" w:cs="Arial"/>
          <w:sz w:val="24"/>
          <w:szCs w:val="24"/>
        </w:rPr>
        <w:t>ucione</w:t>
      </w:r>
      <w:r w:rsidR="00B830CA" w:rsidRPr="003A1174">
        <w:rPr>
          <w:rFonts w:ascii="Garamond" w:hAnsi="Garamond" w:cs="Arial"/>
          <w:sz w:val="24"/>
          <w:szCs w:val="24"/>
        </w:rPr>
        <w:t xml:space="preserve"> as falh</w:t>
      </w:r>
      <w:r w:rsidR="00823BE0" w:rsidRPr="003A1174">
        <w:rPr>
          <w:rFonts w:ascii="Garamond" w:hAnsi="Garamond" w:cs="Arial"/>
          <w:sz w:val="24"/>
          <w:szCs w:val="24"/>
        </w:rPr>
        <w:t xml:space="preserve">as </w:t>
      </w:r>
      <w:r w:rsidR="00B830CA" w:rsidRPr="003A1174">
        <w:rPr>
          <w:rFonts w:ascii="Garamond" w:hAnsi="Garamond" w:cs="Arial"/>
          <w:sz w:val="24"/>
          <w:szCs w:val="24"/>
        </w:rPr>
        <w:t xml:space="preserve">já </w:t>
      </w:r>
      <w:r w:rsidR="00823BE0" w:rsidRPr="003A1174">
        <w:rPr>
          <w:rFonts w:ascii="Garamond" w:hAnsi="Garamond" w:cs="Arial"/>
          <w:sz w:val="24"/>
          <w:szCs w:val="24"/>
        </w:rPr>
        <w:t>referenciadas.</w:t>
      </w:r>
    </w:p>
    <w:p w:rsidR="00823BE0" w:rsidRPr="003A1174" w:rsidRDefault="00823BE0" w:rsidP="008719D4">
      <w:pPr>
        <w:pStyle w:val="Ttulo4"/>
        <w:spacing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p>
    <w:p w:rsidR="00823BE0" w:rsidRPr="003A1174" w:rsidRDefault="00C90370" w:rsidP="00B830CA">
      <w:pPr>
        <w:spacing w:before="240" w:line="240" w:lineRule="auto"/>
        <w:jc w:val="both"/>
        <w:rPr>
          <w:rFonts w:ascii="Garamond" w:hAnsi="Garamond" w:cs="Arial"/>
          <w:sz w:val="24"/>
          <w:szCs w:val="24"/>
        </w:rPr>
      </w:pPr>
      <w:r w:rsidRPr="003A1174">
        <w:rPr>
          <w:rFonts w:ascii="Garamond" w:hAnsi="Garamond" w:cs="Arial"/>
          <w:bCs/>
          <w:sz w:val="24"/>
          <w:szCs w:val="24"/>
        </w:rPr>
        <w:t xml:space="preserve">Atualmente, </w:t>
      </w:r>
      <w:r w:rsidR="00823BE0" w:rsidRPr="003A1174">
        <w:rPr>
          <w:rFonts w:ascii="Garamond" w:hAnsi="Garamond" w:cs="Arial"/>
          <w:bCs/>
          <w:sz w:val="24"/>
          <w:szCs w:val="24"/>
        </w:rPr>
        <w:t xml:space="preserve">as Casas </w:t>
      </w:r>
      <w:r w:rsidR="00443084" w:rsidRPr="003A1174">
        <w:rPr>
          <w:rFonts w:ascii="Garamond" w:hAnsi="Garamond" w:cs="Arial"/>
          <w:bCs/>
          <w:sz w:val="24"/>
          <w:szCs w:val="24"/>
        </w:rPr>
        <w:t xml:space="preserve">de </w:t>
      </w:r>
      <w:r w:rsidR="00B936A7" w:rsidRPr="003A1174">
        <w:rPr>
          <w:rFonts w:ascii="Garamond" w:hAnsi="Garamond" w:cs="Arial"/>
          <w:bCs/>
          <w:sz w:val="24"/>
          <w:szCs w:val="24"/>
        </w:rPr>
        <w:t>Abrigo</w:t>
      </w:r>
      <w:r w:rsidRPr="003A1174">
        <w:rPr>
          <w:rFonts w:ascii="Garamond" w:hAnsi="Garamond" w:cs="Arial"/>
          <w:bCs/>
          <w:sz w:val="24"/>
          <w:szCs w:val="24"/>
        </w:rPr>
        <w:t xml:space="preserve"> para </w:t>
      </w:r>
      <w:r w:rsidR="0089062D">
        <w:rPr>
          <w:rFonts w:ascii="Garamond" w:hAnsi="Garamond" w:cs="Arial"/>
          <w:bCs/>
          <w:sz w:val="24"/>
          <w:szCs w:val="24"/>
        </w:rPr>
        <w:t xml:space="preserve">cuidar </w:t>
      </w:r>
      <w:r w:rsidR="00823BE0" w:rsidRPr="003A1174">
        <w:rPr>
          <w:rFonts w:ascii="Garamond" w:hAnsi="Garamond" w:cs="Arial"/>
          <w:bCs/>
          <w:sz w:val="24"/>
          <w:szCs w:val="24"/>
        </w:rPr>
        <w:t xml:space="preserve">de </w:t>
      </w:r>
      <w:r w:rsidR="00054EE0" w:rsidRPr="003A1174">
        <w:rPr>
          <w:rFonts w:ascii="Garamond" w:hAnsi="Garamond" w:cs="Arial"/>
          <w:bCs/>
          <w:sz w:val="24"/>
          <w:szCs w:val="24"/>
        </w:rPr>
        <w:t>mulheres</w:t>
      </w:r>
      <w:r w:rsidR="00823BE0" w:rsidRPr="003A1174">
        <w:rPr>
          <w:rFonts w:ascii="Garamond" w:hAnsi="Garamond" w:cs="Arial"/>
          <w:bCs/>
          <w:sz w:val="24"/>
          <w:szCs w:val="24"/>
        </w:rPr>
        <w:t xml:space="preserve"> </w:t>
      </w:r>
      <w:r w:rsidR="003F012B" w:rsidRPr="003A1174">
        <w:rPr>
          <w:rFonts w:ascii="Garamond" w:hAnsi="Garamond" w:cs="Arial"/>
          <w:bCs/>
          <w:sz w:val="24"/>
          <w:szCs w:val="24"/>
        </w:rPr>
        <w:t>vítima</w:t>
      </w:r>
      <w:r w:rsidR="00823BE0" w:rsidRPr="003A1174">
        <w:rPr>
          <w:rFonts w:ascii="Garamond" w:hAnsi="Garamond" w:cs="Arial"/>
          <w:bCs/>
          <w:sz w:val="24"/>
          <w:szCs w:val="24"/>
        </w:rPr>
        <w:t xml:space="preserve">s de </w:t>
      </w:r>
      <w:r w:rsidR="000350B1" w:rsidRPr="003A1174">
        <w:rPr>
          <w:rFonts w:ascii="Garamond" w:hAnsi="Garamond" w:cs="Arial"/>
          <w:bCs/>
          <w:sz w:val="24"/>
          <w:szCs w:val="24"/>
        </w:rPr>
        <w:t>violência</w:t>
      </w:r>
      <w:r w:rsidR="00823BE0" w:rsidRPr="003A1174">
        <w:rPr>
          <w:rFonts w:ascii="Garamond" w:hAnsi="Garamond" w:cs="Arial"/>
          <w:bCs/>
          <w:sz w:val="24"/>
          <w:szCs w:val="24"/>
        </w:rPr>
        <w:t xml:space="preserve"> </w:t>
      </w:r>
      <w:r w:rsidRPr="003A1174">
        <w:rPr>
          <w:rFonts w:ascii="Garamond" w:hAnsi="Garamond" w:cs="Arial"/>
          <w:bCs/>
          <w:sz w:val="24"/>
          <w:szCs w:val="24"/>
        </w:rPr>
        <w:t>na cidade</w:t>
      </w:r>
      <w:r w:rsidR="00823BE0" w:rsidRPr="003A1174">
        <w:rPr>
          <w:rFonts w:ascii="Garamond" w:hAnsi="Garamond" w:cs="Arial"/>
          <w:bCs/>
          <w:sz w:val="24"/>
          <w:szCs w:val="24"/>
        </w:rPr>
        <w:t xml:space="preserve"> de Bogotá</w:t>
      </w:r>
      <w:r w:rsidR="002F319E" w:rsidRPr="003A1174">
        <w:rPr>
          <w:rFonts w:ascii="Garamond" w:hAnsi="Garamond" w:cs="Arial"/>
          <w:bCs/>
          <w:sz w:val="24"/>
          <w:szCs w:val="24"/>
        </w:rPr>
        <w:t>,</w:t>
      </w:r>
      <w:r w:rsidR="00823BE0" w:rsidRPr="003A1174">
        <w:rPr>
          <w:rFonts w:ascii="Garamond" w:hAnsi="Garamond" w:cs="Arial"/>
          <w:bCs/>
          <w:sz w:val="24"/>
          <w:szCs w:val="24"/>
        </w:rPr>
        <w:t xml:space="preserve"> </w:t>
      </w:r>
      <w:r w:rsidR="001647F2" w:rsidRPr="003A1174">
        <w:rPr>
          <w:rFonts w:ascii="Garamond" w:hAnsi="Garamond" w:cs="Arial"/>
          <w:bCs/>
          <w:sz w:val="24"/>
          <w:szCs w:val="24"/>
        </w:rPr>
        <w:t>estão</w:t>
      </w:r>
      <w:r w:rsidR="00823BE0" w:rsidRPr="003A1174">
        <w:rPr>
          <w:rFonts w:ascii="Garamond" w:hAnsi="Garamond" w:cs="Arial"/>
          <w:bCs/>
          <w:sz w:val="24"/>
          <w:szCs w:val="24"/>
        </w:rPr>
        <w:t xml:space="preserve"> a cargo da </w:t>
      </w:r>
      <w:r w:rsidR="00D75A07" w:rsidRPr="003A1174">
        <w:rPr>
          <w:rFonts w:ascii="Garamond" w:hAnsi="Garamond" w:cs="Arial"/>
          <w:bCs/>
          <w:sz w:val="24"/>
          <w:szCs w:val="24"/>
        </w:rPr>
        <w:t>Secretaria</w:t>
      </w:r>
      <w:r w:rsidR="00823BE0" w:rsidRPr="003A1174">
        <w:rPr>
          <w:rFonts w:ascii="Garamond" w:hAnsi="Garamond" w:cs="Arial"/>
          <w:bCs/>
          <w:sz w:val="24"/>
          <w:szCs w:val="24"/>
        </w:rPr>
        <w:t xml:space="preserve"> da </w:t>
      </w:r>
      <w:r w:rsidR="00AF192F" w:rsidRPr="003A1174">
        <w:rPr>
          <w:rFonts w:ascii="Garamond" w:hAnsi="Garamond" w:cs="Arial"/>
          <w:bCs/>
          <w:sz w:val="24"/>
          <w:szCs w:val="24"/>
        </w:rPr>
        <w:t>Mulher</w:t>
      </w:r>
      <w:r w:rsidR="00823BE0" w:rsidRPr="003A1174">
        <w:rPr>
          <w:rFonts w:ascii="Garamond" w:hAnsi="Garamond" w:cs="Arial"/>
          <w:bCs/>
          <w:sz w:val="24"/>
          <w:szCs w:val="24"/>
        </w:rPr>
        <w:t xml:space="preserve"> </w:t>
      </w:r>
      <w:r w:rsidR="000672E8" w:rsidRPr="003A1174">
        <w:rPr>
          <w:rFonts w:ascii="Garamond" w:hAnsi="Garamond" w:cs="Arial"/>
          <w:bCs/>
          <w:sz w:val="24"/>
          <w:szCs w:val="24"/>
        </w:rPr>
        <w:t>e</w:t>
      </w:r>
      <w:r w:rsidR="00823BE0" w:rsidRPr="003A1174">
        <w:rPr>
          <w:rFonts w:ascii="Garamond" w:hAnsi="Garamond" w:cs="Arial"/>
          <w:sz w:val="24"/>
          <w:szCs w:val="24"/>
        </w:rPr>
        <w:t> </w:t>
      </w:r>
      <w:r w:rsidR="00D4575C" w:rsidRPr="003A1174">
        <w:rPr>
          <w:rFonts w:ascii="Garamond" w:hAnsi="Garamond" w:cs="Arial"/>
          <w:sz w:val="24"/>
          <w:szCs w:val="24"/>
        </w:rPr>
        <w:t>têm</w:t>
      </w:r>
      <w:r w:rsidR="00823BE0" w:rsidRPr="003A1174">
        <w:rPr>
          <w:rFonts w:ascii="Garamond" w:hAnsi="Garamond" w:cs="Arial"/>
          <w:sz w:val="24"/>
          <w:szCs w:val="24"/>
        </w:rPr>
        <w:t xml:space="preserve"> como propósito </w:t>
      </w:r>
      <w:r w:rsidR="009024A0" w:rsidRPr="003A1174">
        <w:rPr>
          <w:rFonts w:ascii="Garamond" w:hAnsi="Garamond" w:cs="Arial"/>
          <w:sz w:val="24"/>
          <w:szCs w:val="24"/>
        </w:rPr>
        <w:t>proporcionar</w:t>
      </w:r>
      <w:r w:rsidR="00823BE0" w:rsidRPr="003A1174">
        <w:rPr>
          <w:rFonts w:ascii="Garamond" w:hAnsi="Garamond" w:cs="Arial"/>
          <w:sz w:val="24"/>
          <w:szCs w:val="24"/>
        </w:rPr>
        <w:t xml:space="preserve"> aco</w:t>
      </w:r>
      <w:r w:rsidR="00B830CA" w:rsidRPr="003A1174">
        <w:rPr>
          <w:rFonts w:ascii="Garamond" w:hAnsi="Garamond" w:cs="Arial"/>
          <w:sz w:val="24"/>
          <w:szCs w:val="24"/>
        </w:rPr>
        <w:t xml:space="preserve">lhimento e </w:t>
      </w:r>
      <w:r w:rsidR="003F012B" w:rsidRPr="003A1174">
        <w:rPr>
          <w:rFonts w:ascii="Garamond" w:hAnsi="Garamond" w:cs="Arial"/>
          <w:sz w:val="24"/>
          <w:szCs w:val="24"/>
        </w:rPr>
        <w:t>acompanhamento</w:t>
      </w:r>
      <w:r w:rsidR="00823BE0" w:rsidRPr="003A1174">
        <w:rPr>
          <w:rFonts w:ascii="Garamond" w:hAnsi="Garamond" w:cs="Arial"/>
          <w:sz w:val="24"/>
          <w:szCs w:val="24"/>
        </w:rPr>
        <w:t xml:space="preserve"> tempor</w:t>
      </w:r>
      <w:r w:rsidR="00B830CA" w:rsidRPr="003A1174">
        <w:rPr>
          <w:rFonts w:ascii="Garamond" w:hAnsi="Garamond" w:cs="Arial"/>
          <w:sz w:val="24"/>
          <w:szCs w:val="24"/>
        </w:rPr>
        <w:t xml:space="preserve">ário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 xml:space="preserve">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s </w:t>
      </w:r>
      <w:r w:rsidR="00B830CA" w:rsidRPr="003A1174">
        <w:rPr>
          <w:rFonts w:ascii="Garamond" w:hAnsi="Garamond" w:cs="Arial"/>
          <w:sz w:val="24"/>
          <w:szCs w:val="24"/>
        </w:rPr>
        <w:t xml:space="preserve">no </w:t>
      </w:r>
      <w:r w:rsidR="0089062D">
        <w:rPr>
          <w:rFonts w:ascii="Garamond" w:hAnsi="Garamond" w:cs="Arial"/>
          <w:sz w:val="24"/>
          <w:szCs w:val="24"/>
        </w:rPr>
        <w:t xml:space="preserve">foro </w:t>
      </w:r>
      <w:r w:rsidR="00823BE0" w:rsidRPr="003A1174">
        <w:rPr>
          <w:rFonts w:ascii="Garamond" w:hAnsi="Garamond" w:cs="Arial"/>
          <w:sz w:val="24"/>
          <w:szCs w:val="24"/>
        </w:rPr>
        <w:t>familiar (</w:t>
      </w:r>
      <w:r w:rsidR="000672E8" w:rsidRPr="003A1174">
        <w:rPr>
          <w:rFonts w:ascii="Garamond" w:hAnsi="Garamond" w:cs="Arial"/>
          <w:sz w:val="24"/>
          <w:szCs w:val="24"/>
        </w:rPr>
        <w:t>e</w:t>
      </w:r>
      <w:r w:rsidR="00B830CA" w:rsidRPr="003A1174">
        <w:rPr>
          <w:rFonts w:ascii="Garamond" w:hAnsi="Garamond" w:cs="Arial"/>
          <w:sz w:val="24"/>
          <w:szCs w:val="24"/>
        </w:rPr>
        <w:t xml:space="preserve"> </w:t>
      </w:r>
      <w:r w:rsidR="0089062D">
        <w:rPr>
          <w:rFonts w:ascii="Garamond" w:hAnsi="Garamond" w:cs="Arial"/>
          <w:sz w:val="24"/>
          <w:szCs w:val="24"/>
        </w:rPr>
        <w:t xml:space="preserve">aos seus </w:t>
      </w:r>
      <w:r w:rsidR="007A2492" w:rsidRPr="003A1174">
        <w:rPr>
          <w:rFonts w:ascii="Garamond" w:hAnsi="Garamond" w:cs="Arial"/>
          <w:sz w:val="24"/>
          <w:szCs w:val="24"/>
        </w:rPr>
        <w:t>filho</w:t>
      </w:r>
      <w:r w:rsidR="00823BE0" w:rsidRPr="003A1174">
        <w:rPr>
          <w:rFonts w:ascii="Garamond" w:hAnsi="Garamond" w:cs="Arial"/>
          <w:sz w:val="24"/>
          <w:szCs w:val="24"/>
        </w:rPr>
        <w:t xml:space="preserve">s), que </w:t>
      </w:r>
      <w:r w:rsidR="0089062D">
        <w:rPr>
          <w:rFonts w:ascii="Garamond" w:hAnsi="Garamond" w:cs="Arial"/>
          <w:sz w:val="24"/>
          <w:szCs w:val="24"/>
        </w:rPr>
        <w:t xml:space="preserve">foram alvo de </w:t>
      </w:r>
      <w:r w:rsidR="00823BE0" w:rsidRPr="003A1174">
        <w:rPr>
          <w:rFonts w:ascii="Garamond" w:hAnsi="Garamond" w:cs="Arial"/>
          <w:sz w:val="24"/>
          <w:szCs w:val="24"/>
        </w:rPr>
        <w:t xml:space="preserve">medida de </w:t>
      </w:r>
      <w:r w:rsidR="00886D6A" w:rsidRPr="003A1174">
        <w:rPr>
          <w:rFonts w:ascii="Garamond" w:hAnsi="Garamond" w:cs="Arial"/>
          <w:sz w:val="24"/>
          <w:szCs w:val="24"/>
        </w:rPr>
        <w:t>proteção</w:t>
      </w:r>
      <w:r w:rsidR="00823BE0" w:rsidRPr="003A1174">
        <w:rPr>
          <w:rFonts w:ascii="Garamond" w:hAnsi="Garamond" w:cs="Arial"/>
          <w:sz w:val="24"/>
          <w:szCs w:val="24"/>
        </w:rPr>
        <w:t xml:space="preserve"> e</w:t>
      </w:r>
      <w:r w:rsidR="00B830CA" w:rsidRPr="003A1174">
        <w:rPr>
          <w:rFonts w:ascii="Garamond" w:hAnsi="Garamond" w:cs="Arial"/>
          <w:sz w:val="24"/>
          <w:szCs w:val="24"/>
        </w:rPr>
        <w:t xml:space="preserve">mitida, ou em </w:t>
      </w:r>
      <w:r w:rsidR="00823BE0" w:rsidRPr="003A1174">
        <w:rPr>
          <w:rFonts w:ascii="Garamond" w:hAnsi="Garamond" w:cs="Arial"/>
          <w:sz w:val="24"/>
          <w:szCs w:val="24"/>
        </w:rPr>
        <w:t>curso</w:t>
      </w:r>
      <w:r w:rsidR="00B830CA" w:rsidRPr="003A1174">
        <w:rPr>
          <w:rFonts w:ascii="Garamond" w:hAnsi="Garamond" w:cs="Arial"/>
          <w:sz w:val="24"/>
          <w:szCs w:val="24"/>
        </w:rPr>
        <w:t>,</w:t>
      </w:r>
      <w:r w:rsidR="00823BE0" w:rsidRPr="003A1174">
        <w:rPr>
          <w:rFonts w:ascii="Garamond" w:hAnsi="Garamond" w:cs="Arial"/>
          <w:sz w:val="24"/>
          <w:szCs w:val="24"/>
        </w:rPr>
        <w:t xml:space="preserve"> </w:t>
      </w:r>
      <w:r w:rsidR="00275092" w:rsidRPr="003A1174">
        <w:rPr>
          <w:rFonts w:ascii="Garamond" w:hAnsi="Garamond" w:cs="Arial"/>
          <w:sz w:val="24"/>
          <w:szCs w:val="24"/>
        </w:rPr>
        <w:t>pela</w:t>
      </w:r>
      <w:r w:rsidR="00823BE0" w:rsidRPr="003A1174">
        <w:rPr>
          <w:rFonts w:ascii="Garamond" w:hAnsi="Garamond" w:cs="Arial"/>
          <w:sz w:val="24"/>
          <w:szCs w:val="24"/>
        </w:rPr>
        <w:t xml:space="preserve"> </w:t>
      </w:r>
      <w:r w:rsidR="002F62B0" w:rsidRPr="003A1174">
        <w:rPr>
          <w:rFonts w:ascii="Garamond" w:hAnsi="Garamond" w:cs="Arial"/>
          <w:sz w:val="24"/>
          <w:szCs w:val="24"/>
        </w:rPr>
        <w:t>autoridade</w:t>
      </w:r>
      <w:r w:rsidR="00823BE0" w:rsidRPr="003A1174">
        <w:rPr>
          <w:rFonts w:ascii="Garamond" w:hAnsi="Garamond" w:cs="Arial"/>
          <w:sz w:val="24"/>
          <w:szCs w:val="24"/>
        </w:rPr>
        <w:t xml:space="preserve"> competente, para </w:t>
      </w:r>
      <w:r w:rsidR="00B830CA" w:rsidRPr="003A1174">
        <w:rPr>
          <w:rFonts w:ascii="Garamond" w:hAnsi="Garamond" w:cs="Arial"/>
          <w:sz w:val="24"/>
          <w:szCs w:val="24"/>
        </w:rPr>
        <w:t xml:space="preserve">as </w:t>
      </w:r>
      <w:r w:rsidR="00E560D8" w:rsidRPr="003A1174">
        <w:rPr>
          <w:rFonts w:ascii="Garamond" w:hAnsi="Garamond" w:cs="Arial"/>
          <w:sz w:val="24"/>
          <w:szCs w:val="24"/>
        </w:rPr>
        <w:t>apoiar</w:t>
      </w:r>
      <w:r w:rsidR="00B830CA" w:rsidRPr="003A1174">
        <w:rPr>
          <w:rFonts w:ascii="Garamond" w:hAnsi="Garamond" w:cs="Arial"/>
          <w:sz w:val="24"/>
          <w:szCs w:val="24"/>
        </w:rPr>
        <w:t xml:space="preserve"> nos </w:t>
      </w:r>
      <w:r w:rsidR="00823BE0" w:rsidRPr="003A1174">
        <w:rPr>
          <w:rFonts w:ascii="Garamond" w:hAnsi="Garamond" w:cs="Arial"/>
          <w:sz w:val="24"/>
          <w:szCs w:val="24"/>
        </w:rPr>
        <w:t>s</w:t>
      </w:r>
      <w:r w:rsidR="00B830CA" w:rsidRPr="003A1174">
        <w:rPr>
          <w:rFonts w:ascii="Garamond" w:hAnsi="Garamond" w:cs="Arial"/>
          <w:sz w:val="24"/>
          <w:szCs w:val="24"/>
        </w:rPr>
        <w:t>e</w:t>
      </w:r>
      <w:r w:rsidR="00823BE0" w:rsidRPr="003A1174">
        <w:rPr>
          <w:rFonts w:ascii="Garamond" w:hAnsi="Garamond" w:cs="Arial"/>
          <w:sz w:val="24"/>
          <w:szCs w:val="24"/>
        </w:rPr>
        <w:t xml:space="preserve">us </w:t>
      </w:r>
      <w:r w:rsidR="002D1021" w:rsidRPr="003A1174">
        <w:rPr>
          <w:rFonts w:ascii="Garamond" w:hAnsi="Garamond" w:cs="Arial"/>
          <w:sz w:val="24"/>
          <w:szCs w:val="24"/>
        </w:rPr>
        <w:t>processo</w:t>
      </w:r>
      <w:r w:rsidR="00823BE0" w:rsidRPr="003A1174">
        <w:rPr>
          <w:rFonts w:ascii="Garamond" w:hAnsi="Garamond" w:cs="Arial"/>
          <w:sz w:val="24"/>
          <w:szCs w:val="24"/>
        </w:rPr>
        <w:t xml:space="preserve">s de </w:t>
      </w:r>
      <w:r w:rsidR="00F520D6" w:rsidRPr="003A1174">
        <w:rPr>
          <w:rFonts w:ascii="Garamond" w:hAnsi="Garamond" w:cs="Arial"/>
          <w:sz w:val="24"/>
          <w:szCs w:val="24"/>
        </w:rPr>
        <w:t>reconhecimento</w:t>
      </w:r>
      <w:r w:rsidR="00823BE0" w:rsidRPr="003A1174">
        <w:rPr>
          <w:rFonts w:ascii="Garamond" w:hAnsi="Garamond" w:cs="Arial"/>
          <w:sz w:val="24"/>
          <w:szCs w:val="24"/>
        </w:rPr>
        <w:t xml:space="preserve"> e </w:t>
      </w:r>
      <w:r w:rsidR="000464C8" w:rsidRPr="003A1174">
        <w:rPr>
          <w:rFonts w:ascii="Garamond" w:hAnsi="Garamond" w:cs="Arial"/>
          <w:sz w:val="24"/>
          <w:szCs w:val="24"/>
        </w:rPr>
        <w:t>identificação</w:t>
      </w:r>
      <w:r w:rsidR="00823BE0" w:rsidRPr="003A1174">
        <w:rPr>
          <w:rFonts w:ascii="Garamond" w:hAnsi="Garamond" w:cs="Arial"/>
          <w:sz w:val="24"/>
          <w:szCs w:val="24"/>
        </w:rPr>
        <w:t xml:space="preserve"> como </w:t>
      </w:r>
      <w:r w:rsidR="003F012B" w:rsidRPr="003A1174">
        <w:rPr>
          <w:rFonts w:ascii="Garamond" w:hAnsi="Garamond" w:cs="Arial"/>
          <w:sz w:val="24"/>
          <w:szCs w:val="24"/>
        </w:rPr>
        <w:t>vítima</w:t>
      </w:r>
      <w:r w:rsidR="00823BE0" w:rsidRPr="003A1174">
        <w:rPr>
          <w:rFonts w:ascii="Garamond" w:hAnsi="Garamond" w:cs="Arial"/>
          <w:sz w:val="24"/>
          <w:szCs w:val="24"/>
        </w:rPr>
        <w:t xml:space="preserve">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w:t>
      </w:r>
      <w:r w:rsidR="00B830CA" w:rsidRPr="003A1174">
        <w:rPr>
          <w:rFonts w:ascii="Garamond" w:hAnsi="Garamond" w:cs="Arial"/>
          <w:sz w:val="24"/>
          <w:szCs w:val="24"/>
        </w:rPr>
        <w:t xml:space="preserve">Também lhes proporcionam </w:t>
      </w:r>
      <w:r w:rsidR="00C30647" w:rsidRPr="003A1174">
        <w:rPr>
          <w:rFonts w:ascii="Garamond" w:hAnsi="Garamond" w:cs="Arial"/>
          <w:sz w:val="24"/>
          <w:szCs w:val="24"/>
        </w:rPr>
        <w:t>assessoria</w:t>
      </w:r>
      <w:r w:rsidR="0089062D">
        <w:rPr>
          <w:rFonts w:ascii="Garamond" w:hAnsi="Garamond" w:cs="Arial"/>
          <w:sz w:val="24"/>
          <w:szCs w:val="24"/>
        </w:rPr>
        <w:t xml:space="preserve"> e </w:t>
      </w:r>
      <w:r w:rsidR="000350B1" w:rsidRPr="003A1174">
        <w:rPr>
          <w:rFonts w:ascii="Garamond" w:hAnsi="Garamond" w:cs="Arial"/>
          <w:sz w:val="24"/>
          <w:szCs w:val="24"/>
        </w:rPr>
        <w:t>assistência</w:t>
      </w:r>
      <w:r w:rsidR="00823BE0" w:rsidRPr="003A1174">
        <w:rPr>
          <w:rFonts w:ascii="Garamond" w:hAnsi="Garamond" w:cs="Arial"/>
          <w:sz w:val="24"/>
          <w:szCs w:val="24"/>
        </w:rPr>
        <w:t xml:space="preserve"> técnica co</w:t>
      </w:r>
      <w:r w:rsidR="00B830CA" w:rsidRPr="003A1174">
        <w:rPr>
          <w:rFonts w:ascii="Garamond" w:hAnsi="Garamond" w:cs="Arial"/>
          <w:sz w:val="24"/>
          <w:szCs w:val="24"/>
        </w:rPr>
        <w:t xml:space="preserve">m </w:t>
      </w:r>
      <w:r w:rsidR="00823BE0" w:rsidRPr="003A1174">
        <w:rPr>
          <w:rFonts w:ascii="Garamond" w:hAnsi="Garamond" w:cs="Arial"/>
          <w:sz w:val="24"/>
          <w:szCs w:val="24"/>
        </w:rPr>
        <w:t xml:space="preserve">enfoque </w:t>
      </w:r>
      <w:r w:rsidR="00B830CA" w:rsidRPr="003A1174">
        <w:rPr>
          <w:rFonts w:ascii="Garamond" w:hAnsi="Garamond" w:cs="Arial"/>
          <w:sz w:val="24"/>
          <w:szCs w:val="24"/>
        </w:rPr>
        <w:t xml:space="preserve">nos </w:t>
      </w:r>
      <w:r w:rsidR="00886D6A" w:rsidRPr="003A1174">
        <w:rPr>
          <w:rFonts w:ascii="Garamond" w:hAnsi="Garamond" w:cs="Arial"/>
          <w:sz w:val="24"/>
          <w:szCs w:val="24"/>
        </w:rPr>
        <w:t>direito</w:t>
      </w:r>
      <w:r w:rsidR="00823BE0" w:rsidRPr="003A1174">
        <w:rPr>
          <w:rFonts w:ascii="Garamond" w:hAnsi="Garamond" w:cs="Arial"/>
          <w:sz w:val="24"/>
          <w:szCs w:val="24"/>
        </w:rPr>
        <w:t xml:space="preserve">s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de género </w:t>
      </w:r>
      <w:r w:rsidR="00B830CA" w:rsidRPr="003A1174">
        <w:rPr>
          <w:rFonts w:ascii="Garamond" w:hAnsi="Garamond" w:cs="Arial"/>
          <w:sz w:val="24"/>
          <w:szCs w:val="24"/>
        </w:rPr>
        <w:t>n</w:t>
      </w:r>
      <w:r w:rsidR="00823BE0" w:rsidRPr="003A1174">
        <w:rPr>
          <w:rFonts w:ascii="Garamond" w:hAnsi="Garamond" w:cs="Arial"/>
          <w:sz w:val="24"/>
          <w:szCs w:val="24"/>
        </w:rPr>
        <w:t xml:space="preserve">as áreas jurídicas, </w:t>
      </w:r>
      <w:r w:rsidR="0017447A" w:rsidRPr="003A1174">
        <w:rPr>
          <w:rFonts w:ascii="Garamond" w:hAnsi="Garamond" w:cs="Arial"/>
          <w:sz w:val="24"/>
          <w:szCs w:val="24"/>
        </w:rPr>
        <w:t>trabalho</w:t>
      </w:r>
      <w:r w:rsidR="00823BE0" w:rsidRPr="003A1174">
        <w:rPr>
          <w:rFonts w:ascii="Garamond" w:hAnsi="Garamond" w:cs="Arial"/>
          <w:sz w:val="24"/>
          <w:szCs w:val="24"/>
        </w:rPr>
        <w:t xml:space="preserve"> social, </w:t>
      </w:r>
      <w:r w:rsidR="000350B1" w:rsidRPr="003A1174">
        <w:rPr>
          <w:rFonts w:ascii="Garamond" w:hAnsi="Garamond" w:cs="Arial"/>
          <w:sz w:val="24"/>
          <w:szCs w:val="24"/>
        </w:rPr>
        <w:t>psicologia</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B830CA" w:rsidRPr="003A1174">
        <w:rPr>
          <w:rFonts w:ascii="Garamond" w:hAnsi="Garamond" w:cs="Arial"/>
          <w:sz w:val="24"/>
          <w:szCs w:val="24"/>
        </w:rPr>
        <w:t>pedagogia</w:t>
      </w:r>
      <w:r w:rsidR="00823BE0" w:rsidRPr="003A1174">
        <w:rPr>
          <w:rFonts w:ascii="Garamond" w:hAnsi="Garamond" w:cs="Arial"/>
          <w:sz w:val="24"/>
          <w:szCs w:val="24"/>
        </w:rPr>
        <w:t>.</w:t>
      </w:r>
      <w:r w:rsidR="00823BE0" w:rsidRPr="003A1174">
        <w:rPr>
          <w:rStyle w:val="Refdenotaalpie"/>
          <w:rFonts w:ascii="Garamond" w:hAnsi="Garamond" w:cs="Arial"/>
          <w:sz w:val="24"/>
          <w:szCs w:val="24"/>
          <w:lang w:val="es-CO"/>
        </w:rPr>
        <w:footnoteReference w:id="123"/>
      </w:r>
    </w:p>
    <w:p w:rsidR="00823BE0" w:rsidRPr="003A1174" w:rsidRDefault="00B830CA"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Atualmente, </w:t>
      </w:r>
      <w:r w:rsidR="00823BE0" w:rsidRPr="003A1174">
        <w:rPr>
          <w:rFonts w:ascii="Garamond" w:hAnsi="Garamond" w:cs="Arial"/>
          <w:sz w:val="24"/>
          <w:szCs w:val="24"/>
        </w:rPr>
        <w:t>existe</w:t>
      </w:r>
      <w:r w:rsidRPr="003A1174">
        <w:rPr>
          <w:rFonts w:ascii="Garamond" w:hAnsi="Garamond" w:cs="Arial"/>
          <w:sz w:val="24"/>
          <w:szCs w:val="24"/>
        </w:rPr>
        <w:t>m</w:t>
      </w:r>
      <w:r w:rsidR="00823BE0" w:rsidRPr="003A1174">
        <w:rPr>
          <w:rFonts w:ascii="Garamond" w:hAnsi="Garamond" w:cs="Arial"/>
          <w:sz w:val="24"/>
          <w:szCs w:val="24"/>
        </w:rPr>
        <w:t xml:space="preserve"> </w:t>
      </w:r>
      <w:proofErr w:type="gramStart"/>
      <w:r w:rsidR="00823BE0" w:rsidRPr="003A1174">
        <w:rPr>
          <w:rFonts w:ascii="Garamond" w:hAnsi="Garamond" w:cs="Arial"/>
          <w:sz w:val="24"/>
          <w:szCs w:val="24"/>
        </w:rPr>
        <w:t>3</w:t>
      </w:r>
      <w:proofErr w:type="gramEnd"/>
      <w:r w:rsidR="00823BE0" w:rsidRPr="003A1174">
        <w:rPr>
          <w:rFonts w:ascii="Garamond" w:hAnsi="Garamond" w:cs="Arial"/>
          <w:sz w:val="24"/>
          <w:szCs w:val="24"/>
        </w:rPr>
        <w:t xml:space="preserve"> Casas </w:t>
      </w:r>
      <w:r w:rsidR="00B936A7" w:rsidRPr="003A1174">
        <w:rPr>
          <w:rFonts w:ascii="Garamond" w:hAnsi="Garamond" w:cs="Arial"/>
          <w:sz w:val="24"/>
          <w:szCs w:val="24"/>
        </w:rPr>
        <w:t>Abrigo</w:t>
      </w:r>
      <w:r w:rsidR="00823BE0" w:rsidRPr="003A1174">
        <w:rPr>
          <w:rFonts w:ascii="Garamond" w:hAnsi="Garamond" w:cs="Arial"/>
          <w:sz w:val="24"/>
          <w:szCs w:val="24"/>
        </w:rPr>
        <w:t xml:space="preserve"> </w:t>
      </w:r>
      <w:r w:rsidR="006C5AE7" w:rsidRPr="003A1174">
        <w:rPr>
          <w:rFonts w:ascii="Garamond" w:hAnsi="Garamond" w:cs="Arial"/>
          <w:sz w:val="24"/>
          <w:szCs w:val="24"/>
        </w:rPr>
        <w:t xml:space="preserve">localizadas </w:t>
      </w:r>
      <w:r w:rsidR="00823BE0" w:rsidRPr="003A1174">
        <w:rPr>
          <w:rFonts w:ascii="Garamond" w:hAnsi="Garamond" w:cs="Arial"/>
          <w:sz w:val="24"/>
          <w:szCs w:val="24"/>
        </w:rPr>
        <w:t>e</w:t>
      </w:r>
      <w:r w:rsidR="00B97C05" w:rsidRPr="003A1174">
        <w:rPr>
          <w:rFonts w:ascii="Garamond" w:hAnsi="Garamond" w:cs="Arial"/>
          <w:sz w:val="24"/>
          <w:szCs w:val="24"/>
        </w:rPr>
        <w:t>m</w:t>
      </w:r>
      <w:r w:rsidR="00823BE0" w:rsidRPr="003A1174">
        <w:rPr>
          <w:rFonts w:ascii="Garamond" w:hAnsi="Garamond" w:cs="Arial"/>
          <w:sz w:val="24"/>
          <w:szCs w:val="24"/>
        </w:rPr>
        <w:t xml:space="preserve"> diferentes </w:t>
      </w:r>
      <w:r w:rsidR="00BE4EB8" w:rsidRPr="003A1174">
        <w:rPr>
          <w:rFonts w:ascii="Garamond" w:hAnsi="Garamond" w:cs="Arial"/>
          <w:sz w:val="24"/>
          <w:szCs w:val="24"/>
        </w:rPr>
        <w:t>setores</w:t>
      </w:r>
      <w:r w:rsidR="00B97C05" w:rsidRPr="003A1174">
        <w:rPr>
          <w:rFonts w:ascii="Garamond" w:hAnsi="Garamond" w:cs="Arial"/>
          <w:sz w:val="24"/>
          <w:szCs w:val="24"/>
        </w:rPr>
        <w:t xml:space="preserve"> d</w:t>
      </w:r>
      <w:r w:rsidR="00823BE0" w:rsidRPr="003A1174">
        <w:rPr>
          <w:rFonts w:ascii="Garamond" w:hAnsi="Garamond" w:cs="Arial"/>
          <w:sz w:val="24"/>
          <w:szCs w:val="24"/>
        </w:rPr>
        <w:t xml:space="preserve">a </w:t>
      </w:r>
      <w:r w:rsidR="00C90370" w:rsidRPr="003A1174">
        <w:rPr>
          <w:rFonts w:ascii="Garamond" w:hAnsi="Garamond" w:cs="Arial"/>
          <w:sz w:val="24"/>
          <w:szCs w:val="24"/>
        </w:rPr>
        <w:t>cidade</w:t>
      </w:r>
      <w:r w:rsidR="00823BE0" w:rsidRPr="003A1174">
        <w:rPr>
          <w:rFonts w:ascii="Garamond" w:hAnsi="Garamond" w:cs="Arial"/>
          <w:sz w:val="24"/>
          <w:szCs w:val="24"/>
        </w:rPr>
        <w:t xml:space="preserve"> de Bogotá: La Soledad, Teusaquillo </w:t>
      </w:r>
      <w:r w:rsidR="000672E8" w:rsidRPr="003A1174">
        <w:rPr>
          <w:rFonts w:ascii="Garamond" w:hAnsi="Garamond" w:cs="Arial"/>
          <w:sz w:val="24"/>
          <w:szCs w:val="24"/>
        </w:rPr>
        <w:t>e</w:t>
      </w:r>
      <w:r w:rsidR="00823BE0" w:rsidRPr="003A1174">
        <w:rPr>
          <w:rFonts w:ascii="Garamond" w:hAnsi="Garamond" w:cs="Arial"/>
          <w:sz w:val="24"/>
          <w:szCs w:val="24"/>
        </w:rPr>
        <w:t xml:space="preserve"> Mártires. </w:t>
      </w:r>
      <w:r w:rsidR="006C5AE7" w:rsidRPr="003A1174">
        <w:rPr>
          <w:rFonts w:ascii="Garamond" w:hAnsi="Garamond" w:cs="Arial"/>
          <w:sz w:val="24"/>
          <w:szCs w:val="24"/>
        </w:rPr>
        <w:t xml:space="preserve">No </w:t>
      </w:r>
      <w:r w:rsidR="003A391A" w:rsidRPr="003A1174">
        <w:rPr>
          <w:rFonts w:ascii="Garamond" w:hAnsi="Garamond" w:cs="Arial"/>
          <w:sz w:val="24"/>
          <w:szCs w:val="24"/>
        </w:rPr>
        <w:t>mês</w:t>
      </w:r>
      <w:r w:rsidR="00823BE0" w:rsidRPr="003A1174">
        <w:rPr>
          <w:rFonts w:ascii="Garamond" w:hAnsi="Garamond" w:cs="Arial"/>
          <w:sz w:val="24"/>
          <w:szCs w:val="24"/>
        </w:rPr>
        <w:t xml:space="preserve"> de agosto de 2014</w:t>
      </w:r>
      <w:r w:rsidR="0089062D">
        <w:rPr>
          <w:rFonts w:ascii="Garamond" w:hAnsi="Garamond" w:cs="Arial"/>
          <w:sz w:val="24"/>
          <w:szCs w:val="24"/>
        </w:rPr>
        <w:t>,</w:t>
      </w:r>
      <w:r w:rsidR="00823BE0" w:rsidRPr="003A1174">
        <w:rPr>
          <w:rFonts w:ascii="Garamond" w:hAnsi="Garamond" w:cs="Arial"/>
          <w:sz w:val="24"/>
          <w:szCs w:val="24"/>
        </w:rPr>
        <w:t xml:space="preserve"> abrirá </w:t>
      </w:r>
      <w:r w:rsidR="002B6C5B" w:rsidRPr="003A1174">
        <w:rPr>
          <w:rFonts w:ascii="Garamond" w:hAnsi="Garamond" w:cs="Arial"/>
          <w:sz w:val="24"/>
          <w:szCs w:val="24"/>
        </w:rPr>
        <w:t>outra</w:t>
      </w:r>
      <w:r w:rsidR="006C5AE7" w:rsidRPr="003A1174">
        <w:rPr>
          <w:rFonts w:ascii="Garamond" w:hAnsi="Garamond" w:cs="Arial"/>
          <w:sz w:val="24"/>
          <w:szCs w:val="24"/>
        </w:rPr>
        <w:t xml:space="preserve"> no </w:t>
      </w:r>
      <w:r w:rsidR="00F96DD1" w:rsidRPr="003A1174">
        <w:rPr>
          <w:rFonts w:ascii="Garamond" w:hAnsi="Garamond" w:cs="Arial"/>
          <w:sz w:val="24"/>
          <w:szCs w:val="24"/>
        </w:rPr>
        <w:t>setor</w:t>
      </w:r>
      <w:r w:rsidR="00823BE0" w:rsidRPr="003A1174">
        <w:rPr>
          <w:rFonts w:ascii="Garamond" w:hAnsi="Garamond" w:cs="Arial"/>
          <w:sz w:val="24"/>
          <w:szCs w:val="24"/>
        </w:rPr>
        <w:t xml:space="preserve"> de Santa Isabel.</w:t>
      </w:r>
    </w:p>
    <w:p w:rsidR="00823BE0" w:rsidRPr="003A1174" w:rsidRDefault="000350B1" w:rsidP="008719D4">
      <w:pPr>
        <w:spacing w:before="240" w:line="240" w:lineRule="auto"/>
        <w:jc w:val="both"/>
        <w:rPr>
          <w:rFonts w:ascii="Garamond" w:hAnsi="Garamond" w:cs="Arial"/>
          <w:sz w:val="24"/>
          <w:szCs w:val="24"/>
        </w:rPr>
      </w:pPr>
      <w:r w:rsidRPr="003A1174">
        <w:rPr>
          <w:rFonts w:ascii="Garamond" w:hAnsi="Garamond" w:cs="Arial"/>
          <w:sz w:val="24"/>
          <w:szCs w:val="24"/>
        </w:rPr>
        <w:t>Também</w:t>
      </w:r>
      <w:r w:rsidR="00823BE0" w:rsidRPr="003A1174">
        <w:rPr>
          <w:rFonts w:ascii="Garamond" w:hAnsi="Garamond" w:cs="Arial"/>
          <w:sz w:val="24"/>
          <w:szCs w:val="24"/>
        </w:rPr>
        <w:t xml:space="preserve"> existe</w:t>
      </w:r>
      <w:r w:rsidR="006C5AE7" w:rsidRPr="003A1174">
        <w:rPr>
          <w:rFonts w:ascii="Garamond" w:hAnsi="Garamond" w:cs="Arial"/>
          <w:sz w:val="24"/>
          <w:szCs w:val="24"/>
        </w:rPr>
        <w:t>m</w:t>
      </w:r>
      <w:r w:rsidR="00823BE0" w:rsidRPr="003A1174">
        <w:rPr>
          <w:rFonts w:ascii="Garamond" w:hAnsi="Garamond" w:cs="Arial"/>
          <w:sz w:val="24"/>
          <w:szCs w:val="24"/>
        </w:rPr>
        <w:t xml:space="preserve"> casas </w:t>
      </w:r>
      <w:r w:rsidR="00B936A7" w:rsidRPr="003A1174">
        <w:rPr>
          <w:rFonts w:ascii="Garamond" w:hAnsi="Garamond" w:cs="Arial"/>
          <w:sz w:val="24"/>
          <w:szCs w:val="24"/>
        </w:rPr>
        <w:t>abrigo</w:t>
      </w:r>
      <w:r w:rsidR="00823BE0" w:rsidRPr="003A1174">
        <w:rPr>
          <w:rFonts w:ascii="Garamond" w:hAnsi="Garamond" w:cs="Arial"/>
          <w:sz w:val="24"/>
          <w:szCs w:val="24"/>
        </w:rPr>
        <w:t xml:space="preserve"> </w:t>
      </w:r>
      <w:r w:rsidR="006C5AE7" w:rsidRPr="003A1174">
        <w:rPr>
          <w:rFonts w:ascii="Garamond" w:hAnsi="Garamond" w:cs="Arial"/>
          <w:sz w:val="24"/>
          <w:szCs w:val="24"/>
        </w:rPr>
        <w:t>n</w:t>
      </w:r>
      <w:r w:rsidR="00823BE0" w:rsidRPr="003A1174">
        <w:rPr>
          <w:rFonts w:ascii="Garamond" w:hAnsi="Garamond" w:cs="Arial"/>
          <w:sz w:val="24"/>
          <w:szCs w:val="24"/>
        </w:rPr>
        <w:t xml:space="preserve">as </w:t>
      </w:r>
      <w:r w:rsidR="002F5CD1" w:rsidRPr="003A1174">
        <w:rPr>
          <w:rFonts w:ascii="Garamond" w:hAnsi="Garamond" w:cs="Arial"/>
          <w:sz w:val="24"/>
          <w:szCs w:val="24"/>
        </w:rPr>
        <w:t>principais</w:t>
      </w:r>
      <w:r w:rsidR="00823BE0" w:rsidRPr="003A1174">
        <w:rPr>
          <w:rFonts w:ascii="Garamond" w:hAnsi="Garamond" w:cs="Arial"/>
          <w:sz w:val="24"/>
          <w:szCs w:val="24"/>
        </w:rPr>
        <w:t xml:space="preserve"> </w:t>
      </w:r>
      <w:r w:rsidR="008651AF" w:rsidRPr="003A1174">
        <w:rPr>
          <w:rFonts w:ascii="Garamond" w:hAnsi="Garamond" w:cs="Arial"/>
          <w:sz w:val="24"/>
          <w:szCs w:val="24"/>
        </w:rPr>
        <w:t>cidades</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país, </w:t>
      </w:r>
      <w:r w:rsidR="000672E8" w:rsidRPr="003A1174">
        <w:rPr>
          <w:rFonts w:ascii="Garamond" w:hAnsi="Garamond" w:cs="Arial"/>
          <w:sz w:val="24"/>
          <w:szCs w:val="24"/>
        </w:rPr>
        <w:t>e</w:t>
      </w:r>
      <w:r w:rsidR="00823BE0" w:rsidRPr="003A1174">
        <w:rPr>
          <w:rFonts w:ascii="Garamond" w:hAnsi="Garamond" w:cs="Arial"/>
          <w:sz w:val="24"/>
          <w:szCs w:val="24"/>
        </w:rPr>
        <w:t xml:space="preserve"> 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0089062D">
        <w:rPr>
          <w:rFonts w:ascii="Garamond" w:hAnsi="Garamond" w:cs="Arial"/>
          <w:sz w:val="24"/>
          <w:szCs w:val="24"/>
        </w:rPr>
        <w:t>-</w:t>
      </w:r>
      <w:r w:rsidR="006C5AE7" w:rsidRPr="003A1174">
        <w:rPr>
          <w:rFonts w:ascii="Garamond" w:hAnsi="Garamond" w:cs="Arial"/>
          <w:sz w:val="24"/>
          <w:szCs w:val="24"/>
        </w:rPr>
        <w:t xml:space="preserve"> através </w:t>
      </w:r>
      <w:r w:rsidR="00E85E59" w:rsidRPr="003A1174">
        <w:rPr>
          <w:rFonts w:ascii="Garamond" w:hAnsi="Garamond" w:cs="Arial"/>
          <w:sz w:val="24"/>
          <w:szCs w:val="24"/>
        </w:rPr>
        <w:t>do</w:t>
      </w:r>
      <w:r w:rsidR="00823BE0" w:rsidRPr="003A1174">
        <w:rPr>
          <w:rFonts w:ascii="Garamond" w:hAnsi="Garamond" w:cs="Arial"/>
          <w:sz w:val="24"/>
          <w:szCs w:val="24"/>
        </w:rPr>
        <w:t xml:space="preserve"> Comité Nacional de </w:t>
      </w:r>
      <w:r w:rsidR="00C01806" w:rsidRPr="003A1174">
        <w:rPr>
          <w:rFonts w:ascii="Garamond" w:hAnsi="Garamond" w:cs="Arial"/>
          <w:sz w:val="24"/>
          <w:szCs w:val="24"/>
        </w:rPr>
        <w:t>Seguimento</w:t>
      </w:r>
      <w:r w:rsidR="00823BE0" w:rsidRPr="003A1174">
        <w:rPr>
          <w:rFonts w:ascii="Garamond" w:hAnsi="Garamond" w:cs="Arial"/>
          <w:sz w:val="24"/>
          <w:szCs w:val="24"/>
        </w:rPr>
        <w:t xml:space="preserve"> </w:t>
      </w:r>
      <w:r w:rsidR="006C5AE7" w:rsidRPr="003A1174">
        <w:rPr>
          <w:rFonts w:ascii="Garamond" w:hAnsi="Garamond" w:cs="Arial"/>
          <w:sz w:val="24"/>
          <w:szCs w:val="24"/>
        </w:rPr>
        <w:t xml:space="preserve">da </w:t>
      </w:r>
      <w:r w:rsidR="00D15AFF" w:rsidRPr="003A1174">
        <w:rPr>
          <w:rFonts w:ascii="Garamond" w:hAnsi="Garamond" w:cs="Arial"/>
          <w:sz w:val="24"/>
          <w:szCs w:val="24"/>
        </w:rPr>
        <w:t>Lei</w:t>
      </w:r>
      <w:r w:rsidR="00823BE0" w:rsidRPr="003A1174">
        <w:rPr>
          <w:rFonts w:ascii="Garamond" w:hAnsi="Garamond" w:cs="Arial"/>
          <w:sz w:val="24"/>
          <w:szCs w:val="24"/>
        </w:rPr>
        <w:t xml:space="preserve"> 1257</w:t>
      </w:r>
      <w:r w:rsidR="0089062D">
        <w:rPr>
          <w:rFonts w:ascii="Garamond" w:hAnsi="Garamond" w:cs="Arial"/>
          <w:sz w:val="24"/>
          <w:szCs w:val="24"/>
        </w:rPr>
        <w:t>,</w:t>
      </w:r>
      <w:r w:rsidR="00823BE0" w:rsidRPr="003A1174">
        <w:rPr>
          <w:rFonts w:ascii="Garamond" w:hAnsi="Garamond" w:cs="Arial"/>
          <w:sz w:val="24"/>
          <w:szCs w:val="24"/>
        </w:rPr>
        <w:t xml:space="preserve"> de 2008</w:t>
      </w:r>
      <w:r w:rsidR="006C5AE7" w:rsidRPr="003A1174">
        <w:rPr>
          <w:rFonts w:ascii="Garamond" w:hAnsi="Garamond" w:cs="Arial"/>
          <w:sz w:val="24"/>
          <w:szCs w:val="24"/>
        </w:rPr>
        <w:t xml:space="preserve"> </w:t>
      </w:r>
      <w:r w:rsidR="0089062D">
        <w:rPr>
          <w:rFonts w:ascii="Garamond" w:hAnsi="Garamond" w:cs="Arial"/>
          <w:sz w:val="24"/>
          <w:szCs w:val="24"/>
        </w:rPr>
        <w:t>-</w:t>
      </w:r>
      <w:r w:rsidR="00823BE0" w:rsidRPr="003A1174">
        <w:rPr>
          <w:rFonts w:ascii="Garamond" w:hAnsi="Garamond" w:cs="Arial"/>
          <w:sz w:val="24"/>
          <w:szCs w:val="24"/>
        </w:rPr>
        <w:t xml:space="preserve"> verifica </w:t>
      </w:r>
      <w:r w:rsidR="006C5AE7" w:rsidRPr="003A1174">
        <w:rPr>
          <w:rFonts w:ascii="Garamond" w:hAnsi="Garamond" w:cs="Arial"/>
          <w:sz w:val="24"/>
          <w:szCs w:val="24"/>
        </w:rPr>
        <w:t xml:space="preserve">o </w:t>
      </w:r>
      <w:r w:rsidR="00D96FD0" w:rsidRPr="003A1174">
        <w:rPr>
          <w:rFonts w:ascii="Garamond" w:hAnsi="Garamond" w:cs="Arial"/>
          <w:sz w:val="24"/>
          <w:szCs w:val="24"/>
        </w:rPr>
        <w:t>cumprimento</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medidas de </w:t>
      </w:r>
      <w:r w:rsidR="00886D6A" w:rsidRPr="003A1174">
        <w:rPr>
          <w:rFonts w:ascii="Garamond" w:hAnsi="Garamond" w:cs="Arial"/>
          <w:sz w:val="24"/>
          <w:szCs w:val="24"/>
        </w:rPr>
        <w:t>proteção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8278C4" w:rsidRPr="003A1174">
        <w:rPr>
          <w:rFonts w:ascii="Garamond" w:hAnsi="Garamond" w:cs="Arial"/>
          <w:sz w:val="24"/>
          <w:szCs w:val="24"/>
        </w:rPr>
        <w:t>atenção</w:t>
      </w:r>
      <w:r w:rsidR="00823BE0" w:rsidRPr="003A1174">
        <w:rPr>
          <w:rFonts w:ascii="Garamond" w:hAnsi="Garamond" w:cs="Arial"/>
          <w:sz w:val="24"/>
          <w:szCs w:val="24"/>
        </w:rPr>
        <w:t xml:space="preserve"> (</w:t>
      </w:r>
      <w:r w:rsidR="00D44677" w:rsidRPr="003A1174">
        <w:rPr>
          <w:rFonts w:ascii="Garamond" w:hAnsi="Garamond" w:cs="Arial"/>
          <w:sz w:val="24"/>
          <w:szCs w:val="24"/>
        </w:rPr>
        <w:t>abrigo</w:t>
      </w:r>
      <w:r w:rsidR="006C5AE7" w:rsidRPr="003A1174">
        <w:rPr>
          <w:rFonts w:ascii="Garamond" w:hAnsi="Garamond" w:cs="Arial"/>
          <w:sz w:val="24"/>
          <w:szCs w:val="24"/>
        </w:rPr>
        <w:t>s</w:t>
      </w:r>
      <w:r w:rsidR="00823BE0" w:rsidRPr="003A1174">
        <w:rPr>
          <w:rFonts w:ascii="Garamond" w:hAnsi="Garamond" w:cs="Arial"/>
          <w:sz w:val="24"/>
          <w:szCs w:val="24"/>
        </w:rPr>
        <w:t xml:space="preserve">, </w:t>
      </w:r>
      <w:r w:rsidR="00C15C97" w:rsidRPr="003A1174">
        <w:rPr>
          <w:rFonts w:ascii="Garamond" w:hAnsi="Garamond" w:cs="Arial"/>
          <w:sz w:val="24"/>
          <w:szCs w:val="24"/>
        </w:rPr>
        <w:t>alojamento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6C5AE7" w:rsidRPr="003A1174">
        <w:rPr>
          <w:rFonts w:ascii="Garamond" w:hAnsi="Garamond" w:cs="Arial"/>
          <w:sz w:val="24"/>
          <w:szCs w:val="24"/>
        </w:rPr>
        <w:t>alimentação</w:t>
      </w:r>
      <w:r w:rsidR="00823BE0" w:rsidRPr="003A1174">
        <w:rPr>
          <w:rFonts w:ascii="Garamond" w:hAnsi="Garamond" w:cs="Arial"/>
          <w:sz w:val="24"/>
          <w:szCs w:val="24"/>
        </w:rPr>
        <w:t xml:space="preserve">)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s.</w:t>
      </w:r>
    </w:p>
    <w:p w:rsidR="00823BE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lastRenderedPageBreak/>
        <w:t>Registo</w:t>
      </w:r>
      <w:r w:rsidR="00823BE0" w:rsidRPr="003A1174">
        <w:rPr>
          <w:rFonts w:ascii="Garamond" w:hAnsi="Garamond"/>
          <w:sz w:val="24"/>
          <w:szCs w:val="24"/>
        </w:rPr>
        <w:t xml:space="preserve"> de </w:t>
      </w:r>
      <w:r w:rsidR="0017447A" w:rsidRPr="003A1174">
        <w:rPr>
          <w:rFonts w:ascii="Garamond" w:hAnsi="Garamond"/>
          <w:sz w:val="24"/>
          <w:szCs w:val="24"/>
        </w:rPr>
        <w:t>informação</w:t>
      </w:r>
    </w:p>
    <w:p w:rsidR="00823BE0" w:rsidRPr="003A1174" w:rsidRDefault="006C5AE7"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w:t>
      </w:r>
      <w:r w:rsidR="00802ACC" w:rsidRPr="003A1174">
        <w:rPr>
          <w:rFonts w:ascii="Garamond" w:hAnsi="Garamond" w:cs="Arial"/>
          <w:sz w:val="24"/>
          <w:szCs w:val="24"/>
        </w:rPr>
        <w:t>âmbito</w:t>
      </w:r>
      <w:r w:rsidR="00443084" w:rsidRPr="003A1174">
        <w:rPr>
          <w:rFonts w:ascii="Garamond" w:hAnsi="Garamond" w:cs="Arial"/>
          <w:sz w:val="24"/>
          <w:szCs w:val="24"/>
        </w:rPr>
        <w:t xml:space="preserve"> </w:t>
      </w:r>
      <w:r w:rsidR="00100435" w:rsidRPr="003A1174">
        <w:rPr>
          <w:rFonts w:ascii="Garamond" w:hAnsi="Garamond" w:cs="Arial"/>
          <w:sz w:val="24"/>
          <w:szCs w:val="24"/>
        </w:rPr>
        <w:t>governamental</w:t>
      </w:r>
      <w:r w:rsidR="00443084" w:rsidRPr="003A1174">
        <w:rPr>
          <w:rFonts w:ascii="Garamond" w:hAnsi="Garamond" w:cs="Arial"/>
          <w:sz w:val="24"/>
          <w:szCs w:val="24"/>
        </w:rPr>
        <w:t xml:space="preserve">, </w:t>
      </w:r>
      <w:r w:rsidR="00823BE0" w:rsidRPr="003A1174">
        <w:rPr>
          <w:rFonts w:ascii="Garamond" w:hAnsi="Garamond" w:cs="Arial"/>
          <w:sz w:val="24"/>
          <w:szCs w:val="24"/>
        </w:rPr>
        <w:t>a Unidad</w:t>
      </w:r>
      <w:r w:rsidRPr="003A1174">
        <w:rPr>
          <w:rFonts w:ascii="Garamond" w:hAnsi="Garamond" w:cs="Arial"/>
          <w:sz w:val="24"/>
          <w:szCs w:val="24"/>
        </w:rPr>
        <w:t xml:space="preserve">e Administrativa Especial para </w:t>
      </w:r>
      <w:r w:rsidR="00823BE0" w:rsidRPr="003A1174">
        <w:rPr>
          <w:rFonts w:ascii="Garamond" w:hAnsi="Garamond" w:cs="Arial"/>
          <w:sz w:val="24"/>
          <w:szCs w:val="24"/>
        </w:rPr>
        <w:t xml:space="preserve">a </w:t>
      </w:r>
      <w:r w:rsidR="00AE3F78" w:rsidRPr="003A1174">
        <w:rPr>
          <w:rFonts w:ascii="Garamond" w:hAnsi="Garamond" w:cs="Arial"/>
          <w:sz w:val="24"/>
          <w:szCs w:val="24"/>
        </w:rPr>
        <w:t>Compensação</w:t>
      </w:r>
      <w:r w:rsidR="00823BE0" w:rsidRPr="003A1174">
        <w:rPr>
          <w:rFonts w:ascii="Garamond" w:hAnsi="Garamond" w:cs="Arial"/>
          <w:sz w:val="24"/>
          <w:szCs w:val="24"/>
        </w:rPr>
        <w:t xml:space="preserve"> Integral a </w:t>
      </w:r>
      <w:r w:rsidR="003F012B" w:rsidRPr="003A1174">
        <w:rPr>
          <w:rFonts w:ascii="Garamond" w:hAnsi="Garamond" w:cs="Arial"/>
          <w:sz w:val="24"/>
          <w:szCs w:val="24"/>
        </w:rPr>
        <w:t>Vítima</w:t>
      </w:r>
      <w:r w:rsidR="00823BE0" w:rsidRPr="003A1174">
        <w:rPr>
          <w:rFonts w:ascii="Garamond" w:hAnsi="Garamond" w:cs="Arial"/>
          <w:sz w:val="24"/>
          <w:szCs w:val="24"/>
        </w:rPr>
        <w:t xml:space="preserve">s </w:t>
      </w:r>
      <w:r w:rsidR="00D75A07" w:rsidRPr="003A1174">
        <w:rPr>
          <w:rFonts w:ascii="Garamond" w:hAnsi="Garamond" w:cs="Arial"/>
          <w:sz w:val="24"/>
          <w:szCs w:val="24"/>
        </w:rPr>
        <w:t>realizou</w:t>
      </w:r>
      <w:r w:rsidR="00823BE0" w:rsidRPr="003A1174">
        <w:rPr>
          <w:rFonts w:ascii="Garamond" w:hAnsi="Garamond" w:cs="Arial"/>
          <w:sz w:val="24"/>
          <w:szCs w:val="24"/>
        </w:rPr>
        <w:t xml:space="preserve"> </w:t>
      </w:r>
      <w:r w:rsidRPr="003A1174">
        <w:rPr>
          <w:rFonts w:ascii="Garamond" w:hAnsi="Garamond" w:cs="Arial"/>
          <w:sz w:val="24"/>
          <w:szCs w:val="24"/>
        </w:rPr>
        <w:t xml:space="preserve">modificações no </w:t>
      </w:r>
      <w:r w:rsidR="00823BE0" w:rsidRPr="003A1174">
        <w:rPr>
          <w:rFonts w:ascii="Garamond" w:hAnsi="Garamond" w:cs="Arial"/>
          <w:sz w:val="24"/>
          <w:szCs w:val="24"/>
        </w:rPr>
        <w:t xml:space="preserve">instrumento de </w:t>
      </w:r>
      <w:r w:rsidR="00C30647" w:rsidRPr="003A1174">
        <w:rPr>
          <w:rFonts w:ascii="Garamond" w:hAnsi="Garamond" w:cs="Arial"/>
          <w:sz w:val="24"/>
          <w:szCs w:val="24"/>
        </w:rPr>
        <w:t>declaração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EE7406" w:rsidRPr="003A1174">
        <w:rPr>
          <w:rFonts w:ascii="Garamond" w:hAnsi="Garamond" w:cs="Arial"/>
          <w:sz w:val="24"/>
          <w:szCs w:val="24"/>
        </w:rPr>
        <w:t>avaliação</w:t>
      </w:r>
      <w:r w:rsidR="00823BE0" w:rsidRPr="003A1174">
        <w:rPr>
          <w:rFonts w:ascii="Garamond" w:hAnsi="Garamond" w:cs="Arial"/>
          <w:sz w:val="24"/>
          <w:szCs w:val="24"/>
        </w:rPr>
        <w:t xml:space="preserve"> para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 xml:space="preserve">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sexual, </w:t>
      </w:r>
      <w:r w:rsidR="00443084" w:rsidRPr="003A1174">
        <w:rPr>
          <w:rFonts w:ascii="Garamond" w:hAnsi="Garamond" w:cs="Arial"/>
          <w:sz w:val="24"/>
          <w:szCs w:val="24"/>
        </w:rPr>
        <w:t xml:space="preserve">que </w:t>
      </w:r>
      <w:r w:rsidR="0089062D">
        <w:rPr>
          <w:rFonts w:ascii="Garamond" w:hAnsi="Garamond" w:cs="Arial"/>
          <w:sz w:val="24"/>
          <w:szCs w:val="24"/>
        </w:rPr>
        <w:t xml:space="preserve">pretende </w:t>
      </w:r>
      <w:r w:rsidR="009024A0" w:rsidRPr="003A1174">
        <w:rPr>
          <w:rFonts w:ascii="Garamond" w:hAnsi="Garamond" w:cs="Arial"/>
          <w:sz w:val="24"/>
          <w:szCs w:val="24"/>
        </w:rPr>
        <w:t>proporcionar</w:t>
      </w:r>
      <w:r w:rsidRPr="003A1174">
        <w:rPr>
          <w:rFonts w:ascii="Garamond" w:hAnsi="Garamond" w:cs="Arial"/>
          <w:sz w:val="24"/>
          <w:szCs w:val="24"/>
        </w:rPr>
        <w:t>-</w:t>
      </w:r>
      <w:r w:rsidR="00443084" w:rsidRPr="003A1174">
        <w:rPr>
          <w:rFonts w:ascii="Garamond" w:hAnsi="Garamond" w:cs="Arial"/>
          <w:sz w:val="24"/>
          <w:szCs w:val="24"/>
        </w:rPr>
        <w:t>l</w:t>
      </w:r>
      <w:r w:rsidRPr="003A1174">
        <w:rPr>
          <w:rFonts w:ascii="Garamond" w:hAnsi="Garamond" w:cs="Arial"/>
          <w:sz w:val="24"/>
          <w:szCs w:val="24"/>
        </w:rPr>
        <w:t>h</w:t>
      </w:r>
      <w:r w:rsidR="00443084" w:rsidRPr="003A1174">
        <w:rPr>
          <w:rFonts w:ascii="Garamond" w:hAnsi="Garamond" w:cs="Arial"/>
          <w:sz w:val="24"/>
          <w:szCs w:val="24"/>
        </w:rPr>
        <w:t>es</w:t>
      </w:r>
      <w:r w:rsidRPr="003A1174">
        <w:rPr>
          <w:rFonts w:ascii="Garamond" w:hAnsi="Garamond" w:cs="Arial"/>
          <w:sz w:val="24"/>
          <w:szCs w:val="24"/>
        </w:rPr>
        <w:t xml:space="preserve"> um</w:t>
      </w:r>
      <w:r w:rsidR="00823BE0" w:rsidRPr="003A1174">
        <w:rPr>
          <w:rFonts w:ascii="Garamond" w:hAnsi="Garamond" w:cs="Arial"/>
          <w:sz w:val="24"/>
          <w:szCs w:val="24"/>
        </w:rPr>
        <w:t xml:space="preserve">a </w:t>
      </w:r>
      <w:r w:rsidR="008278C4" w:rsidRPr="003A1174">
        <w:rPr>
          <w:rFonts w:ascii="Garamond" w:hAnsi="Garamond" w:cs="Arial"/>
          <w:sz w:val="24"/>
          <w:szCs w:val="24"/>
        </w:rPr>
        <w:t>atenção</w:t>
      </w:r>
      <w:r w:rsidR="00823BE0" w:rsidRPr="003A1174">
        <w:rPr>
          <w:rFonts w:ascii="Garamond" w:hAnsi="Garamond" w:cs="Arial"/>
          <w:sz w:val="24"/>
          <w:szCs w:val="24"/>
        </w:rPr>
        <w:t xml:space="preserve"> integral</w:t>
      </w:r>
      <w:r w:rsidR="0089062D">
        <w:rPr>
          <w:rFonts w:ascii="Garamond" w:hAnsi="Garamond" w:cs="Arial"/>
          <w:sz w:val="24"/>
          <w:szCs w:val="24"/>
        </w:rPr>
        <w:t>,</w:t>
      </w:r>
      <w:r w:rsidR="00823BE0" w:rsidRPr="003A1174">
        <w:rPr>
          <w:rFonts w:ascii="Garamond" w:hAnsi="Garamond" w:cs="Arial"/>
          <w:sz w:val="24"/>
          <w:szCs w:val="24"/>
        </w:rPr>
        <w:t xml:space="preserve"> co</w:t>
      </w:r>
      <w:r w:rsidR="00174A30" w:rsidRPr="003A1174">
        <w:rPr>
          <w:rFonts w:ascii="Garamond" w:hAnsi="Garamond" w:cs="Arial"/>
          <w:sz w:val="24"/>
          <w:szCs w:val="24"/>
        </w:rPr>
        <w:t xml:space="preserve">m </w:t>
      </w:r>
      <w:r w:rsidR="00823BE0" w:rsidRPr="003A1174">
        <w:rPr>
          <w:rFonts w:ascii="Garamond" w:hAnsi="Garamond" w:cs="Arial"/>
          <w:sz w:val="24"/>
          <w:szCs w:val="24"/>
        </w:rPr>
        <w:t>enfoque de género.</w:t>
      </w:r>
    </w:p>
    <w:p w:rsidR="00823BE0" w:rsidRPr="003A1174" w:rsidRDefault="00174A30" w:rsidP="001647F2">
      <w:pPr>
        <w:spacing w:before="240" w:line="240" w:lineRule="auto"/>
        <w:rPr>
          <w:rFonts w:ascii="Garamond" w:hAnsi="Garamond" w:cs="Arial"/>
          <w:sz w:val="24"/>
          <w:szCs w:val="24"/>
        </w:rPr>
      </w:pPr>
      <w:r w:rsidRPr="003A1174">
        <w:rPr>
          <w:rFonts w:ascii="Garamond" w:hAnsi="Garamond" w:cs="Arial"/>
          <w:sz w:val="24"/>
          <w:szCs w:val="24"/>
        </w:rPr>
        <w:t xml:space="preserve">O </w:t>
      </w:r>
      <w:r w:rsidR="00D77C19" w:rsidRPr="003A1174">
        <w:rPr>
          <w:rFonts w:ascii="Garamond" w:hAnsi="Garamond" w:cs="Arial"/>
          <w:sz w:val="24"/>
          <w:szCs w:val="24"/>
        </w:rPr>
        <w:t>Ministério</w:t>
      </w:r>
      <w:r w:rsidRPr="003A1174">
        <w:rPr>
          <w:rFonts w:ascii="Garamond" w:hAnsi="Garamond" w:cs="Arial"/>
          <w:sz w:val="24"/>
          <w:szCs w:val="24"/>
        </w:rPr>
        <w:t xml:space="preserve"> da</w:t>
      </w:r>
      <w:r w:rsidR="00823BE0" w:rsidRPr="003A1174">
        <w:rPr>
          <w:rFonts w:ascii="Garamond" w:hAnsi="Garamond" w:cs="Arial"/>
          <w:sz w:val="24"/>
          <w:szCs w:val="24"/>
        </w:rPr>
        <w:t xml:space="preserve"> </w:t>
      </w:r>
      <w:r w:rsidR="007C63D0" w:rsidRPr="003A1174">
        <w:rPr>
          <w:rFonts w:ascii="Garamond" w:hAnsi="Garamond" w:cs="Arial"/>
          <w:sz w:val="24"/>
          <w:szCs w:val="24"/>
        </w:rPr>
        <w:t>Saúde</w:t>
      </w:r>
      <w:r w:rsidR="00823BE0" w:rsidRPr="003A1174">
        <w:rPr>
          <w:rFonts w:ascii="Garamond" w:hAnsi="Garamond" w:cs="Arial"/>
          <w:sz w:val="24"/>
          <w:szCs w:val="24"/>
        </w:rPr>
        <w:t xml:space="preserve"> </w:t>
      </w:r>
      <w:r w:rsidRPr="003A1174">
        <w:rPr>
          <w:rFonts w:ascii="Garamond" w:hAnsi="Garamond" w:cs="Arial"/>
          <w:sz w:val="24"/>
          <w:szCs w:val="24"/>
        </w:rPr>
        <w:t>criou um</w:t>
      </w:r>
      <w:r w:rsidR="00823BE0" w:rsidRPr="003A1174">
        <w:rPr>
          <w:rFonts w:ascii="Garamond" w:hAnsi="Garamond" w:cs="Arial"/>
          <w:sz w:val="24"/>
          <w:szCs w:val="24"/>
        </w:rPr>
        <w:t xml:space="preserve">a </w:t>
      </w:r>
      <w:r w:rsidR="00A56F43" w:rsidRPr="003A1174">
        <w:rPr>
          <w:rFonts w:ascii="Garamond" w:hAnsi="Garamond" w:cs="Arial"/>
          <w:sz w:val="24"/>
          <w:szCs w:val="24"/>
        </w:rPr>
        <w:t>estratégia</w:t>
      </w:r>
      <w:r w:rsidR="00823BE0" w:rsidRPr="003A1174">
        <w:rPr>
          <w:rFonts w:ascii="Garamond" w:hAnsi="Garamond" w:cs="Arial"/>
          <w:sz w:val="24"/>
          <w:szCs w:val="24"/>
        </w:rPr>
        <w:t xml:space="preserve"> denominada </w:t>
      </w:r>
      <w:r w:rsidR="0089062D">
        <w:rPr>
          <w:rFonts w:ascii="Garamond" w:hAnsi="Garamond" w:cs="Arial"/>
          <w:sz w:val="24"/>
          <w:szCs w:val="24"/>
        </w:rPr>
        <w:t>«</w:t>
      </w:r>
      <w:r w:rsidR="00A56F43" w:rsidRPr="003A1174">
        <w:rPr>
          <w:rFonts w:ascii="Garamond" w:hAnsi="Garamond" w:cs="Arial"/>
          <w:sz w:val="24"/>
          <w:szCs w:val="24"/>
        </w:rPr>
        <w:t>Estratégia</w:t>
      </w:r>
      <w:r w:rsidR="00823BE0" w:rsidRPr="003A1174">
        <w:rPr>
          <w:rFonts w:ascii="Garamond" w:hAnsi="Garamond" w:cs="Arial"/>
          <w:sz w:val="24"/>
          <w:szCs w:val="24"/>
        </w:rPr>
        <w:t>s Intercomités</w:t>
      </w:r>
      <w:r w:rsidR="0089062D">
        <w:rPr>
          <w:rFonts w:ascii="Garamond" w:hAnsi="Garamond" w:cs="Arial"/>
          <w:sz w:val="24"/>
          <w:szCs w:val="24"/>
        </w:rPr>
        <w:t>»</w:t>
      </w:r>
      <w:r w:rsidR="00443084" w:rsidRPr="003A1174">
        <w:rPr>
          <w:rFonts w:ascii="Garamond" w:hAnsi="Garamond" w:cs="Arial"/>
          <w:sz w:val="24"/>
          <w:szCs w:val="24"/>
        </w:rPr>
        <w:t>,</w:t>
      </w:r>
      <w:r w:rsidR="00823BE0" w:rsidRPr="003A1174">
        <w:rPr>
          <w:rFonts w:ascii="Garamond" w:hAnsi="Garamond" w:cs="Arial"/>
          <w:sz w:val="24"/>
          <w:szCs w:val="24"/>
        </w:rPr>
        <w:t xml:space="preserve"> co</w:t>
      </w:r>
      <w:r w:rsidRPr="003A1174">
        <w:rPr>
          <w:rFonts w:ascii="Garamond" w:hAnsi="Garamond" w:cs="Arial"/>
          <w:sz w:val="24"/>
          <w:szCs w:val="24"/>
        </w:rPr>
        <w:t>m o fim</w:t>
      </w:r>
      <w:r w:rsidR="00823BE0" w:rsidRPr="003A1174">
        <w:rPr>
          <w:rFonts w:ascii="Garamond" w:hAnsi="Garamond" w:cs="Arial"/>
          <w:sz w:val="24"/>
          <w:szCs w:val="24"/>
        </w:rPr>
        <w:t xml:space="preserve"> de reunir</w:t>
      </w:r>
      <w:r w:rsidR="0089062D">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apenas num Comité</w:t>
      </w:r>
      <w:r w:rsidR="0089062D">
        <w:rPr>
          <w:rFonts w:ascii="Garamond" w:hAnsi="Garamond" w:cs="Arial"/>
          <w:sz w:val="24"/>
          <w:szCs w:val="24"/>
        </w:rPr>
        <w:t>,</w:t>
      </w:r>
      <w:r w:rsidRPr="003A1174">
        <w:rPr>
          <w:rFonts w:ascii="Garamond" w:hAnsi="Garamond" w:cs="Arial"/>
          <w:sz w:val="24"/>
          <w:szCs w:val="24"/>
        </w:rPr>
        <w:t xml:space="preserve"> </w:t>
      </w:r>
      <w:r w:rsidR="00823BE0" w:rsidRPr="003A1174">
        <w:rPr>
          <w:rFonts w:ascii="Garamond" w:hAnsi="Garamond" w:cs="Arial"/>
          <w:sz w:val="24"/>
          <w:szCs w:val="24"/>
        </w:rPr>
        <w:t xml:space="preserve">os diferentes </w:t>
      </w:r>
      <w:r w:rsidR="002C7510" w:rsidRPr="003A1174">
        <w:rPr>
          <w:rFonts w:ascii="Garamond" w:hAnsi="Garamond" w:cs="Arial"/>
          <w:sz w:val="24"/>
          <w:szCs w:val="24"/>
        </w:rPr>
        <w:t>espaços</w:t>
      </w:r>
      <w:r w:rsidR="00823BE0" w:rsidRPr="003A1174">
        <w:rPr>
          <w:rFonts w:ascii="Garamond" w:hAnsi="Garamond" w:cs="Arial"/>
          <w:sz w:val="24"/>
          <w:szCs w:val="24"/>
        </w:rPr>
        <w:t xml:space="preserve"> que </w:t>
      </w:r>
      <w:r w:rsidRPr="003A1174">
        <w:rPr>
          <w:rFonts w:ascii="Garamond" w:hAnsi="Garamond" w:cs="Arial"/>
          <w:sz w:val="24"/>
          <w:szCs w:val="24"/>
        </w:rPr>
        <w:t xml:space="preserve">tratam do </w:t>
      </w:r>
      <w:r w:rsidR="00823BE0" w:rsidRPr="003A1174">
        <w:rPr>
          <w:rFonts w:ascii="Garamond" w:hAnsi="Garamond" w:cs="Arial"/>
          <w:sz w:val="24"/>
          <w:szCs w:val="24"/>
        </w:rPr>
        <w:t xml:space="preserve">tema </w:t>
      </w:r>
      <w:r w:rsidR="00497503" w:rsidRPr="003A1174">
        <w:rPr>
          <w:rFonts w:ascii="Garamond" w:hAnsi="Garamond" w:cs="Arial"/>
          <w:sz w:val="24"/>
          <w:szCs w:val="24"/>
        </w:rPr>
        <w:t>das</w:t>
      </w:r>
      <w:r w:rsidR="00443084"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1647F2" w:rsidRPr="003A1174">
        <w:rPr>
          <w:rFonts w:ascii="Garamond" w:hAnsi="Garamond" w:cs="Arial"/>
          <w:sz w:val="24"/>
          <w:szCs w:val="24"/>
        </w:rPr>
        <w:t>estão</w:t>
      </w:r>
      <w:r w:rsidR="00823BE0" w:rsidRPr="003A1174">
        <w:rPr>
          <w:rFonts w:ascii="Garamond" w:hAnsi="Garamond" w:cs="Arial"/>
          <w:sz w:val="24"/>
          <w:szCs w:val="24"/>
        </w:rPr>
        <w:t xml:space="preserve"> </w:t>
      </w:r>
      <w:r w:rsidR="0090718A" w:rsidRPr="003A1174">
        <w:rPr>
          <w:rFonts w:ascii="Garamond" w:hAnsi="Garamond" w:cs="Arial"/>
          <w:sz w:val="24"/>
          <w:szCs w:val="24"/>
        </w:rPr>
        <w:t xml:space="preserve">a </w:t>
      </w:r>
      <w:r w:rsidR="00AC63DF" w:rsidRPr="003A1174">
        <w:rPr>
          <w:rFonts w:ascii="Garamond" w:hAnsi="Garamond" w:cs="Arial"/>
          <w:sz w:val="24"/>
          <w:szCs w:val="24"/>
        </w:rPr>
        <w:t>trabalha</w:t>
      </w:r>
      <w:r w:rsidR="0090718A" w:rsidRPr="003A1174">
        <w:rPr>
          <w:rFonts w:ascii="Garamond" w:hAnsi="Garamond" w:cs="Arial"/>
          <w:sz w:val="24"/>
          <w:szCs w:val="24"/>
        </w:rPr>
        <w:t xml:space="preserve">r no </w:t>
      </w:r>
      <w:r w:rsidR="00E560D8" w:rsidRPr="003A1174">
        <w:rPr>
          <w:rFonts w:ascii="Garamond" w:hAnsi="Garamond" w:cs="Arial"/>
          <w:sz w:val="24"/>
          <w:szCs w:val="24"/>
        </w:rPr>
        <w:t>melhor</w:t>
      </w:r>
      <w:r w:rsidR="0090718A" w:rsidRPr="003A1174">
        <w:rPr>
          <w:rFonts w:ascii="Garamond" w:hAnsi="Garamond" w:cs="Arial"/>
          <w:sz w:val="24"/>
          <w:szCs w:val="24"/>
        </w:rPr>
        <w:t>am</w:t>
      </w:r>
      <w:r w:rsidR="00823BE0" w:rsidRPr="003A1174">
        <w:rPr>
          <w:rFonts w:ascii="Garamond" w:hAnsi="Garamond" w:cs="Arial"/>
          <w:sz w:val="24"/>
          <w:szCs w:val="24"/>
        </w:rPr>
        <w:t xml:space="preserve">ento </w:t>
      </w:r>
      <w:r w:rsidR="00497503" w:rsidRPr="003A1174">
        <w:rPr>
          <w:rFonts w:ascii="Garamond" w:hAnsi="Garamond" w:cs="Arial"/>
          <w:sz w:val="24"/>
          <w:szCs w:val="24"/>
        </w:rPr>
        <w:t>dos</w:t>
      </w:r>
      <w:r w:rsidR="00443084" w:rsidRPr="003A1174">
        <w:rPr>
          <w:rFonts w:ascii="Garamond" w:hAnsi="Garamond" w:cs="Arial"/>
          <w:sz w:val="24"/>
          <w:szCs w:val="24"/>
        </w:rPr>
        <w:t xml:space="preserve"> </w:t>
      </w:r>
      <w:r w:rsidR="00823BE0" w:rsidRPr="003A1174">
        <w:rPr>
          <w:rFonts w:ascii="Garamond" w:hAnsi="Garamond" w:cs="Arial"/>
          <w:sz w:val="24"/>
          <w:szCs w:val="24"/>
        </w:rPr>
        <w:t xml:space="preserve">sistemas de </w:t>
      </w:r>
      <w:r w:rsidR="0017447A" w:rsidRPr="003A1174">
        <w:rPr>
          <w:rFonts w:ascii="Garamond" w:hAnsi="Garamond" w:cs="Arial"/>
          <w:sz w:val="24"/>
          <w:szCs w:val="24"/>
        </w:rPr>
        <w:t>informação</w:t>
      </w:r>
      <w:r w:rsidR="00823BE0" w:rsidRPr="003A1174">
        <w:rPr>
          <w:rFonts w:ascii="Garamond" w:hAnsi="Garamond" w:cs="Arial"/>
          <w:sz w:val="24"/>
          <w:szCs w:val="24"/>
        </w:rPr>
        <w:t xml:space="preserve">. </w:t>
      </w:r>
    </w:p>
    <w:p w:rsidR="00823BE0" w:rsidRPr="003A1174" w:rsidRDefault="00823BE0" w:rsidP="008719D4">
      <w:pPr>
        <w:spacing w:before="240" w:line="240" w:lineRule="auto"/>
        <w:jc w:val="both"/>
        <w:rPr>
          <w:rFonts w:ascii="Garamond" w:hAnsi="Garamond" w:cs="Arial"/>
          <w:sz w:val="24"/>
          <w:szCs w:val="24"/>
        </w:rPr>
      </w:pPr>
      <w:r w:rsidRPr="003A1174">
        <w:rPr>
          <w:rFonts w:ascii="Garamond" w:hAnsi="Garamond" w:cs="Arial"/>
          <w:sz w:val="24"/>
          <w:szCs w:val="24"/>
        </w:rPr>
        <w:t>Por s</w:t>
      </w:r>
      <w:r w:rsidR="0090718A" w:rsidRPr="003A1174">
        <w:rPr>
          <w:rFonts w:ascii="Garamond" w:hAnsi="Garamond" w:cs="Arial"/>
          <w:sz w:val="24"/>
          <w:szCs w:val="24"/>
        </w:rPr>
        <w:t>e</w:t>
      </w:r>
      <w:r w:rsidRPr="003A1174">
        <w:rPr>
          <w:rFonts w:ascii="Garamond" w:hAnsi="Garamond" w:cs="Arial"/>
          <w:sz w:val="24"/>
          <w:szCs w:val="24"/>
        </w:rPr>
        <w:t xml:space="preserve">u </w:t>
      </w:r>
      <w:r w:rsidR="0090718A" w:rsidRPr="003A1174">
        <w:rPr>
          <w:rFonts w:ascii="Garamond" w:hAnsi="Garamond" w:cs="Arial"/>
          <w:sz w:val="24"/>
          <w:szCs w:val="24"/>
        </w:rPr>
        <w:t>lado</w:t>
      </w:r>
      <w:r w:rsidR="00443084" w:rsidRPr="003A1174">
        <w:rPr>
          <w:rFonts w:ascii="Garamond" w:hAnsi="Garamond" w:cs="Arial"/>
          <w:sz w:val="24"/>
          <w:szCs w:val="24"/>
        </w:rPr>
        <w:t>,</w:t>
      </w:r>
      <w:r w:rsidRPr="003A1174">
        <w:rPr>
          <w:rFonts w:ascii="Garamond" w:hAnsi="Garamond" w:cs="Arial"/>
          <w:sz w:val="24"/>
          <w:szCs w:val="24"/>
        </w:rPr>
        <w:t xml:space="preserve"> </w:t>
      </w:r>
      <w:r w:rsidR="0090718A" w:rsidRPr="003A1174">
        <w:rPr>
          <w:rFonts w:ascii="Garamond" w:hAnsi="Garamond" w:cs="Arial"/>
          <w:sz w:val="24"/>
          <w:szCs w:val="24"/>
        </w:rPr>
        <w:t xml:space="preserve">o </w:t>
      </w:r>
      <w:r w:rsidR="002F319E" w:rsidRPr="003A1174">
        <w:rPr>
          <w:rFonts w:ascii="Garamond" w:hAnsi="Garamond" w:cs="Arial"/>
          <w:sz w:val="24"/>
          <w:szCs w:val="24"/>
        </w:rPr>
        <w:t>Alto-</w:t>
      </w:r>
      <w:r w:rsidR="00696A3C">
        <w:rPr>
          <w:rFonts w:ascii="Garamond" w:hAnsi="Garamond" w:cs="Arial"/>
          <w:sz w:val="24"/>
          <w:szCs w:val="24"/>
        </w:rPr>
        <w:t>C</w:t>
      </w:r>
      <w:r w:rsidR="002F319E" w:rsidRPr="003A1174">
        <w:rPr>
          <w:rFonts w:ascii="Garamond" w:hAnsi="Garamond" w:cs="Arial"/>
          <w:sz w:val="24"/>
          <w:szCs w:val="24"/>
        </w:rPr>
        <w:t>omissário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3F012B" w:rsidRPr="003A1174">
        <w:rPr>
          <w:rFonts w:ascii="Garamond" w:hAnsi="Garamond" w:cs="Arial"/>
          <w:sz w:val="24"/>
          <w:szCs w:val="24"/>
        </w:rPr>
        <w:t>Nações</w:t>
      </w:r>
      <w:r w:rsidRPr="003A1174">
        <w:rPr>
          <w:rFonts w:ascii="Garamond" w:hAnsi="Garamond" w:cs="Arial"/>
          <w:sz w:val="24"/>
          <w:szCs w:val="24"/>
        </w:rPr>
        <w:t xml:space="preserve"> Unidas para Refugiados (ACNUR) está</w:t>
      </w:r>
      <w:r w:rsidR="0090718A" w:rsidRPr="003A1174">
        <w:rPr>
          <w:rFonts w:ascii="Garamond" w:hAnsi="Garamond" w:cs="Arial"/>
          <w:sz w:val="24"/>
          <w:szCs w:val="24"/>
        </w:rPr>
        <w:t xml:space="preserve"> a</w:t>
      </w:r>
      <w:r w:rsidRPr="003A1174">
        <w:rPr>
          <w:rFonts w:ascii="Garamond" w:hAnsi="Garamond" w:cs="Arial"/>
          <w:sz w:val="24"/>
          <w:szCs w:val="24"/>
        </w:rPr>
        <w:t xml:space="preserve"> </w:t>
      </w:r>
      <w:r w:rsidR="00696A3C">
        <w:rPr>
          <w:rFonts w:ascii="Garamond" w:hAnsi="Garamond" w:cs="Arial"/>
          <w:sz w:val="24"/>
          <w:szCs w:val="24"/>
        </w:rPr>
        <w:t xml:space="preserve">formar os </w:t>
      </w:r>
      <w:r w:rsidR="009A0033" w:rsidRPr="003A1174">
        <w:rPr>
          <w:rFonts w:ascii="Garamond" w:hAnsi="Garamond" w:cs="Arial"/>
          <w:sz w:val="24"/>
          <w:szCs w:val="24"/>
        </w:rPr>
        <w:t>município</w:t>
      </w:r>
      <w:r w:rsidRPr="003A1174">
        <w:rPr>
          <w:rFonts w:ascii="Garamond" w:hAnsi="Garamond" w:cs="Arial"/>
          <w:sz w:val="24"/>
          <w:szCs w:val="24"/>
        </w:rPr>
        <w:t xml:space="preserve">s para </w:t>
      </w:r>
      <w:r w:rsidR="0090718A" w:rsidRPr="003A1174">
        <w:rPr>
          <w:rFonts w:ascii="Garamond" w:hAnsi="Garamond" w:cs="Arial"/>
          <w:sz w:val="24"/>
          <w:szCs w:val="24"/>
        </w:rPr>
        <w:t>o</w:t>
      </w:r>
      <w:r w:rsidRPr="003A1174">
        <w:rPr>
          <w:rFonts w:ascii="Garamond" w:hAnsi="Garamond" w:cs="Arial"/>
          <w:sz w:val="24"/>
          <w:szCs w:val="24"/>
        </w:rPr>
        <w:t xml:space="preserve"> </w:t>
      </w:r>
      <w:r w:rsidR="0090718A" w:rsidRPr="003A1174">
        <w:rPr>
          <w:rFonts w:ascii="Garamond" w:hAnsi="Garamond" w:cs="Arial"/>
          <w:sz w:val="24"/>
          <w:szCs w:val="24"/>
        </w:rPr>
        <w:t>melhoramento</w:t>
      </w:r>
      <w:r w:rsidRPr="003A1174">
        <w:rPr>
          <w:rFonts w:ascii="Garamond" w:hAnsi="Garamond" w:cs="Arial"/>
          <w:sz w:val="24"/>
          <w:szCs w:val="24"/>
        </w:rPr>
        <w:t xml:space="preserve"> e </w:t>
      </w:r>
      <w:r w:rsidR="006C760C" w:rsidRPr="003A1174">
        <w:rPr>
          <w:rFonts w:ascii="Garamond" w:hAnsi="Garamond" w:cs="Arial"/>
          <w:sz w:val="24"/>
          <w:szCs w:val="24"/>
        </w:rPr>
        <w:t>implementação</w:t>
      </w:r>
      <w:r w:rsidRPr="003A1174">
        <w:rPr>
          <w:rFonts w:ascii="Garamond" w:hAnsi="Garamond" w:cs="Arial"/>
          <w:sz w:val="24"/>
          <w:szCs w:val="24"/>
        </w:rPr>
        <w:t xml:space="preserve"> </w:t>
      </w:r>
      <w:r w:rsidR="00497503" w:rsidRPr="003A1174">
        <w:rPr>
          <w:rFonts w:ascii="Garamond" w:hAnsi="Garamond" w:cs="Arial"/>
          <w:sz w:val="24"/>
          <w:szCs w:val="24"/>
        </w:rPr>
        <w:t>dos</w:t>
      </w:r>
      <w:r w:rsidRPr="003A1174">
        <w:rPr>
          <w:rFonts w:ascii="Garamond" w:hAnsi="Garamond" w:cs="Arial"/>
          <w:sz w:val="24"/>
          <w:szCs w:val="24"/>
        </w:rPr>
        <w:t xml:space="preserve"> sistemas de </w:t>
      </w:r>
      <w:r w:rsidR="00077461" w:rsidRPr="003A1174">
        <w:rPr>
          <w:rFonts w:ascii="Garamond" w:hAnsi="Garamond" w:cs="Arial"/>
          <w:sz w:val="24"/>
          <w:szCs w:val="24"/>
        </w:rPr>
        <w:t>registo</w:t>
      </w:r>
      <w:r w:rsidRPr="003A1174">
        <w:rPr>
          <w:rFonts w:ascii="Garamond" w:hAnsi="Garamond" w:cs="Arial"/>
          <w:sz w:val="24"/>
          <w:szCs w:val="24"/>
        </w:rPr>
        <w:t xml:space="preserve"> de </w:t>
      </w:r>
      <w:r w:rsidR="0017447A" w:rsidRPr="003A1174">
        <w:rPr>
          <w:rFonts w:ascii="Garamond" w:hAnsi="Garamond" w:cs="Arial"/>
          <w:sz w:val="24"/>
          <w:szCs w:val="24"/>
        </w:rPr>
        <w:t>informação</w:t>
      </w:r>
      <w:r w:rsidRPr="003A1174">
        <w:rPr>
          <w:rFonts w:ascii="Garamond" w:hAnsi="Garamond" w:cs="Arial"/>
          <w:sz w:val="24"/>
          <w:szCs w:val="24"/>
        </w:rPr>
        <w:t xml:space="preserve">. </w:t>
      </w:r>
      <w:r w:rsidR="0090718A" w:rsidRPr="003A1174">
        <w:rPr>
          <w:rFonts w:ascii="Garamond" w:hAnsi="Garamond" w:cs="Arial"/>
          <w:sz w:val="24"/>
          <w:szCs w:val="24"/>
        </w:rPr>
        <w:t xml:space="preserve">Por sua </w:t>
      </w:r>
      <w:r w:rsidRPr="003A1174">
        <w:rPr>
          <w:rFonts w:ascii="Garamond" w:hAnsi="Garamond" w:cs="Arial"/>
          <w:sz w:val="24"/>
          <w:szCs w:val="24"/>
        </w:rPr>
        <w:t>vez</w:t>
      </w:r>
      <w:r w:rsidR="00443084" w:rsidRPr="003A1174">
        <w:rPr>
          <w:rFonts w:ascii="Garamond" w:hAnsi="Garamond" w:cs="Arial"/>
          <w:sz w:val="24"/>
          <w:szCs w:val="24"/>
        </w:rPr>
        <w:t>,</w:t>
      </w:r>
      <w:r w:rsidR="0090718A" w:rsidRPr="003A1174">
        <w:rPr>
          <w:rFonts w:ascii="Garamond" w:hAnsi="Garamond" w:cs="Arial"/>
          <w:sz w:val="24"/>
          <w:szCs w:val="24"/>
        </w:rPr>
        <w:t xml:space="preserve"> </w:t>
      </w:r>
      <w:r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Pr="003A1174">
        <w:rPr>
          <w:rFonts w:ascii="Garamond" w:hAnsi="Garamond" w:cs="Arial"/>
          <w:sz w:val="24"/>
          <w:szCs w:val="24"/>
        </w:rPr>
        <w:t xml:space="preserve"> </w:t>
      </w:r>
      <w:r w:rsidR="0090718A" w:rsidRPr="003A1174">
        <w:rPr>
          <w:rFonts w:ascii="Garamond" w:hAnsi="Garamond" w:cs="Arial"/>
          <w:sz w:val="24"/>
          <w:szCs w:val="24"/>
        </w:rPr>
        <w:t xml:space="preserve">dispõe de um </w:t>
      </w:r>
      <w:r w:rsidRPr="003A1174">
        <w:rPr>
          <w:rFonts w:ascii="Garamond" w:hAnsi="Garamond" w:cs="Arial"/>
          <w:sz w:val="24"/>
          <w:szCs w:val="24"/>
        </w:rPr>
        <w:t xml:space="preserve">sistema de </w:t>
      </w:r>
      <w:r w:rsidR="0017447A" w:rsidRPr="003A1174">
        <w:rPr>
          <w:rFonts w:ascii="Garamond" w:hAnsi="Garamond" w:cs="Arial"/>
          <w:sz w:val="24"/>
          <w:szCs w:val="24"/>
        </w:rPr>
        <w:t>informação</w:t>
      </w:r>
      <w:r w:rsidRPr="003A1174">
        <w:rPr>
          <w:rFonts w:ascii="Garamond" w:hAnsi="Garamond" w:cs="Arial"/>
          <w:sz w:val="24"/>
          <w:szCs w:val="24"/>
        </w:rPr>
        <w:t xml:space="preserve"> </w:t>
      </w:r>
      <w:r w:rsidR="00443084" w:rsidRPr="003A1174">
        <w:rPr>
          <w:rFonts w:ascii="Garamond" w:hAnsi="Garamond" w:cs="Arial"/>
          <w:sz w:val="24"/>
          <w:szCs w:val="24"/>
        </w:rPr>
        <w:t>denomin</w:t>
      </w:r>
      <w:r w:rsidRPr="003A1174">
        <w:rPr>
          <w:rFonts w:ascii="Garamond" w:hAnsi="Garamond" w:cs="Arial"/>
          <w:sz w:val="24"/>
          <w:szCs w:val="24"/>
        </w:rPr>
        <w:t xml:space="preserve">ado </w:t>
      </w:r>
      <w:r w:rsidRPr="003A1174">
        <w:rPr>
          <w:rFonts w:ascii="Garamond" w:hAnsi="Garamond" w:cs="Arial"/>
          <w:i/>
          <w:sz w:val="24"/>
          <w:szCs w:val="24"/>
        </w:rPr>
        <w:t>Vision Web–ATQ</w:t>
      </w:r>
      <w:r w:rsidRPr="003A1174">
        <w:rPr>
          <w:rFonts w:ascii="Garamond" w:hAnsi="Garamond" w:cs="Arial"/>
          <w:sz w:val="24"/>
          <w:szCs w:val="24"/>
        </w:rPr>
        <w:t xml:space="preserve">, </w:t>
      </w:r>
      <w:r w:rsidR="0090718A" w:rsidRPr="003A1174">
        <w:rPr>
          <w:rFonts w:ascii="Garamond" w:hAnsi="Garamond" w:cs="Arial"/>
          <w:sz w:val="24"/>
          <w:szCs w:val="24"/>
        </w:rPr>
        <w:t xml:space="preserve">que tem um </w:t>
      </w:r>
      <w:r w:rsidR="00077461" w:rsidRPr="003A1174">
        <w:rPr>
          <w:rFonts w:ascii="Garamond" w:hAnsi="Garamond" w:cs="Arial"/>
          <w:sz w:val="24"/>
          <w:szCs w:val="24"/>
        </w:rPr>
        <w:t>Registo</w:t>
      </w:r>
      <w:r w:rsidRPr="003A1174">
        <w:rPr>
          <w:rFonts w:ascii="Garamond" w:hAnsi="Garamond" w:cs="Arial"/>
          <w:sz w:val="24"/>
          <w:szCs w:val="24"/>
        </w:rPr>
        <w:t xml:space="preserve"> de </w:t>
      </w:r>
      <w:r w:rsidR="009529F1" w:rsidRPr="003A1174">
        <w:rPr>
          <w:rFonts w:ascii="Garamond" w:hAnsi="Garamond" w:cs="Arial"/>
          <w:sz w:val="24"/>
          <w:szCs w:val="24"/>
        </w:rPr>
        <w:t>Queixa</w:t>
      </w:r>
      <w:r w:rsidRPr="003A1174">
        <w:rPr>
          <w:rFonts w:ascii="Garamond" w:hAnsi="Garamond" w:cs="Arial"/>
          <w:sz w:val="24"/>
          <w:szCs w:val="24"/>
        </w:rPr>
        <w:t>s co</w:t>
      </w:r>
      <w:r w:rsidR="0090718A" w:rsidRPr="003A1174">
        <w:rPr>
          <w:rFonts w:ascii="Garamond" w:hAnsi="Garamond" w:cs="Arial"/>
          <w:sz w:val="24"/>
          <w:szCs w:val="24"/>
        </w:rPr>
        <w:t>m</w:t>
      </w:r>
      <w:r w:rsidRPr="003A1174">
        <w:rPr>
          <w:rFonts w:ascii="Garamond" w:hAnsi="Garamond" w:cs="Arial"/>
          <w:sz w:val="24"/>
          <w:szCs w:val="24"/>
        </w:rPr>
        <w:t xml:space="preserve"> enfoque de género, étnico </w:t>
      </w:r>
      <w:r w:rsidR="000672E8" w:rsidRPr="003A1174">
        <w:rPr>
          <w:rFonts w:ascii="Garamond" w:hAnsi="Garamond" w:cs="Arial"/>
          <w:sz w:val="24"/>
          <w:szCs w:val="24"/>
        </w:rPr>
        <w:t>e</w:t>
      </w:r>
      <w:r w:rsidRPr="003A1174">
        <w:rPr>
          <w:rFonts w:ascii="Garamond" w:hAnsi="Garamond" w:cs="Arial"/>
          <w:sz w:val="24"/>
          <w:szCs w:val="24"/>
        </w:rPr>
        <w:t xml:space="preserve"> diferencial.  </w:t>
      </w:r>
    </w:p>
    <w:p w:rsidR="00823BE0" w:rsidRPr="003A1174" w:rsidRDefault="008E259D" w:rsidP="008719D4">
      <w:pPr>
        <w:pStyle w:val="Ttulo4"/>
        <w:spacing w:line="240" w:lineRule="auto"/>
        <w:rPr>
          <w:rFonts w:ascii="Garamond" w:hAnsi="Garamond"/>
          <w:sz w:val="24"/>
          <w:szCs w:val="24"/>
        </w:rPr>
      </w:pPr>
      <w:r>
        <w:rPr>
          <w:rFonts w:ascii="Garamond" w:hAnsi="Garamond"/>
          <w:sz w:val="24"/>
          <w:szCs w:val="24"/>
        </w:rPr>
        <w:t>Avaliação</w:t>
      </w:r>
      <w:r w:rsidR="00823BE0" w:rsidRPr="003A1174">
        <w:rPr>
          <w:rFonts w:ascii="Garamond" w:hAnsi="Garamond"/>
          <w:sz w:val="24"/>
          <w:szCs w:val="24"/>
        </w:rPr>
        <w:t xml:space="preserve"> </w:t>
      </w:r>
      <w:r w:rsidR="00E85E59" w:rsidRPr="003A1174">
        <w:rPr>
          <w:rFonts w:ascii="Garamond" w:hAnsi="Garamond"/>
          <w:sz w:val="24"/>
          <w:szCs w:val="24"/>
        </w:rPr>
        <w:t>do</w:t>
      </w:r>
      <w:r w:rsidR="00823BE0" w:rsidRPr="003A1174">
        <w:rPr>
          <w:rFonts w:ascii="Garamond" w:hAnsi="Garamond"/>
          <w:sz w:val="24"/>
          <w:szCs w:val="24"/>
        </w:rPr>
        <w:t xml:space="preserve"> d</w:t>
      </w:r>
      <w:r w:rsidR="002C7510" w:rsidRPr="003A1174">
        <w:rPr>
          <w:rFonts w:ascii="Garamond" w:hAnsi="Garamond"/>
          <w:sz w:val="24"/>
          <w:szCs w:val="24"/>
        </w:rPr>
        <w:t>ano</w:t>
      </w:r>
      <w:r w:rsidR="00823BE0" w:rsidRPr="003A1174">
        <w:rPr>
          <w:rFonts w:ascii="Garamond" w:hAnsi="Garamond"/>
          <w:sz w:val="24"/>
          <w:szCs w:val="24"/>
        </w:rPr>
        <w:t xml:space="preserve"> </w:t>
      </w:r>
      <w:r w:rsidR="00BA3CCE" w:rsidRPr="003A1174">
        <w:rPr>
          <w:rFonts w:ascii="Garamond" w:hAnsi="Garamond"/>
          <w:sz w:val="24"/>
          <w:szCs w:val="24"/>
        </w:rPr>
        <w:t>psicológico</w:t>
      </w:r>
    </w:p>
    <w:p w:rsidR="00823BE0" w:rsidRPr="003A1174" w:rsidRDefault="0090718A" w:rsidP="008719D4">
      <w:pPr>
        <w:spacing w:before="240" w:line="240" w:lineRule="auto"/>
        <w:jc w:val="both"/>
        <w:rPr>
          <w:rFonts w:ascii="Garamond" w:hAnsi="Garamond" w:cs="Arial"/>
          <w:i/>
          <w:sz w:val="24"/>
          <w:szCs w:val="24"/>
        </w:rPr>
      </w:pPr>
      <w:r w:rsidRPr="003A1174">
        <w:rPr>
          <w:rFonts w:ascii="Garamond" w:hAnsi="Garamond" w:cs="Arial"/>
          <w:sz w:val="24"/>
          <w:szCs w:val="24"/>
        </w:rPr>
        <w:t xml:space="preserve">É </w:t>
      </w:r>
      <w:r w:rsidR="00443084" w:rsidRPr="003A1174">
        <w:rPr>
          <w:rFonts w:ascii="Garamond" w:hAnsi="Garamond" w:cs="Arial"/>
          <w:sz w:val="24"/>
          <w:szCs w:val="24"/>
        </w:rPr>
        <w:t>conveniente</w:t>
      </w:r>
      <w:r w:rsidR="00823BE0" w:rsidRPr="003A1174">
        <w:rPr>
          <w:rFonts w:ascii="Garamond" w:hAnsi="Garamond" w:cs="Arial"/>
          <w:sz w:val="24"/>
          <w:szCs w:val="24"/>
        </w:rPr>
        <w:t xml:space="preserve"> recordar</w:t>
      </w:r>
      <w:r w:rsidR="00443084" w:rsidRPr="003A1174">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n</w:t>
      </w:r>
      <w:r w:rsidR="00823BE0" w:rsidRPr="003A1174">
        <w:rPr>
          <w:rFonts w:ascii="Garamond" w:hAnsi="Garamond" w:cs="Arial"/>
          <w:sz w:val="24"/>
          <w:szCs w:val="24"/>
        </w:rPr>
        <w:t>este sentido</w:t>
      </w:r>
      <w:r w:rsidR="00443084" w:rsidRPr="003A1174">
        <w:rPr>
          <w:rFonts w:ascii="Garamond" w:hAnsi="Garamond" w:cs="Arial"/>
          <w:sz w:val="24"/>
          <w:szCs w:val="24"/>
        </w:rPr>
        <w:t>,</w:t>
      </w:r>
      <w:r w:rsidRPr="003A1174">
        <w:rPr>
          <w:rFonts w:ascii="Garamond" w:hAnsi="Garamond" w:cs="Arial"/>
          <w:sz w:val="24"/>
          <w:szCs w:val="24"/>
        </w:rPr>
        <w:t xml:space="preserve"> que </w:t>
      </w:r>
      <w:r w:rsidR="00823BE0" w:rsidRPr="003A1174">
        <w:rPr>
          <w:rFonts w:ascii="Garamond" w:hAnsi="Garamond" w:cs="Arial"/>
          <w:sz w:val="24"/>
          <w:szCs w:val="24"/>
        </w:rPr>
        <w:t xml:space="preserve">a </w:t>
      </w:r>
      <w:r w:rsidR="00D15AFF" w:rsidRPr="003A1174">
        <w:rPr>
          <w:rFonts w:ascii="Garamond" w:hAnsi="Garamond" w:cs="Arial"/>
          <w:sz w:val="24"/>
          <w:szCs w:val="24"/>
        </w:rPr>
        <w:t>Lei</w:t>
      </w:r>
      <w:r w:rsidR="00823BE0" w:rsidRPr="003A1174">
        <w:rPr>
          <w:rFonts w:ascii="Garamond" w:hAnsi="Garamond" w:cs="Arial"/>
          <w:sz w:val="24"/>
          <w:szCs w:val="24"/>
        </w:rPr>
        <w:t xml:space="preserve"> 1257</w:t>
      </w:r>
      <w:r w:rsidR="00420347">
        <w:rPr>
          <w:rFonts w:ascii="Garamond" w:hAnsi="Garamond" w:cs="Arial"/>
          <w:sz w:val="24"/>
          <w:szCs w:val="24"/>
        </w:rPr>
        <w:t>,</w:t>
      </w:r>
      <w:r w:rsidR="00823BE0" w:rsidRPr="003A1174">
        <w:rPr>
          <w:rFonts w:ascii="Garamond" w:hAnsi="Garamond" w:cs="Arial"/>
          <w:sz w:val="24"/>
          <w:szCs w:val="24"/>
        </w:rPr>
        <w:t xml:space="preserve"> de 2008 </w:t>
      </w:r>
      <w:r w:rsidR="00420347">
        <w:rPr>
          <w:rFonts w:ascii="Garamond" w:hAnsi="Garamond" w:cs="Arial"/>
          <w:sz w:val="24"/>
          <w:szCs w:val="24"/>
        </w:rPr>
        <w:t>-</w:t>
      </w:r>
      <w:r w:rsidRPr="003A1174">
        <w:rPr>
          <w:rFonts w:ascii="Garamond" w:hAnsi="Garamond" w:cs="Arial"/>
          <w:sz w:val="24"/>
          <w:szCs w:val="24"/>
        </w:rPr>
        <w:t xml:space="preserve"> </w:t>
      </w:r>
      <w:r w:rsidR="00823BE0" w:rsidRPr="003A1174">
        <w:rPr>
          <w:rFonts w:ascii="Garamond" w:hAnsi="Garamond" w:cs="Arial"/>
          <w:sz w:val="24"/>
          <w:szCs w:val="24"/>
        </w:rPr>
        <w:t xml:space="preserve">denominada </w:t>
      </w:r>
      <w:r w:rsidR="00D15AFF" w:rsidRPr="003A1174">
        <w:rPr>
          <w:rFonts w:ascii="Garamond" w:hAnsi="Garamond" w:cs="Arial"/>
          <w:sz w:val="24"/>
          <w:szCs w:val="24"/>
        </w:rPr>
        <w:t>Lei</w:t>
      </w:r>
      <w:r w:rsidR="00823BE0" w:rsidRPr="003A1174">
        <w:rPr>
          <w:rFonts w:ascii="Garamond" w:hAnsi="Garamond" w:cs="Arial"/>
          <w:sz w:val="24"/>
          <w:szCs w:val="24"/>
        </w:rPr>
        <w:t xml:space="preserve"> d</w:t>
      </w:r>
      <w:r w:rsidRPr="003A1174">
        <w:rPr>
          <w:rFonts w:ascii="Garamond" w:hAnsi="Garamond" w:cs="Arial"/>
          <w:sz w:val="24"/>
          <w:szCs w:val="24"/>
        </w:rPr>
        <w:t xml:space="preserve">a </w:t>
      </w:r>
      <w:r w:rsidR="00823BE0" w:rsidRPr="003A1174">
        <w:rPr>
          <w:rFonts w:ascii="Garamond" w:hAnsi="Garamond" w:cs="Arial"/>
          <w:sz w:val="24"/>
          <w:szCs w:val="24"/>
        </w:rPr>
        <w:t>n</w:t>
      </w:r>
      <w:r w:rsidRPr="003A1174">
        <w:rPr>
          <w:rFonts w:ascii="Garamond" w:hAnsi="Garamond" w:cs="Arial"/>
          <w:sz w:val="24"/>
          <w:szCs w:val="24"/>
        </w:rPr>
        <w:t>ã</w:t>
      </w:r>
      <w:r w:rsidR="00823BE0" w:rsidRPr="003A1174">
        <w:rPr>
          <w:rFonts w:ascii="Garamond" w:hAnsi="Garamond" w:cs="Arial"/>
          <w:sz w:val="24"/>
          <w:szCs w:val="24"/>
        </w:rPr>
        <w:t xml:space="preserve">o </w:t>
      </w:r>
      <w:r w:rsidR="000350B1" w:rsidRPr="003A1174">
        <w:rPr>
          <w:rFonts w:ascii="Garamond" w:hAnsi="Garamond" w:cs="Arial"/>
          <w:sz w:val="24"/>
          <w:szCs w:val="24"/>
        </w:rPr>
        <w:t>violência</w:t>
      </w:r>
      <w:r w:rsidR="00823BE0" w:rsidRPr="003A1174">
        <w:rPr>
          <w:rFonts w:ascii="Garamond" w:hAnsi="Garamond" w:cs="Arial"/>
          <w:sz w:val="24"/>
          <w:szCs w:val="24"/>
        </w:rPr>
        <w:t xml:space="preserve"> </w:t>
      </w:r>
      <w:r w:rsidR="00BB2B00" w:rsidRPr="003A1174">
        <w:rPr>
          <w:rFonts w:ascii="Garamond" w:hAnsi="Garamond" w:cs="Arial"/>
          <w:sz w:val="24"/>
          <w:szCs w:val="24"/>
        </w:rPr>
        <w:t>contra a</w:t>
      </w:r>
      <w:r w:rsidR="00823BE0" w:rsidRPr="003A1174">
        <w:rPr>
          <w:rFonts w:ascii="Garamond" w:hAnsi="Garamond" w:cs="Arial"/>
          <w:sz w:val="24"/>
          <w:szCs w:val="24"/>
        </w:rPr>
        <w:t xml:space="preserve"> </w:t>
      </w:r>
      <w:r w:rsidR="00AF192F" w:rsidRPr="003A1174">
        <w:rPr>
          <w:rFonts w:ascii="Garamond" w:hAnsi="Garamond" w:cs="Arial"/>
          <w:sz w:val="24"/>
          <w:szCs w:val="24"/>
        </w:rPr>
        <w:t>mulher</w:t>
      </w:r>
      <w:r w:rsidRPr="003A1174">
        <w:rPr>
          <w:rFonts w:ascii="Garamond" w:hAnsi="Garamond" w:cs="Arial"/>
          <w:sz w:val="24"/>
          <w:szCs w:val="24"/>
        </w:rPr>
        <w:t xml:space="preserve"> </w:t>
      </w:r>
      <w:r w:rsidR="00420347">
        <w:rPr>
          <w:rFonts w:ascii="Garamond" w:hAnsi="Garamond" w:cs="Arial"/>
          <w:sz w:val="24"/>
          <w:szCs w:val="24"/>
        </w:rPr>
        <w:t>-</w:t>
      </w:r>
      <w:r w:rsidRPr="003A1174">
        <w:rPr>
          <w:rFonts w:ascii="Garamond" w:hAnsi="Garamond" w:cs="Arial"/>
          <w:sz w:val="24"/>
          <w:szCs w:val="24"/>
        </w:rPr>
        <w:t xml:space="preserve"> entre </w:t>
      </w:r>
      <w:r w:rsidR="00823BE0" w:rsidRPr="003A1174">
        <w:rPr>
          <w:rFonts w:ascii="Garamond" w:hAnsi="Garamond" w:cs="Arial"/>
          <w:sz w:val="24"/>
          <w:szCs w:val="24"/>
        </w:rPr>
        <w:t xml:space="preserve">os </w:t>
      </w:r>
      <w:r w:rsidR="00A862C2" w:rsidRPr="003A1174">
        <w:rPr>
          <w:rFonts w:ascii="Garamond" w:hAnsi="Garamond" w:cs="Arial"/>
          <w:sz w:val="24"/>
          <w:szCs w:val="24"/>
        </w:rPr>
        <w:t>vário</w:t>
      </w:r>
      <w:r w:rsidR="00823BE0" w:rsidRPr="003A1174">
        <w:rPr>
          <w:rFonts w:ascii="Garamond" w:hAnsi="Garamond" w:cs="Arial"/>
          <w:sz w:val="24"/>
          <w:szCs w:val="24"/>
        </w:rPr>
        <w:t xml:space="preserve">s </w:t>
      </w:r>
      <w:r w:rsidR="00AF192F" w:rsidRPr="003A1174">
        <w:rPr>
          <w:rFonts w:ascii="Garamond" w:hAnsi="Garamond" w:cs="Arial"/>
          <w:sz w:val="24"/>
          <w:szCs w:val="24"/>
        </w:rPr>
        <w:t>conceito</w:t>
      </w:r>
      <w:r w:rsidR="00823BE0" w:rsidRPr="003A1174">
        <w:rPr>
          <w:rFonts w:ascii="Garamond" w:hAnsi="Garamond" w:cs="Arial"/>
          <w:sz w:val="24"/>
          <w:szCs w:val="24"/>
        </w:rPr>
        <w:t xml:space="preserve">s que </w:t>
      </w:r>
      <w:r w:rsidRPr="003A1174">
        <w:rPr>
          <w:rFonts w:ascii="Garamond" w:hAnsi="Garamond" w:cs="Arial"/>
          <w:sz w:val="24"/>
          <w:szCs w:val="24"/>
        </w:rPr>
        <w:t xml:space="preserve">utilizou fez </w:t>
      </w:r>
      <w:r w:rsidR="00CB5DB2" w:rsidRPr="003A1174">
        <w:rPr>
          <w:rFonts w:ascii="Garamond" w:hAnsi="Garamond" w:cs="Arial"/>
          <w:sz w:val="24"/>
          <w:szCs w:val="24"/>
        </w:rPr>
        <w:t>referência</w:t>
      </w:r>
      <w:r w:rsidR="00823BE0" w:rsidRPr="003A1174">
        <w:rPr>
          <w:rFonts w:ascii="Garamond" w:hAnsi="Garamond" w:cs="Arial"/>
          <w:sz w:val="24"/>
          <w:szCs w:val="24"/>
        </w:rPr>
        <w:t xml:space="preserve"> </w:t>
      </w:r>
      <w:r w:rsidR="00823BE0" w:rsidRPr="003A1174">
        <w:rPr>
          <w:rFonts w:ascii="Garamond" w:hAnsi="Garamond" w:cs="Arial"/>
          <w:sz w:val="24"/>
          <w:szCs w:val="24"/>
          <w:lang w:eastAsia="ja-JP"/>
        </w:rPr>
        <w:t>a</w:t>
      </w:r>
      <w:r w:rsidRPr="003A1174">
        <w:rPr>
          <w:rFonts w:ascii="Garamond" w:hAnsi="Garamond" w:cs="Arial"/>
          <w:sz w:val="24"/>
          <w:szCs w:val="24"/>
          <w:lang w:eastAsia="ja-JP"/>
        </w:rPr>
        <w:t>o</w:t>
      </w:r>
      <w:r w:rsidR="00823BE0" w:rsidRPr="003A1174">
        <w:rPr>
          <w:rFonts w:ascii="Garamond" w:hAnsi="Garamond" w:cs="Arial"/>
          <w:sz w:val="24"/>
          <w:szCs w:val="24"/>
          <w:lang w:eastAsia="ja-JP"/>
        </w:rPr>
        <w:t xml:space="preserve"> </w:t>
      </w:r>
      <w:r w:rsidR="00443084" w:rsidRPr="003A1174">
        <w:rPr>
          <w:rFonts w:ascii="Garamond" w:hAnsi="Garamond" w:cs="Arial"/>
          <w:sz w:val="24"/>
          <w:szCs w:val="24"/>
          <w:lang w:eastAsia="ja-JP"/>
        </w:rPr>
        <w:t>d</w:t>
      </w:r>
      <w:r w:rsidR="002C7510" w:rsidRPr="003A1174">
        <w:rPr>
          <w:rFonts w:ascii="Garamond" w:hAnsi="Garamond" w:cs="Arial"/>
          <w:sz w:val="24"/>
          <w:szCs w:val="24"/>
          <w:lang w:eastAsia="ja-JP"/>
        </w:rPr>
        <w:t>ano</w:t>
      </w:r>
      <w:r w:rsidR="00443084" w:rsidRPr="003A1174">
        <w:rPr>
          <w:rFonts w:ascii="Garamond" w:hAnsi="Garamond" w:cs="Arial"/>
          <w:sz w:val="24"/>
          <w:szCs w:val="24"/>
          <w:lang w:eastAsia="ja-JP"/>
        </w:rPr>
        <w:t xml:space="preserve"> </w:t>
      </w:r>
      <w:r w:rsidRPr="003A1174">
        <w:rPr>
          <w:rFonts w:ascii="Garamond" w:hAnsi="Garamond" w:cs="Arial"/>
          <w:sz w:val="24"/>
          <w:szCs w:val="24"/>
          <w:lang w:eastAsia="ja-JP"/>
        </w:rPr>
        <w:t>p</w:t>
      </w:r>
      <w:r w:rsidR="00443084" w:rsidRPr="003A1174">
        <w:rPr>
          <w:rFonts w:ascii="Garamond" w:hAnsi="Garamond" w:cs="Arial"/>
          <w:sz w:val="24"/>
          <w:szCs w:val="24"/>
          <w:lang w:eastAsia="ja-JP"/>
        </w:rPr>
        <w:t xml:space="preserve">sicológico, </w:t>
      </w:r>
      <w:r w:rsidR="00823BE0" w:rsidRPr="003A1174">
        <w:rPr>
          <w:rFonts w:ascii="Garamond" w:hAnsi="Garamond" w:cs="Arial"/>
          <w:sz w:val="24"/>
          <w:szCs w:val="24"/>
          <w:lang w:eastAsia="ja-JP"/>
        </w:rPr>
        <w:t xml:space="preserve">que </w:t>
      </w:r>
      <w:r w:rsidR="00462B11" w:rsidRPr="003A1174">
        <w:rPr>
          <w:rFonts w:ascii="Garamond" w:hAnsi="Garamond" w:cs="Arial"/>
          <w:sz w:val="24"/>
          <w:szCs w:val="24"/>
          <w:lang w:eastAsia="ja-JP"/>
        </w:rPr>
        <w:t>foi</w:t>
      </w:r>
      <w:r w:rsidR="00823BE0" w:rsidRPr="003A1174">
        <w:rPr>
          <w:rFonts w:ascii="Garamond" w:hAnsi="Garamond" w:cs="Arial"/>
          <w:sz w:val="24"/>
          <w:szCs w:val="24"/>
          <w:lang w:eastAsia="ja-JP"/>
        </w:rPr>
        <w:t xml:space="preserve"> definido como</w:t>
      </w:r>
      <w:r w:rsidR="00443084" w:rsidRPr="003A1174">
        <w:rPr>
          <w:rFonts w:ascii="Garamond" w:hAnsi="Garamond" w:cs="Arial"/>
          <w:sz w:val="24"/>
          <w:szCs w:val="24"/>
          <w:lang w:eastAsia="ja-JP"/>
        </w:rPr>
        <w:t xml:space="preserve"> </w:t>
      </w:r>
      <w:r w:rsidR="00823BE0" w:rsidRPr="003A1174">
        <w:rPr>
          <w:rFonts w:ascii="Garamond" w:hAnsi="Garamond" w:cs="Arial"/>
          <w:sz w:val="24"/>
          <w:szCs w:val="24"/>
          <w:lang w:eastAsia="ja-JP"/>
        </w:rPr>
        <w:t xml:space="preserve">a </w:t>
      </w:r>
      <w:proofErr w:type="gramStart"/>
      <w:r w:rsidR="00420347">
        <w:rPr>
          <w:rFonts w:ascii="Garamond" w:hAnsi="Garamond" w:cs="Arial"/>
          <w:sz w:val="24"/>
          <w:szCs w:val="24"/>
          <w:lang w:eastAsia="ja-JP"/>
        </w:rPr>
        <w:t>«</w:t>
      </w:r>
      <w:r w:rsidR="007C4A71" w:rsidRPr="003A1174">
        <w:rPr>
          <w:rFonts w:ascii="Garamond" w:hAnsi="Garamond" w:cs="Arial"/>
          <w:sz w:val="24"/>
          <w:szCs w:val="24"/>
          <w:lang w:eastAsia="ja-JP"/>
        </w:rPr>
        <w:t>…</w:t>
      </w:r>
      <w:proofErr w:type="gramEnd"/>
      <w:r w:rsidR="00443084" w:rsidRPr="003A1174">
        <w:rPr>
          <w:rFonts w:ascii="Garamond" w:hAnsi="Garamond" w:cs="Arial"/>
          <w:sz w:val="24"/>
          <w:szCs w:val="24"/>
          <w:lang w:eastAsia="ja-JP"/>
        </w:rPr>
        <w:t>C</w:t>
      </w:r>
      <w:r w:rsidR="00823BE0" w:rsidRPr="003A1174">
        <w:rPr>
          <w:rFonts w:ascii="Garamond" w:hAnsi="Garamond" w:cs="Arial"/>
          <w:sz w:val="24"/>
          <w:szCs w:val="24"/>
        </w:rPr>
        <w:t>on</w:t>
      </w:r>
      <w:r w:rsidR="00661ADB" w:rsidRPr="003A1174">
        <w:rPr>
          <w:rFonts w:ascii="Garamond" w:hAnsi="Garamond" w:cs="Arial"/>
          <w:sz w:val="24"/>
          <w:szCs w:val="24"/>
        </w:rPr>
        <w:t>sequência</w:t>
      </w:r>
      <w:r w:rsidR="00823BE0" w:rsidRPr="003A1174">
        <w:rPr>
          <w:rFonts w:ascii="Garamond" w:hAnsi="Garamond" w:cs="Arial"/>
          <w:sz w:val="24"/>
          <w:szCs w:val="24"/>
        </w:rPr>
        <w:t xml:space="preserve"> proveniente da </w:t>
      </w:r>
      <w:r w:rsidR="00077461" w:rsidRPr="003A1174">
        <w:rPr>
          <w:rFonts w:ascii="Garamond" w:hAnsi="Garamond" w:cs="Arial"/>
          <w:sz w:val="24"/>
          <w:szCs w:val="24"/>
        </w:rPr>
        <w:t>ação</w:t>
      </w:r>
      <w:r w:rsidR="00823BE0" w:rsidRPr="003A1174">
        <w:rPr>
          <w:rFonts w:ascii="Garamond" w:hAnsi="Garamond" w:cs="Arial"/>
          <w:sz w:val="24"/>
          <w:szCs w:val="24"/>
        </w:rPr>
        <w:t xml:space="preserve"> </w:t>
      </w:r>
      <w:r w:rsidRPr="003A1174">
        <w:rPr>
          <w:rFonts w:ascii="Garamond" w:hAnsi="Garamond" w:cs="Arial"/>
          <w:sz w:val="24"/>
          <w:szCs w:val="24"/>
        </w:rPr>
        <w:t>o</w:t>
      </w:r>
      <w:r w:rsidR="00823BE0" w:rsidRPr="003A1174">
        <w:rPr>
          <w:rFonts w:ascii="Garamond" w:hAnsi="Garamond" w:cs="Arial"/>
          <w:sz w:val="24"/>
          <w:szCs w:val="24"/>
        </w:rPr>
        <w:t xml:space="preserve">u </w:t>
      </w:r>
      <w:r w:rsidR="00190B59" w:rsidRPr="003A1174">
        <w:rPr>
          <w:rFonts w:ascii="Garamond" w:hAnsi="Garamond" w:cs="Arial"/>
          <w:sz w:val="24"/>
          <w:szCs w:val="24"/>
        </w:rPr>
        <w:t>omissão</w:t>
      </w:r>
      <w:r w:rsidR="00823BE0" w:rsidRPr="003A1174">
        <w:rPr>
          <w:rFonts w:ascii="Garamond" w:hAnsi="Garamond" w:cs="Arial"/>
          <w:sz w:val="24"/>
          <w:szCs w:val="24"/>
        </w:rPr>
        <w:t xml:space="preserve"> destinada a degradar o</w:t>
      </w:r>
      <w:r w:rsidRPr="003A1174">
        <w:rPr>
          <w:rFonts w:ascii="Garamond" w:hAnsi="Garamond" w:cs="Arial"/>
          <w:sz w:val="24"/>
          <w:szCs w:val="24"/>
        </w:rPr>
        <w:t>u</w:t>
      </w:r>
      <w:r w:rsidR="00823BE0" w:rsidRPr="003A1174">
        <w:rPr>
          <w:rFonts w:ascii="Garamond" w:hAnsi="Garamond" w:cs="Arial"/>
          <w:sz w:val="24"/>
          <w:szCs w:val="24"/>
        </w:rPr>
        <w:t xml:space="preserve"> </w:t>
      </w:r>
      <w:r w:rsidR="00E15BB2" w:rsidRPr="003A1174">
        <w:rPr>
          <w:rFonts w:ascii="Garamond" w:hAnsi="Garamond" w:cs="Arial"/>
          <w:sz w:val="24"/>
          <w:szCs w:val="24"/>
        </w:rPr>
        <w:t>control</w:t>
      </w:r>
      <w:r w:rsidR="007C4A71" w:rsidRPr="003A1174">
        <w:rPr>
          <w:rFonts w:ascii="Garamond" w:hAnsi="Garamond" w:cs="Arial"/>
          <w:sz w:val="24"/>
          <w:szCs w:val="24"/>
        </w:rPr>
        <w:t xml:space="preserve">ar </w:t>
      </w:r>
      <w:r w:rsidR="00823BE0" w:rsidRPr="003A1174">
        <w:rPr>
          <w:rFonts w:ascii="Garamond" w:hAnsi="Garamond" w:cs="Arial"/>
          <w:sz w:val="24"/>
          <w:szCs w:val="24"/>
        </w:rPr>
        <w:t xml:space="preserve">as </w:t>
      </w:r>
      <w:r w:rsidR="002C7510" w:rsidRPr="003A1174">
        <w:rPr>
          <w:rFonts w:ascii="Garamond" w:hAnsi="Garamond" w:cs="Arial"/>
          <w:sz w:val="24"/>
          <w:szCs w:val="24"/>
        </w:rPr>
        <w:t>ações</w:t>
      </w:r>
      <w:r w:rsidR="00823BE0" w:rsidRPr="003A1174">
        <w:rPr>
          <w:rFonts w:ascii="Garamond" w:hAnsi="Garamond" w:cs="Arial"/>
          <w:sz w:val="24"/>
          <w:szCs w:val="24"/>
        </w:rPr>
        <w:t xml:space="preserve">, </w:t>
      </w:r>
      <w:r w:rsidR="00A862C2" w:rsidRPr="003A1174">
        <w:rPr>
          <w:rFonts w:ascii="Garamond" w:hAnsi="Garamond" w:cs="Arial"/>
          <w:sz w:val="24"/>
          <w:szCs w:val="24"/>
        </w:rPr>
        <w:t>comportamento</w:t>
      </w:r>
      <w:r w:rsidR="007C4A71" w:rsidRPr="003A1174">
        <w:rPr>
          <w:rFonts w:ascii="Garamond" w:hAnsi="Garamond" w:cs="Arial"/>
          <w:sz w:val="24"/>
          <w:szCs w:val="24"/>
        </w:rPr>
        <w:t>s, cr</w:t>
      </w:r>
      <w:r w:rsidR="00823BE0" w:rsidRPr="003A1174">
        <w:rPr>
          <w:rFonts w:ascii="Garamond" w:hAnsi="Garamond" w:cs="Arial"/>
          <w:sz w:val="24"/>
          <w:szCs w:val="24"/>
        </w:rPr>
        <w:t>en</w:t>
      </w:r>
      <w:r w:rsidR="007C4A71" w:rsidRPr="003A1174">
        <w:rPr>
          <w:rFonts w:ascii="Garamond" w:hAnsi="Garamond" w:cs="Arial"/>
          <w:sz w:val="24"/>
          <w:szCs w:val="24"/>
        </w:rPr>
        <w:t>ç</w:t>
      </w:r>
      <w:r w:rsidR="00823BE0" w:rsidRPr="003A1174">
        <w:rPr>
          <w:rFonts w:ascii="Garamond" w:hAnsi="Garamond" w:cs="Arial"/>
          <w:sz w:val="24"/>
          <w:szCs w:val="24"/>
        </w:rPr>
        <w:t xml:space="preserve">as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5D38DC" w:rsidRPr="003A1174">
        <w:rPr>
          <w:rFonts w:ascii="Garamond" w:hAnsi="Garamond" w:cs="Arial"/>
          <w:sz w:val="24"/>
          <w:szCs w:val="24"/>
        </w:rPr>
        <w:t>decisões</w:t>
      </w:r>
      <w:r w:rsidR="00823BE0" w:rsidRPr="003A1174">
        <w:rPr>
          <w:rFonts w:ascii="Garamond" w:hAnsi="Garamond" w:cs="Arial"/>
          <w:sz w:val="24"/>
          <w:szCs w:val="24"/>
        </w:rPr>
        <w:t xml:space="preserve"> de </w:t>
      </w:r>
      <w:r w:rsidR="0017447A" w:rsidRPr="003A1174">
        <w:rPr>
          <w:rFonts w:ascii="Garamond" w:hAnsi="Garamond" w:cs="Arial"/>
          <w:sz w:val="24"/>
          <w:szCs w:val="24"/>
        </w:rPr>
        <w:t>outras</w:t>
      </w:r>
      <w:r w:rsidR="00823BE0" w:rsidRPr="003A1174">
        <w:rPr>
          <w:rFonts w:ascii="Garamond" w:hAnsi="Garamond" w:cs="Arial"/>
          <w:sz w:val="24"/>
          <w:szCs w:val="24"/>
        </w:rPr>
        <w:t xml:space="preserve"> </w:t>
      </w:r>
      <w:r w:rsidR="006C760C" w:rsidRPr="003A1174">
        <w:rPr>
          <w:rFonts w:ascii="Garamond" w:hAnsi="Garamond" w:cs="Arial"/>
          <w:sz w:val="24"/>
          <w:szCs w:val="24"/>
        </w:rPr>
        <w:t>pessoas</w:t>
      </w:r>
      <w:r w:rsidR="00823BE0" w:rsidRPr="003A1174">
        <w:rPr>
          <w:rFonts w:ascii="Garamond" w:hAnsi="Garamond" w:cs="Arial"/>
          <w:sz w:val="24"/>
          <w:szCs w:val="24"/>
        </w:rPr>
        <w:t xml:space="preserve">, por </w:t>
      </w:r>
      <w:r w:rsidR="00D4575C" w:rsidRPr="003A1174">
        <w:rPr>
          <w:rFonts w:ascii="Garamond" w:hAnsi="Garamond" w:cs="Arial"/>
          <w:sz w:val="24"/>
          <w:szCs w:val="24"/>
        </w:rPr>
        <w:t>meio</w:t>
      </w:r>
      <w:r w:rsidR="00823BE0" w:rsidRPr="003A1174">
        <w:rPr>
          <w:rFonts w:ascii="Garamond" w:hAnsi="Garamond" w:cs="Arial"/>
          <w:sz w:val="24"/>
          <w:szCs w:val="24"/>
        </w:rPr>
        <w:t xml:space="preserve"> de intimida</w:t>
      </w:r>
      <w:r w:rsidR="007C4A71" w:rsidRPr="003A1174">
        <w:rPr>
          <w:rFonts w:ascii="Garamond" w:hAnsi="Garamond" w:cs="Arial"/>
          <w:sz w:val="24"/>
          <w:szCs w:val="24"/>
        </w:rPr>
        <w:t>ção</w:t>
      </w:r>
      <w:r w:rsidR="00823BE0" w:rsidRPr="003A1174">
        <w:rPr>
          <w:rFonts w:ascii="Garamond" w:hAnsi="Garamond" w:cs="Arial"/>
          <w:sz w:val="24"/>
          <w:szCs w:val="24"/>
        </w:rPr>
        <w:t>, manipula</w:t>
      </w:r>
      <w:r w:rsidR="007C4A71" w:rsidRPr="003A1174">
        <w:rPr>
          <w:rFonts w:ascii="Garamond" w:hAnsi="Garamond" w:cs="Arial"/>
          <w:sz w:val="24"/>
          <w:szCs w:val="24"/>
        </w:rPr>
        <w:t>ção</w:t>
      </w:r>
      <w:r w:rsidR="00823BE0" w:rsidRPr="003A1174">
        <w:rPr>
          <w:rFonts w:ascii="Garamond" w:hAnsi="Garamond" w:cs="Arial"/>
          <w:sz w:val="24"/>
          <w:szCs w:val="24"/>
        </w:rPr>
        <w:t xml:space="preserve">, </w:t>
      </w:r>
      <w:r w:rsidR="001B02AD" w:rsidRPr="003A1174">
        <w:rPr>
          <w:rFonts w:ascii="Garamond" w:hAnsi="Garamond" w:cs="Arial"/>
          <w:sz w:val="24"/>
          <w:szCs w:val="24"/>
        </w:rPr>
        <w:t>ameaça</w:t>
      </w:r>
      <w:r w:rsidR="00823BE0" w:rsidRPr="003A1174">
        <w:rPr>
          <w:rFonts w:ascii="Garamond" w:hAnsi="Garamond" w:cs="Arial"/>
          <w:sz w:val="24"/>
          <w:szCs w:val="24"/>
        </w:rPr>
        <w:t xml:space="preserve"> </w:t>
      </w:r>
      <w:r w:rsidR="00774697" w:rsidRPr="003A1174">
        <w:rPr>
          <w:rFonts w:ascii="Garamond" w:hAnsi="Garamond" w:cs="Arial"/>
          <w:sz w:val="24"/>
          <w:szCs w:val="24"/>
        </w:rPr>
        <w:t>direta</w:t>
      </w:r>
      <w:r w:rsidR="00823BE0" w:rsidRPr="003A1174">
        <w:rPr>
          <w:rFonts w:ascii="Garamond" w:hAnsi="Garamond" w:cs="Arial"/>
          <w:sz w:val="24"/>
          <w:szCs w:val="24"/>
        </w:rPr>
        <w:t xml:space="preserve"> o</w:t>
      </w:r>
      <w:r w:rsidR="007C4A71" w:rsidRPr="003A1174">
        <w:rPr>
          <w:rFonts w:ascii="Garamond" w:hAnsi="Garamond" w:cs="Arial"/>
          <w:sz w:val="24"/>
          <w:szCs w:val="24"/>
        </w:rPr>
        <w:t>u</w:t>
      </w:r>
      <w:r w:rsidR="00823BE0" w:rsidRPr="003A1174">
        <w:rPr>
          <w:rFonts w:ascii="Garamond" w:hAnsi="Garamond" w:cs="Arial"/>
          <w:sz w:val="24"/>
          <w:szCs w:val="24"/>
        </w:rPr>
        <w:t xml:space="preserve"> in</w:t>
      </w:r>
      <w:r w:rsidR="00774697" w:rsidRPr="003A1174">
        <w:rPr>
          <w:rFonts w:ascii="Garamond" w:hAnsi="Garamond" w:cs="Arial"/>
          <w:sz w:val="24"/>
          <w:szCs w:val="24"/>
        </w:rPr>
        <w:t>direta</w:t>
      </w:r>
      <w:r w:rsidR="00823BE0" w:rsidRPr="003A1174">
        <w:rPr>
          <w:rFonts w:ascii="Garamond" w:hAnsi="Garamond" w:cs="Arial"/>
          <w:sz w:val="24"/>
          <w:szCs w:val="24"/>
        </w:rPr>
        <w:t xml:space="preserve">, </w:t>
      </w:r>
      <w:r w:rsidR="007C4A71" w:rsidRPr="003A1174">
        <w:rPr>
          <w:rFonts w:ascii="Garamond" w:hAnsi="Garamond" w:cs="Arial"/>
          <w:sz w:val="24"/>
          <w:szCs w:val="24"/>
        </w:rPr>
        <w:t>humilhação</w:t>
      </w:r>
      <w:r w:rsidR="00823BE0" w:rsidRPr="003A1174">
        <w:rPr>
          <w:rFonts w:ascii="Garamond" w:hAnsi="Garamond" w:cs="Arial"/>
          <w:sz w:val="24"/>
          <w:szCs w:val="24"/>
        </w:rPr>
        <w:t xml:space="preserve">, </w:t>
      </w:r>
      <w:r w:rsidR="007C4A71" w:rsidRPr="003A1174">
        <w:rPr>
          <w:rFonts w:ascii="Garamond" w:hAnsi="Garamond" w:cs="Arial"/>
          <w:sz w:val="24"/>
          <w:szCs w:val="24"/>
        </w:rPr>
        <w:t>isolamento</w:t>
      </w:r>
      <w:r w:rsidR="00823BE0" w:rsidRPr="003A1174">
        <w:rPr>
          <w:rFonts w:ascii="Garamond" w:hAnsi="Garamond" w:cs="Arial"/>
          <w:sz w:val="24"/>
          <w:szCs w:val="24"/>
        </w:rPr>
        <w:t xml:space="preserve"> o</w:t>
      </w:r>
      <w:r w:rsidR="007C4A71" w:rsidRPr="003A1174">
        <w:rPr>
          <w:rFonts w:ascii="Garamond" w:hAnsi="Garamond" w:cs="Arial"/>
          <w:sz w:val="24"/>
          <w:szCs w:val="24"/>
        </w:rPr>
        <w:t>u</w:t>
      </w:r>
      <w:r w:rsidR="00823BE0" w:rsidRPr="003A1174">
        <w:rPr>
          <w:rFonts w:ascii="Garamond" w:hAnsi="Garamond" w:cs="Arial"/>
          <w:sz w:val="24"/>
          <w:szCs w:val="24"/>
        </w:rPr>
        <w:t xml:space="preserve"> </w:t>
      </w:r>
      <w:r w:rsidR="007342D9" w:rsidRPr="003A1174">
        <w:rPr>
          <w:rFonts w:ascii="Garamond" w:hAnsi="Garamond" w:cs="Arial"/>
          <w:sz w:val="24"/>
          <w:szCs w:val="24"/>
        </w:rPr>
        <w:t>qualquer</w:t>
      </w:r>
      <w:r w:rsidR="00823BE0" w:rsidRPr="003A1174">
        <w:rPr>
          <w:rFonts w:ascii="Garamond" w:hAnsi="Garamond" w:cs="Arial"/>
          <w:sz w:val="24"/>
          <w:szCs w:val="24"/>
        </w:rPr>
        <w:t xml:space="preserve"> </w:t>
      </w:r>
      <w:r w:rsidR="002B6C5B" w:rsidRPr="003A1174">
        <w:rPr>
          <w:rFonts w:ascii="Garamond" w:hAnsi="Garamond" w:cs="Arial"/>
          <w:sz w:val="24"/>
          <w:szCs w:val="24"/>
        </w:rPr>
        <w:t>outr</w:t>
      </w:r>
      <w:r w:rsidR="007C4A71" w:rsidRPr="003A1174">
        <w:rPr>
          <w:rFonts w:ascii="Garamond" w:hAnsi="Garamond" w:cs="Arial"/>
          <w:sz w:val="24"/>
          <w:szCs w:val="24"/>
        </w:rPr>
        <w:t>o</w:t>
      </w:r>
      <w:r w:rsidR="00823BE0" w:rsidRPr="003A1174">
        <w:rPr>
          <w:rFonts w:ascii="Garamond" w:hAnsi="Garamond" w:cs="Arial"/>
          <w:sz w:val="24"/>
          <w:szCs w:val="24"/>
        </w:rPr>
        <w:t xml:space="preserve"> </w:t>
      </w:r>
      <w:r w:rsidR="007C63D0" w:rsidRPr="003A1174">
        <w:rPr>
          <w:rFonts w:ascii="Garamond" w:hAnsi="Garamond" w:cs="Arial"/>
          <w:sz w:val="24"/>
          <w:szCs w:val="24"/>
        </w:rPr>
        <w:t>comportamento</w:t>
      </w:r>
      <w:r w:rsidR="00823BE0" w:rsidRPr="003A1174">
        <w:rPr>
          <w:rFonts w:ascii="Garamond" w:hAnsi="Garamond" w:cs="Arial"/>
          <w:sz w:val="24"/>
          <w:szCs w:val="24"/>
        </w:rPr>
        <w:t xml:space="preserve"> que implique u</w:t>
      </w:r>
      <w:r w:rsidR="007C4A71" w:rsidRPr="003A1174">
        <w:rPr>
          <w:rFonts w:ascii="Garamond" w:hAnsi="Garamond" w:cs="Arial"/>
          <w:sz w:val="24"/>
          <w:szCs w:val="24"/>
        </w:rPr>
        <w:t>m</w:t>
      </w:r>
      <w:r w:rsidR="00823BE0" w:rsidRPr="003A1174">
        <w:rPr>
          <w:rFonts w:ascii="Garamond" w:hAnsi="Garamond" w:cs="Arial"/>
          <w:sz w:val="24"/>
          <w:szCs w:val="24"/>
        </w:rPr>
        <w:t xml:space="preserve"> </w:t>
      </w:r>
      <w:r w:rsidR="007C4A71" w:rsidRPr="003A1174">
        <w:rPr>
          <w:rFonts w:ascii="Garamond" w:hAnsi="Garamond" w:cs="Arial"/>
          <w:sz w:val="24"/>
          <w:szCs w:val="24"/>
        </w:rPr>
        <w:t>prejuízo</w:t>
      </w:r>
      <w:r w:rsidR="00823BE0" w:rsidRPr="003A1174">
        <w:rPr>
          <w:rFonts w:ascii="Garamond" w:hAnsi="Garamond" w:cs="Arial"/>
          <w:sz w:val="24"/>
          <w:szCs w:val="24"/>
        </w:rPr>
        <w:t>.</w:t>
      </w:r>
      <w:r w:rsidR="00420347">
        <w:rPr>
          <w:rFonts w:ascii="Garamond" w:hAnsi="Garamond" w:cs="Arial"/>
          <w:sz w:val="24"/>
          <w:szCs w:val="24"/>
        </w:rPr>
        <w:t>»</w:t>
      </w:r>
    </w:p>
    <w:p w:rsidR="00823BE0" w:rsidRPr="003A1174" w:rsidRDefault="007C4A71" w:rsidP="008719D4">
      <w:pPr>
        <w:spacing w:before="240" w:line="240" w:lineRule="auto"/>
        <w:jc w:val="both"/>
        <w:rPr>
          <w:rFonts w:ascii="Garamond" w:hAnsi="Garamond" w:cs="Arial"/>
          <w:sz w:val="24"/>
          <w:szCs w:val="24"/>
        </w:rPr>
      </w:pPr>
      <w:r w:rsidRPr="003A1174">
        <w:rPr>
          <w:rFonts w:ascii="Garamond" w:hAnsi="Garamond" w:cs="Arial"/>
          <w:sz w:val="24"/>
          <w:szCs w:val="24"/>
        </w:rPr>
        <w:t>Atend</w:t>
      </w:r>
      <w:r w:rsidR="00823BE0" w:rsidRPr="003A1174">
        <w:rPr>
          <w:rFonts w:ascii="Garamond" w:hAnsi="Garamond" w:cs="Arial"/>
          <w:sz w:val="24"/>
          <w:szCs w:val="24"/>
        </w:rPr>
        <w:t xml:space="preserve">endo </w:t>
      </w:r>
      <w:r w:rsidRPr="003A1174">
        <w:rPr>
          <w:rFonts w:ascii="Garamond" w:hAnsi="Garamond" w:cs="Arial"/>
          <w:sz w:val="24"/>
          <w:szCs w:val="24"/>
        </w:rPr>
        <w:t xml:space="preserve">à referida </w:t>
      </w:r>
      <w:r w:rsidR="00823BE0" w:rsidRPr="003A1174">
        <w:rPr>
          <w:rFonts w:ascii="Garamond" w:hAnsi="Garamond" w:cs="Arial"/>
          <w:sz w:val="24"/>
          <w:szCs w:val="24"/>
        </w:rPr>
        <w:t xml:space="preserve">norma, para os diferentes </w:t>
      </w:r>
      <w:r w:rsidR="00A862C2" w:rsidRPr="003A1174">
        <w:rPr>
          <w:rFonts w:ascii="Garamond" w:hAnsi="Garamond" w:cs="Arial"/>
          <w:sz w:val="24"/>
          <w:szCs w:val="24"/>
        </w:rPr>
        <w:t>tr</w:t>
      </w:r>
      <w:r w:rsidR="00420347">
        <w:rPr>
          <w:rFonts w:ascii="Garamond" w:hAnsi="Garamond" w:cs="Arial"/>
          <w:sz w:val="24"/>
          <w:szCs w:val="24"/>
        </w:rPr>
        <w:t>â</w:t>
      </w:r>
      <w:r w:rsidR="00A862C2" w:rsidRPr="003A1174">
        <w:rPr>
          <w:rFonts w:ascii="Garamond" w:hAnsi="Garamond" w:cs="Arial"/>
          <w:sz w:val="24"/>
          <w:szCs w:val="24"/>
        </w:rPr>
        <w:t>mit</w:t>
      </w:r>
      <w:r w:rsidRPr="003A1174">
        <w:rPr>
          <w:rFonts w:ascii="Garamond" w:hAnsi="Garamond" w:cs="Arial"/>
          <w:sz w:val="24"/>
          <w:szCs w:val="24"/>
        </w:rPr>
        <w:t>e</w:t>
      </w:r>
      <w:r w:rsidR="00823BE0" w:rsidRPr="003A1174">
        <w:rPr>
          <w:rFonts w:ascii="Garamond" w:hAnsi="Garamond" w:cs="Arial"/>
          <w:sz w:val="24"/>
          <w:szCs w:val="24"/>
        </w:rPr>
        <w:t xml:space="preserve">s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2D1021" w:rsidRPr="003A1174">
        <w:rPr>
          <w:rFonts w:ascii="Garamond" w:hAnsi="Garamond" w:cs="Arial"/>
          <w:sz w:val="24"/>
          <w:szCs w:val="24"/>
        </w:rPr>
        <w:t>processo</w:t>
      </w:r>
      <w:r w:rsidR="00823BE0" w:rsidRPr="003A1174">
        <w:rPr>
          <w:rFonts w:ascii="Garamond" w:hAnsi="Garamond" w:cs="Arial"/>
          <w:sz w:val="24"/>
          <w:szCs w:val="24"/>
        </w:rPr>
        <w:t xml:space="preserve">s </w:t>
      </w:r>
      <w:r w:rsidR="002D1021" w:rsidRPr="003A1174">
        <w:rPr>
          <w:rFonts w:ascii="Garamond" w:hAnsi="Garamond" w:cs="Arial"/>
          <w:sz w:val="24"/>
          <w:szCs w:val="24"/>
        </w:rPr>
        <w:t>judiciais</w:t>
      </w:r>
      <w:r w:rsidR="00823BE0" w:rsidRPr="003A1174">
        <w:rPr>
          <w:rFonts w:ascii="Garamond" w:hAnsi="Garamond" w:cs="Arial"/>
          <w:sz w:val="24"/>
          <w:szCs w:val="24"/>
        </w:rPr>
        <w:t xml:space="preserve"> </w:t>
      </w:r>
      <w:r w:rsidRPr="003A1174">
        <w:rPr>
          <w:rFonts w:ascii="Garamond" w:hAnsi="Garamond" w:cs="Arial"/>
          <w:sz w:val="24"/>
          <w:szCs w:val="24"/>
        </w:rPr>
        <w:t>ou</w:t>
      </w:r>
      <w:r w:rsidR="00823BE0" w:rsidRPr="003A1174">
        <w:rPr>
          <w:rFonts w:ascii="Garamond" w:hAnsi="Garamond" w:cs="Arial"/>
          <w:sz w:val="24"/>
          <w:szCs w:val="24"/>
        </w:rPr>
        <w:t xml:space="preserve"> d</w:t>
      </w:r>
      <w:r w:rsidR="002C7510" w:rsidRPr="003A1174">
        <w:rPr>
          <w:rFonts w:ascii="Garamond" w:hAnsi="Garamond" w:cs="Arial"/>
          <w:sz w:val="24"/>
          <w:szCs w:val="24"/>
        </w:rPr>
        <w:t>ano</w:t>
      </w:r>
      <w:r w:rsidR="00823BE0" w:rsidRPr="003A1174">
        <w:rPr>
          <w:rFonts w:ascii="Garamond" w:hAnsi="Garamond" w:cs="Arial"/>
          <w:sz w:val="24"/>
          <w:szCs w:val="24"/>
        </w:rPr>
        <w:t xml:space="preserve"> psicológico</w:t>
      </w:r>
      <w:r w:rsidR="00420347">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 xml:space="preserve">é </w:t>
      </w:r>
      <w:r w:rsidR="00661ADB" w:rsidRPr="003A1174">
        <w:rPr>
          <w:rFonts w:ascii="Garamond" w:hAnsi="Garamond" w:cs="Arial"/>
          <w:sz w:val="24"/>
          <w:szCs w:val="24"/>
        </w:rPr>
        <w:t>estabelecido</w:t>
      </w:r>
      <w:r w:rsidR="00823BE0" w:rsidRPr="003A1174">
        <w:rPr>
          <w:rFonts w:ascii="Garamond" w:hAnsi="Garamond" w:cs="Arial"/>
          <w:sz w:val="24"/>
          <w:szCs w:val="24"/>
        </w:rPr>
        <w:t xml:space="preserve"> por psicólogos peritos </w:t>
      </w:r>
      <w:r w:rsidR="00497503" w:rsidRPr="003A1174">
        <w:rPr>
          <w:rFonts w:ascii="Garamond" w:hAnsi="Garamond" w:cs="Arial"/>
          <w:sz w:val="24"/>
          <w:szCs w:val="24"/>
        </w:rPr>
        <w:t>das</w:t>
      </w:r>
      <w:r w:rsidR="00823BE0" w:rsidRPr="003A1174">
        <w:rPr>
          <w:rFonts w:ascii="Garamond" w:hAnsi="Garamond" w:cs="Arial"/>
          <w:sz w:val="24"/>
          <w:szCs w:val="24"/>
        </w:rPr>
        <w:t xml:space="preserve"> entidades que </w:t>
      </w:r>
      <w:r w:rsidR="00D4575C" w:rsidRPr="003A1174">
        <w:rPr>
          <w:rFonts w:ascii="Garamond" w:hAnsi="Garamond" w:cs="Arial"/>
          <w:sz w:val="24"/>
          <w:szCs w:val="24"/>
        </w:rPr>
        <w:t>têm</w:t>
      </w:r>
      <w:r w:rsidR="00823BE0" w:rsidRPr="003A1174">
        <w:rPr>
          <w:rFonts w:ascii="Garamond" w:hAnsi="Garamond" w:cs="Arial"/>
          <w:sz w:val="24"/>
          <w:szCs w:val="24"/>
        </w:rPr>
        <w:t xml:space="preserve"> contacto co</w:t>
      </w:r>
      <w:r w:rsidRPr="003A1174">
        <w:rPr>
          <w:rFonts w:ascii="Garamond" w:hAnsi="Garamond" w:cs="Arial"/>
          <w:sz w:val="24"/>
          <w:szCs w:val="24"/>
        </w:rPr>
        <w:t xml:space="preserve">m </w:t>
      </w:r>
      <w:r w:rsidR="00823BE0" w:rsidRPr="003A1174">
        <w:rPr>
          <w:rFonts w:ascii="Garamond" w:hAnsi="Garamond" w:cs="Arial"/>
          <w:sz w:val="24"/>
          <w:szCs w:val="24"/>
        </w:rPr>
        <w:t xml:space="preserve">as </w:t>
      </w:r>
      <w:r w:rsidR="003F012B" w:rsidRPr="003A1174">
        <w:rPr>
          <w:rFonts w:ascii="Garamond" w:hAnsi="Garamond" w:cs="Arial"/>
          <w:sz w:val="24"/>
          <w:szCs w:val="24"/>
        </w:rPr>
        <w:t>vítima</w:t>
      </w:r>
      <w:r w:rsidRPr="003A1174">
        <w:rPr>
          <w:rFonts w:ascii="Garamond" w:hAnsi="Garamond" w:cs="Arial"/>
          <w:sz w:val="24"/>
          <w:szCs w:val="24"/>
        </w:rPr>
        <w:t xml:space="preserve">s, como </w:t>
      </w:r>
      <w:r w:rsidR="00823BE0" w:rsidRPr="003A1174">
        <w:rPr>
          <w:rFonts w:ascii="Garamond" w:hAnsi="Garamond" w:cs="Arial"/>
          <w:sz w:val="24"/>
          <w:szCs w:val="24"/>
        </w:rPr>
        <w:t xml:space="preserve">o </w:t>
      </w:r>
      <w:r w:rsidR="00D75A07" w:rsidRPr="003A1174">
        <w:rPr>
          <w:rFonts w:ascii="Garamond" w:hAnsi="Garamond" w:cs="Arial"/>
          <w:sz w:val="24"/>
          <w:szCs w:val="24"/>
        </w:rPr>
        <w:t>são</w:t>
      </w:r>
      <w:r w:rsidRPr="003A1174">
        <w:rPr>
          <w:rFonts w:ascii="Garamond" w:hAnsi="Garamond" w:cs="Arial"/>
          <w:sz w:val="24"/>
          <w:szCs w:val="24"/>
        </w:rPr>
        <w:t xml:space="preserve"> </w:t>
      </w:r>
      <w:r w:rsidR="00823BE0"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606CEE" w:rsidRPr="003A1174">
        <w:rPr>
          <w:rFonts w:ascii="Garamond" w:hAnsi="Garamond" w:cs="Arial"/>
          <w:sz w:val="24"/>
          <w:szCs w:val="24"/>
        </w:rPr>
        <w:t>Ministério Público</w:t>
      </w:r>
      <w:r w:rsidR="00823BE0" w:rsidRPr="003A1174">
        <w:rPr>
          <w:rFonts w:ascii="Garamond" w:hAnsi="Garamond" w:cs="Arial"/>
          <w:sz w:val="24"/>
          <w:szCs w:val="24"/>
        </w:rPr>
        <w:t xml:space="preserve"> da </w:t>
      </w:r>
      <w:r w:rsidR="006E0719" w:rsidRPr="003A1174">
        <w:rPr>
          <w:rFonts w:ascii="Garamond" w:hAnsi="Garamond" w:cs="Arial"/>
          <w:sz w:val="24"/>
          <w:szCs w:val="24"/>
        </w:rPr>
        <w:t>Nação</w:t>
      </w:r>
      <w:r w:rsidR="00823BE0" w:rsidRPr="003A1174">
        <w:rPr>
          <w:rFonts w:ascii="Garamond" w:hAnsi="Garamond" w:cs="Arial"/>
          <w:sz w:val="24"/>
          <w:szCs w:val="24"/>
        </w:rPr>
        <w:t xml:space="preserve">, entre </w:t>
      </w:r>
      <w:r w:rsidR="0017447A" w:rsidRPr="003A1174">
        <w:rPr>
          <w:rFonts w:ascii="Garamond" w:hAnsi="Garamond" w:cs="Arial"/>
          <w:sz w:val="24"/>
          <w:szCs w:val="24"/>
        </w:rPr>
        <w:t>outras</w:t>
      </w:r>
      <w:r w:rsidR="00823BE0" w:rsidRPr="003A1174">
        <w:rPr>
          <w:rFonts w:ascii="Garamond" w:hAnsi="Garamond" w:cs="Arial"/>
          <w:sz w:val="24"/>
          <w:szCs w:val="24"/>
        </w:rPr>
        <w:t xml:space="preserve"> entidades, por </w:t>
      </w:r>
      <w:r w:rsidR="00D4575C" w:rsidRPr="003A1174">
        <w:rPr>
          <w:rFonts w:ascii="Garamond" w:hAnsi="Garamond" w:cs="Arial"/>
          <w:sz w:val="24"/>
          <w:szCs w:val="24"/>
        </w:rPr>
        <w:t>meio</w:t>
      </w:r>
      <w:r w:rsidR="00823BE0" w:rsidRPr="003A1174">
        <w:rPr>
          <w:rFonts w:ascii="Garamond" w:hAnsi="Garamond" w:cs="Arial"/>
          <w:sz w:val="24"/>
          <w:szCs w:val="24"/>
        </w:rPr>
        <w:t xml:space="preserve"> de </w:t>
      </w:r>
      <w:r w:rsidR="000464C8" w:rsidRPr="003A1174">
        <w:rPr>
          <w:rFonts w:ascii="Garamond" w:hAnsi="Garamond" w:cs="Arial"/>
          <w:sz w:val="24"/>
          <w:szCs w:val="24"/>
        </w:rPr>
        <w:t>avaliações</w:t>
      </w:r>
      <w:r w:rsidR="00823BE0" w:rsidRPr="003A1174">
        <w:rPr>
          <w:rFonts w:ascii="Garamond" w:hAnsi="Garamond" w:cs="Arial"/>
          <w:sz w:val="24"/>
          <w:szCs w:val="24"/>
        </w:rPr>
        <w:t xml:space="preserve"> completas que </w:t>
      </w:r>
      <w:r w:rsidR="00462B11" w:rsidRPr="003A1174">
        <w:rPr>
          <w:rFonts w:ascii="Garamond" w:hAnsi="Garamond" w:cs="Arial"/>
          <w:sz w:val="24"/>
          <w:szCs w:val="24"/>
        </w:rPr>
        <w:t>incluem</w:t>
      </w:r>
      <w:r w:rsidRPr="003A1174">
        <w:rPr>
          <w:rFonts w:ascii="Garamond" w:hAnsi="Garamond" w:cs="Arial"/>
          <w:sz w:val="24"/>
          <w:szCs w:val="24"/>
        </w:rPr>
        <w:t xml:space="preserve"> </w:t>
      </w:r>
      <w:r w:rsidR="00823BE0" w:rsidRPr="003A1174">
        <w:rPr>
          <w:rFonts w:ascii="Garamond" w:hAnsi="Garamond" w:cs="Arial"/>
          <w:sz w:val="24"/>
          <w:szCs w:val="24"/>
        </w:rPr>
        <w:t xml:space="preserve">a </w:t>
      </w:r>
      <w:r w:rsidR="00AB6522" w:rsidRPr="003A1174">
        <w:rPr>
          <w:rFonts w:ascii="Garamond" w:hAnsi="Garamond" w:cs="Arial"/>
          <w:sz w:val="24"/>
          <w:szCs w:val="24"/>
        </w:rPr>
        <w:t>utilização</w:t>
      </w:r>
      <w:r w:rsidR="00823BE0" w:rsidRPr="003A1174">
        <w:rPr>
          <w:rFonts w:ascii="Garamond" w:hAnsi="Garamond" w:cs="Arial"/>
          <w:sz w:val="24"/>
          <w:szCs w:val="24"/>
        </w:rPr>
        <w:t xml:space="preserve"> de </w:t>
      </w:r>
      <w:r w:rsidR="00A862C2" w:rsidRPr="003A1174">
        <w:rPr>
          <w:rFonts w:ascii="Garamond" w:hAnsi="Garamond" w:cs="Arial"/>
          <w:sz w:val="24"/>
          <w:szCs w:val="24"/>
        </w:rPr>
        <w:t>vário</w:t>
      </w:r>
      <w:r w:rsidR="00823BE0" w:rsidRPr="003A1174">
        <w:rPr>
          <w:rFonts w:ascii="Garamond" w:hAnsi="Garamond" w:cs="Arial"/>
          <w:sz w:val="24"/>
          <w:szCs w:val="24"/>
        </w:rPr>
        <w:t xml:space="preserve">s instrumentos de </w:t>
      </w:r>
      <w:r w:rsidR="008E259D">
        <w:rPr>
          <w:rFonts w:ascii="Garamond" w:hAnsi="Garamond" w:cs="Arial"/>
          <w:sz w:val="24"/>
          <w:szCs w:val="24"/>
        </w:rPr>
        <w:t>avaliação</w:t>
      </w:r>
      <w:r w:rsidR="00823BE0" w:rsidRPr="003A1174">
        <w:rPr>
          <w:rFonts w:ascii="Garamond" w:hAnsi="Garamond" w:cs="Arial"/>
          <w:sz w:val="24"/>
          <w:szCs w:val="24"/>
        </w:rPr>
        <w:t>.</w:t>
      </w:r>
    </w:p>
    <w:p w:rsidR="00823BE0" w:rsidRPr="000D7B87" w:rsidRDefault="00DD6896" w:rsidP="008719D4">
      <w:pPr>
        <w:pStyle w:val="Ttulo4"/>
        <w:spacing w:line="240" w:lineRule="auto"/>
        <w:rPr>
          <w:rFonts w:ascii="Garamond" w:hAnsi="Garamond"/>
          <w:sz w:val="24"/>
          <w:szCs w:val="24"/>
        </w:rPr>
      </w:pPr>
      <w:r w:rsidRPr="000D7B87">
        <w:rPr>
          <w:rFonts w:ascii="Garamond" w:hAnsi="Garamond"/>
          <w:sz w:val="24"/>
          <w:szCs w:val="24"/>
        </w:rPr>
        <w:t>Formação</w:t>
      </w:r>
      <w:r w:rsidR="00DD569C" w:rsidRPr="000D7B87">
        <w:rPr>
          <w:rFonts w:ascii="Garamond" w:hAnsi="Garamond"/>
          <w:sz w:val="24"/>
          <w:szCs w:val="24"/>
        </w:rPr>
        <w:t>/</w:t>
      </w:r>
      <w:r w:rsidR="00976FB8" w:rsidRPr="000D7B87">
        <w:rPr>
          <w:rFonts w:ascii="Garamond" w:hAnsi="Garamond"/>
          <w:sz w:val="24"/>
          <w:szCs w:val="24"/>
        </w:rPr>
        <w:t>sensibilização</w:t>
      </w:r>
      <w:r w:rsidR="00DD569C" w:rsidRPr="000D7B87">
        <w:rPr>
          <w:rFonts w:ascii="Garamond" w:hAnsi="Garamond"/>
          <w:sz w:val="24"/>
          <w:szCs w:val="24"/>
        </w:rPr>
        <w:t xml:space="preserve"> </w:t>
      </w:r>
      <w:r w:rsidR="00443084" w:rsidRPr="000D7B87">
        <w:rPr>
          <w:rFonts w:ascii="Garamond" w:hAnsi="Garamond"/>
          <w:sz w:val="24"/>
          <w:szCs w:val="24"/>
        </w:rPr>
        <w:t xml:space="preserve">de </w:t>
      </w:r>
      <w:r w:rsidR="003E6403" w:rsidRPr="000D7B87">
        <w:rPr>
          <w:rFonts w:ascii="Garamond" w:hAnsi="Garamond"/>
          <w:sz w:val="24"/>
          <w:szCs w:val="24"/>
        </w:rPr>
        <w:t>funcionári</w:t>
      </w:r>
      <w:r w:rsidR="00DD569C" w:rsidRPr="000D7B87">
        <w:rPr>
          <w:rFonts w:ascii="Garamond" w:hAnsi="Garamond"/>
          <w:sz w:val="24"/>
          <w:szCs w:val="24"/>
        </w:rPr>
        <w:t xml:space="preserve">os </w:t>
      </w:r>
      <w:r w:rsidR="00E85E59" w:rsidRPr="000D7B87">
        <w:rPr>
          <w:rFonts w:ascii="Garamond" w:hAnsi="Garamond"/>
          <w:sz w:val="24"/>
          <w:szCs w:val="24"/>
        </w:rPr>
        <w:t>do</w:t>
      </w:r>
      <w:r w:rsidR="00DD569C" w:rsidRPr="000D7B87">
        <w:rPr>
          <w:rFonts w:ascii="Garamond" w:hAnsi="Garamond"/>
          <w:sz w:val="24"/>
          <w:szCs w:val="24"/>
        </w:rPr>
        <w:t xml:space="preserve"> </w:t>
      </w:r>
      <w:r w:rsidR="000D7B87" w:rsidRPr="000D7B87">
        <w:rPr>
          <w:rFonts w:ascii="Garamond" w:hAnsi="Garamond"/>
          <w:sz w:val="24"/>
          <w:szCs w:val="24"/>
        </w:rPr>
        <w:t>S</w:t>
      </w:r>
      <w:r w:rsidR="00DD569C" w:rsidRPr="000D7B87">
        <w:rPr>
          <w:rFonts w:ascii="Garamond" w:hAnsi="Garamond"/>
          <w:sz w:val="24"/>
          <w:szCs w:val="24"/>
        </w:rPr>
        <w:t xml:space="preserve">istema de </w:t>
      </w:r>
      <w:r w:rsidR="00420347" w:rsidRPr="000D7B87">
        <w:rPr>
          <w:rFonts w:ascii="Garamond" w:hAnsi="Garamond"/>
          <w:sz w:val="24"/>
          <w:szCs w:val="24"/>
        </w:rPr>
        <w:t>Judicial</w:t>
      </w:r>
    </w:p>
    <w:p w:rsidR="00823BE0" w:rsidRPr="003A1174" w:rsidRDefault="007C4A71" w:rsidP="008719D4">
      <w:pPr>
        <w:pStyle w:val="NormalWeb"/>
        <w:spacing w:before="240" w:beforeAutospacing="0"/>
        <w:jc w:val="both"/>
        <w:rPr>
          <w:rFonts w:ascii="Garamond" w:hAnsi="Garamond" w:cs="Arial"/>
          <w:lang w:val="pt-PT"/>
        </w:rPr>
      </w:pPr>
      <w:r w:rsidRPr="002A0660">
        <w:rPr>
          <w:rFonts w:ascii="Garamond" w:hAnsi="Garamond" w:cs="Arial"/>
          <w:lang w:val="pt-PT"/>
        </w:rPr>
        <w:t>A</w:t>
      </w:r>
      <w:r w:rsidR="00823BE0" w:rsidRPr="002A0660">
        <w:rPr>
          <w:rFonts w:ascii="Garamond" w:hAnsi="Garamond" w:cs="Arial"/>
          <w:lang w:val="pt-PT"/>
        </w:rPr>
        <w:t xml:space="preserve"> </w:t>
      </w:r>
      <w:r w:rsidR="006C6E85" w:rsidRPr="002A0660">
        <w:rPr>
          <w:rFonts w:ascii="Garamond" w:hAnsi="Garamond" w:cs="Arial"/>
          <w:lang w:val="pt-PT"/>
        </w:rPr>
        <w:t>Provedoria</w:t>
      </w:r>
      <w:r w:rsidRPr="002A0660">
        <w:rPr>
          <w:rFonts w:ascii="Garamond" w:hAnsi="Garamond" w:cs="Arial"/>
          <w:lang w:val="pt-PT"/>
        </w:rPr>
        <w:t xml:space="preserve"> Delegada para </w:t>
      </w:r>
      <w:r w:rsidR="00823BE0" w:rsidRPr="002A0660">
        <w:rPr>
          <w:rFonts w:ascii="Garamond" w:hAnsi="Garamond" w:cs="Arial"/>
          <w:lang w:val="pt-PT"/>
        </w:rPr>
        <w:t xml:space="preserve">os </w:t>
      </w:r>
      <w:r w:rsidR="00886D6A" w:rsidRPr="002A0660">
        <w:rPr>
          <w:rFonts w:ascii="Garamond" w:hAnsi="Garamond" w:cs="Arial"/>
          <w:lang w:val="pt-PT"/>
        </w:rPr>
        <w:t>Direito</w:t>
      </w:r>
      <w:r w:rsidR="00823BE0" w:rsidRPr="002A0660">
        <w:rPr>
          <w:rFonts w:ascii="Garamond" w:hAnsi="Garamond" w:cs="Arial"/>
          <w:lang w:val="pt-PT"/>
        </w:rPr>
        <w:t xml:space="preserve">s </w:t>
      </w:r>
      <w:r w:rsidR="00497503" w:rsidRPr="002A0660">
        <w:rPr>
          <w:rFonts w:ascii="Garamond" w:hAnsi="Garamond" w:cs="Arial"/>
          <w:lang w:val="pt-PT"/>
        </w:rPr>
        <w:t>das</w:t>
      </w:r>
      <w:r w:rsidR="00823BE0" w:rsidRPr="002A0660">
        <w:rPr>
          <w:rFonts w:ascii="Garamond" w:hAnsi="Garamond" w:cs="Arial"/>
          <w:lang w:val="pt-PT"/>
        </w:rPr>
        <w:t xml:space="preserve"> </w:t>
      </w:r>
      <w:r w:rsidR="00054EE0" w:rsidRPr="002A0660">
        <w:rPr>
          <w:rFonts w:ascii="Garamond" w:hAnsi="Garamond" w:cs="Arial"/>
          <w:lang w:val="pt-PT"/>
        </w:rPr>
        <w:t>Mulheres</w:t>
      </w:r>
      <w:r w:rsidR="00823BE0" w:rsidRPr="002A0660">
        <w:rPr>
          <w:rFonts w:ascii="Garamond" w:hAnsi="Garamond" w:cs="Arial"/>
          <w:lang w:val="pt-PT"/>
        </w:rPr>
        <w:t xml:space="preserve"> </w:t>
      </w:r>
      <w:r w:rsidR="000672E8" w:rsidRPr="002A0660">
        <w:rPr>
          <w:rFonts w:ascii="Garamond" w:hAnsi="Garamond" w:cs="Arial"/>
          <w:lang w:val="pt-PT"/>
        </w:rPr>
        <w:t>e</w:t>
      </w:r>
      <w:r w:rsidR="00823BE0" w:rsidRPr="002A0660">
        <w:rPr>
          <w:rFonts w:ascii="Garamond" w:hAnsi="Garamond" w:cs="Arial"/>
          <w:lang w:val="pt-PT"/>
        </w:rPr>
        <w:t xml:space="preserve"> os </w:t>
      </w:r>
      <w:r w:rsidR="00973DDE" w:rsidRPr="002A0660">
        <w:rPr>
          <w:rFonts w:ascii="Garamond" w:hAnsi="Garamond" w:cs="Arial"/>
          <w:lang w:val="pt-PT"/>
        </w:rPr>
        <w:t>Assunto</w:t>
      </w:r>
      <w:r w:rsidR="00823BE0" w:rsidRPr="002A0660">
        <w:rPr>
          <w:rFonts w:ascii="Garamond" w:hAnsi="Garamond" w:cs="Arial"/>
          <w:lang w:val="pt-PT"/>
        </w:rPr>
        <w:t xml:space="preserve">s de Género, </w:t>
      </w:r>
      <w:r w:rsidR="00AB6522" w:rsidRPr="002A0660">
        <w:rPr>
          <w:rFonts w:ascii="Garamond" w:hAnsi="Garamond" w:cs="Arial"/>
          <w:lang w:val="pt-PT"/>
        </w:rPr>
        <w:t>encontra</w:t>
      </w:r>
      <w:r w:rsidRPr="002A0660">
        <w:rPr>
          <w:rFonts w:ascii="Garamond" w:hAnsi="Garamond" w:cs="Arial"/>
          <w:lang w:val="pt-PT"/>
        </w:rPr>
        <w:t>-se na fase final d</w:t>
      </w:r>
      <w:r w:rsidR="00420347" w:rsidRPr="002A0660">
        <w:rPr>
          <w:rFonts w:ascii="Garamond" w:hAnsi="Garamond" w:cs="Arial"/>
          <w:lang w:val="pt-PT"/>
        </w:rPr>
        <w:t>e</w:t>
      </w:r>
      <w:r w:rsidR="00823BE0" w:rsidRPr="002A0660">
        <w:rPr>
          <w:rFonts w:ascii="Garamond" w:hAnsi="Garamond" w:cs="Arial"/>
          <w:lang w:val="pt-PT"/>
        </w:rPr>
        <w:t xml:space="preserve"> </w:t>
      </w:r>
      <w:r w:rsidR="00EB78D9" w:rsidRPr="002A0660">
        <w:rPr>
          <w:rFonts w:ascii="Garamond" w:hAnsi="Garamond" w:cs="Arial"/>
          <w:lang w:val="pt-PT"/>
        </w:rPr>
        <w:t>execução</w:t>
      </w:r>
      <w:r w:rsidRPr="002A0660">
        <w:rPr>
          <w:rFonts w:ascii="Garamond" w:hAnsi="Garamond" w:cs="Arial"/>
          <w:lang w:val="pt-PT"/>
        </w:rPr>
        <w:t xml:space="preserve"> de um</w:t>
      </w:r>
      <w:r w:rsidR="00823BE0" w:rsidRPr="002A0660">
        <w:rPr>
          <w:rFonts w:ascii="Garamond" w:hAnsi="Garamond" w:cs="Arial"/>
          <w:lang w:val="pt-PT"/>
        </w:rPr>
        <w:t xml:space="preserve"> </w:t>
      </w:r>
      <w:r w:rsidR="00C30647" w:rsidRPr="002A0660">
        <w:rPr>
          <w:rFonts w:ascii="Garamond" w:hAnsi="Garamond" w:cs="Arial"/>
          <w:lang w:val="pt-PT"/>
        </w:rPr>
        <w:t>projeto</w:t>
      </w:r>
      <w:r w:rsidR="00823BE0" w:rsidRPr="002A0660">
        <w:rPr>
          <w:rFonts w:ascii="Garamond" w:hAnsi="Garamond" w:cs="Arial"/>
          <w:lang w:val="pt-PT"/>
        </w:rPr>
        <w:t xml:space="preserve"> denominado </w:t>
      </w:r>
      <w:r w:rsidR="00420347" w:rsidRPr="002A0660">
        <w:rPr>
          <w:rFonts w:ascii="Garamond" w:hAnsi="Garamond" w:cs="Arial"/>
          <w:lang w:val="pt-PT"/>
        </w:rPr>
        <w:t>«</w:t>
      </w:r>
      <w:r w:rsidR="00C30647" w:rsidRPr="002A0660">
        <w:rPr>
          <w:rFonts w:ascii="Garamond" w:hAnsi="Garamond" w:cs="Arial"/>
          <w:lang w:val="pt-PT"/>
        </w:rPr>
        <w:t>Projeto</w:t>
      </w:r>
      <w:r w:rsidRPr="002A0660">
        <w:rPr>
          <w:rFonts w:ascii="Garamond" w:hAnsi="Garamond" w:cs="Arial"/>
          <w:lang w:val="pt-PT"/>
        </w:rPr>
        <w:t xml:space="preserve"> </w:t>
      </w:r>
      <w:r w:rsidR="00420347" w:rsidRPr="002A0660">
        <w:rPr>
          <w:rFonts w:ascii="Garamond" w:hAnsi="Garamond" w:cs="Arial"/>
          <w:lang w:val="pt-PT"/>
        </w:rPr>
        <w:t xml:space="preserve">de </w:t>
      </w:r>
      <w:r w:rsidR="00606CEE" w:rsidRPr="002A0660">
        <w:rPr>
          <w:rFonts w:ascii="Garamond" w:hAnsi="Garamond" w:cs="Arial"/>
          <w:lang w:val="pt-PT"/>
        </w:rPr>
        <w:t>Adequação</w:t>
      </w:r>
      <w:r w:rsidR="00823BE0" w:rsidRPr="002A0660">
        <w:rPr>
          <w:rFonts w:ascii="Garamond" w:hAnsi="Garamond" w:cs="Arial"/>
          <w:lang w:val="pt-PT"/>
        </w:rPr>
        <w:t xml:space="preserve"> Institucional </w:t>
      </w:r>
      <w:r w:rsidR="00C47F32" w:rsidRPr="002A0660">
        <w:rPr>
          <w:rFonts w:ascii="Garamond" w:hAnsi="Garamond" w:cs="Arial"/>
          <w:lang w:val="pt-PT"/>
        </w:rPr>
        <w:t>d</w:t>
      </w:r>
      <w:r w:rsidRPr="002A0660">
        <w:rPr>
          <w:rFonts w:ascii="Garamond" w:hAnsi="Garamond" w:cs="Arial"/>
          <w:lang w:val="pt-PT"/>
        </w:rPr>
        <w:t xml:space="preserve">o </w:t>
      </w:r>
      <w:r w:rsidR="00886D6A" w:rsidRPr="002A0660">
        <w:rPr>
          <w:rFonts w:ascii="Garamond" w:hAnsi="Garamond" w:cs="Arial"/>
          <w:lang w:val="pt-PT"/>
        </w:rPr>
        <w:t>Acesso</w:t>
      </w:r>
      <w:r w:rsidR="00823BE0" w:rsidRPr="002A0660">
        <w:rPr>
          <w:rFonts w:ascii="Garamond" w:hAnsi="Garamond" w:cs="Arial"/>
          <w:lang w:val="pt-PT"/>
        </w:rPr>
        <w:t xml:space="preserve"> </w:t>
      </w:r>
      <w:r w:rsidR="00BB2B00" w:rsidRPr="002A0660">
        <w:rPr>
          <w:rFonts w:ascii="Garamond" w:hAnsi="Garamond" w:cs="Arial"/>
          <w:lang w:val="pt-PT"/>
        </w:rPr>
        <w:t>à</w:t>
      </w:r>
      <w:r w:rsidR="00823BE0" w:rsidRPr="002A0660">
        <w:rPr>
          <w:rFonts w:ascii="Garamond" w:hAnsi="Garamond" w:cs="Arial"/>
          <w:lang w:val="pt-PT"/>
        </w:rPr>
        <w:t xml:space="preserve"> </w:t>
      </w:r>
      <w:r w:rsidR="00FC1F7F" w:rsidRPr="002A0660">
        <w:rPr>
          <w:rFonts w:ascii="Garamond" w:hAnsi="Garamond" w:cs="Arial"/>
          <w:lang w:val="pt-PT"/>
        </w:rPr>
        <w:t>Justiça</w:t>
      </w:r>
      <w:r w:rsidR="00823BE0" w:rsidRPr="002A0660">
        <w:rPr>
          <w:rFonts w:ascii="Garamond" w:hAnsi="Garamond" w:cs="Arial"/>
          <w:lang w:val="pt-PT"/>
        </w:rPr>
        <w:t xml:space="preserve"> </w:t>
      </w:r>
      <w:r w:rsidR="00C47F32" w:rsidRPr="002A0660">
        <w:rPr>
          <w:rFonts w:ascii="Garamond" w:hAnsi="Garamond" w:cs="Arial"/>
          <w:lang w:val="pt-PT"/>
        </w:rPr>
        <w:t>pelas</w:t>
      </w:r>
      <w:r w:rsidR="00823BE0" w:rsidRPr="002A0660">
        <w:rPr>
          <w:rFonts w:ascii="Garamond" w:hAnsi="Garamond" w:cs="Arial"/>
          <w:lang w:val="pt-PT"/>
        </w:rPr>
        <w:t xml:space="preserve"> </w:t>
      </w:r>
      <w:r w:rsidR="00054EE0" w:rsidRPr="002A0660">
        <w:rPr>
          <w:rFonts w:ascii="Garamond" w:hAnsi="Garamond" w:cs="Arial"/>
          <w:lang w:val="pt-PT"/>
        </w:rPr>
        <w:t>mulheres</w:t>
      </w:r>
      <w:r w:rsidR="00823BE0" w:rsidRPr="002A0660">
        <w:rPr>
          <w:rFonts w:ascii="Garamond" w:hAnsi="Garamond" w:cs="Arial"/>
          <w:lang w:val="pt-PT"/>
        </w:rPr>
        <w:t xml:space="preserve"> </w:t>
      </w:r>
      <w:r w:rsidR="003F012B" w:rsidRPr="002A0660">
        <w:rPr>
          <w:rFonts w:ascii="Garamond" w:hAnsi="Garamond" w:cs="Arial"/>
          <w:lang w:val="pt-PT"/>
        </w:rPr>
        <w:t>vítima</w:t>
      </w:r>
      <w:r w:rsidR="00823BE0" w:rsidRPr="002A0660">
        <w:rPr>
          <w:rFonts w:ascii="Garamond" w:hAnsi="Garamond" w:cs="Arial"/>
          <w:lang w:val="pt-PT"/>
        </w:rPr>
        <w:t>s</w:t>
      </w:r>
      <w:r w:rsidR="00420347" w:rsidRPr="002A0660">
        <w:rPr>
          <w:rFonts w:ascii="Garamond" w:hAnsi="Garamond" w:cs="Arial"/>
          <w:lang w:val="pt-PT"/>
        </w:rPr>
        <w:t>»</w:t>
      </w:r>
      <w:r w:rsidR="00823BE0" w:rsidRPr="002A0660">
        <w:rPr>
          <w:rFonts w:ascii="Garamond" w:hAnsi="Garamond" w:cs="Arial"/>
          <w:i/>
          <w:lang w:val="pt-PT"/>
        </w:rPr>
        <w:t xml:space="preserve">, </w:t>
      </w:r>
      <w:r w:rsidR="00420347" w:rsidRPr="002A0660">
        <w:rPr>
          <w:rFonts w:ascii="Garamond" w:hAnsi="Garamond" w:cs="Arial"/>
          <w:lang w:val="pt-PT"/>
        </w:rPr>
        <w:t xml:space="preserve">que virá a </w:t>
      </w:r>
      <w:r w:rsidR="002A0660">
        <w:rPr>
          <w:rFonts w:ascii="Garamond" w:hAnsi="Garamond" w:cs="Arial"/>
          <w:lang w:val="pt-PT"/>
        </w:rPr>
        <w:t>ser</w:t>
      </w:r>
      <w:r w:rsidR="00EA2345">
        <w:rPr>
          <w:rFonts w:ascii="Garamond" w:hAnsi="Garamond" w:cs="Arial"/>
          <w:lang w:val="pt-PT"/>
        </w:rPr>
        <w:t xml:space="preserve"> </w:t>
      </w:r>
      <w:r w:rsidR="002A0660">
        <w:rPr>
          <w:rFonts w:ascii="Garamond" w:hAnsi="Garamond" w:cs="Arial"/>
          <w:lang w:val="pt-PT"/>
        </w:rPr>
        <w:t>designado</w:t>
      </w:r>
      <w:r w:rsidR="00420347" w:rsidRPr="002A0660">
        <w:rPr>
          <w:rFonts w:ascii="Garamond" w:hAnsi="Garamond" w:cs="Arial"/>
          <w:lang w:val="pt-PT"/>
        </w:rPr>
        <w:t>,</w:t>
      </w:r>
      <w:r w:rsidR="00823BE0" w:rsidRPr="002A0660">
        <w:rPr>
          <w:rFonts w:ascii="Garamond" w:hAnsi="Garamond" w:cs="Arial"/>
          <w:lang w:val="pt-PT"/>
        </w:rPr>
        <w:t xml:space="preserve"> brevemente</w:t>
      </w:r>
      <w:r w:rsidR="00420347" w:rsidRPr="002A0660">
        <w:rPr>
          <w:rFonts w:ascii="Garamond" w:hAnsi="Garamond" w:cs="Arial"/>
          <w:lang w:val="pt-PT"/>
        </w:rPr>
        <w:t>,</w:t>
      </w:r>
      <w:r w:rsidR="00823BE0" w:rsidRPr="002A0660">
        <w:rPr>
          <w:rFonts w:ascii="Garamond" w:hAnsi="Garamond" w:cs="Arial"/>
          <w:lang w:val="pt-PT"/>
        </w:rPr>
        <w:t xml:space="preserve"> como </w:t>
      </w:r>
      <w:r w:rsidR="00C47F32" w:rsidRPr="002A0660">
        <w:rPr>
          <w:rFonts w:ascii="Garamond" w:hAnsi="Garamond" w:cs="Arial"/>
          <w:lang w:val="pt-PT"/>
        </w:rPr>
        <w:t>«</w:t>
      </w:r>
      <w:r w:rsidR="00C30647" w:rsidRPr="002A0660">
        <w:rPr>
          <w:rFonts w:ascii="Garamond" w:hAnsi="Garamond" w:cs="Arial"/>
          <w:lang w:val="pt-PT"/>
        </w:rPr>
        <w:t>Projeto</w:t>
      </w:r>
      <w:r w:rsidR="00823BE0" w:rsidRPr="002A0660">
        <w:rPr>
          <w:rFonts w:ascii="Garamond" w:hAnsi="Garamond" w:cs="Arial"/>
          <w:lang w:val="pt-PT"/>
        </w:rPr>
        <w:t xml:space="preserve"> Holanda</w:t>
      </w:r>
      <w:r w:rsidR="00C47F32" w:rsidRPr="002A0660">
        <w:rPr>
          <w:rFonts w:ascii="Garamond" w:hAnsi="Garamond" w:cs="Arial"/>
          <w:lang w:val="pt-PT"/>
        </w:rPr>
        <w:t>»</w:t>
      </w:r>
      <w:r w:rsidR="00823BE0" w:rsidRPr="002A0660">
        <w:rPr>
          <w:rFonts w:ascii="Garamond" w:hAnsi="Garamond" w:cs="Arial"/>
          <w:i/>
          <w:lang w:val="pt-PT"/>
        </w:rPr>
        <w:t>,</w:t>
      </w:r>
      <w:r w:rsidR="00823BE0" w:rsidRPr="002A0660">
        <w:rPr>
          <w:rFonts w:ascii="Garamond" w:hAnsi="Garamond" w:cs="Arial"/>
          <w:lang w:val="pt-PT"/>
        </w:rPr>
        <w:t xml:space="preserve"> </w:t>
      </w:r>
      <w:r w:rsidRPr="002A0660">
        <w:rPr>
          <w:rFonts w:ascii="Garamond" w:hAnsi="Garamond" w:cs="Arial"/>
          <w:lang w:val="pt-PT"/>
        </w:rPr>
        <w:t xml:space="preserve">concebido e </w:t>
      </w:r>
      <w:r w:rsidR="00823BE0" w:rsidRPr="002A0660">
        <w:rPr>
          <w:rFonts w:ascii="Garamond" w:hAnsi="Garamond" w:cs="Arial"/>
          <w:lang w:val="pt-PT"/>
        </w:rPr>
        <w:t>implementado por esta Delegada, co</w:t>
      </w:r>
      <w:r w:rsidRPr="002A0660">
        <w:rPr>
          <w:rFonts w:ascii="Garamond" w:hAnsi="Garamond" w:cs="Arial"/>
          <w:lang w:val="pt-PT"/>
        </w:rPr>
        <w:t xml:space="preserve">m o </w:t>
      </w:r>
      <w:r w:rsidR="00606CEE" w:rsidRPr="002A0660">
        <w:rPr>
          <w:rFonts w:ascii="Garamond" w:hAnsi="Garamond" w:cs="Arial"/>
          <w:lang w:val="pt-PT"/>
        </w:rPr>
        <w:t>financiamento</w:t>
      </w:r>
      <w:r w:rsidR="00823BE0" w:rsidRPr="002A0660">
        <w:rPr>
          <w:rFonts w:ascii="Garamond" w:hAnsi="Garamond" w:cs="Arial"/>
          <w:lang w:val="pt-PT"/>
        </w:rPr>
        <w:t xml:space="preserve"> da </w:t>
      </w:r>
      <w:r w:rsidR="00606CEE" w:rsidRPr="002A0660">
        <w:rPr>
          <w:rFonts w:ascii="Garamond" w:hAnsi="Garamond" w:cs="Arial"/>
          <w:lang w:val="pt-PT"/>
        </w:rPr>
        <w:t>Embaixada</w:t>
      </w:r>
      <w:r w:rsidR="00823BE0" w:rsidRPr="002A0660">
        <w:rPr>
          <w:rFonts w:ascii="Garamond" w:hAnsi="Garamond" w:cs="Arial"/>
          <w:lang w:val="pt-PT"/>
        </w:rPr>
        <w:t xml:space="preserve"> </w:t>
      </w:r>
      <w:r w:rsidR="00E85E59" w:rsidRPr="002A0660">
        <w:rPr>
          <w:rFonts w:ascii="Garamond" w:hAnsi="Garamond" w:cs="Arial"/>
          <w:lang w:val="pt-PT"/>
        </w:rPr>
        <w:t>do</w:t>
      </w:r>
      <w:r w:rsidR="00823BE0" w:rsidRPr="002A0660">
        <w:rPr>
          <w:rFonts w:ascii="Garamond" w:hAnsi="Garamond" w:cs="Arial"/>
          <w:lang w:val="pt-PT"/>
        </w:rPr>
        <w:t xml:space="preserve"> Reino </w:t>
      </w:r>
      <w:r w:rsidR="00497503" w:rsidRPr="002A0660">
        <w:rPr>
          <w:rFonts w:ascii="Garamond" w:hAnsi="Garamond" w:cs="Arial"/>
          <w:lang w:val="pt-PT"/>
        </w:rPr>
        <w:t>dos</w:t>
      </w:r>
      <w:r w:rsidR="00823BE0" w:rsidRPr="002A0660">
        <w:rPr>
          <w:rFonts w:ascii="Garamond" w:hAnsi="Garamond" w:cs="Arial"/>
          <w:lang w:val="pt-PT"/>
        </w:rPr>
        <w:t xml:space="preserve"> Países </w:t>
      </w:r>
      <w:r w:rsidR="00606CEE" w:rsidRPr="002A0660">
        <w:rPr>
          <w:rFonts w:ascii="Garamond" w:hAnsi="Garamond" w:cs="Arial"/>
          <w:lang w:val="pt-PT"/>
        </w:rPr>
        <w:t>Baixos</w:t>
      </w:r>
      <w:r w:rsidR="00823BE0" w:rsidRPr="002A0660">
        <w:rPr>
          <w:rFonts w:ascii="Garamond" w:hAnsi="Garamond" w:cs="Arial"/>
          <w:lang w:val="pt-PT"/>
        </w:rPr>
        <w:t xml:space="preserve"> (Holanda), </w:t>
      </w:r>
      <w:r w:rsidR="000672E8" w:rsidRPr="002A0660">
        <w:rPr>
          <w:rFonts w:ascii="Garamond" w:hAnsi="Garamond" w:cs="Arial"/>
          <w:lang w:val="pt-PT"/>
        </w:rPr>
        <w:t>e</w:t>
      </w:r>
      <w:r w:rsidR="00823BE0" w:rsidRPr="002A0660">
        <w:rPr>
          <w:rFonts w:ascii="Garamond" w:hAnsi="Garamond" w:cs="Arial"/>
          <w:lang w:val="pt-PT"/>
        </w:rPr>
        <w:t xml:space="preserve"> que se </w:t>
      </w:r>
      <w:r w:rsidR="00C53F5E" w:rsidRPr="002A0660">
        <w:rPr>
          <w:rFonts w:ascii="Garamond" w:hAnsi="Garamond" w:cs="Arial"/>
          <w:lang w:val="pt-PT"/>
        </w:rPr>
        <w:t xml:space="preserve">destina </w:t>
      </w:r>
      <w:r w:rsidR="00823BE0" w:rsidRPr="002A0660">
        <w:rPr>
          <w:rFonts w:ascii="Garamond" w:hAnsi="Garamond" w:cs="Arial"/>
          <w:lang w:val="pt-PT"/>
        </w:rPr>
        <w:t>a</w:t>
      </w:r>
      <w:r w:rsidRPr="002A0660">
        <w:rPr>
          <w:rFonts w:ascii="Garamond" w:hAnsi="Garamond" w:cs="Arial"/>
          <w:lang w:val="pt-PT"/>
        </w:rPr>
        <w:t>o</w:t>
      </w:r>
      <w:r w:rsidR="00823BE0" w:rsidRPr="002A0660">
        <w:rPr>
          <w:rFonts w:ascii="Garamond" w:hAnsi="Garamond" w:cs="Arial"/>
          <w:lang w:val="pt-PT"/>
        </w:rPr>
        <w:t xml:space="preserve"> r</w:t>
      </w:r>
      <w:r w:rsidR="002D1021" w:rsidRPr="002A0660">
        <w:rPr>
          <w:rFonts w:ascii="Garamond" w:hAnsi="Garamond" w:cs="Arial"/>
          <w:lang w:val="pt-PT"/>
        </w:rPr>
        <w:t>estabelecimento</w:t>
      </w:r>
      <w:r w:rsidR="00823BE0" w:rsidRPr="002A0660">
        <w:rPr>
          <w:rFonts w:ascii="Garamond" w:hAnsi="Garamond" w:cs="Arial"/>
          <w:lang w:val="pt-PT"/>
        </w:rPr>
        <w:t xml:space="preserve"> </w:t>
      </w:r>
      <w:r w:rsidR="00497503" w:rsidRPr="002A0660">
        <w:rPr>
          <w:rFonts w:ascii="Garamond" w:hAnsi="Garamond" w:cs="Arial"/>
          <w:lang w:val="pt-PT"/>
        </w:rPr>
        <w:t>dos</w:t>
      </w:r>
      <w:r w:rsidR="00823BE0" w:rsidRPr="002A0660">
        <w:rPr>
          <w:rFonts w:ascii="Garamond" w:hAnsi="Garamond" w:cs="Arial"/>
          <w:lang w:val="pt-PT"/>
        </w:rPr>
        <w:t xml:space="preserve"> </w:t>
      </w:r>
      <w:r w:rsidR="00886D6A" w:rsidRPr="002A0660">
        <w:rPr>
          <w:rFonts w:ascii="Garamond" w:hAnsi="Garamond" w:cs="Arial"/>
          <w:lang w:val="pt-PT"/>
        </w:rPr>
        <w:t>Direito</w:t>
      </w:r>
      <w:r w:rsidR="00823BE0" w:rsidRPr="002A0660">
        <w:rPr>
          <w:rFonts w:ascii="Garamond" w:hAnsi="Garamond" w:cs="Arial"/>
          <w:lang w:val="pt-PT"/>
        </w:rPr>
        <w:t xml:space="preserve">s </w:t>
      </w:r>
      <w:r w:rsidR="00497503" w:rsidRPr="002A0660">
        <w:rPr>
          <w:rFonts w:ascii="Garamond" w:hAnsi="Garamond" w:cs="Arial"/>
          <w:lang w:val="pt-PT"/>
        </w:rPr>
        <w:t>das</w:t>
      </w:r>
      <w:r w:rsidR="00823BE0" w:rsidRPr="002A0660">
        <w:rPr>
          <w:rFonts w:ascii="Garamond" w:hAnsi="Garamond" w:cs="Arial"/>
          <w:lang w:val="pt-PT"/>
        </w:rPr>
        <w:t xml:space="preserve"> </w:t>
      </w:r>
      <w:r w:rsidR="00054EE0" w:rsidRPr="002A0660">
        <w:rPr>
          <w:rFonts w:ascii="Garamond" w:hAnsi="Garamond" w:cs="Arial"/>
          <w:lang w:val="pt-PT"/>
        </w:rPr>
        <w:t>Mulheres</w:t>
      </w:r>
      <w:r w:rsidR="00823BE0" w:rsidRPr="002A0660">
        <w:rPr>
          <w:rFonts w:ascii="Garamond" w:hAnsi="Garamond" w:cs="Arial"/>
          <w:lang w:val="pt-PT"/>
        </w:rPr>
        <w:t xml:space="preserve">, </w:t>
      </w:r>
      <w:r w:rsidR="00C53F5E" w:rsidRPr="002A0660">
        <w:rPr>
          <w:rFonts w:ascii="Garamond" w:hAnsi="Garamond" w:cs="Arial"/>
          <w:lang w:val="pt-PT"/>
        </w:rPr>
        <w:t>C</w:t>
      </w:r>
      <w:r w:rsidR="00964875" w:rsidRPr="002A0660">
        <w:rPr>
          <w:rFonts w:ascii="Garamond" w:hAnsi="Garamond" w:cs="Arial"/>
          <w:lang w:val="pt-PT"/>
        </w:rPr>
        <w:t>rianças</w:t>
      </w:r>
      <w:r w:rsidR="00823BE0" w:rsidRPr="002A0660">
        <w:rPr>
          <w:rFonts w:ascii="Garamond" w:hAnsi="Garamond" w:cs="Arial"/>
          <w:lang w:val="pt-PT"/>
        </w:rPr>
        <w:t xml:space="preserve"> </w:t>
      </w:r>
      <w:r w:rsidR="000672E8" w:rsidRPr="002A0660">
        <w:rPr>
          <w:rFonts w:ascii="Garamond" w:hAnsi="Garamond" w:cs="Arial"/>
          <w:lang w:val="pt-PT"/>
        </w:rPr>
        <w:t>e</w:t>
      </w:r>
      <w:r w:rsidR="00823BE0" w:rsidRPr="002A0660">
        <w:rPr>
          <w:rFonts w:ascii="Garamond" w:hAnsi="Garamond" w:cs="Arial"/>
          <w:lang w:val="pt-PT"/>
        </w:rPr>
        <w:t xml:space="preserve"> </w:t>
      </w:r>
      <w:r w:rsidR="00C53F5E" w:rsidRPr="002A0660">
        <w:rPr>
          <w:rFonts w:ascii="Garamond" w:hAnsi="Garamond" w:cs="Arial"/>
          <w:lang w:val="pt-PT"/>
        </w:rPr>
        <w:t>A</w:t>
      </w:r>
      <w:r w:rsidR="00823BE0" w:rsidRPr="002A0660">
        <w:rPr>
          <w:rFonts w:ascii="Garamond" w:hAnsi="Garamond" w:cs="Arial"/>
          <w:lang w:val="pt-PT"/>
        </w:rPr>
        <w:t xml:space="preserve">dolescentes </w:t>
      </w:r>
      <w:r w:rsidR="003F012B" w:rsidRPr="002A0660">
        <w:rPr>
          <w:rFonts w:ascii="Garamond" w:hAnsi="Garamond" w:cs="Arial"/>
          <w:lang w:val="pt-PT"/>
        </w:rPr>
        <w:t>vítima</w:t>
      </w:r>
      <w:r w:rsidR="00823BE0" w:rsidRPr="002A0660">
        <w:rPr>
          <w:rFonts w:ascii="Garamond" w:hAnsi="Garamond" w:cs="Arial"/>
          <w:lang w:val="pt-PT"/>
        </w:rPr>
        <w:t xml:space="preserve">s de diferentes tipos de </w:t>
      </w:r>
      <w:r w:rsidR="000350B1" w:rsidRPr="002A0660">
        <w:rPr>
          <w:rFonts w:ascii="Garamond" w:hAnsi="Garamond" w:cs="Arial"/>
          <w:lang w:val="pt-PT"/>
        </w:rPr>
        <w:t>violência</w:t>
      </w:r>
      <w:r w:rsidR="00C83595" w:rsidRPr="002A0660">
        <w:rPr>
          <w:rFonts w:ascii="Garamond" w:hAnsi="Garamond" w:cs="Arial"/>
          <w:lang w:val="pt-PT"/>
        </w:rPr>
        <w:t>,</w:t>
      </w:r>
      <w:r w:rsidR="00823BE0" w:rsidRPr="002A0660">
        <w:rPr>
          <w:rFonts w:ascii="Garamond" w:hAnsi="Garamond" w:cs="Arial"/>
          <w:lang w:val="pt-PT"/>
        </w:rPr>
        <w:t xml:space="preserve"> co</w:t>
      </w:r>
      <w:r w:rsidRPr="002A0660">
        <w:rPr>
          <w:rFonts w:ascii="Garamond" w:hAnsi="Garamond" w:cs="Arial"/>
          <w:lang w:val="pt-PT"/>
        </w:rPr>
        <w:t>m</w:t>
      </w:r>
      <w:r w:rsidR="00823BE0" w:rsidRPr="002A0660">
        <w:rPr>
          <w:rFonts w:ascii="Garamond" w:hAnsi="Garamond" w:cs="Arial"/>
          <w:lang w:val="pt-PT"/>
        </w:rPr>
        <w:t xml:space="preserve"> </w:t>
      </w:r>
      <w:r w:rsidR="00964875" w:rsidRPr="002A0660">
        <w:rPr>
          <w:rFonts w:ascii="Garamond" w:hAnsi="Garamond" w:cs="Arial"/>
          <w:lang w:val="pt-PT"/>
        </w:rPr>
        <w:t>ênfase</w:t>
      </w:r>
      <w:r w:rsidR="00823BE0" w:rsidRPr="002A0660">
        <w:rPr>
          <w:rFonts w:ascii="Garamond" w:hAnsi="Garamond" w:cs="Arial"/>
          <w:lang w:val="pt-PT"/>
        </w:rPr>
        <w:t xml:space="preserve"> </w:t>
      </w:r>
      <w:r w:rsidRPr="002A0660">
        <w:rPr>
          <w:rFonts w:ascii="Garamond" w:hAnsi="Garamond" w:cs="Arial"/>
          <w:lang w:val="pt-PT"/>
        </w:rPr>
        <w:t>n</w:t>
      </w:r>
      <w:r w:rsidR="00823BE0" w:rsidRPr="002A0660">
        <w:rPr>
          <w:rFonts w:ascii="Garamond" w:hAnsi="Garamond" w:cs="Arial"/>
          <w:lang w:val="pt-PT"/>
        </w:rPr>
        <w:t xml:space="preserve">a </w:t>
      </w:r>
      <w:r w:rsidR="000350B1" w:rsidRPr="002A0660">
        <w:rPr>
          <w:rFonts w:ascii="Garamond" w:hAnsi="Garamond" w:cs="Arial"/>
          <w:lang w:val="pt-PT"/>
        </w:rPr>
        <w:t>violência</w:t>
      </w:r>
      <w:r w:rsidR="00823BE0" w:rsidRPr="002A0660">
        <w:rPr>
          <w:rFonts w:ascii="Garamond" w:hAnsi="Garamond" w:cs="Arial"/>
          <w:lang w:val="pt-PT"/>
        </w:rPr>
        <w:t xml:space="preserve"> sexual, </w:t>
      </w:r>
      <w:r w:rsidRPr="002A0660">
        <w:rPr>
          <w:rFonts w:ascii="Garamond" w:hAnsi="Garamond" w:cs="Arial"/>
          <w:lang w:val="pt-PT"/>
        </w:rPr>
        <w:t xml:space="preserve">tentando que </w:t>
      </w:r>
      <w:r w:rsidR="00C53F5E" w:rsidRPr="002A0660">
        <w:rPr>
          <w:rFonts w:ascii="Garamond" w:hAnsi="Garamond" w:cs="Arial"/>
          <w:lang w:val="pt-PT"/>
        </w:rPr>
        <w:t>este projeto</w:t>
      </w:r>
      <w:r w:rsidR="00823BE0" w:rsidRPr="002A0660">
        <w:rPr>
          <w:rFonts w:ascii="Garamond" w:hAnsi="Garamond" w:cs="Arial"/>
          <w:lang w:val="pt-PT"/>
        </w:rPr>
        <w:t xml:space="preserve"> se </w:t>
      </w:r>
      <w:r w:rsidR="00BA3CCE" w:rsidRPr="002A0660">
        <w:rPr>
          <w:rFonts w:ascii="Garamond" w:hAnsi="Garamond" w:cs="Arial"/>
          <w:lang w:val="pt-PT"/>
        </w:rPr>
        <w:t>traduza</w:t>
      </w:r>
      <w:r w:rsidR="00823BE0" w:rsidRPr="002A0660">
        <w:rPr>
          <w:rFonts w:ascii="Garamond" w:hAnsi="Garamond" w:cs="Arial"/>
          <w:lang w:val="pt-PT"/>
        </w:rPr>
        <w:t xml:space="preserve"> e</w:t>
      </w:r>
      <w:r w:rsidRPr="002A0660">
        <w:rPr>
          <w:rFonts w:ascii="Garamond" w:hAnsi="Garamond" w:cs="Arial"/>
          <w:lang w:val="pt-PT"/>
        </w:rPr>
        <w:t>m</w:t>
      </w:r>
      <w:r w:rsidR="00823BE0" w:rsidRPr="002A0660">
        <w:rPr>
          <w:rFonts w:ascii="Garamond" w:hAnsi="Garamond" w:cs="Arial"/>
          <w:lang w:val="pt-PT"/>
        </w:rPr>
        <w:t xml:space="preserve"> </w:t>
      </w:r>
      <w:r w:rsidR="002C7510" w:rsidRPr="002A0660">
        <w:rPr>
          <w:rFonts w:ascii="Garamond" w:hAnsi="Garamond" w:cs="Arial"/>
          <w:lang w:val="pt-PT"/>
        </w:rPr>
        <w:t>ações</w:t>
      </w:r>
      <w:r w:rsidR="00823BE0" w:rsidRPr="002A0660">
        <w:rPr>
          <w:rFonts w:ascii="Garamond" w:hAnsi="Garamond" w:cs="Arial"/>
          <w:lang w:val="pt-PT"/>
        </w:rPr>
        <w:t xml:space="preserve"> concretas para </w:t>
      </w:r>
      <w:r w:rsidR="00C53F5E" w:rsidRPr="002A0660">
        <w:rPr>
          <w:rFonts w:ascii="Garamond" w:hAnsi="Garamond" w:cs="Arial"/>
          <w:lang w:val="pt-PT"/>
        </w:rPr>
        <w:t xml:space="preserve">viabilizar </w:t>
      </w:r>
      <w:r w:rsidRPr="002A0660">
        <w:rPr>
          <w:rFonts w:ascii="Garamond" w:hAnsi="Garamond" w:cs="Arial"/>
          <w:lang w:val="pt-PT"/>
        </w:rPr>
        <w:t xml:space="preserve">o </w:t>
      </w:r>
      <w:r w:rsidR="00823BE0" w:rsidRPr="002A0660">
        <w:rPr>
          <w:rFonts w:ascii="Garamond" w:hAnsi="Garamond" w:cs="Arial"/>
          <w:lang w:val="pt-PT"/>
        </w:rPr>
        <w:t>s</w:t>
      </w:r>
      <w:r w:rsidRPr="002A0660">
        <w:rPr>
          <w:rFonts w:ascii="Garamond" w:hAnsi="Garamond" w:cs="Arial"/>
          <w:lang w:val="pt-PT"/>
        </w:rPr>
        <w:t>e</w:t>
      </w:r>
      <w:r w:rsidR="00823BE0" w:rsidRPr="002A0660">
        <w:rPr>
          <w:rFonts w:ascii="Garamond" w:hAnsi="Garamond" w:cs="Arial"/>
          <w:lang w:val="pt-PT"/>
        </w:rPr>
        <w:t xml:space="preserve">u </w:t>
      </w:r>
      <w:r w:rsidR="00886D6A" w:rsidRPr="002A0660">
        <w:rPr>
          <w:rFonts w:ascii="Garamond" w:hAnsi="Garamond" w:cs="Arial"/>
          <w:lang w:val="pt-PT"/>
        </w:rPr>
        <w:t>acesso</w:t>
      </w:r>
      <w:r w:rsidR="00823BE0" w:rsidRPr="002A0660">
        <w:rPr>
          <w:rFonts w:ascii="Garamond" w:hAnsi="Garamond" w:cs="Arial"/>
          <w:lang w:val="pt-PT"/>
        </w:rPr>
        <w:t xml:space="preserve"> </w:t>
      </w:r>
      <w:r w:rsidR="00BB2B00" w:rsidRPr="002A0660">
        <w:rPr>
          <w:rFonts w:ascii="Garamond" w:hAnsi="Garamond" w:cs="Arial"/>
          <w:lang w:val="pt-PT"/>
        </w:rPr>
        <w:t>à</w:t>
      </w:r>
      <w:r w:rsidR="00823BE0" w:rsidRPr="002A0660">
        <w:rPr>
          <w:rFonts w:ascii="Garamond" w:hAnsi="Garamond" w:cs="Arial"/>
          <w:lang w:val="pt-PT"/>
        </w:rPr>
        <w:t xml:space="preserve"> </w:t>
      </w:r>
      <w:r w:rsidR="00FC1F7F" w:rsidRPr="002A0660">
        <w:rPr>
          <w:rFonts w:ascii="Garamond" w:hAnsi="Garamond" w:cs="Arial"/>
          <w:lang w:val="pt-PT"/>
        </w:rPr>
        <w:t>Justiça</w:t>
      </w:r>
      <w:r w:rsidR="00823BE0" w:rsidRPr="002A0660">
        <w:rPr>
          <w:rFonts w:ascii="Garamond" w:hAnsi="Garamond" w:cs="Arial"/>
          <w:lang w:val="pt-PT"/>
        </w:rPr>
        <w:t xml:space="preserve">. </w:t>
      </w:r>
      <w:r w:rsidR="00C53F5E" w:rsidRPr="002A0660">
        <w:rPr>
          <w:rFonts w:ascii="Garamond" w:hAnsi="Garamond" w:cs="Arial"/>
          <w:lang w:val="pt-PT"/>
        </w:rPr>
        <w:t xml:space="preserve">Esta iniciativa, </w:t>
      </w:r>
      <w:r w:rsidR="006901E6" w:rsidRPr="002A0660">
        <w:rPr>
          <w:rFonts w:ascii="Garamond" w:hAnsi="Garamond" w:cs="Arial"/>
          <w:lang w:val="pt-PT"/>
        </w:rPr>
        <w:t xml:space="preserve">é importante referir, </w:t>
      </w:r>
      <w:r w:rsidR="007A2492" w:rsidRPr="002A0660">
        <w:rPr>
          <w:rFonts w:ascii="Garamond" w:hAnsi="Garamond" w:cs="Arial"/>
          <w:lang w:val="pt-PT"/>
        </w:rPr>
        <w:t>tem</w:t>
      </w:r>
      <w:r w:rsidR="00823BE0" w:rsidRPr="002A0660">
        <w:rPr>
          <w:rFonts w:ascii="Garamond" w:hAnsi="Garamond" w:cs="Arial"/>
          <w:lang w:val="pt-PT"/>
        </w:rPr>
        <w:t xml:space="preserve"> como </w:t>
      </w:r>
      <w:r w:rsidR="00C53F5E" w:rsidRPr="002A0660">
        <w:rPr>
          <w:rFonts w:ascii="Garamond" w:hAnsi="Garamond" w:cs="Arial"/>
          <w:lang w:val="pt-PT"/>
        </w:rPr>
        <w:t>en</w:t>
      </w:r>
      <w:r w:rsidR="00253B1D" w:rsidRPr="002A0660">
        <w:rPr>
          <w:rFonts w:ascii="Garamond" w:hAnsi="Garamond" w:cs="Arial"/>
          <w:lang w:val="pt-PT"/>
        </w:rPr>
        <w:t>quadr</w:t>
      </w:r>
      <w:r w:rsidR="00C53F5E" w:rsidRPr="002A0660">
        <w:rPr>
          <w:rFonts w:ascii="Garamond" w:hAnsi="Garamond" w:cs="Arial"/>
          <w:lang w:val="pt-PT"/>
        </w:rPr>
        <w:t>amento</w:t>
      </w:r>
      <w:r w:rsidR="00823BE0" w:rsidRPr="003A1174">
        <w:rPr>
          <w:rFonts w:ascii="Garamond" w:hAnsi="Garamond" w:cs="Arial"/>
          <w:lang w:val="pt-PT"/>
        </w:rPr>
        <w:t xml:space="preserve"> diversos textos </w:t>
      </w:r>
      <w:r w:rsidR="002D1021" w:rsidRPr="003A1174">
        <w:rPr>
          <w:rFonts w:ascii="Garamond" w:hAnsi="Garamond" w:cs="Arial"/>
          <w:lang w:val="pt-PT"/>
        </w:rPr>
        <w:t>legais</w:t>
      </w:r>
      <w:r w:rsidR="00823BE0" w:rsidRPr="003A1174">
        <w:rPr>
          <w:rFonts w:ascii="Garamond" w:hAnsi="Garamond" w:cs="Arial"/>
          <w:lang w:val="pt-PT"/>
        </w:rPr>
        <w:t xml:space="preserve"> </w:t>
      </w:r>
      <w:r w:rsidR="00E85E59" w:rsidRPr="003A1174">
        <w:rPr>
          <w:rFonts w:ascii="Garamond" w:hAnsi="Garamond" w:cs="Arial"/>
          <w:lang w:val="pt-PT"/>
        </w:rPr>
        <w:t>do</w:t>
      </w:r>
      <w:r w:rsidR="00823BE0" w:rsidRPr="003A1174">
        <w:rPr>
          <w:rFonts w:ascii="Garamond" w:hAnsi="Garamond" w:cs="Arial"/>
          <w:lang w:val="pt-PT"/>
        </w:rPr>
        <w:t xml:space="preserve"> </w:t>
      </w:r>
      <w:r w:rsidR="00C86C58" w:rsidRPr="003A1174">
        <w:rPr>
          <w:rFonts w:ascii="Garamond" w:hAnsi="Garamond" w:cs="Arial"/>
          <w:lang w:val="pt-PT"/>
        </w:rPr>
        <w:t>ordenamento</w:t>
      </w:r>
      <w:r w:rsidR="00823BE0" w:rsidRPr="003A1174">
        <w:rPr>
          <w:rFonts w:ascii="Garamond" w:hAnsi="Garamond" w:cs="Arial"/>
          <w:lang w:val="pt-PT"/>
        </w:rPr>
        <w:t xml:space="preserve"> jurídico colombiano </w:t>
      </w:r>
      <w:r w:rsidR="000672E8" w:rsidRPr="003A1174">
        <w:rPr>
          <w:rFonts w:ascii="Garamond" w:hAnsi="Garamond" w:cs="Arial"/>
          <w:lang w:val="pt-PT"/>
        </w:rPr>
        <w:t>e</w:t>
      </w:r>
      <w:r w:rsidR="00823BE0" w:rsidRPr="003A1174">
        <w:rPr>
          <w:rFonts w:ascii="Garamond" w:hAnsi="Garamond" w:cs="Arial"/>
          <w:lang w:val="pt-PT"/>
        </w:rPr>
        <w:t xml:space="preserve"> </w:t>
      </w:r>
      <w:r w:rsidR="00C53F5E">
        <w:rPr>
          <w:rFonts w:ascii="Garamond" w:hAnsi="Garamond" w:cs="Arial"/>
          <w:lang w:val="pt-PT"/>
        </w:rPr>
        <w:t xml:space="preserve">de </w:t>
      </w:r>
      <w:r w:rsidR="006901E6" w:rsidRPr="003A1174">
        <w:rPr>
          <w:rFonts w:ascii="Garamond" w:hAnsi="Garamond" w:cs="Arial"/>
          <w:lang w:val="pt-PT"/>
        </w:rPr>
        <w:t xml:space="preserve">normas </w:t>
      </w:r>
      <w:r w:rsidR="00823BE0" w:rsidRPr="003A1174">
        <w:rPr>
          <w:rFonts w:ascii="Garamond" w:hAnsi="Garamond" w:cs="Arial"/>
          <w:lang w:val="pt-PT"/>
        </w:rPr>
        <w:t xml:space="preserve">pertinentes </w:t>
      </w:r>
      <w:r w:rsidR="00E85E59" w:rsidRPr="003A1174">
        <w:rPr>
          <w:rFonts w:ascii="Garamond" w:hAnsi="Garamond" w:cs="Arial"/>
          <w:lang w:val="pt-PT"/>
        </w:rPr>
        <w:t>do</w:t>
      </w:r>
      <w:r w:rsidR="00823BE0" w:rsidRPr="003A1174">
        <w:rPr>
          <w:rFonts w:ascii="Garamond" w:hAnsi="Garamond" w:cs="Arial"/>
          <w:lang w:val="pt-PT"/>
        </w:rPr>
        <w:t xml:space="preserve"> </w:t>
      </w:r>
      <w:r w:rsidR="00886D6A" w:rsidRPr="003A1174">
        <w:rPr>
          <w:rFonts w:ascii="Garamond" w:hAnsi="Garamond" w:cs="Arial"/>
          <w:lang w:val="pt-PT"/>
        </w:rPr>
        <w:t>Direito</w:t>
      </w:r>
      <w:r w:rsidR="00823BE0" w:rsidRPr="003A1174">
        <w:rPr>
          <w:rFonts w:ascii="Garamond" w:hAnsi="Garamond" w:cs="Arial"/>
          <w:lang w:val="pt-PT"/>
        </w:rPr>
        <w:t xml:space="preserve"> Internacional de </w:t>
      </w:r>
      <w:r w:rsidR="00886D6A" w:rsidRPr="003A1174">
        <w:rPr>
          <w:rFonts w:ascii="Garamond" w:hAnsi="Garamond" w:cs="Arial"/>
          <w:lang w:val="pt-PT"/>
        </w:rPr>
        <w:t>Direito</w:t>
      </w:r>
      <w:r w:rsidR="00823BE0" w:rsidRPr="003A1174">
        <w:rPr>
          <w:rFonts w:ascii="Garamond" w:hAnsi="Garamond" w:cs="Arial"/>
          <w:lang w:val="pt-PT"/>
        </w:rPr>
        <w:t xml:space="preserve">s Humanos, </w:t>
      </w:r>
      <w:r w:rsidR="006901E6" w:rsidRPr="003A1174">
        <w:rPr>
          <w:rFonts w:ascii="Garamond" w:hAnsi="Garamond" w:cs="Arial"/>
          <w:lang w:val="pt-PT"/>
        </w:rPr>
        <w:t>n</w:t>
      </w:r>
      <w:r w:rsidR="00823BE0" w:rsidRPr="003A1174">
        <w:rPr>
          <w:rFonts w:ascii="Garamond" w:hAnsi="Garamond" w:cs="Arial"/>
          <w:lang w:val="pt-PT"/>
        </w:rPr>
        <w:t xml:space="preserve">a </w:t>
      </w:r>
      <w:r w:rsidR="00D96FD0" w:rsidRPr="003A1174">
        <w:rPr>
          <w:rFonts w:ascii="Garamond" w:hAnsi="Garamond" w:cs="Arial"/>
          <w:lang w:val="pt-PT"/>
        </w:rPr>
        <w:t>perspetiva</w:t>
      </w:r>
      <w:r w:rsidR="006901E6" w:rsidRPr="003A1174">
        <w:rPr>
          <w:rFonts w:ascii="Garamond" w:hAnsi="Garamond" w:cs="Arial"/>
          <w:lang w:val="pt-PT"/>
        </w:rPr>
        <w:t xml:space="preserve"> de se </w:t>
      </w:r>
      <w:r w:rsidR="00964875" w:rsidRPr="003A1174">
        <w:rPr>
          <w:rFonts w:ascii="Garamond" w:hAnsi="Garamond" w:cs="Arial"/>
          <w:lang w:val="pt-PT"/>
        </w:rPr>
        <w:t>supera</w:t>
      </w:r>
      <w:r w:rsidR="006901E6" w:rsidRPr="003A1174">
        <w:rPr>
          <w:rFonts w:ascii="Garamond" w:hAnsi="Garamond" w:cs="Arial"/>
          <w:lang w:val="pt-PT"/>
        </w:rPr>
        <w:t xml:space="preserve">r </w:t>
      </w:r>
      <w:r w:rsidR="00823BE0" w:rsidRPr="003A1174">
        <w:rPr>
          <w:rFonts w:ascii="Garamond" w:hAnsi="Garamond" w:cs="Arial"/>
          <w:lang w:val="pt-PT"/>
        </w:rPr>
        <w:t xml:space="preserve">a </w:t>
      </w:r>
      <w:r w:rsidR="00276DCA" w:rsidRPr="003A1174">
        <w:rPr>
          <w:rFonts w:ascii="Garamond" w:hAnsi="Garamond" w:cs="Arial"/>
          <w:lang w:val="pt-PT"/>
        </w:rPr>
        <w:t>impunidade</w:t>
      </w:r>
      <w:r w:rsidR="00823BE0" w:rsidRPr="003A1174">
        <w:rPr>
          <w:rFonts w:ascii="Garamond" w:hAnsi="Garamond" w:cs="Arial"/>
          <w:lang w:val="pt-PT"/>
        </w:rPr>
        <w:t xml:space="preserve"> </w:t>
      </w:r>
      <w:r w:rsidR="000672E8" w:rsidRPr="003A1174">
        <w:rPr>
          <w:rFonts w:ascii="Garamond" w:hAnsi="Garamond" w:cs="Arial"/>
          <w:lang w:val="pt-PT"/>
        </w:rPr>
        <w:t>e</w:t>
      </w:r>
      <w:r w:rsidR="00823BE0" w:rsidRPr="003A1174">
        <w:rPr>
          <w:rFonts w:ascii="Garamond" w:hAnsi="Garamond" w:cs="Arial"/>
          <w:lang w:val="pt-PT"/>
        </w:rPr>
        <w:t xml:space="preserve"> a concre</w:t>
      </w:r>
      <w:r w:rsidR="006901E6" w:rsidRPr="003A1174">
        <w:rPr>
          <w:rFonts w:ascii="Garamond" w:hAnsi="Garamond" w:cs="Arial"/>
          <w:lang w:val="pt-PT"/>
        </w:rPr>
        <w:t>tização da</w:t>
      </w:r>
      <w:r w:rsidR="00531494">
        <w:rPr>
          <w:rFonts w:ascii="Garamond" w:hAnsi="Garamond" w:cs="Arial"/>
          <w:lang w:val="pt-PT"/>
        </w:rPr>
        <w:t>s</w:t>
      </w:r>
      <w:r w:rsidR="006901E6" w:rsidRPr="003A1174">
        <w:rPr>
          <w:rFonts w:ascii="Garamond" w:hAnsi="Garamond" w:cs="Arial"/>
          <w:lang w:val="pt-PT"/>
        </w:rPr>
        <w:t xml:space="preserve"> </w:t>
      </w:r>
      <w:r w:rsidR="002A0660">
        <w:rPr>
          <w:rFonts w:ascii="Garamond" w:hAnsi="Garamond" w:cs="Arial"/>
          <w:lang w:val="pt-PT"/>
        </w:rPr>
        <w:t xml:space="preserve">devidas </w:t>
      </w:r>
      <w:r w:rsidR="00C53F5E">
        <w:rPr>
          <w:rFonts w:ascii="Garamond" w:hAnsi="Garamond" w:cs="Arial"/>
          <w:lang w:val="pt-PT"/>
        </w:rPr>
        <w:t>d</w:t>
      </w:r>
      <w:r w:rsidR="00CF4C35" w:rsidRPr="003A1174">
        <w:rPr>
          <w:rFonts w:ascii="Garamond" w:hAnsi="Garamond" w:cs="Arial"/>
          <w:lang w:val="pt-PT"/>
        </w:rPr>
        <w:t>iligência</w:t>
      </w:r>
      <w:r w:rsidR="00531494">
        <w:rPr>
          <w:rFonts w:ascii="Garamond" w:hAnsi="Garamond" w:cs="Arial"/>
          <w:lang w:val="pt-PT"/>
        </w:rPr>
        <w:t>s</w:t>
      </w:r>
      <w:r w:rsidR="002A0660">
        <w:rPr>
          <w:rFonts w:ascii="Garamond" w:hAnsi="Garamond" w:cs="Arial"/>
          <w:lang w:val="pt-PT"/>
        </w:rPr>
        <w:t>.</w:t>
      </w:r>
    </w:p>
    <w:p w:rsidR="00823BE0" w:rsidRPr="003A1174" w:rsidRDefault="006901E6"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Através do </w:t>
      </w:r>
      <w:r w:rsidR="00C30647" w:rsidRPr="003A1174">
        <w:rPr>
          <w:rFonts w:ascii="Garamond" w:hAnsi="Garamond" w:cs="Arial"/>
          <w:sz w:val="24"/>
          <w:szCs w:val="24"/>
        </w:rPr>
        <w:t>Projeto</w:t>
      </w:r>
      <w:r w:rsidR="00823BE0" w:rsidRPr="003A1174">
        <w:rPr>
          <w:rFonts w:ascii="Garamond" w:hAnsi="Garamond" w:cs="Arial"/>
          <w:sz w:val="24"/>
          <w:szCs w:val="24"/>
        </w:rPr>
        <w:t xml:space="preserve"> Holanda, </w:t>
      </w:r>
      <w:r w:rsidR="000672E8" w:rsidRPr="003A1174">
        <w:rPr>
          <w:rFonts w:ascii="Garamond" w:hAnsi="Garamond" w:cs="Arial"/>
          <w:sz w:val="24"/>
          <w:szCs w:val="24"/>
        </w:rPr>
        <w:t>e</w:t>
      </w:r>
      <w:r w:rsidR="00823BE0" w:rsidRPr="003A1174">
        <w:rPr>
          <w:rFonts w:ascii="Garamond" w:hAnsi="Garamond" w:cs="Arial"/>
          <w:sz w:val="24"/>
          <w:szCs w:val="24"/>
        </w:rPr>
        <w:t xml:space="preserve"> co</w:t>
      </w:r>
      <w:r w:rsidRPr="003A1174">
        <w:rPr>
          <w:rFonts w:ascii="Garamond" w:hAnsi="Garamond" w:cs="Arial"/>
          <w:sz w:val="24"/>
          <w:szCs w:val="24"/>
        </w:rPr>
        <w:t xml:space="preserve">m </w:t>
      </w:r>
      <w:r w:rsidR="00823BE0" w:rsidRPr="003A1174">
        <w:rPr>
          <w:rFonts w:ascii="Garamond" w:hAnsi="Garamond" w:cs="Arial"/>
          <w:sz w:val="24"/>
          <w:szCs w:val="24"/>
        </w:rPr>
        <w:t xml:space="preserve">a </w:t>
      </w:r>
      <w:r w:rsidR="002470B1" w:rsidRPr="003A1174">
        <w:rPr>
          <w:rFonts w:ascii="Garamond" w:hAnsi="Garamond" w:cs="Arial"/>
          <w:sz w:val="24"/>
          <w:szCs w:val="24"/>
        </w:rPr>
        <w:t>Coordenação</w:t>
      </w:r>
      <w:r w:rsidRPr="003A1174">
        <w:rPr>
          <w:rFonts w:ascii="Garamond" w:hAnsi="Garamond" w:cs="Arial"/>
          <w:sz w:val="24"/>
          <w:szCs w:val="24"/>
        </w:rPr>
        <w:t xml:space="preserve"> d</w:t>
      </w:r>
      <w:r w:rsidR="00823BE0" w:rsidRPr="003A1174">
        <w:rPr>
          <w:rFonts w:ascii="Garamond" w:hAnsi="Garamond" w:cs="Arial"/>
          <w:sz w:val="24"/>
          <w:szCs w:val="24"/>
        </w:rPr>
        <w:t xml:space="preserve">esta </w:t>
      </w:r>
      <w:r w:rsidR="0017447A" w:rsidRPr="003A1174">
        <w:rPr>
          <w:rFonts w:ascii="Garamond" w:hAnsi="Garamond" w:cs="Arial"/>
          <w:sz w:val="24"/>
          <w:szCs w:val="24"/>
        </w:rPr>
        <w:t>representação</w:t>
      </w:r>
      <w:r w:rsidR="00C83595" w:rsidRPr="003A1174">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 xml:space="preserve">realizaram-se, em 2013, </w:t>
      </w:r>
      <w:r w:rsidR="00F95016">
        <w:rPr>
          <w:rFonts w:ascii="Garamond" w:hAnsi="Garamond" w:cs="Arial"/>
          <w:sz w:val="24"/>
          <w:szCs w:val="24"/>
        </w:rPr>
        <w:t>a</w:t>
      </w:r>
      <w:r w:rsidR="00EA2345">
        <w:rPr>
          <w:rFonts w:ascii="Garamond" w:hAnsi="Garamond" w:cs="Arial"/>
          <w:sz w:val="24"/>
          <w:szCs w:val="24"/>
        </w:rPr>
        <w:t>ç</w:t>
      </w:r>
      <w:r w:rsidR="00F95016">
        <w:rPr>
          <w:rFonts w:ascii="Garamond" w:hAnsi="Garamond" w:cs="Arial"/>
          <w:sz w:val="24"/>
          <w:szCs w:val="24"/>
        </w:rPr>
        <w:t xml:space="preserve">ões </w:t>
      </w:r>
      <w:r w:rsidR="00823BE0" w:rsidRPr="003A1174">
        <w:rPr>
          <w:rFonts w:ascii="Garamond" w:hAnsi="Garamond" w:cs="Arial"/>
          <w:sz w:val="24"/>
          <w:szCs w:val="24"/>
        </w:rPr>
        <w:t xml:space="preserve">de </w:t>
      </w:r>
      <w:r w:rsidR="00454353" w:rsidRPr="003A1174">
        <w:rPr>
          <w:rFonts w:ascii="Garamond" w:hAnsi="Garamond" w:cs="Arial"/>
          <w:sz w:val="24"/>
          <w:szCs w:val="24"/>
        </w:rPr>
        <w:t>formação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2A0660">
        <w:rPr>
          <w:rFonts w:ascii="Garamond" w:hAnsi="Garamond" w:cs="Arial"/>
          <w:sz w:val="24"/>
          <w:szCs w:val="24"/>
        </w:rPr>
        <w:t xml:space="preserve">profissionalização </w:t>
      </w:r>
      <w:r w:rsidR="00F95016">
        <w:rPr>
          <w:rFonts w:ascii="Garamond" w:hAnsi="Garamond" w:cs="Arial"/>
          <w:sz w:val="24"/>
          <w:szCs w:val="24"/>
        </w:rPr>
        <w:t xml:space="preserve">dos </w:t>
      </w:r>
      <w:r w:rsidR="002A0660" w:rsidRPr="003A1174">
        <w:rPr>
          <w:rFonts w:ascii="Garamond" w:hAnsi="Garamond" w:cs="Arial"/>
          <w:sz w:val="24"/>
          <w:szCs w:val="24"/>
        </w:rPr>
        <w:t xml:space="preserve">servidores da Provedoria de Justiça </w:t>
      </w:r>
      <w:r w:rsidRPr="003A1174">
        <w:rPr>
          <w:rFonts w:ascii="Garamond" w:hAnsi="Garamond" w:cs="Arial"/>
          <w:sz w:val="24"/>
          <w:szCs w:val="24"/>
        </w:rPr>
        <w:t xml:space="preserve">sobre </w:t>
      </w:r>
      <w:r w:rsidR="00823BE0" w:rsidRPr="003A1174">
        <w:rPr>
          <w:rFonts w:ascii="Garamond" w:hAnsi="Garamond" w:cs="Arial"/>
          <w:sz w:val="24"/>
          <w:szCs w:val="24"/>
        </w:rPr>
        <w:t xml:space="preserve">os </w:t>
      </w:r>
      <w:r w:rsidR="00886D6A" w:rsidRPr="003A1174">
        <w:rPr>
          <w:rFonts w:ascii="Garamond" w:hAnsi="Garamond" w:cs="Arial"/>
          <w:sz w:val="24"/>
          <w:szCs w:val="24"/>
        </w:rPr>
        <w:t>direito</w:t>
      </w:r>
      <w:r w:rsidR="00823BE0" w:rsidRPr="003A1174">
        <w:rPr>
          <w:rFonts w:ascii="Garamond" w:hAnsi="Garamond" w:cs="Arial"/>
          <w:sz w:val="24"/>
          <w:szCs w:val="24"/>
        </w:rPr>
        <w:t xml:space="preserve">s </w:t>
      </w:r>
      <w:r w:rsidR="00497503" w:rsidRPr="003A1174">
        <w:rPr>
          <w:rFonts w:ascii="Garamond" w:hAnsi="Garamond" w:cs="Arial"/>
          <w:sz w:val="24"/>
          <w:szCs w:val="24"/>
        </w:rPr>
        <w:t>das</w:t>
      </w:r>
      <w:r w:rsidR="00C83595" w:rsidRPr="003A1174">
        <w:rPr>
          <w:rFonts w:ascii="Garamond" w:hAnsi="Garamond" w:cs="Arial"/>
          <w:sz w:val="24"/>
          <w:szCs w:val="24"/>
        </w:rPr>
        <w:t xml:space="preserve"> </w:t>
      </w:r>
      <w:r w:rsidR="00054EE0" w:rsidRPr="003A1174">
        <w:rPr>
          <w:rFonts w:ascii="Garamond" w:hAnsi="Garamond" w:cs="Arial"/>
          <w:sz w:val="24"/>
          <w:szCs w:val="24"/>
        </w:rPr>
        <w:t>mulheres</w:t>
      </w:r>
      <w:r w:rsidR="00F95016">
        <w:rPr>
          <w:rFonts w:ascii="Garamond" w:hAnsi="Garamond" w:cs="Arial"/>
          <w:sz w:val="24"/>
          <w:szCs w:val="24"/>
        </w:rPr>
        <w:t>, que</w:t>
      </w:r>
      <w:r w:rsidR="00823BE0" w:rsidRPr="003A1174">
        <w:rPr>
          <w:rFonts w:ascii="Garamond" w:hAnsi="Garamond" w:cs="Arial"/>
          <w:sz w:val="24"/>
          <w:szCs w:val="24"/>
        </w:rPr>
        <w:t xml:space="preserve"> se </w:t>
      </w:r>
      <w:r w:rsidR="007407BD" w:rsidRPr="003A1174">
        <w:rPr>
          <w:rFonts w:ascii="Garamond" w:hAnsi="Garamond" w:cs="Arial"/>
          <w:sz w:val="24"/>
          <w:szCs w:val="24"/>
        </w:rPr>
        <w:t>podem</w:t>
      </w:r>
      <w:r w:rsidR="00823BE0" w:rsidRPr="003A1174">
        <w:rPr>
          <w:rFonts w:ascii="Garamond" w:hAnsi="Garamond" w:cs="Arial"/>
          <w:sz w:val="24"/>
          <w:szCs w:val="24"/>
        </w:rPr>
        <w:t xml:space="preserve"> resumir e</w:t>
      </w:r>
      <w:r w:rsidRPr="003A1174">
        <w:rPr>
          <w:rFonts w:ascii="Garamond" w:hAnsi="Garamond" w:cs="Arial"/>
          <w:sz w:val="24"/>
          <w:szCs w:val="24"/>
        </w:rPr>
        <w:t>m</w:t>
      </w:r>
      <w:r w:rsidR="00823BE0" w:rsidRPr="003A1174">
        <w:rPr>
          <w:rFonts w:ascii="Garamond" w:hAnsi="Garamond" w:cs="Arial"/>
          <w:sz w:val="24"/>
          <w:szCs w:val="24"/>
        </w:rPr>
        <w:t xml:space="preserve"> do</w:t>
      </w:r>
      <w:r w:rsidRPr="003A1174">
        <w:rPr>
          <w:rFonts w:ascii="Garamond" w:hAnsi="Garamond" w:cs="Arial"/>
          <w:sz w:val="24"/>
          <w:szCs w:val="24"/>
        </w:rPr>
        <w:t>i</w:t>
      </w:r>
      <w:r w:rsidR="00823BE0" w:rsidRPr="003A1174">
        <w:rPr>
          <w:rFonts w:ascii="Garamond" w:hAnsi="Garamond" w:cs="Arial"/>
          <w:sz w:val="24"/>
          <w:szCs w:val="24"/>
        </w:rPr>
        <w:t>s</w:t>
      </w:r>
      <w:r w:rsidR="00531494">
        <w:rPr>
          <w:rFonts w:ascii="Garamond" w:hAnsi="Garamond" w:cs="Arial"/>
          <w:sz w:val="24"/>
          <w:szCs w:val="24"/>
        </w:rPr>
        <w:t xml:space="preserve"> </w:t>
      </w:r>
      <w:r w:rsidR="008D0F05">
        <w:rPr>
          <w:rFonts w:ascii="Garamond" w:hAnsi="Garamond" w:cs="Arial"/>
          <w:sz w:val="24"/>
          <w:szCs w:val="24"/>
        </w:rPr>
        <w:t>pacotes</w:t>
      </w:r>
      <w:r w:rsidR="00823BE0" w:rsidRPr="003A1174">
        <w:rPr>
          <w:rFonts w:ascii="Garamond" w:hAnsi="Garamond" w:cs="Arial"/>
          <w:sz w:val="24"/>
          <w:szCs w:val="24"/>
        </w:rPr>
        <w:t>:</w:t>
      </w:r>
    </w:p>
    <w:p w:rsidR="00823BE0" w:rsidRPr="003A1174" w:rsidRDefault="006901E6" w:rsidP="008719D4">
      <w:pPr>
        <w:widowControl w:val="0"/>
        <w:numPr>
          <w:ilvl w:val="0"/>
          <w:numId w:val="30"/>
        </w:numPr>
        <w:suppressAutoHyphens/>
        <w:spacing w:before="240" w:after="0" w:line="240" w:lineRule="auto"/>
        <w:jc w:val="both"/>
        <w:rPr>
          <w:rFonts w:ascii="Garamond" w:hAnsi="Garamond" w:cs="Arial"/>
          <w:sz w:val="24"/>
          <w:szCs w:val="24"/>
        </w:rPr>
      </w:pPr>
      <w:r w:rsidRPr="003A1174">
        <w:rPr>
          <w:rFonts w:ascii="Garamond" w:hAnsi="Garamond" w:cs="Arial"/>
          <w:sz w:val="24"/>
          <w:szCs w:val="24"/>
        </w:rPr>
        <w:lastRenderedPageBreak/>
        <w:t>No</w:t>
      </w:r>
      <w:r w:rsidR="00823BE0" w:rsidRPr="003A1174">
        <w:rPr>
          <w:rFonts w:ascii="Garamond" w:hAnsi="Garamond" w:cs="Arial"/>
          <w:sz w:val="24"/>
          <w:szCs w:val="24"/>
        </w:rPr>
        <w:t xml:space="preserve"> segundo semestre de 2013, </w:t>
      </w:r>
      <w:r w:rsidR="00D75A07" w:rsidRPr="003A1174">
        <w:rPr>
          <w:rFonts w:ascii="Garamond" w:hAnsi="Garamond" w:cs="Arial"/>
          <w:sz w:val="24"/>
          <w:szCs w:val="24"/>
        </w:rPr>
        <w:t>realizou</w:t>
      </w:r>
      <w:r w:rsidRPr="003A1174">
        <w:rPr>
          <w:rFonts w:ascii="Garamond" w:hAnsi="Garamond" w:cs="Arial"/>
          <w:sz w:val="24"/>
          <w:szCs w:val="24"/>
        </w:rPr>
        <w:t xml:space="preserve">-se um </w:t>
      </w:r>
      <w:r w:rsidR="008D0F05" w:rsidRPr="008D0F05">
        <w:rPr>
          <w:rFonts w:ascii="Garamond" w:hAnsi="Garamond" w:cs="Arial"/>
          <w:i/>
          <w:sz w:val="24"/>
          <w:szCs w:val="24"/>
        </w:rPr>
        <w:t>curso</w:t>
      </w:r>
      <w:r w:rsidR="008D0F05">
        <w:rPr>
          <w:rFonts w:ascii="Garamond" w:hAnsi="Garamond" w:cs="Arial"/>
          <w:sz w:val="24"/>
          <w:szCs w:val="24"/>
        </w:rPr>
        <w:t xml:space="preserve"> </w:t>
      </w:r>
      <w:r w:rsidR="00823BE0" w:rsidRPr="003A1174">
        <w:rPr>
          <w:rFonts w:ascii="Garamond" w:hAnsi="Garamond" w:cs="Arial"/>
          <w:sz w:val="24"/>
          <w:szCs w:val="24"/>
        </w:rPr>
        <w:t xml:space="preserve">virtual denominado </w:t>
      </w:r>
      <w:r w:rsidR="008D0F05" w:rsidRPr="00F95016">
        <w:rPr>
          <w:rFonts w:ascii="Garamond" w:hAnsi="Garamond" w:cs="Arial"/>
          <w:sz w:val="24"/>
          <w:szCs w:val="24"/>
        </w:rPr>
        <w:t>«</w:t>
      </w:r>
      <w:r w:rsidR="00823BE0" w:rsidRPr="003A1174">
        <w:rPr>
          <w:rFonts w:ascii="Garamond" w:hAnsi="Garamond" w:cs="Arial"/>
          <w:sz w:val="24"/>
          <w:szCs w:val="24"/>
        </w:rPr>
        <w:t xml:space="preserve">Programa de </w:t>
      </w:r>
      <w:r w:rsidR="00454353" w:rsidRPr="003A1174">
        <w:rPr>
          <w:rFonts w:ascii="Garamond" w:hAnsi="Garamond" w:cs="Arial"/>
          <w:sz w:val="24"/>
          <w:szCs w:val="24"/>
        </w:rPr>
        <w:t>formação</w:t>
      </w:r>
      <w:r w:rsidRPr="003A1174">
        <w:rPr>
          <w:rFonts w:ascii="Garamond" w:hAnsi="Garamond" w:cs="Arial"/>
          <w:sz w:val="24"/>
          <w:szCs w:val="24"/>
        </w:rPr>
        <w:t xml:space="preserve"> d</w:t>
      </w:r>
      <w:r w:rsidR="00823BE0"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para </w:t>
      </w:r>
      <w:r w:rsidR="00485AE8">
        <w:rPr>
          <w:rFonts w:ascii="Garamond" w:hAnsi="Garamond" w:cs="Arial"/>
          <w:sz w:val="24"/>
          <w:szCs w:val="24"/>
        </w:rPr>
        <w:t xml:space="preserve">integrar </w:t>
      </w:r>
      <w:r w:rsidRPr="003A1174">
        <w:rPr>
          <w:rFonts w:ascii="Garamond" w:hAnsi="Garamond" w:cs="Arial"/>
          <w:sz w:val="24"/>
          <w:szCs w:val="24"/>
        </w:rPr>
        <w:t xml:space="preserve">o </w:t>
      </w:r>
      <w:r w:rsidR="00823BE0" w:rsidRPr="003A1174">
        <w:rPr>
          <w:rFonts w:ascii="Garamond" w:hAnsi="Garamond" w:cs="Arial"/>
          <w:sz w:val="24"/>
          <w:szCs w:val="24"/>
        </w:rPr>
        <w:t xml:space="preserve">enfoque de </w:t>
      </w:r>
      <w:r w:rsidR="00D02353" w:rsidRPr="003A1174">
        <w:rPr>
          <w:rFonts w:ascii="Garamond" w:hAnsi="Garamond" w:cs="Arial"/>
          <w:sz w:val="24"/>
          <w:szCs w:val="24"/>
        </w:rPr>
        <w:t xml:space="preserve">género </w:t>
      </w:r>
      <w:r w:rsidR="000672E8" w:rsidRPr="003A1174">
        <w:rPr>
          <w:rFonts w:ascii="Garamond" w:hAnsi="Garamond" w:cs="Arial"/>
          <w:sz w:val="24"/>
          <w:szCs w:val="24"/>
        </w:rPr>
        <w:t>e</w:t>
      </w:r>
      <w:r w:rsidR="00D02353" w:rsidRPr="003A1174">
        <w:rPr>
          <w:rFonts w:ascii="Garamond" w:hAnsi="Garamond" w:cs="Arial"/>
          <w:sz w:val="24"/>
          <w:szCs w:val="24"/>
        </w:rPr>
        <w:t xml:space="preserve"> de </w:t>
      </w:r>
      <w:r w:rsidR="00886D6A" w:rsidRPr="003A1174">
        <w:rPr>
          <w:rFonts w:ascii="Garamond" w:hAnsi="Garamond" w:cs="Arial"/>
          <w:sz w:val="24"/>
          <w:szCs w:val="24"/>
        </w:rPr>
        <w:t>direito</w:t>
      </w:r>
      <w:r w:rsidRPr="003A1174">
        <w:rPr>
          <w:rFonts w:ascii="Garamond" w:hAnsi="Garamond" w:cs="Arial"/>
          <w:sz w:val="24"/>
          <w:szCs w:val="24"/>
        </w:rPr>
        <w:t>s humanos das</w:t>
      </w:r>
      <w:r w:rsidR="00D02353" w:rsidRPr="003A1174">
        <w:rPr>
          <w:rFonts w:ascii="Garamond" w:hAnsi="Garamond" w:cs="Arial"/>
          <w:sz w:val="24"/>
          <w:szCs w:val="24"/>
        </w:rPr>
        <w:t xml:space="preserve"> </w:t>
      </w:r>
      <w:r w:rsidR="00054EE0" w:rsidRPr="003A1174">
        <w:rPr>
          <w:rFonts w:ascii="Garamond" w:hAnsi="Garamond" w:cs="Arial"/>
          <w:sz w:val="24"/>
          <w:szCs w:val="24"/>
        </w:rPr>
        <w:t>mulheres</w:t>
      </w:r>
      <w:r w:rsidR="00D02353" w:rsidRPr="003A1174">
        <w:rPr>
          <w:rFonts w:ascii="Garamond" w:hAnsi="Garamond" w:cs="Arial"/>
          <w:sz w:val="24"/>
          <w:szCs w:val="24"/>
        </w:rPr>
        <w:t xml:space="preserve">, </w:t>
      </w:r>
      <w:r w:rsidR="00964875" w:rsidRPr="003A1174">
        <w:rPr>
          <w:rFonts w:ascii="Garamond" w:hAnsi="Garamond" w:cs="Arial"/>
          <w:sz w:val="24"/>
          <w:szCs w:val="24"/>
        </w:rPr>
        <w:t>crianças</w:t>
      </w:r>
      <w:r w:rsidR="00D02353" w:rsidRPr="003A1174">
        <w:rPr>
          <w:rFonts w:ascii="Garamond" w:hAnsi="Garamond" w:cs="Arial"/>
          <w:sz w:val="24"/>
          <w:szCs w:val="24"/>
        </w:rPr>
        <w:t xml:space="preserve"> </w:t>
      </w:r>
      <w:r w:rsidR="000672E8" w:rsidRPr="003A1174">
        <w:rPr>
          <w:rFonts w:ascii="Garamond" w:hAnsi="Garamond" w:cs="Arial"/>
          <w:sz w:val="24"/>
          <w:szCs w:val="24"/>
        </w:rPr>
        <w:t>e</w:t>
      </w:r>
      <w:r w:rsidR="00D02353" w:rsidRPr="003A1174">
        <w:rPr>
          <w:rFonts w:ascii="Garamond" w:hAnsi="Garamond" w:cs="Arial"/>
          <w:sz w:val="24"/>
          <w:szCs w:val="24"/>
        </w:rPr>
        <w:t xml:space="preserve"> adolescentes</w:t>
      </w:r>
      <w:r w:rsidR="00531494">
        <w:rPr>
          <w:rFonts w:ascii="Garamond" w:hAnsi="Garamond" w:cs="Arial"/>
          <w:sz w:val="24"/>
          <w:szCs w:val="24"/>
        </w:rPr>
        <w:t>,</w:t>
      </w:r>
      <w:r w:rsidR="00D02353" w:rsidRPr="003A1174">
        <w:rPr>
          <w:rFonts w:ascii="Garamond" w:hAnsi="Garamond" w:cs="Arial"/>
          <w:sz w:val="24"/>
          <w:szCs w:val="24"/>
        </w:rPr>
        <w:t xml:space="preserve"> </w:t>
      </w:r>
      <w:r w:rsidRPr="003A1174">
        <w:rPr>
          <w:rFonts w:ascii="Garamond" w:hAnsi="Garamond" w:cs="Arial"/>
          <w:sz w:val="24"/>
          <w:szCs w:val="24"/>
        </w:rPr>
        <w:t>n</w:t>
      </w:r>
      <w:r w:rsidR="00D02353" w:rsidRPr="003A1174">
        <w:rPr>
          <w:rFonts w:ascii="Garamond" w:hAnsi="Garamond" w:cs="Arial"/>
          <w:sz w:val="24"/>
          <w:szCs w:val="24"/>
        </w:rPr>
        <w:t xml:space="preserve">a </w:t>
      </w:r>
      <w:r w:rsidR="008D0F05">
        <w:rPr>
          <w:rFonts w:ascii="Garamond" w:hAnsi="Garamond" w:cs="Arial"/>
          <w:sz w:val="24"/>
          <w:szCs w:val="24"/>
        </w:rPr>
        <w:t xml:space="preserve">abordagem </w:t>
      </w:r>
      <w:r w:rsidR="00823BE0" w:rsidRPr="003A1174">
        <w:rPr>
          <w:rFonts w:ascii="Garamond" w:hAnsi="Garamond" w:cs="Arial"/>
          <w:sz w:val="24"/>
          <w:szCs w:val="24"/>
        </w:rPr>
        <w:t xml:space="preserve">de casos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sexual </w:t>
      </w:r>
      <w:r w:rsidR="000672E8" w:rsidRPr="003A1174">
        <w:rPr>
          <w:rFonts w:ascii="Garamond" w:hAnsi="Garamond" w:cs="Arial"/>
          <w:sz w:val="24"/>
          <w:szCs w:val="24"/>
        </w:rPr>
        <w:t>e</w:t>
      </w:r>
      <w:r w:rsidR="00823BE0" w:rsidRPr="003A1174">
        <w:rPr>
          <w:rFonts w:ascii="Garamond" w:hAnsi="Garamond" w:cs="Arial"/>
          <w:sz w:val="24"/>
          <w:szCs w:val="24"/>
        </w:rPr>
        <w:t xml:space="preserve"> de </w:t>
      </w:r>
      <w:r w:rsidR="00D02353" w:rsidRPr="003A1174">
        <w:rPr>
          <w:rFonts w:ascii="Garamond" w:hAnsi="Garamond" w:cs="Arial"/>
          <w:sz w:val="24"/>
          <w:szCs w:val="24"/>
        </w:rPr>
        <w:t>g</w:t>
      </w:r>
      <w:r w:rsidR="00823BE0" w:rsidRPr="003A1174">
        <w:rPr>
          <w:rFonts w:ascii="Garamond" w:hAnsi="Garamond" w:cs="Arial"/>
          <w:sz w:val="24"/>
          <w:szCs w:val="24"/>
        </w:rPr>
        <w:t xml:space="preserve">énero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17447A" w:rsidRPr="003A1174">
        <w:rPr>
          <w:rFonts w:ascii="Garamond" w:hAnsi="Garamond" w:cs="Arial"/>
          <w:sz w:val="24"/>
          <w:szCs w:val="24"/>
        </w:rPr>
        <w:t>outras</w:t>
      </w:r>
      <w:r w:rsidR="00823BE0" w:rsidRPr="003A1174">
        <w:rPr>
          <w:rFonts w:ascii="Garamond" w:hAnsi="Garamond" w:cs="Arial"/>
          <w:sz w:val="24"/>
          <w:szCs w:val="24"/>
        </w:rPr>
        <w:t xml:space="preserve"> </w:t>
      </w:r>
      <w:r w:rsidR="00D02353" w:rsidRPr="003A1174">
        <w:rPr>
          <w:rFonts w:ascii="Garamond" w:hAnsi="Garamond" w:cs="Arial"/>
          <w:sz w:val="24"/>
          <w:szCs w:val="24"/>
        </w:rPr>
        <w:t>f</w:t>
      </w:r>
      <w:r w:rsidR="00823BE0" w:rsidRPr="003A1174">
        <w:rPr>
          <w:rFonts w:ascii="Garamond" w:hAnsi="Garamond" w:cs="Arial"/>
          <w:sz w:val="24"/>
          <w:szCs w:val="24"/>
        </w:rPr>
        <w:t xml:space="preserve">ormas de </w:t>
      </w:r>
      <w:r w:rsidR="000350B1" w:rsidRPr="003A1174">
        <w:rPr>
          <w:rFonts w:ascii="Garamond" w:hAnsi="Garamond" w:cs="Arial"/>
          <w:sz w:val="24"/>
          <w:szCs w:val="24"/>
        </w:rPr>
        <w:t>violência</w:t>
      </w:r>
      <w:r w:rsidR="008D0F05">
        <w:rPr>
          <w:rFonts w:ascii="Garamond" w:hAnsi="Garamond" w:cs="Arial"/>
          <w:sz w:val="24"/>
          <w:szCs w:val="24"/>
        </w:rPr>
        <w:t>»</w:t>
      </w:r>
      <w:r w:rsidR="00823BE0" w:rsidRPr="003A1174">
        <w:rPr>
          <w:rFonts w:ascii="Garamond" w:hAnsi="Garamond" w:cs="Arial"/>
          <w:sz w:val="24"/>
          <w:szCs w:val="24"/>
        </w:rPr>
        <w:t>, co</w:t>
      </w:r>
      <w:r w:rsidRPr="003A1174">
        <w:rPr>
          <w:rFonts w:ascii="Garamond" w:hAnsi="Garamond" w:cs="Arial"/>
          <w:sz w:val="24"/>
          <w:szCs w:val="24"/>
        </w:rPr>
        <w:t>m o apoio</w:t>
      </w:r>
      <w:r w:rsidR="00823BE0" w:rsidRPr="003A1174">
        <w:rPr>
          <w:rFonts w:ascii="Garamond" w:hAnsi="Garamond" w:cs="Arial"/>
          <w:sz w:val="24"/>
          <w:szCs w:val="24"/>
        </w:rPr>
        <w:t xml:space="preserve"> académico da ESAP virtual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791197" w:rsidRPr="003A1174">
        <w:rPr>
          <w:rFonts w:ascii="Garamond" w:hAnsi="Garamond" w:cs="Arial"/>
          <w:sz w:val="24"/>
          <w:szCs w:val="24"/>
        </w:rPr>
        <w:t>apoio</w:t>
      </w:r>
      <w:r w:rsidRPr="003A1174">
        <w:rPr>
          <w:rFonts w:ascii="Garamond" w:hAnsi="Garamond" w:cs="Arial"/>
          <w:sz w:val="24"/>
          <w:szCs w:val="24"/>
        </w:rPr>
        <w:t xml:space="preserve"> financeiro d</w:t>
      </w:r>
      <w:r w:rsidR="00823BE0" w:rsidRPr="003A1174">
        <w:rPr>
          <w:rFonts w:ascii="Garamond" w:hAnsi="Garamond" w:cs="Arial"/>
          <w:sz w:val="24"/>
          <w:szCs w:val="24"/>
        </w:rPr>
        <w:t xml:space="preserve">a </w:t>
      </w:r>
      <w:r w:rsidR="00606CEE" w:rsidRPr="003A1174">
        <w:rPr>
          <w:rFonts w:ascii="Garamond" w:hAnsi="Garamond" w:cs="Arial"/>
          <w:sz w:val="24"/>
          <w:szCs w:val="24"/>
        </w:rPr>
        <w:t>Embaixada</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Reino </w:t>
      </w:r>
      <w:r w:rsidR="00497503" w:rsidRPr="003A1174">
        <w:rPr>
          <w:rFonts w:ascii="Garamond" w:hAnsi="Garamond" w:cs="Arial"/>
          <w:sz w:val="24"/>
          <w:szCs w:val="24"/>
        </w:rPr>
        <w:t>dos</w:t>
      </w:r>
      <w:r w:rsidR="00823BE0" w:rsidRPr="003A1174">
        <w:rPr>
          <w:rFonts w:ascii="Garamond" w:hAnsi="Garamond" w:cs="Arial"/>
          <w:sz w:val="24"/>
          <w:szCs w:val="24"/>
        </w:rPr>
        <w:t xml:space="preserve"> Países </w:t>
      </w:r>
      <w:r w:rsidR="00606CEE" w:rsidRPr="003A1174">
        <w:rPr>
          <w:rFonts w:ascii="Garamond" w:hAnsi="Garamond" w:cs="Arial"/>
          <w:sz w:val="24"/>
          <w:szCs w:val="24"/>
        </w:rPr>
        <w:t>Baixos</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823BE0" w:rsidRPr="003A1174">
        <w:rPr>
          <w:rFonts w:ascii="Garamond" w:hAnsi="Garamond" w:cs="Arial"/>
          <w:sz w:val="24"/>
          <w:szCs w:val="24"/>
        </w:rPr>
        <w:t>PNUD</w:t>
      </w:r>
      <w:r w:rsidR="00D02353" w:rsidRPr="003A1174">
        <w:rPr>
          <w:rFonts w:ascii="Garamond" w:hAnsi="Garamond" w:cs="Arial"/>
          <w:sz w:val="24"/>
          <w:szCs w:val="24"/>
        </w:rPr>
        <w:t>,</w:t>
      </w:r>
      <w:r w:rsidR="00823BE0" w:rsidRPr="003A1174">
        <w:rPr>
          <w:rFonts w:ascii="Garamond" w:hAnsi="Garamond" w:cs="Arial"/>
          <w:sz w:val="24"/>
          <w:szCs w:val="24"/>
        </w:rPr>
        <w:t xml:space="preserve"> </w:t>
      </w:r>
      <w:r w:rsidR="00E560D8" w:rsidRPr="003A1174">
        <w:rPr>
          <w:rFonts w:ascii="Garamond" w:hAnsi="Garamond" w:cs="Arial"/>
          <w:sz w:val="24"/>
          <w:szCs w:val="24"/>
        </w:rPr>
        <w:t>Fundo</w:t>
      </w:r>
      <w:r w:rsidR="00823BE0" w:rsidRPr="003A1174">
        <w:rPr>
          <w:rFonts w:ascii="Garamond" w:hAnsi="Garamond" w:cs="Arial"/>
          <w:sz w:val="24"/>
          <w:szCs w:val="24"/>
        </w:rPr>
        <w:t xml:space="preserve"> de </w:t>
      </w:r>
      <w:r w:rsidR="00FC1F7F" w:rsidRPr="003A1174">
        <w:rPr>
          <w:rFonts w:ascii="Garamond" w:hAnsi="Garamond" w:cs="Arial"/>
          <w:sz w:val="24"/>
          <w:szCs w:val="24"/>
        </w:rPr>
        <w:t>Justiça</w:t>
      </w:r>
      <w:r w:rsidR="00823BE0" w:rsidRPr="003A1174">
        <w:rPr>
          <w:rFonts w:ascii="Garamond" w:hAnsi="Garamond" w:cs="Arial"/>
          <w:sz w:val="24"/>
          <w:szCs w:val="24"/>
        </w:rPr>
        <w:t xml:space="preserve"> Transicional </w:t>
      </w:r>
      <w:r w:rsidR="000672E8" w:rsidRPr="003A1174">
        <w:rPr>
          <w:rFonts w:ascii="Garamond" w:hAnsi="Garamond" w:cs="Arial"/>
          <w:sz w:val="24"/>
          <w:szCs w:val="24"/>
        </w:rPr>
        <w:t>e</w:t>
      </w:r>
      <w:r w:rsidR="00823BE0" w:rsidRPr="003A1174">
        <w:rPr>
          <w:rFonts w:ascii="Garamond" w:hAnsi="Garamond" w:cs="Arial"/>
          <w:sz w:val="24"/>
          <w:szCs w:val="24"/>
        </w:rPr>
        <w:t xml:space="preserve"> Esc</w:t>
      </w:r>
      <w:r w:rsidRPr="003A1174">
        <w:rPr>
          <w:rFonts w:ascii="Garamond" w:hAnsi="Garamond" w:cs="Arial"/>
          <w:sz w:val="24"/>
          <w:szCs w:val="24"/>
        </w:rPr>
        <w:t>ola Virtual PNUD, cuj</w:t>
      </w:r>
      <w:r w:rsidR="00823BE0" w:rsidRPr="003A1174">
        <w:rPr>
          <w:rFonts w:ascii="Garamond" w:hAnsi="Garamond" w:cs="Arial"/>
          <w:sz w:val="24"/>
          <w:szCs w:val="24"/>
        </w:rPr>
        <w:t xml:space="preserve">o objetivo </w:t>
      </w:r>
      <w:r w:rsidR="00462B11" w:rsidRPr="003A1174">
        <w:rPr>
          <w:rFonts w:ascii="Garamond" w:hAnsi="Garamond" w:cs="Arial"/>
          <w:sz w:val="24"/>
          <w:szCs w:val="24"/>
        </w:rPr>
        <w:t>foi</w:t>
      </w:r>
      <w:r w:rsidR="00823BE0" w:rsidRPr="003A1174">
        <w:rPr>
          <w:rFonts w:ascii="Garamond" w:hAnsi="Garamond" w:cs="Arial"/>
          <w:sz w:val="24"/>
          <w:szCs w:val="24"/>
        </w:rPr>
        <w:t xml:space="preserve"> </w:t>
      </w:r>
      <w:r w:rsidRPr="003A1174">
        <w:rPr>
          <w:rFonts w:ascii="Garamond" w:hAnsi="Garamond" w:cs="Arial"/>
          <w:sz w:val="24"/>
          <w:szCs w:val="24"/>
        </w:rPr>
        <w:t xml:space="preserve">adicionar </w:t>
      </w:r>
      <w:r w:rsidR="00823BE0" w:rsidRPr="003A1174">
        <w:rPr>
          <w:rFonts w:ascii="Garamond" w:hAnsi="Garamond" w:cs="Arial"/>
          <w:sz w:val="24"/>
          <w:szCs w:val="24"/>
        </w:rPr>
        <w:t xml:space="preserve">a </w:t>
      </w:r>
      <w:r w:rsidR="00D96FD0" w:rsidRPr="003A1174">
        <w:rPr>
          <w:rFonts w:ascii="Garamond" w:hAnsi="Garamond" w:cs="Arial"/>
          <w:sz w:val="24"/>
          <w:szCs w:val="24"/>
        </w:rPr>
        <w:t>perspetiva</w:t>
      </w:r>
      <w:r w:rsidR="00823BE0" w:rsidRPr="003A1174">
        <w:rPr>
          <w:rFonts w:ascii="Garamond" w:hAnsi="Garamond" w:cs="Arial"/>
          <w:sz w:val="24"/>
          <w:szCs w:val="24"/>
        </w:rPr>
        <w:t xml:space="preserve"> diferencial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823BE0" w:rsidRPr="003A1174">
        <w:rPr>
          <w:rFonts w:ascii="Garamond" w:hAnsi="Garamond" w:cs="Arial"/>
          <w:sz w:val="24"/>
          <w:szCs w:val="24"/>
        </w:rPr>
        <w:t xml:space="preserve">enfoque </w:t>
      </w:r>
      <w:r w:rsidR="008D0F05">
        <w:rPr>
          <w:rFonts w:ascii="Garamond" w:hAnsi="Garamond" w:cs="Arial"/>
          <w:sz w:val="24"/>
          <w:szCs w:val="24"/>
        </w:rPr>
        <w:t>para os</w:t>
      </w:r>
      <w:r w:rsidR="00823BE0" w:rsidRPr="003A1174">
        <w:rPr>
          <w:rFonts w:ascii="Garamond" w:hAnsi="Garamond" w:cs="Arial"/>
          <w:sz w:val="24"/>
          <w:szCs w:val="24"/>
        </w:rPr>
        <w:t xml:space="preserve"> </w:t>
      </w:r>
      <w:r w:rsidR="00886D6A" w:rsidRPr="003A1174">
        <w:rPr>
          <w:rFonts w:ascii="Garamond" w:hAnsi="Garamond" w:cs="Arial"/>
          <w:sz w:val="24"/>
          <w:szCs w:val="24"/>
        </w:rPr>
        <w:t>direito</w:t>
      </w:r>
      <w:r w:rsidR="00823BE0" w:rsidRPr="003A1174">
        <w:rPr>
          <w:rFonts w:ascii="Garamond" w:hAnsi="Garamond" w:cs="Arial"/>
          <w:sz w:val="24"/>
          <w:szCs w:val="24"/>
        </w:rPr>
        <w:t xml:space="preserve">s. Este </w:t>
      </w:r>
      <w:r w:rsidR="008D0F05" w:rsidRPr="008D0F05">
        <w:rPr>
          <w:rFonts w:ascii="Garamond" w:hAnsi="Garamond" w:cs="Arial"/>
          <w:i/>
          <w:sz w:val="24"/>
          <w:szCs w:val="24"/>
        </w:rPr>
        <w:t>curso</w:t>
      </w:r>
      <w:r w:rsidR="008D0F05">
        <w:rPr>
          <w:rFonts w:ascii="Garamond" w:hAnsi="Garamond" w:cs="Arial"/>
          <w:sz w:val="24"/>
          <w:szCs w:val="24"/>
        </w:rPr>
        <w:t xml:space="preserve"> </w:t>
      </w:r>
      <w:r w:rsidR="00823BE0" w:rsidRPr="003A1174">
        <w:rPr>
          <w:rFonts w:ascii="Garamond" w:hAnsi="Garamond" w:cs="Arial"/>
          <w:sz w:val="24"/>
          <w:szCs w:val="24"/>
        </w:rPr>
        <w:t>permiti</w:t>
      </w:r>
      <w:r w:rsidRPr="003A1174">
        <w:rPr>
          <w:rFonts w:ascii="Garamond" w:hAnsi="Garamond" w:cs="Arial"/>
          <w:sz w:val="24"/>
          <w:szCs w:val="24"/>
        </w:rPr>
        <w:t>u aprofund</w:t>
      </w:r>
      <w:r w:rsidR="00823BE0" w:rsidRPr="003A1174">
        <w:rPr>
          <w:rFonts w:ascii="Garamond" w:hAnsi="Garamond" w:cs="Arial"/>
          <w:sz w:val="24"/>
          <w:szCs w:val="24"/>
        </w:rPr>
        <w:t xml:space="preserve">ar </w:t>
      </w:r>
      <w:r w:rsidRPr="003A1174">
        <w:rPr>
          <w:rFonts w:ascii="Garamond" w:hAnsi="Garamond" w:cs="Arial"/>
          <w:sz w:val="24"/>
          <w:szCs w:val="24"/>
        </w:rPr>
        <w:t xml:space="preserve">o </w:t>
      </w:r>
      <w:r w:rsidR="003E6403" w:rsidRPr="003A1174">
        <w:rPr>
          <w:rFonts w:ascii="Garamond" w:hAnsi="Garamond" w:cs="Arial"/>
          <w:sz w:val="24"/>
          <w:szCs w:val="24"/>
        </w:rPr>
        <w:t>conhecimento</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253B1D" w:rsidRPr="003A1174">
        <w:rPr>
          <w:rFonts w:ascii="Garamond" w:hAnsi="Garamond" w:cs="Arial"/>
          <w:sz w:val="24"/>
          <w:szCs w:val="24"/>
        </w:rPr>
        <w:t>quadro</w:t>
      </w:r>
      <w:r w:rsidR="00823BE0" w:rsidRPr="003A1174">
        <w:rPr>
          <w:rFonts w:ascii="Garamond" w:hAnsi="Garamond" w:cs="Arial"/>
          <w:sz w:val="24"/>
          <w:szCs w:val="24"/>
        </w:rPr>
        <w:t xml:space="preserve"> internacional </w:t>
      </w:r>
      <w:r w:rsidR="000672E8" w:rsidRPr="003A1174">
        <w:rPr>
          <w:rFonts w:ascii="Garamond" w:hAnsi="Garamond" w:cs="Arial"/>
          <w:sz w:val="24"/>
          <w:szCs w:val="24"/>
        </w:rPr>
        <w:t>e</w:t>
      </w:r>
      <w:r w:rsidR="00823BE0" w:rsidRPr="003A1174">
        <w:rPr>
          <w:rFonts w:ascii="Garamond" w:hAnsi="Garamond" w:cs="Arial"/>
          <w:sz w:val="24"/>
          <w:szCs w:val="24"/>
        </w:rPr>
        <w:t xml:space="preserve"> nacional de </w:t>
      </w:r>
      <w:r w:rsidR="00886D6A" w:rsidRPr="003A1174">
        <w:rPr>
          <w:rFonts w:ascii="Garamond" w:hAnsi="Garamond" w:cs="Arial"/>
          <w:sz w:val="24"/>
          <w:szCs w:val="24"/>
        </w:rPr>
        <w:t>direito</w:t>
      </w:r>
      <w:r w:rsidR="00823BE0" w:rsidRPr="003A1174">
        <w:rPr>
          <w:rFonts w:ascii="Garamond" w:hAnsi="Garamond" w:cs="Arial"/>
          <w:sz w:val="24"/>
          <w:szCs w:val="24"/>
        </w:rPr>
        <w:t xml:space="preserve">s para </w:t>
      </w:r>
      <w:r w:rsidRPr="003A1174">
        <w:rPr>
          <w:rFonts w:ascii="Garamond" w:hAnsi="Garamond" w:cs="Arial"/>
          <w:sz w:val="24"/>
          <w:szCs w:val="24"/>
        </w:rPr>
        <w:t xml:space="preserve">crianças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0464C8" w:rsidRPr="003A1174">
        <w:rPr>
          <w:rFonts w:ascii="Garamond" w:hAnsi="Garamond" w:cs="Arial"/>
          <w:sz w:val="24"/>
          <w:szCs w:val="24"/>
        </w:rPr>
        <w:t>assim</w:t>
      </w:r>
      <w:r w:rsidR="00823BE0" w:rsidRPr="003A1174">
        <w:rPr>
          <w:rFonts w:ascii="Garamond" w:hAnsi="Garamond" w:cs="Arial"/>
          <w:sz w:val="24"/>
          <w:szCs w:val="24"/>
        </w:rPr>
        <w:t xml:space="preserve"> como</w:t>
      </w:r>
      <w:r w:rsidR="008D0F05">
        <w:rPr>
          <w:rFonts w:ascii="Garamond" w:hAnsi="Garamond" w:cs="Arial"/>
          <w:sz w:val="24"/>
          <w:szCs w:val="24"/>
        </w:rPr>
        <w:t>,</w:t>
      </w:r>
      <w:r w:rsidR="00823BE0" w:rsidRPr="003A1174">
        <w:rPr>
          <w:rFonts w:ascii="Garamond" w:hAnsi="Garamond" w:cs="Arial"/>
          <w:sz w:val="24"/>
          <w:szCs w:val="24"/>
        </w:rPr>
        <w:t xml:space="preserve"> fo</w:t>
      </w:r>
      <w:r w:rsidRPr="003A1174">
        <w:rPr>
          <w:rFonts w:ascii="Garamond" w:hAnsi="Garamond" w:cs="Arial"/>
          <w:sz w:val="24"/>
          <w:szCs w:val="24"/>
        </w:rPr>
        <w:t xml:space="preserve">rtalecer </w:t>
      </w:r>
      <w:r w:rsidR="008D0F05">
        <w:rPr>
          <w:rFonts w:ascii="Garamond" w:hAnsi="Garamond" w:cs="Arial"/>
          <w:sz w:val="24"/>
          <w:szCs w:val="24"/>
        </w:rPr>
        <w:t xml:space="preserve">estratégias de chamada de </w:t>
      </w:r>
      <w:r w:rsidR="008278C4" w:rsidRPr="003A1174">
        <w:rPr>
          <w:rFonts w:ascii="Garamond" w:hAnsi="Garamond" w:cs="Arial"/>
          <w:sz w:val="24"/>
          <w:szCs w:val="24"/>
        </w:rPr>
        <w:t>atenção</w:t>
      </w:r>
      <w:r w:rsidR="00823BE0" w:rsidRPr="003A1174">
        <w:rPr>
          <w:rFonts w:ascii="Garamond" w:hAnsi="Garamond" w:cs="Arial"/>
          <w:sz w:val="24"/>
          <w:szCs w:val="24"/>
        </w:rPr>
        <w:t xml:space="preserve"> </w:t>
      </w:r>
      <w:r w:rsidR="008D0F05">
        <w:rPr>
          <w:rFonts w:ascii="Garamond" w:hAnsi="Garamond" w:cs="Arial"/>
          <w:sz w:val="24"/>
          <w:szCs w:val="24"/>
        </w:rPr>
        <w:t xml:space="preserve">para os </w:t>
      </w:r>
      <w:r w:rsidR="00823BE0" w:rsidRPr="003A1174">
        <w:rPr>
          <w:rFonts w:ascii="Garamond" w:hAnsi="Garamond" w:cs="Arial"/>
          <w:sz w:val="24"/>
          <w:szCs w:val="24"/>
        </w:rPr>
        <w:t xml:space="preserve">casos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sexual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17447A" w:rsidRPr="003A1174">
        <w:rPr>
          <w:rFonts w:ascii="Garamond" w:hAnsi="Garamond" w:cs="Arial"/>
          <w:sz w:val="24"/>
          <w:szCs w:val="24"/>
        </w:rPr>
        <w:t>outras</w:t>
      </w:r>
      <w:r w:rsidR="00823BE0" w:rsidRPr="003A1174">
        <w:rPr>
          <w:rFonts w:ascii="Garamond" w:hAnsi="Garamond" w:cs="Arial"/>
          <w:sz w:val="24"/>
          <w:szCs w:val="24"/>
        </w:rPr>
        <w:t xml:space="preserve"> formas de </w:t>
      </w:r>
      <w:r w:rsidR="000350B1" w:rsidRPr="003A1174">
        <w:rPr>
          <w:rFonts w:ascii="Garamond" w:hAnsi="Garamond" w:cs="Arial"/>
          <w:sz w:val="24"/>
          <w:szCs w:val="24"/>
        </w:rPr>
        <w:t>violência</w:t>
      </w:r>
      <w:r w:rsidR="00823BE0" w:rsidRPr="003A1174">
        <w:rPr>
          <w:rFonts w:ascii="Garamond" w:hAnsi="Garamond" w:cs="Arial"/>
          <w:sz w:val="24"/>
          <w:szCs w:val="24"/>
        </w:rPr>
        <w:t xml:space="preserve"> </w:t>
      </w:r>
      <w:r w:rsidR="007C63D0" w:rsidRPr="003A1174">
        <w:rPr>
          <w:rFonts w:ascii="Garamond" w:hAnsi="Garamond" w:cs="Arial"/>
          <w:sz w:val="24"/>
          <w:szCs w:val="24"/>
        </w:rPr>
        <w:t>baseada</w:t>
      </w:r>
      <w:r w:rsidR="00823BE0" w:rsidRPr="003A1174">
        <w:rPr>
          <w:rFonts w:ascii="Garamond" w:hAnsi="Garamond" w:cs="Arial"/>
          <w:sz w:val="24"/>
          <w:szCs w:val="24"/>
        </w:rPr>
        <w:t xml:space="preserve">s </w:t>
      </w:r>
      <w:r w:rsidR="00531494">
        <w:rPr>
          <w:rFonts w:ascii="Garamond" w:hAnsi="Garamond" w:cs="Arial"/>
          <w:sz w:val="24"/>
          <w:szCs w:val="24"/>
        </w:rPr>
        <w:t xml:space="preserve">no </w:t>
      </w:r>
      <w:r w:rsidR="00823BE0" w:rsidRPr="003A1174">
        <w:rPr>
          <w:rFonts w:ascii="Garamond" w:hAnsi="Garamond" w:cs="Arial"/>
          <w:sz w:val="24"/>
          <w:szCs w:val="24"/>
        </w:rPr>
        <w:t xml:space="preserve">género.  </w:t>
      </w:r>
    </w:p>
    <w:p w:rsidR="00823BE0" w:rsidRPr="003A1174" w:rsidRDefault="00C30647" w:rsidP="008719D4">
      <w:pPr>
        <w:widowControl w:val="0"/>
        <w:numPr>
          <w:ilvl w:val="0"/>
          <w:numId w:val="30"/>
        </w:numPr>
        <w:suppressAutoHyphens/>
        <w:spacing w:before="240" w:after="0" w:line="240" w:lineRule="auto"/>
        <w:jc w:val="both"/>
        <w:rPr>
          <w:rFonts w:ascii="Garamond" w:hAnsi="Garamond" w:cs="Arial"/>
          <w:sz w:val="24"/>
          <w:szCs w:val="24"/>
        </w:rPr>
      </w:pPr>
      <w:r w:rsidRPr="003A1174">
        <w:rPr>
          <w:rFonts w:ascii="Garamond" w:hAnsi="Garamond" w:cs="Arial"/>
          <w:sz w:val="24"/>
          <w:szCs w:val="24"/>
        </w:rPr>
        <w:t>Realização</w:t>
      </w:r>
      <w:r w:rsidR="00823BE0" w:rsidRPr="003A1174">
        <w:rPr>
          <w:rFonts w:ascii="Garamond" w:hAnsi="Garamond" w:cs="Arial"/>
          <w:sz w:val="24"/>
          <w:szCs w:val="24"/>
        </w:rPr>
        <w:t xml:space="preserve"> de 8 </w:t>
      </w:r>
      <w:r w:rsidR="008B1192">
        <w:rPr>
          <w:rFonts w:ascii="Garamond" w:hAnsi="Garamond" w:cs="Arial"/>
          <w:sz w:val="24"/>
          <w:szCs w:val="24"/>
        </w:rPr>
        <w:t xml:space="preserve">cursos </w:t>
      </w:r>
      <w:r w:rsidR="008D0F05">
        <w:rPr>
          <w:rFonts w:ascii="Garamond" w:hAnsi="Garamond" w:cs="Arial"/>
          <w:sz w:val="24"/>
          <w:szCs w:val="24"/>
        </w:rPr>
        <w:t xml:space="preserve">de formação </w:t>
      </w:r>
      <w:r w:rsidR="00D02353" w:rsidRPr="003A1174">
        <w:rPr>
          <w:rFonts w:ascii="Garamond" w:hAnsi="Garamond" w:cs="Arial"/>
          <w:sz w:val="24"/>
          <w:szCs w:val="24"/>
        </w:rPr>
        <w:t>j</w:t>
      </w:r>
      <w:r w:rsidR="00823BE0" w:rsidRPr="003A1174">
        <w:rPr>
          <w:rFonts w:ascii="Garamond" w:hAnsi="Garamond" w:cs="Arial"/>
          <w:sz w:val="24"/>
          <w:szCs w:val="24"/>
        </w:rPr>
        <w:t>urídica</w:t>
      </w:r>
      <w:r w:rsidR="00CF5991" w:rsidRPr="003A1174">
        <w:rPr>
          <w:rFonts w:ascii="Garamond" w:hAnsi="Garamond" w:cs="Arial"/>
          <w:sz w:val="24"/>
          <w:szCs w:val="24"/>
        </w:rPr>
        <w:t xml:space="preserve"> a </w:t>
      </w:r>
      <w:r w:rsidR="001C315D" w:rsidRPr="003A1174">
        <w:rPr>
          <w:rFonts w:ascii="Garamond" w:hAnsi="Garamond" w:cs="Arial"/>
          <w:sz w:val="24"/>
          <w:szCs w:val="24"/>
        </w:rPr>
        <w:t>servidores da</w:t>
      </w:r>
      <w:r w:rsidR="00823BE0" w:rsidRPr="003A1174">
        <w:rPr>
          <w:rFonts w:ascii="Garamond" w:hAnsi="Garamond" w:cs="Arial"/>
          <w:sz w:val="24"/>
          <w:szCs w:val="24"/>
        </w:rPr>
        <w:t xml:space="preserve">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00CF5991" w:rsidRPr="003A1174">
        <w:rPr>
          <w:rFonts w:ascii="Garamond" w:hAnsi="Garamond" w:cs="Arial"/>
          <w:sz w:val="24"/>
          <w:szCs w:val="24"/>
        </w:rPr>
        <w:t>n</w:t>
      </w:r>
      <w:r w:rsidR="00823BE0" w:rsidRPr="003A1174">
        <w:rPr>
          <w:rFonts w:ascii="Garamond" w:hAnsi="Garamond" w:cs="Arial"/>
          <w:sz w:val="24"/>
          <w:szCs w:val="24"/>
        </w:rPr>
        <w:t>as zona</w:t>
      </w:r>
      <w:r w:rsidR="001C315D" w:rsidRPr="003A1174">
        <w:rPr>
          <w:rFonts w:ascii="Garamond" w:hAnsi="Garamond" w:cs="Arial"/>
          <w:sz w:val="24"/>
          <w:szCs w:val="24"/>
        </w:rPr>
        <w:t>s</w:t>
      </w:r>
      <w:r w:rsidR="00823BE0" w:rsidRPr="003A1174">
        <w:rPr>
          <w:rFonts w:ascii="Garamond" w:hAnsi="Garamond" w:cs="Arial"/>
          <w:sz w:val="24"/>
          <w:szCs w:val="24"/>
        </w:rPr>
        <w:t xml:space="preserve"> Centro, Antioquia, Caribe </w:t>
      </w:r>
      <w:r w:rsidR="000672E8" w:rsidRPr="003A1174">
        <w:rPr>
          <w:rFonts w:ascii="Garamond" w:hAnsi="Garamond" w:cs="Arial"/>
          <w:sz w:val="24"/>
          <w:szCs w:val="24"/>
        </w:rPr>
        <w:t>e</w:t>
      </w:r>
      <w:r w:rsidR="00CF5991" w:rsidRPr="003A1174">
        <w:rPr>
          <w:rFonts w:ascii="Garamond" w:hAnsi="Garamond" w:cs="Arial"/>
          <w:sz w:val="24"/>
          <w:szCs w:val="24"/>
        </w:rPr>
        <w:t xml:space="preserve"> </w:t>
      </w:r>
      <w:r w:rsidR="00BA3CCE" w:rsidRPr="003A1174">
        <w:rPr>
          <w:rFonts w:ascii="Garamond" w:hAnsi="Garamond" w:cs="Arial"/>
          <w:sz w:val="24"/>
          <w:szCs w:val="24"/>
        </w:rPr>
        <w:t>Sul</w:t>
      </w:r>
      <w:r w:rsidR="00CF5991" w:rsidRPr="003A1174">
        <w:rPr>
          <w:rFonts w:ascii="Garamond" w:hAnsi="Garamond" w:cs="Arial"/>
          <w:sz w:val="24"/>
          <w:szCs w:val="24"/>
        </w:rPr>
        <w:t xml:space="preserve"> o</w:t>
      </w:r>
      <w:r w:rsidR="00823BE0" w:rsidRPr="003A1174">
        <w:rPr>
          <w:rFonts w:ascii="Garamond" w:hAnsi="Garamond" w:cs="Arial"/>
          <w:sz w:val="24"/>
          <w:szCs w:val="24"/>
        </w:rPr>
        <w:t xml:space="preserve">cidente. Cada </w:t>
      </w:r>
      <w:r w:rsidR="008B1192">
        <w:rPr>
          <w:rFonts w:ascii="Garamond" w:hAnsi="Garamond" w:cs="Arial"/>
          <w:sz w:val="24"/>
          <w:szCs w:val="24"/>
        </w:rPr>
        <w:t>curso de formação</w:t>
      </w:r>
      <w:r w:rsidR="00823BE0" w:rsidRPr="003A1174">
        <w:rPr>
          <w:rFonts w:ascii="Garamond" w:hAnsi="Garamond" w:cs="Arial"/>
          <w:sz w:val="24"/>
          <w:szCs w:val="24"/>
        </w:rPr>
        <w:t xml:space="preserve"> </w:t>
      </w:r>
      <w:r w:rsidR="00531494">
        <w:rPr>
          <w:rFonts w:ascii="Garamond" w:hAnsi="Garamond" w:cs="Arial"/>
          <w:sz w:val="24"/>
          <w:szCs w:val="24"/>
        </w:rPr>
        <w:t xml:space="preserve">centrou-se </w:t>
      </w:r>
      <w:r w:rsidR="00CF5991" w:rsidRPr="003A1174">
        <w:rPr>
          <w:rFonts w:ascii="Garamond" w:hAnsi="Garamond" w:cs="Arial"/>
          <w:sz w:val="24"/>
          <w:szCs w:val="24"/>
        </w:rPr>
        <w:t xml:space="preserve">no </w:t>
      </w:r>
      <w:r w:rsidR="00731B19" w:rsidRPr="003A1174">
        <w:rPr>
          <w:rFonts w:ascii="Garamond" w:hAnsi="Garamond" w:cs="Arial"/>
          <w:sz w:val="24"/>
          <w:szCs w:val="24"/>
        </w:rPr>
        <w:t>exercício</w:t>
      </w:r>
      <w:r w:rsidR="00823BE0" w:rsidRPr="003A1174">
        <w:rPr>
          <w:rFonts w:ascii="Garamond" w:hAnsi="Garamond" w:cs="Arial"/>
          <w:sz w:val="24"/>
          <w:szCs w:val="24"/>
        </w:rPr>
        <w:t xml:space="preserve"> pedagógico</w:t>
      </w:r>
      <w:r w:rsidR="008B1192">
        <w:rPr>
          <w:rFonts w:ascii="Garamond" w:hAnsi="Garamond" w:cs="Arial"/>
          <w:sz w:val="24"/>
          <w:szCs w:val="24"/>
        </w:rPr>
        <w:t>,</w:t>
      </w:r>
      <w:r w:rsidR="00823BE0" w:rsidRPr="003A1174">
        <w:rPr>
          <w:rFonts w:ascii="Garamond" w:hAnsi="Garamond" w:cs="Arial"/>
          <w:sz w:val="24"/>
          <w:szCs w:val="24"/>
        </w:rPr>
        <w:t xml:space="preserve"> </w:t>
      </w:r>
      <w:r w:rsidR="00AE64C1" w:rsidRPr="003A1174">
        <w:rPr>
          <w:rFonts w:ascii="Garamond" w:hAnsi="Garamond" w:cs="Arial"/>
          <w:sz w:val="24"/>
          <w:szCs w:val="24"/>
        </w:rPr>
        <w:t xml:space="preserve">através da </w:t>
      </w:r>
      <w:r w:rsidR="0017447A" w:rsidRPr="003A1174">
        <w:rPr>
          <w:rFonts w:ascii="Garamond" w:hAnsi="Garamond" w:cs="Arial"/>
          <w:sz w:val="24"/>
          <w:szCs w:val="24"/>
        </w:rPr>
        <w:t>análise</w:t>
      </w:r>
      <w:r w:rsidR="00AE64C1" w:rsidRPr="003A1174">
        <w:rPr>
          <w:rFonts w:ascii="Garamond" w:hAnsi="Garamond" w:cs="Arial"/>
          <w:sz w:val="24"/>
          <w:szCs w:val="24"/>
        </w:rPr>
        <w:t xml:space="preserve"> de casos </w:t>
      </w:r>
      <w:r w:rsidR="008B1192">
        <w:rPr>
          <w:rFonts w:ascii="Garamond" w:hAnsi="Garamond" w:cs="Arial"/>
          <w:sz w:val="24"/>
          <w:szCs w:val="24"/>
        </w:rPr>
        <w:t xml:space="preserve">em que </w:t>
      </w:r>
      <w:r w:rsidR="00823BE0" w:rsidRPr="003A1174">
        <w:rPr>
          <w:rFonts w:ascii="Garamond" w:hAnsi="Garamond" w:cs="Arial"/>
          <w:sz w:val="24"/>
          <w:szCs w:val="24"/>
        </w:rPr>
        <w:t xml:space="preserve">se </w:t>
      </w:r>
      <w:r w:rsidR="00AE64C1" w:rsidRPr="003A1174">
        <w:rPr>
          <w:rFonts w:ascii="Garamond" w:hAnsi="Garamond" w:cs="Arial"/>
          <w:sz w:val="24"/>
          <w:szCs w:val="24"/>
        </w:rPr>
        <w:t xml:space="preserve">apresentou </w:t>
      </w:r>
      <w:r w:rsidR="00823BE0" w:rsidRPr="003A1174">
        <w:rPr>
          <w:rFonts w:ascii="Garamond" w:hAnsi="Garamond" w:cs="Arial"/>
          <w:sz w:val="24"/>
          <w:szCs w:val="24"/>
        </w:rPr>
        <w:t xml:space="preserve">a </w:t>
      </w:r>
      <w:r w:rsidR="00976FB8" w:rsidRPr="003A1174">
        <w:rPr>
          <w:rFonts w:ascii="Garamond" w:hAnsi="Garamond" w:cs="Arial"/>
          <w:sz w:val="24"/>
          <w:szCs w:val="24"/>
        </w:rPr>
        <w:t>inclusão</w:t>
      </w:r>
      <w:r w:rsidR="00823BE0" w:rsidRPr="003A1174">
        <w:rPr>
          <w:rFonts w:ascii="Garamond" w:hAnsi="Garamond" w:cs="Arial"/>
          <w:sz w:val="24"/>
          <w:szCs w:val="24"/>
        </w:rPr>
        <w:t xml:space="preserve"> </w:t>
      </w:r>
      <w:r w:rsidR="00497503" w:rsidRPr="003A1174">
        <w:rPr>
          <w:rFonts w:ascii="Garamond" w:hAnsi="Garamond" w:cs="Arial"/>
          <w:sz w:val="24"/>
          <w:szCs w:val="24"/>
        </w:rPr>
        <w:t>dos</w:t>
      </w:r>
      <w:r w:rsidR="00823BE0" w:rsidRPr="003A1174">
        <w:rPr>
          <w:rFonts w:ascii="Garamond" w:hAnsi="Garamond" w:cs="Arial"/>
          <w:sz w:val="24"/>
          <w:szCs w:val="24"/>
        </w:rPr>
        <w:t xml:space="preserve"> </w:t>
      </w:r>
      <w:r w:rsidR="00886D6A" w:rsidRPr="003A1174">
        <w:rPr>
          <w:rFonts w:ascii="Garamond" w:hAnsi="Garamond" w:cs="Arial"/>
          <w:sz w:val="24"/>
          <w:szCs w:val="24"/>
        </w:rPr>
        <w:t>direito</w:t>
      </w:r>
      <w:r w:rsidR="00823BE0" w:rsidRPr="003A1174">
        <w:rPr>
          <w:rFonts w:ascii="Garamond" w:hAnsi="Garamond" w:cs="Arial"/>
          <w:sz w:val="24"/>
          <w:szCs w:val="24"/>
        </w:rPr>
        <w:t xml:space="preserve">s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AE64C1" w:rsidRPr="003A1174">
        <w:rPr>
          <w:rFonts w:ascii="Garamond" w:hAnsi="Garamond" w:cs="Arial"/>
          <w:sz w:val="24"/>
          <w:szCs w:val="24"/>
        </w:rPr>
        <w:t xml:space="preserve">na </w:t>
      </w:r>
      <w:r w:rsidR="00D4575C" w:rsidRPr="003A1174">
        <w:rPr>
          <w:rFonts w:ascii="Garamond" w:hAnsi="Garamond" w:cs="Arial"/>
          <w:sz w:val="24"/>
          <w:szCs w:val="24"/>
        </w:rPr>
        <w:t>gestão</w:t>
      </w:r>
      <w:r w:rsidR="00823BE0" w:rsidRPr="003A1174">
        <w:rPr>
          <w:rFonts w:ascii="Garamond" w:hAnsi="Garamond" w:cs="Arial"/>
          <w:sz w:val="24"/>
          <w:szCs w:val="24"/>
        </w:rPr>
        <w:t xml:space="preserve"> defens</w:t>
      </w:r>
      <w:r w:rsidR="00AE64C1" w:rsidRPr="003A1174">
        <w:rPr>
          <w:rFonts w:ascii="Garamond" w:hAnsi="Garamond" w:cs="Arial"/>
          <w:sz w:val="24"/>
          <w:szCs w:val="24"/>
        </w:rPr>
        <w:t>ória</w:t>
      </w:r>
      <w:r w:rsidR="00823BE0" w:rsidRPr="003A1174">
        <w:rPr>
          <w:rFonts w:ascii="Garamond" w:hAnsi="Garamond" w:cs="Arial"/>
          <w:sz w:val="24"/>
          <w:szCs w:val="24"/>
        </w:rPr>
        <w:t xml:space="preserve">.  </w:t>
      </w:r>
    </w:p>
    <w:p w:rsidR="00823BE0" w:rsidRPr="003A1174" w:rsidRDefault="00823BE0" w:rsidP="008719D4">
      <w:pPr>
        <w:widowControl w:val="0"/>
        <w:numPr>
          <w:ilvl w:val="0"/>
          <w:numId w:val="30"/>
        </w:numPr>
        <w:suppressAutoHyphens/>
        <w:spacing w:before="240" w:after="0" w:line="240" w:lineRule="auto"/>
        <w:jc w:val="both"/>
        <w:rPr>
          <w:rFonts w:ascii="Garamond" w:hAnsi="Garamond" w:cs="Arial"/>
          <w:sz w:val="24"/>
          <w:szCs w:val="24"/>
        </w:rPr>
      </w:pPr>
      <w:r w:rsidRPr="003A1174">
        <w:rPr>
          <w:rFonts w:ascii="Garamond" w:hAnsi="Garamond" w:cs="Arial"/>
          <w:sz w:val="24"/>
          <w:szCs w:val="24"/>
        </w:rPr>
        <w:t>E</w:t>
      </w:r>
      <w:r w:rsidR="00AE64C1" w:rsidRPr="003A1174">
        <w:rPr>
          <w:rFonts w:ascii="Garamond" w:hAnsi="Garamond" w:cs="Arial"/>
          <w:sz w:val="24"/>
          <w:szCs w:val="24"/>
        </w:rPr>
        <w:t>m</w:t>
      </w:r>
      <w:r w:rsidRPr="003A1174">
        <w:rPr>
          <w:rFonts w:ascii="Garamond" w:hAnsi="Garamond" w:cs="Arial"/>
          <w:sz w:val="24"/>
          <w:szCs w:val="24"/>
        </w:rPr>
        <w:t xml:space="preserve"> 2014, de </w:t>
      </w:r>
      <w:r w:rsidR="00B936A7" w:rsidRPr="003A1174">
        <w:rPr>
          <w:rFonts w:ascii="Garamond" w:hAnsi="Garamond" w:cs="Arial"/>
          <w:sz w:val="24"/>
          <w:szCs w:val="24"/>
        </w:rPr>
        <w:t>janeiro</w:t>
      </w:r>
      <w:r w:rsidRPr="003A1174">
        <w:rPr>
          <w:rFonts w:ascii="Garamond" w:hAnsi="Garamond" w:cs="Arial"/>
          <w:sz w:val="24"/>
          <w:szCs w:val="24"/>
        </w:rPr>
        <w:t xml:space="preserve"> a </w:t>
      </w:r>
      <w:r w:rsidR="00077461" w:rsidRPr="003A1174">
        <w:rPr>
          <w:rFonts w:ascii="Garamond" w:hAnsi="Garamond" w:cs="Arial"/>
          <w:sz w:val="24"/>
          <w:szCs w:val="24"/>
        </w:rPr>
        <w:t>junho</w:t>
      </w:r>
      <w:r w:rsidR="00AE64C1" w:rsidRPr="003A1174">
        <w:rPr>
          <w:rFonts w:ascii="Garamond" w:hAnsi="Garamond" w:cs="Arial"/>
          <w:sz w:val="24"/>
          <w:szCs w:val="24"/>
        </w:rPr>
        <w:t xml:space="preserve">, </w:t>
      </w:r>
      <w:r w:rsidR="00D75A07" w:rsidRPr="003A1174">
        <w:rPr>
          <w:rFonts w:ascii="Garamond" w:hAnsi="Garamond" w:cs="Arial"/>
          <w:sz w:val="24"/>
          <w:szCs w:val="24"/>
        </w:rPr>
        <w:t>realizou</w:t>
      </w:r>
      <w:r w:rsidR="00AE64C1" w:rsidRPr="003A1174">
        <w:rPr>
          <w:rFonts w:ascii="Garamond" w:hAnsi="Garamond" w:cs="Arial"/>
          <w:sz w:val="24"/>
          <w:szCs w:val="24"/>
        </w:rPr>
        <w:t>-se o Seminário</w:t>
      </w:r>
      <w:r w:rsidRPr="003A1174">
        <w:rPr>
          <w:rFonts w:ascii="Garamond" w:hAnsi="Garamond" w:cs="Arial"/>
          <w:sz w:val="24"/>
          <w:szCs w:val="24"/>
        </w:rPr>
        <w:t>-</w:t>
      </w:r>
      <w:r w:rsidR="00B830CA" w:rsidRPr="003A1174">
        <w:rPr>
          <w:rFonts w:ascii="Garamond" w:hAnsi="Garamond" w:cs="Arial"/>
          <w:sz w:val="24"/>
          <w:szCs w:val="24"/>
        </w:rPr>
        <w:t>Atelier</w:t>
      </w:r>
      <w:r w:rsidRPr="003A1174">
        <w:rPr>
          <w:rFonts w:ascii="Garamond" w:hAnsi="Garamond" w:cs="Arial"/>
          <w:sz w:val="24"/>
          <w:szCs w:val="24"/>
        </w:rPr>
        <w:t xml:space="preserve"> de </w:t>
      </w:r>
      <w:r w:rsidR="00976FB8" w:rsidRPr="003A1174">
        <w:rPr>
          <w:rFonts w:ascii="Garamond" w:hAnsi="Garamond" w:cs="Arial"/>
          <w:sz w:val="24"/>
          <w:szCs w:val="24"/>
        </w:rPr>
        <w:t>sensibilização</w:t>
      </w:r>
      <w:r w:rsidRPr="003A1174">
        <w:rPr>
          <w:rFonts w:ascii="Garamond" w:hAnsi="Garamond" w:cs="Arial"/>
          <w:sz w:val="24"/>
          <w:szCs w:val="24"/>
        </w:rPr>
        <w:t xml:space="preserve">, </w:t>
      </w:r>
      <w:r w:rsidR="00AE64C1" w:rsidRPr="003A1174">
        <w:rPr>
          <w:rFonts w:ascii="Garamond" w:hAnsi="Garamond" w:cs="Arial"/>
          <w:sz w:val="24"/>
          <w:szCs w:val="24"/>
        </w:rPr>
        <w:t xml:space="preserve">para </w:t>
      </w:r>
      <w:r w:rsidRPr="003A1174">
        <w:rPr>
          <w:rFonts w:ascii="Garamond" w:hAnsi="Garamond" w:cs="Arial"/>
          <w:sz w:val="24"/>
          <w:szCs w:val="24"/>
        </w:rPr>
        <w:t xml:space="preserve">a </w:t>
      </w:r>
      <w:r w:rsidR="005C051C" w:rsidRPr="003A1174">
        <w:rPr>
          <w:rFonts w:ascii="Garamond" w:hAnsi="Garamond" w:cs="Arial"/>
          <w:sz w:val="24"/>
          <w:szCs w:val="24"/>
        </w:rPr>
        <w:t>incorporação</w:t>
      </w:r>
      <w:r w:rsidRPr="003A1174">
        <w:rPr>
          <w:rFonts w:ascii="Garamond" w:hAnsi="Garamond" w:cs="Arial"/>
          <w:sz w:val="24"/>
          <w:szCs w:val="24"/>
        </w:rPr>
        <w:t xml:space="preserve"> da </w:t>
      </w:r>
      <w:r w:rsidR="00D96FD0" w:rsidRPr="003A1174">
        <w:rPr>
          <w:rFonts w:ascii="Garamond" w:hAnsi="Garamond" w:cs="Arial"/>
          <w:sz w:val="24"/>
          <w:szCs w:val="24"/>
        </w:rPr>
        <w:t>perspetiva</w:t>
      </w:r>
      <w:r w:rsidRPr="003A1174">
        <w:rPr>
          <w:rFonts w:ascii="Garamond" w:hAnsi="Garamond" w:cs="Arial"/>
          <w:sz w:val="24"/>
          <w:szCs w:val="24"/>
        </w:rPr>
        <w:t xml:space="preserve"> de género </w:t>
      </w:r>
      <w:r w:rsidR="000672E8" w:rsidRPr="003A1174">
        <w:rPr>
          <w:rFonts w:ascii="Garamond" w:hAnsi="Garamond" w:cs="Arial"/>
          <w:sz w:val="24"/>
          <w:szCs w:val="24"/>
        </w:rPr>
        <w:t>e</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de </w:t>
      </w:r>
      <w:r w:rsidR="00054EE0" w:rsidRPr="003A1174">
        <w:rPr>
          <w:rFonts w:ascii="Garamond" w:hAnsi="Garamond" w:cs="Arial"/>
          <w:sz w:val="24"/>
          <w:szCs w:val="24"/>
        </w:rPr>
        <w:t>mulheres</w:t>
      </w:r>
      <w:r w:rsidRPr="003A1174">
        <w:rPr>
          <w:rFonts w:ascii="Garamond" w:hAnsi="Garamond" w:cs="Arial"/>
          <w:sz w:val="24"/>
          <w:szCs w:val="24"/>
        </w:rPr>
        <w:t>, co</w:t>
      </w:r>
      <w:r w:rsidR="00AE64C1" w:rsidRPr="003A1174">
        <w:rPr>
          <w:rFonts w:ascii="Garamond" w:hAnsi="Garamond" w:cs="Arial"/>
          <w:sz w:val="24"/>
          <w:szCs w:val="24"/>
        </w:rPr>
        <w:t xml:space="preserve">m </w:t>
      </w:r>
      <w:r w:rsidR="00165C72">
        <w:rPr>
          <w:rFonts w:ascii="Garamond" w:hAnsi="Garamond" w:cs="Arial"/>
          <w:sz w:val="24"/>
          <w:szCs w:val="24"/>
        </w:rPr>
        <w:t xml:space="preserve">a presença </w:t>
      </w:r>
      <w:r w:rsidRPr="003A1174">
        <w:rPr>
          <w:rFonts w:ascii="Garamond" w:hAnsi="Garamond" w:cs="Arial"/>
          <w:sz w:val="24"/>
          <w:szCs w:val="24"/>
        </w:rPr>
        <w:t xml:space="preserve">de 157 </w:t>
      </w:r>
      <w:r w:rsidR="006C760C" w:rsidRPr="003A1174">
        <w:rPr>
          <w:rFonts w:ascii="Garamond" w:hAnsi="Garamond" w:cs="Arial"/>
          <w:sz w:val="24"/>
          <w:szCs w:val="24"/>
        </w:rPr>
        <w:t>pessoas</w:t>
      </w:r>
      <w:r w:rsidR="00165C72">
        <w:rPr>
          <w:rFonts w:ascii="Garamond" w:hAnsi="Garamond" w:cs="Arial"/>
          <w:sz w:val="24"/>
          <w:szCs w:val="24"/>
        </w:rPr>
        <w:t>,</w:t>
      </w:r>
      <w:r w:rsidRPr="003A1174">
        <w:rPr>
          <w:rFonts w:ascii="Garamond" w:hAnsi="Garamond" w:cs="Arial"/>
          <w:sz w:val="24"/>
          <w:szCs w:val="24"/>
        </w:rPr>
        <w:t xml:space="preserve"> </w:t>
      </w:r>
      <w:r w:rsidR="00165C72">
        <w:rPr>
          <w:rFonts w:ascii="Garamond" w:hAnsi="Garamond" w:cs="Arial"/>
          <w:sz w:val="24"/>
          <w:szCs w:val="24"/>
        </w:rPr>
        <w:t>oriundas de</w:t>
      </w:r>
      <w:r w:rsidRPr="003A1174">
        <w:rPr>
          <w:rFonts w:ascii="Garamond" w:hAnsi="Garamond" w:cs="Arial"/>
          <w:sz w:val="24"/>
          <w:szCs w:val="24"/>
        </w:rPr>
        <w:t xml:space="preserve"> 34 </w:t>
      </w:r>
      <w:r w:rsidR="00DC5DA7" w:rsidRPr="003A1174">
        <w:rPr>
          <w:rFonts w:ascii="Garamond" w:hAnsi="Garamond" w:cs="Arial"/>
          <w:sz w:val="24"/>
          <w:szCs w:val="24"/>
        </w:rPr>
        <w:t>Provedorias</w:t>
      </w:r>
      <w:r w:rsidRPr="003A1174">
        <w:rPr>
          <w:rFonts w:ascii="Garamond" w:hAnsi="Garamond" w:cs="Arial"/>
          <w:sz w:val="24"/>
          <w:szCs w:val="24"/>
        </w:rPr>
        <w:t xml:space="preserve"> </w:t>
      </w:r>
      <w:r w:rsidR="00DC5DA7" w:rsidRPr="003A1174">
        <w:rPr>
          <w:rFonts w:ascii="Garamond" w:hAnsi="Garamond" w:cs="Arial"/>
          <w:sz w:val="24"/>
          <w:szCs w:val="24"/>
        </w:rPr>
        <w:t>de Justiça</w:t>
      </w:r>
      <w:r w:rsidRPr="003A1174">
        <w:rPr>
          <w:rFonts w:ascii="Garamond" w:hAnsi="Garamond" w:cs="Arial"/>
          <w:sz w:val="24"/>
          <w:szCs w:val="24"/>
        </w:rPr>
        <w:t xml:space="preserve"> </w:t>
      </w:r>
      <w:r w:rsidR="0086401D" w:rsidRPr="003A1174">
        <w:rPr>
          <w:rFonts w:ascii="Garamond" w:hAnsi="Garamond" w:cs="Arial"/>
          <w:sz w:val="24"/>
          <w:szCs w:val="24"/>
        </w:rPr>
        <w:t>Regionais</w:t>
      </w:r>
      <w:r w:rsidRPr="003A1174">
        <w:rPr>
          <w:rFonts w:ascii="Garamond" w:hAnsi="Garamond" w:cs="Arial"/>
          <w:sz w:val="24"/>
          <w:szCs w:val="24"/>
        </w:rPr>
        <w:t xml:space="preserve"> de todo </w:t>
      </w:r>
      <w:r w:rsidR="00AE64C1" w:rsidRPr="003A1174">
        <w:rPr>
          <w:rFonts w:ascii="Garamond" w:hAnsi="Garamond" w:cs="Arial"/>
          <w:sz w:val="24"/>
          <w:szCs w:val="24"/>
        </w:rPr>
        <w:t>o</w:t>
      </w:r>
      <w:r w:rsidRPr="003A1174">
        <w:rPr>
          <w:rFonts w:ascii="Garamond" w:hAnsi="Garamond" w:cs="Arial"/>
          <w:sz w:val="24"/>
          <w:szCs w:val="24"/>
        </w:rPr>
        <w:t xml:space="preserve"> país, 9 </w:t>
      </w:r>
      <w:r w:rsidR="007A2492" w:rsidRPr="003A1174">
        <w:rPr>
          <w:rFonts w:ascii="Garamond" w:hAnsi="Garamond" w:cs="Arial"/>
          <w:sz w:val="24"/>
          <w:szCs w:val="24"/>
        </w:rPr>
        <w:t>dependência</w:t>
      </w:r>
      <w:r w:rsidRPr="003A1174">
        <w:rPr>
          <w:rFonts w:ascii="Garamond" w:hAnsi="Garamond" w:cs="Arial"/>
          <w:sz w:val="24"/>
          <w:szCs w:val="24"/>
        </w:rPr>
        <w:t xml:space="preserve">s </w:t>
      </w:r>
      <w:r w:rsidR="00AE64C1" w:rsidRPr="003A1174">
        <w:rPr>
          <w:rFonts w:ascii="Garamond" w:hAnsi="Garamond" w:cs="Arial"/>
          <w:sz w:val="24"/>
          <w:szCs w:val="24"/>
        </w:rPr>
        <w:t xml:space="preserve">a </w:t>
      </w:r>
      <w:r w:rsidR="0017447A" w:rsidRPr="003A1174">
        <w:rPr>
          <w:rFonts w:ascii="Garamond" w:hAnsi="Garamond" w:cs="Arial"/>
          <w:sz w:val="24"/>
          <w:szCs w:val="24"/>
        </w:rPr>
        <w:t>nível</w:t>
      </w:r>
      <w:r w:rsidRPr="003A1174">
        <w:rPr>
          <w:rFonts w:ascii="Garamond" w:hAnsi="Garamond" w:cs="Arial"/>
          <w:sz w:val="24"/>
          <w:szCs w:val="24"/>
        </w:rPr>
        <w:t xml:space="preserve"> nacional </w:t>
      </w:r>
      <w:r w:rsidR="000672E8" w:rsidRPr="003A1174">
        <w:rPr>
          <w:rFonts w:ascii="Garamond" w:hAnsi="Garamond" w:cs="Arial"/>
          <w:sz w:val="24"/>
          <w:szCs w:val="24"/>
        </w:rPr>
        <w:t>e</w:t>
      </w:r>
      <w:r w:rsidRPr="003A1174">
        <w:rPr>
          <w:rFonts w:ascii="Garamond" w:hAnsi="Garamond" w:cs="Arial"/>
          <w:sz w:val="24"/>
          <w:szCs w:val="24"/>
        </w:rPr>
        <w:t xml:space="preserve"> </w:t>
      </w:r>
      <w:r w:rsidR="006F4B2C" w:rsidRPr="003A1174">
        <w:rPr>
          <w:rFonts w:ascii="Garamond" w:hAnsi="Garamond" w:cs="Arial"/>
          <w:sz w:val="24"/>
          <w:szCs w:val="24"/>
        </w:rPr>
        <w:t>alguns</w:t>
      </w:r>
      <w:r w:rsidRPr="003A1174">
        <w:rPr>
          <w:rFonts w:ascii="Garamond" w:hAnsi="Garamond" w:cs="Arial"/>
          <w:sz w:val="24"/>
          <w:szCs w:val="24"/>
        </w:rPr>
        <w:t xml:space="preserve"> representantes d</w:t>
      </w:r>
      <w:r w:rsidR="00D02353" w:rsidRPr="003A1174">
        <w:rPr>
          <w:rFonts w:ascii="Garamond" w:hAnsi="Garamond" w:cs="Arial"/>
          <w:sz w:val="24"/>
          <w:szCs w:val="24"/>
        </w:rPr>
        <w:t>a</w:t>
      </w:r>
      <w:r w:rsidRPr="003A1174">
        <w:rPr>
          <w:rFonts w:ascii="Garamond" w:hAnsi="Garamond" w:cs="Arial"/>
          <w:sz w:val="24"/>
          <w:szCs w:val="24"/>
        </w:rPr>
        <w:t xml:space="preserve"> </w:t>
      </w:r>
      <w:r w:rsidR="00C30647" w:rsidRPr="003A1174">
        <w:rPr>
          <w:rFonts w:ascii="Garamond" w:hAnsi="Garamond" w:cs="Arial"/>
          <w:sz w:val="24"/>
          <w:szCs w:val="24"/>
        </w:rPr>
        <w:t>Federação</w:t>
      </w:r>
      <w:r w:rsidRPr="003A1174">
        <w:rPr>
          <w:rFonts w:ascii="Garamond" w:hAnsi="Garamond" w:cs="Arial"/>
          <w:sz w:val="24"/>
          <w:szCs w:val="24"/>
        </w:rPr>
        <w:t xml:space="preserve"> Nacional de </w:t>
      </w:r>
      <w:r w:rsidR="00BA3CCE" w:rsidRPr="003A1174">
        <w:rPr>
          <w:rFonts w:ascii="Garamond" w:hAnsi="Garamond" w:cs="Arial"/>
          <w:sz w:val="24"/>
          <w:szCs w:val="24"/>
        </w:rPr>
        <w:t>Procuradores</w:t>
      </w:r>
      <w:r w:rsidR="00AE64C1" w:rsidRPr="003A1174">
        <w:rPr>
          <w:rFonts w:ascii="Garamond" w:hAnsi="Garamond" w:cs="Arial"/>
          <w:sz w:val="24"/>
          <w:szCs w:val="24"/>
        </w:rPr>
        <w:t xml:space="preserve"> da</w:t>
      </w:r>
      <w:r w:rsidRPr="003A1174">
        <w:rPr>
          <w:rFonts w:ascii="Garamond" w:hAnsi="Garamond" w:cs="Arial"/>
          <w:sz w:val="24"/>
          <w:szCs w:val="24"/>
        </w:rPr>
        <w:t xml:space="preserve"> </w:t>
      </w:r>
      <w:r w:rsidR="0017447A" w:rsidRPr="003A1174">
        <w:rPr>
          <w:rFonts w:ascii="Garamond" w:hAnsi="Garamond" w:cs="Arial"/>
          <w:sz w:val="24"/>
          <w:szCs w:val="24"/>
        </w:rPr>
        <w:t>Colômbia</w:t>
      </w:r>
      <w:r w:rsidRPr="003A1174">
        <w:rPr>
          <w:rFonts w:ascii="Garamond" w:hAnsi="Garamond" w:cs="Arial"/>
          <w:sz w:val="24"/>
          <w:szCs w:val="24"/>
        </w:rPr>
        <w:t>.</w:t>
      </w:r>
    </w:p>
    <w:p w:rsidR="00823BE0" w:rsidRPr="003A1174" w:rsidRDefault="00814E86" w:rsidP="008719D4">
      <w:pPr>
        <w:widowControl w:val="0"/>
        <w:numPr>
          <w:ilvl w:val="0"/>
          <w:numId w:val="30"/>
        </w:numPr>
        <w:suppressAutoHyphens/>
        <w:spacing w:before="240" w:after="0" w:line="240" w:lineRule="auto"/>
        <w:jc w:val="both"/>
        <w:rPr>
          <w:rFonts w:ascii="Garamond" w:hAnsi="Garamond" w:cs="Arial"/>
          <w:sz w:val="24"/>
          <w:szCs w:val="24"/>
        </w:rPr>
      </w:pPr>
      <w:r>
        <w:rPr>
          <w:rFonts w:ascii="Garamond" w:hAnsi="Garamond" w:cs="Arial"/>
          <w:sz w:val="24"/>
          <w:szCs w:val="24"/>
        </w:rPr>
        <w:t>Realizaram-se, ta</w:t>
      </w:r>
      <w:r w:rsidR="000350B1" w:rsidRPr="003A1174">
        <w:rPr>
          <w:rFonts w:ascii="Garamond" w:hAnsi="Garamond" w:cs="Arial"/>
          <w:sz w:val="24"/>
          <w:szCs w:val="24"/>
        </w:rPr>
        <w:t>mbém</w:t>
      </w:r>
      <w:r>
        <w:rPr>
          <w:rFonts w:ascii="Garamond" w:hAnsi="Garamond" w:cs="Arial"/>
          <w:sz w:val="24"/>
          <w:szCs w:val="24"/>
        </w:rPr>
        <w:t>,</w:t>
      </w:r>
      <w:r w:rsidR="00823BE0" w:rsidRPr="003A1174">
        <w:rPr>
          <w:rFonts w:ascii="Garamond" w:hAnsi="Garamond" w:cs="Arial"/>
          <w:sz w:val="24"/>
          <w:szCs w:val="24"/>
        </w:rPr>
        <w:t xml:space="preserve"> 4 </w:t>
      </w:r>
      <w:r w:rsidR="00165C72">
        <w:rPr>
          <w:rFonts w:ascii="Garamond" w:hAnsi="Garamond" w:cs="Arial"/>
          <w:sz w:val="24"/>
          <w:szCs w:val="24"/>
        </w:rPr>
        <w:t xml:space="preserve">cursos de formação </w:t>
      </w:r>
      <w:r w:rsidR="00823BE0" w:rsidRPr="003A1174">
        <w:rPr>
          <w:rFonts w:ascii="Garamond" w:hAnsi="Garamond" w:cs="Arial"/>
          <w:sz w:val="24"/>
          <w:szCs w:val="24"/>
        </w:rPr>
        <w:t xml:space="preserve">jurídica, </w:t>
      </w:r>
      <w:r w:rsidR="00165C72">
        <w:rPr>
          <w:rFonts w:ascii="Garamond" w:hAnsi="Garamond" w:cs="Arial"/>
          <w:sz w:val="24"/>
          <w:szCs w:val="24"/>
        </w:rPr>
        <w:t xml:space="preserve">dirigidos para </w:t>
      </w:r>
      <w:r w:rsidR="00823BE0" w:rsidRPr="003A1174">
        <w:rPr>
          <w:rFonts w:ascii="Garamond" w:hAnsi="Garamond" w:cs="Arial"/>
          <w:sz w:val="24"/>
          <w:szCs w:val="24"/>
        </w:rPr>
        <w:t xml:space="preserve">casos de </w:t>
      </w:r>
      <w:r w:rsidR="00964875" w:rsidRPr="003A1174">
        <w:rPr>
          <w:rFonts w:ascii="Garamond" w:hAnsi="Garamond" w:cs="Arial"/>
          <w:sz w:val="24"/>
          <w:szCs w:val="24"/>
        </w:rPr>
        <w:t>crianças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adolescentes co</w:t>
      </w:r>
      <w:r w:rsidR="00AE64C1" w:rsidRPr="003A1174">
        <w:rPr>
          <w:rFonts w:ascii="Garamond" w:hAnsi="Garamond" w:cs="Arial"/>
          <w:sz w:val="24"/>
          <w:szCs w:val="24"/>
        </w:rPr>
        <w:t>m</w:t>
      </w:r>
      <w:r w:rsidR="00823BE0" w:rsidRPr="003A1174">
        <w:rPr>
          <w:rFonts w:ascii="Garamond" w:hAnsi="Garamond" w:cs="Arial"/>
          <w:sz w:val="24"/>
          <w:szCs w:val="24"/>
        </w:rPr>
        <w:t xml:space="preserve"> </w:t>
      </w:r>
      <w:r w:rsidR="002D1021" w:rsidRPr="003A1174">
        <w:rPr>
          <w:rFonts w:ascii="Garamond" w:hAnsi="Garamond" w:cs="Arial"/>
          <w:sz w:val="24"/>
          <w:szCs w:val="24"/>
        </w:rPr>
        <w:t>processo</w:t>
      </w:r>
      <w:r w:rsidR="00823BE0" w:rsidRPr="003A1174">
        <w:rPr>
          <w:rFonts w:ascii="Garamond" w:hAnsi="Garamond" w:cs="Arial"/>
          <w:sz w:val="24"/>
          <w:szCs w:val="24"/>
        </w:rPr>
        <w:t xml:space="preserve">s </w:t>
      </w:r>
      <w:r w:rsidR="009A0CC2" w:rsidRPr="003A1174">
        <w:rPr>
          <w:rFonts w:ascii="Garamond" w:hAnsi="Garamond" w:cs="Arial"/>
          <w:sz w:val="24"/>
          <w:szCs w:val="24"/>
        </w:rPr>
        <w:t>penais</w:t>
      </w:r>
      <w:r w:rsidR="00823BE0" w:rsidRPr="003A1174">
        <w:rPr>
          <w:rFonts w:ascii="Garamond" w:hAnsi="Garamond" w:cs="Arial"/>
          <w:sz w:val="24"/>
          <w:szCs w:val="24"/>
        </w:rPr>
        <w:t xml:space="preserve"> (</w:t>
      </w:r>
      <w:r w:rsidR="00AE64C1" w:rsidRPr="003A1174">
        <w:rPr>
          <w:rFonts w:ascii="Garamond" w:hAnsi="Garamond" w:cs="Arial"/>
          <w:sz w:val="24"/>
          <w:szCs w:val="24"/>
        </w:rPr>
        <w:t xml:space="preserve">dando </w:t>
      </w:r>
      <w:r w:rsidR="00964875" w:rsidRPr="003A1174">
        <w:rPr>
          <w:rFonts w:ascii="Garamond" w:hAnsi="Garamond" w:cs="Arial"/>
          <w:sz w:val="24"/>
          <w:szCs w:val="24"/>
        </w:rPr>
        <w:t>ênfase</w:t>
      </w:r>
      <w:r w:rsidR="00AE64C1" w:rsidRPr="003A1174">
        <w:rPr>
          <w:rFonts w:ascii="Garamond" w:hAnsi="Garamond" w:cs="Arial"/>
          <w:sz w:val="24"/>
          <w:szCs w:val="24"/>
        </w:rPr>
        <w:t xml:space="preserve"> à </w:t>
      </w:r>
      <w:r w:rsidR="000350B1" w:rsidRPr="003A1174">
        <w:rPr>
          <w:rFonts w:ascii="Garamond" w:hAnsi="Garamond" w:cs="Arial"/>
          <w:sz w:val="24"/>
          <w:szCs w:val="24"/>
        </w:rPr>
        <w:t>violência</w:t>
      </w:r>
      <w:r w:rsidR="00823BE0" w:rsidRPr="003A1174">
        <w:rPr>
          <w:rFonts w:ascii="Garamond" w:hAnsi="Garamond" w:cs="Arial"/>
          <w:sz w:val="24"/>
          <w:szCs w:val="24"/>
        </w:rPr>
        <w:t xml:space="preserve"> sexual). </w:t>
      </w:r>
      <w:r w:rsidR="00165C72">
        <w:rPr>
          <w:rFonts w:ascii="Garamond" w:hAnsi="Garamond" w:cs="Arial"/>
          <w:sz w:val="24"/>
          <w:szCs w:val="24"/>
        </w:rPr>
        <w:t>O</w:t>
      </w:r>
      <w:r w:rsidR="00AE64C1" w:rsidRPr="003A1174">
        <w:rPr>
          <w:rFonts w:ascii="Garamond" w:hAnsi="Garamond" w:cs="Arial"/>
          <w:sz w:val="24"/>
          <w:szCs w:val="24"/>
        </w:rPr>
        <w:t xml:space="preserve"> </w:t>
      </w:r>
      <w:r w:rsidR="004C1496" w:rsidRPr="003A1174">
        <w:rPr>
          <w:rFonts w:ascii="Garamond" w:hAnsi="Garamond" w:cs="Arial"/>
          <w:sz w:val="24"/>
          <w:szCs w:val="24"/>
        </w:rPr>
        <w:t>primeir</w:t>
      </w:r>
      <w:r w:rsidR="00165C72">
        <w:rPr>
          <w:rFonts w:ascii="Garamond" w:hAnsi="Garamond" w:cs="Arial"/>
          <w:sz w:val="24"/>
          <w:szCs w:val="24"/>
        </w:rPr>
        <w:t>o</w:t>
      </w:r>
      <w:r w:rsidR="00823BE0" w:rsidRPr="003A1174">
        <w:rPr>
          <w:rFonts w:ascii="Garamond" w:hAnsi="Garamond" w:cs="Arial"/>
          <w:sz w:val="24"/>
          <w:szCs w:val="24"/>
        </w:rPr>
        <w:t xml:space="preserve"> </w:t>
      </w:r>
      <w:r w:rsidR="00165C72">
        <w:rPr>
          <w:rFonts w:ascii="Garamond" w:hAnsi="Garamond" w:cs="Arial"/>
          <w:sz w:val="24"/>
          <w:szCs w:val="24"/>
        </w:rPr>
        <w:t>curso</w:t>
      </w:r>
      <w:r w:rsidR="00823BE0" w:rsidRPr="003A1174">
        <w:rPr>
          <w:rFonts w:ascii="Garamond" w:hAnsi="Garamond" w:cs="Arial"/>
          <w:sz w:val="24"/>
          <w:szCs w:val="24"/>
        </w:rPr>
        <w:t xml:space="preserve"> </w:t>
      </w:r>
      <w:r w:rsidR="00D75A07" w:rsidRPr="003A1174">
        <w:rPr>
          <w:rFonts w:ascii="Garamond" w:hAnsi="Garamond" w:cs="Arial"/>
          <w:sz w:val="24"/>
          <w:szCs w:val="24"/>
        </w:rPr>
        <w:t>realizou</w:t>
      </w:r>
      <w:r w:rsidR="00AE64C1" w:rsidRPr="003A1174">
        <w:rPr>
          <w:rFonts w:ascii="Garamond" w:hAnsi="Garamond" w:cs="Arial"/>
          <w:sz w:val="24"/>
          <w:szCs w:val="24"/>
        </w:rPr>
        <w:t xml:space="preserve">-se em </w:t>
      </w:r>
      <w:r w:rsidR="00823BE0" w:rsidRPr="003A1174">
        <w:rPr>
          <w:rFonts w:ascii="Garamond" w:hAnsi="Garamond" w:cs="Arial"/>
          <w:sz w:val="24"/>
          <w:szCs w:val="24"/>
        </w:rPr>
        <w:t xml:space="preserve">Cali, </w:t>
      </w:r>
      <w:r w:rsidR="00AE64C1" w:rsidRPr="003A1174">
        <w:rPr>
          <w:rFonts w:ascii="Garamond" w:hAnsi="Garamond" w:cs="Arial"/>
          <w:sz w:val="24"/>
          <w:szCs w:val="24"/>
        </w:rPr>
        <w:t xml:space="preserve">a </w:t>
      </w:r>
      <w:r w:rsidR="00823BE0" w:rsidRPr="003A1174">
        <w:rPr>
          <w:rFonts w:ascii="Garamond" w:hAnsi="Garamond" w:cs="Arial"/>
          <w:sz w:val="24"/>
          <w:szCs w:val="24"/>
        </w:rPr>
        <w:t>4 de abril de 2014, co</w:t>
      </w:r>
      <w:r w:rsidR="00AE64C1" w:rsidRPr="003A1174">
        <w:rPr>
          <w:rFonts w:ascii="Garamond" w:hAnsi="Garamond" w:cs="Arial"/>
          <w:sz w:val="24"/>
          <w:szCs w:val="24"/>
        </w:rPr>
        <w:t xml:space="preserve">m </w:t>
      </w:r>
      <w:r w:rsidR="00823BE0" w:rsidRPr="003A1174">
        <w:rPr>
          <w:rFonts w:ascii="Garamond" w:hAnsi="Garamond" w:cs="Arial"/>
          <w:sz w:val="24"/>
          <w:szCs w:val="24"/>
        </w:rPr>
        <w:t xml:space="preserve">a </w:t>
      </w:r>
      <w:r w:rsidR="00165C72">
        <w:rPr>
          <w:rFonts w:ascii="Garamond" w:hAnsi="Garamond" w:cs="Arial"/>
          <w:sz w:val="24"/>
          <w:szCs w:val="24"/>
        </w:rPr>
        <w:t xml:space="preserve">presença </w:t>
      </w:r>
      <w:r w:rsidR="00823BE0" w:rsidRPr="003A1174">
        <w:rPr>
          <w:rFonts w:ascii="Garamond" w:hAnsi="Garamond" w:cs="Arial"/>
          <w:sz w:val="24"/>
          <w:szCs w:val="24"/>
        </w:rPr>
        <w:t xml:space="preserve">de 25 </w:t>
      </w:r>
      <w:r w:rsidR="006C760C" w:rsidRPr="003A1174">
        <w:rPr>
          <w:rFonts w:ascii="Garamond" w:hAnsi="Garamond" w:cs="Arial"/>
          <w:sz w:val="24"/>
          <w:szCs w:val="24"/>
        </w:rPr>
        <w:t>pessoas</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DC5DA7" w:rsidRPr="003A1174">
        <w:rPr>
          <w:rFonts w:ascii="Garamond" w:hAnsi="Garamond" w:cs="Arial"/>
          <w:sz w:val="24"/>
          <w:szCs w:val="24"/>
        </w:rPr>
        <w:t>Provedorias</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823BE0" w:rsidRPr="003A1174">
        <w:rPr>
          <w:rFonts w:ascii="Garamond" w:hAnsi="Garamond" w:cs="Arial"/>
          <w:sz w:val="24"/>
          <w:szCs w:val="24"/>
        </w:rPr>
        <w:t xml:space="preserve"> de Valle,</w:t>
      </w:r>
      <w:r w:rsidR="00D02353" w:rsidRPr="003A1174">
        <w:rPr>
          <w:rFonts w:ascii="Garamond" w:hAnsi="Garamond" w:cs="Arial"/>
          <w:sz w:val="24"/>
          <w:szCs w:val="24"/>
        </w:rPr>
        <w:t xml:space="preserve"> </w:t>
      </w:r>
      <w:r w:rsidR="00823BE0" w:rsidRPr="003A1174">
        <w:rPr>
          <w:rFonts w:ascii="Garamond" w:hAnsi="Garamond" w:cs="Arial"/>
          <w:sz w:val="24"/>
          <w:szCs w:val="24"/>
        </w:rPr>
        <w:t xml:space="preserve">Cauca </w:t>
      </w:r>
      <w:r w:rsidR="000672E8" w:rsidRPr="003A1174">
        <w:rPr>
          <w:rFonts w:ascii="Garamond" w:hAnsi="Garamond" w:cs="Arial"/>
          <w:sz w:val="24"/>
          <w:szCs w:val="24"/>
        </w:rPr>
        <w:t>e</w:t>
      </w:r>
      <w:r w:rsidR="00823BE0" w:rsidRPr="003A1174">
        <w:rPr>
          <w:rFonts w:ascii="Garamond" w:hAnsi="Garamond" w:cs="Arial"/>
          <w:sz w:val="24"/>
          <w:szCs w:val="24"/>
        </w:rPr>
        <w:t xml:space="preserve"> Nariño. </w:t>
      </w:r>
      <w:r w:rsidR="00165C72">
        <w:rPr>
          <w:rFonts w:ascii="Garamond" w:hAnsi="Garamond" w:cs="Arial"/>
          <w:sz w:val="24"/>
          <w:szCs w:val="24"/>
        </w:rPr>
        <w:t>O</w:t>
      </w:r>
      <w:r w:rsidR="00AE64C1" w:rsidRPr="003A1174">
        <w:rPr>
          <w:rFonts w:ascii="Garamond" w:hAnsi="Garamond" w:cs="Arial"/>
          <w:sz w:val="24"/>
          <w:szCs w:val="24"/>
        </w:rPr>
        <w:t xml:space="preserve"> </w:t>
      </w:r>
      <w:r w:rsidR="00823BE0" w:rsidRPr="003A1174">
        <w:rPr>
          <w:rFonts w:ascii="Garamond" w:hAnsi="Garamond" w:cs="Arial"/>
          <w:sz w:val="24"/>
          <w:szCs w:val="24"/>
        </w:rPr>
        <w:t>segund</w:t>
      </w:r>
      <w:r w:rsidR="00165C72">
        <w:rPr>
          <w:rFonts w:ascii="Garamond" w:hAnsi="Garamond" w:cs="Arial"/>
          <w:sz w:val="24"/>
          <w:szCs w:val="24"/>
        </w:rPr>
        <w:t>o</w:t>
      </w:r>
      <w:r w:rsidR="00823BE0" w:rsidRPr="003A1174">
        <w:rPr>
          <w:rFonts w:ascii="Garamond" w:hAnsi="Garamond" w:cs="Arial"/>
          <w:sz w:val="24"/>
          <w:szCs w:val="24"/>
        </w:rPr>
        <w:t xml:space="preserve"> </w:t>
      </w:r>
      <w:r w:rsidR="00165C72">
        <w:rPr>
          <w:rFonts w:ascii="Garamond" w:hAnsi="Garamond" w:cs="Arial"/>
          <w:sz w:val="24"/>
          <w:szCs w:val="24"/>
        </w:rPr>
        <w:t>curso</w:t>
      </w:r>
      <w:r w:rsidR="00823BE0" w:rsidRPr="003A1174">
        <w:rPr>
          <w:rFonts w:ascii="Garamond" w:hAnsi="Garamond" w:cs="Arial"/>
          <w:sz w:val="24"/>
          <w:szCs w:val="24"/>
        </w:rPr>
        <w:t xml:space="preserve"> </w:t>
      </w:r>
      <w:r w:rsidR="00BA3CCE" w:rsidRPr="003A1174">
        <w:rPr>
          <w:rFonts w:ascii="Garamond" w:hAnsi="Garamond" w:cs="Arial"/>
          <w:sz w:val="24"/>
          <w:szCs w:val="24"/>
        </w:rPr>
        <w:t>realizou-se</w:t>
      </w:r>
      <w:r w:rsidR="00AE64C1" w:rsidRPr="003A1174">
        <w:rPr>
          <w:rFonts w:ascii="Garamond" w:hAnsi="Garamond" w:cs="Arial"/>
          <w:sz w:val="24"/>
          <w:szCs w:val="24"/>
        </w:rPr>
        <w:t xml:space="preserve"> </w:t>
      </w:r>
      <w:r w:rsidR="00823BE0" w:rsidRPr="003A1174">
        <w:rPr>
          <w:rFonts w:ascii="Garamond" w:hAnsi="Garamond" w:cs="Arial"/>
          <w:sz w:val="24"/>
          <w:szCs w:val="24"/>
        </w:rPr>
        <w:t>Medellín</w:t>
      </w:r>
      <w:r w:rsidR="00AE64C1" w:rsidRPr="003A1174">
        <w:rPr>
          <w:rFonts w:ascii="Garamond" w:hAnsi="Garamond" w:cs="Arial"/>
          <w:sz w:val="24"/>
          <w:szCs w:val="24"/>
        </w:rPr>
        <w:t xml:space="preserve">, a </w:t>
      </w:r>
      <w:r w:rsidR="00823BE0" w:rsidRPr="003A1174">
        <w:rPr>
          <w:rFonts w:ascii="Garamond" w:hAnsi="Garamond" w:cs="Arial"/>
          <w:sz w:val="24"/>
          <w:szCs w:val="24"/>
        </w:rPr>
        <w:t>7 de abril de 2014, co</w:t>
      </w:r>
      <w:r w:rsidR="00AE64C1" w:rsidRPr="003A1174">
        <w:rPr>
          <w:rFonts w:ascii="Garamond" w:hAnsi="Garamond" w:cs="Arial"/>
          <w:sz w:val="24"/>
          <w:szCs w:val="24"/>
        </w:rPr>
        <w:t xml:space="preserve">m </w:t>
      </w:r>
      <w:r w:rsidR="00823BE0" w:rsidRPr="003A1174">
        <w:rPr>
          <w:rFonts w:ascii="Garamond" w:hAnsi="Garamond" w:cs="Arial"/>
          <w:sz w:val="24"/>
          <w:szCs w:val="24"/>
        </w:rPr>
        <w:t xml:space="preserve">a </w:t>
      </w:r>
      <w:r w:rsidR="00165C72">
        <w:rPr>
          <w:rFonts w:ascii="Garamond" w:hAnsi="Garamond" w:cs="Arial"/>
          <w:sz w:val="24"/>
          <w:szCs w:val="24"/>
        </w:rPr>
        <w:t xml:space="preserve">presença </w:t>
      </w:r>
      <w:r w:rsidR="00823BE0" w:rsidRPr="003A1174">
        <w:rPr>
          <w:rFonts w:ascii="Garamond" w:hAnsi="Garamond" w:cs="Arial"/>
          <w:sz w:val="24"/>
          <w:szCs w:val="24"/>
        </w:rPr>
        <w:t xml:space="preserve">de 20 </w:t>
      </w:r>
      <w:r w:rsidR="006C760C" w:rsidRPr="003A1174">
        <w:rPr>
          <w:rFonts w:ascii="Garamond" w:hAnsi="Garamond" w:cs="Arial"/>
          <w:sz w:val="24"/>
          <w:szCs w:val="24"/>
        </w:rPr>
        <w:t>pessoas</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DC5DA7" w:rsidRPr="003A1174">
        <w:rPr>
          <w:rFonts w:ascii="Garamond" w:hAnsi="Garamond" w:cs="Arial"/>
          <w:sz w:val="24"/>
          <w:szCs w:val="24"/>
        </w:rPr>
        <w:t>Provedorias</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823BE0" w:rsidRPr="003A1174">
        <w:rPr>
          <w:rFonts w:ascii="Garamond" w:hAnsi="Garamond" w:cs="Arial"/>
          <w:sz w:val="24"/>
          <w:szCs w:val="24"/>
        </w:rPr>
        <w:t xml:space="preserve"> de Antioquia </w:t>
      </w:r>
      <w:r w:rsidR="000672E8" w:rsidRPr="003A1174">
        <w:rPr>
          <w:rFonts w:ascii="Garamond" w:hAnsi="Garamond" w:cs="Arial"/>
          <w:sz w:val="24"/>
          <w:szCs w:val="24"/>
        </w:rPr>
        <w:t>e</w:t>
      </w:r>
      <w:r w:rsidR="00823BE0" w:rsidRPr="003A1174">
        <w:rPr>
          <w:rFonts w:ascii="Garamond" w:hAnsi="Garamond" w:cs="Arial"/>
          <w:sz w:val="24"/>
          <w:szCs w:val="24"/>
        </w:rPr>
        <w:t xml:space="preserve"> Urabá. </w:t>
      </w:r>
      <w:r w:rsidR="00AE64C1" w:rsidRPr="003A1174">
        <w:rPr>
          <w:rFonts w:ascii="Garamond" w:hAnsi="Garamond" w:cs="Arial"/>
          <w:sz w:val="24"/>
          <w:szCs w:val="24"/>
        </w:rPr>
        <w:t xml:space="preserve">A </w:t>
      </w:r>
      <w:r w:rsidR="00823BE0" w:rsidRPr="003A1174">
        <w:rPr>
          <w:rFonts w:ascii="Garamond" w:hAnsi="Garamond" w:cs="Arial"/>
          <w:sz w:val="24"/>
          <w:szCs w:val="24"/>
        </w:rPr>
        <w:t>terce</w:t>
      </w:r>
      <w:r w:rsidR="00AE64C1" w:rsidRPr="003A1174">
        <w:rPr>
          <w:rFonts w:ascii="Garamond" w:hAnsi="Garamond" w:cs="Arial"/>
          <w:sz w:val="24"/>
          <w:szCs w:val="24"/>
        </w:rPr>
        <w:t>i</w:t>
      </w:r>
      <w:r w:rsidR="00823BE0" w:rsidRPr="003A1174">
        <w:rPr>
          <w:rFonts w:ascii="Garamond" w:hAnsi="Garamond" w:cs="Arial"/>
          <w:sz w:val="24"/>
          <w:szCs w:val="24"/>
        </w:rPr>
        <w:t xml:space="preserve">ra </w:t>
      </w:r>
      <w:r w:rsidR="00AE64C1" w:rsidRPr="003A1174">
        <w:rPr>
          <w:rFonts w:ascii="Garamond" w:hAnsi="Garamond" w:cs="Arial"/>
          <w:sz w:val="24"/>
          <w:szCs w:val="24"/>
        </w:rPr>
        <w:t>realizou-se em</w:t>
      </w:r>
      <w:r w:rsidR="00823BE0" w:rsidRPr="003A1174">
        <w:rPr>
          <w:rFonts w:ascii="Garamond" w:hAnsi="Garamond" w:cs="Arial"/>
          <w:sz w:val="24"/>
          <w:szCs w:val="24"/>
        </w:rPr>
        <w:t xml:space="preserve"> Cartagena, </w:t>
      </w:r>
      <w:r w:rsidR="00AE64C1" w:rsidRPr="003A1174">
        <w:rPr>
          <w:rFonts w:ascii="Garamond" w:hAnsi="Garamond" w:cs="Arial"/>
          <w:sz w:val="24"/>
          <w:szCs w:val="24"/>
        </w:rPr>
        <w:t xml:space="preserve">a </w:t>
      </w:r>
      <w:r w:rsidR="00823BE0" w:rsidRPr="003A1174">
        <w:rPr>
          <w:rFonts w:ascii="Garamond" w:hAnsi="Garamond" w:cs="Arial"/>
          <w:sz w:val="24"/>
          <w:szCs w:val="24"/>
        </w:rPr>
        <w:t xml:space="preserve">25 de abril de </w:t>
      </w:r>
      <w:r w:rsidR="008D32E5" w:rsidRPr="003A1174">
        <w:rPr>
          <w:rFonts w:ascii="Garamond" w:hAnsi="Garamond" w:cs="Arial"/>
          <w:sz w:val="24"/>
          <w:szCs w:val="24"/>
        </w:rPr>
        <w:t>2014</w:t>
      </w:r>
      <w:r w:rsidR="00823BE0" w:rsidRPr="003A1174">
        <w:rPr>
          <w:rFonts w:ascii="Garamond" w:hAnsi="Garamond" w:cs="Arial"/>
          <w:sz w:val="24"/>
          <w:szCs w:val="24"/>
        </w:rPr>
        <w:t>, co</w:t>
      </w:r>
      <w:r w:rsidR="00AE64C1" w:rsidRPr="003A1174">
        <w:rPr>
          <w:rFonts w:ascii="Garamond" w:hAnsi="Garamond" w:cs="Arial"/>
          <w:sz w:val="24"/>
          <w:szCs w:val="24"/>
        </w:rPr>
        <w:t xml:space="preserve">m </w:t>
      </w:r>
      <w:r w:rsidR="00823BE0" w:rsidRPr="003A1174">
        <w:rPr>
          <w:rFonts w:ascii="Garamond" w:hAnsi="Garamond" w:cs="Arial"/>
          <w:sz w:val="24"/>
          <w:szCs w:val="24"/>
        </w:rPr>
        <w:t xml:space="preserve">a </w:t>
      </w:r>
      <w:r w:rsidR="00165C72">
        <w:rPr>
          <w:rFonts w:ascii="Garamond" w:hAnsi="Garamond" w:cs="Arial"/>
          <w:sz w:val="24"/>
          <w:szCs w:val="24"/>
        </w:rPr>
        <w:t xml:space="preserve">presença </w:t>
      </w:r>
      <w:r w:rsidR="00823BE0" w:rsidRPr="003A1174">
        <w:rPr>
          <w:rFonts w:ascii="Garamond" w:hAnsi="Garamond" w:cs="Arial"/>
          <w:sz w:val="24"/>
          <w:szCs w:val="24"/>
        </w:rPr>
        <w:t xml:space="preserve">de 25 </w:t>
      </w:r>
      <w:r w:rsidR="006C760C" w:rsidRPr="003A1174">
        <w:rPr>
          <w:rFonts w:ascii="Garamond" w:hAnsi="Garamond" w:cs="Arial"/>
          <w:sz w:val="24"/>
          <w:szCs w:val="24"/>
        </w:rPr>
        <w:t>pessoas</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823BE0" w:rsidRPr="003A1174">
        <w:rPr>
          <w:rFonts w:ascii="Garamond" w:hAnsi="Garamond" w:cs="Arial"/>
          <w:sz w:val="24"/>
          <w:szCs w:val="24"/>
        </w:rPr>
        <w:t xml:space="preserve"> de Bolívar, Atlántico, Magdalena </w:t>
      </w:r>
      <w:r w:rsidR="000672E8" w:rsidRPr="003A1174">
        <w:rPr>
          <w:rFonts w:ascii="Garamond" w:hAnsi="Garamond" w:cs="Arial"/>
          <w:sz w:val="24"/>
          <w:szCs w:val="24"/>
        </w:rPr>
        <w:t>e</w:t>
      </w:r>
      <w:r w:rsidR="00823BE0" w:rsidRPr="003A1174">
        <w:rPr>
          <w:rFonts w:ascii="Garamond" w:hAnsi="Garamond" w:cs="Arial"/>
          <w:sz w:val="24"/>
          <w:szCs w:val="24"/>
        </w:rPr>
        <w:t xml:space="preserve"> Córdoba. </w:t>
      </w:r>
      <w:r w:rsidR="000672E8" w:rsidRPr="003A1174">
        <w:rPr>
          <w:rFonts w:ascii="Garamond" w:hAnsi="Garamond" w:cs="Arial"/>
          <w:sz w:val="24"/>
          <w:szCs w:val="24"/>
        </w:rPr>
        <w:t>E</w:t>
      </w:r>
      <w:r w:rsidR="00D02353" w:rsidRPr="003A1174">
        <w:rPr>
          <w:rFonts w:ascii="Garamond" w:hAnsi="Garamond" w:cs="Arial"/>
          <w:sz w:val="24"/>
          <w:szCs w:val="24"/>
        </w:rPr>
        <w:t>,</w:t>
      </w:r>
      <w:r w:rsidR="00823BE0" w:rsidRPr="003A1174">
        <w:rPr>
          <w:rFonts w:ascii="Garamond" w:hAnsi="Garamond" w:cs="Arial"/>
          <w:sz w:val="24"/>
          <w:szCs w:val="24"/>
        </w:rPr>
        <w:t xml:space="preserve"> finalmente</w:t>
      </w:r>
      <w:r w:rsidR="00AE64C1" w:rsidRPr="003A1174">
        <w:rPr>
          <w:rFonts w:ascii="Garamond" w:hAnsi="Garamond" w:cs="Arial"/>
          <w:sz w:val="24"/>
          <w:szCs w:val="24"/>
        </w:rPr>
        <w:t>,</w:t>
      </w:r>
      <w:r w:rsidR="00823BE0" w:rsidRPr="003A1174">
        <w:rPr>
          <w:rFonts w:ascii="Garamond" w:hAnsi="Garamond" w:cs="Arial"/>
          <w:sz w:val="24"/>
          <w:szCs w:val="24"/>
        </w:rPr>
        <w:t xml:space="preserve"> e</w:t>
      </w:r>
      <w:r w:rsidR="00AE64C1" w:rsidRPr="003A1174">
        <w:rPr>
          <w:rFonts w:ascii="Garamond" w:hAnsi="Garamond" w:cs="Arial"/>
          <w:sz w:val="24"/>
          <w:szCs w:val="24"/>
        </w:rPr>
        <w:t>m</w:t>
      </w:r>
      <w:r w:rsidR="00823BE0" w:rsidRPr="003A1174">
        <w:rPr>
          <w:rFonts w:ascii="Garamond" w:hAnsi="Garamond" w:cs="Arial"/>
          <w:sz w:val="24"/>
          <w:szCs w:val="24"/>
        </w:rPr>
        <w:t xml:space="preserve"> Bogotá, </w:t>
      </w:r>
      <w:r w:rsidR="00AE64C1" w:rsidRPr="003A1174">
        <w:rPr>
          <w:rFonts w:ascii="Garamond" w:hAnsi="Garamond" w:cs="Arial"/>
          <w:sz w:val="24"/>
          <w:szCs w:val="24"/>
        </w:rPr>
        <w:t xml:space="preserve">a </w:t>
      </w:r>
      <w:r w:rsidR="00823BE0" w:rsidRPr="003A1174">
        <w:rPr>
          <w:rFonts w:ascii="Garamond" w:hAnsi="Garamond" w:cs="Arial"/>
          <w:sz w:val="24"/>
          <w:szCs w:val="24"/>
        </w:rPr>
        <w:t>28 de abril, co</w:t>
      </w:r>
      <w:r w:rsidR="00AE64C1" w:rsidRPr="003A1174">
        <w:rPr>
          <w:rFonts w:ascii="Garamond" w:hAnsi="Garamond" w:cs="Arial"/>
          <w:sz w:val="24"/>
          <w:szCs w:val="24"/>
        </w:rPr>
        <w:t>m</w:t>
      </w:r>
      <w:r w:rsidR="00823BE0" w:rsidRPr="003A1174">
        <w:rPr>
          <w:rFonts w:ascii="Garamond" w:hAnsi="Garamond" w:cs="Arial"/>
          <w:sz w:val="24"/>
          <w:szCs w:val="24"/>
        </w:rPr>
        <w:t xml:space="preserve"> 20 </w:t>
      </w:r>
      <w:r w:rsidR="006C760C" w:rsidRPr="003A1174">
        <w:rPr>
          <w:rFonts w:ascii="Garamond" w:hAnsi="Garamond" w:cs="Arial"/>
          <w:sz w:val="24"/>
          <w:szCs w:val="24"/>
        </w:rPr>
        <w:t>pessoas</w:t>
      </w:r>
      <w:r w:rsidR="00823BE0" w:rsidRPr="003A1174">
        <w:rPr>
          <w:rFonts w:ascii="Garamond" w:hAnsi="Garamond" w:cs="Arial"/>
          <w:sz w:val="24"/>
          <w:szCs w:val="24"/>
        </w:rPr>
        <w:t xml:space="preserve">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823BE0" w:rsidRPr="003A1174">
        <w:rPr>
          <w:rFonts w:ascii="Garamond" w:hAnsi="Garamond" w:cs="Arial"/>
          <w:sz w:val="24"/>
          <w:szCs w:val="24"/>
        </w:rPr>
        <w:t xml:space="preserve"> de Bogotá, Cundinamarca, Boyacá, Arauca </w:t>
      </w:r>
      <w:r w:rsidR="000672E8" w:rsidRPr="003A1174">
        <w:rPr>
          <w:rFonts w:ascii="Garamond" w:hAnsi="Garamond" w:cs="Arial"/>
          <w:sz w:val="24"/>
          <w:szCs w:val="24"/>
        </w:rPr>
        <w:t>e</w:t>
      </w:r>
      <w:r w:rsidR="00823BE0" w:rsidRPr="003A1174">
        <w:rPr>
          <w:rFonts w:ascii="Garamond" w:hAnsi="Garamond" w:cs="Arial"/>
          <w:sz w:val="24"/>
          <w:szCs w:val="24"/>
        </w:rPr>
        <w:t xml:space="preserve"> Guainía.</w:t>
      </w:r>
    </w:p>
    <w:p w:rsidR="00823BE0" w:rsidRPr="003A1174" w:rsidRDefault="00B830CA" w:rsidP="008719D4">
      <w:pPr>
        <w:widowControl w:val="0"/>
        <w:numPr>
          <w:ilvl w:val="0"/>
          <w:numId w:val="30"/>
        </w:numPr>
        <w:suppressAutoHyphens/>
        <w:spacing w:before="240" w:after="0" w:line="240" w:lineRule="auto"/>
        <w:jc w:val="both"/>
        <w:rPr>
          <w:rFonts w:ascii="Garamond" w:hAnsi="Garamond" w:cs="Arial"/>
          <w:sz w:val="24"/>
          <w:szCs w:val="24"/>
        </w:rPr>
      </w:pPr>
      <w:r w:rsidRPr="003A1174">
        <w:rPr>
          <w:rFonts w:ascii="Garamond" w:hAnsi="Garamond" w:cs="Arial"/>
          <w:sz w:val="24"/>
          <w:szCs w:val="24"/>
        </w:rPr>
        <w:t>Avançou-se</w:t>
      </w:r>
      <w:r w:rsidR="00814E86">
        <w:rPr>
          <w:rFonts w:ascii="Garamond" w:hAnsi="Garamond" w:cs="Arial"/>
          <w:sz w:val="24"/>
          <w:szCs w:val="24"/>
        </w:rPr>
        <w:t>, igualmente,</w:t>
      </w:r>
      <w:r w:rsidR="00823BE0" w:rsidRPr="003A1174">
        <w:rPr>
          <w:rFonts w:ascii="Garamond" w:hAnsi="Garamond" w:cs="Arial"/>
          <w:sz w:val="24"/>
          <w:szCs w:val="24"/>
        </w:rPr>
        <w:t xml:space="preserve"> </w:t>
      </w:r>
      <w:r w:rsidRPr="003A1174">
        <w:rPr>
          <w:rFonts w:ascii="Garamond" w:hAnsi="Garamond" w:cs="Arial"/>
          <w:sz w:val="24"/>
          <w:szCs w:val="24"/>
        </w:rPr>
        <w:t xml:space="preserve">no </w:t>
      </w:r>
      <w:r w:rsidR="00823BE0" w:rsidRPr="003A1174">
        <w:rPr>
          <w:rFonts w:ascii="Garamond" w:hAnsi="Garamond" w:cs="Arial"/>
          <w:sz w:val="24"/>
          <w:szCs w:val="24"/>
        </w:rPr>
        <w:t xml:space="preserve">presente </w:t>
      </w:r>
      <w:r w:rsidR="002C7510" w:rsidRPr="003A1174">
        <w:rPr>
          <w:rFonts w:ascii="Garamond" w:hAnsi="Garamond" w:cs="Arial"/>
          <w:sz w:val="24"/>
          <w:szCs w:val="24"/>
        </w:rPr>
        <w:t>ano</w:t>
      </w:r>
      <w:r w:rsidRPr="003A1174">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o</w:t>
      </w:r>
      <w:r w:rsidR="00823BE0" w:rsidRPr="003A1174">
        <w:rPr>
          <w:rFonts w:ascii="Garamond" w:hAnsi="Garamond" w:cs="Arial"/>
          <w:sz w:val="24"/>
          <w:szCs w:val="24"/>
        </w:rPr>
        <w:t xml:space="preserve"> </w:t>
      </w:r>
      <w:r w:rsidR="00165C72">
        <w:rPr>
          <w:rFonts w:ascii="Garamond" w:hAnsi="Garamond" w:cs="Arial"/>
          <w:i/>
          <w:sz w:val="24"/>
          <w:szCs w:val="24"/>
        </w:rPr>
        <w:t>Curso</w:t>
      </w:r>
      <w:r w:rsidR="00823BE0" w:rsidRPr="003A1174">
        <w:rPr>
          <w:rFonts w:ascii="Garamond" w:hAnsi="Garamond" w:cs="Arial"/>
          <w:sz w:val="24"/>
          <w:szCs w:val="24"/>
        </w:rPr>
        <w:t xml:space="preserve"> Virtual</w:t>
      </w:r>
      <w:r w:rsidR="00165C72">
        <w:rPr>
          <w:rFonts w:ascii="Garamond" w:hAnsi="Garamond" w:cs="Arial"/>
          <w:sz w:val="24"/>
          <w:szCs w:val="24"/>
        </w:rPr>
        <w:t>,</w:t>
      </w:r>
      <w:r w:rsidR="00823BE0" w:rsidRPr="003A1174">
        <w:rPr>
          <w:rFonts w:ascii="Garamond" w:hAnsi="Garamond" w:cs="Arial"/>
          <w:sz w:val="24"/>
          <w:szCs w:val="24"/>
        </w:rPr>
        <w:t xml:space="preserve"> </w:t>
      </w:r>
      <w:r w:rsidR="00165C72">
        <w:rPr>
          <w:rFonts w:ascii="Garamond" w:hAnsi="Garamond" w:cs="Arial"/>
          <w:sz w:val="24"/>
          <w:szCs w:val="24"/>
        </w:rPr>
        <w:t>sobre</w:t>
      </w:r>
      <w:r w:rsidR="00823BE0" w:rsidRPr="003A1174">
        <w:rPr>
          <w:rFonts w:ascii="Garamond" w:hAnsi="Garamond" w:cs="Arial"/>
          <w:sz w:val="24"/>
          <w:szCs w:val="24"/>
        </w:rPr>
        <w:t xml:space="preserve"> </w:t>
      </w:r>
      <w:r w:rsidR="00886D6A" w:rsidRPr="003A1174">
        <w:rPr>
          <w:rFonts w:ascii="Garamond" w:hAnsi="Garamond" w:cs="Arial"/>
          <w:sz w:val="24"/>
          <w:szCs w:val="24"/>
        </w:rPr>
        <w:t>direito</w:t>
      </w:r>
      <w:r w:rsidR="00823BE0" w:rsidRPr="003A1174">
        <w:rPr>
          <w:rFonts w:ascii="Garamond" w:hAnsi="Garamond" w:cs="Arial"/>
          <w:sz w:val="24"/>
          <w:szCs w:val="24"/>
        </w:rPr>
        <w:t>s de</w:t>
      </w:r>
      <w:r w:rsidR="001C315D" w:rsidRPr="003A1174">
        <w:rPr>
          <w:rFonts w:ascii="Garamond" w:hAnsi="Garamond" w:cs="Arial"/>
          <w:sz w:val="24"/>
          <w:szCs w:val="24"/>
        </w:rPr>
        <w:t xml:space="preserve"> meninas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co</w:t>
      </w:r>
      <w:r w:rsidR="001C315D" w:rsidRPr="003A1174">
        <w:rPr>
          <w:rFonts w:ascii="Garamond" w:hAnsi="Garamond" w:cs="Arial"/>
          <w:sz w:val="24"/>
          <w:szCs w:val="24"/>
        </w:rPr>
        <w:t xml:space="preserve">m </w:t>
      </w:r>
      <w:r w:rsidR="00823BE0" w:rsidRPr="003A1174">
        <w:rPr>
          <w:rFonts w:ascii="Garamond" w:hAnsi="Garamond" w:cs="Arial"/>
          <w:sz w:val="24"/>
          <w:szCs w:val="24"/>
        </w:rPr>
        <w:t xml:space="preserve">a </w:t>
      </w:r>
      <w:r w:rsidR="00E45CCF" w:rsidRPr="003A1174">
        <w:rPr>
          <w:rFonts w:ascii="Garamond" w:hAnsi="Garamond" w:cs="Arial"/>
          <w:sz w:val="24"/>
          <w:szCs w:val="24"/>
        </w:rPr>
        <w:t>inscrição</w:t>
      </w:r>
      <w:r w:rsidR="00823BE0" w:rsidRPr="003A1174">
        <w:rPr>
          <w:rFonts w:ascii="Garamond" w:hAnsi="Garamond" w:cs="Arial"/>
          <w:sz w:val="24"/>
          <w:szCs w:val="24"/>
        </w:rPr>
        <w:t xml:space="preserve"> inicial</w:t>
      </w:r>
      <w:r w:rsidR="00165C72">
        <w:rPr>
          <w:rFonts w:ascii="Garamond" w:hAnsi="Garamond" w:cs="Arial"/>
          <w:sz w:val="24"/>
          <w:szCs w:val="24"/>
        </w:rPr>
        <w:t>,</w:t>
      </w:r>
      <w:r w:rsidR="00823BE0" w:rsidRPr="003A1174">
        <w:rPr>
          <w:rFonts w:ascii="Garamond" w:hAnsi="Garamond" w:cs="Arial"/>
          <w:sz w:val="24"/>
          <w:szCs w:val="24"/>
        </w:rPr>
        <w:t xml:space="preserve"> de 100 </w:t>
      </w:r>
      <w:r w:rsidR="006C760C" w:rsidRPr="003A1174">
        <w:rPr>
          <w:rFonts w:ascii="Garamond" w:hAnsi="Garamond" w:cs="Arial"/>
          <w:sz w:val="24"/>
          <w:szCs w:val="24"/>
        </w:rPr>
        <w:t>pessoas</w:t>
      </w:r>
      <w:r w:rsidR="00823BE0" w:rsidRPr="003A1174">
        <w:rPr>
          <w:rFonts w:ascii="Garamond" w:hAnsi="Garamond" w:cs="Arial"/>
          <w:sz w:val="24"/>
          <w:szCs w:val="24"/>
        </w:rPr>
        <w:t xml:space="preserve"> de 32 </w:t>
      </w:r>
      <w:r w:rsidR="00DC5DA7" w:rsidRPr="003A1174">
        <w:rPr>
          <w:rFonts w:ascii="Garamond" w:hAnsi="Garamond" w:cs="Arial"/>
          <w:sz w:val="24"/>
          <w:szCs w:val="24"/>
        </w:rPr>
        <w:t>provedorias</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9 </w:t>
      </w:r>
      <w:r w:rsidR="007A2492" w:rsidRPr="003A1174">
        <w:rPr>
          <w:rFonts w:ascii="Garamond" w:hAnsi="Garamond" w:cs="Arial"/>
          <w:sz w:val="24"/>
          <w:szCs w:val="24"/>
        </w:rPr>
        <w:t>dependência</w:t>
      </w:r>
      <w:r w:rsidR="00823BE0" w:rsidRPr="003A1174">
        <w:rPr>
          <w:rFonts w:ascii="Garamond" w:hAnsi="Garamond" w:cs="Arial"/>
          <w:sz w:val="24"/>
          <w:szCs w:val="24"/>
        </w:rPr>
        <w:t>s</w:t>
      </w:r>
      <w:r w:rsidR="001C315D" w:rsidRPr="003A1174">
        <w:rPr>
          <w:rFonts w:ascii="Garamond" w:hAnsi="Garamond" w:cs="Arial"/>
          <w:sz w:val="24"/>
          <w:szCs w:val="24"/>
        </w:rPr>
        <w:t xml:space="preserve"> a </w:t>
      </w:r>
      <w:r w:rsidR="0017447A" w:rsidRPr="003A1174">
        <w:rPr>
          <w:rFonts w:ascii="Garamond" w:hAnsi="Garamond" w:cs="Arial"/>
          <w:sz w:val="24"/>
          <w:szCs w:val="24"/>
        </w:rPr>
        <w:t>nível</w:t>
      </w:r>
      <w:r w:rsidR="00823BE0" w:rsidRPr="003A1174">
        <w:rPr>
          <w:rFonts w:ascii="Garamond" w:hAnsi="Garamond" w:cs="Arial"/>
          <w:sz w:val="24"/>
          <w:szCs w:val="24"/>
        </w:rPr>
        <w:t xml:space="preserve"> nacional</w:t>
      </w:r>
    </w:p>
    <w:p w:rsidR="00823BE0" w:rsidRPr="003A1174" w:rsidRDefault="00A862C2" w:rsidP="008719D4">
      <w:pPr>
        <w:widowControl w:val="0"/>
        <w:suppressAutoHyphens/>
        <w:spacing w:before="240" w:after="0" w:line="240" w:lineRule="auto"/>
        <w:jc w:val="both"/>
        <w:rPr>
          <w:rFonts w:ascii="Garamond" w:hAnsi="Garamond" w:cs="Arial"/>
          <w:sz w:val="24"/>
          <w:szCs w:val="24"/>
        </w:rPr>
      </w:pPr>
      <w:r w:rsidRPr="003A1174">
        <w:rPr>
          <w:rFonts w:ascii="Garamond" w:hAnsi="Garamond" w:cs="Arial"/>
          <w:sz w:val="24"/>
          <w:szCs w:val="24"/>
        </w:rPr>
        <w:t>Deve</w:t>
      </w:r>
      <w:r w:rsidR="00814E86">
        <w:rPr>
          <w:rFonts w:ascii="Garamond" w:hAnsi="Garamond" w:cs="Arial"/>
          <w:sz w:val="24"/>
          <w:szCs w:val="24"/>
        </w:rPr>
        <w:t xml:space="preserve"> </w:t>
      </w:r>
      <w:r w:rsidR="00165C72">
        <w:rPr>
          <w:rFonts w:ascii="Garamond" w:hAnsi="Garamond" w:cs="Arial"/>
          <w:sz w:val="24"/>
          <w:szCs w:val="24"/>
        </w:rPr>
        <w:t>referir-se</w:t>
      </w:r>
      <w:r w:rsidR="00D02353" w:rsidRPr="003A1174">
        <w:rPr>
          <w:rFonts w:ascii="Garamond" w:hAnsi="Garamond" w:cs="Arial"/>
          <w:sz w:val="24"/>
          <w:szCs w:val="24"/>
        </w:rPr>
        <w:t>,</w:t>
      </w:r>
      <w:r w:rsidR="00823BE0" w:rsidRPr="003A1174">
        <w:rPr>
          <w:rFonts w:ascii="Garamond" w:hAnsi="Garamond" w:cs="Arial"/>
          <w:sz w:val="24"/>
          <w:szCs w:val="24"/>
        </w:rPr>
        <w:t xml:space="preserve"> </w:t>
      </w:r>
      <w:r w:rsidR="00814E86">
        <w:rPr>
          <w:rFonts w:ascii="Garamond" w:hAnsi="Garamond" w:cs="Arial"/>
          <w:sz w:val="24"/>
          <w:szCs w:val="24"/>
        </w:rPr>
        <w:t>também</w:t>
      </w:r>
      <w:r w:rsidR="00D02353" w:rsidRPr="003A1174">
        <w:rPr>
          <w:rFonts w:ascii="Garamond" w:hAnsi="Garamond" w:cs="Arial"/>
          <w:sz w:val="24"/>
          <w:szCs w:val="24"/>
        </w:rPr>
        <w:t>,</w:t>
      </w:r>
      <w:r w:rsidR="00823BE0" w:rsidRPr="003A1174">
        <w:rPr>
          <w:rFonts w:ascii="Garamond" w:hAnsi="Garamond" w:cs="Arial"/>
          <w:sz w:val="24"/>
          <w:szCs w:val="24"/>
        </w:rPr>
        <w:t xml:space="preserve"> que</w:t>
      </w:r>
      <w:r w:rsidR="00165C72">
        <w:rPr>
          <w:rFonts w:ascii="Garamond" w:hAnsi="Garamond" w:cs="Arial"/>
          <w:sz w:val="24"/>
          <w:szCs w:val="24"/>
        </w:rPr>
        <w:t>,</w:t>
      </w:r>
      <w:r w:rsidR="00823BE0" w:rsidRPr="003A1174">
        <w:rPr>
          <w:rFonts w:ascii="Garamond" w:hAnsi="Garamond" w:cs="Arial"/>
          <w:sz w:val="24"/>
          <w:szCs w:val="24"/>
        </w:rPr>
        <w:t xml:space="preserve"> entre </w:t>
      </w:r>
      <w:r w:rsidR="0017447A" w:rsidRPr="003A1174">
        <w:rPr>
          <w:rFonts w:ascii="Garamond" w:hAnsi="Garamond" w:cs="Arial"/>
          <w:sz w:val="24"/>
          <w:szCs w:val="24"/>
        </w:rPr>
        <w:t>outras</w:t>
      </w:r>
      <w:r w:rsidR="00823BE0" w:rsidRPr="003A1174">
        <w:rPr>
          <w:rFonts w:ascii="Garamond" w:hAnsi="Garamond" w:cs="Arial"/>
          <w:sz w:val="24"/>
          <w:szCs w:val="24"/>
        </w:rPr>
        <w:t xml:space="preserve"> numerosas </w:t>
      </w:r>
      <w:r w:rsidR="00374785" w:rsidRPr="003A1174">
        <w:rPr>
          <w:rFonts w:ascii="Garamond" w:hAnsi="Garamond" w:cs="Arial"/>
          <w:sz w:val="24"/>
          <w:szCs w:val="24"/>
        </w:rPr>
        <w:t>atividades</w:t>
      </w:r>
      <w:r w:rsidR="00165C72">
        <w:rPr>
          <w:rFonts w:ascii="Garamond" w:hAnsi="Garamond" w:cs="Arial"/>
          <w:sz w:val="24"/>
          <w:szCs w:val="24"/>
        </w:rPr>
        <w:t>,</w:t>
      </w:r>
      <w:r w:rsidR="00823BE0" w:rsidRPr="003A1174">
        <w:rPr>
          <w:rFonts w:ascii="Garamond" w:hAnsi="Garamond" w:cs="Arial"/>
          <w:sz w:val="24"/>
          <w:szCs w:val="24"/>
        </w:rPr>
        <w:t xml:space="preserve"> </w:t>
      </w:r>
      <w:r w:rsidR="00B830CA" w:rsidRPr="003A1174">
        <w:rPr>
          <w:rFonts w:ascii="Garamond" w:hAnsi="Garamond" w:cs="Arial"/>
          <w:sz w:val="24"/>
          <w:szCs w:val="24"/>
        </w:rPr>
        <w:t xml:space="preserve">se </w:t>
      </w:r>
      <w:r w:rsidR="00D54730" w:rsidRPr="003A1174">
        <w:rPr>
          <w:rFonts w:ascii="Garamond" w:hAnsi="Garamond" w:cs="Arial"/>
          <w:sz w:val="24"/>
          <w:szCs w:val="24"/>
        </w:rPr>
        <w:t>elaborou</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difundi</w:t>
      </w:r>
      <w:r w:rsidR="00B830CA" w:rsidRPr="003A1174">
        <w:rPr>
          <w:rFonts w:ascii="Garamond" w:hAnsi="Garamond" w:cs="Arial"/>
          <w:sz w:val="24"/>
          <w:szCs w:val="24"/>
        </w:rPr>
        <w:t xml:space="preserve">u o </w:t>
      </w:r>
      <w:r w:rsidR="00823BE0" w:rsidRPr="003A1174">
        <w:rPr>
          <w:rFonts w:ascii="Garamond" w:hAnsi="Garamond" w:cs="Arial"/>
          <w:sz w:val="24"/>
          <w:szCs w:val="24"/>
        </w:rPr>
        <w:t xml:space="preserve">documento </w:t>
      </w:r>
      <w:r w:rsidR="00165C72">
        <w:rPr>
          <w:rFonts w:ascii="Garamond" w:hAnsi="Garamond" w:cs="Arial"/>
          <w:sz w:val="24"/>
          <w:szCs w:val="24"/>
        </w:rPr>
        <w:t>«</w:t>
      </w:r>
      <w:r w:rsidR="00B830CA" w:rsidRPr="003A1174">
        <w:rPr>
          <w:rFonts w:ascii="Garamond" w:hAnsi="Garamond" w:cs="Arial"/>
          <w:sz w:val="24"/>
          <w:szCs w:val="24"/>
        </w:rPr>
        <w:t>O</w:t>
      </w:r>
      <w:r w:rsidR="00823BE0" w:rsidRPr="003A1174">
        <w:rPr>
          <w:rFonts w:ascii="Garamond" w:hAnsi="Garamond" w:cs="Arial"/>
          <w:sz w:val="24"/>
          <w:szCs w:val="24"/>
        </w:rPr>
        <w:t xml:space="preserve"> papel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886D6A" w:rsidRPr="003A1174">
        <w:rPr>
          <w:rFonts w:ascii="Garamond" w:hAnsi="Garamond" w:cs="Arial"/>
          <w:sz w:val="24"/>
          <w:szCs w:val="24"/>
        </w:rPr>
        <w:t>acesso</w:t>
      </w:r>
      <w:r w:rsidR="00D02353" w:rsidRPr="003A1174">
        <w:rPr>
          <w:rFonts w:ascii="Garamond" w:hAnsi="Garamond" w:cs="Arial"/>
          <w:sz w:val="24"/>
          <w:szCs w:val="24"/>
        </w:rPr>
        <w:t xml:space="preserve"> </w:t>
      </w:r>
      <w:r w:rsidR="00BB2B00" w:rsidRPr="003A1174">
        <w:rPr>
          <w:rFonts w:ascii="Garamond" w:hAnsi="Garamond" w:cs="Arial"/>
          <w:sz w:val="24"/>
          <w:szCs w:val="24"/>
        </w:rPr>
        <w:t>à</w:t>
      </w:r>
      <w:r w:rsidR="00D02353" w:rsidRPr="003A1174">
        <w:rPr>
          <w:rFonts w:ascii="Garamond" w:hAnsi="Garamond" w:cs="Arial"/>
          <w:sz w:val="24"/>
          <w:szCs w:val="24"/>
        </w:rPr>
        <w:t xml:space="preserve"> </w:t>
      </w:r>
      <w:r w:rsidR="00FC1F7F" w:rsidRPr="003A1174">
        <w:rPr>
          <w:rFonts w:ascii="Garamond" w:hAnsi="Garamond" w:cs="Arial"/>
          <w:sz w:val="24"/>
          <w:szCs w:val="24"/>
        </w:rPr>
        <w:t>justiça</w:t>
      </w:r>
      <w:r w:rsidR="00D02353" w:rsidRPr="003A1174">
        <w:rPr>
          <w:rFonts w:ascii="Garamond" w:hAnsi="Garamond" w:cs="Arial"/>
          <w:sz w:val="24"/>
          <w:szCs w:val="24"/>
        </w:rPr>
        <w:t xml:space="preserve"> </w:t>
      </w:r>
      <w:r w:rsidR="00B830CA" w:rsidRPr="003A1174">
        <w:rPr>
          <w:rFonts w:ascii="Garamond" w:hAnsi="Garamond" w:cs="Arial"/>
          <w:sz w:val="24"/>
          <w:szCs w:val="24"/>
        </w:rPr>
        <w:t>n</w:t>
      </w:r>
      <w:r w:rsidR="00823BE0" w:rsidRPr="003A1174">
        <w:rPr>
          <w:rFonts w:ascii="Garamond" w:hAnsi="Garamond" w:cs="Arial"/>
          <w:sz w:val="24"/>
          <w:szCs w:val="24"/>
        </w:rPr>
        <w:t xml:space="preserve">a </w:t>
      </w:r>
      <w:r w:rsidR="00964875" w:rsidRPr="003A1174">
        <w:rPr>
          <w:rFonts w:ascii="Garamond" w:hAnsi="Garamond" w:cs="Arial"/>
          <w:sz w:val="24"/>
          <w:szCs w:val="24"/>
        </w:rPr>
        <w:t>superação</w:t>
      </w:r>
      <w:r w:rsidR="00823BE0" w:rsidRPr="003A1174">
        <w:rPr>
          <w:rFonts w:ascii="Garamond" w:hAnsi="Garamond" w:cs="Arial"/>
          <w:sz w:val="24"/>
          <w:szCs w:val="24"/>
        </w:rPr>
        <w:t xml:space="preserve"> da </w:t>
      </w:r>
      <w:r w:rsidR="0017447A" w:rsidRPr="003A1174">
        <w:rPr>
          <w:rFonts w:ascii="Garamond" w:hAnsi="Garamond" w:cs="Arial"/>
          <w:sz w:val="24"/>
          <w:szCs w:val="24"/>
        </w:rPr>
        <w:t>discriminação</w:t>
      </w:r>
      <w:r w:rsidR="00B830CA" w:rsidRPr="003A1174">
        <w:rPr>
          <w:rFonts w:ascii="Garamond" w:hAnsi="Garamond" w:cs="Arial"/>
          <w:sz w:val="24"/>
          <w:szCs w:val="24"/>
        </w:rPr>
        <w:t xml:space="preserve"> para com as </w:t>
      </w:r>
      <w:r w:rsidR="00054EE0" w:rsidRPr="003A1174">
        <w:rPr>
          <w:rFonts w:ascii="Garamond" w:hAnsi="Garamond" w:cs="Arial"/>
          <w:sz w:val="24"/>
          <w:szCs w:val="24"/>
        </w:rPr>
        <w:t>mulheres</w:t>
      </w:r>
      <w:r w:rsidR="00B830CA" w:rsidRPr="003A1174">
        <w:rPr>
          <w:rFonts w:ascii="Garamond" w:hAnsi="Garamond" w:cs="Arial"/>
          <w:sz w:val="24"/>
          <w:szCs w:val="24"/>
        </w:rPr>
        <w:t>, a</w:t>
      </w:r>
      <w:r w:rsidR="00823BE0" w:rsidRPr="003A1174">
        <w:rPr>
          <w:rFonts w:ascii="Garamond" w:hAnsi="Garamond" w:cs="Arial"/>
          <w:sz w:val="24"/>
          <w:szCs w:val="24"/>
        </w:rPr>
        <w:t xml:space="preserve">s </w:t>
      </w:r>
      <w:r w:rsidR="00964875" w:rsidRPr="003A1174">
        <w:rPr>
          <w:rFonts w:ascii="Garamond" w:hAnsi="Garamond" w:cs="Arial"/>
          <w:sz w:val="24"/>
          <w:szCs w:val="24"/>
        </w:rPr>
        <w:t>crianças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B830CA" w:rsidRPr="003A1174">
        <w:rPr>
          <w:rFonts w:ascii="Garamond" w:hAnsi="Garamond" w:cs="Arial"/>
          <w:sz w:val="24"/>
          <w:szCs w:val="24"/>
        </w:rPr>
        <w:t xml:space="preserve">os </w:t>
      </w:r>
      <w:r w:rsidR="00C031E1" w:rsidRPr="003A1174">
        <w:rPr>
          <w:rFonts w:ascii="Garamond" w:hAnsi="Garamond" w:cs="Arial"/>
          <w:sz w:val="24"/>
          <w:szCs w:val="24"/>
        </w:rPr>
        <w:t>adolescentes</w:t>
      </w:r>
      <w:r w:rsidR="00165C72">
        <w:rPr>
          <w:rFonts w:ascii="Garamond" w:hAnsi="Garamond" w:cs="Arial"/>
          <w:sz w:val="24"/>
          <w:szCs w:val="24"/>
        </w:rPr>
        <w:t>»</w:t>
      </w:r>
      <w:r w:rsidR="00C031E1" w:rsidRPr="003A1174">
        <w:rPr>
          <w:rFonts w:ascii="Garamond" w:hAnsi="Garamond" w:cs="Arial"/>
          <w:sz w:val="24"/>
          <w:szCs w:val="24"/>
        </w:rPr>
        <w:t xml:space="preserve">, </w:t>
      </w:r>
      <w:r w:rsidR="00165C72">
        <w:rPr>
          <w:rFonts w:ascii="Garamond" w:hAnsi="Garamond" w:cs="Arial"/>
          <w:sz w:val="24"/>
          <w:szCs w:val="24"/>
        </w:rPr>
        <w:t>e promoveu-se, ainda,</w:t>
      </w:r>
      <w:r w:rsidR="003904BB" w:rsidRPr="003A1174">
        <w:rPr>
          <w:rFonts w:ascii="Garamond" w:hAnsi="Garamond" w:cs="Arial"/>
          <w:sz w:val="24"/>
          <w:szCs w:val="24"/>
        </w:rPr>
        <w:t xml:space="preserve"> </w:t>
      </w:r>
      <w:r w:rsidR="00823BE0" w:rsidRPr="003A1174">
        <w:rPr>
          <w:rFonts w:ascii="Garamond" w:hAnsi="Garamond" w:cs="Arial"/>
          <w:sz w:val="24"/>
          <w:szCs w:val="24"/>
        </w:rPr>
        <w:t>u</w:t>
      </w:r>
      <w:r w:rsidR="00B830CA" w:rsidRPr="003A1174">
        <w:rPr>
          <w:rFonts w:ascii="Garamond" w:hAnsi="Garamond" w:cs="Arial"/>
          <w:sz w:val="24"/>
          <w:szCs w:val="24"/>
        </w:rPr>
        <w:t>m</w:t>
      </w:r>
      <w:r w:rsidR="00823BE0" w:rsidRPr="003A1174">
        <w:rPr>
          <w:rFonts w:ascii="Garamond" w:hAnsi="Garamond" w:cs="Arial"/>
          <w:sz w:val="24"/>
          <w:szCs w:val="24"/>
        </w:rPr>
        <w:t xml:space="preserve"> </w:t>
      </w:r>
      <w:r w:rsidR="00B830CA" w:rsidRPr="003A1174">
        <w:rPr>
          <w:rFonts w:ascii="Garamond" w:hAnsi="Garamond" w:cs="Arial"/>
          <w:i/>
          <w:sz w:val="24"/>
          <w:szCs w:val="24"/>
        </w:rPr>
        <w:t>Atelier</w:t>
      </w:r>
      <w:r w:rsidR="00823BE0" w:rsidRPr="003A1174">
        <w:rPr>
          <w:rFonts w:ascii="Garamond" w:hAnsi="Garamond" w:cs="Arial"/>
          <w:sz w:val="24"/>
          <w:szCs w:val="24"/>
        </w:rPr>
        <w:t xml:space="preserve"> sobre </w:t>
      </w:r>
      <w:r w:rsidR="00886D6A" w:rsidRPr="003A1174">
        <w:rPr>
          <w:rFonts w:ascii="Garamond" w:hAnsi="Garamond" w:cs="Arial"/>
          <w:sz w:val="24"/>
          <w:szCs w:val="24"/>
        </w:rPr>
        <w:t>direito</w:t>
      </w:r>
      <w:r w:rsidR="00D02353" w:rsidRPr="003A1174">
        <w:rPr>
          <w:rFonts w:ascii="Garamond" w:hAnsi="Garamond" w:cs="Arial"/>
          <w:sz w:val="24"/>
          <w:szCs w:val="24"/>
        </w:rPr>
        <w:t xml:space="preserve">s </w:t>
      </w:r>
      <w:r w:rsidR="00497503" w:rsidRPr="003A1174">
        <w:rPr>
          <w:rFonts w:ascii="Garamond" w:hAnsi="Garamond" w:cs="Arial"/>
          <w:sz w:val="24"/>
          <w:szCs w:val="24"/>
        </w:rPr>
        <w:t>das</w:t>
      </w:r>
      <w:r w:rsidR="00D02353" w:rsidRPr="003A1174">
        <w:rPr>
          <w:rFonts w:ascii="Garamond" w:hAnsi="Garamond" w:cs="Arial"/>
          <w:sz w:val="24"/>
          <w:szCs w:val="24"/>
        </w:rPr>
        <w:t xml:space="preserve"> </w:t>
      </w:r>
      <w:r w:rsidR="00054EE0" w:rsidRPr="003A1174">
        <w:rPr>
          <w:rFonts w:ascii="Garamond" w:hAnsi="Garamond" w:cs="Arial"/>
          <w:sz w:val="24"/>
          <w:szCs w:val="24"/>
        </w:rPr>
        <w:t>mulheres</w:t>
      </w:r>
      <w:r w:rsidR="00165C72">
        <w:rPr>
          <w:rFonts w:ascii="Garamond" w:hAnsi="Garamond" w:cs="Arial"/>
          <w:sz w:val="24"/>
          <w:szCs w:val="24"/>
        </w:rPr>
        <w:t>,</w:t>
      </w:r>
      <w:r w:rsidR="00D02353" w:rsidRPr="003A1174">
        <w:rPr>
          <w:rFonts w:ascii="Garamond" w:hAnsi="Garamond" w:cs="Arial"/>
          <w:sz w:val="24"/>
          <w:szCs w:val="24"/>
        </w:rPr>
        <w:t xml:space="preserve"> </w:t>
      </w:r>
      <w:r w:rsidR="00B830CA" w:rsidRPr="003A1174">
        <w:rPr>
          <w:rFonts w:ascii="Garamond" w:hAnsi="Garamond" w:cs="Arial"/>
          <w:sz w:val="24"/>
          <w:szCs w:val="24"/>
        </w:rPr>
        <w:t xml:space="preserve">durante </w:t>
      </w:r>
      <w:r w:rsidR="00823BE0" w:rsidRPr="003A1174">
        <w:rPr>
          <w:rFonts w:ascii="Garamond" w:hAnsi="Garamond" w:cs="Arial"/>
          <w:sz w:val="24"/>
          <w:szCs w:val="24"/>
        </w:rPr>
        <w:t xml:space="preserve">a </w:t>
      </w:r>
      <w:r w:rsidR="00D02353" w:rsidRPr="003A1174">
        <w:rPr>
          <w:rFonts w:ascii="Garamond" w:hAnsi="Garamond" w:cs="Arial"/>
          <w:sz w:val="24"/>
          <w:szCs w:val="24"/>
        </w:rPr>
        <w:t>S</w:t>
      </w:r>
      <w:r w:rsidR="00823BE0" w:rsidRPr="003A1174">
        <w:rPr>
          <w:rFonts w:ascii="Garamond" w:hAnsi="Garamond" w:cs="Arial"/>
          <w:sz w:val="24"/>
          <w:szCs w:val="24"/>
        </w:rPr>
        <w:t xml:space="preserve">emana </w:t>
      </w:r>
      <w:r w:rsidR="00497503" w:rsidRPr="003A1174">
        <w:rPr>
          <w:rFonts w:ascii="Garamond" w:hAnsi="Garamond" w:cs="Arial"/>
          <w:sz w:val="24"/>
          <w:szCs w:val="24"/>
        </w:rPr>
        <w:t>dos</w:t>
      </w:r>
      <w:r w:rsidR="00823BE0" w:rsidRPr="003A1174">
        <w:rPr>
          <w:rFonts w:ascii="Garamond" w:hAnsi="Garamond" w:cs="Arial"/>
          <w:sz w:val="24"/>
          <w:szCs w:val="24"/>
        </w:rPr>
        <w:t xml:space="preserve"> </w:t>
      </w:r>
      <w:r w:rsidR="00886D6A" w:rsidRPr="003A1174">
        <w:rPr>
          <w:rFonts w:ascii="Garamond" w:hAnsi="Garamond" w:cs="Arial"/>
          <w:sz w:val="24"/>
          <w:szCs w:val="24"/>
        </w:rPr>
        <w:t>Direito</w:t>
      </w:r>
      <w:r w:rsidR="00B830CA" w:rsidRPr="003A1174">
        <w:rPr>
          <w:rFonts w:ascii="Garamond" w:hAnsi="Garamond" w:cs="Arial"/>
          <w:sz w:val="24"/>
          <w:szCs w:val="24"/>
        </w:rPr>
        <w:t>s Humanos, para estudantes secundá</w:t>
      </w:r>
      <w:r w:rsidR="00823BE0" w:rsidRPr="003A1174">
        <w:rPr>
          <w:rFonts w:ascii="Garamond" w:hAnsi="Garamond" w:cs="Arial"/>
          <w:sz w:val="24"/>
          <w:szCs w:val="24"/>
        </w:rPr>
        <w:t>rios (</w:t>
      </w:r>
      <w:r w:rsidR="000350B1" w:rsidRPr="003A1174">
        <w:rPr>
          <w:rFonts w:ascii="Garamond" w:hAnsi="Garamond" w:cs="Arial"/>
          <w:sz w:val="24"/>
          <w:szCs w:val="24"/>
        </w:rPr>
        <w:t>assistência</w:t>
      </w:r>
      <w:r w:rsidR="00823BE0" w:rsidRPr="003A1174">
        <w:rPr>
          <w:rFonts w:ascii="Garamond" w:hAnsi="Garamond" w:cs="Arial"/>
          <w:sz w:val="24"/>
          <w:szCs w:val="24"/>
        </w:rPr>
        <w:t xml:space="preserve"> de 100</w:t>
      </w:r>
      <w:r w:rsidR="00DD569C" w:rsidRPr="003A1174">
        <w:rPr>
          <w:rFonts w:ascii="Garamond" w:hAnsi="Garamond" w:cs="Arial"/>
          <w:sz w:val="24"/>
          <w:szCs w:val="24"/>
        </w:rPr>
        <w:t xml:space="preserve"> </w:t>
      </w:r>
      <w:r w:rsidR="006C760C" w:rsidRPr="003A1174">
        <w:rPr>
          <w:rFonts w:ascii="Garamond" w:hAnsi="Garamond" w:cs="Arial"/>
          <w:sz w:val="24"/>
          <w:szCs w:val="24"/>
        </w:rPr>
        <w:t>pessoas</w:t>
      </w:r>
      <w:r w:rsidR="00823BE0" w:rsidRPr="003A1174">
        <w:rPr>
          <w:rFonts w:ascii="Garamond" w:hAnsi="Garamond" w:cs="Arial"/>
          <w:sz w:val="24"/>
          <w:szCs w:val="24"/>
        </w:rPr>
        <w:t>); u</w:t>
      </w:r>
      <w:r w:rsidR="00B830CA" w:rsidRPr="003A1174">
        <w:rPr>
          <w:rFonts w:ascii="Garamond" w:hAnsi="Garamond" w:cs="Arial"/>
          <w:sz w:val="24"/>
          <w:szCs w:val="24"/>
        </w:rPr>
        <w:t>ma conferência</w:t>
      </w:r>
      <w:r w:rsidR="00823BE0" w:rsidRPr="003A1174">
        <w:rPr>
          <w:rFonts w:ascii="Garamond" w:hAnsi="Garamond" w:cs="Arial"/>
          <w:sz w:val="24"/>
          <w:szCs w:val="24"/>
        </w:rPr>
        <w:t xml:space="preserve"> sobre </w:t>
      </w:r>
      <w:r w:rsidR="00B830CA" w:rsidRPr="003A1174">
        <w:rPr>
          <w:rFonts w:ascii="Garamond" w:hAnsi="Garamond" w:cs="Arial"/>
          <w:sz w:val="24"/>
          <w:szCs w:val="24"/>
        </w:rPr>
        <w:t>t</w:t>
      </w:r>
      <w:r w:rsidR="00823BE0" w:rsidRPr="003A1174">
        <w:rPr>
          <w:rFonts w:ascii="Garamond" w:hAnsi="Garamond" w:cs="Arial"/>
          <w:sz w:val="24"/>
          <w:szCs w:val="24"/>
        </w:rPr>
        <w:t>emática</w:t>
      </w:r>
      <w:r w:rsidR="00B830CA" w:rsidRPr="003A1174">
        <w:rPr>
          <w:rFonts w:ascii="Garamond" w:hAnsi="Garamond" w:cs="Arial"/>
          <w:sz w:val="24"/>
          <w:szCs w:val="24"/>
        </w:rPr>
        <w:t xml:space="preserve"> similar</w:t>
      </w:r>
      <w:r w:rsidR="00165C72">
        <w:rPr>
          <w:rFonts w:ascii="Garamond" w:hAnsi="Garamond" w:cs="Arial"/>
          <w:sz w:val="24"/>
          <w:szCs w:val="24"/>
        </w:rPr>
        <w:t>,</w:t>
      </w:r>
      <w:r w:rsidR="00823BE0" w:rsidRPr="003A1174">
        <w:rPr>
          <w:rFonts w:ascii="Garamond" w:hAnsi="Garamond" w:cs="Arial"/>
          <w:sz w:val="24"/>
          <w:szCs w:val="24"/>
        </w:rPr>
        <w:t xml:space="preserve"> destinada </w:t>
      </w:r>
      <w:r w:rsidR="00BB2B00" w:rsidRPr="003A1174">
        <w:rPr>
          <w:rFonts w:ascii="Garamond" w:hAnsi="Garamond" w:cs="Arial"/>
          <w:sz w:val="24"/>
          <w:szCs w:val="24"/>
        </w:rPr>
        <w:t>à</w:t>
      </w:r>
      <w:r w:rsidR="00823BE0" w:rsidRPr="003A1174">
        <w:rPr>
          <w:rFonts w:ascii="Garamond" w:hAnsi="Garamond" w:cs="Arial"/>
          <w:sz w:val="24"/>
          <w:szCs w:val="24"/>
        </w:rPr>
        <w:t xml:space="preserve"> </w:t>
      </w:r>
      <w:r w:rsidR="00976FB8" w:rsidRPr="003A1174">
        <w:rPr>
          <w:rFonts w:ascii="Garamond" w:hAnsi="Garamond" w:cs="Arial"/>
          <w:sz w:val="24"/>
          <w:szCs w:val="24"/>
        </w:rPr>
        <w:t>sensibilização</w:t>
      </w:r>
      <w:r w:rsidR="00823BE0" w:rsidRPr="003A1174">
        <w:rPr>
          <w:rFonts w:ascii="Garamond" w:hAnsi="Garamond" w:cs="Arial"/>
          <w:sz w:val="24"/>
          <w:szCs w:val="24"/>
        </w:rPr>
        <w:t xml:space="preserve"> e </w:t>
      </w:r>
      <w:r w:rsidR="000464C8" w:rsidRPr="003A1174">
        <w:rPr>
          <w:rFonts w:ascii="Garamond" w:hAnsi="Garamond" w:cs="Arial"/>
          <w:sz w:val="24"/>
          <w:szCs w:val="24"/>
        </w:rPr>
        <w:t>identificação</w:t>
      </w:r>
      <w:r w:rsidR="00823BE0" w:rsidRPr="003A1174">
        <w:rPr>
          <w:rFonts w:ascii="Garamond" w:hAnsi="Garamond" w:cs="Arial"/>
          <w:sz w:val="24"/>
          <w:szCs w:val="24"/>
        </w:rPr>
        <w:t xml:space="preserve"> de </w:t>
      </w:r>
      <w:r w:rsidR="003F012B" w:rsidRPr="003A1174">
        <w:rPr>
          <w:rFonts w:ascii="Garamond" w:hAnsi="Garamond" w:cs="Arial"/>
          <w:sz w:val="24"/>
          <w:szCs w:val="24"/>
        </w:rPr>
        <w:t>padrões</w:t>
      </w:r>
      <w:r w:rsidR="00823BE0" w:rsidRPr="003A1174">
        <w:rPr>
          <w:rFonts w:ascii="Garamond" w:hAnsi="Garamond" w:cs="Arial"/>
          <w:sz w:val="24"/>
          <w:szCs w:val="24"/>
        </w:rPr>
        <w:t xml:space="preserve"> </w:t>
      </w:r>
      <w:r w:rsidR="00040BD1" w:rsidRPr="003A1174">
        <w:rPr>
          <w:rFonts w:ascii="Garamond" w:hAnsi="Garamond" w:cs="Arial"/>
          <w:sz w:val="24"/>
          <w:szCs w:val="24"/>
        </w:rPr>
        <w:t>socioculturais</w:t>
      </w:r>
      <w:r w:rsidR="00823BE0" w:rsidRPr="003A1174">
        <w:rPr>
          <w:rFonts w:ascii="Garamond" w:hAnsi="Garamond" w:cs="Arial"/>
          <w:sz w:val="24"/>
          <w:szCs w:val="24"/>
        </w:rPr>
        <w:t xml:space="preserve">, </w:t>
      </w:r>
      <w:r w:rsidR="00D02353" w:rsidRPr="003A1174">
        <w:rPr>
          <w:rFonts w:ascii="Garamond" w:hAnsi="Garamond" w:cs="Arial"/>
          <w:sz w:val="24"/>
          <w:szCs w:val="24"/>
        </w:rPr>
        <w:t xml:space="preserve">dirigida </w:t>
      </w:r>
      <w:r w:rsidR="00823BE0" w:rsidRPr="003A1174">
        <w:rPr>
          <w:rFonts w:ascii="Garamond" w:hAnsi="Garamond" w:cs="Arial"/>
          <w:sz w:val="24"/>
          <w:szCs w:val="24"/>
        </w:rPr>
        <w:t xml:space="preserve">a Procuradores </w:t>
      </w:r>
      <w:r w:rsidR="002D1021" w:rsidRPr="003A1174">
        <w:rPr>
          <w:rFonts w:ascii="Garamond" w:hAnsi="Garamond" w:cs="Arial"/>
          <w:sz w:val="24"/>
          <w:szCs w:val="24"/>
        </w:rPr>
        <w:t>Judiciais</w:t>
      </w:r>
      <w:r w:rsidR="00823BE0" w:rsidRPr="003A1174">
        <w:rPr>
          <w:rFonts w:ascii="Garamond" w:hAnsi="Garamond" w:cs="Arial"/>
          <w:sz w:val="24"/>
          <w:szCs w:val="24"/>
        </w:rPr>
        <w:t xml:space="preserve"> (</w:t>
      </w:r>
      <w:r w:rsidR="00B830CA" w:rsidRPr="003A1174">
        <w:rPr>
          <w:rFonts w:ascii="Garamond" w:hAnsi="Garamond" w:cs="Arial"/>
          <w:sz w:val="24"/>
          <w:szCs w:val="24"/>
        </w:rPr>
        <w:t>assistiram</w:t>
      </w:r>
      <w:r w:rsidR="00823BE0" w:rsidRPr="003A1174">
        <w:rPr>
          <w:rFonts w:ascii="Garamond" w:hAnsi="Garamond" w:cs="Arial"/>
          <w:sz w:val="24"/>
          <w:szCs w:val="24"/>
        </w:rPr>
        <w:t xml:space="preserve"> 50 </w:t>
      </w:r>
      <w:r w:rsidR="006C760C" w:rsidRPr="003A1174">
        <w:rPr>
          <w:rFonts w:ascii="Garamond" w:hAnsi="Garamond" w:cs="Arial"/>
          <w:sz w:val="24"/>
          <w:szCs w:val="24"/>
        </w:rPr>
        <w:t>pessoas</w:t>
      </w:r>
      <w:r w:rsidR="00B830CA" w:rsidRPr="003A1174">
        <w:rPr>
          <w:rFonts w:ascii="Garamond" w:hAnsi="Garamond" w:cs="Arial"/>
          <w:sz w:val="24"/>
          <w:szCs w:val="24"/>
        </w:rPr>
        <w:t>); um</w:t>
      </w:r>
      <w:r w:rsidR="00823BE0" w:rsidRPr="003A1174">
        <w:rPr>
          <w:rFonts w:ascii="Garamond" w:hAnsi="Garamond" w:cs="Arial"/>
          <w:sz w:val="24"/>
          <w:szCs w:val="24"/>
        </w:rPr>
        <w:t xml:space="preserve">a entrevista relativa a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r w:rsidR="003F012B" w:rsidRPr="003A1174">
        <w:rPr>
          <w:rFonts w:ascii="Garamond" w:hAnsi="Garamond" w:cs="Arial"/>
          <w:sz w:val="24"/>
          <w:szCs w:val="24"/>
        </w:rPr>
        <w:t>vítima</w:t>
      </w:r>
      <w:r w:rsidR="00823BE0" w:rsidRPr="003A1174">
        <w:rPr>
          <w:rFonts w:ascii="Garamond" w:hAnsi="Garamond" w:cs="Arial"/>
          <w:sz w:val="24"/>
          <w:szCs w:val="24"/>
        </w:rPr>
        <w:t>s de que</w:t>
      </w:r>
      <w:r w:rsidR="003F012B" w:rsidRPr="003A1174">
        <w:rPr>
          <w:rFonts w:ascii="Garamond" w:hAnsi="Garamond" w:cs="Arial"/>
          <w:sz w:val="24"/>
          <w:szCs w:val="24"/>
        </w:rPr>
        <w:t>i</w:t>
      </w:r>
      <w:r w:rsidR="00823BE0" w:rsidRPr="003A1174">
        <w:rPr>
          <w:rFonts w:ascii="Garamond" w:hAnsi="Garamond" w:cs="Arial"/>
          <w:sz w:val="24"/>
          <w:szCs w:val="24"/>
        </w:rPr>
        <w:t>maduras co</w:t>
      </w:r>
      <w:r w:rsidR="003F012B" w:rsidRPr="003A1174">
        <w:rPr>
          <w:rFonts w:ascii="Garamond" w:hAnsi="Garamond" w:cs="Arial"/>
          <w:sz w:val="24"/>
          <w:szCs w:val="24"/>
        </w:rPr>
        <w:t>m</w:t>
      </w:r>
      <w:r w:rsidR="00823BE0" w:rsidRPr="003A1174">
        <w:rPr>
          <w:rFonts w:ascii="Garamond" w:hAnsi="Garamond" w:cs="Arial"/>
          <w:sz w:val="24"/>
          <w:szCs w:val="24"/>
        </w:rPr>
        <w:t xml:space="preserve"> agentes químicos</w:t>
      </w:r>
      <w:r w:rsidR="00D02353" w:rsidRPr="003A1174">
        <w:rPr>
          <w:rFonts w:ascii="Garamond" w:hAnsi="Garamond" w:cs="Arial"/>
          <w:sz w:val="24"/>
          <w:szCs w:val="24"/>
        </w:rPr>
        <w:t>,</w:t>
      </w:r>
      <w:r w:rsidR="00823BE0" w:rsidRPr="003A1174">
        <w:rPr>
          <w:rFonts w:ascii="Garamond" w:hAnsi="Garamond" w:cs="Arial"/>
          <w:sz w:val="24"/>
          <w:szCs w:val="24"/>
        </w:rPr>
        <w:t xml:space="preserve"> que se </w:t>
      </w:r>
      <w:r w:rsidR="00B830CA" w:rsidRPr="003A1174">
        <w:rPr>
          <w:rFonts w:ascii="Garamond" w:hAnsi="Garamond" w:cs="Arial"/>
          <w:sz w:val="24"/>
          <w:szCs w:val="24"/>
        </w:rPr>
        <w:t xml:space="preserve">transmitiu </w:t>
      </w:r>
      <w:r w:rsidR="003F012B" w:rsidRPr="003A1174">
        <w:rPr>
          <w:rFonts w:ascii="Garamond" w:hAnsi="Garamond" w:cs="Arial"/>
          <w:sz w:val="24"/>
          <w:szCs w:val="24"/>
        </w:rPr>
        <w:t>através de um</w:t>
      </w:r>
      <w:r w:rsidR="00823BE0" w:rsidRPr="003A1174">
        <w:rPr>
          <w:rFonts w:ascii="Garamond" w:hAnsi="Garamond" w:cs="Arial"/>
          <w:sz w:val="24"/>
          <w:szCs w:val="24"/>
        </w:rPr>
        <w:t xml:space="preserve">a </w:t>
      </w:r>
      <w:r w:rsidR="00BA3CCE" w:rsidRPr="003A1174">
        <w:rPr>
          <w:rFonts w:ascii="Garamond" w:hAnsi="Garamond" w:cs="Arial"/>
          <w:sz w:val="24"/>
          <w:szCs w:val="24"/>
        </w:rPr>
        <w:t>emissora</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B830CA" w:rsidRPr="003A1174">
        <w:rPr>
          <w:rFonts w:ascii="Garamond" w:hAnsi="Garamond" w:cs="Arial"/>
          <w:sz w:val="24"/>
          <w:szCs w:val="24"/>
        </w:rPr>
        <w:t xml:space="preserve"> Ex</w:t>
      </w:r>
      <w:r w:rsidR="00823BE0" w:rsidRPr="003A1174">
        <w:rPr>
          <w:rFonts w:ascii="Garamond" w:hAnsi="Garamond" w:cs="Arial"/>
          <w:sz w:val="24"/>
          <w:szCs w:val="24"/>
        </w:rPr>
        <w:t xml:space="preserve">ército Nacional, para </w:t>
      </w:r>
      <w:r w:rsidR="00B830CA" w:rsidRPr="003A1174">
        <w:rPr>
          <w:rFonts w:ascii="Garamond" w:hAnsi="Garamond" w:cs="Arial"/>
          <w:sz w:val="24"/>
          <w:szCs w:val="24"/>
        </w:rPr>
        <w:t xml:space="preserve">o </w:t>
      </w:r>
      <w:r w:rsidR="00823BE0" w:rsidRPr="003A1174">
        <w:rPr>
          <w:rFonts w:ascii="Garamond" w:hAnsi="Garamond" w:cs="Arial"/>
          <w:sz w:val="24"/>
          <w:szCs w:val="24"/>
        </w:rPr>
        <w:t>público e</w:t>
      </w:r>
      <w:r w:rsidR="00B830CA" w:rsidRPr="003A1174">
        <w:rPr>
          <w:rFonts w:ascii="Garamond" w:hAnsi="Garamond" w:cs="Arial"/>
          <w:sz w:val="24"/>
          <w:szCs w:val="24"/>
        </w:rPr>
        <w:t>m</w:t>
      </w:r>
      <w:r w:rsidR="00823BE0" w:rsidRPr="003A1174">
        <w:rPr>
          <w:rFonts w:ascii="Garamond" w:hAnsi="Garamond" w:cs="Arial"/>
          <w:sz w:val="24"/>
          <w:szCs w:val="24"/>
        </w:rPr>
        <w:t xml:space="preserve"> </w:t>
      </w:r>
      <w:r w:rsidR="00077461" w:rsidRPr="003A1174">
        <w:rPr>
          <w:rFonts w:ascii="Garamond" w:hAnsi="Garamond" w:cs="Arial"/>
          <w:sz w:val="24"/>
          <w:szCs w:val="24"/>
        </w:rPr>
        <w:t>geral</w:t>
      </w:r>
      <w:r w:rsidR="00D02353" w:rsidRPr="003A1174">
        <w:rPr>
          <w:rFonts w:ascii="Garamond" w:hAnsi="Garamond" w:cs="Arial"/>
          <w:sz w:val="24"/>
          <w:szCs w:val="24"/>
        </w:rPr>
        <w:t>;</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vário</w:t>
      </w:r>
      <w:r w:rsidR="00823BE0" w:rsidRPr="003A1174">
        <w:rPr>
          <w:rFonts w:ascii="Garamond" w:hAnsi="Garamond" w:cs="Arial"/>
          <w:sz w:val="24"/>
          <w:szCs w:val="24"/>
        </w:rPr>
        <w:t xml:space="preserve">s </w:t>
      </w:r>
      <w:r w:rsidR="00C15C97" w:rsidRPr="003A1174">
        <w:rPr>
          <w:rFonts w:ascii="Garamond" w:hAnsi="Garamond" w:cs="Arial"/>
          <w:i/>
          <w:sz w:val="24"/>
          <w:szCs w:val="24"/>
        </w:rPr>
        <w:t>ateliers</w:t>
      </w:r>
      <w:r w:rsidR="00B830CA" w:rsidRPr="003A1174">
        <w:rPr>
          <w:rFonts w:ascii="Garamond" w:hAnsi="Garamond" w:cs="Arial"/>
          <w:sz w:val="24"/>
          <w:szCs w:val="24"/>
        </w:rPr>
        <w:t xml:space="preserve"> </w:t>
      </w:r>
      <w:r w:rsidR="00165C72">
        <w:rPr>
          <w:rFonts w:ascii="Garamond" w:hAnsi="Garamond" w:cs="Arial"/>
          <w:sz w:val="24"/>
          <w:szCs w:val="24"/>
        </w:rPr>
        <w:t xml:space="preserve">sobre os </w:t>
      </w:r>
      <w:r w:rsidR="00823BE0" w:rsidRPr="003A1174">
        <w:rPr>
          <w:rFonts w:ascii="Garamond" w:hAnsi="Garamond" w:cs="Arial"/>
          <w:sz w:val="24"/>
          <w:szCs w:val="24"/>
        </w:rPr>
        <w:t xml:space="preserve">obstáculos para </w:t>
      </w:r>
      <w:r w:rsidR="00B830CA" w:rsidRPr="003A1174">
        <w:rPr>
          <w:rFonts w:ascii="Garamond" w:hAnsi="Garamond" w:cs="Arial"/>
          <w:sz w:val="24"/>
          <w:szCs w:val="24"/>
        </w:rPr>
        <w:t>o</w:t>
      </w:r>
      <w:r w:rsidR="00823BE0" w:rsidRPr="003A1174">
        <w:rPr>
          <w:rFonts w:ascii="Garamond" w:hAnsi="Garamond" w:cs="Arial"/>
          <w:sz w:val="24"/>
          <w:szCs w:val="24"/>
        </w:rPr>
        <w:t xml:space="preserve"> </w:t>
      </w:r>
      <w:r w:rsidR="00886D6A" w:rsidRPr="003A1174">
        <w:rPr>
          <w:rFonts w:ascii="Garamond" w:hAnsi="Garamond" w:cs="Arial"/>
          <w:sz w:val="24"/>
          <w:szCs w:val="24"/>
        </w:rPr>
        <w:t>acesso</w:t>
      </w:r>
      <w:r w:rsidR="00823BE0" w:rsidRPr="003A1174">
        <w:rPr>
          <w:rFonts w:ascii="Garamond" w:hAnsi="Garamond" w:cs="Arial"/>
          <w:sz w:val="24"/>
          <w:szCs w:val="24"/>
        </w:rPr>
        <w:t xml:space="preserve"> </w:t>
      </w:r>
      <w:r w:rsidR="00620661">
        <w:rPr>
          <w:rFonts w:ascii="Garamond" w:hAnsi="Garamond" w:cs="Arial"/>
          <w:sz w:val="24"/>
          <w:szCs w:val="24"/>
        </w:rPr>
        <w:t xml:space="preserve">das mulheres </w:t>
      </w:r>
      <w:r w:rsidR="00BB2B00" w:rsidRPr="003A1174">
        <w:rPr>
          <w:rFonts w:ascii="Garamond" w:hAnsi="Garamond" w:cs="Arial"/>
          <w:sz w:val="24"/>
          <w:szCs w:val="24"/>
        </w:rPr>
        <w:t>à</w:t>
      </w:r>
      <w:r w:rsidR="00823BE0" w:rsidRPr="003A1174">
        <w:rPr>
          <w:rFonts w:ascii="Garamond" w:hAnsi="Garamond" w:cs="Arial"/>
          <w:sz w:val="24"/>
          <w:szCs w:val="24"/>
        </w:rPr>
        <w:t xml:space="preserve"> </w:t>
      </w:r>
      <w:r w:rsidR="00FC1F7F" w:rsidRPr="003A1174">
        <w:rPr>
          <w:rFonts w:ascii="Garamond" w:hAnsi="Garamond" w:cs="Arial"/>
          <w:sz w:val="24"/>
          <w:szCs w:val="24"/>
        </w:rPr>
        <w:t>justiça</w:t>
      </w:r>
      <w:r w:rsidR="00620661">
        <w:rPr>
          <w:rFonts w:ascii="Garamond" w:hAnsi="Garamond" w:cs="Arial"/>
          <w:sz w:val="24"/>
          <w:szCs w:val="24"/>
        </w:rPr>
        <w:t>,</w:t>
      </w:r>
      <w:r w:rsidR="00823BE0" w:rsidRPr="003A1174">
        <w:rPr>
          <w:rFonts w:ascii="Garamond" w:hAnsi="Garamond" w:cs="Arial"/>
          <w:sz w:val="24"/>
          <w:szCs w:val="24"/>
        </w:rPr>
        <w:t xml:space="preserve"> </w:t>
      </w:r>
      <w:r w:rsidR="00D02353" w:rsidRPr="003A1174">
        <w:rPr>
          <w:rFonts w:ascii="Garamond" w:hAnsi="Garamond" w:cs="Arial"/>
          <w:sz w:val="24"/>
          <w:szCs w:val="24"/>
        </w:rPr>
        <w:t>dirigidos</w:t>
      </w:r>
      <w:r w:rsidR="00B830CA" w:rsidRPr="003A1174">
        <w:rPr>
          <w:rFonts w:ascii="Garamond" w:hAnsi="Garamond" w:cs="Arial"/>
          <w:sz w:val="24"/>
          <w:szCs w:val="24"/>
        </w:rPr>
        <w:t xml:space="preserve"> a lí</w:t>
      </w:r>
      <w:r w:rsidR="00823BE0" w:rsidRPr="003A1174">
        <w:rPr>
          <w:rFonts w:ascii="Garamond" w:hAnsi="Garamond" w:cs="Arial"/>
          <w:sz w:val="24"/>
          <w:szCs w:val="24"/>
        </w:rPr>
        <w:t xml:space="preserve">deres de </w:t>
      </w:r>
      <w:r w:rsidR="00B830CA" w:rsidRPr="003A1174">
        <w:rPr>
          <w:rFonts w:ascii="Garamond" w:hAnsi="Garamond" w:cs="Arial"/>
          <w:sz w:val="24"/>
          <w:szCs w:val="24"/>
        </w:rPr>
        <w:t xml:space="preserve">diversas </w:t>
      </w:r>
      <w:r w:rsidR="002470B1" w:rsidRPr="003A1174">
        <w:rPr>
          <w:rFonts w:ascii="Garamond" w:hAnsi="Garamond" w:cs="Arial"/>
          <w:sz w:val="24"/>
          <w:szCs w:val="24"/>
        </w:rPr>
        <w:t>organizações</w:t>
      </w:r>
      <w:r w:rsidR="00823BE0" w:rsidRPr="003A1174">
        <w:rPr>
          <w:rFonts w:ascii="Garamond" w:hAnsi="Garamond" w:cs="Arial"/>
          <w:sz w:val="24"/>
          <w:szCs w:val="24"/>
        </w:rPr>
        <w:t xml:space="preserve"> (</w:t>
      </w:r>
      <w:r w:rsidR="000350B1" w:rsidRPr="003A1174">
        <w:rPr>
          <w:rFonts w:ascii="Garamond" w:hAnsi="Garamond" w:cs="Arial"/>
          <w:sz w:val="24"/>
          <w:szCs w:val="24"/>
        </w:rPr>
        <w:t>assistência</w:t>
      </w:r>
      <w:r w:rsidR="00823BE0" w:rsidRPr="003A1174">
        <w:rPr>
          <w:rFonts w:ascii="Garamond" w:hAnsi="Garamond" w:cs="Arial"/>
          <w:sz w:val="24"/>
          <w:szCs w:val="24"/>
        </w:rPr>
        <w:t xml:space="preserve"> de 300 </w:t>
      </w:r>
      <w:r w:rsidR="00054EE0" w:rsidRPr="003A1174">
        <w:rPr>
          <w:rFonts w:ascii="Garamond" w:hAnsi="Garamond" w:cs="Arial"/>
          <w:sz w:val="24"/>
          <w:szCs w:val="24"/>
        </w:rPr>
        <w:t>mulheres</w:t>
      </w:r>
      <w:r w:rsidR="00823BE0" w:rsidRPr="003A1174">
        <w:rPr>
          <w:rFonts w:ascii="Garamond" w:hAnsi="Garamond" w:cs="Arial"/>
          <w:sz w:val="24"/>
          <w:szCs w:val="24"/>
        </w:rPr>
        <w:t xml:space="preserve">).  </w:t>
      </w:r>
    </w:p>
    <w:p w:rsidR="00173A82" w:rsidRPr="003A1174" w:rsidRDefault="00684945" w:rsidP="008719D4">
      <w:pPr>
        <w:pStyle w:val="Ttulo3"/>
        <w:spacing w:line="240" w:lineRule="auto"/>
        <w:rPr>
          <w:rFonts w:ascii="Garamond" w:eastAsia="Calibri" w:hAnsi="Garamond"/>
          <w:sz w:val="24"/>
          <w:szCs w:val="24"/>
        </w:rPr>
      </w:pPr>
      <w:bookmarkStart w:id="59" w:name="_Toc421529747"/>
      <w:r w:rsidRPr="003A1174">
        <w:rPr>
          <w:rFonts w:ascii="Garamond" w:eastAsia="Calibri" w:hAnsi="Garamond"/>
          <w:sz w:val="24"/>
          <w:szCs w:val="24"/>
        </w:rPr>
        <w:lastRenderedPageBreak/>
        <w:t xml:space="preserve">Costa </w:t>
      </w:r>
      <w:r w:rsidR="00FE2732">
        <w:rPr>
          <w:rFonts w:ascii="Garamond" w:eastAsia="Calibri" w:hAnsi="Garamond"/>
          <w:sz w:val="24"/>
          <w:szCs w:val="24"/>
        </w:rPr>
        <w:t>R</w:t>
      </w:r>
      <w:r w:rsidRPr="003A1174">
        <w:rPr>
          <w:rFonts w:ascii="Garamond" w:eastAsia="Calibri" w:hAnsi="Garamond"/>
          <w:sz w:val="24"/>
          <w:szCs w:val="24"/>
        </w:rPr>
        <w:t>ica</w:t>
      </w:r>
      <w:bookmarkEnd w:id="59"/>
    </w:p>
    <w:p w:rsidR="00173A82" w:rsidRPr="003A1174" w:rsidRDefault="00FE2732" w:rsidP="008719D4">
      <w:pPr>
        <w:spacing w:line="240" w:lineRule="auto"/>
        <w:jc w:val="both"/>
        <w:rPr>
          <w:rFonts w:ascii="Garamond" w:eastAsia="Times New Roman" w:hAnsi="Garamond" w:cs="Arial"/>
          <w:b/>
          <w:bCs/>
          <w:color w:val="000000"/>
          <w:sz w:val="24"/>
          <w:szCs w:val="24"/>
          <w:lang w:eastAsia="es-CR"/>
        </w:rPr>
      </w:pPr>
      <w:r>
        <w:rPr>
          <w:rFonts w:ascii="Garamond" w:eastAsia="Calibri" w:hAnsi="Garamond" w:cs="Arial"/>
          <w:sz w:val="24"/>
          <w:szCs w:val="24"/>
        </w:rPr>
        <w:t>A Costa Rica, n</w:t>
      </w:r>
      <w:r w:rsidR="00141BA9" w:rsidRPr="003A1174">
        <w:rPr>
          <w:rFonts w:ascii="Garamond" w:eastAsia="Calibri" w:hAnsi="Garamond" w:cs="Arial"/>
          <w:sz w:val="24"/>
          <w:szCs w:val="24"/>
        </w:rPr>
        <w:t xml:space="preserve">o </w:t>
      </w:r>
      <w:r w:rsidR="00802ACC" w:rsidRPr="003A1174">
        <w:rPr>
          <w:rFonts w:ascii="Garamond" w:eastAsia="Calibri" w:hAnsi="Garamond" w:cs="Arial"/>
          <w:sz w:val="24"/>
          <w:szCs w:val="24"/>
        </w:rPr>
        <w:t>âmbito</w:t>
      </w:r>
      <w:r w:rsidR="00173A82" w:rsidRPr="003A1174">
        <w:rPr>
          <w:rFonts w:ascii="Garamond" w:eastAsia="Calibri" w:hAnsi="Garamond" w:cs="Arial"/>
          <w:sz w:val="24"/>
          <w:szCs w:val="24"/>
        </w:rPr>
        <w:t xml:space="preserve"> de </w:t>
      </w:r>
      <w:r w:rsidR="00AB6522" w:rsidRPr="003A1174">
        <w:rPr>
          <w:rFonts w:ascii="Garamond" w:eastAsia="Calibri" w:hAnsi="Garamond" w:cs="Arial"/>
          <w:sz w:val="24"/>
          <w:szCs w:val="24"/>
        </w:rPr>
        <w:t>resposta</w:t>
      </w:r>
      <w:r w:rsidR="00141BA9" w:rsidRPr="003A1174">
        <w:rPr>
          <w:rFonts w:ascii="Garamond" w:eastAsia="Calibri" w:hAnsi="Garamond" w:cs="Arial"/>
          <w:sz w:val="24"/>
          <w:szCs w:val="24"/>
        </w:rPr>
        <w:t>s operativas d</w:t>
      </w:r>
      <w:r w:rsidR="00173A82" w:rsidRPr="003A1174">
        <w:rPr>
          <w:rFonts w:ascii="Garamond" w:eastAsia="Calibri" w:hAnsi="Garamond" w:cs="Arial"/>
          <w:sz w:val="24"/>
          <w:szCs w:val="24"/>
        </w:rPr>
        <w:t>a institucionalidad</w:t>
      </w:r>
      <w:r w:rsidR="00141BA9" w:rsidRPr="003A1174">
        <w:rPr>
          <w:rFonts w:ascii="Garamond" w:eastAsia="Calibri" w:hAnsi="Garamond" w:cs="Arial"/>
          <w:sz w:val="24"/>
          <w:szCs w:val="24"/>
        </w:rPr>
        <w:t xml:space="preserve">e para com </w:t>
      </w:r>
      <w:r w:rsidR="00173A82" w:rsidRPr="003A1174">
        <w:rPr>
          <w:rFonts w:ascii="Garamond" w:eastAsia="Calibri" w:hAnsi="Garamond" w:cs="Arial"/>
          <w:sz w:val="24"/>
          <w:szCs w:val="24"/>
        </w:rPr>
        <w:t xml:space="preserve">as </w:t>
      </w:r>
      <w:r w:rsidR="00054EE0" w:rsidRPr="003A1174">
        <w:rPr>
          <w:rFonts w:ascii="Garamond" w:eastAsia="Calibri" w:hAnsi="Garamond" w:cs="Arial"/>
          <w:sz w:val="24"/>
          <w:szCs w:val="24"/>
        </w:rPr>
        <w:t>mulheres</w:t>
      </w:r>
      <w:r w:rsidR="00173A82" w:rsidRPr="003A1174">
        <w:rPr>
          <w:rFonts w:ascii="Garamond" w:eastAsia="Calibri" w:hAnsi="Garamond" w:cs="Arial"/>
          <w:sz w:val="24"/>
          <w:szCs w:val="24"/>
        </w:rPr>
        <w:t xml:space="preserve">, </w:t>
      </w:r>
      <w:r>
        <w:rPr>
          <w:rFonts w:ascii="Garamond" w:eastAsia="Calibri" w:hAnsi="Garamond" w:cs="Arial"/>
          <w:sz w:val="24"/>
          <w:szCs w:val="24"/>
        </w:rPr>
        <w:t xml:space="preserve">dispõe, </w:t>
      </w:r>
      <w:r w:rsidR="00141BA9" w:rsidRPr="003A1174">
        <w:rPr>
          <w:rFonts w:ascii="Garamond" w:eastAsia="Calibri" w:hAnsi="Garamond" w:cs="Arial"/>
          <w:sz w:val="24"/>
          <w:szCs w:val="24"/>
        </w:rPr>
        <w:t>há muito tempo</w:t>
      </w:r>
      <w:r>
        <w:rPr>
          <w:rFonts w:ascii="Garamond" w:eastAsia="Calibri" w:hAnsi="Garamond" w:cs="Arial"/>
          <w:sz w:val="24"/>
          <w:szCs w:val="24"/>
        </w:rPr>
        <w:t>,</w:t>
      </w:r>
      <w:r w:rsidR="00141BA9" w:rsidRPr="003A1174">
        <w:rPr>
          <w:rFonts w:ascii="Garamond" w:eastAsia="Calibri" w:hAnsi="Garamond" w:cs="Arial"/>
          <w:sz w:val="24"/>
          <w:szCs w:val="24"/>
        </w:rPr>
        <w:t xml:space="preserve"> de </w:t>
      </w:r>
      <w:r w:rsidR="00173A82" w:rsidRPr="003A1174">
        <w:rPr>
          <w:rFonts w:ascii="Garamond" w:eastAsia="Calibri" w:hAnsi="Garamond" w:cs="Arial"/>
          <w:sz w:val="24"/>
          <w:szCs w:val="24"/>
        </w:rPr>
        <w:t xml:space="preserve">protocolos de </w:t>
      </w:r>
      <w:r>
        <w:rPr>
          <w:rFonts w:ascii="Garamond" w:eastAsia="Calibri" w:hAnsi="Garamond" w:cs="Arial"/>
          <w:sz w:val="24"/>
          <w:szCs w:val="24"/>
        </w:rPr>
        <w:t xml:space="preserve">chamada de </w:t>
      </w:r>
      <w:r w:rsidR="008278C4" w:rsidRPr="003A1174">
        <w:rPr>
          <w:rFonts w:ascii="Garamond" w:eastAsia="Calibri" w:hAnsi="Garamond" w:cs="Arial"/>
          <w:sz w:val="24"/>
          <w:szCs w:val="24"/>
        </w:rPr>
        <w:t>atenção</w:t>
      </w:r>
      <w:r w:rsidR="00141BA9" w:rsidRPr="003A1174">
        <w:rPr>
          <w:rFonts w:ascii="Garamond" w:eastAsia="Calibri" w:hAnsi="Garamond" w:cs="Arial"/>
          <w:sz w:val="24"/>
          <w:szCs w:val="24"/>
        </w:rPr>
        <w:t xml:space="preserve"> para </w:t>
      </w:r>
      <w:r w:rsidR="00173A82" w:rsidRPr="003A1174">
        <w:rPr>
          <w:rFonts w:ascii="Garamond" w:eastAsia="Calibri" w:hAnsi="Garamond" w:cs="Arial"/>
          <w:sz w:val="24"/>
          <w:szCs w:val="24"/>
        </w:rPr>
        <w:t xml:space="preserve">os casos de </w:t>
      </w:r>
      <w:r w:rsidR="000350B1" w:rsidRPr="003A1174">
        <w:rPr>
          <w:rFonts w:ascii="Garamond" w:eastAsia="Calibri" w:hAnsi="Garamond" w:cs="Arial"/>
          <w:sz w:val="24"/>
          <w:szCs w:val="24"/>
        </w:rPr>
        <w:t>violência</w:t>
      </w:r>
      <w:r w:rsidR="00173A82" w:rsidRPr="003A1174">
        <w:rPr>
          <w:rFonts w:ascii="Garamond" w:eastAsia="Calibri" w:hAnsi="Garamond" w:cs="Arial"/>
          <w:sz w:val="24"/>
          <w:szCs w:val="24"/>
        </w:rPr>
        <w:t xml:space="preserve"> </w:t>
      </w:r>
      <w:r w:rsidR="00C031E1" w:rsidRPr="003A1174">
        <w:rPr>
          <w:rFonts w:ascii="Garamond" w:eastAsia="Calibri" w:hAnsi="Garamond" w:cs="Arial"/>
          <w:sz w:val="24"/>
          <w:szCs w:val="24"/>
        </w:rPr>
        <w:t>doméstica</w:t>
      </w:r>
      <w:r w:rsidR="00173A82" w:rsidRPr="003A1174">
        <w:rPr>
          <w:rFonts w:ascii="Garamond" w:eastAsia="Calibri" w:hAnsi="Garamond" w:cs="Arial"/>
          <w:sz w:val="24"/>
          <w:szCs w:val="24"/>
        </w:rPr>
        <w:t xml:space="preserve"> por parte </w:t>
      </w:r>
      <w:r w:rsidR="00E85E59" w:rsidRPr="003A1174">
        <w:rPr>
          <w:rFonts w:ascii="Garamond" w:eastAsia="Calibri" w:hAnsi="Garamond" w:cs="Arial"/>
          <w:sz w:val="24"/>
          <w:szCs w:val="24"/>
        </w:rPr>
        <w:t>do</w:t>
      </w:r>
      <w:r w:rsidR="00173A82" w:rsidRPr="003A1174">
        <w:rPr>
          <w:rFonts w:ascii="Garamond" w:eastAsia="Calibri" w:hAnsi="Garamond" w:cs="Arial"/>
          <w:sz w:val="24"/>
          <w:szCs w:val="24"/>
        </w:rPr>
        <w:t xml:space="preserve"> </w:t>
      </w:r>
      <w:r w:rsidR="00D77C19" w:rsidRPr="003A1174">
        <w:rPr>
          <w:rFonts w:ascii="Garamond" w:eastAsia="Calibri" w:hAnsi="Garamond" w:cs="Arial"/>
          <w:sz w:val="24"/>
          <w:szCs w:val="24"/>
        </w:rPr>
        <w:t>Ministério</w:t>
      </w:r>
      <w:r w:rsidR="00173A82" w:rsidRPr="003A1174">
        <w:rPr>
          <w:rFonts w:ascii="Garamond" w:eastAsia="Calibri" w:hAnsi="Garamond" w:cs="Arial"/>
          <w:sz w:val="24"/>
          <w:szCs w:val="24"/>
        </w:rPr>
        <w:t xml:space="preserve"> de </w:t>
      </w:r>
      <w:r w:rsidR="00D15AFF" w:rsidRPr="003A1174">
        <w:rPr>
          <w:rFonts w:ascii="Garamond" w:eastAsia="Calibri" w:hAnsi="Garamond" w:cs="Arial"/>
          <w:sz w:val="24"/>
          <w:szCs w:val="24"/>
        </w:rPr>
        <w:t>Segurança</w:t>
      </w:r>
      <w:r w:rsidR="00173A82" w:rsidRPr="003A1174">
        <w:rPr>
          <w:rFonts w:ascii="Garamond" w:eastAsia="Calibri" w:hAnsi="Garamond" w:cs="Arial"/>
          <w:sz w:val="24"/>
          <w:szCs w:val="24"/>
        </w:rPr>
        <w:t xml:space="preserve"> Pública</w:t>
      </w:r>
      <w:r w:rsidR="00D02353" w:rsidRPr="003A1174">
        <w:rPr>
          <w:rFonts w:ascii="Garamond" w:eastAsia="Calibri" w:hAnsi="Garamond" w:cs="Arial"/>
          <w:sz w:val="24"/>
          <w:szCs w:val="24"/>
        </w:rPr>
        <w:t>.</w:t>
      </w:r>
      <w:r w:rsidR="00173A82" w:rsidRPr="003A1174">
        <w:rPr>
          <w:rFonts w:ascii="Garamond" w:eastAsia="Calibri" w:hAnsi="Garamond" w:cs="Arial"/>
          <w:sz w:val="24"/>
          <w:szCs w:val="24"/>
        </w:rPr>
        <w:t xml:space="preserve"> </w:t>
      </w:r>
      <w:r>
        <w:rPr>
          <w:rFonts w:ascii="Garamond" w:eastAsia="Calibri" w:hAnsi="Garamond" w:cs="Arial"/>
          <w:sz w:val="24"/>
          <w:szCs w:val="24"/>
        </w:rPr>
        <w:t>Todavia,</w:t>
      </w:r>
      <w:r w:rsidR="00141BA9" w:rsidRPr="003A1174">
        <w:rPr>
          <w:rFonts w:ascii="Garamond" w:eastAsia="Calibri" w:hAnsi="Garamond" w:cs="Arial"/>
          <w:sz w:val="24"/>
          <w:szCs w:val="24"/>
        </w:rPr>
        <w:t xml:space="preserve"> mais recentemente, o </w:t>
      </w:r>
      <w:r w:rsidR="00173A82" w:rsidRPr="003A1174">
        <w:rPr>
          <w:rFonts w:ascii="Garamond" w:eastAsia="Calibri" w:hAnsi="Garamond" w:cs="Arial"/>
          <w:sz w:val="24"/>
          <w:szCs w:val="24"/>
        </w:rPr>
        <w:t xml:space="preserve">INAMU </w:t>
      </w:r>
      <w:r>
        <w:rPr>
          <w:rFonts w:ascii="Garamond" w:eastAsia="Calibri" w:hAnsi="Garamond" w:cs="Arial"/>
          <w:sz w:val="24"/>
          <w:szCs w:val="24"/>
        </w:rPr>
        <w:t xml:space="preserve">passou a </w:t>
      </w:r>
      <w:r w:rsidR="00141BA9" w:rsidRPr="003A1174">
        <w:rPr>
          <w:rFonts w:ascii="Garamond" w:eastAsia="Calibri" w:hAnsi="Garamond" w:cs="Arial"/>
          <w:sz w:val="24"/>
          <w:szCs w:val="24"/>
        </w:rPr>
        <w:t>disp</w:t>
      </w:r>
      <w:r>
        <w:rPr>
          <w:rFonts w:ascii="Garamond" w:eastAsia="Calibri" w:hAnsi="Garamond" w:cs="Arial"/>
          <w:sz w:val="24"/>
          <w:szCs w:val="24"/>
        </w:rPr>
        <w:t>or</w:t>
      </w:r>
      <w:r w:rsidR="00141BA9" w:rsidRPr="003A1174">
        <w:rPr>
          <w:rFonts w:ascii="Garamond" w:eastAsia="Calibri" w:hAnsi="Garamond" w:cs="Arial"/>
          <w:sz w:val="24"/>
          <w:szCs w:val="24"/>
        </w:rPr>
        <w:t xml:space="preserve"> de</w:t>
      </w:r>
      <w:r w:rsidR="00173A82" w:rsidRPr="003A1174">
        <w:rPr>
          <w:rFonts w:ascii="Garamond" w:eastAsia="Calibri" w:hAnsi="Garamond" w:cs="Arial"/>
          <w:sz w:val="24"/>
          <w:szCs w:val="24"/>
        </w:rPr>
        <w:t xml:space="preserve"> </w:t>
      </w:r>
      <w:r w:rsidR="00173A82" w:rsidRPr="003A1174">
        <w:rPr>
          <w:rFonts w:ascii="Garamond" w:eastAsia="Calibri" w:hAnsi="Garamond" w:cs="Arial"/>
          <w:i/>
          <w:sz w:val="24"/>
          <w:szCs w:val="24"/>
        </w:rPr>
        <w:t>C</w:t>
      </w:r>
      <w:r w:rsidR="00173A82" w:rsidRPr="003A1174">
        <w:rPr>
          <w:rFonts w:ascii="Garamond" w:eastAsia="Times New Roman" w:hAnsi="Garamond" w:cs="Arial"/>
          <w:bCs/>
          <w:i/>
          <w:color w:val="000000"/>
          <w:sz w:val="24"/>
          <w:szCs w:val="24"/>
          <w:lang w:eastAsia="es-CR"/>
        </w:rPr>
        <w:t xml:space="preserve">entros Especializados de </w:t>
      </w:r>
      <w:r w:rsidR="008278C4" w:rsidRPr="003A1174">
        <w:rPr>
          <w:rFonts w:ascii="Garamond" w:eastAsia="Times New Roman" w:hAnsi="Garamond" w:cs="Arial"/>
          <w:bCs/>
          <w:i/>
          <w:color w:val="000000"/>
          <w:sz w:val="24"/>
          <w:szCs w:val="24"/>
          <w:lang w:eastAsia="es-CR"/>
        </w:rPr>
        <w:t>Atenção</w:t>
      </w:r>
      <w:r w:rsidR="00173A82" w:rsidRPr="003A1174">
        <w:rPr>
          <w:rFonts w:ascii="Garamond" w:eastAsia="Times New Roman" w:hAnsi="Garamond" w:cs="Arial"/>
          <w:bCs/>
          <w:i/>
          <w:color w:val="000000"/>
          <w:sz w:val="24"/>
          <w:szCs w:val="24"/>
          <w:lang w:eastAsia="es-CR"/>
        </w:rPr>
        <w:t xml:space="preserve"> </w:t>
      </w:r>
      <w:r w:rsidR="000672E8" w:rsidRPr="003A1174">
        <w:rPr>
          <w:rFonts w:ascii="Garamond" w:eastAsia="Times New Roman" w:hAnsi="Garamond" w:cs="Arial"/>
          <w:bCs/>
          <w:i/>
          <w:color w:val="000000"/>
          <w:sz w:val="24"/>
          <w:szCs w:val="24"/>
          <w:lang w:eastAsia="es-CR"/>
        </w:rPr>
        <w:t>e</w:t>
      </w:r>
      <w:r w:rsidR="00173A82" w:rsidRPr="003A1174">
        <w:rPr>
          <w:rFonts w:ascii="Garamond" w:eastAsia="Times New Roman" w:hAnsi="Garamond" w:cs="Arial"/>
          <w:bCs/>
          <w:i/>
          <w:color w:val="000000"/>
          <w:sz w:val="24"/>
          <w:szCs w:val="24"/>
          <w:lang w:eastAsia="es-CR"/>
        </w:rPr>
        <w:t xml:space="preserve"> de </w:t>
      </w:r>
      <w:r w:rsidR="00D44677" w:rsidRPr="003A1174">
        <w:rPr>
          <w:rFonts w:ascii="Garamond" w:eastAsia="Times New Roman" w:hAnsi="Garamond" w:cs="Arial"/>
          <w:bCs/>
          <w:i/>
          <w:color w:val="000000"/>
          <w:sz w:val="24"/>
          <w:szCs w:val="24"/>
          <w:lang w:eastAsia="es-CR"/>
        </w:rPr>
        <w:t>Abrigo</w:t>
      </w:r>
      <w:r w:rsidR="00173A82" w:rsidRPr="003A1174">
        <w:rPr>
          <w:rFonts w:ascii="Garamond" w:eastAsia="Times New Roman" w:hAnsi="Garamond" w:cs="Arial"/>
          <w:bCs/>
          <w:i/>
          <w:color w:val="000000"/>
          <w:sz w:val="24"/>
          <w:szCs w:val="24"/>
          <w:lang w:eastAsia="es-CR"/>
        </w:rPr>
        <w:t xml:space="preserve"> </w:t>
      </w:r>
      <w:r w:rsidR="00141BA9" w:rsidRPr="003A1174">
        <w:rPr>
          <w:rFonts w:ascii="Garamond" w:eastAsia="Times New Roman" w:hAnsi="Garamond" w:cs="Arial"/>
          <w:bCs/>
          <w:i/>
          <w:color w:val="000000"/>
          <w:sz w:val="24"/>
          <w:szCs w:val="24"/>
          <w:lang w:eastAsia="es-CR"/>
        </w:rPr>
        <w:t>Temporário</w:t>
      </w:r>
      <w:r w:rsidR="00173A82" w:rsidRPr="003A1174">
        <w:rPr>
          <w:rFonts w:ascii="Garamond" w:eastAsia="Times New Roman" w:hAnsi="Garamond" w:cs="Arial"/>
          <w:bCs/>
          <w:i/>
          <w:color w:val="000000"/>
          <w:sz w:val="24"/>
          <w:szCs w:val="24"/>
          <w:lang w:eastAsia="es-CR"/>
        </w:rPr>
        <w:t xml:space="preserve"> para </w:t>
      </w:r>
      <w:r w:rsidR="00054EE0" w:rsidRPr="003A1174">
        <w:rPr>
          <w:rFonts w:ascii="Garamond" w:eastAsia="Times New Roman" w:hAnsi="Garamond" w:cs="Arial"/>
          <w:bCs/>
          <w:i/>
          <w:color w:val="000000"/>
          <w:sz w:val="24"/>
          <w:szCs w:val="24"/>
          <w:lang w:eastAsia="es-CR"/>
        </w:rPr>
        <w:t>Mulheres</w:t>
      </w:r>
      <w:r w:rsidR="00173A82" w:rsidRPr="003A1174">
        <w:rPr>
          <w:rFonts w:ascii="Garamond" w:eastAsia="Times New Roman" w:hAnsi="Garamond" w:cs="Arial"/>
          <w:bCs/>
          <w:i/>
          <w:color w:val="000000"/>
          <w:sz w:val="24"/>
          <w:szCs w:val="24"/>
          <w:lang w:eastAsia="es-CR"/>
        </w:rPr>
        <w:t xml:space="preserve"> </w:t>
      </w:r>
      <w:r w:rsidR="001B02AD" w:rsidRPr="003A1174">
        <w:rPr>
          <w:rFonts w:ascii="Garamond" w:eastAsia="Times New Roman" w:hAnsi="Garamond" w:cs="Arial"/>
          <w:bCs/>
          <w:i/>
          <w:color w:val="000000"/>
          <w:sz w:val="24"/>
          <w:szCs w:val="24"/>
          <w:lang w:eastAsia="es-CR"/>
        </w:rPr>
        <w:t>Afeta</w:t>
      </w:r>
      <w:r w:rsidR="00173A82" w:rsidRPr="003A1174">
        <w:rPr>
          <w:rFonts w:ascii="Garamond" w:eastAsia="Times New Roman" w:hAnsi="Garamond" w:cs="Arial"/>
          <w:bCs/>
          <w:i/>
          <w:color w:val="000000"/>
          <w:sz w:val="24"/>
          <w:szCs w:val="24"/>
          <w:lang w:eastAsia="es-CR"/>
        </w:rPr>
        <w:t xml:space="preserve">das </w:t>
      </w:r>
      <w:r w:rsidR="00275092" w:rsidRPr="003A1174">
        <w:rPr>
          <w:rFonts w:ascii="Garamond" w:eastAsia="Times New Roman" w:hAnsi="Garamond" w:cs="Arial"/>
          <w:bCs/>
          <w:i/>
          <w:color w:val="000000"/>
          <w:sz w:val="24"/>
          <w:szCs w:val="24"/>
          <w:lang w:eastAsia="es-CR"/>
        </w:rPr>
        <w:t>pela</w:t>
      </w:r>
      <w:r w:rsidR="00173A82" w:rsidRPr="003A1174">
        <w:rPr>
          <w:rFonts w:ascii="Garamond" w:eastAsia="Times New Roman" w:hAnsi="Garamond" w:cs="Arial"/>
          <w:bCs/>
          <w:i/>
          <w:color w:val="000000"/>
          <w:sz w:val="24"/>
          <w:szCs w:val="24"/>
          <w:lang w:eastAsia="es-CR"/>
        </w:rPr>
        <w:t xml:space="preserve"> </w:t>
      </w:r>
      <w:r w:rsidR="000350B1" w:rsidRPr="003A1174">
        <w:rPr>
          <w:rFonts w:ascii="Garamond" w:eastAsia="Times New Roman" w:hAnsi="Garamond" w:cs="Arial"/>
          <w:bCs/>
          <w:i/>
          <w:color w:val="000000"/>
          <w:sz w:val="24"/>
          <w:szCs w:val="24"/>
          <w:lang w:eastAsia="es-CR"/>
        </w:rPr>
        <w:t>Violência</w:t>
      </w:r>
      <w:r w:rsidR="00141BA9" w:rsidRPr="003A1174">
        <w:rPr>
          <w:rFonts w:ascii="Garamond" w:eastAsia="Times New Roman" w:hAnsi="Garamond" w:cs="Arial"/>
          <w:bCs/>
          <w:i/>
          <w:color w:val="000000"/>
          <w:sz w:val="24"/>
          <w:szCs w:val="24"/>
          <w:lang w:eastAsia="es-CR"/>
        </w:rPr>
        <w:t xml:space="preserve"> Intrafamiliar e para os </w:t>
      </w:r>
      <w:r w:rsidR="00173A82" w:rsidRPr="003A1174">
        <w:rPr>
          <w:rFonts w:ascii="Garamond" w:eastAsia="Times New Roman" w:hAnsi="Garamond" w:cs="Arial"/>
          <w:bCs/>
          <w:i/>
          <w:color w:val="000000"/>
          <w:sz w:val="24"/>
          <w:szCs w:val="24"/>
          <w:lang w:eastAsia="es-CR"/>
        </w:rPr>
        <w:t>s</w:t>
      </w:r>
      <w:r w:rsidR="00141BA9" w:rsidRPr="003A1174">
        <w:rPr>
          <w:rFonts w:ascii="Garamond" w:eastAsia="Times New Roman" w:hAnsi="Garamond" w:cs="Arial"/>
          <w:bCs/>
          <w:i/>
          <w:color w:val="000000"/>
          <w:sz w:val="24"/>
          <w:szCs w:val="24"/>
          <w:lang w:eastAsia="es-CR"/>
        </w:rPr>
        <w:t>e</w:t>
      </w:r>
      <w:r w:rsidR="00173A82" w:rsidRPr="003A1174">
        <w:rPr>
          <w:rFonts w:ascii="Garamond" w:eastAsia="Times New Roman" w:hAnsi="Garamond" w:cs="Arial"/>
          <w:bCs/>
          <w:i/>
          <w:color w:val="000000"/>
          <w:sz w:val="24"/>
          <w:szCs w:val="24"/>
          <w:lang w:eastAsia="es-CR"/>
        </w:rPr>
        <w:t xml:space="preserve">us </w:t>
      </w:r>
      <w:r w:rsidR="007A2492" w:rsidRPr="003A1174">
        <w:rPr>
          <w:rFonts w:ascii="Garamond" w:eastAsia="Times New Roman" w:hAnsi="Garamond" w:cs="Arial"/>
          <w:bCs/>
          <w:i/>
          <w:color w:val="000000"/>
          <w:sz w:val="24"/>
          <w:szCs w:val="24"/>
          <w:lang w:eastAsia="es-CR"/>
        </w:rPr>
        <w:t>Filho</w:t>
      </w:r>
      <w:r w:rsidR="00173A82" w:rsidRPr="003A1174">
        <w:rPr>
          <w:rFonts w:ascii="Garamond" w:eastAsia="Times New Roman" w:hAnsi="Garamond" w:cs="Arial"/>
          <w:bCs/>
          <w:i/>
          <w:color w:val="000000"/>
          <w:sz w:val="24"/>
          <w:szCs w:val="24"/>
          <w:lang w:eastAsia="es-CR"/>
        </w:rPr>
        <w:t xml:space="preserve">s e </w:t>
      </w:r>
      <w:r w:rsidR="007A2492" w:rsidRPr="003A1174">
        <w:rPr>
          <w:rFonts w:ascii="Garamond" w:eastAsia="Times New Roman" w:hAnsi="Garamond" w:cs="Arial"/>
          <w:bCs/>
          <w:i/>
          <w:color w:val="000000"/>
          <w:sz w:val="24"/>
          <w:szCs w:val="24"/>
          <w:lang w:eastAsia="es-CR"/>
        </w:rPr>
        <w:t>Filha</w:t>
      </w:r>
      <w:r w:rsidR="00173A82" w:rsidRPr="003A1174">
        <w:rPr>
          <w:rFonts w:ascii="Garamond" w:eastAsia="Times New Roman" w:hAnsi="Garamond" w:cs="Arial"/>
          <w:bCs/>
          <w:i/>
          <w:color w:val="000000"/>
          <w:sz w:val="24"/>
          <w:szCs w:val="24"/>
          <w:lang w:eastAsia="es-CR"/>
        </w:rPr>
        <w:t>s</w:t>
      </w:r>
      <w:r w:rsidR="00173A82" w:rsidRPr="003A1174">
        <w:rPr>
          <w:rFonts w:ascii="Garamond" w:eastAsia="Times New Roman" w:hAnsi="Garamond" w:cs="Arial"/>
          <w:bCs/>
          <w:color w:val="000000"/>
          <w:sz w:val="24"/>
          <w:szCs w:val="24"/>
          <w:lang w:eastAsia="es-CR"/>
        </w:rPr>
        <w:t xml:space="preserve"> (CEAAM)</w:t>
      </w:r>
      <w:r>
        <w:rPr>
          <w:rFonts w:ascii="Garamond" w:eastAsia="Times New Roman" w:hAnsi="Garamond" w:cs="Arial"/>
          <w:bCs/>
          <w:color w:val="000000"/>
          <w:sz w:val="24"/>
          <w:szCs w:val="24"/>
          <w:lang w:eastAsia="es-CR"/>
        </w:rPr>
        <w:t>,</w:t>
      </w:r>
      <w:r w:rsidR="00173A82" w:rsidRPr="003A1174">
        <w:rPr>
          <w:rFonts w:ascii="Garamond" w:eastAsia="Times New Roman" w:hAnsi="Garamond" w:cs="Arial"/>
          <w:bCs/>
          <w:color w:val="000000"/>
          <w:sz w:val="24"/>
          <w:szCs w:val="24"/>
          <w:lang w:eastAsia="es-CR"/>
        </w:rPr>
        <w:t xml:space="preserve"> </w:t>
      </w:r>
      <w:r w:rsidR="00141BA9" w:rsidRPr="003A1174">
        <w:rPr>
          <w:rFonts w:ascii="Garamond" w:eastAsia="Times New Roman" w:hAnsi="Garamond" w:cs="Arial"/>
          <w:bCs/>
          <w:color w:val="000000"/>
          <w:sz w:val="24"/>
          <w:szCs w:val="24"/>
          <w:lang w:eastAsia="es-CR"/>
        </w:rPr>
        <w:t xml:space="preserve">localizados em </w:t>
      </w:r>
      <w:r w:rsidR="000866B6" w:rsidRPr="003A1174">
        <w:rPr>
          <w:rFonts w:ascii="Garamond" w:eastAsia="Times New Roman" w:hAnsi="Garamond" w:cs="Arial"/>
          <w:bCs/>
          <w:color w:val="000000"/>
          <w:sz w:val="24"/>
          <w:szCs w:val="24"/>
          <w:lang w:eastAsia="es-CR"/>
        </w:rPr>
        <w:t>três</w:t>
      </w:r>
      <w:r w:rsidR="00173A82" w:rsidRPr="003A1174">
        <w:rPr>
          <w:rFonts w:ascii="Garamond" w:eastAsia="Times New Roman" w:hAnsi="Garamond" w:cs="Arial"/>
          <w:bCs/>
          <w:color w:val="000000"/>
          <w:sz w:val="24"/>
          <w:szCs w:val="24"/>
          <w:lang w:eastAsia="es-CR"/>
        </w:rPr>
        <w:t xml:space="preserve"> ca</w:t>
      </w:r>
      <w:r w:rsidR="00141BA9" w:rsidRPr="003A1174">
        <w:rPr>
          <w:rFonts w:ascii="Garamond" w:eastAsia="Times New Roman" w:hAnsi="Garamond" w:cs="Arial"/>
          <w:bCs/>
          <w:color w:val="000000"/>
          <w:sz w:val="24"/>
          <w:szCs w:val="24"/>
          <w:lang w:eastAsia="es-CR"/>
        </w:rPr>
        <w:t xml:space="preserve">pitais </w:t>
      </w:r>
      <w:r w:rsidR="00173A82" w:rsidRPr="003A1174">
        <w:rPr>
          <w:rFonts w:ascii="Garamond" w:eastAsia="Times New Roman" w:hAnsi="Garamond" w:cs="Arial"/>
          <w:bCs/>
          <w:color w:val="000000"/>
          <w:sz w:val="24"/>
          <w:szCs w:val="24"/>
          <w:lang w:eastAsia="es-CR"/>
        </w:rPr>
        <w:t xml:space="preserve">de </w:t>
      </w:r>
      <w:r w:rsidR="00165A80" w:rsidRPr="003A1174">
        <w:rPr>
          <w:rFonts w:ascii="Garamond" w:eastAsia="Times New Roman" w:hAnsi="Garamond" w:cs="Arial"/>
          <w:bCs/>
          <w:color w:val="000000"/>
          <w:sz w:val="24"/>
          <w:szCs w:val="24"/>
          <w:lang w:eastAsia="es-CR"/>
        </w:rPr>
        <w:t>província</w:t>
      </w:r>
      <w:r w:rsidR="00D02353" w:rsidRPr="003A1174">
        <w:rPr>
          <w:rFonts w:ascii="Garamond" w:eastAsia="Times New Roman" w:hAnsi="Garamond" w:cs="Arial"/>
          <w:bCs/>
          <w:color w:val="000000"/>
          <w:sz w:val="24"/>
          <w:szCs w:val="24"/>
          <w:lang w:eastAsia="es-CR"/>
        </w:rPr>
        <w:t>,</w:t>
      </w:r>
      <w:r w:rsidR="00173A82" w:rsidRPr="003A1174">
        <w:rPr>
          <w:rFonts w:ascii="Garamond" w:eastAsia="Times New Roman" w:hAnsi="Garamond" w:cs="Arial"/>
          <w:bCs/>
          <w:color w:val="000000"/>
          <w:sz w:val="24"/>
          <w:szCs w:val="24"/>
          <w:vertAlign w:val="superscript"/>
          <w:lang w:val="es-CR" w:eastAsia="es-CR"/>
        </w:rPr>
        <w:footnoteReference w:id="124"/>
      </w:r>
      <w:r w:rsidR="00173A82" w:rsidRPr="003A1174">
        <w:rPr>
          <w:rFonts w:ascii="Garamond" w:eastAsia="Times New Roman" w:hAnsi="Garamond" w:cs="Arial"/>
          <w:b/>
          <w:bCs/>
          <w:color w:val="000000"/>
          <w:sz w:val="24"/>
          <w:szCs w:val="24"/>
          <w:lang w:eastAsia="es-CR"/>
        </w:rPr>
        <w:t xml:space="preserve"> </w:t>
      </w:r>
      <w:r w:rsidR="00141BA9" w:rsidRPr="003A1174">
        <w:rPr>
          <w:rFonts w:ascii="Garamond" w:eastAsia="Times New Roman" w:hAnsi="Garamond" w:cs="Arial"/>
          <w:color w:val="000000"/>
          <w:sz w:val="24"/>
          <w:szCs w:val="24"/>
          <w:lang w:eastAsia="es-CR"/>
        </w:rPr>
        <w:t xml:space="preserve">onde </w:t>
      </w:r>
      <w:r w:rsidR="00173A82" w:rsidRPr="003A1174">
        <w:rPr>
          <w:rFonts w:ascii="Garamond" w:eastAsia="Times New Roman" w:hAnsi="Garamond" w:cs="Arial"/>
          <w:color w:val="000000"/>
          <w:sz w:val="24"/>
          <w:szCs w:val="24"/>
          <w:lang w:eastAsia="es-CR"/>
        </w:rPr>
        <w:t xml:space="preserve">as </w:t>
      </w:r>
      <w:r w:rsidR="00054EE0" w:rsidRPr="003A1174">
        <w:rPr>
          <w:rFonts w:ascii="Garamond" w:eastAsia="Times New Roman" w:hAnsi="Garamond" w:cs="Arial"/>
          <w:color w:val="000000"/>
          <w:sz w:val="24"/>
          <w:szCs w:val="24"/>
          <w:lang w:eastAsia="es-CR"/>
        </w:rPr>
        <w:t>mulheres</w:t>
      </w:r>
      <w:r w:rsidR="00173A82" w:rsidRPr="003A1174">
        <w:rPr>
          <w:rFonts w:ascii="Garamond" w:eastAsia="Times New Roman" w:hAnsi="Garamond" w:cs="Arial"/>
          <w:color w:val="000000"/>
          <w:sz w:val="24"/>
          <w:szCs w:val="24"/>
          <w:lang w:eastAsia="es-CR"/>
        </w:rPr>
        <w:t xml:space="preserve"> agredidas co</w:t>
      </w:r>
      <w:r w:rsidR="00141BA9" w:rsidRPr="003A1174">
        <w:rPr>
          <w:rFonts w:ascii="Garamond" w:eastAsia="Times New Roman" w:hAnsi="Garamond" w:cs="Arial"/>
          <w:color w:val="000000"/>
          <w:sz w:val="24"/>
          <w:szCs w:val="24"/>
          <w:lang w:eastAsia="es-CR"/>
        </w:rPr>
        <w:t xml:space="preserve">m as </w:t>
      </w:r>
      <w:r w:rsidR="00173A82" w:rsidRPr="003A1174">
        <w:rPr>
          <w:rFonts w:ascii="Garamond" w:eastAsia="Times New Roman" w:hAnsi="Garamond" w:cs="Arial"/>
          <w:color w:val="000000"/>
          <w:sz w:val="24"/>
          <w:szCs w:val="24"/>
          <w:lang w:eastAsia="es-CR"/>
        </w:rPr>
        <w:t>su</w:t>
      </w:r>
      <w:r w:rsidR="00141BA9" w:rsidRPr="003A1174">
        <w:rPr>
          <w:rFonts w:ascii="Garamond" w:eastAsia="Times New Roman" w:hAnsi="Garamond" w:cs="Arial"/>
          <w:color w:val="000000"/>
          <w:sz w:val="24"/>
          <w:szCs w:val="24"/>
          <w:lang w:eastAsia="es-CR"/>
        </w:rPr>
        <w:t>a</w:t>
      </w:r>
      <w:r w:rsidR="00173A82" w:rsidRPr="003A1174">
        <w:rPr>
          <w:rFonts w:ascii="Garamond" w:eastAsia="Times New Roman" w:hAnsi="Garamond" w:cs="Arial"/>
          <w:color w:val="000000"/>
          <w:sz w:val="24"/>
          <w:szCs w:val="24"/>
          <w:lang w:eastAsia="es-CR"/>
        </w:rPr>
        <w:t xml:space="preserve">s </w:t>
      </w:r>
      <w:r w:rsidR="007A2492" w:rsidRPr="003A1174">
        <w:rPr>
          <w:rFonts w:ascii="Garamond" w:eastAsia="Times New Roman" w:hAnsi="Garamond" w:cs="Arial"/>
          <w:color w:val="000000"/>
          <w:sz w:val="24"/>
          <w:szCs w:val="24"/>
          <w:lang w:eastAsia="es-CR"/>
        </w:rPr>
        <w:t>filha</w:t>
      </w:r>
      <w:r w:rsidR="00173A82" w:rsidRPr="003A1174">
        <w:rPr>
          <w:rFonts w:ascii="Garamond" w:eastAsia="Times New Roman" w:hAnsi="Garamond" w:cs="Arial"/>
          <w:color w:val="000000"/>
          <w:sz w:val="24"/>
          <w:szCs w:val="24"/>
          <w:lang w:eastAsia="es-CR"/>
        </w:rPr>
        <w:t xml:space="preserve">s e </w:t>
      </w:r>
      <w:r w:rsidR="007A2492" w:rsidRPr="003A1174">
        <w:rPr>
          <w:rFonts w:ascii="Garamond" w:eastAsia="Times New Roman" w:hAnsi="Garamond" w:cs="Arial"/>
          <w:color w:val="000000"/>
          <w:sz w:val="24"/>
          <w:szCs w:val="24"/>
          <w:lang w:eastAsia="es-CR"/>
        </w:rPr>
        <w:t>filho</w:t>
      </w:r>
      <w:r w:rsidR="00173A82" w:rsidRPr="003A1174">
        <w:rPr>
          <w:rFonts w:ascii="Garamond" w:eastAsia="Times New Roman" w:hAnsi="Garamond" w:cs="Arial"/>
          <w:color w:val="000000"/>
          <w:sz w:val="24"/>
          <w:szCs w:val="24"/>
          <w:lang w:eastAsia="es-CR"/>
        </w:rPr>
        <w:t xml:space="preserve">s, </w:t>
      </w:r>
      <w:r w:rsidR="007407BD" w:rsidRPr="003A1174">
        <w:rPr>
          <w:rFonts w:ascii="Garamond" w:eastAsia="Times New Roman" w:hAnsi="Garamond" w:cs="Arial"/>
          <w:color w:val="000000"/>
          <w:sz w:val="24"/>
          <w:szCs w:val="24"/>
          <w:lang w:eastAsia="es-CR"/>
        </w:rPr>
        <w:t>podem</w:t>
      </w:r>
      <w:r w:rsidR="00173A82" w:rsidRPr="003A1174">
        <w:rPr>
          <w:rFonts w:ascii="Garamond" w:eastAsia="Times New Roman" w:hAnsi="Garamond" w:cs="Arial"/>
          <w:color w:val="000000"/>
          <w:sz w:val="24"/>
          <w:szCs w:val="24"/>
          <w:lang w:eastAsia="es-CR"/>
        </w:rPr>
        <w:t xml:space="preserve"> encontrar </w:t>
      </w:r>
      <w:r w:rsidR="00B936A7" w:rsidRPr="003A1174">
        <w:rPr>
          <w:rFonts w:ascii="Garamond" w:eastAsia="Times New Roman" w:hAnsi="Garamond" w:cs="Arial"/>
          <w:color w:val="000000"/>
          <w:sz w:val="24"/>
          <w:szCs w:val="24"/>
          <w:lang w:eastAsia="es-CR"/>
        </w:rPr>
        <w:t>abrigo</w:t>
      </w:r>
      <w:r w:rsidR="00173A82" w:rsidRPr="003A1174">
        <w:rPr>
          <w:rFonts w:ascii="Garamond" w:eastAsia="Times New Roman" w:hAnsi="Garamond" w:cs="Arial"/>
          <w:color w:val="000000"/>
          <w:sz w:val="24"/>
          <w:szCs w:val="24"/>
          <w:lang w:eastAsia="es-CR"/>
        </w:rPr>
        <w:t xml:space="preserve"> </w:t>
      </w:r>
      <w:r w:rsidR="000672E8" w:rsidRPr="003A1174">
        <w:rPr>
          <w:rFonts w:ascii="Garamond" w:eastAsia="Times New Roman" w:hAnsi="Garamond" w:cs="Arial"/>
          <w:color w:val="000000"/>
          <w:sz w:val="24"/>
          <w:szCs w:val="24"/>
          <w:lang w:eastAsia="es-CR"/>
        </w:rPr>
        <w:t>e</w:t>
      </w:r>
      <w:r w:rsidR="00173A82" w:rsidRPr="003A1174">
        <w:rPr>
          <w:rFonts w:ascii="Garamond" w:eastAsia="Times New Roman" w:hAnsi="Garamond" w:cs="Arial"/>
          <w:color w:val="000000"/>
          <w:sz w:val="24"/>
          <w:szCs w:val="24"/>
          <w:lang w:eastAsia="es-CR"/>
        </w:rPr>
        <w:t xml:space="preserve"> </w:t>
      </w:r>
      <w:r w:rsidR="00791197" w:rsidRPr="003A1174">
        <w:rPr>
          <w:rFonts w:ascii="Garamond" w:eastAsia="Times New Roman" w:hAnsi="Garamond" w:cs="Arial"/>
          <w:color w:val="000000"/>
          <w:sz w:val="24"/>
          <w:szCs w:val="24"/>
          <w:lang w:eastAsia="es-CR"/>
        </w:rPr>
        <w:t>apoio</w:t>
      </w:r>
      <w:r w:rsidR="00173A82" w:rsidRPr="003A1174">
        <w:rPr>
          <w:rFonts w:ascii="Garamond" w:eastAsia="Times New Roman" w:hAnsi="Garamond" w:cs="Arial"/>
          <w:color w:val="000000"/>
          <w:sz w:val="24"/>
          <w:szCs w:val="24"/>
          <w:lang w:eastAsia="es-CR"/>
        </w:rPr>
        <w:t xml:space="preserve"> que l</w:t>
      </w:r>
      <w:r w:rsidR="00141BA9" w:rsidRPr="003A1174">
        <w:rPr>
          <w:rFonts w:ascii="Garamond" w:eastAsia="Times New Roman" w:hAnsi="Garamond" w:cs="Arial"/>
          <w:color w:val="000000"/>
          <w:sz w:val="24"/>
          <w:szCs w:val="24"/>
          <w:lang w:eastAsia="es-CR"/>
        </w:rPr>
        <w:t>h</w:t>
      </w:r>
      <w:r w:rsidR="00173A82" w:rsidRPr="003A1174">
        <w:rPr>
          <w:rFonts w:ascii="Garamond" w:eastAsia="Times New Roman" w:hAnsi="Garamond" w:cs="Arial"/>
          <w:color w:val="000000"/>
          <w:sz w:val="24"/>
          <w:szCs w:val="24"/>
          <w:lang w:eastAsia="es-CR"/>
        </w:rPr>
        <w:t>es po</w:t>
      </w:r>
      <w:r w:rsidR="00141BA9" w:rsidRPr="003A1174">
        <w:rPr>
          <w:rFonts w:ascii="Garamond" w:eastAsia="Times New Roman" w:hAnsi="Garamond" w:cs="Arial"/>
          <w:color w:val="000000"/>
          <w:sz w:val="24"/>
          <w:szCs w:val="24"/>
          <w:lang w:eastAsia="es-CR"/>
        </w:rPr>
        <w:t xml:space="preserve">ssibilite </w:t>
      </w:r>
      <w:r w:rsidR="00173A82" w:rsidRPr="003A1174">
        <w:rPr>
          <w:rFonts w:ascii="Garamond" w:eastAsia="Times New Roman" w:hAnsi="Garamond" w:cs="Arial"/>
          <w:color w:val="000000"/>
          <w:sz w:val="24"/>
          <w:szCs w:val="24"/>
          <w:lang w:eastAsia="es-CR"/>
        </w:rPr>
        <w:t xml:space="preserve">a </w:t>
      </w:r>
      <w:r w:rsidR="00141BA9" w:rsidRPr="003A1174">
        <w:rPr>
          <w:rFonts w:ascii="Garamond" w:eastAsia="Times New Roman" w:hAnsi="Garamond" w:cs="Arial"/>
          <w:color w:val="000000"/>
          <w:sz w:val="24"/>
          <w:szCs w:val="24"/>
          <w:lang w:eastAsia="es-CR"/>
        </w:rPr>
        <w:t>construção de um</w:t>
      </w:r>
      <w:r w:rsidR="00173A82" w:rsidRPr="003A1174">
        <w:rPr>
          <w:rFonts w:ascii="Garamond" w:eastAsia="Times New Roman" w:hAnsi="Garamond" w:cs="Arial"/>
          <w:color w:val="000000"/>
          <w:sz w:val="24"/>
          <w:szCs w:val="24"/>
          <w:lang w:eastAsia="es-CR"/>
        </w:rPr>
        <w:t xml:space="preserve">a vida </w:t>
      </w:r>
      <w:r w:rsidR="006A293D" w:rsidRPr="003A1174">
        <w:rPr>
          <w:rFonts w:ascii="Garamond" w:eastAsia="Times New Roman" w:hAnsi="Garamond" w:cs="Arial"/>
          <w:color w:val="000000"/>
          <w:sz w:val="24"/>
          <w:szCs w:val="24"/>
          <w:lang w:eastAsia="es-CR"/>
        </w:rPr>
        <w:t>sem</w:t>
      </w:r>
      <w:r w:rsidR="00173A82" w:rsidRPr="003A1174">
        <w:rPr>
          <w:rFonts w:ascii="Garamond" w:eastAsia="Times New Roman" w:hAnsi="Garamond" w:cs="Arial"/>
          <w:color w:val="000000"/>
          <w:sz w:val="24"/>
          <w:szCs w:val="24"/>
          <w:lang w:eastAsia="es-CR"/>
        </w:rPr>
        <w:t xml:space="preserve"> </w:t>
      </w:r>
      <w:r w:rsidR="000350B1" w:rsidRPr="003A1174">
        <w:rPr>
          <w:rFonts w:ascii="Garamond" w:eastAsia="Times New Roman" w:hAnsi="Garamond" w:cs="Arial"/>
          <w:color w:val="000000"/>
          <w:sz w:val="24"/>
          <w:szCs w:val="24"/>
          <w:lang w:eastAsia="es-CR"/>
        </w:rPr>
        <w:t>violência</w:t>
      </w:r>
      <w:r w:rsidR="00173A82" w:rsidRPr="003A1174">
        <w:rPr>
          <w:rFonts w:ascii="Garamond" w:eastAsia="Times New Roman" w:hAnsi="Garamond" w:cs="Arial"/>
          <w:color w:val="000000"/>
          <w:sz w:val="24"/>
          <w:szCs w:val="24"/>
          <w:lang w:eastAsia="es-CR"/>
        </w:rPr>
        <w:t>.</w:t>
      </w:r>
    </w:p>
    <w:p w:rsidR="00173A82" w:rsidRPr="003A1174" w:rsidRDefault="00173A82" w:rsidP="008719D4">
      <w:pPr>
        <w:spacing w:line="240" w:lineRule="auto"/>
        <w:jc w:val="both"/>
        <w:rPr>
          <w:rFonts w:ascii="Garamond" w:eastAsia="Calibri" w:hAnsi="Garamond" w:cs="Arial"/>
          <w:sz w:val="24"/>
          <w:szCs w:val="24"/>
        </w:rPr>
      </w:pPr>
      <w:r w:rsidRPr="003A1174">
        <w:rPr>
          <w:rFonts w:ascii="Garamond" w:eastAsia="Calibri" w:hAnsi="Garamond" w:cs="Arial"/>
          <w:sz w:val="24"/>
          <w:szCs w:val="24"/>
        </w:rPr>
        <w:t xml:space="preserve">Finalmente, </w:t>
      </w:r>
      <w:r w:rsidR="00141BA9" w:rsidRPr="003A1174">
        <w:rPr>
          <w:rFonts w:ascii="Garamond" w:eastAsia="Calibri" w:hAnsi="Garamond" w:cs="Arial"/>
          <w:sz w:val="24"/>
          <w:szCs w:val="24"/>
        </w:rPr>
        <w:t>destaca-se</w:t>
      </w:r>
      <w:r w:rsidR="00FE2732">
        <w:rPr>
          <w:rFonts w:ascii="Garamond" w:eastAsia="Calibri" w:hAnsi="Garamond" w:cs="Arial"/>
          <w:sz w:val="24"/>
          <w:szCs w:val="24"/>
        </w:rPr>
        <w:t>,</w:t>
      </w:r>
      <w:r w:rsidR="00141BA9" w:rsidRPr="003A1174">
        <w:rPr>
          <w:rFonts w:ascii="Garamond" w:eastAsia="Calibri" w:hAnsi="Garamond" w:cs="Arial"/>
          <w:sz w:val="24"/>
          <w:szCs w:val="24"/>
        </w:rPr>
        <w:t xml:space="preserve"> </w:t>
      </w:r>
      <w:r w:rsidRPr="003A1174">
        <w:rPr>
          <w:rFonts w:ascii="Garamond" w:eastAsia="Calibri" w:hAnsi="Garamond" w:cs="Arial"/>
          <w:sz w:val="24"/>
          <w:szCs w:val="24"/>
        </w:rPr>
        <w:t xml:space="preserve">como </w:t>
      </w:r>
      <w:r w:rsidR="00141BA9" w:rsidRPr="003A1174">
        <w:rPr>
          <w:rFonts w:ascii="Garamond" w:eastAsia="Calibri" w:hAnsi="Garamond" w:cs="Arial"/>
          <w:i/>
          <w:sz w:val="24"/>
          <w:szCs w:val="24"/>
        </w:rPr>
        <w:t>boa</w:t>
      </w:r>
      <w:r w:rsidRPr="003A1174">
        <w:rPr>
          <w:rFonts w:ascii="Garamond" w:eastAsia="Calibri" w:hAnsi="Garamond" w:cs="Arial"/>
          <w:i/>
          <w:sz w:val="24"/>
          <w:szCs w:val="24"/>
        </w:rPr>
        <w:t xml:space="preserve"> </w:t>
      </w:r>
      <w:r w:rsidR="00661ADB" w:rsidRPr="003A1174">
        <w:rPr>
          <w:rFonts w:ascii="Garamond" w:eastAsia="Calibri" w:hAnsi="Garamond" w:cs="Arial"/>
          <w:i/>
          <w:sz w:val="24"/>
          <w:szCs w:val="24"/>
        </w:rPr>
        <w:t>prática</w:t>
      </w:r>
      <w:r w:rsidR="00FE2732">
        <w:rPr>
          <w:rFonts w:ascii="Garamond" w:eastAsia="Calibri" w:hAnsi="Garamond" w:cs="Arial"/>
          <w:i/>
          <w:sz w:val="24"/>
          <w:szCs w:val="24"/>
        </w:rPr>
        <w:t>,</w:t>
      </w:r>
      <w:r w:rsidR="00141BA9"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 </w:t>
      </w:r>
      <w:r w:rsidR="00141BA9" w:rsidRPr="003A1174">
        <w:rPr>
          <w:rFonts w:ascii="Garamond" w:eastAsia="Calibri" w:hAnsi="Garamond" w:cs="Arial"/>
          <w:sz w:val="24"/>
          <w:szCs w:val="24"/>
        </w:rPr>
        <w:t xml:space="preserve">homogeneização entre </w:t>
      </w:r>
      <w:r w:rsidRPr="003A1174">
        <w:rPr>
          <w:rFonts w:ascii="Garamond" w:eastAsia="Calibri" w:hAnsi="Garamond" w:cs="Arial"/>
          <w:sz w:val="24"/>
          <w:szCs w:val="24"/>
        </w:rPr>
        <w:t xml:space="preserve">as </w:t>
      </w:r>
      <w:r w:rsidR="002C7510" w:rsidRPr="003A1174">
        <w:rPr>
          <w:rFonts w:ascii="Garamond" w:eastAsia="Calibri" w:hAnsi="Garamond" w:cs="Arial"/>
          <w:sz w:val="24"/>
          <w:szCs w:val="24"/>
        </w:rPr>
        <w:t>instituições</w:t>
      </w:r>
      <w:r w:rsidR="00141BA9" w:rsidRPr="003A1174">
        <w:rPr>
          <w:rFonts w:ascii="Garamond" w:eastAsia="Calibri" w:hAnsi="Garamond" w:cs="Arial"/>
          <w:sz w:val="24"/>
          <w:szCs w:val="24"/>
        </w:rPr>
        <w:t xml:space="preserve"> que registam os casos d</w:t>
      </w:r>
      <w:r w:rsidRPr="003A1174">
        <w:rPr>
          <w:rFonts w:ascii="Garamond" w:eastAsia="Calibri" w:hAnsi="Garamond" w:cs="Arial"/>
          <w:sz w:val="24"/>
          <w:szCs w:val="24"/>
        </w:rPr>
        <w:t xml:space="preserve">este tipo de </w:t>
      </w:r>
      <w:r w:rsidR="000350B1" w:rsidRPr="003A1174">
        <w:rPr>
          <w:rFonts w:ascii="Garamond" w:eastAsia="Calibri" w:hAnsi="Garamond" w:cs="Arial"/>
          <w:sz w:val="24"/>
          <w:szCs w:val="24"/>
        </w:rPr>
        <w:t>violência</w:t>
      </w:r>
      <w:r w:rsidRPr="003A1174">
        <w:rPr>
          <w:rFonts w:ascii="Garamond" w:eastAsia="Calibri" w:hAnsi="Garamond" w:cs="Arial"/>
          <w:sz w:val="24"/>
          <w:szCs w:val="24"/>
        </w:rPr>
        <w:t xml:space="preserve"> extrema </w:t>
      </w:r>
      <w:r w:rsidR="00BB2B00" w:rsidRPr="003A1174">
        <w:rPr>
          <w:rFonts w:ascii="Garamond" w:eastAsia="Calibri" w:hAnsi="Garamond" w:cs="Arial"/>
          <w:sz w:val="24"/>
          <w:szCs w:val="24"/>
        </w:rPr>
        <w:t>contra a</w:t>
      </w:r>
      <w:r w:rsidRPr="003A1174">
        <w:rPr>
          <w:rFonts w:ascii="Garamond" w:eastAsia="Calibri" w:hAnsi="Garamond" w:cs="Arial"/>
          <w:sz w:val="24"/>
          <w:szCs w:val="24"/>
        </w:rPr>
        <w:t xml:space="preserve">s </w:t>
      </w:r>
      <w:r w:rsidR="00054EE0" w:rsidRPr="003A1174">
        <w:rPr>
          <w:rFonts w:ascii="Garamond" w:eastAsia="Calibri" w:hAnsi="Garamond" w:cs="Arial"/>
          <w:sz w:val="24"/>
          <w:szCs w:val="24"/>
        </w:rPr>
        <w:t>mulheres</w:t>
      </w:r>
      <w:r w:rsidRPr="003A1174">
        <w:rPr>
          <w:rFonts w:ascii="Garamond" w:eastAsia="Calibri" w:hAnsi="Garamond" w:cs="Arial"/>
          <w:sz w:val="24"/>
          <w:szCs w:val="24"/>
        </w:rPr>
        <w:t xml:space="preserve">, </w:t>
      </w:r>
      <w:r w:rsidR="00497503" w:rsidRPr="003A1174">
        <w:rPr>
          <w:rFonts w:ascii="Garamond" w:eastAsia="Calibri" w:hAnsi="Garamond" w:cs="Arial"/>
          <w:sz w:val="24"/>
          <w:szCs w:val="24"/>
        </w:rPr>
        <w:t>dos</w:t>
      </w:r>
      <w:r w:rsidRPr="003A1174">
        <w:rPr>
          <w:rFonts w:ascii="Garamond" w:eastAsia="Calibri" w:hAnsi="Garamond" w:cs="Arial"/>
          <w:sz w:val="24"/>
          <w:szCs w:val="24"/>
        </w:rPr>
        <w:t xml:space="preserve"> </w:t>
      </w:r>
      <w:r w:rsidR="00CB5DB2" w:rsidRPr="003A1174">
        <w:rPr>
          <w:rFonts w:ascii="Garamond" w:eastAsia="Calibri" w:hAnsi="Garamond" w:cs="Arial"/>
          <w:sz w:val="24"/>
          <w:szCs w:val="24"/>
        </w:rPr>
        <w:t>critério</w:t>
      </w:r>
      <w:r w:rsidRPr="003A1174">
        <w:rPr>
          <w:rFonts w:ascii="Garamond" w:eastAsia="Calibri" w:hAnsi="Garamond" w:cs="Arial"/>
          <w:sz w:val="24"/>
          <w:szCs w:val="24"/>
        </w:rPr>
        <w:t xml:space="preserve">s de </w:t>
      </w:r>
      <w:r w:rsidR="00141BA9" w:rsidRPr="003A1174">
        <w:rPr>
          <w:rFonts w:ascii="Garamond" w:eastAsia="Calibri" w:hAnsi="Garamond" w:cs="Arial"/>
          <w:sz w:val="24"/>
          <w:szCs w:val="24"/>
        </w:rPr>
        <w:t>construção</w:t>
      </w:r>
      <w:r w:rsidRPr="003A1174">
        <w:rPr>
          <w:rFonts w:ascii="Garamond" w:eastAsia="Calibri" w:hAnsi="Garamond" w:cs="Arial"/>
          <w:sz w:val="24"/>
          <w:szCs w:val="24"/>
        </w:rPr>
        <w:t xml:space="preserve"> d</w:t>
      </w:r>
      <w:r w:rsidR="00141BA9" w:rsidRPr="003A1174">
        <w:rPr>
          <w:rFonts w:ascii="Garamond" w:eastAsia="Calibri" w:hAnsi="Garamond" w:cs="Arial"/>
          <w:sz w:val="24"/>
          <w:szCs w:val="24"/>
        </w:rPr>
        <w:t xml:space="preserve">os números </w:t>
      </w:r>
      <w:r w:rsidRPr="003A1174">
        <w:rPr>
          <w:rFonts w:ascii="Garamond" w:eastAsia="Calibri" w:hAnsi="Garamond" w:cs="Arial"/>
          <w:sz w:val="24"/>
          <w:szCs w:val="24"/>
        </w:rPr>
        <w:t>oficia</w:t>
      </w:r>
      <w:r w:rsidR="00141BA9" w:rsidRPr="003A1174">
        <w:rPr>
          <w:rFonts w:ascii="Garamond" w:eastAsia="Calibri" w:hAnsi="Garamond" w:cs="Arial"/>
          <w:sz w:val="24"/>
          <w:szCs w:val="24"/>
        </w:rPr>
        <w:t>is</w:t>
      </w:r>
      <w:r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Pr="003A1174">
        <w:rPr>
          <w:rFonts w:ascii="Garamond" w:eastAsia="Calibri" w:hAnsi="Garamond" w:cs="Arial"/>
          <w:sz w:val="24"/>
          <w:szCs w:val="24"/>
        </w:rPr>
        <w:t xml:space="preserve"> </w:t>
      </w:r>
      <w:r w:rsidR="00AF192F" w:rsidRPr="003A1174">
        <w:rPr>
          <w:rFonts w:ascii="Garamond" w:eastAsia="Calibri" w:hAnsi="Garamond" w:cs="Arial"/>
          <w:sz w:val="24"/>
          <w:szCs w:val="24"/>
        </w:rPr>
        <w:t>conceito</w:t>
      </w:r>
      <w:r w:rsidRPr="003A1174">
        <w:rPr>
          <w:rFonts w:ascii="Garamond" w:eastAsia="Calibri" w:hAnsi="Garamond" w:cs="Arial"/>
          <w:sz w:val="24"/>
          <w:szCs w:val="24"/>
        </w:rPr>
        <w:t xml:space="preserve"> de </w:t>
      </w:r>
      <w:r w:rsidR="005C051C" w:rsidRPr="003A1174">
        <w:rPr>
          <w:rFonts w:ascii="Garamond" w:eastAsia="Calibri" w:hAnsi="Garamond" w:cs="Arial"/>
          <w:sz w:val="24"/>
          <w:szCs w:val="24"/>
        </w:rPr>
        <w:t>femicídio</w:t>
      </w:r>
      <w:r w:rsidRPr="003A1174">
        <w:rPr>
          <w:rFonts w:ascii="Garamond" w:eastAsia="Calibri" w:hAnsi="Garamond" w:cs="Arial"/>
          <w:sz w:val="24"/>
          <w:szCs w:val="24"/>
        </w:rPr>
        <w:t xml:space="preserve"> </w:t>
      </w:r>
      <w:proofErr w:type="gramStart"/>
      <w:r w:rsidRPr="003A1174">
        <w:rPr>
          <w:rFonts w:ascii="Garamond" w:eastAsia="Calibri" w:hAnsi="Garamond" w:cs="Arial"/>
          <w:sz w:val="24"/>
          <w:szCs w:val="24"/>
        </w:rPr>
        <w:t xml:space="preserve">a </w:t>
      </w:r>
      <w:r w:rsidR="0017447A" w:rsidRPr="003A1174">
        <w:rPr>
          <w:rFonts w:ascii="Garamond" w:eastAsia="Calibri" w:hAnsi="Garamond" w:cs="Arial"/>
          <w:sz w:val="24"/>
          <w:szCs w:val="24"/>
        </w:rPr>
        <w:t>nível</w:t>
      </w:r>
      <w:r w:rsidR="00141BA9" w:rsidRPr="003A1174">
        <w:rPr>
          <w:rFonts w:ascii="Garamond" w:eastAsia="Calibri" w:hAnsi="Garamond" w:cs="Arial"/>
          <w:sz w:val="24"/>
          <w:szCs w:val="24"/>
        </w:rPr>
        <w:t xml:space="preserve"> do</w:t>
      </w:r>
      <w:proofErr w:type="gramEnd"/>
      <w:r w:rsidRPr="003A1174">
        <w:rPr>
          <w:rFonts w:ascii="Garamond" w:eastAsia="Calibri" w:hAnsi="Garamond" w:cs="Arial"/>
          <w:sz w:val="24"/>
          <w:szCs w:val="24"/>
        </w:rPr>
        <w:t xml:space="preserve"> país; </w:t>
      </w:r>
      <w:r w:rsidR="000464C8" w:rsidRPr="003A1174">
        <w:rPr>
          <w:rFonts w:ascii="Garamond" w:eastAsia="Calibri" w:hAnsi="Garamond" w:cs="Arial"/>
          <w:sz w:val="24"/>
          <w:szCs w:val="24"/>
        </w:rPr>
        <w:t>assim</w:t>
      </w:r>
      <w:r w:rsidR="00141BA9" w:rsidRPr="003A1174">
        <w:rPr>
          <w:rFonts w:ascii="Garamond" w:eastAsia="Calibri" w:hAnsi="Garamond" w:cs="Arial"/>
          <w:sz w:val="24"/>
          <w:szCs w:val="24"/>
        </w:rPr>
        <w:t xml:space="preserve"> como </w:t>
      </w:r>
      <w:r w:rsidRPr="003A1174">
        <w:rPr>
          <w:rFonts w:ascii="Garamond" w:eastAsia="Calibri" w:hAnsi="Garamond" w:cs="Arial"/>
          <w:sz w:val="24"/>
          <w:szCs w:val="24"/>
        </w:rPr>
        <w:t xml:space="preserve">a </w:t>
      </w:r>
      <w:r w:rsidR="00201889" w:rsidRPr="003A1174">
        <w:rPr>
          <w:rFonts w:ascii="Garamond" w:eastAsia="Calibri" w:hAnsi="Garamond" w:cs="Arial"/>
          <w:sz w:val="24"/>
          <w:szCs w:val="24"/>
        </w:rPr>
        <w:t>criação</w:t>
      </w:r>
      <w:r w:rsidR="00141BA9" w:rsidRPr="003A1174">
        <w:rPr>
          <w:rFonts w:ascii="Garamond" w:eastAsia="Calibri" w:hAnsi="Garamond" w:cs="Arial"/>
          <w:sz w:val="24"/>
          <w:szCs w:val="24"/>
        </w:rPr>
        <w:t xml:space="preserve"> de um</w:t>
      </w:r>
      <w:r w:rsidRPr="003A1174">
        <w:rPr>
          <w:rFonts w:ascii="Garamond" w:eastAsia="Calibri" w:hAnsi="Garamond" w:cs="Arial"/>
          <w:sz w:val="24"/>
          <w:szCs w:val="24"/>
        </w:rPr>
        <w:t>a Sub</w:t>
      </w:r>
      <w:r w:rsidR="00FC1F7F" w:rsidRPr="003A1174">
        <w:rPr>
          <w:rFonts w:ascii="Garamond" w:eastAsia="Calibri" w:hAnsi="Garamond" w:cs="Arial"/>
          <w:sz w:val="24"/>
          <w:szCs w:val="24"/>
        </w:rPr>
        <w:t>comissão</w:t>
      </w:r>
      <w:r w:rsidRPr="003A1174">
        <w:rPr>
          <w:rFonts w:ascii="Garamond" w:eastAsia="Calibri" w:hAnsi="Garamond" w:cs="Arial"/>
          <w:sz w:val="24"/>
          <w:szCs w:val="24"/>
        </w:rPr>
        <w:t xml:space="preserve"> Interinstitucional sobre </w:t>
      </w:r>
      <w:r w:rsidR="005C051C" w:rsidRPr="003A1174">
        <w:rPr>
          <w:rFonts w:ascii="Garamond" w:eastAsia="Calibri" w:hAnsi="Garamond" w:cs="Arial"/>
          <w:sz w:val="24"/>
          <w:szCs w:val="24"/>
        </w:rPr>
        <w:t>Femicídio</w:t>
      </w:r>
      <w:r w:rsidRPr="003A1174">
        <w:rPr>
          <w:rFonts w:ascii="Garamond" w:eastAsia="Calibri" w:hAnsi="Garamond" w:cs="Arial"/>
          <w:sz w:val="24"/>
          <w:szCs w:val="24"/>
        </w:rPr>
        <w:t xml:space="preserve"> </w:t>
      </w:r>
      <w:r w:rsidR="00141BA9" w:rsidRPr="003A1174">
        <w:rPr>
          <w:rFonts w:ascii="Garamond" w:eastAsia="Calibri" w:hAnsi="Garamond" w:cs="Arial"/>
          <w:sz w:val="24"/>
          <w:szCs w:val="24"/>
        </w:rPr>
        <w:t xml:space="preserve">no </w:t>
      </w:r>
      <w:r w:rsidRPr="003A1174">
        <w:rPr>
          <w:rFonts w:ascii="Garamond" w:eastAsia="Calibri" w:hAnsi="Garamond" w:cs="Arial"/>
          <w:sz w:val="24"/>
          <w:szCs w:val="24"/>
        </w:rPr>
        <w:t>se</w:t>
      </w:r>
      <w:r w:rsidR="00FE2732">
        <w:rPr>
          <w:rFonts w:ascii="Garamond" w:eastAsia="Calibri" w:hAnsi="Garamond" w:cs="Arial"/>
          <w:sz w:val="24"/>
          <w:szCs w:val="24"/>
        </w:rPr>
        <w:t>io</w:t>
      </w:r>
      <w:r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Pr="003A1174">
        <w:rPr>
          <w:rFonts w:ascii="Garamond" w:eastAsia="Calibri" w:hAnsi="Garamond" w:cs="Arial"/>
          <w:sz w:val="24"/>
          <w:szCs w:val="24"/>
        </w:rPr>
        <w:t xml:space="preserve"> Sistema PLANOVI, </w:t>
      </w:r>
      <w:r w:rsidR="00FE2732">
        <w:rPr>
          <w:rFonts w:ascii="Garamond" w:eastAsia="Calibri" w:hAnsi="Garamond" w:cs="Arial"/>
          <w:sz w:val="24"/>
          <w:szCs w:val="24"/>
        </w:rPr>
        <w:t xml:space="preserve">em </w:t>
      </w:r>
      <w:r w:rsidR="00141BA9" w:rsidRPr="003A1174">
        <w:rPr>
          <w:rFonts w:ascii="Garamond" w:eastAsia="Calibri" w:hAnsi="Garamond" w:cs="Arial"/>
          <w:sz w:val="24"/>
          <w:szCs w:val="24"/>
        </w:rPr>
        <w:t xml:space="preserve">se </w:t>
      </w:r>
      <w:r w:rsidR="00814E86">
        <w:rPr>
          <w:rFonts w:ascii="Garamond" w:eastAsia="Calibri" w:hAnsi="Garamond" w:cs="Arial"/>
          <w:sz w:val="24"/>
          <w:szCs w:val="24"/>
        </w:rPr>
        <w:t xml:space="preserve">faz </w:t>
      </w:r>
      <w:r w:rsidR="00FE2732">
        <w:rPr>
          <w:rFonts w:ascii="Garamond" w:eastAsia="Calibri" w:hAnsi="Garamond" w:cs="Arial"/>
          <w:sz w:val="24"/>
          <w:szCs w:val="24"/>
        </w:rPr>
        <w:t xml:space="preserve">o acompanhamento </w:t>
      </w:r>
      <w:r w:rsidRPr="003A1174">
        <w:rPr>
          <w:rFonts w:ascii="Garamond" w:eastAsia="Calibri" w:hAnsi="Garamond" w:cs="Arial"/>
          <w:sz w:val="24"/>
          <w:szCs w:val="24"/>
        </w:rPr>
        <w:t xml:space="preserve">e </w:t>
      </w:r>
      <w:r w:rsidR="00FE2732">
        <w:rPr>
          <w:rFonts w:ascii="Garamond" w:eastAsia="Calibri" w:hAnsi="Garamond" w:cs="Arial"/>
          <w:sz w:val="24"/>
          <w:szCs w:val="24"/>
        </w:rPr>
        <w:t xml:space="preserve">a </w:t>
      </w:r>
      <w:r w:rsidR="00886D6A" w:rsidRPr="003A1174">
        <w:rPr>
          <w:rFonts w:ascii="Garamond" w:eastAsia="Calibri" w:hAnsi="Garamond" w:cs="Arial"/>
          <w:sz w:val="24"/>
          <w:szCs w:val="24"/>
        </w:rPr>
        <w:t>investigação</w:t>
      </w:r>
      <w:r w:rsidRPr="003A1174">
        <w:rPr>
          <w:rFonts w:ascii="Garamond" w:eastAsia="Calibri" w:hAnsi="Garamond" w:cs="Arial"/>
          <w:sz w:val="24"/>
          <w:szCs w:val="24"/>
        </w:rPr>
        <w:t xml:space="preserve"> sobre </w:t>
      </w:r>
      <w:r w:rsidR="00814E86">
        <w:rPr>
          <w:rFonts w:ascii="Garamond" w:eastAsia="Calibri" w:hAnsi="Garamond" w:cs="Arial"/>
          <w:sz w:val="24"/>
          <w:szCs w:val="24"/>
        </w:rPr>
        <w:t xml:space="preserve">esta </w:t>
      </w:r>
      <w:r w:rsidRPr="003A1174">
        <w:rPr>
          <w:rFonts w:ascii="Garamond" w:eastAsia="Calibri" w:hAnsi="Garamond" w:cs="Arial"/>
          <w:sz w:val="24"/>
          <w:szCs w:val="24"/>
        </w:rPr>
        <w:t>problemática</w:t>
      </w:r>
      <w:r w:rsidR="00401207" w:rsidRPr="003A1174">
        <w:rPr>
          <w:rFonts w:ascii="Garamond" w:eastAsia="Calibri" w:hAnsi="Garamond" w:cs="Arial"/>
          <w:sz w:val="24"/>
          <w:szCs w:val="24"/>
        </w:rPr>
        <w:t>,</w:t>
      </w:r>
      <w:r w:rsidRPr="003A1174">
        <w:rPr>
          <w:rFonts w:ascii="Garamond" w:eastAsia="Calibri" w:hAnsi="Garamond" w:cs="Arial"/>
          <w:sz w:val="24"/>
          <w:szCs w:val="24"/>
        </w:rPr>
        <w:t xml:space="preserve"> a</w:t>
      </w:r>
      <w:r w:rsidR="00141BA9" w:rsidRPr="003A1174">
        <w:rPr>
          <w:rFonts w:ascii="Garamond" w:eastAsia="Calibri" w:hAnsi="Garamond" w:cs="Arial"/>
          <w:sz w:val="24"/>
          <w:szCs w:val="24"/>
        </w:rPr>
        <w:t>o mesmo</w:t>
      </w:r>
      <w:r w:rsidRPr="003A1174">
        <w:rPr>
          <w:rFonts w:ascii="Garamond" w:eastAsia="Calibri" w:hAnsi="Garamond" w:cs="Arial"/>
          <w:sz w:val="24"/>
          <w:szCs w:val="24"/>
        </w:rPr>
        <w:t xml:space="preserve"> </w:t>
      </w:r>
      <w:r w:rsidR="003F012B" w:rsidRPr="003A1174">
        <w:rPr>
          <w:rFonts w:ascii="Garamond" w:eastAsia="Calibri" w:hAnsi="Garamond" w:cs="Arial"/>
          <w:sz w:val="24"/>
          <w:szCs w:val="24"/>
        </w:rPr>
        <w:t>tempo</w:t>
      </w:r>
      <w:r w:rsidRPr="003A1174">
        <w:rPr>
          <w:rFonts w:ascii="Garamond" w:eastAsia="Calibri" w:hAnsi="Garamond" w:cs="Arial"/>
          <w:sz w:val="24"/>
          <w:szCs w:val="24"/>
        </w:rPr>
        <w:t xml:space="preserve"> que </w:t>
      </w:r>
      <w:r w:rsidR="00141BA9" w:rsidRPr="003A1174">
        <w:rPr>
          <w:rFonts w:ascii="Garamond" w:eastAsia="Calibri" w:hAnsi="Garamond" w:cs="Arial"/>
          <w:sz w:val="24"/>
          <w:szCs w:val="24"/>
        </w:rPr>
        <w:t xml:space="preserve">reconhece os </w:t>
      </w:r>
      <w:r w:rsidRPr="003A1174">
        <w:rPr>
          <w:rFonts w:ascii="Garamond" w:eastAsia="Calibri" w:hAnsi="Garamond" w:cs="Arial"/>
          <w:sz w:val="24"/>
          <w:szCs w:val="24"/>
        </w:rPr>
        <w:t xml:space="preserve">casos </w:t>
      </w:r>
      <w:r w:rsidR="00141BA9" w:rsidRPr="003A1174">
        <w:rPr>
          <w:rFonts w:ascii="Garamond" w:eastAsia="Calibri" w:hAnsi="Garamond" w:cs="Arial"/>
          <w:i/>
          <w:sz w:val="24"/>
          <w:szCs w:val="24"/>
        </w:rPr>
        <w:t xml:space="preserve">cinzentos ou limite </w:t>
      </w:r>
      <w:r w:rsidR="003A4612">
        <w:rPr>
          <w:rFonts w:ascii="Garamond" w:eastAsia="Calibri" w:hAnsi="Garamond" w:cs="Arial"/>
          <w:sz w:val="24"/>
          <w:szCs w:val="24"/>
        </w:rPr>
        <w:t xml:space="preserve">em que </w:t>
      </w:r>
      <w:r w:rsidRPr="003A1174">
        <w:rPr>
          <w:rFonts w:ascii="Garamond" w:eastAsia="Calibri" w:hAnsi="Garamond" w:cs="Arial"/>
          <w:sz w:val="24"/>
          <w:szCs w:val="24"/>
        </w:rPr>
        <w:t>n</w:t>
      </w:r>
      <w:r w:rsidR="00141BA9" w:rsidRPr="003A1174">
        <w:rPr>
          <w:rFonts w:ascii="Garamond" w:eastAsia="Calibri" w:hAnsi="Garamond" w:cs="Arial"/>
          <w:sz w:val="24"/>
          <w:szCs w:val="24"/>
        </w:rPr>
        <w:t>ã</w:t>
      </w:r>
      <w:r w:rsidRPr="003A1174">
        <w:rPr>
          <w:rFonts w:ascii="Garamond" w:eastAsia="Calibri" w:hAnsi="Garamond" w:cs="Arial"/>
          <w:sz w:val="24"/>
          <w:szCs w:val="24"/>
        </w:rPr>
        <w:t xml:space="preserve">o </w:t>
      </w:r>
      <w:r w:rsidR="00141BA9" w:rsidRPr="003A1174">
        <w:rPr>
          <w:rFonts w:ascii="Garamond" w:eastAsia="Calibri" w:hAnsi="Garamond" w:cs="Arial"/>
          <w:sz w:val="24"/>
          <w:szCs w:val="24"/>
        </w:rPr>
        <w:t xml:space="preserve">é </w:t>
      </w:r>
      <w:r w:rsidRPr="003A1174">
        <w:rPr>
          <w:rFonts w:ascii="Garamond" w:eastAsia="Calibri" w:hAnsi="Garamond" w:cs="Arial"/>
          <w:sz w:val="24"/>
          <w:szCs w:val="24"/>
        </w:rPr>
        <w:t>claro s</w:t>
      </w:r>
      <w:r w:rsidR="00141BA9" w:rsidRPr="003A1174">
        <w:rPr>
          <w:rFonts w:ascii="Garamond" w:eastAsia="Calibri" w:hAnsi="Garamond" w:cs="Arial"/>
          <w:sz w:val="24"/>
          <w:szCs w:val="24"/>
        </w:rPr>
        <w:t>e</w:t>
      </w:r>
      <w:r w:rsidRPr="003A1174">
        <w:rPr>
          <w:rFonts w:ascii="Garamond" w:eastAsia="Calibri" w:hAnsi="Garamond" w:cs="Arial"/>
          <w:sz w:val="24"/>
          <w:szCs w:val="24"/>
        </w:rPr>
        <w:t xml:space="preserve"> se está </w:t>
      </w:r>
      <w:r w:rsidR="00401207" w:rsidRPr="003A1174">
        <w:rPr>
          <w:rFonts w:ascii="Garamond" w:eastAsia="Calibri" w:hAnsi="Garamond" w:cs="Arial"/>
          <w:sz w:val="24"/>
          <w:szCs w:val="24"/>
        </w:rPr>
        <w:t>o</w:t>
      </w:r>
      <w:r w:rsidR="00141BA9" w:rsidRPr="003A1174">
        <w:rPr>
          <w:rFonts w:ascii="Garamond" w:eastAsia="Calibri" w:hAnsi="Garamond" w:cs="Arial"/>
          <w:sz w:val="24"/>
          <w:szCs w:val="24"/>
        </w:rPr>
        <w:t>u</w:t>
      </w:r>
      <w:r w:rsidR="00401207" w:rsidRPr="003A1174">
        <w:rPr>
          <w:rFonts w:ascii="Garamond" w:eastAsia="Calibri" w:hAnsi="Garamond" w:cs="Arial"/>
          <w:sz w:val="24"/>
          <w:szCs w:val="24"/>
        </w:rPr>
        <w:t xml:space="preserve"> n</w:t>
      </w:r>
      <w:r w:rsidR="00141BA9" w:rsidRPr="003A1174">
        <w:rPr>
          <w:rFonts w:ascii="Garamond" w:eastAsia="Calibri" w:hAnsi="Garamond" w:cs="Arial"/>
          <w:sz w:val="24"/>
          <w:szCs w:val="24"/>
        </w:rPr>
        <w:t>ã</w:t>
      </w:r>
      <w:r w:rsidR="00401207" w:rsidRPr="003A1174">
        <w:rPr>
          <w:rFonts w:ascii="Garamond" w:eastAsia="Calibri" w:hAnsi="Garamond" w:cs="Arial"/>
          <w:sz w:val="24"/>
          <w:szCs w:val="24"/>
        </w:rPr>
        <w:t xml:space="preserve">o </w:t>
      </w:r>
      <w:r w:rsidR="00141BA9" w:rsidRPr="003A1174">
        <w:rPr>
          <w:rFonts w:ascii="Garamond" w:eastAsia="Calibri" w:hAnsi="Garamond" w:cs="Arial"/>
          <w:sz w:val="24"/>
          <w:szCs w:val="24"/>
        </w:rPr>
        <w:t>per</w:t>
      </w:r>
      <w:r w:rsidRPr="003A1174">
        <w:rPr>
          <w:rFonts w:ascii="Garamond" w:eastAsia="Calibri" w:hAnsi="Garamond" w:cs="Arial"/>
          <w:sz w:val="24"/>
          <w:szCs w:val="24"/>
        </w:rPr>
        <w:t>ante u</w:t>
      </w:r>
      <w:r w:rsidR="00141BA9" w:rsidRPr="003A1174">
        <w:rPr>
          <w:rFonts w:ascii="Garamond" w:eastAsia="Calibri" w:hAnsi="Garamond" w:cs="Arial"/>
          <w:sz w:val="24"/>
          <w:szCs w:val="24"/>
        </w:rPr>
        <w:t>m</w:t>
      </w:r>
      <w:r w:rsidRPr="003A1174">
        <w:rPr>
          <w:rFonts w:ascii="Garamond" w:eastAsia="Calibri" w:hAnsi="Garamond" w:cs="Arial"/>
          <w:sz w:val="24"/>
          <w:szCs w:val="24"/>
        </w:rPr>
        <w:t xml:space="preserve"> caso de </w:t>
      </w:r>
      <w:r w:rsidR="005C051C" w:rsidRPr="003A1174">
        <w:rPr>
          <w:rFonts w:ascii="Garamond" w:eastAsia="Calibri" w:hAnsi="Garamond" w:cs="Arial"/>
          <w:sz w:val="24"/>
          <w:szCs w:val="24"/>
        </w:rPr>
        <w:t>femicídio</w:t>
      </w:r>
      <w:r w:rsidRPr="003A1174">
        <w:rPr>
          <w:rFonts w:ascii="Garamond" w:eastAsia="Calibri" w:hAnsi="Garamond" w:cs="Arial"/>
          <w:sz w:val="24"/>
          <w:szCs w:val="24"/>
        </w:rPr>
        <w:t xml:space="preserve">. </w:t>
      </w:r>
    </w:p>
    <w:p w:rsidR="00173A82" w:rsidRPr="003A1174" w:rsidRDefault="00684945" w:rsidP="008719D4">
      <w:pPr>
        <w:pStyle w:val="Ttulo3"/>
        <w:spacing w:line="240" w:lineRule="auto"/>
        <w:rPr>
          <w:rFonts w:ascii="Garamond" w:eastAsia="Calibri" w:hAnsi="Garamond"/>
          <w:sz w:val="24"/>
          <w:szCs w:val="24"/>
        </w:rPr>
      </w:pPr>
      <w:bookmarkStart w:id="60" w:name="_Toc421529748"/>
      <w:r w:rsidRPr="003A1174">
        <w:rPr>
          <w:rFonts w:ascii="Garamond" w:eastAsia="Calibri" w:hAnsi="Garamond"/>
          <w:sz w:val="24"/>
          <w:szCs w:val="24"/>
        </w:rPr>
        <w:t>El Salvador</w:t>
      </w:r>
      <w:bookmarkEnd w:id="60"/>
    </w:p>
    <w:p w:rsidR="00173A82" w:rsidRPr="003A1174" w:rsidRDefault="00DD6896" w:rsidP="008719D4">
      <w:pPr>
        <w:pStyle w:val="Ttulo4"/>
        <w:spacing w:line="240" w:lineRule="auto"/>
        <w:rPr>
          <w:rFonts w:ascii="Garamond" w:hAnsi="Garamond"/>
          <w:sz w:val="24"/>
          <w:szCs w:val="24"/>
        </w:rPr>
      </w:pPr>
      <w:r>
        <w:rPr>
          <w:rFonts w:ascii="Garamond" w:hAnsi="Garamond"/>
          <w:sz w:val="24"/>
          <w:szCs w:val="24"/>
        </w:rPr>
        <w:t>Formação</w:t>
      </w:r>
      <w:r w:rsidR="00173A82" w:rsidRPr="003A1174">
        <w:rPr>
          <w:rFonts w:ascii="Garamond" w:hAnsi="Garamond"/>
          <w:sz w:val="24"/>
          <w:szCs w:val="24"/>
        </w:rPr>
        <w:t>/</w:t>
      </w:r>
      <w:r w:rsidR="00141BA9" w:rsidRPr="003A1174">
        <w:rPr>
          <w:rFonts w:ascii="Garamond" w:hAnsi="Garamond"/>
          <w:sz w:val="24"/>
          <w:szCs w:val="24"/>
        </w:rPr>
        <w:t>sensibilização de</w:t>
      </w:r>
      <w:r w:rsidR="00173A82" w:rsidRPr="003A1174">
        <w:rPr>
          <w:rFonts w:ascii="Garamond" w:hAnsi="Garamond"/>
          <w:sz w:val="24"/>
          <w:szCs w:val="24"/>
        </w:rPr>
        <w:t xml:space="preserve"> operadores d</w:t>
      </w:r>
      <w:r w:rsidR="003F012B" w:rsidRPr="003A1174">
        <w:rPr>
          <w:rFonts w:ascii="Garamond" w:hAnsi="Garamond"/>
          <w:sz w:val="24"/>
          <w:szCs w:val="24"/>
        </w:rPr>
        <w:t>o</w:t>
      </w:r>
      <w:r w:rsidR="00173A82" w:rsidRPr="003A1174">
        <w:rPr>
          <w:rFonts w:ascii="Garamond" w:hAnsi="Garamond"/>
          <w:sz w:val="24"/>
          <w:szCs w:val="24"/>
        </w:rPr>
        <w:t xml:space="preserve"> </w:t>
      </w:r>
      <w:r w:rsidR="00A71D5F">
        <w:rPr>
          <w:rFonts w:ascii="Garamond" w:hAnsi="Garamond"/>
          <w:sz w:val="24"/>
          <w:szCs w:val="24"/>
        </w:rPr>
        <w:t>S</w:t>
      </w:r>
      <w:r w:rsidR="00401207" w:rsidRPr="003A1174">
        <w:rPr>
          <w:rFonts w:ascii="Garamond" w:hAnsi="Garamond"/>
          <w:sz w:val="24"/>
          <w:szCs w:val="24"/>
        </w:rPr>
        <w:t xml:space="preserve">istema </w:t>
      </w:r>
      <w:r w:rsidR="00A71D5F">
        <w:rPr>
          <w:rFonts w:ascii="Garamond" w:hAnsi="Garamond"/>
          <w:sz w:val="24"/>
          <w:szCs w:val="24"/>
        </w:rPr>
        <w:t>Judicial</w:t>
      </w:r>
    </w:p>
    <w:p w:rsidR="00141BA9" w:rsidRPr="003A1174" w:rsidRDefault="00141BA9" w:rsidP="008719D4">
      <w:pPr>
        <w:spacing w:line="240" w:lineRule="auto"/>
        <w:jc w:val="both"/>
        <w:rPr>
          <w:rFonts w:ascii="Garamond" w:eastAsia="Calibri" w:hAnsi="Garamond" w:cs="Arial"/>
          <w:sz w:val="24"/>
          <w:szCs w:val="24"/>
        </w:rPr>
      </w:pPr>
    </w:p>
    <w:p w:rsidR="00173A82" w:rsidRPr="003A1174" w:rsidRDefault="00B7547E" w:rsidP="008719D4">
      <w:pPr>
        <w:spacing w:line="240" w:lineRule="auto"/>
        <w:jc w:val="both"/>
        <w:rPr>
          <w:rFonts w:ascii="Garamond" w:eastAsia="Calibri" w:hAnsi="Garamond" w:cs="Arial"/>
          <w:sz w:val="24"/>
          <w:szCs w:val="24"/>
        </w:rPr>
      </w:pPr>
      <w:r>
        <w:rPr>
          <w:rFonts w:ascii="Garamond" w:eastAsia="Calibri" w:hAnsi="Garamond" w:cs="Arial"/>
          <w:sz w:val="24"/>
          <w:szCs w:val="24"/>
        </w:rPr>
        <w:t>Em El Salvador, a</w:t>
      </w:r>
      <w:r w:rsidR="00141BA9" w:rsidRPr="003A1174">
        <w:rPr>
          <w:rFonts w:ascii="Garamond" w:eastAsia="Calibri" w:hAnsi="Garamond" w:cs="Arial"/>
          <w:sz w:val="24"/>
          <w:szCs w:val="24"/>
        </w:rPr>
        <w:t xml:space="preserve"> </w:t>
      </w:r>
      <w:r w:rsidR="0096583F" w:rsidRPr="007B3401">
        <w:rPr>
          <w:rFonts w:ascii="Garamond" w:eastAsia="Calibri" w:hAnsi="Garamond" w:cs="Arial"/>
          <w:sz w:val="24"/>
          <w:szCs w:val="24"/>
        </w:rPr>
        <w:t>Procuradoria</w:t>
      </w:r>
      <w:r w:rsidR="00141BA9" w:rsidRPr="007B3401">
        <w:rPr>
          <w:rFonts w:ascii="Garamond" w:eastAsia="Calibri" w:hAnsi="Garamond" w:cs="Arial"/>
          <w:sz w:val="24"/>
          <w:szCs w:val="24"/>
        </w:rPr>
        <w:t xml:space="preserve"> Adjunta para </w:t>
      </w:r>
      <w:r w:rsidR="00173A82" w:rsidRPr="007B3401">
        <w:rPr>
          <w:rFonts w:ascii="Garamond" w:eastAsia="Calibri" w:hAnsi="Garamond" w:cs="Arial"/>
          <w:sz w:val="24"/>
          <w:szCs w:val="24"/>
        </w:rPr>
        <w:t xml:space="preserve">a </w:t>
      </w:r>
      <w:r w:rsidR="002C7510" w:rsidRPr="007B3401">
        <w:rPr>
          <w:rFonts w:ascii="Garamond" w:eastAsia="Calibri" w:hAnsi="Garamond" w:cs="Arial"/>
          <w:sz w:val="24"/>
          <w:szCs w:val="24"/>
        </w:rPr>
        <w:t>Defesa</w:t>
      </w:r>
      <w:r w:rsidR="00173A82" w:rsidRPr="007B3401">
        <w:rPr>
          <w:rFonts w:ascii="Garamond" w:eastAsia="Calibri" w:hAnsi="Garamond" w:cs="Arial"/>
          <w:sz w:val="24"/>
          <w:szCs w:val="24"/>
        </w:rPr>
        <w:t xml:space="preserve"> </w:t>
      </w:r>
      <w:r w:rsidR="00497503" w:rsidRPr="007B3401">
        <w:rPr>
          <w:rFonts w:ascii="Garamond" w:eastAsia="Calibri" w:hAnsi="Garamond" w:cs="Arial"/>
          <w:sz w:val="24"/>
          <w:szCs w:val="24"/>
        </w:rPr>
        <w:t>dos</w:t>
      </w:r>
      <w:r w:rsidR="00173A82" w:rsidRPr="007B3401">
        <w:rPr>
          <w:rFonts w:ascii="Garamond" w:eastAsia="Calibri" w:hAnsi="Garamond" w:cs="Arial"/>
          <w:sz w:val="24"/>
          <w:szCs w:val="24"/>
        </w:rPr>
        <w:t xml:space="preserve"> </w:t>
      </w:r>
      <w:r w:rsidR="00886D6A" w:rsidRPr="007B3401">
        <w:rPr>
          <w:rFonts w:ascii="Garamond" w:eastAsia="Calibri" w:hAnsi="Garamond" w:cs="Arial"/>
          <w:sz w:val="24"/>
          <w:szCs w:val="24"/>
        </w:rPr>
        <w:t>Direito</w:t>
      </w:r>
      <w:r w:rsidR="00173A82" w:rsidRPr="007B3401">
        <w:rPr>
          <w:rFonts w:ascii="Garamond" w:eastAsia="Calibri" w:hAnsi="Garamond" w:cs="Arial"/>
          <w:sz w:val="24"/>
          <w:szCs w:val="24"/>
        </w:rPr>
        <w:t xml:space="preserve">s da </w:t>
      </w:r>
      <w:r w:rsidR="00AF192F" w:rsidRPr="007B3401">
        <w:rPr>
          <w:rFonts w:ascii="Garamond" w:eastAsia="Calibri" w:hAnsi="Garamond" w:cs="Arial"/>
          <w:sz w:val="24"/>
          <w:szCs w:val="24"/>
        </w:rPr>
        <w:t>Mulher</w:t>
      </w:r>
      <w:r w:rsidR="00173A82" w:rsidRPr="007B3401">
        <w:rPr>
          <w:rFonts w:ascii="Garamond" w:eastAsia="Calibri" w:hAnsi="Garamond" w:cs="Arial"/>
          <w:sz w:val="24"/>
          <w:szCs w:val="24"/>
        </w:rPr>
        <w:t xml:space="preserve"> </w:t>
      </w:r>
      <w:r w:rsidR="000672E8" w:rsidRPr="007B3401">
        <w:rPr>
          <w:rFonts w:ascii="Garamond" w:eastAsia="Calibri" w:hAnsi="Garamond" w:cs="Arial"/>
          <w:sz w:val="24"/>
          <w:szCs w:val="24"/>
        </w:rPr>
        <w:t>e</w:t>
      </w:r>
      <w:r w:rsidR="00141BA9" w:rsidRPr="007B3401">
        <w:rPr>
          <w:rFonts w:ascii="Garamond" w:eastAsia="Calibri" w:hAnsi="Garamond" w:cs="Arial"/>
          <w:sz w:val="24"/>
          <w:szCs w:val="24"/>
        </w:rPr>
        <w:t xml:space="preserve"> d</w:t>
      </w:r>
      <w:r w:rsidR="00173A82" w:rsidRPr="007B3401">
        <w:rPr>
          <w:rFonts w:ascii="Garamond" w:eastAsia="Calibri" w:hAnsi="Garamond" w:cs="Arial"/>
          <w:sz w:val="24"/>
          <w:szCs w:val="24"/>
        </w:rPr>
        <w:t xml:space="preserve">a </w:t>
      </w:r>
      <w:r w:rsidR="006C7AF1" w:rsidRPr="007B3401">
        <w:rPr>
          <w:rFonts w:ascii="Garamond" w:eastAsia="Calibri" w:hAnsi="Garamond" w:cs="Arial"/>
          <w:sz w:val="24"/>
          <w:szCs w:val="24"/>
        </w:rPr>
        <w:t>Família</w:t>
      </w:r>
      <w:r w:rsidR="00173A82" w:rsidRPr="007B3401">
        <w:rPr>
          <w:rFonts w:ascii="Garamond" w:eastAsia="Calibri" w:hAnsi="Garamond" w:cs="Arial"/>
          <w:sz w:val="24"/>
          <w:szCs w:val="24"/>
        </w:rPr>
        <w:t xml:space="preserve">, </w:t>
      </w:r>
      <w:r w:rsidR="0003370A" w:rsidRPr="007B3401">
        <w:rPr>
          <w:rFonts w:ascii="Garamond" w:eastAsia="Calibri" w:hAnsi="Garamond" w:cs="Arial"/>
          <w:sz w:val="24"/>
          <w:szCs w:val="24"/>
        </w:rPr>
        <w:t xml:space="preserve">promoveu </w:t>
      </w:r>
      <w:r w:rsidR="00173A82" w:rsidRPr="007B3401">
        <w:rPr>
          <w:rFonts w:ascii="Garamond" w:eastAsia="Calibri" w:hAnsi="Garamond" w:cs="Arial"/>
          <w:sz w:val="24"/>
          <w:szCs w:val="24"/>
        </w:rPr>
        <w:t>módulos</w:t>
      </w:r>
      <w:r w:rsidR="0003370A" w:rsidRPr="007B3401">
        <w:rPr>
          <w:rFonts w:ascii="Garamond" w:eastAsia="Calibri" w:hAnsi="Garamond" w:cs="Arial"/>
          <w:sz w:val="24"/>
          <w:szCs w:val="24"/>
        </w:rPr>
        <w:t xml:space="preserve"> de formação</w:t>
      </w:r>
      <w:r w:rsidR="00173A82" w:rsidRPr="007B3401">
        <w:rPr>
          <w:rFonts w:ascii="Garamond" w:eastAsia="Calibri" w:hAnsi="Garamond" w:cs="Arial"/>
          <w:sz w:val="24"/>
          <w:szCs w:val="24"/>
        </w:rPr>
        <w:t xml:space="preserve"> a operadores</w:t>
      </w:r>
      <w:r w:rsidR="00173A82" w:rsidRPr="003A1174">
        <w:rPr>
          <w:rFonts w:ascii="Garamond" w:eastAsia="Calibri" w:hAnsi="Garamond" w:cs="Arial"/>
          <w:sz w:val="24"/>
          <w:szCs w:val="24"/>
        </w:rPr>
        <w:t xml:space="preserve"> de </w:t>
      </w:r>
      <w:r w:rsidR="00FC1F7F" w:rsidRPr="003A1174">
        <w:rPr>
          <w:rFonts w:ascii="Garamond" w:eastAsia="Calibri" w:hAnsi="Garamond" w:cs="Arial"/>
          <w:sz w:val="24"/>
          <w:szCs w:val="24"/>
        </w:rPr>
        <w:t>justiça</w:t>
      </w:r>
      <w:r w:rsidR="00173A82" w:rsidRPr="003A1174">
        <w:rPr>
          <w:rFonts w:ascii="Garamond" w:eastAsia="Calibri" w:hAnsi="Garamond" w:cs="Arial"/>
          <w:sz w:val="24"/>
          <w:szCs w:val="24"/>
        </w:rPr>
        <w:t xml:space="preserve">, </w:t>
      </w:r>
      <w:r w:rsidR="009B133A" w:rsidRPr="003A1174">
        <w:rPr>
          <w:rFonts w:ascii="Garamond" w:eastAsia="Calibri" w:hAnsi="Garamond" w:cs="Arial"/>
          <w:sz w:val="24"/>
          <w:szCs w:val="24"/>
        </w:rPr>
        <w:t>especificamente</w:t>
      </w:r>
      <w:r w:rsidR="0003370A">
        <w:rPr>
          <w:rFonts w:ascii="Garamond" w:eastAsia="Calibri" w:hAnsi="Garamond" w:cs="Arial"/>
          <w:sz w:val="24"/>
          <w:szCs w:val="24"/>
        </w:rPr>
        <w:t>,</w:t>
      </w:r>
      <w:r w:rsidR="00173A82" w:rsidRPr="003A1174">
        <w:rPr>
          <w:rFonts w:ascii="Garamond" w:eastAsia="Calibri" w:hAnsi="Garamond" w:cs="Arial"/>
          <w:sz w:val="24"/>
          <w:szCs w:val="24"/>
        </w:rPr>
        <w:t xml:space="preserve"> </w:t>
      </w:r>
      <w:r w:rsidR="0003370A">
        <w:rPr>
          <w:rFonts w:ascii="Garamond" w:eastAsia="Calibri" w:hAnsi="Garamond" w:cs="Arial"/>
          <w:sz w:val="24"/>
          <w:szCs w:val="24"/>
        </w:rPr>
        <w:t>aos que trabalham</w:t>
      </w:r>
      <w:r w:rsidR="00E05C11">
        <w:rPr>
          <w:rFonts w:ascii="Garamond" w:eastAsia="Calibri" w:hAnsi="Garamond" w:cs="Arial"/>
          <w:sz w:val="24"/>
          <w:szCs w:val="24"/>
        </w:rPr>
        <w:t xml:space="preserve"> </w:t>
      </w:r>
      <w:r w:rsidR="0003370A">
        <w:rPr>
          <w:rFonts w:ascii="Garamond" w:eastAsia="Calibri" w:hAnsi="Garamond" w:cs="Arial"/>
          <w:sz w:val="24"/>
          <w:szCs w:val="24"/>
        </w:rPr>
        <w:t>n</w:t>
      </w:r>
      <w:r w:rsidR="00497503" w:rsidRPr="003A1174">
        <w:rPr>
          <w:rFonts w:ascii="Garamond" w:eastAsia="Calibri" w:hAnsi="Garamond" w:cs="Arial"/>
          <w:sz w:val="24"/>
          <w:szCs w:val="24"/>
        </w:rPr>
        <w:t>os</w:t>
      </w:r>
      <w:r w:rsidR="00173A82" w:rsidRPr="003A1174">
        <w:rPr>
          <w:rFonts w:ascii="Garamond" w:eastAsia="Calibri" w:hAnsi="Garamond" w:cs="Arial"/>
          <w:sz w:val="24"/>
          <w:szCs w:val="24"/>
        </w:rPr>
        <w:t xml:space="preserve"> Centros de </w:t>
      </w:r>
      <w:r w:rsidR="008278C4" w:rsidRPr="003A1174">
        <w:rPr>
          <w:rFonts w:ascii="Garamond" w:eastAsia="Calibri" w:hAnsi="Garamond" w:cs="Arial"/>
          <w:sz w:val="24"/>
          <w:szCs w:val="24"/>
        </w:rPr>
        <w:t>Atenção</w:t>
      </w:r>
      <w:r w:rsidR="00173A82" w:rsidRPr="003A1174">
        <w:rPr>
          <w:rFonts w:ascii="Garamond" w:eastAsia="Calibri" w:hAnsi="Garamond" w:cs="Arial"/>
          <w:sz w:val="24"/>
          <w:szCs w:val="24"/>
        </w:rPr>
        <w:t xml:space="preserve"> </w:t>
      </w:r>
      <w:r w:rsidR="00BA3CCE" w:rsidRPr="003A1174">
        <w:rPr>
          <w:rFonts w:ascii="Garamond" w:eastAsia="Calibri" w:hAnsi="Garamond" w:cs="Arial"/>
          <w:sz w:val="24"/>
          <w:szCs w:val="24"/>
        </w:rPr>
        <w:t>Psicossocial</w:t>
      </w:r>
      <w:r w:rsidR="00173A82"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00173A82" w:rsidRPr="003A1174">
        <w:rPr>
          <w:rFonts w:ascii="Garamond" w:eastAsia="Calibri" w:hAnsi="Garamond" w:cs="Arial"/>
          <w:sz w:val="24"/>
          <w:szCs w:val="24"/>
        </w:rPr>
        <w:t xml:space="preserve"> </w:t>
      </w:r>
      <w:r w:rsidR="003F012B" w:rsidRPr="003A1174">
        <w:rPr>
          <w:rFonts w:ascii="Garamond" w:eastAsia="Calibri" w:hAnsi="Garamond" w:cs="Arial"/>
          <w:sz w:val="24"/>
          <w:szCs w:val="24"/>
        </w:rPr>
        <w:t>Órgão</w:t>
      </w:r>
      <w:r w:rsidR="00173A82" w:rsidRPr="003A1174">
        <w:rPr>
          <w:rFonts w:ascii="Garamond" w:eastAsia="Calibri" w:hAnsi="Garamond" w:cs="Arial"/>
          <w:sz w:val="24"/>
          <w:szCs w:val="24"/>
        </w:rPr>
        <w:t xml:space="preserve"> Judicial</w:t>
      </w:r>
      <w:r w:rsidR="0003370A">
        <w:rPr>
          <w:rFonts w:ascii="Garamond" w:eastAsia="Calibri" w:hAnsi="Garamond" w:cs="Arial"/>
          <w:sz w:val="24"/>
          <w:szCs w:val="24"/>
        </w:rPr>
        <w:t>, bem como</w:t>
      </w:r>
      <w:r w:rsidR="00173A82" w:rsidRPr="003A1174">
        <w:rPr>
          <w:rFonts w:ascii="Garamond" w:eastAsia="Calibri" w:hAnsi="Garamond" w:cs="Arial"/>
          <w:sz w:val="24"/>
          <w:szCs w:val="24"/>
        </w:rPr>
        <w:t xml:space="preserve"> jornadas de </w:t>
      </w:r>
      <w:r w:rsidR="0003370A">
        <w:rPr>
          <w:rFonts w:ascii="Garamond" w:eastAsia="Calibri" w:hAnsi="Garamond" w:cs="Arial"/>
          <w:sz w:val="24"/>
          <w:szCs w:val="24"/>
        </w:rPr>
        <w:t xml:space="preserve">formação </w:t>
      </w:r>
      <w:r w:rsidR="00173A82" w:rsidRPr="003A1174">
        <w:rPr>
          <w:rFonts w:ascii="Garamond" w:eastAsia="Calibri" w:hAnsi="Garamond" w:cs="Arial"/>
          <w:sz w:val="24"/>
          <w:szCs w:val="24"/>
        </w:rPr>
        <w:t>relacionadas co</w:t>
      </w:r>
      <w:r w:rsidR="00141BA9" w:rsidRPr="003A1174">
        <w:rPr>
          <w:rFonts w:ascii="Garamond" w:eastAsia="Calibri" w:hAnsi="Garamond" w:cs="Arial"/>
          <w:sz w:val="24"/>
          <w:szCs w:val="24"/>
        </w:rPr>
        <w:t xml:space="preserve">m o </w:t>
      </w:r>
      <w:r w:rsidR="00886D6A" w:rsidRPr="003A1174">
        <w:rPr>
          <w:rFonts w:ascii="Garamond" w:eastAsia="Calibri" w:hAnsi="Garamond" w:cs="Arial"/>
          <w:sz w:val="24"/>
          <w:szCs w:val="24"/>
        </w:rPr>
        <w:t>Direito</w:t>
      </w:r>
      <w:r w:rsidR="00141BA9" w:rsidRPr="003A1174">
        <w:rPr>
          <w:rFonts w:ascii="Garamond" w:eastAsia="Calibri" w:hAnsi="Garamond" w:cs="Arial"/>
          <w:sz w:val="24"/>
          <w:szCs w:val="24"/>
        </w:rPr>
        <w:t xml:space="preserve"> a um</w:t>
      </w:r>
      <w:r w:rsidR="00173A82" w:rsidRPr="003A1174">
        <w:rPr>
          <w:rFonts w:ascii="Garamond" w:eastAsia="Calibri" w:hAnsi="Garamond" w:cs="Arial"/>
          <w:sz w:val="24"/>
          <w:szCs w:val="24"/>
        </w:rPr>
        <w:t xml:space="preserve">a Vida </w:t>
      </w:r>
      <w:r w:rsidR="00AF192F" w:rsidRPr="003A1174">
        <w:rPr>
          <w:rFonts w:ascii="Garamond" w:eastAsia="Calibri" w:hAnsi="Garamond" w:cs="Arial"/>
          <w:sz w:val="24"/>
          <w:szCs w:val="24"/>
        </w:rPr>
        <w:t>Livre</w:t>
      </w:r>
      <w:r w:rsidR="00173A82" w:rsidRPr="003A1174">
        <w:rPr>
          <w:rFonts w:ascii="Garamond" w:eastAsia="Calibri" w:hAnsi="Garamond" w:cs="Arial"/>
          <w:sz w:val="24"/>
          <w:szCs w:val="24"/>
        </w:rPr>
        <w:t xml:space="preserve"> de </w:t>
      </w:r>
      <w:r w:rsidR="000350B1" w:rsidRPr="003A1174">
        <w:rPr>
          <w:rFonts w:ascii="Garamond" w:eastAsia="Calibri" w:hAnsi="Garamond" w:cs="Arial"/>
          <w:sz w:val="24"/>
          <w:szCs w:val="24"/>
        </w:rPr>
        <w:t>Violência</w:t>
      </w:r>
      <w:r w:rsidR="00173A8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173A82" w:rsidRPr="003A1174">
        <w:rPr>
          <w:rFonts w:ascii="Garamond" w:eastAsia="Calibri" w:hAnsi="Garamond" w:cs="Arial"/>
          <w:sz w:val="24"/>
          <w:szCs w:val="24"/>
        </w:rPr>
        <w:t xml:space="preserve"> </w:t>
      </w:r>
      <w:r w:rsidR="00141BA9" w:rsidRPr="003A1174">
        <w:rPr>
          <w:rFonts w:ascii="Garamond" w:eastAsia="Calibri" w:hAnsi="Garamond" w:cs="Arial"/>
          <w:sz w:val="24"/>
          <w:szCs w:val="24"/>
        </w:rPr>
        <w:t xml:space="preserve">o </w:t>
      </w:r>
      <w:r w:rsidR="00886D6A" w:rsidRPr="003A1174">
        <w:rPr>
          <w:rFonts w:ascii="Garamond" w:eastAsia="Calibri" w:hAnsi="Garamond" w:cs="Arial"/>
          <w:sz w:val="24"/>
          <w:szCs w:val="24"/>
        </w:rPr>
        <w:t>Acesso</w:t>
      </w:r>
      <w:r w:rsidR="00173A82" w:rsidRPr="003A1174">
        <w:rPr>
          <w:rFonts w:ascii="Garamond" w:eastAsia="Calibri" w:hAnsi="Garamond" w:cs="Arial"/>
          <w:sz w:val="24"/>
          <w:szCs w:val="24"/>
        </w:rPr>
        <w:t xml:space="preserve"> </w:t>
      </w:r>
      <w:r w:rsidR="00BB2B00" w:rsidRPr="003A1174">
        <w:rPr>
          <w:rFonts w:ascii="Garamond" w:eastAsia="Calibri" w:hAnsi="Garamond" w:cs="Arial"/>
          <w:sz w:val="24"/>
          <w:szCs w:val="24"/>
        </w:rPr>
        <w:t>à</w:t>
      </w:r>
      <w:r w:rsidR="00173A82" w:rsidRPr="003A1174">
        <w:rPr>
          <w:rFonts w:ascii="Garamond" w:eastAsia="Calibri" w:hAnsi="Garamond" w:cs="Arial"/>
          <w:sz w:val="24"/>
          <w:szCs w:val="24"/>
        </w:rPr>
        <w:t xml:space="preserve"> </w:t>
      </w:r>
      <w:r w:rsidR="00FC1F7F" w:rsidRPr="003A1174">
        <w:rPr>
          <w:rFonts w:ascii="Garamond" w:eastAsia="Calibri" w:hAnsi="Garamond" w:cs="Arial"/>
          <w:sz w:val="24"/>
          <w:szCs w:val="24"/>
        </w:rPr>
        <w:t>Justiça</w:t>
      </w:r>
      <w:r w:rsidR="00141BA9" w:rsidRPr="003A1174">
        <w:rPr>
          <w:rFonts w:ascii="Garamond" w:eastAsia="Calibri" w:hAnsi="Garamond" w:cs="Arial"/>
          <w:sz w:val="24"/>
          <w:szCs w:val="24"/>
        </w:rPr>
        <w:t xml:space="preserve"> para </w:t>
      </w:r>
      <w:r w:rsidR="00173A82" w:rsidRPr="003A1174">
        <w:rPr>
          <w:rFonts w:ascii="Garamond" w:eastAsia="Calibri" w:hAnsi="Garamond" w:cs="Arial"/>
          <w:sz w:val="24"/>
          <w:szCs w:val="24"/>
        </w:rPr>
        <w:t xml:space="preserve">as </w:t>
      </w:r>
      <w:r w:rsidR="00054EE0" w:rsidRPr="003A1174">
        <w:rPr>
          <w:rFonts w:ascii="Garamond" w:eastAsia="Calibri" w:hAnsi="Garamond" w:cs="Arial"/>
          <w:sz w:val="24"/>
          <w:szCs w:val="24"/>
        </w:rPr>
        <w:t>mulheres</w:t>
      </w:r>
      <w:r w:rsidR="00141BA9" w:rsidRPr="003A1174">
        <w:rPr>
          <w:rFonts w:ascii="Garamond" w:eastAsia="Calibri" w:hAnsi="Garamond" w:cs="Arial"/>
          <w:sz w:val="24"/>
          <w:szCs w:val="24"/>
        </w:rPr>
        <w:t xml:space="preserve"> que </w:t>
      </w:r>
      <w:r w:rsidR="00401207" w:rsidRPr="003A1174">
        <w:rPr>
          <w:rFonts w:ascii="Garamond" w:eastAsia="Calibri" w:hAnsi="Garamond" w:cs="Arial"/>
          <w:sz w:val="24"/>
          <w:szCs w:val="24"/>
        </w:rPr>
        <w:t>a</w:t>
      </w:r>
      <w:r w:rsidR="00173A82" w:rsidRPr="003A1174">
        <w:rPr>
          <w:rFonts w:ascii="Garamond" w:eastAsia="Calibri" w:hAnsi="Garamond" w:cs="Arial"/>
          <w:sz w:val="24"/>
          <w:szCs w:val="24"/>
        </w:rPr>
        <w:t xml:space="preserve"> enfrenta</w:t>
      </w:r>
      <w:r w:rsidR="00141BA9" w:rsidRPr="003A1174">
        <w:rPr>
          <w:rFonts w:ascii="Garamond" w:eastAsia="Calibri" w:hAnsi="Garamond" w:cs="Arial"/>
          <w:sz w:val="24"/>
          <w:szCs w:val="24"/>
        </w:rPr>
        <w:t>m</w:t>
      </w:r>
      <w:r w:rsidR="00173A82" w:rsidRPr="003A1174">
        <w:rPr>
          <w:rFonts w:ascii="Garamond" w:eastAsia="Calibri" w:hAnsi="Garamond" w:cs="Arial"/>
          <w:sz w:val="24"/>
          <w:szCs w:val="24"/>
        </w:rPr>
        <w:t>.</w:t>
      </w:r>
    </w:p>
    <w:p w:rsidR="00955D60" w:rsidRPr="003A1174" w:rsidRDefault="0017447A" w:rsidP="008719D4">
      <w:pPr>
        <w:pStyle w:val="Ttulo3"/>
        <w:spacing w:line="240" w:lineRule="auto"/>
        <w:rPr>
          <w:rFonts w:ascii="Garamond" w:hAnsi="Garamond"/>
          <w:sz w:val="24"/>
          <w:szCs w:val="24"/>
        </w:rPr>
      </w:pPr>
      <w:bookmarkStart w:id="61" w:name="_Toc421529749"/>
      <w:r w:rsidRPr="003A1174">
        <w:rPr>
          <w:rFonts w:ascii="Garamond" w:hAnsi="Garamond"/>
          <w:sz w:val="24"/>
          <w:szCs w:val="24"/>
        </w:rPr>
        <w:t>Espanha</w:t>
      </w:r>
      <w:bookmarkEnd w:id="61"/>
    </w:p>
    <w:p w:rsidR="00955D60" w:rsidRPr="003A1174" w:rsidRDefault="00955D60"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955D60" w:rsidRPr="003A1174" w:rsidRDefault="0003370A" w:rsidP="008719D4">
      <w:pPr>
        <w:spacing w:before="240" w:after="0" w:line="240" w:lineRule="auto"/>
        <w:jc w:val="both"/>
        <w:rPr>
          <w:rFonts w:ascii="Garamond" w:hAnsi="Garamond" w:cs="Arial"/>
          <w:sz w:val="24"/>
          <w:szCs w:val="24"/>
        </w:rPr>
      </w:pPr>
      <w:r>
        <w:rPr>
          <w:rFonts w:ascii="Garamond" w:hAnsi="Garamond" w:cs="Arial"/>
          <w:sz w:val="24"/>
          <w:szCs w:val="24"/>
        </w:rPr>
        <w:t>Em Espanha, de acordo com a informação avançada</w:t>
      </w:r>
      <w:r w:rsidR="00955D60" w:rsidRPr="003A1174">
        <w:rPr>
          <w:rFonts w:ascii="Garamond" w:hAnsi="Garamond" w:cs="Arial"/>
          <w:sz w:val="24"/>
          <w:szCs w:val="24"/>
        </w:rPr>
        <w:t xml:space="preserve"> </w:t>
      </w:r>
      <w:r w:rsidR="00275092" w:rsidRPr="003A1174">
        <w:rPr>
          <w:rFonts w:ascii="Garamond" w:hAnsi="Garamond" w:cs="Arial"/>
          <w:sz w:val="24"/>
          <w:szCs w:val="24"/>
        </w:rPr>
        <w:t>pela</w:t>
      </w:r>
      <w:r w:rsidR="00955D60" w:rsidRPr="003A1174">
        <w:rPr>
          <w:rFonts w:ascii="Garamond" w:hAnsi="Garamond" w:cs="Arial"/>
          <w:sz w:val="24"/>
          <w:szCs w:val="24"/>
        </w:rPr>
        <w:t xml:space="preserve"> Sindicatura de Greuges</w:t>
      </w:r>
      <w:r w:rsidR="00401207" w:rsidRPr="003A1174">
        <w:rPr>
          <w:rFonts w:ascii="Garamond" w:hAnsi="Garamond" w:cs="Arial"/>
          <w:sz w:val="24"/>
          <w:szCs w:val="24"/>
        </w:rPr>
        <w:t>,</w:t>
      </w:r>
      <w:r w:rsidR="00955D60" w:rsidRPr="003A1174">
        <w:rPr>
          <w:rFonts w:ascii="Garamond" w:hAnsi="Garamond" w:cs="Arial"/>
          <w:sz w:val="24"/>
          <w:szCs w:val="24"/>
        </w:rPr>
        <w:t xml:space="preserve"> </w:t>
      </w:r>
      <w:r w:rsidR="00955D60" w:rsidRPr="003A1174">
        <w:rPr>
          <w:rFonts w:ascii="Garamond" w:hAnsi="Garamond" w:cs="Arial"/>
          <w:bCs/>
          <w:sz w:val="24"/>
          <w:szCs w:val="24"/>
        </w:rPr>
        <w:t>e</w:t>
      </w:r>
      <w:r w:rsidR="00BA21ED" w:rsidRPr="003A1174">
        <w:rPr>
          <w:rFonts w:ascii="Garamond" w:hAnsi="Garamond" w:cs="Arial"/>
          <w:bCs/>
          <w:sz w:val="24"/>
          <w:szCs w:val="24"/>
        </w:rPr>
        <w:t>m</w:t>
      </w:r>
      <w:r w:rsidR="00955D60" w:rsidRPr="003A1174">
        <w:rPr>
          <w:rFonts w:ascii="Garamond" w:hAnsi="Garamond" w:cs="Arial"/>
          <w:bCs/>
          <w:sz w:val="24"/>
          <w:szCs w:val="24"/>
        </w:rPr>
        <w:t xml:space="preserve"> 2012</w:t>
      </w:r>
      <w:r w:rsidR="00BA21ED" w:rsidRPr="003A1174">
        <w:rPr>
          <w:rFonts w:ascii="Garamond" w:hAnsi="Garamond" w:cs="Arial"/>
          <w:bCs/>
          <w:sz w:val="24"/>
          <w:szCs w:val="24"/>
        </w:rPr>
        <w:t>,</w:t>
      </w:r>
      <w:r w:rsidR="00955D60" w:rsidRPr="003A1174">
        <w:rPr>
          <w:rFonts w:ascii="Garamond" w:hAnsi="Garamond" w:cs="Arial"/>
          <w:bCs/>
          <w:sz w:val="24"/>
          <w:szCs w:val="24"/>
        </w:rPr>
        <w:t xml:space="preserve"> conced</w:t>
      </w:r>
      <w:r w:rsidR="00BA21ED" w:rsidRPr="003A1174">
        <w:rPr>
          <w:rFonts w:ascii="Garamond" w:hAnsi="Garamond" w:cs="Arial"/>
          <w:bCs/>
          <w:sz w:val="24"/>
          <w:szCs w:val="24"/>
        </w:rPr>
        <w:t>eu</w:t>
      </w:r>
      <w:r>
        <w:rPr>
          <w:rFonts w:ascii="Garamond" w:hAnsi="Garamond" w:cs="Arial"/>
          <w:bCs/>
          <w:sz w:val="24"/>
          <w:szCs w:val="24"/>
        </w:rPr>
        <w:t>-se</w:t>
      </w:r>
      <w:r w:rsidR="00BA21ED" w:rsidRPr="003A1174">
        <w:rPr>
          <w:rFonts w:ascii="Garamond" w:hAnsi="Garamond" w:cs="Arial"/>
          <w:bCs/>
          <w:sz w:val="24"/>
          <w:szCs w:val="24"/>
        </w:rPr>
        <w:t xml:space="preserve"> </w:t>
      </w:r>
      <w:r w:rsidR="00955D60" w:rsidRPr="003A1174">
        <w:rPr>
          <w:rFonts w:ascii="Garamond" w:hAnsi="Garamond" w:cs="Arial"/>
          <w:bCs/>
          <w:sz w:val="24"/>
          <w:szCs w:val="24"/>
        </w:rPr>
        <w:t xml:space="preserve">45% </w:t>
      </w:r>
      <w:r w:rsidR="00497503" w:rsidRPr="003A1174">
        <w:rPr>
          <w:rFonts w:ascii="Garamond" w:hAnsi="Garamond" w:cs="Arial"/>
          <w:bCs/>
          <w:sz w:val="24"/>
          <w:szCs w:val="24"/>
        </w:rPr>
        <w:t>d</w:t>
      </w:r>
      <w:r w:rsidR="00E05C11">
        <w:rPr>
          <w:rFonts w:ascii="Garamond" w:hAnsi="Garamond" w:cs="Arial"/>
          <w:bCs/>
          <w:sz w:val="24"/>
          <w:szCs w:val="24"/>
        </w:rPr>
        <w:t>o</w:t>
      </w:r>
      <w:r w:rsidR="00497503" w:rsidRPr="003A1174">
        <w:rPr>
          <w:rFonts w:ascii="Garamond" w:hAnsi="Garamond" w:cs="Arial"/>
          <w:bCs/>
          <w:sz w:val="24"/>
          <w:szCs w:val="24"/>
        </w:rPr>
        <w:t>s</w:t>
      </w:r>
      <w:r w:rsidR="00955D60" w:rsidRPr="003A1174">
        <w:rPr>
          <w:rFonts w:ascii="Garamond" w:hAnsi="Garamond" w:cs="Arial"/>
          <w:bCs/>
          <w:sz w:val="24"/>
          <w:szCs w:val="24"/>
        </w:rPr>
        <w:t xml:space="preserve"> </w:t>
      </w:r>
      <w:r w:rsidR="00E05C11">
        <w:rPr>
          <w:rFonts w:ascii="Garamond" w:hAnsi="Garamond" w:cs="Arial"/>
          <w:bCs/>
          <w:sz w:val="24"/>
          <w:szCs w:val="24"/>
        </w:rPr>
        <w:t>pedidos</w:t>
      </w:r>
      <w:r w:rsidR="00955D60" w:rsidRPr="003A1174">
        <w:rPr>
          <w:rFonts w:ascii="Garamond" w:hAnsi="Garamond" w:cs="Arial"/>
          <w:bCs/>
          <w:sz w:val="24"/>
          <w:szCs w:val="24"/>
        </w:rPr>
        <w:t xml:space="preserve"> de </w:t>
      </w:r>
      <w:r w:rsidR="00886D6A" w:rsidRPr="003A1174">
        <w:rPr>
          <w:rFonts w:ascii="Garamond" w:hAnsi="Garamond" w:cs="Arial"/>
          <w:bCs/>
          <w:sz w:val="24"/>
          <w:szCs w:val="24"/>
        </w:rPr>
        <w:t>proteção</w:t>
      </w:r>
      <w:r>
        <w:rPr>
          <w:rFonts w:ascii="Garamond" w:hAnsi="Garamond" w:cs="Arial"/>
          <w:bCs/>
          <w:sz w:val="24"/>
          <w:szCs w:val="24"/>
        </w:rPr>
        <w:t>,</w:t>
      </w:r>
      <w:r w:rsidR="00955D60" w:rsidRPr="003A1174">
        <w:rPr>
          <w:rFonts w:ascii="Garamond" w:hAnsi="Garamond" w:cs="Arial"/>
          <w:bCs/>
          <w:sz w:val="24"/>
          <w:szCs w:val="24"/>
        </w:rPr>
        <w:t xml:space="preserve"> solicitad</w:t>
      </w:r>
      <w:r w:rsidR="00E05C11">
        <w:rPr>
          <w:rFonts w:ascii="Garamond" w:hAnsi="Garamond" w:cs="Arial"/>
          <w:bCs/>
          <w:sz w:val="24"/>
          <w:szCs w:val="24"/>
        </w:rPr>
        <w:t>o</w:t>
      </w:r>
      <w:r w:rsidR="00955D60" w:rsidRPr="003A1174">
        <w:rPr>
          <w:rFonts w:ascii="Garamond" w:hAnsi="Garamond" w:cs="Arial"/>
          <w:bCs/>
          <w:sz w:val="24"/>
          <w:szCs w:val="24"/>
        </w:rPr>
        <w:t xml:space="preserve">s </w:t>
      </w:r>
      <w:r w:rsidR="00275092" w:rsidRPr="003A1174">
        <w:rPr>
          <w:rFonts w:ascii="Garamond" w:hAnsi="Garamond" w:cs="Arial"/>
          <w:bCs/>
          <w:sz w:val="24"/>
          <w:szCs w:val="24"/>
        </w:rPr>
        <w:t>pela</w:t>
      </w:r>
      <w:r w:rsidR="00955D60" w:rsidRPr="003A1174">
        <w:rPr>
          <w:rFonts w:ascii="Garamond" w:hAnsi="Garamond" w:cs="Arial"/>
          <w:bCs/>
          <w:sz w:val="24"/>
          <w:szCs w:val="24"/>
        </w:rPr>
        <w:t xml:space="preserve">s </w:t>
      </w:r>
      <w:r w:rsidR="00054EE0" w:rsidRPr="003A1174">
        <w:rPr>
          <w:rFonts w:ascii="Garamond" w:hAnsi="Garamond" w:cs="Arial"/>
          <w:bCs/>
          <w:sz w:val="24"/>
          <w:szCs w:val="24"/>
        </w:rPr>
        <w:t>mulheres</w:t>
      </w:r>
      <w:r w:rsidR="00955D60" w:rsidRPr="003A1174">
        <w:rPr>
          <w:rFonts w:ascii="Garamond" w:hAnsi="Garamond" w:cs="Arial"/>
          <w:bCs/>
          <w:sz w:val="24"/>
          <w:szCs w:val="24"/>
        </w:rPr>
        <w:t xml:space="preserve">, </w:t>
      </w:r>
      <w:r w:rsidR="00955D60" w:rsidRPr="003A1174">
        <w:rPr>
          <w:rFonts w:ascii="Garamond" w:hAnsi="Garamond" w:cs="Arial"/>
          <w:sz w:val="24"/>
          <w:szCs w:val="24"/>
        </w:rPr>
        <w:t>rec</w:t>
      </w:r>
      <w:r w:rsidR="00BA21ED" w:rsidRPr="003A1174">
        <w:rPr>
          <w:rFonts w:ascii="Garamond" w:hAnsi="Garamond" w:cs="Arial"/>
          <w:sz w:val="24"/>
          <w:szCs w:val="24"/>
        </w:rPr>
        <w:t>usando-</w:t>
      </w:r>
      <w:r w:rsidR="00955D60" w:rsidRPr="003A1174">
        <w:rPr>
          <w:rFonts w:ascii="Garamond" w:hAnsi="Garamond" w:cs="Arial"/>
          <w:sz w:val="24"/>
          <w:szCs w:val="24"/>
        </w:rPr>
        <w:t>se 10</w:t>
      </w:r>
      <w:r>
        <w:rPr>
          <w:rFonts w:ascii="Garamond" w:hAnsi="Garamond" w:cs="Arial"/>
          <w:sz w:val="24"/>
          <w:szCs w:val="24"/>
        </w:rPr>
        <w:t xml:space="preserve"> </w:t>
      </w:r>
      <w:r w:rsidR="00955D60" w:rsidRPr="003A1174">
        <w:rPr>
          <w:rFonts w:ascii="Garamond" w:hAnsi="Garamond" w:cs="Arial"/>
          <w:sz w:val="24"/>
          <w:szCs w:val="24"/>
        </w:rPr>
        <w:t xml:space="preserve">541 </w:t>
      </w:r>
      <w:r w:rsidR="00BA21ED" w:rsidRPr="003A1174">
        <w:rPr>
          <w:rFonts w:ascii="Garamond" w:hAnsi="Garamond" w:cs="Arial"/>
          <w:sz w:val="24"/>
          <w:szCs w:val="24"/>
        </w:rPr>
        <w:t>do</w:t>
      </w:r>
      <w:r w:rsidR="00497503" w:rsidRPr="003A1174">
        <w:rPr>
          <w:rFonts w:ascii="Garamond" w:hAnsi="Garamond" w:cs="Arial"/>
          <w:sz w:val="24"/>
          <w:szCs w:val="24"/>
        </w:rPr>
        <w:t>s</w:t>
      </w:r>
      <w:r w:rsidR="00955D60" w:rsidRPr="003A1174">
        <w:rPr>
          <w:rFonts w:ascii="Garamond" w:hAnsi="Garamond" w:cs="Arial"/>
          <w:sz w:val="24"/>
          <w:szCs w:val="24"/>
        </w:rPr>
        <w:t xml:space="preserve"> 23</w:t>
      </w:r>
      <w:r>
        <w:rPr>
          <w:rFonts w:ascii="Garamond" w:hAnsi="Garamond" w:cs="Arial"/>
          <w:sz w:val="24"/>
          <w:szCs w:val="24"/>
        </w:rPr>
        <w:t xml:space="preserve"> </w:t>
      </w:r>
      <w:r w:rsidR="00955D60" w:rsidRPr="003A1174">
        <w:rPr>
          <w:rFonts w:ascii="Garamond" w:hAnsi="Garamond" w:cs="Arial"/>
          <w:sz w:val="24"/>
          <w:szCs w:val="24"/>
        </w:rPr>
        <w:t xml:space="preserve">461 </w:t>
      </w:r>
      <w:r w:rsidR="00BA21ED" w:rsidRPr="003A1174">
        <w:rPr>
          <w:rFonts w:ascii="Garamond" w:hAnsi="Garamond" w:cs="Arial"/>
          <w:sz w:val="24"/>
          <w:szCs w:val="24"/>
        </w:rPr>
        <w:t>pedidos</w:t>
      </w:r>
      <w:r w:rsidR="00955D60" w:rsidRPr="003A1174">
        <w:rPr>
          <w:rFonts w:ascii="Garamond" w:hAnsi="Garamond" w:cs="Arial"/>
          <w:sz w:val="24"/>
          <w:szCs w:val="24"/>
        </w:rPr>
        <w:t>.</w:t>
      </w:r>
    </w:p>
    <w:p w:rsidR="00955D60" w:rsidRPr="003A1174" w:rsidRDefault="00BA21ED"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No </w:t>
      </w:r>
      <w:r w:rsidR="00955D60" w:rsidRPr="003A1174">
        <w:rPr>
          <w:rFonts w:ascii="Garamond" w:hAnsi="Garamond" w:cs="Arial"/>
          <w:sz w:val="24"/>
          <w:szCs w:val="24"/>
        </w:rPr>
        <w:t xml:space="preserve">caso </w:t>
      </w:r>
      <w:r w:rsidR="00497503" w:rsidRPr="003A1174">
        <w:rPr>
          <w:rFonts w:ascii="Garamond" w:hAnsi="Garamond" w:cs="Arial"/>
          <w:sz w:val="24"/>
          <w:szCs w:val="24"/>
        </w:rPr>
        <w:t>das</w:t>
      </w:r>
      <w:r w:rsidR="00401207" w:rsidRPr="003A1174">
        <w:rPr>
          <w:rFonts w:ascii="Garamond" w:hAnsi="Garamond" w:cs="Arial"/>
          <w:sz w:val="24"/>
          <w:szCs w:val="24"/>
        </w:rPr>
        <w:t xml:space="preserve"> </w:t>
      </w:r>
      <w:r w:rsidR="00955D60" w:rsidRPr="003A1174">
        <w:rPr>
          <w:rFonts w:ascii="Garamond" w:hAnsi="Garamond" w:cs="Arial"/>
          <w:bCs/>
          <w:sz w:val="24"/>
          <w:szCs w:val="24"/>
        </w:rPr>
        <w:t>medidas cautelares</w:t>
      </w:r>
      <w:r w:rsidR="00401207" w:rsidRPr="003A1174">
        <w:rPr>
          <w:rFonts w:ascii="Garamond" w:hAnsi="Garamond" w:cs="Arial"/>
          <w:bCs/>
          <w:sz w:val="24"/>
          <w:szCs w:val="24"/>
        </w:rPr>
        <w:t>,</w:t>
      </w:r>
      <w:r w:rsidR="00955D60" w:rsidRPr="003A1174">
        <w:rPr>
          <w:rFonts w:ascii="Garamond" w:hAnsi="Garamond" w:cs="Arial"/>
          <w:bCs/>
          <w:sz w:val="24"/>
          <w:szCs w:val="24"/>
        </w:rPr>
        <w:t xml:space="preserve"> </w:t>
      </w:r>
      <w:r w:rsidRPr="003A1174">
        <w:rPr>
          <w:rFonts w:ascii="Garamond" w:hAnsi="Garamond" w:cs="Arial"/>
          <w:bCs/>
          <w:sz w:val="24"/>
          <w:szCs w:val="24"/>
        </w:rPr>
        <w:t xml:space="preserve">apenas </w:t>
      </w:r>
      <w:r w:rsidR="00955D60" w:rsidRPr="003A1174">
        <w:rPr>
          <w:rFonts w:ascii="Garamond" w:hAnsi="Garamond" w:cs="Arial"/>
          <w:bCs/>
          <w:sz w:val="24"/>
          <w:szCs w:val="24"/>
        </w:rPr>
        <w:t xml:space="preserve">se </w:t>
      </w:r>
      <w:r w:rsidR="00E05C11">
        <w:rPr>
          <w:rFonts w:ascii="Garamond" w:hAnsi="Garamond" w:cs="Arial"/>
          <w:bCs/>
          <w:sz w:val="24"/>
          <w:szCs w:val="24"/>
        </w:rPr>
        <w:t xml:space="preserve">aceitaram </w:t>
      </w:r>
      <w:r w:rsidR="00955D60" w:rsidRPr="003A1174">
        <w:rPr>
          <w:rFonts w:ascii="Garamond" w:hAnsi="Garamond" w:cs="Arial"/>
          <w:bCs/>
          <w:sz w:val="24"/>
          <w:szCs w:val="24"/>
        </w:rPr>
        <w:t xml:space="preserve">16% </w:t>
      </w:r>
      <w:r w:rsidR="00497503" w:rsidRPr="003A1174">
        <w:rPr>
          <w:rFonts w:ascii="Garamond" w:hAnsi="Garamond" w:cs="Arial"/>
          <w:sz w:val="24"/>
          <w:szCs w:val="24"/>
        </w:rPr>
        <w:t>dos</w:t>
      </w:r>
      <w:r w:rsidRPr="003A1174">
        <w:rPr>
          <w:rFonts w:ascii="Garamond" w:hAnsi="Garamond" w:cs="Arial"/>
          <w:sz w:val="24"/>
          <w:szCs w:val="24"/>
        </w:rPr>
        <w:t xml:space="preserve"> casos, </w:t>
      </w:r>
      <w:r w:rsidR="00955D60" w:rsidRPr="003A1174">
        <w:rPr>
          <w:rFonts w:ascii="Garamond" w:hAnsi="Garamond" w:cs="Arial"/>
          <w:sz w:val="24"/>
          <w:szCs w:val="24"/>
        </w:rPr>
        <w:t>o que</w:t>
      </w:r>
      <w:r w:rsidR="00E05C11">
        <w:rPr>
          <w:rFonts w:ascii="Garamond" w:hAnsi="Garamond" w:cs="Arial"/>
          <w:sz w:val="24"/>
          <w:szCs w:val="24"/>
        </w:rPr>
        <w:t>,</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731B19" w:rsidRPr="003A1174">
        <w:rPr>
          <w:rFonts w:ascii="Garamond" w:hAnsi="Garamond" w:cs="Arial"/>
          <w:sz w:val="24"/>
          <w:szCs w:val="24"/>
        </w:rPr>
        <w:t>termos</w:t>
      </w:r>
      <w:r w:rsidR="00955D60" w:rsidRPr="003A1174">
        <w:rPr>
          <w:rFonts w:ascii="Garamond" w:hAnsi="Garamond" w:cs="Arial"/>
          <w:sz w:val="24"/>
          <w:szCs w:val="24"/>
        </w:rPr>
        <w:t xml:space="preserve"> absolutos</w:t>
      </w:r>
      <w:r w:rsidR="00E05C11">
        <w:rPr>
          <w:rFonts w:ascii="Garamond" w:hAnsi="Garamond" w:cs="Arial"/>
          <w:sz w:val="24"/>
          <w:szCs w:val="24"/>
        </w:rPr>
        <w:t>,</w:t>
      </w:r>
      <w:r w:rsidR="00955D60" w:rsidRPr="003A1174">
        <w:rPr>
          <w:rFonts w:ascii="Garamond" w:hAnsi="Garamond" w:cs="Arial"/>
          <w:sz w:val="24"/>
          <w:szCs w:val="24"/>
        </w:rPr>
        <w:t xml:space="preserve"> </w:t>
      </w:r>
      <w:r w:rsidR="00EE7406" w:rsidRPr="003A1174">
        <w:rPr>
          <w:rFonts w:ascii="Garamond" w:hAnsi="Garamond" w:cs="Arial"/>
          <w:sz w:val="24"/>
          <w:szCs w:val="24"/>
        </w:rPr>
        <w:t>supõe</w:t>
      </w:r>
      <w:r w:rsidR="00955D60" w:rsidRPr="003A1174">
        <w:rPr>
          <w:rFonts w:ascii="Garamond" w:hAnsi="Garamond" w:cs="Arial"/>
          <w:sz w:val="24"/>
          <w:szCs w:val="24"/>
        </w:rPr>
        <w:t xml:space="preserve"> que </w:t>
      </w:r>
      <w:r w:rsidR="00497503" w:rsidRPr="003A1174">
        <w:rPr>
          <w:rFonts w:ascii="Garamond" w:hAnsi="Garamond" w:cs="Arial"/>
          <w:sz w:val="24"/>
          <w:szCs w:val="24"/>
        </w:rPr>
        <w:t>das</w:t>
      </w:r>
      <w:r w:rsidR="00955D60" w:rsidRPr="003A1174">
        <w:rPr>
          <w:rFonts w:ascii="Garamond" w:hAnsi="Garamond" w:cs="Arial"/>
          <w:sz w:val="24"/>
          <w:szCs w:val="24"/>
        </w:rPr>
        <w:t xml:space="preserve"> 142</w:t>
      </w:r>
      <w:r w:rsidR="00E05C11">
        <w:rPr>
          <w:rFonts w:ascii="Garamond" w:hAnsi="Garamond" w:cs="Arial"/>
          <w:sz w:val="24"/>
          <w:szCs w:val="24"/>
        </w:rPr>
        <w:t xml:space="preserve"> </w:t>
      </w:r>
      <w:r w:rsidR="00955D60" w:rsidRPr="003A1174">
        <w:rPr>
          <w:rFonts w:ascii="Garamond" w:hAnsi="Garamond" w:cs="Arial"/>
          <w:sz w:val="24"/>
          <w:szCs w:val="24"/>
        </w:rPr>
        <w:t xml:space="preserve">309 </w:t>
      </w:r>
      <w:r w:rsidRPr="003A1174">
        <w:rPr>
          <w:rFonts w:ascii="Garamond" w:hAnsi="Garamond" w:cs="Arial"/>
          <w:sz w:val="24"/>
          <w:szCs w:val="24"/>
        </w:rPr>
        <w:t>iniciada</w:t>
      </w:r>
      <w:r w:rsidR="00955D60" w:rsidRPr="003A1174">
        <w:rPr>
          <w:rFonts w:ascii="Garamond" w:hAnsi="Garamond" w:cs="Arial"/>
          <w:sz w:val="24"/>
          <w:szCs w:val="24"/>
        </w:rPr>
        <w:t xml:space="preserve">s, se </w:t>
      </w:r>
      <w:r w:rsidR="00E05C11">
        <w:rPr>
          <w:rFonts w:ascii="Garamond" w:hAnsi="Garamond" w:cs="Arial"/>
          <w:sz w:val="24"/>
          <w:szCs w:val="24"/>
        </w:rPr>
        <w:t xml:space="preserve">aplicaram </w:t>
      </w:r>
      <w:r w:rsidR="00955D60" w:rsidRPr="003A1174">
        <w:rPr>
          <w:rFonts w:ascii="Garamond" w:hAnsi="Garamond" w:cs="Arial"/>
          <w:sz w:val="24"/>
          <w:szCs w:val="24"/>
        </w:rPr>
        <w:t>es</w:t>
      </w:r>
      <w:r w:rsidRPr="003A1174">
        <w:rPr>
          <w:rFonts w:ascii="Garamond" w:hAnsi="Garamond" w:cs="Arial"/>
          <w:sz w:val="24"/>
          <w:szCs w:val="24"/>
        </w:rPr>
        <w:t>s</w:t>
      </w:r>
      <w:r w:rsidR="00955D60" w:rsidRPr="003A1174">
        <w:rPr>
          <w:rFonts w:ascii="Garamond" w:hAnsi="Garamond" w:cs="Arial"/>
          <w:sz w:val="24"/>
          <w:szCs w:val="24"/>
        </w:rPr>
        <w:t>as medidas</w:t>
      </w:r>
      <w:r w:rsidR="00E05C11">
        <w:rPr>
          <w:rFonts w:ascii="Garamond" w:hAnsi="Garamond" w:cs="Arial"/>
          <w:sz w:val="24"/>
          <w:szCs w:val="24"/>
        </w:rPr>
        <w:t>, apenas,</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22</w:t>
      </w:r>
      <w:r w:rsidR="00E05C11">
        <w:rPr>
          <w:rFonts w:ascii="Garamond" w:hAnsi="Garamond" w:cs="Arial"/>
          <w:sz w:val="24"/>
          <w:szCs w:val="24"/>
        </w:rPr>
        <w:t xml:space="preserve"> </w:t>
      </w:r>
      <w:r w:rsidR="00955D60" w:rsidRPr="003A1174">
        <w:rPr>
          <w:rFonts w:ascii="Garamond" w:hAnsi="Garamond" w:cs="Arial"/>
          <w:sz w:val="24"/>
          <w:szCs w:val="24"/>
        </w:rPr>
        <w:t xml:space="preserve">982 </w:t>
      </w:r>
      <w:r w:rsidR="00401207" w:rsidRPr="003A1174">
        <w:rPr>
          <w:rFonts w:ascii="Garamond" w:hAnsi="Garamond" w:cs="Arial"/>
          <w:sz w:val="24"/>
          <w:szCs w:val="24"/>
        </w:rPr>
        <w:t>casos</w:t>
      </w:r>
      <w:r w:rsidR="00E05C11">
        <w:rPr>
          <w:rFonts w:ascii="Garamond" w:hAnsi="Garamond" w:cs="Arial"/>
          <w:sz w:val="24"/>
          <w:szCs w:val="24"/>
        </w:rPr>
        <w:t>.</w:t>
      </w:r>
      <w:r w:rsidRPr="003A1174">
        <w:rPr>
          <w:rFonts w:ascii="Garamond" w:hAnsi="Garamond" w:cs="Arial"/>
          <w:sz w:val="24"/>
          <w:szCs w:val="24"/>
        </w:rPr>
        <w:t xml:space="preserve"> </w:t>
      </w:r>
      <w:r w:rsidR="00E05C11">
        <w:rPr>
          <w:rFonts w:ascii="Garamond" w:hAnsi="Garamond" w:cs="Arial"/>
          <w:sz w:val="24"/>
          <w:szCs w:val="24"/>
        </w:rPr>
        <w:t>S</w:t>
      </w:r>
      <w:r w:rsidR="00E539A2" w:rsidRPr="003A1174">
        <w:rPr>
          <w:rFonts w:ascii="Garamond" w:hAnsi="Garamond" w:cs="Arial"/>
          <w:sz w:val="24"/>
          <w:szCs w:val="24"/>
        </w:rPr>
        <w:t>endo</w:t>
      </w:r>
      <w:r w:rsidRPr="003A1174">
        <w:rPr>
          <w:rFonts w:ascii="Garamond" w:hAnsi="Garamond" w:cs="Arial"/>
          <w:sz w:val="24"/>
          <w:szCs w:val="24"/>
        </w:rPr>
        <w:t>,</w:t>
      </w:r>
      <w:r w:rsidR="00955D60" w:rsidRPr="003A1174">
        <w:rPr>
          <w:rFonts w:ascii="Garamond" w:hAnsi="Garamond" w:cs="Arial"/>
          <w:sz w:val="24"/>
          <w:szCs w:val="24"/>
        </w:rPr>
        <w:t xml:space="preserve"> </w:t>
      </w:r>
      <w:r w:rsidR="00E05C11">
        <w:rPr>
          <w:rFonts w:ascii="Garamond" w:hAnsi="Garamond" w:cs="Arial"/>
          <w:sz w:val="24"/>
          <w:szCs w:val="24"/>
        </w:rPr>
        <w:t>estas medidas cautelares</w:t>
      </w:r>
      <w:r w:rsidRPr="003A1174">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o</w:t>
      </w:r>
      <w:r w:rsidR="00955D60" w:rsidRPr="003A1174">
        <w:rPr>
          <w:rFonts w:ascii="Garamond" w:hAnsi="Garamond" w:cs="Arial"/>
          <w:sz w:val="24"/>
          <w:szCs w:val="24"/>
        </w:rPr>
        <w:t xml:space="preserve"> </w:t>
      </w:r>
      <w:r w:rsidR="00863197" w:rsidRPr="003A1174">
        <w:rPr>
          <w:rFonts w:ascii="Garamond" w:hAnsi="Garamond" w:cs="Arial"/>
          <w:sz w:val="24"/>
          <w:szCs w:val="24"/>
        </w:rPr>
        <w:t>maior</w:t>
      </w:r>
      <w:r w:rsidR="00955D60" w:rsidRPr="003A1174">
        <w:rPr>
          <w:rFonts w:ascii="Garamond" w:hAnsi="Garamond" w:cs="Arial"/>
          <w:sz w:val="24"/>
          <w:szCs w:val="24"/>
        </w:rPr>
        <w:t xml:space="preserve"> instrumento para </w:t>
      </w:r>
      <w:r w:rsidRPr="003A1174">
        <w:rPr>
          <w:rFonts w:ascii="Garamond" w:hAnsi="Garamond" w:cs="Arial"/>
          <w:sz w:val="24"/>
          <w:szCs w:val="24"/>
        </w:rPr>
        <w:t xml:space="preserve">travar </w:t>
      </w:r>
      <w:r w:rsidR="00955D60" w:rsidRPr="003A1174">
        <w:rPr>
          <w:rFonts w:ascii="Garamond" w:hAnsi="Garamond" w:cs="Arial"/>
          <w:sz w:val="24"/>
          <w:szCs w:val="24"/>
        </w:rPr>
        <w:t>es</w:t>
      </w:r>
      <w:r w:rsidRPr="003A1174">
        <w:rPr>
          <w:rFonts w:ascii="Garamond" w:hAnsi="Garamond" w:cs="Arial"/>
          <w:sz w:val="24"/>
          <w:szCs w:val="24"/>
        </w:rPr>
        <w:t>s</w:t>
      </w:r>
      <w:r w:rsidR="00955D60" w:rsidRPr="003A1174">
        <w:rPr>
          <w:rFonts w:ascii="Garamond" w:hAnsi="Garamond" w:cs="Arial"/>
          <w:sz w:val="24"/>
          <w:szCs w:val="24"/>
        </w:rPr>
        <w:t xml:space="preserve">a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Pr="003A1174">
        <w:rPr>
          <w:rFonts w:ascii="Garamond" w:hAnsi="Garamond" w:cs="Arial"/>
          <w:sz w:val="24"/>
          <w:szCs w:val="24"/>
        </w:rPr>
        <w:t xml:space="preserve">já </w:t>
      </w:r>
      <w:r w:rsidR="00955D60" w:rsidRPr="003A1174">
        <w:rPr>
          <w:rFonts w:ascii="Garamond" w:hAnsi="Garamond" w:cs="Arial"/>
          <w:sz w:val="24"/>
          <w:szCs w:val="24"/>
        </w:rPr>
        <w:t xml:space="preserve">instalada </w:t>
      </w:r>
      <w:r w:rsidR="000672E8" w:rsidRPr="003A1174">
        <w:rPr>
          <w:rFonts w:ascii="Garamond" w:hAnsi="Garamond" w:cs="Arial"/>
          <w:sz w:val="24"/>
          <w:szCs w:val="24"/>
        </w:rPr>
        <w:t>e</w:t>
      </w:r>
      <w:r w:rsidRPr="003A1174">
        <w:rPr>
          <w:rFonts w:ascii="Garamond" w:hAnsi="Garamond" w:cs="Arial"/>
          <w:sz w:val="24"/>
          <w:szCs w:val="24"/>
        </w:rPr>
        <w:t xml:space="preserve"> </w:t>
      </w:r>
      <w:r w:rsidR="00E05C11">
        <w:rPr>
          <w:rFonts w:ascii="Garamond" w:hAnsi="Garamond" w:cs="Arial"/>
          <w:sz w:val="24"/>
          <w:szCs w:val="24"/>
        </w:rPr>
        <w:t>em que «</w:t>
      </w:r>
      <w:r w:rsidR="00401207" w:rsidRPr="003A1174">
        <w:rPr>
          <w:rFonts w:ascii="Garamond" w:hAnsi="Garamond" w:cs="Arial"/>
          <w:sz w:val="24"/>
          <w:szCs w:val="24"/>
        </w:rPr>
        <w:t>…</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se </w:t>
      </w:r>
      <w:r w:rsidRPr="003A1174">
        <w:rPr>
          <w:rFonts w:ascii="Garamond" w:hAnsi="Garamond" w:cs="Arial"/>
          <w:sz w:val="24"/>
          <w:szCs w:val="24"/>
        </w:rPr>
        <w:t>sentem</w:t>
      </w:r>
      <w:r w:rsidR="00955D60" w:rsidRPr="003A1174">
        <w:rPr>
          <w:rFonts w:ascii="Garamond" w:hAnsi="Garamond" w:cs="Arial"/>
          <w:sz w:val="24"/>
          <w:szCs w:val="24"/>
        </w:rPr>
        <w:t xml:space="preserve"> </w:t>
      </w:r>
      <w:r w:rsidRPr="003A1174">
        <w:rPr>
          <w:rFonts w:ascii="Garamond" w:hAnsi="Garamond" w:cs="Arial"/>
          <w:sz w:val="24"/>
          <w:szCs w:val="24"/>
        </w:rPr>
        <w:t>mais</w:t>
      </w:r>
      <w:r w:rsidR="00955D60" w:rsidRPr="003A1174">
        <w:rPr>
          <w:rFonts w:ascii="Garamond" w:hAnsi="Garamond" w:cs="Arial"/>
          <w:sz w:val="24"/>
          <w:szCs w:val="24"/>
        </w:rPr>
        <w:t xml:space="preserve"> protegidas, </w:t>
      </w:r>
      <w:r w:rsidR="0074243F" w:rsidRPr="003A1174">
        <w:rPr>
          <w:rFonts w:ascii="Garamond" w:hAnsi="Garamond" w:cs="Arial"/>
          <w:sz w:val="24"/>
          <w:szCs w:val="24"/>
        </w:rPr>
        <w:t>mas</w:t>
      </w:r>
      <w:r w:rsidR="00955D60" w:rsidRPr="003A1174">
        <w:rPr>
          <w:rFonts w:ascii="Garamond" w:hAnsi="Garamond" w:cs="Arial"/>
          <w:sz w:val="24"/>
          <w:szCs w:val="24"/>
        </w:rPr>
        <w:t xml:space="preserve"> </w:t>
      </w:r>
      <w:r w:rsidRPr="003A1174">
        <w:rPr>
          <w:rFonts w:ascii="Garamond" w:hAnsi="Garamond" w:cs="Arial"/>
          <w:sz w:val="24"/>
          <w:szCs w:val="24"/>
        </w:rPr>
        <w:t xml:space="preserve">a </w:t>
      </w:r>
      <w:r w:rsidR="00955D60" w:rsidRPr="003A1174">
        <w:rPr>
          <w:rFonts w:ascii="Garamond" w:hAnsi="Garamond" w:cs="Arial"/>
          <w:sz w:val="24"/>
          <w:szCs w:val="24"/>
        </w:rPr>
        <w:t>su</w:t>
      </w:r>
      <w:r w:rsidRPr="003A1174">
        <w:rPr>
          <w:rFonts w:ascii="Garamond" w:hAnsi="Garamond" w:cs="Arial"/>
          <w:sz w:val="24"/>
          <w:szCs w:val="24"/>
        </w:rPr>
        <w:t>a</w:t>
      </w:r>
      <w:r w:rsidR="00955D60" w:rsidRPr="003A1174">
        <w:rPr>
          <w:rFonts w:ascii="Garamond" w:hAnsi="Garamond" w:cs="Arial"/>
          <w:sz w:val="24"/>
          <w:szCs w:val="24"/>
        </w:rPr>
        <w:t xml:space="preserve"> </w:t>
      </w:r>
      <w:r w:rsidRPr="003A1174">
        <w:rPr>
          <w:rFonts w:ascii="Garamond" w:hAnsi="Garamond" w:cs="Arial"/>
          <w:sz w:val="24"/>
          <w:szCs w:val="24"/>
        </w:rPr>
        <w:t>implantação</w:t>
      </w:r>
      <w:r w:rsidR="00955D60" w:rsidRPr="003A1174">
        <w:rPr>
          <w:rFonts w:ascii="Garamond" w:hAnsi="Garamond" w:cs="Arial"/>
          <w:sz w:val="24"/>
          <w:szCs w:val="24"/>
        </w:rPr>
        <w:t xml:space="preserve"> (</w:t>
      </w:r>
      <w:r w:rsidR="00497503" w:rsidRPr="003A1174">
        <w:rPr>
          <w:rFonts w:ascii="Garamond" w:hAnsi="Garamond" w:cs="Arial"/>
          <w:sz w:val="24"/>
          <w:szCs w:val="24"/>
        </w:rPr>
        <w:t>das</w:t>
      </w:r>
      <w:r w:rsidR="00955D60" w:rsidRPr="003A1174">
        <w:rPr>
          <w:rFonts w:ascii="Garamond" w:hAnsi="Garamond" w:cs="Arial"/>
          <w:sz w:val="24"/>
          <w:szCs w:val="24"/>
        </w:rPr>
        <w:t xml:space="preserve"> medidas cautelares)</w:t>
      </w:r>
      <w:r w:rsidR="00E05C11">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fica nas mãos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253B1D" w:rsidRPr="003A1174">
        <w:rPr>
          <w:rFonts w:ascii="Garamond" w:hAnsi="Garamond" w:cs="Arial"/>
          <w:sz w:val="24"/>
          <w:szCs w:val="24"/>
        </w:rPr>
        <w:t>juiz</w:t>
      </w:r>
      <w:r w:rsidR="00955D60" w:rsidRPr="003A1174">
        <w:rPr>
          <w:rFonts w:ascii="Garamond" w:hAnsi="Garamond" w:cs="Arial"/>
          <w:sz w:val="24"/>
          <w:szCs w:val="24"/>
        </w:rPr>
        <w:t xml:space="preserve"> que, co</w:t>
      </w:r>
      <w:r w:rsidRPr="003A1174">
        <w:rPr>
          <w:rFonts w:ascii="Garamond" w:hAnsi="Garamond" w:cs="Arial"/>
          <w:sz w:val="24"/>
          <w:szCs w:val="24"/>
        </w:rPr>
        <w:t xml:space="preserve">m </w:t>
      </w:r>
      <w:r w:rsidR="00955D60" w:rsidRPr="003A1174">
        <w:rPr>
          <w:rFonts w:ascii="Garamond" w:hAnsi="Garamond" w:cs="Arial"/>
          <w:sz w:val="24"/>
          <w:szCs w:val="24"/>
        </w:rPr>
        <w:t xml:space="preserve">a </w:t>
      </w:r>
      <w:r w:rsidR="00AB6522" w:rsidRPr="003A1174">
        <w:rPr>
          <w:rFonts w:ascii="Garamond" w:hAnsi="Garamond" w:cs="Arial"/>
          <w:sz w:val="24"/>
          <w:szCs w:val="24"/>
        </w:rPr>
        <w:t>utilização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CB5DB2" w:rsidRPr="003A1174">
        <w:rPr>
          <w:rFonts w:ascii="Garamond" w:hAnsi="Garamond" w:cs="Arial"/>
          <w:sz w:val="24"/>
          <w:szCs w:val="24"/>
        </w:rPr>
        <w:t>critério</w:t>
      </w:r>
      <w:r w:rsidRPr="003A1174">
        <w:rPr>
          <w:rFonts w:ascii="Garamond" w:hAnsi="Garamond" w:cs="Arial"/>
          <w:sz w:val="24"/>
          <w:szCs w:val="24"/>
        </w:rPr>
        <w:t xml:space="preserve"> ambí</w:t>
      </w:r>
      <w:r w:rsidR="00955D60" w:rsidRPr="003A1174">
        <w:rPr>
          <w:rFonts w:ascii="Garamond" w:hAnsi="Garamond" w:cs="Arial"/>
          <w:sz w:val="24"/>
          <w:szCs w:val="24"/>
        </w:rPr>
        <w:t xml:space="preserve">guo </w:t>
      </w:r>
      <w:r w:rsidR="00497503" w:rsidRPr="003A1174">
        <w:rPr>
          <w:rFonts w:ascii="Garamond" w:hAnsi="Garamond" w:cs="Arial"/>
          <w:sz w:val="24"/>
          <w:szCs w:val="24"/>
        </w:rPr>
        <w:t>dos</w:t>
      </w:r>
      <w:r w:rsidR="00955D60" w:rsidRPr="003A1174">
        <w:rPr>
          <w:rFonts w:ascii="Garamond" w:hAnsi="Garamond" w:cs="Arial"/>
          <w:sz w:val="24"/>
          <w:szCs w:val="24"/>
        </w:rPr>
        <w:t xml:space="preserve"> requisitos previstos </w:t>
      </w:r>
      <w:r w:rsidRPr="003A1174">
        <w:rPr>
          <w:rFonts w:ascii="Garamond" w:hAnsi="Garamond" w:cs="Arial"/>
          <w:sz w:val="24"/>
          <w:szCs w:val="24"/>
        </w:rPr>
        <w:t>n</w:t>
      </w:r>
      <w:r w:rsidR="00955D60" w:rsidRPr="003A1174">
        <w:rPr>
          <w:rFonts w:ascii="Garamond" w:hAnsi="Garamond" w:cs="Arial"/>
          <w:sz w:val="24"/>
          <w:szCs w:val="24"/>
        </w:rPr>
        <w:t xml:space="preserve">a </w:t>
      </w:r>
      <w:r w:rsidR="00D15AFF" w:rsidRPr="003A1174">
        <w:rPr>
          <w:rFonts w:ascii="Garamond" w:hAnsi="Garamond" w:cs="Arial"/>
          <w:sz w:val="24"/>
          <w:szCs w:val="24"/>
        </w:rPr>
        <w:t>lei</w:t>
      </w:r>
      <w:r w:rsidR="00955D60" w:rsidRPr="003A1174">
        <w:rPr>
          <w:rFonts w:ascii="Garamond" w:hAnsi="Garamond" w:cs="Arial"/>
          <w:sz w:val="24"/>
          <w:szCs w:val="24"/>
        </w:rPr>
        <w:t>,</w:t>
      </w:r>
      <w:r w:rsidRPr="003A1174">
        <w:rPr>
          <w:rFonts w:ascii="Garamond" w:hAnsi="Garamond" w:cs="Arial"/>
          <w:sz w:val="24"/>
          <w:szCs w:val="24"/>
        </w:rPr>
        <w:t xml:space="preserve"> a</w:t>
      </w:r>
      <w:r w:rsidR="00955D60" w:rsidRPr="003A1174">
        <w:rPr>
          <w:rFonts w:ascii="Garamond" w:hAnsi="Garamond" w:cs="Arial"/>
          <w:sz w:val="24"/>
          <w:szCs w:val="24"/>
        </w:rPr>
        <w:t xml:space="preserve"> </w:t>
      </w:r>
      <w:r w:rsidR="007407BD" w:rsidRPr="003A1174">
        <w:rPr>
          <w:rFonts w:ascii="Garamond" w:hAnsi="Garamond" w:cs="Arial"/>
          <w:sz w:val="24"/>
          <w:szCs w:val="24"/>
        </w:rPr>
        <w:t>podem</w:t>
      </w:r>
      <w:r w:rsidR="00955D60" w:rsidRPr="003A1174">
        <w:rPr>
          <w:rFonts w:ascii="Garamond" w:hAnsi="Garamond" w:cs="Arial"/>
          <w:sz w:val="24"/>
          <w:szCs w:val="24"/>
        </w:rPr>
        <w:t xml:space="preserve"> denegar</w:t>
      </w:r>
      <w:r w:rsidR="00E05C11">
        <w:rPr>
          <w:rFonts w:ascii="Garamond" w:hAnsi="Garamond" w:cs="Arial"/>
          <w:sz w:val="24"/>
          <w:szCs w:val="24"/>
        </w:rPr>
        <w:t>»</w:t>
      </w:r>
      <w:r w:rsidR="00955D60" w:rsidRPr="003A1174">
        <w:rPr>
          <w:rFonts w:ascii="Garamond" w:hAnsi="Garamond" w:cs="Arial"/>
          <w:sz w:val="24"/>
          <w:szCs w:val="24"/>
        </w:rPr>
        <w:t>.</w:t>
      </w:r>
    </w:p>
    <w:p w:rsidR="00CE3C9D" w:rsidRPr="003A1174" w:rsidRDefault="00684945" w:rsidP="008719D4">
      <w:pPr>
        <w:pStyle w:val="Ttulo3"/>
        <w:spacing w:line="240" w:lineRule="auto"/>
        <w:rPr>
          <w:rFonts w:ascii="Garamond" w:hAnsi="Garamond"/>
          <w:sz w:val="24"/>
          <w:szCs w:val="24"/>
        </w:rPr>
      </w:pPr>
      <w:bookmarkStart w:id="62" w:name="_Toc421529750"/>
      <w:r w:rsidRPr="003A1174">
        <w:rPr>
          <w:rFonts w:ascii="Garamond" w:hAnsi="Garamond"/>
          <w:sz w:val="24"/>
          <w:szCs w:val="24"/>
        </w:rPr>
        <w:lastRenderedPageBreak/>
        <w:t>Honduras</w:t>
      </w:r>
      <w:bookmarkEnd w:id="62"/>
    </w:p>
    <w:p w:rsidR="00CE3C9D" w:rsidRPr="003A1174" w:rsidRDefault="00684945" w:rsidP="008719D4">
      <w:pPr>
        <w:pStyle w:val="Ttulo4"/>
        <w:spacing w:line="240" w:lineRule="auto"/>
        <w:rPr>
          <w:rFonts w:ascii="Garamond" w:eastAsiaTheme="minorHAnsi" w:hAnsi="Garamond"/>
          <w:sz w:val="24"/>
          <w:szCs w:val="24"/>
        </w:rPr>
      </w:pPr>
      <w:r w:rsidRPr="003A1174">
        <w:rPr>
          <w:rFonts w:ascii="Garamond" w:eastAsiaTheme="minorHAnsi" w:hAnsi="Garamond"/>
          <w:sz w:val="24"/>
          <w:szCs w:val="24"/>
        </w:rPr>
        <w:t xml:space="preserve">Medidas de </w:t>
      </w:r>
      <w:r w:rsidR="00886D6A" w:rsidRPr="003A1174">
        <w:rPr>
          <w:rFonts w:ascii="Garamond" w:eastAsiaTheme="minorHAnsi" w:hAnsi="Garamond"/>
          <w:sz w:val="24"/>
          <w:szCs w:val="24"/>
        </w:rPr>
        <w:t>proteção</w:t>
      </w:r>
    </w:p>
    <w:p w:rsidR="00CE3C9D" w:rsidRPr="003A1174" w:rsidRDefault="006A4D21" w:rsidP="008719D4">
      <w:pPr>
        <w:spacing w:before="240" w:line="240" w:lineRule="auto"/>
        <w:jc w:val="both"/>
        <w:rPr>
          <w:rFonts w:ascii="Garamond" w:eastAsiaTheme="minorHAnsi" w:hAnsi="Garamond" w:cs="Arial"/>
          <w:sz w:val="24"/>
          <w:szCs w:val="24"/>
        </w:rPr>
      </w:pPr>
      <w:r>
        <w:rPr>
          <w:rFonts w:ascii="Garamond" w:eastAsiaTheme="minorHAnsi" w:hAnsi="Garamond" w:cs="Arial"/>
          <w:sz w:val="24"/>
          <w:szCs w:val="24"/>
        </w:rPr>
        <w:t>Nas Honduras, a</w:t>
      </w:r>
      <w:r w:rsidR="003F012B" w:rsidRPr="003A1174">
        <w:rPr>
          <w:rFonts w:ascii="Garamond" w:eastAsiaTheme="minorHAnsi" w:hAnsi="Garamond" w:cs="Arial"/>
          <w:sz w:val="24"/>
          <w:szCs w:val="24"/>
        </w:rPr>
        <w:t xml:space="preserve"> </w:t>
      </w:r>
      <w:r w:rsidR="00D15AFF" w:rsidRPr="003A1174">
        <w:rPr>
          <w:rFonts w:ascii="Garamond" w:eastAsiaTheme="minorHAnsi" w:hAnsi="Garamond" w:cs="Arial"/>
          <w:sz w:val="24"/>
          <w:szCs w:val="24"/>
        </w:rPr>
        <w:t>Lei</w:t>
      </w:r>
      <w:r w:rsidR="003F012B" w:rsidRPr="003A1174">
        <w:rPr>
          <w:rFonts w:ascii="Garamond" w:eastAsiaTheme="minorHAnsi" w:hAnsi="Garamond" w:cs="Arial"/>
          <w:sz w:val="24"/>
          <w:szCs w:val="24"/>
        </w:rPr>
        <w:t xml:space="preserve"> contra </w:t>
      </w:r>
      <w:r w:rsidR="00CE3C9D"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w:t>
      </w:r>
      <w:r>
        <w:rPr>
          <w:rFonts w:ascii="Garamond" w:eastAsiaTheme="minorHAnsi" w:hAnsi="Garamond" w:cs="Arial"/>
          <w:sz w:val="24"/>
          <w:szCs w:val="24"/>
        </w:rPr>
        <w:t xml:space="preserve">veio criar </w:t>
      </w:r>
      <w:r w:rsidR="00CE3C9D" w:rsidRPr="003A1174">
        <w:rPr>
          <w:rFonts w:ascii="Garamond" w:eastAsiaTheme="minorHAnsi" w:hAnsi="Garamond" w:cs="Arial"/>
          <w:sz w:val="24"/>
          <w:szCs w:val="24"/>
        </w:rPr>
        <w:t xml:space="preserve">mecanismos de </w:t>
      </w:r>
      <w:r w:rsidR="00886D6A" w:rsidRPr="003A1174">
        <w:rPr>
          <w:rFonts w:ascii="Garamond" w:eastAsiaTheme="minorHAnsi" w:hAnsi="Garamond" w:cs="Arial"/>
          <w:sz w:val="24"/>
          <w:szCs w:val="24"/>
        </w:rPr>
        <w:t>proteção</w:t>
      </w:r>
      <w:r w:rsidR="00BA21ED" w:rsidRPr="003A1174">
        <w:rPr>
          <w:rFonts w:ascii="Garamond" w:eastAsiaTheme="minorHAnsi" w:hAnsi="Garamond" w:cs="Arial"/>
          <w:sz w:val="24"/>
          <w:szCs w:val="24"/>
        </w:rPr>
        <w:t xml:space="preserve"> para tutelar o</w:t>
      </w:r>
      <w:r>
        <w:rPr>
          <w:rFonts w:ascii="Garamond" w:eastAsiaTheme="minorHAnsi" w:hAnsi="Garamond" w:cs="Arial"/>
          <w:sz w:val="24"/>
          <w:szCs w:val="24"/>
        </w:rPr>
        <w:t>u</w:t>
      </w:r>
      <w:r w:rsidR="00BA21ED" w:rsidRPr="003A1174">
        <w:rPr>
          <w:rFonts w:ascii="Garamond" w:eastAsiaTheme="minorHAnsi" w:hAnsi="Garamond" w:cs="Arial"/>
          <w:sz w:val="24"/>
          <w:szCs w:val="24"/>
        </w:rPr>
        <w:t xml:space="preserve"> restituir </w:t>
      </w:r>
      <w:r w:rsidR="00CE3C9D" w:rsidRPr="003A1174">
        <w:rPr>
          <w:rFonts w:ascii="Garamond" w:eastAsiaTheme="minorHAnsi" w:hAnsi="Garamond" w:cs="Arial"/>
          <w:sz w:val="24"/>
          <w:szCs w:val="24"/>
        </w:rPr>
        <w:t xml:space="preserve">os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que </w:t>
      </w:r>
      <w:r w:rsidR="00BA21ED" w:rsidRPr="003A1174">
        <w:rPr>
          <w:rFonts w:ascii="Garamond" w:eastAsiaTheme="minorHAnsi" w:hAnsi="Garamond" w:cs="Arial"/>
          <w:sz w:val="24"/>
          <w:szCs w:val="24"/>
        </w:rPr>
        <w:t>sofrem</w:t>
      </w:r>
      <w:r w:rsidR="00CE3C9D" w:rsidRPr="003A1174">
        <w:rPr>
          <w:rFonts w:ascii="Garamond" w:eastAsiaTheme="minorHAnsi" w:hAnsi="Garamond" w:cs="Arial"/>
          <w:sz w:val="24"/>
          <w:szCs w:val="24"/>
        </w:rPr>
        <w:t xml:space="preserve"> </w:t>
      </w:r>
      <w:r w:rsidR="008405FE">
        <w:rPr>
          <w:rFonts w:ascii="Garamond" w:eastAsiaTheme="minorHAnsi" w:hAnsi="Garamond" w:cs="Arial"/>
          <w:sz w:val="24"/>
          <w:szCs w:val="24"/>
        </w:rPr>
        <w:t xml:space="preserve">de </w:t>
      </w:r>
      <w:r w:rsidR="000350B1" w:rsidRPr="003A1174">
        <w:rPr>
          <w:rFonts w:ascii="Garamond" w:eastAsiaTheme="minorHAnsi" w:hAnsi="Garamond" w:cs="Arial"/>
          <w:sz w:val="24"/>
          <w:szCs w:val="24"/>
        </w:rPr>
        <w:t>violência</w:t>
      </w:r>
      <w:r w:rsidR="008405FE">
        <w:rPr>
          <w:rFonts w:ascii="Garamond" w:eastAsiaTheme="minorHAnsi" w:hAnsi="Garamond" w:cs="Arial"/>
          <w:sz w:val="24"/>
          <w:szCs w:val="24"/>
        </w:rPr>
        <w:t xml:space="preserve"> doméstica</w:t>
      </w:r>
      <w:r>
        <w:rPr>
          <w:rFonts w:ascii="Garamond" w:eastAsiaTheme="minorHAnsi" w:hAnsi="Garamond" w:cs="Arial"/>
          <w:sz w:val="24"/>
          <w:szCs w:val="24"/>
        </w:rPr>
        <w:t>. Estes mecanismos</w:t>
      </w:r>
      <w:r w:rsidR="00CE3C9D" w:rsidRPr="003A1174">
        <w:rPr>
          <w:rFonts w:ascii="Garamond" w:eastAsiaTheme="minorHAnsi" w:hAnsi="Garamond" w:cs="Arial"/>
          <w:sz w:val="24"/>
          <w:szCs w:val="24"/>
        </w:rPr>
        <w:t xml:space="preserve"> </w:t>
      </w:r>
      <w:r>
        <w:rPr>
          <w:rFonts w:ascii="Garamond" w:eastAsiaTheme="minorHAnsi" w:hAnsi="Garamond" w:cs="Arial"/>
          <w:sz w:val="24"/>
          <w:szCs w:val="24"/>
        </w:rPr>
        <w:t>preveem</w:t>
      </w:r>
      <w:r w:rsidR="00BA21ED"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 xml:space="preserve">medidas de </w:t>
      </w:r>
      <w:r w:rsidR="00D15AFF" w:rsidRPr="003A1174">
        <w:rPr>
          <w:rFonts w:ascii="Garamond" w:eastAsiaTheme="minorHAnsi" w:hAnsi="Garamond" w:cs="Arial"/>
          <w:sz w:val="24"/>
          <w:szCs w:val="24"/>
        </w:rPr>
        <w:t>segurança</w:t>
      </w:r>
      <w:r w:rsidR="00CE3C9D" w:rsidRPr="003A1174">
        <w:rPr>
          <w:rFonts w:ascii="Garamond" w:eastAsiaTheme="minorHAnsi" w:hAnsi="Garamond" w:cs="Arial"/>
          <w:sz w:val="24"/>
          <w:szCs w:val="24"/>
        </w:rPr>
        <w:t xml:space="preserve"> </w:t>
      </w:r>
      <w:r>
        <w:rPr>
          <w:rFonts w:ascii="Garamond" w:eastAsiaTheme="minorHAnsi" w:hAnsi="Garamond" w:cs="Arial"/>
          <w:sz w:val="24"/>
          <w:szCs w:val="24"/>
        </w:rPr>
        <w:t xml:space="preserve">no sentido de </w:t>
      </w:r>
      <w:r w:rsidR="00CE3C9D" w:rsidRPr="003A1174">
        <w:rPr>
          <w:rFonts w:ascii="Garamond" w:eastAsiaTheme="minorHAnsi" w:hAnsi="Garamond" w:cs="Arial"/>
          <w:sz w:val="24"/>
          <w:szCs w:val="24"/>
        </w:rPr>
        <w:t xml:space="preserve">evitar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dete</w:t>
      </w:r>
      <w:r w:rsidR="00BA21ED" w:rsidRPr="003A1174">
        <w:rPr>
          <w:rFonts w:ascii="Garamond" w:eastAsiaTheme="minorHAnsi" w:hAnsi="Garamond" w:cs="Arial"/>
          <w:sz w:val="24"/>
          <w:szCs w:val="24"/>
        </w:rPr>
        <w:t xml:space="preserve">r </w:t>
      </w:r>
      <w:r w:rsidR="00CE3C9D"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Pr>
          <w:rFonts w:ascii="Garamond" w:eastAsiaTheme="minorHAnsi" w:hAnsi="Garamond" w:cs="Arial"/>
          <w:sz w:val="24"/>
          <w:szCs w:val="24"/>
        </w:rPr>
        <w:t>,</w:t>
      </w:r>
      <w:r w:rsidR="00CE3C9D" w:rsidRPr="003A1174">
        <w:rPr>
          <w:rFonts w:ascii="Garamond" w:eastAsiaTheme="minorHAnsi" w:hAnsi="Garamond" w:cs="Arial"/>
          <w:sz w:val="24"/>
          <w:szCs w:val="24"/>
        </w:rPr>
        <w:t xml:space="preserve"> e</w:t>
      </w:r>
      <w:r w:rsidR="00BA21ED"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w:t>
      </w:r>
      <w:r w:rsidR="007342D9" w:rsidRPr="003A1174">
        <w:rPr>
          <w:rFonts w:ascii="Garamond" w:eastAsiaTheme="minorHAnsi" w:hAnsi="Garamond" w:cs="Arial"/>
          <w:sz w:val="24"/>
          <w:szCs w:val="24"/>
        </w:rPr>
        <w:t>qualquer</w:t>
      </w:r>
      <w:r w:rsidR="00BA21ED" w:rsidRPr="003A1174">
        <w:rPr>
          <w:rFonts w:ascii="Garamond" w:eastAsiaTheme="minorHAnsi" w:hAnsi="Garamond" w:cs="Arial"/>
          <w:sz w:val="24"/>
          <w:szCs w:val="24"/>
        </w:rPr>
        <w:t xml:space="preserve"> das suas </w:t>
      </w:r>
      <w:r w:rsidR="00C30647" w:rsidRPr="003A1174">
        <w:rPr>
          <w:rFonts w:ascii="Garamond" w:eastAsiaTheme="minorHAnsi" w:hAnsi="Garamond" w:cs="Arial"/>
          <w:sz w:val="24"/>
          <w:szCs w:val="24"/>
        </w:rPr>
        <w:t>manifestações</w:t>
      </w:r>
      <w:r>
        <w:rPr>
          <w:rFonts w:ascii="Garamond" w:eastAsiaTheme="minorHAnsi" w:hAnsi="Garamond" w:cs="Arial"/>
          <w:sz w:val="24"/>
          <w:szCs w:val="24"/>
        </w:rPr>
        <w:t>,</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prevenir males </w:t>
      </w:r>
      <w:r w:rsidR="00FC1F7F" w:rsidRPr="003A1174">
        <w:rPr>
          <w:rFonts w:ascii="Garamond" w:eastAsiaTheme="minorHAnsi" w:hAnsi="Garamond" w:cs="Arial"/>
          <w:sz w:val="24"/>
          <w:szCs w:val="24"/>
        </w:rPr>
        <w:t>maiores</w:t>
      </w:r>
      <w:r w:rsidR="00CE3C9D" w:rsidRPr="003A1174">
        <w:rPr>
          <w:rFonts w:ascii="Garamond" w:eastAsiaTheme="minorHAnsi" w:hAnsi="Garamond" w:cs="Arial"/>
          <w:sz w:val="24"/>
          <w:szCs w:val="24"/>
        </w:rPr>
        <w:t xml:space="preserve">; </w:t>
      </w:r>
      <w:r w:rsidR="00BA21ED" w:rsidRPr="003A1174">
        <w:rPr>
          <w:rFonts w:ascii="Garamond" w:eastAsiaTheme="minorHAnsi" w:hAnsi="Garamond" w:cs="Arial"/>
          <w:sz w:val="24"/>
          <w:szCs w:val="24"/>
        </w:rPr>
        <w:t xml:space="preserve">apenas com a </w:t>
      </w:r>
      <w:r w:rsidR="005D38DC" w:rsidRPr="003A1174">
        <w:rPr>
          <w:rFonts w:ascii="Garamond" w:eastAsiaTheme="minorHAnsi" w:hAnsi="Garamond" w:cs="Arial"/>
          <w:sz w:val="24"/>
          <w:szCs w:val="24"/>
        </w:rPr>
        <w:t>apresentação</w:t>
      </w:r>
      <w:r w:rsidR="00BA21ED" w:rsidRPr="003A1174">
        <w:rPr>
          <w:rFonts w:ascii="Garamond" w:eastAsiaTheme="minorHAnsi" w:hAnsi="Garamond" w:cs="Arial"/>
          <w:sz w:val="24"/>
          <w:szCs w:val="24"/>
        </w:rPr>
        <w:t xml:space="preserve"> d</w:t>
      </w:r>
      <w:r w:rsidR="00CE3C9D" w:rsidRPr="003A1174">
        <w:rPr>
          <w:rFonts w:ascii="Garamond" w:eastAsiaTheme="minorHAnsi" w:hAnsi="Garamond" w:cs="Arial"/>
          <w:sz w:val="24"/>
          <w:szCs w:val="24"/>
        </w:rPr>
        <w:t xml:space="preserve">a </w:t>
      </w:r>
      <w:r w:rsidR="008651AF" w:rsidRPr="003A1174">
        <w:rPr>
          <w:rFonts w:ascii="Garamond" w:eastAsiaTheme="minorHAnsi" w:hAnsi="Garamond" w:cs="Arial"/>
          <w:sz w:val="24"/>
          <w:szCs w:val="24"/>
        </w:rPr>
        <w:t>denúncia</w:t>
      </w:r>
      <w:r w:rsidR="00CE3C9D" w:rsidRPr="003A1174">
        <w:rPr>
          <w:rFonts w:ascii="Garamond" w:eastAsiaTheme="minorHAnsi" w:hAnsi="Garamond" w:cs="Arial"/>
          <w:sz w:val="24"/>
          <w:szCs w:val="24"/>
        </w:rPr>
        <w:t>, se</w:t>
      </w:r>
      <w:r w:rsidR="005533B6" w:rsidRPr="003A1174">
        <w:rPr>
          <w:rFonts w:ascii="Garamond" w:eastAsiaTheme="minorHAnsi" w:hAnsi="Garamond" w:cs="Arial"/>
          <w:sz w:val="24"/>
          <w:szCs w:val="24"/>
        </w:rPr>
        <w:t>r</w:t>
      </w:r>
      <w:r w:rsidR="00BA21ED" w:rsidRPr="003A1174">
        <w:rPr>
          <w:rFonts w:ascii="Garamond" w:eastAsiaTheme="minorHAnsi" w:hAnsi="Garamond" w:cs="Arial"/>
          <w:sz w:val="24"/>
          <w:szCs w:val="24"/>
        </w:rPr>
        <w:t xml:space="preserve">ão </w:t>
      </w:r>
      <w:r w:rsidR="00CE3C9D" w:rsidRPr="003A1174">
        <w:rPr>
          <w:rFonts w:ascii="Garamond" w:eastAsiaTheme="minorHAnsi" w:hAnsi="Garamond" w:cs="Arial"/>
          <w:sz w:val="24"/>
          <w:szCs w:val="24"/>
        </w:rPr>
        <w:t>i</w:t>
      </w:r>
      <w:r w:rsidR="00282B4D" w:rsidRPr="003A1174">
        <w:rPr>
          <w:rFonts w:ascii="Garamond" w:eastAsiaTheme="minorHAnsi" w:hAnsi="Garamond" w:cs="Arial"/>
          <w:sz w:val="24"/>
          <w:szCs w:val="24"/>
        </w:rPr>
        <w:t>nterpostas</w:t>
      </w:r>
      <w:r>
        <w:rPr>
          <w:rFonts w:ascii="Garamond" w:eastAsiaTheme="minorHAnsi" w:hAnsi="Garamond" w:cs="Arial"/>
          <w:sz w:val="24"/>
          <w:szCs w:val="24"/>
        </w:rPr>
        <w:t>,</w:t>
      </w:r>
      <w:r w:rsidR="00282B4D" w:rsidRPr="003A1174">
        <w:rPr>
          <w:rFonts w:ascii="Garamond" w:eastAsiaTheme="minorHAnsi" w:hAnsi="Garamond" w:cs="Arial"/>
          <w:sz w:val="24"/>
          <w:szCs w:val="24"/>
        </w:rPr>
        <w:t xml:space="preserve"> através </w:t>
      </w:r>
      <w:r w:rsidR="00CE3C9D" w:rsidRPr="003A1174">
        <w:rPr>
          <w:rFonts w:ascii="Garamond" w:eastAsiaTheme="minorHAnsi" w:hAnsi="Garamond" w:cs="Arial"/>
          <w:sz w:val="24"/>
          <w:szCs w:val="24"/>
        </w:rPr>
        <w:t xml:space="preserve">de </w:t>
      </w:r>
      <w:r w:rsidR="00282B4D" w:rsidRPr="003A1174">
        <w:rPr>
          <w:rFonts w:ascii="Garamond" w:eastAsiaTheme="minorHAnsi" w:hAnsi="Garamond" w:cs="Arial"/>
          <w:sz w:val="24"/>
          <w:szCs w:val="24"/>
        </w:rPr>
        <w:t>ofício</w:t>
      </w:r>
      <w:r>
        <w:rPr>
          <w:rFonts w:ascii="Garamond" w:eastAsiaTheme="minorHAnsi" w:hAnsi="Garamond" w:cs="Arial"/>
          <w:sz w:val="24"/>
          <w:szCs w:val="24"/>
        </w:rPr>
        <w:t>,</w:t>
      </w:r>
      <w:r w:rsidR="00CE3C9D" w:rsidRPr="003A1174">
        <w:rPr>
          <w:rFonts w:ascii="Garamond" w:eastAsiaTheme="minorHAnsi" w:hAnsi="Garamond" w:cs="Arial"/>
          <w:sz w:val="24"/>
          <w:szCs w:val="24"/>
        </w:rPr>
        <w:t xml:space="preserve">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tribunal</w:t>
      </w:r>
      <w:r w:rsidR="00CE3C9D" w:rsidRPr="003A1174">
        <w:rPr>
          <w:rFonts w:ascii="Garamond" w:eastAsiaTheme="minorHAnsi" w:hAnsi="Garamond" w:cs="Arial"/>
          <w:sz w:val="24"/>
          <w:szCs w:val="24"/>
        </w:rPr>
        <w:t xml:space="preserve"> competente,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sidR="00D77C19" w:rsidRPr="003A1174">
        <w:rPr>
          <w:rFonts w:ascii="Garamond" w:eastAsiaTheme="minorHAnsi" w:hAnsi="Garamond" w:cs="Arial"/>
          <w:sz w:val="24"/>
          <w:szCs w:val="24"/>
        </w:rPr>
        <w:t>Ministério</w:t>
      </w:r>
      <w:r w:rsidR="00CE3C9D" w:rsidRPr="003A1174">
        <w:rPr>
          <w:rFonts w:ascii="Garamond" w:eastAsiaTheme="minorHAnsi" w:hAnsi="Garamond" w:cs="Arial"/>
          <w:sz w:val="24"/>
          <w:szCs w:val="24"/>
        </w:rPr>
        <w:t xml:space="preserve"> Público o</w:t>
      </w:r>
      <w:r w:rsidR="00282B4D" w:rsidRPr="003A1174">
        <w:rPr>
          <w:rFonts w:ascii="Garamond" w:eastAsiaTheme="minorHAnsi" w:hAnsi="Garamond" w:cs="Arial"/>
          <w:sz w:val="24"/>
          <w:szCs w:val="24"/>
        </w:rPr>
        <w:t>u</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pe</w:t>
      </w:r>
      <w:r w:rsidR="00CE3C9D" w:rsidRPr="003A1174">
        <w:rPr>
          <w:rFonts w:ascii="Garamond" w:eastAsiaTheme="minorHAnsi" w:hAnsi="Garamond" w:cs="Arial"/>
          <w:sz w:val="24"/>
          <w:szCs w:val="24"/>
        </w:rPr>
        <w:t xml:space="preserve">la </w:t>
      </w:r>
      <w:r w:rsidR="00D75A07" w:rsidRPr="003A1174">
        <w:rPr>
          <w:rFonts w:ascii="Garamond" w:eastAsiaTheme="minorHAnsi" w:hAnsi="Garamond" w:cs="Arial"/>
          <w:sz w:val="24"/>
          <w:szCs w:val="24"/>
        </w:rPr>
        <w:t>Secretaria</w:t>
      </w:r>
      <w:r w:rsidR="00CE3C9D" w:rsidRPr="003A1174">
        <w:rPr>
          <w:rFonts w:ascii="Garamond" w:eastAsiaTheme="minorHAnsi" w:hAnsi="Garamond" w:cs="Arial"/>
          <w:sz w:val="24"/>
          <w:szCs w:val="24"/>
        </w:rPr>
        <w:t xml:space="preserve"> de Estado </w:t>
      </w:r>
      <w:r w:rsidR="00282B4D" w:rsidRPr="003A1174">
        <w:rPr>
          <w:rFonts w:ascii="Garamond" w:eastAsiaTheme="minorHAnsi" w:hAnsi="Garamond" w:cs="Arial"/>
          <w:sz w:val="24"/>
          <w:szCs w:val="24"/>
        </w:rPr>
        <w:t xml:space="preserve">no </w:t>
      </w:r>
      <w:r w:rsidR="00275092" w:rsidRPr="003A1174">
        <w:rPr>
          <w:rFonts w:ascii="Garamond" w:eastAsiaTheme="minorHAnsi" w:hAnsi="Garamond" w:cs="Arial"/>
          <w:sz w:val="24"/>
          <w:szCs w:val="24"/>
        </w:rPr>
        <w:t>Gabinete</w:t>
      </w:r>
      <w:r w:rsidR="00CE3C9D" w:rsidRPr="003A1174">
        <w:rPr>
          <w:rFonts w:ascii="Garamond" w:eastAsiaTheme="minorHAnsi" w:hAnsi="Garamond" w:cs="Arial"/>
          <w:sz w:val="24"/>
          <w:szCs w:val="24"/>
        </w:rPr>
        <w:t xml:space="preserve"> de </w:t>
      </w:r>
      <w:r w:rsidR="00D15AFF" w:rsidRPr="003A1174">
        <w:rPr>
          <w:rFonts w:ascii="Garamond" w:eastAsiaTheme="minorHAnsi" w:hAnsi="Garamond" w:cs="Arial"/>
          <w:sz w:val="24"/>
          <w:szCs w:val="24"/>
        </w:rPr>
        <w:t>Segurança</w:t>
      </w:r>
      <w:r w:rsidR="00CE3C9D" w:rsidRPr="003A1174">
        <w:rPr>
          <w:rFonts w:ascii="Garamond" w:eastAsiaTheme="minorHAnsi" w:hAnsi="Garamond" w:cs="Arial"/>
          <w:sz w:val="24"/>
          <w:szCs w:val="24"/>
        </w:rPr>
        <w:t xml:space="preserve">, </w:t>
      </w:r>
      <w:r w:rsidR="009A0CC2" w:rsidRPr="003A1174">
        <w:rPr>
          <w:rFonts w:ascii="Garamond" w:eastAsiaTheme="minorHAnsi" w:hAnsi="Garamond" w:cs="Arial"/>
          <w:sz w:val="24"/>
          <w:szCs w:val="24"/>
        </w:rPr>
        <w:t>através</w:t>
      </w:r>
      <w:r w:rsidR="00CE3C9D" w:rsidRPr="003A1174">
        <w:rPr>
          <w:rFonts w:ascii="Garamond" w:eastAsiaTheme="minorHAnsi" w:hAnsi="Garamond" w:cs="Arial"/>
          <w:sz w:val="24"/>
          <w:szCs w:val="24"/>
        </w:rPr>
        <w:t xml:space="preserve"> da </w:t>
      </w:r>
      <w:r w:rsidR="00CF42A3" w:rsidRPr="003A1174">
        <w:rPr>
          <w:rFonts w:ascii="Garamond" w:eastAsiaTheme="minorHAnsi" w:hAnsi="Garamond" w:cs="Arial"/>
          <w:sz w:val="24"/>
          <w:szCs w:val="24"/>
        </w:rPr>
        <w:t>Polícia</w:t>
      </w:r>
      <w:r w:rsidR="00CE3C9D" w:rsidRPr="003A1174">
        <w:rPr>
          <w:rFonts w:ascii="Garamond" w:eastAsiaTheme="minorHAnsi" w:hAnsi="Garamond" w:cs="Arial"/>
          <w:sz w:val="24"/>
          <w:szCs w:val="24"/>
        </w:rPr>
        <w:t xml:space="preserve"> Nacional. </w:t>
      </w:r>
      <w:r w:rsidR="00282B4D" w:rsidRPr="003A1174">
        <w:rPr>
          <w:rFonts w:ascii="Garamond" w:eastAsiaTheme="minorHAnsi" w:hAnsi="Garamond" w:cs="Arial"/>
          <w:sz w:val="24"/>
          <w:szCs w:val="24"/>
        </w:rPr>
        <w:t xml:space="preserve">As </w:t>
      </w:r>
      <w:r w:rsidR="00CE3C9D" w:rsidRPr="003A1174">
        <w:rPr>
          <w:rFonts w:ascii="Garamond" w:eastAsiaTheme="minorHAnsi" w:hAnsi="Garamond" w:cs="Arial"/>
          <w:sz w:val="24"/>
          <w:szCs w:val="24"/>
        </w:rPr>
        <w:t xml:space="preserve">medidas </w:t>
      </w:r>
      <w:r w:rsidR="00282B4D" w:rsidRPr="003A1174">
        <w:rPr>
          <w:rFonts w:ascii="Garamond" w:eastAsiaTheme="minorHAnsi" w:hAnsi="Garamond" w:cs="Arial"/>
          <w:sz w:val="24"/>
          <w:szCs w:val="24"/>
        </w:rPr>
        <w:t xml:space="preserve">de precaução </w:t>
      </w:r>
      <w:r w:rsidR="00CE3C9D" w:rsidRPr="003A1174">
        <w:rPr>
          <w:rFonts w:ascii="Garamond" w:eastAsiaTheme="minorHAnsi" w:hAnsi="Garamond" w:cs="Arial"/>
          <w:sz w:val="24"/>
          <w:szCs w:val="24"/>
        </w:rPr>
        <w:t>orienta</w:t>
      </w:r>
      <w:r w:rsidR="00282B4D" w:rsidRPr="003A1174">
        <w:rPr>
          <w:rFonts w:ascii="Garamond" w:eastAsiaTheme="minorHAnsi" w:hAnsi="Garamond" w:cs="Arial"/>
          <w:sz w:val="24"/>
          <w:szCs w:val="24"/>
        </w:rPr>
        <w:t xml:space="preserve">m-se no sentido de prevenir </w:t>
      </w:r>
      <w:r w:rsidR="00CE3C9D" w:rsidRPr="003A1174">
        <w:rPr>
          <w:rFonts w:ascii="Garamond" w:eastAsiaTheme="minorHAnsi" w:hAnsi="Garamond" w:cs="Arial"/>
          <w:sz w:val="24"/>
          <w:szCs w:val="24"/>
        </w:rPr>
        <w:t xml:space="preserve">a </w:t>
      </w:r>
      <w:r w:rsidR="00C90370" w:rsidRPr="003A1174">
        <w:rPr>
          <w:rFonts w:ascii="Garamond" w:eastAsiaTheme="minorHAnsi" w:hAnsi="Garamond" w:cs="Arial"/>
          <w:sz w:val="24"/>
          <w:szCs w:val="24"/>
        </w:rPr>
        <w:t>reiteração</w:t>
      </w:r>
      <w:r w:rsidR="00CE3C9D" w:rsidRPr="003A1174">
        <w:rPr>
          <w:rFonts w:ascii="Garamond" w:eastAsiaTheme="minorHAnsi" w:hAnsi="Garamond" w:cs="Arial"/>
          <w:sz w:val="24"/>
          <w:szCs w:val="24"/>
        </w:rPr>
        <w:t xml:space="preserve"> da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w:t>
      </w:r>
      <w:r>
        <w:rPr>
          <w:rFonts w:ascii="Garamond" w:eastAsiaTheme="minorHAnsi" w:hAnsi="Garamond" w:cs="Arial"/>
          <w:sz w:val="24"/>
          <w:szCs w:val="24"/>
        </w:rPr>
        <w:t>,</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 xml:space="preserve">através da </w:t>
      </w:r>
      <w:r w:rsidR="00CE3C9D" w:rsidRPr="003A1174">
        <w:rPr>
          <w:rFonts w:ascii="Garamond" w:eastAsiaTheme="minorHAnsi" w:hAnsi="Garamond" w:cs="Arial"/>
          <w:sz w:val="24"/>
          <w:szCs w:val="24"/>
        </w:rPr>
        <w:t>re</w:t>
      </w:r>
      <w:r w:rsidR="00802ACC" w:rsidRPr="003A1174">
        <w:rPr>
          <w:rFonts w:ascii="Garamond" w:eastAsiaTheme="minorHAnsi" w:hAnsi="Garamond" w:cs="Arial"/>
          <w:sz w:val="24"/>
          <w:szCs w:val="24"/>
        </w:rPr>
        <w:t>educação</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arguido</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282B4D" w:rsidRPr="003A1174">
        <w:rPr>
          <w:rFonts w:ascii="Garamond" w:eastAsiaTheme="minorHAnsi" w:hAnsi="Garamond" w:cs="Arial"/>
          <w:sz w:val="24"/>
          <w:szCs w:val="24"/>
        </w:rPr>
        <w:t xml:space="preserve"> do </w:t>
      </w:r>
      <w:r w:rsidR="00DC5DA7" w:rsidRPr="003A1174">
        <w:rPr>
          <w:rFonts w:ascii="Garamond" w:eastAsiaTheme="minorHAnsi" w:hAnsi="Garamond" w:cs="Arial"/>
          <w:sz w:val="24"/>
          <w:szCs w:val="24"/>
        </w:rPr>
        <w:t>fortalecimento</w:t>
      </w:r>
      <w:r w:rsidR="00CE3C9D" w:rsidRPr="003A1174">
        <w:rPr>
          <w:rFonts w:ascii="Garamond" w:eastAsiaTheme="minorHAnsi" w:hAnsi="Garamond" w:cs="Arial"/>
          <w:sz w:val="24"/>
          <w:szCs w:val="24"/>
        </w:rPr>
        <w:t xml:space="preserve"> da autoestima da </w:t>
      </w:r>
      <w:r w:rsidR="00AF192F" w:rsidRPr="003A1174">
        <w:rPr>
          <w:rFonts w:ascii="Garamond" w:eastAsiaTheme="minorHAnsi" w:hAnsi="Garamond" w:cs="Arial"/>
          <w:sz w:val="24"/>
          <w:szCs w:val="24"/>
        </w:rPr>
        <w:t>mulher</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282B4D"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as medidas cautelares pretende</w:t>
      </w:r>
      <w:r w:rsidR="00282B4D" w:rsidRPr="003A1174">
        <w:rPr>
          <w:rFonts w:ascii="Garamond" w:eastAsiaTheme="minorHAnsi" w:hAnsi="Garamond" w:cs="Arial"/>
          <w:sz w:val="24"/>
          <w:szCs w:val="24"/>
        </w:rPr>
        <w:t xml:space="preserve">m </w:t>
      </w:r>
      <w:r w:rsidR="00AF192F" w:rsidRPr="003A1174">
        <w:rPr>
          <w:rFonts w:ascii="Garamond" w:eastAsiaTheme="minorHAnsi" w:hAnsi="Garamond" w:cs="Arial"/>
          <w:sz w:val="24"/>
          <w:szCs w:val="24"/>
        </w:rPr>
        <w:t>garantir</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 </w:t>
      </w:r>
      <w:r w:rsidR="00D96FD0" w:rsidRPr="003A1174">
        <w:rPr>
          <w:rFonts w:ascii="Garamond" w:eastAsiaTheme="minorHAnsi" w:hAnsi="Garamond" w:cs="Arial"/>
          <w:sz w:val="24"/>
          <w:szCs w:val="24"/>
        </w:rPr>
        <w:t>cumprimento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responsabilidades familiares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arguido</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ser</w:t>
      </w:r>
      <w:r w:rsidR="00282B4D" w:rsidRPr="003A1174">
        <w:rPr>
          <w:rFonts w:ascii="Garamond" w:eastAsiaTheme="minorHAnsi" w:hAnsi="Garamond" w:cs="Arial"/>
          <w:sz w:val="24"/>
          <w:szCs w:val="24"/>
        </w:rPr>
        <w:t>ão</w:t>
      </w:r>
      <w:r>
        <w:rPr>
          <w:rFonts w:ascii="Garamond" w:eastAsiaTheme="minorHAnsi" w:hAnsi="Garamond" w:cs="Arial"/>
          <w:sz w:val="24"/>
          <w:szCs w:val="24"/>
        </w:rPr>
        <w:t>,</w:t>
      </w:r>
      <w:r w:rsidR="00282B4D" w:rsidRPr="003A1174">
        <w:rPr>
          <w:rFonts w:ascii="Garamond" w:eastAsiaTheme="minorHAnsi" w:hAnsi="Garamond" w:cs="Arial"/>
          <w:sz w:val="24"/>
          <w:szCs w:val="24"/>
        </w:rPr>
        <w:t xml:space="preserve"> exclusivamente</w:t>
      </w:r>
      <w:r>
        <w:rPr>
          <w:rFonts w:ascii="Garamond" w:eastAsiaTheme="minorHAnsi" w:hAnsi="Garamond" w:cs="Arial"/>
          <w:sz w:val="24"/>
          <w:szCs w:val="24"/>
        </w:rPr>
        <w:t>,</w:t>
      </w:r>
      <w:r w:rsidR="00282B4D" w:rsidRPr="003A1174">
        <w:rPr>
          <w:rFonts w:ascii="Garamond" w:eastAsiaTheme="minorHAnsi" w:hAnsi="Garamond" w:cs="Arial"/>
          <w:sz w:val="24"/>
          <w:szCs w:val="24"/>
        </w:rPr>
        <w:t xml:space="preserve"> impo</w:t>
      </w:r>
      <w:r w:rsidR="00CE3C9D" w:rsidRPr="003A1174">
        <w:rPr>
          <w:rFonts w:ascii="Garamond" w:eastAsiaTheme="minorHAnsi" w:hAnsi="Garamond" w:cs="Arial"/>
          <w:sz w:val="24"/>
          <w:szCs w:val="24"/>
        </w:rPr>
        <w:t xml:space="preserve">stas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Pr>
          <w:rFonts w:ascii="Garamond" w:eastAsiaTheme="minorHAnsi" w:hAnsi="Garamond" w:cs="Arial"/>
          <w:sz w:val="24"/>
          <w:szCs w:val="24"/>
        </w:rPr>
        <w:t>t</w:t>
      </w:r>
      <w:r w:rsidR="00CE3C9D" w:rsidRPr="003A1174">
        <w:rPr>
          <w:rFonts w:ascii="Garamond" w:eastAsiaTheme="minorHAnsi" w:hAnsi="Garamond" w:cs="Arial"/>
          <w:sz w:val="24"/>
          <w:szCs w:val="24"/>
        </w:rPr>
        <w:t xml:space="preserve">ribunal competente. </w:t>
      </w:r>
      <w:r w:rsidR="007407BD" w:rsidRPr="003A1174">
        <w:rPr>
          <w:rFonts w:ascii="Garamond" w:eastAsiaTheme="minorHAnsi" w:hAnsi="Garamond" w:cs="Arial"/>
          <w:sz w:val="24"/>
          <w:szCs w:val="24"/>
        </w:rPr>
        <w:t>Estes</w:t>
      </w:r>
      <w:r w:rsidR="00CE3C9D" w:rsidRPr="003A1174">
        <w:rPr>
          <w:rFonts w:ascii="Garamond" w:eastAsiaTheme="minorHAnsi" w:hAnsi="Garamond" w:cs="Arial"/>
          <w:sz w:val="24"/>
          <w:szCs w:val="24"/>
        </w:rPr>
        <w:t xml:space="preserve"> mecanismos </w:t>
      </w:r>
      <w:r w:rsidR="00D4575C" w:rsidRPr="003A1174">
        <w:rPr>
          <w:rFonts w:ascii="Garamond" w:eastAsiaTheme="minorHAnsi" w:hAnsi="Garamond" w:cs="Arial"/>
          <w:sz w:val="24"/>
          <w:szCs w:val="24"/>
        </w:rPr>
        <w:t>têm</w:t>
      </w:r>
      <w:r w:rsidR="00CE3C9D" w:rsidRPr="003A1174">
        <w:rPr>
          <w:rFonts w:ascii="Garamond" w:eastAsiaTheme="minorHAnsi" w:hAnsi="Garamond" w:cs="Arial"/>
          <w:sz w:val="24"/>
          <w:szCs w:val="24"/>
        </w:rPr>
        <w:t xml:space="preserve"> </w:t>
      </w:r>
      <w:r w:rsidR="00120915" w:rsidRPr="003A1174">
        <w:rPr>
          <w:rFonts w:ascii="Garamond" w:eastAsiaTheme="minorHAnsi" w:hAnsi="Garamond" w:cs="Arial"/>
          <w:sz w:val="24"/>
          <w:szCs w:val="24"/>
        </w:rPr>
        <w:t>caráter</w:t>
      </w:r>
      <w:r w:rsidR="00CE3C9D" w:rsidRPr="003A1174">
        <w:rPr>
          <w:rFonts w:ascii="Garamond" w:eastAsiaTheme="minorHAnsi" w:hAnsi="Garamond" w:cs="Arial"/>
          <w:sz w:val="24"/>
          <w:szCs w:val="24"/>
        </w:rPr>
        <w:t xml:space="preserve"> </w:t>
      </w:r>
      <w:r w:rsidR="00141BA9" w:rsidRPr="003A1174">
        <w:rPr>
          <w:rFonts w:ascii="Garamond" w:eastAsiaTheme="minorHAnsi" w:hAnsi="Garamond" w:cs="Arial"/>
          <w:sz w:val="24"/>
          <w:szCs w:val="24"/>
        </w:rPr>
        <w:t>temporário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 xml:space="preserve">a referida </w:t>
      </w:r>
      <w:r w:rsidR="00CE3C9D" w:rsidRPr="003A1174">
        <w:rPr>
          <w:rFonts w:ascii="Garamond" w:eastAsiaTheme="minorHAnsi" w:hAnsi="Garamond" w:cs="Arial"/>
          <w:sz w:val="24"/>
          <w:szCs w:val="24"/>
        </w:rPr>
        <w:t>temporalidad</w:t>
      </w:r>
      <w:r w:rsidR="00282B4D"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n</w:t>
      </w:r>
      <w:r w:rsidR="00282B4D" w:rsidRPr="003A1174">
        <w:rPr>
          <w:rFonts w:ascii="Garamond" w:eastAsiaTheme="minorHAnsi" w:hAnsi="Garamond" w:cs="Arial"/>
          <w:sz w:val="24"/>
          <w:szCs w:val="24"/>
        </w:rPr>
        <w:t>ã</w:t>
      </w:r>
      <w:r w:rsidR="00CE3C9D" w:rsidRPr="003A1174">
        <w:rPr>
          <w:rFonts w:ascii="Garamond" w:eastAsiaTheme="minorHAnsi" w:hAnsi="Garamond" w:cs="Arial"/>
          <w:sz w:val="24"/>
          <w:szCs w:val="24"/>
        </w:rPr>
        <w:t>o será inferior a do</w:t>
      </w:r>
      <w:r w:rsidR="00282B4D" w:rsidRPr="003A1174">
        <w:rPr>
          <w:rFonts w:ascii="Garamond" w:eastAsiaTheme="minorHAnsi" w:hAnsi="Garamond" w:cs="Arial"/>
          <w:sz w:val="24"/>
          <w:szCs w:val="24"/>
        </w:rPr>
        <w:t>i</w:t>
      </w:r>
      <w:r w:rsidR="00CE3C9D" w:rsidRPr="003A1174">
        <w:rPr>
          <w:rFonts w:ascii="Garamond" w:eastAsiaTheme="minorHAnsi" w:hAnsi="Garamond" w:cs="Arial"/>
          <w:sz w:val="24"/>
          <w:szCs w:val="24"/>
        </w:rPr>
        <w:t>s meses</w:t>
      </w:r>
      <w:r w:rsidR="008405FE">
        <w:rPr>
          <w:rFonts w:ascii="Garamond" w:eastAsiaTheme="minorHAnsi" w:hAnsi="Garamond" w:cs="Arial"/>
          <w:sz w:val="24"/>
          <w:szCs w:val="24"/>
        </w:rPr>
        <w:t>,</w:t>
      </w:r>
      <w:r w:rsidR="00CE3C9D" w:rsidRPr="003A1174">
        <w:rPr>
          <w:rFonts w:ascii="Garamond" w:eastAsiaTheme="minorHAnsi" w:hAnsi="Garamond" w:cs="Arial"/>
          <w:sz w:val="24"/>
          <w:szCs w:val="24"/>
        </w:rPr>
        <w:t xml:space="preserve"> n</w:t>
      </w:r>
      <w:r w:rsidR="00282B4D" w:rsidRPr="003A1174">
        <w:rPr>
          <w:rFonts w:ascii="Garamond" w:eastAsiaTheme="minorHAnsi" w:hAnsi="Garamond" w:cs="Arial"/>
          <w:sz w:val="24"/>
          <w:szCs w:val="24"/>
        </w:rPr>
        <w:t xml:space="preserve">em </w:t>
      </w:r>
      <w:r w:rsidR="00CE3C9D" w:rsidRPr="003A1174">
        <w:rPr>
          <w:rFonts w:ascii="Garamond" w:eastAsiaTheme="minorHAnsi" w:hAnsi="Garamond" w:cs="Arial"/>
          <w:sz w:val="24"/>
          <w:szCs w:val="24"/>
        </w:rPr>
        <w:t xml:space="preserve">superior a seis meses. </w:t>
      </w:r>
      <w:r w:rsidR="00282B4D" w:rsidRPr="003A1174">
        <w:rPr>
          <w:rFonts w:ascii="Garamond" w:eastAsiaTheme="minorHAnsi" w:hAnsi="Garamond" w:cs="Arial"/>
          <w:sz w:val="24"/>
          <w:szCs w:val="24"/>
        </w:rPr>
        <w:t xml:space="preserve">As </w:t>
      </w:r>
      <w:r w:rsidR="00CE3C9D" w:rsidRPr="003A1174">
        <w:rPr>
          <w:rFonts w:ascii="Garamond" w:eastAsiaTheme="minorHAnsi" w:hAnsi="Garamond" w:cs="Arial"/>
          <w:sz w:val="24"/>
          <w:szCs w:val="24"/>
        </w:rPr>
        <w:t xml:space="preserve">medidas </w:t>
      </w:r>
      <w:r w:rsidR="00282B4D" w:rsidRPr="003A1174">
        <w:rPr>
          <w:rFonts w:ascii="Garamond" w:eastAsiaTheme="minorHAnsi" w:hAnsi="Garamond" w:cs="Arial"/>
          <w:sz w:val="24"/>
          <w:szCs w:val="24"/>
        </w:rPr>
        <w:t xml:space="preserve">de prevenção terão uma </w:t>
      </w:r>
      <w:r w:rsidR="006B29BF" w:rsidRPr="003A1174">
        <w:rPr>
          <w:rFonts w:ascii="Garamond" w:eastAsiaTheme="minorHAnsi" w:hAnsi="Garamond" w:cs="Arial"/>
          <w:sz w:val="24"/>
          <w:szCs w:val="24"/>
        </w:rPr>
        <w:t>duração</w:t>
      </w:r>
      <w:r w:rsidR="00CE3C9D" w:rsidRPr="003A1174">
        <w:rPr>
          <w:rFonts w:ascii="Garamond" w:eastAsiaTheme="minorHAnsi" w:hAnsi="Garamond" w:cs="Arial"/>
          <w:sz w:val="24"/>
          <w:szCs w:val="24"/>
        </w:rPr>
        <w:t xml:space="preserve"> de do</w:t>
      </w:r>
      <w:r w:rsidR="00282B4D" w:rsidRPr="003A1174">
        <w:rPr>
          <w:rFonts w:ascii="Garamond" w:eastAsiaTheme="minorHAnsi" w:hAnsi="Garamond" w:cs="Arial"/>
          <w:sz w:val="24"/>
          <w:szCs w:val="24"/>
        </w:rPr>
        <w:t xml:space="preserve">is meses para </w:t>
      </w:r>
      <w:r w:rsidR="00CE3C9D" w:rsidRPr="003A1174">
        <w:rPr>
          <w:rFonts w:ascii="Garamond" w:eastAsiaTheme="minorHAnsi" w:hAnsi="Garamond" w:cs="Arial"/>
          <w:sz w:val="24"/>
          <w:szCs w:val="24"/>
        </w:rPr>
        <w:t xml:space="preserve">as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0866B6" w:rsidRPr="003A1174">
        <w:rPr>
          <w:rFonts w:ascii="Garamond" w:eastAsiaTheme="minorHAnsi" w:hAnsi="Garamond" w:cs="Arial"/>
          <w:sz w:val="24"/>
          <w:szCs w:val="24"/>
        </w:rPr>
        <w:t>três</w:t>
      </w:r>
      <w:r w:rsidR="00282B4D" w:rsidRPr="003A1174">
        <w:rPr>
          <w:rFonts w:ascii="Garamond" w:eastAsiaTheme="minorHAnsi" w:hAnsi="Garamond" w:cs="Arial"/>
          <w:sz w:val="24"/>
          <w:szCs w:val="24"/>
        </w:rPr>
        <w:t xml:space="preserve"> meses para </w:t>
      </w:r>
      <w:r w:rsidR="00CE3C9D" w:rsidRPr="003A1174">
        <w:rPr>
          <w:rFonts w:ascii="Garamond" w:eastAsiaTheme="minorHAnsi" w:hAnsi="Garamond" w:cs="Arial"/>
          <w:sz w:val="24"/>
          <w:szCs w:val="24"/>
        </w:rPr>
        <w:t xml:space="preserve">os </w:t>
      </w:r>
      <w:r w:rsidR="00524936" w:rsidRPr="003A1174">
        <w:rPr>
          <w:rFonts w:ascii="Garamond" w:eastAsiaTheme="minorHAnsi" w:hAnsi="Garamond" w:cs="Arial"/>
          <w:sz w:val="24"/>
          <w:szCs w:val="24"/>
        </w:rPr>
        <w:t>homens</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 xml:space="preserve">podendo ser </w:t>
      </w:r>
      <w:r w:rsidR="008405FE">
        <w:rPr>
          <w:rFonts w:ascii="Garamond" w:eastAsiaTheme="minorHAnsi" w:hAnsi="Garamond" w:cs="Arial"/>
          <w:sz w:val="24"/>
          <w:szCs w:val="24"/>
        </w:rPr>
        <w:t xml:space="preserve">alargada </w:t>
      </w:r>
      <w:r w:rsidR="00282B4D" w:rsidRPr="003A1174">
        <w:rPr>
          <w:rFonts w:ascii="Garamond" w:eastAsiaTheme="minorHAnsi" w:hAnsi="Garamond" w:cs="Arial"/>
          <w:sz w:val="24"/>
          <w:szCs w:val="24"/>
        </w:rPr>
        <w:t xml:space="preserve">a sua </w:t>
      </w:r>
      <w:r w:rsidR="006B29BF" w:rsidRPr="003A1174">
        <w:rPr>
          <w:rFonts w:ascii="Garamond" w:eastAsiaTheme="minorHAnsi" w:hAnsi="Garamond" w:cs="Arial"/>
          <w:sz w:val="24"/>
          <w:szCs w:val="24"/>
        </w:rPr>
        <w:t>duração</w:t>
      </w:r>
      <w:r w:rsidR="00CE3C9D" w:rsidRPr="003A1174">
        <w:rPr>
          <w:rFonts w:ascii="Garamond" w:eastAsiaTheme="minorHAnsi" w:hAnsi="Garamond" w:cs="Arial"/>
          <w:sz w:val="24"/>
          <w:szCs w:val="24"/>
        </w:rPr>
        <w:t xml:space="preserve"> de </w:t>
      </w:r>
      <w:r w:rsidR="003F012B" w:rsidRPr="003A1174">
        <w:rPr>
          <w:rFonts w:ascii="Garamond" w:eastAsiaTheme="minorHAnsi" w:hAnsi="Garamond" w:cs="Arial"/>
          <w:sz w:val="24"/>
          <w:szCs w:val="24"/>
        </w:rPr>
        <w:t>acordo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 xml:space="preserve">com o </w:t>
      </w:r>
      <w:r w:rsidR="00CE3C9D" w:rsidRPr="003A1174">
        <w:rPr>
          <w:rFonts w:ascii="Garamond" w:eastAsiaTheme="minorHAnsi" w:hAnsi="Garamond" w:cs="Arial"/>
          <w:sz w:val="24"/>
          <w:szCs w:val="24"/>
        </w:rPr>
        <w:t xml:space="preserve">diagnóstico emitido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 xml:space="preserve">assessor </w:t>
      </w:r>
      <w:r w:rsidR="00CE3C9D" w:rsidRPr="003A1174">
        <w:rPr>
          <w:rFonts w:ascii="Garamond" w:eastAsiaTheme="minorHAnsi" w:hAnsi="Garamond" w:cs="Arial"/>
          <w:sz w:val="24"/>
          <w:szCs w:val="24"/>
        </w:rPr>
        <w:t xml:space="preserve">familiar. </w:t>
      </w:r>
      <w:r w:rsidR="00282B4D" w:rsidRPr="003A1174">
        <w:rPr>
          <w:rFonts w:ascii="Garamond" w:eastAsiaTheme="minorHAnsi" w:hAnsi="Garamond" w:cs="Arial"/>
          <w:sz w:val="24"/>
          <w:szCs w:val="24"/>
        </w:rPr>
        <w:t>O tribunal</w:t>
      </w:r>
      <w:r w:rsidR="00CE3C9D" w:rsidRPr="003A1174">
        <w:rPr>
          <w:rFonts w:ascii="Garamond" w:eastAsiaTheme="minorHAnsi" w:hAnsi="Garamond" w:cs="Arial"/>
          <w:sz w:val="24"/>
          <w:szCs w:val="24"/>
        </w:rPr>
        <w:t xml:space="preserve"> competente, </w:t>
      </w:r>
      <w:r w:rsidR="00282B4D" w:rsidRPr="003A1174">
        <w:rPr>
          <w:rFonts w:ascii="Garamond" w:eastAsiaTheme="minorHAnsi" w:hAnsi="Garamond" w:cs="Arial"/>
          <w:sz w:val="24"/>
          <w:szCs w:val="24"/>
        </w:rPr>
        <w:t xml:space="preserve">através </w:t>
      </w:r>
      <w:r w:rsidR="00CE3C9D" w:rsidRPr="003A1174">
        <w:rPr>
          <w:rFonts w:ascii="Garamond" w:eastAsiaTheme="minorHAnsi" w:hAnsi="Garamond" w:cs="Arial"/>
          <w:sz w:val="24"/>
          <w:szCs w:val="24"/>
        </w:rPr>
        <w:t xml:space="preserve">de </w:t>
      </w:r>
      <w:r w:rsidR="00282B4D" w:rsidRPr="003A1174">
        <w:rPr>
          <w:rFonts w:ascii="Garamond" w:eastAsiaTheme="minorHAnsi" w:hAnsi="Garamond" w:cs="Arial"/>
          <w:sz w:val="24"/>
          <w:szCs w:val="24"/>
        </w:rPr>
        <w:t>ofício</w:t>
      </w:r>
      <w:r w:rsidR="008405FE">
        <w:rPr>
          <w:rFonts w:ascii="Garamond" w:eastAsiaTheme="minorHAnsi" w:hAnsi="Garamond" w:cs="Arial"/>
          <w:sz w:val="24"/>
          <w:szCs w:val="24"/>
        </w:rPr>
        <w:t>,</w:t>
      </w:r>
      <w:r w:rsidR="00CE3C9D" w:rsidRPr="003A1174">
        <w:rPr>
          <w:rFonts w:ascii="Garamond" w:eastAsiaTheme="minorHAnsi" w:hAnsi="Garamond" w:cs="Arial"/>
          <w:sz w:val="24"/>
          <w:szCs w:val="24"/>
        </w:rPr>
        <w:t xml:space="preserve"> o</w:t>
      </w:r>
      <w:r w:rsidR="00282B4D" w:rsidRPr="003A1174">
        <w:rPr>
          <w:rFonts w:ascii="Garamond" w:eastAsiaTheme="minorHAnsi" w:hAnsi="Garamond" w:cs="Arial"/>
          <w:sz w:val="24"/>
          <w:szCs w:val="24"/>
        </w:rPr>
        <w:t>u</w:t>
      </w:r>
      <w:r w:rsidR="00CE3C9D" w:rsidRPr="003A1174">
        <w:rPr>
          <w:rFonts w:ascii="Garamond" w:eastAsiaTheme="minorHAnsi" w:hAnsi="Garamond" w:cs="Arial"/>
          <w:sz w:val="24"/>
          <w:szCs w:val="24"/>
        </w:rPr>
        <w:t xml:space="preserve"> a</w:t>
      </w:r>
      <w:r w:rsidR="005533B6"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pe</w:t>
      </w:r>
      <w:r w:rsidR="00282B4D" w:rsidRPr="003A1174">
        <w:rPr>
          <w:rFonts w:ascii="Garamond" w:eastAsiaTheme="minorHAnsi" w:hAnsi="Garamond" w:cs="Arial"/>
          <w:sz w:val="24"/>
          <w:szCs w:val="24"/>
        </w:rPr>
        <w:t xml:space="preserve">dido da </w:t>
      </w:r>
      <w:r w:rsidR="00CE3C9D" w:rsidRPr="003A1174">
        <w:rPr>
          <w:rFonts w:ascii="Garamond" w:eastAsiaTheme="minorHAnsi" w:hAnsi="Garamond" w:cs="Arial"/>
          <w:sz w:val="24"/>
          <w:szCs w:val="24"/>
        </w:rPr>
        <w:t>parte denunciante, pod</w:t>
      </w:r>
      <w:r w:rsidR="00282B4D" w:rsidRPr="003A1174">
        <w:rPr>
          <w:rFonts w:ascii="Garamond" w:eastAsiaTheme="minorHAnsi" w:hAnsi="Garamond" w:cs="Arial"/>
          <w:sz w:val="24"/>
          <w:szCs w:val="24"/>
        </w:rPr>
        <w:t>e</w:t>
      </w:r>
      <w:r w:rsidR="00CE3C9D" w:rsidRPr="003A1174">
        <w:rPr>
          <w:rFonts w:ascii="Garamond" w:eastAsiaTheme="minorHAnsi" w:hAnsi="Garamond" w:cs="Arial"/>
          <w:sz w:val="24"/>
          <w:szCs w:val="24"/>
        </w:rPr>
        <w:t>rá prorrogar por do</w:t>
      </w:r>
      <w:r w:rsidR="00282B4D" w:rsidRPr="003A1174">
        <w:rPr>
          <w:rFonts w:ascii="Garamond" w:eastAsiaTheme="minorHAnsi" w:hAnsi="Garamond" w:cs="Arial"/>
          <w:sz w:val="24"/>
          <w:szCs w:val="24"/>
        </w:rPr>
        <w:t>i</w:t>
      </w:r>
      <w:r w:rsidR="00CE3C9D" w:rsidRPr="003A1174">
        <w:rPr>
          <w:rFonts w:ascii="Garamond" w:eastAsiaTheme="minorHAnsi" w:hAnsi="Garamond" w:cs="Arial"/>
          <w:sz w:val="24"/>
          <w:szCs w:val="24"/>
        </w:rPr>
        <w:t xml:space="preserve">s meses </w:t>
      </w:r>
      <w:r>
        <w:rPr>
          <w:rFonts w:ascii="Garamond" w:eastAsiaTheme="minorHAnsi" w:hAnsi="Garamond" w:cs="Arial"/>
          <w:sz w:val="24"/>
          <w:szCs w:val="24"/>
        </w:rPr>
        <w:t>-</w:t>
      </w:r>
      <w:r w:rsidR="00282B4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282B4D" w:rsidRPr="003A1174">
        <w:rPr>
          <w:rFonts w:ascii="Garamond" w:eastAsiaTheme="minorHAnsi" w:hAnsi="Garamond" w:cs="Arial"/>
          <w:sz w:val="24"/>
          <w:szCs w:val="24"/>
        </w:rPr>
        <w:t xml:space="preserve"> por um</w:t>
      </w:r>
      <w:r w:rsidR="00CE3C9D" w:rsidRPr="003A1174">
        <w:rPr>
          <w:rFonts w:ascii="Garamond" w:eastAsiaTheme="minorHAnsi" w:hAnsi="Garamond" w:cs="Arial"/>
          <w:sz w:val="24"/>
          <w:szCs w:val="24"/>
        </w:rPr>
        <w:t>a s</w:t>
      </w:r>
      <w:r w:rsidR="00282B4D" w:rsidRPr="003A1174">
        <w:rPr>
          <w:rFonts w:ascii="Garamond" w:eastAsiaTheme="minorHAnsi" w:hAnsi="Garamond" w:cs="Arial"/>
          <w:sz w:val="24"/>
          <w:szCs w:val="24"/>
        </w:rPr>
        <w:t xml:space="preserve">ó </w:t>
      </w:r>
      <w:r w:rsidR="00CE3C9D" w:rsidRPr="003A1174">
        <w:rPr>
          <w:rFonts w:ascii="Garamond" w:eastAsiaTheme="minorHAnsi" w:hAnsi="Garamond" w:cs="Arial"/>
          <w:sz w:val="24"/>
          <w:szCs w:val="24"/>
        </w:rPr>
        <w:t>vez</w:t>
      </w:r>
      <w:r w:rsidR="00282B4D" w:rsidRPr="003A1174">
        <w:rPr>
          <w:rFonts w:ascii="Garamond" w:eastAsiaTheme="minorHAnsi" w:hAnsi="Garamond" w:cs="Arial"/>
          <w:sz w:val="24"/>
          <w:szCs w:val="24"/>
        </w:rPr>
        <w:t xml:space="preserve"> </w:t>
      </w:r>
      <w:r>
        <w:rPr>
          <w:rFonts w:ascii="Garamond" w:eastAsiaTheme="minorHAnsi" w:hAnsi="Garamond" w:cs="Arial"/>
          <w:sz w:val="24"/>
          <w:szCs w:val="24"/>
        </w:rPr>
        <w:t>-</w:t>
      </w:r>
      <w:r w:rsidR="00CE3C9D" w:rsidRPr="003A1174">
        <w:rPr>
          <w:rFonts w:ascii="Garamond" w:eastAsiaTheme="minorHAnsi" w:hAnsi="Garamond" w:cs="Arial"/>
          <w:sz w:val="24"/>
          <w:szCs w:val="24"/>
        </w:rPr>
        <w:t xml:space="preserve"> u</w:t>
      </w:r>
      <w:r w:rsidR="00282B4D" w:rsidRPr="003A1174">
        <w:rPr>
          <w:rFonts w:ascii="Garamond" w:eastAsiaTheme="minorHAnsi" w:hAnsi="Garamond" w:cs="Arial"/>
          <w:sz w:val="24"/>
          <w:szCs w:val="24"/>
        </w:rPr>
        <w:t>m</w:t>
      </w:r>
      <w:r w:rsidR="00CE3C9D" w:rsidRPr="003A1174">
        <w:rPr>
          <w:rFonts w:ascii="Garamond" w:eastAsiaTheme="minorHAnsi" w:hAnsi="Garamond" w:cs="Arial"/>
          <w:sz w:val="24"/>
          <w:szCs w:val="24"/>
        </w:rPr>
        <w:t>a o</w:t>
      </w:r>
      <w:r w:rsidR="00282B4D" w:rsidRPr="003A1174">
        <w:rPr>
          <w:rFonts w:ascii="Garamond" w:eastAsiaTheme="minorHAnsi" w:hAnsi="Garamond" w:cs="Arial"/>
          <w:sz w:val="24"/>
          <w:szCs w:val="24"/>
        </w:rPr>
        <w:t>u</w:t>
      </w:r>
      <w:r w:rsidR="00CE3C9D" w:rsidRPr="003A1174">
        <w:rPr>
          <w:rFonts w:ascii="Garamond" w:eastAsiaTheme="minorHAnsi" w:hAnsi="Garamond" w:cs="Arial"/>
          <w:sz w:val="24"/>
          <w:szCs w:val="24"/>
        </w:rPr>
        <w:t xml:space="preserve"> </w:t>
      </w:r>
      <w:r w:rsidR="00282B4D" w:rsidRPr="003A1174">
        <w:rPr>
          <w:rFonts w:ascii="Garamond" w:eastAsiaTheme="minorHAnsi" w:hAnsi="Garamond" w:cs="Arial"/>
          <w:sz w:val="24"/>
          <w:szCs w:val="24"/>
        </w:rPr>
        <w:t>vária</w:t>
      </w:r>
      <w:r w:rsidR="00CE3C9D"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medidas de </w:t>
      </w:r>
      <w:r w:rsidR="00D15AFF" w:rsidRPr="003A1174">
        <w:rPr>
          <w:rFonts w:ascii="Garamond" w:eastAsiaTheme="minorHAnsi" w:hAnsi="Garamond" w:cs="Arial"/>
          <w:sz w:val="24"/>
          <w:szCs w:val="24"/>
        </w:rPr>
        <w:t>segurança</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medidas cautelares que </w:t>
      </w:r>
      <w:r>
        <w:rPr>
          <w:rFonts w:ascii="Garamond" w:eastAsiaTheme="minorHAnsi" w:hAnsi="Garamond" w:cs="Arial"/>
          <w:sz w:val="24"/>
          <w:szCs w:val="24"/>
        </w:rPr>
        <w:t>entender por</w:t>
      </w:r>
      <w:r w:rsidR="00CE3C9D" w:rsidRPr="003A1174">
        <w:rPr>
          <w:rFonts w:ascii="Garamond" w:eastAsiaTheme="minorHAnsi" w:hAnsi="Garamond" w:cs="Arial"/>
          <w:sz w:val="24"/>
          <w:szCs w:val="24"/>
        </w:rPr>
        <w:t xml:space="preserve"> conveniente.</w:t>
      </w:r>
    </w:p>
    <w:p w:rsidR="00CE3C9D" w:rsidRPr="003A1174" w:rsidRDefault="00282B4D"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É </w:t>
      </w:r>
      <w:r w:rsidR="00CE3C9D" w:rsidRPr="003A1174">
        <w:rPr>
          <w:rFonts w:ascii="Garamond" w:eastAsiaTheme="minorHAnsi" w:hAnsi="Garamond" w:cs="Arial"/>
          <w:sz w:val="24"/>
          <w:szCs w:val="24"/>
        </w:rPr>
        <w:t xml:space="preserve">importante </w:t>
      </w:r>
      <w:r w:rsidRPr="003A1174">
        <w:rPr>
          <w:rFonts w:ascii="Garamond" w:eastAsiaTheme="minorHAnsi" w:hAnsi="Garamond" w:cs="Arial"/>
          <w:sz w:val="24"/>
          <w:szCs w:val="24"/>
        </w:rPr>
        <w:t xml:space="preserve">referir que </w:t>
      </w:r>
      <w:r w:rsidR="00CE3C9D"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contra a</w:t>
      </w:r>
      <w:r w:rsidR="00CE3C9D"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w:t>
      </w:r>
      <w:r w:rsidR="00152A44" w:rsidRPr="003A1174">
        <w:rPr>
          <w:rFonts w:ascii="Garamond" w:eastAsiaTheme="minorHAnsi" w:hAnsi="Garamond" w:cs="Arial"/>
          <w:sz w:val="24"/>
          <w:szCs w:val="24"/>
        </w:rPr>
        <w:t>estabelece</w:t>
      </w:r>
      <w:r w:rsidRPr="003A1174">
        <w:rPr>
          <w:rFonts w:ascii="Garamond" w:eastAsiaTheme="minorHAnsi" w:hAnsi="Garamond" w:cs="Arial"/>
          <w:sz w:val="24"/>
          <w:szCs w:val="24"/>
        </w:rPr>
        <w:t xml:space="preserve"> que </w:t>
      </w:r>
      <w:r w:rsidR="00CE3C9D" w:rsidRPr="003A1174">
        <w:rPr>
          <w:rFonts w:ascii="Garamond" w:eastAsiaTheme="minorHAnsi" w:hAnsi="Garamond" w:cs="Arial"/>
          <w:sz w:val="24"/>
          <w:szCs w:val="24"/>
        </w:rPr>
        <w:t xml:space="preserve">as </w:t>
      </w:r>
      <w:r w:rsidR="002470B1" w:rsidRPr="003A1174">
        <w:rPr>
          <w:rFonts w:ascii="Garamond" w:eastAsiaTheme="minorHAnsi" w:hAnsi="Garamond" w:cs="Arial"/>
          <w:sz w:val="24"/>
          <w:szCs w:val="24"/>
        </w:rPr>
        <w:t>organizações</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não-governamentais</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o </w:t>
      </w:r>
      <w:r w:rsidR="00BE4EB8" w:rsidRPr="003A1174">
        <w:rPr>
          <w:rFonts w:ascii="Garamond" w:eastAsiaTheme="minorHAnsi" w:hAnsi="Garamond" w:cs="Arial"/>
          <w:sz w:val="24"/>
          <w:szCs w:val="24"/>
        </w:rPr>
        <w:t>Comissário</w:t>
      </w:r>
      <w:r w:rsidR="00CE3C9D" w:rsidRPr="003A1174">
        <w:rPr>
          <w:rFonts w:ascii="Garamond" w:eastAsiaTheme="minorHAnsi" w:hAnsi="Garamond" w:cs="Arial"/>
          <w:sz w:val="24"/>
          <w:szCs w:val="24"/>
        </w:rPr>
        <w:t xml:space="preserve"> Nacional </w:t>
      </w:r>
      <w:r w:rsidR="00497503" w:rsidRPr="003A1174">
        <w:rPr>
          <w:rFonts w:ascii="Garamond" w:eastAsiaTheme="minorHAnsi" w:hAnsi="Garamond" w:cs="Arial"/>
          <w:sz w:val="24"/>
          <w:szCs w:val="24"/>
        </w:rPr>
        <w:t>dos</w:t>
      </w:r>
      <w:r w:rsidR="00CE3C9D"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 xml:space="preserve">s Humanos </w:t>
      </w:r>
      <w:r w:rsidR="00AF192F" w:rsidRPr="003A1174">
        <w:rPr>
          <w:rFonts w:ascii="Garamond" w:eastAsiaTheme="minorHAnsi" w:hAnsi="Garamond" w:cs="Arial"/>
          <w:sz w:val="24"/>
          <w:szCs w:val="24"/>
        </w:rPr>
        <w:t>dever</w:t>
      </w:r>
      <w:r w:rsidRPr="003A1174">
        <w:rPr>
          <w:rFonts w:ascii="Garamond" w:eastAsiaTheme="minorHAnsi" w:hAnsi="Garamond" w:cs="Arial"/>
          <w:sz w:val="24"/>
          <w:szCs w:val="24"/>
        </w:rPr>
        <w:t xml:space="preserve">ão remeter para o </w:t>
      </w:r>
      <w:r w:rsidR="008405FE">
        <w:rPr>
          <w:rFonts w:ascii="Garamond" w:eastAsiaTheme="minorHAnsi" w:hAnsi="Garamond" w:cs="Arial"/>
          <w:sz w:val="24"/>
          <w:szCs w:val="24"/>
        </w:rPr>
        <w:t>t</w:t>
      </w:r>
      <w:r w:rsidRPr="003A1174">
        <w:rPr>
          <w:rFonts w:ascii="Garamond" w:eastAsiaTheme="minorHAnsi" w:hAnsi="Garamond" w:cs="Arial"/>
          <w:sz w:val="24"/>
          <w:szCs w:val="24"/>
        </w:rPr>
        <w:t>ribunal</w:t>
      </w:r>
      <w:r w:rsidR="00B5431B" w:rsidRPr="003A1174">
        <w:rPr>
          <w:rFonts w:ascii="Garamond" w:eastAsiaTheme="minorHAnsi" w:hAnsi="Garamond" w:cs="Arial"/>
          <w:sz w:val="24"/>
          <w:szCs w:val="24"/>
        </w:rPr>
        <w:t xml:space="preserve"> competente</w:t>
      </w:r>
      <w:r w:rsidR="005533B6" w:rsidRPr="003A1174">
        <w:rPr>
          <w:rFonts w:ascii="Garamond" w:eastAsiaTheme="minorHAnsi" w:hAnsi="Garamond" w:cs="Arial"/>
          <w:sz w:val="24"/>
          <w:szCs w:val="24"/>
        </w:rPr>
        <w:t xml:space="preserve"> o</w:t>
      </w:r>
      <w:r w:rsidRPr="003A1174">
        <w:rPr>
          <w:rFonts w:ascii="Garamond" w:eastAsiaTheme="minorHAnsi" w:hAnsi="Garamond" w:cs="Arial"/>
          <w:sz w:val="24"/>
          <w:szCs w:val="24"/>
        </w:rPr>
        <w:t>u</w:t>
      </w:r>
      <w:r w:rsidR="00B5431B" w:rsidRPr="003A1174">
        <w:rPr>
          <w:rFonts w:ascii="Garamond" w:eastAsiaTheme="minorHAnsi" w:hAnsi="Garamond" w:cs="Arial"/>
          <w:sz w:val="24"/>
          <w:szCs w:val="24"/>
        </w:rPr>
        <w:t>,</w:t>
      </w:r>
      <w:r w:rsidR="005533B6" w:rsidRPr="003A1174">
        <w:rPr>
          <w:rFonts w:ascii="Garamond" w:eastAsiaTheme="minorHAnsi" w:hAnsi="Garamond" w:cs="Arial"/>
          <w:sz w:val="24"/>
          <w:szCs w:val="24"/>
        </w:rPr>
        <w:t xml:space="preserve"> </w:t>
      </w:r>
      <w:r w:rsidR="00B5431B" w:rsidRPr="003A1174">
        <w:rPr>
          <w:rFonts w:ascii="Garamond" w:eastAsiaTheme="minorHAnsi" w:hAnsi="Garamond" w:cs="Arial"/>
          <w:sz w:val="24"/>
          <w:szCs w:val="24"/>
        </w:rPr>
        <w:t xml:space="preserve">na sua ausência, </w:t>
      </w:r>
      <w:r w:rsidR="005533B6" w:rsidRPr="003A1174">
        <w:rPr>
          <w:rFonts w:ascii="Garamond" w:eastAsiaTheme="minorHAnsi" w:hAnsi="Garamond" w:cs="Arial"/>
          <w:sz w:val="24"/>
          <w:szCs w:val="24"/>
        </w:rPr>
        <w:t>a</w:t>
      </w:r>
      <w:r w:rsidRPr="003A1174">
        <w:rPr>
          <w:rFonts w:ascii="Garamond" w:eastAsiaTheme="minorHAnsi" w:hAnsi="Garamond" w:cs="Arial"/>
          <w:sz w:val="24"/>
          <w:szCs w:val="24"/>
        </w:rPr>
        <w:t xml:space="preserve">o </w:t>
      </w:r>
      <w:r w:rsidR="00D77C19" w:rsidRPr="003A1174">
        <w:rPr>
          <w:rFonts w:ascii="Garamond" w:eastAsiaTheme="minorHAnsi" w:hAnsi="Garamond" w:cs="Arial"/>
          <w:sz w:val="24"/>
          <w:szCs w:val="24"/>
        </w:rPr>
        <w:t>Ministério</w:t>
      </w:r>
      <w:r w:rsidR="005533B6" w:rsidRPr="003A1174">
        <w:rPr>
          <w:rFonts w:ascii="Garamond" w:eastAsiaTheme="minorHAnsi" w:hAnsi="Garamond" w:cs="Arial"/>
          <w:sz w:val="24"/>
          <w:szCs w:val="24"/>
        </w:rPr>
        <w:t xml:space="preserve"> Público o</w:t>
      </w:r>
      <w:r w:rsidRPr="003A1174">
        <w:rPr>
          <w:rFonts w:ascii="Garamond" w:eastAsiaTheme="minorHAnsi" w:hAnsi="Garamond" w:cs="Arial"/>
          <w:sz w:val="24"/>
          <w:szCs w:val="24"/>
        </w:rPr>
        <w:t>u</w:t>
      </w:r>
      <w:r w:rsidR="005533B6"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à</w:t>
      </w:r>
      <w:r w:rsidR="005533B6" w:rsidRPr="003A1174">
        <w:rPr>
          <w:rFonts w:ascii="Garamond" w:eastAsiaTheme="minorHAnsi" w:hAnsi="Garamond" w:cs="Arial"/>
          <w:sz w:val="24"/>
          <w:szCs w:val="24"/>
        </w:rPr>
        <w:t xml:space="preserve"> </w:t>
      </w:r>
      <w:r w:rsidR="00D75A07" w:rsidRPr="003A1174">
        <w:rPr>
          <w:rFonts w:ascii="Garamond" w:eastAsiaTheme="minorHAnsi" w:hAnsi="Garamond" w:cs="Arial"/>
          <w:sz w:val="24"/>
          <w:szCs w:val="24"/>
        </w:rPr>
        <w:t>Secretaria</w:t>
      </w:r>
      <w:r w:rsidR="005533B6" w:rsidRPr="003A1174">
        <w:rPr>
          <w:rFonts w:ascii="Garamond" w:eastAsiaTheme="minorHAnsi" w:hAnsi="Garamond" w:cs="Arial"/>
          <w:sz w:val="24"/>
          <w:szCs w:val="24"/>
        </w:rPr>
        <w:t xml:space="preserve"> de Estado </w:t>
      </w:r>
      <w:r w:rsidRPr="003A1174">
        <w:rPr>
          <w:rFonts w:ascii="Garamond" w:eastAsiaTheme="minorHAnsi" w:hAnsi="Garamond" w:cs="Arial"/>
          <w:sz w:val="24"/>
          <w:szCs w:val="24"/>
        </w:rPr>
        <w:t xml:space="preserve">no </w:t>
      </w:r>
      <w:r w:rsidR="00B5431B" w:rsidRPr="003A1174">
        <w:rPr>
          <w:rFonts w:ascii="Garamond" w:eastAsiaTheme="minorHAnsi" w:hAnsi="Garamond" w:cs="Arial"/>
          <w:sz w:val="24"/>
          <w:szCs w:val="24"/>
        </w:rPr>
        <w:t>Gabinete</w:t>
      </w:r>
      <w:r w:rsidR="005533B6" w:rsidRPr="003A1174">
        <w:rPr>
          <w:rFonts w:ascii="Garamond" w:eastAsiaTheme="minorHAnsi" w:hAnsi="Garamond" w:cs="Arial"/>
          <w:sz w:val="24"/>
          <w:szCs w:val="24"/>
        </w:rPr>
        <w:t xml:space="preserve"> de </w:t>
      </w:r>
      <w:r w:rsidR="00D15AFF" w:rsidRPr="003A1174">
        <w:rPr>
          <w:rFonts w:ascii="Garamond" w:eastAsiaTheme="minorHAnsi" w:hAnsi="Garamond" w:cs="Arial"/>
          <w:sz w:val="24"/>
          <w:szCs w:val="24"/>
        </w:rPr>
        <w:t>Segurança</w:t>
      </w:r>
      <w:r w:rsidR="005533B6"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aquel</w:t>
      </w:r>
      <w:r w:rsidR="00B5431B"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s casos que </w:t>
      </w:r>
      <w:r w:rsidR="00B5431B" w:rsidRPr="003A1174">
        <w:rPr>
          <w:rFonts w:ascii="Garamond" w:eastAsiaTheme="minorHAnsi" w:hAnsi="Garamond" w:cs="Arial"/>
          <w:sz w:val="24"/>
          <w:szCs w:val="24"/>
        </w:rPr>
        <w:t xml:space="preserve">cheguem ao seu </w:t>
      </w:r>
      <w:r w:rsidR="003E6403" w:rsidRPr="003A1174">
        <w:rPr>
          <w:rFonts w:ascii="Garamond" w:eastAsiaTheme="minorHAnsi" w:hAnsi="Garamond" w:cs="Arial"/>
          <w:sz w:val="24"/>
          <w:szCs w:val="24"/>
        </w:rPr>
        <w:t>conhecimento</w:t>
      </w:r>
      <w:r w:rsidR="00CE3C9D" w:rsidRPr="003A1174">
        <w:rPr>
          <w:rFonts w:ascii="Garamond" w:eastAsiaTheme="minorHAnsi" w:hAnsi="Garamond" w:cs="Arial"/>
          <w:sz w:val="24"/>
          <w:szCs w:val="24"/>
        </w:rPr>
        <w:t xml:space="preserve">, </w:t>
      </w:r>
      <w:r w:rsidR="00B5431B" w:rsidRPr="003A1174">
        <w:rPr>
          <w:rFonts w:ascii="Garamond" w:eastAsiaTheme="minorHAnsi" w:hAnsi="Garamond" w:cs="Arial"/>
          <w:sz w:val="24"/>
          <w:szCs w:val="24"/>
        </w:rPr>
        <w:t xml:space="preserve">no prazo de vinte e quatro horas, </w:t>
      </w:r>
      <w:r w:rsidR="008405FE">
        <w:rPr>
          <w:rFonts w:ascii="Garamond" w:eastAsiaTheme="minorHAnsi" w:hAnsi="Garamond" w:cs="Arial"/>
          <w:sz w:val="24"/>
          <w:szCs w:val="24"/>
        </w:rPr>
        <w:t xml:space="preserve">após a </w:t>
      </w:r>
      <w:r w:rsidR="00B5431B" w:rsidRPr="003A1174">
        <w:rPr>
          <w:rFonts w:ascii="Garamond" w:eastAsiaTheme="minorHAnsi" w:hAnsi="Garamond" w:cs="Arial"/>
          <w:sz w:val="24"/>
          <w:szCs w:val="24"/>
        </w:rPr>
        <w:t xml:space="preserve">sua receção, podendo sugerir </w:t>
      </w:r>
      <w:r w:rsidR="00CE3C9D" w:rsidRPr="003A1174">
        <w:rPr>
          <w:rFonts w:ascii="Garamond" w:eastAsiaTheme="minorHAnsi" w:hAnsi="Garamond" w:cs="Arial"/>
          <w:sz w:val="24"/>
          <w:szCs w:val="24"/>
        </w:rPr>
        <w:t xml:space="preserve">a </w:t>
      </w:r>
      <w:r w:rsidR="009024A0" w:rsidRPr="003A1174">
        <w:rPr>
          <w:rFonts w:ascii="Garamond" w:eastAsiaTheme="minorHAnsi" w:hAnsi="Garamond" w:cs="Arial"/>
          <w:sz w:val="24"/>
          <w:szCs w:val="24"/>
        </w:rPr>
        <w:t>imposição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CE3C9D" w:rsidRPr="003A1174">
        <w:rPr>
          <w:rFonts w:ascii="Garamond" w:eastAsiaTheme="minorHAnsi" w:hAnsi="Garamond" w:cs="Arial"/>
          <w:sz w:val="24"/>
          <w:szCs w:val="24"/>
        </w:rPr>
        <w:t xml:space="preserve"> mecanismos de </w:t>
      </w:r>
      <w:r w:rsidR="00886D6A" w:rsidRPr="003A1174">
        <w:rPr>
          <w:rFonts w:ascii="Garamond" w:eastAsiaTheme="minorHAnsi" w:hAnsi="Garamond" w:cs="Arial"/>
          <w:sz w:val="24"/>
          <w:szCs w:val="24"/>
        </w:rPr>
        <w:t>proteção</w:t>
      </w:r>
      <w:r w:rsidR="00CE3C9D" w:rsidRPr="003A1174">
        <w:rPr>
          <w:rFonts w:ascii="Garamond" w:eastAsiaTheme="minorHAnsi" w:hAnsi="Garamond" w:cs="Arial"/>
          <w:sz w:val="24"/>
          <w:szCs w:val="24"/>
        </w:rPr>
        <w:t xml:space="preserve"> que consider</w:t>
      </w:r>
      <w:r w:rsidR="00B5431B" w:rsidRPr="003A1174">
        <w:rPr>
          <w:rFonts w:ascii="Garamond" w:eastAsiaTheme="minorHAnsi" w:hAnsi="Garamond" w:cs="Arial"/>
          <w:sz w:val="24"/>
          <w:szCs w:val="24"/>
        </w:rPr>
        <w:t xml:space="preserve">arem </w:t>
      </w:r>
      <w:r w:rsidR="00C30647" w:rsidRPr="003A1174">
        <w:rPr>
          <w:rFonts w:ascii="Garamond" w:eastAsiaTheme="minorHAnsi" w:hAnsi="Garamond" w:cs="Arial"/>
          <w:sz w:val="24"/>
          <w:szCs w:val="24"/>
        </w:rPr>
        <w:t>necessário</w:t>
      </w:r>
      <w:r w:rsidR="00CE3C9D" w:rsidRPr="003A1174">
        <w:rPr>
          <w:rFonts w:ascii="Garamond" w:eastAsiaTheme="minorHAnsi" w:hAnsi="Garamond" w:cs="Arial"/>
          <w:sz w:val="24"/>
          <w:szCs w:val="24"/>
        </w:rPr>
        <w:t>s.</w:t>
      </w:r>
    </w:p>
    <w:p w:rsidR="00CE3C9D" w:rsidRPr="003A1174" w:rsidRDefault="00684945" w:rsidP="008719D4">
      <w:pPr>
        <w:pStyle w:val="Ttulo4"/>
        <w:spacing w:line="240" w:lineRule="auto"/>
        <w:rPr>
          <w:rFonts w:ascii="Garamond" w:eastAsiaTheme="minorHAnsi" w:hAnsi="Garamond"/>
          <w:sz w:val="24"/>
          <w:szCs w:val="24"/>
        </w:rPr>
      </w:pPr>
      <w:r w:rsidRPr="003A1174">
        <w:rPr>
          <w:rFonts w:ascii="Garamond" w:eastAsiaTheme="minorHAnsi" w:hAnsi="Garamond"/>
          <w:sz w:val="24"/>
          <w:szCs w:val="24"/>
        </w:rPr>
        <w:t xml:space="preserve">Casas </w:t>
      </w:r>
      <w:r w:rsidR="00B936A7" w:rsidRPr="003A1174">
        <w:rPr>
          <w:rFonts w:ascii="Garamond" w:eastAsiaTheme="minorHAnsi" w:hAnsi="Garamond"/>
          <w:sz w:val="24"/>
          <w:szCs w:val="24"/>
        </w:rPr>
        <w:t>abrigo</w:t>
      </w:r>
    </w:p>
    <w:p w:rsidR="00CE3C9D" w:rsidRPr="003A1174" w:rsidRDefault="00B5431B"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contra a</w:t>
      </w:r>
      <w:r w:rsidR="00CE3C9D"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contempla</w:t>
      </w:r>
      <w:r w:rsidR="008405FE">
        <w:rPr>
          <w:rFonts w:ascii="Garamond" w:eastAsiaTheme="minorHAnsi" w:hAnsi="Garamond" w:cs="Arial"/>
          <w:sz w:val="24"/>
          <w:szCs w:val="24"/>
        </w:rPr>
        <w:t>, também,</w:t>
      </w:r>
      <w:r w:rsidR="00CE3C9D" w:rsidRPr="003A1174">
        <w:rPr>
          <w:rFonts w:ascii="Garamond" w:eastAsiaTheme="minorHAnsi" w:hAnsi="Garamond" w:cs="Arial"/>
          <w:sz w:val="24"/>
          <w:szCs w:val="24"/>
        </w:rPr>
        <w:t xml:space="preserve"> </w:t>
      </w:r>
      <w:r w:rsidR="005D62D8">
        <w:rPr>
          <w:rFonts w:ascii="Garamond" w:eastAsiaTheme="minorHAnsi" w:hAnsi="Garamond" w:cs="Arial"/>
          <w:sz w:val="24"/>
          <w:szCs w:val="24"/>
        </w:rPr>
        <w:t xml:space="preserve">a criação </w:t>
      </w:r>
      <w:r w:rsidR="00CE3C9D" w:rsidRPr="003A1174">
        <w:rPr>
          <w:rFonts w:ascii="Garamond" w:eastAsiaTheme="minorHAnsi" w:hAnsi="Garamond" w:cs="Arial"/>
          <w:sz w:val="24"/>
          <w:szCs w:val="24"/>
        </w:rPr>
        <w:t xml:space="preserve">de </w:t>
      </w:r>
      <w:r w:rsidRPr="003A1174">
        <w:rPr>
          <w:rFonts w:ascii="Garamond" w:eastAsiaTheme="minorHAnsi" w:hAnsi="Garamond" w:cs="Arial"/>
          <w:sz w:val="24"/>
          <w:szCs w:val="24"/>
        </w:rPr>
        <w:t>abrigos temporários</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casas </w:t>
      </w:r>
      <w:r w:rsidR="00B936A7" w:rsidRPr="003A1174">
        <w:rPr>
          <w:rFonts w:ascii="Garamond" w:eastAsiaTheme="minorHAnsi" w:hAnsi="Garamond" w:cs="Arial"/>
          <w:sz w:val="24"/>
          <w:szCs w:val="24"/>
        </w:rPr>
        <w:t>abrigo</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com o fim </w:t>
      </w:r>
      <w:r w:rsidR="00CE3C9D" w:rsidRPr="003A1174">
        <w:rPr>
          <w:rFonts w:ascii="Garamond" w:eastAsiaTheme="minorHAnsi" w:hAnsi="Garamond" w:cs="Arial"/>
          <w:sz w:val="24"/>
          <w:szCs w:val="24"/>
        </w:rPr>
        <w:t xml:space="preserve">de </w:t>
      </w:r>
      <w:r w:rsidR="009024A0" w:rsidRPr="003A1174">
        <w:rPr>
          <w:rFonts w:ascii="Garamond" w:eastAsiaTheme="minorHAnsi" w:hAnsi="Garamond" w:cs="Arial"/>
          <w:sz w:val="24"/>
          <w:szCs w:val="24"/>
        </w:rPr>
        <w:t>proporcionar</w:t>
      </w:r>
      <w:r w:rsidR="00CE3C9D"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proteção</w:t>
      </w:r>
      <w:r w:rsidR="00CE3C9D" w:rsidRPr="003A1174">
        <w:rPr>
          <w:rFonts w:ascii="Garamond" w:eastAsiaTheme="minorHAnsi" w:hAnsi="Garamond" w:cs="Arial"/>
          <w:sz w:val="24"/>
          <w:szCs w:val="24"/>
        </w:rPr>
        <w:t xml:space="preserve"> </w:t>
      </w:r>
      <w:r w:rsidR="00201889" w:rsidRPr="003A1174">
        <w:rPr>
          <w:rFonts w:ascii="Garamond" w:eastAsiaTheme="minorHAnsi" w:hAnsi="Garamond" w:cs="Arial"/>
          <w:sz w:val="24"/>
          <w:szCs w:val="24"/>
        </w:rPr>
        <w:t>imediata</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à</w:t>
      </w:r>
      <w:r w:rsidR="00CE3C9D" w:rsidRPr="003A1174">
        <w:rPr>
          <w:rFonts w:ascii="Garamond" w:eastAsiaTheme="minorHAnsi" w:hAnsi="Garamond" w:cs="Arial"/>
          <w:sz w:val="24"/>
          <w:szCs w:val="24"/>
        </w:rPr>
        <w:t xml:space="preserve">s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w:t>
      </w:r>
      <w:r w:rsidR="001B02AD" w:rsidRPr="003A1174">
        <w:rPr>
          <w:rFonts w:ascii="Garamond" w:eastAsiaTheme="minorHAnsi" w:hAnsi="Garamond" w:cs="Arial"/>
          <w:sz w:val="24"/>
          <w:szCs w:val="24"/>
        </w:rPr>
        <w:t>afeta</w:t>
      </w:r>
      <w:r w:rsidR="00CE3C9D" w:rsidRPr="003A1174">
        <w:rPr>
          <w:rFonts w:ascii="Garamond" w:eastAsiaTheme="minorHAnsi" w:hAnsi="Garamond" w:cs="Arial"/>
          <w:sz w:val="24"/>
          <w:szCs w:val="24"/>
        </w:rPr>
        <w:t xml:space="preserve">das </w:t>
      </w:r>
      <w:r w:rsidR="00275092" w:rsidRPr="003A1174">
        <w:rPr>
          <w:rFonts w:ascii="Garamond" w:eastAsiaTheme="minorHAnsi" w:hAnsi="Garamond" w:cs="Arial"/>
          <w:sz w:val="24"/>
          <w:szCs w:val="24"/>
        </w:rPr>
        <w:t>pela</w:t>
      </w:r>
      <w:r w:rsidR="00CE3C9D"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a</w:t>
      </w:r>
      <w:r w:rsidRPr="003A1174">
        <w:rPr>
          <w:rFonts w:ascii="Garamond" w:eastAsiaTheme="minorHAnsi" w:hAnsi="Garamond" w:cs="Arial"/>
          <w:sz w:val="24"/>
          <w:szCs w:val="24"/>
        </w:rPr>
        <w:t>os</w:t>
      </w:r>
      <w:r w:rsidR="00CE3C9D" w:rsidRPr="003A1174">
        <w:rPr>
          <w:rFonts w:ascii="Garamond" w:eastAsiaTheme="minorHAnsi" w:hAnsi="Garamond" w:cs="Arial"/>
          <w:sz w:val="24"/>
          <w:szCs w:val="24"/>
        </w:rPr>
        <w:t xml:space="preserve"> s</w:t>
      </w:r>
      <w:r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us </w:t>
      </w:r>
      <w:r w:rsidR="007A2492" w:rsidRPr="003A1174">
        <w:rPr>
          <w:rFonts w:ascii="Garamond" w:eastAsiaTheme="minorHAnsi" w:hAnsi="Garamond" w:cs="Arial"/>
          <w:sz w:val="24"/>
          <w:szCs w:val="24"/>
        </w:rPr>
        <w:t>filho</w:t>
      </w:r>
      <w:r w:rsidR="00CE3C9D" w:rsidRPr="003A1174">
        <w:rPr>
          <w:rFonts w:ascii="Garamond" w:eastAsiaTheme="minorHAnsi" w:hAnsi="Garamond" w:cs="Arial"/>
          <w:sz w:val="24"/>
          <w:szCs w:val="24"/>
        </w:rPr>
        <w:t xml:space="preserve">s </w:t>
      </w:r>
      <w:r w:rsidRPr="003A1174">
        <w:rPr>
          <w:rFonts w:ascii="Garamond" w:eastAsiaTheme="minorHAnsi" w:hAnsi="Garamond" w:cs="Arial"/>
          <w:sz w:val="24"/>
          <w:szCs w:val="24"/>
        </w:rPr>
        <w:t>dependente</w:t>
      </w:r>
      <w:r w:rsidR="00CE3C9D" w:rsidRPr="003A1174">
        <w:rPr>
          <w:rFonts w:ascii="Garamond" w:eastAsiaTheme="minorHAnsi" w:hAnsi="Garamond" w:cs="Arial"/>
          <w:sz w:val="24"/>
          <w:szCs w:val="24"/>
        </w:rPr>
        <w:t xml:space="preserve">s. </w:t>
      </w:r>
      <w:r w:rsidRPr="003A1174">
        <w:rPr>
          <w:rFonts w:ascii="Garamond" w:eastAsiaTheme="minorHAnsi" w:hAnsi="Garamond" w:cs="Arial"/>
          <w:sz w:val="24"/>
          <w:szCs w:val="24"/>
        </w:rPr>
        <w:t xml:space="preserve">Atualmente, dispõe-se de </w:t>
      </w:r>
      <w:r w:rsidR="00CE3C9D" w:rsidRPr="003A1174">
        <w:rPr>
          <w:rFonts w:ascii="Garamond" w:eastAsiaTheme="minorHAnsi" w:hAnsi="Garamond" w:cs="Arial"/>
          <w:sz w:val="24"/>
          <w:szCs w:val="24"/>
        </w:rPr>
        <w:t xml:space="preserve">seis casas </w:t>
      </w:r>
      <w:r w:rsidR="00B936A7" w:rsidRPr="003A1174">
        <w:rPr>
          <w:rFonts w:ascii="Garamond" w:eastAsiaTheme="minorHAnsi" w:hAnsi="Garamond" w:cs="Arial"/>
          <w:sz w:val="24"/>
          <w:szCs w:val="24"/>
        </w:rPr>
        <w:t>abrigo</w:t>
      </w:r>
      <w:r w:rsidRPr="003A1174">
        <w:rPr>
          <w:rFonts w:ascii="Garamond" w:eastAsiaTheme="minorHAnsi" w:hAnsi="Garamond" w:cs="Arial"/>
          <w:sz w:val="24"/>
          <w:szCs w:val="24"/>
        </w:rPr>
        <w:t xml:space="preserve"> n</w:t>
      </w:r>
      <w:r w:rsidR="00CE3C9D" w:rsidRPr="003A1174">
        <w:rPr>
          <w:rFonts w:ascii="Garamond" w:eastAsiaTheme="minorHAnsi" w:hAnsi="Garamond" w:cs="Arial"/>
          <w:sz w:val="24"/>
          <w:szCs w:val="24"/>
        </w:rPr>
        <w:t xml:space="preserve">as </w:t>
      </w:r>
      <w:r w:rsidR="008651AF" w:rsidRPr="003A1174">
        <w:rPr>
          <w:rFonts w:ascii="Garamond" w:eastAsiaTheme="minorHAnsi" w:hAnsi="Garamond" w:cs="Arial"/>
          <w:sz w:val="24"/>
          <w:szCs w:val="24"/>
        </w:rPr>
        <w:t>cidades</w:t>
      </w:r>
      <w:r w:rsidR="00CE3C9D" w:rsidRPr="003A1174">
        <w:rPr>
          <w:rFonts w:ascii="Garamond" w:eastAsiaTheme="minorHAnsi" w:hAnsi="Garamond" w:cs="Arial"/>
          <w:sz w:val="24"/>
          <w:szCs w:val="24"/>
        </w:rPr>
        <w:t xml:space="preserve"> de Tegucigalpa, San Pedro Sula, La Ceiba, Choluteca, Santa Rosa de Copán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Juticalpa</w:t>
      </w:r>
      <w:r w:rsidR="005533B6" w:rsidRPr="003A1174">
        <w:rPr>
          <w:rFonts w:ascii="Garamond" w:eastAsiaTheme="minorHAnsi" w:hAnsi="Garamond" w:cs="Arial"/>
          <w:sz w:val="24"/>
          <w:szCs w:val="24"/>
        </w:rPr>
        <w:t>;</w:t>
      </w:r>
      <w:r w:rsidRPr="003A1174">
        <w:rPr>
          <w:rFonts w:ascii="Garamond" w:eastAsiaTheme="minorHAnsi" w:hAnsi="Garamond" w:cs="Arial"/>
          <w:sz w:val="24"/>
          <w:szCs w:val="24"/>
        </w:rPr>
        <w:t xml:space="preserve"> </w:t>
      </w:r>
      <w:r w:rsidR="008405FE">
        <w:rPr>
          <w:rFonts w:ascii="Garamond" w:eastAsiaTheme="minorHAnsi" w:hAnsi="Garamond" w:cs="Arial"/>
          <w:sz w:val="24"/>
          <w:szCs w:val="24"/>
        </w:rPr>
        <w:t>algumas</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dispõem do </w:t>
      </w:r>
      <w:r w:rsidR="00791197" w:rsidRPr="003A1174">
        <w:rPr>
          <w:rFonts w:ascii="Garamond" w:eastAsiaTheme="minorHAnsi" w:hAnsi="Garamond" w:cs="Arial"/>
          <w:sz w:val="24"/>
          <w:szCs w:val="24"/>
        </w:rPr>
        <w:t>apoio</w:t>
      </w:r>
      <w:r w:rsidR="005533B6"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 xml:space="preserve">de </w:t>
      </w:r>
      <w:r w:rsidR="002470B1" w:rsidRPr="003A1174">
        <w:rPr>
          <w:rFonts w:ascii="Garamond" w:eastAsiaTheme="minorHAnsi" w:hAnsi="Garamond" w:cs="Arial"/>
          <w:sz w:val="24"/>
          <w:szCs w:val="24"/>
        </w:rPr>
        <w:t>organizações</w:t>
      </w:r>
      <w:r w:rsidR="00CE3C9D" w:rsidRPr="003A1174">
        <w:rPr>
          <w:rFonts w:ascii="Garamond" w:eastAsiaTheme="minorHAnsi" w:hAnsi="Garamond" w:cs="Arial"/>
          <w:sz w:val="24"/>
          <w:szCs w:val="24"/>
        </w:rPr>
        <w:t xml:space="preserve"> </w:t>
      </w:r>
      <w:proofErr w:type="gramStart"/>
      <w:r w:rsidRPr="003A1174">
        <w:rPr>
          <w:rFonts w:ascii="Garamond" w:eastAsiaTheme="minorHAnsi" w:hAnsi="Garamond" w:cs="Arial"/>
          <w:sz w:val="24"/>
          <w:szCs w:val="24"/>
        </w:rPr>
        <w:t>não-governamentais</w:t>
      </w:r>
      <w:proofErr w:type="gramEnd"/>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17447A" w:rsidRPr="003A1174">
        <w:rPr>
          <w:rFonts w:ascii="Garamond" w:eastAsiaTheme="minorHAnsi" w:hAnsi="Garamond" w:cs="Arial"/>
          <w:sz w:val="24"/>
          <w:szCs w:val="24"/>
        </w:rPr>
        <w:t>outras</w:t>
      </w:r>
      <w:r w:rsidR="00CE3C9D" w:rsidRPr="003A1174">
        <w:rPr>
          <w:rFonts w:ascii="Garamond" w:eastAsiaTheme="minorHAnsi" w:hAnsi="Garamond" w:cs="Arial"/>
          <w:sz w:val="24"/>
          <w:szCs w:val="24"/>
        </w:rPr>
        <w:t xml:space="preserve"> d</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s </w:t>
      </w:r>
      <w:r w:rsidR="009A0033" w:rsidRPr="003A1174">
        <w:rPr>
          <w:rFonts w:ascii="Garamond" w:eastAsiaTheme="minorHAnsi" w:hAnsi="Garamond" w:cs="Arial"/>
          <w:sz w:val="24"/>
          <w:szCs w:val="24"/>
        </w:rPr>
        <w:t>município</w:t>
      </w:r>
      <w:r w:rsidR="00CE3C9D" w:rsidRPr="003A1174">
        <w:rPr>
          <w:rFonts w:ascii="Garamond" w:eastAsiaTheme="minorHAnsi" w:hAnsi="Garamond" w:cs="Arial"/>
          <w:sz w:val="24"/>
          <w:szCs w:val="24"/>
        </w:rPr>
        <w:t>s.</w:t>
      </w:r>
    </w:p>
    <w:p w:rsidR="00CE3C9D" w:rsidRPr="003A1174" w:rsidRDefault="00077461" w:rsidP="008719D4">
      <w:pPr>
        <w:pStyle w:val="Ttulo4"/>
        <w:spacing w:line="240" w:lineRule="auto"/>
        <w:rPr>
          <w:rFonts w:ascii="Garamond" w:eastAsiaTheme="minorHAnsi" w:hAnsi="Garamond"/>
          <w:sz w:val="24"/>
          <w:szCs w:val="24"/>
        </w:rPr>
      </w:pPr>
      <w:r w:rsidRPr="003A1174">
        <w:rPr>
          <w:rFonts w:ascii="Garamond" w:eastAsiaTheme="minorHAnsi" w:hAnsi="Garamond"/>
          <w:sz w:val="24"/>
          <w:szCs w:val="24"/>
        </w:rPr>
        <w:t>Registo</w:t>
      </w:r>
      <w:r w:rsidR="00684945" w:rsidRPr="003A1174">
        <w:rPr>
          <w:rFonts w:ascii="Garamond" w:eastAsiaTheme="minorHAnsi" w:hAnsi="Garamond"/>
          <w:sz w:val="24"/>
          <w:szCs w:val="24"/>
        </w:rPr>
        <w:t xml:space="preserve"> de </w:t>
      </w:r>
      <w:r w:rsidR="0017447A" w:rsidRPr="003A1174">
        <w:rPr>
          <w:rFonts w:ascii="Garamond" w:eastAsiaTheme="minorHAnsi" w:hAnsi="Garamond"/>
          <w:sz w:val="24"/>
          <w:szCs w:val="24"/>
        </w:rPr>
        <w:t>informação</w:t>
      </w:r>
    </w:p>
    <w:p w:rsidR="00CE3C9D" w:rsidRPr="003A1174" w:rsidRDefault="00B5431B"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No </w:t>
      </w:r>
      <w:r w:rsidR="008405FE">
        <w:rPr>
          <w:rFonts w:ascii="Garamond" w:eastAsiaTheme="minorHAnsi" w:hAnsi="Garamond" w:cs="Arial"/>
          <w:sz w:val="24"/>
          <w:szCs w:val="24"/>
        </w:rPr>
        <w:t xml:space="preserve">que diz respeito </w:t>
      </w:r>
      <w:r w:rsidR="00CE3C9D" w:rsidRPr="003A1174">
        <w:rPr>
          <w:rFonts w:ascii="Garamond" w:eastAsiaTheme="minorHAnsi" w:hAnsi="Garamond" w:cs="Arial"/>
          <w:sz w:val="24"/>
          <w:szCs w:val="24"/>
        </w:rPr>
        <w:t xml:space="preserve">a este </w:t>
      </w:r>
      <w:r w:rsidR="008405FE">
        <w:rPr>
          <w:rFonts w:ascii="Garamond" w:eastAsiaTheme="minorHAnsi" w:hAnsi="Garamond" w:cs="Arial"/>
          <w:sz w:val="24"/>
          <w:szCs w:val="24"/>
        </w:rPr>
        <w:t>assunto,</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existem</w:t>
      </w:r>
      <w:r w:rsidR="00CE3C9D" w:rsidRPr="003A1174">
        <w:rPr>
          <w:rFonts w:ascii="Garamond" w:eastAsiaTheme="minorHAnsi" w:hAnsi="Garamond" w:cs="Arial"/>
          <w:sz w:val="24"/>
          <w:szCs w:val="24"/>
        </w:rPr>
        <w:t xml:space="preserve"> </w:t>
      </w:r>
      <w:r w:rsidR="00EE7406" w:rsidRPr="003A1174">
        <w:rPr>
          <w:rFonts w:ascii="Garamond" w:eastAsiaTheme="minorHAnsi" w:hAnsi="Garamond" w:cs="Arial"/>
          <w:sz w:val="24"/>
          <w:szCs w:val="24"/>
        </w:rPr>
        <w:t>dado</w:t>
      </w:r>
      <w:r w:rsidR="00CE3C9D" w:rsidRPr="003A1174">
        <w:rPr>
          <w:rFonts w:ascii="Garamond" w:eastAsiaTheme="minorHAnsi" w:hAnsi="Garamond" w:cs="Arial"/>
          <w:sz w:val="24"/>
          <w:szCs w:val="24"/>
        </w:rPr>
        <w:t xml:space="preserve">s </w:t>
      </w:r>
      <w:r w:rsidR="008405FE">
        <w:rPr>
          <w:rFonts w:ascii="Garamond" w:eastAsiaTheme="minorHAnsi" w:hAnsi="Garamond" w:cs="Arial"/>
          <w:sz w:val="24"/>
          <w:szCs w:val="24"/>
        </w:rPr>
        <w:t>fornecidos</w:t>
      </w:r>
      <w:r w:rsidR="00CE3C9D" w:rsidRPr="003A1174">
        <w:rPr>
          <w:rFonts w:ascii="Garamond" w:eastAsiaTheme="minorHAnsi" w:hAnsi="Garamond" w:cs="Arial"/>
          <w:sz w:val="24"/>
          <w:szCs w:val="24"/>
        </w:rPr>
        <w:t xml:space="preserve">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sidR="00175015" w:rsidRPr="003A1174">
        <w:rPr>
          <w:rFonts w:ascii="Garamond" w:eastAsiaTheme="minorHAnsi" w:hAnsi="Garamond" w:cs="Arial"/>
          <w:sz w:val="24"/>
          <w:szCs w:val="24"/>
        </w:rPr>
        <w:t>Observatório</w:t>
      </w:r>
      <w:r w:rsidR="00CE3C9D" w:rsidRPr="003A1174">
        <w:rPr>
          <w:rFonts w:ascii="Garamond" w:eastAsiaTheme="minorHAnsi" w:hAnsi="Garamond" w:cs="Arial"/>
          <w:sz w:val="24"/>
          <w:szCs w:val="24"/>
        </w:rPr>
        <w:t xml:space="preserve"> </w:t>
      </w:r>
      <w:r w:rsidR="00BA3CCE" w:rsidRPr="003A1174">
        <w:rPr>
          <w:rFonts w:ascii="Garamond" w:eastAsiaTheme="minorHAnsi" w:hAnsi="Garamond" w:cs="Arial"/>
          <w:sz w:val="24"/>
          <w:szCs w:val="24"/>
        </w:rPr>
        <w:t>Estatístico</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w:t>
      </w:r>
      <w:r w:rsidR="00D77C19" w:rsidRPr="003A1174">
        <w:rPr>
          <w:rFonts w:ascii="Garamond" w:eastAsiaTheme="minorHAnsi" w:hAnsi="Garamond" w:cs="Arial"/>
          <w:sz w:val="24"/>
          <w:szCs w:val="24"/>
        </w:rPr>
        <w:t>Ministério</w:t>
      </w:r>
      <w:r w:rsidRPr="003A1174">
        <w:rPr>
          <w:rFonts w:ascii="Garamond" w:eastAsiaTheme="minorHAnsi" w:hAnsi="Garamond" w:cs="Arial"/>
          <w:sz w:val="24"/>
          <w:szCs w:val="24"/>
        </w:rPr>
        <w:t xml:space="preserve"> Público, </w:t>
      </w:r>
      <w:r w:rsidR="008405FE">
        <w:rPr>
          <w:rFonts w:ascii="Garamond" w:eastAsiaTheme="minorHAnsi" w:hAnsi="Garamond" w:cs="Arial"/>
          <w:sz w:val="24"/>
          <w:szCs w:val="24"/>
        </w:rPr>
        <w:t xml:space="preserve">pelo </w:t>
      </w:r>
      <w:r w:rsidR="00CE3C9D" w:rsidRPr="003A1174">
        <w:rPr>
          <w:rFonts w:ascii="Garamond" w:eastAsiaTheme="minorHAnsi" w:hAnsi="Garamond" w:cs="Arial"/>
          <w:sz w:val="24"/>
          <w:szCs w:val="24"/>
        </w:rPr>
        <w:t xml:space="preserve">Centro Eletrónico de </w:t>
      </w:r>
      <w:r w:rsidR="00A41573" w:rsidRPr="003A1174">
        <w:rPr>
          <w:rFonts w:ascii="Garamond" w:eastAsiaTheme="minorHAnsi" w:hAnsi="Garamond" w:cs="Arial"/>
          <w:sz w:val="24"/>
          <w:szCs w:val="24"/>
        </w:rPr>
        <w:t>Documentação</w:t>
      </w:r>
      <w:r w:rsidR="00CE3C9D" w:rsidRPr="003A1174">
        <w:rPr>
          <w:rFonts w:ascii="Garamond" w:eastAsiaTheme="minorHAnsi" w:hAnsi="Garamond" w:cs="Arial"/>
          <w:sz w:val="24"/>
          <w:szCs w:val="24"/>
        </w:rPr>
        <w:t xml:space="preserve"> e </w:t>
      </w:r>
      <w:r w:rsidR="0017447A" w:rsidRPr="003A1174">
        <w:rPr>
          <w:rFonts w:ascii="Garamond" w:eastAsiaTheme="minorHAnsi" w:hAnsi="Garamond" w:cs="Arial"/>
          <w:sz w:val="24"/>
          <w:szCs w:val="24"/>
        </w:rPr>
        <w:t>Informação</w:t>
      </w:r>
      <w:r w:rsidR="00CE3C9D" w:rsidRPr="003A1174">
        <w:rPr>
          <w:rFonts w:ascii="Garamond" w:eastAsiaTheme="minorHAnsi" w:hAnsi="Garamond" w:cs="Arial"/>
          <w:sz w:val="24"/>
          <w:szCs w:val="24"/>
        </w:rPr>
        <w:t xml:space="preserve"> Judicial </w:t>
      </w:r>
      <w:r w:rsidR="00E85E59" w:rsidRPr="003A1174">
        <w:rPr>
          <w:rFonts w:ascii="Garamond" w:eastAsiaTheme="minorHAnsi" w:hAnsi="Garamond" w:cs="Arial"/>
          <w:sz w:val="24"/>
          <w:szCs w:val="24"/>
        </w:rPr>
        <w:t>do</w:t>
      </w:r>
      <w:r w:rsidRPr="003A1174">
        <w:rPr>
          <w:rFonts w:ascii="Garamond" w:eastAsiaTheme="minorHAnsi" w:hAnsi="Garamond" w:cs="Arial"/>
          <w:sz w:val="24"/>
          <w:szCs w:val="24"/>
        </w:rPr>
        <w:t xml:space="preserve"> Poder Judicial, </w:t>
      </w:r>
      <w:r w:rsidR="008405FE">
        <w:rPr>
          <w:rFonts w:ascii="Garamond" w:eastAsiaTheme="minorHAnsi" w:hAnsi="Garamond" w:cs="Arial"/>
          <w:sz w:val="24"/>
          <w:szCs w:val="24"/>
        </w:rPr>
        <w:t>pel</w:t>
      </w:r>
      <w:r w:rsidR="00CE3C9D" w:rsidRPr="003A1174">
        <w:rPr>
          <w:rFonts w:ascii="Garamond" w:eastAsiaTheme="minorHAnsi" w:hAnsi="Garamond" w:cs="Arial"/>
          <w:sz w:val="24"/>
          <w:szCs w:val="24"/>
        </w:rPr>
        <w:t xml:space="preserve">a </w:t>
      </w:r>
      <w:r w:rsidR="00D75A07" w:rsidRPr="003A1174">
        <w:rPr>
          <w:rFonts w:ascii="Garamond" w:eastAsiaTheme="minorHAnsi" w:hAnsi="Garamond" w:cs="Arial"/>
          <w:sz w:val="24"/>
          <w:szCs w:val="24"/>
        </w:rPr>
        <w:t>Secretaria</w:t>
      </w:r>
      <w:r w:rsidR="00CE3C9D" w:rsidRPr="003A1174">
        <w:rPr>
          <w:rFonts w:ascii="Garamond" w:eastAsiaTheme="minorHAnsi" w:hAnsi="Garamond" w:cs="Arial"/>
          <w:sz w:val="24"/>
          <w:szCs w:val="24"/>
        </w:rPr>
        <w:t xml:space="preserve"> de Estado </w:t>
      </w:r>
      <w:r w:rsidRPr="003A1174">
        <w:rPr>
          <w:rFonts w:ascii="Garamond" w:eastAsiaTheme="minorHAnsi" w:hAnsi="Garamond" w:cs="Arial"/>
          <w:sz w:val="24"/>
          <w:szCs w:val="24"/>
        </w:rPr>
        <w:t xml:space="preserve">no Gabinete </w:t>
      </w:r>
      <w:r w:rsidR="00CE3C9D" w:rsidRPr="003A1174">
        <w:rPr>
          <w:rFonts w:ascii="Garamond" w:eastAsiaTheme="minorHAnsi" w:hAnsi="Garamond" w:cs="Arial"/>
          <w:sz w:val="24"/>
          <w:szCs w:val="24"/>
        </w:rPr>
        <w:t xml:space="preserve">de </w:t>
      </w:r>
      <w:r w:rsidR="00D15AFF" w:rsidRPr="003A1174">
        <w:rPr>
          <w:rFonts w:ascii="Garamond" w:eastAsiaTheme="minorHAnsi" w:hAnsi="Garamond" w:cs="Arial"/>
          <w:sz w:val="24"/>
          <w:szCs w:val="24"/>
        </w:rPr>
        <w:t>Segurança</w:t>
      </w:r>
      <w:r w:rsidR="00CE3C9D" w:rsidRPr="003A1174">
        <w:rPr>
          <w:rFonts w:ascii="Garamond" w:eastAsiaTheme="minorHAnsi" w:hAnsi="Garamond" w:cs="Arial"/>
          <w:sz w:val="24"/>
          <w:szCs w:val="24"/>
        </w:rPr>
        <w:t xml:space="preserve"> </w:t>
      </w:r>
      <w:r w:rsidR="009A0CC2" w:rsidRPr="003A1174">
        <w:rPr>
          <w:rFonts w:ascii="Garamond" w:eastAsiaTheme="minorHAnsi" w:hAnsi="Garamond" w:cs="Arial"/>
          <w:sz w:val="24"/>
          <w:szCs w:val="24"/>
        </w:rPr>
        <w:t>através</w:t>
      </w:r>
      <w:r w:rsidRPr="003A1174">
        <w:rPr>
          <w:rFonts w:ascii="Garamond" w:eastAsiaTheme="minorHAnsi" w:hAnsi="Garamond" w:cs="Arial"/>
          <w:sz w:val="24"/>
          <w:szCs w:val="24"/>
        </w:rPr>
        <w:t xml:space="preserve"> d</w:t>
      </w:r>
      <w:r w:rsidR="00CE3C9D" w:rsidRPr="003A1174">
        <w:rPr>
          <w:rFonts w:ascii="Garamond" w:eastAsiaTheme="minorHAnsi" w:hAnsi="Garamond" w:cs="Arial"/>
          <w:sz w:val="24"/>
          <w:szCs w:val="24"/>
        </w:rPr>
        <w:t xml:space="preserve">a </w:t>
      </w:r>
      <w:r w:rsidR="00CF42A3" w:rsidRPr="003A1174">
        <w:rPr>
          <w:rFonts w:ascii="Garamond" w:eastAsiaTheme="minorHAnsi" w:hAnsi="Garamond" w:cs="Arial"/>
          <w:sz w:val="24"/>
          <w:szCs w:val="24"/>
        </w:rPr>
        <w:t>Polícia</w:t>
      </w:r>
      <w:r w:rsidR="00CE3C9D" w:rsidRPr="003A1174">
        <w:rPr>
          <w:rFonts w:ascii="Garamond" w:eastAsiaTheme="minorHAnsi" w:hAnsi="Garamond" w:cs="Arial"/>
          <w:sz w:val="24"/>
          <w:szCs w:val="24"/>
        </w:rPr>
        <w:t xml:space="preserve"> Nacional, </w:t>
      </w:r>
      <w:r w:rsidR="00DA2FF6">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w:t>
      </w:r>
      <w:r w:rsidR="00175015" w:rsidRPr="003A1174">
        <w:rPr>
          <w:rFonts w:ascii="Garamond" w:eastAsiaTheme="minorHAnsi" w:hAnsi="Garamond" w:cs="Arial"/>
          <w:sz w:val="24"/>
          <w:szCs w:val="24"/>
        </w:rPr>
        <w:t>Observatório</w:t>
      </w:r>
      <w:r w:rsidR="00CE3C9D" w:rsidRPr="003A1174">
        <w:rPr>
          <w:rFonts w:ascii="Garamond" w:eastAsiaTheme="minorHAnsi" w:hAnsi="Garamond" w:cs="Arial"/>
          <w:sz w:val="24"/>
          <w:szCs w:val="24"/>
        </w:rPr>
        <w:t xml:space="preserve"> da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Instituto </w:t>
      </w:r>
      <w:r w:rsidRPr="003A1174">
        <w:rPr>
          <w:rFonts w:ascii="Garamond" w:eastAsiaTheme="minorHAnsi" w:hAnsi="Garamond" w:cs="Arial"/>
          <w:sz w:val="24"/>
          <w:szCs w:val="24"/>
        </w:rPr>
        <w:t>Universitário</w:t>
      </w:r>
      <w:r w:rsidR="00CE3C9D" w:rsidRPr="003A1174">
        <w:rPr>
          <w:rFonts w:ascii="Garamond" w:eastAsiaTheme="minorHAnsi" w:hAnsi="Garamond" w:cs="Arial"/>
          <w:sz w:val="24"/>
          <w:szCs w:val="24"/>
        </w:rPr>
        <w:t xml:space="preserve"> e</w:t>
      </w:r>
      <w:r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Democracia, Paz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D15AFF" w:rsidRPr="003A1174">
        <w:rPr>
          <w:rFonts w:ascii="Garamond" w:eastAsiaTheme="minorHAnsi" w:hAnsi="Garamond" w:cs="Arial"/>
          <w:sz w:val="24"/>
          <w:szCs w:val="24"/>
        </w:rPr>
        <w:t>Segurança</w:t>
      </w:r>
      <w:r w:rsidR="00CE3C9D" w:rsidRPr="003A1174">
        <w:rPr>
          <w:rFonts w:ascii="Garamond" w:eastAsiaTheme="minorHAnsi" w:hAnsi="Garamond" w:cs="Arial"/>
          <w:sz w:val="24"/>
          <w:szCs w:val="24"/>
        </w:rPr>
        <w:t xml:space="preserve"> (IUDPAS), </w:t>
      </w:r>
      <w:r w:rsidR="00DA2FF6">
        <w:rPr>
          <w:rFonts w:ascii="Garamond" w:eastAsiaTheme="minorHAnsi" w:hAnsi="Garamond" w:cs="Arial"/>
          <w:sz w:val="24"/>
          <w:szCs w:val="24"/>
        </w:rPr>
        <w:t>pelo</w:t>
      </w:r>
      <w:r w:rsidRPr="003A1174">
        <w:rPr>
          <w:rFonts w:ascii="Garamond" w:eastAsiaTheme="minorHAnsi" w:hAnsi="Garamond" w:cs="Arial"/>
          <w:sz w:val="24"/>
          <w:szCs w:val="24"/>
        </w:rPr>
        <w:t xml:space="preserve"> </w:t>
      </w:r>
      <w:r w:rsidR="00175015" w:rsidRPr="003A1174">
        <w:rPr>
          <w:rFonts w:ascii="Garamond" w:eastAsiaTheme="minorHAnsi" w:hAnsi="Garamond" w:cs="Arial"/>
          <w:sz w:val="24"/>
          <w:szCs w:val="24"/>
        </w:rPr>
        <w:t>Observatório</w:t>
      </w:r>
      <w:r w:rsidR="00CE3C9D" w:rsidRPr="003A1174">
        <w:rPr>
          <w:rFonts w:ascii="Garamond" w:eastAsiaTheme="minorHAnsi" w:hAnsi="Garamond" w:cs="Arial"/>
          <w:sz w:val="24"/>
          <w:szCs w:val="24"/>
        </w:rPr>
        <w:t xml:space="preserve"> de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 xml:space="preserve">s Humanos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Centro de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 xml:space="preserve">s de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(CDM)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a</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fornecida pelo Inquérito </w:t>
      </w:r>
      <w:r w:rsidR="00CE3C9D" w:rsidRPr="003A1174">
        <w:rPr>
          <w:rFonts w:ascii="Garamond" w:eastAsiaTheme="minorHAnsi" w:hAnsi="Garamond" w:cs="Arial"/>
          <w:sz w:val="24"/>
          <w:szCs w:val="24"/>
        </w:rPr>
        <w:t xml:space="preserve">Nacional de </w:t>
      </w:r>
      <w:r w:rsidRPr="003A1174">
        <w:rPr>
          <w:rFonts w:ascii="Garamond" w:eastAsiaTheme="minorHAnsi" w:hAnsi="Garamond" w:cs="Arial"/>
          <w:sz w:val="24"/>
          <w:szCs w:val="24"/>
        </w:rPr>
        <w:t>Demografia</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7C63D0" w:rsidRPr="003A1174">
        <w:rPr>
          <w:rFonts w:ascii="Garamond" w:eastAsiaTheme="minorHAnsi" w:hAnsi="Garamond" w:cs="Arial"/>
          <w:sz w:val="24"/>
          <w:szCs w:val="24"/>
        </w:rPr>
        <w:t>Saúde</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Instituto Nacional de </w:t>
      </w:r>
      <w:r w:rsidR="00C15C97" w:rsidRPr="003A1174">
        <w:rPr>
          <w:rFonts w:ascii="Garamond" w:eastAsiaTheme="minorHAnsi" w:hAnsi="Garamond" w:cs="Arial"/>
          <w:sz w:val="24"/>
          <w:szCs w:val="24"/>
        </w:rPr>
        <w:t>Estatística</w:t>
      </w:r>
      <w:r w:rsidRPr="003A1174">
        <w:rPr>
          <w:rFonts w:ascii="Garamond" w:eastAsiaTheme="minorHAnsi" w:hAnsi="Garamond" w:cs="Arial"/>
          <w:sz w:val="24"/>
          <w:szCs w:val="24"/>
        </w:rPr>
        <w:t xml:space="preserve"> sobre </w:t>
      </w:r>
      <w:r w:rsidR="00CE3C9D" w:rsidRPr="003A1174">
        <w:rPr>
          <w:rFonts w:ascii="Garamond" w:eastAsiaTheme="minorHAnsi" w:hAnsi="Garamond" w:cs="Arial"/>
          <w:sz w:val="24"/>
          <w:szCs w:val="24"/>
        </w:rPr>
        <w:t xml:space="preserve">a </w:t>
      </w:r>
      <w:r w:rsidR="0017447A" w:rsidRPr="003A1174">
        <w:rPr>
          <w:rFonts w:ascii="Garamond" w:eastAsiaTheme="minorHAnsi" w:hAnsi="Garamond" w:cs="Arial"/>
          <w:sz w:val="24"/>
          <w:szCs w:val="24"/>
        </w:rPr>
        <w:t>situação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5533B6"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w:t>
      </w:r>
      <w:r w:rsidR="005533B6" w:rsidRPr="003A1174">
        <w:rPr>
          <w:rFonts w:ascii="Garamond" w:eastAsiaTheme="minorHAnsi" w:hAnsi="Garamond" w:cs="Arial"/>
          <w:sz w:val="24"/>
          <w:szCs w:val="24"/>
        </w:rPr>
        <w:t>.</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Apesar d</w:t>
      </w:r>
      <w:r w:rsidR="007407BD" w:rsidRPr="003A1174">
        <w:rPr>
          <w:rFonts w:ascii="Garamond" w:eastAsiaTheme="minorHAnsi" w:hAnsi="Garamond" w:cs="Arial"/>
          <w:sz w:val="24"/>
          <w:szCs w:val="24"/>
        </w:rPr>
        <w:t>estes</w:t>
      </w:r>
      <w:r w:rsidR="00CE3C9D" w:rsidRPr="003A1174">
        <w:rPr>
          <w:rFonts w:ascii="Garamond" w:eastAsiaTheme="minorHAnsi" w:hAnsi="Garamond" w:cs="Arial"/>
          <w:sz w:val="24"/>
          <w:szCs w:val="24"/>
        </w:rPr>
        <w:t xml:space="preserve"> </w:t>
      </w:r>
      <w:r w:rsidR="00C30647" w:rsidRPr="003A1174">
        <w:rPr>
          <w:rFonts w:ascii="Garamond" w:eastAsiaTheme="minorHAnsi" w:hAnsi="Garamond" w:cs="Arial"/>
          <w:sz w:val="24"/>
          <w:szCs w:val="24"/>
        </w:rPr>
        <w:t>esforço</w:t>
      </w:r>
      <w:r w:rsidR="00CE3C9D" w:rsidRPr="003A1174">
        <w:rPr>
          <w:rFonts w:ascii="Garamond" w:eastAsiaTheme="minorHAnsi" w:hAnsi="Garamond" w:cs="Arial"/>
          <w:sz w:val="24"/>
          <w:szCs w:val="24"/>
        </w:rPr>
        <w:t xml:space="preserve">s, </w:t>
      </w:r>
      <w:r w:rsidR="005D62D8">
        <w:rPr>
          <w:rFonts w:ascii="Garamond" w:eastAsiaTheme="minorHAnsi" w:hAnsi="Garamond" w:cs="Arial"/>
          <w:sz w:val="24"/>
          <w:szCs w:val="24"/>
        </w:rPr>
        <w:t>continua a ser</w:t>
      </w:r>
      <w:r w:rsidRPr="003A1174">
        <w:rPr>
          <w:rFonts w:ascii="Garamond" w:eastAsiaTheme="minorHAnsi" w:hAnsi="Garamond" w:cs="Arial"/>
          <w:sz w:val="24"/>
          <w:szCs w:val="24"/>
        </w:rPr>
        <w:t xml:space="preserve"> um desafi</w:t>
      </w:r>
      <w:r w:rsidR="00CE3C9D" w:rsidRPr="003A1174">
        <w:rPr>
          <w:rFonts w:ascii="Garamond" w:eastAsiaTheme="minorHAnsi" w:hAnsi="Garamond" w:cs="Arial"/>
          <w:sz w:val="24"/>
          <w:szCs w:val="24"/>
        </w:rPr>
        <w:t xml:space="preserve">o fortalecer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CE3C9D" w:rsidRPr="003A1174">
        <w:rPr>
          <w:rFonts w:ascii="Garamond" w:eastAsiaTheme="minorHAnsi" w:hAnsi="Garamond" w:cs="Arial"/>
          <w:i/>
          <w:sz w:val="24"/>
          <w:szCs w:val="24"/>
        </w:rPr>
        <w:t>standar</w:t>
      </w:r>
      <w:r w:rsidR="00A23EB8" w:rsidRPr="003A1174">
        <w:rPr>
          <w:rFonts w:ascii="Garamond" w:eastAsiaTheme="minorHAnsi" w:hAnsi="Garamond" w:cs="Arial"/>
          <w:i/>
          <w:sz w:val="24"/>
          <w:szCs w:val="24"/>
        </w:rPr>
        <w:t>d</w:t>
      </w:r>
      <w:r w:rsidRPr="003A1174">
        <w:rPr>
          <w:rFonts w:ascii="Garamond" w:eastAsiaTheme="minorHAnsi" w:hAnsi="Garamond" w:cs="Arial"/>
          <w:i/>
          <w:sz w:val="24"/>
          <w:szCs w:val="24"/>
        </w:rPr>
        <w:t>iz</w:t>
      </w:r>
      <w:r w:rsidR="00CE3C9D" w:rsidRPr="003A1174">
        <w:rPr>
          <w:rFonts w:ascii="Garamond" w:eastAsiaTheme="minorHAnsi" w:hAnsi="Garamond" w:cs="Arial"/>
          <w:i/>
          <w:sz w:val="24"/>
          <w:szCs w:val="24"/>
        </w:rPr>
        <w:t>ar</w:t>
      </w:r>
      <w:r w:rsidR="00A23EB8"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 xml:space="preserve">a </w:t>
      </w:r>
      <w:r w:rsidR="00A41573" w:rsidRPr="003A1174">
        <w:rPr>
          <w:rFonts w:ascii="Garamond" w:eastAsiaTheme="minorHAnsi" w:hAnsi="Garamond" w:cs="Arial"/>
          <w:sz w:val="24"/>
          <w:szCs w:val="24"/>
        </w:rPr>
        <w:t>documentação</w:t>
      </w:r>
      <w:r w:rsidR="00CE3C9D" w:rsidRPr="003A1174">
        <w:rPr>
          <w:rFonts w:ascii="Garamond" w:eastAsiaTheme="minorHAnsi" w:hAnsi="Garamond" w:cs="Arial"/>
          <w:sz w:val="24"/>
          <w:szCs w:val="24"/>
        </w:rPr>
        <w:t xml:space="preserve"> </w:t>
      </w:r>
      <w:r w:rsidR="005533B6" w:rsidRPr="003A1174">
        <w:rPr>
          <w:rFonts w:ascii="Garamond" w:eastAsiaTheme="minorHAnsi" w:hAnsi="Garamond" w:cs="Arial"/>
          <w:sz w:val="24"/>
          <w:szCs w:val="24"/>
        </w:rPr>
        <w:t>relativa a</w:t>
      </w:r>
      <w:r w:rsidR="00CE3C9D" w:rsidRPr="003A1174">
        <w:rPr>
          <w:rFonts w:ascii="Garamond" w:eastAsiaTheme="minorHAnsi" w:hAnsi="Garamond" w:cs="Arial"/>
          <w:sz w:val="24"/>
          <w:szCs w:val="24"/>
        </w:rPr>
        <w:t xml:space="preserve"> </w:t>
      </w:r>
      <w:r w:rsidR="00EE7406" w:rsidRPr="003A1174">
        <w:rPr>
          <w:rFonts w:ascii="Garamond" w:eastAsiaTheme="minorHAnsi" w:hAnsi="Garamond" w:cs="Arial"/>
          <w:sz w:val="24"/>
          <w:szCs w:val="24"/>
        </w:rPr>
        <w:t>dado</w:t>
      </w:r>
      <w:r w:rsidR="00CE3C9D" w:rsidRPr="003A1174">
        <w:rPr>
          <w:rFonts w:ascii="Garamond" w:eastAsiaTheme="minorHAnsi" w:hAnsi="Garamond" w:cs="Arial"/>
          <w:sz w:val="24"/>
          <w:szCs w:val="24"/>
        </w:rPr>
        <w:t xml:space="preserve">s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190B59" w:rsidRPr="003A1174">
        <w:rPr>
          <w:rFonts w:ascii="Garamond" w:eastAsiaTheme="minorHAnsi" w:hAnsi="Garamond" w:cs="Arial"/>
          <w:sz w:val="24"/>
          <w:szCs w:val="24"/>
        </w:rPr>
        <w:t>estatísticas</w:t>
      </w:r>
      <w:r w:rsidR="00A23EB8" w:rsidRPr="003A1174">
        <w:rPr>
          <w:rFonts w:ascii="Garamond" w:eastAsiaTheme="minorHAnsi" w:hAnsi="Garamond" w:cs="Arial"/>
          <w:sz w:val="24"/>
          <w:szCs w:val="24"/>
        </w:rPr>
        <w:t xml:space="preserve"> sobre </w:t>
      </w:r>
      <w:r w:rsidR="00CE3C9D" w:rsidRPr="003A1174">
        <w:rPr>
          <w:rFonts w:ascii="Garamond" w:eastAsiaTheme="minorHAnsi" w:hAnsi="Garamond" w:cs="Arial"/>
          <w:sz w:val="24"/>
          <w:szCs w:val="24"/>
        </w:rPr>
        <w:t xml:space="preserve">a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que </w:t>
      </w:r>
      <w:r w:rsidR="00BA21ED" w:rsidRPr="003A1174">
        <w:rPr>
          <w:rFonts w:ascii="Garamond" w:eastAsiaTheme="minorHAnsi" w:hAnsi="Garamond" w:cs="Arial"/>
          <w:sz w:val="24"/>
          <w:szCs w:val="24"/>
        </w:rPr>
        <w:t>sofrem</w:t>
      </w:r>
      <w:r w:rsidR="00A23EB8" w:rsidRPr="003A1174">
        <w:rPr>
          <w:rFonts w:ascii="Garamond" w:eastAsiaTheme="minorHAnsi" w:hAnsi="Garamond" w:cs="Arial"/>
          <w:sz w:val="24"/>
          <w:szCs w:val="24"/>
        </w:rPr>
        <w:t xml:space="preserve"> </w:t>
      </w:r>
      <w:r w:rsidR="00CE3C9D" w:rsidRPr="003A1174">
        <w:rPr>
          <w:rFonts w:ascii="Garamond" w:eastAsiaTheme="minorHAnsi" w:hAnsi="Garamond" w:cs="Arial"/>
          <w:sz w:val="24"/>
          <w:szCs w:val="24"/>
        </w:rPr>
        <w:t xml:space="preserve">as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w:t>
      </w:r>
    </w:p>
    <w:p w:rsidR="00CE3C9D" w:rsidRPr="003A1174" w:rsidRDefault="008E259D" w:rsidP="008719D4">
      <w:pPr>
        <w:pStyle w:val="Ttulo4"/>
        <w:spacing w:line="240" w:lineRule="auto"/>
        <w:rPr>
          <w:rFonts w:ascii="Garamond" w:eastAsiaTheme="minorHAnsi" w:hAnsi="Garamond"/>
          <w:sz w:val="24"/>
          <w:szCs w:val="24"/>
        </w:rPr>
      </w:pPr>
      <w:r>
        <w:rPr>
          <w:rFonts w:ascii="Garamond" w:eastAsiaTheme="minorHAnsi" w:hAnsi="Garamond"/>
          <w:sz w:val="24"/>
          <w:szCs w:val="24"/>
        </w:rPr>
        <w:lastRenderedPageBreak/>
        <w:t>Avaliação</w:t>
      </w:r>
      <w:r w:rsidR="00684945" w:rsidRPr="003A1174">
        <w:rPr>
          <w:rFonts w:ascii="Garamond" w:eastAsiaTheme="minorHAnsi" w:hAnsi="Garamond"/>
          <w:sz w:val="24"/>
          <w:szCs w:val="24"/>
        </w:rPr>
        <w:t xml:space="preserve"> d</w:t>
      </w:r>
      <w:r w:rsidR="00A23EB8" w:rsidRPr="003A1174">
        <w:rPr>
          <w:rFonts w:ascii="Garamond" w:eastAsiaTheme="minorHAnsi" w:hAnsi="Garamond"/>
          <w:sz w:val="24"/>
          <w:szCs w:val="24"/>
        </w:rPr>
        <w:t>o</w:t>
      </w:r>
      <w:r w:rsidR="00684945" w:rsidRPr="003A1174">
        <w:rPr>
          <w:rFonts w:ascii="Garamond" w:eastAsiaTheme="minorHAnsi" w:hAnsi="Garamond"/>
          <w:sz w:val="24"/>
          <w:szCs w:val="24"/>
        </w:rPr>
        <w:t xml:space="preserve"> d</w:t>
      </w:r>
      <w:r w:rsidR="002C7510" w:rsidRPr="003A1174">
        <w:rPr>
          <w:rFonts w:ascii="Garamond" w:eastAsiaTheme="minorHAnsi" w:hAnsi="Garamond"/>
          <w:sz w:val="24"/>
          <w:szCs w:val="24"/>
        </w:rPr>
        <w:t>ano</w:t>
      </w:r>
      <w:r w:rsidR="00684945" w:rsidRPr="003A1174">
        <w:rPr>
          <w:rFonts w:ascii="Garamond" w:eastAsiaTheme="minorHAnsi" w:hAnsi="Garamond"/>
          <w:sz w:val="24"/>
          <w:szCs w:val="24"/>
        </w:rPr>
        <w:t xml:space="preserve"> psicol</w:t>
      </w:r>
      <w:r w:rsidR="005533B6" w:rsidRPr="003A1174">
        <w:rPr>
          <w:rFonts w:ascii="Garamond" w:eastAsiaTheme="minorHAnsi" w:hAnsi="Garamond"/>
          <w:sz w:val="24"/>
          <w:szCs w:val="24"/>
        </w:rPr>
        <w:t>ó</w:t>
      </w:r>
      <w:r w:rsidR="00684945" w:rsidRPr="003A1174">
        <w:rPr>
          <w:rFonts w:ascii="Garamond" w:eastAsiaTheme="minorHAnsi" w:hAnsi="Garamond"/>
          <w:sz w:val="24"/>
          <w:szCs w:val="24"/>
        </w:rPr>
        <w:t>gico</w:t>
      </w:r>
    </w:p>
    <w:p w:rsidR="00CE3C9D" w:rsidRPr="003A1174" w:rsidRDefault="00A23EB8"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Apesar de </w:t>
      </w:r>
      <w:r w:rsidR="00B5431B" w:rsidRPr="003A1174">
        <w:rPr>
          <w:rFonts w:ascii="Garamond" w:eastAsiaTheme="minorHAnsi" w:hAnsi="Garamond" w:cs="Arial"/>
          <w:sz w:val="24"/>
          <w:szCs w:val="24"/>
        </w:rPr>
        <w:t>exist</w:t>
      </w:r>
      <w:r w:rsidRPr="003A1174">
        <w:rPr>
          <w:rFonts w:ascii="Garamond" w:eastAsiaTheme="minorHAnsi" w:hAnsi="Garamond" w:cs="Arial"/>
          <w:sz w:val="24"/>
          <w:szCs w:val="24"/>
        </w:rPr>
        <w:t>ir</w:t>
      </w:r>
      <w:r w:rsidR="00B5431B" w:rsidRPr="003A1174">
        <w:rPr>
          <w:rFonts w:ascii="Garamond" w:eastAsiaTheme="minorHAnsi" w:hAnsi="Garamond" w:cs="Arial"/>
          <w:sz w:val="24"/>
          <w:szCs w:val="24"/>
        </w:rPr>
        <w:t>em</w:t>
      </w:r>
      <w:r w:rsidR="00CE3C9D" w:rsidRPr="003A1174">
        <w:rPr>
          <w:rFonts w:ascii="Garamond" w:eastAsiaTheme="minorHAnsi" w:hAnsi="Garamond" w:cs="Arial"/>
          <w:sz w:val="24"/>
          <w:szCs w:val="24"/>
        </w:rPr>
        <w:t xml:space="preserve"> protocolos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DD6896">
        <w:rPr>
          <w:rFonts w:ascii="Garamond" w:eastAsiaTheme="minorHAnsi" w:hAnsi="Garamond" w:cs="Arial"/>
          <w:sz w:val="24"/>
          <w:szCs w:val="24"/>
        </w:rPr>
        <w:t>orientações</w:t>
      </w:r>
      <w:r w:rsidR="00CE3C9D" w:rsidRPr="003A1174">
        <w:rPr>
          <w:rFonts w:ascii="Garamond" w:eastAsiaTheme="minorHAnsi" w:hAnsi="Garamond" w:cs="Arial"/>
          <w:sz w:val="24"/>
          <w:szCs w:val="24"/>
        </w:rPr>
        <w:t xml:space="preserve"> para </w:t>
      </w:r>
      <w:r w:rsidR="005D62D8">
        <w:rPr>
          <w:rFonts w:ascii="Garamond" w:eastAsiaTheme="minorHAnsi" w:hAnsi="Garamond" w:cs="Arial"/>
          <w:sz w:val="24"/>
          <w:szCs w:val="24"/>
        </w:rPr>
        <w:t>o cuidado</w:t>
      </w:r>
      <w:r w:rsidR="00DD6896">
        <w:rPr>
          <w:rFonts w:ascii="Garamond" w:eastAsiaTheme="minorHAnsi" w:hAnsi="Garamond" w:cs="Arial"/>
          <w:sz w:val="24"/>
          <w:szCs w:val="24"/>
        </w:rPr>
        <w:t xml:space="preserve"> </w:t>
      </w:r>
      <w:r w:rsidR="00CE3C9D" w:rsidRPr="003A1174">
        <w:rPr>
          <w:rFonts w:ascii="Garamond" w:eastAsiaTheme="minorHAnsi" w:hAnsi="Garamond" w:cs="Arial"/>
          <w:sz w:val="24"/>
          <w:szCs w:val="24"/>
        </w:rPr>
        <w:t xml:space="preserve">de </w:t>
      </w:r>
      <w:r w:rsidR="003F012B" w:rsidRPr="003A1174">
        <w:rPr>
          <w:rFonts w:ascii="Garamond" w:eastAsiaTheme="minorHAnsi" w:hAnsi="Garamond" w:cs="Arial"/>
          <w:sz w:val="24"/>
          <w:szCs w:val="24"/>
        </w:rPr>
        <w:t>vítima</w:t>
      </w:r>
      <w:r w:rsidR="00CE3C9D"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e intrafamiliar</w:t>
      </w:r>
      <w:r w:rsidR="005533B6" w:rsidRPr="003A1174">
        <w:rPr>
          <w:rFonts w:ascii="Garamond" w:eastAsiaTheme="minorHAnsi" w:hAnsi="Garamond" w:cs="Arial"/>
          <w:sz w:val="24"/>
          <w:szCs w:val="24"/>
        </w:rPr>
        <w:t xml:space="preserve">, </w:t>
      </w:r>
      <w:r w:rsidR="000464C8" w:rsidRPr="003A1174">
        <w:rPr>
          <w:rFonts w:ascii="Garamond" w:eastAsiaTheme="minorHAnsi" w:hAnsi="Garamond" w:cs="Arial"/>
          <w:sz w:val="24"/>
          <w:szCs w:val="24"/>
        </w:rPr>
        <w:t>assim</w:t>
      </w:r>
      <w:r w:rsidR="005533B6" w:rsidRPr="003A1174">
        <w:rPr>
          <w:rFonts w:ascii="Garamond" w:eastAsiaTheme="minorHAnsi" w:hAnsi="Garamond" w:cs="Arial"/>
          <w:sz w:val="24"/>
          <w:szCs w:val="24"/>
        </w:rPr>
        <w:t xml:space="preserve"> como</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sobre </w:t>
      </w:r>
      <w:r w:rsidR="00CE3C9D" w:rsidRPr="003A1174">
        <w:rPr>
          <w:rFonts w:ascii="Garamond" w:eastAsiaTheme="minorHAnsi" w:hAnsi="Garamond" w:cs="Arial"/>
          <w:sz w:val="24"/>
          <w:szCs w:val="24"/>
        </w:rPr>
        <w:t xml:space="preserve">a </w:t>
      </w:r>
      <w:r w:rsidR="00AB6522" w:rsidRPr="003A1174">
        <w:rPr>
          <w:rFonts w:ascii="Garamond" w:eastAsiaTheme="minorHAnsi" w:hAnsi="Garamond" w:cs="Arial"/>
          <w:sz w:val="24"/>
          <w:szCs w:val="24"/>
        </w:rPr>
        <w:t>avaliação</w:t>
      </w:r>
      <w:r w:rsidR="00CE3C9D" w:rsidRPr="003A1174">
        <w:rPr>
          <w:rFonts w:ascii="Garamond" w:eastAsiaTheme="minorHAnsi" w:hAnsi="Garamond" w:cs="Arial"/>
          <w:sz w:val="24"/>
          <w:szCs w:val="24"/>
        </w:rPr>
        <w:t xml:space="preserve"> psicológica</w:t>
      </w:r>
      <w:r w:rsidR="00DD6896">
        <w:rPr>
          <w:rFonts w:ascii="Garamond" w:eastAsiaTheme="minorHAnsi" w:hAnsi="Garamond" w:cs="Arial"/>
          <w:sz w:val="24"/>
          <w:szCs w:val="24"/>
        </w:rPr>
        <w:t>,</w:t>
      </w:r>
      <w:r w:rsidR="00CE3C9D" w:rsidRPr="003A1174">
        <w:rPr>
          <w:rFonts w:ascii="Garamond" w:eastAsiaTheme="minorHAnsi" w:hAnsi="Garamond" w:cs="Arial"/>
          <w:sz w:val="24"/>
          <w:szCs w:val="24"/>
        </w:rPr>
        <w:t xml:space="preserve"> e</w:t>
      </w:r>
      <w:r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casos de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contra a</w:t>
      </w:r>
      <w:r w:rsidR="00CE3C9D" w:rsidRPr="003A1174">
        <w:rPr>
          <w:rFonts w:ascii="Garamond" w:eastAsiaTheme="minorHAnsi" w:hAnsi="Garamond" w:cs="Arial"/>
          <w:sz w:val="24"/>
          <w:szCs w:val="24"/>
        </w:rPr>
        <w:t xml:space="preserve">s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a</w:t>
      </w:r>
      <w:r w:rsidRPr="003A1174">
        <w:rPr>
          <w:rFonts w:ascii="Garamond" w:eastAsiaTheme="minorHAnsi" w:hAnsi="Garamond" w:cs="Arial"/>
          <w:sz w:val="24"/>
          <w:szCs w:val="24"/>
        </w:rPr>
        <w:t xml:space="preserve">lém do </w:t>
      </w:r>
      <w:r w:rsidR="00FB09CA" w:rsidRPr="003A1174">
        <w:rPr>
          <w:rFonts w:ascii="Garamond" w:eastAsiaTheme="minorHAnsi" w:hAnsi="Garamond" w:cs="Arial"/>
          <w:sz w:val="24"/>
          <w:szCs w:val="24"/>
        </w:rPr>
        <w:t>funcionamento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áreas psicológicas </w:t>
      </w:r>
      <w:r w:rsidRPr="003A1174">
        <w:rPr>
          <w:rFonts w:ascii="Garamond" w:eastAsiaTheme="minorHAnsi" w:hAnsi="Garamond" w:cs="Arial"/>
          <w:sz w:val="24"/>
          <w:szCs w:val="24"/>
        </w:rPr>
        <w:t>no</w:t>
      </w:r>
      <w:r w:rsidR="00CE3C9D" w:rsidRPr="003A1174">
        <w:rPr>
          <w:rFonts w:ascii="Garamond" w:eastAsiaTheme="minorHAnsi" w:hAnsi="Garamond" w:cs="Arial"/>
          <w:sz w:val="24"/>
          <w:szCs w:val="24"/>
        </w:rPr>
        <w:t xml:space="preserve">s </w:t>
      </w:r>
      <w:r w:rsidR="00C246B4" w:rsidRPr="003A1174">
        <w:rPr>
          <w:rFonts w:ascii="Garamond" w:eastAsiaTheme="minorHAnsi" w:hAnsi="Garamond" w:cs="Arial"/>
          <w:sz w:val="24"/>
          <w:szCs w:val="24"/>
        </w:rPr>
        <w:t>Gabinete</w:t>
      </w:r>
      <w:r w:rsidR="00CE3C9D" w:rsidRPr="003A1174">
        <w:rPr>
          <w:rFonts w:ascii="Garamond" w:eastAsiaTheme="minorHAnsi" w:hAnsi="Garamond" w:cs="Arial"/>
          <w:sz w:val="24"/>
          <w:szCs w:val="24"/>
        </w:rPr>
        <w:t xml:space="preserve">s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Integral, u</w:t>
      </w:r>
      <w:r w:rsidRPr="003A1174">
        <w:rPr>
          <w:rFonts w:ascii="Garamond" w:eastAsiaTheme="minorHAnsi" w:hAnsi="Garamond" w:cs="Arial"/>
          <w:sz w:val="24"/>
          <w:szCs w:val="24"/>
        </w:rPr>
        <w:t xml:space="preserve">m </w:t>
      </w:r>
      <w:r w:rsidR="00497503" w:rsidRPr="003A1174">
        <w:rPr>
          <w:rFonts w:ascii="Garamond" w:eastAsiaTheme="minorHAnsi" w:hAnsi="Garamond" w:cs="Arial"/>
          <w:sz w:val="24"/>
          <w:szCs w:val="24"/>
        </w:rPr>
        <w:t>dos</w:t>
      </w:r>
      <w:r w:rsidR="00CE3C9D" w:rsidRPr="003A1174">
        <w:rPr>
          <w:rFonts w:ascii="Garamond" w:eastAsiaTheme="minorHAnsi" w:hAnsi="Garamond" w:cs="Arial"/>
          <w:sz w:val="24"/>
          <w:szCs w:val="24"/>
        </w:rPr>
        <w:t xml:space="preserve"> objetivos </w:t>
      </w:r>
      <w:r w:rsidR="00DD6896">
        <w:rPr>
          <w:rFonts w:ascii="Garamond" w:eastAsiaTheme="minorHAnsi" w:hAnsi="Garamond" w:cs="Arial"/>
          <w:sz w:val="24"/>
          <w:szCs w:val="24"/>
        </w:rPr>
        <w:t xml:space="preserve">a </w:t>
      </w:r>
      <w:r w:rsidR="00CE3C9D" w:rsidRPr="003A1174">
        <w:rPr>
          <w:rFonts w:ascii="Garamond" w:eastAsiaTheme="minorHAnsi" w:hAnsi="Garamond" w:cs="Arial"/>
          <w:sz w:val="24"/>
          <w:szCs w:val="24"/>
        </w:rPr>
        <w:t xml:space="preserve">que se </w:t>
      </w:r>
      <w:r w:rsidR="00AC63DF" w:rsidRPr="003A1174">
        <w:rPr>
          <w:rFonts w:ascii="Garamond" w:eastAsiaTheme="minorHAnsi" w:hAnsi="Garamond" w:cs="Arial"/>
          <w:sz w:val="24"/>
          <w:szCs w:val="24"/>
        </w:rPr>
        <w:t>propõe</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 Modelo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Integral </w:t>
      </w:r>
      <w:r w:rsidRPr="003A1174">
        <w:rPr>
          <w:rFonts w:ascii="Garamond" w:eastAsiaTheme="minorHAnsi" w:hAnsi="Garamond" w:cs="Arial"/>
          <w:sz w:val="24"/>
          <w:szCs w:val="24"/>
        </w:rPr>
        <w:t xml:space="preserve">é </w:t>
      </w:r>
      <w:r w:rsidR="00CE3C9D" w:rsidRPr="003A1174">
        <w:rPr>
          <w:rFonts w:ascii="Garamond" w:eastAsiaTheme="minorHAnsi" w:hAnsi="Garamond" w:cs="Arial"/>
          <w:sz w:val="24"/>
          <w:szCs w:val="24"/>
        </w:rPr>
        <w:t>contar co</w:t>
      </w:r>
      <w:r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w:t>
      </w:r>
      <w:r w:rsidR="0017447A" w:rsidRPr="003A1174">
        <w:rPr>
          <w:rFonts w:ascii="Garamond" w:eastAsiaTheme="minorHAnsi" w:hAnsi="Garamond" w:cs="Arial"/>
          <w:sz w:val="24"/>
          <w:szCs w:val="24"/>
        </w:rPr>
        <w:t>informação</w:t>
      </w:r>
      <w:r w:rsidR="00CE3C9D" w:rsidRPr="003A1174">
        <w:rPr>
          <w:rFonts w:ascii="Garamond" w:eastAsiaTheme="minorHAnsi" w:hAnsi="Garamond" w:cs="Arial"/>
          <w:sz w:val="24"/>
          <w:szCs w:val="24"/>
        </w:rPr>
        <w:t xml:space="preserve"> </w:t>
      </w:r>
      <w:r w:rsidR="00BA21ED" w:rsidRPr="003A1174">
        <w:rPr>
          <w:rFonts w:ascii="Garamond" w:eastAsiaTheme="minorHAnsi" w:hAnsi="Garamond" w:cs="Arial"/>
          <w:sz w:val="24"/>
          <w:szCs w:val="24"/>
        </w:rPr>
        <w:t>mais</w:t>
      </w:r>
      <w:r w:rsidR="00CE3C9D" w:rsidRPr="003A1174">
        <w:rPr>
          <w:rFonts w:ascii="Garamond" w:eastAsiaTheme="minorHAnsi" w:hAnsi="Garamond" w:cs="Arial"/>
          <w:sz w:val="24"/>
          <w:szCs w:val="24"/>
        </w:rPr>
        <w:t xml:space="preserve"> </w:t>
      </w:r>
      <w:r w:rsidR="004C4331" w:rsidRPr="003A1174">
        <w:rPr>
          <w:rFonts w:ascii="Garamond" w:eastAsiaTheme="minorHAnsi" w:hAnsi="Garamond" w:cs="Arial"/>
          <w:sz w:val="24"/>
          <w:szCs w:val="24"/>
        </w:rPr>
        <w:t>c</w:t>
      </w:r>
      <w:r w:rsidRPr="003A1174">
        <w:rPr>
          <w:rFonts w:ascii="Garamond" w:eastAsiaTheme="minorHAnsi" w:hAnsi="Garamond" w:cs="Arial"/>
          <w:sz w:val="24"/>
          <w:szCs w:val="24"/>
        </w:rPr>
        <w:t xml:space="preserve">lara sobre </w:t>
      </w:r>
      <w:r w:rsidR="00CE3C9D" w:rsidRPr="003A1174">
        <w:rPr>
          <w:rFonts w:ascii="Garamond" w:eastAsiaTheme="minorHAnsi" w:hAnsi="Garamond" w:cs="Arial"/>
          <w:sz w:val="24"/>
          <w:szCs w:val="24"/>
        </w:rPr>
        <w:t xml:space="preserve">a </w:t>
      </w:r>
      <w:r w:rsidRPr="003A1174">
        <w:rPr>
          <w:rFonts w:ascii="Garamond" w:eastAsiaTheme="minorHAnsi" w:hAnsi="Garamond" w:cs="Arial"/>
          <w:sz w:val="24"/>
          <w:szCs w:val="24"/>
        </w:rPr>
        <w:t>dimensão</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4C4331" w:rsidRPr="003A1174">
        <w:rPr>
          <w:rFonts w:ascii="Garamond" w:eastAsiaTheme="minorHAnsi" w:hAnsi="Garamond" w:cs="Arial"/>
          <w:sz w:val="24"/>
          <w:szCs w:val="24"/>
        </w:rPr>
        <w:t xml:space="preserve"> </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 impacto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problema para u</w:t>
      </w:r>
      <w:r w:rsidRPr="003A1174">
        <w:rPr>
          <w:rFonts w:ascii="Garamond" w:eastAsiaTheme="minorHAnsi" w:hAnsi="Garamond" w:cs="Arial"/>
          <w:sz w:val="24"/>
          <w:szCs w:val="24"/>
        </w:rPr>
        <w:t xml:space="preserve">m enfoque </w:t>
      </w:r>
      <w:r w:rsidR="00501083" w:rsidRPr="003A1174">
        <w:rPr>
          <w:rFonts w:ascii="Garamond" w:eastAsiaTheme="minorHAnsi" w:hAnsi="Garamond" w:cs="Arial"/>
          <w:sz w:val="24"/>
          <w:szCs w:val="24"/>
        </w:rPr>
        <w:t>adequado</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 xml:space="preserve">na sua </w:t>
      </w:r>
      <w:r w:rsidR="00976FB8" w:rsidRPr="003A1174">
        <w:rPr>
          <w:rFonts w:ascii="Garamond" w:eastAsiaTheme="minorHAnsi" w:hAnsi="Garamond" w:cs="Arial"/>
          <w:sz w:val="24"/>
          <w:szCs w:val="24"/>
        </w:rPr>
        <w:t>intervenção</w:t>
      </w:r>
      <w:r w:rsidR="00CE3C9D" w:rsidRPr="003A1174">
        <w:rPr>
          <w:rFonts w:ascii="Garamond" w:eastAsiaTheme="minorHAnsi" w:hAnsi="Garamond" w:cs="Arial"/>
          <w:sz w:val="24"/>
          <w:szCs w:val="24"/>
        </w:rPr>
        <w:t xml:space="preserve">. </w:t>
      </w:r>
    </w:p>
    <w:p w:rsidR="00CE3C9D" w:rsidRPr="003A1174" w:rsidRDefault="00DD6896" w:rsidP="008719D4">
      <w:pPr>
        <w:pStyle w:val="Ttulo4"/>
        <w:spacing w:line="240" w:lineRule="auto"/>
        <w:rPr>
          <w:rFonts w:ascii="Garamond" w:eastAsiaTheme="minorHAnsi" w:hAnsi="Garamond"/>
          <w:sz w:val="24"/>
          <w:szCs w:val="24"/>
        </w:rPr>
      </w:pPr>
      <w:r>
        <w:rPr>
          <w:rFonts w:ascii="Garamond" w:eastAsiaTheme="minorHAnsi" w:hAnsi="Garamond"/>
          <w:sz w:val="24"/>
          <w:szCs w:val="24"/>
        </w:rPr>
        <w:t>Formação</w:t>
      </w:r>
      <w:r w:rsidR="00684945" w:rsidRPr="003A1174">
        <w:rPr>
          <w:rFonts w:ascii="Garamond" w:eastAsiaTheme="minorHAnsi" w:hAnsi="Garamond"/>
          <w:sz w:val="24"/>
          <w:szCs w:val="24"/>
        </w:rPr>
        <w:t>/</w:t>
      </w:r>
      <w:r w:rsidR="00976FB8" w:rsidRPr="003A1174">
        <w:rPr>
          <w:rFonts w:ascii="Garamond" w:eastAsiaTheme="minorHAnsi" w:hAnsi="Garamond"/>
          <w:sz w:val="24"/>
          <w:szCs w:val="24"/>
        </w:rPr>
        <w:t>sensibilização</w:t>
      </w:r>
      <w:r w:rsidR="00684945" w:rsidRPr="003A1174">
        <w:rPr>
          <w:rFonts w:ascii="Garamond" w:eastAsiaTheme="minorHAnsi" w:hAnsi="Garamond"/>
          <w:sz w:val="24"/>
          <w:szCs w:val="24"/>
        </w:rPr>
        <w:t xml:space="preserve"> </w:t>
      </w:r>
      <w:r w:rsidR="00A23EB8" w:rsidRPr="003A1174">
        <w:rPr>
          <w:rFonts w:ascii="Garamond" w:eastAsiaTheme="minorHAnsi" w:hAnsi="Garamond"/>
          <w:sz w:val="24"/>
          <w:szCs w:val="24"/>
        </w:rPr>
        <w:t xml:space="preserve">de </w:t>
      </w:r>
      <w:r w:rsidR="00684945" w:rsidRPr="003A1174">
        <w:rPr>
          <w:rFonts w:ascii="Garamond" w:eastAsiaTheme="minorHAnsi" w:hAnsi="Garamond"/>
          <w:sz w:val="24"/>
          <w:szCs w:val="24"/>
        </w:rPr>
        <w:t xml:space="preserve">operadores de </w:t>
      </w:r>
      <w:r w:rsidR="00FC1F7F" w:rsidRPr="003A1174">
        <w:rPr>
          <w:rFonts w:ascii="Garamond" w:eastAsiaTheme="minorHAnsi" w:hAnsi="Garamond"/>
          <w:sz w:val="24"/>
          <w:szCs w:val="24"/>
        </w:rPr>
        <w:t>Justiça</w:t>
      </w:r>
    </w:p>
    <w:p w:rsidR="00CE3C9D" w:rsidRPr="003A1174" w:rsidRDefault="00A23EB8"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Realizaram-se </w:t>
      </w:r>
      <w:r w:rsidR="00CE3C9D" w:rsidRPr="003A1174">
        <w:rPr>
          <w:rFonts w:ascii="Garamond" w:eastAsiaTheme="minorHAnsi" w:hAnsi="Garamond" w:cs="Arial"/>
          <w:sz w:val="24"/>
          <w:szCs w:val="24"/>
        </w:rPr>
        <w:t xml:space="preserve">jornadas de </w:t>
      </w:r>
      <w:r w:rsidR="00DD6896">
        <w:rPr>
          <w:rFonts w:ascii="Garamond" w:eastAsiaTheme="minorHAnsi" w:hAnsi="Garamond" w:cs="Arial"/>
          <w:sz w:val="24"/>
          <w:szCs w:val="24"/>
        </w:rPr>
        <w:t xml:space="preserve">formação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976FB8" w:rsidRPr="003A1174">
        <w:rPr>
          <w:rFonts w:ascii="Garamond" w:eastAsiaTheme="minorHAnsi" w:hAnsi="Garamond" w:cs="Arial"/>
          <w:sz w:val="24"/>
          <w:szCs w:val="24"/>
        </w:rPr>
        <w:t>sensibilização</w:t>
      </w:r>
      <w:r w:rsidR="00CE3C9D" w:rsidRPr="003A1174">
        <w:rPr>
          <w:rFonts w:ascii="Garamond" w:eastAsiaTheme="minorHAnsi" w:hAnsi="Garamond" w:cs="Arial"/>
          <w:sz w:val="24"/>
          <w:szCs w:val="24"/>
        </w:rPr>
        <w:t xml:space="preserve"> a operadores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operadoras de </w:t>
      </w:r>
      <w:r w:rsidR="00FC1F7F" w:rsidRPr="003A1174">
        <w:rPr>
          <w:rFonts w:ascii="Garamond" w:eastAsiaTheme="minorHAnsi" w:hAnsi="Garamond" w:cs="Arial"/>
          <w:sz w:val="24"/>
          <w:szCs w:val="24"/>
        </w:rPr>
        <w:t>Justiça</w:t>
      </w:r>
      <w:r w:rsidR="00CE3C9D" w:rsidRPr="003A1174">
        <w:rPr>
          <w:rFonts w:ascii="Garamond" w:eastAsiaTheme="minorHAnsi" w:hAnsi="Garamond" w:cs="Arial"/>
          <w:sz w:val="24"/>
          <w:szCs w:val="24"/>
        </w:rPr>
        <w:t xml:space="preserve"> e</w:t>
      </w:r>
      <w:r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temas de género, </w:t>
      </w:r>
      <w:r w:rsidR="00FC1F7F" w:rsidRPr="003A1174">
        <w:rPr>
          <w:rFonts w:ascii="Garamond" w:eastAsiaTheme="minorHAnsi" w:hAnsi="Garamond" w:cs="Arial"/>
          <w:sz w:val="24"/>
          <w:szCs w:val="24"/>
        </w:rPr>
        <w:t>justiça</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s humanos por parte da Esc</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la de </w:t>
      </w:r>
      <w:r w:rsidR="00454353" w:rsidRPr="003A1174">
        <w:rPr>
          <w:rFonts w:ascii="Garamond" w:eastAsiaTheme="minorHAnsi" w:hAnsi="Garamond" w:cs="Arial"/>
          <w:sz w:val="24"/>
          <w:szCs w:val="24"/>
        </w:rPr>
        <w:t>Formação</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w:t>
      </w:r>
      <w:r w:rsidR="00D77C19" w:rsidRPr="003A1174">
        <w:rPr>
          <w:rFonts w:ascii="Garamond" w:eastAsiaTheme="minorHAnsi" w:hAnsi="Garamond" w:cs="Arial"/>
          <w:sz w:val="24"/>
          <w:szCs w:val="24"/>
        </w:rPr>
        <w:t>Ministério</w:t>
      </w:r>
      <w:r w:rsidR="00CE3C9D" w:rsidRPr="003A1174">
        <w:rPr>
          <w:rFonts w:ascii="Garamond" w:eastAsiaTheme="minorHAnsi" w:hAnsi="Garamond" w:cs="Arial"/>
          <w:sz w:val="24"/>
          <w:szCs w:val="24"/>
        </w:rPr>
        <w:t xml:space="preserve"> Público, a</w:t>
      </w:r>
      <w:r w:rsidRPr="003A1174">
        <w:rPr>
          <w:rFonts w:ascii="Garamond" w:eastAsiaTheme="minorHAnsi" w:hAnsi="Garamond" w:cs="Arial"/>
          <w:sz w:val="24"/>
          <w:szCs w:val="24"/>
        </w:rPr>
        <w:t xml:space="preserve">lém das </w:t>
      </w:r>
      <w:r w:rsidR="00CE3C9D" w:rsidRPr="003A1174">
        <w:rPr>
          <w:rFonts w:ascii="Garamond" w:eastAsiaTheme="minorHAnsi" w:hAnsi="Garamond" w:cs="Arial"/>
          <w:sz w:val="24"/>
          <w:szCs w:val="24"/>
        </w:rPr>
        <w:t xml:space="preserve">jornadas de </w:t>
      </w:r>
      <w:r w:rsidR="00976FB8" w:rsidRPr="003A1174">
        <w:rPr>
          <w:rFonts w:ascii="Garamond" w:eastAsiaTheme="minorHAnsi" w:hAnsi="Garamond" w:cs="Arial"/>
          <w:sz w:val="24"/>
          <w:szCs w:val="24"/>
        </w:rPr>
        <w:t>sensibilização</w:t>
      </w:r>
      <w:r w:rsidR="00CE3C9D" w:rsidRPr="003A1174">
        <w:rPr>
          <w:rFonts w:ascii="Garamond" w:eastAsiaTheme="minorHAnsi" w:hAnsi="Garamond" w:cs="Arial"/>
          <w:sz w:val="24"/>
          <w:szCs w:val="24"/>
        </w:rPr>
        <w:t xml:space="preserve"> </w:t>
      </w:r>
      <w:r w:rsidR="004C4331" w:rsidRPr="003A1174">
        <w:rPr>
          <w:rFonts w:ascii="Garamond" w:eastAsiaTheme="minorHAnsi" w:hAnsi="Garamond" w:cs="Arial"/>
          <w:sz w:val="24"/>
          <w:szCs w:val="24"/>
        </w:rPr>
        <w:t>dirigidas a</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 </w:t>
      </w:r>
      <w:r w:rsidR="00F96DD1" w:rsidRPr="003A1174">
        <w:rPr>
          <w:rFonts w:ascii="Garamond" w:eastAsiaTheme="minorHAnsi" w:hAnsi="Garamond" w:cs="Arial"/>
          <w:sz w:val="24"/>
          <w:szCs w:val="24"/>
        </w:rPr>
        <w:t>setor</w:t>
      </w:r>
      <w:r w:rsidRPr="003A1174">
        <w:rPr>
          <w:rFonts w:ascii="Garamond" w:eastAsiaTheme="minorHAnsi" w:hAnsi="Garamond" w:cs="Arial"/>
          <w:sz w:val="24"/>
          <w:szCs w:val="24"/>
        </w:rPr>
        <w:t xml:space="preserve"> da</w:t>
      </w:r>
      <w:r w:rsidR="00CE3C9D" w:rsidRPr="003A1174">
        <w:rPr>
          <w:rFonts w:ascii="Garamond" w:eastAsiaTheme="minorHAnsi" w:hAnsi="Garamond" w:cs="Arial"/>
          <w:sz w:val="24"/>
          <w:szCs w:val="24"/>
        </w:rPr>
        <w:t xml:space="preserve"> </w:t>
      </w:r>
      <w:r w:rsidR="00FC1F7F" w:rsidRPr="003A1174">
        <w:rPr>
          <w:rFonts w:ascii="Garamond" w:eastAsiaTheme="minorHAnsi" w:hAnsi="Garamond" w:cs="Arial"/>
          <w:sz w:val="24"/>
          <w:szCs w:val="24"/>
        </w:rPr>
        <w:t>Justiça</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Pr="003A1174">
        <w:rPr>
          <w:rFonts w:ascii="Garamond" w:eastAsiaTheme="minorHAnsi" w:hAnsi="Garamond" w:cs="Arial"/>
          <w:sz w:val="24"/>
          <w:szCs w:val="24"/>
        </w:rPr>
        <w:t xml:space="preserve"> da</w:t>
      </w:r>
      <w:r w:rsidR="00CE3C9D" w:rsidRPr="003A1174">
        <w:rPr>
          <w:rFonts w:ascii="Garamond" w:eastAsiaTheme="minorHAnsi" w:hAnsi="Garamond" w:cs="Arial"/>
          <w:sz w:val="24"/>
          <w:szCs w:val="24"/>
        </w:rPr>
        <w:t xml:space="preserve"> </w:t>
      </w:r>
      <w:r w:rsidR="007C63D0" w:rsidRPr="003A1174">
        <w:rPr>
          <w:rFonts w:ascii="Garamond" w:eastAsiaTheme="minorHAnsi" w:hAnsi="Garamond" w:cs="Arial"/>
          <w:sz w:val="24"/>
          <w:szCs w:val="24"/>
        </w:rPr>
        <w:t>Saúde</w:t>
      </w:r>
      <w:r w:rsidRPr="003A1174">
        <w:rPr>
          <w:rFonts w:ascii="Garamond" w:eastAsiaTheme="minorHAnsi" w:hAnsi="Garamond" w:cs="Arial"/>
          <w:sz w:val="24"/>
          <w:szCs w:val="24"/>
        </w:rPr>
        <w:t xml:space="preserve"> para </w:t>
      </w:r>
      <w:r w:rsidR="00CE3C9D" w:rsidRPr="003A1174">
        <w:rPr>
          <w:rFonts w:ascii="Garamond" w:eastAsiaTheme="minorHAnsi" w:hAnsi="Garamond" w:cs="Arial"/>
          <w:sz w:val="24"/>
          <w:szCs w:val="24"/>
        </w:rPr>
        <w:t xml:space="preserve">a </w:t>
      </w:r>
      <w:r w:rsidR="006C760C" w:rsidRPr="003A1174">
        <w:rPr>
          <w:rFonts w:ascii="Garamond" w:eastAsiaTheme="minorHAnsi" w:hAnsi="Garamond" w:cs="Arial"/>
          <w:sz w:val="24"/>
          <w:szCs w:val="24"/>
        </w:rPr>
        <w:t>implementação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CE3C9D" w:rsidRPr="003A1174">
        <w:rPr>
          <w:rFonts w:ascii="Garamond" w:eastAsiaTheme="minorHAnsi" w:hAnsi="Garamond" w:cs="Arial"/>
          <w:sz w:val="24"/>
          <w:szCs w:val="24"/>
        </w:rPr>
        <w:t xml:space="preserve"> Modelos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Integral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C246B4" w:rsidRPr="003A1174">
        <w:rPr>
          <w:rFonts w:ascii="Garamond" w:eastAsiaTheme="minorHAnsi" w:hAnsi="Garamond" w:cs="Arial"/>
          <w:sz w:val="24"/>
          <w:szCs w:val="24"/>
        </w:rPr>
        <w:t>Gabinete</w:t>
      </w:r>
      <w:r w:rsidR="00CE3C9D" w:rsidRPr="003A1174">
        <w:rPr>
          <w:rFonts w:ascii="Garamond" w:eastAsiaTheme="minorHAnsi" w:hAnsi="Garamond" w:cs="Arial"/>
          <w:sz w:val="24"/>
          <w:szCs w:val="24"/>
        </w:rPr>
        <w:t xml:space="preserve">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Integral da </w:t>
      </w:r>
      <w:r w:rsidRPr="003A1174">
        <w:rPr>
          <w:rFonts w:ascii="Garamond" w:eastAsiaTheme="minorHAnsi" w:hAnsi="Garamond" w:cs="Arial"/>
          <w:sz w:val="24"/>
          <w:szCs w:val="24"/>
        </w:rPr>
        <w:t xml:space="preserve">Procuradoria da </w:t>
      </w:r>
      <w:r w:rsidR="00AF192F" w:rsidRPr="003A1174">
        <w:rPr>
          <w:rFonts w:ascii="Garamond" w:eastAsiaTheme="minorHAnsi" w:hAnsi="Garamond" w:cs="Arial"/>
          <w:sz w:val="24"/>
          <w:szCs w:val="24"/>
        </w:rPr>
        <w:t>Mulher</w:t>
      </w:r>
      <w:r w:rsidR="00CE3C9D" w:rsidRPr="003A1174">
        <w:rPr>
          <w:rFonts w:ascii="Garamond" w:eastAsiaTheme="minorHAnsi" w:hAnsi="Garamond" w:cs="Arial"/>
          <w:sz w:val="24"/>
          <w:szCs w:val="24"/>
        </w:rPr>
        <w:t xml:space="preserve">. </w:t>
      </w:r>
    </w:p>
    <w:p w:rsidR="00CE3C9D" w:rsidRPr="003A1174" w:rsidRDefault="00A23EB8" w:rsidP="008719D4">
      <w:pPr>
        <w:spacing w:before="240" w:line="240" w:lineRule="auto"/>
        <w:jc w:val="both"/>
        <w:rPr>
          <w:rFonts w:ascii="Garamond" w:eastAsiaTheme="minorHAnsi" w:hAnsi="Garamond" w:cs="Arial"/>
          <w:sz w:val="24"/>
          <w:szCs w:val="24"/>
        </w:rPr>
      </w:pPr>
      <w:r w:rsidRPr="003A1174">
        <w:rPr>
          <w:rFonts w:ascii="Garamond" w:eastAsiaTheme="minorHAnsi" w:hAnsi="Garamond" w:cs="Arial"/>
          <w:sz w:val="24"/>
          <w:szCs w:val="24"/>
        </w:rPr>
        <w:t xml:space="preserve">No </w:t>
      </w:r>
      <w:r w:rsidR="00253B1D" w:rsidRPr="003A1174">
        <w:rPr>
          <w:rFonts w:ascii="Garamond" w:eastAsiaTheme="minorHAnsi" w:hAnsi="Garamond" w:cs="Arial"/>
          <w:sz w:val="24"/>
          <w:szCs w:val="24"/>
        </w:rPr>
        <w:t>quadro</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w:t>
      </w:r>
      <w:r w:rsidR="00FB09CA" w:rsidRPr="003A1174">
        <w:rPr>
          <w:rFonts w:ascii="Garamond" w:eastAsiaTheme="minorHAnsi" w:hAnsi="Garamond" w:cs="Arial"/>
          <w:sz w:val="24"/>
          <w:szCs w:val="24"/>
        </w:rPr>
        <w:t>funcionamento</w:t>
      </w:r>
      <w:r w:rsidR="00CE3C9D" w:rsidRPr="003A1174">
        <w:rPr>
          <w:rFonts w:ascii="Garamond" w:eastAsiaTheme="minorHAnsi" w:hAnsi="Garamond" w:cs="Arial"/>
          <w:sz w:val="24"/>
          <w:szCs w:val="24"/>
        </w:rPr>
        <w:t xml:space="preserve"> </w:t>
      </w:r>
      <w:r w:rsidR="00E85E59" w:rsidRPr="003A1174">
        <w:rPr>
          <w:rFonts w:ascii="Garamond" w:eastAsiaTheme="minorHAnsi" w:hAnsi="Garamond" w:cs="Arial"/>
          <w:sz w:val="24"/>
          <w:szCs w:val="24"/>
        </w:rPr>
        <w:t>do</w:t>
      </w:r>
      <w:r w:rsidR="00CE3C9D" w:rsidRPr="003A1174">
        <w:rPr>
          <w:rFonts w:ascii="Garamond" w:eastAsiaTheme="minorHAnsi" w:hAnsi="Garamond" w:cs="Arial"/>
          <w:sz w:val="24"/>
          <w:szCs w:val="24"/>
        </w:rPr>
        <w:t xml:space="preserve"> Centro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Proteção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dos</w:t>
      </w:r>
      <w:r w:rsidR="00CE3C9D" w:rsidRPr="003A1174">
        <w:rPr>
          <w:rFonts w:ascii="Garamond" w:eastAsiaTheme="minorHAnsi" w:hAnsi="Garamond" w:cs="Arial"/>
          <w:sz w:val="24"/>
          <w:szCs w:val="24"/>
        </w:rPr>
        <w:t xml:space="preserve"> </w:t>
      </w:r>
      <w:r w:rsidR="00886D6A" w:rsidRPr="003A1174">
        <w:rPr>
          <w:rFonts w:ascii="Garamond" w:eastAsiaTheme="minorHAnsi" w:hAnsi="Garamond" w:cs="Arial"/>
          <w:sz w:val="24"/>
          <w:szCs w:val="24"/>
        </w:rPr>
        <w:t>Direito</w:t>
      </w:r>
      <w:r w:rsidR="00CE3C9D" w:rsidRPr="003A1174">
        <w:rPr>
          <w:rFonts w:ascii="Garamond" w:eastAsiaTheme="minorHAnsi" w:hAnsi="Garamond" w:cs="Arial"/>
          <w:sz w:val="24"/>
          <w:szCs w:val="24"/>
        </w:rPr>
        <w:t xml:space="preserve">s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w:t>
      </w:r>
      <w:r w:rsidR="00054EE0" w:rsidRPr="003A1174">
        <w:rPr>
          <w:rFonts w:ascii="Garamond" w:eastAsiaTheme="minorHAnsi" w:hAnsi="Garamond" w:cs="Arial"/>
          <w:sz w:val="24"/>
          <w:szCs w:val="24"/>
        </w:rPr>
        <w:t>Mulheres</w:t>
      </w:r>
      <w:r w:rsidR="00CE3C9D" w:rsidRPr="003A1174">
        <w:rPr>
          <w:rFonts w:ascii="Garamond" w:eastAsiaTheme="minorHAnsi" w:hAnsi="Garamond" w:cs="Arial"/>
          <w:sz w:val="24"/>
          <w:szCs w:val="24"/>
        </w:rPr>
        <w:t xml:space="preserve"> (CAPRODEM), como </w:t>
      </w:r>
      <w:r w:rsidRPr="003A1174">
        <w:rPr>
          <w:rFonts w:ascii="Garamond" w:eastAsiaTheme="minorHAnsi" w:hAnsi="Garamond" w:cs="Arial"/>
          <w:sz w:val="24"/>
          <w:szCs w:val="24"/>
        </w:rPr>
        <w:t>projeto-piloto</w:t>
      </w:r>
      <w:r w:rsidR="00CE3C9D" w:rsidRPr="003A1174">
        <w:rPr>
          <w:rFonts w:ascii="Garamond" w:eastAsiaTheme="minorHAnsi" w:hAnsi="Garamond" w:cs="Arial"/>
          <w:sz w:val="24"/>
          <w:szCs w:val="24"/>
        </w:rPr>
        <w:t xml:space="preserve"> </w:t>
      </w:r>
      <w:r w:rsidRPr="003A1174">
        <w:rPr>
          <w:rFonts w:ascii="Garamond" w:eastAsiaTheme="minorHAnsi" w:hAnsi="Garamond" w:cs="Arial"/>
          <w:sz w:val="24"/>
          <w:szCs w:val="24"/>
        </w:rPr>
        <w:t>n</w:t>
      </w:r>
      <w:r w:rsidR="00CE3C9D" w:rsidRPr="003A1174">
        <w:rPr>
          <w:rFonts w:ascii="Garamond" w:eastAsiaTheme="minorHAnsi" w:hAnsi="Garamond" w:cs="Arial"/>
          <w:sz w:val="24"/>
          <w:szCs w:val="24"/>
        </w:rPr>
        <w:t xml:space="preserve">a </w:t>
      </w:r>
      <w:r w:rsidR="00C90370" w:rsidRPr="003A1174">
        <w:rPr>
          <w:rFonts w:ascii="Garamond" w:eastAsiaTheme="minorHAnsi" w:hAnsi="Garamond" w:cs="Arial"/>
          <w:sz w:val="24"/>
          <w:szCs w:val="24"/>
        </w:rPr>
        <w:t>cidade</w:t>
      </w:r>
      <w:r w:rsidR="00CE3C9D" w:rsidRPr="003A1174">
        <w:rPr>
          <w:rFonts w:ascii="Garamond" w:eastAsiaTheme="minorHAnsi" w:hAnsi="Garamond" w:cs="Arial"/>
          <w:sz w:val="24"/>
          <w:szCs w:val="24"/>
        </w:rPr>
        <w:t xml:space="preserve"> de Comayagüela, Francisco Morazán, </w:t>
      </w:r>
      <w:r w:rsidR="00BA3CCE" w:rsidRPr="003A1174">
        <w:rPr>
          <w:rFonts w:ascii="Garamond" w:eastAsiaTheme="minorHAnsi" w:hAnsi="Garamond" w:cs="Arial"/>
          <w:sz w:val="24"/>
          <w:szCs w:val="24"/>
        </w:rPr>
        <w:t>impulsionado</w:t>
      </w:r>
      <w:r w:rsidR="00CE3C9D" w:rsidRPr="003A1174">
        <w:rPr>
          <w:rFonts w:ascii="Garamond" w:eastAsiaTheme="minorHAnsi" w:hAnsi="Garamond" w:cs="Arial"/>
          <w:sz w:val="24"/>
          <w:szCs w:val="24"/>
        </w:rPr>
        <w:t xml:space="preserve"> </w:t>
      </w:r>
      <w:r w:rsidR="005C2020" w:rsidRPr="003A1174">
        <w:rPr>
          <w:rFonts w:ascii="Garamond" w:eastAsiaTheme="minorHAnsi" w:hAnsi="Garamond" w:cs="Arial"/>
          <w:sz w:val="24"/>
          <w:szCs w:val="24"/>
        </w:rPr>
        <w:t>pelo</w:t>
      </w:r>
      <w:r w:rsidR="00CE3C9D" w:rsidRPr="003A1174">
        <w:rPr>
          <w:rFonts w:ascii="Garamond" w:eastAsiaTheme="minorHAnsi" w:hAnsi="Garamond" w:cs="Arial"/>
          <w:sz w:val="24"/>
          <w:szCs w:val="24"/>
        </w:rPr>
        <w:t xml:space="preserve"> Poder Judicial co</w:t>
      </w:r>
      <w:r w:rsidRPr="003A1174">
        <w:rPr>
          <w:rFonts w:ascii="Garamond" w:eastAsiaTheme="minorHAnsi" w:hAnsi="Garamond" w:cs="Arial"/>
          <w:sz w:val="24"/>
          <w:szCs w:val="24"/>
        </w:rPr>
        <w:t>m</w:t>
      </w:r>
      <w:r w:rsidR="00CE3C9D" w:rsidRPr="003A1174">
        <w:rPr>
          <w:rFonts w:ascii="Garamond" w:eastAsiaTheme="minorHAnsi" w:hAnsi="Garamond" w:cs="Arial"/>
          <w:sz w:val="24"/>
          <w:szCs w:val="24"/>
        </w:rPr>
        <w:t xml:space="preserve"> </w:t>
      </w:r>
      <w:r w:rsidR="00791197" w:rsidRPr="003A1174">
        <w:rPr>
          <w:rFonts w:ascii="Garamond" w:eastAsiaTheme="minorHAnsi" w:hAnsi="Garamond" w:cs="Arial"/>
          <w:sz w:val="24"/>
          <w:szCs w:val="24"/>
        </w:rPr>
        <w:t>apoio</w:t>
      </w:r>
      <w:r w:rsidR="00CE3C9D" w:rsidRPr="003A1174">
        <w:rPr>
          <w:rFonts w:ascii="Garamond" w:eastAsiaTheme="minorHAnsi" w:hAnsi="Garamond" w:cs="Arial"/>
          <w:sz w:val="24"/>
          <w:szCs w:val="24"/>
        </w:rPr>
        <w:t xml:space="preserve"> </w:t>
      </w:r>
      <w:r w:rsidR="00497503" w:rsidRPr="003A1174">
        <w:rPr>
          <w:rFonts w:ascii="Garamond" w:eastAsiaTheme="minorHAnsi" w:hAnsi="Garamond" w:cs="Arial"/>
          <w:sz w:val="24"/>
          <w:szCs w:val="24"/>
        </w:rPr>
        <w:t>das</w:t>
      </w:r>
      <w:r w:rsidR="00CE3C9D" w:rsidRPr="003A1174">
        <w:rPr>
          <w:rFonts w:ascii="Garamond" w:eastAsiaTheme="minorHAnsi" w:hAnsi="Garamond" w:cs="Arial"/>
          <w:sz w:val="24"/>
          <w:szCs w:val="24"/>
        </w:rPr>
        <w:t xml:space="preserve"> </w:t>
      </w:r>
      <w:r w:rsidR="002C7510" w:rsidRPr="003A1174">
        <w:rPr>
          <w:rFonts w:ascii="Garamond" w:eastAsiaTheme="minorHAnsi" w:hAnsi="Garamond" w:cs="Arial"/>
          <w:sz w:val="24"/>
          <w:szCs w:val="24"/>
        </w:rPr>
        <w:t>instituições</w:t>
      </w:r>
      <w:r w:rsidR="00CE3C9D" w:rsidRPr="003A1174">
        <w:rPr>
          <w:rFonts w:ascii="Garamond" w:eastAsiaTheme="minorHAnsi" w:hAnsi="Garamond" w:cs="Arial"/>
          <w:sz w:val="24"/>
          <w:szCs w:val="24"/>
        </w:rPr>
        <w:t xml:space="preserve"> que </w:t>
      </w:r>
      <w:r w:rsidRPr="003A1174">
        <w:rPr>
          <w:rFonts w:ascii="Garamond" w:eastAsiaTheme="minorHAnsi" w:hAnsi="Garamond" w:cs="Arial"/>
          <w:sz w:val="24"/>
          <w:szCs w:val="24"/>
        </w:rPr>
        <w:t xml:space="preserve">fazem parte da </w:t>
      </w:r>
      <w:r w:rsidR="00FC1F7F" w:rsidRPr="003A1174">
        <w:rPr>
          <w:rFonts w:ascii="Garamond" w:eastAsiaTheme="minorHAnsi" w:hAnsi="Garamond" w:cs="Arial"/>
          <w:sz w:val="24"/>
          <w:szCs w:val="24"/>
        </w:rPr>
        <w:t>Comissão</w:t>
      </w:r>
      <w:r w:rsidR="00CE3C9D" w:rsidRPr="003A1174">
        <w:rPr>
          <w:rFonts w:ascii="Garamond" w:eastAsiaTheme="minorHAnsi" w:hAnsi="Garamond" w:cs="Arial"/>
          <w:sz w:val="24"/>
          <w:szCs w:val="24"/>
        </w:rPr>
        <w:t xml:space="preserve"> Interinstitucional de </w:t>
      </w:r>
      <w:r w:rsidR="00C01806" w:rsidRPr="003A1174">
        <w:rPr>
          <w:rFonts w:ascii="Garamond" w:eastAsiaTheme="minorHAnsi" w:hAnsi="Garamond" w:cs="Arial"/>
          <w:sz w:val="24"/>
          <w:szCs w:val="24"/>
        </w:rPr>
        <w:t>Seguimento</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à</w:t>
      </w:r>
      <w:r w:rsidR="00CE3C9D" w:rsidRPr="003A1174">
        <w:rPr>
          <w:rFonts w:ascii="Garamond" w:eastAsiaTheme="minorHAnsi" w:hAnsi="Garamond" w:cs="Arial"/>
          <w:sz w:val="24"/>
          <w:szCs w:val="24"/>
        </w:rPr>
        <w:t xml:space="preserve"> </w:t>
      </w:r>
      <w:r w:rsidR="00B14AA6" w:rsidRPr="003A1174">
        <w:rPr>
          <w:rFonts w:ascii="Garamond" w:eastAsiaTheme="minorHAnsi" w:hAnsi="Garamond" w:cs="Arial"/>
          <w:sz w:val="24"/>
          <w:szCs w:val="24"/>
        </w:rPr>
        <w:t>Aplicação</w:t>
      </w:r>
      <w:r w:rsidRPr="003A1174">
        <w:rPr>
          <w:rFonts w:ascii="Garamond" w:eastAsiaTheme="minorHAnsi" w:hAnsi="Garamond" w:cs="Arial"/>
          <w:sz w:val="24"/>
          <w:szCs w:val="24"/>
        </w:rPr>
        <w:t xml:space="preserve"> d</w:t>
      </w:r>
      <w:r w:rsidR="00CE3C9D" w:rsidRPr="003A1174">
        <w:rPr>
          <w:rFonts w:ascii="Garamond" w:eastAsiaTheme="minorHAnsi" w:hAnsi="Garamond" w:cs="Arial"/>
          <w:sz w:val="24"/>
          <w:szCs w:val="24"/>
        </w:rPr>
        <w:t xml:space="preserve">a </w:t>
      </w:r>
      <w:r w:rsidR="00D15AFF" w:rsidRPr="003A1174">
        <w:rPr>
          <w:rFonts w:ascii="Garamond" w:eastAsiaTheme="minorHAnsi" w:hAnsi="Garamond" w:cs="Arial"/>
          <w:sz w:val="24"/>
          <w:szCs w:val="24"/>
        </w:rPr>
        <w:t>Lei</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contra a</w:t>
      </w:r>
      <w:r w:rsidR="00CE3C9D"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w:t>
      </w:r>
      <w:r w:rsidRPr="003A1174">
        <w:rPr>
          <w:rFonts w:ascii="Garamond" w:eastAsiaTheme="minorHAnsi" w:hAnsi="Garamond" w:cs="Arial"/>
          <w:sz w:val="24"/>
          <w:szCs w:val="24"/>
        </w:rPr>
        <w:t>realizaram-</w:t>
      </w:r>
      <w:r w:rsidR="00CE3C9D" w:rsidRPr="003A1174">
        <w:rPr>
          <w:rFonts w:ascii="Garamond" w:eastAsiaTheme="minorHAnsi" w:hAnsi="Garamond" w:cs="Arial"/>
          <w:sz w:val="24"/>
          <w:szCs w:val="24"/>
        </w:rPr>
        <w:t xml:space="preserve">se </w:t>
      </w:r>
      <w:r w:rsidR="00C15C97" w:rsidRPr="003A1174">
        <w:rPr>
          <w:rFonts w:ascii="Garamond" w:eastAsiaTheme="minorHAnsi" w:hAnsi="Garamond" w:cs="Arial"/>
          <w:i/>
          <w:sz w:val="24"/>
          <w:szCs w:val="24"/>
        </w:rPr>
        <w:t>Ateliers</w:t>
      </w:r>
      <w:r w:rsidR="00CE3C9D" w:rsidRPr="003A1174">
        <w:rPr>
          <w:rFonts w:ascii="Garamond" w:eastAsiaTheme="minorHAnsi" w:hAnsi="Garamond" w:cs="Arial"/>
          <w:sz w:val="24"/>
          <w:szCs w:val="24"/>
        </w:rPr>
        <w:t xml:space="preserve"> de </w:t>
      </w:r>
      <w:r w:rsidR="00DD6896">
        <w:rPr>
          <w:rFonts w:ascii="Garamond" w:eastAsiaTheme="minorHAnsi" w:hAnsi="Garamond" w:cs="Arial"/>
          <w:sz w:val="24"/>
          <w:szCs w:val="24"/>
        </w:rPr>
        <w:t xml:space="preserve">Formação </w:t>
      </w:r>
      <w:r w:rsidR="00CE3C9D" w:rsidRPr="003A1174">
        <w:rPr>
          <w:rFonts w:ascii="Garamond" w:eastAsiaTheme="minorHAnsi" w:hAnsi="Garamond" w:cs="Arial"/>
          <w:sz w:val="24"/>
          <w:szCs w:val="24"/>
        </w:rPr>
        <w:t xml:space="preserve">para </w:t>
      </w:r>
      <w:r w:rsidR="004C4331" w:rsidRPr="003A1174">
        <w:rPr>
          <w:rFonts w:ascii="Garamond" w:eastAsiaTheme="minorHAnsi" w:hAnsi="Garamond" w:cs="Arial"/>
          <w:sz w:val="24"/>
          <w:szCs w:val="24"/>
        </w:rPr>
        <w:t xml:space="preserve">a </w:t>
      </w:r>
      <w:r w:rsidR="00454353" w:rsidRPr="003A1174">
        <w:rPr>
          <w:rFonts w:ascii="Garamond" w:eastAsiaTheme="minorHAnsi" w:hAnsi="Garamond" w:cs="Arial"/>
          <w:sz w:val="24"/>
          <w:szCs w:val="24"/>
        </w:rPr>
        <w:t>formação</w:t>
      </w:r>
      <w:r w:rsidR="00CE3C9D" w:rsidRPr="003A1174">
        <w:rPr>
          <w:rFonts w:ascii="Garamond" w:eastAsiaTheme="minorHAnsi" w:hAnsi="Garamond" w:cs="Arial"/>
          <w:sz w:val="24"/>
          <w:szCs w:val="24"/>
        </w:rPr>
        <w:t xml:space="preserve"> a </w:t>
      </w:r>
      <w:r w:rsidR="004C4331" w:rsidRPr="003A1174">
        <w:rPr>
          <w:rFonts w:ascii="Garamond" w:eastAsiaTheme="minorHAnsi" w:hAnsi="Garamond" w:cs="Arial"/>
          <w:sz w:val="24"/>
          <w:szCs w:val="24"/>
        </w:rPr>
        <w:t>f</w:t>
      </w:r>
      <w:r w:rsidR="00CE3C9D" w:rsidRPr="003A1174">
        <w:rPr>
          <w:rFonts w:ascii="Garamond" w:eastAsiaTheme="minorHAnsi" w:hAnsi="Garamond" w:cs="Arial"/>
          <w:sz w:val="24"/>
          <w:szCs w:val="24"/>
        </w:rPr>
        <w:t xml:space="preserve">ormadores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C15C97" w:rsidRPr="003A1174">
        <w:rPr>
          <w:rFonts w:ascii="Garamond" w:eastAsiaTheme="minorHAnsi" w:hAnsi="Garamond" w:cs="Arial"/>
          <w:i/>
          <w:sz w:val="24"/>
          <w:szCs w:val="24"/>
        </w:rPr>
        <w:t>Ateliers</w:t>
      </w:r>
      <w:r w:rsidR="00CE3C9D" w:rsidRPr="003A1174">
        <w:rPr>
          <w:rFonts w:ascii="Garamond" w:eastAsiaTheme="minorHAnsi" w:hAnsi="Garamond" w:cs="Arial"/>
          <w:sz w:val="24"/>
          <w:szCs w:val="24"/>
        </w:rPr>
        <w:t xml:space="preserve"> de </w:t>
      </w:r>
      <w:r w:rsidR="00976FB8" w:rsidRPr="003A1174">
        <w:rPr>
          <w:rFonts w:ascii="Garamond" w:eastAsiaTheme="minorHAnsi" w:hAnsi="Garamond" w:cs="Arial"/>
          <w:sz w:val="24"/>
          <w:szCs w:val="24"/>
        </w:rPr>
        <w:t>Sensibilização</w:t>
      </w:r>
      <w:r w:rsidR="00CE3C9D" w:rsidRPr="003A1174">
        <w:rPr>
          <w:rFonts w:ascii="Garamond" w:eastAsiaTheme="minorHAnsi" w:hAnsi="Garamond" w:cs="Arial"/>
          <w:sz w:val="24"/>
          <w:szCs w:val="24"/>
        </w:rPr>
        <w:t xml:space="preserve"> sobre </w:t>
      </w:r>
      <w:r w:rsidRPr="003A1174">
        <w:rPr>
          <w:rFonts w:ascii="Garamond" w:eastAsiaTheme="minorHAnsi" w:hAnsi="Garamond" w:cs="Arial"/>
          <w:sz w:val="24"/>
          <w:szCs w:val="24"/>
        </w:rPr>
        <w:t xml:space="preserve">o </w:t>
      </w:r>
      <w:r w:rsidR="00CE3C9D" w:rsidRPr="003A1174">
        <w:rPr>
          <w:rFonts w:ascii="Garamond" w:eastAsiaTheme="minorHAnsi" w:hAnsi="Garamond" w:cs="Arial"/>
          <w:sz w:val="24"/>
          <w:szCs w:val="24"/>
        </w:rPr>
        <w:t xml:space="preserve">Protocolo de </w:t>
      </w:r>
      <w:r w:rsidR="008278C4" w:rsidRPr="003A1174">
        <w:rPr>
          <w:rFonts w:ascii="Garamond" w:eastAsiaTheme="minorHAnsi" w:hAnsi="Garamond" w:cs="Arial"/>
          <w:sz w:val="24"/>
          <w:szCs w:val="24"/>
        </w:rPr>
        <w:t>Atenção</w:t>
      </w:r>
      <w:r w:rsidR="00CE3C9D" w:rsidRPr="003A1174">
        <w:rPr>
          <w:rFonts w:ascii="Garamond" w:eastAsiaTheme="minorHAnsi" w:hAnsi="Garamond" w:cs="Arial"/>
          <w:sz w:val="24"/>
          <w:szCs w:val="24"/>
        </w:rPr>
        <w:t xml:space="preserve"> Integral a </w:t>
      </w:r>
      <w:r w:rsidR="003F012B" w:rsidRPr="003A1174">
        <w:rPr>
          <w:rFonts w:ascii="Garamond" w:eastAsiaTheme="minorHAnsi" w:hAnsi="Garamond" w:cs="Arial"/>
          <w:sz w:val="24"/>
          <w:szCs w:val="24"/>
        </w:rPr>
        <w:t>Vítima</w:t>
      </w:r>
      <w:r w:rsidR="00CE3C9D" w:rsidRPr="003A1174">
        <w:rPr>
          <w:rFonts w:ascii="Garamond" w:eastAsiaTheme="minorHAnsi" w:hAnsi="Garamond" w:cs="Arial"/>
          <w:sz w:val="24"/>
          <w:szCs w:val="24"/>
        </w:rPr>
        <w:t xml:space="preserve">s de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w:t>
      </w:r>
      <w:r w:rsidR="00BB2B00" w:rsidRPr="003A1174">
        <w:rPr>
          <w:rFonts w:ascii="Garamond" w:eastAsiaTheme="minorHAnsi" w:hAnsi="Garamond" w:cs="Arial"/>
          <w:sz w:val="24"/>
          <w:szCs w:val="24"/>
        </w:rPr>
        <w:t>contra a</w:t>
      </w:r>
      <w:r w:rsidR="00CE3C9D" w:rsidRPr="003A1174">
        <w:rPr>
          <w:rFonts w:ascii="Garamond" w:eastAsiaTheme="minorHAnsi" w:hAnsi="Garamond" w:cs="Arial"/>
          <w:sz w:val="24"/>
          <w:szCs w:val="24"/>
        </w:rPr>
        <w:t xml:space="preserve"> </w:t>
      </w:r>
      <w:r w:rsidR="00AF192F" w:rsidRPr="003A1174">
        <w:rPr>
          <w:rFonts w:ascii="Garamond" w:eastAsiaTheme="minorHAnsi" w:hAnsi="Garamond" w:cs="Arial"/>
          <w:sz w:val="24"/>
          <w:szCs w:val="24"/>
        </w:rPr>
        <w:t>Mulher</w:t>
      </w:r>
      <w:r w:rsidR="00CE3C9D" w:rsidRPr="003A1174">
        <w:rPr>
          <w:rFonts w:ascii="Garamond" w:eastAsiaTheme="minorHAnsi" w:hAnsi="Garamond" w:cs="Arial"/>
          <w:sz w:val="24"/>
          <w:szCs w:val="24"/>
        </w:rPr>
        <w:t xml:space="preserve"> e</w:t>
      </w:r>
      <w:r w:rsidRPr="003A1174">
        <w:rPr>
          <w:rFonts w:ascii="Garamond" w:eastAsiaTheme="minorHAnsi" w:hAnsi="Garamond" w:cs="Arial"/>
          <w:sz w:val="24"/>
          <w:szCs w:val="24"/>
        </w:rPr>
        <w:t xml:space="preserve">m </w:t>
      </w:r>
      <w:r w:rsidR="00CE3C9D" w:rsidRPr="003A1174">
        <w:rPr>
          <w:rFonts w:ascii="Garamond" w:eastAsiaTheme="minorHAnsi" w:hAnsi="Garamond" w:cs="Arial"/>
          <w:sz w:val="24"/>
          <w:szCs w:val="24"/>
        </w:rPr>
        <w:t>sup</w:t>
      </w:r>
      <w:r w:rsidRPr="003A1174">
        <w:rPr>
          <w:rFonts w:ascii="Garamond" w:eastAsiaTheme="minorHAnsi" w:hAnsi="Garamond" w:cs="Arial"/>
          <w:sz w:val="24"/>
          <w:szCs w:val="24"/>
        </w:rPr>
        <w:t>o</w:t>
      </w:r>
      <w:r w:rsidR="00CE3C9D" w:rsidRPr="003A1174">
        <w:rPr>
          <w:rFonts w:ascii="Garamond" w:eastAsiaTheme="minorHAnsi" w:hAnsi="Garamond" w:cs="Arial"/>
          <w:sz w:val="24"/>
          <w:szCs w:val="24"/>
        </w:rPr>
        <w:t xml:space="preserve">stos de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Doméstica </w:t>
      </w:r>
      <w:r w:rsidR="000672E8" w:rsidRPr="003A1174">
        <w:rPr>
          <w:rFonts w:ascii="Garamond" w:eastAsiaTheme="minorHAnsi" w:hAnsi="Garamond" w:cs="Arial"/>
          <w:sz w:val="24"/>
          <w:szCs w:val="24"/>
        </w:rPr>
        <w:t>e</w:t>
      </w:r>
      <w:r w:rsidR="00CE3C9D" w:rsidRPr="003A1174">
        <w:rPr>
          <w:rFonts w:ascii="Garamond" w:eastAsiaTheme="minorHAnsi" w:hAnsi="Garamond" w:cs="Arial"/>
          <w:sz w:val="24"/>
          <w:szCs w:val="24"/>
        </w:rPr>
        <w:t xml:space="preserve"> </w:t>
      </w:r>
      <w:r w:rsidR="000350B1" w:rsidRPr="003A1174">
        <w:rPr>
          <w:rFonts w:ascii="Garamond" w:eastAsiaTheme="minorHAnsi" w:hAnsi="Garamond" w:cs="Arial"/>
          <w:sz w:val="24"/>
          <w:szCs w:val="24"/>
        </w:rPr>
        <w:t>Violência</w:t>
      </w:r>
      <w:r w:rsidR="00CE3C9D" w:rsidRPr="003A1174">
        <w:rPr>
          <w:rFonts w:ascii="Garamond" w:eastAsiaTheme="minorHAnsi" w:hAnsi="Garamond" w:cs="Arial"/>
          <w:sz w:val="24"/>
          <w:szCs w:val="24"/>
        </w:rPr>
        <w:t xml:space="preserve"> Intrafamiliar, </w:t>
      </w:r>
      <w:r w:rsidRPr="003A1174">
        <w:rPr>
          <w:rFonts w:ascii="Garamond" w:eastAsiaTheme="minorHAnsi" w:hAnsi="Garamond" w:cs="Arial"/>
          <w:sz w:val="24"/>
          <w:szCs w:val="24"/>
        </w:rPr>
        <w:t>ministrados pela Escola</w:t>
      </w:r>
      <w:r w:rsidR="00CE3C9D" w:rsidRPr="003A1174">
        <w:rPr>
          <w:rFonts w:ascii="Garamond" w:eastAsiaTheme="minorHAnsi" w:hAnsi="Garamond" w:cs="Arial"/>
          <w:sz w:val="24"/>
          <w:szCs w:val="24"/>
        </w:rPr>
        <w:t xml:space="preserve"> Judicial co</w:t>
      </w:r>
      <w:r w:rsidRPr="003A1174">
        <w:rPr>
          <w:rFonts w:ascii="Garamond" w:eastAsiaTheme="minorHAnsi" w:hAnsi="Garamond" w:cs="Arial"/>
          <w:sz w:val="24"/>
          <w:szCs w:val="24"/>
        </w:rPr>
        <w:t xml:space="preserve">m o </w:t>
      </w:r>
      <w:r w:rsidR="00791197" w:rsidRPr="003A1174">
        <w:rPr>
          <w:rFonts w:ascii="Garamond" w:eastAsiaTheme="minorHAnsi" w:hAnsi="Garamond" w:cs="Arial"/>
          <w:sz w:val="24"/>
          <w:szCs w:val="24"/>
        </w:rPr>
        <w:t>apoio</w:t>
      </w:r>
      <w:r w:rsidR="00CE3C9D" w:rsidRPr="003A1174">
        <w:rPr>
          <w:rFonts w:ascii="Garamond" w:eastAsiaTheme="minorHAnsi" w:hAnsi="Garamond" w:cs="Arial"/>
          <w:sz w:val="24"/>
          <w:szCs w:val="24"/>
        </w:rPr>
        <w:t xml:space="preserve"> de </w:t>
      </w:r>
      <w:r w:rsidR="000350B1" w:rsidRPr="003A1174">
        <w:rPr>
          <w:rFonts w:ascii="Garamond" w:eastAsiaTheme="minorHAnsi" w:hAnsi="Garamond" w:cs="Arial"/>
          <w:sz w:val="24"/>
          <w:szCs w:val="24"/>
        </w:rPr>
        <w:t>assistência</w:t>
      </w:r>
      <w:r w:rsidR="00CE3C9D" w:rsidRPr="003A1174">
        <w:rPr>
          <w:rFonts w:ascii="Garamond" w:eastAsiaTheme="minorHAnsi" w:hAnsi="Garamond" w:cs="Arial"/>
          <w:sz w:val="24"/>
          <w:szCs w:val="24"/>
        </w:rPr>
        <w:t>s técnicas de EUROsociAL.</w:t>
      </w:r>
    </w:p>
    <w:p w:rsidR="00CE3C9D" w:rsidRPr="003A1174" w:rsidRDefault="00A23EB8" w:rsidP="008719D4">
      <w:pPr>
        <w:spacing w:before="240" w:line="240" w:lineRule="auto"/>
        <w:jc w:val="both"/>
        <w:rPr>
          <w:rFonts w:ascii="Garamond" w:eastAsiaTheme="minorHAnsi" w:hAnsi="Garamond" w:cs="Arial"/>
          <w:sz w:val="24"/>
          <w:szCs w:val="24"/>
        </w:rPr>
      </w:pPr>
      <w:r w:rsidRPr="003A1174">
        <w:rPr>
          <w:rFonts w:ascii="Garamond" w:hAnsi="Garamond" w:cs="Arial"/>
          <w:sz w:val="24"/>
          <w:szCs w:val="24"/>
        </w:rPr>
        <w:t xml:space="preserve">É </w:t>
      </w:r>
      <w:r w:rsidR="00CE3C9D" w:rsidRPr="003A1174">
        <w:rPr>
          <w:rFonts w:ascii="Garamond" w:hAnsi="Garamond" w:cs="Arial"/>
          <w:sz w:val="24"/>
          <w:szCs w:val="24"/>
        </w:rPr>
        <w:t xml:space="preserve">importante </w:t>
      </w:r>
      <w:r w:rsidRPr="003A1174">
        <w:rPr>
          <w:rFonts w:ascii="Garamond" w:hAnsi="Garamond" w:cs="Arial"/>
          <w:sz w:val="24"/>
          <w:szCs w:val="24"/>
        </w:rPr>
        <w:t xml:space="preserve">assinalar o </w:t>
      </w:r>
      <w:r w:rsidR="00CE3C9D" w:rsidRPr="003A1174">
        <w:rPr>
          <w:rFonts w:ascii="Garamond" w:hAnsi="Garamond" w:cs="Arial"/>
          <w:sz w:val="24"/>
          <w:szCs w:val="24"/>
        </w:rPr>
        <w:t xml:space="preserve">papel fundamental que as </w:t>
      </w:r>
      <w:r w:rsidR="002470B1" w:rsidRPr="003A1174">
        <w:rPr>
          <w:rFonts w:ascii="Garamond" w:hAnsi="Garamond" w:cs="Arial"/>
          <w:sz w:val="24"/>
          <w:szCs w:val="24"/>
        </w:rPr>
        <w:t>organizações</w:t>
      </w:r>
      <w:r w:rsidR="00CE3C9D" w:rsidRPr="003A1174">
        <w:rPr>
          <w:rFonts w:ascii="Garamond" w:hAnsi="Garamond" w:cs="Arial"/>
          <w:sz w:val="24"/>
          <w:szCs w:val="24"/>
        </w:rPr>
        <w:t xml:space="preserve"> feministas</w:t>
      </w:r>
      <w:r w:rsidRPr="003A1174">
        <w:rPr>
          <w:rFonts w:ascii="Garamond" w:hAnsi="Garamond" w:cs="Arial"/>
          <w:sz w:val="24"/>
          <w:szCs w:val="24"/>
        </w:rPr>
        <w:t xml:space="preserve"> desempenham n</w:t>
      </w:r>
      <w:r w:rsidR="00CE3C9D" w:rsidRPr="003A1174">
        <w:rPr>
          <w:rFonts w:ascii="Garamond" w:hAnsi="Garamond" w:cs="Arial"/>
          <w:sz w:val="24"/>
          <w:szCs w:val="24"/>
        </w:rPr>
        <w:t xml:space="preserve">a </w:t>
      </w:r>
      <w:r w:rsidR="00C30647" w:rsidRPr="003A1174">
        <w:rPr>
          <w:rFonts w:ascii="Garamond" w:hAnsi="Garamond" w:cs="Arial"/>
          <w:sz w:val="24"/>
          <w:szCs w:val="24"/>
        </w:rPr>
        <w:t>realização</w:t>
      </w:r>
      <w:r w:rsidR="00CE3C9D" w:rsidRPr="003A1174">
        <w:rPr>
          <w:rFonts w:ascii="Garamond" w:hAnsi="Garamond" w:cs="Arial"/>
          <w:sz w:val="24"/>
          <w:szCs w:val="24"/>
        </w:rPr>
        <w:t xml:space="preserve"> de </w:t>
      </w:r>
      <w:r w:rsidR="00C15C97" w:rsidRPr="003A1174">
        <w:rPr>
          <w:rFonts w:ascii="Garamond" w:hAnsi="Garamond" w:cs="Arial"/>
          <w:i/>
          <w:sz w:val="24"/>
          <w:szCs w:val="24"/>
        </w:rPr>
        <w:t>ateliers</w:t>
      </w:r>
      <w:r w:rsidR="00CE3C9D" w:rsidRPr="003A1174">
        <w:rPr>
          <w:rFonts w:ascii="Garamond" w:hAnsi="Garamond" w:cs="Arial"/>
          <w:sz w:val="24"/>
          <w:szCs w:val="24"/>
        </w:rPr>
        <w:t xml:space="preserve"> de </w:t>
      </w:r>
      <w:r w:rsidR="00976FB8" w:rsidRPr="003A1174">
        <w:rPr>
          <w:rFonts w:ascii="Garamond" w:hAnsi="Garamond" w:cs="Arial"/>
          <w:sz w:val="24"/>
          <w:szCs w:val="24"/>
        </w:rPr>
        <w:t>sensibilização</w:t>
      </w:r>
      <w:r w:rsidRPr="003A1174">
        <w:rPr>
          <w:rFonts w:ascii="Garamond" w:hAnsi="Garamond" w:cs="Arial"/>
          <w:sz w:val="24"/>
          <w:szCs w:val="24"/>
        </w:rPr>
        <w:t xml:space="preserve"> sobre </w:t>
      </w:r>
      <w:r w:rsidR="00CE3C9D" w:rsidRPr="003A1174">
        <w:rPr>
          <w:rFonts w:ascii="Garamond" w:hAnsi="Garamond" w:cs="Arial"/>
          <w:sz w:val="24"/>
          <w:szCs w:val="24"/>
        </w:rPr>
        <w:t xml:space="preserve">os </w:t>
      </w:r>
      <w:r w:rsidR="00886D6A" w:rsidRPr="003A1174">
        <w:rPr>
          <w:rFonts w:ascii="Garamond" w:hAnsi="Garamond" w:cs="Arial"/>
          <w:sz w:val="24"/>
          <w:szCs w:val="24"/>
        </w:rPr>
        <w:t>direito</w:t>
      </w:r>
      <w:r w:rsidR="00CE3C9D" w:rsidRPr="003A1174">
        <w:rPr>
          <w:rFonts w:ascii="Garamond" w:hAnsi="Garamond" w:cs="Arial"/>
          <w:sz w:val="24"/>
          <w:szCs w:val="24"/>
        </w:rPr>
        <w:t xml:space="preserve">s </w:t>
      </w:r>
      <w:r w:rsidR="00497503" w:rsidRPr="003A1174">
        <w:rPr>
          <w:rFonts w:ascii="Garamond" w:hAnsi="Garamond" w:cs="Arial"/>
          <w:sz w:val="24"/>
          <w:szCs w:val="24"/>
        </w:rPr>
        <w:t>das</w:t>
      </w:r>
      <w:r w:rsidR="00CE3C9D" w:rsidRPr="003A1174">
        <w:rPr>
          <w:rFonts w:ascii="Garamond" w:hAnsi="Garamond" w:cs="Arial"/>
          <w:sz w:val="24"/>
          <w:szCs w:val="24"/>
        </w:rPr>
        <w:t xml:space="preserve"> </w:t>
      </w:r>
      <w:r w:rsidR="00054EE0" w:rsidRPr="003A1174">
        <w:rPr>
          <w:rFonts w:ascii="Garamond" w:hAnsi="Garamond" w:cs="Arial"/>
          <w:sz w:val="24"/>
          <w:szCs w:val="24"/>
        </w:rPr>
        <w:t>mulheres</w:t>
      </w:r>
      <w:r w:rsidR="002B467F">
        <w:rPr>
          <w:rFonts w:ascii="Garamond" w:hAnsi="Garamond" w:cs="Arial"/>
          <w:sz w:val="24"/>
          <w:szCs w:val="24"/>
        </w:rPr>
        <w:t>,</w:t>
      </w:r>
      <w:r w:rsidR="00CE3C9D" w:rsidRPr="003A1174">
        <w:rPr>
          <w:rFonts w:ascii="Garamond" w:hAnsi="Garamond" w:cs="Arial"/>
          <w:sz w:val="24"/>
          <w:szCs w:val="24"/>
        </w:rPr>
        <w:t xml:space="preserve"> co</w:t>
      </w:r>
      <w:r w:rsidRPr="003A1174">
        <w:rPr>
          <w:rFonts w:ascii="Garamond" w:hAnsi="Garamond" w:cs="Arial"/>
          <w:sz w:val="24"/>
          <w:szCs w:val="24"/>
        </w:rPr>
        <w:t>m</w:t>
      </w:r>
      <w:r w:rsidR="00CE3C9D" w:rsidRPr="003A1174">
        <w:rPr>
          <w:rFonts w:ascii="Garamond" w:hAnsi="Garamond" w:cs="Arial"/>
          <w:sz w:val="24"/>
          <w:szCs w:val="24"/>
        </w:rPr>
        <w:t xml:space="preserve"> </w:t>
      </w:r>
      <w:r w:rsidR="008278C4" w:rsidRPr="003A1174">
        <w:rPr>
          <w:rFonts w:ascii="Garamond" w:hAnsi="Garamond" w:cs="Arial"/>
          <w:sz w:val="24"/>
          <w:szCs w:val="24"/>
        </w:rPr>
        <w:t>pessoal</w:t>
      </w:r>
      <w:r w:rsidR="00CE3C9D" w:rsidRPr="003A1174">
        <w:rPr>
          <w:rFonts w:ascii="Garamond" w:hAnsi="Garamond" w:cs="Arial"/>
          <w:sz w:val="24"/>
          <w:szCs w:val="24"/>
        </w:rPr>
        <w:t xml:space="preserve"> </w:t>
      </w:r>
      <w:r w:rsidR="00976FB8" w:rsidRPr="003A1174">
        <w:rPr>
          <w:rFonts w:ascii="Garamond" w:hAnsi="Garamond" w:cs="Arial"/>
          <w:sz w:val="24"/>
          <w:szCs w:val="24"/>
        </w:rPr>
        <w:t>encarregado</w:t>
      </w:r>
      <w:r w:rsidRPr="003A1174">
        <w:rPr>
          <w:rFonts w:ascii="Garamond" w:hAnsi="Garamond" w:cs="Arial"/>
          <w:sz w:val="24"/>
          <w:szCs w:val="24"/>
        </w:rPr>
        <w:t xml:space="preserve"> d</w:t>
      </w:r>
      <w:r w:rsidR="00CE3C9D" w:rsidRPr="003A1174">
        <w:rPr>
          <w:rFonts w:ascii="Garamond" w:hAnsi="Garamond" w:cs="Arial"/>
          <w:sz w:val="24"/>
          <w:szCs w:val="24"/>
        </w:rPr>
        <w:t xml:space="preserve">a </w:t>
      </w:r>
      <w:r w:rsidR="00FB09CA" w:rsidRPr="003A1174">
        <w:rPr>
          <w:rFonts w:ascii="Garamond" w:hAnsi="Garamond" w:cs="Arial"/>
          <w:sz w:val="24"/>
          <w:szCs w:val="24"/>
        </w:rPr>
        <w:t>administração</w:t>
      </w:r>
      <w:r w:rsidR="00CE3C9D" w:rsidRPr="003A1174">
        <w:rPr>
          <w:rFonts w:ascii="Garamond" w:hAnsi="Garamond" w:cs="Arial"/>
          <w:sz w:val="24"/>
          <w:szCs w:val="24"/>
        </w:rPr>
        <w:t xml:space="preserve"> de </w:t>
      </w:r>
      <w:r w:rsidR="00FC1F7F" w:rsidRPr="003A1174">
        <w:rPr>
          <w:rFonts w:ascii="Garamond" w:hAnsi="Garamond" w:cs="Arial"/>
          <w:sz w:val="24"/>
          <w:szCs w:val="24"/>
        </w:rPr>
        <w:t>justiça</w:t>
      </w:r>
      <w:r w:rsidRPr="003A1174">
        <w:rPr>
          <w:rFonts w:ascii="Garamond" w:hAnsi="Garamond" w:cs="Arial"/>
          <w:sz w:val="24"/>
          <w:szCs w:val="24"/>
        </w:rPr>
        <w:t xml:space="preserve">, com </w:t>
      </w:r>
      <w:r w:rsidR="00CE3C9D" w:rsidRPr="003A1174">
        <w:rPr>
          <w:rFonts w:ascii="Garamond" w:hAnsi="Garamond" w:cs="Arial"/>
          <w:sz w:val="24"/>
          <w:szCs w:val="24"/>
        </w:rPr>
        <w:t xml:space="preserve">a </w:t>
      </w:r>
      <w:r w:rsidR="00CF42A3" w:rsidRPr="003A1174">
        <w:rPr>
          <w:rFonts w:ascii="Garamond" w:hAnsi="Garamond" w:cs="Arial"/>
          <w:sz w:val="24"/>
          <w:szCs w:val="24"/>
        </w:rPr>
        <w:t>polícia</w:t>
      </w:r>
      <w:r w:rsidR="00CE3C9D" w:rsidRPr="003A1174">
        <w:rPr>
          <w:rFonts w:ascii="Garamond" w:hAnsi="Garamond" w:cs="Arial"/>
          <w:sz w:val="24"/>
          <w:szCs w:val="24"/>
        </w:rPr>
        <w:t xml:space="preserve"> </w:t>
      </w:r>
      <w:r w:rsidR="000672E8" w:rsidRPr="003A1174">
        <w:rPr>
          <w:rFonts w:ascii="Garamond" w:hAnsi="Garamond" w:cs="Arial"/>
          <w:sz w:val="24"/>
          <w:szCs w:val="24"/>
        </w:rPr>
        <w:t>e</w:t>
      </w:r>
      <w:r w:rsidR="00CE3C9D" w:rsidRPr="003A1174">
        <w:rPr>
          <w:rFonts w:ascii="Garamond" w:hAnsi="Garamond" w:cs="Arial"/>
          <w:sz w:val="24"/>
          <w:szCs w:val="24"/>
        </w:rPr>
        <w:t xml:space="preserve"> </w:t>
      </w:r>
      <w:r w:rsidRPr="003A1174">
        <w:rPr>
          <w:rFonts w:ascii="Garamond" w:hAnsi="Garamond" w:cs="Arial"/>
          <w:sz w:val="24"/>
          <w:szCs w:val="24"/>
        </w:rPr>
        <w:t xml:space="preserve">com </w:t>
      </w:r>
      <w:r w:rsidR="0017447A" w:rsidRPr="003A1174">
        <w:rPr>
          <w:rFonts w:ascii="Garamond" w:hAnsi="Garamond" w:cs="Arial"/>
          <w:sz w:val="24"/>
          <w:szCs w:val="24"/>
        </w:rPr>
        <w:t>outras</w:t>
      </w:r>
      <w:r w:rsidR="00CE3C9D" w:rsidRPr="003A1174">
        <w:rPr>
          <w:rFonts w:ascii="Garamond" w:hAnsi="Garamond" w:cs="Arial"/>
          <w:sz w:val="24"/>
          <w:szCs w:val="24"/>
        </w:rPr>
        <w:t xml:space="preserve"> </w:t>
      </w:r>
      <w:r w:rsidR="00FB09CA" w:rsidRPr="003A1174">
        <w:rPr>
          <w:rFonts w:ascii="Garamond" w:hAnsi="Garamond" w:cs="Arial"/>
          <w:sz w:val="24"/>
          <w:szCs w:val="24"/>
        </w:rPr>
        <w:t>instância</w:t>
      </w:r>
      <w:r w:rsidR="00CE3C9D" w:rsidRPr="003A1174">
        <w:rPr>
          <w:rFonts w:ascii="Garamond" w:hAnsi="Garamond" w:cs="Arial"/>
          <w:sz w:val="24"/>
          <w:szCs w:val="24"/>
        </w:rPr>
        <w:t xml:space="preserve">s </w:t>
      </w:r>
      <w:r w:rsidR="00E85E59" w:rsidRPr="003A1174">
        <w:rPr>
          <w:rFonts w:ascii="Garamond" w:hAnsi="Garamond" w:cs="Arial"/>
          <w:sz w:val="24"/>
          <w:szCs w:val="24"/>
        </w:rPr>
        <w:t>do</w:t>
      </w:r>
      <w:r w:rsidR="00CE3C9D" w:rsidRPr="003A1174">
        <w:rPr>
          <w:rFonts w:ascii="Garamond" w:hAnsi="Garamond" w:cs="Arial"/>
          <w:sz w:val="24"/>
          <w:szCs w:val="24"/>
        </w:rPr>
        <w:t xml:space="preserve"> </w:t>
      </w:r>
      <w:r w:rsidR="006506C6" w:rsidRPr="003A1174">
        <w:rPr>
          <w:rFonts w:ascii="Garamond" w:hAnsi="Garamond" w:cs="Arial"/>
          <w:sz w:val="24"/>
          <w:szCs w:val="24"/>
        </w:rPr>
        <w:t>governo</w:t>
      </w:r>
      <w:r w:rsidR="002B467F">
        <w:rPr>
          <w:rFonts w:ascii="Garamond" w:hAnsi="Garamond" w:cs="Arial"/>
          <w:sz w:val="24"/>
          <w:szCs w:val="24"/>
        </w:rPr>
        <w:t>.</w:t>
      </w:r>
    </w:p>
    <w:p w:rsidR="00955D60" w:rsidRPr="003A1174" w:rsidRDefault="00684945" w:rsidP="008719D4">
      <w:pPr>
        <w:pStyle w:val="Ttulo3"/>
        <w:spacing w:line="240" w:lineRule="auto"/>
        <w:rPr>
          <w:rFonts w:ascii="Garamond" w:hAnsi="Garamond"/>
          <w:sz w:val="24"/>
          <w:szCs w:val="24"/>
        </w:rPr>
      </w:pPr>
      <w:bookmarkStart w:id="63" w:name="_Toc421529751"/>
      <w:r w:rsidRPr="003A1174">
        <w:rPr>
          <w:rFonts w:ascii="Garamond" w:hAnsi="Garamond"/>
          <w:sz w:val="24"/>
          <w:szCs w:val="24"/>
        </w:rPr>
        <w:t>México</w:t>
      </w:r>
      <w:bookmarkEnd w:id="63"/>
    </w:p>
    <w:p w:rsidR="00955D60" w:rsidRPr="003A1174" w:rsidRDefault="00684945"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955D60" w:rsidRPr="003A1174" w:rsidRDefault="00A23EB8"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Relativamente </w:t>
      </w:r>
      <w:r w:rsidR="00BB2B00" w:rsidRPr="003A1174">
        <w:rPr>
          <w:rFonts w:ascii="Garamond" w:hAnsi="Garamond" w:cs="Arial"/>
          <w:sz w:val="24"/>
          <w:szCs w:val="24"/>
        </w:rPr>
        <w:t>à</w:t>
      </w:r>
      <w:r w:rsidR="00955D60" w:rsidRPr="003A1174">
        <w:rPr>
          <w:rFonts w:ascii="Garamond" w:hAnsi="Garamond" w:cs="Arial"/>
          <w:sz w:val="24"/>
          <w:szCs w:val="24"/>
        </w:rPr>
        <w:t xml:space="preserve">s medidas de </w:t>
      </w:r>
      <w:r w:rsidR="00886D6A" w:rsidRPr="003A1174">
        <w:rPr>
          <w:rFonts w:ascii="Garamond" w:hAnsi="Garamond" w:cs="Arial"/>
          <w:sz w:val="24"/>
          <w:szCs w:val="24"/>
        </w:rPr>
        <w:t>proteção</w:t>
      </w:r>
      <w:r w:rsidR="00955D60" w:rsidRPr="003A1174">
        <w:rPr>
          <w:rFonts w:ascii="Garamond" w:hAnsi="Garamond" w:cs="Arial"/>
          <w:sz w:val="24"/>
          <w:szCs w:val="24"/>
        </w:rPr>
        <w:t xml:space="preserve">, </w:t>
      </w:r>
      <w:r w:rsidRPr="003A1174">
        <w:rPr>
          <w:rFonts w:ascii="Garamond" w:hAnsi="Garamond" w:cs="Arial"/>
          <w:sz w:val="24"/>
          <w:szCs w:val="24"/>
        </w:rPr>
        <w:t>continuam a a</w:t>
      </w:r>
      <w:r w:rsidR="00955D60" w:rsidRPr="003A1174">
        <w:rPr>
          <w:rFonts w:ascii="Garamond" w:hAnsi="Garamond" w:cs="Arial"/>
          <w:sz w:val="24"/>
          <w:szCs w:val="24"/>
        </w:rPr>
        <w:t>presenta</w:t>
      </w:r>
      <w:r w:rsidRPr="003A1174">
        <w:rPr>
          <w:rFonts w:ascii="Garamond" w:hAnsi="Garamond" w:cs="Arial"/>
          <w:sz w:val="24"/>
          <w:szCs w:val="24"/>
        </w:rPr>
        <w:t xml:space="preserve">r-se </w:t>
      </w:r>
      <w:r w:rsidR="00955D60" w:rsidRPr="003A1174">
        <w:rPr>
          <w:rFonts w:ascii="Garamond" w:hAnsi="Garamond" w:cs="Arial"/>
          <w:sz w:val="24"/>
          <w:szCs w:val="24"/>
        </w:rPr>
        <w:t xml:space="preserve">problemas para </w:t>
      </w:r>
      <w:r w:rsidRPr="003A1174">
        <w:rPr>
          <w:rFonts w:ascii="Garamond" w:hAnsi="Garamond" w:cs="Arial"/>
          <w:sz w:val="24"/>
          <w:szCs w:val="24"/>
        </w:rPr>
        <w:t xml:space="preserve">a </w:t>
      </w:r>
      <w:r w:rsidR="00955D60" w:rsidRPr="003A1174">
        <w:rPr>
          <w:rFonts w:ascii="Garamond" w:hAnsi="Garamond" w:cs="Arial"/>
          <w:sz w:val="24"/>
          <w:szCs w:val="24"/>
        </w:rPr>
        <w:t>su</w:t>
      </w:r>
      <w:r w:rsidRPr="003A1174">
        <w:rPr>
          <w:rFonts w:ascii="Garamond" w:hAnsi="Garamond" w:cs="Arial"/>
          <w:sz w:val="24"/>
          <w:szCs w:val="24"/>
        </w:rPr>
        <w:t>a</w:t>
      </w:r>
      <w:r w:rsidR="00955D60" w:rsidRPr="003A1174">
        <w:rPr>
          <w:rFonts w:ascii="Garamond" w:hAnsi="Garamond" w:cs="Arial"/>
          <w:sz w:val="24"/>
          <w:szCs w:val="24"/>
        </w:rPr>
        <w:t xml:space="preserve"> </w:t>
      </w:r>
      <w:r w:rsidR="00FC1BF5">
        <w:rPr>
          <w:rFonts w:ascii="Garamond" w:hAnsi="Garamond" w:cs="Arial"/>
          <w:sz w:val="24"/>
          <w:szCs w:val="24"/>
        </w:rPr>
        <w:t>execução</w:t>
      </w:r>
      <w:r w:rsidR="00955D60" w:rsidRPr="003A1174">
        <w:rPr>
          <w:rFonts w:ascii="Garamond" w:hAnsi="Garamond" w:cs="Arial"/>
          <w:sz w:val="24"/>
          <w:szCs w:val="24"/>
        </w:rPr>
        <w:t xml:space="preserve">; </w:t>
      </w:r>
      <w:r w:rsidR="002B467F">
        <w:rPr>
          <w:rFonts w:ascii="Garamond" w:hAnsi="Garamond" w:cs="Arial"/>
          <w:sz w:val="24"/>
          <w:szCs w:val="24"/>
        </w:rPr>
        <w:t>mesmo assim</w:t>
      </w:r>
      <w:r w:rsidRPr="003A1174">
        <w:rPr>
          <w:rFonts w:ascii="Garamond" w:hAnsi="Garamond" w:cs="Arial"/>
          <w:sz w:val="24"/>
          <w:szCs w:val="24"/>
        </w:rPr>
        <w:t xml:space="preserve">, </w:t>
      </w:r>
      <w:r w:rsidR="00955D60" w:rsidRPr="003A1174">
        <w:rPr>
          <w:rFonts w:ascii="Garamond" w:hAnsi="Garamond" w:cs="Arial"/>
          <w:sz w:val="24"/>
          <w:szCs w:val="24"/>
        </w:rPr>
        <w:t>gran</w:t>
      </w:r>
      <w:r w:rsidRPr="003A1174">
        <w:rPr>
          <w:rFonts w:ascii="Garamond" w:hAnsi="Garamond" w:cs="Arial"/>
          <w:sz w:val="24"/>
          <w:szCs w:val="24"/>
        </w:rPr>
        <w:t>de</w:t>
      </w:r>
      <w:r w:rsidR="00955D60" w:rsidRPr="003A1174">
        <w:rPr>
          <w:rFonts w:ascii="Garamond" w:hAnsi="Garamond" w:cs="Arial"/>
          <w:sz w:val="24"/>
          <w:szCs w:val="24"/>
        </w:rPr>
        <w:t xml:space="preserve"> parte </w:t>
      </w:r>
      <w:r w:rsidR="00497503" w:rsidRPr="003A1174">
        <w:rPr>
          <w:rFonts w:ascii="Garamond" w:hAnsi="Garamond" w:cs="Arial"/>
          <w:sz w:val="24"/>
          <w:szCs w:val="24"/>
        </w:rPr>
        <w:t>das</w:t>
      </w:r>
      <w:r w:rsidR="00955D60" w:rsidRPr="003A1174">
        <w:rPr>
          <w:rFonts w:ascii="Garamond" w:hAnsi="Garamond" w:cs="Arial"/>
          <w:sz w:val="24"/>
          <w:szCs w:val="24"/>
        </w:rPr>
        <w:t xml:space="preserve"> autoridades n</w:t>
      </w:r>
      <w:r w:rsidRPr="003A1174">
        <w:rPr>
          <w:rFonts w:ascii="Garamond" w:hAnsi="Garamond" w:cs="Arial"/>
          <w:sz w:val="24"/>
          <w:szCs w:val="24"/>
        </w:rPr>
        <w:t>ã</w:t>
      </w:r>
      <w:r w:rsidR="00955D60" w:rsidRPr="003A1174">
        <w:rPr>
          <w:rFonts w:ascii="Garamond" w:hAnsi="Garamond" w:cs="Arial"/>
          <w:sz w:val="24"/>
          <w:szCs w:val="24"/>
        </w:rPr>
        <w:t>o informa</w:t>
      </w:r>
      <w:r w:rsidR="00BE668D" w:rsidRPr="003A1174">
        <w:rPr>
          <w:rFonts w:ascii="Garamond" w:hAnsi="Garamond" w:cs="Arial"/>
          <w:sz w:val="24"/>
          <w:szCs w:val="24"/>
        </w:rPr>
        <w:t>m</w:t>
      </w:r>
      <w:r w:rsidR="00955D60" w:rsidRPr="003A1174">
        <w:rPr>
          <w:rFonts w:ascii="Garamond" w:hAnsi="Garamond" w:cs="Arial"/>
          <w:sz w:val="24"/>
          <w:szCs w:val="24"/>
        </w:rPr>
        <w:t xml:space="preserve"> sobre </w:t>
      </w:r>
      <w:r w:rsidRPr="003A1174">
        <w:rPr>
          <w:rFonts w:ascii="Garamond" w:hAnsi="Garamond" w:cs="Arial"/>
          <w:sz w:val="24"/>
          <w:szCs w:val="24"/>
        </w:rPr>
        <w:t xml:space="preserve">o </w:t>
      </w:r>
      <w:r w:rsidR="00955D60" w:rsidRPr="003A1174">
        <w:rPr>
          <w:rFonts w:ascii="Garamond" w:hAnsi="Garamond" w:cs="Arial"/>
          <w:sz w:val="24"/>
          <w:szCs w:val="24"/>
        </w:rPr>
        <w:t xml:space="preserve">total de </w:t>
      </w:r>
      <w:r w:rsidR="00976FB8" w:rsidRPr="000E2CBA">
        <w:rPr>
          <w:rFonts w:ascii="Garamond" w:hAnsi="Garamond" w:cs="Arial"/>
          <w:sz w:val="24"/>
          <w:szCs w:val="24"/>
        </w:rPr>
        <w:t>ordens</w:t>
      </w:r>
      <w:r w:rsidR="00FC1BF5">
        <w:rPr>
          <w:rFonts w:ascii="Garamond" w:hAnsi="Garamond" w:cs="Arial"/>
          <w:sz w:val="24"/>
          <w:szCs w:val="24"/>
        </w:rPr>
        <w:t xml:space="preserve"> de proteção</w:t>
      </w:r>
      <w:r w:rsidR="00955D60" w:rsidRPr="003A1174">
        <w:rPr>
          <w:rFonts w:ascii="Garamond" w:hAnsi="Garamond" w:cs="Arial"/>
          <w:sz w:val="24"/>
          <w:szCs w:val="24"/>
        </w:rPr>
        <w:t xml:space="preserve"> solicitadas, </w:t>
      </w:r>
      <w:r w:rsidR="00FC1BF5">
        <w:rPr>
          <w:rFonts w:ascii="Garamond" w:hAnsi="Garamond" w:cs="Arial"/>
          <w:sz w:val="24"/>
          <w:szCs w:val="24"/>
        </w:rPr>
        <w:t xml:space="preserve">nem de </w:t>
      </w:r>
      <w:r w:rsidRPr="003A1174">
        <w:rPr>
          <w:rFonts w:ascii="Garamond" w:hAnsi="Garamond" w:cs="Arial"/>
          <w:sz w:val="24"/>
          <w:szCs w:val="24"/>
        </w:rPr>
        <w:t>quanta</w:t>
      </w:r>
      <w:r w:rsidR="00955D60" w:rsidRPr="003A1174">
        <w:rPr>
          <w:rFonts w:ascii="Garamond" w:hAnsi="Garamond" w:cs="Arial"/>
          <w:sz w:val="24"/>
          <w:szCs w:val="24"/>
        </w:rPr>
        <w:t>s f</w:t>
      </w:r>
      <w:r w:rsidRPr="003A1174">
        <w:rPr>
          <w:rFonts w:ascii="Garamond" w:hAnsi="Garamond" w:cs="Arial"/>
          <w:sz w:val="24"/>
          <w:szCs w:val="24"/>
        </w:rPr>
        <w:t xml:space="preserve">oram </w:t>
      </w:r>
      <w:r w:rsidR="00955D60" w:rsidRPr="003A1174">
        <w:rPr>
          <w:rFonts w:ascii="Garamond" w:hAnsi="Garamond" w:cs="Arial"/>
          <w:sz w:val="24"/>
          <w:szCs w:val="24"/>
        </w:rPr>
        <w:t>emitidas</w:t>
      </w:r>
      <w:r w:rsidR="00374F16" w:rsidRPr="003A1174">
        <w:rPr>
          <w:rFonts w:ascii="Garamond" w:hAnsi="Garamond" w:cs="Arial"/>
          <w:sz w:val="24"/>
          <w:szCs w:val="24"/>
        </w:rPr>
        <w:t xml:space="preserve"> o</w:t>
      </w:r>
      <w:r w:rsidRPr="003A1174">
        <w:rPr>
          <w:rFonts w:ascii="Garamond" w:hAnsi="Garamond" w:cs="Arial"/>
          <w:sz w:val="24"/>
          <w:szCs w:val="24"/>
        </w:rPr>
        <w:t>u indeferida</w:t>
      </w:r>
      <w:r w:rsidR="00374F16" w:rsidRPr="003A1174">
        <w:rPr>
          <w:rFonts w:ascii="Garamond" w:hAnsi="Garamond" w:cs="Arial"/>
          <w:sz w:val="24"/>
          <w:szCs w:val="24"/>
        </w:rPr>
        <w:t xml:space="preserve">s, </w:t>
      </w:r>
      <w:r w:rsidR="000464C8" w:rsidRPr="003A1174">
        <w:rPr>
          <w:rFonts w:ascii="Garamond" w:hAnsi="Garamond" w:cs="Arial"/>
          <w:sz w:val="24"/>
          <w:szCs w:val="24"/>
        </w:rPr>
        <w:t>assim</w:t>
      </w:r>
      <w:r w:rsidR="00374F16" w:rsidRPr="003A1174">
        <w:rPr>
          <w:rFonts w:ascii="Garamond" w:hAnsi="Garamond" w:cs="Arial"/>
          <w:sz w:val="24"/>
          <w:szCs w:val="24"/>
        </w:rPr>
        <w:t xml:space="preserve"> como </w:t>
      </w:r>
      <w:r w:rsidR="00955D60" w:rsidRPr="003A1174">
        <w:rPr>
          <w:rFonts w:ascii="Garamond" w:hAnsi="Garamond" w:cs="Arial"/>
          <w:sz w:val="24"/>
          <w:szCs w:val="24"/>
        </w:rPr>
        <w:t xml:space="preserve">as </w:t>
      </w:r>
      <w:r w:rsidR="009D5ED8" w:rsidRPr="003A1174">
        <w:rPr>
          <w:rFonts w:ascii="Garamond" w:hAnsi="Garamond" w:cs="Arial"/>
          <w:sz w:val="24"/>
          <w:szCs w:val="24"/>
        </w:rPr>
        <w:t>razões</w:t>
      </w:r>
      <w:r w:rsidR="00955D60" w:rsidRPr="003A1174">
        <w:rPr>
          <w:rFonts w:ascii="Garamond" w:hAnsi="Garamond" w:cs="Arial"/>
          <w:sz w:val="24"/>
          <w:szCs w:val="24"/>
        </w:rPr>
        <w:t xml:space="preserve"> </w:t>
      </w:r>
      <w:r w:rsidRPr="003A1174">
        <w:rPr>
          <w:rFonts w:ascii="Garamond" w:hAnsi="Garamond" w:cs="Arial"/>
          <w:sz w:val="24"/>
          <w:szCs w:val="24"/>
        </w:rPr>
        <w:t>pelas quais foram indeferidas</w:t>
      </w:r>
      <w:r w:rsidR="00955D60" w:rsidRPr="003A1174">
        <w:rPr>
          <w:rFonts w:ascii="Garamond" w:hAnsi="Garamond" w:cs="Arial"/>
          <w:sz w:val="24"/>
          <w:szCs w:val="24"/>
        </w:rPr>
        <w:t>.</w:t>
      </w:r>
    </w:p>
    <w:p w:rsidR="00955D60" w:rsidRPr="003A1174" w:rsidRDefault="00A23EB8"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No </w:t>
      </w:r>
      <w:r w:rsidR="00955D60" w:rsidRPr="003A1174">
        <w:rPr>
          <w:rFonts w:ascii="Garamond" w:hAnsi="Garamond" w:cs="Arial"/>
          <w:sz w:val="24"/>
          <w:szCs w:val="24"/>
        </w:rPr>
        <w:t xml:space="preserve">que se </w:t>
      </w:r>
      <w:r w:rsidR="00D96FD0" w:rsidRPr="003A1174">
        <w:rPr>
          <w:rFonts w:ascii="Garamond" w:hAnsi="Garamond" w:cs="Arial"/>
          <w:sz w:val="24"/>
          <w:szCs w:val="24"/>
        </w:rPr>
        <w:t>refere</w:t>
      </w:r>
      <w:r w:rsidR="00955D60" w:rsidRPr="003A1174">
        <w:rPr>
          <w:rFonts w:ascii="Garamond" w:hAnsi="Garamond" w:cs="Arial"/>
          <w:sz w:val="24"/>
          <w:szCs w:val="24"/>
        </w:rPr>
        <w:t xml:space="preserve"> </w:t>
      </w:r>
      <w:r w:rsidR="00BB2B00" w:rsidRPr="003A1174">
        <w:rPr>
          <w:rFonts w:ascii="Garamond" w:hAnsi="Garamond" w:cs="Arial"/>
          <w:sz w:val="24"/>
          <w:szCs w:val="24"/>
        </w:rPr>
        <w:t>à</w:t>
      </w:r>
      <w:r w:rsidR="00955D60" w:rsidRPr="003A1174">
        <w:rPr>
          <w:rFonts w:ascii="Garamond" w:hAnsi="Garamond" w:cs="Arial"/>
          <w:sz w:val="24"/>
          <w:szCs w:val="24"/>
        </w:rPr>
        <w:t xml:space="preserve"> </w:t>
      </w:r>
      <w:r w:rsidR="00CF4C35" w:rsidRPr="003A1174">
        <w:rPr>
          <w:rFonts w:ascii="Garamond" w:hAnsi="Garamond" w:cs="Arial"/>
          <w:sz w:val="24"/>
          <w:szCs w:val="24"/>
        </w:rPr>
        <w:t>reabilitação</w:t>
      </w:r>
      <w:r w:rsidR="00955D60" w:rsidRPr="003A1174">
        <w:rPr>
          <w:rFonts w:ascii="Garamond" w:hAnsi="Garamond" w:cs="Arial"/>
          <w:sz w:val="24"/>
          <w:szCs w:val="24"/>
        </w:rPr>
        <w:t xml:space="preserve">, </w:t>
      </w:r>
      <w:r w:rsidRPr="003A1174">
        <w:rPr>
          <w:rFonts w:ascii="Garamond" w:hAnsi="Garamond" w:cs="Arial"/>
          <w:sz w:val="24"/>
          <w:szCs w:val="24"/>
        </w:rPr>
        <w:t>em</w:t>
      </w:r>
      <w:r w:rsidR="00955D60" w:rsidRPr="003A1174">
        <w:rPr>
          <w:rFonts w:ascii="Garamond" w:hAnsi="Garamond" w:cs="Arial"/>
          <w:sz w:val="24"/>
          <w:szCs w:val="24"/>
        </w:rPr>
        <w:t xml:space="preserve"> </w:t>
      </w:r>
      <w:r w:rsidR="009E3E55" w:rsidRPr="003A1174">
        <w:rPr>
          <w:rFonts w:ascii="Garamond" w:hAnsi="Garamond" w:cs="Arial"/>
          <w:sz w:val="24"/>
          <w:szCs w:val="24"/>
        </w:rPr>
        <w:t>julho</w:t>
      </w:r>
      <w:r w:rsidR="00955D60" w:rsidRPr="003A1174">
        <w:rPr>
          <w:rFonts w:ascii="Garamond" w:hAnsi="Garamond" w:cs="Arial"/>
          <w:sz w:val="24"/>
          <w:szCs w:val="24"/>
        </w:rPr>
        <w:t xml:space="preserve"> de </w:t>
      </w:r>
      <w:r w:rsidR="009B55EE" w:rsidRPr="003A1174">
        <w:rPr>
          <w:rFonts w:ascii="Garamond" w:hAnsi="Garamond" w:cs="Arial"/>
          <w:sz w:val="24"/>
          <w:szCs w:val="24"/>
        </w:rPr>
        <w:t>2014</w:t>
      </w:r>
      <w:r w:rsidR="00955D60" w:rsidRPr="003A1174">
        <w:rPr>
          <w:rFonts w:ascii="Garamond" w:hAnsi="Garamond" w:cs="Arial"/>
          <w:sz w:val="24"/>
          <w:szCs w:val="24"/>
        </w:rPr>
        <w:t xml:space="preserve">, </w:t>
      </w:r>
      <w:r w:rsidRPr="003A1174">
        <w:rPr>
          <w:rFonts w:ascii="Garamond" w:hAnsi="Garamond" w:cs="Arial"/>
          <w:sz w:val="24"/>
          <w:szCs w:val="24"/>
        </w:rPr>
        <w:t xml:space="preserve">o </w:t>
      </w:r>
      <w:r w:rsidR="00955D60" w:rsidRPr="003A1174">
        <w:rPr>
          <w:rFonts w:ascii="Garamond" w:hAnsi="Garamond" w:cs="Arial"/>
          <w:sz w:val="24"/>
          <w:szCs w:val="24"/>
        </w:rPr>
        <w:t xml:space="preserve">México </w:t>
      </w:r>
      <w:r w:rsidRPr="003A1174">
        <w:rPr>
          <w:rFonts w:ascii="Garamond" w:hAnsi="Garamond" w:cs="Arial"/>
          <w:sz w:val="24"/>
          <w:szCs w:val="24"/>
        </w:rPr>
        <w:t>disp</w:t>
      </w:r>
      <w:r w:rsidR="004137F5">
        <w:rPr>
          <w:rFonts w:ascii="Garamond" w:hAnsi="Garamond" w:cs="Arial"/>
          <w:sz w:val="24"/>
          <w:szCs w:val="24"/>
        </w:rPr>
        <w:t>unha</w:t>
      </w:r>
      <w:r w:rsidRPr="003A1174">
        <w:rPr>
          <w:rFonts w:ascii="Garamond" w:hAnsi="Garamond" w:cs="Arial"/>
          <w:sz w:val="24"/>
          <w:szCs w:val="24"/>
        </w:rPr>
        <w:t xml:space="preserve"> de trez</w:t>
      </w:r>
      <w:r w:rsidR="00955D60" w:rsidRPr="003A1174">
        <w:rPr>
          <w:rFonts w:ascii="Garamond" w:hAnsi="Garamond" w:cs="Arial"/>
          <w:sz w:val="24"/>
          <w:szCs w:val="24"/>
        </w:rPr>
        <w:t xml:space="preserve">e </w:t>
      </w:r>
      <w:r w:rsidR="004C4331" w:rsidRPr="003A1174">
        <w:rPr>
          <w:rFonts w:ascii="Garamond" w:hAnsi="Garamond" w:cs="Arial"/>
          <w:sz w:val="24"/>
          <w:szCs w:val="24"/>
        </w:rPr>
        <w:t>(</w:t>
      </w:r>
      <w:r w:rsidR="00955D60" w:rsidRPr="003A1174">
        <w:rPr>
          <w:rFonts w:ascii="Garamond" w:hAnsi="Garamond" w:cs="Arial"/>
          <w:sz w:val="24"/>
          <w:szCs w:val="24"/>
        </w:rPr>
        <w:t>13</w:t>
      </w:r>
      <w:r w:rsidR="004C4331" w:rsidRPr="003A1174">
        <w:rPr>
          <w:rFonts w:ascii="Garamond" w:hAnsi="Garamond" w:cs="Arial"/>
          <w:sz w:val="24"/>
          <w:szCs w:val="24"/>
        </w:rPr>
        <w:t>)</w:t>
      </w:r>
      <w:r w:rsidR="00955D60" w:rsidRPr="003A1174">
        <w:rPr>
          <w:rFonts w:ascii="Garamond" w:hAnsi="Garamond" w:cs="Arial"/>
          <w:sz w:val="24"/>
          <w:szCs w:val="24"/>
        </w:rPr>
        <w:t xml:space="preserve"> Centros de </w:t>
      </w:r>
      <w:r w:rsidR="00886D6A" w:rsidRPr="003A1174">
        <w:rPr>
          <w:rFonts w:ascii="Garamond" w:hAnsi="Garamond" w:cs="Arial"/>
          <w:sz w:val="24"/>
          <w:szCs w:val="24"/>
        </w:rPr>
        <w:t>Acesso</w:t>
      </w:r>
      <w:r w:rsidR="00955D60" w:rsidRPr="003A1174">
        <w:rPr>
          <w:rFonts w:ascii="Garamond" w:hAnsi="Garamond" w:cs="Arial"/>
          <w:sz w:val="24"/>
          <w:szCs w:val="24"/>
        </w:rPr>
        <w:t xml:space="preserve"> </w:t>
      </w:r>
      <w:r w:rsidR="00BB2B00" w:rsidRPr="003A1174">
        <w:rPr>
          <w:rFonts w:ascii="Garamond" w:hAnsi="Garamond" w:cs="Arial"/>
          <w:sz w:val="24"/>
          <w:szCs w:val="24"/>
        </w:rPr>
        <w:t>à</w:t>
      </w:r>
      <w:r w:rsidR="00955D60" w:rsidRPr="003A1174">
        <w:rPr>
          <w:rFonts w:ascii="Garamond" w:hAnsi="Garamond" w:cs="Arial"/>
          <w:sz w:val="24"/>
          <w:szCs w:val="24"/>
        </w:rPr>
        <w:t xml:space="preserve"> </w:t>
      </w:r>
      <w:r w:rsidR="00FC1F7F" w:rsidRPr="003A1174">
        <w:rPr>
          <w:rFonts w:ascii="Garamond" w:hAnsi="Garamond" w:cs="Arial"/>
          <w:sz w:val="24"/>
          <w:szCs w:val="24"/>
        </w:rPr>
        <w:t>Justiça</w:t>
      </w:r>
      <w:r w:rsidRPr="003A1174">
        <w:rPr>
          <w:rFonts w:ascii="Garamond" w:hAnsi="Garamond" w:cs="Arial"/>
          <w:sz w:val="24"/>
          <w:szCs w:val="24"/>
        </w:rPr>
        <w:t xml:space="preserve"> para </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4C4331" w:rsidRPr="003A1174">
        <w:rPr>
          <w:rFonts w:ascii="Garamond" w:hAnsi="Garamond" w:cs="Arial"/>
          <w:sz w:val="24"/>
          <w:szCs w:val="24"/>
        </w:rPr>
        <w:t>que</w:t>
      </w:r>
      <w:r w:rsidR="00955D60" w:rsidRPr="003A1174">
        <w:rPr>
          <w:rFonts w:ascii="Garamond" w:hAnsi="Garamond" w:cs="Arial"/>
          <w:sz w:val="24"/>
          <w:szCs w:val="24"/>
        </w:rPr>
        <w:t xml:space="preserve"> </w:t>
      </w:r>
      <w:r w:rsidR="00FC1BF5">
        <w:rPr>
          <w:rFonts w:ascii="Garamond" w:hAnsi="Garamond" w:cs="Arial"/>
          <w:sz w:val="24"/>
          <w:szCs w:val="24"/>
        </w:rPr>
        <w:t>prestam apoio</w:t>
      </w:r>
      <w:r w:rsidR="00955D60" w:rsidRPr="003A1174">
        <w:rPr>
          <w:rFonts w:ascii="Garamond" w:hAnsi="Garamond" w:cs="Arial"/>
          <w:sz w:val="24"/>
          <w:szCs w:val="24"/>
        </w:rPr>
        <w:t xml:space="preserve"> jurídic</w:t>
      </w:r>
      <w:r w:rsidR="00FC1BF5">
        <w:rPr>
          <w:rFonts w:ascii="Garamond" w:hAnsi="Garamond" w:cs="Arial"/>
          <w:sz w:val="24"/>
          <w:szCs w:val="24"/>
        </w:rPr>
        <w:t>o</w:t>
      </w:r>
      <w:r w:rsidR="00955D60" w:rsidRPr="003A1174">
        <w:rPr>
          <w:rFonts w:ascii="Garamond" w:hAnsi="Garamond" w:cs="Arial"/>
          <w:sz w:val="24"/>
          <w:szCs w:val="24"/>
        </w:rPr>
        <w:t>, psicológic</w:t>
      </w:r>
      <w:r w:rsidR="00FC1BF5">
        <w:rPr>
          <w:rFonts w:ascii="Garamond" w:hAnsi="Garamond" w:cs="Arial"/>
          <w:sz w:val="24"/>
          <w:szCs w:val="24"/>
        </w:rPr>
        <w:t>o</w:t>
      </w:r>
      <w:r w:rsidR="00955D60" w:rsidRPr="003A1174">
        <w:rPr>
          <w:rFonts w:ascii="Garamond" w:hAnsi="Garamond" w:cs="Arial"/>
          <w:sz w:val="24"/>
          <w:szCs w:val="24"/>
        </w:rPr>
        <w:t>, médic</w:t>
      </w:r>
      <w:r w:rsidR="00FC1BF5">
        <w:rPr>
          <w:rFonts w:ascii="Garamond" w:hAnsi="Garamond" w:cs="Arial"/>
          <w:sz w:val="24"/>
          <w:szCs w:val="24"/>
        </w:rPr>
        <w:t>o</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a</w:t>
      </w:r>
      <w:r w:rsidRPr="003A1174">
        <w:rPr>
          <w:rFonts w:ascii="Garamond" w:hAnsi="Garamond" w:cs="Arial"/>
          <w:sz w:val="24"/>
          <w:szCs w:val="24"/>
        </w:rPr>
        <w:t xml:space="preserve">brigo para </w:t>
      </w:r>
      <w:r w:rsidR="00955D60" w:rsidRPr="003A1174">
        <w:rPr>
          <w:rFonts w:ascii="Garamond" w:hAnsi="Garamond" w:cs="Arial"/>
          <w:sz w:val="24"/>
          <w:szCs w:val="24"/>
        </w:rPr>
        <w:t xml:space="preserve">a </w:t>
      </w:r>
      <w:r w:rsidR="003F012B" w:rsidRPr="003A1174">
        <w:rPr>
          <w:rFonts w:ascii="Garamond" w:hAnsi="Garamond" w:cs="Arial"/>
          <w:sz w:val="24"/>
          <w:szCs w:val="24"/>
        </w:rPr>
        <w:t>vítima</w:t>
      </w:r>
      <w:r w:rsidR="004C4331" w:rsidRPr="003A1174">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para </w:t>
      </w:r>
      <w:r w:rsidR="00FC1BF5">
        <w:rPr>
          <w:rFonts w:ascii="Garamond" w:hAnsi="Garamond" w:cs="Arial"/>
          <w:sz w:val="24"/>
          <w:szCs w:val="24"/>
        </w:rPr>
        <w:t xml:space="preserve">os seus </w:t>
      </w:r>
      <w:r w:rsidR="007A2492" w:rsidRPr="003A1174">
        <w:rPr>
          <w:rFonts w:ascii="Garamond" w:hAnsi="Garamond" w:cs="Arial"/>
          <w:sz w:val="24"/>
          <w:szCs w:val="24"/>
        </w:rPr>
        <w:t>filho</w:t>
      </w:r>
      <w:r w:rsidR="00955D60" w:rsidRPr="003A1174">
        <w:rPr>
          <w:rFonts w:ascii="Garamond" w:hAnsi="Garamond" w:cs="Arial"/>
          <w:sz w:val="24"/>
          <w:szCs w:val="24"/>
        </w:rPr>
        <w:t>s</w:t>
      </w:r>
      <w:r w:rsidR="00FC1BF5">
        <w:rPr>
          <w:rFonts w:ascii="Garamond" w:hAnsi="Garamond" w:cs="Arial"/>
          <w:sz w:val="24"/>
          <w:szCs w:val="24"/>
        </w:rPr>
        <w:t>,</w:t>
      </w:r>
      <w:r w:rsidR="00955D60" w:rsidRPr="003A1174">
        <w:rPr>
          <w:rFonts w:ascii="Garamond" w:hAnsi="Garamond" w:cs="Arial"/>
          <w:sz w:val="24"/>
          <w:szCs w:val="24"/>
        </w:rPr>
        <w:t xml:space="preserve"> </w:t>
      </w:r>
      <w:r w:rsidR="003A391A" w:rsidRPr="003A1174">
        <w:rPr>
          <w:rFonts w:ascii="Garamond" w:hAnsi="Garamond" w:cs="Arial"/>
          <w:sz w:val="24"/>
          <w:szCs w:val="24"/>
        </w:rPr>
        <w:t>nos</w:t>
      </w:r>
      <w:r w:rsidR="00955D60" w:rsidRPr="003A1174">
        <w:rPr>
          <w:rFonts w:ascii="Garamond" w:hAnsi="Garamond" w:cs="Arial"/>
          <w:sz w:val="24"/>
          <w:szCs w:val="24"/>
        </w:rPr>
        <w:t xml:space="preserve"> casos</w:t>
      </w:r>
      <w:r w:rsidRPr="003A1174">
        <w:rPr>
          <w:rFonts w:ascii="Garamond" w:hAnsi="Garamond" w:cs="Arial"/>
          <w:sz w:val="24"/>
          <w:szCs w:val="24"/>
        </w:rPr>
        <w:t xml:space="preserve"> em</w:t>
      </w:r>
      <w:r w:rsidR="00955D60" w:rsidRPr="003A1174">
        <w:rPr>
          <w:rFonts w:ascii="Garamond" w:hAnsi="Garamond" w:cs="Arial"/>
          <w:sz w:val="24"/>
          <w:szCs w:val="24"/>
        </w:rPr>
        <w:t xml:space="preserve"> que</w:t>
      </w:r>
      <w:r w:rsidRPr="003A1174">
        <w:rPr>
          <w:rFonts w:ascii="Garamond" w:hAnsi="Garamond" w:cs="Arial"/>
          <w:sz w:val="24"/>
          <w:szCs w:val="24"/>
        </w:rPr>
        <w:t xml:space="preserve"> for necessário</w:t>
      </w:r>
      <w:r w:rsidR="00955D60" w:rsidRPr="003A1174">
        <w:rPr>
          <w:rFonts w:ascii="Garamond" w:hAnsi="Garamond" w:cs="Arial"/>
          <w:sz w:val="24"/>
          <w:szCs w:val="24"/>
        </w:rPr>
        <w:t xml:space="preserve">. </w:t>
      </w:r>
      <w:r w:rsidRPr="003A1174">
        <w:rPr>
          <w:rFonts w:ascii="Garamond" w:hAnsi="Garamond" w:cs="Arial"/>
          <w:sz w:val="24"/>
          <w:szCs w:val="24"/>
        </w:rPr>
        <w:t>N</w:t>
      </w:r>
      <w:r w:rsidR="007407BD" w:rsidRPr="003A1174">
        <w:rPr>
          <w:rFonts w:ascii="Garamond" w:hAnsi="Garamond" w:cs="Arial"/>
          <w:sz w:val="24"/>
          <w:szCs w:val="24"/>
        </w:rPr>
        <w:t>estes</w:t>
      </w:r>
      <w:r w:rsidR="00955D60" w:rsidRPr="003A1174">
        <w:rPr>
          <w:rFonts w:ascii="Garamond" w:hAnsi="Garamond" w:cs="Arial"/>
          <w:sz w:val="24"/>
          <w:szCs w:val="24"/>
        </w:rPr>
        <w:t xml:space="preserve"> </w:t>
      </w:r>
      <w:r w:rsidR="004C4331" w:rsidRPr="003A1174">
        <w:rPr>
          <w:rFonts w:ascii="Garamond" w:hAnsi="Garamond" w:cs="Arial"/>
          <w:sz w:val="24"/>
          <w:szCs w:val="24"/>
        </w:rPr>
        <w:t>c</w:t>
      </w:r>
      <w:r w:rsidRPr="003A1174">
        <w:rPr>
          <w:rFonts w:ascii="Garamond" w:hAnsi="Garamond" w:cs="Arial"/>
          <w:sz w:val="24"/>
          <w:szCs w:val="24"/>
        </w:rPr>
        <w:t xml:space="preserve">entros, </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3F012B" w:rsidRPr="003A1174">
        <w:rPr>
          <w:rFonts w:ascii="Garamond" w:hAnsi="Garamond" w:cs="Arial"/>
          <w:sz w:val="24"/>
          <w:szCs w:val="24"/>
        </w:rPr>
        <w:t>vítima</w:t>
      </w:r>
      <w:r w:rsidR="00955D60" w:rsidRPr="003A1174">
        <w:rPr>
          <w:rFonts w:ascii="Garamond" w:hAnsi="Garamond" w:cs="Arial"/>
          <w:sz w:val="24"/>
          <w:szCs w:val="24"/>
        </w:rPr>
        <w:t xml:space="preserve">s </w:t>
      </w:r>
      <w:r w:rsidR="00D4575C" w:rsidRPr="003A1174">
        <w:rPr>
          <w:rFonts w:ascii="Garamond" w:hAnsi="Garamond" w:cs="Arial"/>
          <w:sz w:val="24"/>
          <w:szCs w:val="24"/>
        </w:rPr>
        <w:t>têm</w:t>
      </w:r>
      <w:r w:rsidRPr="003A1174">
        <w:rPr>
          <w:rFonts w:ascii="Garamond" w:hAnsi="Garamond" w:cs="Arial"/>
          <w:sz w:val="24"/>
          <w:szCs w:val="24"/>
        </w:rPr>
        <w:t xml:space="preserve"> </w:t>
      </w:r>
      <w:r w:rsidR="00955D60" w:rsidRPr="003A1174">
        <w:rPr>
          <w:rFonts w:ascii="Garamond" w:hAnsi="Garamond" w:cs="Arial"/>
          <w:sz w:val="24"/>
          <w:szCs w:val="24"/>
        </w:rPr>
        <w:t xml:space="preserve">a </w:t>
      </w:r>
      <w:r w:rsidR="008843FD" w:rsidRPr="003A1174">
        <w:rPr>
          <w:rFonts w:ascii="Garamond" w:hAnsi="Garamond" w:cs="Arial"/>
          <w:sz w:val="24"/>
          <w:szCs w:val="24"/>
        </w:rPr>
        <w:t>possibilidade</w:t>
      </w:r>
      <w:r w:rsidR="00955D60" w:rsidRPr="003A1174">
        <w:rPr>
          <w:rFonts w:ascii="Garamond" w:hAnsi="Garamond" w:cs="Arial"/>
          <w:sz w:val="24"/>
          <w:szCs w:val="24"/>
        </w:rPr>
        <w:t xml:space="preserve"> de </w:t>
      </w:r>
      <w:r w:rsidRPr="003A1174">
        <w:rPr>
          <w:rFonts w:ascii="Garamond" w:hAnsi="Garamond" w:cs="Arial"/>
          <w:sz w:val="24"/>
          <w:szCs w:val="24"/>
        </w:rPr>
        <w:t>a</w:t>
      </w:r>
      <w:r w:rsidR="00955D60" w:rsidRPr="003A1174">
        <w:rPr>
          <w:rFonts w:ascii="Garamond" w:hAnsi="Garamond" w:cs="Arial"/>
          <w:sz w:val="24"/>
          <w:szCs w:val="24"/>
        </w:rPr>
        <w:t xml:space="preserve">presentar </w:t>
      </w:r>
      <w:r w:rsidRPr="003A1174">
        <w:rPr>
          <w:rFonts w:ascii="Garamond" w:hAnsi="Garamond" w:cs="Arial"/>
          <w:sz w:val="24"/>
          <w:szCs w:val="24"/>
        </w:rPr>
        <w:t xml:space="preserve">as </w:t>
      </w:r>
      <w:r w:rsidR="00955D60" w:rsidRPr="003A1174">
        <w:rPr>
          <w:rFonts w:ascii="Garamond" w:hAnsi="Garamond" w:cs="Arial"/>
          <w:sz w:val="24"/>
          <w:szCs w:val="24"/>
        </w:rPr>
        <w:t>su</w:t>
      </w:r>
      <w:r w:rsidRPr="003A1174">
        <w:rPr>
          <w:rFonts w:ascii="Garamond" w:hAnsi="Garamond" w:cs="Arial"/>
          <w:sz w:val="24"/>
          <w:szCs w:val="24"/>
        </w:rPr>
        <w:t>a</w:t>
      </w:r>
      <w:r w:rsidR="00955D60" w:rsidRPr="003A1174">
        <w:rPr>
          <w:rFonts w:ascii="Garamond" w:hAnsi="Garamond" w:cs="Arial"/>
          <w:sz w:val="24"/>
          <w:szCs w:val="24"/>
        </w:rPr>
        <w:t xml:space="preserve">s </w:t>
      </w:r>
      <w:r w:rsidR="008651AF" w:rsidRPr="003A1174">
        <w:rPr>
          <w:rFonts w:ascii="Garamond" w:hAnsi="Garamond" w:cs="Arial"/>
          <w:sz w:val="24"/>
          <w:szCs w:val="24"/>
        </w:rPr>
        <w:t>denúncia</w:t>
      </w:r>
      <w:r w:rsidR="00955D60" w:rsidRPr="003A1174">
        <w:rPr>
          <w:rFonts w:ascii="Garamond" w:hAnsi="Garamond" w:cs="Arial"/>
          <w:sz w:val="24"/>
          <w:szCs w:val="24"/>
        </w:rPr>
        <w:t xml:space="preserve">s </w:t>
      </w:r>
      <w:r w:rsidR="009A0CC2" w:rsidRPr="003A1174">
        <w:rPr>
          <w:rFonts w:ascii="Garamond" w:hAnsi="Garamond" w:cs="Arial"/>
          <w:sz w:val="24"/>
          <w:szCs w:val="24"/>
        </w:rPr>
        <w:t>penais</w:t>
      </w:r>
      <w:r w:rsidR="00955D60" w:rsidRPr="003A1174">
        <w:rPr>
          <w:rFonts w:ascii="Garamond" w:hAnsi="Garamond" w:cs="Arial"/>
          <w:sz w:val="24"/>
          <w:szCs w:val="24"/>
        </w:rPr>
        <w:t xml:space="preserve">. </w:t>
      </w:r>
    </w:p>
    <w:p w:rsidR="00955D6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t>Registo</w:t>
      </w:r>
      <w:r w:rsidR="00374F16" w:rsidRPr="003A1174">
        <w:rPr>
          <w:rFonts w:ascii="Garamond" w:hAnsi="Garamond"/>
          <w:sz w:val="24"/>
          <w:szCs w:val="24"/>
        </w:rPr>
        <w:t xml:space="preserve"> de </w:t>
      </w:r>
      <w:r w:rsidR="0017447A" w:rsidRPr="003A1174">
        <w:rPr>
          <w:rFonts w:ascii="Garamond" w:hAnsi="Garamond"/>
          <w:sz w:val="24"/>
          <w:szCs w:val="24"/>
        </w:rPr>
        <w:t>informação</w:t>
      </w:r>
      <w:r w:rsidR="00955D60" w:rsidRPr="003A1174">
        <w:rPr>
          <w:rFonts w:ascii="Garamond" w:hAnsi="Garamond"/>
          <w:sz w:val="24"/>
          <w:szCs w:val="24"/>
        </w:rPr>
        <w:t xml:space="preserve"> </w:t>
      </w:r>
    </w:p>
    <w:p w:rsidR="00955D60" w:rsidRPr="003A1174" w:rsidRDefault="00A23EB8"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Por </w:t>
      </w:r>
      <w:r w:rsidR="001F2F8B" w:rsidRPr="003A1174">
        <w:rPr>
          <w:rFonts w:ascii="Garamond" w:hAnsi="Garamond" w:cs="Arial"/>
          <w:sz w:val="24"/>
          <w:szCs w:val="24"/>
        </w:rPr>
        <w:t>outro</w:t>
      </w:r>
      <w:r w:rsidR="00955D60" w:rsidRPr="003A1174">
        <w:rPr>
          <w:rFonts w:ascii="Garamond" w:hAnsi="Garamond" w:cs="Arial"/>
          <w:sz w:val="24"/>
          <w:szCs w:val="24"/>
        </w:rPr>
        <w:t xml:space="preserve"> lado</w:t>
      </w:r>
      <w:r w:rsidR="004C4331" w:rsidRPr="003A1174">
        <w:rPr>
          <w:rFonts w:ascii="Garamond" w:hAnsi="Garamond" w:cs="Arial"/>
          <w:sz w:val="24"/>
          <w:szCs w:val="24"/>
        </w:rPr>
        <w:t xml:space="preserve">, </w:t>
      </w:r>
      <w:r w:rsidRPr="003A1174">
        <w:rPr>
          <w:rFonts w:ascii="Garamond" w:hAnsi="Garamond" w:cs="Arial"/>
          <w:sz w:val="24"/>
          <w:szCs w:val="24"/>
        </w:rPr>
        <w:t xml:space="preserve">no que toca ao </w:t>
      </w:r>
      <w:r w:rsidR="00077461" w:rsidRPr="003A1174">
        <w:rPr>
          <w:rFonts w:ascii="Garamond" w:hAnsi="Garamond" w:cs="Arial"/>
          <w:sz w:val="24"/>
          <w:szCs w:val="24"/>
        </w:rPr>
        <w:t>registo</w:t>
      </w:r>
      <w:r w:rsidR="00955D60" w:rsidRPr="003A1174">
        <w:rPr>
          <w:rFonts w:ascii="Garamond" w:hAnsi="Garamond" w:cs="Arial"/>
          <w:sz w:val="24"/>
          <w:szCs w:val="24"/>
        </w:rPr>
        <w:t xml:space="preserve"> de </w:t>
      </w:r>
      <w:r w:rsidR="0017447A" w:rsidRPr="003A1174">
        <w:rPr>
          <w:rFonts w:ascii="Garamond" w:hAnsi="Garamond" w:cs="Arial"/>
          <w:sz w:val="24"/>
          <w:szCs w:val="24"/>
        </w:rPr>
        <w:t>informação</w:t>
      </w:r>
      <w:r w:rsidR="00955D60" w:rsidRPr="003A1174">
        <w:rPr>
          <w:rFonts w:ascii="Garamond" w:hAnsi="Garamond" w:cs="Arial"/>
          <w:sz w:val="24"/>
          <w:szCs w:val="24"/>
        </w:rPr>
        <w:t xml:space="preserve"> sobre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3F012B" w:rsidRPr="003A1174">
        <w:rPr>
          <w:rFonts w:ascii="Garamond" w:hAnsi="Garamond" w:cs="Arial"/>
          <w:sz w:val="24"/>
          <w:szCs w:val="24"/>
        </w:rPr>
        <w:t>vítima</w:t>
      </w:r>
      <w:r w:rsidR="00955D60" w:rsidRPr="003A1174">
        <w:rPr>
          <w:rFonts w:ascii="Garamond" w:hAnsi="Garamond" w:cs="Arial"/>
          <w:sz w:val="24"/>
          <w:szCs w:val="24"/>
        </w:rPr>
        <w:t xml:space="preserve">s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4137F5">
        <w:rPr>
          <w:rFonts w:ascii="Garamond" w:hAnsi="Garamond" w:cs="Arial"/>
          <w:sz w:val="24"/>
          <w:szCs w:val="24"/>
        </w:rPr>
        <w:t>constata</w:t>
      </w:r>
      <w:r w:rsidRPr="003A1174">
        <w:rPr>
          <w:rFonts w:ascii="Garamond" w:hAnsi="Garamond" w:cs="Arial"/>
          <w:sz w:val="24"/>
          <w:szCs w:val="24"/>
        </w:rPr>
        <w:t>-se</w:t>
      </w:r>
      <w:r w:rsidR="00955D60" w:rsidRPr="003A1174">
        <w:rPr>
          <w:rFonts w:ascii="Garamond" w:hAnsi="Garamond" w:cs="Arial"/>
          <w:sz w:val="24"/>
          <w:szCs w:val="24"/>
        </w:rPr>
        <w:t xml:space="preserve"> que </w:t>
      </w:r>
      <w:r w:rsidR="004C4331" w:rsidRPr="003A1174">
        <w:rPr>
          <w:rFonts w:ascii="Garamond" w:hAnsi="Garamond" w:cs="Arial"/>
          <w:sz w:val="24"/>
          <w:szCs w:val="24"/>
        </w:rPr>
        <w:t xml:space="preserve">as </w:t>
      </w:r>
      <w:r w:rsidR="0096583F" w:rsidRPr="003A1174">
        <w:rPr>
          <w:rFonts w:ascii="Garamond" w:hAnsi="Garamond" w:cs="Arial"/>
          <w:sz w:val="24"/>
          <w:szCs w:val="24"/>
        </w:rPr>
        <w:t>Procuradoria</w:t>
      </w:r>
      <w:r w:rsidR="004C4331" w:rsidRPr="003A1174">
        <w:rPr>
          <w:rFonts w:ascii="Garamond" w:hAnsi="Garamond" w:cs="Arial"/>
          <w:sz w:val="24"/>
          <w:szCs w:val="24"/>
        </w:rPr>
        <w:t xml:space="preserve">s </w:t>
      </w:r>
      <w:r w:rsidR="000672E8" w:rsidRPr="003A1174">
        <w:rPr>
          <w:rFonts w:ascii="Garamond" w:hAnsi="Garamond" w:cs="Arial"/>
          <w:sz w:val="24"/>
          <w:szCs w:val="24"/>
        </w:rPr>
        <w:t>e</w:t>
      </w:r>
      <w:r w:rsidR="004C4331" w:rsidRPr="003A1174">
        <w:rPr>
          <w:rFonts w:ascii="Garamond" w:hAnsi="Garamond" w:cs="Arial"/>
          <w:sz w:val="24"/>
          <w:szCs w:val="24"/>
        </w:rPr>
        <w:t xml:space="preserve"> </w:t>
      </w:r>
      <w:r w:rsidRPr="003A1174">
        <w:rPr>
          <w:rFonts w:ascii="Garamond" w:hAnsi="Garamond" w:cs="Arial"/>
          <w:sz w:val="24"/>
          <w:szCs w:val="24"/>
        </w:rPr>
        <w:t>Ministério Público</w:t>
      </w:r>
      <w:r w:rsidR="004137F5">
        <w:rPr>
          <w:rFonts w:ascii="Garamond" w:hAnsi="Garamond" w:cs="Arial"/>
          <w:sz w:val="24"/>
          <w:szCs w:val="24"/>
        </w:rPr>
        <w:t xml:space="preserve"> necessitam,</w:t>
      </w:r>
      <w:r w:rsidRPr="003A1174">
        <w:rPr>
          <w:rFonts w:ascii="Garamond" w:hAnsi="Garamond" w:cs="Arial"/>
          <w:sz w:val="24"/>
          <w:szCs w:val="24"/>
        </w:rPr>
        <w:t xml:space="preserve"> ainda</w:t>
      </w:r>
      <w:r w:rsidR="004137F5">
        <w:rPr>
          <w:rFonts w:ascii="Garamond" w:hAnsi="Garamond" w:cs="Arial"/>
          <w:sz w:val="24"/>
          <w:szCs w:val="24"/>
        </w:rPr>
        <w:t>,</w:t>
      </w:r>
      <w:r w:rsidR="00955D60" w:rsidRPr="003A1174">
        <w:rPr>
          <w:rFonts w:ascii="Garamond" w:hAnsi="Garamond" w:cs="Arial"/>
          <w:sz w:val="24"/>
          <w:szCs w:val="24"/>
        </w:rPr>
        <w:t xml:space="preserve"> </w:t>
      </w:r>
      <w:r w:rsidR="004137F5">
        <w:rPr>
          <w:rFonts w:ascii="Garamond" w:hAnsi="Garamond" w:cs="Arial"/>
          <w:sz w:val="24"/>
          <w:szCs w:val="24"/>
        </w:rPr>
        <w:t xml:space="preserve">de </w:t>
      </w:r>
      <w:r w:rsidR="00802ACC" w:rsidRPr="003A1174">
        <w:rPr>
          <w:rFonts w:ascii="Garamond" w:hAnsi="Garamond" w:cs="Arial"/>
          <w:sz w:val="24"/>
          <w:szCs w:val="24"/>
        </w:rPr>
        <w:t>trabalhar</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esta </w:t>
      </w:r>
      <w:r w:rsidR="00EF645F" w:rsidRPr="003A1174">
        <w:rPr>
          <w:rFonts w:ascii="Garamond" w:hAnsi="Garamond" w:cs="Arial"/>
          <w:sz w:val="24"/>
          <w:szCs w:val="24"/>
        </w:rPr>
        <w:t>matéria</w:t>
      </w:r>
      <w:r w:rsidR="00955D60" w:rsidRPr="003A1174">
        <w:rPr>
          <w:rFonts w:ascii="Garamond" w:hAnsi="Garamond" w:cs="Arial"/>
          <w:sz w:val="24"/>
          <w:szCs w:val="24"/>
        </w:rPr>
        <w:t xml:space="preserve"> para </w:t>
      </w:r>
      <w:r w:rsidRPr="003A1174">
        <w:rPr>
          <w:rFonts w:ascii="Garamond" w:hAnsi="Garamond" w:cs="Arial"/>
          <w:sz w:val="24"/>
          <w:szCs w:val="24"/>
        </w:rPr>
        <w:t xml:space="preserve">disporem de </w:t>
      </w:r>
      <w:r w:rsidR="00077461" w:rsidRPr="003A1174">
        <w:rPr>
          <w:rFonts w:ascii="Garamond" w:hAnsi="Garamond" w:cs="Arial"/>
          <w:sz w:val="24"/>
          <w:szCs w:val="24"/>
        </w:rPr>
        <w:t>registo</w:t>
      </w:r>
      <w:r w:rsidR="00955D60" w:rsidRPr="003A1174">
        <w:rPr>
          <w:rFonts w:ascii="Garamond" w:hAnsi="Garamond" w:cs="Arial"/>
          <w:sz w:val="24"/>
          <w:szCs w:val="24"/>
        </w:rPr>
        <w:t>s de delitos</w:t>
      </w:r>
      <w:r w:rsidR="004137F5">
        <w:rPr>
          <w:rFonts w:ascii="Garamond" w:hAnsi="Garamond" w:cs="Arial"/>
          <w:sz w:val="24"/>
          <w:szCs w:val="24"/>
        </w:rPr>
        <w:t>, classificados</w:t>
      </w:r>
      <w:r w:rsidR="00955D60" w:rsidRPr="003A1174">
        <w:rPr>
          <w:rFonts w:ascii="Garamond" w:hAnsi="Garamond" w:cs="Arial"/>
          <w:sz w:val="24"/>
          <w:szCs w:val="24"/>
        </w:rPr>
        <w:t xml:space="preserve"> por sexo. </w:t>
      </w:r>
      <w:r w:rsidR="00946348" w:rsidRPr="003A1174">
        <w:rPr>
          <w:rFonts w:ascii="Garamond" w:hAnsi="Garamond" w:cs="Arial"/>
          <w:sz w:val="24"/>
          <w:szCs w:val="24"/>
        </w:rPr>
        <w:t xml:space="preserve">A </w:t>
      </w:r>
      <w:r w:rsidR="00FC1F7F" w:rsidRPr="003A1174">
        <w:rPr>
          <w:rFonts w:ascii="Garamond" w:hAnsi="Garamond" w:cs="Arial"/>
          <w:sz w:val="24"/>
          <w:szCs w:val="24"/>
        </w:rPr>
        <w:t>Comissão</w:t>
      </w:r>
      <w:r w:rsidR="00955D60" w:rsidRPr="003A1174">
        <w:rPr>
          <w:rFonts w:ascii="Garamond" w:hAnsi="Garamond" w:cs="Arial"/>
          <w:sz w:val="24"/>
          <w:szCs w:val="24"/>
        </w:rPr>
        <w:t xml:space="preserve"> Nacional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886D6A" w:rsidRPr="003A1174">
        <w:rPr>
          <w:rFonts w:ascii="Garamond" w:hAnsi="Garamond" w:cs="Arial"/>
          <w:sz w:val="24"/>
          <w:szCs w:val="24"/>
        </w:rPr>
        <w:lastRenderedPageBreak/>
        <w:t>Direito</w:t>
      </w:r>
      <w:r w:rsidR="00946348" w:rsidRPr="003A1174">
        <w:rPr>
          <w:rFonts w:ascii="Garamond" w:hAnsi="Garamond" w:cs="Arial"/>
          <w:sz w:val="24"/>
          <w:szCs w:val="24"/>
        </w:rPr>
        <w:t>s Humanos do</w:t>
      </w:r>
      <w:r w:rsidR="00955D60" w:rsidRPr="003A1174">
        <w:rPr>
          <w:rFonts w:ascii="Garamond" w:hAnsi="Garamond" w:cs="Arial"/>
          <w:sz w:val="24"/>
          <w:szCs w:val="24"/>
        </w:rPr>
        <w:t xml:space="preserve"> México, </w:t>
      </w:r>
      <w:r w:rsidR="009A0CC2" w:rsidRPr="003A1174">
        <w:rPr>
          <w:rFonts w:ascii="Garamond" w:hAnsi="Garamond" w:cs="Arial"/>
          <w:sz w:val="24"/>
          <w:szCs w:val="24"/>
        </w:rPr>
        <w:t>através</w:t>
      </w:r>
      <w:r w:rsidR="00955D60" w:rsidRPr="003A1174">
        <w:rPr>
          <w:rFonts w:ascii="Garamond" w:hAnsi="Garamond" w:cs="Arial"/>
          <w:sz w:val="24"/>
          <w:szCs w:val="24"/>
        </w:rPr>
        <w:t xml:space="preserve"> de </w:t>
      </w:r>
      <w:r w:rsidR="00946348" w:rsidRPr="003A1174">
        <w:rPr>
          <w:rFonts w:ascii="Garamond" w:hAnsi="Garamond" w:cs="Arial"/>
          <w:sz w:val="24"/>
          <w:szCs w:val="24"/>
        </w:rPr>
        <w:t xml:space="preserve">pedidos </w:t>
      </w:r>
      <w:r w:rsidR="00955D60" w:rsidRPr="003A1174">
        <w:rPr>
          <w:rFonts w:ascii="Garamond" w:hAnsi="Garamond" w:cs="Arial"/>
          <w:sz w:val="24"/>
          <w:szCs w:val="24"/>
        </w:rPr>
        <w:t xml:space="preserve">de </w:t>
      </w:r>
      <w:r w:rsidR="0017447A" w:rsidRPr="003A1174">
        <w:rPr>
          <w:rFonts w:ascii="Garamond" w:hAnsi="Garamond" w:cs="Arial"/>
          <w:sz w:val="24"/>
          <w:szCs w:val="24"/>
        </w:rPr>
        <w:t>informação</w:t>
      </w:r>
      <w:r w:rsidR="00946348" w:rsidRPr="003A1174">
        <w:rPr>
          <w:rFonts w:ascii="Garamond" w:hAnsi="Garamond" w:cs="Arial"/>
          <w:sz w:val="24"/>
          <w:szCs w:val="24"/>
        </w:rPr>
        <w:t xml:space="preserve"> dirigido</w:t>
      </w:r>
      <w:r w:rsidR="00955D60" w:rsidRPr="003A1174">
        <w:rPr>
          <w:rFonts w:ascii="Garamond" w:hAnsi="Garamond" w:cs="Arial"/>
          <w:sz w:val="24"/>
          <w:szCs w:val="24"/>
        </w:rPr>
        <w:t xml:space="preserve">s </w:t>
      </w:r>
      <w:r w:rsidR="00BB2B00" w:rsidRPr="003A1174">
        <w:rPr>
          <w:rFonts w:ascii="Garamond" w:hAnsi="Garamond" w:cs="Arial"/>
          <w:sz w:val="24"/>
          <w:szCs w:val="24"/>
        </w:rPr>
        <w:t>à</w:t>
      </w:r>
      <w:r w:rsidR="00955D60" w:rsidRPr="003A1174">
        <w:rPr>
          <w:rFonts w:ascii="Garamond" w:hAnsi="Garamond" w:cs="Arial"/>
          <w:sz w:val="24"/>
          <w:szCs w:val="24"/>
        </w:rPr>
        <w:t xml:space="preserve">s </w:t>
      </w:r>
      <w:r w:rsidR="0096583F" w:rsidRPr="003A1174">
        <w:rPr>
          <w:rFonts w:ascii="Garamond" w:hAnsi="Garamond" w:cs="Arial"/>
          <w:sz w:val="24"/>
          <w:szCs w:val="24"/>
        </w:rPr>
        <w:t>Procuradoria</w:t>
      </w:r>
      <w:r w:rsidR="00955D60" w:rsidRPr="003A1174">
        <w:rPr>
          <w:rFonts w:ascii="Garamond" w:hAnsi="Garamond" w:cs="Arial"/>
          <w:sz w:val="24"/>
          <w:szCs w:val="24"/>
        </w:rPr>
        <w:t xml:space="preserve">s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946348" w:rsidRPr="003A1174">
        <w:rPr>
          <w:rFonts w:ascii="Garamond" w:hAnsi="Garamond" w:cs="Arial"/>
          <w:sz w:val="24"/>
          <w:szCs w:val="24"/>
        </w:rPr>
        <w:t xml:space="preserve">Ministério Público </w:t>
      </w:r>
      <w:r w:rsidR="00955D60" w:rsidRPr="003A1174">
        <w:rPr>
          <w:rFonts w:ascii="Garamond" w:hAnsi="Garamond" w:cs="Arial"/>
          <w:sz w:val="24"/>
          <w:szCs w:val="24"/>
        </w:rPr>
        <w:t xml:space="preserve">a </w:t>
      </w:r>
      <w:r w:rsidR="0017447A" w:rsidRPr="003A1174">
        <w:rPr>
          <w:rFonts w:ascii="Garamond" w:hAnsi="Garamond" w:cs="Arial"/>
          <w:sz w:val="24"/>
          <w:szCs w:val="24"/>
        </w:rPr>
        <w:t>nível</w:t>
      </w:r>
      <w:r w:rsidR="00955D60" w:rsidRPr="003A1174">
        <w:rPr>
          <w:rFonts w:ascii="Garamond" w:hAnsi="Garamond" w:cs="Arial"/>
          <w:sz w:val="24"/>
          <w:szCs w:val="24"/>
        </w:rPr>
        <w:t xml:space="preserve"> federal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BB2B00" w:rsidRPr="003A1174">
        <w:rPr>
          <w:rFonts w:ascii="Garamond" w:hAnsi="Garamond" w:cs="Arial"/>
          <w:sz w:val="24"/>
          <w:szCs w:val="24"/>
        </w:rPr>
        <w:t>à</w:t>
      </w:r>
      <w:r w:rsidR="00955D60" w:rsidRPr="003A1174">
        <w:rPr>
          <w:rFonts w:ascii="Garamond" w:hAnsi="Garamond" w:cs="Arial"/>
          <w:sz w:val="24"/>
          <w:szCs w:val="24"/>
        </w:rPr>
        <w:t xml:space="preserve">s entidades federativas, </w:t>
      </w:r>
      <w:r w:rsidR="00946348" w:rsidRPr="003A1174">
        <w:rPr>
          <w:rFonts w:ascii="Garamond" w:hAnsi="Garamond" w:cs="Arial"/>
          <w:sz w:val="24"/>
          <w:szCs w:val="24"/>
        </w:rPr>
        <w:t>tem vindo a solicitar números específico</w:t>
      </w:r>
      <w:r w:rsidR="00955D60" w:rsidRPr="003A1174">
        <w:rPr>
          <w:rFonts w:ascii="Garamond" w:hAnsi="Garamond" w:cs="Arial"/>
          <w:sz w:val="24"/>
          <w:szCs w:val="24"/>
        </w:rPr>
        <w:t xml:space="preserve">s sobre </w:t>
      </w:r>
      <w:r w:rsidR="004C4331" w:rsidRPr="003A1174">
        <w:rPr>
          <w:rFonts w:ascii="Garamond" w:hAnsi="Garamond" w:cs="Arial"/>
          <w:sz w:val="24"/>
          <w:szCs w:val="24"/>
        </w:rPr>
        <w:t xml:space="preserve">os </w:t>
      </w:r>
      <w:r w:rsidR="00955D60" w:rsidRPr="003A1174">
        <w:rPr>
          <w:rFonts w:ascii="Garamond" w:hAnsi="Garamond" w:cs="Arial"/>
          <w:sz w:val="24"/>
          <w:szCs w:val="24"/>
        </w:rPr>
        <w:t xml:space="preserve">delitos cometidos contra </w:t>
      </w:r>
      <w:r w:rsidR="00946348"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w:t>
      </w:r>
    </w:p>
    <w:p w:rsidR="00374F16" w:rsidRPr="003A1174" w:rsidRDefault="00374F16" w:rsidP="008719D4">
      <w:pPr>
        <w:pStyle w:val="Ttulo4"/>
        <w:spacing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p>
    <w:p w:rsidR="00955D60" w:rsidRPr="003A1174" w:rsidRDefault="00946348" w:rsidP="009463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O </w:t>
      </w:r>
      <w:r w:rsidR="00955D60" w:rsidRPr="003A1174">
        <w:rPr>
          <w:rFonts w:ascii="Garamond" w:hAnsi="Garamond" w:cs="Arial"/>
          <w:sz w:val="24"/>
          <w:szCs w:val="24"/>
        </w:rPr>
        <w:t xml:space="preserve">Centro Nacional de </w:t>
      </w:r>
      <w:r w:rsidR="00C01806" w:rsidRPr="003A1174">
        <w:rPr>
          <w:rFonts w:ascii="Garamond" w:hAnsi="Garamond" w:cs="Arial"/>
          <w:sz w:val="24"/>
          <w:szCs w:val="24"/>
        </w:rPr>
        <w:t>Equidade</w:t>
      </w:r>
      <w:r w:rsidR="00955D60" w:rsidRPr="003A1174">
        <w:rPr>
          <w:rFonts w:ascii="Garamond" w:hAnsi="Garamond" w:cs="Arial"/>
          <w:sz w:val="24"/>
          <w:szCs w:val="24"/>
        </w:rPr>
        <w:t xml:space="preserve"> de Género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7C63D0" w:rsidRPr="003A1174">
        <w:rPr>
          <w:rFonts w:ascii="Garamond" w:hAnsi="Garamond" w:cs="Arial"/>
          <w:sz w:val="24"/>
          <w:szCs w:val="24"/>
        </w:rPr>
        <w:t>Saúde</w:t>
      </w:r>
      <w:r w:rsidR="00955D60" w:rsidRPr="003A1174">
        <w:rPr>
          <w:rFonts w:ascii="Garamond" w:hAnsi="Garamond" w:cs="Arial"/>
          <w:sz w:val="24"/>
          <w:szCs w:val="24"/>
        </w:rPr>
        <w:t xml:space="preserve"> </w:t>
      </w:r>
      <w:r w:rsidR="00A862C2" w:rsidRPr="003A1174">
        <w:rPr>
          <w:rFonts w:ascii="Garamond" w:hAnsi="Garamond" w:cs="Arial"/>
          <w:sz w:val="24"/>
          <w:szCs w:val="24"/>
        </w:rPr>
        <w:t>Reprodutiva</w:t>
      </w:r>
      <w:r w:rsidRPr="003A1174">
        <w:rPr>
          <w:rFonts w:ascii="Garamond" w:hAnsi="Garamond" w:cs="Arial"/>
          <w:sz w:val="24"/>
          <w:szCs w:val="24"/>
        </w:rPr>
        <w:t xml:space="preserve"> transfere recursos</w:t>
      </w:r>
      <w:r w:rsidR="00945E97">
        <w:rPr>
          <w:rFonts w:ascii="Garamond" w:hAnsi="Garamond" w:cs="Arial"/>
          <w:sz w:val="24"/>
          <w:szCs w:val="24"/>
        </w:rPr>
        <w:t xml:space="preserve"> </w:t>
      </w:r>
      <w:r w:rsidR="00945E97" w:rsidRPr="00EA2345">
        <w:rPr>
          <w:rFonts w:ascii="Garamond" w:hAnsi="Garamond" w:cs="Arial"/>
          <w:sz w:val="24"/>
          <w:szCs w:val="24"/>
        </w:rPr>
        <w:t>humanos</w:t>
      </w:r>
      <w:r w:rsidRPr="003A1174">
        <w:rPr>
          <w:rFonts w:ascii="Garamond" w:hAnsi="Garamond" w:cs="Arial"/>
          <w:sz w:val="24"/>
          <w:szCs w:val="24"/>
        </w:rPr>
        <w:t xml:space="preserve"> para </w:t>
      </w:r>
      <w:r w:rsidR="00955D60" w:rsidRPr="003A1174">
        <w:rPr>
          <w:rFonts w:ascii="Garamond" w:hAnsi="Garamond" w:cs="Arial"/>
          <w:sz w:val="24"/>
          <w:szCs w:val="24"/>
        </w:rPr>
        <w:t xml:space="preserve">a </w:t>
      </w:r>
      <w:r w:rsidR="00945E97">
        <w:rPr>
          <w:rFonts w:ascii="Garamond" w:hAnsi="Garamond" w:cs="Arial"/>
          <w:sz w:val="24"/>
          <w:szCs w:val="24"/>
        </w:rPr>
        <w:t xml:space="preserve">administração </w:t>
      </w:r>
      <w:r w:rsidR="00955D60" w:rsidRPr="003A1174">
        <w:rPr>
          <w:rFonts w:ascii="Garamond" w:hAnsi="Garamond" w:cs="Arial"/>
          <w:sz w:val="24"/>
          <w:szCs w:val="24"/>
        </w:rPr>
        <w:t xml:space="preserve">de </w:t>
      </w:r>
      <w:r w:rsidR="00B936A7" w:rsidRPr="003A1174">
        <w:rPr>
          <w:rFonts w:ascii="Garamond" w:hAnsi="Garamond" w:cs="Arial"/>
          <w:sz w:val="24"/>
          <w:szCs w:val="24"/>
        </w:rPr>
        <w:t>abrigo</w:t>
      </w:r>
      <w:r w:rsidR="00955D60" w:rsidRPr="003A1174">
        <w:rPr>
          <w:rFonts w:ascii="Garamond" w:hAnsi="Garamond" w:cs="Arial"/>
          <w:sz w:val="24"/>
          <w:szCs w:val="24"/>
        </w:rPr>
        <w:t>s</w:t>
      </w:r>
      <w:r w:rsidR="004137F5">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à</w:t>
      </w:r>
      <w:r w:rsidR="006B29BF" w:rsidRPr="003A1174">
        <w:rPr>
          <w:rFonts w:ascii="Garamond" w:hAnsi="Garamond" w:cs="Arial"/>
          <w:sz w:val="24"/>
          <w:szCs w:val="24"/>
        </w:rPr>
        <w:t>quela</w:t>
      </w:r>
      <w:r w:rsidR="00955D60" w:rsidRPr="003A1174">
        <w:rPr>
          <w:rFonts w:ascii="Garamond" w:hAnsi="Garamond" w:cs="Arial"/>
          <w:sz w:val="24"/>
          <w:szCs w:val="24"/>
        </w:rPr>
        <w:t xml:space="preserve">s </w:t>
      </w:r>
      <w:r w:rsidR="002C7510" w:rsidRPr="003A1174">
        <w:rPr>
          <w:rFonts w:ascii="Garamond" w:hAnsi="Garamond" w:cs="Arial"/>
          <w:sz w:val="24"/>
          <w:szCs w:val="24"/>
        </w:rPr>
        <w:t>instituições</w:t>
      </w:r>
      <w:r w:rsidR="00955D60" w:rsidRPr="003A1174">
        <w:rPr>
          <w:rFonts w:ascii="Garamond" w:hAnsi="Garamond" w:cs="Arial"/>
          <w:sz w:val="24"/>
          <w:szCs w:val="24"/>
        </w:rPr>
        <w:t xml:space="preserve"> que </w:t>
      </w:r>
      <w:r w:rsidRPr="003A1174">
        <w:rPr>
          <w:rFonts w:ascii="Garamond" w:hAnsi="Garamond" w:cs="Arial"/>
          <w:sz w:val="24"/>
          <w:szCs w:val="24"/>
        </w:rPr>
        <w:t>a</w:t>
      </w:r>
      <w:r w:rsidR="00955D60" w:rsidRPr="003A1174">
        <w:rPr>
          <w:rFonts w:ascii="Garamond" w:hAnsi="Garamond" w:cs="Arial"/>
          <w:sz w:val="24"/>
          <w:szCs w:val="24"/>
        </w:rPr>
        <w:t>presentar</w:t>
      </w:r>
      <w:r w:rsidRPr="003A1174">
        <w:rPr>
          <w:rFonts w:ascii="Garamond" w:hAnsi="Garamond" w:cs="Arial"/>
          <w:sz w:val="24"/>
          <w:szCs w:val="24"/>
        </w:rPr>
        <w:t xml:space="preserve">am </w:t>
      </w:r>
      <w:r w:rsidR="00C30647" w:rsidRPr="003A1174">
        <w:rPr>
          <w:rFonts w:ascii="Garamond" w:hAnsi="Garamond" w:cs="Arial"/>
          <w:sz w:val="24"/>
          <w:szCs w:val="24"/>
        </w:rPr>
        <w:t>projeto</w:t>
      </w:r>
      <w:r w:rsidR="00955D60" w:rsidRPr="003A1174">
        <w:rPr>
          <w:rFonts w:ascii="Garamond" w:hAnsi="Garamond" w:cs="Arial"/>
          <w:sz w:val="24"/>
          <w:szCs w:val="24"/>
        </w:rPr>
        <w:t xml:space="preserve">s </w:t>
      </w:r>
      <w:r w:rsidR="00B408EB" w:rsidRPr="003A1174">
        <w:rPr>
          <w:rFonts w:ascii="Garamond" w:hAnsi="Garamond" w:cs="Arial"/>
          <w:sz w:val="24"/>
          <w:szCs w:val="24"/>
        </w:rPr>
        <w:t>que</w:t>
      </w:r>
      <w:r w:rsidR="00955D60" w:rsidRPr="003A1174">
        <w:rPr>
          <w:rFonts w:ascii="Garamond" w:hAnsi="Garamond" w:cs="Arial"/>
          <w:sz w:val="24"/>
          <w:szCs w:val="24"/>
        </w:rPr>
        <w:t xml:space="preserve"> </w:t>
      </w:r>
      <w:r w:rsidRPr="003A1174">
        <w:rPr>
          <w:rFonts w:ascii="Garamond" w:hAnsi="Garamond" w:cs="Arial"/>
          <w:sz w:val="24"/>
          <w:szCs w:val="24"/>
        </w:rPr>
        <w:t>foram</w:t>
      </w:r>
      <w:r w:rsidR="00955D60" w:rsidRPr="003A1174">
        <w:rPr>
          <w:rFonts w:ascii="Garamond" w:hAnsi="Garamond" w:cs="Arial"/>
          <w:sz w:val="24"/>
          <w:szCs w:val="24"/>
        </w:rPr>
        <w:t xml:space="preserve"> </w:t>
      </w:r>
      <w:r w:rsidR="00CD707D" w:rsidRPr="003A1174">
        <w:rPr>
          <w:rFonts w:ascii="Garamond" w:hAnsi="Garamond" w:cs="Arial"/>
          <w:sz w:val="24"/>
          <w:szCs w:val="24"/>
        </w:rPr>
        <w:t>aprovad</w:t>
      </w:r>
      <w:r w:rsidR="00955D60" w:rsidRPr="003A1174">
        <w:rPr>
          <w:rFonts w:ascii="Garamond" w:hAnsi="Garamond" w:cs="Arial"/>
          <w:sz w:val="24"/>
          <w:szCs w:val="24"/>
        </w:rPr>
        <w:t xml:space="preserve">os. </w:t>
      </w:r>
      <w:r w:rsidRPr="003A1174">
        <w:rPr>
          <w:rFonts w:ascii="Garamond" w:hAnsi="Garamond" w:cs="Arial"/>
          <w:sz w:val="24"/>
          <w:szCs w:val="24"/>
        </w:rPr>
        <w:t xml:space="preserve">Na </w:t>
      </w:r>
      <w:r w:rsidR="00B408EB" w:rsidRPr="003A1174">
        <w:rPr>
          <w:rFonts w:ascii="Garamond" w:hAnsi="Garamond" w:cs="Arial"/>
          <w:sz w:val="24"/>
          <w:szCs w:val="24"/>
        </w:rPr>
        <w:t>su</w:t>
      </w:r>
      <w:r w:rsidRPr="003A1174">
        <w:rPr>
          <w:rFonts w:ascii="Garamond" w:hAnsi="Garamond" w:cs="Arial"/>
          <w:sz w:val="24"/>
          <w:szCs w:val="24"/>
        </w:rPr>
        <w:t>a</w:t>
      </w:r>
      <w:r w:rsidR="00B408EB" w:rsidRPr="003A1174">
        <w:rPr>
          <w:rFonts w:ascii="Garamond" w:hAnsi="Garamond" w:cs="Arial"/>
          <w:sz w:val="24"/>
          <w:szCs w:val="24"/>
        </w:rPr>
        <w:t xml:space="preserve"> </w:t>
      </w:r>
      <w:r w:rsidR="00233514" w:rsidRPr="003A1174">
        <w:rPr>
          <w:rFonts w:ascii="Garamond" w:hAnsi="Garamond" w:cs="Arial"/>
          <w:sz w:val="24"/>
          <w:szCs w:val="24"/>
        </w:rPr>
        <w:t>maioria</w:t>
      </w:r>
      <w:r w:rsidRPr="003A1174">
        <w:rPr>
          <w:rFonts w:ascii="Garamond" w:hAnsi="Garamond" w:cs="Arial"/>
          <w:sz w:val="24"/>
          <w:szCs w:val="24"/>
        </w:rPr>
        <w:t xml:space="preserve">, </w:t>
      </w:r>
      <w:r w:rsidR="00955D60" w:rsidRPr="003A1174">
        <w:rPr>
          <w:rFonts w:ascii="Garamond" w:hAnsi="Garamond" w:cs="Arial"/>
          <w:sz w:val="24"/>
          <w:szCs w:val="24"/>
        </w:rPr>
        <w:t xml:space="preserve">os </w:t>
      </w:r>
      <w:r w:rsidR="00B936A7" w:rsidRPr="003A1174">
        <w:rPr>
          <w:rFonts w:ascii="Garamond" w:hAnsi="Garamond" w:cs="Arial"/>
          <w:sz w:val="24"/>
          <w:szCs w:val="24"/>
        </w:rPr>
        <w:t>abrigo</w:t>
      </w:r>
      <w:r w:rsidR="00955D60" w:rsidRPr="003A1174">
        <w:rPr>
          <w:rFonts w:ascii="Garamond" w:hAnsi="Garamond" w:cs="Arial"/>
          <w:sz w:val="24"/>
          <w:szCs w:val="24"/>
        </w:rPr>
        <w:t xml:space="preserve">s </w:t>
      </w:r>
      <w:r w:rsidR="00D75A07" w:rsidRPr="003A1174">
        <w:rPr>
          <w:rFonts w:ascii="Garamond" w:hAnsi="Garamond" w:cs="Arial"/>
          <w:sz w:val="24"/>
          <w:szCs w:val="24"/>
        </w:rPr>
        <w:t>são</w:t>
      </w:r>
      <w:r w:rsidR="00955D60" w:rsidRPr="003A1174">
        <w:rPr>
          <w:rFonts w:ascii="Garamond" w:hAnsi="Garamond" w:cs="Arial"/>
          <w:sz w:val="24"/>
          <w:szCs w:val="24"/>
        </w:rPr>
        <w:t xml:space="preserve"> </w:t>
      </w:r>
      <w:r w:rsidR="00945E97">
        <w:rPr>
          <w:rFonts w:ascii="Garamond" w:hAnsi="Garamond" w:cs="Arial"/>
          <w:sz w:val="24"/>
          <w:szCs w:val="24"/>
        </w:rPr>
        <w:t xml:space="preserve">administrados </w:t>
      </w:r>
      <w:r w:rsidR="00955D60" w:rsidRPr="003A1174">
        <w:rPr>
          <w:rFonts w:ascii="Garamond" w:hAnsi="Garamond" w:cs="Arial"/>
          <w:sz w:val="24"/>
          <w:szCs w:val="24"/>
        </w:rPr>
        <w:t xml:space="preserve">por </w:t>
      </w:r>
      <w:r w:rsidR="002470B1" w:rsidRPr="003A1174">
        <w:rPr>
          <w:rFonts w:ascii="Garamond" w:hAnsi="Garamond" w:cs="Arial"/>
          <w:sz w:val="24"/>
          <w:szCs w:val="24"/>
        </w:rPr>
        <w:t>organizações</w:t>
      </w:r>
      <w:r w:rsidR="00B408EB" w:rsidRPr="003A1174">
        <w:rPr>
          <w:rFonts w:ascii="Garamond" w:hAnsi="Garamond" w:cs="Arial"/>
          <w:sz w:val="24"/>
          <w:szCs w:val="24"/>
        </w:rPr>
        <w:t xml:space="preserve"> da </w:t>
      </w:r>
      <w:r w:rsidR="002C7510" w:rsidRPr="003A1174">
        <w:rPr>
          <w:rFonts w:ascii="Garamond" w:hAnsi="Garamond" w:cs="Arial"/>
          <w:sz w:val="24"/>
          <w:szCs w:val="24"/>
        </w:rPr>
        <w:t>sociedade</w:t>
      </w:r>
      <w:r w:rsidR="00B408EB" w:rsidRPr="003A1174">
        <w:rPr>
          <w:rFonts w:ascii="Garamond" w:hAnsi="Garamond" w:cs="Arial"/>
          <w:sz w:val="24"/>
          <w:szCs w:val="24"/>
        </w:rPr>
        <w:t xml:space="preserve"> civil</w:t>
      </w:r>
      <w:r w:rsidR="00945E97">
        <w:rPr>
          <w:rFonts w:ascii="Garamond" w:hAnsi="Garamond" w:cs="Arial"/>
          <w:sz w:val="24"/>
          <w:szCs w:val="24"/>
        </w:rPr>
        <w:t>,</w:t>
      </w:r>
      <w:r w:rsidR="00B408EB" w:rsidRPr="003A1174">
        <w:rPr>
          <w:rFonts w:ascii="Garamond" w:hAnsi="Garamond" w:cs="Arial"/>
          <w:sz w:val="24"/>
          <w:szCs w:val="24"/>
        </w:rPr>
        <w:t xml:space="preserve"> </w:t>
      </w:r>
      <w:r w:rsidR="000672E8" w:rsidRPr="003A1174">
        <w:rPr>
          <w:rFonts w:ascii="Garamond" w:hAnsi="Garamond" w:cs="Arial"/>
          <w:sz w:val="24"/>
          <w:szCs w:val="24"/>
        </w:rPr>
        <w:t>e</w:t>
      </w:r>
      <w:r w:rsidR="00B408EB" w:rsidRPr="003A1174">
        <w:rPr>
          <w:rFonts w:ascii="Garamond" w:hAnsi="Garamond" w:cs="Arial"/>
          <w:sz w:val="24"/>
          <w:szCs w:val="24"/>
        </w:rPr>
        <w:t xml:space="preserve"> </w:t>
      </w:r>
      <w:r w:rsidR="006F4B2C" w:rsidRPr="003A1174">
        <w:rPr>
          <w:rFonts w:ascii="Garamond" w:hAnsi="Garamond" w:cs="Arial"/>
          <w:sz w:val="24"/>
          <w:szCs w:val="24"/>
        </w:rPr>
        <w:t>alguns</w:t>
      </w:r>
      <w:r w:rsidR="00945E97">
        <w:rPr>
          <w:rFonts w:ascii="Garamond" w:hAnsi="Garamond" w:cs="Arial"/>
          <w:sz w:val="24"/>
          <w:szCs w:val="24"/>
        </w:rPr>
        <w:t>,</w:t>
      </w:r>
      <w:r w:rsidR="00B408EB" w:rsidRPr="003A1174">
        <w:rPr>
          <w:rFonts w:ascii="Garamond" w:hAnsi="Garamond" w:cs="Arial"/>
          <w:sz w:val="24"/>
          <w:szCs w:val="24"/>
        </w:rPr>
        <w:t xml:space="preserve"> por </w:t>
      </w:r>
      <w:r w:rsidR="002C7510" w:rsidRPr="003A1174">
        <w:rPr>
          <w:rFonts w:ascii="Garamond" w:hAnsi="Garamond" w:cs="Arial"/>
          <w:sz w:val="24"/>
          <w:szCs w:val="24"/>
        </w:rPr>
        <w:t>instituições</w:t>
      </w:r>
      <w:r w:rsidR="00B408EB" w:rsidRPr="003A1174">
        <w:rPr>
          <w:rFonts w:ascii="Garamond" w:hAnsi="Garamond" w:cs="Arial"/>
          <w:sz w:val="24"/>
          <w:szCs w:val="24"/>
        </w:rPr>
        <w:t xml:space="preserve"> públicas de </w:t>
      </w:r>
      <w:r w:rsidR="0017447A" w:rsidRPr="003A1174">
        <w:rPr>
          <w:rFonts w:ascii="Garamond" w:hAnsi="Garamond" w:cs="Arial"/>
          <w:sz w:val="24"/>
          <w:szCs w:val="24"/>
        </w:rPr>
        <w:t>nível</w:t>
      </w:r>
      <w:r w:rsidR="00B408EB" w:rsidRPr="003A1174">
        <w:rPr>
          <w:rFonts w:ascii="Garamond" w:hAnsi="Garamond" w:cs="Arial"/>
          <w:sz w:val="24"/>
          <w:szCs w:val="24"/>
        </w:rPr>
        <w:t xml:space="preserve"> estatal </w:t>
      </w:r>
      <w:r w:rsidR="000672E8" w:rsidRPr="003A1174">
        <w:rPr>
          <w:rFonts w:ascii="Garamond" w:hAnsi="Garamond" w:cs="Arial"/>
          <w:sz w:val="24"/>
          <w:szCs w:val="24"/>
        </w:rPr>
        <w:t>e</w:t>
      </w:r>
      <w:r w:rsidR="00955D60" w:rsidRPr="003A1174">
        <w:rPr>
          <w:rFonts w:ascii="Garamond" w:hAnsi="Garamond" w:cs="Arial"/>
          <w:sz w:val="24"/>
          <w:szCs w:val="24"/>
        </w:rPr>
        <w:t xml:space="preserve"> municipal. </w:t>
      </w:r>
    </w:p>
    <w:p w:rsidR="00955D60" w:rsidRPr="003A1174" w:rsidRDefault="00946348" w:rsidP="00946348">
      <w:pPr>
        <w:pStyle w:val="Prrafodelista"/>
        <w:tabs>
          <w:tab w:val="clear" w:pos="708"/>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O orçamento de </w:t>
      </w:r>
      <w:r w:rsidR="00955D60" w:rsidRPr="003A1174">
        <w:rPr>
          <w:rFonts w:ascii="Garamond" w:hAnsi="Garamond" w:cs="Arial"/>
          <w:color w:val="auto"/>
          <w:sz w:val="24"/>
          <w:szCs w:val="24"/>
          <w:lang w:val="pt-PT"/>
        </w:rPr>
        <w:t xml:space="preserve">2013 </w:t>
      </w:r>
      <w:r w:rsidRPr="003A1174">
        <w:rPr>
          <w:rFonts w:ascii="Garamond" w:hAnsi="Garamond" w:cs="Arial"/>
          <w:color w:val="auto"/>
          <w:sz w:val="24"/>
          <w:szCs w:val="24"/>
          <w:lang w:val="pt-PT"/>
        </w:rPr>
        <w:t xml:space="preserve">para o </w:t>
      </w:r>
      <w:r w:rsidR="00955D60" w:rsidRPr="003A1174">
        <w:rPr>
          <w:rFonts w:ascii="Garamond" w:hAnsi="Garamond" w:cs="Arial"/>
          <w:color w:val="auto"/>
          <w:sz w:val="24"/>
          <w:szCs w:val="24"/>
          <w:lang w:val="pt-PT"/>
        </w:rPr>
        <w:t xml:space="preserve">Centro Nacional de </w:t>
      </w:r>
      <w:r w:rsidR="00C01806" w:rsidRPr="003A1174">
        <w:rPr>
          <w:rFonts w:ascii="Garamond" w:hAnsi="Garamond" w:cs="Arial"/>
          <w:color w:val="auto"/>
          <w:sz w:val="24"/>
          <w:szCs w:val="24"/>
          <w:lang w:val="pt-PT"/>
        </w:rPr>
        <w:t>Equidade</w:t>
      </w:r>
      <w:r w:rsidR="00955D60" w:rsidRPr="003A1174">
        <w:rPr>
          <w:rFonts w:ascii="Garamond" w:hAnsi="Garamond" w:cs="Arial"/>
          <w:color w:val="auto"/>
          <w:sz w:val="24"/>
          <w:szCs w:val="24"/>
          <w:lang w:val="pt-PT"/>
        </w:rPr>
        <w:t xml:space="preserve"> de Género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7C63D0" w:rsidRPr="003A1174">
        <w:rPr>
          <w:rFonts w:ascii="Garamond" w:hAnsi="Garamond" w:cs="Arial"/>
          <w:color w:val="auto"/>
          <w:sz w:val="24"/>
          <w:szCs w:val="24"/>
          <w:lang w:val="pt-PT"/>
        </w:rPr>
        <w:t>Saúde</w:t>
      </w:r>
      <w:r w:rsidR="00955D60"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Reprodutiva</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publicado no </w:t>
      </w:r>
      <w:r w:rsidR="00955D60" w:rsidRPr="003A1174">
        <w:rPr>
          <w:rFonts w:ascii="Garamond" w:hAnsi="Garamond" w:cs="Arial"/>
          <w:color w:val="auto"/>
          <w:sz w:val="24"/>
          <w:szCs w:val="24"/>
          <w:lang w:val="pt-PT"/>
        </w:rPr>
        <w:t>anexo 12 d</w:t>
      </w:r>
      <w:r w:rsidRPr="003A1174">
        <w:rPr>
          <w:rFonts w:ascii="Garamond" w:hAnsi="Garamond" w:cs="Arial"/>
          <w:color w:val="auto"/>
          <w:sz w:val="24"/>
          <w:szCs w:val="24"/>
          <w:lang w:val="pt-PT"/>
        </w:rPr>
        <w:t>o relatório d</w:t>
      </w:r>
      <w:r w:rsidR="00955D60" w:rsidRPr="003A1174">
        <w:rPr>
          <w:rFonts w:ascii="Garamond" w:hAnsi="Garamond" w:cs="Arial"/>
          <w:color w:val="auto"/>
          <w:sz w:val="24"/>
          <w:szCs w:val="24"/>
          <w:lang w:val="pt-PT"/>
        </w:rPr>
        <w:t xml:space="preserve">a </w:t>
      </w:r>
      <w:r w:rsidR="00D75A07" w:rsidRPr="003A1174">
        <w:rPr>
          <w:rFonts w:ascii="Garamond" w:hAnsi="Garamond" w:cs="Arial"/>
          <w:color w:val="auto"/>
          <w:sz w:val="24"/>
          <w:szCs w:val="24"/>
          <w:lang w:val="pt-PT"/>
        </w:rPr>
        <w:t>Secretaria</w:t>
      </w:r>
      <w:r w:rsidR="00955D60" w:rsidRPr="003A1174">
        <w:rPr>
          <w:rFonts w:ascii="Garamond" w:hAnsi="Garamond" w:cs="Arial"/>
          <w:color w:val="auto"/>
          <w:sz w:val="24"/>
          <w:szCs w:val="24"/>
          <w:lang w:val="pt-PT"/>
        </w:rPr>
        <w:t xml:space="preserve"> de </w:t>
      </w:r>
      <w:r w:rsidR="007C63D0" w:rsidRPr="003A1174">
        <w:rPr>
          <w:rFonts w:ascii="Garamond" w:hAnsi="Garamond" w:cs="Arial"/>
          <w:color w:val="auto"/>
          <w:sz w:val="24"/>
          <w:szCs w:val="24"/>
          <w:lang w:val="pt-PT"/>
        </w:rPr>
        <w:t>Saúde</w:t>
      </w:r>
      <w:r w:rsidR="00955D60"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foi</w:t>
      </w:r>
      <w:r w:rsidR="00955D60" w:rsidRPr="003A1174">
        <w:rPr>
          <w:rFonts w:ascii="Garamond" w:hAnsi="Garamond" w:cs="Arial"/>
          <w:color w:val="auto"/>
          <w:sz w:val="24"/>
          <w:szCs w:val="24"/>
          <w:lang w:val="pt-PT"/>
        </w:rPr>
        <w:t xml:space="preserve"> de $</w:t>
      </w:r>
      <w:r w:rsidR="00945E97">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1681, 764, 487.00.</w:t>
      </w:r>
    </w:p>
    <w:p w:rsidR="00955D60" w:rsidRPr="003A1174" w:rsidRDefault="00946348" w:rsidP="00946348">
      <w:pPr>
        <w:pStyle w:val="Prrafodelista"/>
        <w:tabs>
          <w:tab w:val="clear" w:pos="708"/>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after="0" w:line="240" w:lineRule="auto"/>
        <w:ind w:left="0"/>
        <w:jc w:val="both"/>
        <w:rPr>
          <w:rFonts w:ascii="Garamond" w:hAnsi="Garamond" w:cs="Arial"/>
          <w:color w:val="auto"/>
          <w:sz w:val="24"/>
          <w:szCs w:val="24"/>
          <w:lang w:val="pt-PT"/>
        </w:rPr>
      </w:pPr>
      <w:r w:rsidRPr="003A1174">
        <w:rPr>
          <w:rFonts w:ascii="Garamond" w:hAnsi="Garamond" w:cs="Arial"/>
          <w:color w:val="auto"/>
          <w:sz w:val="24"/>
          <w:szCs w:val="24"/>
          <w:lang w:val="pt-PT"/>
        </w:rPr>
        <w:t>O orçamento</w:t>
      </w:r>
      <w:r w:rsidR="00955D60" w:rsidRPr="003A1174">
        <w:rPr>
          <w:rFonts w:ascii="Garamond" w:hAnsi="Garamond" w:cs="Arial"/>
          <w:color w:val="auto"/>
          <w:sz w:val="24"/>
          <w:szCs w:val="24"/>
          <w:lang w:val="pt-PT"/>
        </w:rPr>
        <w:t xml:space="preserve"> </w:t>
      </w:r>
      <w:r w:rsidR="00B408EB" w:rsidRPr="003A1174">
        <w:rPr>
          <w:rFonts w:ascii="Garamond" w:hAnsi="Garamond" w:cs="Arial"/>
          <w:color w:val="auto"/>
          <w:sz w:val="24"/>
          <w:szCs w:val="24"/>
          <w:lang w:val="pt-PT"/>
        </w:rPr>
        <w:t xml:space="preserve">de </w:t>
      </w:r>
      <w:r w:rsidR="00955D60" w:rsidRPr="003A1174">
        <w:rPr>
          <w:rFonts w:ascii="Garamond" w:hAnsi="Garamond" w:cs="Arial"/>
          <w:color w:val="auto"/>
          <w:sz w:val="24"/>
          <w:szCs w:val="24"/>
          <w:lang w:val="pt-PT"/>
        </w:rPr>
        <w:t xml:space="preserve">2014 para </w:t>
      </w:r>
      <w:r w:rsidRPr="003A1174">
        <w:rPr>
          <w:rFonts w:ascii="Garamond" w:hAnsi="Garamond" w:cs="Arial"/>
          <w:color w:val="auto"/>
          <w:sz w:val="24"/>
          <w:szCs w:val="24"/>
          <w:lang w:val="pt-PT"/>
        </w:rPr>
        <w:t xml:space="preserve">o </w:t>
      </w:r>
      <w:r w:rsidR="00955D60" w:rsidRPr="003A1174">
        <w:rPr>
          <w:rFonts w:ascii="Garamond" w:hAnsi="Garamond" w:cs="Arial"/>
          <w:color w:val="auto"/>
          <w:sz w:val="24"/>
          <w:szCs w:val="24"/>
          <w:lang w:val="pt-PT"/>
        </w:rPr>
        <w:t xml:space="preserve">Centro Nacional de </w:t>
      </w:r>
      <w:r w:rsidR="00C01806" w:rsidRPr="003A1174">
        <w:rPr>
          <w:rFonts w:ascii="Garamond" w:hAnsi="Garamond" w:cs="Arial"/>
          <w:color w:val="auto"/>
          <w:sz w:val="24"/>
          <w:szCs w:val="24"/>
          <w:lang w:val="pt-PT"/>
        </w:rPr>
        <w:t>Equidade</w:t>
      </w:r>
      <w:r w:rsidR="00955D60" w:rsidRPr="003A1174">
        <w:rPr>
          <w:rFonts w:ascii="Garamond" w:hAnsi="Garamond" w:cs="Arial"/>
          <w:color w:val="auto"/>
          <w:sz w:val="24"/>
          <w:szCs w:val="24"/>
          <w:lang w:val="pt-PT"/>
        </w:rPr>
        <w:t xml:space="preserve"> de Género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7C63D0" w:rsidRPr="003A1174">
        <w:rPr>
          <w:rFonts w:ascii="Garamond" w:hAnsi="Garamond" w:cs="Arial"/>
          <w:color w:val="auto"/>
          <w:sz w:val="24"/>
          <w:szCs w:val="24"/>
          <w:lang w:val="pt-PT"/>
        </w:rPr>
        <w:t>Saúde</w:t>
      </w:r>
      <w:r w:rsidR="00955D60"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reprodutiva</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publicado no </w:t>
      </w:r>
      <w:r w:rsidR="00955D60" w:rsidRPr="003A1174">
        <w:rPr>
          <w:rFonts w:ascii="Garamond" w:hAnsi="Garamond" w:cs="Arial"/>
          <w:color w:val="auto"/>
          <w:sz w:val="24"/>
          <w:szCs w:val="24"/>
          <w:lang w:val="pt-PT"/>
        </w:rPr>
        <w:t>anexo 12, d</w:t>
      </w:r>
      <w:r w:rsidRPr="003A1174">
        <w:rPr>
          <w:rFonts w:ascii="Garamond" w:hAnsi="Garamond" w:cs="Arial"/>
          <w:color w:val="auto"/>
          <w:sz w:val="24"/>
          <w:szCs w:val="24"/>
          <w:lang w:val="pt-PT"/>
        </w:rPr>
        <w:t xml:space="preserve">o relatório da </w:t>
      </w:r>
      <w:r w:rsidR="00D75A07" w:rsidRPr="003A1174">
        <w:rPr>
          <w:rFonts w:ascii="Garamond" w:hAnsi="Garamond" w:cs="Arial"/>
          <w:color w:val="auto"/>
          <w:sz w:val="24"/>
          <w:szCs w:val="24"/>
          <w:lang w:val="pt-PT"/>
        </w:rPr>
        <w:t>Secretaria</w:t>
      </w:r>
      <w:r w:rsidR="00955D60" w:rsidRPr="003A1174">
        <w:rPr>
          <w:rFonts w:ascii="Garamond" w:hAnsi="Garamond" w:cs="Arial"/>
          <w:color w:val="auto"/>
          <w:sz w:val="24"/>
          <w:szCs w:val="24"/>
          <w:lang w:val="pt-PT"/>
        </w:rPr>
        <w:t xml:space="preserve"> de </w:t>
      </w:r>
      <w:r w:rsidR="007C63D0" w:rsidRPr="003A1174">
        <w:rPr>
          <w:rFonts w:ascii="Garamond" w:hAnsi="Garamond" w:cs="Arial"/>
          <w:color w:val="auto"/>
          <w:sz w:val="24"/>
          <w:szCs w:val="24"/>
          <w:lang w:val="pt-PT"/>
        </w:rPr>
        <w:t>Saúde</w:t>
      </w:r>
      <w:r w:rsidR="00955D60" w:rsidRPr="003A1174">
        <w:rPr>
          <w:rFonts w:ascii="Garamond" w:hAnsi="Garamond" w:cs="Arial"/>
          <w:color w:val="auto"/>
          <w:sz w:val="24"/>
          <w:szCs w:val="24"/>
          <w:lang w:val="pt-PT"/>
        </w:rPr>
        <w:t xml:space="preserve">, </w:t>
      </w:r>
      <w:r w:rsidR="00B408EB" w:rsidRPr="003A1174">
        <w:rPr>
          <w:rFonts w:ascii="Garamond" w:hAnsi="Garamond" w:cs="Arial"/>
          <w:color w:val="auto"/>
          <w:sz w:val="24"/>
          <w:szCs w:val="24"/>
          <w:lang w:val="pt-PT"/>
        </w:rPr>
        <w:t>ascend</w:t>
      </w:r>
      <w:r w:rsidRPr="003A1174">
        <w:rPr>
          <w:rFonts w:ascii="Garamond" w:hAnsi="Garamond" w:cs="Arial"/>
          <w:color w:val="auto"/>
          <w:sz w:val="24"/>
          <w:szCs w:val="24"/>
          <w:lang w:val="pt-PT"/>
        </w:rPr>
        <w:t xml:space="preserve">eu </w:t>
      </w:r>
      <w:r w:rsidR="00B408EB" w:rsidRPr="003A1174">
        <w:rPr>
          <w:rFonts w:ascii="Garamond" w:hAnsi="Garamond" w:cs="Arial"/>
          <w:color w:val="auto"/>
          <w:sz w:val="24"/>
          <w:szCs w:val="24"/>
          <w:lang w:val="pt-PT"/>
        </w:rPr>
        <w:t xml:space="preserve">a </w:t>
      </w:r>
      <w:r w:rsidR="00955D60" w:rsidRPr="003A1174">
        <w:rPr>
          <w:rFonts w:ascii="Garamond" w:hAnsi="Garamond" w:cs="Arial"/>
          <w:color w:val="auto"/>
          <w:sz w:val="24"/>
          <w:szCs w:val="24"/>
          <w:lang w:val="pt-PT"/>
        </w:rPr>
        <w:t>$1, 908, 974, 284.00</w:t>
      </w:r>
      <w:r w:rsidRPr="003A1174">
        <w:rPr>
          <w:rFonts w:ascii="Garamond" w:hAnsi="Garamond" w:cs="Arial"/>
          <w:color w:val="auto"/>
          <w:sz w:val="24"/>
          <w:szCs w:val="24"/>
          <w:lang w:val="pt-PT"/>
        </w:rPr>
        <w:t xml:space="preserve">; </w:t>
      </w:r>
      <w:r w:rsidR="00B408EB" w:rsidRPr="003A1174">
        <w:rPr>
          <w:rFonts w:ascii="Garamond" w:hAnsi="Garamond" w:cs="Arial"/>
          <w:color w:val="auto"/>
          <w:sz w:val="24"/>
          <w:szCs w:val="24"/>
          <w:lang w:val="pt-PT"/>
        </w:rPr>
        <w:t>o que significa que</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aumentou </w:t>
      </w:r>
      <w:r w:rsidR="00955D60" w:rsidRPr="003A1174">
        <w:rPr>
          <w:rFonts w:ascii="Garamond" w:hAnsi="Garamond" w:cs="Arial"/>
          <w:color w:val="auto"/>
          <w:sz w:val="24"/>
          <w:szCs w:val="24"/>
          <w:lang w:val="pt-PT"/>
        </w:rPr>
        <w:t>$ 227, 209, 798.00.</w:t>
      </w:r>
    </w:p>
    <w:p w:rsidR="00955D60" w:rsidRPr="003A1174" w:rsidRDefault="00955D60" w:rsidP="008719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line="240" w:lineRule="auto"/>
        <w:jc w:val="both"/>
        <w:rPr>
          <w:rFonts w:ascii="Garamond" w:hAnsi="Garamond" w:cs="Arial"/>
          <w:sz w:val="24"/>
          <w:szCs w:val="24"/>
        </w:rPr>
      </w:pPr>
      <w:r w:rsidRPr="003A1174">
        <w:rPr>
          <w:rFonts w:ascii="Garamond" w:hAnsi="Garamond" w:cs="Arial"/>
          <w:sz w:val="24"/>
          <w:szCs w:val="24"/>
        </w:rPr>
        <w:t xml:space="preserve">De </w:t>
      </w:r>
      <w:r w:rsidR="003F012B" w:rsidRPr="003A1174">
        <w:rPr>
          <w:rFonts w:ascii="Garamond" w:hAnsi="Garamond" w:cs="Arial"/>
          <w:sz w:val="24"/>
          <w:szCs w:val="24"/>
        </w:rPr>
        <w:t>acordo</w:t>
      </w:r>
      <w:r w:rsidRPr="003A1174">
        <w:rPr>
          <w:rFonts w:ascii="Garamond" w:hAnsi="Garamond" w:cs="Arial"/>
          <w:sz w:val="24"/>
          <w:szCs w:val="24"/>
        </w:rPr>
        <w:t xml:space="preserve"> </w:t>
      </w:r>
      <w:r w:rsidR="00946348" w:rsidRPr="003A1174">
        <w:rPr>
          <w:rFonts w:ascii="Garamond" w:hAnsi="Garamond" w:cs="Arial"/>
          <w:sz w:val="24"/>
          <w:szCs w:val="24"/>
        </w:rPr>
        <w:t xml:space="preserve">com dados </w:t>
      </w:r>
      <w:r w:rsidR="00B408EB" w:rsidRPr="003A1174">
        <w:rPr>
          <w:rFonts w:ascii="Garamond" w:hAnsi="Garamond" w:cs="Arial"/>
          <w:sz w:val="24"/>
          <w:szCs w:val="24"/>
        </w:rPr>
        <w:t>relativos a</w:t>
      </w:r>
      <w:r w:rsidRPr="003A1174">
        <w:rPr>
          <w:rFonts w:ascii="Garamond" w:hAnsi="Garamond" w:cs="Arial"/>
          <w:sz w:val="24"/>
          <w:szCs w:val="24"/>
        </w:rPr>
        <w:t xml:space="preserve"> 2013, </w:t>
      </w:r>
      <w:r w:rsidR="00B408EB" w:rsidRPr="003A1174">
        <w:rPr>
          <w:rFonts w:ascii="Garamond" w:hAnsi="Garamond" w:cs="Arial"/>
          <w:sz w:val="24"/>
          <w:szCs w:val="24"/>
        </w:rPr>
        <w:t>seg</w:t>
      </w:r>
      <w:r w:rsidR="00946348" w:rsidRPr="003A1174">
        <w:rPr>
          <w:rFonts w:ascii="Garamond" w:hAnsi="Garamond" w:cs="Arial"/>
          <w:sz w:val="24"/>
          <w:szCs w:val="24"/>
        </w:rPr>
        <w:t xml:space="preserve">undo afirma </w:t>
      </w:r>
      <w:r w:rsidRPr="003A1174">
        <w:rPr>
          <w:rFonts w:ascii="Garamond" w:hAnsi="Garamond" w:cs="Arial"/>
          <w:sz w:val="24"/>
          <w:szCs w:val="24"/>
        </w:rPr>
        <w:t xml:space="preserve">a </w:t>
      </w:r>
      <w:r w:rsidR="00FC1F7F" w:rsidRPr="003A1174">
        <w:rPr>
          <w:rFonts w:ascii="Garamond" w:hAnsi="Garamond" w:cs="Arial"/>
          <w:sz w:val="24"/>
          <w:szCs w:val="24"/>
        </w:rPr>
        <w:t>Comissão</w:t>
      </w:r>
      <w:r w:rsidRPr="003A1174">
        <w:rPr>
          <w:rFonts w:ascii="Garamond" w:hAnsi="Garamond" w:cs="Arial"/>
          <w:sz w:val="24"/>
          <w:szCs w:val="24"/>
        </w:rPr>
        <w:t xml:space="preserve"> Nacional de </w:t>
      </w:r>
      <w:r w:rsidR="00886D6A" w:rsidRPr="003A1174">
        <w:rPr>
          <w:rFonts w:ascii="Garamond" w:hAnsi="Garamond" w:cs="Arial"/>
          <w:sz w:val="24"/>
          <w:szCs w:val="24"/>
        </w:rPr>
        <w:t>Direito</w:t>
      </w:r>
      <w:r w:rsidRPr="003A1174">
        <w:rPr>
          <w:rFonts w:ascii="Garamond" w:hAnsi="Garamond" w:cs="Arial"/>
          <w:sz w:val="24"/>
          <w:szCs w:val="24"/>
        </w:rPr>
        <w:t>s Humanos d</w:t>
      </w:r>
      <w:r w:rsidR="00946348" w:rsidRPr="003A1174">
        <w:rPr>
          <w:rFonts w:ascii="Garamond" w:hAnsi="Garamond" w:cs="Arial"/>
          <w:sz w:val="24"/>
          <w:szCs w:val="24"/>
        </w:rPr>
        <w:t>o</w:t>
      </w:r>
      <w:r w:rsidRPr="003A1174">
        <w:rPr>
          <w:rFonts w:ascii="Garamond" w:hAnsi="Garamond" w:cs="Arial"/>
          <w:sz w:val="24"/>
          <w:szCs w:val="24"/>
        </w:rPr>
        <w:t xml:space="preserve"> México, </w:t>
      </w:r>
      <w:r w:rsidR="00B5431B" w:rsidRPr="003A1174">
        <w:rPr>
          <w:rFonts w:ascii="Garamond" w:hAnsi="Garamond" w:cs="Arial"/>
          <w:sz w:val="24"/>
          <w:szCs w:val="24"/>
        </w:rPr>
        <w:t>existem</w:t>
      </w:r>
      <w:r w:rsidR="00946348" w:rsidRPr="003A1174">
        <w:rPr>
          <w:rFonts w:ascii="Garamond" w:hAnsi="Garamond" w:cs="Arial"/>
          <w:sz w:val="24"/>
          <w:szCs w:val="24"/>
        </w:rPr>
        <w:t xml:space="preserve"> q</w:t>
      </w:r>
      <w:r w:rsidRPr="003A1174">
        <w:rPr>
          <w:rFonts w:ascii="Garamond" w:hAnsi="Garamond" w:cs="Arial"/>
          <w:sz w:val="24"/>
          <w:szCs w:val="24"/>
        </w:rPr>
        <w:t xml:space="preserve">uarenta </w:t>
      </w:r>
      <w:r w:rsidR="000672E8" w:rsidRPr="003A1174">
        <w:rPr>
          <w:rFonts w:ascii="Garamond" w:hAnsi="Garamond" w:cs="Arial"/>
          <w:sz w:val="24"/>
          <w:szCs w:val="24"/>
        </w:rPr>
        <w:t>e</w:t>
      </w:r>
      <w:r w:rsidRPr="003A1174">
        <w:rPr>
          <w:rFonts w:ascii="Garamond" w:hAnsi="Garamond" w:cs="Arial"/>
          <w:sz w:val="24"/>
          <w:szCs w:val="24"/>
        </w:rPr>
        <w:t xml:space="preserve"> do</w:t>
      </w:r>
      <w:r w:rsidR="00946348" w:rsidRPr="003A1174">
        <w:rPr>
          <w:rFonts w:ascii="Garamond" w:hAnsi="Garamond" w:cs="Arial"/>
          <w:sz w:val="24"/>
          <w:szCs w:val="24"/>
        </w:rPr>
        <w:t>i</w:t>
      </w:r>
      <w:r w:rsidRPr="003A1174">
        <w:rPr>
          <w:rFonts w:ascii="Garamond" w:hAnsi="Garamond" w:cs="Arial"/>
          <w:sz w:val="24"/>
          <w:szCs w:val="24"/>
        </w:rPr>
        <w:t xml:space="preserve">s (42) </w:t>
      </w:r>
      <w:r w:rsidR="00B936A7" w:rsidRPr="003A1174">
        <w:rPr>
          <w:rFonts w:ascii="Garamond" w:hAnsi="Garamond" w:cs="Arial"/>
          <w:sz w:val="24"/>
          <w:szCs w:val="24"/>
        </w:rPr>
        <w:t>abrigo</w:t>
      </w:r>
      <w:r w:rsidRPr="003A1174">
        <w:rPr>
          <w:rFonts w:ascii="Garamond" w:hAnsi="Garamond" w:cs="Arial"/>
          <w:sz w:val="24"/>
          <w:szCs w:val="24"/>
        </w:rPr>
        <w:t xml:space="preserve">s </w:t>
      </w:r>
      <w:r w:rsidR="000672E8" w:rsidRPr="003A1174">
        <w:rPr>
          <w:rFonts w:ascii="Garamond" w:hAnsi="Garamond" w:cs="Arial"/>
          <w:sz w:val="24"/>
          <w:szCs w:val="24"/>
        </w:rPr>
        <w:t>e</w:t>
      </w:r>
      <w:r w:rsidRPr="003A1174">
        <w:rPr>
          <w:rFonts w:ascii="Garamond" w:hAnsi="Garamond" w:cs="Arial"/>
          <w:sz w:val="24"/>
          <w:szCs w:val="24"/>
        </w:rPr>
        <w:t xml:space="preserve"> trinta (30) Centros de </w:t>
      </w:r>
      <w:r w:rsidR="008278C4" w:rsidRPr="003A1174">
        <w:rPr>
          <w:rFonts w:ascii="Garamond" w:hAnsi="Garamond" w:cs="Arial"/>
          <w:sz w:val="24"/>
          <w:szCs w:val="24"/>
        </w:rPr>
        <w:t>Atenção</w:t>
      </w:r>
      <w:r w:rsidRPr="003A1174">
        <w:rPr>
          <w:rFonts w:ascii="Garamond" w:hAnsi="Garamond" w:cs="Arial"/>
          <w:sz w:val="24"/>
          <w:szCs w:val="24"/>
        </w:rPr>
        <w:t xml:space="preserve"> Externa.</w:t>
      </w:r>
    </w:p>
    <w:p w:rsidR="00955D6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t>Registo</w:t>
      </w:r>
      <w:r w:rsidR="00374F16" w:rsidRPr="003A1174">
        <w:rPr>
          <w:rFonts w:ascii="Garamond" w:hAnsi="Garamond"/>
          <w:sz w:val="24"/>
          <w:szCs w:val="24"/>
        </w:rPr>
        <w:t xml:space="preserve"> de </w:t>
      </w:r>
      <w:r w:rsidR="0017447A" w:rsidRPr="003A1174">
        <w:rPr>
          <w:rFonts w:ascii="Garamond" w:hAnsi="Garamond"/>
          <w:sz w:val="24"/>
          <w:szCs w:val="24"/>
        </w:rPr>
        <w:t>informação</w:t>
      </w:r>
    </w:p>
    <w:p w:rsidR="00955D60" w:rsidRPr="003A1174" w:rsidRDefault="00955D60" w:rsidP="008719D4">
      <w:pPr>
        <w:spacing w:before="240" w:after="0" w:line="240" w:lineRule="auto"/>
        <w:jc w:val="both"/>
        <w:rPr>
          <w:rFonts w:ascii="Garamond" w:hAnsi="Garamond" w:cs="Arial"/>
          <w:sz w:val="24"/>
          <w:szCs w:val="24"/>
        </w:rPr>
      </w:pPr>
      <w:r w:rsidRPr="003A1174">
        <w:rPr>
          <w:rFonts w:ascii="Garamond" w:hAnsi="Garamond" w:cs="Arial"/>
          <w:sz w:val="24"/>
          <w:szCs w:val="24"/>
        </w:rPr>
        <w:t>A</w:t>
      </w:r>
      <w:r w:rsidR="00946348" w:rsidRPr="003A1174">
        <w:rPr>
          <w:rFonts w:ascii="Garamond" w:hAnsi="Garamond" w:cs="Arial"/>
          <w:sz w:val="24"/>
          <w:szCs w:val="24"/>
        </w:rPr>
        <w:t xml:space="preserve">inda é </w:t>
      </w:r>
      <w:r w:rsidR="00C30647" w:rsidRPr="003A1174">
        <w:rPr>
          <w:rFonts w:ascii="Garamond" w:hAnsi="Garamond" w:cs="Arial"/>
          <w:sz w:val="24"/>
          <w:szCs w:val="24"/>
        </w:rPr>
        <w:t>necessário</w:t>
      </w:r>
      <w:r w:rsidRPr="003A1174">
        <w:rPr>
          <w:rFonts w:ascii="Garamond" w:hAnsi="Garamond" w:cs="Arial"/>
          <w:sz w:val="24"/>
          <w:szCs w:val="24"/>
        </w:rPr>
        <w:t xml:space="preserve"> </w:t>
      </w:r>
      <w:r w:rsidR="00B408EB" w:rsidRPr="003A1174">
        <w:rPr>
          <w:rFonts w:ascii="Garamond" w:hAnsi="Garamond" w:cs="Arial"/>
          <w:sz w:val="24"/>
          <w:szCs w:val="24"/>
        </w:rPr>
        <w:t xml:space="preserve">que </w:t>
      </w:r>
      <w:r w:rsidR="006D388F">
        <w:rPr>
          <w:rFonts w:ascii="Garamond" w:hAnsi="Garamond" w:cs="Arial"/>
          <w:sz w:val="24"/>
          <w:szCs w:val="24"/>
        </w:rPr>
        <w:t xml:space="preserve">as </w:t>
      </w:r>
      <w:r w:rsidR="0096583F" w:rsidRPr="003A1174">
        <w:rPr>
          <w:rFonts w:ascii="Garamond" w:hAnsi="Garamond" w:cs="Arial"/>
          <w:sz w:val="24"/>
          <w:szCs w:val="24"/>
        </w:rPr>
        <w:t>Procuradoria</w:t>
      </w:r>
      <w:r w:rsidR="00B408EB" w:rsidRPr="003A1174">
        <w:rPr>
          <w:rFonts w:ascii="Garamond" w:hAnsi="Garamond" w:cs="Arial"/>
          <w:sz w:val="24"/>
          <w:szCs w:val="24"/>
        </w:rPr>
        <w:t xml:space="preserve">s </w:t>
      </w:r>
      <w:r w:rsidR="000672E8" w:rsidRPr="003A1174">
        <w:rPr>
          <w:rFonts w:ascii="Garamond" w:hAnsi="Garamond" w:cs="Arial"/>
          <w:sz w:val="24"/>
          <w:szCs w:val="24"/>
        </w:rPr>
        <w:t>e</w:t>
      </w:r>
      <w:r w:rsidR="00B408EB" w:rsidRPr="003A1174">
        <w:rPr>
          <w:rFonts w:ascii="Garamond" w:hAnsi="Garamond" w:cs="Arial"/>
          <w:sz w:val="24"/>
          <w:szCs w:val="24"/>
        </w:rPr>
        <w:t xml:space="preserve"> </w:t>
      </w:r>
      <w:r w:rsidR="006D388F">
        <w:rPr>
          <w:rFonts w:ascii="Garamond" w:hAnsi="Garamond" w:cs="Arial"/>
          <w:sz w:val="24"/>
          <w:szCs w:val="24"/>
        </w:rPr>
        <w:t xml:space="preserve">o </w:t>
      </w:r>
      <w:r w:rsidR="00946348" w:rsidRPr="003A1174">
        <w:rPr>
          <w:rFonts w:ascii="Garamond" w:hAnsi="Garamond" w:cs="Arial"/>
          <w:sz w:val="24"/>
          <w:szCs w:val="24"/>
        </w:rPr>
        <w:t xml:space="preserve">Ministério Público </w:t>
      </w:r>
      <w:r w:rsidRPr="003A1174">
        <w:rPr>
          <w:rFonts w:ascii="Garamond" w:hAnsi="Garamond" w:cs="Arial"/>
          <w:sz w:val="24"/>
          <w:szCs w:val="24"/>
        </w:rPr>
        <w:t>traba</w:t>
      </w:r>
      <w:r w:rsidR="00946348" w:rsidRPr="003A1174">
        <w:rPr>
          <w:rFonts w:ascii="Garamond" w:hAnsi="Garamond" w:cs="Arial"/>
          <w:sz w:val="24"/>
          <w:szCs w:val="24"/>
        </w:rPr>
        <w:t>lhem n</w:t>
      </w:r>
      <w:r w:rsidRPr="003A1174">
        <w:rPr>
          <w:rFonts w:ascii="Garamond" w:hAnsi="Garamond" w:cs="Arial"/>
          <w:sz w:val="24"/>
          <w:szCs w:val="24"/>
        </w:rPr>
        <w:t xml:space="preserve">esta </w:t>
      </w:r>
      <w:r w:rsidR="00EF645F" w:rsidRPr="003A1174">
        <w:rPr>
          <w:rFonts w:ascii="Garamond" w:hAnsi="Garamond" w:cs="Arial"/>
          <w:sz w:val="24"/>
          <w:szCs w:val="24"/>
        </w:rPr>
        <w:t>matéria</w:t>
      </w:r>
      <w:r w:rsidRPr="003A1174">
        <w:rPr>
          <w:rFonts w:ascii="Garamond" w:hAnsi="Garamond" w:cs="Arial"/>
          <w:sz w:val="24"/>
          <w:szCs w:val="24"/>
        </w:rPr>
        <w:t xml:space="preserve"> para </w:t>
      </w:r>
      <w:r w:rsidR="00946348" w:rsidRPr="003A1174">
        <w:rPr>
          <w:rFonts w:ascii="Garamond" w:hAnsi="Garamond" w:cs="Arial"/>
          <w:sz w:val="24"/>
          <w:szCs w:val="24"/>
        </w:rPr>
        <w:t xml:space="preserve">que se possa </w:t>
      </w:r>
      <w:r w:rsidRPr="003A1174">
        <w:rPr>
          <w:rFonts w:ascii="Garamond" w:hAnsi="Garamond" w:cs="Arial"/>
          <w:sz w:val="24"/>
          <w:szCs w:val="24"/>
        </w:rPr>
        <w:t>contar co</w:t>
      </w:r>
      <w:r w:rsidR="00946348" w:rsidRPr="003A1174">
        <w:rPr>
          <w:rFonts w:ascii="Garamond" w:hAnsi="Garamond" w:cs="Arial"/>
          <w:sz w:val="24"/>
          <w:szCs w:val="24"/>
        </w:rPr>
        <w:t>m</w:t>
      </w:r>
      <w:r w:rsidRPr="003A1174">
        <w:rPr>
          <w:rFonts w:ascii="Garamond" w:hAnsi="Garamond" w:cs="Arial"/>
          <w:sz w:val="24"/>
          <w:szCs w:val="24"/>
        </w:rPr>
        <w:t xml:space="preserve"> </w:t>
      </w:r>
      <w:r w:rsidR="00077461" w:rsidRPr="003A1174">
        <w:rPr>
          <w:rFonts w:ascii="Garamond" w:hAnsi="Garamond" w:cs="Arial"/>
          <w:sz w:val="24"/>
          <w:szCs w:val="24"/>
        </w:rPr>
        <w:t>registo</w:t>
      </w:r>
      <w:r w:rsidRPr="003A1174">
        <w:rPr>
          <w:rFonts w:ascii="Garamond" w:hAnsi="Garamond" w:cs="Arial"/>
          <w:sz w:val="24"/>
          <w:szCs w:val="24"/>
        </w:rPr>
        <w:t xml:space="preserve">s de delitos </w:t>
      </w:r>
      <w:r w:rsidR="006D388F">
        <w:rPr>
          <w:rFonts w:ascii="Garamond" w:hAnsi="Garamond" w:cs="Arial"/>
          <w:sz w:val="24"/>
          <w:szCs w:val="24"/>
        </w:rPr>
        <w:t xml:space="preserve">classificados </w:t>
      </w:r>
      <w:r w:rsidRPr="003A1174">
        <w:rPr>
          <w:rFonts w:ascii="Garamond" w:hAnsi="Garamond" w:cs="Arial"/>
          <w:sz w:val="24"/>
          <w:szCs w:val="24"/>
        </w:rPr>
        <w:t xml:space="preserve">por sexo. </w:t>
      </w:r>
    </w:p>
    <w:p w:rsidR="00955D60" w:rsidRPr="003A1174" w:rsidRDefault="00955D60"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Sobre este </w:t>
      </w:r>
      <w:r w:rsidR="00B5431B" w:rsidRPr="003A1174">
        <w:rPr>
          <w:rFonts w:ascii="Garamond" w:hAnsi="Garamond" w:cs="Arial"/>
          <w:sz w:val="24"/>
          <w:szCs w:val="24"/>
        </w:rPr>
        <w:t>ponto</w:t>
      </w:r>
      <w:r w:rsidR="00946348" w:rsidRPr="003A1174">
        <w:rPr>
          <w:rFonts w:ascii="Garamond" w:hAnsi="Garamond" w:cs="Arial"/>
          <w:sz w:val="24"/>
          <w:szCs w:val="24"/>
        </w:rPr>
        <w:t xml:space="preserve">, </w:t>
      </w:r>
      <w:r w:rsidRPr="003A1174">
        <w:rPr>
          <w:rFonts w:ascii="Garamond" w:hAnsi="Garamond" w:cs="Arial"/>
          <w:sz w:val="24"/>
          <w:szCs w:val="24"/>
        </w:rPr>
        <w:t xml:space="preserve">a </w:t>
      </w:r>
      <w:r w:rsidR="00FC1F7F" w:rsidRPr="003A1174">
        <w:rPr>
          <w:rFonts w:ascii="Garamond" w:hAnsi="Garamond" w:cs="Arial"/>
          <w:sz w:val="24"/>
          <w:szCs w:val="24"/>
        </w:rPr>
        <w:t>Comissão</w:t>
      </w:r>
      <w:r w:rsidRPr="003A1174">
        <w:rPr>
          <w:rFonts w:ascii="Garamond" w:hAnsi="Garamond" w:cs="Arial"/>
          <w:sz w:val="24"/>
          <w:szCs w:val="24"/>
        </w:rPr>
        <w:t xml:space="preserve"> Nacional </w:t>
      </w:r>
      <w:r w:rsidR="00497503" w:rsidRPr="003A1174">
        <w:rPr>
          <w:rFonts w:ascii="Garamond" w:hAnsi="Garamond" w:cs="Arial"/>
          <w:sz w:val="24"/>
          <w:szCs w:val="24"/>
        </w:rPr>
        <w:t>dos</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s Humanos d</w:t>
      </w:r>
      <w:r w:rsidR="00946348" w:rsidRPr="003A1174">
        <w:rPr>
          <w:rFonts w:ascii="Garamond" w:hAnsi="Garamond" w:cs="Arial"/>
          <w:sz w:val="24"/>
          <w:szCs w:val="24"/>
        </w:rPr>
        <w:t>o</w:t>
      </w:r>
      <w:r w:rsidRPr="003A1174">
        <w:rPr>
          <w:rFonts w:ascii="Garamond" w:hAnsi="Garamond" w:cs="Arial"/>
          <w:sz w:val="24"/>
          <w:szCs w:val="24"/>
        </w:rPr>
        <w:t xml:space="preserve"> México, </w:t>
      </w:r>
      <w:r w:rsidR="009A0CC2" w:rsidRPr="003A1174">
        <w:rPr>
          <w:rFonts w:ascii="Garamond" w:hAnsi="Garamond" w:cs="Arial"/>
          <w:sz w:val="24"/>
          <w:szCs w:val="24"/>
        </w:rPr>
        <w:t>através</w:t>
      </w:r>
      <w:r w:rsidRPr="003A1174">
        <w:rPr>
          <w:rFonts w:ascii="Garamond" w:hAnsi="Garamond" w:cs="Arial"/>
          <w:sz w:val="24"/>
          <w:szCs w:val="24"/>
        </w:rPr>
        <w:t xml:space="preserve"> de </w:t>
      </w:r>
      <w:r w:rsidR="00946348" w:rsidRPr="003A1174">
        <w:rPr>
          <w:rFonts w:ascii="Garamond" w:hAnsi="Garamond" w:cs="Arial"/>
          <w:sz w:val="24"/>
          <w:szCs w:val="24"/>
        </w:rPr>
        <w:t xml:space="preserve">pedidos </w:t>
      </w:r>
      <w:r w:rsidRPr="003A1174">
        <w:rPr>
          <w:rFonts w:ascii="Garamond" w:hAnsi="Garamond" w:cs="Arial"/>
          <w:sz w:val="24"/>
          <w:szCs w:val="24"/>
        </w:rPr>
        <w:t xml:space="preserve">de </w:t>
      </w:r>
      <w:r w:rsidR="0017447A" w:rsidRPr="003A1174">
        <w:rPr>
          <w:rFonts w:ascii="Garamond" w:hAnsi="Garamond" w:cs="Arial"/>
          <w:sz w:val="24"/>
          <w:szCs w:val="24"/>
        </w:rPr>
        <w:t>informação</w:t>
      </w:r>
      <w:r w:rsidR="00946348" w:rsidRPr="003A1174">
        <w:rPr>
          <w:rFonts w:ascii="Garamond" w:hAnsi="Garamond" w:cs="Arial"/>
          <w:sz w:val="24"/>
          <w:szCs w:val="24"/>
        </w:rPr>
        <w:t xml:space="preserve"> dirigido</w:t>
      </w:r>
      <w:r w:rsidRPr="003A1174">
        <w:rPr>
          <w:rFonts w:ascii="Garamond" w:hAnsi="Garamond" w:cs="Arial"/>
          <w:sz w:val="24"/>
          <w:szCs w:val="24"/>
        </w:rPr>
        <w:t xml:space="preserve">s </w:t>
      </w:r>
      <w:r w:rsidR="00BB2B00" w:rsidRPr="003A1174">
        <w:rPr>
          <w:rFonts w:ascii="Garamond" w:hAnsi="Garamond" w:cs="Arial"/>
          <w:sz w:val="24"/>
          <w:szCs w:val="24"/>
        </w:rPr>
        <w:t>à</w:t>
      </w:r>
      <w:r w:rsidRPr="003A1174">
        <w:rPr>
          <w:rFonts w:ascii="Garamond" w:hAnsi="Garamond" w:cs="Arial"/>
          <w:sz w:val="24"/>
          <w:szCs w:val="24"/>
        </w:rPr>
        <w:t xml:space="preserve">s </w:t>
      </w:r>
      <w:r w:rsidR="0096583F" w:rsidRPr="003A1174">
        <w:rPr>
          <w:rFonts w:ascii="Garamond" w:hAnsi="Garamond" w:cs="Arial"/>
          <w:sz w:val="24"/>
          <w:szCs w:val="24"/>
        </w:rPr>
        <w:t>Procuradoria</w:t>
      </w:r>
      <w:r w:rsidRPr="003A1174">
        <w:rPr>
          <w:rFonts w:ascii="Garamond" w:hAnsi="Garamond" w:cs="Arial"/>
          <w:sz w:val="24"/>
          <w:szCs w:val="24"/>
        </w:rPr>
        <w:t xml:space="preserve">s </w:t>
      </w:r>
      <w:r w:rsidR="000672E8" w:rsidRPr="003A1174">
        <w:rPr>
          <w:rFonts w:ascii="Garamond" w:hAnsi="Garamond" w:cs="Arial"/>
          <w:sz w:val="24"/>
          <w:szCs w:val="24"/>
        </w:rPr>
        <w:t>e</w:t>
      </w:r>
      <w:r w:rsidRPr="003A1174">
        <w:rPr>
          <w:rFonts w:ascii="Garamond" w:hAnsi="Garamond" w:cs="Arial"/>
          <w:sz w:val="24"/>
          <w:szCs w:val="24"/>
        </w:rPr>
        <w:t xml:space="preserve"> </w:t>
      </w:r>
      <w:r w:rsidR="006D388F">
        <w:rPr>
          <w:rFonts w:ascii="Garamond" w:hAnsi="Garamond" w:cs="Arial"/>
          <w:sz w:val="24"/>
          <w:szCs w:val="24"/>
        </w:rPr>
        <w:t xml:space="preserve">ao </w:t>
      </w:r>
      <w:r w:rsidR="00946348" w:rsidRPr="003A1174">
        <w:rPr>
          <w:rFonts w:ascii="Garamond" w:hAnsi="Garamond" w:cs="Arial"/>
          <w:sz w:val="24"/>
          <w:szCs w:val="24"/>
        </w:rPr>
        <w:t>Ministério Público</w:t>
      </w:r>
      <w:r w:rsidR="006D388F">
        <w:rPr>
          <w:rFonts w:ascii="Garamond" w:hAnsi="Garamond" w:cs="Arial"/>
          <w:sz w:val="24"/>
          <w:szCs w:val="24"/>
        </w:rPr>
        <w:t>,</w:t>
      </w:r>
      <w:r w:rsidR="00946348" w:rsidRPr="003A1174">
        <w:rPr>
          <w:rFonts w:ascii="Garamond" w:hAnsi="Garamond" w:cs="Arial"/>
          <w:sz w:val="24"/>
          <w:szCs w:val="24"/>
        </w:rPr>
        <w:t xml:space="preserve"> </w:t>
      </w:r>
      <w:r w:rsidRPr="003A1174">
        <w:rPr>
          <w:rFonts w:ascii="Garamond" w:hAnsi="Garamond" w:cs="Arial"/>
          <w:sz w:val="24"/>
          <w:szCs w:val="24"/>
        </w:rPr>
        <w:t xml:space="preserve">a </w:t>
      </w:r>
      <w:r w:rsidR="0017447A" w:rsidRPr="003A1174">
        <w:rPr>
          <w:rFonts w:ascii="Garamond" w:hAnsi="Garamond" w:cs="Arial"/>
          <w:sz w:val="24"/>
          <w:szCs w:val="24"/>
        </w:rPr>
        <w:t>nível</w:t>
      </w:r>
      <w:r w:rsidRPr="003A1174">
        <w:rPr>
          <w:rFonts w:ascii="Garamond" w:hAnsi="Garamond" w:cs="Arial"/>
          <w:sz w:val="24"/>
          <w:szCs w:val="24"/>
        </w:rPr>
        <w:t xml:space="preserve"> federal </w:t>
      </w:r>
      <w:r w:rsidR="000672E8" w:rsidRPr="003A1174">
        <w:rPr>
          <w:rFonts w:ascii="Garamond" w:hAnsi="Garamond" w:cs="Arial"/>
          <w:sz w:val="24"/>
          <w:szCs w:val="24"/>
        </w:rPr>
        <w:t>e</w:t>
      </w:r>
      <w:r w:rsidRPr="003A1174">
        <w:rPr>
          <w:rFonts w:ascii="Garamond" w:hAnsi="Garamond" w:cs="Arial"/>
          <w:sz w:val="24"/>
          <w:szCs w:val="24"/>
        </w:rPr>
        <w:t xml:space="preserve"> </w:t>
      </w:r>
      <w:r w:rsidR="00BB2B00" w:rsidRPr="003A1174">
        <w:rPr>
          <w:rFonts w:ascii="Garamond" w:hAnsi="Garamond" w:cs="Arial"/>
          <w:sz w:val="24"/>
          <w:szCs w:val="24"/>
        </w:rPr>
        <w:t>à</w:t>
      </w:r>
      <w:r w:rsidRPr="003A1174">
        <w:rPr>
          <w:rFonts w:ascii="Garamond" w:hAnsi="Garamond" w:cs="Arial"/>
          <w:sz w:val="24"/>
          <w:szCs w:val="24"/>
        </w:rPr>
        <w:t xml:space="preserve">s entidades federativas, </w:t>
      </w:r>
      <w:r w:rsidR="00946348" w:rsidRPr="003A1174">
        <w:rPr>
          <w:rFonts w:ascii="Garamond" w:hAnsi="Garamond" w:cs="Arial"/>
          <w:sz w:val="24"/>
          <w:szCs w:val="24"/>
        </w:rPr>
        <w:t>solicitou números específico</w:t>
      </w:r>
      <w:r w:rsidRPr="003A1174">
        <w:rPr>
          <w:rFonts w:ascii="Garamond" w:hAnsi="Garamond" w:cs="Arial"/>
          <w:sz w:val="24"/>
          <w:szCs w:val="24"/>
        </w:rPr>
        <w:t xml:space="preserve">s sobre </w:t>
      </w:r>
      <w:r w:rsidR="00B408EB" w:rsidRPr="003A1174">
        <w:rPr>
          <w:rFonts w:ascii="Garamond" w:hAnsi="Garamond" w:cs="Arial"/>
          <w:sz w:val="24"/>
          <w:szCs w:val="24"/>
        </w:rPr>
        <w:t xml:space="preserve">os </w:t>
      </w:r>
      <w:r w:rsidRPr="003A1174">
        <w:rPr>
          <w:rFonts w:ascii="Garamond" w:hAnsi="Garamond" w:cs="Arial"/>
          <w:sz w:val="24"/>
          <w:szCs w:val="24"/>
        </w:rPr>
        <w:t xml:space="preserve">delitos cometidos contra </w:t>
      </w:r>
      <w:r w:rsidR="00946348" w:rsidRPr="003A1174">
        <w:rPr>
          <w:rFonts w:ascii="Garamond" w:hAnsi="Garamond" w:cs="Arial"/>
          <w:sz w:val="24"/>
          <w:szCs w:val="24"/>
        </w:rPr>
        <w:t xml:space="preserve">as </w:t>
      </w:r>
      <w:r w:rsidR="00054EE0" w:rsidRPr="003A1174">
        <w:rPr>
          <w:rFonts w:ascii="Garamond" w:hAnsi="Garamond" w:cs="Arial"/>
          <w:sz w:val="24"/>
          <w:szCs w:val="24"/>
        </w:rPr>
        <w:t>mulheres</w:t>
      </w:r>
      <w:r w:rsidRPr="003A1174">
        <w:rPr>
          <w:rFonts w:ascii="Garamond" w:hAnsi="Garamond" w:cs="Arial"/>
          <w:sz w:val="24"/>
          <w:szCs w:val="24"/>
        </w:rPr>
        <w:t>.</w:t>
      </w:r>
    </w:p>
    <w:p w:rsidR="00955D60" w:rsidRPr="003A1174" w:rsidRDefault="008E259D" w:rsidP="008719D4">
      <w:pPr>
        <w:pStyle w:val="Ttulo4"/>
        <w:spacing w:line="240" w:lineRule="auto"/>
        <w:rPr>
          <w:rFonts w:ascii="Garamond" w:hAnsi="Garamond"/>
          <w:sz w:val="24"/>
          <w:szCs w:val="24"/>
        </w:rPr>
      </w:pPr>
      <w:r>
        <w:rPr>
          <w:rFonts w:ascii="Garamond" w:hAnsi="Garamond"/>
          <w:sz w:val="24"/>
          <w:szCs w:val="24"/>
        </w:rPr>
        <w:t>Avaliação</w:t>
      </w:r>
      <w:r w:rsidR="00374F16" w:rsidRPr="003A1174">
        <w:rPr>
          <w:rFonts w:ascii="Garamond" w:hAnsi="Garamond"/>
          <w:sz w:val="24"/>
          <w:szCs w:val="24"/>
        </w:rPr>
        <w:t xml:space="preserve"> d</w:t>
      </w:r>
      <w:r w:rsidR="00946348" w:rsidRPr="003A1174">
        <w:rPr>
          <w:rFonts w:ascii="Garamond" w:hAnsi="Garamond"/>
          <w:sz w:val="24"/>
          <w:szCs w:val="24"/>
        </w:rPr>
        <w:t>o</w:t>
      </w:r>
      <w:r w:rsidR="00374F16" w:rsidRPr="003A1174">
        <w:rPr>
          <w:rFonts w:ascii="Garamond" w:hAnsi="Garamond"/>
          <w:sz w:val="24"/>
          <w:szCs w:val="24"/>
        </w:rPr>
        <w:t xml:space="preserve"> d</w:t>
      </w:r>
      <w:r w:rsidR="002C7510" w:rsidRPr="003A1174">
        <w:rPr>
          <w:rFonts w:ascii="Garamond" w:hAnsi="Garamond"/>
          <w:sz w:val="24"/>
          <w:szCs w:val="24"/>
        </w:rPr>
        <w:t>ano</w:t>
      </w:r>
      <w:r w:rsidR="00374F16" w:rsidRPr="003A1174">
        <w:rPr>
          <w:rFonts w:ascii="Garamond" w:hAnsi="Garamond"/>
          <w:sz w:val="24"/>
          <w:szCs w:val="24"/>
        </w:rPr>
        <w:t xml:space="preserve"> psicológico</w:t>
      </w:r>
    </w:p>
    <w:p w:rsidR="00955D60" w:rsidRPr="003A1174" w:rsidRDefault="00946348" w:rsidP="008719D4">
      <w:pPr>
        <w:spacing w:before="240" w:after="0" w:line="240" w:lineRule="auto"/>
        <w:jc w:val="both"/>
        <w:rPr>
          <w:rFonts w:ascii="Garamond" w:hAnsi="Garamond" w:cs="Arial"/>
          <w:sz w:val="24"/>
          <w:szCs w:val="24"/>
        </w:rPr>
      </w:pPr>
      <w:r w:rsidRPr="003A1174">
        <w:rPr>
          <w:rFonts w:ascii="Garamond" w:hAnsi="Garamond" w:cs="Arial"/>
          <w:sz w:val="24"/>
          <w:szCs w:val="24"/>
        </w:rPr>
        <w:t>No</w:t>
      </w:r>
      <w:r w:rsidR="00955D60" w:rsidRPr="003A1174">
        <w:rPr>
          <w:rFonts w:ascii="Garamond" w:hAnsi="Garamond" w:cs="Arial"/>
          <w:sz w:val="24"/>
          <w:szCs w:val="24"/>
        </w:rPr>
        <w:t xml:space="preserve"> México, </w:t>
      </w:r>
      <w:r w:rsidRPr="003A1174">
        <w:rPr>
          <w:rFonts w:ascii="Garamond" w:hAnsi="Garamond" w:cs="Arial"/>
          <w:sz w:val="24"/>
          <w:szCs w:val="24"/>
        </w:rPr>
        <w:t xml:space="preserve">o </w:t>
      </w:r>
      <w:r w:rsidR="00955D60" w:rsidRPr="003A1174">
        <w:rPr>
          <w:rFonts w:ascii="Garamond" w:hAnsi="Garamond" w:cs="Arial"/>
          <w:sz w:val="24"/>
          <w:szCs w:val="24"/>
        </w:rPr>
        <w:t xml:space="preserve">Instituto Nacional de </w:t>
      </w:r>
      <w:r w:rsidR="00C15C97" w:rsidRPr="003A1174">
        <w:rPr>
          <w:rFonts w:ascii="Garamond" w:hAnsi="Garamond" w:cs="Arial"/>
          <w:sz w:val="24"/>
          <w:szCs w:val="24"/>
        </w:rPr>
        <w:t>Estatística</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1C315D" w:rsidRPr="003A1174">
        <w:rPr>
          <w:rFonts w:ascii="Garamond" w:hAnsi="Garamond" w:cs="Arial"/>
          <w:sz w:val="24"/>
          <w:szCs w:val="24"/>
        </w:rPr>
        <w:t xml:space="preserve"> Geografi</w:t>
      </w:r>
      <w:r w:rsidR="00955D60" w:rsidRPr="003A1174">
        <w:rPr>
          <w:rFonts w:ascii="Garamond" w:hAnsi="Garamond" w:cs="Arial"/>
          <w:sz w:val="24"/>
          <w:szCs w:val="24"/>
        </w:rPr>
        <w:t xml:space="preserve">a (INEGI) realiza </w:t>
      </w:r>
      <w:r w:rsidRPr="003A1174">
        <w:rPr>
          <w:rFonts w:ascii="Garamond" w:hAnsi="Garamond" w:cs="Arial"/>
          <w:sz w:val="24"/>
          <w:szCs w:val="24"/>
        </w:rPr>
        <w:t xml:space="preserve">o Inquérito </w:t>
      </w:r>
      <w:r w:rsidR="00BE668D" w:rsidRPr="003A1174">
        <w:rPr>
          <w:rFonts w:ascii="Garamond" w:hAnsi="Garamond" w:cs="Arial"/>
          <w:sz w:val="24"/>
          <w:szCs w:val="24"/>
        </w:rPr>
        <w:t xml:space="preserve">Nacional sobre </w:t>
      </w:r>
      <w:r w:rsidR="00955D60" w:rsidRPr="003A1174">
        <w:rPr>
          <w:rFonts w:ascii="Garamond" w:hAnsi="Garamond" w:cs="Arial"/>
          <w:sz w:val="24"/>
          <w:szCs w:val="24"/>
        </w:rPr>
        <w:t xml:space="preserve">a </w:t>
      </w:r>
      <w:r w:rsidR="000464C8" w:rsidRPr="003A1174">
        <w:rPr>
          <w:rFonts w:ascii="Garamond" w:hAnsi="Garamond" w:cs="Arial"/>
          <w:sz w:val="24"/>
          <w:szCs w:val="24"/>
        </w:rPr>
        <w:t>Dinâmica</w:t>
      </w:r>
      <w:r w:rsidR="00955D60" w:rsidRPr="003A1174">
        <w:rPr>
          <w:rFonts w:ascii="Garamond" w:hAnsi="Garamond" w:cs="Arial"/>
          <w:sz w:val="24"/>
          <w:szCs w:val="24"/>
        </w:rPr>
        <w:t xml:space="preserve">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C04CA4" w:rsidRPr="003A1174">
        <w:rPr>
          <w:rFonts w:ascii="Garamond" w:hAnsi="Garamond" w:cs="Arial"/>
          <w:sz w:val="24"/>
          <w:szCs w:val="24"/>
        </w:rPr>
        <w:t>Relações</w:t>
      </w:r>
      <w:r w:rsidR="00955D60" w:rsidRPr="003A1174">
        <w:rPr>
          <w:rFonts w:ascii="Garamond" w:hAnsi="Garamond" w:cs="Arial"/>
          <w:sz w:val="24"/>
          <w:szCs w:val="24"/>
        </w:rPr>
        <w:t xml:space="preserve"> </w:t>
      </w:r>
      <w:r w:rsidR="003A391A" w:rsidRPr="003A1174">
        <w:rPr>
          <w:rFonts w:ascii="Garamond" w:hAnsi="Garamond" w:cs="Arial"/>
          <w:sz w:val="24"/>
          <w:szCs w:val="24"/>
        </w:rPr>
        <w:t>nos</w:t>
      </w:r>
      <w:r w:rsidR="00955D60" w:rsidRPr="003A1174">
        <w:rPr>
          <w:rFonts w:ascii="Garamond" w:hAnsi="Garamond" w:cs="Arial"/>
          <w:sz w:val="24"/>
          <w:szCs w:val="24"/>
        </w:rPr>
        <w:t xml:space="preserve"> </w:t>
      </w:r>
      <w:r w:rsidR="00BE668D" w:rsidRPr="003A1174">
        <w:rPr>
          <w:rFonts w:ascii="Garamond" w:hAnsi="Garamond" w:cs="Arial"/>
          <w:sz w:val="24"/>
          <w:szCs w:val="24"/>
        </w:rPr>
        <w:t>Lares</w:t>
      </w:r>
      <w:r w:rsidR="00955D60" w:rsidRPr="003A1174">
        <w:rPr>
          <w:rFonts w:ascii="Garamond" w:hAnsi="Garamond" w:cs="Arial"/>
          <w:sz w:val="24"/>
          <w:szCs w:val="24"/>
        </w:rPr>
        <w:t xml:space="preserve">, </w:t>
      </w:r>
      <w:r w:rsidR="00BE668D" w:rsidRPr="003A1174">
        <w:rPr>
          <w:rFonts w:ascii="Garamond" w:hAnsi="Garamond" w:cs="Arial"/>
          <w:sz w:val="24"/>
          <w:szCs w:val="24"/>
        </w:rPr>
        <w:t xml:space="preserve">este inquérito foi efetuado em </w:t>
      </w:r>
      <w:r w:rsidR="00955D60" w:rsidRPr="003A1174">
        <w:rPr>
          <w:rFonts w:ascii="Garamond" w:hAnsi="Garamond" w:cs="Arial"/>
          <w:sz w:val="24"/>
          <w:szCs w:val="24"/>
        </w:rPr>
        <w:t xml:space="preserve">2003, 2006 </w:t>
      </w:r>
      <w:r w:rsidR="000672E8" w:rsidRPr="003A1174">
        <w:rPr>
          <w:rFonts w:ascii="Garamond" w:hAnsi="Garamond" w:cs="Arial"/>
          <w:sz w:val="24"/>
          <w:szCs w:val="24"/>
        </w:rPr>
        <w:t>e</w:t>
      </w:r>
      <w:r w:rsidR="00955D60" w:rsidRPr="003A1174">
        <w:rPr>
          <w:rFonts w:ascii="Garamond" w:hAnsi="Garamond" w:cs="Arial"/>
          <w:sz w:val="24"/>
          <w:szCs w:val="24"/>
        </w:rPr>
        <w:t xml:space="preserve"> 2011, </w:t>
      </w:r>
      <w:r w:rsidR="00BE668D" w:rsidRPr="003A1174">
        <w:rPr>
          <w:rFonts w:ascii="Garamond" w:hAnsi="Garamond" w:cs="Arial"/>
          <w:sz w:val="24"/>
          <w:szCs w:val="24"/>
        </w:rPr>
        <w:t xml:space="preserve">e inclui as suas </w:t>
      </w:r>
      <w:r w:rsidR="00DE6DF6" w:rsidRPr="003A1174">
        <w:rPr>
          <w:rFonts w:ascii="Garamond" w:hAnsi="Garamond" w:cs="Arial"/>
          <w:sz w:val="24"/>
          <w:szCs w:val="24"/>
        </w:rPr>
        <w:t>respetiva</w:t>
      </w:r>
      <w:r w:rsidR="00955D60" w:rsidRPr="003A1174">
        <w:rPr>
          <w:rFonts w:ascii="Garamond" w:hAnsi="Garamond" w:cs="Arial"/>
          <w:sz w:val="24"/>
          <w:szCs w:val="24"/>
        </w:rPr>
        <w:t xml:space="preserve">s </w:t>
      </w:r>
      <w:r w:rsidR="00BE668D" w:rsidRPr="003A1174">
        <w:rPr>
          <w:rFonts w:ascii="Garamond" w:hAnsi="Garamond" w:cs="Arial"/>
          <w:sz w:val="24"/>
          <w:szCs w:val="24"/>
        </w:rPr>
        <w:t>atualizações</w:t>
      </w:r>
      <w:r w:rsidR="00B408EB" w:rsidRPr="003A1174">
        <w:rPr>
          <w:rFonts w:ascii="Garamond" w:hAnsi="Garamond" w:cs="Arial"/>
          <w:sz w:val="24"/>
          <w:szCs w:val="24"/>
        </w:rPr>
        <w:t xml:space="preserve"> </w:t>
      </w:r>
      <w:r w:rsidR="0017447A" w:rsidRPr="003A1174">
        <w:rPr>
          <w:rFonts w:ascii="Garamond" w:hAnsi="Garamond" w:cs="Arial"/>
          <w:sz w:val="24"/>
          <w:szCs w:val="24"/>
        </w:rPr>
        <w:t>anuais</w:t>
      </w:r>
      <w:r w:rsidR="00955D60" w:rsidRPr="003A1174">
        <w:rPr>
          <w:rFonts w:ascii="Garamond" w:hAnsi="Garamond" w:cs="Arial"/>
          <w:sz w:val="24"/>
          <w:szCs w:val="24"/>
        </w:rPr>
        <w:t>.</w:t>
      </w:r>
    </w:p>
    <w:p w:rsidR="006D388F" w:rsidRDefault="00BE668D"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O </w:t>
      </w:r>
      <w:r w:rsidR="00955D60" w:rsidRPr="003A1174">
        <w:rPr>
          <w:rFonts w:ascii="Garamond" w:hAnsi="Garamond" w:cs="Arial"/>
          <w:sz w:val="24"/>
          <w:szCs w:val="24"/>
        </w:rPr>
        <w:t xml:space="preserve">objetivo </w:t>
      </w:r>
      <w:r w:rsidR="00077461" w:rsidRPr="003A1174">
        <w:rPr>
          <w:rFonts w:ascii="Garamond" w:hAnsi="Garamond" w:cs="Arial"/>
          <w:sz w:val="24"/>
          <w:szCs w:val="24"/>
        </w:rPr>
        <w:t>geral</w:t>
      </w:r>
      <w:r w:rsidR="00955D60" w:rsidRPr="003A1174">
        <w:rPr>
          <w:rFonts w:ascii="Garamond" w:hAnsi="Garamond" w:cs="Arial"/>
          <w:sz w:val="24"/>
          <w:szCs w:val="24"/>
        </w:rPr>
        <w:t xml:space="preserve"> d</w:t>
      </w:r>
      <w:r w:rsidRPr="003A1174">
        <w:rPr>
          <w:rFonts w:ascii="Garamond" w:hAnsi="Garamond" w:cs="Arial"/>
          <w:sz w:val="24"/>
          <w:szCs w:val="24"/>
        </w:rPr>
        <w:t>o</w:t>
      </w:r>
      <w:r w:rsidR="00955D60" w:rsidRPr="003A1174">
        <w:rPr>
          <w:rFonts w:ascii="Garamond" w:hAnsi="Garamond" w:cs="Arial"/>
          <w:sz w:val="24"/>
          <w:szCs w:val="24"/>
        </w:rPr>
        <w:t xml:space="preserve"> </w:t>
      </w:r>
      <w:r w:rsidRPr="003A1174">
        <w:rPr>
          <w:rFonts w:ascii="Garamond" w:hAnsi="Garamond" w:cs="Arial"/>
          <w:sz w:val="24"/>
          <w:szCs w:val="24"/>
        </w:rPr>
        <w:t>inquérito</w:t>
      </w:r>
      <w:r w:rsidR="00955D60" w:rsidRPr="003A1174">
        <w:rPr>
          <w:rFonts w:ascii="Garamond" w:hAnsi="Garamond" w:cs="Arial"/>
          <w:sz w:val="24"/>
          <w:szCs w:val="24"/>
        </w:rPr>
        <w:t xml:space="preserve"> de 2011 </w:t>
      </w:r>
      <w:r w:rsidR="00462B11" w:rsidRPr="003A1174">
        <w:rPr>
          <w:rFonts w:ascii="Garamond" w:hAnsi="Garamond" w:cs="Arial"/>
          <w:sz w:val="24"/>
          <w:szCs w:val="24"/>
        </w:rPr>
        <w:t>foi</w:t>
      </w:r>
      <w:r w:rsidR="00955D60" w:rsidRPr="003A1174">
        <w:rPr>
          <w:rFonts w:ascii="Garamond" w:hAnsi="Garamond" w:cs="Arial"/>
          <w:sz w:val="24"/>
          <w:szCs w:val="24"/>
        </w:rPr>
        <w:t xml:space="preserve"> </w:t>
      </w:r>
    </w:p>
    <w:p w:rsidR="00955D60" w:rsidRPr="006D388F" w:rsidRDefault="006D388F" w:rsidP="006D388F">
      <w:pPr>
        <w:spacing w:before="240" w:after="0" w:line="240" w:lineRule="auto"/>
        <w:ind w:left="567"/>
        <w:jc w:val="both"/>
        <w:rPr>
          <w:rFonts w:ascii="Garamond" w:hAnsi="Garamond" w:cs="Arial"/>
        </w:rPr>
      </w:pPr>
      <w:r w:rsidRPr="006D388F">
        <w:rPr>
          <w:rFonts w:ascii="Garamond" w:hAnsi="Garamond" w:cs="Arial"/>
        </w:rPr>
        <w:t>«</w:t>
      </w:r>
      <w:r w:rsidR="00B408EB" w:rsidRPr="006D388F">
        <w:rPr>
          <w:rFonts w:ascii="Garamond" w:hAnsi="Garamond" w:cs="Arial"/>
        </w:rPr>
        <w:t xml:space="preserve">(…) </w:t>
      </w:r>
      <w:r w:rsidR="00955D60" w:rsidRPr="006D388F">
        <w:rPr>
          <w:rFonts w:ascii="Garamond" w:hAnsi="Garamond" w:cs="Arial"/>
        </w:rPr>
        <w:t xml:space="preserve">gerar </w:t>
      </w:r>
      <w:r w:rsidR="0017447A" w:rsidRPr="006D388F">
        <w:rPr>
          <w:rFonts w:ascii="Garamond" w:hAnsi="Garamond" w:cs="Arial"/>
        </w:rPr>
        <w:t>informação</w:t>
      </w:r>
      <w:r w:rsidR="00955D60" w:rsidRPr="006D388F">
        <w:rPr>
          <w:rFonts w:ascii="Garamond" w:hAnsi="Garamond" w:cs="Arial"/>
        </w:rPr>
        <w:t xml:space="preserve"> </w:t>
      </w:r>
      <w:r w:rsidR="00C15C97" w:rsidRPr="006D388F">
        <w:rPr>
          <w:rFonts w:ascii="Garamond" w:hAnsi="Garamond" w:cs="Arial"/>
        </w:rPr>
        <w:t>estatística</w:t>
      </w:r>
      <w:r w:rsidR="00BE668D" w:rsidRPr="006D388F">
        <w:rPr>
          <w:rFonts w:ascii="Garamond" w:hAnsi="Garamond" w:cs="Arial"/>
        </w:rPr>
        <w:t xml:space="preserve"> sobre </w:t>
      </w:r>
      <w:r w:rsidR="00955D60" w:rsidRPr="006D388F">
        <w:rPr>
          <w:rFonts w:ascii="Garamond" w:hAnsi="Garamond" w:cs="Arial"/>
        </w:rPr>
        <w:t xml:space="preserve">a </w:t>
      </w:r>
      <w:r w:rsidR="00190B59" w:rsidRPr="006D388F">
        <w:rPr>
          <w:rFonts w:ascii="Garamond" w:hAnsi="Garamond" w:cs="Arial"/>
        </w:rPr>
        <w:t>frequência</w:t>
      </w:r>
      <w:r w:rsidR="00955D60" w:rsidRPr="006D388F">
        <w:rPr>
          <w:rFonts w:ascii="Garamond" w:hAnsi="Garamond" w:cs="Arial"/>
        </w:rPr>
        <w:t xml:space="preserve"> </w:t>
      </w:r>
      <w:r w:rsidR="000672E8" w:rsidRPr="006D388F">
        <w:rPr>
          <w:rFonts w:ascii="Garamond" w:hAnsi="Garamond" w:cs="Arial"/>
        </w:rPr>
        <w:t>e</w:t>
      </w:r>
      <w:r w:rsidR="00955D60" w:rsidRPr="006D388F">
        <w:rPr>
          <w:rFonts w:ascii="Garamond" w:hAnsi="Garamond" w:cs="Arial"/>
        </w:rPr>
        <w:t xml:space="preserve"> magnitud</w:t>
      </w:r>
      <w:r w:rsidR="00BE668D" w:rsidRPr="006D388F">
        <w:rPr>
          <w:rFonts w:ascii="Garamond" w:hAnsi="Garamond" w:cs="Arial"/>
        </w:rPr>
        <w:t>e</w:t>
      </w:r>
      <w:r w:rsidR="00955D60" w:rsidRPr="006D388F">
        <w:rPr>
          <w:rFonts w:ascii="Garamond" w:hAnsi="Garamond" w:cs="Arial"/>
        </w:rPr>
        <w:t xml:space="preserve"> da </w:t>
      </w:r>
      <w:r w:rsidR="000350B1" w:rsidRPr="006D388F">
        <w:rPr>
          <w:rFonts w:ascii="Garamond" w:hAnsi="Garamond" w:cs="Arial"/>
        </w:rPr>
        <w:t>violência</w:t>
      </w:r>
      <w:r w:rsidR="00BE668D" w:rsidRPr="006D388F">
        <w:rPr>
          <w:rFonts w:ascii="Garamond" w:hAnsi="Garamond" w:cs="Arial"/>
        </w:rPr>
        <w:t xml:space="preserve"> no casal, </w:t>
      </w:r>
      <w:r w:rsidR="000464C8" w:rsidRPr="006D388F">
        <w:rPr>
          <w:rFonts w:ascii="Garamond" w:hAnsi="Garamond" w:cs="Arial"/>
        </w:rPr>
        <w:t>assim</w:t>
      </w:r>
      <w:r w:rsidR="00BE668D" w:rsidRPr="006D388F">
        <w:rPr>
          <w:rFonts w:ascii="Garamond" w:hAnsi="Garamond" w:cs="Arial"/>
        </w:rPr>
        <w:t xml:space="preserve"> como </w:t>
      </w:r>
      <w:r w:rsidR="00955D60" w:rsidRPr="006D388F">
        <w:rPr>
          <w:rFonts w:ascii="Garamond" w:hAnsi="Garamond" w:cs="Arial"/>
        </w:rPr>
        <w:t xml:space="preserve">a </w:t>
      </w:r>
      <w:r w:rsidR="00BE668D" w:rsidRPr="006D388F">
        <w:rPr>
          <w:rFonts w:ascii="Garamond" w:hAnsi="Garamond" w:cs="Arial"/>
        </w:rPr>
        <w:t>sofrida pe</w:t>
      </w:r>
      <w:r w:rsidR="00955D60" w:rsidRPr="006D388F">
        <w:rPr>
          <w:rFonts w:ascii="Garamond" w:hAnsi="Garamond" w:cs="Arial"/>
        </w:rPr>
        <w:t xml:space="preserve">las </w:t>
      </w:r>
      <w:r w:rsidR="00054EE0" w:rsidRPr="006D388F">
        <w:rPr>
          <w:rFonts w:ascii="Garamond" w:hAnsi="Garamond" w:cs="Arial"/>
        </w:rPr>
        <w:t>mulheres</w:t>
      </w:r>
      <w:r w:rsidR="00955D60" w:rsidRPr="006D388F">
        <w:rPr>
          <w:rFonts w:ascii="Garamond" w:hAnsi="Garamond" w:cs="Arial"/>
        </w:rPr>
        <w:t xml:space="preserve"> </w:t>
      </w:r>
      <w:r w:rsidR="003A391A" w:rsidRPr="006D388F">
        <w:rPr>
          <w:rFonts w:ascii="Garamond" w:hAnsi="Garamond" w:cs="Arial"/>
        </w:rPr>
        <w:t>no</w:t>
      </w:r>
      <w:r w:rsidR="00955D60" w:rsidRPr="006D388F">
        <w:rPr>
          <w:rFonts w:ascii="Garamond" w:hAnsi="Garamond" w:cs="Arial"/>
        </w:rPr>
        <w:t xml:space="preserve"> </w:t>
      </w:r>
      <w:r w:rsidR="00802ACC" w:rsidRPr="006D388F">
        <w:rPr>
          <w:rFonts w:ascii="Garamond" w:hAnsi="Garamond" w:cs="Arial"/>
        </w:rPr>
        <w:t>âmbito</w:t>
      </w:r>
      <w:r w:rsidR="00955D60" w:rsidRPr="006D388F">
        <w:rPr>
          <w:rFonts w:ascii="Garamond" w:hAnsi="Garamond" w:cs="Arial"/>
        </w:rPr>
        <w:t xml:space="preserve"> escolar, laboral </w:t>
      </w:r>
      <w:r w:rsidR="000672E8" w:rsidRPr="006D388F">
        <w:rPr>
          <w:rFonts w:ascii="Garamond" w:hAnsi="Garamond" w:cs="Arial"/>
        </w:rPr>
        <w:t>e</w:t>
      </w:r>
      <w:r w:rsidR="00BE668D" w:rsidRPr="006D388F">
        <w:rPr>
          <w:rFonts w:ascii="Garamond" w:hAnsi="Garamond" w:cs="Arial"/>
        </w:rPr>
        <w:t xml:space="preserve"> comunitá</w:t>
      </w:r>
      <w:r w:rsidR="00955D60" w:rsidRPr="006D388F">
        <w:rPr>
          <w:rFonts w:ascii="Garamond" w:hAnsi="Garamond" w:cs="Arial"/>
        </w:rPr>
        <w:t>rio, que se</w:t>
      </w:r>
      <w:r w:rsidR="00BE668D" w:rsidRPr="006D388F">
        <w:rPr>
          <w:rFonts w:ascii="Garamond" w:hAnsi="Garamond" w:cs="Arial"/>
        </w:rPr>
        <w:t>j</w:t>
      </w:r>
      <w:r w:rsidR="00955D60" w:rsidRPr="006D388F">
        <w:rPr>
          <w:rFonts w:ascii="Garamond" w:hAnsi="Garamond" w:cs="Arial"/>
        </w:rPr>
        <w:t>a compar</w:t>
      </w:r>
      <w:r w:rsidR="00BE668D" w:rsidRPr="006D388F">
        <w:rPr>
          <w:rFonts w:ascii="Garamond" w:hAnsi="Garamond" w:cs="Arial"/>
        </w:rPr>
        <w:t xml:space="preserve">ável à </w:t>
      </w:r>
      <w:r w:rsidR="00955D60" w:rsidRPr="006D388F">
        <w:rPr>
          <w:rFonts w:ascii="Garamond" w:hAnsi="Garamond" w:cs="Arial"/>
        </w:rPr>
        <w:t>gerada e</w:t>
      </w:r>
      <w:r w:rsidR="00BE668D" w:rsidRPr="006D388F">
        <w:rPr>
          <w:rFonts w:ascii="Garamond" w:hAnsi="Garamond" w:cs="Arial"/>
        </w:rPr>
        <w:t>m</w:t>
      </w:r>
      <w:r w:rsidR="00955D60" w:rsidRPr="006D388F">
        <w:rPr>
          <w:rFonts w:ascii="Garamond" w:hAnsi="Garamond" w:cs="Arial"/>
        </w:rPr>
        <w:t xml:space="preserve"> 2006, co</w:t>
      </w:r>
      <w:r w:rsidR="00BE668D" w:rsidRPr="006D388F">
        <w:rPr>
          <w:rFonts w:ascii="Garamond" w:hAnsi="Garamond" w:cs="Arial"/>
        </w:rPr>
        <w:t xml:space="preserve">m o </w:t>
      </w:r>
      <w:r w:rsidR="00955D60" w:rsidRPr="006D388F">
        <w:rPr>
          <w:rFonts w:ascii="Garamond" w:hAnsi="Garamond" w:cs="Arial"/>
        </w:rPr>
        <w:t xml:space="preserve">propósito de </w:t>
      </w:r>
      <w:r w:rsidR="00BE668D" w:rsidRPr="006D388F">
        <w:rPr>
          <w:rFonts w:ascii="Garamond" w:hAnsi="Garamond" w:cs="Arial"/>
        </w:rPr>
        <w:t xml:space="preserve">contribuir para a </w:t>
      </w:r>
      <w:r w:rsidR="00955D60" w:rsidRPr="006D388F">
        <w:rPr>
          <w:rFonts w:ascii="Garamond" w:hAnsi="Garamond" w:cs="Arial"/>
        </w:rPr>
        <w:t>forma</w:t>
      </w:r>
      <w:r w:rsidR="00BE668D" w:rsidRPr="006D388F">
        <w:rPr>
          <w:rFonts w:ascii="Garamond" w:hAnsi="Garamond" w:cs="Arial"/>
        </w:rPr>
        <w:t xml:space="preserve">ção </w:t>
      </w:r>
      <w:r w:rsidR="00E85E59" w:rsidRPr="006D388F">
        <w:rPr>
          <w:rFonts w:ascii="Garamond" w:hAnsi="Garamond" w:cs="Arial"/>
        </w:rPr>
        <w:t>do</w:t>
      </w:r>
      <w:r w:rsidR="00955D60" w:rsidRPr="006D388F">
        <w:rPr>
          <w:rFonts w:ascii="Garamond" w:hAnsi="Garamond" w:cs="Arial"/>
        </w:rPr>
        <w:t xml:space="preserve"> Subsistema de </w:t>
      </w:r>
      <w:r w:rsidR="00190B59" w:rsidRPr="006D388F">
        <w:rPr>
          <w:rFonts w:ascii="Garamond" w:hAnsi="Garamond" w:cs="Arial"/>
        </w:rPr>
        <w:t>Estatísticas</w:t>
      </w:r>
      <w:r w:rsidR="00955D60" w:rsidRPr="006D388F">
        <w:rPr>
          <w:rFonts w:ascii="Garamond" w:hAnsi="Garamond" w:cs="Arial"/>
        </w:rPr>
        <w:t xml:space="preserve"> sobre </w:t>
      </w:r>
      <w:r w:rsidR="000350B1" w:rsidRPr="006D388F">
        <w:rPr>
          <w:rFonts w:ascii="Garamond" w:hAnsi="Garamond" w:cs="Arial"/>
        </w:rPr>
        <w:t>Violência</w:t>
      </w:r>
      <w:r w:rsidR="00955D60" w:rsidRPr="006D388F">
        <w:rPr>
          <w:rFonts w:ascii="Garamond" w:hAnsi="Garamond" w:cs="Arial"/>
        </w:rPr>
        <w:t xml:space="preserve">, dentro </w:t>
      </w:r>
      <w:r w:rsidR="00E85E59" w:rsidRPr="006D388F">
        <w:rPr>
          <w:rFonts w:ascii="Garamond" w:hAnsi="Garamond" w:cs="Arial"/>
        </w:rPr>
        <w:t>do</w:t>
      </w:r>
      <w:r w:rsidR="00955D60" w:rsidRPr="006D388F">
        <w:rPr>
          <w:rFonts w:ascii="Garamond" w:hAnsi="Garamond" w:cs="Arial"/>
        </w:rPr>
        <w:t xml:space="preserve"> Sistema Nacional de </w:t>
      </w:r>
      <w:r w:rsidR="0017447A" w:rsidRPr="006D388F">
        <w:rPr>
          <w:rFonts w:ascii="Garamond" w:hAnsi="Garamond" w:cs="Arial"/>
        </w:rPr>
        <w:t>Informação</w:t>
      </w:r>
      <w:r w:rsidR="00955D60" w:rsidRPr="006D388F">
        <w:rPr>
          <w:rFonts w:ascii="Garamond" w:hAnsi="Garamond" w:cs="Arial"/>
        </w:rPr>
        <w:t xml:space="preserve"> </w:t>
      </w:r>
      <w:r w:rsidR="00C15C97" w:rsidRPr="006D388F">
        <w:rPr>
          <w:rFonts w:ascii="Garamond" w:hAnsi="Garamond" w:cs="Arial"/>
        </w:rPr>
        <w:t>Estatística</w:t>
      </w:r>
      <w:r w:rsidR="00955D60" w:rsidRPr="006D388F">
        <w:rPr>
          <w:rFonts w:ascii="Garamond" w:hAnsi="Garamond" w:cs="Arial"/>
        </w:rPr>
        <w:t xml:space="preserve"> </w:t>
      </w:r>
      <w:r w:rsidR="000672E8" w:rsidRPr="006D388F">
        <w:rPr>
          <w:rFonts w:ascii="Garamond" w:hAnsi="Garamond" w:cs="Arial"/>
        </w:rPr>
        <w:t>e</w:t>
      </w:r>
      <w:r w:rsidR="00955D60" w:rsidRPr="006D388F">
        <w:rPr>
          <w:rFonts w:ascii="Garamond" w:hAnsi="Garamond" w:cs="Arial"/>
        </w:rPr>
        <w:t xml:space="preserve"> Geográfica</w:t>
      </w:r>
      <w:r w:rsidRPr="006D388F">
        <w:rPr>
          <w:rFonts w:ascii="Garamond" w:hAnsi="Garamond" w:cs="Arial"/>
        </w:rPr>
        <w:t>»</w:t>
      </w:r>
      <w:r w:rsidR="00B408EB" w:rsidRPr="006D388F">
        <w:rPr>
          <w:rFonts w:ascii="Garamond" w:hAnsi="Garamond" w:cs="Arial"/>
        </w:rPr>
        <w:t>.</w:t>
      </w:r>
      <w:proofErr w:type="gramStart"/>
      <w:r w:rsidR="00955D60" w:rsidRPr="006D388F">
        <w:rPr>
          <w:rStyle w:val="Refdenotaalpie"/>
          <w:rFonts w:ascii="Garamond" w:hAnsi="Garamond" w:cs="Arial"/>
        </w:rPr>
        <w:footnoteReference w:id="125"/>
      </w:r>
      <w:proofErr w:type="gramEnd"/>
    </w:p>
    <w:p w:rsidR="00955D60" w:rsidRPr="003A1174" w:rsidRDefault="00BE668D"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Entre </w:t>
      </w:r>
      <w:r w:rsidR="00955D60" w:rsidRPr="003A1174">
        <w:rPr>
          <w:rFonts w:ascii="Garamond" w:hAnsi="Garamond" w:cs="Arial"/>
          <w:sz w:val="24"/>
          <w:szCs w:val="24"/>
        </w:rPr>
        <w:t xml:space="preserve">os objetivos específicos </w:t>
      </w:r>
      <w:r w:rsidRPr="003A1174">
        <w:rPr>
          <w:rFonts w:ascii="Garamond" w:hAnsi="Garamond" w:cs="Arial"/>
          <w:sz w:val="24"/>
          <w:szCs w:val="24"/>
        </w:rPr>
        <w:t>destacam-</w:t>
      </w:r>
      <w:r w:rsidR="00955D60" w:rsidRPr="003A1174">
        <w:rPr>
          <w:rFonts w:ascii="Garamond" w:hAnsi="Garamond" w:cs="Arial"/>
          <w:sz w:val="24"/>
          <w:szCs w:val="24"/>
        </w:rPr>
        <w:t xml:space="preserve">se </w:t>
      </w:r>
      <w:r w:rsidR="006D388F">
        <w:rPr>
          <w:rFonts w:ascii="Garamond" w:hAnsi="Garamond" w:cs="Arial"/>
          <w:sz w:val="24"/>
          <w:szCs w:val="24"/>
        </w:rPr>
        <w:t>«</w:t>
      </w:r>
      <w:r w:rsidR="00B408EB" w:rsidRPr="003A1174">
        <w:rPr>
          <w:rFonts w:ascii="Garamond" w:hAnsi="Garamond" w:cs="Arial"/>
          <w:sz w:val="24"/>
          <w:szCs w:val="24"/>
        </w:rPr>
        <w:t>(…</w:t>
      </w:r>
      <w:proofErr w:type="gramStart"/>
      <w:r w:rsidR="00B408EB" w:rsidRPr="003A1174">
        <w:rPr>
          <w:rFonts w:ascii="Garamond" w:hAnsi="Garamond" w:cs="Arial"/>
          <w:sz w:val="24"/>
          <w:szCs w:val="24"/>
        </w:rPr>
        <w:t>)</w:t>
      </w:r>
      <w:r w:rsidR="006D388F">
        <w:rPr>
          <w:rFonts w:ascii="Garamond" w:hAnsi="Garamond" w:cs="Arial"/>
          <w:sz w:val="24"/>
          <w:szCs w:val="24"/>
        </w:rPr>
        <w:t>produzir</w:t>
      </w:r>
      <w:proofErr w:type="gramEnd"/>
      <w:r w:rsidR="006D388F">
        <w:rPr>
          <w:rFonts w:ascii="Garamond" w:hAnsi="Garamond" w:cs="Arial"/>
          <w:sz w:val="24"/>
          <w:szCs w:val="24"/>
        </w:rPr>
        <w:t xml:space="preserve"> </w:t>
      </w:r>
      <w:r w:rsidR="0017447A" w:rsidRPr="003A1174">
        <w:rPr>
          <w:rFonts w:ascii="Garamond" w:hAnsi="Garamond" w:cs="Arial"/>
          <w:sz w:val="24"/>
          <w:szCs w:val="24"/>
        </w:rPr>
        <w:t>informação</w:t>
      </w:r>
      <w:r w:rsidRPr="003A1174">
        <w:rPr>
          <w:rFonts w:ascii="Garamond" w:hAnsi="Garamond" w:cs="Arial"/>
          <w:sz w:val="24"/>
          <w:szCs w:val="24"/>
        </w:rPr>
        <w:t xml:space="preserve"> que permita determinar a prevalê</w:t>
      </w:r>
      <w:r w:rsidR="00955D60" w:rsidRPr="003A1174">
        <w:rPr>
          <w:rFonts w:ascii="Garamond" w:hAnsi="Garamond" w:cs="Arial"/>
          <w:sz w:val="24"/>
          <w:szCs w:val="24"/>
        </w:rPr>
        <w:t xml:space="preserve">ncia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de 15 </w:t>
      </w:r>
      <w:r w:rsidR="002C7510" w:rsidRPr="003A1174">
        <w:rPr>
          <w:rFonts w:ascii="Garamond" w:hAnsi="Garamond" w:cs="Arial"/>
          <w:sz w:val="24"/>
          <w:szCs w:val="24"/>
        </w:rPr>
        <w:t>ano</w:t>
      </w:r>
      <w:r w:rsidR="00955D60" w:rsidRPr="003A1174">
        <w:rPr>
          <w:rFonts w:ascii="Garamond" w:hAnsi="Garamond" w:cs="Arial"/>
          <w:sz w:val="24"/>
          <w:szCs w:val="24"/>
        </w:rPr>
        <w:t xml:space="preserve">s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Pr="003A1174">
        <w:rPr>
          <w:rFonts w:ascii="Garamond" w:hAnsi="Garamond" w:cs="Arial"/>
          <w:sz w:val="24"/>
          <w:szCs w:val="24"/>
        </w:rPr>
        <w:t xml:space="preserve">nas suas </w:t>
      </w:r>
      <w:r w:rsidR="00955D60" w:rsidRPr="003A1174">
        <w:rPr>
          <w:rFonts w:ascii="Garamond" w:hAnsi="Garamond" w:cs="Arial"/>
          <w:sz w:val="24"/>
          <w:szCs w:val="24"/>
        </w:rPr>
        <w:t xml:space="preserve">diversas </w:t>
      </w:r>
      <w:r w:rsidR="00C30647" w:rsidRPr="003A1174">
        <w:rPr>
          <w:rFonts w:ascii="Garamond" w:hAnsi="Garamond" w:cs="Arial"/>
          <w:sz w:val="24"/>
          <w:szCs w:val="24"/>
        </w:rPr>
        <w:t>manifestações</w:t>
      </w:r>
      <w:r w:rsidR="00955D60" w:rsidRPr="003A1174">
        <w:rPr>
          <w:rFonts w:ascii="Garamond" w:hAnsi="Garamond" w:cs="Arial"/>
          <w:sz w:val="24"/>
          <w:szCs w:val="24"/>
        </w:rPr>
        <w:t xml:space="preserve"> (emocional,</w:t>
      </w:r>
      <w:r w:rsidRPr="003A1174">
        <w:rPr>
          <w:rFonts w:ascii="Garamond" w:hAnsi="Garamond" w:cs="Arial"/>
          <w:sz w:val="24"/>
          <w:szCs w:val="24"/>
        </w:rPr>
        <w:t xml:space="preserve"> </w:t>
      </w:r>
      <w:r w:rsidRPr="003A1174">
        <w:rPr>
          <w:rFonts w:ascii="Garamond" w:hAnsi="Garamond" w:cs="Arial"/>
          <w:sz w:val="24"/>
          <w:szCs w:val="24"/>
        </w:rPr>
        <w:lastRenderedPageBreak/>
        <w:t>económica, física, sexual) ex</w:t>
      </w:r>
      <w:r w:rsidR="00955D60" w:rsidRPr="003A1174">
        <w:rPr>
          <w:rFonts w:ascii="Garamond" w:hAnsi="Garamond" w:cs="Arial"/>
          <w:sz w:val="24"/>
          <w:szCs w:val="24"/>
        </w:rPr>
        <w:t>ercida p</w:t>
      </w:r>
      <w:r w:rsidRPr="003A1174">
        <w:rPr>
          <w:rFonts w:ascii="Garamond" w:hAnsi="Garamond" w:cs="Arial"/>
          <w:sz w:val="24"/>
          <w:szCs w:val="24"/>
        </w:rPr>
        <w:t>elo seu parceiro</w:t>
      </w:r>
      <w:r w:rsidR="006D388F">
        <w:rPr>
          <w:rFonts w:ascii="Garamond" w:hAnsi="Garamond" w:cs="Arial"/>
          <w:sz w:val="24"/>
          <w:szCs w:val="24"/>
        </w:rPr>
        <w:t>»</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6D388F">
        <w:rPr>
          <w:rFonts w:ascii="Garamond" w:hAnsi="Garamond" w:cs="Arial"/>
          <w:sz w:val="24"/>
          <w:szCs w:val="24"/>
        </w:rPr>
        <w:t>«</w:t>
      </w:r>
      <w:r w:rsidR="00B408EB" w:rsidRPr="003A1174">
        <w:rPr>
          <w:rFonts w:ascii="Garamond" w:hAnsi="Garamond" w:cs="Arial"/>
          <w:sz w:val="24"/>
          <w:szCs w:val="24"/>
        </w:rPr>
        <w:t xml:space="preserve">(…) </w:t>
      </w:r>
      <w:r w:rsidR="006D388F">
        <w:rPr>
          <w:rFonts w:ascii="Garamond" w:hAnsi="Garamond" w:cs="Arial"/>
          <w:sz w:val="24"/>
          <w:szCs w:val="24"/>
        </w:rPr>
        <w:t xml:space="preserve"> produzir</w:t>
      </w:r>
      <w:r w:rsidR="00955D60" w:rsidRPr="003A1174">
        <w:rPr>
          <w:rFonts w:ascii="Garamond" w:hAnsi="Garamond" w:cs="Arial"/>
          <w:sz w:val="24"/>
          <w:szCs w:val="24"/>
        </w:rPr>
        <w:t xml:space="preserve"> </w:t>
      </w:r>
      <w:r w:rsidR="0017447A" w:rsidRPr="003A1174">
        <w:rPr>
          <w:rFonts w:ascii="Garamond" w:hAnsi="Garamond" w:cs="Arial"/>
          <w:sz w:val="24"/>
          <w:szCs w:val="24"/>
        </w:rPr>
        <w:t>informação</w:t>
      </w:r>
      <w:r w:rsidR="00955D60" w:rsidRPr="003A1174">
        <w:rPr>
          <w:rFonts w:ascii="Garamond" w:hAnsi="Garamond" w:cs="Arial"/>
          <w:sz w:val="24"/>
          <w:szCs w:val="24"/>
        </w:rPr>
        <w:t xml:space="preserve"> </w:t>
      </w:r>
      <w:r w:rsidRPr="003A1174">
        <w:rPr>
          <w:rFonts w:ascii="Garamond" w:hAnsi="Garamond" w:cs="Arial"/>
          <w:sz w:val="24"/>
          <w:szCs w:val="24"/>
        </w:rPr>
        <w:t xml:space="preserve">sobre </w:t>
      </w:r>
      <w:r w:rsidR="00955D60" w:rsidRPr="003A1174">
        <w:rPr>
          <w:rFonts w:ascii="Garamond" w:hAnsi="Garamond" w:cs="Arial"/>
          <w:sz w:val="24"/>
          <w:szCs w:val="24"/>
        </w:rPr>
        <w:t xml:space="preserve">os antecedentes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a </w:t>
      </w:r>
      <w:r w:rsidR="006C7AF1" w:rsidRPr="003A1174">
        <w:rPr>
          <w:rFonts w:ascii="Garamond" w:hAnsi="Garamond" w:cs="Arial"/>
          <w:sz w:val="24"/>
          <w:szCs w:val="24"/>
        </w:rPr>
        <w:t>família</w:t>
      </w:r>
      <w:r w:rsidR="00955D60" w:rsidRPr="003A1174">
        <w:rPr>
          <w:rFonts w:ascii="Garamond" w:hAnsi="Garamond" w:cs="Arial"/>
          <w:sz w:val="24"/>
          <w:szCs w:val="24"/>
        </w:rPr>
        <w:t xml:space="preserve"> (física o</w:t>
      </w:r>
      <w:r w:rsidRPr="003A1174">
        <w:rPr>
          <w:rFonts w:ascii="Garamond" w:hAnsi="Garamond" w:cs="Arial"/>
          <w:sz w:val="24"/>
          <w:szCs w:val="24"/>
        </w:rPr>
        <w:t>u</w:t>
      </w:r>
      <w:r w:rsidR="00955D60" w:rsidRPr="003A1174">
        <w:rPr>
          <w:rFonts w:ascii="Garamond" w:hAnsi="Garamond" w:cs="Arial"/>
          <w:sz w:val="24"/>
          <w:szCs w:val="24"/>
        </w:rPr>
        <w:t xml:space="preserve"> emocional)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d</w:t>
      </w:r>
      <w:r w:rsidRPr="003A1174">
        <w:rPr>
          <w:rFonts w:ascii="Garamond" w:hAnsi="Garamond" w:cs="Arial"/>
          <w:sz w:val="24"/>
          <w:szCs w:val="24"/>
        </w:rPr>
        <w:t>os seus parceiros</w:t>
      </w:r>
      <w:r w:rsidR="006D388F">
        <w:rPr>
          <w:rFonts w:ascii="Garamond" w:hAnsi="Garamond" w:cs="Arial"/>
          <w:sz w:val="24"/>
          <w:szCs w:val="24"/>
        </w:rPr>
        <w:t>»</w:t>
      </w:r>
      <w:r w:rsidR="00955D60" w:rsidRPr="003A1174">
        <w:rPr>
          <w:rFonts w:ascii="Garamond" w:hAnsi="Garamond" w:cs="Arial"/>
          <w:sz w:val="24"/>
          <w:szCs w:val="24"/>
        </w:rPr>
        <w:t>.</w:t>
      </w:r>
      <w:r w:rsidR="00955D60" w:rsidRPr="003A1174">
        <w:rPr>
          <w:rStyle w:val="Refdenotaalpie"/>
          <w:rFonts w:ascii="Garamond" w:hAnsi="Garamond" w:cs="Arial"/>
          <w:sz w:val="24"/>
          <w:szCs w:val="24"/>
        </w:rPr>
        <w:footnoteReference w:id="126"/>
      </w:r>
    </w:p>
    <w:p w:rsidR="00955D60" w:rsidRPr="003A1174" w:rsidRDefault="00BE668D" w:rsidP="008719D4">
      <w:pPr>
        <w:pStyle w:val="Ttulo4"/>
        <w:spacing w:line="240" w:lineRule="auto"/>
        <w:rPr>
          <w:rFonts w:ascii="Garamond" w:eastAsia="Calibri" w:hAnsi="Garamond"/>
          <w:sz w:val="24"/>
          <w:szCs w:val="24"/>
        </w:rPr>
      </w:pPr>
      <w:r w:rsidRPr="003A1174">
        <w:rPr>
          <w:rFonts w:ascii="Garamond" w:eastAsia="Calibri" w:hAnsi="Garamond"/>
          <w:sz w:val="24"/>
          <w:szCs w:val="24"/>
        </w:rPr>
        <w:t>Medidas d</w:t>
      </w:r>
      <w:r w:rsidR="00374F16" w:rsidRPr="003A1174">
        <w:rPr>
          <w:rFonts w:ascii="Garamond" w:eastAsia="Calibri" w:hAnsi="Garamond"/>
          <w:sz w:val="24"/>
          <w:szCs w:val="24"/>
        </w:rPr>
        <w:t xml:space="preserve">e </w:t>
      </w:r>
      <w:r w:rsidR="00976FB8" w:rsidRPr="003A1174">
        <w:rPr>
          <w:rFonts w:ascii="Garamond" w:eastAsia="Calibri" w:hAnsi="Garamond"/>
          <w:sz w:val="24"/>
          <w:szCs w:val="24"/>
        </w:rPr>
        <w:t>sensibilização</w:t>
      </w:r>
      <w:r w:rsidR="00374F16" w:rsidRPr="003A1174">
        <w:rPr>
          <w:rFonts w:ascii="Garamond" w:eastAsia="Calibri" w:hAnsi="Garamond"/>
          <w:sz w:val="24"/>
          <w:szCs w:val="24"/>
        </w:rPr>
        <w:t>/</w:t>
      </w:r>
      <w:r w:rsidR="00DD6896">
        <w:rPr>
          <w:rFonts w:ascii="Garamond" w:eastAsia="Calibri" w:hAnsi="Garamond"/>
          <w:sz w:val="24"/>
          <w:szCs w:val="24"/>
        </w:rPr>
        <w:t>formação</w:t>
      </w:r>
      <w:r w:rsidR="00374F16" w:rsidRPr="003A1174">
        <w:rPr>
          <w:rFonts w:ascii="Garamond" w:eastAsia="Calibri" w:hAnsi="Garamond"/>
          <w:sz w:val="24"/>
          <w:szCs w:val="24"/>
        </w:rPr>
        <w:t xml:space="preserve"> a </w:t>
      </w:r>
      <w:r w:rsidR="006D388F">
        <w:rPr>
          <w:rFonts w:ascii="Garamond" w:eastAsia="Calibri" w:hAnsi="Garamond"/>
          <w:sz w:val="24"/>
          <w:szCs w:val="24"/>
        </w:rPr>
        <w:t xml:space="preserve">trabalhadores </w:t>
      </w:r>
      <w:r w:rsidR="00E85E59" w:rsidRPr="003A1174">
        <w:rPr>
          <w:rFonts w:ascii="Garamond" w:eastAsia="Calibri" w:hAnsi="Garamond"/>
          <w:sz w:val="24"/>
          <w:szCs w:val="24"/>
        </w:rPr>
        <w:t>do</w:t>
      </w:r>
      <w:r w:rsidR="00374F16" w:rsidRPr="003A1174">
        <w:rPr>
          <w:rFonts w:ascii="Garamond" w:eastAsia="Calibri" w:hAnsi="Garamond"/>
          <w:sz w:val="24"/>
          <w:szCs w:val="24"/>
        </w:rPr>
        <w:t xml:space="preserve"> </w:t>
      </w:r>
      <w:r w:rsidR="000D7B87">
        <w:rPr>
          <w:rFonts w:ascii="Garamond" w:eastAsia="Calibri" w:hAnsi="Garamond"/>
          <w:sz w:val="24"/>
          <w:szCs w:val="24"/>
        </w:rPr>
        <w:t>S</w:t>
      </w:r>
      <w:r w:rsidR="00374F16" w:rsidRPr="003A1174">
        <w:rPr>
          <w:rFonts w:ascii="Garamond" w:eastAsia="Calibri" w:hAnsi="Garamond"/>
          <w:sz w:val="24"/>
          <w:szCs w:val="24"/>
        </w:rPr>
        <w:t xml:space="preserve">istema </w:t>
      </w:r>
      <w:r w:rsidR="00DD6896">
        <w:rPr>
          <w:rFonts w:ascii="Garamond" w:eastAsia="Calibri" w:hAnsi="Garamond"/>
          <w:sz w:val="24"/>
          <w:szCs w:val="24"/>
        </w:rPr>
        <w:t>Judicial</w:t>
      </w:r>
    </w:p>
    <w:p w:rsidR="00955D60" w:rsidRPr="003A1174" w:rsidRDefault="002C718C" w:rsidP="008719D4">
      <w:pPr>
        <w:spacing w:before="240" w:after="0" w:line="240" w:lineRule="auto"/>
        <w:jc w:val="both"/>
        <w:rPr>
          <w:rFonts w:ascii="Garamond" w:eastAsia="Calibri" w:hAnsi="Garamond" w:cs="Arial"/>
          <w:sz w:val="24"/>
          <w:szCs w:val="24"/>
        </w:rPr>
      </w:pPr>
      <w:r w:rsidRPr="003A1174">
        <w:rPr>
          <w:rFonts w:ascii="Garamond" w:eastAsia="Calibri" w:hAnsi="Garamond" w:cs="Arial"/>
          <w:sz w:val="24"/>
          <w:szCs w:val="24"/>
        </w:rPr>
        <w:t>E</w:t>
      </w:r>
      <w:r w:rsidR="00BE668D" w:rsidRPr="003A1174">
        <w:rPr>
          <w:rFonts w:ascii="Garamond" w:eastAsia="Calibri" w:hAnsi="Garamond" w:cs="Arial"/>
          <w:sz w:val="24"/>
          <w:szCs w:val="24"/>
        </w:rPr>
        <w:t>m</w:t>
      </w:r>
      <w:r w:rsidRPr="003A1174">
        <w:rPr>
          <w:rFonts w:ascii="Garamond" w:eastAsia="Calibri" w:hAnsi="Garamond" w:cs="Arial"/>
          <w:sz w:val="24"/>
          <w:szCs w:val="24"/>
        </w:rPr>
        <w:t xml:space="preserve"> </w:t>
      </w:r>
      <w:r w:rsidR="00AB6522" w:rsidRPr="003A1174">
        <w:rPr>
          <w:rFonts w:ascii="Garamond" w:eastAsia="Calibri" w:hAnsi="Garamond" w:cs="Arial"/>
          <w:sz w:val="24"/>
          <w:szCs w:val="24"/>
        </w:rPr>
        <w:t>resposta</w:t>
      </w:r>
      <w:r w:rsidRPr="003A1174">
        <w:rPr>
          <w:rFonts w:ascii="Garamond" w:eastAsia="Calibri" w:hAnsi="Garamond" w:cs="Arial"/>
          <w:sz w:val="24"/>
          <w:szCs w:val="24"/>
        </w:rPr>
        <w:t xml:space="preserve"> a</w:t>
      </w:r>
      <w:r w:rsidR="00BE668D" w:rsidRPr="003A1174">
        <w:rPr>
          <w:rFonts w:ascii="Garamond" w:eastAsia="Calibri" w:hAnsi="Garamond" w:cs="Arial"/>
          <w:sz w:val="24"/>
          <w:szCs w:val="24"/>
        </w:rPr>
        <w:t>o</w:t>
      </w:r>
      <w:r w:rsidR="00955D60" w:rsidRPr="003A1174">
        <w:rPr>
          <w:rFonts w:ascii="Garamond" w:eastAsia="Calibri" w:hAnsi="Garamond" w:cs="Arial"/>
          <w:sz w:val="24"/>
          <w:szCs w:val="24"/>
        </w:rPr>
        <w:t xml:space="preserve">s </w:t>
      </w:r>
      <w:r w:rsidR="00BE668D" w:rsidRPr="003A1174">
        <w:rPr>
          <w:rFonts w:ascii="Garamond" w:eastAsia="Calibri" w:hAnsi="Garamond" w:cs="Arial"/>
          <w:sz w:val="24"/>
          <w:szCs w:val="24"/>
        </w:rPr>
        <w:t>pedidos</w:t>
      </w:r>
      <w:r w:rsidR="00955D60" w:rsidRPr="003A1174">
        <w:rPr>
          <w:rFonts w:ascii="Garamond" w:eastAsia="Calibri" w:hAnsi="Garamond" w:cs="Arial"/>
          <w:sz w:val="24"/>
          <w:szCs w:val="24"/>
        </w:rPr>
        <w:t xml:space="preserve"> de </w:t>
      </w:r>
      <w:r w:rsidR="0017447A" w:rsidRPr="003A1174">
        <w:rPr>
          <w:rFonts w:ascii="Garamond" w:eastAsia="Calibri" w:hAnsi="Garamond" w:cs="Arial"/>
          <w:sz w:val="24"/>
          <w:szCs w:val="24"/>
        </w:rPr>
        <w:t>informação</w:t>
      </w:r>
      <w:r w:rsidR="00955D60" w:rsidRPr="003A1174">
        <w:rPr>
          <w:rFonts w:ascii="Garamond" w:eastAsia="Calibri" w:hAnsi="Garamond" w:cs="Arial"/>
          <w:sz w:val="24"/>
          <w:szCs w:val="24"/>
        </w:rPr>
        <w:t xml:space="preserve"> que </w:t>
      </w:r>
      <w:r w:rsidR="00955D60" w:rsidRPr="003A1174">
        <w:rPr>
          <w:rFonts w:ascii="Garamond" w:hAnsi="Garamond" w:cs="Arial"/>
          <w:sz w:val="24"/>
          <w:szCs w:val="24"/>
        </w:rPr>
        <w:t xml:space="preserve">a </w:t>
      </w:r>
      <w:r w:rsidR="00FC1F7F" w:rsidRPr="003A1174">
        <w:rPr>
          <w:rFonts w:ascii="Garamond" w:hAnsi="Garamond" w:cs="Arial"/>
          <w:sz w:val="24"/>
          <w:szCs w:val="24"/>
        </w:rPr>
        <w:t>Comissão</w:t>
      </w:r>
      <w:r w:rsidR="00955D60" w:rsidRPr="003A1174">
        <w:rPr>
          <w:rFonts w:ascii="Garamond" w:hAnsi="Garamond" w:cs="Arial"/>
          <w:sz w:val="24"/>
          <w:szCs w:val="24"/>
        </w:rPr>
        <w:t xml:space="preserve"> Nacional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886D6A" w:rsidRPr="003A1174">
        <w:rPr>
          <w:rFonts w:ascii="Garamond" w:hAnsi="Garamond" w:cs="Arial"/>
          <w:sz w:val="24"/>
          <w:szCs w:val="24"/>
        </w:rPr>
        <w:t>Direito</w:t>
      </w:r>
      <w:r w:rsidR="00955D60" w:rsidRPr="003A1174">
        <w:rPr>
          <w:rFonts w:ascii="Garamond" w:hAnsi="Garamond" w:cs="Arial"/>
          <w:sz w:val="24"/>
          <w:szCs w:val="24"/>
        </w:rPr>
        <w:t xml:space="preserve">s Humanos </w:t>
      </w:r>
      <w:r w:rsidR="00946348" w:rsidRPr="003A1174">
        <w:rPr>
          <w:rFonts w:ascii="Garamond" w:hAnsi="Garamond" w:cs="Arial"/>
          <w:sz w:val="24"/>
          <w:szCs w:val="24"/>
        </w:rPr>
        <w:t>do México</w:t>
      </w:r>
      <w:r w:rsidR="00955D60" w:rsidRPr="003A1174">
        <w:rPr>
          <w:rFonts w:ascii="Garamond" w:hAnsi="Garamond" w:cs="Arial"/>
          <w:sz w:val="24"/>
          <w:szCs w:val="24"/>
        </w:rPr>
        <w:t xml:space="preserve"> </w:t>
      </w:r>
      <w:r w:rsidR="000D7B87">
        <w:rPr>
          <w:rFonts w:ascii="Garamond" w:hAnsi="Garamond" w:cs="Arial"/>
          <w:sz w:val="24"/>
          <w:szCs w:val="24"/>
        </w:rPr>
        <w:t xml:space="preserve">solicitou </w:t>
      </w:r>
      <w:r w:rsidR="00BB2B00" w:rsidRPr="003A1174">
        <w:rPr>
          <w:rFonts w:ascii="Garamond" w:eastAsia="Calibri" w:hAnsi="Garamond" w:cs="Arial"/>
          <w:sz w:val="24"/>
          <w:szCs w:val="24"/>
        </w:rPr>
        <w:t>à</w:t>
      </w:r>
      <w:r w:rsidR="00955D60" w:rsidRPr="003A1174">
        <w:rPr>
          <w:rFonts w:ascii="Garamond" w:eastAsia="Calibri" w:hAnsi="Garamond" w:cs="Arial"/>
          <w:sz w:val="24"/>
          <w:szCs w:val="24"/>
        </w:rPr>
        <w:t xml:space="preserve"> </w:t>
      </w:r>
      <w:r w:rsidR="00BE668D" w:rsidRPr="003A1174">
        <w:rPr>
          <w:rFonts w:ascii="Garamond" w:eastAsia="Calibri" w:hAnsi="Garamond" w:cs="Arial"/>
          <w:sz w:val="24"/>
          <w:szCs w:val="24"/>
        </w:rPr>
        <w:t>Procuradoria-Geral d</w:t>
      </w:r>
      <w:r w:rsidR="00955D60" w:rsidRPr="003A1174">
        <w:rPr>
          <w:rFonts w:ascii="Garamond" w:eastAsia="Calibri" w:hAnsi="Garamond" w:cs="Arial"/>
          <w:sz w:val="24"/>
          <w:szCs w:val="24"/>
        </w:rPr>
        <w:t xml:space="preserve">a República </w:t>
      </w:r>
      <w:r w:rsidR="000672E8" w:rsidRPr="003A1174">
        <w:rPr>
          <w:rFonts w:ascii="Garamond" w:eastAsia="Calibri" w:hAnsi="Garamond" w:cs="Arial"/>
          <w:sz w:val="24"/>
          <w:szCs w:val="24"/>
        </w:rPr>
        <w:t>e</w:t>
      </w:r>
      <w:r w:rsidR="00955D60" w:rsidRPr="003A1174">
        <w:rPr>
          <w:rFonts w:ascii="Garamond" w:eastAsia="Calibri" w:hAnsi="Garamond" w:cs="Arial"/>
          <w:sz w:val="24"/>
          <w:szCs w:val="24"/>
        </w:rPr>
        <w:t xml:space="preserve"> </w:t>
      </w:r>
      <w:r w:rsidR="00BE668D" w:rsidRPr="003A1174">
        <w:rPr>
          <w:rFonts w:ascii="Garamond" w:eastAsia="Calibri" w:hAnsi="Garamond" w:cs="Arial"/>
          <w:sz w:val="24"/>
          <w:szCs w:val="24"/>
        </w:rPr>
        <w:t xml:space="preserve">às suas </w:t>
      </w:r>
      <w:r w:rsidR="00955D60" w:rsidRPr="003A1174">
        <w:rPr>
          <w:rFonts w:ascii="Garamond" w:eastAsia="Calibri" w:hAnsi="Garamond" w:cs="Arial"/>
          <w:sz w:val="24"/>
          <w:szCs w:val="24"/>
        </w:rPr>
        <w:t>homólogas entidades federativas</w:t>
      </w:r>
      <w:r w:rsidR="002B467F">
        <w:rPr>
          <w:rFonts w:ascii="Garamond" w:eastAsia="Calibri" w:hAnsi="Garamond" w:cs="Arial"/>
          <w:sz w:val="24"/>
          <w:szCs w:val="24"/>
        </w:rPr>
        <w:t>,</w:t>
      </w:r>
      <w:r w:rsidRPr="003A1174">
        <w:rPr>
          <w:rFonts w:ascii="Garamond" w:eastAsia="Calibri" w:hAnsi="Garamond" w:cs="Arial"/>
          <w:sz w:val="24"/>
          <w:szCs w:val="24"/>
        </w:rPr>
        <w:t xml:space="preserve"> </w:t>
      </w:r>
      <w:r w:rsidR="00BE668D" w:rsidRPr="003A1174">
        <w:rPr>
          <w:rFonts w:ascii="Garamond" w:eastAsia="Calibri" w:hAnsi="Garamond" w:cs="Arial"/>
          <w:sz w:val="24"/>
          <w:szCs w:val="24"/>
        </w:rPr>
        <w:t xml:space="preserve">no </w:t>
      </w:r>
      <w:r w:rsidR="002C7510" w:rsidRPr="003A1174">
        <w:rPr>
          <w:rFonts w:ascii="Garamond" w:eastAsia="Calibri" w:hAnsi="Garamond" w:cs="Arial"/>
          <w:sz w:val="24"/>
          <w:szCs w:val="24"/>
        </w:rPr>
        <w:t>ano</w:t>
      </w:r>
      <w:r w:rsidRPr="003A1174">
        <w:rPr>
          <w:rFonts w:ascii="Garamond" w:eastAsia="Calibri" w:hAnsi="Garamond" w:cs="Arial"/>
          <w:sz w:val="24"/>
          <w:szCs w:val="24"/>
        </w:rPr>
        <w:t xml:space="preserve"> 2013</w:t>
      </w:r>
      <w:r w:rsidR="00955D60" w:rsidRPr="003A1174">
        <w:rPr>
          <w:rFonts w:ascii="Garamond" w:eastAsia="Calibri" w:hAnsi="Garamond" w:cs="Arial"/>
          <w:sz w:val="24"/>
          <w:szCs w:val="24"/>
        </w:rPr>
        <w:t xml:space="preserve">, </w:t>
      </w:r>
      <w:r w:rsidR="00BE668D" w:rsidRPr="003A1174">
        <w:rPr>
          <w:rFonts w:ascii="Garamond" w:eastAsia="Calibri" w:hAnsi="Garamond" w:cs="Arial"/>
          <w:sz w:val="24"/>
          <w:szCs w:val="24"/>
        </w:rPr>
        <w:t>obteve-</w:t>
      </w:r>
      <w:r w:rsidR="00955D60" w:rsidRPr="003A1174">
        <w:rPr>
          <w:rFonts w:ascii="Garamond" w:eastAsia="Calibri" w:hAnsi="Garamond" w:cs="Arial"/>
          <w:sz w:val="24"/>
          <w:szCs w:val="24"/>
        </w:rPr>
        <w:t xml:space="preserve">se </w:t>
      </w:r>
      <w:r w:rsidR="002B467F">
        <w:rPr>
          <w:rFonts w:ascii="Garamond" w:eastAsia="Calibri" w:hAnsi="Garamond" w:cs="Arial"/>
          <w:sz w:val="24"/>
          <w:szCs w:val="24"/>
        </w:rPr>
        <w:t>como resposta</w:t>
      </w:r>
      <w:r w:rsidR="000D7B87">
        <w:rPr>
          <w:rFonts w:ascii="Garamond" w:eastAsia="Calibri" w:hAnsi="Garamond" w:cs="Arial"/>
          <w:sz w:val="24"/>
          <w:szCs w:val="24"/>
        </w:rPr>
        <w:t xml:space="preserve"> </w:t>
      </w:r>
      <w:r w:rsidR="00955D60" w:rsidRPr="003A1174">
        <w:rPr>
          <w:rFonts w:ascii="Garamond" w:eastAsia="Calibri" w:hAnsi="Garamond" w:cs="Arial"/>
          <w:sz w:val="24"/>
          <w:szCs w:val="24"/>
        </w:rPr>
        <w:t xml:space="preserve">que a </w:t>
      </w:r>
      <w:r w:rsidR="0017447A" w:rsidRPr="003A1174">
        <w:rPr>
          <w:rFonts w:ascii="Garamond" w:eastAsia="Calibri" w:hAnsi="Garamond" w:cs="Arial"/>
          <w:sz w:val="24"/>
          <w:szCs w:val="24"/>
        </w:rPr>
        <w:t>nível</w:t>
      </w:r>
      <w:r w:rsidR="00955D60" w:rsidRPr="003A1174">
        <w:rPr>
          <w:rFonts w:ascii="Garamond" w:eastAsia="Calibri" w:hAnsi="Garamond" w:cs="Arial"/>
          <w:sz w:val="24"/>
          <w:szCs w:val="24"/>
        </w:rPr>
        <w:t xml:space="preserve"> federal</w:t>
      </w:r>
      <w:r w:rsidR="000D7B87">
        <w:rPr>
          <w:rFonts w:ascii="Garamond" w:eastAsia="Calibri" w:hAnsi="Garamond" w:cs="Arial"/>
          <w:sz w:val="24"/>
          <w:szCs w:val="24"/>
        </w:rPr>
        <w:t>,</w:t>
      </w:r>
      <w:r w:rsidR="00955D60" w:rsidRPr="003A1174">
        <w:rPr>
          <w:rFonts w:ascii="Garamond" w:eastAsia="Calibri" w:hAnsi="Garamond" w:cs="Arial"/>
          <w:sz w:val="24"/>
          <w:szCs w:val="24"/>
        </w:rPr>
        <w:t xml:space="preserve"> e</w:t>
      </w:r>
      <w:r w:rsidR="00BE668D" w:rsidRPr="003A1174">
        <w:rPr>
          <w:rFonts w:ascii="Garamond" w:eastAsia="Calibri" w:hAnsi="Garamond" w:cs="Arial"/>
          <w:sz w:val="24"/>
          <w:szCs w:val="24"/>
        </w:rPr>
        <w:t xml:space="preserve">m </w:t>
      </w:r>
      <w:proofErr w:type="gramStart"/>
      <w:r w:rsidR="002B467F">
        <w:rPr>
          <w:rFonts w:ascii="Garamond" w:eastAsia="Calibri" w:hAnsi="Garamond" w:cs="Arial"/>
          <w:sz w:val="24"/>
          <w:szCs w:val="24"/>
        </w:rPr>
        <w:t>9</w:t>
      </w:r>
      <w:proofErr w:type="gramEnd"/>
      <w:r w:rsidR="002B467F">
        <w:rPr>
          <w:rFonts w:ascii="Garamond" w:eastAsia="Calibri" w:hAnsi="Garamond" w:cs="Arial"/>
          <w:sz w:val="24"/>
          <w:szCs w:val="24"/>
        </w:rPr>
        <w:t xml:space="preserve"> </w:t>
      </w:r>
      <w:r w:rsidR="00497503" w:rsidRPr="003A1174">
        <w:rPr>
          <w:rFonts w:ascii="Garamond" w:eastAsia="Calibri" w:hAnsi="Garamond" w:cs="Arial"/>
          <w:sz w:val="24"/>
          <w:szCs w:val="24"/>
        </w:rPr>
        <w:t>dos</w:t>
      </w:r>
      <w:r w:rsidR="00955D60" w:rsidRPr="003A1174">
        <w:rPr>
          <w:rFonts w:ascii="Garamond" w:eastAsia="Calibri" w:hAnsi="Garamond" w:cs="Arial"/>
          <w:sz w:val="24"/>
          <w:szCs w:val="24"/>
        </w:rPr>
        <w:t xml:space="preserve"> estados</w:t>
      </w:r>
      <w:r w:rsidR="000D7B87">
        <w:rPr>
          <w:rFonts w:ascii="Garamond" w:eastAsia="Calibri" w:hAnsi="Garamond" w:cs="Arial"/>
          <w:sz w:val="24"/>
          <w:szCs w:val="24"/>
        </w:rPr>
        <w:t>,</w:t>
      </w:r>
      <w:r w:rsidR="00955D60" w:rsidRPr="003A1174">
        <w:rPr>
          <w:rStyle w:val="Refdenotaalpie"/>
          <w:rFonts w:ascii="Garamond" w:eastAsia="Calibri" w:hAnsi="Garamond" w:cs="Arial"/>
          <w:sz w:val="24"/>
          <w:szCs w:val="24"/>
        </w:rPr>
        <w:footnoteReference w:id="127"/>
      </w:r>
      <w:r w:rsidRPr="003A1174">
        <w:rPr>
          <w:rFonts w:ascii="Garamond" w:eastAsia="Calibri" w:hAnsi="Garamond" w:cs="Arial"/>
          <w:sz w:val="24"/>
          <w:szCs w:val="24"/>
        </w:rPr>
        <w:t xml:space="preserve"> </w:t>
      </w:r>
      <w:r w:rsidR="00955D60" w:rsidRPr="003A1174">
        <w:rPr>
          <w:rFonts w:ascii="Garamond" w:eastAsia="Calibri" w:hAnsi="Garamond" w:cs="Arial"/>
          <w:sz w:val="24"/>
          <w:szCs w:val="24"/>
        </w:rPr>
        <w:t>se implementar</w:t>
      </w:r>
      <w:r w:rsidR="00BE668D" w:rsidRPr="003A1174">
        <w:rPr>
          <w:rFonts w:ascii="Garamond" w:eastAsia="Calibri" w:hAnsi="Garamond" w:cs="Arial"/>
          <w:sz w:val="24"/>
          <w:szCs w:val="24"/>
        </w:rPr>
        <w:t xml:space="preserve">am </w:t>
      </w:r>
      <w:r w:rsidR="00A56F43" w:rsidRPr="003A1174">
        <w:rPr>
          <w:rFonts w:ascii="Garamond" w:eastAsia="Calibri" w:hAnsi="Garamond" w:cs="Arial"/>
          <w:sz w:val="24"/>
          <w:szCs w:val="24"/>
        </w:rPr>
        <w:t>estratégia</w:t>
      </w:r>
      <w:r w:rsidR="00955D60" w:rsidRPr="003A1174">
        <w:rPr>
          <w:rFonts w:ascii="Garamond" w:eastAsia="Calibri" w:hAnsi="Garamond" w:cs="Arial"/>
          <w:sz w:val="24"/>
          <w:szCs w:val="24"/>
        </w:rPr>
        <w:t xml:space="preserve">s </w:t>
      </w:r>
      <w:r w:rsidR="00BE668D" w:rsidRPr="003A1174">
        <w:rPr>
          <w:rFonts w:ascii="Garamond" w:eastAsia="Calibri" w:hAnsi="Garamond" w:cs="Arial"/>
          <w:sz w:val="24"/>
          <w:szCs w:val="24"/>
        </w:rPr>
        <w:t>par</w:t>
      </w:r>
      <w:r w:rsidR="00955D60" w:rsidRPr="003A1174">
        <w:rPr>
          <w:rFonts w:ascii="Garamond" w:eastAsia="Calibri" w:hAnsi="Garamond" w:cs="Arial"/>
          <w:sz w:val="24"/>
          <w:szCs w:val="24"/>
        </w:rPr>
        <w:t xml:space="preserve">a sensibilizar </w:t>
      </w:r>
      <w:r w:rsidR="000672E8" w:rsidRPr="003A1174">
        <w:rPr>
          <w:rFonts w:ascii="Garamond" w:eastAsia="Calibri" w:hAnsi="Garamond" w:cs="Arial"/>
          <w:sz w:val="24"/>
          <w:szCs w:val="24"/>
        </w:rPr>
        <w:t>e</w:t>
      </w:r>
      <w:r w:rsidR="00955D60" w:rsidRPr="003A1174">
        <w:rPr>
          <w:rFonts w:ascii="Garamond" w:eastAsia="Calibri" w:hAnsi="Garamond" w:cs="Arial"/>
          <w:sz w:val="24"/>
          <w:szCs w:val="24"/>
        </w:rPr>
        <w:t xml:space="preserve"> </w:t>
      </w:r>
      <w:r w:rsidR="002B467F">
        <w:rPr>
          <w:rFonts w:ascii="Garamond" w:eastAsia="Calibri" w:hAnsi="Garamond" w:cs="Arial"/>
          <w:sz w:val="24"/>
          <w:szCs w:val="24"/>
        </w:rPr>
        <w:t xml:space="preserve">formar </w:t>
      </w:r>
      <w:r w:rsidR="00BE668D" w:rsidRPr="003A1174">
        <w:rPr>
          <w:rFonts w:ascii="Garamond" w:eastAsia="Calibri" w:hAnsi="Garamond" w:cs="Arial"/>
          <w:sz w:val="24"/>
          <w:szCs w:val="24"/>
        </w:rPr>
        <w:t xml:space="preserve">o </w:t>
      </w:r>
      <w:r w:rsidR="008278C4" w:rsidRPr="003A1174">
        <w:rPr>
          <w:rFonts w:ascii="Garamond" w:eastAsia="Calibri" w:hAnsi="Garamond" w:cs="Arial"/>
          <w:sz w:val="24"/>
          <w:szCs w:val="24"/>
        </w:rPr>
        <w:t>pessoal</w:t>
      </w:r>
      <w:r w:rsidR="00955D60" w:rsidRPr="003A1174">
        <w:rPr>
          <w:rFonts w:ascii="Garamond" w:eastAsia="Calibri" w:hAnsi="Garamond" w:cs="Arial"/>
          <w:sz w:val="24"/>
          <w:szCs w:val="24"/>
        </w:rPr>
        <w:t xml:space="preserve"> da </w:t>
      </w:r>
      <w:r w:rsidR="0096583F" w:rsidRPr="003A1174">
        <w:rPr>
          <w:rFonts w:ascii="Garamond" w:eastAsia="Calibri" w:hAnsi="Garamond" w:cs="Arial"/>
          <w:sz w:val="24"/>
          <w:szCs w:val="24"/>
        </w:rPr>
        <w:t>Procuradoria</w:t>
      </w:r>
      <w:r w:rsidR="00955D60" w:rsidRPr="003A1174">
        <w:rPr>
          <w:rFonts w:ascii="Garamond" w:eastAsia="Calibri" w:hAnsi="Garamond" w:cs="Arial"/>
          <w:sz w:val="24"/>
          <w:szCs w:val="24"/>
        </w:rPr>
        <w:t xml:space="preserve">, </w:t>
      </w:r>
      <w:r w:rsidR="00BE668D" w:rsidRPr="003A1174">
        <w:rPr>
          <w:rFonts w:ascii="Garamond" w:eastAsia="Calibri" w:hAnsi="Garamond" w:cs="Arial"/>
          <w:sz w:val="24"/>
          <w:szCs w:val="24"/>
        </w:rPr>
        <w:t xml:space="preserve">com o fim de promoverem </w:t>
      </w:r>
      <w:r w:rsidR="00955D60" w:rsidRPr="003A1174">
        <w:rPr>
          <w:rFonts w:ascii="Garamond" w:eastAsia="Calibri" w:hAnsi="Garamond" w:cs="Arial"/>
          <w:sz w:val="24"/>
          <w:szCs w:val="24"/>
        </w:rPr>
        <w:t xml:space="preserve">a </w:t>
      </w:r>
      <w:r w:rsidR="002C7510" w:rsidRPr="003A1174">
        <w:rPr>
          <w:rFonts w:ascii="Garamond" w:eastAsia="Calibri" w:hAnsi="Garamond" w:cs="Arial"/>
          <w:sz w:val="24"/>
          <w:szCs w:val="24"/>
        </w:rPr>
        <w:t>igualdade</w:t>
      </w:r>
      <w:r w:rsidR="00955D60" w:rsidRPr="003A1174">
        <w:rPr>
          <w:rFonts w:ascii="Garamond" w:eastAsia="Calibri" w:hAnsi="Garamond" w:cs="Arial"/>
          <w:sz w:val="24"/>
          <w:szCs w:val="24"/>
        </w:rPr>
        <w:t xml:space="preserve"> entre </w:t>
      </w:r>
      <w:r w:rsidR="00054EE0" w:rsidRPr="003A1174">
        <w:rPr>
          <w:rFonts w:ascii="Garamond" w:eastAsia="Calibri" w:hAnsi="Garamond" w:cs="Arial"/>
          <w:sz w:val="24"/>
          <w:szCs w:val="24"/>
        </w:rPr>
        <w:t>mulheres</w:t>
      </w:r>
      <w:r w:rsidR="00955D60"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955D60" w:rsidRPr="003A1174">
        <w:rPr>
          <w:rFonts w:ascii="Garamond" w:eastAsia="Calibri" w:hAnsi="Garamond" w:cs="Arial"/>
          <w:sz w:val="24"/>
          <w:szCs w:val="24"/>
        </w:rPr>
        <w:t xml:space="preserve"> </w:t>
      </w:r>
      <w:r w:rsidR="00524936" w:rsidRPr="003A1174">
        <w:rPr>
          <w:rFonts w:ascii="Garamond" w:eastAsia="Calibri" w:hAnsi="Garamond" w:cs="Arial"/>
          <w:sz w:val="24"/>
          <w:szCs w:val="24"/>
        </w:rPr>
        <w:t>homens</w:t>
      </w:r>
      <w:r w:rsidR="00955D60" w:rsidRPr="003A1174">
        <w:rPr>
          <w:rFonts w:ascii="Garamond" w:eastAsia="Calibri" w:hAnsi="Garamond" w:cs="Arial"/>
          <w:sz w:val="24"/>
          <w:szCs w:val="24"/>
        </w:rPr>
        <w:t xml:space="preserve">, </w:t>
      </w:r>
      <w:r w:rsidR="000464C8" w:rsidRPr="003A1174">
        <w:rPr>
          <w:rFonts w:ascii="Garamond" w:eastAsia="Calibri" w:hAnsi="Garamond" w:cs="Arial"/>
          <w:sz w:val="24"/>
          <w:szCs w:val="24"/>
        </w:rPr>
        <w:t>assim</w:t>
      </w:r>
      <w:r w:rsidR="00BE668D" w:rsidRPr="003A1174">
        <w:rPr>
          <w:rFonts w:ascii="Garamond" w:eastAsia="Calibri" w:hAnsi="Garamond" w:cs="Arial"/>
          <w:sz w:val="24"/>
          <w:szCs w:val="24"/>
        </w:rPr>
        <w:t xml:space="preserve"> como </w:t>
      </w:r>
      <w:r w:rsidR="00955D60" w:rsidRPr="003A1174">
        <w:rPr>
          <w:rFonts w:ascii="Garamond" w:eastAsia="Calibri" w:hAnsi="Garamond" w:cs="Arial"/>
          <w:sz w:val="24"/>
          <w:szCs w:val="24"/>
        </w:rPr>
        <w:t xml:space="preserve">a </w:t>
      </w:r>
      <w:r w:rsidR="007578C6" w:rsidRPr="003A1174">
        <w:rPr>
          <w:rFonts w:ascii="Garamond" w:eastAsia="Calibri" w:hAnsi="Garamond" w:cs="Arial"/>
          <w:sz w:val="24"/>
          <w:szCs w:val="24"/>
        </w:rPr>
        <w:t>prevenção</w:t>
      </w:r>
      <w:r w:rsidR="00955D60" w:rsidRPr="003A1174">
        <w:rPr>
          <w:rFonts w:ascii="Garamond" w:eastAsia="Calibri" w:hAnsi="Garamond" w:cs="Arial"/>
          <w:sz w:val="24"/>
          <w:szCs w:val="24"/>
        </w:rPr>
        <w:t xml:space="preserve"> da </w:t>
      </w:r>
      <w:r w:rsidR="000350B1" w:rsidRPr="003A1174">
        <w:rPr>
          <w:rFonts w:ascii="Garamond" w:eastAsia="Calibri" w:hAnsi="Garamond" w:cs="Arial"/>
          <w:sz w:val="24"/>
          <w:szCs w:val="24"/>
        </w:rPr>
        <w:t>violência</w:t>
      </w:r>
      <w:r w:rsidR="00955D60" w:rsidRPr="003A1174">
        <w:rPr>
          <w:rFonts w:ascii="Garamond" w:eastAsia="Calibri" w:hAnsi="Garamond" w:cs="Arial"/>
          <w:sz w:val="24"/>
          <w:szCs w:val="24"/>
        </w:rPr>
        <w:t xml:space="preserve"> de género.</w:t>
      </w:r>
    </w:p>
    <w:p w:rsidR="00955D60" w:rsidRPr="003A1174" w:rsidRDefault="00374F16"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r w:rsidRPr="003A1174">
        <w:rPr>
          <w:rFonts w:ascii="Garamond" w:hAnsi="Garamond"/>
          <w:sz w:val="24"/>
          <w:szCs w:val="24"/>
        </w:rPr>
        <w:t>: Guanajuato</w:t>
      </w:r>
    </w:p>
    <w:p w:rsidR="00955D60" w:rsidRPr="003A1174" w:rsidRDefault="002C718C" w:rsidP="008719D4">
      <w:pPr>
        <w:spacing w:before="240" w:after="0" w:line="240" w:lineRule="auto"/>
        <w:jc w:val="both"/>
        <w:rPr>
          <w:rFonts w:ascii="Garamond" w:hAnsi="Garamond" w:cs="Arial"/>
          <w:sz w:val="24"/>
          <w:szCs w:val="24"/>
        </w:rPr>
      </w:pPr>
      <w:r w:rsidRPr="003A1174">
        <w:rPr>
          <w:rFonts w:ascii="Garamond" w:hAnsi="Garamond" w:cs="Arial"/>
          <w:sz w:val="24"/>
          <w:szCs w:val="24"/>
        </w:rPr>
        <w:t>Rem</w:t>
      </w:r>
      <w:r w:rsidR="00D4144D" w:rsidRPr="003A1174">
        <w:rPr>
          <w:rFonts w:ascii="Garamond" w:hAnsi="Garamond" w:cs="Arial"/>
          <w:sz w:val="24"/>
          <w:szCs w:val="24"/>
        </w:rPr>
        <w:t>ete</w:t>
      </w:r>
      <w:r w:rsidRPr="003A1174">
        <w:rPr>
          <w:rFonts w:ascii="Garamond" w:hAnsi="Garamond" w:cs="Arial"/>
          <w:sz w:val="24"/>
          <w:szCs w:val="24"/>
        </w:rPr>
        <w:t>mos</w:t>
      </w:r>
      <w:r w:rsidR="00D4144D" w:rsidRPr="003A1174">
        <w:rPr>
          <w:rFonts w:ascii="Garamond" w:hAnsi="Garamond" w:cs="Arial"/>
          <w:sz w:val="24"/>
          <w:szCs w:val="24"/>
        </w:rPr>
        <w:t xml:space="preserve"> para o ponto sob</w:t>
      </w:r>
      <w:r w:rsidR="00955D60" w:rsidRPr="003A1174">
        <w:rPr>
          <w:rFonts w:ascii="Garamond" w:hAnsi="Garamond" w:cs="Arial"/>
          <w:sz w:val="24"/>
          <w:szCs w:val="24"/>
        </w:rPr>
        <w:t xml:space="preserve">re </w:t>
      </w:r>
      <w:r w:rsidR="002B467F">
        <w:rPr>
          <w:rFonts w:ascii="Garamond" w:hAnsi="Garamond" w:cs="Arial"/>
          <w:sz w:val="24"/>
          <w:szCs w:val="24"/>
        </w:rPr>
        <w:t>«</w:t>
      </w:r>
      <w:r w:rsidR="00B14AA6" w:rsidRPr="003A1174">
        <w:rPr>
          <w:rFonts w:ascii="Garamond" w:hAnsi="Garamond" w:cs="Arial"/>
          <w:sz w:val="24"/>
          <w:szCs w:val="24"/>
        </w:rPr>
        <w:t>Disposições</w:t>
      </w:r>
      <w:r w:rsidR="00955D60" w:rsidRPr="003A1174">
        <w:rPr>
          <w:rFonts w:ascii="Garamond" w:hAnsi="Garamond" w:cs="Arial"/>
          <w:sz w:val="24"/>
          <w:szCs w:val="24"/>
        </w:rPr>
        <w:t xml:space="preserve"> </w:t>
      </w:r>
      <w:r w:rsidR="002D1021" w:rsidRPr="003A1174">
        <w:rPr>
          <w:rFonts w:ascii="Garamond" w:hAnsi="Garamond" w:cs="Arial"/>
          <w:sz w:val="24"/>
          <w:szCs w:val="24"/>
        </w:rPr>
        <w:t>legais</w:t>
      </w:r>
      <w:r w:rsidR="002B467F">
        <w:rPr>
          <w:rFonts w:ascii="Garamond" w:hAnsi="Garamond" w:cs="Arial"/>
          <w:sz w:val="24"/>
          <w:szCs w:val="24"/>
        </w:rPr>
        <w:t>»</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capítulo inicial da presente </w:t>
      </w:r>
      <w:r w:rsidR="00800D59" w:rsidRPr="00EA2345">
        <w:rPr>
          <w:rFonts w:ascii="Garamond" w:hAnsi="Garamond" w:cs="Arial"/>
          <w:sz w:val="24"/>
          <w:szCs w:val="24"/>
        </w:rPr>
        <w:t>sistematização</w:t>
      </w:r>
      <w:r w:rsidR="00D4144D" w:rsidRPr="00EA2345">
        <w:rPr>
          <w:rFonts w:ascii="Garamond" w:hAnsi="Garamond" w:cs="Arial"/>
          <w:sz w:val="24"/>
          <w:szCs w:val="24"/>
        </w:rPr>
        <w:t xml:space="preserve">, </w:t>
      </w:r>
      <w:r w:rsidR="002B467F" w:rsidRPr="00EA2345">
        <w:rPr>
          <w:rFonts w:ascii="Garamond" w:hAnsi="Garamond" w:cs="Arial"/>
          <w:sz w:val="24"/>
          <w:szCs w:val="24"/>
        </w:rPr>
        <w:t xml:space="preserve">em que </w:t>
      </w:r>
      <w:r w:rsidR="00955D60" w:rsidRPr="00EA2345">
        <w:rPr>
          <w:rFonts w:ascii="Garamond" w:hAnsi="Garamond" w:cs="Arial"/>
          <w:sz w:val="24"/>
          <w:szCs w:val="24"/>
        </w:rPr>
        <w:t xml:space="preserve">se </w:t>
      </w:r>
      <w:r w:rsidR="00D4144D" w:rsidRPr="00EA2345">
        <w:rPr>
          <w:rFonts w:ascii="Garamond" w:hAnsi="Garamond" w:cs="Arial"/>
          <w:sz w:val="24"/>
          <w:szCs w:val="24"/>
        </w:rPr>
        <w:t xml:space="preserve">faz </w:t>
      </w:r>
      <w:r w:rsidR="00CB5DB2" w:rsidRPr="00EA2345">
        <w:rPr>
          <w:rFonts w:ascii="Garamond" w:hAnsi="Garamond" w:cs="Arial"/>
          <w:sz w:val="24"/>
          <w:szCs w:val="24"/>
        </w:rPr>
        <w:t>referência</w:t>
      </w:r>
      <w:r w:rsidR="00955D60" w:rsidRPr="00EA2345">
        <w:rPr>
          <w:rFonts w:ascii="Garamond" w:hAnsi="Garamond" w:cs="Arial"/>
          <w:sz w:val="24"/>
          <w:szCs w:val="24"/>
        </w:rPr>
        <w:t xml:space="preserve"> </w:t>
      </w:r>
      <w:r w:rsidR="00BB2B00" w:rsidRPr="00EA2345">
        <w:rPr>
          <w:rFonts w:ascii="Garamond" w:hAnsi="Garamond" w:cs="Arial"/>
          <w:sz w:val="24"/>
          <w:szCs w:val="24"/>
        </w:rPr>
        <w:t>à</w:t>
      </w:r>
      <w:r w:rsidR="00955D60" w:rsidRPr="00EA2345">
        <w:rPr>
          <w:rFonts w:ascii="Garamond" w:hAnsi="Garamond" w:cs="Arial"/>
          <w:sz w:val="24"/>
          <w:szCs w:val="24"/>
        </w:rPr>
        <w:t xml:space="preserve">s medidas previstas </w:t>
      </w:r>
      <w:r w:rsidR="00D4144D" w:rsidRPr="00EA2345">
        <w:rPr>
          <w:rFonts w:ascii="Garamond" w:hAnsi="Garamond" w:cs="Arial"/>
          <w:sz w:val="24"/>
          <w:szCs w:val="24"/>
        </w:rPr>
        <w:t>no</w:t>
      </w:r>
      <w:r w:rsidR="00955D60" w:rsidRPr="00EA2345">
        <w:rPr>
          <w:rFonts w:ascii="Garamond" w:hAnsi="Garamond" w:cs="Arial"/>
          <w:sz w:val="24"/>
          <w:szCs w:val="24"/>
        </w:rPr>
        <w:t xml:space="preserve"> </w:t>
      </w:r>
      <w:r w:rsidR="00C86C58" w:rsidRPr="00EA2345">
        <w:rPr>
          <w:rFonts w:ascii="Garamond" w:hAnsi="Garamond" w:cs="Arial"/>
          <w:sz w:val="24"/>
          <w:szCs w:val="24"/>
        </w:rPr>
        <w:t>ordenamento</w:t>
      </w:r>
      <w:r w:rsidR="00955D60" w:rsidRPr="00EA2345">
        <w:rPr>
          <w:rFonts w:ascii="Garamond" w:hAnsi="Garamond" w:cs="Arial"/>
          <w:sz w:val="24"/>
          <w:szCs w:val="24"/>
        </w:rPr>
        <w:t xml:space="preserve"> </w:t>
      </w:r>
      <w:r w:rsidR="00E85E59" w:rsidRPr="00EA2345">
        <w:rPr>
          <w:rFonts w:ascii="Garamond" w:hAnsi="Garamond" w:cs="Arial"/>
          <w:sz w:val="24"/>
          <w:szCs w:val="24"/>
        </w:rPr>
        <w:t>do</w:t>
      </w:r>
      <w:r w:rsidR="00955D60" w:rsidRPr="00EA2345">
        <w:rPr>
          <w:rFonts w:ascii="Garamond" w:hAnsi="Garamond" w:cs="Arial"/>
          <w:sz w:val="24"/>
          <w:szCs w:val="24"/>
        </w:rPr>
        <w:t xml:space="preserve"> </w:t>
      </w:r>
      <w:r w:rsidR="002B467F" w:rsidRPr="00EA2345">
        <w:rPr>
          <w:rFonts w:ascii="Garamond" w:hAnsi="Garamond" w:cs="Arial"/>
          <w:sz w:val="24"/>
          <w:szCs w:val="24"/>
        </w:rPr>
        <w:t>E</w:t>
      </w:r>
      <w:r w:rsidR="00955D60" w:rsidRPr="00EA2345">
        <w:rPr>
          <w:rFonts w:ascii="Garamond" w:hAnsi="Garamond" w:cs="Arial"/>
          <w:sz w:val="24"/>
          <w:szCs w:val="24"/>
        </w:rPr>
        <w:t>stado</w:t>
      </w:r>
      <w:r w:rsidR="002B467F" w:rsidRPr="00EA2345">
        <w:rPr>
          <w:rFonts w:ascii="Garamond" w:hAnsi="Garamond" w:cs="Arial"/>
          <w:sz w:val="24"/>
          <w:szCs w:val="24"/>
        </w:rPr>
        <w:t xml:space="preserve"> do México</w:t>
      </w:r>
      <w:r w:rsidR="00955D60" w:rsidRPr="00EA2345">
        <w:rPr>
          <w:rFonts w:ascii="Garamond" w:hAnsi="Garamond" w:cs="Arial"/>
          <w:sz w:val="24"/>
          <w:szCs w:val="24"/>
        </w:rPr>
        <w:t>.</w:t>
      </w:r>
    </w:p>
    <w:p w:rsidR="00955D60" w:rsidRPr="003A1174" w:rsidRDefault="00374F16" w:rsidP="008719D4">
      <w:pPr>
        <w:spacing w:before="240" w:after="0" w:line="240" w:lineRule="auto"/>
        <w:jc w:val="both"/>
        <w:rPr>
          <w:rFonts w:ascii="Garamond" w:hAnsi="Garamond" w:cs="Arial"/>
          <w:sz w:val="24"/>
          <w:szCs w:val="24"/>
        </w:rPr>
      </w:pPr>
      <w:r w:rsidRPr="003A1174">
        <w:rPr>
          <w:rStyle w:val="Ttulo4Car"/>
          <w:rFonts w:ascii="Garamond" w:hAnsi="Garamond"/>
          <w:sz w:val="24"/>
          <w:szCs w:val="24"/>
        </w:rPr>
        <w:t xml:space="preserve">Casas de </w:t>
      </w:r>
      <w:r w:rsidR="00B936A7" w:rsidRPr="003A1174">
        <w:rPr>
          <w:rStyle w:val="Ttulo4Car"/>
          <w:rFonts w:ascii="Garamond" w:hAnsi="Garamond"/>
          <w:sz w:val="24"/>
          <w:szCs w:val="24"/>
        </w:rPr>
        <w:t>abrigo</w:t>
      </w:r>
      <w:r w:rsidRPr="003A1174">
        <w:rPr>
          <w:rStyle w:val="Ttulo4Car"/>
          <w:rFonts w:ascii="Garamond" w:hAnsi="Garamond"/>
          <w:sz w:val="24"/>
          <w:szCs w:val="24"/>
        </w:rPr>
        <w:t>: Guanajuato</w:t>
      </w:r>
    </w:p>
    <w:p w:rsidR="00955D60" w:rsidRPr="003A1174" w:rsidRDefault="00D4144D"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A </w:t>
      </w:r>
      <w:r w:rsidR="0096583F" w:rsidRPr="003A1174">
        <w:rPr>
          <w:rFonts w:ascii="Garamond" w:hAnsi="Garamond" w:cs="Arial"/>
          <w:sz w:val="24"/>
          <w:szCs w:val="24"/>
        </w:rPr>
        <w:t>Procuradoria</w:t>
      </w:r>
      <w:r w:rsidR="00955D60" w:rsidRPr="003A1174">
        <w:rPr>
          <w:rFonts w:ascii="Garamond" w:hAnsi="Garamond" w:cs="Arial"/>
          <w:sz w:val="24"/>
          <w:szCs w:val="24"/>
        </w:rPr>
        <w:t xml:space="preserve"> de </w:t>
      </w:r>
      <w:r w:rsidR="00886D6A" w:rsidRPr="003A1174">
        <w:rPr>
          <w:rFonts w:ascii="Garamond" w:hAnsi="Garamond" w:cs="Arial"/>
          <w:sz w:val="24"/>
          <w:szCs w:val="24"/>
        </w:rPr>
        <w:t>Direito</w:t>
      </w:r>
      <w:r w:rsidR="00955D60" w:rsidRPr="003A1174">
        <w:rPr>
          <w:rFonts w:ascii="Garamond" w:hAnsi="Garamond" w:cs="Arial"/>
          <w:sz w:val="24"/>
          <w:szCs w:val="24"/>
        </w:rPr>
        <w:t xml:space="preserve">s Humanos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2C718C" w:rsidRPr="003A1174">
        <w:rPr>
          <w:rFonts w:ascii="Garamond" w:hAnsi="Garamond" w:cs="Arial"/>
          <w:sz w:val="24"/>
          <w:szCs w:val="24"/>
        </w:rPr>
        <w:t>E</w:t>
      </w:r>
      <w:r w:rsidR="00955D60" w:rsidRPr="003A1174">
        <w:rPr>
          <w:rFonts w:ascii="Garamond" w:hAnsi="Garamond" w:cs="Arial"/>
          <w:sz w:val="24"/>
          <w:szCs w:val="24"/>
        </w:rPr>
        <w:t xml:space="preserve">stado de Guanajuato (PDHEG) </w:t>
      </w:r>
      <w:r w:rsidR="002631C1">
        <w:rPr>
          <w:rFonts w:ascii="Garamond" w:hAnsi="Garamond" w:cs="Arial"/>
          <w:sz w:val="24"/>
          <w:szCs w:val="24"/>
        </w:rPr>
        <w:t xml:space="preserve">sublinha </w:t>
      </w:r>
      <w:r w:rsidRPr="003A1174">
        <w:rPr>
          <w:rFonts w:ascii="Garamond" w:hAnsi="Garamond" w:cs="Arial"/>
          <w:sz w:val="24"/>
          <w:szCs w:val="24"/>
        </w:rPr>
        <w:t xml:space="preserve">que </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3F012B" w:rsidRPr="003A1174">
        <w:rPr>
          <w:rFonts w:ascii="Garamond" w:hAnsi="Garamond" w:cs="Arial"/>
          <w:sz w:val="24"/>
          <w:szCs w:val="24"/>
        </w:rPr>
        <w:t>vítima</w:t>
      </w:r>
      <w:r w:rsidR="00955D60" w:rsidRPr="003A1174">
        <w:rPr>
          <w:rFonts w:ascii="Garamond" w:hAnsi="Garamond" w:cs="Arial"/>
          <w:sz w:val="24"/>
          <w:szCs w:val="24"/>
        </w:rPr>
        <w:t xml:space="preserve">s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de género </w:t>
      </w:r>
      <w:r w:rsidR="00D4575C" w:rsidRPr="003A1174">
        <w:rPr>
          <w:rFonts w:ascii="Garamond" w:hAnsi="Garamond" w:cs="Arial"/>
          <w:sz w:val="24"/>
          <w:szCs w:val="24"/>
        </w:rPr>
        <w:t>têm</w:t>
      </w:r>
      <w:r w:rsidR="00955D60" w:rsidRPr="003A1174">
        <w:rPr>
          <w:rFonts w:ascii="Garamond" w:hAnsi="Garamond" w:cs="Arial"/>
          <w:sz w:val="24"/>
          <w:szCs w:val="24"/>
        </w:rPr>
        <w:t xml:space="preserve"> </w:t>
      </w:r>
      <w:r w:rsidRPr="003A1174">
        <w:rPr>
          <w:rFonts w:ascii="Garamond" w:hAnsi="Garamond" w:cs="Arial"/>
          <w:sz w:val="24"/>
          <w:szCs w:val="24"/>
        </w:rPr>
        <w:t xml:space="preserve">o </w:t>
      </w:r>
      <w:r w:rsidR="00886D6A" w:rsidRPr="003A1174">
        <w:rPr>
          <w:rFonts w:ascii="Garamond" w:hAnsi="Garamond" w:cs="Arial"/>
          <w:sz w:val="24"/>
          <w:szCs w:val="24"/>
        </w:rPr>
        <w:t>direito</w:t>
      </w:r>
      <w:r w:rsidRPr="003A1174">
        <w:rPr>
          <w:rFonts w:ascii="Garamond" w:hAnsi="Garamond" w:cs="Arial"/>
          <w:sz w:val="24"/>
          <w:szCs w:val="24"/>
        </w:rPr>
        <w:t xml:space="preserve"> de</w:t>
      </w:r>
      <w:r w:rsidR="00955D60" w:rsidRPr="003A1174">
        <w:rPr>
          <w:rFonts w:ascii="Garamond" w:hAnsi="Garamond" w:cs="Arial"/>
          <w:sz w:val="24"/>
          <w:szCs w:val="24"/>
        </w:rPr>
        <w:t xml:space="preserve"> </w:t>
      </w:r>
      <w:r w:rsidRPr="003A1174">
        <w:rPr>
          <w:rFonts w:ascii="Garamond" w:hAnsi="Garamond" w:cs="Arial"/>
          <w:sz w:val="24"/>
          <w:szCs w:val="24"/>
        </w:rPr>
        <w:t>receber</w:t>
      </w:r>
      <w:r w:rsidR="00955D60" w:rsidRPr="003A1174">
        <w:rPr>
          <w:rFonts w:ascii="Garamond" w:hAnsi="Garamond" w:cs="Arial"/>
          <w:sz w:val="24"/>
          <w:szCs w:val="24"/>
        </w:rPr>
        <w:t xml:space="preserve"> </w:t>
      </w:r>
      <w:r w:rsidR="000350B1" w:rsidRPr="003A1174">
        <w:rPr>
          <w:rFonts w:ascii="Garamond" w:hAnsi="Garamond" w:cs="Arial"/>
          <w:sz w:val="24"/>
          <w:szCs w:val="24"/>
        </w:rPr>
        <w:t>assistência</w:t>
      </w:r>
      <w:r w:rsidR="00955D60" w:rsidRPr="003A1174">
        <w:rPr>
          <w:rFonts w:ascii="Garamond" w:hAnsi="Garamond" w:cs="Arial"/>
          <w:sz w:val="24"/>
          <w:szCs w:val="24"/>
        </w:rPr>
        <w:t xml:space="preserve"> social integral</w:t>
      </w:r>
      <w:r w:rsidR="002C718C" w:rsidRPr="003A1174">
        <w:rPr>
          <w:rFonts w:ascii="Garamond" w:hAnsi="Garamond" w:cs="Arial"/>
          <w:sz w:val="24"/>
          <w:szCs w:val="24"/>
        </w:rPr>
        <w:t xml:space="preserve">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B531F2" w:rsidRPr="003A1174">
        <w:rPr>
          <w:rFonts w:ascii="Garamond" w:hAnsi="Garamond" w:cs="Arial"/>
          <w:sz w:val="24"/>
          <w:szCs w:val="24"/>
        </w:rPr>
        <w:t>serviço</w:t>
      </w:r>
      <w:r w:rsidR="00955D60" w:rsidRPr="003A1174">
        <w:rPr>
          <w:rFonts w:ascii="Garamond" w:hAnsi="Garamond" w:cs="Arial"/>
          <w:sz w:val="24"/>
          <w:szCs w:val="24"/>
        </w:rPr>
        <w:t xml:space="preserve">s </w:t>
      </w:r>
      <w:r w:rsidR="003F012B" w:rsidRPr="003A1174">
        <w:rPr>
          <w:rFonts w:ascii="Garamond" w:hAnsi="Garamond" w:cs="Arial"/>
          <w:sz w:val="24"/>
          <w:szCs w:val="24"/>
        </w:rPr>
        <w:t>sociais</w:t>
      </w:r>
      <w:r w:rsidR="00955D60" w:rsidRPr="003A1174">
        <w:rPr>
          <w:rFonts w:ascii="Garamond" w:hAnsi="Garamond" w:cs="Arial"/>
          <w:sz w:val="24"/>
          <w:szCs w:val="24"/>
        </w:rPr>
        <w:t xml:space="preserve"> de </w:t>
      </w:r>
      <w:r w:rsidR="009E3E55" w:rsidRPr="003A1174">
        <w:rPr>
          <w:rFonts w:ascii="Garamond" w:hAnsi="Garamond" w:cs="Arial"/>
          <w:sz w:val="24"/>
          <w:szCs w:val="24"/>
        </w:rPr>
        <w:t>emergência</w:t>
      </w:r>
      <w:r w:rsidR="002C718C" w:rsidRPr="003A1174">
        <w:rPr>
          <w:rFonts w:ascii="Garamond" w:hAnsi="Garamond" w:cs="Arial"/>
          <w:sz w:val="24"/>
          <w:szCs w:val="24"/>
        </w:rPr>
        <w:t xml:space="preserve">, que </w:t>
      </w:r>
      <w:r w:rsidR="00C031E1" w:rsidRPr="003A1174">
        <w:rPr>
          <w:rFonts w:ascii="Garamond" w:hAnsi="Garamond" w:cs="Arial"/>
          <w:sz w:val="24"/>
          <w:szCs w:val="24"/>
        </w:rPr>
        <w:t>consiste</w:t>
      </w:r>
      <w:r w:rsidR="002C718C" w:rsidRPr="003A1174">
        <w:rPr>
          <w:rFonts w:ascii="Garamond" w:hAnsi="Garamond" w:cs="Arial"/>
          <w:sz w:val="24"/>
          <w:szCs w:val="24"/>
        </w:rPr>
        <w:t xml:space="preserve"> e</w:t>
      </w:r>
      <w:r w:rsidRPr="003A1174">
        <w:rPr>
          <w:rFonts w:ascii="Garamond" w:hAnsi="Garamond" w:cs="Arial"/>
          <w:sz w:val="24"/>
          <w:szCs w:val="24"/>
        </w:rPr>
        <w:t>m</w:t>
      </w:r>
      <w:r w:rsidR="002631C1">
        <w:rPr>
          <w:rFonts w:ascii="Garamond" w:hAnsi="Garamond" w:cs="Arial"/>
          <w:sz w:val="24"/>
          <w:szCs w:val="24"/>
        </w:rPr>
        <w:t xml:space="preserve"> tratamento, </w:t>
      </w:r>
      <w:r w:rsidR="00791197" w:rsidRPr="003A1174">
        <w:rPr>
          <w:rFonts w:ascii="Garamond" w:hAnsi="Garamond" w:cs="Arial"/>
          <w:sz w:val="24"/>
          <w:szCs w:val="24"/>
        </w:rPr>
        <w:t>apoio</w:t>
      </w:r>
      <w:r w:rsidR="00955D60" w:rsidRPr="003A1174">
        <w:rPr>
          <w:rFonts w:ascii="Garamond" w:hAnsi="Garamond" w:cs="Arial"/>
          <w:sz w:val="24"/>
          <w:szCs w:val="24"/>
        </w:rPr>
        <w:t xml:space="preserve">, </w:t>
      </w:r>
      <w:r w:rsidRPr="003A1174">
        <w:rPr>
          <w:rFonts w:ascii="Garamond" w:hAnsi="Garamond" w:cs="Arial"/>
          <w:sz w:val="24"/>
          <w:szCs w:val="24"/>
        </w:rPr>
        <w:t>acolhimento</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CF4C35" w:rsidRPr="003A1174">
        <w:rPr>
          <w:rFonts w:ascii="Garamond" w:hAnsi="Garamond" w:cs="Arial"/>
          <w:sz w:val="24"/>
          <w:szCs w:val="24"/>
        </w:rPr>
        <w:t>reabilitação</w:t>
      </w:r>
      <w:r w:rsidR="00955D60" w:rsidRPr="003A1174">
        <w:rPr>
          <w:rFonts w:ascii="Garamond" w:hAnsi="Garamond" w:cs="Arial"/>
          <w:sz w:val="24"/>
          <w:szCs w:val="24"/>
        </w:rPr>
        <w:t xml:space="preserve"> integral.</w:t>
      </w:r>
    </w:p>
    <w:p w:rsidR="00955D60" w:rsidRPr="003A1174" w:rsidRDefault="00D4144D"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A </w:t>
      </w:r>
      <w:r w:rsidR="000350B1" w:rsidRPr="003A1174">
        <w:rPr>
          <w:rFonts w:ascii="Garamond" w:hAnsi="Garamond" w:cs="Arial"/>
          <w:sz w:val="24"/>
          <w:szCs w:val="24"/>
        </w:rPr>
        <w:t>assistência</w:t>
      </w:r>
      <w:r w:rsidR="00955D60" w:rsidRPr="003A1174">
        <w:rPr>
          <w:rFonts w:ascii="Garamond" w:hAnsi="Garamond" w:cs="Arial"/>
          <w:sz w:val="24"/>
          <w:szCs w:val="24"/>
        </w:rPr>
        <w:t xml:space="preserve"> social integral </w:t>
      </w:r>
      <w:r w:rsidRPr="003A1174">
        <w:rPr>
          <w:rFonts w:ascii="Garamond" w:hAnsi="Garamond" w:cs="Arial"/>
          <w:sz w:val="24"/>
          <w:szCs w:val="24"/>
        </w:rPr>
        <w:t>implica</w:t>
      </w:r>
      <w:r w:rsidR="00955D60" w:rsidRPr="003A1174">
        <w:rPr>
          <w:rFonts w:ascii="Garamond" w:hAnsi="Garamond" w:cs="Arial"/>
          <w:sz w:val="24"/>
          <w:szCs w:val="24"/>
        </w:rPr>
        <w:t xml:space="preserve"> </w:t>
      </w:r>
      <w:r w:rsidR="002631C1">
        <w:rPr>
          <w:rFonts w:ascii="Garamond" w:hAnsi="Garamond" w:cs="Arial"/>
          <w:sz w:val="24"/>
          <w:szCs w:val="24"/>
        </w:rPr>
        <w:t xml:space="preserve">tratamentos </w:t>
      </w:r>
      <w:r w:rsidR="00955D60" w:rsidRPr="003A1174">
        <w:rPr>
          <w:rFonts w:ascii="Garamond" w:hAnsi="Garamond" w:cs="Arial"/>
          <w:sz w:val="24"/>
          <w:szCs w:val="24"/>
        </w:rPr>
        <w:t>especializad</w:t>
      </w:r>
      <w:r w:rsidR="002631C1">
        <w:rPr>
          <w:rFonts w:ascii="Garamond" w:hAnsi="Garamond" w:cs="Arial"/>
          <w:sz w:val="24"/>
          <w:szCs w:val="24"/>
        </w:rPr>
        <w:t>os</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as áreas social, psicológica, jurídica, educativa </w:t>
      </w:r>
      <w:r w:rsidR="000672E8" w:rsidRPr="003A1174">
        <w:rPr>
          <w:rFonts w:ascii="Garamond" w:hAnsi="Garamond" w:cs="Arial"/>
          <w:sz w:val="24"/>
          <w:szCs w:val="24"/>
        </w:rPr>
        <w:t>e</w:t>
      </w:r>
      <w:r w:rsidR="00955D60" w:rsidRPr="003A1174">
        <w:rPr>
          <w:rFonts w:ascii="Garamond" w:hAnsi="Garamond" w:cs="Arial"/>
          <w:sz w:val="24"/>
          <w:szCs w:val="24"/>
        </w:rPr>
        <w:t xml:space="preserve"> laboral</w:t>
      </w:r>
      <w:r w:rsidR="002C718C" w:rsidRPr="003A1174">
        <w:rPr>
          <w:rFonts w:ascii="Garamond" w:hAnsi="Garamond" w:cs="Arial"/>
          <w:sz w:val="24"/>
          <w:szCs w:val="24"/>
        </w:rPr>
        <w:t xml:space="preserve">, </w:t>
      </w:r>
      <w:r w:rsidRPr="003A1174">
        <w:rPr>
          <w:rFonts w:ascii="Garamond" w:hAnsi="Garamond" w:cs="Arial"/>
          <w:sz w:val="24"/>
          <w:szCs w:val="24"/>
        </w:rPr>
        <w:t xml:space="preserve">através de </w:t>
      </w:r>
      <w:r w:rsidR="00B531F2" w:rsidRPr="003A1174">
        <w:rPr>
          <w:rFonts w:ascii="Garamond" w:hAnsi="Garamond" w:cs="Arial"/>
          <w:sz w:val="24"/>
          <w:szCs w:val="24"/>
        </w:rPr>
        <w:t>serviço</w:t>
      </w:r>
      <w:r w:rsidR="00955D60" w:rsidRPr="003A1174">
        <w:rPr>
          <w:rFonts w:ascii="Garamond" w:hAnsi="Garamond" w:cs="Arial"/>
          <w:sz w:val="24"/>
          <w:szCs w:val="24"/>
        </w:rPr>
        <w:t xml:space="preserve">s de </w:t>
      </w:r>
      <w:r w:rsidR="00120915" w:rsidRPr="003A1174">
        <w:rPr>
          <w:rFonts w:ascii="Garamond" w:hAnsi="Garamond" w:cs="Arial"/>
          <w:sz w:val="24"/>
          <w:szCs w:val="24"/>
        </w:rPr>
        <w:t>caráter</w:t>
      </w:r>
      <w:r w:rsidR="00955D60" w:rsidRPr="003A1174">
        <w:rPr>
          <w:rFonts w:ascii="Garamond" w:hAnsi="Garamond" w:cs="Arial"/>
          <w:sz w:val="24"/>
          <w:szCs w:val="24"/>
        </w:rPr>
        <w:t xml:space="preserve"> multidisciplinar </w:t>
      </w:r>
      <w:r w:rsidR="002C718C" w:rsidRPr="003A1174">
        <w:rPr>
          <w:rFonts w:ascii="Garamond" w:hAnsi="Garamond" w:cs="Arial"/>
          <w:sz w:val="24"/>
          <w:szCs w:val="24"/>
        </w:rPr>
        <w:t>qu</w:t>
      </w:r>
      <w:r w:rsidR="00955D60" w:rsidRPr="003A1174">
        <w:rPr>
          <w:rFonts w:ascii="Garamond" w:hAnsi="Garamond" w:cs="Arial"/>
          <w:sz w:val="24"/>
          <w:szCs w:val="24"/>
        </w:rPr>
        <w:t xml:space="preserve">e </w:t>
      </w:r>
      <w:r w:rsidR="00152A44" w:rsidRPr="003A1174">
        <w:rPr>
          <w:rFonts w:ascii="Garamond" w:hAnsi="Garamond" w:cs="Arial"/>
          <w:sz w:val="24"/>
          <w:szCs w:val="24"/>
        </w:rPr>
        <w:t>inclui</w:t>
      </w:r>
      <w:r w:rsidR="002C718C" w:rsidRPr="003A1174">
        <w:rPr>
          <w:rFonts w:ascii="Garamond" w:hAnsi="Garamond" w:cs="Arial"/>
          <w:sz w:val="24"/>
          <w:szCs w:val="24"/>
        </w:rPr>
        <w:t>,</w:t>
      </w:r>
      <w:r w:rsidR="00955D60" w:rsidRPr="003A1174">
        <w:rPr>
          <w:rFonts w:ascii="Garamond" w:hAnsi="Garamond" w:cs="Arial"/>
          <w:sz w:val="24"/>
          <w:szCs w:val="24"/>
        </w:rPr>
        <w:t xml:space="preserve"> entre </w:t>
      </w:r>
      <w:r w:rsidR="001F2F8B" w:rsidRPr="003A1174">
        <w:rPr>
          <w:rFonts w:ascii="Garamond" w:hAnsi="Garamond" w:cs="Arial"/>
          <w:sz w:val="24"/>
          <w:szCs w:val="24"/>
        </w:rPr>
        <w:t>outro</w:t>
      </w:r>
      <w:r w:rsidR="00955D60" w:rsidRPr="003A1174">
        <w:rPr>
          <w:rFonts w:ascii="Garamond" w:hAnsi="Garamond" w:cs="Arial"/>
          <w:sz w:val="24"/>
          <w:szCs w:val="24"/>
        </w:rPr>
        <w:t>s:</w:t>
      </w:r>
    </w:p>
    <w:p w:rsidR="00955D60" w:rsidRPr="003A1174" w:rsidRDefault="0017447A" w:rsidP="008719D4">
      <w:pPr>
        <w:pStyle w:val="Prrafodelista"/>
        <w:numPr>
          <w:ilvl w:val="0"/>
          <w:numId w:val="31"/>
        </w:numPr>
        <w:autoSpaceDE w:val="0"/>
        <w:autoSpaceDN w:val="0"/>
        <w:adjustRightInd w:val="0"/>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Informação</w:t>
      </w:r>
      <w:r w:rsidR="00955D60" w:rsidRPr="003A1174">
        <w:rPr>
          <w:rFonts w:ascii="Garamond" w:hAnsi="Garamond" w:cs="Arial"/>
          <w:color w:val="auto"/>
          <w:sz w:val="24"/>
          <w:szCs w:val="24"/>
        </w:rPr>
        <w:t>.</w:t>
      </w:r>
    </w:p>
    <w:p w:rsidR="00955D60" w:rsidRPr="003A1174" w:rsidRDefault="002631C1" w:rsidP="008719D4">
      <w:pPr>
        <w:pStyle w:val="Prrafodelista"/>
        <w:numPr>
          <w:ilvl w:val="0"/>
          <w:numId w:val="31"/>
        </w:numPr>
        <w:autoSpaceDE w:val="0"/>
        <w:autoSpaceDN w:val="0"/>
        <w:adjustRightInd w:val="0"/>
        <w:spacing w:after="0" w:line="240" w:lineRule="auto"/>
        <w:jc w:val="both"/>
        <w:rPr>
          <w:rFonts w:ascii="Garamond" w:hAnsi="Garamond" w:cs="Arial"/>
          <w:color w:val="auto"/>
          <w:sz w:val="24"/>
          <w:szCs w:val="24"/>
          <w:lang w:val="pt-PT"/>
        </w:rPr>
      </w:pPr>
      <w:r>
        <w:rPr>
          <w:rFonts w:ascii="Garamond" w:hAnsi="Garamond" w:cs="Arial"/>
          <w:color w:val="auto"/>
          <w:sz w:val="24"/>
          <w:szCs w:val="24"/>
          <w:lang w:val="pt-PT"/>
        </w:rPr>
        <w:t>Tratamento</w:t>
      </w:r>
      <w:r w:rsidR="00955D60" w:rsidRPr="003A1174">
        <w:rPr>
          <w:rFonts w:ascii="Garamond" w:hAnsi="Garamond" w:cs="Arial"/>
          <w:color w:val="auto"/>
          <w:sz w:val="24"/>
          <w:szCs w:val="24"/>
        </w:rPr>
        <w:t xml:space="preserve"> psicológic</w:t>
      </w:r>
      <w:r>
        <w:rPr>
          <w:rFonts w:ascii="Garamond" w:hAnsi="Garamond" w:cs="Arial"/>
          <w:color w:val="auto"/>
          <w:sz w:val="24"/>
          <w:szCs w:val="24"/>
        </w:rPr>
        <w:t>o</w:t>
      </w:r>
      <w:r w:rsidR="00955D60" w:rsidRPr="003A1174">
        <w:rPr>
          <w:rFonts w:ascii="Garamond" w:hAnsi="Garamond" w:cs="Arial"/>
          <w:color w:val="auto"/>
          <w:sz w:val="24"/>
          <w:szCs w:val="24"/>
        </w:rPr>
        <w:t>.</w:t>
      </w:r>
    </w:p>
    <w:p w:rsidR="00955D60" w:rsidRPr="003A1174" w:rsidRDefault="00791197" w:rsidP="008719D4">
      <w:pPr>
        <w:pStyle w:val="Prrafodelista"/>
        <w:numPr>
          <w:ilvl w:val="0"/>
          <w:numId w:val="31"/>
        </w:numPr>
        <w:autoSpaceDE w:val="0"/>
        <w:autoSpaceDN w:val="0"/>
        <w:adjustRightInd w:val="0"/>
        <w:spacing w:after="0" w:line="240" w:lineRule="auto"/>
        <w:jc w:val="both"/>
        <w:rPr>
          <w:rFonts w:ascii="Garamond" w:hAnsi="Garamond" w:cs="Arial"/>
          <w:color w:val="auto"/>
          <w:sz w:val="24"/>
          <w:szCs w:val="24"/>
        </w:rPr>
      </w:pPr>
      <w:r w:rsidRPr="003A1174">
        <w:rPr>
          <w:rFonts w:ascii="Garamond" w:hAnsi="Garamond" w:cs="Arial"/>
          <w:color w:val="auto"/>
          <w:sz w:val="24"/>
          <w:szCs w:val="24"/>
          <w:lang w:val="pt-PT"/>
        </w:rPr>
        <w:t>Apoio</w:t>
      </w:r>
      <w:r w:rsidR="00955D60" w:rsidRPr="003A1174">
        <w:rPr>
          <w:rFonts w:ascii="Garamond" w:hAnsi="Garamond" w:cs="Arial"/>
          <w:color w:val="auto"/>
          <w:sz w:val="24"/>
          <w:szCs w:val="24"/>
        </w:rPr>
        <w:t xml:space="preserve"> social.</w:t>
      </w:r>
    </w:p>
    <w:p w:rsidR="00955D60" w:rsidRPr="003A1174" w:rsidRDefault="002631C1" w:rsidP="008719D4">
      <w:pPr>
        <w:pStyle w:val="Prrafodelista"/>
        <w:numPr>
          <w:ilvl w:val="0"/>
          <w:numId w:val="31"/>
        </w:numPr>
        <w:autoSpaceDE w:val="0"/>
        <w:autoSpaceDN w:val="0"/>
        <w:adjustRightInd w:val="0"/>
        <w:spacing w:after="0" w:line="240" w:lineRule="auto"/>
        <w:jc w:val="both"/>
        <w:rPr>
          <w:rFonts w:ascii="Garamond" w:hAnsi="Garamond" w:cs="Arial"/>
          <w:color w:val="auto"/>
          <w:sz w:val="24"/>
          <w:szCs w:val="24"/>
          <w:lang w:val="pt-PT"/>
        </w:rPr>
      </w:pPr>
      <w:r>
        <w:rPr>
          <w:rFonts w:ascii="Garamond" w:hAnsi="Garamond" w:cs="Arial"/>
          <w:color w:val="auto"/>
          <w:sz w:val="24"/>
          <w:szCs w:val="24"/>
          <w:lang w:val="pt-PT"/>
        </w:rPr>
        <w:t>Acompanhamento</w:t>
      </w:r>
      <w:r w:rsidR="00955D60"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w:t>
      </w:r>
      <w:r w:rsidR="00D4144D" w:rsidRPr="003A1174">
        <w:rPr>
          <w:rFonts w:ascii="Garamond" w:hAnsi="Garamond" w:cs="Arial"/>
          <w:color w:val="auto"/>
          <w:sz w:val="24"/>
          <w:szCs w:val="24"/>
          <w:lang w:val="pt-PT"/>
        </w:rPr>
        <w:t>reclamações</w:t>
      </w:r>
      <w:r w:rsidR="00955D60" w:rsidRPr="003A1174">
        <w:rPr>
          <w:rFonts w:ascii="Garamond" w:hAnsi="Garamond" w:cs="Arial"/>
          <w:color w:val="auto"/>
          <w:sz w:val="24"/>
          <w:szCs w:val="24"/>
          <w:lang w:val="pt-PT"/>
        </w:rPr>
        <w:t xml:space="preserve"> sobre </w:t>
      </w:r>
      <w:r w:rsidR="00D4144D" w:rsidRPr="003A1174">
        <w:rPr>
          <w:rFonts w:ascii="Garamond" w:hAnsi="Garamond" w:cs="Arial"/>
          <w:color w:val="auto"/>
          <w:sz w:val="24"/>
          <w:szCs w:val="24"/>
          <w:lang w:val="pt-PT"/>
        </w:rPr>
        <w:t xml:space="preserve">os </w:t>
      </w:r>
      <w:r w:rsidR="00955D60" w:rsidRPr="003A1174">
        <w:rPr>
          <w:rFonts w:ascii="Garamond" w:hAnsi="Garamond" w:cs="Arial"/>
          <w:color w:val="auto"/>
          <w:sz w:val="24"/>
          <w:szCs w:val="24"/>
          <w:lang w:val="pt-PT"/>
        </w:rPr>
        <w:t>s</w:t>
      </w:r>
      <w:r w:rsidR="00D4144D"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us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s.</w:t>
      </w:r>
    </w:p>
    <w:p w:rsidR="00955D60" w:rsidRPr="003A1174" w:rsidRDefault="00791197" w:rsidP="008719D4">
      <w:pPr>
        <w:pStyle w:val="Prrafodelista"/>
        <w:numPr>
          <w:ilvl w:val="0"/>
          <w:numId w:val="31"/>
        </w:numPr>
        <w:autoSpaceDE w:val="0"/>
        <w:autoSpaceDN w:val="0"/>
        <w:adjustRightInd w:val="0"/>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Apoio</w:t>
      </w:r>
      <w:r w:rsidR="00955D60" w:rsidRPr="003A1174">
        <w:rPr>
          <w:rFonts w:ascii="Garamond" w:hAnsi="Garamond" w:cs="Arial"/>
          <w:color w:val="auto"/>
          <w:sz w:val="24"/>
          <w:szCs w:val="24"/>
          <w:lang w:val="pt-PT"/>
        </w:rPr>
        <w:t xml:space="preserve"> educativo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 unidad</w:t>
      </w:r>
      <w:r w:rsidR="00D4144D"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familiar.</w:t>
      </w:r>
    </w:p>
    <w:p w:rsidR="00955D60" w:rsidRPr="003A1174" w:rsidRDefault="00955D60"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Este</w:t>
      </w:r>
      <w:r w:rsidR="002631C1">
        <w:rPr>
          <w:rFonts w:ascii="Garamond" w:hAnsi="Garamond" w:cs="Arial"/>
          <w:sz w:val="24"/>
          <w:szCs w:val="24"/>
        </w:rPr>
        <w:t>s</w:t>
      </w:r>
      <w:r w:rsidRPr="003A1174">
        <w:rPr>
          <w:rFonts w:ascii="Garamond" w:hAnsi="Garamond" w:cs="Arial"/>
          <w:sz w:val="24"/>
          <w:szCs w:val="24"/>
        </w:rPr>
        <w:t xml:space="preserve"> </w:t>
      </w:r>
      <w:r w:rsidR="00886D6A" w:rsidRPr="003A1174">
        <w:rPr>
          <w:rFonts w:ascii="Garamond" w:hAnsi="Garamond" w:cs="Arial"/>
          <w:sz w:val="24"/>
          <w:szCs w:val="24"/>
        </w:rPr>
        <w:t>direito</w:t>
      </w:r>
      <w:r w:rsidR="002631C1">
        <w:rPr>
          <w:rFonts w:ascii="Garamond" w:hAnsi="Garamond" w:cs="Arial"/>
          <w:sz w:val="24"/>
          <w:szCs w:val="24"/>
        </w:rPr>
        <w:t>s</w:t>
      </w:r>
      <w:r w:rsidRPr="003A1174">
        <w:rPr>
          <w:rFonts w:ascii="Garamond" w:hAnsi="Garamond" w:cs="Arial"/>
          <w:sz w:val="24"/>
          <w:szCs w:val="24"/>
        </w:rPr>
        <w:t xml:space="preserve"> </w:t>
      </w:r>
      <w:r w:rsidR="002631C1">
        <w:rPr>
          <w:rFonts w:ascii="Garamond" w:hAnsi="Garamond" w:cs="Arial"/>
          <w:sz w:val="24"/>
          <w:szCs w:val="24"/>
        </w:rPr>
        <w:t xml:space="preserve">aplicam-se, </w:t>
      </w:r>
      <w:r w:rsidR="000350B1" w:rsidRPr="003A1174">
        <w:rPr>
          <w:rFonts w:ascii="Garamond" w:hAnsi="Garamond" w:cs="Arial"/>
          <w:sz w:val="24"/>
          <w:szCs w:val="24"/>
        </w:rPr>
        <w:t>também</w:t>
      </w:r>
      <w:r w:rsidR="002631C1">
        <w:rPr>
          <w:rFonts w:ascii="Garamond" w:hAnsi="Garamond" w:cs="Arial"/>
          <w:sz w:val="24"/>
          <w:szCs w:val="24"/>
        </w:rPr>
        <w:t>,</w:t>
      </w:r>
      <w:r w:rsidRPr="003A1174">
        <w:rPr>
          <w:rFonts w:ascii="Garamond" w:hAnsi="Garamond" w:cs="Arial"/>
          <w:sz w:val="24"/>
          <w:szCs w:val="24"/>
        </w:rPr>
        <w:t xml:space="preserve"> </w:t>
      </w:r>
      <w:r w:rsidR="002631C1">
        <w:rPr>
          <w:rFonts w:ascii="Garamond" w:hAnsi="Garamond" w:cs="Arial"/>
          <w:sz w:val="24"/>
          <w:szCs w:val="24"/>
        </w:rPr>
        <w:t>a</w:t>
      </w:r>
      <w:r w:rsidRPr="003A1174">
        <w:rPr>
          <w:rFonts w:ascii="Garamond" w:hAnsi="Garamond" w:cs="Arial"/>
          <w:sz w:val="24"/>
          <w:szCs w:val="24"/>
        </w:rPr>
        <w:t xml:space="preserve">os menores que se </w:t>
      </w:r>
      <w:r w:rsidR="006D4D0B" w:rsidRPr="003A1174">
        <w:rPr>
          <w:rFonts w:ascii="Garamond" w:hAnsi="Garamond" w:cs="Arial"/>
          <w:sz w:val="24"/>
          <w:szCs w:val="24"/>
        </w:rPr>
        <w:t>encontre</w:t>
      </w:r>
      <w:r w:rsidR="00D4144D" w:rsidRPr="003A1174">
        <w:rPr>
          <w:rFonts w:ascii="Garamond" w:hAnsi="Garamond" w:cs="Arial"/>
          <w:sz w:val="24"/>
          <w:szCs w:val="24"/>
        </w:rPr>
        <w:t xml:space="preserve">m sob </w:t>
      </w:r>
      <w:r w:rsidR="00D72051">
        <w:rPr>
          <w:rFonts w:ascii="Garamond" w:hAnsi="Garamond" w:cs="Arial"/>
          <w:sz w:val="24"/>
          <w:szCs w:val="24"/>
        </w:rPr>
        <w:t xml:space="preserve">tutela </w:t>
      </w:r>
      <w:r w:rsidR="006E0719" w:rsidRPr="003A1174">
        <w:rPr>
          <w:rFonts w:ascii="Garamond" w:hAnsi="Garamond" w:cs="Arial"/>
          <w:sz w:val="24"/>
          <w:szCs w:val="24"/>
        </w:rPr>
        <w:t>paternal</w:t>
      </w:r>
      <w:r w:rsidRPr="003A1174">
        <w:rPr>
          <w:rFonts w:ascii="Garamond" w:hAnsi="Garamond" w:cs="Arial"/>
          <w:sz w:val="24"/>
          <w:szCs w:val="24"/>
        </w:rPr>
        <w:t xml:space="preserve"> o</w:t>
      </w:r>
      <w:r w:rsidR="00D4144D" w:rsidRPr="003A1174">
        <w:rPr>
          <w:rFonts w:ascii="Garamond" w:hAnsi="Garamond" w:cs="Arial"/>
          <w:sz w:val="24"/>
          <w:szCs w:val="24"/>
        </w:rPr>
        <w:t>u</w:t>
      </w:r>
      <w:r w:rsidRPr="003A1174">
        <w:rPr>
          <w:rFonts w:ascii="Garamond" w:hAnsi="Garamond" w:cs="Arial"/>
          <w:sz w:val="24"/>
          <w:szCs w:val="24"/>
        </w:rPr>
        <w:t xml:space="preserve"> guarda </w:t>
      </w:r>
      <w:r w:rsidR="000672E8" w:rsidRPr="003A1174">
        <w:rPr>
          <w:rFonts w:ascii="Garamond" w:hAnsi="Garamond" w:cs="Arial"/>
          <w:sz w:val="24"/>
          <w:szCs w:val="24"/>
        </w:rPr>
        <w:t>e</w:t>
      </w:r>
      <w:r w:rsidRPr="003A1174">
        <w:rPr>
          <w:rFonts w:ascii="Garamond" w:hAnsi="Garamond" w:cs="Arial"/>
          <w:sz w:val="24"/>
          <w:szCs w:val="24"/>
        </w:rPr>
        <w:t xml:space="preserve"> </w:t>
      </w:r>
      <w:r w:rsidR="005275B0" w:rsidRPr="003A1174">
        <w:rPr>
          <w:rFonts w:ascii="Garamond" w:hAnsi="Garamond" w:cs="Arial"/>
          <w:sz w:val="24"/>
          <w:szCs w:val="24"/>
        </w:rPr>
        <w:t>custódia</w:t>
      </w:r>
      <w:r w:rsidRPr="003A1174">
        <w:rPr>
          <w:rFonts w:ascii="Garamond" w:hAnsi="Garamond" w:cs="Arial"/>
          <w:sz w:val="24"/>
          <w:szCs w:val="24"/>
        </w:rPr>
        <w:t xml:space="preserve"> da </w:t>
      </w:r>
      <w:r w:rsidR="00AF192F" w:rsidRPr="003A1174">
        <w:rPr>
          <w:rFonts w:ascii="Garamond" w:hAnsi="Garamond" w:cs="Arial"/>
          <w:sz w:val="24"/>
          <w:szCs w:val="24"/>
        </w:rPr>
        <w:t>mulher</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 de </w:t>
      </w:r>
      <w:r w:rsidR="000350B1" w:rsidRPr="003A1174">
        <w:rPr>
          <w:rFonts w:ascii="Garamond" w:hAnsi="Garamond" w:cs="Arial"/>
          <w:sz w:val="24"/>
          <w:szCs w:val="24"/>
        </w:rPr>
        <w:t>violência</w:t>
      </w:r>
      <w:r w:rsidRPr="003A1174">
        <w:rPr>
          <w:rFonts w:ascii="Garamond" w:hAnsi="Garamond" w:cs="Arial"/>
          <w:sz w:val="24"/>
          <w:szCs w:val="24"/>
        </w:rPr>
        <w:t>.</w:t>
      </w:r>
    </w:p>
    <w:p w:rsidR="00955D60" w:rsidRPr="003A1174" w:rsidRDefault="00D4144D"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N</w:t>
      </w:r>
      <w:r w:rsidR="00955D60" w:rsidRPr="003A1174">
        <w:rPr>
          <w:rFonts w:ascii="Garamond" w:hAnsi="Garamond" w:cs="Arial"/>
          <w:sz w:val="24"/>
          <w:szCs w:val="24"/>
        </w:rPr>
        <w:t xml:space="preserve">este contexto, </w:t>
      </w:r>
      <w:r w:rsidR="009A0CC2" w:rsidRPr="003A1174">
        <w:rPr>
          <w:rFonts w:ascii="Garamond" w:hAnsi="Garamond" w:cs="Arial"/>
          <w:sz w:val="24"/>
          <w:szCs w:val="24"/>
        </w:rPr>
        <w:t>através</w:t>
      </w:r>
      <w:r w:rsidRPr="003A1174">
        <w:rPr>
          <w:rFonts w:ascii="Garamond" w:hAnsi="Garamond" w:cs="Arial"/>
          <w:sz w:val="24"/>
          <w:szCs w:val="24"/>
        </w:rPr>
        <w:t xml:space="preserve"> d</w:t>
      </w:r>
      <w:r w:rsidR="00955D60" w:rsidRPr="003A1174">
        <w:rPr>
          <w:rFonts w:ascii="Garamond" w:hAnsi="Garamond" w:cs="Arial"/>
          <w:sz w:val="24"/>
          <w:szCs w:val="24"/>
        </w:rPr>
        <w:t xml:space="preserve">este </w:t>
      </w:r>
      <w:r w:rsidR="002C718C" w:rsidRPr="003A1174">
        <w:rPr>
          <w:rFonts w:ascii="Garamond" w:hAnsi="Garamond" w:cs="Arial"/>
          <w:sz w:val="24"/>
          <w:szCs w:val="24"/>
        </w:rPr>
        <w:t>o</w:t>
      </w:r>
      <w:r w:rsidR="00955D60" w:rsidRPr="003A1174">
        <w:rPr>
          <w:rFonts w:ascii="Garamond" w:hAnsi="Garamond" w:cs="Arial"/>
          <w:sz w:val="24"/>
          <w:szCs w:val="24"/>
        </w:rPr>
        <w:t>rganismo de</w:t>
      </w:r>
      <w:r w:rsidRPr="003A1174">
        <w:rPr>
          <w:rFonts w:ascii="Garamond" w:hAnsi="Garamond" w:cs="Arial"/>
          <w:sz w:val="24"/>
          <w:szCs w:val="24"/>
        </w:rPr>
        <w:t xml:space="preserve"> defesa dos </w:t>
      </w:r>
      <w:r w:rsidR="00886D6A" w:rsidRPr="003A1174">
        <w:rPr>
          <w:rFonts w:ascii="Garamond" w:hAnsi="Garamond" w:cs="Arial"/>
          <w:sz w:val="24"/>
          <w:szCs w:val="24"/>
        </w:rPr>
        <w:t>direito</w:t>
      </w:r>
      <w:r w:rsidR="00955D60" w:rsidRPr="003A1174">
        <w:rPr>
          <w:rFonts w:ascii="Garamond" w:hAnsi="Garamond" w:cs="Arial"/>
          <w:sz w:val="24"/>
          <w:szCs w:val="24"/>
        </w:rPr>
        <w:t>s humanos</w:t>
      </w:r>
      <w:r w:rsidRPr="003A1174">
        <w:rPr>
          <w:rFonts w:ascii="Garamond" w:hAnsi="Garamond" w:cs="Arial"/>
          <w:sz w:val="24"/>
          <w:szCs w:val="24"/>
        </w:rPr>
        <w:t>,</w:t>
      </w:r>
      <w:r w:rsidR="00955D60" w:rsidRPr="003A1174">
        <w:rPr>
          <w:rFonts w:ascii="Garamond" w:hAnsi="Garamond" w:cs="Arial"/>
          <w:sz w:val="24"/>
          <w:szCs w:val="24"/>
        </w:rPr>
        <w:t xml:space="preserve"> </w:t>
      </w:r>
      <w:r w:rsidR="00026718">
        <w:rPr>
          <w:rFonts w:ascii="Garamond" w:hAnsi="Garamond" w:cs="Arial"/>
          <w:sz w:val="24"/>
          <w:szCs w:val="24"/>
        </w:rPr>
        <w:t xml:space="preserve">contribui-se para </w:t>
      </w:r>
      <w:r w:rsidR="00A801B1">
        <w:rPr>
          <w:rFonts w:ascii="Garamond" w:hAnsi="Garamond" w:cs="Arial"/>
          <w:sz w:val="24"/>
          <w:szCs w:val="24"/>
        </w:rPr>
        <w:t xml:space="preserve">que </w:t>
      </w:r>
      <w:r w:rsidR="00026718">
        <w:rPr>
          <w:rFonts w:ascii="Garamond" w:hAnsi="Garamond" w:cs="Arial"/>
          <w:sz w:val="24"/>
          <w:szCs w:val="24"/>
        </w:rPr>
        <w:t>as instâncias</w:t>
      </w:r>
      <w:r w:rsidR="00A801B1">
        <w:rPr>
          <w:rFonts w:ascii="Garamond" w:hAnsi="Garamond" w:cs="Arial"/>
          <w:sz w:val="24"/>
          <w:szCs w:val="24"/>
        </w:rPr>
        <w:t>,</w:t>
      </w:r>
      <w:r w:rsidR="00026718">
        <w:rPr>
          <w:rFonts w:ascii="Garamond" w:hAnsi="Garamond" w:cs="Arial"/>
          <w:sz w:val="24"/>
          <w:szCs w:val="24"/>
        </w:rPr>
        <w:t xml:space="preserve"> que aplicam a lei</w:t>
      </w:r>
      <w:r w:rsidR="00A801B1">
        <w:rPr>
          <w:rFonts w:ascii="Garamond" w:hAnsi="Garamond" w:cs="Arial"/>
          <w:sz w:val="24"/>
          <w:szCs w:val="24"/>
        </w:rPr>
        <w:t>,</w:t>
      </w:r>
      <w:r w:rsidR="00026718">
        <w:rPr>
          <w:rFonts w:ascii="Garamond" w:hAnsi="Garamond" w:cs="Arial"/>
          <w:sz w:val="24"/>
          <w:szCs w:val="24"/>
        </w:rPr>
        <w:t xml:space="preserve"> possam transformar os</w:t>
      </w:r>
      <w:r w:rsidR="00955D60" w:rsidRPr="003A1174">
        <w:rPr>
          <w:rFonts w:ascii="Garamond" w:hAnsi="Garamond" w:cs="Arial"/>
          <w:sz w:val="24"/>
          <w:szCs w:val="24"/>
        </w:rPr>
        <w:t xml:space="preserve"> </w:t>
      </w:r>
      <w:r w:rsidR="00B936A7" w:rsidRPr="003A1174">
        <w:rPr>
          <w:rFonts w:ascii="Garamond" w:hAnsi="Garamond" w:cs="Arial"/>
          <w:sz w:val="24"/>
          <w:szCs w:val="24"/>
        </w:rPr>
        <w:t>abrigo</w:t>
      </w:r>
      <w:r w:rsidR="00955D60" w:rsidRPr="003A1174">
        <w:rPr>
          <w:rFonts w:ascii="Garamond" w:hAnsi="Garamond" w:cs="Arial"/>
          <w:sz w:val="24"/>
          <w:szCs w:val="24"/>
        </w:rPr>
        <w:t xml:space="preserve">s </w:t>
      </w:r>
      <w:r w:rsidRPr="003A1174">
        <w:rPr>
          <w:rFonts w:ascii="Garamond" w:hAnsi="Garamond" w:cs="Arial"/>
          <w:sz w:val="24"/>
          <w:szCs w:val="24"/>
        </w:rPr>
        <w:t>temporários</w:t>
      </w:r>
      <w:r w:rsidR="00955D60" w:rsidRPr="003A1174">
        <w:rPr>
          <w:rFonts w:ascii="Garamond" w:hAnsi="Garamond" w:cs="Arial"/>
          <w:sz w:val="24"/>
          <w:szCs w:val="24"/>
        </w:rPr>
        <w:t xml:space="preserve"> </w:t>
      </w:r>
      <w:r w:rsidRPr="003A1174">
        <w:rPr>
          <w:rFonts w:ascii="Garamond" w:hAnsi="Garamond" w:cs="Arial"/>
          <w:sz w:val="24"/>
          <w:szCs w:val="24"/>
        </w:rPr>
        <w:t xml:space="preserve">em lugares seguros para </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026718">
        <w:rPr>
          <w:rFonts w:ascii="Garamond" w:hAnsi="Garamond" w:cs="Arial"/>
          <w:sz w:val="24"/>
          <w:szCs w:val="24"/>
        </w:rPr>
        <w:t xml:space="preserve"> e seus</w:t>
      </w:r>
      <w:r w:rsidR="00955D60" w:rsidRPr="003A1174">
        <w:rPr>
          <w:rFonts w:ascii="Garamond" w:hAnsi="Garamond" w:cs="Arial"/>
          <w:sz w:val="24"/>
          <w:szCs w:val="24"/>
        </w:rPr>
        <w:t xml:space="preserve"> </w:t>
      </w:r>
      <w:r w:rsidR="007A2492" w:rsidRPr="003A1174">
        <w:rPr>
          <w:rFonts w:ascii="Garamond" w:hAnsi="Garamond" w:cs="Arial"/>
          <w:sz w:val="24"/>
          <w:szCs w:val="24"/>
        </w:rPr>
        <w:t>filho</w:t>
      </w:r>
      <w:r w:rsidR="00955D60" w:rsidRPr="003A1174">
        <w:rPr>
          <w:rFonts w:ascii="Garamond" w:hAnsi="Garamond" w:cs="Arial"/>
          <w:sz w:val="24"/>
          <w:szCs w:val="24"/>
        </w:rPr>
        <w:t xml:space="preserve">s </w:t>
      </w:r>
      <w:r w:rsidR="003F012B" w:rsidRPr="003A1174">
        <w:rPr>
          <w:rFonts w:ascii="Garamond" w:hAnsi="Garamond" w:cs="Arial"/>
          <w:sz w:val="24"/>
          <w:szCs w:val="24"/>
        </w:rPr>
        <w:t>vítima</w:t>
      </w:r>
      <w:r w:rsidR="002C718C" w:rsidRPr="003A1174">
        <w:rPr>
          <w:rFonts w:ascii="Garamond" w:hAnsi="Garamond" w:cs="Arial"/>
          <w:sz w:val="24"/>
          <w:szCs w:val="24"/>
        </w:rPr>
        <w:t>s</w:t>
      </w:r>
      <w:r w:rsidR="00955D60" w:rsidRPr="003A1174">
        <w:rPr>
          <w:rFonts w:ascii="Garamond" w:hAnsi="Garamond" w:cs="Arial"/>
          <w:sz w:val="24"/>
          <w:szCs w:val="24"/>
        </w:rPr>
        <w:t xml:space="preserve"> </w:t>
      </w:r>
      <w:r w:rsidR="002C718C" w:rsidRPr="003A1174">
        <w:rPr>
          <w:rFonts w:ascii="Garamond" w:hAnsi="Garamond" w:cs="Arial"/>
          <w:sz w:val="24"/>
          <w:szCs w:val="24"/>
        </w:rPr>
        <w:t>d</w:t>
      </w:r>
      <w:r w:rsidR="00955D60" w:rsidRPr="003A1174">
        <w:rPr>
          <w:rFonts w:ascii="Garamond" w:hAnsi="Garamond" w:cs="Arial"/>
          <w:sz w:val="24"/>
          <w:szCs w:val="24"/>
        </w:rPr>
        <w:t xml:space="preserve">e </w:t>
      </w:r>
      <w:r w:rsidR="000350B1" w:rsidRPr="003A1174">
        <w:rPr>
          <w:rFonts w:ascii="Garamond" w:hAnsi="Garamond" w:cs="Arial"/>
          <w:sz w:val="24"/>
          <w:szCs w:val="24"/>
        </w:rPr>
        <w:t>violência</w:t>
      </w:r>
      <w:r w:rsidR="00955D60" w:rsidRPr="003A1174">
        <w:rPr>
          <w:rFonts w:ascii="Garamond" w:hAnsi="Garamond" w:cs="Arial"/>
          <w:sz w:val="24"/>
          <w:szCs w:val="24"/>
        </w:rPr>
        <w:t>, a</w:t>
      </w:r>
      <w:r w:rsidRPr="003A1174">
        <w:rPr>
          <w:rFonts w:ascii="Garamond" w:hAnsi="Garamond" w:cs="Arial"/>
          <w:sz w:val="24"/>
          <w:szCs w:val="24"/>
        </w:rPr>
        <w:t xml:space="preserve">lém </w:t>
      </w:r>
      <w:r w:rsidR="00026718">
        <w:rPr>
          <w:rFonts w:ascii="Garamond" w:hAnsi="Garamond" w:cs="Arial"/>
          <w:sz w:val="24"/>
          <w:szCs w:val="24"/>
        </w:rPr>
        <w:t>disso,</w:t>
      </w:r>
      <w:r w:rsidR="00955D60" w:rsidRPr="003A1174">
        <w:rPr>
          <w:rFonts w:ascii="Garamond" w:hAnsi="Garamond" w:cs="Arial"/>
          <w:sz w:val="24"/>
          <w:szCs w:val="24"/>
        </w:rPr>
        <w:t xml:space="preserve"> </w:t>
      </w:r>
      <w:r w:rsidR="007407BD" w:rsidRPr="003A1174">
        <w:rPr>
          <w:rFonts w:ascii="Garamond" w:hAnsi="Garamond" w:cs="Arial"/>
          <w:sz w:val="24"/>
          <w:szCs w:val="24"/>
        </w:rPr>
        <w:t>estes</w:t>
      </w:r>
      <w:r w:rsidR="00955D60" w:rsidRPr="003A1174">
        <w:rPr>
          <w:rFonts w:ascii="Garamond" w:hAnsi="Garamond" w:cs="Arial"/>
          <w:sz w:val="24"/>
          <w:szCs w:val="24"/>
        </w:rPr>
        <w:t xml:space="preserve"> a</w:t>
      </w:r>
      <w:r w:rsidRPr="003A1174">
        <w:rPr>
          <w:rFonts w:ascii="Garamond" w:hAnsi="Garamond" w:cs="Arial"/>
          <w:sz w:val="24"/>
          <w:szCs w:val="24"/>
        </w:rPr>
        <w:t xml:space="preserve">brigos </w:t>
      </w:r>
      <w:r w:rsidR="00026718">
        <w:rPr>
          <w:rFonts w:ascii="Garamond" w:hAnsi="Garamond" w:cs="Arial"/>
          <w:sz w:val="24"/>
          <w:szCs w:val="24"/>
        </w:rPr>
        <w:t xml:space="preserve">devem </w:t>
      </w:r>
      <w:r w:rsidRPr="003A1174">
        <w:rPr>
          <w:rFonts w:ascii="Garamond" w:hAnsi="Garamond" w:cs="Arial"/>
          <w:sz w:val="24"/>
          <w:szCs w:val="24"/>
        </w:rPr>
        <w:t>proporciona</w:t>
      </w:r>
      <w:r w:rsidR="00026718">
        <w:rPr>
          <w:rFonts w:ascii="Garamond" w:hAnsi="Garamond" w:cs="Arial"/>
          <w:sz w:val="24"/>
          <w:szCs w:val="24"/>
        </w:rPr>
        <w:t>r</w:t>
      </w:r>
      <w:r w:rsidRPr="003A1174">
        <w:rPr>
          <w:rFonts w:ascii="Garamond" w:hAnsi="Garamond" w:cs="Arial"/>
          <w:sz w:val="24"/>
          <w:szCs w:val="24"/>
        </w:rPr>
        <w:t xml:space="preserve">, </w:t>
      </w:r>
      <w:r w:rsidR="00955D60" w:rsidRPr="003A1174">
        <w:rPr>
          <w:rFonts w:ascii="Garamond" w:hAnsi="Garamond" w:cs="Arial"/>
          <w:sz w:val="24"/>
          <w:szCs w:val="24"/>
        </w:rPr>
        <w:t>p</w:t>
      </w:r>
      <w:r w:rsidRPr="003A1174">
        <w:rPr>
          <w:rFonts w:ascii="Garamond" w:hAnsi="Garamond" w:cs="Arial"/>
          <w:sz w:val="24"/>
          <w:szCs w:val="24"/>
        </w:rPr>
        <w:t>e</w:t>
      </w:r>
      <w:r w:rsidR="00955D60" w:rsidRPr="003A1174">
        <w:rPr>
          <w:rFonts w:ascii="Garamond" w:hAnsi="Garamond" w:cs="Arial"/>
          <w:sz w:val="24"/>
          <w:szCs w:val="24"/>
        </w:rPr>
        <w:t xml:space="preserve">lo menos, as </w:t>
      </w:r>
      <w:r w:rsidR="006F7276" w:rsidRPr="003A1174">
        <w:rPr>
          <w:rFonts w:ascii="Garamond" w:hAnsi="Garamond" w:cs="Arial"/>
          <w:sz w:val="24"/>
          <w:szCs w:val="24"/>
        </w:rPr>
        <w:t>seguintes</w:t>
      </w:r>
      <w:r w:rsidR="00026718">
        <w:rPr>
          <w:rFonts w:ascii="Garamond" w:hAnsi="Garamond" w:cs="Arial"/>
          <w:sz w:val="24"/>
          <w:szCs w:val="24"/>
        </w:rPr>
        <w:t xml:space="preserve"> condições</w:t>
      </w:r>
      <w:r w:rsidR="00955D60" w:rsidRPr="003A1174">
        <w:rPr>
          <w:rFonts w:ascii="Garamond" w:hAnsi="Garamond" w:cs="Arial"/>
          <w:sz w:val="24"/>
          <w:szCs w:val="24"/>
        </w:rPr>
        <w:t>:</w:t>
      </w:r>
    </w:p>
    <w:p w:rsidR="00955D60" w:rsidRPr="003A1174" w:rsidRDefault="00886D6A" w:rsidP="008719D4">
      <w:pPr>
        <w:pStyle w:val="Prrafodelista"/>
        <w:numPr>
          <w:ilvl w:val="0"/>
          <w:numId w:val="32"/>
        </w:numPr>
        <w:autoSpaceDE w:val="0"/>
        <w:autoSpaceDN w:val="0"/>
        <w:adjustRightInd w:val="0"/>
        <w:spacing w:after="0" w:line="240" w:lineRule="auto"/>
        <w:jc w:val="both"/>
        <w:rPr>
          <w:rFonts w:ascii="Garamond" w:hAnsi="Garamond" w:cs="Arial"/>
          <w:sz w:val="24"/>
          <w:szCs w:val="24"/>
          <w:lang w:val="pt-PT"/>
        </w:rPr>
      </w:pPr>
      <w:r w:rsidRPr="003A1174">
        <w:rPr>
          <w:rFonts w:ascii="Garamond" w:hAnsi="Garamond" w:cs="Arial"/>
          <w:sz w:val="24"/>
          <w:szCs w:val="24"/>
          <w:lang w:val="pt-PT"/>
        </w:rPr>
        <w:t>Proteção</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w:t>
      </w:r>
      <w:r w:rsidR="00D15AFF" w:rsidRPr="003A1174">
        <w:rPr>
          <w:rFonts w:ascii="Garamond" w:hAnsi="Garamond" w:cs="Arial"/>
          <w:sz w:val="24"/>
          <w:szCs w:val="24"/>
          <w:lang w:val="pt-PT"/>
        </w:rPr>
        <w:t>segurança</w:t>
      </w:r>
      <w:r w:rsidR="00955D60"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955D60"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00D4144D" w:rsidRPr="003A1174">
        <w:rPr>
          <w:rFonts w:ascii="Garamond" w:hAnsi="Garamond" w:cs="Arial"/>
          <w:sz w:val="24"/>
          <w:szCs w:val="24"/>
          <w:lang w:val="pt-PT"/>
        </w:rPr>
        <w:t xml:space="preserve">, </w:t>
      </w:r>
      <w:r w:rsidR="00A801B1">
        <w:rPr>
          <w:rFonts w:ascii="Garamond" w:hAnsi="Garamond" w:cs="Arial"/>
          <w:sz w:val="24"/>
          <w:szCs w:val="24"/>
          <w:lang w:val="pt-PT"/>
        </w:rPr>
        <w:t xml:space="preserve">e aos seus </w:t>
      </w:r>
      <w:r w:rsidR="007A2492" w:rsidRPr="003A1174">
        <w:rPr>
          <w:rFonts w:ascii="Garamond" w:hAnsi="Garamond" w:cs="Arial"/>
          <w:sz w:val="24"/>
          <w:szCs w:val="24"/>
          <w:lang w:val="pt-PT"/>
        </w:rPr>
        <w:t>filho</w:t>
      </w:r>
      <w:r w:rsidR="00955D60" w:rsidRPr="003A1174">
        <w:rPr>
          <w:rFonts w:ascii="Garamond" w:hAnsi="Garamond" w:cs="Arial"/>
          <w:sz w:val="24"/>
          <w:szCs w:val="24"/>
          <w:lang w:val="pt-PT"/>
        </w:rPr>
        <w:t xml:space="preserve">s durante </w:t>
      </w:r>
      <w:r w:rsidR="00D4144D" w:rsidRPr="003A1174">
        <w:rPr>
          <w:rFonts w:ascii="Garamond" w:hAnsi="Garamond" w:cs="Arial"/>
          <w:sz w:val="24"/>
          <w:szCs w:val="24"/>
          <w:lang w:val="pt-PT"/>
        </w:rPr>
        <w:t xml:space="preserve">a </w:t>
      </w:r>
      <w:r w:rsidR="00955D60" w:rsidRPr="003A1174">
        <w:rPr>
          <w:rFonts w:ascii="Garamond" w:hAnsi="Garamond" w:cs="Arial"/>
          <w:sz w:val="24"/>
          <w:szCs w:val="24"/>
          <w:lang w:val="pt-PT"/>
        </w:rPr>
        <w:t>su</w:t>
      </w:r>
      <w:r w:rsidR="00D4144D" w:rsidRPr="003A1174">
        <w:rPr>
          <w:rFonts w:ascii="Garamond" w:hAnsi="Garamond" w:cs="Arial"/>
          <w:sz w:val="24"/>
          <w:szCs w:val="24"/>
          <w:lang w:val="pt-PT"/>
        </w:rPr>
        <w:t>a</w:t>
      </w:r>
      <w:r w:rsidR="00955D60" w:rsidRPr="003A1174">
        <w:rPr>
          <w:rFonts w:ascii="Garamond" w:hAnsi="Garamond" w:cs="Arial"/>
          <w:sz w:val="24"/>
          <w:szCs w:val="24"/>
          <w:lang w:val="pt-PT"/>
        </w:rPr>
        <w:t xml:space="preserve"> esta</w:t>
      </w:r>
      <w:r w:rsidR="00D4144D" w:rsidRPr="003A1174">
        <w:rPr>
          <w:rFonts w:ascii="Garamond" w:hAnsi="Garamond" w:cs="Arial"/>
          <w:sz w:val="24"/>
          <w:szCs w:val="24"/>
          <w:lang w:val="pt-PT"/>
        </w:rPr>
        <w:t>dia temporária</w:t>
      </w:r>
      <w:r w:rsidR="00955D60" w:rsidRPr="003A1174">
        <w:rPr>
          <w:rFonts w:ascii="Garamond" w:hAnsi="Garamond" w:cs="Arial"/>
          <w:sz w:val="24"/>
          <w:szCs w:val="24"/>
          <w:lang w:val="pt-PT"/>
        </w:rPr>
        <w:t>.</w:t>
      </w:r>
    </w:p>
    <w:p w:rsidR="00955D60" w:rsidRPr="003A1174" w:rsidRDefault="006C5AE7" w:rsidP="008719D4">
      <w:pPr>
        <w:pStyle w:val="Prrafodelista"/>
        <w:numPr>
          <w:ilvl w:val="0"/>
          <w:numId w:val="32"/>
        </w:numPr>
        <w:autoSpaceDE w:val="0"/>
        <w:autoSpaceDN w:val="0"/>
        <w:adjustRightInd w:val="0"/>
        <w:spacing w:after="0" w:line="240" w:lineRule="auto"/>
        <w:jc w:val="both"/>
        <w:rPr>
          <w:rFonts w:ascii="Garamond" w:hAnsi="Garamond" w:cs="Arial"/>
          <w:sz w:val="24"/>
          <w:szCs w:val="24"/>
          <w:lang w:val="pt-PT"/>
        </w:rPr>
      </w:pPr>
      <w:r w:rsidRPr="003A1174">
        <w:rPr>
          <w:rFonts w:ascii="Garamond" w:hAnsi="Garamond" w:cs="Arial"/>
          <w:sz w:val="24"/>
          <w:szCs w:val="24"/>
          <w:lang w:val="pt-PT"/>
        </w:rPr>
        <w:t>Alimentação</w:t>
      </w:r>
      <w:r w:rsidR="00955D60" w:rsidRPr="003A1174">
        <w:rPr>
          <w:rFonts w:ascii="Garamond" w:hAnsi="Garamond" w:cs="Arial"/>
          <w:sz w:val="24"/>
          <w:szCs w:val="24"/>
          <w:lang w:val="pt-PT"/>
        </w:rPr>
        <w:t>, cal</w:t>
      </w:r>
      <w:r w:rsidR="00D4144D" w:rsidRPr="003A1174">
        <w:rPr>
          <w:rFonts w:ascii="Garamond" w:hAnsi="Garamond" w:cs="Arial"/>
          <w:sz w:val="24"/>
          <w:szCs w:val="24"/>
          <w:lang w:val="pt-PT"/>
        </w:rPr>
        <w:t>ç</w:t>
      </w:r>
      <w:r w:rsidR="00955D60" w:rsidRPr="003A1174">
        <w:rPr>
          <w:rFonts w:ascii="Garamond" w:hAnsi="Garamond" w:cs="Arial"/>
          <w:sz w:val="24"/>
          <w:szCs w:val="24"/>
          <w:lang w:val="pt-PT"/>
        </w:rPr>
        <w:t xml:space="preserve">ado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vest</w:t>
      </w:r>
      <w:r w:rsidR="00D4144D" w:rsidRPr="003A1174">
        <w:rPr>
          <w:rFonts w:ascii="Garamond" w:hAnsi="Garamond" w:cs="Arial"/>
          <w:sz w:val="24"/>
          <w:szCs w:val="24"/>
          <w:lang w:val="pt-PT"/>
        </w:rPr>
        <w:t xml:space="preserve">uário </w:t>
      </w:r>
      <w:r w:rsidR="00955D60" w:rsidRPr="003A1174">
        <w:rPr>
          <w:rFonts w:ascii="Garamond" w:hAnsi="Garamond" w:cs="Arial"/>
          <w:sz w:val="24"/>
          <w:szCs w:val="24"/>
          <w:lang w:val="pt-PT"/>
        </w:rPr>
        <w:t xml:space="preserve">durante </w:t>
      </w:r>
      <w:r w:rsidR="00D4144D" w:rsidRPr="003A1174">
        <w:rPr>
          <w:rFonts w:ascii="Garamond" w:hAnsi="Garamond" w:cs="Arial"/>
          <w:sz w:val="24"/>
          <w:szCs w:val="24"/>
          <w:lang w:val="pt-PT"/>
        </w:rPr>
        <w:t xml:space="preserve">a </w:t>
      </w:r>
      <w:r w:rsidR="00955D60" w:rsidRPr="003A1174">
        <w:rPr>
          <w:rFonts w:ascii="Garamond" w:hAnsi="Garamond" w:cs="Arial"/>
          <w:sz w:val="24"/>
          <w:szCs w:val="24"/>
          <w:lang w:val="pt-PT"/>
        </w:rPr>
        <w:t>su</w:t>
      </w:r>
      <w:r w:rsidR="00D4144D" w:rsidRPr="003A1174">
        <w:rPr>
          <w:rFonts w:ascii="Garamond" w:hAnsi="Garamond" w:cs="Arial"/>
          <w:sz w:val="24"/>
          <w:szCs w:val="24"/>
          <w:lang w:val="pt-PT"/>
        </w:rPr>
        <w:t>a</w:t>
      </w:r>
      <w:r w:rsidR="00955D60" w:rsidRPr="003A1174">
        <w:rPr>
          <w:rFonts w:ascii="Garamond" w:hAnsi="Garamond" w:cs="Arial"/>
          <w:sz w:val="24"/>
          <w:szCs w:val="24"/>
          <w:lang w:val="pt-PT"/>
        </w:rPr>
        <w:t xml:space="preserve"> esta</w:t>
      </w:r>
      <w:r w:rsidR="00D4144D" w:rsidRPr="003A1174">
        <w:rPr>
          <w:rFonts w:ascii="Garamond" w:hAnsi="Garamond" w:cs="Arial"/>
          <w:sz w:val="24"/>
          <w:szCs w:val="24"/>
          <w:lang w:val="pt-PT"/>
        </w:rPr>
        <w:t xml:space="preserve">dia </w:t>
      </w:r>
      <w:r w:rsidR="00141BA9" w:rsidRPr="003A1174">
        <w:rPr>
          <w:rFonts w:ascii="Garamond" w:hAnsi="Garamond" w:cs="Arial"/>
          <w:sz w:val="24"/>
          <w:szCs w:val="24"/>
          <w:lang w:val="pt-PT"/>
        </w:rPr>
        <w:t>temporári</w:t>
      </w:r>
      <w:r w:rsidR="00D4144D" w:rsidRPr="003A1174">
        <w:rPr>
          <w:rFonts w:ascii="Garamond" w:hAnsi="Garamond" w:cs="Arial"/>
          <w:sz w:val="24"/>
          <w:szCs w:val="24"/>
          <w:lang w:val="pt-PT"/>
        </w:rPr>
        <w:t>a</w:t>
      </w:r>
      <w:r w:rsidR="00955D60" w:rsidRPr="003A1174">
        <w:rPr>
          <w:rFonts w:ascii="Garamond" w:hAnsi="Garamond" w:cs="Arial"/>
          <w:sz w:val="24"/>
          <w:szCs w:val="24"/>
          <w:lang w:val="pt-PT"/>
        </w:rPr>
        <w:t>.</w:t>
      </w:r>
    </w:p>
    <w:p w:rsidR="00955D60" w:rsidRPr="003A1174" w:rsidRDefault="00A801B1" w:rsidP="008719D4">
      <w:pPr>
        <w:pStyle w:val="Prrafodelista"/>
        <w:numPr>
          <w:ilvl w:val="0"/>
          <w:numId w:val="32"/>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 xml:space="preserve">Tratamento </w:t>
      </w:r>
      <w:r w:rsidR="00955D60" w:rsidRPr="003A1174">
        <w:rPr>
          <w:rFonts w:ascii="Garamond" w:hAnsi="Garamond" w:cs="Arial"/>
          <w:sz w:val="24"/>
          <w:szCs w:val="24"/>
        </w:rPr>
        <w:t>psicológic</w:t>
      </w:r>
      <w:r>
        <w:rPr>
          <w:rFonts w:ascii="Garamond" w:hAnsi="Garamond" w:cs="Arial"/>
          <w:sz w:val="24"/>
          <w:szCs w:val="24"/>
        </w:rPr>
        <w:t>o</w:t>
      </w:r>
      <w:r w:rsidR="00955D60" w:rsidRPr="003A1174">
        <w:rPr>
          <w:rFonts w:ascii="Garamond" w:hAnsi="Garamond" w:cs="Arial"/>
          <w:sz w:val="24"/>
          <w:szCs w:val="24"/>
        </w:rPr>
        <w:t>.</w:t>
      </w:r>
    </w:p>
    <w:p w:rsidR="00955D60" w:rsidRPr="003A1174" w:rsidRDefault="00A801B1" w:rsidP="008719D4">
      <w:pPr>
        <w:pStyle w:val="Prrafodelista"/>
        <w:numPr>
          <w:ilvl w:val="0"/>
          <w:numId w:val="32"/>
        </w:numPr>
        <w:autoSpaceDE w:val="0"/>
        <w:autoSpaceDN w:val="0"/>
        <w:adjustRightInd w:val="0"/>
        <w:spacing w:after="0" w:line="240" w:lineRule="auto"/>
        <w:jc w:val="both"/>
        <w:rPr>
          <w:rFonts w:ascii="Garamond" w:hAnsi="Garamond" w:cs="Arial"/>
          <w:sz w:val="24"/>
          <w:szCs w:val="24"/>
          <w:lang w:val="pt-PT"/>
        </w:rPr>
      </w:pPr>
      <w:r>
        <w:rPr>
          <w:rFonts w:ascii="Garamond" w:hAnsi="Garamond" w:cs="Arial"/>
          <w:sz w:val="24"/>
          <w:szCs w:val="24"/>
          <w:lang w:val="pt-PT"/>
        </w:rPr>
        <w:t>Apoio</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w:t>
      </w:r>
      <w:r w:rsidR="0017447A" w:rsidRPr="003A1174">
        <w:rPr>
          <w:rFonts w:ascii="Garamond" w:hAnsi="Garamond" w:cs="Arial"/>
          <w:sz w:val="24"/>
          <w:szCs w:val="24"/>
          <w:lang w:val="pt-PT"/>
        </w:rPr>
        <w:t>represent</w:t>
      </w:r>
      <w:r w:rsidR="00D4144D" w:rsidRPr="003A1174">
        <w:rPr>
          <w:rFonts w:ascii="Garamond" w:hAnsi="Garamond" w:cs="Arial"/>
          <w:sz w:val="24"/>
          <w:szCs w:val="24"/>
          <w:lang w:val="pt-PT"/>
        </w:rPr>
        <w:t>ação</w:t>
      </w:r>
      <w:r w:rsidR="00955D60" w:rsidRPr="003A1174">
        <w:rPr>
          <w:rFonts w:ascii="Garamond" w:hAnsi="Garamond" w:cs="Arial"/>
          <w:sz w:val="24"/>
          <w:szCs w:val="24"/>
          <w:lang w:val="pt-PT"/>
        </w:rPr>
        <w:t xml:space="preserve"> legal.</w:t>
      </w:r>
    </w:p>
    <w:p w:rsidR="00955D60" w:rsidRPr="003A1174" w:rsidRDefault="00A801B1" w:rsidP="008719D4">
      <w:pPr>
        <w:pStyle w:val="Prrafodelista"/>
        <w:numPr>
          <w:ilvl w:val="0"/>
          <w:numId w:val="32"/>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Apoio</w:t>
      </w:r>
      <w:r w:rsidR="00955D60" w:rsidRPr="003A1174">
        <w:rPr>
          <w:rFonts w:ascii="Garamond" w:hAnsi="Garamond" w:cs="Arial"/>
          <w:sz w:val="24"/>
          <w:szCs w:val="24"/>
        </w:rPr>
        <w:t xml:space="preserve"> </w:t>
      </w:r>
      <w:r w:rsidR="00D72051">
        <w:rPr>
          <w:rFonts w:ascii="Garamond" w:hAnsi="Garamond" w:cs="Arial"/>
          <w:sz w:val="24"/>
          <w:szCs w:val="24"/>
        </w:rPr>
        <w:t>a</w:t>
      </w:r>
      <w:r w:rsidR="00D4144D" w:rsidRPr="003A1174">
        <w:rPr>
          <w:rFonts w:ascii="Garamond" w:hAnsi="Garamond" w:cs="Arial"/>
          <w:sz w:val="24"/>
          <w:szCs w:val="24"/>
        </w:rPr>
        <w:t xml:space="preserve">o </w:t>
      </w:r>
      <w:r w:rsidR="0017447A" w:rsidRPr="003A1174">
        <w:rPr>
          <w:rFonts w:ascii="Garamond" w:hAnsi="Garamond" w:cs="Arial"/>
          <w:sz w:val="24"/>
          <w:szCs w:val="24"/>
        </w:rPr>
        <w:t>trabalho</w:t>
      </w:r>
      <w:r w:rsidR="00955D60" w:rsidRPr="003A1174">
        <w:rPr>
          <w:rFonts w:ascii="Garamond" w:hAnsi="Garamond" w:cs="Arial"/>
          <w:sz w:val="24"/>
          <w:szCs w:val="24"/>
        </w:rPr>
        <w:t xml:space="preserve"> social.</w:t>
      </w:r>
    </w:p>
    <w:p w:rsidR="00955D60" w:rsidRPr="003A1174" w:rsidRDefault="00A801B1" w:rsidP="008719D4">
      <w:pPr>
        <w:pStyle w:val="Prrafodelista"/>
        <w:numPr>
          <w:ilvl w:val="0"/>
          <w:numId w:val="32"/>
        </w:num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lastRenderedPageBreak/>
        <w:t>Apoio</w:t>
      </w:r>
      <w:r w:rsidR="00955D60" w:rsidRPr="003A1174">
        <w:rPr>
          <w:rFonts w:ascii="Garamond" w:hAnsi="Garamond" w:cs="Arial"/>
          <w:sz w:val="24"/>
          <w:szCs w:val="24"/>
        </w:rPr>
        <w:t xml:space="preserve"> </w:t>
      </w:r>
      <w:r w:rsidR="002C718C" w:rsidRPr="003A1174">
        <w:rPr>
          <w:rFonts w:ascii="Garamond" w:hAnsi="Garamond" w:cs="Arial"/>
          <w:sz w:val="24"/>
          <w:szCs w:val="24"/>
        </w:rPr>
        <w:t>m</w:t>
      </w:r>
      <w:r w:rsidR="00955D60" w:rsidRPr="003A1174">
        <w:rPr>
          <w:rFonts w:ascii="Garamond" w:hAnsi="Garamond" w:cs="Arial"/>
          <w:sz w:val="24"/>
          <w:szCs w:val="24"/>
        </w:rPr>
        <w:t>édic</w:t>
      </w:r>
      <w:r>
        <w:rPr>
          <w:rFonts w:ascii="Garamond" w:hAnsi="Garamond" w:cs="Arial"/>
          <w:sz w:val="24"/>
          <w:szCs w:val="24"/>
        </w:rPr>
        <w:t>o</w:t>
      </w:r>
      <w:r w:rsidR="00955D60" w:rsidRPr="003A1174">
        <w:rPr>
          <w:rFonts w:ascii="Garamond" w:hAnsi="Garamond" w:cs="Arial"/>
          <w:sz w:val="24"/>
          <w:szCs w:val="24"/>
        </w:rPr>
        <w:t>.</w:t>
      </w:r>
    </w:p>
    <w:p w:rsidR="00955D60" w:rsidRPr="003A1174" w:rsidRDefault="00955D60" w:rsidP="008719D4">
      <w:pPr>
        <w:pStyle w:val="Prrafodelista"/>
        <w:numPr>
          <w:ilvl w:val="0"/>
          <w:numId w:val="32"/>
        </w:num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Bolsa de </w:t>
      </w:r>
      <w:r w:rsidR="0017447A" w:rsidRPr="003A1174">
        <w:rPr>
          <w:rFonts w:ascii="Garamond" w:hAnsi="Garamond" w:cs="Arial"/>
          <w:sz w:val="24"/>
          <w:szCs w:val="24"/>
        </w:rPr>
        <w:t>trabalho</w:t>
      </w:r>
      <w:r w:rsidRPr="003A1174">
        <w:rPr>
          <w:rFonts w:ascii="Garamond" w:hAnsi="Garamond" w:cs="Arial"/>
          <w:sz w:val="24"/>
          <w:szCs w:val="24"/>
        </w:rPr>
        <w:t>.</w:t>
      </w:r>
    </w:p>
    <w:p w:rsidR="00955D6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t>Registo</w:t>
      </w:r>
      <w:r w:rsidR="00374F16" w:rsidRPr="003A1174">
        <w:rPr>
          <w:rFonts w:ascii="Garamond" w:hAnsi="Garamond"/>
          <w:sz w:val="24"/>
          <w:szCs w:val="24"/>
        </w:rPr>
        <w:t xml:space="preserve"> de </w:t>
      </w:r>
      <w:r w:rsidR="0017447A" w:rsidRPr="003A1174">
        <w:rPr>
          <w:rFonts w:ascii="Garamond" w:hAnsi="Garamond"/>
          <w:sz w:val="24"/>
          <w:szCs w:val="24"/>
        </w:rPr>
        <w:t>informação</w:t>
      </w:r>
      <w:r w:rsidR="00374F16" w:rsidRPr="003A1174">
        <w:rPr>
          <w:rFonts w:ascii="Garamond" w:hAnsi="Garamond"/>
          <w:sz w:val="24"/>
          <w:szCs w:val="24"/>
        </w:rPr>
        <w:t>: Guanajuato</w:t>
      </w:r>
    </w:p>
    <w:p w:rsidR="00955D60" w:rsidRPr="003A1174" w:rsidRDefault="00955D60" w:rsidP="008719D4">
      <w:pPr>
        <w:shd w:val="clear" w:color="auto" w:fill="FFFFFF"/>
        <w:spacing w:before="240" w:after="0" w:line="240" w:lineRule="auto"/>
        <w:jc w:val="both"/>
        <w:rPr>
          <w:rFonts w:ascii="Garamond" w:hAnsi="Garamond" w:cs="Arial"/>
          <w:bCs/>
          <w:sz w:val="24"/>
          <w:szCs w:val="24"/>
        </w:rPr>
      </w:pPr>
      <w:r w:rsidRPr="003A1174">
        <w:rPr>
          <w:rFonts w:ascii="Garamond" w:hAnsi="Garamond" w:cs="Arial"/>
          <w:sz w:val="24"/>
          <w:szCs w:val="24"/>
        </w:rPr>
        <w:t xml:space="preserve">De </w:t>
      </w:r>
      <w:r w:rsidR="003F012B" w:rsidRPr="003A1174">
        <w:rPr>
          <w:rFonts w:ascii="Garamond" w:hAnsi="Garamond" w:cs="Arial"/>
          <w:sz w:val="24"/>
          <w:szCs w:val="24"/>
        </w:rPr>
        <w:t>acordo</w:t>
      </w:r>
      <w:r w:rsidRPr="003A1174">
        <w:rPr>
          <w:rFonts w:ascii="Garamond" w:hAnsi="Garamond" w:cs="Arial"/>
          <w:sz w:val="24"/>
          <w:szCs w:val="24"/>
        </w:rPr>
        <w:t xml:space="preserve"> </w:t>
      </w:r>
      <w:r w:rsidR="00D4144D" w:rsidRPr="003A1174">
        <w:rPr>
          <w:rFonts w:ascii="Garamond" w:hAnsi="Garamond" w:cs="Arial"/>
          <w:sz w:val="24"/>
          <w:szCs w:val="24"/>
        </w:rPr>
        <w:t xml:space="preserve">com </w:t>
      </w:r>
      <w:r w:rsidRPr="003A1174">
        <w:rPr>
          <w:rFonts w:ascii="Garamond" w:hAnsi="Garamond" w:cs="Arial"/>
          <w:sz w:val="24"/>
          <w:szCs w:val="24"/>
        </w:rPr>
        <w:t xml:space="preserve">a </w:t>
      </w:r>
      <w:r w:rsidR="00D15AFF" w:rsidRPr="003A1174">
        <w:rPr>
          <w:rFonts w:ascii="Garamond" w:hAnsi="Garamond" w:cs="Arial"/>
          <w:sz w:val="24"/>
          <w:szCs w:val="24"/>
        </w:rPr>
        <w:t>Lei</w:t>
      </w:r>
      <w:r w:rsidRPr="003A1174">
        <w:rPr>
          <w:rFonts w:ascii="Garamond" w:hAnsi="Garamond" w:cs="Arial"/>
          <w:sz w:val="24"/>
          <w:szCs w:val="24"/>
        </w:rPr>
        <w:t xml:space="preserve"> de </w:t>
      </w:r>
      <w:r w:rsidR="00886D6A" w:rsidRPr="003A1174">
        <w:rPr>
          <w:rFonts w:ascii="Garamond" w:hAnsi="Garamond" w:cs="Arial"/>
          <w:sz w:val="24"/>
          <w:szCs w:val="24"/>
        </w:rPr>
        <w:t>Acesso</w:t>
      </w:r>
      <w:r w:rsidRPr="003A1174">
        <w:rPr>
          <w:rFonts w:ascii="Garamond" w:hAnsi="Garamond" w:cs="Arial"/>
          <w:sz w:val="24"/>
          <w:szCs w:val="24"/>
        </w:rPr>
        <w:t xml:space="preserve">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00D4144D" w:rsidRPr="003A1174">
        <w:rPr>
          <w:rFonts w:ascii="Garamond" w:hAnsi="Garamond" w:cs="Arial"/>
          <w:sz w:val="24"/>
          <w:szCs w:val="24"/>
        </w:rPr>
        <w:t xml:space="preserve"> a um</w:t>
      </w:r>
      <w:r w:rsidRPr="003A1174">
        <w:rPr>
          <w:rFonts w:ascii="Garamond" w:hAnsi="Garamond" w:cs="Arial"/>
          <w:sz w:val="24"/>
          <w:szCs w:val="24"/>
        </w:rPr>
        <w:t xml:space="preserve">a Vida </w:t>
      </w:r>
      <w:r w:rsidR="00AF192F" w:rsidRPr="003A1174">
        <w:rPr>
          <w:rFonts w:ascii="Garamond" w:hAnsi="Garamond" w:cs="Arial"/>
          <w:sz w:val="24"/>
          <w:szCs w:val="24"/>
        </w:rPr>
        <w:t>Livre</w:t>
      </w:r>
      <w:r w:rsidRPr="003A1174">
        <w:rPr>
          <w:rFonts w:ascii="Garamond" w:hAnsi="Garamond" w:cs="Arial"/>
          <w:sz w:val="24"/>
          <w:szCs w:val="24"/>
        </w:rPr>
        <w:t xml:space="preserve"> de </w:t>
      </w:r>
      <w:r w:rsidR="000350B1" w:rsidRPr="003A1174">
        <w:rPr>
          <w:rFonts w:ascii="Garamond" w:hAnsi="Garamond" w:cs="Arial"/>
          <w:sz w:val="24"/>
          <w:szCs w:val="24"/>
        </w:rPr>
        <w:t>Violência</w:t>
      </w:r>
      <w:r w:rsidR="002C718C" w:rsidRPr="003A1174">
        <w:rPr>
          <w:rFonts w:ascii="Garamond" w:hAnsi="Garamond" w:cs="Arial"/>
          <w:sz w:val="24"/>
          <w:szCs w:val="24"/>
        </w:rPr>
        <w:t>,</w:t>
      </w:r>
      <w:r w:rsidRPr="003A1174">
        <w:rPr>
          <w:rFonts w:ascii="Garamond" w:hAnsi="Garamond" w:cs="Arial"/>
          <w:sz w:val="24"/>
          <w:szCs w:val="24"/>
        </w:rPr>
        <w:t xml:space="preserve"> para </w:t>
      </w:r>
      <w:r w:rsidR="00D4144D" w:rsidRPr="003A1174">
        <w:rPr>
          <w:rFonts w:ascii="Garamond" w:hAnsi="Garamond" w:cs="Arial"/>
          <w:sz w:val="24"/>
          <w:szCs w:val="24"/>
        </w:rPr>
        <w:t xml:space="preserve">o </w:t>
      </w:r>
      <w:r w:rsidRPr="003A1174">
        <w:rPr>
          <w:rFonts w:ascii="Garamond" w:hAnsi="Garamond" w:cs="Arial"/>
          <w:sz w:val="24"/>
          <w:szCs w:val="24"/>
        </w:rPr>
        <w:t>Estado de Guanajuato</w:t>
      </w:r>
      <w:r w:rsidR="00D72051">
        <w:rPr>
          <w:rFonts w:ascii="Garamond" w:hAnsi="Garamond" w:cs="Arial"/>
          <w:sz w:val="24"/>
          <w:szCs w:val="24"/>
        </w:rPr>
        <w:t>,</w:t>
      </w:r>
      <w:r w:rsidRPr="003A1174">
        <w:rPr>
          <w:rFonts w:ascii="Garamond" w:hAnsi="Garamond" w:cs="Arial"/>
          <w:sz w:val="24"/>
          <w:szCs w:val="24"/>
        </w:rPr>
        <w:t xml:space="preserve"> </w:t>
      </w:r>
      <w:r w:rsidR="00D4144D" w:rsidRPr="003A1174">
        <w:rPr>
          <w:rFonts w:ascii="Garamond" w:hAnsi="Garamond" w:cs="Arial"/>
          <w:sz w:val="24"/>
          <w:szCs w:val="24"/>
        </w:rPr>
        <w:t xml:space="preserve">o </w:t>
      </w:r>
      <w:r w:rsidR="004C1496" w:rsidRPr="003A1174">
        <w:rPr>
          <w:rFonts w:ascii="Garamond" w:eastAsia="Times New Roman" w:hAnsi="Garamond" w:cs="Arial"/>
          <w:sz w:val="24"/>
          <w:szCs w:val="24"/>
        </w:rPr>
        <w:t>Conselho</w:t>
      </w:r>
      <w:r w:rsidRPr="003A1174">
        <w:rPr>
          <w:rFonts w:ascii="Garamond" w:eastAsia="Times New Roman" w:hAnsi="Garamond" w:cs="Arial"/>
          <w:sz w:val="24"/>
          <w:szCs w:val="24"/>
        </w:rPr>
        <w:t xml:space="preserve"> Estatal para Prevenir, Atender, </w:t>
      </w:r>
      <w:r w:rsidR="003F493C" w:rsidRPr="003A1174">
        <w:rPr>
          <w:rFonts w:ascii="Garamond" w:eastAsia="Times New Roman" w:hAnsi="Garamond" w:cs="Arial"/>
          <w:sz w:val="24"/>
          <w:szCs w:val="24"/>
        </w:rPr>
        <w:t>Punir</w:t>
      </w:r>
      <w:r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D4144D" w:rsidRPr="003A1174">
        <w:rPr>
          <w:rFonts w:ascii="Garamond" w:eastAsia="Times New Roman" w:hAnsi="Garamond" w:cs="Arial"/>
          <w:sz w:val="24"/>
          <w:szCs w:val="24"/>
        </w:rPr>
        <w:t xml:space="preserve"> Erradicar </w:t>
      </w:r>
      <w:r w:rsidRPr="003A1174">
        <w:rPr>
          <w:rFonts w:ascii="Garamond" w:eastAsia="Times New Roman" w:hAnsi="Garamond" w:cs="Arial"/>
          <w:sz w:val="24"/>
          <w:szCs w:val="24"/>
        </w:rPr>
        <w:t xml:space="preserve">a </w:t>
      </w:r>
      <w:r w:rsidR="000350B1" w:rsidRPr="003A1174">
        <w:rPr>
          <w:rFonts w:ascii="Garamond" w:eastAsia="Times New Roman" w:hAnsi="Garamond" w:cs="Arial"/>
          <w:sz w:val="24"/>
          <w:szCs w:val="24"/>
        </w:rPr>
        <w:t>Violência</w:t>
      </w:r>
      <w:r w:rsidRPr="003A1174">
        <w:rPr>
          <w:rFonts w:ascii="Garamond" w:eastAsia="Times New Roman" w:hAnsi="Garamond" w:cs="Arial"/>
          <w:sz w:val="24"/>
          <w:szCs w:val="24"/>
        </w:rPr>
        <w:t xml:space="preserve"> </w:t>
      </w:r>
      <w:r w:rsidR="00BB2B00" w:rsidRPr="003A1174">
        <w:rPr>
          <w:rFonts w:ascii="Garamond" w:eastAsia="Times New Roman" w:hAnsi="Garamond" w:cs="Arial"/>
          <w:sz w:val="24"/>
          <w:szCs w:val="24"/>
        </w:rPr>
        <w:t>contra a</w:t>
      </w:r>
      <w:r w:rsidRPr="003A1174">
        <w:rPr>
          <w:rFonts w:ascii="Garamond" w:eastAsia="Times New Roman" w:hAnsi="Garamond" w:cs="Arial"/>
          <w:sz w:val="24"/>
          <w:szCs w:val="24"/>
        </w:rPr>
        <w:t xml:space="preserve">s </w:t>
      </w:r>
      <w:r w:rsidR="00054EE0" w:rsidRPr="003A1174">
        <w:rPr>
          <w:rFonts w:ascii="Garamond" w:eastAsia="Times New Roman" w:hAnsi="Garamond" w:cs="Arial"/>
          <w:sz w:val="24"/>
          <w:szCs w:val="24"/>
        </w:rPr>
        <w:t>Mulheres</w:t>
      </w:r>
      <w:r w:rsidRPr="003A1174">
        <w:rPr>
          <w:rFonts w:ascii="Garamond" w:eastAsia="Times New Roman" w:hAnsi="Garamond" w:cs="Arial"/>
          <w:sz w:val="24"/>
          <w:szCs w:val="24"/>
        </w:rPr>
        <w:t xml:space="preserve"> </w:t>
      </w:r>
      <w:r w:rsidR="00D4144D" w:rsidRPr="003A1174">
        <w:rPr>
          <w:rFonts w:ascii="Garamond" w:eastAsia="Times New Roman" w:hAnsi="Garamond" w:cs="Arial"/>
          <w:sz w:val="24"/>
          <w:szCs w:val="24"/>
        </w:rPr>
        <w:t xml:space="preserve">é o </w:t>
      </w:r>
      <w:r w:rsidR="00976FB8" w:rsidRPr="003A1174">
        <w:rPr>
          <w:rFonts w:ascii="Garamond" w:eastAsia="Times New Roman" w:hAnsi="Garamond" w:cs="Arial"/>
          <w:sz w:val="24"/>
          <w:szCs w:val="24"/>
        </w:rPr>
        <w:t>encarregado</w:t>
      </w:r>
      <w:r w:rsidRPr="003A1174">
        <w:rPr>
          <w:rFonts w:ascii="Garamond" w:eastAsia="Times New Roman" w:hAnsi="Garamond" w:cs="Arial"/>
          <w:sz w:val="24"/>
          <w:szCs w:val="24"/>
        </w:rPr>
        <w:t xml:space="preserve"> </w:t>
      </w:r>
      <w:r w:rsidR="00E85E59" w:rsidRPr="003A1174">
        <w:rPr>
          <w:rFonts w:ascii="Garamond" w:eastAsia="Times New Roman" w:hAnsi="Garamond" w:cs="Arial"/>
          <w:sz w:val="24"/>
          <w:szCs w:val="24"/>
        </w:rPr>
        <w:t>do</w:t>
      </w:r>
      <w:r w:rsidRPr="003A1174">
        <w:rPr>
          <w:rFonts w:ascii="Garamond" w:eastAsia="Times New Roman" w:hAnsi="Garamond" w:cs="Arial"/>
          <w:sz w:val="24"/>
          <w:szCs w:val="24"/>
        </w:rPr>
        <w:t xml:space="preserve"> </w:t>
      </w:r>
      <w:r w:rsidRPr="003A1174">
        <w:rPr>
          <w:rFonts w:ascii="Garamond" w:eastAsia="Times New Roman" w:hAnsi="Garamond" w:cs="Arial"/>
          <w:bCs/>
          <w:sz w:val="24"/>
          <w:szCs w:val="24"/>
        </w:rPr>
        <w:t xml:space="preserve">Banco Estatal de </w:t>
      </w:r>
      <w:r w:rsidR="00EE7406" w:rsidRPr="003A1174">
        <w:rPr>
          <w:rFonts w:ascii="Garamond" w:eastAsia="Times New Roman" w:hAnsi="Garamond" w:cs="Arial"/>
          <w:bCs/>
          <w:sz w:val="24"/>
          <w:szCs w:val="24"/>
        </w:rPr>
        <w:t>Dado</w:t>
      </w:r>
      <w:r w:rsidRPr="003A1174">
        <w:rPr>
          <w:rFonts w:ascii="Garamond" w:eastAsia="Times New Roman" w:hAnsi="Garamond" w:cs="Arial"/>
          <w:bCs/>
          <w:sz w:val="24"/>
          <w:szCs w:val="24"/>
        </w:rPr>
        <w:t xml:space="preserve">s e </w:t>
      </w:r>
      <w:r w:rsidR="0017447A" w:rsidRPr="003A1174">
        <w:rPr>
          <w:rFonts w:ascii="Garamond" w:eastAsia="Times New Roman" w:hAnsi="Garamond" w:cs="Arial"/>
          <w:bCs/>
          <w:sz w:val="24"/>
          <w:szCs w:val="24"/>
        </w:rPr>
        <w:t>Informação</w:t>
      </w:r>
      <w:r w:rsidRPr="003A1174">
        <w:rPr>
          <w:rFonts w:ascii="Garamond" w:eastAsia="Times New Roman" w:hAnsi="Garamond" w:cs="Arial"/>
          <w:bCs/>
          <w:sz w:val="24"/>
          <w:szCs w:val="24"/>
        </w:rPr>
        <w:t xml:space="preserve"> sobre Casos de </w:t>
      </w:r>
      <w:r w:rsidR="000350B1" w:rsidRPr="003A1174">
        <w:rPr>
          <w:rFonts w:ascii="Garamond" w:eastAsia="Times New Roman" w:hAnsi="Garamond" w:cs="Arial"/>
          <w:bCs/>
          <w:sz w:val="24"/>
          <w:szCs w:val="24"/>
        </w:rPr>
        <w:t>Violência</w:t>
      </w:r>
      <w:r w:rsidRPr="003A1174">
        <w:rPr>
          <w:rFonts w:ascii="Garamond" w:eastAsia="Times New Roman" w:hAnsi="Garamond" w:cs="Arial"/>
          <w:bCs/>
          <w:sz w:val="24"/>
          <w:szCs w:val="24"/>
        </w:rPr>
        <w:t xml:space="preserve"> </w:t>
      </w:r>
      <w:r w:rsidR="00BB2B00" w:rsidRPr="003A1174">
        <w:rPr>
          <w:rFonts w:ascii="Garamond" w:eastAsia="Times New Roman" w:hAnsi="Garamond" w:cs="Arial"/>
          <w:bCs/>
          <w:sz w:val="24"/>
          <w:szCs w:val="24"/>
        </w:rPr>
        <w:t>contra a</w:t>
      </w:r>
      <w:r w:rsidRPr="003A1174">
        <w:rPr>
          <w:rFonts w:ascii="Garamond" w:eastAsia="Times New Roman" w:hAnsi="Garamond" w:cs="Arial"/>
          <w:bCs/>
          <w:sz w:val="24"/>
          <w:szCs w:val="24"/>
        </w:rPr>
        <w:t xml:space="preserve">s </w:t>
      </w:r>
      <w:r w:rsidR="00054EE0" w:rsidRPr="003A1174">
        <w:rPr>
          <w:rFonts w:ascii="Garamond" w:eastAsia="Times New Roman" w:hAnsi="Garamond" w:cs="Arial"/>
          <w:bCs/>
          <w:sz w:val="24"/>
          <w:szCs w:val="24"/>
        </w:rPr>
        <w:t>Mulheres</w:t>
      </w:r>
      <w:r w:rsidRPr="003A1174">
        <w:rPr>
          <w:rFonts w:ascii="Garamond" w:eastAsia="Times New Roman" w:hAnsi="Garamond" w:cs="Arial"/>
          <w:bCs/>
          <w:sz w:val="24"/>
          <w:szCs w:val="24"/>
        </w:rPr>
        <w:t xml:space="preserve">. </w:t>
      </w:r>
      <w:r w:rsidR="00D4144D" w:rsidRPr="003A1174">
        <w:rPr>
          <w:rFonts w:ascii="Garamond" w:eastAsia="Times New Roman" w:hAnsi="Garamond" w:cs="Arial"/>
          <w:bCs/>
          <w:sz w:val="24"/>
          <w:szCs w:val="24"/>
        </w:rPr>
        <w:t xml:space="preserve">No </w:t>
      </w:r>
      <w:r w:rsidR="00D96FD0" w:rsidRPr="003A1174">
        <w:rPr>
          <w:rFonts w:ascii="Garamond" w:eastAsia="Times New Roman" w:hAnsi="Garamond" w:cs="Arial"/>
          <w:sz w:val="24"/>
          <w:szCs w:val="24"/>
        </w:rPr>
        <w:t>cumprimento</w:t>
      </w:r>
      <w:r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Pr="003A1174">
        <w:rPr>
          <w:rFonts w:ascii="Garamond" w:eastAsia="Times New Roman" w:hAnsi="Garamond" w:cs="Arial"/>
          <w:sz w:val="24"/>
          <w:szCs w:val="24"/>
        </w:rPr>
        <w:t xml:space="preserve"> mandatos </w:t>
      </w:r>
      <w:r w:rsidR="002D1021" w:rsidRPr="003A1174">
        <w:rPr>
          <w:rFonts w:ascii="Garamond" w:eastAsia="Times New Roman" w:hAnsi="Garamond" w:cs="Arial"/>
          <w:sz w:val="24"/>
          <w:szCs w:val="24"/>
        </w:rPr>
        <w:t>legais</w:t>
      </w:r>
      <w:r w:rsidR="002C718C" w:rsidRPr="003A1174">
        <w:rPr>
          <w:rFonts w:ascii="Garamond" w:eastAsia="Times New Roman" w:hAnsi="Garamond" w:cs="Arial"/>
          <w:sz w:val="24"/>
          <w:szCs w:val="24"/>
        </w:rPr>
        <w:t>,</w:t>
      </w:r>
      <w:r w:rsidRPr="003A1174">
        <w:rPr>
          <w:rFonts w:ascii="Garamond" w:eastAsia="Times New Roman" w:hAnsi="Garamond" w:cs="Arial"/>
          <w:sz w:val="24"/>
          <w:szCs w:val="24"/>
        </w:rPr>
        <w:t xml:space="preserve"> </w:t>
      </w:r>
      <w:r w:rsidR="00D4144D" w:rsidRPr="003A1174">
        <w:rPr>
          <w:rFonts w:ascii="Garamond" w:eastAsia="Times New Roman" w:hAnsi="Garamond" w:cs="Arial"/>
          <w:sz w:val="24"/>
          <w:szCs w:val="24"/>
        </w:rPr>
        <w:t>publica-</w:t>
      </w:r>
      <w:r w:rsidRPr="003A1174">
        <w:rPr>
          <w:rFonts w:ascii="Garamond" w:eastAsia="Times New Roman" w:hAnsi="Garamond" w:cs="Arial"/>
          <w:bCs/>
          <w:sz w:val="24"/>
          <w:szCs w:val="24"/>
        </w:rPr>
        <w:t xml:space="preserve">se </w:t>
      </w:r>
      <w:r w:rsidR="0017447A" w:rsidRPr="003A1174">
        <w:rPr>
          <w:rFonts w:ascii="Garamond" w:eastAsia="Times New Roman" w:hAnsi="Garamond" w:cs="Arial"/>
          <w:bCs/>
          <w:sz w:val="24"/>
          <w:szCs w:val="24"/>
        </w:rPr>
        <w:t>informação</w:t>
      </w:r>
      <w:r w:rsidRPr="003A1174">
        <w:rPr>
          <w:rFonts w:ascii="Garamond" w:eastAsia="Times New Roman" w:hAnsi="Garamond" w:cs="Arial"/>
          <w:bCs/>
          <w:sz w:val="24"/>
          <w:szCs w:val="24"/>
        </w:rPr>
        <w:t xml:space="preserve"> </w:t>
      </w:r>
      <w:r w:rsidR="00077461" w:rsidRPr="003A1174">
        <w:rPr>
          <w:rFonts w:ascii="Garamond" w:eastAsia="Times New Roman" w:hAnsi="Garamond" w:cs="Arial"/>
          <w:bCs/>
          <w:sz w:val="24"/>
          <w:szCs w:val="24"/>
        </w:rPr>
        <w:t>geral</w:t>
      </w:r>
      <w:r w:rsidRPr="003A1174">
        <w:rPr>
          <w:rFonts w:ascii="Garamond" w:eastAsia="Times New Roman" w:hAnsi="Garamond" w:cs="Arial"/>
          <w:bCs/>
          <w:sz w:val="24"/>
          <w:szCs w:val="24"/>
        </w:rPr>
        <w:t xml:space="preserve"> </w:t>
      </w:r>
      <w:r w:rsidR="000672E8" w:rsidRPr="003A1174">
        <w:rPr>
          <w:rFonts w:ascii="Garamond" w:eastAsia="Times New Roman" w:hAnsi="Garamond" w:cs="Arial"/>
          <w:bCs/>
          <w:sz w:val="24"/>
          <w:szCs w:val="24"/>
        </w:rPr>
        <w:t>e</w:t>
      </w:r>
      <w:r w:rsidRPr="003A1174">
        <w:rPr>
          <w:rFonts w:ascii="Garamond" w:eastAsia="Times New Roman" w:hAnsi="Garamond" w:cs="Arial"/>
          <w:bCs/>
          <w:sz w:val="24"/>
          <w:szCs w:val="24"/>
        </w:rPr>
        <w:t xml:space="preserve"> </w:t>
      </w:r>
      <w:r w:rsidR="00C15C97" w:rsidRPr="003A1174">
        <w:rPr>
          <w:rFonts w:ascii="Garamond" w:eastAsia="Times New Roman" w:hAnsi="Garamond" w:cs="Arial"/>
          <w:bCs/>
          <w:sz w:val="24"/>
          <w:szCs w:val="24"/>
        </w:rPr>
        <w:t>estatística</w:t>
      </w:r>
      <w:r w:rsidRPr="003A1174">
        <w:rPr>
          <w:rFonts w:ascii="Garamond" w:eastAsia="Times New Roman" w:hAnsi="Garamond" w:cs="Arial"/>
          <w:bCs/>
          <w:sz w:val="24"/>
          <w:szCs w:val="24"/>
        </w:rPr>
        <w:t xml:space="preserve"> extraída d</w:t>
      </w:r>
      <w:r w:rsidR="00D4144D" w:rsidRPr="003A1174">
        <w:rPr>
          <w:rFonts w:ascii="Garamond" w:eastAsia="Times New Roman" w:hAnsi="Garamond" w:cs="Arial"/>
          <w:bCs/>
          <w:sz w:val="24"/>
          <w:szCs w:val="24"/>
        </w:rPr>
        <w:t>o</w:t>
      </w:r>
      <w:r w:rsidR="00D72051">
        <w:rPr>
          <w:rFonts w:ascii="Garamond" w:eastAsia="Times New Roman" w:hAnsi="Garamond" w:cs="Arial"/>
          <w:bCs/>
          <w:sz w:val="24"/>
          <w:szCs w:val="24"/>
        </w:rPr>
        <w:t>s</w:t>
      </w:r>
      <w:r w:rsidR="00D4144D" w:rsidRPr="003A1174">
        <w:rPr>
          <w:rFonts w:ascii="Garamond" w:eastAsia="Times New Roman" w:hAnsi="Garamond" w:cs="Arial"/>
          <w:bCs/>
          <w:sz w:val="24"/>
          <w:szCs w:val="24"/>
        </w:rPr>
        <w:t xml:space="preserve"> regist</w:t>
      </w:r>
      <w:r w:rsidR="00D72051">
        <w:rPr>
          <w:rFonts w:ascii="Garamond" w:eastAsia="Times New Roman" w:hAnsi="Garamond" w:cs="Arial"/>
          <w:bCs/>
          <w:sz w:val="24"/>
          <w:szCs w:val="24"/>
        </w:rPr>
        <w:t>os</w:t>
      </w:r>
      <w:r w:rsidRPr="003A1174">
        <w:rPr>
          <w:rFonts w:ascii="Garamond" w:eastAsia="Times New Roman" w:hAnsi="Garamond" w:cs="Arial"/>
          <w:bCs/>
          <w:sz w:val="24"/>
          <w:szCs w:val="24"/>
        </w:rPr>
        <w:t xml:space="preserve"> </w:t>
      </w:r>
      <w:r w:rsidR="00D72051">
        <w:rPr>
          <w:rFonts w:ascii="Garamond" w:eastAsia="Times New Roman" w:hAnsi="Garamond" w:cs="Arial"/>
          <w:bCs/>
          <w:sz w:val="24"/>
          <w:szCs w:val="24"/>
        </w:rPr>
        <w:t>d</w:t>
      </w:r>
      <w:r w:rsidR="00D4144D" w:rsidRPr="003A1174">
        <w:rPr>
          <w:rFonts w:ascii="Garamond" w:eastAsia="Times New Roman" w:hAnsi="Garamond" w:cs="Arial"/>
          <w:bCs/>
          <w:sz w:val="24"/>
          <w:szCs w:val="24"/>
        </w:rPr>
        <w:t xml:space="preserve">o </w:t>
      </w:r>
      <w:r w:rsidRPr="003A1174">
        <w:rPr>
          <w:rFonts w:ascii="Garamond" w:eastAsia="Times New Roman" w:hAnsi="Garamond" w:cs="Arial"/>
          <w:bCs/>
          <w:sz w:val="24"/>
          <w:szCs w:val="24"/>
        </w:rPr>
        <w:t xml:space="preserve">Banco Estatal de </w:t>
      </w:r>
      <w:r w:rsidR="00EE7406" w:rsidRPr="003A1174">
        <w:rPr>
          <w:rFonts w:ascii="Garamond" w:eastAsia="Times New Roman" w:hAnsi="Garamond" w:cs="Arial"/>
          <w:bCs/>
          <w:sz w:val="24"/>
          <w:szCs w:val="24"/>
        </w:rPr>
        <w:t>Dado</w:t>
      </w:r>
      <w:r w:rsidRPr="003A1174">
        <w:rPr>
          <w:rFonts w:ascii="Garamond" w:eastAsia="Times New Roman" w:hAnsi="Garamond" w:cs="Arial"/>
          <w:bCs/>
          <w:sz w:val="24"/>
          <w:szCs w:val="24"/>
        </w:rPr>
        <w:t xml:space="preserve">s e </w:t>
      </w:r>
      <w:r w:rsidR="0017447A" w:rsidRPr="003A1174">
        <w:rPr>
          <w:rFonts w:ascii="Garamond" w:eastAsia="Times New Roman" w:hAnsi="Garamond" w:cs="Arial"/>
          <w:bCs/>
          <w:sz w:val="24"/>
          <w:szCs w:val="24"/>
        </w:rPr>
        <w:t>Informação</w:t>
      </w:r>
      <w:r w:rsidRPr="003A1174">
        <w:rPr>
          <w:rFonts w:ascii="Garamond" w:eastAsia="Times New Roman" w:hAnsi="Garamond" w:cs="Arial"/>
          <w:bCs/>
          <w:sz w:val="24"/>
          <w:szCs w:val="24"/>
        </w:rPr>
        <w:t xml:space="preserve"> sobre Casos de </w:t>
      </w:r>
      <w:r w:rsidR="000350B1" w:rsidRPr="003A1174">
        <w:rPr>
          <w:rFonts w:ascii="Garamond" w:eastAsia="Times New Roman" w:hAnsi="Garamond" w:cs="Arial"/>
          <w:bCs/>
          <w:sz w:val="24"/>
          <w:szCs w:val="24"/>
        </w:rPr>
        <w:t>Violência</w:t>
      </w:r>
      <w:r w:rsidRPr="003A1174">
        <w:rPr>
          <w:rFonts w:ascii="Garamond" w:eastAsia="Times New Roman" w:hAnsi="Garamond" w:cs="Arial"/>
          <w:bCs/>
          <w:sz w:val="24"/>
          <w:szCs w:val="24"/>
        </w:rPr>
        <w:t xml:space="preserve"> </w:t>
      </w:r>
      <w:r w:rsidR="00BB2B00" w:rsidRPr="003A1174">
        <w:rPr>
          <w:rFonts w:ascii="Garamond" w:eastAsia="Times New Roman" w:hAnsi="Garamond" w:cs="Arial"/>
          <w:bCs/>
          <w:sz w:val="24"/>
          <w:szCs w:val="24"/>
        </w:rPr>
        <w:t>contra a</w:t>
      </w:r>
      <w:r w:rsidRPr="003A1174">
        <w:rPr>
          <w:rFonts w:ascii="Garamond" w:eastAsia="Times New Roman" w:hAnsi="Garamond" w:cs="Arial"/>
          <w:bCs/>
          <w:sz w:val="24"/>
          <w:szCs w:val="24"/>
        </w:rPr>
        <w:t xml:space="preserve">s </w:t>
      </w:r>
      <w:r w:rsidR="00054EE0" w:rsidRPr="003A1174">
        <w:rPr>
          <w:rFonts w:ascii="Garamond" w:eastAsia="Times New Roman" w:hAnsi="Garamond" w:cs="Arial"/>
          <w:bCs/>
          <w:sz w:val="24"/>
          <w:szCs w:val="24"/>
        </w:rPr>
        <w:t>Mulheres</w:t>
      </w:r>
      <w:r w:rsidR="00D4144D" w:rsidRPr="003A1174">
        <w:rPr>
          <w:rFonts w:ascii="Garamond" w:eastAsia="Times New Roman" w:hAnsi="Garamond" w:cs="Arial"/>
          <w:bCs/>
          <w:sz w:val="24"/>
          <w:szCs w:val="24"/>
        </w:rPr>
        <w:t xml:space="preserve">, </w:t>
      </w:r>
      <w:r w:rsidR="00D72051">
        <w:rPr>
          <w:rFonts w:ascii="Garamond" w:eastAsia="Times New Roman" w:hAnsi="Garamond" w:cs="Arial"/>
          <w:bCs/>
          <w:sz w:val="24"/>
          <w:szCs w:val="24"/>
        </w:rPr>
        <w:t>resultantes</w:t>
      </w:r>
      <w:r w:rsidR="00D4144D" w:rsidRPr="003A1174">
        <w:rPr>
          <w:rFonts w:ascii="Garamond" w:eastAsia="Times New Roman" w:hAnsi="Garamond" w:cs="Arial"/>
          <w:bCs/>
          <w:sz w:val="24"/>
          <w:szCs w:val="24"/>
        </w:rPr>
        <w:t xml:space="preserve"> d</w:t>
      </w:r>
      <w:r w:rsidRPr="003A1174">
        <w:rPr>
          <w:rFonts w:ascii="Garamond" w:eastAsia="Times New Roman" w:hAnsi="Garamond" w:cs="Arial"/>
          <w:bCs/>
          <w:sz w:val="24"/>
          <w:szCs w:val="24"/>
        </w:rPr>
        <w:t xml:space="preserve">os casos de </w:t>
      </w:r>
      <w:r w:rsidR="000350B1" w:rsidRPr="003A1174">
        <w:rPr>
          <w:rFonts w:ascii="Garamond" w:eastAsia="Times New Roman" w:hAnsi="Garamond" w:cs="Arial"/>
          <w:bCs/>
          <w:sz w:val="24"/>
          <w:szCs w:val="24"/>
        </w:rPr>
        <w:t>violência</w:t>
      </w:r>
      <w:r w:rsidRPr="003A1174">
        <w:rPr>
          <w:rFonts w:ascii="Garamond" w:eastAsia="Times New Roman" w:hAnsi="Garamond" w:cs="Arial"/>
          <w:bCs/>
          <w:sz w:val="24"/>
          <w:szCs w:val="24"/>
        </w:rPr>
        <w:t xml:space="preserve"> </w:t>
      </w:r>
      <w:r w:rsidR="00BB2B00" w:rsidRPr="003A1174">
        <w:rPr>
          <w:rFonts w:ascii="Garamond" w:eastAsia="Times New Roman" w:hAnsi="Garamond" w:cs="Arial"/>
          <w:bCs/>
          <w:sz w:val="24"/>
          <w:szCs w:val="24"/>
        </w:rPr>
        <w:t>contra a</w:t>
      </w:r>
      <w:r w:rsidRPr="003A1174">
        <w:rPr>
          <w:rFonts w:ascii="Garamond" w:eastAsia="Times New Roman" w:hAnsi="Garamond" w:cs="Arial"/>
          <w:bCs/>
          <w:sz w:val="24"/>
          <w:szCs w:val="24"/>
        </w:rPr>
        <w:t xml:space="preserve"> </w:t>
      </w:r>
      <w:r w:rsidR="00AF192F" w:rsidRPr="003A1174">
        <w:rPr>
          <w:rFonts w:ascii="Garamond" w:eastAsia="Times New Roman" w:hAnsi="Garamond" w:cs="Arial"/>
          <w:bCs/>
          <w:sz w:val="24"/>
          <w:szCs w:val="24"/>
        </w:rPr>
        <w:t>mulher</w:t>
      </w:r>
      <w:r w:rsidRPr="003A1174">
        <w:rPr>
          <w:rFonts w:ascii="Garamond" w:eastAsia="Times New Roman" w:hAnsi="Garamond" w:cs="Arial"/>
          <w:bCs/>
          <w:sz w:val="24"/>
          <w:szCs w:val="24"/>
        </w:rPr>
        <w:t xml:space="preserve"> e</w:t>
      </w:r>
      <w:r w:rsidR="00D4144D" w:rsidRPr="003A1174">
        <w:rPr>
          <w:rFonts w:ascii="Garamond" w:eastAsia="Times New Roman" w:hAnsi="Garamond" w:cs="Arial"/>
          <w:bCs/>
          <w:sz w:val="24"/>
          <w:szCs w:val="24"/>
        </w:rPr>
        <w:t xml:space="preserve">m que </w:t>
      </w:r>
      <w:r w:rsidRPr="003A1174">
        <w:rPr>
          <w:rFonts w:ascii="Garamond" w:eastAsia="Times New Roman" w:hAnsi="Garamond" w:cs="Arial"/>
          <w:bCs/>
          <w:sz w:val="24"/>
          <w:szCs w:val="24"/>
        </w:rPr>
        <w:t xml:space="preserve">a </w:t>
      </w:r>
      <w:r w:rsidR="003F012B" w:rsidRPr="003A1174">
        <w:rPr>
          <w:rFonts w:ascii="Garamond" w:eastAsia="Times New Roman" w:hAnsi="Garamond" w:cs="Arial"/>
          <w:bCs/>
          <w:sz w:val="24"/>
          <w:szCs w:val="24"/>
        </w:rPr>
        <w:t>vítima</w:t>
      </w:r>
      <w:r w:rsidRPr="003A1174">
        <w:rPr>
          <w:rFonts w:ascii="Garamond" w:eastAsia="Times New Roman" w:hAnsi="Garamond" w:cs="Arial"/>
          <w:bCs/>
          <w:sz w:val="24"/>
          <w:szCs w:val="24"/>
        </w:rPr>
        <w:t xml:space="preserve"> </w:t>
      </w:r>
      <w:r w:rsidR="00D4144D" w:rsidRPr="003A1174">
        <w:rPr>
          <w:rFonts w:ascii="Garamond" w:eastAsia="Times New Roman" w:hAnsi="Garamond" w:cs="Arial"/>
          <w:bCs/>
          <w:sz w:val="24"/>
          <w:szCs w:val="24"/>
        </w:rPr>
        <w:t>deu o seu consentim</w:t>
      </w:r>
      <w:r w:rsidRPr="003A1174">
        <w:rPr>
          <w:rFonts w:ascii="Garamond" w:eastAsia="Times New Roman" w:hAnsi="Garamond" w:cs="Arial"/>
          <w:bCs/>
          <w:sz w:val="24"/>
          <w:szCs w:val="24"/>
        </w:rPr>
        <w:t xml:space="preserve">ento para </w:t>
      </w:r>
      <w:r w:rsidR="00D4144D" w:rsidRPr="003A1174">
        <w:rPr>
          <w:rFonts w:ascii="Garamond" w:eastAsia="Times New Roman" w:hAnsi="Garamond" w:cs="Arial"/>
          <w:bCs/>
          <w:sz w:val="24"/>
          <w:szCs w:val="24"/>
        </w:rPr>
        <w:t xml:space="preserve">a </w:t>
      </w:r>
      <w:r w:rsidRPr="003A1174">
        <w:rPr>
          <w:rFonts w:ascii="Garamond" w:eastAsia="Times New Roman" w:hAnsi="Garamond" w:cs="Arial"/>
          <w:bCs/>
          <w:sz w:val="24"/>
          <w:szCs w:val="24"/>
        </w:rPr>
        <w:t>su</w:t>
      </w:r>
      <w:r w:rsidR="00D4144D" w:rsidRPr="003A1174">
        <w:rPr>
          <w:rFonts w:ascii="Garamond" w:eastAsia="Times New Roman" w:hAnsi="Garamond" w:cs="Arial"/>
          <w:bCs/>
          <w:sz w:val="24"/>
          <w:szCs w:val="24"/>
        </w:rPr>
        <w:t>a</w:t>
      </w:r>
      <w:r w:rsidRPr="003A1174">
        <w:rPr>
          <w:rFonts w:ascii="Garamond" w:eastAsia="Times New Roman" w:hAnsi="Garamond" w:cs="Arial"/>
          <w:bCs/>
          <w:sz w:val="24"/>
          <w:szCs w:val="24"/>
        </w:rPr>
        <w:t xml:space="preserve"> </w:t>
      </w:r>
      <w:r w:rsidR="00E45CCF" w:rsidRPr="003A1174">
        <w:rPr>
          <w:rFonts w:ascii="Garamond" w:eastAsia="Times New Roman" w:hAnsi="Garamond" w:cs="Arial"/>
          <w:bCs/>
          <w:sz w:val="24"/>
          <w:szCs w:val="24"/>
        </w:rPr>
        <w:t>inscrição</w:t>
      </w:r>
      <w:r w:rsidR="00D4144D" w:rsidRPr="003A1174">
        <w:rPr>
          <w:rFonts w:ascii="Garamond" w:eastAsia="Times New Roman" w:hAnsi="Garamond" w:cs="Arial"/>
          <w:bCs/>
          <w:sz w:val="24"/>
          <w:szCs w:val="24"/>
        </w:rPr>
        <w:t xml:space="preserve"> no referido </w:t>
      </w:r>
      <w:r w:rsidRPr="003A1174">
        <w:rPr>
          <w:rFonts w:ascii="Garamond" w:eastAsia="Times New Roman" w:hAnsi="Garamond" w:cs="Arial"/>
          <w:bCs/>
          <w:sz w:val="24"/>
          <w:szCs w:val="24"/>
        </w:rPr>
        <w:t xml:space="preserve">Banco. </w:t>
      </w:r>
      <w:r w:rsidR="00D4144D" w:rsidRPr="003A1174">
        <w:rPr>
          <w:rFonts w:ascii="Garamond" w:eastAsia="Times New Roman" w:hAnsi="Garamond" w:cs="Arial"/>
          <w:bCs/>
          <w:sz w:val="24"/>
          <w:szCs w:val="24"/>
        </w:rPr>
        <w:t xml:space="preserve">A </w:t>
      </w:r>
      <w:r w:rsidR="0017447A" w:rsidRPr="003A1174">
        <w:rPr>
          <w:rFonts w:ascii="Garamond" w:hAnsi="Garamond" w:cs="Arial"/>
          <w:bCs/>
          <w:sz w:val="24"/>
          <w:szCs w:val="24"/>
        </w:rPr>
        <w:t>informação</w:t>
      </w:r>
      <w:r w:rsidRPr="003A1174">
        <w:rPr>
          <w:rFonts w:ascii="Garamond" w:hAnsi="Garamond" w:cs="Arial"/>
          <w:bCs/>
          <w:sz w:val="24"/>
          <w:szCs w:val="24"/>
        </w:rPr>
        <w:t xml:space="preserve"> </w:t>
      </w:r>
      <w:r w:rsidR="00D4144D" w:rsidRPr="003A1174">
        <w:rPr>
          <w:rFonts w:ascii="Garamond" w:hAnsi="Garamond" w:cs="Arial"/>
          <w:bCs/>
          <w:sz w:val="24"/>
          <w:szCs w:val="24"/>
        </w:rPr>
        <w:t>dispõe-</w:t>
      </w:r>
      <w:r w:rsidRPr="003A1174">
        <w:rPr>
          <w:rFonts w:ascii="Garamond" w:hAnsi="Garamond" w:cs="Arial"/>
          <w:bCs/>
          <w:sz w:val="24"/>
          <w:szCs w:val="24"/>
        </w:rPr>
        <w:t xml:space="preserve">se </w:t>
      </w:r>
      <w:r w:rsidR="00D4144D" w:rsidRPr="003A1174">
        <w:rPr>
          <w:rFonts w:ascii="Garamond" w:hAnsi="Garamond" w:cs="Arial"/>
          <w:bCs/>
          <w:sz w:val="24"/>
          <w:szCs w:val="24"/>
        </w:rPr>
        <w:t xml:space="preserve">da </w:t>
      </w:r>
      <w:r w:rsidR="006B29BF" w:rsidRPr="003A1174">
        <w:rPr>
          <w:rFonts w:ascii="Garamond" w:hAnsi="Garamond" w:cs="Arial"/>
          <w:bCs/>
          <w:sz w:val="24"/>
          <w:szCs w:val="24"/>
        </w:rPr>
        <w:t>seguinte</w:t>
      </w:r>
      <w:r w:rsidRPr="003A1174">
        <w:rPr>
          <w:rFonts w:ascii="Garamond" w:hAnsi="Garamond" w:cs="Arial"/>
          <w:bCs/>
          <w:sz w:val="24"/>
          <w:szCs w:val="24"/>
        </w:rPr>
        <w:t xml:space="preserve"> </w:t>
      </w:r>
      <w:r w:rsidR="00D4144D" w:rsidRPr="003A1174">
        <w:rPr>
          <w:rFonts w:ascii="Garamond" w:hAnsi="Garamond" w:cs="Arial"/>
          <w:bCs/>
          <w:sz w:val="24"/>
          <w:szCs w:val="24"/>
        </w:rPr>
        <w:t>forma</w:t>
      </w:r>
      <w:r w:rsidRPr="003A1174">
        <w:rPr>
          <w:rFonts w:ascii="Garamond" w:hAnsi="Garamond" w:cs="Arial"/>
          <w:bCs/>
          <w:sz w:val="24"/>
          <w:szCs w:val="24"/>
        </w:rPr>
        <w:t>:</w:t>
      </w:r>
    </w:p>
    <w:p w:rsidR="00955D60" w:rsidRPr="003A1174" w:rsidRDefault="00BC2C17" w:rsidP="008719D4">
      <w:pPr>
        <w:pStyle w:val="Prrafodelista"/>
        <w:numPr>
          <w:ilvl w:val="0"/>
          <w:numId w:val="33"/>
        </w:numPr>
        <w:shd w:val="clear" w:color="auto" w:fill="FFFFFF"/>
        <w:spacing w:after="0" w:line="240" w:lineRule="auto"/>
        <w:jc w:val="both"/>
        <w:rPr>
          <w:rFonts w:ascii="Garamond" w:hAnsi="Garamond" w:cs="Arial"/>
          <w:bCs/>
          <w:color w:val="auto"/>
          <w:sz w:val="24"/>
          <w:szCs w:val="24"/>
          <w:lang w:val="es-ES"/>
        </w:rPr>
      </w:pPr>
      <w:hyperlink r:id="rId21" w:tgtFrame="_blank" w:history="1">
        <w:r w:rsidR="00955D60" w:rsidRPr="003A1174">
          <w:rPr>
            <w:rStyle w:val="Hipervnculo"/>
            <w:rFonts w:ascii="Garamond" w:hAnsi="Garamond" w:cs="Arial"/>
            <w:bCs/>
            <w:color w:val="auto"/>
            <w:sz w:val="24"/>
            <w:szCs w:val="24"/>
            <w:u w:val="none"/>
            <w:lang w:val="es-ES"/>
          </w:rPr>
          <w:t>Tipo de</w:t>
        </w:r>
        <w:r w:rsidR="00955D60" w:rsidRPr="003A1174">
          <w:rPr>
            <w:rStyle w:val="Hipervnculo"/>
            <w:rFonts w:ascii="Garamond" w:hAnsi="Garamond" w:cs="Arial"/>
            <w:bCs/>
            <w:color w:val="auto"/>
            <w:sz w:val="24"/>
            <w:szCs w:val="24"/>
            <w:u w:val="none"/>
            <w:lang w:val="pt-PT"/>
          </w:rPr>
          <w:t xml:space="preserve"> </w:t>
        </w:r>
        <w:r w:rsidR="000350B1" w:rsidRPr="003A1174">
          <w:rPr>
            <w:rStyle w:val="Hipervnculo"/>
            <w:rFonts w:ascii="Garamond" w:hAnsi="Garamond" w:cs="Arial"/>
            <w:bCs/>
            <w:color w:val="auto"/>
            <w:sz w:val="24"/>
            <w:szCs w:val="24"/>
            <w:u w:val="none"/>
            <w:lang w:val="pt-PT"/>
          </w:rPr>
          <w:t>violência</w:t>
        </w:r>
        <w:r w:rsidR="00955D60" w:rsidRPr="003A1174">
          <w:rPr>
            <w:rStyle w:val="Hipervnculo"/>
            <w:rFonts w:ascii="Garamond" w:hAnsi="Garamond" w:cs="Arial"/>
            <w:bCs/>
            <w:color w:val="auto"/>
            <w:sz w:val="24"/>
            <w:szCs w:val="24"/>
            <w:u w:val="none"/>
            <w:lang w:val="es-ES"/>
          </w:rPr>
          <w:t>.</w:t>
        </w:r>
      </w:hyperlink>
      <w:r w:rsidR="00955D60" w:rsidRPr="003A1174">
        <w:rPr>
          <w:rFonts w:ascii="Garamond" w:hAnsi="Garamond" w:cs="Arial"/>
          <w:bCs/>
          <w:color w:val="auto"/>
          <w:sz w:val="24"/>
          <w:szCs w:val="24"/>
          <w:lang w:val="es-ES"/>
        </w:rPr>
        <w:t xml:space="preserve"> </w:t>
      </w:r>
    </w:p>
    <w:p w:rsidR="00955D60" w:rsidRPr="003A1174" w:rsidRDefault="00BC2C17" w:rsidP="008719D4">
      <w:pPr>
        <w:pStyle w:val="Prrafodelista"/>
        <w:numPr>
          <w:ilvl w:val="0"/>
          <w:numId w:val="33"/>
        </w:numPr>
        <w:shd w:val="clear" w:color="auto" w:fill="FFFFFF"/>
        <w:spacing w:after="0" w:line="240" w:lineRule="auto"/>
        <w:jc w:val="both"/>
        <w:rPr>
          <w:rFonts w:ascii="Garamond" w:hAnsi="Garamond" w:cs="Arial"/>
          <w:bCs/>
          <w:color w:val="auto"/>
          <w:sz w:val="24"/>
          <w:szCs w:val="24"/>
          <w:lang w:val="es-ES"/>
        </w:rPr>
      </w:pPr>
      <w:hyperlink r:id="rId22" w:tgtFrame="_blank" w:history="1">
        <w:r w:rsidR="00802ACC" w:rsidRPr="003A1174">
          <w:rPr>
            <w:rStyle w:val="Hipervnculo"/>
            <w:rFonts w:ascii="Garamond" w:hAnsi="Garamond" w:cs="Arial"/>
            <w:bCs/>
            <w:color w:val="auto"/>
            <w:sz w:val="24"/>
            <w:szCs w:val="24"/>
            <w:u w:val="none"/>
            <w:lang w:val="pt-PT"/>
          </w:rPr>
          <w:t>Âmbito</w:t>
        </w:r>
        <w:r w:rsidR="00955D60" w:rsidRPr="003A1174">
          <w:rPr>
            <w:rStyle w:val="Hipervnculo"/>
            <w:rFonts w:ascii="Garamond" w:hAnsi="Garamond" w:cs="Arial"/>
            <w:bCs/>
            <w:color w:val="auto"/>
            <w:sz w:val="24"/>
            <w:szCs w:val="24"/>
            <w:u w:val="none"/>
            <w:lang w:val="es-ES"/>
          </w:rPr>
          <w:t xml:space="preserve"> de </w:t>
        </w:r>
        <w:r w:rsidR="00A32790" w:rsidRPr="003A1174">
          <w:rPr>
            <w:rStyle w:val="Hipervnculo"/>
            <w:rFonts w:ascii="Garamond" w:hAnsi="Garamond" w:cs="Arial"/>
            <w:bCs/>
            <w:color w:val="auto"/>
            <w:sz w:val="24"/>
            <w:szCs w:val="24"/>
            <w:u w:val="none"/>
            <w:lang w:val="es-ES"/>
          </w:rPr>
          <w:t>ocorrência</w:t>
        </w:r>
        <w:r w:rsidR="00955D60" w:rsidRPr="003A1174">
          <w:rPr>
            <w:rStyle w:val="Hipervnculo"/>
            <w:rFonts w:ascii="Garamond" w:hAnsi="Garamond" w:cs="Arial"/>
            <w:bCs/>
            <w:color w:val="auto"/>
            <w:sz w:val="24"/>
            <w:szCs w:val="24"/>
            <w:u w:val="none"/>
            <w:lang w:val="es-ES"/>
          </w:rPr>
          <w:t>.</w:t>
        </w:r>
      </w:hyperlink>
      <w:r w:rsidR="00955D60" w:rsidRPr="003A1174">
        <w:rPr>
          <w:rFonts w:ascii="Garamond" w:hAnsi="Garamond" w:cs="Arial"/>
          <w:bCs/>
          <w:color w:val="auto"/>
          <w:sz w:val="24"/>
          <w:szCs w:val="24"/>
          <w:lang w:val="es-ES"/>
        </w:rPr>
        <w:t xml:space="preserve"> </w:t>
      </w:r>
    </w:p>
    <w:p w:rsidR="00955D60" w:rsidRPr="003A1174" w:rsidRDefault="00BC2C17" w:rsidP="008719D4">
      <w:pPr>
        <w:pStyle w:val="Prrafodelista"/>
        <w:numPr>
          <w:ilvl w:val="0"/>
          <w:numId w:val="33"/>
        </w:numPr>
        <w:shd w:val="clear" w:color="auto" w:fill="FFFFFF"/>
        <w:spacing w:after="0" w:line="240" w:lineRule="auto"/>
        <w:jc w:val="both"/>
        <w:rPr>
          <w:rFonts w:ascii="Garamond" w:hAnsi="Garamond" w:cs="Arial"/>
          <w:bCs/>
          <w:color w:val="auto"/>
          <w:sz w:val="24"/>
          <w:szCs w:val="24"/>
          <w:lang w:val="es-ES"/>
        </w:rPr>
      </w:pPr>
      <w:hyperlink r:id="rId23" w:tgtFrame="_blank" w:history="1">
        <w:r w:rsidR="00955D60" w:rsidRPr="003A1174">
          <w:rPr>
            <w:rStyle w:val="Hipervnculo"/>
            <w:rFonts w:ascii="Garamond" w:hAnsi="Garamond" w:cs="Arial"/>
            <w:bCs/>
            <w:color w:val="auto"/>
            <w:sz w:val="24"/>
            <w:szCs w:val="24"/>
            <w:u w:val="none"/>
            <w:lang w:val="es-ES"/>
          </w:rPr>
          <w:t xml:space="preserve">Casos atendidos por </w:t>
        </w:r>
        <w:r w:rsidR="002C7510" w:rsidRPr="003A1174">
          <w:rPr>
            <w:rStyle w:val="Hipervnculo"/>
            <w:rFonts w:ascii="Garamond" w:hAnsi="Garamond" w:cs="Arial"/>
            <w:bCs/>
            <w:color w:val="auto"/>
            <w:sz w:val="24"/>
            <w:szCs w:val="24"/>
            <w:u w:val="none"/>
            <w:lang w:val="es-ES"/>
          </w:rPr>
          <w:t>instituições</w:t>
        </w:r>
      </w:hyperlink>
      <w:r w:rsidR="00D72051">
        <w:rPr>
          <w:rStyle w:val="Hipervnculo"/>
          <w:rFonts w:ascii="Garamond" w:hAnsi="Garamond" w:cs="Arial"/>
          <w:bCs/>
          <w:color w:val="auto"/>
          <w:sz w:val="24"/>
          <w:szCs w:val="24"/>
          <w:u w:val="none"/>
          <w:lang w:val="es-ES"/>
        </w:rPr>
        <w:t>.</w:t>
      </w:r>
      <w:r w:rsidR="00955D60" w:rsidRPr="003A1174">
        <w:rPr>
          <w:rFonts w:ascii="Garamond" w:hAnsi="Garamond" w:cs="Arial"/>
          <w:bCs/>
          <w:color w:val="auto"/>
          <w:sz w:val="24"/>
          <w:szCs w:val="24"/>
          <w:lang w:val="es-ES"/>
        </w:rPr>
        <w:t xml:space="preserve"> </w:t>
      </w:r>
    </w:p>
    <w:p w:rsidR="00955D60" w:rsidRPr="003A1174" w:rsidRDefault="00BC2C17" w:rsidP="008719D4">
      <w:pPr>
        <w:pStyle w:val="Prrafodelista"/>
        <w:numPr>
          <w:ilvl w:val="0"/>
          <w:numId w:val="33"/>
        </w:numPr>
        <w:shd w:val="clear" w:color="auto" w:fill="FFFFFF"/>
        <w:spacing w:after="0" w:line="240" w:lineRule="auto"/>
        <w:jc w:val="both"/>
        <w:rPr>
          <w:rFonts w:ascii="Garamond" w:hAnsi="Garamond" w:cs="Arial"/>
          <w:bCs/>
          <w:color w:val="auto"/>
          <w:sz w:val="24"/>
          <w:szCs w:val="24"/>
          <w:lang w:val="es-ES"/>
        </w:rPr>
      </w:pPr>
      <w:hyperlink r:id="rId24" w:tgtFrame="_blank" w:history="1">
        <w:r w:rsidR="00A32790" w:rsidRPr="003A1174">
          <w:rPr>
            <w:rStyle w:val="Hipervnculo"/>
            <w:rFonts w:ascii="Garamond" w:hAnsi="Garamond" w:cs="Arial"/>
            <w:bCs/>
            <w:color w:val="auto"/>
            <w:sz w:val="24"/>
            <w:szCs w:val="24"/>
            <w:u w:val="none"/>
            <w:lang w:val="pt-PT"/>
          </w:rPr>
          <w:t>Discriminação</w:t>
        </w:r>
        <w:r w:rsidR="00955D60" w:rsidRPr="003A1174">
          <w:rPr>
            <w:rStyle w:val="Hipervnculo"/>
            <w:rFonts w:ascii="Garamond" w:hAnsi="Garamond" w:cs="Arial"/>
            <w:bCs/>
            <w:color w:val="auto"/>
            <w:sz w:val="24"/>
            <w:szCs w:val="24"/>
            <w:u w:val="none"/>
            <w:lang w:val="es-ES"/>
          </w:rPr>
          <w:t xml:space="preserve"> por</w:t>
        </w:r>
        <w:r w:rsidR="00955D60" w:rsidRPr="003A1174">
          <w:rPr>
            <w:rStyle w:val="Hipervnculo"/>
            <w:rFonts w:ascii="Garamond" w:hAnsi="Garamond" w:cs="Arial"/>
            <w:bCs/>
            <w:color w:val="auto"/>
            <w:sz w:val="24"/>
            <w:szCs w:val="24"/>
            <w:u w:val="none"/>
            <w:lang w:val="pt-PT"/>
          </w:rPr>
          <w:t xml:space="preserve"> </w:t>
        </w:r>
        <w:r w:rsidR="00D72051">
          <w:rPr>
            <w:rStyle w:val="Hipervnculo"/>
            <w:rFonts w:ascii="Garamond" w:hAnsi="Garamond" w:cs="Arial"/>
            <w:bCs/>
            <w:color w:val="auto"/>
            <w:sz w:val="24"/>
            <w:szCs w:val="24"/>
            <w:u w:val="none"/>
            <w:lang w:val="pt-PT"/>
          </w:rPr>
          <w:t>m</w:t>
        </w:r>
        <w:r w:rsidR="008278C4" w:rsidRPr="003A1174">
          <w:rPr>
            <w:rStyle w:val="Hipervnculo"/>
            <w:rFonts w:ascii="Garamond" w:hAnsi="Garamond" w:cs="Arial"/>
            <w:bCs/>
            <w:color w:val="auto"/>
            <w:sz w:val="24"/>
            <w:szCs w:val="24"/>
            <w:u w:val="none"/>
            <w:lang w:val="pt-PT"/>
          </w:rPr>
          <w:t>unicípio</w:t>
        </w:r>
        <w:r w:rsidR="00955D60" w:rsidRPr="003A1174">
          <w:rPr>
            <w:rStyle w:val="Hipervnculo"/>
            <w:rFonts w:ascii="Garamond" w:hAnsi="Garamond" w:cs="Arial"/>
            <w:bCs/>
            <w:color w:val="auto"/>
            <w:sz w:val="24"/>
            <w:szCs w:val="24"/>
            <w:u w:val="none"/>
            <w:lang w:val="es-ES"/>
          </w:rPr>
          <w:t>.</w:t>
        </w:r>
      </w:hyperlink>
      <w:r w:rsidR="00955D60" w:rsidRPr="003A1174">
        <w:rPr>
          <w:rFonts w:ascii="Garamond" w:hAnsi="Garamond" w:cs="Arial"/>
          <w:bCs/>
          <w:color w:val="auto"/>
          <w:sz w:val="24"/>
          <w:szCs w:val="24"/>
          <w:lang w:val="es-ES"/>
        </w:rPr>
        <w:t xml:space="preserve"> </w:t>
      </w:r>
    </w:p>
    <w:p w:rsidR="00955D60" w:rsidRPr="003A1174" w:rsidRDefault="00D72051" w:rsidP="008719D4">
      <w:pPr>
        <w:pStyle w:val="Prrafodelista"/>
        <w:numPr>
          <w:ilvl w:val="0"/>
          <w:numId w:val="33"/>
        </w:numPr>
        <w:shd w:val="clear" w:color="auto" w:fill="FFFFFF"/>
        <w:spacing w:after="0" w:line="240" w:lineRule="auto"/>
        <w:jc w:val="both"/>
        <w:rPr>
          <w:rFonts w:ascii="Garamond" w:hAnsi="Garamond" w:cs="Arial"/>
          <w:bCs/>
          <w:color w:val="auto"/>
          <w:sz w:val="24"/>
          <w:szCs w:val="24"/>
          <w:lang w:val="es-ES"/>
        </w:rPr>
      </w:pPr>
      <w:r w:rsidRPr="00263AE8">
        <w:rPr>
          <w:rFonts w:ascii="Garamond" w:hAnsi="Garamond"/>
          <w:sz w:val="24"/>
          <w:szCs w:val="24"/>
        </w:rPr>
        <w:t>Faixa etária</w:t>
      </w:r>
      <w:r>
        <w:t>.</w:t>
      </w:r>
      <w:r w:rsidR="00955D60" w:rsidRPr="003A1174">
        <w:rPr>
          <w:rStyle w:val="Refdenotaalpie"/>
          <w:rFonts w:ascii="Garamond" w:hAnsi="Garamond" w:cs="Arial"/>
          <w:bCs/>
          <w:color w:val="auto"/>
          <w:sz w:val="24"/>
          <w:szCs w:val="24"/>
          <w:lang w:val="es-ES"/>
        </w:rPr>
        <w:footnoteReference w:id="128"/>
      </w:r>
      <w:r w:rsidR="00955D60" w:rsidRPr="003A1174">
        <w:rPr>
          <w:rFonts w:ascii="Garamond" w:hAnsi="Garamond" w:cs="Arial"/>
          <w:bCs/>
          <w:color w:val="auto"/>
          <w:sz w:val="24"/>
          <w:szCs w:val="24"/>
          <w:lang w:val="es-ES"/>
        </w:rPr>
        <w:t xml:space="preserve"> </w:t>
      </w:r>
    </w:p>
    <w:p w:rsidR="00955D60" w:rsidRPr="003A1174" w:rsidRDefault="00955D60" w:rsidP="008719D4">
      <w:pPr>
        <w:shd w:val="clear" w:color="auto" w:fill="FFFFFF"/>
        <w:spacing w:before="240" w:after="0" w:line="240" w:lineRule="auto"/>
        <w:jc w:val="both"/>
        <w:rPr>
          <w:rFonts w:ascii="Garamond" w:eastAsia="Times New Roman" w:hAnsi="Garamond" w:cs="Arial"/>
          <w:sz w:val="24"/>
          <w:szCs w:val="24"/>
        </w:rPr>
      </w:pPr>
      <w:r w:rsidRPr="003A1174">
        <w:rPr>
          <w:rFonts w:ascii="Garamond" w:eastAsia="Times New Roman" w:hAnsi="Garamond" w:cs="Arial"/>
          <w:bCs/>
          <w:sz w:val="24"/>
          <w:szCs w:val="24"/>
        </w:rPr>
        <w:t>A</w:t>
      </w:r>
      <w:r w:rsidR="00A32790" w:rsidRPr="003A1174">
        <w:rPr>
          <w:rFonts w:ascii="Garamond" w:eastAsia="Times New Roman" w:hAnsi="Garamond" w:cs="Arial"/>
          <w:bCs/>
          <w:sz w:val="24"/>
          <w:szCs w:val="24"/>
        </w:rPr>
        <w:t>tualmente avança-</w:t>
      </w:r>
      <w:r w:rsidRPr="003A1174">
        <w:rPr>
          <w:rFonts w:ascii="Garamond" w:eastAsia="Times New Roman" w:hAnsi="Garamond" w:cs="Arial"/>
          <w:bCs/>
          <w:sz w:val="24"/>
          <w:szCs w:val="24"/>
        </w:rPr>
        <w:t xml:space="preserve">se </w:t>
      </w:r>
      <w:r w:rsidR="00A32790" w:rsidRPr="003A1174">
        <w:rPr>
          <w:rFonts w:ascii="Garamond" w:eastAsia="Times New Roman" w:hAnsi="Garamond" w:cs="Arial"/>
          <w:bCs/>
          <w:sz w:val="24"/>
          <w:szCs w:val="24"/>
        </w:rPr>
        <w:t xml:space="preserve">na </w:t>
      </w:r>
      <w:r w:rsidR="007A3375" w:rsidRPr="003A1174">
        <w:rPr>
          <w:rFonts w:ascii="Garamond" w:eastAsia="Times New Roman" w:hAnsi="Garamond" w:cs="Arial"/>
          <w:bCs/>
          <w:sz w:val="24"/>
          <w:szCs w:val="24"/>
        </w:rPr>
        <w:t>elaboração</w:t>
      </w:r>
      <w:r w:rsidRPr="003A1174">
        <w:rPr>
          <w:rFonts w:ascii="Garamond" w:eastAsia="Times New Roman" w:hAnsi="Garamond" w:cs="Arial"/>
          <w:bCs/>
          <w:sz w:val="24"/>
          <w:szCs w:val="24"/>
        </w:rPr>
        <w:t xml:space="preserve"> de u</w:t>
      </w:r>
      <w:r w:rsidR="00A32790" w:rsidRPr="003A1174">
        <w:rPr>
          <w:rFonts w:ascii="Garamond" w:eastAsia="Times New Roman" w:hAnsi="Garamond" w:cs="Arial"/>
          <w:bCs/>
          <w:sz w:val="24"/>
          <w:szCs w:val="24"/>
        </w:rPr>
        <w:t>m</w:t>
      </w:r>
      <w:r w:rsidRPr="003A1174">
        <w:rPr>
          <w:rFonts w:ascii="Garamond" w:eastAsia="Times New Roman" w:hAnsi="Garamond" w:cs="Arial"/>
          <w:bCs/>
          <w:sz w:val="24"/>
          <w:szCs w:val="24"/>
        </w:rPr>
        <w:t xml:space="preserve"> diagnóstico </w:t>
      </w:r>
      <w:r w:rsidR="00A32790" w:rsidRPr="003A1174">
        <w:rPr>
          <w:rFonts w:ascii="Garamond" w:eastAsia="Times New Roman" w:hAnsi="Garamond" w:cs="Arial"/>
          <w:bCs/>
          <w:sz w:val="24"/>
          <w:szCs w:val="24"/>
        </w:rPr>
        <w:t>estatal</w:t>
      </w:r>
      <w:r w:rsidRPr="003A1174">
        <w:rPr>
          <w:rFonts w:ascii="Garamond" w:eastAsia="Times New Roman" w:hAnsi="Garamond" w:cs="Arial"/>
          <w:bCs/>
          <w:sz w:val="24"/>
          <w:szCs w:val="24"/>
        </w:rPr>
        <w:t xml:space="preserve">. </w:t>
      </w:r>
    </w:p>
    <w:p w:rsidR="00955D60" w:rsidRPr="003A1174" w:rsidRDefault="008E259D" w:rsidP="008719D4">
      <w:pPr>
        <w:pStyle w:val="Ttulo4"/>
        <w:spacing w:line="240" w:lineRule="auto"/>
        <w:rPr>
          <w:rFonts w:ascii="Garamond" w:hAnsi="Garamond"/>
          <w:sz w:val="24"/>
          <w:szCs w:val="24"/>
        </w:rPr>
      </w:pPr>
      <w:r>
        <w:rPr>
          <w:rFonts w:ascii="Garamond" w:hAnsi="Garamond"/>
          <w:sz w:val="24"/>
          <w:szCs w:val="24"/>
        </w:rPr>
        <w:t>Avaliação</w:t>
      </w:r>
      <w:r w:rsidR="00374F16" w:rsidRPr="003A1174">
        <w:rPr>
          <w:rFonts w:ascii="Garamond" w:hAnsi="Garamond"/>
          <w:sz w:val="24"/>
          <w:szCs w:val="24"/>
        </w:rPr>
        <w:t xml:space="preserve"> de </w:t>
      </w:r>
      <w:r w:rsidR="00A32790" w:rsidRPr="003A1174">
        <w:rPr>
          <w:rFonts w:ascii="Garamond" w:hAnsi="Garamond"/>
          <w:sz w:val="24"/>
          <w:szCs w:val="24"/>
        </w:rPr>
        <w:t xml:space="preserve">dano </w:t>
      </w:r>
      <w:r w:rsidR="00374F16" w:rsidRPr="003A1174">
        <w:rPr>
          <w:rFonts w:ascii="Garamond" w:hAnsi="Garamond"/>
          <w:sz w:val="24"/>
          <w:szCs w:val="24"/>
        </w:rPr>
        <w:t>psicológico: Guanajuato</w:t>
      </w:r>
    </w:p>
    <w:p w:rsidR="00955D60" w:rsidRPr="003A1174" w:rsidRDefault="001657C4" w:rsidP="001657C4">
      <w:pPr>
        <w:spacing w:before="240" w:after="0" w:line="240" w:lineRule="auto"/>
        <w:jc w:val="both"/>
        <w:rPr>
          <w:rFonts w:ascii="Garamond" w:hAnsi="Garamond" w:cs="Arial"/>
          <w:sz w:val="24"/>
          <w:szCs w:val="24"/>
        </w:rPr>
      </w:pPr>
      <w:r w:rsidRPr="003A1174">
        <w:rPr>
          <w:rFonts w:ascii="Garamond" w:hAnsi="Garamond" w:cs="Arial"/>
          <w:sz w:val="24"/>
          <w:szCs w:val="24"/>
        </w:rPr>
        <w:t xml:space="preserve">Relativamente </w:t>
      </w:r>
      <w:r w:rsidR="00BB2B00" w:rsidRPr="003A1174">
        <w:rPr>
          <w:rFonts w:ascii="Garamond" w:hAnsi="Garamond" w:cs="Arial"/>
          <w:sz w:val="24"/>
          <w:szCs w:val="24"/>
        </w:rPr>
        <w:t>à</w:t>
      </w:r>
      <w:r w:rsidR="00955D60" w:rsidRPr="003A1174">
        <w:rPr>
          <w:rFonts w:ascii="Garamond" w:hAnsi="Garamond" w:cs="Arial"/>
          <w:sz w:val="24"/>
          <w:szCs w:val="24"/>
        </w:rPr>
        <w:t xml:space="preserve"> </w:t>
      </w:r>
      <w:r w:rsidR="008E259D">
        <w:rPr>
          <w:rFonts w:ascii="Garamond" w:hAnsi="Garamond" w:cs="Arial"/>
          <w:sz w:val="24"/>
          <w:szCs w:val="24"/>
        </w:rPr>
        <w:t>avali</w:t>
      </w:r>
      <w:r w:rsidR="00813D2E">
        <w:rPr>
          <w:rFonts w:ascii="Garamond" w:hAnsi="Garamond" w:cs="Arial"/>
          <w:sz w:val="24"/>
          <w:szCs w:val="24"/>
        </w:rPr>
        <w:t>a</w:t>
      </w:r>
      <w:r w:rsidR="008E259D">
        <w:rPr>
          <w:rFonts w:ascii="Garamond" w:hAnsi="Garamond" w:cs="Arial"/>
          <w:sz w:val="24"/>
          <w:szCs w:val="24"/>
        </w:rPr>
        <w:t>ção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d</w:t>
      </w:r>
      <w:r w:rsidR="002C7510" w:rsidRPr="003A1174">
        <w:rPr>
          <w:rFonts w:ascii="Garamond" w:hAnsi="Garamond" w:cs="Arial"/>
          <w:sz w:val="24"/>
          <w:szCs w:val="24"/>
        </w:rPr>
        <w:t>ano</w:t>
      </w:r>
      <w:r w:rsidR="00955D60" w:rsidRPr="003A1174">
        <w:rPr>
          <w:rFonts w:ascii="Garamond" w:hAnsi="Garamond" w:cs="Arial"/>
          <w:sz w:val="24"/>
          <w:szCs w:val="24"/>
        </w:rPr>
        <w:t xml:space="preserve"> psicológico, dentro da PDHEG</w:t>
      </w:r>
      <w:r w:rsidRPr="003A1174">
        <w:rPr>
          <w:rFonts w:ascii="Garamond" w:hAnsi="Garamond" w:cs="Arial"/>
          <w:sz w:val="24"/>
          <w:szCs w:val="24"/>
        </w:rPr>
        <w:t>,</w:t>
      </w:r>
      <w:r w:rsidR="00955D60" w:rsidRPr="003A1174">
        <w:rPr>
          <w:rFonts w:ascii="Garamond" w:hAnsi="Garamond" w:cs="Arial"/>
          <w:sz w:val="24"/>
          <w:szCs w:val="24"/>
        </w:rPr>
        <w:t xml:space="preserve"> </w:t>
      </w:r>
      <w:r w:rsidR="00E67EF8" w:rsidRPr="003A1174">
        <w:rPr>
          <w:rFonts w:ascii="Garamond" w:hAnsi="Garamond" w:cs="Arial"/>
          <w:sz w:val="24"/>
          <w:szCs w:val="24"/>
        </w:rPr>
        <w:t>criou</w:t>
      </w:r>
      <w:r w:rsidRPr="003A1174">
        <w:rPr>
          <w:rFonts w:ascii="Garamond" w:hAnsi="Garamond" w:cs="Arial"/>
          <w:sz w:val="24"/>
          <w:szCs w:val="24"/>
        </w:rPr>
        <w:t xml:space="preserve">-se uma </w:t>
      </w:r>
      <w:r w:rsidR="002C718C" w:rsidRPr="003A1174">
        <w:rPr>
          <w:rFonts w:ascii="Garamond" w:hAnsi="Garamond" w:cs="Arial"/>
          <w:sz w:val="24"/>
          <w:szCs w:val="24"/>
        </w:rPr>
        <w:t>á</w:t>
      </w:r>
      <w:r w:rsidR="00955D60" w:rsidRPr="003A1174">
        <w:rPr>
          <w:rFonts w:ascii="Garamond" w:hAnsi="Garamond" w:cs="Arial"/>
          <w:sz w:val="24"/>
          <w:szCs w:val="24"/>
        </w:rPr>
        <w:t xml:space="preserve">rea de </w:t>
      </w:r>
      <w:r w:rsidR="000350B1" w:rsidRPr="003A1174">
        <w:rPr>
          <w:rFonts w:ascii="Garamond" w:hAnsi="Garamond" w:cs="Arial"/>
          <w:sz w:val="24"/>
          <w:szCs w:val="24"/>
        </w:rPr>
        <w:t>psicologia</w:t>
      </w:r>
      <w:r w:rsidR="00955D60" w:rsidRPr="003A1174">
        <w:rPr>
          <w:rFonts w:ascii="Garamond" w:hAnsi="Garamond" w:cs="Arial"/>
          <w:sz w:val="24"/>
          <w:szCs w:val="24"/>
        </w:rPr>
        <w:t xml:space="preserve"> co</w:t>
      </w:r>
      <w:r w:rsidRPr="003A1174">
        <w:rPr>
          <w:rFonts w:ascii="Garamond" w:hAnsi="Garamond" w:cs="Arial"/>
          <w:sz w:val="24"/>
          <w:szCs w:val="24"/>
        </w:rPr>
        <w:t xml:space="preserve">m o </w:t>
      </w:r>
      <w:r w:rsidR="00955D60" w:rsidRPr="003A1174">
        <w:rPr>
          <w:rFonts w:ascii="Garamond" w:hAnsi="Garamond" w:cs="Arial"/>
          <w:sz w:val="24"/>
          <w:szCs w:val="24"/>
        </w:rPr>
        <w:t>objet</w:t>
      </w:r>
      <w:r w:rsidRPr="003A1174">
        <w:rPr>
          <w:rFonts w:ascii="Garamond" w:hAnsi="Garamond" w:cs="Arial"/>
          <w:sz w:val="24"/>
          <w:szCs w:val="24"/>
        </w:rPr>
        <w:t>iv</w:t>
      </w:r>
      <w:r w:rsidR="00955D60" w:rsidRPr="003A1174">
        <w:rPr>
          <w:rFonts w:ascii="Garamond" w:hAnsi="Garamond" w:cs="Arial"/>
          <w:sz w:val="24"/>
          <w:szCs w:val="24"/>
        </w:rPr>
        <w:t xml:space="preserve">o de </w:t>
      </w:r>
      <w:r w:rsidR="009024A0" w:rsidRPr="003A1174">
        <w:rPr>
          <w:rFonts w:ascii="Garamond" w:hAnsi="Garamond" w:cs="Arial"/>
          <w:sz w:val="24"/>
          <w:szCs w:val="24"/>
        </w:rPr>
        <w:t>proporcionar</w:t>
      </w:r>
      <w:r w:rsidR="00955D60" w:rsidRPr="003A1174">
        <w:rPr>
          <w:rFonts w:ascii="Garamond" w:hAnsi="Garamond" w:cs="Arial"/>
          <w:sz w:val="24"/>
          <w:szCs w:val="24"/>
        </w:rPr>
        <w:t xml:space="preserve"> </w:t>
      </w:r>
      <w:r w:rsidR="00263AE8">
        <w:rPr>
          <w:rFonts w:ascii="Garamond" w:hAnsi="Garamond" w:cs="Arial"/>
          <w:sz w:val="24"/>
          <w:szCs w:val="24"/>
        </w:rPr>
        <w:t>tranquilidade</w:t>
      </w:r>
      <w:r w:rsidR="00955D60" w:rsidRPr="003A1174">
        <w:rPr>
          <w:rFonts w:ascii="Garamond" w:hAnsi="Garamond" w:cs="Arial"/>
          <w:sz w:val="24"/>
          <w:szCs w:val="24"/>
        </w:rPr>
        <w:t xml:space="preserve"> </w:t>
      </w:r>
      <w:r w:rsidR="00BB2B00" w:rsidRPr="003A1174">
        <w:rPr>
          <w:rFonts w:ascii="Garamond" w:hAnsi="Garamond" w:cs="Arial"/>
          <w:sz w:val="24"/>
          <w:szCs w:val="24"/>
        </w:rPr>
        <w:t>à</w:t>
      </w:r>
      <w:r w:rsidR="00955D60" w:rsidRPr="003A1174">
        <w:rPr>
          <w:rFonts w:ascii="Garamond" w:hAnsi="Garamond" w:cs="Arial"/>
          <w:sz w:val="24"/>
          <w:szCs w:val="24"/>
        </w:rPr>
        <w:t xml:space="preserve">s </w:t>
      </w:r>
      <w:r w:rsidR="006C760C" w:rsidRPr="003A1174">
        <w:rPr>
          <w:rFonts w:ascii="Garamond" w:hAnsi="Garamond" w:cs="Arial"/>
          <w:sz w:val="24"/>
          <w:szCs w:val="24"/>
        </w:rPr>
        <w:t>pessoas</w:t>
      </w:r>
      <w:r w:rsidR="00955D60" w:rsidRPr="003A1174">
        <w:rPr>
          <w:rFonts w:ascii="Garamond" w:hAnsi="Garamond" w:cs="Arial"/>
          <w:sz w:val="24"/>
          <w:szCs w:val="24"/>
        </w:rPr>
        <w:t xml:space="preserve"> que </w:t>
      </w:r>
      <w:r w:rsidRPr="003A1174">
        <w:rPr>
          <w:rFonts w:ascii="Garamond" w:hAnsi="Garamond" w:cs="Arial"/>
          <w:sz w:val="24"/>
          <w:szCs w:val="24"/>
        </w:rPr>
        <w:t xml:space="preserve">sofreram uma </w:t>
      </w:r>
      <w:r w:rsidR="0017447A" w:rsidRPr="003A1174">
        <w:rPr>
          <w:rFonts w:ascii="Garamond" w:hAnsi="Garamond" w:cs="Arial"/>
          <w:sz w:val="24"/>
          <w:szCs w:val="24"/>
        </w:rPr>
        <w:t>situação</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263AE8">
        <w:rPr>
          <w:rFonts w:ascii="Garamond" w:hAnsi="Garamond" w:cs="Arial"/>
          <w:sz w:val="24"/>
          <w:szCs w:val="24"/>
        </w:rPr>
        <w:t>total</w:t>
      </w:r>
      <w:r w:rsidR="00955D60" w:rsidRPr="003A1174">
        <w:rPr>
          <w:rFonts w:ascii="Garamond" w:hAnsi="Garamond" w:cs="Arial"/>
          <w:sz w:val="24"/>
          <w:szCs w:val="24"/>
        </w:rPr>
        <w:t xml:space="preserve">, </w:t>
      </w:r>
      <w:r w:rsidR="00E539A2" w:rsidRPr="003A1174">
        <w:rPr>
          <w:rFonts w:ascii="Garamond" w:hAnsi="Garamond" w:cs="Arial"/>
          <w:sz w:val="24"/>
          <w:szCs w:val="24"/>
        </w:rPr>
        <w:t>sendo</w:t>
      </w:r>
      <w:r w:rsidRPr="003A1174">
        <w:rPr>
          <w:rFonts w:ascii="Garamond" w:hAnsi="Garamond" w:cs="Arial"/>
          <w:sz w:val="24"/>
          <w:szCs w:val="24"/>
        </w:rPr>
        <w:t xml:space="preserve"> que </w:t>
      </w:r>
      <w:r w:rsidR="00955D60" w:rsidRPr="003A1174">
        <w:rPr>
          <w:rFonts w:ascii="Garamond" w:hAnsi="Garamond" w:cs="Arial"/>
          <w:sz w:val="24"/>
          <w:szCs w:val="24"/>
        </w:rPr>
        <w:t xml:space="preserve">as que </w:t>
      </w:r>
      <w:r w:rsidRPr="003A1174">
        <w:rPr>
          <w:rFonts w:ascii="Garamond" w:hAnsi="Garamond" w:cs="Arial"/>
          <w:sz w:val="24"/>
          <w:szCs w:val="24"/>
        </w:rPr>
        <w:t xml:space="preserve">recorreram </w:t>
      </w:r>
      <w:r w:rsidR="00263AE8">
        <w:rPr>
          <w:rFonts w:ascii="Garamond" w:hAnsi="Garamond" w:cs="Arial"/>
          <w:sz w:val="24"/>
          <w:szCs w:val="24"/>
        </w:rPr>
        <w:t>a estes serviços</w:t>
      </w:r>
      <w:r w:rsidR="00955D60" w:rsidRPr="003A1174">
        <w:rPr>
          <w:rFonts w:ascii="Garamond" w:hAnsi="Garamond" w:cs="Arial"/>
          <w:sz w:val="24"/>
          <w:szCs w:val="24"/>
        </w:rPr>
        <w:t xml:space="preserve"> </w:t>
      </w:r>
      <w:r w:rsidR="00D75A07" w:rsidRPr="003A1174">
        <w:rPr>
          <w:rFonts w:ascii="Garamond" w:hAnsi="Garamond" w:cs="Arial"/>
          <w:sz w:val="24"/>
          <w:szCs w:val="24"/>
        </w:rPr>
        <w:t>são</w:t>
      </w:r>
      <w:r w:rsidRPr="003A1174">
        <w:rPr>
          <w:rFonts w:ascii="Garamond" w:hAnsi="Garamond" w:cs="Arial"/>
          <w:sz w:val="24"/>
          <w:szCs w:val="24"/>
        </w:rPr>
        <w:t xml:space="preserve">, na sua </w:t>
      </w:r>
      <w:r w:rsidR="00233514" w:rsidRPr="003A1174">
        <w:rPr>
          <w:rFonts w:ascii="Garamond" w:hAnsi="Garamond" w:cs="Arial"/>
          <w:sz w:val="24"/>
          <w:szCs w:val="24"/>
        </w:rPr>
        <w:t>maioria</w:t>
      </w:r>
      <w:r w:rsidRPr="003A1174">
        <w:rPr>
          <w:rFonts w:ascii="Garamond" w:hAnsi="Garamond" w:cs="Arial"/>
          <w:sz w:val="24"/>
          <w:szCs w:val="24"/>
        </w:rPr>
        <w:t>,</w:t>
      </w:r>
      <w:r w:rsidR="00955D60" w:rsidRPr="003A1174">
        <w:rPr>
          <w:rFonts w:ascii="Garamond" w:hAnsi="Garamond" w:cs="Arial"/>
          <w:sz w:val="24"/>
          <w:szCs w:val="24"/>
        </w:rPr>
        <w:t xml:space="preserve"> </w:t>
      </w:r>
      <w:r w:rsidR="00054EE0" w:rsidRPr="003A1174">
        <w:rPr>
          <w:rFonts w:ascii="Garamond" w:hAnsi="Garamond" w:cs="Arial"/>
          <w:sz w:val="24"/>
          <w:szCs w:val="24"/>
        </w:rPr>
        <w:t>mulheres</w:t>
      </w:r>
      <w:r w:rsidR="00955D60" w:rsidRPr="003A1174">
        <w:rPr>
          <w:rFonts w:ascii="Garamond" w:hAnsi="Garamond" w:cs="Arial"/>
          <w:sz w:val="24"/>
          <w:szCs w:val="24"/>
        </w:rPr>
        <w:t xml:space="preserve"> que</w:t>
      </w:r>
      <w:r w:rsidR="00263AE8">
        <w:rPr>
          <w:rFonts w:ascii="Garamond" w:hAnsi="Garamond" w:cs="Arial"/>
          <w:sz w:val="24"/>
          <w:szCs w:val="24"/>
        </w:rPr>
        <w:t>,</w:t>
      </w:r>
      <w:r w:rsidR="00955D60" w:rsidRPr="003A1174">
        <w:rPr>
          <w:rFonts w:ascii="Garamond" w:hAnsi="Garamond" w:cs="Arial"/>
          <w:sz w:val="24"/>
          <w:szCs w:val="24"/>
        </w:rPr>
        <w:t xml:space="preserve"> entre </w:t>
      </w:r>
      <w:r w:rsidR="009E3E55" w:rsidRPr="003A1174">
        <w:rPr>
          <w:rFonts w:ascii="Garamond" w:hAnsi="Garamond" w:cs="Arial"/>
          <w:sz w:val="24"/>
          <w:szCs w:val="24"/>
        </w:rPr>
        <w:t>novembro</w:t>
      </w:r>
      <w:r w:rsidR="00955D60" w:rsidRPr="003A1174">
        <w:rPr>
          <w:rFonts w:ascii="Garamond" w:hAnsi="Garamond" w:cs="Arial"/>
          <w:sz w:val="24"/>
          <w:szCs w:val="24"/>
        </w:rPr>
        <w:t xml:space="preserve"> de 2013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9E3E55" w:rsidRPr="003A1174">
        <w:rPr>
          <w:rFonts w:ascii="Garamond" w:hAnsi="Garamond" w:cs="Arial"/>
          <w:sz w:val="24"/>
          <w:szCs w:val="24"/>
        </w:rPr>
        <w:t>julho</w:t>
      </w:r>
      <w:r w:rsidR="00955D60" w:rsidRPr="003A1174">
        <w:rPr>
          <w:rFonts w:ascii="Garamond" w:hAnsi="Garamond" w:cs="Arial"/>
          <w:sz w:val="24"/>
          <w:szCs w:val="24"/>
        </w:rPr>
        <w:t xml:space="preserve"> de 2014</w:t>
      </w:r>
      <w:r w:rsidR="00263AE8">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chegaram a</w:t>
      </w:r>
      <w:r w:rsidR="00263AE8">
        <w:rPr>
          <w:rFonts w:ascii="Garamond" w:hAnsi="Garamond" w:cs="Arial"/>
          <w:sz w:val="24"/>
          <w:szCs w:val="24"/>
        </w:rPr>
        <w:t xml:space="preserve">o número de </w:t>
      </w:r>
      <w:r w:rsidR="00955D60" w:rsidRPr="003A1174">
        <w:rPr>
          <w:rFonts w:ascii="Garamond" w:hAnsi="Garamond" w:cs="Arial"/>
          <w:sz w:val="24"/>
          <w:szCs w:val="24"/>
        </w:rPr>
        <w:t>626</w:t>
      </w:r>
      <w:r w:rsidR="00263AE8">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a pedir </w:t>
      </w:r>
      <w:r w:rsidR="000672E8" w:rsidRPr="003A1174">
        <w:rPr>
          <w:rFonts w:ascii="Garamond" w:hAnsi="Garamond" w:cs="Arial"/>
          <w:sz w:val="24"/>
          <w:szCs w:val="24"/>
        </w:rPr>
        <w:t>ajuda</w:t>
      </w:r>
      <w:r w:rsidR="00955D60" w:rsidRPr="003A1174">
        <w:rPr>
          <w:rFonts w:ascii="Garamond" w:hAnsi="Garamond" w:cs="Arial"/>
          <w:sz w:val="24"/>
          <w:szCs w:val="24"/>
        </w:rPr>
        <w:t xml:space="preserve"> </w:t>
      </w:r>
      <w:r w:rsidRPr="003A1174">
        <w:rPr>
          <w:rFonts w:ascii="Garamond" w:hAnsi="Garamond" w:cs="Arial"/>
          <w:sz w:val="24"/>
          <w:szCs w:val="24"/>
        </w:rPr>
        <w:t>devido a</w:t>
      </w:r>
      <w:r w:rsidR="00955D60" w:rsidRPr="003A1174">
        <w:rPr>
          <w:rFonts w:ascii="Garamond" w:hAnsi="Garamond" w:cs="Arial"/>
          <w:sz w:val="24"/>
          <w:szCs w:val="24"/>
        </w:rPr>
        <w:t xml:space="preserve"> </w:t>
      </w:r>
      <w:r w:rsidR="007342D9" w:rsidRPr="003A1174">
        <w:rPr>
          <w:rFonts w:ascii="Garamond" w:hAnsi="Garamond" w:cs="Arial"/>
          <w:sz w:val="24"/>
          <w:szCs w:val="24"/>
        </w:rPr>
        <w:t>situações</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intrafamiliar.</w:t>
      </w:r>
    </w:p>
    <w:p w:rsidR="00955D60" w:rsidRPr="003A1174" w:rsidRDefault="001657C4" w:rsidP="001657C4">
      <w:pPr>
        <w:spacing w:before="240" w:after="0" w:line="240" w:lineRule="auto"/>
        <w:jc w:val="both"/>
        <w:rPr>
          <w:rFonts w:ascii="Garamond" w:hAnsi="Garamond" w:cs="Arial"/>
          <w:sz w:val="24"/>
          <w:szCs w:val="24"/>
        </w:rPr>
      </w:pPr>
      <w:r w:rsidRPr="003A1174">
        <w:rPr>
          <w:rFonts w:ascii="Garamond" w:hAnsi="Garamond" w:cs="Arial"/>
          <w:sz w:val="24"/>
          <w:szCs w:val="24"/>
        </w:rPr>
        <w:t>Q</w:t>
      </w:r>
      <w:r w:rsidR="00955D60" w:rsidRPr="003A1174">
        <w:rPr>
          <w:rFonts w:ascii="Garamond" w:hAnsi="Garamond" w:cs="Arial"/>
          <w:sz w:val="24"/>
          <w:szCs w:val="24"/>
        </w:rPr>
        <w:t xml:space="preserve">ualitativamente </w:t>
      </w:r>
      <w:r w:rsidR="007342D9" w:rsidRPr="003A1174">
        <w:rPr>
          <w:rFonts w:ascii="Garamond" w:hAnsi="Garamond" w:cs="Arial"/>
          <w:sz w:val="24"/>
          <w:szCs w:val="24"/>
        </w:rPr>
        <w:t>pode</w:t>
      </w:r>
      <w:r w:rsidRPr="003A1174">
        <w:rPr>
          <w:rFonts w:ascii="Garamond" w:hAnsi="Garamond" w:cs="Arial"/>
          <w:sz w:val="24"/>
          <w:szCs w:val="24"/>
        </w:rPr>
        <w:t xml:space="preserve">-se dizer </w:t>
      </w:r>
      <w:r w:rsidR="00955D60" w:rsidRPr="003A1174">
        <w:rPr>
          <w:rFonts w:ascii="Garamond" w:hAnsi="Garamond" w:cs="Arial"/>
          <w:sz w:val="24"/>
          <w:szCs w:val="24"/>
        </w:rPr>
        <w:t>que h</w:t>
      </w:r>
      <w:r w:rsidRPr="003A1174">
        <w:rPr>
          <w:rFonts w:ascii="Garamond" w:hAnsi="Garamond" w:cs="Arial"/>
          <w:sz w:val="24"/>
          <w:szCs w:val="24"/>
        </w:rPr>
        <w:t xml:space="preserve">ouve </w:t>
      </w:r>
      <w:r w:rsidR="009859FC" w:rsidRPr="003A1174">
        <w:rPr>
          <w:rFonts w:ascii="Garamond" w:hAnsi="Garamond" w:cs="Arial"/>
          <w:sz w:val="24"/>
          <w:szCs w:val="24"/>
        </w:rPr>
        <w:t>melhoria</w:t>
      </w:r>
      <w:r w:rsidR="00955D60" w:rsidRPr="003A1174">
        <w:rPr>
          <w:rFonts w:ascii="Garamond" w:hAnsi="Garamond" w:cs="Arial"/>
          <w:sz w:val="24"/>
          <w:szCs w:val="24"/>
        </w:rPr>
        <w:t xml:space="preserve">s </w:t>
      </w:r>
      <w:r w:rsidRPr="003A1174">
        <w:rPr>
          <w:rFonts w:ascii="Garamond" w:hAnsi="Garamond" w:cs="Arial"/>
          <w:sz w:val="24"/>
          <w:szCs w:val="24"/>
        </w:rPr>
        <w:t>n</w:t>
      </w:r>
      <w:r w:rsidR="00955D60" w:rsidRPr="003A1174">
        <w:rPr>
          <w:rFonts w:ascii="Garamond" w:hAnsi="Garamond" w:cs="Arial"/>
          <w:sz w:val="24"/>
          <w:szCs w:val="24"/>
        </w:rPr>
        <w:t>est</w:t>
      </w:r>
      <w:r w:rsidR="00E60281">
        <w:rPr>
          <w:rFonts w:ascii="Garamond" w:hAnsi="Garamond" w:cs="Arial"/>
          <w:sz w:val="24"/>
          <w:szCs w:val="24"/>
        </w:rPr>
        <w:t>a área</w:t>
      </w:r>
      <w:r w:rsidR="00955D60" w:rsidRPr="003A1174">
        <w:rPr>
          <w:rFonts w:ascii="Garamond" w:hAnsi="Garamond" w:cs="Arial"/>
          <w:sz w:val="24"/>
          <w:szCs w:val="24"/>
        </w:rPr>
        <w:t xml:space="preserve">. </w:t>
      </w:r>
    </w:p>
    <w:p w:rsidR="00955D60" w:rsidRPr="003A1174" w:rsidRDefault="00DD6896" w:rsidP="001657C4">
      <w:pPr>
        <w:pStyle w:val="Ttulo4"/>
        <w:spacing w:line="240" w:lineRule="auto"/>
        <w:jc w:val="both"/>
        <w:rPr>
          <w:rFonts w:ascii="Garamond" w:hAnsi="Garamond"/>
          <w:sz w:val="24"/>
          <w:szCs w:val="24"/>
        </w:rPr>
      </w:pPr>
      <w:r>
        <w:rPr>
          <w:rFonts w:ascii="Garamond" w:hAnsi="Garamond"/>
          <w:sz w:val="24"/>
          <w:szCs w:val="24"/>
        </w:rPr>
        <w:t>Formação</w:t>
      </w:r>
      <w:r w:rsidR="00374F16" w:rsidRPr="003A1174">
        <w:rPr>
          <w:rFonts w:ascii="Garamond" w:hAnsi="Garamond"/>
          <w:sz w:val="24"/>
          <w:szCs w:val="24"/>
        </w:rPr>
        <w:t>/</w:t>
      </w:r>
      <w:r w:rsidR="00976FB8" w:rsidRPr="003A1174">
        <w:rPr>
          <w:rFonts w:ascii="Garamond" w:hAnsi="Garamond"/>
          <w:sz w:val="24"/>
          <w:szCs w:val="24"/>
        </w:rPr>
        <w:t>sensibilização</w:t>
      </w:r>
      <w:r w:rsidR="00374F16" w:rsidRPr="003A1174">
        <w:rPr>
          <w:rFonts w:ascii="Garamond" w:hAnsi="Garamond"/>
          <w:sz w:val="24"/>
          <w:szCs w:val="24"/>
        </w:rPr>
        <w:t xml:space="preserve"> de operadores </w:t>
      </w:r>
      <w:r w:rsidR="00E85E59" w:rsidRPr="003A1174">
        <w:rPr>
          <w:rFonts w:ascii="Garamond" w:hAnsi="Garamond"/>
          <w:sz w:val="24"/>
          <w:szCs w:val="24"/>
        </w:rPr>
        <w:t>do</w:t>
      </w:r>
      <w:r w:rsidR="00374F16" w:rsidRPr="003A1174">
        <w:rPr>
          <w:rFonts w:ascii="Garamond" w:hAnsi="Garamond"/>
          <w:sz w:val="24"/>
          <w:szCs w:val="24"/>
        </w:rPr>
        <w:t xml:space="preserve"> </w:t>
      </w:r>
      <w:r w:rsidR="000D7B87">
        <w:rPr>
          <w:rFonts w:ascii="Garamond" w:hAnsi="Garamond"/>
          <w:sz w:val="24"/>
          <w:szCs w:val="24"/>
        </w:rPr>
        <w:t>S</w:t>
      </w:r>
      <w:r w:rsidR="00374F16" w:rsidRPr="003A1174">
        <w:rPr>
          <w:rFonts w:ascii="Garamond" w:hAnsi="Garamond"/>
          <w:sz w:val="24"/>
          <w:szCs w:val="24"/>
        </w:rPr>
        <w:t>istema</w:t>
      </w:r>
      <w:r>
        <w:rPr>
          <w:rFonts w:ascii="Garamond" w:hAnsi="Garamond"/>
          <w:sz w:val="24"/>
          <w:szCs w:val="24"/>
        </w:rPr>
        <w:t xml:space="preserve"> Judicial</w:t>
      </w:r>
      <w:r w:rsidR="00374F16" w:rsidRPr="003A1174">
        <w:rPr>
          <w:rFonts w:ascii="Garamond" w:hAnsi="Garamond"/>
          <w:sz w:val="24"/>
          <w:szCs w:val="24"/>
        </w:rPr>
        <w:t>: Guanajuato</w:t>
      </w:r>
    </w:p>
    <w:p w:rsidR="00955D60" w:rsidRPr="003A1174" w:rsidRDefault="001657C4" w:rsidP="008719D4">
      <w:pPr>
        <w:spacing w:before="240" w:line="240" w:lineRule="auto"/>
        <w:jc w:val="both"/>
        <w:rPr>
          <w:rFonts w:ascii="Garamond" w:hAnsi="Garamond" w:cs="Arial"/>
          <w:sz w:val="24"/>
          <w:szCs w:val="24"/>
        </w:rPr>
      </w:pPr>
      <w:r w:rsidRPr="003A1174">
        <w:rPr>
          <w:rFonts w:ascii="Garamond" w:hAnsi="Garamond" w:cs="Arial"/>
          <w:sz w:val="24"/>
          <w:szCs w:val="24"/>
        </w:rPr>
        <w:t>I</w:t>
      </w:r>
      <w:r w:rsidR="00955D60" w:rsidRPr="003A1174">
        <w:rPr>
          <w:rFonts w:ascii="Garamond" w:hAnsi="Garamond" w:cs="Arial"/>
          <w:sz w:val="24"/>
          <w:szCs w:val="24"/>
        </w:rPr>
        <w:t>n</w:t>
      </w:r>
      <w:r w:rsidR="00E60281">
        <w:rPr>
          <w:rFonts w:ascii="Garamond" w:hAnsi="Garamond" w:cs="Arial"/>
          <w:sz w:val="24"/>
          <w:szCs w:val="24"/>
        </w:rPr>
        <w:t>forma</w:t>
      </w:r>
      <w:r w:rsidRPr="003A1174">
        <w:rPr>
          <w:rFonts w:ascii="Garamond" w:hAnsi="Garamond" w:cs="Arial"/>
          <w:sz w:val="24"/>
          <w:szCs w:val="24"/>
        </w:rPr>
        <w:t xml:space="preserve">-se que </w:t>
      </w:r>
      <w:r w:rsidR="00955D60" w:rsidRPr="003A1174">
        <w:rPr>
          <w:rFonts w:ascii="Garamond" w:hAnsi="Garamond" w:cs="Arial"/>
          <w:sz w:val="24"/>
          <w:szCs w:val="24"/>
        </w:rPr>
        <w:t>a PDHEG</w:t>
      </w:r>
      <w:r w:rsidR="008E0A4D" w:rsidRPr="003A1174">
        <w:rPr>
          <w:rFonts w:ascii="Garamond" w:hAnsi="Garamond" w:cs="Arial"/>
          <w:sz w:val="24"/>
          <w:szCs w:val="24"/>
        </w:rPr>
        <w:t>,</w:t>
      </w:r>
      <w:r w:rsidR="00955D60" w:rsidRPr="003A1174">
        <w:rPr>
          <w:rFonts w:ascii="Garamond" w:hAnsi="Garamond" w:cs="Arial"/>
          <w:sz w:val="24"/>
          <w:szCs w:val="24"/>
        </w:rPr>
        <w:t xml:space="preserve"> </w:t>
      </w:r>
      <w:r w:rsidR="009A0CC2" w:rsidRPr="003A1174">
        <w:rPr>
          <w:rFonts w:ascii="Garamond" w:hAnsi="Garamond" w:cs="Arial"/>
          <w:sz w:val="24"/>
          <w:szCs w:val="24"/>
        </w:rPr>
        <w:t>através</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eastAsia="Times New Roman" w:hAnsi="Garamond" w:cs="Arial"/>
          <w:sz w:val="24"/>
          <w:szCs w:val="24"/>
        </w:rPr>
        <w:t xml:space="preserve"> Centro Estatal de </w:t>
      </w:r>
      <w:r w:rsidR="00886D6A" w:rsidRPr="003A1174">
        <w:rPr>
          <w:rFonts w:ascii="Garamond" w:eastAsia="Times New Roman" w:hAnsi="Garamond" w:cs="Arial"/>
          <w:sz w:val="24"/>
          <w:szCs w:val="24"/>
        </w:rPr>
        <w:t>Direito</w:t>
      </w:r>
      <w:r w:rsidR="00955D60" w:rsidRPr="003A1174">
        <w:rPr>
          <w:rFonts w:ascii="Garamond" w:eastAsia="Times New Roman" w:hAnsi="Garamond" w:cs="Arial"/>
          <w:sz w:val="24"/>
          <w:szCs w:val="24"/>
        </w:rPr>
        <w:t xml:space="preserve">s Humanos </w:t>
      </w:r>
      <w:r w:rsidR="000672E8" w:rsidRPr="003A1174">
        <w:rPr>
          <w:rFonts w:ascii="Garamond" w:eastAsia="Times New Roman" w:hAnsi="Garamond" w:cs="Arial"/>
          <w:sz w:val="24"/>
          <w:szCs w:val="24"/>
        </w:rPr>
        <w:t>e</w:t>
      </w:r>
      <w:r w:rsidRPr="003A1174">
        <w:rPr>
          <w:rFonts w:ascii="Garamond" w:eastAsia="Times New Roman" w:hAnsi="Garamond" w:cs="Arial"/>
          <w:sz w:val="24"/>
          <w:szCs w:val="24"/>
        </w:rPr>
        <w:t xml:space="preserve"> d</w:t>
      </w:r>
      <w:r w:rsidR="00955D60" w:rsidRPr="003A1174">
        <w:rPr>
          <w:rFonts w:ascii="Garamond" w:eastAsia="Times New Roman" w:hAnsi="Garamond" w:cs="Arial"/>
          <w:sz w:val="24"/>
          <w:szCs w:val="24"/>
        </w:rPr>
        <w:t xml:space="preserve">a </w:t>
      </w:r>
      <w:r w:rsidR="002470B1" w:rsidRPr="003A1174">
        <w:rPr>
          <w:rFonts w:ascii="Garamond" w:eastAsia="Times New Roman" w:hAnsi="Garamond" w:cs="Arial"/>
          <w:sz w:val="24"/>
          <w:szCs w:val="24"/>
        </w:rPr>
        <w:t>Coordenação</w:t>
      </w:r>
      <w:r w:rsidR="00955D60" w:rsidRPr="003A1174">
        <w:rPr>
          <w:rFonts w:ascii="Garamond" w:eastAsia="Times New Roman" w:hAnsi="Garamond" w:cs="Arial"/>
          <w:sz w:val="24"/>
          <w:szCs w:val="24"/>
        </w:rPr>
        <w:t xml:space="preserve"> de </w:t>
      </w:r>
      <w:r w:rsidR="00802ACC" w:rsidRPr="003A1174">
        <w:rPr>
          <w:rFonts w:ascii="Garamond" w:eastAsia="Times New Roman" w:hAnsi="Garamond" w:cs="Arial"/>
          <w:sz w:val="24"/>
          <w:szCs w:val="24"/>
        </w:rPr>
        <w:t>Educação</w:t>
      </w:r>
      <w:r w:rsidR="00955D60" w:rsidRPr="003A1174">
        <w:rPr>
          <w:rFonts w:ascii="Garamond" w:eastAsia="Times New Roman" w:hAnsi="Garamond" w:cs="Arial"/>
          <w:sz w:val="24"/>
          <w:szCs w:val="24"/>
        </w:rPr>
        <w:t xml:space="preserve">, realiza </w:t>
      </w:r>
      <w:r w:rsidR="00077461" w:rsidRPr="003A1174">
        <w:rPr>
          <w:rFonts w:ascii="Garamond" w:eastAsia="Times New Roman" w:hAnsi="Garamond" w:cs="Arial"/>
          <w:sz w:val="24"/>
          <w:szCs w:val="24"/>
        </w:rPr>
        <w:t>conferência</w:t>
      </w:r>
      <w:r w:rsidR="008E0A4D" w:rsidRPr="003A1174">
        <w:rPr>
          <w:rFonts w:ascii="Garamond" w:eastAsia="Times New Roman" w:hAnsi="Garamond" w:cs="Arial"/>
          <w:sz w:val="24"/>
          <w:szCs w:val="24"/>
        </w:rPr>
        <w:t>s</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w:t>
      </w:r>
      <w:r w:rsidR="00C15C97" w:rsidRPr="003A1174">
        <w:rPr>
          <w:rFonts w:ascii="Garamond" w:eastAsia="Times New Roman" w:hAnsi="Garamond" w:cs="Arial"/>
          <w:i/>
          <w:sz w:val="24"/>
          <w:szCs w:val="24"/>
        </w:rPr>
        <w:t>ateliers</w:t>
      </w:r>
      <w:r w:rsidR="00955D60" w:rsidRPr="003A1174">
        <w:rPr>
          <w:rFonts w:ascii="Garamond" w:eastAsia="Times New Roman" w:hAnsi="Garamond" w:cs="Arial"/>
          <w:sz w:val="24"/>
          <w:szCs w:val="24"/>
        </w:rPr>
        <w:t xml:space="preserve"> sobre </w:t>
      </w:r>
      <w:r w:rsidR="00E60281">
        <w:rPr>
          <w:rFonts w:ascii="Garamond" w:eastAsia="Times New Roman" w:hAnsi="Garamond" w:cs="Arial"/>
          <w:sz w:val="24"/>
          <w:szCs w:val="24"/>
        </w:rPr>
        <w:t xml:space="preserve">a </w:t>
      </w:r>
      <w:r w:rsidR="00C01806" w:rsidRPr="003A1174">
        <w:rPr>
          <w:rFonts w:ascii="Garamond" w:eastAsia="Times New Roman" w:hAnsi="Garamond" w:cs="Arial"/>
          <w:sz w:val="24"/>
          <w:szCs w:val="24"/>
        </w:rPr>
        <w:t>equidade</w:t>
      </w:r>
      <w:r w:rsidR="00955D60" w:rsidRPr="003A1174">
        <w:rPr>
          <w:rFonts w:ascii="Garamond" w:eastAsia="Times New Roman" w:hAnsi="Garamond" w:cs="Arial"/>
          <w:sz w:val="24"/>
          <w:szCs w:val="24"/>
        </w:rPr>
        <w:t xml:space="preserve"> de género </w:t>
      </w:r>
      <w:r w:rsidR="000672E8" w:rsidRPr="003A1174">
        <w:rPr>
          <w:rFonts w:ascii="Garamond" w:eastAsia="Times New Roman" w:hAnsi="Garamond" w:cs="Arial"/>
          <w:sz w:val="24"/>
          <w:szCs w:val="24"/>
        </w:rPr>
        <w:t>e</w:t>
      </w:r>
      <w:r w:rsidR="008E0A4D" w:rsidRPr="003A1174">
        <w:rPr>
          <w:rFonts w:ascii="Garamond" w:eastAsia="Times New Roman" w:hAnsi="Garamond" w:cs="Arial"/>
          <w:sz w:val="24"/>
          <w:szCs w:val="24"/>
        </w:rPr>
        <w:t xml:space="preserve"> </w:t>
      </w:r>
      <w:r w:rsidR="00886D6A" w:rsidRPr="003A1174">
        <w:rPr>
          <w:rFonts w:ascii="Garamond" w:eastAsia="Times New Roman" w:hAnsi="Garamond" w:cs="Arial"/>
          <w:sz w:val="24"/>
          <w:szCs w:val="24"/>
        </w:rPr>
        <w:t>direito</w:t>
      </w:r>
      <w:r w:rsidR="008E0A4D" w:rsidRPr="003A1174">
        <w:rPr>
          <w:rFonts w:ascii="Garamond" w:eastAsia="Times New Roman" w:hAnsi="Garamond" w:cs="Arial"/>
          <w:sz w:val="24"/>
          <w:szCs w:val="24"/>
        </w:rPr>
        <w:t xml:space="preserve">s </w:t>
      </w:r>
      <w:r w:rsidR="00497503" w:rsidRPr="003A1174">
        <w:rPr>
          <w:rFonts w:ascii="Garamond" w:eastAsia="Times New Roman" w:hAnsi="Garamond" w:cs="Arial"/>
          <w:sz w:val="24"/>
          <w:szCs w:val="24"/>
        </w:rPr>
        <w:t>das</w:t>
      </w:r>
      <w:r w:rsidR="008E0A4D" w:rsidRPr="003A1174">
        <w:rPr>
          <w:rFonts w:ascii="Garamond" w:eastAsia="Times New Roman" w:hAnsi="Garamond" w:cs="Arial"/>
          <w:sz w:val="24"/>
          <w:szCs w:val="24"/>
        </w:rPr>
        <w:t xml:space="preserve"> </w:t>
      </w:r>
      <w:r w:rsidR="00054EE0" w:rsidRPr="003A1174">
        <w:rPr>
          <w:rFonts w:ascii="Garamond" w:eastAsia="Times New Roman" w:hAnsi="Garamond" w:cs="Arial"/>
          <w:sz w:val="24"/>
          <w:szCs w:val="24"/>
        </w:rPr>
        <w:t>mulheres</w:t>
      </w:r>
      <w:r w:rsidR="00955D60" w:rsidRPr="003A1174">
        <w:rPr>
          <w:rFonts w:ascii="Garamond" w:eastAsia="Times New Roman" w:hAnsi="Garamond" w:cs="Arial"/>
          <w:sz w:val="24"/>
          <w:szCs w:val="24"/>
        </w:rPr>
        <w:t xml:space="preserve">, a diversas </w:t>
      </w:r>
      <w:r w:rsidR="00FB09CA" w:rsidRPr="003A1174">
        <w:rPr>
          <w:rFonts w:ascii="Garamond" w:eastAsia="Times New Roman" w:hAnsi="Garamond" w:cs="Arial"/>
          <w:sz w:val="24"/>
          <w:szCs w:val="24"/>
        </w:rPr>
        <w:t>instância</w:t>
      </w:r>
      <w:r w:rsidR="00955D60" w:rsidRPr="003A1174">
        <w:rPr>
          <w:rFonts w:ascii="Garamond" w:eastAsia="Times New Roman" w:hAnsi="Garamond" w:cs="Arial"/>
          <w:sz w:val="24"/>
          <w:szCs w:val="24"/>
        </w:rPr>
        <w:t xml:space="preserve">s </w:t>
      </w:r>
      <w:r w:rsidR="00E60281">
        <w:rPr>
          <w:rFonts w:ascii="Garamond" w:eastAsia="Times New Roman" w:hAnsi="Garamond" w:cs="Arial"/>
          <w:sz w:val="24"/>
          <w:szCs w:val="24"/>
        </w:rPr>
        <w:t>-</w:t>
      </w:r>
      <w:r w:rsidRPr="003A1174">
        <w:rPr>
          <w:rFonts w:ascii="Garamond" w:eastAsia="Times New Roman" w:hAnsi="Garamond" w:cs="Arial"/>
          <w:sz w:val="24"/>
          <w:szCs w:val="24"/>
        </w:rPr>
        <w:t xml:space="preserve"> </w:t>
      </w:r>
      <w:r w:rsidR="00955D60" w:rsidRPr="003A1174">
        <w:rPr>
          <w:rFonts w:ascii="Garamond" w:eastAsia="Times New Roman" w:hAnsi="Garamond" w:cs="Arial"/>
          <w:sz w:val="24"/>
          <w:szCs w:val="24"/>
        </w:rPr>
        <w:t>tanto públicas como privadas</w:t>
      </w:r>
      <w:r w:rsidRPr="003A1174">
        <w:rPr>
          <w:rFonts w:ascii="Garamond" w:eastAsia="Times New Roman" w:hAnsi="Garamond" w:cs="Arial"/>
          <w:sz w:val="24"/>
          <w:szCs w:val="24"/>
        </w:rPr>
        <w:t xml:space="preserve"> </w:t>
      </w:r>
      <w:r w:rsidR="00E60281">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w:t>
      </w:r>
      <w:r w:rsidR="00BB2B00" w:rsidRPr="003A1174">
        <w:rPr>
          <w:rFonts w:ascii="Garamond" w:eastAsia="Times New Roman" w:hAnsi="Garamond" w:cs="Arial"/>
          <w:sz w:val="24"/>
          <w:szCs w:val="24"/>
        </w:rPr>
        <w:t>à</w:t>
      </w:r>
      <w:r w:rsidR="00955D60" w:rsidRPr="003A1174">
        <w:rPr>
          <w:rFonts w:ascii="Garamond" w:eastAsia="Times New Roman" w:hAnsi="Garamond" w:cs="Arial"/>
          <w:sz w:val="24"/>
          <w:szCs w:val="24"/>
        </w:rPr>
        <w:t xml:space="preserve"> </w:t>
      </w:r>
      <w:r w:rsidR="002C7510" w:rsidRPr="003A1174">
        <w:rPr>
          <w:rFonts w:ascii="Garamond" w:eastAsia="Times New Roman" w:hAnsi="Garamond" w:cs="Arial"/>
          <w:sz w:val="24"/>
          <w:szCs w:val="24"/>
        </w:rPr>
        <w:t>sociedade</w:t>
      </w:r>
      <w:r w:rsidR="00955D60" w:rsidRPr="003A1174">
        <w:rPr>
          <w:rFonts w:ascii="Garamond" w:eastAsia="Times New Roman" w:hAnsi="Garamond" w:cs="Arial"/>
          <w:sz w:val="24"/>
          <w:szCs w:val="24"/>
        </w:rPr>
        <w:t xml:space="preserve"> e</w:t>
      </w:r>
      <w:r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w:t>
      </w:r>
      <w:r w:rsidR="00077461" w:rsidRPr="003A1174">
        <w:rPr>
          <w:rFonts w:ascii="Garamond" w:eastAsia="Times New Roman" w:hAnsi="Garamond" w:cs="Arial"/>
          <w:sz w:val="24"/>
          <w:szCs w:val="24"/>
        </w:rPr>
        <w:t>geral</w:t>
      </w:r>
      <w:r w:rsidR="00955D60" w:rsidRPr="003A1174">
        <w:rPr>
          <w:rFonts w:ascii="Garamond" w:eastAsia="Times New Roman" w:hAnsi="Garamond" w:cs="Arial"/>
          <w:sz w:val="24"/>
          <w:szCs w:val="24"/>
        </w:rPr>
        <w:t>.</w:t>
      </w:r>
    </w:p>
    <w:p w:rsidR="00955D60" w:rsidRPr="003A1174" w:rsidRDefault="00E60281" w:rsidP="008719D4">
      <w:pPr>
        <w:shd w:val="clear" w:color="auto" w:fill="FFFFFF"/>
        <w:spacing w:before="240" w:after="0" w:line="240" w:lineRule="auto"/>
        <w:jc w:val="both"/>
        <w:rPr>
          <w:rFonts w:ascii="Garamond" w:eastAsia="Times New Roman" w:hAnsi="Garamond" w:cs="Arial"/>
          <w:sz w:val="24"/>
          <w:szCs w:val="24"/>
        </w:rPr>
      </w:pPr>
      <w:r>
        <w:rPr>
          <w:rFonts w:ascii="Garamond" w:eastAsia="Times New Roman" w:hAnsi="Garamond" w:cs="Arial"/>
          <w:sz w:val="24"/>
          <w:szCs w:val="24"/>
        </w:rPr>
        <w:t>Existe, t</w:t>
      </w:r>
      <w:r w:rsidR="001657C4" w:rsidRPr="003A1174">
        <w:rPr>
          <w:rFonts w:ascii="Garamond" w:eastAsia="Times New Roman" w:hAnsi="Garamond" w:cs="Arial"/>
          <w:sz w:val="24"/>
          <w:szCs w:val="24"/>
        </w:rPr>
        <w:t>ambém</w:t>
      </w:r>
      <w:r>
        <w:rPr>
          <w:rFonts w:ascii="Garamond" w:eastAsia="Times New Roman" w:hAnsi="Garamond" w:cs="Arial"/>
          <w:sz w:val="24"/>
          <w:szCs w:val="24"/>
        </w:rPr>
        <w:t>,</w:t>
      </w:r>
      <w:r w:rsidR="001657C4" w:rsidRPr="003A1174">
        <w:rPr>
          <w:rFonts w:ascii="Garamond" w:eastAsia="Times New Roman" w:hAnsi="Garamond" w:cs="Arial"/>
          <w:sz w:val="24"/>
          <w:szCs w:val="24"/>
        </w:rPr>
        <w:t xml:space="preserve"> o </w:t>
      </w:r>
      <w:r w:rsidR="00955D60" w:rsidRPr="003A1174">
        <w:rPr>
          <w:rFonts w:ascii="Garamond" w:eastAsia="Times New Roman" w:hAnsi="Garamond" w:cs="Arial"/>
          <w:sz w:val="24"/>
          <w:szCs w:val="24"/>
        </w:rPr>
        <w:t xml:space="preserve">programa </w:t>
      </w:r>
      <w:r w:rsidR="00802ACC" w:rsidRPr="003A1174">
        <w:rPr>
          <w:rFonts w:ascii="Garamond" w:eastAsia="Times New Roman" w:hAnsi="Garamond" w:cs="Arial"/>
          <w:sz w:val="24"/>
          <w:szCs w:val="24"/>
        </w:rPr>
        <w:t>Educação</w:t>
      </w:r>
      <w:r w:rsidR="00955D60" w:rsidRPr="003A1174">
        <w:rPr>
          <w:rFonts w:ascii="Garamond" w:eastAsia="Times New Roman" w:hAnsi="Garamond" w:cs="Arial"/>
          <w:sz w:val="24"/>
          <w:szCs w:val="24"/>
        </w:rPr>
        <w:t xml:space="preserve"> e</w:t>
      </w:r>
      <w:r w:rsidR="001657C4"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w:t>
      </w:r>
      <w:r w:rsidR="00C01806" w:rsidRPr="003A1174">
        <w:rPr>
          <w:rFonts w:ascii="Garamond" w:eastAsia="Times New Roman" w:hAnsi="Garamond" w:cs="Arial"/>
          <w:sz w:val="24"/>
          <w:szCs w:val="24"/>
        </w:rPr>
        <w:t>Equidade</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w:t>
      </w:r>
      <w:r w:rsidR="00D96FD0" w:rsidRPr="003A1174">
        <w:rPr>
          <w:rFonts w:ascii="Garamond" w:eastAsia="Times New Roman" w:hAnsi="Garamond" w:cs="Arial"/>
          <w:sz w:val="24"/>
          <w:szCs w:val="24"/>
        </w:rPr>
        <w:t>Perspetiva</w:t>
      </w:r>
      <w:r w:rsidR="001657C4" w:rsidRPr="003A1174">
        <w:rPr>
          <w:rFonts w:ascii="Garamond" w:eastAsia="Times New Roman" w:hAnsi="Garamond" w:cs="Arial"/>
          <w:sz w:val="24"/>
          <w:szCs w:val="24"/>
        </w:rPr>
        <w:t xml:space="preserve"> de Género, cuj</w:t>
      </w:r>
      <w:r w:rsidR="00955D60" w:rsidRPr="003A1174">
        <w:rPr>
          <w:rFonts w:ascii="Garamond" w:eastAsia="Times New Roman" w:hAnsi="Garamond" w:cs="Arial"/>
          <w:sz w:val="24"/>
          <w:szCs w:val="24"/>
        </w:rPr>
        <w:t xml:space="preserve">o objetivo </w:t>
      </w:r>
      <w:r w:rsidR="00077461" w:rsidRPr="003A1174">
        <w:rPr>
          <w:rFonts w:ascii="Garamond" w:eastAsia="Times New Roman" w:hAnsi="Garamond" w:cs="Arial"/>
          <w:sz w:val="24"/>
          <w:szCs w:val="24"/>
        </w:rPr>
        <w:t>geral</w:t>
      </w:r>
      <w:r w:rsidR="00955D60" w:rsidRPr="003A1174">
        <w:rPr>
          <w:rFonts w:ascii="Garamond" w:eastAsia="Times New Roman" w:hAnsi="Garamond" w:cs="Arial"/>
          <w:sz w:val="24"/>
          <w:szCs w:val="24"/>
        </w:rPr>
        <w:t xml:space="preserve"> </w:t>
      </w:r>
      <w:r w:rsidR="001657C4" w:rsidRPr="003A1174">
        <w:rPr>
          <w:rFonts w:ascii="Garamond" w:eastAsia="Times New Roman" w:hAnsi="Garamond" w:cs="Arial"/>
          <w:sz w:val="24"/>
          <w:szCs w:val="24"/>
        </w:rPr>
        <w:t xml:space="preserve">é </w:t>
      </w:r>
      <w:r w:rsidR="00955D60" w:rsidRPr="003A1174">
        <w:rPr>
          <w:rFonts w:ascii="Garamond" w:eastAsia="Times New Roman" w:hAnsi="Garamond" w:cs="Arial"/>
          <w:sz w:val="24"/>
          <w:szCs w:val="24"/>
        </w:rPr>
        <w:t>difundir</w:t>
      </w:r>
      <w:r>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001657C4" w:rsidRPr="003A1174">
        <w:rPr>
          <w:rFonts w:ascii="Garamond" w:eastAsia="Times New Roman" w:hAnsi="Garamond" w:cs="Arial"/>
          <w:sz w:val="24"/>
          <w:szCs w:val="24"/>
        </w:rPr>
        <w:t>n</w:t>
      </w:r>
      <w:r w:rsidR="00955D60" w:rsidRPr="003A1174">
        <w:rPr>
          <w:rFonts w:ascii="Garamond" w:eastAsia="Times New Roman" w:hAnsi="Garamond" w:cs="Arial"/>
          <w:sz w:val="24"/>
          <w:szCs w:val="24"/>
        </w:rPr>
        <w:t xml:space="preserve">a </w:t>
      </w:r>
      <w:r w:rsidR="009F035C" w:rsidRPr="003A1174">
        <w:rPr>
          <w:rFonts w:ascii="Garamond" w:eastAsia="Times New Roman" w:hAnsi="Garamond" w:cs="Arial"/>
          <w:sz w:val="24"/>
          <w:szCs w:val="24"/>
        </w:rPr>
        <w:t>comunidade</w:t>
      </w:r>
      <w:r w:rsidR="001657C4" w:rsidRPr="003A1174">
        <w:rPr>
          <w:rFonts w:ascii="Garamond" w:eastAsia="Times New Roman" w:hAnsi="Garamond" w:cs="Arial"/>
          <w:sz w:val="24"/>
          <w:szCs w:val="24"/>
        </w:rPr>
        <w:t xml:space="preserve"> de G</w:t>
      </w:r>
      <w:r w:rsidR="00955D60" w:rsidRPr="003A1174">
        <w:rPr>
          <w:rFonts w:ascii="Garamond" w:eastAsia="Times New Roman" w:hAnsi="Garamond" w:cs="Arial"/>
          <w:sz w:val="24"/>
          <w:szCs w:val="24"/>
        </w:rPr>
        <w:t>uanajuat</w:t>
      </w:r>
      <w:r w:rsidR="001657C4" w:rsidRPr="003A1174">
        <w:rPr>
          <w:rFonts w:ascii="Garamond" w:eastAsia="Times New Roman" w:hAnsi="Garamond" w:cs="Arial"/>
          <w:sz w:val="24"/>
          <w:szCs w:val="24"/>
        </w:rPr>
        <w:t>o</w:t>
      </w:r>
      <w:r>
        <w:rPr>
          <w:rFonts w:ascii="Garamond" w:eastAsia="Times New Roman" w:hAnsi="Garamond" w:cs="Arial"/>
          <w:sz w:val="24"/>
          <w:szCs w:val="24"/>
        </w:rPr>
        <w:t>,</w:t>
      </w:r>
      <w:r w:rsidR="001657C4" w:rsidRPr="003A1174">
        <w:rPr>
          <w:rFonts w:ascii="Garamond" w:eastAsia="Times New Roman" w:hAnsi="Garamond" w:cs="Arial"/>
          <w:sz w:val="24"/>
          <w:szCs w:val="24"/>
        </w:rPr>
        <w:t xml:space="preserve"> o </w:t>
      </w:r>
      <w:r w:rsidR="008843FD" w:rsidRPr="003A1174">
        <w:rPr>
          <w:rFonts w:ascii="Garamond" w:eastAsia="Times New Roman" w:hAnsi="Garamond" w:cs="Arial"/>
          <w:sz w:val="24"/>
          <w:szCs w:val="24"/>
        </w:rPr>
        <w:t>respeito</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1657C4" w:rsidRPr="003A1174">
        <w:rPr>
          <w:rFonts w:ascii="Garamond" w:eastAsia="Times New Roman" w:hAnsi="Garamond" w:cs="Arial"/>
          <w:sz w:val="24"/>
          <w:szCs w:val="24"/>
        </w:rPr>
        <w:t xml:space="preserve"> </w:t>
      </w:r>
      <w:r w:rsidR="00955D60" w:rsidRPr="003A1174">
        <w:rPr>
          <w:rFonts w:ascii="Garamond" w:eastAsia="Times New Roman" w:hAnsi="Garamond" w:cs="Arial"/>
          <w:sz w:val="24"/>
          <w:szCs w:val="24"/>
        </w:rPr>
        <w:t xml:space="preserve">a </w:t>
      </w:r>
      <w:r w:rsidR="001657C4" w:rsidRPr="003A1174">
        <w:rPr>
          <w:rFonts w:ascii="Garamond" w:eastAsia="Times New Roman" w:hAnsi="Garamond" w:cs="Arial"/>
          <w:sz w:val="24"/>
          <w:szCs w:val="24"/>
        </w:rPr>
        <w:t>tolerância</w:t>
      </w:r>
      <w:r w:rsidR="00955D60" w:rsidRPr="003A1174">
        <w:rPr>
          <w:rFonts w:ascii="Garamond" w:eastAsia="Times New Roman" w:hAnsi="Garamond" w:cs="Arial"/>
          <w:sz w:val="24"/>
          <w:szCs w:val="24"/>
        </w:rPr>
        <w:t xml:space="preserve"> </w:t>
      </w:r>
      <w:r>
        <w:rPr>
          <w:rFonts w:ascii="Garamond" w:eastAsia="Times New Roman" w:hAnsi="Garamond" w:cs="Arial"/>
          <w:sz w:val="24"/>
          <w:szCs w:val="24"/>
        </w:rPr>
        <w:t xml:space="preserve">a </w:t>
      </w:r>
      <w:r w:rsidR="001657C4" w:rsidRPr="003A1174">
        <w:rPr>
          <w:rFonts w:ascii="Garamond" w:eastAsia="Times New Roman" w:hAnsi="Garamond" w:cs="Arial"/>
          <w:sz w:val="24"/>
          <w:szCs w:val="24"/>
        </w:rPr>
        <w:t>p</w:t>
      </w:r>
      <w:r w:rsidR="00B5431B" w:rsidRPr="003A1174">
        <w:rPr>
          <w:rFonts w:ascii="Garamond" w:eastAsia="Times New Roman" w:hAnsi="Garamond" w:cs="Arial"/>
          <w:sz w:val="24"/>
          <w:szCs w:val="24"/>
        </w:rPr>
        <w:t>onto</w:t>
      </w:r>
      <w:r w:rsidR="00955D60" w:rsidRPr="003A1174">
        <w:rPr>
          <w:rFonts w:ascii="Garamond" w:eastAsia="Times New Roman" w:hAnsi="Garamond" w:cs="Arial"/>
          <w:sz w:val="24"/>
          <w:szCs w:val="24"/>
        </w:rPr>
        <w:t>s de vista</w:t>
      </w:r>
      <w:r>
        <w:rPr>
          <w:rFonts w:ascii="Garamond" w:eastAsia="Times New Roman" w:hAnsi="Garamond" w:cs="Arial"/>
          <w:sz w:val="24"/>
          <w:szCs w:val="24"/>
        </w:rPr>
        <w:t xml:space="preserve"> diferentes</w:t>
      </w:r>
      <w:r w:rsidR="00955D60" w:rsidRPr="003A1174">
        <w:rPr>
          <w:rFonts w:ascii="Garamond" w:eastAsia="Times New Roman" w:hAnsi="Garamond" w:cs="Arial"/>
          <w:sz w:val="24"/>
          <w:szCs w:val="24"/>
        </w:rPr>
        <w:t xml:space="preserve">, </w:t>
      </w:r>
      <w:r w:rsidR="00152A44" w:rsidRPr="003A1174">
        <w:rPr>
          <w:rFonts w:ascii="Garamond" w:eastAsia="Times New Roman" w:hAnsi="Garamond" w:cs="Arial"/>
          <w:sz w:val="24"/>
          <w:szCs w:val="24"/>
        </w:rPr>
        <w:t>inclui</w:t>
      </w:r>
      <w:r w:rsidR="001657C4" w:rsidRPr="003A1174">
        <w:rPr>
          <w:rFonts w:ascii="Garamond" w:eastAsia="Times New Roman" w:hAnsi="Garamond" w:cs="Arial"/>
          <w:sz w:val="24"/>
          <w:szCs w:val="24"/>
        </w:rPr>
        <w:t xml:space="preserve">ndo </w:t>
      </w:r>
      <w:r w:rsidR="00955D60" w:rsidRPr="003A1174">
        <w:rPr>
          <w:rFonts w:ascii="Garamond" w:eastAsia="Times New Roman" w:hAnsi="Garamond" w:cs="Arial"/>
          <w:sz w:val="24"/>
          <w:szCs w:val="24"/>
        </w:rPr>
        <w:t xml:space="preserve">os </w:t>
      </w:r>
      <w:r w:rsidR="001657C4" w:rsidRPr="003A1174">
        <w:rPr>
          <w:rFonts w:ascii="Garamond" w:eastAsia="Times New Roman" w:hAnsi="Garamond" w:cs="Arial"/>
          <w:sz w:val="24"/>
          <w:szCs w:val="24"/>
        </w:rPr>
        <w:t>interesse</w:t>
      </w:r>
      <w:r w:rsidR="00955D60" w:rsidRPr="003A1174">
        <w:rPr>
          <w:rFonts w:ascii="Garamond" w:eastAsia="Times New Roman" w:hAnsi="Garamond" w:cs="Arial"/>
          <w:sz w:val="24"/>
          <w:szCs w:val="24"/>
        </w:rPr>
        <w:t xml:space="preserve">s, </w:t>
      </w:r>
      <w:r w:rsidR="00886D6A" w:rsidRPr="003A1174">
        <w:rPr>
          <w:rFonts w:ascii="Garamond" w:eastAsia="Times New Roman" w:hAnsi="Garamond" w:cs="Arial"/>
          <w:sz w:val="24"/>
          <w:szCs w:val="24"/>
        </w:rPr>
        <w:t>direito</w:t>
      </w:r>
      <w:r w:rsidR="00955D60" w:rsidRPr="003A1174">
        <w:rPr>
          <w:rFonts w:ascii="Garamond" w:eastAsia="Times New Roman" w:hAnsi="Garamond" w:cs="Arial"/>
          <w:sz w:val="24"/>
          <w:szCs w:val="24"/>
        </w:rPr>
        <w:t xml:space="preserve">s, </w:t>
      </w:r>
      <w:r w:rsidR="006506C6" w:rsidRPr="003A1174">
        <w:rPr>
          <w:rFonts w:ascii="Garamond" w:eastAsia="Times New Roman" w:hAnsi="Garamond" w:cs="Arial"/>
          <w:sz w:val="24"/>
          <w:szCs w:val="24"/>
        </w:rPr>
        <w:t>necessidades</w:t>
      </w:r>
      <w:r w:rsidR="00955D60" w:rsidRPr="003A1174">
        <w:rPr>
          <w:rFonts w:ascii="Garamond" w:eastAsia="Times New Roman" w:hAnsi="Garamond" w:cs="Arial"/>
          <w:sz w:val="24"/>
          <w:szCs w:val="24"/>
        </w:rPr>
        <w:t xml:space="preserve">, </w:t>
      </w:r>
      <w:r w:rsidR="007342D9" w:rsidRPr="003A1174">
        <w:rPr>
          <w:rFonts w:ascii="Garamond" w:eastAsia="Times New Roman" w:hAnsi="Garamond" w:cs="Arial"/>
          <w:sz w:val="24"/>
          <w:szCs w:val="24"/>
        </w:rPr>
        <w:t>atitudes</w:t>
      </w:r>
      <w:r w:rsidR="00955D60" w:rsidRPr="003A1174">
        <w:rPr>
          <w:rFonts w:ascii="Garamond" w:eastAsia="Times New Roman" w:hAnsi="Garamond" w:cs="Arial"/>
          <w:sz w:val="24"/>
          <w:szCs w:val="24"/>
        </w:rPr>
        <w:t>, valores</w:t>
      </w:r>
      <w:r w:rsidR="008E0A4D"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realidades que participa</w:t>
      </w:r>
      <w:r w:rsidR="001657C4" w:rsidRPr="003A1174">
        <w:rPr>
          <w:rFonts w:ascii="Garamond" w:eastAsia="Times New Roman" w:hAnsi="Garamond" w:cs="Arial"/>
          <w:sz w:val="24"/>
          <w:szCs w:val="24"/>
        </w:rPr>
        <w:t xml:space="preserve">m em </w:t>
      </w:r>
      <w:r w:rsidR="00955D60" w:rsidRPr="003A1174">
        <w:rPr>
          <w:rFonts w:ascii="Garamond" w:eastAsia="Times New Roman" w:hAnsi="Garamond" w:cs="Arial"/>
          <w:sz w:val="24"/>
          <w:szCs w:val="24"/>
        </w:rPr>
        <w:t xml:space="preserve">cada </w:t>
      </w:r>
      <w:r w:rsidR="005D38DC" w:rsidRPr="003A1174">
        <w:rPr>
          <w:rFonts w:ascii="Garamond" w:eastAsia="Times New Roman" w:hAnsi="Garamond" w:cs="Arial"/>
          <w:sz w:val="24"/>
          <w:szCs w:val="24"/>
        </w:rPr>
        <w:t>aspeto</w:t>
      </w:r>
      <w:r w:rsidR="00955D60" w:rsidRPr="003A1174">
        <w:rPr>
          <w:rFonts w:ascii="Garamond" w:eastAsia="Times New Roman" w:hAnsi="Garamond" w:cs="Arial"/>
          <w:sz w:val="24"/>
          <w:szCs w:val="24"/>
        </w:rPr>
        <w:t xml:space="preserve"> social</w:t>
      </w:r>
      <w:r w:rsidR="008E0A4D" w:rsidRPr="003A1174">
        <w:rPr>
          <w:rFonts w:ascii="Garamond" w:eastAsia="Times New Roman" w:hAnsi="Garamond" w:cs="Arial"/>
          <w:sz w:val="24"/>
          <w:szCs w:val="24"/>
        </w:rPr>
        <w:t>,</w:t>
      </w:r>
      <w:r w:rsidR="00955D60" w:rsidRPr="003A1174">
        <w:rPr>
          <w:rFonts w:ascii="Garamond" w:eastAsia="Times New Roman" w:hAnsi="Garamond" w:cs="Arial"/>
          <w:sz w:val="24"/>
          <w:szCs w:val="24"/>
        </w:rPr>
        <w:t xml:space="preserve"> tanto </w:t>
      </w:r>
      <w:r w:rsidR="00054EE0" w:rsidRPr="003A1174">
        <w:rPr>
          <w:rFonts w:ascii="Garamond" w:eastAsia="Times New Roman" w:hAnsi="Garamond" w:cs="Arial"/>
          <w:sz w:val="24"/>
          <w:szCs w:val="24"/>
        </w:rPr>
        <w:t>mulheres</w:t>
      </w:r>
      <w:r w:rsidR="00955D60" w:rsidRPr="003A1174">
        <w:rPr>
          <w:rFonts w:ascii="Garamond" w:eastAsia="Times New Roman" w:hAnsi="Garamond" w:cs="Arial"/>
          <w:sz w:val="24"/>
          <w:szCs w:val="24"/>
        </w:rPr>
        <w:t xml:space="preserve"> </w:t>
      </w:r>
      <w:r w:rsidR="001704C2" w:rsidRPr="003A1174">
        <w:rPr>
          <w:rFonts w:ascii="Garamond" w:eastAsia="Times New Roman" w:hAnsi="Garamond" w:cs="Arial"/>
          <w:sz w:val="24"/>
          <w:szCs w:val="24"/>
        </w:rPr>
        <w:t xml:space="preserve">como </w:t>
      </w:r>
      <w:r w:rsidR="00524936" w:rsidRPr="003A1174">
        <w:rPr>
          <w:rFonts w:ascii="Garamond" w:eastAsia="Times New Roman" w:hAnsi="Garamond" w:cs="Arial"/>
          <w:sz w:val="24"/>
          <w:szCs w:val="24"/>
        </w:rPr>
        <w:t>homens</w:t>
      </w:r>
      <w:r w:rsidR="00955D60" w:rsidRPr="003A1174">
        <w:rPr>
          <w:rFonts w:ascii="Garamond" w:eastAsia="Times New Roman" w:hAnsi="Garamond" w:cs="Arial"/>
          <w:sz w:val="24"/>
          <w:szCs w:val="24"/>
        </w:rPr>
        <w:t xml:space="preserve">.  </w:t>
      </w:r>
    </w:p>
    <w:p w:rsidR="00955D60" w:rsidRPr="003A1174" w:rsidRDefault="00BA3CCE" w:rsidP="008719D4">
      <w:pPr>
        <w:shd w:val="clear" w:color="auto" w:fill="FFFFFF"/>
        <w:spacing w:before="240"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Com isto, tenta-se conseguir benefícios</w:t>
      </w:r>
      <w:r w:rsidR="00E60281">
        <w:rPr>
          <w:rFonts w:ascii="Garamond" w:eastAsia="Times New Roman" w:hAnsi="Garamond" w:cs="Arial"/>
          <w:sz w:val="24"/>
          <w:szCs w:val="24"/>
        </w:rPr>
        <w:t>,</w:t>
      </w:r>
      <w:r w:rsidRPr="003A1174">
        <w:rPr>
          <w:rFonts w:ascii="Garamond" w:eastAsia="Times New Roman" w:hAnsi="Garamond" w:cs="Arial"/>
          <w:sz w:val="24"/>
          <w:szCs w:val="24"/>
        </w:rPr>
        <w:t xml:space="preserve"> tais como</w:t>
      </w:r>
      <w:r w:rsidR="00E60281">
        <w:rPr>
          <w:rFonts w:ascii="Garamond" w:eastAsia="Times New Roman" w:hAnsi="Garamond" w:cs="Arial"/>
          <w:sz w:val="24"/>
          <w:szCs w:val="24"/>
        </w:rPr>
        <w:t>,</w:t>
      </w:r>
      <w:r w:rsidRPr="003A1174">
        <w:rPr>
          <w:rFonts w:ascii="Garamond" w:eastAsia="Times New Roman" w:hAnsi="Garamond" w:cs="Arial"/>
          <w:sz w:val="24"/>
          <w:szCs w:val="24"/>
        </w:rPr>
        <w:t xml:space="preserve"> melhorar a cultura em direitos humanos sobre a equidade e perspetiva de género, evitando</w:t>
      </w:r>
      <w:r w:rsidR="00E60281">
        <w:rPr>
          <w:rFonts w:ascii="Garamond" w:eastAsia="Times New Roman" w:hAnsi="Garamond" w:cs="Arial"/>
          <w:sz w:val="24"/>
          <w:szCs w:val="24"/>
        </w:rPr>
        <w:t>,</w:t>
      </w:r>
      <w:r w:rsidRPr="003A1174">
        <w:rPr>
          <w:rFonts w:ascii="Garamond" w:eastAsia="Times New Roman" w:hAnsi="Garamond" w:cs="Arial"/>
          <w:sz w:val="24"/>
          <w:szCs w:val="24"/>
        </w:rPr>
        <w:t xml:space="preserve"> desta forma</w:t>
      </w:r>
      <w:r w:rsidR="00E60281">
        <w:rPr>
          <w:rFonts w:ascii="Garamond" w:eastAsia="Times New Roman" w:hAnsi="Garamond" w:cs="Arial"/>
          <w:sz w:val="24"/>
          <w:szCs w:val="24"/>
        </w:rPr>
        <w:t>,</w:t>
      </w:r>
      <w:r w:rsidRPr="003A1174">
        <w:rPr>
          <w:rFonts w:ascii="Garamond" w:eastAsia="Times New Roman" w:hAnsi="Garamond" w:cs="Arial"/>
          <w:sz w:val="24"/>
          <w:szCs w:val="24"/>
        </w:rPr>
        <w:t xml:space="preserve"> a discriminação e estereótipos sobre as pessoas </w:t>
      </w:r>
      <w:r w:rsidR="00E60281">
        <w:rPr>
          <w:rFonts w:ascii="Garamond" w:eastAsia="Times New Roman" w:hAnsi="Garamond" w:cs="Arial"/>
          <w:sz w:val="24"/>
          <w:szCs w:val="24"/>
        </w:rPr>
        <w:t xml:space="preserve">em </w:t>
      </w:r>
      <w:r w:rsidRPr="003A1174">
        <w:rPr>
          <w:rFonts w:ascii="Garamond" w:eastAsia="Times New Roman" w:hAnsi="Garamond" w:cs="Arial"/>
          <w:sz w:val="24"/>
          <w:szCs w:val="24"/>
        </w:rPr>
        <w:t xml:space="preserve">razão do seu sexo, e dos papéis a que têm sido sujeitos durante a sua vida. </w:t>
      </w:r>
    </w:p>
    <w:p w:rsidR="00955D60" w:rsidRPr="003A1174" w:rsidRDefault="00C30647" w:rsidP="008719D4">
      <w:pPr>
        <w:pStyle w:val="Ttulo3"/>
        <w:spacing w:line="240" w:lineRule="auto"/>
        <w:rPr>
          <w:rFonts w:ascii="Garamond" w:hAnsi="Garamond"/>
          <w:sz w:val="24"/>
          <w:szCs w:val="24"/>
        </w:rPr>
      </w:pPr>
      <w:bookmarkStart w:id="64" w:name="_Toc421529752"/>
      <w:r w:rsidRPr="003A1174">
        <w:rPr>
          <w:rFonts w:ascii="Garamond" w:hAnsi="Garamond"/>
          <w:sz w:val="24"/>
          <w:szCs w:val="24"/>
        </w:rPr>
        <w:lastRenderedPageBreak/>
        <w:t>Paraguai</w:t>
      </w:r>
      <w:bookmarkEnd w:id="64"/>
    </w:p>
    <w:p w:rsidR="00955D60" w:rsidRPr="003A1174" w:rsidRDefault="00955D60" w:rsidP="008719D4">
      <w:pPr>
        <w:pStyle w:val="Ttulo4"/>
        <w:spacing w:after="240"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955D60" w:rsidRPr="003A1174" w:rsidRDefault="00D44677" w:rsidP="008719D4">
      <w:pPr>
        <w:pStyle w:val="Predeterminado"/>
        <w:spacing w:after="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w:t>
      </w:r>
      <w:r w:rsidR="00955D60" w:rsidRPr="003A1174">
        <w:rPr>
          <w:rFonts w:ascii="Garamond" w:hAnsi="Garamond" w:cs="Arial"/>
          <w:color w:val="auto"/>
          <w:sz w:val="24"/>
          <w:szCs w:val="24"/>
          <w:lang w:val="pt-PT"/>
        </w:rPr>
        <w:t xml:space="preserve">esta </w:t>
      </w:r>
      <w:r w:rsidR="00EF645F" w:rsidRPr="003A1174">
        <w:rPr>
          <w:rFonts w:ascii="Garamond" w:hAnsi="Garamond" w:cs="Arial"/>
          <w:color w:val="auto"/>
          <w:sz w:val="24"/>
          <w:szCs w:val="24"/>
          <w:lang w:val="pt-PT"/>
        </w:rPr>
        <w:t>matéria</w:t>
      </w:r>
      <w:r w:rsidR="00E60281">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 </w:t>
      </w:r>
      <w:r w:rsidR="00D15AFF" w:rsidRPr="003A1174">
        <w:rPr>
          <w:rFonts w:ascii="Garamond" w:hAnsi="Garamond" w:cs="Arial"/>
          <w:color w:val="auto"/>
          <w:sz w:val="24"/>
          <w:szCs w:val="24"/>
          <w:lang w:val="pt-PT"/>
        </w:rPr>
        <w:t>Lei</w:t>
      </w:r>
      <w:r w:rsidR="00955D60" w:rsidRPr="003A1174">
        <w:rPr>
          <w:rFonts w:ascii="Garamond" w:hAnsi="Garamond" w:cs="Arial"/>
          <w:color w:val="auto"/>
          <w:sz w:val="24"/>
          <w:szCs w:val="24"/>
          <w:lang w:val="pt-PT"/>
        </w:rPr>
        <w:t xml:space="preserve"> 1600/2000 </w:t>
      </w:r>
      <w:r w:rsidR="00BB2B00" w:rsidRPr="003A1174">
        <w:rPr>
          <w:rFonts w:ascii="Garamond" w:hAnsi="Garamond" w:cs="Arial"/>
          <w:color w:val="auto"/>
          <w:sz w:val="24"/>
          <w:szCs w:val="24"/>
          <w:lang w:val="pt-PT"/>
        </w:rPr>
        <w:t>Contra a</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00E60281">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lei</w:t>
      </w:r>
      <w:r w:rsidR="00955D60" w:rsidRPr="003A1174">
        <w:rPr>
          <w:rFonts w:ascii="Garamond" w:hAnsi="Garamond" w:cs="Arial"/>
          <w:color w:val="auto"/>
          <w:sz w:val="24"/>
          <w:szCs w:val="24"/>
          <w:lang w:val="pt-PT"/>
        </w:rPr>
        <w:t xml:space="preserve"> </w:t>
      </w:r>
      <w:r w:rsidR="00E60281">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special de </w:t>
      </w:r>
      <w:r w:rsidR="00120915" w:rsidRPr="003A1174">
        <w:rPr>
          <w:rFonts w:ascii="Garamond" w:hAnsi="Garamond" w:cs="Arial"/>
          <w:color w:val="auto"/>
          <w:sz w:val="24"/>
          <w:szCs w:val="24"/>
          <w:lang w:val="pt-PT"/>
        </w:rPr>
        <w:t>caráter</w:t>
      </w:r>
      <w:r w:rsidR="00955D60" w:rsidRPr="003A1174">
        <w:rPr>
          <w:rFonts w:ascii="Garamond" w:hAnsi="Garamond" w:cs="Arial"/>
          <w:color w:val="auto"/>
          <w:sz w:val="24"/>
          <w:szCs w:val="24"/>
          <w:lang w:val="pt-PT"/>
        </w:rPr>
        <w:t xml:space="preserve"> civil</w:t>
      </w:r>
      <w:r w:rsidRPr="003A1174">
        <w:rPr>
          <w:rFonts w:ascii="Garamond" w:hAnsi="Garamond" w:cs="Arial"/>
          <w:color w:val="auto"/>
          <w:sz w:val="24"/>
          <w:szCs w:val="24"/>
          <w:lang w:val="pt-PT"/>
        </w:rPr>
        <w:t xml:space="preserve"> </w:t>
      </w:r>
      <w:r w:rsidR="00E60281">
        <w:rPr>
          <w:rFonts w:ascii="Garamond" w:hAnsi="Garamond" w:cs="Arial"/>
          <w:color w:val="auto"/>
          <w:sz w:val="24"/>
          <w:szCs w:val="24"/>
          <w:lang w:val="pt-PT"/>
        </w:rPr>
        <w:t>-</w:t>
      </w:r>
      <w:r w:rsidR="008E0A4D"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limita</w:t>
      </w:r>
      <w:r w:rsidRPr="003A1174">
        <w:rPr>
          <w:rFonts w:ascii="Garamond" w:hAnsi="Garamond" w:cs="Arial"/>
          <w:color w:val="auto"/>
          <w:sz w:val="24"/>
          <w:szCs w:val="24"/>
          <w:lang w:val="pt-PT"/>
        </w:rPr>
        <w:t>-se</w:t>
      </w:r>
      <w:r w:rsidR="00955D60"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s medidas cautelares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proteção</w:t>
      </w:r>
      <w:r w:rsidRPr="003A1174">
        <w:rPr>
          <w:rFonts w:ascii="Garamond" w:hAnsi="Garamond" w:cs="Arial"/>
          <w:color w:val="auto"/>
          <w:sz w:val="24"/>
          <w:szCs w:val="24"/>
          <w:lang w:val="pt-PT"/>
        </w:rPr>
        <w:t xml:space="preserve"> para </w:t>
      </w:r>
      <w:r w:rsidR="00955D60" w:rsidRPr="003A1174">
        <w:rPr>
          <w:rFonts w:ascii="Garamond" w:hAnsi="Garamond" w:cs="Arial"/>
          <w:color w:val="auto"/>
          <w:sz w:val="24"/>
          <w:szCs w:val="24"/>
          <w:lang w:val="pt-PT"/>
        </w:rPr>
        <w:t xml:space="preserve">as </w:t>
      </w:r>
      <w:r w:rsidR="003F012B" w:rsidRPr="003A1174">
        <w:rPr>
          <w:rFonts w:ascii="Garamond" w:hAnsi="Garamond" w:cs="Arial"/>
          <w:color w:val="auto"/>
          <w:sz w:val="24"/>
          <w:szCs w:val="24"/>
          <w:lang w:val="pt-PT"/>
        </w:rPr>
        <w:t>vítima</w:t>
      </w:r>
      <w:r w:rsidR="00955D60"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8E0A4D" w:rsidRPr="003A1174">
        <w:rPr>
          <w:rFonts w:ascii="Garamond" w:hAnsi="Garamond" w:cs="Arial"/>
          <w:color w:val="auto"/>
          <w:sz w:val="24"/>
          <w:szCs w:val="24"/>
          <w:lang w:val="pt-PT"/>
        </w:rPr>
        <w:t xml:space="preserve">. </w:t>
      </w:r>
      <w:r w:rsidR="00120915" w:rsidRPr="003A1174">
        <w:rPr>
          <w:rFonts w:ascii="Garamond" w:hAnsi="Garamond" w:cs="Arial"/>
          <w:color w:val="auto"/>
          <w:sz w:val="24"/>
          <w:szCs w:val="24"/>
          <w:lang w:val="pt-PT"/>
        </w:rPr>
        <w:t>Porém</w:t>
      </w:r>
      <w:r w:rsidR="008E0A4D"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muitos</w:t>
      </w:r>
      <w:r w:rsidR="00955D60" w:rsidRPr="003A1174">
        <w:rPr>
          <w:rFonts w:ascii="Garamond" w:hAnsi="Garamond" w:cs="Arial"/>
          <w:color w:val="auto"/>
          <w:sz w:val="24"/>
          <w:szCs w:val="24"/>
          <w:lang w:val="pt-PT"/>
        </w:rPr>
        <w:t xml:space="preserve"> casos</w:t>
      </w:r>
      <w:r w:rsidRPr="003A1174">
        <w:rPr>
          <w:rFonts w:ascii="Garamond" w:hAnsi="Garamond" w:cs="Arial"/>
          <w:color w:val="auto"/>
          <w:sz w:val="24"/>
          <w:szCs w:val="24"/>
          <w:lang w:val="pt-PT"/>
        </w:rPr>
        <w:t xml:space="preserve">, é </w:t>
      </w:r>
      <w:r w:rsidR="00955D60" w:rsidRPr="003A1174">
        <w:rPr>
          <w:rFonts w:ascii="Garamond" w:hAnsi="Garamond" w:cs="Arial"/>
          <w:color w:val="auto"/>
          <w:sz w:val="24"/>
          <w:szCs w:val="24"/>
          <w:lang w:val="pt-PT"/>
        </w:rPr>
        <w:t>co</w:t>
      </w:r>
      <w:r w:rsidRPr="003A1174">
        <w:rPr>
          <w:rFonts w:ascii="Garamond" w:hAnsi="Garamond" w:cs="Arial"/>
          <w:color w:val="auto"/>
          <w:sz w:val="24"/>
          <w:szCs w:val="24"/>
          <w:lang w:val="pt-PT"/>
        </w:rPr>
        <w:t xml:space="preserve">mplicado </w:t>
      </w:r>
      <w:r w:rsidR="00E60281">
        <w:rPr>
          <w:rFonts w:ascii="Garamond" w:hAnsi="Garamond" w:cs="Arial"/>
          <w:color w:val="auto"/>
          <w:sz w:val="24"/>
          <w:szCs w:val="24"/>
          <w:lang w:val="pt-PT"/>
        </w:rPr>
        <w:t xml:space="preserve">verificar </w:t>
      </w:r>
      <w:r w:rsidRPr="003A1174">
        <w:rPr>
          <w:rFonts w:ascii="Garamond" w:hAnsi="Garamond" w:cs="Arial"/>
          <w:color w:val="auto"/>
          <w:sz w:val="24"/>
          <w:szCs w:val="24"/>
          <w:lang w:val="pt-PT"/>
        </w:rPr>
        <w:t xml:space="preserve">se o agressor cumpre </w:t>
      </w:r>
      <w:r w:rsidR="00955D60" w:rsidRPr="003A1174">
        <w:rPr>
          <w:rFonts w:ascii="Garamond" w:hAnsi="Garamond" w:cs="Arial"/>
          <w:color w:val="auto"/>
          <w:sz w:val="24"/>
          <w:szCs w:val="24"/>
          <w:lang w:val="pt-PT"/>
        </w:rPr>
        <w:t xml:space="preserve">as medidas cautelares </w:t>
      </w:r>
      <w:r w:rsidR="00E67EF8" w:rsidRPr="003A1174">
        <w:rPr>
          <w:rFonts w:ascii="Garamond" w:hAnsi="Garamond" w:cs="Arial"/>
          <w:color w:val="auto"/>
          <w:sz w:val="24"/>
          <w:szCs w:val="24"/>
          <w:lang w:val="pt-PT"/>
        </w:rPr>
        <w:t>estabelecida</w:t>
      </w:r>
      <w:r w:rsidR="00955D60" w:rsidRPr="003A1174">
        <w:rPr>
          <w:rFonts w:ascii="Garamond" w:hAnsi="Garamond" w:cs="Arial"/>
          <w:color w:val="auto"/>
          <w:sz w:val="24"/>
          <w:szCs w:val="24"/>
          <w:lang w:val="pt-PT"/>
        </w:rPr>
        <w:t>s p</w:t>
      </w:r>
      <w:r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los </w:t>
      </w:r>
      <w:r w:rsidR="00BA3CCE" w:rsidRPr="003A1174">
        <w:rPr>
          <w:rFonts w:ascii="Garamond" w:hAnsi="Garamond" w:cs="Arial"/>
          <w:color w:val="auto"/>
          <w:sz w:val="24"/>
          <w:szCs w:val="24"/>
          <w:lang w:val="pt-PT"/>
        </w:rPr>
        <w:t>juízes</w:t>
      </w:r>
      <w:r w:rsidR="008E0A4D" w:rsidRPr="003A1174">
        <w:rPr>
          <w:rFonts w:ascii="Garamond" w:hAnsi="Garamond" w:cs="Arial"/>
          <w:color w:val="auto"/>
          <w:sz w:val="24"/>
          <w:szCs w:val="24"/>
          <w:lang w:val="pt-PT"/>
        </w:rPr>
        <w:t xml:space="preserve"> de paz,</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apesar do </w:t>
      </w:r>
      <w:r w:rsidR="003F012B" w:rsidRPr="003A1174">
        <w:rPr>
          <w:rFonts w:ascii="Garamond" w:hAnsi="Garamond" w:cs="Arial"/>
          <w:color w:val="auto"/>
          <w:sz w:val="24"/>
          <w:szCs w:val="24"/>
          <w:lang w:val="pt-PT"/>
        </w:rPr>
        <w:t>acompanhamento</w:t>
      </w:r>
      <w:r w:rsidR="00955D60" w:rsidRPr="003A1174">
        <w:rPr>
          <w:rFonts w:ascii="Garamond" w:hAnsi="Garamond" w:cs="Arial"/>
          <w:color w:val="auto"/>
          <w:sz w:val="24"/>
          <w:szCs w:val="24"/>
          <w:lang w:val="pt-PT"/>
        </w:rPr>
        <w:t xml:space="preserve"> da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 </w:t>
      </w:r>
      <w:r w:rsidR="001F2F8B" w:rsidRPr="003A1174">
        <w:rPr>
          <w:rFonts w:ascii="Garamond" w:hAnsi="Garamond" w:cs="Arial"/>
          <w:color w:val="auto"/>
          <w:sz w:val="24"/>
          <w:szCs w:val="24"/>
          <w:lang w:val="pt-PT"/>
        </w:rPr>
        <w:t>jurisdicional</w:t>
      </w:r>
      <w:r w:rsidR="00E60281">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3A391A" w:rsidRPr="003A1174">
        <w:rPr>
          <w:rFonts w:ascii="Garamond" w:hAnsi="Garamond" w:cs="Arial"/>
          <w:color w:val="auto"/>
          <w:sz w:val="24"/>
          <w:szCs w:val="24"/>
          <w:lang w:val="pt-PT"/>
        </w:rPr>
        <w:t>nos</w:t>
      </w:r>
      <w:r w:rsidR="00955D60" w:rsidRPr="003A1174">
        <w:rPr>
          <w:rFonts w:ascii="Garamond" w:hAnsi="Garamond" w:cs="Arial"/>
          <w:color w:val="auto"/>
          <w:sz w:val="24"/>
          <w:szCs w:val="24"/>
          <w:lang w:val="pt-PT"/>
        </w:rPr>
        <w:t xml:space="preserve"> casos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w:t>
      </w:r>
      <w:r w:rsidR="00E60281">
        <w:rPr>
          <w:rFonts w:ascii="Garamond" w:hAnsi="Garamond" w:cs="Arial"/>
          <w:color w:val="auto"/>
          <w:sz w:val="24"/>
          <w:szCs w:val="24"/>
          <w:lang w:val="pt-PT"/>
        </w:rPr>
        <w:t>,</w:t>
      </w:r>
      <w:r w:rsidRPr="003A1174">
        <w:rPr>
          <w:rFonts w:ascii="Garamond" w:hAnsi="Garamond" w:cs="Arial"/>
          <w:color w:val="auto"/>
          <w:sz w:val="24"/>
          <w:szCs w:val="24"/>
          <w:lang w:val="pt-PT"/>
        </w:rPr>
        <w:t xml:space="preserve"> ter </w:t>
      </w:r>
      <w:r w:rsidR="00BA3CCE" w:rsidRPr="003A1174">
        <w:rPr>
          <w:rFonts w:ascii="Garamond" w:hAnsi="Garamond" w:cs="Arial"/>
          <w:color w:val="auto"/>
          <w:sz w:val="24"/>
          <w:szCs w:val="24"/>
          <w:lang w:val="pt-PT"/>
        </w:rPr>
        <w:t>contribuído</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para </w:t>
      </w:r>
      <w:r w:rsidR="00D96FD0" w:rsidRPr="003A1174">
        <w:rPr>
          <w:rFonts w:ascii="Garamond" w:hAnsi="Garamond" w:cs="Arial"/>
          <w:color w:val="auto"/>
          <w:sz w:val="24"/>
          <w:szCs w:val="24"/>
          <w:lang w:val="pt-PT"/>
        </w:rPr>
        <w:t>cumprimento</w:t>
      </w:r>
      <w:r w:rsidR="00955D60"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medidas </w:t>
      </w:r>
      <w:r w:rsidR="00E67EF8" w:rsidRPr="003A1174">
        <w:rPr>
          <w:rFonts w:ascii="Garamond" w:hAnsi="Garamond" w:cs="Arial"/>
          <w:color w:val="auto"/>
          <w:sz w:val="24"/>
          <w:szCs w:val="24"/>
          <w:lang w:val="pt-PT"/>
        </w:rPr>
        <w:t>estabelecida</w:t>
      </w:r>
      <w:r w:rsidR="00955D60" w:rsidRPr="003A1174">
        <w:rPr>
          <w:rFonts w:ascii="Garamond" w:hAnsi="Garamond" w:cs="Arial"/>
          <w:color w:val="auto"/>
          <w:sz w:val="24"/>
          <w:szCs w:val="24"/>
          <w:lang w:val="pt-PT"/>
        </w:rPr>
        <w:t>s.</w:t>
      </w:r>
    </w:p>
    <w:p w:rsidR="00955D60" w:rsidRPr="003A1174" w:rsidRDefault="00955D60" w:rsidP="008719D4">
      <w:pPr>
        <w:pStyle w:val="Ttulo4"/>
        <w:spacing w:after="240"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r w:rsidRPr="003A1174">
        <w:rPr>
          <w:rFonts w:ascii="Garamond" w:hAnsi="Garamond"/>
          <w:sz w:val="24"/>
          <w:szCs w:val="24"/>
        </w:rPr>
        <w:t xml:space="preserve"> </w:t>
      </w:r>
      <w:r w:rsidR="00141BA9" w:rsidRPr="003A1174">
        <w:rPr>
          <w:rFonts w:ascii="Garamond" w:hAnsi="Garamond"/>
          <w:sz w:val="24"/>
          <w:szCs w:val="24"/>
        </w:rPr>
        <w:t>temporário</w:t>
      </w:r>
    </w:p>
    <w:p w:rsidR="00955D60" w:rsidRPr="003A1174" w:rsidRDefault="00D44677" w:rsidP="008719D4">
      <w:pPr>
        <w:spacing w:after="240" w:line="240" w:lineRule="auto"/>
        <w:jc w:val="both"/>
        <w:rPr>
          <w:rFonts w:ascii="Garamond" w:hAnsi="Garamond" w:cs="Arial"/>
          <w:sz w:val="24"/>
          <w:szCs w:val="24"/>
        </w:rPr>
      </w:pPr>
      <w:r w:rsidRPr="003A1174">
        <w:rPr>
          <w:rFonts w:ascii="Garamond" w:hAnsi="Garamond" w:cs="Arial"/>
          <w:sz w:val="24"/>
          <w:szCs w:val="24"/>
        </w:rPr>
        <w:t xml:space="preserve">Em </w:t>
      </w:r>
      <w:r w:rsidR="00152A44" w:rsidRPr="003A1174">
        <w:rPr>
          <w:rFonts w:ascii="Garamond" w:hAnsi="Garamond" w:cs="Arial"/>
          <w:sz w:val="24"/>
          <w:szCs w:val="24"/>
        </w:rPr>
        <w:t>relação</w:t>
      </w:r>
      <w:r w:rsidR="00955D60" w:rsidRPr="003A1174">
        <w:rPr>
          <w:rFonts w:ascii="Garamond" w:hAnsi="Garamond" w:cs="Arial"/>
          <w:sz w:val="24"/>
          <w:szCs w:val="24"/>
        </w:rPr>
        <w:t xml:space="preserve"> </w:t>
      </w:r>
      <w:r w:rsidRPr="003A1174">
        <w:rPr>
          <w:rFonts w:ascii="Garamond" w:hAnsi="Garamond" w:cs="Arial"/>
          <w:sz w:val="24"/>
          <w:szCs w:val="24"/>
        </w:rPr>
        <w:t xml:space="preserve">a </w:t>
      </w:r>
      <w:r w:rsidR="00955D60" w:rsidRPr="003A1174">
        <w:rPr>
          <w:rFonts w:ascii="Garamond" w:hAnsi="Garamond" w:cs="Arial"/>
          <w:sz w:val="24"/>
          <w:szCs w:val="24"/>
        </w:rPr>
        <w:t xml:space="preserve">este </w:t>
      </w:r>
      <w:r w:rsidR="00B5431B" w:rsidRPr="003A1174">
        <w:rPr>
          <w:rFonts w:ascii="Garamond" w:hAnsi="Garamond" w:cs="Arial"/>
          <w:sz w:val="24"/>
          <w:szCs w:val="24"/>
        </w:rPr>
        <w:t>ponto</w:t>
      </w:r>
      <w:r w:rsidR="00955D60" w:rsidRPr="003A1174">
        <w:rPr>
          <w:rFonts w:ascii="Garamond" w:hAnsi="Garamond" w:cs="Arial"/>
          <w:sz w:val="24"/>
          <w:szCs w:val="24"/>
        </w:rPr>
        <w:t xml:space="preserve">, </w:t>
      </w:r>
      <w:r w:rsidRPr="003A1174">
        <w:rPr>
          <w:rFonts w:ascii="Garamond" w:hAnsi="Garamond" w:cs="Arial"/>
          <w:sz w:val="24"/>
          <w:szCs w:val="24"/>
        </w:rPr>
        <w:t>per</w:t>
      </w:r>
      <w:r w:rsidR="00955D60" w:rsidRPr="003A1174">
        <w:rPr>
          <w:rFonts w:ascii="Garamond" w:hAnsi="Garamond" w:cs="Arial"/>
          <w:sz w:val="24"/>
          <w:szCs w:val="24"/>
        </w:rPr>
        <w:t xml:space="preserve">ante </w:t>
      </w:r>
      <w:r w:rsidRPr="003A1174">
        <w:rPr>
          <w:rFonts w:ascii="Garamond" w:hAnsi="Garamond" w:cs="Arial"/>
          <w:sz w:val="24"/>
          <w:szCs w:val="24"/>
        </w:rPr>
        <w:t>o</w:t>
      </w:r>
      <w:r w:rsidR="00955D60" w:rsidRPr="003A1174">
        <w:rPr>
          <w:rFonts w:ascii="Garamond" w:hAnsi="Garamond" w:cs="Arial"/>
          <w:sz w:val="24"/>
          <w:szCs w:val="24"/>
        </w:rPr>
        <w:t xml:space="preserve"> pedido realizado </w:t>
      </w:r>
      <w:r w:rsidR="00275092" w:rsidRPr="003A1174">
        <w:rPr>
          <w:rFonts w:ascii="Garamond" w:hAnsi="Garamond" w:cs="Arial"/>
          <w:sz w:val="24"/>
          <w:szCs w:val="24"/>
        </w:rPr>
        <w:t>pela</w:t>
      </w:r>
      <w:r w:rsidR="00955D60" w:rsidRPr="003A1174">
        <w:rPr>
          <w:rFonts w:ascii="Garamond" w:hAnsi="Garamond" w:cs="Arial"/>
          <w:sz w:val="24"/>
          <w:szCs w:val="24"/>
        </w:rPr>
        <w:t xml:space="preserve"> </w:t>
      </w:r>
      <w:r w:rsidR="00C04CA4" w:rsidRPr="003A1174">
        <w:rPr>
          <w:rFonts w:ascii="Garamond" w:hAnsi="Garamond" w:cs="Arial"/>
          <w:sz w:val="24"/>
          <w:szCs w:val="24"/>
        </w:rPr>
        <w:t>Provedoria de Justiça</w:t>
      </w:r>
      <w:r w:rsidRPr="003A1174">
        <w:rPr>
          <w:rFonts w:ascii="Garamond" w:hAnsi="Garamond" w:cs="Arial"/>
          <w:sz w:val="24"/>
          <w:szCs w:val="24"/>
        </w:rPr>
        <w:t>, a Ministra d</w:t>
      </w:r>
      <w:r w:rsidR="00955D60" w:rsidRPr="003A1174">
        <w:rPr>
          <w:rFonts w:ascii="Garamond" w:hAnsi="Garamond" w:cs="Arial"/>
          <w:sz w:val="24"/>
          <w:szCs w:val="24"/>
        </w:rPr>
        <w:t xml:space="preserve">a </w:t>
      </w:r>
      <w:r w:rsidR="00AF192F" w:rsidRPr="003A1174">
        <w:rPr>
          <w:rFonts w:ascii="Garamond" w:hAnsi="Garamond" w:cs="Arial"/>
          <w:sz w:val="24"/>
          <w:szCs w:val="24"/>
        </w:rPr>
        <w:t>Mulher</w:t>
      </w:r>
      <w:r w:rsidR="00955D60" w:rsidRPr="003A1174">
        <w:rPr>
          <w:rFonts w:ascii="Garamond" w:hAnsi="Garamond" w:cs="Arial"/>
          <w:sz w:val="24"/>
          <w:szCs w:val="24"/>
        </w:rPr>
        <w:t xml:space="preserve"> comunic</w:t>
      </w:r>
      <w:r w:rsidRPr="003A1174">
        <w:rPr>
          <w:rFonts w:ascii="Garamond" w:hAnsi="Garamond" w:cs="Arial"/>
          <w:sz w:val="24"/>
          <w:szCs w:val="24"/>
        </w:rPr>
        <w:t xml:space="preserve">ou </w:t>
      </w:r>
      <w:r w:rsidR="00955D60" w:rsidRPr="003A1174">
        <w:rPr>
          <w:rFonts w:ascii="Garamond" w:hAnsi="Garamond" w:cs="Arial"/>
          <w:sz w:val="24"/>
          <w:szCs w:val="24"/>
        </w:rPr>
        <w:t>que</w:t>
      </w:r>
      <w:r w:rsidR="00A12C48">
        <w:rPr>
          <w:rFonts w:ascii="Garamond" w:hAnsi="Garamond" w:cs="Arial"/>
          <w:sz w:val="24"/>
          <w:szCs w:val="24"/>
        </w:rPr>
        <w:t>,</w:t>
      </w:r>
      <w:r w:rsidR="00955D60" w:rsidRPr="003A1174">
        <w:rPr>
          <w:rFonts w:ascii="Garamond" w:hAnsi="Garamond" w:cs="Arial"/>
          <w:sz w:val="24"/>
          <w:szCs w:val="24"/>
        </w:rPr>
        <w:t xml:space="preserve"> </w:t>
      </w:r>
      <w:r w:rsidR="003A391A" w:rsidRPr="003A1174">
        <w:rPr>
          <w:rFonts w:ascii="Garamond" w:hAnsi="Garamond" w:cs="Arial"/>
          <w:sz w:val="24"/>
          <w:szCs w:val="24"/>
        </w:rPr>
        <w:t>nos</w:t>
      </w:r>
      <w:r w:rsidR="00955D60" w:rsidRPr="003A1174">
        <w:rPr>
          <w:rFonts w:ascii="Garamond" w:hAnsi="Garamond" w:cs="Arial"/>
          <w:sz w:val="24"/>
          <w:szCs w:val="24"/>
        </w:rPr>
        <w:t xml:space="preserve"> programas que se </w:t>
      </w:r>
      <w:r w:rsidRPr="003A1174">
        <w:rPr>
          <w:rFonts w:ascii="Garamond" w:hAnsi="Garamond" w:cs="Arial"/>
          <w:sz w:val="24"/>
          <w:szCs w:val="24"/>
        </w:rPr>
        <w:t xml:space="preserve">têm desenvolvido no </w:t>
      </w:r>
      <w:r w:rsidR="00D77C19" w:rsidRPr="003A1174">
        <w:rPr>
          <w:rFonts w:ascii="Garamond" w:hAnsi="Garamond" w:cs="Arial"/>
          <w:sz w:val="24"/>
          <w:szCs w:val="24"/>
        </w:rPr>
        <w:t>Ministério</w:t>
      </w:r>
      <w:r w:rsidRPr="003A1174">
        <w:rPr>
          <w:rFonts w:ascii="Garamond" w:hAnsi="Garamond" w:cs="Arial"/>
          <w:sz w:val="24"/>
          <w:szCs w:val="24"/>
        </w:rPr>
        <w:t xml:space="preserve"> d</w:t>
      </w:r>
      <w:r w:rsidR="00955D60" w:rsidRPr="003A1174">
        <w:rPr>
          <w:rFonts w:ascii="Garamond" w:hAnsi="Garamond" w:cs="Arial"/>
          <w:sz w:val="24"/>
          <w:szCs w:val="24"/>
        </w:rPr>
        <w:t xml:space="preserve">a </w:t>
      </w:r>
      <w:r w:rsidR="00AF192F" w:rsidRPr="003A1174">
        <w:rPr>
          <w:rFonts w:ascii="Garamond" w:hAnsi="Garamond" w:cs="Arial"/>
          <w:sz w:val="24"/>
          <w:szCs w:val="24"/>
        </w:rPr>
        <w:t>Mulher</w:t>
      </w:r>
      <w:r w:rsidR="00A12C48">
        <w:rPr>
          <w:rFonts w:ascii="Garamond" w:hAnsi="Garamond" w:cs="Arial"/>
          <w:sz w:val="24"/>
          <w:szCs w:val="24"/>
        </w:rPr>
        <w:t>,</w:t>
      </w:r>
      <w:r w:rsidR="00955D60" w:rsidRPr="003A1174">
        <w:rPr>
          <w:rFonts w:ascii="Garamond" w:hAnsi="Garamond" w:cs="Arial"/>
          <w:sz w:val="24"/>
          <w:szCs w:val="24"/>
        </w:rPr>
        <w:t xml:space="preserve"> se </w:t>
      </w:r>
      <w:r w:rsidR="00AB6522" w:rsidRPr="003A1174">
        <w:rPr>
          <w:rFonts w:ascii="Garamond" w:hAnsi="Garamond" w:cs="Arial"/>
          <w:sz w:val="24"/>
          <w:szCs w:val="24"/>
        </w:rPr>
        <w:t>encontra</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A12C48">
        <w:rPr>
          <w:rFonts w:ascii="Garamond" w:hAnsi="Garamond" w:cs="Arial"/>
          <w:sz w:val="24"/>
          <w:szCs w:val="24"/>
        </w:rPr>
        <w:t xml:space="preserve">preparação </w:t>
      </w:r>
      <w:r w:rsidR="00955D60" w:rsidRPr="003A1174">
        <w:rPr>
          <w:rFonts w:ascii="Garamond" w:hAnsi="Garamond" w:cs="Arial"/>
          <w:sz w:val="24"/>
          <w:szCs w:val="24"/>
        </w:rPr>
        <w:t xml:space="preserve">a </w:t>
      </w:r>
      <w:r w:rsidR="00201889" w:rsidRPr="003A1174">
        <w:rPr>
          <w:rFonts w:ascii="Garamond" w:hAnsi="Garamond" w:cs="Arial"/>
          <w:sz w:val="24"/>
          <w:szCs w:val="24"/>
        </w:rPr>
        <w:t>criação</w:t>
      </w:r>
      <w:r w:rsidR="00955D60" w:rsidRPr="003A1174">
        <w:rPr>
          <w:rFonts w:ascii="Garamond" w:hAnsi="Garamond" w:cs="Arial"/>
          <w:sz w:val="24"/>
          <w:szCs w:val="24"/>
        </w:rPr>
        <w:t xml:space="preserve"> de 2 (do</w:t>
      </w:r>
      <w:r w:rsidRPr="003A1174">
        <w:rPr>
          <w:rFonts w:ascii="Garamond" w:hAnsi="Garamond" w:cs="Arial"/>
          <w:sz w:val="24"/>
          <w:szCs w:val="24"/>
        </w:rPr>
        <w:t>i</w:t>
      </w:r>
      <w:r w:rsidR="00955D60" w:rsidRPr="003A1174">
        <w:rPr>
          <w:rFonts w:ascii="Garamond" w:hAnsi="Garamond" w:cs="Arial"/>
          <w:sz w:val="24"/>
          <w:szCs w:val="24"/>
        </w:rPr>
        <w:t xml:space="preserve">s) </w:t>
      </w:r>
      <w:r w:rsidRPr="003A1174">
        <w:rPr>
          <w:rFonts w:ascii="Garamond" w:hAnsi="Garamond" w:cs="Arial"/>
          <w:sz w:val="24"/>
          <w:szCs w:val="24"/>
        </w:rPr>
        <w:t>Abrigo</w:t>
      </w:r>
      <w:r w:rsidR="00955D60" w:rsidRPr="003A1174">
        <w:rPr>
          <w:rFonts w:ascii="Garamond" w:hAnsi="Garamond" w:cs="Arial"/>
          <w:sz w:val="24"/>
          <w:szCs w:val="24"/>
        </w:rPr>
        <w:t xml:space="preserve">s para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3F012B" w:rsidRPr="003A1174">
        <w:rPr>
          <w:rFonts w:ascii="Garamond" w:hAnsi="Garamond" w:cs="Arial"/>
          <w:sz w:val="24"/>
          <w:szCs w:val="24"/>
        </w:rPr>
        <w:t>Vítima</w:t>
      </w:r>
      <w:r w:rsidR="00955D60" w:rsidRPr="003A1174">
        <w:rPr>
          <w:rFonts w:ascii="Garamond" w:hAnsi="Garamond" w:cs="Arial"/>
          <w:sz w:val="24"/>
          <w:szCs w:val="24"/>
        </w:rPr>
        <w:t xml:space="preserve">s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9B133A" w:rsidRPr="003A1174">
        <w:rPr>
          <w:rFonts w:ascii="Garamond" w:hAnsi="Garamond" w:cs="Arial"/>
          <w:sz w:val="24"/>
          <w:szCs w:val="24"/>
        </w:rPr>
        <w:t>especificamente</w:t>
      </w:r>
      <w:r w:rsidR="00A12C48">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a </w:t>
      </w:r>
      <w:r w:rsidR="00C90370" w:rsidRPr="003A1174">
        <w:rPr>
          <w:rFonts w:ascii="Garamond" w:hAnsi="Garamond" w:cs="Arial"/>
          <w:sz w:val="24"/>
          <w:szCs w:val="24"/>
        </w:rPr>
        <w:t>cidade</w:t>
      </w:r>
      <w:r w:rsidR="00955D60" w:rsidRPr="003A1174">
        <w:rPr>
          <w:rFonts w:ascii="Garamond" w:hAnsi="Garamond" w:cs="Arial"/>
          <w:sz w:val="24"/>
          <w:szCs w:val="24"/>
        </w:rPr>
        <w:t xml:space="preserve"> de Curuguaty</w:t>
      </w:r>
      <w:r w:rsidR="008E0A4D" w:rsidRPr="003A1174">
        <w:rPr>
          <w:rFonts w:ascii="Garamond" w:hAnsi="Garamond" w:cs="Arial"/>
          <w:sz w:val="24"/>
          <w:szCs w:val="24"/>
        </w:rPr>
        <w:t>,</w:t>
      </w:r>
      <w:r w:rsidR="00955D60" w:rsidRPr="003A1174">
        <w:rPr>
          <w:rFonts w:ascii="Garamond" w:hAnsi="Garamond" w:cs="Arial"/>
          <w:sz w:val="24"/>
          <w:szCs w:val="24"/>
        </w:rPr>
        <w:t xml:space="preserve"> </w:t>
      </w:r>
      <w:r w:rsidR="008E0A4D" w:rsidRPr="003A1174">
        <w:rPr>
          <w:rFonts w:ascii="Garamond" w:hAnsi="Garamond" w:cs="Arial"/>
          <w:sz w:val="24"/>
          <w:szCs w:val="24"/>
        </w:rPr>
        <w:t>que</w:t>
      </w:r>
      <w:r w:rsidR="00955D60" w:rsidRPr="003A1174">
        <w:rPr>
          <w:rFonts w:ascii="Garamond" w:hAnsi="Garamond" w:cs="Arial"/>
          <w:sz w:val="24"/>
          <w:szCs w:val="24"/>
        </w:rPr>
        <w:t xml:space="preserve"> se </w:t>
      </w:r>
      <w:r w:rsidR="00AB6522" w:rsidRPr="003A1174">
        <w:rPr>
          <w:rFonts w:ascii="Garamond" w:hAnsi="Garamond" w:cs="Arial"/>
          <w:sz w:val="24"/>
          <w:szCs w:val="24"/>
        </w:rPr>
        <w:t>encontra</w:t>
      </w:r>
      <w:r w:rsidR="00955D60" w:rsidRPr="003A1174">
        <w:rPr>
          <w:rFonts w:ascii="Garamond" w:hAnsi="Garamond" w:cs="Arial"/>
          <w:sz w:val="24"/>
          <w:szCs w:val="24"/>
        </w:rPr>
        <w:t xml:space="preserve"> </w:t>
      </w:r>
      <w:r w:rsidRPr="003A1174">
        <w:rPr>
          <w:rFonts w:ascii="Garamond" w:hAnsi="Garamond" w:cs="Arial"/>
          <w:sz w:val="24"/>
          <w:szCs w:val="24"/>
        </w:rPr>
        <w:t xml:space="preserve">na sua </w:t>
      </w:r>
      <w:r w:rsidR="00955D60" w:rsidRPr="003A1174">
        <w:rPr>
          <w:rFonts w:ascii="Garamond" w:hAnsi="Garamond" w:cs="Arial"/>
          <w:sz w:val="24"/>
          <w:szCs w:val="24"/>
        </w:rPr>
        <w:t xml:space="preserve">etapa final,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1F2F8B" w:rsidRPr="003A1174">
        <w:rPr>
          <w:rFonts w:ascii="Garamond" w:hAnsi="Garamond" w:cs="Arial"/>
          <w:sz w:val="24"/>
          <w:szCs w:val="24"/>
        </w:rPr>
        <w:t>outro</w:t>
      </w:r>
      <w:r w:rsidR="00955D60" w:rsidRPr="003A1174">
        <w:rPr>
          <w:rFonts w:ascii="Garamond" w:hAnsi="Garamond" w:cs="Arial"/>
          <w:sz w:val="24"/>
          <w:szCs w:val="24"/>
        </w:rPr>
        <w:t xml:space="preserve"> </w:t>
      </w:r>
      <w:r w:rsidRPr="003A1174">
        <w:rPr>
          <w:rFonts w:ascii="Garamond" w:hAnsi="Garamond" w:cs="Arial"/>
          <w:sz w:val="24"/>
          <w:szCs w:val="24"/>
        </w:rPr>
        <w:t xml:space="preserve">na </w:t>
      </w:r>
      <w:r w:rsidR="00C90370" w:rsidRPr="003A1174">
        <w:rPr>
          <w:rFonts w:ascii="Garamond" w:hAnsi="Garamond" w:cs="Arial"/>
          <w:sz w:val="24"/>
          <w:szCs w:val="24"/>
        </w:rPr>
        <w:t>Cidade</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Este e</w:t>
      </w:r>
      <w:r w:rsidRPr="003A1174">
        <w:rPr>
          <w:rFonts w:ascii="Garamond" w:hAnsi="Garamond" w:cs="Arial"/>
          <w:sz w:val="24"/>
          <w:szCs w:val="24"/>
        </w:rPr>
        <w:t>m</w:t>
      </w:r>
      <w:r w:rsidR="00955D60" w:rsidRPr="003A1174">
        <w:rPr>
          <w:rFonts w:ascii="Garamond" w:hAnsi="Garamond" w:cs="Arial"/>
          <w:sz w:val="24"/>
          <w:szCs w:val="24"/>
        </w:rPr>
        <w:t xml:space="preserve"> etapa inicial.</w:t>
      </w:r>
    </w:p>
    <w:p w:rsidR="00955D6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t>Registo</w:t>
      </w:r>
      <w:r w:rsidR="00955D60" w:rsidRPr="003A1174">
        <w:rPr>
          <w:rFonts w:ascii="Garamond" w:hAnsi="Garamond"/>
          <w:sz w:val="24"/>
          <w:szCs w:val="24"/>
        </w:rPr>
        <w:t xml:space="preserve"> de </w:t>
      </w:r>
      <w:r w:rsidR="0017447A" w:rsidRPr="003A1174">
        <w:rPr>
          <w:rFonts w:ascii="Garamond" w:hAnsi="Garamond"/>
          <w:sz w:val="24"/>
          <w:szCs w:val="24"/>
        </w:rPr>
        <w:t>informação</w:t>
      </w:r>
    </w:p>
    <w:p w:rsidR="00955D60" w:rsidRPr="003A1174" w:rsidRDefault="00D44677" w:rsidP="008719D4">
      <w:pPr>
        <w:pStyle w:val="Predeterminado"/>
        <w:shd w:val="clear" w:color="auto" w:fill="FFFFFF"/>
        <w:spacing w:after="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Q</w:t>
      </w:r>
      <w:r w:rsidR="00955D60" w:rsidRPr="003A1174">
        <w:rPr>
          <w:rFonts w:ascii="Garamond" w:hAnsi="Garamond" w:cs="Arial"/>
          <w:color w:val="auto"/>
          <w:sz w:val="24"/>
          <w:szCs w:val="24"/>
          <w:lang w:val="pt-PT"/>
        </w:rPr>
        <w:t>uanto a</w:t>
      </w: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077461" w:rsidRPr="003A1174">
        <w:rPr>
          <w:rFonts w:ascii="Garamond" w:hAnsi="Garamond" w:cs="Arial"/>
          <w:color w:val="auto"/>
          <w:sz w:val="24"/>
          <w:szCs w:val="24"/>
          <w:lang w:val="pt-PT"/>
        </w:rPr>
        <w:t>registo</w:t>
      </w:r>
      <w:r w:rsidR="00955D60"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informação</w:t>
      </w:r>
      <w:r w:rsidR="008E0A4D"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955D60" w:rsidRPr="003A1174">
        <w:rPr>
          <w:rFonts w:ascii="Garamond" w:hAnsi="Garamond" w:cs="Arial"/>
          <w:color w:val="auto"/>
          <w:sz w:val="24"/>
          <w:szCs w:val="24"/>
          <w:lang w:val="pt-PT"/>
        </w:rPr>
        <w:t xml:space="preserve">Centro de </w:t>
      </w:r>
      <w:r w:rsidR="00A41573" w:rsidRPr="003A1174">
        <w:rPr>
          <w:rFonts w:ascii="Garamond" w:hAnsi="Garamond" w:cs="Arial"/>
          <w:color w:val="auto"/>
          <w:sz w:val="24"/>
          <w:szCs w:val="24"/>
          <w:lang w:val="pt-PT"/>
        </w:rPr>
        <w:t>Documentação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Arquivo – Museu</w:t>
      </w:r>
      <w:r w:rsidR="00955D60" w:rsidRPr="003A1174">
        <w:rPr>
          <w:rFonts w:ascii="Garamond" w:hAnsi="Garamond" w:cs="Arial"/>
          <w:color w:val="auto"/>
          <w:sz w:val="24"/>
          <w:szCs w:val="24"/>
          <w:lang w:val="pt-PT"/>
        </w:rPr>
        <w:t xml:space="preserve"> da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assumiu </w:t>
      </w:r>
      <w:r w:rsidR="00955D60" w:rsidRPr="003A1174">
        <w:rPr>
          <w:rFonts w:ascii="Garamond" w:hAnsi="Garamond" w:cs="Arial"/>
          <w:color w:val="auto"/>
          <w:sz w:val="24"/>
          <w:szCs w:val="24"/>
          <w:lang w:val="pt-PT"/>
        </w:rPr>
        <w:t xml:space="preserve">a </w:t>
      </w:r>
      <w:r w:rsidR="006D0543" w:rsidRPr="003A1174">
        <w:rPr>
          <w:rFonts w:ascii="Garamond" w:hAnsi="Garamond" w:cs="Arial"/>
          <w:color w:val="auto"/>
          <w:sz w:val="24"/>
          <w:szCs w:val="24"/>
          <w:lang w:val="pt-PT"/>
        </w:rPr>
        <w:t>responsabilidade</w:t>
      </w:r>
      <w:r w:rsidRPr="003A1174">
        <w:rPr>
          <w:rFonts w:ascii="Garamond" w:hAnsi="Garamond" w:cs="Arial"/>
          <w:color w:val="auto"/>
          <w:sz w:val="24"/>
          <w:szCs w:val="24"/>
          <w:lang w:val="pt-PT"/>
        </w:rPr>
        <w:t xml:space="preserve"> de sistematizar </w:t>
      </w:r>
      <w:r w:rsidR="00955D60" w:rsidRPr="003A1174">
        <w:rPr>
          <w:rFonts w:ascii="Garamond" w:hAnsi="Garamond" w:cs="Arial"/>
          <w:color w:val="auto"/>
          <w:sz w:val="24"/>
          <w:szCs w:val="24"/>
          <w:lang w:val="pt-PT"/>
        </w:rPr>
        <w:t xml:space="preserve">as </w:t>
      </w:r>
      <w:r w:rsidR="008651AF" w:rsidRPr="003A1174">
        <w:rPr>
          <w:rFonts w:ascii="Garamond" w:hAnsi="Garamond" w:cs="Arial"/>
          <w:color w:val="auto"/>
          <w:sz w:val="24"/>
          <w:szCs w:val="24"/>
          <w:lang w:val="pt-PT"/>
        </w:rPr>
        <w:t>denúncia</w:t>
      </w:r>
      <w:r w:rsidR="00955D60"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Pr="003A1174">
        <w:rPr>
          <w:rFonts w:ascii="Garamond" w:hAnsi="Garamond" w:cs="Arial"/>
          <w:color w:val="auto"/>
          <w:sz w:val="24"/>
          <w:szCs w:val="24"/>
          <w:lang w:val="pt-PT"/>
        </w:rPr>
        <w:t xml:space="preserve">emitidas pelos </w:t>
      </w:r>
      <w:r w:rsidR="002470B1" w:rsidRPr="003A1174">
        <w:rPr>
          <w:rFonts w:ascii="Garamond" w:hAnsi="Garamond" w:cs="Arial"/>
          <w:color w:val="auto"/>
          <w:sz w:val="24"/>
          <w:szCs w:val="24"/>
          <w:lang w:val="pt-PT"/>
        </w:rPr>
        <w:t>Tribunais</w:t>
      </w:r>
      <w:r w:rsidR="00955D60"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Paz,</w:t>
      </w:r>
      <w:r w:rsidR="008E0A4D" w:rsidRPr="003A1174">
        <w:rPr>
          <w:rFonts w:ascii="Garamond" w:hAnsi="Garamond" w:cs="Arial"/>
          <w:color w:val="auto"/>
          <w:sz w:val="24"/>
          <w:szCs w:val="24"/>
          <w:lang w:val="pt-PT"/>
        </w:rPr>
        <w:t xml:space="preserve"> </w:t>
      </w:r>
      <w:r w:rsidR="00A12C48">
        <w:rPr>
          <w:rFonts w:ascii="Garamond" w:hAnsi="Garamond" w:cs="Arial"/>
          <w:color w:val="auto"/>
          <w:sz w:val="24"/>
          <w:szCs w:val="24"/>
          <w:lang w:val="pt-PT"/>
        </w:rPr>
        <w:t xml:space="preserve">em conformidade com o </w:t>
      </w:r>
      <w:r w:rsidR="00955D60" w:rsidRPr="003A1174">
        <w:rPr>
          <w:rFonts w:ascii="Garamond" w:hAnsi="Garamond" w:cs="Arial"/>
          <w:color w:val="auto"/>
          <w:sz w:val="24"/>
          <w:szCs w:val="24"/>
          <w:lang w:val="pt-PT"/>
        </w:rPr>
        <w:t>Ac</w:t>
      </w:r>
      <w:r w:rsidR="00A12C48">
        <w:rPr>
          <w:rFonts w:ascii="Garamond" w:hAnsi="Garamond" w:cs="Arial"/>
          <w:color w:val="auto"/>
          <w:sz w:val="24"/>
          <w:szCs w:val="24"/>
          <w:lang w:val="pt-PT"/>
        </w:rPr>
        <w:t>ó</w:t>
      </w:r>
      <w:r w:rsidR="00955D60" w:rsidRPr="003A1174">
        <w:rPr>
          <w:rFonts w:ascii="Garamond" w:hAnsi="Garamond" w:cs="Arial"/>
          <w:color w:val="auto"/>
          <w:sz w:val="24"/>
          <w:szCs w:val="24"/>
          <w:lang w:val="pt-PT"/>
        </w:rPr>
        <w:t>rd</w:t>
      </w:r>
      <w:r w:rsidR="00A12C48">
        <w:rPr>
          <w:rFonts w:ascii="Garamond" w:hAnsi="Garamond" w:cs="Arial"/>
          <w:color w:val="auto"/>
          <w:sz w:val="24"/>
          <w:szCs w:val="24"/>
          <w:lang w:val="pt-PT"/>
        </w:rPr>
        <w:t>ão</w:t>
      </w:r>
      <w:r w:rsidR="00955D60" w:rsidRPr="003A1174">
        <w:rPr>
          <w:rFonts w:ascii="Garamond" w:hAnsi="Garamond" w:cs="Arial"/>
          <w:color w:val="auto"/>
          <w:sz w:val="24"/>
          <w:szCs w:val="24"/>
          <w:lang w:val="pt-PT"/>
        </w:rPr>
        <w:t xml:space="preserve"> 454/07 d</w:t>
      </w:r>
      <w:r w:rsidR="003069B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3069B4">
        <w:rPr>
          <w:rFonts w:ascii="Garamond" w:hAnsi="Garamond" w:cs="Arial"/>
          <w:color w:val="auto"/>
          <w:sz w:val="24"/>
          <w:szCs w:val="24"/>
          <w:lang w:val="pt-PT"/>
        </w:rPr>
        <w:t>o Tribunal</w:t>
      </w:r>
      <w:r w:rsidR="00955D60"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que </w:t>
      </w:r>
      <w:r w:rsidR="00A12C48">
        <w:rPr>
          <w:rFonts w:ascii="Garamond" w:hAnsi="Garamond" w:cs="Arial"/>
          <w:color w:val="auto"/>
          <w:sz w:val="24"/>
          <w:szCs w:val="24"/>
          <w:lang w:val="pt-PT"/>
        </w:rPr>
        <w:t xml:space="preserve">obriga ao </w:t>
      </w:r>
      <w:r w:rsidR="00A225E2">
        <w:rPr>
          <w:rFonts w:ascii="Garamond" w:hAnsi="Garamond" w:cs="Arial"/>
          <w:color w:val="auto"/>
          <w:sz w:val="24"/>
          <w:szCs w:val="24"/>
          <w:lang w:val="pt-PT"/>
        </w:rPr>
        <w:t>preenchimento</w:t>
      </w:r>
      <w:r w:rsidR="00955D60" w:rsidRPr="003A1174">
        <w:rPr>
          <w:rFonts w:ascii="Garamond" w:hAnsi="Garamond" w:cs="Arial"/>
          <w:color w:val="auto"/>
          <w:sz w:val="24"/>
          <w:szCs w:val="24"/>
          <w:lang w:val="pt-PT"/>
        </w:rPr>
        <w:t xml:space="preserve"> </w:t>
      </w:r>
      <w:r w:rsidR="00A225E2">
        <w:rPr>
          <w:rFonts w:ascii="Garamond" w:hAnsi="Garamond" w:cs="Arial"/>
          <w:color w:val="auto"/>
          <w:sz w:val="24"/>
          <w:szCs w:val="24"/>
          <w:lang w:val="pt-PT"/>
        </w:rPr>
        <w:t xml:space="preserve">do </w:t>
      </w:r>
      <w:r w:rsidR="00C01806" w:rsidRPr="003A1174">
        <w:rPr>
          <w:rFonts w:ascii="Garamond" w:hAnsi="Garamond" w:cs="Arial"/>
          <w:color w:val="auto"/>
          <w:sz w:val="24"/>
          <w:szCs w:val="24"/>
          <w:lang w:val="pt-PT"/>
        </w:rPr>
        <w:t>Formulário</w:t>
      </w:r>
      <w:r w:rsidR="00955D60" w:rsidRPr="003A1174">
        <w:rPr>
          <w:rFonts w:ascii="Garamond" w:hAnsi="Garamond" w:cs="Arial"/>
          <w:color w:val="auto"/>
          <w:sz w:val="24"/>
          <w:szCs w:val="24"/>
          <w:lang w:val="pt-PT"/>
        </w:rPr>
        <w:t xml:space="preserve"> de </w:t>
      </w:r>
      <w:r w:rsidR="00077461" w:rsidRPr="003A1174">
        <w:rPr>
          <w:rFonts w:ascii="Garamond" w:hAnsi="Garamond" w:cs="Arial"/>
          <w:color w:val="auto"/>
          <w:sz w:val="24"/>
          <w:szCs w:val="24"/>
          <w:lang w:val="pt-PT"/>
        </w:rPr>
        <w:t>Registo</w:t>
      </w:r>
      <w:r w:rsidR="00955D60"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w:t>
      </w:r>
      <w:r w:rsidR="003A391A" w:rsidRPr="003A1174">
        <w:rPr>
          <w:rFonts w:ascii="Garamond" w:hAnsi="Garamond" w:cs="Arial"/>
          <w:color w:val="auto"/>
          <w:sz w:val="24"/>
          <w:szCs w:val="24"/>
          <w:lang w:val="pt-PT"/>
        </w:rPr>
        <w:t>nos</w:t>
      </w:r>
      <w:r w:rsidR="00955D60" w:rsidRPr="003A1174">
        <w:rPr>
          <w:rFonts w:ascii="Garamond" w:hAnsi="Garamond" w:cs="Arial"/>
          <w:color w:val="auto"/>
          <w:sz w:val="24"/>
          <w:szCs w:val="24"/>
          <w:lang w:val="pt-PT"/>
        </w:rPr>
        <w:t xml:space="preserve"> </w:t>
      </w:r>
      <w:r w:rsidR="002470B1" w:rsidRPr="003A1174">
        <w:rPr>
          <w:rFonts w:ascii="Garamond" w:hAnsi="Garamond" w:cs="Arial"/>
          <w:color w:val="auto"/>
          <w:sz w:val="24"/>
          <w:szCs w:val="24"/>
          <w:lang w:val="pt-PT"/>
        </w:rPr>
        <w:t>Tribunais</w:t>
      </w:r>
      <w:r w:rsidR="00955D60"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a Paz</w:t>
      </w:r>
      <w:r w:rsidR="00A12C48">
        <w:rPr>
          <w:rFonts w:ascii="Garamond" w:hAnsi="Garamond" w:cs="Arial"/>
          <w:color w:val="auto"/>
          <w:sz w:val="24"/>
          <w:szCs w:val="24"/>
          <w:lang w:val="pt-PT"/>
        </w:rPr>
        <w:t>,</w:t>
      </w:r>
      <w:r w:rsidRPr="003A1174">
        <w:rPr>
          <w:rFonts w:ascii="Garamond" w:hAnsi="Garamond" w:cs="Arial"/>
          <w:color w:val="auto"/>
          <w:sz w:val="24"/>
          <w:szCs w:val="24"/>
          <w:lang w:val="pt-PT"/>
        </w:rPr>
        <w:t xml:space="preserve"> de todas </w:t>
      </w:r>
      <w:r w:rsidR="00955D60" w:rsidRPr="003A1174">
        <w:rPr>
          <w:rFonts w:ascii="Garamond" w:hAnsi="Garamond" w:cs="Arial"/>
          <w:color w:val="auto"/>
          <w:sz w:val="24"/>
          <w:szCs w:val="24"/>
          <w:lang w:val="pt-PT"/>
        </w:rPr>
        <w:t xml:space="preserve">as </w:t>
      </w:r>
      <w:r w:rsidR="00202D4B" w:rsidRPr="003A1174">
        <w:rPr>
          <w:rFonts w:ascii="Garamond" w:hAnsi="Garamond" w:cs="Arial"/>
          <w:color w:val="auto"/>
          <w:sz w:val="24"/>
          <w:szCs w:val="24"/>
          <w:lang w:val="pt-PT"/>
        </w:rPr>
        <w:t>circunscrições</w:t>
      </w:r>
      <w:r w:rsidR="00955D60"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judiciais</w:t>
      </w:r>
      <w:r w:rsidRPr="003A1174">
        <w:rPr>
          <w:rFonts w:ascii="Garamond" w:hAnsi="Garamond" w:cs="Arial"/>
          <w:color w:val="auto"/>
          <w:sz w:val="24"/>
          <w:szCs w:val="24"/>
          <w:lang w:val="pt-PT"/>
        </w:rPr>
        <w:t xml:space="preserve"> d</w:t>
      </w:r>
      <w:r w:rsidR="00955D60" w:rsidRPr="003A1174">
        <w:rPr>
          <w:rFonts w:ascii="Garamond" w:hAnsi="Garamond" w:cs="Arial"/>
          <w:color w:val="auto"/>
          <w:sz w:val="24"/>
          <w:szCs w:val="24"/>
          <w:lang w:val="pt-PT"/>
        </w:rPr>
        <w:t>a República</w:t>
      </w:r>
      <w:r w:rsidR="008E0A4D"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que </w:t>
      </w:r>
      <w:r w:rsidR="00AF192F" w:rsidRPr="003A1174">
        <w:rPr>
          <w:rFonts w:ascii="Garamond" w:hAnsi="Garamond" w:cs="Arial"/>
          <w:color w:val="auto"/>
          <w:sz w:val="24"/>
          <w:szCs w:val="24"/>
          <w:lang w:val="pt-PT"/>
        </w:rPr>
        <w:t>dever</w:t>
      </w:r>
      <w:r w:rsidR="00955D60" w:rsidRPr="003A1174">
        <w:rPr>
          <w:rFonts w:ascii="Garamond" w:hAnsi="Garamond" w:cs="Arial"/>
          <w:color w:val="auto"/>
          <w:sz w:val="24"/>
          <w:szCs w:val="24"/>
          <w:lang w:val="pt-PT"/>
        </w:rPr>
        <w:t xml:space="preserve">á ser </w:t>
      </w:r>
      <w:r w:rsidRPr="003A1174">
        <w:rPr>
          <w:rFonts w:ascii="Garamond" w:hAnsi="Garamond" w:cs="Arial"/>
          <w:color w:val="auto"/>
          <w:sz w:val="24"/>
          <w:szCs w:val="24"/>
          <w:lang w:val="pt-PT"/>
        </w:rPr>
        <w:t>remetid</w:t>
      </w:r>
      <w:r w:rsidR="00955D60" w:rsidRPr="003A1174">
        <w:rPr>
          <w:rFonts w:ascii="Garamond" w:hAnsi="Garamond" w:cs="Arial"/>
          <w:color w:val="auto"/>
          <w:sz w:val="24"/>
          <w:szCs w:val="24"/>
          <w:lang w:val="pt-PT"/>
        </w:rPr>
        <w:t>o</w:t>
      </w:r>
      <w:r w:rsidR="00A12C48">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mensalmente</w:t>
      </w:r>
      <w:r w:rsidR="00A12C48">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C246B4" w:rsidRPr="003A1174">
        <w:rPr>
          <w:rFonts w:ascii="Garamond" w:hAnsi="Garamond" w:cs="Arial"/>
          <w:color w:val="auto"/>
          <w:sz w:val="24"/>
          <w:szCs w:val="24"/>
          <w:lang w:val="pt-PT"/>
        </w:rPr>
        <w:t>Gabinete</w:t>
      </w:r>
      <w:r w:rsidR="00955D60" w:rsidRPr="003A1174">
        <w:rPr>
          <w:rFonts w:ascii="Garamond" w:hAnsi="Garamond" w:cs="Arial"/>
          <w:color w:val="auto"/>
          <w:sz w:val="24"/>
          <w:szCs w:val="24"/>
          <w:lang w:val="pt-PT"/>
        </w:rPr>
        <w:t xml:space="preserve"> de </w:t>
      </w:r>
      <w:r w:rsidR="00C15C97" w:rsidRPr="003A1174">
        <w:rPr>
          <w:rFonts w:ascii="Garamond" w:hAnsi="Garamond" w:cs="Arial"/>
          <w:color w:val="auto"/>
          <w:sz w:val="24"/>
          <w:szCs w:val="24"/>
          <w:lang w:val="pt-PT"/>
        </w:rPr>
        <w:t>Estatística</w:t>
      </w:r>
      <w:r w:rsidR="00955D60" w:rsidRPr="003A1174">
        <w:rPr>
          <w:rFonts w:ascii="Garamond" w:hAnsi="Garamond" w:cs="Arial"/>
          <w:color w:val="auto"/>
          <w:sz w:val="24"/>
          <w:szCs w:val="24"/>
          <w:lang w:val="pt-PT"/>
        </w:rPr>
        <w:t xml:space="preserve"> Judicial d</w:t>
      </w:r>
      <w:r w:rsidR="003069B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3069B4">
        <w:rPr>
          <w:rFonts w:ascii="Garamond" w:hAnsi="Garamond" w:cs="Arial"/>
          <w:color w:val="auto"/>
          <w:sz w:val="24"/>
          <w:szCs w:val="24"/>
          <w:lang w:val="pt-PT"/>
        </w:rPr>
        <w:t>o Tribunal</w:t>
      </w:r>
      <w:r w:rsidR="00955D60"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para s</w:t>
      </w:r>
      <w:r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u posterior </w:t>
      </w:r>
      <w:r w:rsidR="003F012B" w:rsidRPr="003A1174">
        <w:rPr>
          <w:rFonts w:ascii="Garamond" w:hAnsi="Garamond" w:cs="Arial"/>
          <w:color w:val="auto"/>
          <w:sz w:val="24"/>
          <w:szCs w:val="24"/>
          <w:lang w:val="pt-PT"/>
        </w:rPr>
        <w:t>estudo</w:t>
      </w:r>
      <w:r w:rsidR="00955D60"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análise</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7A3375" w:rsidRPr="003A1174">
        <w:rPr>
          <w:rFonts w:ascii="Garamond" w:hAnsi="Garamond" w:cs="Arial"/>
          <w:color w:val="auto"/>
          <w:sz w:val="24"/>
          <w:szCs w:val="24"/>
          <w:lang w:val="pt-PT"/>
        </w:rPr>
        <w:t>elaboração</w:t>
      </w:r>
      <w:r w:rsidR="00955D60" w:rsidRPr="003A1174">
        <w:rPr>
          <w:rFonts w:ascii="Garamond" w:hAnsi="Garamond" w:cs="Arial"/>
          <w:color w:val="auto"/>
          <w:sz w:val="24"/>
          <w:szCs w:val="24"/>
          <w:lang w:val="pt-PT"/>
        </w:rPr>
        <w:t xml:space="preserve"> de </w:t>
      </w:r>
      <w:r w:rsidR="00EE7406" w:rsidRPr="003A1174">
        <w:rPr>
          <w:rFonts w:ascii="Garamond" w:hAnsi="Garamond" w:cs="Arial"/>
          <w:color w:val="auto"/>
          <w:sz w:val="24"/>
          <w:szCs w:val="24"/>
          <w:lang w:val="pt-PT"/>
        </w:rPr>
        <w:t>dado</w:t>
      </w:r>
      <w:r w:rsidR="00955D60" w:rsidRPr="003A1174">
        <w:rPr>
          <w:rFonts w:ascii="Garamond" w:hAnsi="Garamond" w:cs="Arial"/>
          <w:color w:val="auto"/>
          <w:sz w:val="24"/>
          <w:szCs w:val="24"/>
          <w:lang w:val="pt-PT"/>
        </w:rPr>
        <w:t xml:space="preserve">s </w:t>
      </w:r>
      <w:r w:rsidR="00BA3CCE" w:rsidRPr="003A1174">
        <w:rPr>
          <w:rFonts w:ascii="Garamond" w:hAnsi="Garamond" w:cs="Arial"/>
          <w:color w:val="auto"/>
          <w:sz w:val="24"/>
          <w:szCs w:val="24"/>
          <w:lang w:val="pt-PT"/>
        </w:rPr>
        <w:t>estatísticos</w:t>
      </w:r>
      <w:r w:rsidR="00955D60" w:rsidRPr="003A1174">
        <w:rPr>
          <w:rFonts w:ascii="Garamond" w:hAnsi="Garamond" w:cs="Arial"/>
          <w:color w:val="auto"/>
          <w:sz w:val="24"/>
          <w:szCs w:val="24"/>
          <w:lang w:val="pt-PT"/>
        </w:rPr>
        <w:t xml:space="preserve">. </w:t>
      </w:r>
      <w:r w:rsidR="00FB09CA" w:rsidRPr="003A1174">
        <w:rPr>
          <w:rFonts w:ascii="Garamond" w:hAnsi="Garamond" w:cs="Arial"/>
          <w:color w:val="auto"/>
          <w:sz w:val="24"/>
          <w:szCs w:val="24"/>
          <w:lang w:val="pt-PT"/>
        </w:rPr>
        <w:t>Atual</w:t>
      </w:r>
      <w:r w:rsidR="00955D60" w:rsidRPr="003A1174">
        <w:rPr>
          <w:rFonts w:ascii="Garamond" w:hAnsi="Garamond" w:cs="Arial"/>
          <w:color w:val="auto"/>
          <w:sz w:val="24"/>
          <w:szCs w:val="24"/>
          <w:lang w:val="pt-PT"/>
        </w:rPr>
        <w:t>mente</w:t>
      </w:r>
      <w:r w:rsidRPr="003A1174">
        <w:rPr>
          <w:rFonts w:ascii="Garamond" w:hAnsi="Garamond" w:cs="Arial"/>
          <w:color w:val="auto"/>
          <w:sz w:val="24"/>
          <w:szCs w:val="24"/>
          <w:lang w:val="pt-PT"/>
        </w:rPr>
        <w:t xml:space="preserve">, </w:t>
      </w:r>
      <w:proofErr w:type="gramStart"/>
      <w:r w:rsidRPr="003A1174">
        <w:rPr>
          <w:rFonts w:ascii="Garamond" w:hAnsi="Garamond" w:cs="Arial"/>
          <w:color w:val="auto"/>
          <w:sz w:val="24"/>
          <w:szCs w:val="24"/>
          <w:lang w:val="pt-PT"/>
        </w:rPr>
        <w:t>encontram-</w:t>
      </w:r>
      <w:r w:rsidR="00955D60" w:rsidRPr="003A1174">
        <w:rPr>
          <w:rFonts w:ascii="Garamond" w:hAnsi="Garamond" w:cs="Arial"/>
          <w:color w:val="auto"/>
          <w:sz w:val="24"/>
          <w:szCs w:val="24"/>
          <w:lang w:val="pt-PT"/>
        </w:rPr>
        <w:t>se</w:t>
      </w:r>
      <w:proofErr w:type="gramEnd"/>
      <w:r w:rsidRPr="003A1174">
        <w:rPr>
          <w:rFonts w:ascii="Garamond" w:hAnsi="Garamond" w:cs="Arial"/>
          <w:color w:val="auto"/>
          <w:sz w:val="24"/>
          <w:szCs w:val="24"/>
          <w:lang w:val="pt-PT"/>
        </w:rPr>
        <w:t xml:space="preserve"> em funcionamento, </w:t>
      </w:r>
      <w:r w:rsidR="00955D60" w:rsidRPr="003A1174">
        <w:rPr>
          <w:rFonts w:ascii="Garamond" w:hAnsi="Garamond" w:cs="Arial"/>
          <w:color w:val="auto"/>
          <w:sz w:val="24"/>
          <w:szCs w:val="24"/>
          <w:lang w:val="pt-PT"/>
        </w:rPr>
        <w:t>aproximadamente</w:t>
      </w:r>
      <w:r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289 </w:t>
      </w:r>
      <w:r w:rsidR="002470B1" w:rsidRPr="003A1174">
        <w:rPr>
          <w:rFonts w:ascii="Garamond" w:hAnsi="Garamond" w:cs="Arial"/>
          <w:color w:val="auto"/>
          <w:sz w:val="24"/>
          <w:szCs w:val="24"/>
          <w:lang w:val="pt-PT"/>
        </w:rPr>
        <w:t>Tribunais</w:t>
      </w:r>
      <w:r w:rsidR="00955D60" w:rsidRPr="003A1174">
        <w:rPr>
          <w:rFonts w:ascii="Garamond" w:hAnsi="Garamond" w:cs="Arial"/>
          <w:color w:val="auto"/>
          <w:sz w:val="24"/>
          <w:szCs w:val="24"/>
          <w:lang w:val="pt-PT"/>
        </w:rPr>
        <w:t xml:space="preserve"> d</w:t>
      </w:r>
      <w:r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Paz e</w:t>
      </w:r>
      <w:r w:rsidRPr="003A1174">
        <w:rPr>
          <w:rFonts w:ascii="Garamond" w:hAnsi="Garamond" w:cs="Arial"/>
          <w:color w:val="auto"/>
          <w:sz w:val="24"/>
          <w:szCs w:val="24"/>
          <w:lang w:val="pt-PT"/>
        </w:rPr>
        <w:t xml:space="preserve">m toda </w:t>
      </w:r>
      <w:r w:rsidR="00955D60" w:rsidRPr="003A1174">
        <w:rPr>
          <w:rFonts w:ascii="Garamond" w:hAnsi="Garamond" w:cs="Arial"/>
          <w:color w:val="auto"/>
          <w:sz w:val="24"/>
          <w:szCs w:val="24"/>
          <w:lang w:val="pt-PT"/>
        </w:rPr>
        <w:t xml:space="preserve">a </w:t>
      </w:r>
      <w:r w:rsidR="00C031E1" w:rsidRPr="003A1174">
        <w:rPr>
          <w:rFonts w:ascii="Garamond" w:hAnsi="Garamond" w:cs="Arial"/>
          <w:color w:val="auto"/>
          <w:sz w:val="24"/>
          <w:szCs w:val="24"/>
          <w:lang w:val="pt-PT"/>
        </w:rPr>
        <w:t>República.</w:t>
      </w:r>
      <w:r w:rsidR="00C031E1" w:rsidRPr="003A1174">
        <w:rPr>
          <w:rFonts w:ascii="Garamond" w:hAnsi="Garamond" w:cs="Arial"/>
          <w:bCs/>
          <w:color w:val="auto"/>
          <w:sz w:val="24"/>
          <w:szCs w:val="24"/>
          <w:lang w:val="pt-PT"/>
        </w:rPr>
        <w:t xml:space="preserve"> </w:t>
      </w:r>
      <w:r w:rsidR="00E60158" w:rsidRPr="003A1174">
        <w:rPr>
          <w:rFonts w:ascii="Garamond" w:hAnsi="Garamond" w:cs="Arial"/>
          <w:bCs/>
          <w:color w:val="auto"/>
          <w:sz w:val="24"/>
          <w:szCs w:val="24"/>
          <w:lang w:val="pt-PT"/>
        </w:rPr>
        <w:t xml:space="preserve">É importante </w:t>
      </w:r>
      <w:r w:rsidR="00A12C48">
        <w:rPr>
          <w:rFonts w:ascii="Garamond" w:hAnsi="Garamond" w:cs="Arial"/>
          <w:bCs/>
          <w:color w:val="auto"/>
          <w:sz w:val="24"/>
          <w:szCs w:val="24"/>
          <w:lang w:val="pt-PT"/>
        </w:rPr>
        <w:t xml:space="preserve">destacar </w:t>
      </w:r>
      <w:r w:rsidR="00955D60" w:rsidRPr="003A1174">
        <w:rPr>
          <w:rFonts w:ascii="Garamond" w:hAnsi="Garamond" w:cs="Arial"/>
          <w:bCs/>
          <w:color w:val="auto"/>
          <w:sz w:val="24"/>
          <w:szCs w:val="24"/>
          <w:lang w:val="pt-PT"/>
        </w:rPr>
        <w:t>que</w:t>
      </w:r>
      <w:r w:rsidR="00A12C48">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q</w:t>
      </w:r>
      <w:r w:rsidR="00955D60" w:rsidRPr="003A1174">
        <w:rPr>
          <w:rFonts w:ascii="Garamond" w:hAnsi="Garamond" w:cs="Arial"/>
          <w:bCs/>
          <w:color w:val="auto"/>
          <w:sz w:val="24"/>
          <w:szCs w:val="24"/>
          <w:lang w:val="pt-PT"/>
        </w:rPr>
        <w:t xml:space="preserve">uanto </w:t>
      </w:r>
      <w:r w:rsidR="00E60158" w:rsidRPr="003A1174">
        <w:rPr>
          <w:rFonts w:ascii="Garamond" w:hAnsi="Garamond" w:cs="Arial"/>
          <w:bCs/>
          <w:color w:val="auto"/>
          <w:sz w:val="24"/>
          <w:szCs w:val="24"/>
          <w:lang w:val="pt-PT"/>
        </w:rPr>
        <w:t>ao envio</w:t>
      </w:r>
      <w:r w:rsidR="00955D60"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dos</w:t>
      </w:r>
      <w:r w:rsidR="00955D60" w:rsidRPr="003A1174">
        <w:rPr>
          <w:rFonts w:ascii="Garamond" w:hAnsi="Garamond" w:cs="Arial"/>
          <w:bCs/>
          <w:color w:val="auto"/>
          <w:sz w:val="24"/>
          <w:szCs w:val="24"/>
          <w:lang w:val="pt-PT"/>
        </w:rPr>
        <w:t xml:space="preserve"> </w:t>
      </w:r>
      <w:r w:rsidR="00C01806" w:rsidRPr="003A1174">
        <w:rPr>
          <w:rFonts w:ascii="Garamond" w:hAnsi="Garamond" w:cs="Arial"/>
          <w:bCs/>
          <w:color w:val="auto"/>
          <w:sz w:val="24"/>
          <w:szCs w:val="24"/>
          <w:lang w:val="pt-PT"/>
        </w:rPr>
        <w:t>Formulário</w:t>
      </w:r>
      <w:r w:rsidR="00955D60" w:rsidRPr="003A1174">
        <w:rPr>
          <w:rFonts w:ascii="Garamond" w:hAnsi="Garamond" w:cs="Arial"/>
          <w:bCs/>
          <w:color w:val="auto"/>
          <w:sz w:val="24"/>
          <w:szCs w:val="24"/>
          <w:lang w:val="pt-PT"/>
        </w:rPr>
        <w:t xml:space="preserve">s de </w:t>
      </w:r>
      <w:r w:rsidR="00077461" w:rsidRPr="003A1174">
        <w:rPr>
          <w:rFonts w:ascii="Garamond" w:hAnsi="Garamond" w:cs="Arial"/>
          <w:bCs/>
          <w:color w:val="auto"/>
          <w:sz w:val="24"/>
          <w:szCs w:val="24"/>
          <w:lang w:val="pt-PT"/>
        </w:rPr>
        <w:t>Registo</w:t>
      </w:r>
      <w:r w:rsidR="00955D60" w:rsidRPr="003A1174">
        <w:rPr>
          <w:rFonts w:ascii="Garamond" w:hAnsi="Garamond" w:cs="Arial"/>
          <w:bCs/>
          <w:color w:val="auto"/>
          <w:sz w:val="24"/>
          <w:szCs w:val="24"/>
          <w:lang w:val="pt-PT"/>
        </w:rPr>
        <w:t xml:space="preserve"> de </w:t>
      </w:r>
      <w:r w:rsidR="000350B1" w:rsidRPr="003A1174">
        <w:rPr>
          <w:rFonts w:ascii="Garamond" w:hAnsi="Garamond" w:cs="Arial"/>
          <w:bCs/>
          <w:color w:val="auto"/>
          <w:sz w:val="24"/>
          <w:szCs w:val="24"/>
          <w:lang w:val="pt-PT"/>
        </w:rPr>
        <w:t>Violência</w:t>
      </w:r>
      <w:r w:rsidR="005E2542" w:rsidRPr="003A117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00E60158" w:rsidRPr="003A1174">
        <w:rPr>
          <w:rFonts w:ascii="Garamond" w:hAnsi="Garamond" w:cs="Arial"/>
          <w:bCs/>
          <w:color w:val="auto"/>
          <w:sz w:val="24"/>
          <w:szCs w:val="24"/>
          <w:lang w:val="pt-PT"/>
        </w:rPr>
        <w:t xml:space="preserve">foi </w:t>
      </w:r>
      <w:r w:rsidR="005E2542" w:rsidRPr="003A1174">
        <w:rPr>
          <w:rFonts w:ascii="Garamond" w:hAnsi="Garamond" w:cs="Arial"/>
          <w:bCs/>
          <w:color w:val="auto"/>
          <w:sz w:val="24"/>
          <w:szCs w:val="24"/>
          <w:lang w:val="pt-PT"/>
        </w:rPr>
        <w:t>emitida</w:t>
      </w:r>
      <w:r w:rsidR="00E60158" w:rsidRPr="003A1174">
        <w:rPr>
          <w:rFonts w:ascii="Garamond" w:hAnsi="Garamond" w:cs="Arial"/>
          <w:bCs/>
          <w:color w:val="auto"/>
          <w:sz w:val="24"/>
          <w:szCs w:val="24"/>
          <w:lang w:val="pt-PT"/>
        </w:rPr>
        <w:t xml:space="preserve"> um</w:t>
      </w:r>
      <w:r w:rsidR="00955D60" w:rsidRPr="003A1174">
        <w:rPr>
          <w:rFonts w:ascii="Garamond" w:hAnsi="Garamond" w:cs="Arial"/>
          <w:bCs/>
          <w:color w:val="auto"/>
          <w:sz w:val="24"/>
          <w:szCs w:val="24"/>
          <w:lang w:val="pt-PT"/>
        </w:rPr>
        <w:t xml:space="preserve">a </w:t>
      </w:r>
      <w:r w:rsidR="005E2542" w:rsidRPr="003A1174">
        <w:rPr>
          <w:rFonts w:ascii="Garamond" w:hAnsi="Garamond" w:cs="Arial"/>
          <w:bCs/>
          <w:color w:val="auto"/>
          <w:sz w:val="24"/>
          <w:szCs w:val="24"/>
          <w:lang w:val="pt-PT"/>
        </w:rPr>
        <w:t>c</w:t>
      </w:r>
      <w:r w:rsidR="00955D60" w:rsidRPr="003A1174">
        <w:rPr>
          <w:rFonts w:ascii="Garamond" w:hAnsi="Garamond" w:cs="Arial"/>
          <w:bCs/>
          <w:color w:val="auto"/>
          <w:sz w:val="24"/>
          <w:szCs w:val="24"/>
          <w:lang w:val="pt-PT"/>
        </w:rPr>
        <w:t>ircular</w:t>
      </w:r>
      <w:r w:rsidR="00E60158" w:rsidRPr="003A1174">
        <w:rPr>
          <w:rFonts w:ascii="Garamond" w:hAnsi="Garamond" w:cs="Arial"/>
          <w:bCs/>
          <w:color w:val="auto"/>
          <w:sz w:val="24"/>
          <w:szCs w:val="24"/>
          <w:lang w:val="pt-PT"/>
        </w:rPr>
        <w:t xml:space="preserve"> a </w:t>
      </w:r>
      <w:r w:rsidR="00A12C48">
        <w:rPr>
          <w:rFonts w:ascii="Garamond" w:hAnsi="Garamond" w:cs="Arial"/>
          <w:bCs/>
          <w:color w:val="auto"/>
          <w:sz w:val="24"/>
          <w:szCs w:val="24"/>
          <w:lang w:val="pt-PT"/>
        </w:rPr>
        <w:t xml:space="preserve">lembrar </w:t>
      </w:r>
      <w:r w:rsidR="00E60158" w:rsidRPr="003A1174">
        <w:rPr>
          <w:rFonts w:ascii="Garamond" w:hAnsi="Garamond" w:cs="Arial"/>
          <w:bCs/>
          <w:color w:val="auto"/>
          <w:sz w:val="24"/>
          <w:szCs w:val="24"/>
          <w:lang w:val="pt-PT"/>
        </w:rPr>
        <w:t xml:space="preserve">a sua </w:t>
      </w:r>
      <w:r w:rsidR="00EB2F44" w:rsidRPr="003A1174">
        <w:rPr>
          <w:rFonts w:ascii="Garamond" w:hAnsi="Garamond" w:cs="Arial"/>
          <w:bCs/>
          <w:color w:val="auto"/>
          <w:sz w:val="24"/>
          <w:szCs w:val="24"/>
          <w:lang w:val="pt-PT"/>
        </w:rPr>
        <w:t>obrigatoriedade</w:t>
      </w:r>
      <w:r w:rsidR="00955D60" w:rsidRPr="003A1174">
        <w:rPr>
          <w:rFonts w:ascii="Garamond" w:hAnsi="Garamond" w:cs="Arial"/>
          <w:bCs/>
          <w:color w:val="auto"/>
          <w:sz w:val="24"/>
          <w:szCs w:val="24"/>
          <w:lang w:val="pt-PT"/>
        </w:rPr>
        <w:t xml:space="preserve">. </w:t>
      </w:r>
    </w:p>
    <w:p w:rsidR="00955D60" w:rsidRPr="003A1174" w:rsidRDefault="00955D60" w:rsidP="008719D4">
      <w:pPr>
        <w:pStyle w:val="Predeterminado"/>
        <w:spacing w:after="24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 xml:space="preserve">Por </w:t>
      </w:r>
      <w:r w:rsidR="001F2F8B" w:rsidRPr="003A1174">
        <w:rPr>
          <w:rFonts w:ascii="Garamond" w:hAnsi="Garamond" w:cs="Arial"/>
          <w:bCs/>
          <w:color w:val="auto"/>
          <w:sz w:val="24"/>
          <w:szCs w:val="24"/>
          <w:lang w:val="pt-PT"/>
        </w:rPr>
        <w:t>outro</w:t>
      </w:r>
      <w:r w:rsidRPr="003A1174">
        <w:rPr>
          <w:rFonts w:ascii="Garamond" w:hAnsi="Garamond" w:cs="Arial"/>
          <w:bCs/>
          <w:color w:val="auto"/>
          <w:sz w:val="24"/>
          <w:szCs w:val="24"/>
          <w:lang w:val="pt-PT"/>
        </w:rPr>
        <w:t xml:space="preserve"> lado, a </w:t>
      </w:r>
      <w:r w:rsidR="00D75A07" w:rsidRPr="003A1174">
        <w:rPr>
          <w:rFonts w:ascii="Garamond" w:hAnsi="Garamond" w:cs="Arial"/>
          <w:bCs/>
          <w:color w:val="auto"/>
          <w:sz w:val="24"/>
          <w:szCs w:val="24"/>
          <w:lang w:val="pt-PT"/>
        </w:rPr>
        <w:t>Secretaria</w:t>
      </w:r>
      <w:r w:rsidRPr="003A1174">
        <w:rPr>
          <w:rFonts w:ascii="Garamond" w:hAnsi="Garamond" w:cs="Arial"/>
          <w:bCs/>
          <w:color w:val="auto"/>
          <w:sz w:val="24"/>
          <w:szCs w:val="24"/>
          <w:lang w:val="pt-PT"/>
        </w:rPr>
        <w:t xml:space="preserve"> de Género d</w:t>
      </w:r>
      <w:r w:rsidR="00EF1F27">
        <w:rPr>
          <w:rFonts w:ascii="Garamond" w:hAnsi="Garamond" w:cs="Arial"/>
          <w:bCs/>
          <w:color w:val="auto"/>
          <w:sz w:val="24"/>
          <w:szCs w:val="24"/>
          <w:lang w:val="pt-PT"/>
        </w:rPr>
        <w:t>o</w:t>
      </w:r>
      <w:r w:rsidRPr="003A1174">
        <w:rPr>
          <w:rFonts w:ascii="Garamond" w:hAnsi="Garamond" w:cs="Arial"/>
          <w:bCs/>
          <w:color w:val="auto"/>
          <w:sz w:val="24"/>
          <w:szCs w:val="24"/>
          <w:lang w:val="pt-PT"/>
        </w:rPr>
        <w:t xml:space="preserve"> Suprem</w:t>
      </w:r>
      <w:r w:rsidR="00EF1F27">
        <w:rPr>
          <w:rFonts w:ascii="Garamond" w:hAnsi="Garamond" w:cs="Arial"/>
          <w:bCs/>
          <w:color w:val="auto"/>
          <w:sz w:val="24"/>
          <w:szCs w:val="24"/>
          <w:lang w:val="pt-PT"/>
        </w:rPr>
        <w:t>o Tribunal</w:t>
      </w:r>
      <w:r w:rsidRPr="003A1174">
        <w:rPr>
          <w:rFonts w:ascii="Garamond" w:hAnsi="Garamond" w:cs="Arial"/>
          <w:bCs/>
          <w:color w:val="auto"/>
          <w:sz w:val="24"/>
          <w:szCs w:val="24"/>
          <w:lang w:val="pt-PT"/>
        </w:rPr>
        <w:t xml:space="preserve"> de </w:t>
      </w:r>
      <w:r w:rsidR="00FC1F7F" w:rsidRPr="003A1174">
        <w:rPr>
          <w:rFonts w:ascii="Garamond" w:hAnsi="Garamond" w:cs="Arial"/>
          <w:bCs/>
          <w:color w:val="auto"/>
          <w:sz w:val="24"/>
          <w:szCs w:val="24"/>
          <w:lang w:val="pt-PT"/>
        </w:rPr>
        <w:t>Justiça</w:t>
      </w:r>
      <w:r w:rsidRPr="003A1174">
        <w:rPr>
          <w:rFonts w:ascii="Garamond" w:hAnsi="Garamond" w:cs="Arial"/>
          <w:bCs/>
          <w:color w:val="auto"/>
          <w:sz w:val="24"/>
          <w:szCs w:val="24"/>
          <w:lang w:val="pt-PT"/>
        </w:rPr>
        <w:t xml:space="preserve"> c</w:t>
      </w:r>
      <w:r w:rsidR="00E60158" w:rsidRPr="003A1174">
        <w:rPr>
          <w:rFonts w:ascii="Garamond" w:hAnsi="Garamond" w:cs="Arial"/>
          <w:bCs/>
          <w:color w:val="auto"/>
          <w:sz w:val="24"/>
          <w:szCs w:val="24"/>
          <w:lang w:val="pt-PT"/>
        </w:rPr>
        <w:t>o</w:t>
      </w:r>
      <w:r w:rsidRPr="003A1174">
        <w:rPr>
          <w:rFonts w:ascii="Garamond" w:hAnsi="Garamond" w:cs="Arial"/>
          <w:bCs/>
          <w:color w:val="auto"/>
          <w:sz w:val="24"/>
          <w:szCs w:val="24"/>
          <w:lang w:val="pt-PT"/>
        </w:rPr>
        <w:t>nta co</w:t>
      </w:r>
      <w:r w:rsidR="00E60158" w:rsidRPr="003A1174">
        <w:rPr>
          <w:rFonts w:ascii="Garamond" w:hAnsi="Garamond" w:cs="Arial"/>
          <w:bCs/>
          <w:color w:val="auto"/>
          <w:sz w:val="24"/>
          <w:szCs w:val="24"/>
          <w:lang w:val="pt-PT"/>
        </w:rPr>
        <w:t xml:space="preserve">m o </w:t>
      </w:r>
      <w:r w:rsidR="00175015" w:rsidRPr="003A1174">
        <w:rPr>
          <w:rFonts w:ascii="Garamond" w:hAnsi="Garamond" w:cs="Arial"/>
          <w:bCs/>
          <w:color w:val="auto"/>
          <w:sz w:val="24"/>
          <w:szCs w:val="24"/>
          <w:lang w:val="pt-PT"/>
        </w:rPr>
        <w:t>Observatório</w:t>
      </w:r>
      <w:r w:rsidRPr="003A1174">
        <w:rPr>
          <w:rFonts w:ascii="Garamond" w:hAnsi="Garamond" w:cs="Arial"/>
          <w:bCs/>
          <w:color w:val="auto"/>
          <w:sz w:val="24"/>
          <w:szCs w:val="24"/>
          <w:lang w:val="pt-PT"/>
        </w:rPr>
        <w:t xml:space="preserve"> de </w:t>
      </w:r>
      <w:r w:rsidR="00FC1F7F" w:rsidRPr="003A1174">
        <w:rPr>
          <w:rFonts w:ascii="Garamond" w:hAnsi="Garamond" w:cs="Arial"/>
          <w:bCs/>
          <w:color w:val="auto"/>
          <w:sz w:val="24"/>
          <w:szCs w:val="24"/>
          <w:lang w:val="pt-PT"/>
        </w:rPr>
        <w:t>Justiça</w:t>
      </w:r>
      <w:r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Pr="003A1174">
        <w:rPr>
          <w:rFonts w:ascii="Garamond" w:hAnsi="Garamond" w:cs="Arial"/>
          <w:bCs/>
          <w:color w:val="auto"/>
          <w:sz w:val="24"/>
          <w:szCs w:val="24"/>
          <w:lang w:val="pt-PT"/>
        </w:rPr>
        <w:t xml:space="preserve"> Género, que </w:t>
      </w:r>
      <w:r w:rsidR="00FB09CA" w:rsidRPr="003A1174">
        <w:rPr>
          <w:rFonts w:ascii="Garamond" w:hAnsi="Garamond" w:cs="Arial"/>
          <w:bCs/>
          <w:color w:val="auto"/>
          <w:sz w:val="24"/>
          <w:szCs w:val="24"/>
          <w:lang w:val="pt-PT"/>
        </w:rPr>
        <w:t>constitui</w:t>
      </w:r>
      <w:r w:rsidR="00E60158"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a principal v</w:t>
      </w:r>
      <w:r w:rsidR="00E60158" w:rsidRPr="003A1174">
        <w:rPr>
          <w:rFonts w:ascii="Garamond" w:hAnsi="Garamond" w:cs="Arial"/>
          <w:bCs/>
          <w:color w:val="auto"/>
          <w:sz w:val="24"/>
          <w:szCs w:val="24"/>
          <w:lang w:val="pt-PT"/>
        </w:rPr>
        <w:t>i</w:t>
      </w:r>
      <w:r w:rsidRPr="003A1174">
        <w:rPr>
          <w:rFonts w:ascii="Garamond" w:hAnsi="Garamond" w:cs="Arial"/>
          <w:bCs/>
          <w:color w:val="auto"/>
          <w:sz w:val="24"/>
          <w:szCs w:val="24"/>
          <w:lang w:val="pt-PT"/>
        </w:rPr>
        <w:t xml:space="preserve">a de </w:t>
      </w:r>
      <w:r w:rsidR="00886D6A" w:rsidRPr="003A1174">
        <w:rPr>
          <w:rFonts w:ascii="Garamond" w:hAnsi="Garamond" w:cs="Arial"/>
          <w:bCs/>
          <w:color w:val="auto"/>
          <w:sz w:val="24"/>
          <w:szCs w:val="24"/>
          <w:lang w:val="pt-PT"/>
        </w:rPr>
        <w:t>acesso</w:t>
      </w:r>
      <w:r w:rsidRPr="003A1174">
        <w:rPr>
          <w:rFonts w:ascii="Garamond" w:hAnsi="Garamond" w:cs="Arial"/>
          <w:bCs/>
          <w:color w:val="auto"/>
          <w:sz w:val="24"/>
          <w:szCs w:val="24"/>
          <w:lang w:val="pt-PT"/>
        </w:rPr>
        <w:t xml:space="preserve"> </w:t>
      </w:r>
      <w:r w:rsidR="00BB2B00" w:rsidRPr="003A1174">
        <w:rPr>
          <w:rFonts w:ascii="Garamond" w:hAnsi="Garamond" w:cs="Arial"/>
          <w:bCs/>
          <w:color w:val="auto"/>
          <w:sz w:val="24"/>
          <w:szCs w:val="24"/>
          <w:lang w:val="pt-PT"/>
        </w:rPr>
        <w:t>à</w:t>
      </w:r>
      <w:r w:rsidRPr="003A1174">
        <w:rPr>
          <w:rFonts w:ascii="Garamond" w:hAnsi="Garamond" w:cs="Arial"/>
          <w:bCs/>
          <w:color w:val="auto"/>
          <w:sz w:val="24"/>
          <w:szCs w:val="24"/>
          <w:lang w:val="pt-PT"/>
        </w:rPr>
        <w:t xml:space="preserve"> </w:t>
      </w:r>
      <w:r w:rsidR="0017447A" w:rsidRPr="003A1174">
        <w:rPr>
          <w:rFonts w:ascii="Garamond" w:hAnsi="Garamond" w:cs="Arial"/>
          <w:bCs/>
          <w:color w:val="auto"/>
          <w:sz w:val="24"/>
          <w:szCs w:val="24"/>
          <w:lang w:val="pt-PT"/>
        </w:rPr>
        <w:t>informação</w:t>
      </w:r>
      <w:r w:rsidRPr="003A1174">
        <w:rPr>
          <w:rFonts w:ascii="Garamond" w:hAnsi="Garamond" w:cs="Arial"/>
          <w:bCs/>
          <w:color w:val="auto"/>
          <w:sz w:val="24"/>
          <w:szCs w:val="24"/>
          <w:lang w:val="pt-PT"/>
        </w:rPr>
        <w:t xml:space="preserve"> sobre </w:t>
      </w:r>
      <w:r w:rsidR="000350B1" w:rsidRPr="003A1174">
        <w:rPr>
          <w:rFonts w:ascii="Garamond" w:hAnsi="Garamond" w:cs="Arial"/>
          <w:bCs/>
          <w:color w:val="auto"/>
          <w:sz w:val="24"/>
          <w:szCs w:val="24"/>
          <w:lang w:val="pt-PT"/>
        </w:rPr>
        <w:t>violência</w:t>
      </w:r>
      <w:r w:rsidRPr="003A1174">
        <w:rPr>
          <w:rFonts w:ascii="Garamond" w:hAnsi="Garamond" w:cs="Arial"/>
          <w:bCs/>
          <w:color w:val="auto"/>
          <w:sz w:val="24"/>
          <w:szCs w:val="24"/>
          <w:lang w:val="pt-PT"/>
        </w:rPr>
        <w:t xml:space="preserve"> de género </w:t>
      </w:r>
      <w:r w:rsidR="000672E8" w:rsidRPr="003A1174">
        <w:rPr>
          <w:rFonts w:ascii="Garamond" w:hAnsi="Garamond" w:cs="Arial"/>
          <w:bCs/>
          <w:color w:val="auto"/>
          <w:sz w:val="24"/>
          <w:szCs w:val="24"/>
          <w:lang w:val="pt-PT"/>
        </w:rPr>
        <w:t>e</w:t>
      </w:r>
      <w:r w:rsidRPr="003A1174">
        <w:rPr>
          <w:rFonts w:ascii="Garamond" w:hAnsi="Garamond" w:cs="Arial"/>
          <w:bCs/>
          <w:color w:val="auto"/>
          <w:sz w:val="24"/>
          <w:szCs w:val="24"/>
          <w:lang w:val="pt-PT"/>
        </w:rPr>
        <w:t xml:space="preserve"> </w:t>
      </w:r>
      <w:r w:rsidR="00886D6A" w:rsidRPr="003A1174">
        <w:rPr>
          <w:rFonts w:ascii="Garamond" w:hAnsi="Garamond" w:cs="Arial"/>
          <w:bCs/>
          <w:color w:val="auto"/>
          <w:sz w:val="24"/>
          <w:szCs w:val="24"/>
          <w:lang w:val="pt-PT"/>
        </w:rPr>
        <w:t>acesso</w:t>
      </w:r>
      <w:r w:rsidRPr="003A1174">
        <w:rPr>
          <w:rFonts w:ascii="Garamond" w:hAnsi="Garamond" w:cs="Arial"/>
          <w:bCs/>
          <w:color w:val="auto"/>
          <w:sz w:val="24"/>
          <w:szCs w:val="24"/>
          <w:lang w:val="pt-PT"/>
        </w:rPr>
        <w:t xml:space="preserve"> </w:t>
      </w:r>
      <w:r w:rsidR="00BB2B00" w:rsidRPr="003A1174">
        <w:rPr>
          <w:rFonts w:ascii="Garamond" w:hAnsi="Garamond" w:cs="Arial"/>
          <w:bCs/>
          <w:color w:val="auto"/>
          <w:sz w:val="24"/>
          <w:szCs w:val="24"/>
          <w:lang w:val="pt-PT"/>
        </w:rPr>
        <w:t>à</w:t>
      </w:r>
      <w:r w:rsidRPr="003A1174">
        <w:rPr>
          <w:rFonts w:ascii="Garamond" w:hAnsi="Garamond" w:cs="Arial"/>
          <w:bCs/>
          <w:color w:val="auto"/>
          <w:sz w:val="24"/>
          <w:szCs w:val="24"/>
          <w:lang w:val="pt-PT"/>
        </w:rPr>
        <w:t xml:space="preserve"> </w:t>
      </w:r>
      <w:r w:rsidR="00FC1F7F" w:rsidRPr="003A1174">
        <w:rPr>
          <w:rFonts w:ascii="Garamond" w:hAnsi="Garamond" w:cs="Arial"/>
          <w:bCs/>
          <w:color w:val="auto"/>
          <w:sz w:val="24"/>
          <w:szCs w:val="24"/>
          <w:lang w:val="pt-PT"/>
        </w:rPr>
        <w:t>justiça</w:t>
      </w:r>
      <w:r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das</w:t>
      </w:r>
      <w:r w:rsidRPr="003A1174">
        <w:rPr>
          <w:rFonts w:ascii="Garamond" w:hAnsi="Garamond" w:cs="Arial"/>
          <w:bCs/>
          <w:color w:val="auto"/>
          <w:sz w:val="24"/>
          <w:szCs w:val="24"/>
          <w:lang w:val="pt-PT"/>
        </w:rPr>
        <w:t xml:space="preserve"> </w:t>
      </w:r>
      <w:r w:rsidR="00054EE0" w:rsidRPr="003A1174">
        <w:rPr>
          <w:rFonts w:ascii="Garamond" w:hAnsi="Garamond" w:cs="Arial"/>
          <w:bCs/>
          <w:color w:val="auto"/>
          <w:sz w:val="24"/>
          <w:szCs w:val="24"/>
          <w:lang w:val="pt-PT"/>
        </w:rPr>
        <w:t>mulheres</w:t>
      </w:r>
      <w:r w:rsidRPr="003A1174">
        <w:rPr>
          <w:rFonts w:ascii="Garamond" w:hAnsi="Garamond" w:cs="Arial"/>
          <w:bCs/>
          <w:color w:val="auto"/>
          <w:sz w:val="24"/>
          <w:szCs w:val="24"/>
          <w:lang w:val="pt-PT"/>
        </w:rPr>
        <w:t xml:space="preserve">, </w:t>
      </w:r>
      <w:r w:rsidR="00E60158" w:rsidRPr="003A1174">
        <w:rPr>
          <w:rFonts w:ascii="Garamond" w:hAnsi="Garamond" w:cs="Arial"/>
          <w:bCs/>
          <w:color w:val="auto"/>
          <w:sz w:val="24"/>
          <w:szCs w:val="24"/>
          <w:lang w:val="pt-PT"/>
        </w:rPr>
        <w:t xml:space="preserve">no que diz </w:t>
      </w:r>
      <w:r w:rsidRPr="003A1174">
        <w:rPr>
          <w:rFonts w:ascii="Garamond" w:hAnsi="Garamond" w:cs="Arial"/>
          <w:bCs/>
          <w:color w:val="auto"/>
          <w:sz w:val="24"/>
          <w:szCs w:val="24"/>
          <w:lang w:val="pt-PT"/>
        </w:rPr>
        <w:t>respe</w:t>
      </w:r>
      <w:r w:rsidR="00E60158" w:rsidRPr="003A1174">
        <w:rPr>
          <w:rFonts w:ascii="Garamond" w:hAnsi="Garamond" w:cs="Arial"/>
          <w:bCs/>
          <w:color w:val="auto"/>
          <w:sz w:val="24"/>
          <w:szCs w:val="24"/>
          <w:lang w:val="pt-PT"/>
        </w:rPr>
        <w:t>ito</w:t>
      </w:r>
      <w:r w:rsidR="00EF1F27">
        <w:rPr>
          <w:rFonts w:ascii="Garamond" w:hAnsi="Garamond" w:cs="Arial"/>
          <w:bCs/>
          <w:color w:val="auto"/>
          <w:sz w:val="24"/>
          <w:szCs w:val="24"/>
          <w:lang w:val="pt-PT"/>
        </w:rPr>
        <w:t xml:space="preserve"> ao referido tribunal</w:t>
      </w:r>
      <w:r w:rsidRPr="003A1174">
        <w:rPr>
          <w:rFonts w:ascii="Garamond" w:hAnsi="Garamond" w:cs="Arial"/>
          <w:bCs/>
          <w:color w:val="auto"/>
          <w:sz w:val="24"/>
          <w:szCs w:val="24"/>
          <w:lang w:val="pt-PT"/>
        </w:rPr>
        <w:t>.</w:t>
      </w:r>
      <w:r w:rsidRPr="003A1174">
        <w:rPr>
          <w:rStyle w:val="Refdenotaalpie"/>
          <w:rFonts w:ascii="Garamond" w:hAnsi="Garamond" w:cs="Arial"/>
          <w:bCs/>
          <w:color w:val="auto"/>
          <w:sz w:val="24"/>
          <w:szCs w:val="24"/>
        </w:rPr>
        <w:footnoteReference w:id="129"/>
      </w:r>
    </w:p>
    <w:p w:rsidR="00955D60" w:rsidRPr="003A1174" w:rsidRDefault="00955D60" w:rsidP="008719D4">
      <w:pPr>
        <w:pStyle w:val="Predeterminado"/>
        <w:spacing w:after="24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Por s</w:t>
      </w:r>
      <w:r w:rsidR="00E60158" w:rsidRPr="003A1174">
        <w:rPr>
          <w:rFonts w:ascii="Garamond" w:hAnsi="Garamond" w:cs="Arial"/>
          <w:bCs/>
          <w:color w:val="auto"/>
          <w:sz w:val="24"/>
          <w:szCs w:val="24"/>
          <w:lang w:val="pt-PT"/>
        </w:rPr>
        <w:t>e</w:t>
      </w:r>
      <w:r w:rsidRPr="003A1174">
        <w:rPr>
          <w:rFonts w:ascii="Garamond" w:hAnsi="Garamond" w:cs="Arial"/>
          <w:bCs/>
          <w:color w:val="auto"/>
          <w:sz w:val="24"/>
          <w:szCs w:val="24"/>
          <w:lang w:val="pt-PT"/>
        </w:rPr>
        <w:t xml:space="preserve">u </w:t>
      </w:r>
      <w:r w:rsidR="00E60158" w:rsidRPr="003A1174">
        <w:rPr>
          <w:rFonts w:ascii="Garamond" w:hAnsi="Garamond" w:cs="Arial"/>
          <w:bCs/>
          <w:color w:val="auto"/>
          <w:sz w:val="24"/>
          <w:szCs w:val="24"/>
          <w:lang w:val="pt-PT"/>
        </w:rPr>
        <w:t xml:space="preserve">lado, os </w:t>
      </w:r>
      <w:r w:rsidR="00C246B4" w:rsidRPr="003A1174">
        <w:rPr>
          <w:rFonts w:ascii="Garamond" w:hAnsi="Garamond" w:cs="Arial"/>
          <w:bCs/>
          <w:color w:val="auto"/>
          <w:sz w:val="24"/>
          <w:szCs w:val="24"/>
          <w:lang w:val="pt-PT"/>
        </w:rPr>
        <w:t>gabinete</w:t>
      </w:r>
      <w:r w:rsidRPr="003A1174">
        <w:rPr>
          <w:rFonts w:ascii="Garamond" w:hAnsi="Garamond" w:cs="Arial"/>
          <w:bCs/>
          <w:color w:val="auto"/>
          <w:sz w:val="24"/>
          <w:szCs w:val="24"/>
          <w:lang w:val="pt-PT"/>
        </w:rPr>
        <w:t xml:space="preserve">s de </w:t>
      </w:r>
      <w:r w:rsidR="00A225E2">
        <w:rPr>
          <w:rFonts w:ascii="Garamond" w:hAnsi="Garamond" w:cs="Arial"/>
          <w:bCs/>
          <w:color w:val="auto"/>
          <w:sz w:val="24"/>
          <w:szCs w:val="24"/>
          <w:lang w:val="pt-PT"/>
        </w:rPr>
        <w:t xml:space="preserve">tratamento </w:t>
      </w:r>
      <w:r w:rsidR="005E2542" w:rsidRPr="003A1174">
        <w:rPr>
          <w:rFonts w:ascii="Garamond" w:hAnsi="Garamond" w:cs="Arial"/>
          <w:bCs/>
          <w:color w:val="auto"/>
          <w:sz w:val="24"/>
          <w:szCs w:val="24"/>
          <w:lang w:val="pt-PT"/>
        </w:rPr>
        <w:t>especializad</w:t>
      </w:r>
      <w:r w:rsidR="00A225E2">
        <w:rPr>
          <w:rFonts w:ascii="Garamond" w:hAnsi="Garamond" w:cs="Arial"/>
          <w:bCs/>
          <w:color w:val="auto"/>
          <w:sz w:val="24"/>
          <w:szCs w:val="24"/>
          <w:lang w:val="pt-PT"/>
        </w:rPr>
        <w:t>o</w:t>
      </w:r>
      <w:r w:rsidR="005E2542"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 xml:space="preserve">a </w:t>
      </w:r>
      <w:r w:rsidR="003F012B" w:rsidRPr="003A1174">
        <w:rPr>
          <w:rFonts w:ascii="Garamond" w:hAnsi="Garamond" w:cs="Arial"/>
          <w:bCs/>
          <w:color w:val="auto"/>
          <w:sz w:val="24"/>
          <w:szCs w:val="24"/>
          <w:lang w:val="pt-PT"/>
        </w:rPr>
        <w:t>vítima</w:t>
      </w:r>
      <w:r w:rsidRPr="003A1174">
        <w:rPr>
          <w:rFonts w:ascii="Garamond" w:hAnsi="Garamond" w:cs="Arial"/>
          <w:bCs/>
          <w:color w:val="auto"/>
          <w:sz w:val="24"/>
          <w:szCs w:val="24"/>
          <w:lang w:val="pt-PT"/>
        </w:rPr>
        <w:t xml:space="preserve">s de </w:t>
      </w:r>
      <w:r w:rsidR="000350B1" w:rsidRPr="003A1174">
        <w:rPr>
          <w:rFonts w:ascii="Garamond" w:hAnsi="Garamond" w:cs="Arial"/>
          <w:bCs/>
          <w:color w:val="auto"/>
          <w:sz w:val="24"/>
          <w:szCs w:val="24"/>
          <w:lang w:val="pt-PT"/>
        </w:rPr>
        <w:t>violência</w:t>
      </w:r>
      <w:r w:rsidRPr="003A1174">
        <w:rPr>
          <w:rFonts w:ascii="Garamond" w:hAnsi="Garamond" w:cs="Arial"/>
          <w:bCs/>
          <w:color w:val="auto"/>
          <w:sz w:val="24"/>
          <w:szCs w:val="24"/>
          <w:lang w:val="pt-PT"/>
        </w:rPr>
        <w:t xml:space="preserve"> </w:t>
      </w:r>
      <w:r w:rsidR="00BB2B00" w:rsidRPr="003A1174">
        <w:rPr>
          <w:rFonts w:ascii="Garamond" w:hAnsi="Garamond" w:cs="Arial"/>
          <w:bCs/>
          <w:color w:val="auto"/>
          <w:sz w:val="24"/>
          <w:szCs w:val="24"/>
          <w:lang w:val="pt-PT"/>
        </w:rPr>
        <w:t>contra a</w:t>
      </w:r>
      <w:r w:rsidRPr="003A1174">
        <w:rPr>
          <w:rFonts w:ascii="Garamond" w:hAnsi="Garamond" w:cs="Arial"/>
          <w:bCs/>
          <w:color w:val="auto"/>
          <w:sz w:val="24"/>
          <w:szCs w:val="24"/>
          <w:lang w:val="pt-PT"/>
        </w:rPr>
        <w:t xml:space="preserve"> </w:t>
      </w:r>
      <w:r w:rsidR="00AF192F" w:rsidRPr="003A1174">
        <w:rPr>
          <w:rFonts w:ascii="Garamond" w:hAnsi="Garamond" w:cs="Arial"/>
          <w:bCs/>
          <w:color w:val="auto"/>
          <w:sz w:val="24"/>
          <w:szCs w:val="24"/>
          <w:lang w:val="pt-PT"/>
        </w:rPr>
        <w:t>mulher</w:t>
      </w:r>
      <w:r w:rsidRPr="003A1174">
        <w:rPr>
          <w:rFonts w:ascii="Garamond" w:hAnsi="Garamond" w:cs="Arial"/>
          <w:bCs/>
          <w:color w:val="auto"/>
          <w:sz w:val="24"/>
          <w:szCs w:val="24"/>
          <w:lang w:val="pt-PT"/>
        </w:rPr>
        <w:t xml:space="preserve">, </w:t>
      </w:r>
      <w:r w:rsidR="00E60158" w:rsidRPr="003A1174">
        <w:rPr>
          <w:rFonts w:ascii="Garamond" w:hAnsi="Garamond" w:cs="Arial"/>
          <w:bCs/>
          <w:color w:val="auto"/>
          <w:sz w:val="24"/>
          <w:szCs w:val="24"/>
          <w:lang w:val="pt-PT"/>
        </w:rPr>
        <w:t xml:space="preserve">crianças e </w:t>
      </w:r>
      <w:r w:rsidRPr="003A1174">
        <w:rPr>
          <w:rFonts w:ascii="Garamond" w:hAnsi="Garamond" w:cs="Arial"/>
          <w:bCs/>
          <w:color w:val="auto"/>
          <w:sz w:val="24"/>
          <w:szCs w:val="24"/>
          <w:lang w:val="pt-PT"/>
        </w:rPr>
        <w:t>adolescentes</w:t>
      </w:r>
      <w:r w:rsidR="005E2542" w:rsidRPr="003A1174">
        <w:rPr>
          <w:rFonts w:ascii="Garamond" w:hAnsi="Garamond" w:cs="Arial"/>
          <w:bCs/>
          <w:color w:val="auto"/>
          <w:sz w:val="24"/>
          <w:szCs w:val="24"/>
          <w:lang w:val="pt-PT"/>
        </w:rPr>
        <w:t>,</w:t>
      </w:r>
      <w:r w:rsidRPr="003A1174">
        <w:rPr>
          <w:rFonts w:ascii="Garamond" w:hAnsi="Garamond" w:cs="Arial"/>
          <w:bCs/>
          <w:color w:val="auto"/>
          <w:sz w:val="24"/>
          <w:szCs w:val="24"/>
          <w:lang w:val="pt-PT"/>
        </w:rPr>
        <w:t xml:space="preserve"> </w:t>
      </w:r>
      <w:r w:rsidR="00B5431B" w:rsidRPr="003A1174">
        <w:rPr>
          <w:rFonts w:ascii="Garamond" w:hAnsi="Garamond" w:cs="Arial"/>
          <w:bCs/>
          <w:color w:val="auto"/>
          <w:sz w:val="24"/>
          <w:szCs w:val="24"/>
          <w:lang w:val="pt-PT"/>
        </w:rPr>
        <w:t>dependente</w:t>
      </w:r>
      <w:r w:rsidR="00E60158" w:rsidRPr="003A1174">
        <w:rPr>
          <w:rFonts w:ascii="Garamond" w:hAnsi="Garamond" w:cs="Arial"/>
          <w:bCs/>
          <w:color w:val="auto"/>
          <w:sz w:val="24"/>
          <w:szCs w:val="24"/>
          <w:lang w:val="pt-PT"/>
        </w:rPr>
        <w:t>s d</w:t>
      </w:r>
      <w:r w:rsidRPr="003A1174">
        <w:rPr>
          <w:rFonts w:ascii="Garamond" w:hAnsi="Garamond" w:cs="Arial"/>
          <w:bCs/>
          <w:color w:val="auto"/>
          <w:sz w:val="24"/>
          <w:szCs w:val="24"/>
          <w:lang w:val="pt-PT"/>
        </w:rPr>
        <w:t xml:space="preserve">a </w:t>
      </w:r>
      <w:r w:rsidR="00CF42A3" w:rsidRPr="003A1174">
        <w:rPr>
          <w:rFonts w:ascii="Garamond" w:hAnsi="Garamond" w:cs="Arial"/>
          <w:bCs/>
          <w:color w:val="auto"/>
          <w:sz w:val="24"/>
          <w:szCs w:val="24"/>
          <w:lang w:val="pt-PT"/>
        </w:rPr>
        <w:t>Polícia</w:t>
      </w:r>
      <w:r w:rsidRPr="003A1174">
        <w:rPr>
          <w:rFonts w:ascii="Garamond" w:hAnsi="Garamond" w:cs="Arial"/>
          <w:bCs/>
          <w:color w:val="auto"/>
          <w:sz w:val="24"/>
          <w:szCs w:val="24"/>
          <w:lang w:val="pt-PT"/>
        </w:rPr>
        <w:t xml:space="preserve"> Nacional</w:t>
      </w:r>
      <w:r w:rsidR="005E2542" w:rsidRPr="003A1174">
        <w:rPr>
          <w:rFonts w:ascii="Garamond" w:hAnsi="Garamond" w:cs="Arial"/>
          <w:bCs/>
          <w:color w:val="auto"/>
          <w:sz w:val="24"/>
          <w:szCs w:val="24"/>
          <w:lang w:val="pt-PT"/>
        </w:rPr>
        <w:t>,</w:t>
      </w:r>
      <w:r w:rsidRPr="003A1174">
        <w:rPr>
          <w:rFonts w:ascii="Garamond" w:hAnsi="Garamond" w:cs="Arial"/>
          <w:bCs/>
          <w:color w:val="auto"/>
          <w:sz w:val="24"/>
          <w:szCs w:val="24"/>
          <w:lang w:val="pt-PT"/>
        </w:rPr>
        <w:t xml:space="preserve"> </w:t>
      </w:r>
      <w:r w:rsidR="00E60158" w:rsidRPr="003A1174">
        <w:rPr>
          <w:rFonts w:ascii="Garamond" w:hAnsi="Garamond" w:cs="Arial"/>
          <w:bCs/>
          <w:color w:val="auto"/>
          <w:sz w:val="24"/>
          <w:szCs w:val="24"/>
          <w:lang w:val="pt-PT"/>
        </w:rPr>
        <w:t>dispõem de</w:t>
      </w:r>
      <w:r w:rsidRPr="003A1174">
        <w:rPr>
          <w:rFonts w:ascii="Garamond" w:hAnsi="Garamond" w:cs="Arial"/>
          <w:bCs/>
          <w:color w:val="auto"/>
          <w:sz w:val="24"/>
          <w:szCs w:val="24"/>
          <w:lang w:val="pt-PT"/>
        </w:rPr>
        <w:t xml:space="preserve"> </w:t>
      </w:r>
      <w:r w:rsidR="00077461" w:rsidRPr="003A1174">
        <w:rPr>
          <w:rFonts w:ascii="Garamond" w:hAnsi="Garamond" w:cs="Arial"/>
          <w:bCs/>
          <w:color w:val="auto"/>
          <w:sz w:val="24"/>
          <w:szCs w:val="24"/>
          <w:lang w:val="pt-PT"/>
        </w:rPr>
        <w:t>registo</w:t>
      </w:r>
      <w:r w:rsidRPr="003A1174">
        <w:rPr>
          <w:rFonts w:ascii="Garamond" w:hAnsi="Garamond" w:cs="Arial"/>
          <w:bCs/>
          <w:color w:val="auto"/>
          <w:sz w:val="24"/>
          <w:szCs w:val="24"/>
          <w:lang w:val="pt-PT"/>
        </w:rPr>
        <w:t xml:space="preserve"> </w:t>
      </w:r>
      <w:r w:rsidR="00497503" w:rsidRPr="003A1174">
        <w:rPr>
          <w:rFonts w:ascii="Garamond" w:hAnsi="Garamond" w:cs="Arial"/>
          <w:bCs/>
          <w:color w:val="auto"/>
          <w:sz w:val="24"/>
          <w:szCs w:val="24"/>
          <w:lang w:val="pt-PT"/>
        </w:rPr>
        <w:t>das</w:t>
      </w:r>
      <w:r w:rsidRPr="003A1174">
        <w:rPr>
          <w:rFonts w:ascii="Garamond" w:hAnsi="Garamond" w:cs="Arial"/>
          <w:bCs/>
          <w:color w:val="auto"/>
          <w:sz w:val="24"/>
          <w:szCs w:val="24"/>
          <w:lang w:val="pt-PT"/>
        </w:rPr>
        <w:t xml:space="preserve"> </w:t>
      </w:r>
      <w:r w:rsidR="008651AF" w:rsidRPr="003A1174">
        <w:rPr>
          <w:rFonts w:ascii="Garamond" w:hAnsi="Garamond" w:cs="Arial"/>
          <w:bCs/>
          <w:color w:val="auto"/>
          <w:sz w:val="24"/>
          <w:szCs w:val="24"/>
          <w:lang w:val="pt-PT"/>
        </w:rPr>
        <w:t>denúncia</w:t>
      </w:r>
      <w:r w:rsidRPr="003A1174">
        <w:rPr>
          <w:rFonts w:ascii="Garamond" w:hAnsi="Garamond" w:cs="Arial"/>
          <w:bCs/>
          <w:color w:val="auto"/>
          <w:sz w:val="24"/>
          <w:szCs w:val="24"/>
          <w:lang w:val="pt-PT"/>
        </w:rPr>
        <w:t xml:space="preserve">s realizadas </w:t>
      </w:r>
      <w:r w:rsidR="00E60158" w:rsidRPr="003A1174">
        <w:rPr>
          <w:rFonts w:ascii="Garamond" w:hAnsi="Garamond" w:cs="Arial"/>
          <w:bCs/>
          <w:color w:val="auto"/>
          <w:sz w:val="24"/>
          <w:szCs w:val="24"/>
          <w:lang w:val="pt-PT"/>
        </w:rPr>
        <w:t xml:space="preserve">nas suas </w:t>
      </w:r>
      <w:r w:rsidR="007A2492" w:rsidRPr="003A1174">
        <w:rPr>
          <w:rFonts w:ascii="Garamond" w:hAnsi="Garamond" w:cs="Arial"/>
          <w:bCs/>
          <w:color w:val="auto"/>
          <w:sz w:val="24"/>
          <w:szCs w:val="24"/>
          <w:lang w:val="pt-PT"/>
        </w:rPr>
        <w:t>dependência</w:t>
      </w:r>
      <w:r w:rsidRPr="003A1174">
        <w:rPr>
          <w:rFonts w:ascii="Garamond" w:hAnsi="Garamond" w:cs="Arial"/>
          <w:bCs/>
          <w:color w:val="auto"/>
          <w:sz w:val="24"/>
          <w:szCs w:val="24"/>
          <w:lang w:val="pt-PT"/>
        </w:rPr>
        <w:t>s.</w:t>
      </w:r>
    </w:p>
    <w:p w:rsidR="00955D60" w:rsidRPr="003A1174" w:rsidRDefault="009859FC" w:rsidP="008719D4">
      <w:pPr>
        <w:pStyle w:val="Ttulo4"/>
        <w:spacing w:line="240" w:lineRule="auto"/>
        <w:rPr>
          <w:rFonts w:ascii="Garamond" w:hAnsi="Garamond"/>
          <w:sz w:val="24"/>
          <w:szCs w:val="24"/>
        </w:rPr>
      </w:pPr>
      <w:r w:rsidRPr="003A1174">
        <w:rPr>
          <w:rFonts w:ascii="Garamond" w:hAnsi="Garamond"/>
          <w:sz w:val="24"/>
          <w:szCs w:val="24"/>
        </w:rPr>
        <w:t>Melhoria</w:t>
      </w:r>
      <w:r w:rsidR="00955D60" w:rsidRPr="003A1174">
        <w:rPr>
          <w:rFonts w:ascii="Garamond" w:hAnsi="Garamond"/>
          <w:sz w:val="24"/>
          <w:szCs w:val="24"/>
        </w:rPr>
        <w:t xml:space="preserve">s </w:t>
      </w:r>
      <w:r w:rsidR="00A225E2">
        <w:rPr>
          <w:rFonts w:ascii="Garamond" w:hAnsi="Garamond"/>
          <w:sz w:val="24"/>
          <w:szCs w:val="24"/>
        </w:rPr>
        <w:t>na</w:t>
      </w:r>
      <w:r w:rsidR="008E259D">
        <w:rPr>
          <w:rFonts w:ascii="Garamond" w:hAnsi="Garamond"/>
          <w:sz w:val="24"/>
          <w:szCs w:val="24"/>
        </w:rPr>
        <w:t xml:space="preserve"> avaliação</w:t>
      </w:r>
      <w:r w:rsidR="00955D60" w:rsidRPr="003A1174">
        <w:rPr>
          <w:rFonts w:ascii="Garamond" w:hAnsi="Garamond"/>
          <w:sz w:val="24"/>
          <w:szCs w:val="24"/>
        </w:rPr>
        <w:t xml:space="preserve"> de d</w:t>
      </w:r>
      <w:r w:rsidR="002C7510" w:rsidRPr="003A1174">
        <w:rPr>
          <w:rFonts w:ascii="Garamond" w:hAnsi="Garamond"/>
          <w:sz w:val="24"/>
          <w:szCs w:val="24"/>
        </w:rPr>
        <w:t>ano</w:t>
      </w:r>
      <w:r w:rsidR="00955D60" w:rsidRPr="003A1174">
        <w:rPr>
          <w:rFonts w:ascii="Garamond" w:hAnsi="Garamond"/>
          <w:sz w:val="24"/>
          <w:szCs w:val="24"/>
        </w:rPr>
        <w:t xml:space="preserve"> psicológico</w:t>
      </w:r>
    </w:p>
    <w:p w:rsidR="00955D60" w:rsidRPr="003A1174" w:rsidRDefault="00A225E2" w:rsidP="008719D4">
      <w:pPr>
        <w:spacing w:after="240" w:line="240" w:lineRule="auto"/>
        <w:jc w:val="both"/>
        <w:rPr>
          <w:rFonts w:ascii="Garamond" w:hAnsi="Garamond" w:cs="Arial"/>
          <w:sz w:val="24"/>
          <w:szCs w:val="24"/>
        </w:rPr>
      </w:pPr>
      <w:r>
        <w:rPr>
          <w:rFonts w:ascii="Garamond" w:hAnsi="Garamond" w:cs="Arial"/>
          <w:sz w:val="24"/>
          <w:szCs w:val="24"/>
        </w:rPr>
        <w:t>Informa-se</w:t>
      </w:r>
      <w:r w:rsidR="00E60158" w:rsidRPr="003A1174">
        <w:rPr>
          <w:rFonts w:ascii="Garamond" w:hAnsi="Garamond" w:cs="Arial"/>
          <w:sz w:val="24"/>
          <w:szCs w:val="24"/>
        </w:rPr>
        <w:t xml:space="preserve"> que tem havido </w:t>
      </w:r>
      <w:r w:rsidR="00FC1F7F" w:rsidRPr="003A1174">
        <w:rPr>
          <w:rFonts w:ascii="Garamond" w:hAnsi="Garamond" w:cs="Arial"/>
          <w:sz w:val="24"/>
          <w:szCs w:val="24"/>
        </w:rPr>
        <w:t>avanços</w:t>
      </w:r>
      <w:r w:rsidR="00E60158" w:rsidRPr="003A1174">
        <w:rPr>
          <w:rFonts w:ascii="Garamond" w:hAnsi="Garamond" w:cs="Arial"/>
          <w:sz w:val="24"/>
          <w:szCs w:val="24"/>
        </w:rPr>
        <w:t xml:space="preserve"> e importa salientar que é</w:t>
      </w:r>
      <w:r>
        <w:rPr>
          <w:rFonts w:ascii="Garamond" w:hAnsi="Garamond" w:cs="Arial"/>
          <w:sz w:val="24"/>
          <w:szCs w:val="24"/>
        </w:rPr>
        <w:t>,</w:t>
      </w:r>
      <w:r w:rsidR="00E60158" w:rsidRPr="003A1174">
        <w:rPr>
          <w:rFonts w:ascii="Garamond" w:hAnsi="Garamond" w:cs="Arial"/>
          <w:sz w:val="24"/>
          <w:szCs w:val="24"/>
        </w:rPr>
        <w:t xml:space="preserve"> </w:t>
      </w:r>
      <w:r w:rsidR="00955D60" w:rsidRPr="003A1174">
        <w:rPr>
          <w:rFonts w:ascii="Garamond" w:hAnsi="Garamond" w:cs="Arial"/>
          <w:sz w:val="24"/>
          <w:szCs w:val="24"/>
        </w:rPr>
        <w:t>significativamente elevado</w:t>
      </w:r>
      <w:r>
        <w:rPr>
          <w:rFonts w:ascii="Garamond" w:hAnsi="Garamond" w:cs="Arial"/>
          <w:sz w:val="24"/>
          <w:szCs w:val="24"/>
        </w:rPr>
        <w:t>,</w:t>
      </w:r>
      <w:r w:rsidR="00E60158" w:rsidRPr="003A1174">
        <w:rPr>
          <w:rFonts w:ascii="Garamond" w:hAnsi="Garamond" w:cs="Arial"/>
          <w:sz w:val="24"/>
          <w:szCs w:val="24"/>
        </w:rPr>
        <w:t xml:space="preserve"> o </w:t>
      </w:r>
      <w:r w:rsidR="00955D60" w:rsidRPr="003A1174">
        <w:rPr>
          <w:rFonts w:ascii="Garamond" w:hAnsi="Garamond" w:cs="Arial"/>
          <w:sz w:val="24"/>
          <w:szCs w:val="24"/>
        </w:rPr>
        <w:t xml:space="preserve">número de casos sobre </w:t>
      </w:r>
      <w:r w:rsidR="000350B1" w:rsidRPr="003A1174">
        <w:rPr>
          <w:rFonts w:ascii="Garamond" w:hAnsi="Garamond" w:cs="Arial"/>
          <w:sz w:val="24"/>
          <w:szCs w:val="24"/>
        </w:rPr>
        <w:t>violência</w:t>
      </w:r>
      <w:r w:rsidR="00955D60" w:rsidRPr="003A1174">
        <w:rPr>
          <w:rFonts w:ascii="Garamond" w:hAnsi="Garamond" w:cs="Arial"/>
          <w:sz w:val="24"/>
          <w:szCs w:val="24"/>
        </w:rPr>
        <w:t xml:space="preserve"> física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1C315D" w:rsidRPr="003A1174">
        <w:rPr>
          <w:rFonts w:ascii="Garamond" w:hAnsi="Garamond" w:cs="Arial"/>
          <w:sz w:val="24"/>
          <w:szCs w:val="24"/>
        </w:rPr>
        <w:t>p</w:t>
      </w:r>
      <w:r w:rsidR="00955D60" w:rsidRPr="003A1174">
        <w:rPr>
          <w:rFonts w:ascii="Garamond" w:hAnsi="Garamond" w:cs="Arial"/>
          <w:sz w:val="24"/>
          <w:szCs w:val="24"/>
        </w:rPr>
        <w:t xml:space="preserve">sicológica. </w:t>
      </w:r>
    </w:p>
    <w:p w:rsidR="00955D60" w:rsidRPr="003A1174" w:rsidRDefault="00DD6896" w:rsidP="008719D4">
      <w:pPr>
        <w:pStyle w:val="Ttulo4"/>
        <w:spacing w:line="240" w:lineRule="auto"/>
        <w:rPr>
          <w:rFonts w:ascii="Garamond" w:hAnsi="Garamond"/>
          <w:sz w:val="24"/>
          <w:szCs w:val="24"/>
        </w:rPr>
      </w:pPr>
      <w:r>
        <w:rPr>
          <w:rFonts w:ascii="Garamond" w:hAnsi="Garamond"/>
          <w:sz w:val="24"/>
          <w:szCs w:val="24"/>
        </w:rPr>
        <w:t>Formação</w:t>
      </w:r>
      <w:r w:rsidR="00955D60" w:rsidRPr="003A1174">
        <w:rPr>
          <w:rFonts w:ascii="Garamond" w:hAnsi="Garamond"/>
          <w:sz w:val="24"/>
          <w:szCs w:val="24"/>
        </w:rPr>
        <w:t xml:space="preserve">/ </w:t>
      </w:r>
      <w:r w:rsidR="00976FB8" w:rsidRPr="003A1174">
        <w:rPr>
          <w:rFonts w:ascii="Garamond" w:hAnsi="Garamond"/>
          <w:sz w:val="24"/>
          <w:szCs w:val="24"/>
        </w:rPr>
        <w:t>sensibilização</w:t>
      </w:r>
      <w:r w:rsidR="00955D60" w:rsidRPr="003A1174">
        <w:rPr>
          <w:rFonts w:ascii="Garamond" w:hAnsi="Garamond"/>
          <w:sz w:val="24"/>
          <w:szCs w:val="24"/>
        </w:rPr>
        <w:t xml:space="preserve"> </w:t>
      </w:r>
      <w:r w:rsidR="00A225E2">
        <w:rPr>
          <w:rFonts w:ascii="Garamond" w:hAnsi="Garamond"/>
          <w:sz w:val="24"/>
          <w:szCs w:val="24"/>
        </w:rPr>
        <w:t>dos operadores</w:t>
      </w:r>
      <w:r w:rsidR="00955D60" w:rsidRPr="003A1174">
        <w:rPr>
          <w:rFonts w:ascii="Garamond" w:hAnsi="Garamond"/>
          <w:sz w:val="24"/>
          <w:szCs w:val="24"/>
        </w:rPr>
        <w:t xml:space="preserve"> </w:t>
      </w:r>
      <w:r w:rsidR="00E85E59" w:rsidRPr="003A1174">
        <w:rPr>
          <w:rFonts w:ascii="Garamond" w:hAnsi="Garamond"/>
          <w:sz w:val="24"/>
          <w:szCs w:val="24"/>
        </w:rPr>
        <w:t>do</w:t>
      </w:r>
      <w:r w:rsidR="00955D60" w:rsidRPr="003A1174">
        <w:rPr>
          <w:rFonts w:ascii="Garamond" w:hAnsi="Garamond"/>
          <w:sz w:val="24"/>
          <w:szCs w:val="24"/>
        </w:rPr>
        <w:t xml:space="preserve"> </w:t>
      </w:r>
      <w:r w:rsidR="000D7B87">
        <w:rPr>
          <w:rFonts w:ascii="Garamond" w:hAnsi="Garamond"/>
          <w:sz w:val="24"/>
          <w:szCs w:val="24"/>
        </w:rPr>
        <w:t>S</w:t>
      </w:r>
      <w:r w:rsidR="00955D60" w:rsidRPr="003A1174">
        <w:rPr>
          <w:rFonts w:ascii="Garamond" w:hAnsi="Garamond"/>
          <w:sz w:val="24"/>
          <w:szCs w:val="24"/>
        </w:rPr>
        <w:t xml:space="preserve">istema </w:t>
      </w:r>
      <w:r w:rsidR="00A225E2">
        <w:rPr>
          <w:rFonts w:ascii="Garamond" w:hAnsi="Garamond"/>
          <w:sz w:val="24"/>
          <w:szCs w:val="24"/>
        </w:rPr>
        <w:t>Judicial</w:t>
      </w:r>
    </w:p>
    <w:p w:rsidR="00955D60" w:rsidRPr="003A1174" w:rsidRDefault="00E60158" w:rsidP="008719D4">
      <w:pPr>
        <w:pStyle w:val="Predeterminado"/>
        <w:spacing w:after="240" w:line="240" w:lineRule="auto"/>
        <w:ind w:left="45"/>
        <w:jc w:val="both"/>
        <w:rPr>
          <w:rFonts w:ascii="Garamond" w:hAnsi="Garamond" w:cs="Arial"/>
          <w:color w:val="auto"/>
          <w:sz w:val="24"/>
          <w:szCs w:val="24"/>
          <w:lang w:val="pt-PT"/>
        </w:rPr>
      </w:pP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s </w:t>
      </w:r>
      <w:r w:rsidR="002470B1" w:rsidRPr="003A1174">
        <w:rPr>
          <w:rFonts w:ascii="Garamond" w:hAnsi="Garamond" w:cs="Arial"/>
          <w:color w:val="auto"/>
          <w:sz w:val="24"/>
          <w:szCs w:val="24"/>
          <w:lang w:val="pt-PT"/>
        </w:rPr>
        <w:t>Tribunais</w:t>
      </w:r>
      <w:r w:rsidRPr="003A1174">
        <w:rPr>
          <w:rFonts w:ascii="Garamond" w:hAnsi="Garamond" w:cs="Arial"/>
          <w:color w:val="auto"/>
          <w:sz w:val="24"/>
          <w:szCs w:val="24"/>
          <w:lang w:val="pt-PT"/>
        </w:rPr>
        <w:t xml:space="preserve"> da</w:t>
      </w:r>
      <w:r w:rsidR="00955D60" w:rsidRPr="003A1174">
        <w:rPr>
          <w:rFonts w:ascii="Garamond" w:hAnsi="Garamond" w:cs="Arial"/>
          <w:color w:val="auto"/>
          <w:sz w:val="24"/>
          <w:szCs w:val="24"/>
          <w:lang w:val="pt-PT"/>
        </w:rPr>
        <w:t xml:space="preserve"> Paz </w:t>
      </w:r>
      <w:r w:rsidR="00976FB8" w:rsidRPr="003A1174">
        <w:rPr>
          <w:rFonts w:ascii="Garamond" w:hAnsi="Garamond" w:cs="Arial"/>
          <w:color w:val="auto"/>
          <w:sz w:val="24"/>
          <w:szCs w:val="24"/>
          <w:lang w:val="pt-PT"/>
        </w:rPr>
        <w:t>encarregado</w:t>
      </w:r>
      <w:r w:rsidR="00955D60" w:rsidRPr="003A1174">
        <w:rPr>
          <w:rFonts w:ascii="Garamond" w:hAnsi="Garamond" w:cs="Arial"/>
          <w:color w:val="auto"/>
          <w:sz w:val="24"/>
          <w:szCs w:val="24"/>
          <w:lang w:val="pt-PT"/>
        </w:rPr>
        <w:t xml:space="preserve">s de </w:t>
      </w:r>
      <w:r w:rsidR="002F5CD1" w:rsidRPr="003A1174">
        <w:rPr>
          <w:rFonts w:ascii="Garamond" w:hAnsi="Garamond" w:cs="Arial"/>
          <w:color w:val="auto"/>
          <w:sz w:val="24"/>
          <w:szCs w:val="24"/>
          <w:lang w:val="pt-PT"/>
        </w:rPr>
        <w:t>estabelecer</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as medidas de </w:t>
      </w:r>
      <w:r w:rsidR="00886D6A" w:rsidRPr="003A1174">
        <w:rPr>
          <w:rFonts w:ascii="Garamond" w:hAnsi="Garamond" w:cs="Arial"/>
          <w:color w:val="auto"/>
          <w:sz w:val="24"/>
          <w:szCs w:val="24"/>
          <w:lang w:val="pt-PT"/>
        </w:rPr>
        <w:t>proteção</w:t>
      </w:r>
      <w:r w:rsidR="00955D60" w:rsidRPr="003A1174">
        <w:rPr>
          <w:rFonts w:ascii="Garamond" w:hAnsi="Garamond" w:cs="Arial"/>
          <w:color w:val="auto"/>
          <w:sz w:val="24"/>
          <w:szCs w:val="24"/>
          <w:lang w:val="pt-PT"/>
        </w:rPr>
        <w:t xml:space="preserve">, </w:t>
      </w:r>
      <w:r w:rsidR="006F4B2C" w:rsidRPr="003A1174">
        <w:rPr>
          <w:rFonts w:ascii="Garamond" w:hAnsi="Garamond" w:cs="Arial"/>
          <w:color w:val="auto"/>
          <w:sz w:val="24"/>
          <w:szCs w:val="24"/>
          <w:lang w:val="pt-PT"/>
        </w:rPr>
        <w:t>adotam</w:t>
      </w:r>
      <w:r w:rsidR="00955D60" w:rsidRPr="003A1174">
        <w:rPr>
          <w:rFonts w:ascii="Garamond" w:hAnsi="Garamond" w:cs="Arial"/>
          <w:color w:val="auto"/>
          <w:sz w:val="24"/>
          <w:szCs w:val="24"/>
          <w:lang w:val="pt-PT"/>
        </w:rPr>
        <w:t xml:space="preserve"> medidas de </w:t>
      </w:r>
      <w:r w:rsidR="009A3B28">
        <w:rPr>
          <w:rFonts w:ascii="Garamond" w:hAnsi="Garamond" w:cs="Arial"/>
          <w:color w:val="auto"/>
          <w:sz w:val="24"/>
          <w:szCs w:val="24"/>
          <w:lang w:val="pt-PT"/>
        </w:rPr>
        <w:t xml:space="preserve">expulsão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lar do </w:t>
      </w:r>
      <w:r w:rsidR="002D1021" w:rsidRPr="003A1174">
        <w:rPr>
          <w:rFonts w:ascii="Garamond" w:hAnsi="Garamond" w:cs="Arial"/>
          <w:color w:val="auto"/>
          <w:sz w:val="24"/>
          <w:szCs w:val="24"/>
          <w:lang w:val="pt-PT"/>
        </w:rPr>
        <w:t>agressor</w:t>
      </w:r>
      <w:r w:rsidR="00955D60" w:rsidRPr="003A1174">
        <w:rPr>
          <w:rFonts w:ascii="Garamond" w:hAnsi="Garamond" w:cs="Arial"/>
          <w:color w:val="auto"/>
          <w:sz w:val="24"/>
          <w:szCs w:val="24"/>
          <w:lang w:val="pt-PT"/>
        </w:rPr>
        <w:t xml:space="preserve">, </w:t>
      </w:r>
      <w:r w:rsidR="00A862C2" w:rsidRPr="003A1174">
        <w:rPr>
          <w:rFonts w:ascii="Garamond" w:hAnsi="Garamond" w:cs="Arial"/>
          <w:color w:val="auto"/>
          <w:sz w:val="24"/>
          <w:szCs w:val="24"/>
          <w:lang w:val="pt-PT"/>
        </w:rPr>
        <w:t>proibição</w:t>
      </w:r>
      <w:r w:rsidR="00955D60" w:rsidRPr="003A1174">
        <w:rPr>
          <w:rFonts w:ascii="Garamond" w:hAnsi="Garamond" w:cs="Arial"/>
          <w:color w:val="auto"/>
          <w:sz w:val="24"/>
          <w:szCs w:val="24"/>
          <w:lang w:val="pt-PT"/>
        </w:rPr>
        <w:t xml:space="preserve"> de </w:t>
      </w:r>
      <w:r w:rsidR="009A3B28">
        <w:rPr>
          <w:rFonts w:ascii="Garamond" w:hAnsi="Garamond" w:cs="Arial"/>
          <w:color w:val="auto"/>
          <w:sz w:val="24"/>
          <w:szCs w:val="24"/>
          <w:lang w:val="pt-PT"/>
        </w:rPr>
        <w:t xml:space="preserve">se </w:t>
      </w:r>
      <w:r w:rsidRPr="003A1174">
        <w:rPr>
          <w:rFonts w:ascii="Garamond" w:hAnsi="Garamond" w:cs="Arial"/>
          <w:color w:val="auto"/>
          <w:sz w:val="24"/>
          <w:szCs w:val="24"/>
          <w:lang w:val="pt-PT"/>
        </w:rPr>
        <w:t>aproxima</w:t>
      </w:r>
      <w:r w:rsidR="009A3B28">
        <w:rPr>
          <w:rFonts w:ascii="Garamond" w:hAnsi="Garamond" w:cs="Arial"/>
          <w:color w:val="auto"/>
          <w:sz w:val="24"/>
          <w:szCs w:val="24"/>
          <w:lang w:val="pt-PT"/>
        </w:rPr>
        <w:t>r</w:t>
      </w:r>
      <w:r w:rsidR="00955D60" w:rsidRPr="003A1174">
        <w:rPr>
          <w:rFonts w:ascii="Garamond" w:hAnsi="Garamond" w:cs="Arial"/>
          <w:color w:val="auto"/>
          <w:sz w:val="24"/>
          <w:szCs w:val="24"/>
          <w:lang w:val="pt-PT"/>
        </w:rPr>
        <w:t xml:space="preserve"> </w:t>
      </w:r>
      <w:r w:rsidR="009A3B28">
        <w:rPr>
          <w:rFonts w:ascii="Garamond" w:hAnsi="Garamond" w:cs="Arial"/>
          <w:color w:val="auto"/>
          <w:sz w:val="24"/>
          <w:szCs w:val="24"/>
          <w:lang w:val="pt-PT"/>
        </w:rPr>
        <w:t xml:space="preserve">da </w:t>
      </w:r>
      <w:r w:rsidR="003F012B" w:rsidRPr="003A1174">
        <w:rPr>
          <w:rFonts w:ascii="Garamond" w:hAnsi="Garamond" w:cs="Arial"/>
          <w:color w:val="auto"/>
          <w:sz w:val="24"/>
          <w:szCs w:val="24"/>
          <w:lang w:val="pt-PT"/>
        </w:rPr>
        <w:t>vítima</w:t>
      </w:r>
      <w:r w:rsidR="00955D60" w:rsidRPr="003A1174">
        <w:rPr>
          <w:rFonts w:ascii="Garamond" w:hAnsi="Garamond" w:cs="Arial"/>
          <w:color w:val="auto"/>
          <w:sz w:val="24"/>
          <w:szCs w:val="24"/>
          <w:lang w:val="pt-PT"/>
        </w:rPr>
        <w:t>/s</w:t>
      </w:r>
      <w:r w:rsidR="009A3B28">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no</w:t>
      </w:r>
      <w:r w:rsidR="009A3B28">
        <w:rPr>
          <w:rFonts w:ascii="Garamond" w:hAnsi="Garamond" w:cs="Arial"/>
          <w:color w:val="auto"/>
          <w:sz w:val="24"/>
          <w:szCs w:val="24"/>
          <w:lang w:val="pt-PT"/>
        </w:rPr>
        <w:t>s</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caso</w:t>
      </w:r>
      <w:r w:rsidR="009A3B28">
        <w:rPr>
          <w:rFonts w:ascii="Garamond" w:hAnsi="Garamond" w:cs="Arial"/>
          <w:color w:val="auto"/>
          <w:sz w:val="24"/>
          <w:szCs w:val="24"/>
          <w:lang w:val="pt-PT"/>
        </w:rPr>
        <w:t>s</w:t>
      </w:r>
      <w:r w:rsidR="00955D60" w:rsidRPr="003A1174">
        <w:rPr>
          <w:rFonts w:ascii="Garamond" w:hAnsi="Garamond" w:cs="Arial"/>
          <w:color w:val="auto"/>
          <w:sz w:val="24"/>
          <w:szCs w:val="24"/>
          <w:lang w:val="pt-PT"/>
        </w:rPr>
        <w:t xml:space="preserve"> </w:t>
      </w:r>
      <w:r w:rsidR="009A3B28">
        <w:rPr>
          <w:rFonts w:ascii="Garamond" w:hAnsi="Garamond" w:cs="Arial"/>
          <w:color w:val="auto"/>
          <w:sz w:val="24"/>
          <w:szCs w:val="24"/>
          <w:lang w:val="pt-PT"/>
        </w:rPr>
        <w:t xml:space="preserve">em que foram </w:t>
      </w:r>
      <w:r w:rsidRPr="003A1174">
        <w:rPr>
          <w:rFonts w:ascii="Garamond" w:hAnsi="Garamond" w:cs="Arial"/>
          <w:color w:val="auto"/>
          <w:sz w:val="24"/>
          <w:szCs w:val="24"/>
          <w:lang w:val="pt-PT"/>
        </w:rPr>
        <w:t xml:space="preserve">estas </w:t>
      </w:r>
      <w:r w:rsidR="00955D60"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 xml:space="preserve">abandonar o lar e a </w:t>
      </w:r>
      <w:r w:rsidR="00955D60" w:rsidRPr="003A1174">
        <w:rPr>
          <w:rFonts w:ascii="Garamond" w:hAnsi="Garamond" w:cs="Arial"/>
          <w:color w:val="auto"/>
          <w:sz w:val="24"/>
          <w:szCs w:val="24"/>
          <w:lang w:val="pt-PT"/>
        </w:rPr>
        <w:t>lev</w:t>
      </w:r>
      <w:r w:rsidRPr="003A1174">
        <w:rPr>
          <w:rFonts w:ascii="Garamond" w:hAnsi="Garamond" w:cs="Arial"/>
          <w:color w:val="auto"/>
          <w:sz w:val="24"/>
          <w:szCs w:val="24"/>
          <w:lang w:val="pt-PT"/>
        </w:rPr>
        <w:t xml:space="preserve">arem os </w:t>
      </w:r>
      <w:r w:rsidR="00955D60" w:rsidRPr="003A1174">
        <w:rPr>
          <w:rFonts w:ascii="Garamond" w:hAnsi="Garamond" w:cs="Arial"/>
          <w:color w:val="auto"/>
          <w:sz w:val="24"/>
          <w:szCs w:val="24"/>
          <w:lang w:val="pt-PT"/>
        </w:rPr>
        <w:t>s</w:t>
      </w:r>
      <w:r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us </w:t>
      </w:r>
      <w:r w:rsidR="005275B0" w:rsidRPr="003A1174">
        <w:rPr>
          <w:rFonts w:ascii="Garamond" w:hAnsi="Garamond" w:cs="Arial"/>
          <w:color w:val="auto"/>
          <w:sz w:val="24"/>
          <w:szCs w:val="24"/>
          <w:lang w:val="pt-PT"/>
        </w:rPr>
        <w:t>pertences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9A3B28">
        <w:rPr>
          <w:rFonts w:ascii="Garamond" w:hAnsi="Garamond" w:cs="Arial"/>
          <w:color w:val="auto"/>
          <w:sz w:val="24"/>
          <w:szCs w:val="24"/>
          <w:lang w:val="pt-PT"/>
        </w:rPr>
        <w:t xml:space="preserve">os </w:t>
      </w:r>
      <w:r w:rsidR="00497503" w:rsidRPr="003A1174">
        <w:rPr>
          <w:rFonts w:ascii="Garamond" w:hAnsi="Garamond" w:cs="Arial"/>
          <w:color w:val="auto"/>
          <w:sz w:val="24"/>
          <w:szCs w:val="24"/>
          <w:lang w:val="pt-PT"/>
        </w:rPr>
        <w:t>dos</w:t>
      </w:r>
      <w:r w:rsidR="00955D60" w:rsidRPr="003A1174">
        <w:rPr>
          <w:rFonts w:ascii="Garamond" w:hAnsi="Garamond" w:cs="Arial"/>
          <w:color w:val="auto"/>
          <w:sz w:val="24"/>
          <w:szCs w:val="24"/>
          <w:lang w:val="pt-PT"/>
        </w:rPr>
        <w:t xml:space="preserve"> </w:t>
      </w:r>
      <w:r w:rsidR="007A2492" w:rsidRPr="003A1174">
        <w:rPr>
          <w:rFonts w:ascii="Garamond" w:hAnsi="Garamond" w:cs="Arial"/>
          <w:color w:val="auto"/>
          <w:sz w:val="24"/>
          <w:szCs w:val="24"/>
          <w:lang w:val="pt-PT"/>
        </w:rPr>
        <w:t>filho</w:t>
      </w:r>
      <w:r w:rsidR="00955D60" w:rsidRPr="003A1174">
        <w:rPr>
          <w:rFonts w:ascii="Garamond" w:hAnsi="Garamond" w:cs="Arial"/>
          <w:color w:val="auto"/>
          <w:sz w:val="24"/>
          <w:szCs w:val="24"/>
          <w:lang w:val="pt-PT"/>
        </w:rPr>
        <w:t>s menores, re</w:t>
      </w:r>
      <w:r w:rsidR="009A3B28">
        <w:rPr>
          <w:rFonts w:ascii="Garamond" w:hAnsi="Garamond" w:cs="Arial"/>
          <w:color w:val="auto"/>
          <w:sz w:val="24"/>
          <w:szCs w:val="24"/>
          <w:lang w:val="pt-PT"/>
        </w:rPr>
        <w:t>alojamento</w:t>
      </w:r>
      <w:r w:rsidRPr="003A1174">
        <w:rPr>
          <w:rFonts w:ascii="Garamond" w:hAnsi="Garamond" w:cs="Arial"/>
          <w:color w:val="auto"/>
          <w:sz w:val="24"/>
          <w:szCs w:val="24"/>
          <w:lang w:val="pt-PT"/>
        </w:rPr>
        <w:t xml:space="preserve"> da </w:t>
      </w:r>
      <w:r w:rsidR="003F012B" w:rsidRPr="003A1174">
        <w:rPr>
          <w:rFonts w:ascii="Garamond" w:hAnsi="Garamond" w:cs="Arial"/>
          <w:color w:val="auto"/>
          <w:sz w:val="24"/>
          <w:szCs w:val="24"/>
          <w:lang w:val="pt-PT"/>
        </w:rPr>
        <w:lastRenderedPageBreak/>
        <w:t>vítima</w:t>
      </w:r>
      <w:r w:rsidRPr="003A1174">
        <w:rPr>
          <w:rFonts w:ascii="Garamond" w:hAnsi="Garamond" w:cs="Arial"/>
          <w:color w:val="auto"/>
          <w:sz w:val="24"/>
          <w:szCs w:val="24"/>
          <w:lang w:val="pt-PT"/>
        </w:rPr>
        <w:t xml:space="preserve"> no lar</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outras</w:t>
      </w:r>
      <w:r w:rsidR="00955D60" w:rsidRPr="003A1174">
        <w:rPr>
          <w:rFonts w:ascii="Garamond" w:hAnsi="Garamond" w:cs="Arial"/>
          <w:color w:val="auto"/>
          <w:sz w:val="24"/>
          <w:szCs w:val="24"/>
          <w:lang w:val="pt-PT"/>
        </w:rPr>
        <w:t xml:space="preserve"> similares, </w:t>
      </w:r>
      <w:r w:rsidR="0074243F" w:rsidRPr="003A1174">
        <w:rPr>
          <w:rFonts w:ascii="Garamond" w:hAnsi="Garamond" w:cs="Arial"/>
          <w:color w:val="auto"/>
          <w:sz w:val="24"/>
          <w:szCs w:val="24"/>
          <w:lang w:val="pt-PT"/>
        </w:rPr>
        <w:t>mas</w:t>
      </w:r>
      <w:r w:rsidR="00955D60" w:rsidRPr="003A1174">
        <w:rPr>
          <w:rFonts w:ascii="Garamond" w:hAnsi="Garamond" w:cs="Arial"/>
          <w:color w:val="auto"/>
          <w:sz w:val="24"/>
          <w:szCs w:val="24"/>
          <w:lang w:val="pt-PT"/>
        </w:rPr>
        <w:t xml:space="preserve"> n</w:t>
      </w:r>
      <w:r w:rsidRPr="003A1174">
        <w:rPr>
          <w:rFonts w:ascii="Garamond" w:hAnsi="Garamond" w:cs="Arial"/>
          <w:color w:val="auto"/>
          <w:sz w:val="24"/>
          <w:szCs w:val="24"/>
          <w:lang w:val="pt-PT"/>
        </w:rPr>
        <w:t>ã</w:t>
      </w:r>
      <w:r w:rsidR="00955D60" w:rsidRPr="003A1174">
        <w:rPr>
          <w:rFonts w:ascii="Garamond" w:hAnsi="Garamond" w:cs="Arial"/>
          <w:color w:val="auto"/>
          <w:sz w:val="24"/>
          <w:szCs w:val="24"/>
          <w:lang w:val="pt-PT"/>
        </w:rPr>
        <w:t xml:space="preserve">o </w:t>
      </w:r>
      <w:r w:rsidR="00152A44" w:rsidRPr="003A1174">
        <w:rPr>
          <w:rFonts w:ascii="Garamond" w:hAnsi="Garamond" w:cs="Arial"/>
          <w:color w:val="auto"/>
          <w:sz w:val="24"/>
          <w:szCs w:val="24"/>
          <w:lang w:val="pt-PT"/>
        </w:rPr>
        <w:t>estabelece</w:t>
      </w:r>
      <w:r w:rsidR="00955D60" w:rsidRPr="003A1174">
        <w:rPr>
          <w:rFonts w:ascii="Garamond" w:hAnsi="Garamond" w:cs="Arial"/>
          <w:color w:val="auto"/>
          <w:sz w:val="24"/>
          <w:szCs w:val="24"/>
          <w:lang w:val="pt-PT"/>
        </w:rPr>
        <w:t xml:space="preserve"> </w:t>
      </w:r>
      <w:r w:rsidR="003E1D8A" w:rsidRPr="003A1174">
        <w:rPr>
          <w:rFonts w:ascii="Garamond" w:hAnsi="Garamond" w:cs="Arial"/>
          <w:color w:val="auto"/>
          <w:sz w:val="24"/>
          <w:szCs w:val="24"/>
          <w:lang w:val="pt-PT"/>
        </w:rPr>
        <w:t>sanções</w:t>
      </w:r>
      <w:r w:rsidR="00955D60" w:rsidRPr="003A1174">
        <w:rPr>
          <w:rFonts w:ascii="Garamond" w:hAnsi="Garamond" w:cs="Arial"/>
          <w:color w:val="auto"/>
          <w:sz w:val="24"/>
          <w:szCs w:val="24"/>
          <w:lang w:val="pt-PT"/>
        </w:rPr>
        <w:t xml:space="preserve"> de multas para </w:t>
      </w: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00955D60" w:rsidRPr="003A1174">
        <w:rPr>
          <w:rFonts w:ascii="Garamond" w:hAnsi="Garamond" w:cs="Arial"/>
          <w:color w:val="auto"/>
          <w:sz w:val="24"/>
          <w:szCs w:val="24"/>
          <w:lang w:val="pt-PT"/>
        </w:rPr>
        <w:t>. Estas medidas n</w:t>
      </w:r>
      <w:r w:rsidRPr="003A1174">
        <w:rPr>
          <w:rFonts w:ascii="Garamond" w:hAnsi="Garamond" w:cs="Arial"/>
          <w:color w:val="auto"/>
          <w:sz w:val="24"/>
          <w:szCs w:val="24"/>
          <w:lang w:val="pt-PT"/>
        </w:rPr>
        <w:t>ã</w:t>
      </w:r>
      <w:r w:rsidR="00955D60" w:rsidRPr="003A1174">
        <w:rPr>
          <w:rFonts w:ascii="Garamond" w:hAnsi="Garamond" w:cs="Arial"/>
          <w:color w:val="auto"/>
          <w:sz w:val="24"/>
          <w:szCs w:val="24"/>
          <w:lang w:val="pt-PT"/>
        </w:rPr>
        <w:t>o exclu</w:t>
      </w:r>
      <w:r w:rsidRPr="003A1174">
        <w:rPr>
          <w:rFonts w:ascii="Garamond" w:hAnsi="Garamond" w:cs="Arial"/>
          <w:color w:val="auto"/>
          <w:sz w:val="24"/>
          <w:szCs w:val="24"/>
          <w:lang w:val="pt-PT"/>
        </w:rPr>
        <w:t xml:space="preserve">em </w:t>
      </w:r>
      <w:r w:rsidR="00955D60" w:rsidRPr="003A1174">
        <w:rPr>
          <w:rFonts w:ascii="Garamond" w:hAnsi="Garamond" w:cs="Arial"/>
          <w:color w:val="auto"/>
          <w:sz w:val="24"/>
          <w:szCs w:val="24"/>
          <w:lang w:val="pt-PT"/>
        </w:rPr>
        <w:t xml:space="preserve">a </w:t>
      </w:r>
      <w:r w:rsidR="008843FD" w:rsidRPr="003A1174">
        <w:rPr>
          <w:rFonts w:ascii="Garamond" w:hAnsi="Garamond" w:cs="Arial"/>
          <w:color w:val="auto"/>
          <w:sz w:val="24"/>
          <w:szCs w:val="24"/>
          <w:lang w:val="pt-PT"/>
        </w:rPr>
        <w:t>possibilidade</w:t>
      </w:r>
      <w:r w:rsidR="00955D60" w:rsidRPr="003A1174">
        <w:rPr>
          <w:rFonts w:ascii="Garamond" w:hAnsi="Garamond" w:cs="Arial"/>
          <w:color w:val="auto"/>
          <w:sz w:val="24"/>
          <w:szCs w:val="24"/>
          <w:lang w:val="pt-PT"/>
        </w:rPr>
        <w:t xml:space="preserve"> de rec</w:t>
      </w:r>
      <w:r w:rsidRPr="003A1174">
        <w:rPr>
          <w:rFonts w:ascii="Garamond" w:hAnsi="Garamond" w:cs="Arial"/>
          <w:color w:val="auto"/>
          <w:sz w:val="24"/>
          <w:szCs w:val="24"/>
          <w:lang w:val="pt-PT"/>
        </w:rPr>
        <w:t xml:space="preserve">orrer </w:t>
      </w:r>
      <w:r w:rsidR="00955D60" w:rsidRPr="003A1174">
        <w:rPr>
          <w:rFonts w:ascii="Garamond" w:hAnsi="Garamond" w:cs="Arial"/>
          <w:color w:val="auto"/>
          <w:sz w:val="24"/>
          <w:szCs w:val="24"/>
          <w:lang w:val="pt-PT"/>
        </w:rPr>
        <w:t xml:space="preserve">a </w:t>
      </w:r>
      <w:r w:rsidR="00FB09CA" w:rsidRPr="003A1174">
        <w:rPr>
          <w:rFonts w:ascii="Garamond" w:hAnsi="Garamond" w:cs="Arial"/>
          <w:color w:val="auto"/>
          <w:sz w:val="24"/>
          <w:szCs w:val="24"/>
          <w:lang w:val="pt-PT"/>
        </w:rPr>
        <w:t>instância</w:t>
      </w:r>
      <w:r w:rsidR="00955D60" w:rsidRPr="003A1174">
        <w:rPr>
          <w:rFonts w:ascii="Garamond" w:hAnsi="Garamond" w:cs="Arial"/>
          <w:color w:val="auto"/>
          <w:sz w:val="24"/>
          <w:szCs w:val="24"/>
          <w:lang w:val="pt-PT"/>
        </w:rPr>
        <w:t xml:space="preserve">s </w:t>
      </w:r>
      <w:r w:rsidR="009A0CC2" w:rsidRPr="003A1174">
        <w:rPr>
          <w:rFonts w:ascii="Garamond" w:hAnsi="Garamond" w:cs="Arial"/>
          <w:color w:val="auto"/>
          <w:sz w:val="24"/>
          <w:szCs w:val="24"/>
          <w:lang w:val="pt-PT"/>
        </w:rPr>
        <w:t>penais</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w:t>
      </w:r>
      <w:r w:rsidR="001704C2"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 xml:space="preserve">medidas de proteção </w:t>
      </w:r>
      <w:r w:rsidR="001704C2" w:rsidRPr="003A1174">
        <w:rPr>
          <w:rFonts w:ascii="Garamond" w:hAnsi="Garamond" w:cs="Arial"/>
          <w:color w:val="auto"/>
          <w:sz w:val="24"/>
          <w:szCs w:val="24"/>
          <w:lang w:val="pt-PT"/>
        </w:rPr>
        <w:t xml:space="preserve">mencionadas, </w:t>
      </w:r>
      <w:r w:rsidRPr="003A1174">
        <w:rPr>
          <w:rFonts w:ascii="Garamond" w:hAnsi="Garamond" w:cs="Arial"/>
          <w:color w:val="auto"/>
          <w:sz w:val="24"/>
          <w:szCs w:val="24"/>
          <w:lang w:val="pt-PT"/>
        </w:rPr>
        <w:t xml:space="preserve">ainda </w:t>
      </w:r>
      <w:r w:rsidR="00955D60" w:rsidRPr="003A1174">
        <w:rPr>
          <w:rFonts w:ascii="Garamond" w:hAnsi="Garamond" w:cs="Arial"/>
          <w:color w:val="auto"/>
          <w:sz w:val="24"/>
          <w:szCs w:val="24"/>
          <w:lang w:val="pt-PT"/>
        </w:rPr>
        <w:t>n</w:t>
      </w:r>
      <w:r w:rsidRPr="003A1174">
        <w:rPr>
          <w:rFonts w:ascii="Garamond" w:hAnsi="Garamond" w:cs="Arial"/>
          <w:color w:val="auto"/>
          <w:sz w:val="24"/>
          <w:szCs w:val="24"/>
          <w:lang w:val="pt-PT"/>
        </w:rPr>
        <w:t>ã</w:t>
      </w:r>
      <w:r w:rsidR="00955D60"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 xml:space="preserve">se </w:t>
      </w:r>
      <w:r w:rsidR="007407BD" w:rsidRPr="003A1174">
        <w:rPr>
          <w:rFonts w:ascii="Garamond" w:hAnsi="Garamond" w:cs="Arial"/>
          <w:color w:val="auto"/>
          <w:sz w:val="24"/>
          <w:szCs w:val="24"/>
          <w:lang w:val="pt-PT"/>
        </w:rPr>
        <w:t>podem</w:t>
      </w:r>
      <w:r w:rsidR="00955D60" w:rsidRPr="003A1174">
        <w:rPr>
          <w:rFonts w:ascii="Garamond" w:hAnsi="Garamond" w:cs="Arial"/>
          <w:color w:val="auto"/>
          <w:sz w:val="24"/>
          <w:szCs w:val="24"/>
          <w:lang w:val="pt-PT"/>
        </w:rPr>
        <w:t xml:space="preserve"> considerar</w:t>
      </w:r>
      <w:r w:rsidRPr="003A1174">
        <w:rPr>
          <w:rFonts w:ascii="Garamond" w:hAnsi="Garamond" w:cs="Arial"/>
          <w:color w:val="auto"/>
          <w:sz w:val="24"/>
          <w:szCs w:val="24"/>
          <w:lang w:val="pt-PT"/>
        </w:rPr>
        <w:t xml:space="preserve"> </w:t>
      </w:r>
      <w:r w:rsidR="00067AA4" w:rsidRPr="003A1174">
        <w:rPr>
          <w:rFonts w:ascii="Garamond" w:hAnsi="Garamond" w:cs="Arial"/>
          <w:color w:val="auto"/>
          <w:sz w:val="24"/>
          <w:szCs w:val="24"/>
          <w:lang w:val="pt-PT"/>
        </w:rPr>
        <w:t>estruturais</w:t>
      </w:r>
      <w:r w:rsidR="005E2542"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entanto, </w:t>
      </w:r>
      <w:r w:rsidR="00661ADB" w:rsidRPr="003A1174">
        <w:rPr>
          <w:rFonts w:ascii="Garamond" w:hAnsi="Garamond" w:cs="Arial"/>
          <w:color w:val="auto"/>
          <w:sz w:val="24"/>
          <w:szCs w:val="24"/>
          <w:lang w:val="pt-PT"/>
        </w:rPr>
        <w:t>estabelec</w:t>
      </w:r>
      <w:r w:rsidRPr="003A1174">
        <w:rPr>
          <w:rFonts w:ascii="Garamond" w:hAnsi="Garamond" w:cs="Arial"/>
          <w:color w:val="auto"/>
          <w:sz w:val="24"/>
          <w:szCs w:val="24"/>
          <w:lang w:val="pt-PT"/>
        </w:rPr>
        <w:t xml:space="preserve">eram-se </w:t>
      </w:r>
      <w:r w:rsidR="00967370" w:rsidRPr="003A1174">
        <w:rPr>
          <w:rFonts w:ascii="Garamond" w:hAnsi="Garamond" w:cs="Arial"/>
          <w:color w:val="auto"/>
          <w:sz w:val="24"/>
          <w:szCs w:val="24"/>
          <w:lang w:val="pt-PT"/>
        </w:rPr>
        <w:t>aliança</w:t>
      </w:r>
      <w:r w:rsidR="00955D60" w:rsidRPr="003A1174">
        <w:rPr>
          <w:rFonts w:ascii="Garamond" w:hAnsi="Garamond" w:cs="Arial"/>
          <w:color w:val="auto"/>
          <w:sz w:val="24"/>
          <w:szCs w:val="24"/>
          <w:lang w:val="pt-PT"/>
        </w:rPr>
        <w:t xml:space="preserve">s importantes para </w:t>
      </w:r>
      <w:r w:rsidR="00964875" w:rsidRPr="003A1174">
        <w:rPr>
          <w:rFonts w:ascii="Garamond" w:hAnsi="Garamond" w:cs="Arial"/>
          <w:color w:val="auto"/>
          <w:sz w:val="24"/>
          <w:szCs w:val="24"/>
          <w:lang w:val="pt-PT"/>
        </w:rPr>
        <w:t>melhorar</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886D6A" w:rsidRPr="003A1174">
        <w:rPr>
          <w:rFonts w:ascii="Garamond" w:hAnsi="Garamond" w:cs="Arial"/>
          <w:color w:val="auto"/>
          <w:sz w:val="24"/>
          <w:szCs w:val="24"/>
          <w:lang w:val="pt-PT"/>
        </w:rPr>
        <w:t>acesso</w:t>
      </w:r>
      <w:r w:rsidR="00955D60"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9A3B28">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9A0CC2" w:rsidRPr="003A1174">
        <w:rPr>
          <w:rFonts w:ascii="Garamond" w:hAnsi="Garamond" w:cs="Arial"/>
          <w:color w:val="auto"/>
          <w:sz w:val="24"/>
          <w:szCs w:val="24"/>
          <w:lang w:val="pt-PT"/>
        </w:rPr>
        <w:t>através</w:t>
      </w:r>
      <w:r w:rsidRPr="003A1174">
        <w:rPr>
          <w:rFonts w:ascii="Garamond" w:hAnsi="Garamond" w:cs="Arial"/>
          <w:color w:val="auto"/>
          <w:sz w:val="24"/>
          <w:szCs w:val="24"/>
          <w:lang w:val="pt-PT"/>
        </w:rPr>
        <w:t xml:space="preserve"> de um</w:t>
      </w:r>
      <w:r w:rsidR="00955D60" w:rsidRPr="003A1174">
        <w:rPr>
          <w:rFonts w:ascii="Garamond" w:hAnsi="Garamond" w:cs="Arial"/>
          <w:color w:val="auto"/>
          <w:sz w:val="24"/>
          <w:szCs w:val="24"/>
          <w:lang w:val="pt-PT"/>
        </w:rPr>
        <w:t xml:space="preserve">a </w:t>
      </w:r>
      <w:r w:rsidR="00C965B4" w:rsidRPr="003A1174">
        <w:rPr>
          <w:rFonts w:ascii="Garamond" w:hAnsi="Garamond" w:cs="Arial"/>
          <w:color w:val="auto"/>
          <w:sz w:val="24"/>
          <w:szCs w:val="24"/>
          <w:lang w:val="pt-PT"/>
        </w:rPr>
        <w:t>série</w:t>
      </w:r>
      <w:r w:rsidR="00955D60" w:rsidRPr="003A1174">
        <w:rPr>
          <w:rFonts w:ascii="Garamond" w:hAnsi="Garamond" w:cs="Arial"/>
          <w:color w:val="auto"/>
          <w:sz w:val="24"/>
          <w:szCs w:val="24"/>
          <w:lang w:val="pt-PT"/>
        </w:rPr>
        <w:t xml:space="preserve"> de </w:t>
      </w:r>
      <w:r w:rsidR="002C7510" w:rsidRPr="003A1174">
        <w:rPr>
          <w:rFonts w:ascii="Garamond" w:hAnsi="Garamond" w:cs="Arial"/>
          <w:color w:val="auto"/>
          <w:sz w:val="24"/>
          <w:szCs w:val="24"/>
          <w:lang w:val="pt-PT"/>
        </w:rPr>
        <w:t>ações</w:t>
      </w:r>
      <w:r w:rsidR="00955D60" w:rsidRPr="003A1174">
        <w:rPr>
          <w:rFonts w:ascii="Garamond" w:hAnsi="Garamond" w:cs="Arial"/>
          <w:color w:val="auto"/>
          <w:sz w:val="24"/>
          <w:szCs w:val="24"/>
          <w:lang w:val="pt-PT"/>
        </w:rPr>
        <w:t xml:space="preserve"> de </w:t>
      </w:r>
      <w:r w:rsidR="00DD6896">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sistemas de </w:t>
      </w:r>
      <w:r w:rsidR="00632851" w:rsidRPr="003A1174">
        <w:rPr>
          <w:rFonts w:ascii="Garamond" w:hAnsi="Garamond" w:cs="Arial"/>
          <w:color w:val="auto"/>
          <w:sz w:val="24"/>
          <w:szCs w:val="24"/>
          <w:lang w:val="pt-PT"/>
        </w:rPr>
        <w:t>monotorização</w:t>
      </w:r>
      <w:r w:rsidR="009A3B28">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 xml:space="preserve">inda </w:t>
      </w:r>
      <w:r w:rsidR="00955D60" w:rsidRPr="003A1174">
        <w:rPr>
          <w:rFonts w:ascii="Garamond" w:hAnsi="Garamond" w:cs="Arial"/>
          <w:color w:val="auto"/>
          <w:sz w:val="24"/>
          <w:szCs w:val="24"/>
          <w:lang w:val="pt-PT"/>
        </w:rPr>
        <w:t>incipientes</w:t>
      </w:r>
      <w:r w:rsidR="005E2542" w:rsidRPr="003A1174">
        <w:rPr>
          <w:rFonts w:ascii="Garamond" w:hAnsi="Garamond" w:cs="Arial"/>
          <w:color w:val="auto"/>
          <w:sz w:val="24"/>
          <w:szCs w:val="24"/>
          <w:lang w:val="pt-PT"/>
        </w:rPr>
        <w:t xml:space="preserve">. </w:t>
      </w:r>
      <w:r w:rsidR="00120915" w:rsidRPr="003A1174">
        <w:rPr>
          <w:rFonts w:ascii="Garamond" w:hAnsi="Garamond" w:cs="Arial"/>
          <w:color w:val="auto"/>
          <w:sz w:val="24"/>
          <w:szCs w:val="24"/>
          <w:lang w:val="pt-PT"/>
        </w:rPr>
        <w:t>Porém</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que se refere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de género </w:t>
      </w:r>
      <w:r w:rsidR="00F96DD1" w:rsidRPr="003A1174">
        <w:rPr>
          <w:rFonts w:ascii="Garamond" w:hAnsi="Garamond" w:cs="Arial"/>
          <w:color w:val="auto"/>
          <w:sz w:val="24"/>
          <w:szCs w:val="24"/>
          <w:lang w:val="pt-PT"/>
        </w:rPr>
        <w:t>há</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ainda um longo </w:t>
      </w:r>
      <w:r w:rsidR="00455D57" w:rsidRPr="003A1174">
        <w:rPr>
          <w:rFonts w:ascii="Garamond" w:hAnsi="Garamond" w:cs="Arial"/>
          <w:color w:val="auto"/>
          <w:sz w:val="24"/>
          <w:szCs w:val="24"/>
          <w:lang w:val="pt-PT"/>
        </w:rPr>
        <w:t>caminho</w:t>
      </w:r>
      <w:r w:rsidR="00955D60" w:rsidRPr="003A1174">
        <w:rPr>
          <w:rFonts w:ascii="Garamond" w:hAnsi="Garamond" w:cs="Arial"/>
          <w:color w:val="auto"/>
          <w:sz w:val="24"/>
          <w:szCs w:val="24"/>
          <w:lang w:val="pt-PT"/>
        </w:rPr>
        <w:t xml:space="preserve"> </w:t>
      </w:r>
      <w:r w:rsidR="009A3B28">
        <w:rPr>
          <w:rFonts w:ascii="Garamond" w:hAnsi="Garamond" w:cs="Arial"/>
          <w:color w:val="auto"/>
          <w:sz w:val="24"/>
          <w:szCs w:val="24"/>
          <w:lang w:val="pt-PT"/>
        </w:rPr>
        <w:t xml:space="preserve">a </w:t>
      </w:r>
      <w:r w:rsidRPr="003A1174">
        <w:rPr>
          <w:rFonts w:ascii="Garamond" w:hAnsi="Garamond" w:cs="Arial"/>
          <w:color w:val="auto"/>
          <w:sz w:val="24"/>
          <w:szCs w:val="24"/>
          <w:lang w:val="pt-PT"/>
        </w:rPr>
        <w:t xml:space="preserve">percorrer, </w:t>
      </w:r>
      <w:r w:rsidR="00955D60" w:rsidRPr="003A1174">
        <w:rPr>
          <w:rFonts w:ascii="Garamond" w:hAnsi="Garamond" w:cs="Arial"/>
          <w:color w:val="auto"/>
          <w:sz w:val="24"/>
          <w:szCs w:val="24"/>
          <w:lang w:val="pt-PT"/>
        </w:rPr>
        <w:t>o que contribu</w:t>
      </w:r>
      <w:r w:rsidRPr="003A1174">
        <w:rPr>
          <w:rFonts w:ascii="Garamond" w:hAnsi="Garamond" w:cs="Arial"/>
          <w:color w:val="auto"/>
          <w:sz w:val="24"/>
          <w:szCs w:val="24"/>
          <w:lang w:val="pt-PT"/>
        </w:rPr>
        <w:t xml:space="preserve">i para que uma quantidade </w:t>
      </w:r>
      <w:r w:rsidR="00955D60" w:rsidRPr="003A1174">
        <w:rPr>
          <w:rFonts w:ascii="Garamond" w:hAnsi="Garamond" w:cs="Arial"/>
          <w:color w:val="auto"/>
          <w:sz w:val="24"/>
          <w:szCs w:val="24"/>
          <w:lang w:val="pt-PT"/>
        </w:rPr>
        <w:t xml:space="preserve">significativa de </w:t>
      </w:r>
      <w:r w:rsidR="00054EE0" w:rsidRPr="003A1174">
        <w:rPr>
          <w:rFonts w:ascii="Garamond" w:hAnsi="Garamond" w:cs="Arial"/>
          <w:color w:val="auto"/>
          <w:sz w:val="24"/>
          <w:szCs w:val="24"/>
          <w:lang w:val="pt-PT"/>
        </w:rPr>
        <w:t>mulheres</w:t>
      </w:r>
      <w:r w:rsidR="00955D60" w:rsidRPr="003A1174">
        <w:rPr>
          <w:rFonts w:ascii="Garamond" w:hAnsi="Garamond" w:cs="Arial"/>
          <w:color w:val="auto"/>
          <w:sz w:val="24"/>
          <w:szCs w:val="24"/>
          <w:lang w:val="pt-PT"/>
        </w:rPr>
        <w:t xml:space="preserve"> violentadas renuncie</w:t>
      </w:r>
      <w:r w:rsidRPr="003A1174">
        <w:rPr>
          <w:rFonts w:ascii="Garamond" w:hAnsi="Garamond" w:cs="Arial"/>
          <w:color w:val="auto"/>
          <w:sz w:val="24"/>
          <w:szCs w:val="24"/>
          <w:lang w:val="pt-PT"/>
        </w:rPr>
        <w:t xml:space="preserve">m </w:t>
      </w:r>
      <w:r w:rsidR="00955D60" w:rsidRPr="003A1174">
        <w:rPr>
          <w:rFonts w:ascii="Garamond" w:eastAsia="Times New Roman" w:hAnsi="Garamond" w:cs="Arial"/>
          <w:color w:val="auto"/>
          <w:sz w:val="24"/>
          <w:szCs w:val="24"/>
          <w:lang w:val="pt-PT" w:eastAsia="es-ES"/>
        </w:rPr>
        <w:t>a continuar co</w:t>
      </w:r>
      <w:r w:rsidRPr="003A1174">
        <w:rPr>
          <w:rFonts w:ascii="Garamond" w:eastAsia="Times New Roman" w:hAnsi="Garamond" w:cs="Arial"/>
          <w:color w:val="auto"/>
          <w:sz w:val="24"/>
          <w:szCs w:val="24"/>
          <w:lang w:val="pt-PT" w:eastAsia="es-ES"/>
        </w:rPr>
        <w:t xml:space="preserve">m </w:t>
      </w:r>
      <w:r w:rsidR="001C315D" w:rsidRPr="003A1174">
        <w:rPr>
          <w:rFonts w:ascii="Garamond" w:eastAsia="Times New Roman" w:hAnsi="Garamond" w:cs="Arial"/>
          <w:color w:val="auto"/>
          <w:sz w:val="24"/>
          <w:szCs w:val="24"/>
          <w:lang w:val="pt-PT" w:eastAsia="es-ES"/>
        </w:rPr>
        <w:t>a</w:t>
      </w:r>
      <w:r w:rsidR="00955D60" w:rsidRPr="003A1174">
        <w:rPr>
          <w:rFonts w:ascii="Garamond" w:eastAsia="Times New Roman" w:hAnsi="Garamond" w:cs="Arial"/>
          <w:color w:val="auto"/>
          <w:sz w:val="24"/>
          <w:szCs w:val="24"/>
          <w:lang w:val="pt-PT" w:eastAsia="es-ES"/>
        </w:rPr>
        <w:t xml:space="preserve">s </w:t>
      </w:r>
      <w:r w:rsidR="001C315D" w:rsidRPr="003A1174">
        <w:rPr>
          <w:rFonts w:ascii="Garamond" w:eastAsia="Times New Roman" w:hAnsi="Garamond" w:cs="Arial"/>
          <w:color w:val="auto"/>
          <w:sz w:val="24"/>
          <w:szCs w:val="24"/>
          <w:lang w:val="pt-PT" w:eastAsia="es-ES"/>
        </w:rPr>
        <w:t>tramitações</w:t>
      </w:r>
      <w:r w:rsidR="00955D60" w:rsidRPr="003A1174">
        <w:rPr>
          <w:rFonts w:ascii="Garamond" w:eastAsia="Times New Roman" w:hAnsi="Garamond" w:cs="Arial"/>
          <w:color w:val="auto"/>
          <w:sz w:val="24"/>
          <w:szCs w:val="24"/>
          <w:lang w:val="pt-PT" w:eastAsia="es-ES"/>
        </w:rPr>
        <w:t xml:space="preserve"> </w:t>
      </w:r>
      <w:r w:rsidR="002D1021" w:rsidRPr="003A1174">
        <w:rPr>
          <w:rFonts w:ascii="Garamond" w:eastAsia="Times New Roman" w:hAnsi="Garamond" w:cs="Arial"/>
          <w:color w:val="auto"/>
          <w:sz w:val="24"/>
          <w:szCs w:val="24"/>
          <w:lang w:val="pt-PT" w:eastAsia="es-ES"/>
        </w:rPr>
        <w:t>legais</w:t>
      </w:r>
      <w:r w:rsidR="00955D60" w:rsidRPr="003A1174">
        <w:rPr>
          <w:rFonts w:ascii="Garamond" w:eastAsia="Times New Roman" w:hAnsi="Garamond" w:cs="Arial"/>
          <w:color w:val="auto"/>
          <w:sz w:val="24"/>
          <w:szCs w:val="24"/>
          <w:lang w:val="pt-PT" w:eastAsia="es-ES"/>
        </w:rPr>
        <w:t xml:space="preserve"> </w:t>
      </w:r>
      <w:r w:rsidRPr="003A1174">
        <w:rPr>
          <w:rFonts w:ascii="Garamond" w:eastAsia="Times New Roman" w:hAnsi="Garamond" w:cs="Arial"/>
          <w:color w:val="auto"/>
          <w:sz w:val="24"/>
          <w:szCs w:val="24"/>
          <w:lang w:val="pt-PT" w:eastAsia="es-ES"/>
        </w:rPr>
        <w:t xml:space="preserve">para </w:t>
      </w:r>
      <w:r w:rsidR="009A3B28">
        <w:rPr>
          <w:rFonts w:ascii="Garamond" w:eastAsia="Times New Roman" w:hAnsi="Garamond" w:cs="Arial"/>
          <w:color w:val="auto"/>
          <w:sz w:val="24"/>
          <w:szCs w:val="24"/>
          <w:lang w:val="pt-PT" w:eastAsia="es-ES"/>
        </w:rPr>
        <w:t xml:space="preserve">reivindicar os </w:t>
      </w:r>
      <w:r w:rsidR="00955D60" w:rsidRPr="003A1174">
        <w:rPr>
          <w:rFonts w:ascii="Garamond" w:eastAsia="Times New Roman" w:hAnsi="Garamond" w:cs="Arial"/>
          <w:color w:val="auto"/>
          <w:sz w:val="24"/>
          <w:szCs w:val="24"/>
          <w:lang w:val="pt-PT" w:eastAsia="es-ES"/>
        </w:rPr>
        <w:t>s</w:t>
      </w:r>
      <w:r w:rsidRPr="003A1174">
        <w:rPr>
          <w:rFonts w:ascii="Garamond" w:eastAsia="Times New Roman" w:hAnsi="Garamond" w:cs="Arial"/>
          <w:color w:val="auto"/>
          <w:sz w:val="24"/>
          <w:szCs w:val="24"/>
          <w:lang w:val="pt-PT" w:eastAsia="es-ES"/>
        </w:rPr>
        <w:t>e</w:t>
      </w:r>
      <w:r w:rsidR="00955D60" w:rsidRPr="003A1174">
        <w:rPr>
          <w:rFonts w:ascii="Garamond" w:eastAsia="Times New Roman" w:hAnsi="Garamond" w:cs="Arial"/>
          <w:color w:val="auto"/>
          <w:sz w:val="24"/>
          <w:szCs w:val="24"/>
          <w:lang w:val="pt-PT" w:eastAsia="es-ES"/>
        </w:rPr>
        <w:t xml:space="preserve">us </w:t>
      </w:r>
      <w:r w:rsidR="00886D6A" w:rsidRPr="003A1174">
        <w:rPr>
          <w:rFonts w:ascii="Garamond" w:eastAsia="Times New Roman" w:hAnsi="Garamond" w:cs="Arial"/>
          <w:color w:val="auto"/>
          <w:sz w:val="24"/>
          <w:szCs w:val="24"/>
          <w:lang w:val="pt-PT" w:eastAsia="es-ES"/>
        </w:rPr>
        <w:t>direito</w:t>
      </w:r>
      <w:r w:rsidR="00955D60" w:rsidRPr="003A1174">
        <w:rPr>
          <w:rFonts w:ascii="Garamond" w:eastAsia="Times New Roman" w:hAnsi="Garamond" w:cs="Arial"/>
          <w:color w:val="auto"/>
          <w:sz w:val="24"/>
          <w:szCs w:val="24"/>
          <w:lang w:val="pt-PT" w:eastAsia="es-ES"/>
        </w:rPr>
        <w:t>s.</w:t>
      </w:r>
    </w:p>
    <w:p w:rsidR="00823BE0" w:rsidRPr="003A1174" w:rsidRDefault="00C30647" w:rsidP="008719D4">
      <w:pPr>
        <w:pStyle w:val="Ttulo3"/>
        <w:spacing w:line="240" w:lineRule="auto"/>
        <w:rPr>
          <w:rFonts w:ascii="Garamond" w:hAnsi="Garamond"/>
          <w:sz w:val="24"/>
          <w:szCs w:val="24"/>
        </w:rPr>
      </w:pPr>
      <w:bookmarkStart w:id="65" w:name="_Toc421529753"/>
      <w:r w:rsidRPr="003A1174">
        <w:rPr>
          <w:rFonts w:ascii="Garamond" w:hAnsi="Garamond"/>
          <w:sz w:val="24"/>
          <w:szCs w:val="24"/>
        </w:rPr>
        <w:t>Peru</w:t>
      </w:r>
      <w:bookmarkEnd w:id="65"/>
    </w:p>
    <w:p w:rsidR="00823BE0" w:rsidRPr="003A1174" w:rsidRDefault="00823BE0"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823BE0" w:rsidRPr="003A1174" w:rsidRDefault="00BA0128" w:rsidP="008719D4">
      <w:pPr>
        <w:pStyle w:val="ListParagraph1"/>
        <w:suppressAutoHyphens/>
        <w:spacing w:before="240" w:line="240" w:lineRule="auto"/>
        <w:ind w:left="0"/>
        <w:jc w:val="both"/>
        <w:rPr>
          <w:rFonts w:ascii="Garamond" w:eastAsia="Arial" w:hAnsi="Garamond" w:cs="Arial"/>
          <w:bCs/>
          <w:sz w:val="24"/>
          <w:szCs w:val="24"/>
          <w:lang w:val="pt-PT"/>
        </w:rPr>
      </w:pPr>
      <w:r w:rsidRPr="003A1174">
        <w:rPr>
          <w:rFonts w:ascii="Garamond" w:hAnsi="Garamond" w:cs="Arial"/>
          <w:sz w:val="24"/>
          <w:szCs w:val="24"/>
          <w:lang w:val="pt-PT"/>
        </w:rPr>
        <w:t xml:space="preserve">Informa-se </w:t>
      </w:r>
      <w:r w:rsidR="00823BE0" w:rsidRPr="003A1174">
        <w:rPr>
          <w:rFonts w:ascii="Garamond" w:hAnsi="Garamond" w:cs="Arial"/>
          <w:sz w:val="24"/>
          <w:szCs w:val="24"/>
          <w:lang w:val="pt-PT"/>
        </w:rPr>
        <w:t>que</w:t>
      </w:r>
      <w:r w:rsidR="009A3B28">
        <w:rPr>
          <w:rFonts w:ascii="Garamond" w:hAnsi="Garamond" w:cs="Arial"/>
          <w:sz w:val="24"/>
          <w:szCs w:val="24"/>
          <w:lang w:val="pt-PT"/>
        </w:rPr>
        <w:t>,</w:t>
      </w:r>
      <w:r w:rsidR="00823BE0" w:rsidRPr="003A1174">
        <w:rPr>
          <w:rFonts w:ascii="Garamond" w:hAnsi="Garamond" w:cs="Arial"/>
          <w:sz w:val="24"/>
          <w:szCs w:val="24"/>
          <w:lang w:val="pt-PT"/>
        </w:rPr>
        <w:t xml:space="preserve"> </w:t>
      </w:r>
      <w:r w:rsidRPr="003A1174">
        <w:rPr>
          <w:rFonts w:ascii="Garamond" w:hAnsi="Garamond" w:cs="Arial"/>
          <w:sz w:val="24"/>
          <w:szCs w:val="24"/>
          <w:lang w:val="pt-PT"/>
        </w:rPr>
        <w:t>no</w:t>
      </w:r>
      <w:r w:rsidR="00E60158" w:rsidRPr="003A1174">
        <w:rPr>
          <w:rFonts w:ascii="Garamond" w:hAnsi="Garamond" w:cs="Arial"/>
          <w:sz w:val="24"/>
          <w:szCs w:val="24"/>
          <w:lang w:val="pt-PT"/>
        </w:rPr>
        <w:t xml:space="preserve"> </w:t>
      </w:r>
      <w:r w:rsidR="00802ACC" w:rsidRPr="003A1174">
        <w:rPr>
          <w:rFonts w:ascii="Garamond" w:hAnsi="Garamond" w:cs="Arial"/>
          <w:sz w:val="24"/>
          <w:szCs w:val="24"/>
          <w:lang w:val="pt-PT"/>
        </w:rPr>
        <w:t>âmbito</w:t>
      </w:r>
      <w:r w:rsidR="00E60158" w:rsidRPr="003A1174">
        <w:rPr>
          <w:rFonts w:ascii="Garamond" w:hAnsi="Garamond" w:cs="Arial"/>
          <w:sz w:val="24"/>
          <w:szCs w:val="24"/>
          <w:lang w:val="pt-PT"/>
        </w:rPr>
        <w:t xml:space="preserve"> nacional</w:t>
      </w:r>
      <w:r w:rsidR="009A3B28">
        <w:rPr>
          <w:rFonts w:ascii="Garamond" w:hAnsi="Garamond" w:cs="Arial"/>
          <w:sz w:val="24"/>
          <w:szCs w:val="24"/>
          <w:lang w:val="pt-PT"/>
        </w:rPr>
        <w:t>,</w:t>
      </w:r>
      <w:r w:rsidR="00E60158" w:rsidRPr="003A1174">
        <w:rPr>
          <w:rFonts w:ascii="Garamond" w:hAnsi="Garamond" w:cs="Arial"/>
          <w:sz w:val="24"/>
          <w:szCs w:val="24"/>
          <w:lang w:val="pt-PT"/>
        </w:rPr>
        <w:t xml:space="preserve"> </w:t>
      </w:r>
      <w:r w:rsidR="00823BE0" w:rsidRPr="003A1174">
        <w:rPr>
          <w:rFonts w:ascii="Garamond" w:hAnsi="Garamond" w:cs="Arial"/>
          <w:sz w:val="24"/>
          <w:szCs w:val="24"/>
          <w:lang w:val="pt-PT"/>
        </w:rPr>
        <w:t xml:space="preserve">os operadores de </w:t>
      </w:r>
      <w:r w:rsidR="00FC1F7F" w:rsidRPr="003A1174">
        <w:rPr>
          <w:rFonts w:ascii="Garamond" w:hAnsi="Garamond" w:cs="Arial"/>
          <w:sz w:val="24"/>
          <w:szCs w:val="24"/>
          <w:lang w:val="pt-PT"/>
        </w:rPr>
        <w:t>justiça</w:t>
      </w:r>
      <w:r w:rsidR="00823BE0" w:rsidRPr="003A1174">
        <w:rPr>
          <w:rFonts w:ascii="Garamond" w:hAnsi="Garamond" w:cs="Arial"/>
          <w:sz w:val="24"/>
          <w:szCs w:val="24"/>
          <w:lang w:val="pt-PT"/>
        </w:rPr>
        <w:t xml:space="preserve"> competentes </w:t>
      </w:r>
      <w:r w:rsidR="00A862C2" w:rsidRPr="003A1174">
        <w:rPr>
          <w:rFonts w:ascii="Garamond" w:hAnsi="Garamond" w:cs="Arial"/>
          <w:sz w:val="24"/>
          <w:szCs w:val="24"/>
          <w:lang w:val="pt-PT"/>
        </w:rPr>
        <w:t>deve</w:t>
      </w:r>
      <w:r w:rsidR="00E60158" w:rsidRPr="003A1174">
        <w:rPr>
          <w:rFonts w:ascii="Garamond" w:hAnsi="Garamond" w:cs="Arial"/>
          <w:sz w:val="24"/>
          <w:szCs w:val="24"/>
          <w:lang w:val="pt-PT"/>
        </w:rPr>
        <w:t>m</w:t>
      </w:r>
      <w:r w:rsidR="00823BE0" w:rsidRPr="003A1174">
        <w:rPr>
          <w:rFonts w:ascii="Garamond" w:hAnsi="Garamond" w:cs="Arial"/>
          <w:sz w:val="24"/>
          <w:szCs w:val="24"/>
          <w:lang w:val="pt-PT"/>
        </w:rPr>
        <w:t xml:space="preserve"> </w:t>
      </w:r>
      <w:r w:rsidR="009A3B28">
        <w:rPr>
          <w:rFonts w:ascii="Garamond" w:hAnsi="Garamond" w:cs="Arial"/>
          <w:sz w:val="24"/>
          <w:szCs w:val="24"/>
          <w:lang w:val="pt-PT"/>
        </w:rPr>
        <w:t>garantir</w:t>
      </w:r>
      <w:r w:rsidR="00823BE0" w:rsidRPr="003A1174">
        <w:rPr>
          <w:rFonts w:ascii="Garamond" w:hAnsi="Garamond" w:cs="Arial"/>
          <w:sz w:val="24"/>
          <w:szCs w:val="24"/>
          <w:lang w:val="pt-PT"/>
        </w:rPr>
        <w:t xml:space="preserve"> medidas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sempre qu</w:t>
      </w:r>
      <w:r w:rsidR="00823BE0" w:rsidRPr="003A1174">
        <w:rPr>
          <w:rFonts w:ascii="Garamond" w:hAnsi="Garamond" w:cs="Arial"/>
          <w:sz w:val="24"/>
          <w:szCs w:val="24"/>
          <w:lang w:val="pt-PT"/>
        </w:rPr>
        <w:t xml:space="preserve">e se </w:t>
      </w:r>
      <w:r w:rsidR="00F520D6" w:rsidRPr="003A1174">
        <w:rPr>
          <w:rFonts w:ascii="Garamond" w:hAnsi="Garamond" w:cs="Arial"/>
          <w:sz w:val="24"/>
          <w:szCs w:val="24"/>
          <w:lang w:val="pt-PT"/>
        </w:rPr>
        <w:t>encontr</w:t>
      </w:r>
      <w:r w:rsidR="00E60158" w:rsidRPr="003A1174">
        <w:rPr>
          <w:rFonts w:ascii="Garamond" w:hAnsi="Garamond" w:cs="Arial"/>
          <w:sz w:val="24"/>
          <w:szCs w:val="24"/>
          <w:lang w:val="pt-PT"/>
        </w:rPr>
        <w:t>e</w:t>
      </w:r>
      <w:r w:rsidR="00F520D6" w:rsidRPr="003A1174">
        <w:rPr>
          <w:rFonts w:ascii="Garamond" w:hAnsi="Garamond" w:cs="Arial"/>
          <w:sz w:val="24"/>
          <w:szCs w:val="24"/>
          <w:lang w:val="pt-PT"/>
        </w:rPr>
        <w:t>m</w:t>
      </w:r>
      <w:r w:rsidR="00823BE0" w:rsidRPr="003A1174">
        <w:rPr>
          <w:rFonts w:ascii="Garamond" w:hAnsi="Garamond" w:cs="Arial"/>
          <w:sz w:val="24"/>
          <w:szCs w:val="24"/>
          <w:lang w:val="pt-PT"/>
        </w:rPr>
        <w:t xml:space="preserve"> reguladas </w:t>
      </w:r>
      <w:r w:rsidR="00E60158" w:rsidRPr="003A1174">
        <w:rPr>
          <w:rFonts w:ascii="Garamond" w:hAnsi="Garamond" w:cs="Arial"/>
          <w:sz w:val="24"/>
          <w:szCs w:val="24"/>
          <w:lang w:val="pt-PT"/>
        </w:rPr>
        <w:t xml:space="preserve">no </w:t>
      </w:r>
      <w:r w:rsidR="00823BE0" w:rsidRPr="003A1174">
        <w:rPr>
          <w:rFonts w:ascii="Garamond" w:hAnsi="Garamond" w:cs="Arial"/>
          <w:sz w:val="24"/>
          <w:szCs w:val="24"/>
          <w:lang w:val="pt-PT"/>
        </w:rPr>
        <w:t xml:space="preserve">Texto </w:t>
      </w:r>
      <w:r w:rsidR="005E2542" w:rsidRPr="003A1174">
        <w:rPr>
          <w:rFonts w:ascii="Garamond" w:hAnsi="Garamond" w:cs="Arial"/>
          <w:sz w:val="24"/>
          <w:szCs w:val="24"/>
          <w:lang w:val="pt-PT"/>
        </w:rPr>
        <w:t>Ú</w:t>
      </w:r>
      <w:r w:rsidR="00823BE0" w:rsidRPr="003A1174">
        <w:rPr>
          <w:rFonts w:ascii="Garamond" w:hAnsi="Garamond" w:cs="Arial"/>
          <w:sz w:val="24"/>
          <w:szCs w:val="24"/>
          <w:lang w:val="pt-PT"/>
        </w:rPr>
        <w:t>nico Ordenado</w:t>
      </w:r>
      <w:r w:rsidR="005E2542" w:rsidRPr="003A1174">
        <w:rPr>
          <w:rFonts w:ascii="Garamond" w:hAnsi="Garamond" w:cs="Arial"/>
          <w:sz w:val="24"/>
          <w:szCs w:val="24"/>
          <w:lang w:val="pt-PT"/>
        </w:rPr>
        <w:t xml:space="preserve"> </w:t>
      </w:r>
      <w:r w:rsidR="00823BE0" w:rsidRPr="003A1174">
        <w:rPr>
          <w:rFonts w:ascii="Garamond" w:hAnsi="Garamond" w:cs="Arial"/>
          <w:sz w:val="24"/>
          <w:szCs w:val="24"/>
          <w:lang w:val="pt-PT"/>
        </w:rPr>
        <w:t xml:space="preserve">que </w:t>
      </w:r>
      <w:r w:rsidRPr="003A1174">
        <w:rPr>
          <w:rFonts w:ascii="Garamond" w:hAnsi="Garamond" w:cs="Arial"/>
          <w:sz w:val="24"/>
          <w:szCs w:val="24"/>
          <w:lang w:val="pt-PT"/>
        </w:rPr>
        <w:t xml:space="preserve">diga respeito </w:t>
      </w:r>
      <w:r w:rsidR="00BB2B00" w:rsidRPr="003A1174">
        <w:rPr>
          <w:rFonts w:ascii="Garamond" w:hAnsi="Garamond" w:cs="Arial"/>
          <w:sz w:val="24"/>
          <w:szCs w:val="24"/>
          <w:lang w:val="pt-PT"/>
        </w:rPr>
        <w:t>à</w:t>
      </w:r>
      <w:r w:rsidR="00823BE0" w:rsidRPr="003A1174">
        <w:rPr>
          <w:rFonts w:ascii="Garamond" w:hAnsi="Garamond" w:cs="Arial"/>
          <w:sz w:val="24"/>
          <w:szCs w:val="24"/>
          <w:lang w:val="pt-PT"/>
        </w:rPr>
        <w:t xml:space="preserve"> </w:t>
      </w:r>
      <w:r w:rsidR="00D15AFF" w:rsidRPr="003A1174">
        <w:rPr>
          <w:rFonts w:ascii="Garamond" w:hAnsi="Garamond" w:cs="Arial"/>
          <w:sz w:val="24"/>
          <w:szCs w:val="24"/>
          <w:lang w:val="pt-PT"/>
        </w:rPr>
        <w:t>Lei</w:t>
      </w:r>
      <w:r w:rsidR="00823BE0" w:rsidRPr="003A1174">
        <w:rPr>
          <w:rFonts w:ascii="Garamond" w:hAnsi="Garamond" w:cs="Arial"/>
          <w:sz w:val="24"/>
          <w:szCs w:val="24"/>
          <w:lang w:val="pt-PT"/>
        </w:rPr>
        <w:t xml:space="preserve">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 xml:space="preserve">Perante a </w:t>
      </w:r>
      <w:r w:rsidR="000350B1" w:rsidRPr="003A1174">
        <w:rPr>
          <w:rFonts w:ascii="Garamond" w:hAnsi="Garamond" w:cs="Arial"/>
          <w:sz w:val="24"/>
          <w:szCs w:val="24"/>
          <w:lang w:val="pt-PT"/>
        </w:rPr>
        <w:t>Violência</w:t>
      </w:r>
      <w:r w:rsidR="00823BE0" w:rsidRPr="003A1174">
        <w:rPr>
          <w:rFonts w:ascii="Garamond" w:hAnsi="Garamond" w:cs="Arial"/>
          <w:sz w:val="24"/>
          <w:szCs w:val="24"/>
          <w:lang w:val="pt-PT"/>
        </w:rPr>
        <w:t xml:space="preserve"> Familiar, </w:t>
      </w:r>
      <w:r w:rsidR="00D15AFF" w:rsidRPr="003A1174">
        <w:rPr>
          <w:rFonts w:ascii="Garamond" w:hAnsi="Garamond" w:cs="Arial"/>
          <w:sz w:val="24"/>
          <w:szCs w:val="24"/>
          <w:lang w:val="pt-PT"/>
        </w:rPr>
        <w:t>Lei</w:t>
      </w:r>
      <w:r w:rsidR="00823BE0" w:rsidRPr="003A1174">
        <w:rPr>
          <w:rFonts w:ascii="Garamond" w:hAnsi="Garamond" w:cs="Arial"/>
          <w:sz w:val="24"/>
          <w:szCs w:val="24"/>
          <w:lang w:val="pt-PT"/>
        </w:rPr>
        <w:t xml:space="preserve"> N</w:t>
      </w:r>
      <w:r w:rsidR="009A3B28">
        <w:rPr>
          <w:rFonts w:ascii="Garamond" w:hAnsi="Garamond" w:cs="Arial"/>
          <w:sz w:val="24"/>
          <w:szCs w:val="24"/>
          <w:lang w:val="pt-PT"/>
        </w:rPr>
        <w:t>.</w:t>
      </w:r>
      <w:r w:rsidR="00823BE0" w:rsidRPr="003A1174">
        <w:rPr>
          <w:rFonts w:ascii="Garamond" w:hAnsi="Garamond" w:cs="Arial"/>
          <w:sz w:val="24"/>
          <w:szCs w:val="24"/>
          <w:lang w:val="pt-PT"/>
        </w:rPr>
        <w:t>º 26</w:t>
      </w:r>
      <w:r w:rsidR="009A3B28">
        <w:rPr>
          <w:rFonts w:ascii="Garamond" w:hAnsi="Garamond" w:cs="Arial"/>
          <w:sz w:val="24"/>
          <w:szCs w:val="24"/>
          <w:lang w:val="pt-PT"/>
        </w:rPr>
        <w:t xml:space="preserve"> </w:t>
      </w:r>
      <w:r w:rsidR="00823BE0" w:rsidRPr="003A1174">
        <w:rPr>
          <w:rFonts w:ascii="Garamond" w:hAnsi="Garamond" w:cs="Arial"/>
          <w:sz w:val="24"/>
          <w:szCs w:val="24"/>
          <w:lang w:val="pt-PT"/>
        </w:rPr>
        <w:t xml:space="preserve">260 </w:t>
      </w:r>
      <w:r w:rsidR="000672E8" w:rsidRPr="003A1174">
        <w:rPr>
          <w:rFonts w:ascii="Garamond" w:hAnsi="Garamond" w:cs="Arial"/>
          <w:sz w:val="24"/>
          <w:szCs w:val="24"/>
          <w:lang w:val="pt-PT"/>
        </w:rPr>
        <w:t>e</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 xml:space="preserve">o </w:t>
      </w:r>
      <w:r w:rsidR="00823BE0" w:rsidRPr="003A1174">
        <w:rPr>
          <w:rFonts w:ascii="Garamond" w:hAnsi="Garamond" w:cs="Arial"/>
          <w:sz w:val="24"/>
          <w:szCs w:val="24"/>
          <w:lang w:val="pt-PT"/>
        </w:rPr>
        <w:t>s</w:t>
      </w:r>
      <w:r w:rsidR="00E60158" w:rsidRPr="003A1174">
        <w:rPr>
          <w:rFonts w:ascii="Garamond" w:hAnsi="Garamond" w:cs="Arial"/>
          <w:sz w:val="24"/>
          <w:szCs w:val="24"/>
          <w:lang w:val="pt-PT"/>
        </w:rPr>
        <w:t>e</w:t>
      </w:r>
      <w:r w:rsidR="00823BE0" w:rsidRPr="003A1174">
        <w:rPr>
          <w:rFonts w:ascii="Garamond" w:hAnsi="Garamond" w:cs="Arial"/>
          <w:sz w:val="24"/>
          <w:szCs w:val="24"/>
          <w:lang w:val="pt-PT"/>
        </w:rPr>
        <w:t xml:space="preserve">u </w:t>
      </w:r>
      <w:r w:rsidR="00CD707D" w:rsidRPr="003A1174">
        <w:rPr>
          <w:rFonts w:ascii="Garamond" w:hAnsi="Garamond" w:cs="Arial"/>
          <w:sz w:val="24"/>
          <w:szCs w:val="24"/>
          <w:lang w:val="pt-PT"/>
        </w:rPr>
        <w:t>Regulamento</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 xml:space="preserve">o </w:t>
      </w:r>
      <w:r w:rsidR="00C031E1" w:rsidRPr="003A1174">
        <w:rPr>
          <w:rFonts w:ascii="Garamond" w:hAnsi="Garamond" w:cs="Arial"/>
          <w:sz w:val="24"/>
          <w:szCs w:val="24"/>
          <w:lang w:val="pt-PT"/>
        </w:rPr>
        <w:t>Título</w:t>
      </w:r>
      <w:r w:rsidR="00823BE0" w:rsidRPr="003A1174">
        <w:rPr>
          <w:rFonts w:ascii="Garamond" w:hAnsi="Garamond" w:cs="Arial"/>
          <w:sz w:val="24"/>
          <w:szCs w:val="24"/>
          <w:lang w:val="pt-PT"/>
        </w:rPr>
        <w:t xml:space="preserve"> V</w:t>
      </w:r>
      <w:r w:rsidR="009A3B28">
        <w:rPr>
          <w:rFonts w:ascii="Garamond" w:hAnsi="Garamond" w:cs="Arial"/>
          <w:sz w:val="24"/>
          <w:szCs w:val="24"/>
          <w:lang w:val="pt-PT"/>
        </w:rPr>
        <w:t>,</w:t>
      </w:r>
      <w:r w:rsidR="00823BE0" w:rsidRPr="003A1174">
        <w:rPr>
          <w:rFonts w:ascii="Garamond" w:hAnsi="Garamond" w:cs="Arial"/>
          <w:sz w:val="24"/>
          <w:szCs w:val="24"/>
          <w:lang w:val="pt-PT"/>
        </w:rPr>
        <w:t xml:space="preserve"> da </w:t>
      </w:r>
      <w:r w:rsidR="00175015" w:rsidRPr="003A1174">
        <w:rPr>
          <w:rFonts w:ascii="Garamond" w:hAnsi="Garamond" w:cs="Arial"/>
          <w:sz w:val="24"/>
          <w:szCs w:val="24"/>
          <w:lang w:val="pt-PT"/>
        </w:rPr>
        <w:t>Secção</w:t>
      </w:r>
      <w:r w:rsidR="00823BE0" w:rsidRPr="003A1174">
        <w:rPr>
          <w:rFonts w:ascii="Garamond" w:hAnsi="Garamond" w:cs="Arial"/>
          <w:sz w:val="24"/>
          <w:szCs w:val="24"/>
          <w:lang w:val="pt-PT"/>
        </w:rPr>
        <w:t xml:space="preserve"> II</w:t>
      </w:r>
      <w:r w:rsidR="009A3B28">
        <w:rPr>
          <w:rFonts w:ascii="Garamond" w:hAnsi="Garamond" w:cs="Arial"/>
          <w:sz w:val="24"/>
          <w:szCs w:val="24"/>
          <w:lang w:val="pt-PT"/>
        </w:rPr>
        <w:t>,</w:t>
      </w:r>
      <w:r w:rsidR="00823BE0"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823BE0" w:rsidRPr="003A1174">
        <w:rPr>
          <w:rFonts w:ascii="Garamond" w:hAnsi="Garamond" w:cs="Arial"/>
          <w:sz w:val="24"/>
          <w:szCs w:val="24"/>
          <w:lang w:val="pt-PT"/>
        </w:rPr>
        <w:t xml:space="preserve"> Li</w:t>
      </w:r>
      <w:r w:rsidR="00E60158" w:rsidRPr="003A1174">
        <w:rPr>
          <w:rFonts w:ascii="Garamond" w:hAnsi="Garamond" w:cs="Arial"/>
          <w:sz w:val="24"/>
          <w:szCs w:val="24"/>
          <w:lang w:val="pt-PT"/>
        </w:rPr>
        <w:t>v</w:t>
      </w:r>
      <w:r w:rsidR="00823BE0" w:rsidRPr="003A1174">
        <w:rPr>
          <w:rFonts w:ascii="Garamond" w:hAnsi="Garamond" w:cs="Arial"/>
          <w:sz w:val="24"/>
          <w:szCs w:val="24"/>
          <w:lang w:val="pt-PT"/>
        </w:rPr>
        <w:t xml:space="preserve">ro II </w:t>
      </w:r>
      <w:r w:rsidR="00E85E59" w:rsidRPr="003A1174">
        <w:rPr>
          <w:rFonts w:ascii="Garamond" w:hAnsi="Garamond" w:cs="Arial"/>
          <w:sz w:val="24"/>
          <w:szCs w:val="24"/>
          <w:lang w:val="pt-PT"/>
        </w:rPr>
        <w:t>do</w:t>
      </w:r>
      <w:r w:rsidR="00823BE0" w:rsidRPr="003A1174">
        <w:rPr>
          <w:rFonts w:ascii="Garamond" w:hAnsi="Garamond" w:cs="Arial"/>
          <w:sz w:val="24"/>
          <w:szCs w:val="24"/>
          <w:lang w:val="pt-PT"/>
        </w:rPr>
        <w:t xml:space="preserve"> </w:t>
      </w:r>
      <w:r w:rsidR="005D38DC" w:rsidRPr="003A1174">
        <w:rPr>
          <w:rFonts w:ascii="Garamond" w:hAnsi="Garamond" w:cs="Arial"/>
          <w:sz w:val="24"/>
          <w:szCs w:val="24"/>
          <w:lang w:val="pt-PT"/>
        </w:rPr>
        <w:t>Novo</w:t>
      </w:r>
      <w:r w:rsidR="00823BE0" w:rsidRPr="003A1174">
        <w:rPr>
          <w:rFonts w:ascii="Garamond" w:hAnsi="Garamond" w:cs="Arial"/>
          <w:sz w:val="24"/>
          <w:szCs w:val="24"/>
          <w:lang w:val="pt-PT"/>
        </w:rPr>
        <w:t xml:space="preserve"> Código Proces</w:t>
      </w:r>
      <w:r w:rsidR="00E60158" w:rsidRPr="003A1174">
        <w:rPr>
          <w:rFonts w:ascii="Garamond" w:hAnsi="Garamond" w:cs="Arial"/>
          <w:sz w:val="24"/>
          <w:szCs w:val="24"/>
          <w:lang w:val="pt-PT"/>
        </w:rPr>
        <w:t>sua</w:t>
      </w:r>
      <w:r w:rsidR="00823BE0" w:rsidRPr="003A1174">
        <w:rPr>
          <w:rFonts w:ascii="Garamond" w:hAnsi="Garamond" w:cs="Arial"/>
          <w:sz w:val="24"/>
          <w:szCs w:val="24"/>
          <w:lang w:val="pt-PT"/>
        </w:rPr>
        <w:t xml:space="preserve">l Penal (Medidas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 xml:space="preserve">o </w:t>
      </w:r>
      <w:r w:rsidR="00823BE0" w:rsidRPr="003A1174">
        <w:rPr>
          <w:rFonts w:ascii="Garamond" w:hAnsi="Garamond" w:cs="Arial"/>
          <w:sz w:val="24"/>
          <w:szCs w:val="24"/>
          <w:lang w:val="pt-PT"/>
        </w:rPr>
        <w:t xml:space="preserve">Decreto Supremo </w:t>
      </w:r>
      <w:proofErr w:type="gramStart"/>
      <w:r w:rsidR="00823BE0" w:rsidRPr="003A1174">
        <w:rPr>
          <w:rFonts w:ascii="Garamond" w:hAnsi="Garamond" w:cs="Arial"/>
          <w:sz w:val="24"/>
          <w:szCs w:val="24"/>
          <w:lang w:val="pt-PT"/>
        </w:rPr>
        <w:t>N</w:t>
      </w:r>
      <w:r w:rsidR="009A3B28">
        <w:rPr>
          <w:rFonts w:ascii="Garamond" w:hAnsi="Garamond" w:cs="Arial"/>
          <w:sz w:val="24"/>
          <w:szCs w:val="24"/>
          <w:lang w:val="pt-PT"/>
        </w:rPr>
        <w:t>,</w:t>
      </w:r>
      <w:proofErr w:type="gramEnd"/>
      <w:r w:rsidR="00823BE0" w:rsidRPr="003A1174">
        <w:rPr>
          <w:rFonts w:ascii="Garamond" w:hAnsi="Garamond" w:cs="Arial"/>
          <w:sz w:val="24"/>
          <w:szCs w:val="24"/>
          <w:lang w:val="pt-PT"/>
        </w:rPr>
        <w:t xml:space="preserve">º 003-2010-JUS, </w:t>
      </w:r>
      <w:r w:rsidR="00CD707D" w:rsidRPr="003A1174">
        <w:rPr>
          <w:rFonts w:ascii="Garamond" w:hAnsi="Garamond" w:cs="Arial"/>
          <w:sz w:val="24"/>
          <w:szCs w:val="24"/>
          <w:lang w:val="pt-PT"/>
        </w:rPr>
        <w:t>Regulamento</w:t>
      </w:r>
      <w:r w:rsidR="00823BE0"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823BE0" w:rsidRPr="003A1174">
        <w:rPr>
          <w:rFonts w:ascii="Garamond" w:hAnsi="Garamond" w:cs="Arial"/>
          <w:sz w:val="24"/>
          <w:szCs w:val="24"/>
          <w:lang w:val="pt-PT"/>
        </w:rPr>
        <w:t xml:space="preserve"> Programa Integral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a </w:t>
      </w:r>
      <w:r w:rsidR="00EC45A0" w:rsidRPr="003A1174">
        <w:rPr>
          <w:rFonts w:ascii="Garamond" w:hAnsi="Garamond" w:cs="Arial"/>
          <w:sz w:val="24"/>
          <w:szCs w:val="24"/>
          <w:lang w:val="pt-PT"/>
        </w:rPr>
        <w:t>testemunha</w:t>
      </w:r>
      <w:r w:rsidR="00823BE0" w:rsidRPr="003A1174">
        <w:rPr>
          <w:rFonts w:ascii="Garamond" w:hAnsi="Garamond" w:cs="Arial"/>
          <w:sz w:val="24"/>
          <w:szCs w:val="24"/>
          <w:lang w:val="pt-PT"/>
        </w:rPr>
        <w:t xml:space="preserve">s, peritos, </w:t>
      </w:r>
      <w:r w:rsidR="00E60158" w:rsidRPr="003A1174">
        <w:rPr>
          <w:rFonts w:ascii="Garamond" w:hAnsi="Garamond" w:cs="Arial"/>
          <w:sz w:val="24"/>
          <w:szCs w:val="24"/>
          <w:lang w:val="pt-PT"/>
        </w:rPr>
        <w:t>ofendido</w:t>
      </w:r>
      <w:r w:rsidR="00823BE0" w:rsidRPr="003A1174">
        <w:rPr>
          <w:rFonts w:ascii="Garamond" w:hAnsi="Garamond" w:cs="Arial"/>
          <w:sz w:val="24"/>
          <w:szCs w:val="24"/>
          <w:lang w:val="pt-PT"/>
        </w:rPr>
        <w:t>s o</w:t>
      </w:r>
      <w:r w:rsidR="00E60158" w:rsidRPr="003A1174">
        <w:rPr>
          <w:rFonts w:ascii="Garamond" w:hAnsi="Garamond" w:cs="Arial"/>
          <w:sz w:val="24"/>
          <w:szCs w:val="24"/>
          <w:lang w:val="pt-PT"/>
        </w:rPr>
        <w:t>u</w:t>
      </w:r>
      <w:r w:rsidR="00823BE0" w:rsidRPr="003A1174">
        <w:rPr>
          <w:rFonts w:ascii="Garamond" w:hAnsi="Garamond" w:cs="Arial"/>
          <w:sz w:val="24"/>
          <w:szCs w:val="24"/>
          <w:lang w:val="pt-PT"/>
        </w:rPr>
        <w:t xml:space="preserve"> colaboradores que interven</w:t>
      </w:r>
      <w:r w:rsidR="00E60158" w:rsidRPr="003A1174">
        <w:rPr>
          <w:rFonts w:ascii="Garamond" w:hAnsi="Garamond" w:cs="Arial"/>
          <w:sz w:val="24"/>
          <w:szCs w:val="24"/>
          <w:lang w:val="pt-PT"/>
        </w:rPr>
        <w:t xml:space="preserve">ham no </w:t>
      </w:r>
      <w:r w:rsidR="002D1021" w:rsidRPr="003A1174">
        <w:rPr>
          <w:rFonts w:ascii="Garamond" w:hAnsi="Garamond" w:cs="Arial"/>
          <w:sz w:val="24"/>
          <w:szCs w:val="24"/>
          <w:lang w:val="pt-PT"/>
        </w:rPr>
        <w:t>processo</w:t>
      </w:r>
      <w:r w:rsidR="00823BE0" w:rsidRPr="003A1174">
        <w:rPr>
          <w:rFonts w:ascii="Garamond" w:hAnsi="Garamond" w:cs="Arial"/>
          <w:sz w:val="24"/>
          <w:szCs w:val="24"/>
          <w:lang w:val="pt-PT"/>
        </w:rPr>
        <w:t xml:space="preserve"> penal</w:t>
      </w:r>
      <w:r w:rsidR="005E2542" w:rsidRPr="003A1174">
        <w:rPr>
          <w:rFonts w:ascii="Garamond" w:hAnsi="Garamond" w:cs="Arial"/>
          <w:sz w:val="24"/>
          <w:szCs w:val="24"/>
          <w:lang w:val="pt-PT"/>
        </w:rPr>
        <w:t>;</w:t>
      </w:r>
      <w:r w:rsidR="00823BE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E60158" w:rsidRPr="003A1174">
        <w:rPr>
          <w:rFonts w:ascii="Garamond" w:hAnsi="Garamond" w:cs="Arial"/>
          <w:sz w:val="24"/>
          <w:szCs w:val="24"/>
          <w:lang w:val="pt-PT"/>
        </w:rPr>
        <w:t xml:space="preserve"> </w:t>
      </w:r>
      <w:r w:rsidR="00823BE0" w:rsidRPr="003A1174">
        <w:rPr>
          <w:rFonts w:ascii="Garamond" w:hAnsi="Garamond" w:cs="Arial"/>
          <w:sz w:val="24"/>
          <w:szCs w:val="24"/>
          <w:lang w:val="pt-PT"/>
        </w:rPr>
        <w:t xml:space="preserve">a </w:t>
      </w:r>
      <w:r w:rsidR="003F012B" w:rsidRPr="003A1174">
        <w:rPr>
          <w:rFonts w:ascii="Garamond" w:hAnsi="Garamond" w:cs="Arial"/>
          <w:sz w:val="24"/>
          <w:szCs w:val="24"/>
          <w:lang w:val="pt-PT"/>
        </w:rPr>
        <w:t>Resolução</w:t>
      </w:r>
      <w:r w:rsidR="00823BE0" w:rsidRPr="003A1174">
        <w:rPr>
          <w:rFonts w:ascii="Garamond" w:hAnsi="Garamond" w:cs="Arial"/>
          <w:sz w:val="24"/>
          <w:szCs w:val="24"/>
          <w:lang w:val="pt-PT"/>
        </w:rPr>
        <w:t xml:space="preserve"> d</w:t>
      </w:r>
      <w:r w:rsidRPr="003A1174">
        <w:rPr>
          <w:rFonts w:ascii="Garamond" w:hAnsi="Garamond" w:cs="Arial"/>
          <w:sz w:val="24"/>
          <w:szCs w:val="24"/>
          <w:lang w:val="pt-PT"/>
        </w:rPr>
        <w:t>a Procuradoria d</w:t>
      </w:r>
      <w:r w:rsidR="00823BE0" w:rsidRPr="003A1174">
        <w:rPr>
          <w:rFonts w:ascii="Garamond" w:hAnsi="Garamond" w:cs="Arial"/>
          <w:sz w:val="24"/>
          <w:szCs w:val="24"/>
          <w:lang w:val="pt-PT"/>
        </w:rPr>
        <w:t xml:space="preserve">a </w:t>
      </w:r>
      <w:r w:rsidR="006E0719" w:rsidRPr="003A1174">
        <w:rPr>
          <w:rFonts w:ascii="Garamond" w:hAnsi="Garamond" w:cs="Arial"/>
          <w:sz w:val="24"/>
          <w:szCs w:val="24"/>
          <w:lang w:val="pt-PT"/>
        </w:rPr>
        <w:t>Nação</w:t>
      </w:r>
      <w:r w:rsidR="00823BE0" w:rsidRPr="003A1174">
        <w:rPr>
          <w:rFonts w:ascii="Garamond" w:hAnsi="Garamond" w:cs="Arial"/>
          <w:sz w:val="24"/>
          <w:szCs w:val="24"/>
          <w:lang w:val="pt-PT"/>
        </w:rPr>
        <w:t xml:space="preserve"> N</w:t>
      </w:r>
      <w:r w:rsidR="009A3B28">
        <w:rPr>
          <w:rFonts w:ascii="Garamond" w:hAnsi="Garamond" w:cs="Arial"/>
          <w:sz w:val="24"/>
          <w:szCs w:val="24"/>
          <w:lang w:val="pt-PT"/>
        </w:rPr>
        <w:t>.</w:t>
      </w:r>
      <w:r w:rsidR="00823BE0" w:rsidRPr="003A1174">
        <w:rPr>
          <w:rFonts w:ascii="Garamond" w:hAnsi="Garamond" w:cs="Arial"/>
          <w:sz w:val="24"/>
          <w:szCs w:val="24"/>
          <w:lang w:val="pt-PT"/>
        </w:rPr>
        <w:t xml:space="preserve">º 1558-2008-MP-FN, </w:t>
      </w:r>
      <w:r w:rsidR="009A3B28">
        <w:rPr>
          <w:rFonts w:ascii="Garamond" w:hAnsi="Garamond" w:cs="Arial"/>
          <w:sz w:val="24"/>
          <w:szCs w:val="24"/>
          <w:lang w:val="pt-PT"/>
        </w:rPr>
        <w:t xml:space="preserve">que </w:t>
      </w:r>
      <w:r w:rsidR="00823BE0" w:rsidRPr="003A1174">
        <w:rPr>
          <w:rFonts w:ascii="Garamond" w:hAnsi="Garamond" w:cs="Arial"/>
          <w:sz w:val="24"/>
          <w:szCs w:val="24"/>
          <w:lang w:val="pt-PT"/>
        </w:rPr>
        <w:t>reg</w:t>
      </w:r>
      <w:r w:rsidR="00E60158" w:rsidRPr="003A1174">
        <w:rPr>
          <w:rFonts w:ascii="Garamond" w:hAnsi="Garamond" w:cs="Arial"/>
          <w:sz w:val="24"/>
          <w:szCs w:val="24"/>
          <w:lang w:val="pt-PT"/>
        </w:rPr>
        <w:t>ulamenta</w:t>
      </w:r>
      <w:r w:rsidR="00823BE0" w:rsidRPr="003A1174">
        <w:rPr>
          <w:rFonts w:ascii="Garamond" w:hAnsi="Garamond" w:cs="Arial"/>
          <w:sz w:val="24"/>
          <w:szCs w:val="24"/>
          <w:lang w:val="pt-PT"/>
        </w:rPr>
        <w:t xml:space="preserve"> </w:t>
      </w:r>
      <w:r w:rsidR="00E85E59" w:rsidRPr="003A1174">
        <w:rPr>
          <w:rFonts w:ascii="Garamond" w:hAnsi="Garamond" w:cs="Arial"/>
          <w:sz w:val="24"/>
          <w:szCs w:val="24"/>
          <w:lang w:val="pt-PT"/>
        </w:rPr>
        <w:t>o</w:t>
      </w:r>
      <w:r w:rsidR="00823BE0" w:rsidRPr="003A1174">
        <w:rPr>
          <w:rFonts w:ascii="Garamond" w:hAnsi="Garamond" w:cs="Arial"/>
          <w:sz w:val="24"/>
          <w:szCs w:val="24"/>
          <w:lang w:val="pt-PT"/>
        </w:rPr>
        <w:t xml:space="preserve"> Programa de </w:t>
      </w:r>
      <w:r w:rsidR="000350B1" w:rsidRPr="003A1174">
        <w:rPr>
          <w:rFonts w:ascii="Garamond" w:hAnsi="Garamond" w:cs="Arial"/>
          <w:sz w:val="24"/>
          <w:szCs w:val="24"/>
          <w:lang w:val="pt-PT"/>
        </w:rPr>
        <w:t>Assistência</w:t>
      </w:r>
      <w:r w:rsidR="00823BE0" w:rsidRPr="003A1174">
        <w:rPr>
          <w:rFonts w:ascii="Garamond" w:hAnsi="Garamond" w:cs="Arial"/>
          <w:sz w:val="24"/>
          <w:szCs w:val="24"/>
          <w:lang w:val="pt-PT"/>
        </w:rPr>
        <w:t xml:space="preserve"> </w:t>
      </w:r>
      <w:r w:rsidR="009A3B28">
        <w:rPr>
          <w:rFonts w:ascii="Garamond" w:hAnsi="Garamond" w:cs="Arial"/>
          <w:sz w:val="24"/>
          <w:szCs w:val="24"/>
          <w:lang w:val="pt-PT"/>
        </w:rPr>
        <w:t xml:space="preserve">às </w:t>
      </w:r>
      <w:r w:rsidR="003F012B" w:rsidRPr="003A1174">
        <w:rPr>
          <w:rFonts w:ascii="Garamond" w:hAnsi="Garamond" w:cs="Arial"/>
          <w:sz w:val="24"/>
          <w:szCs w:val="24"/>
          <w:lang w:val="pt-PT"/>
        </w:rPr>
        <w:t>Vítima</w:t>
      </w:r>
      <w:r w:rsidR="00823BE0" w:rsidRPr="003A1174">
        <w:rPr>
          <w:rFonts w:ascii="Garamond" w:hAnsi="Garamond" w:cs="Arial"/>
          <w:sz w:val="24"/>
          <w:szCs w:val="24"/>
          <w:lang w:val="pt-PT"/>
        </w:rPr>
        <w:t xml:space="preserve">s </w:t>
      </w:r>
      <w:r w:rsidR="000672E8" w:rsidRPr="003A1174">
        <w:rPr>
          <w:rFonts w:ascii="Garamond" w:hAnsi="Garamond" w:cs="Arial"/>
          <w:sz w:val="24"/>
          <w:szCs w:val="24"/>
          <w:lang w:val="pt-PT"/>
        </w:rPr>
        <w:t>e</w:t>
      </w:r>
      <w:r w:rsidR="00823BE0" w:rsidRPr="003A1174">
        <w:rPr>
          <w:rFonts w:ascii="Garamond" w:hAnsi="Garamond" w:cs="Arial"/>
          <w:sz w:val="24"/>
          <w:szCs w:val="24"/>
          <w:lang w:val="pt-PT"/>
        </w:rPr>
        <w:t xml:space="preserve"> </w:t>
      </w:r>
      <w:r w:rsidR="00EC45A0" w:rsidRPr="003A1174">
        <w:rPr>
          <w:rFonts w:ascii="Garamond" w:hAnsi="Garamond" w:cs="Arial"/>
          <w:sz w:val="24"/>
          <w:szCs w:val="24"/>
          <w:lang w:val="pt-PT"/>
        </w:rPr>
        <w:t>Testemunha</w:t>
      </w:r>
      <w:r w:rsidR="00823BE0" w:rsidRPr="003A1174">
        <w:rPr>
          <w:rFonts w:ascii="Garamond" w:hAnsi="Garamond" w:cs="Arial"/>
          <w:sz w:val="24"/>
          <w:szCs w:val="24"/>
          <w:lang w:val="pt-PT"/>
        </w:rPr>
        <w:t xml:space="preserve">s. </w:t>
      </w:r>
      <w:r w:rsidR="00E60158" w:rsidRPr="003A1174">
        <w:rPr>
          <w:rFonts w:ascii="Garamond" w:hAnsi="Garamond" w:cs="Arial"/>
          <w:sz w:val="24"/>
          <w:szCs w:val="24"/>
          <w:lang w:val="pt-PT"/>
        </w:rPr>
        <w:t xml:space="preserve">É </w:t>
      </w:r>
      <w:r w:rsidR="005E2542" w:rsidRPr="003A1174">
        <w:rPr>
          <w:rFonts w:ascii="Garamond" w:hAnsi="Garamond" w:cs="Arial"/>
          <w:sz w:val="24"/>
          <w:szCs w:val="24"/>
          <w:lang w:val="pt-PT"/>
        </w:rPr>
        <w:t>importante</w:t>
      </w:r>
      <w:r w:rsidR="00823BE0" w:rsidRPr="003A1174">
        <w:rPr>
          <w:rFonts w:ascii="Garamond" w:hAnsi="Garamond" w:cs="Arial"/>
          <w:sz w:val="24"/>
          <w:szCs w:val="24"/>
          <w:lang w:val="pt-PT"/>
        </w:rPr>
        <w:t xml:space="preserve"> </w:t>
      </w:r>
      <w:r w:rsidR="009A0623" w:rsidRPr="003A1174">
        <w:rPr>
          <w:rFonts w:ascii="Garamond" w:hAnsi="Garamond" w:cs="Arial"/>
          <w:sz w:val="24"/>
          <w:szCs w:val="24"/>
          <w:lang w:val="pt-PT"/>
        </w:rPr>
        <w:t>salientar</w:t>
      </w:r>
      <w:r w:rsidR="00823BE0" w:rsidRPr="003A1174">
        <w:rPr>
          <w:rFonts w:ascii="Garamond" w:hAnsi="Garamond" w:cs="Arial"/>
          <w:sz w:val="24"/>
          <w:szCs w:val="24"/>
          <w:lang w:val="pt-PT"/>
        </w:rPr>
        <w:t xml:space="preserve"> </w:t>
      </w:r>
      <w:r w:rsidR="00E60158" w:rsidRPr="003A1174">
        <w:rPr>
          <w:rFonts w:ascii="Garamond" w:hAnsi="Garamond" w:cs="Arial"/>
          <w:sz w:val="24"/>
          <w:szCs w:val="24"/>
          <w:lang w:val="pt-PT"/>
        </w:rPr>
        <w:t>n</w:t>
      </w:r>
      <w:r w:rsidR="00823BE0" w:rsidRPr="003A1174">
        <w:rPr>
          <w:rFonts w:ascii="Garamond" w:hAnsi="Garamond" w:cs="Arial"/>
          <w:sz w:val="24"/>
          <w:szCs w:val="24"/>
          <w:lang w:val="pt-PT"/>
        </w:rPr>
        <w:t>este contexto</w:t>
      </w:r>
      <w:r w:rsidR="009A3B28">
        <w:rPr>
          <w:rFonts w:ascii="Garamond" w:hAnsi="Garamond" w:cs="Arial"/>
          <w:sz w:val="24"/>
          <w:szCs w:val="24"/>
          <w:lang w:val="pt-PT"/>
        </w:rPr>
        <w:t>,</w:t>
      </w:r>
      <w:r w:rsidR="00823BE0" w:rsidRPr="003A1174">
        <w:rPr>
          <w:rFonts w:ascii="Garamond" w:hAnsi="Garamond" w:cs="Arial"/>
          <w:sz w:val="24"/>
          <w:szCs w:val="24"/>
          <w:lang w:val="pt-PT"/>
        </w:rPr>
        <w:t xml:space="preserve"> que</w:t>
      </w:r>
      <w:r w:rsidR="00E60158" w:rsidRPr="003A1174">
        <w:rPr>
          <w:rFonts w:ascii="Garamond" w:eastAsia="Arial" w:hAnsi="Garamond" w:cs="Arial"/>
          <w:bCs/>
          <w:sz w:val="24"/>
          <w:szCs w:val="24"/>
          <w:lang w:val="pt-PT"/>
        </w:rPr>
        <w:t xml:space="preserve"> o</w:t>
      </w:r>
      <w:r w:rsidR="00823BE0" w:rsidRPr="003A1174">
        <w:rPr>
          <w:rFonts w:ascii="Garamond" w:eastAsia="Arial" w:hAnsi="Garamond" w:cs="Arial"/>
          <w:bCs/>
          <w:sz w:val="24"/>
          <w:szCs w:val="24"/>
          <w:lang w:val="pt-PT"/>
        </w:rPr>
        <w:t xml:space="preserve"> </w:t>
      </w:r>
      <w:r w:rsidR="00383B3F" w:rsidRPr="003A1174">
        <w:rPr>
          <w:rFonts w:ascii="Garamond" w:eastAsia="Arial" w:hAnsi="Garamond" w:cs="Arial"/>
          <w:bCs/>
          <w:sz w:val="24"/>
          <w:szCs w:val="24"/>
          <w:lang w:val="pt-PT"/>
        </w:rPr>
        <w:t>Art.</w:t>
      </w:r>
      <w:r w:rsidR="00823BE0" w:rsidRPr="003A1174">
        <w:rPr>
          <w:rFonts w:ascii="Garamond" w:eastAsia="Arial" w:hAnsi="Garamond" w:cs="Arial"/>
          <w:bCs/>
          <w:sz w:val="24"/>
          <w:szCs w:val="24"/>
          <w:lang w:val="pt-PT"/>
        </w:rPr>
        <w:t xml:space="preserve"> 248 </w:t>
      </w:r>
      <w:r w:rsidR="00E85E59" w:rsidRPr="003A1174">
        <w:rPr>
          <w:rFonts w:ascii="Garamond" w:eastAsia="Arial" w:hAnsi="Garamond" w:cs="Arial"/>
          <w:bCs/>
          <w:sz w:val="24"/>
          <w:szCs w:val="24"/>
          <w:lang w:val="pt-PT"/>
        </w:rPr>
        <w:t>do</w:t>
      </w:r>
      <w:r w:rsidR="00823BE0" w:rsidRPr="003A1174">
        <w:rPr>
          <w:rFonts w:ascii="Garamond" w:eastAsia="Arial" w:hAnsi="Garamond" w:cs="Arial"/>
          <w:bCs/>
          <w:sz w:val="24"/>
          <w:szCs w:val="24"/>
          <w:lang w:val="pt-PT"/>
        </w:rPr>
        <w:t xml:space="preserve"> Código </w:t>
      </w:r>
      <w:r w:rsidR="00152A44" w:rsidRPr="003A1174">
        <w:rPr>
          <w:rFonts w:ascii="Garamond" w:eastAsia="Arial" w:hAnsi="Garamond" w:cs="Arial"/>
          <w:bCs/>
          <w:sz w:val="24"/>
          <w:szCs w:val="24"/>
          <w:lang w:val="pt-PT"/>
        </w:rPr>
        <w:t>estabelece</w:t>
      </w:r>
      <w:r w:rsidRPr="003A1174">
        <w:rPr>
          <w:rFonts w:ascii="Garamond" w:eastAsia="Arial" w:hAnsi="Garamond" w:cs="Arial"/>
          <w:bCs/>
          <w:sz w:val="24"/>
          <w:szCs w:val="24"/>
          <w:lang w:val="pt-PT"/>
        </w:rPr>
        <w:t xml:space="preserve"> um</w:t>
      </w:r>
      <w:r w:rsidR="00823BE0" w:rsidRPr="003A1174">
        <w:rPr>
          <w:rFonts w:ascii="Garamond" w:eastAsia="Arial" w:hAnsi="Garamond" w:cs="Arial"/>
          <w:bCs/>
          <w:sz w:val="24"/>
          <w:szCs w:val="24"/>
          <w:lang w:val="pt-PT"/>
        </w:rPr>
        <w:t xml:space="preserve">a </w:t>
      </w:r>
      <w:r w:rsidR="00C965B4" w:rsidRPr="003A1174">
        <w:rPr>
          <w:rFonts w:ascii="Garamond" w:eastAsia="Arial" w:hAnsi="Garamond" w:cs="Arial"/>
          <w:bCs/>
          <w:sz w:val="24"/>
          <w:szCs w:val="24"/>
          <w:lang w:val="pt-PT"/>
        </w:rPr>
        <w:t>série</w:t>
      </w:r>
      <w:r w:rsidR="00823BE0" w:rsidRPr="003A1174">
        <w:rPr>
          <w:rFonts w:ascii="Garamond" w:eastAsia="Arial" w:hAnsi="Garamond" w:cs="Arial"/>
          <w:bCs/>
          <w:sz w:val="24"/>
          <w:szCs w:val="24"/>
          <w:lang w:val="pt-PT"/>
        </w:rPr>
        <w:t xml:space="preserve"> de medidas de </w:t>
      </w:r>
      <w:r w:rsidR="00886D6A" w:rsidRPr="003A1174">
        <w:rPr>
          <w:rFonts w:ascii="Garamond" w:eastAsia="Arial" w:hAnsi="Garamond" w:cs="Arial"/>
          <w:bCs/>
          <w:sz w:val="24"/>
          <w:szCs w:val="24"/>
          <w:lang w:val="pt-PT"/>
        </w:rPr>
        <w:t>proteção</w:t>
      </w:r>
      <w:r w:rsidR="00823BE0" w:rsidRPr="003A1174">
        <w:rPr>
          <w:rFonts w:ascii="Garamond" w:eastAsia="Arial" w:hAnsi="Garamond" w:cs="Arial"/>
          <w:bCs/>
          <w:sz w:val="24"/>
          <w:szCs w:val="24"/>
          <w:lang w:val="pt-PT"/>
        </w:rPr>
        <w:t xml:space="preserve"> </w:t>
      </w:r>
      <w:r w:rsidR="00852CA5" w:rsidRPr="003A1174">
        <w:rPr>
          <w:rFonts w:ascii="Garamond" w:eastAsia="Arial" w:hAnsi="Garamond" w:cs="Arial"/>
          <w:bCs/>
          <w:sz w:val="24"/>
          <w:szCs w:val="24"/>
          <w:lang w:val="pt-PT"/>
        </w:rPr>
        <w:t>aplicáveis</w:t>
      </w:r>
      <w:r w:rsidRPr="003A1174">
        <w:rPr>
          <w:rFonts w:ascii="Garamond" w:eastAsia="Arial" w:hAnsi="Garamond" w:cs="Arial"/>
          <w:bCs/>
          <w:sz w:val="24"/>
          <w:szCs w:val="24"/>
          <w:lang w:val="pt-PT"/>
        </w:rPr>
        <w:t xml:space="preserve"> em</w:t>
      </w:r>
      <w:r w:rsidR="00823BE0" w:rsidRPr="003A1174">
        <w:rPr>
          <w:rFonts w:ascii="Garamond" w:eastAsia="Arial" w:hAnsi="Garamond" w:cs="Arial"/>
          <w:bCs/>
          <w:sz w:val="24"/>
          <w:szCs w:val="24"/>
          <w:lang w:val="pt-PT"/>
        </w:rPr>
        <w:t xml:space="preserve"> casos de </w:t>
      </w:r>
      <w:r w:rsidR="000350B1" w:rsidRPr="003A1174">
        <w:rPr>
          <w:rFonts w:ascii="Garamond" w:eastAsia="Arial" w:hAnsi="Garamond" w:cs="Arial"/>
          <w:bCs/>
          <w:sz w:val="24"/>
          <w:szCs w:val="24"/>
          <w:lang w:val="pt-PT"/>
        </w:rPr>
        <w:t>violência</w:t>
      </w:r>
      <w:r w:rsidR="00823BE0" w:rsidRPr="003A1174">
        <w:rPr>
          <w:rFonts w:ascii="Garamond" w:eastAsia="Arial" w:hAnsi="Garamond" w:cs="Arial"/>
          <w:bCs/>
          <w:sz w:val="24"/>
          <w:szCs w:val="24"/>
          <w:lang w:val="pt-PT"/>
        </w:rPr>
        <w:t xml:space="preserve"> intrafamiliar, como por </w:t>
      </w:r>
      <w:r w:rsidR="002F5CD1" w:rsidRPr="003A1174">
        <w:rPr>
          <w:rFonts w:ascii="Garamond" w:eastAsia="Arial" w:hAnsi="Garamond" w:cs="Arial"/>
          <w:bCs/>
          <w:sz w:val="24"/>
          <w:szCs w:val="24"/>
          <w:lang w:val="pt-PT"/>
        </w:rPr>
        <w:t>exemplo</w:t>
      </w:r>
      <w:r w:rsidRPr="003A1174">
        <w:rPr>
          <w:rFonts w:ascii="Garamond" w:eastAsia="Arial" w:hAnsi="Garamond" w:cs="Arial"/>
          <w:bCs/>
          <w:sz w:val="24"/>
          <w:szCs w:val="24"/>
          <w:lang w:val="pt-PT"/>
        </w:rPr>
        <w:t>,</w:t>
      </w:r>
      <w:r w:rsidR="00823BE0" w:rsidRPr="003A1174">
        <w:rPr>
          <w:rFonts w:ascii="Garamond" w:eastAsia="Arial" w:hAnsi="Garamond" w:cs="Arial"/>
          <w:bCs/>
          <w:sz w:val="24"/>
          <w:szCs w:val="24"/>
          <w:lang w:val="pt-PT"/>
        </w:rPr>
        <w:t xml:space="preserve"> </w:t>
      </w:r>
      <w:r w:rsidR="000672E8" w:rsidRPr="003A1174">
        <w:rPr>
          <w:rFonts w:ascii="Garamond" w:eastAsia="Arial" w:hAnsi="Garamond" w:cs="Arial"/>
          <w:bCs/>
          <w:sz w:val="24"/>
          <w:szCs w:val="24"/>
          <w:lang w:val="pt-PT"/>
        </w:rPr>
        <w:t>e</w:t>
      </w:r>
      <w:r w:rsidR="00823BE0" w:rsidRPr="003A1174">
        <w:rPr>
          <w:rFonts w:ascii="Garamond" w:eastAsia="Arial" w:hAnsi="Garamond" w:cs="Arial"/>
          <w:bCs/>
          <w:sz w:val="24"/>
          <w:szCs w:val="24"/>
          <w:lang w:val="pt-PT"/>
        </w:rPr>
        <w:t xml:space="preserve"> entre </w:t>
      </w:r>
      <w:r w:rsidRPr="003A1174">
        <w:rPr>
          <w:rFonts w:ascii="Garamond" w:eastAsia="Arial" w:hAnsi="Garamond" w:cs="Arial"/>
          <w:bCs/>
          <w:sz w:val="24"/>
          <w:szCs w:val="24"/>
          <w:lang w:val="pt-PT"/>
        </w:rPr>
        <w:t xml:space="preserve">muitas </w:t>
      </w:r>
      <w:r w:rsidR="0017447A" w:rsidRPr="003A1174">
        <w:rPr>
          <w:rFonts w:ascii="Garamond" w:eastAsia="Arial" w:hAnsi="Garamond" w:cs="Arial"/>
          <w:bCs/>
          <w:sz w:val="24"/>
          <w:szCs w:val="24"/>
          <w:lang w:val="pt-PT"/>
        </w:rPr>
        <w:t>outras</w:t>
      </w:r>
      <w:r w:rsidRPr="003A1174">
        <w:rPr>
          <w:rFonts w:ascii="Garamond" w:eastAsia="Arial" w:hAnsi="Garamond" w:cs="Arial"/>
          <w:bCs/>
          <w:sz w:val="24"/>
          <w:szCs w:val="24"/>
          <w:lang w:val="pt-PT"/>
        </w:rPr>
        <w:t xml:space="preserve">, a </w:t>
      </w:r>
      <w:r w:rsidR="00886D6A" w:rsidRPr="003A1174">
        <w:rPr>
          <w:rFonts w:ascii="Garamond" w:eastAsia="Arial" w:hAnsi="Garamond" w:cs="Arial"/>
          <w:bCs/>
          <w:sz w:val="24"/>
          <w:szCs w:val="24"/>
          <w:lang w:val="pt-PT"/>
        </w:rPr>
        <w:t>proteção</w:t>
      </w:r>
      <w:r w:rsidR="00823BE0" w:rsidRPr="003A1174">
        <w:rPr>
          <w:rFonts w:ascii="Garamond" w:eastAsia="Arial" w:hAnsi="Garamond" w:cs="Arial"/>
          <w:bCs/>
          <w:sz w:val="24"/>
          <w:szCs w:val="24"/>
          <w:lang w:val="pt-PT"/>
        </w:rPr>
        <w:t xml:space="preserve"> policial </w:t>
      </w:r>
      <w:r w:rsidR="000672E8" w:rsidRPr="003A1174">
        <w:rPr>
          <w:rFonts w:ascii="Garamond" w:eastAsia="Arial" w:hAnsi="Garamond" w:cs="Arial"/>
          <w:bCs/>
          <w:sz w:val="24"/>
          <w:szCs w:val="24"/>
          <w:lang w:val="pt-PT"/>
        </w:rPr>
        <w:t>e</w:t>
      </w:r>
      <w:r w:rsidRPr="003A1174">
        <w:rPr>
          <w:rFonts w:ascii="Garamond" w:eastAsia="Arial" w:hAnsi="Garamond" w:cs="Arial"/>
          <w:bCs/>
          <w:sz w:val="24"/>
          <w:szCs w:val="24"/>
          <w:lang w:val="pt-PT"/>
        </w:rPr>
        <w:t xml:space="preserve"> a mudança de residência</w:t>
      </w:r>
      <w:r w:rsidR="00823BE0" w:rsidRPr="003A1174">
        <w:rPr>
          <w:rFonts w:ascii="Garamond" w:eastAsia="Arial" w:hAnsi="Garamond" w:cs="Arial"/>
          <w:bCs/>
          <w:sz w:val="24"/>
          <w:szCs w:val="24"/>
          <w:lang w:val="pt-PT"/>
        </w:rPr>
        <w:t xml:space="preserve"> </w:t>
      </w:r>
      <w:r w:rsidRPr="003A1174">
        <w:rPr>
          <w:rFonts w:ascii="Garamond" w:eastAsia="Arial" w:hAnsi="Garamond" w:cs="Arial"/>
          <w:bCs/>
          <w:sz w:val="24"/>
          <w:szCs w:val="24"/>
          <w:lang w:val="pt-PT"/>
        </w:rPr>
        <w:t>o</w:t>
      </w:r>
      <w:r w:rsidR="00823BE0" w:rsidRPr="003A1174">
        <w:rPr>
          <w:rFonts w:ascii="Garamond" w:eastAsia="Arial" w:hAnsi="Garamond" w:cs="Arial"/>
          <w:bCs/>
          <w:sz w:val="24"/>
          <w:szCs w:val="24"/>
          <w:lang w:val="pt-PT"/>
        </w:rPr>
        <w:t xml:space="preserve">u </w:t>
      </w:r>
      <w:r w:rsidRPr="003A1174">
        <w:rPr>
          <w:rFonts w:ascii="Garamond" w:eastAsia="Arial" w:hAnsi="Garamond" w:cs="Arial"/>
          <w:bCs/>
          <w:sz w:val="24"/>
          <w:szCs w:val="24"/>
          <w:lang w:val="pt-PT"/>
        </w:rPr>
        <w:t>ocultação</w:t>
      </w:r>
      <w:r w:rsidR="00823BE0" w:rsidRPr="003A1174">
        <w:rPr>
          <w:rFonts w:ascii="Garamond" w:eastAsia="Arial" w:hAnsi="Garamond" w:cs="Arial"/>
          <w:bCs/>
          <w:sz w:val="24"/>
          <w:szCs w:val="24"/>
          <w:lang w:val="pt-PT"/>
        </w:rPr>
        <w:t xml:space="preserve"> </w:t>
      </w:r>
      <w:r w:rsidR="00E85E59" w:rsidRPr="003A1174">
        <w:rPr>
          <w:rFonts w:ascii="Garamond" w:eastAsia="Arial" w:hAnsi="Garamond" w:cs="Arial"/>
          <w:bCs/>
          <w:sz w:val="24"/>
          <w:szCs w:val="24"/>
          <w:lang w:val="pt-PT"/>
        </w:rPr>
        <w:t>do</w:t>
      </w:r>
      <w:r w:rsidR="00823BE0" w:rsidRPr="003A1174">
        <w:rPr>
          <w:rFonts w:ascii="Garamond" w:eastAsia="Arial" w:hAnsi="Garamond" w:cs="Arial"/>
          <w:bCs/>
          <w:sz w:val="24"/>
          <w:szCs w:val="24"/>
          <w:lang w:val="pt-PT"/>
        </w:rPr>
        <w:t xml:space="preserve"> </w:t>
      </w:r>
      <w:r w:rsidRPr="003A1174">
        <w:rPr>
          <w:rFonts w:ascii="Garamond" w:eastAsia="Arial" w:hAnsi="Garamond" w:cs="Arial"/>
          <w:bCs/>
          <w:sz w:val="24"/>
          <w:szCs w:val="24"/>
          <w:lang w:val="pt-PT"/>
        </w:rPr>
        <w:t>paradeiro</w:t>
      </w:r>
      <w:r w:rsidR="00823BE0" w:rsidRPr="003A1174">
        <w:rPr>
          <w:rFonts w:ascii="Garamond" w:eastAsia="Arial" w:hAnsi="Garamond" w:cs="Arial"/>
          <w:bCs/>
          <w:sz w:val="24"/>
          <w:szCs w:val="24"/>
          <w:lang w:val="pt-PT"/>
        </w:rPr>
        <w:t xml:space="preserve"> da </w:t>
      </w:r>
      <w:r w:rsidR="003F012B" w:rsidRPr="003A1174">
        <w:rPr>
          <w:rFonts w:ascii="Garamond" w:eastAsia="Arial" w:hAnsi="Garamond" w:cs="Arial"/>
          <w:bCs/>
          <w:sz w:val="24"/>
          <w:szCs w:val="24"/>
          <w:lang w:val="pt-PT"/>
        </w:rPr>
        <w:t>vítima</w:t>
      </w:r>
      <w:r w:rsidR="00823BE0" w:rsidRPr="003A1174">
        <w:rPr>
          <w:rFonts w:ascii="Garamond" w:eastAsia="Arial" w:hAnsi="Garamond" w:cs="Arial"/>
          <w:bCs/>
          <w:sz w:val="24"/>
          <w:szCs w:val="24"/>
          <w:lang w:val="pt-PT"/>
        </w:rPr>
        <w:t>.</w:t>
      </w:r>
      <w:proofErr w:type="gramStart"/>
      <w:r w:rsidR="00823BE0" w:rsidRPr="003A1174">
        <w:rPr>
          <w:rStyle w:val="Refdenotaalpie"/>
          <w:rFonts w:ascii="Garamond" w:hAnsi="Garamond" w:cs="Arial"/>
          <w:sz w:val="24"/>
          <w:szCs w:val="24"/>
          <w:lang w:val="es-ES"/>
        </w:rPr>
        <w:footnoteReference w:id="130"/>
      </w:r>
      <w:proofErr w:type="gramEnd"/>
    </w:p>
    <w:p w:rsidR="00823BE0" w:rsidRPr="003A1174" w:rsidRDefault="00BA0128"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 xml:space="preserve">Também é </w:t>
      </w:r>
      <w:r w:rsidR="00823BE0" w:rsidRPr="003A1174">
        <w:rPr>
          <w:rFonts w:ascii="Garamond" w:hAnsi="Garamond" w:cs="Arial"/>
          <w:sz w:val="24"/>
          <w:szCs w:val="24"/>
          <w:lang w:val="pt-PT"/>
        </w:rPr>
        <w:t xml:space="preserve">importante </w:t>
      </w:r>
      <w:r w:rsidRPr="003A1174">
        <w:rPr>
          <w:rFonts w:ascii="Garamond" w:hAnsi="Garamond" w:cs="Arial"/>
          <w:sz w:val="24"/>
          <w:szCs w:val="24"/>
          <w:lang w:val="pt-PT"/>
        </w:rPr>
        <w:t xml:space="preserve">referir </w:t>
      </w:r>
      <w:r w:rsidR="00823BE0" w:rsidRPr="003A1174">
        <w:rPr>
          <w:rFonts w:ascii="Garamond" w:hAnsi="Garamond" w:cs="Arial"/>
          <w:sz w:val="24"/>
          <w:szCs w:val="24"/>
          <w:lang w:val="pt-PT"/>
        </w:rPr>
        <w:t xml:space="preserve">que se </w:t>
      </w:r>
      <w:r w:rsidRPr="003A1174">
        <w:rPr>
          <w:rFonts w:ascii="Garamond" w:hAnsi="Garamond" w:cs="Arial"/>
          <w:sz w:val="24"/>
          <w:szCs w:val="24"/>
          <w:lang w:val="pt-PT"/>
        </w:rPr>
        <w:t xml:space="preserve">dispõe da </w:t>
      </w:r>
      <w:r w:rsidR="00823BE0" w:rsidRPr="003A1174">
        <w:rPr>
          <w:rFonts w:ascii="Garamond" w:hAnsi="Garamond" w:cs="Arial"/>
          <w:sz w:val="24"/>
          <w:szCs w:val="24"/>
          <w:lang w:val="pt-PT"/>
        </w:rPr>
        <w:t>Unidad</w:t>
      </w:r>
      <w:r w:rsidRPr="003A1174">
        <w:rPr>
          <w:rFonts w:ascii="Garamond" w:hAnsi="Garamond" w:cs="Arial"/>
          <w:sz w:val="24"/>
          <w:szCs w:val="24"/>
          <w:lang w:val="pt-PT"/>
        </w:rPr>
        <w:t>e</w:t>
      </w:r>
      <w:r w:rsidR="00823BE0" w:rsidRPr="003A1174">
        <w:rPr>
          <w:rFonts w:ascii="Garamond" w:hAnsi="Garamond" w:cs="Arial"/>
          <w:sz w:val="24"/>
          <w:szCs w:val="24"/>
          <w:lang w:val="pt-PT"/>
        </w:rPr>
        <w:t xml:space="preserve"> Central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823BE0" w:rsidRPr="003A1174">
        <w:rPr>
          <w:rFonts w:ascii="Garamond" w:hAnsi="Garamond" w:cs="Arial"/>
          <w:sz w:val="24"/>
          <w:szCs w:val="24"/>
          <w:lang w:val="pt-PT"/>
        </w:rPr>
        <w:t xml:space="preserve"> </w:t>
      </w:r>
      <w:r w:rsidR="000350B1" w:rsidRPr="003A1174">
        <w:rPr>
          <w:rFonts w:ascii="Garamond" w:hAnsi="Garamond" w:cs="Arial"/>
          <w:sz w:val="24"/>
          <w:szCs w:val="24"/>
          <w:lang w:val="pt-PT"/>
        </w:rPr>
        <w:t>Assistência</w:t>
      </w:r>
      <w:r w:rsidR="00823BE0" w:rsidRPr="003A1174">
        <w:rPr>
          <w:rFonts w:ascii="Garamond" w:hAnsi="Garamond" w:cs="Arial"/>
          <w:sz w:val="24"/>
          <w:szCs w:val="24"/>
          <w:lang w:val="pt-PT"/>
        </w:rPr>
        <w:t xml:space="preserve"> a </w:t>
      </w:r>
      <w:r w:rsidR="003F012B" w:rsidRPr="003A1174">
        <w:rPr>
          <w:rFonts w:ascii="Garamond" w:hAnsi="Garamond" w:cs="Arial"/>
          <w:sz w:val="24"/>
          <w:szCs w:val="24"/>
          <w:lang w:val="pt-PT"/>
        </w:rPr>
        <w:t>Vítima</w:t>
      </w:r>
      <w:r w:rsidR="00823BE0" w:rsidRPr="003A1174">
        <w:rPr>
          <w:rFonts w:ascii="Garamond" w:hAnsi="Garamond" w:cs="Arial"/>
          <w:sz w:val="24"/>
          <w:szCs w:val="24"/>
          <w:lang w:val="pt-PT"/>
        </w:rPr>
        <w:t xml:space="preserve">s </w:t>
      </w:r>
      <w:r w:rsidR="000672E8" w:rsidRPr="003A1174">
        <w:rPr>
          <w:rFonts w:ascii="Garamond" w:hAnsi="Garamond" w:cs="Arial"/>
          <w:sz w:val="24"/>
          <w:szCs w:val="24"/>
          <w:lang w:val="pt-PT"/>
        </w:rPr>
        <w:t>e</w:t>
      </w:r>
      <w:r w:rsidR="00823BE0" w:rsidRPr="003A1174">
        <w:rPr>
          <w:rFonts w:ascii="Garamond" w:hAnsi="Garamond" w:cs="Arial"/>
          <w:sz w:val="24"/>
          <w:szCs w:val="24"/>
          <w:lang w:val="pt-PT"/>
        </w:rPr>
        <w:t xml:space="preserve"> </w:t>
      </w:r>
      <w:r w:rsidR="00EC45A0" w:rsidRPr="003A1174">
        <w:rPr>
          <w:rFonts w:ascii="Garamond" w:hAnsi="Garamond" w:cs="Arial"/>
          <w:sz w:val="24"/>
          <w:szCs w:val="24"/>
          <w:lang w:val="pt-PT"/>
        </w:rPr>
        <w:t>Testemunha</w:t>
      </w:r>
      <w:r w:rsidR="00823BE0" w:rsidRPr="003A1174">
        <w:rPr>
          <w:rFonts w:ascii="Garamond" w:hAnsi="Garamond" w:cs="Arial"/>
          <w:sz w:val="24"/>
          <w:szCs w:val="24"/>
          <w:lang w:val="pt-PT"/>
        </w:rPr>
        <w:t xml:space="preserve">s </w:t>
      </w:r>
      <w:r w:rsidR="00E85E59" w:rsidRPr="003A1174">
        <w:rPr>
          <w:rFonts w:ascii="Garamond" w:hAnsi="Garamond" w:cs="Arial"/>
          <w:sz w:val="24"/>
          <w:szCs w:val="24"/>
          <w:lang w:val="pt-PT"/>
        </w:rPr>
        <w:t>do</w:t>
      </w:r>
      <w:r w:rsidR="00823BE0"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823BE0" w:rsidRPr="003A1174">
        <w:rPr>
          <w:rFonts w:ascii="Garamond" w:hAnsi="Garamond" w:cs="Arial"/>
          <w:sz w:val="24"/>
          <w:szCs w:val="24"/>
          <w:lang w:val="pt-PT"/>
        </w:rPr>
        <w:t xml:space="preserve"> Público (UDAVIT), que </w:t>
      </w:r>
      <w:r w:rsidR="00BD6A0C" w:rsidRPr="003A1174">
        <w:rPr>
          <w:rFonts w:ascii="Garamond" w:hAnsi="Garamond" w:cs="Arial"/>
          <w:sz w:val="24"/>
          <w:szCs w:val="24"/>
          <w:lang w:val="pt-PT"/>
        </w:rPr>
        <w:t>executa</w:t>
      </w:r>
      <w:r w:rsidRPr="003A1174">
        <w:rPr>
          <w:rFonts w:ascii="Garamond" w:hAnsi="Garamond" w:cs="Arial"/>
          <w:sz w:val="24"/>
          <w:szCs w:val="24"/>
          <w:lang w:val="pt-PT"/>
        </w:rPr>
        <w:t xml:space="preserve"> </w:t>
      </w:r>
      <w:r w:rsidR="00823BE0" w:rsidRPr="003A1174">
        <w:rPr>
          <w:rFonts w:ascii="Garamond" w:hAnsi="Garamond" w:cs="Arial"/>
          <w:sz w:val="24"/>
          <w:szCs w:val="24"/>
          <w:lang w:val="pt-PT"/>
        </w:rPr>
        <w:t xml:space="preserve">as medidas de </w:t>
      </w:r>
      <w:r w:rsidR="00886D6A" w:rsidRPr="003A1174">
        <w:rPr>
          <w:rFonts w:ascii="Garamond" w:hAnsi="Garamond" w:cs="Arial"/>
          <w:sz w:val="24"/>
          <w:szCs w:val="24"/>
          <w:lang w:val="pt-PT"/>
        </w:rPr>
        <w:t>proteção</w:t>
      </w:r>
      <w:r w:rsidR="00823BE0" w:rsidRPr="003A1174">
        <w:rPr>
          <w:rFonts w:ascii="Garamond" w:hAnsi="Garamond" w:cs="Arial"/>
          <w:sz w:val="24"/>
          <w:szCs w:val="24"/>
          <w:lang w:val="pt-PT"/>
        </w:rPr>
        <w:t xml:space="preserve"> </w:t>
      </w:r>
      <w:r w:rsidR="00E67EF8" w:rsidRPr="003A1174">
        <w:rPr>
          <w:rFonts w:ascii="Garamond" w:hAnsi="Garamond" w:cs="Arial"/>
          <w:sz w:val="24"/>
          <w:szCs w:val="24"/>
          <w:lang w:val="pt-PT"/>
        </w:rPr>
        <w:t>estabelecida</w:t>
      </w:r>
      <w:r w:rsidR="00823BE0" w:rsidRPr="003A1174">
        <w:rPr>
          <w:rFonts w:ascii="Garamond" w:hAnsi="Garamond" w:cs="Arial"/>
          <w:sz w:val="24"/>
          <w:szCs w:val="24"/>
          <w:lang w:val="pt-PT"/>
        </w:rPr>
        <w:t xml:space="preserve">s </w:t>
      </w:r>
      <w:r w:rsidRPr="003A1174">
        <w:rPr>
          <w:rFonts w:ascii="Garamond" w:hAnsi="Garamond" w:cs="Arial"/>
          <w:sz w:val="24"/>
          <w:szCs w:val="24"/>
          <w:lang w:val="pt-PT"/>
        </w:rPr>
        <w:t xml:space="preserve">no </w:t>
      </w:r>
      <w:r w:rsidR="00823BE0" w:rsidRPr="003A1174">
        <w:rPr>
          <w:rFonts w:ascii="Garamond" w:hAnsi="Garamond" w:cs="Arial"/>
          <w:sz w:val="24"/>
          <w:szCs w:val="24"/>
          <w:lang w:val="pt-PT"/>
        </w:rPr>
        <w:t xml:space="preserve">citado </w:t>
      </w:r>
      <w:r w:rsidR="005E2542" w:rsidRPr="003A1174">
        <w:rPr>
          <w:rFonts w:ascii="Garamond" w:hAnsi="Garamond" w:cs="Arial"/>
          <w:sz w:val="24"/>
          <w:szCs w:val="24"/>
          <w:lang w:val="pt-PT"/>
        </w:rPr>
        <w:t>A</w:t>
      </w:r>
      <w:r w:rsidR="00823BE0" w:rsidRPr="003A1174">
        <w:rPr>
          <w:rFonts w:ascii="Garamond" w:hAnsi="Garamond" w:cs="Arial"/>
          <w:sz w:val="24"/>
          <w:szCs w:val="24"/>
          <w:lang w:val="pt-PT"/>
        </w:rPr>
        <w:t>rt. 248</w:t>
      </w:r>
      <w:r w:rsidR="000030A0">
        <w:rPr>
          <w:rFonts w:ascii="Garamond" w:hAnsi="Garamond" w:cs="Arial"/>
          <w:sz w:val="24"/>
          <w:szCs w:val="24"/>
          <w:lang w:val="pt-PT"/>
        </w:rPr>
        <w:t>,</w:t>
      </w:r>
      <w:r w:rsidR="00823BE0" w:rsidRPr="003A1174">
        <w:rPr>
          <w:rFonts w:ascii="Garamond" w:hAnsi="Garamond" w:cs="Arial"/>
          <w:sz w:val="24"/>
          <w:szCs w:val="24"/>
          <w:lang w:val="pt-PT"/>
        </w:rPr>
        <w:t xml:space="preserve"> </w:t>
      </w:r>
      <w:r w:rsidR="00586FC1" w:rsidRPr="003A1174">
        <w:rPr>
          <w:rFonts w:ascii="Garamond" w:hAnsi="Garamond" w:cs="Arial"/>
          <w:sz w:val="24"/>
          <w:szCs w:val="24"/>
          <w:lang w:val="pt-PT"/>
        </w:rPr>
        <w:t xml:space="preserve">com </w:t>
      </w:r>
      <w:r w:rsidR="005E2542" w:rsidRPr="003A1174">
        <w:rPr>
          <w:rFonts w:ascii="Garamond" w:hAnsi="Garamond" w:cs="Arial"/>
          <w:sz w:val="24"/>
          <w:szCs w:val="24"/>
          <w:lang w:val="pt-PT"/>
        </w:rPr>
        <w:t xml:space="preserve">base </w:t>
      </w:r>
      <w:r w:rsidR="00586FC1" w:rsidRPr="003A1174">
        <w:rPr>
          <w:rFonts w:ascii="Garamond" w:hAnsi="Garamond" w:cs="Arial"/>
          <w:sz w:val="24"/>
          <w:szCs w:val="24"/>
          <w:lang w:val="pt-PT"/>
        </w:rPr>
        <w:t>n</w:t>
      </w:r>
      <w:r w:rsidR="00497503" w:rsidRPr="003A1174">
        <w:rPr>
          <w:rFonts w:ascii="Garamond" w:hAnsi="Garamond" w:cs="Arial"/>
          <w:sz w:val="24"/>
          <w:szCs w:val="24"/>
          <w:lang w:val="pt-PT"/>
        </w:rPr>
        <w:t>as</w:t>
      </w:r>
      <w:r w:rsidR="00823BE0" w:rsidRPr="003A1174">
        <w:rPr>
          <w:rFonts w:ascii="Garamond" w:hAnsi="Garamond" w:cs="Arial"/>
          <w:sz w:val="24"/>
          <w:szCs w:val="24"/>
          <w:lang w:val="pt-PT"/>
        </w:rPr>
        <w:t xml:space="preserve"> </w:t>
      </w:r>
      <w:r w:rsidR="00B14AA6" w:rsidRPr="003A1174">
        <w:rPr>
          <w:rFonts w:ascii="Garamond" w:hAnsi="Garamond" w:cs="Arial"/>
          <w:sz w:val="24"/>
          <w:szCs w:val="24"/>
          <w:lang w:val="pt-PT"/>
        </w:rPr>
        <w:t>disposições</w:t>
      </w:r>
      <w:r w:rsidR="00823BE0"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823BE0" w:rsidRPr="003A1174">
        <w:rPr>
          <w:rFonts w:ascii="Garamond" w:hAnsi="Garamond" w:cs="Arial"/>
          <w:sz w:val="24"/>
          <w:szCs w:val="24"/>
          <w:lang w:val="pt-PT"/>
        </w:rPr>
        <w:t xml:space="preserve"> </w:t>
      </w:r>
      <w:r w:rsidRPr="003A1174">
        <w:rPr>
          <w:rFonts w:ascii="Garamond" w:hAnsi="Garamond" w:cs="Arial"/>
          <w:sz w:val="24"/>
          <w:szCs w:val="24"/>
          <w:lang w:val="pt-PT"/>
        </w:rPr>
        <w:t>Procurador</w:t>
      </w:r>
      <w:r w:rsidR="00823BE0" w:rsidRPr="003A1174">
        <w:rPr>
          <w:rFonts w:ascii="Garamond" w:hAnsi="Garamond" w:cs="Arial"/>
          <w:sz w:val="24"/>
          <w:szCs w:val="24"/>
          <w:lang w:val="pt-PT"/>
        </w:rPr>
        <w:t xml:space="preserve">, </w:t>
      </w:r>
      <w:r w:rsidRPr="003A1174">
        <w:rPr>
          <w:rFonts w:ascii="Garamond" w:hAnsi="Garamond" w:cs="Arial"/>
          <w:sz w:val="24"/>
          <w:szCs w:val="24"/>
          <w:lang w:val="pt-PT"/>
        </w:rPr>
        <w:t>que, por sua vez, oferece</w:t>
      </w:r>
      <w:r w:rsidR="00823BE0" w:rsidRPr="003A1174">
        <w:rPr>
          <w:rFonts w:ascii="Garamond" w:hAnsi="Garamond" w:cs="Arial"/>
          <w:sz w:val="24"/>
          <w:szCs w:val="24"/>
          <w:lang w:val="pt-PT"/>
        </w:rPr>
        <w:t xml:space="preserve"> </w:t>
      </w:r>
      <w:r w:rsidR="000350B1" w:rsidRPr="003A1174">
        <w:rPr>
          <w:rFonts w:ascii="Garamond" w:hAnsi="Garamond" w:cs="Arial"/>
          <w:sz w:val="24"/>
          <w:szCs w:val="24"/>
          <w:lang w:val="pt-PT"/>
        </w:rPr>
        <w:t>assistência</w:t>
      </w:r>
      <w:r w:rsidR="00823BE0" w:rsidRPr="003A1174">
        <w:rPr>
          <w:rFonts w:ascii="Garamond" w:hAnsi="Garamond" w:cs="Arial"/>
          <w:sz w:val="24"/>
          <w:szCs w:val="24"/>
          <w:lang w:val="pt-PT"/>
        </w:rPr>
        <w:t xml:space="preserve"> legal, psicológica </w:t>
      </w:r>
      <w:r w:rsidR="000672E8" w:rsidRPr="003A1174">
        <w:rPr>
          <w:rFonts w:ascii="Garamond" w:hAnsi="Garamond" w:cs="Arial"/>
          <w:sz w:val="24"/>
          <w:szCs w:val="24"/>
          <w:lang w:val="pt-PT"/>
        </w:rPr>
        <w:t>e</w:t>
      </w:r>
      <w:r w:rsidR="00823BE0" w:rsidRPr="003A1174">
        <w:rPr>
          <w:rFonts w:ascii="Garamond" w:hAnsi="Garamond" w:cs="Arial"/>
          <w:sz w:val="24"/>
          <w:szCs w:val="24"/>
          <w:lang w:val="pt-PT"/>
        </w:rPr>
        <w:t xml:space="preserve"> social.</w:t>
      </w:r>
    </w:p>
    <w:p w:rsidR="00823BE0" w:rsidRPr="003A1174" w:rsidRDefault="00586FC1" w:rsidP="00586FC1">
      <w:pPr>
        <w:pStyle w:val="Standard"/>
        <w:tabs>
          <w:tab w:val="left" w:pos="1088"/>
        </w:tabs>
        <w:autoSpaceDE w:val="0"/>
        <w:spacing w:before="240"/>
        <w:ind w:right="-234"/>
        <w:jc w:val="both"/>
        <w:rPr>
          <w:rFonts w:ascii="Garamond" w:eastAsia="Arial" w:hAnsi="Garamond" w:cs="Arial"/>
          <w:bCs/>
          <w:lang w:val="pt-PT"/>
        </w:rPr>
      </w:pPr>
      <w:r w:rsidRPr="003A1174">
        <w:rPr>
          <w:rFonts w:ascii="Garamond" w:eastAsia="Arial" w:hAnsi="Garamond" w:cs="Arial"/>
          <w:bCs/>
          <w:lang w:val="pt-PT"/>
        </w:rPr>
        <w:lastRenderedPageBreak/>
        <w:t xml:space="preserve">É </w:t>
      </w:r>
      <w:r w:rsidR="00823BE0" w:rsidRPr="003A1174">
        <w:rPr>
          <w:rFonts w:ascii="Garamond" w:eastAsia="Arial" w:hAnsi="Garamond" w:cs="Arial"/>
          <w:bCs/>
          <w:lang w:val="pt-PT"/>
        </w:rPr>
        <w:t>lament</w:t>
      </w:r>
      <w:r w:rsidRPr="003A1174">
        <w:rPr>
          <w:rFonts w:ascii="Garamond" w:eastAsia="Arial" w:hAnsi="Garamond" w:cs="Arial"/>
          <w:bCs/>
          <w:lang w:val="pt-PT"/>
        </w:rPr>
        <w:t xml:space="preserve">ável, no entanto, </w:t>
      </w:r>
      <w:r w:rsidR="00823BE0" w:rsidRPr="003A1174">
        <w:rPr>
          <w:rFonts w:ascii="Garamond" w:eastAsia="Arial" w:hAnsi="Garamond" w:cs="Arial"/>
          <w:bCs/>
          <w:lang w:val="pt-PT"/>
        </w:rPr>
        <w:t>que conforme aparece</w:t>
      </w:r>
      <w:r w:rsidR="001C315D" w:rsidRPr="003A1174">
        <w:rPr>
          <w:rFonts w:ascii="Garamond" w:eastAsia="Arial" w:hAnsi="Garamond" w:cs="Arial"/>
          <w:bCs/>
          <w:lang w:val="pt-PT"/>
        </w:rPr>
        <w:t>,</w:t>
      </w:r>
      <w:r w:rsidR="00823BE0" w:rsidRPr="003A1174">
        <w:rPr>
          <w:rFonts w:ascii="Garamond" w:eastAsia="Arial" w:hAnsi="Garamond" w:cs="Arial"/>
          <w:bCs/>
          <w:lang w:val="pt-PT"/>
        </w:rPr>
        <w:t xml:space="preserve"> inclus</w:t>
      </w:r>
      <w:r w:rsidRPr="003A1174">
        <w:rPr>
          <w:rFonts w:ascii="Garamond" w:eastAsia="Arial" w:hAnsi="Garamond" w:cs="Arial"/>
          <w:bCs/>
          <w:lang w:val="pt-PT"/>
        </w:rPr>
        <w:t>ivamente</w:t>
      </w:r>
      <w:r w:rsidR="000030A0">
        <w:rPr>
          <w:rFonts w:ascii="Garamond" w:eastAsia="Arial" w:hAnsi="Garamond" w:cs="Arial"/>
          <w:bCs/>
          <w:lang w:val="pt-PT"/>
        </w:rPr>
        <w:t>,</w:t>
      </w:r>
      <w:r w:rsidRPr="003A1174">
        <w:rPr>
          <w:rFonts w:ascii="Garamond" w:eastAsia="Arial" w:hAnsi="Garamond" w:cs="Arial"/>
          <w:bCs/>
          <w:lang w:val="pt-PT"/>
        </w:rPr>
        <w:t xml:space="preserve"> na </w:t>
      </w:r>
      <w:r w:rsidR="00B14AA6" w:rsidRPr="003A1174">
        <w:rPr>
          <w:rFonts w:ascii="Garamond" w:eastAsia="Arial" w:hAnsi="Garamond" w:cs="Arial"/>
          <w:bCs/>
          <w:lang w:val="pt-PT"/>
        </w:rPr>
        <w:t>própria</w:t>
      </w:r>
      <w:r w:rsidR="00823BE0" w:rsidRPr="003A1174">
        <w:rPr>
          <w:rFonts w:ascii="Garamond" w:eastAsia="Arial" w:hAnsi="Garamond" w:cs="Arial"/>
          <w:bCs/>
          <w:lang w:val="pt-PT"/>
        </w:rPr>
        <w:t xml:space="preserve"> </w:t>
      </w:r>
      <w:r w:rsidR="0017447A" w:rsidRPr="003A1174">
        <w:rPr>
          <w:rFonts w:ascii="Garamond" w:eastAsia="Arial" w:hAnsi="Garamond" w:cs="Arial"/>
          <w:bCs/>
          <w:lang w:val="pt-PT"/>
        </w:rPr>
        <w:t>informação</w:t>
      </w:r>
      <w:r w:rsidR="00823BE0" w:rsidRPr="003A1174">
        <w:rPr>
          <w:rFonts w:ascii="Garamond" w:eastAsia="Arial" w:hAnsi="Garamond" w:cs="Arial"/>
          <w:bCs/>
          <w:lang w:val="pt-PT"/>
        </w:rPr>
        <w:t xml:space="preserve"> </w:t>
      </w:r>
      <w:r w:rsidR="000030A0">
        <w:rPr>
          <w:rFonts w:ascii="Garamond" w:eastAsia="Arial" w:hAnsi="Garamond" w:cs="Arial"/>
          <w:bCs/>
          <w:lang w:val="pt-PT"/>
        </w:rPr>
        <w:t xml:space="preserve">disponibilizada </w:t>
      </w:r>
      <w:r w:rsidR="00275092" w:rsidRPr="003A1174">
        <w:rPr>
          <w:rFonts w:ascii="Garamond" w:eastAsia="Arial" w:hAnsi="Garamond" w:cs="Arial"/>
          <w:bCs/>
          <w:lang w:val="pt-PT"/>
        </w:rPr>
        <w:t>pela</w:t>
      </w:r>
      <w:r w:rsidR="00823BE0" w:rsidRPr="003A1174">
        <w:rPr>
          <w:rFonts w:ascii="Garamond" w:eastAsia="Arial" w:hAnsi="Garamond" w:cs="Arial"/>
          <w:bCs/>
          <w:lang w:val="pt-PT"/>
        </w:rPr>
        <w:t xml:space="preserve"> UDAVIT, </w:t>
      </w:r>
      <w:r w:rsidRPr="003A1174">
        <w:rPr>
          <w:rFonts w:ascii="Garamond" w:eastAsia="Arial" w:hAnsi="Garamond" w:cs="Arial"/>
          <w:bCs/>
          <w:lang w:val="pt-PT"/>
        </w:rPr>
        <w:t>o</w:t>
      </w:r>
      <w:r w:rsidR="00823BE0" w:rsidRPr="003A1174">
        <w:rPr>
          <w:rFonts w:ascii="Garamond" w:eastAsia="Arial" w:hAnsi="Garamond" w:cs="Arial"/>
          <w:bCs/>
          <w:lang w:val="pt-PT"/>
        </w:rPr>
        <w:t xml:space="preserve"> número de medidas de </w:t>
      </w:r>
      <w:r w:rsidR="00886D6A" w:rsidRPr="003A1174">
        <w:rPr>
          <w:rFonts w:ascii="Garamond" w:eastAsia="Arial" w:hAnsi="Garamond" w:cs="Arial"/>
          <w:bCs/>
          <w:lang w:val="pt-PT"/>
        </w:rPr>
        <w:t>proteção</w:t>
      </w:r>
      <w:r w:rsidR="00823BE0" w:rsidRPr="003A1174">
        <w:rPr>
          <w:rFonts w:ascii="Garamond" w:eastAsia="Arial" w:hAnsi="Garamond" w:cs="Arial"/>
          <w:bCs/>
          <w:lang w:val="pt-PT"/>
        </w:rPr>
        <w:t xml:space="preserve"> </w:t>
      </w:r>
      <w:r w:rsidRPr="003A1174">
        <w:rPr>
          <w:rFonts w:ascii="Garamond" w:eastAsia="Arial" w:hAnsi="Garamond" w:cs="Arial"/>
          <w:bCs/>
          <w:lang w:val="pt-PT"/>
        </w:rPr>
        <w:t xml:space="preserve">proferidas em </w:t>
      </w:r>
      <w:r w:rsidR="00823BE0" w:rsidRPr="003A1174">
        <w:rPr>
          <w:rFonts w:ascii="Garamond" w:eastAsia="Arial" w:hAnsi="Garamond" w:cs="Arial"/>
          <w:bCs/>
          <w:lang w:val="pt-PT"/>
        </w:rPr>
        <w:t>2013</w:t>
      </w:r>
      <w:r w:rsidR="000030A0">
        <w:rPr>
          <w:rFonts w:ascii="Garamond" w:eastAsia="Arial" w:hAnsi="Garamond" w:cs="Arial"/>
          <w:bCs/>
          <w:lang w:val="pt-PT"/>
        </w:rPr>
        <w:t>,</w:t>
      </w:r>
      <w:r w:rsidR="00823BE0" w:rsidRPr="003A1174">
        <w:rPr>
          <w:rFonts w:ascii="Garamond" w:eastAsia="Arial" w:hAnsi="Garamond" w:cs="Arial"/>
          <w:bCs/>
          <w:lang w:val="pt-PT"/>
        </w:rPr>
        <w:t xml:space="preserve"> e</w:t>
      </w:r>
      <w:r w:rsidRPr="003A1174">
        <w:rPr>
          <w:rFonts w:ascii="Garamond" w:eastAsia="Arial" w:hAnsi="Garamond" w:cs="Arial"/>
          <w:bCs/>
          <w:lang w:val="pt-PT"/>
        </w:rPr>
        <w:t>m</w:t>
      </w:r>
      <w:r w:rsidR="00823BE0" w:rsidRPr="003A1174">
        <w:rPr>
          <w:rFonts w:ascii="Garamond" w:eastAsia="Arial" w:hAnsi="Garamond" w:cs="Arial"/>
          <w:bCs/>
          <w:lang w:val="pt-PT"/>
        </w:rPr>
        <w:t xml:space="preserve"> </w:t>
      </w:r>
      <w:r w:rsidR="00EF645F" w:rsidRPr="003A1174">
        <w:rPr>
          <w:rFonts w:ascii="Garamond" w:eastAsia="Arial" w:hAnsi="Garamond" w:cs="Arial"/>
          <w:bCs/>
          <w:lang w:val="pt-PT"/>
        </w:rPr>
        <w:t>matéria</w:t>
      </w:r>
      <w:r w:rsidR="00823BE0" w:rsidRPr="003A1174">
        <w:rPr>
          <w:rFonts w:ascii="Garamond" w:eastAsia="Arial" w:hAnsi="Garamond" w:cs="Arial"/>
          <w:bCs/>
          <w:lang w:val="pt-PT"/>
        </w:rPr>
        <w:t xml:space="preserve"> de </w:t>
      </w:r>
      <w:r w:rsidR="000350B1" w:rsidRPr="003A1174">
        <w:rPr>
          <w:rFonts w:ascii="Garamond" w:eastAsia="Arial" w:hAnsi="Garamond" w:cs="Arial"/>
          <w:bCs/>
          <w:lang w:val="pt-PT"/>
        </w:rPr>
        <w:t>violência</w:t>
      </w:r>
      <w:r w:rsidR="00823BE0" w:rsidRPr="003A1174">
        <w:rPr>
          <w:rFonts w:ascii="Garamond" w:eastAsia="Arial" w:hAnsi="Garamond" w:cs="Arial"/>
          <w:bCs/>
          <w:lang w:val="pt-PT"/>
        </w:rPr>
        <w:t xml:space="preserve"> sexual</w:t>
      </w:r>
      <w:r w:rsidR="000030A0">
        <w:rPr>
          <w:rFonts w:ascii="Garamond" w:eastAsia="Arial" w:hAnsi="Garamond" w:cs="Arial"/>
          <w:bCs/>
          <w:lang w:val="pt-PT"/>
        </w:rPr>
        <w:t>,</w:t>
      </w:r>
      <w:r w:rsidR="00823BE0" w:rsidRPr="003A1174">
        <w:rPr>
          <w:rFonts w:ascii="Garamond" w:eastAsia="Arial" w:hAnsi="Garamond" w:cs="Arial"/>
          <w:bCs/>
          <w:lang w:val="pt-PT"/>
        </w:rPr>
        <w:t xml:space="preserve"> </w:t>
      </w:r>
      <w:r w:rsidR="00462B11" w:rsidRPr="003A1174">
        <w:rPr>
          <w:rFonts w:ascii="Garamond" w:eastAsia="Arial" w:hAnsi="Garamond" w:cs="Arial"/>
          <w:bCs/>
          <w:lang w:val="pt-PT"/>
        </w:rPr>
        <w:t>foi</w:t>
      </w:r>
      <w:r w:rsidR="00823BE0" w:rsidRPr="003A1174">
        <w:rPr>
          <w:rFonts w:ascii="Garamond" w:eastAsia="Arial" w:hAnsi="Garamond" w:cs="Arial"/>
          <w:bCs/>
          <w:lang w:val="pt-PT"/>
        </w:rPr>
        <w:t xml:space="preserve"> de 171</w:t>
      </w:r>
      <w:r w:rsidR="005E2542" w:rsidRPr="003A1174">
        <w:rPr>
          <w:rFonts w:ascii="Garamond" w:eastAsia="Arial" w:hAnsi="Garamond" w:cs="Arial"/>
          <w:bCs/>
          <w:lang w:val="pt-PT"/>
        </w:rPr>
        <w:t xml:space="preserve"> </w:t>
      </w:r>
      <w:r w:rsidR="00275092" w:rsidRPr="003A1174">
        <w:rPr>
          <w:rFonts w:ascii="Garamond" w:eastAsia="Arial" w:hAnsi="Garamond" w:cs="Arial"/>
          <w:bCs/>
          <w:lang w:val="pt-PT"/>
        </w:rPr>
        <w:t>pela</w:t>
      </w:r>
      <w:r w:rsidR="00823BE0" w:rsidRPr="003A1174">
        <w:rPr>
          <w:rFonts w:ascii="Garamond" w:eastAsia="Arial" w:hAnsi="Garamond" w:cs="Arial"/>
          <w:bCs/>
          <w:lang w:val="pt-PT"/>
        </w:rPr>
        <w:t xml:space="preserve">s </w:t>
      </w:r>
      <w:r w:rsidRPr="003A1174">
        <w:rPr>
          <w:rFonts w:ascii="Garamond" w:eastAsia="Arial" w:hAnsi="Garamond" w:cs="Arial"/>
          <w:bCs/>
          <w:lang w:val="pt-PT"/>
        </w:rPr>
        <w:t xml:space="preserve">procuradorias, o que é </w:t>
      </w:r>
      <w:r w:rsidR="000030A0">
        <w:rPr>
          <w:rFonts w:ascii="Garamond" w:eastAsia="Arial" w:hAnsi="Garamond" w:cs="Arial"/>
          <w:bCs/>
          <w:lang w:val="pt-PT"/>
        </w:rPr>
        <w:t xml:space="preserve">um número </w:t>
      </w:r>
      <w:r w:rsidRPr="003A1174">
        <w:rPr>
          <w:rFonts w:ascii="Garamond" w:eastAsia="Arial" w:hAnsi="Garamond" w:cs="Arial"/>
          <w:bCs/>
          <w:lang w:val="pt-PT"/>
        </w:rPr>
        <w:t xml:space="preserve">reduzido perante o </w:t>
      </w:r>
      <w:r w:rsidR="001C315D" w:rsidRPr="003A1174">
        <w:rPr>
          <w:rFonts w:ascii="Garamond" w:eastAsia="Arial" w:hAnsi="Garamond" w:cs="Arial"/>
          <w:bCs/>
          <w:lang w:val="pt-PT"/>
        </w:rPr>
        <w:t>universo de casos</w:t>
      </w:r>
      <w:r w:rsidR="00823BE0" w:rsidRPr="003A1174">
        <w:rPr>
          <w:rFonts w:ascii="Garamond" w:eastAsia="Arial" w:hAnsi="Garamond" w:cs="Arial"/>
          <w:bCs/>
          <w:lang w:val="pt-PT"/>
        </w:rPr>
        <w:t xml:space="preserve"> que</w:t>
      </w:r>
      <w:r w:rsidR="001C315D" w:rsidRPr="003A1174">
        <w:rPr>
          <w:rFonts w:ascii="Garamond" w:eastAsia="Arial" w:hAnsi="Garamond" w:cs="Arial"/>
          <w:bCs/>
          <w:lang w:val="pt-PT"/>
        </w:rPr>
        <w:t>,</w:t>
      </w:r>
      <w:r w:rsidR="00823BE0" w:rsidRPr="003A1174">
        <w:rPr>
          <w:rFonts w:ascii="Garamond" w:eastAsia="Arial" w:hAnsi="Garamond" w:cs="Arial"/>
          <w:bCs/>
          <w:lang w:val="pt-PT"/>
        </w:rPr>
        <w:t xml:space="preserve"> </w:t>
      </w:r>
      <w:r w:rsidRPr="003A1174">
        <w:rPr>
          <w:rFonts w:ascii="Garamond" w:eastAsia="Arial" w:hAnsi="Garamond" w:cs="Arial"/>
          <w:bCs/>
          <w:lang w:val="pt-PT"/>
        </w:rPr>
        <w:t xml:space="preserve">de acordo com o </w:t>
      </w:r>
      <w:r w:rsidR="00D77C19" w:rsidRPr="003A1174">
        <w:rPr>
          <w:rFonts w:ascii="Garamond" w:eastAsia="Arial" w:hAnsi="Garamond" w:cs="Arial"/>
          <w:lang w:val="pt-PT"/>
        </w:rPr>
        <w:t>Ministério</w:t>
      </w:r>
      <w:r w:rsidR="00823BE0" w:rsidRPr="003A1174">
        <w:rPr>
          <w:rFonts w:ascii="Garamond" w:eastAsia="Arial" w:hAnsi="Garamond" w:cs="Arial"/>
          <w:lang w:val="pt-PT"/>
        </w:rPr>
        <w:t xml:space="preserve"> Público</w:t>
      </w:r>
      <w:r w:rsidR="000030A0">
        <w:rPr>
          <w:rFonts w:ascii="Garamond" w:eastAsia="Arial" w:hAnsi="Garamond" w:cs="Arial"/>
          <w:lang w:val="pt-PT"/>
        </w:rPr>
        <w:t>,</w:t>
      </w:r>
      <w:r w:rsidR="00823BE0" w:rsidRPr="003A1174">
        <w:rPr>
          <w:rFonts w:ascii="Garamond" w:eastAsia="Arial" w:hAnsi="Garamond" w:cs="Arial"/>
          <w:lang w:val="pt-PT"/>
        </w:rPr>
        <w:t xml:space="preserve"> </w:t>
      </w:r>
      <w:r w:rsidRPr="003A1174">
        <w:rPr>
          <w:rFonts w:ascii="Garamond" w:eastAsia="Arial" w:hAnsi="Garamond" w:cs="Arial"/>
          <w:lang w:val="pt-PT"/>
        </w:rPr>
        <w:t xml:space="preserve">no </w:t>
      </w:r>
      <w:r w:rsidR="00023AD6" w:rsidRPr="003A1174">
        <w:rPr>
          <w:rFonts w:ascii="Garamond" w:eastAsia="Arial" w:hAnsi="Garamond" w:cs="Arial"/>
          <w:lang w:val="pt-PT"/>
        </w:rPr>
        <w:t>mesmo</w:t>
      </w:r>
      <w:r w:rsidR="00823BE0" w:rsidRPr="003A1174">
        <w:rPr>
          <w:rFonts w:ascii="Garamond" w:eastAsia="Arial" w:hAnsi="Garamond" w:cs="Arial"/>
          <w:lang w:val="pt-PT"/>
        </w:rPr>
        <w:t xml:space="preserve"> </w:t>
      </w:r>
      <w:r w:rsidR="002C7510" w:rsidRPr="003A1174">
        <w:rPr>
          <w:rFonts w:ascii="Garamond" w:eastAsia="Arial" w:hAnsi="Garamond" w:cs="Arial"/>
          <w:lang w:val="pt-PT"/>
        </w:rPr>
        <w:t>ano</w:t>
      </w:r>
      <w:r w:rsidR="001C315D" w:rsidRPr="003A1174">
        <w:rPr>
          <w:rFonts w:ascii="Garamond" w:eastAsia="Arial" w:hAnsi="Garamond" w:cs="Arial"/>
          <w:lang w:val="pt-PT"/>
        </w:rPr>
        <w:t>,</w:t>
      </w:r>
      <w:r w:rsidR="00823BE0" w:rsidRPr="003A1174">
        <w:rPr>
          <w:rFonts w:ascii="Garamond" w:eastAsia="Arial" w:hAnsi="Garamond" w:cs="Arial"/>
          <w:lang w:val="pt-PT"/>
        </w:rPr>
        <w:t xml:space="preserve"> </w:t>
      </w:r>
      <w:r w:rsidRPr="003A1174">
        <w:rPr>
          <w:rFonts w:ascii="Garamond" w:eastAsia="Arial" w:hAnsi="Garamond" w:cs="Arial"/>
          <w:lang w:val="pt-PT"/>
        </w:rPr>
        <w:t xml:space="preserve">atingiu </w:t>
      </w:r>
      <w:r w:rsidR="000030A0">
        <w:rPr>
          <w:rFonts w:ascii="Garamond" w:eastAsia="Arial" w:hAnsi="Garamond" w:cs="Arial"/>
          <w:lang w:val="pt-PT"/>
        </w:rPr>
        <w:t xml:space="preserve">o número </w:t>
      </w:r>
      <w:r w:rsidR="00A147B2" w:rsidRPr="003A1174">
        <w:rPr>
          <w:rFonts w:ascii="Garamond" w:eastAsia="Arial" w:hAnsi="Garamond" w:cs="Arial"/>
          <w:lang w:val="pt-PT"/>
        </w:rPr>
        <w:t xml:space="preserve">de </w:t>
      </w:r>
      <w:r w:rsidR="00823BE0" w:rsidRPr="003A1174">
        <w:rPr>
          <w:rFonts w:ascii="Garamond" w:eastAsia="Arial" w:hAnsi="Garamond" w:cs="Arial"/>
          <w:lang w:val="pt-PT"/>
        </w:rPr>
        <w:t>3168</w:t>
      </w:r>
      <w:r w:rsidR="000030A0">
        <w:rPr>
          <w:rFonts w:ascii="Garamond" w:eastAsia="Arial" w:hAnsi="Garamond" w:cs="Arial"/>
          <w:lang w:val="pt-PT"/>
        </w:rPr>
        <w:t>,</w:t>
      </w:r>
      <w:r w:rsidR="00823BE0" w:rsidRPr="003A1174">
        <w:rPr>
          <w:rFonts w:ascii="Garamond" w:eastAsia="Arial" w:hAnsi="Garamond" w:cs="Arial"/>
          <w:lang w:val="pt-PT"/>
        </w:rPr>
        <w:t xml:space="preserve"> entre detidos </w:t>
      </w:r>
      <w:r w:rsidR="000672E8" w:rsidRPr="003A1174">
        <w:rPr>
          <w:rFonts w:ascii="Garamond" w:eastAsia="Arial" w:hAnsi="Garamond" w:cs="Arial"/>
          <w:lang w:val="pt-PT"/>
        </w:rPr>
        <w:t>e</w:t>
      </w:r>
      <w:r w:rsidR="00B134A5" w:rsidRPr="003A1174">
        <w:rPr>
          <w:rFonts w:ascii="Garamond" w:eastAsia="Arial" w:hAnsi="Garamond" w:cs="Arial"/>
          <w:lang w:val="pt-PT"/>
        </w:rPr>
        <w:t xml:space="preserve"> condenados com pena de prisão</w:t>
      </w:r>
      <w:r w:rsidR="00823BE0" w:rsidRPr="003A1174">
        <w:rPr>
          <w:rFonts w:ascii="Garamond" w:eastAsia="Arial" w:hAnsi="Garamond" w:cs="Arial"/>
          <w:lang w:val="pt-PT"/>
        </w:rPr>
        <w:t xml:space="preserve"> </w:t>
      </w:r>
      <w:r w:rsidR="00D84A9F" w:rsidRPr="003A1174">
        <w:rPr>
          <w:rFonts w:ascii="Garamond" w:eastAsia="Arial" w:hAnsi="Garamond" w:cs="Arial"/>
          <w:lang w:val="pt-PT"/>
        </w:rPr>
        <w:t>efetiva</w:t>
      </w:r>
      <w:r w:rsidR="00823BE0" w:rsidRPr="003A1174">
        <w:rPr>
          <w:rFonts w:ascii="Garamond" w:eastAsia="Arial" w:hAnsi="Garamond" w:cs="Arial"/>
          <w:lang w:val="pt-PT"/>
        </w:rPr>
        <w:t xml:space="preserve"> </w:t>
      </w:r>
      <w:r w:rsidR="005C2020" w:rsidRPr="003A1174">
        <w:rPr>
          <w:rFonts w:ascii="Garamond" w:eastAsia="Arial" w:hAnsi="Garamond" w:cs="Arial"/>
          <w:lang w:val="pt-PT"/>
        </w:rPr>
        <w:t>pelo</w:t>
      </w:r>
      <w:r w:rsidR="00823BE0" w:rsidRPr="003A1174">
        <w:rPr>
          <w:rFonts w:ascii="Garamond" w:eastAsia="Arial" w:hAnsi="Garamond" w:cs="Arial"/>
          <w:lang w:val="pt-PT"/>
        </w:rPr>
        <w:t xml:space="preserve"> delito de </w:t>
      </w:r>
      <w:r w:rsidR="007342D9" w:rsidRPr="003A1174">
        <w:rPr>
          <w:rFonts w:ascii="Garamond" w:eastAsia="Arial" w:hAnsi="Garamond" w:cs="Arial"/>
          <w:lang w:val="pt-PT"/>
        </w:rPr>
        <w:t>violação</w:t>
      </w:r>
      <w:r w:rsidR="00823BE0" w:rsidRPr="003A1174">
        <w:rPr>
          <w:rFonts w:ascii="Garamond" w:eastAsia="Arial" w:hAnsi="Garamond" w:cs="Arial"/>
          <w:lang w:val="pt-PT"/>
        </w:rPr>
        <w:t xml:space="preserve"> </w:t>
      </w:r>
      <w:r w:rsidR="00BB2B00" w:rsidRPr="003A1174">
        <w:rPr>
          <w:rFonts w:ascii="Garamond" w:eastAsia="Arial" w:hAnsi="Garamond" w:cs="Arial"/>
          <w:lang w:val="pt-PT"/>
        </w:rPr>
        <w:t>à</w:t>
      </w:r>
      <w:r w:rsidR="00823BE0" w:rsidRPr="003A1174">
        <w:rPr>
          <w:rFonts w:ascii="Garamond" w:eastAsia="Arial" w:hAnsi="Garamond" w:cs="Arial"/>
          <w:lang w:val="pt-PT"/>
        </w:rPr>
        <w:t xml:space="preserve"> </w:t>
      </w:r>
      <w:r w:rsidR="001B02AD" w:rsidRPr="003A1174">
        <w:rPr>
          <w:rFonts w:ascii="Garamond" w:eastAsia="Arial" w:hAnsi="Garamond" w:cs="Arial"/>
          <w:lang w:val="pt-PT"/>
        </w:rPr>
        <w:t>liberdade</w:t>
      </w:r>
      <w:r w:rsidR="00823BE0" w:rsidRPr="003A1174">
        <w:rPr>
          <w:rFonts w:ascii="Garamond" w:eastAsia="Arial" w:hAnsi="Garamond" w:cs="Arial"/>
          <w:lang w:val="pt-PT"/>
        </w:rPr>
        <w:t xml:space="preserve"> sexual.</w:t>
      </w:r>
      <w:r w:rsidR="00A147B2" w:rsidRPr="003A1174">
        <w:rPr>
          <w:rFonts w:ascii="Garamond" w:eastAsia="Arial" w:hAnsi="Garamond" w:cs="Arial"/>
          <w:lang w:val="pt-PT"/>
        </w:rPr>
        <w:t xml:space="preserve"> </w:t>
      </w:r>
      <w:r w:rsidR="00B134A5" w:rsidRPr="003A1174">
        <w:rPr>
          <w:rFonts w:ascii="Garamond" w:eastAsia="Arial" w:hAnsi="Garamond" w:cs="Arial"/>
          <w:lang w:val="pt-PT"/>
        </w:rPr>
        <w:t>I</w:t>
      </w:r>
      <w:r w:rsidR="00A147B2" w:rsidRPr="003A1174">
        <w:rPr>
          <w:rFonts w:ascii="Garamond" w:eastAsia="Arial" w:hAnsi="Garamond" w:cs="Arial"/>
          <w:lang w:val="pt-PT"/>
        </w:rPr>
        <w:t>sto</w:t>
      </w:r>
      <w:r w:rsidR="00A147B2" w:rsidRPr="003A1174">
        <w:rPr>
          <w:rFonts w:ascii="Garamond" w:eastAsia="Arial" w:hAnsi="Garamond" w:cs="Arial"/>
          <w:bCs/>
          <w:lang w:val="pt-PT"/>
        </w:rPr>
        <w:t xml:space="preserve"> </w:t>
      </w:r>
      <w:r w:rsidR="00B134A5" w:rsidRPr="003A1174">
        <w:rPr>
          <w:rFonts w:ascii="Garamond" w:eastAsia="Arial" w:hAnsi="Garamond" w:cs="Arial"/>
          <w:bCs/>
          <w:lang w:val="pt-PT"/>
        </w:rPr>
        <w:t xml:space="preserve">é </w:t>
      </w:r>
      <w:r w:rsidR="00823BE0" w:rsidRPr="003A1174">
        <w:rPr>
          <w:rFonts w:ascii="Garamond" w:eastAsia="Arial" w:hAnsi="Garamond" w:cs="Arial"/>
          <w:bCs/>
          <w:lang w:val="pt-PT"/>
        </w:rPr>
        <w:t>preocupa</w:t>
      </w:r>
      <w:r w:rsidR="00A147B2" w:rsidRPr="003A1174">
        <w:rPr>
          <w:rFonts w:ascii="Garamond" w:eastAsia="Arial" w:hAnsi="Garamond" w:cs="Arial"/>
          <w:bCs/>
          <w:lang w:val="pt-PT"/>
        </w:rPr>
        <w:t>nte</w:t>
      </w:r>
      <w:r w:rsidR="00823BE0" w:rsidRPr="003A1174">
        <w:rPr>
          <w:rFonts w:ascii="Garamond" w:eastAsia="Arial" w:hAnsi="Garamond" w:cs="Arial"/>
          <w:bCs/>
          <w:lang w:val="pt-PT"/>
        </w:rPr>
        <w:t xml:space="preserve">, </w:t>
      </w:r>
      <w:r w:rsidR="00120915" w:rsidRPr="003A1174">
        <w:rPr>
          <w:rFonts w:ascii="Garamond" w:eastAsia="Arial" w:hAnsi="Garamond" w:cs="Arial"/>
          <w:bCs/>
          <w:lang w:val="pt-PT"/>
        </w:rPr>
        <w:t>pois</w:t>
      </w:r>
      <w:r w:rsidR="00823BE0" w:rsidRPr="003A1174">
        <w:rPr>
          <w:rFonts w:ascii="Garamond" w:eastAsia="Arial" w:hAnsi="Garamond" w:cs="Arial"/>
          <w:bCs/>
          <w:lang w:val="pt-PT"/>
        </w:rPr>
        <w:t xml:space="preserve"> </w:t>
      </w:r>
      <w:r w:rsidR="00B134A5" w:rsidRPr="003A1174">
        <w:rPr>
          <w:rFonts w:ascii="Garamond" w:eastAsia="Arial" w:hAnsi="Garamond" w:cs="Arial"/>
          <w:bCs/>
          <w:lang w:val="pt-PT"/>
        </w:rPr>
        <w:t>é evidente que</w:t>
      </w:r>
      <w:r w:rsidR="000030A0">
        <w:rPr>
          <w:rFonts w:ascii="Garamond" w:eastAsia="Arial" w:hAnsi="Garamond" w:cs="Arial"/>
          <w:bCs/>
          <w:lang w:val="pt-PT"/>
        </w:rPr>
        <w:t>,</w:t>
      </w:r>
      <w:r w:rsidR="00B134A5" w:rsidRPr="003A1174">
        <w:rPr>
          <w:rFonts w:ascii="Garamond" w:eastAsia="Arial" w:hAnsi="Garamond" w:cs="Arial"/>
          <w:bCs/>
          <w:lang w:val="pt-PT"/>
        </w:rPr>
        <w:t xml:space="preserve"> </w:t>
      </w:r>
      <w:r w:rsidR="00823BE0" w:rsidRPr="003A1174">
        <w:rPr>
          <w:rFonts w:ascii="Garamond" w:eastAsia="Arial" w:hAnsi="Garamond" w:cs="Arial"/>
          <w:bCs/>
          <w:lang w:val="pt-PT"/>
        </w:rPr>
        <w:t xml:space="preserve">a </w:t>
      </w:r>
      <w:r w:rsidR="00886D6A" w:rsidRPr="003A1174">
        <w:rPr>
          <w:rFonts w:ascii="Garamond" w:eastAsia="Arial" w:hAnsi="Garamond" w:cs="Arial"/>
          <w:bCs/>
          <w:lang w:val="pt-PT"/>
        </w:rPr>
        <w:t>proteção</w:t>
      </w:r>
      <w:r w:rsidR="00823BE0" w:rsidRPr="003A1174">
        <w:rPr>
          <w:rFonts w:ascii="Garamond" w:eastAsia="Arial" w:hAnsi="Garamond" w:cs="Arial"/>
          <w:bCs/>
          <w:lang w:val="pt-PT"/>
        </w:rPr>
        <w:t xml:space="preserve"> da </w:t>
      </w:r>
      <w:r w:rsidR="003F012B" w:rsidRPr="003A1174">
        <w:rPr>
          <w:rFonts w:ascii="Garamond" w:eastAsia="Arial" w:hAnsi="Garamond" w:cs="Arial"/>
          <w:bCs/>
          <w:lang w:val="pt-PT"/>
        </w:rPr>
        <w:t>vítima</w:t>
      </w:r>
      <w:r w:rsidR="000030A0">
        <w:rPr>
          <w:rFonts w:ascii="Garamond" w:eastAsia="Arial" w:hAnsi="Garamond" w:cs="Arial"/>
          <w:bCs/>
          <w:lang w:val="pt-PT"/>
        </w:rPr>
        <w:t>,</w:t>
      </w:r>
      <w:r w:rsidR="00823BE0" w:rsidRPr="003A1174">
        <w:rPr>
          <w:rFonts w:ascii="Garamond" w:eastAsia="Arial" w:hAnsi="Garamond" w:cs="Arial"/>
          <w:bCs/>
          <w:lang w:val="pt-PT"/>
        </w:rPr>
        <w:t xml:space="preserve"> </w:t>
      </w:r>
      <w:r w:rsidR="00FB09CA" w:rsidRPr="003A1174">
        <w:rPr>
          <w:rFonts w:ascii="Garamond" w:eastAsia="Arial" w:hAnsi="Garamond" w:cs="Arial"/>
          <w:bCs/>
          <w:lang w:val="pt-PT"/>
        </w:rPr>
        <w:t>constitui</w:t>
      </w:r>
      <w:r w:rsidR="00B134A5" w:rsidRPr="003A1174">
        <w:rPr>
          <w:rFonts w:ascii="Garamond" w:eastAsia="Arial" w:hAnsi="Garamond" w:cs="Arial"/>
          <w:bCs/>
          <w:lang w:val="pt-PT"/>
        </w:rPr>
        <w:t xml:space="preserve"> um</w:t>
      </w:r>
      <w:r w:rsidR="00823BE0" w:rsidRPr="003A1174">
        <w:rPr>
          <w:rFonts w:ascii="Garamond" w:eastAsia="Arial" w:hAnsi="Garamond" w:cs="Arial"/>
          <w:bCs/>
          <w:lang w:val="pt-PT"/>
        </w:rPr>
        <w:t xml:space="preserve">a </w:t>
      </w:r>
      <w:r w:rsidR="00077461" w:rsidRPr="003A1174">
        <w:rPr>
          <w:rFonts w:ascii="Garamond" w:eastAsia="Arial" w:hAnsi="Garamond" w:cs="Arial"/>
          <w:bCs/>
          <w:lang w:val="pt-PT"/>
        </w:rPr>
        <w:t>ação</w:t>
      </w:r>
      <w:r w:rsidR="00823BE0" w:rsidRPr="003A1174">
        <w:rPr>
          <w:rFonts w:ascii="Garamond" w:eastAsia="Arial" w:hAnsi="Garamond" w:cs="Arial"/>
          <w:bCs/>
          <w:lang w:val="pt-PT"/>
        </w:rPr>
        <w:t xml:space="preserve"> </w:t>
      </w:r>
      <w:r w:rsidR="007578C6" w:rsidRPr="003A1174">
        <w:rPr>
          <w:rFonts w:ascii="Garamond" w:eastAsia="Arial" w:hAnsi="Garamond" w:cs="Arial"/>
          <w:bCs/>
          <w:lang w:val="pt-PT"/>
        </w:rPr>
        <w:t>necessária</w:t>
      </w:r>
      <w:r w:rsidR="00B134A5" w:rsidRPr="003A1174">
        <w:rPr>
          <w:rFonts w:ascii="Garamond" w:eastAsia="Arial" w:hAnsi="Garamond" w:cs="Arial"/>
          <w:bCs/>
          <w:lang w:val="pt-PT"/>
        </w:rPr>
        <w:t xml:space="preserve"> </w:t>
      </w:r>
      <w:r w:rsidR="00823BE0" w:rsidRPr="003A1174">
        <w:rPr>
          <w:rFonts w:ascii="Garamond" w:eastAsia="Arial" w:hAnsi="Garamond" w:cs="Arial"/>
          <w:bCs/>
          <w:lang w:val="pt-PT"/>
        </w:rPr>
        <w:t xml:space="preserve">na </w:t>
      </w:r>
      <w:r w:rsidR="00233514" w:rsidRPr="003A1174">
        <w:rPr>
          <w:rFonts w:ascii="Garamond" w:eastAsia="Arial" w:hAnsi="Garamond" w:cs="Arial"/>
          <w:bCs/>
          <w:lang w:val="pt-PT"/>
        </w:rPr>
        <w:t>maioria</w:t>
      </w:r>
      <w:r w:rsidR="00823BE0" w:rsidRPr="003A1174">
        <w:rPr>
          <w:rFonts w:ascii="Garamond" w:eastAsia="Arial" w:hAnsi="Garamond" w:cs="Arial"/>
          <w:bCs/>
          <w:lang w:val="pt-PT"/>
        </w:rPr>
        <w:t xml:space="preserve"> </w:t>
      </w:r>
      <w:r w:rsidR="00497503" w:rsidRPr="003A1174">
        <w:rPr>
          <w:rFonts w:ascii="Garamond" w:eastAsia="Arial" w:hAnsi="Garamond" w:cs="Arial"/>
          <w:bCs/>
          <w:lang w:val="pt-PT"/>
        </w:rPr>
        <w:t>dos</w:t>
      </w:r>
      <w:r w:rsidR="00A147B2" w:rsidRPr="003A1174">
        <w:rPr>
          <w:rFonts w:ascii="Garamond" w:eastAsia="Arial" w:hAnsi="Garamond" w:cs="Arial"/>
          <w:bCs/>
          <w:lang w:val="pt-PT"/>
        </w:rPr>
        <w:t xml:space="preserve"> </w:t>
      </w:r>
      <w:r w:rsidR="00823BE0" w:rsidRPr="003A1174">
        <w:rPr>
          <w:rFonts w:ascii="Garamond" w:eastAsia="Arial" w:hAnsi="Garamond" w:cs="Arial"/>
          <w:bCs/>
          <w:lang w:val="pt-PT"/>
        </w:rPr>
        <w:t xml:space="preserve">casos. </w:t>
      </w:r>
      <w:r w:rsidR="00B134A5" w:rsidRPr="003A1174">
        <w:rPr>
          <w:rFonts w:ascii="Garamond" w:eastAsia="Arial" w:hAnsi="Garamond" w:cs="Arial"/>
          <w:bCs/>
          <w:lang w:val="pt-PT"/>
        </w:rPr>
        <w:t xml:space="preserve">O </w:t>
      </w:r>
      <w:r w:rsidR="00D77C19" w:rsidRPr="003A1174">
        <w:rPr>
          <w:rFonts w:ascii="Garamond" w:eastAsia="Arial" w:hAnsi="Garamond" w:cs="Arial"/>
          <w:bCs/>
          <w:lang w:val="pt-PT"/>
        </w:rPr>
        <w:t>Ministério</w:t>
      </w:r>
      <w:r w:rsidR="00823BE0" w:rsidRPr="003A1174">
        <w:rPr>
          <w:rFonts w:ascii="Garamond" w:eastAsia="Arial" w:hAnsi="Garamond" w:cs="Arial"/>
          <w:bCs/>
          <w:lang w:val="pt-PT"/>
        </w:rPr>
        <w:t xml:space="preserve"> Público </w:t>
      </w:r>
      <w:r w:rsidR="00AF192F" w:rsidRPr="003A1174">
        <w:rPr>
          <w:rFonts w:ascii="Garamond" w:eastAsia="Arial" w:hAnsi="Garamond" w:cs="Arial"/>
          <w:bCs/>
          <w:lang w:val="pt-PT"/>
        </w:rPr>
        <w:t>dev</w:t>
      </w:r>
      <w:r w:rsidR="00B134A5" w:rsidRPr="003A1174">
        <w:rPr>
          <w:rFonts w:ascii="Garamond" w:eastAsia="Arial" w:hAnsi="Garamond" w:cs="Arial"/>
          <w:bCs/>
          <w:lang w:val="pt-PT"/>
        </w:rPr>
        <w:t xml:space="preserve">ia rever a pertinência destas medidas, considerando </w:t>
      </w:r>
      <w:r w:rsidR="00823BE0" w:rsidRPr="003A1174">
        <w:rPr>
          <w:rFonts w:ascii="Garamond" w:eastAsia="Arial" w:hAnsi="Garamond" w:cs="Arial"/>
          <w:bCs/>
          <w:lang w:val="pt-PT"/>
        </w:rPr>
        <w:t xml:space="preserve">a </w:t>
      </w:r>
      <w:r w:rsidR="0017447A" w:rsidRPr="003A1174">
        <w:rPr>
          <w:rFonts w:ascii="Garamond" w:eastAsia="Arial" w:hAnsi="Garamond" w:cs="Arial"/>
          <w:bCs/>
          <w:lang w:val="pt-PT"/>
        </w:rPr>
        <w:t>situação</w:t>
      </w:r>
      <w:r w:rsidR="00823BE0" w:rsidRPr="003A1174">
        <w:rPr>
          <w:rFonts w:ascii="Garamond" w:eastAsia="Arial" w:hAnsi="Garamond" w:cs="Arial"/>
          <w:bCs/>
          <w:lang w:val="pt-PT"/>
        </w:rPr>
        <w:t xml:space="preserve"> de </w:t>
      </w:r>
      <w:r w:rsidR="004E3A1A" w:rsidRPr="003A1174">
        <w:rPr>
          <w:rFonts w:ascii="Garamond" w:eastAsia="Arial" w:hAnsi="Garamond" w:cs="Arial"/>
          <w:bCs/>
          <w:lang w:val="pt-PT"/>
        </w:rPr>
        <w:t>vulnerabilidade</w:t>
      </w:r>
      <w:r w:rsidR="00823BE0" w:rsidRPr="003A1174">
        <w:rPr>
          <w:rFonts w:ascii="Garamond" w:eastAsia="Arial" w:hAnsi="Garamond" w:cs="Arial"/>
          <w:bCs/>
          <w:lang w:val="pt-PT"/>
        </w:rPr>
        <w:t xml:space="preserve"> e</w:t>
      </w:r>
      <w:r w:rsidR="00B134A5" w:rsidRPr="003A1174">
        <w:rPr>
          <w:rFonts w:ascii="Garamond" w:eastAsia="Arial" w:hAnsi="Garamond" w:cs="Arial"/>
          <w:bCs/>
          <w:lang w:val="pt-PT"/>
        </w:rPr>
        <w:t>m</w:t>
      </w:r>
      <w:r w:rsidR="00823BE0" w:rsidRPr="003A1174">
        <w:rPr>
          <w:rFonts w:ascii="Garamond" w:eastAsia="Arial" w:hAnsi="Garamond" w:cs="Arial"/>
          <w:bCs/>
          <w:lang w:val="pt-PT"/>
        </w:rPr>
        <w:t xml:space="preserve"> que se </w:t>
      </w:r>
      <w:r w:rsidR="00F520D6" w:rsidRPr="003A1174">
        <w:rPr>
          <w:rFonts w:ascii="Garamond" w:eastAsia="Arial" w:hAnsi="Garamond" w:cs="Arial"/>
          <w:bCs/>
          <w:lang w:val="pt-PT"/>
        </w:rPr>
        <w:t>encontram</w:t>
      </w:r>
      <w:r w:rsidR="00B134A5" w:rsidRPr="003A1174">
        <w:rPr>
          <w:rFonts w:ascii="Garamond" w:eastAsia="Arial" w:hAnsi="Garamond" w:cs="Arial"/>
          <w:bCs/>
          <w:lang w:val="pt-PT"/>
        </w:rPr>
        <w:t xml:space="preserve"> </w:t>
      </w:r>
      <w:r w:rsidR="00823BE0" w:rsidRPr="003A1174">
        <w:rPr>
          <w:rFonts w:ascii="Garamond" w:eastAsia="Arial" w:hAnsi="Garamond" w:cs="Arial"/>
          <w:bCs/>
          <w:lang w:val="pt-PT"/>
        </w:rPr>
        <w:t xml:space="preserve">as </w:t>
      </w:r>
      <w:r w:rsidR="003F012B" w:rsidRPr="003A1174">
        <w:rPr>
          <w:rFonts w:ascii="Garamond" w:eastAsia="Arial" w:hAnsi="Garamond" w:cs="Arial"/>
          <w:bCs/>
          <w:lang w:val="pt-PT"/>
        </w:rPr>
        <w:t>vítima</w:t>
      </w:r>
      <w:r w:rsidR="00823BE0" w:rsidRPr="003A1174">
        <w:rPr>
          <w:rFonts w:ascii="Garamond" w:eastAsia="Arial" w:hAnsi="Garamond" w:cs="Arial"/>
          <w:bCs/>
          <w:lang w:val="pt-PT"/>
        </w:rPr>
        <w:t xml:space="preserve">s. </w:t>
      </w:r>
    </w:p>
    <w:p w:rsidR="00823BE0" w:rsidRPr="003A1174" w:rsidRDefault="00B365B7" w:rsidP="00B134A5">
      <w:pPr>
        <w:pStyle w:val="Standard"/>
        <w:tabs>
          <w:tab w:val="left" w:pos="1088"/>
        </w:tabs>
        <w:autoSpaceDE w:val="0"/>
        <w:spacing w:before="240"/>
        <w:ind w:right="-234"/>
        <w:jc w:val="both"/>
        <w:rPr>
          <w:rFonts w:ascii="Garamond" w:eastAsia="Arial" w:hAnsi="Garamond" w:cs="Arial"/>
          <w:bCs/>
          <w:lang w:val="pt-PT"/>
        </w:rPr>
      </w:pPr>
      <w:r>
        <w:rPr>
          <w:rFonts w:ascii="Garamond" w:eastAsia="Arial" w:hAnsi="Garamond" w:cs="Arial"/>
          <w:bCs/>
          <w:lang w:val="pt-PT"/>
        </w:rPr>
        <w:t xml:space="preserve">Sobre a </w:t>
      </w:r>
      <w:r w:rsidR="00524936" w:rsidRPr="00657232">
        <w:rPr>
          <w:rFonts w:ascii="Garamond" w:eastAsia="Arial" w:hAnsi="Garamond" w:cs="Arial"/>
          <w:bCs/>
          <w:lang w:val="pt-PT"/>
        </w:rPr>
        <w:t>mesma</w:t>
      </w:r>
      <w:r w:rsidR="00823BE0" w:rsidRPr="00657232">
        <w:rPr>
          <w:rFonts w:ascii="Garamond" w:eastAsia="Arial" w:hAnsi="Garamond" w:cs="Arial"/>
          <w:bCs/>
          <w:lang w:val="pt-PT"/>
        </w:rPr>
        <w:t xml:space="preserve"> </w:t>
      </w:r>
      <w:r w:rsidR="0017447A" w:rsidRPr="00657232">
        <w:rPr>
          <w:rFonts w:ascii="Garamond" w:eastAsia="Arial" w:hAnsi="Garamond" w:cs="Arial"/>
          <w:bCs/>
          <w:lang w:val="pt-PT"/>
        </w:rPr>
        <w:t>informação</w:t>
      </w:r>
      <w:r w:rsidR="00657232">
        <w:rPr>
          <w:rFonts w:ascii="Garamond" w:eastAsia="Arial" w:hAnsi="Garamond" w:cs="Arial"/>
          <w:bCs/>
          <w:lang w:val="pt-PT"/>
        </w:rPr>
        <w:t>,</w:t>
      </w:r>
      <w:r w:rsidR="00823BE0" w:rsidRPr="00657232">
        <w:rPr>
          <w:rFonts w:ascii="Garamond" w:eastAsia="Arial" w:hAnsi="Garamond" w:cs="Arial"/>
          <w:bCs/>
          <w:lang w:val="pt-PT"/>
        </w:rPr>
        <w:t xml:space="preserve"> </w:t>
      </w:r>
      <w:r w:rsidR="00657232">
        <w:rPr>
          <w:rFonts w:ascii="Garamond" w:eastAsia="Arial" w:hAnsi="Garamond" w:cs="Arial"/>
          <w:bCs/>
          <w:lang w:val="pt-PT"/>
        </w:rPr>
        <w:t>cumpre,</w:t>
      </w:r>
      <w:r w:rsidR="00823BE0" w:rsidRPr="00657232">
        <w:rPr>
          <w:rFonts w:ascii="Garamond" w:eastAsia="Arial" w:hAnsi="Garamond" w:cs="Arial"/>
          <w:bCs/>
          <w:lang w:val="pt-PT"/>
        </w:rPr>
        <w:t xml:space="preserve"> </w:t>
      </w:r>
      <w:r w:rsidR="000350B1" w:rsidRPr="00657232">
        <w:rPr>
          <w:rFonts w:ascii="Garamond" w:eastAsia="Arial" w:hAnsi="Garamond" w:cs="Arial"/>
          <w:bCs/>
          <w:lang w:val="pt-PT"/>
        </w:rPr>
        <w:t>também</w:t>
      </w:r>
      <w:r w:rsidR="00657232">
        <w:rPr>
          <w:rFonts w:ascii="Garamond" w:eastAsia="Arial" w:hAnsi="Garamond" w:cs="Arial"/>
          <w:bCs/>
          <w:lang w:val="pt-PT"/>
        </w:rPr>
        <w:t>,</w:t>
      </w:r>
      <w:r w:rsidR="00B134A5" w:rsidRPr="00657232">
        <w:rPr>
          <w:rFonts w:ascii="Garamond" w:eastAsia="Arial" w:hAnsi="Garamond" w:cs="Arial"/>
          <w:bCs/>
          <w:lang w:val="pt-PT"/>
        </w:rPr>
        <w:t xml:space="preserve"> salientar que </w:t>
      </w:r>
      <w:r w:rsidR="00823BE0" w:rsidRPr="00657232">
        <w:rPr>
          <w:rFonts w:ascii="Garamond" w:eastAsia="Arial" w:hAnsi="Garamond" w:cs="Arial"/>
          <w:bCs/>
          <w:lang w:val="pt-PT"/>
        </w:rPr>
        <w:t xml:space="preserve">as modalidades de medidas de </w:t>
      </w:r>
      <w:r w:rsidR="00886D6A" w:rsidRPr="00657232">
        <w:rPr>
          <w:rFonts w:ascii="Garamond" w:eastAsia="Arial" w:hAnsi="Garamond" w:cs="Arial"/>
          <w:bCs/>
          <w:lang w:val="pt-PT"/>
        </w:rPr>
        <w:t>proteção</w:t>
      </w:r>
      <w:r w:rsidR="00657232">
        <w:rPr>
          <w:rFonts w:ascii="Garamond" w:eastAsia="Arial" w:hAnsi="Garamond" w:cs="Arial"/>
          <w:bCs/>
          <w:lang w:val="pt-PT"/>
        </w:rPr>
        <w:t>,</w:t>
      </w:r>
      <w:r w:rsidR="00823BE0" w:rsidRPr="00657232">
        <w:rPr>
          <w:rFonts w:ascii="Garamond" w:eastAsia="Arial" w:hAnsi="Garamond" w:cs="Arial"/>
          <w:bCs/>
          <w:lang w:val="pt-PT"/>
        </w:rPr>
        <w:t xml:space="preserve"> que se </w:t>
      </w:r>
      <w:r w:rsidR="00B134A5" w:rsidRPr="00657232">
        <w:rPr>
          <w:rFonts w:ascii="Garamond" w:eastAsia="Arial" w:hAnsi="Garamond" w:cs="Arial"/>
          <w:bCs/>
          <w:lang w:val="pt-PT"/>
        </w:rPr>
        <w:t>proferem</w:t>
      </w:r>
      <w:r w:rsidR="00657232">
        <w:rPr>
          <w:rFonts w:ascii="Garamond" w:eastAsia="Arial" w:hAnsi="Garamond" w:cs="Arial"/>
          <w:bCs/>
          <w:lang w:val="pt-PT"/>
        </w:rPr>
        <w:t>,</w:t>
      </w:r>
      <w:r w:rsidR="00B134A5" w:rsidRPr="00657232">
        <w:rPr>
          <w:rFonts w:ascii="Garamond" w:eastAsia="Arial" w:hAnsi="Garamond" w:cs="Arial"/>
          <w:bCs/>
          <w:lang w:val="pt-PT"/>
        </w:rPr>
        <w:t xml:space="preserve"> </w:t>
      </w:r>
      <w:r w:rsidR="00D75A07" w:rsidRPr="00657232">
        <w:rPr>
          <w:rFonts w:ascii="Garamond" w:eastAsia="Arial" w:hAnsi="Garamond" w:cs="Arial"/>
          <w:bCs/>
          <w:lang w:val="pt-PT"/>
        </w:rPr>
        <w:t>são</w:t>
      </w:r>
      <w:r w:rsidR="00823BE0" w:rsidRPr="00657232">
        <w:rPr>
          <w:rFonts w:ascii="Garamond" w:eastAsia="Arial" w:hAnsi="Garamond" w:cs="Arial"/>
          <w:bCs/>
          <w:lang w:val="pt-PT"/>
        </w:rPr>
        <w:t xml:space="preserve"> po</w:t>
      </w:r>
      <w:r w:rsidR="00B134A5" w:rsidRPr="00657232">
        <w:rPr>
          <w:rFonts w:ascii="Garamond" w:eastAsia="Arial" w:hAnsi="Garamond" w:cs="Arial"/>
          <w:bCs/>
          <w:lang w:val="pt-PT"/>
        </w:rPr>
        <w:t>u</w:t>
      </w:r>
      <w:r w:rsidR="00823BE0" w:rsidRPr="00657232">
        <w:rPr>
          <w:rFonts w:ascii="Garamond" w:eastAsia="Arial" w:hAnsi="Garamond" w:cs="Arial"/>
          <w:bCs/>
          <w:lang w:val="pt-PT"/>
        </w:rPr>
        <w:t xml:space="preserve">co </w:t>
      </w:r>
      <w:r w:rsidR="00D84A9F" w:rsidRPr="00657232">
        <w:rPr>
          <w:rFonts w:ascii="Garamond" w:eastAsia="Arial" w:hAnsi="Garamond" w:cs="Arial"/>
          <w:bCs/>
          <w:lang w:val="pt-PT"/>
        </w:rPr>
        <w:t>efetiva</w:t>
      </w:r>
      <w:r w:rsidR="00823BE0" w:rsidRPr="00657232">
        <w:rPr>
          <w:rFonts w:ascii="Garamond" w:eastAsia="Arial" w:hAnsi="Garamond" w:cs="Arial"/>
          <w:bCs/>
          <w:lang w:val="pt-PT"/>
        </w:rPr>
        <w:t>s</w:t>
      </w:r>
      <w:r w:rsidR="00657232">
        <w:rPr>
          <w:rFonts w:ascii="Garamond" w:eastAsia="Arial" w:hAnsi="Garamond" w:cs="Arial"/>
          <w:bCs/>
          <w:lang w:val="pt-PT"/>
        </w:rPr>
        <w:t>,</w:t>
      </w:r>
      <w:r w:rsidR="00823BE0" w:rsidRPr="00657232">
        <w:rPr>
          <w:rFonts w:ascii="Garamond" w:eastAsia="Arial" w:hAnsi="Garamond" w:cs="Arial"/>
          <w:bCs/>
          <w:lang w:val="pt-PT"/>
        </w:rPr>
        <w:t xml:space="preserve"> </w:t>
      </w:r>
      <w:r>
        <w:rPr>
          <w:rFonts w:ascii="Garamond" w:eastAsia="Arial" w:hAnsi="Garamond" w:cs="Arial"/>
          <w:bCs/>
          <w:lang w:val="pt-PT"/>
        </w:rPr>
        <w:t xml:space="preserve">já </w:t>
      </w:r>
      <w:r w:rsidR="00657232">
        <w:rPr>
          <w:rFonts w:ascii="Garamond" w:eastAsia="Arial" w:hAnsi="Garamond" w:cs="Arial"/>
          <w:bCs/>
          <w:lang w:val="pt-PT"/>
        </w:rPr>
        <w:t>que</w:t>
      </w:r>
      <w:r w:rsidR="00823BE0" w:rsidRPr="00657232">
        <w:rPr>
          <w:rFonts w:ascii="Garamond" w:eastAsia="Arial" w:hAnsi="Garamond" w:cs="Arial"/>
          <w:bCs/>
          <w:lang w:val="pt-PT"/>
        </w:rPr>
        <w:t xml:space="preserve">, por </w:t>
      </w:r>
      <w:r w:rsidR="002F5CD1" w:rsidRPr="00657232">
        <w:rPr>
          <w:rFonts w:ascii="Garamond" w:eastAsia="Arial" w:hAnsi="Garamond" w:cs="Arial"/>
          <w:bCs/>
          <w:lang w:val="pt-PT"/>
        </w:rPr>
        <w:t>exemplo</w:t>
      </w:r>
      <w:r w:rsidR="00823BE0" w:rsidRPr="00657232">
        <w:rPr>
          <w:rFonts w:ascii="Garamond" w:eastAsia="Arial" w:hAnsi="Garamond" w:cs="Arial"/>
          <w:bCs/>
          <w:lang w:val="pt-PT"/>
        </w:rPr>
        <w:t>, 60% de</w:t>
      </w:r>
      <w:r w:rsidR="00A147B2" w:rsidRPr="00657232">
        <w:rPr>
          <w:rFonts w:ascii="Garamond" w:eastAsia="Arial" w:hAnsi="Garamond" w:cs="Arial"/>
          <w:bCs/>
          <w:lang w:val="pt-PT"/>
        </w:rPr>
        <w:t>st</w:t>
      </w:r>
      <w:r w:rsidR="00823BE0" w:rsidRPr="00657232">
        <w:rPr>
          <w:rFonts w:ascii="Garamond" w:eastAsia="Arial" w:hAnsi="Garamond" w:cs="Arial"/>
          <w:bCs/>
          <w:lang w:val="pt-PT"/>
        </w:rPr>
        <w:t>as</w:t>
      </w:r>
      <w:r>
        <w:rPr>
          <w:rFonts w:ascii="Garamond" w:eastAsia="Arial" w:hAnsi="Garamond" w:cs="Arial"/>
          <w:bCs/>
          <w:lang w:val="pt-PT"/>
        </w:rPr>
        <w:t>,</w:t>
      </w:r>
      <w:r w:rsidR="00823BE0" w:rsidRPr="00657232">
        <w:rPr>
          <w:rFonts w:ascii="Garamond" w:eastAsia="Arial" w:hAnsi="Garamond" w:cs="Arial"/>
          <w:bCs/>
          <w:lang w:val="pt-PT"/>
        </w:rPr>
        <w:t xml:space="preserve"> que </w:t>
      </w:r>
      <w:r w:rsidR="00152A44" w:rsidRPr="00657232">
        <w:rPr>
          <w:rFonts w:ascii="Garamond" w:eastAsia="Arial" w:hAnsi="Garamond" w:cs="Arial"/>
          <w:bCs/>
          <w:lang w:val="pt-PT"/>
        </w:rPr>
        <w:t>estabelece</w:t>
      </w:r>
      <w:r w:rsidR="00B134A5" w:rsidRPr="00657232">
        <w:rPr>
          <w:rFonts w:ascii="Garamond" w:eastAsia="Arial" w:hAnsi="Garamond" w:cs="Arial"/>
          <w:bCs/>
          <w:lang w:val="pt-PT"/>
        </w:rPr>
        <w:t>m</w:t>
      </w:r>
      <w:r w:rsidR="00823BE0" w:rsidRPr="00657232">
        <w:rPr>
          <w:rFonts w:ascii="Garamond" w:eastAsia="Arial" w:hAnsi="Garamond" w:cs="Arial"/>
          <w:bCs/>
          <w:lang w:val="pt-PT"/>
        </w:rPr>
        <w:t xml:space="preserve"> </w:t>
      </w:r>
      <w:r w:rsidR="00661ADB" w:rsidRPr="00657232">
        <w:rPr>
          <w:rFonts w:ascii="Garamond" w:eastAsia="Arial" w:hAnsi="Garamond" w:cs="Arial"/>
          <w:bCs/>
          <w:lang w:val="pt-PT"/>
        </w:rPr>
        <w:t>essencial</w:t>
      </w:r>
      <w:r w:rsidR="00823BE0" w:rsidRPr="00657232">
        <w:rPr>
          <w:rFonts w:ascii="Garamond" w:eastAsia="Arial" w:hAnsi="Garamond" w:cs="Arial"/>
          <w:bCs/>
          <w:lang w:val="pt-PT"/>
        </w:rPr>
        <w:t xml:space="preserve"> o</w:t>
      </w:r>
      <w:r w:rsidR="00B134A5" w:rsidRPr="00657232">
        <w:rPr>
          <w:rFonts w:ascii="Garamond" w:eastAsia="Arial" w:hAnsi="Garamond" w:cs="Arial"/>
          <w:bCs/>
          <w:lang w:val="pt-PT"/>
        </w:rPr>
        <w:t xml:space="preserve">u fundamentalmente </w:t>
      </w:r>
      <w:r w:rsidR="00823BE0" w:rsidRPr="00657232">
        <w:rPr>
          <w:rFonts w:ascii="Garamond" w:eastAsia="Arial" w:hAnsi="Garamond" w:cs="Arial"/>
          <w:bCs/>
          <w:lang w:val="pt-PT"/>
        </w:rPr>
        <w:t xml:space="preserve">a reserva de </w:t>
      </w:r>
      <w:r w:rsidR="007C44AC" w:rsidRPr="00657232">
        <w:rPr>
          <w:rFonts w:ascii="Garamond" w:eastAsia="Arial" w:hAnsi="Garamond" w:cs="Arial"/>
          <w:bCs/>
          <w:lang w:val="pt-PT"/>
        </w:rPr>
        <w:t>identidade</w:t>
      </w:r>
      <w:r w:rsidR="00823BE0" w:rsidRPr="00657232">
        <w:rPr>
          <w:rFonts w:ascii="Garamond" w:eastAsia="Arial" w:hAnsi="Garamond" w:cs="Arial"/>
          <w:bCs/>
          <w:lang w:val="pt-PT"/>
        </w:rPr>
        <w:t>, n</w:t>
      </w:r>
      <w:r w:rsidR="00B134A5" w:rsidRPr="00657232">
        <w:rPr>
          <w:rFonts w:ascii="Garamond" w:eastAsia="Arial" w:hAnsi="Garamond" w:cs="Arial"/>
          <w:bCs/>
          <w:lang w:val="pt-PT"/>
        </w:rPr>
        <w:t>ã</w:t>
      </w:r>
      <w:r w:rsidR="00823BE0" w:rsidRPr="00657232">
        <w:rPr>
          <w:rFonts w:ascii="Garamond" w:eastAsia="Arial" w:hAnsi="Garamond" w:cs="Arial"/>
          <w:bCs/>
          <w:lang w:val="pt-PT"/>
        </w:rPr>
        <w:t xml:space="preserve">o </w:t>
      </w:r>
      <w:r w:rsidR="00657232">
        <w:rPr>
          <w:rFonts w:ascii="Garamond" w:eastAsia="Arial" w:hAnsi="Garamond" w:cs="Arial"/>
          <w:bCs/>
          <w:lang w:val="pt-PT"/>
        </w:rPr>
        <w:t>produzem</w:t>
      </w:r>
      <w:r w:rsidR="00B134A5" w:rsidRPr="00657232">
        <w:rPr>
          <w:rFonts w:ascii="Garamond" w:eastAsia="Arial" w:hAnsi="Garamond" w:cs="Arial"/>
          <w:bCs/>
          <w:lang w:val="pt-PT"/>
        </w:rPr>
        <w:t xml:space="preserve"> um</w:t>
      </w:r>
      <w:r w:rsidR="00823BE0" w:rsidRPr="00657232">
        <w:rPr>
          <w:rFonts w:ascii="Garamond" w:eastAsia="Arial" w:hAnsi="Garamond" w:cs="Arial"/>
          <w:bCs/>
          <w:lang w:val="pt-PT"/>
        </w:rPr>
        <w:t xml:space="preserve">a </w:t>
      </w:r>
      <w:r w:rsidR="00886D6A" w:rsidRPr="00657232">
        <w:rPr>
          <w:rFonts w:ascii="Garamond" w:eastAsia="Arial" w:hAnsi="Garamond" w:cs="Arial"/>
          <w:bCs/>
          <w:lang w:val="pt-PT"/>
        </w:rPr>
        <w:t>proteção</w:t>
      </w:r>
      <w:r w:rsidR="00823BE0" w:rsidRPr="00657232">
        <w:rPr>
          <w:rFonts w:ascii="Garamond" w:eastAsia="Arial" w:hAnsi="Garamond" w:cs="Arial"/>
          <w:bCs/>
          <w:lang w:val="pt-PT"/>
        </w:rPr>
        <w:t xml:space="preserve"> </w:t>
      </w:r>
      <w:r w:rsidR="00501083" w:rsidRPr="00657232">
        <w:rPr>
          <w:rFonts w:ascii="Garamond" w:eastAsia="Arial" w:hAnsi="Garamond" w:cs="Arial"/>
          <w:bCs/>
          <w:lang w:val="pt-PT"/>
        </w:rPr>
        <w:t>adequada</w:t>
      </w:r>
      <w:r w:rsidR="00823BE0" w:rsidRPr="00657232">
        <w:rPr>
          <w:rFonts w:ascii="Garamond" w:eastAsia="Arial" w:hAnsi="Garamond" w:cs="Arial"/>
          <w:bCs/>
          <w:lang w:val="pt-PT"/>
        </w:rPr>
        <w:t xml:space="preserve"> </w:t>
      </w:r>
      <w:r w:rsidR="00BB2B00" w:rsidRPr="00657232">
        <w:rPr>
          <w:rFonts w:ascii="Garamond" w:eastAsia="Arial" w:hAnsi="Garamond" w:cs="Arial"/>
          <w:bCs/>
          <w:lang w:val="pt-PT"/>
        </w:rPr>
        <w:t>à</w:t>
      </w:r>
      <w:r w:rsidR="00823BE0" w:rsidRPr="00657232">
        <w:rPr>
          <w:rFonts w:ascii="Garamond" w:eastAsia="Arial" w:hAnsi="Garamond" w:cs="Arial"/>
          <w:bCs/>
          <w:lang w:val="pt-PT"/>
        </w:rPr>
        <w:t xml:space="preserve">s </w:t>
      </w:r>
      <w:r w:rsidR="003F012B" w:rsidRPr="00657232">
        <w:rPr>
          <w:rFonts w:ascii="Garamond" w:eastAsia="Arial" w:hAnsi="Garamond" w:cs="Arial"/>
          <w:bCs/>
          <w:lang w:val="pt-PT"/>
        </w:rPr>
        <w:t>vítima</w:t>
      </w:r>
      <w:r w:rsidR="00823BE0" w:rsidRPr="00657232">
        <w:rPr>
          <w:rFonts w:ascii="Garamond" w:eastAsia="Arial" w:hAnsi="Garamond" w:cs="Arial"/>
          <w:bCs/>
          <w:lang w:val="pt-PT"/>
        </w:rPr>
        <w:t xml:space="preserve">s de </w:t>
      </w:r>
      <w:r w:rsidR="007342D9" w:rsidRPr="00657232">
        <w:rPr>
          <w:rFonts w:ascii="Garamond" w:eastAsia="Arial" w:hAnsi="Garamond" w:cs="Arial"/>
          <w:bCs/>
          <w:lang w:val="pt-PT"/>
        </w:rPr>
        <w:t>violação</w:t>
      </w:r>
      <w:r w:rsidR="00823BE0" w:rsidRPr="00657232">
        <w:rPr>
          <w:rFonts w:ascii="Garamond" w:eastAsia="Arial" w:hAnsi="Garamond" w:cs="Arial"/>
          <w:bCs/>
          <w:lang w:val="pt-PT"/>
        </w:rPr>
        <w:t xml:space="preserve"> sexual. </w:t>
      </w:r>
      <w:r w:rsidR="00A862C2" w:rsidRPr="00657232">
        <w:rPr>
          <w:rFonts w:ascii="Garamond" w:eastAsia="Arial" w:hAnsi="Garamond" w:cs="Arial"/>
          <w:bCs/>
          <w:lang w:val="pt-PT"/>
        </w:rPr>
        <w:t>Deve</w:t>
      </w:r>
      <w:r w:rsidR="00823BE0" w:rsidRPr="00657232">
        <w:rPr>
          <w:rFonts w:ascii="Garamond" w:eastAsia="Arial" w:hAnsi="Garamond" w:cs="Arial"/>
          <w:bCs/>
          <w:lang w:val="pt-PT"/>
        </w:rPr>
        <w:t xml:space="preserve"> </w:t>
      </w:r>
      <w:r w:rsidR="00657232">
        <w:rPr>
          <w:rFonts w:ascii="Garamond" w:eastAsia="Arial" w:hAnsi="Garamond" w:cs="Arial"/>
          <w:bCs/>
          <w:lang w:val="pt-PT"/>
        </w:rPr>
        <w:t xml:space="preserve">ter-se presente, </w:t>
      </w:r>
      <w:r w:rsidR="00823BE0" w:rsidRPr="00657232">
        <w:rPr>
          <w:rFonts w:ascii="Garamond" w:eastAsia="Arial" w:hAnsi="Garamond" w:cs="Arial"/>
          <w:bCs/>
          <w:lang w:val="pt-PT"/>
        </w:rPr>
        <w:t>a</w:t>
      </w:r>
      <w:r w:rsidR="00B134A5" w:rsidRPr="00657232">
        <w:rPr>
          <w:rFonts w:ascii="Garamond" w:eastAsia="Arial" w:hAnsi="Garamond" w:cs="Arial"/>
          <w:bCs/>
          <w:lang w:val="pt-PT"/>
        </w:rPr>
        <w:t xml:space="preserve"> esse </w:t>
      </w:r>
      <w:r w:rsidR="001F2F8B" w:rsidRPr="00657232">
        <w:rPr>
          <w:rFonts w:ascii="Garamond" w:eastAsia="Arial" w:hAnsi="Garamond" w:cs="Arial"/>
          <w:bCs/>
          <w:lang w:val="pt-PT"/>
        </w:rPr>
        <w:t>respeito</w:t>
      </w:r>
      <w:r w:rsidR="00657232">
        <w:rPr>
          <w:rFonts w:ascii="Garamond" w:eastAsia="Arial" w:hAnsi="Garamond" w:cs="Arial"/>
          <w:bCs/>
          <w:lang w:val="pt-PT"/>
        </w:rPr>
        <w:t>,</w:t>
      </w:r>
      <w:r w:rsidR="00823BE0" w:rsidRPr="00657232">
        <w:rPr>
          <w:rFonts w:ascii="Garamond" w:eastAsia="Arial" w:hAnsi="Garamond" w:cs="Arial"/>
          <w:bCs/>
          <w:lang w:val="pt-PT"/>
        </w:rPr>
        <w:t xml:space="preserve"> que </w:t>
      </w:r>
      <w:r w:rsidR="00B134A5" w:rsidRPr="00657232">
        <w:rPr>
          <w:rFonts w:ascii="Garamond" w:eastAsia="Arial" w:hAnsi="Garamond" w:cs="Arial"/>
          <w:bCs/>
          <w:lang w:val="pt-PT"/>
        </w:rPr>
        <w:t xml:space="preserve">o </w:t>
      </w:r>
      <w:r w:rsidR="002D1021" w:rsidRPr="00657232">
        <w:rPr>
          <w:rFonts w:ascii="Garamond" w:eastAsia="Arial" w:hAnsi="Garamond" w:cs="Arial"/>
          <w:bCs/>
          <w:lang w:val="pt-PT"/>
        </w:rPr>
        <w:t>agressor</w:t>
      </w:r>
      <w:r w:rsidR="00823BE0" w:rsidRPr="00657232">
        <w:rPr>
          <w:rFonts w:ascii="Garamond" w:eastAsia="Arial" w:hAnsi="Garamond" w:cs="Arial"/>
          <w:bCs/>
          <w:lang w:val="pt-PT"/>
        </w:rPr>
        <w:t xml:space="preserve"> con</w:t>
      </w:r>
      <w:r w:rsidR="00B134A5" w:rsidRPr="00657232">
        <w:rPr>
          <w:rFonts w:ascii="Garamond" w:eastAsia="Arial" w:hAnsi="Garamond" w:cs="Arial"/>
          <w:bCs/>
          <w:lang w:val="pt-PT"/>
        </w:rPr>
        <w:t>hece a</w:t>
      </w:r>
      <w:r w:rsidR="00823BE0" w:rsidRPr="00657232">
        <w:rPr>
          <w:rFonts w:ascii="Garamond" w:eastAsia="Arial" w:hAnsi="Garamond" w:cs="Arial"/>
          <w:bCs/>
          <w:lang w:val="pt-PT"/>
        </w:rPr>
        <w:t xml:space="preserve"> </w:t>
      </w:r>
      <w:r w:rsidR="003F012B" w:rsidRPr="00657232">
        <w:rPr>
          <w:rFonts w:ascii="Garamond" w:eastAsia="Arial" w:hAnsi="Garamond" w:cs="Arial"/>
          <w:bCs/>
          <w:lang w:val="pt-PT"/>
        </w:rPr>
        <w:t>vítima</w:t>
      </w:r>
      <w:r w:rsidR="00823BE0" w:rsidRPr="00657232">
        <w:rPr>
          <w:rFonts w:ascii="Garamond" w:eastAsia="Arial" w:hAnsi="Garamond" w:cs="Arial"/>
          <w:bCs/>
          <w:lang w:val="pt-PT"/>
        </w:rPr>
        <w:t>, que existe</w:t>
      </w:r>
      <w:r w:rsidR="00657232">
        <w:rPr>
          <w:rFonts w:ascii="Garamond" w:eastAsia="Arial" w:hAnsi="Garamond" w:cs="Arial"/>
          <w:bCs/>
          <w:lang w:val="pt-PT"/>
        </w:rPr>
        <w:t xml:space="preserve">, </w:t>
      </w:r>
      <w:r>
        <w:rPr>
          <w:rFonts w:ascii="Garamond" w:eastAsia="Arial" w:hAnsi="Garamond" w:cs="Arial"/>
          <w:bCs/>
          <w:lang w:val="pt-PT"/>
        </w:rPr>
        <w:t>geralmente</w:t>
      </w:r>
      <w:r w:rsidR="00657232">
        <w:rPr>
          <w:rFonts w:ascii="Garamond" w:eastAsia="Arial" w:hAnsi="Garamond" w:cs="Arial"/>
          <w:bCs/>
          <w:lang w:val="pt-PT"/>
        </w:rPr>
        <w:t>,</w:t>
      </w:r>
      <w:r w:rsidR="00823BE0" w:rsidRPr="00657232">
        <w:rPr>
          <w:rFonts w:ascii="Garamond" w:eastAsia="Arial" w:hAnsi="Garamond" w:cs="Arial"/>
          <w:bCs/>
          <w:lang w:val="pt-PT"/>
        </w:rPr>
        <w:t xml:space="preserve"> u</w:t>
      </w:r>
      <w:r w:rsidR="00B134A5" w:rsidRPr="00657232">
        <w:rPr>
          <w:rFonts w:ascii="Garamond" w:eastAsia="Arial" w:hAnsi="Garamond" w:cs="Arial"/>
          <w:bCs/>
          <w:lang w:val="pt-PT"/>
        </w:rPr>
        <w:t xml:space="preserve">ma proximidade </w:t>
      </w:r>
      <w:r w:rsidR="00823BE0" w:rsidRPr="00657232">
        <w:rPr>
          <w:rFonts w:ascii="Garamond" w:eastAsia="Arial" w:hAnsi="Garamond" w:cs="Arial"/>
          <w:bCs/>
          <w:lang w:val="pt-PT"/>
        </w:rPr>
        <w:t xml:space="preserve">física entre </w:t>
      </w:r>
      <w:r w:rsidR="00B134A5" w:rsidRPr="00657232">
        <w:rPr>
          <w:rFonts w:ascii="Garamond" w:eastAsia="Arial" w:hAnsi="Garamond" w:cs="Arial"/>
          <w:bCs/>
          <w:lang w:val="pt-PT"/>
        </w:rPr>
        <w:t xml:space="preserve">o </w:t>
      </w:r>
      <w:r w:rsidR="002D1021" w:rsidRPr="00657232">
        <w:rPr>
          <w:rFonts w:ascii="Garamond" w:eastAsia="Arial" w:hAnsi="Garamond" w:cs="Arial"/>
          <w:bCs/>
          <w:lang w:val="pt-PT"/>
        </w:rPr>
        <w:t>agressor</w:t>
      </w:r>
      <w:r w:rsidR="00823BE0" w:rsidRPr="00657232">
        <w:rPr>
          <w:rFonts w:ascii="Garamond" w:eastAsia="Arial" w:hAnsi="Garamond" w:cs="Arial"/>
          <w:bCs/>
          <w:lang w:val="pt-PT"/>
        </w:rPr>
        <w:t xml:space="preserve"> </w:t>
      </w:r>
      <w:r w:rsidR="000672E8" w:rsidRPr="00657232">
        <w:rPr>
          <w:rFonts w:ascii="Garamond" w:eastAsia="Arial" w:hAnsi="Garamond" w:cs="Arial"/>
          <w:bCs/>
          <w:lang w:val="pt-PT"/>
        </w:rPr>
        <w:t>e</w:t>
      </w:r>
      <w:r w:rsidR="00823BE0" w:rsidRPr="00657232">
        <w:rPr>
          <w:rFonts w:ascii="Garamond" w:eastAsia="Arial" w:hAnsi="Garamond" w:cs="Arial"/>
          <w:bCs/>
          <w:lang w:val="pt-PT"/>
        </w:rPr>
        <w:t xml:space="preserve"> </w:t>
      </w:r>
      <w:r w:rsidR="00A147B2" w:rsidRPr="00657232">
        <w:rPr>
          <w:rFonts w:ascii="Garamond" w:eastAsia="Arial" w:hAnsi="Garamond" w:cs="Arial"/>
          <w:bCs/>
          <w:lang w:val="pt-PT"/>
        </w:rPr>
        <w:t>esta</w:t>
      </w:r>
      <w:r w:rsidR="00823BE0" w:rsidRPr="00657232">
        <w:rPr>
          <w:rFonts w:ascii="Garamond" w:eastAsia="Arial" w:hAnsi="Garamond" w:cs="Arial"/>
          <w:bCs/>
          <w:lang w:val="pt-PT"/>
        </w:rPr>
        <w:t xml:space="preserve">, </w:t>
      </w:r>
      <w:r w:rsidR="000672E8" w:rsidRPr="00657232">
        <w:rPr>
          <w:rFonts w:ascii="Garamond" w:eastAsia="Arial" w:hAnsi="Garamond" w:cs="Arial"/>
          <w:bCs/>
          <w:lang w:val="pt-PT"/>
        </w:rPr>
        <w:t>e</w:t>
      </w:r>
      <w:r w:rsidR="00823BE0" w:rsidRPr="00657232">
        <w:rPr>
          <w:rFonts w:ascii="Garamond" w:eastAsia="Arial" w:hAnsi="Garamond" w:cs="Arial"/>
          <w:bCs/>
          <w:lang w:val="pt-PT"/>
        </w:rPr>
        <w:t xml:space="preserve"> que </w:t>
      </w:r>
      <w:r w:rsidR="00B134A5" w:rsidRPr="00657232">
        <w:rPr>
          <w:rFonts w:ascii="Garamond" w:eastAsia="Arial" w:hAnsi="Garamond" w:cs="Arial"/>
          <w:bCs/>
          <w:lang w:val="pt-PT"/>
        </w:rPr>
        <w:t xml:space="preserve">o </w:t>
      </w:r>
      <w:r w:rsidR="002D1021" w:rsidRPr="00657232">
        <w:rPr>
          <w:rFonts w:ascii="Garamond" w:eastAsia="Arial" w:hAnsi="Garamond" w:cs="Arial"/>
          <w:bCs/>
          <w:lang w:val="pt-PT"/>
        </w:rPr>
        <w:t>agressor</w:t>
      </w:r>
      <w:r w:rsidR="00B134A5" w:rsidRPr="00657232">
        <w:rPr>
          <w:rFonts w:ascii="Garamond" w:eastAsia="Arial" w:hAnsi="Garamond" w:cs="Arial"/>
          <w:bCs/>
          <w:lang w:val="pt-PT"/>
        </w:rPr>
        <w:t>,</w:t>
      </w:r>
      <w:r w:rsidR="00823BE0" w:rsidRPr="00657232">
        <w:rPr>
          <w:rFonts w:ascii="Garamond" w:eastAsia="Arial" w:hAnsi="Garamond" w:cs="Arial"/>
          <w:bCs/>
          <w:lang w:val="pt-PT"/>
        </w:rPr>
        <w:t xml:space="preserve"> </w:t>
      </w:r>
      <w:r w:rsidR="00B134A5" w:rsidRPr="00657232">
        <w:rPr>
          <w:rFonts w:ascii="Garamond" w:eastAsia="Arial" w:hAnsi="Garamond" w:cs="Arial"/>
          <w:bCs/>
          <w:lang w:val="pt-PT"/>
        </w:rPr>
        <w:t>n</w:t>
      </w:r>
      <w:r w:rsidR="00823BE0" w:rsidRPr="00657232">
        <w:rPr>
          <w:rFonts w:ascii="Garamond" w:eastAsia="Arial" w:hAnsi="Garamond" w:cs="Arial"/>
          <w:bCs/>
          <w:lang w:val="pt-PT"/>
        </w:rPr>
        <w:t xml:space="preserve">a </w:t>
      </w:r>
      <w:r w:rsidR="00233514" w:rsidRPr="00657232">
        <w:rPr>
          <w:rFonts w:ascii="Garamond" w:eastAsia="Arial" w:hAnsi="Garamond" w:cs="Arial"/>
          <w:bCs/>
          <w:lang w:val="pt-PT"/>
        </w:rPr>
        <w:t>maioria</w:t>
      </w:r>
      <w:r w:rsidR="00823BE0" w:rsidRPr="00657232">
        <w:rPr>
          <w:rFonts w:ascii="Garamond" w:eastAsia="Arial" w:hAnsi="Garamond" w:cs="Arial"/>
          <w:bCs/>
          <w:lang w:val="pt-PT"/>
        </w:rPr>
        <w:t xml:space="preserve"> d</w:t>
      </w:r>
      <w:r w:rsidR="00B134A5" w:rsidRPr="00657232">
        <w:rPr>
          <w:rFonts w:ascii="Garamond" w:eastAsia="Arial" w:hAnsi="Garamond" w:cs="Arial"/>
          <w:bCs/>
          <w:lang w:val="pt-PT"/>
        </w:rPr>
        <w:t>os</w:t>
      </w:r>
      <w:r w:rsidR="00823BE0" w:rsidRPr="00657232">
        <w:rPr>
          <w:rFonts w:ascii="Garamond" w:eastAsia="Arial" w:hAnsi="Garamond" w:cs="Arial"/>
          <w:bCs/>
          <w:lang w:val="pt-PT"/>
        </w:rPr>
        <w:t xml:space="preserve"> casos</w:t>
      </w:r>
      <w:r w:rsidR="00B134A5" w:rsidRPr="00657232">
        <w:rPr>
          <w:rFonts w:ascii="Garamond" w:eastAsia="Arial" w:hAnsi="Garamond" w:cs="Arial"/>
          <w:bCs/>
          <w:lang w:val="pt-PT"/>
        </w:rPr>
        <w:t xml:space="preserve">, não é </w:t>
      </w:r>
      <w:r w:rsidR="00823BE0" w:rsidRPr="00657232">
        <w:rPr>
          <w:rFonts w:ascii="Garamond" w:eastAsia="Arial" w:hAnsi="Garamond" w:cs="Arial"/>
          <w:bCs/>
          <w:lang w:val="pt-PT"/>
        </w:rPr>
        <w:t xml:space="preserve">detido. </w:t>
      </w:r>
      <w:r w:rsidR="00BA3CCE" w:rsidRPr="00657232">
        <w:rPr>
          <w:rFonts w:ascii="Garamond" w:eastAsia="Arial" w:hAnsi="Garamond" w:cs="Arial"/>
          <w:bCs/>
          <w:lang w:val="pt-PT"/>
        </w:rPr>
        <w:t>Requer-se</w:t>
      </w:r>
      <w:r w:rsidR="00B134A5" w:rsidRPr="00657232">
        <w:rPr>
          <w:rFonts w:ascii="Garamond" w:eastAsia="Arial" w:hAnsi="Garamond" w:cs="Arial"/>
          <w:bCs/>
          <w:lang w:val="pt-PT"/>
        </w:rPr>
        <w:t xml:space="preserve"> a </w:t>
      </w:r>
      <w:r w:rsidR="006C760C" w:rsidRPr="00657232">
        <w:rPr>
          <w:rFonts w:ascii="Garamond" w:eastAsia="Arial" w:hAnsi="Garamond" w:cs="Arial"/>
          <w:bCs/>
          <w:lang w:val="pt-PT"/>
        </w:rPr>
        <w:t>implementação</w:t>
      </w:r>
      <w:r w:rsidR="00823BE0" w:rsidRPr="00657232">
        <w:rPr>
          <w:rFonts w:ascii="Garamond" w:eastAsia="Arial" w:hAnsi="Garamond" w:cs="Arial"/>
          <w:bCs/>
          <w:lang w:val="pt-PT"/>
        </w:rPr>
        <w:t xml:space="preserve"> de medidas </w:t>
      </w:r>
      <w:r w:rsidR="00BA21ED" w:rsidRPr="00657232">
        <w:rPr>
          <w:rFonts w:ascii="Garamond" w:eastAsia="Arial" w:hAnsi="Garamond" w:cs="Arial"/>
          <w:bCs/>
          <w:lang w:val="pt-PT"/>
        </w:rPr>
        <w:t>mais</w:t>
      </w:r>
      <w:r w:rsidR="00823BE0" w:rsidRPr="00657232">
        <w:rPr>
          <w:rFonts w:ascii="Garamond" w:eastAsia="Arial" w:hAnsi="Garamond" w:cs="Arial"/>
          <w:bCs/>
          <w:lang w:val="pt-PT"/>
        </w:rPr>
        <w:t xml:space="preserve"> </w:t>
      </w:r>
      <w:r w:rsidR="00D84A9F" w:rsidRPr="00657232">
        <w:rPr>
          <w:rFonts w:ascii="Garamond" w:eastAsia="Arial" w:hAnsi="Garamond" w:cs="Arial"/>
          <w:bCs/>
          <w:lang w:val="pt-PT"/>
        </w:rPr>
        <w:t>efetiva</w:t>
      </w:r>
      <w:r w:rsidR="00823BE0" w:rsidRPr="00657232">
        <w:rPr>
          <w:rFonts w:ascii="Garamond" w:eastAsia="Arial" w:hAnsi="Garamond" w:cs="Arial"/>
          <w:bCs/>
          <w:lang w:val="pt-PT"/>
        </w:rPr>
        <w:t xml:space="preserve">s </w:t>
      </w:r>
      <w:r w:rsidR="00B134A5" w:rsidRPr="00657232">
        <w:rPr>
          <w:rFonts w:ascii="Garamond" w:eastAsia="Arial" w:hAnsi="Garamond" w:cs="Arial"/>
          <w:bCs/>
          <w:lang w:val="pt-PT"/>
        </w:rPr>
        <w:t>que se</w:t>
      </w:r>
      <w:r w:rsidR="00657232">
        <w:rPr>
          <w:rFonts w:ascii="Garamond" w:eastAsia="Arial" w:hAnsi="Garamond" w:cs="Arial"/>
          <w:bCs/>
          <w:lang w:val="pt-PT"/>
        </w:rPr>
        <w:t>jam adotadas</w:t>
      </w:r>
      <w:r>
        <w:rPr>
          <w:rFonts w:ascii="Garamond" w:eastAsia="Arial" w:hAnsi="Garamond" w:cs="Arial"/>
          <w:bCs/>
          <w:lang w:val="pt-PT"/>
        </w:rPr>
        <w:t>,</w:t>
      </w:r>
      <w:r w:rsidR="00B134A5" w:rsidRPr="00657232">
        <w:rPr>
          <w:rFonts w:ascii="Garamond" w:eastAsia="Arial" w:hAnsi="Garamond" w:cs="Arial"/>
          <w:bCs/>
          <w:lang w:val="pt-PT"/>
        </w:rPr>
        <w:t xml:space="preserve"> em </w:t>
      </w:r>
      <w:r w:rsidR="002E2C71" w:rsidRPr="00657232">
        <w:rPr>
          <w:rFonts w:ascii="Garamond" w:eastAsia="Arial" w:hAnsi="Garamond" w:cs="Arial"/>
          <w:bCs/>
          <w:lang w:val="pt-PT"/>
        </w:rPr>
        <w:t>função</w:t>
      </w:r>
      <w:r w:rsidR="00823BE0" w:rsidRPr="00657232">
        <w:rPr>
          <w:rFonts w:ascii="Garamond" w:eastAsia="Arial" w:hAnsi="Garamond" w:cs="Arial"/>
          <w:bCs/>
          <w:lang w:val="pt-PT"/>
        </w:rPr>
        <w:t xml:space="preserve"> de cada caso concreto, como </w:t>
      </w:r>
      <w:r w:rsidR="00B134A5" w:rsidRPr="00657232">
        <w:rPr>
          <w:rFonts w:ascii="Garamond" w:eastAsia="Arial" w:hAnsi="Garamond" w:cs="Arial"/>
          <w:bCs/>
          <w:lang w:val="pt-PT"/>
        </w:rPr>
        <w:t xml:space="preserve">a mudança </w:t>
      </w:r>
      <w:r w:rsidR="00823BE0" w:rsidRPr="00657232">
        <w:rPr>
          <w:rFonts w:ascii="Garamond" w:eastAsia="Arial" w:hAnsi="Garamond" w:cs="Arial"/>
          <w:bCs/>
          <w:lang w:val="pt-PT"/>
        </w:rPr>
        <w:t xml:space="preserve">de </w:t>
      </w:r>
      <w:r w:rsidR="00BA0128" w:rsidRPr="00657232">
        <w:rPr>
          <w:rFonts w:ascii="Garamond" w:eastAsia="Arial" w:hAnsi="Garamond" w:cs="Arial"/>
          <w:bCs/>
          <w:lang w:val="pt-PT"/>
        </w:rPr>
        <w:t>residência</w:t>
      </w:r>
      <w:r w:rsidR="00823BE0" w:rsidRPr="00657232">
        <w:rPr>
          <w:rFonts w:ascii="Garamond" w:eastAsia="Arial" w:hAnsi="Garamond" w:cs="Arial"/>
          <w:bCs/>
          <w:lang w:val="pt-PT"/>
        </w:rPr>
        <w:t xml:space="preserve"> </w:t>
      </w:r>
      <w:r w:rsidR="000672E8" w:rsidRPr="00657232">
        <w:rPr>
          <w:rFonts w:ascii="Garamond" w:eastAsia="Arial" w:hAnsi="Garamond" w:cs="Arial"/>
          <w:bCs/>
          <w:lang w:val="pt-PT"/>
        </w:rPr>
        <w:t>e</w:t>
      </w:r>
      <w:r w:rsidR="00B134A5" w:rsidRPr="00657232">
        <w:rPr>
          <w:rFonts w:ascii="Garamond" w:eastAsia="Arial" w:hAnsi="Garamond" w:cs="Arial"/>
          <w:bCs/>
          <w:lang w:val="pt-PT"/>
        </w:rPr>
        <w:t xml:space="preserve"> </w:t>
      </w:r>
      <w:r w:rsidR="00823BE0" w:rsidRPr="00657232">
        <w:rPr>
          <w:rFonts w:ascii="Garamond" w:eastAsia="Arial" w:hAnsi="Garamond" w:cs="Arial"/>
          <w:bCs/>
          <w:lang w:val="pt-PT"/>
        </w:rPr>
        <w:t>a oculta</w:t>
      </w:r>
      <w:r w:rsidR="00B134A5" w:rsidRPr="00657232">
        <w:rPr>
          <w:rFonts w:ascii="Garamond" w:eastAsia="Arial" w:hAnsi="Garamond" w:cs="Arial"/>
          <w:bCs/>
          <w:lang w:val="pt-PT"/>
        </w:rPr>
        <w:t xml:space="preserve">ção de </w:t>
      </w:r>
      <w:r w:rsidR="00BA0128" w:rsidRPr="00657232">
        <w:rPr>
          <w:rFonts w:ascii="Garamond" w:eastAsia="Arial" w:hAnsi="Garamond" w:cs="Arial"/>
          <w:bCs/>
          <w:lang w:val="pt-PT"/>
        </w:rPr>
        <w:t>paradeiro</w:t>
      </w:r>
      <w:r w:rsidR="00823BE0" w:rsidRPr="00657232">
        <w:rPr>
          <w:rFonts w:ascii="Garamond" w:eastAsia="Arial" w:hAnsi="Garamond" w:cs="Arial"/>
          <w:bCs/>
          <w:lang w:val="pt-PT"/>
        </w:rPr>
        <w:t xml:space="preserve">, </w:t>
      </w:r>
      <w:r>
        <w:rPr>
          <w:rFonts w:ascii="Garamond" w:eastAsia="Arial" w:hAnsi="Garamond" w:cs="Arial"/>
          <w:bCs/>
          <w:lang w:val="pt-PT"/>
        </w:rPr>
        <w:t>pelo que se torna</w:t>
      </w:r>
      <w:r w:rsidR="00B134A5" w:rsidRPr="00657232">
        <w:rPr>
          <w:rFonts w:ascii="Garamond" w:eastAsia="Arial" w:hAnsi="Garamond" w:cs="Arial"/>
          <w:bCs/>
          <w:lang w:val="pt-PT"/>
        </w:rPr>
        <w:t xml:space="preserve"> </w:t>
      </w:r>
      <w:r w:rsidR="00F96DD1" w:rsidRPr="00657232">
        <w:rPr>
          <w:rFonts w:ascii="Garamond" w:eastAsia="Arial" w:hAnsi="Garamond" w:cs="Arial"/>
          <w:bCs/>
          <w:lang w:val="pt-PT"/>
        </w:rPr>
        <w:t>imprescindível</w:t>
      </w:r>
      <w:r w:rsidR="00B134A5" w:rsidRPr="00657232">
        <w:rPr>
          <w:rFonts w:ascii="Garamond" w:eastAsia="Arial" w:hAnsi="Garamond" w:cs="Arial"/>
          <w:bCs/>
          <w:lang w:val="pt-PT"/>
        </w:rPr>
        <w:t xml:space="preserve"> </w:t>
      </w:r>
      <w:r w:rsidR="00823BE0" w:rsidRPr="00657232">
        <w:rPr>
          <w:rFonts w:ascii="Garamond" w:eastAsia="Arial" w:hAnsi="Garamond" w:cs="Arial"/>
          <w:bCs/>
          <w:lang w:val="pt-PT"/>
        </w:rPr>
        <w:t>a a</w:t>
      </w:r>
      <w:r w:rsidR="00B134A5" w:rsidRPr="00657232">
        <w:rPr>
          <w:rFonts w:ascii="Garamond" w:eastAsia="Arial" w:hAnsi="Garamond" w:cs="Arial"/>
          <w:bCs/>
          <w:lang w:val="pt-PT"/>
        </w:rPr>
        <w:t xml:space="preserve">tribuição </w:t>
      </w:r>
      <w:r w:rsidR="00823BE0" w:rsidRPr="00657232">
        <w:rPr>
          <w:rFonts w:ascii="Garamond" w:eastAsia="Arial" w:hAnsi="Garamond" w:cs="Arial"/>
          <w:bCs/>
          <w:lang w:val="pt-PT"/>
        </w:rPr>
        <w:t xml:space="preserve">de recursos suficientes. </w:t>
      </w:r>
      <w:r w:rsidR="00B134A5" w:rsidRPr="00657232">
        <w:rPr>
          <w:rFonts w:ascii="Garamond" w:eastAsia="Arial" w:hAnsi="Garamond" w:cs="Arial"/>
          <w:bCs/>
          <w:lang w:val="pt-PT"/>
        </w:rPr>
        <w:t xml:space="preserve">É um </w:t>
      </w:r>
      <w:r w:rsidR="00823BE0" w:rsidRPr="00657232">
        <w:rPr>
          <w:rFonts w:ascii="Garamond" w:eastAsia="Arial" w:hAnsi="Garamond" w:cs="Arial"/>
          <w:bCs/>
          <w:lang w:val="pt-PT"/>
        </w:rPr>
        <w:t xml:space="preserve">motivo de </w:t>
      </w:r>
      <w:r w:rsidR="00B134A5" w:rsidRPr="00657232">
        <w:rPr>
          <w:rFonts w:ascii="Garamond" w:eastAsia="Arial" w:hAnsi="Garamond" w:cs="Arial"/>
          <w:bCs/>
          <w:lang w:val="pt-PT"/>
        </w:rPr>
        <w:t xml:space="preserve">constante </w:t>
      </w:r>
      <w:r w:rsidR="00EC199F" w:rsidRPr="00657232">
        <w:rPr>
          <w:rFonts w:ascii="Garamond" w:eastAsia="Arial" w:hAnsi="Garamond" w:cs="Arial"/>
          <w:bCs/>
          <w:lang w:val="pt-PT"/>
        </w:rPr>
        <w:t>preocupação</w:t>
      </w:r>
      <w:r w:rsidR="00823BE0" w:rsidRPr="00657232">
        <w:rPr>
          <w:rFonts w:ascii="Garamond" w:eastAsia="Arial" w:hAnsi="Garamond" w:cs="Arial"/>
          <w:bCs/>
          <w:lang w:val="pt-PT"/>
        </w:rPr>
        <w:t xml:space="preserve"> que</w:t>
      </w:r>
      <w:r w:rsidR="00B134A5" w:rsidRPr="00657232">
        <w:rPr>
          <w:rFonts w:ascii="Garamond" w:eastAsia="Arial" w:hAnsi="Garamond" w:cs="Arial"/>
          <w:bCs/>
          <w:lang w:val="pt-PT"/>
        </w:rPr>
        <w:t>,</w:t>
      </w:r>
      <w:r w:rsidR="00823BE0" w:rsidRPr="00657232">
        <w:rPr>
          <w:rFonts w:ascii="Garamond" w:eastAsia="Arial" w:hAnsi="Garamond" w:cs="Arial"/>
          <w:bCs/>
          <w:lang w:val="pt-PT"/>
        </w:rPr>
        <w:t xml:space="preserve"> conforme </w:t>
      </w:r>
      <w:r w:rsidR="00B134A5" w:rsidRPr="00657232">
        <w:rPr>
          <w:rFonts w:ascii="Garamond" w:eastAsia="Arial" w:hAnsi="Garamond" w:cs="Arial"/>
          <w:bCs/>
          <w:lang w:val="pt-PT"/>
        </w:rPr>
        <w:t xml:space="preserve">já tinha sido </w:t>
      </w:r>
      <w:r w:rsidR="00823BE0" w:rsidRPr="00657232">
        <w:rPr>
          <w:rFonts w:ascii="Garamond" w:eastAsia="Arial" w:hAnsi="Garamond" w:cs="Arial"/>
          <w:bCs/>
          <w:lang w:val="pt-PT"/>
        </w:rPr>
        <w:t xml:space="preserve">advertido </w:t>
      </w:r>
      <w:r w:rsidR="00275092" w:rsidRPr="00657232">
        <w:rPr>
          <w:rFonts w:ascii="Garamond" w:eastAsia="Arial" w:hAnsi="Garamond" w:cs="Arial"/>
          <w:bCs/>
          <w:lang w:val="pt-PT"/>
        </w:rPr>
        <w:t>pela</w:t>
      </w:r>
      <w:r w:rsidR="00823BE0" w:rsidRPr="00657232">
        <w:rPr>
          <w:rFonts w:ascii="Garamond" w:eastAsia="Arial" w:hAnsi="Garamond" w:cs="Arial"/>
          <w:bCs/>
          <w:lang w:val="pt-PT"/>
        </w:rPr>
        <w:t xml:space="preserve"> </w:t>
      </w:r>
      <w:r w:rsidR="00C04CA4" w:rsidRPr="00657232">
        <w:rPr>
          <w:rFonts w:ascii="Garamond" w:eastAsia="Arial" w:hAnsi="Garamond" w:cs="Arial"/>
          <w:bCs/>
          <w:lang w:val="pt-PT"/>
        </w:rPr>
        <w:t>Provedoria de Justiça</w:t>
      </w:r>
      <w:r w:rsidR="00823BE0" w:rsidRPr="00657232">
        <w:rPr>
          <w:rFonts w:ascii="Garamond" w:eastAsia="Arial" w:hAnsi="Garamond" w:cs="Arial"/>
          <w:bCs/>
          <w:lang w:val="pt-PT"/>
        </w:rPr>
        <w:t xml:space="preserve"> </w:t>
      </w:r>
      <w:r w:rsidR="00B134A5" w:rsidRPr="00657232">
        <w:rPr>
          <w:rFonts w:ascii="Garamond" w:eastAsia="Arial" w:hAnsi="Garamond" w:cs="Arial"/>
          <w:bCs/>
          <w:lang w:val="pt-PT"/>
        </w:rPr>
        <w:t xml:space="preserve">no </w:t>
      </w:r>
      <w:r w:rsidR="009E3E55" w:rsidRPr="00657232">
        <w:rPr>
          <w:rFonts w:ascii="Garamond" w:eastAsia="Arial" w:hAnsi="Garamond" w:cs="Arial"/>
          <w:bCs/>
          <w:lang w:val="pt-PT"/>
        </w:rPr>
        <w:t>Relatório</w:t>
      </w:r>
      <w:r w:rsidR="00823BE0" w:rsidRPr="00657232">
        <w:rPr>
          <w:rFonts w:ascii="Garamond" w:eastAsia="Arial" w:hAnsi="Garamond" w:cs="Arial"/>
          <w:bCs/>
          <w:lang w:val="pt-PT"/>
        </w:rPr>
        <w:t xml:space="preserve"> de </w:t>
      </w:r>
      <w:r w:rsidR="00823BE0" w:rsidRPr="00657232">
        <w:rPr>
          <w:rFonts w:ascii="Garamond" w:eastAsia="Arial" w:hAnsi="Garamond" w:cs="Arial"/>
          <w:bCs/>
          <w:i/>
          <w:lang w:val="pt-PT"/>
        </w:rPr>
        <w:t>Adjuntía</w:t>
      </w:r>
      <w:r w:rsidR="00823BE0" w:rsidRPr="00657232">
        <w:rPr>
          <w:rFonts w:ascii="Garamond" w:eastAsia="Arial" w:hAnsi="Garamond" w:cs="Arial"/>
          <w:bCs/>
          <w:lang w:val="pt-PT"/>
        </w:rPr>
        <w:t xml:space="preserve"> N</w:t>
      </w:r>
      <w:r>
        <w:rPr>
          <w:rFonts w:ascii="Garamond" w:eastAsia="Arial" w:hAnsi="Garamond" w:cs="Arial"/>
          <w:bCs/>
          <w:lang w:val="pt-PT"/>
        </w:rPr>
        <w:t>.</w:t>
      </w:r>
      <w:r w:rsidR="00823BE0" w:rsidRPr="00657232">
        <w:rPr>
          <w:rFonts w:ascii="Garamond" w:eastAsia="Arial" w:hAnsi="Garamond" w:cs="Arial"/>
          <w:bCs/>
          <w:lang w:val="pt-PT"/>
        </w:rPr>
        <w:t xml:space="preserve">°017-2012-DP/ADHPD, </w:t>
      </w:r>
      <w:r w:rsidR="00B134A5" w:rsidRPr="00657232">
        <w:rPr>
          <w:rFonts w:ascii="Garamond" w:eastAsia="Arial" w:hAnsi="Garamond" w:cs="Arial"/>
          <w:bCs/>
          <w:lang w:val="pt-PT"/>
        </w:rPr>
        <w:t xml:space="preserve">tendo em conta a </w:t>
      </w:r>
      <w:r w:rsidR="0017447A" w:rsidRPr="00657232">
        <w:rPr>
          <w:rFonts w:ascii="Garamond" w:eastAsia="Arial" w:hAnsi="Garamond" w:cs="Arial"/>
          <w:bCs/>
          <w:lang w:val="pt-PT"/>
        </w:rPr>
        <w:t>informação</w:t>
      </w:r>
      <w:r w:rsidR="00823BE0" w:rsidRPr="00657232">
        <w:rPr>
          <w:rFonts w:ascii="Garamond" w:eastAsia="Arial" w:hAnsi="Garamond" w:cs="Arial"/>
          <w:bCs/>
          <w:lang w:val="pt-PT"/>
        </w:rPr>
        <w:t xml:space="preserve"> da UDAVIT</w:t>
      </w:r>
      <w:r w:rsidR="00A147B2" w:rsidRPr="00657232">
        <w:rPr>
          <w:rFonts w:ascii="Garamond" w:eastAsia="Arial" w:hAnsi="Garamond" w:cs="Arial"/>
          <w:bCs/>
          <w:lang w:val="pt-PT"/>
        </w:rPr>
        <w:t>,</w:t>
      </w:r>
      <w:r w:rsidR="00823BE0" w:rsidRPr="00657232">
        <w:rPr>
          <w:rFonts w:ascii="Garamond" w:eastAsia="Arial" w:hAnsi="Garamond" w:cs="Arial"/>
          <w:bCs/>
          <w:lang w:val="pt-PT"/>
        </w:rPr>
        <w:t xml:space="preserve"> </w:t>
      </w:r>
      <w:r w:rsidR="00B134A5" w:rsidRPr="00657232">
        <w:rPr>
          <w:rFonts w:ascii="Garamond" w:eastAsia="Arial" w:hAnsi="Garamond" w:cs="Arial"/>
          <w:bCs/>
          <w:lang w:val="pt-PT"/>
        </w:rPr>
        <w:t xml:space="preserve">o montante atribuído </w:t>
      </w:r>
      <w:r w:rsidR="005C2020" w:rsidRPr="00657232">
        <w:rPr>
          <w:rFonts w:ascii="Garamond" w:eastAsia="Arial" w:hAnsi="Garamond" w:cs="Arial"/>
          <w:bCs/>
          <w:lang w:val="pt-PT"/>
        </w:rPr>
        <w:t>pelo</w:t>
      </w:r>
      <w:r w:rsidR="00823BE0" w:rsidRPr="00657232">
        <w:rPr>
          <w:rFonts w:ascii="Garamond" w:eastAsia="Arial" w:hAnsi="Garamond" w:cs="Arial"/>
          <w:bCs/>
          <w:lang w:val="pt-PT"/>
        </w:rPr>
        <w:t xml:space="preserve"> </w:t>
      </w:r>
      <w:r w:rsidR="00D77C19" w:rsidRPr="00657232">
        <w:rPr>
          <w:rFonts w:ascii="Garamond" w:eastAsia="Arial" w:hAnsi="Garamond" w:cs="Arial"/>
          <w:bCs/>
          <w:lang w:val="pt-PT"/>
        </w:rPr>
        <w:t>Ministério</w:t>
      </w:r>
      <w:r w:rsidR="00B134A5" w:rsidRPr="00657232">
        <w:rPr>
          <w:rFonts w:ascii="Garamond" w:eastAsia="Arial" w:hAnsi="Garamond" w:cs="Arial"/>
          <w:bCs/>
          <w:lang w:val="pt-PT"/>
        </w:rPr>
        <w:t xml:space="preserve"> da</w:t>
      </w:r>
      <w:r w:rsidR="00823BE0" w:rsidRPr="00657232">
        <w:rPr>
          <w:rFonts w:ascii="Garamond" w:eastAsia="Arial" w:hAnsi="Garamond" w:cs="Arial"/>
          <w:bCs/>
          <w:lang w:val="pt-PT"/>
        </w:rPr>
        <w:t xml:space="preserve"> </w:t>
      </w:r>
      <w:r w:rsidR="00802ACC" w:rsidRPr="00657232">
        <w:rPr>
          <w:rFonts w:ascii="Garamond" w:eastAsia="Arial" w:hAnsi="Garamond" w:cs="Arial"/>
          <w:bCs/>
          <w:lang w:val="pt-PT"/>
        </w:rPr>
        <w:t>Economia</w:t>
      </w:r>
      <w:r w:rsidR="00823BE0" w:rsidRPr="00657232">
        <w:rPr>
          <w:rFonts w:ascii="Garamond" w:eastAsia="Arial" w:hAnsi="Garamond" w:cs="Arial"/>
          <w:bCs/>
          <w:lang w:val="pt-PT"/>
        </w:rPr>
        <w:t xml:space="preserve"> </w:t>
      </w:r>
      <w:r w:rsidR="000672E8" w:rsidRPr="00657232">
        <w:rPr>
          <w:rFonts w:ascii="Garamond" w:eastAsia="Arial" w:hAnsi="Garamond" w:cs="Arial"/>
          <w:bCs/>
          <w:lang w:val="pt-PT"/>
        </w:rPr>
        <w:t>e</w:t>
      </w:r>
      <w:r w:rsidR="00823BE0" w:rsidRPr="00657232">
        <w:rPr>
          <w:rFonts w:ascii="Garamond" w:eastAsia="Arial" w:hAnsi="Garamond" w:cs="Arial"/>
          <w:bCs/>
          <w:lang w:val="pt-PT"/>
        </w:rPr>
        <w:t xml:space="preserve"> Finan</w:t>
      </w:r>
      <w:r w:rsidR="00B134A5" w:rsidRPr="00657232">
        <w:rPr>
          <w:rFonts w:ascii="Garamond" w:eastAsia="Arial" w:hAnsi="Garamond" w:cs="Arial"/>
          <w:bCs/>
          <w:lang w:val="pt-PT"/>
        </w:rPr>
        <w:t>ç</w:t>
      </w:r>
      <w:r w:rsidR="00823BE0" w:rsidRPr="00657232">
        <w:rPr>
          <w:rFonts w:ascii="Garamond" w:eastAsia="Arial" w:hAnsi="Garamond" w:cs="Arial"/>
          <w:bCs/>
          <w:lang w:val="pt-PT"/>
        </w:rPr>
        <w:t xml:space="preserve">as para </w:t>
      </w:r>
      <w:r w:rsidR="007407BD" w:rsidRPr="00657232">
        <w:rPr>
          <w:rFonts w:ascii="Garamond" w:eastAsia="Arial" w:hAnsi="Garamond" w:cs="Arial"/>
          <w:bCs/>
          <w:lang w:val="pt-PT"/>
        </w:rPr>
        <w:t>estes</w:t>
      </w:r>
      <w:r w:rsidR="00823BE0" w:rsidRPr="00657232">
        <w:rPr>
          <w:rFonts w:ascii="Garamond" w:eastAsia="Arial" w:hAnsi="Garamond" w:cs="Arial"/>
          <w:bCs/>
          <w:lang w:val="pt-PT"/>
        </w:rPr>
        <w:t xml:space="preserve"> fins </w:t>
      </w:r>
      <w:r w:rsidR="00B134A5" w:rsidRPr="00657232">
        <w:rPr>
          <w:rFonts w:ascii="Garamond" w:eastAsia="Arial" w:hAnsi="Garamond" w:cs="Arial"/>
          <w:bCs/>
          <w:lang w:val="pt-PT"/>
        </w:rPr>
        <w:t xml:space="preserve">tenha </w:t>
      </w:r>
      <w:r w:rsidR="00657232">
        <w:rPr>
          <w:rFonts w:ascii="Garamond" w:eastAsia="Arial" w:hAnsi="Garamond" w:cs="Arial"/>
          <w:bCs/>
          <w:lang w:val="pt-PT"/>
        </w:rPr>
        <w:t xml:space="preserve">sido </w:t>
      </w:r>
      <w:r w:rsidR="00823BE0" w:rsidRPr="00657232">
        <w:rPr>
          <w:rFonts w:ascii="Garamond" w:eastAsia="Arial" w:hAnsi="Garamond" w:cs="Arial"/>
          <w:bCs/>
          <w:lang w:val="pt-PT"/>
        </w:rPr>
        <w:t>redu</w:t>
      </w:r>
      <w:r w:rsidR="00B134A5" w:rsidRPr="00657232">
        <w:rPr>
          <w:rFonts w:ascii="Garamond" w:eastAsia="Arial" w:hAnsi="Garamond" w:cs="Arial"/>
          <w:bCs/>
          <w:lang w:val="pt-PT"/>
        </w:rPr>
        <w:t>zido em</w:t>
      </w:r>
      <w:r w:rsidR="00B134A5" w:rsidRPr="003A1174">
        <w:rPr>
          <w:rFonts w:ascii="Garamond" w:eastAsia="Arial" w:hAnsi="Garamond" w:cs="Arial"/>
          <w:bCs/>
          <w:lang w:val="pt-PT"/>
        </w:rPr>
        <w:t xml:space="preserve"> </w:t>
      </w:r>
      <w:r w:rsidR="00152A44" w:rsidRPr="003A1174">
        <w:rPr>
          <w:rFonts w:ascii="Garamond" w:eastAsia="Arial" w:hAnsi="Garamond" w:cs="Arial"/>
          <w:bCs/>
          <w:lang w:val="pt-PT"/>
        </w:rPr>
        <w:t>relação</w:t>
      </w:r>
      <w:r w:rsidR="00823BE0" w:rsidRPr="003A1174">
        <w:rPr>
          <w:rFonts w:ascii="Garamond" w:eastAsia="Arial" w:hAnsi="Garamond" w:cs="Arial"/>
          <w:bCs/>
          <w:lang w:val="pt-PT"/>
        </w:rPr>
        <w:t xml:space="preserve"> </w:t>
      </w:r>
      <w:r w:rsidR="00B134A5" w:rsidRPr="003A1174">
        <w:rPr>
          <w:rFonts w:ascii="Garamond" w:eastAsia="Arial" w:hAnsi="Garamond" w:cs="Arial"/>
          <w:bCs/>
          <w:lang w:val="pt-PT"/>
        </w:rPr>
        <w:t xml:space="preserve">ao montante </w:t>
      </w:r>
      <w:r w:rsidR="00823BE0" w:rsidRPr="003A1174">
        <w:rPr>
          <w:rFonts w:ascii="Garamond" w:eastAsia="Arial" w:hAnsi="Garamond" w:cs="Arial"/>
          <w:bCs/>
          <w:lang w:val="pt-PT"/>
        </w:rPr>
        <w:t xml:space="preserve">requerido </w:t>
      </w:r>
      <w:r w:rsidR="005C2020" w:rsidRPr="003A1174">
        <w:rPr>
          <w:rFonts w:ascii="Garamond" w:eastAsia="Arial" w:hAnsi="Garamond" w:cs="Arial"/>
          <w:bCs/>
          <w:lang w:val="pt-PT"/>
        </w:rPr>
        <w:t>pelo</w:t>
      </w:r>
      <w:r w:rsidR="00823BE0" w:rsidRPr="003A1174">
        <w:rPr>
          <w:rFonts w:ascii="Garamond" w:eastAsia="Arial" w:hAnsi="Garamond" w:cs="Arial"/>
          <w:bCs/>
          <w:lang w:val="pt-PT"/>
        </w:rPr>
        <w:t xml:space="preserve"> </w:t>
      </w:r>
      <w:r w:rsidR="00D77C19" w:rsidRPr="003A1174">
        <w:rPr>
          <w:rFonts w:ascii="Garamond" w:eastAsia="Arial" w:hAnsi="Garamond" w:cs="Arial"/>
          <w:bCs/>
          <w:lang w:val="pt-PT"/>
        </w:rPr>
        <w:t>Ministério</w:t>
      </w:r>
      <w:r w:rsidR="00823BE0" w:rsidRPr="003A1174">
        <w:rPr>
          <w:rFonts w:ascii="Garamond" w:eastAsia="Arial" w:hAnsi="Garamond" w:cs="Arial"/>
          <w:bCs/>
          <w:lang w:val="pt-PT"/>
        </w:rPr>
        <w:t xml:space="preserve"> Público. N</w:t>
      </w:r>
      <w:r w:rsidR="00B134A5" w:rsidRPr="003A1174">
        <w:rPr>
          <w:rFonts w:ascii="Garamond" w:eastAsia="Arial" w:hAnsi="Garamond" w:cs="Arial"/>
          <w:bCs/>
          <w:lang w:val="pt-PT"/>
        </w:rPr>
        <w:t>ã</w:t>
      </w:r>
      <w:r w:rsidR="00823BE0" w:rsidRPr="003A1174">
        <w:rPr>
          <w:rFonts w:ascii="Garamond" w:eastAsia="Arial" w:hAnsi="Garamond" w:cs="Arial"/>
          <w:bCs/>
          <w:lang w:val="pt-PT"/>
        </w:rPr>
        <w:t xml:space="preserve">o </w:t>
      </w:r>
      <w:r w:rsidR="00D75A07" w:rsidRPr="003A1174">
        <w:rPr>
          <w:rFonts w:ascii="Garamond" w:eastAsia="Arial" w:hAnsi="Garamond" w:cs="Arial"/>
          <w:bCs/>
          <w:lang w:val="pt-PT"/>
        </w:rPr>
        <w:t>são</w:t>
      </w:r>
      <w:r w:rsidR="00B134A5" w:rsidRPr="003A1174">
        <w:rPr>
          <w:rFonts w:ascii="Garamond" w:eastAsia="Arial" w:hAnsi="Garamond" w:cs="Arial"/>
          <w:bCs/>
          <w:lang w:val="pt-PT"/>
        </w:rPr>
        <w:t xml:space="preserve"> su</w:t>
      </w:r>
      <w:r w:rsidR="00823BE0" w:rsidRPr="003A1174">
        <w:rPr>
          <w:rFonts w:ascii="Garamond" w:eastAsia="Arial" w:hAnsi="Garamond" w:cs="Arial"/>
          <w:bCs/>
          <w:lang w:val="pt-PT"/>
        </w:rPr>
        <w:t>rpr</w:t>
      </w:r>
      <w:r w:rsidR="00B134A5" w:rsidRPr="003A1174">
        <w:rPr>
          <w:rFonts w:ascii="Garamond" w:eastAsia="Arial" w:hAnsi="Garamond" w:cs="Arial"/>
          <w:bCs/>
          <w:lang w:val="pt-PT"/>
        </w:rPr>
        <w:t>e</w:t>
      </w:r>
      <w:r w:rsidR="00823BE0" w:rsidRPr="003A1174">
        <w:rPr>
          <w:rFonts w:ascii="Garamond" w:eastAsia="Arial" w:hAnsi="Garamond" w:cs="Arial"/>
          <w:bCs/>
          <w:lang w:val="pt-PT"/>
        </w:rPr>
        <w:t>endentes</w:t>
      </w:r>
      <w:r w:rsidR="00A147B2" w:rsidRPr="003A1174">
        <w:rPr>
          <w:rFonts w:ascii="Garamond" w:eastAsia="Arial" w:hAnsi="Garamond" w:cs="Arial"/>
          <w:bCs/>
          <w:lang w:val="pt-PT"/>
        </w:rPr>
        <w:t>,</w:t>
      </w:r>
      <w:r w:rsidR="00B134A5" w:rsidRPr="003A1174">
        <w:rPr>
          <w:rFonts w:ascii="Garamond" w:eastAsia="Arial" w:hAnsi="Garamond" w:cs="Arial"/>
          <w:bCs/>
          <w:lang w:val="pt-PT"/>
        </w:rPr>
        <w:t xml:space="preserve"> por</w:t>
      </w:r>
      <w:r w:rsidR="00823BE0" w:rsidRPr="003A1174">
        <w:rPr>
          <w:rFonts w:ascii="Garamond" w:eastAsia="Arial" w:hAnsi="Garamond" w:cs="Arial"/>
          <w:bCs/>
          <w:lang w:val="pt-PT"/>
        </w:rPr>
        <w:t>tanto</w:t>
      </w:r>
      <w:r w:rsidR="00A147B2" w:rsidRPr="003A1174">
        <w:rPr>
          <w:rFonts w:ascii="Garamond" w:eastAsia="Arial" w:hAnsi="Garamond" w:cs="Arial"/>
          <w:bCs/>
          <w:lang w:val="pt-PT"/>
        </w:rPr>
        <w:t>,</w:t>
      </w:r>
      <w:r w:rsidR="00823BE0" w:rsidRPr="003A1174">
        <w:rPr>
          <w:rFonts w:ascii="Garamond" w:eastAsia="Arial" w:hAnsi="Garamond" w:cs="Arial"/>
          <w:bCs/>
          <w:lang w:val="pt-PT"/>
        </w:rPr>
        <w:t xml:space="preserve"> os resultados referidos </w:t>
      </w:r>
      <w:r w:rsidR="00B134A5" w:rsidRPr="003A1174">
        <w:rPr>
          <w:rFonts w:ascii="Garamond" w:eastAsia="Arial" w:hAnsi="Garamond" w:cs="Arial"/>
          <w:bCs/>
          <w:lang w:val="pt-PT"/>
        </w:rPr>
        <w:t xml:space="preserve">no </w:t>
      </w:r>
      <w:r w:rsidR="009E3E55" w:rsidRPr="003A1174">
        <w:rPr>
          <w:rFonts w:ascii="Garamond" w:eastAsia="Arial" w:hAnsi="Garamond" w:cs="Arial"/>
          <w:bCs/>
          <w:lang w:val="pt-PT"/>
        </w:rPr>
        <w:t>Relatório</w:t>
      </w:r>
      <w:r w:rsidR="00823BE0" w:rsidRPr="003A1174">
        <w:rPr>
          <w:rFonts w:ascii="Garamond" w:eastAsia="Arial" w:hAnsi="Garamond" w:cs="Arial"/>
          <w:bCs/>
          <w:lang w:val="pt-PT"/>
        </w:rPr>
        <w:t xml:space="preserve"> </w:t>
      </w:r>
      <w:r w:rsidR="00823BE0" w:rsidRPr="003A1174">
        <w:rPr>
          <w:rFonts w:ascii="Garamond" w:eastAsia="Arial" w:hAnsi="Garamond" w:cs="Arial"/>
          <w:bCs/>
          <w:i/>
          <w:lang w:val="pt-PT"/>
        </w:rPr>
        <w:t>de Adjuntía</w:t>
      </w:r>
      <w:r w:rsidR="00823BE0" w:rsidRPr="003A1174">
        <w:rPr>
          <w:rFonts w:ascii="Garamond" w:eastAsia="Arial" w:hAnsi="Garamond" w:cs="Arial"/>
          <w:bCs/>
          <w:lang w:val="pt-PT"/>
        </w:rPr>
        <w:t xml:space="preserve"> N</w:t>
      </w:r>
      <w:r w:rsidR="00657232">
        <w:rPr>
          <w:rFonts w:ascii="Garamond" w:eastAsia="Arial" w:hAnsi="Garamond" w:cs="Arial"/>
          <w:bCs/>
          <w:lang w:val="pt-PT"/>
        </w:rPr>
        <w:t>.</w:t>
      </w:r>
      <w:r w:rsidR="00823BE0" w:rsidRPr="003A1174">
        <w:rPr>
          <w:rFonts w:ascii="Garamond" w:eastAsia="Arial" w:hAnsi="Garamond" w:cs="Arial"/>
          <w:bCs/>
          <w:lang w:val="pt-PT"/>
        </w:rPr>
        <w:t xml:space="preserve">º 004 -2011-DP/ADM, </w:t>
      </w:r>
      <w:r w:rsidR="00657232">
        <w:rPr>
          <w:rFonts w:ascii="Garamond" w:eastAsia="Arial" w:hAnsi="Garamond" w:cs="Arial"/>
          <w:bCs/>
          <w:lang w:val="pt-PT"/>
        </w:rPr>
        <w:t>«</w:t>
      </w:r>
      <w:r w:rsidR="000350B1" w:rsidRPr="003A1174">
        <w:rPr>
          <w:rFonts w:ascii="Garamond" w:eastAsia="Arial" w:hAnsi="Garamond" w:cs="Arial"/>
          <w:bCs/>
          <w:lang w:val="pt-PT"/>
        </w:rPr>
        <w:t>Violência</w:t>
      </w:r>
      <w:r w:rsidR="00823BE0" w:rsidRPr="003A1174">
        <w:rPr>
          <w:rFonts w:ascii="Garamond" w:eastAsia="Arial" w:hAnsi="Garamond" w:cs="Arial"/>
          <w:bCs/>
          <w:lang w:val="pt-PT"/>
        </w:rPr>
        <w:t xml:space="preserve"> sexual </w:t>
      </w:r>
      <w:r w:rsidR="00B134A5" w:rsidRPr="003A1174">
        <w:rPr>
          <w:rFonts w:ascii="Garamond" w:eastAsia="Arial" w:hAnsi="Garamond" w:cs="Arial"/>
          <w:bCs/>
          <w:lang w:val="pt-PT"/>
        </w:rPr>
        <w:t xml:space="preserve">no </w:t>
      </w:r>
      <w:r w:rsidR="00C30647" w:rsidRPr="003A1174">
        <w:rPr>
          <w:rFonts w:ascii="Garamond" w:eastAsia="Arial" w:hAnsi="Garamond" w:cs="Arial"/>
          <w:bCs/>
          <w:lang w:val="pt-PT"/>
        </w:rPr>
        <w:t>Peru</w:t>
      </w:r>
      <w:r w:rsidR="00823BE0" w:rsidRPr="003A1174">
        <w:rPr>
          <w:rFonts w:ascii="Garamond" w:eastAsia="Arial" w:hAnsi="Garamond" w:cs="Arial"/>
          <w:bCs/>
          <w:lang w:val="pt-PT"/>
        </w:rPr>
        <w:t>: u</w:t>
      </w:r>
      <w:r w:rsidR="00B134A5" w:rsidRPr="003A1174">
        <w:rPr>
          <w:rFonts w:ascii="Garamond" w:eastAsia="Arial" w:hAnsi="Garamond" w:cs="Arial"/>
          <w:bCs/>
          <w:lang w:val="pt-PT"/>
        </w:rPr>
        <w:t xml:space="preserve">ma </w:t>
      </w:r>
      <w:r w:rsidR="0017447A" w:rsidRPr="003A1174">
        <w:rPr>
          <w:rFonts w:ascii="Garamond" w:eastAsia="Arial" w:hAnsi="Garamond" w:cs="Arial"/>
          <w:bCs/>
          <w:lang w:val="pt-PT"/>
        </w:rPr>
        <w:t>análise</w:t>
      </w:r>
      <w:r w:rsidR="00823BE0" w:rsidRPr="003A1174">
        <w:rPr>
          <w:rFonts w:ascii="Garamond" w:eastAsia="Arial" w:hAnsi="Garamond" w:cs="Arial"/>
          <w:bCs/>
          <w:lang w:val="pt-PT"/>
        </w:rPr>
        <w:t xml:space="preserve"> de casos </w:t>
      </w:r>
      <w:r w:rsidR="002D1021" w:rsidRPr="003A1174">
        <w:rPr>
          <w:rFonts w:ascii="Garamond" w:eastAsia="Arial" w:hAnsi="Garamond" w:cs="Arial"/>
          <w:bCs/>
          <w:lang w:val="pt-PT"/>
        </w:rPr>
        <w:t>judiciais</w:t>
      </w:r>
      <w:r w:rsidR="00657232">
        <w:rPr>
          <w:rFonts w:ascii="Garamond" w:eastAsia="Arial" w:hAnsi="Garamond" w:cs="Arial"/>
          <w:bCs/>
          <w:lang w:val="pt-PT"/>
        </w:rPr>
        <w:t>»</w:t>
      </w:r>
      <w:r w:rsidR="00823BE0" w:rsidRPr="003A1174">
        <w:rPr>
          <w:rFonts w:ascii="Garamond" w:eastAsia="Arial" w:hAnsi="Garamond" w:cs="Arial"/>
          <w:bCs/>
          <w:lang w:val="pt-PT"/>
        </w:rPr>
        <w:t xml:space="preserve">, </w:t>
      </w:r>
      <w:r w:rsidR="00657232">
        <w:rPr>
          <w:rFonts w:ascii="Garamond" w:eastAsia="Arial" w:hAnsi="Garamond" w:cs="Arial"/>
          <w:bCs/>
          <w:lang w:val="pt-PT"/>
        </w:rPr>
        <w:t xml:space="preserve">em que </w:t>
      </w:r>
      <w:r w:rsidR="00B134A5" w:rsidRPr="003A1174">
        <w:rPr>
          <w:rFonts w:ascii="Garamond" w:eastAsia="Arial" w:hAnsi="Garamond" w:cs="Arial"/>
          <w:bCs/>
          <w:lang w:val="pt-PT"/>
        </w:rPr>
        <w:t>se adv</w:t>
      </w:r>
      <w:r w:rsidR="00823BE0" w:rsidRPr="003A1174">
        <w:rPr>
          <w:rFonts w:ascii="Garamond" w:eastAsia="Arial" w:hAnsi="Garamond" w:cs="Arial"/>
          <w:bCs/>
          <w:lang w:val="pt-PT"/>
        </w:rPr>
        <w:t xml:space="preserve">erte </w:t>
      </w:r>
      <w:r w:rsidR="00F13365">
        <w:rPr>
          <w:rFonts w:ascii="Garamond" w:eastAsia="Arial" w:hAnsi="Garamond" w:cs="Arial"/>
          <w:bCs/>
          <w:lang w:val="pt-PT"/>
        </w:rPr>
        <w:t xml:space="preserve">para a necessidade de serem tomadas </w:t>
      </w:r>
      <w:r>
        <w:rPr>
          <w:rFonts w:ascii="Garamond" w:eastAsia="Arial" w:hAnsi="Garamond" w:cs="Arial"/>
          <w:bCs/>
          <w:lang w:val="pt-PT"/>
        </w:rPr>
        <w:t>outras</w:t>
      </w:r>
      <w:r w:rsidR="00B134A5" w:rsidRPr="003A1174">
        <w:rPr>
          <w:rFonts w:ascii="Garamond" w:eastAsia="Arial" w:hAnsi="Garamond" w:cs="Arial"/>
          <w:bCs/>
          <w:lang w:val="pt-PT"/>
        </w:rPr>
        <w:t xml:space="preserve"> </w:t>
      </w:r>
      <w:r w:rsidR="00823BE0" w:rsidRPr="003A1174">
        <w:rPr>
          <w:rFonts w:ascii="Garamond" w:eastAsia="Arial" w:hAnsi="Garamond" w:cs="Arial"/>
          <w:bCs/>
          <w:lang w:val="pt-PT"/>
        </w:rPr>
        <w:t xml:space="preserve">medidas de </w:t>
      </w:r>
      <w:r w:rsidR="00886D6A" w:rsidRPr="003A1174">
        <w:rPr>
          <w:rFonts w:ascii="Garamond" w:eastAsia="Arial" w:hAnsi="Garamond" w:cs="Arial"/>
          <w:bCs/>
          <w:lang w:val="pt-PT"/>
        </w:rPr>
        <w:t>proteção</w:t>
      </w:r>
      <w:r w:rsidR="00B134A5" w:rsidRPr="003A1174">
        <w:rPr>
          <w:rFonts w:ascii="Garamond" w:eastAsia="Arial" w:hAnsi="Garamond" w:cs="Arial"/>
          <w:bCs/>
          <w:lang w:val="pt-PT"/>
        </w:rPr>
        <w:t xml:space="preserve"> para </w:t>
      </w:r>
      <w:r w:rsidR="00823BE0" w:rsidRPr="003A1174">
        <w:rPr>
          <w:rFonts w:ascii="Garamond" w:eastAsia="Arial" w:hAnsi="Garamond" w:cs="Arial"/>
          <w:bCs/>
          <w:lang w:val="pt-PT"/>
        </w:rPr>
        <w:t xml:space="preserve">as </w:t>
      </w:r>
      <w:r w:rsidR="007E773D" w:rsidRPr="003A1174">
        <w:rPr>
          <w:rFonts w:ascii="Garamond" w:eastAsia="Arial" w:hAnsi="Garamond" w:cs="Arial"/>
          <w:bCs/>
          <w:lang w:val="pt-PT"/>
        </w:rPr>
        <w:t>lesada</w:t>
      </w:r>
      <w:r w:rsidR="00823BE0" w:rsidRPr="003A1174">
        <w:rPr>
          <w:rFonts w:ascii="Garamond" w:eastAsia="Arial" w:hAnsi="Garamond" w:cs="Arial"/>
          <w:bCs/>
          <w:lang w:val="pt-PT"/>
        </w:rPr>
        <w:t xml:space="preserve">s, </w:t>
      </w:r>
      <w:r>
        <w:rPr>
          <w:rFonts w:ascii="Garamond" w:eastAsia="Arial" w:hAnsi="Garamond" w:cs="Arial"/>
          <w:bCs/>
          <w:lang w:val="pt-PT"/>
        </w:rPr>
        <w:t xml:space="preserve">para além daquela </w:t>
      </w:r>
      <w:r w:rsidR="007E773D" w:rsidRPr="003A1174">
        <w:rPr>
          <w:rFonts w:ascii="Garamond" w:eastAsia="Arial" w:hAnsi="Garamond" w:cs="Arial"/>
          <w:bCs/>
          <w:lang w:val="pt-PT"/>
        </w:rPr>
        <w:t>d</w:t>
      </w:r>
      <w:r w:rsidR="00A147B2" w:rsidRPr="003A1174">
        <w:rPr>
          <w:rFonts w:ascii="Garamond" w:eastAsia="Arial" w:hAnsi="Garamond" w:cs="Arial"/>
          <w:bCs/>
          <w:lang w:val="pt-PT"/>
        </w:rPr>
        <w:t xml:space="preserve">a </w:t>
      </w:r>
      <w:r w:rsidR="00823BE0" w:rsidRPr="003A1174">
        <w:rPr>
          <w:rFonts w:ascii="Garamond" w:eastAsia="Arial" w:hAnsi="Garamond" w:cs="Arial"/>
          <w:bCs/>
          <w:lang w:val="pt-PT"/>
        </w:rPr>
        <w:t xml:space="preserve">reserva de </w:t>
      </w:r>
      <w:r w:rsidR="007C44AC" w:rsidRPr="003A1174">
        <w:rPr>
          <w:rFonts w:ascii="Garamond" w:eastAsia="Arial" w:hAnsi="Garamond" w:cs="Arial"/>
          <w:bCs/>
          <w:lang w:val="pt-PT"/>
        </w:rPr>
        <w:t>identidade</w:t>
      </w:r>
      <w:r w:rsidR="00823BE0" w:rsidRPr="003A1174">
        <w:rPr>
          <w:rFonts w:ascii="Garamond" w:eastAsia="Arial" w:hAnsi="Garamond" w:cs="Arial"/>
          <w:bCs/>
          <w:lang w:val="pt-PT"/>
        </w:rPr>
        <w:t>.</w:t>
      </w:r>
    </w:p>
    <w:p w:rsidR="00823BE0" w:rsidRPr="003A1174" w:rsidRDefault="00F13365" w:rsidP="008719D4">
      <w:pPr>
        <w:pStyle w:val="Standard"/>
        <w:tabs>
          <w:tab w:val="left" w:pos="1088"/>
        </w:tabs>
        <w:autoSpaceDE w:val="0"/>
        <w:spacing w:before="240"/>
        <w:ind w:right="-234"/>
        <w:jc w:val="both"/>
        <w:rPr>
          <w:rFonts w:ascii="Garamond" w:eastAsia="Arial" w:hAnsi="Garamond" w:cs="Arial"/>
          <w:bCs/>
          <w:lang w:val="pt-PT"/>
        </w:rPr>
      </w:pPr>
      <w:r>
        <w:rPr>
          <w:rFonts w:ascii="Garamond" w:eastAsia="Palatino Linotype" w:hAnsi="Garamond" w:cs="Arial"/>
          <w:lang w:val="pt-PT"/>
        </w:rPr>
        <w:t>Em conclusão,</w:t>
      </w:r>
      <w:r w:rsidR="007E773D" w:rsidRPr="003A1174">
        <w:rPr>
          <w:rFonts w:ascii="Garamond" w:eastAsia="Palatino Linotype" w:hAnsi="Garamond" w:cs="Arial"/>
          <w:lang w:val="pt-PT"/>
        </w:rPr>
        <w:t xml:space="preserve"> </w:t>
      </w:r>
      <w:r w:rsidR="00823BE0" w:rsidRPr="003A1174">
        <w:rPr>
          <w:rFonts w:ascii="Garamond" w:eastAsia="Palatino Linotype" w:hAnsi="Garamond" w:cs="Arial"/>
          <w:lang w:val="pt-PT"/>
        </w:rPr>
        <w:t>a n</w:t>
      </w:r>
      <w:r w:rsidR="007E773D" w:rsidRPr="003A1174">
        <w:rPr>
          <w:rFonts w:ascii="Garamond" w:eastAsia="Palatino Linotype" w:hAnsi="Garamond" w:cs="Arial"/>
          <w:lang w:val="pt-PT"/>
        </w:rPr>
        <w:t xml:space="preserve">ão </w:t>
      </w:r>
      <w:r w:rsidR="00CD707D" w:rsidRPr="003A1174">
        <w:rPr>
          <w:rFonts w:ascii="Garamond" w:eastAsia="Palatino Linotype" w:hAnsi="Garamond" w:cs="Arial"/>
          <w:lang w:val="pt-PT"/>
        </w:rPr>
        <w:t>emissão</w:t>
      </w:r>
      <w:r w:rsidR="00823BE0" w:rsidRPr="003A1174">
        <w:rPr>
          <w:rFonts w:ascii="Garamond" w:eastAsia="Palatino Linotype" w:hAnsi="Garamond" w:cs="Arial"/>
          <w:lang w:val="pt-PT"/>
        </w:rPr>
        <w:t xml:space="preserve"> de medidas de </w:t>
      </w:r>
      <w:r w:rsidR="00886D6A" w:rsidRPr="003A1174">
        <w:rPr>
          <w:rFonts w:ascii="Garamond" w:eastAsia="Palatino Linotype" w:hAnsi="Garamond" w:cs="Arial"/>
          <w:lang w:val="pt-PT"/>
        </w:rPr>
        <w:t>proteção</w:t>
      </w:r>
      <w:r>
        <w:rPr>
          <w:rFonts w:ascii="Garamond" w:eastAsia="Palatino Linotype" w:hAnsi="Garamond" w:cs="Arial"/>
          <w:lang w:val="pt-PT"/>
        </w:rPr>
        <w:t>,</w:t>
      </w:r>
      <w:r w:rsidR="00823BE0" w:rsidRPr="003A1174">
        <w:rPr>
          <w:rFonts w:ascii="Garamond" w:eastAsia="Palatino Linotype" w:hAnsi="Garamond" w:cs="Arial"/>
          <w:lang w:val="pt-PT"/>
        </w:rPr>
        <w:t xml:space="preserve"> </w:t>
      </w:r>
      <w:r w:rsidR="005C2020" w:rsidRPr="003A1174">
        <w:rPr>
          <w:rFonts w:ascii="Garamond" w:eastAsia="Palatino Linotype" w:hAnsi="Garamond" w:cs="Arial"/>
          <w:lang w:val="pt-PT"/>
        </w:rPr>
        <w:t>pelo</w:t>
      </w:r>
      <w:r w:rsidR="00823BE0" w:rsidRPr="003A1174">
        <w:rPr>
          <w:rFonts w:ascii="Garamond" w:eastAsia="Palatino Linotype" w:hAnsi="Garamond" w:cs="Arial"/>
          <w:lang w:val="pt-PT"/>
        </w:rPr>
        <w:t xml:space="preserve"> </w:t>
      </w:r>
      <w:r w:rsidR="00D77C19" w:rsidRPr="003A1174">
        <w:rPr>
          <w:rFonts w:ascii="Garamond" w:eastAsia="Palatino Linotype" w:hAnsi="Garamond" w:cs="Arial"/>
          <w:lang w:val="pt-PT"/>
        </w:rPr>
        <w:t>Ministério</w:t>
      </w:r>
      <w:r w:rsidR="00823BE0" w:rsidRPr="003A1174">
        <w:rPr>
          <w:rFonts w:ascii="Garamond" w:eastAsia="Palatino Linotype" w:hAnsi="Garamond" w:cs="Arial"/>
          <w:lang w:val="pt-PT"/>
        </w:rPr>
        <w:t xml:space="preserve"> Público</w:t>
      </w:r>
      <w:r>
        <w:rPr>
          <w:rFonts w:ascii="Garamond" w:eastAsia="Palatino Linotype" w:hAnsi="Garamond" w:cs="Arial"/>
          <w:lang w:val="pt-PT"/>
        </w:rPr>
        <w:t>,</w:t>
      </w:r>
      <w:r w:rsidR="00823BE0" w:rsidRPr="003A1174">
        <w:rPr>
          <w:rFonts w:ascii="Garamond" w:eastAsia="Palatino Linotype" w:hAnsi="Garamond" w:cs="Arial"/>
          <w:lang w:val="pt-PT"/>
        </w:rPr>
        <w:t xml:space="preserve"> coloca as </w:t>
      </w:r>
      <w:r w:rsidR="00054EE0" w:rsidRPr="003A1174">
        <w:rPr>
          <w:rFonts w:ascii="Garamond" w:eastAsia="Palatino Linotype" w:hAnsi="Garamond" w:cs="Arial"/>
          <w:lang w:val="pt-PT"/>
        </w:rPr>
        <w:t>mulheres</w:t>
      </w:r>
      <w:r w:rsidR="00823BE0" w:rsidRPr="003A1174">
        <w:rPr>
          <w:rFonts w:ascii="Garamond" w:eastAsia="Palatino Linotype" w:hAnsi="Garamond" w:cs="Arial"/>
          <w:lang w:val="pt-PT"/>
        </w:rPr>
        <w:t xml:space="preserve"> e</w:t>
      </w:r>
      <w:r w:rsidR="007E773D" w:rsidRPr="003A1174">
        <w:rPr>
          <w:rFonts w:ascii="Garamond" w:eastAsia="Palatino Linotype" w:hAnsi="Garamond" w:cs="Arial"/>
          <w:lang w:val="pt-PT"/>
        </w:rPr>
        <w:t>m</w:t>
      </w:r>
      <w:r w:rsidR="00823BE0" w:rsidRPr="003A1174">
        <w:rPr>
          <w:rFonts w:ascii="Garamond" w:eastAsia="Palatino Linotype" w:hAnsi="Garamond" w:cs="Arial"/>
          <w:lang w:val="pt-PT"/>
        </w:rPr>
        <w:t xml:space="preserve"> </w:t>
      </w:r>
      <w:r w:rsidR="007342D9" w:rsidRPr="003A1174">
        <w:rPr>
          <w:rFonts w:ascii="Garamond" w:eastAsia="Palatino Linotype" w:hAnsi="Garamond" w:cs="Arial"/>
          <w:lang w:val="pt-PT"/>
        </w:rPr>
        <w:t>situações</w:t>
      </w:r>
      <w:r w:rsidR="00823BE0" w:rsidRPr="003A1174">
        <w:rPr>
          <w:rFonts w:ascii="Garamond" w:eastAsia="Palatino Linotype" w:hAnsi="Garamond" w:cs="Arial"/>
          <w:lang w:val="pt-PT"/>
        </w:rPr>
        <w:t xml:space="preserve"> de </w:t>
      </w:r>
      <w:r w:rsidR="00863197" w:rsidRPr="003A1174">
        <w:rPr>
          <w:rFonts w:ascii="Garamond" w:eastAsia="Palatino Linotype" w:hAnsi="Garamond" w:cs="Arial"/>
          <w:lang w:val="pt-PT"/>
        </w:rPr>
        <w:t>maior</w:t>
      </w:r>
      <w:r w:rsidR="00823BE0" w:rsidRPr="003A1174">
        <w:rPr>
          <w:rFonts w:ascii="Garamond" w:eastAsia="Palatino Linotype" w:hAnsi="Garamond" w:cs="Arial"/>
          <w:lang w:val="pt-PT"/>
        </w:rPr>
        <w:t xml:space="preserve"> </w:t>
      </w:r>
      <w:r w:rsidR="008651AF" w:rsidRPr="003A1174">
        <w:rPr>
          <w:rFonts w:ascii="Garamond" w:eastAsia="Palatino Linotype" w:hAnsi="Garamond" w:cs="Arial"/>
          <w:lang w:val="pt-PT"/>
        </w:rPr>
        <w:t>risco</w:t>
      </w:r>
      <w:r w:rsidR="00823BE0" w:rsidRPr="003A1174">
        <w:rPr>
          <w:rFonts w:ascii="Garamond" w:eastAsia="Palatino Linotype" w:hAnsi="Garamond" w:cs="Arial"/>
          <w:lang w:val="pt-PT"/>
        </w:rPr>
        <w:t xml:space="preserve"> </w:t>
      </w:r>
      <w:r w:rsidR="000672E8" w:rsidRPr="003A1174">
        <w:rPr>
          <w:rFonts w:ascii="Garamond" w:eastAsia="Palatino Linotype" w:hAnsi="Garamond" w:cs="Arial"/>
          <w:lang w:val="pt-PT"/>
        </w:rPr>
        <w:t>e</w:t>
      </w:r>
      <w:r w:rsidR="00823BE0" w:rsidRPr="003A1174">
        <w:rPr>
          <w:rFonts w:ascii="Garamond" w:eastAsia="Palatino Linotype" w:hAnsi="Garamond" w:cs="Arial"/>
          <w:lang w:val="pt-PT"/>
        </w:rPr>
        <w:t xml:space="preserve"> </w:t>
      </w:r>
      <w:r w:rsidR="004E3A1A" w:rsidRPr="003A1174">
        <w:rPr>
          <w:rFonts w:ascii="Garamond" w:eastAsia="Palatino Linotype" w:hAnsi="Garamond" w:cs="Arial"/>
          <w:lang w:val="pt-PT"/>
        </w:rPr>
        <w:t>vulnerabilidade</w:t>
      </w:r>
      <w:r w:rsidR="00823BE0" w:rsidRPr="003A1174">
        <w:rPr>
          <w:rFonts w:ascii="Garamond" w:eastAsia="Palatino Linotype" w:hAnsi="Garamond" w:cs="Arial"/>
          <w:lang w:val="pt-PT"/>
        </w:rPr>
        <w:t xml:space="preserve">. </w:t>
      </w:r>
      <w:r w:rsidR="007E773D" w:rsidRPr="003A1174">
        <w:rPr>
          <w:rFonts w:ascii="Garamond" w:eastAsia="Palatino Linotype" w:hAnsi="Garamond" w:cs="Arial"/>
          <w:lang w:val="pt-PT"/>
        </w:rPr>
        <w:t>I</w:t>
      </w:r>
      <w:r w:rsidR="00823BE0" w:rsidRPr="003A1174">
        <w:rPr>
          <w:rFonts w:ascii="Garamond" w:eastAsia="Palatino Linotype" w:hAnsi="Garamond" w:cs="Arial"/>
          <w:lang w:val="pt-PT"/>
        </w:rPr>
        <w:t xml:space="preserve">sto </w:t>
      </w:r>
      <w:r w:rsidR="007E773D" w:rsidRPr="003A1174">
        <w:rPr>
          <w:rFonts w:ascii="Garamond" w:eastAsia="Palatino Linotype" w:hAnsi="Garamond" w:cs="Arial"/>
          <w:lang w:val="pt-PT"/>
        </w:rPr>
        <w:t>acontece</w:t>
      </w:r>
      <w:r>
        <w:rPr>
          <w:rFonts w:ascii="Garamond" w:eastAsia="Palatino Linotype" w:hAnsi="Garamond" w:cs="Arial"/>
          <w:lang w:val="pt-PT"/>
        </w:rPr>
        <w:t>,</w:t>
      </w:r>
      <w:r w:rsidR="007E773D" w:rsidRPr="003A1174">
        <w:rPr>
          <w:rFonts w:ascii="Garamond" w:eastAsia="Palatino Linotype" w:hAnsi="Garamond" w:cs="Arial"/>
          <w:lang w:val="pt-PT"/>
        </w:rPr>
        <w:t xml:space="preserve"> ta</w:t>
      </w:r>
      <w:r w:rsidR="00823BE0" w:rsidRPr="003A1174">
        <w:rPr>
          <w:rFonts w:ascii="Garamond" w:eastAsia="Palatino Linotype" w:hAnsi="Garamond" w:cs="Arial"/>
          <w:lang w:val="pt-PT"/>
        </w:rPr>
        <w:t xml:space="preserve">nto </w:t>
      </w:r>
      <w:r w:rsidR="003A391A" w:rsidRPr="003A1174">
        <w:rPr>
          <w:rFonts w:ascii="Garamond" w:eastAsia="Palatino Linotype" w:hAnsi="Garamond" w:cs="Arial"/>
          <w:lang w:val="pt-PT"/>
        </w:rPr>
        <w:t>nos</w:t>
      </w:r>
      <w:r w:rsidR="00823BE0" w:rsidRPr="003A1174">
        <w:rPr>
          <w:rFonts w:ascii="Garamond" w:eastAsia="Palatino Linotype" w:hAnsi="Garamond" w:cs="Arial"/>
          <w:lang w:val="pt-PT"/>
        </w:rPr>
        <w:t xml:space="preserve"> casos de </w:t>
      </w:r>
      <w:r w:rsidR="000350B1" w:rsidRPr="003A1174">
        <w:rPr>
          <w:rFonts w:ascii="Garamond" w:eastAsia="Palatino Linotype" w:hAnsi="Garamond" w:cs="Arial"/>
          <w:lang w:val="pt-PT"/>
        </w:rPr>
        <w:t>violência</w:t>
      </w:r>
      <w:r w:rsidR="00823BE0" w:rsidRPr="003A1174">
        <w:rPr>
          <w:rFonts w:ascii="Garamond" w:eastAsia="Palatino Linotype" w:hAnsi="Garamond" w:cs="Arial"/>
          <w:lang w:val="pt-PT"/>
        </w:rPr>
        <w:t xml:space="preserve"> sexual</w:t>
      </w:r>
      <w:r>
        <w:rPr>
          <w:rFonts w:ascii="Garamond" w:eastAsia="Palatino Linotype" w:hAnsi="Garamond" w:cs="Arial"/>
          <w:lang w:val="pt-PT"/>
        </w:rPr>
        <w:t>,</w:t>
      </w:r>
      <w:r w:rsidR="00823BE0" w:rsidRPr="003A1174">
        <w:rPr>
          <w:rFonts w:ascii="Garamond" w:eastAsia="Palatino Linotype" w:hAnsi="Garamond" w:cs="Arial"/>
          <w:lang w:val="pt-PT"/>
        </w:rPr>
        <w:t xml:space="preserve"> como</w:t>
      </w:r>
      <w:r w:rsidR="00DD569C" w:rsidRPr="003A1174">
        <w:rPr>
          <w:rFonts w:ascii="Garamond" w:eastAsia="Palatino Linotype" w:hAnsi="Garamond" w:cs="Arial"/>
          <w:lang w:val="pt-PT"/>
        </w:rPr>
        <w:t xml:space="preserve"> </w:t>
      </w:r>
      <w:r w:rsidR="007E773D" w:rsidRPr="003A1174">
        <w:rPr>
          <w:rFonts w:ascii="Garamond" w:eastAsia="Palatino Linotype" w:hAnsi="Garamond" w:cs="Arial"/>
          <w:lang w:val="pt-PT"/>
        </w:rPr>
        <w:t xml:space="preserve">nos </w:t>
      </w:r>
      <w:r w:rsidR="00DD569C" w:rsidRPr="003A1174">
        <w:rPr>
          <w:rFonts w:ascii="Garamond" w:eastAsia="Palatino Linotype" w:hAnsi="Garamond" w:cs="Arial"/>
          <w:lang w:val="pt-PT"/>
        </w:rPr>
        <w:t xml:space="preserve">de </w:t>
      </w:r>
      <w:r w:rsidR="000350B1" w:rsidRPr="003A1174">
        <w:rPr>
          <w:rFonts w:ascii="Garamond" w:eastAsia="Palatino Linotype" w:hAnsi="Garamond" w:cs="Arial"/>
          <w:lang w:val="pt-PT"/>
        </w:rPr>
        <w:t>violência</w:t>
      </w:r>
      <w:r w:rsidR="00823BE0" w:rsidRPr="003A1174">
        <w:rPr>
          <w:rFonts w:ascii="Garamond" w:eastAsia="Palatino Linotype" w:hAnsi="Garamond" w:cs="Arial"/>
          <w:lang w:val="pt-PT"/>
        </w:rPr>
        <w:t xml:space="preserve"> </w:t>
      </w:r>
      <w:r w:rsidR="007E773D" w:rsidRPr="003A1174">
        <w:rPr>
          <w:rFonts w:ascii="Garamond" w:eastAsia="Palatino Linotype" w:hAnsi="Garamond" w:cs="Arial"/>
          <w:lang w:val="pt-PT"/>
        </w:rPr>
        <w:t xml:space="preserve">nas </w:t>
      </w:r>
      <w:r w:rsidR="002B1E45" w:rsidRPr="003A1174">
        <w:rPr>
          <w:rFonts w:ascii="Garamond" w:eastAsia="Palatino Linotype" w:hAnsi="Garamond" w:cs="Arial"/>
          <w:lang w:val="pt-PT"/>
        </w:rPr>
        <w:t>relações íntimas</w:t>
      </w:r>
      <w:r w:rsidR="00EC2E68" w:rsidRPr="003A1174">
        <w:rPr>
          <w:rFonts w:ascii="Garamond" w:eastAsia="Palatino Linotype" w:hAnsi="Garamond" w:cs="Arial"/>
          <w:lang w:val="pt-PT"/>
        </w:rPr>
        <w:t xml:space="preserve"> em geral</w:t>
      </w:r>
      <w:r w:rsidR="00823BE0" w:rsidRPr="003A1174">
        <w:rPr>
          <w:rFonts w:ascii="Garamond" w:eastAsia="Palatino Linotype" w:hAnsi="Garamond" w:cs="Arial"/>
          <w:lang w:val="pt-PT"/>
        </w:rPr>
        <w:t>.</w:t>
      </w:r>
      <w:r w:rsidR="00A147B2" w:rsidRPr="003A1174">
        <w:rPr>
          <w:rFonts w:ascii="Garamond" w:eastAsia="Palatino Linotype" w:hAnsi="Garamond" w:cs="Arial"/>
          <w:lang w:val="pt-PT"/>
        </w:rPr>
        <w:t xml:space="preserve"> </w:t>
      </w:r>
      <w:r w:rsidR="007E773D" w:rsidRPr="003A1174">
        <w:rPr>
          <w:rFonts w:ascii="Garamond" w:eastAsia="Palatino Linotype" w:hAnsi="Garamond" w:cs="Arial"/>
          <w:lang w:val="pt-PT"/>
        </w:rPr>
        <w:t xml:space="preserve">É </w:t>
      </w:r>
      <w:r w:rsidR="007578C6" w:rsidRPr="003A1174">
        <w:rPr>
          <w:rFonts w:ascii="Garamond" w:eastAsia="Arial" w:hAnsi="Garamond" w:cs="Arial"/>
          <w:bCs/>
          <w:lang w:val="pt-PT"/>
        </w:rPr>
        <w:t>necessária</w:t>
      </w:r>
      <w:r w:rsidR="007E773D" w:rsidRPr="003A1174">
        <w:rPr>
          <w:rFonts w:ascii="Garamond" w:eastAsia="Arial" w:hAnsi="Garamond" w:cs="Arial"/>
          <w:bCs/>
          <w:lang w:val="pt-PT"/>
        </w:rPr>
        <w:t xml:space="preserve"> um</w:t>
      </w:r>
      <w:r w:rsidR="00823BE0" w:rsidRPr="003A1174">
        <w:rPr>
          <w:rFonts w:ascii="Garamond" w:eastAsia="Arial" w:hAnsi="Garamond" w:cs="Arial"/>
          <w:bCs/>
          <w:lang w:val="pt-PT"/>
        </w:rPr>
        <w:t xml:space="preserve">a </w:t>
      </w:r>
      <w:r w:rsidR="00E150E9" w:rsidRPr="003A1174">
        <w:rPr>
          <w:rFonts w:ascii="Garamond" w:eastAsia="Arial" w:hAnsi="Garamond" w:cs="Arial"/>
          <w:bCs/>
          <w:lang w:val="pt-PT"/>
        </w:rPr>
        <w:t>decisão</w:t>
      </w:r>
      <w:r w:rsidR="00823BE0" w:rsidRPr="003A1174">
        <w:rPr>
          <w:rFonts w:ascii="Garamond" w:eastAsia="Arial" w:hAnsi="Garamond" w:cs="Arial"/>
          <w:bCs/>
          <w:lang w:val="pt-PT"/>
        </w:rPr>
        <w:t xml:space="preserve"> política </w:t>
      </w:r>
      <w:r w:rsidR="00E85E59" w:rsidRPr="003A1174">
        <w:rPr>
          <w:rFonts w:ascii="Garamond" w:eastAsia="Arial" w:hAnsi="Garamond" w:cs="Arial"/>
          <w:bCs/>
          <w:lang w:val="pt-PT"/>
        </w:rPr>
        <w:t>do</w:t>
      </w:r>
      <w:r w:rsidR="00823BE0" w:rsidRPr="003A1174">
        <w:rPr>
          <w:rFonts w:ascii="Garamond" w:eastAsia="Arial" w:hAnsi="Garamond" w:cs="Arial"/>
          <w:bCs/>
          <w:lang w:val="pt-PT"/>
        </w:rPr>
        <w:t xml:space="preserve"> Est</w:t>
      </w:r>
      <w:r w:rsidR="007E773D" w:rsidRPr="003A1174">
        <w:rPr>
          <w:rFonts w:ascii="Garamond" w:eastAsia="Arial" w:hAnsi="Garamond" w:cs="Arial"/>
          <w:bCs/>
          <w:lang w:val="pt-PT"/>
        </w:rPr>
        <w:t xml:space="preserve">ado para que </w:t>
      </w:r>
      <w:r w:rsidR="00823BE0" w:rsidRPr="003A1174">
        <w:rPr>
          <w:rFonts w:ascii="Garamond" w:eastAsia="Arial" w:hAnsi="Garamond" w:cs="Arial"/>
          <w:bCs/>
          <w:lang w:val="pt-PT"/>
        </w:rPr>
        <w:t xml:space="preserve">as medidas de </w:t>
      </w:r>
      <w:r w:rsidR="00886D6A" w:rsidRPr="003A1174">
        <w:rPr>
          <w:rFonts w:ascii="Garamond" w:eastAsia="Arial" w:hAnsi="Garamond" w:cs="Arial"/>
          <w:bCs/>
          <w:lang w:val="pt-PT"/>
        </w:rPr>
        <w:t>proteção</w:t>
      </w:r>
      <w:r w:rsidR="00823BE0" w:rsidRPr="003A1174">
        <w:rPr>
          <w:rFonts w:ascii="Garamond" w:eastAsia="Arial" w:hAnsi="Garamond" w:cs="Arial"/>
          <w:bCs/>
          <w:lang w:val="pt-PT"/>
        </w:rPr>
        <w:t xml:space="preserve"> se</w:t>
      </w:r>
      <w:r w:rsidR="007E773D" w:rsidRPr="003A1174">
        <w:rPr>
          <w:rFonts w:ascii="Garamond" w:eastAsia="Arial" w:hAnsi="Garamond" w:cs="Arial"/>
          <w:bCs/>
          <w:lang w:val="pt-PT"/>
        </w:rPr>
        <w:t xml:space="preserve">jam </w:t>
      </w:r>
      <w:r>
        <w:rPr>
          <w:rFonts w:ascii="Garamond" w:eastAsia="Arial" w:hAnsi="Garamond" w:cs="Arial"/>
          <w:bCs/>
          <w:lang w:val="pt-PT"/>
        </w:rPr>
        <w:t xml:space="preserve">aplicadas </w:t>
      </w:r>
      <w:r w:rsidR="007E773D" w:rsidRPr="003A1174">
        <w:rPr>
          <w:rFonts w:ascii="Garamond" w:eastAsia="Arial" w:hAnsi="Garamond" w:cs="Arial"/>
          <w:bCs/>
          <w:lang w:val="pt-PT"/>
        </w:rPr>
        <w:t xml:space="preserve">de modo </w:t>
      </w:r>
      <w:r w:rsidR="00823BE0" w:rsidRPr="003A1174">
        <w:rPr>
          <w:rFonts w:ascii="Garamond" w:eastAsia="Arial" w:hAnsi="Garamond" w:cs="Arial"/>
          <w:bCs/>
          <w:lang w:val="pt-PT"/>
        </w:rPr>
        <w:t xml:space="preserve">eficaz </w:t>
      </w:r>
      <w:r w:rsidR="000672E8" w:rsidRPr="003A1174">
        <w:rPr>
          <w:rFonts w:ascii="Garamond" w:eastAsia="Arial" w:hAnsi="Garamond" w:cs="Arial"/>
          <w:bCs/>
          <w:lang w:val="pt-PT"/>
        </w:rPr>
        <w:t>e</w:t>
      </w:r>
      <w:r w:rsidR="00823BE0" w:rsidRPr="003A1174">
        <w:rPr>
          <w:rFonts w:ascii="Garamond" w:eastAsia="Arial" w:hAnsi="Garamond" w:cs="Arial"/>
          <w:bCs/>
          <w:lang w:val="pt-PT"/>
        </w:rPr>
        <w:t xml:space="preserve"> se garant</w:t>
      </w:r>
      <w:r w:rsidR="007E773D" w:rsidRPr="003A1174">
        <w:rPr>
          <w:rFonts w:ascii="Garamond" w:eastAsia="Arial" w:hAnsi="Garamond" w:cs="Arial"/>
          <w:bCs/>
          <w:lang w:val="pt-PT"/>
        </w:rPr>
        <w:t xml:space="preserve">a o </w:t>
      </w:r>
      <w:r w:rsidR="00501083" w:rsidRPr="003A1174">
        <w:rPr>
          <w:rFonts w:ascii="Garamond" w:eastAsia="Arial" w:hAnsi="Garamond" w:cs="Arial"/>
          <w:bCs/>
          <w:lang w:val="pt-PT"/>
        </w:rPr>
        <w:t>adequado</w:t>
      </w:r>
      <w:r w:rsidR="00823BE0" w:rsidRPr="003A1174">
        <w:rPr>
          <w:rFonts w:ascii="Garamond" w:eastAsia="Arial" w:hAnsi="Garamond" w:cs="Arial"/>
          <w:bCs/>
          <w:lang w:val="pt-PT"/>
        </w:rPr>
        <w:t xml:space="preserve"> </w:t>
      </w:r>
      <w:r w:rsidR="00886D6A" w:rsidRPr="003A1174">
        <w:rPr>
          <w:rFonts w:ascii="Garamond" w:eastAsia="Arial" w:hAnsi="Garamond" w:cs="Arial"/>
          <w:bCs/>
          <w:lang w:val="pt-PT"/>
        </w:rPr>
        <w:t>acesso</w:t>
      </w:r>
      <w:r w:rsidR="00823BE0" w:rsidRPr="003A1174">
        <w:rPr>
          <w:rFonts w:ascii="Garamond" w:eastAsia="Arial" w:hAnsi="Garamond" w:cs="Arial"/>
          <w:bCs/>
          <w:lang w:val="pt-PT"/>
        </w:rPr>
        <w:t xml:space="preserve"> </w:t>
      </w:r>
      <w:r w:rsidR="00BB2B00" w:rsidRPr="003A1174">
        <w:rPr>
          <w:rFonts w:ascii="Garamond" w:eastAsia="Arial" w:hAnsi="Garamond" w:cs="Arial"/>
          <w:bCs/>
          <w:lang w:val="pt-PT"/>
        </w:rPr>
        <w:t>à</w:t>
      </w:r>
      <w:r w:rsidR="00823BE0" w:rsidRPr="003A1174">
        <w:rPr>
          <w:rFonts w:ascii="Garamond" w:eastAsia="Arial" w:hAnsi="Garamond" w:cs="Arial"/>
          <w:bCs/>
          <w:lang w:val="pt-PT"/>
        </w:rPr>
        <w:t xml:space="preserve"> </w:t>
      </w:r>
      <w:r w:rsidR="00FC1F7F" w:rsidRPr="003A1174">
        <w:rPr>
          <w:rFonts w:ascii="Garamond" w:eastAsia="Arial" w:hAnsi="Garamond" w:cs="Arial"/>
          <w:bCs/>
          <w:lang w:val="pt-PT"/>
        </w:rPr>
        <w:t>justiça</w:t>
      </w:r>
      <w:r w:rsidR="00823BE0" w:rsidRPr="003A1174">
        <w:rPr>
          <w:rFonts w:ascii="Garamond" w:eastAsia="Arial" w:hAnsi="Garamond" w:cs="Arial"/>
          <w:bCs/>
          <w:lang w:val="pt-PT"/>
        </w:rPr>
        <w:t xml:space="preserve"> </w:t>
      </w:r>
      <w:r w:rsidR="00497503" w:rsidRPr="003A1174">
        <w:rPr>
          <w:rFonts w:ascii="Garamond" w:eastAsia="Arial" w:hAnsi="Garamond" w:cs="Arial"/>
          <w:bCs/>
          <w:lang w:val="pt-PT"/>
        </w:rPr>
        <w:t>das</w:t>
      </w:r>
      <w:r w:rsidR="00823BE0" w:rsidRPr="003A1174">
        <w:rPr>
          <w:rFonts w:ascii="Garamond" w:eastAsia="Arial" w:hAnsi="Garamond" w:cs="Arial"/>
          <w:bCs/>
          <w:lang w:val="pt-PT"/>
        </w:rPr>
        <w:t xml:space="preserve"> </w:t>
      </w:r>
      <w:r w:rsidR="003F012B" w:rsidRPr="003A1174">
        <w:rPr>
          <w:rFonts w:ascii="Garamond" w:eastAsia="Arial" w:hAnsi="Garamond" w:cs="Arial"/>
          <w:bCs/>
          <w:lang w:val="pt-PT"/>
        </w:rPr>
        <w:t>vítima</w:t>
      </w:r>
      <w:r w:rsidR="00823BE0" w:rsidRPr="003A1174">
        <w:rPr>
          <w:rFonts w:ascii="Garamond" w:eastAsia="Arial" w:hAnsi="Garamond" w:cs="Arial"/>
          <w:bCs/>
          <w:lang w:val="pt-PT"/>
        </w:rPr>
        <w:t xml:space="preserve">s de </w:t>
      </w:r>
      <w:r w:rsidR="000350B1" w:rsidRPr="003A1174">
        <w:rPr>
          <w:rFonts w:ascii="Garamond" w:eastAsia="Arial" w:hAnsi="Garamond" w:cs="Arial"/>
          <w:bCs/>
          <w:lang w:val="pt-PT"/>
        </w:rPr>
        <w:t>violência</w:t>
      </w:r>
      <w:r w:rsidR="00823BE0" w:rsidRPr="003A1174">
        <w:rPr>
          <w:rFonts w:ascii="Garamond" w:eastAsia="Arial" w:hAnsi="Garamond" w:cs="Arial"/>
          <w:bCs/>
          <w:lang w:val="pt-PT"/>
        </w:rPr>
        <w:t xml:space="preserve"> de género.</w:t>
      </w:r>
    </w:p>
    <w:p w:rsidR="00823BE0" w:rsidRPr="003A1174" w:rsidRDefault="007E773D" w:rsidP="008719D4">
      <w:pPr>
        <w:pStyle w:val="Standard"/>
        <w:spacing w:before="240"/>
        <w:ind w:right="-234"/>
        <w:jc w:val="both"/>
        <w:rPr>
          <w:rFonts w:ascii="Garamond" w:eastAsia="Arial" w:hAnsi="Garamond" w:cs="Arial"/>
          <w:lang w:val="pt-PT" w:eastAsia="ja-JP"/>
        </w:rPr>
      </w:pPr>
      <w:r w:rsidRPr="003A1174">
        <w:rPr>
          <w:rFonts w:ascii="Garamond" w:eastAsia="Arial" w:hAnsi="Garamond" w:cs="Arial"/>
          <w:lang w:val="pt-PT"/>
        </w:rPr>
        <w:t>A tudo i</w:t>
      </w:r>
      <w:r w:rsidR="00823BE0" w:rsidRPr="003A1174">
        <w:rPr>
          <w:rFonts w:ascii="Garamond" w:eastAsia="Arial" w:hAnsi="Garamond" w:cs="Arial"/>
          <w:lang w:val="pt-PT"/>
        </w:rPr>
        <w:t xml:space="preserve">sto </w:t>
      </w:r>
      <w:r w:rsidRPr="003A1174">
        <w:rPr>
          <w:rFonts w:ascii="Garamond" w:eastAsia="Arial" w:hAnsi="Garamond" w:cs="Arial"/>
          <w:lang w:val="pt-PT"/>
        </w:rPr>
        <w:t>acrescenta-</w:t>
      </w:r>
      <w:r w:rsidR="00823BE0" w:rsidRPr="003A1174">
        <w:rPr>
          <w:rFonts w:ascii="Garamond" w:eastAsia="Arial" w:hAnsi="Garamond" w:cs="Arial"/>
          <w:lang w:val="pt-PT"/>
        </w:rPr>
        <w:t xml:space="preserve">se </w:t>
      </w:r>
      <w:r w:rsidRPr="003A1174">
        <w:rPr>
          <w:rFonts w:ascii="Garamond" w:eastAsia="Arial" w:hAnsi="Garamond" w:cs="Arial"/>
          <w:lang w:val="pt-PT"/>
        </w:rPr>
        <w:t xml:space="preserve">o </w:t>
      </w:r>
      <w:r w:rsidR="00823BE0" w:rsidRPr="003A1174">
        <w:rPr>
          <w:rFonts w:ascii="Garamond" w:eastAsia="Arial" w:hAnsi="Garamond" w:cs="Arial"/>
          <w:lang w:val="pt-PT"/>
        </w:rPr>
        <w:t xml:space="preserve">insuficiente número de casas </w:t>
      </w:r>
      <w:r w:rsidR="00F13365">
        <w:rPr>
          <w:rFonts w:ascii="Garamond" w:eastAsia="Arial" w:hAnsi="Garamond" w:cs="Arial"/>
          <w:lang w:val="pt-PT"/>
        </w:rPr>
        <w:t xml:space="preserve">de </w:t>
      </w:r>
      <w:r w:rsidR="00B936A7" w:rsidRPr="003A1174">
        <w:rPr>
          <w:rFonts w:ascii="Garamond" w:eastAsia="Arial" w:hAnsi="Garamond" w:cs="Arial"/>
          <w:lang w:val="pt-PT"/>
        </w:rPr>
        <w:t>abrigo</w:t>
      </w:r>
      <w:r w:rsidR="00823BE0" w:rsidRPr="003A1174">
        <w:rPr>
          <w:rFonts w:ascii="Garamond" w:eastAsia="Arial" w:hAnsi="Garamond" w:cs="Arial"/>
          <w:lang w:val="pt-PT"/>
        </w:rPr>
        <w:t xml:space="preserve"> que, como se referirá </w:t>
      </w:r>
      <w:r w:rsidRPr="003A1174">
        <w:rPr>
          <w:rFonts w:ascii="Garamond" w:eastAsia="Arial" w:hAnsi="Garamond" w:cs="Arial"/>
          <w:lang w:val="pt-PT"/>
        </w:rPr>
        <w:t xml:space="preserve">em </w:t>
      </w:r>
      <w:r w:rsidR="002E7FD5" w:rsidRPr="003A1174">
        <w:rPr>
          <w:rFonts w:ascii="Garamond" w:eastAsia="Arial" w:hAnsi="Garamond" w:cs="Arial"/>
          <w:lang w:val="pt-PT"/>
        </w:rPr>
        <w:t>parágrafo</w:t>
      </w:r>
      <w:r w:rsidR="00823BE0" w:rsidRPr="003A1174">
        <w:rPr>
          <w:rFonts w:ascii="Garamond" w:eastAsia="Arial" w:hAnsi="Garamond" w:cs="Arial"/>
          <w:lang w:val="pt-PT"/>
        </w:rPr>
        <w:t xml:space="preserve">s </w:t>
      </w:r>
      <w:r w:rsidR="00BA21ED" w:rsidRPr="003A1174">
        <w:rPr>
          <w:rFonts w:ascii="Garamond" w:eastAsia="Arial" w:hAnsi="Garamond" w:cs="Arial"/>
          <w:lang w:val="pt-PT"/>
        </w:rPr>
        <w:t>mais</w:t>
      </w:r>
      <w:r w:rsidRPr="003A1174">
        <w:rPr>
          <w:rFonts w:ascii="Garamond" w:eastAsia="Arial" w:hAnsi="Garamond" w:cs="Arial"/>
          <w:lang w:val="pt-PT"/>
        </w:rPr>
        <w:t xml:space="preserve"> </w:t>
      </w:r>
      <w:r w:rsidR="00F13365">
        <w:rPr>
          <w:rFonts w:ascii="Garamond" w:eastAsia="Arial" w:hAnsi="Garamond" w:cs="Arial"/>
          <w:lang w:val="pt-PT"/>
        </w:rPr>
        <w:t xml:space="preserve">adiante, </w:t>
      </w:r>
      <w:r w:rsidR="00D75A07" w:rsidRPr="003A1174">
        <w:rPr>
          <w:rFonts w:ascii="Garamond" w:eastAsia="Arial" w:hAnsi="Garamond" w:cs="Arial"/>
          <w:lang w:val="pt-PT"/>
        </w:rPr>
        <w:t>são</w:t>
      </w:r>
      <w:r w:rsidR="00823BE0" w:rsidRPr="003A1174">
        <w:rPr>
          <w:rFonts w:ascii="Garamond" w:eastAsia="Arial" w:hAnsi="Garamond" w:cs="Arial"/>
          <w:lang w:val="pt-PT"/>
        </w:rPr>
        <w:t xml:space="preserve"> </w:t>
      </w:r>
      <w:r w:rsidRPr="003A1174">
        <w:rPr>
          <w:rFonts w:ascii="Garamond" w:eastAsia="Arial" w:hAnsi="Garamond" w:cs="Arial"/>
          <w:lang w:val="pt-PT"/>
        </w:rPr>
        <w:t xml:space="preserve">apenas </w:t>
      </w:r>
      <w:r w:rsidR="00823BE0" w:rsidRPr="003A1174">
        <w:rPr>
          <w:rFonts w:ascii="Garamond" w:eastAsia="Arial" w:hAnsi="Garamond" w:cs="Arial"/>
          <w:lang w:val="pt-PT"/>
        </w:rPr>
        <w:t xml:space="preserve">46 </w:t>
      </w:r>
      <w:r w:rsidR="0018372B" w:rsidRPr="003A1174">
        <w:rPr>
          <w:rFonts w:ascii="Garamond" w:eastAsia="Arial" w:hAnsi="Garamond" w:cs="Arial"/>
          <w:lang w:val="pt-PT"/>
        </w:rPr>
        <w:t xml:space="preserve">as </w:t>
      </w:r>
      <w:r w:rsidR="00823BE0" w:rsidRPr="003A1174">
        <w:rPr>
          <w:rFonts w:ascii="Garamond" w:eastAsia="Arial" w:hAnsi="Garamond" w:cs="Arial"/>
          <w:lang w:val="pt-PT"/>
        </w:rPr>
        <w:t xml:space="preserve">casas </w:t>
      </w:r>
      <w:r w:rsidR="00B936A7" w:rsidRPr="003A1174">
        <w:rPr>
          <w:rFonts w:ascii="Garamond" w:eastAsia="Arial" w:hAnsi="Garamond" w:cs="Arial"/>
          <w:lang w:val="pt-PT"/>
        </w:rPr>
        <w:t>abrigo</w:t>
      </w:r>
      <w:r w:rsidR="00823BE0" w:rsidRPr="003A1174">
        <w:rPr>
          <w:rFonts w:ascii="Garamond" w:eastAsia="Arial" w:hAnsi="Garamond" w:cs="Arial"/>
          <w:lang w:val="pt-PT"/>
        </w:rPr>
        <w:t xml:space="preserve"> a </w:t>
      </w:r>
      <w:r w:rsidR="0017447A" w:rsidRPr="003A1174">
        <w:rPr>
          <w:rFonts w:ascii="Garamond" w:eastAsia="Arial" w:hAnsi="Garamond" w:cs="Arial"/>
          <w:lang w:val="pt-PT"/>
        </w:rPr>
        <w:t>nível</w:t>
      </w:r>
      <w:r w:rsidR="00823BE0" w:rsidRPr="003A1174">
        <w:rPr>
          <w:rFonts w:ascii="Garamond" w:eastAsia="Arial" w:hAnsi="Garamond" w:cs="Arial"/>
          <w:lang w:val="pt-PT"/>
        </w:rPr>
        <w:t xml:space="preserve"> nacional, </w:t>
      </w:r>
      <w:r w:rsidR="00497503" w:rsidRPr="003A1174">
        <w:rPr>
          <w:rFonts w:ascii="Garamond" w:eastAsia="Arial" w:hAnsi="Garamond" w:cs="Arial"/>
          <w:lang w:val="pt-PT"/>
        </w:rPr>
        <w:t>das</w:t>
      </w:r>
      <w:r w:rsidR="00823BE0" w:rsidRPr="003A1174">
        <w:rPr>
          <w:rFonts w:ascii="Garamond" w:eastAsia="Arial" w:hAnsi="Garamond" w:cs="Arial"/>
          <w:lang w:val="pt-PT"/>
        </w:rPr>
        <w:t xml:space="preserve"> </w:t>
      </w:r>
      <w:r w:rsidR="00B936A7" w:rsidRPr="003A1174">
        <w:rPr>
          <w:rFonts w:ascii="Garamond" w:eastAsia="Arial" w:hAnsi="Garamond" w:cs="Arial"/>
          <w:lang w:val="pt-PT"/>
        </w:rPr>
        <w:t>quais</w:t>
      </w:r>
      <w:r w:rsidR="00823BE0" w:rsidRPr="003A1174">
        <w:rPr>
          <w:rFonts w:ascii="Garamond" w:eastAsia="Arial" w:hAnsi="Garamond" w:cs="Arial"/>
          <w:lang w:val="pt-PT"/>
        </w:rPr>
        <w:t xml:space="preserve"> </w:t>
      </w:r>
      <w:r w:rsidRPr="003A1174">
        <w:rPr>
          <w:rFonts w:ascii="Garamond" w:eastAsia="Arial" w:hAnsi="Garamond" w:cs="Arial"/>
          <w:lang w:val="pt-PT"/>
        </w:rPr>
        <w:t xml:space="preserve">apenas </w:t>
      </w:r>
      <w:r w:rsidR="00823BE0" w:rsidRPr="003A1174">
        <w:rPr>
          <w:rFonts w:ascii="Garamond" w:eastAsia="Arial" w:hAnsi="Garamond" w:cs="Arial"/>
          <w:lang w:val="pt-PT"/>
        </w:rPr>
        <w:t xml:space="preserve">11 </w:t>
      </w:r>
      <w:r w:rsidRPr="003A1174">
        <w:rPr>
          <w:rFonts w:ascii="Garamond" w:eastAsia="Arial" w:hAnsi="Garamond" w:cs="Arial"/>
          <w:lang w:val="pt-PT"/>
        </w:rPr>
        <w:t>foram colocadas em funcionamento</w:t>
      </w:r>
      <w:r w:rsidR="00823BE0" w:rsidRPr="003A1174">
        <w:rPr>
          <w:rFonts w:ascii="Garamond" w:eastAsia="Arial" w:hAnsi="Garamond" w:cs="Arial"/>
          <w:lang w:val="pt-PT"/>
        </w:rPr>
        <w:t xml:space="preserve"> </w:t>
      </w:r>
      <w:r w:rsidR="005C2020" w:rsidRPr="003A1174">
        <w:rPr>
          <w:rFonts w:ascii="Garamond" w:eastAsia="Arial" w:hAnsi="Garamond" w:cs="Arial"/>
          <w:lang w:val="pt-PT"/>
        </w:rPr>
        <w:t>pelo</w:t>
      </w:r>
      <w:r w:rsidR="00823BE0" w:rsidRPr="003A1174">
        <w:rPr>
          <w:rFonts w:ascii="Garamond" w:eastAsia="Arial" w:hAnsi="Garamond" w:cs="Arial"/>
          <w:lang w:val="pt-PT"/>
        </w:rPr>
        <w:t xml:space="preserve"> Estado </w:t>
      </w:r>
      <w:r w:rsidRPr="003A1174">
        <w:rPr>
          <w:rFonts w:ascii="Garamond" w:eastAsia="Arial" w:hAnsi="Garamond" w:cs="Arial"/>
          <w:lang w:val="pt-PT"/>
        </w:rPr>
        <w:t xml:space="preserve">até </w:t>
      </w:r>
      <w:r w:rsidR="00823BE0" w:rsidRPr="003A1174">
        <w:rPr>
          <w:rFonts w:ascii="Garamond" w:eastAsia="Arial" w:hAnsi="Garamond" w:cs="Arial"/>
          <w:lang w:val="pt-PT"/>
        </w:rPr>
        <w:t xml:space="preserve">agosto de </w:t>
      </w:r>
      <w:r w:rsidR="009B55EE" w:rsidRPr="003A1174">
        <w:rPr>
          <w:rFonts w:ascii="Garamond" w:eastAsia="Arial" w:hAnsi="Garamond" w:cs="Arial"/>
          <w:lang w:val="pt-PT"/>
        </w:rPr>
        <w:t>2014</w:t>
      </w:r>
      <w:r w:rsidR="00823BE0" w:rsidRPr="003A1174">
        <w:rPr>
          <w:rFonts w:ascii="Garamond" w:eastAsia="Arial" w:hAnsi="Garamond" w:cs="Arial"/>
          <w:lang w:val="pt-PT"/>
        </w:rPr>
        <w:t xml:space="preserve">, </w:t>
      </w:r>
      <w:r w:rsidRPr="003A1174">
        <w:rPr>
          <w:rFonts w:ascii="Garamond" w:eastAsia="Arial" w:hAnsi="Garamond" w:cs="Arial"/>
          <w:lang w:val="pt-PT"/>
        </w:rPr>
        <w:t xml:space="preserve">de acordo com o que nos </w:t>
      </w:r>
      <w:r w:rsidR="00823BE0" w:rsidRPr="003A1174">
        <w:rPr>
          <w:rFonts w:ascii="Garamond" w:eastAsia="Arial" w:hAnsi="Garamond" w:cs="Arial"/>
          <w:lang w:val="pt-PT"/>
        </w:rPr>
        <w:t>inform</w:t>
      </w:r>
      <w:r w:rsidRPr="003A1174">
        <w:rPr>
          <w:rFonts w:ascii="Garamond" w:eastAsia="Arial" w:hAnsi="Garamond" w:cs="Arial"/>
          <w:lang w:val="pt-PT"/>
        </w:rPr>
        <w:t xml:space="preserve">ou o </w:t>
      </w:r>
      <w:r w:rsidR="00D77C19" w:rsidRPr="003A1174">
        <w:rPr>
          <w:rFonts w:ascii="Garamond" w:eastAsia="Arial" w:hAnsi="Garamond" w:cs="Arial"/>
          <w:lang w:val="pt-PT"/>
        </w:rPr>
        <w:t>Ministério</w:t>
      </w:r>
      <w:r w:rsidR="00823BE0" w:rsidRPr="003A1174">
        <w:rPr>
          <w:rFonts w:ascii="Garamond" w:eastAsia="Arial" w:hAnsi="Garamond" w:cs="Arial"/>
          <w:lang w:val="pt-PT"/>
        </w:rPr>
        <w:t xml:space="preserve"> da </w:t>
      </w:r>
      <w:r w:rsidR="00AF192F" w:rsidRPr="003A1174">
        <w:rPr>
          <w:rFonts w:ascii="Garamond" w:eastAsia="Arial" w:hAnsi="Garamond" w:cs="Arial"/>
          <w:lang w:val="pt-PT"/>
        </w:rPr>
        <w:t>Mulher</w:t>
      </w:r>
      <w:r w:rsidR="00823BE0" w:rsidRPr="003A1174">
        <w:rPr>
          <w:rFonts w:ascii="Garamond" w:eastAsia="Arial" w:hAnsi="Garamond" w:cs="Arial"/>
          <w:lang w:val="pt-PT"/>
        </w:rPr>
        <w:t xml:space="preserve"> </w:t>
      </w:r>
      <w:r w:rsidR="000672E8" w:rsidRPr="003A1174">
        <w:rPr>
          <w:rFonts w:ascii="Garamond" w:eastAsia="Arial" w:hAnsi="Garamond" w:cs="Arial"/>
          <w:lang w:val="pt-PT"/>
        </w:rPr>
        <w:t>e</w:t>
      </w:r>
      <w:r w:rsidR="00823BE0" w:rsidRPr="003A1174">
        <w:rPr>
          <w:rFonts w:ascii="Garamond" w:eastAsia="Arial" w:hAnsi="Garamond" w:cs="Arial"/>
          <w:lang w:val="pt-PT"/>
        </w:rPr>
        <w:t xml:space="preserve"> </w:t>
      </w:r>
      <w:r w:rsidR="0091213A" w:rsidRPr="003A1174">
        <w:rPr>
          <w:rFonts w:ascii="Garamond" w:eastAsia="Arial" w:hAnsi="Garamond" w:cs="Arial"/>
          <w:lang w:val="pt-PT"/>
        </w:rPr>
        <w:t>Populações</w:t>
      </w:r>
      <w:r w:rsidR="00823BE0" w:rsidRPr="003A1174">
        <w:rPr>
          <w:rFonts w:ascii="Garamond" w:eastAsia="Arial" w:hAnsi="Garamond" w:cs="Arial"/>
          <w:lang w:val="pt-PT"/>
        </w:rPr>
        <w:t xml:space="preserve"> </w:t>
      </w:r>
      <w:r w:rsidR="003F012B" w:rsidRPr="003A1174">
        <w:rPr>
          <w:rFonts w:ascii="Garamond" w:eastAsia="Arial" w:hAnsi="Garamond" w:cs="Arial"/>
          <w:lang w:val="pt-PT"/>
        </w:rPr>
        <w:t>Vulneráveis</w:t>
      </w:r>
      <w:r w:rsidR="0018372B" w:rsidRPr="003A1174">
        <w:rPr>
          <w:rFonts w:ascii="Garamond" w:eastAsia="Arial" w:hAnsi="Garamond" w:cs="Arial"/>
          <w:lang w:val="pt-PT"/>
        </w:rPr>
        <w:t xml:space="preserve"> (MIMP)</w:t>
      </w:r>
      <w:r w:rsidR="00823BE0" w:rsidRPr="003A1174">
        <w:rPr>
          <w:rFonts w:ascii="Garamond" w:eastAsia="Arial" w:hAnsi="Garamond" w:cs="Arial"/>
          <w:lang w:val="pt-PT"/>
        </w:rPr>
        <w:t xml:space="preserve">. Esta </w:t>
      </w:r>
      <w:r w:rsidR="0017447A" w:rsidRPr="003A1174">
        <w:rPr>
          <w:rFonts w:ascii="Garamond" w:eastAsia="Arial" w:hAnsi="Garamond" w:cs="Arial"/>
          <w:lang w:val="pt-PT"/>
        </w:rPr>
        <w:t>situação</w:t>
      </w:r>
      <w:r w:rsidR="00823BE0" w:rsidRPr="003A1174">
        <w:rPr>
          <w:rFonts w:ascii="Garamond" w:eastAsia="Arial" w:hAnsi="Garamond" w:cs="Arial"/>
          <w:lang w:val="pt-PT"/>
        </w:rPr>
        <w:t>, insistimos, n</w:t>
      </w:r>
      <w:r w:rsidRPr="003A1174">
        <w:rPr>
          <w:rFonts w:ascii="Garamond" w:eastAsia="Arial" w:hAnsi="Garamond" w:cs="Arial"/>
          <w:lang w:val="pt-PT"/>
        </w:rPr>
        <w:t>ã</w:t>
      </w:r>
      <w:r w:rsidR="00823BE0" w:rsidRPr="003A1174">
        <w:rPr>
          <w:rFonts w:ascii="Garamond" w:eastAsia="Arial" w:hAnsi="Garamond" w:cs="Arial"/>
          <w:lang w:val="pt-PT"/>
        </w:rPr>
        <w:t>o contribu</w:t>
      </w:r>
      <w:r w:rsidRPr="003A1174">
        <w:rPr>
          <w:rFonts w:ascii="Garamond" w:eastAsia="Arial" w:hAnsi="Garamond" w:cs="Arial"/>
          <w:lang w:val="pt-PT"/>
        </w:rPr>
        <w:t xml:space="preserve">i para </w:t>
      </w:r>
      <w:r w:rsidR="00AF192F" w:rsidRPr="003A1174">
        <w:rPr>
          <w:rFonts w:ascii="Garamond" w:eastAsia="Arial" w:hAnsi="Garamond" w:cs="Arial"/>
          <w:lang w:val="pt-PT"/>
        </w:rPr>
        <w:t>garantir</w:t>
      </w:r>
      <w:r w:rsidRPr="003A1174">
        <w:rPr>
          <w:rFonts w:ascii="Garamond" w:eastAsia="Arial" w:hAnsi="Garamond" w:cs="Arial"/>
          <w:lang w:val="pt-PT"/>
        </w:rPr>
        <w:t xml:space="preserve"> </w:t>
      </w:r>
      <w:r w:rsidR="00823BE0" w:rsidRPr="003A1174">
        <w:rPr>
          <w:rFonts w:ascii="Garamond" w:eastAsia="Arial" w:hAnsi="Garamond" w:cs="Arial"/>
          <w:lang w:val="pt-PT"/>
        </w:rPr>
        <w:t xml:space="preserve">a </w:t>
      </w:r>
      <w:r w:rsidR="00454353" w:rsidRPr="003A1174">
        <w:rPr>
          <w:rFonts w:ascii="Garamond" w:eastAsia="Arial" w:hAnsi="Garamond" w:cs="Arial"/>
          <w:lang w:val="pt-PT"/>
        </w:rPr>
        <w:t>eficácia</w:t>
      </w:r>
      <w:r w:rsidR="00823BE0" w:rsidRPr="003A1174">
        <w:rPr>
          <w:rFonts w:ascii="Garamond" w:eastAsia="Arial" w:hAnsi="Garamond" w:cs="Arial"/>
          <w:lang w:val="pt-PT"/>
        </w:rPr>
        <w:t xml:space="preserve"> </w:t>
      </w:r>
      <w:r w:rsidR="00497503" w:rsidRPr="003A1174">
        <w:rPr>
          <w:rFonts w:ascii="Garamond" w:eastAsia="Arial" w:hAnsi="Garamond" w:cs="Arial"/>
          <w:lang w:val="pt-PT"/>
        </w:rPr>
        <w:t>das</w:t>
      </w:r>
      <w:r w:rsidR="00823BE0" w:rsidRPr="003A1174">
        <w:rPr>
          <w:rFonts w:ascii="Garamond" w:eastAsia="Arial" w:hAnsi="Garamond" w:cs="Arial"/>
          <w:lang w:val="pt-PT"/>
        </w:rPr>
        <w:t xml:space="preserve"> medidas de </w:t>
      </w:r>
      <w:r w:rsidR="00886D6A" w:rsidRPr="003A1174">
        <w:rPr>
          <w:rFonts w:ascii="Garamond" w:eastAsia="Arial" w:hAnsi="Garamond" w:cs="Arial"/>
          <w:lang w:val="pt-PT"/>
        </w:rPr>
        <w:t>proteção</w:t>
      </w:r>
      <w:r w:rsidR="00823BE0" w:rsidRPr="003A1174">
        <w:rPr>
          <w:rFonts w:ascii="Garamond" w:eastAsia="Arial" w:hAnsi="Garamond" w:cs="Arial"/>
          <w:lang w:val="pt-PT"/>
        </w:rPr>
        <w:t xml:space="preserve"> </w:t>
      </w:r>
      <w:r w:rsidR="000672E8" w:rsidRPr="003A1174">
        <w:rPr>
          <w:rFonts w:ascii="Garamond" w:eastAsia="Arial" w:hAnsi="Garamond" w:cs="Arial"/>
          <w:lang w:val="pt-PT"/>
        </w:rPr>
        <w:t>e</w:t>
      </w:r>
      <w:r w:rsidRPr="003A1174">
        <w:rPr>
          <w:rFonts w:ascii="Garamond" w:eastAsia="Arial" w:hAnsi="Garamond" w:cs="Arial"/>
          <w:lang w:val="pt-PT"/>
        </w:rPr>
        <w:t xml:space="preserve"> </w:t>
      </w:r>
      <w:r w:rsidR="00CF4C35" w:rsidRPr="003A1174">
        <w:rPr>
          <w:rFonts w:ascii="Garamond" w:eastAsia="Arial" w:hAnsi="Garamond" w:cs="Arial"/>
          <w:lang w:val="pt-PT"/>
        </w:rPr>
        <w:t>reabilitação</w:t>
      </w:r>
      <w:r w:rsidR="00823BE0" w:rsidRPr="003A1174">
        <w:rPr>
          <w:rFonts w:ascii="Garamond" w:eastAsia="Arial" w:hAnsi="Garamond" w:cs="Arial"/>
          <w:lang w:val="pt-PT"/>
        </w:rPr>
        <w:t xml:space="preserve"> que as </w:t>
      </w:r>
      <w:r w:rsidR="00054EE0" w:rsidRPr="003A1174">
        <w:rPr>
          <w:rFonts w:ascii="Garamond" w:eastAsia="Arial" w:hAnsi="Garamond" w:cs="Arial"/>
          <w:lang w:val="pt-PT"/>
        </w:rPr>
        <w:t>mulheres</w:t>
      </w:r>
      <w:r w:rsidRPr="003A1174">
        <w:rPr>
          <w:rFonts w:ascii="Garamond" w:eastAsia="Arial" w:hAnsi="Garamond" w:cs="Arial"/>
          <w:lang w:val="pt-PT"/>
        </w:rPr>
        <w:t>,</w:t>
      </w:r>
      <w:r w:rsidR="00823BE0" w:rsidRPr="003A1174">
        <w:rPr>
          <w:rFonts w:ascii="Garamond" w:eastAsia="Arial" w:hAnsi="Garamond" w:cs="Arial"/>
          <w:lang w:val="pt-PT"/>
        </w:rPr>
        <w:t xml:space="preserve"> </w:t>
      </w:r>
      <w:r w:rsidR="003F012B" w:rsidRPr="003A1174">
        <w:rPr>
          <w:rFonts w:ascii="Garamond" w:eastAsia="Arial" w:hAnsi="Garamond" w:cs="Arial"/>
          <w:lang w:val="pt-PT"/>
        </w:rPr>
        <w:t>vítima</w:t>
      </w:r>
      <w:r w:rsidR="00823BE0" w:rsidRPr="003A1174">
        <w:rPr>
          <w:rFonts w:ascii="Garamond" w:eastAsia="Arial" w:hAnsi="Garamond" w:cs="Arial"/>
          <w:lang w:val="pt-PT"/>
        </w:rPr>
        <w:t xml:space="preserve">s de </w:t>
      </w:r>
      <w:r w:rsidR="000350B1" w:rsidRPr="003A1174">
        <w:rPr>
          <w:rFonts w:ascii="Garamond" w:eastAsia="Arial" w:hAnsi="Garamond" w:cs="Arial"/>
          <w:lang w:val="pt-PT"/>
        </w:rPr>
        <w:t>violência</w:t>
      </w:r>
      <w:r w:rsidR="00823BE0" w:rsidRPr="003A1174">
        <w:rPr>
          <w:rFonts w:ascii="Garamond" w:eastAsia="Arial" w:hAnsi="Garamond" w:cs="Arial"/>
          <w:lang w:val="pt-PT"/>
        </w:rPr>
        <w:t xml:space="preserve"> sexual</w:t>
      </w:r>
      <w:r w:rsidR="0093110B">
        <w:rPr>
          <w:rFonts w:ascii="Garamond" w:eastAsia="Arial" w:hAnsi="Garamond" w:cs="Arial"/>
          <w:lang w:val="pt-PT"/>
        </w:rPr>
        <w:t>,</w:t>
      </w:r>
      <w:r w:rsidR="00823BE0" w:rsidRPr="003A1174">
        <w:rPr>
          <w:rFonts w:ascii="Garamond" w:eastAsia="Arial" w:hAnsi="Garamond" w:cs="Arial"/>
          <w:lang w:val="pt-PT"/>
        </w:rPr>
        <w:t xml:space="preserve"> que se atreve</w:t>
      </w:r>
      <w:r w:rsidRPr="003A1174">
        <w:rPr>
          <w:rFonts w:ascii="Garamond" w:eastAsia="Arial" w:hAnsi="Garamond" w:cs="Arial"/>
          <w:lang w:val="pt-PT"/>
        </w:rPr>
        <w:t>m</w:t>
      </w:r>
      <w:r w:rsidR="00823BE0" w:rsidRPr="003A1174">
        <w:rPr>
          <w:rFonts w:ascii="Garamond" w:eastAsia="Arial" w:hAnsi="Garamond" w:cs="Arial"/>
          <w:lang w:val="pt-PT"/>
        </w:rPr>
        <w:t xml:space="preserve"> a denunci</w:t>
      </w:r>
      <w:r w:rsidR="0093110B">
        <w:rPr>
          <w:rFonts w:ascii="Garamond" w:eastAsia="Arial" w:hAnsi="Garamond" w:cs="Arial"/>
          <w:lang w:val="pt-PT"/>
        </w:rPr>
        <w:t>á-la</w:t>
      </w:r>
      <w:r w:rsidRPr="003A1174">
        <w:rPr>
          <w:rFonts w:ascii="Garamond" w:eastAsia="Arial" w:hAnsi="Garamond" w:cs="Arial"/>
          <w:lang w:val="pt-PT"/>
        </w:rPr>
        <w:t>, necessitam</w:t>
      </w:r>
      <w:r w:rsidR="00823BE0" w:rsidRPr="003A1174">
        <w:rPr>
          <w:rFonts w:ascii="Garamond" w:eastAsia="Arial" w:hAnsi="Garamond" w:cs="Arial"/>
          <w:lang w:val="pt-PT"/>
        </w:rPr>
        <w:t>.</w:t>
      </w:r>
    </w:p>
    <w:p w:rsidR="00823BE0" w:rsidRPr="003A1174" w:rsidRDefault="007E773D" w:rsidP="008719D4">
      <w:pPr>
        <w:pStyle w:val="Standard"/>
        <w:tabs>
          <w:tab w:val="left" w:pos="1088"/>
        </w:tabs>
        <w:autoSpaceDE w:val="0"/>
        <w:spacing w:before="240"/>
        <w:ind w:right="-234"/>
        <w:jc w:val="both"/>
        <w:rPr>
          <w:rFonts w:ascii="Garamond" w:eastAsia="Arial" w:hAnsi="Garamond" w:cs="Arial"/>
          <w:bCs/>
          <w:lang w:val="pt-PT"/>
        </w:rPr>
      </w:pPr>
      <w:r w:rsidRPr="003A1174">
        <w:rPr>
          <w:rFonts w:ascii="Garamond" w:eastAsia="Arial" w:hAnsi="Garamond" w:cs="Arial"/>
          <w:bCs/>
          <w:lang w:val="pt-PT"/>
        </w:rPr>
        <w:t xml:space="preserve">É </w:t>
      </w:r>
      <w:r w:rsidR="00823BE0" w:rsidRPr="003A1174">
        <w:rPr>
          <w:rFonts w:ascii="Garamond" w:eastAsia="Arial" w:hAnsi="Garamond" w:cs="Arial"/>
          <w:bCs/>
          <w:lang w:val="pt-PT"/>
        </w:rPr>
        <w:t>importante mencionar que</w:t>
      </w:r>
      <w:r w:rsidR="0093110B">
        <w:rPr>
          <w:rFonts w:ascii="Garamond" w:eastAsia="Arial" w:hAnsi="Garamond" w:cs="Arial"/>
          <w:bCs/>
          <w:lang w:val="pt-PT"/>
        </w:rPr>
        <w:t>,</w:t>
      </w:r>
      <w:r w:rsidRPr="003A1174">
        <w:rPr>
          <w:rFonts w:ascii="Garamond" w:eastAsia="Arial" w:hAnsi="Garamond" w:cs="Arial"/>
          <w:bCs/>
          <w:lang w:val="pt-PT"/>
        </w:rPr>
        <w:t xml:space="preserve"> </w:t>
      </w:r>
      <w:r w:rsidR="00C031E1" w:rsidRPr="003A1174">
        <w:rPr>
          <w:rFonts w:ascii="Garamond" w:eastAsia="Arial" w:hAnsi="Garamond" w:cs="Arial"/>
          <w:bCs/>
          <w:lang w:val="pt-PT"/>
        </w:rPr>
        <w:t>recentemente</w:t>
      </w:r>
      <w:r w:rsidR="00823BE0" w:rsidRPr="003A1174">
        <w:rPr>
          <w:rFonts w:ascii="Garamond" w:eastAsia="Arial" w:hAnsi="Garamond" w:cs="Arial"/>
          <w:bCs/>
          <w:lang w:val="pt-PT"/>
        </w:rPr>
        <w:t>, s</w:t>
      </w:r>
      <w:r w:rsidRPr="003A1174">
        <w:rPr>
          <w:rFonts w:ascii="Garamond" w:eastAsia="Arial" w:hAnsi="Garamond" w:cs="Arial"/>
          <w:bCs/>
          <w:lang w:val="pt-PT"/>
        </w:rPr>
        <w:t>e</w:t>
      </w:r>
      <w:r w:rsidR="00823BE0" w:rsidRPr="003A1174">
        <w:rPr>
          <w:rFonts w:ascii="Garamond" w:eastAsia="Arial" w:hAnsi="Garamond" w:cs="Arial"/>
          <w:bCs/>
          <w:lang w:val="pt-PT"/>
        </w:rPr>
        <w:t>gui</w:t>
      </w:r>
      <w:r w:rsidRPr="003A1174">
        <w:rPr>
          <w:rFonts w:ascii="Garamond" w:eastAsia="Arial" w:hAnsi="Garamond" w:cs="Arial"/>
          <w:bCs/>
          <w:lang w:val="pt-PT"/>
        </w:rPr>
        <w:t>ndo um</w:t>
      </w:r>
      <w:r w:rsidR="00823BE0" w:rsidRPr="003A1174">
        <w:rPr>
          <w:rFonts w:ascii="Garamond" w:eastAsia="Arial" w:hAnsi="Garamond" w:cs="Arial"/>
          <w:bCs/>
          <w:lang w:val="pt-PT"/>
        </w:rPr>
        <w:t xml:space="preserve">a </w:t>
      </w:r>
      <w:r w:rsidR="00C965B4" w:rsidRPr="003A1174">
        <w:rPr>
          <w:rFonts w:ascii="Garamond" w:eastAsia="Arial" w:hAnsi="Garamond" w:cs="Arial"/>
          <w:bCs/>
          <w:lang w:val="pt-PT"/>
        </w:rPr>
        <w:t>recomendação</w:t>
      </w:r>
      <w:r w:rsidR="00823BE0" w:rsidRPr="003A1174">
        <w:rPr>
          <w:rFonts w:ascii="Garamond" w:eastAsia="Arial" w:hAnsi="Garamond" w:cs="Arial"/>
          <w:bCs/>
          <w:lang w:val="pt-PT"/>
        </w:rPr>
        <w:t xml:space="preserve"> da </w:t>
      </w:r>
      <w:r w:rsidR="00C04CA4" w:rsidRPr="003A1174">
        <w:rPr>
          <w:rFonts w:ascii="Garamond" w:eastAsia="Arial" w:hAnsi="Garamond" w:cs="Arial"/>
          <w:bCs/>
          <w:lang w:val="pt-PT"/>
        </w:rPr>
        <w:t>Provedoria de Justiça</w:t>
      </w:r>
      <w:r w:rsidR="00823BE0" w:rsidRPr="003A1174">
        <w:rPr>
          <w:rFonts w:ascii="Garamond" w:eastAsia="Arial" w:hAnsi="Garamond" w:cs="Arial"/>
          <w:bCs/>
          <w:lang w:val="pt-PT"/>
        </w:rPr>
        <w:t xml:space="preserve">, </w:t>
      </w:r>
      <w:r w:rsidRPr="003A1174">
        <w:rPr>
          <w:rFonts w:ascii="Garamond" w:eastAsia="Arial" w:hAnsi="Garamond" w:cs="Arial"/>
          <w:bCs/>
          <w:lang w:val="pt-PT"/>
        </w:rPr>
        <w:t xml:space="preserve">através da </w:t>
      </w:r>
      <w:r w:rsidR="00D15AFF" w:rsidRPr="003A1174">
        <w:rPr>
          <w:rFonts w:ascii="Garamond" w:eastAsia="Arial" w:hAnsi="Garamond" w:cs="Arial"/>
          <w:bCs/>
          <w:lang w:val="pt-PT"/>
        </w:rPr>
        <w:t>Lei</w:t>
      </w:r>
      <w:r w:rsidR="00823BE0" w:rsidRPr="003A1174">
        <w:rPr>
          <w:rFonts w:ascii="Garamond" w:eastAsia="Arial" w:hAnsi="Garamond" w:cs="Arial"/>
          <w:bCs/>
          <w:lang w:val="pt-PT"/>
        </w:rPr>
        <w:t xml:space="preserve"> N</w:t>
      </w:r>
      <w:r w:rsidR="0093110B">
        <w:rPr>
          <w:rFonts w:ascii="Garamond" w:eastAsia="Arial" w:hAnsi="Garamond" w:cs="Arial"/>
          <w:bCs/>
          <w:lang w:val="pt-PT"/>
        </w:rPr>
        <w:t>.</w:t>
      </w:r>
      <w:r w:rsidR="00823BE0" w:rsidRPr="003A1174">
        <w:rPr>
          <w:rFonts w:ascii="Garamond" w:eastAsia="Arial" w:hAnsi="Garamond" w:cs="Arial"/>
          <w:bCs/>
          <w:lang w:val="pt-PT"/>
        </w:rPr>
        <w:t>º 30</w:t>
      </w:r>
      <w:r w:rsidR="0093110B">
        <w:rPr>
          <w:rFonts w:ascii="Garamond" w:eastAsia="Arial" w:hAnsi="Garamond" w:cs="Arial"/>
          <w:bCs/>
          <w:lang w:val="pt-PT"/>
        </w:rPr>
        <w:t xml:space="preserve"> </w:t>
      </w:r>
      <w:r w:rsidR="00823BE0" w:rsidRPr="003A1174">
        <w:rPr>
          <w:rFonts w:ascii="Garamond" w:eastAsia="Arial" w:hAnsi="Garamond" w:cs="Arial"/>
          <w:bCs/>
          <w:lang w:val="pt-PT"/>
        </w:rPr>
        <w:t xml:space="preserve">077, publicada </w:t>
      </w:r>
      <w:r w:rsidRPr="003A1174">
        <w:rPr>
          <w:rFonts w:ascii="Garamond" w:eastAsia="Arial" w:hAnsi="Garamond" w:cs="Arial"/>
          <w:bCs/>
          <w:lang w:val="pt-PT"/>
        </w:rPr>
        <w:t xml:space="preserve">a </w:t>
      </w:r>
      <w:r w:rsidR="00823BE0" w:rsidRPr="003A1174">
        <w:rPr>
          <w:rFonts w:ascii="Garamond" w:eastAsia="Arial" w:hAnsi="Garamond" w:cs="Arial"/>
          <w:bCs/>
          <w:lang w:val="pt-PT"/>
        </w:rPr>
        <w:t xml:space="preserve">30 de agosto de 2013, </w:t>
      </w:r>
      <w:r w:rsidR="0093110B">
        <w:rPr>
          <w:rFonts w:ascii="Garamond" w:eastAsia="Arial" w:hAnsi="Garamond" w:cs="Arial"/>
          <w:bCs/>
          <w:lang w:val="pt-PT"/>
        </w:rPr>
        <w:t>entraram em vigor,</w:t>
      </w:r>
      <w:r w:rsidR="00823BE0" w:rsidRPr="003A1174">
        <w:rPr>
          <w:rFonts w:ascii="Garamond" w:eastAsia="Arial" w:hAnsi="Garamond" w:cs="Arial"/>
          <w:bCs/>
          <w:lang w:val="pt-PT"/>
        </w:rPr>
        <w:t xml:space="preserve"> a </w:t>
      </w:r>
      <w:r w:rsidR="0017447A" w:rsidRPr="003A1174">
        <w:rPr>
          <w:rFonts w:ascii="Garamond" w:eastAsia="Arial" w:hAnsi="Garamond" w:cs="Arial"/>
          <w:bCs/>
          <w:lang w:val="pt-PT"/>
        </w:rPr>
        <w:t>nível</w:t>
      </w:r>
      <w:r w:rsidR="00823BE0" w:rsidRPr="003A1174">
        <w:rPr>
          <w:rFonts w:ascii="Garamond" w:eastAsia="Arial" w:hAnsi="Garamond" w:cs="Arial"/>
          <w:bCs/>
          <w:lang w:val="pt-PT"/>
        </w:rPr>
        <w:t xml:space="preserve"> nacional</w:t>
      </w:r>
      <w:r w:rsidR="0093110B">
        <w:rPr>
          <w:rFonts w:ascii="Garamond" w:eastAsia="Arial" w:hAnsi="Garamond" w:cs="Arial"/>
          <w:bCs/>
          <w:lang w:val="pt-PT"/>
        </w:rPr>
        <w:t>,</w:t>
      </w:r>
      <w:r w:rsidR="00823BE0" w:rsidRPr="003A1174">
        <w:rPr>
          <w:rFonts w:ascii="Garamond" w:eastAsia="Arial" w:hAnsi="Garamond" w:cs="Arial"/>
          <w:bCs/>
          <w:lang w:val="pt-PT"/>
        </w:rPr>
        <w:t xml:space="preserve"> desde 1 de </w:t>
      </w:r>
      <w:r w:rsidR="009E3E55" w:rsidRPr="003A1174">
        <w:rPr>
          <w:rFonts w:ascii="Garamond" w:eastAsia="Arial" w:hAnsi="Garamond" w:cs="Arial"/>
          <w:bCs/>
          <w:lang w:val="pt-PT"/>
        </w:rPr>
        <w:t>julho</w:t>
      </w:r>
      <w:r w:rsidR="00823BE0" w:rsidRPr="003A1174">
        <w:rPr>
          <w:rFonts w:ascii="Garamond" w:eastAsia="Arial" w:hAnsi="Garamond" w:cs="Arial"/>
          <w:bCs/>
          <w:lang w:val="pt-PT"/>
        </w:rPr>
        <w:t xml:space="preserve"> de 2014</w:t>
      </w:r>
      <w:r w:rsidR="0093110B">
        <w:rPr>
          <w:rFonts w:ascii="Garamond" w:eastAsia="Arial" w:hAnsi="Garamond" w:cs="Arial"/>
          <w:bCs/>
          <w:lang w:val="pt-PT"/>
        </w:rPr>
        <w:t>,</w:t>
      </w:r>
      <w:r w:rsidR="00823BE0" w:rsidRPr="003A1174">
        <w:rPr>
          <w:rFonts w:ascii="Garamond" w:eastAsia="Arial" w:hAnsi="Garamond" w:cs="Arial"/>
          <w:bCs/>
          <w:lang w:val="pt-PT"/>
        </w:rPr>
        <w:t xml:space="preserve"> </w:t>
      </w:r>
      <w:r w:rsidR="00497503" w:rsidRPr="003A1174">
        <w:rPr>
          <w:rFonts w:ascii="Garamond" w:eastAsia="Arial" w:hAnsi="Garamond" w:cs="Arial"/>
          <w:bCs/>
          <w:lang w:val="pt-PT"/>
        </w:rPr>
        <w:t>as</w:t>
      </w:r>
      <w:r w:rsidR="00823BE0" w:rsidRPr="003A1174">
        <w:rPr>
          <w:rFonts w:ascii="Garamond" w:eastAsia="Arial" w:hAnsi="Garamond" w:cs="Arial"/>
          <w:bCs/>
          <w:lang w:val="pt-PT"/>
        </w:rPr>
        <w:t xml:space="preserve"> </w:t>
      </w:r>
      <w:r w:rsidR="00B14AA6" w:rsidRPr="003A1174">
        <w:rPr>
          <w:rFonts w:ascii="Garamond" w:eastAsia="Arial" w:hAnsi="Garamond" w:cs="Arial"/>
          <w:bCs/>
          <w:lang w:val="pt-PT"/>
        </w:rPr>
        <w:t>disposições</w:t>
      </w:r>
      <w:r w:rsidR="00823BE0" w:rsidRPr="003A1174">
        <w:rPr>
          <w:rFonts w:ascii="Garamond" w:eastAsia="Arial" w:hAnsi="Garamond" w:cs="Arial"/>
          <w:bCs/>
          <w:lang w:val="pt-PT"/>
        </w:rPr>
        <w:t xml:space="preserve"> </w:t>
      </w:r>
      <w:r w:rsidR="00E85E59" w:rsidRPr="003A1174">
        <w:rPr>
          <w:rFonts w:ascii="Garamond" w:eastAsia="Arial" w:hAnsi="Garamond" w:cs="Arial"/>
          <w:bCs/>
          <w:lang w:val="pt-PT"/>
        </w:rPr>
        <w:t>do</w:t>
      </w:r>
      <w:r w:rsidR="00823BE0" w:rsidRPr="003A1174">
        <w:rPr>
          <w:rFonts w:ascii="Garamond" w:eastAsia="Arial" w:hAnsi="Garamond" w:cs="Arial"/>
          <w:bCs/>
          <w:lang w:val="pt-PT"/>
        </w:rPr>
        <w:t xml:space="preserve"> Código Proces</w:t>
      </w:r>
      <w:r w:rsidRPr="003A1174">
        <w:rPr>
          <w:rFonts w:ascii="Garamond" w:eastAsia="Arial" w:hAnsi="Garamond" w:cs="Arial"/>
          <w:bCs/>
          <w:lang w:val="pt-PT"/>
        </w:rPr>
        <w:t>su</w:t>
      </w:r>
      <w:r w:rsidR="00823BE0" w:rsidRPr="003A1174">
        <w:rPr>
          <w:rFonts w:ascii="Garamond" w:eastAsia="Arial" w:hAnsi="Garamond" w:cs="Arial"/>
          <w:bCs/>
          <w:lang w:val="pt-PT"/>
        </w:rPr>
        <w:t xml:space="preserve">al Penal sobre medidas de </w:t>
      </w:r>
      <w:r w:rsidR="00886D6A" w:rsidRPr="003A1174">
        <w:rPr>
          <w:rFonts w:ascii="Garamond" w:eastAsia="Arial" w:hAnsi="Garamond" w:cs="Arial"/>
          <w:bCs/>
          <w:lang w:val="pt-PT"/>
        </w:rPr>
        <w:t>proteção</w:t>
      </w:r>
      <w:r w:rsidR="00823BE0" w:rsidRPr="003A1174">
        <w:rPr>
          <w:rFonts w:ascii="Garamond" w:eastAsia="Arial" w:hAnsi="Garamond" w:cs="Arial"/>
          <w:bCs/>
          <w:lang w:val="pt-PT"/>
        </w:rPr>
        <w:t xml:space="preserve">. </w:t>
      </w:r>
    </w:p>
    <w:p w:rsidR="00823BE0" w:rsidRPr="003A1174" w:rsidRDefault="00823BE0" w:rsidP="008719D4">
      <w:pPr>
        <w:pStyle w:val="Ttulo4"/>
        <w:spacing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p>
    <w:p w:rsidR="00823BE0" w:rsidRPr="003A1174" w:rsidRDefault="00B936A7"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No </w:t>
      </w:r>
      <w:r w:rsidR="002C7510" w:rsidRPr="003A1174">
        <w:rPr>
          <w:rFonts w:ascii="Garamond" w:hAnsi="Garamond" w:cs="Arial"/>
          <w:sz w:val="24"/>
          <w:szCs w:val="24"/>
        </w:rPr>
        <w:t>ano</w:t>
      </w:r>
      <w:r w:rsidR="00823BE0" w:rsidRPr="003A1174">
        <w:rPr>
          <w:rFonts w:ascii="Garamond" w:hAnsi="Garamond" w:cs="Arial"/>
          <w:sz w:val="24"/>
          <w:szCs w:val="24"/>
        </w:rPr>
        <w:t xml:space="preserve"> 2013, de </w:t>
      </w:r>
      <w:r w:rsidR="003F012B" w:rsidRPr="003A1174">
        <w:rPr>
          <w:rFonts w:ascii="Garamond" w:hAnsi="Garamond" w:cs="Arial"/>
          <w:sz w:val="24"/>
          <w:szCs w:val="24"/>
        </w:rPr>
        <w:t>acordo</w:t>
      </w:r>
      <w:r w:rsidR="00823BE0" w:rsidRPr="003A1174">
        <w:rPr>
          <w:rFonts w:ascii="Garamond" w:hAnsi="Garamond" w:cs="Arial"/>
          <w:sz w:val="24"/>
          <w:szCs w:val="24"/>
        </w:rPr>
        <w:t xml:space="preserve"> </w:t>
      </w:r>
      <w:r w:rsidRPr="003A1174">
        <w:rPr>
          <w:rFonts w:ascii="Garamond" w:hAnsi="Garamond" w:cs="Arial"/>
          <w:sz w:val="24"/>
          <w:szCs w:val="24"/>
        </w:rPr>
        <w:t xml:space="preserve">com </w:t>
      </w:r>
      <w:r w:rsidR="00823BE0" w:rsidRPr="003A1174">
        <w:rPr>
          <w:rFonts w:ascii="Garamond" w:hAnsi="Garamond" w:cs="Arial"/>
          <w:sz w:val="24"/>
          <w:szCs w:val="24"/>
        </w:rPr>
        <w:t xml:space="preserve">a </w:t>
      </w:r>
      <w:r w:rsidR="0017447A" w:rsidRPr="003A1174">
        <w:rPr>
          <w:rFonts w:ascii="Garamond" w:hAnsi="Garamond" w:cs="Arial"/>
          <w:sz w:val="24"/>
          <w:szCs w:val="24"/>
        </w:rPr>
        <w:t>informação</w:t>
      </w:r>
      <w:r w:rsidR="00823BE0" w:rsidRPr="003A1174">
        <w:rPr>
          <w:rFonts w:ascii="Garamond" w:hAnsi="Garamond" w:cs="Arial"/>
          <w:sz w:val="24"/>
          <w:szCs w:val="24"/>
        </w:rPr>
        <w:t xml:space="preserve"> </w:t>
      </w:r>
      <w:r w:rsidR="0093110B">
        <w:rPr>
          <w:rFonts w:ascii="Garamond" w:hAnsi="Garamond" w:cs="Arial"/>
          <w:sz w:val="24"/>
          <w:szCs w:val="24"/>
        </w:rPr>
        <w:t xml:space="preserve">fornecida </w:t>
      </w:r>
      <w:r w:rsidRPr="003A1174">
        <w:rPr>
          <w:rFonts w:ascii="Garamond" w:hAnsi="Garamond" w:cs="Arial"/>
          <w:sz w:val="24"/>
          <w:szCs w:val="24"/>
        </w:rPr>
        <w:t xml:space="preserve">pela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C30647" w:rsidRPr="003A1174">
        <w:rPr>
          <w:rFonts w:ascii="Garamond" w:hAnsi="Garamond" w:cs="Arial"/>
          <w:sz w:val="24"/>
          <w:szCs w:val="24"/>
        </w:rPr>
        <w:t>Peru</w:t>
      </w:r>
      <w:r w:rsidR="0093110B">
        <w:rPr>
          <w:rFonts w:ascii="Garamond" w:hAnsi="Garamond" w:cs="Arial"/>
          <w:sz w:val="24"/>
          <w:szCs w:val="24"/>
        </w:rPr>
        <w:t>, através do</w:t>
      </w:r>
      <w:r w:rsidRPr="003A1174">
        <w:rPr>
          <w:rFonts w:ascii="Garamond" w:hAnsi="Garamond" w:cs="Arial"/>
          <w:sz w:val="24"/>
          <w:szCs w:val="24"/>
        </w:rPr>
        <w:t xml:space="preserve"> Programa Nacional contra </w:t>
      </w:r>
      <w:r w:rsidR="00823BE0" w:rsidRPr="003A1174">
        <w:rPr>
          <w:rFonts w:ascii="Garamond" w:hAnsi="Garamond" w:cs="Arial"/>
          <w:sz w:val="24"/>
          <w:szCs w:val="24"/>
        </w:rPr>
        <w:t xml:space="preserve">a </w:t>
      </w:r>
      <w:r w:rsidR="000350B1" w:rsidRPr="003A1174">
        <w:rPr>
          <w:rFonts w:ascii="Garamond" w:hAnsi="Garamond" w:cs="Arial"/>
          <w:sz w:val="24"/>
          <w:szCs w:val="24"/>
        </w:rPr>
        <w:t>Violência</w:t>
      </w:r>
      <w:r w:rsidR="00823BE0" w:rsidRPr="003A1174">
        <w:rPr>
          <w:rFonts w:ascii="Garamond" w:hAnsi="Garamond" w:cs="Arial"/>
          <w:sz w:val="24"/>
          <w:szCs w:val="24"/>
        </w:rPr>
        <w:t xml:space="preserve"> Familiar </w:t>
      </w:r>
      <w:r w:rsidR="000672E8" w:rsidRPr="003A1174">
        <w:rPr>
          <w:rFonts w:ascii="Garamond" w:hAnsi="Garamond" w:cs="Arial"/>
          <w:sz w:val="24"/>
          <w:szCs w:val="24"/>
        </w:rPr>
        <w:t>e</w:t>
      </w:r>
      <w:r w:rsidR="00823BE0" w:rsidRPr="003A1174">
        <w:rPr>
          <w:rFonts w:ascii="Garamond" w:hAnsi="Garamond" w:cs="Arial"/>
          <w:sz w:val="24"/>
          <w:szCs w:val="24"/>
        </w:rPr>
        <w:t xml:space="preserve"> Sexual </w:t>
      </w:r>
      <w:r w:rsidR="00E85E59" w:rsidRPr="003A1174">
        <w:rPr>
          <w:rFonts w:ascii="Garamond" w:hAnsi="Garamond" w:cs="Arial"/>
          <w:sz w:val="24"/>
          <w:szCs w:val="24"/>
        </w:rPr>
        <w:t>do</w:t>
      </w:r>
      <w:r w:rsidR="00823BE0" w:rsidRPr="003A1174">
        <w:rPr>
          <w:rFonts w:ascii="Garamond" w:hAnsi="Garamond" w:cs="Arial"/>
          <w:sz w:val="24"/>
          <w:szCs w:val="24"/>
        </w:rPr>
        <w:t xml:space="preserve"> MIMP, exist</w:t>
      </w:r>
      <w:r w:rsidRPr="003A1174">
        <w:rPr>
          <w:rFonts w:ascii="Garamond" w:hAnsi="Garamond" w:cs="Arial"/>
          <w:sz w:val="24"/>
          <w:szCs w:val="24"/>
        </w:rPr>
        <w:t>iam q</w:t>
      </w:r>
      <w:r w:rsidR="00823BE0" w:rsidRPr="003A1174">
        <w:rPr>
          <w:rFonts w:ascii="Garamond" w:hAnsi="Garamond" w:cs="Arial"/>
          <w:sz w:val="24"/>
          <w:szCs w:val="24"/>
        </w:rPr>
        <w:t xml:space="preserve">uarenta </w:t>
      </w:r>
      <w:r w:rsidR="000672E8" w:rsidRPr="003A1174">
        <w:rPr>
          <w:rFonts w:ascii="Garamond" w:hAnsi="Garamond" w:cs="Arial"/>
          <w:sz w:val="24"/>
          <w:szCs w:val="24"/>
        </w:rPr>
        <w:t>e</w:t>
      </w:r>
      <w:r w:rsidRPr="003A1174">
        <w:rPr>
          <w:rFonts w:ascii="Garamond" w:hAnsi="Garamond" w:cs="Arial"/>
          <w:sz w:val="24"/>
          <w:szCs w:val="24"/>
        </w:rPr>
        <w:t xml:space="preserve"> s</w:t>
      </w:r>
      <w:r w:rsidR="00823BE0" w:rsidRPr="003A1174">
        <w:rPr>
          <w:rFonts w:ascii="Garamond" w:hAnsi="Garamond" w:cs="Arial"/>
          <w:sz w:val="24"/>
          <w:szCs w:val="24"/>
        </w:rPr>
        <w:t>ete 47 casas</w:t>
      </w:r>
      <w:r w:rsidRPr="003A1174">
        <w:rPr>
          <w:rFonts w:ascii="Garamond" w:hAnsi="Garamond" w:cs="Arial"/>
          <w:sz w:val="24"/>
          <w:szCs w:val="24"/>
        </w:rPr>
        <w:t xml:space="preserve"> de abrigo a </w:t>
      </w:r>
      <w:r w:rsidR="0017447A" w:rsidRPr="003A1174">
        <w:rPr>
          <w:rFonts w:ascii="Garamond" w:hAnsi="Garamond" w:cs="Arial"/>
          <w:sz w:val="24"/>
          <w:szCs w:val="24"/>
        </w:rPr>
        <w:t>nível</w:t>
      </w:r>
      <w:r w:rsidR="00823BE0" w:rsidRPr="003A1174">
        <w:rPr>
          <w:rFonts w:ascii="Garamond" w:hAnsi="Garamond" w:cs="Arial"/>
          <w:sz w:val="24"/>
          <w:szCs w:val="24"/>
        </w:rPr>
        <w:t xml:space="preserve"> nacional, </w:t>
      </w:r>
      <w:r w:rsidR="00497503" w:rsidRPr="003A1174">
        <w:rPr>
          <w:rFonts w:ascii="Garamond" w:hAnsi="Garamond" w:cs="Arial"/>
          <w:sz w:val="24"/>
          <w:szCs w:val="24"/>
        </w:rPr>
        <w:t>das</w:t>
      </w:r>
      <w:r w:rsidRPr="003A1174">
        <w:rPr>
          <w:rFonts w:ascii="Garamond" w:hAnsi="Garamond" w:cs="Arial"/>
          <w:sz w:val="24"/>
          <w:szCs w:val="24"/>
        </w:rPr>
        <w:t xml:space="preserve"> q</w:t>
      </w:r>
      <w:r w:rsidR="00823BE0" w:rsidRPr="003A1174">
        <w:rPr>
          <w:rFonts w:ascii="Garamond" w:hAnsi="Garamond" w:cs="Arial"/>
          <w:sz w:val="24"/>
          <w:szCs w:val="24"/>
        </w:rPr>
        <w:t>ua</w:t>
      </w:r>
      <w:r w:rsidRPr="003A1174">
        <w:rPr>
          <w:rFonts w:ascii="Garamond" w:hAnsi="Garamond" w:cs="Arial"/>
          <w:sz w:val="24"/>
          <w:szCs w:val="24"/>
        </w:rPr>
        <w:t>i</w:t>
      </w:r>
      <w:r w:rsidR="00823BE0" w:rsidRPr="003A1174">
        <w:rPr>
          <w:rFonts w:ascii="Garamond" w:hAnsi="Garamond" w:cs="Arial"/>
          <w:sz w:val="24"/>
          <w:szCs w:val="24"/>
        </w:rPr>
        <w:t>s 9 era</w:t>
      </w:r>
      <w:r w:rsidRPr="003A1174">
        <w:rPr>
          <w:rFonts w:ascii="Garamond" w:hAnsi="Garamond" w:cs="Arial"/>
          <w:sz w:val="24"/>
          <w:szCs w:val="24"/>
        </w:rPr>
        <w:t>m</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Estado (municipa</w:t>
      </w:r>
      <w:r w:rsidRPr="003A1174">
        <w:rPr>
          <w:rFonts w:ascii="Garamond" w:hAnsi="Garamond" w:cs="Arial"/>
          <w:sz w:val="24"/>
          <w:szCs w:val="24"/>
        </w:rPr>
        <w:t>i</w:t>
      </w:r>
      <w:r w:rsidR="00823BE0" w:rsidRPr="003A1174">
        <w:rPr>
          <w:rFonts w:ascii="Garamond" w:hAnsi="Garamond" w:cs="Arial"/>
          <w:sz w:val="24"/>
          <w:szCs w:val="24"/>
        </w:rPr>
        <w:t xml:space="preserve">s). </w:t>
      </w:r>
    </w:p>
    <w:p w:rsidR="00823BE0" w:rsidRPr="003A1174" w:rsidRDefault="0093110B" w:rsidP="008719D4">
      <w:pPr>
        <w:autoSpaceDE w:val="0"/>
        <w:autoSpaceDN w:val="0"/>
        <w:adjustRightInd w:val="0"/>
        <w:spacing w:before="240" w:after="0" w:line="240" w:lineRule="auto"/>
        <w:jc w:val="both"/>
        <w:rPr>
          <w:rFonts w:ascii="Garamond" w:hAnsi="Garamond" w:cs="Arial"/>
          <w:sz w:val="24"/>
          <w:szCs w:val="24"/>
        </w:rPr>
      </w:pPr>
      <w:r>
        <w:rPr>
          <w:rFonts w:ascii="Garamond" w:hAnsi="Garamond" w:cs="Arial"/>
          <w:sz w:val="24"/>
          <w:szCs w:val="24"/>
        </w:rPr>
        <w:lastRenderedPageBreak/>
        <w:t>De acordo com</w:t>
      </w:r>
      <w:r w:rsidR="00B936A7" w:rsidRPr="003A1174">
        <w:rPr>
          <w:rFonts w:ascii="Garamond" w:hAnsi="Garamond" w:cs="Arial"/>
          <w:sz w:val="24"/>
          <w:szCs w:val="24"/>
        </w:rPr>
        <w:t xml:space="preserve"> a </w:t>
      </w:r>
      <w:r w:rsidR="0017447A" w:rsidRPr="003A1174">
        <w:rPr>
          <w:rFonts w:ascii="Garamond" w:hAnsi="Garamond" w:cs="Arial"/>
          <w:sz w:val="24"/>
          <w:szCs w:val="24"/>
        </w:rPr>
        <w:t>informação</w:t>
      </w:r>
      <w:r w:rsidR="00823BE0" w:rsidRPr="003A1174">
        <w:rPr>
          <w:rFonts w:ascii="Garamond" w:hAnsi="Garamond" w:cs="Arial"/>
          <w:sz w:val="24"/>
          <w:szCs w:val="24"/>
        </w:rPr>
        <w:t xml:space="preserve"> </w:t>
      </w:r>
      <w:r>
        <w:rPr>
          <w:rFonts w:ascii="Garamond" w:hAnsi="Garamond" w:cs="Arial"/>
          <w:sz w:val="24"/>
          <w:szCs w:val="24"/>
        </w:rPr>
        <w:t xml:space="preserve">fornecida </w:t>
      </w:r>
      <w:r w:rsidR="00B936A7" w:rsidRPr="003A1174">
        <w:rPr>
          <w:rFonts w:ascii="Garamond" w:hAnsi="Garamond" w:cs="Arial"/>
          <w:sz w:val="24"/>
          <w:szCs w:val="24"/>
        </w:rPr>
        <w:t xml:space="preserve">pela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C30647" w:rsidRPr="003A1174">
        <w:rPr>
          <w:rFonts w:ascii="Garamond" w:hAnsi="Garamond" w:cs="Arial"/>
          <w:sz w:val="24"/>
          <w:szCs w:val="24"/>
        </w:rPr>
        <w:t>Peru</w:t>
      </w:r>
      <w:r>
        <w:rPr>
          <w:rFonts w:ascii="Garamond" w:hAnsi="Garamond" w:cs="Arial"/>
          <w:sz w:val="24"/>
          <w:szCs w:val="24"/>
        </w:rPr>
        <w:t>,</w:t>
      </w:r>
      <w:r w:rsidR="00823BE0" w:rsidRPr="003A1174">
        <w:rPr>
          <w:rFonts w:ascii="Garamond" w:hAnsi="Garamond" w:cs="Arial"/>
          <w:sz w:val="24"/>
          <w:szCs w:val="24"/>
        </w:rPr>
        <w:t xml:space="preserve"> </w:t>
      </w:r>
      <w:r w:rsidR="00B936A7" w:rsidRPr="003A1174">
        <w:rPr>
          <w:rFonts w:ascii="Garamond" w:hAnsi="Garamond" w:cs="Arial"/>
          <w:sz w:val="24"/>
          <w:szCs w:val="24"/>
        </w:rPr>
        <w:t xml:space="preserve">através do Programa Nacional contra </w:t>
      </w:r>
      <w:r w:rsidR="00823BE0" w:rsidRPr="003A1174">
        <w:rPr>
          <w:rFonts w:ascii="Garamond" w:hAnsi="Garamond" w:cs="Arial"/>
          <w:sz w:val="24"/>
          <w:szCs w:val="24"/>
        </w:rPr>
        <w:t xml:space="preserve">a </w:t>
      </w:r>
      <w:r w:rsidR="000350B1" w:rsidRPr="003A1174">
        <w:rPr>
          <w:rFonts w:ascii="Garamond" w:hAnsi="Garamond" w:cs="Arial"/>
          <w:sz w:val="24"/>
          <w:szCs w:val="24"/>
        </w:rPr>
        <w:t>Violência</w:t>
      </w:r>
      <w:r w:rsidR="00823BE0" w:rsidRPr="003A1174">
        <w:rPr>
          <w:rFonts w:ascii="Garamond" w:hAnsi="Garamond" w:cs="Arial"/>
          <w:sz w:val="24"/>
          <w:szCs w:val="24"/>
        </w:rPr>
        <w:t xml:space="preserve"> Familiar </w:t>
      </w:r>
      <w:r w:rsidR="000672E8" w:rsidRPr="003A1174">
        <w:rPr>
          <w:rFonts w:ascii="Garamond" w:hAnsi="Garamond" w:cs="Arial"/>
          <w:sz w:val="24"/>
          <w:szCs w:val="24"/>
        </w:rPr>
        <w:t>e</w:t>
      </w:r>
      <w:r w:rsidR="00823BE0" w:rsidRPr="003A1174">
        <w:rPr>
          <w:rFonts w:ascii="Garamond" w:hAnsi="Garamond" w:cs="Arial"/>
          <w:sz w:val="24"/>
          <w:szCs w:val="24"/>
        </w:rPr>
        <w:t xml:space="preserve"> Sexual </w:t>
      </w:r>
      <w:r w:rsidR="00E85E59" w:rsidRPr="003A1174">
        <w:rPr>
          <w:rFonts w:ascii="Garamond" w:hAnsi="Garamond" w:cs="Arial"/>
          <w:sz w:val="24"/>
          <w:szCs w:val="24"/>
        </w:rPr>
        <w:t>do</w:t>
      </w:r>
      <w:r w:rsidR="00823BE0" w:rsidRPr="003A1174">
        <w:rPr>
          <w:rFonts w:ascii="Garamond" w:hAnsi="Garamond" w:cs="Arial"/>
          <w:sz w:val="24"/>
          <w:szCs w:val="24"/>
        </w:rPr>
        <w:t xml:space="preserve"> MIMP</w:t>
      </w:r>
      <w:r w:rsidR="0018372B" w:rsidRPr="003A1174">
        <w:rPr>
          <w:rFonts w:ascii="Garamond" w:hAnsi="Garamond" w:cs="Arial"/>
          <w:sz w:val="24"/>
          <w:szCs w:val="24"/>
        </w:rPr>
        <w:t>,</w:t>
      </w:r>
      <w:r w:rsidR="00823BE0" w:rsidRPr="003A1174">
        <w:rPr>
          <w:rFonts w:ascii="Garamond" w:hAnsi="Garamond" w:cs="Arial"/>
          <w:sz w:val="24"/>
          <w:szCs w:val="24"/>
        </w:rPr>
        <w:t xml:space="preserve"> </w:t>
      </w:r>
      <w:r w:rsidR="00FB09CA" w:rsidRPr="003A1174">
        <w:rPr>
          <w:rFonts w:ascii="Garamond" w:hAnsi="Garamond" w:cs="Arial"/>
          <w:sz w:val="24"/>
          <w:szCs w:val="24"/>
        </w:rPr>
        <w:t>atual</w:t>
      </w:r>
      <w:r w:rsidR="00B936A7" w:rsidRPr="003A1174">
        <w:rPr>
          <w:rFonts w:ascii="Garamond" w:hAnsi="Garamond" w:cs="Arial"/>
          <w:sz w:val="24"/>
          <w:szCs w:val="24"/>
        </w:rPr>
        <w:t>izada em</w:t>
      </w:r>
      <w:r w:rsidR="00823BE0" w:rsidRPr="003A1174">
        <w:rPr>
          <w:rFonts w:ascii="Garamond" w:hAnsi="Garamond" w:cs="Arial"/>
          <w:sz w:val="24"/>
          <w:szCs w:val="24"/>
        </w:rPr>
        <w:t xml:space="preserve"> agosto de 2014, existe</w:t>
      </w:r>
      <w:r w:rsidR="00B936A7" w:rsidRPr="003A1174">
        <w:rPr>
          <w:rFonts w:ascii="Garamond" w:hAnsi="Garamond" w:cs="Arial"/>
          <w:sz w:val="24"/>
          <w:szCs w:val="24"/>
        </w:rPr>
        <w:t>m</w:t>
      </w:r>
      <w:r>
        <w:rPr>
          <w:rFonts w:ascii="Garamond" w:hAnsi="Garamond" w:cs="Arial"/>
          <w:sz w:val="24"/>
          <w:szCs w:val="24"/>
        </w:rPr>
        <w:t>,</w:t>
      </w:r>
      <w:r w:rsidR="00B936A7" w:rsidRPr="003A1174">
        <w:rPr>
          <w:rFonts w:ascii="Garamond" w:hAnsi="Garamond" w:cs="Arial"/>
          <w:sz w:val="24"/>
          <w:szCs w:val="24"/>
        </w:rPr>
        <w:t xml:space="preserve"> até esta </w:t>
      </w:r>
      <w:r w:rsidR="0074243F" w:rsidRPr="003A1174">
        <w:rPr>
          <w:rFonts w:ascii="Garamond" w:hAnsi="Garamond" w:cs="Arial"/>
          <w:sz w:val="24"/>
          <w:szCs w:val="24"/>
        </w:rPr>
        <w:t>data</w:t>
      </w:r>
      <w:r>
        <w:rPr>
          <w:rFonts w:ascii="Garamond" w:hAnsi="Garamond" w:cs="Arial"/>
          <w:sz w:val="24"/>
          <w:szCs w:val="24"/>
        </w:rPr>
        <w:t>,</w:t>
      </w:r>
      <w:r w:rsidR="00B936A7" w:rsidRPr="003A1174">
        <w:rPr>
          <w:rFonts w:ascii="Garamond" w:hAnsi="Garamond" w:cs="Arial"/>
          <w:sz w:val="24"/>
          <w:szCs w:val="24"/>
        </w:rPr>
        <w:t xml:space="preserve"> 46 casas </w:t>
      </w:r>
      <w:r>
        <w:rPr>
          <w:rFonts w:ascii="Garamond" w:hAnsi="Garamond" w:cs="Arial"/>
          <w:sz w:val="24"/>
          <w:szCs w:val="24"/>
        </w:rPr>
        <w:t xml:space="preserve">de </w:t>
      </w:r>
      <w:r w:rsidR="00B936A7" w:rsidRPr="003A1174">
        <w:rPr>
          <w:rFonts w:ascii="Garamond" w:hAnsi="Garamond" w:cs="Arial"/>
          <w:sz w:val="24"/>
          <w:szCs w:val="24"/>
        </w:rPr>
        <w:t>abrigo à</w:t>
      </w:r>
      <w:r w:rsidR="00823BE0" w:rsidRPr="003A1174">
        <w:rPr>
          <w:rFonts w:ascii="Garamond" w:hAnsi="Garamond" w:cs="Arial"/>
          <w:sz w:val="24"/>
          <w:szCs w:val="24"/>
        </w:rPr>
        <w:t xml:space="preserve"> </w:t>
      </w:r>
      <w:r w:rsidR="0018372B" w:rsidRPr="003A1174">
        <w:rPr>
          <w:rFonts w:ascii="Garamond" w:hAnsi="Garamond" w:cs="Arial"/>
          <w:sz w:val="24"/>
          <w:szCs w:val="24"/>
        </w:rPr>
        <w:t>escala</w:t>
      </w:r>
      <w:r w:rsidR="00823BE0" w:rsidRPr="003A1174">
        <w:rPr>
          <w:rFonts w:ascii="Garamond" w:hAnsi="Garamond" w:cs="Arial"/>
          <w:sz w:val="24"/>
          <w:szCs w:val="24"/>
        </w:rPr>
        <w:t xml:space="preserve"> nacional,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B936A7" w:rsidRPr="003A1174">
        <w:rPr>
          <w:rFonts w:ascii="Garamond" w:hAnsi="Garamond" w:cs="Arial"/>
          <w:sz w:val="24"/>
          <w:szCs w:val="24"/>
        </w:rPr>
        <w:t>quais</w:t>
      </w:r>
      <w:r w:rsidR="00823BE0" w:rsidRPr="003A1174">
        <w:rPr>
          <w:rFonts w:ascii="Garamond" w:hAnsi="Garamond" w:cs="Arial"/>
          <w:sz w:val="24"/>
          <w:szCs w:val="24"/>
        </w:rPr>
        <w:t xml:space="preserve"> 11 </w:t>
      </w:r>
      <w:r w:rsidR="00B936A7" w:rsidRPr="003A1174">
        <w:rPr>
          <w:rFonts w:ascii="Garamond" w:hAnsi="Garamond" w:cs="Arial"/>
          <w:sz w:val="24"/>
          <w:szCs w:val="24"/>
        </w:rPr>
        <w:t xml:space="preserve">estão a </w:t>
      </w:r>
      <w:r w:rsidR="00823BE0" w:rsidRPr="003A1174">
        <w:rPr>
          <w:rFonts w:ascii="Garamond" w:hAnsi="Garamond" w:cs="Arial"/>
          <w:sz w:val="24"/>
          <w:szCs w:val="24"/>
        </w:rPr>
        <w:t xml:space="preserve">cargo </w:t>
      </w:r>
      <w:r w:rsidR="00E85E59" w:rsidRPr="003A1174">
        <w:rPr>
          <w:rFonts w:ascii="Garamond" w:hAnsi="Garamond" w:cs="Arial"/>
          <w:sz w:val="24"/>
          <w:szCs w:val="24"/>
        </w:rPr>
        <w:t>do</w:t>
      </w:r>
      <w:r w:rsidR="00823BE0" w:rsidRPr="003A1174">
        <w:rPr>
          <w:rFonts w:ascii="Garamond" w:hAnsi="Garamond" w:cs="Arial"/>
          <w:sz w:val="24"/>
          <w:szCs w:val="24"/>
        </w:rPr>
        <w:t xml:space="preserve"> Estado (</w:t>
      </w:r>
      <w:r w:rsidR="00D9445F" w:rsidRPr="003A1174">
        <w:rPr>
          <w:rFonts w:ascii="Garamond" w:hAnsi="Garamond" w:cs="Arial"/>
          <w:sz w:val="24"/>
          <w:szCs w:val="24"/>
        </w:rPr>
        <w:t>município</w:t>
      </w:r>
      <w:r w:rsidR="00B936A7" w:rsidRPr="003A1174">
        <w:rPr>
          <w:rFonts w:ascii="Garamond" w:hAnsi="Garamond" w:cs="Arial"/>
          <w:sz w:val="24"/>
          <w:szCs w:val="24"/>
        </w:rPr>
        <w:t>s</w:t>
      </w:r>
      <w:r w:rsidR="00823BE0" w:rsidRPr="003A1174">
        <w:rPr>
          <w:rFonts w:ascii="Garamond" w:hAnsi="Garamond" w:cs="Arial"/>
          <w:sz w:val="24"/>
          <w:szCs w:val="24"/>
        </w:rPr>
        <w:t xml:space="preserve">). </w:t>
      </w:r>
      <w:r w:rsidR="00CE610E" w:rsidRPr="003A1174">
        <w:rPr>
          <w:rFonts w:ascii="Garamond" w:hAnsi="Garamond" w:cs="Arial"/>
          <w:sz w:val="24"/>
          <w:szCs w:val="24"/>
        </w:rPr>
        <w:t xml:space="preserve">O </w:t>
      </w:r>
      <w:r w:rsidR="00823BE0" w:rsidRPr="003A1174">
        <w:rPr>
          <w:rFonts w:ascii="Garamond" w:hAnsi="Garamond" w:cs="Arial"/>
          <w:sz w:val="24"/>
          <w:szCs w:val="24"/>
        </w:rPr>
        <w:t>exp</w:t>
      </w:r>
      <w:r w:rsidR="00CE610E" w:rsidRPr="003A1174">
        <w:rPr>
          <w:rFonts w:ascii="Garamond" w:hAnsi="Garamond" w:cs="Arial"/>
          <w:sz w:val="24"/>
          <w:szCs w:val="24"/>
        </w:rPr>
        <w:t>o</w:t>
      </w:r>
      <w:r w:rsidR="00823BE0" w:rsidRPr="003A1174">
        <w:rPr>
          <w:rFonts w:ascii="Garamond" w:hAnsi="Garamond" w:cs="Arial"/>
          <w:sz w:val="24"/>
          <w:szCs w:val="24"/>
        </w:rPr>
        <w:t xml:space="preserve">sto </w:t>
      </w:r>
      <w:r w:rsidR="00CE610E" w:rsidRPr="003A1174">
        <w:rPr>
          <w:rFonts w:ascii="Garamond" w:hAnsi="Garamond" w:cs="Arial"/>
          <w:sz w:val="24"/>
          <w:szCs w:val="24"/>
        </w:rPr>
        <w:t xml:space="preserve">é </w:t>
      </w:r>
      <w:r w:rsidR="00823BE0" w:rsidRPr="003A1174">
        <w:rPr>
          <w:rFonts w:ascii="Garamond" w:hAnsi="Garamond" w:cs="Arial"/>
          <w:sz w:val="24"/>
          <w:szCs w:val="24"/>
        </w:rPr>
        <w:t xml:space="preserve">insuficiente, </w:t>
      </w:r>
      <w:r w:rsidR="00CE610E" w:rsidRPr="003A1174">
        <w:rPr>
          <w:rFonts w:ascii="Garamond" w:hAnsi="Garamond" w:cs="Arial"/>
          <w:sz w:val="24"/>
          <w:szCs w:val="24"/>
        </w:rPr>
        <w:t>sobretudo</w:t>
      </w:r>
      <w:r>
        <w:rPr>
          <w:rFonts w:ascii="Garamond" w:hAnsi="Garamond" w:cs="Arial"/>
          <w:sz w:val="24"/>
          <w:szCs w:val="24"/>
        </w:rPr>
        <w:t>,</w:t>
      </w:r>
      <w:r w:rsidR="00CE610E" w:rsidRPr="003A1174">
        <w:rPr>
          <w:rFonts w:ascii="Garamond" w:hAnsi="Garamond" w:cs="Arial"/>
          <w:sz w:val="24"/>
          <w:szCs w:val="24"/>
        </w:rPr>
        <w:t xml:space="preserve"> tendo em conta</w:t>
      </w:r>
      <w:r>
        <w:rPr>
          <w:rFonts w:ascii="Garamond" w:hAnsi="Garamond" w:cs="Arial"/>
          <w:sz w:val="24"/>
          <w:szCs w:val="24"/>
        </w:rPr>
        <w:t>,</w:t>
      </w:r>
      <w:r w:rsidR="00CE610E" w:rsidRPr="003A1174">
        <w:rPr>
          <w:rFonts w:ascii="Garamond" w:hAnsi="Garamond" w:cs="Arial"/>
          <w:sz w:val="24"/>
          <w:szCs w:val="24"/>
        </w:rPr>
        <w:t xml:space="preserve"> </w:t>
      </w:r>
      <w:r w:rsidR="00823BE0" w:rsidRPr="003A1174">
        <w:rPr>
          <w:rFonts w:ascii="Garamond" w:hAnsi="Garamond" w:cs="Arial"/>
          <w:sz w:val="24"/>
          <w:szCs w:val="24"/>
        </w:rPr>
        <w:t xml:space="preserve">as altas </w:t>
      </w:r>
      <w:r w:rsidR="00BB2B00" w:rsidRPr="003A1174">
        <w:rPr>
          <w:rFonts w:ascii="Garamond" w:hAnsi="Garamond" w:cs="Arial"/>
          <w:sz w:val="24"/>
          <w:szCs w:val="24"/>
        </w:rPr>
        <w:t>taxa</w:t>
      </w:r>
      <w:r w:rsidR="00823BE0" w:rsidRPr="003A1174">
        <w:rPr>
          <w:rFonts w:ascii="Garamond" w:hAnsi="Garamond" w:cs="Arial"/>
          <w:sz w:val="24"/>
          <w:szCs w:val="24"/>
        </w:rPr>
        <w:t xml:space="preserve">s de </w:t>
      </w:r>
      <w:r w:rsidR="0091213A" w:rsidRPr="003A1174">
        <w:rPr>
          <w:rFonts w:ascii="Garamond" w:hAnsi="Garamond" w:cs="Arial"/>
          <w:sz w:val="24"/>
          <w:szCs w:val="24"/>
        </w:rPr>
        <w:t>manifestaç</w:t>
      </w:r>
      <w:r w:rsidR="00D9445F" w:rsidRPr="003A1174">
        <w:rPr>
          <w:rFonts w:ascii="Garamond" w:hAnsi="Garamond" w:cs="Arial"/>
          <w:sz w:val="24"/>
          <w:szCs w:val="24"/>
        </w:rPr>
        <w:t>ões d</w:t>
      </w:r>
      <w:r w:rsidR="00823BE0" w:rsidRPr="003A1174">
        <w:rPr>
          <w:rFonts w:ascii="Garamond" w:hAnsi="Garamond" w:cs="Arial"/>
          <w:sz w:val="24"/>
          <w:szCs w:val="24"/>
        </w:rPr>
        <w:t xml:space="preserve">e </w:t>
      </w:r>
      <w:r w:rsidR="000350B1" w:rsidRPr="003A1174">
        <w:rPr>
          <w:rFonts w:ascii="Garamond" w:hAnsi="Garamond" w:cs="Arial"/>
          <w:sz w:val="24"/>
          <w:szCs w:val="24"/>
        </w:rPr>
        <w:t>violência</w:t>
      </w:r>
      <w:r w:rsidR="00823BE0" w:rsidRPr="003A1174">
        <w:rPr>
          <w:rFonts w:ascii="Garamond" w:hAnsi="Garamond" w:cs="Arial"/>
          <w:sz w:val="24"/>
          <w:szCs w:val="24"/>
        </w:rPr>
        <w:t xml:space="preserve"> de género </w:t>
      </w:r>
      <w:r w:rsidR="0018372B" w:rsidRPr="003A1174">
        <w:rPr>
          <w:rFonts w:ascii="Garamond" w:hAnsi="Garamond" w:cs="Arial"/>
          <w:sz w:val="24"/>
          <w:szCs w:val="24"/>
        </w:rPr>
        <w:t xml:space="preserve">que </w:t>
      </w:r>
      <w:r w:rsidR="00B5431B" w:rsidRPr="003A1174">
        <w:rPr>
          <w:rFonts w:ascii="Garamond" w:hAnsi="Garamond" w:cs="Arial"/>
          <w:sz w:val="24"/>
          <w:szCs w:val="24"/>
        </w:rPr>
        <w:t>existem</w:t>
      </w:r>
      <w:r w:rsidR="00823BE0" w:rsidRPr="003A1174">
        <w:rPr>
          <w:rFonts w:ascii="Garamond" w:hAnsi="Garamond" w:cs="Arial"/>
          <w:sz w:val="24"/>
          <w:szCs w:val="24"/>
        </w:rPr>
        <w:t xml:space="preserve"> </w:t>
      </w:r>
      <w:r w:rsidR="00CE610E" w:rsidRPr="003A1174">
        <w:rPr>
          <w:rFonts w:ascii="Garamond" w:hAnsi="Garamond" w:cs="Arial"/>
          <w:sz w:val="24"/>
          <w:szCs w:val="24"/>
        </w:rPr>
        <w:t>no país.</w:t>
      </w:r>
      <w:r w:rsidR="00823BE0" w:rsidRPr="003A1174">
        <w:rPr>
          <w:rFonts w:ascii="Garamond" w:hAnsi="Garamond" w:cs="Arial"/>
          <w:sz w:val="24"/>
          <w:szCs w:val="24"/>
        </w:rPr>
        <w:t xml:space="preserve"> </w:t>
      </w:r>
      <w:r w:rsidR="00CE610E" w:rsidRPr="003A1174">
        <w:rPr>
          <w:rFonts w:ascii="Garamond" w:hAnsi="Garamond" w:cs="Arial"/>
          <w:sz w:val="24"/>
          <w:szCs w:val="24"/>
        </w:rPr>
        <w:t>Is</w:t>
      </w:r>
      <w:r w:rsidR="00823BE0" w:rsidRPr="003A1174">
        <w:rPr>
          <w:rFonts w:ascii="Garamond" w:hAnsi="Garamond" w:cs="Arial"/>
          <w:sz w:val="24"/>
          <w:szCs w:val="24"/>
        </w:rPr>
        <w:t xml:space="preserve">to </w:t>
      </w:r>
      <w:r w:rsidR="00CE610E" w:rsidRPr="003A1174">
        <w:rPr>
          <w:rFonts w:ascii="Garamond" w:hAnsi="Garamond" w:cs="Arial"/>
          <w:sz w:val="24"/>
          <w:szCs w:val="24"/>
        </w:rPr>
        <w:t xml:space="preserve">acontece </w:t>
      </w:r>
      <w:r w:rsidR="00EE7406" w:rsidRPr="003A1174">
        <w:rPr>
          <w:rFonts w:ascii="Garamond" w:hAnsi="Garamond" w:cs="Arial"/>
          <w:sz w:val="24"/>
          <w:szCs w:val="24"/>
        </w:rPr>
        <w:t>apesar</w:t>
      </w:r>
      <w:r w:rsidR="00823BE0" w:rsidRPr="003A1174">
        <w:rPr>
          <w:rFonts w:ascii="Garamond" w:hAnsi="Garamond" w:cs="Arial"/>
          <w:sz w:val="24"/>
          <w:szCs w:val="24"/>
        </w:rPr>
        <w:t xml:space="preserve"> </w:t>
      </w:r>
      <w:r w:rsidR="00CE610E" w:rsidRPr="003A1174">
        <w:rPr>
          <w:rFonts w:ascii="Garamond" w:hAnsi="Garamond" w:cs="Arial"/>
          <w:sz w:val="24"/>
          <w:szCs w:val="24"/>
        </w:rPr>
        <w:t>de (</w:t>
      </w:r>
      <w:r w:rsidR="00823BE0" w:rsidRPr="003A1174">
        <w:rPr>
          <w:rFonts w:ascii="Garamond" w:hAnsi="Garamond" w:cs="Arial"/>
          <w:sz w:val="24"/>
          <w:szCs w:val="24"/>
        </w:rPr>
        <w:t xml:space="preserve">de </w:t>
      </w:r>
      <w:r w:rsidR="003F012B" w:rsidRPr="003A1174">
        <w:rPr>
          <w:rFonts w:ascii="Garamond" w:hAnsi="Garamond" w:cs="Arial"/>
          <w:sz w:val="24"/>
          <w:szCs w:val="24"/>
        </w:rPr>
        <w:t>acordo</w:t>
      </w:r>
      <w:r w:rsidR="00823BE0" w:rsidRPr="003A1174">
        <w:rPr>
          <w:rFonts w:ascii="Garamond" w:hAnsi="Garamond" w:cs="Arial"/>
          <w:sz w:val="24"/>
          <w:szCs w:val="24"/>
        </w:rPr>
        <w:t xml:space="preserve"> </w:t>
      </w:r>
      <w:r w:rsidR="00CE610E" w:rsidRPr="003A1174">
        <w:rPr>
          <w:rFonts w:ascii="Garamond" w:hAnsi="Garamond" w:cs="Arial"/>
          <w:sz w:val="24"/>
          <w:szCs w:val="24"/>
        </w:rPr>
        <w:t xml:space="preserve">com o </w:t>
      </w:r>
      <w:r w:rsidR="003A391A" w:rsidRPr="003A1174">
        <w:rPr>
          <w:rFonts w:ascii="Garamond" w:hAnsi="Garamond" w:cs="Arial"/>
          <w:sz w:val="24"/>
          <w:szCs w:val="24"/>
        </w:rPr>
        <w:t>disposto</w:t>
      </w:r>
      <w:r w:rsidR="00823BE0" w:rsidRPr="003A1174">
        <w:rPr>
          <w:rFonts w:ascii="Garamond" w:hAnsi="Garamond" w:cs="Arial"/>
          <w:sz w:val="24"/>
          <w:szCs w:val="24"/>
        </w:rPr>
        <w:t xml:space="preserve"> </w:t>
      </w:r>
      <w:r w:rsidR="00CE610E" w:rsidRPr="003A1174">
        <w:rPr>
          <w:rFonts w:ascii="Garamond" w:hAnsi="Garamond" w:cs="Arial"/>
          <w:sz w:val="24"/>
          <w:szCs w:val="24"/>
        </w:rPr>
        <w:t xml:space="preserve">na lei </w:t>
      </w:r>
      <w:r w:rsidR="00823BE0" w:rsidRPr="003A1174">
        <w:rPr>
          <w:rFonts w:ascii="Garamond" w:hAnsi="Garamond" w:cs="Arial"/>
          <w:sz w:val="24"/>
          <w:szCs w:val="24"/>
        </w:rPr>
        <w:t>vigente</w:t>
      </w:r>
      <w:r w:rsidR="00CE610E" w:rsidRPr="003A1174">
        <w:rPr>
          <w:rFonts w:ascii="Garamond" w:hAnsi="Garamond" w:cs="Arial"/>
          <w:sz w:val="24"/>
          <w:szCs w:val="24"/>
        </w:rPr>
        <w:t>)</w:t>
      </w:r>
      <w:r w:rsidR="00636301">
        <w:rPr>
          <w:rFonts w:ascii="Garamond" w:hAnsi="Garamond" w:cs="Arial"/>
          <w:sz w:val="24"/>
          <w:szCs w:val="24"/>
        </w:rPr>
        <w:t>,</w:t>
      </w:r>
      <w:r w:rsidR="00823BE0" w:rsidRPr="003A1174">
        <w:rPr>
          <w:rStyle w:val="Refdenotaalpie"/>
          <w:rFonts w:ascii="Garamond" w:hAnsi="Garamond" w:cs="Arial"/>
          <w:sz w:val="24"/>
          <w:szCs w:val="24"/>
        </w:rPr>
        <w:footnoteReference w:id="131"/>
      </w:r>
      <w:r w:rsidR="00823BE0" w:rsidRPr="003A1174">
        <w:rPr>
          <w:rFonts w:ascii="Garamond" w:hAnsi="Garamond" w:cs="Arial"/>
          <w:sz w:val="24"/>
          <w:szCs w:val="24"/>
        </w:rPr>
        <w:t xml:space="preserve"> </w:t>
      </w:r>
      <w:r w:rsidR="00CE610E" w:rsidRPr="003A1174">
        <w:rPr>
          <w:rFonts w:ascii="Garamond" w:hAnsi="Garamond" w:cs="Arial"/>
          <w:sz w:val="24"/>
          <w:szCs w:val="24"/>
        </w:rPr>
        <w:t xml:space="preserve">no </w:t>
      </w:r>
      <w:r w:rsidR="00C30647" w:rsidRPr="003A1174">
        <w:rPr>
          <w:rFonts w:ascii="Garamond" w:hAnsi="Garamond" w:cs="Arial"/>
          <w:sz w:val="24"/>
          <w:szCs w:val="24"/>
        </w:rPr>
        <w:t>Peru</w:t>
      </w:r>
      <w:r w:rsidR="00636301">
        <w:rPr>
          <w:rFonts w:ascii="Garamond" w:hAnsi="Garamond" w:cs="Arial"/>
          <w:sz w:val="24"/>
          <w:szCs w:val="24"/>
        </w:rPr>
        <w:t>,</w:t>
      </w:r>
      <w:r w:rsidR="00823BE0" w:rsidRPr="003A1174">
        <w:rPr>
          <w:rFonts w:ascii="Garamond" w:hAnsi="Garamond" w:cs="Arial"/>
          <w:sz w:val="24"/>
          <w:szCs w:val="24"/>
        </w:rPr>
        <w:t xml:space="preserve"> </w:t>
      </w:r>
      <w:r w:rsidR="00CE610E" w:rsidRPr="003A1174">
        <w:rPr>
          <w:rFonts w:ascii="Garamond" w:hAnsi="Garamond" w:cs="Arial"/>
          <w:sz w:val="24"/>
          <w:szCs w:val="24"/>
        </w:rPr>
        <w:t xml:space="preserve">ser </w:t>
      </w:r>
      <w:r w:rsidR="006D0543" w:rsidRPr="003A1174">
        <w:rPr>
          <w:rFonts w:ascii="Garamond" w:hAnsi="Garamond" w:cs="Arial"/>
          <w:sz w:val="24"/>
          <w:szCs w:val="24"/>
        </w:rPr>
        <w:t>responsabilidade</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Estado</w:t>
      </w:r>
      <w:r w:rsidR="0018372B" w:rsidRPr="003A1174">
        <w:rPr>
          <w:rFonts w:ascii="Garamond" w:hAnsi="Garamond" w:cs="Arial"/>
          <w:sz w:val="24"/>
          <w:szCs w:val="24"/>
        </w:rPr>
        <w:t>,</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636301">
        <w:rPr>
          <w:rFonts w:ascii="Garamond" w:hAnsi="Garamond" w:cs="Arial"/>
          <w:sz w:val="24"/>
          <w:szCs w:val="24"/>
        </w:rPr>
        <w:t>,</w:t>
      </w:r>
      <w:r w:rsidR="00823BE0" w:rsidRPr="003A1174">
        <w:rPr>
          <w:rFonts w:ascii="Garamond" w:hAnsi="Garamond" w:cs="Arial"/>
          <w:sz w:val="24"/>
          <w:szCs w:val="24"/>
        </w:rPr>
        <w:t xml:space="preserve"> fundamentalmente</w:t>
      </w:r>
      <w:r w:rsidR="00636301">
        <w:rPr>
          <w:rFonts w:ascii="Garamond" w:hAnsi="Garamond" w:cs="Arial"/>
          <w:sz w:val="24"/>
          <w:szCs w:val="24"/>
        </w:rPr>
        <w:t>,</w:t>
      </w:r>
      <w:r w:rsidR="00823BE0" w:rsidRPr="003A1174">
        <w:rPr>
          <w:rFonts w:ascii="Garamond" w:hAnsi="Garamond" w:cs="Arial"/>
          <w:sz w:val="24"/>
          <w:szCs w:val="24"/>
        </w:rPr>
        <w:t xml:space="preserve"> </w:t>
      </w:r>
      <w:r w:rsidR="00497503" w:rsidRPr="003A1174">
        <w:rPr>
          <w:rFonts w:ascii="Garamond" w:hAnsi="Garamond" w:cs="Arial"/>
          <w:sz w:val="24"/>
          <w:szCs w:val="24"/>
        </w:rPr>
        <w:t>dos</w:t>
      </w:r>
      <w:r w:rsidR="00823BE0" w:rsidRPr="003A1174">
        <w:rPr>
          <w:rFonts w:ascii="Garamond" w:hAnsi="Garamond" w:cs="Arial"/>
          <w:sz w:val="24"/>
          <w:szCs w:val="24"/>
        </w:rPr>
        <w:t xml:space="preserve"> </w:t>
      </w:r>
      <w:r w:rsidR="006506C6" w:rsidRPr="003A1174">
        <w:rPr>
          <w:rFonts w:ascii="Garamond" w:hAnsi="Garamond" w:cs="Arial"/>
          <w:sz w:val="24"/>
          <w:szCs w:val="24"/>
        </w:rPr>
        <w:t>governo</w:t>
      </w:r>
      <w:r w:rsidR="00823BE0" w:rsidRPr="003A1174">
        <w:rPr>
          <w:rFonts w:ascii="Garamond" w:hAnsi="Garamond" w:cs="Arial"/>
          <w:sz w:val="24"/>
          <w:szCs w:val="24"/>
        </w:rPr>
        <w:t xml:space="preserve">s </w:t>
      </w:r>
      <w:r w:rsidR="00D75A07" w:rsidRPr="003A1174">
        <w:rPr>
          <w:rFonts w:ascii="Garamond" w:hAnsi="Garamond" w:cs="Arial"/>
          <w:sz w:val="24"/>
          <w:szCs w:val="24"/>
        </w:rPr>
        <w:t>locais</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86401D" w:rsidRPr="003A1174">
        <w:rPr>
          <w:rFonts w:ascii="Garamond" w:hAnsi="Garamond" w:cs="Arial"/>
          <w:sz w:val="24"/>
          <w:szCs w:val="24"/>
        </w:rPr>
        <w:t>regionais</w:t>
      </w:r>
      <w:r w:rsidR="00D9445F" w:rsidRPr="003A1174">
        <w:rPr>
          <w:rFonts w:ascii="Garamond" w:hAnsi="Garamond" w:cs="Arial"/>
          <w:sz w:val="24"/>
          <w:szCs w:val="24"/>
        </w:rPr>
        <w:t xml:space="preserve">, </w:t>
      </w:r>
      <w:r w:rsidR="00823BE0" w:rsidRPr="003A1174">
        <w:rPr>
          <w:rFonts w:ascii="Garamond" w:hAnsi="Garamond" w:cs="Arial"/>
          <w:sz w:val="24"/>
          <w:szCs w:val="24"/>
        </w:rPr>
        <w:t xml:space="preserve">a </w:t>
      </w:r>
      <w:r w:rsidR="00976FB8" w:rsidRPr="003A1174">
        <w:rPr>
          <w:rFonts w:ascii="Garamond" w:hAnsi="Garamond" w:cs="Arial"/>
          <w:sz w:val="24"/>
          <w:szCs w:val="24"/>
        </w:rPr>
        <w:t>instalação</w:t>
      </w:r>
      <w:r w:rsidR="00823BE0" w:rsidRPr="003A1174">
        <w:rPr>
          <w:rFonts w:ascii="Garamond" w:hAnsi="Garamond" w:cs="Arial"/>
          <w:sz w:val="24"/>
          <w:szCs w:val="24"/>
        </w:rPr>
        <w:t xml:space="preserve">, </w:t>
      </w:r>
      <w:proofErr w:type="gramStart"/>
      <w:r w:rsidR="006C760C" w:rsidRPr="003A1174">
        <w:rPr>
          <w:rFonts w:ascii="Garamond" w:hAnsi="Garamond" w:cs="Arial"/>
          <w:sz w:val="24"/>
          <w:szCs w:val="24"/>
        </w:rPr>
        <w:t>implementação</w:t>
      </w:r>
      <w:proofErr w:type="gramEnd"/>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FB09CA" w:rsidRPr="003A1174">
        <w:rPr>
          <w:rFonts w:ascii="Garamond" w:hAnsi="Garamond" w:cs="Arial"/>
          <w:sz w:val="24"/>
          <w:szCs w:val="24"/>
        </w:rPr>
        <w:t>funcionamento</w:t>
      </w:r>
      <w:r w:rsidR="00823BE0" w:rsidRPr="003A1174">
        <w:rPr>
          <w:rFonts w:ascii="Garamond" w:hAnsi="Garamond" w:cs="Arial"/>
          <w:sz w:val="24"/>
          <w:szCs w:val="24"/>
        </w:rPr>
        <w:t xml:space="preserve"> de lugares de </w:t>
      </w:r>
      <w:r w:rsidR="00D4144D" w:rsidRPr="003A1174">
        <w:rPr>
          <w:rFonts w:ascii="Garamond" w:hAnsi="Garamond" w:cs="Arial"/>
          <w:sz w:val="24"/>
          <w:szCs w:val="24"/>
        </w:rPr>
        <w:t>acolhimento</w:t>
      </w:r>
      <w:r w:rsidR="00823BE0" w:rsidRPr="003A1174">
        <w:rPr>
          <w:rFonts w:ascii="Garamond" w:hAnsi="Garamond" w:cs="Arial"/>
          <w:sz w:val="24"/>
          <w:szCs w:val="24"/>
        </w:rPr>
        <w:t xml:space="preserve"> </w:t>
      </w:r>
      <w:r w:rsidR="00141BA9" w:rsidRPr="003A1174">
        <w:rPr>
          <w:rFonts w:ascii="Garamond" w:hAnsi="Garamond" w:cs="Arial"/>
          <w:sz w:val="24"/>
          <w:szCs w:val="24"/>
        </w:rPr>
        <w:t>temporário</w:t>
      </w:r>
      <w:r w:rsidR="00823BE0" w:rsidRPr="003A1174">
        <w:rPr>
          <w:rFonts w:ascii="Garamond" w:hAnsi="Garamond" w:cs="Arial"/>
          <w:sz w:val="24"/>
          <w:szCs w:val="24"/>
        </w:rPr>
        <w:t xml:space="preserve"> que </w:t>
      </w:r>
      <w:r w:rsidR="009F0311" w:rsidRPr="003A1174">
        <w:rPr>
          <w:rFonts w:ascii="Garamond" w:hAnsi="Garamond" w:cs="Arial"/>
          <w:sz w:val="24"/>
          <w:szCs w:val="24"/>
        </w:rPr>
        <w:t xml:space="preserve">ofereçam </w:t>
      </w:r>
      <w:r w:rsidR="00886D6A" w:rsidRPr="003A1174">
        <w:rPr>
          <w:rFonts w:ascii="Garamond" w:hAnsi="Garamond" w:cs="Arial"/>
          <w:sz w:val="24"/>
          <w:szCs w:val="24"/>
        </w:rPr>
        <w:t>proteção</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8278C4" w:rsidRPr="003A1174">
        <w:rPr>
          <w:rFonts w:ascii="Garamond" w:hAnsi="Garamond" w:cs="Arial"/>
          <w:sz w:val="24"/>
          <w:szCs w:val="24"/>
        </w:rPr>
        <w:t>atenção</w:t>
      </w:r>
      <w:r w:rsidR="00823BE0" w:rsidRPr="003A1174">
        <w:rPr>
          <w:rFonts w:ascii="Garamond" w:hAnsi="Garamond" w:cs="Arial"/>
          <w:sz w:val="24"/>
          <w:szCs w:val="24"/>
        </w:rPr>
        <w:t xml:space="preserve"> </w:t>
      </w:r>
      <w:r w:rsidR="00BB2B00" w:rsidRPr="003A1174">
        <w:rPr>
          <w:rFonts w:ascii="Garamond" w:hAnsi="Garamond" w:cs="Arial"/>
          <w:sz w:val="24"/>
          <w:szCs w:val="24"/>
        </w:rPr>
        <w:t>à</w:t>
      </w:r>
      <w:r w:rsidR="00823BE0" w:rsidRPr="003A1174">
        <w:rPr>
          <w:rFonts w:ascii="Garamond" w:hAnsi="Garamond" w:cs="Arial"/>
          <w:sz w:val="24"/>
          <w:szCs w:val="24"/>
        </w:rPr>
        <w:t xml:space="preserve">s </w:t>
      </w:r>
      <w:r w:rsidR="003F012B" w:rsidRPr="003A1174">
        <w:rPr>
          <w:rFonts w:ascii="Garamond" w:hAnsi="Garamond" w:cs="Arial"/>
          <w:sz w:val="24"/>
          <w:szCs w:val="24"/>
        </w:rPr>
        <w:t>vítima</w:t>
      </w:r>
      <w:r w:rsidR="00823BE0" w:rsidRPr="003A1174">
        <w:rPr>
          <w:rFonts w:ascii="Garamond" w:hAnsi="Garamond" w:cs="Arial"/>
          <w:sz w:val="24"/>
          <w:szCs w:val="24"/>
        </w:rPr>
        <w:t xml:space="preserve">s de </w:t>
      </w:r>
      <w:r w:rsidR="000350B1" w:rsidRPr="003A1174">
        <w:rPr>
          <w:rFonts w:ascii="Garamond" w:hAnsi="Garamond" w:cs="Arial"/>
          <w:sz w:val="24"/>
          <w:szCs w:val="24"/>
        </w:rPr>
        <w:t>violência</w:t>
      </w:r>
      <w:r w:rsidR="0018372B" w:rsidRPr="003A1174">
        <w:rPr>
          <w:rFonts w:ascii="Garamond" w:hAnsi="Garamond" w:cs="Arial"/>
          <w:sz w:val="24"/>
          <w:szCs w:val="24"/>
        </w:rPr>
        <w:t>,</w:t>
      </w:r>
      <w:r w:rsidR="00823BE0" w:rsidRPr="003A1174">
        <w:rPr>
          <w:rFonts w:ascii="Garamond" w:hAnsi="Garamond" w:cs="Arial"/>
          <w:sz w:val="24"/>
          <w:szCs w:val="24"/>
        </w:rPr>
        <w:t xml:space="preserve"> </w:t>
      </w:r>
      <w:r w:rsidR="00D9445F" w:rsidRPr="003A1174">
        <w:rPr>
          <w:rFonts w:ascii="Garamond" w:hAnsi="Garamond" w:cs="Arial"/>
          <w:sz w:val="24"/>
          <w:szCs w:val="24"/>
        </w:rPr>
        <w:t xml:space="preserve">proporcionando a </w:t>
      </w:r>
      <w:r w:rsidR="00823BE0" w:rsidRPr="003A1174">
        <w:rPr>
          <w:rFonts w:ascii="Garamond" w:hAnsi="Garamond" w:cs="Arial"/>
          <w:sz w:val="24"/>
          <w:szCs w:val="24"/>
        </w:rPr>
        <w:t>su</w:t>
      </w:r>
      <w:r w:rsidR="00D9445F" w:rsidRPr="003A1174">
        <w:rPr>
          <w:rFonts w:ascii="Garamond" w:hAnsi="Garamond" w:cs="Arial"/>
          <w:sz w:val="24"/>
          <w:szCs w:val="24"/>
        </w:rPr>
        <w:t>a</w:t>
      </w:r>
      <w:r w:rsidR="00823BE0" w:rsidRPr="003A1174">
        <w:rPr>
          <w:rFonts w:ascii="Garamond" w:hAnsi="Garamond" w:cs="Arial"/>
          <w:sz w:val="24"/>
          <w:szCs w:val="24"/>
        </w:rPr>
        <w:t xml:space="preserve"> </w:t>
      </w:r>
      <w:r w:rsidR="00CF4C35" w:rsidRPr="003A1174">
        <w:rPr>
          <w:rFonts w:ascii="Garamond" w:hAnsi="Garamond" w:cs="Arial"/>
          <w:sz w:val="24"/>
          <w:szCs w:val="24"/>
        </w:rPr>
        <w:t>reabilitação</w:t>
      </w:r>
      <w:r w:rsidR="00823BE0" w:rsidRPr="003A1174">
        <w:rPr>
          <w:rFonts w:ascii="Garamond" w:hAnsi="Garamond" w:cs="Arial"/>
          <w:sz w:val="24"/>
          <w:szCs w:val="24"/>
        </w:rPr>
        <w:t xml:space="preserve"> integral.</w:t>
      </w:r>
    </w:p>
    <w:p w:rsidR="00823BE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t>Registo</w:t>
      </w:r>
      <w:r w:rsidR="00823BE0" w:rsidRPr="003A1174">
        <w:rPr>
          <w:rFonts w:ascii="Garamond" w:hAnsi="Garamond"/>
          <w:sz w:val="24"/>
          <w:szCs w:val="24"/>
        </w:rPr>
        <w:t xml:space="preserve"> de </w:t>
      </w:r>
      <w:r w:rsidR="0017447A" w:rsidRPr="003A1174">
        <w:rPr>
          <w:rFonts w:ascii="Garamond" w:hAnsi="Garamond"/>
          <w:sz w:val="24"/>
          <w:szCs w:val="24"/>
        </w:rPr>
        <w:t>informação</w:t>
      </w:r>
    </w:p>
    <w:p w:rsidR="00823BE0" w:rsidRPr="003A1174" w:rsidRDefault="00D9445F" w:rsidP="008719D4">
      <w:pPr>
        <w:spacing w:before="240" w:after="0" w:line="240" w:lineRule="auto"/>
        <w:jc w:val="both"/>
        <w:rPr>
          <w:rFonts w:ascii="Garamond" w:hAnsi="Garamond" w:cs="Arial"/>
          <w:sz w:val="24"/>
          <w:szCs w:val="24"/>
        </w:rPr>
      </w:pPr>
      <w:r w:rsidRPr="003A1174">
        <w:rPr>
          <w:rFonts w:ascii="Garamond" w:hAnsi="Garamond" w:cs="Arial"/>
          <w:sz w:val="24"/>
          <w:szCs w:val="24"/>
        </w:rPr>
        <w:t>A</w:t>
      </w:r>
      <w:r w:rsidR="00823BE0" w:rsidRPr="003A1174">
        <w:rPr>
          <w:rFonts w:ascii="Garamond" w:hAnsi="Garamond" w:cs="Arial"/>
          <w:sz w:val="24"/>
          <w:szCs w:val="24"/>
        </w:rPr>
        <w:t xml:space="preserve">s </w:t>
      </w:r>
      <w:r w:rsidR="00190B59" w:rsidRPr="003A1174">
        <w:rPr>
          <w:rFonts w:ascii="Garamond" w:hAnsi="Garamond" w:cs="Arial"/>
          <w:sz w:val="24"/>
          <w:szCs w:val="24"/>
        </w:rPr>
        <w:t>estatísticas</w:t>
      </w:r>
      <w:r w:rsidR="00823BE0" w:rsidRPr="003A1174">
        <w:rPr>
          <w:rFonts w:ascii="Garamond" w:hAnsi="Garamond" w:cs="Arial"/>
          <w:sz w:val="24"/>
          <w:szCs w:val="24"/>
        </w:rPr>
        <w:t xml:space="preserve"> que </w:t>
      </w:r>
      <w:r w:rsidR="00B5431B" w:rsidRPr="003A1174">
        <w:rPr>
          <w:rFonts w:ascii="Garamond" w:hAnsi="Garamond" w:cs="Arial"/>
          <w:sz w:val="24"/>
          <w:szCs w:val="24"/>
        </w:rPr>
        <w:t>existem</w:t>
      </w:r>
      <w:r w:rsidR="00823BE0" w:rsidRPr="003A1174">
        <w:rPr>
          <w:rFonts w:ascii="Garamond" w:hAnsi="Garamond" w:cs="Arial"/>
          <w:sz w:val="24"/>
          <w:szCs w:val="24"/>
        </w:rPr>
        <w:t xml:space="preserve"> </w:t>
      </w:r>
      <w:r w:rsidR="00D75A07" w:rsidRPr="003A1174">
        <w:rPr>
          <w:rFonts w:ascii="Garamond" w:hAnsi="Garamond" w:cs="Arial"/>
          <w:sz w:val="24"/>
          <w:szCs w:val="24"/>
        </w:rPr>
        <w:t>são</w:t>
      </w:r>
      <w:r w:rsidR="00823BE0" w:rsidRPr="003A1174">
        <w:rPr>
          <w:rFonts w:ascii="Garamond" w:hAnsi="Garamond" w:cs="Arial"/>
          <w:sz w:val="24"/>
          <w:szCs w:val="24"/>
        </w:rPr>
        <w:t xml:space="preserve"> emitidas por diversas </w:t>
      </w:r>
      <w:r w:rsidR="002C7510" w:rsidRPr="003A1174">
        <w:rPr>
          <w:rFonts w:ascii="Garamond" w:hAnsi="Garamond" w:cs="Arial"/>
          <w:sz w:val="24"/>
          <w:szCs w:val="24"/>
        </w:rPr>
        <w:t>instituições</w:t>
      </w:r>
      <w:r w:rsidR="00636301">
        <w:rPr>
          <w:rFonts w:ascii="Garamond" w:hAnsi="Garamond" w:cs="Arial"/>
          <w:sz w:val="24"/>
          <w:szCs w:val="24"/>
        </w:rPr>
        <w:t xml:space="preserve"> tais </w:t>
      </w:r>
      <w:r w:rsidRPr="003A1174">
        <w:rPr>
          <w:rFonts w:ascii="Garamond" w:hAnsi="Garamond" w:cs="Arial"/>
          <w:sz w:val="24"/>
          <w:szCs w:val="24"/>
        </w:rPr>
        <w:t xml:space="preserve">como </w:t>
      </w:r>
      <w:r w:rsidR="00823BE0" w:rsidRPr="003A1174">
        <w:rPr>
          <w:rFonts w:ascii="Garamond" w:hAnsi="Garamond" w:cs="Arial"/>
          <w:sz w:val="24"/>
          <w:szCs w:val="24"/>
        </w:rPr>
        <w:t xml:space="preserve">a </w:t>
      </w:r>
      <w:r w:rsidR="00CF42A3" w:rsidRPr="003A1174">
        <w:rPr>
          <w:rFonts w:ascii="Garamond" w:hAnsi="Garamond" w:cs="Arial"/>
          <w:sz w:val="24"/>
          <w:szCs w:val="24"/>
        </w:rPr>
        <w:t>Polícia</w:t>
      </w:r>
      <w:r w:rsidR="00823BE0" w:rsidRPr="003A1174">
        <w:rPr>
          <w:rFonts w:ascii="Garamond" w:hAnsi="Garamond" w:cs="Arial"/>
          <w:sz w:val="24"/>
          <w:szCs w:val="24"/>
        </w:rPr>
        <w:t xml:space="preserve"> Nacional, </w:t>
      </w:r>
      <w:r w:rsidRPr="003A1174">
        <w:rPr>
          <w:rFonts w:ascii="Garamond" w:hAnsi="Garamond" w:cs="Arial"/>
          <w:sz w:val="24"/>
          <w:szCs w:val="24"/>
        </w:rPr>
        <w:t>o</w:t>
      </w:r>
      <w:r w:rsidR="00823BE0" w:rsidRPr="003A1174">
        <w:rPr>
          <w:rFonts w:ascii="Garamond" w:hAnsi="Garamond" w:cs="Arial"/>
          <w:sz w:val="24"/>
          <w:szCs w:val="24"/>
        </w:rPr>
        <w:t xml:space="preserve"> </w:t>
      </w:r>
      <w:r w:rsidR="00D77C19" w:rsidRPr="003A1174">
        <w:rPr>
          <w:rFonts w:ascii="Garamond" w:hAnsi="Garamond" w:cs="Arial"/>
          <w:sz w:val="24"/>
          <w:szCs w:val="24"/>
        </w:rPr>
        <w:t>Ministério</w:t>
      </w:r>
      <w:r w:rsidR="00823BE0" w:rsidRPr="003A1174">
        <w:rPr>
          <w:rFonts w:ascii="Garamond" w:hAnsi="Garamond" w:cs="Arial"/>
          <w:sz w:val="24"/>
          <w:szCs w:val="24"/>
        </w:rPr>
        <w:t xml:space="preserve"> Público,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Pr="003A1174">
        <w:rPr>
          <w:rFonts w:ascii="Garamond" w:hAnsi="Garamond" w:cs="Arial"/>
          <w:sz w:val="24"/>
          <w:szCs w:val="24"/>
        </w:rPr>
        <w:t xml:space="preserve">o </w:t>
      </w:r>
      <w:r w:rsidR="00D77C19" w:rsidRPr="003A1174">
        <w:rPr>
          <w:rFonts w:ascii="Garamond" w:hAnsi="Garamond" w:cs="Arial"/>
          <w:sz w:val="24"/>
          <w:szCs w:val="24"/>
        </w:rPr>
        <w:t>Ministério</w:t>
      </w:r>
      <w:r w:rsidR="00823BE0" w:rsidRPr="003A1174">
        <w:rPr>
          <w:rFonts w:ascii="Garamond" w:hAnsi="Garamond" w:cs="Arial"/>
          <w:sz w:val="24"/>
          <w:szCs w:val="24"/>
        </w:rPr>
        <w:t xml:space="preserve"> da </w:t>
      </w:r>
      <w:r w:rsidR="00AF192F" w:rsidRPr="003A1174">
        <w:rPr>
          <w:rFonts w:ascii="Garamond" w:hAnsi="Garamond" w:cs="Arial"/>
          <w:sz w:val="24"/>
          <w:szCs w:val="24"/>
        </w:rPr>
        <w:t>Mulher</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w:t>
      </w:r>
      <w:r w:rsidR="0091213A" w:rsidRPr="003A1174">
        <w:rPr>
          <w:rFonts w:ascii="Garamond" w:hAnsi="Garamond" w:cs="Arial"/>
          <w:sz w:val="24"/>
          <w:szCs w:val="24"/>
        </w:rPr>
        <w:t>Populações</w:t>
      </w:r>
      <w:r w:rsidR="00823BE0" w:rsidRPr="003A1174">
        <w:rPr>
          <w:rFonts w:ascii="Garamond" w:hAnsi="Garamond" w:cs="Arial"/>
          <w:sz w:val="24"/>
          <w:szCs w:val="24"/>
        </w:rPr>
        <w:t xml:space="preserve"> </w:t>
      </w:r>
      <w:r w:rsidR="003F012B" w:rsidRPr="003A1174">
        <w:rPr>
          <w:rFonts w:ascii="Garamond" w:hAnsi="Garamond" w:cs="Arial"/>
          <w:sz w:val="24"/>
          <w:szCs w:val="24"/>
        </w:rPr>
        <w:t>Vulneráveis</w:t>
      </w:r>
      <w:r w:rsidR="005501B1" w:rsidRPr="003A1174">
        <w:rPr>
          <w:rFonts w:ascii="Garamond" w:hAnsi="Garamond" w:cs="Arial"/>
          <w:sz w:val="24"/>
          <w:szCs w:val="24"/>
        </w:rPr>
        <w:t>,</w:t>
      </w:r>
      <w:r w:rsidR="00823BE0" w:rsidRPr="003A1174">
        <w:rPr>
          <w:rFonts w:ascii="Garamond" w:hAnsi="Garamond" w:cs="Arial"/>
          <w:sz w:val="24"/>
          <w:szCs w:val="24"/>
        </w:rPr>
        <w:t xml:space="preserve"> </w:t>
      </w:r>
      <w:r w:rsidR="0074243F" w:rsidRPr="003A1174">
        <w:rPr>
          <w:rFonts w:ascii="Garamond" w:hAnsi="Garamond" w:cs="Arial"/>
          <w:sz w:val="24"/>
          <w:szCs w:val="24"/>
        </w:rPr>
        <w:t>mas</w:t>
      </w:r>
      <w:r w:rsidR="00823BE0" w:rsidRPr="003A1174">
        <w:rPr>
          <w:rFonts w:ascii="Garamond" w:hAnsi="Garamond" w:cs="Arial"/>
          <w:sz w:val="24"/>
          <w:szCs w:val="24"/>
        </w:rPr>
        <w:t xml:space="preserve"> </w:t>
      </w:r>
      <w:r w:rsidRPr="003A1174">
        <w:rPr>
          <w:rFonts w:ascii="Garamond" w:hAnsi="Garamond" w:cs="Arial"/>
          <w:sz w:val="24"/>
          <w:szCs w:val="24"/>
        </w:rPr>
        <w:t>trata-</w:t>
      </w:r>
      <w:r w:rsidR="00823BE0" w:rsidRPr="003A1174">
        <w:rPr>
          <w:rFonts w:ascii="Garamond" w:hAnsi="Garamond" w:cs="Arial"/>
          <w:sz w:val="24"/>
          <w:szCs w:val="24"/>
        </w:rPr>
        <w:t xml:space="preserve">se, </w:t>
      </w:r>
      <w:r w:rsidRPr="003A1174">
        <w:rPr>
          <w:rFonts w:ascii="Garamond" w:hAnsi="Garamond" w:cs="Arial"/>
          <w:sz w:val="24"/>
          <w:szCs w:val="24"/>
        </w:rPr>
        <w:t>infelizmente</w:t>
      </w:r>
      <w:r w:rsidR="00823BE0" w:rsidRPr="003A1174">
        <w:rPr>
          <w:rFonts w:ascii="Garamond" w:hAnsi="Garamond" w:cs="Arial"/>
          <w:sz w:val="24"/>
          <w:szCs w:val="24"/>
        </w:rPr>
        <w:t xml:space="preserve">, de </w:t>
      </w:r>
      <w:r w:rsidR="0017447A" w:rsidRPr="003A1174">
        <w:rPr>
          <w:rFonts w:ascii="Garamond" w:hAnsi="Garamond" w:cs="Arial"/>
          <w:sz w:val="24"/>
          <w:szCs w:val="24"/>
        </w:rPr>
        <w:t>informação</w:t>
      </w:r>
      <w:r w:rsidR="00823BE0" w:rsidRPr="003A1174">
        <w:rPr>
          <w:rFonts w:ascii="Garamond" w:hAnsi="Garamond" w:cs="Arial"/>
          <w:sz w:val="24"/>
          <w:szCs w:val="24"/>
        </w:rPr>
        <w:t xml:space="preserve"> d</w:t>
      </w:r>
      <w:r w:rsidRPr="003A1174">
        <w:rPr>
          <w:rFonts w:ascii="Garamond" w:hAnsi="Garamond" w:cs="Arial"/>
          <w:sz w:val="24"/>
          <w:szCs w:val="24"/>
        </w:rPr>
        <w:t xml:space="preserve">íspar </w:t>
      </w:r>
      <w:r w:rsidR="000672E8" w:rsidRPr="003A1174">
        <w:rPr>
          <w:rFonts w:ascii="Garamond" w:hAnsi="Garamond" w:cs="Arial"/>
          <w:sz w:val="24"/>
          <w:szCs w:val="24"/>
        </w:rPr>
        <w:t>e</w:t>
      </w:r>
      <w:r w:rsidR="00823BE0" w:rsidRPr="003A1174">
        <w:rPr>
          <w:rFonts w:ascii="Garamond" w:hAnsi="Garamond" w:cs="Arial"/>
          <w:sz w:val="24"/>
          <w:szCs w:val="24"/>
        </w:rPr>
        <w:t xml:space="preserve"> n</w:t>
      </w:r>
      <w:r w:rsidRPr="003A1174">
        <w:rPr>
          <w:rFonts w:ascii="Garamond" w:hAnsi="Garamond" w:cs="Arial"/>
          <w:sz w:val="24"/>
          <w:szCs w:val="24"/>
        </w:rPr>
        <w:t>ã</w:t>
      </w:r>
      <w:r w:rsidR="00823BE0" w:rsidRPr="003A1174">
        <w:rPr>
          <w:rFonts w:ascii="Garamond" w:hAnsi="Garamond" w:cs="Arial"/>
          <w:sz w:val="24"/>
          <w:szCs w:val="24"/>
        </w:rPr>
        <w:t>o congruente</w:t>
      </w:r>
      <w:r w:rsidR="00636301">
        <w:rPr>
          <w:rFonts w:ascii="Garamond" w:hAnsi="Garamond" w:cs="Arial"/>
          <w:sz w:val="24"/>
          <w:szCs w:val="24"/>
        </w:rPr>
        <w:t>,</w:t>
      </w:r>
      <w:r w:rsidRPr="003A1174">
        <w:rPr>
          <w:rFonts w:ascii="Garamond" w:hAnsi="Garamond" w:cs="Arial"/>
          <w:sz w:val="24"/>
          <w:szCs w:val="24"/>
        </w:rPr>
        <w:t xml:space="preserve"> o que também é muito preocupante</w:t>
      </w:r>
      <w:r w:rsidR="00823BE0" w:rsidRPr="003A1174">
        <w:rPr>
          <w:rFonts w:ascii="Garamond" w:hAnsi="Garamond" w:cs="Arial"/>
          <w:sz w:val="24"/>
          <w:szCs w:val="24"/>
        </w:rPr>
        <w:t>.</w:t>
      </w:r>
    </w:p>
    <w:p w:rsidR="00823BE0" w:rsidRPr="003A1174" w:rsidRDefault="00823BE0" w:rsidP="008719D4">
      <w:pPr>
        <w:spacing w:before="240" w:after="0" w:line="240" w:lineRule="auto"/>
        <w:jc w:val="both"/>
        <w:rPr>
          <w:rFonts w:ascii="Garamond" w:hAnsi="Garamond" w:cs="Arial"/>
          <w:sz w:val="24"/>
          <w:szCs w:val="24"/>
        </w:rPr>
      </w:pPr>
      <w:r w:rsidRPr="003A1174">
        <w:rPr>
          <w:rFonts w:ascii="Garamond" w:hAnsi="Garamond" w:cs="Arial"/>
          <w:sz w:val="24"/>
          <w:szCs w:val="24"/>
        </w:rPr>
        <w:t>A</w:t>
      </w:r>
      <w:r w:rsidR="00D9445F" w:rsidRPr="003A1174">
        <w:rPr>
          <w:rFonts w:ascii="Garamond" w:hAnsi="Garamond" w:cs="Arial"/>
          <w:sz w:val="24"/>
          <w:szCs w:val="24"/>
        </w:rPr>
        <w:t xml:space="preserve">té à </w:t>
      </w:r>
      <w:r w:rsidR="0074243F" w:rsidRPr="003A1174">
        <w:rPr>
          <w:rFonts w:ascii="Garamond" w:hAnsi="Garamond" w:cs="Arial"/>
          <w:sz w:val="24"/>
          <w:szCs w:val="24"/>
        </w:rPr>
        <w:t>data</w:t>
      </w:r>
      <w:r w:rsidR="00636301">
        <w:rPr>
          <w:rFonts w:ascii="Garamond" w:hAnsi="Garamond" w:cs="Arial"/>
          <w:sz w:val="24"/>
          <w:szCs w:val="24"/>
        </w:rPr>
        <w:t>,</w:t>
      </w:r>
      <w:r w:rsidR="00D9445F" w:rsidRPr="003A1174">
        <w:rPr>
          <w:rFonts w:ascii="Garamond" w:hAnsi="Garamond" w:cs="Arial"/>
          <w:sz w:val="24"/>
          <w:szCs w:val="24"/>
        </w:rPr>
        <w:t xml:space="preserve"> continu</w:t>
      </w:r>
      <w:r w:rsidRPr="003A1174">
        <w:rPr>
          <w:rFonts w:ascii="Garamond" w:hAnsi="Garamond" w:cs="Arial"/>
          <w:sz w:val="24"/>
          <w:szCs w:val="24"/>
        </w:rPr>
        <w:t>a pe</w:t>
      </w:r>
      <w:r w:rsidR="009F0311" w:rsidRPr="003A1174">
        <w:rPr>
          <w:rFonts w:ascii="Garamond" w:hAnsi="Garamond" w:cs="Arial"/>
          <w:sz w:val="24"/>
          <w:szCs w:val="24"/>
        </w:rPr>
        <w:t>nd</w:t>
      </w:r>
      <w:r w:rsidR="00D9445F" w:rsidRPr="003A1174">
        <w:rPr>
          <w:rFonts w:ascii="Garamond" w:hAnsi="Garamond" w:cs="Arial"/>
          <w:sz w:val="24"/>
          <w:szCs w:val="24"/>
        </w:rPr>
        <w:t xml:space="preserve">ente </w:t>
      </w:r>
      <w:r w:rsidRPr="003A1174">
        <w:rPr>
          <w:rFonts w:ascii="Garamond" w:hAnsi="Garamond" w:cs="Arial"/>
          <w:sz w:val="24"/>
          <w:szCs w:val="24"/>
        </w:rPr>
        <w:t xml:space="preserve">a </w:t>
      </w:r>
      <w:r w:rsidR="00201889" w:rsidRPr="003A1174">
        <w:rPr>
          <w:rFonts w:ascii="Garamond" w:hAnsi="Garamond" w:cs="Arial"/>
          <w:sz w:val="24"/>
          <w:szCs w:val="24"/>
        </w:rPr>
        <w:t>criação</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501083" w:rsidRPr="003A1174">
        <w:rPr>
          <w:rFonts w:ascii="Garamond" w:hAnsi="Garamond" w:cs="Arial"/>
          <w:sz w:val="24"/>
          <w:szCs w:val="24"/>
        </w:rPr>
        <w:t>adequada</w:t>
      </w:r>
      <w:r w:rsidRPr="003A1174">
        <w:rPr>
          <w:rFonts w:ascii="Garamond" w:hAnsi="Garamond" w:cs="Arial"/>
          <w:sz w:val="24"/>
          <w:szCs w:val="24"/>
        </w:rPr>
        <w:t xml:space="preserve"> </w:t>
      </w:r>
      <w:proofErr w:type="gramStart"/>
      <w:r w:rsidR="006C760C" w:rsidRPr="003A1174">
        <w:rPr>
          <w:rFonts w:ascii="Garamond" w:hAnsi="Garamond" w:cs="Arial"/>
          <w:sz w:val="24"/>
          <w:szCs w:val="24"/>
        </w:rPr>
        <w:t>implementação</w:t>
      </w:r>
      <w:proofErr w:type="gramEnd"/>
      <w:r w:rsidR="00D9445F" w:rsidRPr="003A1174">
        <w:rPr>
          <w:rFonts w:ascii="Garamond" w:hAnsi="Garamond" w:cs="Arial"/>
          <w:sz w:val="24"/>
          <w:szCs w:val="24"/>
        </w:rPr>
        <w:t xml:space="preserve"> de um</w:t>
      </w:r>
      <w:r w:rsidRPr="003A1174">
        <w:rPr>
          <w:rFonts w:ascii="Garamond" w:hAnsi="Garamond" w:cs="Arial"/>
          <w:sz w:val="24"/>
          <w:szCs w:val="24"/>
        </w:rPr>
        <w:t xml:space="preserve">a base de </w:t>
      </w:r>
      <w:r w:rsidR="00EE7406" w:rsidRPr="003A1174">
        <w:rPr>
          <w:rFonts w:ascii="Garamond" w:hAnsi="Garamond" w:cs="Arial"/>
          <w:sz w:val="24"/>
          <w:szCs w:val="24"/>
        </w:rPr>
        <w:t>dado</w:t>
      </w:r>
      <w:r w:rsidRPr="003A1174">
        <w:rPr>
          <w:rFonts w:ascii="Garamond" w:hAnsi="Garamond" w:cs="Arial"/>
          <w:sz w:val="24"/>
          <w:szCs w:val="24"/>
        </w:rPr>
        <w:t xml:space="preserve">s única sobre </w:t>
      </w:r>
      <w:r w:rsidR="000350B1" w:rsidRPr="003A1174">
        <w:rPr>
          <w:rFonts w:ascii="Garamond" w:hAnsi="Garamond" w:cs="Arial"/>
          <w:sz w:val="24"/>
          <w:szCs w:val="24"/>
        </w:rPr>
        <w:t>violência</w:t>
      </w:r>
      <w:r w:rsidRPr="003A1174">
        <w:rPr>
          <w:rFonts w:ascii="Garamond" w:hAnsi="Garamond" w:cs="Arial"/>
          <w:sz w:val="24"/>
          <w:szCs w:val="24"/>
        </w:rPr>
        <w:t xml:space="preserve"> de género de </w:t>
      </w:r>
      <w:r w:rsidR="00120915" w:rsidRPr="003A1174">
        <w:rPr>
          <w:rFonts w:ascii="Garamond" w:hAnsi="Garamond" w:cs="Arial"/>
          <w:sz w:val="24"/>
          <w:szCs w:val="24"/>
        </w:rPr>
        <w:t>caráter</w:t>
      </w:r>
      <w:r w:rsidRPr="003A1174">
        <w:rPr>
          <w:rFonts w:ascii="Garamond" w:hAnsi="Garamond" w:cs="Arial"/>
          <w:sz w:val="24"/>
          <w:szCs w:val="24"/>
        </w:rPr>
        <w:t xml:space="preserve"> unit</w:t>
      </w:r>
      <w:r w:rsidR="009F0311" w:rsidRPr="003A1174">
        <w:rPr>
          <w:rFonts w:ascii="Garamond" w:hAnsi="Garamond" w:cs="Arial"/>
          <w:sz w:val="24"/>
          <w:szCs w:val="24"/>
        </w:rPr>
        <w:t>á</w:t>
      </w:r>
      <w:r w:rsidRPr="003A1174">
        <w:rPr>
          <w:rFonts w:ascii="Garamond" w:hAnsi="Garamond" w:cs="Arial"/>
          <w:sz w:val="24"/>
          <w:szCs w:val="24"/>
        </w:rPr>
        <w:t xml:space="preserve">rio </w:t>
      </w:r>
      <w:r w:rsidR="000672E8" w:rsidRPr="003A1174">
        <w:rPr>
          <w:rFonts w:ascii="Garamond" w:hAnsi="Garamond" w:cs="Arial"/>
          <w:sz w:val="24"/>
          <w:szCs w:val="24"/>
        </w:rPr>
        <w:t>e</w:t>
      </w:r>
      <w:r w:rsidRPr="003A1174">
        <w:rPr>
          <w:rFonts w:ascii="Garamond" w:hAnsi="Garamond" w:cs="Arial"/>
          <w:sz w:val="24"/>
          <w:szCs w:val="24"/>
        </w:rPr>
        <w:t xml:space="preserve"> nacional</w:t>
      </w:r>
      <w:r w:rsidR="005501B1" w:rsidRPr="003A1174">
        <w:rPr>
          <w:rFonts w:ascii="Garamond" w:hAnsi="Garamond" w:cs="Arial"/>
          <w:sz w:val="24"/>
          <w:szCs w:val="24"/>
        </w:rPr>
        <w:t>,</w:t>
      </w:r>
      <w:r w:rsidRPr="003A1174">
        <w:rPr>
          <w:rFonts w:ascii="Garamond" w:hAnsi="Garamond" w:cs="Arial"/>
          <w:sz w:val="24"/>
          <w:szCs w:val="24"/>
        </w:rPr>
        <w:t xml:space="preserve"> que con</w:t>
      </w:r>
      <w:r w:rsidR="002D1021" w:rsidRPr="003A1174">
        <w:rPr>
          <w:rFonts w:ascii="Garamond" w:hAnsi="Garamond" w:cs="Arial"/>
          <w:sz w:val="24"/>
          <w:szCs w:val="24"/>
        </w:rPr>
        <w:t>tenha</w:t>
      </w:r>
      <w:r w:rsidRPr="003A1174">
        <w:rPr>
          <w:rFonts w:ascii="Garamond" w:hAnsi="Garamond" w:cs="Arial"/>
          <w:sz w:val="24"/>
          <w:szCs w:val="24"/>
        </w:rPr>
        <w:t xml:space="preserve"> </w:t>
      </w:r>
      <w:r w:rsidR="0017447A" w:rsidRPr="003A1174">
        <w:rPr>
          <w:rFonts w:ascii="Garamond" w:hAnsi="Garamond" w:cs="Arial"/>
          <w:sz w:val="24"/>
          <w:szCs w:val="24"/>
        </w:rPr>
        <w:t>informação</w:t>
      </w:r>
      <w:r w:rsidRPr="003A1174">
        <w:rPr>
          <w:rFonts w:ascii="Garamond" w:hAnsi="Garamond" w:cs="Arial"/>
          <w:sz w:val="24"/>
          <w:szCs w:val="24"/>
        </w:rPr>
        <w:t xml:space="preserve"> proveniente </w:t>
      </w:r>
      <w:r w:rsidR="00497503" w:rsidRPr="003A1174">
        <w:rPr>
          <w:rFonts w:ascii="Garamond" w:hAnsi="Garamond" w:cs="Arial"/>
          <w:sz w:val="24"/>
          <w:szCs w:val="24"/>
        </w:rPr>
        <w:t>dos</w:t>
      </w:r>
      <w:r w:rsidRPr="003A1174">
        <w:rPr>
          <w:rFonts w:ascii="Garamond" w:hAnsi="Garamond" w:cs="Arial"/>
          <w:sz w:val="24"/>
          <w:szCs w:val="24"/>
        </w:rPr>
        <w:t xml:space="preserve"> diversos </w:t>
      </w:r>
      <w:r w:rsidR="00B531F2" w:rsidRPr="003A1174">
        <w:rPr>
          <w:rFonts w:ascii="Garamond" w:hAnsi="Garamond" w:cs="Arial"/>
          <w:sz w:val="24"/>
          <w:szCs w:val="24"/>
        </w:rPr>
        <w:t>serviço</w:t>
      </w:r>
      <w:r w:rsidRPr="003A1174">
        <w:rPr>
          <w:rFonts w:ascii="Garamond" w:hAnsi="Garamond" w:cs="Arial"/>
          <w:sz w:val="24"/>
          <w:szCs w:val="24"/>
        </w:rPr>
        <w:t>s público</w:t>
      </w:r>
      <w:r w:rsidR="009F0311" w:rsidRPr="003A1174">
        <w:rPr>
          <w:rFonts w:ascii="Garamond" w:hAnsi="Garamond" w:cs="Arial"/>
          <w:sz w:val="24"/>
          <w:szCs w:val="24"/>
        </w:rPr>
        <w:t>s que at</w:t>
      </w:r>
      <w:r w:rsidRPr="003A1174">
        <w:rPr>
          <w:rFonts w:ascii="Garamond" w:hAnsi="Garamond" w:cs="Arial"/>
          <w:sz w:val="24"/>
          <w:szCs w:val="24"/>
        </w:rPr>
        <w:t>ende</w:t>
      </w:r>
      <w:r w:rsidR="009F0311" w:rsidRPr="003A1174">
        <w:rPr>
          <w:rFonts w:ascii="Garamond" w:hAnsi="Garamond" w:cs="Arial"/>
          <w:sz w:val="24"/>
          <w:szCs w:val="24"/>
        </w:rPr>
        <w:t xml:space="preserve">m </w:t>
      </w:r>
      <w:r w:rsidRPr="003A1174">
        <w:rPr>
          <w:rFonts w:ascii="Garamond" w:hAnsi="Garamond" w:cs="Arial"/>
          <w:sz w:val="24"/>
          <w:szCs w:val="24"/>
        </w:rPr>
        <w:t xml:space="preserve">as </w:t>
      </w:r>
      <w:r w:rsidR="00054EE0" w:rsidRPr="003A1174">
        <w:rPr>
          <w:rFonts w:ascii="Garamond" w:hAnsi="Garamond" w:cs="Arial"/>
          <w:sz w:val="24"/>
          <w:szCs w:val="24"/>
        </w:rPr>
        <w:t>mulheres</w:t>
      </w:r>
      <w:r w:rsidRPr="003A1174">
        <w:rPr>
          <w:rFonts w:ascii="Garamond" w:hAnsi="Garamond" w:cs="Arial"/>
          <w:sz w:val="24"/>
          <w:szCs w:val="24"/>
        </w:rPr>
        <w:t xml:space="preserve">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009F0311" w:rsidRPr="003A1174">
        <w:rPr>
          <w:rFonts w:ascii="Garamond" w:hAnsi="Garamond" w:cs="Arial"/>
          <w:sz w:val="24"/>
          <w:szCs w:val="24"/>
        </w:rPr>
        <w:t xml:space="preserve">, </w:t>
      </w:r>
      <w:r w:rsidR="00636301">
        <w:rPr>
          <w:rFonts w:ascii="Garamond" w:hAnsi="Garamond" w:cs="Arial"/>
          <w:sz w:val="24"/>
          <w:szCs w:val="24"/>
        </w:rPr>
        <w:t xml:space="preserve">tais </w:t>
      </w:r>
      <w:r w:rsidR="009F0311" w:rsidRPr="003A1174">
        <w:rPr>
          <w:rFonts w:ascii="Garamond" w:hAnsi="Garamond" w:cs="Arial"/>
          <w:sz w:val="24"/>
          <w:szCs w:val="24"/>
        </w:rPr>
        <w:t xml:space="preserve">como </w:t>
      </w:r>
      <w:r w:rsidRPr="003A1174">
        <w:rPr>
          <w:rFonts w:ascii="Garamond" w:hAnsi="Garamond" w:cs="Arial"/>
          <w:sz w:val="24"/>
          <w:szCs w:val="24"/>
        </w:rPr>
        <w:t xml:space="preserve">as autoridades </w:t>
      </w:r>
      <w:r w:rsidR="00636301">
        <w:rPr>
          <w:rFonts w:ascii="Garamond" w:hAnsi="Garamond" w:cs="Arial"/>
          <w:sz w:val="24"/>
          <w:szCs w:val="24"/>
        </w:rPr>
        <w:t>atrás</w:t>
      </w:r>
      <w:r w:rsidRPr="003A1174">
        <w:rPr>
          <w:rFonts w:ascii="Garamond" w:hAnsi="Garamond" w:cs="Arial"/>
          <w:sz w:val="24"/>
          <w:szCs w:val="24"/>
        </w:rPr>
        <w:t xml:space="preserve"> mencionadas </w:t>
      </w:r>
      <w:r w:rsidR="000672E8" w:rsidRPr="003A1174">
        <w:rPr>
          <w:rFonts w:ascii="Garamond" w:hAnsi="Garamond" w:cs="Arial"/>
          <w:sz w:val="24"/>
          <w:szCs w:val="24"/>
        </w:rPr>
        <w:t>e</w:t>
      </w:r>
      <w:r w:rsidRPr="003A1174">
        <w:rPr>
          <w:rFonts w:ascii="Garamond" w:hAnsi="Garamond" w:cs="Arial"/>
          <w:sz w:val="24"/>
          <w:szCs w:val="24"/>
        </w:rPr>
        <w:t xml:space="preserve"> </w:t>
      </w:r>
      <w:r w:rsidR="009F0311" w:rsidRPr="003A1174">
        <w:rPr>
          <w:rFonts w:ascii="Garamond" w:hAnsi="Garamond" w:cs="Arial"/>
          <w:sz w:val="24"/>
          <w:szCs w:val="24"/>
        </w:rPr>
        <w:t>o</w:t>
      </w:r>
      <w:r w:rsidRPr="003A1174">
        <w:rPr>
          <w:rFonts w:ascii="Garamond" w:hAnsi="Garamond" w:cs="Arial"/>
          <w:sz w:val="24"/>
          <w:szCs w:val="24"/>
        </w:rPr>
        <w:t xml:space="preserve"> Poder Judicial, </w:t>
      </w:r>
      <w:r w:rsidR="00D77C19" w:rsidRPr="003A1174">
        <w:rPr>
          <w:rFonts w:ascii="Garamond" w:hAnsi="Garamond" w:cs="Arial"/>
          <w:sz w:val="24"/>
          <w:szCs w:val="24"/>
        </w:rPr>
        <w:t>Ministério</w:t>
      </w:r>
      <w:r w:rsidRPr="003A1174">
        <w:rPr>
          <w:rFonts w:ascii="Garamond" w:hAnsi="Garamond" w:cs="Arial"/>
          <w:sz w:val="24"/>
          <w:szCs w:val="24"/>
        </w:rPr>
        <w:t xml:space="preserve"> d</w:t>
      </w:r>
      <w:r w:rsidR="009F0311" w:rsidRPr="003A1174">
        <w:rPr>
          <w:rFonts w:ascii="Garamond" w:hAnsi="Garamond" w:cs="Arial"/>
          <w:sz w:val="24"/>
          <w:szCs w:val="24"/>
        </w:rPr>
        <w:t xml:space="preserve">a </w:t>
      </w:r>
      <w:r w:rsidR="007C63D0" w:rsidRPr="003A1174">
        <w:rPr>
          <w:rFonts w:ascii="Garamond" w:hAnsi="Garamond" w:cs="Arial"/>
          <w:sz w:val="24"/>
          <w:szCs w:val="24"/>
        </w:rPr>
        <w:t>Saúde</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9F0311" w:rsidRPr="003A1174">
        <w:rPr>
          <w:rFonts w:ascii="Garamond" w:hAnsi="Garamond" w:cs="Arial"/>
          <w:sz w:val="24"/>
          <w:szCs w:val="24"/>
        </w:rPr>
        <w:t xml:space="preserve">o </w:t>
      </w:r>
      <w:r w:rsidR="00D77C19" w:rsidRPr="003A1174">
        <w:rPr>
          <w:rFonts w:ascii="Garamond" w:hAnsi="Garamond" w:cs="Arial"/>
          <w:sz w:val="24"/>
          <w:szCs w:val="24"/>
        </w:rPr>
        <w:t>Ministério</w:t>
      </w:r>
      <w:r w:rsidR="009F0311" w:rsidRPr="003A1174">
        <w:rPr>
          <w:rFonts w:ascii="Garamond" w:hAnsi="Garamond" w:cs="Arial"/>
          <w:sz w:val="24"/>
          <w:szCs w:val="24"/>
        </w:rPr>
        <w:t xml:space="preserve"> da</w:t>
      </w:r>
      <w:r w:rsidRPr="003A1174">
        <w:rPr>
          <w:rFonts w:ascii="Garamond" w:hAnsi="Garamond" w:cs="Arial"/>
          <w:sz w:val="24"/>
          <w:szCs w:val="24"/>
        </w:rPr>
        <w:t xml:space="preserve"> </w:t>
      </w:r>
      <w:r w:rsidR="00FC1F7F" w:rsidRPr="003A1174">
        <w:rPr>
          <w:rFonts w:ascii="Garamond" w:hAnsi="Garamond" w:cs="Arial"/>
          <w:sz w:val="24"/>
          <w:szCs w:val="24"/>
        </w:rPr>
        <w:t>Justiça</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886D6A" w:rsidRPr="003A1174">
        <w:rPr>
          <w:rFonts w:ascii="Garamond" w:hAnsi="Garamond" w:cs="Arial"/>
          <w:sz w:val="24"/>
          <w:szCs w:val="24"/>
        </w:rPr>
        <w:t>Direito</w:t>
      </w:r>
      <w:r w:rsidRPr="003A1174">
        <w:rPr>
          <w:rFonts w:ascii="Garamond" w:hAnsi="Garamond" w:cs="Arial"/>
          <w:sz w:val="24"/>
          <w:szCs w:val="24"/>
        </w:rPr>
        <w:t xml:space="preserve">s Humanos. </w:t>
      </w:r>
      <w:r w:rsidR="009F0311" w:rsidRPr="003A1174">
        <w:rPr>
          <w:rFonts w:ascii="Garamond" w:hAnsi="Garamond" w:cs="Arial"/>
          <w:sz w:val="24"/>
          <w:szCs w:val="24"/>
        </w:rPr>
        <w:t xml:space="preserve">É importante destacar </w:t>
      </w:r>
      <w:r w:rsidRPr="003A1174">
        <w:rPr>
          <w:rFonts w:ascii="Garamond" w:hAnsi="Garamond" w:cs="Arial"/>
          <w:sz w:val="24"/>
          <w:szCs w:val="24"/>
        </w:rPr>
        <w:t xml:space="preserve">que esta </w:t>
      </w:r>
      <w:r w:rsidR="00C965B4" w:rsidRPr="003A1174">
        <w:rPr>
          <w:rFonts w:ascii="Garamond" w:hAnsi="Garamond" w:cs="Arial"/>
          <w:sz w:val="24"/>
          <w:szCs w:val="24"/>
        </w:rPr>
        <w:t>recomendação</w:t>
      </w:r>
      <w:r w:rsidRPr="003A1174">
        <w:rPr>
          <w:rFonts w:ascii="Garamond" w:hAnsi="Garamond" w:cs="Arial"/>
          <w:sz w:val="24"/>
          <w:szCs w:val="24"/>
        </w:rPr>
        <w:t xml:space="preserve"> </w:t>
      </w:r>
      <w:r w:rsidR="009F0311" w:rsidRPr="003A1174">
        <w:rPr>
          <w:rFonts w:ascii="Garamond" w:hAnsi="Garamond" w:cs="Arial"/>
          <w:sz w:val="24"/>
          <w:szCs w:val="24"/>
        </w:rPr>
        <w:t xml:space="preserve">tem vindo a ser </w:t>
      </w:r>
      <w:r w:rsidRPr="003A1174">
        <w:rPr>
          <w:rFonts w:ascii="Garamond" w:hAnsi="Garamond" w:cs="Arial"/>
          <w:sz w:val="24"/>
          <w:szCs w:val="24"/>
        </w:rPr>
        <w:t>reiterada</w:t>
      </w:r>
      <w:r w:rsidR="00636301">
        <w:rPr>
          <w:rFonts w:ascii="Garamond" w:hAnsi="Garamond" w:cs="Arial"/>
          <w:sz w:val="24"/>
          <w:szCs w:val="24"/>
        </w:rPr>
        <w:t>,</w:t>
      </w:r>
      <w:r w:rsidRPr="003A1174">
        <w:rPr>
          <w:rFonts w:ascii="Garamond" w:hAnsi="Garamond" w:cs="Arial"/>
          <w:sz w:val="24"/>
          <w:szCs w:val="24"/>
        </w:rPr>
        <w:t xml:space="preserve"> </w:t>
      </w:r>
      <w:r w:rsidR="005501B1" w:rsidRPr="003A1174">
        <w:rPr>
          <w:rFonts w:ascii="Garamond" w:hAnsi="Garamond" w:cs="Arial"/>
          <w:sz w:val="24"/>
          <w:szCs w:val="24"/>
        </w:rPr>
        <w:t>insistentemente</w:t>
      </w:r>
      <w:r w:rsidR="00636301">
        <w:rPr>
          <w:rFonts w:ascii="Garamond" w:hAnsi="Garamond" w:cs="Arial"/>
          <w:sz w:val="24"/>
          <w:szCs w:val="24"/>
        </w:rPr>
        <w:t>,</w:t>
      </w:r>
      <w:r w:rsidR="005501B1" w:rsidRPr="003A1174">
        <w:rPr>
          <w:rFonts w:ascii="Garamond" w:hAnsi="Garamond" w:cs="Arial"/>
          <w:sz w:val="24"/>
          <w:szCs w:val="24"/>
        </w:rPr>
        <w:t xml:space="preserve"> </w:t>
      </w:r>
      <w:r w:rsidR="00275092" w:rsidRPr="003A1174">
        <w:rPr>
          <w:rFonts w:ascii="Garamond" w:hAnsi="Garamond" w:cs="Arial"/>
          <w:sz w:val="24"/>
          <w:szCs w:val="24"/>
        </w:rPr>
        <w:t>pela</w:t>
      </w:r>
      <w:r w:rsidRPr="003A1174">
        <w:rPr>
          <w:rFonts w:ascii="Garamond" w:hAnsi="Garamond" w:cs="Arial"/>
          <w:sz w:val="24"/>
          <w:szCs w:val="24"/>
        </w:rPr>
        <w:t xml:space="preserve"> </w:t>
      </w:r>
      <w:r w:rsidR="00C04CA4" w:rsidRPr="003A1174">
        <w:rPr>
          <w:rFonts w:ascii="Garamond" w:hAnsi="Garamond" w:cs="Arial"/>
          <w:sz w:val="24"/>
          <w:szCs w:val="24"/>
        </w:rPr>
        <w:t>Provedoria de Justiça</w:t>
      </w:r>
      <w:r w:rsidRPr="003A1174">
        <w:rPr>
          <w:rFonts w:ascii="Garamond" w:hAnsi="Garamond" w:cs="Arial"/>
          <w:sz w:val="24"/>
          <w:szCs w:val="24"/>
        </w:rPr>
        <w:t>.</w:t>
      </w:r>
    </w:p>
    <w:p w:rsidR="00823BE0" w:rsidRPr="003A1174" w:rsidRDefault="009F0311" w:rsidP="008719D4">
      <w:pPr>
        <w:spacing w:before="240" w:after="0" w:line="240" w:lineRule="auto"/>
        <w:jc w:val="both"/>
        <w:rPr>
          <w:rFonts w:ascii="Garamond" w:hAnsi="Garamond" w:cs="Arial"/>
          <w:sz w:val="24"/>
          <w:szCs w:val="24"/>
        </w:rPr>
      </w:pPr>
      <w:r w:rsidRPr="003A1174">
        <w:rPr>
          <w:rFonts w:ascii="Garamond" w:hAnsi="Garamond" w:cs="Arial"/>
          <w:sz w:val="24"/>
          <w:szCs w:val="24"/>
        </w:rPr>
        <w:t>Sem prejuízo do que precede</w:t>
      </w:r>
      <w:r w:rsidR="00823BE0" w:rsidRPr="003A1174">
        <w:rPr>
          <w:rFonts w:ascii="Garamond" w:hAnsi="Garamond" w:cs="Arial"/>
          <w:sz w:val="24"/>
          <w:szCs w:val="24"/>
        </w:rPr>
        <w:t xml:space="preserve">, </w:t>
      </w:r>
      <w:r w:rsidRPr="003A1174">
        <w:rPr>
          <w:rFonts w:ascii="Garamond" w:hAnsi="Garamond" w:cs="Arial"/>
          <w:sz w:val="24"/>
          <w:szCs w:val="24"/>
        </w:rPr>
        <w:t xml:space="preserve">vale a pena mencionar que </w:t>
      </w:r>
      <w:r w:rsidR="00823BE0"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00823BE0" w:rsidRPr="003A1174">
        <w:rPr>
          <w:rFonts w:ascii="Garamond" w:hAnsi="Garamond" w:cs="Arial"/>
          <w:sz w:val="24"/>
          <w:szCs w:val="24"/>
        </w:rPr>
        <w:t xml:space="preserve"> </w:t>
      </w:r>
      <w:r w:rsidRPr="003A1174">
        <w:rPr>
          <w:rFonts w:ascii="Garamond" w:hAnsi="Garamond" w:cs="Arial"/>
          <w:sz w:val="24"/>
          <w:szCs w:val="24"/>
        </w:rPr>
        <w:t xml:space="preserve">dispõe de um </w:t>
      </w:r>
      <w:r w:rsidR="00823BE0" w:rsidRPr="003A1174">
        <w:rPr>
          <w:rFonts w:ascii="Garamond" w:hAnsi="Garamond" w:cs="Arial"/>
          <w:sz w:val="24"/>
          <w:szCs w:val="24"/>
        </w:rPr>
        <w:t xml:space="preserve">Sistema de </w:t>
      </w:r>
      <w:r w:rsidR="0017447A" w:rsidRPr="003A1174">
        <w:rPr>
          <w:rFonts w:ascii="Garamond" w:hAnsi="Garamond" w:cs="Arial"/>
          <w:sz w:val="24"/>
          <w:szCs w:val="24"/>
        </w:rPr>
        <w:t>Informação</w:t>
      </w:r>
      <w:r w:rsidR="00823BE0" w:rsidRPr="003A1174">
        <w:rPr>
          <w:rFonts w:ascii="Garamond" w:hAnsi="Garamond" w:cs="Arial"/>
          <w:sz w:val="24"/>
          <w:szCs w:val="24"/>
        </w:rPr>
        <w:t xml:space="preserve"> Defens</w:t>
      </w:r>
      <w:r w:rsidRPr="003A1174">
        <w:rPr>
          <w:rFonts w:ascii="Garamond" w:hAnsi="Garamond" w:cs="Arial"/>
          <w:sz w:val="24"/>
          <w:szCs w:val="24"/>
        </w:rPr>
        <w:t xml:space="preserve">ório </w:t>
      </w:r>
      <w:r w:rsidR="00823BE0" w:rsidRPr="003A1174">
        <w:rPr>
          <w:rFonts w:ascii="Garamond" w:hAnsi="Garamond" w:cs="Arial"/>
          <w:sz w:val="24"/>
          <w:szCs w:val="24"/>
        </w:rPr>
        <w:t xml:space="preserve">(SID), a partir </w:t>
      </w:r>
      <w:r w:rsidR="00E85E59" w:rsidRPr="003A1174">
        <w:rPr>
          <w:rFonts w:ascii="Garamond" w:hAnsi="Garamond" w:cs="Arial"/>
          <w:sz w:val="24"/>
          <w:szCs w:val="24"/>
        </w:rPr>
        <w:t>do</w:t>
      </w:r>
      <w:r w:rsidRPr="003A1174">
        <w:rPr>
          <w:rFonts w:ascii="Garamond" w:hAnsi="Garamond" w:cs="Arial"/>
          <w:sz w:val="24"/>
          <w:szCs w:val="24"/>
        </w:rPr>
        <w:t xml:space="preserve"> q</w:t>
      </w:r>
      <w:r w:rsidR="00823BE0" w:rsidRPr="003A1174">
        <w:rPr>
          <w:rFonts w:ascii="Garamond" w:hAnsi="Garamond" w:cs="Arial"/>
          <w:sz w:val="24"/>
          <w:szCs w:val="24"/>
        </w:rPr>
        <w:t xml:space="preserve">ual se </w:t>
      </w:r>
      <w:r w:rsidR="00141BA9" w:rsidRPr="003A1174">
        <w:rPr>
          <w:rFonts w:ascii="Garamond" w:hAnsi="Garamond" w:cs="Arial"/>
          <w:sz w:val="24"/>
          <w:szCs w:val="24"/>
        </w:rPr>
        <w:t>registam</w:t>
      </w:r>
      <w:r w:rsidRPr="003A1174">
        <w:rPr>
          <w:rFonts w:ascii="Garamond" w:hAnsi="Garamond" w:cs="Arial"/>
          <w:sz w:val="24"/>
          <w:szCs w:val="24"/>
        </w:rPr>
        <w:t xml:space="preserve"> </w:t>
      </w:r>
      <w:r w:rsidR="00823BE0" w:rsidRPr="003A1174">
        <w:rPr>
          <w:rFonts w:ascii="Garamond" w:hAnsi="Garamond" w:cs="Arial"/>
          <w:sz w:val="24"/>
          <w:szCs w:val="24"/>
        </w:rPr>
        <w:t xml:space="preserve">as </w:t>
      </w:r>
      <w:r w:rsidR="009529F1" w:rsidRPr="003A1174">
        <w:rPr>
          <w:rFonts w:ascii="Garamond" w:hAnsi="Garamond" w:cs="Arial"/>
          <w:sz w:val="24"/>
          <w:szCs w:val="24"/>
        </w:rPr>
        <w:t>queixa</w:t>
      </w:r>
      <w:r w:rsidR="00823BE0" w:rsidRPr="003A1174">
        <w:rPr>
          <w:rFonts w:ascii="Garamond" w:hAnsi="Garamond" w:cs="Arial"/>
          <w:sz w:val="24"/>
          <w:szCs w:val="24"/>
        </w:rPr>
        <w:t xml:space="preserve">s que </w:t>
      </w:r>
      <w:r w:rsidRPr="003A1174">
        <w:rPr>
          <w:rFonts w:ascii="Garamond" w:hAnsi="Garamond" w:cs="Arial"/>
          <w:sz w:val="24"/>
          <w:szCs w:val="24"/>
        </w:rPr>
        <w:t xml:space="preserve">chegam de </w:t>
      </w:r>
      <w:r w:rsidR="00823BE0" w:rsidRPr="003A1174">
        <w:rPr>
          <w:rFonts w:ascii="Garamond" w:hAnsi="Garamond" w:cs="Arial"/>
          <w:sz w:val="24"/>
          <w:szCs w:val="24"/>
        </w:rPr>
        <w:t xml:space="preserve">todo </w:t>
      </w:r>
      <w:r w:rsidRPr="003A1174">
        <w:rPr>
          <w:rFonts w:ascii="Garamond" w:hAnsi="Garamond" w:cs="Arial"/>
          <w:sz w:val="24"/>
          <w:szCs w:val="24"/>
        </w:rPr>
        <w:t>o</w:t>
      </w:r>
      <w:r w:rsidR="00823BE0" w:rsidRPr="003A1174">
        <w:rPr>
          <w:rFonts w:ascii="Garamond" w:hAnsi="Garamond" w:cs="Arial"/>
          <w:sz w:val="24"/>
          <w:szCs w:val="24"/>
        </w:rPr>
        <w:t xml:space="preserve"> país</w:t>
      </w:r>
      <w:r w:rsidR="00636301">
        <w:rPr>
          <w:rFonts w:ascii="Garamond" w:hAnsi="Garamond" w:cs="Arial"/>
          <w:sz w:val="24"/>
          <w:szCs w:val="24"/>
        </w:rPr>
        <w:t>,</w:t>
      </w:r>
      <w:r w:rsidR="00823BE0" w:rsidRPr="003A1174">
        <w:rPr>
          <w:rFonts w:ascii="Garamond" w:hAnsi="Garamond" w:cs="Arial"/>
          <w:sz w:val="24"/>
          <w:szCs w:val="24"/>
        </w:rPr>
        <w:t xml:space="preserve"> </w:t>
      </w:r>
      <w:r w:rsidR="001F2F8B" w:rsidRPr="003A1174">
        <w:rPr>
          <w:rFonts w:ascii="Garamond" w:hAnsi="Garamond" w:cs="Arial"/>
          <w:sz w:val="24"/>
          <w:szCs w:val="24"/>
        </w:rPr>
        <w:t>re</w:t>
      </w:r>
      <w:r w:rsidRPr="003A1174">
        <w:rPr>
          <w:rFonts w:ascii="Garamond" w:hAnsi="Garamond" w:cs="Arial"/>
          <w:sz w:val="24"/>
          <w:szCs w:val="24"/>
        </w:rPr>
        <w:t>lativamente</w:t>
      </w:r>
      <w:r w:rsidR="00636301">
        <w:rPr>
          <w:rFonts w:ascii="Garamond" w:hAnsi="Garamond" w:cs="Arial"/>
          <w:sz w:val="24"/>
          <w:szCs w:val="24"/>
        </w:rPr>
        <w:t>,</w:t>
      </w:r>
      <w:r w:rsidRPr="003A1174">
        <w:rPr>
          <w:rFonts w:ascii="Garamond" w:hAnsi="Garamond" w:cs="Arial"/>
          <w:sz w:val="24"/>
          <w:szCs w:val="24"/>
        </w:rPr>
        <w:t xml:space="preserve"> a violações </w:t>
      </w:r>
      <w:r w:rsidR="00497503" w:rsidRPr="003A1174">
        <w:rPr>
          <w:rFonts w:ascii="Garamond" w:hAnsi="Garamond" w:cs="Arial"/>
          <w:sz w:val="24"/>
          <w:szCs w:val="24"/>
        </w:rPr>
        <w:t>dos</w:t>
      </w:r>
      <w:r w:rsidR="00823BE0" w:rsidRPr="003A1174">
        <w:rPr>
          <w:rFonts w:ascii="Garamond" w:hAnsi="Garamond" w:cs="Arial"/>
          <w:sz w:val="24"/>
          <w:szCs w:val="24"/>
        </w:rPr>
        <w:t xml:space="preserve"> </w:t>
      </w:r>
      <w:r w:rsidR="00886D6A" w:rsidRPr="003A1174">
        <w:rPr>
          <w:rFonts w:ascii="Garamond" w:hAnsi="Garamond" w:cs="Arial"/>
          <w:sz w:val="24"/>
          <w:szCs w:val="24"/>
        </w:rPr>
        <w:t>direito</w:t>
      </w:r>
      <w:r w:rsidR="00823BE0" w:rsidRPr="003A1174">
        <w:rPr>
          <w:rFonts w:ascii="Garamond" w:hAnsi="Garamond" w:cs="Arial"/>
          <w:sz w:val="24"/>
          <w:szCs w:val="24"/>
        </w:rPr>
        <w:t xml:space="preserve">s </w:t>
      </w:r>
      <w:r w:rsidR="00497503" w:rsidRPr="003A1174">
        <w:rPr>
          <w:rFonts w:ascii="Garamond" w:hAnsi="Garamond" w:cs="Arial"/>
          <w:sz w:val="24"/>
          <w:szCs w:val="24"/>
        </w:rPr>
        <w:t>das</w:t>
      </w:r>
      <w:r w:rsidR="00823BE0" w:rsidRPr="003A1174">
        <w:rPr>
          <w:rFonts w:ascii="Garamond" w:hAnsi="Garamond" w:cs="Arial"/>
          <w:sz w:val="24"/>
          <w:szCs w:val="24"/>
        </w:rPr>
        <w:t xml:space="preserve"> </w:t>
      </w:r>
      <w:r w:rsidR="00054EE0" w:rsidRPr="003A1174">
        <w:rPr>
          <w:rFonts w:ascii="Garamond" w:hAnsi="Garamond" w:cs="Arial"/>
          <w:sz w:val="24"/>
          <w:szCs w:val="24"/>
        </w:rPr>
        <w:t>mulheres</w:t>
      </w:r>
      <w:r w:rsidR="00823BE0" w:rsidRPr="003A1174">
        <w:rPr>
          <w:rFonts w:ascii="Garamond" w:hAnsi="Garamond" w:cs="Arial"/>
          <w:sz w:val="24"/>
          <w:szCs w:val="24"/>
        </w:rPr>
        <w:t xml:space="preserve"> cometidos </w:t>
      </w:r>
      <w:r w:rsidR="00275092" w:rsidRPr="003A1174">
        <w:rPr>
          <w:rFonts w:ascii="Garamond" w:hAnsi="Garamond" w:cs="Arial"/>
          <w:sz w:val="24"/>
          <w:szCs w:val="24"/>
        </w:rPr>
        <w:t>pela</w:t>
      </w:r>
      <w:r w:rsidR="00823BE0" w:rsidRPr="003A1174">
        <w:rPr>
          <w:rFonts w:ascii="Garamond" w:hAnsi="Garamond" w:cs="Arial"/>
          <w:sz w:val="24"/>
          <w:szCs w:val="24"/>
        </w:rPr>
        <w:t xml:space="preserve"> </w:t>
      </w:r>
      <w:r w:rsidR="00FB09CA" w:rsidRPr="003A1174">
        <w:rPr>
          <w:rFonts w:ascii="Garamond" w:hAnsi="Garamond" w:cs="Arial"/>
          <w:sz w:val="24"/>
          <w:szCs w:val="24"/>
        </w:rPr>
        <w:t>Administração</w:t>
      </w:r>
      <w:r w:rsidR="00823BE0" w:rsidRPr="003A1174">
        <w:rPr>
          <w:rFonts w:ascii="Garamond" w:hAnsi="Garamond" w:cs="Arial"/>
          <w:sz w:val="24"/>
          <w:szCs w:val="24"/>
        </w:rPr>
        <w:t xml:space="preserve"> estatal.  </w:t>
      </w:r>
    </w:p>
    <w:p w:rsidR="00823BE0" w:rsidRPr="003A1174" w:rsidRDefault="009859FC" w:rsidP="008719D4">
      <w:pPr>
        <w:pStyle w:val="Ttulo4"/>
        <w:spacing w:line="240" w:lineRule="auto"/>
        <w:rPr>
          <w:rFonts w:ascii="Garamond" w:hAnsi="Garamond"/>
          <w:sz w:val="24"/>
          <w:szCs w:val="24"/>
        </w:rPr>
      </w:pPr>
      <w:r w:rsidRPr="003A1174">
        <w:rPr>
          <w:rFonts w:ascii="Garamond" w:hAnsi="Garamond"/>
          <w:sz w:val="24"/>
          <w:szCs w:val="24"/>
        </w:rPr>
        <w:t>Melhoria</w:t>
      </w:r>
      <w:r w:rsidR="00823BE0" w:rsidRPr="003A1174">
        <w:rPr>
          <w:rFonts w:ascii="Garamond" w:hAnsi="Garamond"/>
          <w:sz w:val="24"/>
          <w:szCs w:val="24"/>
        </w:rPr>
        <w:t xml:space="preserve">s </w:t>
      </w:r>
      <w:r w:rsidR="009037D2">
        <w:rPr>
          <w:rFonts w:ascii="Garamond" w:hAnsi="Garamond"/>
          <w:sz w:val="24"/>
          <w:szCs w:val="24"/>
        </w:rPr>
        <w:t xml:space="preserve">na avaliação </w:t>
      </w:r>
      <w:r w:rsidR="00823BE0" w:rsidRPr="003A1174">
        <w:rPr>
          <w:rFonts w:ascii="Garamond" w:hAnsi="Garamond"/>
          <w:sz w:val="24"/>
          <w:szCs w:val="24"/>
        </w:rPr>
        <w:t>de d</w:t>
      </w:r>
      <w:r w:rsidR="002C7510" w:rsidRPr="003A1174">
        <w:rPr>
          <w:rFonts w:ascii="Garamond" w:hAnsi="Garamond"/>
          <w:sz w:val="24"/>
          <w:szCs w:val="24"/>
        </w:rPr>
        <w:t>ano</w:t>
      </w:r>
      <w:r w:rsidR="00823BE0" w:rsidRPr="003A1174">
        <w:rPr>
          <w:rFonts w:ascii="Garamond" w:hAnsi="Garamond"/>
          <w:sz w:val="24"/>
          <w:szCs w:val="24"/>
        </w:rPr>
        <w:t xml:space="preserve"> psicológico</w:t>
      </w:r>
    </w:p>
    <w:p w:rsidR="00823BE0" w:rsidRPr="003A1174" w:rsidRDefault="009F0311" w:rsidP="008719D4">
      <w:pPr>
        <w:pStyle w:val="Standard"/>
        <w:tabs>
          <w:tab w:val="left" w:pos="1088"/>
        </w:tabs>
        <w:autoSpaceDE w:val="0"/>
        <w:spacing w:before="240"/>
        <w:ind w:right="-234"/>
        <w:jc w:val="both"/>
        <w:rPr>
          <w:rFonts w:ascii="Garamond" w:hAnsi="Garamond" w:cs="Arial"/>
          <w:lang w:val="pt-PT"/>
        </w:rPr>
      </w:pPr>
      <w:r w:rsidRPr="003A1174">
        <w:rPr>
          <w:rFonts w:ascii="Garamond" w:hAnsi="Garamond" w:cs="Arial"/>
          <w:lang w:val="pt-PT"/>
        </w:rPr>
        <w:t xml:space="preserve">No </w:t>
      </w:r>
      <w:r w:rsidR="002C7510" w:rsidRPr="003A1174">
        <w:rPr>
          <w:rFonts w:ascii="Garamond" w:hAnsi="Garamond" w:cs="Arial"/>
          <w:lang w:val="pt-PT"/>
        </w:rPr>
        <w:t>ano</w:t>
      </w:r>
      <w:r w:rsidR="00823BE0" w:rsidRPr="003A1174">
        <w:rPr>
          <w:rFonts w:ascii="Garamond" w:hAnsi="Garamond" w:cs="Arial"/>
          <w:lang w:val="pt-PT"/>
        </w:rPr>
        <w:t xml:space="preserve"> </w:t>
      </w:r>
      <w:r w:rsidRPr="003A1174">
        <w:rPr>
          <w:rFonts w:ascii="Garamond" w:hAnsi="Garamond" w:cs="Arial"/>
          <w:lang w:val="pt-PT"/>
        </w:rPr>
        <w:t xml:space="preserve">de </w:t>
      </w:r>
      <w:r w:rsidR="00823BE0" w:rsidRPr="003A1174">
        <w:rPr>
          <w:rFonts w:ascii="Garamond" w:hAnsi="Garamond" w:cs="Arial"/>
          <w:lang w:val="pt-PT"/>
        </w:rPr>
        <w:t>2011</w:t>
      </w:r>
      <w:r w:rsidR="009037D2">
        <w:rPr>
          <w:rFonts w:ascii="Garamond" w:hAnsi="Garamond" w:cs="Arial"/>
          <w:lang w:val="pt-PT"/>
        </w:rPr>
        <w:t>,</w:t>
      </w:r>
      <w:r w:rsidR="00823BE0" w:rsidRPr="003A1174">
        <w:rPr>
          <w:rFonts w:ascii="Garamond" w:hAnsi="Garamond" w:cs="Arial"/>
          <w:lang w:val="pt-PT"/>
        </w:rPr>
        <w:t xml:space="preserve"> </w:t>
      </w:r>
      <w:r w:rsidR="00462B11" w:rsidRPr="003A1174">
        <w:rPr>
          <w:rFonts w:ascii="Garamond" w:hAnsi="Garamond" w:cs="Arial"/>
          <w:lang w:val="pt-PT"/>
        </w:rPr>
        <w:t>foi</w:t>
      </w:r>
      <w:r w:rsidR="00823BE0" w:rsidRPr="003A1174">
        <w:rPr>
          <w:rFonts w:ascii="Garamond" w:hAnsi="Garamond" w:cs="Arial"/>
          <w:lang w:val="pt-PT"/>
        </w:rPr>
        <w:t xml:space="preserve"> </w:t>
      </w:r>
      <w:r w:rsidR="00CD707D" w:rsidRPr="003A1174">
        <w:rPr>
          <w:rFonts w:ascii="Garamond" w:hAnsi="Garamond" w:cs="Arial"/>
          <w:lang w:val="pt-PT"/>
        </w:rPr>
        <w:t>aprovad</w:t>
      </w:r>
      <w:r w:rsidRPr="003A1174">
        <w:rPr>
          <w:rFonts w:ascii="Garamond" w:hAnsi="Garamond" w:cs="Arial"/>
          <w:lang w:val="pt-PT"/>
        </w:rPr>
        <w:t>o</w:t>
      </w:r>
      <w:r w:rsidR="00823BE0" w:rsidRPr="003A1174">
        <w:rPr>
          <w:rFonts w:ascii="Garamond" w:hAnsi="Garamond" w:cs="Arial"/>
          <w:lang w:val="pt-PT"/>
        </w:rPr>
        <w:t xml:space="preserve"> </w:t>
      </w:r>
      <w:r w:rsidR="005C2020" w:rsidRPr="003A1174">
        <w:rPr>
          <w:rFonts w:ascii="Garamond" w:hAnsi="Garamond" w:cs="Arial"/>
          <w:lang w:val="pt-PT"/>
        </w:rPr>
        <w:t>pelo</w:t>
      </w:r>
      <w:r w:rsidR="00823BE0" w:rsidRPr="003A1174">
        <w:rPr>
          <w:rFonts w:ascii="Garamond" w:hAnsi="Garamond" w:cs="Arial"/>
          <w:lang w:val="pt-PT"/>
        </w:rPr>
        <w:t xml:space="preserve"> </w:t>
      </w:r>
      <w:r w:rsidR="00D77C19" w:rsidRPr="003A1174">
        <w:rPr>
          <w:rFonts w:ascii="Garamond" w:hAnsi="Garamond" w:cs="Arial"/>
          <w:lang w:val="pt-PT"/>
        </w:rPr>
        <w:t>Ministério</w:t>
      </w:r>
      <w:r w:rsidR="00823BE0" w:rsidRPr="003A1174">
        <w:rPr>
          <w:rFonts w:ascii="Garamond" w:hAnsi="Garamond" w:cs="Arial"/>
          <w:lang w:val="pt-PT"/>
        </w:rPr>
        <w:t xml:space="preserve"> Público </w:t>
      </w:r>
      <w:r w:rsidRPr="003A1174">
        <w:rPr>
          <w:rFonts w:ascii="Garamond" w:hAnsi="Garamond" w:cs="Arial"/>
          <w:lang w:val="pt-PT"/>
        </w:rPr>
        <w:t xml:space="preserve">o </w:t>
      </w:r>
      <w:r w:rsidR="00501083" w:rsidRPr="003A1174">
        <w:rPr>
          <w:rFonts w:ascii="Garamond" w:hAnsi="Garamond" w:cs="Arial"/>
          <w:lang w:val="pt-PT"/>
        </w:rPr>
        <w:t>Guia</w:t>
      </w:r>
      <w:r w:rsidR="00823BE0" w:rsidRPr="003A1174">
        <w:rPr>
          <w:rFonts w:ascii="Garamond" w:hAnsi="Garamond" w:cs="Arial"/>
          <w:lang w:val="pt-PT"/>
        </w:rPr>
        <w:t xml:space="preserve"> de </w:t>
      </w:r>
      <w:r w:rsidR="00EE7406" w:rsidRPr="003A1174">
        <w:rPr>
          <w:rFonts w:ascii="Garamond" w:hAnsi="Garamond" w:cs="Arial"/>
          <w:lang w:val="pt-PT"/>
        </w:rPr>
        <w:t>Avaliação</w:t>
      </w:r>
      <w:r w:rsidR="00823BE0" w:rsidRPr="003A1174">
        <w:rPr>
          <w:rFonts w:ascii="Garamond" w:hAnsi="Garamond" w:cs="Arial"/>
          <w:lang w:val="pt-PT"/>
        </w:rPr>
        <w:t xml:space="preserve"> </w:t>
      </w:r>
      <w:r w:rsidR="00E85E59" w:rsidRPr="003A1174">
        <w:rPr>
          <w:rFonts w:ascii="Garamond" w:hAnsi="Garamond" w:cs="Arial"/>
          <w:lang w:val="pt-PT"/>
        </w:rPr>
        <w:t>do</w:t>
      </w:r>
      <w:r w:rsidR="00823BE0" w:rsidRPr="003A1174">
        <w:rPr>
          <w:rFonts w:ascii="Garamond" w:hAnsi="Garamond" w:cs="Arial"/>
          <w:lang w:val="pt-PT"/>
        </w:rPr>
        <w:t xml:space="preserve"> d</w:t>
      </w:r>
      <w:r w:rsidR="002C7510" w:rsidRPr="003A1174">
        <w:rPr>
          <w:rFonts w:ascii="Garamond" w:hAnsi="Garamond" w:cs="Arial"/>
          <w:lang w:val="pt-PT"/>
        </w:rPr>
        <w:t>ano</w:t>
      </w:r>
      <w:r w:rsidR="00823BE0" w:rsidRPr="003A1174">
        <w:rPr>
          <w:rFonts w:ascii="Garamond" w:hAnsi="Garamond" w:cs="Arial"/>
          <w:lang w:val="pt-PT"/>
        </w:rPr>
        <w:t xml:space="preserve"> psíquico e</w:t>
      </w:r>
      <w:r w:rsidRPr="003A1174">
        <w:rPr>
          <w:rFonts w:ascii="Garamond" w:hAnsi="Garamond" w:cs="Arial"/>
          <w:lang w:val="pt-PT"/>
        </w:rPr>
        <w:t>m</w:t>
      </w:r>
      <w:r w:rsidR="00823BE0" w:rsidRPr="003A1174">
        <w:rPr>
          <w:rFonts w:ascii="Garamond" w:hAnsi="Garamond" w:cs="Arial"/>
          <w:lang w:val="pt-PT"/>
        </w:rPr>
        <w:t xml:space="preserve"> </w:t>
      </w:r>
      <w:r w:rsidR="003F012B" w:rsidRPr="003A1174">
        <w:rPr>
          <w:rFonts w:ascii="Garamond" w:hAnsi="Garamond" w:cs="Arial"/>
          <w:lang w:val="pt-PT"/>
        </w:rPr>
        <w:t>vítima</w:t>
      </w:r>
      <w:r w:rsidR="00823BE0" w:rsidRPr="003A1174">
        <w:rPr>
          <w:rFonts w:ascii="Garamond" w:hAnsi="Garamond" w:cs="Arial"/>
          <w:lang w:val="pt-PT"/>
        </w:rPr>
        <w:t xml:space="preserve">s adultas de </w:t>
      </w:r>
      <w:r w:rsidR="000350B1" w:rsidRPr="003A1174">
        <w:rPr>
          <w:rFonts w:ascii="Garamond" w:hAnsi="Garamond" w:cs="Arial"/>
          <w:lang w:val="pt-PT"/>
        </w:rPr>
        <w:t>violência</w:t>
      </w:r>
      <w:r w:rsidR="00823BE0" w:rsidRPr="003A1174">
        <w:rPr>
          <w:rFonts w:ascii="Garamond" w:hAnsi="Garamond" w:cs="Arial"/>
          <w:lang w:val="pt-PT"/>
        </w:rPr>
        <w:t xml:space="preserve"> familiar, sexual, tortura </w:t>
      </w:r>
      <w:r w:rsidR="000672E8" w:rsidRPr="003A1174">
        <w:rPr>
          <w:rFonts w:ascii="Garamond" w:hAnsi="Garamond" w:cs="Arial"/>
          <w:lang w:val="pt-PT"/>
        </w:rPr>
        <w:t>e</w:t>
      </w:r>
      <w:r w:rsidR="00823BE0" w:rsidRPr="003A1174">
        <w:rPr>
          <w:rFonts w:ascii="Garamond" w:hAnsi="Garamond" w:cs="Arial"/>
          <w:lang w:val="pt-PT"/>
        </w:rPr>
        <w:t xml:space="preserve"> </w:t>
      </w:r>
      <w:r w:rsidR="0017447A" w:rsidRPr="003A1174">
        <w:rPr>
          <w:rFonts w:ascii="Garamond" w:hAnsi="Garamond" w:cs="Arial"/>
          <w:lang w:val="pt-PT"/>
        </w:rPr>
        <w:t>outras</w:t>
      </w:r>
      <w:r w:rsidR="00823BE0" w:rsidRPr="003A1174">
        <w:rPr>
          <w:rFonts w:ascii="Garamond" w:hAnsi="Garamond" w:cs="Arial"/>
          <w:lang w:val="pt-PT"/>
        </w:rPr>
        <w:t xml:space="preserve"> formas de </w:t>
      </w:r>
      <w:r w:rsidR="000350B1" w:rsidRPr="003A1174">
        <w:rPr>
          <w:rFonts w:ascii="Garamond" w:hAnsi="Garamond" w:cs="Arial"/>
          <w:lang w:val="pt-PT"/>
        </w:rPr>
        <w:t>violência</w:t>
      </w:r>
      <w:r w:rsidR="00823BE0" w:rsidRPr="003A1174">
        <w:rPr>
          <w:rFonts w:ascii="Garamond" w:hAnsi="Garamond" w:cs="Arial"/>
          <w:lang w:val="pt-PT"/>
        </w:rPr>
        <w:t xml:space="preserve"> intencional (</w:t>
      </w:r>
      <w:r w:rsidR="00CD707D" w:rsidRPr="003A1174">
        <w:rPr>
          <w:rFonts w:ascii="Garamond" w:eastAsia="Arial" w:hAnsi="Garamond" w:cs="Arial"/>
          <w:bCs/>
          <w:lang w:val="pt-PT"/>
        </w:rPr>
        <w:t>aprovad</w:t>
      </w:r>
      <w:r w:rsidR="00823BE0" w:rsidRPr="003A1174">
        <w:rPr>
          <w:rFonts w:ascii="Garamond" w:eastAsia="Arial" w:hAnsi="Garamond" w:cs="Arial"/>
          <w:bCs/>
          <w:lang w:val="pt-PT"/>
        </w:rPr>
        <w:t xml:space="preserve">a por </w:t>
      </w:r>
      <w:r w:rsidR="003F012B" w:rsidRPr="003A1174">
        <w:rPr>
          <w:rFonts w:ascii="Garamond" w:eastAsia="Arial" w:hAnsi="Garamond" w:cs="Arial"/>
          <w:bCs/>
          <w:lang w:val="pt-PT"/>
        </w:rPr>
        <w:t>Resolução</w:t>
      </w:r>
      <w:r w:rsidR="00823BE0" w:rsidRPr="003A1174">
        <w:rPr>
          <w:rFonts w:ascii="Garamond" w:eastAsia="Arial" w:hAnsi="Garamond" w:cs="Arial"/>
          <w:bCs/>
          <w:lang w:val="pt-PT"/>
        </w:rPr>
        <w:t xml:space="preserve"> da </w:t>
      </w:r>
      <w:r w:rsidRPr="00EA2345">
        <w:rPr>
          <w:rFonts w:ascii="Garamond" w:eastAsia="Arial" w:hAnsi="Garamond" w:cs="Arial"/>
          <w:bCs/>
          <w:lang w:val="pt-PT"/>
        </w:rPr>
        <w:t xml:space="preserve">Procuradoria </w:t>
      </w:r>
      <w:r w:rsidR="00EA2345" w:rsidRPr="00EA2345">
        <w:rPr>
          <w:rFonts w:ascii="Garamond" w:eastAsia="Arial" w:hAnsi="Garamond" w:cs="Arial"/>
          <w:bCs/>
          <w:lang w:val="pt-PT"/>
        </w:rPr>
        <w:t>d</w:t>
      </w:r>
      <w:r w:rsidR="00823BE0" w:rsidRPr="00EA2345">
        <w:rPr>
          <w:rFonts w:ascii="Garamond" w:eastAsia="Arial" w:hAnsi="Garamond" w:cs="Arial"/>
          <w:bCs/>
          <w:lang w:val="pt-PT"/>
        </w:rPr>
        <w:t xml:space="preserve">a </w:t>
      </w:r>
      <w:r w:rsidR="006E0719" w:rsidRPr="00EA2345">
        <w:rPr>
          <w:rFonts w:ascii="Garamond" w:eastAsia="Arial" w:hAnsi="Garamond" w:cs="Arial"/>
          <w:bCs/>
          <w:lang w:val="pt-PT"/>
        </w:rPr>
        <w:t>Nação</w:t>
      </w:r>
      <w:r w:rsidR="00823BE0" w:rsidRPr="003A1174">
        <w:rPr>
          <w:rFonts w:ascii="Garamond" w:eastAsia="Arial" w:hAnsi="Garamond" w:cs="Arial"/>
          <w:bCs/>
          <w:lang w:val="pt-PT"/>
        </w:rPr>
        <w:t xml:space="preserve"> N</w:t>
      </w:r>
      <w:r w:rsidR="009037D2">
        <w:rPr>
          <w:rFonts w:ascii="Garamond" w:eastAsia="Arial" w:hAnsi="Garamond" w:cs="Arial"/>
          <w:bCs/>
          <w:lang w:val="pt-PT"/>
        </w:rPr>
        <w:t>.</w:t>
      </w:r>
      <w:r w:rsidR="00823BE0" w:rsidRPr="003A1174">
        <w:rPr>
          <w:rFonts w:ascii="Garamond" w:eastAsia="Arial" w:hAnsi="Garamond" w:cs="Arial"/>
          <w:bCs/>
          <w:lang w:val="pt-PT"/>
        </w:rPr>
        <w:t xml:space="preserve">° 2543-2011-MP-FN, publicada </w:t>
      </w:r>
      <w:r w:rsidRPr="003A1174">
        <w:rPr>
          <w:rFonts w:ascii="Garamond" w:eastAsia="Arial" w:hAnsi="Garamond" w:cs="Arial"/>
          <w:bCs/>
          <w:lang w:val="pt-PT"/>
        </w:rPr>
        <w:t xml:space="preserve">a </w:t>
      </w:r>
      <w:r w:rsidR="00823BE0" w:rsidRPr="003A1174">
        <w:rPr>
          <w:rFonts w:ascii="Garamond" w:eastAsia="Arial" w:hAnsi="Garamond" w:cs="Arial"/>
          <w:bCs/>
          <w:lang w:val="pt-PT"/>
        </w:rPr>
        <w:t xml:space="preserve">26 de </w:t>
      </w:r>
      <w:r w:rsidR="0094067E" w:rsidRPr="003A1174">
        <w:rPr>
          <w:rFonts w:ascii="Garamond" w:eastAsia="Arial" w:hAnsi="Garamond" w:cs="Arial"/>
          <w:bCs/>
          <w:lang w:val="pt-PT"/>
        </w:rPr>
        <w:t>dezembro</w:t>
      </w:r>
      <w:r w:rsidR="00823BE0" w:rsidRPr="003A1174">
        <w:rPr>
          <w:rFonts w:ascii="Garamond" w:eastAsia="Arial" w:hAnsi="Garamond" w:cs="Arial"/>
          <w:bCs/>
          <w:lang w:val="pt-PT"/>
        </w:rPr>
        <w:t xml:space="preserve"> de 2011). </w:t>
      </w:r>
      <w:r w:rsidRPr="003A1174">
        <w:rPr>
          <w:rFonts w:ascii="Garamond" w:hAnsi="Garamond" w:cs="Arial"/>
          <w:lang w:val="pt-PT"/>
        </w:rPr>
        <w:t xml:space="preserve">Para </w:t>
      </w:r>
      <w:r w:rsidR="00823BE0" w:rsidRPr="003A1174">
        <w:rPr>
          <w:rFonts w:ascii="Garamond" w:hAnsi="Garamond" w:cs="Arial"/>
          <w:lang w:val="pt-PT"/>
        </w:rPr>
        <w:t xml:space="preserve">a </w:t>
      </w:r>
      <w:r w:rsidR="00C04CA4" w:rsidRPr="003A1174">
        <w:rPr>
          <w:rFonts w:ascii="Garamond" w:hAnsi="Garamond" w:cs="Arial"/>
          <w:lang w:val="pt-PT"/>
        </w:rPr>
        <w:t>Provedoria de Justiça</w:t>
      </w:r>
      <w:r w:rsidR="00823BE0" w:rsidRPr="003A1174">
        <w:rPr>
          <w:rFonts w:ascii="Garamond" w:hAnsi="Garamond" w:cs="Arial"/>
          <w:lang w:val="pt-PT"/>
        </w:rPr>
        <w:t xml:space="preserve"> </w:t>
      </w:r>
      <w:r w:rsidR="00E85E59" w:rsidRPr="003A1174">
        <w:rPr>
          <w:rFonts w:ascii="Garamond" w:hAnsi="Garamond" w:cs="Arial"/>
          <w:lang w:val="pt-PT"/>
        </w:rPr>
        <w:t>do</w:t>
      </w:r>
      <w:r w:rsidR="00823BE0" w:rsidRPr="003A1174">
        <w:rPr>
          <w:rFonts w:ascii="Garamond" w:hAnsi="Garamond" w:cs="Arial"/>
          <w:lang w:val="pt-PT"/>
        </w:rPr>
        <w:t xml:space="preserve"> </w:t>
      </w:r>
      <w:r w:rsidR="00C30647" w:rsidRPr="003A1174">
        <w:rPr>
          <w:rFonts w:ascii="Garamond" w:hAnsi="Garamond" w:cs="Arial"/>
          <w:lang w:val="pt-PT"/>
        </w:rPr>
        <w:t>Peru</w:t>
      </w:r>
      <w:r w:rsidR="005501B1" w:rsidRPr="003A1174">
        <w:rPr>
          <w:rFonts w:ascii="Garamond" w:hAnsi="Garamond" w:cs="Arial"/>
          <w:lang w:val="pt-PT"/>
        </w:rPr>
        <w:t>,</w:t>
      </w:r>
      <w:r w:rsidR="00823BE0" w:rsidRPr="003A1174">
        <w:rPr>
          <w:rFonts w:ascii="Garamond" w:hAnsi="Garamond" w:cs="Arial"/>
          <w:lang w:val="pt-PT"/>
        </w:rPr>
        <w:t xml:space="preserve"> </w:t>
      </w:r>
      <w:r w:rsidRPr="003A1174">
        <w:rPr>
          <w:rFonts w:ascii="Garamond" w:hAnsi="Garamond" w:cs="Arial"/>
          <w:lang w:val="pt-PT"/>
        </w:rPr>
        <w:t xml:space="preserve">é </w:t>
      </w:r>
      <w:r w:rsidR="00823BE0" w:rsidRPr="003A1174">
        <w:rPr>
          <w:rFonts w:ascii="Garamond" w:hAnsi="Garamond" w:cs="Arial"/>
          <w:lang w:val="pt-PT"/>
        </w:rPr>
        <w:t>preocupante que</w:t>
      </w:r>
      <w:r w:rsidR="009037D2">
        <w:rPr>
          <w:rFonts w:ascii="Garamond" w:hAnsi="Garamond" w:cs="Arial"/>
          <w:lang w:val="pt-PT"/>
        </w:rPr>
        <w:t>,</w:t>
      </w:r>
      <w:r w:rsidR="00823BE0" w:rsidRPr="003A1174">
        <w:rPr>
          <w:rFonts w:ascii="Garamond" w:hAnsi="Garamond" w:cs="Arial"/>
          <w:lang w:val="pt-PT"/>
        </w:rPr>
        <w:t xml:space="preserve"> </w:t>
      </w:r>
      <w:r w:rsidRPr="003A1174">
        <w:rPr>
          <w:rFonts w:ascii="Garamond" w:hAnsi="Garamond" w:cs="Arial"/>
          <w:lang w:val="pt-PT"/>
        </w:rPr>
        <w:t xml:space="preserve">tendo decorrido já </w:t>
      </w:r>
      <w:r w:rsidR="00823BE0" w:rsidRPr="003A1174">
        <w:rPr>
          <w:rFonts w:ascii="Garamond" w:hAnsi="Garamond" w:cs="Arial"/>
          <w:lang w:val="pt-PT"/>
        </w:rPr>
        <w:t xml:space="preserve">3 </w:t>
      </w:r>
      <w:r w:rsidR="002C7510" w:rsidRPr="003A1174">
        <w:rPr>
          <w:rFonts w:ascii="Garamond" w:hAnsi="Garamond" w:cs="Arial"/>
          <w:lang w:val="pt-PT"/>
        </w:rPr>
        <w:t>ano</w:t>
      </w:r>
      <w:r w:rsidR="00823BE0" w:rsidRPr="003A1174">
        <w:rPr>
          <w:rFonts w:ascii="Garamond" w:hAnsi="Garamond" w:cs="Arial"/>
          <w:lang w:val="pt-PT"/>
        </w:rPr>
        <w:t>s, a</w:t>
      </w:r>
      <w:r w:rsidRPr="003A1174">
        <w:rPr>
          <w:rFonts w:ascii="Garamond" w:hAnsi="Garamond" w:cs="Arial"/>
          <w:lang w:val="pt-PT"/>
        </w:rPr>
        <w:t xml:space="preserve">inda não se tenha conseguido </w:t>
      </w:r>
      <w:r w:rsidR="00823BE0" w:rsidRPr="003A1174">
        <w:rPr>
          <w:rFonts w:ascii="Garamond" w:hAnsi="Garamond" w:cs="Arial"/>
          <w:lang w:val="pt-PT"/>
        </w:rPr>
        <w:t xml:space="preserve">implementar, entre </w:t>
      </w:r>
      <w:r w:rsidR="0017447A" w:rsidRPr="003A1174">
        <w:rPr>
          <w:rFonts w:ascii="Garamond" w:hAnsi="Garamond" w:cs="Arial"/>
          <w:lang w:val="pt-PT"/>
        </w:rPr>
        <w:t>outras</w:t>
      </w:r>
      <w:r w:rsidR="00823BE0" w:rsidRPr="003A1174">
        <w:rPr>
          <w:rFonts w:ascii="Garamond" w:hAnsi="Garamond" w:cs="Arial"/>
          <w:lang w:val="pt-PT"/>
        </w:rPr>
        <w:t xml:space="preserve"> </w:t>
      </w:r>
      <w:r w:rsidR="009D5ED8" w:rsidRPr="003A1174">
        <w:rPr>
          <w:rFonts w:ascii="Garamond" w:hAnsi="Garamond" w:cs="Arial"/>
          <w:lang w:val="pt-PT"/>
        </w:rPr>
        <w:t>razões</w:t>
      </w:r>
      <w:r w:rsidR="009037D2">
        <w:rPr>
          <w:rFonts w:ascii="Garamond" w:hAnsi="Garamond" w:cs="Arial"/>
          <w:lang w:val="pt-PT"/>
        </w:rPr>
        <w:t xml:space="preserve">, </w:t>
      </w:r>
      <w:r w:rsidR="00823BE0" w:rsidRPr="003A1174">
        <w:rPr>
          <w:rFonts w:ascii="Garamond" w:hAnsi="Garamond" w:cs="Arial"/>
          <w:lang w:val="pt-PT"/>
        </w:rPr>
        <w:t xml:space="preserve">por falta de </w:t>
      </w:r>
      <w:r w:rsidR="00946348" w:rsidRPr="003A1174">
        <w:rPr>
          <w:rFonts w:ascii="Garamond" w:hAnsi="Garamond" w:cs="Arial"/>
          <w:lang w:val="pt-PT"/>
        </w:rPr>
        <w:t>orçamento</w:t>
      </w:r>
      <w:r w:rsidR="009037D2">
        <w:rPr>
          <w:rFonts w:ascii="Garamond" w:hAnsi="Garamond" w:cs="Arial"/>
          <w:lang w:val="pt-PT"/>
        </w:rPr>
        <w:t>,</w:t>
      </w:r>
      <w:r w:rsidR="00823BE0" w:rsidRPr="003A1174">
        <w:rPr>
          <w:rFonts w:ascii="Garamond" w:hAnsi="Garamond" w:cs="Arial"/>
          <w:lang w:val="pt-PT"/>
        </w:rPr>
        <w:t xml:space="preserve"> </w:t>
      </w:r>
      <w:r w:rsidR="009037D2">
        <w:rPr>
          <w:rFonts w:ascii="Garamond" w:hAnsi="Garamond" w:cs="Arial"/>
          <w:lang w:val="pt-PT"/>
        </w:rPr>
        <w:t>as medidas em causa.</w:t>
      </w:r>
    </w:p>
    <w:p w:rsidR="00823BE0" w:rsidRPr="003A1174" w:rsidRDefault="001B7D0B" w:rsidP="008719D4">
      <w:pPr>
        <w:pStyle w:val="Ttulo4"/>
        <w:spacing w:line="240" w:lineRule="auto"/>
        <w:rPr>
          <w:rFonts w:ascii="Garamond" w:hAnsi="Garamond"/>
          <w:sz w:val="24"/>
          <w:szCs w:val="24"/>
        </w:rPr>
      </w:pPr>
      <w:r>
        <w:rPr>
          <w:rFonts w:ascii="Garamond" w:hAnsi="Garamond"/>
          <w:sz w:val="24"/>
          <w:szCs w:val="24"/>
        </w:rPr>
        <w:t>Formação</w:t>
      </w:r>
      <w:r w:rsidR="00823BE0" w:rsidRPr="003A1174">
        <w:rPr>
          <w:rFonts w:ascii="Garamond" w:hAnsi="Garamond"/>
          <w:sz w:val="24"/>
          <w:szCs w:val="24"/>
        </w:rPr>
        <w:t>/</w:t>
      </w:r>
      <w:r w:rsidR="00976FB8" w:rsidRPr="003A1174">
        <w:rPr>
          <w:rFonts w:ascii="Garamond" w:hAnsi="Garamond"/>
          <w:sz w:val="24"/>
          <w:szCs w:val="24"/>
        </w:rPr>
        <w:t>sensibilização</w:t>
      </w:r>
      <w:r w:rsidR="00823BE0" w:rsidRPr="003A1174">
        <w:rPr>
          <w:rFonts w:ascii="Garamond" w:hAnsi="Garamond"/>
          <w:sz w:val="24"/>
          <w:szCs w:val="24"/>
        </w:rPr>
        <w:t xml:space="preserve"> </w:t>
      </w:r>
      <w:r w:rsidR="009F0311" w:rsidRPr="003A1174">
        <w:rPr>
          <w:rFonts w:ascii="Garamond" w:hAnsi="Garamond"/>
          <w:sz w:val="24"/>
          <w:szCs w:val="24"/>
        </w:rPr>
        <w:t>de</w:t>
      </w:r>
      <w:r w:rsidR="00823BE0" w:rsidRPr="003A1174">
        <w:rPr>
          <w:rFonts w:ascii="Garamond" w:hAnsi="Garamond"/>
          <w:sz w:val="24"/>
          <w:szCs w:val="24"/>
        </w:rPr>
        <w:t xml:space="preserve"> operadores </w:t>
      </w:r>
      <w:r w:rsidR="00E85E59" w:rsidRPr="003A1174">
        <w:rPr>
          <w:rFonts w:ascii="Garamond" w:hAnsi="Garamond"/>
          <w:sz w:val="24"/>
          <w:szCs w:val="24"/>
        </w:rPr>
        <w:t>do</w:t>
      </w:r>
      <w:r w:rsidR="00823BE0" w:rsidRPr="003A1174">
        <w:rPr>
          <w:rFonts w:ascii="Garamond" w:hAnsi="Garamond"/>
          <w:sz w:val="24"/>
          <w:szCs w:val="24"/>
        </w:rPr>
        <w:t xml:space="preserve"> </w:t>
      </w:r>
      <w:r w:rsidR="000D7B87">
        <w:rPr>
          <w:rFonts w:ascii="Garamond" w:hAnsi="Garamond"/>
          <w:sz w:val="24"/>
          <w:szCs w:val="24"/>
        </w:rPr>
        <w:t>S</w:t>
      </w:r>
      <w:r w:rsidR="00823BE0" w:rsidRPr="003A1174">
        <w:rPr>
          <w:rFonts w:ascii="Garamond" w:hAnsi="Garamond"/>
          <w:sz w:val="24"/>
          <w:szCs w:val="24"/>
        </w:rPr>
        <w:t xml:space="preserve">istema </w:t>
      </w:r>
      <w:r>
        <w:rPr>
          <w:rFonts w:ascii="Garamond" w:hAnsi="Garamond"/>
          <w:sz w:val="24"/>
          <w:szCs w:val="24"/>
        </w:rPr>
        <w:t>Judicial</w:t>
      </w:r>
    </w:p>
    <w:p w:rsidR="00823BE0" w:rsidRPr="003A1174" w:rsidRDefault="009F0311" w:rsidP="009F0311">
      <w:pPr>
        <w:pStyle w:val="NormalWeb"/>
        <w:spacing w:before="240" w:beforeAutospacing="0"/>
        <w:jc w:val="both"/>
        <w:rPr>
          <w:rFonts w:ascii="Garamond" w:hAnsi="Garamond" w:cs="Arial"/>
          <w:lang w:val="pt-PT"/>
        </w:rPr>
      </w:pPr>
      <w:r w:rsidRPr="003A1174">
        <w:rPr>
          <w:rFonts w:ascii="Garamond" w:hAnsi="Garamond" w:cs="Arial"/>
          <w:lang w:val="pt-PT"/>
        </w:rPr>
        <w:t>E</w:t>
      </w:r>
      <w:r w:rsidR="001C315D" w:rsidRPr="003A1174">
        <w:rPr>
          <w:rFonts w:ascii="Garamond" w:hAnsi="Garamond" w:cs="Arial"/>
          <w:lang w:val="pt-PT"/>
        </w:rPr>
        <w:t>m</w:t>
      </w:r>
      <w:r w:rsidRPr="003A1174">
        <w:rPr>
          <w:rFonts w:ascii="Garamond" w:hAnsi="Garamond" w:cs="Arial"/>
          <w:lang w:val="pt-PT"/>
        </w:rPr>
        <w:t xml:space="preserve"> jeito de </w:t>
      </w:r>
      <w:r w:rsidR="00823BE0" w:rsidRPr="003A1174">
        <w:rPr>
          <w:rFonts w:ascii="Garamond" w:hAnsi="Garamond" w:cs="Arial"/>
          <w:lang w:val="pt-PT"/>
        </w:rPr>
        <w:t>antecedente</w:t>
      </w:r>
      <w:r w:rsidRPr="003A1174">
        <w:rPr>
          <w:rFonts w:ascii="Garamond" w:hAnsi="Garamond" w:cs="Arial"/>
          <w:lang w:val="pt-PT"/>
        </w:rPr>
        <w:t xml:space="preserve">, é </w:t>
      </w:r>
      <w:r w:rsidR="005501B1" w:rsidRPr="003A1174">
        <w:rPr>
          <w:rFonts w:ascii="Garamond" w:hAnsi="Garamond" w:cs="Arial"/>
          <w:lang w:val="pt-PT"/>
        </w:rPr>
        <w:t>conveniente</w:t>
      </w:r>
      <w:r w:rsidR="00823BE0" w:rsidRPr="003A1174">
        <w:rPr>
          <w:rFonts w:ascii="Garamond" w:hAnsi="Garamond" w:cs="Arial"/>
          <w:lang w:val="pt-PT"/>
        </w:rPr>
        <w:t xml:space="preserve"> indicar que</w:t>
      </w:r>
      <w:r w:rsidR="00917B2C">
        <w:rPr>
          <w:rFonts w:ascii="Garamond" w:hAnsi="Garamond" w:cs="Arial"/>
          <w:lang w:val="pt-PT"/>
        </w:rPr>
        <w:t>,</w:t>
      </w:r>
      <w:r w:rsidR="00823BE0" w:rsidRPr="003A1174">
        <w:rPr>
          <w:rFonts w:ascii="Garamond" w:hAnsi="Garamond" w:cs="Arial"/>
          <w:lang w:val="pt-PT"/>
        </w:rPr>
        <w:t xml:space="preserve"> e</w:t>
      </w:r>
      <w:r w:rsidRPr="003A1174">
        <w:rPr>
          <w:rFonts w:ascii="Garamond" w:hAnsi="Garamond" w:cs="Arial"/>
          <w:lang w:val="pt-PT"/>
        </w:rPr>
        <w:t xml:space="preserve">m </w:t>
      </w:r>
      <w:r w:rsidR="00823BE0" w:rsidRPr="003A1174">
        <w:rPr>
          <w:rFonts w:ascii="Garamond" w:hAnsi="Garamond" w:cs="Arial"/>
          <w:lang w:val="pt-PT"/>
        </w:rPr>
        <w:t>2012</w:t>
      </w:r>
      <w:r w:rsidR="00917B2C">
        <w:rPr>
          <w:rFonts w:ascii="Garamond" w:hAnsi="Garamond" w:cs="Arial"/>
          <w:lang w:val="pt-PT"/>
        </w:rPr>
        <w:t>,</w:t>
      </w:r>
      <w:r w:rsidR="00823BE0" w:rsidRPr="003A1174">
        <w:rPr>
          <w:rFonts w:ascii="Garamond" w:hAnsi="Garamond" w:cs="Arial"/>
          <w:lang w:val="pt-PT"/>
        </w:rPr>
        <w:t xml:space="preserve"> se </w:t>
      </w:r>
      <w:r w:rsidRPr="003A1174">
        <w:rPr>
          <w:rFonts w:ascii="Garamond" w:hAnsi="Garamond" w:cs="Arial"/>
          <w:lang w:val="pt-PT"/>
        </w:rPr>
        <w:t xml:space="preserve">assinou um Acordo </w:t>
      </w:r>
      <w:r w:rsidR="00823BE0" w:rsidRPr="003A1174">
        <w:rPr>
          <w:rFonts w:ascii="Garamond" w:hAnsi="Garamond" w:cs="Arial"/>
          <w:lang w:val="pt-PT"/>
        </w:rPr>
        <w:t xml:space="preserve">de </w:t>
      </w:r>
      <w:r w:rsidR="00C30647" w:rsidRPr="003A1174">
        <w:rPr>
          <w:rFonts w:ascii="Garamond" w:hAnsi="Garamond" w:cs="Arial"/>
          <w:lang w:val="pt-PT"/>
        </w:rPr>
        <w:t>Cooperação</w:t>
      </w:r>
      <w:r w:rsidRPr="003A1174">
        <w:rPr>
          <w:rFonts w:ascii="Garamond" w:hAnsi="Garamond" w:cs="Arial"/>
          <w:lang w:val="pt-PT"/>
        </w:rPr>
        <w:t xml:space="preserve"> Interinstitucional entre </w:t>
      </w:r>
      <w:r w:rsidR="00823BE0" w:rsidRPr="003A1174">
        <w:rPr>
          <w:rFonts w:ascii="Garamond" w:hAnsi="Garamond" w:cs="Arial"/>
          <w:lang w:val="pt-PT"/>
        </w:rPr>
        <w:t xml:space="preserve">a </w:t>
      </w:r>
      <w:r w:rsidR="00C04CA4" w:rsidRPr="003A1174">
        <w:rPr>
          <w:rFonts w:ascii="Garamond" w:hAnsi="Garamond" w:cs="Arial"/>
          <w:lang w:val="pt-PT"/>
        </w:rPr>
        <w:t>Provedoria de Justiça</w:t>
      </w:r>
      <w:r w:rsidR="00823BE0" w:rsidRPr="003A1174">
        <w:rPr>
          <w:rFonts w:ascii="Garamond" w:hAnsi="Garamond" w:cs="Arial"/>
          <w:lang w:val="pt-PT"/>
        </w:rPr>
        <w:t xml:space="preserve"> </w:t>
      </w:r>
      <w:r w:rsidR="000672E8" w:rsidRPr="003A1174">
        <w:rPr>
          <w:rFonts w:ascii="Garamond" w:hAnsi="Garamond" w:cs="Arial"/>
          <w:lang w:val="pt-PT"/>
        </w:rPr>
        <w:t>e</w:t>
      </w:r>
      <w:r w:rsidRPr="003A1174">
        <w:rPr>
          <w:rFonts w:ascii="Garamond" w:hAnsi="Garamond" w:cs="Arial"/>
          <w:lang w:val="pt-PT"/>
        </w:rPr>
        <w:t xml:space="preserve"> </w:t>
      </w:r>
      <w:r w:rsidR="00823BE0" w:rsidRPr="003A1174">
        <w:rPr>
          <w:rFonts w:ascii="Garamond" w:hAnsi="Garamond" w:cs="Arial"/>
          <w:lang w:val="pt-PT"/>
        </w:rPr>
        <w:t>a Academia Nacional da Magistratura</w:t>
      </w:r>
      <w:r w:rsidR="005501B1" w:rsidRPr="003A1174">
        <w:rPr>
          <w:rFonts w:ascii="Garamond" w:hAnsi="Garamond" w:cs="Arial"/>
          <w:lang w:val="pt-PT"/>
        </w:rPr>
        <w:t>,</w:t>
      </w:r>
      <w:r w:rsidR="00823BE0" w:rsidRPr="003A1174">
        <w:rPr>
          <w:rStyle w:val="Refdenotaalpie"/>
          <w:rFonts w:ascii="Garamond" w:hAnsi="Garamond" w:cs="Arial"/>
        </w:rPr>
        <w:footnoteReference w:id="132"/>
      </w:r>
      <w:r w:rsidR="005501B1" w:rsidRPr="003A1174">
        <w:rPr>
          <w:rFonts w:ascii="Garamond" w:hAnsi="Garamond" w:cs="Arial"/>
          <w:lang w:val="pt-PT"/>
        </w:rPr>
        <w:t xml:space="preserve"> </w:t>
      </w:r>
      <w:r w:rsidRPr="003A1174">
        <w:rPr>
          <w:rFonts w:ascii="Garamond" w:hAnsi="Garamond" w:cs="Arial"/>
          <w:lang w:val="pt-PT"/>
        </w:rPr>
        <w:t>propondo-</w:t>
      </w:r>
      <w:r w:rsidR="00823BE0" w:rsidRPr="003A1174">
        <w:rPr>
          <w:rFonts w:ascii="Garamond" w:hAnsi="Garamond" w:cs="Arial"/>
          <w:lang w:val="pt-PT"/>
        </w:rPr>
        <w:t>se</w:t>
      </w:r>
      <w:r w:rsidR="00917B2C">
        <w:rPr>
          <w:rFonts w:ascii="Garamond" w:hAnsi="Garamond" w:cs="Arial"/>
          <w:lang w:val="pt-PT"/>
        </w:rPr>
        <w:t>,</w:t>
      </w:r>
      <w:r w:rsidR="00823BE0" w:rsidRPr="003A1174">
        <w:rPr>
          <w:rFonts w:ascii="Garamond" w:hAnsi="Garamond" w:cs="Arial"/>
          <w:lang w:val="pt-PT"/>
        </w:rPr>
        <w:t xml:space="preserve"> como objetivo</w:t>
      </w:r>
      <w:r w:rsidR="00917B2C">
        <w:rPr>
          <w:rFonts w:ascii="Garamond" w:hAnsi="Garamond" w:cs="Arial"/>
          <w:lang w:val="pt-PT"/>
        </w:rPr>
        <w:t>,</w:t>
      </w:r>
      <w:r w:rsidR="00823BE0" w:rsidRPr="003A1174">
        <w:rPr>
          <w:rFonts w:ascii="Garamond" w:hAnsi="Garamond" w:cs="Arial"/>
          <w:lang w:val="pt-PT"/>
        </w:rPr>
        <w:t xml:space="preserve"> </w:t>
      </w:r>
      <w:r w:rsidRPr="003A1174">
        <w:rPr>
          <w:rFonts w:ascii="Garamond" w:hAnsi="Garamond" w:cs="Arial"/>
          <w:lang w:val="pt-PT"/>
        </w:rPr>
        <w:t xml:space="preserve">a conceção </w:t>
      </w:r>
      <w:r w:rsidR="00823BE0" w:rsidRPr="003A1174">
        <w:rPr>
          <w:rFonts w:ascii="Garamond" w:hAnsi="Garamond" w:cs="Arial"/>
          <w:lang w:val="pt-PT"/>
        </w:rPr>
        <w:t xml:space="preserve">e </w:t>
      </w:r>
      <w:proofErr w:type="gramStart"/>
      <w:r w:rsidR="006C760C" w:rsidRPr="003A1174">
        <w:rPr>
          <w:rFonts w:ascii="Garamond" w:hAnsi="Garamond" w:cs="Arial"/>
          <w:lang w:val="pt-PT"/>
        </w:rPr>
        <w:t>implementação</w:t>
      </w:r>
      <w:proofErr w:type="gramEnd"/>
      <w:r w:rsidR="00823BE0" w:rsidRPr="003A1174">
        <w:rPr>
          <w:rFonts w:ascii="Garamond" w:hAnsi="Garamond" w:cs="Arial"/>
          <w:lang w:val="pt-PT"/>
        </w:rPr>
        <w:t xml:space="preserve"> </w:t>
      </w:r>
      <w:r w:rsidRPr="003A1174">
        <w:rPr>
          <w:rFonts w:ascii="Garamond" w:hAnsi="Garamond" w:cs="Arial"/>
          <w:lang w:val="pt-PT"/>
        </w:rPr>
        <w:t xml:space="preserve">de </w:t>
      </w:r>
      <w:r w:rsidR="00823BE0" w:rsidRPr="003A1174">
        <w:rPr>
          <w:rFonts w:ascii="Garamond" w:hAnsi="Garamond" w:cs="Arial"/>
          <w:lang w:val="pt-PT"/>
        </w:rPr>
        <w:t>forma conjunta</w:t>
      </w:r>
      <w:r w:rsidR="00917B2C">
        <w:rPr>
          <w:rFonts w:ascii="Garamond" w:hAnsi="Garamond" w:cs="Arial"/>
          <w:lang w:val="pt-PT"/>
        </w:rPr>
        <w:t>,</w:t>
      </w:r>
      <w:r w:rsidR="00823BE0" w:rsidRPr="003A1174">
        <w:rPr>
          <w:rFonts w:ascii="Garamond" w:hAnsi="Garamond" w:cs="Arial"/>
          <w:lang w:val="pt-PT"/>
        </w:rPr>
        <w:t xml:space="preserve"> de cursos </w:t>
      </w:r>
      <w:r w:rsidR="00917B2C">
        <w:rPr>
          <w:rFonts w:ascii="Garamond" w:hAnsi="Garamond" w:cs="Arial"/>
          <w:lang w:val="pt-PT"/>
        </w:rPr>
        <w:t xml:space="preserve">sobre </w:t>
      </w:r>
      <w:r w:rsidR="00823BE0" w:rsidRPr="003A1174">
        <w:rPr>
          <w:rFonts w:ascii="Garamond" w:hAnsi="Garamond" w:cs="Arial"/>
          <w:lang w:val="pt-PT"/>
        </w:rPr>
        <w:t xml:space="preserve">temas </w:t>
      </w:r>
      <w:r w:rsidR="005501B1" w:rsidRPr="003A1174">
        <w:rPr>
          <w:rFonts w:ascii="Garamond" w:hAnsi="Garamond" w:cs="Arial"/>
          <w:lang w:val="pt-PT"/>
        </w:rPr>
        <w:t xml:space="preserve">de </w:t>
      </w:r>
      <w:r w:rsidR="000350B1" w:rsidRPr="003A1174">
        <w:rPr>
          <w:rFonts w:ascii="Garamond" w:hAnsi="Garamond" w:cs="Arial"/>
          <w:lang w:val="pt-PT"/>
        </w:rPr>
        <w:t>violência</w:t>
      </w:r>
      <w:r w:rsidR="005501B1" w:rsidRPr="003A1174">
        <w:rPr>
          <w:rFonts w:ascii="Garamond" w:hAnsi="Garamond" w:cs="Arial"/>
          <w:lang w:val="pt-PT"/>
        </w:rPr>
        <w:t xml:space="preserve"> de género, </w:t>
      </w:r>
      <w:r w:rsidR="00886D6A" w:rsidRPr="003A1174">
        <w:rPr>
          <w:rFonts w:ascii="Garamond" w:hAnsi="Garamond" w:cs="Arial"/>
          <w:lang w:val="pt-PT"/>
        </w:rPr>
        <w:t>direito</w:t>
      </w:r>
      <w:r w:rsidR="005501B1" w:rsidRPr="003A1174">
        <w:rPr>
          <w:rFonts w:ascii="Garamond" w:hAnsi="Garamond" w:cs="Arial"/>
          <w:lang w:val="pt-PT"/>
        </w:rPr>
        <w:t xml:space="preserve">s </w:t>
      </w:r>
      <w:r w:rsidR="00CA633E" w:rsidRPr="003A1174">
        <w:rPr>
          <w:rFonts w:ascii="Garamond" w:hAnsi="Garamond" w:cs="Arial"/>
          <w:lang w:val="pt-PT"/>
        </w:rPr>
        <w:t>fundamentais</w:t>
      </w:r>
      <w:r w:rsidR="005501B1" w:rsidRPr="003A1174">
        <w:rPr>
          <w:rFonts w:ascii="Garamond" w:hAnsi="Garamond" w:cs="Arial"/>
          <w:lang w:val="pt-PT"/>
        </w:rPr>
        <w:t xml:space="preserve"> </w:t>
      </w:r>
      <w:r w:rsidR="000672E8" w:rsidRPr="003A1174">
        <w:rPr>
          <w:rFonts w:ascii="Garamond" w:hAnsi="Garamond" w:cs="Arial"/>
          <w:lang w:val="pt-PT"/>
        </w:rPr>
        <w:t>e</w:t>
      </w:r>
      <w:r w:rsidRPr="003A1174">
        <w:rPr>
          <w:rFonts w:ascii="Garamond" w:hAnsi="Garamond" w:cs="Arial"/>
          <w:lang w:val="pt-PT"/>
        </w:rPr>
        <w:t xml:space="preserve"> tópicos afin</w:t>
      </w:r>
      <w:r w:rsidR="005501B1" w:rsidRPr="003A1174">
        <w:rPr>
          <w:rFonts w:ascii="Garamond" w:hAnsi="Garamond" w:cs="Arial"/>
          <w:lang w:val="pt-PT"/>
        </w:rPr>
        <w:t>s</w:t>
      </w:r>
      <w:r w:rsidR="00917B2C">
        <w:rPr>
          <w:rFonts w:ascii="Garamond" w:hAnsi="Garamond" w:cs="Arial"/>
          <w:lang w:val="pt-PT"/>
        </w:rPr>
        <w:t>,</w:t>
      </w:r>
      <w:r w:rsidR="005501B1" w:rsidRPr="003A1174">
        <w:rPr>
          <w:rFonts w:ascii="Garamond" w:hAnsi="Garamond" w:cs="Arial"/>
          <w:lang w:val="pt-PT"/>
        </w:rPr>
        <w:t xml:space="preserve"> a ser</w:t>
      </w:r>
      <w:r w:rsidRPr="003A1174">
        <w:rPr>
          <w:rFonts w:ascii="Garamond" w:hAnsi="Garamond" w:cs="Arial"/>
          <w:lang w:val="pt-PT"/>
        </w:rPr>
        <w:t>em</w:t>
      </w:r>
      <w:r w:rsidR="005501B1" w:rsidRPr="003A1174">
        <w:rPr>
          <w:rFonts w:ascii="Garamond" w:hAnsi="Garamond" w:cs="Arial"/>
          <w:lang w:val="pt-PT"/>
        </w:rPr>
        <w:t xml:space="preserve"> </w:t>
      </w:r>
      <w:r w:rsidR="00917B2C">
        <w:rPr>
          <w:rFonts w:ascii="Garamond" w:hAnsi="Garamond" w:cs="Arial"/>
          <w:lang w:val="pt-PT"/>
        </w:rPr>
        <w:t xml:space="preserve">integrados </w:t>
      </w:r>
      <w:r w:rsidRPr="003A1174">
        <w:rPr>
          <w:rFonts w:ascii="Garamond" w:hAnsi="Garamond" w:cs="Arial"/>
          <w:lang w:val="pt-PT"/>
        </w:rPr>
        <w:t>na oferta educativa d</w:t>
      </w:r>
      <w:r w:rsidR="005501B1" w:rsidRPr="003A1174">
        <w:rPr>
          <w:rFonts w:ascii="Garamond" w:hAnsi="Garamond" w:cs="Arial"/>
          <w:lang w:val="pt-PT"/>
        </w:rPr>
        <w:t xml:space="preserve">a </w:t>
      </w:r>
      <w:r w:rsidR="00823BE0" w:rsidRPr="003A1174">
        <w:rPr>
          <w:rFonts w:ascii="Garamond" w:hAnsi="Garamond" w:cs="Arial"/>
          <w:lang w:val="pt-PT"/>
        </w:rPr>
        <w:t xml:space="preserve">Academia, entre </w:t>
      </w:r>
      <w:r w:rsidR="0017447A" w:rsidRPr="003A1174">
        <w:rPr>
          <w:rFonts w:ascii="Garamond" w:hAnsi="Garamond" w:cs="Arial"/>
          <w:lang w:val="pt-PT"/>
        </w:rPr>
        <w:t>outras</w:t>
      </w:r>
      <w:r w:rsidR="00823BE0" w:rsidRPr="003A1174">
        <w:rPr>
          <w:rFonts w:ascii="Garamond" w:hAnsi="Garamond" w:cs="Arial"/>
          <w:lang w:val="pt-PT"/>
        </w:rPr>
        <w:t xml:space="preserve"> </w:t>
      </w:r>
      <w:r w:rsidR="00374785" w:rsidRPr="003A1174">
        <w:rPr>
          <w:rFonts w:ascii="Garamond" w:hAnsi="Garamond" w:cs="Arial"/>
          <w:lang w:val="pt-PT"/>
        </w:rPr>
        <w:t>atividades</w:t>
      </w:r>
      <w:r w:rsidR="00823BE0" w:rsidRPr="003A1174">
        <w:rPr>
          <w:rFonts w:ascii="Garamond" w:hAnsi="Garamond" w:cs="Arial"/>
          <w:lang w:val="pt-PT"/>
        </w:rPr>
        <w:t xml:space="preserve"> de </w:t>
      </w:r>
      <w:r w:rsidRPr="003A1174">
        <w:rPr>
          <w:rFonts w:ascii="Garamond" w:hAnsi="Garamond" w:cs="Arial"/>
          <w:lang w:val="pt-PT"/>
        </w:rPr>
        <w:t xml:space="preserve">natureza </w:t>
      </w:r>
      <w:r w:rsidR="00823BE0" w:rsidRPr="003A1174">
        <w:rPr>
          <w:rFonts w:ascii="Garamond" w:hAnsi="Garamond" w:cs="Arial"/>
          <w:lang w:val="pt-PT"/>
        </w:rPr>
        <w:t>similar.</w:t>
      </w:r>
    </w:p>
    <w:p w:rsidR="00823BE0" w:rsidRPr="00EA2345" w:rsidRDefault="006E4BFA" w:rsidP="008719D4">
      <w:pPr>
        <w:spacing w:before="240" w:after="0" w:line="240" w:lineRule="auto"/>
        <w:jc w:val="both"/>
        <w:rPr>
          <w:rFonts w:ascii="Garamond" w:hAnsi="Garamond" w:cs="Arial"/>
          <w:sz w:val="24"/>
          <w:szCs w:val="24"/>
        </w:rPr>
      </w:pPr>
      <w:r w:rsidRPr="003A1174">
        <w:rPr>
          <w:rFonts w:ascii="Garamond" w:hAnsi="Garamond" w:cs="Arial"/>
          <w:sz w:val="24"/>
          <w:szCs w:val="24"/>
        </w:rPr>
        <w:lastRenderedPageBreak/>
        <w:t>N</w:t>
      </w:r>
      <w:r w:rsidR="00823BE0" w:rsidRPr="003A1174">
        <w:rPr>
          <w:rFonts w:ascii="Garamond" w:hAnsi="Garamond" w:cs="Arial"/>
          <w:sz w:val="24"/>
          <w:szCs w:val="24"/>
        </w:rPr>
        <w:t>este contexto</w:t>
      </w:r>
      <w:r w:rsidR="005501B1" w:rsidRPr="003A1174">
        <w:rPr>
          <w:rFonts w:ascii="Garamond" w:hAnsi="Garamond" w:cs="Arial"/>
          <w:sz w:val="24"/>
          <w:szCs w:val="24"/>
        </w:rPr>
        <w:t>,</w:t>
      </w:r>
      <w:r w:rsidR="00823BE0" w:rsidRPr="003A1174">
        <w:rPr>
          <w:rFonts w:ascii="Garamond" w:hAnsi="Garamond" w:cs="Arial"/>
          <w:sz w:val="24"/>
          <w:szCs w:val="24"/>
        </w:rPr>
        <w:t xml:space="preserve"> e</w:t>
      </w:r>
      <w:r w:rsidRPr="003A1174">
        <w:rPr>
          <w:rFonts w:ascii="Garamond" w:hAnsi="Garamond" w:cs="Arial"/>
          <w:sz w:val="24"/>
          <w:szCs w:val="24"/>
        </w:rPr>
        <w:t xml:space="preserve">m </w:t>
      </w:r>
      <w:r w:rsidR="00823BE0" w:rsidRPr="003A1174">
        <w:rPr>
          <w:rFonts w:ascii="Garamond" w:hAnsi="Garamond" w:cs="Arial"/>
          <w:sz w:val="24"/>
          <w:szCs w:val="24"/>
        </w:rPr>
        <w:t>2013</w:t>
      </w:r>
      <w:r w:rsidRPr="003A1174">
        <w:rPr>
          <w:rFonts w:ascii="Garamond" w:hAnsi="Garamond" w:cs="Arial"/>
          <w:sz w:val="24"/>
          <w:szCs w:val="24"/>
        </w:rPr>
        <w:t>,</w:t>
      </w:r>
      <w:r w:rsidR="00823BE0" w:rsidRPr="003A1174">
        <w:rPr>
          <w:rFonts w:ascii="Garamond" w:hAnsi="Garamond" w:cs="Arial"/>
          <w:sz w:val="24"/>
          <w:szCs w:val="24"/>
        </w:rPr>
        <w:t xml:space="preserve"> </w:t>
      </w:r>
      <w:r w:rsidR="000672E8" w:rsidRPr="003A1174">
        <w:rPr>
          <w:rFonts w:ascii="Garamond" w:hAnsi="Garamond" w:cs="Arial"/>
          <w:sz w:val="24"/>
          <w:szCs w:val="24"/>
        </w:rPr>
        <w:t>e</w:t>
      </w:r>
      <w:r w:rsidR="00823BE0" w:rsidRPr="003A1174">
        <w:rPr>
          <w:rFonts w:ascii="Garamond" w:hAnsi="Garamond" w:cs="Arial"/>
          <w:sz w:val="24"/>
          <w:szCs w:val="24"/>
        </w:rPr>
        <w:t xml:space="preserve"> co</w:t>
      </w:r>
      <w:r w:rsidRPr="003A1174">
        <w:rPr>
          <w:rFonts w:ascii="Garamond" w:hAnsi="Garamond" w:cs="Arial"/>
          <w:sz w:val="24"/>
          <w:szCs w:val="24"/>
        </w:rPr>
        <w:t xml:space="preserve">m o </w:t>
      </w:r>
      <w:r w:rsidR="00791197" w:rsidRPr="003A1174">
        <w:rPr>
          <w:rFonts w:ascii="Garamond" w:hAnsi="Garamond" w:cs="Arial"/>
          <w:sz w:val="24"/>
          <w:szCs w:val="24"/>
        </w:rPr>
        <w:t>apoio</w:t>
      </w:r>
      <w:r w:rsidR="00823BE0" w:rsidRPr="003A1174">
        <w:rPr>
          <w:rFonts w:ascii="Garamond" w:hAnsi="Garamond" w:cs="Arial"/>
          <w:sz w:val="24"/>
          <w:szCs w:val="24"/>
        </w:rPr>
        <w:t xml:space="preserve"> da </w:t>
      </w:r>
      <w:r w:rsidR="008E7A2A" w:rsidRPr="003A1174">
        <w:rPr>
          <w:rFonts w:ascii="Garamond" w:hAnsi="Garamond" w:cs="Arial"/>
          <w:sz w:val="24"/>
          <w:szCs w:val="24"/>
        </w:rPr>
        <w:t>Organização</w:t>
      </w:r>
      <w:r w:rsidR="00823BE0" w:rsidRPr="003A1174">
        <w:rPr>
          <w:rFonts w:ascii="Garamond" w:hAnsi="Garamond" w:cs="Arial"/>
          <w:sz w:val="24"/>
          <w:szCs w:val="24"/>
        </w:rPr>
        <w:t xml:space="preserve"> N</w:t>
      </w:r>
      <w:r w:rsidRPr="003A1174">
        <w:rPr>
          <w:rFonts w:ascii="Garamond" w:hAnsi="Garamond" w:cs="Arial"/>
          <w:sz w:val="24"/>
          <w:szCs w:val="24"/>
        </w:rPr>
        <w:t>ã</w:t>
      </w:r>
      <w:r w:rsidR="00823BE0" w:rsidRPr="003A1174">
        <w:rPr>
          <w:rFonts w:ascii="Garamond" w:hAnsi="Garamond" w:cs="Arial"/>
          <w:sz w:val="24"/>
          <w:szCs w:val="24"/>
        </w:rPr>
        <w:t xml:space="preserve">o </w:t>
      </w:r>
      <w:r w:rsidR="00100435" w:rsidRPr="003A1174">
        <w:rPr>
          <w:rFonts w:ascii="Garamond" w:hAnsi="Garamond" w:cs="Arial"/>
          <w:sz w:val="24"/>
          <w:szCs w:val="24"/>
        </w:rPr>
        <w:t>Governamental</w:t>
      </w:r>
      <w:r w:rsidR="00823BE0" w:rsidRPr="003A1174">
        <w:rPr>
          <w:rFonts w:ascii="Garamond" w:hAnsi="Garamond" w:cs="Arial"/>
          <w:sz w:val="24"/>
          <w:szCs w:val="24"/>
        </w:rPr>
        <w:t xml:space="preserve"> Demus, </w:t>
      </w:r>
      <w:r w:rsidRPr="003A1174">
        <w:rPr>
          <w:rFonts w:ascii="Garamond" w:hAnsi="Garamond" w:cs="Arial"/>
          <w:sz w:val="24"/>
          <w:szCs w:val="24"/>
        </w:rPr>
        <w:t>coordenou-</w:t>
      </w:r>
      <w:r w:rsidR="00823BE0" w:rsidRPr="003A1174">
        <w:rPr>
          <w:rFonts w:ascii="Garamond" w:hAnsi="Garamond" w:cs="Arial"/>
          <w:sz w:val="24"/>
          <w:szCs w:val="24"/>
        </w:rPr>
        <w:t>se</w:t>
      </w:r>
      <w:r w:rsidR="00917B2C">
        <w:rPr>
          <w:rFonts w:ascii="Garamond" w:hAnsi="Garamond" w:cs="Arial"/>
          <w:sz w:val="24"/>
          <w:szCs w:val="24"/>
        </w:rPr>
        <w:t>,</w:t>
      </w:r>
      <w:r w:rsidR="00823BE0" w:rsidRPr="003A1174">
        <w:rPr>
          <w:rFonts w:ascii="Garamond" w:hAnsi="Garamond" w:cs="Arial"/>
          <w:sz w:val="24"/>
          <w:szCs w:val="24"/>
        </w:rPr>
        <w:t xml:space="preserve"> </w:t>
      </w:r>
      <w:r w:rsidRPr="003A1174">
        <w:rPr>
          <w:rFonts w:ascii="Garamond" w:hAnsi="Garamond" w:cs="Arial"/>
          <w:sz w:val="24"/>
          <w:szCs w:val="24"/>
        </w:rPr>
        <w:t>com a referida Academia</w:t>
      </w:r>
      <w:r w:rsidR="00917B2C">
        <w:rPr>
          <w:rFonts w:ascii="Garamond" w:hAnsi="Garamond" w:cs="Arial"/>
          <w:sz w:val="24"/>
          <w:szCs w:val="24"/>
        </w:rPr>
        <w:t>,</w:t>
      </w:r>
      <w:r w:rsidRPr="003A1174">
        <w:rPr>
          <w:rFonts w:ascii="Garamond" w:hAnsi="Garamond" w:cs="Arial"/>
          <w:sz w:val="24"/>
          <w:szCs w:val="24"/>
        </w:rPr>
        <w:t xml:space="preserve"> </w:t>
      </w:r>
      <w:r w:rsidR="00823BE0" w:rsidRPr="003A1174">
        <w:rPr>
          <w:rFonts w:ascii="Garamond" w:hAnsi="Garamond" w:cs="Arial"/>
          <w:sz w:val="24"/>
          <w:szCs w:val="24"/>
        </w:rPr>
        <w:t xml:space="preserve">a </w:t>
      </w:r>
      <w:r w:rsidR="00C30647" w:rsidRPr="003A1174">
        <w:rPr>
          <w:rFonts w:ascii="Garamond" w:hAnsi="Garamond" w:cs="Arial"/>
          <w:sz w:val="24"/>
          <w:szCs w:val="24"/>
        </w:rPr>
        <w:t>realização</w:t>
      </w:r>
      <w:r w:rsidR="00823BE0" w:rsidRPr="003A1174">
        <w:rPr>
          <w:rFonts w:ascii="Garamond" w:hAnsi="Garamond" w:cs="Arial"/>
          <w:sz w:val="24"/>
          <w:szCs w:val="24"/>
        </w:rPr>
        <w:t xml:space="preserve"> </w:t>
      </w:r>
      <w:r w:rsidR="00E85E59" w:rsidRPr="003A1174">
        <w:rPr>
          <w:rFonts w:ascii="Garamond" w:hAnsi="Garamond" w:cs="Arial"/>
          <w:sz w:val="24"/>
          <w:szCs w:val="24"/>
        </w:rPr>
        <w:t>do</w:t>
      </w:r>
      <w:r w:rsidR="00823BE0" w:rsidRPr="003A1174">
        <w:rPr>
          <w:rFonts w:ascii="Garamond" w:hAnsi="Garamond" w:cs="Arial"/>
          <w:sz w:val="24"/>
          <w:szCs w:val="24"/>
        </w:rPr>
        <w:t xml:space="preserve"> </w:t>
      </w:r>
      <w:r w:rsidR="00276DCA" w:rsidRPr="003A1174">
        <w:rPr>
          <w:rFonts w:ascii="Garamond" w:hAnsi="Garamond" w:cs="Arial"/>
          <w:sz w:val="24"/>
          <w:szCs w:val="24"/>
        </w:rPr>
        <w:t>Primeiro</w:t>
      </w:r>
      <w:r w:rsidR="00823BE0" w:rsidRPr="003A1174">
        <w:rPr>
          <w:rFonts w:ascii="Garamond" w:hAnsi="Garamond" w:cs="Arial"/>
          <w:sz w:val="24"/>
          <w:szCs w:val="24"/>
        </w:rPr>
        <w:t xml:space="preserve"> </w:t>
      </w:r>
      <w:r w:rsidR="001A2B01" w:rsidRPr="00EA2345">
        <w:rPr>
          <w:rFonts w:ascii="Garamond" w:hAnsi="Garamond" w:cs="Arial"/>
          <w:i/>
          <w:sz w:val="24"/>
          <w:szCs w:val="24"/>
        </w:rPr>
        <w:t>Encontro</w:t>
      </w:r>
      <w:r w:rsidR="001A2B01" w:rsidRPr="00EA2345">
        <w:rPr>
          <w:rFonts w:ascii="Garamond" w:hAnsi="Garamond" w:cs="Arial"/>
          <w:sz w:val="24"/>
          <w:szCs w:val="24"/>
        </w:rPr>
        <w:t xml:space="preserve"> </w:t>
      </w:r>
      <w:r w:rsidR="00461DFD" w:rsidRPr="00EA2345">
        <w:rPr>
          <w:rFonts w:ascii="Garamond" w:hAnsi="Garamond" w:cs="Arial"/>
          <w:sz w:val="24"/>
          <w:szCs w:val="24"/>
        </w:rPr>
        <w:t>«</w:t>
      </w:r>
      <w:r w:rsidR="000350B1" w:rsidRPr="00EA2345">
        <w:rPr>
          <w:rFonts w:ascii="Garamond" w:hAnsi="Garamond" w:cs="Arial"/>
          <w:sz w:val="24"/>
          <w:szCs w:val="24"/>
        </w:rPr>
        <w:t>Violência</w:t>
      </w:r>
      <w:r w:rsidR="00823BE0" w:rsidRPr="00EA2345">
        <w:rPr>
          <w:rFonts w:ascii="Garamond" w:hAnsi="Garamond" w:cs="Arial"/>
          <w:sz w:val="24"/>
          <w:szCs w:val="24"/>
        </w:rPr>
        <w:t xml:space="preserve"> de Género: </w:t>
      </w:r>
      <w:r w:rsidR="00886D6A" w:rsidRPr="00EA2345">
        <w:rPr>
          <w:rFonts w:ascii="Garamond" w:hAnsi="Garamond" w:cs="Arial"/>
          <w:sz w:val="24"/>
          <w:szCs w:val="24"/>
        </w:rPr>
        <w:t>Direito</w:t>
      </w:r>
      <w:r w:rsidR="00823BE0" w:rsidRPr="00EA2345">
        <w:rPr>
          <w:rFonts w:ascii="Garamond" w:hAnsi="Garamond" w:cs="Arial"/>
          <w:sz w:val="24"/>
          <w:szCs w:val="24"/>
        </w:rPr>
        <w:t xml:space="preserve">s </w:t>
      </w:r>
      <w:r w:rsidR="00CA633E" w:rsidRPr="00EA2345">
        <w:rPr>
          <w:rFonts w:ascii="Garamond" w:hAnsi="Garamond" w:cs="Arial"/>
          <w:sz w:val="24"/>
          <w:szCs w:val="24"/>
        </w:rPr>
        <w:t>Fundamentais</w:t>
      </w:r>
      <w:r w:rsidR="00823BE0" w:rsidRPr="00EA2345">
        <w:rPr>
          <w:rFonts w:ascii="Garamond" w:hAnsi="Garamond" w:cs="Arial"/>
          <w:sz w:val="24"/>
          <w:szCs w:val="24"/>
        </w:rPr>
        <w:t xml:space="preserve"> </w:t>
      </w:r>
      <w:r w:rsidR="00497503" w:rsidRPr="00EA2345">
        <w:rPr>
          <w:rFonts w:ascii="Garamond" w:hAnsi="Garamond" w:cs="Arial"/>
          <w:sz w:val="24"/>
          <w:szCs w:val="24"/>
        </w:rPr>
        <w:t>das</w:t>
      </w:r>
      <w:r w:rsidR="00823BE0" w:rsidRPr="00EA2345">
        <w:rPr>
          <w:rFonts w:ascii="Garamond" w:hAnsi="Garamond" w:cs="Arial"/>
          <w:sz w:val="24"/>
          <w:szCs w:val="24"/>
        </w:rPr>
        <w:t xml:space="preserve"> </w:t>
      </w:r>
      <w:r w:rsidR="00054EE0" w:rsidRPr="00EA2345">
        <w:rPr>
          <w:rFonts w:ascii="Garamond" w:hAnsi="Garamond" w:cs="Arial"/>
          <w:sz w:val="24"/>
          <w:szCs w:val="24"/>
        </w:rPr>
        <w:t>Mulheres</w:t>
      </w:r>
      <w:r w:rsidR="00461DFD" w:rsidRPr="00EA2345">
        <w:rPr>
          <w:rFonts w:ascii="Garamond" w:hAnsi="Garamond" w:cs="Arial"/>
          <w:sz w:val="24"/>
          <w:szCs w:val="24"/>
        </w:rPr>
        <w:t>»</w:t>
      </w:r>
      <w:r w:rsidR="00823BE0" w:rsidRPr="00EA2345">
        <w:rPr>
          <w:rFonts w:ascii="Garamond" w:hAnsi="Garamond" w:cs="Arial"/>
          <w:sz w:val="24"/>
          <w:szCs w:val="24"/>
        </w:rPr>
        <w:t xml:space="preserve">. </w:t>
      </w:r>
      <w:r w:rsidRPr="00EA2345">
        <w:rPr>
          <w:rFonts w:ascii="Garamond" w:hAnsi="Garamond" w:cs="Arial"/>
          <w:sz w:val="24"/>
          <w:szCs w:val="24"/>
        </w:rPr>
        <w:t xml:space="preserve">O </w:t>
      </w:r>
      <w:r w:rsidR="00023AD6" w:rsidRPr="00EA2345">
        <w:rPr>
          <w:rFonts w:ascii="Garamond" w:hAnsi="Garamond" w:cs="Arial"/>
          <w:sz w:val="24"/>
          <w:szCs w:val="24"/>
        </w:rPr>
        <w:t>mesmo</w:t>
      </w:r>
      <w:r w:rsidR="00823BE0" w:rsidRPr="00EA2345">
        <w:rPr>
          <w:rFonts w:ascii="Garamond" w:hAnsi="Garamond" w:cs="Arial"/>
          <w:sz w:val="24"/>
          <w:szCs w:val="24"/>
        </w:rPr>
        <w:t xml:space="preserve"> </w:t>
      </w:r>
      <w:r w:rsidRPr="00EA2345">
        <w:rPr>
          <w:rFonts w:ascii="Garamond" w:hAnsi="Garamond" w:cs="Arial"/>
          <w:sz w:val="24"/>
          <w:szCs w:val="24"/>
        </w:rPr>
        <w:t xml:space="preserve">realizou-se </w:t>
      </w:r>
      <w:r w:rsidR="00823BE0" w:rsidRPr="00EA2345">
        <w:rPr>
          <w:rFonts w:ascii="Garamond" w:hAnsi="Garamond" w:cs="Arial"/>
          <w:sz w:val="24"/>
          <w:szCs w:val="24"/>
        </w:rPr>
        <w:t xml:space="preserve">entre </w:t>
      </w:r>
      <w:r w:rsidR="009E3E55" w:rsidRPr="00EA2345">
        <w:rPr>
          <w:rFonts w:ascii="Garamond" w:hAnsi="Garamond" w:cs="Arial"/>
          <w:sz w:val="24"/>
          <w:szCs w:val="24"/>
        </w:rPr>
        <w:t>julho</w:t>
      </w:r>
      <w:r w:rsidR="00823BE0" w:rsidRPr="00EA2345">
        <w:rPr>
          <w:rFonts w:ascii="Garamond" w:hAnsi="Garamond" w:cs="Arial"/>
          <w:sz w:val="24"/>
          <w:szCs w:val="24"/>
        </w:rPr>
        <w:t xml:space="preserve"> </w:t>
      </w:r>
      <w:r w:rsidR="000672E8" w:rsidRPr="00EA2345">
        <w:rPr>
          <w:rFonts w:ascii="Garamond" w:hAnsi="Garamond" w:cs="Arial"/>
          <w:sz w:val="24"/>
          <w:szCs w:val="24"/>
        </w:rPr>
        <w:t>e</w:t>
      </w:r>
      <w:r w:rsidR="00823BE0" w:rsidRPr="00EA2345">
        <w:rPr>
          <w:rFonts w:ascii="Garamond" w:hAnsi="Garamond" w:cs="Arial"/>
          <w:sz w:val="24"/>
          <w:szCs w:val="24"/>
        </w:rPr>
        <w:t xml:space="preserve"> </w:t>
      </w:r>
      <w:r w:rsidR="009E3E55" w:rsidRPr="00EA2345">
        <w:rPr>
          <w:rFonts w:ascii="Garamond" w:hAnsi="Garamond" w:cs="Arial"/>
          <w:sz w:val="24"/>
          <w:szCs w:val="24"/>
        </w:rPr>
        <w:t>novembro</w:t>
      </w:r>
      <w:r w:rsidR="00823BE0" w:rsidRPr="00EA2345">
        <w:rPr>
          <w:rFonts w:ascii="Garamond" w:hAnsi="Garamond" w:cs="Arial"/>
          <w:sz w:val="24"/>
          <w:szCs w:val="24"/>
        </w:rPr>
        <w:t xml:space="preserve"> de 2013</w:t>
      </w:r>
      <w:r w:rsidR="005501B1" w:rsidRPr="00EA2345">
        <w:rPr>
          <w:rFonts w:ascii="Garamond" w:hAnsi="Garamond" w:cs="Arial"/>
          <w:sz w:val="24"/>
          <w:szCs w:val="24"/>
        </w:rPr>
        <w:t>,</w:t>
      </w:r>
      <w:r w:rsidR="00823BE0" w:rsidRPr="00EA2345">
        <w:rPr>
          <w:rFonts w:ascii="Garamond" w:hAnsi="Garamond" w:cs="Arial"/>
          <w:sz w:val="24"/>
          <w:szCs w:val="24"/>
        </w:rPr>
        <w:t xml:space="preserve"> abord</w:t>
      </w:r>
      <w:r w:rsidRPr="00EA2345">
        <w:rPr>
          <w:rFonts w:ascii="Garamond" w:hAnsi="Garamond" w:cs="Arial"/>
          <w:sz w:val="24"/>
          <w:szCs w:val="24"/>
        </w:rPr>
        <w:t>a</w:t>
      </w:r>
      <w:r w:rsidR="00823BE0" w:rsidRPr="00EA2345">
        <w:rPr>
          <w:rFonts w:ascii="Garamond" w:hAnsi="Garamond" w:cs="Arial"/>
          <w:sz w:val="24"/>
          <w:szCs w:val="24"/>
        </w:rPr>
        <w:t>ndo</w:t>
      </w:r>
      <w:r w:rsidRPr="00EA2345">
        <w:rPr>
          <w:rFonts w:ascii="Garamond" w:hAnsi="Garamond" w:cs="Arial"/>
          <w:sz w:val="24"/>
          <w:szCs w:val="24"/>
        </w:rPr>
        <w:t>-</w:t>
      </w:r>
      <w:r w:rsidR="00823BE0" w:rsidRPr="00EA2345">
        <w:rPr>
          <w:rFonts w:ascii="Garamond" w:hAnsi="Garamond" w:cs="Arial"/>
          <w:sz w:val="24"/>
          <w:szCs w:val="24"/>
        </w:rPr>
        <w:t xml:space="preserve">se </w:t>
      </w:r>
      <w:r w:rsidR="005D38DC" w:rsidRPr="00EA2345">
        <w:rPr>
          <w:rFonts w:ascii="Garamond" w:hAnsi="Garamond" w:cs="Arial"/>
          <w:sz w:val="24"/>
          <w:szCs w:val="24"/>
        </w:rPr>
        <w:t>aspeto</w:t>
      </w:r>
      <w:r w:rsidR="00823BE0" w:rsidRPr="00EA2345">
        <w:rPr>
          <w:rFonts w:ascii="Garamond" w:hAnsi="Garamond" w:cs="Arial"/>
          <w:sz w:val="24"/>
          <w:szCs w:val="24"/>
        </w:rPr>
        <w:t xml:space="preserve">s teóricos </w:t>
      </w:r>
      <w:r w:rsidR="000672E8" w:rsidRPr="00EA2345">
        <w:rPr>
          <w:rFonts w:ascii="Garamond" w:hAnsi="Garamond" w:cs="Arial"/>
          <w:sz w:val="24"/>
          <w:szCs w:val="24"/>
        </w:rPr>
        <w:t>e</w:t>
      </w:r>
      <w:r w:rsidR="00823BE0" w:rsidRPr="00EA2345">
        <w:rPr>
          <w:rFonts w:ascii="Garamond" w:hAnsi="Garamond" w:cs="Arial"/>
          <w:sz w:val="24"/>
          <w:szCs w:val="24"/>
        </w:rPr>
        <w:t xml:space="preserve"> </w:t>
      </w:r>
      <w:r w:rsidR="00DE6DF6" w:rsidRPr="00EA2345">
        <w:rPr>
          <w:rFonts w:ascii="Garamond" w:hAnsi="Garamond" w:cs="Arial"/>
          <w:sz w:val="24"/>
          <w:szCs w:val="24"/>
        </w:rPr>
        <w:t>prático</w:t>
      </w:r>
      <w:r w:rsidR="00823BE0" w:rsidRPr="00EA2345">
        <w:rPr>
          <w:rFonts w:ascii="Garamond" w:hAnsi="Garamond" w:cs="Arial"/>
          <w:sz w:val="24"/>
          <w:szCs w:val="24"/>
        </w:rPr>
        <w:t xml:space="preserve">s de temas de </w:t>
      </w:r>
      <w:r w:rsidRPr="00EA2345">
        <w:rPr>
          <w:rFonts w:ascii="Garamond" w:hAnsi="Garamond" w:cs="Arial"/>
          <w:sz w:val="24"/>
          <w:szCs w:val="24"/>
        </w:rPr>
        <w:t>justiça</w:t>
      </w:r>
      <w:r w:rsidR="00461DFD" w:rsidRPr="00EA2345">
        <w:rPr>
          <w:rFonts w:ascii="Garamond" w:hAnsi="Garamond" w:cs="Arial"/>
          <w:sz w:val="24"/>
          <w:szCs w:val="24"/>
        </w:rPr>
        <w:t>,</w:t>
      </w:r>
      <w:r w:rsidRPr="00EA2345">
        <w:rPr>
          <w:rFonts w:ascii="Garamond" w:hAnsi="Garamond" w:cs="Arial"/>
          <w:sz w:val="24"/>
          <w:szCs w:val="24"/>
        </w:rPr>
        <w:t xml:space="preserve"> em</w:t>
      </w:r>
      <w:r w:rsidR="00823BE0" w:rsidRPr="00EA2345">
        <w:rPr>
          <w:rFonts w:ascii="Garamond" w:hAnsi="Garamond" w:cs="Arial"/>
          <w:sz w:val="24"/>
          <w:szCs w:val="24"/>
        </w:rPr>
        <w:t xml:space="preserve"> </w:t>
      </w:r>
      <w:r w:rsidR="00077461" w:rsidRPr="00EA2345">
        <w:rPr>
          <w:rFonts w:ascii="Garamond" w:hAnsi="Garamond" w:cs="Arial"/>
          <w:sz w:val="24"/>
          <w:szCs w:val="24"/>
        </w:rPr>
        <w:t>geral</w:t>
      </w:r>
      <w:r w:rsidR="00461DFD" w:rsidRPr="00EA2345">
        <w:rPr>
          <w:rFonts w:ascii="Garamond" w:hAnsi="Garamond" w:cs="Arial"/>
          <w:sz w:val="24"/>
          <w:szCs w:val="24"/>
        </w:rPr>
        <w:t>,</w:t>
      </w:r>
      <w:r w:rsidRPr="00EA2345">
        <w:rPr>
          <w:rFonts w:ascii="Garamond" w:hAnsi="Garamond" w:cs="Arial"/>
          <w:sz w:val="24"/>
          <w:szCs w:val="24"/>
        </w:rPr>
        <w:t xml:space="preserve"> </w:t>
      </w:r>
      <w:r w:rsidR="00461DFD" w:rsidRPr="00EA2345">
        <w:rPr>
          <w:rFonts w:ascii="Garamond" w:hAnsi="Garamond" w:cs="Arial"/>
          <w:sz w:val="24"/>
          <w:szCs w:val="24"/>
        </w:rPr>
        <w:t xml:space="preserve">tais </w:t>
      </w:r>
      <w:r w:rsidRPr="00EA2345">
        <w:rPr>
          <w:rFonts w:ascii="Garamond" w:hAnsi="Garamond" w:cs="Arial"/>
          <w:sz w:val="24"/>
          <w:szCs w:val="24"/>
        </w:rPr>
        <w:t xml:space="preserve">como </w:t>
      </w:r>
      <w:r w:rsidR="00823BE0" w:rsidRPr="00EA2345">
        <w:rPr>
          <w:rFonts w:ascii="Garamond" w:hAnsi="Garamond" w:cs="Arial"/>
          <w:sz w:val="24"/>
          <w:szCs w:val="24"/>
        </w:rPr>
        <w:t xml:space="preserve">a </w:t>
      </w:r>
      <w:r w:rsidR="000350B1" w:rsidRPr="00EA2345">
        <w:rPr>
          <w:rFonts w:ascii="Garamond" w:hAnsi="Garamond" w:cs="Arial"/>
          <w:sz w:val="24"/>
          <w:szCs w:val="24"/>
        </w:rPr>
        <w:t>violência</w:t>
      </w:r>
      <w:r w:rsidR="00823BE0" w:rsidRPr="00EA2345">
        <w:rPr>
          <w:rFonts w:ascii="Garamond" w:hAnsi="Garamond" w:cs="Arial"/>
          <w:sz w:val="24"/>
          <w:szCs w:val="24"/>
        </w:rPr>
        <w:t xml:space="preserve"> </w:t>
      </w:r>
      <w:r w:rsidR="00BB2B00" w:rsidRPr="00EA2345">
        <w:rPr>
          <w:rFonts w:ascii="Garamond" w:hAnsi="Garamond" w:cs="Arial"/>
          <w:sz w:val="24"/>
          <w:szCs w:val="24"/>
        </w:rPr>
        <w:t>contra a</w:t>
      </w:r>
      <w:r w:rsidR="00823BE0" w:rsidRPr="00EA2345">
        <w:rPr>
          <w:rFonts w:ascii="Garamond" w:hAnsi="Garamond" w:cs="Arial"/>
          <w:sz w:val="24"/>
          <w:szCs w:val="24"/>
        </w:rPr>
        <w:t xml:space="preserve">s </w:t>
      </w:r>
      <w:r w:rsidR="00054EE0" w:rsidRPr="00EA2345">
        <w:rPr>
          <w:rFonts w:ascii="Garamond" w:hAnsi="Garamond" w:cs="Arial"/>
          <w:sz w:val="24"/>
          <w:szCs w:val="24"/>
        </w:rPr>
        <w:t>mulheres</w:t>
      </w:r>
      <w:r w:rsidR="00823BE0" w:rsidRPr="00EA2345">
        <w:rPr>
          <w:rFonts w:ascii="Garamond" w:hAnsi="Garamond" w:cs="Arial"/>
          <w:sz w:val="24"/>
          <w:szCs w:val="24"/>
        </w:rPr>
        <w:t xml:space="preserve"> </w:t>
      </w:r>
      <w:r w:rsidR="007C63D0" w:rsidRPr="00EA2345">
        <w:rPr>
          <w:rFonts w:ascii="Garamond" w:hAnsi="Garamond" w:cs="Arial"/>
          <w:sz w:val="24"/>
          <w:szCs w:val="24"/>
        </w:rPr>
        <w:t>baseada</w:t>
      </w:r>
      <w:r w:rsidR="00823BE0" w:rsidRPr="00EA2345">
        <w:rPr>
          <w:rFonts w:ascii="Garamond" w:hAnsi="Garamond" w:cs="Arial"/>
          <w:sz w:val="24"/>
          <w:szCs w:val="24"/>
        </w:rPr>
        <w:t xml:space="preserve"> e</w:t>
      </w:r>
      <w:r w:rsidRPr="00EA2345">
        <w:rPr>
          <w:rFonts w:ascii="Garamond" w:hAnsi="Garamond" w:cs="Arial"/>
          <w:sz w:val="24"/>
          <w:szCs w:val="24"/>
        </w:rPr>
        <w:t>m</w:t>
      </w:r>
      <w:r w:rsidR="00823BE0" w:rsidRPr="00EA2345">
        <w:rPr>
          <w:rFonts w:ascii="Garamond" w:hAnsi="Garamond" w:cs="Arial"/>
          <w:sz w:val="24"/>
          <w:szCs w:val="24"/>
        </w:rPr>
        <w:t xml:space="preserve"> género, </w:t>
      </w:r>
      <w:r w:rsidR="000350B1" w:rsidRPr="00EA2345">
        <w:rPr>
          <w:rFonts w:ascii="Garamond" w:hAnsi="Garamond" w:cs="Arial"/>
          <w:sz w:val="24"/>
          <w:szCs w:val="24"/>
        </w:rPr>
        <w:t>violência</w:t>
      </w:r>
      <w:r w:rsidR="00823BE0" w:rsidRPr="00EA2345">
        <w:rPr>
          <w:rFonts w:ascii="Garamond" w:hAnsi="Garamond" w:cs="Arial"/>
          <w:sz w:val="24"/>
          <w:szCs w:val="24"/>
        </w:rPr>
        <w:t xml:space="preserve"> familiar </w:t>
      </w:r>
      <w:r w:rsidR="000672E8" w:rsidRPr="00EA2345">
        <w:rPr>
          <w:rFonts w:ascii="Garamond" w:hAnsi="Garamond" w:cs="Arial"/>
          <w:sz w:val="24"/>
          <w:szCs w:val="24"/>
        </w:rPr>
        <w:t>e</w:t>
      </w:r>
      <w:r w:rsidR="00823BE0" w:rsidRPr="00EA2345">
        <w:rPr>
          <w:rFonts w:ascii="Garamond" w:hAnsi="Garamond" w:cs="Arial"/>
          <w:sz w:val="24"/>
          <w:szCs w:val="24"/>
        </w:rPr>
        <w:t xml:space="preserve"> </w:t>
      </w:r>
      <w:r w:rsidR="005C051C" w:rsidRPr="00EA2345">
        <w:rPr>
          <w:rFonts w:ascii="Garamond" w:hAnsi="Garamond" w:cs="Arial"/>
          <w:sz w:val="24"/>
          <w:szCs w:val="24"/>
        </w:rPr>
        <w:t>femicídio</w:t>
      </w:r>
      <w:r w:rsidR="00823BE0" w:rsidRPr="00EA2345">
        <w:rPr>
          <w:rFonts w:ascii="Garamond" w:hAnsi="Garamond" w:cs="Arial"/>
          <w:sz w:val="24"/>
          <w:szCs w:val="24"/>
        </w:rPr>
        <w:t xml:space="preserve">, </w:t>
      </w:r>
      <w:r w:rsidR="000672E8" w:rsidRPr="00EA2345">
        <w:rPr>
          <w:rFonts w:ascii="Garamond" w:hAnsi="Garamond" w:cs="Arial"/>
          <w:sz w:val="24"/>
          <w:szCs w:val="24"/>
        </w:rPr>
        <w:t>e</w:t>
      </w:r>
      <w:r w:rsidR="00823BE0" w:rsidRPr="00EA2345">
        <w:rPr>
          <w:rFonts w:ascii="Garamond" w:hAnsi="Garamond" w:cs="Arial"/>
          <w:sz w:val="24"/>
          <w:szCs w:val="24"/>
        </w:rPr>
        <w:t xml:space="preserve"> </w:t>
      </w:r>
      <w:r w:rsidR="000350B1" w:rsidRPr="00EA2345">
        <w:rPr>
          <w:rFonts w:ascii="Garamond" w:hAnsi="Garamond" w:cs="Arial"/>
          <w:sz w:val="24"/>
          <w:szCs w:val="24"/>
        </w:rPr>
        <w:t>violência</w:t>
      </w:r>
      <w:r w:rsidR="00823BE0" w:rsidRPr="00EA2345">
        <w:rPr>
          <w:rFonts w:ascii="Garamond" w:hAnsi="Garamond" w:cs="Arial"/>
          <w:sz w:val="24"/>
          <w:szCs w:val="24"/>
        </w:rPr>
        <w:t xml:space="preserve"> sexual </w:t>
      </w:r>
      <w:r w:rsidR="00BB2B00" w:rsidRPr="00EA2345">
        <w:rPr>
          <w:rFonts w:ascii="Garamond" w:hAnsi="Garamond" w:cs="Arial"/>
          <w:sz w:val="24"/>
          <w:szCs w:val="24"/>
        </w:rPr>
        <w:t>contra a</w:t>
      </w:r>
      <w:r w:rsidR="00823BE0" w:rsidRPr="00EA2345">
        <w:rPr>
          <w:rFonts w:ascii="Garamond" w:hAnsi="Garamond" w:cs="Arial"/>
          <w:sz w:val="24"/>
          <w:szCs w:val="24"/>
        </w:rPr>
        <w:t xml:space="preserve">s </w:t>
      </w:r>
      <w:r w:rsidR="00054EE0" w:rsidRPr="00EA2345">
        <w:rPr>
          <w:rFonts w:ascii="Garamond" w:hAnsi="Garamond" w:cs="Arial"/>
          <w:sz w:val="24"/>
          <w:szCs w:val="24"/>
        </w:rPr>
        <w:t>mulheres</w:t>
      </w:r>
      <w:r w:rsidR="00823BE0" w:rsidRPr="00EA2345">
        <w:rPr>
          <w:rFonts w:ascii="Garamond" w:hAnsi="Garamond" w:cs="Arial"/>
          <w:sz w:val="24"/>
          <w:szCs w:val="24"/>
        </w:rPr>
        <w:t xml:space="preserve"> </w:t>
      </w:r>
      <w:r w:rsidR="007C63D0" w:rsidRPr="00EA2345">
        <w:rPr>
          <w:rFonts w:ascii="Garamond" w:hAnsi="Garamond" w:cs="Arial"/>
          <w:sz w:val="24"/>
          <w:szCs w:val="24"/>
        </w:rPr>
        <w:t>baseada</w:t>
      </w:r>
      <w:r w:rsidR="00823BE0" w:rsidRPr="00EA2345">
        <w:rPr>
          <w:rFonts w:ascii="Garamond" w:hAnsi="Garamond" w:cs="Arial"/>
          <w:sz w:val="24"/>
          <w:szCs w:val="24"/>
        </w:rPr>
        <w:t xml:space="preserve"> e</w:t>
      </w:r>
      <w:r w:rsidRPr="00EA2345">
        <w:rPr>
          <w:rFonts w:ascii="Garamond" w:hAnsi="Garamond" w:cs="Arial"/>
          <w:sz w:val="24"/>
          <w:szCs w:val="24"/>
        </w:rPr>
        <w:t>m</w:t>
      </w:r>
      <w:r w:rsidR="00823BE0" w:rsidRPr="00EA2345">
        <w:rPr>
          <w:rFonts w:ascii="Garamond" w:hAnsi="Garamond" w:cs="Arial"/>
          <w:sz w:val="24"/>
          <w:szCs w:val="24"/>
        </w:rPr>
        <w:t xml:space="preserve"> género. </w:t>
      </w:r>
      <w:r w:rsidRPr="00EA2345">
        <w:rPr>
          <w:rFonts w:ascii="Garamond" w:hAnsi="Garamond" w:cs="Arial"/>
          <w:sz w:val="24"/>
          <w:szCs w:val="24"/>
        </w:rPr>
        <w:t xml:space="preserve">O </w:t>
      </w:r>
      <w:r w:rsidR="001C2738" w:rsidRPr="00EA2345">
        <w:rPr>
          <w:rFonts w:ascii="Garamond" w:hAnsi="Garamond" w:cs="Arial"/>
          <w:sz w:val="24"/>
          <w:szCs w:val="24"/>
        </w:rPr>
        <w:t>tratamento</w:t>
      </w:r>
      <w:r w:rsidR="00823BE0" w:rsidRPr="00EA2345">
        <w:rPr>
          <w:rFonts w:ascii="Garamond" w:hAnsi="Garamond" w:cs="Arial"/>
          <w:sz w:val="24"/>
          <w:szCs w:val="24"/>
        </w:rPr>
        <w:t xml:space="preserve"> destas </w:t>
      </w:r>
      <w:r w:rsidR="00EF645F" w:rsidRPr="00EA2345">
        <w:rPr>
          <w:rFonts w:ascii="Garamond" w:hAnsi="Garamond" w:cs="Arial"/>
          <w:sz w:val="24"/>
          <w:szCs w:val="24"/>
        </w:rPr>
        <w:t>matéria</w:t>
      </w:r>
      <w:r w:rsidR="00823BE0" w:rsidRPr="00EA2345">
        <w:rPr>
          <w:rFonts w:ascii="Garamond" w:hAnsi="Garamond" w:cs="Arial"/>
          <w:sz w:val="24"/>
          <w:szCs w:val="24"/>
        </w:rPr>
        <w:t xml:space="preserve">s </w:t>
      </w:r>
      <w:r w:rsidR="005501B1" w:rsidRPr="00EA2345">
        <w:rPr>
          <w:rFonts w:ascii="Garamond" w:hAnsi="Garamond" w:cs="Arial"/>
          <w:sz w:val="24"/>
          <w:szCs w:val="24"/>
        </w:rPr>
        <w:t>n</w:t>
      </w:r>
      <w:r w:rsidRPr="00EA2345">
        <w:rPr>
          <w:rFonts w:ascii="Garamond" w:hAnsi="Garamond" w:cs="Arial"/>
          <w:sz w:val="24"/>
          <w:szCs w:val="24"/>
        </w:rPr>
        <w:t>ã</w:t>
      </w:r>
      <w:r w:rsidR="005501B1" w:rsidRPr="00EA2345">
        <w:rPr>
          <w:rFonts w:ascii="Garamond" w:hAnsi="Garamond" w:cs="Arial"/>
          <w:sz w:val="24"/>
          <w:szCs w:val="24"/>
        </w:rPr>
        <w:t>o s</w:t>
      </w:r>
      <w:r w:rsidRPr="00EA2345">
        <w:rPr>
          <w:rFonts w:ascii="Garamond" w:hAnsi="Garamond" w:cs="Arial"/>
          <w:sz w:val="24"/>
          <w:szCs w:val="24"/>
        </w:rPr>
        <w:t xml:space="preserve">ó </w:t>
      </w:r>
      <w:r w:rsidR="00823BE0" w:rsidRPr="00EA2345">
        <w:rPr>
          <w:rFonts w:ascii="Garamond" w:hAnsi="Garamond" w:cs="Arial"/>
          <w:sz w:val="24"/>
          <w:szCs w:val="24"/>
        </w:rPr>
        <w:t>contempl</w:t>
      </w:r>
      <w:r w:rsidRPr="00EA2345">
        <w:rPr>
          <w:rFonts w:ascii="Garamond" w:hAnsi="Garamond" w:cs="Arial"/>
          <w:sz w:val="24"/>
          <w:szCs w:val="24"/>
        </w:rPr>
        <w:t xml:space="preserve">ou </w:t>
      </w:r>
      <w:r w:rsidR="00823BE0" w:rsidRPr="00EA2345">
        <w:rPr>
          <w:rFonts w:ascii="Garamond" w:hAnsi="Garamond" w:cs="Arial"/>
          <w:sz w:val="24"/>
          <w:szCs w:val="24"/>
        </w:rPr>
        <w:t xml:space="preserve">as </w:t>
      </w:r>
      <w:r w:rsidR="005D38DC" w:rsidRPr="00EA2345">
        <w:rPr>
          <w:rFonts w:ascii="Garamond" w:hAnsi="Garamond" w:cs="Arial"/>
          <w:sz w:val="24"/>
          <w:szCs w:val="24"/>
        </w:rPr>
        <w:t>limitações</w:t>
      </w:r>
      <w:r w:rsidR="00823BE0" w:rsidRPr="00EA2345">
        <w:rPr>
          <w:rFonts w:ascii="Garamond" w:hAnsi="Garamond" w:cs="Arial"/>
          <w:sz w:val="24"/>
          <w:szCs w:val="24"/>
        </w:rPr>
        <w:t xml:space="preserve">, </w:t>
      </w:r>
      <w:r w:rsidRPr="00EA2345">
        <w:rPr>
          <w:rFonts w:ascii="Garamond" w:hAnsi="Garamond" w:cs="Arial"/>
          <w:sz w:val="24"/>
          <w:szCs w:val="24"/>
        </w:rPr>
        <w:t xml:space="preserve">como </w:t>
      </w:r>
      <w:r w:rsidR="000350B1" w:rsidRPr="00EA2345">
        <w:rPr>
          <w:rFonts w:ascii="Garamond" w:hAnsi="Garamond" w:cs="Arial"/>
          <w:sz w:val="24"/>
          <w:szCs w:val="24"/>
        </w:rPr>
        <w:t>também</w:t>
      </w:r>
      <w:r w:rsidRPr="00EA2345">
        <w:rPr>
          <w:rFonts w:ascii="Garamond" w:hAnsi="Garamond" w:cs="Arial"/>
          <w:sz w:val="24"/>
          <w:szCs w:val="24"/>
        </w:rPr>
        <w:t xml:space="preserve"> </w:t>
      </w:r>
      <w:r w:rsidR="00823BE0" w:rsidRPr="00EA2345">
        <w:rPr>
          <w:rFonts w:ascii="Garamond" w:hAnsi="Garamond" w:cs="Arial"/>
          <w:sz w:val="24"/>
          <w:szCs w:val="24"/>
        </w:rPr>
        <w:t xml:space="preserve">os </w:t>
      </w:r>
      <w:r w:rsidR="00FC1F7F" w:rsidRPr="00EA2345">
        <w:rPr>
          <w:rFonts w:ascii="Garamond" w:hAnsi="Garamond" w:cs="Arial"/>
          <w:sz w:val="24"/>
          <w:szCs w:val="24"/>
        </w:rPr>
        <w:t>avanços</w:t>
      </w:r>
      <w:r w:rsidR="00823BE0" w:rsidRPr="00EA2345">
        <w:rPr>
          <w:rFonts w:ascii="Garamond" w:hAnsi="Garamond" w:cs="Arial"/>
          <w:sz w:val="24"/>
          <w:szCs w:val="24"/>
        </w:rPr>
        <w:t xml:space="preserve"> </w:t>
      </w:r>
      <w:r w:rsidR="00774697" w:rsidRPr="00EA2345">
        <w:rPr>
          <w:rFonts w:ascii="Garamond" w:hAnsi="Garamond" w:cs="Arial"/>
          <w:sz w:val="24"/>
          <w:szCs w:val="24"/>
        </w:rPr>
        <w:t>jurisprudenciais</w:t>
      </w:r>
      <w:r w:rsidR="00823BE0" w:rsidRPr="00EA2345">
        <w:rPr>
          <w:rFonts w:ascii="Garamond" w:hAnsi="Garamond" w:cs="Arial"/>
          <w:sz w:val="24"/>
          <w:szCs w:val="24"/>
        </w:rPr>
        <w:t xml:space="preserve"> realizados. </w:t>
      </w:r>
      <w:r w:rsidRPr="00EA2345">
        <w:rPr>
          <w:rFonts w:ascii="Garamond" w:hAnsi="Garamond" w:cs="Arial"/>
          <w:sz w:val="24"/>
          <w:szCs w:val="24"/>
        </w:rPr>
        <w:t xml:space="preserve">A </w:t>
      </w:r>
      <w:r w:rsidR="00823BE0" w:rsidRPr="00EA2345">
        <w:rPr>
          <w:rFonts w:ascii="Garamond" w:hAnsi="Garamond" w:cs="Arial"/>
          <w:sz w:val="24"/>
          <w:szCs w:val="24"/>
        </w:rPr>
        <w:t>modalidad</w:t>
      </w:r>
      <w:r w:rsidRPr="00EA2345">
        <w:rPr>
          <w:rFonts w:ascii="Garamond" w:hAnsi="Garamond" w:cs="Arial"/>
          <w:sz w:val="24"/>
          <w:szCs w:val="24"/>
        </w:rPr>
        <w:t>e</w:t>
      </w:r>
      <w:r w:rsidR="00823BE0" w:rsidRPr="00EA2345">
        <w:rPr>
          <w:rFonts w:ascii="Garamond" w:hAnsi="Garamond" w:cs="Arial"/>
          <w:sz w:val="24"/>
          <w:szCs w:val="24"/>
        </w:rPr>
        <w:t xml:space="preserve"> </w:t>
      </w:r>
      <w:r w:rsidRPr="00EA2345">
        <w:rPr>
          <w:rFonts w:ascii="Garamond" w:hAnsi="Garamond" w:cs="Arial"/>
          <w:sz w:val="24"/>
          <w:szCs w:val="24"/>
        </w:rPr>
        <w:t>escolhida</w:t>
      </w:r>
      <w:r w:rsidR="00823BE0" w:rsidRPr="00EA2345">
        <w:rPr>
          <w:rFonts w:ascii="Garamond" w:hAnsi="Garamond" w:cs="Arial"/>
          <w:sz w:val="24"/>
          <w:szCs w:val="24"/>
        </w:rPr>
        <w:t xml:space="preserve"> para </w:t>
      </w:r>
      <w:r w:rsidRPr="00EA2345">
        <w:rPr>
          <w:rFonts w:ascii="Garamond" w:hAnsi="Garamond" w:cs="Arial"/>
          <w:sz w:val="24"/>
          <w:szCs w:val="24"/>
        </w:rPr>
        <w:t>o</w:t>
      </w:r>
      <w:r w:rsidR="001A2B01" w:rsidRPr="00EA2345">
        <w:rPr>
          <w:rFonts w:ascii="Garamond" w:hAnsi="Garamond" w:cs="Arial"/>
          <w:i/>
          <w:sz w:val="24"/>
          <w:szCs w:val="24"/>
        </w:rPr>
        <w:t xml:space="preserve"> encontro</w:t>
      </w:r>
      <w:r w:rsidR="00823BE0" w:rsidRPr="00EA2345">
        <w:rPr>
          <w:rFonts w:ascii="Garamond" w:hAnsi="Garamond" w:cs="Arial"/>
          <w:sz w:val="24"/>
          <w:szCs w:val="24"/>
        </w:rPr>
        <w:t xml:space="preserve"> </w:t>
      </w:r>
      <w:r w:rsidR="00462B11" w:rsidRPr="00EA2345">
        <w:rPr>
          <w:rFonts w:ascii="Garamond" w:hAnsi="Garamond" w:cs="Arial"/>
          <w:sz w:val="24"/>
          <w:szCs w:val="24"/>
        </w:rPr>
        <w:t>foi</w:t>
      </w:r>
      <w:r w:rsidRPr="00EA2345">
        <w:rPr>
          <w:rFonts w:ascii="Garamond" w:hAnsi="Garamond" w:cs="Arial"/>
          <w:sz w:val="24"/>
          <w:szCs w:val="24"/>
        </w:rPr>
        <w:t xml:space="preserve"> </w:t>
      </w:r>
      <w:r w:rsidR="00823BE0" w:rsidRPr="00EA2345">
        <w:rPr>
          <w:rFonts w:ascii="Garamond" w:hAnsi="Garamond" w:cs="Arial"/>
          <w:sz w:val="24"/>
          <w:szCs w:val="24"/>
        </w:rPr>
        <w:t>a semipr</w:t>
      </w:r>
      <w:r w:rsidRPr="00EA2345">
        <w:rPr>
          <w:rFonts w:ascii="Garamond" w:hAnsi="Garamond" w:cs="Arial"/>
          <w:sz w:val="24"/>
          <w:szCs w:val="24"/>
        </w:rPr>
        <w:t>e</w:t>
      </w:r>
      <w:r w:rsidR="00661ADB" w:rsidRPr="00EA2345">
        <w:rPr>
          <w:rFonts w:ascii="Garamond" w:hAnsi="Garamond" w:cs="Arial"/>
          <w:sz w:val="24"/>
          <w:szCs w:val="24"/>
        </w:rPr>
        <w:t>sencial</w:t>
      </w:r>
      <w:r w:rsidR="00823BE0" w:rsidRPr="00EA2345">
        <w:rPr>
          <w:rFonts w:ascii="Garamond" w:hAnsi="Garamond" w:cs="Arial"/>
          <w:sz w:val="24"/>
          <w:szCs w:val="24"/>
        </w:rPr>
        <w:t xml:space="preserve">, </w:t>
      </w:r>
      <w:r w:rsidRPr="00EA2345">
        <w:rPr>
          <w:rFonts w:ascii="Garamond" w:hAnsi="Garamond" w:cs="Arial"/>
          <w:sz w:val="24"/>
          <w:szCs w:val="24"/>
        </w:rPr>
        <w:t xml:space="preserve">conseguindo-se </w:t>
      </w:r>
      <w:r w:rsidR="00823BE0" w:rsidRPr="00EA2345">
        <w:rPr>
          <w:rFonts w:ascii="Garamond" w:hAnsi="Garamond" w:cs="Arial"/>
          <w:sz w:val="24"/>
          <w:szCs w:val="24"/>
        </w:rPr>
        <w:t xml:space="preserve">a </w:t>
      </w:r>
      <w:r w:rsidR="0017447A" w:rsidRPr="00EA2345">
        <w:rPr>
          <w:rFonts w:ascii="Garamond" w:hAnsi="Garamond" w:cs="Arial"/>
          <w:sz w:val="24"/>
          <w:szCs w:val="24"/>
        </w:rPr>
        <w:t>participação</w:t>
      </w:r>
      <w:r w:rsidR="00823BE0" w:rsidRPr="00EA2345">
        <w:rPr>
          <w:rFonts w:ascii="Garamond" w:hAnsi="Garamond" w:cs="Arial"/>
          <w:sz w:val="24"/>
          <w:szCs w:val="24"/>
        </w:rPr>
        <w:t xml:space="preserve"> de</w:t>
      </w:r>
      <w:r w:rsidR="00461DFD" w:rsidRPr="00EA2345">
        <w:rPr>
          <w:rFonts w:ascii="Garamond" w:hAnsi="Garamond" w:cs="Arial"/>
          <w:sz w:val="24"/>
          <w:szCs w:val="24"/>
        </w:rPr>
        <w:t xml:space="preserve"> </w:t>
      </w:r>
      <w:r w:rsidR="00823BE0" w:rsidRPr="00EA2345">
        <w:rPr>
          <w:rFonts w:ascii="Garamond" w:hAnsi="Garamond" w:cs="Arial"/>
          <w:sz w:val="24"/>
          <w:szCs w:val="24"/>
        </w:rPr>
        <w:t xml:space="preserve">procedentes de todo </w:t>
      </w:r>
      <w:r w:rsidRPr="00EA2345">
        <w:rPr>
          <w:rFonts w:ascii="Garamond" w:hAnsi="Garamond" w:cs="Arial"/>
          <w:sz w:val="24"/>
          <w:szCs w:val="24"/>
        </w:rPr>
        <w:t xml:space="preserve">o </w:t>
      </w:r>
      <w:r w:rsidR="00823BE0" w:rsidRPr="00EA2345">
        <w:rPr>
          <w:rFonts w:ascii="Garamond" w:hAnsi="Garamond" w:cs="Arial"/>
          <w:sz w:val="24"/>
          <w:szCs w:val="24"/>
        </w:rPr>
        <w:t xml:space="preserve">país. </w:t>
      </w:r>
    </w:p>
    <w:p w:rsidR="00823BE0" w:rsidRPr="003A1174" w:rsidRDefault="00EA3A43" w:rsidP="006E4BFA">
      <w:pPr>
        <w:spacing w:before="240" w:after="0" w:line="240" w:lineRule="auto"/>
        <w:jc w:val="both"/>
        <w:rPr>
          <w:rFonts w:ascii="Garamond" w:hAnsi="Garamond" w:cs="Arial"/>
          <w:sz w:val="24"/>
          <w:szCs w:val="24"/>
        </w:rPr>
      </w:pPr>
      <w:r w:rsidRPr="00EA2345">
        <w:rPr>
          <w:rFonts w:ascii="Garamond" w:hAnsi="Garamond" w:cs="Arial"/>
          <w:sz w:val="24"/>
          <w:szCs w:val="24"/>
        </w:rPr>
        <w:t>E</w:t>
      </w:r>
      <w:r w:rsidR="00DD569C" w:rsidRPr="00EA2345">
        <w:rPr>
          <w:rFonts w:ascii="Garamond" w:hAnsi="Garamond" w:cs="Arial"/>
          <w:sz w:val="24"/>
          <w:szCs w:val="24"/>
        </w:rPr>
        <w:t>ste</w:t>
      </w:r>
      <w:r w:rsidR="00823BE0" w:rsidRPr="00EA2345">
        <w:rPr>
          <w:rFonts w:ascii="Garamond" w:hAnsi="Garamond" w:cs="Arial"/>
          <w:sz w:val="24"/>
          <w:szCs w:val="24"/>
        </w:rPr>
        <w:t xml:space="preserve"> </w:t>
      </w:r>
      <w:r w:rsidR="00276DCA" w:rsidRPr="00EA2345">
        <w:rPr>
          <w:rFonts w:ascii="Garamond" w:hAnsi="Garamond" w:cs="Arial"/>
          <w:sz w:val="24"/>
          <w:szCs w:val="24"/>
        </w:rPr>
        <w:t>primeiro</w:t>
      </w:r>
      <w:r w:rsidR="00823BE0" w:rsidRPr="00EA2345">
        <w:rPr>
          <w:rFonts w:ascii="Garamond" w:hAnsi="Garamond" w:cs="Arial"/>
          <w:sz w:val="24"/>
          <w:szCs w:val="24"/>
        </w:rPr>
        <w:t xml:space="preserve"> </w:t>
      </w:r>
      <w:r w:rsidR="001A2B01" w:rsidRPr="00EA2345">
        <w:rPr>
          <w:rFonts w:ascii="Garamond" w:hAnsi="Garamond" w:cs="Arial"/>
          <w:i/>
          <w:sz w:val="24"/>
          <w:szCs w:val="24"/>
        </w:rPr>
        <w:t>encontro</w:t>
      </w:r>
      <w:r w:rsidR="00823BE0" w:rsidRPr="00EA2345">
        <w:rPr>
          <w:rFonts w:ascii="Garamond" w:hAnsi="Garamond" w:cs="Arial"/>
          <w:sz w:val="24"/>
          <w:szCs w:val="24"/>
        </w:rPr>
        <w:t xml:space="preserve"> </w:t>
      </w:r>
      <w:r w:rsidRPr="00EA2345">
        <w:rPr>
          <w:rFonts w:ascii="Garamond" w:hAnsi="Garamond" w:cs="Arial"/>
          <w:sz w:val="24"/>
          <w:szCs w:val="24"/>
        </w:rPr>
        <w:t>n</w:t>
      </w:r>
      <w:r w:rsidR="006E4BFA" w:rsidRPr="00EA2345">
        <w:rPr>
          <w:rFonts w:ascii="Garamond" w:hAnsi="Garamond" w:cs="Arial"/>
          <w:sz w:val="24"/>
          <w:szCs w:val="24"/>
        </w:rPr>
        <w:t>ã</w:t>
      </w:r>
      <w:r w:rsidRPr="00EA2345">
        <w:rPr>
          <w:rFonts w:ascii="Garamond" w:hAnsi="Garamond" w:cs="Arial"/>
          <w:sz w:val="24"/>
          <w:szCs w:val="24"/>
        </w:rPr>
        <w:t xml:space="preserve">o </w:t>
      </w:r>
      <w:r w:rsidR="006E4BFA" w:rsidRPr="00EA2345">
        <w:rPr>
          <w:rFonts w:ascii="Garamond" w:hAnsi="Garamond" w:cs="Arial"/>
          <w:sz w:val="24"/>
          <w:szCs w:val="24"/>
        </w:rPr>
        <w:t>permitiu</w:t>
      </w:r>
      <w:r w:rsidR="00CB70C2" w:rsidRPr="00EA2345">
        <w:rPr>
          <w:rFonts w:ascii="Garamond" w:hAnsi="Garamond" w:cs="Arial"/>
          <w:sz w:val="24"/>
          <w:szCs w:val="24"/>
        </w:rPr>
        <w:t>,</w:t>
      </w:r>
      <w:r w:rsidR="006E4BFA" w:rsidRPr="00EA2345">
        <w:rPr>
          <w:rFonts w:ascii="Garamond" w:hAnsi="Garamond" w:cs="Arial"/>
          <w:sz w:val="24"/>
          <w:szCs w:val="24"/>
        </w:rPr>
        <w:t xml:space="preserve"> apenas </w:t>
      </w:r>
      <w:r w:rsidR="00461DFD" w:rsidRPr="00EA2345">
        <w:rPr>
          <w:rFonts w:ascii="Garamond" w:hAnsi="Garamond" w:cs="Arial"/>
          <w:sz w:val="24"/>
          <w:szCs w:val="24"/>
        </w:rPr>
        <w:t xml:space="preserve">habilitar </w:t>
      </w:r>
      <w:r w:rsidR="000672E8" w:rsidRPr="00EA2345">
        <w:rPr>
          <w:rFonts w:ascii="Garamond" w:hAnsi="Garamond" w:cs="Arial"/>
          <w:sz w:val="24"/>
          <w:szCs w:val="24"/>
        </w:rPr>
        <w:t>e</w:t>
      </w:r>
      <w:r w:rsidR="00823BE0" w:rsidRPr="00EA2345">
        <w:rPr>
          <w:rFonts w:ascii="Garamond" w:hAnsi="Garamond" w:cs="Arial"/>
          <w:sz w:val="24"/>
          <w:szCs w:val="24"/>
        </w:rPr>
        <w:t xml:space="preserve"> sensibilizar </w:t>
      </w:r>
      <w:r w:rsidR="006E4BFA" w:rsidRPr="00EA2345">
        <w:rPr>
          <w:rFonts w:ascii="Garamond" w:hAnsi="Garamond" w:cs="Arial"/>
          <w:sz w:val="24"/>
          <w:szCs w:val="24"/>
        </w:rPr>
        <w:t>o</w:t>
      </w:r>
      <w:r w:rsidR="00823BE0" w:rsidRPr="00EA2345">
        <w:rPr>
          <w:rFonts w:ascii="Garamond" w:hAnsi="Garamond" w:cs="Arial"/>
          <w:sz w:val="24"/>
          <w:szCs w:val="24"/>
        </w:rPr>
        <w:t>s</w:t>
      </w:r>
      <w:r w:rsidR="00496CB2" w:rsidRPr="00EA2345">
        <w:rPr>
          <w:rFonts w:ascii="Garamond" w:hAnsi="Garamond" w:cs="Arial"/>
          <w:sz w:val="24"/>
          <w:szCs w:val="24"/>
        </w:rPr>
        <w:t xml:space="preserve"> operador</w:t>
      </w:r>
      <w:r w:rsidR="00461DFD" w:rsidRPr="00EA2345">
        <w:rPr>
          <w:rFonts w:ascii="Garamond" w:hAnsi="Garamond" w:cs="Arial"/>
          <w:sz w:val="24"/>
          <w:szCs w:val="24"/>
        </w:rPr>
        <w:t>e</w:t>
      </w:r>
      <w:r w:rsidR="00496CB2" w:rsidRPr="00EA2345">
        <w:rPr>
          <w:rFonts w:ascii="Garamond" w:hAnsi="Garamond" w:cs="Arial"/>
          <w:sz w:val="24"/>
          <w:szCs w:val="24"/>
        </w:rPr>
        <w:t>s</w:t>
      </w:r>
      <w:r w:rsidR="00823BE0" w:rsidRPr="00EA2345">
        <w:rPr>
          <w:rFonts w:ascii="Garamond" w:hAnsi="Garamond" w:cs="Arial"/>
          <w:sz w:val="24"/>
          <w:szCs w:val="24"/>
        </w:rPr>
        <w:t xml:space="preserve"> de </w:t>
      </w:r>
      <w:r w:rsidR="00FC1F7F" w:rsidRPr="00EA2345">
        <w:rPr>
          <w:rFonts w:ascii="Garamond" w:hAnsi="Garamond" w:cs="Arial"/>
          <w:sz w:val="24"/>
          <w:szCs w:val="24"/>
        </w:rPr>
        <w:t>justiça</w:t>
      </w:r>
      <w:r w:rsidR="00461DFD" w:rsidRPr="00EA2345">
        <w:rPr>
          <w:rFonts w:ascii="Garamond" w:hAnsi="Garamond" w:cs="Arial"/>
          <w:sz w:val="24"/>
          <w:szCs w:val="24"/>
        </w:rPr>
        <w:t>,</w:t>
      </w:r>
      <w:r w:rsidR="00823BE0" w:rsidRPr="00EA2345">
        <w:rPr>
          <w:rFonts w:ascii="Garamond" w:hAnsi="Garamond" w:cs="Arial"/>
          <w:sz w:val="24"/>
          <w:szCs w:val="24"/>
        </w:rPr>
        <w:t xml:space="preserve"> e</w:t>
      </w:r>
      <w:r w:rsidR="006E4BFA" w:rsidRPr="00EA2345">
        <w:rPr>
          <w:rFonts w:ascii="Garamond" w:hAnsi="Garamond" w:cs="Arial"/>
          <w:sz w:val="24"/>
          <w:szCs w:val="24"/>
        </w:rPr>
        <w:t>m</w:t>
      </w:r>
      <w:r w:rsidR="00823BE0" w:rsidRPr="00EA2345">
        <w:rPr>
          <w:rFonts w:ascii="Garamond" w:hAnsi="Garamond" w:cs="Arial"/>
          <w:sz w:val="24"/>
          <w:szCs w:val="24"/>
        </w:rPr>
        <w:t xml:space="preserve"> temas t</w:t>
      </w:r>
      <w:r w:rsidR="006E4BFA" w:rsidRPr="00EA2345">
        <w:rPr>
          <w:rFonts w:ascii="Garamond" w:hAnsi="Garamond" w:cs="Arial"/>
          <w:sz w:val="24"/>
          <w:szCs w:val="24"/>
        </w:rPr>
        <w:t>ão relevantes</w:t>
      </w:r>
      <w:r w:rsidR="00461DFD" w:rsidRPr="00EA2345">
        <w:rPr>
          <w:rFonts w:ascii="Garamond" w:hAnsi="Garamond" w:cs="Arial"/>
          <w:sz w:val="24"/>
          <w:szCs w:val="24"/>
        </w:rPr>
        <w:t>,</w:t>
      </w:r>
      <w:r w:rsidR="006E4BFA" w:rsidRPr="00EA2345">
        <w:rPr>
          <w:rFonts w:ascii="Garamond" w:hAnsi="Garamond" w:cs="Arial"/>
          <w:sz w:val="24"/>
          <w:szCs w:val="24"/>
        </w:rPr>
        <w:t xml:space="preserve"> como </w:t>
      </w:r>
      <w:r w:rsidR="00823BE0" w:rsidRPr="00EA2345">
        <w:rPr>
          <w:rFonts w:ascii="Garamond" w:hAnsi="Garamond" w:cs="Arial"/>
          <w:sz w:val="24"/>
          <w:szCs w:val="24"/>
        </w:rPr>
        <w:t xml:space="preserve">os </w:t>
      </w:r>
      <w:r w:rsidR="006E4BFA" w:rsidRPr="00EA2345">
        <w:rPr>
          <w:rFonts w:ascii="Garamond" w:hAnsi="Garamond" w:cs="Arial"/>
          <w:sz w:val="24"/>
          <w:szCs w:val="24"/>
        </w:rPr>
        <w:t xml:space="preserve">anteriormente referidos, </w:t>
      </w:r>
      <w:r w:rsidR="00E71DA4" w:rsidRPr="00EA2345">
        <w:rPr>
          <w:rFonts w:ascii="Garamond" w:hAnsi="Garamond" w:cs="Arial"/>
          <w:sz w:val="24"/>
          <w:szCs w:val="24"/>
        </w:rPr>
        <w:t xml:space="preserve">mas </w:t>
      </w:r>
      <w:r w:rsidR="00461DFD" w:rsidRPr="00EA2345">
        <w:rPr>
          <w:rFonts w:ascii="Garamond" w:hAnsi="Garamond" w:cs="Arial"/>
          <w:sz w:val="24"/>
          <w:szCs w:val="24"/>
        </w:rPr>
        <w:t>também</w:t>
      </w:r>
      <w:r w:rsidR="00E71DA4" w:rsidRPr="00EA2345">
        <w:rPr>
          <w:rFonts w:ascii="Garamond" w:hAnsi="Garamond" w:cs="Arial"/>
          <w:sz w:val="24"/>
          <w:szCs w:val="24"/>
        </w:rPr>
        <w:t xml:space="preserve"> os alertou para a necessidade de</w:t>
      </w:r>
      <w:r w:rsidR="00823BE0" w:rsidRPr="00EA2345">
        <w:rPr>
          <w:rFonts w:ascii="Garamond" w:hAnsi="Garamond" w:cs="Arial"/>
          <w:sz w:val="24"/>
          <w:szCs w:val="24"/>
        </w:rPr>
        <w:t xml:space="preserve"> </w:t>
      </w:r>
      <w:r w:rsidR="00886D6A" w:rsidRPr="00EA2345">
        <w:rPr>
          <w:rFonts w:ascii="Garamond" w:hAnsi="Garamond" w:cs="Arial"/>
          <w:sz w:val="24"/>
          <w:szCs w:val="24"/>
        </w:rPr>
        <w:t>investigação</w:t>
      </w:r>
      <w:r w:rsidR="00823BE0" w:rsidRPr="00EA2345">
        <w:rPr>
          <w:rFonts w:ascii="Garamond" w:hAnsi="Garamond" w:cs="Arial"/>
          <w:sz w:val="24"/>
          <w:szCs w:val="24"/>
        </w:rPr>
        <w:t xml:space="preserve"> </w:t>
      </w:r>
      <w:r w:rsidR="000672E8" w:rsidRPr="00EA2345">
        <w:rPr>
          <w:rFonts w:ascii="Garamond" w:hAnsi="Garamond" w:cs="Arial"/>
          <w:sz w:val="24"/>
          <w:szCs w:val="24"/>
        </w:rPr>
        <w:t>e</w:t>
      </w:r>
      <w:r w:rsidR="00823BE0" w:rsidRPr="00EA2345">
        <w:rPr>
          <w:rFonts w:ascii="Garamond" w:hAnsi="Garamond" w:cs="Arial"/>
          <w:sz w:val="24"/>
          <w:szCs w:val="24"/>
        </w:rPr>
        <w:t xml:space="preserve"> </w:t>
      </w:r>
      <w:r w:rsidR="00FC4727" w:rsidRPr="00EA2345">
        <w:rPr>
          <w:rFonts w:ascii="Garamond" w:hAnsi="Garamond" w:cs="Arial"/>
          <w:sz w:val="24"/>
          <w:szCs w:val="24"/>
        </w:rPr>
        <w:t>punição</w:t>
      </w:r>
      <w:r w:rsidR="00823BE0" w:rsidRPr="00EA2345">
        <w:rPr>
          <w:rFonts w:ascii="Garamond" w:hAnsi="Garamond" w:cs="Arial"/>
          <w:sz w:val="24"/>
          <w:szCs w:val="24"/>
        </w:rPr>
        <w:t xml:space="preserve"> </w:t>
      </w:r>
      <w:r w:rsidR="00497503" w:rsidRPr="00EA2345">
        <w:rPr>
          <w:rFonts w:ascii="Garamond" w:hAnsi="Garamond" w:cs="Arial"/>
          <w:sz w:val="24"/>
          <w:szCs w:val="24"/>
        </w:rPr>
        <w:t>dos</w:t>
      </w:r>
      <w:r w:rsidR="00823BE0" w:rsidRPr="00EA2345">
        <w:rPr>
          <w:rFonts w:ascii="Garamond" w:hAnsi="Garamond" w:cs="Arial"/>
          <w:sz w:val="24"/>
          <w:szCs w:val="24"/>
        </w:rPr>
        <w:t xml:space="preserve"> casos de </w:t>
      </w:r>
      <w:r w:rsidR="000350B1" w:rsidRPr="00EA2345">
        <w:rPr>
          <w:rFonts w:ascii="Garamond" w:hAnsi="Garamond" w:cs="Arial"/>
          <w:sz w:val="24"/>
          <w:szCs w:val="24"/>
        </w:rPr>
        <w:t>violência</w:t>
      </w:r>
      <w:r w:rsidR="00823BE0" w:rsidRPr="00EA2345">
        <w:rPr>
          <w:rFonts w:ascii="Garamond" w:hAnsi="Garamond" w:cs="Arial"/>
          <w:sz w:val="24"/>
          <w:szCs w:val="24"/>
        </w:rPr>
        <w:t xml:space="preserve"> </w:t>
      </w:r>
      <w:r w:rsidR="00BB2B00" w:rsidRPr="00EA2345">
        <w:rPr>
          <w:rFonts w:ascii="Garamond" w:hAnsi="Garamond" w:cs="Arial"/>
          <w:sz w:val="24"/>
          <w:szCs w:val="24"/>
        </w:rPr>
        <w:t>contra a</w:t>
      </w:r>
      <w:r w:rsidR="00823BE0" w:rsidRPr="00EA2345">
        <w:rPr>
          <w:rFonts w:ascii="Garamond" w:hAnsi="Garamond" w:cs="Arial"/>
          <w:sz w:val="24"/>
          <w:szCs w:val="24"/>
        </w:rPr>
        <w:t xml:space="preserve"> </w:t>
      </w:r>
      <w:r w:rsidR="00AF192F" w:rsidRPr="00EA2345">
        <w:rPr>
          <w:rFonts w:ascii="Garamond" w:hAnsi="Garamond" w:cs="Arial"/>
          <w:sz w:val="24"/>
          <w:szCs w:val="24"/>
        </w:rPr>
        <w:t>mulher</w:t>
      </w:r>
      <w:r w:rsidR="00E71DA4" w:rsidRPr="00EA2345">
        <w:rPr>
          <w:rFonts w:ascii="Garamond" w:hAnsi="Garamond" w:cs="Arial"/>
          <w:sz w:val="24"/>
          <w:szCs w:val="24"/>
        </w:rPr>
        <w:t>.</w:t>
      </w:r>
      <w:r w:rsidR="00CB70C2" w:rsidRPr="00EA2345">
        <w:rPr>
          <w:rFonts w:ascii="Garamond" w:hAnsi="Garamond" w:cs="Arial"/>
          <w:sz w:val="24"/>
          <w:szCs w:val="24"/>
        </w:rPr>
        <w:t xml:space="preserve"> </w:t>
      </w:r>
      <w:r w:rsidR="00E71DA4" w:rsidRPr="00EA2345">
        <w:rPr>
          <w:rFonts w:ascii="Garamond" w:hAnsi="Garamond" w:cs="Arial"/>
          <w:sz w:val="24"/>
          <w:szCs w:val="24"/>
        </w:rPr>
        <w:t>D</w:t>
      </w:r>
      <w:r w:rsidR="00CB70C2" w:rsidRPr="00EA2345">
        <w:rPr>
          <w:rFonts w:ascii="Garamond" w:hAnsi="Garamond" w:cs="Arial"/>
          <w:sz w:val="24"/>
          <w:szCs w:val="24"/>
        </w:rPr>
        <w:t>e</w:t>
      </w:r>
      <w:r w:rsidR="00E71DA4" w:rsidRPr="00EA2345">
        <w:rPr>
          <w:rFonts w:ascii="Garamond" w:hAnsi="Garamond" w:cs="Arial"/>
          <w:sz w:val="24"/>
          <w:szCs w:val="24"/>
        </w:rPr>
        <w:t>u-lhes,</w:t>
      </w:r>
      <w:r w:rsidR="006E4BFA" w:rsidRPr="00EA2345">
        <w:rPr>
          <w:rFonts w:ascii="Garamond" w:hAnsi="Garamond" w:cs="Arial"/>
          <w:sz w:val="24"/>
          <w:szCs w:val="24"/>
        </w:rPr>
        <w:t xml:space="preserve"> também</w:t>
      </w:r>
      <w:r w:rsidR="00E71DA4" w:rsidRPr="00EA2345">
        <w:rPr>
          <w:rFonts w:ascii="Garamond" w:hAnsi="Garamond" w:cs="Arial"/>
          <w:sz w:val="24"/>
          <w:szCs w:val="24"/>
        </w:rPr>
        <w:t>,</w:t>
      </w:r>
      <w:r w:rsidR="006E4BFA" w:rsidRPr="00EA2345">
        <w:rPr>
          <w:rFonts w:ascii="Garamond" w:hAnsi="Garamond" w:cs="Arial"/>
          <w:sz w:val="24"/>
          <w:szCs w:val="24"/>
        </w:rPr>
        <w:t xml:space="preserve"> a conhecer, </w:t>
      </w:r>
      <w:r w:rsidR="00823BE0" w:rsidRPr="00EA2345">
        <w:rPr>
          <w:rFonts w:ascii="Garamond" w:hAnsi="Garamond" w:cs="Arial"/>
          <w:sz w:val="24"/>
          <w:szCs w:val="24"/>
        </w:rPr>
        <w:t xml:space="preserve">de </w:t>
      </w:r>
      <w:r w:rsidR="006E4BFA" w:rsidRPr="00EA2345">
        <w:rPr>
          <w:rFonts w:ascii="Garamond" w:hAnsi="Garamond" w:cs="Arial"/>
          <w:sz w:val="24"/>
          <w:szCs w:val="24"/>
        </w:rPr>
        <w:t xml:space="preserve">maneira mais </w:t>
      </w:r>
      <w:r w:rsidR="00774697" w:rsidRPr="00EA2345">
        <w:rPr>
          <w:rFonts w:ascii="Garamond" w:hAnsi="Garamond" w:cs="Arial"/>
          <w:sz w:val="24"/>
          <w:szCs w:val="24"/>
        </w:rPr>
        <w:t>direta</w:t>
      </w:r>
      <w:r w:rsidR="00823BE0" w:rsidRPr="00EA2345">
        <w:rPr>
          <w:rFonts w:ascii="Garamond" w:hAnsi="Garamond" w:cs="Arial"/>
          <w:sz w:val="24"/>
          <w:szCs w:val="24"/>
        </w:rPr>
        <w:t xml:space="preserve">, </w:t>
      </w:r>
      <w:r w:rsidRPr="00EA2345">
        <w:rPr>
          <w:rFonts w:ascii="Garamond" w:hAnsi="Garamond" w:cs="Arial"/>
          <w:sz w:val="24"/>
          <w:szCs w:val="24"/>
        </w:rPr>
        <w:t xml:space="preserve">a forma </w:t>
      </w:r>
      <w:r w:rsidR="006E4BFA" w:rsidRPr="00EA2345">
        <w:rPr>
          <w:rFonts w:ascii="Garamond" w:hAnsi="Garamond" w:cs="Arial"/>
          <w:sz w:val="24"/>
          <w:szCs w:val="24"/>
        </w:rPr>
        <w:t xml:space="preserve">como </w:t>
      </w:r>
      <w:r w:rsidRPr="00EA2345">
        <w:rPr>
          <w:rFonts w:ascii="Garamond" w:hAnsi="Garamond" w:cs="Arial"/>
          <w:sz w:val="24"/>
          <w:szCs w:val="24"/>
        </w:rPr>
        <w:t>se des</w:t>
      </w:r>
      <w:r w:rsidR="006E4BFA" w:rsidRPr="00EA2345">
        <w:rPr>
          <w:rFonts w:ascii="Garamond" w:hAnsi="Garamond" w:cs="Arial"/>
          <w:sz w:val="24"/>
          <w:szCs w:val="24"/>
        </w:rPr>
        <w:t>envolve</w:t>
      </w:r>
      <w:r w:rsidR="00461DFD" w:rsidRPr="00EA2345">
        <w:rPr>
          <w:rFonts w:ascii="Garamond" w:hAnsi="Garamond" w:cs="Arial"/>
          <w:sz w:val="24"/>
          <w:szCs w:val="24"/>
        </w:rPr>
        <w:t>,</w:t>
      </w:r>
      <w:r w:rsidR="006E4BFA" w:rsidRPr="00EA2345">
        <w:rPr>
          <w:rFonts w:ascii="Garamond" w:hAnsi="Garamond" w:cs="Arial"/>
          <w:sz w:val="24"/>
          <w:szCs w:val="24"/>
        </w:rPr>
        <w:t xml:space="preserve"> </w:t>
      </w:r>
      <w:r w:rsidR="00823BE0" w:rsidRPr="00EA2345">
        <w:rPr>
          <w:rFonts w:ascii="Garamond" w:hAnsi="Garamond" w:cs="Arial"/>
          <w:sz w:val="24"/>
          <w:szCs w:val="24"/>
        </w:rPr>
        <w:t>diariamente</w:t>
      </w:r>
      <w:r w:rsidR="00461DFD" w:rsidRPr="00EA2345">
        <w:rPr>
          <w:rFonts w:ascii="Garamond" w:hAnsi="Garamond" w:cs="Arial"/>
          <w:sz w:val="24"/>
          <w:szCs w:val="24"/>
        </w:rPr>
        <w:t>,</w:t>
      </w:r>
      <w:r w:rsidR="00823BE0" w:rsidRPr="00EA2345">
        <w:rPr>
          <w:rFonts w:ascii="Garamond" w:hAnsi="Garamond" w:cs="Arial"/>
          <w:sz w:val="24"/>
          <w:szCs w:val="24"/>
        </w:rPr>
        <w:t xml:space="preserve"> </w:t>
      </w:r>
      <w:r w:rsidR="006E4BFA" w:rsidRPr="00EA2345">
        <w:rPr>
          <w:rFonts w:ascii="Garamond" w:hAnsi="Garamond" w:cs="Arial"/>
          <w:sz w:val="24"/>
          <w:szCs w:val="24"/>
        </w:rPr>
        <w:t xml:space="preserve">o </w:t>
      </w:r>
      <w:r w:rsidR="0017447A" w:rsidRPr="00EA2345">
        <w:rPr>
          <w:rFonts w:ascii="Garamond" w:hAnsi="Garamond" w:cs="Arial"/>
          <w:sz w:val="24"/>
          <w:szCs w:val="24"/>
        </w:rPr>
        <w:t>trabalho</w:t>
      </w:r>
      <w:r w:rsidR="00823BE0" w:rsidRPr="00EA2345">
        <w:rPr>
          <w:rFonts w:ascii="Garamond" w:hAnsi="Garamond" w:cs="Arial"/>
          <w:sz w:val="24"/>
          <w:szCs w:val="24"/>
        </w:rPr>
        <w:t xml:space="preserve"> d</w:t>
      </w:r>
      <w:r w:rsidR="006E4BFA" w:rsidRPr="00EA2345">
        <w:rPr>
          <w:rFonts w:ascii="Garamond" w:hAnsi="Garamond" w:cs="Arial"/>
          <w:sz w:val="24"/>
          <w:szCs w:val="24"/>
        </w:rPr>
        <w:t xml:space="preserve">os </w:t>
      </w:r>
      <w:r w:rsidR="003E6403" w:rsidRPr="00EA2345">
        <w:rPr>
          <w:rFonts w:ascii="Garamond" w:hAnsi="Garamond" w:cs="Arial"/>
          <w:sz w:val="24"/>
          <w:szCs w:val="24"/>
        </w:rPr>
        <w:t>funcionári</w:t>
      </w:r>
      <w:r w:rsidR="00823BE0" w:rsidRPr="00EA2345">
        <w:rPr>
          <w:rFonts w:ascii="Garamond" w:hAnsi="Garamond" w:cs="Arial"/>
          <w:sz w:val="24"/>
          <w:szCs w:val="24"/>
        </w:rPr>
        <w:t xml:space="preserve">os </w:t>
      </w:r>
      <w:r w:rsidR="00E85E59" w:rsidRPr="00EA2345">
        <w:rPr>
          <w:rFonts w:ascii="Garamond" w:hAnsi="Garamond" w:cs="Arial"/>
          <w:sz w:val="24"/>
          <w:szCs w:val="24"/>
        </w:rPr>
        <w:t>do</w:t>
      </w:r>
      <w:r w:rsidR="00823BE0" w:rsidRPr="00EA2345">
        <w:rPr>
          <w:rFonts w:ascii="Garamond" w:hAnsi="Garamond" w:cs="Arial"/>
          <w:sz w:val="24"/>
          <w:szCs w:val="24"/>
        </w:rPr>
        <w:t xml:space="preserve"> </w:t>
      </w:r>
      <w:r w:rsidR="00461DFD" w:rsidRPr="00EA2345">
        <w:rPr>
          <w:rFonts w:ascii="Garamond" w:hAnsi="Garamond" w:cs="Arial"/>
          <w:sz w:val="24"/>
          <w:szCs w:val="24"/>
        </w:rPr>
        <w:t xml:space="preserve">nosso </w:t>
      </w:r>
      <w:r w:rsidR="00823BE0" w:rsidRPr="00EA2345">
        <w:rPr>
          <w:rFonts w:ascii="Garamond" w:hAnsi="Garamond" w:cs="Arial"/>
          <w:sz w:val="24"/>
          <w:szCs w:val="24"/>
        </w:rPr>
        <w:t xml:space="preserve">sistema de </w:t>
      </w:r>
      <w:r w:rsidR="00FB09CA" w:rsidRPr="00EA2345">
        <w:rPr>
          <w:rFonts w:ascii="Garamond" w:hAnsi="Garamond" w:cs="Arial"/>
          <w:sz w:val="24"/>
          <w:szCs w:val="24"/>
        </w:rPr>
        <w:t>administração</w:t>
      </w:r>
      <w:r w:rsidR="00823BE0" w:rsidRPr="00EA2345">
        <w:rPr>
          <w:rFonts w:ascii="Garamond" w:hAnsi="Garamond" w:cs="Arial"/>
          <w:sz w:val="24"/>
          <w:szCs w:val="24"/>
        </w:rPr>
        <w:t xml:space="preserve"> de </w:t>
      </w:r>
      <w:r w:rsidR="00FC1F7F" w:rsidRPr="00EA2345">
        <w:rPr>
          <w:rFonts w:ascii="Garamond" w:hAnsi="Garamond" w:cs="Arial"/>
          <w:sz w:val="24"/>
          <w:szCs w:val="24"/>
        </w:rPr>
        <w:t>Justiça</w:t>
      </w:r>
      <w:r w:rsidR="00823BE0" w:rsidRPr="00EA2345">
        <w:rPr>
          <w:rFonts w:ascii="Garamond" w:hAnsi="Garamond" w:cs="Arial"/>
          <w:sz w:val="24"/>
          <w:szCs w:val="24"/>
        </w:rPr>
        <w:t xml:space="preserve">. </w:t>
      </w:r>
      <w:r w:rsidR="00461DFD" w:rsidRPr="00EA2345">
        <w:rPr>
          <w:rFonts w:ascii="Garamond" w:hAnsi="Garamond" w:cs="Arial"/>
          <w:sz w:val="24"/>
          <w:szCs w:val="24"/>
        </w:rPr>
        <w:t>Tentou-se, i</w:t>
      </w:r>
      <w:r w:rsidR="006E4BFA" w:rsidRPr="00EA2345">
        <w:rPr>
          <w:rFonts w:ascii="Garamond" w:hAnsi="Garamond" w:cs="Arial"/>
          <w:sz w:val="24"/>
          <w:szCs w:val="24"/>
        </w:rPr>
        <w:t>gualmente</w:t>
      </w:r>
      <w:r w:rsidR="00461DFD" w:rsidRPr="00EA2345">
        <w:rPr>
          <w:rFonts w:ascii="Garamond" w:hAnsi="Garamond" w:cs="Arial"/>
          <w:sz w:val="24"/>
          <w:szCs w:val="24"/>
        </w:rPr>
        <w:t>,</w:t>
      </w:r>
      <w:r w:rsidR="006E4BFA" w:rsidRPr="00EA2345">
        <w:rPr>
          <w:rFonts w:ascii="Garamond" w:hAnsi="Garamond" w:cs="Arial"/>
          <w:sz w:val="24"/>
          <w:szCs w:val="24"/>
        </w:rPr>
        <w:t xml:space="preserve"> que </w:t>
      </w:r>
      <w:r w:rsidR="00823BE0" w:rsidRPr="00EA2345">
        <w:rPr>
          <w:rFonts w:ascii="Garamond" w:hAnsi="Garamond" w:cs="Arial"/>
          <w:sz w:val="24"/>
          <w:szCs w:val="24"/>
        </w:rPr>
        <w:t>os magistrados toma</w:t>
      </w:r>
      <w:r w:rsidR="006E4BFA" w:rsidRPr="00EA2345">
        <w:rPr>
          <w:rFonts w:ascii="Garamond" w:hAnsi="Garamond" w:cs="Arial"/>
          <w:sz w:val="24"/>
          <w:szCs w:val="24"/>
        </w:rPr>
        <w:t xml:space="preserve">ssem </w:t>
      </w:r>
      <w:r w:rsidR="00BA3CCE" w:rsidRPr="00EA2345">
        <w:rPr>
          <w:rFonts w:ascii="Garamond" w:hAnsi="Garamond" w:cs="Arial"/>
          <w:sz w:val="24"/>
          <w:szCs w:val="24"/>
        </w:rPr>
        <w:t>consciência</w:t>
      </w:r>
      <w:r w:rsidR="006E4BFA" w:rsidRPr="00EA2345">
        <w:rPr>
          <w:rFonts w:ascii="Garamond" w:hAnsi="Garamond" w:cs="Arial"/>
          <w:sz w:val="24"/>
          <w:szCs w:val="24"/>
        </w:rPr>
        <w:t xml:space="preserve"> de que </w:t>
      </w:r>
      <w:r w:rsidR="00823BE0" w:rsidRPr="00EA2345">
        <w:rPr>
          <w:rFonts w:ascii="Garamond" w:hAnsi="Garamond" w:cs="Arial"/>
          <w:sz w:val="24"/>
          <w:szCs w:val="24"/>
        </w:rPr>
        <w:t xml:space="preserve">a </w:t>
      </w:r>
      <w:r w:rsidR="00863197" w:rsidRPr="00EA2345">
        <w:rPr>
          <w:rFonts w:ascii="Garamond" w:hAnsi="Garamond" w:cs="Arial"/>
          <w:sz w:val="24"/>
          <w:szCs w:val="24"/>
        </w:rPr>
        <w:t>maior</w:t>
      </w:r>
      <w:r w:rsidR="00823BE0" w:rsidRPr="00EA2345">
        <w:rPr>
          <w:rFonts w:ascii="Garamond" w:hAnsi="Garamond" w:cs="Arial"/>
          <w:sz w:val="24"/>
          <w:szCs w:val="24"/>
        </w:rPr>
        <w:t xml:space="preserve"> parte </w:t>
      </w:r>
      <w:r w:rsidR="00497503" w:rsidRPr="00EA2345">
        <w:rPr>
          <w:rFonts w:ascii="Garamond" w:hAnsi="Garamond" w:cs="Arial"/>
          <w:sz w:val="24"/>
          <w:szCs w:val="24"/>
        </w:rPr>
        <w:t>das</w:t>
      </w:r>
      <w:r w:rsidR="006E4BFA" w:rsidRPr="00EA2345">
        <w:rPr>
          <w:rFonts w:ascii="Garamond" w:hAnsi="Garamond" w:cs="Arial"/>
          <w:sz w:val="24"/>
          <w:szCs w:val="24"/>
        </w:rPr>
        <w:t xml:space="preserve"> vezes, </w:t>
      </w:r>
      <w:r w:rsidR="00823BE0" w:rsidRPr="00EA2345">
        <w:rPr>
          <w:rFonts w:ascii="Garamond" w:hAnsi="Garamond" w:cs="Arial"/>
          <w:sz w:val="24"/>
          <w:szCs w:val="24"/>
        </w:rPr>
        <w:t>a in</w:t>
      </w:r>
      <w:r w:rsidR="00501083" w:rsidRPr="00EA2345">
        <w:rPr>
          <w:rFonts w:ascii="Garamond" w:hAnsi="Garamond" w:cs="Arial"/>
          <w:sz w:val="24"/>
          <w:szCs w:val="24"/>
        </w:rPr>
        <w:t>adequada</w:t>
      </w:r>
      <w:r w:rsidR="00823BE0" w:rsidRPr="00EA2345">
        <w:rPr>
          <w:rFonts w:ascii="Garamond" w:hAnsi="Garamond" w:cs="Arial"/>
          <w:sz w:val="24"/>
          <w:szCs w:val="24"/>
        </w:rPr>
        <w:t xml:space="preserve"> </w:t>
      </w:r>
      <w:r w:rsidR="003F012B" w:rsidRPr="00EA2345">
        <w:rPr>
          <w:rFonts w:ascii="Garamond" w:hAnsi="Garamond" w:cs="Arial"/>
          <w:sz w:val="24"/>
          <w:szCs w:val="24"/>
        </w:rPr>
        <w:t>resolução</w:t>
      </w:r>
      <w:r w:rsidR="00823BE0" w:rsidRPr="00EA2345">
        <w:rPr>
          <w:rFonts w:ascii="Garamond" w:hAnsi="Garamond" w:cs="Arial"/>
          <w:sz w:val="24"/>
          <w:szCs w:val="24"/>
        </w:rPr>
        <w:t xml:space="preserve"> </w:t>
      </w:r>
      <w:r w:rsidR="00497503" w:rsidRPr="00EA2345">
        <w:rPr>
          <w:rFonts w:ascii="Garamond" w:hAnsi="Garamond" w:cs="Arial"/>
          <w:sz w:val="24"/>
          <w:szCs w:val="24"/>
        </w:rPr>
        <w:t>dos</w:t>
      </w:r>
      <w:r w:rsidR="00823BE0" w:rsidRPr="00EA2345">
        <w:rPr>
          <w:rFonts w:ascii="Garamond" w:hAnsi="Garamond" w:cs="Arial"/>
          <w:sz w:val="24"/>
          <w:szCs w:val="24"/>
        </w:rPr>
        <w:t xml:space="preserve"> casos de </w:t>
      </w:r>
      <w:r w:rsidR="000350B1" w:rsidRPr="00EA2345">
        <w:rPr>
          <w:rFonts w:ascii="Garamond" w:hAnsi="Garamond" w:cs="Arial"/>
          <w:sz w:val="24"/>
          <w:szCs w:val="24"/>
        </w:rPr>
        <w:t>violência</w:t>
      </w:r>
      <w:r w:rsidR="00823BE0" w:rsidRPr="00EA2345">
        <w:rPr>
          <w:rFonts w:ascii="Garamond" w:hAnsi="Garamond" w:cs="Arial"/>
          <w:sz w:val="24"/>
          <w:szCs w:val="24"/>
        </w:rPr>
        <w:t xml:space="preserve"> </w:t>
      </w:r>
      <w:r w:rsidR="00BB2B00" w:rsidRPr="00EA2345">
        <w:rPr>
          <w:rFonts w:ascii="Garamond" w:hAnsi="Garamond" w:cs="Arial"/>
          <w:sz w:val="24"/>
          <w:szCs w:val="24"/>
        </w:rPr>
        <w:t>contra a</w:t>
      </w:r>
      <w:r w:rsidR="00823BE0" w:rsidRPr="00EA2345">
        <w:rPr>
          <w:rFonts w:ascii="Garamond" w:hAnsi="Garamond" w:cs="Arial"/>
          <w:sz w:val="24"/>
          <w:szCs w:val="24"/>
        </w:rPr>
        <w:t xml:space="preserve"> </w:t>
      </w:r>
      <w:r w:rsidR="00AF192F" w:rsidRPr="00EA2345">
        <w:rPr>
          <w:rFonts w:ascii="Garamond" w:hAnsi="Garamond" w:cs="Arial"/>
          <w:sz w:val="24"/>
          <w:szCs w:val="24"/>
        </w:rPr>
        <w:t>mulher</w:t>
      </w:r>
      <w:r w:rsidR="00823BE0" w:rsidRPr="00EA2345">
        <w:rPr>
          <w:rFonts w:ascii="Garamond" w:hAnsi="Garamond" w:cs="Arial"/>
          <w:sz w:val="24"/>
          <w:szCs w:val="24"/>
        </w:rPr>
        <w:t xml:space="preserve"> responde a </w:t>
      </w:r>
      <w:r w:rsidR="00067AA4" w:rsidRPr="00EA2345">
        <w:rPr>
          <w:rFonts w:ascii="Garamond" w:hAnsi="Garamond" w:cs="Arial"/>
          <w:sz w:val="24"/>
          <w:szCs w:val="24"/>
        </w:rPr>
        <w:t>estereótipo</w:t>
      </w:r>
      <w:r w:rsidR="00823BE0" w:rsidRPr="00EA2345">
        <w:rPr>
          <w:rFonts w:ascii="Garamond" w:hAnsi="Garamond" w:cs="Arial"/>
          <w:sz w:val="24"/>
          <w:szCs w:val="24"/>
        </w:rPr>
        <w:t>s de género que, de mane</w:t>
      </w:r>
      <w:r w:rsidR="006E4BFA" w:rsidRPr="00EA2345">
        <w:rPr>
          <w:rFonts w:ascii="Garamond" w:hAnsi="Garamond" w:cs="Arial"/>
          <w:sz w:val="24"/>
          <w:szCs w:val="24"/>
        </w:rPr>
        <w:t>i</w:t>
      </w:r>
      <w:r w:rsidR="00823BE0" w:rsidRPr="00EA2345">
        <w:rPr>
          <w:rFonts w:ascii="Garamond" w:hAnsi="Garamond" w:cs="Arial"/>
          <w:sz w:val="24"/>
          <w:szCs w:val="24"/>
        </w:rPr>
        <w:t>ra consciente o</w:t>
      </w:r>
      <w:r w:rsidR="006E4BFA" w:rsidRPr="00EA2345">
        <w:rPr>
          <w:rFonts w:ascii="Garamond" w:hAnsi="Garamond" w:cs="Arial"/>
          <w:sz w:val="24"/>
          <w:szCs w:val="24"/>
        </w:rPr>
        <w:t>u</w:t>
      </w:r>
      <w:r w:rsidR="00823BE0" w:rsidRPr="00EA2345">
        <w:rPr>
          <w:rFonts w:ascii="Garamond" w:hAnsi="Garamond" w:cs="Arial"/>
          <w:sz w:val="24"/>
          <w:szCs w:val="24"/>
        </w:rPr>
        <w:t xml:space="preserve"> inconsciente, </w:t>
      </w:r>
      <w:r w:rsidR="002F62B0" w:rsidRPr="00EA2345">
        <w:rPr>
          <w:rFonts w:ascii="Garamond" w:hAnsi="Garamond" w:cs="Arial"/>
          <w:sz w:val="24"/>
          <w:szCs w:val="24"/>
        </w:rPr>
        <w:t>assumem</w:t>
      </w:r>
      <w:r w:rsidR="006E4BFA" w:rsidRPr="00EA2345">
        <w:rPr>
          <w:rFonts w:ascii="Garamond" w:hAnsi="Garamond" w:cs="Arial"/>
          <w:sz w:val="24"/>
          <w:szCs w:val="24"/>
        </w:rPr>
        <w:t xml:space="preserve"> </w:t>
      </w:r>
      <w:r w:rsidR="00823BE0" w:rsidRPr="00EA2345">
        <w:rPr>
          <w:rFonts w:ascii="Garamond" w:hAnsi="Garamond" w:cs="Arial"/>
          <w:sz w:val="24"/>
          <w:szCs w:val="24"/>
        </w:rPr>
        <w:t xml:space="preserve">os operadores de </w:t>
      </w:r>
      <w:r w:rsidR="00FC1F7F" w:rsidRPr="00EA2345">
        <w:rPr>
          <w:rFonts w:ascii="Garamond" w:hAnsi="Garamond" w:cs="Arial"/>
          <w:sz w:val="24"/>
          <w:szCs w:val="24"/>
        </w:rPr>
        <w:t>justiça</w:t>
      </w:r>
      <w:r w:rsidR="00823BE0" w:rsidRPr="00EA2345">
        <w:rPr>
          <w:rFonts w:ascii="Garamond" w:hAnsi="Garamond" w:cs="Arial"/>
          <w:sz w:val="24"/>
          <w:szCs w:val="24"/>
        </w:rPr>
        <w:t xml:space="preserve"> </w:t>
      </w:r>
      <w:r w:rsidR="006E4BFA" w:rsidRPr="00EA2345">
        <w:rPr>
          <w:rFonts w:ascii="Garamond" w:hAnsi="Garamond" w:cs="Arial"/>
          <w:sz w:val="24"/>
          <w:szCs w:val="24"/>
        </w:rPr>
        <w:t xml:space="preserve">no momento de aplicar </w:t>
      </w:r>
      <w:r w:rsidR="00823BE0" w:rsidRPr="00EA2345">
        <w:rPr>
          <w:rFonts w:ascii="Garamond" w:hAnsi="Garamond" w:cs="Arial"/>
          <w:sz w:val="24"/>
          <w:szCs w:val="24"/>
        </w:rPr>
        <w:t>as</w:t>
      </w:r>
      <w:r w:rsidR="006E4BFA" w:rsidRPr="00EA2345">
        <w:rPr>
          <w:rFonts w:ascii="Garamond" w:hAnsi="Garamond" w:cs="Arial"/>
          <w:sz w:val="24"/>
          <w:szCs w:val="24"/>
        </w:rPr>
        <w:t xml:space="preserve"> leis</w:t>
      </w:r>
      <w:r w:rsidR="00823BE0" w:rsidRPr="00EA2345">
        <w:rPr>
          <w:rFonts w:ascii="Garamond" w:hAnsi="Garamond" w:cs="Arial"/>
          <w:sz w:val="24"/>
          <w:szCs w:val="24"/>
        </w:rPr>
        <w:t>.</w:t>
      </w:r>
      <w:r w:rsidR="00823BE0" w:rsidRPr="003A1174">
        <w:rPr>
          <w:rFonts w:ascii="Garamond" w:hAnsi="Garamond" w:cs="Arial"/>
          <w:sz w:val="24"/>
          <w:szCs w:val="24"/>
        </w:rPr>
        <w:t xml:space="preserve"> </w:t>
      </w:r>
    </w:p>
    <w:p w:rsidR="00823BE0" w:rsidRPr="003A1174" w:rsidRDefault="00823BE0" w:rsidP="006E4BFA">
      <w:pPr>
        <w:pStyle w:val="NormalWeb"/>
        <w:spacing w:before="240" w:beforeAutospacing="0" w:after="0"/>
        <w:jc w:val="both"/>
        <w:rPr>
          <w:rFonts w:ascii="Garamond" w:hAnsi="Garamond" w:cs="Arial"/>
          <w:lang w:val="pt-PT"/>
        </w:rPr>
      </w:pPr>
      <w:r w:rsidRPr="003A1174">
        <w:rPr>
          <w:rFonts w:ascii="Garamond" w:hAnsi="Garamond" w:cs="Arial"/>
          <w:lang w:val="pt-PT"/>
        </w:rPr>
        <w:t>Destacamos</w:t>
      </w:r>
      <w:r w:rsidR="00EA3A43" w:rsidRPr="003A1174">
        <w:rPr>
          <w:rFonts w:ascii="Garamond" w:hAnsi="Garamond" w:cs="Arial"/>
          <w:lang w:val="pt-PT"/>
        </w:rPr>
        <w:t>,</w:t>
      </w:r>
      <w:r w:rsidRPr="003A1174">
        <w:rPr>
          <w:rFonts w:ascii="Garamond" w:hAnsi="Garamond" w:cs="Arial"/>
          <w:lang w:val="pt-PT"/>
        </w:rPr>
        <w:t xml:space="preserve"> </w:t>
      </w:r>
      <w:r w:rsidR="006E4BFA" w:rsidRPr="003A1174">
        <w:rPr>
          <w:rFonts w:ascii="Garamond" w:hAnsi="Garamond" w:cs="Arial"/>
          <w:lang w:val="pt-PT"/>
        </w:rPr>
        <w:t>também,</w:t>
      </w:r>
      <w:r w:rsidRPr="003A1174">
        <w:rPr>
          <w:rFonts w:ascii="Garamond" w:hAnsi="Garamond" w:cs="Arial"/>
          <w:lang w:val="pt-PT"/>
        </w:rPr>
        <w:t xml:space="preserve"> que esta </w:t>
      </w:r>
      <w:r w:rsidR="004C1496" w:rsidRPr="003A1174">
        <w:rPr>
          <w:rFonts w:ascii="Garamond" w:hAnsi="Garamond" w:cs="Arial"/>
          <w:lang w:val="pt-PT"/>
        </w:rPr>
        <w:t>primeira</w:t>
      </w:r>
      <w:r w:rsidRPr="003A1174">
        <w:rPr>
          <w:rFonts w:ascii="Garamond" w:hAnsi="Garamond" w:cs="Arial"/>
          <w:lang w:val="pt-PT"/>
        </w:rPr>
        <w:t xml:space="preserve"> </w:t>
      </w:r>
      <w:r w:rsidR="0017447A" w:rsidRPr="00EA2345">
        <w:rPr>
          <w:rFonts w:ascii="Garamond" w:hAnsi="Garamond" w:cs="Arial"/>
          <w:lang w:val="pt-PT"/>
        </w:rPr>
        <w:t>experiência</w:t>
      </w:r>
      <w:r w:rsidRPr="00EA2345">
        <w:rPr>
          <w:rFonts w:ascii="Garamond" w:hAnsi="Garamond" w:cs="Arial"/>
          <w:lang w:val="pt-PT"/>
        </w:rPr>
        <w:t xml:space="preserve"> </w:t>
      </w:r>
      <w:r w:rsidR="006E4BFA" w:rsidRPr="00EA2345">
        <w:rPr>
          <w:rFonts w:ascii="Garamond" w:hAnsi="Garamond" w:cs="Arial"/>
          <w:lang w:val="pt-PT"/>
        </w:rPr>
        <w:t xml:space="preserve">no </w:t>
      </w:r>
      <w:r w:rsidR="001A2B01" w:rsidRPr="00EA2345">
        <w:rPr>
          <w:rFonts w:ascii="Garamond" w:hAnsi="Garamond" w:cs="Arial"/>
          <w:lang w:val="pt-PT"/>
        </w:rPr>
        <w:t xml:space="preserve">encontro </w:t>
      </w:r>
      <w:r w:rsidRPr="00EA2345">
        <w:rPr>
          <w:rFonts w:ascii="Garamond" w:hAnsi="Garamond" w:cs="Arial"/>
          <w:lang w:val="pt-PT"/>
        </w:rPr>
        <w:t>e</w:t>
      </w:r>
      <w:r w:rsidR="006E4BFA" w:rsidRPr="00EA2345">
        <w:rPr>
          <w:rFonts w:ascii="Garamond" w:hAnsi="Garamond" w:cs="Arial"/>
          <w:lang w:val="pt-PT"/>
        </w:rPr>
        <w:t>m</w:t>
      </w:r>
      <w:r w:rsidRPr="00EA2345">
        <w:rPr>
          <w:rFonts w:ascii="Garamond" w:hAnsi="Garamond" w:cs="Arial"/>
          <w:lang w:val="pt-PT"/>
        </w:rPr>
        <w:t xml:space="preserve"> </w:t>
      </w:r>
      <w:r w:rsidR="006E4BFA" w:rsidRPr="00EA2345">
        <w:rPr>
          <w:rFonts w:ascii="Garamond" w:hAnsi="Garamond" w:cs="Arial"/>
          <w:lang w:val="pt-PT"/>
        </w:rPr>
        <w:t>questão</w:t>
      </w:r>
      <w:r w:rsidR="001A2B01" w:rsidRPr="00EA2345">
        <w:rPr>
          <w:rFonts w:ascii="Garamond" w:hAnsi="Garamond" w:cs="Arial"/>
          <w:lang w:val="pt-PT"/>
        </w:rPr>
        <w:t>,</w:t>
      </w:r>
      <w:r w:rsidR="006E4BFA" w:rsidRPr="00EA2345">
        <w:rPr>
          <w:rFonts w:ascii="Garamond" w:hAnsi="Garamond" w:cs="Arial"/>
          <w:lang w:val="pt-PT"/>
        </w:rPr>
        <w:t xml:space="preserve"> </w:t>
      </w:r>
      <w:r w:rsidRPr="00EA2345">
        <w:rPr>
          <w:rFonts w:ascii="Garamond" w:hAnsi="Garamond" w:cs="Arial"/>
          <w:lang w:val="pt-PT"/>
        </w:rPr>
        <w:t>contribui</w:t>
      </w:r>
      <w:r w:rsidR="006E4BFA" w:rsidRPr="00EA2345">
        <w:rPr>
          <w:rFonts w:ascii="Garamond" w:hAnsi="Garamond" w:cs="Arial"/>
          <w:lang w:val="pt-PT"/>
        </w:rPr>
        <w:t>u</w:t>
      </w:r>
      <w:r w:rsidR="00467AF5" w:rsidRPr="00EA2345">
        <w:rPr>
          <w:rFonts w:ascii="Garamond" w:hAnsi="Garamond" w:cs="Arial"/>
          <w:lang w:val="pt-PT"/>
        </w:rPr>
        <w:t>,</w:t>
      </w:r>
      <w:r w:rsidR="006E4BFA" w:rsidRPr="00EA2345">
        <w:rPr>
          <w:rFonts w:ascii="Garamond" w:hAnsi="Garamond" w:cs="Arial"/>
          <w:lang w:val="pt-PT"/>
        </w:rPr>
        <w:t xml:space="preserve"> </w:t>
      </w:r>
      <w:r w:rsidR="00BA3CCE" w:rsidRPr="00EA2345">
        <w:rPr>
          <w:rFonts w:ascii="Garamond" w:hAnsi="Garamond" w:cs="Arial"/>
          <w:lang w:val="pt-PT"/>
        </w:rPr>
        <w:t>igualmente</w:t>
      </w:r>
      <w:r w:rsidR="00467AF5" w:rsidRPr="00EA2345">
        <w:rPr>
          <w:rFonts w:ascii="Garamond" w:hAnsi="Garamond" w:cs="Arial"/>
          <w:lang w:val="pt-PT"/>
        </w:rPr>
        <w:t>,</w:t>
      </w:r>
      <w:r w:rsidR="006E4BFA" w:rsidRPr="00EA2345">
        <w:rPr>
          <w:rFonts w:ascii="Garamond" w:hAnsi="Garamond" w:cs="Arial"/>
          <w:lang w:val="pt-PT"/>
        </w:rPr>
        <w:t xml:space="preserve"> para que </w:t>
      </w:r>
      <w:r w:rsidRPr="00EA2345">
        <w:rPr>
          <w:rFonts w:ascii="Garamond" w:hAnsi="Garamond" w:cs="Arial"/>
          <w:lang w:val="pt-PT"/>
        </w:rPr>
        <w:t xml:space="preserve">a temática da </w:t>
      </w:r>
      <w:r w:rsidR="000350B1" w:rsidRPr="00EA2345">
        <w:rPr>
          <w:rFonts w:ascii="Garamond" w:hAnsi="Garamond" w:cs="Arial"/>
          <w:lang w:val="pt-PT"/>
        </w:rPr>
        <w:t>violência</w:t>
      </w:r>
      <w:r w:rsidRPr="00EA2345">
        <w:rPr>
          <w:rFonts w:ascii="Garamond" w:hAnsi="Garamond" w:cs="Arial"/>
          <w:lang w:val="pt-PT"/>
        </w:rPr>
        <w:t xml:space="preserve"> de género </w:t>
      </w:r>
      <w:r w:rsidR="00467AF5" w:rsidRPr="00EA2345">
        <w:rPr>
          <w:rFonts w:ascii="Garamond" w:hAnsi="Garamond" w:cs="Arial"/>
          <w:lang w:val="pt-PT"/>
        </w:rPr>
        <w:t>fizesse parte da</w:t>
      </w:r>
      <w:r w:rsidR="006E4BFA" w:rsidRPr="003A1174">
        <w:rPr>
          <w:rFonts w:ascii="Garamond" w:hAnsi="Garamond" w:cs="Arial"/>
          <w:lang w:val="pt-PT"/>
        </w:rPr>
        <w:t xml:space="preserve"> oferta educa</w:t>
      </w:r>
      <w:r w:rsidR="00641387">
        <w:rPr>
          <w:rFonts w:ascii="Garamond" w:hAnsi="Garamond" w:cs="Arial"/>
          <w:lang w:val="pt-PT"/>
        </w:rPr>
        <w:t>cional</w:t>
      </w:r>
      <w:r w:rsidR="006E4BFA" w:rsidRPr="003A1174">
        <w:rPr>
          <w:rFonts w:ascii="Garamond" w:hAnsi="Garamond" w:cs="Arial"/>
          <w:lang w:val="pt-PT"/>
        </w:rPr>
        <w:t xml:space="preserve"> da Academia Nacional d</w:t>
      </w:r>
      <w:r w:rsidRPr="003A1174">
        <w:rPr>
          <w:rFonts w:ascii="Garamond" w:hAnsi="Garamond" w:cs="Arial"/>
          <w:lang w:val="pt-PT"/>
        </w:rPr>
        <w:t xml:space="preserve">a Magistratura </w:t>
      </w:r>
      <w:r w:rsidR="00E85E59" w:rsidRPr="003A1174">
        <w:rPr>
          <w:rFonts w:ascii="Garamond" w:hAnsi="Garamond" w:cs="Arial"/>
          <w:lang w:val="pt-PT"/>
        </w:rPr>
        <w:t>do</w:t>
      </w:r>
      <w:r w:rsidRPr="003A1174">
        <w:rPr>
          <w:rFonts w:ascii="Garamond" w:hAnsi="Garamond" w:cs="Arial"/>
          <w:lang w:val="pt-PT"/>
        </w:rPr>
        <w:t xml:space="preserve"> </w:t>
      </w:r>
      <w:r w:rsidR="00C30647" w:rsidRPr="003A1174">
        <w:rPr>
          <w:rFonts w:ascii="Garamond" w:hAnsi="Garamond" w:cs="Arial"/>
          <w:lang w:val="pt-PT"/>
        </w:rPr>
        <w:t>Peru</w:t>
      </w:r>
      <w:r w:rsidR="00641387">
        <w:rPr>
          <w:rFonts w:ascii="Garamond" w:hAnsi="Garamond" w:cs="Arial"/>
          <w:lang w:val="pt-PT"/>
        </w:rPr>
        <w:t>,</w:t>
      </w:r>
      <w:r w:rsidRPr="003A1174">
        <w:rPr>
          <w:rFonts w:ascii="Garamond" w:hAnsi="Garamond" w:cs="Arial"/>
          <w:lang w:val="pt-PT"/>
        </w:rPr>
        <w:t xml:space="preserve"> de </w:t>
      </w:r>
      <w:r w:rsidR="006E4BFA" w:rsidRPr="003A1174">
        <w:rPr>
          <w:rFonts w:ascii="Garamond" w:hAnsi="Garamond" w:cs="Arial"/>
          <w:lang w:val="pt-PT"/>
        </w:rPr>
        <w:t xml:space="preserve">forma </w:t>
      </w:r>
      <w:r w:rsidRPr="003A1174">
        <w:rPr>
          <w:rFonts w:ascii="Garamond" w:hAnsi="Garamond" w:cs="Arial"/>
          <w:lang w:val="pt-PT"/>
        </w:rPr>
        <w:t xml:space="preserve">permanente. </w:t>
      </w:r>
      <w:r w:rsidR="006E4BFA" w:rsidRPr="003A1174">
        <w:rPr>
          <w:rFonts w:ascii="Garamond" w:hAnsi="Garamond" w:cs="Arial"/>
          <w:lang w:val="pt-PT"/>
        </w:rPr>
        <w:t xml:space="preserve">Com </w:t>
      </w:r>
      <w:r w:rsidR="00863197" w:rsidRPr="003A1174">
        <w:rPr>
          <w:rFonts w:ascii="Garamond" w:hAnsi="Garamond" w:cs="Arial"/>
          <w:lang w:val="pt-PT"/>
        </w:rPr>
        <w:t>efeito</w:t>
      </w:r>
      <w:r w:rsidRPr="003A1174">
        <w:rPr>
          <w:rFonts w:ascii="Garamond" w:hAnsi="Garamond" w:cs="Arial"/>
          <w:lang w:val="pt-PT"/>
        </w:rPr>
        <w:t xml:space="preserve">, </w:t>
      </w:r>
      <w:r w:rsidR="006E4BFA" w:rsidRPr="003A1174">
        <w:rPr>
          <w:rFonts w:ascii="Garamond" w:hAnsi="Garamond" w:cs="Arial"/>
          <w:lang w:val="pt-PT"/>
        </w:rPr>
        <w:t xml:space="preserve">a </w:t>
      </w:r>
      <w:r w:rsidRPr="003A1174">
        <w:rPr>
          <w:rFonts w:ascii="Garamond" w:hAnsi="Garamond" w:cs="Arial"/>
          <w:lang w:val="pt-PT"/>
        </w:rPr>
        <w:t xml:space="preserve">31 de </w:t>
      </w:r>
      <w:r w:rsidR="00C553E2" w:rsidRPr="003A1174">
        <w:rPr>
          <w:rFonts w:ascii="Garamond" w:hAnsi="Garamond" w:cs="Arial"/>
          <w:lang w:val="pt-PT"/>
        </w:rPr>
        <w:t>março</w:t>
      </w:r>
      <w:r w:rsidRPr="003A1174">
        <w:rPr>
          <w:rFonts w:ascii="Garamond" w:hAnsi="Garamond" w:cs="Arial"/>
          <w:lang w:val="pt-PT"/>
        </w:rPr>
        <w:t xml:space="preserve"> de 2014</w:t>
      </w:r>
      <w:r w:rsidR="00641387">
        <w:rPr>
          <w:rFonts w:ascii="Garamond" w:hAnsi="Garamond" w:cs="Arial"/>
          <w:lang w:val="pt-PT"/>
        </w:rPr>
        <w:t>,</w:t>
      </w:r>
      <w:r w:rsidRPr="003A1174">
        <w:rPr>
          <w:rFonts w:ascii="Garamond" w:hAnsi="Garamond" w:cs="Arial"/>
          <w:lang w:val="pt-PT"/>
        </w:rPr>
        <w:t xml:space="preserve"> </w:t>
      </w:r>
      <w:r w:rsidR="006E4BFA" w:rsidRPr="003A1174">
        <w:rPr>
          <w:rFonts w:ascii="Garamond" w:hAnsi="Garamond" w:cs="Arial"/>
          <w:lang w:val="pt-PT"/>
        </w:rPr>
        <w:t>emitiu-</w:t>
      </w:r>
      <w:r w:rsidRPr="003A1174">
        <w:rPr>
          <w:rFonts w:ascii="Garamond" w:hAnsi="Garamond" w:cs="Arial"/>
          <w:lang w:val="pt-PT"/>
        </w:rPr>
        <w:t xml:space="preserve">se a </w:t>
      </w:r>
      <w:r w:rsidR="003F012B" w:rsidRPr="003A1174">
        <w:rPr>
          <w:rFonts w:ascii="Garamond" w:hAnsi="Garamond" w:cs="Arial"/>
          <w:lang w:val="pt-PT"/>
        </w:rPr>
        <w:t>Resolução</w:t>
      </w:r>
      <w:r w:rsidRPr="003A1174">
        <w:rPr>
          <w:rFonts w:ascii="Garamond" w:hAnsi="Garamond" w:cs="Arial"/>
          <w:lang w:val="pt-PT"/>
        </w:rPr>
        <w:t xml:space="preserve"> Administrativa </w:t>
      </w:r>
      <w:r w:rsidR="00E85E59" w:rsidRPr="003A1174">
        <w:rPr>
          <w:rFonts w:ascii="Garamond" w:hAnsi="Garamond" w:cs="Arial"/>
          <w:lang w:val="pt-PT"/>
        </w:rPr>
        <w:t>do</w:t>
      </w:r>
      <w:r w:rsidRPr="003A1174">
        <w:rPr>
          <w:rFonts w:ascii="Garamond" w:hAnsi="Garamond" w:cs="Arial"/>
          <w:lang w:val="pt-PT"/>
        </w:rPr>
        <w:t xml:space="preserve"> Pleno </w:t>
      </w:r>
      <w:r w:rsidR="00E85E59" w:rsidRPr="003A1174">
        <w:rPr>
          <w:rFonts w:ascii="Garamond" w:hAnsi="Garamond" w:cs="Arial"/>
          <w:lang w:val="pt-PT"/>
        </w:rPr>
        <w:t>do</w:t>
      </w:r>
      <w:r w:rsidRPr="003A1174">
        <w:rPr>
          <w:rFonts w:ascii="Garamond" w:hAnsi="Garamond" w:cs="Arial"/>
          <w:lang w:val="pt-PT"/>
        </w:rPr>
        <w:t xml:space="preserve"> </w:t>
      </w:r>
      <w:r w:rsidR="004C1496" w:rsidRPr="003A1174">
        <w:rPr>
          <w:rFonts w:ascii="Garamond" w:hAnsi="Garamond" w:cs="Arial"/>
          <w:lang w:val="pt-PT"/>
        </w:rPr>
        <w:t>Conselho</w:t>
      </w:r>
      <w:r w:rsidRPr="003A1174">
        <w:rPr>
          <w:rFonts w:ascii="Garamond" w:hAnsi="Garamond" w:cs="Arial"/>
          <w:lang w:val="pt-PT"/>
        </w:rPr>
        <w:t xml:space="preserve"> Diretivo N</w:t>
      </w:r>
      <w:r w:rsidR="00641387">
        <w:rPr>
          <w:rFonts w:ascii="Garamond" w:hAnsi="Garamond" w:cs="Arial"/>
          <w:lang w:val="pt-PT"/>
        </w:rPr>
        <w:t>.</w:t>
      </w:r>
      <w:r w:rsidRPr="003A1174">
        <w:rPr>
          <w:rFonts w:ascii="Garamond" w:hAnsi="Garamond" w:cs="Arial"/>
          <w:lang w:val="pt-PT"/>
        </w:rPr>
        <w:t xml:space="preserve">° 03-2014-AMAG-CD, </w:t>
      </w:r>
      <w:r w:rsidR="00CD707D" w:rsidRPr="003A1174">
        <w:rPr>
          <w:rFonts w:ascii="Garamond" w:hAnsi="Garamond" w:cs="Arial"/>
          <w:lang w:val="pt-PT"/>
        </w:rPr>
        <w:t>Regulamento</w:t>
      </w:r>
      <w:r w:rsidRPr="003A1174">
        <w:rPr>
          <w:rFonts w:ascii="Garamond" w:hAnsi="Garamond" w:cs="Arial"/>
          <w:lang w:val="pt-PT"/>
        </w:rPr>
        <w:t xml:space="preserve"> </w:t>
      </w:r>
      <w:r w:rsidR="00E85E59" w:rsidRPr="003A1174">
        <w:rPr>
          <w:rFonts w:ascii="Garamond" w:hAnsi="Garamond" w:cs="Arial"/>
          <w:lang w:val="pt-PT"/>
        </w:rPr>
        <w:t>do</w:t>
      </w:r>
      <w:r w:rsidRPr="003A1174">
        <w:rPr>
          <w:rFonts w:ascii="Garamond" w:hAnsi="Garamond" w:cs="Arial"/>
          <w:lang w:val="pt-PT"/>
        </w:rPr>
        <w:t xml:space="preserve"> </w:t>
      </w:r>
      <w:r w:rsidR="00073FB7" w:rsidRPr="003A1174">
        <w:rPr>
          <w:rFonts w:ascii="Garamond" w:hAnsi="Garamond" w:cs="Arial"/>
          <w:lang w:val="pt-PT"/>
        </w:rPr>
        <w:t>Regime</w:t>
      </w:r>
      <w:r w:rsidRPr="003A1174">
        <w:rPr>
          <w:rFonts w:ascii="Garamond" w:hAnsi="Garamond" w:cs="Arial"/>
          <w:lang w:val="pt-PT"/>
        </w:rPr>
        <w:t xml:space="preserve"> de </w:t>
      </w:r>
      <w:r w:rsidR="003F012B" w:rsidRPr="003A1174">
        <w:rPr>
          <w:rFonts w:ascii="Garamond" w:hAnsi="Garamond" w:cs="Arial"/>
          <w:lang w:val="pt-PT"/>
        </w:rPr>
        <w:t>Estudo</w:t>
      </w:r>
      <w:r w:rsidR="006E4BFA" w:rsidRPr="003A1174">
        <w:rPr>
          <w:rFonts w:ascii="Garamond" w:hAnsi="Garamond" w:cs="Arial"/>
          <w:lang w:val="pt-PT"/>
        </w:rPr>
        <w:t>s d</w:t>
      </w:r>
      <w:r w:rsidRPr="003A1174">
        <w:rPr>
          <w:rFonts w:ascii="Garamond" w:hAnsi="Garamond" w:cs="Arial"/>
          <w:lang w:val="pt-PT"/>
        </w:rPr>
        <w:t xml:space="preserve">a Academia da Magistratura </w:t>
      </w:r>
      <w:r w:rsidR="00E85E59" w:rsidRPr="003A1174">
        <w:rPr>
          <w:rFonts w:ascii="Garamond" w:hAnsi="Garamond" w:cs="Arial"/>
          <w:lang w:val="pt-PT"/>
        </w:rPr>
        <w:t>do</w:t>
      </w:r>
      <w:r w:rsidRPr="003A1174">
        <w:rPr>
          <w:rFonts w:ascii="Garamond" w:hAnsi="Garamond" w:cs="Arial"/>
          <w:lang w:val="pt-PT"/>
        </w:rPr>
        <w:t xml:space="preserve"> </w:t>
      </w:r>
      <w:r w:rsidR="00C30647" w:rsidRPr="003A1174">
        <w:rPr>
          <w:rFonts w:ascii="Garamond" w:hAnsi="Garamond" w:cs="Arial"/>
          <w:lang w:val="pt-PT"/>
        </w:rPr>
        <w:t>Peru</w:t>
      </w:r>
      <w:r w:rsidRPr="003A1174">
        <w:rPr>
          <w:rFonts w:ascii="Garamond" w:hAnsi="Garamond" w:cs="Arial"/>
          <w:lang w:val="pt-PT"/>
        </w:rPr>
        <w:t xml:space="preserve">, </w:t>
      </w:r>
      <w:r w:rsidR="00152A44" w:rsidRPr="003A1174">
        <w:rPr>
          <w:rFonts w:ascii="Garamond" w:hAnsi="Garamond" w:cs="Arial"/>
          <w:lang w:val="pt-PT"/>
        </w:rPr>
        <w:t>inclui</w:t>
      </w:r>
      <w:r w:rsidRPr="003A1174">
        <w:rPr>
          <w:rFonts w:ascii="Garamond" w:hAnsi="Garamond" w:cs="Arial"/>
          <w:lang w:val="pt-PT"/>
        </w:rPr>
        <w:t xml:space="preserve">ndo </w:t>
      </w:r>
      <w:r w:rsidR="006E4BFA" w:rsidRPr="003A1174">
        <w:rPr>
          <w:rFonts w:ascii="Garamond" w:hAnsi="Garamond" w:cs="Arial"/>
          <w:lang w:val="pt-PT"/>
        </w:rPr>
        <w:t>n</w:t>
      </w:r>
      <w:r w:rsidRPr="003A1174">
        <w:rPr>
          <w:rFonts w:ascii="Garamond" w:hAnsi="Garamond" w:cs="Arial"/>
          <w:lang w:val="pt-PT"/>
        </w:rPr>
        <w:t xml:space="preserve">as </w:t>
      </w:r>
      <w:r w:rsidR="00374785" w:rsidRPr="003A1174">
        <w:rPr>
          <w:rFonts w:ascii="Garamond" w:hAnsi="Garamond" w:cs="Arial"/>
          <w:lang w:val="pt-PT"/>
        </w:rPr>
        <w:t>atividades</w:t>
      </w:r>
      <w:r w:rsidRPr="003A1174">
        <w:rPr>
          <w:rFonts w:ascii="Garamond" w:hAnsi="Garamond" w:cs="Arial"/>
          <w:lang w:val="pt-PT"/>
        </w:rPr>
        <w:t xml:space="preserve"> de </w:t>
      </w:r>
      <w:r w:rsidR="001B7D0B">
        <w:rPr>
          <w:rFonts w:ascii="Garamond" w:hAnsi="Garamond" w:cs="Arial"/>
          <w:lang w:val="pt-PT"/>
        </w:rPr>
        <w:t xml:space="preserve">formação </w:t>
      </w:r>
      <w:r w:rsidR="006E4BFA" w:rsidRPr="003A1174">
        <w:rPr>
          <w:rFonts w:ascii="Garamond" w:hAnsi="Garamond" w:cs="Arial"/>
          <w:lang w:val="pt-PT"/>
        </w:rPr>
        <w:t xml:space="preserve">de </w:t>
      </w:r>
      <w:r w:rsidR="00BA3CCE" w:rsidRPr="003A1174">
        <w:rPr>
          <w:rFonts w:ascii="Garamond" w:hAnsi="Garamond" w:cs="Arial"/>
          <w:lang w:val="pt-PT"/>
        </w:rPr>
        <w:t>juízes</w:t>
      </w:r>
      <w:r w:rsidR="00641387">
        <w:rPr>
          <w:rFonts w:ascii="Garamond" w:hAnsi="Garamond" w:cs="Arial"/>
          <w:lang w:val="pt-PT"/>
        </w:rPr>
        <w:t xml:space="preserve"> </w:t>
      </w:r>
      <w:r w:rsidR="000672E8" w:rsidRPr="003A1174">
        <w:rPr>
          <w:rFonts w:ascii="Garamond" w:hAnsi="Garamond" w:cs="Arial"/>
          <w:lang w:val="pt-PT"/>
        </w:rPr>
        <w:t>e</w:t>
      </w:r>
      <w:r w:rsidRPr="003A1174">
        <w:rPr>
          <w:rFonts w:ascii="Garamond" w:hAnsi="Garamond" w:cs="Arial"/>
          <w:lang w:val="pt-PT"/>
        </w:rPr>
        <w:t xml:space="preserve"> </w:t>
      </w:r>
      <w:r w:rsidR="006E4BFA" w:rsidRPr="003A1174">
        <w:rPr>
          <w:rFonts w:ascii="Garamond" w:hAnsi="Garamond" w:cs="Arial"/>
          <w:lang w:val="pt-PT"/>
        </w:rPr>
        <w:t>delegados do Ministério Público,</w:t>
      </w:r>
      <w:r w:rsidRPr="003A1174">
        <w:rPr>
          <w:rFonts w:ascii="Garamond" w:hAnsi="Garamond" w:cs="Arial"/>
          <w:lang w:val="pt-PT"/>
        </w:rPr>
        <w:t xml:space="preserve"> cursos, </w:t>
      </w:r>
      <w:r w:rsidR="00C15C97" w:rsidRPr="003A1174">
        <w:rPr>
          <w:rFonts w:ascii="Garamond" w:hAnsi="Garamond" w:cs="Arial"/>
          <w:i/>
          <w:lang w:val="pt-PT"/>
        </w:rPr>
        <w:t>ateliers</w:t>
      </w:r>
      <w:r w:rsidRPr="003A1174">
        <w:rPr>
          <w:rFonts w:ascii="Garamond" w:hAnsi="Garamond" w:cs="Arial"/>
          <w:lang w:val="pt-PT"/>
        </w:rPr>
        <w:t xml:space="preserve"> </w:t>
      </w:r>
      <w:r w:rsidR="000672E8" w:rsidRPr="003A1174">
        <w:rPr>
          <w:rFonts w:ascii="Garamond" w:hAnsi="Garamond" w:cs="Arial"/>
          <w:lang w:val="pt-PT"/>
        </w:rPr>
        <w:t>e</w:t>
      </w:r>
      <w:r w:rsidRPr="003A1174">
        <w:rPr>
          <w:rFonts w:ascii="Garamond" w:hAnsi="Garamond" w:cs="Arial"/>
          <w:lang w:val="pt-PT"/>
        </w:rPr>
        <w:t xml:space="preserve"> </w:t>
      </w:r>
      <w:r w:rsidR="00AE64C1" w:rsidRPr="003A1174">
        <w:rPr>
          <w:rFonts w:ascii="Garamond" w:hAnsi="Garamond" w:cs="Arial"/>
          <w:lang w:val="pt-PT"/>
        </w:rPr>
        <w:t>seminário</w:t>
      </w:r>
      <w:r w:rsidRPr="003A1174">
        <w:rPr>
          <w:rFonts w:ascii="Garamond" w:hAnsi="Garamond" w:cs="Arial"/>
          <w:lang w:val="pt-PT"/>
        </w:rPr>
        <w:t xml:space="preserve">s sobre Género </w:t>
      </w:r>
      <w:r w:rsidR="000672E8" w:rsidRPr="003A1174">
        <w:rPr>
          <w:rFonts w:ascii="Garamond" w:hAnsi="Garamond" w:cs="Arial"/>
          <w:lang w:val="pt-PT"/>
        </w:rPr>
        <w:t>e</w:t>
      </w:r>
      <w:r w:rsidRPr="003A1174">
        <w:rPr>
          <w:rFonts w:ascii="Garamond" w:hAnsi="Garamond" w:cs="Arial"/>
          <w:lang w:val="pt-PT"/>
        </w:rPr>
        <w:t xml:space="preserve"> </w:t>
      </w:r>
      <w:r w:rsidR="00FC1F7F" w:rsidRPr="003A1174">
        <w:rPr>
          <w:rFonts w:ascii="Garamond" w:hAnsi="Garamond" w:cs="Arial"/>
          <w:lang w:val="pt-PT"/>
        </w:rPr>
        <w:t>Justiça</w:t>
      </w:r>
      <w:r w:rsidRPr="003A1174">
        <w:rPr>
          <w:rFonts w:ascii="Garamond" w:hAnsi="Garamond" w:cs="Arial"/>
          <w:lang w:val="pt-PT"/>
        </w:rPr>
        <w:t xml:space="preserve">, </w:t>
      </w:r>
      <w:r w:rsidR="000464C8" w:rsidRPr="003A1174">
        <w:rPr>
          <w:rFonts w:ascii="Garamond" w:hAnsi="Garamond" w:cs="Arial"/>
          <w:lang w:val="pt-PT"/>
        </w:rPr>
        <w:t>assim</w:t>
      </w:r>
      <w:r w:rsidRPr="003A1174">
        <w:rPr>
          <w:rFonts w:ascii="Garamond" w:hAnsi="Garamond" w:cs="Arial"/>
          <w:lang w:val="pt-PT"/>
        </w:rPr>
        <w:t xml:space="preserve"> como cursos </w:t>
      </w:r>
      <w:r w:rsidR="000672E8" w:rsidRPr="003A1174">
        <w:rPr>
          <w:rFonts w:ascii="Garamond" w:hAnsi="Garamond" w:cs="Arial"/>
          <w:lang w:val="pt-PT"/>
        </w:rPr>
        <w:t>e</w:t>
      </w:r>
      <w:r w:rsidRPr="003A1174">
        <w:rPr>
          <w:rFonts w:ascii="Garamond" w:hAnsi="Garamond" w:cs="Arial"/>
          <w:lang w:val="pt-PT"/>
        </w:rPr>
        <w:t xml:space="preserve"> </w:t>
      </w:r>
      <w:r w:rsidR="00C15C97" w:rsidRPr="003A1174">
        <w:rPr>
          <w:rFonts w:ascii="Garamond" w:hAnsi="Garamond" w:cs="Arial"/>
          <w:i/>
          <w:lang w:val="pt-PT"/>
        </w:rPr>
        <w:t>ateliers</w:t>
      </w:r>
      <w:r w:rsidRPr="003A1174">
        <w:rPr>
          <w:rFonts w:ascii="Garamond" w:hAnsi="Garamond" w:cs="Arial"/>
          <w:lang w:val="pt-PT"/>
        </w:rPr>
        <w:t xml:space="preserve"> sobre </w:t>
      </w:r>
      <w:r w:rsidR="002C7510" w:rsidRPr="003A1174">
        <w:rPr>
          <w:rFonts w:ascii="Garamond" w:hAnsi="Garamond" w:cs="Arial"/>
          <w:lang w:val="pt-PT"/>
        </w:rPr>
        <w:t>igualdade</w:t>
      </w:r>
      <w:r w:rsidRPr="003A1174">
        <w:rPr>
          <w:rFonts w:ascii="Garamond" w:hAnsi="Garamond" w:cs="Arial"/>
          <w:lang w:val="pt-PT"/>
        </w:rPr>
        <w:t xml:space="preserve">, </w:t>
      </w:r>
      <w:r w:rsidR="002C7510" w:rsidRPr="003A1174">
        <w:rPr>
          <w:rFonts w:ascii="Garamond" w:hAnsi="Garamond" w:cs="Arial"/>
          <w:lang w:val="pt-PT"/>
        </w:rPr>
        <w:t>ações</w:t>
      </w:r>
      <w:r w:rsidRPr="003A1174">
        <w:rPr>
          <w:rFonts w:ascii="Garamond" w:hAnsi="Garamond" w:cs="Arial"/>
          <w:lang w:val="pt-PT"/>
        </w:rPr>
        <w:t xml:space="preserve"> afirmativas </w:t>
      </w:r>
      <w:r w:rsidR="000672E8" w:rsidRPr="003A1174">
        <w:rPr>
          <w:rFonts w:ascii="Garamond" w:hAnsi="Garamond" w:cs="Arial"/>
          <w:lang w:val="pt-PT"/>
        </w:rPr>
        <w:t>e</w:t>
      </w:r>
      <w:r w:rsidRPr="003A1174">
        <w:rPr>
          <w:rFonts w:ascii="Garamond" w:hAnsi="Garamond" w:cs="Arial"/>
          <w:lang w:val="pt-PT"/>
        </w:rPr>
        <w:t xml:space="preserve"> </w:t>
      </w:r>
      <w:r w:rsidR="008E7A2A" w:rsidRPr="003A1174">
        <w:rPr>
          <w:rFonts w:ascii="Garamond" w:hAnsi="Garamond" w:cs="Arial"/>
          <w:lang w:val="pt-PT"/>
        </w:rPr>
        <w:t>eliminação</w:t>
      </w:r>
      <w:r w:rsidRPr="003A1174">
        <w:rPr>
          <w:rFonts w:ascii="Garamond" w:hAnsi="Garamond" w:cs="Arial"/>
          <w:lang w:val="pt-PT"/>
        </w:rPr>
        <w:t xml:space="preserve"> de toda </w:t>
      </w:r>
      <w:r w:rsidR="006E4BFA" w:rsidRPr="003A1174">
        <w:rPr>
          <w:rFonts w:ascii="Garamond" w:hAnsi="Garamond" w:cs="Arial"/>
          <w:lang w:val="pt-PT"/>
        </w:rPr>
        <w:t xml:space="preserve">a </w:t>
      </w:r>
      <w:r w:rsidRPr="003A1174">
        <w:rPr>
          <w:rFonts w:ascii="Garamond" w:hAnsi="Garamond" w:cs="Arial"/>
          <w:lang w:val="pt-PT"/>
        </w:rPr>
        <w:t xml:space="preserve">forma de </w:t>
      </w:r>
      <w:r w:rsidR="0017447A" w:rsidRPr="003A1174">
        <w:rPr>
          <w:rFonts w:ascii="Garamond" w:hAnsi="Garamond" w:cs="Arial"/>
          <w:lang w:val="pt-PT"/>
        </w:rPr>
        <w:t>discriminação</w:t>
      </w:r>
      <w:r w:rsidR="006E4BFA" w:rsidRPr="003A1174">
        <w:rPr>
          <w:rFonts w:ascii="Garamond" w:hAnsi="Garamond" w:cs="Arial"/>
          <w:lang w:val="pt-PT"/>
        </w:rPr>
        <w:t xml:space="preserve"> </w:t>
      </w:r>
      <w:r w:rsidR="00BB2B00" w:rsidRPr="003A1174">
        <w:rPr>
          <w:rFonts w:ascii="Garamond" w:hAnsi="Garamond" w:cs="Arial"/>
          <w:lang w:val="pt-PT"/>
        </w:rPr>
        <w:t>contra a</w:t>
      </w:r>
      <w:r w:rsidRPr="003A1174">
        <w:rPr>
          <w:rFonts w:ascii="Garamond" w:hAnsi="Garamond" w:cs="Arial"/>
          <w:lang w:val="pt-PT"/>
        </w:rPr>
        <w:t xml:space="preserve">s </w:t>
      </w:r>
      <w:r w:rsidR="00054EE0" w:rsidRPr="003A1174">
        <w:rPr>
          <w:rFonts w:ascii="Garamond" w:hAnsi="Garamond" w:cs="Arial"/>
          <w:lang w:val="pt-PT"/>
        </w:rPr>
        <w:t>mulheres</w:t>
      </w:r>
      <w:r w:rsidRPr="003A1174">
        <w:rPr>
          <w:rFonts w:ascii="Garamond" w:hAnsi="Garamond" w:cs="Arial"/>
          <w:lang w:val="pt-PT"/>
        </w:rPr>
        <w:t>.</w:t>
      </w:r>
    </w:p>
    <w:p w:rsidR="00CA39B2" w:rsidRPr="003A1174" w:rsidRDefault="0017447A" w:rsidP="008719D4">
      <w:pPr>
        <w:pStyle w:val="Ttulo3"/>
        <w:spacing w:line="240" w:lineRule="auto"/>
        <w:rPr>
          <w:rFonts w:ascii="Garamond" w:hAnsi="Garamond"/>
          <w:sz w:val="24"/>
          <w:szCs w:val="24"/>
        </w:rPr>
      </w:pPr>
      <w:bookmarkStart w:id="66" w:name="_Toc421529754"/>
      <w:r w:rsidRPr="003A1174">
        <w:rPr>
          <w:rFonts w:ascii="Garamond" w:hAnsi="Garamond"/>
          <w:sz w:val="24"/>
          <w:szCs w:val="24"/>
        </w:rPr>
        <w:t>Porto</w:t>
      </w:r>
      <w:r w:rsidR="00374F16" w:rsidRPr="003A1174">
        <w:rPr>
          <w:rFonts w:ascii="Garamond" w:hAnsi="Garamond"/>
          <w:sz w:val="24"/>
          <w:szCs w:val="24"/>
        </w:rPr>
        <w:t xml:space="preserve"> Rico</w:t>
      </w:r>
      <w:bookmarkEnd w:id="66"/>
    </w:p>
    <w:p w:rsidR="00496CB2" w:rsidRPr="003A1174" w:rsidRDefault="00A862C2" w:rsidP="006E4BFA">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Deve</w:t>
      </w:r>
      <w:r w:rsidR="00496CB2" w:rsidRPr="003A1174">
        <w:rPr>
          <w:rFonts w:ascii="Garamond" w:eastAsia="Calibri" w:hAnsi="Garamond" w:cs="Arial"/>
          <w:sz w:val="24"/>
          <w:szCs w:val="24"/>
        </w:rPr>
        <w:t xml:space="preserve">mos </w:t>
      </w:r>
      <w:r w:rsidR="006E4BFA" w:rsidRPr="003A1174">
        <w:rPr>
          <w:rFonts w:ascii="Garamond" w:eastAsia="Calibri" w:hAnsi="Garamond" w:cs="Arial"/>
          <w:sz w:val="24"/>
          <w:szCs w:val="24"/>
        </w:rPr>
        <w:t xml:space="preserve">esclarecer </w:t>
      </w:r>
      <w:r w:rsidR="00496CB2" w:rsidRPr="003A1174">
        <w:rPr>
          <w:rFonts w:ascii="Garamond" w:eastAsia="Calibri" w:hAnsi="Garamond" w:cs="Arial"/>
          <w:sz w:val="24"/>
          <w:szCs w:val="24"/>
        </w:rPr>
        <w:t xml:space="preserve">que </w:t>
      </w:r>
      <w:r w:rsidR="006E4BFA" w:rsidRPr="003A1174">
        <w:rPr>
          <w:rFonts w:ascii="Garamond" w:eastAsia="Calibri" w:hAnsi="Garamond" w:cs="Arial"/>
          <w:sz w:val="24"/>
          <w:szCs w:val="24"/>
        </w:rPr>
        <w:t xml:space="preserve">na </w:t>
      </w:r>
      <w:r w:rsidR="00462B11" w:rsidRPr="003A1174">
        <w:rPr>
          <w:rFonts w:ascii="Garamond" w:eastAsia="Calibri" w:hAnsi="Garamond" w:cs="Arial"/>
          <w:sz w:val="24"/>
          <w:szCs w:val="24"/>
        </w:rPr>
        <w:t>nossa</w:t>
      </w:r>
      <w:r w:rsidR="00496CB2" w:rsidRPr="003A1174">
        <w:rPr>
          <w:rFonts w:ascii="Garamond" w:eastAsia="Calibri" w:hAnsi="Garamond" w:cs="Arial"/>
          <w:sz w:val="24"/>
          <w:szCs w:val="24"/>
        </w:rPr>
        <w:t xml:space="preserve"> </w:t>
      </w:r>
      <w:r w:rsidR="00731B19" w:rsidRPr="003A1174">
        <w:rPr>
          <w:rFonts w:ascii="Garamond" w:eastAsia="Calibri" w:hAnsi="Garamond" w:cs="Arial"/>
          <w:sz w:val="24"/>
          <w:szCs w:val="24"/>
        </w:rPr>
        <w:t>jurisdição</w:t>
      </w:r>
      <w:r w:rsidR="006E4BFA" w:rsidRPr="003A1174">
        <w:rPr>
          <w:rFonts w:ascii="Garamond" w:eastAsia="Calibri" w:hAnsi="Garamond" w:cs="Arial"/>
          <w:sz w:val="24"/>
          <w:szCs w:val="24"/>
        </w:rPr>
        <w:t xml:space="preserve"> categorizamos </w:t>
      </w:r>
      <w:r w:rsidR="00496CB2" w:rsidRPr="003A1174">
        <w:rPr>
          <w:rFonts w:ascii="Garamond" w:eastAsia="Calibri" w:hAnsi="Garamond" w:cs="Arial"/>
          <w:sz w:val="24"/>
          <w:szCs w:val="24"/>
        </w:rPr>
        <w:t xml:space="preserve">a </w:t>
      </w:r>
      <w:r w:rsidR="00641387">
        <w:rPr>
          <w:rFonts w:ascii="Garamond" w:eastAsia="Calibri" w:hAnsi="Garamond" w:cs="Arial"/>
          <w:sz w:val="24"/>
          <w:szCs w:val="24"/>
        </w:rPr>
        <w:t>«</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intrafamiliar</w:t>
      </w:r>
      <w:r w:rsidR="00641387">
        <w:rPr>
          <w:rFonts w:ascii="Garamond" w:eastAsia="Calibri" w:hAnsi="Garamond" w:cs="Arial"/>
          <w:sz w:val="24"/>
          <w:szCs w:val="24"/>
        </w:rPr>
        <w:t>»</w:t>
      </w:r>
      <w:r w:rsidR="00496CB2" w:rsidRPr="003A1174">
        <w:rPr>
          <w:rFonts w:ascii="Garamond" w:eastAsia="Calibri" w:hAnsi="Garamond" w:cs="Arial"/>
          <w:sz w:val="24"/>
          <w:szCs w:val="24"/>
        </w:rPr>
        <w:t xml:space="preserve"> como </w:t>
      </w:r>
      <w:r w:rsidR="00641387">
        <w:rPr>
          <w:rFonts w:ascii="Garamond" w:eastAsia="Calibri" w:hAnsi="Garamond" w:cs="Arial"/>
          <w:sz w:val="24"/>
          <w:szCs w:val="24"/>
        </w:rPr>
        <w:t>«</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w:t>
      </w:r>
      <w:r w:rsidR="00641387">
        <w:rPr>
          <w:rFonts w:ascii="Garamond" w:eastAsia="Calibri" w:hAnsi="Garamond" w:cs="Arial"/>
          <w:sz w:val="24"/>
          <w:szCs w:val="24"/>
        </w:rPr>
        <w:t>»</w:t>
      </w:r>
      <w:r w:rsidR="00496CB2" w:rsidRPr="003A1174">
        <w:rPr>
          <w:rFonts w:ascii="Garamond" w:eastAsia="Calibri" w:hAnsi="Garamond" w:cs="Arial"/>
          <w:sz w:val="24"/>
          <w:szCs w:val="24"/>
        </w:rPr>
        <w:t xml:space="preserve">. </w:t>
      </w:r>
      <w:r w:rsidR="006E4BFA" w:rsidRPr="003A1174">
        <w:rPr>
          <w:rFonts w:ascii="Garamond" w:eastAsia="Calibri" w:hAnsi="Garamond" w:cs="Arial"/>
          <w:sz w:val="24"/>
          <w:szCs w:val="24"/>
        </w:rPr>
        <w:t>O problema d</w:t>
      </w:r>
      <w:r w:rsidR="00496CB2" w:rsidRPr="003A1174">
        <w:rPr>
          <w:rFonts w:ascii="Garamond" w:eastAsia="Calibri" w:hAnsi="Garamond" w:cs="Arial"/>
          <w:sz w:val="24"/>
          <w:szCs w:val="24"/>
        </w:rPr>
        <w:t xml:space="preserve">a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w:t>
      </w:r>
      <w:r w:rsidR="00E95547" w:rsidRPr="003A1174">
        <w:rPr>
          <w:rFonts w:ascii="Garamond" w:eastAsia="Calibri" w:hAnsi="Garamond" w:cs="Arial"/>
          <w:sz w:val="24"/>
          <w:szCs w:val="24"/>
        </w:rPr>
        <w:t>,</w:t>
      </w:r>
      <w:r w:rsidR="00496CB2" w:rsidRPr="003A1174">
        <w:rPr>
          <w:rFonts w:ascii="Garamond" w:eastAsia="Calibri" w:hAnsi="Garamond" w:cs="Arial"/>
          <w:sz w:val="24"/>
          <w:szCs w:val="24"/>
        </w:rPr>
        <w:t xml:space="preserve"> e</w:t>
      </w:r>
      <w:r w:rsidR="006E4BFA" w:rsidRPr="003A1174">
        <w:rPr>
          <w:rFonts w:ascii="Garamond" w:eastAsia="Calibri" w:hAnsi="Garamond" w:cs="Arial"/>
          <w:sz w:val="24"/>
          <w:szCs w:val="24"/>
        </w:rPr>
        <w:t>m</w:t>
      </w:r>
      <w:r w:rsidR="00496CB2" w:rsidRPr="003A1174">
        <w:rPr>
          <w:rFonts w:ascii="Garamond" w:eastAsia="Calibri" w:hAnsi="Garamond" w:cs="Arial"/>
          <w:sz w:val="24"/>
          <w:szCs w:val="24"/>
        </w:rPr>
        <w:t xml:space="preserve"> </w:t>
      </w:r>
      <w:r w:rsidR="0017447A" w:rsidRPr="003A1174">
        <w:rPr>
          <w:rFonts w:ascii="Garamond" w:eastAsia="Calibri" w:hAnsi="Garamond" w:cs="Arial"/>
          <w:sz w:val="24"/>
          <w:szCs w:val="24"/>
        </w:rPr>
        <w:t>Porto</w:t>
      </w:r>
      <w:r w:rsidR="00496CB2" w:rsidRPr="003A1174">
        <w:rPr>
          <w:rFonts w:ascii="Garamond" w:eastAsia="Calibri" w:hAnsi="Garamond" w:cs="Arial"/>
          <w:sz w:val="24"/>
          <w:szCs w:val="24"/>
        </w:rPr>
        <w:t xml:space="preserve"> Rico, </w:t>
      </w:r>
      <w:r w:rsidR="006E4BFA" w:rsidRPr="003A1174">
        <w:rPr>
          <w:rFonts w:ascii="Garamond" w:eastAsia="Calibri" w:hAnsi="Garamond" w:cs="Arial"/>
          <w:sz w:val="24"/>
          <w:szCs w:val="24"/>
        </w:rPr>
        <w:t xml:space="preserve">é um dos que se </w:t>
      </w:r>
      <w:r w:rsidR="00641387">
        <w:rPr>
          <w:rFonts w:ascii="Garamond" w:eastAsia="Calibri" w:hAnsi="Garamond" w:cs="Arial"/>
          <w:sz w:val="24"/>
          <w:szCs w:val="24"/>
        </w:rPr>
        <w:t xml:space="preserve">acompanha, </w:t>
      </w:r>
      <w:r w:rsidR="006E4BFA" w:rsidRPr="003A1174">
        <w:rPr>
          <w:rFonts w:ascii="Garamond" w:eastAsia="Calibri" w:hAnsi="Garamond" w:cs="Arial"/>
          <w:sz w:val="24"/>
          <w:szCs w:val="24"/>
        </w:rPr>
        <w:t xml:space="preserve">sob </w:t>
      </w:r>
      <w:r w:rsidR="00E95547" w:rsidRPr="003A1174">
        <w:rPr>
          <w:rFonts w:ascii="Garamond" w:eastAsia="Calibri" w:hAnsi="Garamond" w:cs="Arial"/>
          <w:sz w:val="24"/>
          <w:szCs w:val="24"/>
        </w:rPr>
        <w:t>escrutínio</w:t>
      </w:r>
      <w:r w:rsidR="00496CB2" w:rsidRPr="003A1174">
        <w:rPr>
          <w:rFonts w:ascii="Garamond" w:eastAsia="Calibri" w:hAnsi="Garamond" w:cs="Arial"/>
          <w:sz w:val="24"/>
          <w:szCs w:val="24"/>
        </w:rPr>
        <w:t xml:space="preserve"> estatal</w:t>
      </w:r>
      <w:r w:rsidR="00641387">
        <w:rPr>
          <w:rFonts w:ascii="Garamond" w:eastAsia="Calibri" w:hAnsi="Garamond" w:cs="Arial"/>
          <w:sz w:val="24"/>
          <w:szCs w:val="24"/>
        </w:rPr>
        <w:t>,</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há </w:t>
      </w:r>
      <w:r w:rsidR="00282B4D" w:rsidRPr="003A1174">
        <w:rPr>
          <w:rFonts w:ascii="Garamond" w:eastAsia="Calibri" w:hAnsi="Garamond" w:cs="Arial"/>
          <w:sz w:val="24"/>
          <w:szCs w:val="24"/>
        </w:rPr>
        <w:t>vária</w:t>
      </w:r>
      <w:r w:rsidR="00496CB2" w:rsidRPr="003A1174">
        <w:rPr>
          <w:rFonts w:ascii="Garamond" w:eastAsia="Calibri" w:hAnsi="Garamond" w:cs="Arial"/>
          <w:sz w:val="24"/>
          <w:szCs w:val="24"/>
        </w:rPr>
        <w:t xml:space="preserve">s décadas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tomaram-</w:t>
      </w:r>
      <w:r w:rsidR="00496CB2" w:rsidRPr="003A1174">
        <w:rPr>
          <w:rFonts w:ascii="Garamond" w:eastAsia="Calibri" w:hAnsi="Garamond" w:cs="Arial"/>
          <w:sz w:val="24"/>
          <w:szCs w:val="24"/>
        </w:rPr>
        <w:t>se medidas progre</w:t>
      </w:r>
      <w:r w:rsidR="00E95547" w:rsidRPr="003A1174">
        <w:rPr>
          <w:rFonts w:ascii="Garamond" w:eastAsia="Calibri" w:hAnsi="Garamond" w:cs="Arial"/>
          <w:sz w:val="24"/>
          <w:szCs w:val="24"/>
        </w:rPr>
        <w:t>ssivas para lid</w:t>
      </w:r>
      <w:r w:rsidR="00496CB2" w:rsidRPr="003A1174">
        <w:rPr>
          <w:rFonts w:ascii="Garamond" w:eastAsia="Calibri" w:hAnsi="Garamond" w:cs="Arial"/>
          <w:sz w:val="24"/>
          <w:szCs w:val="24"/>
        </w:rPr>
        <w:t>ar co</w:t>
      </w:r>
      <w:r w:rsidR="00E95547" w:rsidRPr="003A1174">
        <w:rPr>
          <w:rFonts w:ascii="Garamond" w:eastAsia="Calibri" w:hAnsi="Garamond" w:cs="Arial"/>
          <w:sz w:val="24"/>
          <w:szCs w:val="24"/>
        </w:rPr>
        <w:t>m ele</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Enquanto </w:t>
      </w:r>
      <w:r w:rsidR="00496CB2" w:rsidRPr="003A1174">
        <w:rPr>
          <w:rFonts w:ascii="Garamond" w:eastAsia="Calibri" w:hAnsi="Garamond" w:cs="Arial"/>
          <w:sz w:val="24"/>
          <w:szCs w:val="24"/>
        </w:rPr>
        <w:t>mal social</w:t>
      </w:r>
      <w:r w:rsidR="004A7F56">
        <w:rPr>
          <w:rFonts w:ascii="Garamond" w:eastAsia="Calibri" w:hAnsi="Garamond" w:cs="Arial"/>
          <w:sz w:val="24"/>
          <w:szCs w:val="24"/>
        </w:rPr>
        <w:t>,</w:t>
      </w:r>
      <w:r w:rsidR="00496CB2" w:rsidRPr="003A1174">
        <w:rPr>
          <w:rFonts w:ascii="Garamond" w:eastAsia="Calibri" w:hAnsi="Garamond" w:cs="Arial"/>
          <w:sz w:val="24"/>
          <w:szCs w:val="24"/>
        </w:rPr>
        <w:t xml:space="preserve"> que </w:t>
      </w:r>
      <w:r w:rsidR="001B02AD" w:rsidRPr="003A1174">
        <w:rPr>
          <w:rFonts w:ascii="Garamond" w:eastAsia="Calibri" w:hAnsi="Garamond" w:cs="Arial"/>
          <w:sz w:val="24"/>
          <w:szCs w:val="24"/>
        </w:rPr>
        <w:t>afeta</w:t>
      </w:r>
      <w:r w:rsidR="00496CB2" w:rsidRPr="003A1174">
        <w:rPr>
          <w:rFonts w:ascii="Garamond" w:eastAsia="Calibri" w:hAnsi="Garamond" w:cs="Arial"/>
          <w:sz w:val="24"/>
          <w:szCs w:val="24"/>
        </w:rPr>
        <w:t xml:space="preserve"> todo</w:t>
      </w:r>
      <w:r w:rsidR="00E95547" w:rsidRPr="003A1174">
        <w:rPr>
          <w:rFonts w:ascii="Garamond" w:eastAsia="Calibri" w:hAnsi="Garamond" w:cs="Arial"/>
          <w:sz w:val="24"/>
          <w:szCs w:val="24"/>
        </w:rPr>
        <w:t xml:space="preserve"> o</w:t>
      </w:r>
      <w:r w:rsidR="00496CB2" w:rsidRPr="003A1174">
        <w:rPr>
          <w:rFonts w:ascii="Garamond" w:eastAsia="Calibri" w:hAnsi="Garamond" w:cs="Arial"/>
          <w:sz w:val="24"/>
          <w:szCs w:val="24"/>
        </w:rPr>
        <w:t xml:space="preserve"> tipo de </w:t>
      </w:r>
      <w:r w:rsidR="006C760C" w:rsidRPr="003A1174">
        <w:rPr>
          <w:rFonts w:ascii="Garamond" w:eastAsia="Calibri" w:hAnsi="Garamond" w:cs="Arial"/>
          <w:sz w:val="24"/>
          <w:szCs w:val="24"/>
        </w:rPr>
        <w:t>pessoas</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o </w:t>
      </w:r>
      <w:r w:rsidR="006506C6" w:rsidRPr="003A1174">
        <w:rPr>
          <w:rFonts w:ascii="Garamond" w:eastAsia="Calibri" w:hAnsi="Garamond" w:cs="Arial"/>
          <w:sz w:val="24"/>
          <w:szCs w:val="24"/>
        </w:rPr>
        <w:t>governo</w:t>
      </w:r>
      <w:r w:rsidR="00496CB2"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00496CB2" w:rsidRPr="003A1174">
        <w:rPr>
          <w:rFonts w:ascii="Garamond" w:eastAsia="Calibri" w:hAnsi="Garamond" w:cs="Arial"/>
          <w:sz w:val="24"/>
          <w:szCs w:val="24"/>
        </w:rPr>
        <w:t xml:space="preserve"> Estado </w:t>
      </w:r>
      <w:r w:rsidR="00AF192F" w:rsidRPr="003A1174">
        <w:rPr>
          <w:rFonts w:ascii="Garamond" w:eastAsia="Calibri" w:hAnsi="Garamond" w:cs="Arial"/>
          <w:sz w:val="24"/>
          <w:szCs w:val="24"/>
        </w:rPr>
        <w:t>Livre</w:t>
      </w:r>
      <w:r w:rsidR="00496CB2" w:rsidRPr="003A1174">
        <w:rPr>
          <w:rFonts w:ascii="Garamond" w:eastAsia="Calibri" w:hAnsi="Garamond" w:cs="Arial"/>
          <w:sz w:val="24"/>
          <w:szCs w:val="24"/>
        </w:rPr>
        <w:t xml:space="preserve"> </w:t>
      </w:r>
      <w:r w:rsidR="00800D59" w:rsidRPr="003A1174">
        <w:rPr>
          <w:rFonts w:ascii="Garamond" w:eastAsia="Calibri" w:hAnsi="Garamond" w:cs="Arial"/>
          <w:sz w:val="24"/>
          <w:szCs w:val="24"/>
        </w:rPr>
        <w:t>Associado</w:t>
      </w:r>
      <w:r w:rsidR="00496CB2" w:rsidRPr="003A1174">
        <w:rPr>
          <w:rFonts w:ascii="Garamond" w:eastAsia="Calibri" w:hAnsi="Garamond" w:cs="Arial"/>
          <w:sz w:val="24"/>
          <w:szCs w:val="24"/>
        </w:rPr>
        <w:t xml:space="preserve"> de </w:t>
      </w:r>
      <w:r w:rsidR="0017447A" w:rsidRPr="003A1174">
        <w:rPr>
          <w:rFonts w:ascii="Garamond" w:eastAsia="Calibri" w:hAnsi="Garamond" w:cs="Arial"/>
          <w:sz w:val="24"/>
          <w:szCs w:val="24"/>
        </w:rPr>
        <w:t>Porto</w:t>
      </w:r>
      <w:r w:rsidR="00496CB2" w:rsidRPr="003A1174">
        <w:rPr>
          <w:rFonts w:ascii="Garamond" w:eastAsia="Calibri" w:hAnsi="Garamond" w:cs="Arial"/>
          <w:sz w:val="24"/>
          <w:szCs w:val="24"/>
        </w:rPr>
        <w:t xml:space="preserve"> Rico </w:t>
      </w:r>
      <w:r w:rsidR="0091213A" w:rsidRPr="003A1174">
        <w:rPr>
          <w:rFonts w:ascii="Garamond" w:eastAsia="Calibri" w:hAnsi="Garamond" w:cs="Arial"/>
          <w:sz w:val="24"/>
          <w:szCs w:val="24"/>
        </w:rPr>
        <w:t>reconhece</w:t>
      </w:r>
      <w:r w:rsidR="00E95547" w:rsidRPr="003A1174">
        <w:rPr>
          <w:rFonts w:ascii="Garamond" w:eastAsia="Calibri" w:hAnsi="Garamond" w:cs="Arial"/>
          <w:sz w:val="24"/>
          <w:szCs w:val="24"/>
        </w:rPr>
        <w:t xml:space="preserve"> que </w:t>
      </w:r>
      <w:r w:rsidR="00496CB2" w:rsidRPr="003A1174">
        <w:rPr>
          <w:rFonts w:ascii="Garamond" w:eastAsia="Calibri" w:hAnsi="Garamond" w:cs="Arial"/>
          <w:sz w:val="24"/>
          <w:szCs w:val="24"/>
        </w:rPr>
        <w:t xml:space="preserve">a </w:t>
      </w:r>
      <w:r w:rsidR="00233514" w:rsidRPr="003A1174">
        <w:rPr>
          <w:rFonts w:ascii="Garamond" w:eastAsia="Calibri" w:hAnsi="Garamond" w:cs="Arial"/>
          <w:sz w:val="24"/>
          <w:szCs w:val="24"/>
        </w:rPr>
        <w:t>maioria</w:t>
      </w:r>
      <w:r w:rsidR="00496CB2" w:rsidRPr="003A1174">
        <w:rPr>
          <w:rFonts w:ascii="Garamond" w:eastAsia="Calibri" w:hAnsi="Garamond" w:cs="Arial"/>
          <w:sz w:val="24"/>
          <w:szCs w:val="24"/>
        </w:rPr>
        <w:t xml:space="preserve">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3F012B" w:rsidRPr="003A1174">
        <w:rPr>
          <w:rFonts w:ascii="Garamond" w:eastAsia="Calibri" w:hAnsi="Garamond" w:cs="Arial"/>
          <w:sz w:val="24"/>
          <w:szCs w:val="24"/>
        </w:rPr>
        <w:t>vítima</w:t>
      </w:r>
      <w:r w:rsidR="00496CB2" w:rsidRPr="003A1174">
        <w:rPr>
          <w:rFonts w:ascii="Garamond" w:eastAsia="Calibri" w:hAnsi="Garamond" w:cs="Arial"/>
          <w:sz w:val="24"/>
          <w:szCs w:val="24"/>
        </w:rPr>
        <w:t xml:space="preserve">s </w:t>
      </w:r>
      <w:r w:rsidR="00D75A07" w:rsidRPr="003A1174">
        <w:rPr>
          <w:rFonts w:ascii="Garamond" w:eastAsia="Calibri" w:hAnsi="Garamond" w:cs="Arial"/>
          <w:sz w:val="24"/>
          <w:szCs w:val="24"/>
        </w:rPr>
        <w:t>são</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Dentro da</w:t>
      </w:r>
      <w:r w:rsidR="00496CB2" w:rsidRPr="003A1174">
        <w:rPr>
          <w:rFonts w:ascii="Garamond" w:eastAsia="Calibri" w:hAnsi="Garamond" w:cs="Arial"/>
          <w:sz w:val="24"/>
          <w:szCs w:val="24"/>
        </w:rPr>
        <w:t xml:space="preserve"> </w:t>
      </w:r>
      <w:r w:rsidR="00462B11" w:rsidRPr="003A1174">
        <w:rPr>
          <w:rFonts w:ascii="Garamond" w:eastAsia="Calibri" w:hAnsi="Garamond" w:cs="Arial"/>
          <w:sz w:val="24"/>
          <w:szCs w:val="24"/>
        </w:rPr>
        <w:t>nossa</w:t>
      </w:r>
      <w:r w:rsidR="00496CB2" w:rsidRPr="003A1174">
        <w:rPr>
          <w:rFonts w:ascii="Garamond" w:eastAsia="Calibri" w:hAnsi="Garamond" w:cs="Arial"/>
          <w:sz w:val="24"/>
          <w:szCs w:val="24"/>
        </w:rPr>
        <w:t xml:space="preserve"> </w:t>
      </w:r>
      <w:r w:rsidR="00731B19" w:rsidRPr="003A1174">
        <w:rPr>
          <w:rFonts w:ascii="Garamond" w:eastAsia="Calibri" w:hAnsi="Garamond" w:cs="Arial"/>
          <w:sz w:val="24"/>
          <w:szCs w:val="24"/>
        </w:rPr>
        <w:t>jurisdição</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o </w:t>
      </w:r>
      <w:r w:rsidR="006506C6" w:rsidRPr="003A1174">
        <w:rPr>
          <w:rFonts w:ascii="Garamond" w:eastAsia="Calibri" w:hAnsi="Garamond" w:cs="Arial"/>
          <w:sz w:val="24"/>
          <w:szCs w:val="24"/>
        </w:rPr>
        <w:t>governo</w:t>
      </w:r>
      <w:r w:rsidR="00496CB2" w:rsidRPr="003A1174">
        <w:rPr>
          <w:rFonts w:ascii="Garamond" w:eastAsia="Calibri" w:hAnsi="Garamond" w:cs="Arial"/>
          <w:sz w:val="24"/>
          <w:szCs w:val="24"/>
        </w:rPr>
        <w:t xml:space="preserve"> facult</w:t>
      </w:r>
      <w:r w:rsidR="00E95547" w:rsidRPr="003A1174">
        <w:rPr>
          <w:rFonts w:ascii="Garamond" w:eastAsia="Calibri" w:hAnsi="Garamond" w:cs="Arial"/>
          <w:sz w:val="24"/>
          <w:szCs w:val="24"/>
        </w:rPr>
        <w:t xml:space="preserve">ou ao </w:t>
      </w:r>
      <w:r w:rsidR="00C246B4" w:rsidRPr="003A1174">
        <w:rPr>
          <w:rFonts w:ascii="Garamond" w:eastAsia="Calibri" w:hAnsi="Garamond" w:cs="Arial"/>
          <w:sz w:val="24"/>
          <w:szCs w:val="24"/>
        </w:rPr>
        <w:t>Gabinete</w:t>
      </w:r>
      <w:r w:rsidR="00496CB2" w:rsidRPr="003A1174">
        <w:rPr>
          <w:rFonts w:ascii="Garamond" w:eastAsia="Calibri" w:hAnsi="Garamond" w:cs="Arial"/>
          <w:sz w:val="24"/>
          <w:szCs w:val="24"/>
        </w:rPr>
        <w:t xml:space="preserve"> da </w:t>
      </w:r>
      <w:r w:rsidR="0096583F" w:rsidRPr="003A1174">
        <w:rPr>
          <w:rFonts w:ascii="Garamond" w:eastAsia="Calibri" w:hAnsi="Garamond" w:cs="Arial"/>
          <w:sz w:val="24"/>
          <w:szCs w:val="24"/>
        </w:rPr>
        <w:t>Procuradoria</w:t>
      </w:r>
      <w:r w:rsidR="00496CB2" w:rsidRPr="003A1174">
        <w:rPr>
          <w:rFonts w:ascii="Garamond" w:eastAsia="Calibri" w:hAnsi="Garamond" w:cs="Arial"/>
          <w:sz w:val="24"/>
          <w:szCs w:val="24"/>
        </w:rPr>
        <w:t xml:space="preserve">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(OPM</w:t>
      </w:r>
      <w:r w:rsidR="004A7F56">
        <w:rPr>
          <w:rFonts w:ascii="Garamond" w:eastAsia="Calibri" w:hAnsi="Garamond" w:cs="Arial"/>
          <w:sz w:val="24"/>
          <w:szCs w:val="24"/>
        </w:rPr>
        <w:t>, doravante</w:t>
      </w:r>
      <w:r w:rsidR="00496CB2" w:rsidRPr="003A1174">
        <w:rPr>
          <w:rFonts w:ascii="Garamond" w:eastAsia="Calibri" w:hAnsi="Garamond" w:cs="Arial"/>
          <w:sz w:val="24"/>
          <w:szCs w:val="24"/>
        </w:rPr>
        <w:t>) a</w:t>
      </w:r>
      <w:r w:rsidR="00E95547" w:rsidRPr="003A1174">
        <w:rPr>
          <w:rFonts w:ascii="Garamond" w:eastAsia="Calibri" w:hAnsi="Garamond" w:cs="Arial"/>
          <w:sz w:val="24"/>
          <w:szCs w:val="24"/>
        </w:rPr>
        <w:t xml:space="preserve"> </w:t>
      </w:r>
      <w:r w:rsidR="00496CB2" w:rsidRPr="003A1174">
        <w:rPr>
          <w:rFonts w:ascii="Garamond" w:eastAsia="Calibri" w:hAnsi="Garamond" w:cs="Arial"/>
          <w:sz w:val="24"/>
          <w:szCs w:val="24"/>
        </w:rPr>
        <w:t>realiza</w:t>
      </w:r>
      <w:r w:rsidR="00E95547" w:rsidRPr="003A1174">
        <w:rPr>
          <w:rFonts w:ascii="Garamond" w:eastAsia="Calibri" w:hAnsi="Garamond" w:cs="Arial"/>
          <w:sz w:val="24"/>
          <w:szCs w:val="24"/>
        </w:rPr>
        <w:t xml:space="preserve">ção de </w:t>
      </w:r>
      <w:r w:rsidR="00B80F99" w:rsidRPr="003A1174">
        <w:rPr>
          <w:rFonts w:ascii="Garamond" w:eastAsia="Calibri" w:hAnsi="Garamond" w:cs="Arial"/>
          <w:sz w:val="24"/>
          <w:szCs w:val="24"/>
        </w:rPr>
        <w:t>investigações</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3F012B" w:rsidRPr="003A1174">
        <w:rPr>
          <w:rFonts w:ascii="Garamond" w:eastAsia="Calibri" w:hAnsi="Garamond" w:cs="Arial"/>
          <w:sz w:val="24"/>
          <w:szCs w:val="24"/>
        </w:rPr>
        <w:t>estudo</w:t>
      </w:r>
      <w:r w:rsidR="00E95547" w:rsidRPr="003A1174">
        <w:rPr>
          <w:rFonts w:ascii="Garamond" w:eastAsia="Calibri" w:hAnsi="Garamond" w:cs="Arial"/>
          <w:sz w:val="24"/>
          <w:szCs w:val="24"/>
        </w:rPr>
        <w:t>s, compilações</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C65DD5" w:rsidRPr="003A1174">
        <w:rPr>
          <w:rFonts w:ascii="Garamond" w:eastAsia="Calibri" w:hAnsi="Garamond" w:cs="Arial"/>
          <w:sz w:val="24"/>
          <w:szCs w:val="24"/>
        </w:rPr>
        <w:t>an</w:t>
      </w:r>
      <w:r w:rsidR="004A7F56">
        <w:rPr>
          <w:rFonts w:ascii="Garamond" w:eastAsia="Calibri" w:hAnsi="Garamond" w:cs="Arial"/>
          <w:sz w:val="24"/>
          <w:szCs w:val="24"/>
        </w:rPr>
        <w:t>á</w:t>
      </w:r>
      <w:r w:rsidR="00C65DD5" w:rsidRPr="003A1174">
        <w:rPr>
          <w:rFonts w:ascii="Garamond" w:eastAsia="Calibri" w:hAnsi="Garamond" w:cs="Arial"/>
          <w:sz w:val="24"/>
          <w:szCs w:val="24"/>
        </w:rPr>
        <w:t>lis</w:t>
      </w:r>
      <w:r w:rsidR="00E95547" w:rsidRPr="003A1174">
        <w:rPr>
          <w:rFonts w:ascii="Garamond" w:eastAsia="Calibri" w:hAnsi="Garamond" w:cs="Arial"/>
          <w:sz w:val="24"/>
          <w:szCs w:val="24"/>
        </w:rPr>
        <w:t xml:space="preserve">e </w:t>
      </w:r>
      <w:r w:rsidR="00190B59" w:rsidRPr="003A1174">
        <w:rPr>
          <w:rFonts w:ascii="Garamond" w:eastAsia="Calibri" w:hAnsi="Garamond" w:cs="Arial"/>
          <w:sz w:val="24"/>
          <w:szCs w:val="24"/>
        </w:rPr>
        <w:t>estatística</w:t>
      </w:r>
      <w:r w:rsidR="00E95547" w:rsidRPr="003A1174">
        <w:rPr>
          <w:rFonts w:ascii="Garamond" w:eastAsia="Calibri" w:hAnsi="Garamond" w:cs="Arial"/>
          <w:sz w:val="24"/>
          <w:szCs w:val="24"/>
        </w:rPr>
        <w:t xml:space="preserve"> sobre </w:t>
      </w:r>
      <w:r w:rsidR="00496CB2" w:rsidRPr="003A1174">
        <w:rPr>
          <w:rFonts w:ascii="Garamond" w:eastAsia="Calibri" w:hAnsi="Garamond" w:cs="Arial"/>
          <w:sz w:val="24"/>
          <w:szCs w:val="24"/>
        </w:rPr>
        <w:t xml:space="preserve">a </w:t>
      </w:r>
      <w:r w:rsidR="0017447A" w:rsidRPr="003A1174">
        <w:rPr>
          <w:rFonts w:ascii="Garamond" w:eastAsia="Calibri" w:hAnsi="Garamond" w:cs="Arial"/>
          <w:sz w:val="24"/>
          <w:szCs w:val="24"/>
        </w:rPr>
        <w:t>situação</w:t>
      </w:r>
      <w:r w:rsidR="00496CB2" w:rsidRPr="003A1174">
        <w:rPr>
          <w:rFonts w:ascii="Garamond" w:eastAsia="Calibri" w:hAnsi="Garamond" w:cs="Arial"/>
          <w:sz w:val="24"/>
          <w:szCs w:val="24"/>
        </w:rPr>
        <w:t xml:space="preserve">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w:t>
      </w:r>
      <w:r w:rsidR="00C65DD5" w:rsidRPr="003A1174">
        <w:rPr>
          <w:rFonts w:ascii="Garamond" w:eastAsia="Calibri" w:hAnsi="Garamond" w:cs="Arial"/>
          <w:sz w:val="24"/>
          <w:szCs w:val="24"/>
        </w:rPr>
        <w:t>an</w:t>
      </w:r>
      <w:r w:rsidR="004A7F56">
        <w:rPr>
          <w:rFonts w:ascii="Garamond" w:eastAsia="Calibri" w:hAnsi="Garamond" w:cs="Arial"/>
          <w:sz w:val="24"/>
          <w:szCs w:val="24"/>
        </w:rPr>
        <w:t>á</w:t>
      </w:r>
      <w:r w:rsidR="00C65DD5" w:rsidRPr="003A1174">
        <w:rPr>
          <w:rFonts w:ascii="Garamond" w:eastAsia="Calibri" w:hAnsi="Garamond" w:cs="Arial"/>
          <w:sz w:val="24"/>
          <w:szCs w:val="24"/>
        </w:rPr>
        <w:t>lis</w:t>
      </w:r>
      <w:r w:rsidR="00E95547" w:rsidRPr="003A1174">
        <w:rPr>
          <w:rFonts w:ascii="Garamond" w:eastAsia="Calibri" w:hAnsi="Garamond" w:cs="Arial"/>
          <w:sz w:val="24"/>
          <w:szCs w:val="24"/>
        </w:rPr>
        <w:t xml:space="preserve">e dos </w:t>
      </w:r>
      <w:r w:rsidR="00AC3351" w:rsidRPr="003A1174">
        <w:rPr>
          <w:rFonts w:ascii="Garamond" w:eastAsia="Calibri" w:hAnsi="Garamond" w:cs="Arial"/>
          <w:sz w:val="24"/>
          <w:szCs w:val="24"/>
        </w:rPr>
        <w:t>fatores</w:t>
      </w:r>
      <w:r w:rsidR="00496CB2" w:rsidRPr="003A1174">
        <w:rPr>
          <w:rFonts w:ascii="Garamond" w:eastAsia="Calibri" w:hAnsi="Garamond" w:cs="Arial"/>
          <w:sz w:val="24"/>
          <w:szCs w:val="24"/>
        </w:rPr>
        <w:t xml:space="preserve"> que afe</w:t>
      </w:r>
      <w:r w:rsidR="00E95547" w:rsidRPr="003A1174">
        <w:rPr>
          <w:rFonts w:ascii="Garamond" w:eastAsia="Calibri" w:hAnsi="Garamond" w:cs="Arial"/>
          <w:sz w:val="24"/>
          <w:szCs w:val="24"/>
        </w:rPr>
        <w:t xml:space="preserve">tam os </w:t>
      </w:r>
      <w:r w:rsidR="00886D6A" w:rsidRPr="003A1174">
        <w:rPr>
          <w:rFonts w:ascii="Garamond" w:eastAsia="Calibri" w:hAnsi="Garamond" w:cs="Arial"/>
          <w:sz w:val="24"/>
          <w:szCs w:val="24"/>
        </w:rPr>
        <w:t>direito</w:t>
      </w:r>
      <w:r w:rsidR="00496CB2" w:rsidRPr="003A1174">
        <w:rPr>
          <w:rFonts w:ascii="Garamond" w:eastAsia="Calibri" w:hAnsi="Garamond" w:cs="Arial"/>
          <w:sz w:val="24"/>
          <w:szCs w:val="24"/>
        </w:rPr>
        <w:t xml:space="preserve">s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4A7F56">
        <w:rPr>
          <w:rFonts w:ascii="Garamond" w:eastAsia="Calibri" w:hAnsi="Garamond" w:cs="Arial"/>
          <w:sz w:val="24"/>
          <w:szCs w:val="24"/>
        </w:rPr>
        <w:t>,</w:t>
      </w:r>
      <w:r w:rsidR="00496CB2" w:rsidRPr="003A1174">
        <w:rPr>
          <w:rFonts w:ascii="Garamond" w:eastAsia="Calibri" w:hAnsi="Garamond" w:cs="Arial"/>
          <w:sz w:val="24"/>
          <w:szCs w:val="24"/>
        </w:rPr>
        <w:t xml:space="preserve"> e</w:t>
      </w:r>
      <w:r w:rsidR="00E95547" w:rsidRPr="003A1174">
        <w:rPr>
          <w:rFonts w:ascii="Garamond" w:eastAsia="Calibri" w:hAnsi="Garamond" w:cs="Arial"/>
          <w:sz w:val="24"/>
          <w:szCs w:val="24"/>
        </w:rPr>
        <w:t xml:space="preserve">m todas </w:t>
      </w:r>
      <w:r w:rsidR="00496CB2" w:rsidRPr="003A1174">
        <w:rPr>
          <w:rFonts w:ascii="Garamond" w:eastAsia="Calibri" w:hAnsi="Garamond" w:cs="Arial"/>
          <w:sz w:val="24"/>
          <w:szCs w:val="24"/>
        </w:rPr>
        <w:t>as esferas d</w:t>
      </w:r>
      <w:r w:rsidR="00E95547" w:rsidRPr="003A1174">
        <w:rPr>
          <w:rFonts w:ascii="Garamond" w:eastAsia="Calibri" w:hAnsi="Garamond" w:cs="Arial"/>
          <w:sz w:val="24"/>
          <w:szCs w:val="24"/>
        </w:rPr>
        <w:t xml:space="preserve">a sua </w:t>
      </w:r>
      <w:r w:rsidR="00496CB2" w:rsidRPr="003A1174">
        <w:rPr>
          <w:rFonts w:ascii="Garamond" w:eastAsia="Calibri" w:hAnsi="Garamond" w:cs="Arial"/>
          <w:sz w:val="24"/>
          <w:szCs w:val="24"/>
        </w:rPr>
        <w:t xml:space="preserve">vida social, política, económica, cultural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civil, </w:t>
      </w:r>
      <w:r w:rsidR="000464C8" w:rsidRPr="003A1174">
        <w:rPr>
          <w:rFonts w:ascii="Garamond" w:eastAsia="Calibri" w:hAnsi="Garamond" w:cs="Arial"/>
          <w:sz w:val="24"/>
          <w:szCs w:val="24"/>
        </w:rPr>
        <w:t>assim</w:t>
      </w:r>
      <w:r w:rsidR="00E95547" w:rsidRPr="003A1174">
        <w:rPr>
          <w:rFonts w:ascii="Garamond" w:eastAsia="Calibri" w:hAnsi="Garamond" w:cs="Arial"/>
          <w:sz w:val="24"/>
          <w:szCs w:val="24"/>
        </w:rPr>
        <w:t xml:space="preserve"> como </w:t>
      </w:r>
      <w:r w:rsidR="00496CB2" w:rsidRPr="003A1174">
        <w:rPr>
          <w:rFonts w:ascii="Garamond" w:eastAsia="Calibri" w:hAnsi="Garamond" w:cs="Arial"/>
          <w:sz w:val="24"/>
          <w:szCs w:val="24"/>
        </w:rPr>
        <w:t>as causas da des</w:t>
      </w:r>
      <w:r w:rsidR="002C7510" w:rsidRPr="003A1174">
        <w:rPr>
          <w:rFonts w:ascii="Garamond" w:eastAsia="Calibri" w:hAnsi="Garamond" w:cs="Arial"/>
          <w:sz w:val="24"/>
          <w:szCs w:val="24"/>
        </w:rPr>
        <w:t>igualdade</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no </w:t>
      </w:r>
      <w:r w:rsidR="00496CB2" w:rsidRPr="003A1174">
        <w:rPr>
          <w:rFonts w:ascii="Garamond" w:eastAsia="Calibri" w:hAnsi="Garamond" w:cs="Arial"/>
          <w:sz w:val="24"/>
          <w:szCs w:val="24"/>
        </w:rPr>
        <w:t>trat</w:t>
      </w:r>
      <w:r w:rsidR="00E95547" w:rsidRPr="003A1174">
        <w:rPr>
          <w:rFonts w:ascii="Garamond" w:eastAsia="Calibri" w:hAnsi="Garamond" w:cs="Arial"/>
          <w:sz w:val="24"/>
          <w:szCs w:val="24"/>
        </w:rPr>
        <w:t>ament</w:t>
      </w:r>
      <w:r w:rsidR="00496CB2" w:rsidRPr="003A1174">
        <w:rPr>
          <w:rFonts w:ascii="Garamond" w:eastAsia="Calibri" w:hAnsi="Garamond" w:cs="Arial"/>
          <w:sz w:val="24"/>
          <w:szCs w:val="24"/>
        </w:rPr>
        <w:t xml:space="preserve">o, </w:t>
      </w:r>
      <w:r w:rsidR="00E95547" w:rsidRPr="003A1174">
        <w:rPr>
          <w:rFonts w:ascii="Garamond" w:eastAsia="Calibri" w:hAnsi="Garamond" w:cs="Arial"/>
          <w:sz w:val="24"/>
          <w:szCs w:val="24"/>
        </w:rPr>
        <w:t xml:space="preserve">no </w:t>
      </w:r>
      <w:r w:rsidR="00886D6A" w:rsidRPr="003A1174">
        <w:rPr>
          <w:rFonts w:ascii="Garamond" w:eastAsia="Calibri" w:hAnsi="Garamond" w:cs="Arial"/>
          <w:sz w:val="24"/>
          <w:szCs w:val="24"/>
        </w:rPr>
        <w:t>acesso</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E95547" w:rsidRPr="003A1174">
        <w:rPr>
          <w:rFonts w:ascii="Garamond" w:eastAsia="Calibri" w:hAnsi="Garamond" w:cs="Arial"/>
          <w:sz w:val="24"/>
          <w:szCs w:val="24"/>
        </w:rPr>
        <w:t xml:space="preserve"> n</w:t>
      </w:r>
      <w:r w:rsidR="00496CB2" w:rsidRPr="003A1174">
        <w:rPr>
          <w:rFonts w:ascii="Garamond" w:eastAsia="Calibri" w:hAnsi="Garamond" w:cs="Arial"/>
          <w:sz w:val="24"/>
          <w:szCs w:val="24"/>
        </w:rPr>
        <w:t xml:space="preserve">a </w:t>
      </w:r>
      <w:r w:rsidR="0017447A" w:rsidRPr="003A1174">
        <w:rPr>
          <w:rFonts w:ascii="Garamond" w:eastAsia="Calibri" w:hAnsi="Garamond" w:cs="Arial"/>
          <w:sz w:val="24"/>
          <w:szCs w:val="24"/>
        </w:rPr>
        <w:t>participação</w:t>
      </w:r>
      <w:r w:rsidR="00496CB2" w:rsidRPr="003A1174">
        <w:rPr>
          <w:rFonts w:ascii="Garamond" w:eastAsia="Calibri" w:hAnsi="Garamond" w:cs="Arial"/>
          <w:sz w:val="24"/>
          <w:szCs w:val="24"/>
        </w:rPr>
        <w:t xml:space="preserve"> e</w:t>
      </w:r>
      <w:r w:rsidR="00E95547" w:rsidRPr="003A1174">
        <w:rPr>
          <w:rFonts w:ascii="Garamond" w:eastAsia="Calibri" w:hAnsi="Garamond" w:cs="Arial"/>
          <w:sz w:val="24"/>
          <w:szCs w:val="24"/>
        </w:rPr>
        <w:t xml:space="preserve">m </w:t>
      </w:r>
      <w:r w:rsidR="00EF645F" w:rsidRPr="003A1174">
        <w:rPr>
          <w:rFonts w:ascii="Garamond" w:eastAsia="Calibri" w:hAnsi="Garamond" w:cs="Arial"/>
          <w:sz w:val="24"/>
          <w:szCs w:val="24"/>
        </w:rPr>
        <w:t>matéria</w:t>
      </w:r>
      <w:r w:rsidR="00496CB2" w:rsidRPr="003A1174">
        <w:rPr>
          <w:rFonts w:ascii="Garamond" w:eastAsia="Calibri" w:hAnsi="Garamond" w:cs="Arial"/>
          <w:sz w:val="24"/>
          <w:szCs w:val="24"/>
        </w:rPr>
        <w:t xml:space="preserve"> de </w:t>
      </w:r>
      <w:r w:rsidR="00802ACC" w:rsidRPr="003A1174">
        <w:rPr>
          <w:rFonts w:ascii="Garamond" w:eastAsia="Calibri" w:hAnsi="Garamond" w:cs="Arial"/>
          <w:sz w:val="24"/>
          <w:szCs w:val="24"/>
        </w:rPr>
        <w:t>educação</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1B7D0B">
        <w:rPr>
          <w:rFonts w:ascii="Garamond" w:eastAsia="Calibri" w:hAnsi="Garamond" w:cs="Arial"/>
          <w:sz w:val="24"/>
          <w:szCs w:val="24"/>
        </w:rPr>
        <w:t xml:space="preserve"> formação</w:t>
      </w:r>
      <w:r w:rsidR="00496CB2" w:rsidRPr="003A1174">
        <w:rPr>
          <w:rFonts w:ascii="Garamond" w:eastAsia="Calibri" w:hAnsi="Garamond" w:cs="Arial"/>
          <w:sz w:val="24"/>
          <w:szCs w:val="24"/>
        </w:rPr>
        <w:t xml:space="preserve">, </w:t>
      </w:r>
      <w:r w:rsidR="007C63D0" w:rsidRPr="003A1174">
        <w:rPr>
          <w:rFonts w:ascii="Garamond" w:eastAsia="Calibri" w:hAnsi="Garamond" w:cs="Arial"/>
          <w:sz w:val="24"/>
          <w:szCs w:val="24"/>
        </w:rPr>
        <w:t>saúde</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emprego, autogestão</w:t>
      </w:r>
      <w:r w:rsidR="00496CB2" w:rsidRPr="003A1174">
        <w:rPr>
          <w:rFonts w:ascii="Garamond" w:eastAsia="Calibri" w:hAnsi="Garamond" w:cs="Arial"/>
          <w:sz w:val="24"/>
          <w:szCs w:val="24"/>
        </w:rPr>
        <w:t xml:space="preserve">, </w:t>
      </w:r>
      <w:r w:rsidR="009B133A" w:rsidRPr="003A1174">
        <w:rPr>
          <w:rFonts w:ascii="Garamond" w:eastAsia="Calibri" w:hAnsi="Garamond" w:cs="Arial"/>
          <w:sz w:val="24"/>
          <w:szCs w:val="24"/>
        </w:rPr>
        <w:t>desenvolvimento</w:t>
      </w:r>
      <w:r w:rsidR="00496CB2" w:rsidRPr="003A1174">
        <w:rPr>
          <w:rFonts w:ascii="Garamond" w:eastAsia="Calibri" w:hAnsi="Garamond" w:cs="Arial"/>
          <w:sz w:val="24"/>
          <w:szCs w:val="24"/>
        </w:rPr>
        <w:t xml:space="preserve"> económico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e</w:t>
      </w:r>
      <w:r w:rsidR="00E95547" w:rsidRPr="003A1174">
        <w:rPr>
          <w:rFonts w:ascii="Garamond" w:eastAsia="Calibri" w:hAnsi="Garamond" w:cs="Arial"/>
          <w:sz w:val="24"/>
          <w:szCs w:val="24"/>
        </w:rPr>
        <w:t>m</w:t>
      </w:r>
      <w:r w:rsidR="00496CB2" w:rsidRPr="003A1174">
        <w:rPr>
          <w:rFonts w:ascii="Garamond" w:eastAsia="Calibri" w:hAnsi="Garamond" w:cs="Arial"/>
          <w:sz w:val="24"/>
          <w:szCs w:val="24"/>
        </w:rPr>
        <w:t xml:space="preserve"> </w:t>
      </w:r>
      <w:r w:rsidR="00077461" w:rsidRPr="003A1174">
        <w:rPr>
          <w:rFonts w:ascii="Garamond" w:eastAsia="Calibri" w:hAnsi="Garamond" w:cs="Arial"/>
          <w:sz w:val="24"/>
          <w:szCs w:val="24"/>
        </w:rPr>
        <w:t>geral</w:t>
      </w:r>
      <w:r w:rsidR="00496CB2" w:rsidRPr="003A1174">
        <w:rPr>
          <w:rFonts w:ascii="Garamond" w:eastAsia="Calibri" w:hAnsi="Garamond" w:cs="Arial"/>
          <w:sz w:val="24"/>
          <w:szCs w:val="24"/>
        </w:rPr>
        <w:t xml:space="preserve">, </w:t>
      </w:r>
      <w:r w:rsidR="00E95547" w:rsidRPr="003A1174">
        <w:rPr>
          <w:rFonts w:ascii="Garamond" w:eastAsia="Calibri" w:hAnsi="Garamond" w:cs="Arial"/>
          <w:sz w:val="24"/>
          <w:szCs w:val="24"/>
        </w:rPr>
        <w:t xml:space="preserve">o </w:t>
      </w:r>
      <w:r w:rsidR="00731B19" w:rsidRPr="003A1174">
        <w:rPr>
          <w:rFonts w:ascii="Garamond" w:eastAsia="Calibri" w:hAnsi="Garamond" w:cs="Arial"/>
          <w:sz w:val="24"/>
          <w:szCs w:val="24"/>
        </w:rPr>
        <w:t>exercício</w:t>
      </w:r>
      <w:r w:rsidR="00E95547" w:rsidRPr="003A1174">
        <w:rPr>
          <w:rFonts w:ascii="Garamond" w:eastAsia="Calibri" w:hAnsi="Garamond" w:cs="Arial"/>
          <w:sz w:val="24"/>
          <w:szCs w:val="24"/>
        </w:rPr>
        <w:t xml:space="preserve"> dos</w:t>
      </w:r>
      <w:r w:rsidR="00496CB2" w:rsidRPr="003A1174">
        <w:rPr>
          <w:rFonts w:ascii="Garamond" w:eastAsia="Calibri" w:hAnsi="Garamond" w:cs="Arial"/>
          <w:sz w:val="24"/>
          <w:szCs w:val="24"/>
        </w:rPr>
        <w:t xml:space="preserve"> s</w:t>
      </w:r>
      <w:r w:rsidR="00E95547" w:rsidRPr="003A1174">
        <w:rPr>
          <w:rFonts w:ascii="Garamond" w:eastAsia="Calibri" w:hAnsi="Garamond" w:cs="Arial"/>
          <w:sz w:val="24"/>
          <w:szCs w:val="24"/>
        </w:rPr>
        <w:t>e</w:t>
      </w:r>
      <w:r w:rsidR="00496CB2" w:rsidRPr="003A1174">
        <w:rPr>
          <w:rFonts w:ascii="Garamond" w:eastAsia="Calibri" w:hAnsi="Garamond" w:cs="Arial"/>
          <w:sz w:val="24"/>
          <w:szCs w:val="24"/>
        </w:rPr>
        <w:t xml:space="preserve">us </w:t>
      </w:r>
      <w:r w:rsidR="00886D6A" w:rsidRPr="003A1174">
        <w:rPr>
          <w:rFonts w:ascii="Garamond" w:eastAsia="Calibri" w:hAnsi="Garamond" w:cs="Arial"/>
          <w:sz w:val="24"/>
          <w:szCs w:val="24"/>
        </w:rPr>
        <w:t>direito</w:t>
      </w:r>
      <w:r w:rsidR="00496CB2" w:rsidRPr="003A1174">
        <w:rPr>
          <w:rFonts w:ascii="Garamond" w:eastAsia="Calibri" w:hAnsi="Garamond" w:cs="Arial"/>
          <w:sz w:val="24"/>
          <w:szCs w:val="24"/>
        </w:rPr>
        <w:t xml:space="preserve">s </w:t>
      </w:r>
      <w:r w:rsidR="00745303" w:rsidRPr="003A1174">
        <w:rPr>
          <w:rFonts w:ascii="Garamond" w:eastAsia="Calibri" w:hAnsi="Garamond" w:cs="Arial"/>
          <w:sz w:val="24"/>
          <w:szCs w:val="24"/>
        </w:rPr>
        <w:t>civis</w:t>
      </w:r>
      <w:r w:rsidR="00496CB2" w:rsidRPr="003A1174">
        <w:rPr>
          <w:rFonts w:ascii="Garamond" w:eastAsia="Calibri" w:hAnsi="Garamond" w:cs="Arial"/>
          <w:sz w:val="24"/>
          <w:szCs w:val="24"/>
        </w:rPr>
        <w:t xml:space="preserve">, políticos, </w:t>
      </w:r>
      <w:r w:rsidR="003F012B" w:rsidRPr="003A1174">
        <w:rPr>
          <w:rFonts w:ascii="Garamond" w:eastAsia="Calibri" w:hAnsi="Garamond" w:cs="Arial"/>
          <w:sz w:val="24"/>
          <w:szCs w:val="24"/>
        </w:rPr>
        <w:t>sociais</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cultura</w:t>
      </w:r>
      <w:r w:rsidR="00E95547" w:rsidRPr="003A1174">
        <w:rPr>
          <w:rFonts w:ascii="Garamond" w:eastAsia="Calibri" w:hAnsi="Garamond" w:cs="Arial"/>
          <w:sz w:val="24"/>
          <w:szCs w:val="24"/>
        </w:rPr>
        <w:t>is</w:t>
      </w:r>
      <w:r w:rsidR="00496CB2" w:rsidRPr="003A1174">
        <w:rPr>
          <w:rFonts w:ascii="Garamond" w:eastAsia="Calibri" w:hAnsi="Garamond" w:cs="Arial"/>
          <w:sz w:val="24"/>
          <w:szCs w:val="24"/>
        </w:rPr>
        <w:t>.</w:t>
      </w:r>
      <w:r w:rsidR="00496CB2" w:rsidRPr="003A1174">
        <w:rPr>
          <w:rFonts w:ascii="Garamond" w:eastAsia="Calibri" w:hAnsi="Garamond" w:cs="Arial"/>
          <w:sz w:val="24"/>
          <w:szCs w:val="24"/>
          <w:vertAlign w:val="superscript"/>
          <w:lang w:val="es-PR"/>
        </w:rPr>
        <w:footnoteReference w:id="133"/>
      </w:r>
    </w:p>
    <w:p w:rsidR="00496CB2" w:rsidRPr="003A1174" w:rsidRDefault="00E95547" w:rsidP="006E4BFA">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 xml:space="preserve">Entre </w:t>
      </w:r>
      <w:r w:rsidR="00496CB2" w:rsidRPr="003A1174">
        <w:rPr>
          <w:rFonts w:ascii="Garamond" w:eastAsia="Calibri" w:hAnsi="Garamond" w:cs="Arial"/>
          <w:sz w:val="24"/>
          <w:szCs w:val="24"/>
        </w:rPr>
        <w:t>os di</w:t>
      </w:r>
      <w:r w:rsidRPr="003A1174">
        <w:rPr>
          <w:rFonts w:ascii="Garamond" w:eastAsia="Calibri" w:hAnsi="Garamond" w:cs="Arial"/>
          <w:sz w:val="24"/>
          <w:szCs w:val="24"/>
        </w:rPr>
        <w:t xml:space="preserve">ferentes </w:t>
      </w:r>
      <w:r w:rsidR="003F012B" w:rsidRPr="003A1174">
        <w:rPr>
          <w:rFonts w:ascii="Garamond" w:eastAsia="Calibri" w:hAnsi="Garamond" w:cs="Arial"/>
          <w:sz w:val="24"/>
          <w:szCs w:val="24"/>
        </w:rPr>
        <w:t>estudo</w:t>
      </w:r>
      <w:r w:rsidR="00496CB2" w:rsidRPr="003A1174">
        <w:rPr>
          <w:rFonts w:ascii="Garamond" w:eastAsia="Calibri" w:hAnsi="Garamond" w:cs="Arial"/>
          <w:sz w:val="24"/>
          <w:szCs w:val="24"/>
        </w:rPr>
        <w:t xml:space="preserve">s realizados </w:t>
      </w:r>
      <w:r w:rsidR="00275092" w:rsidRPr="003A1174">
        <w:rPr>
          <w:rFonts w:ascii="Garamond" w:eastAsia="Calibri" w:hAnsi="Garamond" w:cs="Arial"/>
          <w:sz w:val="24"/>
          <w:szCs w:val="24"/>
        </w:rPr>
        <w:t>pela</w:t>
      </w:r>
      <w:r w:rsidR="00496CB2" w:rsidRPr="003A1174">
        <w:rPr>
          <w:rFonts w:ascii="Garamond" w:eastAsia="Calibri" w:hAnsi="Garamond" w:cs="Arial"/>
          <w:sz w:val="24"/>
          <w:szCs w:val="24"/>
        </w:rPr>
        <w:t xml:space="preserve"> OPM, </w:t>
      </w:r>
      <w:r w:rsidRPr="003A1174">
        <w:rPr>
          <w:rFonts w:ascii="Garamond" w:eastAsia="Calibri" w:hAnsi="Garamond" w:cs="Arial"/>
          <w:sz w:val="24"/>
          <w:szCs w:val="24"/>
        </w:rPr>
        <w:t>identificaram-</w:t>
      </w:r>
      <w:r w:rsidR="00496CB2" w:rsidRPr="003A1174">
        <w:rPr>
          <w:rFonts w:ascii="Garamond" w:eastAsia="Calibri" w:hAnsi="Garamond" w:cs="Arial"/>
          <w:sz w:val="24"/>
          <w:szCs w:val="24"/>
        </w:rPr>
        <w:t xml:space="preserve">se </w:t>
      </w:r>
      <w:r w:rsidR="00A862C2" w:rsidRPr="003A1174">
        <w:rPr>
          <w:rFonts w:ascii="Garamond" w:eastAsia="Calibri" w:hAnsi="Garamond" w:cs="Arial"/>
          <w:sz w:val="24"/>
          <w:szCs w:val="24"/>
        </w:rPr>
        <w:t>vário</w:t>
      </w:r>
      <w:r w:rsidR="00496CB2" w:rsidRPr="003A1174">
        <w:rPr>
          <w:rFonts w:ascii="Garamond" w:eastAsia="Calibri" w:hAnsi="Garamond" w:cs="Arial"/>
          <w:sz w:val="24"/>
          <w:szCs w:val="24"/>
        </w:rPr>
        <w:t xml:space="preserve">s </w:t>
      </w:r>
      <w:r w:rsidR="00AC3351" w:rsidRPr="003A1174">
        <w:rPr>
          <w:rFonts w:ascii="Garamond" w:eastAsia="Calibri" w:hAnsi="Garamond" w:cs="Arial"/>
          <w:sz w:val="24"/>
          <w:szCs w:val="24"/>
        </w:rPr>
        <w:t>fatores</w:t>
      </w:r>
      <w:r w:rsidR="00496CB2" w:rsidRPr="003A1174">
        <w:rPr>
          <w:rFonts w:ascii="Garamond" w:eastAsia="Calibri" w:hAnsi="Garamond" w:cs="Arial"/>
          <w:sz w:val="24"/>
          <w:szCs w:val="24"/>
        </w:rPr>
        <w:t xml:space="preserve"> que dem</w:t>
      </w:r>
      <w:r w:rsidRPr="003A1174">
        <w:rPr>
          <w:rFonts w:ascii="Garamond" w:eastAsia="Calibri" w:hAnsi="Garamond" w:cs="Arial"/>
          <w:sz w:val="24"/>
          <w:szCs w:val="24"/>
        </w:rPr>
        <w:t xml:space="preserve">onstram </w:t>
      </w:r>
      <w:r w:rsidR="00496CB2" w:rsidRPr="003A1174">
        <w:rPr>
          <w:rFonts w:ascii="Garamond" w:eastAsia="Calibri" w:hAnsi="Garamond" w:cs="Arial"/>
          <w:sz w:val="24"/>
          <w:szCs w:val="24"/>
        </w:rPr>
        <w:t>que</w:t>
      </w:r>
      <w:r w:rsidR="001C315D" w:rsidRPr="003A1174">
        <w:rPr>
          <w:rFonts w:ascii="Garamond" w:eastAsia="Calibri" w:hAnsi="Garamond" w:cs="Arial"/>
          <w:sz w:val="24"/>
          <w:szCs w:val="24"/>
        </w:rPr>
        <w:t>,</w:t>
      </w:r>
      <w:r w:rsidR="00496CB2" w:rsidRPr="003A1174">
        <w:rPr>
          <w:rFonts w:ascii="Garamond" w:eastAsia="Calibri" w:hAnsi="Garamond" w:cs="Arial"/>
          <w:sz w:val="24"/>
          <w:szCs w:val="24"/>
        </w:rPr>
        <w:t xml:space="preserve"> </w:t>
      </w:r>
      <w:r w:rsidR="00EE7406" w:rsidRPr="003A1174">
        <w:rPr>
          <w:rFonts w:ascii="Garamond" w:eastAsia="Calibri" w:hAnsi="Garamond" w:cs="Arial"/>
          <w:sz w:val="24"/>
          <w:szCs w:val="24"/>
        </w:rPr>
        <w:t>apesar</w:t>
      </w:r>
      <w:r w:rsidR="00496CB2" w:rsidRPr="003A1174">
        <w:rPr>
          <w:rFonts w:ascii="Garamond" w:eastAsia="Calibri" w:hAnsi="Garamond" w:cs="Arial"/>
          <w:sz w:val="24"/>
          <w:szCs w:val="24"/>
        </w:rPr>
        <w:t xml:space="preserve"> de se </w:t>
      </w:r>
      <w:r w:rsidRPr="003A1174">
        <w:rPr>
          <w:rFonts w:ascii="Garamond" w:eastAsia="Calibri" w:hAnsi="Garamond" w:cs="Arial"/>
          <w:sz w:val="24"/>
          <w:szCs w:val="24"/>
        </w:rPr>
        <w:t xml:space="preserve">terem </w:t>
      </w:r>
      <w:r w:rsidR="00EA3A43" w:rsidRPr="003A1174">
        <w:rPr>
          <w:rFonts w:ascii="Garamond" w:eastAsia="Calibri" w:hAnsi="Garamond" w:cs="Arial"/>
          <w:sz w:val="24"/>
          <w:szCs w:val="24"/>
        </w:rPr>
        <w:t>realizado</w:t>
      </w:r>
      <w:r w:rsidR="00496CB2" w:rsidRPr="003A1174">
        <w:rPr>
          <w:rFonts w:ascii="Garamond" w:eastAsia="Calibri" w:hAnsi="Garamond" w:cs="Arial"/>
          <w:sz w:val="24"/>
          <w:szCs w:val="24"/>
        </w:rPr>
        <w:t xml:space="preserve"> </w:t>
      </w:r>
      <w:r w:rsidR="00FC1F7F" w:rsidRPr="003A1174">
        <w:rPr>
          <w:rFonts w:ascii="Garamond" w:eastAsia="Calibri" w:hAnsi="Garamond" w:cs="Arial"/>
          <w:sz w:val="24"/>
          <w:szCs w:val="24"/>
        </w:rPr>
        <w:t>avanços</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relativamente a</w:t>
      </w:r>
      <w:r w:rsidR="00496CB2" w:rsidRPr="003A1174">
        <w:rPr>
          <w:rFonts w:ascii="Garamond" w:eastAsia="Calibri" w:hAnsi="Garamond" w:cs="Arial"/>
          <w:sz w:val="24"/>
          <w:szCs w:val="24"/>
        </w:rPr>
        <w:t xml:space="preserve">os </w:t>
      </w:r>
      <w:r w:rsidR="00886D6A" w:rsidRPr="003A1174">
        <w:rPr>
          <w:rFonts w:ascii="Garamond" w:eastAsia="Calibri" w:hAnsi="Garamond" w:cs="Arial"/>
          <w:sz w:val="24"/>
          <w:szCs w:val="24"/>
        </w:rPr>
        <w:t>direito</w:t>
      </w:r>
      <w:r w:rsidR="00496CB2" w:rsidRPr="003A1174">
        <w:rPr>
          <w:rFonts w:ascii="Garamond" w:eastAsia="Calibri" w:hAnsi="Garamond" w:cs="Arial"/>
          <w:sz w:val="24"/>
          <w:szCs w:val="24"/>
        </w:rPr>
        <w:t xml:space="preserve">s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Pr="003A1174">
        <w:rPr>
          <w:rFonts w:ascii="Garamond" w:eastAsia="Calibri" w:hAnsi="Garamond" w:cs="Arial"/>
          <w:sz w:val="24"/>
          <w:szCs w:val="24"/>
        </w:rPr>
        <w:t xml:space="preserve">, </w:t>
      </w:r>
      <w:r w:rsidR="00496CB2" w:rsidRPr="003A1174">
        <w:rPr>
          <w:rFonts w:ascii="Garamond" w:eastAsia="Calibri" w:hAnsi="Garamond" w:cs="Arial"/>
          <w:sz w:val="24"/>
          <w:szCs w:val="24"/>
        </w:rPr>
        <w:lastRenderedPageBreak/>
        <w:t xml:space="preserve">as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 xml:space="preserve">continuam a ser, na maioria, um </w:t>
      </w:r>
      <w:r w:rsidR="00F96DD1" w:rsidRPr="003A1174">
        <w:rPr>
          <w:rFonts w:ascii="Garamond" w:eastAsia="Calibri" w:hAnsi="Garamond" w:cs="Arial"/>
          <w:sz w:val="24"/>
          <w:szCs w:val="24"/>
        </w:rPr>
        <w:t>setor</w:t>
      </w:r>
      <w:r w:rsidR="00496CB2" w:rsidRPr="003A1174">
        <w:rPr>
          <w:rFonts w:ascii="Garamond" w:eastAsia="Calibri" w:hAnsi="Garamond" w:cs="Arial"/>
          <w:sz w:val="24"/>
          <w:szCs w:val="24"/>
        </w:rPr>
        <w:t xml:space="preserve"> margin</w:t>
      </w:r>
      <w:r w:rsidRPr="003A1174">
        <w:rPr>
          <w:rFonts w:ascii="Garamond" w:eastAsia="Calibri" w:hAnsi="Garamond" w:cs="Arial"/>
          <w:sz w:val="24"/>
          <w:szCs w:val="24"/>
        </w:rPr>
        <w:t>aliz</w:t>
      </w:r>
      <w:r w:rsidR="00496CB2" w:rsidRPr="003A1174">
        <w:rPr>
          <w:rFonts w:ascii="Garamond" w:eastAsia="Calibri" w:hAnsi="Garamond" w:cs="Arial"/>
          <w:sz w:val="24"/>
          <w:szCs w:val="24"/>
        </w:rPr>
        <w:t xml:space="preserve">ado. </w:t>
      </w:r>
      <w:r w:rsidR="00D75A07" w:rsidRPr="003A1174">
        <w:rPr>
          <w:rFonts w:ascii="Garamond" w:eastAsia="Calibri" w:hAnsi="Garamond" w:cs="Arial"/>
          <w:sz w:val="24"/>
          <w:szCs w:val="24"/>
        </w:rPr>
        <w:t>São</w:t>
      </w:r>
      <w:r w:rsidRPr="003A1174">
        <w:rPr>
          <w:rFonts w:ascii="Garamond" w:eastAsia="Calibri" w:hAnsi="Garamond" w:cs="Arial"/>
          <w:sz w:val="24"/>
          <w:szCs w:val="24"/>
        </w:rPr>
        <w:t xml:space="preserve"> </w:t>
      </w:r>
      <w:r w:rsidR="00496CB2" w:rsidRPr="003A1174">
        <w:rPr>
          <w:rFonts w:ascii="Garamond" w:eastAsia="Calibri" w:hAnsi="Garamond" w:cs="Arial"/>
          <w:sz w:val="24"/>
          <w:szCs w:val="24"/>
        </w:rPr>
        <w:t xml:space="preserve">a </w:t>
      </w:r>
      <w:r w:rsidRPr="003A1174">
        <w:rPr>
          <w:rFonts w:ascii="Garamond" w:eastAsia="Calibri" w:hAnsi="Garamond" w:cs="Arial"/>
          <w:sz w:val="24"/>
          <w:szCs w:val="24"/>
        </w:rPr>
        <w:t>esmagadora</w:t>
      </w:r>
      <w:r w:rsidR="00496CB2" w:rsidRPr="003A1174">
        <w:rPr>
          <w:rFonts w:ascii="Garamond" w:eastAsia="Calibri" w:hAnsi="Garamond" w:cs="Arial"/>
          <w:sz w:val="24"/>
          <w:szCs w:val="24"/>
        </w:rPr>
        <w:t xml:space="preserve"> </w:t>
      </w:r>
      <w:r w:rsidR="00233514" w:rsidRPr="003A1174">
        <w:rPr>
          <w:rFonts w:ascii="Garamond" w:eastAsia="Calibri" w:hAnsi="Garamond" w:cs="Arial"/>
          <w:sz w:val="24"/>
          <w:szCs w:val="24"/>
        </w:rPr>
        <w:t>maioria</w:t>
      </w:r>
      <w:r w:rsidR="00496CB2" w:rsidRPr="003A1174">
        <w:rPr>
          <w:rFonts w:ascii="Garamond" w:eastAsia="Calibri" w:hAnsi="Garamond" w:cs="Arial"/>
          <w:sz w:val="24"/>
          <w:szCs w:val="24"/>
        </w:rPr>
        <w:t xml:space="preserve"> </w:t>
      </w:r>
      <w:r w:rsidR="00497503" w:rsidRPr="003A1174">
        <w:rPr>
          <w:rFonts w:ascii="Garamond" w:eastAsia="Calibri" w:hAnsi="Garamond" w:cs="Arial"/>
          <w:sz w:val="24"/>
          <w:szCs w:val="24"/>
        </w:rPr>
        <w:t>das</w:t>
      </w:r>
      <w:r w:rsidR="00496CB2" w:rsidRPr="003A1174">
        <w:rPr>
          <w:rFonts w:ascii="Garamond" w:eastAsia="Calibri" w:hAnsi="Garamond" w:cs="Arial"/>
          <w:sz w:val="24"/>
          <w:szCs w:val="24"/>
        </w:rPr>
        <w:t xml:space="preserve"> </w:t>
      </w:r>
      <w:r w:rsidR="003F012B" w:rsidRPr="003A1174">
        <w:rPr>
          <w:rFonts w:ascii="Garamond" w:eastAsia="Calibri" w:hAnsi="Garamond" w:cs="Arial"/>
          <w:sz w:val="24"/>
          <w:szCs w:val="24"/>
        </w:rPr>
        <w:t>vítima</w:t>
      </w:r>
      <w:r w:rsidR="00496CB2" w:rsidRPr="003A1174">
        <w:rPr>
          <w:rFonts w:ascii="Garamond" w:eastAsia="Calibri" w:hAnsi="Garamond" w:cs="Arial"/>
          <w:sz w:val="24"/>
          <w:szCs w:val="24"/>
        </w:rPr>
        <w:t xml:space="preserve">s de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 existe u</w:t>
      </w:r>
      <w:r w:rsidRPr="003A1174">
        <w:rPr>
          <w:rFonts w:ascii="Garamond" w:eastAsia="Calibri" w:hAnsi="Garamond" w:cs="Arial"/>
          <w:sz w:val="24"/>
          <w:szCs w:val="24"/>
        </w:rPr>
        <w:t>m</w:t>
      </w:r>
      <w:r w:rsidR="00496CB2" w:rsidRPr="003A1174">
        <w:rPr>
          <w:rFonts w:ascii="Garamond" w:eastAsia="Calibri" w:hAnsi="Garamond" w:cs="Arial"/>
          <w:sz w:val="24"/>
          <w:szCs w:val="24"/>
        </w:rPr>
        <w:t xml:space="preserve"> </w:t>
      </w:r>
      <w:r w:rsidR="00F96DD1" w:rsidRPr="003A1174">
        <w:rPr>
          <w:rFonts w:ascii="Garamond" w:eastAsia="Calibri" w:hAnsi="Garamond" w:cs="Arial"/>
          <w:sz w:val="24"/>
          <w:szCs w:val="24"/>
        </w:rPr>
        <w:t>setor</w:t>
      </w:r>
      <w:r w:rsidR="00496CB2" w:rsidRPr="003A1174">
        <w:rPr>
          <w:rFonts w:ascii="Garamond" w:eastAsia="Calibri" w:hAnsi="Garamond" w:cs="Arial"/>
          <w:sz w:val="24"/>
          <w:szCs w:val="24"/>
        </w:rPr>
        <w:t xml:space="preserve"> </w:t>
      </w:r>
      <w:r w:rsidR="00EE7406" w:rsidRPr="003A1174">
        <w:rPr>
          <w:rFonts w:ascii="Garamond" w:eastAsia="Calibri" w:hAnsi="Garamond" w:cs="Arial"/>
          <w:sz w:val="24"/>
          <w:szCs w:val="24"/>
        </w:rPr>
        <w:t>considerável</w:t>
      </w:r>
      <w:r w:rsidR="00496CB2" w:rsidRPr="003A1174">
        <w:rPr>
          <w:rFonts w:ascii="Garamond" w:eastAsia="Calibri" w:hAnsi="Garamond" w:cs="Arial"/>
          <w:sz w:val="24"/>
          <w:szCs w:val="24"/>
        </w:rPr>
        <w:t xml:space="preserve"> de m</w:t>
      </w:r>
      <w:r w:rsidRPr="003A1174">
        <w:rPr>
          <w:rFonts w:ascii="Garamond" w:eastAsia="Calibri" w:hAnsi="Garamond" w:cs="Arial"/>
          <w:sz w:val="24"/>
          <w:szCs w:val="24"/>
        </w:rPr>
        <w:t xml:space="preserve">ães </w:t>
      </w:r>
      <w:r w:rsidR="00496CB2" w:rsidRPr="003A1174">
        <w:rPr>
          <w:rFonts w:ascii="Garamond" w:eastAsia="Calibri" w:hAnsi="Garamond" w:cs="Arial"/>
          <w:sz w:val="24"/>
          <w:szCs w:val="24"/>
        </w:rPr>
        <w:t>solte</w:t>
      </w:r>
      <w:r w:rsidRPr="003A1174">
        <w:rPr>
          <w:rFonts w:ascii="Garamond" w:eastAsia="Calibri" w:hAnsi="Garamond" w:cs="Arial"/>
          <w:sz w:val="24"/>
          <w:szCs w:val="24"/>
        </w:rPr>
        <w:t>i</w:t>
      </w:r>
      <w:r w:rsidR="00496CB2" w:rsidRPr="003A1174">
        <w:rPr>
          <w:rFonts w:ascii="Garamond" w:eastAsia="Calibri" w:hAnsi="Garamond" w:cs="Arial"/>
          <w:sz w:val="24"/>
          <w:szCs w:val="24"/>
        </w:rPr>
        <w:t xml:space="preserve">ras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m</w:t>
      </w:r>
      <w:r w:rsidRPr="003A1174">
        <w:rPr>
          <w:rFonts w:ascii="Garamond" w:eastAsia="Calibri" w:hAnsi="Garamond" w:cs="Arial"/>
          <w:sz w:val="24"/>
          <w:szCs w:val="24"/>
        </w:rPr>
        <w:t>ães chefes de f</w:t>
      </w:r>
      <w:r w:rsidR="006C7AF1" w:rsidRPr="003A1174">
        <w:rPr>
          <w:rFonts w:ascii="Garamond" w:eastAsia="Calibri" w:hAnsi="Garamond" w:cs="Arial"/>
          <w:sz w:val="24"/>
          <w:szCs w:val="24"/>
        </w:rPr>
        <w:t>amília</w:t>
      </w:r>
      <w:r w:rsidR="00496CB2" w:rsidRPr="003A1174">
        <w:rPr>
          <w:rFonts w:ascii="Garamond" w:eastAsia="Calibri" w:hAnsi="Garamond" w:cs="Arial"/>
          <w:sz w:val="24"/>
          <w:szCs w:val="24"/>
        </w:rPr>
        <w:t>, a</w:t>
      </w:r>
      <w:r w:rsidRPr="003A1174">
        <w:rPr>
          <w:rFonts w:ascii="Garamond" w:eastAsia="Calibri" w:hAnsi="Garamond" w:cs="Arial"/>
          <w:sz w:val="24"/>
          <w:szCs w:val="24"/>
        </w:rPr>
        <w:t xml:space="preserve">lém de haver uma </w:t>
      </w:r>
      <w:r w:rsidR="00F520D6" w:rsidRPr="003A1174">
        <w:rPr>
          <w:rFonts w:ascii="Garamond" w:eastAsia="Calibri" w:hAnsi="Garamond" w:cs="Arial"/>
          <w:sz w:val="24"/>
          <w:szCs w:val="24"/>
        </w:rPr>
        <w:t>tendência</w:t>
      </w:r>
      <w:r w:rsidR="00496CB2" w:rsidRPr="003A1174">
        <w:rPr>
          <w:rFonts w:ascii="Garamond" w:eastAsia="Calibri" w:hAnsi="Garamond" w:cs="Arial"/>
          <w:sz w:val="24"/>
          <w:szCs w:val="24"/>
        </w:rPr>
        <w:t xml:space="preserve"> preocupante de </w:t>
      </w:r>
      <w:r w:rsidR="00BA3CCE" w:rsidRPr="003A1174">
        <w:rPr>
          <w:rFonts w:ascii="Garamond" w:eastAsia="Calibri" w:hAnsi="Garamond" w:cs="Arial"/>
          <w:sz w:val="24"/>
          <w:szCs w:val="24"/>
        </w:rPr>
        <w:t>iniquidade</w:t>
      </w:r>
      <w:r w:rsidR="00496CB2" w:rsidRPr="003A1174">
        <w:rPr>
          <w:rFonts w:ascii="Garamond" w:eastAsia="Calibri" w:hAnsi="Garamond" w:cs="Arial"/>
          <w:sz w:val="24"/>
          <w:szCs w:val="24"/>
        </w:rPr>
        <w:t xml:space="preserve"> salarial e</w:t>
      </w:r>
      <w:r w:rsidRPr="003A1174">
        <w:rPr>
          <w:rFonts w:ascii="Garamond" w:eastAsia="Calibri" w:hAnsi="Garamond" w:cs="Arial"/>
          <w:sz w:val="24"/>
          <w:szCs w:val="24"/>
        </w:rPr>
        <w:t>m</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comparação</w:t>
      </w:r>
      <w:r w:rsidR="00496CB2" w:rsidRPr="003A1174">
        <w:rPr>
          <w:rFonts w:ascii="Garamond" w:eastAsia="Calibri" w:hAnsi="Garamond" w:cs="Arial"/>
          <w:sz w:val="24"/>
          <w:szCs w:val="24"/>
        </w:rPr>
        <w:t xml:space="preserve"> </w:t>
      </w:r>
      <w:r w:rsidR="00EA3A43" w:rsidRPr="003A1174">
        <w:rPr>
          <w:rFonts w:ascii="Garamond" w:eastAsia="Calibri" w:hAnsi="Garamond" w:cs="Arial"/>
          <w:sz w:val="24"/>
          <w:szCs w:val="24"/>
        </w:rPr>
        <w:t>co</w:t>
      </w:r>
      <w:r w:rsidRPr="003A1174">
        <w:rPr>
          <w:rFonts w:ascii="Garamond" w:eastAsia="Calibri" w:hAnsi="Garamond" w:cs="Arial"/>
          <w:sz w:val="24"/>
          <w:szCs w:val="24"/>
        </w:rPr>
        <w:t xml:space="preserve">m </w:t>
      </w:r>
      <w:r w:rsidR="00496CB2" w:rsidRPr="003A1174">
        <w:rPr>
          <w:rFonts w:ascii="Garamond" w:eastAsia="Calibri" w:hAnsi="Garamond" w:cs="Arial"/>
          <w:sz w:val="24"/>
          <w:szCs w:val="24"/>
        </w:rPr>
        <w:t xml:space="preserve">os </w:t>
      </w:r>
      <w:r w:rsidR="00524936" w:rsidRPr="003A1174">
        <w:rPr>
          <w:rFonts w:ascii="Garamond" w:eastAsia="Calibri" w:hAnsi="Garamond" w:cs="Arial"/>
          <w:sz w:val="24"/>
          <w:szCs w:val="24"/>
        </w:rPr>
        <w:t>homens</w:t>
      </w:r>
      <w:r w:rsidR="00496CB2" w:rsidRPr="003A1174">
        <w:rPr>
          <w:rFonts w:ascii="Garamond" w:eastAsia="Calibri" w:hAnsi="Garamond" w:cs="Arial"/>
          <w:sz w:val="24"/>
          <w:szCs w:val="24"/>
        </w:rPr>
        <w:t xml:space="preserve">. </w:t>
      </w:r>
    </w:p>
    <w:p w:rsidR="00496CB2" w:rsidRPr="003A1174" w:rsidRDefault="00E95547"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 xml:space="preserve">A </w:t>
      </w:r>
      <w:r w:rsidR="0017447A" w:rsidRPr="003A1174">
        <w:rPr>
          <w:rFonts w:ascii="Garamond" w:eastAsia="Calibri" w:hAnsi="Garamond" w:cs="Arial"/>
          <w:sz w:val="24"/>
          <w:szCs w:val="24"/>
        </w:rPr>
        <w:t>informação</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recolhida</w:t>
      </w:r>
      <w:r w:rsidR="00496CB2" w:rsidRPr="003A1174">
        <w:rPr>
          <w:rFonts w:ascii="Garamond" w:eastAsia="Calibri" w:hAnsi="Garamond" w:cs="Arial"/>
          <w:sz w:val="24"/>
          <w:szCs w:val="24"/>
        </w:rPr>
        <w:t xml:space="preserve"> </w:t>
      </w:r>
      <w:r w:rsidR="00275092" w:rsidRPr="003A1174">
        <w:rPr>
          <w:rFonts w:ascii="Garamond" w:eastAsia="Calibri" w:hAnsi="Garamond" w:cs="Arial"/>
          <w:sz w:val="24"/>
          <w:szCs w:val="24"/>
        </w:rPr>
        <w:t>pela</w:t>
      </w:r>
      <w:r w:rsidR="00496CB2" w:rsidRPr="003A1174">
        <w:rPr>
          <w:rFonts w:ascii="Garamond" w:eastAsia="Calibri" w:hAnsi="Garamond" w:cs="Arial"/>
          <w:sz w:val="24"/>
          <w:szCs w:val="24"/>
        </w:rPr>
        <w:t xml:space="preserve"> OPM dem</w:t>
      </w:r>
      <w:r w:rsidRPr="003A1174">
        <w:rPr>
          <w:rFonts w:ascii="Garamond" w:eastAsia="Calibri" w:hAnsi="Garamond" w:cs="Arial"/>
          <w:sz w:val="24"/>
          <w:szCs w:val="24"/>
        </w:rPr>
        <w:t xml:space="preserve">onstra um </w:t>
      </w:r>
      <w:r w:rsidR="00496CB2" w:rsidRPr="003A1174">
        <w:rPr>
          <w:rFonts w:ascii="Garamond" w:eastAsia="Calibri" w:hAnsi="Garamond" w:cs="Arial"/>
          <w:sz w:val="24"/>
          <w:szCs w:val="24"/>
        </w:rPr>
        <w:t>pa</w:t>
      </w:r>
      <w:r w:rsidRPr="003A1174">
        <w:rPr>
          <w:rFonts w:ascii="Garamond" w:eastAsia="Calibri" w:hAnsi="Garamond" w:cs="Arial"/>
          <w:sz w:val="24"/>
          <w:szCs w:val="24"/>
        </w:rPr>
        <w:t xml:space="preserve">drão </w:t>
      </w:r>
      <w:r w:rsidR="00496CB2" w:rsidRPr="003A1174">
        <w:rPr>
          <w:rFonts w:ascii="Garamond" w:eastAsia="Calibri" w:hAnsi="Garamond" w:cs="Arial"/>
          <w:sz w:val="24"/>
          <w:szCs w:val="24"/>
        </w:rPr>
        <w:t xml:space="preserve">alarmante de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 </w:t>
      </w:r>
      <w:r w:rsidR="00EA3A43" w:rsidRPr="003A1174">
        <w:rPr>
          <w:rFonts w:ascii="Garamond" w:eastAsia="Calibri" w:hAnsi="Garamond" w:cs="Arial"/>
          <w:sz w:val="24"/>
          <w:szCs w:val="24"/>
        </w:rPr>
        <w:t>e</w:t>
      </w:r>
      <w:r w:rsidRPr="003A1174">
        <w:rPr>
          <w:rFonts w:ascii="Garamond" w:eastAsia="Calibri" w:hAnsi="Garamond" w:cs="Arial"/>
          <w:sz w:val="24"/>
          <w:szCs w:val="24"/>
        </w:rPr>
        <w:t xml:space="preserve">m todos </w:t>
      </w:r>
      <w:r w:rsidR="00496CB2" w:rsidRPr="003A1174">
        <w:rPr>
          <w:rFonts w:ascii="Garamond" w:eastAsia="Calibri" w:hAnsi="Garamond" w:cs="Arial"/>
          <w:sz w:val="24"/>
          <w:szCs w:val="24"/>
        </w:rPr>
        <w:t xml:space="preserve">os </w:t>
      </w:r>
      <w:r w:rsidR="00BE4EB8" w:rsidRPr="003A1174">
        <w:rPr>
          <w:rFonts w:ascii="Garamond" w:eastAsia="Calibri" w:hAnsi="Garamond" w:cs="Arial"/>
          <w:sz w:val="24"/>
          <w:szCs w:val="24"/>
        </w:rPr>
        <w:t>setores</w:t>
      </w:r>
      <w:r w:rsidR="00496CB2" w:rsidRPr="003A1174">
        <w:rPr>
          <w:rFonts w:ascii="Garamond" w:eastAsia="Calibri" w:hAnsi="Garamond" w:cs="Arial"/>
          <w:sz w:val="24"/>
          <w:szCs w:val="24"/>
        </w:rPr>
        <w:t xml:space="preserve"> d</w:t>
      </w:r>
      <w:r w:rsidRPr="003A1174">
        <w:rPr>
          <w:rFonts w:ascii="Garamond" w:eastAsia="Calibri" w:hAnsi="Garamond" w:cs="Arial"/>
          <w:sz w:val="24"/>
          <w:szCs w:val="24"/>
        </w:rPr>
        <w:t>a ilha</w:t>
      </w:r>
      <w:r w:rsidR="00496CB2" w:rsidRPr="003A1174">
        <w:rPr>
          <w:rFonts w:ascii="Garamond" w:eastAsia="Calibri" w:hAnsi="Garamond" w:cs="Arial"/>
          <w:sz w:val="24"/>
          <w:szCs w:val="24"/>
        </w:rPr>
        <w:t xml:space="preserve">. </w:t>
      </w:r>
      <w:r w:rsidR="00BA21ED" w:rsidRPr="003A1174">
        <w:rPr>
          <w:rFonts w:ascii="Garamond" w:eastAsia="Calibri" w:hAnsi="Garamond" w:cs="Arial"/>
          <w:sz w:val="24"/>
          <w:szCs w:val="24"/>
        </w:rPr>
        <w:t>Mais</w:t>
      </w:r>
      <w:r w:rsidR="00496CB2" w:rsidRPr="003A1174">
        <w:rPr>
          <w:rFonts w:ascii="Garamond" w:eastAsia="Calibri" w:hAnsi="Garamond" w:cs="Arial"/>
          <w:sz w:val="24"/>
          <w:szCs w:val="24"/>
        </w:rPr>
        <w:t xml:space="preserve"> preocupante</w:t>
      </w:r>
      <w:r w:rsidR="00B522DA">
        <w:rPr>
          <w:rFonts w:ascii="Garamond" w:eastAsia="Calibri" w:hAnsi="Garamond" w:cs="Arial"/>
          <w:sz w:val="24"/>
          <w:szCs w:val="24"/>
        </w:rPr>
        <w:t>,</w:t>
      </w:r>
      <w:r w:rsidR="00496CB2" w:rsidRPr="003A1174">
        <w:rPr>
          <w:rFonts w:ascii="Garamond" w:eastAsia="Calibri" w:hAnsi="Garamond" w:cs="Arial"/>
          <w:sz w:val="24"/>
          <w:szCs w:val="24"/>
        </w:rPr>
        <w:t xml:space="preserve"> a</w:t>
      </w:r>
      <w:r w:rsidRPr="003A1174">
        <w:rPr>
          <w:rFonts w:ascii="Garamond" w:eastAsia="Calibri" w:hAnsi="Garamond" w:cs="Arial"/>
          <w:sz w:val="24"/>
          <w:szCs w:val="24"/>
        </w:rPr>
        <w:t>inda</w:t>
      </w:r>
      <w:r w:rsidR="00B522DA">
        <w:rPr>
          <w:rFonts w:ascii="Garamond" w:eastAsia="Calibri" w:hAnsi="Garamond" w:cs="Arial"/>
          <w:sz w:val="24"/>
          <w:szCs w:val="24"/>
        </w:rPr>
        <w:t>,</w:t>
      </w:r>
      <w:r w:rsidRPr="003A1174">
        <w:rPr>
          <w:rFonts w:ascii="Garamond" w:eastAsia="Calibri" w:hAnsi="Garamond" w:cs="Arial"/>
          <w:sz w:val="24"/>
          <w:szCs w:val="24"/>
        </w:rPr>
        <w:t xml:space="preserve"> é a</w:t>
      </w:r>
      <w:r w:rsidR="00496CB2" w:rsidRPr="003A1174">
        <w:rPr>
          <w:rFonts w:ascii="Garamond" w:eastAsia="Calibri" w:hAnsi="Garamond" w:cs="Arial"/>
          <w:sz w:val="24"/>
          <w:szCs w:val="24"/>
        </w:rPr>
        <w:t xml:space="preserve"> mane</w:t>
      </w:r>
      <w:r w:rsidRPr="003A1174">
        <w:rPr>
          <w:rFonts w:ascii="Garamond" w:eastAsia="Calibri" w:hAnsi="Garamond" w:cs="Arial"/>
          <w:sz w:val="24"/>
          <w:szCs w:val="24"/>
        </w:rPr>
        <w:t>i</w:t>
      </w:r>
      <w:r w:rsidR="00496CB2" w:rsidRPr="003A1174">
        <w:rPr>
          <w:rFonts w:ascii="Garamond" w:eastAsia="Calibri" w:hAnsi="Garamond" w:cs="Arial"/>
          <w:sz w:val="24"/>
          <w:szCs w:val="24"/>
        </w:rPr>
        <w:t xml:space="preserve">ra </w:t>
      </w:r>
      <w:r w:rsidRPr="003A1174">
        <w:rPr>
          <w:rFonts w:ascii="Garamond" w:eastAsia="Calibri" w:hAnsi="Garamond" w:cs="Arial"/>
          <w:sz w:val="24"/>
          <w:szCs w:val="24"/>
        </w:rPr>
        <w:t>como os números flutuam</w:t>
      </w:r>
      <w:r w:rsidR="00EA3A43" w:rsidRPr="003A1174">
        <w:rPr>
          <w:rFonts w:ascii="Garamond" w:eastAsia="Calibri" w:hAnsi="Garamond" w:cs="Arial"/>
          <w:sz w:val="24"/>
          <w:szCs w:val="24"/>
        </w:rPr>
        <w:t>:</w:t>
      </w:r>
      <w:r w:rsidR="00496CB2" w:rsidRPr="003A1174">
        <w:rPr>
          <w:rFonts w:ascii="Garamond" w:eastAsia="Calibri" w:hAnsi="Garamond" w:cs="Arial"/>
          <w:sz w:val="24"/>
          <w:szCs w:val="24"/>
        </w:rPr>
        <w:t xml:space="preserve"> e</w:t>
      </w:r>
      <w:r w:rsidRPr="003A1174">
        <w:rPr>
          <w:rFonts w:ascii="Garamond" w:eastAsia="Calibri" w:hAnsi="Garamond" w:cs="Arial"/>
          <w:sz w:val="24"/>
          <w:szCs w:val="24"/>
        </w:rPr>
        <w:t>m</w:t>
      </w:r>
      <w:r w:rsidR="00496CB2" w:rsidRPr="003A1174">
        <w:rPr>
          <w:rFonts w:ascii="Garamond" w:eastAsia="Calibri" w:hAnsi="Garamond" w:cs="Arial"/>
          <w:sz w:val="24"/>
          <w:szCs w:val="24"/>
        </w:rPr>
        <w:t xml:space="preserve"> 2011</w:t>
      </w:r>
      <w:r w:rsidR="00B522DA">
        <w:rPr>
          <w:rFonts w:ascii="Garamond" w:eastAsia="Calibri" w:hAnsi="Garamond" w:cs="Arial"/>
          <w:sz w:val="24"/>
          <w:szCs w:val="24"/>
        </w:rPr>
        <w:t>,</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 xml:space="preserve">registaram-se </w:t>
      </w:r>
      <w:r w:rsidR="00496CB2" w:rsidRPr="003A1174">
        <w:rPr>
          <w:rFonts w:ascii="Garamond" w:eastAsia="Calibri" w:hAnsi="Garamond" w:cs="Arial"/>
          <w:sz w:val="24"/>
          <w:szCs w:val="24"/>
        </w:rPr>
        <w:t>15</w:t>
      </w:r>
      <w:r w:rsidR="00B522DA">
        <w:rPr>
          <w:rFonts w:ascii="Garamond" w:eastAsia="Calibri" w:hAnsi="Garamond" w:cs="Arial"/>
          <w:sz w:val="24"/>
          <w:szCs w:val="24"/>
        </w:rPr>
        <w:t xml:space="preserve"> </w:t>
      </w:r>
      <w:r w:rsidR="00496CB2" w:rsidRPr="003A1174">
        <w:rPr>
          <w:rFonts w:ascii="Garamond" w:eastAsia="Calibri" w:hAnsi="Garamond" w:cs="Arial"/>
          <w:sz w:val="24"/>
          <w:szCs w:val="24"/>
        </w:rPr>
        <w:t>078 incidentes, e</w:t>
      </w:r>
      <w:r w:rsidRPr="003A1174">
        <w:rPr>
          <w:rFonts w:ascii="Garamond" w:eastAsia="Calibri" w:hAnsi="Garamond" w:cs="Arial"/>
          <w:sz w:val="24"/>
          <w:szCs w:val="24"/>
        </w:rPr>
        <w:t xml:space="preserve">m </w:t>
      </w:r>
      <w:r w:rsidR="00496CB2" w:rsidRPr="003A1174">
        <w:rPr>
          <w:rFonts w:ascii="Garamond" w:eastAsia="Calibri" w:hAnsi="Garamond" w:cs="Arial"/>
          <w:sz w:val="24"/>
          <w:szCs w:val="24"/>
        </w:rPr>
        <w:t>2012</w:t>
      </w:r>
      <w:r w:rsidR="00B522DA">
        <w:rPr>
          <w:rFonts w:ascii="Garamond" w:eastAsia="Calibri" w:hAnsi="Garamond" w:cs="Arial"/>
          <w:sz w:val="24"/>
          <w:szCs w:val="24"/>
        </w:rPr>
        <w:t>,</w:t>
      </w:r>
      <w:r w:rsidR="00496CB2" w:rsidRPr="003A1174">
        <w:rPr>
          <w:rFonts w:ascii="Garamond" w:eastAsia="Calibri" w:hAnsi="Garamond" w:cs="Arial"/>
          <w:sz w:val="24"/>
          <w:szCs w:val="24"/>
        </w:rPr>
        <w:t xml:space="preserve"> h</w:t>
      </w:r>
      <w:r w:rsidRPr="003A1174">
        <w:rPr>
          <w:rFonts w:ascii="Garamond" w:eastAsia="Calibri" w:hAnsi="Garamond" w:cs="Arial"/>
          <w:sz w:val="24"/>
          <w:szCs w:val="24"/>
        </w:rPr>
        <w:t xml:space="preserve">ouve uma </w:t>
      </w:r>
      <w:r w:rsidR="006B29BF" w:rsidRPr="003A1174">
        <w:rPr>
          <w:rFonts w:ascii="Garamond" w:eastAsia="Calibri" w:hAnsi="Garamond" w:cs="Arial"/>
          <w:sz w:val="24"/>
          <w:szCs w:val="24"/>
        </w:rPr>
        <w:t>redução</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registaram-</w:t>
      </w:r>
      <w:r w:rsidR="00496CB2" w:rsidRPr="003A1174">
        <w:rPr>
          <w:rFonts w:ascii="Garamond" w:eastAsia="Calibri" w:hAnsi="Garamond" w:cs="Arial"/>
          <w:sz w:val="24"/>
          <w:szCs w:val="24"/>
        </w:rPr>
        <w:t xml:space="preserve">se 9948 incidentes, </w:t>
      </w:r>
      <w:r w:rsidRPr="003A1174">
        <w:rPr>
          <w:rFonts w:ascii="Garamond" w:eastAsia="Calibri" w:hAnsi="Garamond" w:cs="Arial"/>
          <w:sz w:val="24"/>
          <w:szCs w:val="24"/>
        </w:rPr>
        <w:t xml:space="preserve">enquanto </w:t>
      </w:r>
      <w:r w:rsidR="00B522DA">
        <w:rPr>
          <w:rFonts w:ascii="Garamond" w:eastAsia="Calibri" w:hAnsi="Garamond" w:cs="Arial"/>
          <w:sz w:val="24"/>
          <w:szCs w:val="24"/>
        </w:rPr>
        <w:t xml:space="preserve">que, </w:t>
      </w:r>
      <w:r w:rsidR="00496CB2" w:rsidRPr="003A1174">
        <w:rPr>
          <w:rFonts w:ascii="Garamond" w:eastAsia="Calibri" w:hAnsi="Garamond" w:cs="Arial"/>
          <w:sz w:val="24"/>
          <w:szCs w:val="24"/>
        </w:rPr>
        <w:t>e</w:t>
      </w:r>
      <w:r w:rsidRPr="003A1174">
        <w:rPr>
          <w:rFonts w:ascii="Garamond" w:eastAsia="Calibri" w:hAnsi="Garamond" w:cs="Arial"/>
          <w:sz w:val="24"/>
          <w:szCs w:val="24"/>
        </w:rPr>
        <w:t xml:space="preserve">m </w:t>
      </w:r>
      <w:r w:rsidR="00496CB2" w:rsidRPr="003A1174">
        <w:rPr>
          <w:rFonts w:ascii="Garamond" w:eastAsia="Calibri" w:hAnsi="Garamond" w:cs="Arial"/>
          <w:sz w:val="24"/>
          <w:szCs w:val="24"/>
        </w:rPr>
        <w:t>2013</w:t>
      </w:r>
      <w:r w:rsidR="00B522DA">
        <w:rPr>
          <w:rFonts w:ascii="Garamond" w:eastAsia="Calibri" w:hAnsi="Garamond" w:cs="Arial"/>
          <w:sz w:val="24"/>
          <w:szCs w:val="24"/>
        </w:rPr>
        <w:t>,</w:t>
      </w:r>
      <w:r w:rsidR="00496CB2" w:rsidRPr="003A1174">
        <w:rPr>
          <w:rFonts w:ascii="Garamond" w:eastAsia="Calibri" w:hAnsi="Garamond" w:cs="Arial"/>
          <w:sz w:val="24"/>
          <w:szCs w:val="24"/>
        </w:rPr>
        <w:t xml:space="preserve"> h</w:t>
      </w:r>
      <w:r w:rsidRPr="003A1174">
        <w:rPr>
          <w:rFonts w:ascii="Garamond" w:eastAsia="Calibri" w:hAnsi="Garamond" w:cs="Arial"/>
          <w:sz w:val="24"/>
          <w:szCs w:val="24"/>
        </w:rPr>
        <w:t xml:space="preserve">ouve um aumento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registaram-</w:t>
      </w:r>
      <w:r w:rsidR="00496CB2" w:rsidRPr="003A1174">
        <w:rPr>
          <w:rFonts w:ascii="Garamond" w:eastAsia="Calibri" w:hAnsi="Garamond" w:cs="Arial"/>
          <w:sz w:val="24"/>
          <w:szCs w:val="24"/>
        </w:rPr>
        <w:t>se 12</w:t>
      </w:r>
      <w:r w:rsidR="00B522DA">
        <w:rPr>
          <w:rFonts w:ascii="Garamond" w:eastAsia="Calibri" w:hAnsi="Garamond" w:cs="Arial"/>
          <w:sz w:val="24"/>
          <w:szCs w:val="24"/>
        </w:rPr>
        <w:t xml:space="preserve"> </w:t>
      </w:r>
      <w:r w:rsidR="00496CB2" w:rsidRPr="003A1174">
        <w:rPr>
          <w:rFonts w:ascii="Garamond" w:eastAsia="Calibri" w:hAnsi="Garamond" w:cs="Arial"/>
          <w:sz w:val="24"/>
          <w:szCs w:val="24"/>
        </w:rPr>
        <w:t>611 incidentes.</w:t>
      </w:r>
      <w:r w:rsidR="00496CB2" w:rsidRPr="003A1174">
        <w:rPr>
          <w:rFonts w:ascii="Garamond" w:eastAsia="Calibri" w:hAnsi="Garamond" w:cs="Arial"/>
          <w:sz w:val="24"/>
          <w:szCs w:val="24"/>
          <w:vertAlign w:val="superscript"/>
          <w:lang w:val="es-PR"/>
        </w:rPr>
        <w:footnoteReference w:id="134"/>
      </w:r>
      <w:r w:rsidR="00496CB2" w:rsidRPr="003A1174">
        <w:rPr>
          <w:rFonts w:ascii="Garamond" w:eastAsia="Calibri" w:hAnsi="Garamond" w:cs="Arial"/>
          <w:sz w:val="24"/>
          <w:szCs w:val="24"/>
        </w:rPr>
        <w:t xml:space="preserve"> </w:t>
      </w:r>
      <w:r w:rsidR="00B522DA">
        <w:rPr>
          <w:rFonts w:ascii="Garamond" w:eastAsia="Calibri" w:hAnsi="Garamond" w:cs="Arial"/>
          <w:sz w:val="24"/>
          <w:szCs w:val="24"/>
        </w:rPr>
        <w:t>Contudo, desde 2011,</w:t>
      </w:r>
      <w:r w:rsidR="000E6740" w:rsidRPr="003A1174">
        <w:rPr>
          <w:rFonts w:ascii="Garamond" w:eastAsia="Calibri" w:hAnsi="Garamond" w:cs="Arial"/>
          <w:sz w:val="24"/>
          <w:szCs w:val="24"/>
        </w:rPr>
        <w:t xml:space="preserve"> </w:t>
      </w:r>
      <w:r w:rsidR="00B522DA">
        <w:rPr>
          <w:rFonts w:ascii="Garamond" w:eastAsia="Calibri" w:hAnsi="Garamond" w:cs="Arial"/>
          <w:sz w:val="24"/>
          <w:szCs w:val="24"/>
        </w:rPr>
        <w:t xml:space="preserve">o </w:t>
      </w:r>
      <w:r w:rsidR="000E6740" w:rsidRPr="003A1174">
        <w:rPr>
          <w:rFonts w:ascii="Garamond" w:eastAsia="Calibri" w:hAnsi="Garamond" w:cs="Arial"/>
          <w:sz w:val="24"/>
          <w:szCs w:val="24"/>
        </w:rPr>
        <w:t>número de</w:t>
      </w:r>
      <w:r w:rsidR="00496CB2" w:rsidRPr="003A1174">
        <w:rPr>
          <w:rFonts w:ascii="Garamond" w:eastAsia="Calibri" w:hAnsi="Garamond" w:cs="Arial"/>
          <w:sz w:val="24"/>
          <w:szCs w:val="24"/>
        </w:rPr>
        <w:t xml:space="preserve"> incidentes que termina</w:t>
      </w:r>
      <w:r w:rsidRPr="003A1174">
        <w:rPr>
          <w:rFonts w:ascii="Garamond" w:eastAsia="Calibri" w:hAnsi="Garamond" w:cs="Arial"/>
          <w:sz w:val="24"/>
          <w:szCs w:val="24"/>
        </w:rPr>
        <w:t xml:space="preserve">m com </w:t>
      </w:r>
      <w:r w:rsidR="00496CB2" w:rsidRPr="003A1174">
        <w:rPr>
          <w:rFonts w:ascii="Garamond" w:eastAsia="Calibri" w:hAnsi="Garamond" w:cs="Arial"/>
          <w:sz w:val="24"/>
          <w:szCs w:val="24"/>
        </w:rPr>
        <w:t xml:space="preserve">a </w:t>
      </w:r>
      <w:r w:rsidR="007C63D0" w:rsidRPr="003A1174">
        <w:rPr>
          <w:rFonts w:ascii="Garamond" w:eastAsia="Calibri" w:hAnsi="Garamond" w:cs="Arial"/>
          <w:sz w:val="24"/>
          <w:szCs w:val="24"/>
        </w:rPr>
        <w:t>morte</w:t>
      </w:r>
      <w:r w:rsidR="00496CB2" w:rsidRPr="003A1174">
        <w:rPr>
          <w:rFonts w:ascii="Garamond" w:eastAsia="Calibri" w:hAnsi="Garamond" w:cs="Arial"/>
          <w:sz w:val="24"/>
          <w:szCs w:val="24"/>
        </w:rPr>
        <w:t xml:space="preserve"> da </w:t>
      </w:r>
      <w:r w:rsidR="003F012B" w:rsidRPr="003A1174">
        <w:rPr>
          <w:rFonts w:ascii="Garamond" w:eastAsia="Calibri" w:hAnsi="Garamond" w:cs="Arial"/>
          <w:sz w:val="24"/>
          <w:szCs w:val="24"/>
        </w:rPr>
        <w:t>vítima</w:t>
      </w:r>
      <w:r w:rsidR="00B522DA">
        <w:rPr>
          <w:rFonts w:ascii="Garamond" w:eastAsia="Calibri" w:hAnsi="Garamond" w:cs="Arial"/>
          <w:sz w:val="24"/>
          <w:szCs w:val="24"/>
        </w:rPr>
        <w:t>,</w:t>
      </w:r>
      <w:r w:rsidR="00496CB2" w:rsidRPr="003A1174">
        <w:rPr>
          <w:rFonts w:ascii="Garamond" w:eastAsia="Calibri" w:hAnsi="Garamond" w:cs="Arial"/>
          <w:sz w:val="24"/>
          <w:szCs w:val="24"/>
        </w:rPr>
        <w:t xml:space="preserve"> </w:t>
      </w:r>
      <w:r w:rsidR="00B522DA">
        <w:rPr>
          <w:rFonts w:ascii="Garamond" w:eastAsia="Calibri" w:hAnsi="Garamond" w:cs="Arial"/>
          <w:sz w:val="24"/>
          <w:szCs w:val="24"/>
        </w:rPr>
        <w:t>diminui.</w:t>
      </w:r>
    </w:p>
    <w:p w:rsidR="00496CB2" w:rsidRPr="003A1174" w:rsidRDefault="000350B1" w:rsidP="008719D4">
      <w:pPr>
        <w:spacing w:before="240" w:line="240" w:lineRule="auto"/>
        <w:jc w:val="both"/>
        <w:rPr>
          <w:rFonts w:ascii="Garamond" w:eastAsia="Calibri" w:hAnsi="Garamond" w:cs="Arial"/>
          <w:sz w:val="24"/>
          <w:szCs w:val="24"/>
        </w:rPr>
      </w:pPr>
      <w:r w:rsidRPr="003A1174">
        <w:rPr>
          <w:rFonts w:ascii="Garamond" w:eastAsia="Calibri" w:hAnsi="Garamond" w:cs="Arial"/>
          <w:b/>
          <w:sz w:val="24"/>
          <w:szCs w:val="24"/>
        </w:rPr>
        <w:t>Violência</w:t>
      </w:r>
      <w:r w:rsidR="00496CB2" w:rsidRPr="003A1174">
        <w:rPr>
          <w:rFonts w:ascii="Garamond" w:eastAsia="Calibri" w:hAnsi="Garamond" w:cs="Arial"/>
          <w:b/>
          <w:sz w:val="24"/>
          <w:szCs w:val="24"/>
        </w:rPr>
        <w:t xml:space="preserve"> </w:t>
      </w:r>
      <w:r w:rsidR="00BB2B00" w:rsidRPr="003A1174">
        <w:rPr>
          <w:rFonts w:ascii="Garamond" w:eastAsia="Calibri" w:hAnsi="Garamond" w:cs="Arial"/>
          <w:b/>
          <w:sz w:val="24"/>
          <w:szCs w:val="24"/>
        </w:rPr>
        <w:t>contra a</w:t>
      </w:r>
      <w:r w:rsidR="00496CB2" w:rsidRPr="003A1174">
        <w:rPr>
          <w:rFonts w:ascii="Garamond" w:eastAsia="Calibri" w:hAnsi="Garamond" w:cs="Arial"/>
          <w:b/>
          <w:sz w:val="24"/>
          <w:szCs w:val="24"/>
        </w:rPr>
        <w:t xml:space="preserve">s </w:t>
      </w:r>
      <w:r w:rsidR="00054EE0" w:rsidRPr="003A1174">
        <w:rPr>
          <w:rFonts w:ascii="Garamond" w:eastAsia="Calibri" w:hAnsi="Garamond" w:cs="Arial"/>
          <w:b/>
          <w:sz w:val="24"/>
          <w:szCs w:val="24"/>
        </w:rPr>
        <w:t>mulheres</w:t>
      </w:r>
    </w:p>
    <w:p w:rsidR="00496CB2" w:rsidRPr="003A1174" w:rsidRDefault="00E95547"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 xml:space="preserve">Entre </w:t>
      </w:r>
      <w:r w:rsidR="00496CB2" w:rsidRPr="003A1174">
        <w:rPr>
          <w:rFonts w:ascii="Garamond" w:eastAsia="Calibri" w:hAnsi="Garamond" w:cs="Arial"/>
          <w:sz w:val="24"/>
          <w:szCs w:val="24"/>
        </w:rPr>
        <w:t xml:space="preserve">as </w:t>
      </w:r>
      <w:r w:rsidR="00E150E9" w:rsidRPr="003A1174">
        <w:rPr>
          <w:rFonts w:ascii="Garamond" w:eastAsia="Calibri" w:hAnsi="Garamond" w:cs="Arial"/>
          <w:sz w:val="24"/>
          <w:szCs w:val="24"/>
        </w:rPr>
        <w:t>funções</w:t>
      </w:r>
      <w:r w:rsidR="00496CB2"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AF192F" w:rsidRPr="003A1174">
        <w:rPr>
          <w:rFonts w:ascii="Garamond" w:eastAsia="Calibri" w:hAnsi="Garamond" w:cs="Arial"/>
          <w:sz w:val="24"/>
          <w:szCs w:val="24"/>
        </w:rPr>
        <w:t>dever</w:t>
      </w:r>
      <w:r w:rsidR="00496CB2" w:rsidRPr="003A1174">
        <w:rPr>
          <w:rFonts w:ascii="Garamond" w:eastAsia="Calibri" w:hAnsi="Garamond" w:cs="Arial"/>
          <w:sz w:val="24"/>
          <w:szCs w:val="24"/>
        </w:rPr>
        <w:t xml:space="preserve">es da OPM, </w:t>
      </w:r>
      <w:r w:rsidR="00B522DA">
        <w:rPr>
          <w:rFonts w:ascii="Garamond" w:eastAsia="Calibri" w:hAnsi="Garamond" w:cs="Arial"/>
          <w:sz w:val="24"/>
          <w:szCs w:val="24"/>
        </w:rPr>
        <w:t>destacam</w:t>
      </w:r>
      <w:r w:rsidRPr="003A1174">
        <w:rPr>
          <w:rFonts w:ascii="Garamond" w:eastAsia="Calibri" w:hAnsi="Garamond" w:cs="Arial"/>
          <w:sz w:val="24"/>
          <w:szCs w:val="24"/>
        </w:rPr>
        <w:t>-</w:t>
      </w:r>
      <w:r w:rsidR="00496CB2" w:rsidRPr="003A1174">
        <w:rPr>
          <w:rFonts w:ascii="Garamond" w:eastAsia="Calibri" w:hAnsi="Garamond" w:cs="Arial"/>
          <w:sz w:val="24"/>
          <w:szCs w:val="24"/>
        </w:rPr>
        <w:t>se:</w:t>
      </w:r>
    </w:p>
    <w:p w:rsidR="00496CB2" w:rsidRPr="00B522DA" w:rsidRDefault="00B522DA" w:rsidP="00B522DA">
      <w:pPr>
        <w:spacing w:before="240" w:line="240" w:lineRule="auto"/>
        <w:ind w:left="567" w:right="49"/>
        <w:jc w:val="both"/>
        <w:rPr>
          <w:rFonts w:ascii="Garamond" w:eastAsia="Calibri" w:hAnsi="Garamond" w:cs="Arial"/>
        </w:rPr>
      </w:pPr>
      <w:r>
        <w:rPr>
          <w:rFonts w:ascii="Garamond" w:eastAsia="Calibri" w:hAnsi="Garamond" w:cs="Arial"/>
        </w:rPr>
        <w:t>«</w:t>
      </w:r>
      <w:r w:rsidR="00496CB2" w:rsidRPr="00B522DA">
        <w:rPr>
          <w:rFonts w:ascii="Garamond" w:eastAsia="Calibri" w:hAnsi="Garamond" w:cs="Arial"/>
        </w:rPr>
        <w:t>Impuls</w:t>
      </w:r>
      <w:r w:rsidR="00E95547" w:rsidRPr="00B522DA">
        <w:rPr>
          <w:rFonts w:ascii="Garamond" w:eastAsia="Calibri" w:hAnsi="Garamond" w:cs="Arial"/>
        </w:rPr>
        <w:t>ion</w:t>
      </w:r>
      <w:r w:rsidR="00496CB2" w:rsidRPr="00B522DA">
        <w:rPr>
          <w:rFonts w:ascii="Garamond" w:eastAsia="Calibri" w:hAnsi="Garamond" w:cs="Arial"/>
        </w:rPr>
        <w:t xml:space="preserve">ar </w:t>
      </w:r>
      <w:r w:rsidR="002C7510" w:rsidRPr="00B522DA">
        <w:rPr>
          <w:rFonts w:ascii="Garamond" w:eastAsia="Calibri" w:hAnsi="Garamond" w:cs="Arial"/>
        </w:rPr>
        <w:t>ações</w:t>
      </w:r>
      <w:r w:rsidR="00496CB2" w:rsidRPr="00B522DA">
        <w:rPr>
          <w:rFonts w:ascii="Garamond" w:eastAsia="Calibri" w:hAnsi="Garamond" w:cs="Arial"/>
        </w:rPr>
        <w:t xml:space="preserve"> que </w:t>
      </w:r>
      <w:r w:rsidR="00D75A07" w:rsidRPr="00B522DA">
        <w:rPr>
          <w:rFonts w:ascii="Garamond" w:eastAsia="Calibri" w:hAnsi="Garamond" w:cs="Arial"/>
        </w:rPr>
        <w:t>contribuam</w:t>
      </w:r>
      <w:r w:rsidR="00496CB2" w:rsidRPr="00B522DA">
        <w:rPr>
          <w:rFonts w:ascii="Garamond" w:eastAsia="Calibri" w:hAnsi="Garamond" w:cs="Arial"/>
        </w:rPr>
        <w:t xml:space="preserve"> </w:t>
      </w:r>
      <w:r w:rsidR="00E95547" w:rsidRPr="00B522DA">
        <w:rPr>
          <w:rFonts w:ascii="Garamond" w:eastAsia="Calibri" w:hAnsi="Garamond" w:cs="Arial"/>
        </w:rPr>
        <w:t>par</w:t>
      </w:r>
      <w:r w:rsidR="00496CB2" w:rsidRPr="00B522DA">
        <w:rPr>
          <w:rFonts w:ascii="Garamond" w:eastAsia="Calibri" w:hAnsi="Garamond" w:cs="Arial"/>
        </w:rPr>
        <w:t xml:space="preserve">a resolver </w:t>
      </w:r>
      <w:r w:rsidR="00E95547" w:rsidRPr="00B522DA">
        <w:rPr>
          <w:rFonts w:ascii="Garamond" w:eastAsia="Calibri" w:hAnsi="Garamond" w:cs="Arial"/>
        </w:rPr>
        <w:t xml:space="preserve">o </w:t>
      </w:r>
      <w:r w:rsidR="00496CB2" w:rsidRPr="00B522DA">
        <w:rPr>
          <w:rFonts w:ascii="Garamond" w:eastAsia="Calibri" w:hAnsi="Garamond" w:cs="Arial"/>
        </w:rPr>
        <w:t xml:space="preserve">problema da </w:t>
      </w:r>
      <w:r w:rsidR="000350B1" w:rsidRPr="00B522DA">
        <w:rPr>
          <w:rFonts w:ascii="Garamond" w:eastAsia="Calibri" w:hAnsi="Garamond" w:cs="Arial"/>
        </w:rPr>
        <w:t>violência</w:t>
      </w:r>
      <w:r w:rsidR="00496CB2" w:rsidRPr="00B522DA">
        <w:rPr>
          <w:rFonts w:ascii="Garamond" w:eastAsia="Calibri" w:hAnsi="Garamond" w:cs="Arial"/>
        </w:rPr>
        <w:t xml:space="preserve"> </w:t>
      </w:r>
      <w:r w:rsidR="00BB2B00" w:rsidRPr="00B522DA">
        <w:rPr>
          <w:rFonts w:ascii="Garamond" w:eastAsia="Calibri" w:hAnsi="Garamond" w:cs="Arial"/>
        </w:rPr>
        <w:t>contra a</w:t>
      </w:r>
      <w:r w:rsidR="00496CB2" w:rsidRPr="00B522DA">
        <w:rPr>
          <w:rFonts w:ascii="Garamond" w:eastAsia="Calibri" w:hAnsi="Garamond" w:cs="Arial"/>
        </w:rPr>
        <w:t xml:space="preserve">s </w:t>
      </w:r>
      <w:r w:rsidR="00054EE0" w:rsidRPr="00B522DA">
        <w:rPr>
          <w:rFonts w:ascii="Garamond" w:eastAsia="Calibri" w:hAnsi="Garamond" w:cs="Arial"/>
        </w:rPr>
        <w:t>mulheres</w:t>
      </w:r>
      <w:r w:rsidR="00496CB2" w:rsidRPr="00B522DA">
        <w:rPr>
          <w:rFonts w:ascii="Garamond" w:eastAsia="Calibri" w:hAnsi="Garamond" w:cs="Arial"/>
        </w:rPr>
        <w:t>, e</w:t>
      </w:r>
      <w:r w:rsidR="00E95547" w:rsidRPr="00B522DA">
        <w:rPr>
          <w:rFonts w:ascii="Garamond" w:eastAsia="Calibri" w:hAnsi="Garamond" w:cs="Arial"/>
        </w:rPr>
        <w:t>m</w:t>
      </w:r>
      <w:r w:rsidR="00496CB2" w:rsidRPr="00B522DA">
        <w:rPr>
          <w:rFonts w:ascii="Garamond" w:eastAsia="Calibri" w:hAnsi="Garamond" w:cs="Arial"/>
        </w:rPr>
        <w:t xml:space="preserve"> todas </w:t>
      </w:r>
      <w:r w:rsidR="00E95547" w:rsidRPr="00B522DA">
        <w:rPr>
          <w:rFonts w:ascii="Garamond" w:eastAsia="Calibri" w:hAnsi="Garamond" w:cs="Arial"/>
        </w:rPr>
        <w:t xml:space="preserve">as </w:t>
      </w:r>
      <w:r w:rsidR="00496CB2" w:rsidRPr="00B522DA">
        <w:rPr>
          <w:rFonts w:ascii="Garamond" w:eastAsia="Calibri" w:hAnsi="Garamond" w:cs="Arial"/>
        </w:rPr>
        <w:t>su</w:t>
      </w:r>
      <w:r w:rsidR="00E95547" w:rsidRPr="00B522DA">
        <w:rPr>
          <w:rFonts w:ascii="Garamond" w:eastAsia="Calibri" w:hAnsi="Garamond" w:cs="Arial"/>
        </w:rPr>
        <w:t>a</w:t>
      </w:r>
      <w:r w:rsidR="00496CB2" w:rsidRPr="00B522DA">
        <w:rPr>
          <w:rFonts w:ascii="Garamond" w:eastAsia="Calibri" w:hAnsi="Garamond" w:cs="Arial"/>
        </w:rPr>
        <w:t xml:space="preserve">s </w:t>
      </w:r>
      <w:r w:rsidR="00C30647" w:rsidRPr="00B522DA">
        <w:rPr>
          <w:rFonts w:ascii="Garamond" w:eastAsia="Calibri" w:hAnsi="Garamond" w:cs="Arial"/>
        </w:rPr>
        <w:t>manifestações</w:t>
      </w:r>
      <w:r w:rsidR="00496CB2" w:rsidRPr="00B522DA">
        <w:rPr>
          <w:rFonts w:ascii="Garamond" w:eastAsia="Calibri" w:hAnsi="Garamond" w:cs="Arial"/>
        </w:rPr>
        <w:t xml:space="preserve">. </w:t>
      </w:r>
      <w:r w:rsidR="00E95547" w:rsidRPr="00B522DA">
        <w:rPr>
          <w:rFonts w:ascii="Garamond" w:eastAsia="Calibri" w:hAnsi="Garamond" w:cs="Arial"/>
        </w:rPr>
        <w:t xml:space="preserve">O </w:t>
      </w:r>
      <w:r w:rsidR="00C246B4" w:rsidRPr="00B522DA">
        <w:rPr>
          <w:rFonts w:ascii="Garamond" w:eastAsia="Calibri" w:hAnsi="Garamond" w:cs="Arial"/>
        </w:rPr>
        <w:t>Gabinete</w:t>
      </w:r>
      <w:r w:rsidR="00496CB2" w:rsidRPr="00B522DA">
        <w:rPr>
          <w:rFonts w:ascii="Garamond" w:eastAsia="Calibri" w:hAnsi="Garamond" w:cs="Arial"/>
        </w:rPr>
        <w:t xml:space="preserve"> </w:t>
      </w:r>
      <w:r w:rsidR="00E95547" w:rsidRPr="00B522DA">
        <w:rPr>
          <w:rFonts w:ascii="Garamond" w:eastAsia="Calibri" w:hAnsi="Garamond" w:cs="Arial"/>
        </w:rPr>
        <w:t xml:space="preserve">irá </w:t>
      </w:r>
      <w:r w:rsidR="002F5CD1" w:rsidRPr="00B522DA">
        <w:rPr>
          <w:rFonts w:ascii="Garamond" w:eastAsia="Calibri" w:hAnsi="Garamond" w:cs="Arial"/>
        </w:rPr>
        <w:t>estabelecer</w:t>
      </w:r>
      <w:r w:rsidR="00E95547" w:rsidRPr="00B522DA">
        <w:rPr>
          <w:rFonts w:ascii="Garamond" w:eastAsia="Calibri" w:hAnsi="Garamond" w:cs="Arial"/>
        </w:rPr>
        <w:t xml:space="preserve"> uma</w:t>
      </w:r>
      <w:r w:rsidR="00496CB2" w:rsidRPr="00B522DA">
        <w:rPr>
          <w:rFonts w:ascii="Garamond" w:eastAsia="Calibri" w:hAnsi="Garamond" w:cs="Arial"/>
        </w:rPr>
        <w:t xml:space="preserve"> </w:t>
      </w:r>
      <w:r w:rsidR="002C7510" w:rsidRPr="00B522DA">
        <w:rPr>
          <w:rFonts w:ascii="Garamond" w:eastAsia="Calibri" w:hAnsi="Garamond" w:cs="Arial"/>
        </w:rPr>
        <w:t>rede</w:t>
      </w:r>
      <w:r w:rsidR="00496CB2" w:rsidRPr="00B522DA">
        <w:rPr>
          <w:rFonts w:ascii="Garamond" w:eastAsia="Calibri" w:hAnsi="Garamond" w:cs="Arial"/>
        </w:rPr>
        <w:t xml:space="preserve"> de </w:t>
      </w:r>
      <w:r w:rsidR="0017447A" w:rsidRPr="00B522DA">
        <w:rPr>
          <w:rFonts w:ascii="Garamond" w:eastAsia="Calibri" w:hAnsi="Garamond" w:cs="Arial"/>
        </w:rPr>
        <w:t>informação</w:t>
      </w:r>
      <w:r w:rsidR="00496CB2" w:rsidRPr="00B522DA">
        <w:rPr>
          <w:rFonts w:ascii="Garamond" w:eastAsia="Calibri" w:hAnsi="Garamond" w:cs="Arial"/>
        </w:rPr>
        <w:t xml:space="preserve"> </w:t>
      </w:r>
      <w:r w:rsidR="000672E8" w:rsidRPr="00B522DA">
        <w:rPr>
          <w:rFonts w:ascii="Garamond" w:eastAsia="Calibri" w:hAnsi="Garamond" w:cs="Arial"/>
        </w:rPr>
        <w:t>e</w:t>
      </w:r>
      <w:r w:rsidR="00496CB2" w:rsidRPr="00B522DA">
        <w:rPr>
          <w:rFonts w:ascii="Garamond" w:eastAsia="Calibri" w:hAnsi="Garamond" w:cs="Arial"/>
        </w:rPr>
        <w:t xml:space="preserve"> recursos de </w:t>
      </w:r>
      <w:r w:rsidR="00791197" w:rsidRPr="00B522DA">
        <w:rPr>
          <w:rFonts w:ascii="Garamond" w:eastAsia="Calibri" w:hAnsi="Garamond" w:cs="Arial"/>
        </w:rPr>
        <w:t>apoio</w:t>
      </w:r>
      <w:r w:rsidR="00496CB2" w:rsidRPr="00B522DA">
        <w:rPr>
          <w:rFonts w:ascii="Garamond" w:eastAsia="Calibri" w:hAnsi="Garamond" w:cs="Arial"/>
        </w:rPr>
        <w:t xml:space="preserve"> </w:t>
      </w:r>
      <w:r w:rsidR="00501083" w:rsidRPr="00B522DA">
        <w:rPr>
          <w:rFonts w:ascii="Garamond" w:eastAsia="Calibri" w:hAnsi="Garamond" w:cs="Arial"/>
        </w:rPr>
        <w:t>adequado</w:t>
      </w:r>
      <w:r w:rsidR="00496CB2" w:rsidRPr="00B522DA">
        <w:rPr>
          <w:rFonts w:ascii="Garamond" w:eastAsia="Calibri" w:hAnsi="Garamond" w:cs="Arial"/>
        </w:rPr>
        <w:t xml:space="preserve">s para </w:t>
      </w:r>
      <w:r>
        <w:rPr>
          <w:rFonts w:ascii="Garamond" w:eastAsia="Calibri" w:hAnsi="Garamond" w:cs="Arial"/>
        </w:rPr>
        <w:t xml:space="preserve">dar </w:t>
      </w:r>
      <w:r w:rsidR="00496CB2" w:rsidRPr="00B522DA">
        <w:rPr>
          <w:rFonts w:ascii="Garamond" w:eastAsia="Calibri" w:hAnsi="Garamond" w:cs="Arial"/>
        </w:rPr>
        <w:t>as</w:t>
      </w:r>
      <w:r w:rsidR="00E95547" w:rsidRPr="00B522DA">
        <w:rPr>
          <w:rFonts w:ascii="Garamond" w:eastAsia="Calibri" w:hAnsi="Garamond" w:cs="Arial"/>
        </w:rPr>
        <w:t>sist</w:t>
      </w:r>
      <w:r>
        <w:rPr>
          <w:rFonts w:ascii="Garamond" w:eastAsia="Calibri" w:hAnsi="Garamond" w:cs="Arial"/>
        </w:rPr>
        <w:t>ência</w:t>
      </w:r>
      <w:r w:rsidR="00E95547" w:rsidRPr="00B522DA">
        <w:rPr>
          <w:rFonts w:ascii="Garamond" w:eastAsia="Calibri" w:hAnsi="Garamond" w:cs="Arial"/>
        </w:rPr>
        <w:t xml:space="preserve"> a jo</w:t>
      </w:r>
      <w:r w:rsidR="00496CB2" w:rsidRPr="00B522DA">
        <w:rPr>
          <w:rFonts w:ascii="Garamond" w:eastAsia="Calibri" w:hAnsi="Garamond" w:cs="Arial"/>
        </w:rPr>
        <w:t xml:space="preserve">vens </w:t>
      </w:r>
      <w:r w:rsidR="000672E8" w:rsidRPr="00B522DA">
        <w:rPr>
          <w:rFonts w:ascii="Garamond" w:eastAsia="Calibri" w:hAnsi="Garamond" w:cs="Arial"/>
        </w:rPr>
        <w:t>e</w:t>
      </w:r>
      <w:r w:rsidR="00496CB2" w:rsidRPr="00B522DA">
        <w:rPr>
          <w:rFonts w:ascii="Garamond" w:eastAsia="Calibri" w:hAnsi="Garamond" w:cs="Arial"/>
        </w:rPr>
        <w:t xml:space="preserve"> </w:t>
      </w:r>
      <w:r w:rsidR="00054EE0" w:rsidRPr="00B522DA">
        <w:rPr>
          <w:rFonts w:ascii="Garamond" w:eastAsia="Calibri" w:hAnsi="Garamond" w:cs="Arial"/>
        </w:rPr>
        <w:t>mulheres</w:t>
      </w:r>
      <w:r w:rsidR="00496CB2" w:rsidRPr="00B522DA">
        <w:rPr>
          <w:rFonts w:ascii="Garamond" w:eastAsia="Calibri" w:hAnsi="Garamond" w:cs="Arial"/>
        </w:rPr>
        <w:t xml:space="preserve"> </w:t>
      </w:r>
      <w:r w:rsidR="003F012B" w:rsidRPr="00B522DA">
        <w:rPr>
          <w:rFonts w:ascii="Garamond" w:eastAsia="Calibri" w:hAnsi="Garamond" w:cs="Arial"/>
        </w:rPr>
        <w:t>vítima</w:t>
      </w:r>
      <w:r w:rsidR="00496CB2" w:rsidRPr="00B522DA">
        <w:rPr>
          <w:rFonts w:ascii="Garamond" w:eastAsia="Calibri" w:hAnsi="Garamond" w:cs="Arial"/>
        </w:rPr>
        <w:t xml:space="preserve">s de </w:t>
      </w:r>
      <w:r w:rsidR="000350B1" w:rsidRPr="00B522DA">
        <w:rPr>
          <w:rFonts w:ascii="Garamond" w:eastAsia="Calibri" w:hAnsi="Garamond" w:cs="Arial"/>
        </w:rPr>
        <w:t>violência</w:t>
      </w:r>
      <w:r w:rsidR="00496CB2" w:rsidRPr="00B522DA">
        <w:rPr>
          <w:rFonts w:ascii="Garamond" w:eastAsia="Calibri" w:hAnsi="Garamond" w:cs="Arial"/>
        </w:rPr>
        <w:t xml:space="preserve"> doméstica, que inclua </w:t>
      </w:r>
      <w:r w:rsidR="00B531F2" w:rsidRPr="00B522DA">
        <w:rPr>
          <w:rFonts w:ascii="Garamond" w:eastAsia="Calibri" w:hAnsi="Garamond" w:cs="Arial"/>
        </w:rPr>
        <w:t>serviço</w:t>
      </w:r>
      <w:r w:rsidR="00496CB2" w:rsidRPr="00B522DA">
        <w:rPr>
          <w:rFonts w:ascii="Garamond" w:eastAsia="Calibri" w:hAnsi="Garamond" w:cs="Arial"/>
        </w:rPr>
        <w:t xml:space="preserve">s médicos, </w:t>
      </w:r>
      <w:r w:rsidR="00E95547" w:rsidRPr="00B522DA">
        <w:rPr>
          <w:rFonts w:ascii="Garamond" w:eastAsia="Calibri" w:hAnsi="Garamond" w:cs="Arial"/>
        </w:rPr>
        <w:t>p</w:t>
      </w:r>
      <w:r w:rsidR="00496CB2" w:rsidRPr="00B522DA">
        <w:rPr>
          <w:rFonts w:ascii="Garamond" w:eastAsia="Calibri" w:hAnsi="Garamond" w:cs="Arial"/>
        </w:rPr>
        <w:t xml:space="preserve">sicológicos, educativos </w:t>
      </w:r>
      <w:r w:rsidR="000672E8" w:rsidRPr="00B522DA">
        <w:rPr>
          <w:rFonts w:ascii="Garamond" w:eastAsia="Calibri" w:hAnsi="Garamond" w:cs="Arial"/>
        </w:rPr>
        <w:t>e</w:t>
      </w:r>
      <w:r w:rsidR="00496CB2" w:rsidRPr="00B522DA">
        <w:rPr>
          <w:rFonts w:ascii="Garamond" w:eastAsia="Calibri" w:hAnsi="Garamond" w:cs="Arial"/>
        </w:rPr>
        <w:t xml:space="preserve"> de </w:t>
      </w:r>
      <w:r w:rsidR="000672E8" w:rsidRPr="00B522DA">
        <w:rPr>
          <w:rFonts w:ascii="Garamond" w:eastAsia="Calibri" w:hAnsi="Garamond" w:cs="Arial"/>
        </w:rPr>
        <w:t>ajuda</w:t>
      </w:r>
      <w:r w:rsidR="00496CB2" w:rsidRPr="00B522DA">
        <w:rPr>
          <w:rFonts w:ascii="Garamond" w:eastAsia="Calibri" w:hAnsi="Garamond" w:cs="Arial"/>
        </w:rPr>
        <w:t xml:space="preserve">, entre </w:t>
      </w:r>
      <w:r w:rsidR="001F2F8B" w:rsidRPr="00B522DA">
        <w:rPr>
          <w:rFonts w:ascii="Garamond" w:eastAsia="Calibri" w:hAnsi="Garamond" w:cs="Arial"/>
        </w:rPr>
        <w:t>outro</w:t>
      </w:r>
      <w:r w:rsidR="00496CB2" w:rsidRPr="00B522DA">
        <w:rPr>
          <w:rFonts w:ascii="Garamond" w:eastAsia="Calibri" w:hAnsi="Garamond" w:cs="Arial"/>
        </w:rPr>
        <w:t xml:space="preserve">s, para fomentar </w:t>
      </w:r>
      <w:r w:rsidR="00E95547" w:rsidRPr="00B522DA">
        <w:rPr>
          <w:rFonts w:ascii="Garamond" w:eastAsia="Calibri" w:hAnsi="Garamond" w:cs="Arial"/>
        </w:rPr>
        <w:t xml:space="preserve">o </w:t>
      </w:r>
      <w:r w:rsidR="009B133A" w:rsidRPr="00B522DA">
        <w:rPr>
          <w:rFonts w:ascii="Garamond" w:eastAsia="Calibri" w:hAnsi="Garamond" w:cs="Arial"/>
        </w:rPr>
        <w:t>desenvolvimento</w:t>
      </w:r>
      <w:r w:rsidR="00496CB2" w:rsidRPr="00B522DA">
        <w:rPr>
          <w:rFonts w:ascii="Garamond" w:eastAsia="Calibri" w:hAnsi="Garamond" w:cs="Arial"/>
        </w:rPr>
        <w:t xml:space="preserve"> integral da </w:t>
      </w:r>
      <w:r w:rsidR="00AF192F" w:rsidRPr="00B522DA">
        <w:rPr>
          <w:rFonts w:ascii="Garamond" w:eastAsia="Calibri" w:hAnsi="Garamond" w:cs="Arial"/>
        </w:rPr>
        <w:t>mulher</w:t>
      </w:r>
      <w:r w:rsidR="00496CB2" w:rsidRPr="00B522DA">
        <w:rPr>
          <w:rFonts w:ascii="Garamond" w:eastAsia="Calibri" w:hAnsi="Garamond" w:cs="Arial"/>
        </w:rPr>
        <w:t xml:space="preserve"> </w:t>
      </w:r>
      <w:r w:rsidR="000672E8" w:rsidRPr="00B522DA">
        <w:rPr>
          <w:rFonts w:ascii="Garamond" w:eastAsia="Calibri" w:hAnsi="Garamond" w:cs="Arial"/>
        </w:rPr>
        <w:t>e</w:t>
      </w:r>
      <w:r w:rsidR="00E95547" w:rsidRPr="00B522DA">
        <w:rPr>
          <w:rFonts w:ascii="Garamond" w:eastAsia="Calibri" w:hAnsi="Garamond" w:cs="Arial"/>
        </w:rPr>
        <w:t xml:space="preserve"> d</w:t>
      </w:r>
      <w:r w:rsidR="00496CB2" w:rsidRPr="00B522DA">
        <w:rPr>
          <w:rFonts w:ascii="Garamond" w:eastAsia="Calibri" w:hAnsi="Garamond" w:cs="Arial"/>
        </w:rPr>
        <w:t>a</w:t>
      </w:r>
      <w:r>
        <w:rPr>
          <w:rFonts w:ascii="Garamond" w:eastAsia="Calibri" w:hAnsi="Garamond" w:cs="Arial"/>
        </w:rPr>
        <w:t xml:space="preserve"> sua</w:t>
      </w:r>
      <w:r w:rsidR="00496CB2" w:rsidRPr="00B522DA">
        <w:rPr>
          <w:rFonts w:ascii="Garamond" w:eastAsia="Calibri" w:hAnsi="Garamond" w:cs="Arial"/>
        </w:rPr>
        <w:t xml:space="preserve"> </w:t>
      </w:r>
      <w:r w:rsidR="00BA3CCE" w:rsidRPr="00B522DA">
        <w:rPr>
          <w:rFonts w:ascii="Garamond" w:eastAsia="Calibri" w:hAnsi="Garamond" w:cs="Arial"/>
        </w:rPr>
        <w:t>autossuficiência</w:t>
      </w:r>
      <w:r w:rsidR="00496CB2" w:rsidRPr="00B522DA">
        <w:rPr>
          <w:rFonts w:ascii="Garamond" w:eastAsia="Calibri" w:hAnsi="Garamond" w:cs="Arial"/>
        </w:rPr>
        <w:t>.</w:t>
      </w:r>
      <w:r>
        <w:rPr>
          <w:rFonts w:ascii="Garamond" w:eastAsia="Calibri" w:hAnsi="Garamond" w:cs="Arial"/>
        </w:rPr>
        <w:t>»</w:t>
      </w:r>
      <w:r w:rsidR="00496CB2" w:rsidRPr="00B522DA">
        <w:rPr>
          <w:rFonts w:ascii="Garamond" w:eastAsia="Calibri" w:hAnsi="Garamond" w:cs="Arial"/>
          <w:vertAlign w:val="superscript"/>
          <w:lang w:val="es-ES"/>
        </w:rPr>
        <w:footnoteReference w:id="135"/>
      </w:r>
    </w:p>
    <w:p w:rsidR="00496CB2" w:rsidRPr="003A1174" w:rsidRDefault="00496CB2" w:rsidP="008719D4">
      <w:pPr>
        <w:spacing w:before="240" w:line="240" w:lineRule="auto"/>
        <w:jc w:val="both"/>
        <w:rPr>
          <w:rFonts w:ascii="Garamond" w:eastAsia="Times New Roman" w:hAnsi="Garamond" w:cs="Arial"/>
          <w:sz w:val="24"/>
          <w:szCs w:val="24"/>
        </w:rPr>
      </w:pPr>
      <w:r w:rsidRPr="003A1174">
        <w:rPr>
          <w:rFonts w:ascii="Garamond" w:eastAsia="Calibri" w:hAnsi="Garamond" w:cs="Arial"/>
          <w:sz w:val="24"/>
          <w:szCs w:val="24"/>
        </w:rPr>
        <w:t xml:space="preserve">Para </w:t>
      </w:r>
      <w:r w:rsidR="00306B73" w:rsidRPr="003A1174">
        <w:rPr>
          <w:rFonts w:ascii="Garamond" w:eastAsia="Calibri" w:hAnsi="Garamond" w:cs="Arial"/>
          <w:sz w:val="24"/>
          <w:szCs w:val="24"/>
        </w:rPr>
        <w:t>cumprir</w:t>
      </w:r>
      <w:r w:rsidRPr="003A1174">
        <w:rPr>
          <w:rFonts w:ascii="Garamond" w:eastAsia="Calibri" w:hAnsi="Garamond" w:cs="Arial"/>
          <w:sz w:val="24"/>
          <w:szCs w:val="24"/>
        </w:rPr>
        <w:t xml:space="preserve"> co</w:t>
      </w:r>
      <w:r w:rsidR="0076153C" w:rsidRPr="003A1174">
        <w:rPr>
          <w:rFonts w:ascii="Garamond" w:eastAsia="Calibri" w:hAnsi="Garamond" w:cs="Arial"/>
          <w:sz w:val="24"/>
          <w:szCs w:val="24"/>
        </w:rPr>
        <w:t>m</w:t>
      </w:r>
      <w:r w:rsidR="00B522DA">
        <w:rPr>
          <w:rFonts w:ascii="Garamond" w:eastAsia="Calibri" w:hAnsi="Garamond" w:cs="Arial"/>
          <w:sz w:val="24"/>
          <w:szCs w:val="24"/>
        </w:rPr>
        <w:t xml:space="preserve"> estes deveres</w:t>
      </w:r>
      <w:r w:rsidR="00B74417" w:rsidRPr="003A1174">
        <w:rPr>
          <w:rFonts w:ascii="Garamond" w:eastAsia="Calibri" w:hAnsi="Garamond" w:cs="Arial"/>
          <w:sz w:val="24"/>
          <w:szCs w:val="24"/>
        </w:rPr>
        <w:t>,</w:t>
      </w:r>
      <w:r w:rsidR="0076153C"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 OPM </w:t>
      </w:r>
      <w:r w:rsidR="006B29BF" w:rsidRPr="003A1174">
        <w:rPr>
          <w:rFonts w:ascii="Garamond" w:eastAsia="Calibri" w:hAnsi="Garamond" w:cs="Arial"/>
          <w:sz w:val="24"/>
          <w:szCs w:val="24"/>
        </w:rPr>
        <w:t>estabeleceu</w:t>
      </w:r>
      <w:r w:rsidR="0076153C" w:rsidRPr="003A1174">
        <w:rPr>
          <w:rFonts w:ascii="Garamond" w:eastAsia="Calibri" w:hAnsi="Garamond" w:cs="Arial"/>
          <w:sz w:val="24"/>
          <w:szCs w:val="24"/>
        </w:rPr>
        <w:t xml:space="preserve"> um</w:t>
      </w:r>
      <w:r w:rsidRPr="003A1174">
        <w:rPr>
          <w:rFonts w:ascii="Garamond" w:eastAsia="Calibri" w:hAnsi="Garamond" w:cs="Arial"/>
          <w:sz w:val="24"/>
          <w:szCs w:val="24"/>
        </w:rPr>
        <w:t xml:space="preserve">a </w:t>
      </w:r>
      <w:r w:rsidR="00D4575C" w:rsidRPr="003A1174">
        <w:rPr>
          <w:rFonts w:ascii="Garamond" w:eastAsia="Calibri" w:hAnsi="Garamond" w:cs="Arial"/>
          <w:sz w:val="24"/>
          <w:szCs w:val="24"/>
        </w:rPr>
        <w:t>linha</w:t>
      </w:r>
      <w:r w:rsidRPr="003A1174">
        <w:rPr>
          <w:rFonts w:ascii="Garamond" w:eastAsia="Calibri" w:hAnsi="Garamond" w:cs="Arial"/>
          <w:sz w:val="24"/>
          <w:szCs w:val="24"/>
        </w:rPr>
        <w:t xml:space="preserve"> de </w:t>
      </w:r>
      <w:r w:rsidR="00081B57" w:rsidRPr="003A1174">
        <w:rPr>
          <w:rFonts w:ascii="Garamond" w:eastAsia="Calibri" w:hAnsi="Garamond" w:cs="Arial"/>
          <w:sz w:val="24"/>
          <w:szCs w:val="24"/>
        </w:rPr>
        <w:t>orientação</w:t>
      </w:r>
      <w:r w:rsidRPr="003A1174">
        <w:rPr>
          <w:rFonts w:ascii="Garamond" w:eastAsia="Calibri" w:hAnsi="Garamond" w:cs="Arial"/>
          <w:sz w:val="24"/>
          <w:szCs w:val="24"/>
        </w:rPr>
        <w:t xml:space="preserve"> </w:t>
      </w:r>
      <w:r w:rsidR="00B74417" w:rsidRPr="003A1174">
        <w:rPr>
          <w:rFonts w:ascii="Garamond" w:eastAsia="Calibri" w:hAnsi="Garamond" w:cs="Arial"/>
          <w:sz w:val="24"/>
          <w:szCs w:val="24"/>
        </w:rPr>
        <w:t>dirigida</w:t>
      </w:r>
      <w:r w:rsidR="003A205D">
        <w:rPr>
          <w:rFonts w:ascii="Garamond" w:eastAsia="Calibri" w:hAnsi="Garamond" w:cs="Arial"/>
          <w:sz w:val="24"/>
          <w:szCs w:val="24"/>
        </w:rPr>
        <w:t>,</w:t>
      </w:r>
      <w:r w:rsidR="00B74417" w:rsidRPr="003A1174">
        <w:rPr>
          <w:rFonts w:ascii="Garamond" w:eastAsia="Calibri" w:hAnsi="Garamond" w:cs="Arial"/>
          <w:sz w:val="24"/>
          <w:szCs w:val="24"/>
        </w:rPr>
        <w:t xml:space="preserve"> a</w:t>
      </w:r>
      <w:r w:rsidR="0076153C" w:rsidRPr="003A1174">
        <w:rPr>
          <w:rFonts w:ascii="Garamond" w:eastAsia="Calibri" w:hAnsi="Garamond" w:cs="Arial"/>
          <w:sz w:val="24"/>
          <w:szCs w:val="24"/>
        </w:rPr>
        <w:t xml:space="preserve">o </w:t>
      </w:r>
      <w:r w:rsidR="00E15BB2" w:rsidRPr="003A1174">
        <w:rPr>
          <w:rFonts w:ascii="Garamond" w:eastAsia="Calibri" w:hAnsi="Garamond" w:cs="Arial"/>
          <w:sz w:val="24"/>
          <w:szCs w:val="24"/>
        </w:rPr>
        <w:t>controlo</w:t>
      </w:r>
      <w:r w:rsidR="0076153C" w:rsidRPr="003A1174">
        <w:rPr>
          <w:rFonts w:ascii="Garamond" w:eastAsia="Calibri" w:hAnsi="Garamond" w:cs="Arial"/>
          <w:sz w:val="24"/>
          <w:szCs w:val="24"/>
        </w:rPr>
        <w:t xml:space="preserve"> eficaz</w:t>
      </w:r>
      <w:r w:rsidR="003A205D">
        <w:rPr>
          <w:rFonts w:ascii="Garamond" w:eastAsia="Calibri" w:hAnsi="Garamond" w:cs="Arial"/>
          <w:sz w:val="24"/>
          <w:szCs w:val="24"/>
        </w:rPr>
        <w:t>,</w:t>
      </w:r>
      <w:r w:rsidR="0076153C" w:rsidRPr="003A1174">
        <w:rPr>
          <w:rFonts w:ascii="Garamond" w:eastAsia="Calibri" w:hAnsi="Garamond" w:cs="Arial"/>
          <w:sz w:val="24"/>
          <w:szCs w:val="24"/>
        </w:rPr>
        <w:t xml:space="preserve"> </w:t>
      </w:r>
      <w:r w:rsidR="003A205D">
        <w:rPr>
          <w:rFonts w:ascii="Garamond" w:eastAsia="Calibri" w:hAnsi="Garamond" w:cs="Arial"/>
          <w:sz w:val="24"/>
          <w:szCs w:val="24"/>
        </w:rPr>
        <w:t xml:space="preserve">dos seguintes </w:t>
      </w:r>
      <w:r w:rsidR="00973DDE" w:rsidRPr="003A1174">
        <w:rPr>
          <w:rFonts w:ascii="Garamond" w:eastAsia="Calibri" w:hAnsi="Garamond" w:cs="Arial"/>
          <w:sz w:val="24"/>
          <w:szCs w:val="24"/>
        </w:rPr>
        <w:t>assunto</w:t>
      </w:r>
      <w:r w:rsidRPr="003A1174">
        <w:rPr>
          <w:rFonts w:ascii="Garamond" w:eastAsia="Calibri" w:hAnsi="Garamond" w:cs="Arial"/>
          <w:sz w:val="24"/>
          <w:szCs w:val="24"/>
        </w:rPr>
        <w:t xml:space="preserve">s: </w:t>
      </w:r>
      <w:r w:rsidR="000350B1" w:rsidRPr="003A1174">
        <w:rPr>
          <w:rFonts w:ascii="Garamond" w:eastAsia="Calibri" w:hAnsi="Garamond" w:cs="Arial"/>
          <w:sz w:val="24"/>
          <w:szCs w:val="24"/>
        </w:rPr>
        <w:t>violência</w:t>
      </w:r>
      <w:r w:rsidRPr="003A1174">
        <w:rPr>
          <w:rFonts w:ascii="Garamond" w:eastAsia="Calibri" w:hAnsi="Garamond" w:cs="Arial"/>
          <w:sz w:val="24"/>
          <w:szCs w:val="24"/>
        </w:rPr>
        <w:t xml:space="preserve"> doméstica, discrim</w:t>
      </w:r>
      <w:r w:rsidR="0076153C" w:rsidRPr="003A1174">
        <w:rPr>
          <w:rFonts w:ascii="Garamond" w:eastAsia="Calibri" w:hAnsi="Garamond" w:cs="Arial"/>
          <w:sz w:val="24"/>
          <w:szCs w:val="24"/>
        </w:rPr>
        <w:t xml:space="preserve">inação </w:t>
      </w:r>
      <w:r w:rsidRPr="003A1174">
        <w:rPr>
          <w:rFonts w:ascii="Garamond" w:eastAsia="Calibri" w:hAnsi="Garamond" w:cs="Arial"/>
          <w:sz w:val="24"/>
          <w:szCs w:val="24"/>
        </w:rPr>
        <w:t xml:space="preserve">por género, </w:t>
      </w:r>
      <w:r w:rsidR="009A0623" w:rsidRPr="003A1174">
        <w:rPr>
          <w:rFonts w:ascii="Garamond" w:eastAsia="Calibri" w:hAnsi="Garamond" w:cs="Arial"/>
          <w:sz w:val="24"/>
          <w:szCs w:val="24"/>
        </w:rPr>
        <w:t>agressão</w:t>
      </w:r>
      <w:r w:rsidRPr="003A1174">
        <w:rPr>
          <w:rFonts w:ascii="Garamond" w:eastAsia="Calibri" w:hAnsi="Garamond" w:cs="Arial"/>
          <w:sz w:val="24"/>
          <w:szCs w:val="24"/>
        </w:rPr>
        <w:t xml:space="preserve"> sexual, </w:t>
      </w:r>
      <w:r w:rsidR="003A205D">
        <w:rPr>
          <w:rFonts w:ascii="Garamond" w:eastAsia="Calibri" w:hAnsi="Garamond" w:cs="Arial"/>
          <w:sz w:val="24"/>
          <w:szCs w:val="24"/>
        </w:rPr>
        <w:t>a</w:t>
      </w:r>
      <w:r w:rsidR="001A53AD" w:rsidRPr="003A1174">
        <w:rPr>
          <w:rFonts w:ascii="Garamond" w:eastAsia="Calibri" w:hAnsi="Garamond" w:cs="Arial"/>
          <w:sz w:val="24"/>
          <w:szCs w:val="24"/>
        </w:rPr>
        <w:t xml:space="preserve">ssédio </w:t>
      </w:r>
      <w:r w:rsidR="003A205D">
        <w:rPr>
          <w:rFonts w:ascii="Garamond" w:eastAsia="Calibri" w:hAnsi="Garamond" w:cs="Arial"/>
          <w:sz w:val="24"/>
          <w:szCs w:val="24"/>
        </w:rPr>
        <w:t>s</w:t>
      </w:r>
      <w:r w:rsidR="001A53AD" w:rsidRPr="003A1174">
        <w:rPr>
          <w:rFonts w:ascii="Garamond" w:eastAsia="Calibri" w:hAnsi="Garamond" w:cs="Arial"/>
          <w:sz w:val="24"/>
          <w:szCs w:val="24"/>
        </w:rPr>
        <w:t>exual</w:t>
      </w:r>
      <w:r w:rsidRPr="003A1174">
        <w:rPr>
          <w:rFonts w:ascii="Garamond" w:eastAsia="Calibri" w:hAnsi="Garamond" w:cs="Arial"/>
          <w:sz w:val="24"/>
          <w:szCs w:val="24"/>
        </w:rPr>
        <w:t xml:space="preserve">, entre </w:t>
      </w:r>
      <w:r w:rsidR="001F2F8B" w:rsidRPr="003A1174">
        <w:rPr>
          <w:rFonts w:ascii="Garamond" w:eastAsia="Calibri" w:hAnsi="Garamond" w:cs="Arial"/>
          <w:sz w:val="24"/>
          <w:szCs w:val="24"/>
        </w:rPr>
        <w:t>outro</w:t>
      </w:r>
      <w:r w:rsidRPr="003A1174">
        <w:rPr>
          <w:rFonts w:ascii="Garamond" w:eastAsia="Calibri" w:hAnsi="Garamond" w:cs="Arial"/>
          <w:sz w:val="24"/>
          <w:szCs w:val="24"/>
        </w:rPr>
        <w:t xml:space="preserve">s: </w:t>
      </w:r>
    </w:p>
    <w:tbl>
      <w:tblPr>
        <w:tblStyle w:val="Sombreadoclaro-nfasis1"/>
        <w:tblW w:w="0" w:type="auto"/>
        <w:jc w:val="center"/>
        <w:tblLook w:val="04A0" w:firstRow="1" w:lastRow="0" w:firstColumn="1" w:lastColumn="0" w:noHBand="0" w:noVBand="1"/>
      </w:tblPr>
      <w:tblGrid>
        <w:gridCol w:w="1368"/>
        <w:gridCol w:w="6030"/>
      </w:tblGrid>
      <w:tr w:rsidR="00496CB2" w:rsidRPr="003A1174" w:rsidTr="003A205D">
        <w:trPr>
          <w:cnfStyle w:val="100000000000" w:firstRow="1" w:lastRow="0" w:firstColumn="0" w:lastColumn="0" w:oddVBand="0" w:evenVBand="0" w:oddHBand="0"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2C7510" w:rsidP="003A205D">
            <w:pPr>
              <w:tabs>
                <w:tab w:val="left" w:pos="653"/>
              </w:tabs>
              <w:jc w:val="center"/>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Ano</w:t>
            </w:r>
          </w:p>
        </w:tc>
        <w:tc>
          <w:tcPr>
            <w:tcW w:w="6030" w:type="dxa"/>
          </w:tcPr>
          <w:p w:rsidR="00496CB2" w:rsidRPr="003A1174" w:rsidRDefault="00496CB2" w:rsidP="003A205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C</w:t>
            </w:r>
            <w:r w:rsidR="003A205D">
              <w:rPr>
                <w:rFonts w:ascii="Garamond" w:eastAsia="Times New Roman" w:hAnsi="Garamond" w:cs="Arial"/>
                <w:sz w:val="24"/>
                <w:szCs w:val="24"/>
                <w:lang w:val="es-ES_tradnl"/>
              </w:rPr>
              <w:t xml:space="preserve">asos </w:t>
            </w:r>
            <w:r w:rsidRPr="003A1174">
              <w:rPr>
                <w:rFonts w:ascii="Garamond" w:eastAsia="Times New Roman" w:hAnsi="Garamond" w:cs="Arial"/>
                <w:sz w:val="24"/>
                <w:szCs w:val="24"/>
                <w:lang w:val="es-ES_tradnl"/>
              </w:rPr>
              <w:t>A</w:t>
            </w:r>
            <w:r w:rsidR="003A205D">
              <w:rPr>
                <w:rFonts w:ascii="Garamond" w:eastAsia="Times New Roman" w:hAnsi="Garamond" w:cs="Arial"/>
                <w:sz w:val="24"/>
                <w:szCs w:val="24"/>
                <w:lang w:val="es-ES_tradnl"/>
              </w:rPr>
              <w:t>tendidos</w:t>
            </w:r>
          </w:p>
        </w:tc>
      </w:tr>
      <w:tr w:rsidR="00496CB2" w:rsidRPr="003A1174" w:rsidTr="003A205D">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496CB2" w:rsidP="008719D4">
            <w:pPr>
              <w:jc w:val="both"/>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2010</w:t>
            </w:r>
          </w:p>
        </w:tc>
        <w:tc>
          <w:tcPr>
            <w:tcW w:w="6030" w:type="dxa"/>
          </w:tcPr>
          <w:p w:rsidR="00496CB2" w:rsidRPr="003A1174" w:rsidRDefault="00496CB2" w:rsidP="003A205D">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3852</w:t>
            </w:r>
          </w:p>
        </w:tc>
      </w:tr>
      <w:tr w:rsidR="00496CB2" w:rsidRPr="003A1174" w:rsidTr="003A205D">
        <w:trPr>
          <w:trHeight w:val="179"/>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496CB2" w:rsidP="008719D4">
            <w:pPr>
              <w:jc w:val="both"/>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2011</w:t>
            </w:r>
          </w:p>
        </w:tc>
        <w:tc>
          <w:tcPr>
            <w:tcW w:w="6030" w:type="dxa"/>
          </w:tcPr>
          <w:p w:rsidR="00496CB2" w:rsidRPr="003A1174" w:rsidRDefault="00496CB2" w:rsidP="003A205D">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4302</w:t>
            </w:r>
          </w:p>
        </w:tc>
      </w:tr>
      <w:tr w:rsidR="00496CB2" w:rsidRPr="003A1174" w:rsidTr="003A20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496CB2" w:rsidP="008719D4">
            <w:pPr>
              <w:jc w:val="both"/>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2012</w:t>
            </w:r>
          </w:p>
        </w:tc>
        <w:tc>
          <w:tcPr>
            <w:tcW w:w="6030" w:type="dxa"/>
          </w:tcPr>
          <w:p w:rsidR="00496CB2" w:rsidRPr="003A1174" w:rsidRDefault="00496CB2" w:rsidP="003A205D">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 xml:space="preserve">6530 </w:t>
            </w:r>
          </w:p>
        </w:tc>
      </w:tr>
      <w:tr w:rsidR="00496CB2" w:rsidRPr="003A1174" w:rsidTr="003A205D">
        <w:trPr>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496CB2" w:rsidP="008719D4">
            <w:pPr>
              <w:jc w:val="both"/>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2013</w:t>
            </w:r>
          </w:p>
        </w:tc>
        <w:tc>
          <w:tcPr>
            <w:tcW w:w="6030" w:type="dxa"/>
          </w:tcPr>
          <w:p w:rsidR="00496CB2" w:rsidRPr="003A1174" w:rsidRDefault="00496CB2" w:rsidP="003A205D">
            <w:pPr>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4"/>
                <w:szCs w:val="24"/>
              </w:rPr>
            </w:pPr>
            <w:r w:rsidRPr="003A1174">
              <w:rPr>
                <w:rFonts w:ascii="Garamond" w:eastAsia="Times New Roman" w:hAnsi="Garamond" w:cs="Arial"/>
                <w:sz w:val="24"/>
                <w:szCs w:val="24"/>
              </w:rPr>
              <w:t xml:space="preserve">6 675 (34% </w:t>
            </w:r>
            <w:r w:rsidR="00946348" w:rsidRPr="003A1174">
              <w:rPr>
                <w:rFonts w:ascii="Garamond" w:eastAsia="Times New Roman" w:hAnsi="Garamond" w:cs="Arial"/>
                <w:sz w:val="24"/>
                <w:szCs w:val="24"/>
              </w:rPr>
              <w:t>foram</w:t>
            </w:r>
            <w:r w:rsidRPr="003A1174">
              <w:rPr>
                <w:rFonts w:ascii="Garamond" w:eastAsia="Times New Roman" w:hAnsi="Garamond" w:cs="Arial"/>
                <w:sz w:val="24"/>
                <w:szCs w:val="24"/>
              </w:rPr>
              <w:t xml:space="preserve"> </w:t>
            </w:r>
            <w:r w:rsidR="003F012B" w:rsidRPr="003A1174">
              <w:rPr>
                <w:rFonts w:ascii="Garamond" w:eastAsia="Times New Roman" w:hAnsi="Garamond" w:cs="Arial"/>
                <w:sz w:val="24"/>
                <w:szCs w:val="24"/>
              </w:rPr>
              <w:t>vítima</w:t>
            </w:r>
            <w:r w:rsidRPr="003A1174">
              <w:rPr>
                <w:rFonts w:ascii="Garamond" w:eastAsia="Times New Roman" w:hAnsi="Garamond" w:cs="Arial"/>
                <w:sz w:val="24"/>
                <w:szCs w:val="24"/>
              </w:rPr>
              <w:t xml:space="preserve">s de </w:t>
            </w:r>
            <w:r w:rsidR="007A2492" w:rsidRPr="003A1174">
              <w:rPr>
                <w:rFonts w:ascii="Garamond" w:eastAsia="Times New Roman" w:hAnsi="Garamond" w:cs="Arial"/>
                <w:sz w:val="24"/>
                <w:szCs w:val="24"/>
              </w:rPr>
              <w:t>algum</w:t>
            </w:r>
            <w:r w:rsidRPr="003A1174">
              <w:rPr>
                <w:rFonts w:ascii="Garamond" w:eastAsia="Times New Roman" w:hAnsi="Garamond" w:cs="Arial"/>
                <w:sz w:val="24"/>
                <w:szCs w:val="24"/>
              </w:rPr>
              <w:t xml:space="preserve"> tipo de </w:t>
            </w:r>
            <w:r w:rsidR="000350B1" w:rsidRPr="003A1174">
              <w:rPr>
                <w:rFonts w:ascii="Garamond" w:eastAsia="Times New Roman" w:hAnsi="Garamond" w:cs="Arial"/>
                <w:sz w:val="24"/>
                <w:szCs w:val="24"/>
              </w:rPr>
              <w:t>violência</w:t>
            </w:r>
            <w:r w:rsidRPr="003A1174">
              <w:rPr>
                <w:rFonts w:ascii="Garamond" w:eastAsia="Times New Roman" w:hAnsi="Garamond" w:cs="Arial"/>
                <w:sz w:val="24"/>
                <w:szCs w:val="24"/>
              </w:rPr>
              <w:t>)</w:t>
            </w:r>
          </w:p>
        </w:tc>
      </w:tr>
      <w:tr w:rsidR="00496CB2" w:rsidRPr="003A1174" w:rsidTr="003A20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tcPr>
          <w:p w:rsidR="00496CB2" w:rsidRPr="003A1174" w:rsidRDefault="00496CB2" w:rsidP="008719D4">
            <w:pPr>
              <w:jc w:val="both"/>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2014</w:t>
            </w:r>
          </w:p>
        </w:tc>
        <w:tc>
          <w:tcPr>
            <w:tcW w:w="6030" w:type="dxa"/>
          </w:tcPr>
          <w:p w:rsidR="00496CB2" w:rsidRPr="003A1174" w:rsidRDefault="00496CB2" w:rsidP="003A205D">
            <w:pPr>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4"/>
                <w:szCs w:val="24"/>
                <w:lang w:val="es-ES_tradnl"/>
              </w:rPr>
            </w:pPr>
            <w:r w:rsidRPr="003A1174">
              <w:rPr>
                <w:rFonts w:ascii="Garamond" w:eastAsia="Times New Roman" w:hAnsi="Garamond" w:cs="Arial"/>
                <w:sz w:val="24"/>
                <w:szCs w:val="24"/>
                <w:lang w:val="es-ES_tradnl"/>
              </w:rPr>
              <w:t xml:space="preserve">1 612 </w:t>
            </w:r>
            <w:r w:rsidR="00185900" w:rsidRPr="003A1174">
              <w:rPr>
                <w:rFonts w:ascii="Garamond" w:eastAsia="Times New Roman" w:hAnsi="Garamond" w:cs="Arial"/>
                <w:sz w:val="24"/>
                <w:szCs w:val="24"/>
                <w:lang w:val="es-ES_tradnl"/>
              </w:rPr>
              <w:t>(</w:t>
            </w:r>
            <w:r w:rsidR="00B74417" w:rsidRPr="003A1174">
              <w:rPr>
                <w:rFonts w:ascii="Garamond" w:eastAsia="Times New Roman" w:hAnsi="Garamond" w:cs="Arial"/>
                <w:sz w:val="24"/>
                <w:szCs w:val="24"/>
                <w:lang w:val="es-ES_tradnl"/>
              </w:rPr>
              <w:t xml:space="preserve"> </w:t>
            </w:r>
            <w:r w:rsidR="0076153C" w:rsidRPr="003A1174">
              <w:rPr>
                <w:rFonts w:ascii="Garamond" w:eastAsia="Times New Roman" w:hAnsi="Garamond" w:cs="Arial"/>
                <w:sz w:val="24"/>
                <w:szCs w:val="24"/>
                <w:lang w:val="es-ES_tradnl"/>
              </w:rPr>
              <w:t xml:space="preserve">Até </w:t>
            </w:r>
            <w:r w:rsidRPr="003A1174">
              <w:rPr>
                <w:rFonts w:ascii="Garamond" w:eastAsia="Times New Roman" w:hAnsi="Garamond" w:cs="Arial"/>
                <w:sz w:val="24"/>
                <w:szCs w:val="24"/>
                <w:lang w:val="es-ES_tradnl"/>
              </w:rPr>
              <w:t xml:space="preserve">31 </w:t>
            </w:r>
            <w:r w:rsidR="00B74417" w:rsidRPr="003A1174">
              <w:rPr>
                <w:rFonts w:ascii="Garamond" w:eastAsia="Times New Roman" w:hAnsi="Garamond" w:cs="Arial"/>
                <w:sz w:val="24"/>
                <w:szCs w:val="24"/>
                <w:lang w:val="es-ES_tradnl"/>
              </w:rPr>
              <w:t>de</w:t>
            </w:r>
            <w:r w:rsidR="00B74417" w:rsidRPr="003A1174">
              <w:rPr>
                <w:rFonts w:ascii="Garamond" w:eastAsia="Times New Roman" w:hAnsi="Garamond" w:cs="Arial"/>
                <w:sz w:val="24"/>
                <w:szCs w:val="24"/>
              </w:rPr>
              <w:t xml:space="preserve"> </w:t>
            </w:r>
            <w:r w:rsidR="00C553E2" w:rsidRPr="003A1174">
              <w:rPr>
                <w:rFonts w:ascii="Garamond" w:eastAsia="Times New Roman" w:hAnsi="Garamond" w:cs="Arial"/>
                <w:sz w:val="24"/>
                <w:szCs w:val="24"/>
              </w:rPr>
              <w:t>março</w:t>
            </w:r>
            <w:r w:rsidRPr="003A1174">
              <w:rPr>
                <w:rFonts w:ascii="Garamond" w:eastAsia="Times New Roman" w:hAnsi="Garamond" w:cs="Arial"/>
                <w:sz w:val="24"/>
                <w:szCs w:val="24"/>
                <w:lang w:val="es-ES_tradnl"/>
              </w:rPr>
              <w:t xml:space="preserve"> de 2014 </w:t>
            </w:r>
            <w:r w:rsidR="00185900" w:rsidRPr="003A1174">
              <w:rPr>
                <w:rFonts w:ascii="Garamond" w:eastAsia="Times New Roman" w:hAnsi="Garamond" w:cs="Arial"/>
                <w:sz w:val="24"/>
                <w:szCs w:val="24"/>
                <w:lang w:val="es-ES_tradnl"/>
              </w:rPr>
              <w:t>)</w:t>
            </w:r>
          </w:p>
        </w:tc>
      </w:tr>
    </w:tbl>
    <w:p w:rsidR="00496CB2" w:rsidRPr="003A1174" w:rsidRDefault="0076153C" w:rsidP="0076153C">
      <w:pPr>
        <w:spacing w:before="240" w:line="240" w:lineRule="auto"/>
        <w:jc w:val="both"/>
        <w:rPr>
          <w:rFonts w:ascii="Garamond" w:eastAsia="Times New Roman" w:hAnsi="Garamond" w:cs="Arial"/>
          <w:sz w:val="24"/>
          <w:szCs w:val="24"/>
        </w:rPr>
      </w:pPr>
      <w:r w:rsidRPr="003A1174">
        <w:rPr>
          <w:rFonts w:ascii="Garamond" w:eastAsia="Calibri" w:hAnsi="Garamond" w:cs="Arial"/>
          <w:sz w:val="24"/>
          <w:szCs w:val="24"/>
        </w:rPr>
        <w:t xml:space="preserve">É </w:t>
      </w:r>
      <w:r w:rsidR="00496CB2" w:rsidRPr="003A1174">
        <w:rPr>
          <w:rFonts w:ascii="Garamond" w:eastAsia="Calibri" w:hAnsi="Garamond" w:cs="Arial"/>
          <w:sz w:val="24"/>
          <w:szCs w:val="24"/>
        </w:rPr>
        <w:t>importante notar que</w:t>
      </w:r>
      <w:r w:rsidR="003A205D">
        <w:rPr>
          <w:rFonts w:ascii="Garamond" w:eastAsia="Calibri" w:hAnsi="Garamond" w:cs="Arial"/>
          <w:sz w:val="24"/>
          <w:szCs w:val="24"/>
        </w:rPr>
        <w:t>,</w:t>
      </w:r>
      <w:r w:rsidR="00496CB2" w:rsidRPr="003A1174">
        <w:rPr>
          <w:rFonts w:ascii="Garamond" w:eastAsia="Calibri" w:hAnsi="Garamond" w:cs="Arial"/>
          <w:sz w:val="24"/>
          <w:szCs w:val="24"/>
        </w:rPr>
        <w:t xml:space="preserve"> desde </w:t>
      </w:r>
      <w:r w:rsidRPr="003A1174">
        <w:rPr>
          <w:rFonts w:ascii="Garamond" w:eastAsia="Calibri" w:hAnsi="Garamond" w:cs="Arial"/>
          <w:sz w:val="24"/>
          <w:szCs w:val="24"/>
        </w:rPr>
        <w:t xml:space="preserve">a </w:t>
      </w:r>
      <w:r w:rsidR="00496CB2" w:rsidRPr="003A1174">
        <w:rPr>
          <w:rFonts w:ascii="Garamond" w:eastAsia="Calibri" w:hAnsi="Garamond" w:cs="Arial"/>
          <w:sz w:val="24"/>
          <w:szCs w:val="24"/>
        </w:rPr>
        <w:t>su</w:t>
      </w:r>
      <w:r w:rsidRPr="003A1174">
        <w:rPr>
          <w:rFonts w:ascii="Garamond" w:eastAsia="Calibri" w:hAnsi="Garamond" w:cs="Arial"/>
          <w:sz w:val="24"/>
          <w:szCs w:val="24"/>
        </w:rPr>
        <w:t>a</w:t>
      </w:r>
      <w:r w:rsidR="00496CB2" w:rsidRPr="003A1174">
        <w:rPr>
          <w:rFonts w:ascii="Garamond" w:eastAsia="Calibri" w:hAnsi="Garamond" w:cs="Arial"/>
          <w:sz w:val="24"/>
          <w:szCs w:val="24"/>
        </w:rPr>
        <w:t xml:space="preserve"> </w:t>
      </w:r>
      <w:r w:rsidR="00B74417" w:rsidRPr="003A1174">
        <w:rPr>
          <w:rFonts w:ascii="Garamond" w:eastAsia="Calibri" w:hAnsi="Garamond" w:cs="Arial"/>
          <w:sz w:val="24"/>
          <w:szCs w:val="24"/>
        </w:rPr>
        <w:t>con</w:t>
      </w:r>
      <w:r w:rsidR="00496CB2" w:rsidRPr="003A1174">
        <w:rPr>
          <w:rFonts w:ascii="Garamond" w:eastAsia="Calibri" w:hAnsi="Garamond" w:cs="Arial"/>
          <w:sz w:val="24"/>
          <w:szCs w:val="24"/>
        </w:rPr>
        <w:t>ce</w:t>
      </w:r>
      <w:r w:rsidRPr="003A1174">
        <w:rPr>
          <w:rFonts w:ascii="Garamond" w:eastAsia="Calibri" w:hAnsi="Garamond" w:cs="Arial"/>
          <w:sz w:val="24"/>
          <w:szCs w:val="24"/>
        </w:rPr>
        <w:t>ção</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 xml:space="preserve">o </w:t>
      </w:r>
      <w:r w:rsidR="00496CB2" w:rsidRPr="003A1174">
        <w:rPr>
          <w:rFonts w:ascii="Garamond" w:eastAsia="Calibri" w:hAnsi="Garamond" w:cs="Arial"/>
          <w:sz w:val="24"/>
          <w:szCs w:val="24"/>
        </w:rPr>
        <w:t xml:space="preserve">número de </w:t>
      </w:r>
      <w:r w:rsidR="006C760C" w:rsidRPr="003A1174">
        <w:rPr>
          <w:rFonts w:ascii="Garamond" w:eastAsia="Calibri" w:hAnsi="Garamond" w:cs="Arial"/>
          <w:sz w:val="24"/>
          <w:szCs w:val="24"/>
        </w:rPr>
        <w:t>pessoas</w:t>
      </w:r>
      <w:r w:rsidR="003A205D">
        <w:rPr>
          <w:rFonts w:ascii="Garamond" w:eastAsia="Calibri" w:hAnsi="Garamond" w:cs="Arial"/>
          <w:sz w:val="24"/>
          <w:szCs w:val="24"/>
        </w:rPr>
        <w:t>,</w:t>
      </w:r>
      <w:r w:rsidR="00496CB2" w:rsidRPr="003A1174">
        <w:rPr>
          <w:rFonts w:ascii="Garamond" w:eastAsia="Calibri" w:hAnsi="Garamond" w:cs="Arial"/>
          <w:sz w:val="24"/>
          <w:szCs w:val="24"/>
        </w:rPr>
        <w:t xml:space="preserve"> que </w:t>
      </w:r>
      <w:r w:rsidR="000672E8" w:rsidRPr="003A1174">
        <w:rPr>
          <w:rFonts w:ascii="Garamond" w:eastAsia="Calibri" w:hAnsi="Garamond" w:cs="Arial"/>
          <w:sz w:val="24"/>
          <w:szCs w:val="24"/>
        </w:rPr>
        <w:t>ajuda</w:t>
      </w:r>
      <w:r w:rsidR="00185900" w:rsidRPr="003A1174">
        <w:rPr>
          <w:rFonts w:ascii="Garamond" w:eastAsia="Calibri" w:hAnsi="Garamond" w:cs="Arial"/>
          <w:sz w:val="24"/>
          <w:szCs w:val="24"/>
        </w:rPr>
        <w:t xml:space="preserve"> a </w:t>
      </w:r>
      <w:r w:rsidR="00D4575C" w:rsidRPr="003A1174">
        <w:rPr>
          <w:rFonts w:ascii="Garamond" w:eastAsia="Calibri" w:hAnsi="Garamond" w:cs="Arial"/>
          <w:sz w:val="24"/>
          <w:szCs w:val="24"/>
        </w:rPr>
        <w:t>linha</w:t>
      </w:r>
      <w:r w:rsidR="00185900" w:rsidRPr="003A1174">
        <w:rPr>
          <w:rFonts w:ascii="Garamond" w:eastAsia="Calibri" w:hAnsi="Garamond" w:cs="Arial"/>
          <w:sz w:val="24"/>
          <w:szCs w:val="24"/>
        </w:rPr>
        <w:t xml:space="preserve"> de </w:t>
      </w:r>
      <w:r w:rsidR="00081B57" w:rsidRPr="003A1174">
        <w:rPr>
          <w:rFonts w:ascii="Garamond" w:eastAsia="Calibri" w:hAnsi="Garamond" w:cs="Arial"/>
          <w:sz w:val="24"/>
          <w:szCs w:val="24"/>
        </w:rPr>
        <w:t>orientação</w:t>
      </w:r>
      <w:r w:rsidR="003A205D">
        <w:rPr>
          <w:rFonts w:ascii="Garamond" w:eastAsia="Calibri" w:hAnsi="Garamond" w:cs="Arial"/>
          <w:sz w:val="24"/>
          <w:szCs w:val="24"/>
        </w:rPr>
        <w:t>,</w:t>
      </w:r>
      <w:r w:rsidR="00185900" w:rsidRPr="003A1174">
        <w:rPr>
          <w:rFonts w:ascii="Garamond" w:eastAsia="Calibri" w:hAnsi="Garamond" w:cs="Arial"/>
          <w:sz w:val="24"/>
          <w:szCs w:val="24"/>
        </w:rPr>
        <w:t xml:space="preserve"> aument</w:t>
      </w:r>
      <w:r w:rsidRPr="003A1174">
        <w:rPr>
          <w:rFonts w:ascii="Garamond" w:eastAsia="Calibri" w:hAnsi="Garamond" w:cs="Arial"/>
          <w:sz w:val="24"/>
          <w:szCs w:val="24"/>
        </w:rPr>
        <w:t xml:space="preserve">ou </w:t>
      </w:r>
      <w:r w:rsidR="000672E8" w:rsidRPr="003A1174">
        <w:rPr>
          <w:rFonts w:ascii="Garamond" w:eastAsia="Calibri" w:hAnsi="Garamond" w:cs="Arial"/>
          <w:sz w:val="24"/>
          <w:szCs w:val="24"/>
        </w:rPr>
        <w:t>e</w:t>
      </w:r>
      <w:r w:rsidR="00185900" w:rsidRPr="003A1174">
        <w:rPr>
          <w:rFonts w:ascii="Garamond" w:eastAsia="Calibri" w:hAnsi="Garamond" w:cs="Arial"/>
          <w:sz w:val="24"/>
          <w:szCs w:val="24"/>
        </w:rPr>
        <w:t>,</w:t>
      </w:r>
      <w:r w:rsidR="00496CB2" w:rsidRPr="003A1174">
        <w:rPr>
          <w:rFonts w:ascii="Garamond" w:eastAsia="Calibri" w:hAnsi="Garamond" w:cs="Arial"/>
          <w:sz w:val="24"/>
          <w:szCs w:val="24"/>
        </w:rPr>
        <w:t xml:space="preserve"> como </w:t>
      </w:r>
      <w:r w:rsidR="00185900" w:rsidRPr="003A1174">
        <w:rPr>
          <w:rFonts w:ascii="Garamond" w:eastAsia="Calibri" w:hAnsi="Garamond" w:cs="Arial"/>
          <w:sz w:val="24"/>
          <w:szCs w:val="24"/>
        </w:rPr>
        <w:t xml:space="preserve">podemos </w:t>
      </w:r>
      <w:r w:rsidR="003A205D">
        <w:rPr>
          <w:rFonts w:ascii="Garamond" w:eastAsia="Calibri" w:hAnsi="Garamond" w:cs="Arial"/>
          <w:sz w:val="24"/>
          <w:szCs w:val="24"/>
        </w:rPr>
        <w:t>verifica</w:t>
      </w:r>
      <w:r w:rsidR="00185900" w:rsidRPr="003A1174">
        <w:rPr>
          <w:rFonts w:ascii="Garamond" w:eastAsia="Calibri" w:hAnsi="Garamond" w:cs="Arial"/>
          <w:sz w:val="24"/>
          <w:szCs w:val="24"/>
        </w:rPr>
        <w:t>r</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em 2013</w:t>
      </w:r>
      <w:r w:rsidR="003A205D">
        <w:rPr>
          <w:rFonts w:ascii="Garamond" w:eastAsia="Calibri" w:hAnsi="Garamond" w:cs="Arial"/>
          <w:sz w:val="24"/>
          <w:szCs w:val="24"/>
        </w:rPr>
        <w:t>,</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 xml:space="preserve">na </w:t>
      </w:r>
      <w:r w:rsidR="00496CB2" w:rsidRPr="003A1174">
        <w:rPr>
          <w:rFonts w:ascii="Garamond" w:eastAsia="Calibri" w:hAnsi="Garamond" w:cs="Arial"/>
          <w:sz w:val="24"/>
          <w:szCs w:val="24"/>
        </w:rPr>
        <w:t>su</w:t>
      </w:r>
      <w:r w:rsidRPr="003A1174">
        <w:rPr>
          <w:rFonts w:ascii="Garamond" w:eastAsia="Calibri" w:hAnsi="Garamond" w:cs="Arial"/>
          <w:sz w:val="24"/>
          <w:szCs w:val="24"/>
        </w:rPr>
        <w:t>a</w:t>
      </w:r>
      <w:r w:rsidR="00496CB2" w:rsidRPr="003A1174">
        <w:rPr>
          <w:rFonts w:ascii="Garamond" w:eastAsia="Calibri" w:hAnsi="Garamond" w:cs="Arial"/>
          <w:sz w:val="24"/>
          <w:szCs w:val="24"/>
        </w:rPr>
        <w:t xml:space="preserve"> </w:t>
      </w:r>
      <w:r w:rsidR="00233514" w:rsidRPr="003A1174">
        <w:rPr>
          <w:rFonts w:ascii="Garamond" w:eastAsia="Calibri" w:hAnsi="Garamond" w:cs="Arial"/>
          <w:sz w:val="24"/>
          <w:szCs w:val="24"/>
        </w:rPr>
        <w:t>maioria</w:t>
      </w:r>
      <w:r w:rsidR="003A205D">
        <w:rPr>
          <w:rFonts w:ascii="Garamond" w:eastAsia="Calibri" w:hAnsi="Garamond" w:cs="Arial"/>
          <w:sz w:val="24"/>
          <w:szCs w:val="24"/>
        </w:rPr>
        <w:t>,</w:t>
      </w:r>
      <w:r w:rsidR="00496CB2" w:rsidRPr="003A1174">
        <w:rPr>
          <w:rFonts w:ascii="Garamond" w:eastAsia="Calibri" w:hAnsi="Garamond" w:cs="Arial"/>
          <w:sz w:val="24"/>
          <w:szCs w:val="24"/>
        </w:rPr>
        <w:t xml:space="preserve"> </w:t>
      </w:r>
      <w:r w:rsidR="003A205D">
        <w:rPr>
          <w:rFonts w:ascii="Garamond" w:eastAsia="Calibri" w:hAnsi="Garamond" w:cs="Arial"/>
          <w:sz w:val="24"/>
          <w:szCs w:val="24"/>
        </w:rPr>
        <w:t>são</w:t>
      </w:r>
      <w:r w:rsidR="00496CB2"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w:t>
      </w:r>
      <w:r w:rsidR="003F012B" w:rsidRPr="003A1174">
        <w:rPr>
          <w:rFonts w:ascii="Garamond" w:eastAsia="Calibri" w:hAnsi="Garamond" w:cs="Arial"/>
          <w:sz w:val="24"/>
          <w:szCs w:val="24"/>
        </w:rPr>
        <w:t>vítima</w:t>
      </w:r>
      <w:r w:rsidR="00496CB2" w:rsidRPr="003A1174">
        <w:rPr>
          <w:rFonts w:ascii="Garamond" w:eastAsia="Calibri" w:hAnsi="Garamond" w:cs="Arial"/>
          <w:sz w:val="24"/>
          <w:szCs w:val="24"/>
        </w:rPr>
        <w:t xml:space="preserve">s de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w:t>
      </w:r>
      <w:r w:rsidR="00496CB2" w:rsidRPr="003A1174">
        <w:rPr>
          <w:rFonts w:ascii="Garamond" w:eastAsia="Times New Roman" w:hAnsi="Garamond" w:cs="Arial"/>
          <w:sz w:val="24"/>
          <w:szCs w:val="24"/>
        </w:rPr>
        <w:t xml:space="preserve">Precisamente, </w:t>
      </w:r>
      <w:r w:rsidR="002C7510" w:rsidRPr="003A1174">
        <w:rPr>
          <w:rFonts w:ascii="Garamond" w:eastAsia="Times New Roman" w:hAnsi="Garamond" w:cs="Arial"/>
          <w:sz w:val="24"/>
          <w:szCs w:val="24"/>
        </w:rPr>
        <w:t>graças</w:t>
      </w:r>
      <w:r w:rsidR="00185900" w:rsidRPr="003A1174">
        <w:rPr>
          <w:rFonts w:ascii="Garamond" w:eastAsia="Times New Roman" w:hAnsi="Garamond" w:cs="Arial"/>
          <w:sz w:val="24"/>
          <w:szCs w:val="24"/>
        </w:rPr>
        <w:t xml:space="preserve"> a</w:t>
      </w:r>
      <w:r w:rsidR="00496CB2" w:rsidRPr="003A1174">
        <w:rPr>
          <w:rFonts w:ascii="Garamond" w:eastAsia="Times New Roman" w:hAnsi="Garamond" w:cs="Arial"/>
          <w:sz w:val="24"/>
          <w:szCs w:val="24"/>
        </w:rPr>
        <w:t xml:space="preserve">os </w:t>
      </w:r>
      <w:r w:rsidR="00C30647" w:rsidRPr="003A1174">
        <w:rPr>
          <w:rFonts w:ascii="Garamond" w:eastAsia="Times New Roman" w:hAnsi="Garamond" w:cs="Arial"/>
          <w:sz w:val="24"/>
          <w:szCs w:val="24"/>
        </w:rPr>
        <w:t>esforço</w:t>
      </w:r>
      <w:r w:rsidR="00496CB2" w:rsidRPr="003A1174">
        <w:rPr>
          <w:rFonts w:ascii="Garamond" w:eastAsia="Times New Roman" w:hAnsi="Garamond" w:cs="Arial"/>
          <w:sz w:val="24"/>
          <w:szCs w:val="24"/>
        </w:rPr>
        <w:t xml:space="preserve">s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ao trabalho da mensagem </w:t>
      </w:r>
      <w:r w:rsidR="00496CB2" w:rsidRPr="003A1174">
        <w:rPr>
          <w:rFonts w:ascii="Garamond" w:eastAsia="Times New Roman" w:hAnsi="Garamond" w:cs="Arial"/>
          <w:sz w:val="24"/>
          <w:szCs w:val="24"/>
        </w:rPr>
        <w:t xml:space="preserve">de </w:t>
      </w:r>
      <w:r w:rsidR="007578C6" w:rsidRPr="003A1174">
        <w:rPr>
          <w:rFonts w:ascii="Garamond" w:eastAsia="Times New Roman" w:hAnsi="Garamond" w:cs="Arial"/>
          <w:sz w:val="24"/>
          <w:szCs w:val="24"/>
        </w:rPr>
        <w:t>prevenção</w:t>
      </w:r>
      <w:r w:rsidR="00496C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00081B57" w:rsidRPr="003A1174">
        <w:rPr>
          <w:rFonts w:ascii="Garamond" w:eastAsia="Times New Roman" w:hAnsi="Garamond" w:cs="Arial"/>
          <w:sz w:val="24"/>
          <w:szCs w:val="24"/>
        </w:rPr>
        <w:t>orientação</w:t>
      </w:r>
      <w:r w:rsidR="00496CB2" w:rsidRPr="003A1174">
        <w:rPr>
          <w:rFonts w:ascii="Garamond" w:eastAsia="Times New Roman" w:hAnsi="Garamond" w:cs="Arial"/>
          <w:sz w:val="24"/>
          <w:szCs w:val="24"/>
        </w:rPr>
        <w:t xml:space="preserve"> que </w:t>
      </w:r>
      <w:r w:rsidRPr="003A1174">
        <w:rPr>
          <w:rFonts w:ascii="Garamond" w:eastAsia="Times New Roman" w:hAnsi="Garamond" w:cs="Arial"/>
          <w:sz w:val="24"/>
          <w:szCs w:val="24"/>
        </w:rPr>
        <w:t>temos estabelecido</w:t>
      </w:r>
      <w:r w:rsidR="00496CB2" w:rsidRPr="003A1174">
        <w:rPr>
          <w:rFonts w:ascii="Garamond" w:eastAsia="Times New Roman" w:hAnsi="Garamond" w:cs="Arial"/>
          <w:sz w:val="24"/>
          <w:szCs w:val="24"/>
        </w:rPr>
        <w:t>, h</w:t>
      </w:r>
      <w:r w:rsidRPr="003A1174">
        <w:rPr>
          <w:rFonts w:ascii="Garamond" w:eastAsia="Times New Roman" w:hAnsi="Garamond" w:cs="Arial"/>
          <w:sz w:val="24"/>
          <w:szCs w:val="24"/>
        </w:rPr>
        <w:t xml:space="preserve">ouve uma </w:t>
      </w:r>
      <w:r w:rsidR="006B29BF" w:rsidRPr="003A1174">
        <w:rPr>
          <w:rFonts w:ascii="Garamond" w:eastAsia="Times New Roman" w:hAnsi="Garamond" w:cs="Arial"/>
          <w:sz w:val="24"/>
          <w:szCs w:val="24"/>
        </w:rPr>
        <w:t>redução</w:t>
      </w:r>
      <w:r w:rsidRPr="003A1174">
        <w:rPr>
          <w:rFonts w:ascii="Garamond" w:eastAsia="Times New Roman" w:hAnsi="Garamond" w:cs="Arial"/>
          <w:sz w:val="24"/>
          <w:szCs w:val="24"/>
        </w:rPr>
        <w:t xml:space="preserve"> contí</w:t>
      </w:r>
      <w:r w:rsidR="00496CB2" w:rsidRPr="003A1174">
        <w:rPr>
          <w:rFonts w:ascii="Garamond" w:eastAsia="Times New Roman" w:hAnsi="Garamond" w:cs="Arial"/>
          <w:sz w:val="24"/>
          <w:szCs w:val="24"/>
        </w:rPr>
        <w:t xml:space="preserve">nua </w:t>
      </w:r>
      <w:r w:rsidRPr="003A1174">
        <w:rPr>
          <w:rFonts w:ascii="Garamond" w:eastAsia="Times New Roman" w:hAnsi="Garamond" w:cs="Arial"/>
          <w:sz w:val="24"/>
          <w:szCs w:val="24"/>
        </w:rPr>
        <w:t xml:space="preserve">no </w:t>
      </w:r>
      <w:r w:rsidR="00496CB2" w:rsidRPr="003A1174">
        <w:rPr>
          <w:rFonts w:ascii="Garamond" w:eastAsia="Times New Roman" w:hAnsi="Garamond" w:cs="Arial"/>
          <w:sz w:val="24"/>
          <w:szCs w:val="24"/>
        </w:rPr>
        <w:t xml:space="preserve">número de </w:t>
      </w:r>
      <w:r w:rsidR="007C63D0" w:rsidRPr="003A1174">
        <w:rPr>
          <w:rFonts w:ascii="Garamond" w:eastAsia="Times New Roman" w:hAnsi="Garamond" w:cs="Arial"/>
          <w:sz w:val="24"/>
          <w:szCs w:val="24"/>
        </w:rPr>
        <w:t>morte</w:t>
      </w:r>
      <w:r w:rsidR="00496CB2" w:rsidRPr="003A1174">
        <w:rPr>
          <w:rFonts w:ascii="Garamond" w:eastAsia="Times New Roman" w:hAnsi="Garamond" w:cs="Arial"/>
          <w:sz w:val="24"/>
          <w:szCs w:val="24"/>
        </w:rPr>
        <w:t xml:space="preserve">s por </w:t>
      </w:r>
      <w:r w:rsidR="000350B1" w:rsidRPr="003A1174">
        <w:rPr>
          <w:rFonts w:ascii="Garamond" w:eastAsia="Times New Roman" w:hAnsi="Garamond" w:cs="Arial"/>
          <w:sz w:val="24"/>
          <w:szCs w:val="24"/>
        </w:rPr>
        <w:t>violência</w:t>
      </w:r>
      <w:r w:rsidR="00496CB2" w:rsidRPr="003A1174">
        <w:rPr>
          <w:rFonts w:ascii="Garamond" w:eastAsia="Times New Roman" w:hAnsi="Garamond" w:cs="Arial"/>
          <w:sz w:val="24"/>
          <w:szCs w:val="24"/>
        </w:rPr>
        <w:t xml:space="preserve"> doméstica e</w:t>
      </w:r>
      <w:r w:rsidRPr="003A1174">
        <w:rPr>
          <w:rFonts w:ascii="Garamond" w:eastAsia="Times New Roman" w:hAnsi="Garamond" w:cs="Arial"/>
          <w:sz w:val="24"/>
          <w:szCs w:val="24"/>
        </w:rPr>
        <w:t>m</w:t>
      </w:r>
      <w:r w:rsidR="00496CB2" w:rsidRPr="003A1174">
        <w:rPr>
          <w:rFonts w:ascii="Garamond" w:eastAsia="Times New Roman" w:hAnsi="Garamond" w:cs="Arial"/>
          <w:sz w:val="24"/>
          <w:szCs w:val="24"/>
        </w:rPr>
        <w:t xml:space="preserve"> </w:t>
      </w:r>
      <w:r w:rsidR="0017447A" w:rsidRPr="003A1174">
        <w:rPr>
          <w:rFonts w:ascii="Garamond" w:eastAsia="Times New Roman" w:hAnsi="Garamond" w:cs="Arial"/>
          <w:sz w:val="24"/>
          <w:szCs w:val="24"/>
        </w:rPr>
        <w:t>Porto</w:t>
      </w:r>
      <w:r w:rsidR="00496CB2" w:rsidRPr="003A1174">
        <w:rPr>
          <w:rFonts w:ascii="Garamond" w:eastAsia="Times New Roman" w:hAnsi="Garamond" w:cs="Arial"/>
          <w:sz w:val="24"/>
          <w:szCs w:val="24"/>
        </w:rPr>
        <w:t xml:space="preserve"> Rico.</w:t>
      </w:r>
    </w:p>
    <w:tbl>
      <w:tblPr>
        <w:tblStyle w:val="Sombreadoclaro-nfasis1"/>
        <w:tblW w:w="0" w:type="auto"/>
        <w:jc w:val="center"/>
        <w:tblLook w:val="04A0" w:firstRow="1" w:lastRow="0" w:firstColumn="1" w:lastColumn="0" w:noHBand="0" w:noVBand="1"/>
      </w:tblPr>
      <w:tblGrid>
        <w:gridCol w:w="2069"/>
        <w:gridCol w:w="3948"/>
      </w:tblGrid>
      <w:tr w:rsidR="00496CB2" w:rsidRPr="003A1174" w:rsidTr="003A205D">
        <w:trPr>
          <w:cnfStyle w:val="100000000000" w:firstRow="1" w:lastRow="0" w:firstColumn="0" w:lastColumn="0" w:oddVBand="0" w:evenVBand="0" w:oddHBand="0"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2069" w:type="dxa"/>
          </w:tcPr>
          <w:p w:rsidR="00496CB2" w:rsidRPr="003A1174" w:rsidRDefault="00496CB2" w:rsidP="008719D4">
            <w:pPr>
              <w:jc w:val="center"/>
              <w:rPr>
                <w:rFonts w:ascii="Garamond" w:eastAsia="Calibri" w:hAnsi="Garamond" w:cs="Arial"/>
                <w:sz w:val="24"/>
                <w:szCs w:val="24"/>
              </w:rPr>
            </w:pPr>
          </w:p>
          <w:p w:rsidR="00496CB2" w:rsidRPr="003A1174" w:rsidRDefault="002C7510" w:rsidP="008719D4">
            <w:pPr>
              <w:jc w:val="center"/>
              <w:rPr>
                <w:rFonts w:ascii="Garamond" w:eastAsia="Calibri" w:hAnsi="Garamond" w:cs="Arial"/>
                <w:sz w:val="24"/>
                <w:szCs w:val="24"/>
                <w:lang w:val="es-ES_tradnl"/>
              </w:rPr>
            </w:pPr>
            <w:r w:rsidRPr="003A1174">
              <w:rPr>
                <w:rFonts w:ascii="Garamond" w:eastAsia="Calibri" w:hAnsi="Garamond" w:cs="Arial"/>
                <w:sz w:val="24"/>
                <w:szCs w:val="24"/>
                <w:lang w:val="es-ES_tradnl"/>
              </w:rPr>
              <w:t>Ano</w:t>
            </w:r>
            <w:r w:rsidR="00496CB2" w:rsidRPr="003A1174">
              <w:rPr>
                <w:rFonts w:ascii="Garamond" w:eastAsia="Calibri" w:hAnsi="Garamond" w:cs="Arial"/>
                <w:sz w:val="24"/>
                <w:szCs w:val="24"/>
                <w:lang w:val="es-ES_tradnl"/>
              </w:rPr>
              <w:t>s</w:t>
            </w:r>
          </w:p>
        </w:tc>
        <w:tc>
          <w:tcPr>
            <w:tcW w:w="3948" w:type="dxa"/>
          </w:tcPr>
          <w:p w:rsidR="00496CB2" w:rsidRPr="003A1174" w:rsidRDefault="00496CB2" w:rsidP="008719D4">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Arial"/>
                <w:sz w:val="24"/>
                <w:szCs w:val="24"/>
              </w:rPr>
            </w:pPr>
          </w:p>
          <w:p w:rsidR="00496CB2" w:rsidRPr="003A1174" w:rsidRDefault="007C63D0" w:rsidP="008719D4">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Arial"/>
                <w:sz w:val="24"/>
                <w:szCs w:val="24"/>
                <w:lang w:val="es-ES_tradnl"/>
              </w:rPr>
            </w:pPr>
            <w:r w:rsidRPr="003A1174">
              <w:rPr>
                <w:rFonts w:ascii="Garamond" w:eastAsia="Calibri" w:hAnsi="Garamond" w:cs="Arial"/>
                <w:sz w:val="24"/>
                <w:szCs w:val="24"/>
              </w:rPr>
              <w:t>Morte</w:t>
            </w:r>
            <w:r w:rsidR="00496CB2" w:rsidRPr="003A1174">
              <w:rPr>
                <w:rFonts w:ascii="Garamond" w:eastAsia="Calibri" w:hAnsi="Garamond" w:cs="Arial"/>
                <w:sz w:val="24"/>
                <w:szCs w:val="24"/>
              </w:rPr>
              <w:t>s</w:t>
            </w:r>
            <w:r w:rsidR="00496CB2" w:rsidRPr="003A1174">
              <w:rPr>
                <w:rFonts w:ascii="Garamond" w:eastAsia="Calibri" w:hAnsi="Garamond" w:cs="Arial"/>
                <w:sz w:val="24"/>
                <w:szCs w:val="24"/>
                <w:lang w:val="es-ES_tradnl"/>
              </w:rPr>
              <w:t xml:space="preserve"> </w:t>
            </w:r>
            <w:r w:rsidR="00D37CF3" w:rsidRPr="003A1174">
              <w:rPr>
                <w:rFonts w:ascii="Garamond" w:eastAsia="Calibri" w:hAnsi="Garamond" w:cs="Arial"/>
                <w:sz w:val="24"/>
                <w:szCs w:val="24"/>
                <w:lang w:val="es-ES_tradnl"/>
              </w:rPr>
              <w:t>por Violência</w:t>
            </w:r>
            <w:r w:rsidR="00496CB2" w:rsidRPr="003A1174">
              <w:rPr>
                <w:rFonts w:ascii="Garamond" w:eastAsia="Calibri" w:hAnsi="Garamond" w:cs="Arial"/>
                <w:sz w:val="24"/>
                <w:szCs w:val="24"/>
                <w:lang w:val="es-ES_tradnl"/>
              </w:rPr>
              <w:t xml:space="preserve"> Doméstica</w:t>
            </w:r>
          </w:p>
        </w:tc>
      </w:tr>
      <w:tr w:rsidR="00496CB2" w:rsidRPr="003A1174" w:rsidTr="003A205D">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2069" w:type="dxa"/>
          </w:tcPr>
          <w:p w:rsidR="00496CB2" w:rsidRPr="003A1174" w:rsidRDefault="00496CB2" w:rsidP="008719D4">
            <w:pPr>
              <w:jc w:val="center"/>
              <w:rPr>
                <w:rFonts w:ascii="Garamond" w:eastAsia="Calibri" w:hAnsi="Garamond" w:cs="Arial"/>
                <w:sz w:val="24"/>
                <w:szCs w:val="24"/>
                <w:lang w:val="es-ES_tradnl"/>
              </w:rPr>
            </w:pPr>
            <w:r w:rsidRPr="003A1174">
              <w:rPr>
                <w:rFonts w:ascii="Garamond" w:eastAsia="Calibri" w:hAnsi="Garamond" w:cs="Arial"/>
                <w:sz w:val="24"/>
                <w:szCs w:val="24"/>
                <w:lang w:val="es-ES_tradnl"/>
              </w:rPr>
              <w:t>2011</w:t>
            </w:r>
          </w:p>
        </w:tc>
        <w:tc>
          <w:tcPr>
            <w:tcW w:w="3948" w:type="dxa"/>
          </w:tcPr>
          <w:p w:rsidR="00496CB2" w:rsidRPr="003A1174" w:rsidRDefault="00496CB2" w:rsidP="008719D4">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Arial"/>
                <w:sz w:val="24"/>
                <w:szCs w:val="24"/>
                <w:lang w:val="es-ES_tradnl"/>
              </w:rPr>
            </w:pPr>
            <w:r w:rsidRPr="003A1174">
              <w:rPr>
                <w:rFonts w:ascii="Garamond" w:eastAsia="Calibri" w:hAnsi="Garamond" w:cs="Arial"/>
                <w:sz w:val="24"/>
                <w:szCs w:val="24"/>
                <w:lang w:val="es-ES_tradnl"/>
              </w:rPr>
              <w:t>26</w:t>
            </w:r>
          </w:p>
        </w:tc>
      </w:tr>
      <w:tr w:rsidR="00496CB2" w:rsidRPr="003A1174" w:rsidTr="003A205D">
        <w:trPr>
          <w:trHeight w:val="456"/>
          <w:jc w:val="center"/>
        </w:trPr>
        <w:tc>
          <w:tcPr>
            <w:cnfStyle w:val="001000000000" w:firstRow="0" w:lastRow="0" w:firstColumn="1" w:lastColumn="0" w:oddVBand="0" w:evenVBand="0" w:oddHBand="0" w:evenHBand="0" w:firstRowFirstColumn="0" w:firstRowLastColumn="0" w:lastRowFirstColumn="0" w:lastRowLastColumn="0"/>
            <w:tcW w:w="2069" w:type="dxa"/>
          </w:tcPr>
          <w:p w:rsidR="00496CB2" w:rsidRPr="003A1174" w:rsidRDefault="00496CB2" w:rsidP="008719D4">
            <w:pPr>
              <w:jc w:val="center"/>
              <w:rPr>
                <w:rFonts w:ascii="Garamond" w:eastAsia="Calibri" w:hAnsi="Garamond" w:cs="Arial"/>
                <w:sz w:val="24"/>
                <w:szCs w:val="24"/>
                <w:lang w:val="es-ES_tradnl"/>
              </w:rPr>
            </w:pPr>
            <w:r w:rsidRPr="003A1174">
              <w:rPr>
                <w:rFonts w:ascii="Garamond" w:eastAsia="Calibri" w:hAnsi="Garamond" w:cs="Arial"/>
                <w:sz w:val="24"/>
                <w:szCs w:val="24"/>
                <w:lang w:val="es-ES_tradnl"/>
              </w:rPr>
              <w:t>2012</w:t>
            </w:r>
          </w:p>
        </w:tc>
        <w:tc>
          <w:tcPr>
            <w:tcW w:w="3948" w:type="dxa"/>
          </w:tcPr>
          <w:p w:rsidR="00496CB2" w:rsidRPr="003A1174" w:rsidRDefault="00496CB2" w:rsidP="008719D4">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Arial"/>
                <w:sz w:val="24"/>
                <w:szCs w:val="24"/>
                <w:lang w:val="es-ES_tradnl"/>
              </w:rPr>
            </w:pPr>
            <w:r w:rsidRPr="003A1174">
              <w:rPr>
                <w:rFonts w:ascii="Garamond" w:eastAsia="Calibri" w:hAnsi="Garamond" w:cs="Arial"/>
                <w:sz w:val="24"/>
                <w:szCs w:val="24"/>
                <w:lang w:val="es-ES_tradnl"/>
              </w:rPr>
              <w:t>21</w:t>
            </w:r>
          </w:p>
        </w:tc>
      </w:tr>
      <w:tr w:rsidR="00496CB2" w:rsidRPr="003A1174" w:rsidTr="003A205D">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069" w:type="dxa"/>
          </w:tcPr>
          <w:p w:rsidR="00496CB2" w:rsidRPr="003A1174" w:rsidRDefault="00496CB2" w:rsidP="008719D4">
            <w:pPr>
              <w:jc w:val="center"/>
              <w:rPr>
                <w:rFonts w:ascii="Garamond" w:eastAsia="Calibri" w:hAnsi="Garamond" w:cs="Arial"/>
                <w:sz w:val="24"/>
                <w:szCs w:val="24"/>
                <w:lang w:val="es-ES_tradnl"/>
              </w:rPr>
            </w:pPr>
            <w:r w:rsidRPr="003A1174">
              <w:rPr>
                <w:rFonts w:ascii="Garamond" w:eastAsia="Calibri" w:hAnsi="Garamond" w:cs="Arial"/>
                <w:sz w:val="24"/>
                <w:szCs w:val="24"/>
                <w:lang w:val="es-ES_tradnl"/>
              </w:rPr>
              <w:t>2013</w:t>
            </w:r>
          </w:p>
        </w:tc>
        <w:tc>
          <w:tcPr>
            <w:tcW w:w="3948" w:type="dxa"/>
          </w:tcPr>
          <w:p w:rsidR="00496CB2" w:rsidRPr="003A1174" w:rsidRDefault="00496CB2" w:rsidP="008719D4">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Arial"/>
                <w:sz w:val="24"/>
                <w:szCs w:val="24"/>
                <w:lang w:val="es-ES_tradnl"/>
              </w:rPr>
            </w:pPr>
            <w:r w:rsidRPr="003A1174">
              <w:rPr>
                <w:rFonts w:ascii="Garamond" w:eastAsia="Calibri" w:hAnsi="Garamond" w:cs="Arial"/>
                <w:sz w:val="24"/>
                <w:szCs w:val="24"/>
                <w:lang w:val="es-ES_tradnl"/>
              </w:rPr>
              <w:t>17</w:t>
            </w:r>
          </w:p>
        </w:tc>
      </w:tr>
      <w:tr w:rsidR="00496CB2" w:rsidRPr="003A1174" w:rsidTr="003A205D">
        <w:trPr>
          <w:trHeight w:val="456"/>
          <w:jc w:val="center"/>
        </w:trPr>
        <w:tc>
          <w:tcPr>
            <w:cnfStyle w:val="001000000000" w:firstRow="0" w:lastRow="0" w:firstColumn="1" w:lastColumn="0" w:oddVBand="0" w:evenVBand="0" w:oddHBand="0" w:evenHBand="0" w:firstRowFirstColumn="0" w:firstRowLastColumn="0" w:lastRowFirstColumn="0" w:lastRowLastColumn="0"/>
            <w:tcW w:w="2069" w:type="dxa"/>
          </w:tcPr>
          <w:p w:rsidR="00496CB2" w:rsidRPr="003A1174" w:rsidRDefault="00496CB2" w:rsidP="008719D4">
            <w:pPr>
              <w:jc w:val="center"/>
              <w:rPr>
                <w:rFonts w:ascii="Garamond" w:eastAsia="Calibri" w:hAnsi="Garamond" w:cs="Arial"/>
                <w:sz w:val="24"/>
                <w:szCs w:val="24"/>
                <w:lang w:val="es-ES_tradnl"/>
              </w:rPr>
            </w:pPr>
            <w:r w:rsidRPr="003A1174">
              <w:rPr>
                <w:rFonts w:ascii="Garamond" w:eastAsia="Calibri" w:hAnsi="Garamond" w:cs="Arial"/>
                <w:sz w:val="24"/>
                <w:szCs w:val="24"/>
                <w:lang w:val="es-ES_tradnl"/>
              </w:rPr>
              <w:lastRenderedPageBreak/>
              <w:t>2014</w:t>
            </w:r>
          </w:p>
        </w:tc>
        <w:tc>
          <w:tcPr>
            <w:tcW w:w="3948" w:type="dxa"/>
          </w:tcPr>
          <w:p w:rsidR="00496CB2" w:rsidRPr="003A1174" w:rsidRDefault="00496CB2" w:rsidP="008719D4">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Arial"/>
                <w:sz w:val="24"/>
                <w:szCs w:val="24"/>
                <w:lang w:val="es-ES_tradnl"/>
              </w:rPr>
            </w:pPr>
            <w:r w:rsidRPr="003A1174">
              <w:rPr>
                <w:rFonts w:ascii="Garamond" w:eastAsia="Calibri" w:hAnsi="Garamond" w:cs="Arial"/>
                <w:sz w:val="24"/>
                <w:szCs w:val="24"/>
                <w:lang w:val="es-ES_tradnl"/>
              </w:rPr>
              <w:t>6*</w:t>
            </w:r>
          </w:p>
        </w:tc>
      </w:tr>
    </w:tbl>
    <w:p w:rsidR="00496CB2" w:rsidRPr="003A1174" w:rsidRDefault="00496CB2"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lang w:val="es-ES_tradnl"/>
        </w:rPr>
        <w:t xml:space="preserve">                                               </w:t>
      </w:r>
      <w:r w:rsidRPr="003A1174">
        <w:rPr>
          <w:rFonts w:ascii="Garamond" w:eastAsia="Calibri" w:hAnsi="Garamond" w:cs="Arial"/>
          <w:sz w:val="24"/>
          <w:szCs w:val="24"/>
        </w:rPr>
        <w:t xml:space="preserve">* a 31 de </w:t>
      </w:r>
      <w:r w:rsidR="00C553E2" w:rsidRPr="003A1174">
        <w:rPr>
          <w:rFonts w:ascii="Garamond" w:eastAsia="Calibri" w:hAnsi="Garamond" w:cs="Arial"/>
          <w:sz w:val="24"/>
          <w:szCs w:val="24"/>
        </w:rPr>
        <w:t>março</w:t>
      </w:r>
      <w:r w:rsidRPr="003A1174">
        <w:rPr>
          <w:rFonts w:ascii="Garamond" w:eastAsia="Calibri" w:hAnsi="Garamond" w:cs="Arial"/>
          <w:sz w:val="24"/>
          <w:szCs w:val="24"/>
        </w:rPr>
        <w:t xml:space="preserve"> de 2014</w:t>
      </w:r>
    </w:p>
    <w:p w:rsidR="001D73BA" w:rsidRPr="003A1174" w:rsidRDefault="0076153C"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 xml:space="preserve">A </w:t>
      </w:r>
      <w:r w:rsidR="00185900" w:rsidRPr="003A1174">
        <w:rPr>
          <w:rFonts w:ascii="Garamond" w:eastAsia="Calibri" w:hAnsi="Garamond" w:cs="Arial"/>
          <w:sz w:val="24"/>
          <w:szCs w:val="24"/>
        </w:rPr>
        <w:t xml:space="preserve">OPM </w:t>
      </w:r>
      <w:r w:rsidR="00E305B4">
        <w:rPr>
          <w:rFonts w:ascii="Garamond" w:eastAsia="Calibri" w:hAnsi="Garamond" w:cs="Arial"/>
          <w:sz w:val="24"/>
          <w:szCs w:val="24"/>
        </w:rPr>
        <w:t xml:space="preserve">foi, </w:t>
      </w:r>
      <w:r w:rsidR="000350B1" w:rsidRPr="003A1174">
        <w:rPr>
          <w:rFonts w:ascii="Garamond" w:eastAsia="Calibri" w:hAnsi="Garamond" w:cs="Arial"/>
          <w:sz w:val="24"/>
          <w:szCs w:val="24"/>
        </w:rPr>
        <w:t>também</w:t>
      </w:r>
      <w:r w:rsidR="00E305B4">
        <w:rPr>
          <w:rFonts w:ascii="Garamond" w:eastAsia="Calibri" w:hAnsi="Garamond" w:cs="Arial"/>
          <w:sz w:val="24"/>
          <w:szCs w:val="24"/>
        </w:rPr>
        <w:t>,</w:t>
      </w:r>
      <w:r w:rsidRPr="003A1174">
        <w:rPr>
          <w:rFonts w:ascii="Garamond" w:eastAsia="Calibri" w:hAnsi="Garamond" w:cs="Arial"/>
          <w:sz w:val="24"/>
          <w:szCs w:val="24"/>
        </w:rPr>
        <w:t xml:space="preserve"> </w:t>
      </w:r>
      <w:r w:rsidR="00FC1F7F" w:rsidRPr="003A1174">
        <w:rPr>
          <w:rFonts w:ascii="Garamond" w:eastAsia="Calibri" w:hAnsi="Garamond" w:cs="Arial"/>
          <w:sz w:val="24"/>
          <w:szCs w:val="24"/>
        </w:rPr>
        <w:t>responsável</w:t>
      </w:r>
      <w:r w:rsidR="00496CB2" w:rsidRPr="003A1174">
        <w:rPr>
          <w:rFonts w:ascii="Garamond" w:eastAsia="Calibri" w:hAnsi="Garamond" w:cs="Arial"/>
          <w:sz w:val="24"/>
          <w:szCs w:val="24"/>
        </w:rPr>
        <w:t xml:space="preserve"> </w:t>
      </w:r>
      <w:r w:rsidRPr="003A1174">
        <w:rPr>
          <w:rFonts w:ascii="Garamond" w:eastAsia="Calibri" w:hAnsi="Garamond" w:cs="Arial"/>
          <w:sz w:val="24"/>
          <w:szCs w:val="24"/>
        </w:rPr>
        <w:t xml:space="preserve">por </w:t>
      </w:r>
      <w:r w:rsidR="00496CB2" w:rsidRPr="003A1174">
        <w:rPr>
          <w:rFonts w:ascii="Garamond" w:eastAsia="Calibri" w:hAnsi="Garamond" w:cs="Arial"/>
          <w:sz w:val="24"/>
          <w:szCs w:val="24"/>
        </w:rPr>
        <w:t xml:space="preserve">numerosas </w:t>
      </w:r>
      <w:r w:rsidR="00B830CA" w:rsidRPr="003A1174">
        <w:rPr>
          <w:rFonts w:ascii="Garamond" w:eastAsia="Calibri" w:hAnsi="Garamond" w:cs="Arial"/>
          <w:sz w:val="24"/>
          <w:szCs w:val="24"/>
        </w:rPr>
        <w:t>conferência</w:t>
      </w:r>
      <w:r w:rsidR="00496CB2" w:rsidRPr="003A1174">
        <w:rPr>
          <w:rFonts w:ascii="Garamond" w:eastAsia="Calibri" w:hAnsi="Garamond" w:cs="Arial"/>
          <w:sz w:val="24"/>
          <w:szCs w:val="24"/>
        </w:rPr>
        <w:t>s</w:t>
      </w:r>
      <w:r w:rsidR="00E305B4">
        <w:rPr>
          <w:rFonts w:ascii="Garamond" w:eastAsia="Calibri" w:hAnsi="Garamond" w:cs="Arial"/>
          <w:sz w:val="24"/>
          <w:szCs w:val="24"/>
        </w:rPr>
        <w:t>,</w:t>
      </w:r>
      <w:r w:rsidR="00496CB2" w:rsidRPr="003A1174">
        <w:rPr>
          <w:rFonts w:ascii="Garamond" w:eastAsia="Calibri" w:hAnsi="Garamond" w:cs="Arial"/>
          <w:sz w:val="24"/>
          <w:szCs w:val="24"/>
        </w:rPr>
        <w:t xml:space="preserve"> </w:t>
      </w:r>
      <w:r w:rsidR="00185900" w:rsidRPr="003A1174">
        <w:rPr>
          <w:rFonts w:ascii="Garamond" w:eastAsia="Calibri" w:hAnsi="Garamond" w:cs="Arial"/>
          <w:sz w:val="24"/>
          <w:szCs w:val="24"/>
        </w:rPr>
        <w:t>destinadas a</w:t>
      </w:r>
      <w:r w:rsidR="00496CB2" w:rsidRPr="003A1174">
        <w:rPr>
          <w:rFonts w:ascii="Garamond" w:eastAsia="Calibri" w:hAnsi="Garamond" w:cs="Arial"/>
          <w:sz w:val="24"/>
          <w:szCs w:val="24"/>
        </w:rPr>
        <w:t xml:space="preserve"> educar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prevenir incidentes de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 A</w:t>
      </w:r>
      <w:r w:rsidRPr="003A1174">
        <w:rPr>
          <w:rFonts w:ascii="Garamond" w:eastAsia="Calibri" w:hAnsi="Garamond" w:cs="Arial"/>
          <w:sz w:val="24"/>
          <w:szCs w:val="24"/>
        </w:rPr>
        <w:t xml:space="preserve">lém de ser uma entidade controladora, </w:t>
      </w:r>
      <w:r w:rsidR="00496CB2" w:rsidRPr="003A1174">
        <w:rPr>
          <w:rFonts w:ascii="Garamond" w:eastAsia="Calibri" w:hAnsi="Garamond" w:cs="Arial"/>
          <w:sz w:val="24"/>
          <w:szCs w:val="24"/>
        </w:rPr>
        <w:t xml:space="preserve">a OPM </w:t>
      </w:r>
      <w:r w:rsidRPr="003A1174">
        <w:rPr>
          <w:rFonts w:ascii="Garamond" w:eastAsia="Calibri" w:hAnsi="Garamond" w:cs="Arial"/>
          <w:sz w:val="24"/>
          <w:szCs w:val="24"/>
        </w:rPr>
        <w:t xml:space="preserve">tenta </w:t>
      </w:r>
      <w:r w:rsidR="000672E8" w:rsidRPr="003A1174">
        <w:rPr>
          <w:rFonts w:ascii="Garamond" w:eastAsia="Calibri" w:hAnsi="Garamond" w:cs="Arial"/>
          <w:sz w:val="24"/>
          <w:szCs w:val="24"/>
        </w:rPr>
        <w:t>ajuda</w:t>
      </w:r>
      <w:r w:rsidR="00496CB2" w:rsidRPr="003A1174">
        <w:rPr>
          <w:rFonts w:ascii="Garamond" w:eastAsia="Calibri" w:hAnsi="Garamond" w:cs="Arial"/>
          <w:sz w:val="24"/>
          <w:szCs w:val="24"/>
        </w:rPr>
        <w:t xml:space="preserve">r </w:t>
      </w:r>
      <w:r w:rsidR="00054EE0" w:rsidRPr="003A1174">
        <w:rPr>
          <w:rFonts w:ascii="Garamond" w:eastAsia="Calibri" w:hAnsi="Garamond" w:cs="Arial"/>
          <w:sz w:val="24"/>
          <w:szCs w:val="24"/>
        </w:rPr>
        <w:t>mulheres</w:t>
      </w:r>
      <w:r w:rsidR="00496CB2" w:rsidRPr="003A1174">
        <w:rPr>
          <w:rFonts w:ascii="Garamond" w:eastAsia="Calibri" w:hAnsi="Garamond" w:cs="Arial"/>
          <w:sz w:val="24"/>
          <w:szCs w:val="24"/>
        </w:rPr>
        <w:t xml:space="preserve"> que</w:t>
      </w:r>
      <w:r w:rsidRPr="003A1174">
        <w:rPr>
          <w:rFonts w:ascii="Garamond" w:eastAsia="Calibri" w:hAnsi="Garamond" w:cs="Arial"/>
          <w:sz w:val="24"/>
          <w:szCs w:val="24"/>
        </w:rPr>
        <w:t xml:space="preserve"> </w:t>
      </w:r>
      <w:r w:rsidR="00496CB2" w:rsidRPr="003A1174">
        <w:rPr>
          <w:rFonts w:ascii="Garamond" w:eastAsia="Calibri" w:hAnsi="Garamond" w:cs="Arial"/>
          <w:sz w:val="24"/>
          <w:szCs w:val="24"/>
        </w:rPr>
        <w:t>p</w:t>
      </w:r>
      <w:r w:rsidRPr="003A1174">
        <w:rPr>
          <w:rFonts w:ascii="Garamond" w:eastAsia="Calibri" w:hAnsi="Garamond" w:cs="Arial"/>
          <w:sz w:val="24"/>
          <w:szCs w:val="24"/>
        </w:rPr>
        <w:t>o</w:t>
      </w:r>
      <w:r w:rsidR="00E2482D">
        <w:rPr>
          <w:rFonts w:ascii="Garamond" w:eastAsia="Calibri" w:hAnsi="Garamond" w:cs="Arial"/>
          <w:sz w:val="24"/>
          <w:szCs w:val="24"/>
        </w:rPr>
        <w:t>ssa</w:t>
      </w:r>
      <w:r w:rsidRPr="003A1174">
        <w:rPr>
          <w:rFonts w:ascii="Garamond" w:eastAsia="Calibri" w:hAnsi="Garamond" w:cs="Arial"/>
          <w:sz w:val="24"/>
          <w:szCs w:val="24"/>
        </w:rPr>
        <w:t xml:space="preserve">m </w:t>
      </w:r>
      <w:r w:rsidR="00496CB2" w:rsidRPr="003A1174">
        <w:rPr>
          <w:rFonts w:ascii="Garamond" w:eastAsia="Calibri" w:hAnsi="Garamond" w:cs="Arial"/>
          <w:sz w:val="24"/>
          <w:szCs w:val="24"/>
        </w:rPr>
        <w:t>encontrar</w:t>
      </w:r>
      <w:r w:rsidR="00E305B4">
        <w:rPr>
          <w:rFonts w:ascii="Garamond" w:eastAsia="Calibri" w:hAnsi="Garamond" w:cs="Arial"/>
          <w:sz w:val="24"/>
          <w:szCs w:val="24"/>
        </w:rPr>
        <w:t>-se</w:t>
      </w:r>
      <w:r w:rsidRPr="003A1174">
        <w:rPr>
          <w:rFonts w:ascii="Garamond" w:eastAsia="Calibri" w:hAnsi="Garamond" w:cs="Arial"/>
          <w:sz w:val="24"/>
          <w:szCs w:val="24"/>
        </w:rPr>
        <w:t xml:space="preserve"> em </w:t>
      </w:r>
      <w:r w:rsidR="007342D9" w:rsidRPr="003A1174">
        <w:rPr>
          <w:rFonts w:ascii="Garamond" w:eastAsia="Calibri" w:hAnsi="Garamond" w:cs="Arial"/>
          <w:sz w:val="24"/>
          <w:szCs w:val="24"/>
        </w:rPr>
        <w:t>situações</w:t>
      </w:r>
      <w:r w:rsidR="00496CB2" w:rsidRPr="003A1174">
        <w:rPr>
          <w:rFonts w:ascii="Garamond" w:eastAsia="Calibri" w:hAnsi="Garamond" w:cs="Arial"/>
          <w:sz w:val="24"/>
          <w:szCs w:val="24"/>
        </w:rPr>
        <w:t xml:space="preserve"> abusivas, </w:t>
      </w:r>
      <w:r w:rsidR="000672E8" w:rsidRPr="003A1174">
        <w:rPr>
          <w:rFonts w:ascii="Garamond" w:eastAsia="Calibri" w:hAnsi="Garamond" w:cs="Arial"/>
          <w:sz w:val="24"/>
          <w:szCs w:val="24"/>
        </w:rPr>
        <w:t>e</w:t>
      </w:r>
      <w:r w:rsidR="00185900" w:rsidRPr="003A1174">
        <w:rPr>
          <w:rFonts w:ascii="Garamond" w:eastAsia="Calibri" w:hAnsi="Garamond" w:cs="Arial"/>
          <w:sz w:val="24"/>
          <w:szCs w:val="24"/>
        </w:rPr>
        <w:t xml:space="preserve"> </w:t>
      </w:r>
      <w:r w:rsidRPr="003A1174">
        <w:rPr>
          <w:rFonts w:ascii="Garamond" w:eastAsia="Calibri" w:hAnsi="Garamond" w:cs="Arial"/>
          <w:sz w:val="24"/>
          <w:szCs w:val="24"/>
        </w:rPr>
        <w:t xml:space="preserve">é </w:t>
      </w:r>
      <w:r w:rsidR="00185900" w:rsidRPr="003A1174">
        <w:rPr>
          <w:rFonts w:ascii="Garamond" w:eastAsia="Calibri" w:hAnsi="Garamond" w:cs="Arial"/>
          <w:sz w:val="24"/>
          <w:szCs w:val="24"/>
        </w:rPr>
        <w:t xml:space="preserve">por esta </w:t>
      </w:r>
      <w:r w:rsidR="004E3A1A" w:rsidRPr="003A1174">
        <w:rPr>
          <w:rFonts w:ascii="Garamond" w:eastAsia="Calibri" w:hAnsi="Garamond" w:cs="Arial"/>
          <w:sz w:val="24"/>
          <w:szCs w:val="24"/>
        </w:rPr>
        <w:t>razão</w:t>
      </w:r>
      <w:r w:rsidR="00185900" w:rsidRPr="003A1174">
        <w:rPr>
          <w:rFonts w:ascii="Garamond" w:eastAsia="Calibri" w:hAnsi="Garamond" w:cs="Arial"/>
          <w:sz w:val="24"/>
          <w:szCs w:val="24"/>
        </w:rPr>
        <w:t xml:space="preserve"> </w:t>
      </w:r>
      <w:r w:rsidR="00496CB2" w:rsidRPr="003A1174">
        <w:rPr>
          <w:rFonts w:ascii="Garamond" w:eastAsia="Calibri" w:hAnsi="Garamond" w:cs="Arial"/>
          <w:sz w:val="24"/>
          <w:szCs w:val="24"/>
        </w:rPr>
        <w:t xml:space="preserve">que </w:t>
      </w:r>
      <w:r w:rsidRPr="003A1174">
        <w:rPr>
          <w:rFonts w:ascii="Garamond" w:eastAsia="Calibri" w:hAnsi="Garamond" w:cs="Arial"/>
          <w:sz w:val="24"/>
          <w:szCs w:val="24"/>
        </w:rPr>
        <w:t xml:space="preserve">procura, todos os anos, provocar um maior </w:t>
      </w:r>
      <w:r w:rsidR="00496CB2" w:rsidRPr="003A1174">
        <w:rPr>
          <w:rFonts w:ascii="Garamond" w:eastAsia="Calibri" w:hAnsi="Garamond" w:cs="Arial"/>
          <w:sz w:val="24"/>
          <w:szCs w:val="24"/>
        </w:rPr>
        <w:t>impac</w:t>
      </w:r>
      <w:r w:rsidR="00185900" w:rsidRPr="003A1174">
        <w:rPr>
          <w:rFonts w:ascii="Garamond" w:eastAsia="Calibri" w:hAnsi="Garamond" w:cs="Arial"/>
          <w:sz w:val="24"/>
          <w:szCs w:val="24"/>
        </w:rPr>
        <w:t>t</w:t>
      </w:r>
      <w:r w:rsidRPr="003A1174">
        <w:rPr>
          <w:rFonts w:ascii="Garamond" w:eastAsia="Calibri" w:hAnsi="Garamond" w:cs="Arial"/>
          <w:sz w:val="24"/>
          <w:szCs w:val="24"/>
        </w:rPr>
        <w:t xml:space="preserve">o </w:t>
      </w:r>
      <w:r w:rsidR="00496CB2" w:rsidRPr="003A1174">
        <w:rPr>
          <w:rFonts w:ascii="Garamond" w:eastAsia="Calibri" w:hAnsi="Garamond" w:cs="Arial"/>
          <w:sz w:val="24"/>
          <w:szCs w:val="24"/>
        </w:rPr>
        <w:t>a</w:t>
      </w:r>
      <w:r w:rsidR="00E2482D">
        <w:rPr>
          <w:rFonts w:ascii="Garamond" w:eastAsia="Calibri" w:hAnsi="Garamond" w:cs="Arial"/>
          <w:sz w:val="24"/>
          <w:szCs w:val="24"/>
        </w:rPr>
        <w:t>o maior</w:t>
      </w:r>
      <w:r w:rsidR="00E305B4">
        <w:rPr>
          <w:rFonts w:ascii="Garamond" w:eastAsia="Calibri" w:hAnsi="Garamond" w:cs="Arial"/>
          <w:sz w:val="24"/>
          <w:szCs w:val="24"/>
        </w:rPr>
        <w:t xml:space="preserve"> </w:t>
      </w:r>
      <w:r w:rsidR="00E2482D">
        <w:rPr>
          <w:rFonts w:ascii="Garamond" w:eastAsia="Calibri" w:hAnsi="Garamond" w:cs="Arial"/>
          <w:sz w:val="24"/>
          <w:szCs w:val="24"/>
        </w:rPr>
        <w:t>número de</w:t>
      </w:r>
      <w:r w:rsidR="00496CB2" w:rsidRPr="003A1174">
        <w:rPr>
          <w:rFonts w:ascii="Garamond" w:eastAsia="Calibri" w:hAnsi="Garamond" w:cs="Arial"/>
          <w:sz w:val="24"/>
          <w:szCs w:val="24"/>
        </w:rPr>
        <w:t xml:space="preserve"> </w:t>
      </w:r>
      <w:r w:rsidR="006C760C" w:rsidRPr="003A1174">
        <w:rPr>
          <w:rFonts w:ascii="Garamond" w:eastAsia="Calibri" w:hAnsi="Garamond" w:cs="Arial"/>
          <w:sz w:val="24"/>
          <w:szCs w:val="24"/>
        </w:rPr>
        <w:t>pessoas</w:t>
      </w:r>
      <w:r w:rsidR="001D73BA" w:rsidRPr="003A1174">
        <w:rPr>
          <w:rFonts w:ascii="Garamond" w:eastAsia="Calibri" w:hAnsi="Garamond" w:cs="Arial"/>
          <w:sz w:val="24"/>
          <w:szCs w:val="24"/>
        </w:rPr>
        <w:t>.</w:t>
      </w:r>
    </w:p>
    <w:p w:rsidR="007E4CED" w:rsidRPr="003A1174" w:rsidRDefault="0076153C" w:rsidP="008719D4">
      <w:pPr>
        <w:spacing w:before="240" w:line="240" w:lineRule="auto"/>
        <w:jc w:val="both"/>
        <w:rPr>
          <w:rFonts w:ascii="Garamond" w:eastAsia="Calibri" w:hAnsi="Garamond" w:cs="Arial"/>
          <w:sz w:val="24"/>
          <w:szCs w:val="24"/>
        </w:rPr>
      </w:pPr>
      <w:r w:rsidRPr="003A1174">
        <w:rPr>
          <w:rFonts w:ascii="Garamond" w:eastAsia="Calibri" w:hAnsi="Garamond" w:cs="Arial"/>
          <w:sz w:val="24"/>
          <w:szCs w:val="24"/>
        </w:rPr>
        <w:t>Relativamente ao trabalho de fiscaliza</w:t>
      </w:r>
      <w:r w:rsidR="00E305B4">
        <w:rPr>
          <w:rFonts w:ascii="Garamond" w:eastAsia="Calibri" w:hAnsi="Garamond" w:cs="Arial"/>
          <w:sz w:val="24"/>
          <w:szCs w:val="24"/>
        </w:rPr>
        <w:t>ção</w:t>
      </w:r>
      <w:r w:rsidRPr="003A1174">
        <w:rPr>
          <w:rFonts w:ascii="Garamond" w:eastAsia="Calibri" w:hAnsi="Garamond" w:cs="Arial"/>
          <w:sz w:val="24"/>
          <w:szCs w:val="24"/>
        </w:rPr>
        <w:t xml:space="preserve">, a OPM </w:t>
      </w:r>
      <w:r w:rsidR="00496CB2" w:rsidRPr="003A1174">
        <w:rPr>
          <w:rFonts w:ascii="Garamond" w:eastAsia="Calibri" w:hAnsi="Garamond" w:cs="Arial"/>
          <w:sz w:val="24"/>
          <w:szCs w:val="24"/>
        </w:rPr>
        <w:t>encar</w:t>
      </w:r>
      <w:r w:rsidRPr="003A1174">
        <w:rPr>
          <w:rFonts w:ascii="Garamond" w:eastAsia="Calibri" w:hAnsi="Garamond" w:cs="Arial"/>
          <w:sz w:val="24"/>
          <w:szCs w:val="24"/>
        </w:rPr>
        <w:t>re</w:t>
      </w:r>
      <w:r w:rsidR="00496CB2" w:rsidRPr="003A1174">
        <w:rPr>
          <w:rFonts w:ascii="Garamond" w:eastAsia="Calibri" w:hAnsi="Garamond" w:cs="Arial"/>
          <w:sz w:val="24"/>
          <w:szCs w:val="24"/>
        </w:rPr>
        <w:t>ga</w:t>
      </w:r>
      <w:r w:rsidRPr="003A1174">
        <w:rPr>
          <w:rFonts w:ascii="Garamond" w:eastAsia="Calibri" w:hAnsi="Garamond" w:cs="Arial"/>
          <w:sz w:val="24"/>
          <w:szCs w:val="24"/>
        </w:rPr>
        <w:t>-se</w:t>
      </w:r>
      <w:r w:rsidR="00496CB2" w:rsidRPr="003A1174">
        <w:rPr>
          <w:rFonts w:ascii="Garamond" w:eastAsia="Calibri" w:hAnsi="Garamond" w:cs="Arial"/>
          <w:sz w:val="24"/>
          <w:szCs w:val="24"/>
        </w:rPr>
        <w:t xml:space="preserve"> da a</w:t>
      </w:r>
      <w:r w:rsidRPr="003A1174">
        <w:rPr>
          <w:rFonts w:ascii="Garamond" w:eastAsia="Calibri" w:hAnsi="Garamond" w:cs="Arial"/>
          <w:sz w:val="24"/>
          <w:szCs w:val="24"/>
        </w:rPr>
        <w:t xml:space="preserve">tribuição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00632851" w:rsidRPr="003A1174">
        <w:rPr>
          <w:rFonts w:ascii="Garamond" w:eastAsia="Times New Roman" w:hAnsi="Garamond" w:cs="Arial"/>
          <w:sz w:val="24"/>
          <w:szCs w:val="24"/>
        </w:rPr>
        <w:t>monotorização</w:t>
      </w:r>
      <w:r w:rsidR="00496CB2" w:rsidRPr="003A1174">
        <w:rPr>
          <w:rFonts w:ascii="Garamond" w:eastAsia="Times New Roman" w:hAnsi="Garamond" w:cs="Arial"/>
          <w:sz w:val="24"/>
          <w:szCs w:val="24"/>
        </w:rPr>
        <w:t xml:space="preserve"> de </w:t>
      </w:r>
      <w:r w:rsidR="00E560D8" w:rsidRPr="003A1174">
        <w:rPr>
          <w:rFonts w:ascii="Garamond" w:eastAsia="Times New Roman" w:hAnsi="Garamond" w:cs="Arial"/>
          <w:sz w:val="24"/>
          <w:szCs w:val="24"/>
        </w:rPr>
        <w:t>fundo</w:t>
      </w:r>
      <w:r w:rsidR="00496CB2" w:rsidRPr="003A1174">
        <w:rPr>
          <w:rFonts w:ascii="Garamond" w:eastAsia="Times New Roman" w:hAnsi="Garamond" w:cs="Arial"/>
          <w:sz w:val="24"/>
          <w:szCs w:val="24"/>
        </w:rPr>
        <w:t xml:space="preserve">s </w:t>
      </w:r>
      <w:r w:rsidR="00FC5E28" w:rsidRPr="003A1174">
        <w:rPr>
          <w:rFonts w:ascii="Garamond" w:eastAsia="Times New Roman" w:hAnsi="Garamond" w:cs="Arial"/>
          <w:sz w:val="24"/>
          <w:szCs w:val="24"/>
        </w:rPr>
        <w:t>federais</w:t>
      </w:r>
      <w:r w:rsidR="00496CB2" w:rsidRPr="003A1174">
        <w:rPr>
          <w:rFonts w:ascii="Garamond" w:eastAsia="Times New Roman" w:hAnsi="Garamond" w:cs="Arial"/>
          <w:sz w:val="24"/>
          <w:szCs w:val="24"/>
        </w:rPr>
        <w:t xml:space="preserve"> para </w:t>
      </w:r>
      <w:r w:rsidR="00EC2E68" w:rsidRPr="003A1174">
        <w:rPr>
          <w:rFonts w:ascii="Garamond" w:eastAsia="Times New Roman" w:hAnsi="Garamond" w:cs="Arial"/>
          <w:sz w:val="24"/>
          <w:szCs w:val="24"/>
        </w:rPr>
        <w:t>agência</w:t>
      </w:r>
      <w:r w:rsidR="00496CB2" w:rsidRPr="003A1174">
        <w:rPr>
          <w:rFonts w:ascii="Garamond" w:eastAsia="Times New Roman" w:hAnsi="Garamond" w:cs="Arial"/>
          <w:sz w:val="24"/>
          <w:szCs w:val="24"/>
        </w:rPr>
        <w:t>s</w:t>
      </w:r>
      <w:r w:rsidRPr="003A1174">
        <w:rPr>
          <w:rFonts w:ascii="Garamond" w:eastAsia="Times New Roman" w:hAnsi="Garamond" w:cs="Arial"/>
          <w:sz w:val="24"/>
          <w:szCs w:val="24"/>
        </w:rPr>
        <w:t>,</w:t>
      </w:r>
      <w:r w:rsidR="00496CB2" w:rsidRPr="003A1174">
        <w:rPr>
          <w:rFonts w:ascii="Garamond" w:eastAsia="Times New Roman" w:hAnsi="Garamond" w:cs="Arial"/>
          <w:sz w:val="24"/>
          <w:szCs w:val="24"/>
        </w:rPr>
        <w:t xml:space="preserve"> </w:t>
      </w:r>
      <w:r w:rsidRPr="003A1174">
        <w:rPr>
          <w:rFonts w:ascii="Garamond" w:eastAsia="Times New Roman" w:hAnsi="Garamond" w:cs="Arial"/>
          <w:sz w:val="24"/>
          <w:szCs w:val="24"/>
        </w:rPr>
        <w:t>para o</w:t>
      </w:r>
      <w:r w:rsidR="00185900" w:rsidRPr="003A1174">
        <w:rPr>
          <w:rFonts w:ascii="Garamond" w:eastAsia="Times New Roman" w:hAnsi="Garamond" w:cs="Arial"/>
          <w:sz w:val="24"/>
          <w:szCs w:val="24"/>
        </w:rPr>
        <w:t xml:space="preserve"> </w:t>
      </w:r>
      <w:r w:rsidR="00496CB2" w:rsidRPr="003A1174">
        <w:rPr>
          <w:rFonts w:ascii="Garamond" w:eastAsia="Times New Roman" w:hAnsi="Garamond" w:cs="Arial"/>
          <w:sz w:val="24"/>
          <w:szCs w:val="24"/>
        </w:rPr>
        <w:t xml:space="preserve">Departamento de </w:t>
      </w:r>
      <w:r w:rsidR="00FC1F7F" w:rsidRPr="003A1174">
        <w:rPr>
          <w:rFonts w:ascii="Garamond" w:eastAsia="Times New Roman" w:hAnsi="Garamond" w:cs="Arial"/>
          <w:sz w:val="24"/>
          <w:szCs w:val="24"/>
        </w:rPr>
        <w:t>Justiça</w:t>
      </w:r>
      <w:r w:rsidR="00496CB2" w:rsidRPr="003A1174">
        <w:rPr>
          <w:rFonts w:ascii="Garamond" w:eastAsia="Times New Roman" w:hAnsi="Garamond" w:cs="Arial"/>
          <w:sz w:val="24"/>
          <w:szCs w:val="24"/>
        </w:rPr>
        <w:t xml:space="preserve">, </w:t>
      </w:r>
      <w:r w:rsidR="00E305B4">
        <w:rPr>
          <w:rFonts w:ascii="Garamond" w:eastAsia="Times New Roman" w:hAnsi="Garamond" w:cs="Arial"/>
          <w:sz w:val="24"/>
          <w:szCs w:val="24"/>
        </w:rPr>
        <w:t xml:space="preserve">para </w:t>
      </w:r>
      <w:r w:rsidR="00496CB2" w:rsidRPr="003A1174">
        <w:rPr>
          <w:rFonts w:ascii="Garamond" w:eastAsia="Times New Roman" w:hAnsi="Garamond" w:cs="Arial"/>
          <w:sz w:val="24"/>
          <w:szCs w:val="24"/>
        </w:rPr>
        <w:t xml:space="preserve">a </w:t>
      </w:r>
      <w:r w:rsidR="00CF42A3" w:rsidRPr="003A1174">
        <w:rPr>
          <w:rFonts w:ascii="Garamond" w:eastAsia="Times New Roman" w:hAnsi="Garamond" w:cs="Arial"/>
          <w:sz w:val="24"/>
          <w:szCs w:val="24"/>
        </w:rPr>
        <w:t>Polícia</w:t>
      </w:r>
      <w:r w:rsidR="00496CB2" w:rsidRPr="003A1174">
        <w:rPr>
          <w:rFonts w:ascii="Garamond" w:eastAsia="Times New Roman" w:hAnsi="Garamond" w:cs="Arial"/>
          <w:sz w:val="24"/>
          <w:szCs w:val="24"/>
        </w:rPr>
        <w:t xml:space="preserve"> de </w:t>
      </w:r>
      <w:r w:rsidR="0017447A" w:rsidRPr="003A1174">
        <w:rPr>
          <w:rFonts w:ascii="Garamond" w:eastAsia="Times New Roman" w:hAnsi="Garamond" w:cs="Arial"/>
          <w:sz w:val="24"/>
          <w:szCs w:val="24"/>
        </w:rPr>
        <w:t>Porto</w:t>
      </w:r>
      <w:r w:rsidR="00496CB2"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Rico, </w:t>
      </w:r>
      <w:r w:rsidR="00E305B4">
        <w:rPr>
          <w:rFonts w:ascii="Garamond" w:eastAsia="Times New Roman" w:hAnsi="Garamond" w:cs="Arial"/>
          <w:sz w:val="24"/>
          <w:szCs w:val="24"/>
        </w:rPr>
        <w:t xml:space="preserve">para </w:t>
      </w:r>
      <w:r w:rsidRPr="003A1174">
        <w:rPr>
          <w:rFonts w:ascii="Garamond" w:eastAsia="Times New Roman" w:hAnsi="Garamond" w:cs="Arial"/>
          <w:sz w:val="24"/>
          <w:szCs w:val="24"/>
        </w:rPr>
        <w:t>delegados</w:t>
      </w:r>
      <w:r w:rsidR="006E4BFA" w:rsidRPr="003A1174">
        <w:rPr>
          <w:rFonts w:ascii="Garamond" w:eastAsia="Times New Roman" w:hAnsi="Garamond" w:cs="Arial"/>
          <w:sz w:val="24"/>
          <w:szCs w:val="24"/>
        </w:rPr>
        <w:t xml:space="preserve"> do Ministério Público</w:t>
      </w:r>
      <w:r w:rsidR="0018590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185900" w:rsidRPr="003A1174">
        <w:rPr>
          <w:rFonts w:ascii="Garamond" w:eastAsia="Times New Roman" w:hAnsi="Garamond" w:cs="Arial"/>
          <w:sz w:val="24"/>
          <w:szCs w:val="24"/>
        </w:rPr>
        <w:t xml:space="preserve"> </w:t>
      </w:r>
      <w:r w:rsidR="00D37CF3" w:rsidRPr="003A1174">
        <w:rPr>
          <w:rFonts w:ascii="Garamond" w:eastAsia="Times New Roman" w:hAnsi="Garamond" w:cs="Arial"/>
          <w:sz w:val="24"/>
          <w:szCs w:val="24"/>
        </w:rPr>
        <w:t>juízes</w:t>
      </w:r>
      <w:r w:rsidRPr="003A1174">
        <w:rPr>
          <w:rFonts w:ascii="Garamond" w:eastAsia="Times New Roman" w:hAnsi="Garamond" w:cs="Arial"/>
          <w:sz w:val="24"/>
          <w:szCs w:val="24"/>
        </w:rPr>
        <w:t xml:space="preserve"> especializados</w:t>
      </w:r>
      <w:r w:rsidR="00185900" w:rsidRPr="003A1174">
        <w:rPr>
          <w:rFonts w:ascii="Garamond" w:eastAsia="Times New Roman" w:hAnsi="Garamond" w:cs="Arial"/>
          <w:sz w:val="24"/>
          <w:szCs w:val="24"/>
        </w:rPr>
        <w:t xml:space="preserve"> e</w:t>
      </w:r>
      <w:r w:rsidRPr="003A1174">
        <w:rPr>
          <w:rFonts w:ascii="Garamond" w:eastAsia="Times New Roman" w:hAnsi="Garamond" w:cs="Arial"/>
          <w:sz w:val="24"/>
          <w:szCs w:val="24"/>
        </w:rPr>
        <w:t xml:space="preserve">m </w:t>
      </w:r>
      <w:r w:rsidR="000350B1" w:rsidRPr="003A1174">
        <w:rPr>
          <w:rFonts w:ascii="Garamond" w:eastAsia="Times New Roman" w:hAnsi="Garamond" w:cs="Arial"/>
          <w:sz w:val="24"/>
          <w:szCs w:val="24"/>
        </w:rPr>
        <w:t>violência</w:t>
      </w:r>
      <w:r w:rsidR="00185900" w:rsidRPr="003A1174">
        <w:rPr>
          <w:rFonts w:ascii="Garamond" w:eastAsia="Times New Roman" w:hAnsi="Garamond" w:cs="Arial"/>
          <w:sz w:val="24"/>
          <w:szCs w:val="24"/>
        </w:rPr>
        <w:t xml:space="preserve"> </w:t>
      </w:r>
      <w:r w:rsidR="00496CB2" w:rsidRPr="003A1174">
        <w:rPr>
          <w:rFonts w:ascii="Garamond" w:eastAsia="Times New Roman" w:hAnsi="Garamond" w:cs="Arial"/>
          <w:sz w:val="24"/>
          <w:szCs w:val="24"/>
        </w:rPr>
        <w:t xml:space="preserve">doméstica, </w:t>
      </w:r>
      <w:r w:rsidR="009A0623" w:rsidRPr="003A1174">
        <w:rPr>
          <w:rFonts w:ascii="Garamond" w:eastAsia="Times New Roman" w:hAnsi="Garamond" w:cs="Arial"/>
          <w:sz w:val="24"/>
          <w:szCs w:val="24"/>
        </w:rPr>
        <w:t>agressão</w:t>
      </w:r>
      <w:r w:rsidR="00496CB2" w:rsidRPr="003A1174">
        <w:rPr>
          <w:rFonts w:ascii="Garamond" w:eastAsia="Times New Roman" w:hAnsi="Garamond" w:cs="Arial"/>
          <w:sz w:val="24"/>
          <w:szCs w:val="24"/>
        </w:rPr>
        <w:t xml:space="preserve"> sexual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00A13226" w:rsidRPr="003A1174">
        <w:rPr>
          <w:rFonts w:ascii="Garamond" w:eastAsia="Times New Roman" w:hAnsi="Garamond" w:cs="Arial"/>
          <w:sz w:val="24"/>
          <w:szCs w:val="24"/>
        </w:rPr>
        <w:t>ameaça</w:t>
      </w:r>
      <w:r w:rsidR="00496CB2" w:rsidRPr="003A1174">
        <w:rPr>
          <w:rFonts w:ascii="Garamond" w:eastAsia="Times New Roman" w:hAnsi="Garamond" w:cs="Arial"/>
          <w:sz w:val="24"/>
          <w:szCs w:val="24"/>
        </w:rPr>
        <w:t xml:space="preserve">. </w:t>
      </w:r>
      <w:r w:rsidR="000350B1" w:rsidRPr="003A1174">
        <w:rPr>
          <w:rFonts w:ascii="Garamond" w:eastAsia="Times New Roman" w:hAnsi="Garamond" w:cs="Arial"/>
          <w:sz w:val="24"/>
          <w:szCs w:val="24"/>
        </w:rPr>
        <w:t>Também</w:t>
      </w:r>
      <w:r w:rsidRPr="003A1174">
        <w:rPr>
          <w:rFonts w:ascii="Garamond" w:eastAsia="Times New Roman" w:hAnsi="Garamond" w:cs="Arial"/>
          <w:sz w:val="24"/>
          <w:szCs w:val="24"/>
        </w:rPr>
        <w:t xml:space="preserve"> </w:t>
      </w:r>
      <w:r w:rsidR="00E305B4">
        <w:rPr>
          <w:rFonts w:ascii="Garamond" w:eastAsia="Times New Roman" w:hAnsi="Garamond" w:cs="Arial"/>
          <w:sz w:val="24"/>
          <w:szCs w:val="24"/>
        </w:rPr>
        <w:t xml:space="preserve">fiscaliza a </w:t>
      </w:r>
      <w:r w:rsidR="00FC1F7F" w:rsidRPr="003A1174">
        <w:rPr>
          <w:rFonts w:ascii="Garamond" w:eastAsia="Times New Roman" w:hAnsi="Garamond" w:cs="Arial"/>
          <w:sz w:val="24"/>
          <w:szCs w:val="24"/>
        </w:rPr>
        <w:t>supervisão</w:t>
      </w:r>
      <w:r w:rsidR="00496CB2" w:rsidRPr="003A1174">
        <w:rPr>
          <w:rFonts w:ascii="Garamond" w:eastAsia="Times New Roman" w:hAnsi="Garamond" w:cs="Arial"/>
          <w:sz w:val="24"/>
          <w:szCs w:val="24"/>
        </w:rPr>
        <w:t xml:space="preserve"> </w:t>
      </w:r>
      <w:r w:rsidR="00D37CF3" w:rsidRPr="003A1174">
        <w:rPr>
          <w:rFonts w:ascii="Garamond" w:eastAsia="Times New Roman" w:hAnsi="Garamond" w:cs="Arial"/>
          <w:sz w:val="24"/>
          <w:szCs w:val="24"/>
        </w:rPr>
        <w:t>eletrónica</w:t>
      </w:r>
      <w:r w:rsidR="00496CB2" w:rsidRPr="003A1174">
        <w:rPr>
          <w:rFonts w:ascii="Garamond" w:eastAsia="Times New Roman" w:hAnsi="Garamond" w:cs="Arial"/>
          <w:sz w:val="24"/>
          <w:szCs w:val="24"/>
        </w:rPr>
        <w:t xml:space="preserve"> de </w:t>
      </w:r>
      <w:r w:rsidR="002D1021" w:rsidRPr="003A1174">
        <w:rPr>
          <w:rFonts w:ascii="Garamond" w:eastAsia="Times New Roman" w:hAnsi="Garamond" w:cs="Arial"/>
          <w:sz w:val="24"/>
          <w:szCs w:val="24"/>
        </w:rPr>
        <w:t>agressor</w:t>
      </w:r>
      <w:r w:rsidR="00496CB2" w:rsidRPr="003A1174">
        <w:rPr>
          <w:rFonts w:ascii="Garamond" w:eastAsia="Times New Roman" w:hAnsi="Garamond" w:cs="Arial"/>
          <w:sz w:val="24"/>
          <w:szCs w:val="24"/>
        </w:rPr>
        <w:t xml:space="preserve">es, </w:t>
      </w:r>
      <w:r w:rsidR="00D44677" w:rsidRPr="003A1174">
        <w:rPr>
          <w:rFonts w:ascii="Garamond" w:eastAsia="Times New Roman" w:hAnsi="Garamond" w:cs="Arial"/>
          <w:sz w:val="24"/>
          <w:szCs w:val="24"/>
        </w:rPr>
        <w:t>abrigo</w:t>
      </w:r>
      <w:r w:rsidR="00496CB2" w:rsidRPr="003A1174">
        <w:rPr>
          <w:rFonts w:ascii="Garamond" w:eastAsia="Times New Roman" w:hAnsi="Garamond" w:cs="Arial"/>
          <w:sz w:val="24"/>
          <w:szCs w:val="24"/>
        </w:rPr>
        <w:t xml:space="preserve">s para </w:t>
      </w:r>
      <w:r w:rsidR="003F012B" w:rsidRPr="003A1174">
        <w:rPr>
          <w:rFonts w:ascii="Garamond" w:eastAsia="Times New Roman" w:hAnsi="Garamond" w:cs="Arial"/>
          <w:sz w:val="24"/>
          <w:szCs w:val="24"/>
        </w:rPr>
        <w:t>vítima</w:t>
      </w:r>
      <w:r w:rsidR="00496CB2" w:rsidRPr="003A1174">
        <w:rPr>
          <w:rFonts w:ascii="Garamond" w:eastAsia="Times New Roman" w:hAnsi="Garamond" w:cs="Arial"/>
          <w:sz w:val="24"/>
          <w:szCs w:val="24"/>
        </w:rPr>
        <w:t>s</w:t>
      </w:r>
      <w:r w:rsidR="00E305B4">
        <w:rPr>
          <w:rFonts w:ascii="Garamond" w:eastAsia="Times New Roman" w:hAnsi="Garamond" w:cs="Arial"/>
          <w:sz w:val="24"/>
          <w:szCs w:val="24"/>
        </w:rPr>
        <w:t xml:space="preserve"> e</w:t>
      </w:r>
      <w:r w:rsidR="00496CB2" w:rsidRPr="003A1174">
        <w:rPr>
          <w:rFonts w:ascii="Garamond" w:eastAsia="Times New Roman" w:hAnsi="Garamond" w:cs="Arial"/>
          <w:sz w:val="24"/>
          <w:szCs w:val="24"/>
        </w:rPr>
        <w:t xml:space="preserve"> centros de </w:t>
      </w:r>
      <w:r w:rsidR="000672E8" w:rsidRPr="003A1174">
        <w:rPr>
          <w:rFonts w:ascii="Garamond" w:eastAsia="Times New Roman" w:hAnsi="Garamond" w:cs="Arial"/>
          <w:sz w:val="24"/>
          <w:szCs w:val="24"/>
        </w:rPr>
        <w:t>ajuda</w:t>
      </w:r>
      <w:r w:rsidR="00496CB2" w:rsidRPr="003A1174">
        <w:rPr>
          <w:rFonts w:ascii="Garamond" w:eastAsia="Times New Roman" w:hAnsi="Garamond" w:cs="Arial"/>
          <w:sz w:val="24"/>
          <w:szCs w:val="24"/>
        </w:rPr>
        <w:t xml:space="preserve"> psicológica. </w:t>
      </w:r>
    </w:p>
    <w:p w:rsidR="00496CB2" w:rsidRPr="003A1174" w:rsidRDefault="0076153C" w:rsidP="008719D4">
      <w:pPr>
        <w:spacing w:before="240" w:line="240" w:lineRule="auto"/>
        <w:jc w:val="both"/>
        <w:rPr>
          <w:rFonts w:ascii="Garamond" w:eastAsia="Calibri" w:hAnsi="Garamond" w:cs="Arial"/>
          <w:sz w:val="24"/>
          <w:szCs w:val="24"/>
        </w:rPr>
      </w:pPr>
      <w:r w:rsidRPr="005701B4">
        <w:rPr>
          <w:rFonts w:ascii="Garamond" w:eastAsia="Times New Roman" w:hAnsi="Garamond" w:cs="Arial"/>
          <w:sz w:val="24"/>
          <w:szCs w:val="24"/>
        </w:rPr>
        <w:t xml:space="preserve">O </w:t>
      </w:r>
      <w:r w:rsidR="006506C6" w:rsidRPr="005701B4">
        <w:rPr>
          <w:rFonts w:ascii="Garamond" w:eastAsia="Times New Roman" w:hAnsi="Garamond" w:cs="Arial"/>
          <w:sz w:val="24"/>
          <w:szCs w:val="24"/>
        </w:rPr>
        <w:t>Governo</w:t>
      </w:r>
      <w:r w:rsidR="00496CB2" w:rsidRPr="005701B4">
        <w:rPr>
          <w:rFonts w:ascii="Garamond" w:eastAsia="Times New Roman" w:hAnsi="Garamond" w:cs="Arial"/>
          <w:sz w:val="24"/>
          <w:szCs w:val="24"/>
        </w:rPr>
        <w:t xml:space="preserve"> de </w:t>
      </w:r>
      <w:r w:rsidR="0017447A" w:rsidRPr="005701B4">
        <w:rPr>
          <w:rFonts w:ascii="Garamond" w:eastAsia="Times New Roman" w:hAnsi="Garamond" w:cs="Arial"/>
          <w:sz w:val="24"/>
          <w:szCs w:val="24"/>
        </w:rPr>
        <w:t>Porto</w:t>
      </w:r>
      <w:r w:rsidR="00496CB2" w:rsidRPr="005701B4">
        <w:rPr>
          <w:rFonts w:ascii="Garamond" w:eastAsia="Times New Roman" w:hAnsi="Garamond" w:cs="Arial"/>
          <w:sz w:val="24"/>
          <w:szCs w:val="24"/>
        </w:rPr>
        <w:t xml:space="preserve"> Rico, por </w:t>
      </w:r>
      <w:r w:rsidR="00D4575C" w:rsidRPr="005701B4">
        <w:rPr>
          <w:rFonts w:ascii="Garamond" w:eastAsia="Times New Roman" w:hAnsi="Garamond" w:cs="Arial"/>
          <w:sz w:val="24"/>
          <w:szCs w:val="24"/>
        </w:rPr>
        <w:t>meio</w:t>
      </w:r>
      <w:r w:rsidR="00496CB2" w:rsidRPr="005701B4">
        <w:rPr>
          <w:rFonts w:ascii="Garamond" w:eastAsia="Times New Roman" w:hAnsi="Garamond" w:cs="Arial"/>
          <w:sz w:val="24"/>
          <w:szCs w:val="24"/>
        </w:rPr>
        <w:t xml:space="preserve"> da </w:t>
      </w:r>
      <w:r w:rsidR="00374785" w:rsidRPr="005701B4">
        <w:rPr>
          <w:rFonts w:ascii="Garamond" w:eastAsia="Times New Roman" w:hAnsi="Garamond" w:cs="Arial"/>
          <w:sz w:val="24"/>
          <w:szCs w:val="24"/>
        </w:rPr>
        <w:t>Ordem</w:t>
      </w:r>
      <w:r w:rsidR="00496CB2" w:rsidRPr="005701B4">
        <w:rPr>
          <w:rFonts w:ascii="Garamond" w:eastAsia="Times New Roman" w:hAnsi="Garamond" w:cs="Arial"/>
          <w:sz w:val="24"/>
          <w:szCs w:val="24"/>
        </w:rPr>
        <w:t xml:space="preserve"> </w:t>
      </w:r>
      <w:r w:rsidRPr="005701B4">
        <w:rPr>
          <w:rFonts w:ascii="Garamond" w:eastAsia="Times New Roman" w:hAnsi="Garamond" w:cs="Arial"/>
          <w:sz w:val="24"/>
          <w:szCs w:val="24"/>
        </w:rPr>
        <w:t>Administrativa N</w:t>
      </w:r>
      <w:r w:rsidR="00E305B4" w:rsidRPr="005701B4">
        <w:rPr>
          <w:rFonts w:ascii="Garamond" w:eastAsia="Times New Roman" w:hAnsi="Garamond" w:cs="Arial"/>
          <w:sz w:val="24"/>
          <w:szCs w:val="24"/>
        </w:rPr>
        <w:t>.</w:t>
      </w:r>
      <w:r w:rsidRPr="005701B4">
        <w:rPr>
          <w:rFonts w:ascii="Garamond" w:eastAsia="Times New Roman" w:hAnsi="Garamond" w:cs="Arial"/>
          <w:sz w:val="24"/>
          <w:szCs w:val="24"/>
        </w:rPr>
        <w:t>°</w:t>
      </w:r>
      <w:r w:rsidR="00496CB2" w:rsidRPr="005701B4">
        <w:rPr>
          <w:rFonts w:ascii="Garamond" w:eastAsia="Times New Roman" w:hAnsi="Garamond" w:cs="Arial"/>
          <w:sz w:val="24"/>
          <w:szCs w:val="24"/>
        </w:rPr>
        <w:t xml:space="preserve"> 98-01</w:t>
      </w:r>
      <w:r w:rsidR="00E305B4" w:rsidRPr="005701B4">
        <w:rPr>
          <w:rFonts w:ascii="Garamond" w:eastAsia="Times New Roman" w:hAnsi="Garamond" w:cs="Arial"/>
          <w:sz w:val="24"/>
          <w:szCs w:val="24"/>
        </w:rPr>
        <w:t>,</w:t>
      </w:r>
      <w:r w:rsidR="00496CB2" w:rsidRPr="005701B4">
        <w:rPr>
          <w:rFonts w:ascii="Garamond" w:eastAsia="Times New Roman" w:hAnsi="Garamond" w:cs="Arial"/>
          <w:sz w:val="24"/>
          <w:szCs w:val="24"/>
        </w:rPr>
        <w:t xml:space="preserve"> de 27 de </w:t>
      </w:r>
      <w:r w:rsidR="00C553E2" w:rsidRPr="005701B4">
        <w:rPr>
          <w:rFonts w:ascii="Garamond" w:eastAsia="Times New Roman" w:hAnsi="Garamond" w:cs="Arial"/>
          <w:sz w:val="24"/>
          <w:szCs w:val="24"/>
        </w:rPr>
        <w:t>março</w:t>
      </w:r>
      <w:r w:rsidR="00496CB2" w:rsidRPr="005701B4">
        <w:rPr>
          <w:rFonts w:ascii="Garamond" w:eastAsia="Times New Roman" w:hAnsi="Garamond" w:cs="Arial"/>
          <w:sz w:val="24"/>
          <w:szCs w:val="24"/>
        </w:rPr>
        <w:t xml:space="preserve"> de 1998</w:t>
      </w:r>
      <w:r w:rsidR="00185900" w:rsidRPr="005701B4">
        <w:rPr>
          <w:rFonts w:ascii="Garamond" w:eastAsia="Times New Roman" w:hAnsi="Garamond" w:cs="Arial"/>
          <w:sz w:val="24"/>
          <w:szCs w:val="24"/>
        </w:rPr>
        <w:t>,</w:t>
      </w:r>
      <w:r w:rsidR="00496CB2" w:rsidRPr="005701B4">
        <w:rPr>
          <w:rFonts w:ascii="Garamond" w:eastAsia="Times New Roman" w:hAnsi="Garamond" w:cs="Arial"/>
          <w:sz w:val="24"/>
          <w:szCs w:val="24"/>
        </w:rPr>
        <w:t xml:space="preserve"> </w:t>
      </w:r>
      <w:r w:rsidR="00E67EF8" w:rsidRPr="005701B4">
        <w:rPr>
          <w:rFonts w:ascii="Garamond" w:eastAsia="Times New Roman" w:hAnsi="Garamond" w:cs="Arial"/>
          <w:sz w:val="24"/>
          <w:szCs w:val="24"/>
        </w:rPr>
        <w:t>criou</w:t>
      </w:r>
      <w:r w:rsidRPr="005701B4">
        <w:rPr>
          <w:rFonts w:ascii="Garamond" w:eastAsia="Times New Roman" w:hAnsi="Garamond" w:cs="Arial"/>
          <w:sz w:val="24"/>
          <w:szCs w:val="24"/>
        </w:rPr>
        <w:t xml:space="preserve"> </w:t>
      </w:r>
      <w:r w:rsidR="00496CB2" w:rsidRPr="005701B4">
        <w:rPr>
          <w:rFonts w:ascii="Garamond" w:eastAsia="Times New Roman" w:hAnsi="Garamond" w:cs="Arial"/>
          <w:sz w:val="24"/>
          <w:szCs w:val="24"/>
        </w:rPr>
        <w:t xml:space="preserve">a </w:t>
      </w:r>
      <w:r w:rsidR="00E305B4" w:rsidRPr="005701B4">
        <w:rPr>
          <w:rFonts w:ascii="Garamond" w:eastAsia="Times New Roman" w:hAnsi="Garamond" w:cs="Arial"/>
          <w:sz w:val="24"/>
          <w:szCs w:val="24"/>
        </w:rPr>
        <w:t>«</w:t>
      </w:r>
      <w:r w:rsidR="00AB6522" w:rsidRPr="005701B4">
        <w:rPr>
          <w:rFonts w:ascii="Garamond" w:eastAsia="Times New Roman" w:hAnsi="Garamond" w:cs="Arial"/>
          <w:sz w:val="24"/>
          <w:szCs w:val="24"/>
        </w:rPr>
        <w:t>Divisão</w:t>
      </w:r>
      <w:r w:rsidR="00496CB2" w:rsidRPr="005701B4">
        <w:rPr>
          <w:rFonts w:ascii="Garamond" w:eastAsia="Times New Roman" w:hAnsi="Garamond" w:cs="Arial"/>
          <w:sz w:val="24"/>
          <w:szCs w:val="24"/>
        </w:rPr>
        <w:t xml:space="preserve"> </w:t>
      </w:r>
      <w:r w:rsidR="000672E8" w:rsidRPr="005701B4">
        <w:rPr>
          <w:rFonts w:ascii="Garamond" w:eastAsia="Times New Roman" w:hAnsi="Garamond" w:cs="Arial"/>
          <w:sz w:val="24"/>
          <w:szCs w:val="24"/>
        </w:rPr>
        <w:t>e</w:t>
      </w:r>
      <w:r w:rsidRPr="005701B4">
        <w:rPr>
          <w:rFonts w:ascii="Garamond" w:eastAsia="Times New Roman" w:hAnsi="Garamond" w:cs="Arial"/>
          <w:sz w:val="24"/>
          <w:szCs w:val="24"/>
        </w:rPr>
        <w:t xml:space="preserve"> </w:t>
      </w:r>
      <w:r w:rsidR="005701B4">
        <w:rPr>
          <w:rFonts w:ascii="Garamond" w:eastAsia="Times New Roman" w:hAnsi="Garamond" w:cs="Arial"/>
          <w:sz w:val="24"/>
          <w:szCs w:val="24"/>
        </w:rPr>
        <w:t>a</w:t>
      </w:r>
      <w:r w:rsidR="00496CB2" w:rsidRPr="005701B4">
        <w:rPr>
          <w:rFonts w:ascii="Garamond" w:eastAsia="Times New Roman" w:hAnsi="Garamond" w:cs="Arial"/>
          <w:sz w:val="24"/>
          <w:szCs w:val="24"/>
        </w:rPr>
        <w:t xml:space="preserve">s Unidades Especializadas de </w:t>
      </w:r>
      <w:r w:rsidR="000350B1" w:rsidRPr="005701B4">
        <w:rPr>
          <w:rFonts w:ascii="Garamond" w:eastAsia="Times New Roman" w:hAnsi="Garamond" w:cs="Arial"/>
          <w:sz w:val="24"/>
          <w:szCs w:val="24"/>
        </w:rPr>
        <w:t>Violência</w:t>
      </w:r>
      <w:r w:rsidR="00496CB2" w:rsidRPr="005701B4">
        <w:rPr>
          <w:rFonts w:ascii="Garamond" w:eastAsia="Times New Roman" w:hAnsi="Garamond" w:cs="Arial"/>
          <w:sz w:val="24"/>
          <w:szCs w:val="24"/>
        </w:rPr>
        <w:t xml:space="preserve"> Doméstica, Delitos </w:t>
      </w:r>
      <w:r w:rsidR="0091113A" w:rsidRPr="005701B4">
        <w:rPr>
          <w:rFonts w:ascii="Garamond" w:eastAsia="Times New Roman" w:hAnsi="Garamond" w:cs="Arial"/>
          <w:sz w:val="24"/>
          <w:szCs w:val="24"/>
        </w:rPr>
        <w:t>Sexuais</w:t>
      </w:r>
      <w:r w:rsidR="00496CB2" w:rsidRPr="005701B4">
        <w:rPr>
          <w:rFonts w:ascii="Garamond" w:eastAsia="Times New Roman" w:hAnsi="Garamond" w:cs="Arial"/>
          <w:sz w:val="24"/>
          <w:szCs w:val="24"/>
        </w:rPr>
        <w:t xml:space="preserve"> </w:t>
      </w:r>
      <w:r w:rsidR="000672E8" w:rsidRPr="005701B4">
        <w:rPr>
          <w:rFonts w:ascii="Garamond" w:eastAsia="Times New Roman" w:hAnsi="Garamond" w:cs="Arial"/>
          <w:sz w:val="24"/>
          <w:szCs w:val="24"/>
        </w:rPr>
        <w:t>e</w:t>
      </w:r>
      <w:r w:rsidR="00496CB2" w:rsidRPr="005701B4">
        <w:rPr>
          <w:rFonts w:ascii="Garamond" w:eastAsia="Times New Roman" w:hAnsi="Garamond" w:cs="Arial"/>
          <w:sz w:val="24"/>
          <w:szCs w:val="24"/>
        </w:rPr>
        <w:t xml:space="preserve"> </w:t>
      </w:r>
      <w:r w:rsidR="00190B59" w:rsidRPr="005701B4">
        <w:rPr>
          <w:rFonts w:ascii="Garamond" w:eastAsia="Times New Roman" w:hAnsi="Garamond" w:cs="Arial"/>
          <w:sz w:val="24"/>
          <w:szCs w:val="24"/>
        </w:rPr>
        <w:t>Maus-</w:t>
      </w:r>
      <w:r w:rsidR="00E305B4" w:rsidRPr="005701B4">
        <w:rPr>
          <w:rFonts w:ascii="Garamond" w:eastAsia="Times New Roman" w:hAnsi="Garamond" w:cs="Arial"/>
          <w:sz w:val="24"/>
          <w:szCs w:val="24"/>
        </w:rPr>
        <w:t>T</w:t>
      </w:r>
      <w:r w:rsidR="00190B59" w:rsidRPr="005701B4">
        <w:rPr>
          <w:rFonts w:ascii="Garamond" w:eastAsia="Times New Roman" w:hAnsi="Garamond" w:cs="Arial"/>
          <w:sz w:val="24"/>
          <w:szCs w:val="24"/>
        </w:rPr>
        <w:t>ratos</w:t>
      </w:r>
      <w:r w:rsidR="00496CB2" w:rsidRPr="005701B4">
        <w:rPr>
          <w:rFonts w:ascii="Garamond" w:eastAsia="Times New Roman" w:hAnsi="Garamond" w:cs="Arial"/>
          <w:sz w:val="24"/>
          <w:szCs w:val="24"/>
        </w:rPr>
        <w:t xml:space="preserve"> a Menores</w:t>
      </w:r>
      <w:r w:rsidR="00E305B4" w:rsidRPr="005701B4">
        <w:rPr>
          <w:rFonts w:ascii="Garamond" w:eastAsia="Times New Roman" w:hAnsi="Garamond" w:cs="Arial"/>
          <w:sz w:val="24"/>
          <w:szCs w:val="24"/>
        </w:rPr>
        <w:t>»</w:t>
      </w:r>
      <w:r w:rsidR="00496CB2" w:rsidRPr="005701B4">
        <w:rPr>
          <w:rFonts w:ascii="Garamond" w:eastAsia="Times New Roman" w:hAnsi="Garamond" w:cs="Arial"/>
          <w:sz w:val="24"/>
          <w:szCs w:val="24"/>
        </w:rPr>
        <w:t xml:space="preserve"> </w:t>
      </w:r>
      <w:r w:rsidR="000672E8" w:rsidRPr="005701B4">
        <w:rPr>
          <w:rFonts w:ascii="Garamond" w:eastAsia="Times New Roman" w:hAnsi="Garamond" w:cs="Arial"/>
          <w:sz w:val="24"/>
          <w:szCs w:val="24"/>
        </w:rPr>
        <w:t>e</w:t>
      </w:r>
      <w:r w:rsidR="00496CB2" w:rsidRPr="005701B4">
        <w:rPr>
          <w:rFonts w:ascii="Garamond" w:eastAsia="Times New Roman" w:hAnsi="Garamond" w:cs="Arial"/>
          <w:sz w:val="24"/>
          <w:szCs w:val="24"/>
        </w:rPr>
        <w:t xml:space="preserve"> </w:t>
      </w:r>
      <w:r w:rsidRPr="005701B4">
        <w:rPr>
          <w:rFonts w:ascii="Garamond" w:eastAsia="Times New Roman" w:hAnsi="Garamond" w:cs="Arial"/>
          <w:sz w:val="24"/>
          <w:szCs w:val="24"/>
        </w:rPr>
        <w:t>o</w:t>
      </w:r>
      <w:r w:rsidR="00496CB2" w:rsidRPr="005701B4">
        <w:rPr>
          <w:rFonts w:ascii="Garamond" w:eastAsia="Times New Roman" w:hAnsi="Garamond" w:cs="Arial"/>
          <w:sz w:val="24"/>
          <w:szCs w:val="24"/>
        </w:rPr>
        <w:t xml:space="preserve"> </w:t>
      </w:r>
      <w:r w:rsidR="00C246B4" w:rsidRPr="005701B4">
        <w:rPr>
          <w:rFonts w:ascii="Garamond" w:eastAsia="Times New Roman" w:hAnsi="Garamond" w:cs="Arial"/>
          <w:sz w:val="24"/>
          <w:szCs w:val="24"/>
        </w:rPr>
        <w:t>Gabinete</w:t>
      </w:r>
      <w:r w:rsidR="00496CB2" w:rsidRPr="005701B4">
        <w:rPr>
          <w:rFonts w:ascii="Garamond" w:eastAsia="Times New Roman" w:hAnsi="Garamond" w:cs="Arial"/>
          <w:sz w:val="24"/>
          <w:szCs w:val="24"/>
        </w:rPr>
        <w:t xml:space="preserve"> de </w:t>
      </w:r>
      <w:r w:rsidR="002470B1" w:rsidRPr="005701B4">
        <w:rPr>
          <w:rFonts w:ascii="Garamond" w:eastAsia="Times New Roman" w:hAnsi="Garamond" w:cs="Arial"/>
          <w:sz w:val="24"/>
          <w:szCs w:val="24"/>
        </w:rPr>
        <w:t>Coordenação</w:t>
      </w:r>
      <w:r w:rsidR="00496CB2" w:rsidRPr="005701B4">
        <w:rPr>
          <w:rFonts w:ascii="Garamond" w:eastAsia="Times New Roman" w:hAnsi="Garamond" w:cs="Arial"/>
          <w:sz w:val="24"/>
          <w:szCs w:val="24"/>
        </w:rPr>
        <w:t xml:space="preserve"> </w:t>
      </w:r>
      <w:r w:rsidR="00497503" w:rsidRPr="005701B4">
        <w:rPr>
          <w:rFonts w:ascii="Garamond" w:eastAsia="Times New Roman" w:hAnsi="Garamond" w:cs="Arial"/>
          <w:sz w:val="24"/>
          <w:szCs w:val="24"/>
        </w:rPr>
        <w:t>das</w:t>
      </w:r>
      <w:r w:rsidR="00496CB2" w:rsidRPr="005701B4">
        <w:rPr>
          <w:rFonts w:ascii="Garamond" w:eastAsia="Times New Roman" w:hAnsi="Garamond" w:cs="Arial"/>
          <w:sz w:val="24"/>
          <w:szCs w:val="24"/>
        </w:rPr>
        <w:t xml:space="preserve"> Unidades Especializadas </w:t>
      </w:r>
      <w:r w:rsidR="00E85E59" w:rsidRPr="005701B4">
        <w:rPr>
          <w:rFonts w:ascii="Garamond" w:eastAsia="Times New Roman" w:hAnsi="Garamond" w:cs="Arial"/>
          <w:sz w:val="24"/>
          <w:szCs w:val="24"/>
        </w:rPr>
        <w:t>do</w:t>
      </w:r>
      <w:r w:rsidR="00496CB2" w:rsidRPr="003A1174">
        <w:rPr>
          <w:rFonts w:ascii="Garamond" w:eastAsia="Times New Roman" w:hAnsi="Garamond" w:cs="Arial"/>
          <w:sz w:val="24"/>
          <w:szCs w:val="24"/>
        </w:rPr>
        <w:t xml:space="preserve"> Departamento de </w:t>
      </w:r>
      <w:r w:rsidR="00FC1F7F" w:rsidRPr="003A1174">
        <w:rPr>
          <w:rFonts w:ascii="Garamond" w:eastAsia="Times New Roman" w:hAnsi="Garamond" w:cs="Arial"/>
          <w:sz w:val="24"/>
          <w:szCs w:val="24"/>
        </w:rPr>
        <w:t>Justiça</w:t>
      </w:r>
      <w:r w:rsidR="00496CB2" w:rsidRPr="003A1174">
        <w:rPr>
          <w:rFonts w:ascii="Garamond" w:eastAsia="Times New Roman" w:hAnsi="Garamond" w:cs="Arial"/>
          <w:sz w:val="24"/>
          <w:szCs w:val="24"/>
        </w:rPr>
        <w:t xml:space="preserve"> </w:t>
      </w:r>
      <w:r w:rsidR="00E305B4">
        <w:rPr>
          <w:rFonts w:ascii="Garamond" w:eastAsia="Times New Roman" w:hAnsi="Garamond" w:cs="Arial"/>
          <w:sz w:val="24"/>
          <w:szCs w:val="24"/>
        </w:rPr>
        <w:t>-</w:t>
      </w:r>
      <w:r w:rsidR="005701B4">
        <w:rPr>
          <w:rFonts w:ascii="Garamond" w:eastAsia="Times New Roman" w:hAnsi="Garamond" w:cs="Arial"/>
          <w:sz w:val="24"/>
          <w:szCs w:val="24"/>
        </w:rPr>
        <w:t xml:space="preserve"> </w:t>
      </w:r>
      <w:r w:rsidR="00E305B4">
        <w:rPr>
          <w:rFonts w:ascii="Garamond" w:eastAsia="Times New Roman" w:hAnsi="Garamond" w:cs="Arial"/>
          <w:sz w:val="24"/>
          <w:szCs w:val="24"/>
        </w:rPr>
        <w:t xml:space="preserve">do </w:t>
      </w:r>
      <w:r w:rsidRPr="003A1174">
        <w:rPr>
          <w:rFonts w:ascii="Garamond" w:eastAsia="Times New Roman" w:hAnsi="Garamond" w:cs="Arial"/>
          <w:sz w:val="24"/>
          <w:szCs w:val="24"/>
        </w:rPr>
        <w:t>qu</w:t>
      </w:r>
      <w:r w:rsidR="00496CB2" w:rsidRPr="003A1174">
        <w:rPr>
          <w:rFonts w:ascii="Garamond" w:eastAsia="Times New Roman" w:hAnsi="Garamond" w:cs="Arial"/>
          <w:sz w:val="24"/>
          <w:szCs w:val="24"/>
        </w:rPr>
        <w:t xml:space="preserve">al </w:t>
      </w:r>
      <w:r w:rsidR="000350B1" w:rsidRPr="003A1174">
        <w:rPr>
          <w:rFonts w:ascii="Garamond" w:eastAsia="Times New Roman" w:hAnsi="Garamond" w:cs="Arial"/>
          <w:sz w:val="24"/>
          <w:szCs w:val="24"/>
        </w:rPr>
        <w:t>também</w:t>
      </w:r>
      <w:r w:rsidR="00496CB2" w:rsidRPr="003A1174">
        <w:rPr>
          <w:rFonts w:ascii="Garamond" w:eastAsia="Times New Roman" w:hAnsi="Garamond" w:cs="Arial"/>
          <w:sz w:val="24"/>
          <w:szCs w:val="24"/>
        </w:rPr>
        <w:t xml:space="preserve"> </w:t>
      </w:r>
      <w:r w:rsidR="00E305B4">
        <w:rPr>
          <w:rFonts w:ascii="Garamond" w:eastAsia="Times New Roman" w:hAnsi="Garamond" w:cs="Arial"/>
          <w:sz w:val="24"/>
          <w:szCs w:val="24"/>
        </w:rPr>
        <w:t xml:space="preserve">depende </w:t>
      </w:r>
      <w:r w:rsidRPr="003A1174">
        <w:rPr>
          <w:rFonts w:ascii="Garamond" w:eastAsia="Times New Roman" w:hAnsi="Garamond" w:cs="Arial"/>
          <w:sz w:val="24"/>
          <w:szCs w:val="24"/>
        </w:rPr>
        <w:t xml:space="preserve">o </w:t>
      </w:r>
      <w:r w:rsidR="00C246B4" w:rsidRPr="003A1174">
        <w:rPr>
          <w:rFonts w:ascii="Garamond" w:eastAsia="Times New Roman" w:hAnsi="Garamond" w:cs="Arial"/>
          <w:sz w:val="24"/>
          <w:szCs w:val="24"/>
        </w:rPr>
        <w:t>Gabinete</w:t>
      </w:r>
      <w:r w:rsidR="00496CB2" w:rsidRPr="003A1174">
        <w:rPr>
          <w:rFonts w:ascii="Garamond" w:eastAsia="Times New Roman" w:hAnsi="Garamond" w:cs="Arial"/>
          <w:sz w:val="24"/>
          <w:szCs w:val="24"/>
        </w:rPr>
        <w:t xml:space="preserve"> de </w:t>
      </w:r>
      <w:r w:rsidR="00190B59" w:rsidRPr="003A1174">
        <w:rPr>
          <w:rFonts w:ascii="Garamond" w:eastAsia="Times New Roman" w:hAnsi="Garamond" w:cs="Arial"/>
          <w:sz w:val="24"/>
          <w:szCs w:val="24"/>
        </w:rPr>
        <w:t>Maus-</w:t>
      </w:r>
      <w:r w:rsidR="00E305B4">
        <w:rPr>
          <w:rFonts w:ascii="Garamond" w:eastAsia="Times New Roman" w:hAnsi="Garamond" w:cs="Arial"/>
          <w:sz w:val="24"/>
          <w:szCs w:val="24"/>
        </w:rPr>
        <w:t>T</w:t>
      </w:r>
      <w:r w:rsidR="00190B59" w:rsidRPr="003A1174">
        <w:rPr>
          <w:rFonts w:ascii="Garamond" w:eastAsia="Times New Roman" w:hAnsi="Garamond" w:cs="Arial"/>
          <w:sz w:val="24"/>
          <w:szCs w:val="24"/>
        </w:rPr>
        <w:t>ratos</w:t>
      </w:r>
      <w:r w:rsidR="00496CB2" w:rsidRPr="003A1174">
        <w:rPr>
          <w:rFonts w:ascii="Garamond" w:eastAsia="Times New Roman" w:hAnsi="Garamond" w:cs="Arial"/>
          <w:sz w:val="24"/>
          <w:szCs w:val="24"/>
        </w:rPr>
        <w:t xml:space="preserve"> </w:t>
      </w:r>
      <w:r w:rsidR="00C031E1" w:rsidRPr="003A1174">
        <w:rPr>
          <w:rFonts w:ascii="Garamond" w:eastAsia="Times New Roman" w:hAnsi="Garamond" w:cs="Arial"/>
          <w:sz w:val="24"/>
          <w:szCs w:val="24"/>
        </w:rPr>
        <w:t>Institucional</w:t>
      </w:r>
      <w:r w:rsidRPr="003A1174">
        <w:rPr>
          <w:rFonts w:ascii="Garamond" w:eastAsia="Times New Roman" w:hAnsi="Garamond" w:cs="Arial"/>
          <w:sz w:val="24"/>
          <w:szCs w:val="24"/>
        </w:rPr>
        <w:t xml:space="preserve"> </w:t>
      </w:r>
      <w:r w:rsidR="00E305B4">
        <w:rPr>
          <w:rFonts w:ascii="Garamond" w:eastAsia="Times New Roman" w:hAnsi="Garamond" w:cs="Arial"/>
          <w:sz w:val="24"/>
          <w:szCs w:val="24"/>
        </w:rPr>
        <w:t>-</w:t>
      </w:r>
      <w:r w:rsidR="00496CB2" w:rsidRPr="003A1174">
        <w:rPr>
          <w:rFonts w:ascii="Garamond" w:eastAsia="Times New Roman" w:hAnsi="Garamond" w:cs="Arial"/>
          <w:sz w:val="24"/>
          <w:szCs w:val="24"/>
        </w:rPr>
        <w:t xml:space="preserve"> para </w:t>
      </w:r>
      <w:r w:rsidR="00D37CF3" w:rsidRPr="003A1174">
        <w:rPr>
          <w:rFonts w:ascii="Garamond" w:eastAsia="Times New Roman" w:hAnsi="Garamond" w:cs="Arial"/>
          <w:sz w:val="24"/>
          <w:szCs w:val="24"/>
        </w:rPr>
        <w:t>intervir</w:t>
      </w:r>
      <w:r w:rsidR="00496CB2" w:rsidRPr="003A1174">
        <w:rPr>
          <w:rFonts w:ascii="Garamond" w:eastAsia="Times New Roman" w:hAnsi="Garamond" w:cs="Arial"/>
          <w:sz w:val="24"/>
          <w:szCs w:val="24"/>
        </w:rPr>
        <w:t xml:space="preserve"> </w:t>
      </w:r>
      <w:r w:rsidR="003A391A" w:rsidRPr="003A1174">
        <w:rPr>
          <w:rFonts w:ascii="Garamond" w:eastAsia="Times New Roman" w:hAnsi="Garamond" w:cs="Arial"/>
          <w:sz w:val="24"/>
          <w:szCs w:val="24"/>
        </w:rPr>
        <w:t>nos</w:t>
      </w:r>
      <w:r w:rsidR="00496CB2" w:rsidRPr="003A1174">
        <w:rPr>
          <w:rFonts w:ascii="Garamond" w:eastAsia="Times New Roman" w:hAnsi="Garamond" w:cs="Arial"/>
          <w:sz w:val="24"/>
          <w:szCs w:val="24"/>
        </w:rPr>
        <w:t xml:space="preserve"> casos de </w:t>
      </w:r>
      <w:r w:rsidR="000350B1" w:rsidRPr="003A1174">
        <w:rPr>
          <w:rFonts w:ascii="Garamond" w:eastAsia="Times New Roman" w:hAnsi="Garamond" w:cs="Arial"/>
          <w:sz w:val="24"/>
          <w:szCs w:val="24"/>
        </w:rPr>
        <w:t>violência</w:t>
      </w:r>
      <w:r w:rsidR="00496CB2" w:rsidRPr="003A1174">
        <w:rPr>
          <w:rFonts w:ascii="Garamond" w:eastAsia="Times New Roman" w:hAnsi="Garamond" w:cs="Arial"/>
          <w:sz w:val="24"/>
          <w:szCs w:val="24"/>
        </w:rPr>
        <w:t xml:space="preserve"> doméstica, </w:t>
      </w:r>
      <w:r w:rsidR="00A13226" w:rsidRPr="003A1174">
        <w:rPr>
          <w:rFonts w:ascii="Garamond" w:eastAsia="Times New Roman" w:hAnsi="Garamond" w:cs="Arial"/>
          <w:sz w:val="24"/>
          <w:szCs w:val="24"/>
        </w:rPr>
        <w:t>ameaça</w:t>
      </w:r>
      <w:r w:rsidR="00496CB2" w:rsidRPr="003A1174">
        <w:rPr>
          <w:rFonts w:ascii="Garamond" w:eastAsia="Times New Roman" w:hAnsi="Garamond" w:cs="Arial"/>
          <w:sz w:val="24"/>
          <w:szCs w:val="24"/>
        </w:rPr>
        <w:t xml:space="preserve">, </w:t>
      </w:r>
      <w:r w:rsidR="006D4D0B" w:rsidRPr="003A1174">
        <w:rPr>
          <w:rFonts w:ascii="Garamond" w:eastAsia="Times New Roman" w:hAnsi="Garamond" w:cs="Arial"/>
          <w:sz w:val="24"/>
          <w:szCs w:val="24"/>
        </w:rPr>
        <w:t>agressões</w:t>
      </w:r>
      <w:r w:rsidR="00496CB2" w:rsidRPr="003A1174">
        <w:rPr>
          <w:rFonts w:ascii="Garamond" w:eastAsia="Times New Roman" w:hAnsi="Garamond" w:cs="Arial"/>
          <w:sz w:val="24"/>
          <w:szCs w:val="24"/>
        </w:rPr>
        <w:t xml:space="preserve"> </w:t>
      </w:r>
      <w:r w:rsidR="0091113A" w:rsidRPr="003A1174">
        <w:rPr>
          <w:rFonts w:ascii="Garamond" w:eastAsia="Times New Roman" w:hAnsi="Garamond" w:cs="Arial"/>
          <w:sz w:val="24"/>
          <w:szCs w:val="24"/>
        </w:rPr>
        <w:t>sexuais</w:t>
      </w:r>
      <w:r w:rsidR="00496C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00190B59" w:rsidRPr="003A1174">
        <w:rPr>
          <w:rFonts w:ascii="Garamond" w:eastAsia="Times New Roman" w:hAnsi="Garamond" w:cs="Arial"/>
          <w:sz w:val="24"/>
          <w:szCs w:val="24"/>
        </w:rPr>
        <w:t>maus-tratos</w:t>
      </w:r>
      <w:r w:rsidR="00496CB2"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a </w:t>
      </w:r>
      <w:r w:rsidR="00496CB2" w:rsidRPr="003A1174">
        <w:rPr>
          <w:rFonts w:ascii="Garamond" w:eastAsia="Times New Roman" w:hAnsi="Garamond" w:cs="Arial"/>
          <w:sz w:val="24"/>
          <w:szCs w:val="24"/>
        </w:rPr>
        <w:t xml:space="preserve">menores, </w:t>
      </w:r>
      <w:r w:rsidR="00152A44" w:rsidRPr="003A1174">
        <w:rPr>
          <w:rFonts w:ascii="Garamond" w:eastAsia="Times New Roman" w:hAnsi="Garamond" w:cs="Arial"/>
          <w:sz w:val="24"/>
          <w:szCs w:val="24"/>
        </w:rPr>
        <w:t>inclui</w:t>
      </w:r>
      <w:r w:rsidR="00496CB2" w:rsidRPr="003A1174">
        <w:rPr>
          <w:rFonts w:ascii="Garamond" w:eastAsia="Times New Roman" w:hAnsi="Garamond" w:cs="Arial"/>
          <w:sz w:val="24"/>
          <w:szCs w:val="24"/>
        </w:rPr>
        <w:t xml:space="preserve">ndo </w:t>
      </w:r>
      <w:r w:rsidRPr="003A1174">
        <w:rPr>
          <w:rFonts w:ascii="Garamond" w:eastAsia="Times New Roman" w:hAnsi="Garamond" w:cs="Arial"/>
          <w:sz w:val="24"/>
          <w:szCs w:val="24"/>
        </w:rPr>
        <w:t xml:space="preserve">os </w:t>
      </w:r>
      <w:r w:rsidR="00190B59" w:rsidRPr="003A1174">
        <w:rPr>
          <w:rFonts w:ascii="Garamond" w:eastAsia="Times New Roman" w:hAnsi="Garamond" w:cs="Arial"/>
          <w:sz w:val="24"/>
          <w:szCs w:val="24"/>
        </w:rPr>
        <w:t>maus-tratos</w:t>
      </w:r>
      <w:r w:rsidR="00496CB2" w:rsidRPr="003A1174">
        <w:rPr>
          <w:rFonts w:ascii="Garamond" w:eastAsia="Times New Roman" w:hAnsi="Garamond" w:cs="Arial"/>
          <w:sz w:val="24"/>
          <w:szCs w:val="24"/>
        </w:rPr>
        <w:t xml:space="preserve"> instituciona</w:t>
      </w:r>
      <w:r w:rsidRPr="003A1174">
        <w:rPr>
          <w:rFonts w:ascii="Garamond" w:eastAsia="Times New Roman" w:hAnsi="Garamond" w:cs="Arial"/>
          <w:sz w:val="24"/>
          <w:szCs w:val="24"/>
        </w:rPr>
        <w:t xml:space="preserve">is, que sejam </w:t>
      </w:r>
      <w:r w:rsidR="00496CB2" w:rsidRPr="003A1174">
        <w:rPr>
          <w:rFonts w:ascii="Garamond" w:eastAsia="Times New Roman" w:hAnsi="Garamond" w:cs="Arial"/>
          <w:sz w:val="24"/>
          <w:szCs w:val="24"/>
        </w:rPr>
        <w:t>cometido</w:t>
      </w:r>
      <w:r w:rsidRPr="003A1174">
        <w:rPr>
          <w:rFonts w:ascii="Garamond" w:eastAsia="Times New Roman" w:hAnsi="Garamond" w:cs="Arial"/>
          <w:sz w:val="24"/>
          <w:szCs w:val="24"/>
        </w:rPr>
        <w:t>s</w:t>
      </w:r>
      <w:r w:rsidR="00496CB2" w:rsidRPr="003A1174">
        <w:rPr>
          <w:rFonts w:ascii="Garamond" w:eastAsia="Times New Roman" w:hAnsi="Garamond" w:cs="Arial"/>
          <w:sz w:val="24"/>
          <w:szCs w:val="24"/>
        </w:rPr>
        <w:t xml:space="preserve"> e</w:t>
      </w:r>
      <w:r w:rsidRPr="003A1174">
        <w:rPr>
          <w:rFonts w:ascii="Garamond" w:eastAsia="Times New Roman" w:hAnsi="Garamond" w:cs="Arial"/>
          <w:sz w:val="24"/>
          <w:szCs w:val="24"/>
        </w:rPr>
        <w:t>m</w:t>
      </w:r>
      <w:r w:rsidR="00496CB2" w:rsidRPr="003A1174">
        <w:rPr>
          <w:rFonts w:ascii="Garamond" w:eastAsia="Times New Roman" w:hAnsi="Garamond" w:cs="Arial"/>
          <w:sz w:val="24"/>
          <w:szCs w:val="24"/>
        </w:rPr>
        <w:t xml:space="preserve"> </w:t>
      </w:r>
      <w:r w:rsidR="00A23EB8" w:rsidRPr="003A1174">
        <w:rPr>
          <w:rFonts w:ascii="Garamond" w:eastAsia="Times New Roman" w:hAnsi="Garamond" w:cs="Arial"/>
          <w:sz w:val="24"/>
          <w:szCs w:val="24"/>
        </w:rPr>
        <w:t>escola</w:t>
      </w:r>
      <w:r w:rsidR="00496CB2" w:rsidRPr="003A1174">
        <w:rPr>
          <w:rFonts w:ascii="Garamond" w:eastAsia="Times New Roman" w:hAnsi="Garamond" w:cs="Arial"/>
          <w:sz w:val="24"/>
          <w:szCs w:val="24"/>
        </w:rPr>
        <w:t xml:space="preserve">s, centros de </w:t>
      </w:r>
      <w:r w:rsidRPr="003A1174">
        <w:rPr>
          <w:rFonts w:ascii="Garamond" w:eastAsia="Times New Roman" w:hAnsi="Garamond" w:cs="Arial"/>
          <w:sz w:val="24"/>
          <w:szCs w:val="24"/>
        </w:rPr>
        <w:t>apoio o</w:t>
      </w:r>
      <w:r w:rsidR="00185900" w:rsidRPr="003A1174">
        <w:rPr>
          <w:rFonts w:ascii="Garamond" w:eastAsia="Times New Roman" w:hAnsi="Garamond" w:cs="Arial"/>
          <w:sz w:val="24"/>
          <w:szCs w:val="24"/>
        </w:rPr>
        <w:t xml:space="preserve">u </w:t>
      </w:r>
      <w:r w:rsidR="0017447A" w:rsidRPr="003A1174">
        <w:rPr>
          <w:rFonts w:ascii="Garamond" w:eastAsia="Times New Roman" w:hAnsi="Garamond" w:cs="Arial"/>
          <w:sz w:val="24"/>
          <w:szCs w:val="24"/>
        </w:rPr>
        <w:t>outras</w:t>
      </w:r>
      <w:r w:rsidR="00496CB2" w:rsidRPr="003A1174">
        <w:rPr>
          <w:rFonts w:ascii="Garamond" w:eastAsia="Times New Roman" w:hAnsi="Garamond" w:cs="Arial"/>
          <w:sz w:val="24"/>
          <w:szCs w:val="24"/>
        </w:rPr>
        <w:t xml:space="preserve"> </w:t>
      </w:r>
      <w:r w:rsidR="002C7510" w:rsidRPr="003A1174">
        <w:rPr>
          <w:rFonts w:ascii="Garamond" w:eastAsia="Times New Roman" w:hAnsi="Garamond" w:cs="Arial"/>
          <w:sz w:val="24"/>
          <w:szCs w:val="24"/>
        </w:rPr>
        <w:t>instituições</w:t>
      </w:r>
      <w:r w:rsidRPr="003A1174">
        <w:rPr>
          <w:rFonts w:ascii="Garamond" w:eastAsia="Times New Roman" w:hAnsi="Garamond" w:cs="Arial"/>
          <w:sz w:val="24"/>
          <w:szCs w:val="24"/>
        </w:rPr>
        <w:t xml:space="preserve"> corre</w:t>
      </w:r>
      <w:r w:rsidR="00496CB2" w:rsidRPr="003A1174">
        <w:rPr>
          <w:rFonts w:ascii="Garamond" w:eastAsia="Times New Roman" w:hAnsi="Garamond" w:cs="Arial"/>
          <w:sz w:val="24"/>
          <w:szCs w:val="24"/>
        </w:rPr>
        <w:t>ciona</w:t>
      </w:r>
      <w:r w:rsidRPr="003A1174">
        <w:rPr>
          <w:rFonts w:ascii="Garamond" w:eastAsia="Times New Roman" w:hAnsi="Garamond" w:cs="Arial"/>
          <w:sz w:val="24"/>
          <w:szCs w:val="24"/>
        </w:rPr>
        <w:t>i</w:t>
      </w:r>
      <w:r w:rsidR="00496CB2" w:rsidRPr="003A1174">
        <w:rPr>
          <w:rFonts w:ascii="Garamond" w:eastAsia="Times New Roman" w:hAnsi="Garamond" w:cs="Arial"/>
          <w:sz w:val="24"/>
          <w:szCs w:val="24"/>
        </w:rPr>
        <w:t xml:space="preserve">s. </w:t>
      </w:r>
    </w:p>
    <w:p w:rsidR="00496CB2" w:rsidRPr="003A1174" w:rsidRDefault="007E4CED" w:rsidP="008719D4">
      <w:pPr>
        <w:pStyle w:val="Ttulo4"/>
        <w:spacing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p>
    <w:p w:rsidR="00486B1F" w:rsidRPr="003A1174" w:rsidRDefault="0076153C" w:rsidP="008719D4">
      <w:pPr>
        <w:spacing w:before="240" w:after="0" w:line="240" w:lineRule="auto"/>
        <w:jc w:val="both"/>
        <w:rPr>
          <w:rFonts w:ascii="Garamond" w:eastAsia="Calibri" w:hAnsi="Garamond" w:cs="Arial"/>
          <w:sz w:val="24"/>
          <w:szCs w:val="24"/>
        </w:rPr>
      </w:pPr>
      <w:r w:rsidRPr="003A1174">
        <w:rPr>
          <w:rFonts w:ascii="Garamond" w:hAnsi="Garamond" w:cs="Arial"/>
          <w:sz w:val="24"/>
          <w:szCs w:val="24"/>
        </w:rPr>
        <w:t xml:space="preserve">A </w:t>
      </w:r>
      <w:r w:rsidR="00496CB2" w:rsidRPr="003A1174">
        <w:rPr>
          <w:rFonts w:ascii="Garamond" w:hAnsi="Garamond" w:cs="Arial"/>
          <w:sz w:val="24"/>
          <w:szCs w:val="24"/>
        </w:rPr>
        <w:t>disponibili</w:t>
      </w:r>
      <w:r w:rsidR="005701B4">
        <w:rPr>
          <w:rFonts w:ascii="Garamond" w:hAnsi="Garamond" w:cs="Arial"/>
          <w:sz w:val="24"/>
          <w:szCs w:val="24"/>
        </w:rPr>
        <w:t xml:space="preserve">zação </w:t>
      </w:r>
      <w:r w:rsidR="00496CB2" w:rsidRPr="003A1174">
        <w:rPr>
          <w:rFonts w:ascii="Garamond" w:hAnsi="Garamond" w:cs="Arial"/>
          <w:sz w:val="24"/>
          <w:szCs w:val="24"/>
        </w:rPr>
        <w:t xml:space="preserve">de casas de </w:t>
      </w:r>
      <w:r w:rsidR="00B936A7" w:rsidRPr="003A1174">
        <w:rPr>
          <w:rFonts w:ascii="Garamond" w:hAnsi="Garamond" w:cs="Arial"/>
          <w:sz w:val="24"/>
          <w:szCs w:val="24"/>
        </w:rPr>
        <w:t>abrigo</w:t>
      </w:r>
      <w:r w:rsidR="00496CB2" w:rsidRPr="003A1174">
        <w:rPr>
          <w:rFonts w:ascii="Garamond" w:hAnsi="Garamond" w:cs="Arial"/>
          <w:sz w:val="24"/>
          <w:szCs w:val="24"/>
        </w:rPr>
        <w:t xml:space="preserve"> </w:t>
      </w:r>
      <w:r w:rsidR="00141BA9" w:rsidRPr="003A1174">
        <w:rPr>
          <w:rFonts w:ascii="Garamond" w:hAnsi="Garamond" w:cs="Arial"/>
          <w:sz w:val="24"/>
          <w:szCs w:val="24"/>
        </w:rPr>
        <w:t>temporário</w:t>
      </w:r>
      <w:r w:rsidR="00496CB2" w:rsidRPr="003A1174">
        <w:rPr>
          <w:rFonts w:ascii="Garamond" w:hAnsi="Garamond" w:cs="Arial"/>
          <w:sz w:val="24"/>
          <w:szCs w:val="24"/>
        </w:rPr>
        <w:t xml:space="preserve"> para </w:t>
      </w:r>
      <w:r w:rsidR="00054EE0" w:rsidRPr="003A1174">
        <w:rPr>
          <w:rFonts w:ascii="Garamond" w:hAnsi="Garamond" w:cs="Arial"/>
          <w:sz w:val="24"/>
          <w:szCs w:val="24"/>
        </w:rPr>
        <w:t>mulheres</w:t>
      </w:r>
      <w:r w:rsidR="00496CB2" w:rsidRPr="003A1174">
        <w:rPr>
          <w:rFonts w:ascii="Garamond" w:hAnsi="Garamond" w:cs="Arial"/>
          <w:sz w:val="24"/>
          <w:szCs w:val="24"/>
        </w:rPr>
        <w:t xml:space="preserve"> </w:t>
      </w:r>
      <w:r w:rsidR="003F012B" w:rsidRPr="003A1174">
        <w:rPr>
          <w:rFonts w:ascii="Garamond" w:hAnsi="Garamond" w:cs="Arial"/>
          <w:sz w:val="24"/>
          <w:szCs w:val="24"/>
        </w:rPr>
        <w:t>vítima</w:t>
      </w:r>
      <w:r w:rsidR="00496CB2" w:rsidRPr="003A1174">
        <w:rPr>
          <w:rFonts w:ascii="Garamond" w:hAnsi="Garamond" w:cs="Arial"/>
          <w:sz w:val="24"/>
          <w:szCs w:val="24"/>
        </w:rPr>
        <w:t xml:space="preserve">s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s</w:t>
      </w:r>
      <w:r w:rsidRPr="003A1174">
        <w:rPr>
          <w:rFonts w:ascii="Garamond" w:hAnsi="Garamond" w:cs="Arial"/>
          <w:sz w:val="24"/>
          <w:szCs w:val="24"/>
        </w:rPr>
        <w:t>e</w:t>
      </w:r>
      <w:r w:rsidR="00496CB2" w:rsidRPr="003A1174">
        <w:rPr>
          <w:rFonts w:ascii="Garamond" w:hAnsi="Garamond" w:cs="Arial"/>
          <w:sz w:val="24"/>
          <w:szCs w:val="24"/>
        </w:rPr>
        <w:t xml:space="preserve">us </w:t>
      </w:r>
      <w:r w:rsidR="007A2492" w:rsidRPr="003A1174">
        <w:rPr>
          <w:rFonts w:ascii="Garamond" w:hAnsi="Garamond" w:cs="Arial"/>
          <w:sz w:val="24"/>
          <w:szCs w:val="24"/>
        </w:rPr>
        <w:t>filho</w:t>
      </w:r>
      <w:r w:rsidR="00496CB2" w:rsidRPr="003A1174">
        <w:rPr>
          <w:rFonts w:ascii="Garamond" w:hAnsi="Garamond" w:cs="Arial"/>
          <w:sz w:val="24"/>
          <w:szCs w:val="24"/>
        </w:rPr>
        <w:t xml:space="preserve">s </w:t>
      </w:r>
      <w:r w:rsidR="005701B4">
        <w:rPr>
          <w:rFonts w:ascii="Garamond" w:hAnsi="Garamond" w:cs="Arial"/>
          <w:sz w:val="24"/>
          <w:szCs w:val="24"/>
        </w:rPr>
        <w:t xml:space="preserve">tem-se mantido, em permanência. </w:t>
      </w:r>
      <w:r w:rsidR="00FB09CA" w:rsidRPr="003A1174">
        <w:rPr>
          <w:rFonts w:ascii="Garamond" w:hAnsi="Garamond" w:cs="Arial"/>
          <w:sz w:val="24"/>
          <w:szCs w:val="24"/>
        </w:rPr>
        <w:t>Atual</w:t>
      </w:r>
      <w:r w:rsidR="00496CB2" w:rsidRPr="003A1174">
        <w:rPr>
          <w:rFonts w:ascii="Garamond" w:hAnsi="Garamond" w:cs="Arial"/>
          <w:sz w:val="24"/>
          <w:szCs w:val="24"/>
        </w:rPr>
        <w:t xml:space="preserve">mente, </w:t>
      </w:r>
      <w:r w:rsidR="005701B4">
        <w:rPr>
          <w:rFonts w:ascii="Garamond" w:hAnsi="Garamond" w:cs="Arial"/>
          <w:sz w:val="24"/>
          <w:szCs w:val="24"/>
        </w:rPr>
        <w:t>encontra</w:t>
      </w:r>
      <w:r w:rsidR="0083099D">
        <w:rPr>
          <w:rFonts w:ascii="Garamond" w:hAnsi="Garamond" w:cs="Arial"/>
          <w:sz w:val="24"/>
          <w:szCs w:val="24"/>
        </w:rPr>
        <w:t>m-</w:t>
      </w:r>
      <w:r w:rsidR="005701B4">
        <w:rPr>
          <w:rFonts w:ascii="Garamond" w:hAnsi="Garamond" w:cs="Arial"/>
          <w:sz w:val="24"/>
          <w:szCs w:val="24"/>
        </w:rPr>
        <w:t xml:space="preserve">se </w:t>
      </w:r>
      <w:r w:rsidRPr="003A1174">
        <w:rPr>
          <w:rFonts w:ascii="Garamond" w:hAnsi="Garamond" w:cs="Arial"/>
          <w:sz w:val="24"/>
          <w:szCs w:val="24"/>
        </w:rPr>
        <w:t xml:space="preserve">a prestar </w:t>
      </w:r>
      <w:r w:rsidR="00B531F2" w:rsidRPr="003A1174">
        <w:rPr>
          <w:rFonts w:ascii="Garamond" w:hAnsi="Garamond" w:cs="Arial"/>
          <w:sz w:val="24"/>
          <w:szCs w:val="24"/>
        </w:rPr>
        <w:t>serviço</w:t>
      </w:r>
      <w:r w:rsidR="00496CB2" w:rsidRPr="003A1174">
        <w:rPr>
          <w:rFonts w:ascii="Garamond" w:hAnsi="Garamond" w:cs="Arial"/>
          <w:sz w:val="24"/>
          <w:szCs w:val="24"/>
        </w:rPr>
        <w:t xml:space="preserve">s 11 centros de </w:t>
      </w:r>
      <w:r w:rsidRPr="003A1174">
        <w:rPr>
          <w:rFonts w:ascii="Garamond" w:hAnsi="Garamond" w:cs="Arial"/>
          <w:sz w:val="24"/>
          <w:szCs w:val="24"/>
        </w:rPr>
        <w:t>residência temporária</w:t>
      </w:r>
      <w:r w:rsidR="00496CB2" w:rsidRPr="003A1174">
        <w:rPr>
          <w:rFonts w:ascii="Garamond" w:hAnsi="Garamond" w:cs="Arial"/>
          <w:sz w:val="24"/>
          <w:szCs w:val="24"/>
        </w:rPr>
        <w:t>, apo</w:t>
      </w:r>
      <w:r w:rsidRPr="003A1174">
        <w:rPr>
          <w:rFonts w:ascii="Garamond" w:hAnsi="Garamond" w:cs="Arial"/>
          <w:sz w:val="24"/>
          <w:szCs w:val="24"/>
        </w:rPr>
        <w:t>i</w:t>
      </w:r>
      <w:r w:rsidR="00496CB2" w:rsidRPr="003A1174">
        <w:rPr>
          <w:rFonts w:ascii="Garamond" w:hAnsi="Garamond" w:cs="Arial"/>
          <w:sz w:val="24"/>
          <w:szCs w:val="24"/>
        </w:rPr>
        <w:t>ad</w:t>
      </w:r>
      <w:r w:rsidR="00F46651" w:rsidRPr="003A1174">
        <w:rPr>
          <w:rFonts w:ascii="Garamond" w:hAnsi="Garamond" w:cs="Arial"/>
          <w:sz w:val="24"/>
          <w:szCs w:val="24"/>
        </w:rPr>
        <w:t>o</w:t>
      </w:r>
      <w:r w:rsidR="00496CB2" w:rsidRPr="003A1174">
        <w:rPr>
          <w:rFonts w:ascii="Garamond" w:hAnsi="Garamond" w:cs="Arial"/>
          <w:sz w:val="24"/>
          <w:szCs w:val="24"/>
        </w:rPr>
        <w:t xml:space="preserve">s </w:t>
      </w:r>
      <w:r w:rsidR="00275092" w:rsidRPr="003A1174">
        <w:rPr>
          <w:rFonts w:ascii="Garamond" w:hAnsi="Garamond" w:cs="Arial"/>
          <w:sz w:val="24"/>
          <w:szCs w:val="24"/>
        </w:rPr>
        <w:t>pela</w:t>
      </w:r>
      <w:r w:rsidR="00496CB2" w:rsidRPr="003A1174">
        <w:rPr>
          <w:rFonts w:ascii="Garamond" w:hAnsi="Garamond" w:cs="Arial"/>
          <w:sz w:val="24"/>
          <w:szCs w:val="24"/>
        </w:rPr>
        <w:t xml:space="preserve">s </w:t>
      </w:r>
      <w:r w:rsidR="00BA21ED" w:rsidRPr="003A1174">
        <w:rPr>
          <w:rFonts w:ascii="Garamond" w:hAnsi="Garamond" w:cs="Arial"/>
          <w:sz w:val="24"/>
          <w:szCs w:val="24"/>
        </w:rPr>
        <w:t>mais</w:t>
      </w:r>
      <w:r w:rsidR="00496CB2" w:rsidRPr="003A1174">
        <w:rPr>
          <w:rFonts w:ascii="Garamond" w:hAnsi="Garamond" w:cs="Arial"/>
          <w:sz w:val="24"/>
          <w:szCs w:val="24"/>
        </w:rPr>
        <w:t xml:space="preserve"> de 20 </w:t>
      </w:r>
      <w:r w:rsidR="002470B1" w:rsidRPr="003A1174">
        <w:rPr>
          <w:rFonts w:ascii="Garamond" w:hAnsi="Garamond" w:cs="Arial"/>
          <w:sz w:val="24"/>
          <w:szCs w:val="24"/>
        </w:rPr>
        <w:t>organizações</w:t>
      </w:r>
      <w:r w:rsidR="00496CB2" w:rsidRPr="003A1174">
        <w:rPr>
          <w:rFonts w:ascii="Garamond" w:hAnsi="Garamond" w:cs="Arial"/>
          <w:sz w:val="24"/>
          <w:szCs w:val="24"/>
        </w:rPr>
        <w:t xml:space="preserve"> que </w:t>
      </w:r>
      <w:r w:rsidRPr="003A1174">
        <w:rPr>
          <w:rFonts w:ascii="Garamond" w:hAnsi="Garamond" w:cs="Arial"/>
          <w:sz w:val="24"/>
          <w:szCs w:val="24"/>
        </w:rPr>
        <w:t xml:space="preserve">prestam </w:t>
      </w:r>
      <w:r w:rsidR="00B531F2" w:rsidRPr="003A1174">
        <w:rPr>
          <w:rFonts w:ascii="Garamond" w:hAnsi="Garamond" w:cs="Arial"/>
          <w:sz w:val="24"/>
          <w:szCs w:val="24"/>
        </w:rPr>
        <w:t>serviço</w:t>
      </w:r>
      <w:r w:rsidR="00496CB2" w:rsidRPr="003A1174">
        <w:rPr>
          <w:rFonts w:ascii="Garamond" w:hAnsi="Garamond" w:cs="Arial"/>
          <w:sz w:val="24"/>
          <w:szCs w:val="24"/>
        </w:rPr>
        <w:t xml:space="preserve">s </w:t>
      </w:r>
      <w:r w:rsidR="005701B4">
        <w:rPr>
          <w:rFonts w:ascii="Garamond" w:hAnsi="Garamond" w:cs="Arial"/>
          <w:sz w:val="24"/>
          <w:szCs w:val="24"/>
        </w:rPr>
        <w:t xml:space="preserve">a esta </w:t>
      </w:r>
      <w:r w:rsidR="007A2492" w:rsidRPr="003A1174">
        <w:rPr>
          <w:rFonts w:ascii="Garamond" w:hAnsi="Garamond" w:cs="Arial"/>
          <w:sz w:val="24"/>
          <w:szCs w:val="24"/>
        </w:rPr>
        <w:t>população</w:t>
      </w:r>
      <w:r w:rsidR="00496CB2" w:rsidRPr="003A1174">
        <w:rPr>
          <w:rFonts w:ascii="Garamond" w:hAnsi="Garamond" w:cs="Arial"/>
          <w:sz w:val="24"/>
          <w:szCs w:val="24"/>
        </w:rPr>
        <w:t xml:space="preserve">. </w:t>
      </w:r>
      <w:r w:rsidRPr="003A1174">
        <w:rPr>
          <w:rFonts w:ascii="Garamond" w:hAnsi="Garamond" w:cs="Arial"/>
          <w:sz w:val="24"/>
          <w:szCs w:val="24"/>
        </w:rPr>
        <w:t xml:space="preserve">A </w:t>
      </w:r>
      <w:r w:rsidR="00496CB2" w:rsidRPr="003A1174">
        <w:rPr>
          <w:rFonts w:ascii="Garamond" w:hAnsi="Garamond" w:cs="Arial"/>
          <w:sz w:val="24"/>
          <w:szCs w:val="24"/>
        </w:rPr>
        <w:t>continuidad</w:t>
      </w:r>
      <w:r w:rsidRPr="003A1174">
        <w:rPr>
          <w:rFonts w:ascii="Garamond" w:hAnsi="Garamond" w:cs="Arial"/>
          <w:sz w:val="24"/>
          <w:szCs w:val="24"/>
        </w:rPr>
        <w:t>e</w:t>
      </w:r>
      <w:r w:rsidR="00496CB2" w:rsidRPr="003A1174">
        <w:rPr>
          <w:rFonts w:ascii="Garamond" w:hAnsi="Garamond" w:cs="Arial"/>
          <w:sz w:val="24"/>
          <w:szCs w:val="24"/>
        </w:rPr>
        <w:t xml:space="preserve"> </w:t>
      </w:r>
      <w:r w:rsidR="005701B4">
        <w:rPr>
          <w:rFonts w:ascii="Garamond" w:hAnsi="Garamond" w:cs="Arial"/>
          <w:sz w:val="24"/>
          <w:szCs w:val="24"/>
        </w:rPr>
        <w:t xml:space="preserve">dos serviços prestados por estes </w:t>
      </w:r>
      <w:r w:rsidR="00496CB2" w:rsidRPr="003A1174">
        <w:rPr>
          <w:rFonts w:ascii="Garamond" w:hAnsi="Garamond" w:cs="Arial"/>
          <w:sz w:val="24"/>
          <w:szCs w:val="24"/>
        </w:rPr>
        <w:t>centros depende</w:t>
      </w:r>
      <w:r w:rsidR="005701B4">
        <w:rPr>
          <w:rFonts w:ascii="Garamond" w:hAnsi="Garamond" w:cs="Arial"/>
          <w:sz w:val="24"/>
          <w:szCs w:val="24"/>
        </w:rPr>
        <w:t>,</w:t>
      </w:r>
      <w:r w:rsidR="00496CB2" w:rsidRPr="003A1174">
        <w:rPr>
          <w:rFonts w:ascii="Garamond" w:hAnsi="Garamond" w:cs="Arial"/>
          <w:sz w:val="24"/>
          <w:szCs w:val="24"/>
        </w:rPr>
        <w:t xml:space="preserve"> e</w:t>
      </w:r>
      <w:r w:rsidRPr="003A1174">
        <w:rPr>
          <w:rFonts w:ascii="Garamond" w:hAnsi="Garamond" w:cs="Arial"/>
          <w:sz w:val="24"/>
          <w:szCs w:val="24"/>
        </w:rPr>
        <w:t xml:space="preserve">m </w:t>
      </w:r>
      <w:r w:rsidR="00496CB2" w:rsidRPr="003A1174">
        <w:rPr>
          <w:rFonts w:ascii="Garamond" w:hAnsi="Garamond" w:cs="Arial"/>
          <w:sz w:val="24"/>
          <w:szCs w:val="24"/>
        </w:rPr>
        <w:t>gran</w:t>
      </w:r>
      <w:r w:rsidRPr="003A1174">
        <w:rPr>
          <w:rFonts w:ascii="Garamond" w:hAnsi="Garamond" w:cs="Arial"/>
          <w:sz w:val="24"/>
          <w:szCs w:val="24"/>
        </w:rPr>
        <w:t>de</w:t>
      </w:r>
      <w:r w:rsidR="00496CB2" w:rsidRPr="003A1174">
        <w:rPr>
          <w:rFonts w:ascii="Garamond" w:hAnsi="Garamond" w:cs="Arial"/>
          <w:sz w:val="24"/>
          <w:szCs w:val="24"/>
        </w:rPr>
        <w:t xml:space="preserve"> parte</w:t>
      </w:r>
      <w:r w:rsidR="005701B4">
        <w:rPr>
          <w:rFonts w:ascii="Garamond" w:hAnsi="Garamond" w:cs="Arial"/>
          <w:sz w:val="24"/>
          <w:szCs w:val="24"/>
        </w:rPr>
        <w:t>,</w:t>
      </w:r>
      <w:r w:rsidR="00496CB2" w:rsidRPr="003A1174">
        <w:rPr>
          <w:rFonts w:ascii="Garamond" w:hAnsi="Garamond" w:cs="Arial"/>
          <w:sz w:val="24"/>
          <w:szCs w:val="24"/>
        </w:rPr>
        <w:t xml:space="preserve"> da </w:t>
      </w:r>
      <w:r w:rsidR="00032856" w:rsidRPr="003A1174">
        <w:rPr>
          <w:rFonts w:ascii="Garamond" w:hAnsi="Garamond" w:cs="Arial"/>
          <w:sz w:val="24"/>
          <w:szCs w:val="24"/>
        </w:rPr>
        <w:t>distribuição</w:t>
      </w:r>
      <w:r w:rsidR="00496CB2" w:rsidRPr="003A1174">
        <w:rPr>
          <w:rFonts w:ascii="Garamond" w:hAnsi="Garamond" w:cs="Arial"/>
          <w:sz w:val="24"/>
          <w:szCs w:val="24"/>
        </w:rPr>
        <w:t xml:space="preserve"> de </w:t>
      </w:r>
      <w:r w:rsidR="00E560D8" w:rsidRPr="003A1174">
        <w:rPr>
          <w:rFonts w:ascii="Garamond" w:hAnsi="Garamond" w:cs="Arial"/>
          <w:sz w:val="24"/>
          <w:szCs w:val="24"/>
        </w:rPr>
        <w:t>fundo</w:t>
      </w:r>
      <w:r w:rsidR="00496CB2" w:rsidRPr="003A1174">
        <w:rPr>
          <w:rFonts w:ascii="Garamond" w:hAnsi="Garamond" w:cs="Arial"/>
          <w:sz w:val="24"/>
          <w:szCs w:val="24"/>
        </w:rPr>
        <w:t xml:space="preserve">s </w:t>
      </w:r>
      <w:r w:rsidR="00032856" w:rsidRPr="003A1174">
        <w:rPr>
          <w:rFonts w:ascii="Garamond" w:hAnsi="Garamond" w:cs="Arial"/>
          <w:sz w:val="24"/>
          <w:szCs w:val="24"/>
        </w:rPr>
        <w:t xml:space="preserve">disponibilizados por </w:t>
      </w:r>
      <w:r w:rsidR="00A862C2" w:rsidRPr="003A1174">
        <w:rPr>
          <w:rFonts w:ascii="Garamond" w:hAnsi="Garamond" w:cs="Arial"/>
          <w:sz w:val="24"/>
          <w:szCs w:val="24"/>
        </w:rPr>
        <w:t>vário</w:t>
      </w:r>
      <w:r w:rsidR="00496CB2" w:rsidRPr="003A1174">
        <w:rPr>
          <w:rFonts w:ascii="Garamond" w:hAnsi="Garamond" w:cs="Arial"/>
          <w:sz w:val="24"/>
          <w:szCs w:val="24"/>
        </w:rPr>
        <w:t xml:space="preserve">s </w:t>
      </w:r>
      <w:r w:rsidR="00032856" w:rsidRPr="003A1174">
        <w:rPr>
          <w:rFonts w:ascii="Garamond" w:hAnsi="Garamond" w:cs="Arial"/>
          <w:sz w:val="24"/>
          <w:szCs w:val="24"/>
        </w:rPr>
        <w:t>programas. O</w:t>
      </w:r>
      <w:r w:rsidR="00496CB2" w:rsidRPr="003A1174">
        <w:rPr>
          <w:rFonts w:ascii="Garamond" w:hAnsi="Garamond" w:cs="Arial"/>
          <w:sz w:val="24"/>
          <w:szCs w:val="24"/>
        </w:rPr>
        <w:t xml:space="preserve">s programas </w:t>
      </w:r>
      <w:r w:rsidR="00BA21ED" w:rsidRPr="003A1174">
        <w:rPr>
          <w:rFonts w:ascii="Garamond" w:hAnsi="Garamond" w:cs="Arial"/>
          <w:sz w:val="24"/>
          <w:szCs w:val="24"/>
        </w:rPr>
        <w:t>mais</w:t>
      </w:r>
      <w:r w:rsidR="00496CB2" w:rsidRPr="003A1174">
        <w:rPr>
          <w:rFonts w:ascii="Garamond" w:hAnsi="Garamond" w:cs="Arial"/>
          <w:sz w:val="24"/>
          <w:szCs w:val="24"/>
        </w:rPr>
        <w:t xml:space="preserve"> utilizados para esta problemática </w:t>
      </w:r>
      <w:r w:rsidR="00D75A07" w:rsidRPr="003A1174">
        <w:rPr>
          <w:rFonts w:ascii="Garamond" w:hAnsi="Garamond" w:cs="Arial"/>
          <w:sz w:val="24"/>
          <w:szCs w:val="24"/>
        </w:rPr>
        <w:t>são</w:t>
      </w:r>
      <w:r w:rsidR="0083099D">
        <w:rPr>
          <w:rFonts w:ascii="Garamond" w:hAnsi="Garamond" w:cs="Arial"/>
          <w:sz w:val="24"/>
          <w:szCs w:val="24"/>
        </w:rPr>
        <w:t>:</w:t>
      </w:r>
      <w:r w:rsidR="00496CB2" w:rsidRPr="003A1174">
        <w:rPr>
          <w:rFonts w:ascii="Garamond" w:hAnsi="Garamond" w:cs="Arial"/>
          <w:sz w:val="24"/>
          <w:szCs w:val="24"/>
        </w:rPr>
        <w:t xml:space="preserve"> </w:t>
      </w:r>
      <w:r w:rsidR="00032856" w:rsidRPr="003A1174">
        <w:rPr>
          <w:rFonts w:ascii="Garamond" w:hAnsi="Garamond" w:cs="Arial"/>
          <w:sz w:val="24"/>
          <w:szCs w:val="24"/>
        </w:rPr>
        <w:t>o</w:t>
      </w:r>
      <w:r w:rsidR="00496CB2" w:rsidRPr="003A1174">
        <w:rPr>
          <w:rFonts w:ascii="Garamond" w:hAnsi="Garamond" w:cs="Arial"/>
          <w:sz w:val="24"/>
          <w:szCs w:val="24"/>
        </w:rPr>
        <w:t xml:space="preserve"> Programa </w:t>
      </w:r>
      <w:r w:rsidR="005701B4">
        <w:rPr>
          <w:rFonts w:ascii="Garamond" w:hAnsi="Garamond" w:cs="Arial"/>
          <w:sz w:val="24"/>
          <w:szCs w:val="24"/>
        </w:rPr>
        <w:t>«</w:t>
      </w:r>
      <w:r w:rsidR="00496CB2" w:rsidRPr="003A1174">
        <w:rPr>
          <w:rFonts w:ascii="Garamond" w:hAnsi="Garamond" w:cs="Arial"/>
          <w:i/>
          <w:sz w:val="24"/>
          <w:szCs w:val="24"/>
        </w:rPr>
        <w:t>STOP VAW</w:t>
      </w:r>
      <w:r w:rsidR="005701B4">
        <w:rPr>
          <w:rFonts w:ascii="Garamond" w:hAnsi="Garamond" w:cs="Arial"/>
          <w:i/>
          <w:sz w:val="24"/>
          <w:szCs w:val="24"/>
        </w:rPr>
        <w:t>»</w:t>
      </w:r>
      <w:r w:rsidR="00496CB2" w:rsidRPr="003A1174">
        <w:rPr>
          <w:rFonts w:ascii="Garamond" w:hAnsi="Garamond" w:cs="Arial"/>
          <w:sz w:val="24"/>
          <w:szCs w:val="24"/>
        </w:rPr>
        <w:t xml:space="preserve"> </w:t>
      </w:r>
      <w:r w:rsidR="005701B4">
        <w:rPr>
          <w:rFonts w:ascii="Garamond" w:hAnsi="Garamond" w:cs="Arial"/>
          <w:sz w:val="24"/>
          <w:szCs w:val="24"/>
        </w:rPr>
        <w:t>(«</w:t>
      </w:r>
      <w:r w:rsidR="00032856" w:rsidRPr="003A1174">
        <w:rPr>
          <w:rFonts w:ascii="Garamond" w:hAnsi="Garamond" w:cs="Arial"/>
          <w:i/>
          <w:sz w:val="24"/>
          <w:szCs w:val="24"/>
        </w:rPr>
        <w:t xml:space="preserve">Pare </w:t>
      </w:r>
      <w:r w:rsidR="007E4CED" w:rsidRPr="003A1174">
        <w:rPr>
          <w:rFonts w:ascii="Garamond" w:hAnsi="Garamond" w:cs="Arial"/>
          <w:i/>
          <w:sz w:val="24"/>
          <w:szCs w:val="24"/>
        </w:rPr>
        <w:t xml:space="preserve">a </w:t>
      </w:r>
      <w:r w:rsidR="000350B1" w:rsidRPr="003A1174">
        <w:rPr>
          <w:rFonts w:ascii="Garamond" w:hAnsi="Garamond" w:cs="Arial"/>
          <w:i/>
          <w:sz w:val="24"/>
          <w:szCs w:val="24"/>
        </w:rPr>
        <w:t>violência</w:t>
      </w:r>
      <w:r w:rsidR="007E4CED" w:rsidRPr="003A1174">
        <w:rPr>
          <w:rFonts w:ascii="Garamond" w:hAnsi="Garamond" w:cs="Arial"/>
          <w:i/>
          <w:sz w:val="24"/>
          <w:szCs w:val="24"/>
        </w:rPr>
        <w:t xml:space="preserve"> </w:t>
      </w:r>
      <w:r w:rsidR="00BB2B00" w:rsidRPr="003A1174">
        <w:rPr>
          <w:rFonts w:ascii="Garamond" w:hAnsi="Garamond" w:cs="Arial"/>
          <w:i/>
          <w:sz w:val="24"/>
          <w:szCs w:val="24"/>
        </w:rPr>
        <w:t>contra a</w:t>
      </w:r>
      <w:r w:rsidR="007E4CED" w:rsidRPr="003A1174">
        <w:rPr>
          <w:rFonts w:ascii="Garamond" w:hAnsi="Garamond" w:cs="Arial"/>
          <w:i/>
          <w:sz w:val="24"/>
          <w:szCs w:val="24"/>
        </w:rPr>
        <w:t xml:space="preserve">s </w:t>
      </w:r>
      <w:r w:rsidR="00054EE0" w:rsidRPr="003A1174">
        <w:rPr>
          <w:rFonts w:ascii="Garamond" w:hAnsi="Garamond" w:cs="Arial"/>
          <w:i/>
          <w:sz w:val="24"/>
          <w:szCs w:val="24"/>
        </w:rPr>
        <w:t>mulheres</w:t>
      </w:r>
      <w:r w:rsidR="005701B4">
        <w:rPr>
          <w:rFonts w:ascii="Garamond" w:hAnsi="Garamond" w:cs="Arial"/>
          <w:i/>
          <w:sz w:val="24"/>
          <w:szCs w:val="24"/>
        </w:rPr>
        <w:t>»</w:t>
      </w:r>
      <w:r w:rsidR="005701B4">
        <w:rPr>
          <w:rFonts w:ascii="Garamond" w:hAnsi="Garamond" w:cs="Arial"/>
          <w:sz w:val="24"/>
          <w:szCs w:val="24"/>
        </w:rPr>
        <w:t>)</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032856" w:rsidRPr="003A1174">
        <w:rPr>
          <w:rFonts w:ascii="Garamond" w:hAnsi="Garamond" w:cs="Arial"/>
          <w:sz w:val="24"/>
          <w:szCs w:val="24"/>
        </w:rPr>
        <w:t>o</w:t>
      </w:r>
      <w:r w:rsidR="00496CB2" w:rsidRPr="003A1174">
        <w:rPr>
          <w:rFonts w:ascii="Garamond" w:hAnsi="Garamond" w:cs="Arial"/>
          <w:sz w:val="24"/>
          <w:szCs w:val="24"/>
        </w:rPr>
        <w:t xml:space="preserve"> </w:t>
      </w:r>
      <w:r w:rsidR="00496CB2" w:rsidRPr="003A1174">
        <w:rPr>
          <w:rFonts w:ascii="Garamond" w:eastAsia="Calibri" w:hAnsi="Garamond" w:cs="Arial"/>
          <w:sz w:val="24"/>
          <w:szCs w:val="24"/>
        </w:rPr>
        <w:t xml:space="preserve">Programa de </w:t>
      </w:r>
      <w:r w:rsidR="00E560D8" w:rsidRPr="003A1174">
        <w:rPr>
          <w:rFonts w:ascii="Garamond" w:eastAsia="Calibri" w:hAnsi="Garamond" w:cs="Arial"/>
          <w:sz w:val="24"/>
          <w:szCs w:val="24"/>
        </w:rPr>
        <w:t>Fundo</w:t>
      </w:r>
      <w:r w:rsidR="00496CB2" w:rsidRPr="003A1174">
        <w:rPr>
          <w:rFonts w:ascii="Garamond" w:eastAsia="Calibri" w:hAnsi="Garamond" w:cs="Arial"/>
          <w:sz w:val="24"/>
          <w:szCs w:val="24"/>
        </w:rPr>
        <w:t xml:space="preserve"> de Estímulo Económico,</w:t>
      </w:r>
      <w:r w:rsidR="00032856" w:rsidRPr="003A1174">
        <w:rPr>
          <w:rFonts w:ascii="Garamond" w:hAnsi="Garamond" w:cs="Arial"/>
          <w:sz w:val="24"/>
          <w:szCs w:val="24"/>
        </w:rPr>
        <w:t xml:space="preserve"> </w:t>
      </w:r>
      <w:r w:rsidR="005701B4">
        <w:rPr>
          <w:rFonts w:ascii="Garamond" w:hAnsi="Garamond" w:cs="Arial"/>
          <w:sz w:val="24"/>
          <w:szCs w:val="24"/>
        </w:rPr>
        <w:t xml:space="preserve">em que </w:t>
      </w:r>
      <w:r w:rsidR="00032856" w:rsidRPr="003A1174">
        <w:rPr>
          <w:rFonts w:ascii="Garamond" w:hAnsi="Garamond" w:cs="Arial"/>
          <w:sz w:val="24"/>
          <w:szCs w:val="24"/>
        </w:rPr>
        <w:t xml:space="preserve">o </w:t>
      </w:r>
      <w:r w:rsidR="00496CB2" w:rsidRPr="003A1174">
        <w:rPr>
          <w:rFonts w:ascii="Garamond" w:eastAsia="Calibri" w:hAnsi="Garamond" w:cs="Arial"/>
          <w:sz w:val="24"/>
          <w:szCs w:val="24"/>
        </w:rPr>
        <w:t xml:space="preserve">Departamento de </w:t>
      </w:r>
      <w:r w:rsidR="00FC1F7F" w:rsidRPr="003A1174">
        <w:rPr>
          <w:rFonts w:ascii="Garamond" w:eastAsia="Calibri" w:hAnsi="Garamond" w:cs="Arial"/>
          <w:sz w:val="24"/>
          <w:szCs w:val="24"/>
        </w:rPr>
        <w:t>Justiça</w:t>
      </w:r>
      <w:r w:rsidR="00496CB2" w:rsidRPr="003A1174">
        <w:rPr>
          <w:rFonts w:ascii="Garamond" w:eastAsia="Calibri" w:hAnsi="Garamond" w:cs="Arial"/>
          <w:sz w:val="24"/>
          <w:szCs w:val="24"/>
        </w:rPr>
        <w:t xml:space="preserve"> </w:t>
      </w:r>
      <w:r w:rsidR="005701B4">
        <w:rPr>
          <w:rFonts w:ascii="Garamond" w:eastAsia="Calibri" w:hAnsi="Garamond" w:cs="Arial"/>
          <w:sz w:val="24"/>
          <w:szCs w:val="24"/>
        </w:rPr>
        <w:t>F</w:t>
      </w:r>
      <w:r w:rsidR="00496CB2" w:rsidRPr="003A1174">
        <w:rPr>
          <w:rFonts w:ascii="Garamond" w:eastAsia="Calibri" w:hAnsi="Garamond" w:cs="Arial"/>
          <w:sz w:val="24"/>
          <w:szCs w:val="24"/>
        </w:rPr>
        <w:t>ederal a</w:t>
      </w:r>
      <w:r w:rsidR="00032856" w:rsidRPr="003A1174">
        <w:rPr>
          <w:rFonts w:ascii="Garamond" w:eastAsia="Calibri" w:hAnsi="Garamond" w:cs="Arial"/>
          <w:sz w:val="24"/>
          <w:szCs w:val="24"/>
        </w:rPr>
        <w:t xml:space="preserve">tribui </w:t>
      </w:r>
      <w:proofErr w:type="gramStart"/>
      <w:r w:rsidR="00E560D8" w:rsidRPr="003A1174">
        <w:rPr>
          <w:rFonts w:ascii="Garamond" w:eastAsia="Calibri" w:hAnsi="Garamond" w:cs="Arial"/>
          <w:sz w:val="24"/>
          <w:szCs w:val="24"/>
        </w:rPr>
        <w:t>fundo</w:t>
      </w:r>
      <w:r w:rsidR="00496CB2" w:rsidRPr="003A1174">
        <w:rPr>
          <w:rFonts w:ascii="Garamond" w:eastAsia="Calibri" w:hAnsi="Garamond" w:cs="Arial"/>
          <w:sz w:val="24"/>
          <w:szCs w:val="24"/>
        </w:rPr>
        <w:t>s</w:t>
      </w:r>
      <w:proofErr w:type="gramEnd"/>
      <w:r w:rsidR="00496CB2" w:rsidRPr="003A1174">
        <w:rPr>
          <w:rFonts w:ascii="Garamond" w:eastAsia="Calibri" w:hAnsi="Garamond" w:cs="Arial"/>
          <w:sz w:val="24"/>
          <w:szCs w:val="24"/>
        </w:rPr>
        <w:t xml:space="preserve"> </w:t>
      </w:r>
      <w:r w:rsidR="00032856" w:rsidRPr="003A1174">
        <w:rPr>
          <w:rFonts w:ascii="Garamond" w:eastAsia="Calibri" w:hAnsi="Garamond" w:cs="Arial"/>
          <w:sz w:val="24"/>
          <w:szCs w:val="24"/>
        </w:rPr>
        <w:t xml:space="preserve">através de </w:t>
      </w:r>
      <w:r w:rsidR="0083099D">
        <w:rPr>
          <w:rFonts w:ascii="Garamond" w:eastAsia="Calibri" w:hAnsi="Garamond" w:cs="Arial"/>
          <w:sz w:val="24"/>
          <w:szCs w:val="24"/>
        </w:rPr>
        <w:t xml:space="preserve">regras </w:t>
      </w:r>
      <w:r w:rsidR="00E67EF8" w:rsidRPr="003A1174">
        <w:rPr>
          <w:rFonts w:ascii="Garamond" w:eastAsia="Calibri" w:hAnsi="Garamond" w:cs="Arial"/>
          <w:sz w:val="24"/>
          <w:szCs w:val="24"/>
        </w:rPr>
        <w:t>estabelecid</w:t>
      </w:r>
      <w:r w:rsidR="0083099D">
        <w:rPr>
          <w:rFonts w:ascii="Garamond" w:eastAsia="Calibri" w:hAnsi="Garamond" w:cs="Arial"/>
          <w:sz w:val="24"/>
          <w:szCs w:val="24"/>
        </w:rPr>
        <w:t>as</w:t>
      </w:r>
      <w:r w:rsidR="00496CB2" w:rsidRPr="003A1174">
        <w:rPr>
          <w:rFonts w:ascii="Garamond" w:eastAsia="Calibri" w:hAnsi="Garamond" w:cs="Arial"/>
          <w:sz w:val="24"/>
          <w:szCs w:val="24"/>
        </w:rPr>
        <w:t xml:space="preserve">. </w:t>
      </w:r>
    </w:p>
    <w:p w:rsidR="007E4CED" w:rsidRPr="003A1174" w:rsidRDefault="007407BD" w:rsidP="00032856">
      <w:pPr>
        <w:spacing w:before="240" w:after="0" w:line="240" w:lineRule="auto"/>
        <w:jc w:val="both"/>
        <w:rPr>
          <w:rFonts w:ascii="Garamond" w:hAnsi="Garamond" w:cs="Arial"/>
          <w:i/>
          <w:color w:val="000000"/>
          <w:sz w:val="24"/>
          <w:szCs w:val="24"/>
        </w:rPr>
      </w:pPr>
      <w:r w:rsidRPr="003A1174">
        <w:rPr>
          <w:rFonts w:ascii="Garamond" w:eastAsia="Calibri" w:hAnsi="Garamond" w:cs="Arial"/>
          <w:sz w:val="24"/>
          <w:szCs w:val="24"/>
        </w:rPr>
        <w:t>Estes</w:t>
      </w:r>
      <w:r w:rsidR="00496CB2" w:rsidRPr="003A1174">
        <w:rPr>
          <w:rFonts w:ascii="Garamond" w:eastAsia="Calibri" w:hAnsi="Garamond" w:cs="Arial"/>
          <w:sz w:val="24"/>
          <w:szCs w:val="24"/>
        </w:rPr>
        <w:t xml:space="preserve"> </w:t>
      </w:r>
      <w:r w:rsidR="00E560D8" w:rsidRPr="003A1174">
        <w:rPr>
          <w:rFonts w:ascii="Garamond" w:eastAsia="Calibri" w:hAnsi="Garamond" w:cs="Arial"/>
          <w:sz w:val="24"/>
          <w:szCs w:val="24"/>
        </w:rPr>
        <w:t>fundo</w:t>
      </w:r>
      <w:r w:rsidR="00496CB2" w:rsidRPr="003A1174">
        <w:rPr>
          <w:rFonts w:ascii="Garamond" w:eastAsia="Calibri" w:hAnsi="Garamond" w:cs="Arial"/>
          <w:sz w:val="24"/>
          <w:szCs w:val="24"/>
        </w:rPr>
        <w:t>s utiliza</w:t>
      </w:r>
      <w:r w:rsidR="00032856" w:rsidRPr="003A1174">
        <w:rPr>
          <w:rFonts w:ascii="Garamond" w:eastAsia="Calibri" w:hAnsi="Garamond" w:cs="Arial"/>
          <w:sz w:val="24"/>
          <w:szCs w:val="24"/>
        </w:rPr>
        <w:t xml:space="preserve">m-se para </w:t>
      </w:r>
      <w:r w:rsidR="00496CB2" w:rsidRPr="003A1174">
        <w:rPr>
          <w:rFonts w:ascii="Garamond" w:eastAsia="Calibri" w:hAnsi="Garamond" w:cs="Arial"/>
          <w:sz w:val="24"/>
          <w:szCs w:val="24"/>
        </w:rPr>
        <w:t xml:space="preserve">a </w:t>
      </w:r>
      <w:r w:rsidR="00081B57" w:rsidRPr="003A1174">
        <w:rPr>
          <w:rFonts w:ascii="Garamond" w:eastAsia="Calibri" w:hAnsi="Garamond" w:cs="Arial"/>
          <w:sz w:val="24"/>
          <w:szCs w:val="24"/>
        </w:rPr>
        <w:t>orientação</w:t>
      </w:r>
      <w:r w:rsidR="00496CB2" w:rsidRPr="003A1174">
        <w:rPr>
          <w:rFonts w:ascii="Garamond" w:eastAsia="Calibri" w:hAnsi="Garamond" w:cs="Arial"/>
          <w:sz w:val="24"/>
          <w:szCs w:val="24"/>
        </w:rPr>
        <w:t xml:space="preserve">, </w:t>
      </w:r>
      <w:r w:rsidR="00976FB8" w:rsidRPr="003A1174">
        <w:rPr>
          <w:rFonts w:ascii="Garamond" w:eastAsia="Calibri" w:hAnsi="Garamond" w:cs="Arial"/>
          <w:sz w:val="24"/>
          <w:szCs w:val="24"/>
        </w:rPr>
        <w:t>intervenção</w:t>
      </w:r>
      <w:r w:rsidR="00496CB2" w:rsidRPr="003A1174">
        <w:rPr>
          <w:rFonts w:ascii="Garamond" w:eastAsia="Calibri" w:hAnsi="Garamond" w:cs="Arial"/>
          <w:sz w:val="24"/>
          <w:szCs w:val="24"/>
        </w:rPr>
        <w:t xml:space="preserve"> e</w:t>
      </w:r>
      <w:r w:rsidR="00032856" w:rsidRPr="003A1174">
        <w:rPr>
          <w:rFonts w:ascii="Garamond" w:eastAsia="Calibri" w:hAnsi="Garamond" w:cs="Arial"/>
          <w:sz w:val="24"/>
          <w:szCs w:val="24"/>
        </w:rPr>
        <w:t>m</w:t>
      </w:r>
      <w:r w:rsidR="00496CB2" w:rsidRPr="003A1174">
        <w:rPr>
          <w:rFonts w:ascii="Garamond" w:eastAsia="Calibri" w:hAnsi="Garamond" w:cs="Arial"/>
          <w:sz w:val="24"/>
          <w:szCs w:val="24"/>
        </w:rPr>
        <w:t xml:space="preserve"> </w:t>
      </w:r>
      <w:r w:rsidR="0083099D">
        <w:rPr>
          <w:rFonts w:ascii="Garamond" w:eastAsia="Calibri" w:hAnsi="Garamond" w:cs="Arial"/>
          <w:sz w:val="24"/>
          <w:szCs w:val="24"/>
        </w:rPr>
        <w:t xml:space="preserve">situações de </w:t>
      </w:r>
      <w:r w:rsidR="00496CB2" w:rsidRPr="003A1174">
        <w:rPr>
          <w:rFonts w:ascii="Garamond" w:eastAsia="Calibri" w:hAnsi="Garamond" w:cs="Arial"/>
          <w:sz w:val="24"/>
          <w:szCs w:val="24"/>
        </w:rPr>
        <w:t>cris</w:t>
      </w:r>
      <w:r w:rsidR="00032856" w:rsidRPr="003A1174">
        <w:rPr>
          <w:rFonts w:ascii="Garamond" w:eastAsia="Calibri" w:hAnsi="Garamond" w:cs="Arial"/>
          <w:sz w:val="24"/>
          <w:szCs w:val="24"/>
        </w:rPr>
        <w:t xml:space="preserve">e e para </w:t>
      </w:r>
      <w:r w:rsidR="00496CB2" w:rsidRPr="003A1174">
        <w:rPr>
          <w:rFonts w:ascii="Garamond" w:eastAsia="Calibri" w:hAnsi="Garamond" w:cs="Arial"/>
          <w:sz w:val="24"/>
          <w:szCs w:val="24"/>
        </w:rPr>
        <w:t xml:space="preserve">a </w:t>
      </w:r>
      <w:r w:rsidR="002470B1" w:rsidRPr="003A1174">
        <w:rPr>
          <w:rFonts w:ascii="Garamond" w:eastAsia="Calibri" w:hAnsi="Garamond" w:cs="Arial"/>
          <w:sz w:val="24"/>
          <w:szCs w:val="24"/>
        </w:rPr>
        <w:t>coordenação</w:t>
      </w:r>
      <w:r w:rsidR="00496CB2" w:rsidRPr="003A1174">
        <w:rPr>
          <w:rFonts w:ascii="Garamond" w:eastAsia="Calibri" w:hAnsi="Garamond" w:cs="Arial"/>
          <w:sz w:val="24"/>
          <w:szCs w:val="24"/>
        </w:rPr>
        <w:t xml:space="preserve"> de </w:t>
      </w:r>
      <w:r w:rsidR="00B531F2" w:rsidRPr="003A1174">
        <w:rPr>
          <w:rFonts w:ascii="Garamond" w:eastAsia="Calibri" w:hAnsi="Garamond" w:cs="Arial"/>
          <w:sz w:val="24"/>
          <w:szCs w:val="24"/>
        </w:rPr>
        <w:t>serviço</w:t>
      </w:r>
      <w:r w:rsidR="00496CB2" w:rsidRPr="003A1174">
        <w:rPr>
          <w:rFonts w:ascii="Garamond" w:eastAsia="Calibri" w:hAnsi="Garamond" w:cs="Arial"/>
          <w:sz w:val="24"/>
          <w:szCs w:val="24"/>
        </w:rPr>
        <w:t xml:space="preserve">s a </w:t>
      </w:r>
      <w:r w:rsidR="008278C4" w:rsidRPr="003A1174">
        <w:rPr>
          <w:rFonts w:ascii="Garamond" w:eastAsia="Calibri" w:hAnsi="Garamond" w:cs="Arial"/>
          <w:sz w:val="24"/>
          <w:szCs w:val="24"/>
        </w:rPr>
        <w:t>sobrevivente</w:t>
      </w:r>
      <w:r w:rsidR="00496CB2" w:rsidRPr="003A1174">
        <w:rPr>
          <w:rFonts w:ascii="Garamond" w:eastAsia="Calibri" w:hAnsi="Garamond" w:cs="Arial"/>
          <w:sz w:val="24"/>
          <w:szCs w:val="24"/>
        </w:rPr>
        <w:t xml:space="preserve">s de </w:t>
      </w:r>
      <w:r w:rsidR="000350B1" w:rsidRPr="003A1174">
        <w:rPr>
          <w:rFonts w:ascii="Garamond" w:eastAsia="Calibri" w:hAnsi="Garamond" w:cs="Arial"/>
          <w:sz w:val="24"/>
          <w:szCs w:val="24"/>
        </w:rPr>
        <w:t>violência</w:t>
      </w:r>
      <w:r w:rsidR="00496CB2" w:rsidRPr="003A1174">
        <w:rPr>
          <w:rFonts w:ascii="Garamond" w:eastAsia="Calibri" w:hAnsi="Garamond" w:cs="Arial"/>
          <w:sz w:val="24"/>
          <w:szCs w:val="24"/>
        </w:rPr>
        <w:t xml:space="preserve"> doméstica, </w:t>
      </w:r>
      <w:r w:rsidR="009A0623" w:rsidRPr="003A1174">
        <w:rPr>
          <w:rFonts w:ascii="Garamond" w:eastAsia="Calibri" w:hAnsi="Garamond" w:cs="Arial"/>
          <w:sz w:val="24"/>
          <w:szCs w:val="24"/>
        </w:rPr>
        <w:t>agressão</w:t>
      </w:r>
      <w:r w:rsidR="00496CB2" w:rsidRPr="003A1174">
        <w:rPr>
          <w:rFonts w:ascii="Garamond" w:eastAsia="Calibri" w:hAnsi="Garamond" w:cs="Arial"/>
          <w:sz w:val="24"/>
          <w:szCs w:val="24"/>
        </w:rPr>
        <w:t xml:space="preserve"> sexual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A13226" w:rsidRPr="003A1174">
        <w:rPr>
          <w:rFonts w:ascii="Garamond" w:eastAsia="Calibri" w:hAnsi="Garamond" w:cs="Arial"/>
          <w:sz w:val="24"/>
          <w:szCs w:val="24"/>
        </w:rPr>
        <w:t>ameaça</w:t>
      </w:r>
      <w:r w:rsidR="00496CB2" w:rsidRPr="003A1174">
        <w:rPr>
          <w:rFonts w:ascii="Garamond" w:eastAsia="Calibri" w:hAnsi="Garamond" w:cs="Arial"/>
          <w:sz w:val="24"/>
          <w:szCs w:val="24"/>
        </w:rPr>
        <w:t xml:space="preserve">. </w:t>
      </w:r>
      <w:r w:rsidR="00032856" w:rsidRPr="003A1174">
        <w:rPr>
          <w:rFonts w:ascii="Garamond" w:eastAsia="Calibri" w:hAnsi="Garamond" w:cs="Arial"/>
          <w:sz w:val="24"/>
          <w:szCs w:val="24"/>
        </w:rPr>
        <w:t>O</w:t>
      </w:r>
      <w:r w:rsidR="00496CB2" w:rsidRPr="003A1174">
        <w:rPr>
          <w:rFonts w:ascii="Garamond" w:eastAsia="Calibri" w:hAnsi="Garamond" w:cs="Arial"/>
          <w:sz w:val="24"/>
          <w:szCs w:val="24"/>
        </w:rPr>
        <w:t xml:space="preserve">s </w:t>
      </w:r>
      <w:r w:rsidR="00E560D8" w:rsidRPr="003A1174">
        <w:rPr>
          <w:rFonts w:ascii="Garamond" w:eastAsia="Calibri" w:hAnsi="Garamond" w:cs="Arial"/>
          <w:sz w:val="24"/>
          <w:szCs w:val="24"/>
        </w:rPr>
        <w:t>fundo</w:t>
      </w:r>
      <w:r w:rsidR="00496CB2" w:rsidRPr="003A1174">
        <w:rPr>
          <w:rFonts w:ascii="Garamond" w:eastAsia="Calibri" w:hAnsi="Garamond" w:cs="Arial"/>
          <w:sz w:val="24"/>
          <w:szCs w:val="24"/>
        </w:rPr>
        <w:t xml:space="preserve">s </w:t>
      </w:r>
      <w:r w:rsidR="00E85E59" w:rsidRPr="003A1174">
        <w:rPr>
          <w:rFonts w:ascii="Garamond" w:eastAsia="Calibri" w:hAnsi="Garamond" w:cs="Arial"/>
          <w:sz w:val="24"/>
          <w:szCs w:val="24"/>
        </w:rPr>
        <w:t>do</w:t>
      </w:r>
      <w:r w:rsidR="00496CB2" w:rsidRPr="003A1174">
        <w:rPr>
          <w:rFonts w:ascii="Garamond" w:eastAsia="Calibri" w:hAnsi="Garamond" w:cs="Arial"/>
          <w:sz w:val="24"/>
          <w:szCs w:val="24"/>
        </w:rPr>
        <w:t xml:space="preserve"> Programa SASP, </w:t>
      </w:r>
      <w:r w:rsidR="0083099D">
        <w:rPr>
          <w:rFonts w:ascii="Garamond" w:eastAsia="Calibri" w:hAnsi="Garamond" w:cs="Arial"/>
          <w:sz w:val="24"/>
          <w:szCs w:val="24"/>
        </w:rPr>
        <w:t>(</w:t>
      </w:r>
      <w:r w:rsidR="00496CB2" w:rsidRPr="003A1174">
        <w:rPr>
          <w:rFonts w:ascii="Garamond" w:eastAsia="Calibri" w:hAnsi="Garamond" w:cs="Arial"/>
          <w:sz w:val="24"/>
          <w:szCs w:val="24"/>
        </w:rPr>
        <w:t>Programa de Subven</w:t>
      </w:r>
      <w:r w:rsidR="00032856" w:rsidRPr="003A1174">
        <w:rPr>
          <w:rFonts w:ascii="Garamond" w:eastAsia="Calibri" w:hAnsi="Garamond" w:cs="Arial"/>
          <w:sz w:val="24"/>
          <w:szCs w:val="24"/>
        </w:rPr>
        <w:t xml:space="preserve">ção </w:t>
      </w:r>
      <w:r w:rsidR="00496CB2" w:rsidRPr="003A1174">
        <w:rPr>
          <w:rFonts w:ascii="Garamond" w:eastAsia="Calibri" w:hAnsi="Garamond" w:cs="Arial"/>
          <w:sz w:val="24"/>
          <w:szCs w:val="24"/>
        </w:rPr>
        <w:t xml:space="preserve">para </w:t>
      </w:r>
      <w:r w:rsidR="00B531F2" w:rsidRPr="003A1174">
        <w:rPr>
          <w:rFonts w:ascii="Garamond" w:eastAsia="Calibri" w:hAnsi="Garamond" w:cs="Arial"/>
          <w:sz w:val="24"/>
          <w:szCs w:val="24"/>
        </w:rPr>
        <w:t>Serviço</w:t>
      </w:r>
      <w:r w:rsidR="00496CB2" w:rsidRPr="003A1174">
        <w:rPr>
          <w:rFonts w:ascii="Garamond" w:eastAsia="Calibri" w:hAnsi="Garamond" w:cs="Arial"/>
          <w:sz w:val="24"/>
          <w:szCs w:val="24"/>
        </w:rPr>
        <w:t xml:space="preserve">s de </w:t>
      </w:r>
      <w:r w:rsidR="009A0623" w:rsidRPr="003A1174">
        <w:rPr>
          <w:rFonts w:ascii="Garamond" w:eastAsia="Calibri" w:hAnsi="Garamond" w:cs="Arial"/>
          <w:sz w:val="24"/>
          <w:szCs w:val="24"/>
        </w:rPr>
        <w:t>Agressão</w:t>
      </w:r>
      <w:r w:rsidR="00496CB2" w:rsidRPr="003A1174">
        <w:rPr>
          <w:rFonts w:ascii="Garamond" w:eastAsia="Calibri" w:hAnsi="Garamond" w:cs="Arial"/>
          <w:sz w:val="24"/>
          <w:szCs w:val="24"/>
        </w:rPr>
        <w:t xml:space="preserve"> Sexual</w:t>
      </w:r>
      <w:r w:rsidR="0083099D">
        <w:rPr>
          <w:rFonts w:ascii="Garamond" w:eastAsia="Calibri" w:hAnsi="Garamond" w:cs="Arial"/>
          <w:sz w:val="24"/>
          <w:szCs w:val="24"/>
        </w:rPr>
        <w:t>)</w:t>
      </w:r>
      <w:r w:rsidR="00496CB2" w:rsidRPr="003A1174">
        <w:rPr>
          <w:rFonts w:ascii="Garamond" w:eastAsia="Calibri" w:hAnsi="Garamond" w:cs="Arial"/>
          <w:sz w:val="24"/>
          <w:szCs w:val="24"/>
        </w:rPr>
        <w:t>, utiliza</w:t>
      </w:r>
      <w:r w:rsidR="00032856" w:rsidRPr="003A1174">
        <w:rPr>
          <w:rFonts w:ascii="Garamond" w:eastAsia="Calibri" w:hAnsi="Garamond" w:cs="Arial"/>
          <w:sz w:val="24"/>
          <w:szCs w:val="24"/>
        </w:rPr>
        <w:t xml:space="preserve">m-se </w:t>
      </w:r>
      <w:r w:rsidR="00496CB2" w:rsidRPr="003A1174">
        <w:rPr>
          <w:rFonts w:ascii="Garamond" w:eastAsia="Calibri" w:hAnsi="Garamond" w:cs="Arial"/>
          <w:sz w:val="24"/>
          <w:szCs w:val="24"/>
        </w:rPr>
        <w:t xml:space="preserve">para </w:t>
      </w:r>
      <w:r w:rsidR="00E560D8" w:rsidRPr="003A1174">
        <w:rPr>
          <w:rFonts w:ascii="Garamond" w:eastAsia="Calibri" w:hAnsi="Garamond" w:cs="Arial"/>
          <w:sz w:val="24"/>
          <w:szCs w:val="24"/>
        </w:rPr>
        <w:t>apoiar</w:t>
      </w:r>
      <w:r w:rsidR="00496CB2" w:rsidRPr="003A1174">
        <w:rPr>
          <w:rFonts w:ascii="Garamond" w:eastAsia="Calibri" w:hAnsi="Garamond" w:cs="Arial"/>
          <w:sz w:val="24"/>
          <w:szCs w:val="24"/>
        </w:rPr>
        <w:t xml:space="preserve">, manter </w:t>
      </w:r>
      <w:r w:rsidR="000672E8" w:rsidRPr="003A1174">
        <w:rPr>
          <w:rFonts w:ascii="Garamond" w:eastAsia="Calibri" w:hAnsi="Garamond" w:cs="Arial"/>
          <w:sz w:val="24"/>
          <w:szCs w:val="24"/>
        </w:rPr>
        <w:t>e</w:t>
      </w:r>
      <w:r w:rsidR="00032856" w:rsidRPr="003A1174">
        <w:rPr>
          <w:rFonts w:ascii="Garamond" w:eastAsia="Calibri" w:hAnsi="Garamond" w:cs="Arial"/>
          <w:sz w:val="24"/>
          <w:szCs w:val="24"/>
        </w:rPr>
        <w:t xml:space="preserve"> expandir </w:t>
      </w:r>
      <w:r w:rsidR="00496CB2" w:rsidRPr="003A1174">
        <w:rPr>
          <w:rFonts w:ascii="Garamond" w:eastAsia="Calibri" w:hAnsi="Garamond" w:cs="Arial"/>
          <w:sz w:val="24"/>
          <w:szCs w:val="24"/>
        </w:rPr>
        <w:t>os centros</w:t>
      </w:r>
      <w:r w:rsidR="0083099D">
        <w:rPr>
          <w:rFonts w:ascii="Garamond" w:eastAsia="Calibri" w:hAnsi="Garamond" w:cs="Arial"/>
          <w:sz w:val="24"/>
          <w:szCs w:val="24"/>
        </w:rPr>
        <w:t xml:space="preserve"> de abrigo</w:t>
      </w:r>
      <w:r w:rsidR="00496CB2" w:rsidRPr="003A1174">
        <w:rPr>
          <w:rFonts w:ascii="Garamond" w:eastAsia="Calibri" w:hAnsi="Garamond" w:cs="Arial"/>
          <w:sz w:val="24"/>
          <w:szCs w:val="24"/>
        </w:rPr>
        <w:t xml:space="preserve"> para </w:t>
      </w:r>
      <w:r w:rsidR="003F012B" w:rsidRPr="003A1174">
        <w:rPr>
          <w:rFonts w:ascii="Garamond" w:eastAsia="Calibri" w:hAnsi="Garamond" w:cs="Arial"/>
          <w:sz w:val="24"/>
          <w:szCs w:val="24"/>
        </w:rPr>
        <w:t>vítima</w:t>
      </w:r>
      <w:r w:rsidR="00496CB2" w:rsidRPr="003A1174">
        <w:rPr>
          <w:rFonts w:ascii="Garamond" w:eastAsia="Calibri" w:hAnsi="Garamond" w:cs="Arial"/>
          <w:sz w:val="24"/>
          <w:szCs w:val="24"/>
        </w:rPr>
        <w:t xml:space="preserve">s de </w:t>
      </w:r>
      <w:r w:rsidR="009A0623" w:rsidRPr="003A1174">
        <w:rPr>
          <w:rFonts w:ascii="Garamond" w:eastAsia="Calibri" w:hAnsi="Garamond" w:cs="Arial"/>
          <w:sz w:val="24"/>
          <w:szCs w:val="24"/>
        </w:rPr>
        <w:t>agressão</w:t>
      </w:r>
      <w:r w:rsidR="00496CB2" w:rsidRPr="003A1174">
        <w:rPr>
          <w:rFonts w:ascii="Garamond" w:eastAsia="Calibri" w:hAnsi="Garamond" w:cs="Arial"/>
          <w:sz w:val="24"/>
          <w:szCs w:val="24"/>
        </w:rPr>
        <w:t xml:space="preserve"> sexual. D</w:t>
      </w:r>
      <w:r w:rsidR="00032856" w:rsidRPr="003A1174">
        <w:rPr>
          <w:rFonts w:ascii="Garamond" w:eastAsia="Calibri" w:hAnsi="Garamond" w:cs="Arial"/>
          <w:sz w:val="24"/>
          <w:szCs w:val="24"/>
        </w:rPr>
        <w:t>a mesma</w:t>
      </w:r>
      <w:r w:rsidR="00496CB2" w:rsidRPr="003A1174">
        <w:rPr>
          <w:rFonts w:ascii="Garamond" w:eastAsia="Calibri" w:hAnsi="Garamond" w:cs="Arial"/>
          <w:sz w:val="24"/>
          <w:szCs w:val="24"/>
        </w:rPr>
        <w:t xml:space="preserve"> forma, </w:t>
      </w:r>
      <w:r w:rsidR="00032856" w:rsidRPr="003A1174">
        <w:rPr>
          <w:rFonts w:ascii="Garamond" w:eastAsia="Calibri" w:hAnsi="Garamond" w:cs="Arial"/>
          <w:sz w:val="24"/>
          <w:szCs w:val="24"/>
        </w:rPr>
        <w:t xml:space="preserve">poder-se-ão </w:t>
      </w:r>
      <w:r w:rsidR="00E560D8" w:rsidRPr="003A1174">
        <w:rPr>
          <w:rFonts w:ascii="Garamond" w:eastAsia="Calibri" w:hAnsi="Garamond" w:cs="Arial"/>
          <w:sz w:val="24"/>
          <w:szCs w:val="24"/>
        </w:rPr>
        <w:t>apoiar</w:t>
      </w:r>
      <w:r w:rsidR="00496CB2" w:rsidRPr="003A1174">
        <w:rPr>
          <w:rFonts w:ascii="Garamond" w:eastAsia="Calibri" w:hAnsi="Garamond" w:cs="Arial"/>
          <w:sz w:val="24"/>
          <w:szCs w:val="24"/>
        </w:rPr>
        <w:t xml:space="preserve"> </w:t>
      </w:r>
      <w:r w:rsidR="001F2F8B" w:rsidRPr="003A1174">
        <w:rPr>
          <w:rFonts w:ascii="Garamond" w:eastAsia="Calibri" w:hAnsi="Garamond" w:cs="Arial"/>
          <w:sz w:val="24"/>
          <w:szCs w:val="24"/>
        </w:rPr>
        <w:t>outro</w:t>
      </w:r>
      <w:r w:rsidR="00496CB2" w:rsidRPr="003A1174">
        <w:rPr>
          <w:rFonts w:ascii="Garamond" w:eastAsia="Calibri" w:hAnsi="Garamond" w:cs="Arial"/>
          <w:sz w:val="24"/>
          <w:szCs w:val="24"/>
        </w:rPr>
        <w:t xml:space="preserve">s programas </w:t>
      </w:r>
      <w:r w:rsidR="000672E8" w:rsidRPr="003A1174">
        <w:rPr>
          <w:rFonts w:ascii="Garamond" w:eastAsia="Calibri" w:hAnsi="Garamond" w:cs="Arial"/>
          <w:sz w:val="24"/>
          <w:szCs w:val="24"/>
        </w:rPr>
        <w:t>e</w:t>
      </w:r>
      <w:r w:rsidR="00496CB2" w:rsidRPr="003A1174">
        <w:rPr>
          <w:rFonts w:ascii="Garamond" w:eastAsia="Calibri" w:hAnsi="Garamond" w:cs="Arial"/>
          <w:sz w:val="24"/>
          <w:szCs w:val="24"/>
        </w:rPr>
        <w:t xml:space="preserve"> </w:t>
      </w:r>
      <w:r w:rsidR="00C30647" w:rsidRPr="003A1174">
        <w:rPr>
          <w:rFonts w:ascii="Garamond" w:eastAsia="Calibri" w:hAnsi="Garamond" w:cs="Arial"/>
          <w:sz w:val="24"/>
          <w:szCs w:val="24"/>
        </w:rPr>
        <w:t>projeto</w:t>
      </w:r>
      <w:r w:rsidR="00496CB2" w:rsidRPr="003A1174">
        <w:rPr>
          <w:rFonts w:ascii="Garamond" w:eastAsia="Calibri" w:hAnsi="Garamond" w:cs="Arial"/>
          <w:sz w:val="24"/>
          <w:szCs w:val="24"/>
        </w:rPr>
        <w:t>s que a</w:t>
      </w:r>
      <w:r w:rsidR="00032856" w:rsidRPr="003A1174">
        <w:rPr>
          <w:rFonts w:ascii="Garamond" w:eastAsia="Calibri" w:hAnsi="Garamond" w:cs="Arial"/>
          <w:sz w:val="24"/>
          <w:szCs w:val="24"/>
        </w:rPr>
        <w:t xml:space="preserve">judem </w:t>
      </w:r>
      <w:r w:rsidR="00496CB2" w:rsidRPr="003A1174">
        <w:rPr>
          <w:rFonts w:ascii="Garamond" w:eastAsia="Calibri" w:hAnsi="Garamond" w:cs="Arial"/>
          <w:sz w:val="24"/>
          <w:szCs w:val="24"/>
        </w:rPr>
        <w:t xml:space="preserve">a </w:t>
      </w:r>
      <w:r w:rsidR="003F012B" w:rsidRPr="003A1174">
        <w:rPr>
          <w:rFonts w:ascii="Garamond" w:eastAsia="Calibri" w:hAnsi="Garamond" w:cs="Arial"/>
          <w:sz w:val="24"/>
          <w:szCs w:val="24"/>
        </w:rPr>
        <w:t>vítima</w:t>
      </w:r>
      <w:r w:rsidR="00A7205B">
        <w:rPr>
          <w:rFonts w:ascii="Garamond" w:eastAsia="Calibri" w:hAnsi="Garamond" w:cs="Arial"/>
          <w:sz w:val="24"/>
          <w:szCs w:val="24"/>
        </w:rPr>
        <w:t>,</w:t>
      </w:r>
      <w:r w:rsidR="00496CB2" w:rsidRPr="003A1174">
        <w:rPr>
          <w:rFonts w:ascii="Garamond" w:eastAsia="Calibri" w:hAnsi="Garamond" w:cs="Arial"/>
          <w:sz w:val="24"/>
          <w:szCs w:val="24"/>
        </w:rPr>
        <w:t xml:space="preserve"> </w:t>
      </w:r>
      <w:r w:rsidR="00A41573" w:rsidRPr="003A1174">
        <w:rPr>
          <w:rFonts w:ascii="Garamond" w:eastAsia="Calibri" w:hAnsi="Garamond" w:cs="Arial"/>
          <w:sz w:val="24"/>
          <w:szCs w:val="24"/>
        </w:rPr>
        <w:t>tais</w:t>
      </w:r>
      <w:r w:rsidR="00496CB2" w:rsidRPr="003A1174">
        <w:rPr>
          <w:rFonts w:ascii="Garamond" w:eastAsia="Calibri" w:hAnsi="Garamond" w:cs="Arial"/>
          <w:sz w:val="24"/>
          <w:szCs w:val="24"/>
        </w:rPr>
        <w:t xml:space="preserve"> como: </w:t>
      </w:r>
      <w:r w:rsidR="00B531F2" w:rsidRPr="003A1174">
        <w:rPr>
          <w:rFonts w:ascii="Garamond" w:eastAsia="Calibri" w:hAnsi="Garamond" w:cs="Arial"/>
          <w:sz w:val="24"/>
          <w:szCs w:val="24"/>
        </w:rPr>
        <w:t>serviço</w:t>
      </w:r>
      <w:r w:rsidR="00496CB2" w:rsidRPr="003A1174">
        <w:rPr>
          <w:rFonts w:ascii="Garamond" w:eastAsia="Calibri" w:hAnsi="Garamond" w:cs="Arial"/>
          <w:sz w:val="24"/>
          <w:szCs w:val="24"/>
        </w:rPr>
        <w:t xml:space="preserve">s de </w:t>
      </w:r>
      <w:r w:rsidR="00C30647" w:rsidRPr="003A1174">
        <w:rPr>
          <w:rFonts w:ascii="Garamond" w:eastAsia="Calibri" w:hAnsi="Garamond" w:cs="Arial"/>
          <w:sz w:val="24"/>
          <w:szCs w:val="24"/>
        </w:rPr>
        <w:t>assessoria</w:t>
      </w:r>
      <w:r w:rsidR="00496CB2" w:rsidRPr="003A1174">
        <w:rPr>
          <w:rFonts w:ascii="Garamond" w:eastAsia="Calibri" w:hAnsi="Garamond" w:cs="Arial"/>
          <w:sz w:val="24"/>
          <w:szCs w:val="24"/>
        </w:rPr>
        <w:t xml:space="preserve"> legal, </w:t>
      </w:r>
      <w:r w:rsidR="003F012B" w:rsidRPr="003A1174">
        <w:rPr>
          <w:rFonts w:ascii="Garamond" w:eastAsia="Calibri" w:hAnsi="Garamond" w:cs="Arial"/>
          <w:sz w:val="24"/>
          <w:szCs w:val="24"/>
        </w:rPr>
        <w:t>acompanhamento</w:t>
      </w:r>
      <w:r w:rsidR="00496CB2" w:rsidRPr="003A1174">
        <w:rPr>
          <w:rFonts w:ascii="Garamond" w:eastAsia="Calibri" w:hAnsi="Garamond" w:cs="Arial"/>
          <w:sz w:val="24"/>
          <w:szCs w:val="24"/>
        </w:rPr>
        <w:t xml:space="preserve"> </w:t>
      </w:r>
      <w:r w:rsidR="003A391A" w:rsidRPr="003A1174">
        <w:rPr>
          <w:rFonts w:ascii="Garamond" w:eastAsia="Calibri" w:hAnsi="Garamond" w:cs="Arial"/>
          <w:sz w:val="24"/>
          <w:szCs w:val="24"/>
        </w:rPr>
        <w:t>nos</w:t>
      </w:r>
      <w:r w:rsidR="00496CB2" w:rsidRPr="003A1174">
        <w:rPr>
          <w:rFonts w:ascii="Garamond" w:eastAsia="Calibri" w:hAnsi="Garamond" w:cs="Arial"/>
          <w:sz w:val="24"/>
          <w:szCs w:val="24"/>
        </w:rPr>
        <w:t xml:space="preserve"> </w:t>
      </w:r>
      <w:r w:rsidR="002D1021" w:rsidRPr="003A1174">
        <w:rPr>
          <w:rFonts w:ascii="Garamond" w:eastAsia="Calibri" w:hAnsi="Garamond" w:cs="Arial"/>
          <w:sz w:val="24"/>
          <w:szCs w:val="24"/>
        </w:rPr>
        <w:t>processo</w:t>
      </w:r>
      <w:r w:rsidR="00496CB2" w:rsidRPr="003A1174">
        <w:rPr>
          <w:rFonts w:ascii="Garamond" w:eastAsia="Calibri" w:hAnsi="Garamond" w:cs="Arial"/>
          <w:sz w:val="24"/>
          <w:szCs w:val="24"/>
        </w:rPr>
        <w:t xml:space="preserve">s </w:t>
      </w:r>
      <w:r w:rsidR="002D1021" w:rsidRPr="003A1174">
        <w:rPr>
          <w:rFonts w:ascii="Garamond" w:eastAsia="Calibri" w:hAnsi="Garamond" w:cs="Arial"/>
          <w:sz w:val="24"/>
          <w:szCs w:val="24"/>
        </w:rPr>
        <w:t>judiciais</w:t>
      </w:r>
      <w:r w:rsidR="00496CB2" w:rsidRPr="003A1174">
        <w:rPr>
          <w:rFonts w:ascii="Garamond" w:eastAsia="Calibri" w:hAnsi="Garamond" w:cs="Arial"/>
          <w:sz w:val="24"/>
          <w:szCs w:val="24"/>
        </w:rPr>
        <w:t xml:space="preserve">, facilidades médicas, </w:t>
      </w:r>
      <w:r w:rsidR="00032856" w:rsidRPr="003A1174">
        <w:rPr>
          <w:rFonts w:ascii="Garamond" w:eastAsia="Calibri" w:hAnsi="Garamond" w:cs="Arial"/>
          <w:sz w:val="24"/>
          <w:szCs w:val="24"/>
        </w:rPr>
        <w:t>esquadras de</w:t>
      </w:r>
      <w:r w:rsidR="00496CB2" w:rsidRPr="003A1174">
        <w:rPr>
          <w:rFonts w:ascii="Garamond" w:eastAsia="Calibri" w:hAnsi="Garamond" w:cs="Arial"/>
          <w:sz w:val="24"/>
          <w:szCs w:val="24"/>
        </w:rPr>
        <w:t xml:space="preserve"> </w:t>
      </w:r>
      <w:r w:rsidR="00CF42A3" w:rsidRPr="003A1174">
        <w:rPr>
          <w:rFonts w:ascii="Garamond" w:eastAsia="Calibri" w:hAnsi="Garamond" w:cs="Arial"/>
          <w:sz w:val="24"/>
          <w:szCs w:val="24"/>
        </w:rPr>
        <w:t>polícia</w:t>
      </w:r>
      <w:r w:rsidR="00496CB2" w:rsidRPr="003A1174">
        <w:rPr>
          <w:rFonts w:ascii="Garamond" w:eastAsia="Calibri" w:hAnsi="Garamond" w:cs="Arial"/>
          <w:sz w:val="24"/>
          <w:szCs w:val="24"/>
        </w:rPr>
        <w:t xml:space="preserve">, </w:t>
      </w:r>
      <w:r w:rsidR="00B531F2" w:rsidRPr="003A1174">
        <w:rPr>
          <w:rFonts w:ascii="Garamond" w:eastAsia="Calibri" w:hAnsi="Garamond" w:cs="Arial"/>
          <w:sz w:val="24"/>
          <w:szCs w:val="24"/>
        </w:rPr>
        <w:t>serviço</w:t>
      </w:r>
      <w:r w:rsidR="00496CB2" w:rsidRPr="003A1174">
        <w:rPr>
          <w:rFonts w:ascii="Garamond" w:eastAsia="Calibri" w:hAnsi="Garamond" w:cs="Arial"/>
          <w:sz w:val="24"/>
          <w:szCs w:val="24"/>
        </w:rPr>
        <w:t xml:space="preserve">s de </w:t>
      </w:r>
      <w:r w:rsidR="00032856" w:rsidRPr="003A1174">
        <w:rPr>
          <w:rFonts w:ascii="Garamond" w:eastAsia="Calibri" w:hAnsi="Garamond" w:cs="Arial"/>
          <w:sz w:val="24"/>
          <w:szCs w:val="24"/>
        </w:rPr>
        <w:t>aconselhamento</w:t>
      </w:r>
      <w:r w:rsidR="0083099D">
        <w:rPr>
          <w:rFonts w:ascii="Garamond" w:eastAsia="Calibri" w:hAnsi="Garamond" w:cs="Arial"/>
          <w:sz w:val="24"/>
          <w:szCs w:val="24"/>
        </w:rPr>
        <w:t>,</w:t>
      </w:r>
      <w:r w:rsidR="00032856" w:rsidRPr="003A1174">
        <w:rPr>
          <w:rFonts w:ascii="Garamond" w:eastAsia="Calibri" w:hAnsi="Garamond" w:cs="Arial"/>
          <w:sz w:val="24"/>
          <w:szCs w:val="24"/>
        </w:rPr>
        <w:t xml:space="preserve"> tanto para </w:t>
      </w:r>
      <w:r w:rsidR="00496CB2" w:rsidRPr="003A1174">
        <w:rPr>
          <w:rFonts w:ascii="Garamond" w:eastAsia="Calibri" w:hAnsi="Garamond" w:cs="Arial"/>
          <w:sz w:val="24"/>
          <w:szCs w:val="24"/>
        </w:rPr>
        <w:t xml:space="preserve">a </w:t>
      </w:r>
      <w:r w:rsidR="003F012B" w:rsidRPr="003A1174">
        <w:rPr>
          <w:rFonts w:ascii="Garamond" w:eastAsia="Calibri" w:hAnsi="Garamond" w:cs="Arial"/>
          <w:sz w:val="24"/>
          <w:szCs w:val="24"/>
        </w:rPr>
        <w:t>vítima</w:t>
      </w:r>
      <w:r w:rsidR="0083099D">
        <w:rPr>
          <w:rFonts w:ascii="Garamond" w:eastAsia="Calibri" w:hAnsi="Garamond" w:cs="Arial"/>
          <w:sz w:val="24"/>
          <w:szCs w:val="24"/>
        </w:rPr>
        <w:t>,</w:t>
      </w:r>
      <w:r w:rsidR="00032856" w:rsidRPr="003A1174">
        <w:rPr>
          <w:rFonts w:ascii="Garamond" w:eastAsia="Calibri" w:hAnsi="Garamond" w:cs="Arial"/>
          <w:sz w:val="24"/>
          <w:szCs w:val="24"/>
        </w:rPr>
        <w:t xml:space="preserve"> como para os </w:t>
      </w:r>
      <w:r w:rsidR="00A7205B">
        <w:rPr>
          <w:rFonts w:ascii="Garamond" w:eastAsia="Calibri" w:hAnsi="Garamond" w:cs="Arial"/>
          <w:sz w:val="24"/>
          <w:szCs w:val="24"/>
        </w:rPr>
        <w:t xml:space="preserve">parentes </w:t>
      </w:r>
      <w:r w:rsidR="001B02AD" w:rsidRPr="003A1174">
        <w:rPr>
          <w:rFonts w:ascii="Garamond" w:eastAsia="Calibri" w:hAnsi="Garamond" w:cs="Arial"/>
          <w:sz w:val="24"/>
          <w:szCs w:val="24"/>
        </w:rPr>
        <w:t>afeta</w:t>
      </w:r>
      <w:r w:rsidR="00496CB2" w:rsidRPr="003A1174">
        <w:rPr>
          <w:rFonts w:ascii="Garamond" w:eastAsia="Calibri" w:hAnsi="Garamond" w:cs="Arial"/>
          <w:sz w:val="24"/>
          <w:szCs w:val="24"/>
        </w:rPr>
        <w:t xml:space="preserve">dos </w:t>
      </w:r>
      <w:r w:rsidR="00275092" w:rsidRPr="003A1174">
        <w:rPr>
          <w:rFonts w:ascii="Garamond" w:eastAsia="Calibri" w:hAnsi="Garamond" w:cs="Arial"/>
          <w:sz w:val="24"/>
          <w:szCs w:val="24"/>
        </w:rPr>
        <w:t>pela</w:t>
      </w:r>
      <w:r w:rsidR="00496CB2" w:rsidRPr="003A1174">
        <w:rPr>
          <w:rFonts w:ascii="Garamond" w:eastAsia="Calibri" w:hAnsi="Garamond" w:cs="Arial"/>
          <w:sz w:val="24"/>
          <w:szCs w:val="24"/>
        </w:rPr>
        <w:t xml:space="preserve"> </w:t>
      </w:r>
      <w:r w:rsidR="009A0623" w:rsidRPr="003A1174">
        <w:rPr>
          <w:rFonts w:ascii="Garamond" w:eastAsia="Calibri" w:hAnsi="Garamond" w:cs="Arial"/>
          <w:sz w:val="24"/>
          <w:szCs w:val="24"/>
        </w:rPr>
        <w:t>agressão</w:t>
      </w:r>
      <w:r w:rsidR="00496CB2" w:rsidRPr="003A1174">
        <w:rPr>
          <w:rFonts w:ascii="Garamond" w:eastAsia="Calibri" w:hAnsi="Garamond" w:cs="Arial"/>
          <w:sz w:val="24"/>
          <w:szCs w:val="24"/>
        </w:rPr>
        <w:t xml:space="preserve"> </w:t>
      </w:r>
      <w:r w:rsidR="00032856" w:rsidRPr="003A1174">
        <w:rPr>
          <w:rFonts w:ascii="Garamond" w:eastAsia="Calibri" w:hAnsi="Garamond" w:cs="Arial"/>
          <w:sz w:val="24"/>
          <w:szCs w:val="24"/>
        </w:rPr>
        <w:t xml:space="preserve">sexual. </w:t>
      </w:r>
      <w:r w:rsidR="00E560D8" w:rsidRPr="003A1174">
        <w:rPr>
          <w:rFonts w:ascii="Garamond" w:eastAsia="Times New Roman" w:hAnsi="Garamond" w:cs="Arial"/>
          <w:sz w:val="24"/>
          <w:szCs w:val="24"/>
        </w:rPr>
        <w:t>Além disso</w:t>
      </w:r>
      <w:r w:rsidR="00F46651" w:rsidRPr="003A1174">
        <w:rPr>
          <w:rFonts w:ascii="Garamond" w:eastAsia="Times New Roman" w:hAnsi="Garamond" w:cs="Arial"/>
          <w:sz w:val="24"/>
          <w:szCs w:val="24"/>
        </w:rPr>
        <w:t>,</w:t>
      </w:r>
      <w:r w:rsidR="00496CB2" w:rsidRPr="003A1174">
        <w:rPr>
          <w:rFonts w:ascii="Garamond" w:eastAsia="Times New Roman" w:hAnsi="Garamond" w:cs="Arial"/>
          <w:sz w:val="24"/>
          <w:szCs w:val="24"/>
        </w:rPr>
        <w:t xml:space="preserve"> rec</w:t>
      </w:r>
      <w:r w:rsidR="00032856" w:rsidRPr="003A1174">
        <w:rPr>
          <w:rFonts w:ascii="Garamond" w:eastAsia="Times New Roman" w:hAnsi="Garamond" w:cs="Arial"/>
          <w:sz w:val="24"/>
          <w:szCs w:val="24"/>
        </w:rPr>
        <w:t xml:space="preserve">ebem-se </w:t>
      </w:r>
      <w:r w:rsidR="00E560D8" w:rsidRPr="003A1174">
        <w:rPr>
          <w:rFonts w:ascii="Garamond" w:eastAsia="Times New Roman" w:hAnsi="Garamond" w:cs="Arial"/>
          <w:sz w:val="24"/>
          <w:szCs w:val="24"/>
        </w:rPr>
        <w:t>fundo</w:t>
      </w:r>
      <w:r w:rsidR="00496CB2" w:rsidRPr="003A1174">
        <w:rPr>
          <w:rFonts w:ascii="Garamond" w:eastAsia="Times New Roman" w:hAnsi="Garamond" w:cs="Arial"/>
          <w:sz w:val="24"/>
          <w:szCs w:val="24"/>
        </w:rPr>
        <w:t>s de di</w:t>
      </w:r>
      <w:r w:rsidR="00032856" w:rsidRPr="003A1174">
        <w:rPr>
          <w:rFonts w:ascii="Garamond" w:eastAsia="Times New Roman" w:hAnsi="Garamond" w:cs="Arial"/>
          <w:sz w:val="24"/>
          <w:szCs w:val="24"/>
        </w:rPr>
        <w:t xml:space="preserve">ferentes </w:t>
      </w:r>
      <w:r w:rsidR="00FC1F7F" w:rsidRPr="003A1174">
        <w:rPr>
          <w:rFonts w:ascii="Garamond" w:eastAsia="Times New Roman" w:hAnsi="Garamond" w:cs="Arial"/>
          <w:sz w:val="24"/>
          <w:szCs w:val="24"/>
        </w:rPr>
        <w:t>fonte</w:t>
      </w:r>
      <w:r w:rsidR="00496CB2" w:rsidRPr="003A1174">
        <w:rPr>
          <w:rFonts w:ascii="Garamond" w:eastAsia="Times New Roman" w:hAnsi="Garamond" w:cs="Arial"/>
          <w:sz w:val="24"/>
          <w:szCs w:val="24"/>
        </w:rPr>
        <w:t xml:space="preserve">s, </w:t>
      </w:r>
      <w:r w:rsidR="00A41573" w:rsidRPr="003A1174">
        <w:rPr>
          <w:rFonts w:ascii="Garamond" w:eastAsia="Times New Roman" w:hAnsi="Garamond" w:cs="Arial"/>
          <w:sz w:val="24"/>
          <w:szCs w:val="24"/>
        </w:rPr>
        <w:t>tais</w:t>
      </w:r>
      <w:r w:rsidR="00496CB2" w:rsidRPr="003A1174">
        <w:rPr>
          <w:rFonts w:ascii="Garamond" w:eastAsia="Times New Roman" w:hAnsi="Garamond" w:cs="Arial"/>
          <w:sz w:val="24"/>
          <w:szCs w:val="24"/>
        </w:rPr>
        <w:t xml:space="preserve"> como: (i) </w:t>
      </w:r>
      <w:r w:rsidR="00032856" w:rsidRPr="003A1174">
        <w:rPr>
          <w:rFonts w:ascii="Garamond" w:eastAsia="Times New Roman" w:hAnsi="Garamond" w:cs="Arial"/>
          <w:sz w:val="24"/>
          <w:szCs w:val="24"/>
        </w:rPr>
        <w:t>o</w:t>
      </w:r>
      <w:r w:rsidR="00496CB2" w:rsidRPr="003A1174">
        <w:rPr>
          <w:rFonts w:ascii="Garamond" w:eastAsia="Times New Roman" w:hAnsi="Garamond" w:cs="Arial"/>
          <w:sz w:val="24"/>
          <w:szCs w:val="24"/>
        </w:rPr>
        <w:t xml:space="preserve"> </w:t>
      </w:r>
      <w:r w:rsidR="00946348" w:rsidRPr="003A1174">
        <w:rPr>
          <w:rFonts w:ascii="Garamond" w:eastAsia="Times New Roman" w:hAnsi="Garamond" w:cs="Arial"/>
          <w:sz w:val="24"/>
          <w:szCs w:val="24"/>
        </w:rPr>
        <w:t>orçamento</w:t>
      </w:r>
      <w:r w:rsidR="00496CB2" w:rsidRPr="003A1174">
        <w:rPr>
          <w:rFonts w:ascii="Garamond" w:eastAsia="Times New Roman" w:hAnsi="Garamond" w:cs="Arial"/>
          <w:sz w:val="24"/>
          <w:szCs w:val="24"/>
        </w:rPr>
        <w:t xml:space="preserve"> </w:t>
      </w:r>
      <w:r w:rsidR="00E85E59" w:rsidRPr="003A1174">
        <w:rPr>
          <w:rFonts w:ascii="Garamond" w:eastAsia="Times New Roman" w:hAnsi="Garamond" w:cs="Arial"/>
          <w:sz w:val="24"/>
          <w:szCs w:val="24"/>
        </w:rPr>
        <w:t>do</w:t>
      </w:r>
      <w:r w:rsidR="00496CB2" w:rsidRPr="003A1174">
        <w:rPr>
          <w:rFonts w:ascii="Garamond" w:eastAsia="Times New Roman" w:hAnsi="Garamond" w:cs="Arial"/>
          <w:sz w:val="24"/>
          <w:szCs w:val="24"/>
        </w:rPr>
        <w:t xml:space="preserve"> </w:t>
      </w:r>
      <w:r w:rsidR="006506C6" w:rsidRPr="003A1174">
        <w:rPr>
          <w:rFonts w:ascii="Garamond" w:eastAsia="Times New Roman" w:hAnsi="Garamond" w:cs="Arial"/>
          <w:sz w:val="24"/>
          <w:szCs w:val="24"/>
        </w:rPr>
        <w:t>governo</w:t>
      </w:r>
      <w:r w:rsidR="00496CB2" w:rsidRPr="003A1174">
        <w:rPr>
          <w:rFonts w:ascii="Garamond" w:eastAsia="Times New Roman" w:hAnsi="Garamond" w:cs="Arial"/>
          <w:sz w:val="24"/>
          <w:szCs w:val="24"/>
        </w:rPr>
        <w:t xml:space="preserve"> </w:t>
      </w:r>
      <w:r w:rsidR="00F46651" w:rsidRPr="003A1174">
        <w:rPr>
          <w:rFonts w:ascii="Garamond" w:eastAsia="Times New Roman" w:hAnsi="Garamond" w:cs="Arial"/>
          <w:sz w:val="24"/>
          <w:szCs w:val="24"/>
        </w:rPr>
        <w:t>e</w:t>
      </w:r>
      <w:r w:rsidR="00496CB2" w:rsidRPr="003A1174">
        <w:rPr>
          <w:rFonts w:ascii="Garamond" w:eastAsia="Times New Roman" w:hAnsi="Garamond" w:cs="Arial"/>
          <w:sz w:val="24"/>
          <w:szCs w:val="24"/>
        </w:rPr>
        <w:t>statal local, (ii) a</w:t>
      </w:r>
      <w:r w:rsidR="00032856" w:rsidRPr="003A1174">
        <w:rPr>
          <w:rFonts w:ascii="Garamond" w:eastAsia="Times New Roman" w:hAnsi="Garamond" w:cs="Arial"/>
          <w:sz w:val="24"/>
          <w:szCs w:val="24"/>
        </w:rPr>
        <w:t xml:space="preserve">tribuições </w:t>
      </w:r>
      <w:r w:rsidR="00201889" w:rsidRPr="003A1174">
        <w:rPr>
          <w:rFonts w:ascii="Garamond" w:eastAsia="Times New Roman" w:hAnsi="Garamond" w:cs="Arial"/>
          <w:sz w:val="24"/>
          <w:szCs w:val="24"/>
        </w:rPr>
        <w:t>especiais</w:t>
      </w:r>
      <w:r w:rsidR="00496CB2" w:rsidRPr="003A1174">
        <w:rPr>
          <w:rFonts w:ascii="Garamond" w:eastAsia="Times New Roman" w:hAnsi="Garamond" w:cs="Arial"/>
          <w:sz w:val="24"/>
          <w:szCs w:val="24"/>
        </w:rPr>
        <w:t xml:space="preserve"> </w:t>
      </w:r>
      <w:r w:rsidR="00032856" w:rsidRPr="003A1174">
        <w:rPr>
          <w:rFonts w:ascii="Garamond" w:eastAsia="Times New Roman" w:hAnsi="Garamond" w:cs="Arial"/>
          <w:sz w:val="24"/>
          <w:szCs w:val="24"/>
        </w:rPr>
        <w:t xml:space="preserve">concedidas de acordo com a </w:t>
      </w:r>
      <w:r w:rsidR="002C7510" w:rsidRPr="003A1174">
        <w:rPr>
          <w:rFonts w:ascii="Garamond" w:eastAsia="Times New Roman" w:hAnsi="Garamond" w:cs="Arial"/>
          <w:sz w:val="24"/>
          <w:szCs w:val="24"/>
        </w:rPr>
        <w:t>legislação</w:t>
      </w:r>
      <w:r w:rsidR="00496C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(iii) </w:t>
      </w:r>
      <w:r w:rsidR="00E560D8" w:rsidRPr="003A1174">
        <w:rPr>
          <w:rFonts w:ascii="Garamond" w:eastAsia="Times New Roman" w:hAnsi="Garamond" w:cs="Arial"/>
          <w:sz w:val="24"/>
          <w:szCs w:val="24"/>
        </w:rPr>
        <w:t>fundo</w:t>
      </w:r>
      <w:r w:rsidR="00496CB2" w:rsidRPr="003A1174">
        <w:rPr>
          <w:rFonts w:ascii="Garamond" w:eastAsia="Times New Roman" w:hAnsi="Garamond" w:cs="Arial"/>
          <w:sz w:val="24"/>
          <w:szCs w:val="24"/>
        </w:rPr>
        <w:t xml:space="preserve">s </w:t>
      </w:r>
      <w:r w:rsidR="00FC5E28" w:rsidRPr="003A1174">
        <w:rPr>
          <w:rFonts w:ascii="Garamond" w:eastAsia="Times New Roman" w:hAnsi="Garamond" w:cs="Arial"/>
          <w:sz w:val="24"/>
          <w:szCs w:val="24"/>
        </w:rPr>
        <w:t>federais</w:t>
      </w:r>
      <w:r w:rsidR="00496CB2" w:rsidRPr="003A1174">
        <w:rPr>
          <w:rFonts w:ascii="Garamond" w:eastAsia="Times New Roman" w:hAnsi="Garamond" w:cs="Arial"/>
          <w:sz w:val="24"/>
          <w:szCs w:val="24"/>
        </w:rPr>
        <w:t xml:space="preserve"> </w:t>
      </w:r>
      <w:r w:rsidR="00032856" w:rsidRPr="003A1174">
        <w:rPr>
          <w:rFonts w:ascii="Garamond" w:eastAsia="Times New Roman" w:hAnsi="Garamond" w:cs="Arial"/>
          <w:sz w:val="24"/>
          <w:szCs w:val="24"/>
        </w:rPr>
        <w:t>fornecidos</w:t>
      </w:r>
      <w:r w:rsidR="00496CB2" w:rsidRPr="003A1174">
        <w:rPr>
          <w:rFonts w:ascii="Garamond" w:eastAsia="Times New Roman" w:hAnsi="Garamond" w:cs="Arial"/>
          <w:sz w:val="24"/>
          <w:szCs w:val="24"/>
        </w:rPr>
        <w:t xml:space="preserve"> </w:t>
      </w:r>
      <w:r w:rsidR="005C2020" w:rsidRPr="003A1174">
        <w:rPr>
          <w:rFonts w:ascii="Garamond" w:eastAsia="Times New Roman" w:hAnsi="Garamond" w:cs="Arial"/>
          <w:sz w:val="24"/>
          <w:szCs w:val="24"/>
        </w:rPr>
        <w:t>pelo</w:t>
      </w:r>
      <w:r w:rsidR="00496CB2" w:rsidRPr="003A1174">
        <w:rPr>
          <w:rFonts w:ascii="Garamond" w:eastAsia="Times New Roman" w:hAnsi="Garamond" w:cs="Arial"/>
          <w:sz w:val="24"/>
          <w:szCs w:val="24"/>
        </w:rPr>
        <w:t xml:space="preserve"> </w:t>
      </w:r>
      <w:r w:rsidR="003F012B" w:rsidRPr="003A1174">
        <w:rPr>
          <w:rFonts w:ascii="Garamond" w:eastAsia="Times New Roman" w:hAnsi="Garamond" w:cs="Arial"/>
          <w:sz w:val="24"/>
          <w:szCs w:val="24"/>
        </w:rPr>
        <w:t>Congresso</w:t>
      </w:r>
      <w:r w:rsidR="00496C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w:t>
      </w:r>
      <w:r w:rsidR="00032856" w:rsidRPr="003A1174">
        <w:rPr>
          <w:rFonts w:ascii="Garamond" w:eastAsia="Times New Roman" w:hAnsi="Garamond" w:cs="Arial"/>
          <w:sz w:val="24"/>
          <w:szCs w:val="24"/>
        </w:rPr>
        <w:t>pe</w:t>
      </w:r>
      <w:r w:rsidR="00F46651" w:rsidRPr="003A1174">
        <w:rPr>
          <w:rFonts w:ascii="Garamond" w:eastAsia="Times New Roman" w:hAnsi="Garamond" w:cs="Arial"/>
          <w:sz w:val="24"/>
          <w:szCs w:val="24"/>
        </w:rPr>
        <w:t xml:space="preserve">la </w:t>
      </w:r>
      <w:r w:rsidR="002C7510" w:rsidRPr="003A1174">
        <w:rPr>
          <w:rFonts w:ascii="Garamond" w:eastAsia="Times New Roman" w:hAnsi="Garamond" w:cs="Arial"/>
          <w:sz w:val="24"/>
          <w:szCs w:val="24"/>
        </w:rPr>
        <w:t>Presidência</w:t>
      </w:r>
      <w:r w:rsidR="00496CB2"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00496CB2" w:rsidRPr="003A1174">
        <w:rPr>
          <w:rFonts w:ascii="Garamond" w:eastAsia="Times New Roman" w:hAnsi="Garamond" w:cs="Arial"/>
          <w:sz w:val="24"/>
          <w:szCs w:val="24"/>
        </w:rPr>
        <w:t xml:space="preserve"> Estados Unidos d</w:t>
      </w:r>
      <w:r w:rsidR="00032856" w:rsidRPr="003A1174">
        <w:rPr>
          <w:rFonts w:ascii="Garamond" w:eastAsia="Times New Roman" w:hAnsi="Garamond" w:cs="Arial"/>
          <w:sz w:val="24"/>
          <w:szCs w:val="24"/>
        </w:rPr>
        <w:t>a</w:t>
      </w:r>
      <w:r w:rsidR="00496CB2" w:rsidRPr="003A1174">
        <w:rPr>
          <w:rFonts w:ascii="Garamond" w:eastAsia="Times New Roman" w:hAnsi="Garamond" w:cs="Arial"/>
          <w:sz w:val="24"/>
          <w:szCs w:val="24"/>
        </w:rPr>
        <w:t xml:space="preserve"> América. </w:t>
      </w:r>
      <w:r w:rsidR="001C315D" w:rsidRPr="003A1174">
        <w:rPr>
          <w:rFonts w:ascii="Garamond" w:eastAsia="Times New Roman" w:hAnsi="Garamond" w:cs="Arial"/>
          <w:sz w:val="24"/>
          <w:szCs w:val="24"/>
        </w:rPr>
        <w:t>A maioria destes fundos</w:t>
      </w:r>
      <w:r w:rsidR="00A7205B">
        <w:rPr>
          <w:rFonts w:ascii="Garamond" w:eastAsia="Times New Roman" w:hAnsi="Garamond" w:cs="Arial"/>
          <w:sz w:val="24"/>
          <w:szCs w:val="24"/>
        </w:rPr>
        <w:t xml:space="preserve"> são </w:t>
      </w:r>
      <w:proofErr w:type="gramStart"/>
      <w:r w:rsidR="00A7205B">
        <w:rPr>
          <w:rFonts w:ascii="Garamond" w:eastAsia="Times New Roman" w:hAnsi="Garamond" w:cs="Arial"/>
          <w:sz w:val="24"/>
          <w:szCs w:val="24"/>
        </w:rPr>
        <w:t>concedidos e</w:t>
      </w:r>
      <w:r w:rsidR="001C315D" w:rsidRPr="003A1174">
        <w:rPr>
          <w:rFonts w:ascii="Garamond" w:eastAsia="Times New Roman" w:hAnsi="Garamond" w:cs="Arial"/>
          <w:sz w:val="24"/>
          <w:szCs w:val="24"/>
        </w:rPr>
        <w:t xml:space="preserve"> supervisionad</w:t>
      </w:r>
      <w:r w:rsidR="00A7205B">
        <w:rPr>
          <w:rFonts w:ascii="Garamond" w:eastAsia="Times New Roman" w:hAnsi="Garamond" w:cs="Arial"/>
          <w:sz w:val="24"/>
          <w:szCs w:val="24"/>
        </w:rPr>
        <w:t>os</w:t>
      </w:r>
      <w:r w:rsidR="00032856" w:rsidRPr="003A1174">
        <w:rPr>
          <w:rFonts w:ascii="Garamond" w:eastAsia="Times New Roman" w:hAnsi="Garamond" w:cs="Arial"/>
          <w:sz w:val="24"/>
          <w:szCs w:val="24"/>
        </w:rPr>
        <w:t xml:space="preserve"> </w:t>
      </w:r>
      <w:r w:rsidR="009A0CC2" w:rsidRPr="003A1174">
        <w:rPr>
          <w:rFonts w:ascii="Garamond" w:eastAsia="Times New Roman" w:hAnsi="Garamond" w:cs="Arial"/>
          <w:sz w:val="24"/>
          <w:szCs w:val="24"/>
        </w:rPr>
        <w:t>através</w:t>
      </w:r>
      <w:r w:rsidR="00496CB2" w:rsidRPr="003A1174">
        <w:rPr>
          <w:rFonts w:ascii="Garamond" w:eastAsia="Times New Roman" w:hAnsi="Garamond" w:cs="Arial"/>
          <w:sz w:val="24"/>
          <w:szCs w:val="24"/>
        </w:rPr>
        <w:t xml:space="preserve"> </w:t>
      </w:r>
      <w:r w:rsidR="00A41573" w:rsidRPr="003A1174">
        <w:rPr>
          <w:rFonts w:ascii="Garamond" w:eastAsia="Times New Roman" w:hAnsi="Garamond" w:cs="Arial"/>
          <w:sz w:val="24"/>
          <w:szCs w:val="24"/>
        </w:rPr>
        <w:t>do Gabinete</w:t>
      </w:r>
      <w:r w:rsidR="00496CB2" w:rsidRPr="003A1174">
        <w:rPr>
          <w:rFonts w:ascii="Garamond" w:eastAsia="Times New Roman" w:hAnsi="Garamond" w:cs="Arial"/>
          <w:sz w:val="24"/>
          <w:szCs w:val="24"/>
        </w:rPr>
        <w:t xml:space="preserve"> da Procuradora </w:t>
      </w:r>
      <w:r w:rsidR="00497503" w:rsidRPr="003A1174">
        <w:rPr>
          <w:rFonts w:ascii="Garamond" w:eastAsia="Times New Roman" w:hAnsi="Garamond" w:cs="Arial"/>
          <w:sz w:val="24"/>
          <w:szCs w:val="24"/>
        </w:rPr>
        <w:t>das</w:t>
      </w:r>
      <w:r w:rsidR="00496CB2" w:rsidRPr="003A1174">
        <w:rPr>
          <w:rFonts w:ascii="Garamond" w:eastAsia="Times New Roman" w:hAnsi="Garamond" w:cs="Arial"/>
          <w:sz w:val="24"/>
          <w:szCs w:val="24"/>
        </w:rPr>
        <w:t xml:space="preserve"> </w:t>
      </w:r>
      <w:r w:rsidR="00054EE0" w:rsidRPr="003A1174">
        <w:rPr>
          <w:rFonts w:ascii="Garamond" w:eastAsia="Times New Roman" w:hAnsi="Garamond" w:cs="Arial"/>
          <w:sz w:val="24"/>
          <w:szCs w:val="24"/>
        </w:rPr>
        <w:t>Mulheres</w:t>
      </w:r>
      <w:r w:rsidR="00F46651" w:rsidRPr="003A1174">
        <w:rPr>
          <w:rFonts w:ascii="Garamond" w:eastAsia="Times New Roman" w:hAnsi="Garamond" w:cs="Arial"/>
          <w:sz w:val="24"/>
          <w:szCs w:val="24"/>
        </w:rPr>
        <w:t>,</w:t>
      </w:r>
      <w:r w:rsidR="00496CB2" w:rsidRPr="003A1174">
        <w:rPr>
          <w:rFonts w:ascii="Garamond" w:eastAsia="Times New Roman" w:hAnsi="Garamond" w:cs="Arial"/>
          <w:sz w:val="24"/>
          <w:szCs w:val="24"/>
        </w:rPr>
        <w:t xml:space="preserve"> qu</w:t>
      </w:r>
      <w:r w:rsidR="00032856" w:rsidRPr="003A1174">
        <w:rPr>
          <w:rFonts w:ascii="Garamond" w:eastAsia="Times New Roman" w:hAnsi="Garamond" w:cs="Arial"/>
          <w:sz w:val="24"/>
          <w:szCs w:val="24"/>
        </w:rPr>
        <w:t xml:space="preserve">e </w:t>
      </w:r>
      <w:r w:rsidR="00496CB2" w:rsidRPr="003A1174">
        <w:rPr>
          <w:rFonts w:ascii="Garamond" w:eastAsia="Times New Roman" w:hAnsi="Garamond" w:cs="Arial"/>
          <w:sz w:val="24"/>
          <w:szCs w:val="24"/>
        </w:rPr>
        <w:t>s</w:t>
      </w:r>
      <w:r w:rsidR="00032856"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rve de </w:t>
      </w:r>
      <w:r w:rsidR="00032856" w:rsidRPr="003A1174">
        <w:rPr>
          <w:rFonts w:ascii="Garamond" w:eastAsia="Times New Roman" w:hAnsi="Garamond" w:cs="Arial"/>
          <w:sz w:val="24"/>
          <w:szCs w:val="24"/>
        </w:rPr>
        <w:t>intermediária</w:t>
      </w:r>
      <w:proofErr w:type="gramEnd"/>
      <w:r w:rsidR="00496CB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496CB2" w:rsidRPr="003A1174">
        <w:rPr>
          <w:rFonts w:ascii="Garamond" w:eastAsia="Times New Roman" w:hAnsi="Garamond" w:cs="Arial"/>
          <w:sz w:val="24"/>
          <w:szCs w:val="24"/>
        </w:rPr>
        <w:t xml:space="preserve"> supervis</w:t>
      </w:r>
      <w:r w:rsidR="00A7205B">
        <w:rPr>
          <w:rFonts w:ascii="Garamond" w:eastAsia="Times New Roman" w:hAnsi="Garamond" w:cs="Arial"/>
          <w:sz w:val="24"/>
          <w:szCs w:val="24"/>
        </w:rPr>
        <w:t xml:space="preserve">iona </w:t>
      </w:r>
      <w:r w:rsidR="00032856" w:rsidRPr="003A1174">
        <w:rPr>
          <w:rFonts w:ascii="Garamond" w:eastAsia="Times New Roman" w:hAnsi="Garamond" w:cs="Arial"/>
          <w:sz w:val="24"/>
          <w:szCs w:val="24"/>
        </w:rPr>
        <w:t>a sua utilização</w:t>
      </w:r>
      <w:r w:rsidR="00496CB2" w:rsidRPr="003A1174">
        <w:rPr>
          <w:rFonts w:ascii="Garamond" w:eastAsia="Times New Roman" w:hAnsi="Garamond" w:cs="Arial"/>
          <w:sz w:val="24"/>
          <w:szCs w:val="24"/>
        </w:rPr>
        <w:t xml:space="preserve">. </w:t>
      </w:r>
      <w:r w:rsidR="00032856" w:rsidRPr="003A1174">
        <w:rPr>
          <w:rFonts w:ascii="Garamond" w:eastAsia="Times New Roman" w:hAnsi="Garamond" w:cs="Arial"/>
          <w:sz w:val="24"/>
          <w:szCs w:val="24"/>
        </w:rPr>
        <w:t xml:space="preserve">No </w:t>
      </w:r>
      <w:r w:rsidR="00496CB2" w:rsidRPr="003A1174">
        <w:rPr>
          <w:rFonts w:ascii="Garamond" w:eastAsia="Times New Roman" w:hAnsi="Garamond" w:cs="Arial"/>
          <w:sz w:val="24"/>
          <w:szCs w:val="24"/>
        </w:rPr>
        <w:t>per</w:t>
      </w:r>
      <w:r w:rsidR="00F46651" w:rsidRPr="003A1174">
        <w:rPr>
          <w:rFonts w:ascii="Garamond" w:eastAsia="Times New Roman" w:hAnsi="Garamond" w:cs="Arial"/>
          <w:sz w:val="24"/>
          <w:szCs w:val="24"/>
        </w:rPr>
        <w:t>í</w:t>
      </w:r>
      <w:r w:rsidR="00496CB2" w:rsidRPr="003A1174">
        <w:rPr>
          <w:rFonts w:ascii="Garamond" w:eastAsia="Times New Roman" w:hAnsi="Garamond" w:cs="Arial"/>
          <w:sz w:val="24"/>
          <w:szCs w:val="24"/>
        </w:rPr>
        <w:t>odo e</w:t>
      </w:r>
      <w:r w:rsidR="00032856" w:rsidRPr="003A1174">
        <w:rPr>
          <w:rFonts w:ascii="Garamond" w:eastAsia="Times New Roman" w:hAnsi="Garamond" w:cs="Arial"/>
          <w:sz w:val="24"/>
          <w:szCs w:val="24"/>
        </w:rPr>
        <w:t xml:space="preserve">m que se enquadram </w:t>
      </w:r>
      <w:r w:rsidR="00496CB2" w:rsidRPr="003A1174">
        <w:rPr>
          <w:rFonts w:ascii="Garamond" w:eastAsia="Times New Roman" w:hAnsi="Garamond" w:cs="Arial"/>
          <w:sz w:val="24"/>
          <w:szCs w:val="24"/>
        </w:rPr>
        <w:t xml:space="preserve">as </w:t>
      </w:r>
      <w:r w:rsidR="00A7205B">
        <w:rPr>
          <w:rFonts w:ascii="Garamond" w:eastAsia="Times New Roman" w:hAnsi="Garamond" w:cs="Arial"/>
          <w:sz w:val="24"/>
          <w:szCs w:val="24"/>
        </w:rPr>
        <w:t xml:space="preserve">questões </w:t>
      </w:r>
      <w:r w:rsidR="00032856" w:rsidRPr="003A1174">
        <w:rPr>
          <w:rFonts w:ascii="Garamond" w:eastAsia="Times New Roman" w:hAnsi="Garamond" w:cs="Arial"/>
          <w:sz w:val="24"/>
          <w:szCs w:val="24"/>
        </w:rPr>
        <w:t xml:space="preserve">descritas, </w:t>
      </w:r>
      <w:r w:rsidR="00496CB2" w:rsidRPr="003A1174">
        <w:rPr>
          <w:rFonts w:ascii="Garamond" w:eastAsia="Times New Roman" w:hAnsi="Garamond" w:cs="Arial"/>
          <w:sz w:val="24"/>
          <w:szCs w:val="24"/>
        </w:rPr>
        <w:t>as a</w:t>
      </w:r>
      <w:r w:rsidR="00032856" w:rsidRPr="003A1174">
        <w:rPr>
          <w:rFonts w:ascii="Garamond" w:eastAsia="Times New Roman" w:hAnsi="Garamond" w:cs="Arial"/>
          <w:sz w:val="24"/>
          <w:szCs w:val="24"/>
        </w:rPr>
        <w:t xml:space="preserve">tribuições </w:t>
      </w:r>
      <w:r w:rsidR="00201889" w:rsidRPr="003A1174">
        <w:rPr>
          <w:rFonts w:ascii="Garamond" w:eastAsia="Times New Roman" w:hAnsi="Garamond" w:cs="Arial"/>
          <w:sz w:val="24"/>
          <w:szCs w:val="24"/>
        </w:rPr>
        <w:t>especiais</w:t>
      </w:r>
      <w:r w:rsidR="00496CB2" w:rsidRPr="003A1174">
        <w:rPr>
          <w:rFonts w:ascii="Garamond" w:eastAsia="Times New Roman" w:hAnsi="Garamond" w:cs="Arial"/>
          <w:sz w:val="24"/>
          <w:szCs w:val="24"/>
        </w:rPr>
        <w:t xml:space="preserve"> que se </w:t>
      </w:r>
      <w:r w:rsidR="00032856" w:rsidRPr="003A1174">
        <w:rPr>
          <w:rFonts w:ascii="Garamond" w:eastAsia="Times New Roman" w:hAnsi="Garamond" w:cs="Arial"/>
          <w:sz w:val="24"/>
          <w:szCs w:val="24"/>
        </w:rPr>
        <w:t>concediam</w:t>
      </w:r>
      <w:r w:rsidR="00A7205B">
        <w:rPr>
          <w:rFonts w:ascii="Garamond" w:eastAsia="Times New Roman" w:hAnsi="Garamond" w:cs="Arial"/>
          <w:sz w:val="24"/>
          <w:szCs w:val="24"/>
        </w:rPr>
        <w:t>,</w:t>
      </w:r>
      <w:r w:rsidR="00032856" w:rsidRPr="003A1174">
        <w:rPr>
          <w:rFonts w:ascii="Garamond" w:eastAsia="Times New Roman" w:hAnsi="Garamond" w:cs="Arial"/>
          <w:sz w:val="24"/>
          <w:szCs w:val="24"/>
        </w:rPr>
        <w:t xml:space="preserve"> através de </w:t>
      </w:r>
      <w:r w:rsidR="002C7510" w:rsidRPr="003A1174">
        <w:rPr>
          <w:rFonts w:ascii="Garamond" w:eastAsia="Times New Roman" w:hAnsi="Garamond" w:cs="Arial"/>
          <w:sz w:val="24"/>
          <w:szCs w:val="24"/>
        </w:rPr>
        <w:t>legislação</w:t>
      </w:r>
      <w:r w:rsidR="00A7205B">
        <w:rPr>
          <w:rFonts w:ascii="Garamond" w:eastAsia="Times New Roman" w:hAnsi="Garamond" w:cs="Arial"/>
          <w:sz w:val="24"/>
          <w:szCs w:val="24"/>
        </w:rPr>
        <w:t>,</w:t>
      </w:r>
      <w:r w:rsidR="00496CB2" w:rsidRPr="003A1174">
        <w:rPr>
          <w:rFonts w:ascii="Garamond" w:eastAsia="Times New Roman" w:hAnsi="Garamond" w:cs="Arial"/>
          <w:sz w:val="24"/>
          <w:szCs w:val="24"/>
        </w:rPr>
        <w:t xml:space="preserve"> </w:t>
      </w:r>
      <w:r w:rsidR="00032856" w:rsidRPr="003A1174">
        <w:rPr>
          <w:rFonts w:ascii="Garamond" w:eastAsia="Times New Roman" w:hAnsi="Garamond" w:cs="Arial"/>
          <w:sz w:val="24"/>
          <w:szCs w:val="24"/>
        </w:rPr>
        <w:t xml:space="preserve">sofreram uma </w:t>
      </w:r>
      <w:r w:rsidR="00496CB2" w:rsidRPr="003A1174">
        <w:rPr>
          <w:rFonts w:ascii="Garamond" w:eastAsia="Times New Roman" w:hAnsi="Garamond" w:cs="Arial"/>
          <w:sz w:val="24"/>
          <w:szCs w:val="24"/>
        </w:rPr>
        <w:t>di</w:t>
      </w:r>
      <w:r w:rsidR="00032856" w:rsidRPr="003A1174">
        <w:rPr>
          <w:rFonts w:ascii="Garamond" w:eastAsia="Times New Roman" w:hAnsi="Garamond" w:cs="Arial"/>
          <w:sz w:val="24"/>
          <w:szCs w:val="24"/>
        </w:rPr>
        <w:t xml:space="preserve">minuição </w:t>
      </w:r>
      <w:bookmarkStart w:id="67" w:name="PROG1195"/>
      <w:r w:rsidR="00032856" w:rsidRPr="003A1174">
        <w:rPr>
          <w:rFonts w:ascii="Garamond" w:eastAsia="Times New Roman" w:hAnsi="Garamond" w:cs="Arial"/>
          <w:sz w:val="24"/>
          <w:szCs w:val="24"/>
        </w:rPr>
        <w:t xml:space="preserve">substancial. O </w:t>
      </w:r>
      <w:r w:rsidR="00946348" w:rsidRPr="003A1174">
        <w:rPr>
          <w:rFonts w:ascii="Garamond" w:hAnsi="Garamond" w:cs="Arial"/>
          <w:color w:val="000000"/>
          <w:sz w:val="24"/>
          <w:szCs w:val="24"/>
        </w:rPr>
        <w:t>orçamento</w:t>
      </w:r>
      <w:r w:rsidR="00496CB2" w:rsidRPr="003A1174">
        <w:rPr>
          <w:rFonts w:ascii="Garamond" w:hAnsi="Garamond" w:cs="Arial"/>
          <w:color w:val="000000"/>
          <w:sz w:val="24"/>
          <w:szCs w:val="24"/>
        </w:rPr>
        <w:t xml:space="preserve"> </w:t>
      </w:r>
      <w:r w:rsidR="00496CB2" w:rsidRPr="003A1174">
        <w:rPr>
          <w:rFonts w:ascii="Garamond" w:hAnsi="Garamond" w:cs="Arial"/>
          <w:color w:val="000000"/>
          <w:sz w:val="24"/>
          <w:szCs w:val="24"/>
        </w:rPr>
        <w:lastRenderedPageBreak/>
        <w:t xml:space="preserve">consolidado para </w:t>
      </w:r>
      <w:r w:rsidR="00032856" w:rsidRPr="003A1174">
        <w:rPr>
          <w:rFonts w:ascii="Garamond" w:hAnsi="Garamond" w:cs="Arial"/>
          <w:color w:val="000000"/>
          <w:sz w:val="24"/>
          <w:szCs w:val="24"/>
        </w:rPr>
        <w:t xml:space="preserve">o </w:t>
      </w:r>
      <w:r w:rsidR="00C246B4" w:rsidRPr="003A1174">
        <w:rPr>
          <w:rFonts w:ascii="Garamond" w:hAnsi="Garamond" w:cs="Arial"/>
          <w:color w:val="000000"/>
          <w:sz w:val="24"/>
          <w:szCs w:val="24"/>
        </w:rPr>
        <w:t>Gabinete</w:t>
      </w:r>
      <w:r w:rsidR="00496CB2" w:rsidRPr="003A1174">
        <w:rPr>
          <w:rFonts w:ascii="Garamond" w:hAnsi="Garamond" w:cs="Arial"/>
          <w:color w:val="000000"/>
          <w:sz w:val="24"/>
          <w:szCs w:val="24"/>
        </w:rPr>
        <w:t xml:space="preserve"> da Procuradora </w:t>
      </w:r>
      <w:r w:rsidR="00497503" w:rsidRPr="003A1174">
        <w:rPr>
          <w:rFonts w:ascii="Garamond" w:hAnsi="Garamond" w:cs="Arial"/>
          <w:color w:val="000000"/>
          <w:sz w:val="24"/>
          <w:szCs w:val="24"/>
        </w:rPr>
        <w:t>das</w:t>
      </w:r>
      <w:r w:rsidR="00496CB2" w:rsidRPr="003A1174">
        <w:rPr>
          <w:rFonts w:ascii="Garamond" w:hAnsi="Garamond" w:cs="Arial"/>
          <w:color w:val="000000"/>
          <w:sz w:val="24"/>
          <w:szCs w:val="24"/>
        </w:rPr>
        <w:t xml:space="preserve"> </w:t>
      </w:r>
      <w:r w:rsidR="00054EE0" w:rsidRPr="003A1174">
        <w:rPr>
          <w:rFonts w:ascii="Garamond" w:hAnsi="Garamond" w:cs="Arial"/>
          <w:color w:val="000000"/>
          <w:sz w:val="24"/>
          <w:szCs w:val="24"/>
        </w:rPr>
        <w:t>Mulheres</w:t>
      </w:r>
      <w:r w:rsidR="00496CB2" w:rsidRPr="003A1174">
        <w:rPr>
          <w:rFonts w:ascii="Garamond" w:hAnsi="Garamond" w:cs="Arial"/>
          <w:color w:val="000000"/>
          <w:sz w:val="24"/>
          <w:szCs w:val="24"/>
        </w:rPr>
        <w:t xml:space="preserve"> para </w:t>
      </w:r>
      <w:r w:rsidR="00032856" w:rsidRPr="003A1174">
        <w:rPr>
          <w:rFonts w:ascii="Garamond" w:hAnsi="Garamond" w:cs="Arial"/>
          <w:color w:val="000000"/>
          <w:sz w:val="24"/>
          <w:szCs w:val="24"/>
        </w:rPr>
        <w:t xml:space="preserve">o </w:t>
      </w:r>
      <w:r w:rsidR="002C7510" w:rsidRPr="003A1174">
        <w:rPr>
          <w:rFonts w:ascii="Garamond" w:hAnsi="Garamond" w:cs="Arial"/>
          <w:color w:val="000000"/>
          <w:sz w:val="24"/>
          <w:szCs w:val="24"/>
        </w:rPr>
        <w:t>ano</w:t>
      </w:r>
      <w:r w:rsidR="00496CB2" w:rsidRPr="003A1174">
        <w:rPr>
          <w:rFonts w:ascii="Garamond" w:hAnsi="Garamond" w:cs="Arial"/>
          <w:color w:val="000000"/>
          <w:sz w:val="24"/>
          <w:szCs w:val="24"/>
        </w:rPr>
        <w:t xml:space="preserve"> fiscal 2013-2014</w:t>
      </w:r>
      <w:proofErr w:type="gramStart"/>
      <w:r w:rsidR="00496CB2" w:rsidRPr="003A1174">
        <w:rPr>
          <w:rFonts w:ascii="Garamond" w:hAnsi="Garamond" w:cs="Arial"/>
          <w:color w:val="000000"/>
          <w:sz w:val="24"/>
          <w:szCs w:val="24"/>
        </w:rPr>
        <w:t>,</w:t>
      </w:r>
      <w:r w:rsidR="00032856" w:rsidRPr="003A1174">
        <w:rPr>
          <w:rFonts w:ascii="Garamond" w:hAnsi="Garamond" w:cs="Arial"/>
          <w:color w:val="000000"/>
          <w:sz w:val="24"/>
          <w:szCs w:val="24"/>
        </w:rPr>
        <w:t xml:space="preserve"> asc</w:t>
      </w:r>
      <w:r w:rsidR="00496CB2" w:rsidRPr="003A1174">
        <w:rPr>
          <w:rFonts w:ascii="Garamond" w:hAnsi="Garamond" w:cs="Arial"/>
          <w:color w:val="000000"/>
          <w:sz w:val="24"/>
          <w:szCs w:val="24"/>
        </w:rPr>
        <w:t>ende</w:t>
      </w:r>
      <w:proofErr w:type="gramEnd"/>
      <w:r w:rsidR="00496CB2" w:rsidRPr="003A1174">
        <w:rPr>
          <w:rFonts w:ascii="Garamond" w:hAnsi="Garamond" w:cs="Arial"/>
          <w:color w:val="000000"/>
          <w:sz w:val="24"/>
          <w:szCs w:val="24"/>
        </w:rPr>
        <w:t xml:space="preserve"> </w:t>
      </w:r>
      <w:r w:rsidR="0064626F" w:rsidRPr="003A1174">
        <w:rPr>
          <w:rFonts w:ascii="Garamond" w:hAnsi="Garamond" w:cs="Arial"/>
          <w:color w:val="000000"/>
          <w:sz w:val="24"/>
          <w:szCs w:val="24"/>
        </w:rPr>
        <w:t xml:space="preserve">os </w:t>
      </w:r>
      <w:r w:rsidR="00E431AE" w:rsidRPr="003A1174">
        <w:rPr>
          <w:rFonts w:ascii="Garamond" w:hAnsi="Garamond" w:cs="Arial"/>
          <w:color w:val="000000"/>
          <w:sz w:val="24"/>
          <w:szCs w:val="24"/>
        </w:rPr>
        <w:t xml:space="preserve">US$8055,00, </w:t>
      </w:r>
      <w:r w:rsidR="00496CB2" w:rsidRPr="003A1174">
        <w:rPr>
          <w:rFonts w:ascii="Garamond" w:hAnsi="Garamond" w:cs="Arial"/>
          <w:color w:val="000000"/>
          <w:sz w:val="24"/>
          <w:szCs w:val="24"/>
        </w:rPr>
        <w:t xml:space="preserve">os </w:t>
      </w:r>
      <w:r w:rsidR="00B936A7" w:rsidRPr="003A1174">
        <w:rPr>
          <w:rFonts w:ascii="Garamond" w:hAnsi="Garamond" w:cs="Arial"/>
          <w:color w:val="000000"/>
          <w:sz w:val="24"/>
          <w:szCs w:val="24"/>
        </w:rPr>
        <w:t>quais</w:t>
      </w:r>
      <w:r w:rsidR="00496CB2" w:rsidRPr="003A1174">
        <w:rPr>
          <w:rFonts w:ascii="Garamond" w:hAnsi="Garamond" w:cs="Arial"/>
          <w:color w:val="000000"/>
          <w:sz w:val="24"/>
          <w:szCs w:val="24"/>
        </w:rPr>
        <w:t xml:space="preserve"> </w:t>
      </w:r>
      <w:r w:rsidR="00462B11" w:rsidRPr="003A1174">
        <w:rPr>
          <w:rFonts w:ascii="Garamond" w:hAnsi="Garamond" w:cs="Arial"/>
          <w:color w:val="000000"/>
          <w:sz w:val="24"/>
          <w:szCs w:val="24"/>
        </w:rPr>
        <w:t>incluem</w:t>
      </w:r>
      <w:r w:rsidR="00496CB2" w:rsidRPr="003A1174">
        <w:rPr>
          <w:rFonts w:ascii="Garamond" w:hAnsi="Garamond" w:cs="Arial"/>
          <w:color w:val="000000"/>
          <w:sz w:val="24"/>
          <w:szCs w:val="24"/>
        </w:rPr>
        <w:t xml:space="preserve"> $2952,00 provenientes </w:t>
      </w:r>
      <w:r w:rsidR="00E85E59" w:rsidRPr="003A1174">
        <w:rPr>
          <w:rFonts w:ascii="Garamond" w:hAnsi="Garamond" w:cs="Arial"/>
          <w:color w:val="000000"/>
          <w:sz w:val="24"/>
          <w:szCs w:val="24"/>
        </w:rPr>
        <w:t>do</w:t>
      </w:r>
      <w:r w:rsidR="00496CB2" w:rsidRPr="003A1174">
        <w:rPr>
          <w:rFonts w:ascii="Garamond" w:hAnsi="Garamond" w:cs="Arial"/>
          <w:color w:val="000000"/>
          <w:sz w:val="24"/>
          <w:szCs w:val="24"/>
        </w:rPr>
        <w:t xml:space="preserve"> </w:t>
      </w:r>
      <w:r w:rsidR="00946348" w:rsidRPr="003A1174">
        <w:rPr>
          <w:rFonts w:ascii="Garamond" w:hAnsi="Garamond" w:cs="Arial"/>
          <w:color w:val="000000"/>
          <w:sz w:val="24"/>
          <w:szCs w:val="24"/>
        </w:rPr>
        <w:t>Orçamento</w:t>
      </w:r>
      <w:r w:rsidR="00496CB2" w:rsidRPr="003A1174">
        <w:rPr>
          <w:rFonts w:ascii="Garamond" w:hAnsi="Garamond" w:cs="Arial"/>
          <w:color w:val="000000"/>
          <w:sz w:val="24"/>
          <w:szCs w:val="24"/>
        </w:rPr>
        <w:t xml:space="preserve"> </w:t>
      </w:r>
      <w:r w:rsidR="00077461" w:rsidRPr="003A1174">
        <w:rPr>
          <w:rFonts w:ascii="Garamond" w:hAnsi="Garamond" w:cs="Arial"/>
          <w:color w:val="000000"/>
          <w:sz w:val="24"/>
          <w:szCs w:val="24"/>
        </w:rPr>
        <w:t>Geral</w:t>
      </w:r>
      <w:r w:rsidR="00496CB2" w:rsidRPr="003A1174">
        <w:rPr>
          <w:rFonts w:ascii="Garamond" w:hAnsi="Garamond" w:cs="Arial"/>
          <w:color w:val="000000"/>
          <w:sz w:val="24"/>
          <w:szCs w:val="24"/>
        </w:rPr>
        <w:t>, $1600,00 de A</w:t>
      </w:r>
      <w:r w:rsidR="00E431AE" w:rsidRPr="003A1174">
        <w:rPr>
          <w:rFonts w:ascii="Garamond" w:hAnsi="Garamond" w:cs="Arial"/>
          <w:color w:val="000000"/>
          <w:sz w:val="24"/>
          <w:szCs w:val="24"/>
        </w:rPr>
        <w:t xml:space="preserve">tribuições </w:t>
      </w:r>
      <w:r w:rsidR="00201889" w:rsidRPr="003A1174">
        <w:rPr>
          <w:rFonts w:ascii="Garamond" w:hAnsi="Garamond" w:cs="Arial"/>
          <w:color w:val="000000"/>
          <w:sz w:val="24"/>
          <w:szCs w:val="24"/>
        </w:rPr>
        <w:t>Especiais</w:t>
      </w:r>
      <w:r w:rsidR="00496CB2" w:rsidRPr="003A1174">
        <w:rPr>
          <w:rFonts w:ascii="Garamond" w:hAnsi="Garamond" w:cs="Arial"/>
          <w:color w:val="000000"/>
          <w:sz w:val="24"/>
          <w:szCs w:val="24"/>
        </w:rPr>
        <w:t xml:space="preserve">, $2003,00 de </w:t>
      </w:r>
      <w:r w:rsidR="00E560D8" w:rsidRPr="003A1174">
        <w:rPr>
          <w:rFonts w:ascii="Garamond" w:hAnsi="Garamond" w:cs="Arial"/>
          <w:color w:val="000000"/>
          <w:sz w:val="24"/>
          <w:szCs w:val="24"/>
        </w:rPr>
        <w:t>Fundo</w:t>
      </w:r>
      <w:r w:rsidR="00496CB2" w:rsidRPr="003A1174">
        <w:rPr>
          <w:rFonts w:ascii="Garamond" w:hAnsi="Garamond" w:cs="Arial"/>
          <w:color w:val="000000"/>
          <w:sz w:val="24"/>
          <w:szCs w:val="24"/>
        </w:rPr>
        <w:t xml:space="preserve">s </w:t>
      </w:r>
      <w:r w:rsidR="00FC5E28" w:rsidRPr="003A1174">
        <w:rPr>
          <w:rFonts w:ascii="Garamond" w:hAnsi="Garamond" w:cs="Arial"/>
          <w:color w:val="000000"/>
          <w:sz w:val="24"/>
          <w:szCs w:val="24"/>
        </w:rPr>
        <w:t>Federais</w:t>
      </w:r>
      <w:r w:rsidR="00496CB2" w:rsidRPr="003A1174">
        <w:rPr>
          <w:rFonts w:ascii="Garamond" w:hAnsi="Garamond" w:cs="Arial"/>
          <w:color w:val="000000"/>
          <w:sz w:val="24"/>
          <w:szCs w:val="24"/>
        </w:rPr>
        <w:t xml:space="preserve"> </w:t>
      </w:r>
      <w:r w:rsidR="00497503" w:rsidRPr="003A1174">
        <w:rPr>
          <w:rFonts w:ascii="Garamond" w:hAnsi="Garamond" w:cs="Arial"/>
          <w:color w:val="000000"/>
          <w:sz w:val="24"/>
          <w:szCs w:val="24"/>
        </w:rPr>
        <w:t>dos</w:t>
      </w:r>
      <w:r w:rsidR="00496CB2" w:rsidRPr="003A1174">
        <w:rPr>
          <w:rFonts w:ascii="Garamond" w:hAnsi="Garamond" w:cs="Arial"/>
          <w:color w:val="000000"/>
          <w:sz w:val="24"/>
          <w:szCs w:val="24"/>
        </w:rPr>
        <w:t xml:space="preserve"> Estados Unidos de América </w:t>
      </w:r>
      <w:r w:rsidR="000672E8" w:rsidRPr="003A1174">
        <w:rPr>
          <w:rFonts w:ascii="Garamond" w:hAnsi="Garamond" w:cs="Arial"/>
          <w:color w:val="000000"/>
          <w:sz w:val="24"/>
          <w:szCs w:val="24"/>
        </w:rPr>
        <w:t>e</w:t>
      </w:r>
      <w:r w:rsidR="00496CB2" w:rsidRPr="003A1174">
        <w:rPr>
          <w:rFonts w:ascii="Garamond" w:hAnsi="Garamond" w:cs="Arial"/>
          <w:color w:val="000000"/>
          <w:sz w:val="24"/>
          <w:szCs w:val="24"/>
        </w:rPr>
        <w:t xml:space="preserve"> $1500,00 de</w:t>
      </w:r>
      <w:r w:rsidR="00A7205B">
        <w:rPr>
          <w:rFonts w:ascii="Garamond" w:hAnsi="Garamond" w:cs="Arial"/>
          <w:color w:val="000000"/>
          <w:sz w:val="24"/>
          <w:szCs w:val="24"/>
        </w:rPr>
        <w:t xml:space="preserve"> Outras Contribuições</w:t>
      </w:r>
      <w:r w:rsidR="00496CB2" w:rsidRPr="003A1174">
        <w:rPr>
          <w:rFonts w:ascii="Garamond" w:hAnsi="Garamond" w:cs="Arial"/>
          <w:color w:val="000000"/>
          <w:sz w:val="24"/>
          <w:szCs w:val="24"/>
        </w:rPr>
        <w:t>.</w:t>
      </w:r>
      <w:r w:rsidR="00E431AE" w:rsidRPr="003A1174">
        <w:rPr>
          <w:rFonts w:ascii="Garamond" w:hAnsi="Garamond" w:cs="Arial"/>
          <w:sz w:val="24"/>
          <w:szCs w:val="24"/>
        </w:rPr>
        <w:t xml:space="preserve"> </w:t>
      </w:r>
      <w:r w:rsidR="00496CB2" w:rsidRPr="003A1174">
        <w:rPr>
          <w:rFonts w:ascii="Garamond" w:hAnsi="Garamond" w:cs="Arial"/>
          <w:color w:val="000000"/>
          <w:sz w:val="24"/>
          <w:szCs w:val="24"/>
        </w:rPr>
        <w:t>E</w:t>
      </w:r>
      <w:r w:rsidR="00E431AE" w:rsidRPr="003A1174">
        <w:rPr>
          <w:rFonts w:ascii="Garamond" w:hAnsi="Garamond" w:cs="Arial"/>
          <w:color w:val="000000"/>
          <w:sz w:val="24"/>
          <w:szCs w:val="24"/>
        </w:rPr>
        <w:t xml:space="preserve">m </w:t>
      </w:r>
      <w:r w:rsidR="00152A44" w:rsidRPr="003A1174">
        <w:rPr>
          <w:rFonts w:ascii="Garamond" w:hAnsi="Garamond" w:cs="Arial"/>
          <w:color w:val="000000"/>
          <w:sz w:val="24"/>
          <w:szCs w:val="24"/>
        </w:rPr>
        <w:t>relação</w:t>
      </w:r>
      <w:r w:rsidR="00E431AE" w:rsidRPr="003A1174">
        <w:rPr>
          <w:rFonts w:ascii="Garamond" w:hAnsi="Garamond" w:cs="Arial"/>
          <w:color w:val="000000"/>
          <w:sz w:val="24"/>
          <w:szCs w:val="24"/>
        </w:rPr>
        <w:t xml:space="preserve"> à</w:t>
      </w:r>
      <w:r w:rsidR="00496CB2" w:rsidRPr="003A1174">
        <w:rPr>
          <w:rFonts w:ascii="Garamond" w:hAnsi="Garamond" w:cs="Arial"/>
          <w:color w:val="000000"/>
          <w:sz w:val="24"/>
          <w:szCs w:val="24"/>
        </w:rPr>
        <w:t>s A</w:t>
      </w:r>
      <w:r w:rsidR="00E431AE" w:rsidRPr="003A1174">
        <w:rPr>
          <w:rFonts w:ascii="Garamond" w:hAnsi="Garamond" w:cs="Arial"/>
          <w:color w:val="000000"/>
          <w:sz w:val="24"/>
          <w:szCs w:val="24"/>
        </w:rPr>
        <w:t xml:space="preserve">tribuições </w:t>
      </w:r>
      <w:r w:rsidR="00201889" w:rsidRPr="003A1174">
        <w:rPr>
          <w:rFonts w:ascii="Garamond" w:hAnsi="Garamond" w:cs="Arial"/>
          <w:color w:val="000000"/>
          <w:sz w:val="24"/>
          <w:szCs w:val="24"/>
        </w:rPr>
        <w:t>Especiais</w:t>
      </w:r>
      <w:r w:rsidR="00496CB2" w:rsidRPr="003A1174">
        <w:rPr>
          <w:rFonts w:ascii="Garamond" w:hAnsi="Garamond" w:cs="Arial"/>
          <w:color w:val="000000"/>
          <w:sz w:val="24"/>
          <w:szCs w:val="24"/>
        </w:rPr>
        <w:t xml:space="preserve">, </w:t>
      </w:r>
      <w:r w:rsidR="00462B11" w:rsidRPr="003A1174">
        <w:rPr>
          <w:rFonts w:ascii="Garamond" w:hAnsi="Garamond" w:cs="Arial"/>
          <w:color w:val="000000"/>
          <w:sz w:val="24"/>
          <w:szCs w:val="24"/>
        </w:rPr>
        <w:t>incluem</w:t>
      </w:r>
      <w:r w:rsidR="00E431AE" w:rsidRPr="003A1174">
        <w:rPr>
          <w:rFonts w:ascii="Garamond" w:hAnsi="Garamond" w:cs="Arial"/>
          <w:color w:val="000000"/>
          <w:sz w:val="24"/>
          <w:szCs w:val="24"/>
        </w:rPr>
        <w:t>-se</w:t>
      </w:r>
      <w:r w:rsidR="00496CB2" w:rsidRPr="003A1174">
        <w:rPr>
          <w:rFonts w:ascii="Garamond" w:hAnsi="Garamond" w:cs="Arial"/>
          <w:color w:val="000000"/>
          <w:sz w:val="24"/>
          <w:szCs w:val="24"/>
        </w:rPr>
        <w:t xml:space="preserve"> $1600,00 para c</w:t>
      </w:r>
      <w:r w:rsidR="00E431AE" w:rsidRPr="003A1174">
        <w:rPr>
          <w:rFonts w:ascii="Garamond" w:hAnsi="Garamond" w:cs="Arial"/>
          <w:color w:val="000000"/>
          <w:sz w:val="24"/>
          <w:szCs w:val="24"/>
        </w:rPr>
        <w:t>o</w:t>
      </w:r>
      <w:r w:rsidR="00496CB2" w:rsidRPr="003A1174">
        <w:rPr>
          <w:rFonts w:ascii="Garamond" w:hAnsi="Garamond" w:cs="Arial"/>
          <w:color w:val="000000"/>
          <w:sz w:val="24"/>
          <w:szCs w:val="24"/>
        </w:rPr>
        <w:t xml:space="preserve">brir </w:t>
      </w:r>
      <w:r w:rsidR="00E431AE" w:rsidRPr="003A1174">
        <w:rPr>
          <w:rFonts w:ascii="Garamond" w:hAnsi="Garamond" w:cs="Arial"/>
          <w:color w:val="000000"/>
          <w:sz w:val="24"/>
          <w:szCs w:val="24"/>
        </w:rPr>
        <w:t>despesas relacionada</w:t>
      </w:r>
      <w:r w:rsidR="00496CB2" w:rsidRPr="003A1174">
        <w:rPr>
          <w:rFonts w:ascii="Garamond" w:hAnsi="Garamond" w:cs="Arial"/>
          <w:color w:val="000000"/>
          <w:sz w:val="24"/>
          <w:szCs w:val="24"/>
        </w:rPr>
        <w:t>s co</w:t>
      </w:r>
      <w:r w:rsidR="00E431AE" w:rsidRPr="003A1174">
        <w:rPr>
          <w:rFonts w:ascii="Garamond" w:hAnsi="Garamond" w:cs="Arial"/>
          <w:color w:val="000000"/>
          <w:sz w:val="24"/>
          <w:szCs w:val="24"/>
        </w:rPr>
        <w:t xml:space="preserve">m </w:t>
      </w:r>
      <w:r w:rsidR="00496CB2" w:rsidRPr="003A1174">
        <w:rPr>
          <w:rFonts w:ascii="Garamond" w:hAnsi="Garamond" w:cs="Arial"/>
          <w:color w:val="000000"/>
          <w:sz w:val="24"/>
          <w:szCs w:val="24"/>
        </w:rPr>
        <w:t>as di</w:t>
      </w:r>
      <w:r w:rsidR="00E431AE" w:rsidRPr="003A1174">
        <w:rPr>
          <w:rFonts w:ascii="Garamond" w:hAnsi="Garamond" w:cs="Arial"/>
          <w:color w:val="000000"/>
          <w:sz w:val="24"/>
          <w:szCs w:val="24"/>
        </w:rPr>
        <w:t xml:space="preserve">ferentes </w:t>
      </w:r>
      <w:r w:rsidR="00A56F43" w:rsidRPr="003A1174">
        <w:rPr>
          <w:rFonts w:ascii="Garamond" w:hAnsi="Garamond" w:cs="Arial"/>
          <w:color w:val="000000"/>
          <w:sz w:val="24"/>
          <w:szCs w:val="24"/>
        </w:rPr>
        <w:t>estratégia</w:t>
      </w:r>
      <w:r w:rsidR="00E431AE" w:rsidRPr="003A1174">
        <w:rPr>
          <w:rFonts w:ascii="Garamond" w:hAnsi="Garamond" w:cs="Arial"/>
          <w:color w:val="000000"/>
          <w:sz w:val="24"/>
          <w:szCs w:val="24"/>
        </w:rPr>
        <w:t>s que se implementem</w:t>
      </w:r>
      <w:r w:rsidR="00496CB2" w:rsidRPr="003A1174">
        <w:rPr>
          <w:rFonts w:ascii="Garamond" w:hAnsi="Garamond" w:cs="Arial"/>
          <w:color w:val="000000"/>
          <w:sz w:val="24"/>
          <w:szCs w:val="24"/>
        </w:rPr>
        <w:t xml:space="preserve"> para </w:t>
      </w:r>
      <w:r w:rsidR="00791197" w:rsidRPr="003A1174">
        <w:rPr>
          <w:rFonts w:ascii="Garamond" w:hAnsi="Garamond" w:cs="Arial"/>
          <w:color w:val="000000"/>
          <w:sz w:val="24"/>
          <w:szCs w:val="24"/>
        </w:rPr>
        <w:t>oferecer</w:t>
      </w:r>
      <w:r w:rsidR="00496CB2" w:rsidRPr="003A1174">
        <w:rPr>
          <w:rFonts w:ascii="Garamond" w:hAnsi="Garamond" w:cs="Arial"/>
          <w:color w:val="000000"/>
          <w:sz w:val="24"/>
          <w:szCs w:val="24"/>
        </w:rPr>
        <w:t xml:space="preserve"> </w:t>
      </w:r>
      <w:r w:rsidR="00B531F2" w:rsidRPr="003A1174">
        <w:rPr>
          <w:rFonts w:ascii="Garamond" w:hAnsi="Garamond" w:cs="Arial"/>
          <w:color w:val="000000"/>
          <w:sz w:val="24"/>
          <w:szCs w:val="24"/>
        </w:rPr>
        <w:t>serviço</w:t>
      </w:r>
      <w:r w:rsidR="00496CB2" w:rsidRPr="003A1174">
        <w:rPr>
          <w:rFonts w:ascii="Garamond" w:hAnsi="Garamond" w:cs="Arial"/>
          <w:color w:val="000000"/>
          <w:sz w:val="24"/>
          <w:szCs w:val="24"/>
        </w:rPr>
        <w:t xml:space="preserve">s </w:t>
      </w:r>
      <w:r w:rsidR="000672E8" w:rsidRPr="003A1174">
        <w:rPr>
          <w:rFonts w:ascii="Garamond" w:hAnsi="Garamond" w:cs="Arial"/>
          <w:color w:val="000000"/>
          <w:sz w:val="24"/>
          <w:szCs w:val="24"/>
        </w:rPr>
        <w:t>e</w:t>
      </w:r>
      <w:r w:rsidR="00496CB2" w:rsidRPr="003A1174">
        <w:rPr>
          <w:rFonts w:ascii="Garamond" w:hAnsi="Garamond" w:cs="Arial"/>
          <w:color w:val="000000"/>
          <w:sz w:val="24"/>
          <w:szCs w:val="24"/>
        </w:rPr>
        <w:t xml:space="preserve"> programas sobre </w:t>
      </w:r>
      <w:r w:rsidR="007578C6" w:rsidRPr="003A1174">
        <w:rPr>
          <w:rFonts w:ascii="Garamond" w:hAnsi="Garamond" w:cs="Arial"/>
          <w:color w:val="000000"/>
          <w:sz w:val="24"/>
          <w:szCs w:val="24"/>
        </w:rPr>
        <w:t>prevenção</w:t>
      </w:r>
      <w:r w:rsidR="00496CB2" w:rsidRPr="003A1174">
        <w:rPr>
          <w:rFonts w:ascii="Garamond" w:hAnsi="Garamond" w:cs="Arial"/>
          <w:color w:val="000000"/>
          <w:sz w:val="24"/>
          <w:szCs w:val="24"/>
        </w:rPr>
        <w:t xml:space="preserve"> d</w:t>
      </w:r>
      <w:r w:rsidR="00F46651" w:rsidRPr="003A1174">
        <w:rPr>
          <w:rFonts w:ascii="Garamond" w:hAnsi="Garamond" w:cs="Arial"/>
          <w:color w:val="000000"/>
          <w:sz w:val="24"/>
          <w:szCs w:val="24"/>
        </w:rPr>
        <w:t xml:space="preserve">a </w:t>
      </w:r>
      <w:r w:rsidR="0017447A" w:rsidRPr="003A1174">
        <w:rPr>
          <w:rFonts w:ascii="Garamond" w:hAnsi="Garamond" w:cs="Arial"/>
          <w:color w:val="000000"/>
          <w:sz w:val="24"/>
          <w:szCs w:val="24"/>
        </w:rPr>
        <w:t>discriminação</w:t>
      </w:r>
      <w:r w:rsidR="00496CB2" w:rsidRPr="003A1174">
        <w:rPr>
          <w:rFonts w:ascii="Garamond" w:hAnsi="Garamond" w:cs="Arial"/>
          <w:color w:val="000000"/>
          <w:sz w:val="24"/>
          <w:szCs w:val="24"/>
        </w:rPr>
        <w:t xml:space="preserve"> </w:t>
      </w:r>
      <w:r w:rsidR="000672E8" w:rsidRPr="003A1174">
        <w:rPr>
          <w:rFonts w:ascii="Garamond" w:hAnsi="Garamond" w:cs="Arial"/>
          <w:color w:val="000000"/>
          <w:sz w:val="24"/>
          <w:szCs w:val="24"/>
        </w:rPr>
        <w:t>e</w:t>
      </w:r>
      <w:r w:rsidR="00496CB2" w:rsidRPr="003A1174">
        <w:rPr>
          <w:rFonts w:ascii="Garamond" w:hAnsi="Garamond" w:cs="Arial"/>
          <w:color w:val="000000"/>
          <w:sz w:val="24"/>
          <w:szCs w:val="24"/>
        </w:rPr>
        <w:t xml:space="preserve"> </w:t>
      </w:r>
      <w:r w:rsidR="000350B1" w:rsidRPr="003A1174">
        <w:rPr>
          <w:rFonts w:ascii="Garamond" w:hAnsi="Garamond" w:cs="Arial"/>
          <w:color w:val="000000"/>
          <w:sz w:val="24"/>
          <w:szCs w:val="24"/>
        </w:rPr>
        <w:t>violência</w:t>
      </w:r>
      <w:r w:rsidR="00496CB2" w:rsidRPr="003A1174">
        <w:rPr>
          <w:rFonts w:ascii="Garamond" w:hAnsi="Garamond" w:cs="Arial"/>
          <w:color w:val="000000"/>
          <w:sz w:val="24"/>
          <w:szCs w:val="24"/>
        </w:rPr>
        <w:t xml:space="preserve"> doméstica </w:t>
      </w:r>
      <w:r w:rsidR="00BB2B00" w:rsidRPr="003A1174">
        <w:rPr>
          <w:rFonts w:ascii="Garamond" w:hAnsi="Garamond" w:cs="Arial"/>
          <w:color w:val="000000"/>
          <w:sz w:val="24"/>
          <w:szCs w:val="24"/>
        </w:rPr>
        <w:t>contra a</w:t>
      </w:r>
      <w:r w:rsidR="00496CB2" w:rsidRPr="003A1174">
        <w:rPr>
          <w:rFonts w:ascii="Garamond" w:hAnsi="Garamond" w:cs="Arial"/>
          <w:color w:val="000000"/>
          <w:sz w:val="24"/>
          <w:szCs w:val="24"/>
        </w:rPr>
        <w:t xml:space="preserve"> </w:t>
      </w:r>
      <w:r w:rsidR="00AF192F" w:rsidRPr="003A1174">
        <w:rPr>
          <w:rFonts w:ascii="Garamond" w:hAnsi="Garamond" w:cs="Arial"/>
          <w:color w:val="000000"/>
          <w:sz w:val="24"/>
          <w:szCs w:val="24"/>
        </w:rPr>
        <w:t>mulher</w:t>
      </w:r>
      <w:r w:rsidR="00496CB2" w:rsidRPr="003A1174">
        <w:rPr>
          <w:rFonts w:ascii="Garamond" w:hAnsi="Garamond" w:cs="Arial"/>
          <w:color w:val="000000"/>
          <w:sz w:val="24"/>
          <w:szCs w:val="24"/>
        </w:rPr>
        <w:t>.</w:t>
      </w:r>
      <w:r w:rsidR="00496CB2" w:rsidRPr="003A1174">
        <w:rPr>
          <w:rFonts w:ascii="Garamond" w:hAnsi="Garamond" w:cs="Arial"/>
          <w:sz w:val="24"/>
          <w:szCs w:val="24"/>
        </w:rPr>
        <w:t xml:space="preserve"> </w:t>
      </w:r>
      <w:bookmarkEnd w:id="67"/>
      <w:r w:rsidR="00E431AE" w:rsidRPr="003A1174">
        <w:rPr>
          <w:rFonts w:ascii="Garamond" w:hAnsi="Garamond" w:cs="Arial"/>
          <w:color w:val="000000"/>
          <w:sz w:val="24"/>
          <w:szCs w:val="24"/>
        </w:rPr>
        <w:t xml:space="preserve">Entre </w:t>
      </w:r>
      <w:r w:rsidR="00496CB2" w:rsidRPr="003A1174">
        <w:rPr>
          <w:rFonts w:ascii="Garamond" w:hAnsi="Garamond" w:cs="Arial"/>
          <w:color w:val="000000"/>
          <w:sz w:val="24"/>
          <w:szCs w:val="24"/>
        </w:rPr>
        <w:t xml:space="preserve">os programas </w:t>
      </w:r>
      <w:r w:rsidR="00FC5E28" w:rsidRPr="003A1174">
        <w:rPr>
          <w:rFonts w:ascii="Garamond" w:hAnsi="Garamond" w:cs="Arial"/>
          <w:color w:val="000000"/>
          <w:sz w:val="24"/>
          <w:szCs w:val="24"/>
        </w:rPr>
        <w:t>federais</w:t>
      </w:r>
      <w:r w:rsidR="00496CB2" w:rsidRPr="003A1174">
        <w:rPr>
          <w:rFonts w:ascii="Garamond" w:hAnsi="Garamond" w:cs="Arial"/>
          <w:color w:val="000000"/>
          <w:sz w:val="24"/>
          <w:szCs w:val="24"/>
        </w:rPr>
        <w:t xml:space="preserve"> que </w:t>
      </w:r>
      <w:r w:rsidR="00E431AE" w:rsidRPr="003A1174">
        <w:rPr>
          <w:rFonts w:ascii="Garamond" w:hAnsi="Garamond" w:cs="Arial"/>
          <w:color w:val="000000"/>
          <w:sz w:val="24"/>
          <w:szCs w:val="24"/>
        </w:rPr>
        <w:t xml:space="preserve">fornecem </w:t>
      </w:r>
      <w:r w:rsidR="00496CB2" w:rsidRPr="003A1174">
        <w:rPr>
          <w:rFonts w:ascii="Garamond" w:hAnsi="Garamond" w:cs="Arial"/>
          <w:color w:val="000000"/>
          <w:sz w:val="24"/>
          <w:szCs w:val="24"/>
        </w:rPr>
        <w:t xml:space="preserve">as </w:t>
      </w:r>
      <w:r w:rsidR="00FC1F7F" w:rsidRPr="003A1174">
        <w:rPr>
          <w:rFonts w:ascii="Garamond" w:hAnsi="Garamond" w:cs="Arial"/>
          <w:color w:val="000000"/>
          <w:sz w:val="24"/>
          <w:szCs w:val="24"/>
        </w:rPr>
        <w:t>maiores</w:t>
      </w:r>
      <w:r w:rsidR="00496CB2" w:rsidRPr="003A1174">
        <w:rPr>
          <w:rFonts w:ascii="Garamond" w:hAnsi="Garamond" w:cs="Arial"/>
          <w:color w:val="000000"/>
          <w:sz w:val="24"/>
          <w:szCs w:val="24"/>
        </w:rPr>
        <w:t xml:space="preserve"> </w:t>
      </w:r>
      <w:r w:rsidR="00E431AE" w:rsidRPr="003A1174">
        <w:rPr>
          <w:rFonts w:ascii="Garamond" w:hAnsi="Garamond" w:cs="Arial"/>
          <w:color w:val="000000"/>
          <w:sz w:val="24"/>
          <w:szCs w:val="24"/>
        </w:rPr>
        <w:t xml:space="preserve">participações </w:t>
      </w:r>
      <w:r w:rsidR="00462B11" w:rsidRPr="003A1174">
        <w:rPr>
          <w:rFonts w:ascii="Garamond" w:hAnsi="Garamond" w:cs="Arial"/>
          <w:color w:val="000000"/>
          <w:sz w:val="24"/>
          <w:szCs w:val="24"/>
        </w:rPr>
        <w:t>incluem</w:t>
      </w:r>
      <w:r w:rsidR="00E431AE" w:rsidRPr="003A1174">
        <w:rPr>
          <w:rFonts w:ascii="Garamond" w:hAnsi="Garamond" w:cs="Arial"/>
          <w:color w:val="000000"/>
          <w:sz w:val="24"/>
          <w:szCs w:val="24"/>
        </w:rPr>
        <w:t>-se</w:t>
      </w:r>
      <w:r w:rsidR="00496CB2" w:rsidRPr="003A1174">
        <w:rPr>
          <w:rFonts w:ascii="Garamond" w:hAnsi="Garamond" w:cs="Arial"/>
          <w:color w:val="000000"/>
          <w:sz w:val="24"/>
          <w:szCs w:val="24"/>
        </w:rPr>
        <w:t xml:space="preserve">: </w:t>
      </w:r>
      <w:r w:rsidR="00496CB2" w:rsidRPr="003A1174">
        <w:rPr>
          <w:rFonts w:ascii="Garamond" w:hAnsi="Garamond" w:cs="Arial"/>
          <w:i/>
          <w:color w:val="000000"/>
          <w:sz w:val="24"/>
          <w:szCs w:val="24"/>
        </w:rPr>
        <w:t>Crime Vic</w:t>
      </w:r>
      <w:r w:rsidR="00E431AE" w:rsidRPr="003A1174">
        <w:rPr>
          <w:rFonts w:ascii="Garamond" w:hAnsi="Garamond" w:cs="Arial"/>
          <w:i/>
          <w:color w:val="000000"/>
          <w:sz w:val="24"/>
          <w:szCs w:val="24"/>
        </w:rPr>
        <w:t>tim Assistance, Sexual Assault e</w:t>
      </w:r>
      <w:r w:rsidR="00496CB2" w:rsidRPr="003A1174">
        <w:rPr>
          <w:rFonts w:ascii="Garamond" w:hAnsi="Garamond" w:cs="Arial"/>
          <w:i/>
          <w:color w:val="000000"/>
          <w:sz w:val="24"/>
          <w:szCs w:val="24"/>
        </w:rPr>
        <w:t xml:space="preserve"> Violence Against Women Formula Grants. </w:t>
      </w:r>
    </w:p>
    <w:p w:rsidR="00496CB2" w:rsidRPr="003A1174" w:rsidRDefault="00077461" w:rsidP="008719D4">
      <w:pPr>
        <w:pStyle w:val="Ttulo4"/>
        <w:spacing w:line="240" w:lineRule="auto"/>
        <w:rPr>
          <w:rFonts w:ascii="Garamond" w:hAnsi="Garamond"/>
          <w:sz w:val="24"/>
          <w:szCs w:val="24"/>
        </w:rPr>
      </w:pPr>
      <w:r w:rsidRPr="003A1174">
        <w:rPr>
          <w:rFonts w:ascii="Garamond" w:eastAsia="Times New Roman" w:hAnsi="Garamond"/>
          <w:sz w:val="24"/>
          <w:szCs w:val="24"/>
          <w:lang w:eastAsia="es-ES"/>
        </w:rPr>
        <w:t>Registo</w:t>
      </w:r>
      <w:r w:rsidR="007E4CED" w:rsidRPr="003A1174">
        <w:rPr>
          <w:rFonts w:ascii="Garamond" w:eastAsia="Times New Roman" w:hAnsi="Garamond"/>
          <w:sz w:val="24"/>
          <w:szCs w:val="24"/>
          <w:lang w:eastAsia="es-ES"/>
        </w:rPr>
        <w:t xml:space="preserve"> de </w:t>
      </w:r>
      <w:r w:rsidR="0017447A" w:rsidRPr="003A1174">
        <w:rPr>
          <w:rFonts w:ascii="Garamond" w:eastAsia="Times New Roman" w:hAnsi="Garamond"/>
          <w:sz w:val="24"/>
          <w:szCs w:val="24"/>
          <w:lang w:eastAsia="es-ES"/>
        </w:rPr>
        <w:t>informação</w:t>
      </w:r>
    </w:p>
    <w:p w:rsidR="007E4CED" w:rsidRPr="003A1174" w:rsidRDefault="00140D69" w:rsidP="008719D4">
      <w:pPr>
        <w:spacing w:before="240" w:line="240" w:lineRule="auto"/>
        <w:jc w:val="both"/>
        <w:rPr>
          <w:rFonts w:ascii="Garamond" w:hAnsi="Garamond" w:cs="Arial"/>
          <w:sz w:val="24"/>
          <w:szCs w:val="24"/>
        </w:rPr>
      </w:pPr>
      <w:r>
        <w:rPr>
          <w:rFonts w:ascii="Garamond" w:hAnsi="Garamond" w:cs="Arial"/>
          <w:sz w:val="24"/>
          <w:szCs w:val="24"/>
        </w:rPr>
        <w:t xml:space="preserve">Na sequência </w:t>
      </w:r>
      <w:r w:rsidR="00496CB2" w:rsidRPr="003A1174">
        <w:rPr>
          <w:rFonts w:ascii="Garamond" w:hAnsi="Garamond" w:cs="Arial"/>
          <w:sz w:val="24"/>
          <w:szCs w:val="24"/>
        </w:rPr>
        <w:t>d</w:t>
      </w:r>
      <w:r w:rsidR="000030AE" w:rsidRPr="003A1174">
        <w:rPr>
          <w:rFonts w:ascii="Garamond" w:hAnsi="Garamond" w:cs="Arial"/>
          <w:sz w:val="24"/>
          <w:szCs w:val="24"/>
        </w:rPr>
        <w:t>o apelo</w:t>
      </w:r>
      <w:r w:rsidR="00C35AC6">
        <w:rPr>
          <w:rFonts w:ascii="Garamond" w:hAnsi="Garamond" w:cs="Arial"/>
          <w:sz w:val="24"/>
          <w:szCs w:val="24"/>
        </w:rPr>
        <w:t xml:space="preserve"> lançado </w:t>
      </w:r>
      <w:r w:rsidR="00C35AC6" w:rsidRPr="003A1174">
        <w:rPr>
          <w:rFonts w:ascii="Garamond" w:hAnsi="Garamond" w:cs="Arial"/>
          <w:sz w:val="24"/>
          <w:szCs w:val="24"/>
        </w:rPr>
        <w:t xml:space="preserve">na </w:t>
      </w:r>
      <w:r w:rsidR="00C35AC6" w:rsidRPr="003A1174">
        <w:rPr>
          <w:rFonts w:ascii="Garamond" w:hAnsi="Garamond" w:cs="Arial"/>
          <w:spacing w:val="-2"/>
          <w:sz w:val="24"/>
          <w:szCs w:val="24"/>
        </w:rPr>
        <w:t>Quarta</w:t>
      </w:r>
      <w:r w:rsidR="00C35AC6" w:rsidRPr="003A1174">
        <w:rPr>
          <w:rFonts w:ascii="Garamond" w:hAnsi="Garamond" w:cs="Arial"/>
          <w:spacing w:val="18"/>
          <w:sz w:val="24"/>
          <w:szCs w:val="24"/>
        </w:rPr>
        <w:t xml:space="preserve"> </w:t>
      </w:r>
      <w:r w:rsidR="00C35AC6" w:rsidRPr="003A1174">
        <w:rPr>
          <w:rFonts w:ascii="Garamond" w:hAnsi="Garamond" w:cs="Arial"/>
          <w:spacing w:val="-2"/>
          <w:sz w:val="24"/>
          <w:szCs w:val="24"/>
        </w:rPr>
        <w:t>Conferência</w:t>
      </w:r>
      <w:r w:rsidR="00C35AC6" w:rsidRPr="003A1174">
        <w:rPr>
          <w:rFonts w:ascii="Garamond" w:hAnsi="Garamond" w:cs="Arial"/>
          <w:spacing w:val="18"/>
          <w:sz w:val="24"/>
          <w:szCs w:val="24"/>
        </w:rPr>
        <w:t xml:space="preserve"> </w:t>
      </w:r>
      <w:r w:rsidR="00C35AC6" w:rsidRPr="003A1174">
        <w:rPr>
          <w:rFonts w:ascii="Garamond" w:hAnsi="Garamond" w:cs="Arial"/>
          <w:spacing w:val="3"/>
          <w:sz w:val="24"/>
          <w:szCs w:val="24"/>
        </w:rPr>
        <w:t>M</w:t>
      </w:r>
      <w:r w:rsidR="00C35AC6" w:rsidRPr="003A1174">
        <w:rPr>
          <w:rFonts w:ascii="Garamond" w:hAnsi="Garamond" w:cs="Arial"/>
          <w:sz w:val="24"/>
          <w:szCs w:val="24"/>
        </w:rPr>
        <w:t>u</w:t>
      </w:r>
      <w:r w:rsidR="00C35AC6" w:rsidRPr="003A1174">
        <w:rPr>
          <w:rFonts w:ascii="Garamond" w:hAnsi="Garamond" w:cs="Arial"/>
          <w:spacing w:val="-5"/>
          <w:sz w:val="24"/>
          <w:szCs w:val="24"/>
        </w:rPr>
        <w:t>n</w:t>
      </w:r>
      <w:r w:rsidR="00C35AC6" w:rsidRPr="003A1174">
        <w:rPr>
          <w:rFonts w:ascii="Garamond" w:hAnsi="Garamond" w:cs="Arial"/>
          <w:spacing w:val="2"/>
          <w:sz w:val="24"/>
          <w:szCs w:val="24"/>
        </w:rPr>
        <w:t>d</w:t>
      </w:r>
      <w:r w:rsidR="00C35AC6" w:rsidRPr="003A1174">
        <w:rPr>
          <w:rFonts w:ascii="Garamond" w:hAnsi="Garamond" w:cs="Arial"/>
          <w:spacing w:val="-1"/>
          <w:sz w:val="24"/>
          <w:szCs w:val="24"/>
        </w:rPr>
        <w:t>i</w:t>
      </w:r>
      <w:r w:rsidR="00C35AC6" w:rsidRPr="003A1174">
        <w:rPr>
          <w:rFonts w:ascii="Garamond" w:hAnsi="Garamond" w:cs="Arial"/>
          <w:spacing w:val="-7"/>
          <w:sz w:val="24"/>
          <w:szCs w:val="24"/>
        </w:rPr>
        <w:t>a</w:t>
      </w:r>
      <w:r w:rsidR="00C35AC6" w:rsidRPr="003A1174">
        <w:rPr>
          <w:rFonts w:ascii="Garamond" w:hAnsi="Garamond" w:cs="Arial"/>
          <w:sz w:val="24"/>
          <w:szCs w:val="24"/>
        </w:rPr>
        <w:t>l</w:t>
      </w:r>
      <w:r w:rsidR="00C35AC6" w:rsidRPr="003A1174">
        <w:rPr>
          <w:rFonts w:ascii="Garamond" w:hAnsi="Garamond" w:cs="Arial"/>
          <w:spacing w:val="24"/>
          <w:sz w:val="24"/>
          <w:szCs w:val="24"/>
        </w:rPr>
        <w:t xml:space="preserve"> </w:t>
      </w:r>
      <w:r w:rsidR="00C35AC6" w:rsidRPr="003A1174">
        <w:rPr>
          <w:rFonts w:ascii="Garamond" w:hAnsi="Garamond" w:cs="Arial"/>
          <w:sz w:val="24"/>
          <w:szCs w:val="24"/>
        </w:rPr>
        <w:t>so</w:t>
      </w:r>
      <w:r w:rsidR="00C35AC6" w:rsidRPr="003A1174">
        <w:rPr>
          <w:rFonts w:ascii="Garamond" w:hAnsi="Garamond" w:cs="Arial"/>
          <w:spacing w:val="-3"/>
          <w:sz w:val="24"/>
          <w:szCs w:val="24"/>
        </w:rPr>
        <w:t>b</w:t>
      </w:r>
      <w:r w:rsidR="00C35AC6" w:rsidRPr="003A1174">
        <w:rPr>
          <w:rFonts w:ascii="Garamond" w:hAnsi="Garamond" w:cs="Arial"/>
          <w:spacing w:val="-4"/>
          <w:sz w:val="24"/>
          <w:szCs w:val="24"/>
        </w:rPr>
        <w:t>r</w:t>
      </w:r>
      <w:r w:rsidR="00C35AC6" w:rsidRPr="003A1174">
        <w:rPr>
          <w:rFonts w:ascii="Garamond" w:hAnsi="Garamond" w:cs="Arial"/>
          <w:sz w:val="24"/>
          <w:szCs w:val="24"/>
        </w:rPr>
        <w:t>e</w:t>
      </w:r>
      <w:r w:rsidR="00C35AC6" w:rsidRPr="003A1174">
        <w:rPr>
          <w:rFonts w:ascii="Garamond" w:hAnsi="Garamond" w:cs="Arial"/>
          <w:spacing w:val="16"/>
          <w:sz w:val="24"/>
          <w:szCs w:val="24"/>
        </w:rPr>
        <w:t xml:space="preserve"> </w:t>
      </w:r>
      <w:r w:rsidR="00C35AC6" w:rsidRPr="003A1174">
        <w:rPr>
          <w:rFonts w:ascii="Garamond" w:hAnsi="Garamond" w:cs="Arial"/>
          <w:sz w:val="24"/>
          <w:szCs w:val="24"/>
        </w:rPr>
        <w:t>a</w:t>
      </w:r>
      <w:r w:rsidR="00C35AC6" w:rsidRPr="003A1174">
        <w:rPr>
          <w:rFonts w:ascii="Garamond" w:hAnsi="Garamond" w:cs="Arial"/>
          <w:spacing w:val="13"/>
          <w:sz w:val="24"/>
          <w:szCs w:val="24"/>
        </w:rPr>
        <w:t xml:space="preserve"> </w:t>
      </w:r>
      <w:r w:rsidR="00C35AC6" w:rsidRPr="003A1174">
        <w:rPr>
          <w:rFonts w:ascii="Garamond" w:hAnsi="Garamond" w:cs="Arial"/>
          <w:spacing w:val="3"/>
          <w:sz w:val="24"/>
          <w:szCs w:val="24"/>
        </w:rPr>
        <w:t>Mulher</w:t>
      </w:r>
      <w:r w:rsidR="00C35AC6" w:rsidRPr="003A1174">
        <w:rPr>
          <w:rFonts w:ascii="Garamond" w:hAnsi="Garamond" w:cs="Arial"/>
          <w:sz w:val="24"/>
          <w:szCs w:val="24"/>
        </w:rPr>
        <w:t>,</w:t>
      </w:r>
      <w:r w:rsidR="00C35AC6" w:rsidRPr="003A1174">
        <w:rPr>
          <w:rFonts w:ascii="Garamond" w:hAnsi="Garamond" w:cs="Arial"/>
          <w:spacing w:val="17"/>
          <w:sz w:val="24"/>
          <w:szCs w:val="24"/>
        </w:rPr>
        <w:t xml:space="preserve"> </w:t>
      </w:r>
      <w:r w:rsidR="00C35AC6" w:rsidRPr="003A1174">
        <w:rPr>
          <w:rFonts w:ascii="Garamond" w:hAnsi="Garamond" w:cs="Arial"/>
          <w:spacing w:val="-5"/>
          <w:sz w:val="24"/>
          <w:szCs w:val="24"/>
        </w:rPr>
        <w:t>(</w:t>
      </w:r>
      <w:r w:rsidR="00C35AC6" w:rsidRPr="003A1174">
        <w:rPr>
          <w:rFonts w:ascii="Garamond" w:hAnsi="Garamond" w:cs="Arial"/>
          <w:spacing w:val="-3"/>
          <w:sz w:val="24"/>
          <w:szCs w:val="24"/>
        </w:rPr>
        <w:t>B</w:t>
      </w:r>
      <w:r w:rsidR="00C35AC6" w:rsidRPr="003A1174">
        <w:rPr>
          <w:rFonts w:ascii="Garamond" w:hAnsi="Garamond" w:cs="Arial"/>
          <w:sz w:val="24"/>
          <w:szCs w:val="24"/>
        </w:rPr>
        <w:t>ei</w:t>
      </w:r>
      <w:r w:rsidR="00C35AC6" w:rsidRPr="003A1174">
        <w:rPr>
          <w:rFonts w:ascii="Garamond" w:hAnsi="Garamond" w:cs="Arial"/>
          <w:spacing w:val="-3"/>
          <w:sz w:val="24"/>
          <w:szCs w:val="24"/>
        </w:rPr>
        <w:t>j</w:t>
      </w:r>
      <w:r w:rsidR="00C35AC6" w:rsidRPr="003A1174">
        <w:rPr>
          <w:rFonts w:ascii="Garamond" w:hAnsi="Garamond" w:cs="Arial"/>
          <w:spacing w:val="-1"/>
          <w:sz w:val="24"/>
          <w:szCs w:val="24"/>
        </w:rPr>
        <w:t>i</w:t>
      </w:r>
      <w:r w:rsidR="00C35AC6" w:rsidRPr="003A1174">
        <w:rPr>
          <w:rFonts w:ascii="Garamond" w:hAnsi="Garamond" w:cs="Arial"/>
          <w:sz w:val="24"/>
          <w:szCs w:val="24"/>
        </w:rPr>
        <w:t>ng</w:t>
      </w:r>
      <w:r w:rsidR="00C35AC6" w:rsidRPr="003A1174">
        <w:rPr>
          <w:rFonts w:ascii="Garamond" w:hAnsi="Garamond" w:cs="Arial"/>
          <w:spacing w:val="20"/>
          <w:sz w:val="24"/>
          <w:szCs w:val="24"/>
        </w:rPr>
        <w:t xml:space="preserve"> </w:t>
      </w:r>
      <w:r w:rsidR="00C35AC6" w:rsidRPr="003A1174">
        <w:rPr>
          <w:rFonts w:ascii="Garamond" w:hAnsi="Garamond" w:cs="Arial"/>
          <w:spacing w:val="2"/>
          <w:sz w:val="24"/>
          <w:szCs w:val="24"/>
        </w:rPr>
        <w:t>1</w:t>
      </w:r>
      <w:r w:rsidR="00C35AC6" w:rsidRPr="003A1174">
        <w:rPr>
          <w:rFonts w:ascii="Garamond" w:hAnsi="Garamond" w:cs="Arial"/>
          <w:spacing w:val="-3"/>
          <w:sz w:val="24"/>
          <w:szCs w:val="24"/>
        </w:rPr>
        <w:t>9</w:t>
      </w:r>
      <w:r w:rsidR="00C35AC6" w:rsidRPr="003A1174">
        <w:rPr>
          <w:rFonts w:ascii="Garamond" w:hAnsi="Garamond" w:cs="Arial"/>
          <w:spacing w:val="2"/>
          <w:sz w:val="24"/>
          <w:szCs w:val="24"/>
        </w:rPr>
        <w:t>95</w:t>
      </w:r>
      <w:r w:rsidR="00C35AC6" w:rsidRPr="003A1174">
        <w:rPr>
          <w:rFonts w:ascii="Garamond" w:hAnsi="Garamond" w:cs="Arial"/>
          <w:sz w:val="24"/>
          <w:szCs w:val="24"/>
        </w:rPr>
        <w:t>),</w:t>
      </w:r>
      <w:r w:rsidR="000030AE" w:rsidRPr="003A1174">
        <w:rPr>
          <w:rFonts w:ascii="Garamond" w:hAnsi="Garamond" w:cs="Arial"/>
          <w:sz w:val="24"/>
          <w:szCs w:val="24"/>
        </w:rPr>
        <w:t xml:space="preserve"> para </w:t>
      </w:r>
      <w:r>
        <w:rPr>
          <w:rFonts w:ascii="Garamond" w:hAnsi="Garamond" w:cs="Arial"/>
          <w:sz w:val="24"/>
          <w:szCs w:val="24"/>
        </w:rPr>
        <w:t xml:space="preserve">que </w:t>
      </w:r>
      <w:r w:rsidR="007E771E">
        <w:rPr>
          <w:rFonts w:ascii="Garamond" w:hAnsi="Garamond" w:cs="Arial"/>
          <w:sz w:val="24"/>
          <w:szCs w:val="24"/>
        </w:rPr>
        <w:t xml:space="preserve">fossem </w:t>
      </w:r>
      <w:r w:rsidR="000030AE" w:rsidRPr="003A1174">
        <w:rPr>
          <w:rFonts w:ascii="Garamond" w:hAnsi="Garamond" w:cs="Arial"/>
          <w:sz w:val="24"/>
          <w:szCs w:val="24"/>
        </w:rPr>
        <w:t>produzi</w:t>
      </w:r>
      <w:r>
        <w:rPr>
          <w:rFonts w:ascii="Garamond" w:hAnsi="Garamond" w:cs="Arial"/>
          <w:sz w:val="24"/>
          <w:szCs w:val="24"/>
        </w:rPr>
        <w:t>dos</w:t>
      </w:r>
      <w:r w:rsidR="000030AE" w:rsidRPr="003A1174">
        <w:rPr>
          <w:rFonts w:ascii="Garamond" w:hAnsi="Garamond" w:cs="Arial"/>
          <w:sz w:val="24"/>
          <w:szCs w:val="24"/>
        </w:rPr>
        <w:t xml:space="preserve"> </w:t>
      </w:r>
      <w:r w:rsidR="00EE7406" w:rsidRPr="003A1174">
        <w:rPr>
          <w:rFonts w:ascii="Garamond" w:hAnsi="Garamond" w:cs="Arial"/>
          <w:sz w:val="24"/>
          <w:szCs w:val="24"/>
        </w:rPr>
        <w:t>dado</w:t>
      </w:r>
      <w:r w:rsidR="00496CB2" w:rsidRPr="003A1174">
        <w:rPr>
          <w:rFonts w:ascii="Garamond" w:hAnsi="Garamond" w:cs="Arial"/>
          <w:sz w:val="24"/>
          <w:szCs w:val="24"/>
        </w:rPr>
        <w:t>s que permit</w:t>
      </w:r>
      <w:r w:rsidR="000030AE" w:rsidRPr="003A1174">
        <w:rPr>
          <w:rFonts w:ascii="Garamond" w:hAnsi="Garamond" w:cs="Arial"/>
          <w:sz w:val="24"/>
          <w:szCs w:val="24"/>
        </w:rPr>
        <w:t xml:space="preserve">am </w:t>
      </w:r>
      <w:r w:rsidR="00496CB2" w:rsidRPr="003A1174">
        <w:rPr>
          <w:rFonts w:ascii="Garamond" w:hAnsi="Garamond" w:cs="Arial"/>
          <w:sz w:val="24"/>
          <w:szCs w:val="24"/>
        </w:rPr>
        <w:t>ver</w:t>
      </w:r>
      <w:r>
        <w:rPr>
          <w:rFonts w:ascii="Garamond" w:hAnsi="Garamond" w:cs="Arial"/>
          <w:sz w:val="24"/>
          <w:szCs w:val="24"/>
        </w:rPr>
        <w:t>ificar,</w:t>
      </w:r>
      <w:r w:rsidR="00496CB2" w:rsidRPr="003A1174">
        <w:rPr>
          <w:rFonts w:ascii="Garamond" w:hAnsi="Garamond" w:cs="Arial"/>
          <w:sz w:val="24"/>
          <w:szCs w:val="24"/>
        </w:rPr>
        <w:t xml:space="preserve"> co</w:t>
      </w:r>
      <w:r w:rsidR="000030AE" w:rsidRPr="003A1174">
        <w:rPr>
          <w:rFonts w:ascii="Garamond" w:hAnsi="Garamond" w:cs="Arial"/>
          <w:sz w:val="24"/>
          <w:szCs w:val="24"/>
        </w:rPr>
        <w:t>m</w:t>
      </w:r>
      <w:r w:rsidR="00496CB2" w:rsidRPr="003A1174">
        <w:rPr>
          <w:rFonts w:ascii="Garamond" w:hAnsi="Garamond" w:cs="Arial"/>
          <w:sz w:val="24"/>
          <w:szCs w:val="24"/>
        </w:rPr>
        <w:t xml:space="preserve"> </w:t>
      </w:r>
      <w:r w:rsidR="00863197" w:rsidRPr="003A1174">
        <w:rPr>
          <w:rFonts w:ascii="Garamond" w:hAnsi="Garamond" w:cs="Arial"/>
          <w:sz w:val="24"/>
          <w:szCs w:val="24"/>
        </w:rPr>
        <w:t>maior</w:t>
      </w:r>
      <w:r w:rsidR="00496CB2" w:rsidRPr="003A1174">
        <w:rPr>
          <w:rFonts w:ascii="Garamond" w:hAnsi="Garamond" w:cs="Arial"/>
          <w:sz w:val="24"/>
          <w:szCs w:val="24"/>
        </w:rPr>
        <w:t xml:space="preserve"> clar</w:t>
      </w:r>
      <w:r w:rsidR="000030AE" w:rsidRPr="003A1174">
        <w:rPr>
          <w:rFonts w:ascii="Garamond" w:hAnsi="Garamond" w:cs="Arial"/>
          <w:sz w:val="24"/>
          <w:szCs w:val="24"/>
        </w:rPr>
        <w:t>eza</w:t>
      </w:r>
      <w:r>
        <w:rPr>
          <w:rFonts w:ascii="Garamond" w:hAnsi="Garamond" w:cs="Arial"/>
          <w:sz w:val="24"/>
          <w:szCs w:val="24"/>
        </w:rPr>
        <w:t>,</w:t>
      </w:r>
      <w:r w:rsidR="000030AE" w:rsidRPr="003A1174">
        <w:rPr>
          <w:rFonts w:ascii="Garamond" w:hAnsi="Garamond" w:cs="Arial"/>
          <w:sz w:val="24"/>
          <w:szCs w:val="24"/>
        </w:rPr>
        <w:t xml:space="preserve"> a </w:t>
      </w:r>
      <w:r w:rsidR="0017447A" w:rsidRPr="003A1174">
        <w:rPr>
          <w:rFonts w:ascii="Garamond" w:hAnsi="Garamond" w:cs="Arial"/>
          <w:sz w:val="24"/>
          <w:szCs w:val="24"/>
        </w:rPr>
        <w:t>situação</w:t>
      </w:r>
      <w:r w:rsidR="00496CB2" w:rsidRPr="003A1174">
        <w:rPr>
          <w:rFonts w:ascii="Garamond" w:hAnsi="Garamond" w:cs="Arial"/>
          <w:sz w:val="24"/>
          <w:szCs w:val="24"/>
        </w:rPr>
        <w:t xml:space="preserve"> </w:t>
      </w:r>
      <w:r w:rsidR="00497503" w:rsidRPr="003A1174">
        <w:rPr>
          <w:rFonts w:ascii="Garamond" w:hAnsi="Garamond" w:cs="Arial"/>
          <w:sz w:val="24"/>
          <w:szCs w:val="24"/>
        </w:rPr>
        <w:t>das</w:t>
      </w:r>
      <w:r w:rsidR="00496CB2" w:rsidRPr="003A1174">
        <w:rPr>
          <w:rFonts w:ascii="Garamond" w:hAnsi="Garamond" w:cs="Arial"/>
          <w:sz w:val="24"/>
          <w:szCs w:val="24"/>
        </w:rPr>
        <w:t xml:space="preserve"> </w:t>
      </w:r>
      <w:r w:rsidR="00054EE0" w:rsidRPr="003A1174">
        <w:rPr>
          <w:rFonts w:ascii="Garamond" w:hAnsi="Garamond" w:cs="Arial"/>
          <w:sz w:val="24"/>
          <w:szCs w:val="24"/>
        </w:rPr>
        <w:t>mulheres</w:t>
      </w:r>
      <w:r>
        <w:rPr>
          <w:rFonts w:ascii="Garamond" w:hAnsi="Garamond" w:cs="Arial"/>
          <w:sz w:val="24"/>
          <w:szCs w:val="24"/>
        </w:rPr>
        <w:t>,</w:t>
      </w:r>
      <w:r w:rsidR="00496CB2" w:rsidRPr="003A1174">
        <w:rPr>
          <w:rFonts w:ascii="Garamond" w:hAnsi="Garamond" w:cs="Arial"/>
          <w:sz w:val="24"/>
          <w:szCs w:val="24"/>
        </w:rPr>
        <w:t xml:space="preserve"> </w:t>
      </w:r>
      <w:r w:rsidR="00C35AC6">
        <w:rPr>
          <w:rFonts w:ascii="Garamond" w:hAnsi="Garamond" w:cs="Arial"/>
          <w:spacing w:val="20"/>
          <w:sz w:val="24"/>
          <w:szCs w:val="24"/>
        </w:rPr>
        <w:t xml:space="preserve">foi </w:t>
      </w:r>
      <w:r>
        <w:rPr>
          <w:rFonts w:ascii="Garamond" w:hAnsi="Garamond" w:cs="Arial"/>
          <w:sz w:val="24"/>
          <w:szCs w:val="24"/>
        </w:rPr>
        <w:t>alter</w:t>
      </w:r>
      <w:r w:rsidR="00C35AC6">
        <w:rPr>
          <w:rFonts w:ascii="Garamond" w:hAnsi="Garamond" w:cs="Arial"/>
          <w:sz w:val="24"/>
          <w:szCs w:val="24"/>
        </w:rPr>
        <w:t>ada</w:t>
      </w:r>
      <w:r w:rsidR="00496CB2" w:rsidRPr="003A1174">
        <w:rPr>
          <w:rFonts w:ascii="Garamond" w:hAnsi="Garamond" w:cs="Arial"/>
          <w:spacing w:val="21"/>
          <w:sz w:val="24"/>
          <w:szCs w:val="24"/>
        </w:rPr>
        <w:t xml:space="preserve"> </w:t>
      </w:r>
      <w:r w:rsidR="000030AE" w:rsidRPr="003A1174">
        <w:rPr>
          <w:rFonts w:ascii="Garamond" w:hAnsi="Garamond" w:cs="Arial"/>
          <w:spacing w:val="21"/>
          <w:sz w:val="24"/>
          <w:szCs w:val="24"/>
        </w:rPr>
        <w:t>a</w:t>
      </w:r>
      <w:r w:rsidR="00496CB2" w:rsidRPr="003A1174">
        <w:rPr>
          <w:rFonts w:ascii="Garamond" w:hAnsi="Garamond" w:cs="Arial"/>
          <w:spacing w:val="21"/>
          <w:sz w:val="24"/>
          <w:szCs w:val="24"/>
        </w:rPr>
        <w:t xml:space="preserve"> </w:t>
      </w:r>
      <w:r w:rsidR="00D15AFF" w:rsidRPr="003A1174">
        <w:rPr>
          <w:rFonts w:ascii="Garamond" w:hAnsi="Garamond" w:cs="Arial"/>
          <w:spacing w:val="21"/>
          <w:sz w:val="24"/>
          <w:szCs w:val="24"/>
        </w:rPr>
        <w:t>Lei</w:t>
      </w:r>
      <w:r w:rsidR="00496CB2" w:rsidRPr="003A1174">
        <w:rPr>
          <w:rFonts w:ascii="Garamond" w:hAnsi="Garamond" w:cs="Arial"/>
          <w:spacing w:val="21"/>
          <w:sz w:val="24"/>
          <w:szCs w:val="24"/>
        </w:rPr>
        <w:t xml:space="preserve"> </w:t>
      </w:r>
      <w:r w:rsidR="0091113A" w:rsidRPr="003A1174">
        <w:rPr>
          <w:rFonts w:ascii="Garamond" w:hAnsi="Garamond" w:cs="Arial"/>
          <w:spacing w:val="21"/>
          <w:sz w:val="24"/>
          <w:szCs w:val="24"/>
        </w:rPr>
        <w:t>Orgânica</w:t>
      </w:r>
      <w:r w:rsidR="00496CB2" w:rsidRPr="003A1174">
        <w:rPr>
          <w:rFonts w:ascii="Garamond" w:hAnsi="Garamond" w:cs="Arial"/>
          <w:spacing w:val="21"/>
          <w:sz w:val="24"/>
          <w:szCs w:val="24"/>
        </w:rPr>
        <w:t xml:space="preserve"> </w:t>
      </w:r>
      <w:r w:rsidR="00A41573" w:rsidRPr="003A1174">
        <w:rPr>
          <w:rFonts w:ascii="Garamond" w:hAnsi="Garamond" w:cs="Arial"/>
          <w:spacing w:val="21"/>
          <w:sz w:val="24"/>
          <w:szCs w:val="24"/>
        </w:rPr>
        <w:t>do Gabinete</w:t>
      </w:r>
      <w:r w:rsidR="000030AE" w:rsidRPr="003A1174">
        <w:rPr>
          <w:rFonts w:ascii="Garamond" w:hAnsi="Garamond" w:cs="Arial"/>
          <w:spacing w:val="21"/>
          <w:sz w:val="24"/>
          <w:szCs w:val="24"/>
        </w:rPr>
        <w:t xml:space="preserve"> d</w:t>
      </w:r>
      <w:r w:rsidR="00496CB2" w:rsidRPr="003A1174">
        <w:rPr>
          <w:rFonts w:ascii="Garamond" w:hAnsi="Garamond" w:cs="Arial"/>
          <w:spacing w:val="21"/>
          <w:sz w:val="24"/>
          <w:szCs w:val="24"/>
        </w:rPr>
        <w:t xml:space="preserve">a Procuradora </w:t>
      </w:r>
      <w:r w:rsidR="00497503" w:rsidRPr="003A1174">
        <w:rPr>
          <w:rFonts w:ascii="Garamond" w:hAnsi="Garamond" w:cs="Arial"/>
          <w:spacing w:val="21"/>
          <w:sz w:val="24"/>
          <w:szCs w:val="24"/>
        </w:rPr>
        <w:t>das</w:t>
      </w:r>
      <w:r w:rsidR="00496CB2" w:rsidRPr="003A1174">
        <w:rPr>
          <w:rFonts w:ascii="Garamond" w:hAnsi="Garamond" w:cs="Arial"/>
          <w:spacing w:val="21"/>
          <w:sz w:val="24"/>
          <w:szCs w:val="24"/>
        </w:rPr>
        <w:t xml:space="preserve"> </w:t>
      </w:r>
      <w:r w:rsidR="00054EE0" w:rsidRPr="003A1174">
        <w:rPr>
          <w:rFonts w:ascii="Garamond" w:hAnsi="Garamond" w:cs="Arial"/>
          <w:spacing w:val="21"/>
          <w:sz w:val="24"/>
          <w:szCs w:val="24"/>
        </w:rPr>
        <w:t>Mulheres</w:t>
      </w:r>
      <w:r w:rsidR="00496CB2" w:rsidRPr="003A1174">
        <w:rPr>
          <w:rFonts w:ascii="Garamond" w:hAnsi="Garamond" w:cs="Arial"/>
          <w:spacing w:val="21"/>
          <w:sz w:val="24"/>
          <w:szCs w:val="24"/>
        </w:rPr>
        <w:t xml:space="preserve">, </w:t>
      </w:r>
      <w:r w:rsidR="00D15AFF" w:rsidRPr="003A1174">
        <w:rPr>
          <w:rFonts w:ascii="Garamond" w:hAnsi="Garamond" w:cs="Arial"/>
          <w:spacing w:val="-2"/>
          <w:sz w:val="24"/>
          <w:szCs w:val="24"/>
        </w:rPr>
        <w:t>Lei</w:t>
      </w:r>
      <w:r w:rsidR="00496CB2" w:rsidRPr="003A1174">
        <w:rPr>
          <w:rFonts w:ascii="Garamond" w:hAnsi="Garamond" w:cs="Arial"/>
          <w:spacing w:val="22"/>
          <w:sz w:val="24"/>
          <w:szCs w:val="24"/>
        </w:rPr>
        <w:t xml:space="preserve"> </w:t>
      </w:r>
      <w:r w:rsidR="00F46651" w:rsidRPr="003A1174">
        <w:rPr>
          <w:rFonts w:ascii="Garamond" w:hAnsi="Garamond" w:cs="Arial"/>
          <w:sz w:val="24"/>
          <w:szCs w:val="24"/>
        </w:rPr>
        <w:t>N</w:t>
      </w:r>
      <w:r>
        <w:rPr>
          <w:rFonts w:ascii="Garamond" w:hAnsi="Garamond" w:cs="Arial"/>
          <w:sz w:val="24"/>
          <w:szCs w:val="24"/>
        </w:rPr>
        <w:t>.</w:t>
      </w:r>
      <w:r w:rsidR="00F46651" w:rsidRPr="003A1174">
        <w:rPr>
          <w:rFonts w:ascii="Garamond" w:hAnsi="Garamond" w:cs="Arial"/>
          <w:sz w:val="24"/>
          <w:szCs w:val="24"/>
        </w:rPr>
        <w:t>°</w:t>
      </w:r>
      <w:r w:rsidR="00496CB2" w:rsidRPr="003A1174">
        <w:rPr>
          <w:rFonts w:ascii="Garamond" w:hAnsi="Garamond" w:cs="Arial"/>
          <w:spacing w:val="16"/>
          <w:sz w:val="24"/>
          <w:szCs w:val="24"/>
        </w:rPr>
        <w:t xml:space="preserve"> </w:t>
      </w:r>
      <w:r w:rsidR="00496CB2" w:rsidRPr="003A1174">
        <w:rPr>
          <w:rFonts w:ascii="Garamond" w:hAnsi="Garamond" w:cs="Arial"/>
          <w:spacing w:val="-3"/>
          <w:sz w:val="24"/>
          <w:szCs w:val="24"/>
        </w:rPr>
        <w:t>2</w:t>
      </w:r>
      <w:r w:rsidR="00496CB2" w:rsidRPr="003A1174">
        <w:rPr>
          <w:rFonts w:ascii="Garamond" w:hAnsi="Garamond" w:cs="Arial"/>
          <w:sz w:val="24"/>
          <w:szCs w:val="24"/>
        </w:rPr>
        <w:t>0</w:t>
      </w:r>
      <w:r>
        <w:rPr>
          <w:rFonts w:ascii="Garamond" w:hAnsi="Garamond" w:cs="Arial"/>
          <w:sz w:val="24"/>
          <w:szCs w:val="24"/>
        </w:rPr>
        <w:t>,</w:t>
      </w:r>
      <w:r w:rsidR="00496CB2" w:rsidRPr="003A1174">
        <w:rPr>
          <w:rFonts w:ascii="Garamond" w:hAnsi="Garamond" w:cs="Arial"/>
          <w:spacing w:val="22"/>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pacing w:val="-5"/>
          <w:sz w:val="24"/>
          <w:szCs w:val="24"/>
        </w:rPr>
        <w:t>e</w:t>
      </w:r>
      <w:r w:rsidR="00496CB2" w:rsidRPr="003A1174">
        <w:rPr>
          <w:rFonts w:ascii="Garamond" w:hAnsi="Garamond" w:cs="Arial"/>
          <w:spacing w:val="24"/>
          <w:sz w:val="24"/>
          <w:szCs w:val="24"/>
        </w:rPr>
        <w:t xml:space="preserve"> </w:t>
      </w:r>
      <w:r w:rsidR="00496CB2" w:rsidRPr="003A1174">
        <w:rPr>
          <w:rFonts w:ascii="Garamond" w:hAnsi="Garamond" w:cs="Arial"/>
          <w:spacing w:val="-3"/>
          <w:sz w:val="24"/>
          <w:szCs w:val="24"/>
        </w:rPr>
        <w:t>1</w:t>
      </w:r>
      <w:r w:rsidR="00496CB2" w:rsidRPr="003A1174">
        <w:rPr>
          <w:rFonts w:ascii="Garamond" w:hAnsi="Garamond" w:cs="Arial"/>
          <w:sz w:val="24"/>
          <w:szCs w:val="24"/>
        </w:rPr>
        <w:t>1</w:t>
      </w:r>
      <w:r w:rsidR="00496CB2" w:rsidRPr="003A1174">
        <w:rPr>
          <w:rFonts w:ascii="Garamond" w:hAnsi="Garamond" w:cs="Arial"/>
          <w:spacing w:val="17"/>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21"/>
          <w:sz w:val="24"/>
          <w:szCs w:val="24"/>
        </w:rPr>
        <w:t xml:space="preserve"> </w:t>
      </w:r>
      <w:r w:rsidR="00496CB2" w:rsidRPr="003A1174">
        <w:rPr>
          <w:rFonts w:ascii="Garamond" w:hAnsi="Garamond" w:cs="Arial"/>
          <w:spacing w:val="-2"/>
          <w:sz w:val="24"/>
          <w:szCs w:val="24"/>
        </w:rPr>
        <w:t>ab</w:t>
      </w:r>
      <w:r w:rsidR="00496CB2" w:rsidRPr="003A1174">
        <w:rPr>
          <w:rFonts w:ascii="Garamond" w:hAnsi="Garamond" w:cs="Arial"/>
          <w:sz w:val="24"/>
          <w:szCs w:val="24"/>
        </w:rPr>
        <w:t>r</w:t>
      </w:r>
      <w:r w:rsidR="00496CB2" w:rsidRPr="003A1174">
        <w:rPr>
          <w:rFonts w:ascii="Garamond" w:hAnsi="Garamond" w:cs="Arial"/>
          <w:spacing w:val="-6"/>
          <w:sz w:val="24"/>
          <w:szCs w:val="24"/>
        </w:rPr>
        <w:t>i</w:t>
      </w:r>
      <w:r w:rsidR="00496CB2" w:rsidRPr="003A1174">
        <w:rPr>
          <w:rFonts w:ascii="Garamond" w:hAnsi="Garamond" w:cs="Arial"/>
          <w:sz w:val="24"/>
          <w:szCs w:val="24"/>
        </w:rPr>
        <w:t>l</w:t>
      </w:r>
      <w:r w:rsidR="00496CB2" w:rsidRPr="003A1174">
        <w:rPr>
          <w:rFonts w:ascii="Garamond" w:hAnsi="Garamond" w:cs="Arial"/>
          <w:spacing w:val="36"/>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 xml:space="preserve">e </w:t>
      </w:r>
      <w:r w:rsidR="00496CB2" w:rsidRPr="003A1174">
        <w:rPr>
          <w:rFonts w:ascii="Garamond" w:hAnsi="Garamond" w:cs="Arial"/>
          <w:spacing w:val="2"/>
          <w:sz w:val="24"/>
          <w:szCs w:val="24"/>
        </w:rPr>
        <w:t>2</w:t>
      </w:r>
      <w:r w:rsidR="00496CB2" w:rsidRPr="003A1174">
        <w:rPr>
          <w:rFonts w:ascii="Garamond" w:hAnsi="Garamond" w:cs="Arial"/>
          <w:spacing w:val="-3"/>
          <w:sz w:val="24"/>
          <w:szCs w:val="24"/>
        </w:rPr>
        <w:t>0</w:t>
      </w:r>
      <w:r w:rsidR="00496CB2" w:rsidRPr="003A1174">
        <w:rPr>
          <w:rFonts w:ascii="Garamond" w:hAnsi="Garamond" w:cs="Arial"/>
          <w:spacing w:val="2"/>
          <w:sz w:val="24"/>
          <w:szCs w:val="24"/>
        </w:rPr>
        <w:t>01</w:t>
      </w:r>
      <w:r w:rsidR="00496CB2" w:rsidRPr="003A1174">
        <w:rPr>
          <w:rFonts w:ascii="Garamond" w:hAnsi="Garamond" w:cs="Arial"/>
          <w:sz w:val="24"/>
          <w:szCs w:val="24"/>
        </w:rPr>
        <w:t xml:space="preserve">, </w:t>
      </w:r>
      <w:r>
        <w:rPr>
          <w:rFonts w:ascii="Garamond" w:hAnsi="Garamond" w:cs="Arial"/>
          <w:sz w:val="24"/>
          <w:szCs w:val="24"/>
        </w:rPr>
        <w:t>por forma a tornar obrigatória a</w:t>
      </w:r>
      <w:r w:rsidR="00496CB2" w:rsidRPr="003A1174">
        <w:rPr>
          <w:rFonts w:ascii="Garamond" w:hAnsi="Garamond" w:cs="Arial"/>
          <w:spacing w:val="4"/>
          <w:sz w:val="24"/>
          <w:szCs w:val="24"/>
        </w:rPr>
        <w:t xml:space="preserve"> </w:t>
      </w:r>
      <w:r w:rsidR="00496CB2" w:rsidRPr="003A1174">
        <w:rPr>
          <w:rFonts w:ascii="Garamond" w:hAnsi="Garamond" w:cs="Arial"/>
          <w:sz w:val="24"/>
          <w:szCs w:val="24"/>
        </w:rPr>
        <w:t>r</w:t>
      </w:r>
      <w:r w:rsidR="00496CB2" w:rsidRPr="003A1174">
        <w:rPr>
          <w:rFonts w:ascii="Garamond" w:hAnsi="Garamond" w:cs="Arial"/>
          <w:spacing w:val="-5"/>
          <w:sz w:val="24"/>
          <w:szCs w:val="24"/>
        </w:rPr>
        <w:t>e</w:t>
      </w:r>
      <w:r w:rsidR="00496CB2" w:rsidRPr="003A1174">
        <w:rPr>
          <w:rFonts w:ascii="Garamond" w:hAnsi="Garamond" w:cs="Arial"/>
          <w:sz w:val="24"/>
          <w:szCs w:val="24"/>
        </w:rPr>
        <w:t>co</w:t>
      </w:r>
      <w:r w:rsidR="000030AE" w:rsidRPr="003A1174">
        <w:rPr>
          <w:rFonts w:ascii="Garamond" w:hAnsi="Garamond" w:cs="Arial"/>
          <w:sz w:val="24"/>
          <w:szCs w:val="24"/>
        </w:rPr>
        <w:t>lh</w:t>
      </w:r>
      <w:r>
        <w:rPr>
          <w:rFonts w:ascii="Garamond" w:hAnsi="Garamond" w:cs="Arial"/>
          <w:sz w:val="24"/>
          <w:szCs w:val="24"/>
        </w:rPr>
        <w:t>a</w:t>
      </w:r>
      <w:r w:rsidR="000030AE" w:rsidRPr="003A1174">
        <w:rPr>
          <w:rFonts w:ascii="Garamond" w:hAnsi="Garamond" w:cs="Arial"/>
          <w:sz w:val="24"/>
          <w:szCs w:val="24"/>
        </w:rPr>
        <w:t xml:space="preserve"> e </w:t>
      </w:r>
      <w:r w:rsidR="00C65DD5" w:rsidRPr="003A1174">
        <w:rPr>
          <w:rFonts w:ascii="Garamond" w:hAnsi="Garamond" w:cs="Arial"/>
          <w:spacing w:val="-2"/>
          <w:sz w:val="24"/>
          <w:szCs w:val="24"/>
        </w:rPr>
        <w:t>an</w:t>
      </w:r>
      <w:r w:rsidR="00C35AC6">
        <w:rPr>
          <w:rFonts w:ascii="Garamond" w:hAnsi="Garamond" w:cs="Arial"/>
          <w:spacing w:val="-2"/>
          <w:sz w:val="24"/>
          <w:szCs w:val="24"/>
        </w:rPr>
        <w:t>á</w:t>
      </w:r>
      <w:r w:rsidR="00C65DD5" w:rsidRPr="003A1174">
        <w:rPr>
          <w:rFonts w:ascii="Garamond" w:hAnsi="Garamond" w:cs="Arial"/>
          <w:spacing w:val="-2"/>
          <w:sz w:val="24"/>
          <w:szCs w:val="24"/>
        </w:rPr>
        <w:t>lis</w:t>
      </w:r>
      <w:r>
        <w:rPr>
          <w:rFonts w:ascii="Garamond" w:hAnsi="Garamond" w:cs="Arial"/>
          <w:spacing w:val="-2"/>
          <w:sz w:val="24"/>
          <w:szCs w:val="24"/>
        </w:rPr>
        <w:t>e</w:t>
      </w:r>
      <w:r w:rsidR="00496CB2" w:rsidRPr="003A1174">
        <w:rPr>
          <w:rFonts w:ascii="Garamond" w:hAnsi="Garamond" w:cs="Arial"/>
          <w:spacing w:val="21"/>
          <w:sz w:val="24"/>
          <w:szCs w:val="24"/>
        </w:rPr>
        <w:t xml:space="preserve"> </w:t>
      </w:r>
      <w:r w:rsidR="00190B59" w:rsidRPr="003A1174">
        <w:rPr>
          <w:rFonts w:ascii="Garamond" w:hAnsi="Garamond" w:cs="Arial"/>
          <w:sz w:val="24"/>
          <w:szCs w:val="24"/>
        </w:rPr>
        <w:t>estatísticas</w:t>
      </w:r>
      <w:r w:rsidR="00496CB2" w:rsidRPr="003A1174">
        <w:rPr>
          <w:rFonts w:ascii="Garamond" w:hAnsi="Garamond" w:cs="Arial"/>
          <w:spacing w:val="20"/>
          <w:sz w:val="24"/>
          <w:szCs w:val="24"/>
        </w:rPr>
        <w:t xml:space="preserve"> </w:t>
      </w:r>
      <w:r w:rsidR="00496CB2" w:rsidRPr="003A1174">
        <w:rPr>
          <w:rFonts w:ascii="Garamond" w:hAnsi="Garamond" w:cs="Arial"/>
          <w:sz w:val="24"/>
          <w:szCs w:val="24"/>
        </w:rPr>
        <w:t>so</w:t>
      </w:r>
      <w:r w:rsidR="00496CB2" w:rsidRPr="003A1174">
        <w:rPr>
          <w:rFonts w:ascii="Garamond" w:hAnsi="Garamond" w:cs="Arial"/>
          <w:spacing w:val="-3"/>
          <w:sz w:val="24"/>
          <w:szCs w:val="24"/>
        </w:rPr>
        <w:t>b</w:t>
      </w:r>
      <w:r w:rsidR="00496CB2" w:rsidRPr="003A1174">
        <w:rPr>
          <w:rFonts w:ascii="Garamond" w:hAnsi="Garamond" w:cs="Arial"/>
          <w:sz w:val="24"/>
          <w:szCs w:val="24"/>
        </w:rPr>
        <w:t>re</w:t>
      </w:r>
      <w:r w:rsidR="00496CB2" w:rsidRPr="003A1174">
        <w:rPr>
          <w:rFonts w:ascii="Garamond" w:hAnsi="Garamond" w:cs="Arial"/>
          <w:spacing w:val="16"/>
          <w:sz w:val="24"/>
          <w:szCs w:val="24"/>
        </w:rPr>
        <w:t xml:space="preserve"> </w:t>
      </w:r>
      <w:r w:rsidR="00496CB2" w:rsidRPr="003A1174">
        <w:rPr>
          <w:rFonts w:ascii="Garamond" w:hAnsi="Garamond" w:cs="Arial"/>
          <w:sz w:val="24"/>
          <w:szCs w:val="24"/>
        </w:rPr>
        <w:t>a</w:t>
      </w:r>
      <w:r w:rsidR="00496CB2" w:rsidRPr="003A1174">
        <w:rPr>
          <w:rFonts w:ascii="Garamond" w:hAnsi="Garamond" w:cs="Arial"/>
          <w:spacing w:val="18"/>
          <w:sz w:val="24"/>
          <w:szCs w:val="24"/>
        </w:rPr>
        <w:t xml:space="preserve"> </w:t>
      </w:r>
      <w:r w:rsidR="0017447A" w:rsidRPr="003A1174">
        <w:rPr>
          <w:rFonts w:ascii="Garamond" w:hAnsi="Garamond" w:cs="Arial"/>
          <w:sz w:val="24"/>
          <w:szCs w:val="24"/>
        </w:rPr>
        <w:t>situação</w:t>
      </w:r>
      <w:r w:rsidR="00496CB2" w:rsidRPr="003A1174">
        <w:rPr>
          <w:rFonts w:ascii="Garamond" w:hAnsi="Garamond" w:cs="Arial"/>
          <w:spacing w:val="19"/>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a</w:t>
      </w:r>
      <w:r w:rsidR="00496CB2" w:rsidRPr="003A1174">
        <w:rPr>
          <w:rFonts w:ascii="Garamond" w:hAnsi="Garamond" w:cs="Arial"/>
          <w:spacing w:val="13"/>
          <w:sz w:val="24"/>
          <w:szCs w:val="24"/>
        </w:rPr>
        <w:t xml:space="preserve"> </w:t>
      </w:r>
      <w:r w:rsidR="007A2492" w:rsidRPr="003A1174">
        <w:rPr>
          <w:rFonts w:ascii="Garamond" w:hAnsi="Garamond" w:cs="Arial"/>
          <w:spacing w:val="-2"/>
          <w:sz w:val="24"/>
          <w:szCs w:val="24"/>
        </w:rPr>
        <w:t>população</w:t>
      </w:r>
      <w:r w:rsidR="00496CB2" w:rsidRPr="003A1174">
        <w:rPr>
          <w:rFonts w:ascii="Garamond" w:hAnsi="Garamond" w:cs="Arial"/>
          <w:spacing w:val="19"/>
          <w:sz w:val="24"/>
          <w:szCs w:val="24"/>
        </w:rPr>
        <w:t xml:space="preserve"> </w:t>
      </w:r>
      <w:r w:rsidR="007A2492" w:rsidRPr="003A1174">
        <w:rPr>
          <w:rFonts w:ascii="Garamond" w:hAnsi="Garamond" w:cs="Arial"/>
          <w:spacing w:val="-3"/>
          <w:sz w:val="24"/>
          <w:szCs w:val="24"/>
        </w:rPr>
        <w:t>feminina</w:t>
      </w:r>
      <w:r w:rsidR="00496CB2" w:rsidRPr="003A1174">
        <w:rPr>
          <w:rFonts w:ascii="Garamond" w:hAnsi="Garamond" w:cs="Arial"/>
          <w:sz w:val="24"/>
          <w:szCs w:val="24"/>
        </w:rPr>
        <w:t>,</w:t>
      </w:r>
      <w:r w:rsidR="00496CB2" w:rsidRPr="003A1174">
        <w:rPr>
          <w:rFonts w:ascii="Garamond" w:hAnsi="Garamond" w:cs="Arial"/>
          <w:spacing w:val="17"/>
          <w:sz w:val="24"/>
          <w:szCs w:val="24"/>
        </w:rPr>
        <w:t xml:space="preserve"> </w:t>
      </w:r>
      <w:r w:rsidR="00C65DD5" w:rsidRPr="003A1174">
        <w:rPr>
          <w:rFonts w:ascii="Garamond" w:hAnsi="Garamond" w:cs="Arial"/>
          <w:spacing w:val="-2"/>
          <w:sz w:val="24"/>
          <w:szCs w:val="24"/>
        </w:rPr>
        <w:t>analisar</w:t>
      </w:r>
      <w:r w:rsidR="00496CB2" w:rsidRPr="003A1174">
        <w:rPr>
          <w:rFonts w:ascii="Garamond" w:hAnsi="Garamond" w:cs="Arial"/>
          <w:spacing w:val="16"/>
          <w:sz w:val="24"/>
          <w:szCs w:val="24"/>
        </w:rPr>
        <w:t xml:space="preserve"> </w:t>
      </w:r>
      <w:r w:rsidR="00496CB2" w:rsidRPr="003A1174">
        <w:rPr>
          <w:rFonts w:ascii="Garamond" w:hAnsi="Garamond" w:cs="Arial"/>
          <w:sz w:val="24"/>
          <w:szCs w:val="24"/>
        </w:rPr>
        <w:t>os</w:t>
      </w:r>
      <w:r w:rsidR="00496CB2" w:rsidRPr="003A1174">
        <w:rPr>
          <w:rFonts w:ascii="Garamond" w:hAnsi="Garamond" w:cs="Arial"/>
          <w:spacing w:val="20"/>
          <w:sz w:val="24"/>
          <w:szCs w:val="24"/>
        </w:rPr>
        <w:t xml:space="preserve"> </w:t>
      </w:r>
      <w:r w:rsidR="00AC3351" w:rsidRPr="003A1174">
        <w:rPr>
          <w:rFonts w:ascii="Garamond" w:hAnsi="Garamond" w:cs="Arial"/>
          <w:spacing w:val="-3"/>
          <w:sz w:val="24"/>
          <w:szCs w:val="24"/>
        </w:rPr>
        <w:t>fatores</w:t>
      </w:r>
      <w:r w:rsidR="00496CB2" w:rsidRPr="003A1174">
        <w:rPr>
          <w:rFonts w:ascii="Garamond" w:hAnsi="Garamond" w:cs="Arial"/>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6"/>
          <w:sz w:val="24"/>
          <w:szCs w:val="24"/>
        </w:rPr>
        <w:t xml:space="preserve"> </w:t>
      </w:r>
      <w:r w:rsidR="00496CB2" w:rsidRPr="003A1174">
        <w:rPr>
          <w:rFonts w:ascii="Garamond" w:hAnsi="Garamond" w:cs="Arial"/>
          <w:spacing w:val="-2"/>
          <w:sz w:val="24"/>
          <w:szCs w:val="24"/>
        </w:rPr>
        <w:t>a</w:t>
      </w:r>
      <w:r w:rsidR="00496CB2" w:rsidRPr="003A1174">
        <w:rPr>
          <w:rFonts w:ascii="Garamond" w:hAnsi="Garamond" w:cs="Arial"/>
          <w:spacing w:val="-3"/>
          <w:sz w:val="24"/>
          <w:szCs w:val="24"/>
        </w:rPr>
        <w:t>f</w:t>
      </w:r>
      <w:r w:rsidR="00496CB2" w:rsidRPr="003A1174">
        <w:rPr>
          <w:rFonts w:ascii="Garamond" w:hAnsi="Garamond" w:cs="Arial"/>
          <w:sz w:val="24"/>
          <w:szCs w:val="24"/>
        </w:rPr>
        <w:t>e</w:t>
      </w:r>
      <w:r w:rsidR="000030AE" w:rsidRPr="003A1174">
        <w:rPr>
          <w:rFonts w:ascii="Garamond" w:hAnsi="Garamond" w:cs="Arial"/>
          <w:sz w:val="24"/>
          <w:szCs w:val="24"/>
        </w:rPr>
        <w:t xml:space="preserve">tem </w:t>
      </w:r>
      <w:r w:rsidR="00496CB2" w:rsidRPr="003A1174">
        <w:rPr>
          <w:rFonts w:ascii="Garamond" w:hAnsi="Garamond" w:cs="Arial"/>
          <w:sz w:val="24"/>
          <w:szCs w:val="24"/>
        </w:rPr>
        <w:t>os</w:t>
      </w:r>
      <w:r w:rsidR="00496CB2" w:rsidRPr="003A1174">
        <w:rPr>
          <w:rFonts w:ascii="Garamond" w:hAnsi="Garamond" w:cs="Arial"/>
          <w:spacing w:val="1"/>
          <w:sz w:val="24"/>
          <w:szCs w:val="24"/>
        </w:rPr>
        <w:t xml:space="preserve"> </w:t>
      </w:r>
      <w:r w:rsidR="00886D6A" w:rsidRPr="003A1174">
        <w:rPr>
          <w:rFonts w:ascii="Garamond" w:hAnsi="Garamond" w:cs="Arial"/>
          <w:spacing w:val="2"/>
          <w:sz w:val="24"/>
          <w:szCs w:val="24"/>
        </w:rPr>
        <w:t>direito</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7503" w:rsidRPr="003A1174">
        <w:rPr>
          <w:rFonts w:ascii="Garamond" w:hAnsi="Garamond" w:cs="Arial"/>
          <w:spacing w:val="2"/>
          <w:sz w:val="24"/>
          <w:szCs w:val="24"/>
        </w:rPr>
        <w:t>das</w:t>
      </w:r>
      <w:r w:rsidR="00496CB2" w:rsidRPr="003A1174">
        <w:rPr>
          <w:rFonts w:ascii="Garamond" w:hAnsi="Garamond" w:cs="Arial"/>
          <w:spacing w:val="-3"/>
          <w:sz w:val="24"/>
          <w:szCs w:val="24"/>
        </w:rPr>
        <w:t xml:space="preserve"> </w:t>
      </w:r>
      <w:r w:rsidR="00054EE0" w:rsidRPr="003A1174">
        <w:rPr>
          <w:rFonts w:ascii="Garamond" w:hAnsi="Garamond" w:cs="Arial"/>
          <w:spacing w:val="3"/>
          <w:sz w:val="24"/>
          <w:szCs w:val="24"/>
        </w:rPr>
        <w:t>mulheres</w:t>
      </w:r>
      <w:r>
        <w:rPr>
          <w:rFonts w:ascii="Garamond" w:hAnsi="Garamond" w:cs="Arial"/>
          <w:spacing w:val="3"/>
          <w:sz w:val="24"/>
          <w:szCs w:val="24"/>
        </w:rPr>
        <w:t>,</w:t>
      </w:r>
      <w:r w:rsidR="00496CB2" w:rsidRPr="003A1174">
        <w:rPr>
          <w:rFonts w:ascii="Garamond" w:hAnsi="Garamond" w:cs="Arial"/>
          <w:spacing w:val="2"/>
          <w:sz w:val="24"/>
          <w:szCs w:val="24"/>
        </w:rPr>
        <w:t xml:space="preserve"> </w:t>
      </w:r>
      <w:r w:rsidR="00496CB2" w:rsidRPr="003A1174">
        <w:rPr>
          <w:rFonts w:ascii="Garamond" w:hAnsi="Garamond" w:cs="Arial"/>
          <w:sz w:val="24"/>
          <w:szCs w:val="24"/>
        </w:rPr>
        <w:t>e</w:t>
      </w:r>
      <w:r w:rsidR="000030AE" w:rsidRPr="003A1174">
        <w:rPr>
          <w:rFonts w:ascii="Garamond" w:hAnsi="Garamond" w:cs="Arial"/>
          <w:sz w:val="24"/>
          <w:szCs w:val="24"/>
        </w:rPr>
        <w:t>m</w:t>
      </w:r>
      <w:r w:rsidR="00496CB2" w:rsidRPr="003A1174">
        <w:rPr>
          <w:rFonts w:ascii="Garamond" w:hAnsi="Garamond" w:cs="Arial"/>
          <w:spacing w:val="6"/>
          <w:sz w:val="24"/>
          <w:szCs w:val="24"/>
        </w:rPr>
        <w:t xml:space="preserve"> </w:t>
      </w:r>
      <w:r w:rsidR="00496CB2" w:rsidRPr="003A1174">
        <w:rPr>
          <w:rFonts w:ascii="Garamond" w:hAnsi="Garamond" w:cs="Arial"/>
          <w:spacing w:val="-8"/>
          <w:sz w:val="24"/>
          <w:szCs w:val="24"/>
        </w:rPr>
        <w:t>t</w:t>
      </w:r>
      <w:r w:rsidR="00496CB2" w:rsidRPr="003A1174">
        <w:rPr>
          <w:rFonts w:ascii="Garamond" w:hAnsi="Garamond" w:cs="Arial"/>
          <w:sz w:val="24"/>
          <w:szCs w:val="24"/>
        </w:rPr>
        <w:t>o</w:t>
      </w:r>
      <w:r w:rsidR="00496CB2" w:rsidRPr="003A1174">
        <w:rPr>
          <w:rFonts w:ascii="Garamond" w:hAnsi="Garamond" w:cs="Arial"/>
          <w:spacing w:val="1"/>
          <w:sz w:val="24"/>
          <w:szCs w:val="24"/>
        </w:rPr>
        <w:t>d</w:t>
      </w:r>
      <w:r w:rsidR="00496CB2" w:rsidRPr="003A1174">
        <w:rPr>
          <w:rFonts w:ascii="Garamond" w:hAnsi="Garamond" w:cs="Arial"/>
          <w:spacing w:val="-2"/>
          <w:sz w:val="24"/>
          <w:szCs w:val="24"/>
        </w:rPr>
        <w:t>a</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6CB2" w:rsidRPr="003A1174">
        <w:rPr>
          <w:rFonts w:ascii="Garamond" w:hAnsi="Garamond" w:cs="Arial"/>
          <w:spacing w:val="-2"/>
          <w:sz w:val="24"/>
          <w:szCs w:val="24"/>
        </w:rPr>
        <w:t>a</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6CB2" w:rsidRPr="003A1174">
        <w:rPr>
          <w:rFonts w:ascii="Garamond" w:hAnsi="Garamond" w:cs="Arial"/>
          <w:sz w:val="24"/>
          <w:szCs w:val="24"/>
        </w:rPr>
        <w:t>es</w:t>
      </w:r>
      <w:r w:rsidR="00496CB2" w:rsidRPr="003A1174">
        <w:rPr>
          <w:rFonts w:ascii="Garamond" w:hAnsi="Garamond" w:cs="Arial"/>
          <w:spacing w:val="-3"/>
          <w:sz w:val="24"/>
          <w:szCs w:val="24"/>
        </w:rPr>
        <w:t>f</w:t>
      </w:r>
      <w:r w:rsidR="00496CB2" w:rsidRPr="003A1174">
        <w:rPr>
          <w:rFonts w:ascii="Garamond" w:hAnsi="Garamond" w:cs="Arial"/>
          <w:sz w:val="24"/>
          <w:szCs w:val="24"/>
        </w:rPr>
        <w:t>e</w:t>
      </w:r>
      <w:r w:rsidR="00496CB2" w:rsidRPr="003A1174">
        <w:rPr>
          <w:rFonts w:ascii="Garamond" w:hAnsi="Garamond" w:cs="Arial"/>
          <w:spacing w:val="1"/>
          <w:sz w:val="24"/>
          <w:szCs w:val="24"/>
        </w:rPr>
        <w:t>r</w:t>
      </w:r>
      <w:r w:rsidR="00496CB2" w:rsidRPr="003A1174">
        <w:rPr>
          <w:rFonts w:ascii="Garamond" w:hAnsi="Garamond" w:cs="Arial"/>
          <w:spacing w:val="-2"/>
          <w:sz w:val="24"/>
          <w:szCs w:val="24"/>
        </w:rPr>
        <w:t>a</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6CB2" w:rsidRPr="003A1174">
        <w:rPr>
          <w:rFonts w:ascii="Garamond" w:hAnsi="Garamond" w:cs="Arial"/>
          <w:spacing w:val="2"/>
          <w:sz w:val="24"/>
          <w:szCs w:val="24"/>
        </w:rPr>
        <w:t>d</w:t>
      </w:r>
      <w:r w:rsidR="000030AE" w:rsidRPr="003A1174">
        <w:rPr>
          <w:rFonts w:ascii="Garamond" w:hAnsi="Garamond" w:cs="Arial"/>
          <w:spacing w:val="2"/>
          <w:sz w:val="24"/>
          <w:szCs w:val="24"/>
        </w:rPr>
        <w:t xml:space="preserve">a sua </w:t>
      </w:r>
      <w:r w:rsidR="00496CB2" w:rsidRPr="003A1174">
        <w:rPr>
          <w:rFonts w:ascii="Garamond" w:hAnsi="Garamond" w:cs="Arial"/>
          <w:spacing w:val="2"/>
          <w:sz w:val="24"/>
          <w:szCs w:val="24"/>
        </w:rPr>
        <w:t>v</w:t>
      </w:r>
      <w:r w:rsidR="00496CB2" w:rsidRPr="003A1174">
        <w:rPr>
          <w:rFonts w:ascii="Garamond" w:hAnsi="Garamond" w:cs="Arial"/>
          <w:spacing w:val="-1"/>
          <w:sz w:val="24"/>
          <w:szCs w:val="24"/>
        </w:rPr>
        <w:t>i</w:t>
      </w:r>
      <w:r w:rsidR="00496CB2" w:rsidRPr="003A1174">
        <w:rPr>
          <w:rFonts w:ascii="Garamond" w:hAnsi="Garamond" w:cs="Arial"/>
          <w:spacing w:val="2"/>
          <w:sz w:val="24"/>
          <w:szCs w:val="24"/>
        </w:rPr>
        <w:t>d</w:t>
      </w:r>
      <w:r w:rsidR="00496CB2" w:rsidRPr="003A1174">
        <w:rPr>
          <w:rFonts w:ascii="Garamond" w:hAnsi="Garamond" w:cs="Arial"/>
          <w:sz w:val="24"/>
          <w:szCs w:val="24"/>
        </w:rPr>
        <w:t>a</w:t>
      </w:r>
      <w:r w:rsidR="00496CB2" w:rsidRPr="003A1174">
        <w:rPr>
          <w:rFonts w:ascii="Garamond" w:hAnsi="Garamond" w:cs="Arial"/>
          <w:spacing w:val="3"/>
          <w:sz w:val="24"/>
          <w:szCs w:val="24"/>
        </w:rPr>
        <w:t xml:space="preserve"> </w:t>
      </w:r>
      <w:r w:rsidR="00496CB2" w:rsidRPr="003A1174">
        <w:rPr>
          <w:rFonts w:ascii="Garamond" w:hAnsi="Garamond" w:cs="Arial"/>
          <w:sz w:val="24"/>
          <w:szCs w:val="24"/>
        </w:rPr>
        <w:t>s</w:t>
      </w:r>
      <w:r w:rsidR="00496CB2" w:rsidRPr="003A1174">
        <w:rPr>
          <w:rFonts w:ascii="Garamond" w:hAnsi="Garamond" w:cs="Arial"/>
          <w:spacing w:val="-6"/>
          <w:sz w:val="24"/>
          <w:szCs w:val="24"/>
        </w:rPr>
        <w:t>o</w:t>
      </w:r>
      <w:r w:rsidR="00496CB2" w:rsidRPr="003A1174">
        <w:rPr>
          <w:rFonts w:ascii="Garamond" w:hAnsi="Garamond" w:cs="Arial"/>
          <w:sz w:val="24"/>
          <w:szCs w:val="24"/>
        </w:rPr>
        <w:t>c</w:t>
      </w:r>
      <w:r w:rsidR="00496CB2" w:rsidRPr="003A1174">
        <w:rPr>
          <w:rFonts w:ascii="Garamond" w:hAnsi="Garamond" w:cs="Arial"/>
          <w:spacing w:val="-1"/>
          <w:sz w:val="24"/>
          <w:szCs w:val="24"/>
        </w:rPr>
        <w:t>i</w:t>
      </w:r>
      <w:r w:rsidR="00496CB2" w:rsidRPr="003A1174">
        <w:rPr>
          <w:rFonts w:ascii="Garamond" w:hAnsi="Garamond" w:cs="Arial"/>
          <w:spacing w:val="-7"/>
          <w:sz w:val="24"/>
          <w:szCs w:val="24"/>
        </w:rPr>
        <w:t>a</w:t>
      </w:r>
      <w:r w:rsidR="00496CB2" w:rsidRPr="003A1174">
        <w:rPr>
          <w:rFonts w:ascii="Garamond" w:hAnsi="Garamond" w:cs="Arial"/>
          <w:spacing w:val="8"/>
          <w:sz w:val="24"/>
          <w:szCs w:val="24"/>
        </w:rPr>
        <w:t>l</w:t>
      </w:r>
      <w:r w:rsidR="00496CB2" w:rsidRPr="003A1174">
        <w:rPr>
          <w:rFonts w:ascii="Garamond" w:hAnsi="Garamond" w:cs="Arial"/>
          <w:sz w:val="24"/>
          <w:szCs w:val="24"/>
        </w:rPr>
        <w:t>,</w:t>
      </w:r>
      <w:r w:rsidR="00496CB2" w:rsidRPr="003A1174">
        <w:rPr>
          <w:rFonts w:ascii="Garamond" w:hAnsi="Garamond" w:cs="Arial"/>
          <w:spacing w:val="2"/>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3"/>
          <w:sz w:val="24"/>
          <w:szCs w:val="24"/>
        </w:rPr>
        <w:t>l</w:t>
      </w:r>
      <w:r w:rsidR="00496CB2" w:rsidRPr="003A1174">
        <w:rPr>
          <w:rFonts w:ascii="Garamond" w:hAnsi="Garamond" w:cs="Arial"/>
          <w:spacing w:val="8"/>
          <w:sz w:val="24"/>
          <w:szCs w:val="24"/>
        </w:rPr>
        <w:t>í</w:t>
      </w:r>
      <w:r w:rsidR="00496CB2" w:rsidRPr="003A1174">
        <w:rPr>
          <w:rFonts w:ascii="Garamond" w:hAnsi="Garamond" w:cs="Arial"/>
          <w:spacing w:val="-3"/>
          <w:sz w:val="24"/>
          <w:szCs w:val="24"/>
        </w:rPr>
        <w:t>t</w:t>
      </w:r>
      <w:r w:rsidR="00496CB2" w:rsidRPr="003A1174">
        <w:rPr>
          <w:rFonts w:ascii="Garamond" w:hAnsi="Garamond" w:cs="Arial"/>
          <w:spacing w:val="-6"/>
          <w:sz w:val="24"/>
          <w:szCs w:val="24"/>
        </w:rPr>
        <w:t>i</w:t>
      </w:r>
      <w:r w:rsidR="00496CB2" w:rsidRPr="003A1174">
        <w:rPr>
          <w:rFonts w:ascii="Garamond" w:hAnsi="Garamond" w:cs="Arial"/>
          <w:sz w:val="24"/>
          <w:szCs w:val="24"/>
        </w:rPr>
        <w:t>c</w:t>
      </w:r>
      <w:r w:rsidR="00496CB2" w:rsidRPr="003A1174">
        <w:rPr>
          <w:rFonts w:ascii="Garamond" w:hAnsi="Garamond" w:cs="Arial"/>
          <w:spacing w:val="-2"/>
          <w:sz w:val="24"/>
          <w:szCs w:val="24"/>
        </w:rPr>
        <w:t>a</w:t>
      </w:r>
      <w:r w:rsidR="00496CB2" w:rsidRPr="003A1174">
        <w:rPr>
          <w:rFonts w:ascii="Garamond" w:hAnsi="Garamond" w:cs="Arial"/>
          <w:sz w:val="24"/>
          <w:szCs w:val="24"/>
        </w:rPr>
        <w:t>, e</w:t>
      </w:r>
      <w:r w:rsidR="00496CB2" w:rsidRPr="003A1174">
        <w:rPr>
          <w:rFonts w:ascii="Garamond" w:hAnsi="Garamond" w:cs="Arial"/>
          <w:spacing w:val="1"/>
          <w:sz w:val="24"/>
          <w:szCs w:val="24"/>
        </w:rPr>
        <w:t>c</w:t>
      </w:r>
      <w:r w:rsidR="00496CB2" w:rsidRPr="003A1174">
        <w:rPr>
          <w:rFonts w:ascii="Garamond" w:hAnsi="Garamond" w:cs="Arial"/>
          <w:sz w:val="24"/>
          <w:szCs w:val="24"/>
        </w:rPr>
        <w:t>o</w:t>
      </w:r>
      <w:r w:rsidR="00496CB2" w:rsidRPr="003A1174">
        <w:rPr>
          <w:rFonts w:ascii="Garamond" w:hAnsi="Garamond" w:cs="Arial"/>
          <w:spacing w:val="-1"/>
          <w:sz w:val="24"/>
          <w:szCs w:val="24"/>
        </w:rPr>
        <w:t>n</w:t>
      </w:r>
      <w:r w:rsidR="00496CB2" w:rsidRPr="003A1174">
        <w:rPr>
          <w:rFonts w:ascii="Garamond" w:hAnsi="Garamond" w:cs="Arial"/>
          <w:spacing w:val="-6"/>
          <w:sz w:val="24"/>
          <w:szCs w:val="24"/>
        </w:rPr>
        <w:t>ó</w:t>
      </w:r>
      <w:r w:rsidR="00496CB2" w:rsidRPr="003A1174">
        <w:rPr>
          <w:rFonts w:ascii="Garamond" w:hAnsi="Garamond" w:cs="Arial"/>
          <w:spacing w:val="8"/>
          <w:sz w:val="24"/>
          <w:szCs w:val="24"/>
        </w:rPr>
        <w:t>m</w:t>
      </w:r>
      <w:r w:rsidR="00496CB2" w:rsidRPr="003A1174">
        <w:rPr>
          <w:rFonts w:ascii="Garamond" w:hAnsi="Garamond" w:cs="Arial"/>
          <w:spacing w:val="-6"/>
          <w:sz w:val="24"/>
          <w:szCs w:val="24"/>
        </w:rPr>
        <w:t>i</w:t>
      </w:r>
      <w:r w:rsidR="00496CB2" w:rsidRPr="003A1174">
        <w:rPr>
          <w:rFonts w:ascii="Garamond" w:hAnsi="Garamond" w:cs="Arial"/>
          <w:sz w:val="24"/>
          <w:szCs w:val="24"/>
        </w:rPr>
        <w:t>c</w:t>
      </w:r>
      <w:r w:rsidR="00496CB2" w:rsidRPr="003A1174">
        <w:rPr>
          <w:rFonts w:ascii="Garamond" w:hAnsi="Garamond" w:cs="Arial"/>
          <w:spacing w:val="-2"/>
          <w:sz w:val="24"/>
          <w:szCs w:val="24"/>
        </w:rPr>
        <w:t>a</w:t>
      </w:r>
      <w:r w:rsidR="00496CB2" w:rsidRPr="003A1174">
        <w:rPr>
          <w:rFonts w:ascii="Garamond" w:hAnsi="Garamond" w:cs="Arial"/>
          <w:sz w:val="24"/>
          <w:szCs w:val="24"/>
        </w:rPr>
        <w:t>,</w:t>
      </w:r>
      <w:r w:rsidR="00496CB2" w:rsidRPr="003A1174">
        <w:rPr>
          <w:rFonts w:ascii="Garamond" w:hAnsi="Garamond" w:cs="Arial"/>
          <w:spacing w:val="30"/>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5"/>
          <w:sz w:val="24"/>
          <w:szCs w:val="24"/>
        </w:rPr>
        <w:t>u</w:t>
      </w:r>
      <w:r w:rsidR="00496CB2" w:rsidRPr="003A1174">
        <w:rPr>
          <w:rFonts w:ascii="Garamond" w:hAnsi="Garamond" w:cs="Arial"/>
          <w:spacing w:val="8"/>
          <w:sz w:val="24"/>
          <w:szCs w:val="24"/>
        </w:rPr>
        <w:t>l</w:t>
      </w:r>
      <w:r w:rsidR="00496CB2" w:rsidRPr="003A1174">
        <w:rPr>
          <w:rFonts w:ascii="Garamond" w:hAnsi="Garamond" w:cs="Arial"/>
          <w:spacing w:val="-3"/>
          <w:sz w:val="24"/>
          <w:szCs w:val="24"/>
        </w:rPr>
        <w:t>t</w:t>
      </w:r>
      <w:r w:rsidR="00496CB2" w:rsidRPr="003A1174">
        <w:rPr>
          <w:rFonts w:ascii="Garamond" w:hAnsi="Garamond" w:cs="Arial"/>
          <w:sz w:val="24"/>
          <w:szCs w:val="24"/>
        </w:rPr>
        <w:t>ur</w:t>
      </w:r>
      <w:r w:rsidR="00496CB2" w:rsidRPr="003A1174">
        <w:rPr>
          <w:rFonts w:ascii="Garamond" w:hAnsi="Garamond" w:cs="Arial"/>
          <w:spacing w:val="-7"/>
          <w:sz w:val="24"/>
          <w:szCs w:val="24"/>
        </w:rPr>
        <w:t>a</w:t>
      </w:r>
      <w:r w:rsidR="00496CB2" w:rsidRPr="003A1174">
        <w:rPr>
          <w:rFonts w:ascii="Garamond" w:hAnsi="Garamond" w:cs="Arial"/>
          <w:sz w:val="24"/>
          <w:szCs w:val="24"/>
        </w:rPr>
        <w:t>l</w:t>
      </w:r>
      <w:r w:rsidR="00496CB2" w:rsidRPr="003A1174">
        <w:rPr>
          <w:rFonts w:ascii="Garamond" w:hAnsi="Garamond" w:cs="Arial"/>
          <w:spacing w:val="33"/>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31"/>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1"/>
          <w:sz w:val="24"/>
          <w:szCs w:val="24"/>
        </w:rPr>
        <w:t>i</w:t>
      </w:r>
      <w:r w:rsidR="00496CB2" w:rsidRPr="003A1174">
        <w:rPr>
          <w:rFonts w:ascii="Garamond" w:hAnsi="Garamond" w:cs="Arial"/>
          <w:spacing w:val="2"/>
          <w:sz w:val="24"/>
          <w:szCs w:val="24"/>
        </w:rPr>
        <w:t>v</w:t>
      </w:r>
      <w:r w:rsidR="00496CB2" w:rsidRPr="003A1174">
        <w:rPr>
          <w:rFonts w:ascii="Garamond" w:hAnsi="Garamond" w:cs="Arial"/>
          <w:spacing w:val="-6"/>
          <w:sz w:val="24"/>
          <w:szCs w:val="24"/>
        </w:rPr>
        <w:t>i</w:t>
      </w:r>
      <w:r w:rsidR="00496CB2" w:rsidRPr="003A1174">
        <w:rPr>
          <w:rFonts w:ascii="Garamond" w:hAnsi="Garamond" w:cs="Arial"/>
          <w:spacing w:val="8"/>
          <w:sz w:val="24"/>
          <w:szCs w:val="24"/>
        </w:rPr>
        <w:t>l</w:t>
      </w:r>
      <w:r w:rsidR="00496CB2" w:rsidRPr="003A1174">
        <w:rPr>
          <w:rFonts w:ascii="Garamond" w:hAnsi="Garamond" w:cs="Arial"/>
          <w:sz w:val="24"/>
          <w:szCs w:val="24"/>
        </w:rPr>
        <w:t>,</w:t>
      </w:r>
      <w:r w:rsidR="00496CB2" w:rsidRPr="003A1174">
        <w:rPr>
          <w:rFonts w:ascii="Garamond" w:hAnsi="Garamond" w:cs="Arial"/>
          <w:spacing w:val="26"/>
          <w:sz w:val="24"/>
          <w:szCs w:val="24"/>
        </w:rPr>
        <w:t xml:space="preserve"> </w:t>
      </w:r>
      <w:r w:rsidR="000464C8" w:rsidRPr="003A1174">
        <w:rPr>
          <w:rFonts w:ascii="Garamond" w:hAnsi="Garamond" w:cs="Arial"/>
          <w:spacing w:val="-2"/>
          <w:sz w:val="24"/>
          <w:szCs w:val="24"/>
        </w:rPr>
        <w:t>assim</w:t>
      </w:r>
      <w:r w:rsidR="00496CB2" w:rsidRPr="003A1174">
        <w:rPr>
          <w:rFonts w:ascii="Garamond" w:hAnsi="Garamond" w:cs="Arial"/>
          <w:spacing w:val="38"/>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6"/>
          <w:sz w:val="24"/>
          <w:szCs w:val="24"/>
        </w:rPr>
        <w:t>o</w:t>
      </w:r>
      <w:r w:rsidR="00496CB2" w:rsidRPr="003A1174">
        <w:rPr>
          <w:rFonts w:ascii="Garamond" w:hAnsi="Garamond" w:cs="Arial"/>
          <w:spacing w:val="3"/>
          <w:sz w:val="24"/>
          <w:szCs w:val="24"/>
        </w:rPr>
        <w:t>m</w:t>
      </w:r>
      <w:r w:rsidR="00496CB2" w:rsidRPr="003A1174">
        <w:rPr>
          <w:rFonts w:ascii="Garamond" w:hAnsi="Garamond" w:cs="Arial"/>
          <w:sz w:val="24"/>
          <w:szCs w:val="24"/>
        </w:rPr>
        <w:t>o</w:t>
      </w:r>
      <w:r>
        <w:rPr>
          <w:rFonts w:ascii="Garamond" w:hAnsi="Garamond" w:cs="Arial"/>
          <w:sz w:val="24"/>
          <w:szCs w:val="24"/>
        </w:rPr>
        <w:t xml:space="preserve">, apurar </w:t>
      </w:r>
      <w:r w:rsidR="00496CB2" w:rsidRPr="003A1174">
        <w:rPr>
          <w:rFonts w:ascii="Garamond" w:hAnsi="Garamond" w:cs="Arial"/>
          <w:spacing w:val="-7"/>
          <w:sz w:val="24"/>
          <w:szCs w:val="24"/>
        </w:rPr>
        <w:t>a</w:t>
      </w:r>
      <w:r w:rsidR="00496CB2" w:rsidRPr="003A1174">
        <w:rPr>
          <w:rFonts w:ascii="Garamond" w:hAnsi="Garamond" w:cs="Arial"/>
          <w:sz w:val="24"/>
          <w:szCs w:val="24"/>
        </w:rPr>
        <w:t>s</w:t>
      </w:r>
      <w:r w:rsidR="00496CB2" w:rsidRPr="003A1174">
        <w:rPr>
          <w:rFonts w:ascii="Garamond" w:hAnsi="Garamond" w:cs="Arial"/>
          <w:spacing w:val="35"/>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7"/>
          <w:sz w:val="24"/>
          <w:szCs w:val="24"/>
        </w:rPr>
        <w:t>a</w:t>
      </w:r>
      <w:r w:rsidR="00496CB2" w:rsidRPr="003A1174">
        <w:rPr>
          <w:rFonts w:ascii="Garamond" w:hAnsi="Garamond" w:cs="Arial"/>
          <w:sz w:val="24"/>
          <w:szCs w:val="24"/>
        </w:rPr>
        <w:t>us</w:t>
      </w:r>
      <w:r w:rsidR="00496CB2" w:rsidRPr="003A1174">
        <w:rPr>
          <w:rFonts w:ascii="Garamond" w:hAnsi="Garamond" w:cs="Arial"/>
          <w:spacing w:val="-2"/>
          <w:sz w:val="24"/>
          <w:szCs w:val="24"/>
        </w:rPr>
        <w:t>a</w:t>
      </w:r>
      <w:r w:rsidR="00496CB2" w:rsidRPr="003A1174">
        <w:rPr>
          <w:rFonts w:ascii="Garamond" w:hAnsi="Garamond" w:cs="Arial"/>
          <w:sz w:val="24"/>
          <w:szCs w:val="24"/>
        </w:rPr>
        <w:t>s</w:t>
      </w:r>
      <w:r w:rsidR="00496CB2" w:rsidRPr="003A1174">
        <w:rPr>
          <w:rFonts w:ascii="Garamond" w:hAnsi="Garamond" w:cs="Arial"/>
          <w:spacing w:val="35"/>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a</w:t>
      </w:r>
      <w:r w:rsidR="00496CB2" w:rsidRPr="003A1174">
        <w:rPr>
          <w:rFonts w:ascii="Garamond" w:hAnsi="Garamond" w:cs="Arial"/>
          <w:spacing w:val="28"/>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es</w:t>
      </w:r>
      <w:r w:rsidR="002C7510" w:rsidRPr="003A1174">
        <w:rPr>
          <w:rFonts w:ascii="Garamond" w:hAnsi="Garamond" w:cs="Arial"/>
          <w:spacing w:val="-1"/>
          <w:sz w:val="24"/>
          <w:szCs w:val="24"/>
        </w:rPr>
        <w:t>igualdade</w:t>
      </w:r>
      <w:r w:rsidR="00496CB2" w:rsidRPr="003A1174">
        <w:rPr>
          <w:rFonts w:ascii="Garamond" w:hAnsi="Garamond" w:cs="Arial"/>
          <w:spacing w:val="37"/>
          <w:sz w:val="24"/>
          <w:szCs w:val="24"/>
        </w:rPr>
        <w:t xml:space="preserve"> </w:t>
      </w:r>
      <w:r w:rsidR="000030AE" w:rsidRPr="003A1174">
        <w:rPr>
          <w:rFonts w:ascii="Garamond" w:hAnsi="Garamond" w:cs="Arial"/>
          <w:spacing w:val="37"/>
          <w:sz w:val="24"/>
          <w:szCs w:val="24"/>
        </w:rPr>
        <w:t xml:space="preserve">no </w:t>
      </w:r>
      <w:r w:rsidR="00496CB2" w:rsidRPr="003A1174">
        <w:rPr>
          <w:rFonts w:ascii="Garamond" w:hAnsi="Garamond" w:cs="Arial"/>
          <w:spacing w:val="-3"/>
          <w:sz w:val="24"/>
          <w:szCs w:val="24"/>
        </w:rPr>
        <w:t>t</w:t>
      </w:r>
      <w:r w:rsidR="00496CB2" w:rsidRPr="003A1174">
        <w:rPr>
          <w:rFonts w:ascii="Garamond" w:hAnsi="Garamond" w:cs="Arial"/>
          <w:sz w:val="24"/>
          <w:szCs w:val="24"/>
        </w:rPr>
        <w:t>r</w:t>
      </w:r>
      <w:r w:rsidR="00496CB2" w:rsidRPr="003A1174">
        <w:rPr>
          <w:rFonts w:ascii="Garamond" w:hAnsi="Garamond" w:cs="Arial"/>
          <w:spacing w:val="11"/>
          <w:sz w:val="24"/>
          <w:szCs w:val="24"/>
        </w:rPr>
        <w:t>a</w:t>
      </w:r>
      <w:r w:rsidR="00496CB2" w:rsidRPr="003A1174">
        <w:rPr>
          <w:rFonts w:ascii="Garamond" w:hAnsi="Garamond" w:cs="Arial"/>
          <w:spacing w:val="-3"/>
          <w:sz w:val="24"/>
          <w:szCs w:val="24"/>
        </w:rPr>
        <w:t>t</w:t>
      </w:r>
      <w:r w:rsidR="000030AE" w:rsidRPr="003A1174">
        <w:rPr>
          <w:rFonts w:ascii="Garamond" w:hAnsi="Garamond" w:cs="Arial"/>
          <w:spacing w:val="-3"/>
          <w:sz w:val="24"/>
          <w:szCs w:val="24"/>
        </w:rPr>
        <w:t>ament</w:t>
      </w:r>
      <w:r w:rsidR="00496CB2" w:rsidRPr="003A1174">
        <w:rPr>
          <w:rFonts w:ascii="Garamond" w:hAnsi="Garamond" w:cs="Arial"/>
          <w:sz w:val="24"/>
          <w:szCs w:val="24"/>
        </w:rPr>
        <w:t>o,</w:t>
      </w:r>
      <w:r w:rsidR="00496CB2" w:rsidRPr="003A1174">
        <w:rPr>
          <w:rFonts w:ascii="Garamond" w:hAnsi="Garamond" w:cs="Arial"/>
          <w:spacing w:val="30"/>
          <w:sz w:val="24"/>
          <w:szCs w:val="24"/>
        </w:rPr>
        <w:t xml:space="preserve"> </w:t>
      </w:r>
      <w:r w:rsidR="000030AE" w:rsidRPr="003A1174">
        <w:rPr>
          <w:rFonts w:ascii="Garamond" w:hAnsi="Garamond" w:cs="Arial"/>
          <w:spacing w:val="30"/>
          <w:sz w:val="24"/>
          <w:szCs w:val="24"/>
        </w:rPr>
        <w:t xml:space="preserve">no </w:t>
      </w:r>
      <w:r w:rsidR="00886D6A" w:rsidRPr="003A1174">
        <w:rPr>
          <w:rFonts w:ascii="Garamond" w:hAnsi="Garamond" w:cs="Arial"/>
          <w:spacing w:val="-2"/>
          <w:sz w:val="24"/>
          <w:szCs w:val="24"/>
        </w:rPr>
        <w:t>acesso</w:t>
      </w:r>
      <w:r w:rsidR="00496CB2" w:rsidRPr="003A1174">
        <w:rPr>
          <w:rFonts w:ascii="Garamond" w:hAnsi="Garamond" w:cs="Arial"/>
          <w:spacing w:val="-14"/>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12"/>
          <w:sz w:val="24"/>
          <w:szCs w:val="24"/>
        </w:rPr>
        <w:t xml:space="preserve"> </w:t>
      </w:r>
      <w:r w:rsidR="0017447A" w:rsidRPr="003A1174">
        <w:rPr>
          <w:rFonts w:ascii="Garamond" w:hAnsi="Garamond" w:cs="Arial"/>
          <w:spacing w:val="-2"/>
          <w:sz w:val="24"/>
          <w:szCs w:val="24"/>
        </w:rPr>
        <w:t>participação</w:t>
      </w:r>
      <w:r w:rsidR="00496CB2" w:rsidRPr="003A1174">
        <w:rPr>
          <w:rFonts w:ascii="Garamond" w:hAnsi="Garamond" w:cs="Arial"/>
          <w:spacing w:val="-9"/>
          <w:sz w:val="24"/>
          <w:szCs w:val="24"/>
        </w:rPr>
        <w:t xml:space="preserve"> </w:t>
      </w:r>
      <w:r w:rsidR="00496CB2" w:rsidRPr="003A1174">
        <w:rPr>
          <w:rFonts w:ascii="Garamond" w:hAnsi="Garamond" w:cs="Arial"/>
          <w:sz w:val="24"/>
          <w:szCs w:val="24"/>
        </w:rPr>
        <w:t>e</w:t>
      </w:r>
      <w:r w:rsidR="000030AE" w:rsidRPr="003A1174">
        <w:rPr>
          <w:rFonts w:ascii="Garamond" w:hAnsi="Garamond" w:cs="Arial"/>
          <w:sz w:val="24"/>
          <w:szCs w:val="24"/>
        </w:rPr>
        <w:t>m</w:t>
      </w:r>
      <w:r w:rsidR="00496CB2" w:rsidRPr="003A1174">
        <w:rPr>
          <w:rFonts w:ascii="Garamond" w:hAnsi="Garamond" w:cs="Arial"/>
          <w:spacing w:val="-13"/>
          <w:sz w:val="24"/>
          <w:szCs w:val="24"/>
        </w:rPr>
        <w:t xml:space="preserve"> </w:t>
      </w:r>
      <w:r w:rsidR="00EF645F" w:rsidRPr="003A1174">
        <w:rPr>
          <w:rFonts w:ascii="Garamond" w:hAnsi="Garamond" w:cs="Arial"/>
          <w:spacing w:val="8"/>
          <w:sz w:val="24"/>
          <w:szCs w:val="24"/>
        </w:rPr>
        <w:t>matéria</w:t>
      </w:r>
      <w:r w:rsidR="00496CB2" w:rsidRPr="003A1174">
        <w:rPr>
          <w:rFonts w:ascii="Garamond" w:hAnsi="Garamond" w:cs="Arial"/>
          <w:spacing w:val="-11"/>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e</w:t>
      </w:r>
      <w:r w:rsidR="00496CB2" w:rsidRPr="003A1174">
        <w:rPr>
          <w:rFonts w:ascii="Garamond" w:hAnsi="Garamond" w:cs="Arial"/>
          <w:spacing w:val="-8"/>
          <w:sz w:val="24"/>
          <w:szCs w:val="24"/>
        </w:rPr>
        <w:t xml:space="preserve"> </w:t>
      </w:r>
      <w:r w:rsidR="00802ACC" w:rsidRPr="003A1174">
        <w:rPr>
          <w:rFonts w:ascii="Garamond" w:hAnsi="Garamond" w:cs="Arial"/>
          <w:spacing w:val="-5"/>
          <w:sz w:val="24"/>
          <w:szCs w:val="24"/>
        </w:rPr>
        <w:t>educação</w:t>
      </w:r>
      <w:r w:rsidR="00496CB2" w:rsidRPr="003A1174">
        <w:rPr>
          <w:rFonts w:ascii="Garamond" w:hAnsi="Garamond" w:cs="Arial"/>
          <w:spacing w:val="-9"/>
          <w:sz w:val="24"/>
          <w:szCs w:val="24"/>
        </w:rPr>
        <w:t xml:space="preserve"> </w:t>
      </w:r>
      <w:r w:rsidR="000672E8" w:rsidRPr="003A1174">
        <w:rPr>
          <w:rFonts w:ascii="Garamond" w:hAnsi="Garamond" w:cs="Arial"/>
          <w:sz w:val="24"/>
          <w:szCs w:val="24"/>
        </w:rPr>
        <w:t>e</w:t>
      </w:r>
      <w:r w:rsidR="001B7D0B">
        <w:rPr>
          <w:rFonts w:ascii="Garamond" w:hAnsi="Garamond" w:cs="Arial"/>
          <w:sz w:val="24"/>
          <w:szCs w:val="24"/>
        </w:rPr>
        <w:t xml:space="preserve"> formação</w:t>
      </w:r>
      <w:r w:rsidR="00496CB2" w:rsidRPr="003A1174">
        <w:rPr>
          <w:rFonts w:ascii="Garamond" w:hAnsi="Garamond" w:cs="Arial"/>
          <w:sz w:val="24"/>
          <w:szCs w:val="24"/>
        </w:rPr>
        <w:t>,</w:t>
      </w:r>
      <w:r w:rsidR="00496CB2" w:rsidRPr="003A1174">
        <w:rPr>
          <w:rFonts w:ascii="Garamond" w:hAnsi="Garamond" w:cs="Arial"/>
          <w:spacing w:val="-12"/>
          <w:sz w:val="24"/>
          <w:szCs w:val="24"/>
        </w:rPr>
        <w:t xml:space="preserve"> </w:t>
      </w:r>
      <w:r w:rsidR="007C63D0" w:rsidRPr="003A1174">
        <w:rPr>
          <w:rFonts w:ascii="Garamond" w:hAnsi="Garamond" w:cs="Arial"/>
          <w:sz w:val="24"/>
          <w:szCs w:val="24"/>
        </w:rPr>
        <w:t>saúde</w:t>
      </w:r>
      <w:r w:rsidR="00496CB2" w:rsidRPr="003A1174">
        <w:rPr>
          <w:rFonts w:ascii="Garamond" w:hAnsi="Garamond" w:cs="Arial"/>
          <w:sz w:val="24"/>
          <w:szCs w:val="24"/>
        </w:rPr>
        <w:t>,</w:t>
      </w:r>
      <w:r w:rsidR="00496CB2" w:rsidRPr="003A1174">
        <w:rPr>
          <w:rFonts w:ascii="Garamond" w:hAnsi="Garamond" w:cs="Arial"/>
          <w:spacing w:val="-12"/>
          <w:sz w:val="24"/>
          <w:szCs w:val="24"/>
        </w:rPr>
        <w:t xml:space="preserve"> </w:t>
      </w:r>
      <w:r w:rsidR="00046E19" w:rsidRPr="003A1174">
        <w:rPr>
          <w:rFonts w:ascii="Garamond" w:hAnsi="Garamond" w:cs="Arial"/>
          <w:spacing w:val="-5"/>
          <w:sz w:val="24"/>
          <w:szCs w:val="24"/>
        </w:rPr>
        <w:t>emprego</w:t>
      </w:r>
      <w:r w:rsidR="00496CB2" w:rsidRPr="003A1174">
        <w:rPr>
          <w:rFonts w:ascii="Garamond" w:hAnsi="Garamond" w:cs="Arial"/>
          <w:sz w:val="24"/>
          <w:szCs w:val="24"/>
        </w:rPr>
        <w:t>,</w:t>
      </w:r>
      <w:r w:rsidR="00496CB2" w:rsidRPr="003A1174">
        <w:rPr>
          <w:rFonts w:ascii="Garamond" w:hAnsi="Garamond" w:cs="Arial"/>
          <w:spacing w:val="18"/>
          <w:sz w:val="24"/>
          <w:szCs w:val="24"/>
        </w:rPr>
        <w:t xml:space="preserve"> </w:t>
      </w:r>
      <w:r w:rsidR="00496CB2" w:rsidRPr="003A1174">
        <w:rPr>
          <w:rFonts w:ascii="Garamond" w:hAnsi="Garamond" w:cs="Arial"/>
          <w:spacing w:val="-2"/>
          <w:sz w:val="24"/>
          <w:szCs w:val="24"/>
        </w:rPr>
        <w:t>a</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o</w:t>
      </w:r>
      <w:r w:rsidR="00D4575C" w:rsidRPr="003A1174">
        <w:rPr>
          <w:rFonts w:ascii="Garamond" w:hAnsi="Garamond" w:cs="Arial"/>
          <w:sz w:val="24"/>
          <w:szCs w:val="24"/>
        </w:rPr>
        <w:t>gestão</w:t>
      </w:r>
      <w:r w:rsidR="00496CB2" w:rsidRPr="003A1174">
        <w:rPr>
          <w:rFonts w:ascii="Garamond" w:hAnsi="Garamond" w:cs="Arial"/>
          <w:sz w:val="24"/>
          <w:szCs w:val="24"/>
        </w:rPr>
        <w:t>,</w:t>
      </w:r>
      <w:r w:rsidR="00496CB2" w:rsidRPr="003A1174">
        <w:rPr>
          <w:rFonts w:ascii="Garamond" w:hAnsi="Garamond" w:cs="Arial"/>
          <w:spacing w:val="24"/>
          <w:sz w:val="24"/>
          <w:szCs w:val="24"/>
        </w:rPr>
        <w:t xml:space="preserve"> </w:t>
      </w:r>
      <w:r w:rsidR="009B133A" w:rsidRPr="003A1174">
        <w:rPr>
          <w:rFonts w:ascii="Garamond" w:hAnsi="Garamond" w:cs="Arial"/>
          <w:spacing w:val="2"/>
          <w:sz w:val="24"/>
          <w:szCs w:val="24"/>
        </w:rPr>
        <w:t>desenvolvimento</w:t>
      </w:r>
      <w:r w:rsidR="00496CB2" w:rsidRPr="003A1174">
        <w:rPr>
          <w:rFonts w:ascii="Garamond" w:hAnsi="Garamond" w:cs="Arial"/>
          <w:spacing w:val="15"/>
          <w:sz w:val="24"/>
          <w:szCs w:val="24"/>
        </w:rPr>
        <w:t xml:space="preserve"> </w:t>
      </w:r>
      <w:r w:rsidR="00496CB2" w:rsidRPr="003A1174">
        <w:rPr>
          <w:rFonts w:ascii="Garamond" w:hAnsi="Garamond" w:cs="Arial"/>
          <w:spacing w:val="-5"/>
          <w:sz w:val="24"/>
          <w:szCs w:val="24"/>
        </w:rPr>
        <w:t>e</w:t>
      </w:r>
      <w:r w:rsidR="00496CB2" w:rsidRPr="003A1174">
        <w:rPr>
          <w:rFonts w:ascii="Garamond" w:hAnsi="Garamond" w:cs="Arial"/>
          <w:sz w:val="24"/>
          <w:szCs w:val="24"/>
        </w:rPr>
        <w:t>co</w:t>
      </w:r>
      <w:r w:rsidR="00496CB2" w:rsidRPr="003A1174">
        <w:rPr>
          <w:rFonts w:ascii="Garamond" w:hAnsi="Garamond" w:cs="Arial"/>
          <w:spacing w:val="-1"/>
          <w:sz w:val="24"/>
          <w:szCs w:val="24"/>
        </w:rPr>
        <w:t>n</w:t>
      </w:r>
      <w:r w:rsidR="00496CB2" w:rsidRPr="003A1174">
        <w:rPr>
          <w:rFonts w:ascii="Garamond" w:hAnsi="Garamond" w:cs="Arial"/>
          <w:spacing w:val="-6"/>
          <w:sz w:val="24"/>
          <w:szCs w:val="24"/>
        </w:rPr>
        <w:t>ó</w:t>
      </w:r>
      <w:r w:rsidR="00496CB2" w:rsidRPr="003A1174">
        <w:rPr>
          <w:rFonts w:ascii="Garamond" w:hAnsi="Garamond" w:cs="Arial"/>
          <w:spacing w:val="8"/>
          <w:sz w:val="24"/>
          <w:szCs w:val="24"/>
        </w:rPr>
        <w:t>m</w:t>
      </w:r>
      <w:r w:rsidR="00496CB2" w:rsidRPr="003A1174">
        <w:rPr>
          <w:rFonts w:ascii="Garamond" w:hAnsi="Garamond" w:cs="Arial"/>
          <w:spacing w:val="-6"/>
          <w:sz w:val="24"/>
          <w:szCs w:val="24"/>
        </w:rPr>
        <w:t>i</w:t>
      </w:r>
      <w:r w:rsidR="00496CB2" w:rsidRPr="003A1174">
        <w:rPr>
          <w:rFonts w:ascii="Garamond" w:hAnsi="Garamond" w:cs="Arial"/>
          <w:sz w:val="24"/>
          <w:szCs w:val="24"/>
        </w:rPr>
        <w:t>co</w:t>
      </w:r>
      <w:r w:rsidR="00496CB2" w:rsidRPr="003A1174">
        <w:rPr>
          <w:rFonts w:ascii="Garamond" w:hAnsi="Garamond" w:cs="Arial"/>
          <w:spacing w:val="15"/>
          <w:sz w:val="24"/>
          <w:szCs w:val="24"/>
        </w:rPr>
        <w:t xml:space="preserve"> </w:t>
      </w:r>
      <w:r w:rsidR="000672E8" w:rsidRPr="003A1174">
        <w:rPr>
          <w:rFonts w:ascii="Garamond" w:hAnsi="Garamond" w:cs="Arial"/>
          <w:spacing w:val="1"/>
          <w:sz w:val="24"/>
          <w:szCs w:val="24"/>
        </w:rPr>
        <w:t>e</w:t>
      </w:r>
      <w:r w:rsidR="00496CB2" w:rsidRPr="003A1174">
        <w:rPr>
          <w:rFonts w:ascii="Garamond" w:hAnsi="Garamond" w:cs="Arial"/>
          <w:sz w:val="24"/>
          <w:szCs w:val="24"/>
        </w:rPr>
        <w:t>,</w:t>
      </w:r>
      <w:r w:rsidR="00496CB2" w:rsidRPr="003A1174">
        <w:rPr>
          <w:rFonts w:ascii="Garamond" w:hAnsi="Garamond" w:cs="Arial"/>
          <w:spacing w:val="17"/>
          <w:sz w:val="24"/>
          <w:szCs w:val="24"/>
        </w:rPr>
        <w:t xml:space="preserve"> </w:t>
      </w:r>
      <w:r w:rsidR="00496CB2" w:rsidRPr="003A1174">
        <w:rPr>
          <w:rFonts w:ascii="Garamond" w:hAnsi="Garamond" w:cs="Arial"/>
          <w:spacing w:val="-5"/>
          <w:sz w:val="24"/>
          <w:szCs w:val="24"/>
        </w:rPr>
        <w:t>e</w:t>
      </w:r>
      <w:r w:rsidR="000030AE" w:rsidRPr="003A1174">
        <w:rPr>
          <w:rFonts w:ascii="Garamond" w:hAnsi="Garamond" w:cs="Arial"/>
          <w:spacing w:val="-5"/>
          <w:sz w:val="24"/>
          <w:szCs w:val="24"/>
        </w:rPr>
        <w:t>m</w:t>
      </w:r>
      <w:r w:rsidR="00496CB2" w:rsidRPr="003A1174">
        <w:rPr>
          <w:rFonts w:ascii="Garamond" w:hAnsi="Garamond" w:cs="Arial"/>
          <w:spacing w:val="20"/>
          <w:sz w:val="24"/>
          <w:szCs w:val="24"/>
        </w:rPr>
        <w:t xml:space="preserve"> </w:t>
      </w:r>
      <w:r w:rsidR="00077461" w:rsidRPr="003A1174">
        <w:rPr>
          <w:rFonts w:ascii="Garamond" w:hAnsi="Garamond" w:cs="Arial"/>
          <w:sz w:val="24"/>
          <w:szCs w:val="24"/>
        </w:rPr>
        <w:t>geral</w:t>
      </w:r>
      <w:r w:rsidR="00496CB2" w:rsidRPr="003A1174">
        <w:rPr>
          <w:rFonts w:ascii="Garamond" w:hAnsi="Garamond" w:cs="Arial"/>
          <w:sz w:val="24"/>
          <w:szCs w:val="24"/>
        </w:rPr>
        <w:t>,</w:t>
      </w:r>
      <w:r w:rsidR="00496CB2" w:rsidRPr="003A1174">
        <w:rPr>
          <w:rFonts w:ascii="Garamond" w:hAnsi="Garamond" w:cs="Arial"/>
          <w:spacing w:val="12"/>
          <w:sz w:val="24"/>
          <w:szCs w:val="24"/>
        </w:rPr>
        <w:t xml:space="preserve"> </w:t>
      </w:r>
      <w:r w:rsidR="000030AE" w:rsidRPr="003A1174">
        <w:rPr>
          <w:rFonts w:ascii="Garamond" w:hAnsi="Garamond" w:cs="Arial"/>
          <w:spacing w:val="12"/>
          <w:sz w:val="24"/>
          <w:szCs w:val="24"/>
        </w:rPr>
        <w:t xml:space="preserve">no </w:t>
      </w:r>
      <w:r w:rsidR="00731B19" w:rsidRPr="003A1174">
        <w:rPr>
          <w:rFonts w:ascii="Garamond" w:hAnsi="Garamond" w:cs="Arial"/>
          <w:sz w:val="24"/>
          <w:szCs w:val="24"/>
        </w:rPr>
        <w:t>exercício</w:t>
      </w:r>
      <w:r w:rsidR="00496CB2" w:rsidRPr="003A1174">
        <w:rPr>
          <w:rFonts w:ascii="Garamond" w:hAnsi="Garamond" w:cs="Arial"/>
          <w:spacing w:val="15"/>
          <w:sz w:val="24"/>
          <w:szCs w:val="24"/>
        </w:rPr>
        <w:t xml:space="preserve"> </w:t>
      </w:r>
      <w:r w:rsidR="00496CB2" w:rsidRPr="003A1174">
        <w:rPr>
          <w:rFonts w:ascii="Garamond" w:hAnsi="Garamond" w:cs="Arial"/>
          <w:spacing w:val="2"/>
          <w:sz w:val="24"/>
          <w:szCs w:val="24"/>
        </w:rPr>
        <w:t>d</w:t>
      </w:r>
      <w:r w:rsidR="000030AE" w:rsidRPr="003A1174">
        <w:rPr>
          <w:rFonts w:ascii="Garamond" w:hAnsi="Garamond" w:cs="Arial"/>
          <w:spacing w:val="2"/>
          <w:sz w:val="24"/>
          <w:szCs w:val="24"/>
        </w:rPr>
        <w:t xml:space="preserve">os seus </w:t>
      </w:r>
      <w:r w:rsidR="00886D6A" w:rsidRPr="003A1174">
        <w:rPr>
          <w:rFonts w:ascii="Garamond" w:hAnsi="Garamond" w:cs="Arial"/>
          <w:spacing w:val="-3"/>
          <w:sz w:val="24"/>
          <w:szCs w:val="24"/>
        </w:rPr>
        <w:t>direito</w:t>
      </w:r>
      <w:r w:rsidR="00496CB2" w:rsidRPr="003A1174">
        <w:rPr>
          <w:rFonts w:ascii="Garamond" w:hAnsi="Garamond" w:cs="Arial"/>
          <w:sz w:val="24"/>
          <w:szCs w:val="24"/>
        </w:rPr>
        <w:t xml:space="preserve">s </w:t>
      </w:r>
      <w:r w:rsidR="00745303" w:rsidRPr="003A1174">
        <w:rPr>
          <w:rFonts w:ascii="Garamond" w:hAnsi="Garamond" w:cs="Arial"/>
          <w:sz w:val="24"/>
          <w:szCs w:val="24"/>
        </w:rPr>
        <w:t>civis</w:t>
      </w:r>
      <w:r w:rsidR="00496CB2" w:rsidRPr="003A1174">
        <w:rPr>
          <w:rFonts w:ascii="Garamond" w:hAnsi="Garamond" w:cs="Arial"/>
          <w:sz w:val="24"/>
          <w:szCs w:val="24"/>
        </w:rPr>
        <w:t>,</w:t>
      </w:r>
      <w:r w:rsidR="00496CB2" w:rsidRPr="003A1174">
        <w:rPr>
          <w:rFonts w:ascii="Garamond" w:hAnsi="Garamond" w:cs="Arial"/>
          <w:spacing w:val="18"/>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3"/>
          <w:sz w:val="24"/>
          <w:szCs w:val="24"/>
        </w:rPr>
        <w:t>lí</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z w:val="24"/>
          <w:szCs w:val="24"/>
        </w:rPr>
        <w:t>cos,</w:t>
      </w:r>
      <w:r w:rsidR="00496CB2" w:rsidRPr="003A1174">
        <w:rPr>
          <w:rFonts w:ascii="Garamond" w:hAnsi="Garamond" w:cs="Arial"/>
          <w:spacing w:val="18"/>
          <w:sz w:val="24"/>
          <w:szCs w:val="24"/>
        </w:rPr>
        <w:t xml:space="preserve"> </w:t>
      </w:r>
      <w:r w:rsidR="003F012B" w:rsidRPr="003A1174">
        <w:rPr>
          <w:rFonts w:ascii="Garamond" w:hAnsi="Garamond" w:cs="Arial"/>
          <w:sz w:val="24"/>
          <w:szCs w:val="24"/>
        </w:rPr>
        <w:t>sociais</w:t>
      </w:r>
      <w:r w:rsidR="00496CB2" w:rsidRPr="003A1174">
        <w:rPr>
          <w:rFonts w:ascii="Garamond" w:hAnsi="Garamond" w:cs="Arial"/>
          <w:spacing w:val="13"/>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18"/>
          <w:sz w:val="24"/>
          <w:szCs w:val="24"/>
        </w:rPr>
        <w:t xml:space="preserve"> </w:t>
      </w:r>
      <w:r w:rsidR="000030AE" w:rsidRPr="003A1174">
        <w:rPr>
          <w:rFonts w:ascii="Garamond" w:hAnsi="Garamond" w:cs="Arial"/>
          <w:sz w:val="24"/>
          <w:szCs w:val="24"/>
        </w:rPr>
        <w:t>culturais</w:t>
      </w:r>
      <w:r w:rsidR="00496CB2" w:rsidRPr="003A1174">
        <w:rPr>
          <w:rFonts w:ascii="Garamond" w:hAnsi="Garamond" w:cs="Arial"/>
          <w:sz w:val="24"/>
          <w:szCs w:val="24"/>
        </w:rPr>
        <w:t>,</w:t>
      </w:r>
      <w:r w:rsidR="00496CB2" w:rsidRPr="003A1174">
        <w:rPr>
          <w:rFonts w:ascii="Garamond" w:hAnsi="Garamond" w:cs="Arial"/>
          <w:spacing w:val="18"/>
          <w:sz w:val="24"/>
          <w:szCs w:val="24"/>
        </w:rPr>
        <w:t xml:space="preserve"> </w:t>
      </w:r>
      <w:r w:rsidR="00152A44" w:rsidRPr="003A1174">
        <w:rPr>
          <w:rFonts w:ascii="Garamond" w:hAnsi="Garamond" w:cs="Arial"/>
          <w:spacing w:val="-1"/>
          <w:sz w:val="24"/>
          <w:szCs w:val="24"/>
        </w:rPr>
        <w:t>inclui</w:t>
      </w:r>
      <w:r w:rsidR="00496CB2" w:rsidRPr="003A1174">
        <w:rPr>
          <w:rFonts w:ascii="Garamond" w:hAnsi="Garamond" w:cs="Arial"/>
          <w:sz w:val="24"/>
          <w:szCs w:val="24"/>
        </w:rPr>
        <w:t>n</w:t>
      </w:r>
      <w:r w:rsidR="00496CB2" w:rsidRPr="003A1174">
        <w:rPr>
          <w:rFonts w:ascii="Garamond" w:hAnsi="Garamond" w:cs="Arial"/>
          <w:spacing w:val="2"/>
          <w:sz w:val="24"/>
          <w:szCs w:val="24"/>
        </w:rPr>
        <w:t>d</w:t>
      </w:r>
      <w:r w:rsidR="00496CB2" w:rsidRPr="003A1174">
        <w:rPr>
          <w:rFonts w:ascii="Garamond" w:hAnsi="Garamond" w:cs="Arial"/>
          <w:sz w:val="24"/>
          <w:szCs w:val="24"/>
        </w:rPr>
        <w:t>o</w:t>
      </w:r>
      <w:r w:rsidR="00496CB2" w:rsidRPr="003A1174">
        <w:rPr>
          <w:rFonts w:ascii="Garamond" w:hAnsi="Garamond" w:cs="Arial"/>
          <w:spacing w:val="11"/>
          <w:sz w:val="24"/>
          <w:szCs w:val="24"/>
        </w:rPr>
        <w:t xml:space="preserve"> </w:t>
      </w:r>
      <w:r w:rsidR="000030AE" w:rsidRPr="003A1174">
        <w:rPr>
          <w:rFonts w:ascii="Garamond" w:hAnsi="Garamond" w:cs="Arial"/>
          <w:spacing w:val="3"/>
          <w:sz w:val="24"/>
          <w:szCs w:val="24"/>
        </w:rPr>
        <w:t>a</w:t>
      </w:r>
      <w:r w:rsidR="00496CB2" w:rsidRPr="003A1174">
        <w:rPr>
          <w:rFonts w:ascii="Garamond" w:hAnsi="Garamond" w:cs="Arial"/>
          <w:spacing w:val="19"/>
          <w:sz w:val="24"/>
          <w:szCs w:val="24"/>
        </w:rPr>
        <w:t xml:space="preserve"> </w:t>
      </w:r>
      <w:r w:rsidR="0017447A" w:rsidRPr="003A1174">
        <w:rPr>
          <w:rFonts w:ascii="Garamond" w:hAnsi="Garamond" w:cs="Arial"/>
          <w:spacing w:val="-2"/>
          <w:sz w:val="24"/>
          <w:szCs w:val="24"/>
        </w:rPr>
        <w:t>participação</w:t>
      </w:r>
      <w:r w:rsidR="00496CB2" w:rsidRPr="003A1174">
        <w:rPr>
          <w:rFonts w:ascii="Garamond" w:hAnsi="Garamond" w:cs="Arial"/>
          <w:spacing w:val="21"/>
          <w:sz w:val="24"/>
          <w:szCs w:val="24"/>
        </w:rPr>
        <w:t xml:space="preserve"> </w:t>
      </w:r>
      <w:r w:rsidR="000030AE" w:rsidRPr="003A1174">
        <w:rPr>
          <w:rFonts w:ascii="Garamond" w:hAnsi="Garamond" w:cs="Arial"/>
          <w:spacing w:val="21"/>
          <w:sz w:val="24"/>
          <w:szCs w:val="24"/>
        </w:rPr>
        <w:t xml:space="preserve">na </w:t>
      </w:r>
      <w:r w:rsidR="00496CB2" w:rsidRPr="003A1174">
        <w:rPr>
          <w:rFonts w:ascii="Garamond" w:hAnsi="Garamond" w:cs="Arial"/>
          <w:spacing w:val="-3"/>
          <w:sz w:val="24"/>
          <w:szCs w:val="24"/>
        </w:rPr>
        <w:t>t</w:t>
      </w:r>
      <w:r w:rsidR="00496CB2" w:rsidRPr="003A1174">
        <w:rPr>
          <w:rFonts w:ascii="Garamond" w:hAnsi="Garamond" w:cs="Arial"/>
          <w:spacing w:val="-6"/>
          <w:sz w:val="24"/>
          <w:szCs w:val="24"/>
        </w:rPr>
        <w:t>o</w:t>
      </w:r>
      <w:r w:rsidR="00496CB2" w:rsidRPr="003A1174">
        <w:rPr>
          <w:rFonts w:ascii="Garamond" w:hAnsi="Garamond" w:cs="Arial"/>
          <w:spacing w:val="8"/>
          <w:sz w:val="24"/>
          <w:szCs w:val="24"/>
        </w:rPr>
        <w:t>m</w:t>
      </w:r>
      <w:r w:rsidR="00496CB2" w:rsidRPr="003A1174">
        <w:rPr>
          <w:rFonts w:ascii="Garamond" w:hAnsi="Garamond" w:cs="Arial"/>
          <w:sz w:val="24"/>
          <w:szCs w:val="24"/>
        </w:rPr>
        <w:t>a</w:t>
      </w:r>
      <w:r w:rsidR="000030AE" w:rsidRPr="003A1174">
        <w:rPr>
          <w:rFonts w:ascii="Garamond" w:hAnsi="Garamond" w:cs="Arial"/>
          <w:sz w:val="24"/>
          <w:szCs w:val="24"/>
        </w:rPr>
        <w:t>da</w:t>
      </w:r>
      <w:r w:rsidR="00496CB2" w:rsidRPr="003A1174">
        <w:rPr>
          <w:rFonts w:ascii="Garamond" w:hAnsi="Garamond" w:cs="Arial"/>
          <w:spacing w:val="15"/>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 xml:space="preserve">e </w:t>
      </w:r>
      <w:r w:rsidR="005D38DC" w:rsidRPr="003A1174">
        <w:rPr>
          <w:rFonts w:ascii="Garamond" w:hAnsi="Garamond" w:cs="Arial"/>
          <w:spacing w:val="2"/>
          <w:sz w:val="24"/>
          <w:szCs w:val="24"/>
        </w:rPr>
        <w:t>decisões</w:t>
      </w:r>
      <w:r w:rsidR="00496CB2" w:rsidRPr="003A1174">
        <w:rPr>
          <w:rFonts w:ascii="Garamond" w:hAnsi="Garamond" w:cs="Arial"/>
          <w:spacing w:val="1"/>
          <w:sz w:val="24"/>
          <w:szCs w:val="24"/>
        </w:rPr>
        <w:t xml:space="preserve"> </w:t>
      </w:r>
      <w:r w:rsidR="000030AE" w:rsidRPr="003A1174">
        <w:rPr>
          <w:rFonts w:ascii="Garamond" w:hAnsi="Garamond" w:cs="Arial"/>
          <w:spacing w:val="1"/>
          <w:sz w:val="24"/>
          <w:szCs w:val="24"/>
        </w:rPr>
        <w:t>de toda a</w:t>
      </w:r>
      <w:r w:rsidR="001E0A66" w:rsidRPr="003A1174">
        <w:rPr>
          <w:rFonts w:ascii="Garamond" w:hAnsi="Garamond" w:cs="Arial"/>
          <w:spacing w:val="1"/>
          <w:sz w:val="24"/>
          <w:szCs w:val="24"/>
        </w:rPr>
        <w:t xml:space="preserve"> </w:t>
      </w:r>
      <w:r w:rsidR="00374785" w:rsidRPr="003A1174">
        <w:rPr>
          <w:rFonts w:ascii="Garamond" w:hAnsi="Garamond" w:cs="Arial"/>
          <w:spacing w:val="1"/>
          <w:sz w:val="24"/>
          <w:szCs w:val="24"/>
        </w:rPr>
        <w:t>ordem</w:t>
      </w:r>
      <w:r>
        <w:rPr>
          <w:rFonts w:ascii="Garamond" w:hAnsi="Garamond" w:cs="Arial"/>
          <w:sz w:val="24"/>
          <w:szCs w:val="24"/>
        </w:rPr>
        <w:t>.</w:t>
      </w:r>
    </w:p>
    <w:p w:rsidR="007E4CED" w:rsidRPr="003A1174" w:rsidRDefault="000030AE" w:rsidP="008719D4">
      <w:pPr>
        <w:spacing w:before="240" w:line="240" w:lineRule="auto"/>
        <w:jc w:val="both"/>
        <w:rPr>
          <w:rFonts w:ascii="Garamond" w:hAnsi="Garamond" w:cs="Arial"/>
          <w:sz w:val="24"/>
          <w:szCs w:val="24"/>
        </w:rPr>
      </w:pPr>
      <w:r w:rsidRPr="003A1174">
        <w:rPr>
          <w:rFonts w:ascii="Garamond" w:hAnsi="Garamond" w:cs="Arial"/>
          <w:spacing w:val="-2"/>
          <w:sz w:val="24"/>
          <w:szCs w:val="24"/>
        </w:rPr>
        <w:t xml:space="preserve">A </w:t>
      </w:r>
      <w:r w:rsidR="00374785" w:rsidRPr="003A1174">
        <w:rPr>
          <w:rFonts w:ascii="Garamond" w:hAnsi="Garamond" w:cs="Arial"/>
          <w:sz w:val="24"/>
          <w:szCs w:val="24"/>
        </w:rPr>
        <w:t>Ordem</w:t>
      </w:r>
      <w:r w:rsidR="00496CB2" w:rsidRPr="003A1174">
        <w:rPr>
          <w:rFonts w:ascii="Garamond" w:hAnsi="Garamond" w:cs="Arial"/>
          <w:spacing w:val="6"/>
          <w:sz w:val="24"/>
          <w:szCs w:val="24"/>
        </w:rPr>
        <w:t xml:space="preserve"> </w:t>
      </w:r>
      <w:r w:rsidR="00A41573" w:rsidRPr="003A1174">
        <w:rPr>
          <w:rFonts w:ascii="Garamond" w:hAnsi="Garamond" w:cs="Arial"/>
          <w:spacing w:val="1"/>
          <w:sz w:val="24"/>
          <w:szCs w:val="24"/>
        </w:rPr>
        <w:t>Executiva</w:t>
      </w:r>
      <w:r w:rsidR="00496CB2" w:rsidRPr="003A1174">
        <w:rPr>
          <w:rFonts w:ascii="Garamond" w:hAnsi="Garamond" w:cs="Arial"/>
          <w:spacing w:val="8"/>
          <w:sz w:val="24"/>
          <w:szCs w:val="24"/>
        </w:rPr>
        <w:t xml:space="preserve"> </w:t>
      </w:r>
      <w:r w:rsidR="00496CB2" w:rsidRPr="003A1174">
        <w:rPr>
          <w:rFonts w:ascii="Garamond" w:hAnsi="Garamond" w:cs="Arial"/>
          <w:spacing w:val="-3"/>
          <w:sz w:val="24"/>
          <w:szCs w:val="24"/>
        </w:rPr>
        <w:t>20</w:t>
      </w:r>
      <w:r w:rsidR="00496CB2" w:rsidRPr="003A1174">
        <w:rPr>
          <w:rFonts w:ascii="Garamond" w:hAnsi="Garamond" w:cs="Arial"/>
          <w:spacing w:val="2"/>
          <w:sz w:val="24"/>
          <w:szCs w:val="24"/>
        </w:rPr>
        <w:t>0</w:t>
      </w:r>
      <w:r w:rsidR="00496CB2" w:rsidRPr="003A1174">
        <w:rPr>
          <w:rFonts w:ascii="Garamond" w:hAnsi="Garamond" w:cs="Arial"/>
          <w:spacing w:val="5"/>
          <w:sz w:val="24"/>
          <w:szCs w:val="24"/>
        </w:rPr>
        <w:t>5</w:t>
      </w:r>
      <w:r w:rsidR="00496CB2" w:rsidRPr="003A1174">
        <w:rPr>
          <w:rFonts w:ascii="Garamond" w:hAnsi="Garamond" w:cs="Arial"/>
          <w:spacing w:val="-7"/>
          <w:sz w:val="24"/>
          <w:szCs w:val="24"/>
        </w:rPr>
        <w:t>-</w:t>
      </w:r>
      <w:r w:rsidR="00496CB2" w:rsidRPr="003A1174">
        <w:rPr>
          <w:rFonts w:ascii="Garamond" w:hAnsi="Garamond" w:cs="Arial"/>
          <w:spacing w:val="2"/>
          <w:sz w:val="24"/>
          <w:szCs w:val="24"/>
        </w:rPr>
        <w:t>1</w:t>
      </w:r>
      <w:r w:rsidR="00496CB2" w:rsidRPr="003A1174">
        <w:rPr>
          <w:rFonts w:ascii="Garamond" w:hAnsi="Garamond" w:cs="Arial"/>
          <w:sz w:val="24"/>
          <w:szCs w:val="24"/>
        </w:rPr>
        <w:t>8</w:t>
      </w:r>
      <w:r w:rsidR="00344875">
        <w:rPr>
          <w:rFonts w:ascii="Garamond" w:hAnsi="Garamond" w:cs="Arial"/>
          <w:sz w:val="24"/>
          <w:szCs w:val="24"/>
        </w:rPr>
        <w:t>,</w:t>
      </w:r>
      <w:r w:rsidR="00496CB2" w:rsidRPr="003A1174">
        <w:rPr>
          <w:rFonts w:ascii="Garamond" w:hAnsi="Garamond" w:cs="Arial"/>
          <w:spacing w:val="8"/>
          <w:sz w:val="24"/>
          <w:szCs w:val="24"/>
        </w:rPr>
        <w:t xml:space="preserve"> </w:t>
      </w:r>
      <w:r w:rsidR="007E771E">
        <w:rPr>
          <w:rFonts w:ascii="Garamond" w:hAnsi="Garamond" w:cs="Arial"/>
          <w:spacing w:val="8"/>
          <w:sz w:val="24"/>
          <w:szCs w:val="24"/>
        </w:rPr>
        <w:t xml:space="preserve">incentivada </w:t>
      </w:r>
      <w:r w:rsidR="00275092" w:rsidRPr="003A1174">
        <w:rPr>
          <w:rFonts w:ascii="Garamond" w:hAnsi="Garamond" w:cs="Arial"/>
          <w:spacing w:val="-2"/>
          <w:sz w:val="24"/>
          <w:szCs w:val="24"/>
        </w:rPr>
        <w:t>pela</w:t>
      </w:r>
      <w:r w:rsidR="00496CB2" w:rsidRPr="003A1174">
        <w:rPr>
          <w:rFonts w:ascii="Garamond" w:hAnsi="Garamond" w:cs="Arial"/>
          <w:spacing w:val="2"/>
          <w:sz w:val="24"/>
          <w:szCs w:val="24"/>
        </w:rPr>
        <w:t xml:space="preserve"> </w:t>
      </w:r>
      <w:r w:rsidR="00496CB2" w:rsidRPr="003A1174">
        <w:rPr>
          <w:rFonts w:ascii="Garamond" w:hAnsi="Garamond" w:cs="Arial"/>
          <w:sz w:val="24"/>
          <w:szCs w:val="24"/>
        </w:rPr>
        <w:t>O</w:t>
      </w:r>
      <w:r w:rsidR="00496CB2" w:rsidRPr="003A1174">
        <w:rPr>
          <w:rFonts w:ascii="Garamond" w:hAnsi="Garamond" w:cs="Arial"/>
          <w:spacing w:val="-1"/>
          <w:sz w:val="24"/>
          <w:szCs w:val="24"/>
        </w:rPr>
        <w:t>P</w:t>
      </w:r>
      <w:r w:rsidR="00496CB2" w:rsidRPr="003A1174">
        <w:rPr>
          <w:rFonts w:ascii="Garamond" w:hAnsi="Garamond" w:cs="Arial"/>
          <w:spacing w:val="3"/>
          <w:sz w:val="24"/>
          <w:szCs w:val="24"/>
        </w:rPr>
        <w:t>M</w:t>
      </w:r>
      <w:r w:rsidR="00496CB2" w:rsidRPr="003A1174">
        <w:rPr>
          <w:rFonts w:ascii="Garamond" w:hAnsi="Garamond" w:cs="Arial"/>
          <w:sz w:val="24"/>
          <w:szCs w:val="24"/>
        </w:rPr>
        <w:t>,</w:t>
      </w:r>
      <w:r w:rsidR="00496CB2" w:rsidRPr="003A1174">
        <w:rPr>
          <w:rFonts w:ascii="Garamond" w:hAnsi="Garamond" w:cs="Arial"/>
          <w:spacing w:val="7"/>
          <w:sz w:val="24"/>
          <w:szCs w:val="24"/>
        </w:rPr>
        <w:t xml:space="preserve"> </w:t>
      </w:r>
      <w:r w:rsidR="000672E8" w:rsidRPr="003A1174">
        <w:rPr>
          <w:rFonts w:ascii="Garamond" w:hAnsi="Garamond" w:cs="Arial"/>
          <w:sz w:val="24"/>
          <w:szCs w:val="24"/>
        </w:rPr>
        <w:t>estabelecia</w:t>
      </w:r>
      <w:r w:rsidR="007E771E">
        <w:rPr>
          <w:rFonts w:ascii="Garamond" w:hAnsi="Garamond" w:cs="Arial"/>
          <w:sz w:val="24"/>
          <w:szCs w:val="24"/>
        </w:rPr>
        <w:t>,</w:t>
      </w:r>
      <w:r w:rsidR="00496CB2" w:rsidRPr="003A1174">
        <w:rPr>
          <w:rFonts w:ascii="Garamond" w:hAnsi="Garamond" w:cs="Arial"/>
          <w:spacing w:val="3"/>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6"/>
          <w:sz w:val="24"/>
          <w:szCs w:val="24"/>
        </w:rPr>
        <w:t>o</w:t>
      </w:r>
      <w:r w:rsidR="00496CB2" w:rsidRPr="003A1174">
        <w:rPr>
          <w:rFonts w:ascii="Garamond" w:hAnsi="Garamond" w:cs="Arial"/>
          <w:spacing w:val="3"/>
          <w:sz w:val="24"/>
          <w:szCs w:val="24"/>
        </w:rPr>
        <w:t>m</w:t>
      </w:r>
      <w:r w:rsidR="00496CB2" w:rsidRPr="003A1174">
        <w:rPr>
          <w:rFonts w:ascii="Garamond" w:hAnsi="Garamond" w:cs="Arial"/>
          <w:sz w:val="24"/>
          <w:szCs w:val="24"/>
        </w:rPr>
        <w:t>o</w:t>
      </w:r>
      <w:r w:rsidR="00496CB2" w:rsidRPr="003A1174">
        <w:rPr>
          <w:rFonts w:ascii="Garamond" w:hAnsi="Garamond" w:cs="Arial"/>
          <w:spacing w:val="10"/>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1"/>
          <w:sz w:val="24"/>
          <w:szCs w:val="24"/>
        </w:rPr>
        <w:t>l</w:t>
      </w:r>
      <w:r w:rsidR="00496CB2" w:rsidRPr="003A1174">
        <w:rPr>
          <w:rFonts w:ascii="Garamond" w:hAnsi="Garamond" w:cs="Arial"/>
          <w:spacing w:val="8"/>
          <w:sz w:val="24"/>
          <w:szCs w:val="24"/>
        </w:rPr>
        <w:t>í</w:t>
      </w:r>
      <w:r w:rsidR="00496CB2" w:rsidRPr="003A1174">
        <w:rPr>
          <w:rFonts w:ascii="Garamond" w:hAnsi="Garamond" w:cs="Arial"/>
          <w:spacing w:val="-3"/>
          <w:sz w:val="24"/>
          <w:szCs w:val="24"/>
        </w:rPr>
        <w:t>t</w:t>
      </w:r>
      <w:r w:rsidR="00496CB2" w:rsidRPr="003A1174">
        <w:rPr>
          <w:rFonts w:ascii="Garamond" w:hAnsi="Garamond" w:cs="Arial"/>
          <w:spacing w:val="-6"/>
          <w:sz w:val="24"/>
          <w:szCs w:val="24"/>
        </w:rPr>
        <w:t>i</w:t>
      </w:r>
      <w:r w:rsidR="00496CB2" w:rsidRPr="003A1174">
        <w:rPr>
          <w:rFonts w:ascii="Garamond" w:hAnsi="Garamond" w:cs="Arial"/>
          <w:sz w:val="24"/>
          <w:szCs w:val="24"/>
        </w:rPr>
        <w:t>ca</w:t>
      </w:r>
      <w:r w:rsidR="00496CB2" w:rsidRPr="003A1174">
        <w:rPr>
          <w:rFonts w:ascii="Garamond" w:hAnsi="Garamond" w:cs="Arial"/>
          <w:spacing w:val="8"/>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4"/>
          <w:sz w:val="24"/>
          <w:szCs w:val="24"/>
        </w:rPr>
        <w:t>ú</w:t>
      </w:r>
      <w:r w:rsidR="00496CB2" w:rsidRPr="003A1174">
        <w:rPr>
          <w:rFonts w:ascii="Garamond" w:hAnsi="Garamond" w:cs="Arial"/>
          <w:spacing w:val="-7"/>
          <w:sz w:val="24"/>
          <w:szCs w:val="24"/>
        </w:rPr>
        <w:t>b</w:t>
      </w:r>
      <w:r w:rsidR="00496CB2" w:rsidRPr="003A1174">
        <w:rPr>
          <w:rFonts w:ascii="Garamond" w:hAnsi="Garamond" w:cs="Arial"/>
          <w:spacing w:val="8"/>
          <w:sz w:val="24"/>
          <w:szCs w:val="24"/>
        </w:rPr>
        <w:t>l</w:t>
      </w:r>
      <w:r w:rsidR="00496CB2" w:rsidRPr="003A1174">
        <w:rPr>
          <w:rFonts w:ascii="Garamond" w:hAnsi="Garamond" w:cs="Arial"/>
          <w:spacing w:val="-1"/>
          <w:sz w:val="24"/>
          <w:szCs w:val="24"/>
        </w:rPr>
        <w:t>i</w:t>
      </w:r>
      <w:r w:rsidR="00496CB2" w:rsidRPr="003A1174">
        <w:rPr>
          <w:rFonts w:ascii="Garamond" w:hAnsi="Garamond" w:cs="Arial"/>
          <w:sz w:val="24"/>
          <w:szCs w:val="24"/>
        </w:rPr>
        <w:t>ca</w:t>
      </w:r>
      <w:r w:rsidR="007E771E">
        <w:rPr>
          <w:rFonts w:ascii="Garamond" w:hAnsi="Garamond" w:cs="Arial"/>
          <w:sz w:val="24"/>
          <w:szCs w:val="24"/>
        </w:rPr>
        <w:t>,</w:t>
      </w:r>
      <w:r w:rsidR="00496CB2" w:rsidRPr="003A1174">
        <w:rPr>
          <w:rFonts w:ascii="Garamond" w:hAnsi="Garamond" w:cs="Arial"/>
          <w:spacing w:val="3"/>
          <w:sz w:val="24"/>
          <w:szCs w:val="24"/>
        </w:rPr>
        <w:t xml:space="preserve"> </w:t>
      </w:r>
      <w:r w:rsidRPr="003A1174">
        <w:rPr>
          <w:rFonts w:ascii="Garamond" w:hAnsi="Garamond" w:cs="Arial"/>
          <w:spacing w:val="3"/>
          <w:sz w:val="24"/>
          <w:szCs w:val="24"/>
        </w:rPr>
        <w:t xml:space="preserve">a </w:t>
      </w:r>
      <w:r w:rsidR="00A32790" w:rsidRPr="003A1174">
        <w:rPr>
          <w:rFonts w:ascii="Garamond" w:hAnsi="Garamond" w:cs="Arial"/>
          <w:spacing w:val="2"/>
          <w:sz w:val="24"/>
          <w:szCs w:val="24"/>
        </w:rPr>
        <w:t>discriminação</w:t>
      </w:r>
      <w:r w:rsidR="00496CB2" w:rsidRPr="003A1174">
        <w:rPr>
          <w:rFonts w:ascii="Garamond" w:hAnsi="Garamond" w:cs="Arial"/>
          <w:spacing w:val="-3"/>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or</w:t>
      </w:r>
      <w:r w:rsidR="00496CB2" w:rsidRPr="003A1174">
        <w:rPr>
          <w:rFonts w:ascii="Garamond" w:hAnsi="Garamond" w:cs="Arial"/>
          <w:spacing w:val="1"/>
          <w:sz w:val="24"/>
          <w:szCs w:val="24"/>
        </w:rPr>
        <w:t xml:space="preserve"> </w:t>
      </w:r>
      <w:r w:rsidR="00496CB2" w:rsidRPr="003A1174">
        <w:rPr>
          <w:rFonts w:ascii="Garamond" w:hAnsi="Garamond" w:cs="Arial"/>
          <w:sz w:val="24"/>
          <w:szCs w:val="24"/>
        </w:rPr>
        <w:t>sexo</w:t>
      </w:r>
      <w:r w:rsidR="00496CB2" w:rsidRPr="003A1174">
        <w:rPr>
          <w:rFonts w:ascii="Garamond" w:hAnsi="Garamond" w:cs="Arial"/>
          <w:spacing w:val="-4"/>
          <w:sz w:val="24"/>
          <w:szCs w:val="24"/>
        </w:rPr>
        <w:t xml:space="preserve"> </w:t>
      </w:r>
      <w:r w:rsidRPr="003A1174">
        <w:rPr>
          <w:rFonts w:ascii="Garamond" w:hAnsi="Garamond" w:cs="Arial"/>
          <w:spacing w:val="-4"/>
          <w:sz w:val="24"/>
          <w:szCs w:val="24"/>
        </w:rPr>
        <w:t xml:space="preserve">na </w:t>
      </w:r>
      <w:r w:rsidRPr="003A1174">
        <w:rPr>
          <w:rFonts w:ascii="Garamond" w:hAnsi="Garamond" w:cs="Arial"/>
          <w:spacing w:val="-3"/>
          <w:sz w:val="24"/>
          <w:szCs w:val="24"/>
        </w:rPr>
        <w:t>elaboração</w:t>
      </w:r>
      <w:r w:rsidR="00496CB2" w:rsidRPr="003A1174">
        <w:rPr>
          <w:rFonts w:ascii="Garamond" w:hAnsi="Garamond" w:cs="Arial"/>
          <w:spacing w:val="-5"/>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2"/>
          <w:sz w:val="24"/>
          <w:szCs w:val="24"/>
        </w:rPr>
        <w:t xml:space="preserve"> </w:t>
      </w:r>
      <w:r w:rsidR="00964875" w:rsidRPr="003A1174">
        <w:rPr>
          <w:rFonts w:ascii="Garamond" w:hAnsi="Garamond" w:cs="Arial"/>
          <w:spacing w:val="2"/>
          <w:sz w:val="24"/>
          <w:szCs w:val="24"/>
        </w:rPr>
        <w:t>divulgação</w:t>
      </w:r>
      <w:r w:rsidR="00496CB2" w:rsidRPr="003A1174">
        <w:rPr>
          <w:rFonts w:ascii="Garamond" w:hAnsi="Garamond" w:cs="Arial"/>
          <w:sz w:val="24"/>
          <w:szCs w:val="24"/>
        </w:rPr>
        <w:t xml:space="preserve"> </w:t>
      </w:r>
      <w:r w:rsidR="00497503" w:rsidRPr="003A1174">
        <w:rPr>
          <w:rFonts w:ascii="Garamond" w:hAnsi="Garamond" w:cs="Arial"/>
          <w:spacing w:val="2"/>
          <w:sz w:val="24"/>
          <w:szCs w:val="24"/>
        </w:rPr>
        <w:t>d</w:t>
      </w:r>
      <w:r w:rsidRPr="003A1174">
        <w:rPr>
          <w:rFonts w:ascii="Garamond" w:hAnsi="Garamond" w:cs="Arial"/>
          <w:spacing w:val="2"/>
          <w:sz w:val="24"/>
          <w:szCs w:val="24"/>
        </w:rPr>
        <w:t xml:space="preserve">os números e </w:t>
      </w:r>
      <w:r w:rsidR="00EE7406" w:rsidRPr="003A1174">
        <w:rPr>
          <w:rFonts w:ascii="Garamond" w:hAnsi="Garamond" w:cs="Arial"/>
          <w:spacing w:val="2"/>
          <w:sz w:val="24"/>
          <w:szCs w:val="24"/>
        </w:rPr>
        <w:t>dado</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D37CF3" w:rsidRPr="003A1174">
        <w:rPr>
          <w:rFonts w:ascii="Garamond" w:hAnsi="Garamond" w:cs="Arial"/>
          <w:sz w:val="24"/>
          <w:szCs w:val="24"/>
        </w:rPr>
        <w:t>estatísticos</w:t>
      </w:r>
      <w:r w:rsidR="00496CB2" w:rsidRPr="003A1174">
        <w:rPr>
          <w:rFonts w:ascii="Garamond" w:hAnsi="Garamond" w:cs="Arial"/>
          <w:spacing w:val="-4"/>
          <w:sz w:val="24"/>
          <w:szCs w:val="24"/>
        </w:rPr>
        <w:t xml:space="preserve"> </w:t>
      </w:r>
      <w:r w:rsidR="00497503" w:rsidRPr="003A1174">
        <w:rPr>
          <w:rFonts w:ascii="Garamond" w:hAnsi="Garamond" w:cs="Arial"/>
          <w:spacing w:val="2"/>
          <w:sz w:val="24"/>
          <w:szCs w:val="24"/>
        </w:rPr>
        <w:t>das</w:t>
      </w:r>
      <w:r w:rsidR="00496CB2" w:rsidRPr="003A1174">
        <w:rPr>
          <w:rFonts w:ascii="Garamond" w:hAnsi="Garamond" w:cs="Arial"/>
          <w:sz w:val="24"/>
          <w:szCs w:val="24"/>
        </w:rPr>
        <w:t xml:space="preserve"> en</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2"/>
          <w:sz w:val="24"/>
          <w:szCs w:val="24"/>
        </w:rPr>
        <w:t>d</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es</w:t>
      </w:r>
      <w:r w:rsidR="00496CB2" w:rsidRPr="003A1174">
        <w:rPr>
          <w:rFonts w:ascii="Garamond" w:hAnsi="Garamond" w:cs="Arial"/>
          <w:spacing w:val="49"/>
          <w:sz w:val="24"/>
          <w:szCs w:val="24"/>
        </w:rPr>
        <w:t xml:space="preserve"> </w:t>
      </w:r>
      <w:r w:rsidR="00100435" w:rsidRPr="003A1174">
        <w:rPr>
          <w:rFonts w:ascii="Garamond" w:hAnsi="Garamond" w:cs="Arial"/>
          <w:sz w:val="24"/>
          <w:szCs w:val="24"/>
        </w:rPr>
        <w:t>governamentais</w:t>
      </w:r>
      <w:r w:rsidR="00496CB2" w:rsidRPr="003A1174">
        <w:rPr>
          <w:rFonts w:ascii="Garamond" w:hAnsi="Garamond" w:cs="Arial"/>
          <w:sz w:val="24"/>
          <w:szCs w:val="24"/>
        </w:rPr>
        <w:t>.</w:t>
      </w:r>
      <w:r w:rsidR="00496CB2" w:rsidRPr="003A1174">
        <w:rPr>
          <w:rFonts w:ascii="Garamond" w:hAnsi="Garamond" w:cs="Arial"/>
          <w:spacing w:val="38"/>
          <w:sz w:val="24"/>
          <w:szCs w:val="24"/>
        </w:rPr>
        <w:t xml:space="preserve"> </w:t>
      </w:r>
      <w:r w:rsidR="00496CB2" w:rsidRPr="003A1174">
        <w:rPr>
          <w:rFonts w:ascii="Garamond" w:hAnsi="Garamond" w:cs="Arial"/>
          <w:spacing w:val="1"/>
          <w:sz w:val="24"/>
          <w:szCs w:val="24"/>
        </w:rPr>
        <w:t>E</w:t>
      </w:r>
      <w:r w:rsidR="00496CB2" w:rsidRPr="003A1174">
        <w:rPr>
          <w:rFonts w:ascii="Garamond" w:hAnsi="Garamond" w:cs="Arial"/>
          <w:sz w:val="24"/>
          <w:szCs w:val="24"/>
        </w:rPr>
        <w:t>s</w:t>
      </w:r>
      <w:r w:rsidR="00496CB2" w:rsidRPr="003A1174">
        <w:rPr>
          <w:rFonts w:ascii="Garamond" w:hAnsi="Garamond" w:cs="Arial"/>
          <w:spacing w:val="-3"/>
          <w:sz w:val="24"/>
          <w:szCs w:val="24"/>
        </w:rPr>
        <w:t>t</w:t>
      </w:r>
      <w:r w:rsidR="00496CB2" w:rsidRPr="003A1174">
        <w:rPr>
          <w:rFonts w:ascii="Garamond" w:hAnsi="Garamond" w:cs="Arial"/>
          <w:sz w:val="24"/>
          <w:szCs w:val="24"/>
        </w:rPr>
        <w:t>a</w:t>
      </w:r>
      <w:r w:rsidR="00496CB2" w:rsidRPr="003A1174">
        <w:rPr>
          <w:rFonts w:ascii="Garamond" w:hAnsi="Garamond" w:cs="Arial"/>
          <w:spacing w:val="42"/>
          <w:sz w:val="24"/>
          <w:szCs w:val="24"/>
        </w:rPr>
        <w:t xml:space="preserve"> </w:t>
      </w:r>
      <w:r w:rsidR="00496CB2" w:rsidRPr="003A1174">
        <w:rPr>
          <w:rFonts w:ascii="Garamond" w:hAnsi="Garamond" w:cs="Arial"/>
          <w:spacing w:val="8"/>
          <w:sz w:val="24"/>
          <w:szCs w:val="24"/>
        </w:rPr>
        <w:t>m</w:t>
      </w:r>
      <w:r w:rsidR="00496CB2" w:rsidRPr="003A1174">
        <w:rPr>
          <w:rFonts w:ascii="Garamond" w:hAnsi="Garamond" w:cs="Arial"/>
          <w:sz w:val="24"/>
          <w:szCs w:val="24"/>
        </w:rPr>
        <w:t>e</w:t>
      </w:r>
      <w:r w:rsidR="00496CB2" w:rsidRPr="003A1174">
        <w:rPr>
          <w:rFonts w:ascii="Garamond" w:hAnsi="Garamond" w:cs="Arial"/>
          <w:spacing w:val="2"/>
          <w:sz w:val="24"/>
          <w:szCs w:val="24"/>
        </w:rPr>
        <w:t>d</w:t>
      </w:r>
      <w:r w:rsidR="00496CB2" w:rsidRPr="003A1174">
        <w:rPr>
          <w:rFonts w:ascii="Garamond" w:hAnsi="Garamond" w:cs="Arial"/>
          <w:spacing w:val="-6"/>
          <w:sz w:val="24"/>
          <w:szCs w:val="24"/>
        </w:rPr>
        <w:t>i</w:t>
      </w:r>
      <w:r w:rsidR="00496CB2" w:rsidRPr="003A1174">
        <w:rPr>
          <w:rFonts w:ascii="Garamond" w:hAnsi="Garamond" w:cs="Arial"/>
          <w:spacing w:val="2"/>
          <w:sz w:val="24"/>
          <w:szCs w:val="24"/>
        </w:rPr>
        <w:t>d</w:t>
      </w:r>
      <w:r w:rsidR="00496CB2" w:rsidRPr="003A1174">
        <w:rPr>
          <w:rFonts w:ascii="Garamond" w:hAnsi="Garamond" w:cs="Arial"/>
          <w:sz w:val="24"/>
          <w:szCs w:val="24"/>
        </w:rPr>
        <w:t>a</w:t>
      </w:r>
      <w:r w:rsidR="00496CB2" w:rsidRPr="003A1174">
        <w:rPr>
          <w:rFonts w:ascii="Garamond" w:hAnsi="Garamond" w:cs="Arial"/>
          <w:spacing w:val="47"/>
          <w:sz w:val="24"/>
          <w:szCs w:val="24"/>
        </w:rPr>
        <w:t xml:space="preserve"> </w:t>
      </w:r>
      <w:r w:rsidR="00496CB2" w:rsidRPr="003A1174">
        <w:rPr>
          <w:rFonts w:ascii="Garamond" w:hAnsi="Garamond" w:cs="Arial"/>
          <w:spacing w:val="2"/>
          <w:sz w:val="24"/>
          <w:szCs w:val="24"/>
        </w:rPr>
        <w:t>d</w:t>
      </w:r>
      <w:r w:rsidRPr="003A1174">
        <w:rPr>
          <w:rFonts w:ascii="Garamond" w:hAnsi="Garamond" w:cs="Arial"/>
          <w:spacing w:val="2"/>
          <w:sz w:val="24"/>
          <w:szCs w:val="24"/>
        </w:rPr>
        <w:t xml:space="preserve">eu </w:t>
      </w:r>
      <w:r w:rsidR="001B47E3" w:rsidRPr="003A1174">
        <w:rPr>
          <w:rFonts w:ascii="Garamond" w:hAnsi="Garamond" w:cs="Arial"/>
          <w:sz w:val="24"/>
          <w:szCs w:val="24"/>
        </w:rPr>
        <w:t>origem</w:t>
      </w:r>
      <w:r w:rsidR="00496CB2" w:rsidRPr="003A1174">
        <w:rPr>
          <w:rFonts w:ascii="Garamond" w:hAnsi="Garamond" w:cs="Arial"/>
          <w:spacing w:val="49"/>
          <w:sz w:val="24"/>
          <w:szCs w:val="24"/>
        </w:rPr>
        <w:t xml:space="preserve"> </w:t>
      </w:r>
      <w:r w:rsidRPr="003A1174">
        <w:rPr>
          <w:rFonts w:ascii="Garamond" w:hAnsi="Garamond" w:cs="Arial"/>
          <w:spacing w:val="49"/>
          <w:sz w:val="24"/>
          <w:szCs w:val="24"/>
        </w:rPr>
        <w:t xml:space="preserve">à </w:t>
      </w:r>
      <w:r w:rsidR="00D15AFF" w:rsidRPr="003A1174">
        <w:rPr>
          <w:rFonts w:ascii="Garamond" w:hAnsi="Garamond" w:cs="Arial"/>
          <w:spacing w:val="-2"/>
          <w:sz w:val="24"/>
          <w:szCs w:val="24"/>
        </w:rPr>
        <w:t>Lei</w:t>
      </w:r>
      <w:r w:rsidR="00496CB2" w:rsidRPr="003A1174">
        <w:rPr>
          <w:rFonts w:ascii="Garamond" w:hAnsi="Garamond" w:cs="Arial"/>
          <w:spacing w:val="51"/>
          <w:sz w:val="24"/>
          <w:szCs w:val="24"/>
        </w:rPr>
        <w:t xml:space="preserve"> </w:t>
      </w:r>
      <w:r w:rsidR="00496CB2" w:rsidRPr="003A1174">
        <w:rPr>
          <w:rFonts w:ascii="Garamond" w:hAnsi="Garamond" w:cs="Arial"/>
          <w:sz w:val="24"/>
          <w:szCs w:val="24"/>
        </w:rPr>
        <w:t>N</w:t>
      </w:r>
      <w:r w:rsidR="007E771E">
        <w:rPr>
          <w:rFonts w:ascii="Garamond" w:hAnsi="Garamond" w:cs="Arial"/>
          <w:sz w:val="24"/>
          <w:szCs w:val="24"/>
        </w:rPr>
        <w:t>.</w:t>
      </w:r>
      <w:r w:rsidR="001E0A66" w:rsidRPr="003A1174">
        <w:rPr>
          <w:rFonts w:ascii="Garamond" w:hAnsi="Garamond" w:cs="Arial"/>
          <w:sz w:val="24"/>
          <w:szCs w:val="24"/>
        </w:rPr>
        <w:t>°</w:t>
      </w:r>
      <w:r w:rsidR="00496CB2" w:rsidRPr="003A1174">
        <w:rPr>
          <w:rFonts w:ascii="Garamond" w:hAnsi="Garamond" w:cs="Arial"/>
          <w:spacing w:val="45"/>
          <w:sz w:val="24"/>
          <w:szCs w:val="24"/>
        </w:rPr>
        <w:t xml:space="preserve"> </w:t>
      </w:r>
      <w:r w:rsidR="00496CB2" w:rsidRPr="003A1174">
        <w:rPr>
          <w:rFonts w:ascii="Garamond" w:hAnsi="Garamond" w:cs="Arial"/>
          <w:spacing w:val="2"/>
          <w:sz w:val="24"/>
          <w:szCs w:val="24"/>
        </w:rPr>
        <w:t>1</w:t>
      </w:r>
      <w:r w:rsidR="00496CB2" w:rsidRPr="003A1174">
        <w:rPr>
          <w:rFonts w:ascii="Garamond" w:hAnsi="Garamond" w:cs="Arial"/>
          <w:spacing w:val="-3"/>
          <w:sz w:val="24"/>
          <w:szCs w:val="24"/>
        </w:rPr>
        <w:t>9</w:t>
      </w:r>
      <w:r w:rsidR="00496CB2" w:rsidRPr="003A1174">
        <w:rPr>
          <w:rFonts w:ascii="Garamond" w:hAnsi="Garamond" w:cs="Arial"/>
          <w:sz w:val="24"/>
          <w:szCs w:val="24"/>
        </w:rPr>
        <w:t>0</w:t>
      </w:r>
      <w:r w:rsidR="00496CB2" w:rsidRPr="003A1174">
        <w:rPr>
          <w:rFonts w:ascii="Garamond" w:hAnsi="Garamond" w:cs="Arial"/>
          <w:spacing w:val="51"/>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 xml:space="preserve">e </w:t>
      </w:r>
      <w:r w:rsidR="00496CB2" w:rsidRPr="003A1174">
        <w:rPr>
          <w:rFonts w:ascii="Garamond" w:hAnsi="Garamond" w:cs="Arial"/>
          <w:spacing w:val="2"/>
          <w:sz w:val="24"/>
          <w:szCs w:val="24"/>
        </w:rPr>
        <w:t>2</w:t>
      </w:r>
      <w:r w:rsidR="00496CB2" w:rsidRPr="003A1174">
        <w:rPr>
          <w:rFonts w:ascii="Garamond" w:hAnsi="Garamond" w:cs="Arial"/>
          <w:spacing w:val="-3"/>
          <w:sz w:val="24"/>
          <w:szCs w:val="24"/>
        </w:rPr>
        <w:t>00</w:t>
      </w:r>
      <w:r w:rsidR="00496CB2" w:rsidRPr="003A1174">
        <w:rPr>
          <w:rFonts w:ascii="Garamond" w:hAnsi="Garamond" w:cs="Arial"/>
          <w:sz w:val="24"/>
          <w:szCs w:val="24"/>
        </w:rPr>
        <w:t>7</w:t>
      </w:r>
      <w:r w:rsidR="00496CB2" w:rsidRPr="003A1174">
        <w:rPr>
          <w:rFonts w:ascii="Garamond" w:hAnsi="Garamond" w:cs="Arial"/>
          <w:spacing w:val="20"/>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11"/>
          <w:sz w:val="24"/>
          <w:szCs w:val="24"/>
        </w:rPr>
        <w:t xml:space="preserve"> </w:t>
      </w:r>
      <w:r w:rsidR="006B29BF" w:rsidRPr="003A1174">
        <w:rPr>
          <w:rFonts w:ascii="Garamond" w:hAnsi="Garamond" w:cs="Arial"/>
          <w:spacing w:val="-5"/>
          <w:sz w:val="24"/>
          <w:szCs w:val="24"/>
        </w:rPr>
        <w:t>estabeleceu</w:t>
      </w:r>
      <w:r w:rsidR="00496CB2" w:rsidRPr="003A1174">
        <w:rPr>
          <w:rFonts w:ascii="Garamond" w:hAnsi="Garamond" w:cs="Arial"/>
          <w:spacing w:val="10"/>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6"/>
          <w:sz w:val="24"/>
          <w:szCs w:val="24"/>
        </w:rPr>
        <w:t>o</w:t>
      </w:r>
      <w:r w:rsidR="00496CB2" w:rsidRPr="003A1174">
        <w:rPr>
          <w:rFonts w:ascii="Garamond" w:hAnsi="Garamond" w:cs="Arial"/>
          <w:spacing w:val="3"/>
          <w:sz w:val="24"/>
          <w:szCs w:val="24"/>
        </w:rPr>
        <w:t>m</w:t>
      </w:r>
      <w:r w:rsidR="00496CB2" w:rsidRPr="003A1174">
        <w:rPr>
          <w:rFonts w:ascii="Garamond" w:hAnsi="Garamond" w:cs="Arial"/>
          <w:sz w:val="24"/>
          <w:szCs w:val="24"/>
        </w:rPr>
        <w:t>o</w:t>
      </w:r>
      <w:r w:rsidR="00496CB2" w:rsidRPr="003A1174">
        <w:rPr>
          <w:rFonts w:ascii="Garamond" w:hAnsi="Garamond" w:cs="Arial"/>
          <w:spacing w:val="15"/>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1"/>
          <w:sz w:val="24"/>
          <w:szCs w:val="24"/>
        </w:rPr>
        <w:t>lí</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z w:val="24"/>
          <w:szCs w:val="24"/>
        </w:rPr>
        <w:t>ca</w:t>
      </w:r>
      <w:r w:rsidR="00496CB2" w:rsidRPr="003A1174">
        <w:rPr>
          <w:rFonts w:ascii="Garamond" w:hAnsi="Garamond" w:cs="Arial"/>
          <w:spacing w:val="13"/>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3"/>
          <w:sz w:val="24"/>
          <w:szCs w:val="24"/>
        </w:rPr>
        <w:t>ú</w:t>
      </w:r>
      <w:r w:rsidR="00496CB2" w:rsidRPr="003A1174">
        <w:rPr>
          <w:rFonts w:ascii="Garamond" w:hAnsi="Garamond" w:cs="Arial"/>
          <w:spacing w:val="-2"/>
          <w:sz w:val="24"/>
          <w:szCs w:val="24"/>
        </w:rPr>
        <w:t>b</w:t>
      </w:r>
      <w:r w:rsidR="00496CB2" w:rsidRPr="003A1174">
        <w:rPr>
          <w:rFonts w:ascii="Garamond" w:hAnsi="Garamond" w:cs="Arial"/>
          <w:spacing w:val="8"/>
          <w:sz w:val="24"/>
          <w:szCs w:val="24"/>
        </w:rPr>
        <w:t>l</w:t>
      </w:r>
      <w:r w:rsidR="00496CB2" w:rsidRPr="003A1174">
        <w:rPr>
          <w:rFonts w:ascii="Garamond" w:hAnsi="Garamond" w:cs="Arial"/>
          <w:spacing w:val="-6"/>
          <w:sz w:val="24"/>
          <w:szCs w:val="24"/>
        </w:rPr>
        <w:t>i</w:t>
      </w:r>
      <w:r w:rsidR="00496CB2" w:rsidRPr="003A1174">
        <w:rPr>
          <w:rFonts w:ascii="Garamond" w:hAnsi="Garamond" w:cs="Arial"/>
          <w:sz w:val="24"/>
          <w:szCs w:val="24"/>
        </w:rPr>
        <w:t>ca</w:t>
      </w:r>
      <w:r w:rsidR="00496CB2" w:rsidRPr="003A1174">
        <w:rPr>
          <w:rFonts w:ascii="Garamond" w:hAnsi="Garamond" w:cs="Arial"/>
          <w:spacing w:val="13"/>
          <w:sz w:val="24"/>
          <w:szCs w:val="24"/>
        </w:rPr>
        <w:t xml:space="preserve"> </w:t>
      </w:r>
      <w:r w:rsidRPr="003A1174">
        <w:rPr>
          <w:rFonts w:ascii="Garamond" w:hAnsi="Garamond" w:cs="Arial"/>
          <w:spacing w:val="13"/>
          <w:sz w:val="24"/>
          <w:szCs w:val="24"/>
        </w:rPr>
        <w:t>a</w:t>
      </w:r>
      <w:r w:rsidR="00496CB2" w:rsidRPr="003A1174">
        <w:rPr>
          <w:rFonts w:ascii="Garamond" w:hAnsi="Garamond" w:cs="Arial"/>
          <w:spacing w:val="14"/>
          <w:sz w:val="24"/>
          <w:szCs w:val="24"/>
        </w:rPr>
        <w:t xml:space="preserve"> </w:t>
      </w:r>
      <w:r w:rsidR="00A32790" w:rsidRPr="003A1174">
        <w:rPr>
          <w:rFonts w:ascii="Garamond" w:hAnsi="Garamond" w:cs="Arial"/>
          <w:spacing w:val="-3"/>
          <w:sz w:val="24"/>
          <w:szCs w:val="24"/>
        </w:rPr>
        <w:t>discriminação</w:t>
      </w:r>
      <w:r w:rsidR="007E771E">
        <w:rPr>
          <w:rFonts w:ascii="Garamond" w:hAnsi="Garamond" w:cs="Arial"/>
          <w:spacing w:val="-3"/>
          <w:sz w:val="24"/>
          <w:szCs w:val="24"/>
        </w:rPr>
        <w:t>,</w:t>
      </w:r>
      <w:r w:rsidR="00496CB2" w:rsidRPr="003A1174">
        <w:rPr>
          <w:rFonts w:ascii="Garamond" w:hAnsi="Garamond" w:cs="Arial"/>
          <w:spacing w:val="11"/>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or</w:t>
      </w:r>
      <w:r w:rsidR="00496CB2" w:rsidRPr="003A1174">
        <w:rPr>
          <w:rFonts w:ascii="Garamond" w:hAnsi="Garamond" w:cs="Arial"/>
          <w:spacing w:val="11"/>
          <w:sz w:val="24"/>
          <w:szCs w:val="24"/>
        </w:rPr>
        <w:t xml:space="preserve"> </w:t>
      </w:r>
      <w:r w:rsidR="00496CB2" w:rsidRPr="003A1174">
        <w:rPr>
          <w:rFonts w:ascii="Garamond" w:hAnsi="Garamond" w:cs="Arial"/>
          <w:sz w:val="24"/>
          <w:szCs w:val="24"/>
        </w:rPr>
        <w:t>género</w:t>
      </w:r>
      <w:r w:rsidR="007E771E">
        <w:rPr>
          <w:rFonts w:ascii="Garamond" w:hAnsi="Garamond" w:cs="Arial"/>
          <w:sz w:val="24"/>
          <w:szCs w:val="24"/>
        </w:rPr>
        <w:t>,</w:t>
      </w:r>
      <w:r w:rsidR="00496CB2" w:rsidRPr="003A1174">
        <w:rPr>
          <w:rFonts w:ascii="Garamond" w:hAnsi="Garamond" w:cs="Arial"/>
          <w:spacing w:val="10"/>
          <w:sz w:val="24"/>
          <w:szCs w:val="24"/>
        </w:rPr>
        <w:t xml:space="preserve"> </w:t>
      </w:r>
      <w:r w:rsidRPr="003A1174">
        <w:rPr>
          <w:rFonts w:ascii="Garamond" w:hAnsi="Garamond" w:cs="Arial"/>
          <w:spacing w:val="10"/>
          <w:sz w:val="24"/>
          <w:szCs w:val="24"/>
        </w:rPr>
        <w:t xml:space="preserve">na </w:t>
      </w:r>
      <w:r w:rsidRPr="003A1174">
        <w:rPr>
          <w:rFonts w:ascii="Garamond" w:hAnsi="Garamond" w:cs="Arial"/>
          <w:spacing w:val="-3"/>
          <w:sz w:val="24"/>
          <w:szCs w:val="24"/>
        </w:rPr>
        <w:t xml:space="preserve">elaboração e </w:t>
      </w:r>
      <w:r w:rsidR="00964875" w:rsidRPr="003A1174">
        <w:rPr>
          <w:rFonts w:ascii="Garamond" w:hAnsi="Garamond" w:cs="Arial"/>
          <w:spacing w:val="2"/>
          <w:sz w:val="24"/>
          <w:szCs w:val="24"/>
        </w:rPr>
        <w:t>divulgação</w:t>
      </w:r>
      <w:r w:rsidR="00496CB2" w:rsidRPr="003A1174">
        <w:rPr>
          <w:rFonts w:ascii="Garamond" w:hAnsi="Garamond" w:cs="Arial"/>
          <w:spacing w:val="1"/>
          <w:sz w:val="24"/>
          <w:szCs w:val="24"/>
        </w:rPr>
        <w:t xml:space="preserve"> </w:t>
      </w:r>
      <w:r w:rsidR="00497503" w:rsidRPr="003A1174">
        <w:rPr>
          <w:rFonts w:ascii="Garamond" w:hAnsi="Garamond" w:cs="Arial"/>
          <w:spacing w:val="2"/>
          <w:sz w:val="24"/>
          <w:szCs w:val="24"/>
        </w:rPr>
        <w:t>dos</w:t>
      </w:r>
      <w:r w:rsidR="00496CB2" w:rsidRPr="003A1174">
        <w:rPr>
          <w:rFonts w:ascii="Garamond" w:hAnsi="Garamond" w:cs="Arial"/>
          <w:spacing w:val="2"/>
          <w:sz w:val="24"/>
          <w:szCs w:val="24"/>
        </w:rPr>
        <w:t xml:space="preserve"> </w:t>
      </w:r>
      <w:r w:rsidR="00EE7406" w:rsidRPr="003A1174">
        <w:rPr>
          <w:rFonts w:ascii="Garamond" w:hAnsi="Garamond" w:cs="Arial"/>
          <w:spacing w:val="2"/>
          <w:sz w:val="24"/>
          <w:szCs w:val="24"/>
        </w:rPr>
        <w:t>dado</w:t>
      </w:r>
      <w:r w:rsidR="00496CB2" w:rsidRPr="003A1174">
        <w:rPr>
          <w:rFonts w:ascii="Garamond" w:hAnsi="Garamond" w:cs="Arial"/>
          <w:sz w:val="24"/>
          <w:szCs w:val="24"/>
        </w:rPr>
        <w:t>s</w:t>
      </w:r>
      <w:r w:rsidR="00496CB2" w:rsidRPr="003A1174">
        <w:rPr>
          <w:rFonts w:ascii="Garamond" w:hAnsi="Garamond" w:cs="Arial"/>
          <w:spacing w:val="2"/>
          <w:sz w:val="24"/>
          <w:szCs w:val="24"/>
        </w:rPr>
        <w:t xml:space="preserve"> </w:t>
      </w:r>
      <w:r w:rsidR="00D37CF3" w:rsidRPr="003A1174">
        <w:rPr>
          <w:rFonts w:ascii="Garamond" w:hAnsi="Garamond" w:cs="Arial"/>
          <w:sz w:val="24"/>
          <w:szCs w:val="24"/>
        </w:rPr>
        <w:t>estatísticos</w:t>
      </w:r>
      <w:r w:rsidR="00496CB2" w:rsidRPr="003A1174">
        <w:rPr>
          <w:rFonts w:ascii="Garamond" w:hAnsi="Garamond" w:cs="Arial"/>
          <w:spacing w:val="7"/>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3"/>
          <w:sz w:val="24"/>
          <w:szCs w:val="24"/>
        </w:rPr>
        <w:t xml:space="preserve"> </w:t>
      </w:r>
      <w:r w:rsidRPr="003A1174">
        <w:rPr>
          <w:rFonts w:ascii="Garamond" w:hAnsi="Garamond" w:cs="Arial"/>
          <w:sz w:val="24"/>
          <w:szCs w:val="24"/>
        </w:rPr>
        <w:t xml:space="preserve">registam e </w:t>
      </w:r>
      <w:r w:rsidR="00496CB2" w:rsidRPr="003A1174">
        <w:rPr>
          <w:rFonts w:ascii="Garamond" w:hAnsi="Garamond" w:cs="Arial"/>
          <w:spacing w:val="-2"/>
          <w:sz w:val="24"/>
          <w:szCs w:val="24"/>
        </w:rPr>
        <w:t>p</w:t>
      </w:r>
      <w:r w:rsidR="00496CB2" w:rsidRPr="003A1174">
        <w:rPr>
          <w:rFonts w:ascii="Garamond" w:hAnsi="Garamond" w:cs="Arial"/>
          <w:sz w:val="24"/>
          <w:szCs w:val="24"/>
        </w:rPr>
        <w:t>u</w:t>
      </w:r>
      <w:r w:rsidR="00496CB2" w:rsidRPr="003A1174">
        <w:rPr>
          <w:rFonts w:ascii="Garamond" w:hAnsi="Garamond" w:cs="Arial"/>
          <w:spacing w:val="-7"/>
          <w:sz w:val="24"/>
          <w:szCs w:val="24"/>
        </w:rPr>
        <w:t>b</w:t>
      </w:r>
      <w:r w:rsidR="00496CB2" w:rsidRPr="003A1174">
        <w:rPr>
          <w:rFonts w:ascii="Garamond" w:hAnsi="Garamond" w:cs="Arial"/>
          <w:spacing w:val="8"/>
          <w:sz w:val="24"/>
          <w:szCs w:val="24"/>
        </w:rPr>
        <w:t>l</w:t>
      </w:r>
      <w:r w:rsidR="00496CB2" w:rsidRPr="003A1174">
        <w:rPr>
          <w:rFonts w:ascii="Garamond" w:hAnsi="Garamond" w:cs="Arial"/>
          <w:spacing w:val="-6"/>
          <w:sz w:val="24"/>
          <w:szCs w:val="24"/>
        </w:rPr>
        <w:t>i</w:t>
      </w:r>
      <w:r w:rsidR="00496CB2" w:rsidRPr="003A1174">
        <w:rPr>
          <w:rFonts w:ascii="Garamond" w:hAnsi="Garamond" w:cs="Arial"/>
          <w:sz w:val="24"/>
          <w:szCs w:val="24"/>
        </w:rPr>
        <w:t>c</w:t>
      </w:r>
      <w:r w:rsidR="00496CB2" w:rsidRPr="003A1174">
        <w:rPr>
          <w:rFonts w:ascii="Garamond" w:hAnsi="Garamond" w:cs="Arial"/>
          <w:spacing w:val="-2"/>
          <w:sz w:val="24"/>
          <w:szCs w:val="24"/>
        </w:rPr>
        <w:t>a</w:t>
      </w:r>
      <w:r w:rsidRPr="003A1174">
        <w:rPr>
          <w:rFonts w:ascii="Garamond" w:hAnsi="Garamond" w:cs="Arial"/>
          <w:spacing w:val="-2"/>
          <w:sz w:val="24"/>
          <w:szCs w:val="24"/>
        </w:rPr>
        <w:t xml:space="preserve">m </w:t>
      </w:r>
      <w:r w:rsidR="00496CB2" w:rsidRPr="003A1174">
        <w:rPr>
          <w:rFonts w:ascii="Garamond" w:hAnsi="Garamond" w:cs="Arial"/>
          <w:spacing w:val="-6"/>
          <w:sz w:val="24"/>
          <w:szCs w:val="24"/>
        </w:rPr>
        <w:t>o</w:t>
      </w:r>
      <w:r w:rsidR="00496CB2" w:rsidRPr="003A1174">
        <w:rPr>
          <w:rFonts w:ascii="Garamond" w:hAnsi="Garamond" w:cs="Arial"/>
          <w:sz w:val="24"/>
          <w:szCs w:val="24"/>
        </w:rPr>
        <w:t xml:space="preserve">s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2"/>
          <w:sz w:val="24"/>
          <w:szCs w:val="24"/>
        </w:rPr>
        <w:t>pa</w:t>
      </w:r>
      <w:r w:rsidR="00496CB2" w:rsidRPr="003A1174">
        <w:rPr>
          <w:rFonts w:ascii="Garamond" w:hAnsi="Garamond" w:cs="Arial"/>
          <w:sz w:val="24"/>
          <w:szCs w:val="24"/>
        </w:rPr>
        <w:t>r</w:t>
      </w:r>
      <w:r w:rsidR="00496CB2" w:rsidRPr="003A1174">
        <w:rPr>
          <w:rFonts w:ascii="Garamond" w:hAnsi="Garamond" w:cs="Arial"/>
          <w:spacing w:val="-3"/>
          <w:sz w:val="24"/>
          <w:szCs w:val="24"/>
        </w:rPr>
        <w:t>t</w:t>
      </w:r>
      <w:r w:rsidR="00496CB2" w:rsidRPr="003A1174">
        <w:rPr>
          <w:rFonts w:ascii="Garamond" w:hAnsi="Garamond" w:cs="Arial"/>
          <w:spacing w:val="-7"/>
          <w:sz w:val="24"/>
          <w:szCs w:val="24"/>
        </w:rPr>
        <w:t>a</w:t>
      </w:r>
      <w:r w:rsidR="00496CB2" w:rsidRPr="003A1174">
        <w:rPr>
          <w:rFonts w:ascii="Garamond" w:hAnsi="Garamond" w:cs="Arial"/>
          <w:spacing w:val="8"/>
          <w:sz w:val="24"/>
          <w:szCs w:val="24"/>
        </w:rPr>
        <w:t>m</w:t>
      </w:r>
      <w:r w:rsidR="00496CB2" w:rsidRPr="003A1174">
        <w:rPr>
          <w:rFonts w:ascii="Garamond" w:hAnsi="Garamond" w:cs="Arial"/>
          <w:sz w:val="24"/>
          <w:szCs w:val="24"/>
        </w:rPr>
        <w:t>en</w:t>
      </w:r>
      <w:r w:rsidR="00496CB2" w:rsidRPr="003A1174">
        <w:rPr>
          <w:rFonts w:ascii="Garamond" w:hAnsi="Garamond" w:cs="Arial"/>
          <w:spacing w:val="-3"/>
          <w:sz w:val="24"/>
          <w:szCs w:val="24"/>
        </w:rPr>
        <w:t>t</w:t>
      </w:r>
      <w:r w:rsidR="00496CB2" w:rsidRPr="003A1174">
        <w:rPr>
          <w:rFonts w:ascii="Garamond" w:hAnsi="Garamond" w:cs="Arial"/>
          <w:sz w:val="24"/>
          <w:szCs w:val="24"/>
        </w:rPr>
        <w:t>os,</w:t>
      </w:r>
      <w:r w:rsidR="00496CB2" w:rsidRPr="003A1174">
        <w:rPr>
          <w:rFonts w:ascii="Garamond" w:hAnsi="Garamond" w:cs="Arial"/>
          <w:spacing w:val="12"/>
          <w:sz w:val="24"/>
          <w:szCs w:val="24"/>
        </w:rPr>
        <w:t xml:space="preserve"> </w:t>
      </w:r>
      <w:r w:rsidR="00EC2E68" w:rsidRPr="003A1174">
        <w:rPr>
          <w:rFonts w:ascii="Garamond" w:hAnsi="Garamond" w:cs="Arial"/>
          <w:spacing w:val="-2"/>
          <w:sz w:val="24"/>
          <w:szCs w:val="24"/>
        </w:rPr>
        <w:t>agência</w:t>
      </w:r>
      <w:r w:rsidR="00496CB2" w:rsidRPr="003A1174">
        <w:rPr>
          <w:rFonts w:ascii="Garamond" w:hAnsi="Garamond" w:cs="Arial"/>
          <w:sz w:val="24"/>
          <w:szCs w:val="24"/>
        </w:rPr>
        <w:t>s</w:t>
      </w:r>
      <w:r w:rsidR="00496CB2" w:rsidRPr="003A1174">
        <w:rPr>
          <w:rFonts w:ascii="Garamond" w:hAnsi="Garamond" w:cs="Arial"/>
          <w:spacing w:val="11"/>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16"/>
          <w:sz w:val="24"/>
          <w:szCs w:val="24"/>
        </w:rPr>
        <w:t xml:space="preserve"> </w:t>
      </w:r>
      <w:r w:rsidR="0017447A" w:rsidRPr="003A1174">
        <w:rPr>
          <w:rFonts w:ascii="Garamond" w:hAnsi="Garamond" w:cs="Arial"/>
          <w:sz w:val="24"/>
          <w:szCs w:val="24"/>
        </w:rPr>
        <w:t>outras</w:t>
      </w:r>
      <w:r w:rsidR="00496CB2" w:rsidRPr="003A1174">
        <w:rPr>
          <w:rFonts w:ascii="Garamond" w:hAnsi="Garamond" w:cs="Arial"/>
          <w:spacing w:val="16"/>
          <w:sz w:val="24"/>
          <w:szCs w:val="24"/>
        </w:rPr>
        <w:t xml:space="preserve"> </w:t>
      </w:r>
      <w:r w:rsidR="00496CB2" w:rsidRPr="003A1174">
        <w:rPr>
          <w:rFonts w:ascii="Garamond" w:hAnsi="Garamond" w:cs="Arial"/>
          <w:sz w:val="24"/>
          <w:szCs w:val="24"/>
        </w:rPr>
        <w:t>en</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2"/>
          <w:sz w:val="24"/>
          <w:szCs w:val="24"/>
        </w:rPr>
        <w:t>d</w:t>
      </w:r>
      <w:r w:rsidR="00496CB2" w:rsidRPr="003A1174">
        <w:rPr>
          <w:rFonts w:ascii="Garamond" w:hAnsi="Garamond" w:cs="Arial"/>
          <w:spacing w:val="-7"/>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es</w:t>
      </w:r>
      <w:r w:rsidR="00496CB2" w:rsidRPr="003A1174">
        <w:rPr>
          <w:rFonts w:ascii="Garamond" w:hAnsi="Garamond" w:cs="Arial"/>
          <w:spacing w:val="11"/>
          <w:sz w:val="24"/>
          <w:szCs w:val="24"/>
        </w:rPr>
        <w:t xml:space="preserve"> </w:t>
      </w:r>
      <w:r w:rsidR="00100435" w:rsidRPr="003A1174">
        <w:rPr>
          <w:rFonts w:ascii="Garamond" w:hAnsi="Garamond" w:cs="Arial"/>
          <w:sz w:val="24"/>
          <w:szCs w:val="24"/>
        </w:rPr>
        <w:t>governamentais</w:t>
      </w:r>
      <w:r w:rsidR="00496CB2" w:rsidRPr="003A1174">
        <w:rPr>
          <w:rFonts w:ascii="Garamond" w:hAnsi="Garamond" w:cs="Arial"/>
          <w:sz w:val="24"/>
          <w:szCs w:val="24"/>
        </w:rPr>
        <w:t>.</w:t>
      </w:r>
      <w:r w:rsidR="00496CB2" w:rsidRPr="003A1174">
        <w:rPr>
          <w:rFonts w:ascii="Garamond" w:hAnsi="Garamond" w:cs="Arial"/>
          <w:spacing w:val="27"/>
          <w:sz w:val="24"/>
          <w:szCs w:val="24"/>
        </w:rPr>
        <w:t xml:space="preserve"> </w:t>
      </w:r>
      <w:r w:rsidR="00E560D8" w:rsidRPr="003A1174">
        <w:rPr>
          <w:rFonts w:ascii="Garamond" w:hAnsi="Garamond" w:cs="Arial"/>
          <w:spacing w:val="-6"/>
          <w:sz w:val="24"/>
          <w:szCs w:val="24"/>
        </w:rPr>
        <w:t>Além disso</w:t>
      </w:r>
      <w:r w:rsidR="00496CB2" w:rsidRPr="003A1174">
        <w:rPr>
          <w:rFonts w:ascii="Garamond" w:hAnsi="Garamond" w:cs="Arial"/>
          <w:sz w:val="24"/>
          <w:szCs w:val="24"/>
        </w:rPr>
        <w:t>,</w:t>
      </w:r>
      <w:r w:rsidR="00496CB2" w:rsidRPr="003A1174">
        <w:rPr>
          <w:rFonts w:ascii="Garamond" w:hAnsi="Garamond" w:cs="Arial"/>
          <w:spacing w:val="12"/>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pacing w:val="-5"/>
          <w:sz w:val="24"/>
          <w:szCs w:val="24"/>
        </w:rPr>
        <w:t>e</w:t>
      </w:r>
      <w:r w:rsidR="00496CB2" w:rsidRPr="003A1174">
        <w:rPr>
          <w:rFonts w:ascii="Garamond" w:hAnsi="Garamond" w:cs="Arial"/>
          <w:spacing w:val="3"/>
          <w:sz w:val="24"/>
          <w:szCs w:val="24"/>
        </w:rPr>
        <w:t>l</w:t>
      </w:r>
      <w:r w:rsidR="00496CB2" w:rsidRPr="003A1174">
        <w:rPr>
          <w:rFonts w:ascii="Garamond" w:hAnsi="Garamond" w:cs="Arial"/>
          <w:sz w:val="24"/>
          <w:szCs w:val="24"/>
        </w:rPr>
        <w:t>ega</w:t>
      </w:r>
      <w:r w:rsidR="00496CB2" w:rsidRPr="003A1174">
        <w:rPr>
          <w:rFonts w:ascii="Garamond" w:hAnsi="Garamond" w:cs="Arial"/>
          <w:spacing w:val="13"/>
          <w:sz w:val="24"/>
          <w:szCs w:val="24"/>
        </w:rPr>
        <w:t xml:space="preserve"> </w:t>
      </w:r>
      <w:r w:rsidRPr="003A1174">
        <w:rPr>
          <w:rFonts w:ascii="Garamond" w:hAnsi="Garamond" w:cs="Arial"/>
          <w:spacing w:val="13"/>
          <w:sz w:val="24"/>
          <w:szCs w:val="24"/>
        </w:rPr>
        <w:t xml:space="preserve">no </w:t>
      </w:r>
      <w:r w:rsidR="00496CB2" w:rsidRPr="003A1174">
        <w:rPr>
          <w:rFonts w:ascii="Garamond" w:hAnsi="Garamond" w:cs="Arial"/>
          <w:spacing w:val="2"/>
          <w:sz w:val="24"/>
          <w:szCs w:val="24"/>
        </w:rPr>
        <w:t>I</w:t>
      </w:r>
      <w:r w:rsidR="00496CB2" w:rsidRPr="003A1174">
        <w:rPr>
          <w:rFonts w:ascii="Garamond" w:hAnsi="Garamond" w:cs="Arial"/>
          <w:sz w:val="24"/>
          <w:szCs w:val="24"/>
        </w:rPr>
        <w:t>ns</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o</w:t>
      </w:r>
      <w:r w:rsidR="00496CB2" w:rsidRPr="003A1174">
        <w:rPr>
          <w:rFonts w:ascii="Garamond" w:hAnsi="Garamond" w:cs="Arial"/>
          <w:spacing w:val="38"/>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35"/>
          <w:sz w:val="24"/>
          <w:szCs w:val="24"/>
        </w:rPr>
        <w:t xml:space="preserve"> </w:t>
      </w:r>
      <w:r w:rsidR="00190B59" w:rsidRPr="003A1174">
        <w:rPr>
          <w:rFonts w:ascii="Garamond" w:hAnsi="Garamond" w:cs="Arial"/>
          <w:spacing w:val="1"/>
          <w:sz w:val="24"/>
          <w:szCs w:val="24"/>
        </w:rPr>
        <w:t>Estatísticas</w:t>
      </w:r>
      <w:r w:rsidR="00496CB2" w:rsidRPr="003A1174">
        <w:rPr>
          <w:rFonts w:ascii="Garamond" w:hAnsi="Garamond" w:cs="Arial"/>
          <w:spacing w:val="40"/>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e</w:t>
      </w:r>
      <w:r w:rsidR="00496CB2" w:rsidRPr="003A1174">
        <w:rPr>
          <w:rFonts w:ascii="Garamond" w:hAnsi="Garamond" w:cs="Arial"/>
          <w:spacing w:val="40"/>
          <w:sz w:val="24"/>
          <w:szCs w:val="24"/>
        </w:rPr>
        <w:t xml:space="preserve"> </w:t>
      </w:r>
      <w:r w:rsidR="0017447A" w:rsidRPr="003A1174">
        <w:rPr>
          <w:rFonts w:ascii="Garamond" w:hAnsi="Garamond" w:cs="Arial"/>
          <w:spacing w:val="-2"/>
          <w:sz w:val="24"/>
          <w:szCs w:val="24"/>
        </w:rPr>
        <w:t>Porto</w:t>
      </w:r>
      <w:r w:rsidR="00496CB2" w:rsidRPr="003A1174">
        <w:rPr>
          <w:rFonts w:ascii="Garamond" w:hAnsi="Garamond" w:cs="Arial"/>
          <w:spacing w:val="34"/>
          <w:sz w:val="24"/>
          <w:szCs w:val="24"/>
        </w:rPr>
        <w:t xml:space="preserve"> </w:t>
      </w:r>
      <w:r w:rsidR="00496CB2" w:rsidRPr="003A1174">
        <w:rPr>
          <w:rFonts w:ascii="Garamond" w:hAnsi="Garamond" w:cs="Arial"/>
          <w:sz w:val="24"/>
          <w:szCs w:val="24"/>
        </w:rPr>
        <w:t>Rico,</w:t>
      </w:r>
      <w:r w:rsidR="00496CB2" w:rsidRPr="003A1174">
        <w:rPr>
          <w:rFonts w:ascii="Garamond" w:hAnsi="Garamond" w:cs="Arial"/>
          <w:spacing w:val="36"/>
          <w:sz w:val="24"/>
          <w:szCs w:val="24"/>
        </w:rPr>
        <w:t xml:space="preserve"> </w:t>
      </w:r>
      <w:r w:rsidR="00496CB2" w:rsidRPr="003A1174">
        <w:rPr>
          <w:rFonts w:ascii="Garamond" w:hAnsi="Garamond" w:cs="Arial"/>
          <w:sz w:val="24"/>
          <w:szCs w:val="24"/>
        </w:rPr>
        <w:t>cr</w:t>
      </w:r>
      <w:r w:rsidRPr="003A1174">
        <w:rPr>
          <w:rFonts w:ascii="Garamond" w:hAnsi="Garamond" w:cs="Arial"/>
          <w:sz w:val="24"/>
          <w:szCs w:val="24"/>
        </w:rPr>
        <w:t>i</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o</w:t>
      </w:r>
      <w:r w:rsidR="00496CB2" w:rsidRPr="003A1174">
        <w:rPr>
          <w:rFonts w:ascii="Garamond" w:hAnsi="Garamond" w:cs="Arial"/>
          <w:spacing w:val="34"/>
          <w:sz w:val="24"/>
          <w:szCs w:val="24"/>
        </w:rPr>
        <w:t xml:space="preserve"> </w:t>
      </w:r>
      <w:r w:rsidRPr="003A1174">
        <w:rPr>
          <w:rFonts w:ascii="Garamond" w:hAnsi="Garamond" w:cs="Arial"/>
          <w:spacing w:val="34"/>
          <w:sz w:val="24"/>
          <w:szCs w:val="24"/>
        </w:rPr>
        <w:t xml:space="preserve">através da </w:t>
      </w:r>
      <w:r w:rsidR="00D15AFF" w:rsidRPr="003A1174">
        <w:rPr>
          <w:rFonts w:ascii="Garamond" w:hAnsi="Garamond" w:cs="Arial"/>
          <w:spacing w:val="-6"/>
          <w:sz w:val="24"/>
          <w:szCs w:val="24"/>
        </w:rPr>
        <w:t>Lei</w:t>
      </w:r>
      <w:r w:rsidR="00496CB2" w:rsidRPr="003A1174">
        <w:rPr>
          <w:rFonts w:ascii="Garamond" w:hAnsi="Garamond" w:cs="Arial"/>
          <w:spacing w:val="37"/>
          <w:sz w:val="24"/>
          <w:szCs w:val="24"/>
        </w:rPr>
        <w:t xml:space="preserve"> </w:t>
      </w:r>
      <w:r w:rsidR="00496CB2" w:rsidRPr="003A1174">
        <w:rPr>
          <w:rFonts w:ascii="Garamond" w:hAnsi="Garamond" w:cs="Arial"/>
          <w:sz w:val="24"/>
          <w:szCs w:val="24"/>
        </w:rPr>
        <w:t>N</w:t>
      </w:r>
      <w:r w:rsidR="007E771E">
        <w:rPr>
          <w:rFonts w:ascii="Garamond" w:hAnsi="Garamond" w:cs="Arial"/>
          <w:sz w:val="24"/>
          <w:szCs w:val="24"/>
        </w:rPr>
        <w:t>.º</w:t>
      </w:r>
      <w:r w:rsidR="00496CB2" w:rsidRPr="003A1174">
        <w:rPr>
          <w:rFonts w:ascii="Garamond" w:hAnsi="Garamond" w:cs="Arial"/>
          <w:spacing w:val="36"/>
          <w:sz w:val="24"/>
          <w:szCs w:val="24"/>
        </w:rPr>
        <w:t xml:space="preserve"> </w:t>
      </w:r>
      <w:r w:rsidR="00496CB2" w:rsidRPr="003A1174">
        <w:rPr>
          <w:rFonts w:ascii="Garamond" w:hAnsi="Garamond" w:cs="Arial"/>
          <w:spacing w:val="-3"/>
          <w:sz w:val="24"/>
          <w:szCs w:val="24"/>
        </w:rPr>
        <w:t>2</w:t>
      </w:r>
      <w:r w:rsidR="00496CB2" w:rsidRPr="003A1174">
        <w:rPr>
          <w:rFonts w:ascii="Garamond" w:hAnsi="Garamond" w:cs="Arial"/>
          <w:spacing w:val="2"/>
          <w:sz w:val="24"/>
          <w:szCs w:val="24"/>
        </w:rPr>
        <w:t>0</w:t>
      </w:r>
      <w:r w:rsidR="00496CB2" w:rsidRPr="003A1174">
        <w:rPr>
          <w:rFonts w:ascii="Garamond" w:hAnsi="Garamond" w:cs="Arial"/>
          <w:sz w:val="24"/>
          <w:szCs w:val="24"/>
        </w:rPr>
        <w:t>9</w:t>
      </w:r>
      <w:r w:rsidR="00496CB2" w:rsidRPr="003A1174">
        <w:rPr>
          <w:rFonts w:ascii="Garamond" w:hAnsi="Garamond" w:cs="Arial"/>
          <w:spacing w:val="32"/>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35"/>
          <w:sz w:val="24"/>
          <w:szCs w:val="24"/>
        </w:rPr>
        <w:t xml:space="preserve"> </w:t>
      </w:r>
      <w:r w:rsidR="00496CB2" w:rsidRPr="003A1174">
        <w:rPr>
          <w:rFonts w:ascii="Garamond" w:hAnsi="Garamond" w:cs="Arial"/>
          <w:spacing w:val="-3"/>
          <w:sz w:val="24"/>
          <w:szCs w:val="24"/>
        </w:rPr>
        <w:t>2</w:t>
      </w:r>
      <w:r w:rsidR="00496CB2" w:rsidRPr="003A1174">
        <w:rPr>
          <w:rFonts w:ascii="Garamond" w:hAnsi="Garamond" w:cs="Arial"/>
          <w:spacing w:val="2"/>
          <w:sz w:val="24"/>
          <w:szCs w:val="24"/>
        </w:rPr>
        <w:t>0</w:t>
      </w:r>
      <w:r w:rsidR="00496CB2" w:rsidRPr="003A1174">
        <w:rPr>
          <w:rFonts w:ascii="Garamond" w:hAnsi="Garamond" w:cs="Arial"/>
          <w:spacing w:val="-3"/>
          <w:sz w:val="24"/>
          <w:szCs w:val="24"/>
        </w:rPr>
        <w:t>0</w:t>
      </w:r>
      <w:r w:rsidR="00496CB2" w:rsidRPr="003A1174">
        <w:rPr>
          <w:rFonts w:ascii="Garamond" w:hAnsi="Garamond" w:cs="Arial"/>
          <w:spacing w:val="2"/>
          <w:sz w:val="24"/>
          <w:szCs w:val="24"/>
        </w:rPr>
        <w:t>3</w:t>
      </w:r>
      <w:r w:rsidR="00496CB2" w:rsidRPr="003A1174">
        <w:rPr>
          <w:rFonts w:ascii="Garamond" w:hAnsi="Garamond" w:cs="Arial"/>
          <w:sz w:val="24"/>
          <w:szCs w:val="24"/>
        </w:rPr>
        <w:t>,</w:t>
      </w:r>
      <w:r w:rsidR="00496CB2" w:rsidRPr="003A1174">
        <w:rPr>
          <w:rFonts w:ascii="Garamond" w:hAnsi="Garamond" w:cs="Arial"/>
          <w:spacing w:val="26"/>
          <w:sz w:val="24"/>
          <w:szCs w:val="24"/>
        </w:rPr>
        <w:t xml:space="preserve"> </w:t>
      </w:r>
      <w:r w:rsidR="00A41573" w:rsidRPr="003A1174">
        <w:rPr>
          <w:rFonts w:ascii="Garamond" w:hAnsi="Garamond" w:cs="Arial"/>
          <w:sz w:val="24"/>
          <w:szCs w:val="24"/>
        </w:rPr>
        <w:t>conhecid</w:t>
      </w:r>
      <w:r w:rsidR="00496CB2" w:rsidRPr="003A1174">
        <w:rPr>
          <w:rFonts w:ascii="Garamond" w:hAnsi="Garamond" w:cs="Arial"/>
          <w:sz w:val="24"/>
          <w:szCs w:val="24"/>
        </w:rPr>
        <w:t>a</w:t>
      </w:r>
      <w:r w:rsidR="00496CB2" w:rsidRPr="003A1174">
        <w:rPr>
          <w:rFonts w:ascii="Garamond" w:hAnsi="Garamond" w:cs="Arial"/>
          <w:spacing w:val="23"/>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6"/>
          <w:sz w:val="24"/>
          <w:szCs w:val="24"/>
        </w:rPr>
        <w:t>o</w:t>
      </w:r>
      <w:r w:rsidR="00496CB2" w:rsidRPr="003A1174">
        <w:rPr>
          <w:rFonts w:ascii="Garamond" w:hAnsi="Garamond" w:cs="Arial"/>
          <w:spacing w:val="3"/>
          <w:sz w:val="24"/>
          <w:szCs w:val="24"/>
        </w:rPr>
        <w:t>m</w:t>
      </w:r>
      <w:r w:rsidR="00496CB2" w:rsidRPr="003A1174">
        <w:rPr>
          <w:rFonts w:ascii="Garamond" w:hAnsi="Garamond" w:cs="Arial"/>
          <w:sz w:val="24"/>
          <w:szCs w:val="24"/>
        </w:rPr>
        <w:t>o</w:t>
      </w:r>
      <w:r w:rsidR="00496CB2" w:rsidRPr="003A1174">
        <w:rPr>
          <w:rFonts w:ascii="Garamond" w:hAnsi="Garamond" w:cs="Arial"/>
          <w:spacing w:val="29"/>
          <w:sz w:val="24"/>
          <w:szCs w:val="24"/>
        </w:rPr>
        <w:t xml:space="preserve"> </w:t>
      </w:r>
      <w:r w:rsidR="007E771E">
        <w:rPr>
          <w:rFonts w:ascii="Garamond" w:hAnsi="Garamond" w:cs="Arial"/>
          <w:sz w:val="24"/>
          <w:szCs w:val="24"/>
        </w:rPr>
        <w:t>«</w:t>
      </w:r>
      <w:r w:rsidR="00D15AFF" w:rsidRPr="003A1174">
        <w:rPr>
          <w:rFonts w:ascii="Garamond" w:hAnsi="Garamond" w:cs="Arial"/>
          <w:spacing w:val="-2"/>
          <w:sz w:val="24"/>
          <w:szCs w:val="24"/>
        </w:rPr>
        <w:t>Lei</w:t>
      </w:r>
      <w:r w:rsidR="00496CB2" w:rsidRPr="003A1174">
        <w:rPr>
          <w:rFonts w:ascii="Garamond" w:hAnsi="Garamond" w:cs="Arial"/>
          <w:spacing w:val="26"/>
          <w:sz w:val="24"/>
          <w:szCs w:val="24"/>
        </w:rPr>
        <w:t xml:space="preserve"> </w:t>
      </w:r>
      <w:r w:rsidR="00E85E59" w:rsidRPr="003A1174">
        <w:rPr>
          <w:rFonts w:ascii="Garamond" w:hAnsi="Garamond" w:cs="Arial"/>
          <w:spacing w:val="2"/>
          <w:sz w:val="24"/>
          <w:szCs w:val="24"/>
        </w:rPr>
        <w:t>do</w:t>
      </w:r>
      <w:r w:rsidR="00496CB2" w:rsidRPr="003A1174">
        <w:rPr>
          <w:rFonts w:ascii="Garamond" w:hAnsi="Garamond" w:cs="Arial"/>
          <w:spacing w:val="28"/>
          <w:sz w:val="24"/>
          <w:szCs w:val="24"/>
        </w:rPr>
        <w:t xml:space="preserve"> </w:t>
      </w:r>
      <w:r w:rsidR="00496CB2" w:rsidRPr="003A1174">
        <w:rPr>
          <w:rFonts w:ascii="Garamond" w:hAnsi="Garamond" w:cs="Arial"/>
          <w:spacing w:val="2"/>
          <w:sz w:val="24"/>
          <w:szCs w:val="24"/>
        </w:rPr>
        <w:t>I</w:t>
      </w:r>
      <w:r w:rsidR="00496CB2" w:rsidRPr="003A1174">
        <w:rPr>
          <w:rFonts w:ascii="Garamond" w:hAnsi="Garamond" w:cs="Arial"/>
          <w:spacing w:val="-6"/>
          <w:sz w:val="24"/>
          <w:szCs w:val="24"/>
        </w:rPr>
        <w:t>n</w:t>
      </w:r>
      <w:r w:rsidR="00496CB2" w:rsidRPr="003A1174">
        <w:rPr>
          <w:rFonts w:ascii="Garamond" w:hAnsi="Garamond" w:cs="Arial"/>
          <w:sz w:val="24"/>
          <w:szCs w:val="24"/>
        </w:rPr>
        <w:t>s</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o</w:t>
      </w:r>
      <w:r w:rsidR="00496CB2" w:rsidRPr="003A1174">
        <w:rPr>
          <w:rFonts w:ascii="Garamond" w:hAnsi="Garamond" w:cs="Arial"/>
          <w:spacing w:val="29"/>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29"/>
          <w:sz w:val="24"/>
          <w:szCs w:val="24"/>
        </w:rPr>
        <w:t xml:space="preserve"> </w:t>
      </w:r>
      <w:r w:rsidR="00190B59" w:rsidRPr="003A1174">
        <w:rPr>
          <w:rFonts w:ascii="Garamond" w:hAnsi="Garamond" w:cs="Arial"/>
          <w:spacing w:val="1"/>
          <w:sz w:val="24"/>
          <w:szCs w:val="24"/>
        </w:rPr>
        <w:t>Estatísticas</w:t>
      </w:r>
      <w:r w:rsidR="00496CB2" w:rsidRPr="003A1174">
        <w:rPr>
          <w:rFonts w:ascii="Garamond" w:hAnsi="Garamond" w:cs="Arial"/>
          <w:spacing w:val="25"/>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25"/>
          <w:sz w:val="24"/>
          <w:szCs w:val="24"/>
        </w:rPr>
        <w:t xml:space="preserve"> </w:t>
      </w:r>
      <w:r w:rsidR="0017447A" w:rsidRPr="003A1174">
        <w:rPr>
          <w:rFonts w:ascii="Garamond" w:hAnsi="Garamond" w:cs="Arial"/>
          <w:spacing w:val="-2"/>
          <w:sz w:val="24"/>
          <w:szCs w:val="24"/>
        </w:rPr>
        <w:t>Porto</w:t>
      </w:r>
      <w:r w:rsidR="00496CB2" w:rsidRPr="003A1174">
        <w:rPr>
          <w:rFonts w:ascii="Garamond" w:hAnsi="Garamond" w:cs="Arial"/>
          <w:spacing w:val="29"/>
          <w:sz w:val="24"/>
          <w:szCs w:val="24"/>
        </w:rPr>
        <w:t xml:space="preserve"> </w:t>
      </w:r>
      <w:r w:rsidR="00496CB2" w:rsidRPr="003A1174">
        <w:rPr>
          <w:rFonts w:ascii="Garamond" w:hAnsi="Garamond" w:cs="Arial"/>
          <w:sz w:val="24"/>
          <w:szCs w:val="24"/>
        </w:rPr>
        <w:t>R</w:t>
      </w:r>
      <w:r w:rsidR="00496CB2" w:rsidRPr="003A1174">
        <w:rPr>
          <w:rFonts w:ascii="Garamond" w:hAnsi="Garamond" w:cs="Arial"/>
          <w:spacing w:val="-6"/>
          <w:sz w:val="24"/>
          <w:szCs w:val="24"/>
        </w:rPr>
        <w:t>i</w:t>
      </w:r>
      <w:r w:rsidR="00496CB2" w:rsidRPr="003A1174">
        <w:rPr>
          <w:rFonts w:ascii="Garamond" w:hAnsi="Garamond" w:cs="Arial"/>
          <w:sz w:val="24"/>
          <w:szCs w:val="24"/>
        </w:rPr>
        <w:t>co</w:t>
      </w:r>
      <w:r w:rsidR="007E771E">
        <w:rPr>
          <w:rFonts w:ascii="Garamond" w:hAnsi="Garamond" w:cs="Arial"/>
          <w:sz w:val="24"/>
          <w:szCs w:val="24"/>
        </w:rPr>
        <w:t>»</w:t>
      </w:r>
      <w:r w:rsidR="00496CB2" w:rsidRPr="003A1174">
        <w:rPr>
          <w:rFonts w:ascii="Garamond" w:hAnsi="Garamond" w:cs="Arial"/>
          <w:sz w:val="24"/>
          <w:szCs w:val="24"/>
        </w:rPr>
        <w:t>,</w:t>
      </w:r>
      <w:r w:rsidR="00496CB2" w:rsidRPr="003A1174">
        <w:rPr>
          <w:rFonts w:ascii="Garamond" w:hAnsi="Garamond" w:cs="Arial"/>
          <w:spacing w:val="21"/>
          <w:sz w:val="24"/>
          <w:szCs w:val="24"/>
        </w:rPr>
        <w:t xml:space="preserve"> </w:t>
      </w:r>
      <w:r w:rsidR="00496CB2" w:rsidRPr="003A1174">
        <w:rPr>
          <w:rFonts w:ascii="Garamond" w:hAnsi="Garamond" w:cs="Arial"/>
          <w:sz w:val="24"/>
          <w:szCs w:val="24"/>
        </w:rPr>
        <w:t xml:space="preserve">a </w:t>
      </w:r>
      <w:r w:rsidR="006D0543" w:rsidRPr="003A1174">
        <w:rPr>
          <w:rFonts w:ascii="Garamond" w:hAnsi="Garamond" w:cs="Arial"/>
          <w:sz w:val="24"/>
          <w:szCs w:val="24"/>
        </w:rPr>
        <w:t>responsabilidade</w:t>
      </w:r>
      <w:r w:rsidR="00496CB2" w:rsidRPr="003A1174">
        <w:rPr>
          <w:rFonts w:ascii="Garamond" w:hAnsi="Garamond" w:cs="Arial"/>
          <w:spacing w:val="-2"/>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1"/>
          <w:sz w:val="24"/>
          <w:szCs w:val="24"/>
        </w:rPr>
        <w:t xml:space="preserve"> </w:t>
      </w:r>
      <w:r w:rsidR="00FC4A4E" w:rsidRPr="003A1174">
        <w:rPr>
          <w:rFonts w:ascii="Garamond" w:hAnsi="Garamond" w:cs="Arial"/>
          <w:sz w:val="24"/>
          <w:szCs w:val="24"/>
        </w:rPr>
        <w:t>coordenar</w:t>
      </w:r>
      <w:r w:rsidR="00496CB2" w:rsidRPr="003A1174">
        <w:rPr>
          <w:rFonts w:ascii="Garamond" w:hAnsi="Garamond" w:cs="Arial"/>
          <w:sz w:val="24"/>
          <w:szCs w:val="24"/>
        </w:rPr>
        <w:t>,</w:t>
      </w:r>
      <w:r w:rsidR="00496CB2" w:rsidRPr="003A1174">
        <w:rPr>
          <w:rFonts w:ascii="Garamond" w:hAnsi="Garamond" w:cs="Arial"/>
          <w:spacing w:val="-3"/>
          <w:sz w:val="24"/>
          <w:szCs w:val="24"/>
        </w:rPr>
        <w:t xml:space="preserve"> </w:t>
      </w:r>
      <w:r w:rsidR="00496CB2" w:rsidRPr="003A1174">
        <w:rPr>
          <w:rFonts w:ascii="Garamond" w:hAnsi="Garamond" w:cs="Arial"/>
          <w:sz w:val="24"/>
          <w:szCs w:val="24"/>
        </w:rPr>
        <w:t>re</w:t>
      </w:r>
      <w:r w:rsidR="00496CB2" w:rsidRPr="003A1174">
        <w:rPr>
          <w:rFonts w:ascii="Garamond" w:hAnsi="Garamond" w:cs="Arial"/>
          <w:spacing w:val="2"/>
          <w:sz w:val="24"/>
          <w:szCs w:val="24"/>
        </w:rPr>
        <w:t>v</w:t>
      </w:r>
      <w:r w:rsidRPr="003A1174">
        <w:rPr>
          <w:rFonts w:ascii="Garamond" w:hAnsi="Garamond" w:cs="Arial"/>
          <w:spacing w:val="2"/>
          <w:sz w:val="24"/>
          <w:szCs w:val="24"/>
        </w:rPr>
        <w:t>e</w:t>
      </w:r>
      <w:r w:rsidR="00496CB2" w:rsidRPr="003A1174">
        <w:rPr>
          <w:rFonts w:ascii="Garamond" w:hAnsi="Garamond" w:cs="Arial"/>
          <w:sz w:val="24"/>
          <w:szCs w:val="24"/>
        </w:rPr>
        <w:t>r,</w:t>
      </w:r>
      <w:r w:rsidR="00496CB2" w:rsidRPr="003A1174">
        <w:rPr>
          <w:rFonts w:ascii="Garamond" w:hAnsi="Garamond" w:cs="Arial"/>
          <w:spacing w:val="-3"/>
          <w:sz w:val="24"/>
          <w:szCs w:val="24"/>
        </w:rPr>
        <w:t xml:space="preserve"> </w:t>
      </w:r>
      <w:r w:rsidR="00496CB2" w:rsidRPr="003A1174">
        <w:rPr>
          <w:rFonts w:ascii="Garamond" w:hAnsi="Garamond" w:cs="Arial"/>
          <w:sz w:val="24"/>
          <w:szCs w:val="24"/>
        </w:rPr>
        <w:t>or</w:t>
      </w:r>
      <w:r w:rsidR="00496CB2" w:rsidRPr="003A1174">
        <w:rPr>
          <w:rFonts w:ascii="Garamond" w:hAnsi="Garamond" w:cs="Arial"/>
          <w:spacing w:val="-1"/>
          <w:sz w:val="24"/>
          <w:szCs w:val="24"/>
        </w:rPr>
        <w:t>i</w:t>
      </w:r>
      <w:r w:rsidR="00496CB2" w:rsidRPr="003A1174">
        <w:rPr>
          <w:rFonts w:ascii="Garamond" w:hAnsi="Garamond" w:cs="Arial"/>
          <w:sz w:val="24"/>
          <w:szCs w:val="24"/>
        </w:rPr>
        <w:t>en</w:t>
      </w:r>
      <w:r w:rsidR="00496CB2" w:rsidRPr="003A1174">
        <w:rPr>
          <w:rFonts w:ascii="Garamond" w:hAnsi="Garamond" w:cs="Arial"/>
          <w:spacing w:val="-3"/>
          <w:sz w:val="24"/>
          <w:szCs w:val="24"/>
        </w:rPr>
        <w:t>t</w:t>
      </w:r>
      <w:r w:rsidR="00496CB2" w:rsidRPr="003A1174">
        <w:rPr>
          <w:rFonts w:ascii="Garamond" w:hAnsi="Garamond" w:cs="Arial"/>
          <w:spacing w:val="-2"/>
          <w:sz w:val="24"/>
          <w:szCs w:val="24"/>
        </w:rPr>
        <w:t>a</w:t>
      </w:r>
      <w:r w:rsidR="00496CB2" w:rsidRPr="003A1174">
        <w:rPr>
          <w:rFonts w:ascii="Garamond" w:hAnsi="Garamond" w:cs="Arial"/>
          <w:sz w:val="24"/>
          <w:szCs w:val="24"/>
        </w:rPr>
        <w:t>r</w:t>
      </w:r>
      <w:r w:rsidR="00496CB2" w:rsidRPr="003A1174">
        <w:rPr>
          <w:rFonts w:ascii="Garamond" w:hAnsi="Garamond" w:cs="Arial"/>
          <w:spacing w:val="1"/>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2"/>
          <w:sz w:val="24"/>
          <w:szCs w:val="24"/>
        </w:rPr>
        <w:t xml:space="preserve"> </w:t>
      </w:r>
      <w:r w:rsidR="00496CB2" w:rsidRPr="003A1174">
        <w:rPr>
          <w:rFonts w:ascii="Garamond" w:hAnsi="Garamond" w:cs="Arial"/>
          <w:spacing w:val="-2"/>
          <w:sz w:val="24"/>
          <w:szCs w:val="24"/>
        </w:rPr>
        <w:t>a</w:t>
      </w:r>
      <w:r w:rsidRPr="003A1174">
        <w:rPr>
          <w:rFonts w:ascii="Garamond" w:hAnsi="Garamond" w:cs="Arial"/>
          <w:spacing w:val="-2"/>
          <w:sz w:val="24"/>
          <w:szCs w:val="24"/>
        </w:rPr>
        <w:t>s</w:t>
      </w:r>
      <w:r w:rsidR="00496CB2" w:rsidRPr="003A1174">
        <w:rPr>
          <w:rFonts w:ascii="Garamond" w:hAnsi="Garamond" w:cs="Arial"/>
          <w:sz w:val="24"/>
          <w:szCs w:val="24"/>
        </w:rPr>
        <w:t>s</w:t>
      </w:r>
      <w:r w:rsidR="00496CB2" w:rsidRPr="003A1174">
        <w:rPr>
          <w:rFonts w:ascii="Garamond" w:hAnsi="Garamond" w:cs="Arial"/>
          <w:spacing w:val="-1"/>
          <w:sz w:val="24"/>
          <w:szCs w:val="24"/>
        </w:rPr>
        <w:t>i</w:t>
      </w:r>
      <w:r w:rsidR="00496CB2" w:rsidRPr="003A1174">
        <w:rPr>
          <w:rFonts w:ascii="Garamond" w:hAnsi="Garamond" w:cs="Arial"/>
          <w:sz w:val="24"/>
          <w:szCs w:val="24"/>
        </w:rPr>
        <w:t>s</w:t>
      </w:r>
      <w:r w:rsidR="00496CB2" w:rsidRPr="003A1174">
        <w:rPr>
          <w:rFonts w:ascii="Garamond" w:hAnsi="Garamond" w:cs="Arial"/>
          <w:spacing w:val="4"/>
          <w:sz w:val="24"/>
          <w:szCs w:val="24"/>
        </w:rPr>
        <w:t>t</w:t>
      </w:r>
      <w:r w:rsidR="00496CB2" w:rsidRPr="003A1174">
        <w:rPr>
          <w:rFonts w:ascii="Garamond" w:hAnsi="Garamond" w:cs="Arial"/>
          <w:spacing w:val="-1"/>
          <w:sz w:val="24"/>
          <w:szCs w:val="24"/>
        </w:rPr>
        <w:t>i</w:t>
      </w:r>
      <w:r w:rsidR="00496CB2" w:rsidRPr="003A1174">
        <w:rPr>
          <w:rFonts w:ascii="Garamond" w:hAnsi="Garamond" w:cs="Arial"/>
          <w:sz w:val="24"/>
          <w:szCs w:val="24"/>
        </w:rPr>
        <w:t>r</w:t>
      </w:r>
      <w:r w:rsidR="00496CB2" w:rsidRPr="003A1174">
        <w:rPr>
          <w:rFonts w:ascii="Garamond" w:hAnsi="Garamond" w:cs="Arial"/>
          <w:spacing w:val="1"/>
          <w:sz w:val="24"/>
          <w:szCs w:val="24"/>
        </w:rPr>
        <w:t xml:space="preserve"> </w:t>
      </w:r>
      <w:r w:rsidR="00BB2B00" w:rsidRPr="003A1174">
        <w:rPr>
          <w:rFonts w:ascii="Garamond" w:hAnsi="Garamond" w:cs="Arial"/>
          <w:sz w:val="24"/>
          <w:szCs w:val="24"/>
        </w:rPr>
        <w:t>à</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6CB2" w:rsidRPr="003A1174">
        <w:rPr>
          <w:rFonts w:ascii="Garamond" w:hAnsi="Garamond" w:cs="Arial"/>
          <w:sz w:val="24"/>
          <w:szCs w:val="24"/>
        </w:rPr>
        <w:t>en</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2"/>
          <w:sz w:val="24"/>
          <w:szCs w:val="24"/>
        </w:rPr>
        <w:t>d</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pacing w:val="-5"/>
          <w:sz w:val="24"/>
          <w:szCs w:val="24"/>
        </w:rPr>
        <w:t>e</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100435" w:rsidRPr="003A1174">
        <w:rPr>
          <w:rFonts w:ascii="Garamond" w:hAnsi="Garamond" w:cs="Arial"/>
          <w:sz w:val="24"/>
          <w:szCs w:val="24"/>
        </w:rPr>
        <w:t>governamentais</w:t>
      </w:r>
      <w:r w:rsidR="00496CB2" w:rsidRPr="003A1174">
        <w:rPr>
          <w:rFonts w:ascii="Garamond" w:hAnsi="Garamond" w:cs="Arial"/>
          <w:sz w:val="24"/>
          <w:szCs w:val="24"/>
        </w:rPr>
        <w:t xml:space="preserve"> </w:t>
      </w:r>
      <w:r w:rsidRPr="003A1174">
        <w:rPr>
          <w:rFonts w:ascii="Garamond" w:hAnsi="Garamond" w:cs="Arial"/>
          <w:sz w:val="24"/>
          <w:szCs w:val="24"/>
        </w:rPr>
        <w:t xml:space="preserve">no </w:t>
      </w:r>
      <w:r w:rsidR="00D96FD0" w:rsidRPr="003A1174">
        <w:rPr>
          <w:rFonts w:ascii="Garamond" w:hAnsi="Garamond" w:cs="Arial"/>
          <w:sz w:val="24"/>
          <w:szCs w:val="24"/>
        </w:rPr>
        <w:t>cumprimento</w:t>
      </w:r>
      <w:r w:rsidR="00496CB2" w:rsidRPr="003A1174">
        <w:rPr>
          <w:rFonts w:ascii="Garamond" w:hAnsi="Garamond" w:cs="Arial"/>
          <w:spacing w:val="19"/>
          <w:sz w:val="24"/>
          <w:szCs w:val="24"/>
        </w:rPr>
        <w:t xml:space="preserve"> </w:t>
      </w:r>
      <w:r w:rsidRPr="003A1174">
        <w:rPr>
          <w:rFonts w:ascii="Garamond" w:hAnsi="Garamond" w:cs="Arial"/>
          <w:spacing w:val="19"/>
          <w:sz w:val="24"/>
          <w:szCs w:val="24"/>
        </w:rPr>
        <w:t>d</w:t>
      </w:r>
      <w:r w:rsidR="00496CB2" w:rsidRPr="003A1174">
        <w:rPr>
          <w:rFonts w:ascii="Garamond" w:hAnsi="Garamond" w:cs="Arial"/>
          <w:spacing w:val="-5"/>
          <w:sz w:val="24"/>
          <w:szCs w:val="24"/>
        </w:rPr>
        <w:t>e</w:t>
      </w:r>
      <w:r w:rsidR="00496CB2" w:rsidRPr="003A1174">
        <w:rPr>
          <w:rFonts w:ascii="Garamond" w:hAnsi="Garamond" w:cs="Arial"/>
          <w:sz w:val="24"/>
          <w:szCs w:val="24"/>
        </w:rPr>
        <w:t>s</w:t>
      </w:r>
      <w:r w:rsidR="00496CB2" w:rsidRPr="003A1174">
        <w:rPr>
          <w:rFonts w:ascii="Garamond" w:hAnsi="Garamond" w:cs="Arial"/>
          <w:spacing w:val="-3"/>
          <w:sz w:val="24"/>
          <w:szCs w:val="24"/>
        </w:rPr>
        <w:t>t</w:t>
      </w:r>
      <w:r w:rsidR="00496CB2" w:rsidRPr="003A1174">
        <w:rPr>
          <w:rFonts w:ascii="Garamond" w:hAnsi="Garamond" w:cs="Arial"/>
          <w:sz w:val="24"/>
          <w:szCs w:val="24"/>
        </w:rPr>
        <w:t>a</w:t>
      </w:r>
      <w:r w:rsidR="00496CB2" w:rsidRPr="003A1174">
        <w:rPr>
          <w:rFonts w:ascii="Garamond" w:hAnsi="Garamond" w:cs="Arial"/>
          <w:spacing w:val="18"/>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3"/>
          <w:sz w:val="24"/>
          <w:szCs w:val="24"/>
        </w:rPr>
        <w:t>l</w:t>
      </w:r>
      <w:r w:rsidR="00496CB2" w:rsidRPr="003A1174">
        <w:rPr>
          <w:rFonts w:ascii="Garamond" w:hAnsi="Garamond" w:cs="Arial"/>
          <w:spacing w:val="8"/>
          <w:sz w:val="24"/>
          <w:szCs w:val="24"/>
        </w:rPr>
        <w:t>í</w:t>
      </w:r>
      <w:r w:rsidR="00496CB2" w:rsidRPr="003A1174">
        <w:rPr>
          <w:rFonts w:ascii="Garamond" w:hAnsi="Garamond" w:cs="Arial"/>
          <w:spacing w:val="-3"/>
          <w:sz w:val="24"/>
          <w:szCs w:val="24"/>
        </w:rPr>
        <w:t>t</w:t>
      </w:r>
      <w:r w:rsidR="00496CB2" w:rsidRPr="003A1174">
        <w:rPr>
          <w:rFonts w:ascii="Garamond" w:hAnsi="Garamond" w:cs="Arial"/>
          <w:spacing w:val="-6"/>
          <w:sz w:val="24"/>
          <w:szCs w:val="24"/>
        </w:rPr>
        <w:t>i</w:t>
      </w:r>
      <w:r w:rsidR="00496CB2" w:rsidRPr="003A1174">
        <w:rPr>
          <w:rFonts w:ascii="Garamond" w:hAnsi="Garamond" w:cs="Arial"/>
          <w:sz w:val="24"/>
          <w:szCs w:val="24"/>
        </w:rPr>
        <w:t>ca</w:t>
      </w:r>
      <w:r w:rsidR="00496CB2" w:rsidRPr="003A1174">
        <w:rPr>
          <w:rFonts w:ascii="Garamond" w:hAnsi="Garamond" w:cs="Arial"/>
          <w:spacing w:val="18"/>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ú</w:t>
      </w:r>
      <w:r w:rsidR="00496CB2" w:rsidRPr="003A1174">
        <w:rPr>
          <w:rFonts w:ascii="Garamond" w:hAnsi="Garamond" w:cs="Arial"/>
          <w:spacing w:val="-7"/>
          <w:sz w:val="24"/>
          <w:szCs w:val="24"/>
        </w:rPr>
        <w:t>b</w:t>
      </w:r>
      <w:r w:rsidR="00496CB2" w:rsidRPr="003A1174">
        <w:rPr>
          <w:rFonts w:ascii="Garamond" w:hAnsi="Garamond" w:cs="Arial"/>
          <w:spacing w:val="8"/>
          <w:sz w:val="24"/>
          <w:szCs w:val="24"/>
        </w:rPr>
        <w:t>l</w:t>
      </w:r>
      <w:r w:rsidR="00496CB2" w:rsidRPr="003A1174">
        <w:rPr>
          <w:rFonts w:ascii="Garamond" w:hAnsi="Garamond" w:cs="Arial"/>
          <w:spacing w:val="-6"/>
          <w:sz w:val="24"/>
          <w:szCs w:val="24"/>
        </w:rPr>
        <w:t>i</w:t>
      </w:r>
      <w:r w:rsidR="00496CB2" w:rsidRPr="003A1174">
        <w:rPr>
          <w:rFonts w:ascii="Garamond" w:hAnsi="Garamond" w:cs="Arial"/>
          <w:sz w:val="24"/>
          <w:szCs w:val="24"/>
        </w:rPr>
        <w:t>ca</w:t>
      </w:r>
      <w:r w:rsidR="00496CB2" w:rsidRPr="003A1174">
        <w:rPr>
          <w:rFonts w:ascii="Garamond" w:hAnsi="Garamond" w:cs="Arial"/>
          <w:spacing w:val="18"/>
          <w:sz w:val="24"/>
          <w:szCs w:val="24"/>
        </w:rPr>
        <w:t xml:space="preserve"> </w:t>
      </w:r>
      <w:r w:rsidR="00496CB2" w:rsidRPr="003A1174">
        <w:rPr>
          <w:rFonts w:ascii="Garamond" w:hAnsi="Garamond" w:cs="Arial"/>
          <w:spacing w:val="-3"/>
          <w:sz w:val="24"/>
          <w:szCs w:val="24"/>
        </w:rPr>
        <w:t>d</w:t>
      </w:r>
      <w:r w:rsidR="00496CB2" w:rsidRPr="003A1174">
        <w:rPr>
          <w:rFonts w:ascii="Garamond" w:hAnsi="Garamond" w:cs="Arial"/>
          <w:sz w:val="24"/>
          <w:szCs w:val="24"/>
        </w:rPr>
        <w:t>e</w:t>
      </w:r>
      <w:r w:rsidR="00496CB2" w:rsidRPr="003A1174">
        <w:rPr>
          <w:rFonts w:ascii="Garamond" w:hAnsi="Garamond" w:cs="Arial"/>
          <w:spacing w:val="21"/>
          <w:sz w:val="24"/>
          <w:szCs w:val="24"/>
        </w:rPr>
        <w:t xml:space="preserve"> </w:t>
      </w:r>
      <w:r w:rsidRPr="003A1174">
        <w:rPr>
          <w:rFonts w:ascii="Garamond" w:hAnsi="Garamond" w:cs="Arial"/>
          <w:spacing w:val="21"/>
          <w:sz w:val="24"/>
          <w:szCs w:val="24"/>
        </w:rPr>
        <w:t xml:space="preserve">elaboração </w:t>
      </w:r>
      <w:r w:rsidR="000672E8" w:rsidRPr="003A1174">
        <w:rPr>
          <w:rFonts w:ascii="Garamond" w:hAnsi="Garamond" w:cs="Arial"/>
          <w:sz w:val="24"/>
          <w:szCs w:val="24"/>
        </w:rPr>
        <w:t>e</w:t>
      </w:r>
      <w:r w:rsidR="00496CB2" w:rsidRPr="003A1174">
        <w:rPr>
          <w:rFonts w:ascii="Garamond" w:hAnsi="Garamond" w:cs="Arial"/>
          <w:spacing w:val="12"/>
          <w:sz w:val="24"/>
          <w:szCs w:val="24"/>
        </w:rPr>
        <w:t xml:space="preserve"> </w:t>
      </w:r>
      <w:r w:rsidR="00964875" w:rsidRPr="003A1174">
        <w:rPr>
          <w:rFonts w:ascii="Garamond" w:hAnsi="Garamond" w:cs="Arial"/>
          <w:spacing w:val="2"/>
          <w:sz w:val="24"/>
          <w:szCs w:val="24"/>
        </w:rPr>
        <w:t>divulgação</w:t>
      </w:r>
      <w:r w:rsidR="007E771E">
        <w:rPr>
          <w:rFonts w:ascii="Garamond" w:hAnsi="Garamond" w:cs="Arial"/>
          <w:spacing w:val="2"/>
          <w:sz w:val="24"/>
          <w:szCs w:val="24"/>
        </w:rPr>
        <w:t>,</w:t>
      </w:r>
      <w:r w:rsidR="00496CB2" w:rsidRPr="003A1174">
        <w:rPr>
          <w:rFonts w:ascii="Garamond" w:hAnsi="Garamond" w:cs="Arial"/>
          <w:spacing w:val="14"/>
          <w:sz w:val="24"/>
          <w:szCs w:val="24"/>
        </w:rPr>
        <w:t xml:space="preserve"> </w:t>
      </w:r>
      <w:r w:rsidRPr="003A1174">
        <w:rPr>
          <w:rFonts w:ascii="Garamond" w:hAnsi="Garamond" w:cs="Arial"/>
          <w:spacing w:val="-3"/>
          <w:sz w:val="24"/>
          <w:szCs w:val="24"/>
        </w:rPr>
        <w:t>separada</w:t>
      </w:r>
      <w:r w:rsidR="00496CB2" w:rsidRPr="003A1174">
        <w:rPr>
          <w:rFonts w:ascii="Garamond" w:hAnsi="Garamond" w:cs="Arial"/>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or género,</w:t>
      </w:r>
      <w:r w:rsidR="00496CB2" w:rsidRPr="003A1174">
        <w:rPr>
          <w:rFonts w:ascii="Garamond" w:hAnsi="Garamond" w:cs="Arial"/>
          <w:spacing w:val="-3"/>
          <w:sz w:val="24"/>
          <w:szCs w:val="24"/>
        </w:rPr>
        <w:t xml:space="preserve"> </w:t>
      </w:r>
      <w:r w:rsidR="00BB2B00" w:rsidRPr="003A1174">
        <w:rPr>
          <w:rFonts w:ascii="Garamond" w:hAnsi="Garamond" w:cs="Arial"/>
          <w:sz w:val="24"/>
          <w:szCs w:val="24"/>
        </w:rPr>
        <w:t>à</w:t>
      </w:r>
      <w:r w:rsidR="00496CB2" w:rsidRPr="003A1174">
        <w:rPr>
          <w:rFonts w:ascii="Garamond" w:hAnsi="Garamond" w:cs="Arial"/>
          <w:sz w:val="24"/>
          <w:szCs w:val="24"/>
        </w:rPr>
        <w:t>s</w:t>
      </w:r>
      <w:r w:rsidR="00496CB2" w:rsidRPr="003A1174">
        <w:rPr>
          <w:rFonts w:ascii="Garamond" w:hAnsi="Garamond" w:cs="Arial"/>
          <w:spacing w:val="-3"/>
          <w:sz w:val="24"/>
          <w:szCs w:val="24"/>
        </w:rPr>
        <w:t xml:space="preserve"> </w:t>
      </w:r>
      <w:r w:rsidR="00EC2E68" w:rsidRPr="003A1174">
        <w:rPr>
          <w:rFonts w:ascii="Garamond" w:hAnsi="Garamond" w:cs="Arial"/>
          <w:spacing w:val="-2"/>
          <w:sz w:val="24"/>
          <w:szCs w:val="24"/>
        </w:rPr>
        <w:t>agência</w:t>
      </w:r>
      <w:r w:rsidR="00496CB2" w:rsidRPr="003A1174">
        <w:rPr>
          <w:rFonts w:ascii="Garamond" w:hAnsi="Garamond" w:cs="Arial"/>
          <w:sz w:val="24"/>
          <w:szCs w:val="24"/>
        </w:rPr>
        <w:t>s</w:t>
      </w:r>
      <w:r w:rsidR="00496CB2" w:rsidRPr="003A1174">
        <w:rPr>
          <w:rFonts w:ascii="Garamond" w:hAnsi="Garamond" w:cs="Arial"/>
          <w:spacing w:val="1"/>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4"/>
          <w:sz w:val="24"/>
          <w:szCs w:val="24"/>
        </w:rPr>
        <w:t xml:space="preserve"> </w:t>
      </w:r>
      <w:r w:rsidR="000464C8" w:rsidRPr="003A1174">
        <w:rPr>
          <w:rFonts w:ascii="Garamond" w:hAnsi="Garamond" w:cs="Arial"/>
          <w:spacing w:val="-2"/>
          <w:sz w:val="24"/>
          <w:szCs w:val="24"/>
        </w:rPr>
        <w:t>assim</w:t>
      </w:r>
      <w:r w:rsidR="00496CB2" w:rsidRPr="003A1174">
        <w:rPr>
          <w:rFonts w:ascii="Garamond" w:hAnsi="Garamond" w:cs="Arial"/>
          <w:sz w:val="24"/>
          <w:szCs w:val="24"/>
        </w:rPr>
        <w:t xml:space="preserve"> o n</w:t>
      </w:r>
      <w:r w:rsidR="00496CB2" w:rsidRPr="003A1174">
        <w:rPr>
          <w:rFonts w:ascii="Garamond" w:hAnsi="Garamond" w:cs="Arial"/>
          <w:spacing w:val="-4"/>
          <w:sz w:val="24"/>
          <w:szCs w:val="24"/>
        </w:rPr>
        <w:t>e</w:t>
      </w:r>
      <w:r w:rsidR="00496CB2" w:rsidRPr="003A1174">
        <w:rPr>
          <w:rFonts w:ascii="Garamond" w:hAnsi="Garamond" w:cs="Arial"/>
          <w:sz w:val="24"/>
          <w:szCs w:val="24"/>
        </w:rPr>
        <w:t>ce</w:t>
      </w:r>
      <w:r w:rsidRPr="003A1174">
        <w:rPr>
          <w:rFonts w:ascii="Garamond" w:hAnsi="Garamond" w:cs="Arial"/>
          <w:sz w:val="24"/>
          <w:szCs w:val="24"/>
        </w:rPr>
        <w:t>s</w:t>
      </w:r>
      <w:r w:rsidR="00496CB2" w:rsidRPr="003A1174">
        <w:rPr>
          <w:rFonts w:ascii="Garamond" w:hAnsi="Garamond" w:cs="Arial"/>
          <w:sz w:val="24"/>
          <w:szCs w:val="24"/>
        </w:rPr>
        <w:t>s</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e</w:t>
      </w:r>
      <w:r w:rsidRPr="003A1174">
        <w:rPr>
          <w:rFonts w:ascii="Garamond" w:hAnsi="Garamond" w:cs="Arial"/>
          <w:sz w:val="24"/>
          <w:szCs w:val="24"/>
        </w:rPr>
        <w:t>m</w:t>
      </w:r>
      <w:r w:rsidR="00496CB2" w:rsidRPr="003A1174">
        <w:rPr>
          <w:rFonts w:ascii="Garamond" w:hAnsi="Garamond" w:cs="Arial"/>
          <w:spacing w:val="2"/>
          <w:sz w:val="24"/>
          <w:szCs w:val="24"/>
        </w:rPr>
        <w:t xml:space="preserve">. </w:t>
      </w:r>
      <w:r w:rsidRPr="003A1174">
        <w:rPr>
          <w:rFonts w:ascii="Garamond" w:hAnsi="Garamond" w:cs="Arial"/>
          <w:spacing w:val="2"/>
          <w:sz w:val="24"/>
          <w:szCs w:val="24"/>
        </w:rPr>
        <w:t xml:space="preserve">A </w:t>
      </w:r>
      <w:r w:rsidR="00D15AFF" w:rsidRPr="003A1174">
        <w:rPr>
          <w:rFonts w:ascii="Garamond" w:hAnsi="Garamond" w:cs="Arial"/>
          <w:spacing w:val="-2"/>
          <w:sz w:val="24"/>
          <w:szCs w:val="24"/>
        </w:rPr>
        <w:t>Lei</w:t>
      </w:r>
      <w:r w:rsidR="00496CB2" w:rsidRPr="003A1174">
        <w:rPr>
          <w:rFonts w:ascii="Garamond" w:hAnsi="Garamond" w:cs="Arial"/>
          <w:spacing w:val="-12"/>
          <w:sz w:val="24"/>
          <w:szCs w:val="24"/>
        </w:rPr>
        <w:t xml:space="preserve"> </w:t>
      </w:r>
      <w:r w:rsidR="00496CB2" w:rsidRPr="003A1174">
        <w:rPr>
          <w:rFonts w:ascii="Garamond" w:hAnsi="Garamond" w:cs="Arial"/>
          <w:sz w:val="24"/>
          <w:szCs w:val="24"/>
        </w:rPr>
        <w:t>N</w:t>
      </w:r>
      <w:r w:rsidR="007E771E">
        <w:rPr>
          <w:rFonts w:ascii="Garamond" w:hAnsi="Garamond" w:cs="Arial"/>
          <w:sz w:val="24"/>
          <w:szCs w:val="24"/>
        </w:rPr>
        <w:t>.</w:t>
      </w:r>
      <w:r w:rsidR="001E0A66" w:rsidRPr="003A1174">
        <w:rPr>
          <w:rFonts w:ascii="Garamond" w:hAnsi="Garamond" w:cs="Arial"/>
          <w:sz w:val="24"/>
          <w:szCs w:val="24"/>
        </w:rPr>
        <w:t>°</w:t>
      </w:r>
      <w:r w:rsidR="00496CB2" w:rsidRPr="003A1174">
        <w:rPr>
          <w:rFonts w:ascii="Garamond" w:hAnsi="Garamond" w:cs="Arial"/>
          <w:spacing w:val="-17"/>
          <w:sz w:val="24"/>
          <w:szCs w:val="24"/>
        </w:rPr>
        <w:t xml:space="preserve"> </w:t>
      </w:r>
      <w:r w:rsidR="00496CB2" w:rsidRPr="003A1174">
        <w:rPr>
          <w:rFonts w:ascii="Garamond" w:hAnsi="Garamond" w:cs="Arial"/>
          <w:spacing w:val="-3"/>
          <w:sz w:val="24"/>
          <w:szCs w:val="24"/>
        </w:rPr>
        <w:t>19</w:t>
      </w:r>
      <w:r w:rsidR="00496CB2" w:rsidRPr="003A1174">
        <w:rPr>
          <w:rFonts w:ascii="Garamond" w:hAnsi="Garamond" w:cs="Arial"/>
          <w:sz w:val="24"/>
          <w:szCs w:val="24"/>
        </w:rPr>
        <w:t>0</w:t>
      </w:r>
      <w:r w:rsidR="00496CB2" w:rsidRPr="003A1174">
        <w:rPr>
          <w:rFonts w:ascii="Garamond" w:hAnsi="Garamond" w:cs="Arial"/>
          <w:spacing w:val="-17"/>
          <w:sz w:val="24"/>
          <w:szCs w:val="24"/>
        </w:rPr>
        <w:t xml:space="preserve"> </w:t>
      </w:r>
      <w:r w:rsidR="007E771E">
        <w:rPr>
          <w:rFonts w:ascii="Garamond" w:hAnsi="Garamond" w:cs="Arial"/>
          <w:spacing w:val="-16"/>
          <w:sz w:val="24"/>
          <w:szCs w:val="24"/>
        </w:rPr>
        <w:t xml:space="preserve">determina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18"/>
          <w:sz w:val="24"/>
          <w:szCs w:val="24"/>
        </w:rPr>
        <w:t xml:space="preserve"> </w:t>
      </w:r>
      <w:r w:rsidR="00496CB2" w:rsidRPr="003A1174">
        <w:rPr>
          <w:rFonts w:ascii="Garamond" w:hAnsi="Garamond" w:cs="Arial"/>
          <w:sz w:val="24"/>
          <w:szCs w:val="24"/>
        </w:rPr>
        <w:t>c</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a</w:t>
      </w:r>
      <w:r w:rsidR="00496CB2" w:rsidRPr="003A1174">
        <w:rPr>
          <w:rFonts w:ascii="Garamond" w:hAnsi="Garamond" w:cs="Arial"/>
          <w:spacing w:val="-20"/>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2"/>
          <w:sz w:val="24"/>
          <w:szCs w:val="24"/>
        </w:rPr>
        <w:t>pa</w:t>
      </w:r>
      <w:r w:rsidR="00496CB2" w:rsidRPr="003A1174">
        <w:rPr>
          <w:rFonts w:ascii="Garamond" w:hAnsi="Garamond" w:cs="Arial"/>
          <w:sz w:val="24"/>
          <w:szCs w:val="24"/>
        </w:rPr>
        <w:t>r</w:t>
      </w:r>
      <w:r w:rsidR="00496CB2" w:rsidRPr="003A1174">
        <w:rPr>
          <w:rFonts w:ascii="Garamond" w:hAnsi="Garamond" w:cs="Arial"/>
          <w:spacing w:val="-3"/>
          <w:sz w:val="24"/>
          <w:szCs w:val="24"/>
        </w:rPr>
        <w:t>t</w:t>
      </w:r>
      <w:r w:rsidR="00496CB2" w:rsidRPr="003A1174">
        <w:rPr>
          <w:rFonts w:ascii="Garamond" w:hAnsi="Garamond" w:cs="Arial"/>
          <w:spacing w:val="-7"/>
          <w:sz w:val="24"/>
          <w:szCs w:val="24"/>
        </w:rPr>
        <w:t>a</w:t>
      </w:r>
      <w:r w:rsidR="00496CB2" w:rsidRPr="003A1174">
        <w:rPr>
          <w:rFonts w:ascii="Garamond" w:hAnsi="Garamond" w:cs="Arial"/>
          <w:spacing w:val="8"/>
          <w:sz w:val="24"/>
          <w:szCs w:val="24"/>
        </w:rPr>
        <w:t>m</w:t>
      </w:r>
      <w:r w:rsidR="00496CB2" w:rsidRPr="003A1174">
        <w:rPr>
          <w:rFonts w:ascii="Garamond" w:hAnsi="Garamond" w:cs="Arial"/>
          <w:sz w:val="24"/>
          <w:szCs w:val="24"/>
        </w:rPr>
        <w:t>en</w:t>
      </w:r>
      <w:r w:rsidR="00496CB2" w:rsidRPr="003A1174">
        <w:rPr>
          <w:rFonts w:ascii="Garamond" w:hAnsi="Garamond" w:cs="Arial"/>
          <w:spacing w:val="-3"/>
          <w:sz w:val="24"/>
          <w:szCs w:val="24"/>
        </w:rPr>
        <w:t>t</w:t>
      </w:r>
      <w:r w:rsidR="00496CB2" w:rsidRPr="003A1174">
        <w:rPr>
          <w:rFonts w:ascii="Garamond" w:hAnsi="Garamond" w:cs="Arial"/>
          <w:sz w:val="24"/>
          <w:szCs w:val="24"/>
        </w:rPr>
        <w:t>o,</w:t>
      </w:r>
      <w:r w:rsidR="00496CB2" w:rsidRPr="003A1174">
        <w:rPr>
          <w:rFonts w:ascii="Garamond" w:hAnsi="Garamond" w:cs="Arial"/>
          <w:spacing w:val="-18"/>
          <w:sz w:val="24"/>
          <w:szCs w:val="24"/>
        </w:rPr>
        <w:t xml:space="preserve"> </w:t>
      </w:r>
      <w:r w:rsidR="00EC2E68" w:rsidRPr="003A1174">
        <w:rPr>
          <w:rFonts w:ascii="Garamond" w:hAnsi="Garamond" w:cs="Arial"/>
          <w:spacing w:val="-2"/>
          <w:sz w:val="24"/>
          <w:szCs w:val="24"/>
        </w:rPr>
        <w:t>agência</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pacing w:val="-2"/>
          <w:sz w:val="24"/>
          <w:szCs w:val="24"/>
        </w:rPr>
        <w:t xml:space="preserve"> </w:t>
      </w:r>
      <w:r w:rsidR="00A862C2" w:rsidRPr="003A1174">
        <w:rPr>
          <w:rFonts w:ascii="Garamond" w:hAnsi="Garamond" w:cs="Arial"/>
          <w:sz w:val="24"/>
          <w:szCs w:val="24"/>
        </w:rPr>
        <w:t>entidade</w:t>
      </w:r>
      <w:r w:rsidR="00496CB2" w:rsidRPr="003A1174">
        <w:rPr>
          <w:rFonts w:ascii="Garamond" w:hAnsi="Garamond" w:cs="Arial"/>
          <w:spacing w:val="-6"/>
          <w:sz w:val="24"/>
          <w:szCs w:val="24"/>
        </w:rPr>
        <w:t xml:space="preserve"> </w:t>
      </w:r>
      <w:r w:rsidR="00100435" w:rsidRPr="003A1174">
        <w:rPr>
          <w:rFonts w:ascii="Garamond" w:hAnsi="Garamond" w:cs="Arial"/>
          <w:sz w:val="24"/>
          <w:szCs w:val="24"/>
        </w:rPr>
        <w:t>governamental</w:t>
      </w:r>
      <w:r w:rsidR="00496CB2" w:rsidRPr="003A1174">
        <w:rPr>
          <w:rFonts w:ascii="Garamond" w:hAnsi="Garamond" w:cs="Arial"/>
          <w:spacing w:val="5"/>
          <w:sz w:val="24"/>
          <w:szCs w:val="24"/>
        </w:rPr>
        <w:t xml:space="preserve"> </w:t>
      </w:r>
      <w:r w:rsidR="007E771E">
        <w:rPr>
          <w:rFonts w:ascii="Garamond" w:hAnsi="Garamond" w:cs="Arial"/>
          <w:spacing w:val="5"/>
          <w:sz w:val="24"/>
          <w:szCs w:val="24"/>
        </w:rPr>
        <w:t xml:space="preserve">deverá </w:t>
      </w:r>
      <w:r w:rsidR="00496CB2" w:rsidRPr="003A1174">
        <w:rPr>
          <w:rFonts w:ascii="Garamond" w:hAnsi="Garamond" w:cs="Arial"/>
          <w:sz w:val="24"/>
          <w:szCs w:val="24"/>
        </w:rPr>
        <w:t>n</w:t>
      </w:r>
      <w:r w:rsidR="00496CB2" w:rsidRPr="003A1174">
        <w:rPr>
          <w:rFonts w:ascii="Garamond" w:hAnsi="Garamond" w:cs="Arial"/>
          <w:spacing w:val="-6"/>
          <w:sz w:val="24"/>
          <w:szCs w:val="24"/>
        </w:rPr>
        <w:t>o</w:t>
      </w:r>
      <w:r w:rsidR="00496CB2" w:rsidRPr="003A1174">
        <w:rPr>
          <w:rFonts w:ascii="Garamond" w:hAnsi="Garamond" w:cs="Arial"/>
          <w:spacing w:val="3"/>
          <w:sz w:val="24"/>
          <w:szCs w:val="24"/>
        </w:rPr>
        <w:t>m</w:t>
      </w:r>
      <w:r w:rsidRPr="003A1174">
        <w:rPr>
          <w:rFonts w:ascii="Garamond" w:hAnsi="Garamond" w:cs="Arial"/>
          <w:spacing w:val="3"/>
          <w:sz w:val="24"/>
          <w:szCs w:val="24"/>
        </w:rPr>
        <w:t>e</w:t>
      </w:r>
      <w:r w:rsidR="00496CB2" w:rsidRPr="003A1174">
        <w:rPr>
          <w:rFonts w:ascii="Garamond" w:hAnsi="Garamond" w:cs="Arial"/>
          <w:spacing w:val="-2"/>
          <w:sz w:val="24"/>
          <w:szCs w:val="24"/>
        </w:rPr>
        <w:t>a</w:t>
      </w:r>
      <w:r w:rsidR="00496CB2" w:rsidRPr="003A1174">
        <w:rPr>
          <w:rFonts w:ascii="Garamond" w:hAnsi="Garamond" w:cs="Arial"/>
          <w:sz w:val="24"/>
          <w:szCs w:val="24"/>
        </w:rPr>
        <w:t>r</w:t>
      </w:r>
      <w:r w:rsidR="00496CB2" w:rsidRPr="003A1174">
        <w:rPr>
          <w:rFonts w:ascii="Garamond" w:hAnsi="Garamond" w:cs="Arial"/>
          <w:spacing w:val="-6"/>
          <w:sz w:val="24"/>
          <w:szCs w:val="24"/>
        </w:rPr>
        <w:t xml:space="preserve"> </w:t>
      </w:r>
      <w:r w:rsidRPr="003A1174">
        <w:rPr>
          <w:rFonts w:ascii="Garamond" w:hAnsi="Garamond" w:cs="Arial"/>
          <w:sz w:val="24"/>
          <w:szCs w:val="24"/>
        </w:rPr>
        <w:t>um</w:t>
      </w:r>
      <w:r w:rsidR="00344875">
        <w:rPr>
          <w:rFonts w:ascii="Garamond" w:hAnsi="Garamond" w:cs="Arial"/>
          <w:spacing w:val="-2"/>
          <w:sz w:val="24"/>
          <w:szCs w:val="24"/>
        </w:rPr>
        <w:t xml:space="preserve"> representante</w:t>
      </w:r>
      <w:r w:rsidRPr="003A1174">
        <w:rPr>
          <w:rFonts w:ascii="Garamond" w:hAnsi="Garamond" w:cs="Arial"/>
          <w:spacing w:val="-2"/>
          <w:sz w:val="24"/>
          <w:szCs w:val="24"/>
        </w:rPr>
        <w:t xml:space="preserve"> que fará a ligação</w:t>
      </w:r>
      <w:r w:rsidR="00344875">
        <w:rPr>
          <w:rFonts w:ascii="Garamond" w:hAnsi="Garamond" w:cs="Arial"/>
          <w:spacing w:val="-2"/>
          <w:sz w:val="24"/>
          <w:szCs w:val="24"/>
        </w:rPr>
        <w:t>,</w:t>
      </w:r>
      <w:r w:rsidRPr="003A1174">
        <w:rPr>
          <w:rFonts w:ascii="Garamond" w:hAnsi="Garamond" w:cs="Arial"/>
          <w:spacing w:val="-2"/>
          <w:sz w:val="24"/>
          <w:szCs w:val="24"/>
        </w:rPr>
        <w:t xml:space="preserve"> </w:t>
      </w:r>
      <w:r w:rsidR="00344875">
        <w:rPr>
          <w:rFonts w:ascii="Garamond" w:hAnsi="Garamond" w:cs="Arial"/>
          <w:spacing w:val="-6"/>
          <w:sz w:val="24"/>
          <w:szCs w:val="24"/>
        </w:rPr>
        <w:t xml:space="preserve">em </w:t>
      </w:r>
      <w:r w:rsidR="00FC4A4E" w:rsidRPr="003A1174">
        <w:rPr>
          <w:rFonts w:ascii="Garamond" w:hAnsi="Garamond" w:cs="Arial"/>
          <w:sz w:val="24"/>
          <w:szCs w:val="24"/>
        </w:rPr>
        <w:t>coordena</w:t>
      </w:r>
      <w:r w:rsidR="007E771E">
        <w:rPr>
          <w:rFonts w:ascii="Garamond" w:hAnsi="Garamond" w:cs="Arial"/>
          <w:sz w:val="24"/>
          <w:szCs w:val="24"/>
        </w:rPr>
        <w:t>ção</w:t>
      </w:r>
      <w:r w:rsidR="00496CB2" w:rsidRPr="003A1174">
        <w:rPr>
          <w:rFonts w:ascii="Garamond" w:hAnsi="Garamond" w:cs="Arial"/>
          <w:spacing w:val="-8"/>
          <w:sz w:val="24"/>
          <w:szCs w:val="24"/>
        </w:rPr>
        <w:t xml:space="preserve"> </w:t>
      </w:r>
      <w:r w:rsidR="00496CB2" w:rsidRPr="003A1174">
        <w:rPr>
          <w:rFonts w:ascii="Garamond" w:hAnsi="Garamond" w:cs="Arial"/>
          <w:sz w:val="24"/>
          <w:szCs w:val="24"/>
        </w:rPr>
        <w:t>co</w:t>
      </w:r>
      <w:r w:rsidRPr="003A1174">
        <w:rPr>
          <w:rFonts w:ascii="Garamond" w:hAnsi="Garamond" w:cs="Arial"/>
          <w:sz w:val="24"/>
          <w:szCs w:val="24"/>
        </w:rPr>
        <w:t xml:space="preserve">m o </w:t>
      </w:r>
      <w:r w:rsidR="00496CB2" w:rsidRPr="003A1174">
        <w:rPr>
          <w:rFonts w:ascii="Garamond" w:hAnsi="Garamond" w:cs="Arial"/>
          <w:spacing w:val="2"/>
          <w:sz w:val="24"/>
          <w:szCs w:val="24"/>
        </w:rPr>
        <w:t>I</w:t>
      </w:r>
      <w:r w:rsidR="00496CB2" w:rsidRPr="003A1174">
        <w:rPr>
          <w:rFonts w:ascii="Garamond" w:hAnsi="Garamond" w:cs="Arial"/>
          <w:sz w:val="24"/>
          <w:szCs w:val="24"/>
        </w:rPr>
        <w:t>ns</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 xml:space="preserve">o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12"/>
          <w:sz w:val="24"/>
          <w:szCs w:val="24"/>
        </w:rPr>
        <w:t xml:space="preserve"> </w:t>
      </w:r>
      <w:r w:rsidR="00190B59" w:rsidRPr="003A1174">
        <w:rPr>
          <w:rFonts w:ascii="Garamond" w:hAnsi="Garamond" w:cs="Arial"/>
          <w:spacing w:val="1"/>
          <w:sz w:val="24"/>
          <w:szCs w:val="24"/>
        </w:rPr>
        <w:t>Estatísticas</w:t>
      </w:r>
      <w:r w:rsidR="00496CB2" w:rsidRPr="003A1174">
        <w:rPr>
          <w:rFonts w:ascii="Garamond" w:hAnsi="Garamond" w:cs="Arial"/>
          <w:spacing w:val="20"/>
          <w:sz w:val="24"/>
          <w:szCs w:val="24"/>
        </w:rPr>
        <w:t xml:space="preserve"> </w:t>
      </w:r>
      <w:r w:rsidR="00344875">
        <w:rPr>
          <w:rFonts w:ascii="Garamond" w:hAnsi="Garamond" w:cs="Arial"/>
          <w:spacing w:val="20"/>
          <w:sz w:val="24"/>
          <w:szCs w:val="24"/>
        </w:rPr>
        <w:t xml:space="preserve">e </w:t>
      </w:r>
      <w:r w:rsidRPr="003A1174">
        <w:rPr>
          <w:rFonts w:ascii="Garamond" w:hAnsi="Garamond" w:cs="Arial"/>
          <w:spacing w:val="20"/>
          <w:sz w:val="24"/>
          <w:szCs w:val="24"/>
        </w:rPr>
        <w:t xml:space="preserve">o </w:t>
      </w:r>
      <w:r w:rsidR="002D1021" w:rsidRPr="003A1174">
        <w:rPr>
          <w:rFonts w:ascii="Garamond" w:hAnsi="Garamond" w:cs="Arial"/>
          <w:spacing w:val="-2"/>
          <w:sz w:val="24"/>
          <w:szCs w:val="24"/>
        </w:rPr>
        <w:t>processo</w:t>
      </w:r>
      <w:r w:rsidR="00496CB2" w:rsidRPr="003A1174">
        <w:rPr>
          <w:rFonts w:ascii="Garamond" w:hAnsi="Garamond" w:cs="Arial"/>
          <w:spacing w:val="16"/>
          <w:sz w:val="24"/>
          <w:szCs w:val="24"/>
        </w:rPr>
        <w:t xml:space="preserve"> </w:t>
      </w:r>
      <w:r w:rsidR="00496CB2" w:rsidRPr="003A1174">
        <w:rPr>
          <w:rFonts w:ascii="Garamond" w:hAnsi="Garamond" w:cs="Arial"/>
          <w:spacing w:val="-7"/>
          <w:sz w:val="24"/>
          <w:szCs w:val="24"/>
        </w:rPr>
        <w:t>a</w:t>
      </w:r>
      <w:r w:rsidR="00496CB2" w:rsidRPr="003A1174">
        <w:rPr>
          <w:rFonts w:ascii="Garamond" w:hAnsi="Garamond" w:cs="Arial"/>
          <w:spacing w:val="-3"/>
          <w:sz w:val="24"/>
          <w:szCs w:val="24"/>
        </w:rPr>
        <w:t>d</w:t>
      </w:r>
      <w:r w:rsidR="00496CB2" w:rsidRPr="003A1174">
        <w:rPr>
          <w:rFonts w:ascii="Garamond" w:hAnsi="Garamond" w:cs="Arial"/>
          <w:spacing w:val="3"/>
          <w:sz w:val="24"/>
          <w:szCs w:val="24"/>
        </w:rPr>
        <w:t>m</w:t>
      </w:r>
      <w:r w:rsidR="00496CB2" w:rsidRPr="003A1174">
        <w:rPr>
          <w:rFonts w:ascii="Garamond" w:hAnsi="Garamond" w:cs="Arial"/>
          <w:spacing w:val="-1"/>
          <w:sz w:val="24"/>
          <w:szCs w:val="24"/>
        </w:rPr>
        <w:t>i</w:t>
      </w:r>
      <w:r w:rsidR="00496CB2" w:rsidRPr="003A1174">
        <w:rPr>
          <w:rFonts w:ascii="Garamond" w:hAnsi="Garamond" w:cs="Arial"/>
          <w:sz w:val="24"/>
          <w:szCs w:val="24"/>
        </w:rPr>
        <w:t>n</w:t>
      </w:r>
      <w:r w:rsidR="00496CB2" w:rsidRPr="003A1174">
        <w:rPr>
          <w:rFonts w:ascii="Garamond" w:hAnsi="Garamond" w:cs="Arial"/>
          <w:spacing w:val="-2"/>
          <w:sz w:val="24"/>
          <w:szCs w:val="24"/>
        </w:rPr>
        <w:t>i</w:t>
      </w:r>
      <w:r w:rsidR="00496CB2" w:rsidRPr="003A1174">
        <w:rPr>
          <w:rFonts w:ascii="Garamond" w:hAnsi="Garamond" w:cs="Arial"/>
          <w:sz w:val="24"/>
          <w:szCs w:val="24"/>
        </w:rPr>
        <w:t>s</w:t>
      </w:r>
      <w:r w:rsidR="00496CB2" w:rsidRPr="003A1174">
        <w:rPr>
          <w:rFonts w:ascii="Garamond" w:hAnsi="Garamond" w:cs="Arial"/>
          <w:spacing w:val="-3"/>
          <w:sz w:val="24"/>
          <w:szCs w:val="24"/>
        </w:rPr>
        <w:t>t</w:t>
      </w:r>
      <w:r w:rsidR="00496CB2" w:rsidRPr="003A1174">
        <w:rPr>
          <w:rFonts w:ascii="Garamond" w:hAnsi="Garamond" w:cs="Arial"/>
          <w:sz w:val="24"/>
          <w:szCs w:val="24"/>
        </w:rPr>
        <w:t>r</w:t>
      </w:r>
      <w:r w:rsidR="00496CB2" w:rsidRPr="003A1174">
        <w:rPr>
          <w:rFonts w:ascii="Garamond" w:hAnsi="Garamond" w:cs="Arial"/>
          <w:spacing w:val="-2"/>
          <w:sz w:val="24"/>
          <w:szCs w:val="24"/>
        </w:rPr>
        <w:t>a</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2"/>
          <w:sz w:val="24"/>
          <w:szCs w:val="24"/>
        </w:rPr>
        <w:t>v</w:t>
      </w:r>
      <w:r w:rsidR="00496CB2" w:rsidRPr="003A1174">
        <w:rPr>
          <w:rFonts w:ascii="Garamond" w:hAnsi="Garamond" w:cs="Arial"/>
          <w:sz w:val="24"/>
          <w:szCs w:val="24"/>
        </w:rPr>
        <w:t>o</w:t>
      </w:r>
      <w:r w:rsidR="00496CB2" w:rsidRPr="003A1174">
        <w:rPr>
          <w:rFonts w:ascii="Garamond" w:hAnsi="Garamond" w:cs="Arial"/>
          <w:spacing w:val="16"/>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17"/>
          <w:sz w:val="24"/>
          <w:szCs w:val="24"/>
        </w:rPr>
        <w:t xml:space="preserve"> </w:t>
      </w:r>
      <w:r w:rsidR="00496CB2" w:rsidRPr="003A1174">
        <w:rPr>
          <w:rFonts w:ascii="Garamond" w:hAnsi="Garamond" w:cs="Arial"/>
          <w:spacing w:val="-1"/>
          <w:sz w:val="24"/>
          <w:szCs w:val="24"/>
        </w:rPr>
        <w:t>i</w:t>
      </w:r>
      <w:r w:rsidR="00496CB2" w:rsidRPr="003A1174">
        <w:rPr>
          <w:rFonts w:ascii="Garamond" w:hAnsi="Garamond" w:cs="Arial"/>
          <w:sz w:val="24"/>
          <w:szCs w:val="24"/>
        </w:rPr>
        <w:t>ns</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u</w:t>
      </w:r>
      <w:r w:rsidR="00496CB2" w:rsidRPr="003A1174">
        <w:rPr>
          <w:rFonts w:ascii="Garamond" w:hAnsi="Garamond" w:cs="Arial"/>
          <w:spacing w:val="1"/>
          <w:sz w:val="24"/>
          <w:szCs w:val="24"/>
        </w:rPr>
        <w:t>c</w:t>
      </w:r>
      <w:r w:rsidR="00496CB2" w:rsidRPr="003A1174">
        <w:rPr>
          <w:rFonts w:ascii="Garamond" w:hAnsi="Garamond" w:cs="Arial"/>
          <w:spacing w:val="-1"/>
          <w:sz w:val="24"/>
          <w:szCs w:val="24"/>
        </w:rPr>
        <w:t>i</w:t>
      </w:r>
      <w:r w:rsidR="00496CB2" w:rsidRPr="003A1174">
        <w:rPr>
          <w:rFonts w:ascii="Garamond" w:hAnsi="Garamond" w:cs="Arial"/>
          <w:sz w:val="24"/>
          <w:szCs w:val="24"/>
        </w:rPr>
        <w:t>o</w:t>
      </w:r>
      <w:r w:rsidR="00496CB2" w:rsidRPr="003A1174">
        <w:rPr>
          <w:rFonts w:ascii="Garamond" w:hAnsi="Garamond" w:cs="Arial"/>
          <w:spacing w:val="-1"/>
          <w:sz w:val="24"/>
          <w:szCs w:val="24"/>
        </w:rPr>
        <w:t>n</w:t>
      </w:r>
      <w:r w:rsidR="00496CB2" w:rsidRPr="003A1174">
        <w:rPr>
          <w:rFonts w:ascii="Garamond" w:hAnsi="Garamond" w:cs="Arial"/>
          <w:spacing w:val="-7"/>
          <w:sz w:val="24"/>
          <w:szCs w:val="24"/>
        </w:rPr>
        <w:t>a</w:t>
      </w:r>
      <w:r w:rsidR="00496CB2" w:rsidRPr="003A1174">
        <w:rPr>
          <w:rFonts w:ascii="Garamond" w:hAnsi="Garamond" w:cs="Arial"/>
          <w:spacing w:val="8"/>
          <w:sz w:val="24"/>
          <w:szCs w:val="24"/>
        </w:rPr>
        <w:t>l</w:t>
      </w:r>
      <w:r w:rsidR="00496CB2" w:rsidRPr="003A1174">
        <w:rPr>
          <w:rFonts w:ascii="Garamond" w:hAnsi="Garamond" w:cs="Arial"/>
          <w:spacing w:val="-1"/>
          <w:sz w:val="24"/>
          <w:szCs w:val="24"/>
        </w:rPr>
        <w:t>i</w:t>
      </w:r>
      <w:r w:rsidR="00496CB2" w:rsidRPr="003A1174">
        <w:rPr>
          <w:rFonts w:ascii="Garamond" w:hAnsi="Garamond" w:cs="Arial"/>
          <w:spacing w:val="2"/>
          <w:sz w:val="24"/>
          <w:szCs w:val="24"/>
        </w:rPr>
        <w:t>z</w:t>
      </w:r>
      <w:r w:rsidR="00496CB2" w:rsidRPr="003A1174">
        <w:rPr>
          <w:rFonts w:ascii="Garamond" w:hAnsi="Garamond" w:cs="Arial"/>
          <w:sz w:val="24"/>
          <w:szCs w:val="24"/>
        </w:rPr>
        <w:t>a</w:t>
      </w:r>
      <w:r w:rsidR="00496CB2" w:rsidRPr="003A1174">
        <w:rPr>
          <w:rFonts w:ascii="Garamond" w:hAnsi="Garamond" w:cs="Arial"/>
          <w:spacing w:val="10"/>
          <w:sz w:val="24"/>
          <w:szCs w:val="24"/>
        </w:rPr>
        <w:t xml:space="preserve"> </w:t>
      </w:r>
      <w:r w:rsidR="00496CB2" w:rsidRPr="003A1174">
        <w:rPr>
          <w:rFonts w:ascii="Garamond" w:hAnsi="Garamond" w:cs="Arial"/>
          <w:sz w:val="24"/>
          <w:szCs w:val="24"/>
        </w:rPr>
        <w:t>es</w:t>
      </w:r>
      <w:r w:rsidR="00496CB2" w:rsidRPr="003A1174">
        <w:rPr>
          <w:rFonts w:ascii="Garamond" w:hAnsi="Garamond" w:cs="Arial"/>
          <w:spacing w:val="-3"/>
          <w:sz w:val="24"/>
          <w:szCs w:val="24"/>
        </w:rPr>
        <w:t>t</w:t>
      </w:r>
      <w:r w:rsidR="00496CB2" w:rsidRPr="003A1174">
        <w:rPr>
          <w:rFonts w:ascii="Garamond" w:hAnsi="Garamond" w:cs="Arial"/>
          <w:sz w:val="24"/>
          <w:szCs w:val="24"/>
        </w:rPr>
        <w:t>a</w:t>
      </w:r>
      <w:r w:rsidR="00496CB2" w:rsidRPr="003A1174">
        <w:rPr>
          <w:rFonts w:ascii="Garamond" w:hAnsi="Garamond" w:cs="Arial"/>
          <w:spacing w:val="15"/>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pacing w:val="-6"/>
          <w:sz w:val="24"/>
          <w:szCs w:val="24"/>
        </w:rPr>
        <w:t>o</w:t>
      </w:r>
      <w:r w:rsidR="00496CB2" w:rsidRPr="003A1174">
        <w:rPr>
          <w:rFonts w:ascii="Garamond" w:hAnsi="Garamond" w:cs="Arial"/>
          <w:spacing w:val="3"/>
          <w:sz w:val="24"/>
          <w:szCs w:val="24"/>
        </w:rPr>
        <w:t>lí</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z w:val="24"/>
          <w:szCs w:val="24"/>
        </w:rPr>
        <w:t>ca</w:t>
      </w:r>
      <w:r w:rsidR="00496CB2" w:rsidRPr="003A1174">
        <w:rPr>
          <w:rFonts w:ascii="Garamond" w:hAnsi="Garamond" w:cs="Arial"/>
          <w:spacing w:val="15"/>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ú</w:t>
      </w:r>
      <w:r w:rsidR="00496CB2" w:rsidRPr="003A1174">
        <w:rPr>
          <w:rFonts w:ascii="Garamond" w:hAnsi="Garamond" w:cs="Arial"/>
          <w:spacing w:val="-7"/>
          <w:sz w:val="24"/>
          <w:szCs w:val="24"/>
        </w:rPr>
        <w:t>b</w:t>
      </w:r>
      <w:r w:rsidR="00496CB2" w:rsidRPr="003A1174">
        <w:rPr>
          <w:rFonts w:ascii="Garamond" w:hAnsi="Garamond" w:cs="Arial"/>
          <w:spacing w:val="3"/>
          <w:sz w:val="24"/>
          <w:szCs w:val="24"/>
        </w:rPr>
        <w:t>l</w:t>
      </w:r>
      <w:r w:rsidR="00496CB2" w:rsidRPr="003A1174">
        <w:rPr>
          <w:rFonts w:ascii="Garamond" w:hAnsi="Garamond" w:cs="Arial"/>
          <w:spacing w:val="-1"/>
          <w:sz w:val="24"/>
          <w:szCs w:val="24"/>
        </w:rPr>
        <w:t>i</w:t>
      </w:r>
      <w:r w:rsidR="00496CB2" w:rsidRPr="003A1174">
        <w:rPr>
          <w:rFonts w:ascii="Garamond" w:hAnsi="Garamond" w:cs="Arial"/>
          <w:sz w:val="24"/>
          <w:szCs w:val="24"/>
        </w:rPr>
        <w:t>c</w:t>
      </w:r>
      <w:r w:rsidR="00496CB2" w:rsidRPr="003A1174">
        <w:rPr>
          <w:rFonts w:ascii="Garamond" w:hAnsi="Garamond" w:cs="Arial"/>
          <w:spacing w:val="-2"/>
          <w:sz w:val="24"/>
          <w:szCs w:val="24"/>
        </w:rPr>
        <w:t>a</w:t>
      </w:r>
      <w:r w:rsidR="00496CB2" w:rsidRPr="003A1174">
        <w:rPr>
          <w:rFonts w:ascii="Garamond" w:hAnsi="Garamond" w:cs="Arial"/>
          <w:sz w:val="24"/>
          <w:szCs w:val="24"/>
        </w:rPr>
        <w:t xml:space="preserve">. </w:t>
      </w:r>
      <w:r w:rsidR="000350B1" w:rsidRPr="003A1174">
        <w:rPr>
          <w:rFonts w:ascii="Garamond" w:hAnsi="Garamond" w:cs="Arial"/>
          <w:spacing w:val="-3"/>
          <w:sz w:val="24"/>
          <w:szCs w:val="24"/>
        </w:rPr>
        <w:t>Também</w:t>
      </w:r>
      <w:r w:rsidR="00496CB2" w:rsidRPr="003A1174">
        <w:rPr>
          <w:rFonts w:ascii="Garamond" w:hAnsi="Garamond" w:cs="Arial"/>
          <w:sz w:val="24"/>
          <w:szCs w:val="24"/>
        </w:rPr>
        <w:t>,</w:t>
      </w:r>
      <w:r w:rsidR="00496CB2" w:rsidRPr="003A1174">
        <w:rPr>
          <w:rFonts w:ascii="Garamond" w:hAnsi="Garamond" w:cs="Arial"/>
          <w:spacing w:val="35"/>
          <w:sz w:val="24"/>
          <w:szCs w:val="24"/>
        </w:rPr>
        <w:t xml:space="preserve"> </w:t>
      </w:r>
      <w:r w:rsidR="00496CB2" w:rsidRPr="003A1174">
        <w:rPr>
          <w:rFonts w:ascii="Garamond" w:hAnsi="Garamond" w:cs="Arial"/>
          <w:spacing w:val="-2"/>
          <w:sz w:val="24"/>
          <w:szCs w:val="24"/>
        </w:rPr>
        <w:t>a</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or</w:t>
      </w:r>
      <w:r w:rsidR="00496CB2" w:rsidRPr="003A1174">
        <w:rPr>
          <w:rFonts w:ascii="Garamond" w:hAnsi="Garamond" w:cs="Arial"/>
          <w:spacing w:val="-1"/>
          <w:sz w:val="24"/>
          <w:szCs w:val="24"/>
        </w:rPr>
        <w:t>i</w:t>
      </w:r>
      <w:r w:rsidR="00496CB2" w:rsidRPr="003A1174">
        <w:rPr>
          <w:rFonts w:ascii="Garamond" w:hAnsi="Garamond" w:cs="Arial"/>
          <w:spacing w:val="2"/>
          <w:sz w:val="24"/>
          <w:szCs w:val="24"/>
        </w:rPr>
        <w:t>z</w:t>
      </w:r>
      <w:r w:rsidR="00496CB2" w:rsidRPr="003A1174">
        <w:rPr>
          <w:rFonts w:ascii="Garamond" w:hAnsi="Garamond" w:cs="Arial"/>
          <w:sz w:val="24"/>
          <w:szCs w:val="24"/>
        </w:rPr>
        <w:t>a</w:t>
      </w:r>
      <w:r w:rsidR="00496CB2" w:rsidRPr="003A1174">
        <w:rPr>
          <w:rFonts w:ascii="Garamond" w:hAnsi="Garamond" w:cs="Arial"/>
          <w:spacing w:val="37"/>
          <w:sz w:val="24"/>
          <w:szCs w:val="24"/>
        </w:rPr>
        <w:t xml:space="preserve"> </w:t>
      </w:r>
      <w:r w:rsidR="00BB2B00" w:rsidRPr="003A1174">
        <w:rPr>
          <w:rFonts w:ascii="Garamond" w:hAnsi="Garamond" w:cs="Arial"/>
          <w:sz w:val="24"/>
          <w:szCs w:val="24"/>
        </w:rPr>
        <w:t>à</w:t>
      </w:r>
      <w:r w:rsidR="00496CB2" w:rsidRPr="003A1174">
        <w:rPr>
          <w:rFonts w:ascii="Garamond" w:hAnsi="Garamond" w:cs="Arial"/>
          <w:spacing w:val="32"/>
          <w:sz w:val="24"/>
          <w:szCs w:val="24"/>
        </w:rPr>
        <w:t xml:space="preserve"> </w:t>
      </w:r>
      <w:r w:rsidR="00496CB2" w:rsidRPr="003A1174">
        <w:rPr>
          <w:rFonts w:ascii="Garamond" w:hAnsi="Garamond" w:cs="Arial"/>
          <w:spacing w:val="-2"/>
          <w:sz w:val="24"/>
          <w:szCs w:val="24"/>
        </w:rPr>
        <w:t>P</w:t>
      </w:r>
      <w:r w:rsidR="00496CB2" w:rsidRPr="003A1174">
        <w:rPr>
          <w:rFonts w:ascii="Garamond" w:hAnsi="Garamond" w:cs="Arial"/>
          <w:sz w:val="24"/>
          <w:szCs w:val="24"/>
        </w:rPr>
        <w:t>ro</w:t>
      </w:r>
      <w:r w:rsidR="00496CB2" w:rsidRPr="003A1174">
        <w:rPr>
          <w:rFonts w:ascii="Garamond" w:hAnsi="Garamond" w:cs="Arial"/>
          <w:spacing w:val="-5"/>
          <w:sz w:val="24"/>
          <w:szCs w:val="24"/>
        </w:rPr>
        <w:t>c</w:t>
      </w:r>
      <w:r w:rsidR="00496CB2" w:rsidRPr="003A1174">
        <w:rPr>
          <w:rFonts w:ascii="Garamond" w:hAnsi="Garamond" w:cs="Arial"/>
          <w:sz w:val="24"/>
          <w:szCs w:val="24"/>
        </w:rPr>
        <w:t>ur</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ora</w:t>
      </w:r>
      <w:r w:rsidR="00496CB2" w:rsidRPr="003A1174">
        <w:rPr>
          <w:rFonts w:ascii="Garamond" w:hAnsi="Garamond" w:cs="Arial"/>
          <w:spacing w:val="33"/>
          <w:sz w:val="24"/>
          <w:szCs w:val="24"/>
        </w:rPr>
        <w:t xml:space="preserve"> </w:t>
      </w:r>
      <w:r w:rsidR="00497503" w:rsidRPr="003A1174">
        <w:rPr>
          <w:rFonts w:ascii="Garamond" w:hAnsi="Garamond" w:cs="Arial"/>
          <w:spacing w:val="2"/>
          <w:sz w:val="24"/>
          <w:szCs w:val="24"/>
        </w:rPr>
        <w:t>das</w:t>
      </w:r>
      <w:r w:rsidR="00496CB2" w:rsidRPr="003A1174">
        <w:rPr>
          <w:rFonts w:ascii="Garamond" w:hAnsi="Garamond" w:cs="Arial"/>
          <w:spacing w:val="30"/>
          <w:sz w:val="24"/>
          <w:szCs w:val="24"/>
        </w:rPr>
        <w:t xml:space="preserve"> </w:t>
      </w:r>
      <w:r w:rsidR="00054EE0" w:rsidRPr="003A1174">
        <w:rPr>
          <w:rFonts w:ascii="Garamond" w:hAnsi="Garamond" w:cs="Arial"/>
          <w:spacing w:val="3"/>
          <w:sz w:val="24"/>
          <w:szCs w:val="24"/>
        </w:rPr>
        <w:t>Mulheres</w:t>
      </w:r>
      <w:r w:rsidR="00496CB2" w:rsidRPr="003A1174">
        <w:rPr>
          <w:rFonts w:ascii="Garamond" w:hAnsi="Garamond" w:cs="Arial"/>
          <w:spacing w:val="40"/>
          <w:sz w:val="24"/>
          <w:szCs w:val="24"/>
        </w:rPr>
        <w:t xml:space="preserve"> </w:t>
      </w:r>
      <w:r w:rsidR="00496CB2" w:rsidRPr="003A1174">
        <w:rPr>
          <w:rFonts w:ascii="Garamond" w:hAnsi="Garamond" w:cs="Arial"/>
          <w:spacing w:val="-2"/>
          <w:sz w:val="24"/>
          <w:szCs w:val="24"/>
        </w:rPr>
        <w:t>q</w:t>
      </w:r>
      <w:r w:rsidR="00496CB2" w:rsidRPr="003A1174">
        <w:rPr>
          <w:rFonts w:ascii="Garamond" w:hAnsi="Garamond" w:cs="Arial"/>
          <w:sz w:val="24"/>
          <w:szCs w:val="24"/>
        </w:rPr>
        <w:t>ue,</w:t>
      </w:r>
      <w:r w:rsidR="00496CB2" w:rsidRPr="003A1174">
        <w:rPr>
          <w:rFonts w:ascii="Garamond" w:hAnsi="Garamond" w:cs="Arial"/>
          <w:spacing w:val="32"/>
          <w:sz w:val="24"/>
          <w:szCs w:val="24"/>
        </w:rPr>
        <w:t xml:space="preserve"> </w:t>
      </w:r>
      <w:r w:rsidRPr="003A1174">
        <w:rPr>
          <w:rFonts w:ascii="Garamond" w:hAnsi="Garamond" w:cs="Arial"/>
          <w:spacing w:val="32"/>
          <w:sz w:val="24"/>
          <w:szCs w:val="24"/>
        </w:rPr>
        <w:t xml:space="preserve">em </w:t>
      </w:r>
      <w:r w:rsidR="00496CB2" w:rsidRPr="003A1174">
        <w:rPr>
          <w:rFonts w:ascii="Garamond" w:hAnsi="Garamond" w:cs="Arial"/>
          <w:sz w:val="24"/>
          <w:szCs w:val="24"/>
        </w:rPr>
        <w:t>co</w:t>
      </w:r>
      <w:r w:rsidR="00496CB2" w:rsidRPr="003A1174">
        <w:rPr>
          <w:rFonts w:ascii="Garamond" w:hAnsi="Garamond" w:cs="Arial"/>
          <w:spacing w:val="-1"/>
          <w:sz w:val="24"/>
          <w:szCs w:val="24"/>
        </w:rPr>
        <w:t>n</w:t>
      </w:r>
      <w:r w:rsidR="00496CB2" w:rsidRPr="003A1174">
        <w:rPr>
          <w:rFonts w:ascii="Garamond" w:hAnsi="Garamond" w:cs="Arial"/>
          <w:spacing w:val="-2"/>
          <w:sz w:val="24"/>
          <w:szCs w:val="24"/>
        </w:rPr>
        <w:t>j</w:t>
      </w:r>
      <w:r w:rsidR="00496CB2" w:rsidRPr="003A1174">
        <w:rPr>
          <w:rFonts w:ascii="Garamond" w:hAnsi="Garamond" w:cs="Arial"/>
          <w:sz w:val="24"/>
          <w:szCs w:val="24"/>
        </w:rPr>
        <w:t>un</w:t>
      </w:r>
      <w:r w:rsidR="00496CB2" w:rsidRPr="003A1174">
        <w:rPr>
          <w:rFonts w:ascii="Garamond" w:hAnsi="Garamond" w:cs="Arial"/>
          <w:spacing w:val="-3"/>
          <w:sz w:val="24"/>
          <w:szCs w:val="24"/>
        </w:rPr>
        <w:t>t</w:t>
      </w:r>
      <w:r w:rsidRPr="003A1174">
        <w:rPr>
          <w:rFonts w:ascii="Garamond" w:hAnsi="Garamond" w:cs="Arial"/>
          <w:spacing w:val="-3"/>
          <w:sz w:val="24"/>
          <w:szCs w:val="24"/>
        </w:rPr>
        <w:t xml:space="preserve">o </w:t>
      </w:r>
      <w:r w:rsidR="00496CB2" w:rsidRPr="003A1174">
        <w:rPr>
          <w:rFonts w:ascii="Garamond" w:hAnsi="Garamond" w:cs="Arial"/>
          <w:sz w:val="24"/>
          <w:szCs w:val="24"/>
        </w:rPr>
        <w:t>co</w:t>
      </w:r>
      <w:r w:rsidRPr="003A1174">
        <w:rPr>
          <w:rFonts w:ascii="Garamond" w:hAnsi="Garamond" w:cs="Arial"/>
          <w:sz w:val="24"/>
          <w:szCs w:val="24"/>
        </w:rPr>
        <w:t>m o</w:t>
      </w:r>
      <w:r w:rsidR="00496CB2" w:rsidRPr="003A1174">
        <w:rPr>
          <w:rFonts w:ascii="Garamond" w:hAnsi="Garamond" w:cs="Arial"/>
          <w:sz w:val="24"/>
          <w:szCs w:val="24"/>
        </w:rPr>
        <w:t xml:space="preserve"> </w:t>
      </w:r>
      <w:r w:rsidR="00496CB2" w:rsidRPr="003A1174">
        <w:rPr>
          <w:rFonts w:ascii="Garamond" w:hAnsi="Garamond" w:cs="Arial"/>
          <w:spacing w:val="2"/>
          <w:sz w:val="24"/>
          <w:szCs w:val="24"/>
        </w:rPr>
        <w:t>I</w:t>
      </w:r>
      <w:r w:rsidR="00496CB2" w:rsidRPr="003A1174">
        <w:rPr>
          <w:rFonts w:ascii="Garamond" w:hAnsi="Garamond" w:cs="Arial"/>
          <w:sz w:val="24"/>
          <w:szCs w:val="24"/>
        </w:rPr>
        <w:t>ns</w:t>
      </w:r>
      <w:r w:rsidR="00496CB2" w:rsidRPr="003A1174">
        <w:rPr>
          <w:rFonts w:ascii="Garamond" w:hAnsi="Garamond" w:cs="Arial"/>
          <w:spacing w:val="-3"/>
          <w:sz w:val="24"/>
          <w:szCs w:val="24"/>
        </w:rPr>
        <w:t>t</w:t>
      </w:r>
      <w:r w:rsidR="00496CB2" w:rsidRPr="003A1174">
        <w:rPr>
          <w:rFonts w:ascii="Garamond" w:hAnsi="Garamond" w:cs="Arial"/>
          <w:spacing w:val="-1"/>
          <w:sz w:val="24"/>
          <w:szCs w:val="24"/>
        </w:rPr>
        <w:t>i</w:t>
      </w:r>
      <w:r w:rsidR="00496CB2" w:rsidRPr="003A1174">
        <w:rPr>
          <w:rFonts w:ascii="Garamond" w:hAnsi="Garamond" w:cs="Arial"/>
          <w:spacing w:val="-3"/>
          <w:sz w:val="24"/>
          <w:szCs w:val="24"/>
        </w:rPr>
        <w:t>t</w:t>
      </w:r>
      <w:r w:rsidR="00496CB2" w:rsidRPr="003A1174">
        <w:rPr>
          <w:rFonts w:ascii="Garamond" w:hAnsi="Garamond" w:cs="Arial"/>
          <w:sz w:val="24"/>
          <w:szCs w:val="24"/>
        </w:rPr>
        <w:t>u</w:t>
      </w:r>
      <w:r w:rsidR="00496CB2" w:rsidRPr="003A1174">
        <w:rPr>
          <w:rFonts w:ascii="Garamond" w:hAnsi="Garamond" w:cs="Arial"/>
          <w:spacing w:val="-3"/>
          <w:sz w:val="24"/>
          <w:szCs w:val="24"/>
        </w:rPr>
        <w:t>t</w:t>
      </w:r>
      <w:r w:rsidR="00496CB2" w:rsidRPr="003A1174">
        <w:rPr>
          <w:rFonts w:ascii="Garamond" w:hAnsi="Garamond" w:cs="Arial"/>
          <w:sz w:val="24"/>
          <w:szCs w:val="24"/>
        </w:rPr>
        <w:t>o</w:t>
      </w:r>
      <w:r w:rsidR="00496CB2" w:rsidRPr="003A1174">
        <w:rPr>
          <w:rFonts w:ascii="Garamond" w:hAnsi="Garamond" w:cs="Arial"/>
          <w:spacing w:val="42"/>
          <w:sz w:val="24"/>
          <w:szCs w:val="24"/>
        </w:rPr>
        <w:t xml:space="preserve"> </w:t>
      </w:r>
      <w:r w:rsidR="00496CB2" w:rsidRPr="003A1174">
        <w:rPr>
          <w:rFonts w:ascii="Garamond" w:hAnsi="Garamond" w:cs="Arial"/>
          <w:spacing w:val="2"/>
          <w:sz w:val="24"/>
          <w:szCs w:val="24"/>
        </w:rPr>
        <w:t>d</w:t>
      </w:r>
      <w:r w:rsidR="00496CB2" w:rsidRPr="003A1174">
        <w:rPr>
          <w:rFonts w:ascii="Garamond" w:hAnsi="Garamond" w:cs="Arial"/>
          <w:sz w:val="24"/>
          <w:szCs w:val="24"/>
        </w:rPr>
        <w:t>e</w:t>
      </w:r>
      <w:r w:rsidR="00496CB2" w:rsidRPr="003A1174">
        <w:rPr>
          <w:rFonts w:ascii="Garamond" w:hAnsi="Garamond" w:cs="Arial"/>
          <w:spacing w:val="44"/>
          <w:sz w:val="24"/>
          <w:szCs w:val="24"/>
        </w:rPr>
        <w:t xml:space="preserve"> </w:t>
      </w:r>
      <w:r w:rsidR="00190B59" w:rsidRPr="003A1174">
        <w:rPr>
          <w:rFonts w:ascii="Garamond" w:hAnsi="Garamond" w:cs="Arial"/>
          <w:spacing w:val="1"/>
          <w:sz w:val="24"/>
          <w:szCs w:val="24"/>
        </w:rPr>
        <w:t>Estatísticas</w:t>
      </w:r>
      <w:r w:rsidR="00496CB2" w:rsidRPr="003A1174">
        <w:rPr>
          <w:rFonts w:ascii="Garamond" w:hAnsi="Garamond" w:cs="Arial"/>
          <w:sz w:val="24"/>
          <w:szCs w:val="24"/>
        </w:rPr>
        <w:t>,</w:t>
      </w:r>
      <w:r w:rsidR="00496CB2" w:rsidRPr="003A1174">
        <w:rPr>
          <w:rFonts w:ascii="Garamond" w:hAnsi="Garamond" w:cs="Arial"/>
          <w:spacing w:val="40"/>
          <w:sz w:val="24"/>
          <w:szCs w:val="24"/>
        </w:rPr>
        <w:t xml:space="preserve"> </w:t>
      </w:r>
      <w:r w:rsidR="00496CB2" w:rsidRPr="003A1174">
        <w:rPr>
          <w:rFonts w:ascii="Garamond" w:hAnsi="Garamond" w:cs="Arial"/>
          <w:spacing w:val="-2"/>
          <w:sz w:val="24"/>
          <w:szCs w:val="24"/>
        </w:rPr>
        <w:t>a</w:t>
      </w:r>
      <w:r w:rsidR="00496CB2" w:rsidRPr="003A1174">
        <w:rPr>
          <w:rFonts w:ascii="Garamond" w:hAnsi="Garamond" w:cs="Arial"/>
          <w:spacing w:val="2"/>
          <w:sz w:val="24"/>
          <w:szCs w:val="24"/>
        </w:rPr>
        <w:t>d</w:t>
      </w:r>
      <w:r w:rsidR="00496CB2" w:rsidRPr="003A1174">
        <w:rPr>
          <w:rFonts w:ascii="Garamond" w:hAnsi="Garamond" w:cs="Arial"/>
          <w:sz w:val="24"/>
          <w:szCs w:val="24"/>
        </w:rPr>
        <w:t>o</w:t>
      </w:r>
      <w:r w:rsidR="00496CB2" w:rsidRPr="003A1174">
        <w:rPr>
          <w:rFonts w:ascii="Garamond" w:hAnsi="Garamond" w:cs="Arial"/>
          <w:spacing w:val="-3"/>
          <w:sz w:val="24"/>
          <w:szCs w:val="24"/>
        </w:rPr>
        <w:t>t</w:t>
      </w:r>
      <w:r w:rsidR="00496CB2" w:rsidRPr="003A1174">
        <w:rPr>
          <w:rFonts w:ascii="Garamond" w:hAnsi="Garamond" w:cs="Arial"/>
          <w:sz w:val="24"/>
          <w:szCs w:val="24"/>
        </w:rPr>
        <w:t>e</w:t>
      </w:r>
      <w:r w:rsidR="00496CB2" w:rsidRPr="003A1174">
        <w:rPr>
          <w:rFonts w:ascii="Garamond" w:hAnsi="Garamond" w:cs="Arial"/>
          <w:spacing w:val="44"/>
          <w:sz w:val="24"/>
          <w:szCs w:val="24"/>
        </w:rPr>
        <w:t xml:space="preserve"> </w:t>
      </w:r>
      <w:r w:rsidR="00D37CF3" w:rsidRPr="003A1174">
        <w:rPr>
          <w:rFonts w:ascii="Garamond" w:hAnsi="Garamond" w:cs="Arial"/>
          <w:spacing w:val="44"/>
          <w:sz w:val="24"/>
          <w:szCs w:val="24"/>
        </w:rPr>
        <w:t>o</w:t>
      </w:r>
      <w:r w:rsidR="00D37CF3" w:rsidRPr="003A1174">
        <w:rPr>
          <w:rFonts w:ascii="Garamond" w:hAnsi="Garamond" w:cs="Arial"/>
          <w:sz w:val="24"/>
          <w:szCs w:val="24"/>
        </w:rPr>
        <w:t xml:space="preserve"> regulamento</w:t>
      </w:r>
      <w:r w:rsidR="00496CB2" w:rsidRPr="003A1174">
        <w:rPr>
          <w:rFonts w:ascii="Garamond" w:hAnsi="Garamond" w:cs="Arial"/>
          <w:spacing w:val="43"/>
          <w:sz w:val="24"/>
          <w:szCs w:val="24"/>
        </w:rPr>
        <w:t xml:space="preserve"> </w:t>
      </w:r>
      <w:r w:rsidR="007578C6" w:rsidRPr="003A1174">
        <w:rPr>
          <w:rFonts w:ascii="Garamond" w:hAnsi="Garamond" w:cs="Arial"/>
          <w:sz w:val="24"/>
          <w:szCs w:val="24"/>
        </w:rPr>
        <w:t>necessári</w:t>
      </w:r>
      <w:r w:rsidRPr="003A1174">
        <w:rPr>
          <w:rFonts w:ascii="Garamond" w:hAnsi="Garamond" w:cs="Arial"/>
          <w:sz w:val="24"/>
          <w:szCs w:val="24"/>
        </w:rPr>
        <w:t xml:space="preserve">o </w:t>
      </w:r>
      <w:r w:rsidR="00496CB2" w:rsidRPr="003A1174">
        <w:rPr>
          <w:rFonts w:ascii="Garamond" w:hAnsi="Garamond" w:cs="Arial"/>
          <w:spacing w:val="-2"/>
          <w:sz w:val="24"/>
          <w:szCs w:val="24"/>
        </w:rPr>
        <w:t>pa</w:t>
      </w:r>
      <w:r w:rsidR="00496CB2" w:rsidRPr="003A1174">
        <w:rPr>
          <w:rFonts w:ascii="Garamond" w:hAnsi="Garamond" w:cs="Arial"/>
          <w:sz w:val="24"/>
          <w:szCs w:val="24"/>
        </w:rPr>
        <w:t>ra</w:t>
      </w:r>
      <w:r w:rsidR="00496CB2" w:rsidRPr="003A1174">
        <w:rPr>
          <w:rFonts w:ascii="Garamond" w:hAnsi="Garamond" w:cs="Arial"/>
          <w:spacing w:val="42"/>
          <w:sz w:val="24"/>
          <w:szCs w:val="24"/>
        </w:rPr>
        <w:t xml:space="preserve"> </w:t>
      </w:r>
      <w:r w:rsidR="00306B73" w:rsidRPr="003A1174">
        <w:rPr>
          <w:rFonts w:ascii="Garamond" w:hAnsi="Garamond" w:cs="Arial"/>
          <w:sz w:val="24"/>
          <w:szCs w:val="24"/>
        </w:rPr>
        <w:t>cumprir</w:t>
      </w:r>
      <w:r w:rsidR="00496CB2" w:rsidRPr="003A1174">
        <w:rPr>
          <w:rFonts w:ascii="Garamond" w:hAnsi="Garamond" w:cs="Arial"/>
          <w:spacing w:val="44"/>
          <w:sz w:val="24"/>
          <w:szCs w:val="24"/>
        </w:rPr>
        <w:t xml:space="preserve"> </w:t>
      </w:r>
      <w:r w:rsidR="00496CB2" w:rsidRPr="003A1174">
        <w:rPr>
          <w:rFonts w:ascii="Garamond" w:hAnsi="Garamond" w:cs="Arial"/>
          <w:sz w:val="24"/>
          <w:szCs w:val="24"/>
        </w:rPr>
        <w:t>co</w:t>
      </w:r>
      <w:r w:rsidRPr="003A1174">
        <w:rPr>
          <w:rFonts w:ascii="Garamond" w:hAnsi="Garamond" w:cs="Arial"/>
          <w:sz w:val="24"/>
          <w:szCs w:val="24"/>
        </w:rPr>
        <w:t xml:space="preserve">m </w:t>
      </w:r>
      <w:r w:rsidR="00496CB2" w:rsidRPr="003A1174">
        <w:rPr>
          <w:rFonts w:ascii="Garamond" w:hAnsi="Garamond" w:cs="Arial"/>
          <w:sz w:val="24"/>
          <w:szCs w:val="24"/>
        </w:rPr>
        <w:t xml:space="preserve">os </w:t>
      </w:r>
      <w:r w:rsidR="00344875">
        <w:rPr>
          <w:rFonts w:ascii="Garamond" w:hAnsi="Garamond" w:cs="Arial"/>
          <w:spacing w:val="1"/>
          <w:sz w:val="24"/>
          <w:szCs w:val="24"/>
        </w:rPr>
        <w:t xml:space="preserve">objetivos </w:t>
      </w:r>
      <w:r w:rsidR="00496CB2" w:rsidRPr="003A1174">
        <w:rPr>
          <w:rFonts w:ascii="Garamond" w:hAnsi="Garamond" w:cs="Arial"/>
          <w:spacing w:val="2"/>
          <w:sz w:val="24"/>
          <w:szCs w:val="24"/>
        </w:rPr>
        <w:t>d</w:t>
      </w:r>
      <w:r w:rsidR="00496CB2" w:rsidRPr="003A1174">
        <w:rPr>
          <w:rFonts w:ascii="Garamond" w:hAnsi="Garamond" w:cs="Arial"/>
          <w:sz w:val="24"/>
          <w:szCs w:val="24"/>
        </w:rPr>
        <w:t>es</w:t>
      </w:r>
      <w:r w:rsidR="00496CB2" w:rsidRPr="003A1174">
        <w:rPr>
          <w:rFonts w:ascii="Garamond" w:hAnsi="Garamond" w:cs="Arial"/>
          <w:spacing w:val="-3"/>
          <w:sz w:val="24"/>
          <w:szCs w:val="24"/>
        </w:rPr>
        <w:t>t</w:t>
      </w:r>
      <w:r w:rsidR="00496CB2" w:rsidRPr="003A1174">
        <w:rPr>
          <w:rFonts w:ascii="Garamond" w:hAnsi="Garamond" w:cs="Arial"/>
          <w:sz w:val="24"/>
          <w:szCs w:val="24"/>
        </w:rPr>
        <w:t>a</w:t>
      </w:r>
      <w:r w:rsidR="00496CB2" w:rsidRPr="003A1174">
        <w:rPr>
          <w:rFonts w:ascii="Garamond" w:hAnsi="Garamond" w:cs="Arial"/>
          <w:spacing w:val="-1"/>
          <w:sz w:val="24"/>
          <w:szCs w:val="24"/>
        </w:rPr>
        <w:t xml:space="preserve"> </w:t>
      </w:r>
      <w:r w:rsidR="00344875">
        <w:rPr>
          <w:rFonts w:ascii="Garamond" w:hAnsi="Garamond" w:cs="Arial"/>
          <w:spacing w:val="-2"/>
          <w:sz w:val="24"/>
          <w:szCs w:val="24"/>
        </w:rPr>
        <w:t>l</w:t>
      </w:r>
      <w:r w:rsidR="00D15AFF" w:rsidRPr="003A1174">
        <w:rPr>
          <w:rFonts w:ascii="Garamond" w:hAnsi="Garamond" w:cs="Arial"/>
          <w:spacing w:val="-2"/>
          <w:sz w:val="24"/>
          <w:szCs w:val="24"/>
        </w:rPr>
        <w:t>ei</w:t>
      </w:r>
      <w:r w:rsidR="003D69D0" w:rsidRPr="003A1174">
        <w:rPr>
          <w:rFonts w:ascii="Garamond" w:hAnsi="Garamond" w:cs="Arial"/>
          <w:spacing w:val="-1"/>
          <w:sz w:val="24"/>
          <w:szCs w:val="24"/>
        </w:rPr>
        <w:t>.</w:t>
      </w:r>
    </w:p>
    <w:p w:rsidR="00016363" w:rsidRPr="003A1174" w:rsidRDefault="008E259D" w:rsidP="008719D4">
      <w:pPr>
        <w:pStyle w:val="Ttulo4"/>
        <w:spacing w:line="240" w:lineRule="auto"/>
        <w:rPr>
          <w:rFonts w:ascii="Garamond" w:hAnsi="Garamond"/>
          <w:sz w:val="24"/>
          <w:szCs w:val="24"/>
        </w:rPr>
      </w:pPr>
      <w:r>
        <w:rPr>
          <w:rFonts w:ascii="Garamond" w:hAnsi="Garamond"/>
          <w:sz w:val="24"/>
          <w:szCs w:val="24"/>
        </w:rPr>
        <w:t>Avaliação</w:t>
      </w:r>
      <w:r w:rsidR="00016363" w:rsidRPr="003A1174">
        <w:rPr>
          <w:rFonts w:ascii="Garamond" w:hAnsi="Garamond"/>
          <w:sz w:val="24"/>
          <w:szCs w:val="24"/>
        </w:rPr>
        <w:t xml:space="preserve"> </w:t>
      </w:r>
      <w:r w:rsidR="00E85E59" w:rsidRPr="003A1174">
        <w:rPr>
          <w:rFonts w:ascii="Garamond" w:hAnsi="Garamond"/>
          <w:sz w:val="24"/>
          <w:szCs w:val="24"/>
        </w:rPr>
        <w:t>do</w:t>
      </w:r>
      <w:r w:rsidR="00016363" w:rsidRPr="003A1174">
        <w:rPr>
          <w:rFonts w:ascii="Garamond" w:hAnsi="Garamond"/>
          <w:sz w:val="24"/>
          <w:szCs w:val="24"/>
        </w:rPr>
        <w:t xml:space="preserve"> d</w:t>
      </w:r>
      <w:r w:rsidR="002C7510" w:rsidRPr="003A1174">
        <w:rPr>
          <w:rFonts w:ascii="Garamond" w:hAnsi="Garamond"/>
          <w:sz w:val="24"/>
          <w:szCs w:val="24"/>
        </w:rPr>
        <w:t>ano</w:t>
      </w:r>
      <w:r w:rsidR="00016363" w:rsidRPr="003A1174">
        <w:rPr>
          <w:rFonts w:ascii="Garamond" w:hAnsi="Garamond"/>
          <w:sz w:val="24"/>
          <w:szCs w:val="24"/>
        </w:rPr>
        <w:t xml:space="preserve"> </w:t>
      </w:r>
      <w:r w:rsidR="000030AE" w:rsidRPr="003A1174">
        <w:rPr>
          <w:rFonts w:ascii="Garamond" w:hAnsi="Garamond"/>
          <w:sz w:val="24"/>
          <w:szCs w:val="24"/>
        </w:rPr>
        <w:t>p</w:t>
      </w:r>
      <w:r w:rsidR="00016363" w:rsidRPr="003A1174">
        <w:rPr>
          <w:rFonts w:ascii="Garamond" w:hAnsi="Garamond"/>
          <w:sz w:val="24"/>
          <w:szCs w:val="24"/>
        </w:rPr>
        <w:t>sicológico</w:t>
      </w:r>
    </w:p>
    <w:p w:rsidR="00496CB2" w:rsidRPr="003A1174" w:rsidRDefault="000030AE" w:rsidP="008719D4">
      <w:pPr>
        <w:tabs>
          <w:tab w:val="left" w:pos="720"/>
        </w:tabs>
        <w:spacing w:before="240" w:line="240" w:lineRule="auto"/>
        <w:jc w:val="both"/>
        <w:rPr>
          <w:rFonts w:ascii="Garamond" w:hAnsi="Garamond" w:cs="Arial"/>
          <w:sz w:val="24"/>
          <w:szCs w:val="24"/>
        </w:rPr>
      </w:pPr>
      <w:r w:rsidRPr="003A1174">
        <w:rPr>
          <w:rFonts w:ascii="Garamond" w:hAnsi="Garamond" w:cs="Arial"/>
          <w:sz w:val="24"/>
          <w:szCs w:val="24"/>
        </w:rPr>
        <w:t xml:space="preserve">A </w:t>
      </w:r>
      <w:r w:rsidR="00D15AFF" w:rsidRPr="003A1174">
        <w:rPr>
          <w:rFonts w:ascii="Garamond" w:hAnsi="Garamond" w:cs="Arial"/>
          <w:sz w:val="24"/>
          <w:szCs w:val="24"/>
        </w:rPr>
        <w:t>Lei</w:t>
      </w:r>
      <w:r w:rsidR="00496CB2" w:rsidRPr="003A1174">
        <w:rPr>
          <w:rFonts w:ascii="Garamond" w:hAnsi="Garamond" w:cs="Arial"/>
          <w:sz w:val="24"/>
          <w:szCs w:val="24"/>
        </w:rPr>
        <w:t xml:space="preserve"> de </w:t>
      </w:r>
      <w:r w:rsidR="007C63D0" w:rsidRPr="003A1174">
        <w:rPr>
          <w:rFonts w:ascii="Garamond" w:hAnsi="Garamond" w:cs="Arial"/>
          <w:sz w:val="24"/>
          <w:szCs w:val="24"/>
        </w:rPr>
        <w:t>Saúde</w:t>
      </w:r>
      <w:r w:rsidR="00496CB2" w:rsidRPr="003A1174">
        <w:rPr>
          <w:rFonts w:ascii="Garamond" w:hAnsi="Garamond" w:cs="Arial"/>
          <w:sz w:val="24"/>
          <w:szCs w:val="24"/>
        </w:rPr>
        <w:t xml:space="preserve"> Mental de </w:t>
      </w:r>
      <w:r w:rsidR="0017447A" w:rsidRPr="003A1174">
        <w:rPr>
          <w:rFonts w:ascii="Garamond" w:hAnsi="Garamond" w:cs="Arial"/>
          <w:sz w:val="24"/>
          <w:szCs w:val="24"/>
        </w:rPr>
        <w:t>Porto</w:t>
      </w:r>
      <w:r w:rsidR="00496CB2" w:rsidRPr="003A1174">
        <w:rPr>
          <w:rFonts w:ascii="Garamond" w:hAnsi="Garamond" w:cs="Arial"/>
          <w:sz w:val="24"/>
          <w:szCs w:val="24"/>
        </w:rPr>
        <w:t xml:space="preserve"> Rico, </w:t>
      </w:r>
      <w:r w:rsidR="00D15AFF" w:rsidRPr="003A1174">
        <w:rPr>
          <w:rFonts w:ascii="Garamond" w:hAnsi="Garamond" w:cs="Arial"/>
          <w:sz w:val="24"/>
          <w:szCs w:val="24"/>
        </w:rPr>
        <w:t>Lei</w:t>
      </w:r>
      <w:r w:rsidR="00496CB2" w:rsidRPr="003A1174">
        <w:rPr>
          <w:rFonts w:ascii="Garamond" w:hAnsi="Garamond" w:cs="Arial"/>
          <w:sz w:val="24"/>
          <w:szCs w:val="24"/>
        </w:rPr>
        <w:t xml:space="preserve"> N</w:t>
      </w:r>
      <w:r w:rsidR="00344875">
        <w:rPr>
          <w:rFonts w:ascii="Garamond" w:hAnsi="Garamond" w:cs="Arial"/>
          <w:sz w:val="24"/>
          <w:szCs w:val="24"/>
        </w:rPr>
        <w:t>.</w:t>
      </w:r>
      <w:r w:rsidR="00C269C2" w:rsidRPr="003A1174">
        <w:rPr>
          <w:rFonts w:ascii="Garamond" w:hAnsi="Garamond" w:cs="Arial"/>
          <w:sz w:val="24"/>
          <w:szCs w:val="24"/>
        </w:rPr>
        <w:t>°</w:t>
      </w:r>
      <w:r w:rsidR="00496CB2" w:rsidRPr="003A1174">
        <w:rPr>
          <w:rFonts w:ascii="Garamond" w:hAnsi="Garamond" w:cs="Arial"/>
          <w:sz w:val="24"/>
          <w:szCs w:val="24"/>
        </w:rPr>
        <w:t xml:space="preserve"> 408</w:t>
      </w:r>
      <w:r w:rsidR="00344875">
        <w:rPr>
          <w:rFonts w:ascii="Garamond" w:hAnsi="Garamond" w:cs="Arial"/>
          <w:sz w:val="24"/>
          <w:szCs w:val="24"/>
        </w:rPr>
        <w:t>,</w:t>
      </w:r>
      <w:r w:rsidR="00496CB2" w:rsidRPr="003A1174">
        <w:rPr>
          <w:rFonts w:ascii="Garamond" w:hAnsi="Garamond" w:cs="Arial"/>
          <w:sz w:val="24"/>
          <w:szCs w:val="24"/>
        </w:rPr>
        <w:t xml:space="preserve"> de 2 de </w:t>
      </w:r>
      <w:r w:rsidR="00344875">
        <w:rPr>
          <w:rFonts w:ascii="Garamond" w:hAnsi="Garamond" w:cs="Arial"/>
          <w:sz w:val="24"/>
          <w:szCs w:val="24"/>
        </w:rPr>
        <w:t>o</w:t>
      </w:r>
      <w:r w:rsidR="00374785" w:rsidRPr="003A1174">
        <w:rPr>
          <w:rFonts w:ascii="Garamond" w:hAnsi="Garamond" w:cs="Arial"/>
          <w:sz w:val="24"/>
          <w:szCs w:val="24"/>
        </w:rPr>
        <w:t>utubro</w:t>
      </w:r>
      <w:r w:rsidRPr="003A1174">
        <w:rPr>
          <w:rFonts w:ascii="Garamond" w:hAnsi="Garamond" w:cs="Arial"/>
          <w:sz w:val="24"/>
          <w:szCs w:val="24"/>
        </w:rPr>
        <w:t xml:space="preserve"> de 2000, </w:t>
      </w:r>
      <w:r w:rsidR="00344875">
        <w:rPr>
          <w:rFonts w:ascii="Garamond" w:hAnsi="Garamond" w:cs="Arial"/>
          <w:sz w:val="24"/>
          <w:szCs w:val="24"/>
        </w:rPr>
        <w:t>determina que os</w:t>
      </w:r>
      <w:r w:rsidR="00496CB2" w:rsidRPr="003A1174">
        <w:rPr>
          <w:rFonts w:ascii="Garamond" w:hAnsi="Garamond" w:cs="Arial"/>
          <w:sz w:val="24"/>
          <w:szCs w:val="24"/>
        </w:rPr>
        <w:t xml:space="preserve"> </w:t>
      </w:r>
      <w:r w:rsidR="00B531F2" w:rsidRPr="003A1174">
        <w:rPr>
          <w:rFonts w:ascii="Garamond" w:hAnsi="Garamond" w:cs="Arial"/>
          <w:sz w:val="24"/>
          <w:szCs w:val="24"/>
        </w:rPr>
        <w:t>serviço</w:t>
      </w:r>
      <w:r w:rsidR="00496CB2" w:rsidRPr="003A1174">
        <w:rPr>
          <w:rFonts w:ascii="Garamond" w:hAnsi="Garamond" w:cs="Arial"/>
          <w:sz w:val="24"/>
          <w:szCs w:val="24"/>
        </w:rPr>
        <w:t xml:space="preserve">s </w:t>
      </w:r>
      <w:r w:rsidR="00E85E59" w:rsidRPr="003A1174">
        <w:rPr>
          <w:rFonts w:ascii="Garamond" w:hAnsi="Garamond" w:cs="Arial"/>
          <w:sz w:val="24"/>
          <w:szCs w:val="24"/>
        </w:rPr>
        <w:t>do</w:t>
      </w:r>
      <w:r w:rsidR="00496CB2" w:rsidRPr="003A1174">
        <w:rPr>
          <w:rFonts w:ascii="Garamond" w:hAnsi="Garamond" w:cs="Arial"/>
          <w:sz w:val="24"/>
          <w:szCs w:val="24"/>
        </w:rPr>
        <w:t xml:space="preserve"> </w:t>
      </w:r>
      <w:r w:rsidR="00C269C2" w:rsidRPr="003A1174">
        <w:rPr>
          <w:rFonts w:ascii="Garamond" w:hAnsi="Garamond" w:cs="Arial"/>
          <w:sz w:val="24"/>
          <w:szCs w:val="24"/>
        </w:rPr>
        <w:t>E</w:t>
      </w:r>
      <w:r w:rsidR="00496CB2" w:rsidRPr="003A1174">
        <w:rPr>
          <w:rFonts w:ascii="Garamond" w:hAnsi="Garamond" w:cs="Arial"/>
          <w:sz w:val="24"/>
          <w:szCs w:val="24"/>
        </w:rPr>
        <w:t xml:space="preserve">stado </w:t>
      </w:r>
      <w:r w:rsidR="002F5CD1" w:rsidRPr="003A1174">
        <w:rPr>
          <w:rFonts w:ascii="Garamond" w:hAnsi="Garamond" w:cs="Arial"/>
          <w:sz w:val="24"/>
          <w:szCs w:val="24"/>
        </w:rPr>
        <w:t>estabele</w:t>
      </w:r>
      <w:r w:rsidR="00344875">
        <w:rPr>
          <w:rFonts w:ascii="Garamond" w:hAnsi="Garamond" w:cs="Arial"/>
          <w:sz w:val="24"/>
          <w:szCs w:val="24"/>
        </w:rPr>
        <w:t>çam medidas</w:t>
      </w:r>
      <w:r w:rsidR="00496CB2" w:rsidRPr="003A1174">
        <w:rPr>
          <w:rFonts w:ascii="Garamond" w:hAnsi="Garamond" w:cs="Arial"/>
          <w:sz w:val="24"/>
          <w:szCs w:val="24"/>
        </w:rPr>
        <w:t xml:space="preserve"> de </w:t>
      </w:r>
      <w:r w:rsidR="007578C6" w:rsidRPr="003A1174">
        <w:rPr>
          <w:rFonts w:ascii="Garamond" w:hAnsi="Garamond" w:cs="Arial"/>
          <w:sz w:val="24"/>
          <w:szCs w:val="24"/>
        </w:rPr>
        <w:t>prevenção</w:t>
      </w:r>
      <w:r w:rsidR="00496CB2" w:rsidRPr="003A1174">
        <w:rPr>
          <w:rFonts w:ascii="Garamond" w:hAnsi="Garamond" w:cs="Arial"/>
          <w:sz w:val="24"/>
          <w:szCs w:val="24"/>
        </w:rPr>
        <w:t xml:space="preserve">, </w:t>
      </w:r>
      <w:r w:rsidR="001C2738" w:rsidRPr="003A1174">
        <w:rPr>
          <w:rFonts w:ascii="Garamond" w:hAnsi="Garamond" w:cs="Arial"/>
          <w:sz w:val="24"/>
          <w:szCs w:val="24"/>
        </w:rPr>
        <w:t>tratamento</w:t>
      </w:r>
      <w:r w:rsidR="00496CB2" w:rsidRPr="003A1174">
        <w:rPr>
          <w:rFonts w:ascii="Garamond" w:hAnsi="Garamond" w:cs="Arial"/>
          <w:sz w:val="24"/>
          <w:szCs w:val="24"/>
        </w:rPr>
        <w:t xml:space="preserve">, </w:t>
      </w:r>
      <w:r w:rsidR="00CF4C35" w:rsidRPr="003A1174">
        <w:rPr>
          <w:rFonts w:ascii="Garamond" w:hAnsi="Garamond" w:cs="Arial"/>
          <w:sz w:val="24"/>
          <w:szCs w:val="24"/>
        </w:rPr>
        <w:t>re</w:t>
      </w:r>
      <w:r w:rsidR="006E6DDF">
        <w:rPr>
          <w:rFonts w:ascii="Garamond" w:hAnsi="Garamond" w:cs="Arial"/>
          <w:sz w:val="24"/>
          <w:szCs w:val="24"/>
        </w:rPr>
        <w:t>cuperação</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C246B4" w:rsidRPr="003A1174">
        <w:rPr>
          <w:rFonts w:ascii="Garamond" w:hAnsi="Garamond" w:cs="Arial"/>
          <w:sz w:val="24"/>
          <w:szCs w:val="24"/>
        </w:rPr>
        <w:t>reabilitação</w:t>
      </w:r>
      <w:r w:rsidR="00496CB2" w:rsidRPr="003A1174">
        <w:rPr>
          <w:rFonts w:ascii="Garamond" w:hAnsi="Garamond" w:cs="Arial"/>
          <w:sz w:val="24"/>
          <w:szCs w:val="24"/>
        </w:rPr>
        <w:t xml:space="preserve"> e</w:t>
      </w:r>
      <w:r w:rsidRPr="003A1174">
        <w:rPr>
          <w:rFonts w:ascii="Garamond" w:hAnsi="Garamond" w:cs="Arial"/>
          <w:sz w:val="24"/>
          <w:szCs w:val="24"/>
        </w:rPr>
        <w:t>m</w:t>
      </w:r>
      <w:r w:rsidR="00496CB2" w:rsidRPr="003A1174">
        <w:rPr>
          <w:rFonts w:ascii="Garamond" w:hAnsi="Garamond" w:cs="Arial"/>
          <w:sz w:val="24"/>
          <w:szCs w:val="24"/>
        </w:rPr>
        <w:t xml:space="preserve"> </w:t>
      </w:r>
      <w:r w:rsidR="007C63D0" w:rsidRPr="003A1174">
        <w:rPr>
          <w:rFonts w:ascii="Garamond" w:hAnsi="Garamond" w:cs="Arial"/>
          <w:sz w:val="24"/>
          <w:szCs w:val="24"/>
        </w:rPr>
        <w:t>saúde</w:t>
      </w:r>
      <w:r w:rsidR="00496CB2" w:rsidRPr="003A1174">
        <w:rPr>
          <w:rFonts w:ascii="Garamond" w:hAnsi="Garamond" w:cs="Arial"/>
          <w:sz w:val="24"/>
          <w:szCs w:val="24"/>
        </w:rPr>
        <w:t xml:space="preserve"> mental</w:t>
      </w:r>
      <w:r w:rsidR="003A44D1">
        <w:rPr>
          <w:rFonts w:ascii="Garamond" w:hAnsi="Garamond" w:cs="Arial"/>
          <w:sz w:val="24"/>
          <w:szCs w:val="24"/>
        </w:rPr>
        <w:t>, tais como:</w:t>
      </w:r>
      <w:r w:rsidR="00496CB2" w:rsidRPr="003A1174">
        <w:rPr>
          <w:rFonts w:ascii="Garamond" w:hAnsi="Garamond" w:cs="Arial"/>
          <w:sz w:val="24"/>
          <w:szCs w:val="24"/>
        </w:rPr>
        <w:t xml:space="preserve"> </w:t>
      </w:r>
      <w:r w:rsidR="0091213A" w:rsidRPr="003A1174">
        <w:rPr>
          <w:rFonts w:ascii="Garamond" w:hAnsi="Garamond" w:cs="Arial"/>
          <w:sz w:val="24"/>
          <w:szCs w:val="24"/>
        </w:rPr>
        <w:t>cria</w:t>
      </w:r>
      <w:r w:rsidR="006E6DDF">
        <w:rPr>
          <w:rFonts w:ascii="Garamond" w:hAnsi="Garamond" w:cs="Arial"/>
          <w:sz w:val="24"/>
          <w:szCs w:val="24"/>
        </w:rPr>
        <w:t>r</w:t>
      </w:r>
      <w:r w:rsidR="00496CB2" w:rsidRPr="003A1174">
        <w:rPr>
          <w:rFonts w:ascii="Garamond" w:hAnsi="Garamond" w:cs="Arial"/>
          <w:sz w:val="24"/>
          <w:szCs w:val="24"/>
        </w:rPr>
        <w:t xml:space="preserve"> </w:t>
      </w:r>
      <w:r w:rsidR="00344875">
        <w:rPr>
          <w:rFonts w:ascii="Garamond" w:hAnsi="Garamond" w:cs="Arial"/>
          <w:sz w:val="24"/>
          <w:szCs w:val="24"/>
        </w:rPr>
        <w:t>«</w:t>
      </w:r>
      <w:r w:rsidR="00496CB2" w:rsidRPr="003A1174">
        <w:rPr>
          <w:rFonts w:ascii="Garamond" w:hAnsi="Garamond" w:cs="Arial"/>
          <w:sz w:val="24"/>
          <w:szCs w:val="24"/>
        </w:rPr>
        <w:t xml:space="preserve">Cartas de </w:t>
      </w:r>
      <w:r w:rsidR="00886D6A" w:rsidRPr="003A1174">
        <w:rPr>
          <w:rFonts w:ascii="Garamond" w:hAnsi="Garamond" w:cs="Arial"/>
          <w:sz w:val="24"/>
          <w:szCs w:val="24"/>
        </w:rPr>
        <w:t>Direito</w:t>
      </w:r>
      <w:r w:rsidR="00344875">
        <w:rPr>
          <w:rFonts w:ascii="Garamond" w:hAnsi="Garamond" w:cs="Arial"/>
          <w:sz w:val="24"/>
          <w:szCs w:val="24"/>
        </w:rPr>
        <w:t>»</w:t>
      </w:r>
      <w:r w:rsidR="00496CB2" w:rsidRPr="003A1174">
        <w:rPr>
          <w:rFonts w:ascii="Garamond" w:hAnsi="Garamond" w:cs="Arial"/>
          <w:sz w:val="24"/>
          <w:szCs w:val="24"/>
        </w:rPr>
        <w:t xml:space="preserve"> para adultos </w:t>
      </w:r>
      <w:r w:rsidR="000672E8" w:rsidRPr="003A1174">
        <w:rPr>
          <w:rFonts w:ascii="Garamond" w:hAnsi="Garamond" w:cs="Arial"/>
          <w:sz w:val="24"/>
          <w:szCs w:val="24"/>
        </w:rPr>
        <w:t>e</w:t>
      </w:r>
      <w:r w:rsidR="00496CB2" w:rsidRPr="003A1174">
        <w:rPr>
          <w:rFonts w:ascii="Garamond" w:hAnsi="Garamond" w:cs="Arial"/>
          <w:sz w:val="24"/>
          <w:szCs w:val="24"/>
        </w:rPr>
        <w:t xml:space="preserve"> menores que rec</w:t>
      </w:r>
      <w:r w:rsidRPr="003A1174">
        <w:rPr>
          <w:rFonts w:ascii="Garamond" w:hAnsi="Garamond" w:cs="Arial"/>
          <w:sz w:val="24"/>
          <w:szCs w:val="24"/>
        </w:rPr>
        <w:t xml:space="preserve">ebem </w:t>
      </w:r>
      <w:r w:rsidR="00B531F2" w:rsidRPr="003A1174">
        <w:rPr>
          <w:rFonts w:ascii="Garamond" w:hAnsi="Garamond" w:cs="Arial"/>
          <w:sz w:val="24"/>
          <w:szCs w:val="24"/>
        </w:rPr>
        <w:t>serviço</w:t>
      </w:r>
      <w:r w:rsidR="00496CB2" w:rsidRPr="003A1174">
        <w:rPr>
          <w:rFonts w:ascii="Garamond" w:hAnsi="Garamond" w:cs="Arial"/>
          <w:sz w:val="24"/>
          <w:szCs w:val="24"/>
        </w:rPr>
        <w:t xml:space="preserve">s de </w:t>
      </w:r>
      <w:r w:rsidR="007C63D0" w:rsidRPr="003A1174">
        <w:rPr>
          <w:rFonts w:ascii="Garamond" w:hAnsi="Garamond" w:cs="Arial"/>
          <w:sz w:val="24"/>
          <w:szCs w:val="24"/>
        </w:rPr>
        <w:t>saúde</w:t>
      </w:r>
      <w:r w:rsidR="00496CB2" w:rsidRPr="003A1174">
        <w:rPr>
          <w:rFonts w:ascii="Garamond" w:hAnsi="Garamond" w:cs="Arial"/>
          <w:sz w:val="24"/>
          <w:szCs w:val="24"/>
        </w:rPr>
        <w:t xml:space="preserve"> mental; uniform</w:t>
      </w:r>
      <w:r w:rsidRPr="003A1174">
        <w:rPr>
          <w:rFonts w:ascii="Garamond" w:hAnsi="Garamond" w:cs="Arial"/>
          <w:sz w:val="24"/>
          <w:szCs w:val="24"/>
        </w:rPr>
        <w:t>iza</w:t>
      </w:r>
      <w:r w:rsidR="006E6DDF">
        <w:rPr>
          <w:rFonts w:ascii="Garamond" w:hAnsi="Garamond" w:cs="Arial"/>
          <w:sz w:val="24"/>
          <w:szCs w:val="24"/>
        </w:rPr>
        <w:t>r</w:t>
      </w:r>
      <w:r w:rsidR="00496CB2" w:rsidRPr="003A1174">
        <w:rPr>
          <w:rFonts w:ascii="Garamond" w:hAnsi="Garamond" w:cs="Arial"/>
          <w:sz w:val="24"/>
          <w:szCs w:val="24"/>
        </w:rPr>
        <w:t xml:space="preserve"> </w:t>
      </w:r>
      <w:r w:rsidR="003F012B" w:rsidRPr="003A1174">
        <w:rPr>
          <w:rFonts w:ascii="Garamond" w:hAnsi="Garamond" w:cs="Arial"/>
          <w:sz w:val="24"/>
          <w:szCs w:val="24"/>
        </w:rPr>
        <w:t>procedimentos</w:t>
      </w:r>
      <w:r w:rsidR="006E6DDF">
        <w:rPr>
          <w:rFonts w:ascii="Garamond" w:hAnsi="Garamond" w:cs="Arial"/>
          <w:sz w:val="24"/>
          <w:szCs w:val="24"/>
        </w:rPr>
        <w:t xml:space="preserve"> no que resp</w:t>
      </w:r>
      <w:r w:rsidR="003A44D1">
        <w:rPr>
          <w:rFonts w:ascii="Garamond" w:hAnsi="Garamond" w:cs="Arial"/>
          <w:sz w:val="24"/>
          <w:szCs w:val="24"/>
        </w:rPr>
        <w:t>e</w:t>
      </w:r>
      <w:r w:rsidR="006E6DDF">
        <w:rPr>
          <w:rFonts w:ascii="Garamond" w:hAnsi="Garamond" w:cs="Arial"/>
          <w:sz w:val="24"/>
          <w:szCs w:val="24"/>
        </w:rPr>
        <w:t>ita</w:t>
      </w:r>
      <w:r w:rsidR="00496CB2" w:rsidRPr="003A1174">
        <w:rPr>
          <w:rFonts w:ascii="Garamond" w:hAnsi="Garamond" w:cs="Arial"/>
          <w:sz w:val="24"/>
          <w:szCs w:val="24"/>
        </w:rPr>
        <w:t xml:space="preserve"> </w:t>
      </w:r>
      <w:r w:rsidR="003A44D1">
        <w:rPr>
          <w:rFonts w:ascii="Garamond" w:hAnsi="Garamond" w:cs="Arial"/>
          <w:sz w:val="24"/>
          <w:szCs w:val="24"/>
        </w:rPr>
        <w:t xml:space="preserve">a </w:t>
      </w:r>
      <w:r w:rsidR="007407BD" w:rsidRPr="003A1174">
        <w:rPr>
          <w:rFonts w:ascii="Garamond" w:hAnsi="Garamond" w:cs="Arial"/>
          <w:sz w:val="24"/>
          <w:szCs w:val="24"/>
        </w:rPr>
        <w:t>estes</w:t>
      </w:r>
      <w:r w:rsidR="00496CB2" w:rsidRPr="003A1174">
        <w:rPr>
          <w:rFonts w:ascii="Garamond" w:hAnsi="Garamond" w:cs="Arial"/>
          <w:sz w:val="24"/>
          <w:szCs w:val="24"/>
        </w:rPr>
        <w:t xml:space="preserve"> </w:t>
      </w:r>
      <w:r w:rsidR="00886D6A" w:rsidRPr="003A1174">
        <w:rPr>
          <w:rFonts w:ascii="Garamond" w:hAnsi="Garamond" w:cs="Arial"/>
          <w:sz w:val="24"/>
          <w:szCs w:val="24"/>
        </w:rPr>
        <w:t>direito</w:t>
      </w:r>
      <w:r w:rsidR="00496CB2" w:rsidRPr="003A1174">
        <w:rPr>
          <w:rFonts w:ascii="Garamond" w:hAnsi="Garamond" w:cs="Arial"/>
          <w:sz w:val="24"/>
          <w:szCs w:val="24"/>
        </w:rPr>
        <w:t xml:space="preserve">s; </w:t>
      </w:r>
      <w:r w:rsidR="002F5CD1" w:rsidRPr="003A1174">
        <w:rPr>
          <w:rFonts w:ascii="Garamond" w:hAnsi="Garamond" w:cs="Arial"/>
          <w:sz w:val="24"/>
          <w:szCs w:val="24"/>
        </w:rPr>
        <w:t>estabelec</w:t>
      </w:r>
      <w:r w:rsidR="003A44D1">
        <w:rPr>
          <w:rFonts w:ascii="Garamond" w:hAnsi="Garamond" w:cs="Arial"/>
          <w:sz w:val="24"/>
          <w:szCs w:val="24"/>
        </w:rPr>
        <w:t xml:space="preserve">er </w:t>
      </w:r>
      <w:r w:rsidR="006D0543" w:rsidRPr="003A1174">
        <w:rPr>
          <w:rFonts w:ascii="Garamond" w:hAnsi="Garamond" w:cs="Arial"/>
          <w:sz w:val="24"/>
          <w:szCs w:val="24"/>
        </w:rPr>
        <w:t>princípio</w:t>
      </w:r>
      <w:r w:rsidR="00496CB2" w:rsidRPr="003A1174">
        <w:rPr>
          <w:rFonts w:ascii="Garamond" w:hAnsi="Garamond" w:cs="Arial"/>
          <w:sz w:val="24"/>
          <w:szCs w:val="24"/>
        </w:rPr>
        <w:t xml:space="preserve">s básicos </w:t>
      </w:r>
      <w:r w:rsidR="00497503" w:rsidRPr="003A1174">
        <w:rPr>
          <w:rFonts w:ascii="Garamond" w:hAnsi="Garamond" w:cs="Arial"/>
          <w:sz w:val="24"/>
          <w:szCs w:val="24"/>
        </w:rPr>
        <w:t>dos</w:t>
      </w:r>
      <w:r w:rsidR="00496CB2" w:rsidRPr="003A1174">
        <w:rPr>
          <w:rFonts w:ascii="Garamond" w:hAnsi="Garamond" w:cs="Arial"/>
          <w:sz w:val="24"/>
          <w:szCs w:val="24"/>
        </w:rPr>
        <w:t xml:space="preserve"> </w:t>
      </w:r>
      <w:r w:rsidR="003F012B" w:rsidRPr="003A1174">
        <w:rPr>
          <w:rFonts w:ascii="Garamond" w:hAnsi="Garamond" w:cs="Arial"/>
          <w:sz w:val="24"/>
          <w:szCs w:val="24"/>
        </w:rPr>
        <w:t>níveis</w:t>
      </w:r>
      <w:r w:rsidR="00496CB2" w:rsidRPr="003A1174">
        <w:rPr>
          <w:rFonts w:ascii="Garamond" w:hAnsi="Garamond" w:cs="Arial"/>
          <w:sz w:val="24"/>
          <w:szCs w:val="24"/>
        </w:rPr>
        <w:t xml:space="preserve"> de cuidado</w:t>
      </w:r>
      <w:r w:rsidR="003A44D1">
        <w:rPr>
          <w:rFonts w:ascii="Garamond" w:hAnsi="Garamond" w:cs="Arial"/>
          <w:sz w:val="24"/>
          <w:szCs w:val="24"/>
        </w:rPr>
        <w:t>s</w:t>
      </w:r>
      <w:r w:rsidR="00496CB2" w:rsidRPr="003A1174">
        <w:rPr>
          <w:rFonts w:ascii="Garamond" w:hAnsi="Garamond" w:cs="Arial"/>
          <w:sz w:val="24"/>
          <w:szCs w:val="24"/>
        </w:rPr>
        <w:t xml:space="preserve"> </w:t>
      </w:r>
      <w:r w:rsidRPr="003A1174">
        <w:rPr>
          <w:rFonts w:ascii="Garamond" w:hAnsi="Garamond" w:cs="Arial"/>
          <w:sz w:val="24"/>
          <w:szCs w:val="24"/>
        </w:rPr>
        <w:t xml:space="preserve">na oferta </w:t>
      </w:r>
      <w:r w:rsidR="00496CB2" w:rsidRPr="003A1174">
        <w:rPr>
          <w:rFonts w:ascii="Garamond" w:hAnsi="Garamond" w:cs="Arial"/>
          <w:sz w:val="24"/>
          <w:szCs w:val="24"/>
        </w:rPr>
        <w:t xml:space="preserve">de </w:t>
      </w:r>
      <w:r w:rsidR="00B531F2" w:rsidRPr="003A1174">
        <w:rPr>
          <w:rFonts w:ascii="Garamond" w:hAnsi="Garamond" w:cs="Arial"/>
          <w:sz w:val="24"/>
          <w:szCs w:val="24"/>
        </w:rPr>
        <w:t>serviço</w:t>
      </w:r>
      <w:r w:rsidR="00496CB2" w:rsidRPr="003A1174">
        <w:rPr>
          <w:rFonts w:ascii="Garamond" w:hAnsi="Garamond" w:cs="Arial"/>
          <w:sz w:val="24"/>
          <w:szCs w:val="24"/>
        </w:rPr>
        <w:t xml:space="preserve">s de </w:t>
      </w:r>
      <w:r w:rsidR="007C63D0" w:rsidRPr="003A1174">
        <w:rPr>
          <w:rFonts w:ascii="Garamond" w:hAnsi="Garamond" w:cs="Arial"/>
          <w:sz w:val="24"/>
          <w:szCs w:val="24"/>
        </w:rPr>
        <w:t>saúde</w:t>
      </w:r>
      <w:r w:rsidR="00496CB2" w:rsidRPr="003A1174">
        <w:rPr>
          <w:rFonts w:ascii="Garamond" w:hAnsi="Garamond" w:cs="Arial"/>
          <w:sz w:val="24"/>
          <w:szCs w:val="24"/>
        </w:rPr>
        <w:t xml:space="preserve"> mental. </w:t>
      </w:r>
    </w:p>
    <w:p w:rsidR="00496CB2" w:rsidRPr="003A1174" w:rsidRDefault="000030AE"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A </w:t>
      </w:r>
      <w:r w:rsidR="00D15AFF" w:rsidRPr="003A1174">
        <w:rPr>
          <w:rFonts w:ascii="Garamond" w:hAnsi="Garamond" w:cs="Arial"/>
          <w:sz w:val="24"/>
          <w:szCs w:val="24"/>
        </w:rPr>
        <w:t>Lei</w:t>
      </w:r>
      <w:r w:rsidR="00496CB2" w:rsidRPr="003A1174">
        <w:rPr>
          <w:rFonts w:ascii="Garamond" w:hAnsi="Garamond" w:cs="Arial"/>
          <w:sz w:val="24"/>
          <w:szCs w:val="24"/>
        </w:rPr>
        <w:t xml:space="preserve"> </w:t>
      </w:r>
      <w:r w:rsidR="00C269C2" w:rsidRPr="003A1174">
        <w:rPr>
          <w:rFonts w:ascii="Garamond" w:hAnsi="Garamond" w:cs="Arial"/>
          <w:sz w:val="24"/>
          <w:szCs w:val="24"/>
        </w:rPr>
        <w:t>N</w:t>
      </w:r>
      <w:r w:rsidR="003A44D1">
        <w:rPr>
          <w:rFonts w:ascii="Garamond" w:hAnsi="Garamond" w:cs="Arial"/>
          <w:sz w:val="24"/>
          <w:szCs w:val="24"/>
        </w:rPr>
        <w:t>.</w:t>
      </w:r>
      <w:r w:rsidR="00C269C2" w:rsidRPr="003A1174">
        <w:rPr>
          <w:rFonts w:ascii="Garamond" w:hAnsi="Garamond" w:cs="Arial"/>
          <w:sz w:val="24"/>
          <w:szCs w:val="24"/>
        </w:rPr>
        <w:t xml:space="preserve">° </w:t>
      </w:r>
      <w:r w:rsidR="00496CB2" w:rsidRPr="003A1174">
        <w:rPr>
          <w:rFonts w:ascii="Garamond" w:hAnsi="Garamond" w:cs="Arial"/>
          <w:sz w:val="24"/>
          <w:szCs w:val="24"/>
        </w:rPr>
        <w:t xml:space="preserve">408 </w:t>
      </w:r>
      <w:r w:rsidRPr="003A1174">
        <w:rPr>
          <w:rFonts w:ascii="Garamond" w:hAnsi="Garamond" w:cs="Arial"/>
          <w:sz w:val="24"/>
          <w:szCs w:val="24"/>
        </w:rPr>
        <w:t xml:space="preserve">mantém o </w:t>
      </w:r>
      <w:r w:rsidR="00496CB2" w:rsidRPr="003A1174">
        <w:rPr>
          <w:rFonts w:ascii="Garamond" w:hAnsi="Garamond" w:cs="Arial"/>
          <w:sz w:val="24"/>
          <w:szCs w:val="24"/>
        </w:rPr>
        <w:t xml:space="preserve">firme propósito de </w:t>
      </w:r>
      <w:r w:rsidRPr="003A1174">
        <w:rPr>
          <w:rFonts w:ascii="Garamond" w:hAnsi="Garamond" w:cs="Arial"/>
          <w:sz w:val="24"/>
          <w:szCs w:val="24"/>
        </w:rPr>
        <w:t xml:space="preserve">estabelecer a </w:t>
      </w:r>
      <w:r w:rsidR="005C051C" w:rsidRPr="003A1174">
        <w:rPr>
          <w:rFonts w:ascii="Garamond" w:hAnsi="Garamond" w:cs="Arial"/>
          <w:sz w:val="24"/>
          <w:szCs w:val="24"/>
        </w:rPr>
        <w:t>incorporação</w:t>
      </w:r>
      <w:r w:rsidR="00496CB2" w:rsidRPr="003A1174">
        <w:rPr>
          <w:rFonts w:ascii="Garamond" w:hAnsi="Garamond" w:cs="Arial"/>
          <w:sz w:val="24"/>
          <w:szCs w:val="24"/>
        </w:rPr>
        <w:t xml:space="preserve"> de todos os </w:t>
      </w:r>
      <w:r w:rsidR="00FC1F7F" w:rsidRPr="003A1174">
        <w:rPr>
          <w:rFonts w:ascii="Garamond" w:hAnsi="Garamond" w:cs="Arial"/>
          <w:sz w:val="24"/>
          <w:szCs w:val="24"/>
        </w:rPr>
        <w:t>avanços</w:t>
      </w:r>
      <w:r w:rsidR="00496CB2" w:rsidRPr="003A1174">
        <w:rPr>
          <w:rFonts w:ascii="Garamond" w:hAnsi="Garamond" w:cs="Arial"/>
          <w:sz w:val="24"/>
          <w:szCs w:val="24"/>
        </w:rPr>
        <w:t xml:space="preserve"> </w:t>
      </w:r>
      <w:r w:rsidR="003F012B" w:rsidRPr="003A1174">
        <w:rPr>
          <w:rFonts w:ascii="Garamond" w:hAnsi="Garamond" w:cs="Arial"/>
          <w:sz w:val="24"/>
          <w:szCs w:val="24"/>
        </w:rPr>
        <w:t>sociais</w:t>
      </w:r>
      <w:r w:rsidR="00C269C2" w:rsidRPr="003A1174">
        <w:rPr>
          <w:rFonts w:ascii="Garamond" w:hAnsi="Garamond" w:cs="Arial"/>
          <w:sz w:val="24"/>
          <w:szCs w:val="24"/>
        </w:rPr>
        <w:t>,</w:t>
      </w:r>
      <w:r w:rsidR="00496CB2" w:rsidRPr="003A1174">
        <w:rPr>
          <w:rFonts w:ascii="Garamond" w:hAnsi="Garamond" w:cs="Arial"/>
          <w:sz w:val="24"/>
          <w:szCs w:val="24"/>
        </w:rPr>
        <w:t xml:space="preserve"> tecnológicos</w:t>
      </w:r>
      <w:r w:rsidR="00C269C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sociológico</w:t>
      </w:r>
      <w:r w:rsidR="00C269C2" w:rsidRPr="003A1174">
        <w:rPr>
          <w:rFonts w:ascii="Garamond" w:hAnsi="Garamond" w:cs="Arial"/>
          <w:sz w:val="24"/>
          <w:szCs w:val="24"/>
        </w:rPr>
        <w:t>s</w:t>
      </w:r>
      <w:r w:rsidR="00496CB2" w:rsidRPr="003A1174">
        <w:rPr>
          <w:rFonts w:ascii="Garamond" w:hAnsi="Garamond" w:cs="Arial"/>
          <w:sz w:val="24"/>
          <w:szCs w:val="24"/>
        </w:rPr>
        <w:t xml:space="preserve"> </w:t>
      </w:r>
      <w:r w:rsidRPr="003A1174">
        <w:rPr>
          <w:rFonts w:ascii="Garamond" w:hAnsi="Garamond" w:cs="Arial"/>
          <w:sz w:val="24"/>
          <w:szCs w:val="24"/>
        </w:rPr>
        <w:t xml:space="preserve">no </w:t>
      </w:r>
      <w:r w:rsidR="00496CB2" w:rsidRPr="003A1174">
        <w:rPr>
          <w:rFonts w:ascii="Garamond" w:hAnsi="Garamond" w:cs="Arial"/>
          <w:sz w:val="24"/>
          <w:szCs w:val="24"/>
        </w:rPr>
        <w:t xml:space="preserve">campo da </w:t>
      </w:r>
      <w:r w:rsidR="007C63D0" w:rsidRPr="003A1174">
        <w:rPr>
          <w:rFonts w:ascii="Garamond" w:hAnsi="Garamond" w:cs="Arial"/>
          <w:sz w:val="24"/>
          <w:szCs w:val="24"/>
        </w:rPr>
        <w:t>saúde</w:t>
      </w:r>
      <w:r w:rsidR="00496CB2" w:rsidRPr="003A1174">
        <w:rPr>
          <w:rFonts w:ascii="Garamond" w:hAnsi="Garamond" w:cs="Arial"/>
          <w:sz w:val="24"/>
          <w:szCs w:val="24"/>
        </w:rPr>
        <w:t xml:space="preserve"> que fortale</w:t>
      </w:r>
      <w:r w:rsidRPr="003A1174">
        <w:rPr>
          <w:rFonts w:ascii="Garamond" w:hAnsi="Garamond" w:cs="Arial"/>
          <w:sz w:val="24"/>
          <w:szCs w:val="24"/>
        </w:rPr>
        <w:t xml:space="preserve">çam </w:t>
      </w:r>
      <w:r w:rsidR="00496CB2" w:rsidRPr="003A1174">
        <w:rPr>
          <w:rFonts w:ascii="Garamond" w:hAnsi="Garamond" w:cs="Arial"/>
          <w:sz w:val="24"/>
          <w:szCs w:val="24"/>
        </w:rPr>
        <w:t>a unidad</w:t>
      </w:r>
      <w:r w:rsidRPr="003A1174">
        <w:rPr>
          <w:rFonts w:ascii="Garamond" w:hAnsi="Garamond" w:cs="Arial"/>
          <w:sz w:val="24"/>
          <w:szCs w:val="24"/>
        </w:rPr>
        <w:t>e</w:t>
      </w:r>
      <w:r w:rsidR="00496CB2" w:rsidRPr="003A1174">
        <w:rPr>
          <w:rFonts w:ascii="Garamond" w:hAnsi="Garamond" w:cs="Arial"/>
          <w:sz w:val="24"/>
          <w:szCs w:val="24"/>
        </w:rPr>
        <w:t xml:space="preserve"> familiar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D37CF3" w:rsidRPr="003A1174">
        <w:rPr>
          <w:rFonts w:ascii="Garamond" w:hAnsi="Garamond" w:cs="Arial"/>
          <w:sz w:val="24"/>
          <w:szCs w:val="24"/>
        </w:rPr>
        <w:t>comunitária</w:t>
      </w:r>
      <w:r w:rsidR="00496CB2" w:rsidRPr="003A1174">
        <w:rPr>
          <w:rFonts w:ascii="Garamond" w:hAnsi="Garamond" w:cs="Arial"/>
          <w:sz w:val="24"/>
          <w:szCs w:val="24"/>
        </w:rPr>
        <w:t xml:space="preserve">, </w:t>
      </w:r>
      <w:r w:rsidR="003A44D1">
        <w:rPr>
          <w:rFonts w:ascii="Garamond" w:hAnsi="Garamond" w:cs="Arial"/>
          <w:sz w:val="24"/>
          <w:szCs w:val="24"/>
        </w:rPr>
        <w:t xml:space="preserve">em conformidade com o </w:t>
      </w:r>
      <w:r w:rsidR="00EB78D9" w:rsidRPr="003A1174">
        <w:rPr>
          <w:rFonts w:ascii="Garamond" w:hAnsi="Garamond" w:cs="Arial"/>
          <w:sz w:val="24"/>
          <w:szCs w:val="24"/>
        </w:rPr>
        <w:t>nosso</w:t>
      </w:r>
      <w:r w:rsidR="00496CB2" w:rsidRPr="003A1174">
        <w:rPr>
          <w:rFonts w:ascii="Garamond" w:hAnsi="Garamond" w:cs="Arial"/>
          <w:sz w:val="24"/>
          <w:szCs w:val="24"/>
        </w:rPr>
        <w:t xml:space="preserve"> </w:t>
      </w:r>
      <w:r w:rsidRPr="003A1174">
        <w:rPr>
          <w:rFonts w:ascii="Garamond" w:hAnsi="Garamond" w:cs="Arial"/>
          <w:sz w:val="24"/>
          <w:szCs w:val="24"/>
        </w:rPr>
        <w:t xml:space="preserve">ambiente </w:t>
      </w:r>
      <w:r w:rsidR="00496CB2" w:rsidRPr="003A1174">
        <w:rPr>
          <w:rFonts w:ascii="Garamond" w:hAnsi="Garamond" w:cs="Arial"/>
          <w:sz w:val="24"/>
          <w:szCs w:val="24"/>
        </w:rPr>
        <w:t xml:space="preserve">cultural </w:t>
      </w:r>
      <w:r w:rsidR="000672E8" w:rsidRPr="003A1174">
        <w:rPr>
          <w:rFonts w:ascii="Garamond" w:hAnsi="Garamond" w:cs="Arial"/>
          <w:sz w:val="24"/>
          <w:szCs w:val="24"/>
        </w:rPr>
        <w:t>e</w:t>
      </w:r>
      <w:r w:rsidR="00496CB2" w:rsidRPr="003A1174">
        <w:rPr>
          <w:rFonts w:ascii="Garamond" w:hAnsi="Garamond" w:cs="Arial"/>
          <w:sz w:val="24"/>
          <w:szCs w:val="24"/>
        </w:rPr>
        <w:t xml:space="preserve"> social </w:t>
      </w:r>
      <w:r w:rsidR="003A44D1">
        <w:rPr>
          <w:rFonts w:ascii="Garamond" w:hAnsi="Garamond" w:cs="Arial"/>
          <w:sz w:val="24"/>
          <w:szCs w:val="24"/>
        </w:rPr>
        <w:t>-</w:t>
      </w:r>
      <w:r w:rsidRPr="003A1174">
        <w:rPr>
          <w:rFonts w:ascii="Garamond" w:hAnsi="Garamond" w:cs="Arial"/>
          <w:sz w:val="24"/>
          <w:szCs w:val="24"/>
        </w:rPr>
        <w:t xml:space="preserve"> </w:t>
      </w:r>
      <w:r w:rsidR="00496CB2" w:rsidRPr="003A1174">
        <w:rPr>
          <w:rFonts w:ascii="Garamond" w:hAnsi="Garamond" w:cs="Arial"/>
          <w:sz w:val="24"/>
          <w:szCs w:val="24"/>
        </w:rPr>
        <w:t>e</w:t>
      </w:r>
      <w:r w:rsidRPr="003A1174">
        <w:rPr>
          <w:rFonts w:ascii="Garamond" w:hAnsi="Garamond" w:cs="Arial"/>
          <w:sz w:val="24"/>
          <w:szCs w:val="24"/>
        </w:rPr>
        <w:t>m</w:t>
      </w:r>
      <w:r w:rsidR="00496CB2" w:rsidRPr="003A1174">
        <w:rPr>
          <w:rFonts w:ascii="Garamond" w:hAnsi="Garamond" w:cs="Arial"/>
          <w:sz w:val="24"/>
          <w:szCs w:val="24"/>
        </w:rPr>
        <w:t xml:space="preserve"> especial </w:t>
      </w:r>
      <w:r w:rsidR="003A44D1">
        <w:rPr>
          <w:rFonts w:ascii="Garamond" w:hAnsi="Garamond" w:cs="Arial"/>
          <w:sz w:val="24"/>
          <w:szCs w:val="24"/>
        </w:rPr>
        <w:t>com o</w:t>
      </w:r>
      <w:r w:rsidR="00496CB2" w:rsidRPr="003A1174">
        <w:rPr>
          <w:rFonts w:ascii="Garamond" w:hAnsi="Garamond" w:cs="Arial"/>
          <w:sz w:val="24"/>
          <w:szCs w:val="24"/>
        </w:rPr>
        <w:t xml:space="preserve"> </w:t>
      </w:r>
      <w:r w:rsidR="00496CB2" w:rsidRPr="003A1174">
        <w:rPr>
          <w:rFonts w:ascii="Garamond" w:hAnsi="Garamond" w:cs="Arial"/>
          <w:sz w:val="24"/>
          <w:szCs w:val="24"/>
        </w:rPr>
        <w:lastRenderedPageBreak/>
        <w:t xml:space="preserve">perfil </w:t>
      </w:r>
      <w:r w:rsidRPr="003A1174">
        <w:rPr>
          <w:rFonts w:ascii="Garamond" w:hAnsi="Garamond" w:cs="Arial"/>
          <w:sz w:val="24"/>
          <w:szCs w:val="24"/>
        </w:rPr>
        <w:t xml:space="preserve">populacional </w:t>
      </w:r>
      <w:r w:rsidR="00496CB2" w:rsidRPr="003A1174">
        <w:rPr>
          <w:rFonts w:ascii="Garamond" w:hAnsi="Garamond" w:cs="Arial"/>
          <w:sz w:val="24"/>
          <w:szCs w:val="24"/>
        </w:rPr>
        <w:t xml:space="preserve">de </w:t>
      </w:r>
      <w:r w:rsidR="00054EE0" w:rsidRPr="003A1174">
        <w:rPr>
          <w:rFonts w:ascii="Garamond" w:hAnsi="Garamond" w:cs="Arial"/>
          <w:sz w:val="24"/>
          <w:szCs w:val="24"/>
        </w:rPr>
        <w:t>mulheres</w:t>
      </w:r>
      <w:r w:rsidR="00496CB2" w:rsidRPr="003A1174">
        <w:rPr>
          <w:rFonts w:ascii="Garamond" w:hAnsi="Garamond" w:cs="Arial"/>
          <w:sz w:val="24"/>
          <w:szCs w:val="24"/>
        </w:rPr>
        <w:t xml:space="preserve"> que vive</w:t>
      </w:r>
      <w:r w:rsidRPr="003A1174">
        <w:rPr>
          <w:rFonts w:ascii="Garamond" w:hAnsi="Garamond" w:cs="Arial"/>
          <w:sz w:val="24"/>
          <w:szCs w:val="24"/>
        </w:rPr>
        <w:t xml:space="preserve">m em </w:t>
      </w:r>
      <w:r w:rsidR="00496CB2" w:rsidRPr="003A1174">
        <w:rPr>
          <w:rFonts w:ascii="Garamond" w:hAnsi="Garamond" w:cs="Arial"/>
          <w:sz w:val="24"/>
          <w:szCs w:val="24"/>
        </w:rPr>
        <w:t>ambientes familiares violentos</w:t>
      </w:r>
      <w:r w:rsidRPr="003A1174">
        <w:rPr>
          <w:rFonts w:ascii="Garamond" w:hAnsi="Garamond" w:cs="Arial"/>
          <w:sz w:val="24"/>
          <w:szCs w:val="24"/>
        </w:rPr>
        <w:t xml:space="preserve"> </w:t>
      </w:r>
      <w:r w:rsidR="003A44D1">
        <w:rPr>
          <w:rFonts w:ascii="Garamond" w:hAnsi="Garamond" w:cs="Arial"/>
          <w:sz w:val="24"/>
          <w:szCs w:val="24"/>
        </w:rPr>
        <w:t>-</w:t>
      </w:r>
      <w:r w:rsidR="00496CB2" w:rsidRPr="003A1174">
        <w:rPr>
          <w:rFonts w:ascii="Garamond" w:hAnsi="Garamond" w:cs="Arial"/>
          <w:sz w:val="24"/>
          <w:szCs w:val="24"/>
        </w:rPr>
        <w:t xml:space="preserve"> que garant</w:t>
      </w:r>
      <w:r w:rsidRPr="003A1174">
        <w:rPr>
          <w:rFonts w:ascii="Garamond" w:hAnsi="Garamond" w:cs="Arial"/>
          <w:sz w:val="24"/>
          <w:szCs w:val="24"/>
        </w:rPr>
        <w:t xml:space="preserve">am </w:t>
      </w:r>
      <w:r w:rsidR="00A708F5" w:rsidRPr="003A1174">
        <w:rPr>
          <w:rFonts w:ascii="Garamond" w:hAnsi="Garamond" w:cs="Arial"/>
          <w:sz w:val="24"/>
          <w:szCs w:val="24"/>
        </w:rPr>
        <w:t xml:space="preserve">à </w:t>
      </w:r>
      <w:r w:rsidR="00C90370" w:rsidRPr="003A1174">
        <w:rPr>
          <w:rFonts w:ascii="Garamond" w:hAnsi="Garamond" w:cs="Arial"/>
          <w:sz w:val="24"/>
          <w:szCs w:val="24"/>
        </w:rPr>
        <w:t>cidadania</w:t>
      </w:r>
      <w:r w:rsidR="00496CB2" w:rsidRPr="003A1174">
        <w:rPr>
          <w:rFonts w:ascii="Garamond" w:hAnsi="Garamond" w:cs="Arial"/>
          <w:sz w:val="24"/>
          <w:szCs w:val="24"/>
        </w:rPr>
        <w:t xml:space="preserve"> os </w:t>
      </w:r>
      <w:r w:rsidR="00886D6A" w:rsidRPr="003A1174">
        <w:rPr>
          <w:rFonts w:ascii="Garamond" w:hAnsi="Garamond" w:cs="Arial"/>
          <w:sz w:val="24"/>
          <w:szCs w:val="24"/>
        </w:rPr>
        <w:t>direito</w:t>
      </w:r>
      <w:r w:rsidR="00496CB2" w:rsidRPr="003A1174">
        <w:rPr>
          <w:rFonts w:ascii="Garamond" w:hAnsi="Garamond" w:cs="Arial"/>
          <w:sz w:val="24"/>
          <w:szCs w:val="24"/>
        </w:rPr>
        <w:t xml:space="preserve">s consagrados </w:t>
      </w:r>
      <w:r w:rsidRPr="003A1174">
        <w:rPr>
          <w:rFonts w:ascii="Garamond" w:hAnsi="Garamond" w:cs="Arial"/>
          <w:sz w:val="24"/>
          <w:szCs w:val="24"/>
        </w:rPr>
        <w:t>n</w:t>
      </w:r>
      <w:r w:rsidR="003A44D1">
        <w:rPr>
          <w:rFonts w:ascii="Garamond" w:hAnsi="Garamond" w:cs="Arial"/>
          <w:sz w:val="24"/>
          <w:szCs w:val="24"/>
        </w:rPr>
        <w:t>a</w:t>
      </w:r>
      <w:r w:rsidRPr="003A1174">
        <w:rPr>
          <w:rFonts w:ascii="Garamond" w:hAnsi="Garamond" w:cs="Arial"/>
          <w:sz w:val="24"/>
          <w:szCs w:val="24"/>
        </w:rPr>
        <w:t xml:space="preserve"> </w:t>
      </w:r>
      <w:r w:rsidR="00EB78D9" w:rsidRPr="003A1174">
        <w:rPr>
          <w:rFonts w:ascii="Garamond" w:hAnsi="Garamond" w:cs="Arial"/>
          <w:sz w:val="24"/>
          <w:szCs w:val="24"/>
        </w:rPr>
        <w:t>noss</w:t>
      </w:r>
      <w:r w:rsidR="003A44D1">
        <w:rPr>
          <w:rFonts w:ascii="Garamond" w:hAnsi="Garamond" w:cs="Arial"/>
          <w:sz w:val="24"/>
          <w:szCs w:val="24"/>
        </w:rPr>
        <w:t>a</w:t>
      </w:r>
      <w:r w:rsidR="00496CB2" w:rsidRPr="003A1174">
        <w:rPr>
          <w:rFonts w:ascii="Garamond" w:hAnsi="Garamond" w:cs="Arial"/>
          <w:sz w:val="24"/>
          <w:szCs w:val="24"/>
        </w:rPr>
        <w:t xml:space="preserve"> </w:t>
      </w:r>
      <w:r w:rsidR="00A708F5" w:rsidRPr="003A1174">
        <w:rPr>
          <w:rFonts w:ascii="Garamond" w:hAnsi="Garamond" w:cs="Arial"/>
          <w:sz w:val="24"/>
          <w:szCs w:val="24"/>
        </w:rPr>
        <w:t>estrutura</w:t>
      </w:r>
      <w:r w:rsidR="00496CB2" w:rsidRPr="003A1174">
        <w:rPr>
          <w:rFonts w:ascii="Garamond" w:hAnsi="Garamond" w:cs="Arial"/>
          <w:sz w:val="24"/>
          <w:szCs w:val="24"/>
        </w:rPr>
        <w:t xml:space="preserve"> constitucional.        </w:t>
      </w:r>
    </w:p>
    <w:p w:rsidR="00496CB2" w:rsidRPr="003A1174" w:rsidRDefault="001647F2" w:rsidP="00A708F5">
      <w:pPr>
        <w:spacing w:before="240" w:line="240" w:lineRule="auto"/>
        <w:jc w:val="both"/>
        <w:rPr>
          <w:rFonts w:ascii="Garamond" w:hAnsi="Garamond" w:cs="Arial"/>
          <w:sz w:val="24"/>
          <w:szCs w:val="24"/>
        </w:rPr>
      </w:pPr>
      <w:r w:rsidRPr="003A1174">
        <w:rPr>
          <w:rFonts w:ascii="Garamond" w:hAnsi="Garamond" w:cs="Arial"/>
          <w:sz w:val="24"/>
          <w:szCs w:val="24"/>
        </w:rPr>
        <w:t>Estão</w:t>
      </w:r>
      <w:r w:rsidR="00496CB2" w:rsidRPr="003A1174">
        <w:rPr>
          <w:rFonts w:ascii="Garamond" w:hAnsi="Garamond" w:cs="Arial"/>
          <w:sz w:val="24"/>
          <w:szCs w:val="24"/>
        </w:rPr>
        <w:t xml:space="preserve"> </w:t>
      </w:r>
      <w:r w:rsidR="00C246B4" w:rsidRPr="003A1174">
        <w:rPr>
          <w:rFonts w:ascii="Garamond" w:hAnsi="Garamond" w:cs="Arial"/>
          <w:sz w:val="24"/>
          <w:szCs w:val="24"/>
        </w:rPr>
        <w:t>disponíveis</w:t>
      </w:r>
      <w:r w:rsidR="00496CB2" w:rsidRPr="003A1174">
        <w:rPr>
          <w:rFonts w:ascii="Garamond" w:hAnsi="Garamond" w:cs="Arial"/>
          <w:sz w:val="24"/>
          <w:szCs w:val="24"/>
        </w:rPr>
        <w:t xml:space="preserve"> </w:t>
      </w:r>
      <w:r w:rsidR="00A862C2" w:rsidRPr="003A1174">
        <w:rPr>
          <w:rFonts w:ascii="Garamond" w:hAnsi="Garamond" w:cs="Arial"/>
          <w:sz w:val="24"/>
          <w:szCs w:val="24"/>
        </w:rPr>
        <w:t>vário</w:t>
      </w:r>
      <w:r w:rsidR="00496CB2" w:rsidRPr="003A1174">
        <w:rPr>
          <w:rFonts w:ascii="Garamond" w:hAnsi="Garamond" w:cs="Arial"/>
          <w:sz w:val="24"/>
          <w:szCs w:val="24"/>
        </w:rPr>
        <w:t xml:space="preserve">s programas de </w:t>
      </w:r>
      <w:r w:rsidR="000672E8" w:rsidRPr="003A1174">
        <w:rPr>
          <w:rFonts w:ascii="Garamond" w:hAnsi="Garamond" w:cs="Arial"/>
          <w:sz w:val="24"/>
          <w:szCs w:val="24"/>
        </w:rPr>
        <w:t>ajuda</w:t>
      </w:r>
      <w:r w:rsidR="00496CB2" w:rsidRPr="003A1174">
        <w:rPr>
          <w:rFonts w:ascii="Garamond" w:hAnsi="Garamond" w:cs="Arial"/>
          <w:sz w:val="24"/>
          <w:szCs w:val="24"/>
        </w:rPr>
        <w:t xml:space="preserve"> </w:t>
      </w:r>
      <w:r w:rsidR="00BB2B00" w:rsidRPr="003A1174">
        <w:rPr>
          <w:rFonts w:ascii="Garamond" w:hAnsi="Garamond" w:cs="Arial"/>
          <w:sz w:val="24"/>
          <w:szCs w:val="24"/>
        </w:rPr>
        <w:t>à</w:t>
      </w:r>
      <w:r w:rsidR="00496CB2" w:rsidRPr="003A1174">
        <w:rPr>
          <w:rFonts w:ascii="Garamond" w:hAnsi="Garamond" w:cs="Arial"/>
          <w:sz w:val="24"/>
          <w:szCs w:val="24"/>
        </w:rPr>
        <w:t xml:space="preserve">s </w:t>
      </w:r>
      <w:r w:rsidR="003F012B" w:rsidRPr="003A1174">
        <w:rPr>
          <w:rFonts w:ascii="Garamond" w:hAnsi="Garamond" w:cs="Arial"/>
          <w:sz w:val="24"/>
          <w:szCs w:val="24"/>
        </w:rPr>
        <w:t>vítima</w:t>
      </w:r>
      <w:r w:rsidR="00496CB2" w:rsidRPr="003A1174">
        <w:rPr>
          <w:rFonts w:ascii="Garamond" w:hAnsi="Garamond" w:cs="Arial"/>
          <w:sz w:val="24"/>
          <w:szCs w:val="24"/>
        </w:rPr>
        <w:t xml:space="preserve">s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doméstica, </w:t>
      </w:r>
      <w:r w:rsidR="00152A44" w:rsidRPr="003A1174">
        <w:rPr>
          <w:rFonts w:ascii="Garamond" w:hAnsi="Garamond" w:cs="Arial"/>
          <w:sz w:val="24"/>
          <w:szCs w:val="24"/>
        </w:rPr>
        <w:t>inclui</w:t>
      </w:r>
      <w:r w:rsidR="00496CB2" w:rsidRPr="003A1174">
        <w:rPr>
          <w:rFonts w:ascii="Garamond" w:hAnsi="Garamond" w:cs="Arial"/>
          <w:sz w:val="24"/>
          <w:szCs w:val="24"/>
        </w:rPr>
        <w:t xml:space="preserve">ndo </w:t>
      </w:r>
      <w:r w:rsidR="000672E8" w:rsidRPr="003A1174">
        <w:rPr>
          <w:rFonts w:ascii="Garamond" w:hAnsi="Garamond" w:cs="Arial"/>
          <w:sz w:val="24"/>
          <w:szCs w:val="24"/>
        </w:rPr>
        <w:t>ajuda</w:t>
      </w:r>
      <w:r w:rsidR="00496CB2" w:rsidRPr="003A1174">
        <w:rPr>
          <w:rFonts w:ascii="Garamond" w:hAnsi="Garamond" w:cs="Arial"/>
          <w:sz w:val="24"/>
          <w:szCs w:val="24"/>
        </w:rPr>
        <w:t xml:space="preserve"> psicológica</w:t>
      </w:r>
      <w:r w:rsidR="00C269C2" w:rsidRPr="003A1174">
        <w:rPr>
          <w:rFonts w:ascii="Garamond" w:hAnsi="Garamond" w:cs="Arial"/>
          <w:sz w:val="24"/>
          <w:szCs w:val="24"/>
        </w:rPr>
        <w:t>.</w:t>
      </w:r>
      <w:r w:rsidR="00496CB2" w:rsidRPr="003A1174">
        <w:rPr>
          <w:rFonts w:ascii="Garamond" w:hAnsi="Garamond" w:cs="Arial"/>
          <w:sz w:val="24"/>
          <w:szCs w:val="24"/>
        </w:rPr>
        <w:t xml:space="preserve"> </w:t>
      </w:r>
      <w:r w:rsidR="00A708F5" w:rsidRPr="003A1174">
        <w:rPr>
          <w:rFonts w:ascii="Garamond" w:hAnsi="Garamond" w:cs="Arial"/>
          <w:sz w:val="24"/>
          <w:szCs w:val="24"/>
        </w:rPr>
        <w:t xml:space="preserve">Os </w:t>
      </w:r>
      <w:r w:rsidR="00496CB2" w:rsidRPr="003A1174">
        <w:rPr>
          <w:rFonts w:ascii="Garamond" w:hAnsi="Garamond" w:cs="Arial"/>
          <w:sz w:val="24"/>
          <w:szCs w:val="24"/>
        </w:rPr>
        <w:t xml:space="preserve">especialistas </w:t>
      </w:r>
      <w:r w:rsidR="00C269C2" w:rsidRPr="003A1174">
        <w:rPr>
          <w:rFonts w:ascii="Garamond" w:hAnsi="Garamond" w:cs="Arial"/>
          <w:sz w:val="24"/>
          <w:szCs w:val="24"/>
        </w:rPr>
        <w:t>e</w:t>
      </w:r>
      <w:r w:rsidR="00A708F5" w:rsidRPr="003A1174">
        <w:rPr>
          <w:rFonts w:ascii="Garamond" w:hAnsi="Garamond" w:cs="Arial"/>
          <w:sz w:val="24"/>
          <w:szCs w:val="24"/>
        </w:rPr>
        <w:t xml:space="preserve">m </w:t>
      </w:r>
      <w:r w:rsidR="007C63D0" w:rsidRPr="003A1174">
        <w:rPr>
          <w:rFonts w:ascii="Garamond" w:hAnsi="Garamond" w:cs="Arial"/>
          <w:sz w:val="24"/>
          <w:szCs w:val="24"/>
        </w:rPr>
        <w:t>saúde</w:t>
      </w:r>
      <w:r w:rsidR="00496CB2" w:rsidRPr="003A1174">
        <w:rPr>
          <w:rFonts w:ascii="Garamond" w:hAnsi="Garamond" w:cs="Arial"/>
          <w:sz w:val="24"/>
          <w:szCs w:val="24"/>
        </w:rPr>
        <w:t xml:space="preserve"> mental </w:t>
      </w:r>
      <w:r w:rsidR="00A708F5" w:rsidRPr="003A1174">
        <w:rPr>
          <w:rFonts w:ascii="Garamond" w:hAnsi="Garamond" w:cs="Arial"/>
          <w:sz w:val="24"/>
          <w:szCs w:val="24"/>
        </w:rPr>
        <w:t xml:space="preserve">efetuam </w:t>
      </w:r>
      <w:r w:rsidR="00496CB2" w:rsidRPr="003A1174">
        <w:rPr>
          <w:rFonts w:ascii="Garamond" w:hAnsi="Garamond" w:cs="Arial"/>
          <w:sz w:val="24"/>
          <w:szCs w:val="24"/>
        </w:rPr>
        <w:t>medi</w:t>
      </w:r>
      <w:r w:rsidR="00A708F5" w:rsidRPr="003A1174">
        <w:rPr>
          <w:rFonts w:ascii="Garamond" w:hAnsi="Garamond" w:cs="Arial"/>
          <w:sz w:val="24"/>
          <w:szCs w:val="24"/>
        </w:rPr>
        <w:t xml:space="preserve">ções </w:t>
      </w:r>
      <w:r w:rsidR="00496CB2" w:rsidRPr="003A1174">
        <w:rPr>
          <w:rFonts w:ascii="Garamond" w:hAnsi="Garamond" w:cs="Arial"/>
          <w:sz w:val="24"/>
          <w:szCs w:val="24"/>
        </w:rPr>
        <w:t>d</w:t>
      </w:r>
      <w:r w:rsidR="00A708F5" w:rsidRPr="003A1174">
        <w:rPr>
          <w:rFonts w:ascii="Garamond" w:hAnsi="Garamond" w:cs="Arial"/>
          <w:sz w:val="24"/>
          <w:szCs w:val="24"/>
        </w:rPr>
        <w:t>o</w:t>
      </w:r>
      <w:r w:rsidR="00496CB2" w:rsidRPr="003A1174">
        <w:rPr>
          <w:rFonts w:ascii="Garamond" w:hAnsi="Garamond" w:cs="Arial"/>
          <w:sz w:val="24"/>
          <w:szCs w:val="24"/>
        </w:rPr>
        <w:t xml:space="preserve"> d</w:t>
      </w:r>
      <w:r w:rsidR="002C7510" w:rsidRPr="003A1174">
        <w:rPr>
          <w:rFonts w:ascii="Garamond" w:hAnsi="Garamond" w:cs="Arial"/>
          <w:sz w:val="24"/>
          <w:szCs w:val="24"/>
        </w:rPr>
        <w:t>ano</w:t>
      </w:r>
      <w:r w:rsidR="00496CB2" w:rsidRPr="003A1174">
        <w:rPr>
          <w:rFonts w:ascii="Garamond" w:hAnsi="Garamond" w:cs="Arial"/>
          <w:sz w:val="24"/>
          <w:szCs w:val="24"/>
        </w:rPr>
        <w:t xml:space="preserve"> psicológico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381336" w:rsidRPr="003A1174">
        <w:rPr>
          <w:rFonts w:ascii="Garamond" w:hAnsi="Garamond" w:cs="Arial"/>
          <w:sz w:val="24"/>
          <w:szCs w:val="24"/>
        </w:rPr>
        <w:t>progresso</w:t>
      </w:r>
      <w:r w:rsidR="00496CB2" w:rsidRPr="003A1174">
        <w:rPr>
          <w:rFonts w:ascii="Garamond" w:hAnsi="Garamond" w:cs="Arial"/>
          <w:sz w:val="24"/>
          <w:szCs w:val="24"/>
        </w:rPr>
        <w:t xml:space="preserve"> </w:t>
      </w:r>
      <w:r w:rsidR="00A708F5" w:rsidRPr="003A1174">
        <w:rPr>
          <w:rFonts w:ascii="Garamond" w:hAnsi="Garamond" w:cs="Arial"/>
          <w:sz w:val="24"/>
          <w:szCs w:val="24"/>
        </w:rPr>
        <w:t>n</w:t>
      </w:r>
      <w:r w:rsidR="00496CB2" w:rsidRPr="003A1174">
        <w:rPr>
          <w:rFonts w:ascii="Garamond" w:hAnsi="Garamond" w:cs="Arial"/>
          <w:sz w:val="24"/>
          <w:szCs w:val="24"/>
        </w:rPr>
        <w:t xml:space="preserve">a </w:t>
      </w:r>
      <w:r w:rsidR="00CF4C35" w:rsidRPr="003A1174">
        <w:rPr>
          <w:rFonts w:ascii="Garamond" w:hAnsi="Garamond" w:cs="Arial"/>
          <w:sz w:val="24"/>
          <w:szCs w:val="24"/>
        </w:rPr>
        <w:t>reabilitação</w:t>
      </w:r>
      <w:r w:rsidR="003A44D1">
        <w:rPr>
          <w:rFonts w:ascii="Garamond" w:hAnsi="Garamond" w:cs="Arial"/>
          <w:sz w:val="24"/>
          <w:szCs w:val="24"/>
        </w:rPr>
        <w:t>,</w:t>
      </w:r>
      <w:r w:rsidR="00496CB2" w:rsidRPr="003A1174">
        <w:rPr>
          <w:rFonts w:ascii="Garamond" w:hAnsi="Garamond" w:cs="Arial"/>
          <w:sz w:val="24"/>
          <w:szCs w:val="24"/>
        </w:rPr>
        <w:t xml:space="preserve"> </w:t>
      </w:r>
      <w:r w:rsidR="00A708F5" w:rsidRPr="003A1174">
        <w:rPr>
          <w:rFonts w:ascii="Garamond" w:hAnsi="Garamond" w:cs="Arial"/>
          <w:sz w:val="24"/>
          <w:szCs w:val="24"/>
        </w:rPr>
        <w:t>identificadas</w:t>
      </w:r>
      <w:r w:rsidR="00496CB2" w:rsidRPr="003A1174">
        <w:rPr>
          <w:rFonts w:ascii="Garamond" w:hAnsi="Garamond" w:cs="Arial"/>
          <w:sz w:val="24"/>
          <w:szCs w:val="24"/>
        </w:rPr>
        <w:t xml:space="preserve"> </w:t>
      </w:r>
      <w:r w:rsidR="003A391A" w:rsidRPr="003A1174">
        <w:rPr>
          <w:rFonts w:ascii="Garamond" w:hAnsi="Garamond" w:cs="Arial"/>
          <w:sz w:val="24"/>
          <w:szCs w:val="24"/>
        </w:rPr>
        <w:t>nos</w:t>
      </w:r>
      <w:r w:rsidR="00496CB2" w:rsidRPr="003A1174">
        <w:rPr>
          <w:rFonts w:ascii="Garamond" w:hAnsi="Garamond" w:cs="Arial"/>
          <w:sz w:val="24"/>
          <w:szCs w:val="24"/>
        </w:rPr>
        <w:t xml:space="preserve"> </w:t>
      </w:r>
      <w:r w:rsidR="003A44D1">
        <w:rPr>
          <w:rFonts w:ascii="Garamond" w:hAnsi="Garamond" w:cs="Arial"/>
          <w:sz w:val="24"/>
          <w:szCs w:val="24"/>
        </w:rPr>
        <w:t xml:space="preserve">relatórios </w:t>
      </w:r>
      <w:r w:rsidR="00496CB2" w:rsidRPr="003A1174">
        <w:rPr>
          <w:rFonts w:ascii="Garamond" w:hAnsi="Garamond" w:cs="Arial"/>
          <w:sz w:val="24"/>
          <w:szCs w:val="24"/>
        </w:rPr>
        <w:t xml:space="preserve">médicos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A708F5" w:rsidRPr="003A1174">
        <w:rPr>
          <w:rFonts w:ascii="Garamond" w:hAnsi="Garamond" w:cs="Arial"/>
          <w:sz w:val="24"/>
          <w:szCs w:val="24"/>
        </w:rPr>
        <w:t>n</w:t>
      </w:r>
      <w:r w:rsidR="00C269C2" w:rsidRPr="003A1174">
        <w:rPr>
          <w:rFonts w:ascii="Garamond" w:hAnsi="Garamond" w:cs="Arial"/>
          <w:sz w:val="24"/>
          <w:szCs w:val="24"/>
        </w:rPr>
        <w:t xml:space="preserve">a </w:t>
      </w:r>
      <w:r w:rsidR="00C15C97" w:rsidRPr="003A1174">
        <w:rPr>
          <w:rFonts w:ascii="Garamond" w:hAnsi="Garamond" w:cs="Arial"/>
          <w:sz w:val="24"/>
          <w:szCs w:val="24"/>
        </w:rPr>
        <w:t>estatística</w:t>
      </w:r>
      <w:r w:rsidR="00C269C2" w:rsidRPr="003A1174">
        <w:rPr>
          <w:rFonts w:ascii="Garamond" w:hAnsi="Garamond" w:cs="Arial"/>
          <w:sz w:val="24"/>
          <w:szCs w:val="24"/>
        </w:rPr>
        <w:t>;</w:t>
      </w:r>
      <w:r w:rsidR="00496CB2" w:rsidRPr="003A1174">
        <w:rPr>
          <w:rFonts w:ascii="Garamond" w:hAnsi="Garamond" w:cs="Arial"/>
          <w:sz w:val="24"/>
          <w:szCs w:val="24"/>
        </w:rPr>
        <w:t xml:space="preserve"> </w:t>
      </w:r>
      <w:r w:rsidR="00A708F5" w:rsidRPr="003A1174">
        <w:rPr>
          <w:rFonts w:ascii="Garamond" w:hAnsi="Garamond" w:cs="Arial"/>
          <w:sz w:val="24"/>
          <w:szCs w:val="24"/>
        </w:rPr>
        <w:t xml:space="preserve">avaliam </w:t>
      </w:r>
      <w:r w:rsidR="00AC3351" w:rsidRPr="003A1174">
        <w:rPr>
          <w:rFonts w:ascii="Garamond" w:hAnsi="Garamond" w:cs="Arial"/>
          <w:sz w:val="24"/>
          <w:szCs w:val="24"/>
        </w:rPr>
        <w:t>fatores</w:t>
      </w:r>
      <w:r w:rsidR="00496CB2" w:rsidRPr="003A1174">
        <w:rPr>
          <w:rFonts w:ascii="Garamond" w:hAnsi="Garamond" w:cs="Arial"/>
          <w:sz w:val="24"/>
          <w:szCs w:val="24"/>
        </w:rPr>
        <w:t xml:space="preserve"> de </w:t>
      </w:r>
      <w:r w:rsidR="004E3A1A" w:rsidRPr="003A1174">
        <w:rPr>
          <w:rFonts w:ascii="Garamond" w:hAnsi="Garamond" w:cs="Arial"/>
          <w:sz w:val="24"/>
          <w:szCs w:val="24"/>
        </w:rPr>
        <w:t>vulnerabilidade</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381336" w:rsidRPr="003A1174">
        <w:rPr>
          <w:rFonts w:ascii="Garamond" w:hAnsi="Garamond" w:cs="Arial"/>
          <w:sz w:val="24"/>
          <w:szCs w:val="24"/>
        </w:rPr>
        <w:t>progresso</w:t>
      </w:r>
      <w:r w:rsidR="003A44D1">
        <w:rPr>
          <w:rFonts w:ascii="Garamond" w:hAnsi="Garamond" w:cs="Arial"/>
          <w:sz w:val="24"/>
          <w:szCs w:val="24"/>
        </w:rPr>
        <w:t>,</w:t>
      </w:r>
      <w:r w:rsidR="00496CB2" w:rsidRPr="003A1174">
        <w:rPr>
          <w:rFonts w:ascii="Garamond" w:hAnsi="Garamond" w:cs="Arial"/>
          <w:sz w:val="24"/>
          <w:szCs w:val="24"/>
        </w:rPr>
        <w:t xml:space="preserve"> </w:t>
      </w:r>
      <w:r w:rsidR="00A708F5" w:rsidRPr="003A1174">
        <w:rPr>
          <w:rFonts w:ascii="Garamond" w:hAnsi="Garamond" w:cs="Arial"/>
          <w:sz w:val="24"/>
          <w:szCs w:val="24"/>
        </w:rPr>
        <w:t xml:space="preserve">a partir de </w:t>
      </w:r>
      <w:r w:rsidR="00496CB2" w:rsidRPr="003A1174">
        <w:rPr>
          <w:rFonts w:ascii="Garamond" w:hAnsi="Garamond" w:cs="Arial"/>
          <w:sz w:val="24"/>
          <w:szCs w:val="24"/>
        </w:rPr>
        <w:t>diferentes plata</w:t>
      </w:r>
      <w:r w:rsidR="00A708F5" w:rsidRPr="003A1174">
        <w:rPr>
          <w:rFonts w:ascii="Garamond" w:hAnsi="Garamond" w:cs="Arial"/>
          <w:sz w:val="24"/>
          <w:szCs w:val="24"/>
        </w:rPr>
        <w:t>formas</w:t>
      </w:r>
      <w:r w:rsidR="003A44D1">
        <w:rPr>
          <w:rFonts w:ascii="Garamond" w:hAnsi="Garamond" w:cs="Arial"/>
          <w:sz w:val="24"/>
          <w:szCs w:val="24"/>
        </w:rPr>
        <w:t>,</w:t>
      </w:r>
      <w:r w:rsidR="00A708F5" w:rsidRPr="003A1174">
        <w:rPr>
          <w:rFonts w:ascii="Garamond" w:hAnsi="Garamond" w:cs="Arial"/>
          <w:sz w:val="24"/>
          <w:szCs w:val="24"/>
        </w:rPr>
        <w:t xml:space="preserve"> para </w:t>
      </w:r>
      <w:r w:rsidR="003A44D1">
        <w:rPr>
          <w:rFonts w:ascii="Garamond" w:hAnsi="Garamond" w:cs="Arial"/>
          <w:sz w:val="24"/>
          <w:szCs w:val="24"/>
        </w:rPr>
        <w:t xml:space="preserve">acompanhamento </w:t>
      </w:r>
      <w:r w:rsidR="00C269C2" w:rsidRPr="003A1174">
        <w:rPr>
          <w:rFonts w:ascii="Garamond" w:hAnsi="Garamond" w:cs="Arial"/>
          <w:sz w:val="24"/>
          <w:szCs w:val="24"/>
        </w:rPr>
        <w:t>d</w:t>
      </w:r>
      <w:r w:rsidR="00496CB2" w:rsidRPr="003A1174">
        <w:rPr>
          <w:rFonts w:ascii="Garamond" w:hAnsi="Garamond" w:cs="Arial"/>
          <w:sz w:val="24"/>
          <w:szCs w:val="24"/>
        </w:rPr>
        <w:t xml:space="preserve">a </w:t>
      </w:r>
      <w:r w:rsidR="007A2492" w:rsidRPr="003A1174">
        <w:rPr>
          <w:rFonts w:ascii="Garamond" w:hAnsi="Garamond" w:cs="Arial"/>
          <w:sz w:val="24"/>
          <w:szCs w:val="24"/>
        </w:rPr>
        <w:t>população</w:t>
      </w:r>
      <w:r w:rsidR="00496CB2" w:rsidRPr="003A1174">
        <w:rPr>
          <w:rFonts w:ascii="Garamond" w:hAnsi="Garamond" w:cs="Arial"/>
          <w:sz w:val="24"/>
          <w:szCs w:val="24"/>
        </w:rPr>
        <w:t xml:space="preserve"> </w:t>
      </w:r>
      <w:r w:rsidR="003F012B" w:rsidRPr="003A1174">
        <w:rPr>
          <w:rFonts w:ascii="Garamond" w:hAnsi="Garamond" w:cs="Arial"/>
          <w:sz w:val="24"/>
          <w:szCs w:val="24"/>
        </w:rPr>
        <w:t>vítima</w:t>
      </w:r>
      <w:r w:rsidR="00496CB2" w:rsidRPr="003A1174">
        <w:rPr>
          <w:rFonts w:ascii="Garamond" w:hAnsi="Garamond" w:cs="Arial"/>
          <w:sz w:val="24"/>
          <w:szCs w:val="24"/>
        </w:rPr>
        <w:t xml:space="preserve">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doméstica </w:t>
      </w:r>
      <w:r w:rsidR="000672E8" w:rsidRPr="003A1174">
        <w:rPr>
          <w:rFonts w:ascii="Garamond" w:hAnsi="Garamond" w:cs="Arial"/>
          <w:sz w:val="24"/>
          <w:szCs w:val="24"/>
        </w:rPr>
        <w:t>e</w:t>
      </w:r>
      <w:r w:rsidR="00496CB2" w:rsidRPr="003A1174">
        <w:rPr>
          <w:rFonts w:ascii="Garamond" w:hAnsi="Garamond" w:cs="Arial"/>
          <w:sz w:val="24"/>
          <w:szCs w:val="24"/>
        </w:rPr>
        <w:t xml:space="preserve"> de </w:t>
      </w:r>
      <w:r w:rsidR="001F2F8B" w:rsidRPr="003A1174">
        <w:rPr>
          <w:rFonts w:ascii="Garamond" w:hAnsi="Garamond" w:cs="Arial"/>
          <w:sz w:val="24"/>
          <w:szCs w:val="24"/>
        </w:rPr>
        <w:t>outro</w:t>
      </w:r>
      <w:r w:rsidR="00496CB2" w:rsidRPr="003A1174">
        <w:rPr>
          <w:rFonts w:ascii="Garamond" w:hAnsi="Garamond" w:cs="Arial"/>
          <w:sz w:val="24"/>
          <w:szCs w:val="24"/>
        </w:rPr>
        <w:t xml:space="preserve">s tipos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w:t>
      </w:r>
      <w:r w:rsidR="00A708F5" w:rsidRPr="003A1174">
        <w:rPr>
          <w:rFonts w:ascii="Garamond" w:hAnsi="Garamond" w:cs="Arial"/>
          <w:sz w:val="24"/>
          <w:szCs w:val="24"/>
        </w:rPr>
        <w:t>A</w:t>
      </w:r>
      <w:r w:rsidR="00496CB2" w:rsidRPr="003A1174">
        <w:rPr>
          <w:rFonts w:ascii="Garamond" w:hAnsi="Garamond" w:cs="Arial"/>
          <w:sz w:val="24"/>
          <w:szCs w:val="24"/>
        </w:rPr>
        <w:t xml:space="preserve">s </w:t>
      </w:r>
      <w:r w:rsidR="002F5CD1" w:rsidRPr="003A1174">
        <w:rPr>
          <w:rFonts w:ascii="Garamond" w:hAnsi="Garamond" w:cs="Arial"/>
          <w:sz w:val="24"/>
          <w:szCs w:val="24"/>
        </w:rPr>
        <w:t>principais</w:t>
      </w:r>
      <w:r w:rsidR="00496CB2" w:rsidRPr="003A1174">
        <w:rPr>
          <w:rFonts w:ascii="Garamond" w:hAnsi="Garamond" w:cs="Arial"/>
          <w:sz w:val="24"/>
          <w:szCs w:val="24"/>
        </w:rPr>
        <w:t xml:space="preserve"> </w:t>
      </w:r>
      <w:r w:rsidR="00454353" w:rsidRPr="003A1174">
        <w:rPr>
          <w:rFonts w:ascii="Garamond" w:hAnsi="Garamond" w:cs="Arial"/>
          <w:sz w:val="24"/>
          <w:szCs w:val="24"/>
        </w:rPr>
        <w:t>vias</w:t>
      </w:r>
      <w:r w:rsidR="00A708F5" w:rsidRPr="003A1174">
        <w:rPr>
          <w:rFonts w:ascii="Garamond" w:hAnsi="Garamond" w:cs="Arial"/>
          <w:sz w:val="24"/>
          <w:szCs w:val="24"/>
        </w:rPr>
        <w:t xml:space="preserve"> para </w:t>
      </w:r>
      <w:r w:rsidR="00496CB2" w:rsidRPr="003A1174">
        <w:rPr>
          <w:rFonts w:ascii="Garamond" w:hAnsi="Garamond" w:cs="Arial"/>
          <w:sz w:val="24"/>
          <w:szCs w:val="24"/>
        </w:rPr>
        <w:t xml:space="preserve">a </w:t>
      </w:r>
      <w:r w:rsidR="00682C71" w:rsidRPr="003A1174">
        <w:rPr>
          <w:rFonts w:ascii="Garamond" w:hAnsi="Garamond" w:cs="Arial"/>
          <w:sz w:val="24"/>
          <w:szCs w:val="24"/>
        </w:rPr>
        <w:t>obtenção</w:t>
      </w:r>
      <w:r w:rsidR="00496CB2" w:rsidRPr="003A1174">
        <w:rPr>
          <w:rFonts w:ascii="Garamond" w:hAnsi="Garamond" w:cs="Arial"/>
          <w:sz w:val="24"/>
          <w:szCs w:val="24"/>
        </w:rPr>
        <w:t xml:space="preserve"> </w:t>
      </w:r>
      <w:r w:rsidR="00E85E59" w:rsidRPr="003A1174">
        <w:rPr>
          <w:rFonts w:ascii="Garamond" w:hAnsi="Garamond" w:cs="Arial"/>
          <w:sz w:val="24"/>
          <w:szCs w:val="24"/>
        </w:rPr>
        <w:t>do</w:t>
      </w:r>
      <w:r w:rsidR="00496CB2" w:rsidRPr="003A1174">
        <w:rPr>
          <w:rFonts w:ascii="Garamond" w:hAnsi="Garamond" w:cs="Arial"/>
          <w:sz w:val="24"/>
          <w:szCs w:val="24"/>
        </w:rPr>
        <w:t xml:space="preserve"> </w:t>
      </w:r>
      <w:r w:rsidR="00B531F2" w:rsidRPr="003A1174">
        <w:rPr>
          <w:rFonts w:ascii="Garamond" w:hAnsi="Garamond" w:cs="Arial"/>
          <w:sz w:val="24"/>
          <w:szCs w:val="24"/>
        </w:rPr>
        <w:t>serviço</w:t>
      </w:r>
      <w:r w:rsidR="00496CB2" w:rsidRPr="003A1174">
        <w:rPr>
          <w:rFonts w:ascii="Garamond" w:hAnsi="Garamond" w:cs="Arial"/>
          <w:sz w:val="24"/>
          <w:szCs w:val="24"/>
        </w:rPr>
        <w:t xml:space="preserve"> </w:t>
      </w:r>
      <w:r w:rsidR="00D75A07" w:rsidRPr="003A1174">
        <w:rPr>
          <w:rFonts w:ascii="Garamond" w:hAnsi="Garamond" w:cs="Arial"/>
          <w:sz w:val="24"/>
          <w:szCs w:val="24"/>
        </w:rPr>
        <w:t>são</w:t>
      </w:r>
      <w:r w:rsidR="00496CB2" w:rsidRPr="003A1174">
        <w:rPr>
          <w:rFonts w:ascii="Garamond" w:hAnsi="Garamond" w:cs="Arial"/>
          <w:sz w:val="24"/>
          <w:szCs w:val="24"/>
        </w:rPr>
        <w:t>:</w:t>
      </w:r>
    </w:p>
    <w:p w:rsidR="008A1D51" w:rsidRPr="003A1174" w:rsidRDefault="00A708F5"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t>O</w:t>
      </w:r>
      <w:r w:rsidR="00496CB2" w:rsidRPr="003A1174">
        <w:rPr>
          <w:rFonts w:ascii="Garamond" w:hAnsi="Garamond" w:cs="Arial"/>
          <w:sz w:val="24"/>
          <w:szCs w:val="24"/>
          <w:lang w:val="pt-PT"/>
        </w:rPr>
        <w:t xml:space="preserve"> </w:t>
      </w:r>
      <w:r w:rsidR="00C246B4" w:rsidRPr="003A1174">
        <w:rPr>
          <w:rFonts w:ascii="Garamond" w:hAnsi="Garamond" w:cs="Arial"/>
          <w:sz w:val="24"/>
          <w:szCs w:val="24"/>
          <w:lang w:val="pt-PT"/>
        </w:rPr>
        <w:t>Gabinete</w:t>
      </w:r>
      <w:r w:rsidR="00496CB2" w:rsidRPr="003A1174">
        <w:rPr>
          <w:rFonts w:ascii="Garamond" w:hAnsi="Garamond" w:cs="Arial"/>
          <w:sz w:val="24"/>
          <w:szCs w:val="24"/>
          <w:lang w:val="pt-PT"/>
        </w:rPr>
        <w:t xml:space="preserve"> da Procuradora </w:t>
      </w:r>
      <w:r w:rsidR="00497503" w:rsidRPr="003A1174">
        <w:rPr>
          <w:rFonts w:ascii="Garamond" w:hAnsi="Garamond" w:cs="Arial"/>
          <w:sz w:val="24"/>
          <w:szCs w:val="24"/>
          <w:lang w:val="pt-PT"/>
        </w:rPr>
        <w:t>das</w:t>
      </w:r>
      <w:r w:rsidR="00496CB2"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496CB2" w:rsidRPr="003A1174">
        <w:rPr>
          <w:rFonts w:ascii="Garamond" w:hAnsi="Garamond" w:cs="Arial"/>
          <w:sz w:val="24"/>
          <w:szCs w:val="24"/>
          <w:lang w:val="pt-PT"/>
        </w:rPr>
        <w:t xml:space="preserve"> </w:t>
      </w:r>
      <w:r w:rsidR="00BA0128" w:rsidRPr="003A1174">
        <w:rPr>
          <w:rFonts w:ascii="Garamond" w:hAnsi="Garamond" w:cs="Arial"/>
          <w:sz w:val="24"/>
          <w:szCs w:val="24"/>
          <w:lang w:val="pt-PT"/>
        </w:rPr>
        <w:t>oferece</w:t>
      </w:r>
      <w:r w:rsidR="00496CB2" w:rsidRPr="003A1174">
        <w:rPr>
          <w:rFonts w:ascii="Garamond" w:hAnsi="Garamond" w:cs="Arial"/>
          <w:sz w:val="24"/>
          <w:szCs w:val="24"/>
          <w:lang w:val="pt-PT"/>
        </w:rPr>
        <w:t xml:space="preserve"> </w:t>
      </w:r>
      <w:r w:rsidR="00F96DD1" w:rsidRPr="003A1174">
        <w:rPr>
          <w:rFonts w:ascii="Garamond" w:hAnsi="Garamond" w:cs="Arial"/>
          <w:sz w:val="24"/>
          <w:szCs w:val="24"/>
          <w:lang w:val="pt-PT"/>
        </w:rPr>
        <w:t>ampla</w:t>
      </w:r>
      <w:r w:rsidR="00C269C2" w:rsidRPr="003A1174">
        <w:rPr>
          <w:rFonts w:ascii="Garamond" w:hAnsi="Garamond" w:cs="Arial"/>
          <w:sz w:val="24"/>
          <w:szCs w:val="24"/>
          <w:lang w:val="pt-PT"/>
        </w:rPr>
        <w:t xml:space="preserve">s </w:t>
      </w:r>
      <w:r w:rsidR="000672E8" w:rsidRPr="003A1174">
        <w:rPr>
          <w:rFonts w:ascii="Garamond" w:hAnsi="Garamond" w:cs="Arial"/>
          <w:sz w:val="24"/>
          <w:szCs w:val="24"/>
          <w:lang w:val="pt-PT"/>
        </w:rPr>
        <w:t>ajuda</w:t>
      </w:r>
      <w:r w:rsidR="00496CB2" w:rsidRPr="003A1174">
        <w:rPr>
          <w:rFonts w:ascii="Garamond" w:hAnsi="Garamond" w:cs="Arial"/>
          <w:sz w:val="24"/>
          <w:szCs w:val="24"/>
          <w:lang w:val="pt-PT"/>
        </w:rPr>
        <w:t xml:space="preserve">s para </w:t>
      </w:r>
      <w:r w:rsidRPr="003A1174">
        <w:rPr>
          <w:rFonts w:ascii="Garamond" w:hAnsi="Garamond" w:cs="Arial"/>
          <w:sz w:val="24"/>
          <w:szCs w:val="24"/>
          <w:lang w:val="pt-PT"/>
        </w:rPr>
        <w:t xml:space="preserve">a </w:t>
      </w:r>
      <w:r w:rsidR="00D37CF3" w:rsidRPr="003A1174">
        <w:rPr>
          <w:rFonts w:ascii="Garamond" w:hAnsi="Garamond" w:cs="Arial"/>
          <w:sz w:val="24"/>
          <w:szCs w:val="24"/>
          <w:lang w:val="pt-PT"/>
        </w:rPr>
        <w:t>sua</w:t>
      </w:r>
      <w:r w:rsidR="00496CB2" w:rsidRPr="003A1174">
        <w:rPr>
          <w:rFonts w:ascii="Garamond" w:hAnsi="Garamond" w:cs="Arial"/>
          <w:sz w:val="24"/>
          <w:szCs w:val="24"/>
          <w:lang w:val="pt-PT"/>
        </w:rPr>
        <w:t xml:space="preserve"> estabiliza</w:t>
      </w:r>
      <w:r w:rsidRPr="003A1174">
        <w:rPr>
          <w:rFonts w:ascii="Garamond" w:hAnsi="Garamond" w:cs="Arial"/>
          <w:sz w:val="24"/>
          <w:szCs w:val="24"/>
          <w:lang w:val="pt-PT"/>
        </w:rPr>
        <w:t xml:space="preserve">ção </w:t>
      </w:r>
      <w:r w:rsidR="009A0CC2" w:rsidRPr="003A1174">
        <w:rPr>
          <w:rFonts w:ascii="Garamond" w:hAnsi="Garamond" w:cs="Arial"/>
          <w:sz w:val="24"/>
          <w:szCs w:val="24"/>
          <w:lang w:val="pt-PT"/>
        </w:rPr>
        <w:t>através</w:t>
      </w:r>
      <w:r w:rsidR="00496CB2" w:rsidRPr="003A1174">
        <w:rPr>
          <w:rFonts w:ascii="Garamond" w:hAnsi="Garamond" w:cs="Arial"/>
          <w:sz w:val="24"/>
          <w:szCs w:val="24"/>
          <w:lang w:val="pt-PT"/>
        </w:rPr>
        <w:t xml:space="preserve"> da </w:t>
      </w:r>
      <w:r w:rsidR="00D4575C" w:rsidRPr="003A1174">
        <w:rPr>
          <w:rFonts w:ascii="Garamond" w:hAnsi="Garamond" w:cs="Arial"/>
          <w:sz w:val="24"/>
          <w:szCs w:val="24"/>
          <w:lang w:val="pt-PT"/>
        </w:rPr>
        <w:t>linha</w:t>
      </w:r>
      <w:r w:rsidR="00496CB2" w:rsidRPr="003A1174">
        <w:rPr>
          <w:rFonts w:ascii="Garamond" w:hAnsi="Garamond" w:cs="Arial"/>
          <w:sz w:val="24"/>
          <w:szCs w:val="24"/>
          <w:lang w:val="pt-PT"/>
        </w:rPr>
        <w:t xml:space="preserve"> telefónica de </w:t>
      </w:r>
      <w:r w:rsidR="009E3E55" w:rsidRPr="003A1174">
        <w:rPr>
          <w:rFonts w:ascii="Garamond" w:hAnsi="Garamond" w:cs="Arial"/>
          <w:sz w:val="24"/>
          <w:szCs w:val="24"/>
          <w:lang w:val="pt-PT"/>
        </w:rPr>
        <w:t>emergência</w:t>
      </w:r>
      <w:r w:rsidR="003A44D1">
        <w:rPr>
          <w:rFonts w:ascii="Garamond" w:hAnsi="Garamond" w:cs="Arial"/>
          <w:sz w:val="24"/>
          <w:szCs w:val="24"/>
          <w:lang w:val="pt-PT"/>
        </w:rPr>
        <w:t>,</w:t>
      </w:r>
      <w:r w:rsidR="00496CB2" w:rsidRPr="003A1174">
        <w:rPr>
          <w:rFonts w:ascii="Garamond" w:hAnsi="Garamond" w:cs="Arial"/>
          <w:sz w:val="24"/>
          <w:szCs w:val="24"/>
          <w:lang w:val="pt-PT"/>
        </w:rPr>
        <w:t xml:space="preserve"> que opera 24 horas </w:t>
      </w:r>
      <w:r w:rsidRPr="003A1174">
        <w:rPr>
          <w:rFonts w:ascii="Garamond" w:hAnsi="Garamond" w:cs="Arial"/>
          <w:sz w:val="24"/>
          <w:szCs w:val="24"/>
          <w:lang w:val="pt-PT"/>
        </w:rPr>
        <w:t xml:space="preserve">por </w:t>
      </w:r>
      <w:r w:rsidR="009D5ED8" w:rsidRPr="003A1174">
        <w:rPr>
          <w:rFonts w:ascii="Garamond" w:hAnsi="Garamond" w:cs="Arial"/>
          <w:sz w:val="24"/>
          <w:szCs w:val="24"/>
          <w:lang w:val="pt-PT"/>
        </w:rPr>
        <w:t>dia</w:t>
      </w:r>
      <w:r w:rsidRPr="003A1174">
        <w:rPr>
          <w:rFonts w:ascii="Garamond" w:hAnsi="Garamond" w:cs="Arial"/>
          <w:sz w:val="24"/>
          <w:szCs w:val="24"/>
          <w:lang w:val="pt-PT"/>
        </w:rPr>
        <w:t xml:space="preserve">, sete </w:t>
      </w:r>
      <w:r w:rsidR="009D5ED8" w:rsidRPr="003A1174">
        <w:rPr>
          <w:rFonts w:ascii="Garamond" w:hAnsi="Garamond" w:cs="Arial"/>
          <w:sz w:val="24"/>
          <w:szCs w:val="24"/>
          <w:lang w:val="pt-PT"/>
        </w:rPr>
        <w:t>dia</w:t>
      </w:r>
      <w:r w:rsidR="00496CB2" w:rsidRPr="003A1174">
        <w:rPr>
          <w:rFonts w:ascii="Garamond" w:hAnsi="Garamond" w:cs="Arial"/>
          <w:sz w:val="24"/>
          <w:szCs w:val="24"/>
          <w:lang w:val="pt-PT"/>
        </w:rPr>
        <w:t xml:space="preserve">s </w:t>
      </w:r>
      <w:r w:rsidRPr="003A1174">
        <w:rPr>
          <w:rFonts w:ascii="Garamond" w:hAnsi="Garamond" w:cs="Arial"/>
          <w:sz w:val="24"/>
          <w:szCs w:val="24"/>
          <w:lang w:val="pt-PT"/>
        </w:rPr>
        <w:t xml:space="preserve">por </w:t>
      </w:r>
      <w:r w:rsidR="00496CB2" w:rsidRPr="003A1174">
        <w:rPr>
          <w:rFonts w:ascii="Garamond" w:hAnsi="Garamond" w:cs="Arial"/>
          <w:sz w:val="24"/>
          <w:szCs w:val="24"/>
          <w:lang w:val="pt-PT"/>
        </w:rPr>
        <w:t>semana</w:t>
      </w:r>
      <w:r w:rsidR="00C269C2" w:rsidRPr="003A1174">
        <w:rPr>
          <w:rFonts w:ascii="Garamond" w:hAnsi="Garamond" w:cs="Arial"/>
          <w:sz w:val="24"/>
          <w:szCs w:val="24"/>
          <w:lang w:val="pt-PT"/>
        </w:rPr>
        <w:t>.</w:t>
      </w:r>
      <w:r w:rsidR="00496CB2" w:rsidRPr="003A1174">
        <w:rPr>
          <w:rFonts w:ascii="Garamond" w:hAnsi="Garamond" w:cs="Arial"/>
          <w:sz w:val="24"/>
          <w:szCs w:val="24"/>
          <w:lang w:val="pt-PT"/>
        </w:rPr>
        <w:t xml:space="preserve"> </w:t>
      </w:r>
      <w:r w:rsidRPr="003A1174">
        <w:rPr>
          <w:rFonts w:ascii="Garamond" w:hAnsi="Garamond" w:cs="Arial"/>
          <w:sz w:val="24"/>
          <w:szCs w:val="24"/>
          <w:lang w:val="pt-PT"/>
        </w:rPr>
        <w:t xml:space="preserve">A </w:t>
      </w:r>
      <w:r w:rsidR="00D4575C" w:rsidRPr="003A1174">
        <w:rPr>
          <w:rFonts w:ascii="Garamond" w:hAnsi="Garamond" w:cs="Arial"/>
          <w:sz w:val="24"/>
          <w:szCs w:val="24"/>
          <w:lang w:val="pt-PT"/>
        </w:rPr>
        <w:t>Linha</w:t>
      </w:r>
      <w:r w:rsidR="00496CB2" w:rsidRPr="003A1174">
        <w:rPr>
          <w:rFonts w:ascii="Garamond" w:hAnsi="Garamond" w:cs="Arial"/>
          <w:sz w:val="24"/>
          <w:szCs w:val="24"/>
          <w:lang w:val="pt-PT"/>
        </w:rPr>
        <w:t xml:space="preserve"> de </w:t>
      </w:r>
      <w:r w:rsidR="00081B57" w:rsidRPr="003A1174">
        <w:rPr>
          <w:rFonts w:ascii="Garamond" w:hAnsi="Garamond" w:cs="Arial"/>
          <w:sz w:val="24"/>
          <w:szCs w:val="24"/>
          <w:lang w:val="pt-PT"/>
        </w:rPr>
        <w:t>Orientação</w:t>
      </w:r>
      <w:r w:rsidR="00496CB2" w:rsidRPr="003A1174">
        <w:rPr>
          <w:rFonts w:ascii="Garamond" w:hAnsi="Garamond" w:cs="Arial"/>
          <w:sz w:val="24"/>
          <w:szCs w:val="24"/>
          <w:lang w:val="pt-PT"/>
        </w:rPr>
        <w:t xml:space="preserve"> (LO) </w:t>
      </w:r>
      <w:r w:rsidRPr="003A1174">
        <w:rPr>
          <w:rFonts w:ascii="Garamond" w:hAnsi="Garamond" w:cs="Arial"/>
          <w:sz w:val="24"/>
          <w:szCs w:val="24"/>
          <w:lang w:val="pt-PT"/>
        </w:rPr>
        <w:t xml:space="preserve">é um </w:t>
      </w:r>
      <w:r w:rsidR="00886D6A" w:rsidRPr="003A1174">
        <w:rPr>
          <w:rFonts w:ascii="Garamond" w:hAnsi="Garamond" w:cs="Arial"/>
          <w:sz w:val="24"/>
          <w:szCs w:val="24"/>
          <w:lang w:val="pt-PT"/>
        </w:rPr>
        <w:t>acesso</w:t>
      </w:r>
      <w:r w:rsidRPr="003A1174">
        <w:rPr>
          <w:rFonts w:ascii="Garamond" w:hAnsi="Garamond" w:cs="Arial"/>
          <w:sz w:val="24"/>
          <w:szCs w:val="24"/>
          <w:lang w:val="pt-PT"/>
        </w:rPr>
        <w:t xml:space="preserve"> fundamental para </w:t>
      </w:r>
      <w:r w:rsidR="00496CB2"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496C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está </w:t>
      </w:r>
      <w:r w:rsidR="00A207EB" w:rsidRPr="003A1174">
        <w:rPr>
          <w:rFonts w:ascii="Garamond" w:hAnsi="Garamond" w:cs="Arial"/>
          <w:sz w:val="24"/>
          <w:szCs w:val="24"/>
          <w:lang w:val="pt-PT"/>
        </w:rPr>
        <w:t>disponível</w:t>
      </w:r>
      <w:r w:rsidR="00496CB2" w:rsidRPr="003A1174">
        <w:rPr>
          <w:rFonts w:ascii="Garamond" w:hAnsi="Garamond" w:cs="Arial"/>
          <w:sz w:val="24"/>
          <w:szCs w:val="24"/>
          <w:lang w:val="pt-PT"/>
        </w:rPr>
        <w:t xml:space="preserve"> </w:t>
      </w:r>
      <w:proofErr w:type="gramStart"/>
      <w:r w:rsidR="00496CB2" w:rsidRPr="003A1174">
        <w:rPr>
          <w:rFonts w:ascii="Garamond" w:hAnsi="Garamond" w:cs="Arial"/>
          <w:sz w:val="24"/>
          <w:szCs w:val="24"/>
          <w:lang w:val="pt-PT"/>
        </w:rPr>
        <w:t>7</w:t>
      </w:r>
      <w:proofErr w:type="gramEnd"/>
      <w:r w:rsidR="00496CB2" w:rsidRPr="003A1174">
        <w:rPr>
          <w:rFonts w:ascii="Garamond" w:hAnsi="Garamond" w:cs="Arial"/>
          <w:sz w:val="24"/>
          <w:szCs w:val="24"/>
          <w:lang w:val="pt-PT"/>
        </w:rPr>
        <w:t xml:space="preserve"> </w:t>
      </w:r>
      <w:r w:rsidR="009D5ED8" w:rsidRPr="003A1174">
        <w:rPr>
          <w:rFonts w:ascii="Garamond" w:hAnsi="Garamond" w:cs="Arial"/>
          <w:sz w:val="24"/>
          <w:szCs w:val="24"/>
          <w:lang w:val="pt-PT"/>
        </w:rPr>
        <w:t>dia</w:t>
      </w:r>
      <w:r w:rsidR="00496CB2" w:rsidRPr="003A1174">
        <w:rPr>
          <w:rFonts w:ascii="Garamond" w:hAnsi="Garamond" w:cs="Arial"/>
          <w:sz w:val="24"/>
          <w:szCs w:val="24"/>
          <w:lang w:val="pt-PT"/>
        </w:rPr>
        <w:t xml:space="preserve">s </w:t>
      </w:r>
      <w:r w:rsidRPr="003A1174">
        <w:rPr>
          <w:rFonts w:ascii="Garamond" w:hAnsi="Garamond" w:cs="Arial"/>
          <w:sz w:val="24"/>
          <w:szCs w:val="24"/>
          <w:lang w:val="pt-PT"/>
        </w:rPr>
        <w:t>por</w:t>
      </w:r>
      <w:r w:rsidR="00496CB2" w:rsidRPr="003A1174">
        <w:rPr>
          <w:rFonts w:ascii="Garamond" w:hAnsi="Garamond" w:cs="Arial"/>
          <w:sz w:val="24"/>
          <w:szCs w:val="24"/>
          <w:lang w:val="pt-PT"/>
        </w:rPr>
        <w:t xml:space="preserve"> semana. </w:t>
      </w:r>
      <w:r w:rsidRPr="003A1174">
        <w:rPr>
          <w:rFonts w:ascii="Garamond" w:hAnsi="Garamond" w:cs="Arial"/>
          <w:sz w:val="24"/>
          <w:szCs w:val="24"/>
          <w:lang w:val="pt-PT"/>
        </w:rPr>
        <w:t>A</w:t>
      </w:r>
      <w:r w:rsidR="00496CB2" w:rsidRPr="003A1174">
        <w:rPr>
          <w:rFonts w:ascii="Garamond" w:hAnsi="Garamond" w:cs="Arial"/>
          <w:sz w:val="24"/>
          <w:szCs w:val="24"/>
          <w:lang w:val="pt-PT"/>
        </w:rPr>
        <w:t>nali</w:t>
      </w:r>
      <w:r w:rsidRPr="003A1174">
        <w:rPr>
          <w:rFonts w:ascii="Garamond" w:hAnsi="Garamond" w:cs="Arial"/>
          <w:sz w:val="24"/>
          <w:szCs w:val="24"/>
          <w:lang w:val="pt-PT"/>
        </w:rPr>
        <w:t xml:space="preserve">sam-se, </w:t>
      </w:r>
      <w:r w:rsidR="00496CB2" w:rsidRPr="003A1174">
        <w:rPr>
          <w:rFonts w:ascii="Garamond" w:hAnsi="Garamond" w:cs="Arial"/>
          <w:sz w:val="24"/>
          <w:szCs w:val="24"/>
          <w:lang w:val="pt-PT"/>
        </w:rPr>
        <w:t>identifica</w:t>
      </w:r>
      <w:r w:rsidRPr="003A1174">
        <w:rPr>
          <w:rFonts w:ascii="Garamond" w:hAnsi="Garamond" w:cs="Arial"/>
          <w:sz w:val="24"/>
          <w:szCs w:val="24"/>
          <w:lang w:val="pt-PT"/>
        </w:rPr>
        <w:t xml:space="preserve">m-se e desenvolvem-se </w:t>
      </w:r>
      <w:r w:rsidR="00C30647" w:rsidRPr="003A1174">
        <w:rPr>
          <w:rFonts w:ascii="Garamond" w:hAnsi="Garamond" w:cs="Arial"/>
          <w:sz w:val="24"/>
          <w:szCs w:val="24"/>
          <w:lang w:val="pt-PT"/>
        </w:rPr>
        <w:t>esforço</w:t>
      </w:r>
      <w:r w:rsidR="00496CB2" w:rsidRPr="003A1174">
        <w:rPr>
          <w:rFonts w:ascii="Garamond" w:hAnsi="Garamond" w:cs="Arial"/>
          <w:sz w:val="24"/>
          <w:szCs w:val="24"/>
          <w:lang w:val="pt-PT"/>
        </w:rPr>
        <w:t xml:space="preserve">s </w:t>
      </w:r>
      <w:r w:rsidR="00C269C2" w:rsidRPr="003A1174">
        <w:rPr>
          <w:rFonts w:ascii="Garamond" w:hAnsi="Garamond" w:cs="Arial"/>
          <w:sz w:val="24"/>
          <w:szCs w:val="24"/>
          <w:lang w:val="pt-PT"/>
        </w:rPr>
        <w:t>para</w:t>
      </w:r>
      <w:r w:rsidR="00496CB2" w:rsidRPr="003A1174">
        <w:rPr>
          <w:rFonts w:ascii="Garamond" w:hAnsi="Garamond" w:cs="Arial"/>
          <w:sz w:val="24"/>
          <w:szCs w:val="24"/>
          <w:lang w:val="pt-PT"/>
        </w:rPr>
        <w:t xml:space="preserve"> aument</w:t>
      </w:r>
      <w:r w:rsidR="00C269C2" w:rsidRPr="003A1174">
        <w:rPr>
          <w:rFonts w:ascii="Garamond" w:hAnsi="Garamond" w:cs="Arial"/>
          <w:sz w:val="24"/>
          <w:szCs w:val="24"/>
          <w:lang w:val="pt-PT"/>
        </w:rPr>
        <w:t>ar</w:t>
      </w:r>
      <w:r w:rsidR="00496CB2" w:rsidRPr="003A1174">
        <w:rPr>
          <w:rFonts w:ascii="Garamond" w:hAnsi="Garamond" w:cs="Arial"/>
          <w:sz w:val="24"/>
          <w:szCs w:val="24"/>
          <w:lang w:val="pt-PT"/>
        </w:rPr>
        <w:t xml:space="preserve"> </w:t>
      </w:r>
      <w:r w:rsidRPr="003A1174">
        <w:rPr>
          <w:rFonts w:ascii="Garamond" w:hAnsi="Garamond" w:cs="Arial"/>
          <w:sz w:val="24"/>
          <w:szCs w:val="24"/>
          <w:lang w:val="pt-PT"/>
        </w:rPr>
        <w:t>o</w:t>
      </w:r>
      <w:r w:rsidR="00496CB2" w:rsidRPr="003A1174">
        <w:rPr>
          <w:rFonts w:ascii="Garamond" w:hAnsi="Garamond" w:cs="Arial"/>
          <w:sz w:val="24"/>
          <w:szCs w:val="24"/>
          <w:lang w:val="pt-PT"/>
        </w:rPr>
        <w:t xml:space="preserve"> </w:t>
      </w:r>
      <w:r w:rsidR="00886D6A" w:rsidRPr="003A1174">
        <w:rPr>
          <w:rFonts w:ascii="Garamond" w:hAnsi="Garamond" w:cs="Arial"/>
          <w:sz w:val="24"/>
          <w:szCs w:val="24"/>
          <w:lang w:val="pt-PT"/>
        </w:rPr>
        <w:t>acesso</w:t>
      </w:r>
      <w:r w:rsidR="00496CB2" w:rsidRPr="003A1174">
        <w:rPr>
          <w:rFonts w:ascii="Garamond" w:hAnsi="Garamond" w:cs="Arial"/>
          <w:sz w:val="24"/>
          <w:szCs w:val="24"/>
          <w:lang w:val="pt-PT"/>
        </w:rPr>
        <w:t xml:space="preserve"> a</w:t>
      </w:r>
      <w:r w:rsidRPr="003A1174">
        <w:rPr>
          <w:rFonts w:ascii="Garamond" w:hAnsi="Garamond" w:cs="Arial"/>
          <w:sz w:val="24"/>
          <w:szCs w:val="24"/>
          <w:lang w:val="pt-PT"/>
        </w:rPr>
        <w:t>o</w:t>
      </w:r>
      <w:r w:rsidR="00496CB2" w:rsidRPr="003A1174">
        <w:rPr>
          <w:rFonts w:ascii="Garamond" w:hAnsi="Garamond" w:cs="Arial"/>
          <w:sz w:val="24"/>
          <w:szCs w:val="24"/>
          <w:lang w:val="pt-PT"/>
        </w:rPr>
        <w:t xml:space="preserve">s </w:t>
      </w:r>
      <w:r w:rsidR="00B531F2" w:rsidRPr="003A1174">
        <w:rPr>
          <w:rFonts w:ascii="Garamond" w:hAnsi="Garamond" w:cs="Arial"/>
          <w:sz w:val="24"/>
          <w:szCs w:val="24"/>
          <w:lang w:val="pt-PT"/>
        </w:rPr>
        <w:t>serviço</w:t>
      </w:r>
      <w:r w:rsidR="00496CB2" w:rsidRPr="003A1174">
        <w:rPr>
          <w:rFonts w:ascii="Garamond" w:hAnsi="Garamond" w:cs="Arial"/>
          <w:sz w:val="24"/>
          <w:szCs w:val="24"/>
          <w:lang w:val="pt-PT"/>
        </w:rPr>
        <w:t xml:space="preserve">s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recursos básicos, </w:t>
      </w:r>
      <w:r w:rsidR="000464C8" w:rsidRPr="003A1174">
        <w:rPr>
          <w:rFonts w:ascii="Garamond" w:hAnsi="Garamond" w:cs="Arial"/>
          <w:sz w:val="24"/>
          <w:szCs w:val="24"/>
          <w:lang w:val="pt-PT"/>
        </w:rPr>
        <w:t>assim</w:t>
      </w:r>
      <w:r w:rsidRPr="003A1174">
        <w:rPr>
          <w:rFonts w:ascii="Garamond" w:hAnsi="Garamond" w:cs="Arial"/>
          <w:sz w:val="24"/>
          <w:szCs w:val="24"/>
          <w:lang w:val="pt-PT"/>
        </w:rPr>
        <w:t xml:space="preserve"> como controlar </w:t>
      </w:r>
      <w:r w:rsidR="00496CB2" w:rsidRPr="003A1174">
        <w:rPr>
          <w:rFonts w:ascii="Garamond" w:hAnsi="Garamond" w:cs="Arial"/>
          <w:sz w:val="24"/>
          <w:szCs w:val="24"/>
          <w:lang w:val="pt-PT"/>
        </w:rPr>
        <w:t xml:space="preserve">a </w:t>
      </w:r>
      <w:r w:rsidR="008278C4" w:rsidRPr="003A1174">
        <w:rPr>
          <w:rFonts w:ascii="Garamond" w:hAnsi="Garamond" w:cs="Arial"/>
          <w:sz w:val="24"/>
          <w:szCs w:val="24"/>
          <w:lang w:val="pt-PT"/>
        </w:rPr>
        <w:t>qualidade</w:t>
      </w:r>
      <w:r w:rsidR="00496C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0091213A" w:rsidRPr="003A1174">
        <w:rPr>
          <w:rFonts w:ascii="Garamond" w:hAnsi="Garamond" w:cs="Arial"/>
          <w:sz w:val="24"/>
          <w:szCs w:val="24"/>
          <w:lang w:val="pt-PT"/>
        </w:rPr>
        <w:t>efetividade</w:t>
      </w:r>
      <w:r w:rsidR="00496CB2" w:rsidRPr="003A1174">
        <w:rPr>
          <w:rFonts w:ascii="Garamond" w:hAnsi="Garamond" w:cs="Arial"/>
          <w:sz w:val="24"/>
          <w:szCs w:val="24"/>
          <w:lang w:val="pt-PT"/>
        </w:rPr>
        <w:t xml:space="preserve"> d</w:t>
      </w:r>
      <w:r w:rsidRPr="003A1174">
        <w:rPr>
          <w:rFonts w:ascii="Garamond" w:hAnsi="Garamond" w:cs="Arial"/>
          <w:sz w:val="24"/>
          <w:szCs w:val="24"/>
          <w:lang w:val="pt-PT"/>
        </w:rPr>
        <w:t xml:space="preserve">o seu </w:t>
      </w:r>
      <w:r w:rsidR="00D96FD0" w:rsidRPr="003A1174">
        <w:rPr>
          <w:rFonts w:ascii="Garamond" w:hAnsi="Garamond" w:cs="Arial"/>
          <w:sz w:val="24"/>
          <w:szCs w:val="24"/>
          <w:lang w:val="pt-PT"/>
        </w:rPr>
        <w:t>cumprimento</w:t>
      </w:r>
      <w:r w:rsidR="003A44D1">
        <w:rPr>
          <w:rFonts w:ascii="Garamond" w:hAnsi="Garamond" w:cs="Arial"/>
          <w:sz w:val="24"/>
          <w:szCs w:val="24"/>
          <w:lang w:val="pt-PT"/>
        </w:rPr>
        <w:t>,</w:t>
      </w:r>
      <w:r w:rsidR="00496CB2" w:rsidRPr="003A1174">
        <w:rPr>
          <w:rFonts w:ascii="Garamond" w:hAnsi="Garamond" w:cs="Arial"/>
          <w:sz w:val="24"/>
          <w:szCs w:val="24"/>
          <w:lang w:val="pt-PT"/>
        </w:rPr>
        <w:t xml:space="preserve"> </w:t>
      </w:r>
      <w:r w:rsidRPr="003A1174">
        <w:rPr>
          <w:rFonts w:ascii="Garamond" w:hAnsi="Garamond" w:cs="Arial"/>
          <w:sz w:val="24"/>
          <w:szCs w:val="24"/>
          <w:lang w:val="pt-PT"/>
        </w:rPr>
        <w:t xml:space="preserve">de acordo com os </w:t>
      </w:r>
      <w:r w:rsidR="003F012B" w:rsidRPr="003A1174">
        <w:rPr>
          <w:rFonts w:ascii="Garamond" w:hAnsi="Garamond" w:cs="Arial"/>
          <w:sz w:val="24"/>
          <w:szCs w:val="24"/>
          <w:lang w:val="pt-PT"/>
        </w:rPr>
        <w:t>procedimentos</w:t>
      </w:r>
      <w:r w:rsidR="00496C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00F320F4" w:rsidRPr="003A1174">
        <w:rPr>
          <w:rFonts w:ascii="Garamond" w:hAnsi="Garamond" w:cs="Arial"/>
          <w:sz w:val="24"/>
          <w:szCs w:val="24"/>
          <w:lang w:val="pt-PT"/>
        </w:rPr>
        <w:t>leis</w:t>
      </w:r>
      <w:r w:rsidR="00496CB2" w:rsidRPr="003A1174">
        <w:rPr>
          <w:rFonts w:ascii="Garamond" w:hAnsi="Garamond" w:cs="Arial"/>
          <w:sz w:val="24"/>
          <w:szCs w:val="24"/>
          <w:lang w:val="pt-PT"/>
        </w:rPr>
        <w:t xml:space="preserve"> que </w:t>
      </w:r>
      <w:r w:rsidR="003A44D1">
        <w:rPr>
          <w:rFonts w:ascii="Garamond" w:hAnsi="Garamond" w:cs="Arial"/>
          <w:sz w:val="24"/>
          <w:szCs w:val="24"/>
          <w:lang w:val="pt-PT"/>
        </w:rPr>
        <w:t xml:space="preserve">zelam </w:t>
      </w:r>
      <w:r w:rsidRPr="003A1174">
        <w:rPr>
          <w:rFonts w:ascii="Garamond" w:hAnsi="Garamond" w:cs="Arial"/>
          <w:sz w:val="24"/>
          <w:szCs w:val="24"/>
          <w:lang w:val="pt-PT"/>
        </w:rPr>
        <w:t xml:space="preserve">pelos seus </w:t>
      </w:r>
      <w:r w:rsidR="00886D6A" w:rsidRPr="003A1174">
        <w:rPr>
          <w:rFonts w:ascii="Garamond" w:hAnsi="Garamond" w:cs="Arial"/>
          <w:sz w:val="24"/>
          <w:szCs w:val="24"/>
          <w:lang w:val="pt-PT"/>
        </w:rPr>
        <w:t>direito</w:t>
      </w:r>
      <w:r w:rsidR="00496CB2" w:rsidRPr="003A1174">
        <w:rPr>
          <w:rFonts w:ascii="Garamond" w:hAnsi="Garamond" w:cs="Arial"/>
          <w:sz w:val="24"/>
          <w:szCs w:val="24"/>
          <w:lang w:val="pt-PT"/>
        </w:rPr>
        <w:t xml:space="preserve">s. </w:t>
      </w:r>
    </w:p>
    <w:p w:rsidR="00496CB2" w:rsidRPr="003A1174" w:rsidRDefault="00A708F5"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t xml:space="preserve">A </w:t>
      </w:r>
      <w:r w:rsidR="00AB6522" w:rsidRPr="003A1174">
        <w:rPr>
          <w:rFonts w:ascii="Garamond" w:hAnsi="Garamond" w:cs="Arial"/>
          <w:sz w:val="24"/>
          <w:szCs w:val="24"/>
          <w:lang w:val="pt-PT"/>
        </w:rPr>
        <w:t>Divisão</w:t>
      </w:r>
      <w:r w:rsidR="00496CB2" w:rsidRPr="003A1174">
        <w:rPr>
          <w:rFonts w:ascii="Garamond" w:hAnsi="Garamond" w:cs="Arial"/>
          <w:sz w:val="24"/>
          <w:szCs w:val="24"/>
          <w:lang w:val="pt-PT"/>
        </w:rPr>
        <w:t xml:space="preserve"> de </w:t>
      </w:r>
      <w:r w:rsidR="000350B1" w:rsidRPr="003A1174">
        <w:rPr>
          <w:rFonts w:ascii="Garamond" w:hAnsi="Garamond" w:cs="Arial"/>
          <w:sz w:val="24"/>
          <w:szCs w:val="24"/>
          <w:lang w:val="pt-PT"/>
        </w:rPr>
        <w:t>Assistência</w:t>
      </w:r>
      <w:r w:rsidR="00496CB2" w:rsidRPr="003A1174">
        <w:rPr>
          <w:rFonts w:ascii="Garamond" w:hAnsi="Garamond" w:cs="Arial"/>
          <w:sz w:val="24"/>
          <w:szCs w:val="24"/>
          <w:lang w:val="pt-PT"/>
        </w:rPr>
        <w:t xml:space="preserve"> a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s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00EC45A0" w:rsidRPr="003A1174">
        <w:rPr>
          <w:rFonts w:ascii="Garamond" w:hAnsi="Garamond" w:cs="Arial"/>
          <w:sz w:val="24"/>
          <w:szCs w:val="24"/>
          <w:lang w:val="pt-PT"/>
        </w:rPr>
        <w:t>Testemunha</w:t>
      </w:r>
      <w:r w:rsidR="00496CB2" w:rsidRPr="003A1174">
        <w:rPr>
          <w:rFonts w:ascii="Garamond" w:hAnsi="Garamond" w:cs="Arial"/>
          <w:sz w:val="24"/>
          <w:szCs w:val="24"/>
          <w:lang w:val="pt-PT"/>
        </w:rPr>
        <w:t xml:space="preserve">s </w:t>
      </w:r>
      <w:r w:rsidR="00E85E59" w:rsidRPr="003A1174">
        <w:rPr>
          <w:rFonts w:ascii="Garamond" w:hAnsi="Garamond" w:cs="Arial"/>
          <w:sz w:val="24"/>
          <w:szCs w:val="24"/>
          <w:lang w:val="pt-PT"/>
        </w:rPr>
        <w:t>do</w:t>
      </w:r>
      <w:r w:rsidR="00496CB2" w:rsidRPr="003A1174">
        <w:rPr>
          <w:rFonts w:ascii="Garamond" w:hAnsi="Garamond" w:cs="Arial"/>
          <w:sz w:val="24"/>
          <w:szCs w:val="24"/>
          <w:lang w:val="pt-PT"/>
        </w:rPr>
        <w:t xml:space="preserve"> Departamento de </w:t>
      </w:r>
      <w:r w:rsidR="00FC1F7F" w:rsidRPr="003A1174">
        <w:rPr>
          <w:rFonts w:ascii="Garamond" w:hAnsi="Garamond" w:cs="Arial"/>
          <w:sz w:val="24"/>
          <w:szCs w:val="24"/>
          <w:lang w:val="pt-PT"/>
        </w:rPr>
        <w:t>Justiça</w:t>
      </w:r>
      <w:r w:rsidR="00496CB2" w:rsidRPr="003A1174">
        <w:rPr>
          <w:rFonts w:ascii="Garamond" w:hAnsi="Garamond" w:cs="Arial"/>
          <w:sz w:val="24"/>
          <w:szCs w:val="24"/>
          <w:lang w:val="pt-PT"/>
        </w:rPr>
        <w:t>, área d</w:t>
      </w:r>
      <w:r w:rsidRPr="003A1174">
        <w:rPr>
          <w:rFonts w:ascii="Garamond" w:hAnsi="Garamond" w:cs="Arial"/>
          <w:sz w:val="24"/>
          <w:szCs w:val="24"/>
          <w:lang w:val="pt-PT"/>
        </w:rPr>
        <w:t>a</w:t>
      </w:r>
      <w:r w:rsidR="00496CB2" w:rsidRPr="003A1174">
        <w:rPr>
          <w:rFonts w:ascii="Garamond" w:hAnsi="Garamond" w:cs="Arial"/>
          <w:sz w:val="24"/>
          <w:szCs w:val="24"/>
          <w:lang w:val="pt-PT"/>
        </w:rPr>
        <w:t xml:space="preserve"> </w:t>
      </w:r>
      <w:r w:rsidR="009F0311" w:rsidRPr="003A1174">
        <w:rPr>
          <w:rFonts w:ascii="Garamond" w:hAnsi="Garamond" w:cs="Arial"/>
          <w:sz w:val="24"/>
          <w:szCs w:val="24"/>
          <w:lang w:val="pt-PT"/>
        </w:rPr>
        <w:t>Procuradoria</w:t>
      </w:r>
      <w:r w:rsidR="00C269C2" w:rsidRPr="003A1174">
        <w:rPr>
          <w:rFonts w:ascii="Garamond" w:hAnsi="Garamond" w:cs="Arial"/>
          <w:sz w:val="24"/>
          <w:szCs w:val="24"/>
          <w:lang w:val="pt-PT"/>
        </w:rPr>
        <w:t xml:space="preserve">, que </w:t>
      </w:r>
      <w:r w:rsidR="003A44D1">
        <w:rPr>
          <w:rFonts w:ascii="Garamond" w:hAnsi="Garamond" w:cs="Arial"/>
          <w:sz w:val="24"/>
          <w:szCs w:val="24"/>
          <w:lang w:val="pt-PT"/>
        </w:rPr>
        <w:t xml:space="preserve">disponibiliza </w:t>
      </w:r>
      <w:r w:rsidR="00B531F2" w:rsidRPr="003A1174">
        <w:rPr>
          <w:rFonts w:ascii="Garamond" w:hAnsi="Garamond" w:cs="Arial"/>
          <w:sz w:val="24"/>
          <w:szCs w:val="24"/>
          <w:lang w:val="pt-PT"/>
        </w:rPr>
        <w:t>serviço</w:t>
      </w:r>
      <w:r w:rsidR="00496CB2" w:rsidRPr="003A1174">
        <w:rPr>
          <w:rFonts w:ascii="Garamond" w:hAnsi="Garamond" w:cs="Arial"/>
          <w:sz w:val="24"/>
          <w:szCs w:val="24"/>
          <w:lang w:val="pt-PT"/>
        </w:rPr>
        <w:t xml:space="preserve">s gratuitos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confidencia</w:t>
      </w:r>
      <w:r w:rsidRPr="003A1174">
        <w:rPr>
          <w:rFonts w:ascii="Garamond" w:hAnsi="Garamond" w:cs="Arial"/>
          <w:sz w:val="24"/>
          <w:szCs w:val="24"/>
          <w:lang w:val="pt-PT"/>
        </w:rPr>
        <w:t>i</w:t>
      </w:r>
      <w:r w:rsidR="00496CB2" w:rsidRPr="003A1174">
        <w:rPr>
          <w:rFonts w:ascii="Garamond" w:hAnsi="Garamond" w:cs="Arial"/>
          <w:sz w:val="24"/>
          <w:szCs w:val="24"/>
          <w:lang w:val="pt-PT"/>
        </w:rPr>
        <w:t>s</w:t>
      </w:r>
      <w:r w:rsidR="00C269C2" w:rsidRPr="003A1174">
        <w:rPr>
          <w:rFonts w:ascii="Garamond" w:hAnsi="Garamond" w:cs="Arial"/>
          <w:sz w:val="24"/>
          <w:szCs w:val="24"/>
          <w:lang w:val="pt-PT"/>
        </w:rPr>
        <w:t>.</w:t>
      </w:r>
      <w:r w:rsidR="00496CB2" w:rsidRPr="003A1174">
        <w:rPr>
          <w:rFonts w:ascii="Garamond" w:hAnsi="Garamond" w:cs="Arial"/>
          <w:sz w:val="24"/>
          <w:szCs w:val="24"/>
          <w:lang w:val="pt-PT"/>
        </w:rPr>
        <w:t xml:space="preserve"> </w:t>
      </w:r>
      <w:r w:rsidRPr="003A1174">
        <w:rPr>
          <w:rFonts w:ascii="Garamond" w:hAnsi="Garamond" w:cs="Arial"/>
          <w:sz w:val="24"/>
          <w:szCs w:val="24"/>
          <w:lang w:val="pt-PT"/>
        </w:rPr>
        <w:t>A</w:t>
      </w:r>
      <w:r w:rsidR="00496CB2" w:rsidRPr="003A1174">
        <w:rPr>
          <w:rFonts w:ascii="Garamond" w:hAnsi="Garamond" w:cs="Arial"/>
          <w:sz w:val="24"/>
          <w:szCs w:val="24"/>
          <w:lang w:val="pt-PT"/>
        </w:rPr>
        <w:t xml:space="preserve">s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s rec</w:t>
      </w:r>
      <w:r w:rsidRPr="003A1174">
        <w:rPr>
          <w:rFonts w:ascii="Garamond" w:hAnsi="Garamond" w:cs="Arial"/>
          <w:sz w:val="24"/>
          <w:szCs w:val="24"/>
          <w:lang w:val="pt-PT"/>
        </w:rPr>
        <w:t>ebem o t</w:t>
      </w:r>
      <w:r w:rsidR="001C2738" w:rsidRPr="003A1174">
        <w:rPr>
          <w:rFonts w:ascii="Garamond" w:hAnsi="Garamond" w:cs="Arial"/>
          <w:sz w:val="24"/>
          <w:szCs w:val="24"/>
          <w:lang w:val="pt-PT"/>
        </w:rPr>
        <w:t>ratamento</w:t>
      </w:r>
      <w:r w:rsidR="00496CB2" w:rsidRPr="003A1174">
        <w:rPr>
          <w:rFonts w:ascii="Garamond" w:hAnsi="Garamond" w:cs="Arial"/>
          <w:sz w:val="24"/>
          <w:szCs w:val="24"/>
          <w:lang w:val="pt-PT"/>
        </w:rPr>
        <w:t xml:space="preserve"> </w:t>
      </w:r>
      <w:r w:rsidR="00C30647" w:rsidRPr="003A1174">
        <w:rPr>
          <w:rFonts w:ascii="Garamond" w:hAnsi="Garamond" w:cs="Arial"/>
          <w:sz w:val="24"/>
          <w:szCs w:val="24"/>
          <w:lang w:val="pt-PT"/>
        </w:rPr>
        <w:t>necessário</w:t>
      </w:r>
      <w:r w:rsidR="00496CB2" w:rsidRPr="003A1174">
        <w:rPr>
          <w:rFonts w:ascii="Garamond" w:hAnsi="Garamond" w:cs="Arial"/>
          <w:sz w:val="24"/>
          <w:szCs w:val="24"/>
          <w:lang w:val="pt-PT"/>
        </w:rPr>
        <w:t xml:space="preserve"> para li</w:t>
      </w:r>
      <w:r w:rsidRPr="003A1174">
        <w:rPr>
          <w:rFonts w:ascii="Garamond" w:hAnsi="Garamond" w:cs="Arial"/>
          <w:sz w:val="24"/>
          <w:szCs w:val="24"/>
          <w:lang w:val="pt-PT"/>
        </w:rPr>
        <w:t>d</w:t>
      </w:r>
      <w:r w:rsidR="00496CB2" w:rsidRPr="003A1174">
        <w:rPr>
          <w:rFonts w:ascii="Garamond" w:hAnsi="Garamond" w:cs="Arial"/>
          <w:sz w:val="24"/>
          <w:szCs w:val="24"/>
          <w:lang w:val="pt-PT"/>
        </w:rPr>
        <w:t>ar</w:t>
      </w:r>
      <w:r w:rsidRPr="003A1174">
        <w:rPr>
          <w:rFonts w:ascii="Garamond" w:hAnsi="Garamond" w:cs="Arial"/>
          <w:sz w:val="24"/>
          <w:szCs w:val="24"/>
          <w:lang w:val="pt-PT"/>
        </w:rPr>
        <w:t>em</w:t>
      </w:r>
      <w:r w:rsidR="00496CB2" w:rsidRPr="003A1174">
        <w:rPr>
          <w:rFonts w:ascii="Garamond" w:hAnsi="Garamond" w:cs="Arial"/>
          <w:sz w:val="24"/>
          <w:szCs w:val="24"/>
          <w:lang w:val="pt-PT"/>
        </w:rPr>
        <w:t xml:space="preserve"> co</w:t>
      </w:r>
      <w:r w:rsidRPr="003A1174">
        <w:rPr>
          <w:rFonts w:ascii="Garamond" w:hAnsi="Garamond" w:cs="Arial"/>
          <w:sz w:val="24"/>
          <w:szCs w:val="24"/>
          <w:lang w:val="pt-PT"/>
        </w:rPr>
        <w:t xml:space="preserve">m os seus </w:t>
      </w:r>
      <w:r w:rsidR="00496CB2" w:rsidRPr="003A1174">
        <w:rPr>
          <w:rFonts w:ascii="Garamond" w:hAnsi="Garamond" w:cs="Arial"/>
          <w:sz w:val="24"/>
          <w:szCs w:val="24"/>
          <w:lang w:val="pt-PT"/>
        </w:rPr>
        <w:t>problemas emociona</w:t>
      </w:r>
      <w:r w:rsidRPr="003A1174">
        <w:rPr>
          <w:rFonts w:ascii="Garamond" w:hAnsi="Garamond" w:cs="Arial"/>
          <w:sz w:val="24"/>
          <w:szCs w:val="24"/>
          <w:lang w:val="pt-PT"/>
        </w:rPr>
        <w:t>i</w:t>
      </w:r>
      <w:r w:rsidR="00496CB2" w:rsidRPr="003A1174">
        <w:rPr>
          <w:rFonts w:ascii="Garamond" w:hAnsi="Garamond" w:cs="Arial"/>
          <w:sz w:val="24"/>
          <w:szCs w:val="24"/>
          <w:lang w:val="pt-PT"/>
        </w:rPr>
        <w:t xml:space="preserve">s provocados </w:t>
      </w:r>
      <w:r w:rsidR="00275092" w:rsidRPr="003A1174">
        <w:rPr>
          <w:rFonts w:ascii="Garamond" w:hAnsi="Garamond" w:cs="Arial"/>
          <w:sz w:val="24"/>
          <w:szCs w:val="24"/>
          <w:lang w:val="pt-PT"/>
        </w:rPr>
        <w:t>pela</w:t>
      </w:r>
      <w:r w:rsidR="00496CB2" w:rsidRPr="003A1174">
        <w:rPr>
          <w:rFonts w:ascii="Garamond" w:hAnsi="Garamond" w:cs="Arial"/>
          <w:sz w:val="24"/>
          <w:szCs w:val="24"/>
          <w:lang w:val="pt-PT"/>
        </w:rPr>
        <w:t xml:space="preserve"> </w:t>
      </w:r>
      <w:r w:rsidR="0017447A" w:rsidRPr="003A1174">
        <w:rPr>
          <w:rFonts w:ascii="Garamond" w:hAnsi="Garamond" w:cs="Arial"/>
          <w:sz w:val="24"/>
          <w:szCs w:val="24"/>
          <w:lang w:val="pt-PT"/>
        </w:rPr>
        <w:t>situação</w:t>
      </w:r>
      <w:r w:rsidR="00496CB2" w:rsidRPr="003A1174">
        <w:rPr>
          <w:rFonts w:ascii="Garamond" w:hAnsi="Garamond" w:cs="Arial"/>
          <w:sz w:val="24"/>
          <w:szCs w:val="24"/>
          <w:lang w:val="pt-PT"/>
        </w:rPr>
        <w:t xml:space="preserve"> de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 de delito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Pr="003A1174">
        <w:rPr>
          <w:rFonts w:ascii="Garamond" w:hAnsi="Garamond" w:cs="Arial"/>
          <w:sz w:val="24"/>
          <w:szCs w:val="24"/>
          <w:lang w:val="pt-PT"/>
        </w:rPr>
        <w:t xml:space="preserve">até </w:t>
      </w:r>
      <w:r w:rsidR="007407BD" w:rsidRPr="003A1174">
        <w:rPr>
          <w:rFonts w:ascii="Garamond" w:hAnsi="Garamond" w:cs="Arial"/>
          <w:sz w:val="24"/>
          <w:szCs w:val="24"/>
          <w:lang w:val="pt-PT"/>
        </w:rPr>
        <w:t>podem</w:t>
      </w:r>
      <w:r w:rsidR="00496CB2" w:rsidRPr="003A1174">
        <w:rPr>
          <w:rFonts w:ascii="Garamond" w:hAnsi="Garamond" w:cs="Arial"/>
          <w:sz w:val="24"/>
          <w:szCs w:val="24"/>
          <w:lang w:val="pt-PT"/>
        </w:rPr>
        <w:t xml:space="preserve"> </w:t>
      </w:r>
      <w:r w:rsidR="00D4144D" w:rsidRPr="003A1174">
        <w:rPr>
          <w:rFonts w:ascii="Garamond" w:hAnsi="Garamond" w:cs="Arial"/>
          <w:sz w:val="24"/>
          <w:szCs w:val="24"/>
          <w:lang w:val="pt-PT"/>
        </w:rPr>
        <w:t>receber</w:t>
      </w:r>
      <w:r w:rsidR="00496CB2" w:rsidRPr="003A1174">
        <w:rPr>
          <w:rFonts w:ascii="Garamond" w:hAnsi="Garamond" w:cs="Arial"/>
          <w:sz w:val="24"/>
          <w:szCs w:val="24"/>
          <w:lang w:val="pt-PT"/>
        </w:rPr>
        <w:t xml:space="preserve"> </w:t>
      </w:r>
      <w:r w:rsidR="0005622E" w:rsidRPr="003A1174">
        <w:rPr>
          <w:rFonts w:ascii="Garamond" w:hAnsi="Garamond" w:cs="Arial"/>
          <w:sz w:val="24"/>
          <w:szCs w:val="24"/>
          <w:lang w:val="pt-PT"/>
        </w:rPr>
        <w:t>compensação</w:t>
      </w:r>
      <w:r w:rsidRPr="003A1174">
        <w:rPr>
          <w:rFonts w:ascii="Garamond" w:hAnsi="Garamond" w:cs="Arial"/>
          <w:sz w:val="24"/>
          <w:szCs w:val="24"/>
          <w:lang w:val="pt-PT"/>
        </w:rPr>
        <w:t xml:space="preserve"> monetá</w:t>
      </w:r>
      <w:r w:rsidR="00496CB2" w:rsidRPr="003A1174">
        <w:rPr>
          <w:rFonts w:ascii="Garamond" w:hAnsi="Garamond" w:cs="Arial"/>
          <w:sz w:val="24"/>
          <w:szCs w:val="24"/>
          <w:lang w:val="pt-PT"/>
        </w:rPr>
        <w:t xml:space="preserve">ria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496CB2" w:rsidRPr="003A1174">
        <w:rPr>
          <w:rFonts w:ascii="Garamond" w:hAnsi="Garamond" w:cs="Arial"/>
          <w:sz w:val="24"/>
          <w:szCs w:val="24"/>
          <w:lang w:val="pt-PT"/>
        </w:rPr>
        <w:t xml:space="preserve">a </w:t>
      </w:r>
      <w:r w:rsidRPr="003A1174">
        <w:rPr>
          <w:rFonts w:ascii="Garamond" w:hAnsi="Garamond" w:cs="Arial"/>
          <w:sz w:val="24"/>
          <w:szCs w:val="24"/>
          <w:lang w:val="pt-PT"/>
        </w:rPr>
        <w:t xml:space="preserve">prestação </w:t>
      </w:r>
      <w:r w:rsidR="00496CB2" w:rsidRPr="003A1174">
        <w:rPr>
          <w:rFonts w:ascii="Garamond" w:hAnsi="Garamond" w:cs="Arial"/>
          <w:sz w:val="24"/>
          <w:szCs w:val="24"/>
          <w:lang w:val="pt-PT"/>
        </w:rPr>
        <w:t xml:space="preserve">de </w:t>
      </w:r>
      <w:r w:rsidR="00B531F2" w:rsidRPr="003A1174">
        <w:rPr>
          <w:rFonts w:ascii="Garamond" w:hAnsi="Garamond" w:cs="Arial"/>
          <w:sz w:val="24"/>
          <w:szCs w:val="24"/>
          <w:lang w:val="pt-PT"/>
        </w:rPr>
        <w:t>serviço</w:t>
      </w:r>
      <w:r w:rsidR="00496CB2" w:rsidRPr="003A1174">
        <w:rPr>
          <w:rFonts w:ascii="Garamond" w:hAnsi="Garamond" w:cs="Arial"/>
          <w:sz w:val="24"/>
          <w:szCs w:val="24"/>
          <w:lang w:val="pt-PT"/>
        </w:rPr>
        <w:t xml:space="preserve">s psicológicos de </w:t>
      </w:r>
      <w:r w:rsidRPr="003A1174">
        <w:rPr>
          <w:rFonts w:ascii="Garamond" w:hAnsi="Garamond" w:cs="Arial"/>
          <w:sz w:val="24"/>
          <w:szCs w:val="24"/>
          <w:lang w:val="pt-PT"/>
        </w:rPr>
        <w:t>forma</w:t>
      </w:r>
      <w:r w:rsidR="00496CB2" w:rsidRPr="003A1174">
        <w:rPr>
          <w:rFonts w:ascii="Garamond" w:hAnsi="Garamond" w:cs="Arial"/>
          <w:sz w:val="24"/>
          <w:szCs w:val="24"/>
          <w:lang w:val="pt-PT"/>
        </w:rPr>
        <w:t xml:space="preserve"> gratuita, para </w:t>
      </w:r>
      <w:r w:rsidRPr="003A1174">
        <w:rPr>
          <w:rFonts w:ascii="Garamond" w:hAnsi="Garamond" w:cs="Arial"/>
          <w:sz w:val="24"/>
          <w:szCs w:val="24"/>
          <w:lang w:val="pt-PT"/>
        </w:rPr>
        <w:t xml:space="preserve">a </w:t>
      </w:r>
      <w:r w:rsidR="00496CB2" w:rsidRPr="003A1174">
        <w:rPr>
          <w:rFonts w:ascii="Garamond" w:hAnsi="Garamond" w:cs="Arial"/>
          <w:sz w:val="24"/>
          <w:szCs w:val="24"/>
          <w:lang w:val="pt-PT"/>
        </w:rPr>
        <w:t>su</w:t>
      </w:r>
      <w:r w:rsidRPr="003A1174">
        <w:rPr>
          <w:rFonts w:ascii="Garamond" w:hAnsi="Garamond" w:cs="Arial"/>
          <w:sz w:val="24"/>
          <w:szCs w:val="24"/>
          <w:lang w:val="pt-PT"/>
        </w:rPr>
        <w:t>a</w:t>
      </w:r>
      <w:r w:rsidR="00496CB2" w:rsidRPr="003A1174">
        <w:rPr>
          <w:rFonts w:ascii="Garamond" w:hAnsi="Garamond" w:cs="Arial"/>
          <w:sz w:val="24"/>
          <w:szCs w:val="24"/>
          <w:lang w:val="pt-PT"/>
        </w:rPr>
        <w:t xml:space="preserve"> estabiliza</w:t>
      </w:r>
      <w:r w:rsidRPr="003A1174">
        <w:rPr>
          <w:rFonts w:ascii="Garamond" w:hAnsi="Garamond" w:cs="Arial"/>
          <w:sz w:val="24"/>
          <w:szCs w:val="24"/>
          <w:lang w:val="pt-PT"/>
        </w:rPr>
        <w:t>ção</w:t>
      </w:r>
      <w:r w:rsidR="00496CB2" w:rsidRPr="003A1174">
        <w:rPr>
          <w:rFonts w:ascii="Garamond" w:hAnsi="Garamond" w:cs="Arial"/>
          <w:sz w:val="24"/>
          <w:szCs w:val="24"/>
          <w:lang w:val="pt-PT"/>
        </w:rPr>
        <w:t xml:space="preserve"> </w:t>
      </w:r>
      <w:r w:rsidR="00496CB2" w:rsidRPr="003A1174">
        <w:rPr>
          <w:rFonts w:ascii="Garamond" w:hAnsi="Garamond" w:cs="Arial"/>
          <w:i/>
          <w:sz w:val="24"/>
          <w:szCs w:val="24"/>
          <w:lang w:val="pt-PT"/>
        </w:rPr>
        <w:t xml:space="preserve">post </w:t>
      </w:r>
      <w:r w:rsidR="00496CB2" w:rsidRPr="003A1174">
        <w:rPr>
          <w:rFonts w:ascii="Garamond" w:hAnsi="Garamond" w:cs="Arial"/>
          <w:sz w:val="24"/>
          <w:szCs w:val="24"/>
          <w:lang w:val="pt-PT"/>
        </w:rPr>
        <w:t>traumática</w:t>
      </w:r>
      <w:r w:rsidR="00C269C2" w:rsidRPr="003A1174">
        <w:rPr>
          <w:rFonts w:ascii="Garamond" w:hAnsi="Garamond" w:cs="Arial"/>
          <w:sz w:val="24"/>
          <w:szCs w:val="24"/>
          <w:lang w:val="pt-PT"/>
        </w:rPr>
        <w:t>,</w:t>
      </w:r>
      <w:r w:rsidR="00496CB2" w:rsidRPr="003A1174">
        <w:rPr>
          <w:rFonts w:ascii="Garamond" w:hAnsi="Garamond" w:cs="Arial"/>
          <w:sz w:val="24"/>
          <w:szCs w:val="24"/>
          <w:lang w:val="pt-PT"/>
        </w:rPr>
        <w:t xml:space="preserve"> </w:t>
      </w:r>
      <w:r w:rsidR="000464C8" w:rsidRPr="003A1174">
        <w:rPr>
          <w:rFonts w:ascii="Garamond" w:hAnsi="Garamond" w:cs="Arial"/>
          <w:sz w:val="24"/>
          <w:szCs w:val="24"/>
          <w:lang w:val="pt-PT"/>
        </w:rPr>
        <w:t>assim</w:t>
      </w:r>
      <w:r w:rsidR="00496CB2" w:rsidRPr="003A1174">
        <w:rPr>
          <w:rFonts w:ascii="Garamond" w:hAnsi="Garamond" w:cs="Arial"/>
          <w:sz w:val="24"/>
          <w:szCs w:val="24"/>
          <w:lang w:val="pt-PT"/>
        </w:rPr>
        <w:t xml:space="preserve"> como para enfrentar</w:t>
      </w:r>
      <w:r w:rsidRPr="003A1174">
        <w:rPr>
          <w:rFonts w:ascii="Garamond" w:hAnsi="Garamond" w:cs="Arial"/>
          <w:sz w:val="24"/>
          <w:szCs w:val="24"/>
          <w:lang w:val="pt-PT"/>
        </w:rPr>
        <w:t xml:space="preserve">em o </w:t>
      </w:r>
      <w:r w:rsidR="002D1021" w:rsidRPr="003A1174">
        <w:rPr>
          <w:rFonts w:ascii="Garamond" w:hAnsi="Garamond" w:cs="Arial"/>
          <w:sz w:val="24"/>
          <w:szCs w:val="24"/>
          <w:lang w:val="pt-PT"/>
        </w:rPr>
        <w:t>processo</w:t>
      </w:r>
      <w:r w:rsidR="00496CB2" w:rsidRPr="003A1174">
        <w:rPr>
          <w:rFonts w:ascii="Garamond" w:hAnsi="Garamond" w:cs="Arial"/>
          <w:sz w:val="24"/>
          <w:szCs w:val="24"/>
          <w:lang w:val="pt-PT"/>
        </w:rPr>
        <w:t xml:space="preserve"> judicial </w:t>
      </w:r>
      <w:r w:rsidR="009A0CC2" w:rsidRPr="003A1174">
        <w:rPr>
          <w:rFonts w:ascii="Garamond" w:hAnsi="Garamond" w:cs="Arial"/>
          <w:sz w:val="24"/>
          <w:szCs w:val="24"/>
          <w:lang w:val="pt-PT"/>
        </w:rPr>
        <w:t>através</w:t>
      </w:r>
      <w:r w:rsidR="00496CB2"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496CB2" w:rsidRPr="003A1174">
        <w:rPr>
          <w:rFonts w:ascii="Garamond" w:hAnsi="Garamond" w:cs="Arial"/>
          <w:sz w:val="24"/>
          <w:szCs w:val="24"/>
          <w:lang w:val="pt-PT"/>
        </w:rPr>
        <w:t xml:space="preserve"> Unidades de Delitos </w:t>
      </w:r>
      <w:r w:rsidR="0091113A" w:rsidRPr="003A1174">
        <w:rPr>
          <w:rFonts w:ascii="Garamond" w:hAnsi="Garamond" w:cs="Arial"/>
          <w:sz w:val="24"/>
          <w:szCs w:val="24"/>
          <w:lang w:val="pt-PT"/>
        </w:rPr>
        <w:t>Sexuais</w:t>
      </w:r>
      <w:r w:rsidR="00496CB2" w:rsidRPr="003A1174">
        <w:rPr>
          <w:rFonts w:ascii="Garamond" w:hAnsi="Garamond" w:cs="Arial"/>
          <w:sz w:val="24"/>
          <w:szCs w:val="24"/>
          <w:lang w:val="pt-PT"/>
        </w:rPr>
        <w:t xml:space="preserve"> que </w:t>
      </w:r>
      <w:r w:rsidRPr="003A1174">
        <w:rPr>
          <w:rFonts w:ascii="Garamond" w:hAnsi="Garamond" w:cs="Arial"/>
          <w:sz w:val="24"/>
          <w:szCs w:val="24"/>
          <w:lang w:val="pt-PT"/>
        </w:rPr>
        <w:t xml:space="preserve">funcionam nas </w:t>
      </w:r>
      <w:r w:rsidR="009F0311" w:rsidRPr="003A1174">
        <w:rPr>
          <w:rFonts w:ascii="Garamond" w:hAnsi="Garamond" w:cs="Arial"/>
          <w:sz w:val="24"/>
          <w:szCs w:val="24"/>
          <w:lang w:val="pt-PT"/>
        </w:rPr>
        <w:t>Procuradoria</w:t>
      </w:r>
      <w:r w:rsidR="00496CB2" w:rsidRPr="003A1174">
        <w:rPr>
          <w:rFonts w:ascii="Garamond" w:hAnsi="Garamond" w:cs="Arial"/>
          <w:sz w:val="24"/>
          <w:szCs w:val="24"/>
          <w:lang w:val="pt-PT"/>
        </w:rPr>
        <w:t xml:space="preserve">s </w:t>
      </w:r>
      <w:r w:rsidR="00497503" w:rsidRPr="003A1174">
        <w:rPr>
          <w:rFonts w:ascii="Garamond" w:hAnsi="Garamond" w:cs="Arial"/>
          <w:sz w:val="24"/>
          <w:szCs w:val="24"/>
          <w:lang w:val="pt-PT"/>
        </w:rPr>
        <w:t>dos</w:t>
      </w:r>
      <w:r w:rsidR="00496CB2" w:rsidRPr="003A1174">
        <w:rPr>
          <w:rFonts w:ascii="Garamond" w:hAnsi="Garamond" w:cs="Arial"/>
          <w:sz w:val="24"/>
          <w:szCs w:val="24"/>
          <w:lang w:val="pt-PT"/>
        </w:rPr>
        <w:t xml:space="preserve"> </w:t>
      </w:r>
      <w:r w:rsidR="00FB09CA" w:rsidRPr="003A1174">
        <w:rPr>
          <w:rFonts w:ascii="Garamond" w:hAnsi="Garamond" w:cs="Arial"/>
          <w:sz w:val="24"/>
          <w:szCs w:val="24"/>
          <w:lang w:val="pt-PT"/>
        </w:rPr>
        <w:t>tribunais</w:t>
      </w:r>
      <w:r w:rsidR="00496CB2" w:rsidRPr="003A1174">
        <w:rPr>
          <w:rFonts w:ascii="Garamond" w:hAnsi="Garamond" w:cs="Arial"/>
          <w:sz w:val="24"/>
          <w:szCs w:val="24"/>
          <w:lang w:val="pt-PT"/>
        </w:rPr>
        <w:t xml:space="preserve"> de distritos.</w:t>
      </w:r>
    </w:p>
    <w:p w:rsidR="00496CB2" w:rsidRPr="003A1174" w:rsidRDefault="00496CB2"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eastAsia="Times New Roman" w:hAnsi="Garamond" w:cs="Arial"/>
          <w:bCs/>
          <w:sz w:val="24"/>
          <w:szCs w:val="24"/>
          <w:lang w:val="pt-PT" w:eastAsia="es-PR"/>
        </w:rPr>
        <w:t xml:space="preserve">Código Telefónico de </w:t>
      </w:r>
      <w:r w:rsidR="009E3E55" w:rsidRPr="003A1174">
        <w:rPr>
          <w:rFonts w:ascii="Garamond" w:eastAsia="Times New Roman" w:hAnsi="Garamond" w:cs="Arial"/>
          <w:bCs/>
          <w:sz w:val="24"/>
          <w:szCs w:val="24"/>
          <w:lang w:val="pt-PT" w:eastAsia="es-PR"/>
        </w:rPr>
        <w:t>Emergência</w:t>
      </w:r>
      <w:r w:rsidRPr="003A1174">
        <w:rPr>
          <w:rFonts w:ascii="Garamond" w:eastAsia="Times New Roman" w:hAnsi="Garamond" w:cs="Arial"/>
          <w:sz w:val="24"/>
          <w:szCs w:val="24"/>
          <w:lang w:val="pt-PT" w:eastAsia="es-PR"/>
        </w:rPr>
        <w:t>-Código 911. S</w:t>
      </w:r>
      <w:r w:rsidR="00A708F5" w:rsidRPr="003A1174">
        <w:rPr>
          <w:rFonts w:ascii="Garamond" w:eastAsia="Times New Roman" w:hAnsi="Garamond" w:cs="Arial"/>
          <w:sz w:val="24"/>
          <w:szCs w:val="24"/>
          <w:lang w:val="pt-PT" w:eastAsia="es-PR"/>
        </w:rPr>
        <w:t xml:space="preserve">e for </w:t>
      </w:r>
      <w:r w:rsidR="003F012B" w:rsidRPr="003A1174">
        <w:rPr>
          <w:rFonts w:ascii="Garamond" w:eastAsia="Times New Roman" w:hAnsi="Garamond" w:cs="Arial"/>
          <w:sz w:val="24"/>
          <w:szCs w:val="24"/>
          <w:lang w:val="pt-PT" w:eastAsia="es-PR"/>
        </w:rPr>
        <w:t>vítima</w:t>
      </w:r>
      <w:r w:rsidRPr="003A1174">
        <w:rPr>
          <w:rFonts w:ascii="Garamond" w:eastAsia="Times New Roman" w:hAnsi="Garamond" w:cs="Arial"/>
          <w:sz w:val="24"/>
          <w:szCs w:val="24"/>
          <w:lang w:val="pt-PT" w:eastAsia="es-PR"/>
        </w:rPr>
        <w:t xml:space="preserve"> de </w:t>
      </w:r>
      <w:r w:rsidR="009A0623" w:rsidRPr="003A1174">
        <w:rPr>
          <w:rFonts w:ascii="Garamond" w:eastAsia="Times New Roman" w:hAnsi="Garamond" w:cs="Arial"/>
          <w:sz w:val="24"/>
          <w:szCs w:val="24"/>
          <w:lang w:val="pt-PT" w:eastAsia="es-PR"/>
        </w:rPr>
        <w:t>agressão</w:t>
      </w:r>
      <w:r w:rsidRPr="003A1174">
        <w:rPr>
          <w:rFonts w:ascii="Garamond" w:eastAsia="Times New Roman" w:hAnsi="Garamond" w:cs="Arial"/>
          <w:sz w:val="24"/>
          <w:szCs w:val="24"/>
          <w:lang w:val="pt-PT" w:eastAsia="es-PR"/>
        </w:rPr>
        <w:t xml:space="preserve"> </w:t>
      </w:r>
      <w:r w:rsidR="000672E8" w:rsidRPr="003A1174">
        <w:rPr>
          <w:rFonts w:ascii="Garamond" w:eastAsia="Times New Roman" w:hAnsi="Garamond" w:cs="Arial"/>
          <w:sz w:val="24"/>
          <w:szCs w:val="24"/>
          <w:lang w:val="pt-PT" w:eastAsia="es-PR"/>
        </w:rPr>
        <w:t>e</w:t>
      </w:r>
      <w:r w:rsidRPr="003A1174">
        <w:rPr>
          <w:rFonts w:ascii="Garamond" w:eastAsia="Times New Roman" w:hAnsi="Garamond" w:cs="Arial"/>
          <w:sz w:val="24"/>
          <w:szCs w:val="24"/>
          <w:lang w:val="pt-PT" w:eastAsia="es-PR"/>
        </w:rPr>
        <w:t xml:space="preserve"> nece</w:t>
      </w:r>
      <w:r w:rsidR="00A708F5" w:rsidRPr="003A1174">
        <w:rPr>
          <w:rFonts w:ascii="Garamond" w:eastAsia="Times New Roman" w:hAnsi="Garamond" w:cs="Arial"/>
          <w:sz w:val="24"/>
          <w:szCs w:val="24"/>
          <w:lang w:val="pt-PT" w:eastAsia="es-PR"/>
        </w:rPr>
        <w:t>s</w:t>
      </w:r>
      <w:r w:rsidRPr="003A1174">
        <w:rPr>
          <w:rFonts w:ascii="Garamond" w:eastAsia="Times New Roman" w:hAnsi="Garamond" w:cs="Arial"/>
          <w:sz w:val="24"/>
          <w:szCs w:val="24"/>
          <w:lang w:val="pt-PT" w:eastAsia="es-PR"/>
        </w:rPr>
        <w:t>sita</w:t>
      </w:r>
      <w:r w:rsidR="00A708F5" w:rsidRPr="003A1174">
        <w:rPr>
          <w:rFonts w:ascii="Garamond" w:eastAsia="Times New Roman" w:hAnsi="Garamond" w:cs="Arial"/>
          <w:sz w:val="24"/>
          <w:szCs w:val="24"/>
          <w:lang w:val="pt-PT" w:eastAsia="es-PR"/>
        </w:rPr>
        <w:t>r de</w:t>
      </w:r>
      <w:r w:rsidRPr="003A1174">
        <w:rPr>
          <w:rFonts w:ascii="Garamond" w:eastAsia="Times New Roman" w:hAnsi="Garamond" w:cs="Arial"/>
          <w:sz w:val="24"/>
          <w:szCs w:val="24"/>
          <w:lang w:val="pt-PT" w:eastAsia="es-PR"/>
        </w:rPr>
        <w:t xml:space="preserve"> </w:t>
      </w:r>
      <w:r w:rsidR="000672E8" w:rsidRPr="003A1174">
        <w:rPr>
          <w:rFonts w:ascii="Garamond" w:eastAsia="Times New Roman" w:hAnsi="Garamond" w:cs="Arial"/>
          <w:sz w:val="24"/>
          <w:szCs w:val="24"/>
          <w:lang w:val="pt-PT" w:eastAsia="es-PR"/>
        </w:rPr>
        <w:t>ajuda</w:t>
      </w:r>
      <w:r w:rsidRPr="003A1174">
        <w:rPr>
          <w:rFonts w:ascii="Garamond" w:eastAsia="Times New Roman" w:hAnsi="Garamond" w:cs="Arial"/>
          <w:sz w:val="24"/>
          <w:szCs w:val="24"/>
          <w:lang w:val="pt-PT" w:eastAsia="es-PR"/>
        </w:rPr>
        <w:t xml:space="preserve"> </w:t>
      </w:r>
      <w:r w:rsidR="00201889" w:rsidRPr="003A1174">
        <w:rPr>
          <w:rFonts w:ascii="Garamond" w:eastAsia="Times New Roman" w:hAnsi="Garamond" w:cs="Arial"/>
          <w:sz w:val="24"/>
          <w:szCs w:val="24"/>
          <w:lang w:val="pt-PT" w:eastAsia="es-PR"/>
        </w:rPr>
        <w:t>imediata</w:t>
      </w:r>
      <w:r w:rsidRPr="003A1174">
        <w:rPr>
          <w:rFonts w:ascii="Garamond" w:eastAsia="Times New Roman" w:hAnsi="Garamond" w:cs="Arial"/>
          <w:sz w:val="24"/>
          <w:szCs w:val="24"/>
          <w:lang w:val="pt-PT" w:eastAsia="es-PR"/>
        </w:rPr>
        <w:t>, marca</w:t>
      </w:r>
      <w:r w:rsidR="007D1CB7" w:rsidRPr="003A1174">
        <w:rPr>
          <w:rFonts w:ascii="Garamond" w:eastAsia="Times New Roman" w:hAnsi="Garamond" w:cs="Arial"/>
          <w:sz w:val="24"/>
          <w:szCs w:val="24"/>
          <w:lang w:val="pt-PT" w:eastAsia="es-PR"/>
        </w:rPr>
        <w:t>n</w:t>
      </w:r>
      <w:r w:rsidRPr="003A1174">
        <w:rPr>
          <w:rFonts w:ascii="Garamond" w:eastAsia="Times New Roman" w:hAnsi="Garamond" w:cs="Arial"/>
          <w:sz w:val="24"/>
          <w:szCs w:val="24"/>
          <w:lang w:val="pt-PT" w:eastAsia="es-PR"/>
        </w:rPr>
        <w:t xml:space="preserve">do </w:t>
      </w:r>
      <w:r w:rsidR="00A708F5" w:rsidRPr="003A1174">
        <w:rPr>
          <w:rFonts w:ascii="Garamond" w:eastAsia="Times New Roman" w:hAnsi="Garamond" w:cs="Arial"/>
          <w:sz w:val="24"/>
          <w:szCs w:val="24"/>
          <w:lang w:val="pt-PT" w:eastAsia="es-PR"/>
        </w:rPr>
        <w:t xml:space="preserve">o </w:t>
      </w:r>
      <w:r w:rsidRPr="003A1174">
        <w:rPr>
          <w:rFonts w:ascii="Garamond" w:eastAsia="Times New Roman" w:hAnsi="Garamond" w:cs="Arial"/>
          <w:sz w:val="24"/>
          <w:szCs w:val="24"/>
          <w:lang w:val="pt-PT" w:eastAsia="es-PR"/>
        </w:rPr>
        <w:t>911</w:t>
      </w:r>
      <w:r w:rsidR="00A708F5" w:rsidRPr="003A1174">
        <w:rPr>
          <w:rFonts w:ascii="Garamond" w:eastAsia="Times New Roman" w:hAnsi="Garamond" w:cs="Arial"/>
          <w:sz w:val="24"/>
          <w:szCs w:val="24"/>
          <w:lang w:val="pt-PT" w:eastAsia="es-PR"/>
        </w:rPr>
        <w:t xml:space="preserve">, o telefonema </w:t>
      </w:r>
      <w:r w:rsidRPr="003A1174">
        <w:rPr>
          <w:rFonts w:ascii="Garamond" w:eastAsia="Times New Roman" w:hAnsi="Garamond" w:cs="Arial"/>
          <w:sz w:val="24"/>
          <w:szCs w:val="24"/>
          <w:lang w:val="pt-PT" w:eastAsia="es-PR"/>
        </w:rPr>
        <w:t xml:space="preserve">será </w:t>
      </w:r>
      <w:r w:rsidR="00A708F5" w:rsidRPr="003A1174">
        <w:rPr>
          <w:rFonts w:ascii="Garamond" w:eastAsia="Times New Roman" w:hAnsi="Garamond" w:cs="Arial"/>
          <w:sz w:val="24"/>
          <w:szCs w:val="24"/>
          <w:lang w:val="pt-PT" w:eastAsia="es-PR"/>
        </w:rPr>
        <w:t xml:space="preserve">atendido </w:t>
      </w:r>
      <w:r w:rsidR="00275092" w:rsidRPr="003A1174">
        <w:rPr>
          <w:rFonts w:ascii="Garamond" w:eastAsia="Times New Roman" w:hAnsi="Garamond" w:cs="Arial"/>
          <w:sz w:val="24"/>
          <w:szCs w:val="24"/>
          <w:lang w:val="pt-PT" w:eastAsia="es-PR"/>
        </w:rPr>
        <w:t>pela</w:t>
      </w:r>
      <w:r w:rsidRPr="003A1174">
        <w:rPr>
          <w:rFonts w:ascii="Garamond" w:eastAsia="Times New Roman" w:hAnsi="Garamond" w:cs="Arial"/>
          <w:sz w:val="24"/>
          <w:szCs w:val="24"/>
          <w:lang w:val="pt-PT" w:eastAsia="es-PR"/>
        </w:rPr>
        <w:t xml:space="preserve"> operadora, 24 horas </w:t>
      </w:r>
      <w:r w:rsidR="00A708F5" w:rsidRPr="003A1174">
        <w:rPr>
          <w:rFonts w:ascii="Garamond" w:eastAsia="Times New Roman" w:hAnsi="Garamond" w:cs="Arial"/>
          <w:sz w:val="24"/>
          <w:szCs w:val="24"/>
          <w:lang w:val="pt-PT" w:eastAsia="es-PR"/>
        </w:rPr>
        <w:t>por</w:t>
      </w:r>
      <w:r w:rsidRPr="003A1174">
        <w:rPr>
          <w:rFonts w:ascii="Garamond" w:eastAsia="Times New Roman" w:hAnsi="Garamond" w:cs="Arial"/>
          <w:sz w:val="24"/>
          <w:szCs w:val="24"/>
          <w:lang w:val="pt-PT" w:eastAsia="es-PR"/>
        </w:rPr>
        <w:t xml:space="preserve"> </w:t>
      </w:r>
      <w:r w:rsidR="009D5ED8" w:rsidRPr="003A1174">
        <w:rPr>
          <w:rFonts w:ascii="Garamond" w:eastAsia="Times New Roman" w:hAnsi="Garamond" w:cs="Arial"/>
          <w:sz w:val="24"/>
          <w:szCs w:val="24"/>
          <w:lang w:val="pt-PT" w:eastAsia="es-PR"/>
        </w:rPr>
        <w:t>dia</w:t>
      </w:r>
      <w:r w:rsidRPr="003A1174">
        <w:rPr>
          <w:rFonts w:ascii="Garamond" w:eastAsia="Times New Roman" w:hAnsi="Garamond" w:cs="Arial"/>
          <w:sz w:val="24"/>
          <w:szCs w:val="24"/>
          <w:lang w:val="pt-PT" w:eastAsia="es-PR"/>
        </w:rPr>
        <w:t xml:space="preserve">, 7 </w:t>
      </w:r>
      <w:r w:rsidR="009D5ED8" w:rsidRPr="003A1174">
        <w:rPr>
          <w:rFonts w:ascii="Garamond" w:eastAsia="Times New Roman" w:hAnsi="Garamond" w:cs="Arial"/>
          <w:sz w:val="24"/>
          <w:szCs w:val="24"/>
          <w:lang w:val="pt-PT" w:eastAsia="es-PR"/>
        </w:rPr>
        <w:t>dia</w:t>
      </w:r>
      <w:r w:rsidRPr="003A1174">
        <w:rPr>
          <w:rFonts w:ascii="Garamond" w:eastAsia="Times New Roman" w:hAnsi="Garamond" w:cs="Arial"/>
          <w:sz w:val="24"/>
          <w:szCs w:val="24"/>
          <w:lang w:val="pt-PT" w:eastAsia="es-PR"/>
        </w:rPr>
        <w:t xml:space="preserve">s </w:t>
      </w:r>
      <w:r w:rsidR="00A708F5" w:rsidRPr="003A1174">
        <w:rPr>
          <w:rFonts w:ascii="Garamond" w:eastAsia="Times New Roman" w:hAnsi="Garamond" w:cs="Arial"/>
          <w:sz w:val="24"/>
          <w:szCs w:val="24"/>
          <w:lang w:val="pt-PT" w:eastAsia="es-PR"/>
        </w:rPr>
        <w:t xml:space="preserve">por </w:t>
      </w:r>
      <w:r w:rsidRPr="003A1174">
        <w:rPr>
          <w:rFonts w:ascii="Garamond" w:eastAsia="Times New Roman" w:hAnsi="Garamond" w:cs="Arial"/>
          <w:sz w:val="24"/>
          <w:szCs w:val="24"/>
          <w:lang w:val="pt-PT" w:eastAsia="es-PR"/>
        </w:rPr>
        <w:t xml:space="preserve">semana. </w:t>
      </w:r>
      <w:r w:rsidR="00A708F5" w:rsidRPr="003A1174">
        <w:rPr>
          <w:rFonts w:ascii="Garamond" w:eastAsia="Times New Roman" w:hAnsi="Garamond" w:cs="Arial"/>
          <w:sz w:val="24"/>
          <w:szCs w:val="24"/>
          <w:lang w:val="pt-PT" w:eastAsia="es-PR"/>
        </w:rPr>
        <w:t>O</w:t>
      </w:r>
      <w:r w:rsidRPr="003A1174">
        <w:rPr>
          <w:rFonts w:ascii="Garamond" w:eastAsia="Times New Roman" w:hAnsi="Garamond" w:cs="Arial"/>
          <w:sz w:val="24"/>
          <w:szCs w:val="24"/>
          <w:lang w:val="pt-PT" w:eastAsia="es-PR"/>
        </w:rPr>
        <w:t xml:space="preserve"> </w:t>
      </w:r>
      <w:r w:rsidR="00B531F2" w:rsidRPr="003A1174">
        <w:rPr>
          <w:rFonts w:ascii="Garamond" w:eastAsia="Times New Roman" w:hAnsi="Garamond" w:cs="Arial"/>
          <w:sz w:val="24"/>
          <w:szCs w:val="24"/>
          <w:lang w:val="pt-PT" w:eastAsia="es-PR"/>
        </w:rPr>
        <w:t>serviço</w:t>
      </w:r>
      <w:r w:rsidRPr="003A1174">
        <w:rPr>
          <w:rFonts w:ascii="Garamond" w:eastAsia="Times New Roman" w:hAnsi="Garamond" w:cs="Arial"/>
          <w:sz w:val="24"/>
          <w:szCs w:val="24"/>
          <w:lang w:val="pt-PT" w:eastAsia="es-PR"/>
        </w:rPr>
        <w:t xml:space="preserve"> </w:t>
      </w:r>
      <w:r w:rsidR="00152A44" w:rsidRPr="003A1174">
        <w:rPr>
          <w:rFonts w:ascii="Garamond" w:eastAsia="Times New Roman" w:hAnsi="Garamond" w:cs="Arial"/>
          <w:sz w:val="24"/>
          <w:szCs w:val="24"/>
          <w:lang w:val="pt-PT" w:eastAsia="es-PR"/>
        </w:rPr>
        <w:t>inclui</w:t>
      </w:r>
      <w:r w:rsidRPr="003A1174">
        <w:rPr>
          <w:rFonts w:ascii="Garamond" w:eastAsia="Times New Roman" w:hAnsi="Garamond" w:cs="Arial"/>
          <w:sz w:val="24"/>
          <w:szCs w:val="24"/>
          <w:lang w:val="pt-PT" w:eastAsia="es-PR"/>
        </w:rPr>
        <w:t xml:space="preserve"> tradu</w:t>
      </w:r>
      <w:r w:rsidR="00A708F5" w:rsidRPr="003A1174">
        <w:rPr>
          <w:rFonts w:ascii="Garamond" w:eastAsia="Times New Roman" w:hAnsi="Garamond" w:cs="Arial"/>
          <w:sz w:val="24"/>
          <w:szCs w:val="24"/>
          <w:lang w:val="pt-PT" w:eastAsia="es-PR"/>
        </w:rPr>
        <w:t xml:space="preserve">ção </w:t>
      </w:r>
      <w:r w:rsidR="00A207EB" w:rsidRPr="003A1174">
        <w:rPr>
          <w:rFonts w:ascii="Garamond" w:eastAsia="Times New Roman" w:hAnsi="Garamond" w:cs="Arial"/>
          <w:sz w:val="24"/>
          <w:szCs w:val="24"/>
          <w:lang w:val="pt-PT" w:eastAsia="es-PR"/>
        </w:rPr>
        <w:t>disponível</w:t>
      </w:r>
      <w:r w:rsidRPr="003A1174">
        <w:rPr>
          <w:rFonts w:ascii="Garamond" w:eastAsia="Times New Roman" w:hAnsi="Garamond" w:cs="Arial"/>
          <w:sz w:val="24"/>
          <w:szCs w:val="24"/>
          <w:lang w:val="pt-PT" w:eastAsia="es-PR"/>
        </w:rPr>
        <w:t xml:space="preserve"> e</w:t>
      </w:r>
      <w:r w:rsidR="00A708F5" w:rsidRPr="003A1174">
        <w:rPr>
          <w:rFonts w:ascii="Garamond" w:eastAsia="Times New Roman" w:hAnsi="Garamond" w:cs="Arial"/>
          <w:sz w:val="24"/>
          <w:szCs w:val="24"/>
          <w:lang w:val="pt-PT" w:eastAsia="es-PR"/>
        </w:rPr>
        <w:t>m</w:t>
      </w:r>
      <w:r w:rsidRPr="003A1174">
        <w:rPr>
          <w:rFonts w:ascii="Garamond" w:eastAsia="Times New Roman" w:hAnsi="Garamond" w:cs="Arial"/>
          <w:sz w:val="24"/>
          <w:szCs w:val="24"/>
          <w:lang w:val="pt-PT" w:eastAsia="es-PR"/>
        </w:rPr>
        <w:t xml:space="preserve"> 170 </w:t>
      </w:r>
      <w:r w:rsidR="00A708F5" w:rsidRPr="003A1174">
        <w:rPr>
          <w:rFonts w:ascii="Garamond" w:eastAsia="Times New Roman" w:hAnsi="Garamond" w:cs="Arial"/>
          <w:sz w:val="24"/>
          <w:szCs w:val="24"/>
          <w:lang w:val="pt-PT" w:eastAsia="es-PR"/>
        </w:rPr>
        <w:t>línguas</w:t>
      </w:r>
      <w:r w:rsidRPr="003A1174">
        <w:rPr>
          <w:rFonts w:ascii="Garamond" w:eastAsia="Times New Roman" w:hAnsi="Garamond" w:cs="Arial"/>
          <w:sz w:val="24"/>
          <w:szCs w:val="24"/>
          <w:lang w:val="pt-PT" w:eastAsia="es-PR"/>
        </w:rPr>
        <w:t>.</w:t>
      </w:r>
      <w:r w:rsidRPr="003A1174">
        <w:rPr>
          <w:rFonts w:ascii="Garamond" w:hAnsi="Garamond" w:cs="Arial"/>
          <w:sz w:val="24"/>
          <w:szCs w:val="24"/>
          <w:lang w:val="pt-PT"/>
        </w:rPr>
        <w:t xml:space="preserve">  </w:t>
      </w:r>
    </w:p>
    <w:p w:rsidR="00496CB2" w:rsidRPr="003A1174" w:rsidRDefault="00496CB2"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t>Centros hospitalar</w:t>
      </w:r>
      <w:r w:rsidR="00A708F5" w:rsidRPr="003A1174">
        <w:rPr>
          <w:rFonts w:ascii="Garamond" w:hAnsi="Garamond" w:cs="Arial"/>
          <w:sz w:val="24"/>
          <w:szCs w:val="24"/>
          <w:lang w:val="pt-PT"/>
        </w:rPr>
        <w:t>e</w:t>
      </w:r>
      <w:r w:rsidRPr="003A1174">
        <w:rPr>
          <w:rFonts w:ascii="Garamond" w:hAnsi="Garamond" w:cs="Arial"/>
          <w:sz w:val="24"/>
          <w:szCs w:val="24"/>
          <w:lang w:val="pt-PT"/>
        </w:rPr>
        <w:t xml:space="preserve">s privados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w:t>
      </w:r>
      <w:r w:rsidR="007D1CB7" w:rsidRPr="003A1174">
        <w:rPr>
          <w:rFonts w:ascii="Garamond" w:hAnsi="Garamond" w:cs="Arial"/>
          <w:sz w:val="24"/>
          <w:szCs w:val="24"/>
          <w:lang w:val="pt-PT"/>
        </w:rPr>
        <w:t>E</w:t>
      </w:r>
      <w:r w:rsidR="00A708F5" w:rsidRPr="003A1174">
        <w:rPr>
          <w:rFonts w:ascii="Garamond" w:hAnsi="Garamond" w:cs="Arial"/>
          <w:sz w:val="24"/>
          <w:szCs w:val="24"/>
          <w:lang w:val="pt-PT"/>
        </w:rPr>
        <w:t>stado com</w:t>
      </w:r>
      <w:r w:rsidRPr="003A1174">
        <w:rPr>
          <w:rFonts w:ascii="Garamond" w:hAnsi="Garamond" w:cs="Arial"/>
          <w:sz w:val="24"/>
          <w:szCs w:val="24"/>
          <w:lang w:val="pt-PT"/>
        </w:rPr>
        <w:t xml:space="preserve"> unidades psiquiátricas de </w:t>
      </w:r>
      <w:r w:rsidR="001C2738" w:rsidRPr="003A1174">
        <w:rPr>
          <w:rFonts w:ascii="Garamond" w:hAnsi="Garamond" w:cs="Arial"/>
          <w:sz w:val="24"/>
          <w:szCs w:val="24"/>
          <w:lang w:val="pt-PT"/>
        </w:rPr>
        <w:t>tratamento</w:t>
      </w:r>
      <w:r w:rsidRPr="003A1174">
        <w:rPr>
          <w:rFonts w:ascii="Garamond" w:hAnsi="Garamond" w:cs="Arial"/>
          <w:sz w:val="24"/>
          <w:szCs w:val="24"/>
          <w:lang w:val="pt-PT"/>
        </w:rPr>
        <w:t>.</w:t>
      </w:r>
    </w:p>
    <w:p w:rsidR="00496CB2" w:rsidRPr="003A1174" w:rsidRDefault="000350B1"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t>Profissionais</w:t>
      </w:r>
      <w:r w:rsidR="00496CB2" w:rsidRPr="003A1174">
        <w:rPr>
          <w:rFonts w:ascii="Garamond" w:hAnsi="Garamond" w:cs="Arial"/>
          <w:sz w:val="24"/>
          <w:szCs w:val="24"/>
          <w:lang w:val="pt-PT"/>
        </w:rPr>
        <w:t xml:space="preserve"> de </w:t>
      </w:r>
      <w:r w:rsidR="007C63D0" w:rsidRPr="003A1174">
        <w:rPr>
          <w:rFonts w:ascii="Garamond" w:hAnsi="Garamond" w:cs="Arial"/>
          <w:sz w:val="24"/>
          <w:szCs w:val="24"/>
          <w:lang w:val="pt-PT"/>
        </w:rPr>
        <w:t>saúde</w:t>
      </w:r>
      <w:r w:rsidR="00496CB2" w:rsidRPr="003A1174">
        <w:rPr>
          <w:rFonts w:ascii="Garamond" w:hAnsi="Garamond" w:cs="Arial"/>
          <w:sz w:val="24"/>
          <w:szCs w:val="24"/>
          <w:lang w:val="pt-PT"/>
        </w:rPr>
        <w:t xml:space="preserve"> mental contratados </w:t>
      </w:r>
      <w:r w:rsidR="00275092" w:rsidRPr="003A1174">
        <w:rPr>
          <w:rFonts w:ascii="Garamond" w:hAnsi="Garamond" w:cs="Arial"/>
          <w:sz w:val="24"/>
          <w:szCs w:val="24"/>
          <w:lang w:val="pt-PT"/>
        </w:rPr>
        <w:t>pela</w:t>
      </w:r>
      <w:r w:rsidR="00496CB2" w:rsidRPr="003A1174">
        <w:rPr>
          <w:rFonts w:ascii="Garamond" w:hAnsi="Garamond" w:cs="Arial"/>
          <w:sz w:val="24"/>
          <w:szCs w:val="24"/>
          <w:lang w:val="pt-PT"/>
        </w:rPr>
        <w:t xml:space="preserve">s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s, </w:t>
      </w:r>
      <w:r w:rsidR="009A0CC2" w:rsidRPr="003A1174">
        <w:rPr>
          <w:rFonts w:ascii="Garamond" w:hAnsi="Garamond" w:cs="Arial"/>
          <w:sz w:val="24"/>
          <w:szCs w:val="24"/>
          <w:lang w:val="pt-PT"/>
        </w:rPr>
        <w:t>através</w:t>
      </w:r>
      <w:r w:rsidR="00496CB2"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496CB2" w:rsidRPr="003A1174">
        <w:rPr>
          <w:rFonts w:ascii="Garamond" w:hAnsi="Garamond" w:cs="Arial"/>
          <w:sz w:val="24"/>
          <w:szCs w:val="24"/>
          <w:lang w:val="pt-PT"/>
        </w:rPr>
        <w:t xml:space="preserve"> </w:t>
      </w:r>
      <w:r w:rsidR="00462B11" w:rsidRPr="003A1174">
        <w:rPr>
          <w:rFonts w:ascii="Garamond" w:hAnsi="Garamond" w:cs="Arial"/>
          <w:sz w:val="24"/>
          <w:szCs w:val="24"/>
          <w:lang w:val="pt-PT"/>
        </w:rPr>
        <w:t>Plano</w:t>
      </w:r>
      <w:r w:rsidR="00496CB2" w:rsidRPr="003A1174">
        <w:rPr>
          <w:rFonts w:ascii="Garamond" w:hAnsi="Garamond" w:cs="Arial"/>
          <w:sz w:val="24"/>
          <w:szCs w:val="24"/>
          <w:lang w:val="pt-PT"/>
        </w:rPr>
        <w:t xml:space="preserve"> médico </w:t>
      </w:r>
      <w:r w:rsidR="00E85E59" w:rsidRPr="003A1174">
        <w:rPr>
          <w:rFonts w:ascii="Garamond" w:hAnsi="Garamond" w:cs="Arial"/>
          <w:sz w:val="24"/>
          <w:szCs w:val="24"/>
          <w:lang w:val="pt-PT"/>
        </w:rPr>
        <w:t>do</w:t>
      </w:r>
      <w:r w:rsidR="00496CB2" w:rsidRPr="003A1174">
        <w:rPr>
          <w:rFonts w:ascii="Garamond" w:hAnsi="Garamond" w:cs="Arial"/>
          <w:sz w:val="24"/>
          <w:szCs w:val="24"/>
          <w:lang w:val="pt-PT"/>
        </w:rPr>
        <w:t xml:space="preserve"> </w:t>
      </w:r>
      <w:r w:rsidR="006506C6" w:rsidRPr="003A1174">
        <w:rPr>
          <w:rFonts w:ascii="Garamond" w:hAnsi="Garamond" w:cs="Arial"/>
          <w:sz w:val="24"/>
          <w:szCs w:val="24"/>
          <w:lang w:val="pt-PT"/>
        </w:rPr>
        <w:t>Governo</w:t>
      </w:r>
      <w:r w:rsidR="00496CB2" w:rsidRPr="003A1174">
        <w:rPr>
          <w:rFonts w:ascii="Garamond" w:hAnsi="Garamond" w:cs="Arial"/>
          <w:sz w:val="24"/>
          <w:szCs w:val="24"/>
          <w:lang w:val="pt-PT"/>
        </w:rPr>
        <w:t xml:space="preserve">-MI </w:t>
      </w:r>
      <w:r w:rsidR="007C63D0" w:rsidRPr="003A1174">
        <w:rPr>
          <w:rFonts w:ascii="Garamond" w:hAnsi="Garamond" w:cs="Arial"/>
          <w:sz w:val="24"/>
          <w:szCs w:val="24"/>
          <w:lang w:val="pt-PT"/>
        </w:rPr>
        <w:t>Saúde</w:t>
      </w:r>
      <w:r w:rsidR="00496C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/o</w:t>
      </w:r>
      <w:r w:rsidR="00A708F5" w:rsidRPr="003A1174">
        <w:rPr>
          <w:rFonts w:ascii="Garamond" w:hAnsi="Garamond" w:cs="Arial"/>
          <w:sz w:val="24"/>
          <w:szCs w:val="24"/>
          <w:lang w:val="pt-PT"/>
        </w:rPr>
        <w:t>u</w:t>
      </w:r>
      <w:r w:rsidR="00496CB2" w:rsidRPr="003A1174">
        <w:rPr>
          <w:rFonts w:ascii="Garamond" w:hAnsi="Garamond" w:cs="Arial"/>
          <w:sz w:val="24"/>
          <w:szCs w:val="24"/>
          <w:lang w:val="pt-PT"/>
        </w:rPr>
        <w:t xml:space="preserve"> Privados. </w:t>
      </w:r>
    </w:p>
    <w:p w:rsidR="00496CB2" w:rsidRPr="003A1174" w:rsidRDefault="00A708F5"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t xml:space="preserve">A </w:t>
      </w:r>
      <w:r w:rsidR="00CF42A3" w:rsidRPr="003A1174">
        <w:rPr>
          <w:rFonts w:ascii="Garamond" w:hAnsi="Garamond" w:cs="Arial"/>
          <w:sz w:val="24"/>
          <w:szCs w:val="24"/>
          <w:lang w:val="pt-PT"/>
        </w:rPr>
        <w:t>Polícia</w:t>
      </w:r>
      <w:r w:rsidR="00496CB2" w:rsidRPr="003A1174">
        <w:rPr>
          <w:rFonts w:ascii="Garamond" w:hAnsi="Garamond" w:cs="Arial"/>
          <w:sz w:val="24"/>
          <w:szCs w:val="24"/>
          <w:lang w:val="pt-PT"/>
        </w:rPr>
        <w:t xml:space="preserve"> de </w:t>
      </w:r>
      <w:r w:rsidR="0017447A" w:rsidRPr="003A1174">
        <w:rPr>
          <w:rFonts w:ascii="Garamond" w:hAnsi="Garamond" w:cs="Arial"/>
          <w:sz w:val="24"/>
          <w:szCs w:val="24"/>
          <w:lang w:val="pt-PT"/>
        </w:rPr>
        <w:t>Porto</w:t>
      </w:r>
      <w:r w:rsidR="00496CB2" w:rsidRPr="003A1174">
        <w:rPr>
          <w:rFonts w:ascii="Garamond" w:hAnsi="Garamond" w:cs="Arial"/>
          <w:sz w:val="24"/>
          <w:szCs w:val="24"/>
          <w:lang w:val="pt-PT"/>
        </w:rPr>
        <w:t xml:space="preserve"> Rico</w:t>
      </w:r>
      <w:r w:rsidR="007D1CB7" w:rsidRPr="003A1174">
        <w:rPr>
          <w:rFonts w:ascii="Garamond" w:hAnsi="Garamond" w:cs="Arial"/>
          <w:sz w:val="24"/>
          <w:szCs w:val="24"/>
          <w:lang w:val="pt-PT"/>
        </w:rPr>
        <w:t>,</w:t>
      </w:r>
      <w:r w:rsidR="00496CB2" w:rsidRPr="003A1174">
        <w:rPr>
          <w:rFonts w:ascii="Garamond" w:hAnsi="Garamond" w:cs="Arial"/>
          <w:sz w:val="24"/>
          <w:szCs w:val="24"/>
          <w:lang w:val="pt-PT"/>
        </w:rPr>
        <w:t xml:space="preserve"> </w:t>
      </w:r>
      <w:r w:rsidR="009A0CC2" w:rsidRPr="003A1174">
        <w:rPr>
          <w:rFonts w:ascii="Garamond" w:hAnsi="Garamond" w:cs="Arial"/>
          <w:sz w:val="24"/>
          <w:szCs w:val="24"/>
          <w:lang w:val="pt-PT"/>
        </w:rPr>
        <w:t>através</w:t>
      </w:r>
      <w:r w:rsidR="00496CB2" w:rsidRPr="003A1174">
        <w:rPr>
          <w:rFonts w:ascii="Garamond" w:hAnsi="Garamond" w:cs="Arial"/>
          <w:sz w:val="24"/>
          <w:szCs w:val="24"/>
          <w:lang w:val="pt-PT"/>
        </w:rPr>
        <w:t xml:space="preserve"> da</w:t>
      </w:r>
      <w:r w:rsidRPr="003A1174">
        <w:rPr>
          <w:rFonts w:ascii="Garamond" w:hAnsi="Garamond" w:cs="Arial"/>
          <w:sz w:val="24"/>
          <w:szCs w:val="24"/>
          <w:lang w:val="pt-PT"/>
        </w:rPr>
        <w:t>s</w:t>
      </w:r>
      <w:r w:rsidR="00496CB2" w:rsidRPr="003A1174">
        <w:rPr>
          <w:rFonts w:ascii="Garamond" w:hAnsi="Garamond" w:cs="Arial"/>
          <w:sz w:val="24"/>
          <w:szCs w:val="24"/>
          <w:lang w:val="pt-PT"/>
        </w:rPr>
        <w:t xml:space="preserve"> Unidades Especializadas de </w:t>
      </w:r>
      <w:r w:rsidR="000350B1" w:rsidRPr="003A1174">
        <w:rPr>
          <w:rFonts w:ascii="Garamond" w:hAnsi="Garamond" w:cs="Arial"/>
          <w:sz w:val="24"/>
          <w:szCs w:val="24"/>
          <w:lang w:val="pt-PT"/>
        </w:rPr>
        <w:t>Violência</w:t>
      </w:r>
      <w:r w:rsidR="00496CB2" w:rsidRPr="003A1174">
        <w:rPr>
          <w:rFonts w:ascii="Garamond" w:hAnsi="Garamond" w:cs="Arial"/>
          <w:sz w:val="24"/>
          <w:szCs w:val="24"/>
          <w:lang w:val="pt-PT"/>
        </w:rPr>
        <w:t xml:space="preserve"> Doméstica, </w:t>
      </w:r>
      <w:r w:rsidRPr="003A1174">
        <w:rPr>
          <w:rFonts w:ascii="Garamond" w:hAnsi="Garamond" w:cs="Arial"/>
          <w:sz w:val="24"/>
          <w:szCs w:val="24"/>
          <w:lang w:val="pt-PT"/>
        </w:rPr>
        <w:t xml:space="preserve">localizadas nas </w:t>
      </w:r>
      <w:r w:rsidR="00A86B7C" w:rsidRPr="003A1174">
        <w:rPr>
          <w:rFonts w:ascii="Garamond" w:hAnsi="Garamond" w:cs="Arial"/>
          <w:sz w:val="24"/>
          <w:szCs w:val="24"/>
          <w:lang w:val="pt-PT"/>
        </w:rPr>
        <w:t>Esquadras</w:t>
      </w:r>
      <w:r w:rsidR="007D1CB7" w:rsidRPr="003A1174">
        <w:rPr>
          <w:rFonts w:ascii="Garamond" w:hAnsi="Garamond" w:cs="Arial"/>
          <w:sz w:val="24"/>
          <w:szCs w:val="24"/>
          <w:lang w:val="pt-PT"/>
        </w:rPr>
        <w:t>, que</w:t>
      </w:r>
      <w:r w:rsidR="00496CB2" w:rsidRPr="003A1174">
        <w:rPr>
          <w:rFonts w:ascii="Garamond" w:hAnsi="Garamond" w:cs="Arial"/>
          <w:sz w:val="24"/>
          <w:szCs w:val="24"/>
          <w:lang w:val="pt-PT"/>
        </w:rPr>
        <w:t xml:space="preserve"> </w:t>
      </w:r>
      <w:r w:rsidR="006B7B15">
        <w:rPr>
          <w:rFonts w:ascii="Garamond" w:hAnsi="Garamond" w:cs="Arial"/>
          <w:sz w:val="24"/>
          <w:szCs w:val="24"/>
          <w:lang w:val="pt-PT"/>
        </w:rPr>
        <w:t xml:space="preserve">adaptam </w:t>
      </w:r>
      <w:r w:rsidR="00496CB2" w:rsidRPr="003A1174">
        <w:rPr>
          <w:rFonts w:ascii="Garamond" w:hAnsi="Garamond" w:cs="Arial"/>
          <w:sz w:val="24"/>
          <w:szCs w:val="24"/>
          <w:lang w:val="pt-PT"/>
        </w:rPr>
        <w:t xml:space="preserve">os </w:t>
      </w:r>
      <w:r w:rsidR="00B531F2" w:rsidRPr="003A1174">
        <w:rPr>
          <w:rFonts w:ascii="Garamond" w:hAnsi="Garamond" w:cs="Arial"/>
          <w:sz w:val="24"/>
          <w:szCs w:val="24"/>
          <w:lang w:val="pt-PT"/>
        </w:rPr>
        <w:t>serviço</w:t>
      </w:r>
      <w:r w:rsidR="00A86B7C" w:rsidRPr="003A1174">
        <w:rPr>
          <w:rFonts w:ascii="Garamond" w:hAnsi="Garamond" w:cs="Arial"/>
          <w:sz w:val="24"/>
          <w:szCs w:val="24"/>
          <w:lang w:val="pt-PT"/>
        </w:rPr>
        <w:t>s</w:t>
      </w:r>
      <w:r w:rsidR="00496CB2" w:rsidRPr="003A1174">
        <w:rPr>
          <w:rFonts w:ascii="Garamond" w:hAnsi="Garamond" w:cs="Arial"/>
          <w:sz w:val="24"/>
          <w:szCs w:val="24"/>
          <w:lang w:val="pt-PT"/>
        </w:rPr>
        <w:t xml:space="preserve"> de </w:t>
      </w:r>
      <w:r w:rsidR="000672E8" w:rsidRPr="003A1174">
        <w:rPr>
          <w:rFonts w:ascii="Garamond" w:hAnsi="Garamond" w:cs="Arial"/>
          <w:sz w:val="24"/>
          <w:szCs w:val="24"/>
          <w:lang w:val="pt-PT"/>
        </w:rPr>
        <w:t>ajuda</w:t>
      </w:r>
      <w:r w:rsidR="00496CB2"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496CB2" w:rsidRPr="003A1174">
        <w:rPr>
          <w:rFonts w:ascii="Garamond" w:hAnsi="Garamond" w:cs="Arial"/>
          <w:sz w:val="24"/>
          <w:szCs w:val="24"/>
          <w:lang w:val="pt-PT"/>
        </w:rPr>
        <w:t xml:space="preserve"> </w:t>
      </w:r>
      <w:r w:rsidR="00983C71" w:rsidRPr="003A1174">
        <w:rPr>
          <w:rFonts w:ascii="Garamond" w:hAnsi="Garamond" w:cs="Arial"/>
          <w:sz w:val="24"/>
          <w:szCs w:val="24"/>
          <w:lang w:val="pt-PT"/>
        </w:rPr>
        <w:t>gravidade</w:t>
      </w:r>
      <w:r w:rsidR="00496CB2"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496CB2" w:rsidRPr="003A1174">
        <w:rPr>
          <w:rFonts w:ascii="Garamond" w:hAnsi="Garamond" w:cs="Arial"/>
          <w:sz w:val="24"/>
          <w:szCs w:val="24"/>
          <w:lang w:val="pt-PT"/>
        </w:rPr>
        <w:t xml:space="preserve"> tipo de </w:t>
      </w:r>
      <w:r w:rsidR="00190B59" w:rsidRPr="003A1174">
        <w:rPr>
          <w:rFonts w:ascii="Garamond" w:hAnsi="Garamond" w:cs="Arial"/>
          <w:sz w:val="24"/>
          <w:szCs w:val="24"/>
          <w:lang w:val="pt-PT"/>
        </w:rPr>
        <w:t>maus-tratos</w:t>
      </w:r>
      <w:r w:rsidR="00496CB2" w:rsidRPr="003A1174">
        <w:rPr>
          <w:rFonts w:ascii="Garamond" w:hAnsi="Garamond" w:cs="Arial"/>
          <w:sz w:val="24"/>
          <w:szCs w:val="24"/>
          <w:lang w:val="pt-PT"/>
        </w:rPr>
        <w:t xml:space="preserve"> investigado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00A86B7C" w:rsidRPr="003A1174">
        <w:rPr>
          <w:rFonts w:ascii="Garamond" w:hAnsi="Garamond" w:cs="Arial"/>
          <w:sz w:val="24"/>
          <w:szCs w:val="24"/>
          <w:lang w:val="pt-PT"/>
        </w:rPr>
        <w:t>o</w:t>
      </w:r>
      <w:r w:rsidR="00496CB2" w:rsidRPr="003A1174">
        <w:rPr>
          <w:rFonts w:ascii="Garamond" w:hAnsi="Garamond" w:cs="Arial"/>
          <w:sz w:val="24"/>
          <w:szCs w:val="24"/>
          <w:lang w:val="pt-PT"/>
        </w:rPr>
        <w:t xml:space="preserve"> estado emocional </w:t>
      </w:r>
      <w:r w:rsidR="00497503" w:rsidRPr="003A1174">
        <w:rPr>
          <w:rFonts w:ascii="Garamond" w:hAnsi="Garamond" w:cs="Arial"/>
          <w:sz w:val="24"/>
          <w:szCs w:val="24"/>
          <w:lang w:val="pt-PT"/>
        </w:rPr>
        <w:t>das</w:t>
      </w:r>
      <w:r w:rsidR="00496CB2" w:rsidRPr="003A1174">
        <w:rPr>
          <w:rFonts w:ascii="Garamond" w:hAnsi="Garamond" w:cs="Arial"/>
          <w:sz w:val="24"/>
          <w:szCs w:val="24"/>
          <w:lang w:val="pt-PT"/>
        </w:rPr>
        <w:t xml:space="preserve">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s </w:t>
      </w:r>
      <w:r w:rsidR="00A86B7C" w:rsidRPr="003A1174">
        <w:rPr>
          <w:rFonts w:ascii="Garamond" w:hAnsi="Garamond" w:cs="Arial"/>
          <w:sz w:val="24"/>
          <w:szCs w:val="24"/>
          <w:lang w:val="pt-PT"/>
        </w:rPr>
        <w:t xml:space="preserve">de acordo com a </w:t>
      </w:r>
      <w:r w:rsidR="00374785" w:rsidRPr="003A1174">
        <w:rPr>
          <w:rFonts w:ascii="Garamond" w:hAnsi="Garamond" w:cs="Arial"/>
          <w:sz w:val="24"/>
          <w:szCs w:val="24"/>
          <w:lang w:val="pt-PT"/>
        </w:rPr>
        <w:t>Ordem</w:t>
      </w:r>
      <w:r w:rsidR="00496CB2" w:rsidRPr="003A1174">
        <w:rPr>
          <w:rFonts w:ascii="Garamond" w:hAnsi="Garamond" w:cs="Arial"/>
          <w:sz w:val="24"/>
          <w:szCs w:val="24"/>
          <w:lang w:val="pt-PT"/>
        </w:rPr>
        <w:t xml:space="preserve"> Especial 2006-4</w:t>
      </w:r>
      <w:r w:rsidR="007D1CB7" w:rsidRPr="003A1174">
        <w:rPr>
          <w:rFonts w:ascii="Garamond" w:hAnsi="Garamond" w:cs="Arial"/>
          <w:sz w:val="24"/>
          <w:szCs w:val="24"/>
          <w:lang w:val="pt-PT"/>
        </w:rPr>
        <w:t>,</w:t>
      </w:r>
      <w:r w:rsidR="00496CB2" w:rsidRPr="003A1174">
        <w:rPr>
          <w:rFonts w:ascii="Garamond" w:hAnsi="Garamond" w:cs="Arial"/>
          <w:sz w:val="24"/>
          <w:szCs w:val="24"/>
          <w:lang w:val="pt-PT"/>
        </w:rPr>
        <w:t xml:space="preserve"> que </w:t>
      </w:r>
      <w:r w:rsidR="00152A44" w:rsidRPr="003A1174">
        <w:rPr>
          <w:rFonts w:ascii="Garamond" w:hAnsi="Garamond" w:cs="Arial"/>
          <w:sz w:val="24"/>
          <w:szCs w:val="24"/>
          <w:lang w:val="pt-PT"/>
        </w:rPr>
        <w:t>estabelece</w:t>
      </w:r>
      <w:r w:rsidR="00A86B7C" w:rsidRPr="003A1174">
        <w:rPr>
          <w:rFonts w:ascii="Garamond" w:hAnsi="Garamond" w:cs="Arial"/>
          <w:sz w:val="24"/>
          <w:szCs w:val="24"/>
          <w:lang w:val="pt-PT"/>
        </w:rPr>
        <w:t xml:space="preserve"> </w:t>
      </w:r>
      <w:r w:rsidR="00496CB2" w:rsidRPr="003A1174">
        <w:rPr>
          <w:rFonts w:ascii="Garamond" w:hAnsi="Garamond" w:cs="Arial"/>
          <w:sz w:val="24"/>
          <w:szCs w:val="24"/>
          <w:lang w:val="pt-PT"/>
        </w:rPr>
        <w:t xml:space="preserve">as normas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w:t>
      </w:r>
      <w:r w:rsidR="003F012B" w:rsidRPr="003A1174">
        <w:rPr>
          <w:rFonts w:ascii="Garamond" w:hAnsi="Garamond" w:cs="Arial"/>
          <w:sz w:val="24"/>
          <w:szCs w:val="24"/>
          <w:lang w:val="pt-PT"/>
        </w:rPr>
        <w:t>procedimentos</w:t>
      </w:r>
      <w:r w:rsidR="00A86B7C" w:rsidRPr="003A1174">
        <w:rPr>
          <w:rFonts w:ascii="Garamond" w:hAnsi="Garamond" w:cs="Arial"/>
          <w:sz w:val="24"/>
          <w:szCs w:val="24"/>
          <w:lang w:val="pt-PT"/>
        </w:rPr>
        <w:t xml:space="preserve"> para </w:t>
      </w:r>
      <w:r w:rsidR="00496CB2" w:rsidRPr="003A1174">
        <w:rPr>
          <w:rFonts w:ascii="Garamond" w:hAnsi="Garamond" w:cs="Arial"/>
          <w:sz w:val="24"/>
          <w:szCs w:val="24"/>
          <w:lang w:val="pt-PT"/>
        </w:rPr>
        <w:t>a</w:t>
      </w:r>
      <w:r w:rsidR="007D1CB7" w:rsidRPr="003A1174">
        <w:rPr>
          <w:rFonts w:ascii="Garamond" w:hAnsi="Garamond" w:cs="Arial"/>
          <w:sz w:val="24"/>
          <w:szCs w:val="24"/>
          <w:lang w:val="pt-PT"/>
        </w:rPr>
        <w:t>s</w:t>
      </w:r>
      <w:r w:rsidR="00496CB2" w:rsidRPr="003A1174">
        <w:rPr>
          <w:rFonts w:ascii="Garamond" w:hAnsi="Garamond" w:cs="Arial"/>
          <w:sz w:val="24"/>
          <w:szCs w:val="24"/>
          <w:lang w:val="pt-PT"/>
        </w:rPr>
        <w:t xml:space="preserve"> </w:t>
      </w:r>
      <w:r w:rsidR="00B80F99" w:rsidRPr="003A1174">
        <w:rPr>
          <w:rFonts w:ascii="Garamond" w:hAnsi="Garamond" w:cs="Arial"/>
          <w:sz w:val="24"/>
          <w:szCs w:val="24"/>
          <w:lang w:val="pt-PT"/>
        </w:rPr>
        <w:t>investigações</w:t>
      </w:r>
      <w:r w:rsidR="00496CB2" w:rsidRPr="003A1174">
        <w:rPr>
          <w:rFonts w:ascii="Garamond" w:hAnsi="Garamond" w:cs="Arial"/>
          <w:sz w:val="24"/>
          <w:szCs w:val="24"/>
          <w:lang w:val="pt-PT"/>
        </w:rPr>
        <w:t xml:space="preserve"> </w:t>
      </w:r>
      <w:r w:rsidR="00FC5E28" w:rsidRPr="003A1174">
        <w:rPr>
          <w:rFonts w:ascii="Garamond" w:hAnsi="Garamond" w:cs="Arial"/>
          <w:sz w:val="24"/>
          <w:szCs w:val="24"/>
          <w:lang w:val="pt-PT"/>
        </w:rPr>
        <w:t>criminais</w:t>
      </w:r>
      <w:r w:rsidR="00496CB2" w:rsidRPr="003A1174">
        <w:rPr>
          <w:rFonts w:ascii="Garamond" w:hAnsi="Garamond" w:cs="Arial"/>
          <w:sz w:val="24"/>
          <w:szCs w:val="24"/>
          <w:lang w:val="pt-PT"/>
        </w:rPr>
        <w:t xml:space="preserve"> de incidentes de </w:t>
      </w:r>
      <w:r w:rsidR="000350B1" w:rsidRPr="003A1174">
        <w:rPr>
          <w:rFonts w:ascii="Garamond" w:hAnsi="Garamond" w:cs="Arial"/>
          <w:sz w:val="24"/>
          <w:szCs w:val="24"/>
          <w:lang w:val="pt-PT"/>
        </w:rPr>
        <w:t>violência</w:t>
      </w:r>
      <w:r w:rsidR="00496CB2" w:rsidRPr="003A1174">
        <w:rPr>
          <w:rFonts w:ascii="Garamond" w:hAnsi="Garamond" w:cs="Arial"/>
          <w:sz w:val="24"/>
          <w:szCs w:val="24"/>
          <w:lang w:val="pt-PT"/>
        </w:rPr>
        <w:t xml:space="preserve"> doméstica. </w:t>
      </w:r>
      <w:r w:rsidR="00A86B7C" w:rsidRPr="003A1174">
        <w:rPr>
          <w:rFonts w:ascii="Garamond" w:hAnsi="Garamond" w:cs="Arial"/>
          <w:sz w:val="24"/>
          <w:szCs w:val="24"/>
          <w:lang w:val="pt-PT"/>
        </w:rPr>
        <w:t>I</w:t>
      </w:r>
      <w:r w:rsidR="00496CB2" w:rsidRPr="003A1174">
        <w:rPr>
          <w:rFonts w:ascii="Garamond" w:hAnsi="Garamond" w:cs="Arial"/>
          <w:sz w:val="24"/>
          <w:szCs w:val="24"/>
          <w:lang w:val="pt-PT"/>
        </w:rPr>
        <w:t xml:space="preserve">sto </w:t>
      </w:r>
      <w:r w:rsidR="00152A44" w:rsidRPr="003A1174">
        <w:rPr>
          <w:rFonts w:ascii="Garamond" w:hAnsi="Garamond" w:cs="Arial"/>
          <w:sz w:val="24"/>
          <w:szCs w:val="24"/>
          <w:lang w:val="pt-PT"/>
        </w:rPr>
        <w:t>inclui</w:t>
      </w:r>
      <w:r w:rsidR="00A86B7C" w:rsidRPr="003A1174">
        <w:rPr>
          <w:rFonts w:ascii="Garamond" w:hAnsi="Garamond" w:cs="Arial"/>
          <w:sz w:val="24"/>
          <w:szCs w:val="24"/>
          <w:lang w:val="pt-PT"/>
        </w:rPr>
        <w:t xml:space="preserve"> </w:t>
      </w:r>
      <w:r w:rsidR="00496CB2" w:rsidRPr="003A1174">
        <w:rPr>
          <w:rFonts w:ascii="Garamond" w:hAnsi="Garamond" w:cs="Arial"/>
          <w:sz w:val="24"/>
          <w:szCs w:val="24"/>
          <w:lang w:val="pt-PT"/>
        </w:rPr>
        <w:t xml:space="preserve">a </w:t>
      </w:r>
      <w:r w:rsidR="00976FB8" w:rsidRPr="003A1174">
        <w:rPr>
          <w:rFonts w:ascii="Garamond" w:hAnsi="Garamond" w:cs="Arial"/>
          <w:sz w:val="24"/>
          <w:szCs w:val="24"/>
          <w:lang w:val="pt-PT"/>
        </w:rPr>
        <w:t>intervenção</w:t>
      </w:r>
      <w:r w:rsidR="00496CB2" w:rsidRPr="003A1174">
        <w:rPr>
          <w:rFonts w:ascii="Garamond" w:hAnsi="Garamond" w:cs="Arial"/>
          <w:sz w:val="24"/>
          <w:szCs w:val="24"/>
          <w:lang w:val="pt-PT"/>
        </w:rPr>
        <w:t xml:space="preserve"> de supervisores</w:t>
      </w:r>
      <w:r w:rsidR="006B7B15">
        <w:rPr>
          <w:rFonts w:ascii="Garamond" w:hAnsi="Garamond" w:cs="Arial"/>
          <w:sz w:val="24"/>
          <w:szCs w:val="24"/>
          <w:lang w:val="pt-PT"/>
        </w:rPr>
        <w:t xml:space="preserve"> </w:t>
      </w:r>
      <w:r w:rsidR="00496CB2" w:rsidRPr="003A1174">
        <w:rPr>
          <w:rFonts w:ascii="Garamond" w:hAnsi="Garamond" w:cs="Arial"/>
          <w:sz w:val="24"/>
          <w:szCs w:val="24"/>
          <w:lang w:val="pt-PT"/>
        </w:rPr>
        <w:t xml:space="preserve">de </w:t>
      </w:r>
      <w:r w:rsidR="00863197" w:rsidRPr="003A1174">
        <w:rPr>
          <w:rFonts w:ascii="Garamond" w:hAnsi="Garamond" w:cs="Arial"/>
          <w:sz w:val="24"/>
          <w:szCs w:val="24"/>
          <w:lang w:val="pt-PT"/>
        </w:rPr>
        <w:t>maior</w:t>
      </w:r>
      <w:r w:rsidR="00496CB2" w:rsidRPr="003A1174">
        <w:rPr>
          <w:rFonts w:ascii="Garamond" w:hAnsi="Garamond" w:cs="Arial"/>
          <w:sz w:val="24"/>
          <w:szCs w:val="24"/>
          <w:lang w:val="pt-PT"/>
        </w:rPr>
        <w:t xml:space="preserve"> </w:t>
      </w:r>
      <w:r w:rsidR="00A86B7C" w:rsidRPr="003A1174">
        <w:rPr>
          <w:rFonts w:ascii="Garamond" w:hAnsi="Garamond" w:cs="Arial"/>
          <w:sz w:val="24"/>
          <w:szCs w:val="24"/>
          <w:lang w:val="pt-PT"/>
        </w:rPr>
        <w:t>responsabilidade</w:t>
      </w:r>
      <w:r w:rsidR="00496CB2" w:rsidRPr="003A1174">
        <w:rPr>
          <w:rFonts w:ascii="Garamond" w:hAnsi="Garamond" w:cs="Arial"/>
          <w:sz w:val="24"/>
          <w:szCs w:val="24"/>
          <w:lang w:val="pt-PT"/>
        </w:rPr>
        <w:t xml:space="preserve"> para conceder</w:t>
      </w:r>
      <w:r w:rsidR="00A86B7C" w:rsidRPr="003A1174">
        <w:rPr>
          <w:rFonts w:ascii="Garamond" w:hAnsi="Garamond" w:cs="Arial"/>
          <w:sz w:val="24"/>
          <w:szCs w:val="24"/>
          <w:lang w:val="pt-PT"/>
        </w:rPr>
        <w:t>em o apoio</w:t>
      </w:r>
      <w:r w:rsidR="00496C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documentar</w:t>
      </w:r>
      <w:r w:rsidR="00A86B7C" w:rsidRPr="003A1174">
        <w:rPr>
          <w:rFonts w:ascii="Garamond" w:hAnsi="Garamond" w:cs="Arial"/>
          <w:sz w:val="24"/>
          <w:szCs w:val="24"/>
          <w:lang w:val="pt-PT"/>
        </w:rPr>
        <w:t>em</w:t>
      </w:r>
      <w:r w:rsidR="00496CB2" w:rsidRPr="003A1174">
        <w:rPr>
          <w:rFonts w:ascii="Garamond" w:hAnsi="Garamond" w:cs="Arial"/>
          <w:sz w:val="24"/>
          <w:szCs w:val="24"/>
          <w:lang w:val="pt-PT"/>
        </w:rPr>
        <w:t xml:space="preserve"> anota</w:t>
      </w:r>
      <w:r w:rsidR="00A86B7C" w:rsidRPr="003A1174">
        <w:rPr>
          <w:rFonts w:ascii="Garamond" w:hAnsi="Garamond" w:cs="Arial"/>
          <w:sz w:val="24"/>
          <w:szCs w:val="24"/>
          <w:lang w:val="pt-PT"/>
        </w:rPr>
        <w:t xml:space="preserve">ções no </w:t>
      </w:r>
      <w:r w:rsidR="00496CB2" w:rsidRPr="003A1174">
        <w:rPr>
          <w:rFonts w:ascii="Garamond" w:hAnsi="Garamond" w:cs="Arial"/>
          <w:sz w:val="24"/>
          <w:szCs w:val="24"/>
          <w:lang w:val="pt-PT"/>
        </w:rPr>
        <w:t xml:space="preserve">expediente policial </w:t>
      </w:r>
      <w:r w:rsidR="00A86B7C" w:rsidRPr="003A1174">
        <w:rPr>
          <w:rFonts w:ascii="Garamond" w:hAnsi="Garamond" w:cs="Arial"/>
          <w:sz w:val="24"/>
          <w:szCs w:val="24"/>
          <w:lang w:val="pt-PT"/>
        </w:rPr>
        <w:t xml:space="preserve">para avaliar </w:t>
      </w:r>
      <w:r w:rsidR="00496CB2" w:rsidRPr="003A1174">
        <w:rPr>
          <w:rFonts w:ascii="Garamond" w:hAnsi="Garamond" w:cs="Arial"/>
          <w:sz w:val="24"/>
          <w:szCs w:val="24"/>
          <w:lang w:val="pt-PT"/>
        </w:rPr>
        <w:t xml:space="preserve">a </w:t>
      </w:r>
      <w:r w:rsidR="004E3A1A" w:rsidRPr="003A1174">
        <w:rPr>
          <w:rFonts w:ascii="Garamond" w:hAnsi="Garamond" w:cs="Arial"/>
          <w:sz w:val="24"/>
          <w:szCs w:val="24"/>
          <w:lang w:val="pt-PT"/>
        </w:rPr>
        <w:t>condição</w:t>
      </w:r>
      <w:r w:rsidR="00496CB2" w:rsidRPr="003A1174">
        <w:rPr>
          <w:rFonts w:ascii="Garamond" w:hAnsi="Garamond" w:cs="Arial"/>
          <w:sz w:val="24"/>
          <w:szCs w:val="24"/>
          <w:lang w:val="pt-PT"/>
        </w:rPr>
        <w:t xml:space="preserve"> física </w:t>
      </w:r>
      <w:r w:rsidR="000672E8" w:rsidRPr="003A1174">
        <w:rPr>
          <w:rFonts w:ascii="Garamond" w:hAnsi="Garamond" w:cs="Arial"/>
          <w:sz w:val="24"/>
          <w:szCs w:val="24"/>
          <w:lang w:val="pt-PT"/>
        </w:rPr>
        <w:t>e</w:t>
      </w:r>
      <w:r w:rsidR="00496CB2" w:rsidRPr="003A1174">
        <w:rPr>
          <w:rFonts w:ascii="Garamond" w:hAnsi="Garamond" w:cs="Arial"/>
          <w:sz w:val="24"/>
          <w:szCs w:val="24"/>
          <w:lang w:val="pt-PT"/>
        </w:rPr>
        <w:t xml:space="preserve"> emocional da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 </w:t>
      </w:r>
      <w:r w:rsidR="00A86B7C" w:rsidRPr="003A1174">
        <w:rPr>
          <w:rFonts w:ascii="Garamond" w:hAnsi="Garamond" w:cs="Arial"/>
          <w:sz w:val="24"/>
          <w:szCs w:val="24"/>
          <w:lang w:val="pt-PT"/>
        </w:rPr>
        <w:t xml:space="preserve">A </w:t>
      </w:r>
      <w:r w:rsidR="00AB6522" w:rsidRPr="003A1174">
        <w:rPr>
          <w:rFonts w:ascii="Garamond" w:hAnsi="Garamond" w:cs="Arial"/>
          <w:sz w:val="24"/>
          <w:szCs w:val="24"/>
          <w:lang w:val="pt-PT"/>
        </w:rPr>
        <w:t>Divisão</w:t>
      </w:r>
      <w:r w:rsidR="00496CB2" w:rsidRPr="003A1174">
        <w:rPr>
          <w:rFonts w:ascii="Garamond" w:hAnsi="Garamond" w:cs="Arial"/>
          <w:sz w:val="24"/>
          <w:szCs w:val="24"/>
          <w:lang w:val="pt-PT"/>
        </w:rPr>
        <w:t xml:space="preserve"> de </w:t>
      </w:r>
      <w:r w:rsidR="00190B59" w:rsidRPr="003A1174">
        <w:rPr>
          <w:rFonts w:ascii="Garamond" w:hAnsi="Garamond" w:cs="Arial"/>
          <w:sz w:val="24"/>
          <w:szCs w:val="24"/>
          <w:lang w:val="pt-PT"/>
        </w:rPr>
        <w:t>Estatísticas</w:t>
      </w:r>
      <w:r w:rsidR="00496CB2" w:rsidRPr="003A1174">
        <w:rPr>
          <w:rFonts w:ascii="Garamond" w:hAnsi="Garamond" w:cs="Arial"/>
          <w:sz w:val="24"/>
          <w:szCs w:val="24"/>
          <w:lang w:val="pt-PT"/>
        </w:rPr>
        <w:t xml:space="preserve"> da </w:t>
      </w:r>
      <w:r w:rsidR="00CF42A3" w:rsidRPr="003A1174">
        <w:rPr>
          <w:rFonts w:ascii="Garamond" w:hAnsi="Garamond" w:cs="Arial"/>
          <w:sz w:val="24"/>
          <w:szCs w:val="24"/>
          <w:lang w:val="pt-PT"/>
        </w:rPr>
        <w:t>Polícia</w:t>
      </w:r>
      <w:r w:rsidR="00496CB2" w:rsidRPr="003A1174">
        <w:rPr>
          <w:rFonts w:ascii="Garamond" w:hAnsi="Garamond" w:cs="Arial"/>
          <w:sz w:val="24"/>
          <w:szCs w:val="24"/>
          <w:lang w:val="pt-PT"/>
        </w:rPr>
        <w:t xml:space="preserve"> de </w:t>
      </w:r>
      <w:r w:rsidR="0017447A" w:rsidRPr="003A1174">
        <w:rPr>
          <w:rFonts w:ascii="Garamond" w:hAnsi="Garamond" w:cs="Arial"/>
          <w:sz w:val="24"/>
          <w:szCs w:val="24"/>
          <w:lang w:val="pt-PT"/>
        </w:rPr>
        <w:t>Porto</w:t>
      </w:r>
      <w:r w:rsidR="00496CB2" w:rsidRPr="003A1174">
        <w:rPr>
          <w:rFonts w:ascii="Garamond" w:hAnsi="Garamond" w:cs="Arial"/>
          <w:sz w:val="24"/>
          <w:szCs w:val="24"/>
          <w:lang w:val="pt-PT"/>
        </w:rPr>
        <w:t xml:space="preserve"> Rico </w:t>
      </w:r>
      <w:r w:rsidR="00A86B7C" w:rsidRPr="003A1174">
        <w:rPr>
          <w:rFonts w:ascii="Garamond" w:hAnsi="Garamond" w:cs="Arial"/>
          <w:sz w:val="24"/>
          <w:szCs w:val="24"/>
          <w:lang w:val="pt-PT"/>
        </w:rPr>
        <w:t>referiu</w:t>
      </w:r>
      <w:r w:rsidR="006B7B15">
        <w:rPr>
          <w:rFonts w:ascii="Garamond" w:hAnsi="Garamond" w:cs="Arial"/>
          <w:sz w:val="24"/>
          <w:szCs w:val="24"/>
          <w:lang w:val="pt-PT"/>
        </w:rPr>
        <w:t>,</w:t>
      </w:r>
      <w:r w:rsidR="00496CB2" w:rsidRPr="003A1174">
        <w:rPr>
          <w:rFonts w:ascii="Garamond" w:hAnsi="Garamond" w:cs="Arial"/>
          <w:sz w:val="24"/>
          <w:szCs w:val="24"/>
          <w:lang w:val="pt-PT"/>
        </w:rPr>
        <w:t xml:space="preserve"> </w:t>
      </w:r>
      <w:r w:rsidR="00A86B7C" w:rsidRPr="003A1174">
        <w:rPr>
          <w:rFonts w:ascii="Garamond" w:hAnsi="Garamond" w:cs="Arial"/>
          <w:sz w:val="24"/>
          <w:szCs w:val="24"/>
          <w:lang w:val="pt-PT"/>
        </w:rPr>
        <w:t xml:space="preserve">no </w:t>
      </w:r>
      <w:r w:rsidR="00496CB2" w:rsidRPr="003A1174">
        <w:rPr>
          <w:rFonts w:ascii="Garamond" w:hAnsi="Garamond" w:cs="Arial"/>
          <w:sz w:val="24"/>
          <w:szCs w:val="24"/>
          <w:lang w:val="pt-PT"/>
        </w:rPr>
        <w:t>per</w:t>
      </w:r>
      <w:r w:rsidR="007D1CB7" w:rsidRPr="003A1174">
        <w:rPr>
          <w:rFonts w:ascii="Garamond" w:hAnsi="Garamond" w:cs="Arial"/>
          <w:sz w:val="24"/>
          <w:szCs w:val="24"/>
          <w:lang w:val="pt-PT"/>
        </w:rPr>
        <w:t>í</w:t>
      </w:r>
      <w:r w:rsidR="00496CB2" w:rsidRPr="003A1174">
        <w:rPr>
          <w:rFonts w:ascii="Garamond" w:hAnsi="Garamond" w:cs="Arial"/>
          <w:sz w:val="24"/>
          <w:szCs w:val="24"/>
          <w:lang w:val="pt-PT"/>
        </w:rPr>
        <w:t xml:space="preserve">odo </w:t>
      </w:r>
      <w:r w:rsidR="006B7B15">
        <w:rPr>
          <w:rFonts w:ascii="Garamond" w:hAnsi="Garamond" w:cs="Arial"/>
          <w:sz w:val="24"/>
          <w:szCs w:val="24"/>
          <w:lang w:val="pt-PT"/>
        </w:rPr>
        <w:t>compreendido entre</w:t>
      </w:r>
      <w:r w:rsidR="00496CB2" w:rsidRPr="003A1174">
        <w:rPr>
          <w:rFonts w:ascii="Garamond" w:hAnsi="Garamond" w:cs="Arial"/>
          <w:sz w:val="24"/>
          <w:szCs w:val="24"/>
          <w:lang w:val="pt-PT"/>
        </w:rPr>
        <w:t xml:space="preserve"> </w:t>
      </w:r>
      <w:r w:rsidR="00B936A7" w:rsidRPr="003A1174">
        <w:rPr>
          <w:rFonts w:ascii="Garamond" w:hAnsi="Garamond" w:cs="Arial"/>
          <w:sz w:val="24"/>
          <w:szCs w:val="24"/>
          <w:lang w:val="pt-PT"/>
        </w:rPr>
        <w:t>janeiro</w:t>
      </w:r>
      <w:r w:rsidR="00496CB2" w:rsidRPr="003A1174">
        <w:rPr>
          <w:rFonts w:ascii="Garamond" w:hAnsi="Garamond" w:cs="Arial"/>
          <w:sz w:val="24"/>
          <w:szCs w:val="24"/>
          <w:lang w:val="pt-PT"/>
        </w:rPr>
        <w:t xml:space="preserve"> de 2013 </w:t>
      </w:r>
      <w:r w:rsidR="006C2479">
        <w:rPr>
          <w:rFonts w:ascii="Garamond" w:hAnsi="Garamond" w:cs="Arial"/>
          <w:sz w:val="24"/>
          <w:szCs w:val="24"/>
          <w:lang w:val="pt-PT"/>
        </w:rPr>
        <w:t>e</w:t>
      </w:r>
      <w:r w:rsidR="00496CB2" w:rsidRPr="003A1174">
        <w:rPr>
          <w:rFonts w:ascii="Garamond" w:hAnsi="Garamond" w:cs="Arial"/>
          <w:sz w:val="24"/>
          <w:szCs w:val="24"/>
          <w:lang w:val="pt-PT"/>
        </w:rPr>
        <w:t xml:space="preserve"> </w:t>
      </w:r>
      <w:r w:rsidR="00077461" w:rsidRPr="003A1174">
        <w:rPr>
          <w:rFonts w:ascii="Garamond" w:hAnsi="Garamond" w:cs="Arial"/>
          <w:sz w:val="24"/>
          <w:szCs w:val="24"/>
          <w:lang w:val="pt-PT"/>
        </w:rPr>
        <w:t>junho</w:t>
      </w:r>
      <w:r w:rsidR="00A86B7C" w:rsidRPr="003A1174">
        <w:rPr>
          <w:rFonts w:ascii="Garamond" w:hAnsi="Garamond" w:cs="Arial"/>
          <w:sz w:val="24"/>
          <w:szCs w:val="24"/>
          <w:lang w:val="pt-PT"/>
        </w:rPr>
        <w:t xml:space="preserve"> de</w:t>
      </w:r>
      <w:r w:rsidR="00496CB2" w:rsidRPr="003A1174">
        <w:rPr>
          <w:rFonts w:ascii="Garamond" w:hAnsi="Garamond" w:cs="Arial"/>
          <w:sz w:val="24"/>
          <w:szCs w:val="24"/>
          <w:lang w:val="pt-PT"/>
        </w:rPr>
        <w:t xml:space="preserve"> 2014</w:t>
      </w:r>
      <w:r w:rsidR="00A86B7C" w:rsidRPr="003A1174">
        <w:rPr>
          <w:rFonts w:ascii="Garamond" w:hAnsi="Garamond" w:cs="Arial"/>
          <w:sz w:val="24"/>
          <w:szCs w:val="24"/>
          <w:lang w:val="pt-PT"/>
        </w:rPr>
        <w:t xml:space="preserve">, </w:t>
      </w:r>
      <w:r w:rsidR="00496CB2" w:rsidRPr="003A1174">
        <w:rPr>
          <w:rFonts w:ascii="Garamond" w:hAnsi="Garamond" w:cs="Arial"/>
          <w:sz w:val="24"/>
          <w:szCs w:val="24"/>
          <w:lang w:val="pt-PT"/>
        </w:rPr>
        <w:t>17</w:t>
      </w:r>
      <w:r w:rsidR="006B7B15">
        <w:rPr>
          <w:rFonts w:ascii="Garamond" w:hAnsi="Garamond" w:cs="Arial"/>
          <w:sz w:val="24"/>
          <w:szCs w:val="24"/>
          <w:lang w:val="pt-PT"/>
        </w:rPr>
        <w:t xml:space="preserve"> </w:t>
      </w:r>
      <w:r w:rsidR="00496CB2" w:rsidRPr="003A1174">
        <w:rPr>
          <w:rFonts w:ascii="Garamond" w:hAnsi="Garamond" w:cs="Arial"/>
          <w:sz w:val="24"/>
          <w:szCs w:val="24"/>
          <w:lang w:val="pt-PT"/>
        </w:rPr>
        <w:t xml:space="preserve">329 incidentes de </w:t>
      </w:r>
      <w:r w:rsidR="000350B1" w:rsidRPr="003A1174">
        <w:rPr>
          <w:rFonts w:ascii="Garamond" w:hAnsi="Garamond" w:cs="Arial"/>
          <w:sz w:val="24"/>
          <w:szCs w:val="24"/>
          <w:lang w:val="pt-PT"/>
        </w:rPr>
        <w:t>violência</w:t>
      </w:r>
      <w:r w:rsidR="00496CB2" w:rsidRPr="003A1174">
        <w:rPr>
          <w:rFonts w:ascii="Garamond" w:hAnsi="Garamond" w:cs="Arial"/>
          <w:sz w:val="24"/>
          <w:szCs w:val="24"/>
          <w:lang w:val="pt-PT"/>
        </w:rPr>
        <w:t xml:space="preserve"> doméstica, </w:t>
      </w:r>
      <w:r w:rsidR="00A86B7C" w:rsidRPr="003A1174">
        <w:rPr>
          <w:rFonts w:ascii="Garamond" w:hAnsi="Garamond" w:cs="Arial"/>
          <w:sz w:val="24"/>
          <w:szCs w:val="24"/>
          <w:lang w:val="pt-PT"/>
        </w:rPr>
        <w:t xml:space="preserve">o que implica </w:t>
      </w:r>
      <w:r w:rsidR="00496CB2" w:rsidRPr="003A1174">
        <w:rPr>
          <w:rFonts w:ascii="Garamond" w:hAnsi="Garamond" w:cs="Arial"/>
          <w:sz w:val="24"/>
          <w:szCs w:val="24"/>
          <w:lang w:val="pt-PT"/>
        </w:rPr>
        <w:t>a ativa</w:t>
      </w:r>
      <w:r w:rsidR="00A86B7C" w:rsidRPr="003A1174">
        <w:rPr>
          <w:rFonts w:ascii="Garamond" w:hAnsi="Garamond" w:cs="Arial"/>
          <w:sz w:val="24"/>
          <w:szCs w:val="24"/>
          <w:lang w:val="pt-PT"/>
        </w:rPr>
        <w:t xml:space="preserve">ção </w:t>
      </w:r>
      <w:r w:rsidR="00496CB2" w:rsidRPr="003A1174">
        <w:rPr>
          <w:rFonts w:ascii="Garamond" w:hAnsi="Garamond" w:cs="Arial"/>
          <w:sz w:val="24"/>
          <w:szCs w:val="24"/>
          <w:lang w:val="pt-PT"/>
        </w:rPr>
        <w:t xml:space="preserve">de </w:t>
      </w:r>
      <w:r w:rsidR="00B531F2" w:rsidRPr="003A1174">
        <w:rPr>
          <w:rFonts w:ascii="Garamond" w:hAnsi="Garamond" w:cs="Arial"/>
          <w:sz w:val="24"/>
          <w:szCs w:val="24"/>
          <w:lang w:val="pt-PT"/>
        </w:rPr>
        <w:t>serviço</w:t>
      </w:r>
      <w:r w:rsidR="00496CB2" w:rsidRPr="003A1174">
        <w:rPr>
          <w:rFonts w:ascii="Garamond" w:hAnsi="Garamond" w:cs="Arial"/>
          <w:sz w:val="24"/>
          <w:szCs w:val="24"/>
          <w:lang w:val="pt-PT"/>
        </w:rPr>
        <w:t xml:space="preserve">s para </w:t>
      </w:r>
      <w:r w:rsidR="007D1CB7" w:rsidRPr="003A1174">
        <w:rPr>
          <w:rFonts w:ascii="Garamond" w:hAnsi="Garamond" w:cs="Arial"/>
          <w:sz w:val="24"/>
          <w:szCs w:val="24"/>
          <w:lang w:val="pt-PT"/>
        </w:rPr>
        <w:t>u</w:t>
      </w:r>
      <w:r w:rsidR="00A86B7C" w:rsidRPr="003A1174">
        <w:rPr>
          <w:rFonts w:ascii="Garamond" w:hAnsi="Garamond" w:cs="Arial"/>
          <w:sz w:val="24"/>
          <w:szCs w:val="24"/>
          <w:lang w:val="pt-PT"/>
        </w:rPr>
        <w:t xml:space="preserve">ma </w:t>
      </w:r>
      <w:r w:rsidR="001A53AD" w:rsidRPr="003A1174">
        <w:rPr>
          <w:rFonts w:ascii="Garamond" w:hAnsi="Garamond" w:cs="Arial"/>
          <w:sz w:val="24"/>
          <w:szCs w:val="24"/>
          <w:lang w:val="pt-PT"/>
        </w:rPr>
        <w:t>gestão</w:t>
      </w:r>
      <w:r w:rsidR="00496CB2"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496CB2" w:rsidRPr="003A1174">
        <w:rPr>
          <w:rFonts w:ascii="Garamond" w:hAnsi="Garamond" w:cs="Arial"/>
          <w:sz w:val="24"/>
          <w:szCs w:val="24"/>
          <w:lang w:val="pt-PT"/>
        </w:rPr>
        <w:t xml:space="preserve"> </w:t>
      </w:r>
      <w:r w:rsidR="00D37CF3" w:rsidRPr="003A1174">
        <w:rPr>
          <w:rFonts w:ascii="Garamond" w:hAnsi="Garamond" w:cs="Arial"/>
          <w:sz w:val="24"/>
          <w:szCs w:val="24"/>
          <w:lang w:val="pt-PT"/>
        </w:rPr>
        <w:t>vulnerabilidades</w:t>
      </w:r>
      <w:r w:rsidR="00496CB2" w:rsidRPr="003A1174">
        <w:rPr>
          <w:rFonts w:ascii="Garamond" w:hAnsi="Garamond" w:cs="Arial"/>
          <w:sz w:val="24"/>
          <w:szCs w:val="24"/>
          <w:lang w:val="pt-PT"/>
        </w:rPr>
        <w:t xml:space="preserve"> da </w:t>
      </w:r>
      <w:r w:rsidR="003F012B" w:rsidRPr="003A1174">
        <w:rPr>
          <w:rFonts w:ascii="Garamond" w:hAnsi="Garamond" w:cs="Arial"/>
          <w:sz w:val="24"/>
          <w:szCs w:val="24"/>
          <w:lang w:val="pt-PT"/>
        </w:rPr>
        <w:t>vítima</w:t>
      </w:r>
      <w:r w:rsidR="00496CB2" w:rsidRPr="003A1174">
        <w:rPr>
          <w:rFonts w:ascii="Garamond" w:hAnsi="Garamond" w:cs="Arial"/>
          <w:sz w:val="24"/>
          <w:szCs w:val="24"/>
          <w:lang w:val="pt-PT"/>
        </w:rPr>
        <w:t xml:space="preserve"> de </w:t>
      </w:r>
      <w:r w:rsidR="000672E8" w:rsidRPr="003A1174">
        <w:rPr>
          <w:rFonts w:ascii="Garamond" w:hAnsi="Garamond" w:cs="Arial"/>
          <w:sz w:val="24"/>
          <w:szCs w:val="24"/>
          <w:lang w:val="pt-PT"/>
        </w:rPr>
        <w:t>ajuda</w:t>
      </w:r>
      <w:r w:rsidR="00496CB2" w:rsidRPr="003A1174">
        <w:rPr>
          <w:rFonts w:ascii="Garamond" w:hAnsi="Garamond" w:cs="Arial"/>
          <w:sz w:val="24"/>
          <w:szCs w:val="24"/>
          <w:lang w:val="pt-PT"/>
        </w:rPr>
        <w:t xml:space="preserve"> </w:t>
      </w:r>
      <w:r w:rsidR="00A86B7C" w:rsidRPr="003A1174">
        <w:rPr>
          <w:rFonts w:ascii="Garamond" w:hAnsi="Garamond" w:cs="Arial"/>
          <w:sz w:val="24"/>
          <w:szCs w:val="24"/>
          <w:lang w:val="pt-PT"/>
        </w:rPr>
        <w:t xml:space="preserve">na </w:t>
      </w:r>
      <w:r w:rsidR="00496CB2" w:rsidRPr="003A1174">
        <w:rPr>
          <w:rFonts w:ascii="Garamond" w:hAnsi="Garamond" w:cs="Arial"/>
          <w:sz w:val="24"/>
          <w:szCs w:val="24"/>
          <w:lang w:val="pt-PT"/>
        </w:rPr>
        <w:t xml:space="preserve">fase inicial </w:t>
      </w:r>
      <w:r w:rsidR="00A86B7C" w:rsidRPr="003A1174">
        <w:rPr>
          <w:rFonts w:ascii="Garamond" w:hAnsi="Garamond" w:cs="Arial"/>
          <w:sz w:val="24"/>
          <w:szCs w:val="24"/>
          <w:lang w:val="pt-PT"/>
        </w:rPr>
        <w:t>da investigação.</w:t>
      </w:r>
    </w:p>
    <w:p w:rsidR="00496CB2" w:rsidRPr="003A1174" w:rsidRDefault="00C30647"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color w:val="333333"/>
          <w:sz w:val="24"/>
          <w:szCs w:val="24"/>
          <w:lang w:val="pt-PT"/>
        </w:rPr>
        <w:t>Projeto</w:t>
      </w:r>
      <w:r w:rsidR="00496CB2" w:rsidRPr="003A1174">
        <w:rPr>
          <w:rFonts w:ascii="Garamond" w:hAnsi="Garamond" w:cs="Arial"/>
          <w:color w:val="333333"/>
          <w:sz w:val="24"/>
          <w:szCs w:val="24"/>
          <w:lang w:val="pt-PT"/>
        </w:rPr>
        <w:t xml:space="preserve"> de </w:t>
      </w:r>
      <w:r w:rsidR="000672E8" w:rsidRPr="003A1174">
        <w:rPr>
          <w:rFonts w:ascii="Garamond" w:hAnsi="Garamond" w:cs="Arial"/>
          <w:color w:val="333333"/>
          <w:sz w:val="24"/>
          <w:szCs w:val="24"/>
          <w:lang w:val="pt-PT"/>
        </w:rPr>
        <w:t>Ajuda</w:t>
      </w:r>
      <w:r w:rsidR="00496CB2" w:rsidRPr="003A1174">
        <w:rPr>
          <w:rFonts w:ascii="Garamond" w:hAnsi="Garamond" w:cs="Arial"/>
          <w:color w:val="333333"/>
          <w:sz w:val="24"/>
          <w:szCs w:val="24"/>
          <w:lang w:val="pt-PT"/>
        </w:rPr>
        <w:t xml:space="preserve"> a </w:t>
      </w:r>
      <w:r w:rsidR="008278C4" w:rsidRPr="003A1174">
        <w:rPr>
          <w:rFonts w:ascii="Garamond" w:hAnsi="Garamond" w:cs="Arial"/>
          <w:color w:val="333333"/>
          <w:sz w:val="24"/>
          <w:szCs w:val="24"/>
          <w:lang w:val="pt-PT"/>
        </w:rPr>
        <w:t>Sobrevivente</w:t>
      </w:r>
      <w:r w:rsidR="00496CB2" w:rsidRPr="003A1174">
        <w:rPr>
          <w:rFonts w:ascii="Garamond" w:hAnsi="Garamond" w:cs="Arial"/>
          <w:color w:val="333333"/>
          <w:sz w:val="24"/>
          <w:szCs w:val="24"/>
          <w:lang w:val="pt-PT"/>
        </w:rPr>
        <w:t xml:space="preserve">s de </w:t>
      </w:r>
      <w:r w:rsidR="000350B1" w:rsidRPr="003A1174">
        <w:rPr>
          <w:rFonts w:ascii="Garamond" w:hAnsi="Garamond" w:cs="Arial"/>
          <w:color w:val="333333"/>
          <w:sz w:val="24"/>
          <w:szCs w:val="24"/>
          <w:lang w:val="pt-PT"/>
        </w:rPr>
        <w:t>Violência</w:t>
      </w:r>
      <w:r w:rsidR="00496CB2" w:rsidRPr="003A1174">
        <w:rPr>
          <w:rFonts w:ascii="Garamond" w:hAnsi="Garamond" w:cs="Arial"/>
          <w:color w:val="333333"/>
          <w:sz w:val="24"/>
          <w:szCs w:val="24"/>
          <w:lang w:val="pt-PT"/>
        </w:rPr>
        <w:t xml:space="preserve"> </w:t>
      </w:r>
      <w:r w:rsidR="00496CB2" w:rsidRPr="003A1174">
        <w:rPr>
          <w:rStyle w:val="googqs-tidbit"/>
          <w:rFonts w:ascii="Garamond" w:hAnsi="Garamond" w:cs="Arial"/>
          <w:color w:val="333333"/>
          <w:sz w:val="24"/>
          <w:szCs w:val="24"/>
          <w:lang w:val="pt-PT"/>
        </w:rPr>
        <w:t xml:space="preserve">Sexual </w:t>
      </w:r>
      <w:r w:rsidR="000672E8" w:rsidRPr="003A1174">
        <w:rPr>
          <w:rStyle w:val="googqs-tidbit"/>
          <w:rFonts w:ascii="Garamond" w:hAnsi="Garamond" w:cs="Arial"/>
          <w:color w:val="333333"/>
          <w:sz w:val="24"/>
          <w:szCs w:val="24"/>
          <w:lang w:val="pt-PT"/>
        </w:rPr>
        <w:t>e</w:t>
      </w:r>
      <w:r w:rsidR="00496CB2" w:rsidRPr="003A1174">
        <w:rPr>
          <w:rStyle w:val="googqs-tidbit"/>
          <w:rFonts w:ascii="Garamond" w:hAnsi="Garamond" w:cs="Arial"/>
          <w:color w:val="333333"/>
          <w:sz w:val="24"/>
          <w:szCs w:val="24"/>
          <w:lang w:val="pt-PT"/>
        </w:rPr>
        <w:t xml:space="preserve"> Doméstica Orientados </w:t>
      </w:r>
      <w:r w:rsidR="00A86B7C" w:rsidRPr="003A1174">
        <w:rPr>
          <w:rStyle w:val="googqs-tidbit"/>
          <w:rFonts w:ascii="Garamond" w:hAnsi="Garamond" w:cs="Arial"/>
          <w:color w:val="333333"/>
          <w:sz w:val="24"/>
          <w:szCs w:val="24"/>
          <w:lang w:val="pt-PT"/>
        </w:rPr>
        <w:t>para a</w:t>
      </w:r>
      <w:r w:rsidR="00496CB2" w:rsidRPr="003A1174">
        <w:rPr>
          <w:rStyle w:val="googqs-tidbit"/>
          <w:rFonts w:ascii="Garamond" w:hAnsi="Garamond" w:cs="Arial"/>
          <w:color w:val="333333"/>
          <w:sz w:val="24"/>
          <w:szCs w:val="24"/>
          <w:lang w:val="pt-PT"/>
        </w:rPr>
        <w:t xml:space="preserve"> </w:t>
      </w:r>
      <w:r w:rsidR="007C63D0" w:rsidRPr="003A1174">
        <w:rPr>
          <w:rStyle w:val="googqs-tidbit"/>
          <w:rFonts w:ascii="Garamond" w:hAnsi="Garamond" w:cs="Arial"/>
          <w:color w:val="333333"/>
          <w:sz w:val="24"/>
          <w:szCs w:val="24"/>
          <w:lang w:val="pt-PT"/>
        </w:rPr>
        <w:t>Saúde</w:t>
      </w:r>
      <w:r w:rsidR="00496CB2" w:rsidRPr="003A1174">
        <w:rPr>
          <w:rStyle w:val="googqs-tidbit"/>
          <w:rFonts w:ascii="Garamond" w:hAnsi="Garamond" w:cs="Arial"/>
          <w:color w:val="333333"/>
          <w:sz w:val="24"/>
          <w:szCs w:val="24"/>
          <w:lang w:val="pt-PT"/>
        </w:rPr>
        <w:t xml:space="preserve"> </w:t>
      </w:r>
      <w:r w:rsidR="00497503" w:rsidRPr="003A1174">
        <w:rPr>
          <w:rStyle w:val="googqs-tidbit"/>
          <w:rFonts w:ascii="Garamond" w:hAnsi="Garamond" w:cs="Arial"/>
          <w:color w:val="333333"/>
          <w:sz w:val="24"/>
          <w:szCs w:val="24"/>
          <w:lang w:val="pt-PT"/>
        </w:rPr>
        <w:t>das</w:t>
      </w:r>
      <w:r w:rsidR="00496CB2" w:rsidRPr="003A1174">
        <w:rPr>
          <w:rStyle w:val="googqs-tidbit"/>
          <w:rFonts w:ascii="Garamond" w:hAnsi="Garamond" w:cs="Arial"/>
          <w:color w:val="333333"/>
          <w:sz w:val="24"/>
          <w:szCs w:val="24"/>
          <w:lang w:val="pt-PT"/>
        </w:rPr>
        <w:t xml:space="preserve"> </w:t>
      </w:r>
      <w:r w:rsidR="00054EE0" w:rsidRPr="003A1174">
        <w:rPr>
          <w:rStyle w:val="googqs-tidbit"/>
          <w:rFonts w:ascii="Garamond" w:hAnsi="Garamond" w:cs="Arial"/>
          <w:color w:val="333333"/>
          <w:sz w:val="24"/>
          <w:szCs w:val="24"/>
          <w:lang w:val="pt-PT"/>
        </w:rPr>
        <w:t>Mulheres</w:t>
      </w:r>
      <w:r w:rsidR="00496CB2" w:rsidRPr="003A1174">
        <w:rPr>
          <w:rStyle w:val="googqs-tidbit"/>
          <w:rFonts w:ascii="Garamond" w:hAnsi="Garamond" w:cs="Arial"/>
          <w:color w:val="333333"/>
          <w:sz w:val="24"/>
          <w:szCs w:val="24"/>
          <w:lang w:val="pt-PT"/>
        </w:rPr>
        <w:t xml:space="preserve"> (PASOS). </w:t>
      </w:r>
      <w:r w:rsidR="00A86B7C" w:rsidRPr="003A1174">
        <w:rPr>
          <w:rStyle w:val="googqs-tidbit"/>
          <w:rFonts w:ascii="Garamond" w:hAnsi="Garamond" w:cs="Arial"/>
          <w:color w:val="333333"/>
          <w:sz w:val="24"/>
          <w:szCs w:val="24"/>
          <w:lang w:val="pt-PT"/>
        </w:rPr>
        <w:t xml:space="preserve">Este </w:t>
      </w:r>
      <w:r w:rsidR="00496CB2" w:rsidRPr="003A1174">
        <w:rPr>
          <w:rFonts w:ascii="Garamond" w:hAnsi="Garamond" w:cs="Arial"/>
          <w:color w:val="333333"/>
          <w:sz w:val="24"/>
          <w:szCs w:val="24"/>
          <w:lang w:val="pt-PT"/>
        </w:rPr>
        <w:t xml:space="preserve">programa </w:t>
      </w:r>
      <w:r w:rsidR="00A86B7C" w:rsidRPr="003A1174">
        <w:rPr>
          <w:rFonts w:ascii="Garamond" w:hAnsi="Garamond" w:cs="Arial"/>
          <w:color w:val="333333"/>
          <w:sz w:val="24"/>
          <w:szCs w:val="24"/>
          <w:lang w:val="pt-PT"/>
        </w:rPr>
        <w:t xml:space="preserve">é o </w:t>
      </w:r>
      <w:r w:rsidR="00496CB2" w:rsidRPr="003A1174">
        <w:rPr>
          <w:rFonts w:ascii="Garamond" w:hAnsi="Garamond" w:cs="Arial"/>
          <w:color w:val="333333"/>
          <w:sz w:val="24"/>
          <w:szCs w:val="24"/>
          <w:lang w:val="pt-PT"/>
        </w:rPr>
        <w:t>único</w:t>
      </w:r>
      <w:r w:rsidR="006C2479">
        <w:rPr>
          <w:rFonts w:ascii="Garamond" w:hAnsi="Garamond" w:cs="Arial"/>
          <w:color w:val="333333"/>
          <w:sz w:val="24"/>
          <w:szCs w:val="24"/>
          <w:lang w:val="pt-PT"/>
        </w:rPr>
        <w:t>,</w:t>
      </w:r>
      <w:r w:rsidR="00496CB2" w:rsidRPr="003A1174">
        <w:rPr>
          <w:rFonts w:ascii="Garamond" w:hAnsi="Garamond" w:cs="Arial"/>
          <w:color w:val="333333"/>
          <w:sz w:val="24"/>
          <w:szCs w:val="24"/>
          <w:lang w:val="pt-PT"/>
        </w:rPr>
        <w:t xml:space="preserve"> e</w:t>
      </w:r>
      <w:r w:rsidR="00A86B7C" w:rsidRPr="003A1174">
        <w:rPr>
          <w:rFonts w:ascii="Garamond" w:hAnsi="Garamond" w:cs="Arial"/>
          <w:color w:val="333333"/>
          <w:sz w:val="24"/>
          <w:szCs w:val="24"/>
          <w:lang w:val="pt-PT"/>
        </w:rPr>
        <w:t>m</w:t>
      </w:r>
      <w:r w:rsidR="00496CB2" w:rsidRPr="003A1174">
        <w:rPr>
          <w:rFonts w:ascii="Garamond" w:hAnsi="Garamond" w:cs="Arial"/>
          <w:color w:val="333333"/>
          <w:sz w:val="24"/>
          <w:szCs w:val="24"/>
          <w:lang w:val="pt-PT"/>
        </w:rPr>
        <w:t xml:space="preserve"> </w:t>
      </w:r>
      <w:r w:rsidR="0017447A" w:rsidRPr="003A1174">
        <w:rPr>
          <w:rFonts w:ascii="Garamond" w:hAnsi="Garamond" w:cs="Arial"/>
          <w:color w:val="333333"/>
          <w:sz w:val="24"/>
          <w:szCs w:val="24"/>
          <w:lang w:val="pt-PT"/>
        </w:rPr>
        <w:t>Porto</w:t>
      </w:r>
      <w:r w:rsidR="00496CB2" w:rsidRPr="003A1174">
        <w:rPr>
          <w:rFonts w:ascii="Garamond" w:hAnsi="Garamond" w:cs="Arial"/>
          <w:color w:val="333333"/>
          <w:sz w:val="24"/>
          <w:szCs w:val="24"/>
          <w:lang w:val="pt-PT"/>
        </w:rPr>
        <w:t xml:space="preserve"> Rico</w:t>
      </w:r>
      <w:r w:rsidR="006C2479">
        <w:rPr>
          <w:rFonts w:ascii="Garamond" w:hAnsi="Garamond" w:cs="Arial"/>
          <w:color w:val="333333"/>
          <w:sz w:val="24"/>
          <w:szCs w:val="24"/>
          <w:lang w:val="pt-PT"/>
        </w:rPr>
        <w:t>,</w:t>
      </w:r>
      <w:r w:rsidR="00496CB2" w:rsidRPr="003A1174">
        <w:rPr>
          <w:rFonts w:ascii="Garamond" w:hAnsi="Garamond" w:cs="Arial"/>
          <w:color w:val="333333"/>
          <w:sz w:val="24"/>
          <w:szCs w:val="24"/>
          <w:lang w:val="pt-PT"/>
        </w:rPr>
        <w:t xml:space="preserve"> co</w:t>
      </w:r>
      <w:r w:rsidR="00A86B7C" w:rsidRPr="003A1174">
        <w:rPr>
          <w:rFonts w:ascii="Garamond" w:hAnsi="Garamond" w:cs="Arial"/>
          <w:color w:val="333333"/>
          <w:sz w:val="24"/>
          <w:szCs w:val="24"/>
          <w:lang w:val="pt-PT"/>
        </w:rPr>
        <w:t xml:space="preserve">m um </w:t>
      </w:r>
      <w:r w:rsidR="00496CB2" w:rsidRPr="003A1174">
        <w:rPr>
          <w:rFonts w:ascii="Garamond" w:hAnsi="Garamond" w:cs="Arial"/>
          <w:color w:val="333333"/>
          <w:sz w:val="24"/>
          <w:szCs w:val="24"/>
          <w:lang w:val="pt-PT"/>
        </w:rPr>
        <w:t xml:space="preserve">enfoque de </w:t>
      </w:r>
      <w:r w:rsidR="000672E8" w:rsidRPr="003A1174">
        <w:rPr>
          <w:rFonts w:ascii="Garamond" w:hAnsi="Garamond" w:cs="Arial"/>
          <w:color w:val="333333"/>
          <w:sz w:val="24"/>
          <w:szCs w:val="24"/>
          <w:lang w:val="pt-PT"/>
        </w:rPr>
        <w:t>ajuda</w:t>
      </w:r>
      <w:r w:rsidR="00496CB2" w:rsidRPr="003A1174">
        <w:rPr>
          <w:rFonts w:ascii="Garamond" w:hAnsi="Garamond" w:cs="Arial"/>
          <w:color w:val="333333"/>
          <w:sz w:val="24"/>
          <w:szCs w:val="24"/>
          <w:lang w:val="pt-PT"/>
        </w:rPr>
        <w:t xml:space="preserve"> médico-forense</w:t>
      </w:r>
      <w:r w:rsidR="007D1CB7" w:rsidRPr="003A1174">
        <w:rPr>
          <w:rFonts w:ascii="Garamond" w:hAnsi="Garamond" w:cs="Arial"/>
          <w:color w:val="333333"/>
          <w:sz w:val="24"/>
          <w:szCs w:val="24"/>
          <w:lang w:val="pt-PT"/>
        </w:rPr>
        <w:t xml:space="preserve"> </w:t>
      </w:r>
      <w:r w:rsidR="000672E8" w:rsidRPr="003A1174">
        <w:rPr>
          <w:rFonts w:ascii="Garamond" w:hAnsi="Garamond" w:cs="Arial"/>
          <w:color w:val="333333"/>
          <w:sz w:val="24"/>
          <w:szCs w:val="24"/>
          <w:lang w:val="pt-PT"/>
        </w:rPr>
        <w:t>e</w:t>
      </w:r>
      <w:r w:rsidR="00496CB2" w:rsidRPr="003A1174">
        <w:rPr>
          <w:rFonts w:ascii="Garamond" w:hAnsi="Garamond" w:cs="Arial"/>
          <w:color w:val="333333"/>
          <w:sz w:val="24"/>
          <w:szCs w:val="24"/>
          <w:lang w:val="pt-PT"/>
        </w:rPr>
        <w:t xml:space="preserve"> </w:t>
      </w:r>
      <w:r w:rsidR="001C2738" w:rsidRPr="003A1174">
        <w:rPr>
          <w:rFonts w:ascii="Garamond" w:hAnsi="Garamond" w:cs="Arial"/>
          <w:color w:val="333333"/>
          <w:sz w:val="24"/>
          <w:szCs w:val="24"/>
          <w:lang w:val="pt-PT"/>
        </w:rPr>
        <w:t>tratamento</w:t>
      </w:r>
      <w:r w:rsidR="00496CB2" w:rsidRPr="003A1174">
        <w:rPr>
          <w:rFonts w:ascii="Garamond" w:hAnsi="Garamond" w:cs="Arial"/>
          <w:color w:val="333333"/>
          <w:sz w:val="24"/>
          <w:szCs w:val="24"/>
          <w:lang w:val="pt-PT"/>
        </w:rPr>
        <w:t xml:space="preserve"> psicológico para estas </w:t>
      </w:r>
      <w:r w:rsidR="003F012B" w:rsidRPr="003A1174">
        <w:rPr>
          <w:rFonts w:ascii="Garamond" w:hAnsi="Garamond" w:cs="Arial"/>
          <w:color w:val="333333"/>
          <w:sz w:val="24"/>
          <w:szCs w:val="24"/>
          <w:lang w:val="pt-PT"/>
        </w:rPr>
        <w:t>vítima</w:t>
      </w:r>
      <w:r w:rsidR="00496CB2" w:rsidRPr="003A1174">
        <w:rPr>
          <w:rFonts w:ascii="Garamond" w:hAnsi="Garamond" w:cs="Arial"/>
          <w:color w:val="333333"/>
          <w:sz w:val="24"/>
          <w:szCs w:val="24"/>
          <w:lang w:val="pt-PT"/>
        </w:rPr>
        <w:t xml:space="preserve">s </w:t>
      </w:r>
      <w:r w:rsidR="00A86B7C" w:rsidRPr="003A1174">
        <w:rPr>
          <w:rFonts w:ascii="Garamond" w:hAnsi="Garamond" w:cs="Arial"/>
          <w:color w:val="333333"/>
          <w:sz w:val="24"/>
          <w:szCs w:val="24"/>
          <w:lang w:val="pt-PT"/>
        </w:rPr>
        <w:t xml:space="preserve">num </w:t>
      </w:r>
      <w:r w:rsidR="00023AD6" w:rsidRPr="003A1174">
        <w:rPr>
          <w:rFonts w:ascii="Garamond" w:hAnsi="Garamond" w:cs="Arial"/>
          <w:color w:val="333333"/>
          <w:sz w:val="24"/>
          <w:szCs w:val="24"/>
          <w:lang w:val="pt-PT"/>
        </w:rPr>
        <w:t>mesmo</w:t>
      </w:r>
      <w:r w:rsidR="00496CB2" w:rsidRPr="003A1174">
        <w:rPr>
          <w:rFonts w:ascii="Garamond" w:hAnsi="Garamond" w:cs="Arial"/>
          <w:color w:val="333333"/>
          <w:sz w:val="24"/>
          <w:szCs w:val="24"/>
          <w:lang w:val="pt-PT"/>
        </w:rPr>
        <w:t xml:space="preserve"> lugar. Divide </w:t>
      </w:r>
      <w:r w:rsidR="00A86B7C" w:rsidRPr="003A1174">
        <w:rPr>
          <w:rFonts w:ascii="Garamond" w:hAnsi="Garamond" w:cs="Arial"/>
          <w:color w:val="333333"/>
          <w:sz w:val="24"/>
          <w:szCs w:val="24"/>
          <w:lang w:val="pt-PT"/>
        </w:rPr>
        <w:t xml:space="preserve">o </w:t>
      </w:r>
      <w:r w:rsidR="00496CB2" w:rsidRPr="003A1174">
        <w:rPr>
          <w:rFonts w:ascii="Garamond" w:hAnsi="Garamond" w:cs="Arial"/>
          <w:color w:val="333333"/>
          <w:sz w:val="24"/>
          <w:szCs w:val="24"/>
          <w:lang w:val="pt-PT"/>
        </w:rPr>
        <w:t>s</w:t>
      </w:r>
      <w:r w:rsidR="00A86B7C" w:rsidRPr="003A1174">
        <w:rPr>
          <w:rFonts w:ascii="Garamond" w:hAnsi="Garamond" w:cs="Arial"/>
          <w:color w:val="333333"/>
          <w:sz w:val="24"/>
          <w:szCs w:val="24"/>
          <w:lang w:val="pt-PT"/>
        </w:rPr>
        <w:t>e</w:t>
      </w:r>
      <w:r w:rsidR="00496CB2" w:rsidRPr="003A1174">
        <w:rPr>
          <w:rFonts w:ascii="Garamond" w:hAnsi="Garamond" w:cs="Arial"/>
          <w:color w:val="333333"/>
          <w:sz w:val="24"/>
          <w:szCs w:val="24"/>
          <w:lang w:val="pt-PT"/>
        </w:rPr>
        <w:t xml:space="preserve">u </w:t>
      </w:r>
      <w:r w:rsidR="0017447A" w:rsidRPr="003A1174">
        <w:rPr>
          <w:rFonts w:ascii="Garamond" w:hAnsi="Garamond" w:cs="Arial"/>
          <w:color w:val="333333"/>
          <w:sz w:val="24"/>
          <w:szCs w:val="24"/>
          <w:lang w:val="pt-PT"/>
        </w:rPr>
        <w:t>trabalho</w:t>
      </w:r>
      <w:r w:rsidR="00496CB2" w:rsidRPr="003A1174">
        <w:rPr>
          <w:rFonts w:ascii="Garamond" w:hAnsi="Garamond" w:cs="Arial"/>
          <w:color w:val="333333"/>
          <w:sz w:val="24"/>
          <w:szCs w:val="24"/>
          <w:lang w:val="pt-PT"/>
        </w:rPr>
        <w:t xml:space="preserve"> e</w:t>
      </w:r>
      <w:r w:rsidR="00A86B7C" w:rsidRPr="003A1174">
        <w:rPr>
          <w:rFonts w:ascii="Garamond" w:hAnsi="Garamond" w:cs="Arial"/>
          <w:color w:val="333333"/>
          <w:sz w:val="24"/>
          <w:szCs w:val="24"/>
          <w:lang w:val="pt-PT"/>
        </w:rPr>
        <w:t>m</w:t>
      </w:r>
      <w:r w:rsidR="00496CB2" w:rsidRPr="003A1174">
        <w:rPr>
          <w:rFonts w:ascii="Garamond" w:hAnsi="Garamond" w:cs="Arial"/>
          <w:color w:val="333333"/>
          <w:sz w:val="24"/>
          <w:szCs w:val="24"/>
          <w:lang w:val="pt-PT"/>
        </w:rPr>
        <w:t xml:space="preserve"> </w:t>
      </w:r>
      <w:r w:rsidR="000866B6" w:rsidRPr="003A1174">
        <w:rPr>
          <w:rFonts w:ascii="Garamond" w:hAnsi="Garamond" w:cs="Arial"/>
          <w:color w:val="333333"/>
          <w:sz w:val="24"/>
          <w:szCs w:val="24"/>
          <w:lang w:val="pt-PT"/>
        </w:rPr>
        <w:t>três</w:t>
      </w:r>
      <w:r w:rsidR="00496CB2" w:rsidRPr="003A1174">
        <w:rPr>
          <w:rFonts w:ascii="Garamond" w:hAnsi="Garamond" w:cs="Arial"/>
          <w:color w:val="333333"/>
          <w:sz w:val="24"/>
          <w:szCs w:val="24"/>
          <w:lang w:val="pt-PT"/>
        </w:rPr>
        <w:t xml:space="preserve"> áreas de </w:t>
      </w:r>
      <w:r w:rsidR="00B531F2" w:rsidRPr="003A1174">
        <w:rPr>
          <w:rFonts w:ascii="Garamond" w:hAnsi="Garamond" w:cs="Arial"/>
          <w:color w:val="333333"/>
          <w:sz w:val="24"/>
          <w:szCs w:val="24"/>
          <w:lang w:val="pt-PT"/>
        </w:rPr>
        <w:t>serviço</w:t>
      </w:r>
      <w:r w:rsidR="00496CB2" w:rsidRPr="003A1174">
        <w:rPr>
          <w:rFonts w:ascii="Garamond" w:hAnsi="Garamond" w:cs="Arial"/>
          <w:color w:val="333333"/>
          <w:sz w:val="24"/>
          <w:szCs w:val="24"/>
          <w:lang w:val="pt-PT"/>
        </w:rPr>
        <w:t xml:space="preserve">s </w:t>
      </w:r>
      <w:r w:rsidR="00A86B7C" w:rsidRPr="003A1174">
        <w:rPr>
          <w:rFonts w:ascii="Garamond" w:hAnsi="Garamond" w:cs="Arial"/>
          <w:color w:val="333333"/>
          <w:sz w:val="24"/>
          <w:szCs w:val="24"/>
          <w:lang w:val="pt-PT"/>
        </w:rPr>
        <w:t>clínicos</w:t>
      </w:r>
      <w:r w:rsidR="006C2479">
        <w:rPr>
          <w:rFonts w:ascii="Garamond" w:hAnsi="Garamond" w:cs="Arial"/>
          <w:color w:val="333333"/>
          <w:sz w:val="24"/>
          <w:szCs w:val="24"/>
          <w:lang w:val="pt-PT"/>
        </w:rPr>
        <w:t>,</w:t>
      </w:r>
      <w:r w:rsidR="00A86B7C" w:rsidRPr="003A1174">
        <w:rPr>
          <w:rFonts w:ascii="Garamond" w:hAnsi="Garamond" w:cs="Arial"/>
          <w:color w:val="333333"/>
          <w:sz w:val="24"/>
          <w:szCs w:val="24"/>
          <w:lang w:val="pt-PT"/>
        </w:rPr>
        <w:t xml:space="preserve"> com formação</w:t>
      </w:r>
      <w:r w:rsidR="00496CB2" w:rsidRPr="003A1174">
        <w:rPr>
          <w:rFonts w:ascii="Garamond" w:hAnsi="Garamond" w:cs="Arial"/>
          <w:color w:val="333333"/>
          <w:sz w:val="24"/>
          <w:szCs w:val="24"/>
          <w:lang w:val="pt-PT"/>
        </w:rPr>
        <w:t xml:space="preserve"> a </w:t>
      </w:r>
      <w:r w:rsidR="000350B1" w:rsidRPr="003A1174">
        <w:rPr>
          <w:rFonts w:ascii="Garamond" w:hAnsi="Garamond" w:cs="Arial"/>
          <w:color w:val="333333"/>
          <w:sz w:val="24"/>
          <w:szCs w:val="24"/>
          <w:lang w:val="pt-PT"/>
        </w:rPr>
        <w:t>profissionais</w:t>
      </w:r>
      <w:r w:rsidR="00496CB2" w:rsidRPr="003A1174">
        <w:rPr>
          <w:rFonts w:ascii="Garamond" w:hAnsi="Garamond" w:cs="Arial"/>
          <w:color w:val="333333"/>
          <w:sz w:val="24"/>
          <w:szCs w:val="24"/>
          <w:lang w:val="pt-PT"/>
        </w:rPr>
        <w:t xml:space="preserve">, </w:t>
      </w:r>
      <w:r w:rsidR="00802ACC" w:rsidRPr="003A1174">
        <w:rPr>
          <w:rFonts w:ascii="Garamond" w:hAnsi="Garamond" w:cs="Arial"/>
          <w:color w:val="333333"/>
          <w:sz w:val="24"/>
          <w:szCs w:val="24"/>
          <w:lang w:val="pt-PT"/>
        </w:rPr>
        <w:t>educação</w:t>
      </w:r>
      <w:r w:rsidR="00496CB2" w:rsidRPr="003A1174">
        <w:rPr>
          <w:rFonts w:ascii="Garamond" w:hAnsi="Garamond" w:cs="Arial"/>
          <w:color w:val="333333"/>
          <w:sz w:val="24"/>
          <w:szCs w:val="24"/>
          <w:lang w:val="pt-PT"/>
        </w:rPr>
        <w:t xml:space="preserve"> </w:t>
      </w:r>
      <w:r w:rsidR="00BB2B00" w:rsidRPr="003A1174">
        <w:rPr>
          <w:rFonts w:ascii="Garamond" w:hAnsi="Garamond" w:cs="Arial"/>
          <w:color w:val="333333"/>
          <w:sz w:val="24"/>
          <w:szCs w:val="24"/>
          <w:lang w:val="pt-PT"/>
        </w:rPr>
        <w:t>à</w:t>
      </w:r>
      <w:r w:rsidR="00496CB2" w:rsidRPr="003A1174">
        <w:rPr>
          <w:rFonts w:ascii="Garamond" w:hAnsi="Garamond" w:cs="Arial"/>
          <w:color w:val="333333"/>
          <w:sz w:val="24"/>
          <w:szCs w:val="24"/>
          <w:lang w:val="pt-PT"/>
        </w:rPr>
        <w:t xml:space="preserve"> </w:t>
      </w:r>
      <w:r w:rsidR="009F035C" w:rsidRPr="003A1174">
        <w:rPr>
          <w:rFonts w:ascii="Garamond" w:hAnsi="Garamond" w:cs="Arial"/>
          <w:color w:val="333333"/>
          <w:sz w:val="24"/>
          <w:szCs w:val="24"/>
          <w:lang w:val="pt-PT"/>
        </w:rPr>
        <w:t>comunidade</w:t>
      </w:r>
      <w:r w:rsidR="00496CB2" w:rsidRPr="003A1174">
        <w:rPr>
          <w:rFonts w:ascii="Garamond" w:hAnsi="Garamond" w:cs="Arial"/>
          <w:color w:val="333333"/>
          <w:sz w:val="24"/>
          <w:szCs w:val="24"/>
          <w:lang w:val="pt-PT"/>
        </w:rPr>
        <w:t xml:space="preserve"> e </w:t>
      </w:r>
      <w:r w:rsidR="00886D6A" w:rsidRPr="003A1174">
        <w:rPr>
          <w:rFonts w:ascii="Garamond" w:hAnsi="Garamond" w:cs="Arial"/>
          <w:color w:val="333333"/>
          <w:sz w:val="24"/>
          <w:szCs w:val="24"/>
          <w:lang w:val="pt-PT"/>
        </w:rPr>
        <w:t>investigação</w:t>
      </w:r>
      <w:r w:rsidR="00496CB2" w:rsidRPr="003A1174">
        <w:rPr>
          <w:rFonts w:ascii="Garamond" w:hAnsi="Garamond" w:cs="Arial"/>
          <w:color w:val="333333"/>
          <w:sz w:val="24"/>
          <w:szCs w:val="24"/>
          <w:lang w:val="pt-PT"/>
        </w:rPr>
        <w:t xml:space="preserve"> académica</w:t>
      </w:r>
      <w:r w:rsidR="007D1CB7" w:rsidRPr="003A1174">
        <w:rPr>
          <w:rFonts w:ascii="Garamond" w:hAnsi="Garamond" w:cs="Arial"/>
          <w:color w:val="333333"/>
          <w:sz w:val="24"/>
          <w:szCs w:val="24"/>
          <w:lang w:val="pt-PT"/>
        </w:rPr>
        <w:t xml:space="preserve">; está </w:t>
      </w:r>
      <w:r w:rsidR="00A86B7C" w:rsidRPr="003A1174">
        <w:rPr>
          <w:rFonts w:ascii="Garamond" w:hAnsi="Garamond" w:cs="Arial"/>
          <w:color w:val="333333"/>
          <w:sz w:val="24"/>
          <w:szCs w:val="24"/>
          <w:lang w:val="pt-PT"/>
        </w:rPr>
        <w:t xml:space="preserve">ligado ao </w:t>
      </w:r>
      <w:r w:rsidR="00496CB2" w:rsidRPr="003A1174">
        <w:rPr>
          <w:rFonts w:ascii="Garamond" w:hAnsi="Garamond" w:cs="Arial"/>
          <w:color w:val="333333"/>
          <w:sz w:val="24"/>
          <w:szCs w:val="24"/>
          <w:lang w:val="pt-PT"/>
        </w:rPr>
        <w:t xml:space="preserve">Recinto de </w:t>
      </w:r>
      <w:r w:rsidR="00A86B7C" w:rsidRPr="003A1174">
        <w:rPr>
          <w:rFonts w:ascii="Garamond" w:hAnsi="Garamond" w:cs="Arial"/>
          <w:color w:val="333333"/>
          <w:sz w:val="24"/>
          <w:szCs w:val="24"/>
          <w:lang w:val="pt-PT"/>
        </w:rPr>
        <w:t>Ciências</w:t>
      </w:r>
      <w:r w:rsidR="00496CB2" w:rsidRPr="003A1174">
        <w:rPr>
          <w:rFonts w:ascii="Garamond" w:hAnsi="Garamond" w:cs="Arial"/>
          <w:color w:val="333333"/>
          <w:sz w:val="24"/>
          <w:szCs w:val="24"/>
          <w:lang w:val="pt-PT"/>
        </w:rPr>
        <w:t xml:space="preserve"> Médicas da </w:t>
      </w:r>
      <w:r w:rsidR="00CB0C30" w:rsidRPr="003A1174">
        <w:rPr>
          <w:rFonts w:ascii="Garamond" w:hAnsi="Garamond" w:cs="Arial"/>
          <w:color w:val="333333"/>
          <w:sz w:val="24"/>
          <w:szCs w:val="24"/>
          <w:lang w:val="pt-PT"/>
        </w:rPr>
        <w:t>Universidade</w:t>
      </w:r>
      <w:r w:rsidR="00496CB2" w:rsidRPr="003A1174">
        <w:rPr>
          <w:rFonts w:ascii="Garamond" w:hAnsi="Garamond" w:cs="Arial"/>
          <w:color w:val="333333"/>
          <w:sz w:val="24"/>
          <w:szCs w:val="24"/>
          <w:lang w:val="pt-PT"/>
        </w:rPr>
        <w:t xml:space="preserve"> de </w:t>
      </w:r>
      <w:r w:rsidR="0017447A" w:rsidRPr="003A1174">
        <w:rPr>
          <w:rFonts w:ascii="Garamond" w:hAnsi="Garamond" w:cs="Arial"/>
          <w:color w:val="333333"/>
          <w:sz w:val="24"/>
          <w:szCs w:val="24"/>
          <w:lang w:val="pt-PT"/>
        </w:rPr>
        <w:t>Porto</w:t>
      </w:r>
      <w:r w:rsidR="00496CB2" w:rsidRPr="003A1174">
        <w:rPr>
          <w:rFonts w:ascii="Garamond" w:hAnsi="Garamond" w:cs="Arial"/>
          <w:color w:val="333333"/>
          <w:sz w:val="24"/>
          <w:szCs w:val="24"/>
          <w:lang w:val="pt-PT"/>
        </w:rPr>
        <w:t xml:space="preserve"> Rico. </w:t>
      </w:r>
    </w:p>
    <w:p w:rsidR="00496CB2" w:rsidRPr="003A1174" w:rsidRDefault="00496CB2" w:rsidP="008719D4">
      <w:pPr>
        <w:pStyle w:val="Prrafodelista"/>
        <w:numPr>
          <w:ilvl w:val="0"/>
          <w:numId w:val="34"/>
        </w:numPr>
        <w:tabs>
          <w:tab w:val="clear" w:pos="708"/>
        </w:tabs>
        <w:suppressAutoHyphens w:val="0"/>
        <w:spacing w:before="240" w:after="160" w:line="240" w:lineRule="auto"/>
        <w:contextualSpacing/>
        <w:jc w:val="both"/>
        <w:rPr>
          <w:rFonts w:ascii="Garamond" w:hAnsi="Garamond" w:cs="Arial"/>
          <w:sz w:val="24"/>
          <w:szCs w:val="24"/>
          <w:lang w:val="pt-PT"/>
        </w:rPr>
      </w:pPr>
      <w:r w:rsidRPr="003A1174">
        <w:rPr>
          <w:rFonts w:ascii="Garamond" w:hAnsi="Garamond" w:cs="Arial"/>
          <w:sz w:val="24"/>
          <w:szCs w:val="24"/>
          <w:lang w:val="pt-PT"/>
        </w:rPr>
        <w:lastRenderedPageBreak/>
        <w:t>E</w:t>
      </w:r>
      <w:r w:rsidR="00A86B7C" w:rsidRPr="003A1174">
        <w:rPr>
          <w:rFonts w:ascii="Garamond" w:hAnsi="Garamond" w:cs="Arial"/>
          <w:sz w:val="24"/>
          <w:szCs w:val="24"/>
          <w:lang w:val="pt-PT"/>
        </w:rPr>
        <w:t>m</w:t>
      </w:r>
      <w:r w:rsidRPr="003A1174">
        <w:rPr>
          <w:rFonts w:ascii="Garamond" w:hAnsi="Garamond" w:cs="Arial"/>
          <w:sz w:val="24"/>
          <w:szCs w:val="24"/>
          <w:lang w:val="pt-PT"/>
        </w:rPr>
        <w:t xml:space="preserve"> </w:t>
      </w:r>
      <w:r w:rsidR="00731B19" w:rsidRPr="003A1174">
        <w:rPr>
          <w:rFonts w:ascii="Garamond" w:hAnsi="Garamond" w:cs="Arial"/>
          <w:sz w:val="24"/>
          <w:szCs w:val="24"/>
          <w:lang w:val="pt-PT"/>
        </w:rPr>
        <w:t>termos</w:t>
      </w:r>
      <w:r w:rsidRPr="003A1174">
        <w:rPr>
          <w:rFonts w:ascii="Garamond" w:hAnsi="Garamond" w:cs="Arial"/>
          <w:sz w:val="24"/>
          <w:szCs w:val="24"/>
          <w:lang w:val="pt-PT"/>
        </w:rPr>
        <w:t xml:space="preserve"> de </w:t>
      </w:r>
      <w:r w:rsidR="0017447A" w:rsidRPr="003A1174">
        <w:rPr>
          <w:rFonts w:ascii="Garamond" w:hAnsi="Garamond" w:cs="Arial"/>
          <w:sz w:val="24"/>
          <w:szCs w:val="24"/>
          <w:lang w:val="pt-PT"/>
        </w:rPr>
        <w:t>outras</w:t>
      </w:r>
      <w:r w:rsidRPr="003A1174">
        <w:rPr>
          <w:rFonts w:ascii="Garamond" w:hAnsi="Garamond" w:cs="Arial"/>
          <w:sz w:val="24"/>
          <w:szCs w:val="24"/>
          <w:lang w:val="pt-PT"/>
        </w:rPr>
        <w:t xml:space="preserve"> </w:t>
      </w:r>
      <w:r w:rsidR="00C30647" w:rsidRPr="003A1174">
        <w:rPr>
          <w:rFonts w:ascii="Garamond" w:hAnsi="Garamond" w:cs="Arial"/>
          <w:sz w:val="24"/>
          <w:szCs w:val="24"/>
          <w:lang w:val="pt-PT"/>
        </w:rPr>
        <w:t>manifestações</w:t>
      </w:r>
      <w:r w:rsidRPr="003A1174">
        <w:rPr>
          <w:rFonts w:ascii="Garamond" w:hAnsi="Garamond" w:cs="Arial"/>
          <w:sz w:val="24"/>
          <w:szCs w:val="24"/>
          <w:lang w:val="pt-PT"/>
        </w:rPr>
        <w:t xml:space="preserve"> de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intrafamiliar </w:t>
      </w:r>
      <w:r w:rsidR="000672E8" w:rsidRPr="003A1174">
        <w:rPr>
          <w:rFonts w:ascii="Garamond" w:hAnsi="Garamond" w:cs="Arial"/>
          <w:sz w:val="24"/>
          <w:szCs w:val="24"/>
          <w:lang w:val="pt-PT"/>
        </w:rPr>
        <w:t>e</w:t>
      </w:r>
      <w:r w:rsidRPr="003A1174">
        <w:rPr>
          <w:rFonts w:ascii="Garamond" w:hAnsi="Garamond" w:cs="Arial"/>
          <w:sz w:val="24"/>
          <w:szCs w:val="24"/>
          <w:lang w:val="pt-PT"/>
        </w:rPr>
        <w:t>/o</w:t>
      </w:r>
      <w:r w:rsidR="00A86B7C" w:rsidRPr="003A1174">
        <w:rPr>
          <w:rFonts w:ascii="Garamond" w:hAnsi="Garamond" w:cs="Arial"/>
          <w:sz w:val="24"/>
          <w:szCs w:val="24"/>
          <w:lang w:val="pt-PT"/>
        </w:rPr>
        <w:t>u</w:t>
      </w:r>
      <w:r w:rsidRPr="003A1174">
        <w:rPr>
          <w:rFonts w:ascii="Garamond" w:hAnsi="Garamond" w:cs="Arial"/>
          <w:sz w:val="24"/>
          <w:szCs w:val="24"/>
          <w:lang w:val="pt-PT"/>
        </w:rPr>
        <w:t xml:space="preserve"> procedentes d</w:t>
      </w:r>
      <w:r w:rsidR="00A86B7C" w:rsidRPr="003A1174">
        <w:rPr>
          <w:rFonts w:ascii="Garamond" w:hAnsi="Garamond" w:cs="Arial"/>
          <w:sz w:val="24"/>
          <w:szCs w:val="24"/>
          <w:lang w:val="pt-PT"/>
        </w:rPr>
        <w:t xml:space="preserve">o seu ambiente </w:t>
      </w:r>
      <w:r w:rsidRPr="003A1174">
        <w:rPr>
          <w:rFonts w:ascii="Garamond" w:hAnsi="Garamond" w:cs="Arial"/>
          <w:sz w:val="24"/>
          <w:szCs w:val="24"/>
          <w:lang w:val="pt-PT"/>
        </w:rPr>
        <w:t xml:space="preserve">social, </w:t>
      </w:r>
      <w:r w:rsidR="00B5431B" w:rsidRPr="003A1174">
        <w:rPr>
          <w:rFonts w:ascii="Garamond" w:hAnsi="Garamond" w:cs="Arial"/>
          <w:sz w:val="24"/>
          <w:szCs w:val="24"/>
          <w:lang w:val="pt-PT"/>
        </w:rPr>
        <w:t>existem</w:t>
      </w:r>
      <w:r w:rsidRPr="003A1174">
        <w:rPr>
          <w:rFonts w:ascii="Garamond" w:hAnsi="Garamond" w:cs="Arial"/>
          <w:sz w:val="24"/>
          <w:szCs w:val="24"/>
          <w:lang w:val="pt-PT"/>
        </w:rPr>
        <w:t xml:space="preserve"> </w:t>
      </w:r>
      <w:r w:rsidR="002470B1" w:rsidRPr="003A1174">
        <w:rPr>
          <w:rFonts w:ascii="Garamond" w:hAnsi="Garamond" w:cs="Arial"/>
          <w:sz w:val="24"/>
          <w:szCs w:val="24"/>
          <w:lang w:val="pt-PT"/>
        </w:rPr>
        <w:t>organizações</w:t>
      </w:r>
      <w:r w:rsidRPr="003A1174">
        <w:rPr>
          <w:rFonts w:ascii="Garamond" w:hAnsi="Garamond" w:cs="Arial"/>
          <w:sz w:val="24"/>
          <w:szCs w:val="24"/>
          <w:lang w:val="pt-PT"/>
        </w:rPr>
        <w:t xml:space="preserve"> </w:t>
      </w:r>
      <w:r w:rsidR="00A86B7C" w:rsidRPr="003A1174">
        <w:rPr>
          <w:rFonts w:ascii="Garamond" w:hAnsi="Garamond" w:cs="Arial"/>
          <w:sz w:val="24"/>
          <w:szCs w:val="24"/>
          <w:lang w:val="pt-PT"/>
        </w:rPr>
        <w:t>não-governamentais</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100435" w:rsidRPr="003A1174">
        <w:rPr>
          <w:rFonts w:ascii="Garamond" w:hAnsi="Garamond" w:cs="Arial"/>
          <w:sz w:val="24"/>
          <w:szCs w:val="24"/>
          <w:lang w:val="pt-PT"/>
        </w:rPr>
        <w:t>governamentais</w:t>
      </w:r>
      <w:r w:rsidRPr="003A1174">
        <w:rPr>
          <w:rFonts w:ascii="Garamond" w:hAnsi="Garamond" w:cs="Arial"/>
          <w:sz w:val="24"/>
          <w:szCs w:val="24"/>
          <w:lang w:val="pt-PT"/>
        </w:rPr>
        <w:t xml:space="preserve"> </w:t>
      </w:r>
      <w:r w:rsidR="00A86B7C" w:rsidRPr="003A1174">
        <w:rPr>
          <w:rFonts w:ascii="Garamond" w:hAnsi="Garamond" w:cs="Arial"/>
          <w:sz w:val="24"/>
          <w:szCs w:val="24"/>
          <w:lang w:val="pt-PT"/>
        </w:rPr>
        <w:t xml:space="preserve">ligadas ao </w:t>
      </w:r>
      <w:r w:rsidRPr="003A1174">
        <w:rPr>
          <w:rFonts w:ascii="Garamond" w:hAnsi="Garamond" w:cs="Arial"/>
          <w:sz w:val="24"/>
          <w:szCs w:val="24"/>
          <w:lang w:val="pt-PT"/>
        </w:rPr>
        <w:t xml:space="preserve">Departamento de </w:t>
      </w:r>
      <w:r w:rsidR="007C63D0" w:rsidRPr="003A1174">
        <w:rPr>
          <w:rFonts w:ascii="Garamond" w:hAnsi="Garamond" w:cs="Arial"/>
          <w:sz w:val="24"/>
          <w:szCs w:val="24"/>
          <w:lang w:val="pt-PT"/>
        </w:rPr>
        <w:t>Saúde</w:t>
      </w:r>
      <w:r w:rsidRPr="003A1174">
        <w:rPr>
          <w:rFonts w:ascii="Garamond" w:hAnsi="Garamond" w:cs="Arial"/>
          <w:sz w:val="24"/>
          <w:szCs w:val="24"/>
          <w:lang w:val="pt-PT"/>
        </w:rPr>
        <w:t xml:space="preserve">, </w:t>
      </w:r>
      <w:r w:rsidR="007D1CB7" w:rsidRPr="003A1174">
        <w:rPr>
          <w:rFonts w:ascii="Garamond" w:hAnsi="Garamond" w:cs="Arial"/>
          <w:sz w:val="24"/>
          <w:szCs w:val="24"/>
          <w:lang w:val="pt-PT"/>
        </w:rPr>
        <w:t>que se ocupa</w:t>
      </w:r>
      <w:r w:rsidR="00A86B7C" w:rsidRPr="003A1174">
        <w:rPr>
          <w:rFonts w:ascii="Garamond" w:hAnsi="Garamond" w:cs="Arial"/>
          <w:sz w:val="24"/>
          <w:szCs w:val="24"/>
          <w:lang w:val="pt-PT"/>
        </w:rPr>
        <w:t>m</w:t>
      </w:r>
      <w:r w:rsidR="007D1CB7" w:rsidRPr="003A1174">
        <w:rPr>
          <w:rFonts w:ascii="Garamond" w:hAnsi="Garamond" w:cs="Arial"/>
          <w:sz w:val="24"/>
          <w:szCs w:val="24"/>
          <w:lang w:val="pt-PT"/>
        </w:rPr>
        <w:t xml:space="preserve"> </w:t>
      </w:r>
      <w:r w:rsidR="006C2479">
        <w:rPr>
          <w:rFonts w:ascii="Garamond" w:hAnsi="Garamond" w:cs="Arial"/>
          <w:sz w:val="24"/>
          <w:szCs w:val="24"/>
          <w:lang w:val="pt-PT"/>
        </w:rPr>
        <w:t xml:space="preserve">em </w:t>
      </w:r>
      <w:r w:rsidR="009024A0" w:rsidRPr="003A1174">
        <w:rPr>
          <w:rFonts w:ascii="Garamond" w:hAnsi="Garamond" w:cs="Arial"/>
          <w:sz w:val="24"/>
          <w:szCs w:val="24"/>
          <w:lang w:val="pt-PT"/>
        </w:rPr>
        <w:t>proporcionar</w:t>
      </w:r>
      <w:r w:rsidR="00A86B7C" w:rsidRPr="003A1174">
        <w:rPr>
          <w:rFonts w:ascii="Garamond" w:hAnsi="Garamond" w:cs="Arial"/>
          <w:sz w:val="24"/>
          <w:szCs w:val="24"/>
          <w:lang w:val="pt-PT"/>
        </w:rPr>
        <w:t xml:space="preserve"> </w:t>
      </w:r>
      <w:r w:rsidRPr="003A1174">
        <w:rPr>
          <w:rFonts w:ascii="Garamond" w:hAnsi="Garamond" w:cs="Arial"/>
          <w:sz w:val="24"/>
          <w:szCs w:val="24"/>
          <w:lang w:val="pt-PT"/>
        </w:rPr>
        <w:t xml:space="preserve">os </w:t>
      </w:r>
      <w:r w:rsidR="00B531F2" w:rsidRPr="003A1174">
        <w:rPr>
          <w:rFonts w:ascii="Garamond" w:hAnsi="Garamond" w:cs="Arial"/>
          <w:sz w:val="24"/>
          <w:szCs w:val="24"/>
          <w:lang w:val="pt-PT"/>
        </w:rPr>
        <w:t>serviço</w:t>
      </w:r>
      <w:r w:rsidRPr="003A1174">
        <w:rPr>
          <w:rFonts w:ascii="Garamond" w:hAnsi="Garamond" w:cs="Arial"/>
          <w:sz w:val="24"/>
          <w:szCs w:val="24"/>
          <w:lang w:val="pt-PT"/>
        </w:rPr>
        <w:t xml:space="preserve">s de </w:t>
      </w:r>
      <w:r w:rsidR="00AB6522" w:rsidRPr="003A1174">
        <w:rPr>
          <w:rFonts w:ascii="Garamond" w:hAnsi="Garamond" w:cs="Arial"/>
          <w:sz w:val="24"/>
          <w:szCs w:val="24"/>
          <w:lang w:val="pt-PT"/>
        </w:rPr>
        <w:t>avaliação</w:t>
      </w:r>
      <w:r w:rsidRPr="003A1174">
        <w:rPr>
          <w:rFonts w:ascii="Garamond" w:hAnsi="Garamond" w:cs="Arial"/>
          <w:sz w:val="24"/>
          <w:szCs w:val="24"/>
          <w:lang w:val="pt-PT"/>
        </w:rPr>
        <w:t xml:space="preserve"> clínica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psicológica a </w:t>
      </w:r>
      <w:r w:rsidR="003F012B" w:rsidRPr="003A1174">
        <w:rPr>
          <w:rFonts w:ascii="Garamond" w:hAnsi="Garamond" w:cs="Arial"/>
          <w:sz w:val="24"/>
          <w:szCs w:val="24"/>
          <w:lang w:val="pt-PT"/>
        </w:rPr>
        <w:t>vítima</w:t>
      </w:r>
      <w:r w:rsidRPr="003A1174">
        <w:rPr>
          <w:rFonts w:ascii="Garamond" w:hAnsi="Garamond" w:cs="Arial"/>
          <w:sz w:val="24"/>
          <w:szCs w:val="24"/>
          <w:lang w:val="pt-PT"/>
        </w:rPr>
        <w:t xml:space="preserve">s de </w:t>
      </w:r>
      <w:r w:rsidR="009A0623" w:rsidRPr="003A1174">
        <w:rPr>
          <w:rFonts w:ascii="Garamond" w:hAnsi="Garamond" w:cs="Arial"/>
          <w:sz w:val="24"/>
          <w:szCs w:val="24"/>
          <w:lang w:val="pt-PT"/>
        </w:rPr>
        <w:t>agressão</w:t>
      </w:r>
      <w:r w:rsidRPr="003A1174">
        <w:rPr>
          <w:rFonts w:ascii="Garamond" w:hAnsi="Garamond" w:cs="Arial"/>
          <w:sz w:val="24"/>
          <w:szCs w:val="24"/>
          <w:lang w:val="pt-PT"/>
        </w:rPr>
        <w:t xml:space="preserve"> sexual</w:t>
      </w:r>
      <w:r w:rsidR="00A86B7C" w:rsidRPr="003A1174">
        <w:rPr>
          <w:rFonts w:ascii="Garamond" w:hAnsi="Garamond" w:cs="Arial"/>
          <w:sz w:val="24"/>
          <w:szCs w:val="24"/>
          <w:lang w:val="pt-PT"/>
        </w:rPr>
        <w:t>,</w:t>
      </w:r>
      <w:r w:rsidRPr="003A1174">
        <w:rPr>
          <w:rFonts w:ascii="Garamond" w:hAnsi="Garamond" w:cs="Arial"/>
          <w:sz w:val="24"/>
          <w:szCs w:val="24"/>
          <w:lang w:val="pt-PT"/>
        </w:rPr>
        <w:t xml:space="preserve"> </w:t>
      </w:r>
      <w:r w:rsidR="00A86B7C" w:rsidRPr="003A1174">
        <w:rPr>
          <w:rFonts w:ascii="Garamond" w:hAnsi="Garamond" w:cs="Arial"/>
          <w:sz w:val="24"/>
          <w:szCs w:val="24"/>
          <w:lang w:val="pt-PT"/>
        </w:rPr>
        <w:t xml:space="preserve">a </w:t>
      </w:r>
      <w:r w:rsidRPr="003A1174">
        <w:rPr>
          <w:rFonts w:ascii="Garamond" w:hAnsi="Garamond" w:cs="Arial"/>
          <w:sz w:val="24"/>
          <w:szCs w:val="24"/>
          <w:lang w:val="pt-PT"/>
        </w:rPr>
        <w:t xml:space="preserve">menores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FC1F7F" w:rsidRPr="003A1174">
        <w:rPr>
          <w:rFonts w:ascii="Garamond" w:hAnsi="Garamond" w:cs="Arial"/>
          <w:sz w:val="24"/>
          <w:szCs w:val="24"/>
          <w:lang w:val="pt-PT"/>
        </w:rPr>
        <w:t>maiores</w:t>
      </w:r>
      <w:r w:rsidRPr="003A1174">
        <w:rPr>
          <w:rFonts w:ascii="Garamond" w:hAnsi="Garamond" w:cs="Arial"/>
          <w:sz w:val="24"/>
          <w:szCs w:val="24"/>
          <w:lang w:val="pt-PT"/>
        </w:rPr>
        <w:t xml:space="preserve"> de </w:t>
      </w:r>
      <w:r w:rsidR="007342D9" w:rsidRPr="003A1174">
        <w:rPr>
          <w:rFonts w:ascii="Garamond" w:hAnsi="Garamond" w:cs="Arial"/>
          <w:sz w:val="24"/>
          <w:szCs w:val="24"/>
          <w:lang w:val="pt-PT"/>
        </w:rPr>
        <w:t>idade</w:t>
      </w:r>
      <w:r w:rsidR="007D1CB7" w:rsidRPr="003A1174">
        <w:rPr>
          <w:rFonts w:ascii="Garamond" w:hAnsi="Garamond" w:cs="Arial"/>
          <w:sz w:val="24"/>
          <w:szCs w:val="24"/>
          <w:lang w:val="pt-PT"/>
        </w:rPr>
        <w:t>;</w:t>
      </w:r>
      <w:r w:rsidRPr="003A1174">
        <w:rPr>
          <w:rFonts w:ascii="Garamond" w:hAnsi="Garamond" w:cs="Arial"/>
          <w:sz w:val="24"/>
          <w:szCs w:val="24"/>
          <w:lang w:val="pt-PT"/>
        </w:rPr>
        <w:t xml:space="preserve"> opera</w:t>
      </w:r>
      <w:r w:rsidR="00A86B7C" w:rsidRPr="003A1174">
        <w:rPr>
          <w:rFonts w:ascii="Garamond" w:hAnsi="Garamond" w:cs="Arial"/>
          <w:sz w:val="24"/>
          <w:szCs w:val="24"/>
          <w:lang w:val="pt-PT"/>
        </w:rPr>
        <w:t xml:space="preserve">m </w:t>
      </w:r>
      <w:r w:rsidR="002C7510" w:rsidRPr="003A1174">
        <w:rPr>
          <w:rFonts w:ascii="Garamond" w:hAnsi="Garamond" w:cs="Arial"/>
          <w:sz w:val="24"/>
          <w:szCs w:val="24"/>
          <w:lang w:val="pt-PT"/>
        </w:rPr>
        <w:t>graças</w:t>
      </w:r>
      <w:r w:rsidRPr="003A1174">
        <w:rPr>
          <w:rFonts w:ascii="Garamond" w:hAnsi="Garamond" w:cs="Arial"/>
          <w:sz w:val="24"/>
          <w:szCs w:val="24"/>
          <w:lang w:val="pt-PT"/>
        </w:rPr>
        <w:t xml:space="preserve"> </w:t>
      </w:r>
      <w:r w:rsidR="00A86B7C" w:rsidRPr="003A1174">
        <w:rPr>
          <w:rFonts w:ascii="Garamond" w:hAnsi="Garamond" w:cs="Arial"/>
          <w:sz w:val="24"/>
          <w:szCs w:val="24"/>
          <w:lang w:val="pt-PT"/>
        </w:rPr>
        <w:t>às atribuiç</w:t>
      </w:r>
      <w:r w:rsidR="006C2479">
        <w:rPr>
          <w:rFonts w:ascii="Garamond" w:hAnsi="Garamond" w:cs="Arial"/>
          <w:sz w:val="24"/>
          <w:szCs w:val="24"/>
          <w:lang w:val="pt-PT"/>
        </w:rPr>
        <w:t>õ</w:t>
      </w:r>
      <w:r w:rsidR="00B67D2F">
        <w:rPr>
          <w:rFonts w:ascii="Garamond" w:hAnsi="Garamond" w:cs="Arial"/>
          <w:sz w:val="24"/>
          <w:szCs w:val="24"/>
          <w:lang w:val="pt-PT"/>
        </w:rPr>
        <w:t>es</w:t>
      </w:r>
      <w:r w:rsidR="00A86B7C" w:rsidRPr="003A1174">
        <w:rPr>
          <w:rFonts w:ascii="Garamond" w:hAnsi="Garamond" w:cs="Arial"/>
          <w:sz w:val="24"/>
          <w:szCs w:val="24"/>
          <w:lang w:val="pt-PT"/>
        </w:rPr>
        <w:t xml:space="preserve"> orçamenta</w:t>
      </w:r>
      <w:r w:rsidR="006C2479">
        <w:rPr>
          <w:rFonts w:ascii="Garamond" w:hAnsi="Garamond" w:cs="Arial"/>
          <w:sz w:val="24"/>
          <w:szCs w:val="24"/>
          <w:lang w:val="pt-PT"/>
        </w:rPr>
        <w:t>is</w:t>
      </w:r>
      <w:r w:rsidR="00A86B7C" w:rsidRPr="003A1174">
        <w:rPr>
          <w:rFonts w:ascii="Garamond" w:hAnsi="Garamond" w:cs="Arial"/>
          <w:sz w:val="24"/>
          <w:szCs w:val="24"/>
          <w:lang w:val="pt-PT"/>
        </w:rPr>
        <w:t xml:space="preserve"> </w:t>
      </w:r>
      <w:r w:rsidR="006C2479">
        <w:rPr>
          <w:rFonts w:ascii="Garamond" w:hAnsi="Garamond" w:cs="Arial"/>
          <w:sz w:val="24"/>
          <w:szCs w:val="24"/>
          <w:lang w:val="pt-PT"/>
        </w:rPr>
        <w:t xml:space="preserve">emanadas </w:t>
      </w:r>
      <w:r w:rsidRPr="003A1174">
        <w:rPr>
          <w:rFonts w:ascii="Garamond" w:hAnsi="Garamond" w:cs="Arial"/>
          <w:sz w:val="24"/>
          <w:szCs w:val="24"/>
          <w:lang w:val="pt-PT"/>
        </w:rPr>
        <w:t xml:space="preserve">da OPM,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DS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por </w:t>
      </w:r>
      <w:r w:rsidR="005D38DC" w:rsidRPr="003A1174">
        <w:rPr>
          <w:rFonts w:ascii="Garamond" w:hAnsi="Garamond" w:cs="Arial"/>
          <w:sz w:val="24"/>
          <w:szCs w:val="24"/>
          <w:lang w:val="pt-PT"/>
        </w:rPr>
        <w:t>propostas</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w:t>
      </w:r>
      <w:r w:rsidR="006506C6" w:rsidRPr="003A1174">
        <w:rPr>
          <w:rFonts w:ascii="Garamond" w:hAnsi="Garamond" w:cs="Arial"/>
          <w:sz w:val="24"/>
          <w:szCs w:val="24"/>
          <w:lang w:val="pt-PT"/>
        </w:rPr>
        <w:t>Governo</w:t>
      </w:r>
      <w:r w:rsidRPr="003A1174">
        <w:rPr>
          <w:rFonts w:ascii="Garamond" w:hAnsi="Garamond" w:cs="Arial"/>
          <w:sz w:val="24"/>
          <w:szCs w:val="24"/>
          <w:lang w:val="pt-PT"/>
        </w:rPr>
        <w:t xml:space="preserve"> Federal. </w:t>
      </w:r>
    </w:p>
    <w:p w:rsidR="00496CB2" w:rsidRPr="003A1174" w:rsidRDefault="00496CB2" w:rsidP="008719D4">
      <w:pPr>
        <w:spacing w:before="240" w:line="240" w:lineRule="auto"/>
        <w:jc w:val="both"/>
        <w:rPr>
          <w:rFonts w:ascii="Garamond" w:hAnsi="Garamond" w:cs="Arial"/>
          <w:sz w:val="24"/>
          <w:szCs w:val="24"/>
        </w:rPr>
      </w:pPr>
      <w:r w:rsidRPr="003A1174">
        <w:rPr>
          <w:rFonts w:ascii="Garamond" w:hAnsi="Garamond" w:cs="Arial"/>
          <w:sz w:val="24"/>
          <w:szCs w:val="24"/>
        </w:rPr>
        <w:t>Dad</w:t>
      </w:r>
      <w:r w:rsidR="007D1CB7" w:rsidRPr="003A1174">
        <w:rPr>
          <w:rFonts w:ascii="Garamond" w:hAnsi="Garamond" w:cs="Arial"/>
          <w:sz w:val="24"/>
          <w:szCs w:val="24"/>
        </w:rPr>
        <w:t>a</w:t>
      </w:r>
      <w:r w:rsidR="00A86B7C" w:rsidRPr="003A1174">
        <w:rPr>
          <w:rFonts w:ascii="Garamond" w:hAnsi="Garamond" w:cs="Arial"/>
          <w:sz w:val="24"/>
          <w:szCs w:val="24"/>
        </w:rPr>
        <w:t xml:space="preserve"> </w:t>
      </w:r>
      <w:r w:rsidRPr="003A1174">
        <w:rPr>
          <w:rFonts w:ascii="Garamond" w:hAnsi="Garamond" w:cs="Arial"/>
          <w:sz w:val="24"/>
          <w:szCs w:val="24"/>
        </w:rPr>
        <w:t xml:space="preserve">a </w:t>
      </w:r>
      <w:r w:rsidR="00802ACC" w:rsidRPr="003A1174">
        <w:rPr>
          <w:rFonts w:ascii="Garamond" w:hAnsi="Garamond" w:cs="Arial"/>
          <w:sz w:val="24"/>
          <w:szCs w:val="24"/>
        </w:rPr>
        <w:t>diversidade</w:t>
      </w:r>
      <w:r w:rsidRPr="003A1174">
        <w:rPr>
          <w:rFonts w:ascii="Garamond" w:hAnsi="Garamond" w:cs="Arial"/>
          <w:sz w:val="24"/>
          <w:szCs w:val="24"/>
        </w:rPr>
        <w:t xml:space="preserve"> de </w:t>
      </w:r>
      <w:r w:rsidR="00FC1F7F" w:rsidRPr="003A1174">
        <w:rPr>
          <w:rFonts w:ascii="Garamond" w:hAnsi="Garamond" w:cs="Arial"/>
          <w:sz w:val="24"/>
          <w:szCs w:val="24"/>
        </w:rPr>
        <w:t>fonte</w:t>
      </w:r>
      <w:r w:rsidRPr="003A1174">
        <w:rPr>
          <w:rFonts w:ascii="Garamond" w:hAnsi="Garamond" w:cs="Arial"/>
          <w:sz w:val="24"/>
          <w:szCs w:val="24"/>
        </w:rPr>
        <w:t>s que presta</w:t>
      </w:r>
      <w:r w:rsidR="00A86B7C" w:rsidRPr="003A1174">
        <w:rPr>
          <w:rFonts w:ascii="Garamond" w:hAnsi="Garamond" w:cs="Arial"/>
          <w:sz w:val="24"/>
          <w:szCs w:val="24"/>
        </w:rPr>
        <w:t xml:space="preserve">m </w:t>
      </w:r>
      <w:r w:rsidR="00B531F2" w:rsidRPr="003A1174">
        <w:rPr>
          <w:rFonts w:ascii="Garamond" w:hAnsi="Garamond" w:cs="Arial"/>
          <w:sz w:val="24"/>
          <w:szCs w:val="24"/>
        </w:rPr>
        <w:t>serviço</w:t>
      </w:r>
      <w:r w:rsidRPr="003A1174">
        <w:rPr>
          <w:rFonts w:ascii="Garamond" w:hAnsi="Garamond" w:cs="Arial"/>
          <w:sz w:val="24"/>
          <w:szCs w:val="24"/>
        </w:rPr>
        <w:t xml:space="preserve">s de </w:t>
      </w:r>
      <w:r w:rsidR="007C63D0" w:rsidRPr="003A1174">
        <w:rPr>
          <w:rFonts w:ascii="Garamond" w:hAnsi="Garamond" w:cs="Arial"/>
          <w:sz w:val="24"/>
          <w:szCs w:val="24"/>
        </w:rPr>
        <w:t>saúde</w:t>
      </w:r>
      <w:r w:rsidRPr="003A1174">
        <w:rPr>
          <w:rFonts w:ascii="Garamond" w:hAnsi="Garamond" w:cs="Arial"/>
          <w:sz w:val="24"/>
          <w:szCs w:val="24"/>
        </w:rPr>
        <w:t xml:space="preserve"> mental a </w:t>
      </w:r>
      <w:r w:rsidR="003F012B" w:rsidRPr="003A1174">
        <w:rPr>
          <w:rFonts w:ascii="Garamond" w:hAnsi="Garamond" w:cs="Arial"/>
          <w:sz w:val="24"/>
          <w:szCs w:val="24"/>
        </w:rPr>
        <w:t>vítima</w:t>
      </w:r>
      <w:r w:rsidRPr="003A1174">
        <w:rPr>
          <w:rFonts w:ascii="Garamond" w:hAnsi="Garamond" w:cs="Arial"/>
          <w:sz w:val="24"/>
          <w:szCs w:val="24"/>
        </w:rPr>
        <w:t xml:space="preserve">s de </w:t>
      </w:r>
      <w:r w:rsidR="000350B1" w:rsidRPr="003A1174">
        <w:rPr>
          <w:rFonts w:ascii="Garamond" w:hAnsi="Garamond" w:cs="Arial"/>
          <w:sz w:val="24"/>
          <w:szCs w:val="24"/>
        </w:rPr>
        <w:t>violência</w:t>
      </w:r>
      <w:r w:rsidR="00A86B7C" w:rsidRPr="003A1174">
        <w:rPr>
          <w:rFonts w:ascii="Garamond" w:hAnsi="Garamond" w:cs="Arial"/>
          <w:sz w:val="24"/>
          <w:szCs w:val="24"/>
        </w:rPr>
        <w:t xml:space="preserve"> doméstica, </w:t>
      </w:r>
      <w:r w:rsidRPr="003A1174">
        <w:rPr>
          <w:rFonts w:ascii="Garamond" w:hAnsi="Garamond" w:cs="Arial"/>
          <w:sz w:val="24"/>
          <w:szCs w:val="24"/>
        </w:rPr>
        <w:t xml:space="preserve">as </w:t>
      </w:r>
      <w:r w:rsidR="00190B59" w:rsidRPr="003A1174">
        <w:rPr>
          <w:rFonts w:ascii="Garamond" w:hAnsi="Garamond" w:cs="Arial"/>
          <w:sz w:val="24"/>
          <w:szCs w:val="24"/>
        </w:rPr>
        <w:t>estatísticas</w:t>
      </w:r>
      <w:r w:rsidRPr="003A1174">
        <w:rPr>
          <w:rFonts w:ascii="Garamond" w:hAnsi="Garamond" w:cs="Arial"/>
          <w:sz w:val="24"/>
          <w:szCs w:val="24"/>
        </w:rPr>
        <w:t xml:space="preserve"> </w:t>
      </w:r>
      <w:r w:rsidR="00D75A07" w:rsidRPr="003A1174">
        <w:rPr>
          <w:rFonts w:ascii="Garamond" w:hAnsi="Garamond" w:cs="Arial"/>
          <w:sz w:val="24"/>
          <w:szCs w:val="24"/>
        </w:rPr>
        <w:t>são</w:t>
      </w:r>
      <w:r w:rsidRPr="003A1174">
        <w:rPr>
          <w:rFonts w:ascii="Garamond" w:hAnsi="Garamond" w:cs="Arial"/>
          <w:sz w:val="24"/>
          <w:szCs w:val="24"/>
        </w:rPr>
        <w:t xml:space="preserve"> </w:t>
      </w:r>
      <w:r w:rsidR="00462B11" w:rsidRPr="003A1174">
        <w:rPr>
          <w:rFonts w:ascii="Garamond" w:hAnsi="Garamond" w:cs="Arial"/>
          <w:sz w:val="24"/>
          <w:szCs w:val="24"/>
        </w:rPr>
        <w:t>individuais</w:t>
      </w:r>
      <w:r w:rsidRPr="003A1174">
        <w:rPr>
          <w:rFonts w:ascii="Garamond" w:hAnsi="Garamond" w:cs="Arial"/>
          <w:sz w:val="24"/>
          <w:szCs w:val="24"/>
        </w:rPr>
        <w:t xml:space="preserve"> para cada plataforma de </w:t>
      </w:r>
      <w:r w:rsidR="00B531F2" w:rsidRPr="003A1174">
        <w:rPr>
          <w:rFonts w:ascii="Garamond" w:hAnsi="Garamond" w:cs="Arial"/>
          <w:sz w:val="24"/>
          <w:szCs w:val="24"/>
        </w:rPr>
        <w:t>serviço</w:t>
      </w:r>
      <w:r w:rsidRPr="003A1174">
        <w:rPr>
          <w:rFonts w:ascii="Garamond" w:hAnsi="Garamond" w:cs="Arial"/>
          <w:sz w:val="24"/>
          <w:szCs w:val="24"/>
        </w:rPr>
        <w:t xml:space="preserve">, </w:t>
      </w:r>
      <w:r w:rsidR="00A86B7C" w:rsidRPr="003A1174">
        <w:rPr>
          <w:rFonts w:ascii="Garamond" w:hAnsi="Garamond" w:cs="Arial"/>
          <w:sz w:val="24"/>
          <w:szCs w:val="24"/>
        </w:rPr>
        <w:t xml:space="preserve">recolhidas </w:t>
      </w:r>
      <w:r w:rsidRPr="003A1174">
        <w:rPr>
          <w:rFonts w:ascii="Garamond" w:hAnsi="Garamond" w:cs="Arial"/>
          <w:sz w:val="24"/>
          <w:szCs w:val="24"/>
        </w:rPr>
        <w:t xml:space="preserve">por cada </w:t>
      </w:r>
      <w:r w:rsidR="00A86B7C" w:rsidRPr="003A1174">
        <w:rPr>
          <w:rFonts w:ascii="Garamond" w:hAnsi="Garamond" w:cs="Arial"/>
          <w:sz w:val="24"/>
          <w:szCs w:val="24"/>
        </w:rPr>
        <w:t>uma</w:t>
      </w:r>
      <w:r w:rsidRPr="003A1174">
        <w:rPr>
          <w:rFonts w:ascii="Garamond" w:hAnsi="Garamond" w:cs="Arial"/>
          <w:sz w:val="24"/>
          <w:szCs w:val="24"/>
        </w:rPr>
        <w:t>, protegidas</w:t>
      </w:r>
      <w:r w:rsidR="00B67D2F">
        <w:rPr>
          <w:rFonts w:ascii="Garamond" w:hAnsi="Garamond" w:cs="Arial"/>
          <w:sz w:val="24"/>
          <w:szCs w:val="24"/>
        </w:rPr>
        <w:t>,</w:t>
      </w:r>
      <w:r w:rsidRPr="003A1174">
        <w:rPr>
          <w:rFonts w:ascii="Garamond" w:hAnsi="Garamond" w:cs="Arial"/>
          <w:sz w:val="24"/>
          <w:szCs w:val="24"/>
        </w:rPr>
        <w:t xml:space="preserve"> individualmente</w:t>
      </w:r>
      <w:r w:rsidR="00B67D2F">
        <w:rPr>
          <w:rFonts w:ascii="Garamond" w:hAnsi="Garamond" w:cs="Arial"/>
          <w:sz w:val="24"/>
          <w:szCs w:val="24"/>
        </w:rPr>
        <w:t>,</w:t>
      </w:r>
      <w:r w:rsidRPr="003A1174">
        <w:rPr>
          <w:rFonts w:ascii="Garamond" w:hAnsi="Garamond" w:cs="Arial"/>
          <w:sz w:val="24"/>
          <w:szCs w:val="24"/>
        </w:rPr>
        <w:t xml:space="preserve"> </w:t>
      </w:r>
      <w:r w:rsidR="00275092" w:rsidRPr="003A1174">
        <w:rPr>
          <w:rFonts w:ascii="Garamond" w:hAnsi="Garamond" w:cs="Arial"/>
          <w:sz w:val="24"/>
          <w:szCs w:val="24"/>
        </w:rPr>
        <w:t>pela</w:t>
      </w:r>
      <w:r w:rsidRPr="003A1174">
        <w:rPr>
          <w:rFonts w:ascii="Garamond" w:hAnsi="Garamond" w:cs="Arial"/>
          <w:sz w:val="24"/>
          <w:szCs w:val="24"/>
        </w:rPr>
        <w:t>s cláusulas de confidencialidad</w:t>
      </w:r>
      <w:r w:rsidR="00A86B7C" w:rsidRPr="003A1174">
        <w:rPr>
          <w:rFonts w:ascii="Garamond" w:hAnsi="Garamond" w:cs="Arial"/>
          <w:sz w:val="24"/>
          <w:szCs w:val="24"/>
        </w:rPr>
        <w:t>e</w:t>
      </w:r>
      <w:r w:rsidRPr="003A1174">
        <w:rPr>
          <w:rFonts w:ascii="Garamond" w:hAnsi="Garamond" w:cs="Arial"/>
          <w:sz w:val="24"/>
          <w:szCs w:val="24"/>
        </w:rPr>
        <w:t xml:space="preserve"> vigentes.</w:t>
      </w:r>
      <w:r w:rsidR="008A1D51" w:rsidRPr="003A1174">
        <w:rPr>
          <w:rFonts w:ascii="Garamond" w:hAnsi="Garamond" w:cs="Arial"/>
          <w:sz w:val="24"/>
          <w:szCs w:val="24"/>
        </w:rPr>
        <w:t xml:space="preserve"> </w:t>
      </w:r>
      <w:r w:rsidR="00D37CF3" w:rsidRPr="003A1174">
        <w:rPr>
          <w:rFonts w:ascii="Garamond" w:hAnsi="Garamond" w:cs="Arial"/>
          <w:sz w:val="24"/>
          <w:szCs w:val="24"/>
        </w:rPr>
        <w:t xml:space="preserve">Porém, o Departamento de Saúde e a ASSMCA mantêm uma estatística sobre a </w:t>
      </w:r>
      <w:r w:rsidR="008E259D">
        <w:rPr>
          <w:rFonts w:ascii="Garamond" w:hAnsi="Garamond" w:cs="Arial"/>
          <w:sz w:val="24"/>
          <w:szCs w:val="24"/>
        </w:rPr>
        <w:t>avaliação</w:t>
      </w:r>
      <w:r w:rsidR="00D37CF3" w:rsidRPr="003A1174">
        <w:rPr>
          <w:rFonts w:ascii="Garamond" w:hAnsi="Garamond" w:cs="Arial"/>
          <w:sz w:val="24"/>
          <w:szCs w:val="24"/>
        </w:rPr>
        <w:t xml:space="preserve"> do dano psicológico e das suas derivações, como, por exemplo, incidências em depressão, suicídios, uso de substâncias controladas</w:t>
      </w:r>
      <w:r w:rsidR="00B67D2F">
        <w:rPr>
          <w:rFonts w:ascii="Garamond" w:hAnsi="Garamond" w:cs="Arial"/>
          <w:sz w:val="24"/>
          <w:szCs w:val="24"/>
        </w:rPr>
        <w:t>, tais como,</w:t>
      </w:r>
      <w:r w:rsidR="00D37CF3" w:rsidRPr="003A1174">
        <w:rPr>
          <w:rFonts w:ascii="Garamond" w:hAnsi="Garamond" w:cs="Arial"/>
          <w:sz w:val="24"/>
          <w:szCs w:val="24"/>
        </w:rPr>
        <w:t xml:space="preserve"> as drogas e o álcool, reportadas através d</w:t>
      </w:r>
      <w:r w:rsidR="00B67D2F">
        <w:rPr>
          <w:rFonts w:ascii="Garamond" w:hAnsi="Garamond" w:cs="Arial"/>
          <w:sz w:val="24"/>
          <w:szCs w:val="24"/>
        </w:rPr>
        <w:t>e</w:t>
      </w:r>
      <w:r w:rsidR="00D37CF3" w:rsidRPr="003A1174">
        <w:rPr>
          <w:rFonts w:ascii="Garamond" w:hAnsi="Garamond" w:cs="Arial"/>
          <w:sz w:val="24"/>
          <w:szCs w:val="24"/>
        </w:rPr>
        <w:t xml:space="preserve"> </w:t>
      </w:r>
      <w:r w:rsidR="00B67D2F">
        <w:rPr>
          <w:rFonts w:ascii="Garamond" w:hAnsi="Garamond" w:cs="Arial"/>
          <w:sz w:val="24"/>
          <w:szCs w:val="24"/>
        </w:rPr>
        <w:t xml:space="preserve">departamentos </w:t>
      </w:r>
      <w:r w:rsidR="00D37CF3" w:rsidRPr="003A1174">
        <w:rPr>
          <w:rFonts w:ascii="Garamond" w:hAnsi="Garamond" w:cs="Arial"/>
          <w:sz w:val="24"/>
          <w:szCs w:val="24"/>
        </w:rPr>
        <w:t>do Governo que proporcionam serviços de saúde mental, de acordo com o certificado pela funcionária Angelita Negrón Reyes, Diretora de Planificação.</w:t>
      </w:r>
    </w:p>
    <w:p w:rsidR="00496CB2" w:rsidRPr="003A1174" w:rsidRDefault="006B56D7" w:rsidP="008719D4">
      <w:pPr>
        <w:spacing w:before="240" w:after="160" w:line="240" w:lineRule="auto"/>
        <w:contextualSpacing/>
        <w:jc w:val="both"/>
        <w:rPr>
          <w:rFonts w:ascii="Garamond" w:hAnsi="Garamond" w:cs="Arial"/>
          <w:color w:val="000000"/>
          <w:sz w:val="24"/>
          <w:szCs w:val="24"/>
        </w:rPr>
      </w:pPr>
      <w:r w:rsidRPr="000F33E8">
        <w:rPr>
          <w:rFonts w:ascii="Garamond" w:hAnsi="Garamond" w:cs="Arial"/>
          <w:sz w:val="24"/>
          <w:szCs w:val="24"/>
        </w:rPr>
        <w:t xml:space="preserve">Afeto ao </w:t>
      </w:r>
      <w:r w:rsidR="00496CB2" w:rsidRPr="000F33E8">
        <w:rPr>
          <w:rFonts w:ascii="Garamond" w:hAnsi="Garamond" w:cs="Arial"/>
          <w:sz w:val="24"/>
          <w:szCs w:val="24"/>
        </w:rPr>
        <w:t xml:space="preserve">Departamento de </w:t>
      </w:r>
      <w:r w:rsidR="007C63D0" w:rsidRPr="000F33E8">
        <w:rPr>
          <w:rFonts w:ascii="Garamond" w:hAnsi="Garamond" w:cs="Arial"/>
          <w:sz w:val="24"/>
          <w:szCs w:val="24"/>
        </w:rPr>
        <w:t>Saúde</w:t>
      </w:r>
      <w:r w:rsidR="00496CB2" w:rsidRPr="000F33E8">
        <w:rPr>
          <w:rFonts w:ascii="Garamond" w:hAnsi="Garamond" w:cs="Arial"/>
          <w:sz w:val="24"/>
          <w:szCs w:val="24"/>
        </w:rPr>
        <w:t>, destaca</w:t>
      </w:r>
      <w:r w:rsidR="00B67D2F" w:rsidRPr="000F33E8">
        <w:rPr>
          <w:rFonts w:ascii="Garamond" w:hAnsi="Garamond" w:cs="Arial"/>
          <w:sz w:val="24"/>
          <w:szCs w:val="24"/>
        </w:rPr>
        <w:t>-se</w:t>
      </w:r>
      <w:r w:rsidR="00496CB2" w:rsidRPr="000F33E8">
        <w:rPr>
          <w:rFonts w:ascii="Garamond" w:hAnsi="Garamond" w:cs="Arial"/>
          <w:sz w:val="24"/>
          <w:szCs w:val="24"/>
        </w:rPr>
        <w:t xml:space="preserve"> </w:t>
      </w:r>
      <w:r w:rsidR="00B67D2F" w:rsidRPr="000F33E8">
        <w:rPr>
          <w:rFonts w:ascii="Garamond" w:hAnsi="Garamond" w:cs="Arial"/>
          <w:sz w:val="24"/>
          <w:szCs w:val="24"/>
        </w:rPr>
        <w:t>o</w:t>
      </w:r>
      <w:r w:rsidRPr="000F33E8">
        <w:rPr>
          <w:rFonts w:ascii="Garamond" w:hAnsi="Garamond" w:cs="Arial"/>
          <w:sz w:val="24"/>
          <w:szCs w:val="24"/>
        </w:rPr>
        <w:t xml:space="preserve"> </w:t>
      </w:r>
      <w:r w:rsidR="00496CB2" w:rsidRPr="000F33E8">
        <w:rPr>
          <w:rFonts w:ascii="Garamond" w:hAnsi="Garamond" w:cs="Arial"/>
          <w:sz w:val="24"/>
          <w:szCs w:val="24"/>
        </w:rPr>
        <w:t xml:space="preserve">Centro </w:t>
      </w:r>
      <w:r w:rsidR="00496CB2" w:rsidRPr="000F33E8">
        <w:rPr>
          <w:rFonts w:ascii="Garamond" w:hAnsi="Garamond" w:cs="Arial"/>
          <w:color w:val="000000"/>
          <w:sz w:val="24"/>
          <w:szCs w:val="24"/>
        </w:rPr>
        <w:t xml:space="preserve">de </w:t>
      </w:r>
      <w:r w:rsidR="000672E8" w:rsidRPr="000F33E8">
        <w:rPr>
          <w:rFonts w:ascii="Garamond" w:hAnsi="Garamond" w:cs="Arial"/>
          <w:color w:val="000000"/>
          <w:sz w:val="24"/>
          <w:szCs w:val="24"/>
        </w:rPr>
        <w:t>Ajuda</w:t>
      </w:r>
      <w:r w:rsidR="00496CB2" w:rsidRPr="000F33E8">
        <w:rPr>
          <w:rFonts w:ascii="Garamond" w:hAnsi="Garamond" w:cs="Arial"/>
          <w:color w:val="000000"/>
          <w:sz w:val="24"/>
          <w:szCs w:val="24"/>
        </w:rPr>
        <w:t xml:space="preserve"> a </w:t>
      </w:r>
      <w:r w:rsidR="003F012B" w:rsidRPr="000F33E8">
        <w:rPr>
          <w:rFonts w:ascii="Garamond" w:hAnsi="Garamond" w:cs="Arial"/>
          <w:color w:val="000000"/>
          <w:sz w:val="24"/>
          <w:szCs w:val="24"/>
        </w:rPr>
        <w:t>Vítima</w:t>
      </w:r>
      <w:r w:rsidR="00496CB2" w:rsidRPr="000F33E8">
        <w:rPr>
          <w:rFonts w:ascii="Garamond" w:hAnsi="Garamond" w:cs="Arial"/>
          <w:color w:val="000000"/>
          <w:sz w:val="24"/>
          <w:szCs w:val="24"/>
        </w:rPr>
        <w:t xml:space="preserve">s de </w:t>
      </w:r>
      <w:r w:rsidR="007342D9" w:rsidRPr="000F33E8">
        <w:rPr>
          <w:rFonts w:ascii="Garamond" w:hAnsi="Garamond" w:cs="Arial"/>
          <w:color w:val="000000"/>
          <w:sz w:val="24"/>
          <w:szCs w:val="24"/>
        </w:rPr>
        <w:t>Violação</w:t>
      </w:r>
      <w:r w:rsidR="00496CB2" w:rsidRPr="000F33E8">
        <w:rPr>
          <w:rFonts w:ascii="Garamond" w:hAnsi="Garamond" w:cs="Arial"/>
          <w:color w:val="000000"/>
          <w:sz w:val="24"/>
          <w:szCs w:val="24"/>
        </w:rPr>
        <w:t xml:space="preserve"> (CAVV). </w:t>
      </w:r>
      <w:r w:rsidRPr="000F33E8">
        <w:rPr>
          <w:rFonts w:ascii="Garamond" w:hAnsi="Garamond" w:cs="Arial"/>
          <w:color w:val="000000"/>
          <w:sz w:val="24"/>
          <w:szCs w:val="24"/>
        </w:rPr>
        <w:t xml:space="preserve">É um </w:t>
      </w:r>
      <w:r w:rsidR="00496CB2" w:rsidRPr="000F33E8">
        <w:rPr>
          <w:rFonts w:ascii="Garamond" w:hAnsi="Garamond" w:cs="Arial"/>
          <w:color w:val="000000"/>
          <w:sz w:val="24"/>
          <w:szCs w:val="24"/>
        </w:rPr>
        <w:t xml:space="preserve">Programa da </w:t>
      </w:r>
      <w:r w:rsidR="00D75A07" w:rsidRPr="000F33E8">
        <w:rPr>
          <w:rFonts w:ascii="Garamond" w:hAnsi="Garamond" w:cs="Arial"/>
          <w:color w:val="000000"/>
          <w:sz w:val="24"/>
          <w:szCs w:val="24"/>
        </w:rPr>
        <w:t>Secretaria</w:t>
      </w:r>
      <w:r w:rsidR="00496CB2" w:rsidRPr="000F33E8">
        <w:rPr>
          <w:rFonts w:ascii="Garamond" w:hAnsi="Garamond" w:cs="Arial"/>
          <w:color w:val="000000"/>
          <w:sz w:val="24"/>
          <w:szCs w:val="24"/>
        </w:rPr>
        <w:t xml:space="preserve"> Auxiliar de </w:t>
      </w:r>
      <w:r w:rsidR="002F5CD1" w:rsidRPr="000F33E8">
        <w:rPr>
          <w:rFonts w:ascii="Garamond" w:hAnsi="Garamond" w:cs="Arial"/>
          <w:color w:val="000000"/>
          <w:sz w:val="24"/>
          <w:szCs w:val="24"/>
        </w:rPr>
        <w:t>Promoção</w:t>
      </w:r>
      <w:r w:rsidR="00496CB2" w:rsidRPr="000F33E8">
        <w:rPr>
          <w:rFonts w:ascii="Garamond" w:hAnsi="Garamond" w:cs="Arial"/>
          <w:color w:val="000000"/>
          <w:sz w:val="24"/>
          <w:szCs w:val="24"/>
        </w:rPr>
        <w:t xml:space="preserve"> </w:t>
      </w:r>
      <w:r w:rsidR="000672E8" w:rsidRPr="000F33E8">
        <w:rPr>
          <w:rFonts w:ascii="Garamond" w:hAnsi="Garamond" w:cs="Arial"/>
          <w:color w:val="000000"/>
          <w:sz w:val="24"/>
          <w:szCs w:val="24"/>
        </w:rPr>
        <w:t>e</w:t>
      </w:r>
      <w:r w:rsidR="00496CB2" w:rsidRPr="000F33E8">
        <w:rPr>
          <w:rFonts w:ascii="Garamond" w:hAnsi="Garamond" w:cs="Arial"/>
          <w:color w:val="000000"/>
          <w:sz w:val="24"/>
          <w:szCs w:val="24"/>
        </w:rPr>
        <w:t xml:space="preserve"> </w:t>
      </w:r>
      <w:r w:rsidR="00886D6A" w:rsidRPr="000F33E8">
        <w:rPr>
          <w:rFonts w:ascii="Garamond" w:hAnsi="Garamond" w:cs="Arial"/>
          <w:color w:val="000000"/>
          <w:sz w:val="24"/>
          <w:szCs w:val="24"/>
        </w:rPr>
        <w:t>Proteção</w:t>
      </w:r>
      <w:r w:rsidR="00496CB2" w:rsidRPr="000F33E8">
        <w:rPr>
          <w:rFonts w:ascii="Garamond" w:hAnsi="Garamond" w:cs="Arial"/>
          <w:color w:val="000000"/>
          <w:sz w:val="24"/>
          <w:szCs w:val="24"/>
        </w:rPr>
        <w:t xml:space="preserve"> da </w:t>
      </w:r>
      <w:r w:rsidR="007C63D0" w:rsidRPr="000F33E8">
        <w:rPr>
          <w:rFonts w:ascii="Garamond" w:hAnsi="Garamond" w:cs="Arial"/>
          <w:color w:val="000000"/>
          <w:sz w:val="24"/>
          <w:szCs w:val="24"/>
        </w:rPr>
        <w:t>Saúde</w:t>
      </w:r>
      <w:r w:rsidR="007D1CB7" w:rsidRPr="000F33E8">
        <w:rPr>
          <w:rFonts w:ascii="Garamond" w:hAnsi="Garamond" w:cs="Arial"/>
          <w:color w:val="000000"/>
          <w:sz w:val="24"/>
          <w:szCs w:val="24"/>
        </w:rPr>
        <w:t xml:space="preserve"> que</w:t>
      </w:r>
      <w:r w:rsidR="00496CB2" w:rsidRPr="000F33E8">
        <w:rPr>
          <w:rFonts w:ascii="Garamond" w:hAnsi="Garamond" w:cs="Arial"/>
          <w:color w:val="000000"/>
          <w:sz w:val="24"/>
          <w:szCs w:val="24"/>
        </w:rPr>
        <w:t xml:space="preserve"> </w:t>
      </w:r>
      <w:r w:rsidR="007A2492" w:rsidRPr="000F33E8">
        <w:rPr>
          <w:rFonts w:ascii="Garamond" w:hAnsi="Garamond" w:cs="Arial"/>
          <w:color w:val="000000"/>
          <w:sz w:val="24"/>
          <w:szCs w:val="24"/>
        </w:rPr>
        <w:t>tem</w:t>
      </w:r>
      <w:r w:rsidR="00496CB2" w:rsidRPr="000F33E8">
        <w:rPr>
          <w:rFonts w:ascii="Garamond" w:hAnsi="Garamond" w:cs="Arial"/>
          <w:color w:val="000000"/>
          <w:sz w:val="24"/>
          <w:szCs w:val="24"/>
        </w:rPr>
        <w:t xml:space="preserve"> </w:t>
      </w:r>
      <w:r w:rsidR="001B47E3" w:rsidRPr="000F33E8">
        <w:rPr>
          <w:rFonts w:ascii="Garamond" w:hAnsi="Garamond" w:cs="Arial"/>
          <w:color w:val="000000"/>
          <w:sz w:val="24"/>
          <w:szCs w:val="24"/>
        </w:rPr>
        <w:t>origem</w:t>
      </w:r>
      <w:r w:rsidRPr="000F33E8">
        <w:rPr>
          <w:rFonts w:ascii="Garamond" w:hAnsi="Garamond" w:cs="Arial"/>
          <w:color w:val="000000"/>
          <w:sz w:val="24"/>
          <w:szCs w:val="24"/>
        </w:rPr>
        <w:t xml:space="preserve"> n</w:t>
      </w:r>
      <w:r w:rsidR="00496CB2" w:rsidRPr="000F33E8">
        <w:rPr>
          <w:rFonts w:ascii="Garamond" w:hAnsi="Garamond" w:cs="Arial"/>
          <w:color w:val="000000"/>
          <w:sz w:val="24"/>
          <w:szCs w:val="24"/>
        </w:rPr>
        <w:t xml:space="preserve">a </w:t>
      </w:r>
      <w:r w:rsidR="003F012B" w:rsidRPr="000F33E8">
        <w:rPr>
          <w:rFonts w:ascii="Garamond" w:hAnsi="Garamond" w:cs="Arial"/>
          <w:color w:val="000000"/>
          <w:sz w:val="24"/>
          <w:szCs w:val="24"/>
        </w:rPr>
        <w:t>Resolução</w:t>
      </w:r>
      <w:r w:rsidR="00496CB2" w:rsidRPr="000F33E8">
        <w:rPr>
          <w:rFonts w:ascii="Garamond" w:hAnsi="Garamond" w:cs="Arial"/>
          <w:color w:val="000000"/>
          <w:sz w:val="24"/>
          <w:szCs w:val="24"/>
        </w:rPr>
        <w:t xml:space="preserve"> Conjunta </w:t>
      </w:r>
      <w:r w:rsidR="00E85E59" w:rsidRPr="000F33E8">
        <w:rPr>
          <w:rFonts w:ascii="Garamond" w:hAnsi="Garamond" w:cs="Arial"/>
          <w:color w:val="000000"/>
          <w:sz w:val="24"/>
          <w:szCs w:val="24"/>
        </w:rPr>
        <w:t>do</w:t>
      </w:r>
      <w:r w:rsidR="00496CB2" w:rsidRPr="000F33E8">
        <w:rPr>
          <w:rFonts w:ascii="Garamond" w:hAnsi="Garamond" w:cs="Arial"/>
          <w:color w:val="000000"/>
          <w:sz w:val="24"/>
          <w:szCs w:val="24"/>
        </w:rPr>
        <w:t xml:space="preserve"> Honor</w:t>
      </w:r>
      <w:r w:rsidRPr="000F33E8">
        <w:rPr>
          <w:rFonts w:ascii="Garamond" w:hAnsi="Garamond" w:cs="Arial"/>
          <w:color w:val="000000"/>
          <w:sz w:val="24"/>
          <w:szCs w:val="24"/>
        </w:rPr>
        <w:t xml:space="preserve">ável </w:t>
      </w:r>
      <w:r w:rsidR="00496CB2" w:rsidRPr="000F33E8">
        <w:rPr>
          <w:rFonts w:ascii="Garamond" w:hAnsi="Garamond" w:cs="Arial"/>
          <w:color w:val="000000"/>
          <w:sz w:val="24"/>
          <w:szCs w:val="24"/>
        </w:rPr>
        <w:t xml:space="preserve">Senado de </w:t>
      </w:r>
      <w:r w:rsidR="0017447A" w:rsidRPr="000F33E8">
        <w:rPr>
          <w:rFonts w:ascii="Garamond" w:hAnsi="Garamond" w:cs="Arial"/>
          <w:color w:val="000000"/>
          <w:sz w:val="24"/>
          <w:szCs w:val="24"/>
        </w:rPr>
        <w:t>Porto</w:t>
      </w:r>
      <w:r w:rsidR="00496CB2" w:rsidRPr="000F33E8">
        <w:rPr>
          <w:rFonts w:ascii="Garamond" w:hAnsi="Garamond" w:cs="Arial"/>
          <w:color w:val="000000"/>
          <w:sz w:val="24"/>
          <w:szCs w:val="24"/>
        </w:rPr>
        <w:t xml:space="preserve"> Rico # 2471</w:t>
      </w:r>
      <w:r w:rsidR="00B67D2F" w:rsidRPr="000F33E8">
        <w:rPr>
          <w:rFonts w:ascii="Garamond" w:hAnsi="Garamond" w:cs="Arial"/>
          <w:color w:val="000000"/>
          <w:sz w:val="24"/>
          <w:szCs w:val="24"/>
        </w:rPr>
        <w:t>,</w:t>
      </w:r>
      <w:r w:rsidR="00496CB2" w:rsidRPr="000F33E8">
        <w:rPr>
          <w:rFonts w:ascii="Garamond" w:hAnsi="Garamond" w:cs="Arial"/>
          <w:color w:val="000000"/>
          <w:sz w:val="24"/>
          <w:szCs w:val="24"/>
        </w:rPr>
        <w:t xml:space="preserve"> de 30 de </w:t>
      </w:r>
      <w:r w:rsidR="00D2560E" w:rsidRPr="000F33E8">
        <w:rPr>
          <w:rFonts w:ascii="Garamond" w:hAnsi="Garamond" w:cs="Arial"/>
          <w:color w:val="000000"/>
          <w:sz w:val="24"/>
          <w:szCs w:val="24"/>
        </w:rPr>
        <w:t>maio</w:t>
      </w:r>
      <w:r w:rsidRPr="000F33E8">
        <w:rPr>
          <w:rFonts w:ascii="Garamond" w:hAnsi="Garamond" w:cs="Arial"/>
          <w:color w:val="000000"/>
          <w:sz w:val="24"/>
          <w:szCs w:val="24"/>
        </w:rPr>
        <w:t xml:space="preserve"> de 1976, </w:t>
      </w:r>
      <w:r w:rsidR="007D1CB7" w:rsidRPr="000F33E8">
        <w:rPr>
          <w:rFonts w:ascii="Garamond" w:hAnsi="Garamond" w:cs="Arial"/>
          <w:color w:val="000000"/>
          <w:sz w:val="24"/>
          <w:szCs w:val="24"/>
        </w:rPr>
        <w:t>o</w:t>
      </w:r>
      <w:r w:rsidRPr="000F33E8">
        <w:rPr>
          <w:rFonts w:ascii="Garamond" w:hAnsi="Garamond" w:cs="Arial"/>
          <w:color w:val="000000"/>
          <w:sz w:val="24"/>
          <w:szCs w:val="24"/>
        </w:rPr>
        <w:t xml:space="preserve"> qual </w:t>
      </w:r>
      <w:r w:rsidR="00B67D2F" w:rsidRPr="000F33E8">
        <w:rPr>
          <w:rFonts w:ascii="Garamond" w:hAnsi="Garamond" w:cs="Arial"/>
          <w:color w:val="000000"/>
          <w:sz w:val="24"/>
          <w:szCs w:val="24"/>
        </w:rPr>
        <w:t xml:space="preserve">determina </w:t>
      </w:r>
      <w:r w:rsidR="00496CB2" w:rsidRPr="000F33E8">
        <w:rPr>
          <w:rFonts w:ascii="Garamond" w:hAnsi="Garamond" w:cs="Arial"/>
          <w:color w:val="000000"/>
          <w:sz w:val="24"/>
          <w:szCs w:val="24"/>
        </w:rPr>
        <w:t>a magnitud</w:t>
      </w:r>
      <w:r w:rsidRPr="000F33E8">
        <w:rPr>
          <w:rFonts w:ascii="Garamond" w:hAnsi="Garamond" w:cs="Arial"/>
          <w:color w:val="000000"/>
          <w:sz w:val="24"/>
          <w:szCs w:val="24"/>
        </w:rPr>
        <w:t>e</w:t>
      </w:r>
      <w:r w:rsidR="00496CB2" w:rsidRPr="000F33E8">
        <w:rPr>
          <w:rFonts w:ascii="Garamond" w:hAnsi="Garamond" w:cs="Arial"/>
          <w:color w:val="000000"/>
          <w:sz w:val="24"/>
          <w:szCs w:val="24"/>
        </w:rPr>
        <w:t xml:space="preserve"> </w:t>
      </w:r>
      <w:r w:rsidR="00E85E59" w:rsidRPr="000F33E8">
        <w:rPr>
          <w:rFonts w:ascii="Garamond" w:hAnsi="Garamond" w:cs="Arial"/>
          <w:color w:val="000000"/>
          <w:sz w:val="24"/>
          <w:szCs w:val="24"/>
        </w:rPr>
        <w:t>do</w:t>
      </w:r>
      <w:r w:rsidR="00496CB2" w:rsidRPr="000F33E8">
        <w:rPr>
          <w:rFonts w:ascii="Garamond" w:hAnsi="Garamond" w:cs="Arial"/>
          <w:color w:val="000000"/>
          <w:sz w:val="24"/>
          <w:szCs w:val="24"/>
        </w:rPr>
        <w:t xml:space="preserve"> problema da </w:t>
      </w:r>
      <w:r w:rsidR="007342D9" w:rsidRPr="000F33E8">
        <w:rPr>
          <w:rFonts w:ascii="Garamond" w:hAnsi="Garamond" w:cs="Arial"/>
          <w:color w:val="000000"/>
          <w:sz w:val="24"/>
          <w:szCs w:val="24"/>
        </w:rPr>
        <w:t>violação</w:t>
      </w:r>
      <w:r w:rsidR="00496CB2" w:rsidRPr="000F33E8">
        <w:rPr>
          <w:rFonts w:ascii="Garamond" w:hAnsi="Garamond" w:cs="Arial"/>
          <w:color w:val="000000"/>
          <w:sz w:val="24"/>
          <w:szCs w:val="24"/>
        </w:rPr>
        <w:t xml:space="preserve"> e</w:t>
      </w:r>
      <w:r w:rsidRPr="000F33E8">
        <w:rPr>
          <w:rFonts w:ascii="Garamond" w:hAnsi="Garamond" w:cs="Arial"/>
          <w:color w:val="000000"/>
          <w:sz w:val="24"/>
          <w:szCs w:val="24"/>
        </w:rPr>
        <w:t>m</w:t>
      </w:r>
      <w:r w:rsidR="00496CB2" w:rsidRPr="000F33E8">
        <w:rPr>
          <w:rFonts w:ascii="Garamond" w:hAnsi="Garamond" w:cs="Arial"/>
          <w:color w:val="000000"/>
          <w:sz w:val="24"/>
          <w:szCs w:val="24"/>
        </w:rPr>
        <w:t xml:space="preserve"> </w:t>
      </w:r>
      <w:r w:rsidR="0017447A" w:rsidRPr="000F33E8">
        <w:rPr>
          <w:rFonts w:ascii="Garamond" w:hAnsi="Garamond" w:cs="Arial"/>
          <w:color w:val="000000"/>
          <w:sz w:val="24"/>
          <w:szCs w:val="24"/>
        </w:rPr>
        <w:t>Porto</w:t>
      </w:r>
      <w:r w:rsidR="00496CB2" w:rsidRPr="000F33E8">
        <w:rPr>
          <w:rFonts w:ascii="Garamond" w:hAnsi="Garamond" w:cs="Arial"/>
          <w:color w:val="000000"/>
          <w:sz w:val="24"/>
          <w:szCs w:val="24"/>
        </w:rPr>
        <w:t xml:space="preserve"> Rico, tanto </w:t>
      </w:r>
      <w:r w:rsidR="007D1CB7" w:rsidRPr="000F33E8">
        <w:rPr>
          <w:rFonts w:ascii="Garamond" w:hAnsi="Garamond" w:cs="Arial"/>
          <w:color w:val="000000"/>
          <w:sz w:val="24"/>
          <w:szCs w:val="24"/>
        </w:rPr>
        <w:t>d</w:t>
      </w:r>
      <w:r w:rsidRPr="000F33E8">
        <w:rPr>
          <w:rFonts w:ascii="Garamond" w:hAnsi="Garamond" w:cs="Arial"/>
          <w:color w:val="000000"/>
          <w:sz w:val="24"/>
          <w:szCs w:val="24"/>
        </w:rPr>
        <w:t xml:space="preserve">o </w:t>
      </w:r>
      <w:r w:rsidR="00B5431B" w:rsidRPr="000F33E8">
        <w:rPr>
          <w:rFonts w:ascii="Garamond" w:hAnsi="Garamond" w:cs="Arial"/>
          <w:color w:val="000000"/>
          <w:sz w:val="24"/>
          <w:szCs w:val="24"/>
        </w:rPr>
        <w:t>ponto</w:t>
      </w:r>
      <w:r w:rsidR="007D1CB7" w:rsidRPr="000F33E8">
        <w:rPr>
          <w:rFonts w:ascii="Garamond" w:hAnsi="Garamond" w:cs="Arial"/>
          <w:color w:val="000000"/>
          <w:sz w:val="24"/>
          <w:szCs w:val="24"/>
        </w:rPr>
        <w:t xml:space="preserve"> de vista </w:t>
      </w:r>
      <w:r w:rsidR="00496CB2" w:rsidRPr="000F33E8">
        <w:rPr>
          <w:rFonts w:ascii="Garamond" w:hAnsi="Garamond" w:cs="Arial"/>
          <w:color w:val="000000"/>
          <w:sz w:val="24"/>
          <w:szCs w:val="24"/>
        </w:rPr>
        <w:t>numérico</w:t>
      </w:r>
      <w:r w:rsidR="00B67D2F" w:rsidRPr="000F33E8">
        <w:rPr>
          <w:rFonts w:ascii="Garamond" w:hAnsi="Garamond" w:cs="Arial"/>
          <w:color w:val="000000"/>
          <w:sz w:val="24"/>
          <w:szCs w:val="24"/>
        </w:rPr>
        <w:t>,</w:t>
      </w:r>
      <w:r w:rsidR="00496CB2" w:rsidRPr="000F33E8">
        <w:rPr>
          <w:rFonts w:ascii="Garamond" w:hAnsi="Garamond" w:cs="Arial"/>
          <w:color w:val="000000"/>
          <w:sz w:val="24"/>
          <w:szCs w:val="24"/>
        </w:rPr>
        <w:t xml:space="preserve"> como </w:t>
      </w:r>
      <w:r w:rsidR="005C2020" w:rsidRPr="000F33E8">
        <w:rPr>
          <w:rFonts w:ascii="Garamond" w:hAnsi="Garamond" w:cs="Arial"/>
          <w:color w:val="000000"/>
          <w:sz w:val="24"/>
          <w:szCs w:val="24"/>
        </w:rPr>
        <w:t>pelo</w:t>
      </w:r>
      <w:r w:rsidR="00496CB2" w:rsidRPr="000F33E8">
        <w:rPr>
          <w:rFonts w:ascii="Garamond" w:hAnsi="Garamond" w:cs="Arial"/>
          <w:color w:val="000000"/>
          <w:sz w:val="24"/>
          <w:szCs w:val="24"/>
        </w:rPr>
        <w:t xml:space="preserve"> </w:t>
      </w:r>
      <w:r w:rsidR="001B02AD" w:rsidRPr="000F33E8">
        <w:rPr>
          <w:rFonts w:ascii="Garamond" w:hAnsi="Garamond" w:cs="Arial"/>
          <w:color w:val="000000"/>
          <w:sz w:val="24"/>
          <w:szCs w:val="24"/>
        </w:rPr>
        <w:t>sofrimento</w:t>
      </w:r>
      <w:r w:rsidR="00496CB2" w:rsidRPr="000F33E8">
        <w:rPr>
          <w:rFonts w:ascii="Garamond" w:hAnsi="Garamond" w:cs="Arial"/>
          <w:color w:val="000000"/>
          <w:sz w:val="24"/>
          <w:szCs w:val="24"/>
        </w:rPr>
        <w:t xml:space="preserve"> humano que </w:t>
      </w:r>
      <w:r w:rsidRPr="000F33E8">
        <w:rPr>
          <w:rFonts w:ascii="Garamond" w:hAnsi="Garamond" w:cs="Arial"/>
          <w:color w:val="000000"/>
          <w:sz w:val="24"/>
          <w:szCs w:val="24"/>
        </w:rPr>
        <w:t>origina</w:t>
      </w:r>
      <w:r w:rsidR="00496CB2" w:rsidRPr="000F33E8">
        <w:rPr>
          <w:rFonts w:ascii="Garamond" w:hAnsi="Garamond" w:cs="Arial"/>
          <w:color w:val="000000"/>
          <w:sz w:val="24"/>
          <w:szCs w:val="24"/>
        </w:rPr>
        <w:t xml:space="preserve">. </w:t>
      </w:r>
      <w:r w:rsidRPr="000F33E8">
        <w:rPr>
          <w:rFonts w:ascii="Garamond" w:hAnsi="Garamond" w:cs="Arial"/>
          <w:color w:val="000000"/>
          <w:sz w:val="24"/>
          <w:szCs w:val="24"/>
        </w:rPr>
        <w:t xml:space="preserve">O </w:t>
      </w:r>
      <w:r w:rsidR="00496CB2" w:rsidRPr="000F33E8">
        <w:rPr>
          <w:rFonts w:ascii="Garamond" w:hAnsi="Garamond" w:cs="Arial"/>
          <w:color w:val="000000"/>
          <w:sz w:val="24"/>
          <w:szCs w:val="24"/>
        </w:rPr>
        <w:t xml:space="preserve">CAVV </w:t>
      </w:r>
      <w:r w:rsidR="00B67D2F" w:rsidRPr="000F33E8">
        <w:rPr>
          <w:rFonts w:ascii="Garamond" w:hAnsi="Garamond" w:cs="Arial"/>
          <w:color w:val="000000"/>
          <w:sz w:val="24"/>
          <w:szCs w:val="24"/>
        </w:rPr>
        <w:t xml:space="preserve">dispõe da </w:t>
      </w:r>
      <w:r w:rsidR="00AB6522" w:rsidRPr="000F33E8">
        <w:rPr>
          <w:rFonts w:ascii="Garamond" w:hAnsi="Garamond" w:cs="Arial"/>
          <w:color w:val="000000"/>
          <w:sz w:val="24"/>
          <w:szCs w:val="24"/>
        </w:rPr>
        <w:t>utilização</w:t>
      </w:r>
      <w:r w:rsidR="00496CB2" w:rsidRPr="000F33E8">
        <w:rPr>
          <w:rFonts w:ascii="Garamond" w:hAnsi="Garamond" w:cs="Arial"/>
          <w:color w:val="000000"/>
          <w:sz w:val="24"/>
          <w:szCs w:val="24"/>
        </w:rPr>
        <w:t xml:space="preserve"> de </w:t>
      </w:r>
      <w:r w:rsidR="00E560D8" w:rsidRPr="000F33E8">
        <w:rPr>
          <w:rFonts w:ascii="Garamond" w:hAnsi="Garamond" w:cs="Arial"/>
          <w:color w:val="000000"/>
          <w:sz w:val="24"/>
          <w:szCs w:val="24"/>
        </w:rPr>
        <w:t>fundo</w:t>
      </w:r>
      <w:r w:rsidR="00496CB2" w:rsidRPr="000F33E8">
        <w:rPr>
          <w:rFonts w:ascii="Garamond" w:hAnsi="Garamond" w:cs="Arial"/>
          <w:color w:val="000000"/>
          <w:sz w:val="24"/>
          <w:szCs w:val="24"/>
        </w:rPr>
        <w:t xml:space="preserve">s públicos para prevenir, dar </w:t>
      </w:r>
      <w:r w:rsidR="001C2738" w:rsidRPr="000F33E8">
        <w:rPr>
          <w:rFonts w:ascii="Garamond" w:hAnsi="Garamond" w:cs="Arial"/>
          <w:color w:val="000000"/>
          <w:sz w:val="24"/>
          <w:szCs w:val="24"/>
        </w:rPr>
        <w:t>tratamento</w:t>
      </w:r>
      <w:r w:rsidR="00496CB2" w:rsidRPr="000F33E8">
        <w:rPr>
          <w:rFonts w:ascii="Garamond" w:hAnsi="Garamond" w:cs="Arial"/>
          <w:color w:val="000000"/>
          <w:sz w:val="24"/>
          <w:szCs w:val="24"/>
        </w:rPr>
        <w:t xml:space="preserve"> </w:t>
      </w:r>
      <w:r w:rsidR="000672E8" w:rsidRPr="000F33E8">
        <w:rPr>
          <w:rFonts w:ascii="Garamond" w:hAnsi="Garamond" w:cs="Arial"/>
          <w:color w:val="000000"/>
          <w:sz w:val="24"/>
          <w:szCs w:val="24"/>
        </w:rPr>
        <w:t>e</w:t>
      </w:r>
      <w:r w:rsidRPr="000F33E8">
        <w:rPr>
          <w:rFonts w:ascii="Garamond" w:hAnsi="Garamond" w:cs="Arial"/>
          <w:color w:val="000000"/>
          <w:sz w:val="24"/>
          <w:szCs w:val="24"/>
        </w:rPr>
        <w:t xml:space="preserve"> re</w:t>
      </w:r>
      <w:r w:rsidR="00496CB2" w:rsidRPr="000F33E8">
        <w:rPr>
          <w:rFonts w:ascii="Garamond" w:hAnsi="Garamond" w:cs="Arial"/>
          <w:color w:val="000000"/>
          <w:sz w:val="24"/>
          <w:szCs w:val="24"/>
        </w:rPr>
        <w:t xml:space="preserve">abilitar as </w:t>
      </w:r>
      <w:r w:rsidR="003F012B" w:rsidRPr="000F33E8">
        <w:rPr>
          <w:rFonts w:ascii="Garamond" w:hAnsi="Garamond" w:cs="Arial"/>
          <w:color w:val="000000"/>
          <w:sz w:val="24"/>
          <w:szCs w:val="24"/>
        </w:rPr>
        <w:t>vítima</w:t>
      </w:r>
      <w:r w:rsidRPr="000F33E8">
        <w:rPr>
          <w:rFonts w:ascii="Garamond" w:hAnsi="Garamond" w:cs="Arial"/>
          <w:color w:val="000000"/>
          <w:sz w:val="24"/>
          <w:szCs w:val="24"/>
        </w:rPr>
        <w:t>s d</w:t>
      </w:r>
      <w:r w:rsidR="00496CB2" w:rsidRPr="000F33E8">
        <w:rPr>
          <w:rFonts w:ascii="Garamond" w:hAnsi="Garamond" w:cs="Arial"/>
          <w:color w:val="000000"/>
          <w:sz w:val="24"/>
          <w:szCs w:val="24"/>
        </w:rPr>
        <w:t>este crime.</w:t>
      </w:r>
      <w:r w:rsidR="008A1D51" w:rsidRPr="003A1174">
        <w:rPr>
          <w:rFonts w:ascii="Garamond" w:hAnsi="Garamond" w:cs="Arial"/>
          <w:color w:val="000000"/>
          <w:sz w:val="24"/>
          <w:szCs w:val="24"/>
        </w:rPr>
        <w:t xml:space="preserve"> </w:t>
      </w:r>
    </w:p>
    <w:p w:rsidR="008A1D51" w:rsidRPr="003A1174" w:rsidRDefault="006B56D7" w:rsidP="008719D4">
      <w:pPr>
        <w:autoSpaceDE w:val="0"/>
        <w:autoSpaceDN w:val="0"/>
        <w:adjustRightInd w:val="0"/>
        <w:spacing w:before="240" w:after="0" w:line="240" w:lineRule="auto"/>
        <w:jc w:val="both"/>
        <w:rPr>
          <w:rFonts w:ascii="Garamond" w:hAnsi="Garamond" w:cs="Arial"/>
          <w:b/>
          <w:bCs/>
          <w:sz w:val="24"/>
          <w:szCs w:val="24"/>
        </w:rPr>
      </w:pPr>
      <w:r w:rsidRPr="003A1174">
        <w:rPr>
          <w:rFonts w:ascii="Garamond" w:hAnsi="Garamond" w:cs="Arial"/>
          <w:sz w:val="24"/>
          <w:szCs w:val="24"/>
        </w:rPr>
        <w:t xml:space="preserve">A </w:t>
      </w:r>
      <w:r w:rsidR="00496CB2" w:rsidRPr="003A1174">
        <w:rPr>
          <w:rFonts w:ascii="Garamond" w:hAnsi="Garamond" w:cs="Arial"/>
          <w:bCs/>
          <w:sz w:val="24"/>
          <w:szCs w:val="24"/>
        </w:rPr>
        <w:t>Unidad</w:t>
      </w:r>
      <w:r w:rsidRPr="003A1174">
        <w:rPr>
          <w:rFonts w:ascii="Garamond" w:hAnsi="Garamond" w:cs="Arial"/>
          <w:bCs/>
          <w:sz w:val="24"/>
          <w:szCs w:val="24"/>
        </w:rPr>
        <w:t>e</w:t>
      </w:r>
      <w:r w:rsidR="00496CB2" w:rsidRPr="003A1174">
        <w:rPr>
          <w:rFonts w:ascii="Garamond" w:hAnsi="Garamond" w:cs="Arial"/>
          <w:bCs/>
          <w:sz w:val="24"/>
          <w:szCs w:val="24"/>
        </w:rPr>
        <w:t xml:space="preserve"> de </w:t>
      </w:r>
      <w:r w:rsidR="00190B59" w:rsidRPr="003A1174">
        <w:rPr>
          <w:rFonts w:ascii="Garamond" w:hAnsi="Garamond" w:cs="Arial"/>
          <w:bCs/>
          <w:sz w:val="24"/>
          <w:szCs w:val="24"/>
        </w:rPr>
        <w:t>Estatísticas</w:t>
      </w:r>
      <w:r w:rsidR="00496CB2" w:rsidRPr="003A1174">
        <w:rPr>
          <w:rFonts w:ascii="Garamond" w:hAnsi="Garamond" w:cs="Arial"/>
          <w:bCs/>
          <w:sz w:val="24"/>
          <w:szCs w:val="24"/>
        </w:rPr>
        <w:t xml:space="preserve"> e </w:t>
      </w:r>
      <w:r w:rsidR="00886D6A" w:rsidRPr="003A1174">
        <w:rPr>
          <w:rFonts w:ascii="Garamond" w:hAnsi="Garamond" w:cs="Arial"/>
          <w:bCs/>
          <w:sz w:val="24"/>
          <w:szCs w:val="24"/>
        </w:rPr>
        <w:t>Investigação</w:t>
      </w:r>
      <w:r w:rsidR="00496CB2" w:rsidRPr="003A1174">
        <w:rPr>
          <w:rFonts w:ascii="Garamond" w:hAnsi="Garamond" w:cs="Arial"/>
          <w:b/>
          <w:bCs/>
          <w:sz w:val="24"/>
          <w:szCs w:val="24"/>
        </w:rPr>
        <w:t xml:space="preserve"> </w:t>
      </w:r>
      <w:r w:rsidRPr="000F33E8">
        <w:rPr>
          <w:rFonts w:ascii="Garamond" w:hAnsi="Garamond" w:cs="Arial"/>
          <w:bCs/>
          <w:sz w:val="24"/>
          <w:szCs w:val="24"/>
        </w:rPr>
        <w:t>é</w:t>
      </w:r>
      <w:r w:rsidRPr="003A1174">
        <w:rPr>
          <w:rFonts w:ascii="Garamond" w:hAnsi="Garamond" w:cs="Arial"/>
          <w:b/>
          <w:bCs/>
          <w:sz w:val="24"/>
          <w:szCs w:val="24"/>
        </w:rPr>
        <w:t xml:space="preserve"> </w:t>
      </w:r>
      <w:r w:rsidR="00496CB2" w:rsidRPr="003A1174">
        <w:rPr>
          <w:rFonts w:ascii="Garamond" w:hAnsi="Garamond" w:cs="Arial"/>
          <w:sz w:val="24"/>
          <w:szCs w:val="24"/>
        </w:rPr>
        <w:t xml:space="preserve">a </w:t>
      </w:r>
      <w:r w:rsidR="000F33E8">
        <w:rPr>
          <w:rFonts w:ascii="Garamond" w:hAnsi="Garamond" w:cs="Arial"/>
          <w:sz w:val="24"/>
          <w:szCs w:val="24"/>
        </w:rPr>
        <w:t xml:space="preserve">responsável </w:t>
      </w:r>
      <w:r w:rsidRPr="003A1174">
        <w:rPr>
          <w:rFonts w:ascii="Garamond" w:hAnsi="Garamond" w:cs="Arial"/>
          <w:sz w:val="24"/>
          <w:szCs w:val="24"/>
        </w:rPr>
        <w:t xml:space="preserve">pela recolha </w:t>
      </w:r>
      <w:r w:rsidR="00497503" w:rsidRPr="003A1174">
        <w:rPr>
          <w:rFonts w:ascii="Garamond" w:hAnsi="Garamond" w:cs="Arial"/>
          <w:sz w:val="24"/>
          <w:szCs w:val="24"/>
        </w:rPr>
        <w:t>dos</w:t>
      </w:r>
      <w:r w:rsidR="00496CB2" w:rsidRPr="003A1174">
        <w:rPr>
          <w:rFonts w:ascii="Garamond" w:hAnsi="Garamond" w:cs="Arial"/>
          <w:sz w:val="24"/>
          <w:szCs w:val="24"/>
        </w:rPr>
        <w:t xml:space="preserve"> </w:t>
      </w:r>
      <w:r w:rsidR="00EE7406" w:rsidRPr="003A1174">
        <w:rPr>
          <w:rFonts w:ascii="Garamond" w:hAnsi="Garamond" w:cs="Arial"/>
          <w:sz w:val="24"/>
          <w:szCs w:val="24"/>
        </w:rPr>
        <w:t>dado</w:t>
      </w:r>
      <w:r w:rsidR="00496CB2" w:rsidRPr="003A1174">
        <w:rPr>
          <w:rFonts w:ascii="Garamond" w:hAnsi="Garamond" w:cs="Arial"/>
          <w:sz w:val="24"/>
          <w:szCs w:val="24"/>
        </w:rPr>
        <w:t>s de tod</w:t>
      </w:r>
      <w:r w:rsidR="000F33E8">
        <w:rPr>
          <w:rFonts w:ascii="Garamond" w:hAnsi="Garamond" w:cs="Arial"/>
          <w:sz w:val="24"/>
          <w:szCs w:val="24"/>
        </w:rPr>
        <w:t>o</w:t>
      </w:r>
      <w:r w:rsidR="00496CB2" w:rsidRPr="003A1174">
        <w:rPr>
          <w:rFonts w:ascii="Garamond" w:hAnsi="Garamond" w:cs="Arial"/>
          <w:sz w:val="24"/>
          <w:szCs w:val="24"/>
        </w:rPr>
        <w:t xml:space="preserve">s </w:t>
      </w:r>
      <w:r w:rsidRPr="003A1174">
        <w:rPr>
          <w:rFonts w:ascii="Garamond" w:hAnsi="Garamond" w:cs="Arial"/>
          <w:sz w:val="24"/>
          <w:szCs w:val="24"/>
        </w:rPr>
        <w:t>o</w:t>
      </w:r>
      <w:r w:rsidR="00496CB2" w:rsidRPr="003A1174">
        <w:rPr>
          <w:rFonts w:ascii="Garamond" w:hAnsi="Garamond" w:cs="Arial"/>
          <w:sz w:val="24"/>
          <w:szCs w:val="24"/>
        </w:rPr>
        <w:t xml:space="preserve">s </w:t>
      </w:r>
      <w:r w:rsidR="00C246B4" w:rsidRPr="003A1174">
        <w:rPr>
          <w:rFonts w:ascii="Garamond" w:hAnsi="Garamond" w:cs="Arial"/>
          <w:sz w:val="24"/>
          <w:szCs w:val="24"/>
        </w:rPr>
        <w:t>gabinete</w:t>
      </w:r>
      <w:r w:rsidR="00496CB2" w:rsidRPr="003A1174">
        <w:rPr>
          <w:rFonts w:ascii="Garamond" w:hAnsi="Garamond" w:cs="Arial"/>
          <w:sz w:val="24"/>
          <w:szCs w:val="24"/>
        </w:rPr>
        <w:t xml:space="preserve">s </w:t>
      </w:r>
      <w:r w:rsidR="00E85E59" w:rsidRPr="003A1174">
        <w:rPr>
          <w:rFonts w:ascii="Garamond" w:hAnsi="Garamond" w:cs="Arial"/>
          <w:sz w:val="24"/>
          <w:szCs w:val="24"/>
        </w:rPr>
        <w:t>do</w:t>
      </w:r>
      <w:r w:rsidR="00496CB2" w:rsidRPr="003A1174">
        <w:rPr>
          <w:rFonts w:ascii="Garamond" w:hAnsi="Garamond" w:cs="Arial"/>
          <w:sz w:val="24"/>
          <w:szCs w:val="24"/>
        </w:rPr>
        <w:t xml:space="preserve"> CAVV. </w:t>
      </w:r>
      <w:r w:rsidRPr="003A1174">
        <w:rPr>
          <w:rFonts w:ascii="Garamond" w:hAnsi="Garamond" w:cs="Arial"/>
          <w:sz w:val="24"/>
          <w:szCs w:val="24"/>
        </w:rPr>
        <w:t xml:space="preserve">Reúne, além disso, </w:t>
      </w:r>
      <w:r w:rsidR="00EE7406" w:rsidRPr="003A1174">
        <w:rPr>
          <w:rFonts w:ascii="Garamond" w:hAnsi="Garamond" w:cs="Arial"/>
          <w:sz w:val="24"/>
          <w:szCs w:val="24"/>
        </w:rPr>
        <w:t>dado</w:t>
      </w:r>
      <w:r w:rsidR="00496CB2" w:rsidRPr="003A1174">
        <w:rPr>
          <w:rFonts w:ascii="Garamond" w:hAnsi="Garamond" w:cs="Arial"/>
          <w:sz w:val="24"/>
          <w:szCs w:val="24"/>
        </w:rPr>
        <w:t xml:space="preserve">s </w:t>
      </w:r>
      <w:r w:rsidR="00D37CF3" w:rsidRPr="003A1174">
        <w:rPr>
          <w:rFonts w:ascii="Garamond" w:hAnsi="Garamond" w:cs="Arial"/>
          <w:sz w:val="24"/>
          <w:szCs w:val="24"/>
        </w:rPr>
        <w:t>estatísticos</w:t>
      </w:r>
      <w:r w:rsidR="00496CB2" w:rsidRPr="003A1174">
        <w:rPr>
          <w:rFonts w:ascii="Garamond" w:hAnsi="Garamond" w:cs="Arial"/>
          <w:sz w:val="24"/>
          <w:szCs w:val="24"/>
        </w:rPr>
        <w:t xml:space="preserve"> </w:t>
      </w:r>
      <w:r w:rsidR="00497503" w:rsidRPr="003A1174">
        <w:rPr>
          <w:rFonts w:ascii="Garamond" w:hAnsi="Garamond" w:cs="Arial"/>
          <w:sz w:val="24"/>
          <w:szCs w:val="24"/>
        </w:rPr>
        <w:t>das</w:t>
      </w:r>
      <w:r w:rsidR="00496CB2" w:rsidRPr="003A1174">
        <w:rPr>
          <w:rFonts w:ascii="Garamond" w:hAnsi="Garamond" w:cs="Arial"/>
          <w:sz w:val="24"/>
          <w:szCs w:val="24"/>
        </w:rPr>
        <w:t xml:space="preserve"> salas de </w:t>
      </w:r>
      <w:r w:rsidR="009E3E55" w:rsidRPr="003A1174">
        <w:rPr>
          <w:rFonts w:ascii="Garamond" w:hAnsi="Garamond" w:cs="Arial"/>
          <w:sz w:val="24"/>
          <w:szCs w:val="24"/>
        </w:rPr>
        <w:t>emergência</w:t>
      </w:r>
      <w:r w:rsidR="00496CB2" w:rsidRPr="003A1174">
        <w:rPr>
          <w:rFonts w:ascii="Garamond" w:hAnsi="Garamond" w:cs="Arial"/>
          <w:sz w:val="24"/>
          <w:szCs w:val="24"/>
        </w:rPr>
        <w:t xml:space="preserve"> </w:t>
      </w:r>
      <w:r w:rsidR="00497503" w:rsidRPr="003A1174">
        <w:rPr>
          <w:rFonts w:ascii="Garamond" w:hAnsi="Garamond" w:cs="Arial"/>
          <w:sz w:val="24"/>
          <w:szCs w:val="24"/>
        </w:rPr>
        <w:t>dos</w:t>
      </w:r>
      <w:r w:rsidR="00496CB2" w:rsidRPr="003A1174">
        <w:rPr>
          <w:rFonts w:ascii="Garamond" w:hAnsi="Garamond" w:cs="Arial"/>
          <w:sz w:val="24"/>
          <w:szCs w:val="24"/>
        </w:rPr>
        <w:t xml:space="preserve"> hospi</w:t>
      </w:r>
      <w:r w:rsidR="00A41573" w:rsidRPr="003A1174">
        <w:rPr>
          <w:rFonts w:ascii="Garamond" w:hAnsi="Garamond" w:cs="Arial"/>
          <w:sz w:val="24"/>
          <w:szCs w:val="24"/>
        </w:rPr>
        <w:t>tais</w:t>
      </w:r>
      <w:r w:rsidRPr="003A1174">
        <w:rPr>
          <w:rFonts w:ascii="Garamond" w:hAnsi="Garamond" w:cs="Arial"/>
          <w:sz w:val="24"/>
          <w:szCs w:val="24"/>
        </w:rPr>
        <w:t xml:space="preserve"> d</w:t>
      </w:r>
      <w:r w:rsidR="00496CB2" w:rsidRPr="003A1174">
        <w:rPr>
          <w:rFonts w:ascii="Garamond" w:hAnsi="Garamond" w:cs="Arial"/>
          <w:sz w:val="24"/>
          <w:szCs w:val="24"/>
        </w:rPr>
        <w:t>a I</w:t>
      </w:r>
      <w:r w:rsidRPr="003A1174">
        <w:rPr>
          <w:rFonts w:ascii="Garamond" w:hAnsi="Garamond" w:cs="Arial"/>
          <w:sz w:val="24"/>
          <w:szCs w:val="24"/>
        </w:rPr>
        <w:t xml:space="preserve">lha </w:t>
      </w:r>
      <w:r w:rsidR="000672E8" w:rsidRPr="003A1174">
        <w:rPr>
          <w:rFonts w:ascii="Garamond" w:hAnsi="Garamond" w:cs="Arial"/>
          <w:sz w:val="24"/>
          <w:szCs w:val="24"/>
        </w:rPr>
        <w:t>e</w:t>
      </w:r>
      <w:r w:rsidR="00496CB2" w:rsidRPr="003A1174">
        <w:rPr>
          <w:rFonts w:ascii="Garamond" w:hAnsi="Garamond" w:cs="Arial"/>
          <w:sz w:val="24"/>
          <w:szCs w:val="24"/>
        </w:rPr>
        <w:t xml:space="preserve"> de </w:t>
      </w:r>
      <w:r w:rsidR="0017447A" w:rsidRPr="003A1174">
        <w:rPr>
          <w:rFonts w:ascii="Garamond" w:hAnsi="Garamond" w:cs="Arial"/>
          <w:sz w:val="24"/>
          <w:szCs w:val="24"/>
        </w:rPr>
        <w:t>outras</w:t>
      </w:r>
      <w:r w:rsidR="00496CB2" w:rsidRPr="003A1174">
        <w:rPr>
          <w:rFonts w:ascii="Garamond" w:hAnsi="Garamond" w:cs="Arial"/>
          <w:sz w:val="24"/>
          <w:szCs w:val="24"/>
        </w:rPr>
        <w:t xml:space="preserve"> </w:t>
      </w:r>
      <w:r w:rsidR="00EC2E68" w:rsidRPr="003A1174">
        <w:rPr>
          <w:rFonts w:ascii="Garamond" w:hAnsi="Garamond" w:cs="Arial"/>
          <w:sz w:val="24"/>
          <w:szCs w:val="24"/>
        </w:rPr>
        <w:t>agência</w:t>
      </w:r>
      <w:r w:rsidR="00496CB2" w:rsidRPr="003A1174">
        <w:rPr>
          <w:rFonts w:ascii="Garamond" w:hAnsi="Garamond" w:cs="Arial"/>
          <w:sz w:val="24"/>
          <w:szCs w:val="24"/>
        </w:rPr>
        <w:t>s que interv</w:t>
      </w:r>
      <w:r w:rsidRPr="003A1174">
        <w:rPr>
          <w:rFonts w:ascii="Garamond" w:hAnsi="Garamond" w:cs="Arial"/>
          <w:sz w:val="24"/>
          <w:szCs w:val="24"/>
        </w:rPr>
        <w:t xml:space="preserve">êm </w:t>
      </w:r>
      <w:r w:rsidR="000F33E8">
        <w:rPr>
          <w:rFonts w:ascii="Garamond" w:hAnsi="Garamond" w:cs="Arial"/>
          <w:sz w:val="24"/>
          <w:szCs w:val="24"/>
        </w:rPr>
        <w:t>nos casos de</w:t>
      </w:r>
      <w:r w:rsidRPr="003A1174">
        <w:rPr>
          <w:rFonts w:ascii="Garamond" w:hAnsi="Garamond" w:cs="Arial"/>
          <w:sz w:val="24"/>
          <w:szCs w:val="24"/>
        </w:rPr>
        <w:t xml:space="preserve"> </w:t>
      </w:r>
      <w:r w:rsidR="000350B1" w:rsidRPr="003A1174">
        <w:rPr>
          <w:rFonts w:ascii="Garamond" w:hAnsi="Garamond" w:cs="Arial"/>
          <w:sz w:val="24"/>
          <w:szCs w:val="24"/>
        </w:rPr>
        <w:t>violência</w:t>
      </w:r>
      <w:r w:rsidR="00496CB2" w:rsidRPr="003A1174">
        <w:rPr>
          <w:rFonts w:ascii="Garamond" w:hAnsi="Garamond" w:cs="Arial"/>
          <w:sz w:val="24"/>
          <w:szCs w:val="24"/>
        </w:rPr>
        <w:t xml:space="preserve"> sexual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0350B1" w:rsidRPr="003A1174">
        <w:rPr>
          <w:rFonts w:ascii="Garamond" w:hAnsi="Garamond" w:cs="Arial"/>
          <w:sz w:val="24"/>
          <w:szCs w:val="24"/>
        </w:rPr>
        <w:t>violência</w:t>
      </w:r>
      <w:r w:rsidR="00496CB2" w:rsidRPr="003A1174">
        <w:rPr>
          <w:rFonts w:ascii="Garamond" w:hAnsi="Garamond" w:cs="Arial"/>
          <w:sz w:val="24"/>
          <w:szCs w:val="24"/>
        </w:rPr>
        <w:t xml:space="preserve"> doméstica. </w:t>
      </w:r>
      <w:r w:rsidRPr="003A1174">
        <w:rPr>
          <w:rFonts w:ascii="Garamond" w:hAnsi="Garamond" w:cs="Arial"/>
          <w:sz w:val="24"/>
          <w:szCs w:val="24"/>
        </w:rPr>
        <w:t xml:space="preserve">A </w:t>
      </w:r>
      <w:r w:rsidR="0017447A" w:rsidRPr="003A1174">
        <w:rPr>
          <w:rFonts w:ascii="Garamond" w:hAnsi="Garamond" w:cs="Arial"/>
          <w:sz w:val="24"/>
          <w:szCs w:val="24"/>
        </w:rPr>
        <w:t>informação</w:t>
      </w:r>
      <w:r w:rsidR="00496CB2" w:rsidRPr="003A1174">
        <w:rPr>
          <w:rFonts w:ascii="Garamond" w:hAnsi="Garamond" w:cs="Arial"/>
          <w:sz w:val="24"/>
          <w:szCs w:val="24"/>
        </w:rPr>
        <w:t xml:space="preserve"> </w:t>
      </w:r>
      <w:r w:rsidR="000F33E8">
        <w:rPr>
          <w:rFonts w:ascii="Garamond" w:hAnsi="Garamond" w:cs="Arial"/>
          <w:sz w:val="24"/>
          <w:szCs w:val="24"/>
        </w:rPr>
        <w:t xml:space="preserve">recolhida, através </w:t>
      </w:r>
      <w:r w:rsidRPr="003A1174">
        <w:rPr>
          <w:rFonts w:ascii="Garamond" w:hAnsi="Garamond" w:cs="Arial"/>
          <w:sz w:val="24"/>
          <w:szCs w:val="24"/>
        </w:rPr>
        <w:t xml:space="preserve">destes </w:t>
      </w:r>
      <w:r w:rsidR="00EE7406" w:rsidRPr="003A1174">
        <w:rPr>
          <w:rFonts w:ascii="Garamond" w:hAnsi="Garamond" w:cs="Arial"/>
          <w:sz w:val="24"/>
          <w:szCs w:val="24"/>
        </w:rPr>
        <w:t>dado</w:t>
      </w:r>
      <w:r w:rsidR="00496CB2" w:rsidRPr="003A1174">
        <w:rPr>
          <w:rFonts w:ascii="Garamond" w:hAnsi="Garamond" w:cs="Arial"/>
          <w:sz w:val="24"/>
          <w:szCs w:val="24"/>
        </w:rPr>
        <w:t>s</w:t>
      </w:r>
      <w:r w:rsidR="000F33E8">
        <w:rPr>
          <w:rFonts w:ascii="Garamond" w:hAnsi="Garamond" w:cs="Arial"/>
          <w:sz w:val="24"/>
          <w:szCs w:val="24"/>
        </w:rPr>
        <w:t>,</w:t>
      </w:r>
      <w:r w:rsidR="00496CB2" w:rsidRPr="003A1174">
        <w:rPr>
          <w:rFonts w:ascii="Garamond" w:hAnsi="Garamond" w:cs="Arial"/>
          <w:sz w:val="24"/>
          <w:szCs w:val="24"/>
        </w:rPr>
        <w:t xml:space="preserve"> </w:t>
      </w:r>
      <w:r w:rsidRPr="003A1174">
        <w:rPr>
          <w:rFonts w:ascii="Garamond" w:hAnsi="Garamond" w:cs="Arial"/>
          <w:sz w:val="24"/>
          <w:szCs w:val="24"/>
        </w:rPr>
        <w:t xml:space="preserve">é </w:t>
      </w:r>
      <w:r w:rsidR="00496CB2" w:rsidRPr="003A1174">
        <w:rPr>
          <w:rFonts w:ascii="Garamond" w:hAnsi="Garamond" w:cs="Arial"/>
          <w:sz w:val="24"/>
          <w:szCs w:val="24"/>
        </w:rPr>
        <w:t>de gran</w:t>
      </w:r>
      <w:r w:rsidRPr="003A1174">
        <w:rPr>
          <w:rFonts w:ascii="Garamond" w:hAnsi="Garamond" w:cs="Arial"/>
          <w:sz w:val="24"/>
          <w:szCs w:val="24"/>
        </w:rPr>
        <w:t>de</w:t>
      </w:r>
      <w:r w:rsidR="00496CB2" w:rsidRPr="003A1174">
        <w:rPr>
          <w:rFonts w:ascii="Garamond" w:hAnsi="Garamond" w:cs="Arial"/>
          <w:sz w:val="24"/>
          <w:szCs w:val="24"/>
        </w:rPr>
        <w:t xml:space="preserve"> </w:t>
      </w:r>
      <w:r w:rsidR="005D38DC" w:rsidRPr="003A1174">
        <w:rPr>
          <w:rFonts w:ascii="Garamond" w:hAnsi="Garamond" w:cs="Arial"/>
          <w:sz w:val="24"/>
          <w:szCs w:val="24"/>
        </w:rPr>
        <w:t>importância</w:t>
      </w:r>
      <w:r w:rsidR="00496CB2" w:rsidRPr="003A1174">
        <w:rPr>
          <w:rFonts w:ascii="Garamond" w:hAnsi="Garamond" w:cs="Arial"/>
          <w:sz w:val="24"/>
          <w:szCs w:val="24"/>
        </w:rPr>
        <w:t xml:space="preserve"> para </w:t>
      </w:r>
      <w:r w:rsidR="008651AF" w:rsidRPr="003A1174">
        <w:rPr>
          <w:rFonts w:ascii="Garamond" w:hAnsi="Garamond" w:cs="Arial"/>
          <w:sz w:val="24"/>
          <w:szCs w:val="24"/>
        </w:rPr>
        <w:t>avaliar</w:t>
      </w:r>
      <w:r w:rsidRPr="003A1174">
        <w:rPr>
          <w:rFonts w:ascii="Garamond" w:hAnsi="Garamond" w:cs="Arial"/>
          <w:sz w:val="24"/>
          <w:szCs w:val="24"/>
        </w:rPr>
        <w:t xml:space="preserve"> </w:t>
      </w:r>
      <w:r w:rsidR="00496CB2" w:rsidRPr="003A1174">
        <w:rPr>
          <w:rFonts w:ascii="Garamond" w:hAnsi="Garamond" w:cs="Arial"/>
          <w:sz w:val="24"/>
          <w:szCs w:val="24"/>
        </w:rPr>
        <w:t xml:space="preserve">os indicadores de </w:t>
      </w:r>
      <w:r w:rsidR="007C63D0" w:rsidRPr="003A1174">
        <w:rPr>
          <w:rFonts w:ascii="Garamond" w:hAnsi="Garamond" w:cs="Arial"/>
          <w:sz w:val="24"/>
          <w:szCs w:val="24"/>
        </w:rPr>
        <w:t>saúde</w:t>
      </w:r>
      <w:r w:rsidR="00496CB2" w:rsidRPr="003A1174">
        <w:rPr>
          <w:rFonts w:ascii="Garamond" w:hAnsi="Garamond" w:cs="Arial"/>
          <w:sz w:val="24"/>
          <w:szCs w:val="24"/>
        </w:rPr>
        <w:t xml:space="preserve"> (</w:t>
      </w:r>
      <w:r w:rsidR="000350B1" w:rsidRPr="003A1174">
        <w:rPr>
          <w:rFonts w:ascii="Garamond" w:hAnsi="Garamond" w:cs="Arial"/>
          <w:sz w:val="24"/>
          <w:szCs w:val="24"/>
        </w:rPr>
        <w:t>violência</w:t>
      </w:r>
      <w:r w:rsidR="00496CB2" w:rsidRPr="003A1174">
        <w:rPr>
          <w:rFonts w:ascii="Garamond" w:hAnsi="Garamond" w:cs="Arial"/>
          <w:sz w:val="24"/>
          <w:szCs w:val="24"/>
        </w:rPr>
        <w:t>)</w:t>
      </w:r>
      <w:r w:rsidR="004A3CD7" w:rsidRPr="003A1174">
        <w:rPr>
          <w:rFonts w:ascii="Garamond" w:hAnsi="Garamond" w:cs="Arial"/>
          <w:sz w:val="24"/>
          <w:szCs w:val="24"/>
        </w:rPr>
        <w:t>,</w:t>
      </w:r>
      <w:r w:rsidR="00496CB2" w:rsidRPr="003A1174">
        <w:rPr>
          <w:rFonts w:ascii="Garamond" w:hAnsi="Garamond" w:cs="Arial"/>
          <w:sz w:val="24"/>
          <w:szCs w:val="24"/>
        </w:rPr>
        <w:t xml:space="preserve"> </w:t>
      </w:r>
      <w:r w:rsidR="004A3CD7" w:rsidRPr="003A1174">
        <w:rPr>
          <w:rFonts w:ascii="Garamond" w:hAnsi="Garamond" w:cs="Arial"/>
          <w:sz w:val="24"/>
          <w:szCs w:val="24"/>
        </w:rPr>
        <w:t>a</w:t>
      </w:r>
      <w:r w:rsidRPr="003A1174">
        <w:rPr>
          <w:rFonts w:ascii="Garamond" w:hAnsi="Garamond" w:cs="Arial"/>
          <w:sz w:val="24"/>
          <w:szCs w:val="24"/>
        </w:rPr>
        <w:t xml:space="preserve">lém </w:t>
      </w:r>
      <w:r w:rsidR="00496CB2" w:rsidRPr="003A1174">
        <w:rPr>
          <w:rFonts w:ascii="Garamond" w:hAnsi="Garamond" w:cs="Arial"/>
          <w:sz w:val="24"/>
          <w:szCs w:val="24"/>
        </w:rPr>
        <w:t>de permit</w:t>
      </w:r>
      <w:r w:rsidRPr="003A1174">
        <w:rPr>
          <w:rFonts w:ascii="Garamond" w:hAnsi="Garamond" w:cs="Arial"/>
          <w:sz w:val="24"/>
          <w:szCs w:val="24"/>
        </w:rPr>
        <w:t xml:space="preserve">ir identificar </w:t>
      </w:r>
      <w:r w:rsidR="00496CB2" w:rsidRPr="003A1174">
        <w:rPr>
          <w:rFonts w:ascii="Garamond" w:hAnsi="Garamond" w:cs="Arial"/>
          <w:sz w:val="24"/>
          <w:szCs w:val="24"/>
        </w:rPr>
        <w:t xml:space="preserve">as </w:t>
      </w:r>
      <w:r w:rsidR="0091213A" w:rsidRPr="003A1174">
        <w:rPr>
          <w:rFonts w:ascii="Garamond" w:hAnsi="Garamond" w:cs="Arial"/>
          <w:sz w:val="24"/>
          <w:szCs w:val="24"/>
        </w:rPr>
        <w:t>populações</w:t>
      </w:r>
      <w:r w:rsidR="000F33E8">
        <w:rPr>
          <w:rFonts w:ascii="Garamond" w:hAnsi="Garamond" w:cs="Arial"/>
          <w:sz w:val="24"/>
          <w:szCs w:val="24"/>
        </w:rPr>
        <w:t xml:space="preserve"> de risco</w:t>
      </w:r>
      <w:r w:rsidR="00496CB2" w:rsidRPr="003A1174">
        <w:rPr>
          <w:rFonts w:ascii="Garamond" w:hAnsi="Garamond" w:cs="Arial"/>
          <w:sz w:val="24"/>
          <w:szCs w:val="24"/>
        </w:rPr>
        <w:t xml:space="preserve"> que nece</w:t>
      </w:r>
      <w:r w:rsidRPr="003A1174">
        <w:rPr>
          <w:rFonts w:ascii="Garamond" w:hAnsi="Garamond" w:cs="Arial"/>
          <w:sz w:val="24"/>
          <w:szCs w:val="24"/>
        </w:rPr>
        <w:t>s</w:t>
      </w:r>
      <w:r w:rsidR="00496CB2" w:rsidRPr="003A1174">
        <w:rPr>
          <w:rFonts w:ascii="Garamond" w:hAnsi="Garamond" w:cs="Arial"/>
          <w:sz w:val="24"/>
          <w:szCs w:val="24"/>
        </w:rPr>
        <w:t>sita</w:t>
      </w:r>
      <w:r w:rsidRPr="003A1174">
        <w:rPr>
          <w:rFonts w:ascii="Garamond" w:hAnsi="Garamond" w:cs="Arial"/>
          <w:sz w:val="24"/>
          <w:szCs w:val="24"/>
        </w:rPr>
        <w:t xml:space="preserve">m </w:t>
      </w:r>
      <w:r w:rsidR="000F33E8">
        <w:rPr>
          <w:rFonts w:ascii="Garamond" w:hAnsi="Garamond" w:cs="Arial"/>
          <w:sz w:val="24"/>
          <w:szCs w:val="24"/>
        </w:rPr>
        <w:t>d</w:t>
      </w:r>
      <w:r w:rsidR="00496CB2" w:rsidRPr="003A1174">
        <w:rPr>
          <w:rFonts w:ascii="Garamond" w:hAnsi="Garamond" w:cs="Arial"/>
          <w:sz w:val="24"/>
          <w:szCs w:val="24"/>
        </w:rPr>
        <w:t xml:space="preserve">os </w:t>
      </w:r>
      <w:r w:rsidR="00B531F2" w:rsidRPr="003A1174">
        <w:rPr>
          <w:rFonts w:ascii="Garamond" w:hAnsi="Garamond" w:cs="Arial"/>
          <w:sz w:val="24"/>
          <w:szCs w:val="24"/>
        </w:rPr>
        <w:t>serviço</w:t>
      </w:r>
      <w:r w:rsidR="00496CB2" w:rsidRPr="003A1174">
        <w:rPr>
          <w:rFonts w:ascii="Garamond" w:hAnsi="Garamond" w:cs="Arial"/>
          <w:sz w:val="24"/>
          <w:szCs w:val="24"/>
        </w:rPr>
        <w:t xml:space="preserve">s </w:t>
      </w:r>
      <w:r w:rsidR="000F33E8">
        <w:rPr>
          <w:rFonts w:ascii="Garamond" w:hAnsi="Garamond" w:cs="Arial"/>
          <w:sz w:val="24"/>
          <w:szCs w:val="24"/>
        </w:rPr>
        <w:t>de apoio.</w:t>
      </w:r>
      <w:r w:rsidR="008A1D51" w:rsidRPr="003A1174">
        <w:rPr>
          <w:rFonts w:ascii="Garamond" w:hAnsi="Garamond" w:cs="Arial"/>
          <w:sz w:val="24"/>
          <w:szCs w:val="24"/>
        </w:rPr>
        <w:t xml:space="preserve"> </w:t>
      </w:r>
    </w:p>
    <w:p w:rsidR="00496CB2" w:rsidRPr="003A1174" w:rsidRDefault="00D37CF3" w:rsidP="006B56D7">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O Gabinete da Procuradora das Mulheres reporta, através da Unidade de Estatísticas, que no seu Centro de Resposta Integrada de Apoio e Serviços para a Mulher (CRIAS), e LO atendem as múltiplas necessidades e problemáticas que as mulheres enfrentam em Porto Rico, representando </w:t>
      </w:r>
      <w:r w:rsidR="000F33E8">
        <w:rPr>
          <w:rFonts w:ascii="Garamond" w:hAnsi="Garamond" w:cs="Arial"/>
          <w:sz w:val="24"/>
          <w:szCs w:val="24"/>
        </w:rPr>
        <w:t xml:space="preserve">a medida </w:t>
      </w:r>
      <w:r w:rsidRPr="003A1174">
        <w:rPr>
          <w:rFonts w:ascii="Garamond" w:hAnsi="Garamond" w:cs="Arial"/>
          <w:sz w:val="24"/>
          <w:szCs w:val="24"/>
        </w:rPr>
        <w:t>de controlo mais efetiv</w:t>
      </w:r>
      <w:r w:rsidR="000F33E8">
        <w:rPr>
          <w:rFonts w:ascii="Garamond" w:hAnsi="Garamond" w:cs="Arial"/>
          <w:sz w:val="24"/>
          <w:szCs w:val="24"/>
        </w:rPr>
        <w:t>a</w:t>
      </w:r>
      <w:r w:rsidRPr="003A1174">
        <w:rPr>
          <w:rFonts w:ascii="Garamond" w:hAnsi="Garamond" w:cs="Arial"/>
          <w:sz w:val="24"/>
          <w:szCs w:val="24"/>
        </w:rPr>
        <w:t xml:space="preserve"> para conhecer a forma como as agências, municípios e outras entidades estão a lidar com as situações das mulheres. </w:t>
      </w:r>
    </w:p>
    <w:p w:rsidR="008A1D51" w:rsidRPr="003A1174" w:rsidRDefault="008A1D51" w:rsidP="008719D4">
      <w:pPr>
        <w:pStyle w:val="Ttulo4"/>
        <w:spacing w:line="240" w:lineRule="auto"/>
        <w:rPr>
          <w:rFonts w:ascii="Garamond" w:hAnsi="Garamond"/>
          <w:sz w:val="24"/>
          <w:szCs w:val="24"/>
        </w:rPr>
      </w:pPr>
      <w:r w:rsidRPr="003A1174">
        <w:rPr>
          <w:rFonts w:ascii="Garamond" w:hAnsi="Garamond"/>
          <w:sz w:val="24"/>
          <w:szCs w:val="24"/>
        </w:rPr>
        <w:t>Resum</w:t>
      </w:r>
      <w:r w:rsidR="006B56D7" w:rsidRPr="003A1174">
        <w:rPr>
          <w:rFonts w:ascii="Garamond" w:hAnsi="Garamond"/>
          <w:sz w:val="24"/>
          <w:szCs w:val="24"/>
        </w:rPr>
        <w:t>o</w:t>
      </w:r>
      <w:r w:rsidRPr="003A1174">
        <w:rPr>
          <w:rFonts w:ascii="Garamond" w:hAnsi="Garamond"/>
          <w:sz w:val="24"/>
          <w:szCs w:val="24"/>
        </w:rPr>
        <w:t xml:space="preserve"> de casos atendidos </w:t>
      </w:r>
    </w:p>
    <w:p w:rsidR="00496CB2" w:rsidRPr="003A1174" w:rsidRDefault="0074303F" w:rsidP="008719D4">
      <w:pPr>
        <w:spacing w:before="240" w:line="240" w:lineRule="auto"/>
        <w:jc w:val="both"/>
        <w:rPr>
          <w:rFonts w:ascii="Garamond" w:hAnsi="Garamond" w:cs="Arial"/>
          <w:sz w:val="24"/>
          <w:szCs w:val="24"/>
        </w:rPr>
      </w:pPr>
      <w:r w:rsidRPr="003A1174">
        <w:rPr>
          <w:rFonts w:ascii="Garamond" w:hAnsi="Garamond" w:cs="Arial"/>
          <w:sz w:val="24"/>
          <w:szCs w:val="24"/>
        </w:rPr>
        <w:t>D</w:t>
      </w:r>
      <w:r w:rsidR="006B56D7" w:rsidRPr="003A1174">
        <w:rPr>
          <w:rFonts w:ascii="Garamond" w:hAnsi="Garamond" w:cs="Arial"/>
          <w:sz w:val="24"/>
          <w:szCs w:val="24"/>
        </w:rPr>
        <w:t xml:space="preserve">urante </w:t>
      </w:r>
      <w:r w:rsidR="00496CB2" w:rsidRPr="003A1174">
        <w:rPr>
          <w:rFonts w:ascii="Garamond" w:hAnsi="Garamond" w:cs="Arial"/>
          <w:sz w:val="24"/>
          <w:szCs w:val="24"/>
        </w:rPr>
        <w:t xml:space="preserve">os meses de </w:t>
      </w:r>
      <w:r w:rsidR="00B936A7" w:rsidRPr="003A1174">
        <w:rPr>
          <w:rFonts w:ascii="Garamond" w:hAnsi="Garamond" w:cs="Arial"/>
          <w:iCs/>
          <w:sz w:val="24"/>
          <w:szCs w:val="24"/>
        </w:rPr>
        <w:t>janeiro</w:t>
      </w:r>
      <w:r w:rsidR="00496CB2" w:rsidRPr="003A1174">
        <w:rPr>
          <w:rFonts w:ascii="Garamond" w:hAnsi="Garamond" w:cs="Arial"/>
          <w:iCs/>
          <w:sz w:val="24"/>
          <w:szCs w:val="24"/>
        </w:rPr>
        <w:t xml:space="preserve"> a </w:t>
      </w:r>
      <w:r w:rsidR="00374785" w:rsidRPr="003A1174">
        <w:rPr>
          <w:rFonts w:ascii="Garamond" w:hAnsi="Garamond" w:cs="Arial"/>
          <w:iCs/>
          <w:sz w:val="24"/>
          <w:szCs w:val="24"/>
        </w:rPr>
        <w:t>outubro</w:t>
      </w:r>
      <w:r w:rsidR="00496CB2" w:rsidRPr="003A1174">
        <w:rPr>
          <w:rFonts w:ascii="Garamond" w:hAnsi="Garamond" w:cs="Arial"/>
          <w:iCs/>
          <w:sz w:val="24"/>
          <w:szCs w:val="24"/>
        </w:rPr>
        <w:t xml:space="preserve"> de 2014</w:t>
      </w:r>
      <w:r w:rsidR="000F33E8">
        <w:rPr>
          <w:rFonts w:ascii="Garamond" w:hAnsi="Garamond" w:cs="Arial"/>
          <w:iCs/>
          <w:sz w:val="24"/>
          <w:szCs w:val="24"/>
        </w:rPr>
        <w:t>,</w:t>
      </w:r>
      <w:r w:rsidR="00496CB2" w:rsidRPr="003A1174">
        <w:rPr>
          <w:rFonts w:ascii="Garamond" w:hAnsi="Garamond" w:cs="Arial"/>
          <w:i/>
          <w:iCs/>
          <w:sz w:val="24"/>
          <w:szCs w:val="24"/>
        </w:rPr>
        <w:t xml:space="preserve"> </w:t>
      </w:r>
      <w:r w:rsidR="006B56D7" w:rsidRPr="003A1174">
        <w:rPr>
          <w:rFonts w:ascii="Garamond" w:hAnsi="Garamond" w:cs="Arial"/>
          <w:iCs/>
          <w:sz w:val="24"/>
          <w:szCs w:val="24"/>
        </w:rPr>
        <w:t>atendeu-</w:t>
      </w:r>
      <w:r w:rsidR="00496CB2" w:rsidRPr="003A1174">
        <w:rPr>
          <w:rFonts w:ascii="Garamond" w:hAnsi="Garamond" w:cs="Arial"/>
          <w:iCs/>
          <w:sz w:val="24"/>
          <w:szCs w:val="24"/>
        </w:rPr>
        <w:t xml:space="preserve">se </w:t>
      </w:r>
      <w:r w:rsidR="006B56D7" w:rsidRPr="003A1174">
        <w:rPr>
          <w:rFonts w:ascii="Garamond" w:hAnsi="Garamond" w:cs="Arial"/>
          <w:iCs/>
          <w:sz w:val="24"/>
          <w:szCs w:val="24"/>
        </w:rPr>
        <w:t xml:space="preserve">um </w:t>
      </w:r>
      <w:r w:rsidR="00496CB2" w:rsidRPr="003A1174">
        <w:rPr>
          <w:rFonts w:ascii="Garamond" w:hAnsi="Garamond" w:cs="Arial"/>
          <w:iCs/>
          <w:sz w:val="24"/>
          <w:szCs w:val="24"/>
        </w:rPr>
        <w:t>total de 5</w:t>
      </w:r>
      <w:r w:rsidR="00496CB2" w:rsidRPr="003A1174">
        <w:rPr>
          <w:rFonts w:ascii="Garamond" w:hAnsi="Garamond" w:cs="Arial"/>
          <w:sz w:val="24"/>
          <w:szCs w:val="24"/>
        </w:rPr>
        <w:t xml:space="preserve">230 </w:t>
      </w:r>
      <w:r w:rsidR="00054EE0" w:rsidRPr="003A1174">
        <w:rPr>
          <w:rFonts w:ascii="Garamond" w:hAnsi="Garamond" w:cs="Arial"/>
          <w:sz w:val="24"/>
          <w:szCs w:val="24"/>
        </w:rPr>
        <w:t>mulheres</w:t>
      </w:r>
      <w:r w:rsidR="00050C3B" w:rsidRPr="003A1174">
        <w:rPr>
          <w:rFonts w:ascii="Garamond" w:hAnsi="Garamond" w:cs="Arial"/>
          <w:sz w:val="24"/>
          <w:szCs w:val="24"/>
        </w:rPr>
        <w:t>;</w:t>
      </w:r>
      <w:r w:rsidR="006B56D7" w:rsidRPr="003A1174">
        <w:rPr>
          <w:rFonts w:ascii="Garamond" w:hAnsi="Garamond" w:cs="Arial"/>
          <w:sz w:val="24"/>
          <w:szCs w:val="24"/>
        </w:rPr>
        <w:t xml:space="preserve"> </w:t>
      </w:r>
      <w:r w:rsidR="00496CB2" w:rsidRPr="003A1174">
        <w:rPr>
          <w:rFonts w:ascii="Garamond" w:hAnsi="Garamond" w:cs="Arial"/>
          <w:sz w:val="24"/>
          <w:szCs w:val="24"/>
        </w:rPr>
        <w:t>1999 (38</w:t>
      </w:r>
      <w:r w:rsidR="00050C3B" w:rsidRPr="003A1174">
        <w:rPr>
          <w:rFonts w:ascii="Garamond" w:hAnsi="Garamond" w:cs="Arial"/>
          <w:sz w:val="24"/>
          <w:szCs w:val="24"/>
        </w:rPr>
        <w:t>,</w:t>
      </w:r>
      <w:r w:rsidR="00496CB2" w:rsidRPr="003A1174">
        <w:rPr>
          <w:rFonts w:ascii="Garamond" w:hAnsi="Garamond" w:cs="Arial"/>
          <w:sz w:val="24"/>
          <w:szCs w:val="24"/>
        </w:rPr>
        <w:t>2</w:t>
      </w:r>
      <w:r w:rsidRPr="003A1174">
        <w:rPr>
          <w:rFonts w:ascii="Garamond" w:hAnsi="Garamond" w:cs="Arial"/>
          <w:sz w:val="24"/>
          <w:szCs w:val="24"/>
        </w:rPr>
        <w:t xml:space="preserve"> %</w:t>
      </w:r>
      <w:r w:rsidR="00496CB2" w:rsidRPr="003A1174">
        <w:rPr>
          <w:rFonts w:ascii="Garamond" w:hAnsi="Garamond" w:cs="Arial"/>
          <w:sz w:val="24"/>
          <w:szCs w:val="24"/>
        </w:rPr>
        <w:t xml:space="preserve">) </w:t>
      </w:r>
      <w:r w:rsidR="006B56D7" w:rsidRPr="003A1174">
        <w:rPr>
          <w:rFonts w:ascii="Garamond" w:hAnsi="Garamond" w:cs="Arial"/>
          <w:sz w:val="24"/>
          <w:szCs w:val="24"/>
        </w:rPr>
        <w:t xml:space="preserve">ligaram para a </w:t>
      </w:r>
      <w:r w:rsidR="00D4575C" w:rsidRPr="003A1174">
        <w:rPr>
          <w:rFonts w:ascii="Garamond" w:hAnsi="Garamond" w:cs="Arial"/>
          <w:sz w:val="24"/>
          <w:szCs w:val="24"/>
        </w:rPr>
        <w:t>linha</w:t>
      </w:r>
      <w:r w:rsidR="00496CB2" w:rsidRPr="003A1174">
        <w:rPr>
          <w:rFonts w:ascii="Garamond" w:hAnsi="Garamond" w:cs="Arial"/>
          <w:sz w:val="24"/>
          <w:szCs w:val="24"/>
        </w:rPr>
        <w:t xml:space="preserve"> de </w:t>
      </w:r>
      <w:r w:rsidR="00081B57" w:rsidRPr="003A1174">
        <w:rPr>
          <w:rFonts w:ascii="Garamond" w:hAnsi="Garamond" w:cs="Arial"/>
          <w:sz w:val="24"/>
          <w:szCs w:val="24"/>
        </w:rPr>
        <w:t>orientação</w:t>
      </w:r>
      <w:r w:rsidR="00496CB2" w:rsidRPr="003A1174">
        <w:rPr>
          <w:rFonts w:ascii="Garamond" w:hAnsi="Garamond" w:cs="Arial"/>
          <w:sz w:val="24"/>
          <w:szCs w:val="24"/>
        </w:rPr>
        <w:t xml:space="preserve"> e</w:t>
      </w:r>
      <w:r w:rsidR="006B56D7" w:rsidRPr="003A1174">
        <w:rPr>
          <w:rFonts w:ascii="Garamond" w:hAnsi="Garamond" w:cs="Arial"/>
          <w:sz w:val="24"/>
          <w:szCs w:val="24"/>
        </w:rPr>
        <w:t xml:space="preserve">m </w:t>
      </w:r>
      <w:r w:rsidR="0017447A" w:rsidRPr="003A1174">
        <w:rPr>
          <w:rFonts w:ascii="Garamond" w:hAnsi="Garamond" w:cs="Arial"/>
          <w:sz w:val="24"/>
          <w:szCs w:val="24"/>
        </w:rPr>
        <w:t>situação</w:t>
      </w:r>
      <w:r w:rsidR="00496CB2" w:rsidRPr="003A1174">
        <w:rPr>
          <w:rFonts w:ascii="Garamond" w:hAnsi="Garamond" w:cs="Arial"/>
          <w:sz w:val="24"/>
          <w:szCs w:val="24"/>
        </w:rPr>
        <w:t xml:space="preserve"> de </w:t>
      </w:r>
      <w:r w:rsidR="004E3A1A" w:rsidRPr="003A1174">
        <w:rPr>
          <w:rFonts w:ascii="Garamond" w:hAnsi="Garamond" w:cs="Arial"/>
          <w:sz w:val="24"/>
          <w:szCs w:val="24"/>
        </w:rPr>
        <w:t>vulnerabilidade</w:t>
      </w:r>
      <w:r w:rsidR="00496CB2" w:rsidRPr="003A1174">
        <w:rPr>
          <w:rFonts w:ascii="Garamond" w:hAnsi="Garamond" w:cs="Arial"/>
          <w:sz w:val="24"/>
          <w:szCs w:val="24"/>
        </w:rPr>
        <w:t xml:space="preserve"> emocional. </w:t>
      </w:r>
      <w:r w:rsidR="006B56D7" w:rsidRPr="003A1174">
        <w:rPr>
          <w:rFonts w:ascii="Garamond" w:hAnsi="Garamond" w:cs="Arial"/>
          <w:sz w:val="24"/>
          <w:szCs w:val="24"/>
        </w:rPr>
        <w:t>Discriminam-se</w:t>
      </w:r>
      <w:r w:rsidR="00496CB2" w:rsidRPr="003A1174">
        <w:rPr>
          <w:rFonts w:ascii="Garamond" w:hAnsi="Garamond" w:cs="Arial"/>
          <w:sz w:val="24"/>
          <w:szCs w:val="24"/>
        </w:rPr>
        <w:t xml:space="preserve"> os tipos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re</w:t>
      </w:r>
      <w:r w:rsidR="006B56D7" w:rsidRPr="003A1174">
        <w:rPr>
          <w:rFonts w:ascii="Garamond" w:hAnsi="Garamond" w:cs="Arial"/>
          <w:sz w:val="24"/>
          <w:szCs w:val="24"/>
        </w:rPr>
        <w:t xml:space="preserve">latados </w:t>
      </w:r>
      <w:r w:rsidR="00496CB2" w:rsidRPr="003A1174">
        <w:rPr>
          <w:rFonts w:ascii="Garamond" w:hAnsi="Garamond" w:cs="Arial"/>
          <w:sz w:val="24"/>
          <w:szCs w:val="24"/>
        </w:rPr>
        <w:t xml:space="preserve">contra a </w:t>
      </w:r>
      <w:r w:rsidR="00AF192F" w:rsidRPr="003A1174">
        <w:rPr>
          <w:rFonts w:ascii="Garamond" w:hAnsi="Garamond" w:cs="Arial"/>
          <w:sz w:val="24"/>
          <w:szCs w:val="24"/>
        </w:rPr>
        <w:t>mulher</w:t>
      </w:r>
      <w:r w:rsidR="00522E87" w:rsidRPr="003A1174">
        <w:rPr>
          <w:rFonts w:ascii="Garamond" w:hAnsi="Garamond" w:cs="Arial"/>
          <w:sz w:val="24"/>
          <w:szCs w:val="24"/>
        </w:rPr>
        <w:t>, d</w:t>
      </w:r>
      <w:r w:rsidR="00496CB2" w:rsidRPr="003A1174">
        <w:rPr>
          <w:rFonts w:ascii="Garamond" w:hAnsi="Garamond" w:cs="Arial"/>
          <w:sz w:val="24"/>
          <w:szCs w:val="24"/>
        </w:rPr>
        <w:t xml:space="preserve">a </w:t>
      </w:r>
      <w:r w:rsidR="006B29BF" w:rsidRPr="003A1174">
        <w:rPr>
          <w:rFonts w:ascii="Garamond" w:hAnsi="Garamond" w:cs="Arial"/>
          <w:sz w:val="24"/>
          <w:szCs w:val="24"/>
        </w:rPr>
        <w:t>seguinte</w:t>
      </w:r>
      <w:r w:rsidR="00496CB2" w:rsidRPr="003A1174">
        <w:rPr>
          <w:rFonts w:ascii="Garamond" w:hAnsi="Garamond" w:cs="Arial"/>
          <w:sz w:val="24"/>
          <w:szCs w:val="24"/>
        </w:rPr>
        <w:t xml:space="preserve"> forma:</w:t>
      </w:r>
    </w:p>
    <w:p w:rsidR="008A1D51" w:rsidRPr="003A1174" w:rsidRDefault="00496CB2" w:rsidP="008719D4">
      <w:pPr>
        <w:pStyle w:val="Prrafodelista"/>
        <w:numPr>
          <w:ilvl w:val="0"/>
          <w:numId w:val="19"/>
        </w:numPr>
        <w:spacing w:before="240" w:after="0" w:line="240" w:lineRule="auto"/>
        <w:jc w:val="both"/>
        <w:rPr>
          <w:rFonts w:ascii="Garamond" w:hAnsi="Garamond" w:cs="Arial"/>
          <w:sz w:val="24"/>
          <w:szCs w:val="24"/>
          <w:lang w:val="es-PR"/>
        </w:rPr>
      </w:pPr>
      <w:r w:rsidRPr="003A1174">
        <w:rPr>
          <w:rFonts w:ascii="Garamond" w:hAnsi="Garamond" w:cs="Arial"/>
          <w:sz w:val="24"/>
          <w:szCs w:val="24"/>
          <w:lang w:val="es-PR"/>
        </w:rPr>
        <w:t>1797 (89</w:t>
      </w:r>
      <w:r w:rsidR="00050C3B" w:rsidRPr="003A1174">
        <w:rPr>
          <w:rFonts w:ascii="Garamond" w:hAnsi="Garamond" w:cs="Arial"/>
          <w:sz w:val="24"/>
          <w:szCs w:val="24"/>
          <w:lang w:val="es-PR"/>
        </w:rPr>
        <w:t>,</w:t>
      </w:r>
      <w:r w:rsidRPr="003A1174">
        <w:rPr>
          <w:rFonts w:ascii="Garamond" w:hAnsi="Garamond" w:cs="Arial"/>
          <w:sz w:val="24"/>
          <w:szCs w:val="24"/>
          <w:lang w:val="es-PR"/>
        </w:rPr>
        <w:t xml:space="preserve">8%) </w:t>
      </w:r>
      <w:r w:rsidR="003F012B" w:rsidRPr="003A1174">
        <w:rPr>
          <w:rFonts w:ascii="Garamond" w:hAnsi="Garamond" w:cs="Arial"/>
          <w:sz w:val="24"/>
          <w:szCs w:val="24"/>
          <w:lang w:val="es-PR"/>
        </w:rPr>
        <w:t>vítima</w:t>
      </w:r>
      <w:r w:rsidRPr="003A1174">
        <w:rPr>
          <w:rFonts w:ascii="Garamond" w:hAnsi="Garamond" w:cs="Arial"/>
          <w:sz w:val="24"/>
          <w:szCs w:val="24"/>
          <w:lang w:val="es-PR"/>
        </w:rPr>
        <w:t xml:space="preserve">s de </w:t>
      </w:r>
      <w:r w:rsidR="000350B1" w:rsidRPr="003A1174">
        <w:rPr>
          <w:rFonts w:ascii="Garamond" w:hAnsi="Garamond" w:cs="Arial"/>
          <w:sz w:val="24"/>
          <w:szCs w:val="24"/>
          <w:lang w:val="es-PR"/>
        </w:rPr>
        <w:t>violência</w:t>
      </w:r>
      <w:r w:rsidRPr="003A1174">
        <w:rPr>
          <w:rFonts w:ascii="Garamond" w:hAnsi="Garamond" w:cs="Arial"/>
          <w:sz w:val="24"/>
          <w:szCs w:val="24"/>
          <w:lang w:val="es-PR"/>
        </w:rPr>
        <w:t xml:space="preserve"> doméstica</w:t>
      </w:r>
      <w:r w:rsidR="000F33E8">
        <w:rPr>
          <w:rFonts w:ascii="Garamond" w:hAnsi="Garamond" w:cs="Arial"/>
          <w:sz w:val="24"/>
          <w:szCs w:val="24"/>
          <w:lang w:val="es-PR"/>
        </w:rPr>
        <w:t>;</w:t>
      </w:r>
    </w:p>
    <w:p w:rsidR="008A1D51" w:rsidRPr="003A1174" w:rsidRDefault="00496CB2" w:rsidP="008719D4">
      <w:pPr>
        <w:pStyle w:val="Prrafodelista"/>
        <w:numPr>
          <w:ilvl w:val="0"/>
          <w:numId w:val="19"/>
        </w:numPr>
        <w:spacing w:before="240" w:after="0" w:line="240" w:lineRule="auto"/>
        <w:jc w:val="both"/>
        <w:rPr>
          <w:rFonts w:ascii="Garamond" w:hAnsi="Garamond" w:cs="Arial"/>
          <w:sz w:val="24"/>
          <w:szCs w:val="24"/>
          <w:lang w:val="es-PR"/>
        </w:rPr>
      </w:pPr>
      <w:r w:rsidRPr="003A1174">
        <w:rPr>
          <w:rFonts w:ascii="Garamond" w:hAnsi="Garamond" w:cs="Arial"/>
          <w:sz w:val="24"/>
          <w:szCs w:val="24"/>
          <w:lang w:val="es-PR"/>
        </w:rPr>
        <w:t xml:space="preserve">20 (1%) </w:t>
      </w:r>
      <w:r w:rsidR="003F012B" w:rsidRPr="003A1174">
        <w:rPr>
          <w:rFonts w:ascii="Garamond" w:hAnsi="Garamond" w:cs="Arial"/>
          <w:sz w:val="24"/>
          <w:szCs w:val="24"/>
          <w:lang w:val="es-PR"/>
        </w:rPr>
        <w:t>vítima</w:t>
      </w:r>
      <w:r w:rsidRPr="003A1174">
        <w:rPr>
          <w:rFonts w:ascii="Garamond" w:hAnsi="Garamond" w:cs="Arial"/>
          <w:sz w:val="24"/>
          <w:szCs w:val="24"/>
          <w:lang w:val="es-PR"/>
        </w:rPr>
        <w:t xml:space="preserve">s de </w:t>
      </w:r>
      <w:r w:rsidR="009A0623" w:rsidRPr="003A1174">
        <w:rPr>
          <w:rFonts w:ascii="Garamond" w:hAnsi="Garamond" w:cs="Arial"/>
          <w:sz w:val="24"/>
          <w:szCs w:val="24"/>
          <w:lang w:val="es-PR"/>
        </w:rPr>
        <w:t>agressão</w:t>
      </w:r>
      <w:r w:rsidRPr="003A1174">
        <w:rPr>
          <w:rFonts w:ascii="Garamond" w:hAnsi="Garamond" w:cs="Arial"/>
          <w:sz w:val="24"/>
          <w:szCs w:val="24"/>
          <w:lang w:val="es-PR"/>
        </w:rPr>
        <w:t xml:space="preserve"> sexual</w:t>
      </w:r>
      <w:r w:rsidR="000F33E8">
        <w:rPr>
          <w:rFonts w:ascii="Garamond" w:hAnsi="Garamond" w:cs="Arial"/>
          <w:sz w:val="24"/>
          <w:szCs w:val="24"/>
          <w:lang w:val="es-PR"/>
        </w:rPr>
        <w:t>;</w:t>
      </w:r>
    </w:p>
    <w:p w:rsidR="00496CB2" w:rsidRPr="003A1174" w:rsidRDefault="00496CB2" w:rsidP="008719D4">
      <w:pPr>
        <w:pStyle w:val="Prrafodelista"/>
        <w:numPr>
          <w:ilvl w:val="0"/>
          <w:numId w:val="19"/>
        </w:numPr>
        <w:spacing w:before="240" w:after="0" w:line="240" w:lineRule="auto"/>
        <w:jc w:val="both"/>
        <w:rPr>
          <w:rFonts w:ascii="Garamond" w:hAnsi="Garamond" w:cs="Arial"/>
          <w:sz w:val="24"/>
          <w:szCs w:val="24"/>
          <w:lang w:val="es-PR"/>
        </w:rPr>
      </w:pPr>
      <w:r w:rsidRPr="003A1174">
        <w:rPr>
          <w:rFonts w:ascii="Garamond" w:hAnsi="Garamond" w:cs="Arial"/>
          <w:sz w:val="24"/>
          <w:szCs w:val="24"/>
          <w:lang w:val="es-PR"/>
        </w:rPr>
        <w:t>51 (0</w:t>
      </w:r>
      <w:r w:rsidR="00050C3B" w:rsidRPr="003A1174">
        <w:rPr>
          <w:rFonts w:ascii="Garamond" w:hAnsi="Garamond" w:cs="Arial"/>
          <w:sz w:val="24"/>
          <w:szCs w:val="24"/>
          <w:lang w:val="es-PR"/>
        </w:rPr>
        <w:t>,</w:t>
      </w:r>
      <w:r w:rsidRPr="003A1174">
        <w:rPr>
          <w:rFonts w:ascii="Garamond" w:hAnsi="Garamond" w:cs="Arial"/>
          <w:sz w:val="24"/>
          <w:szCs w:val="24"/>
          <w:lang w:val="es-PR"/>
        </w:rPr>
        <w:t xml:space="preserve">2%) </w:t>
      </w:r>
      <w:r w:rsidR="003F012B" w:rsidRPr="003A1174">
        <w:rPr>
          <w:rFonts w:ascii="Garamond" w:hAnsi="Garamond" w:cs="Arial"/>
          <w:sz w:val="24"/>
          <w:szCs w:val="24"/>
          <w:lang w:val="es-PR"/>
        </w:rPr>
        <w:t>vítima</w:t>
      </w:r>
      <w:r w:rsidRPr="003A1174">
        <w:rPr>
          <w:rFonts w:ascii="Garamond" w:hAnsi="Garamond" w:cs="Arial"/>
          <w:sz w:val="24"/>
          <w:szCs w:val="24"/>
          <w:lang w:val="es-PR"/>
        </w:rPr>
        <w:t xml:space="preserve">s de </w:t>
      </w:r>
      <w:r w:rsidR="00A13226" w:rsidRPr="003A1174">
        <w:rPr>
          <w:rFonts w:ascii="Garamond" w:hAnsi="Garamond" w:cs="Arial"/>
          <w:sz w:val="24"/>
          <w:szCs w:val="24"/>
          <w:lang w:val="es-PR"/>
        </w:rPr>
        <w:t>ameaça</w:t>
      </w:r>
      <w:r w:rsidR="000F33E8">
        <w:rPr>
          <w:rFonts w:ascii="Garamond" w:hAnsi="Garamond" w:cs="Arial"/>
          <w:sz w:val="24"/>
          <w:szCs w:val="24"/>
          <w:lang w:val="es-PR"/>
        </w:rPr>
        <w:t>;</w:t>
      </w:r>
    </w:p>
    <w:p w:rsidR="00496CB2" w:rsidRPr="003A1174" w:rsidRDefault="00496CB2" w:rsidP="008719D4">
      <w:pPr>
        <w:pStyle w:val="Prrafodelista"/>
        <w:numPr>
          <w:ilvl w:val="0"/>
          <w:numId w:val="19"/>
        </w:numPr>
        <w:spacing w:before="240" w:after="0" w:line="240" w:lineRule="auto"/>
        <w:jc w:val="both"/>
        <w:rPr>
          <w:rFonts w:ascii="Garamond" w:hAnsi="Garamond" w:cs="Arial"/>
          <w:sz w:val="24"/>
          <w:szCs w:val="24"/>
          <w:lang w:val="pt-PT"/>
        </w:rPr>
      </w:pPr>
      <w:r w:rsidRPr="003A1174">
        <w:rPr>
          <w:rFonts w:ascii="Garamond" w:hAnsi="Garamond" w:cs="Arial"/>
          <w:sz w:val="24"/>
          <w:szCs w:val="24"/>
          <w:lang w:val="pt-PT"/>
        </w:rPr>
        <w:t>109 (0</w:t>
      </w:r>
      <w:r w:rsidR="00050C3B" w:rsidRPr="003A1174">
        <w:rPr>
          <w:rFonts w:ascii="Garamond" w:hAnsi="Garamond" w:cs="Arial"/>
          <w:sz w:val="24"/>
          <w:szCs w:val="24"/>
          <w:lang w:val="pt-PT"/>
        </w:rPr>
        <w:t>,</w:t>
      </w:r>
      <w:r w:rsidRPr="003A1174">
        <w:rPr>
          <w:rFonts w:ascii="Garamond" w:hAnsi="Garamond" w:cs="Arial"/>
          <w:sz w:val="24"/>
          <w:szCs w:val="24"/>
          <w:lang w:val="pt-PT"/>
        </w:rPr>
        <w:t xml:space="preserve">5%) </w:t>
      </w:r>
      <w:r w:rsidR="003F012B" w:rsidRPr="003A1174">
        <w:rPr>
          <w:rFonts w:ascii="Garamond" w:hAnsi="Garamond" w:cs="Arial"/>
          <w:sz w:val="24"/>
          <w:szCs w:val="24"/>
          <w:lang w:val="pt-PT"/>
        </w:rPr>
        <w:t>vítima</w:t>
      </w:r>
      <w:r w:rsidRPr="003A1174">
        <w:rPr>
          <w:rFonts w:ascii="Garamond" w:hAnsi="Garamond" w:cs="Arial"/>
          <w:sz w:val="24"/>
          <w:szCs w:val="24"/>
          <w:lang w:val="pt-PT"/>
        </w:rPr>
        <w:t>s de discrim</w:t>
      </w:r>
      <w:r w:rsidR="00522E87" w:rsidRPr="003A1174">
        <w:rPr>
          <w:rFonts w:ascii="Garamond" w:hAnsi="Garamond" w:cs="Arial"/>
          <w:sz w:val="24"/>
          <w:szCs w:val="24"/>
          <w:lang w:val="pt-PT"/>
        </w:rPr>
        <w:t xml:space="preserve">inação </w:t>
      </w:r>
      <w:r w:rsidRPr="003A1174">
        <w:rPr>
          <w:rFonts w:ascii="Garamond" w:hAnsi="Garamond" w:cs="Arial"/>
          <w:sz w:val="24"/>
          <w:szCs w:val="24"/>
          <w:lang w:val="pt-PT"/>
        </w:rPr>
        <w:t>por género</w:t>
      </w:r>
      <w:r w:rsidR="000F33E8">
        <w:rPr>
          <w:rFonts w:ascii="Garamond" w:hAnsi="Garamond" w:cs="Arial"/>
          <w:sz w:val="24"/>
          <w:szCs w:val="24"/>
          <w:lang w:val="pt-PT"/>
        </w:rPr>
        <w:t>;</w:t>
      </w:r>
    </w:p>
    <w:p w:rsidR="008A1D51" w:rsidRPr="003A1174" w:rsidRDefault="00496CB2" w:rsidP="008719D4">
      <w:pPr>
        <w:pStyle w:val="Prrafodelista"/>
        <w:numPr>
          <w:ilvl w:val="0"/>
          <w:numId w:val="19"/>
        </w:numPr>
        <w:spacing w:before="240" w:after="0" w:line="240" w:lineRule="auto"/>
        <w:jc w:val="both"/>
        <w:rPr>
          <w:rFonts w:ascii="Garamond" w:hAnsi="Garamond" w:cs="Arial"/>
          <w:sz w:val="24"/>
          <w:szCs w:val="24"/>
          <w:lang w:val="pt-PT"/>
        </w:rPr>
      </w:pPr>
      <w:r w:rsidRPr="003A1174">
        <w:rPr>
          <w:rFonts w:ascii="Garamond" w:hAnsi="Garamond" w:cs="Arial"/>
          <w:sz w:val="24"/>
          <w:szCs w:val="24"/>
          <w:lang w:val="pt-PT"/>
        </w:rPr>
        <w:lastRenderedPageBreak/>
        <w:t>22 (0</w:t>
      </w:r>
      <w:r w:rsidR="00050C3B" w:rsidRPr="003A1174">
        <w:rPr>
          <w:rFonts w:ascii="Garamond" w:hAnsi="Garamond" w:cs="Arial"/>
          <w:sz w:val="24"/>
          <w:szCs w:val="24"/>
          <w:lang w:val="pt-PT"/>
        </w:rPr>
        <w:t>,</w:t>
      </w:r>
      <w:r w:rsidRPr="003A1174">
        <w:rPr>
          <w:rFonts w:ascii="Garamond" w:hAnsi="Garamond" w:cs="Arial"/>
          <w:sz w:val="24"/>
          <w:szCs w:val="24"/>
          <w:lang w:val="pt-PT"/>
        </w:rPr>
        <w:t xml:space="preserve">1%) </w:t>
      </w:r>
      <w:r w:rsidR="003F012B" w:rsidRPr="003A1174">
        <w:rPr>
          <w:rFonts w:ascii="Garamond" w:hAnsi="Garamond" w:cs="Arial"/>
          <w:sz w:val="24"/>
          <w:szCs w:val="24"/>
          <w:lang w:val="pt-PT"/>
        </w:rPr>
        <w:t>vítima</w:t>
      </w:r>
      <w:r w:rsidRPr="003A1174">
        <w:rPr>
          <w:rFonts w:ascii="Garamond" w:hAnsi="Garamond" w:cs="Arial"/>
          <w:sz w:val="24"/>
          <w:szCs w:val="24"/>
          <w:lang w:val="pt-PT"/>
        </w:rPr>
        <w:t xml:space="preserve">s de </w:t>
      </w:r>
      <w:r w:rsidR="0017447A" w:rsidRPr="003A1174">
        <w:rPr>
          <w:rFonts w:ascii="Garamond" w:hAnsi="Garamond" w:cs="Arial"/>
          <w:sz w:val="24"/>
          <w:szCs w:val="24"/>
          <w:lang w:val="pt-PT"/>
        </w:rPr>
        <w:t>outras</w:t>
      </w:r>
      <w:r w:rsidR="008A1D51" w:rsidRPr="003A1174">
        <w:rPr>
          <w:rFonts w:ascii="Garamond" w:hAnsi="Garamond" w:cs="Arial"/>
          <w:sz w:val="24"/>
          <w:szCs w:val="24"/>
          <w:lang w:val="pt-PT"/>
        </w:rPr>
        <w:t xml:space="preserve"> </w:t>
      </w:r>
      <w:r w:rsidR="00C30647" w:rsidRPr="003A1174">
        <w:rPr>
          <w:rFonts w:ascii="Garamond" w:hAnsi="Garamond" w:cs="Arial"/>
          <w:sz w:val="24"/>
          <w:szCs w:val="24"/>
          <w:lang w:val="pt-PT"/>
        </w:rPr>
        <w:t>manifestações</w:t>
      </w:r>
      <w:r w:rsidR="008A1D51" w:rsidRPr="003A1174">
        <w:rPr>
          <w:rFonts w:ascii="Garamond" w:hAnsi="Garamond" w:cs="Arial"/>
          <w:sz w:val="24"/>
          <w:szCs w:val="24"/>
          <w:lang w:val="pt-PT"/>
        </w:rPr>
        <w:t xml:space="preserve"> de </w:t>
      </w:r>
      <w:r w:rsidR="000350B1" w:rsidRPr="003A1174">
        <w:rPr>
          <w:rFonts w:ascii="Garamond" w:hAnsi="Garamond" w:cs="Arial"/>
          <w:sz w:val="24"/>
          <w:szCs w:val="24"/>
          <w:lang w:val="pt-PT"/>
        </w:rPr>
        <w:t>violência</w:t>
      </w:r>
      <w:r w:rsidR="00050C3B" w:rsidRPr="003A1174">
        <w:rPr>
          <w:rFonts w:ascii="Garamond" w:hAnsi="Garamond" w:cs="Arial"/>
          <w:sz w:val="24"/>
          <w:szCs w:val="24"/>
          <w:lang w:val="pt-PT"/>
        </w:rPr>
        <w:t>.</w:t>
      </w:r>
    </w:p>
    <w:p w:rsidR="008A1D51" w:rsidRPr="003A1174" w:rsidRDefault="000F33E8" w:rsidP="008719D4">
      <w:pPr>
        <w:spacing w:before="240" w:after="0" w:line="240" w:lineRule="auto"/>
        <w:jc w:val="both"/>
        <w:rPr>
          <w:rFonts w:ascii="Garamond" w:hAnsi="Garamond" w:cs="Arial"/>
          <w:sz w:val="24"/>
          <w:szCs w:val="24"/>
        </w:rPr>
      </w:pPr>
      <w:r>
        <w:rPr>
          <w:rFonts w:ascii="Garamond" w:hAnsi="Garamond" w:cs="Arial"/>
          <w:sz w:val="24"/>
          <w:szCs w:val="24"/>
        </w:rPr>
        <w:t>O tratamento</w:t>
      </w:r>
      <w:r w:rsidR="00522E87" w:rsidRPr="003A1174">
        <w:rPr>
          <w:rFonts w:ascii="Garamond" w:hAnsi="Garamond" w:cs="Arial"/>
          <w:sz w:val="24"/>
          <w:szCs w:val="24"/>
        </w:rPr>
        <w:t xml:space="preserve"> </w:t>
      </w:r>
      <w:r w:rsidR="00BB2B00" w:rsidRPr="003A1174">
        <w:rPr>
          <w:rFonts w:ascii="Garamond" w:hAnsi="Garamond" w:cs="Arial"/>
          <w:sz w:val="24"/>
          <w:szCs w:val="24"/>
        </w:rPr>
        <w:t>à</w:t>
      </w:r>
      <w:r w:rsidR="00496CB2" w:rsidRPr="003A1174">
        <w:rPr>
          <w:rFonts w:ascii="Garamond" w:hAnsi="Garamond" w:cs="Arial"/>
          <w:sz w:val="24"/>
          <w:szCs w:val="24"/>
        </w:rPr>
        <w:t xml:space="preserve">s </w:t>
      </w:r>
      <w:r w:rsidR="003F012B" w:rsidRPr="003A1174">
        <w:rPr>
          <w:rFonts w:ascii="Garamond" w:hAnsi="Garamond" w:cs="Arial"/>
          <w:sz w:val="24"/>
          <w:szCs w:val="24"/>
        </w:rPr>
        <w:t>vítima</w:t>
      </w:r>
      <w:r w:rsidR="00496CB2" w:rsidRPr="003A1174">
        <w:rPr>
          <w:rFonts w:ascii="Garamond" w:hAnsi="Garamond" w:cs="Arial"/>
          <w:sz w:val="24"/>
          <w:szCs w:val="24"/>
        </w:rPr>
        <w:t xml:space="preserve">s </w:t>
      </w:r>
      <w:r w:rsidR="00A979E3">
        <w:rPr>
          <w:rFonts w:ascii="Garamond" w:hAnsi="Garamond" w:cs="Arial"/>
          <w:sz w:val="24"/>
          <w:szCs w:val="24"/>
        </w:rPr>
        <w:t xml:space="preserve">é feito </w:t>
      </w:r>
      <w:r w:rsidR="00496CB2" w:rsidRPr="003A1174">
        <w:rPr>
          <w:rFonts w:ascii="Garamond" w:hAnsi="Garamond" w:cs="Arial"/>
          <w:sz w:val="24"/>
          <w:szCs w:val="24"/>
        </w:rPr>
        <w:t xml:space="preserve">por </w:t>
      </w:r>
      <w:r w:rsidR="008278C4" w:rsidRPr="003A1174">
        <w:rPr>
          <w:rFonts w:ascii="Garamond" w:hAnsi="Garamond" w:cs="Arial"/>
          <w:sz w:val="24"/>
          <w:szCs w:val="24"/>
        </w:rPr>
        <w:t>pessoal</w:t>
      </w:r>
      <w:r w:rsidR="00496CB2" w:rsidRPr="003A1174">
        <w:rPr>
          <w:rFonts w:ascii="Garamond" w:hAnsi="Garamond" w:cs="Arial"/>
          <w:sz w:val="24"/>
          <w:szCs w:val="24"/>
        </w:rPr>
        <w:t xml:space="preserve"> especializado e</w:t>
      </w:r>
      <w:r w:rsidR="00522E87" w:rsidRPr="003A1174">
        <w:rPr>
          <w:rFonts w:ascii="Garamond" w:hAnsi="Garamond" w:cs="Arial"/>
          <w:sz w:val="24"/>
          <w:szCs w:val="24"/>
        </w:rPr>
        <w:t>m</w:t>
      </w:r>
      <w:r w:rsidR="00496CB2" w:rsidRPr="003A1174">
        <w:rPr>
          <w:rFonts w:ascii="Garamond" w:hAnsi="Garamond" w:cs="Arial"/>
          <w:sz w:val="24"/>
          <w:szCs w:val="24"/>
        </w:rPr>
        <w:t xml:space="preserve">: </w:t>
      </w:r>
      <w:r w:rsidR="0017447A" w:rsidRPr="003A1174">
        <w:rPr>
          <w:rFonts w:ascii="Garamond" w:hAnsi="Garamond" w:cs="Arial"/>
          <w:sz w:val="24"/>
          <w:szCs w:val="24"/>
        </w:rPr>
        <w:t>trabalho</w:t>
      </w:r>
      <w:r w:rsidR="00496CB2" w:rsidRPr="003A1174">
        <w:rPr>
          <w:rFonts w:ascii="Garamond" w:hAnsi="Garamond" w:cs="Arial"/>
          <w:sz w:val="24"/>
          <w:szCs w:val="24"/>
        </w:rPr>
        <w:t xml:space="preserve"> </w:t>
      </w:r>
      <w:r w:rsidR="00522E87" w:rsidRPr="003A1174">
        <w:rPr>
          <w:rFonts w:ascii="Garamond" w:hAnsi="Garamond" w:cs="Arial"/>
          <w:sz w:val="24"/>
          <w:szCs w:val="24"/>
        </w:rPr>
        <w:t>social</w:t>
      </w:r>
      <w:r w:rsidR="00EE04FF">
        <w:rPr>
          <w:rFonts w:ascii="Garamond" w:hAnsi="Garamond" w:cs="Arial"/>
          <w:sz w:val="24"/>
          <w:szCs w:val="24"/>
        </w:rPr>
        <w:t>,</w:t>
      </w:r>
      <w:r w:rsidR="00522E87" w:rsidRPr="003A1174">
        <w:rPr>
          <w:rFonts w:ascii="Garamond" w:hAnsi="Garamond" w:cs="Arial"/>
          <w:sz w:val="24"/>
          <w:szCs w:val="24"/>
        </w:rPr>
        <w:t xml:space="preserve"> </w:t>
      </w:r>
      <w:r w:rsidR="00EE04FF">
        <w:rPr>
          <w:rFonts w:ascii="Garamond" w:hAnsi="Garamond" w:cs="Arial"/>
          <w:sz w:val="24"/>
          <w:szCs w:val="24"/>
        </w:rPr>
        <w:t xml:space="preserve">através </w:t>
      </w:r>
      <w:r>
        <w:rPr>
          <w:rFonts w:ascii="Garamond" w:hAnsi="Garamond" w:cs="Arial"/>
          <w:sz w:val="24"/>
          <w:szCs w:val="24"/>
        </w:rPr>
        <w:t xml:space="preserve">do </w:t>
      </w:r>
      <w:r w:rsidR="00496CB2" w:rsidRPr="003A1174">
        <w:rPr>
          <w:rFonts w:ascii="Garamond" w:hAnsi="Garamond" w:cs="Arial"/>
          <w:sz w:val="24"/>
          <w:szCs w:val="24"/>
        </w:rPr>
        <w:t>di</w:t>
      </w:r>
      <w:r w:rsidR="00050C3B" w:rsidRPr="003A1174">
        <w:rPr>
          <w:rFonts w:ascii="Garamond" w:hAnsi="Garamond" w:cs="Arial"/>
          <w:sz w:val="24"/>
          <w:szCs w:val="24"/>
        </w:rPr>
        <w:t>á</w:t>
      </w:r>
      <w:r w:rsidR="00496CB2" w:rsidRPr="003A1174">
        <w:rPr>
          <w:rFonts w:ascii="Garamond" w:hAnsi="Garamond" w:cs="Arial"/>
          <w:sz w:val="24"/>
          <w:szCs w:val="24"/>
        </w:rPr>
        <w:t xml:space="preserve">logo </w:t>
      </w:r>
      <w:r w:rsidR="002E3605" w:rsidRPr="003A1174">
        <w:rPr>
          <w:rFonts w:ascii="Garamond" w:hAnsi="Garamond" w:cs="Arial"/>
          <w:sz w:val="24"/>
          <w:szCs w:val="24"/>
        </w:rPr>
        <w:t>terapêutico</w:t>
      </w:r>
      <w:r w:rsidR="00EE04FF">
        <w:rPr>
          <w:rFonts w:ascii="Garamond" w:hAnsi="Garamond" w:cs="Arial"/>
          <w:sz w:val="24"/>
          <w:szCs w:val="24"/>
        </w:rPr>
        <w:t>,</w:t>
      </w:r>
      <w:r w:rsidR="00496CB2" w:rsidRPr="003A1174">
        <w:rPr>
          <w:rFonts w:ascii="Garamond" w:hAnsi="Garamond" w:cs="Arial"/>
          <w:sz w:val="24"/>
          <w:szCs w:val="24"/>
        </w:rPr>
        <w:t xml:space="preserve"> para atenuar as </w:t>
      </w:r>
      <w:r w:rsidR="00D37CF3" w:rsidRPr="003A1174">
        <w:rPr>
          <w:rFonts w:ascii="Garamond" w:hAnsi="Garamond" w:cs="Arial"/>
          <w:sz w:val="24"/>
          <w:szCs w:val="24"/>
        </w:rPr>
        <w:t>vulnerabilidades</w:t>
      </w:r>
      <w:r w:rsidR="00522E87" w:rsidRPr="003A1174">
        <w:rPr>
          <w:rFonts w:ascii="Garamond" w:hAnsi="Garamond" w:cs="Arial"/>
          <w:sz w:val="24"/>
          <w:szCs w:val="24"/>
        </w:rPr>
        <w:t xml:space="preserve"> d</w:t>
      </w:r>
      <w:r w:rsidR="00496CB2" w:rsidRPr="003A1174">
        <w:rPr>
          <w:rFonts w:ascii="Garamond" w:hAnsi="Garamond" w:cs="Arial"/>
          <w:sz w:val="24"/>
          <w:szCs w:val="24"/>
        </w:rPr>
        <w:t xml:space="preserve">a </w:t>
      </w:r>
      <w:r w:rsidR="003F012B" w:rsidRPr="003A1174">
        <w:rPr>
          <w:rFonts w:ascii="Garamond" w:hAnsi="Garamond" w:cs="Arial"/>
          <w:sz w:val="24"/>
          <w:szCs w:val="24"/>
        </w:rPr>
        <w:t>vítima</w:t>
      </w:r>
      <w:r w:rsidR="00050C3B" w:rsidRPr="003A1174">
        <w:rPr>
          <w:rFonts w:ascii="Garamond" w:hAnsi="Garamond" w:cs="Arial"/>
          <w:sz w:val="24"/>
          <w:szCs w:val="24"/>
        </w:rPr>
        <w:t xml:space="preserve"> </w:t>
      </w:r>
      <w:r w:rsidR="000672E8" w:rsidRPr="003A1174">
        <w:rPr>
          <w:rFonts w:ascii="Garamond" w:hAnsi="Garamond" w:cs="Arial"/>
          <w:sz w:val="24"/>
          <w:szCs w:val="24"/>
        </w:rPr>
        <w:t>e</w:t>
      </w:r>
      <w:r w:rsidR="00522E87" w:rsidRPr="003A1174">
        <w:rPr>
          <w:rFonts w:ascii="Garamond" w:hAnsi="Garamond" w:cs="Arial"/>
          <w:sz w:val="24"/>
          <w:szCs w:val="24"/>
        </w:rPr>
        <w:t xml:space="preserve"> di</w:t>
      </w:r>
      <w:r w:rsidR="00496CB2" w:rsidRPr="003A1174">
        <w:rPr>
          <w:rFonts w:ascii="Garamond" w:hAnsi="Garamond" w:cs="Arial"/>
          <w:sz w:val="24"/>
          <w:szCs w:val="24"/>
        </w:rPr>
        <w:t xml:space="preserve">minuir </w:t>
      </w:r>
      <w:r w:rsidR="000D7030" w:rsidRPr="003A1174">
        <w:rPr>
          <w:rFonts w:ascii="Garamond" w:hAnsi="Garamond" w:cs="Arial"/>
          <w:sz w:val="24"/>
          <w:szCs w:val="24"/>
        </w:rPr>
        <w:t xml:space="preserve">o </w:t>
      </w:r>
      <w:r w:rsidR="000D7030" w:rsidRPr="003A1174">
        <w:rPr>
          <w:rFonts w:ascii="Garamond" w:hAnsi="Garamond" w:cs="Arial"/>
          <w:i/>
          <w:sz w:val="24"/>
          <w:szCs w:val="24"/>
        </w:rPr>
        <w:t>stresse</w:t>
      </w:r>
      <w:r w:rsidR="00050C3B" w:rsidRPr="003A1174">
        <w:rPr>
          <w:rFonts w:ascii="Garamond" w:hAnsi="Garamond" w:cs="Arial"/>
          <w:sz w:val="24"/>
          <w:szCs w:val="24"/>
        </w:rPr>
        <w:t>;</w:t>
      </w:r>
      <w:r w:rsidR="00496CB2" w:rsidRPr="003A1174">
        <w:rPr>
          <w:rFonts w:ascii="Garamond" w:hAnsi="Garamond" w:cs="Arial"/>
          <w:sz w:val="24"/>
          <w:szCs w:val="24"/>
        </w:rPr>
        <w:t xml:space="preserve"> </w:t>
      </w:r>
      <w:r w:rsidR="002E3605" w:rsidRPr="003A1174">
        <w:rPr>
          <w:rFonts w:ascii="Garamond" w:hAnsi="Garamond" w:cs="Arial"/>
          <w:sz w:val="24"/>
          <w:szCs w:val="24"/>
        </w:rPr>
        <w:t xml:space="preserve">proporciona-se o apoio </w:t>
      </w:r>
      <w:r w:rsidR="00C30647" w:rsidRPr="003A1174">
        <w:rPr>
          <w:rFonts w:ascii="Garamond" w:hAnsi="Garamond" w:cs="Arial"/>
          <w:sz w:val="24"/>
          <w:szCs w:val="24"/>
        </w:rPr>
        <w:t>necessário</w:t>
      </w:r>
      <w:r w:rsidR="00050C3B" w:rsidRPr="003A1174">
        <w:rPr>
          <w:rFonts w:ascii="Garamond" w:hAnsi="Garamond" w:cs="Arial"/>
          <w:sz w:val="24"/>
          <w:szCs w:val="24"/>
        </w:rPr>
        <w:t xml:space="preserve"> </w:t>
      </w:r>
      <w:r w:rsidR="00496CB2" w:rsidRPr="003A1174">
        <w:rPr>
          <w:rFonts w:ascii="Garamond" w:hAnsi="Garamond" w:cs="Arial"/>
          <w:sz w:val="24"/>
          <w:szCs w:val="24"/>
        </w:rPr>
        <w:t xml:space="preserve">para </w:t>
      </w:r>
      <w:r w:rsidR="002E3605" w:rsidRPr="003A1174">
        <w:rPr>
          <w:rFonts w:ascii="Garamond" w:hAnsi="Garamond" w:cs="Arial"/>
          <w:sz w:val="24"/>
          <w:szCs w:val="24"/>
        </w:rPr>
        <w:t xml:space="preserve">a </w:t>
      </w:r>
      <w:r w:rsidR="00496CB2" w:rsidRPr="003A1174">
        <w:rPr>
          <w:rFonts w:ascii="Garamond" w:hAnsi="Garamond" w:cs="Arial"/>
          <w:sz w:val="24"/>
          <w:szCs w:val="24"/>
        </w:rPr>
        <w:t>su</w:t>
      </w:r>
      <w:r w:rsidR="002E3605" w:rsidRPr="003A1174">
        <w:rPr>
          <w:rFonts w:ascii="Garamond" w:hAnsi="Garamond" w:cs="Arial"/>
          <w:sz w:val="24"/>
          <w:szCs w:val="24"/>
        </w:rPr>
        <w:t>a</w:t>
      </w:r>
      <w:r w:rsidR="00496CB2" w:rsidRPr="003A1174">
        <w:rPr>
          <w:rFonts w:ascii="Garamond" w:hAnsi="Garamond" w:cs="Arial"/>
          <w:sz w:val="24"/>
          <w:szCs w:val="24"/>
        </w:rPr>
        <w:t xml:space="preserve"> estabiliza</w:t>
      </w:r>
      <w:r w:rsidR="002E3605" w:rsidRPr="003A1174">
        <w:rPr>
          <w:rFonts w:ascii="Garamond" w:hAnsi="Garamond" w:cs="Arial"/>
          <w:sz w:val="24"/>
          <w:szCs w:val="24"/>
        </w:rPr>
        <w:t>ção</w:t>
      </w:r>
      <w:r w:rsidR="00050C3B" w:rsidRPr="003A1174">
        <w:rPr>
          <w:rFonts w:ascii="Garamond" w:hAnsi="Garamond" w:cs="Arial"/>
          <w:sz w:val="24"/>
          <w:szCs w:val="24"/>
        </w:rPr>
        <w:t>, para que se</w:t>
      </w:r>
      <w:r w:rsidR="002E3605" w:rsidRPr="003A1174">
        <w:rPr>
          <w:rFonts w:ascii="Garamond" w:hAnsi="Garamond" w:cs="Arial"/>
          <w:sz w:val="24"/>
          <w:szCs w:val="24"/>
        </w:rPr>
        <w:t>j</w:t>
      </w:r>
      <w:r w:rsidR="00050C3B" w:rsidRPr="003A1174">
        <w:rPr>
          <w:rFonts w:ascii="Garamond" w:hAnsi="Garamond" w:cs="Arial"/>
          <w:sz w:val="24"/>
          <w:szCs w:val="24"/>
        </w:rPr>
        <w:t xml:space="preserve">a capaz </w:t>
      </w:r>
      <w:r w:rsidR="002E3605" w:rsidRPr="003A1174">
        <w:rPr>
          <w:rFonts w:ascii="Garamond" w:hAnsi="Garamond" w:cs="Arial"/>
          <w:sz w:val="24"/>
          <w:szCs w:val="24"/>
        </w:rPr>
        <w:t xml:space="preserve">de enfrentar o </w:t>
      </w:r>
      <w:r w:rsidR="002D1021" w:rsidRPr="003A1174">
        <w:rPr>
          <w:rFonts w:ascii="Garamond" w:hAnsi="Garamond" w:cs="Arial"/>
          <w:sz w:val="24"/>
          <w:szCs w:val="24"/>
        </w:rPr>
        <w:t>processo</w:t>
      </w:r>
      <w:r w:rsidR="00496CB2" w:rsidRPr="003A1174">
        <w:rPr>
          <w:rFonts w:ascii="Garamond" w:hAnsi="Garamond" w:cs="Arial"/>
          <w:sz w:val="24"/>
          <w:szCs w:val="24"/>
        </w:rPr>
        <w:t xml:space="preserve"> </w:t>
      </w:r>
      <w:r w:rsidR="002E3605" w:rsidRPr="003A1174">
        <w:rPr>
          <w:rFonts w:ascii="Garamond" w:hAnsi="Garamond" w:cs="Arial"/>
          <w:sz w:val="24"/>
          <w:szCs w:val="24"/>
        </w:rPr>
        <w:t xml:space="preserve">de </w:t>
      </w:r>
      <w:r w:rsidR="00496CB2" w:rsidRPr="003A1174">
        <w:rPr>
          <w:rFonts w:ascii="Garamond" w:hAnsi="Garamond" w:cs="Arial"/>
          <w:sz w:val="24"/>
          <w:szCs w:val="24"/>
        </w:rPr>
        <w:t>investiga</w:t>
      </w:r>
      <w:r w:rsidR="002E3605" w:rsidRPr="003A1174">
        <w:rPr>
          <w:rFonts w:ascii="Garamond" w:hAnsi="Garamond" w:cs="Arial"/>
          <w:sz w:val="24"/>
          <w:szCs w:val="24"/>
        </w:rPr>
        <w:t xml:space="preserve">ção e o </w:t>
      </w:r>
      <w:r w:rsidR="00496CB2" w:rsidRPr="003A1174">
        <w:rPr>
          <w:rFonts w:ascii="Garamond" w:hAnsi="Garamond" w:cs="Arial"/>
          <w:sz w:val="24"/>
          <w:szCs w:val="24"/>
        </w:rPr>
        <w:t>judicial</w:t>
      </w:r>
      <w:r w:rsidR="00050C3B" w:rsidRPr="003A1174">
        <w:rPr>
          <w:rFonts w:ascii="Garamond" w:hAnsi="Garamond" w:cs="Arial"/>
          <w:sz w:val="24"/>
          <w:szCs w:val="24"/>
        </w:rPr>
        <w:t>;</w:t>
      </w:r>
      <w:r w:rsidR="00496CB2" w:rsidRPr="003A1174">
        <w:rPr>
          <w:rFonts w:ascii="Garamond" w:hAnsi="Garamond" w:cs="Arial"/>
          <w:sz w:val="24"/>
          <w:szCs w:val="24"/>
        </w:rPr>
        <w:t xml:space="preserve"> </w:t>
      </w:r>
      <w:r w:rsidR="00A979E3">
        <w:rPr>
          <w:rFonts w:ascii="Garamond" w:hAnsi="Garamond" w:cs="Arial"/>
          <w:sz w:val="24"/>
          <w:szCs w:val="24"/>
        </w:rPr>
        <w:t>encaminham-se os referidos processos</w:t>
      </w:r>
      <w:r w:rsidR="00496CB2" w:rsidRPr="003A1174">
        <w:rPr>
          <w:rFonts w:ascii="Garamond" w:hAnsi="Garamond" w:cs="Arial"/>
          <w:sz w:val="24"/>
          <w:szCs w:val="24"/>
        </w:rPr>
        <w:t xml:space="preserve"> aos </w:t>
      </w:r>
      <w:r w:rsidR="000350B1" w:rsidRPr="003A1174">
        <w:rPr>
          <w:rFonts w:ascii="Garamond" w:hAnsi="Garamond" w:cs="Arial"/>
          <w:sz w:val="24"/>
          <w:szCs w:val="24"/>
        </w:rPr>
        <w:t>profissionais</w:t>
      </w:r>
      <w:r w:rsidR="00496CB2" w:rsidRPr="003A1174">
        <w:rPr>
          <w:rFonts w:ascii="Garamond" w:hAnsi="Garamond" w:cs="Arial"/>
          <w:sz w:val="24"/>
          <w:szCs w:val="24"/>
        </w:rPr>
        <w:t xml:space="preserve"> de </w:t>
      </w:r>
      <w:r w:rsidR="007C63D0" w:rsidRPr="003A1174">
        <w:rPr>
          <w:rFonts w:ascii="Garamond" w:hAnsi="Garamond" w:cs="Arial"/>
          <w:sz w:val="24"/>
          <w:szCs w:val="24"/>
        </w:rPr>
        <w:t>saúde</w:t>
      </w:r>
      <w:r w:rsidR="00496CB2" w:rsidRPr="003A1174">
        <w:rPr>
          <w:rFonts w:ascii="Garamond" w:hAnsi="Garamond" w:cs="Arial"/>
          <w:sz w:val="24"/>
          <w:szCs w:val="24"/>
        </w:rPr>
        <w:t xml:space="preserve"> mental </w:t>
      </w:r>
      <w:r w:rsidR="003E1D8A" w:rsidRPr="003A1174">
        <w:rPr>
          <w:rFonts w:ascii="Garamond" w:hAnsi="Garamond" w:cs="Arial"/>
          <w:sz w:val="24"/>
          <w:szCs w:val="24"/>
        </w:rPr>
        <w:t>correspondente</w:t>
      </w:r>
      <w:r w:rsidR="00496CB2" w:rsidRPr="003A1174">
        <w:rPr>
          <w:rFonts w:ascii="Garamond" w:hAnsi="Garamond" w:cs="Arial"/>
          <w:sz w:val="24"/>
          <w:szCs w:val="24"/>
        </w:rPr>
        <w:t>s</w:t>
      </w:r>
      <w:r w:rsidR="00EE04FF">
        <w:rPr>
          <w:rFonts w:ascii="Garamond" w:hAnsi="Garamond" w:cs="Arial"/>
          <w:sz w:val="24"/>
          <w:szCs w:val="24"/>
        </w:rPr>
        <w:t>,</w:t>
      </w:r>
      <w:r w:rsidR="00496CB2" w:rsidRPr="003A1174">
        <w:rPr>
          <w:rFonts w:ascii="Garamond" w:hAnsi="Garamond" w:cs="Arial"/>
          <w:sz w:val="24"/>
          <w:szCs w:val="24"/>
        </w:rPr>
        <w:t xml:space="preserve"> </w:t>
      </w:r>
      <w:r w:rsidR="00050C3B" w:rsidRPr="003A1174">
        <w:rPr>
          <w:rFonts w:ascii="Garamond" w:hAnsi="Garamond" w:cs="Arial"/>
          <w:sz w:val="24"/>
          <w:szCs w:val="24"/>
        </w:rPr>
        <w:t>para</w:t>
      </w:r>
      <w:r w:rsidR="00496CB2" w:rsidRPr="003A1174">
        <w:rPr>
          <w:rFonts w:ascii="Garamond" w:hAnsi="Garamond" w:cs="Arial"/>
          <w:sz w:val="24"/>
          <w:szCs w:val="24"/>
        </w:rPr>
        <w:t xml:space="preserve"> </w:t>
      </w:r>
      <w:r w:rsidR="00EE04FF">
        <w:rPr>
          <w:rFonts w:ascii="Garamond" w:hAnsi="Garamond" w:cs="Arial"/>
          <w:sz w:val="24"/>
          <w:szCs w:val="24"/>
        </w:rPr>
        <w:t xml:space="preserve">tornar viável </w:t>
      </w:r>
      <w:r w:rsidR="002E3605" w:rsidRPr="003A1174">
        <w:rPr>
          <w:rFonts w:ascii="Garamond" w:hAnsi="Garamond" w:cs="Arial"/>
          <w:sz w:val="24"/>
          <w:szCs w:val="24"/>
        </w:rPr>
        <w:t>a sobrevivê</w:t>
      </w:r>
      <w:r w:rsidR="00496CB2" w:rsidRPr="003A1174">
        <w:rPr>
          <w:rFonts w:ascii="Garamond" w:hAnsi="Garamond" w:cs="Arial"/>
          <w:sz w:val="24"/>
          <w:szCs w:val="24"/>
        </w:rPr>
        <w:t>ncia d</w:t>
      </w:r>
      <w:r w:rsidR="002E3605" w:rsidRPr="003A1174">
        <w:rPr>
          <w:rFonts w:ascii="Garamond" w:hAnsi="Garamond" w:cs="Arial"/>
          <w:sz w:val="24"/>
          <w:szCs w:val="24"/>
        </w:rPr>
        <w:t xml:space="preserve">as vítimas, </w:t>
      </w:r>
      <w:r w:rsidR="00EE04FF">
        <w:rPr>
          <w:rFonts w:ascii="Garamond" w:hAnsi="Garamond" w:cs="Arial"/>
          <w:sz w:val="24"/>
          <w:szCs w:val="24"/>
        </w:rPr>
        <w:t>bem como a dos</w:t>
      </w:r>
      <w:r w:rsidR="002E3605" w:rsidRPr="003A1174">
        <w:rPr>
          <w:rFonts w:ascii="Garamond" w:hAnsi="Garamond" w:cs="Arial"/>
          <w:sz w:val="24"/>
          <w:szCs w:val="24"/>
        </w:rPr>
        <w:t xml:space="preserve"> </w:t>
      </w:r>
      <w:r w:rsidR="00050C3B" w:rsidRPr="003A1174">
        <w:rPr>
          <w:rFonts w:ascii="Garamond" w:hAnsi="Garamond" w:cs="Arial"/>
          <w:sz w:val="24"/>
          <w:szCs w:val="24"/>
        </w:rPr>
        <w:t>s</w:t>
      </w:r>
      <w:r w:rsidR="002E3605" w:rsidRPr="003A1174">
        <w:rPr>
          <w:rFonts w:ascii="Garamond" w:hAnsi="Garamond" w:cs="Arial"/>
          <w:sz w:val="24"/>
          <w:szCs w:val="24"/>
        </w:rPr>
        <w:t>e</w:t>
      </w:r>
      <w:r w:rsidR="00050C3B" w:rsidRPr="003A1174">
        <w:rPr>
          <w:rFonts w:ascii="Garamond" w:hAnsi="Garamond" w:cs="Arial"/>
          <w:sz w:val="24"/>
          <w:szCs w:val="24"/>
        </w:rPr>
        <w:t xml:space="preserve">us </w:t>
      </w:r>
      <w:r w:rsidR="007A2492" w:rsidRPr="003A1174">
        <w:rPr>
          <w:rFonts w:ascii="Garamond" w:hAnsi="Garamond" w:cs="Arial"/>
          <w:sz w:val="24"/>
          <w:szCs w:val="24"/>
        </w:rPr>
        <w:t>filho</w:t>
      </w:r>
      <w:r w:rsidR="00496CB2" w:rsidRPr="003A1174">
        <w:rPr>
          <w:rFonts w:ascii="Garamond" w:hAnsi="Garamond" w:cs="Arial"/>
          <w:sz w:val="24"/>
          <w:szCs w:val="24"/>
        </w:rPr>
        <w:t xml:space="preserve">s menores de </w:t>
      </w:r>
      <w:r w:rsidR="007342D9" w:rsidRPr="003A1174">
        <w:rPr>
          <w:rFonts w:ascii="Garamond" w:hAnsi="Garamond" w:cs="Arial"/>
          <w:sz w:val="24"/>
          <w:szCs w:val="24"/>
        </w:rPr>
        <w:t>idade</w:t>
      </w:r>
      <w:r w:rsidR="00496CB2" w:rsidRPr="003A1174">
        <w:rPr>
          <w:rFonts w:ascii="Garamond" w:hAnsi="Garamond" w:cs="Arial"/>
          <w:sz w:val="24"/>
          <w:szCs w:val="24"/>
        </w:rPr>
        <w:t xml:space="preserve"> o</w:t>
      </w:r>
      <w:r w:rsidR="002E3605" w:rsidRPr="003A1174">
        <w:rPr>
          <w:rFonts w:ascii="Garamond" w:hAnsi="Garamond" w:cs="Arial"/>
          <w:sz w:val="24"/>
          <w:szCs w:val="24"/>
        </w:rPr>
        <w:t>u</w:t>
      </w:r>
      <w:r w:rsidR="00496CB2" w:rsidRPr="003A1174">
        <w:rPr>
          <w:rFonts w:ascii="Garamond" w:hAnsi="Garamond" w:cs="Arial"/>
          <w:sz w:val="24"/>
          <w:szCs w:val="24"/>
        </w:rPr>
        <w:t xml:space="preserve"> </w:t>
      </w:r>
      <w:r w:rsidR="00B5431B" w:rsidRPr="003A1174">
        <w:rPr>
          <w:rFonts w:ascii="Garamond" w:hAnsi="Garamond" w:cs="Arial"/>
          <w:sz w:val="24"/>
          <w:szCs w:val="24"/>
        </w:rPr>
        <w:t>dependente</w:t>
      </w:r>
      <w:r w:rsidR="00496CB2" w:rsidRPr="003A1174">
        <w:rPr>
          <w:rFonts w:ascii="Garamond" w:hAnsi="Garamond" w:cs="Arial"/>
          <w:sz w:val="24"/>
          <w:szCs w:val="24"/>
        </w:rPr>
        <w:t>s.</w:t>
      </w:r>
    </w:p>
    <w:p w:rsidR="00496CB2" w:rsidRPr="003A1174" w:rsidRDefault="001B7D0B" w:rsidP="008719D4">
      <w:pPr>
        <w:pStyle w:val="Ttulo4"/>
        <w:spacing w:line="240" w:lineRule="auto"/>
        <w:rPr>
          <w:rFonts w:ascii="Garamond" w:hAnsi="Garamond"/>
          <w:sz w:val="24"/>
          <w:szCs w:val="24"/>
        </w:rPr>
      </w:pPr>
      <w:r>
        <w:rPr>
          <w:rFonts w:ascii="Garamond" w:hAnsi="Garamond"/>
          <w:sz w:val="24"/>
          <w:szCs w:val="24"/>
        </w:rPr>
        <w:t>Formação</w:t>
      </w:r>
      <w:r w:rsidR="007E292D" w:rsidRPr="003A1174">
        <w:rPr>
          <w:rFonts w:ascii="Garamond" w:hAnsi="Garamond"/>
          <w:sz w:val="24"/>
          <w:szCs w:val="24"/>
        </w:rPr>
        <w:t>/</w:t>
      </w:r>
      <w:r w:rsidR="00976FB8" w:rsidRPr="003A1174">
        <w:rPr>
          <w:rFonts w:ascii="Garamond" w:hAnsi="Garamond"/>
          <w:sz w:val="24"/>
          <w:szCs w:val="24"/>
        </w:rPr>
        <w:t>sensibilização</w:t>
      </w:r>
      <w:r w:rsidR="007E292D" w:rsidRPr="003A1174">
        <w:rPr>
          <w:rFonts w:ascii="Garamond" w:hAnsi="Garamond"/>
          <w:sz w:val="24"/>
          <w:szCs w:val="24"/>
        </w:rPr>
        <w:t xml:space="preserve"> de operadores </w:t>
      </w:r>
      <w:r w:rsidR="00E85E59" w:rsidRPr="003A1174">
        <w:rPr>
          <w:rFonts w:ascii="Garamond" w:hAnsi="Garamond"/>
          <w:sz w:val="24"/>
          <w:szCs w:val="24"/>
        </w:rPr>
        <w:t>do</w:t>
      </w:r>
      <w:r w:rsidR="007E292D" w:rsidRPr="003A1174">
        <w:rPr>
          <w:rFonts w:ascii="Garamond" w:hAnsi="Garamond"/>
          <w:sz w:val="24"/>
          <w:szCs w:val="24"/>
        </w:rPr>
        <w:t xml:space="preserve"> Sistema </w:t>
      </w:r>
      <w:r>
        <w:rPr>
          <w:rFonts w:ascii="Garamond" w:hAnsi="Garamond"/>
          <w:sz w:val="24"/>
          <w:szCs w:val="24"/>
        </w:rPr>
        <w:t>Judicial</w:t>
      </w:r>
    </w:p>
    <w:p w:rsidR="00496CB2" w:rsidRPr="003A1174" w:rsidRDefault="0017447A" w:rsidP="008719D4">
      <w:pPr>
        <w:spacing w:before="240" w:line="240" w:lineRule="auto"/>
        <w:jc w:val="both"/>
        <w:rPr>
          <w:rFonts w:ascii="Garamond" w:hAnsi="Garamond" w:cs="Arial"/>
          <w:sz w:val="24"/>
          <w:szCs w:val="24"/>
        </w:rPr>
      </w:pPr>
      <w:r w:rsidRPr="003A1174">
        <w:rPr>
          <w:rFonts w:ascii="Garamond" w:hAnsi="Garamond" w:cs="Arial"/>
          <w:sz w:val="24"/>
          <w:szCs w:val="24"/>
        </w:rPr>
        <w:t>Porto</w:t>
      </w:r>
      <w:r w:rsidR="00496CB2" w:rsidRPr="003A1174">
        <w:rPr>
          <w:rFonts w:ascii="Garamond" w:hAnsi="Garamond" w:cs="Arial"/>
          <w:sz w:val="24"/>
          <w:szCs w:val="24"/>
        </w:rPr>
        <w:t xml:space="preserve"> Rico </w:t>
      </w:r>
      <w:r w:rsidR="007A2492" w:rsidRPr="003A1174">
        <w:rPr>
          <w:rFonts w:ascii="Garamond" w:hAnsi="Garamond" w:cs="Arial"/>
          <w:sz w:val="24"/>
          <w:szCs w:val="24"/>
        </w:rPr>
        <w:t>avanç</w:t>
      </w:r>
      <w:r w:rsidR="002E3605" w:rsidRPr="003A1174">
        <w:rPr>
          <w:rFonts w:ascii="Garamond" w:hAnsi="Garamond" w:cs="Arial"/>
          <w:sz w:val="24"/>
          <w:szCs w:val="24"/>
        </w:rPr>
        <w:t xml:space="preserve">ou em </w:t>
      </w:r>
      <w:r w:rsidR="00EF645F" w:rsidRPr="003A1174">
        <w:rPr>
          <w:rFonts w:ascii="Garamond" w:hAnsi="Garamond" w:cs="Arial"/>
          <w:sz w:val="24"/>
          <w:szCs w:val="24"/>
        </w:rPr>
        <w:t>matéria</w:t>
      </w:r>
      <w:r w:rsidR="00496CB2" w:rsidRPr="003A1174">
        <w:rPr>
          <w:rFonts w:ascii="Garamond" w:hAnsi="Garamond" w:cs="Arial"/>
          <w:sz w:val="24"/>
          <w:szCs w:val="24"/>
        </w:rPr>
        <w:t xml:space="preserve"> de </w:t>
      </w:r>
      <w:r w:rsidR="002A71E1">
        <w:rPr>
          <w:rFonts w:ascii="Garamond" w:hAnsi="Garamond" w:cs="Arial"/>
          <w:sz w:val="24"/>
          <w:szCs w:val="24"/>
        </w:rPr>
        <w:t>formação</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976FB8" w:rsidRPr="003A1174">
        <w:rPr>
          <w:rFonts w:ascii="Garamond" w:hAnsi="Garamond" w:cs="Arial"/>
          <w:sz w:val="24"/>
          <w:szCs w:val="24"/>
        </w:rPr>
        <w:t>sensibilização</w:t>
      </w:r>
      <w:r w:rsidR="00496CB2" w:rsidRPr="003A1174">
        <w:rPr>
          <w:rFonts w:ascii="Garamond" w:hAnsi="Garamond" w:cs="Arial"/>
          <w:sz w:val="24"/>
          <w:szCs w:val="24"/>
        </w:rPr>
        <w:t xml:space="preserve"> </w:t>
      </w:r>
      <w:r w:rsidR="002E3605" w:rsidRPr="003A1174">
        <w:rPr>
          <w:rFonts w:ascii="Garamond" w:hAnsi="Garamond" w:cs="Arial"/>
          <w:sz w:val="24"/>
          <w:szCs w:val="24"/>
        </w:rPr>
        <w:t>d</w:t>
      </w:r>
      <w:r w:rsidR="00496CB2" w:rsidRPr="003A1174">
        <w:rPr>
          <w:rFonts w:ascii="Garamond" w:hAnsi="Garamond" w:cs="Arial"/>
          <w:sz w:val="24"/>
          <w:szCs w:val="24"/>
        </w:rPr>
        <w:t xml:space="preserve">os operadores </w:t>
      </w:r>
      <w:r w:rsidR="00E85E59" w:rsidRPr="003A1174">
        <w:rPr>
          <w:rFonts w:ascii="Garamond" w:hAnsi="Garamond" w:cs="Arial"/>
          <w:sz w:val="24"/>
          <w:szCs w:val="24"/>
        </w:rPr>
        <w:t>do</w:t>
      </w:r>
      <w:r w:rsidR="00496CB2" w:rsidRPr="003A1174">
        <w:rPr>
          <w:rFonts w:ascii="Garamond" w:hAnsi="Garamond" w:cs="Arial"/>
          <w:sz w:val="24"/>
          <w:szCs w:val="24"/>
        </w:rPr>
        <w:t xml:space="preserve"> sistema </w:t>
      </w:r>
      <w:r w:rsidR="00DA3275">
        <w:rPr>
          <w:rFonts w:ascii="Garamond" w:hAnsi="Garamond" w:cs="Arial"/>
          <w:sz w:val="24"/>
          <w:szCs w:val="24"/>
        </w:rPr>
        <w:t>judicial</w:t>
      </w:r>
      <w:r w:rsidR="00EE04FF">
        <w:rPr>
          <w:rFonts w:ascii="Garamond" w:hAnsi="Garamond" w:cs="Arial"/>
          <w:sz w:val="24"/>
          <w:szCs w:val="24"/>
        </w:rPr>
        <w:t xml:space="preserve"> no que respeita ao </w:t>
      </w:r>
      <w:r w:rsidR="00886D6A" w:rsidRPr="003A1174">
        <w:rPr>
          <w:rFonts w:ascii="Garamond" w:hAnsi="Garamond" w:cs="Arial"/>
          <w:sz w:val="24"/>
          <w:szCs w:val="24"/>
        </w:rPr>
        <w:t>acesso</w:t>
      </w:r>
      <w:r w:rsidR="00496CB2" w:rsidRPr="003A1174">
        <w:rPr>
          <w:rFonts w:ascii="Garamond" w:hAnsi="Garamond" w:cs="Arial"/>
          <w:sz w:val="24"/>
          <w:szCs w:val="24"/>
        </w:rPr>
        <w:t xml:space="preserve"> </w:t>
      </w:r>
      <w:r w:rsidR="00BB2B00" w:rsidRPr="003A1174">
        <w:rPr>
          <w:rFonts w:ascii="Garamond" w:hAnsi="Garamond" w:cs="Arial"/>
          <w:sz w:val="24"/>
          <w:szCs w:val="24"/>
        </w:rPr>
        <w:t>à</w:t>
      </w:r>
      <w:r w:rsidR="00496CB2" w:rsidRPr="003A1174">
        <w:rPr>
          <w:rFonts w:ascii="Garamond" w:hAnsi="Garamond" w:cs="Arial"/>
          <w:sz w:val="24"/>
          <w:szCs w:val="24"/>
        </w:rPr>
        <w:t xml:space="preserve"> </w:t>
      </w:r>
      <w:r w:rsidR="00FC1F7F" w:rsidRPr="003A1174">
        <w:rPr>
          <w:rFonts w:ascii="Garamond" w:hAnsi="Garamond" w:cs="Arial"/>
          <w:sz w:val="24"/>
          <w:szCs w:val="24"/>
        </w:rPr>
        <w:t>justiça</w:t>
      </w:r>
      <w:r w:rsidR="00496CB2" w:rsidRPr="003A1174">
        <w:rPr>
          <w:rFonts w:ascii="Garamond" w:hAnsi="Garamond" w:cs="Arial"/>
          <w:sz w:val="24"/>
          <w:szCs w:val="24"/>
        </w:rPr>
        <w:t xml:space="preserve"> </w:t>
      </w:r>
      <w:r w:rsidR="00EE04FF">
        <w:rPr>
          <w:rFonts w:ascii="Garamond" w:hAnsi="Garamond" w:cs="Arial"/>
          <w:sz w:val="24"/>
          <w:szCs w:val="24"/>
        </w:rPr>
        <w:t xml:space="preserve">por parte </w:t>
      </w:r>
      <w:r w:rsidR="00496CB2" w:rsidRPr="003A1174">
        <w:rPr>
          <w:rFonts w:ascii="Garamond" w:hAnsi="Garamond" w:cs="Arial"/>
          <w:sz w:val="24"/>
          <w:szCs w:val="24"/>
        </w:rPr>
        <w:t xml:space="preserve">de </w:t>
      </w:r>
      <w:r w:rsidR="00054EE0" w:rsidRPr="003A1174">
        <w:rPr>
          <w:rFonts w:ascii="Garamond" w:hAnsi="Garamond" w:cs="Arial"/>
          <w:sz w:val="24"/>
          <w:szCs w:val="24"/>
        </w:rPr>
        <w:t>mulheres</w:t>
      </w:r>
      <w:r w:rsidR="00496CB2" w:rsidRPr="003A1174">
        <w:rPr>
          <w:rFonts w:ascii="Garamond" w:hAnsi="Garamond" w:cs="Arial"/>
          <w:sz w:val="24"/>
          <w:szCs w:val="24"/>
        </w:rPr>
        <w:t xml:space="preserve"> </w:t>
      </w:r>
      <w:r w:rsidR="003F012B" w:rsidRPr="003A1174">
        <w:rPr>
          <w:rFonts w:ascii="Garamond" w:hAnsi="Garamond" w:cs="Arial"/>
          <w:sz w:val="24"/>
          <w:szCs w:val="24"/>
        </w:rPr>
        <w:t>vítima</w:t>
      </w:r>
      <w:r w:rsidR="00496CB2" w:rsidRPr="003A1174">
        <w:rPr>
          <w:rFonts w:ascii="Garamond" w:hAnsi="Garamond" w:cs="Arial"/>
          <w:sz w:val="24"/>
          <w:szCs w:val="24"/>
        </w:rPr>
        <w:t xml:space="preserve">s de </w:t>
      </w:r>
      <w:r w:rsidR="000350B1" w:rsidRPr="003A1174">
        <w:rPr>
          <w:rFonts w:ascii="Garamond" w:hAnsi="Garamond" w:cs="Arial"/>
          <w:sz w:val="24"/>
          <w:szCs w:val="24"/>
        </w:rPr>
        <w:t>violência</w:t>
      </w:r>
      <w:r w:rsidR="00496CB2" w:rsidRPr="003A1174">
        <w:rPr>
          <w:rFonts w:ascii="Garamond" w:hAnsi="Garamond" w:cs="Arial"/>
          <w:sz w:val="24"/>
          <w:szCs w:val="24"/>
        </w:rPr>
        <w:t xml:space="preserve"> de género, </w:t>
      </w:r>
      <w:r w:rsidR="002E3605" w:rsidRPr="003A1174">
        <w:rPr>
          <w:rFonts w:ascii="Garamond" w:hAnsi="Garamond" w:cs="Arial"/>
          <w:sz w:val="24"/>
          <w:szCs w:val="24"/>
        </w:rPr>
        <w:t xml:space="preserve">porém, </w:t>
      </w:r>
      <w:r w:rsidR="0091213A" w:rsidRPr="003A1174">
        <w:rPr>
          <w:rFonts w:ascii="Garamond" w:hAnsi="Garamond" w:cs="Arial"/>
          <w:sz w:val="24"/>
          <w:szCs w:val="24"/>
        </w:rPr>
        <w:t>reconhece</w:t>
      </w:r>
      <w:r w:rsidR="002E3605" w:rsidRPr="003A1174">
        <w:rPr>
          <w:rFonts w:ascii="Garamond" w:hAnsi="Garamond" w:cs="Arial"/>
          <w:sz w:val="24"/>
          <w:szCs w:val="24"/>
        </w:rPr>
        <w:t>-se</w:t>
      </w:r>
      <w:r w:rsidR="00DA3275">
        <w:rPr>
          <w:rFonts w:ascii="Garamond" w:hAnsi="Garamond" w:cs="Arial"/>
          <w:sz w:val="24"/>
          <w:szCs w:val="24"/>
        </w:rPr>
        <w:t>,</w:t>
      </w:r>
      <w:r w:rsidR="00496CB2" w:rsidRPr="003A1174">
        <w:rPr>
          <w:rFonts w:ascii="Garamond" w:hAnsi="Garamond" w:cs="Arial"/>
          <w:sz w:val="24"/>
          <w:szCs w:val="24"/>
        </w:rPr>
        <w:t xml:space="preserve"> que </w:t>
      </w:r>
      <w:r w:rsidR="0092320D" w:rsidRPr="003A1174">
        <w:rPr>
          <w:rFonts w:ascii="Garamond" w:hAnsi="Garamond" w:cs="Arial"/>
          <w:sz w:val="24"/>
          <w:szCs w:val="24"/>
        </w:rPr>
        <w:t>a</w:t>
      </w:r>
      <w:r w:rsidR="002E3605" w:rsidRPr="003A1174">
        <w:rPr>
          <w:rFonts w:ascii="Garamond" w:hAnsi="Garamond" w:cs="Arial"/>
          <w:sz w:val="24"/>
          <w:szCs w:val="24"/>
        </w:rPr>
        <w:t>inda</w:t>
      </w:r>
      <w:r w:rsidR="00DA3275">
        <w:rPr>
          <w:rFonts w:ascii="Garamond" w:hAnsi="Garamond" w:cs="Arial"/>
          <w:sz w:val="24"/>
          <w:szCs w:val="24"/>
        </w:rPr>
        <w:t xml:space="preserve"> há muito por fazer</w:t>
      </w:r>
      <w:r w:rsidR="00496CB2" w:rsidRPr="003A1174">
        <w:rPr>
          <w:rFonts w:ascii="Garamond" w:hAnsi="Garamond" w:cs="Arial"/>
          <w:sz w:val="24"/>
          <w:szCs w:val="24"/>
        </w:rPr>
        <w:t xml:space="preserve">. </w:t>
      </w:r>
      <w:r w:rsidR="009B133A" w:rsidRPr="003A1174">
        <w:rPr>
          <w:rFonts w:ascii="Garamond" w:hAnsi="Garamond" w:cs="Arial"/>
          <w:sz w:val="24"/>
          <w:szCs w:val="24"/>
        </w:rPr>
        <w:t>Especificamente</w:t>
      </w:r>
      <w:r w:rsidR="00EE04FF">
        <w:rPr>
          <w:rFonts w:ascii="Garamond" w:hAnsi="Garamond" w:cs="Arial"/>
          <w:sz w:val="24"/>
          <w:szCs w:val="24"/>
        </w:rPr>
        <w:t>,</w:t>
      </w:r>
      <w:r w:rsidR="00496CB2" w:rsidRPr="003A1174">
        <w:rPr>
          <w:rFonts w:ascii="Garamond" w:hAnsi="Garamond" w:cs="Arial"/>
          <w:sz w:val="24"/>
          <w:szCs w:val="24"/>
        </w:rPr>
        <w:t xml:space="preserve"> </w:t>
      </w:r>
      <w:r w:rsidR="00DA3275">
        <w:rPr>
          <w:rFonts w:ascii="Garamond" w:hAnsi="Garamond" w:cs="Arial"/>
          <w:sz w:val="24"/>
          <w:szCs w:val="24"/>
        </w:rPr>
        <w:t xml:space="preserve">no ano de </w:t>
      </w:r>
      <w:r w:rsidR="00496CB2" w:rsidRPr="003A1174">
        <w:rPr>
          <w:rFonts w:ascii="Garamond" w:hAnsi="Garamond" w:cs="Arial"/>
          <w:sz w:val="24"/>
          <w:szCs w:val="24"/>
        </w:rPr>
        <w:t>2</w:t>
      </w:r>
      <w:r w:rsidR="002E3605" w:rsidRPr="003A1174">
        <w:rPr>
          <w:rFonts w:ascii="Garamond" w:hAnsi="Garamond" w:cs="Arial"/>
          <w:sz w:val="24"/>
          <w:szCs w:val="24"/>
        </w:rPr>
        <w:t xml:space="preserve">013, </w:t>
      </w:r>
      <w:r w:rsidR="00496CB2" w:rsidRPr="003A1174">
        <w:rPr>
          <w:rFonts w:ascii="Garamond" w:hAnsi="Garamond" w:cs="Arial"/>
          <w:sz w:val="24"/>
          <w:szCs w:val="24"/>
        </w:rPr>
        <w:t xml:space="preserve">a OPM </w:t>
      </w:r>
      <w:r w:rsidR="00DA3275">
        <w:rPr>
          <w:rFonts w:ascii="Garamond" w:hAnsi="Garamond" w:cs="Arial"/>
          <w:sz w:val="24"/>
          <w:szCs w:val="24"/>
        </w:rPr>
        <w:t>formou</w:t>
      </w:r>
      <w:r w:rsidR="00496CB2" w:rsidRPr="003A1174">
        <w:rPr>
          <w:rFonts w:ascii="Garamond" w:hAnsi="Garamond" w:cs="Arial"/>
          <w:sz w:val="24"/>
          <w:szCs w:val="24"/>
        </w:rPr>
        <w:t xml:space="preserve"> 10</w:t>
      </w:r>
      <w:r w:rsidR="00EE04FF">
        <w:rPr>
          <w:rFonts w:ascii="Garamond" w:hAnsi="Garamond" w:cs="Arial"/>
          <w:sz w:val="24"/>
          <w:szCs w:val="24"/>
        </w:rPr>
        <w:t xml:space="preserve"> </w:t>
      </w:r>
      <w:r w:rsidR="00496CB2" w:rsidRPr="003A1174">
        <w:rPr>
          <w:rFonts w:ascii="Garamond" w:hAnsi="Garamond" w:cs="Arial"/>
          <w:sz w:val="24"/>
          <w:szCs w:val="24"/>
        </w:rPr>
        <w:t xml:space="preserve">270 </w:t>
      </w:r>
      <w:r w:rsidR="006C760C" w:rsidRPr="003A1174">
        <w:rPr>
          <w:rFonts w:ascii="Garamond" w:hAnsi="Garamond" w:cs="Arial"/>
          <w:sz w:val="24"/>
          <w:szCs w:val="24"/>
        </w:rPr>
        <w:t>pessoas</w:t>
      </w:r>
      <w:r w:rsidR="002415ED" w:rsidRPr="003A1174">
        <w:rPr>
          <w:rFonts w:ascii="Garamond" w:hAnsi="Garamond" w:cs="Arial"/>
          <w:sz w:val="24"/>
          <w:szCs w:val="24"/>
        </w:rPr>
        <w:t xml:space="preserve">, </w:t>
      </w:r>
      <w:r w:rsidR="003E6403" w:rsidRPr="003A1174">
        <w:rPr>
          <w:rFonts w:ascii="Garamond" w:hAnsi="Garamond" w:cs="Arial"/>
          <w:sz w:val="24"/>
          <w:szCs w:val="24"/>
        </w:rPr>
        <w:t>funcionári</w:t>
      </w:r>
      <w:r w:rsidR="00496CB2" w:rsidRPr="003A1174">
        <w:rPr>
          <w:rFonts w:ascii="Garamond" w:hAnsi="Garamond" w:cs="Arial"/>
          <w:sz w:val="24"/>
          <w:szCs w:val="24"/>
        </w:rPr>
        <w:t xml:space="preserve">os de 187 </w:t>
      </w:r>
      <w:r w:rsidR="00EC2E68" w:rsidRPr="003A1174">
        <w:rPr>
          <w:rFonts w:ascii="Garamond" w:hAnsi="Garamond" w:cs="Arial"/>
          <w:sz w:val="24"/>
          <w:szCs w:val="24"/>
        </w:rPr>
        <w:t>agência</w:t>
      </w:r>
      <w:r w:rsidR="00496CB2" w:rsidRPr="003A1174">
        <w:rPr>
          <w:rFonts w:ascii="Garamond" w:hAnsi="Garamond" w:cs="Arial"/>
          <w:sz w:val="24"/>
          <w:szCs w:val="24"/>
        </w:rPr>
        <w:t xml:space="preserve">s </w:t>
      </w:r>
      <w:r w:rsidR="00100435" w:rsidRPr="003A1174">
        <w:rPr>
          <w:rFonts w:ascii="Garamond" w:hAnsi="Garamond" w:cs="Arial"/>
          <w:sz w:val="24"/>
          <w:szCs w:val="24"/>
        </w:rPr>
        <w:t>governamentais</w:t>
      </w:r>
      <w:r w:rsidR="002E3605" w:rsidRPr="003A1174">
        <w:rPr>
          <w:rFonts w:ascii="Garamond" w:hAnsi="Garamond" w:cs="Arial"/>
          <w:sz w:val="24"/>
          <w:szCs w:val="24"/>
        </w:rPr>
        <w:t xml:space="preserve"> diferentes</w:t>
      </w:r>
      <w:r w:rsidR="00496CB2" w:rsidRPr="003A1174">
        <w:rPr>
          <w:rFonts w:ascii="Garamond" w:hAnsi="Garamond" w:cs="Arial"/>
          <w:sz w:val="24"/>
          <w:szCs w:val="24"/>
        </w:rPr>
        <w:t xml:space="preserve">, </w:t>
      </w:r>
      <w:r w:rsidR="008278C4" w:rsidRPr="003A1174">
        <w:rPr>
          <w:rFonts w:ascii="Garamond" w:hAnsi="Garamond" w:cs="Arial"/>
          <w:sz w:val="24"/>
          <w:szCs w:val="24"/>
        </w:rPr>
        <w:t>município</w:t>
      </w:r>
      <w:r w:rsidR="00496CB2" w:rsidRPr="003A1174">
        <w:rPr>
          <w:rFonts w:ascii="Garamond" w:hAnsi="Garamond" w:cs="Arial"/>
          <w:sz w:val="24"/>
          <w:szCs w:val="24"/>
        </w:rPr>
        <w:t xml:space="preserve">s </w:t>
      </w:r>
      <w:r w:rsidR="000672E8" w:rsidRPr="003A1174">
        <w:rPr>
          <w:rFonts w:ascii="Garamond" w:hAnsi="Garamond" w:cs="Arial"/>
          <w:sz w:val="24"/>
          <w:szCs w:val="24"/>
        </w:rPr>
        <w:t>e</w:t>
      </w:r>
      <w:r w:rsidR="002E3605" w:rsidRPr="003A1174">
        <w:rPr>
          <w:rFonts w:ascii="Garamond" w:hAnsi="Garamond" w:cs="Arial"/>
          <w:sz w:val="24"/>
          <w:szCs w:val="24"/>
        </w:rPr>
        <w:t xml:space="preserve"> empresas privadas sobre </w:t>
      </w:r>
      <w:r w:rsidR="00496CB2" w:rsidRPr="003A1174">
        <w:rPr>
          <w:rFonts w:ascii="Garamond" w:hAnsi="Garamond" w:cs="Arial"/>
          <w:sz w:val="24"/>
          <w:szCs w:val="24"/>
        </w:rPr>
        <w:t>tema</w:t>
      </w:r>
      <w:r w:rsidR="002415ED" w:rsidRPr="003A1174">
        <w:rPr>
          <w:rFonts w:ascii="Garamond" w:hAnsi="Garamond" w:cs="Arial"/>
          <w:sz w:val="24"/>
          <w:szCs w:val="24"/>
        </w:rPr>
        <w:t>s</w:t>
      </w:r>
      <w:r w:rsidR="00496CB2" w:rsidRPr="003A1174">
        <w:rPr>
          <w:rFonts w:ascii="Garamond" w:hAnsi="Garamond" w:cs="Arial"/>
          <w:sz w:val="24"/>
          <w:szCs w:val="24"/>
        </w:rPr>
        <w:t xml:space="preserve"> </w:t>
      </w:r>
      <w:r w:rsidR="00E85E59" w:rsidRPr="003A1174">
        <w:rPr>
          <w:rFonts w:ascii="Garamond" w:hAnsi="Garamond" w:cs="Arial"/>
          <w:sz w:val="24"/>
          <w:szCs w:val="24"/>
        </w:rPr>
        <w:t>d</w:t>
      </w:r>
      <w:r w:rsidR="00DA3275">
        <w:rPr>
          <w:rFonts w:ascii="Garamond" w:hAnsi="Garamond" w:cs="Arial"/>
          <w:sz w:val="24"/>
          <w:szCs w:val="24"/>
        </w:rPr>
        <w:t>e</w:t>
      </w:r>
      <w:r w:rsidR="00496CB2" w:rsidRPr="003A1174">
        <w:rPr>
          <w:rFonts w:ascii="Garamond" w:hAnsi="Garamond" w:cs="Arial"/>
          <w:sz w:val="24"/>
          <w:szCs w:val="24"/>
        </w:rPr>
        <w:t xml:space="preserve"> </w:t>
      </w:r>
      <w:r w:rsidR="001A53AD" w:rsidRPr="003A1174">
        <w:rPr>
          <w:rFonts w:ascii="Garamond" w:hAnsi="Garamond" w:cs="Arial"/>
          <w:sz w:val="24"/>
          <w:szCs w:val="24"/>
        </w:rPr>
        <w:t>Assédio Sexual</w:t>
      </w:r>
      <w:r w:rsidR="00496CB2" w:rsidRPr="003A1174">
        <w:rPr>
          <w:rFonts w:ascii="Garamond" w:hAnsi="Garamond" w:cs="Arial"/>
          <w:sz w:val="24"/>
          <w:szCs w:val="24"/>
        </w:rPr>
        <w:t xml:space="preserve"> </w:t>
      </w:r>
      <w:r w:rsidR="000672E8" w:rsidRPr="003A1174">
        <w:rPr>
          <w:rFonts w:ascii="Garamond" w:hAnsi="Garamond" w:cs="Arial"/>
          <w:sz w:val="24"/>
          <w:szCs w:val="24"/>
        </w:rPr>
        <w:t>e</w:t>
      </w:r>
      <w:r w:rsidR="00496CB2" w:rsidRPr="003A1174">
        <w:rPr>
          <w:rFonts w:ascii="Garamond" w:hAnsi="Garamond" w:cs="Arial"/>
          <w:sz w:val="24"/>
          <w:szCs w:val="24"/>
        </w:rPr>
        <w:t xml:space="preserve"> </w:t>
      </w:r>
      <w:r w:rsidR="002415ED" w:rsidRPr="003A1174">
        <w:rPr>
          <w:rFonts w:ascii="Garamond" w:hAnsi="Garamond" w:cs="Arial"/>
          <w:sz w:val="24"/>
          <w:szCs w:val="24"/>
        </w:rPr>
        <w:t xml:space="preserve">a </w:t>
      </w:r>
      <w:r w:rsidR="00DA3275">
        <w:rPr>
          <w:rFonts w:ascii="Garamond" w:hAnsi="Garamond" w:cs="Arial"/>
          <w:sz w:val="24"/>
          <w:szCs w:val="24"/>
        </w:rPr>
        <w:t>V</w:t>
      </w:r>
      <w:r w:rsidR="000350B1" w:rsidRPr="003A1174">
        <w:rPr>
          <w:rFonts w:ascii="Garamond" w:hAnsi="Garamond" w:cs="Arial"/>
          <w:sz w:val="24"/>
          <w:szCs w:val="24"/>
        </w:rPr>
        <w:t>iolência</w:t>
      </w:r>
      <w:r w:rsidR="00496CB2" w:rsidRPr="003A1174">
        <w:rPr>
          <w:rFonts w:ascii="Garamond" w:hAnsi="Garamond" w:cs="Arial"/>
          <w:sz w:val="24"/>
          <w:szCs w:val="24"/>
        </w:rPr>
        <w:t xml:space="preserve"> </w:t>
      </w:r>
      <w:r w:rsidR="00DA3275">
        <w:rPr>
          <w:rFonts w:ascii="Garamond" w:hAnsi="Garamond" w:cs="Arial"/>
          <w:sz w:val="24"/>
          <w:szCs w:val="24"/>
        </w:rPr>
        <w:t>D</w:t>
      </w:r>
      <w:r w:rsidR="00496CB2" w:rsidRPr="003A1174">
        <w:rPr>
          <w:rFonts w:ascii="Garamond" w:hAnsi="Garamond" w:cs="Arial"/>
          <w:sz w:val="24"/>
          <w:szCs w:val="24"/>
        </w:rPr>
        <w:t xml:space="preserve">oméstica </w:t>
      </w:r>
      <w:r w:rsidR="002E3605" w:rsidRPr="003A1174">
        <w:rPr>
          <w:rFonts w:ascii="Garamond" w:hAnsi="Garamond" w:cs="Arial"/>
          <w:sz w:val="24"/>
          <w:szCs w:val="24"/>
        </w:rPr>
        <w:t xml:space="preserve">no </w:t>
      </w:r>
      <w:r w:rsidRPr="003A1174">
        <w:rPr>
          <w:rFonts w:ascii="Garamond" w:hAnsi="Garamond" w:cs="Arial"/>
          <w:sz w:val="24"/>
          <w:szCs w:val="24"/>
        </w:rPr>
        <w:t>trabalho</w:t>
      </w:r>
      <w:r w:rsidR="00496CB2" w:rsidRPr="003A1174">
        <w:rPr>
          <w:rFonts w:ascii="Garamond" w:hAnsi="Garamond" w:cs="Arial"/>
          <w:sz w:val="24"/>
          <w:szCs w:val="24"/>
        </w:rPr>
        <w:t>.</w:t>
      </w:r>
    </w:p>
    <w:p w:rsidR="00955D60" w:rsidRPr="003A1174" w:rsidRDefault="00C30647" w:rsidP="008719D4">
      <w:pPr>
        <w:pStyle w:val="Ttulo3"/>
        <w:spacing w:line="240" w:lineRule="auto"/>
        <w:rPr>
          <w:rFonts w:ascii="Garamond" w:hAnsi="Garamond"/>
          <w:sz w:val="24"/>
          <w:szCs w:val="24"/>
        </w:rPr>
      </w:pPr>
      <w:bookmarkStart w:id="68" w:name="_Toc421529755"/>
      <w:r w:rsidRPr="003A1174">
        <w:rPr>
          <w:rFonts w:ascii="Garamond" w:hAnsi="Garamond"/>
          <w:sz w:val="24"/>
          <w:szCs w:val="24"/>
        </w:rPr>
        <w:t>Uruguai</w:t>
      </w:r>
      <w:bookmarkEnd w:id="68"/>
    </w:p>
    <w:p w:rsidR="00955D60" w:rsidRPr="003A1174" w:rsidRDefault="00955D60" w:rsidP="008719D4">
      <w:pPr>
        <w:pStyle w:val="Ttulo4"/>
        <w:spacing w:line="240" w:lineRule="auto"/>
        <w:rPr>
          <w:rFonts w:ascii="Garamond" w:hAnsi="Garamond"/>
          <w:sz w:val="24"/>
          <w:szCs w:val="24"/>
        </w:rPr>
      </w:pPr>
      <w:r w:rsidRPr="003A1174">
        <w:rPr>
          <w:rFonts w:ascii="Garamond" w:hAnsi="Garamond"/>
          <w:sz w:val="24"/>
          <w:szCs w:val="24"/>
        </w:rPr>
        <w:t xml:space="preserve">Medidas de </w:t>
      </w:r>
      <w:r w:rsidR="00886D6A" w:rsidRPr="003A1174">
        <w:rPr>
          <w:rFonts w:ascii="Garamond" w:hAnsi="Garamond"/>
          <w:sz w:val="24"/>
          <w:szCs w:val="24"/>
        </w:rPr>
        <w:t>proteção</w:t>
      </w:r>
      <w:r w:rsidRPr="003A1174">
        <w:rPr>
          <w:rFonts w:ascii="Garamond" w:hAnsi="Garamond"/>
          <w:sz w:val="24"/>
          <w:szCs w:val="24"/>
        </w:rPr>
        <w:t>/</w:t>
      </w:r>
      <w:r w:rsidR="00CF4C35" w:rsidRPr="003A1174">
        <w:rPr>
          <w:rFonts w:ascii="Garamond" w:hAnsi="Garamond"/>
          <w:sz w:val="24"/>
          <w:szCs w:val="24"/>
        </w:rPr>
        <w:t>reabilitação</w:t>
      </w:r>
    </w:p>
    <w:p w:rsidR="00955D60" w:rsidRPr="003A1174" w:rsidRDefault="002E3605"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Relativamente </w:t>
      </w:r>
      <w:r w:rsidR="00955D60" w:rsidRPr="003A1174">
        <w:rPr>
          <w:rFonts w:ascii="Garamond" w:hAnsi="Garamond" w:cs="Arial"/>
          <w:sz w:val="24"/>
          <w:szCs w:val="24"/>
        </w:rPr>
        <w:t xml:space="preserve">a medidas </w:t>
      </w:r>
      <w:r w:rsidR="002415ED" w:rsidRPr="003A1174">
        <w:rPr>
          <w:rFonts w:ascii="Garamond" w:hAnsi="Garamond" w:cs="Arial"/>
          <w:sz w:val="24"/>
          <w:szCs w:val="24"/>
        </w:rPr>
        <w:t xml:space="preserve">de </w:t>
      </w:r>
      <w:r w:rsidR="00886D6A" w:rsidRPr="003A1174">
        <w:rPr>
          <w:rFonts w:ascii="Garamond" w:hAnsi="Garamond" w:cs="Arial"/>
          <w:sz w:val="24"/>
          <w:szCs w:val="24"/>
        </w:rPr>
        <w:t>proteção</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CF4C35" w:rsidRPr="003A1174">
        <w:rPr>
          <w:rFonts w:ascii="Garamond" w:hAnsi="Garamond" w:cs="Arial"/>
          <w:sz w:val="24"/>
          <w:szCs w:val="24"/>
        </w:rPr>
        <w:t>reabilitação</w:t>
      </w:r>
      <w:r w:rsidR="002415ED" w:rsidRPr="003A1174">
        <w:rPr>
          <w:rFonts w:ascii="Garamond" w:hAnsi="Garamond" w:cs="Arial"/>
          <w:sz w:val="24"/>
          <w:szCs w:val="24"/>
        </w:rPr>
        <w:t>,</w:t>
      </w:r>
      <w:r w:rsidRPr="003A1174">
        <w:rPr>
          <w:rFonts w:ascii="Garamond" w:hAnsi="Garamond" w:cs="Arial"/>
          <w:sz w:val="24"/>
          <w:szCs w:val="24"/>
        </w:rPr>
        <w:t xml:space="preserve"> </w:t>
      </w:r>
      <w:r w:rsidR="00A86B7C" w:rsidRPr="003A1174">
        <w:rPr>
          <w:rFonts w:ascii="Garamond" w:hAnsi="Garamond" w:cs="Arial"/>
          <w:sz w:val="24"/>
          <w:szCs w:val="24"/>
        </w:rPr>
        <w:t>referiu</w:t>
      </w:r>
      <w:r w:rsidRPr="003A1174">
        <w:rPr>
          <w:rFonts w:ascii="Garamond" w:hAnsi="Garamond" w:cs="Arial"/>
          <w:sz w:val="24"/>
          <w:szCs w:val="24"/>
        </w:rPr>
        <w:t>-se</w:t>
      </w:r>
      <w:r w:rsidR="00955D60" w:rsidRPr="003A1174">
        <w:rPr>
          <w:rFonts w:ascii="Garamond" w:hAnsi="Garamond" w:cs="Arial"/>
          <w:sz w:val="24"/>
          <w:szCs w:val="24"/>
        </w:rPr>
        <w:t xml:space="preserve"> que</w:t>
      </w:r>
      <w:r w:rsidR="000C1152">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no </w:t>
      </w:r>
      <w:r w:rsidR="00802ACC" w:rsidRPr="003A1174">
        <w:rPr>
          <w:rFonts w:ascii="Garamond" w:hAnsi="Garamond" w:cs="Arial"/>
          <w:sz w:val="24"/>
          <w:szCs w:val="24"/>
        </w:rPr>
        <w:t>âmbito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D77C19" w:rsidRPr="003A1174">
        <w:rPr>
          <w:rFonts w:ascii="Garamond" w:hAnsi="Garamond" w:cs="Arial"/>
          <w:sz w:val="24"/>
          <w:szCs w:val="24"/>
        </w:rPr>
        <w:t>Ministério</w:t>
      </w:r>
      <w:r w:rsidRPr="003A1174">
        <w:rPr>
          <w:rFonts w:ascii="Garamond" w:hAnsi="Garamond" w:cs="Arial"/>
          <w:sz w:val="24"/>
          <w:szCs w:val="24"/>
        </w:rPr>
        <w:t xml:space="preserve"> da</w:t>
      </w:r>
      <w:r w:rsidR="00955D60" w:rsidRPr="003A1174">
        <w:rPr>
          <w:rFonts w:ascii="Garamond" w:hAnsi="Garamond" w:cs="Arial"/>
          <w:sz w:val="24"/>
          <w:szCs w:val="24"/>
        </w:rPr>
        <w:t xml:space="preserve"> Interior, a 31 de </w:t>
      </w:r>
      <w:r w:rsidR="0094067E" w:rsidRPr="003A1174">
        <w:rPr>
          <w:rFonts w:ascii="Garamond" w:hAnsi="Garamond" w:cs="Arial"/>
          <w:sz w:val="24"/>
          <w:szCs w:val="24"/>
        </w:rPr>
        <w:t>dezembro</w:t>
      </w:r>
      <w:r w:rsidR="00955D60" w:rsidRPr="003A1174">
        <w:rPr>
          <w:rFonts w:ascii="Garamond" w:hAnsi="Garamond" w:cs="Arial"/>
          <w:sz w:val="24"/>
          <w:szCs w:val="24"/>
        </w:rPr>
        <w:t xml:space="preserve"> de 2013</w:t>
      </w:r>
      <w:r w:rsidR="000C1152">
        <w:rPr>
          <w:rFonts w:ascii="Garamond" w:hAnsi="Garamond" w:cs="Arial"/>
          <w:sz w:val="24"/>
          <w:szCs w:val="24"/>
        </w:rPr>
        <w:t>,</w:t>
      </w:r>
      <w:r w:rsidR="00955D60" w:rsidRPr="003A1174">
        <w:rPr>
          <w:rFonts w:ascii="Garamond" w:hAnsi="Garamond" w:cs="Arial"/>
          <w:sz w:val="24"/>
          <w:szCs w:val="24"/>
        </w:rPr>
        <w:t xml:space="preserve"> exist</w:t>
      </w:r>
      <w:r w:rsidRPr="003A1174">
        <w:rPr>
          <w:rFonts w:ascii="Garamond" w:hAnsi="Garamond" w:cs="Arial"/>
          <w:sz w:val="24"/>
          <w:szCs w:val="24"/>
        </w:rPr>
        <w:t xml:space="preserve">iam </w:t>
      </w:r>
      <w:r w:rsidR="00D37CF3" w:rsidRPr="003A1174">
        <w:rPr>
          <w:rFonts w:ascii="Garamond" w:hAnsi="Garamond" w:cs="Arial"/>
          <w:sz w:val="24"/>
          <w:szCs w:val="24"/>
        </w:rPr>
        <w:t>distribuídas</w:t>
      </w:r>
      <w:r w:rsidR="00955D60" w:rsidRPr="003A1174">
        <w:rPr>
          <w:rFonts w:ascii="Garamond" w:hAnsi="Garamond" w:cs="Arial"/>
          <w:sz w:val="24"/>
          <w:szCs w:val="24"/>
        </w:rPr>
        <w:t xml:space="preserve"> </w:t>
      </w:r>
      <w:r w:rsidR="000C1152">
        <w:rPr>
          <w:rFonts w:ascii="Garamond" w:hAnsi="Garamond" w:cs="Arial"/>
          <w:sz w:val="24"/>
          <w:szCs w:val="24"/>
        </w:rPr>
        <w:t xml:space="preserve">por </w:t>
      </w:r>
      <w:r w:rsidR="00955D60" w:rsidRPr="003A1174">
        <w:rPr>
          <w:rFonts w:ascii="Garamond" w:hAnsi="Garamond" w:cs="Arial"/>
          <w:sz w:val="24"/>
          <w:szCs w:val="24"/>
        </w:rPr>
        <w:t xml:space="preserve">todo </w:t>
      </w:r>
      <w:r w:rsidRPr="003A1174">
        <w:rPr>
          <w:rFonts w:ascii="Garamond" w:hAnsi="Garamond" w:cs="Arial"/>
          <w:sz w:val="24"/>
          <w:szCs w:val="24"/>
        </w:rPr>
        <w:t xml:space="preserve">o </w:t>
      </w:r>
      <w:r w:rsidR="00955D60" w:rsidRPr="003A1174">
        <w:rPr>
          <w:rFonts w:ascii="Garamond" w:hAnsi="Garamond" w:cs="Arial"/>
          <w:sz w:val="24"/>
          <w:szCs w:val="24"/>
        </w:rPr>
        <w:t>país</w:t>
      </w:r>
      <w:r w:rsidR="000C1152">
        <w:rPr>
          <w:rFonts w:ascii="Garamond" w:hAnsi="Garamond" w:cs="Arial"/>
          <w:sz w:val="24"/>
          <w:szCs w:val="24"/>
        </w:rPr>
        <w:t>,</w:t>
      </w:r>
      <w:r w:rsidR="00955D60" w:rsidRPr="003A1174">
        <w:rPr>
          <w:rFonts w:ascii="Garamond" w:hAnsi="Garamond" w:cs="Arial"/>
          <w:sz w:val="24"/>
          <w:szCs w:val="24"/>
        </w:rPr>
        <w:t xml:space="preserve"> 34 Unidades Especializadas e</w:t>
      </w:r>
      <w:r w:rsidRPr="003A1174">
        <w:rPr>
          <w:rFonts w:ascii="Garamond" w:hAnsi="Garamond" w:cs="Arial"/>
          <w:sz w:val="24"/>
          <w:szCs w:val="24"/>
        </w:rPr>
        <w:t>m</w:t>
      </w:r>
      <w:r w:rsidR="00955D60" w:rsidRPr="003A1174">
        <w:rPr>
          <w:rFonts w:ascii="Garamond" w:hAnsi="Garamond" w:cs="Arial"/>
          <w:sz w:val="24"/>
          <w:szCs w:val="24"/>
        </w:rPr>
        <w:t xml:space="preserve"> </w:t>
      </w:r>
      <w:r w:rsidR="000350B1" w:rsidRPr="003A1174">
        <w:rPr>
          <w:rFonts w:ascii="Garamond" w:hAnsi="Garamond" w:cs="Arial"/>
          <w:sz w:val="24"/>
          <w:szCs w:val="24"/>
        </w:rPr>
        <w:t>Violência</w:t>
      </w:r>
      <w:r w:rsidR="00955D60" w:rsidRPr="003A1174">
        <w:rPr>
          <w:rFonts w:ascii="Garamond" w:hAnsi="Garamond" w:cs="Arial"/>
          <w:sz w:val="24"/>
          <w:szCs w:val="24"/>
        </w:rPr>
        <w:t xml:space="preserve"> Doméstica (UEVD)</w:t>
      </w:r>
      <w:r w:rsidR="002415ED" w:rsidRPr="003A1174">
        <w:rPr>
          <w:rFonts w:ascii="Garamond" w:hAnsi="Garamond" w:cs="Arial"/>
          <w:sz w:val="24"/>
          <w:szCs w:val="24"/>
        </w:rPr>
        <w:t>,</w:t>
      </w:r>
      <w:r w:rsidR="00955D60" w:rsidRPr="003A1174">
        <w:rPr>
          <w:rFonts w:ascii="Garamond" w:hAnsi="Garamond" w:cs="Arial"/>
          <w:sz w:val="24"/>
          <w:szCs w:val="24"/>
        </w:rPr>
        <w:t xml:space="preserve"> que</w:t>
      </w:r>
      <w:r w:rsidRPr="003A1174">
        <w:rPr>
          <w:rFonts w:ascii="Garamond" w:hAnsi="Garamond" w:cs="Arial"/>
          <w:sz w:val="24"/>
          <w:szCs w:val="24"/>
        </w:rPr>
        <w:t>,</w:t>
      </w:r>
      <w:r w:rsidR="00955D60" w:rsidRPr="003A1174">
        <w:rPr>
          <w:rFonts w:ascii="Garamond" w:hAnsi="Garamond" w:cs="Arial"/>
          <w:sz w:val="24"/>
          <w:szCs w:val="24"/>
        </w:rPr>
        <w:t xml:space="preserve"> co</w:t>
      </w:r>
      <w:r w:rsidRPr="003A1174">
        <w:rPr>
          <w:rFonts w:ascii="Garamond" w:hAnsi="Garamond" w:cs="Arial"/>
          <w:sz w:val="24"/>
          <w:szCs w:val="24"/>
        </w:rPr>
        <w:t xml:space="preserve">m diferente </w:t>
      </w:r>
      <w:r w:rsidR="009B133A" w:rsidRPr="003A1174">
        <w:rPr>
          <w:rFonts w:ascii="Garamond" w:hAnsi="Garamond" w:cs="Arial"/>
          <w:sz w:val="24"/>
          <w:szCs w:val="24"/>
        </w:rPr>
        <w:t>desenvolvimento</w:t>
      </w:r>
      <w:r w:rsidR="00955D60" w:rsidRPr="003A1174">
        <w:rPr>
          <w:rFonts w:ascii="Garamond" w:hAnsi="Garamond" w:cs="Arial"/>
          <w:sz w:val="24"/>
          <w:szCs w:val="24"/>
        </w:rPr>
        <w:t xml:space="preserve"> </w:t>
      </w:r>
      <w:r w:rsidRPr="003A1174">
        <w:rPr>
          <w:rFonts w:ascii="Garamond" w:hAnsi="Garamond" w:cs="Arial"/>
          <w:sz w:val="24"/>
          <w:szCs w:val="24"/>
        </w:rPr>
        <w:t>orgânico</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funcional</w:t>
      </w:r>
      <w:r w:rsidRPr="003A1174">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dispunham de </w:t>
      </w:r>
      <w:r w:rsidR="00BA21ED" w:rsidRPr="003A1174">
        <w:rPr>
          <w:rFonts w:ascii="Garamond" w:hAnsi="Garamond" w:cs="Arial"/>
          <w:sz w:val="24"/>
          <w:szCs w:val="24"/>
        </w:rPr>
        <w:t>mais</w:t>
      </w:r>
      <w:r w:rsidR="00955D60" w:rsidRPr="003A1174">
        <w:rPr>
          <w:rFonts w:ascii="Garamond" w:hAnsi="Garamond" w:cs="Arial"/>
          <w:sz w:val="24"/>
          <w:szCs w:val="24"/>
        </w:rPr>
        <w:t xml:space="preserve"> de </w:t>
      </w:r>
      <w:r w:rsidR="00955D60" w:rsidRPr="003A1174">
        <w:rPr>
          <w:rFonts w:ascii="Garamond" w:hAnsi="Garamond" w:cs="Arial"/>
          <w:bCs/>
          <w:sz w:val="24"/>
          <w:szCs w:val="24"/>
        </w:rPr>
        <w:t xml:space="preserve">451 </w:t>
      </w:r>
      <w:r w:rsidR="00CF42A3" w:rsidRPr="003A1174">
        <w:rPr>
          <w:rFonts w:ascii="Garamond" w:hAnsi="Garamond" w:cs="Arial"/>
          <w:bCs/>
          <w:sz w:val="24"/>
          <w:szCs w:val="24"/>
        </w:rPr>
        <w:t>polícia</w:t>
      </w:r>
      <w:r w:rsidR="00955D60" w:rsidRPr="003A1174">
        <w:rPr>
          <w:rFonts w:ascii="Garamond" w:hAnsi="Garamond" w:cs="Arial"/>
          <w:bCs/>
          <w:sz w:val="24"/>
          <w:szCs w:val="24"/>
        </w:rPr>
        <w:t xml:space="preserve">s (150 </w:t>
      </w:r>
      <w:r w:rsidR="00054EE0" w:rsidRPr="003A1174">
        <w:rPr>
          <w:rFonts w:ascii="Garamond" w:hAnsi="Garamond" w:cs="Arial"/>
          <w:bCs/>
          <w:sz w:val="24"/>
          <w:szCs w:val="24"/>
        </w:rPr>
        <w:t>mulheres</w:t>
      </w:r>
      <w:r w:rsidR="00955D60" w:rsidRPr="003A1174">
        <w:rPr>
          <w:rFonts w:ascii="Garamond" w:hAnsi="Garamond" w:cs="Arial"/>
          <w:bCs/>
          <w:sz w:val="24"/>
          <w:szCs w:val="24"/>
        </w:rPr>
        <w:t xml:space="preserve"> </w:t>
      </w:r>
      <w:r w:rsidR="000672E8" w:rsidRPr="003A1174">
        <w:rPr>
          <w:rFonts w:ascii="Garamond" w:hAnsi="Garamond" w:cs="Arial"/>
          <w:bCs/>
          <w:sz w:val="24"/>
          <w:szCs w:val="24"/>
        </w:rPr>
        <w:t>e</w:t>
      </w:r>
      <w:r w:rsidR="00955D60" w:rsidRPr="003A1174">
        <w:rPr>
          <w:rFonts w:ascii="Garamond" w:hAnsi="Garamond" w:cs="Arial"/>
          <w:bCs/>
          <w:sz w:val="24"/>
          <w:szCs w:val="24"/>
        </w:rPr>
        <w:t xml:space="preserve"> 301 </w:t>
      </w:r>
      <w:r w:rsidR="00524936" w:rsidRPr="003A1174">
        <w:rPr>
          <w:rFonts w:ascii="Garamond" w:hAnsi="Garamond" w:cs="Arial"/>
          <w:bCs/>
          <w:sz w:val="24"/>
          <w:szCs w:val="24"/>
        </w:rPr>
        <w:t>homens</w:t>
      </w:r>
      <w:r w:rsidR="00955D60" w:rsidRPr="003A1174">
        <w:rPr>
          <w:rFonts w:ascii="Garamond" w:hAnsi="Garamond" w:cs="Arial"/>
          <w:bCs/>
          <w:sz w:val="24"/>
          <w:szCs w:val="24"/>
        </w:rPr>
        <w:t>)</w:t>
      </w:r>
      <w:r w:rsidR="00955D60" w:rsidRPr="003A1174">
        <w:rPr>
          <w:rFonts w:ascii="Garamond" w:hAnsi="Garamond" w:cs="Arial"/>
          <w:sz w:val="24"/>
          <w:szCs w:val="24"/>
        </w:rPr>
        <w:t>.</w:t>
      </w:r>
    </w:p>
    <w:p w:rsidR="00955D60" w:rsidRPr="003A1174" w:rsidRDefault="009F0311" w:rsidP="008719D4">
      <w:pPr>
        <w:spacing w:before="240" w:line="240" w:lineRule="auto"/>
        <w:jc w:val="both"/>
        <w:rPr>
          <w:rFonts w:ascii="Garamond" w:eastAsia="Times New Roman" w:hAnsi="Garamond" w:cs="Arial"/>
          <w:sz w:val="24"/>
          <w:szCs w:val="24"/>
        </w:rPr>
      </w:pPr>
      <w:r w:rsidRPr="003A1174">
        <w:rPr>
          <w:rFonts w:ascii="Garamond" w:hAnsi="Garamond" w:cs="Arial"/>
          <w:sz w:val="24"/>
          <w:szCs w:val="24"/>
        </w:rPr>
        <w:t>Vale a pena mencionar</w:t>
      </w:r>
      <w:r w:rsidR="002E3605" w:rsidRPr="003A1174">
        <w:rPr>
          <w:rFonts w:ascii="Garamond" w:hAnsi="Garamond" w:cs="Arial"/>
          <w:sz w:val="24"/>
          <w:szCs w:val="24"/>
        </w:rPr>
        <w:t xml:space="preserve"> </w:t>
      </w:r>
      <w:r w:rsidR="00955D60" w:rsidRPr="003A1174">
        <w:rPr>
          <w:rFonts w:ascii="Garamond" w:hAnsi="Garamond" w:cs="Arial"/>
          <w:sz w:val="24"/>
          <w:szCs w:val="24"/>
        </w:rPr>
        <w:t xml:space="preserve">as denominadas </w:t>
      </w:r>
      <w:r w:rsidR="000C1152">
        <w:rPr>
          <w:rFonts w:ascii="Garamond" w:eastAsia="Arial" w:hAnsi="Garamond" w:cs="Arial"/>
          <w:sz w:val="24"/>
          <w:szCs w:val="24"/>
        </w:rPr>
        <w:t>«</w:t>
      </w:r>
      <w:r w:rsidR="009859FC" w:rsidRPr="003A1174">
        <w:rPr>
          <w:rFonts w:ascii="Garamond" w:eastAsia="Times New Roman" w:hAnsi="Garamond" w:cs="Arial"/>
          <w:sz w:val="24"/>
          <w:szCs w:val="24"/>
        </w:rPr>
        <w:t>Tecnologia</w:t>
      </w:r>
      <w:r w:rsidR="00955D60" w:rsidRPr="003A1174">
        <w:rPr>
          <w:rFonts w:ascii="Garamond" w:eastAsia="Times New Roman" w:hAnsi="Garamond" w:cs="Arial"/>
          <w:sz w:val="24"/>
          <w:szCs w:val="24"/>
        </w:rPr>
        <w:t xml:space="preserve">s de </w:t>
      </w:r>
      <w:r w:rsidR="00E150E9" w:rsidRPr="003A1174">
        <w:rPr>
          <w:rFonts w:ascii="Garamond" w:eastAsia="Times New Roman" w:hAnsi="Garamond" w:cs="Arial"/>
          <w:sz w:val="24"/>
          <w:szCs w:val="24"/>
        </w:rPr>
        <w:t>verificação</w:t>
      </w:r>
      <w:r w:rsidR="00955D60" w:rsidRPr="003A1174">
        <w:rPr>
          <w:rFonts w:ascii="Garamond" w:eastAsia="Times New Roman" w:hAnsi="Garamond" w:cs="Arial"/>
          <w:sz w:val="24"/>
          <w:szCs w:val="24"/>
        </w:rPr>
        <w:t xml:space="preserve"> de </w:t>
      </w:r>
      <w:r w:rsidR="00A523BE" w:rsidRPr="003A1174">
        <w:rPr>
          <w:rFonts w:ascii="Garamond" w:eastAsia="Times New Roman" w:hAnsi="Garamond" w:cs="Arial"/>
          <w:sz w:val="24"/>
          <w:szCs w:val="24"/>
        </w:rPr>
        <w:t>presença</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w:t>
      </w:r>
      <w:r w:rsidR="009859FC" w:rsidRPr="003A1174">
        <w:rPr>
          <w:rFonts w:ascii="Garamond" w:eastAsia="Times New Roman" w:hAnsi="Garamond" w:cs="Arial"/>
          <w:sz w:val="24"/>
          <w:szCs w:val="24"/>
        </w:rPr>
        <w:t>localização</w:t>
      </w:r>
      <w:r w:rsidR="000C1152">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002E3605" w:rsidRPr="003A1174">
        <w:rPr>
          <w:rFonts w:ascii="Garamond" w:eastAsia="Times New Roman" w:hAnsi="Garamond" w:cs="Arial"/>
          <w:sz w:val="24"/>
          <w:szCs w:val="24"/>
        </w:rPr>
        <w:t xml:space="preserve">concebidas </w:t>
      </w:r>
      <w:r w:rsidR="00955D60" w:rsidRPr="003A1174">
        <w:rPr>
          <w:rFonts w:ascii="Garamond" w:eastAsia="Times New Roman" w:hAnsi="Garamond" w:cs="Arial"/>
          <w:sz w:val="24"/>
          <w:szCs w:val="24"/>
        </w:rPr>
        <w:t xml:space="preserve">para monitorizar </w:t>
      </w:r>
      <w:r w:rsidR="006C760C" w:rsidRPr="003A1174">
        <w:rPr>
          <w:rFonts w:ascii="Garamond" w:eastAsia="Times New Roman" w:hAnsi="Garamond" w:cs="Arial"/>
          <w:sz w:val="24"/>
          <w:szCs w:val="24"/>
        </w:rPr>
        <w:t>pessoas</w:t>
      </w:r>
      <w:r w:rsidR="00955D60" w:rsidRPr="003A1174">
        <w:rPr>
          <w:rFonts w:ascii="Garamond" w:eastAsia="Times New Roman" w:hAnsi="Garamond" w:cs="Arial"/>
          <w:sz w:val="24"/>
          <w:szCs w:val="24"/>
        </w:rPr>
        <w:t xml:space="preserve"> co</w:t>
      </w:r>
      <w:r w:rsidR="002E3605"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alto </w:t>
      </w:r>
      <w:r w:rsidR="008651AF" w:rsidRPr="003A1174">
        <w:rPr>
          <w:rFonts w:ascii="Garamond" w:eastAsia="Times New Roman" w:hAnsi="Garamond" w:cs="Arial"/>
          <w:sz w:val="24"/>
          <w:szCs w:val="24"/>
        </w:rPr>
        <w:t>risco</w:t>
      </w:r>
      <w:r w:rsidR="00955D60" w:rsidRPr="003A1174">
        <w:rPr>
          <w:rFonts w:ascii="Garamond" w:eastAsia="Times New Roman" w:hAnsi="Garamond" w:cs="Arial"/>
          <w:sz w:val="24"/>
          <w:szCs w:val="24"/>
        </w:rPr>
        <w:t xml:space="preserve"> e</w:t>
      </w:r>
      <w:r w:rsidR="002E3605"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w:t>
      </w:r>
      <w:r w:rsidR="00EF645F" w:rsidRPr="003A1174">
        <w:rPr>
          <w:rFonts w:ascii="Garamond" w:eastAsia="Times New Roman" w:hAnsi="Garamond" w:cs="Arial"/>
          <w:sz w:val="24"/>
          <w:szCs w:val="24"/>
        </w:rPr>
        <w:t>matéria</w:t>
      </w:r>
      <w:r w:rsidR="00955D60" w:rsidRPr="003A1174">
        <w:rPr>
          <w:rFonts w:ascii="Garamond" w:eastAsia="Times New Roman" w:hAnsi="Garamond" w:cs="Arial"/>
          <w:sz w:val="24"/>
          <w:szCs w:val="24"/>
        </w:rPr>
        <w:t xml:space="preserve"> de </w:t>
      </w:r>
      <w:r w:rsidR="000350B1" w:rsidRPr="003A1174">
        <w:rPr>
          <w:rFonts w:ascii="Garamond" w:eastAsia="Times New Roman" w:hAnsi="Garamond" w:cs="Arial"/>
          <w:sz w:val="24"/>
          <w:szCs w:val="24"/>
        </w:rPr>
        <w:t>violência</w:t>
      </w:r>
      <w:r w:rsidR="00955D60" w:rsidRPr="003A1174">
        <w:rPr>
          <w:rFonts w:ascii="Garamond" w:eastAsia="Times New Roman" w:hAnsi="Garamond" w:cs="Arial"/>
          <w:sz w:val="24"/>
          <w:szCs w:val="24"/>
        </w:rPr>
        <w:t xml:space="preserve"> doméstica</w:t>
      </w:r>
      <w:r w:rsidR="000C1152">
        <w:rPr>
          <w:rFonts w:ascii="Garamond" w:eastAsia="Times New Roman" w:hAnsi="Garamond" w:cs="Arial"/>
          <w:sz w:val="24"/>
          <w:szCs w:val="24"/>
        </w:rPr>
        <w:t>»</w:t>
      </w:r>
      <w:r w:rsidR="00955D60" w:rsidRPr="003A1174">
        <w:rPr>
          <w:rFonts w:ascii="Garamond" w:eastAsia="Times New Roman" w:hAnsi="Garamond" w:cs="Arial"/>
          <w:sz w:val="24"/>
          <w:szCs w:val="24"/>
        </w:rPr>
        <w:t>, que se foca</w:t>
      </w:r>
      <w:r w:rsidR="002E3605" w:rsidRPr="003A1174">
        <w:rPr>
          <w:rFonts w:ascii="Garamond" w:eastAsia="Times New Roman" w:hAnsi="Garamond" w:cs="Arial"/>
          <w:sz w:val="24"/>
          <w:szCs w:val="24"/>
        </w:rPr>
        <w:t>m n</w:t>
      </w:r>
      <w:r w:rsidR="00955D60" w:rsidRPr="003A1174">
        <w:rPr>
          <w:rFonts w:ascii="Garamond" w:hAnsi="Garamond" w:cs="Arial"/>
          <w:sz w:val="24"/>
          <w:szCs w:val="24"/>
        </w:rPr>
        <w:t xml:space="preserve">a </w:t>
      </w:r>
      <w:r w:rsidR="006C760C" w:rsidRPr="003A1174">
        <w:rPr>
          <w:rFonts w:ascii="Garamond" w:hAnsi="Garamond" w:cs="Arial"/>
          <w:sz w:val="24"/>
          <w:szCs w:val="24"/>
        </w:rPr>
        <w:t>implementação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955D60" w:rsidRPr="003A1174">
        <w:rPr>
          <w:rFonts w:ascii="Garamond" w:hAnsi="Garamond" w:cs="Arial"/>
          <w:i/>
          <w:sz w:val="24"/>
          <w:szCs w:val="24"/>
        </w:rPr>
        <w:t>Programa Tobilleras</w:t>
      </w:r>
      <w:r w:rsidR="002E3605" w:rsidRPr="003A1174">
        <w:rPr>
          <w:rFonts w:ascii="Garamond" w:hAnsi="Garamond" w:cs="Arial"/>
          <w:color w:val="FF0000"/>
          <w:sz w:val="24"/>
          <w:szCs w:val="24"/>
        </w:rPr>
        <w:t xml:space="preserve">, </w:t>
      </w:r>
      <w:r w:rsidR="002E3605" w:rsidRPr="003A1174">
        <w:rPr>
          <w:rFonts w:ascii="Garamond" w:hAnsi="Garamond" w:cs="Arial"/>
          <w:sz w:val="24"/>
          <w:szCs w:val="24"/>
        </w:rPr>
        <w:t>pequeno aparelho de localização</w:t>
      </w:r>
      <w:r w:rsidR="002415ED" w:rsidRPr="003A1174">
        <w:rPr>
          <w:rFonts w:ascii="Garamond" w:hAnsi="Garamond" w:cs="Arial"/>
          <w:sz w:val="24"/>
          <w:szCs w:val="24"/>
        </w:rPr>
        <w:t>,</w:t>
      </w:r>
      <w:r w:rsidR="00955D60" w:rsidRPr="003A1174">
        <w:rPr>
          <w:rFonts w:ascii="Garamond" w:hAnsi="Garamond" w:cs="Arial"/>
          <w:sz w:val="24"/>
          <w:szCs w:val="24"/>
        </w:rPr>
        <w:t xml:space="preserve"> que </w:t>
      </w:r>
      <w:r w:rsidR="002E3605" w:rsidRPr="003A1174">
        <w:rPr>
          <w:rFonts w:ascii="Garamond" w:hAnsi="Garamond" w:cs="Arial"/>
          <w:sz w:val="24"/>
          <w:szCs w:val="24"/>
        </w:rPr>
        <w:t xml:space="preserve">começou </w:t>
      </w:r>
      <w:r w:rsidR="00955D60" w:rsidRPr="003A1174">
        <w:rPr>
          <w:rFonts w:ascii="Garamond" w:hAnsi="Garamond" w:cs="Arial"/>
          <w:sz w:val="24"/>
          <w:szCs w:val="24"/>
        </w:rPr>
        <w:t xml:space="preserve">a operar </w:t>
      </w:r>
      <w:r w:rsidR="002E3605" w:rsidRPr="003A1174">
        <w:rPr>
          <w:rFonts w:ascii="Garamond" w:hAnsi="Garamond" w:cs="Arial"/>
          <w:sz w:val="24"/>
          <w:szCs w:val="24"/>
        </w:rPr>
        <w:t>a</w:t>
      </w:r>
      <w:r w:rsidR="00955D60" w:rsidRPr="003A1174">
        <w:rPr>
          <w:rFonts w:ascii="Garamond" w:hAnsi="Garamond" w:cs="Arial"/>
          <w:sz w:val="24"/>
          <w:szCs w:val="24"/>
        </w:rPr>
        <w:t xml:space="preserve"> 1 </w:t>
      </w:r>
      <w:r w:rsidR="00955D60" w:rsidRPr="003A1174">
        <w:rPr>
          <w:rFonts w:ascii="Garamond" w:eastAsia="Times New Roman" w:hAnsi="Garamond" w:cs="Arial"/>
          <w:sz w:val="24"/>
          <w:szCs w:val="24"/>
        </w:rPr>
        <w:t xml:space="preserve">de </w:t>
      </w:r>
      <w:r w:rsidR="00497503" w:rsidRPr="003A1174">
        <w:rPr>
          <w:rFonts w:ascii="Garamond" w:eastAsia="Times New Roman" w:hAnsi="Garamond" w:cs="Arial"/>
          <w:sz w:val="24"/>
          <w:szCs w:val="24"/>
        </w:rPr>
        <w:t>fevereiro</w:t>
      </w:r>
      <w:r w:rsidR="00955D60" w:rsidRPr="003A1174">
        <w:rPr>
          <w:rFonts w:ascii="Garamond" w:eastAsia="Times New Roman" w:hAnsi="Garamond" w:cs="Arial"/>
          <w:sz w:val="24"/>
          <w:szCs w:val="24"/>
        </w:rPr>
        <w:t xml:space="preserve"> de 2013</w:t>
      </w:r>
      <w:r w:rsidR="002E3605" w:rsidRPr="003A1174">
        <w:rPr>
          <w:rFonts w:ascii="Garamond" w:eastAsia="Times New Roman" w:hAnsi="Garamond" w:cs="Arial"/>
          <w:sz w:val="24"/>
          <w:szCs w:val="24"/>
        </w:rPr>
        <w:t>,</w:t>
      </w:r>
      <w:r w:rsidR="00955D60" w:rsidRPr="003A1174">
        <w:rPr>
          <w:rFonts w:ascii="Garamond" w:eastAsia="Times New Roman" w:hAnsi="Garamond" w:cs="Arial"/>
          <w:sz w:val="24"/>
          <w:szCs w:val="24"/>
        </w:rPr>
        <w:t xml:space="preserve"> e</w:t>
      </w:r>
      <w:r w:rsidR="002E3605"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Montevideo</w:t>
      </w:r>
      <w:r w:rsidR="002E3605" w:rsidRPr="003A1174">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0C1152">
        <w:rPr>
          <w:rFonts w:ascii="Garamond" w:eastAsia="Times New Roman" w:hAnsi="Garamond" w:cs="Arial"/>
          <w:sz w:val="24"/>
          <w:szCs w:val="24"/>
        </w:rPr>
        <w:t xml:space="preserve"> que,</w:t>
      </w:r>
      <w:r w:rsidR="00955D60" w:rsidRPr="003A1174">
        <w:rPr>
          <w:rFonts w:ascii="Garamond" w:eastAsia="Times New Roman" w:hAnsi="Garamond" w:cs="Arial"/>
          <w:sz w:val="24"/>
          <w:szCs w:val="24"/>
        </w:rPr>
        <w:t xml:space="preserve"> </w:t>
      </w:r>
      <w:r w:rsidR="002E3605" w:rsidRPr="003A1174">
        <w:rPr>
          <w:rFonts w:ascii="Garamond" w:eastAsia="Times New Roman" w:hAnsi="Garamond" w:cs="Arial"/>
          <w:sz w:val="24"/>
          <w:szCs w:val="24"/>
        </w:rPr>
        <w:t xml:space="preserve">passado um </w:t>
      </w:r>
      <w:r w:rsidR="002C7510" w:rsidRPr="003A1174">
        <w:rPr>
          <w:rFonts w:ascii="Garamond" w:eastAsia="Times New Roman" w:hAnsi="Garamond" w:cs="Arial"/>
          <w:sz w:val="24"/>
          <w:szCs w:val="24"/>
        </w:rPr>
        <w:t>ano</w:t>
      </w:r>
      <w:r w:rsidR="00955D60" w:rsidRPr="003A1174">
        <w:rPr>
          <w:rFonts w:ascii="Garamond" w:eastAsia="Times New Roman" w:hAnsi="Garamond" w:cs="Arial"/>
          <w:sz w:val="24"/>
          <w:szCs w:val="24"/>
        </w:rPr>
        <w:t xml:space="preserve"> d</w:t>
      </w:r>
      <w:r w:rsidR="002E3605" w:rsidRPr="003A1174">
        <w:rPr>
          <w:rFonts w:ascii="Garamond" w:eastAsia="Times New Roman" w:hAnsi="Garamond" w:cs="Arial"/>
          <w:sz w:val="24"/>
          <w:szCs w:val="24"/>
        </w:rPr>
        <w:t>a sua implementação</w:t>
      </w:r>
      <w:r w:rsidR="000C1152">
        <w:rPr>
          <w:rFonts w:ascii="Garamond" w:eastAsia="Times New Roman" w:hAnsi="Garamond" w:cs="Arial"/>
          <w:sz w:val="24"/>
          <w:szCs w:val="24"/>
        </w:rPr>
        <w:t>,</w:t>
      </w:r>
      <w:r w:rsidR="002E3605" w:rsidRPr="003A1174">
        <w:rPr>
          <w:rFonts w:ascii="Garamond" w:eastAsia="Times New Roman" w:hAnsi="Garamond" w:cs="Arial"/>
          <w:sz w:val="24"/>
          <w:szCs w:val="24"/>
        </w:rPr>
        <w:t xml:space="preserve"> </w:t>
      </w:r>
      <w:r w:rsidR="00462B11" w:rsidRPr="003A1174">
        <w:rPr>
          <w:rFonts w:ascii="Garamond" w:eastAsia="Times New Roman" w:hAnsi="Garamond" w:cs="Arial"/>
          <w:sz w:val="24"/>
          <w:szCs w:val="24"/>
        </w:rPr>
        <w:t>foi</w:t>
      </w:r>
      <w:r w:rsidR="00955D60" w:rsidRPr="003A1174">
        <w:rPr>
          <w:rFonts w:ascii="Garamond" w:eastAsia="Times New Roman" w:hAnsi="Garamond" w:cs="Arial"/>
          <w:sz w:val="24"/>
          <w:szCs w:val="24"/>
        </w:rPr>
        <w:t xml:space="preserve"> </w:t>
      </w:r>
      <w:r w:rsidR="002E3605" w:rsidRPr="003A1174">
        <w:rPr>
          <w:rFonts w:ascii="Garamond" w:eastAsia="Times New Roman" w:hAnsi="Garamond" w:cs="Arial"/>
          <w:sz w:val="24"/>
          <w:szCs w:val="24"/>
        </w:rPr>
        <w:t xml:space="preserve">avaliado </w:t>
      </w:r>
      <w:r w:rsidR="00955D60" w:rsidRPr="003A1174">
        <w:rPr>
          <w:rFonts w:ascii="Garamond" w:eastAsia="Times New Roman" w:hAnsi="Garamond" w:cs="Arial"/>
          <w:sz w:val="24"/>
          <w:szCs w:val="24"/>
        </w:rPr>
        <w:t>como altamente posi</w:t>
      </w:r>
      <w:r w:rsidR="002E3605" w:rsidRPr="003A1174">
        <w:rPr>
          <w:rFonts w:ascii="Garamond" w:eastAsia="Times New Roman" w:hAnsi="Garamond" w:cs="Arial"/>
          <w:sz w:val="24"/>
          <w:szCs w:val="24"/>
        </w:rPr>
        <w:t>tivo</w:t>
      </w:r>
      <w:r w:rsidR="000C1152">
        <w:rPr>
          <w:rFonts w:ascii="Garamond" w:eastAsia="Times New Roman" w:hAnsi="Garamond" w:cs="Arial"/>
          <w:sz w:val="24"/>
          <w:szCs w:val="24"/>
        </w:rPr>
        <w:t>,</w:t>
      </w:r>
      <w:r w:rsidR="002E3605" w:rsidRPr="003A1174">
        <w:rPr>
          <w:rFonts w:ascii="Garamond" w:eastAsia="Times New Roman" w:hAnsi="Garamond" w:cs="Arial"/>
          <w:sz w:val="24"/>
          <w:szCs w:val="24"/>
        </w:rPr>
        <w:t xml:space="preserve"> </w:t>
      </w:r>
      <w:r w:rsidR="000C1152">
        <w:rPr>
          <w:rFonts w:ascii="Garamond" w:eastAsia="Times New Roman" w:hAnsi="Garamond" w:cs="Arial"/>
          <w:sz w:val="24"/>
          <w:szCs w:val="24"/>
        </w:rPr>
        <w:t xml:space="preserve">tendo em conta </w:t>
      </w:r>
      <w:r w:rsidR="00955D60" w:rsidRPr="003A1174">
        <w:rPr>
          <w:rFonts w:ascii="Garamond" w:eastAsia="Times New Roman" w:hAnsi="Garamond" w:cs="Arial"/>
          <w:sz w:val="24"/>
          <w:szCs w:val="24"/>
        </w:rPr>
        <w:t xml:space="preserve">os </w:t>
      </w:r>
      <w:r w:rsidR="006F7276" w:rsidRPr="003A1174">
        <w:rPr>
          <w:rFonts w:ascii="Garamond" w:eastAsia="Times New Roman" w:hAnsi="Garamond" w:cs="Arial"/>
          <w:sz w:val="24"/>
          <w:szCs w:val="24"/>
        </w:rPr>
        <w:t>seguintes</w:t>
      </w:r>
      <w:r w:rsidR="00955D60" w:rsidRPr="003A1174">
        <w:rPr>
          <w:rFonts w:ascii="Garamond" w:eastAsia="Times New Roman" w:hAnsi="Garamond" w:cs="Arial"/>
          <w:sz w:val="24"/>
          <w:szCs w:val="24"/>
        </w:rPr>
        <w:t xml:space="preserve"> </w:t>
      </w:r>
      <w:r w:rsidR="005D38DC" w:rsidRPr="003A1174">
        <w:rPr>
          <w:rFonts w:ascii="Garamond" w:eastAsia="Times New Roman" w:hAnsi="Garamond" w:cs="Arial"/>
          <w:sz w:val="24"/>
          <w:szCs w:val="24"/>
        </w:rPr>
        <w:t>aspeto</w:t>
      </w:r>
      <w:r w:rsidR="00955D60" w:rsidRPr="003A1174">
        <w:rPr>
          <w:rFonts w:ascii="Garamond" w:eastAsia="Times New Roman" w:hAnsi="Garamond" w:cs="Arial"/>
          <w:sz w:val="24"/>
          <w:szCs w:val="24"/>
        </w:rPr>
        <w:t xml:space="preserve">s: </w:t>
      </w:r>
    </w:p>
    <w:p w:rsidR="00955D60" w:rsidRPr="003A1174" w:rsidRDefault="00955D60" w:rsidP="008719D4">
      <w:pPr>
        <w:pStyle w:val="Prrafodelista"/>
        <w:numPr>
          <w:ilvl w:val="0"/>
          <w:numId w:val="35"/>
        </w:numPr>
        <w:tabs>
          <w:tab w:val="left" w:pos="348"/>
        </w:tabs>
        <w:spacing w:before="240" w:line="240" w:lineRule="auto"/>
        <w:jc w:val="both"/>
        <w:rPr>
          <w:rFonts w:ascii="Garamond" w:eastAsia="Times New Roman" w:hAnsi="Garamond" w:cs="Arial"/>
          <w:color w:val="auto"/>
          <w:sz w:val="24"/>
          <w:szCs w:val="24"/>
          <w:lang w:val="pt-PT"/>
        </w:rPr>
      </w:pPr>
      <w:r w:rsidRPr="003A1174">
        <w:rPr>
          <w:rFonts w:ascii="Garamond" w:hAnsi="Garamond" w:cs="Arial"/>
          <w:color w:val="auto"/>
          <w:sz w:val="24"/>
          <w:szCs w:val="24"/>
          <w:lang w:val="pt-PT"/>
        </w:rPr>
        <w:t xml:space="preserve">Funciona de </w:t>
      </w:r>
      <w:r w:rsidR="003F012B" w:rsidRPr="003A1174">
        <w:rPr>
          <w:rFonts w:ascii="Garamond" w:hAnsi="Garamond" w:cs="Arial"/>
          <w:color w:val="auto"/>
          <w:sz w:val="24"/>
          <w:szCs w:val="24"/>
          <w:lang w:val="pt-PT"/>
        </w:rPr>
        <w:t>acordo</w:t>
      </w:r>
      <w:r w:rsidRPr="003A1174">
        <w:rPr>
          <w:rFonts w:ascii="Garamond" w:hAnsi="Garamond" w:cs="Arial"/>
          <w:color w:val="auto"/>
          <w:sz w:val="24"/>
          <w:szCs w:val="24"/>
          <w:lang w:val="pt-PT"/>
        </w:rPr>
        <w:t xml:space="preserve"> </w:t>
      </w:r>
      <w:r w:rsidR="002E3605" w:rsidRPr="003A1174">
        <w:rPr>
          <w:rFonts w:ascii="Garamond" w:hAnsi="Garamond" w:cs="Arial"/>
          <w:color w:val="auto"/>
          <w:sz w:val="24"/>
          <w:szCs w:val="24"/>
          <w:lang w:val="pt-PT"/>
        </w:rPr>
        <w:t xml:space="preserve">com </w:t>
      </w:r>
      <w:r w:rsidRPr="003A1174">
        <w:rPr>
          <w:rFonts w:ascii="Garamond" w:hAnsi="Garamond" w:cs="Arial"/>
          <w:color w:val="auto"/>
          <w:sz w:val="24"/>
          <w:szCs w:val="24"/>
          <w:lang w:val="pt-PT"/>
        </w:rPr>
        <w:t>o</w:t>
      </w:r>
      <w:r w:rsidR="00EE0C74">
        <w:rPr>
          <w:rFonts w:ascii="Garamond" w:hAnsi="Garamond" w:cs="Arial"/>
          <w:color w:val="auto"/>
          <w:sz w:val="24"/>
          <w:szCs w:val="24"/>
          <w:lang w:val="pt-PT"/>
        </w:rPr>
        <w:t xml:space="preserve"> </w:t>
      </w:r>
      <w:r w:rsidR="000C1152">
        <w:rPr>
          <w:rFonts w:ascii="Garamond" w:hAnsi="Garamond" w:cs="Arial"/>
          <w:color w:val="auto"/>
          <w:sz w:val="24"/>
          <w:szCs w:val="24"/>
          <w:lang w:val="pt-PT"/>
        </w:rPr>
        <w:t>previsto</w:t>
      </w:r>
      <w:r w:rsidR="00277F02"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120915" w:rsidRPr="003A1174">
        <w:rPr>
          <w:rFonts w:ascii="Garamond" w:hAnsi="Garamond" w:cs="Arial"/>
          <w:color w:val="auto"/>
          <w:sz w:val="24"/>
          <w:szCs w:val="24"/>
          <w:lang w:val="pt-PT"/>
        </w:rPr>
        <w:t>pois</w:t>
      </w:r>
      <w:r w:rsidRPr="003A1174">
        <w:rPr>
          <w:rFonts w:ascii="Garamond" w:hAnsi="Garamond" w:cs="Arial"/>
          <w:color w:val="auto"/>
          <w:sz w:val="24"/>
          <w:szCs w:val="24"/>
          <w:lang w:val="pt-PT"/>
        </w:rPr>
        <w:t xml:space="preserve"> e</w:t>
      </w:r>
      <w:r w:rsidR="002E3605"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152A44" w:rsidRPr="003A1174">
        <w:rPr>
          <w:rFonts w:ascii="Garamond" w:hAnsi="Garamond" w:cs="Arial"/>
          <w:color w:val="auto"/>
          <w:sz w:val="24"/>
          <w:szCs w:val="24"/>
          <w:lang w:val="pt-PT"/>
        </w:rPr>
        <w:t>relação</w:t>
      </w:r>
      <w:r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à</w:t>
      </w:r>
      <w:r w:rsidRPr="003A1174">
        <w:rPr>
          <w:rFonts w:ascii="Garamond" w:hAnsi="Garamond" w:cs="Arial"/>
          <w:color w:val="auto"/>
          <w:sz w:val="24"/>
          <w:szCs w:val="24"/>
          <w:lang w:val="pt-PT"/>
        </w:rPr>
        <w:t xml:space="preserve">s 154 </w:t>
      </w:r>
      <w:r w:rsidR="00B14AA6" w:rsidRPr="00EA2345">
        <w:rPr>
          <w:rFonts w:ascii="Garamond" w:hAnsi="Garamond" w:cs="Arial"/>
          <w:color w:val="auto"/>
          <w:sz w:val="24"/>
          <w:szCs w:val="24"/>
          <w:lang w:val="pt-PT"/>
        </w:rPr>
        <w:t>disposições</w:t>
      </w:r>
      <w:r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judiciais</w:t>
      </w:r>
      <w:r w:rsidR="0078611D">
        <w:rPr>
          <w:rFonts w:ascii="Garamond" w:hAnsi="Garamond" w:cs="Arial"/>
          <w:color w:val="auto"/>
          <w:sz w:val="24"/>
          <w:szCs w:val="24"/>
          <w:lang w:val="pt-PT"/>
        </w:rPr>
        <w:t>,</w:t>
      </w:r>
      <w:r w:rsidRPr="003A1174">
        <w:rPr>
          <w:rFonts w:ascii="Garamond" w:hAnsi="Garamond" w:cs="Arial"/>
          <w:color w:val="auto"/>
          <w:sz w:val="24"/>
          <w:szCs w:val="24"/>
          <w:lang w:val="pt-PT"/>
        </w:rPr>
        <w:t xml:space="preserve"> realizadas </w:t>
      </w:r>
      <w:r w:rsidR="002E3605" w:rsidRPr="003A1174">
        <w:rPr>
          <w:rFonts w:ascii="Garamond" w:hAnsi="Garamond" w:cs="Arial"/>
          <w:color w:val="auto"/>
          <w:sz w:val="24"/>
          <w:szCs w:val="24"/>
          <w:lang w:val="pt-PT"/>
        </w:rPr>
        <w:t xml:space="preserve">até ao </w:t>
      </w:r>
      <w:r w:rsidRPr="003A1174">
        <w:rPr>
          <w:rFonts w:ascii="Garamond" w:hAnsi="Garamond" w:cs="Arial"/>
          <w:color w:val="auto"/>
          <w:sz w:val="24"/>
          <w:szCs w:val="24"/>
          <w:lang w:val="pt-PT"/>
        </w:rPr>
        <w:t xml:space="preserve">momento, </w:t>
      </w:r>
      <w:r w:rsidR="00A04525" w:rsidRPr="003A1174">
        <w:rPr>
          <w:rFonts w:ascii="Garamond" w:hAnsi="Garamond" w:cs="Arial"/>
          <w:color w:val="auto"/>
          <w:sz w:val="24"/>
          <w:szCs w:val="24"/>
          <w:lang w:val="pt-PT"/>
        </w:rPr>
        <w:t xml:space="preserve">efetuou-se </w:t>
      </w:r>
      <w:r w:rsidR="002E3605" w:rsidRPr="003A1174">
        <w:rPr>
          <w:rFonts w:ascii="Garamond" w:hAnsi="Garamond" w:cs="Arial"/>
          <w:color w:val="auto"/>
          <w:sz w:val="24"/>
          <w:szCs w:val="24"/>
          <w:lang w:val="pt-PT"/>
        </w:rPr>
        <w:t xml:space="preserve">o </w:t>
      </w:r>
      <w:r w:rsidR="000C1152">
        <w:rPr>
          <w:rFonts w:ascii="Garamond" w:hAnsi="Garamond" w:cs="Arial"/>
          <w:color w:val="auto"/>
          <w:sz w:val="24"/>
          <w:szCs w:val="24"/>
          <w:lang w:val="pt-PT"/>
        </w:rPr>
        <w:t xml:space="preserve">acompanhamento </w:t>
      </w:r>
      <w:r w:rsidR="00497503" w:rsidRPr="003A1174">
        <w:rPr>
          <w:rFonts w:ascii="Garamond" w:hAnsi="Garamond" w:cs="Arial"/>
          <w:color w:val="auto"/>
          <w:sz w:val="24"/>
          <w:szCs w:val="24"/>
          <w:lang w:val="pt-PT"/>
        </w:rPr>
        <w:t>das</w:t>
      </w:r>
      <w:r w:rsidRPr="003A1174">
        <w:rPr>
          <w:rFonts w:ascii="Garamond" w:hAnsi="Garamond" w:cs="Arial"/>
          <w:color w:val="auto"/>
          <w:sz w:val="24"/>
          <w:szCs w:val="24"/>
          <w:lang w:val="pt-PT"/>
        </w:rPr>
        <w:t xml:space="preserve"> medidas de </w:t>
      </w:r>
      <w:r w:rsidR="00A04525" w:rsidRPr="003A1174">
        <w:rPr>
          <w:rFonts w:ascii="Garamond" w:hAnsi="Garamond" w:cs="Arial"/>
          <w:color w:val="auto"/>
          <w:sz w:val="24"/>
          <w:szCs w:val="24"/>
          <w:lang w:val="pt-PT"/>
        </w:rPr>
        <w:t>afastamento</w:t>
      </w:r>
      <w:r w:rsidRPr="003A1174">
        <w:rPr>
          <w:rFonts w:ascii="Garamond" w:hAnsi="Garamond" w:cs="Arial"/>
          <w:color w:val="auto"/>
          <w:sz w:val="24"/>
          <w:szCs w:val="24"/>
          <w:lang w:val="pt-PT"/>
        </w:rPr>
        <w:t xml:space="preserve">. </w:t>
      </w:r>
    </w:p>
    <w:p w:rsidR="00955D60" w:rsidRPr="003A1174" w:rsidRDefault="00A04525" w:rsidP="008719D4">
      <w:pPr>
        <w:widowControl w:val="0"/>
        <w:numPr>
          <w:ilvl w:val="0"/>
          <w:numId w:val="35"/>
        </w:numPr>
        <w:tabs>
          <w:tab w:val="left" w:pos="348"/>
        </w:tabs>
        <w:suppressAutoHyphens/>
        <w:spacing w:before="240"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A</w:t>
      </w:r>
      <w:r w:rsidR="00955D60" w:rsidRPr="003A1174">
        <w:rPr>
          <w:rFonts w:ascii="Garamond" w:eastAsia="Times New Roman" w:hAnsi="Garamond" w:cs="Arial"/>
          <w:sz w:val="24"/>
          <w:szCs w:val="24"/>
        </w:rPr>
        <w:t xml:space="preserve">s </w:t>
      </w:r>
      <w:r w:rsidR="007342D9" w:rsidRPr="003A1174">
        <w:rPr>
          <w:rFonts w:ascii="Garamond" w:eastAsia="Times New Roman" w:hAnsi="Garamond" w:cs="Arial"/>
          <w:sz w:val="24"/>
          <w:szCs w:val="24"/>
        </w:rPr>
        <w:t>situações</w:t>
      </w:r>
      <w:r w:rsidR="00955D60" w:rsidRPr="003A1174">
        <w:rPr>
          <w:rFonts w:ascii="Garamond" w:eastAsia="Times New Roman" w:hAnsi="Garamond" w:cs="Arial"/>
          <w:sz w:val="24"/>
          <w:szCs w:val="24"/>
        </w:rPr>
        <w:t xml:space="preserve"> de in</w:t>
      </w:r>
      <w:r w:rsidR="00D96FD0" w:rsidRPr="003A1174">
        <w:rPr>
          <w:rFonts w:ascii="Garamond" w:eastAsia="Times New Roman" w:hAnsi="Garamond" w:cs="Arial"/>
          <w:sz w:val="24"/>
          <w:szCs w:val="24"/>
        </w:rPr>
        <w:t>cumprimento</w:t>
      </w:r>
      <w:r w:rsidR="00955D60"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00955D60" w:rsidRPr="003A1174">
        <w:rPr>
          <w:rFonts w:ascii="Garamond" w:eastAsia="Times New Roman" w:hAnsi="Garamond" w:cs="Arial"/>
          <w:sz w:val="24"/>
          <w:szCs w:val="24"/>
        </w:rPr>
        <w:t xml:space="preserve"> </w:t>
      </w:r>
      <w:r w:rsidR="002D1021" w:rsidRPr="003A1174">
        <w:rPr>
          <w:rFonts w:ascii="Garamond" w:eastAsia="Times New Roman" w:hAnsi="Garamond" w:cs="Arial"/>
          <w:sz w:val="24"/>
          <w:szCs w:val="24"/>
        </w:rPr>
        <w:t>agressor</w:t>
      </w:r>
      <w:r w:rsidR="00955D60" w:rsidRPr="003A1174">
        <w:rPr>
          <w:rFonts w:ascii="Garamond" w:eastAsia="Times New Roman" w:hAnsi="Garamond" w:cs="Arial"/>
          <w:sz w:val="24"/>
          <w:szCs w:val="24"/>
        </w:rPr>
        <w:t xml:space="preserve">es </w:t>
      </w:r>
      <w:r w:rsidR="00946348" w:rsidRPr="003A1174">
        <w:rPr>
          <w:rFonts w:ascii="Garamond" w:eastAsia="Times New Roman" w:hAnsi="Garamond" w:cs="Arial"/>
          <w:sz w:val="24"/>
          <w:szCs w:val="24"/>
        </w:rPr>
        <w:t>foram</w:t>
      </w:r>
      <w:r w:rsidR="00955D60" w:rsidRPr="003A1174">
        <w:rPr>
          <w:rFonts w:ascii="Garamond" w:eastAsia="Times New Roman" w:hAnsi="Garamond" w:cs="Arial"/>
          <w:sz w:val="24"/>
          <w:szCs w:val="24"/>
        </w:rPr>
        <w:t xml:space="preserve"> ge</w:t>
      </w:r>
      <w:r w:rsidRPr="003A1174">
        <w:rPr>
          <w:rFonts w:ascii="Garamond" w:eastAsia="Times New Roman" w:hAnsi="Garamond" w:cs="Arial"/>
          <w:sz w:val="24"/>
          <w:szCs w:val="24"/>
        </w:rPr>
        <w:t xml:space="preserve">ridas </w:t>
      </w:r>
      <w:r w:rsidR="00955D60" w:rsidRPr="003A1174">
        <w:rPr>
          <w:rFonts w:ascii="Garamond" w:eastAsia="Times New Roman" w:hAnsi="Garamond" w:cs="Arial"/>
          <w:sz w:val="24"/>
          <w:szCs w:val="24"/>
        </w:rPr>
        <w:t xml:space="preserve">a </w:t>
      </w:r>
      <w:r w:rsidR="0017447A" w:rsidRPr="003A1174">
        <w:rPr>
          <w:rFonts w:ascii="Garamond" w:eastAsia="Times New Roman" w:hAnsi="Garamond" w:cs="Arial"/>
          <w:sz w:val="24"/>
          <w:szCs w:val="24"/>
        </w:rPr>
        <w:t>nível</w:t>
      </w:r>
      <w:r w:rsidR="00955D60" w:rsidRPr="003A1174">
        <w:rPr>
          <w:rFonts w:ascii="Garamond" w:eastAsia="Times New Roman" w:hAnsi="Garamond" w:cs="Arial"/>
          <w:sz w:val="24"/>
          <w:szCs w:val="24"/>
        </w:rPr>
        <w:t xml:space="preserve"> policial, a</w:t>
      </w:r>
      <w:r w:rsidRPr="003A1174">
        <w:rPr>
          <w:rFonts w:ascii="Garamond" w:eastAsia="Times New Roman" w:hAnsi="Garamond" w:cs="Arial"/>
          <w:sz w:val="24"/>
          <w:szCs w:val="24"/>
        </w:rPr>
        <w:t>s</w:t>
      </w:r>
      <w:r w:rsidR="00955D60" w:rsidRPr="003A1174">
        <w:rPr>
          <w:rFonts w:ascii="Garamond" w:eastAsia="Times New Roman" w:hAnsi="Garamond" w:cs="Arial"/>
          <w:sz w:val="24"/>
          <w:szCs w:val="24"/>
        </w:rPr>
        <w:t>segur</w:t>
      </w:r>
      <w:r w:rsidRPr="003A1174">
        <w:rPr>
          <w:rFonts w:ascii="Garamond" w:eastAsia="Times New Roman" w:hAnsi="Garamond" w:cs="Arial"/>
          <w:sz w:val="24"/>
          <w:szCs w:val="24"/>
        </w:rPr>
        <w:t>ando-se</w:t>
      </w:r>
      <w:r w:rsidR="0078611D">
        <w:rPr>
          <w:rFonts w:ascii="Garamond" w:eastAsia="Times New Roman" w:hAnsi="Garamond" w:cs="Arial"/>
          <w:sz w:val="24"/>
          <w:szCs w:val="24"/>
        </w:rPr>
        <w:t>,</w:t>
      </w:r>
      <w:r w:rsidRPr="003A1174">
        <w:rPr>
          <w:rFonts w:ascii="Garamond" w:eastAsia="Times New Roman" w:hAnsi="Garamond" w:cs="Arial"/>
          <w:sz w:val="24"/>
          <w:szCs w:val="24"/>
        </w:rPr>
        <w:t xml:space="preserve"> em </w:t>
      </w:r>
      <w:r w:rsidR="00276DCA" w:rsidRPr="003A1174">
        <w:rPr>
          <w:rFonts w:ascii="Garamond" w:eastAsia="Times New Roman" w:hAnsi="Garamond" w:cs="Arial"/>
          <w:sz w:val="24"/>
          <w:szCs w:val="24"/>
        </w:rPr>
        <w:t>primeiro</w:t>
      </w:r>
      <w:r w:rsidRPr="003A1174">
        <w:rPr>
          <w:rFonts w:ascii="Garamond" w:eastAsia="Times New Roman" w:hAnsi="Garamond" w:cs="Arial"/>
          <w:sz w:val="24"/>
          <w:szCs w:val="24"/>
        </w:rPr>
        <w:t xml:space="preserve"> lugar</w:t>
      </w:r>
      <w:r w:rsidR="0078611D">
        <w:rPr>
          <w:rFonts w:ascii="Garamond" w:eastAsia="Times New Roman" w:hAnsi="Garamond" w:cs="Arial"/>
          <w:sz w:val="24"/>
          <w:szCs w:val="24"/>
        </w:rPr>
        <w:t>,</w:t>
      </w:r>
      <w:r w:rsidRPr="003A1174">
        <w:rPr>
          <w:rFonts w:ascii="Garamond" w:eastAsia="Times New Roman" w:hAnsi="Garamond" w:cs="Arial"/>
          <w:sz w:val="24"/>
          <w:szCs w:val="24"/>
        </w:rPr>
        <w:t xml:space="preserve"> </w:t>
      </w:r>
      <w:r w:rsidR="00955D60" w:rsidRPr="003A1174">
        <w:rPr>
          <w:rFonts w:ascii="Garamond" w:eastAsia="Times New Roman" w:hAnsi="Garamond" w:cs="Arial"/>
          <w:sz w:val="24"/>
          <w:szCs w:val="24"/>
        </w:rPr>
        <w:t xml:space="preserve">a </w:t>
      </w:r>
      <w:r w:rsidR="00886D6A" w:rsidRPr="003A1174">
        <w:rPr>
          <w:rFonts w:ascii="Garamond" w:eastAsia="Times New Roman" w:hAnsi="Garamond" w:cs="Arial"/>
          <w:sz w:val="24"/>
          <w:szCs w:val="24"/>
        </w:rPr>
        <w:t>proteção</w:t>
      </w:r>
      <w:r w:rsidR="00955D60"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das</w:t>
      </w:r>
      <w:r w:rsidR="00955D60" w:rsidRPr="003A1174">
        <w:rPr>
          <w:rFonts w:ascii="Garamond" w:eastAsia="Times New Roman" w:hAnsi="Garamond" w:cs="Arial"/>
          <w:sz w:val="24"/>
          <w:szCs w:val="24"/>
        </w:rPr>
        <w:t xml:space="preserve"> </w:t>
      </w:r>
      <w:r w:rsidR="003F012B" w:rsidRPr="003A1174">
        <w:rPr>
          <w:rFonts w:ascii="Garamond" w:eastAsia="Times New Roman" w:hAnsi="Garamond" w:cs="Arial"/>
          <w:sz w:val="24"/>
          <w:szCs w:val="24"/>
        </w:rPr>
        <w:t>vítima</w:t>
      </w:r>
      <w:r w:rsidR="00955D60" w:rsidRPr="003A1174">
        <w:rPr>
          <w:rFonts w:ascii="Garamond" w:eastAsia="Times New Roman" w:hAnsi="Garamond" w:cs="Arial"/>
          <w:sz w:val="24"/>
          <w:szCs w:val="24"/>
        </w:rPr>
        <w:t>s e informando</w:t>
      </w:r>
      <w:r w:rsidR="0078611D">
        <w:rPr>
          <w:rFonts w:ascii="Garamond" w:eastAsia="Times New Roman" w:hAnsi="Garamond" w:cs="Arial"/>
          <w:sz w:val="24"/>
          <w:szCs w:val="24"/>
        </w:rPr>
        <w:t>-se</w:t>
      </w:r>
      <w:r w:rsidRPr="003A1174">
        <w:rPr>
          <w:rFonts w:ascii="Garamond" w:eastAsia="Times New Roman" w:hAnsi="Garamond" w:cs="Arial"/>
          <w:sz w:val="24"/>
          <w:szCs w:val="24"/>
        </w:rPr>
        <w:t xml:space="preserve"> a </w:t>
      </w:r>
      <w:r w:rsidR="00FC1F7F" w:rsidRPr="003A1174">
        <w:rPr>
          <w:rFonts w:ascii="Garamond" w:eastAsia="Times New Roman" w:hAnsi="Garamond" w:cs="Arial"/>
          <w:sz w:val="24"/>
          <w:szCs w:val="24"/>
        </w:rPr>
        <w:t>Justiça</w:t>
      </w:r>
      <w:r w:rsidR="00955D60" w:rsidRPr="003A1174">
        <w:rPr>
          <w:rFonts w:ascii="Garamond" w:eastAsia="Times New Roman" w:hAnsi="Garamond" w:cs="Arial"/>
          <w:sz w:val="24"/>
          <w:szCs w:val="24"/>
        </w:rPr>
        <w:t xml:space="preserve"> co</w:t>
      </w:r>
      <w:r w:rsidRPr="003A1174">
        <w:rPr>
          <w:rFonts w:ascii="Garamond" w:eastAsia="Times New Roman" w:hAnsi="Garamond" w:cs="Arial"/>
          <w:sz w:val="24"/>
          <w:szCs w:val="24"/>
        </w:rPr>
        <w:t xml:space="preserve">m o apoio da </w:t>
      </w:r>
      <w:r w:rsidR="002B6C5B" w:rsidRPr="003A1174">
        <w:rPr>
          <w:rFonts w:ascii="Garamond" w:eastAsia="Times New Roman" w:hAnsi="Garamond" w:cs="Arial"/>
          <w:sz w:val="24"/>
          <w:szCs w:val="24"/>
        </w:rPr>
        <w:t>prova</w:t>
      </w:r>
      <w:r w:rsidR="00955D60" w:rsidRPr="003A1174">
        <w:rPr>
          <w:rFonts w:ascii="Garamond" w:eastAsia="Times New Roman" w:hAnsi="Garamond" w:cs="Arial"/>
          <w:sz w:val="24"/>
          <w:szCs w:val="24"/>
        </w:rPr>
        <w:t xml:space="preserve"> </w:t>
      </w:r>
      <w:r w:rsidRPr="003A1174">
        <w:rPr>
          <w:rFonts w:ascii="Garamond" w:eastAsia="Times New Roman" w:hAnsi="Garamond" w:cs="Arial"/>
          <w:sz w:val="24"/>
          <w:szCs w:val="24"/>
        </w:rPr>
        <w:t>prestada</w:t>
      </w:r>
      <w:r w:rsidR="00955D60" w:rsidRPr="003A1174">
        <w:rPr>
          <w:rFonts w:ascii="Garamond" w:eastAsia="Times New Roman" w:hAnsi="Garamond" w:cs="Arial"/>
          <w:sz w:val="24"/>
          <w:szCs w:val="24"/>
        </w:rPr>
        <w:t xml:space="preserve"> </w:t>
      </w:r>
      <w:r w:rsidR="005C2020" w:rsidRPr="003A1174">
        <w:rPr>
          <w:rFonts w:ascii="Garamond" w:eastAsia="Times New Roman" w:hAnsi="Garamond" w:cs="Arial"/>
          <w:sz w:val="24"/>
          <w:szCs w:val="24"/>
        </w:rPr>
        <w:t>pelo</w:t>
      </w:r>
      <w:r w:rsidR="00955D60" w:rsidRPr="003A1174">
        <w:rPr>
          <w:rFonts w:ascii="Garamond" w:eastAsia="Times New Roman" w:hAnsi="Garamond" w:cs="Arial"/>
          <w:sz w:val="24"/>
          <w:szCs w:val="24"/>
        </w:rPr>
        <w:t xml:space="preserve"> Sistema de </w:t>
      </w:r>
      <w:r w:rsidR="00632851" w:rsidRPr="003A1174">
        <w:rPr>
          <w:rFonts w:ascii="Garamond" w:eastAsia="Times New Roman" w:hAnsi="Garamond" w:cs="Arial"/>
          <w:sz w:val="24"/>
          <w:szCs w:val="24"/>
        </w:rPr>
        <w:t>Monotorização</w:t>
      </w:r>
      <w:r w:rsidR="00955D60" w:rsidRPr="003A1174">
        <w:rPr>
          <w:rFonts w:ascii="Garamond" w:eastAsia="Times New Roman" w:hAnsi="Garamond" w:cs="Arial"/>
          <w:sz w:val="24"/>
          <w:szCs w:val="24"/>
        </w:rPr>
        <w:t>.</w:t>
      </w:r>
    </w:p>
    <w:p w:rsidR="00955D60" w:rsidRPr="003A1174" w:rsidRDefault="00A04525" w:rsidP="008719D4">
      <w:pPr>
        <w:widowControl w:val="0"/>
        <w:numPr>
          <w:ilvl w:val="0"/>
          <w:numId w:val="35"/>
        </w:numPr>
        <w:tabs>
          <w:tab w:val="left" w:pos="348"/>
        </w:tabs>
        <w:suppressAutoHyphens/>
        <w:spacing w:before="240"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 xml:space="preserve">O </w:t>
      </w:r>
      <w:r w:rsidR="0017447A" w:rsidRPr="003A1174">
        <w:rPr>
          <w:rFonts w:ascii="Garamond" w:eastAsia="Times New Roman" w:hAnsi="Garamond" w:cs="Arial"/>
          <w:sz w:val="24"/>
          <w:szCs w:val="24"/>
        </w:rPr>
        <w:t>trabalho</w:t>
      </w:r>
      <w:r w:rsidR="00955D60" w:rsidRPr="003A1174">
        <w:rPr>
          <w:rFonts w:ascii="Garamond" w:eastAsia="Times New Roman" w:hAnsi="Garamond" w:cs="Arial"/>
          <w:sz w:val="24"/>
          <w:szCs w:val="24"/>
        </w:rPr>
        <w:t xml:space="preserve"> realizado p</w:t>
      </w:r>
      <w:r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los </w:t>
      </w:r>
      <w:r w:rsidR="003E6403" w:rsidRPr="003A1174">
        <w:rPr>
          <w:rFonts w:ascii="Garamond" w:eastAsia="Times New Roman" w:hAnsi="Garamond" w:cs="Arial"/>
          <w:sz w:val="24"/>
          <w:szCs w:val="24"/>
        </w:rPr>
        <w:t>funcionári</w:t>
      </w:r>
      <w:r w:rsidR="00955D60" w:rsidRPr="003A1174">
        <w:rPr>
          <w:rFonts w:ascii="Garamond" w:eastAsia="Times New Roman" w:hAnsi="Garamond" w:cs="Arial"/>
          <w:sz w:val="24"/>
          <w:szCs w:val="24"/>
        </w:rPr>
        <w:t>os d</w:t>
      </w:r>
      <w:r w:rsidRPr="003A1174">
        <w:rPr>
          <w:rFonts w:ascii="Garamond" w:eastAsia="Times New Roman" w:hAnsi="Garamond" w:cs="Arial"/>
          <w:sz w:val="24"/>
          <w:szCs w:val="24"/>
        </w:rPr>
        <w:t>a</w:t>
      </w:r>
      <w:r w:rsidR="00955D60" w:rsidRPr="003A1174">
        <w:rPr>
          <w:rFonts w:ascii="Garamond" w:eastAsia="Times New Roman" w:hAnsi="Garamond" w:cs="Arial"/>
          <w:sz w:val="24"/>
          <w:szCs w:val="24"/>
        </w:rPr>
        <w:t xml:space="preserve"> Área </w:t>
      </w:r>
      <w:r w:rsidR="000350B1" w:rsidRPr="003A1174">
        <w:rPr>
          <w:rFonts w:ascii="Garamond" w:eastAsia="Times New Roman" w:hAnsi="Garamond" w:cs="Arial"/>
          <w:sz w:val="24"/>
          <w:szCs w:val="24"/>
        </w:rPr>
        <w:t>Violência</w:t>
      </w:r>
      <w:r w:rsidR="00955D60" w:rsidRPr="003A1174">
        <w:rPr>
          <w:rFonts w:ascii="Garamond" w:eastAsia="Times New Roman" w:hAnsi="Garamond" w:cs="Arial"/>
          <w:sz w:val="24"/>
          <w:szCs w:val="24"/>
        </w:rPr>
        <w:t xml:space="preserve"> Doméstica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de Género </w:t>
      </w:r>
      <w:r w:rsidR="00E85E59" w:rsidRPr="003A1174">
        <w:rPr>
          <w:rFonts w:ascii="Garamond" w:eastAsia="Times New Roman" w:hAnsi="Garamond" w:cs="Arial"/>
          <w:sz w:val="24"/>
          <w:szCs w:val="24"/>
        </w:rPr>
        <w:t>do</w:t>
      </w:r>
      <w:r w:rsidR="00955D60" w:rsidRPr="003A1174">
        <w:rPr>
          <w:rFonts w:ascii="Garamond" w:eastAsia="Times New Roman" w:hAnsi="Garamond" w:cs="Arial"/>
          <w:sz w:val="24"/>
          <w:szCs w:val="24"/>
        </w:rPr>
        <w:t xml:space="preserve"> Centro de Comando Unificado demostr</w:t>
      </w:r>
      <w:r w:rsidRPr="003A1174">
        <w:rPr>
          <w:rFonts w:ascii="Garamond" w:eastAsia="Times New Roman" w:hAnsi="Garamond" w:cs="Arial"/>
          <w:sz w:val="24"/>
          <w:szCs w:val="24"/>
        </w:rPr>
        <w:t xml:space="preserve">ou </w:t>
      </w:r>
      <w:r w:rsidR="00955D60" w:rsidRPr="003A1174">
        <w:rPr>
          <w:rFonts w:ascii="Garamond" w:eastAsia="Times New Roman" w:hAnsi="Garamond" w:cs="Arial"/>
          <w:sz w:val="24"/>
          <w:szCs w:val="24"/>
        </w:rPr>
        <w:t xml:space="preserve">alta </w:t>
      </w:r>
      <w:r w:rsidR="00454353" w:rsidRPr="003A1174">
        <w:rPr>
          <w:rFonts w:ascii="Garamond" w:eastAsia="Times New Roman" w:hAnsi="Garamond" w:cs="Arial"/>
          <w:sz w:val="24"/>
          <w:szCs w:val="24"/>
        </w:rPr>
        <w:t>eficácia</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sentido de </w:t>
      </w:r>
      <w:r w:rsidR="006D0543" w:rsidRPr="003A1174">
        <w:rPr>
          <w:rFonts w:ascii="Garamond" w:eastAsia="Times New Roman" w:hAnsi="Garamond" w:cs="Arial"/>
          <w:sz w:val="24"/>
          <w:szCs w:val="24"/>
        </w:rPr>
        <w:t>responsabilidade</w:t>
      </w:r>
      <w:r w:rsidR="00277F02" w:rsidRPr="003A1174">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Pr="003A1174">
        <w:rPr>
          <w:rFonts w:ascii="Garamond" w:eastAsia="Times New Roman" w:hAnsi="Garamond" w:cs="Arial"/>
          <w:sz w:val="24"/>
          <w:szCs w:val="24"/>
        </w:rPr>
        <w:t xml:space="preserve">proporcionando </w:t>
      </w:r>
      <w:r w:rsidR="00B531F2" w:rsidRPr="003A1174">
        <w:rPr>
          <w:rFonts w:ascii="Garamond" w:eastAsia="Times New Roman" w:hAnsi="Garamond" w:cs="Arial"/>
          <w:sz w:val="24"/>
          <w:szCs w:val="24"/>
        </w:rPr>
        <w:t>assessor</w:t>
      </w:r>
      <w:r w:rsidR="0078611D">
        <w:rPr>
          <w:rFonts w:ascii="Garamond" w:eastAsia="Times New Roman" w:hAnsi="Garamond" w:cs="Arial"/>
          <w:sz w:val="24"/>
          <w:szCs w:val="24"/>
        </w:rPr>
        <w:t>i</w:t>
      </w:r>
      <w:r w:rsidR="00B531F2" w:rsidRPr="003A1174">
        <w:rPr>
          <w:rFonts w:ascii="Garamond" w:eastAsia="Times New Roman" w:hAnsi="Garamond" w:cs="Arial"/>
          <w:sz w:val="24"/>
          <w:szCs w:val="24"/>
        </w:rPr>
        <w:t>a</w:t>
      </w:r>
      <w:r w:rsidR="00955D60"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w:t>
      </w:r>
      <w:r w:rsidR="001657C4" w:rsidRPr="003A1174">
        <w:rPr>
          <w:rFonts w:ascii="Garamond" w:eastAsia="Times New Roman" w:hAnsi="Garamond" w:cs="Arial"/>
          <w:sz w:val="24"/>
          <w:szCs w:val="24"/>
        </w:rPr>
        <w:t>contenção</w:t>
      </w:r>
      <w:r w:rsidR="00955D60" w:rsidRPr="003A1174">
        <w:rPr>
          <w:rFonts w:ascii="Garamond" w:eastAsia="Times New Roman" w:hAnsi="Garamond" w:cs="Arial"/>
          <w:sz w:val="24"/>
          <w:szCs w:val="24"/>
        </w:rPr>
        <w:t xml:space="preserve"> </w:t>
      </w:r>
      <w:r w:rsidR="00BB2B00" w:rsidRPr="003A1174">
        <w:rPr>
          <w:rFonts w:ascii="Garamond" w:eastAsia="Times New Roman" w:hAnsi="Garamond" w:cs="Arial"/>
          <w:sz w:val="24"/>
          <w:szCs w:val="24"/>
        </w:rPr>
        <w:t>à</w:t>
      </w:r>
      <w:r w:rsidR="00955D60" w:rsidRPr="003A1174">
        <w:rPr>
          <w:rFonts w:ascii="Garamond" w:eastAsia="Times New Roman" w:hAnsi="Garamond" w:cs="Arial"/>
          <w:sz w:val="24"/>
          <w:szCs w:val="24"/>
        </w:rPr>
        <w:t xml:space="preserve">s </w:t>
      </w:r>
      <w:r w:rsidR="006C760C" w:rsidRPr="003A1174">
        <w:rPr>
          <w:rFonts w:ascii="Garamond" w:eastAsia="Times New Roman" w:hAnsi="Garamond" w:cs="Arial"/>
          <w:sz w:val="24"/>
          <w:szCs w:val="24"/>
        </w:rPr>
        <w:t>pessoas</w:t>
      </w:r>
      <w:r w:rsidR="00955D60" w:rsidRPr="003A1174">
        <w:rPr>
          <w:rFonts w:ascii="Garamond" w:eastAsia="Times New Roman" w:hAnsi="Garamond" w:cs="Arial"/>
          <w:sz w:val="24"/>
          <w:szCs w:val="24"/>
        </w:rPr>
        <w:t xml:space="preserve"> que se encontra</w:t>
      </w:r>
      <w:r w:rsidRPr="003A1174">
        <w:rPr>
          <w:rFonts w:ascii="Garamond" w:eastAsia="Times New Roman" w:hAnsi="Garamond" w:cs="Arial"/>
          <w:sz w:val="24"/>
          <w:szCs w:val="24"/>
        </w:rPr>
        <w:t xml:space="preserve">vam em </w:t>
      </w:r>
      <w:r w:rsidR="008651AF" w:rsidRPr="003A1174">
        <w:rPr>
          <w:rFonts w:ascii="Garamond" w:eastAsia="Times New Roman" w:hAnsi="Garamond" w:cs="Arial"/>
          <w:sz w:val="24"/>
          <w:szCs w:val="24"/>
        </w:rPr>
        <w:t>risco</w:t>
      </w:r>
      <w:r w:rsidR="00955D60" w:rsidRPr="003A1174">
        <w:rPr>
          <w:rFonts w:ascii="Garamond" w:eastAsia="Times New Roman" w:hAnsi="Garamond" w:cs="Arial"/>
          <w:sz w:val="24"/>
          <w:szCs w:val="24"/>
        </w:rPr>
        <w:t>, contribu</w:t>
      </w:r>
      <w:r w:rsidRPr="003A1174">
        <w:rPr>
          <w:rFonts w:ascii="Garamond" w:eastAsia="Times New Roman" w:hAnsi="Garamond" w:cs="Arial"/>
          <w:sz w:val="24"/>
          <w:szCs w:val="24"/>
        </w:rPr>
        <w:t>i</w:t>
      </w:r>
      <w:r w:rsidR="00955D60" w:rsidRPr="003A1174">
        <w:rPr>
          <w:rFonts w:ascii="Garamond" w:eastAsia="Times New Roman" w:hAnsi="Garamond" w:cs="Arial"/>
          <w:sz w:val="24"/>
          <w:szCs w:val="24"/>
        </w:rPr>
        <w:t>ndo</w:t>
      </w:r>
      <w:r w:rsidR="0078611D">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009A0CC2" w:rsidRPr="003A1174">
        <w:rPr>
          <w:rFonts w:ascii="Garamond" w:eastAsia="Times New Roman" w:hAnsi="Garamond" w:cs="Arial"/>
          <w:sz w:val="24"/>
          <w:szCs w:val="24"/>
        </w:rPr>
        <w:t>através</w:t>
      </w:r>
      <w:r w:rsidRPr="003A1174">
        <w:rPr>
          <w:rFonts w:ascii="Garamond" w:eastAsia="Times New Roman" w:hAnsi="Garamond" w:cs="Arial"/>
          <w:sz w:val="24"/>
          <w:szCs w:val="24"/>
        </w:rPr>
        <w:t xml:space="preserve"> das suas intervenções</w:t>
      </w:r>
      <w:r w:rsidR="0078611D">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Pr="003A1174">
        <w:rPr>
          <w:rFonts w:ascii="Garamond" w:eastAsia="Times New Roman" w:hAnsi="Garamond" w:cs="Arial"/>
          <w:sz w:val="24"/>
          <w:szCs w:val="24"/>
        </w:rPr>
        <w:t>par</w:t>
      </w:r>
      <w:r w:rsidR="00955D60" w:rsidRPr="003A1174">
        <w:rPr>
          <w:rFonts w:ascii="Garamond" w:eastAsia="Times New Roman" w:hAnsi="Garamond" w:cs="Arial"/>
          <w:sz w:val="24"/>
          <w:szCs w:val="24"/>
        </w:rPr>
        <w:t>a dis</w:t>
      </w:r>
      <w:r w:rsidRPr="003A1174">
        <w:rPr>
          <w:rFonts w:ascii="Garamond" w:eastAsia="Times New Roman" w:hAnsi="Garamond" w:cs="Arial"/>
          <w:sz w:val="24"/>
          <w:szCs w:val="24"/>
        </w:rPr>
        <w:t>s</w:t>
      </w:r>
      <w:r w:rsidR="00955D60" w:rsidRPr="003A1174">
        <w:rPr>
          <w:rFonts w:ascii="Garamond" w:eastAsia="Times New Roman" w:hAnsi="Garamond" w:cs="Arial"/>
          <w:sz w:val="24"/>
          <w:szCs w:val="24"/>
        </w:rPr>
        <w:t>uadir</w:t>
      </w:r>
      <w:r w:rsidR="00277F02" w:rsidRPr="003A1174">
        <w:rPr>
          <w:rFonts w:ascii="Garamond" w:eastAsia="Times New Roman" w:hAnsi="Garamond" w:cs="Arial"/>
          <w:sz w:val="24"/>
          <w:szCs w:val="24"/>
        </w:rPr>
        <w:t xml:space="preserve"> </w:t>
      </w:r>
      <w:r w:rsidR="00B54C1B">
        <w:rPr>
          <w:rFonts w:ascii="Garamond" w:eastAsia="Times New Roman" w:hAnsi="Garamond" w:cs="Arial"/>
          <w:sz w:val="24"/>
          <w:szCs w:val="24"/>
        </w:rPr>
        <w:t>d</w:t>
      </w:r>
      <w:r w:rsidR="0095451B">
        <w:rPr>
          <w:rFonts w:ascii="Garamond" w:eastAsia="Times New Roman" w:hAnsi="Garamond" w:cs="Arial"/>
          <w:sz w:val="24"/>
          <w:szCs w:val="24"/>
        </w:rPr>
        <w:t>a</w:t>
      </w:r>
      <w:r w:rsidR="00B54C1B">
        <w:rPr>
          <w:rFonts w:ascii="Garamond" w:eastAsia="Times New Roman" w:hAnsi="Garamond" w:cs="Arial"/>
          <w:sz w:val="24"/>
          <w:szCs w:val="24"/>
        </w:rPr>
        <w:t xml:space="preserve"> </w:t>
      </w:r>
      <w:r w:rsidR="0095451B">
        <w:rPr>
          <w:rFonts w:ascii="Garamond" w:eastAsia="Times New Roman" w:hAnsi="Garamond" w:cs="Arial"/>
          <w:sz w:val="24"/>
          <w:szCs w:val="24"/>
        </w:rPr>
        <w:t xml:space="preserve">prática de </w:t>
      </w:r>
      <w:r w:rsidR="00A862C2" w:rsidRPr="003A1174">
        <w:rPr>
          <w:rFonts w:ascii="Garamond" w:eastAsia="Times New Roman" w:hAnsi="Garamond" w:cs="Arial"/>
          <w:sz w:val="24"/>
          <w:szCs w:val="24"/>
        </w:rPr>
        <w:t>comportamento</w:t>
      </w:r>
      <w:r w:rsidR="00955D60" w:rsidRPr="003A1174">
        <w:rPr>
          <w:rFonts w:ascii="Garamond" w:eastAsia="Times New Roman" w:hAnsi="Garamond" w:cs="Arial"/>
          <w:sz w:val="24"/>
          <w:szCs w:val="24"/>
        </w:rPr>
        <w:t>s violentos.</w:t>
      </w:r>
    </w:p>
    <w:p w:rsidR="00955D60" w:rsidRPr="003A1174" w:rsidRDefault="00955D60" w:rsidP="008719D4">
      <w:pPr>
        <w:widowControl w:val="0"/>
        <w:numPr>
          <w:ilvl w:val="0"/>
          <w:numId w:val="35"/>
        </w:numPr>
        <w:suppressAutoHyphens/>
        <w:spacing w:before="240" w:after="0" w:line="240" w:lineRule="auto"/>
        <w:jc w:val="both"/>
        <w:rPr>
          <w:rFonts w:ascii="Garamond" w:eastAsia="Times New Roman" w:hAnsi="Garamond" w:cs="Arial"/>
          <w:sz w:val="24"/>
          <w:szCs w:val="24"/>
        </w:rPr>
      </w:pPr>
      <w:r w:rsidRPr="003A1174">
        <w:rPr>
          <w:rFonts w:ascii="Garamond" w:eastAsia="Times New Roman" w:hAnsi="Garamond" w:cs="Arial"/>
          <w:sz w:val="24"/>
          <w:szCs w:val="24"/>
        </w:rPr>
        <w:t>E</w:t>
      </w:r>
      <w:r w:rsidR="00A04525" w:rsidRPr="003A1174">
        <w:rPr>
          <w:rFonts w:ascii="Garamond" w:eastAsia="Times New Roman" w:hAnsi="Garamond" w:cs="Arial"/>
          <w:sz w:val="24"/>
          <w:szCs w:val="24"/>
        </w:rPr>
        <w:t>m</w:t>
      </w:r>
      <w:r w:rsidRPr="003A1174">
        <w:rPr>
          <w:rFonts w:ascii="Garamond" w:eastAsia="Times New Roman" w:hAnsi="Garamond" w:cs="Arial"/>
          <w:sz w:val="24"/>
          <w:szCs w:val="24"/>
        </w:rPr>
        <w:t xml:space="preserve"> Montevideo</w:t>
      </w:r>
      <w:r w:rsidR="0095451B">
        <w:rPr>
          <w:rFonts w:ascii="Garamond" w:eastAsia="Times New Roman" w:hAnsi="Garamond" w:cs="Arial"/>
          <w:sz w:val="24"/>
          <w:szCs w:val="24"/>
        </w:rPr>
        <w:t>,</w:t>
      </w:r>
      <w:r w:rsidRPr="003A1174">
        <w:rPr>
          <w:rFonts w:ascii="Garamond" w:eastAsia="Times New Roman" w:hAnsi="Garamond" w:cs="Arial"/>
          <w:sz w:val="24"/>
          <w:szCs w:val="24"/>
        </w:rPr>
        <w:t xml:space="preserve"> instal</w:t>
      </w:r>
      <w:r w:rsidR="00A04525" w:rsidRPr="003A1174">
        <w:rPr>
          <w:rFonts w:ascii="Garamond" w:eastAsia="Times New Roman" w:hAnsi="Garamond" w:cs="Arial"/>
          <w:sz w:val="24"/>
          <w:szCs w:val="24"/>
        </w:rPr>
        <w:t xml:space="preserve">ou-se um </w:t>
      </w:r>
      <w:r w:rsidR="00B531F2" w:rsidRPr="003A1174">
        <w:rPr>
          <w:rFonts w:ascii="Garamond" w:eastAsia="Times New Roman" w:hAnsi="Garamond" w:cs="Arial"/>
          <w:sz w:val="24"/>
          <w:szCs w:val="24"/>
        </w:rPr>
        <w:t>Serviço</w:t>
      </w:r>
      <w:r w:rsidRPr="003A1174">
        <w:rPr>
          <w:rFonts w:ascii="Garamond" w:eastAsia="Times New Roman" w:hAnsi="Garamond" w:cs="Arial"/>
          <w:sz w:val="24"/>
          <w:szCs w:val="24"/>
        </w:rPr>
        <w:t xml:space="preserve"> de </w:t>
      </w:r>
      <w:r w:rsidR="0095451B">
        <w:rPr>
          <w:rFonts w:ascii="Garamond" w:eastAsia="Times New Roman" w:hAnsi="Garamond" w:cs="Arial"/>
          <w:sz w:val="24"/>
          <w:szCs w:val="24"/>
        </w:rPr>
        <w:t xml:space="preserve">Tratamento </w:t>
      </w:r>
      <w:r w:rsidRPr="003A1174">
        <w:rPr>
          <w:rFonts w:ascii="Garamond" w:eastAsia="Times New Roman" w:hAnsi="Garamond" w:cs="Arial"/>
          <w:sz w:val="24"/>
          <w:szCs w:val="24"/>
        </w:rPr>
        <w:t xml:space="preserve">que </w:t>
      </w:r>
      <w:r w:rsidR="00A04525" w:rsidRPr="003A1174">
        <w:rPr>
          <w:rFonts w:ascii="Garamond" w:eastAsia="Times New Roman" w:hAnsi="Garamond" w:cs="Arial"/>
          <w:sz w:val="24"/>
          <w:szCs w:val="24"/>
        </w:rPr>
        <w:t xml:space="preserve">proporciona, </w:t>
      </w:r>
      <w:r w:rsidRPr="003A1174">
        <w:rPr>
          <w:rFonts w:ascii="Garamond" w:eastAsia="Times New Roman" w:hAnsi="Garamond" w:cs="Arial"/>
          <w:sz w:val="24"/>
          <w:szCs w:val="24"/>
        </w:rPr>
        <w:t>por u</w:t>
      </w:r>
      <w:r w:rsidR="00A04525" w:rsidRPr="003A1174">
        <w:rPr>
          <w:rFonts w:ascii="Garamond" w:eastAsia="Times New Roman" w:hAnsi="Garamond" w:cs="Arial"/>
          <w:sz w:val="24"/>
          <w:szCs w:val="24"/>
        </w:rPr>
        <w:t>m</w:t>
      </w:r>
      <w:r w:rsidRPr="003A1174">
        <w:rPr>
          <w:rFonts w:ascii="Garamond" w:eastAsia="Times New Roman" w:hAnsi="Garamond" w:cs="Arial"/>
          <w:sz w:val="24"/>
          <w:szCs w:val="24"/>
        </w:rPr>
        <w:t xml:space="preserve"> lado, </w:t>
      </w:r>
      <w:r w:rsidR="008278C4" w:rsidRPr="003A1174">
        <w:rPr>
          <w:rFonts w:ascii="Garamond" w:eastAsia="Times New Roman" w:hAnsi="Garamond" w:cs="Arial"/>
          <w:sz w:val="24"/>
          <w:szCs w:val="24"/>
        </w:rPr>
        <w:t>atenção</w:t>
      </w:r>
      <w:r w:rsidRPr="003A1174">
        <w:rPr>
          <w:rFonts w:ascii="Garamond" w:eastAsia="Times New Roman" w:hAnsi="Garamond" w:cs="Arial"/>
          <w:sz w:val="24"/>
          <w:szCs w:val="24"/>
        </w:rPr>
        <w:t xml:space="preserve"> </w:t>
      </w:r>
      <w:r w:rsidR="00BB2B00" w:rsidRPr="003A1174">
        <w:rPr>
          <w:rFonts w:ascii="Garamond" w:eastAsia="Times New Roman" w:hAnsi="Garamond" w:cs="Arial"/>
          <w:sz w:val="24"/>
          <w:szCs w:val="24"/>
        </w:rPr>
        <w:t>à</w:t>
      </w:r>
      <w:r w:rsidRPr="003A1174">
        <w:rPr>
          <w:rFonts w:ascii="Garamond" w:eastAsia="Times New Roman" w:hAnsi="Garamond" w:cs="Arial"/>
          <w:sz w:val="24"/>
          <w:szCs w:val="24"/>
        </w:rPr>
        <w:t xml:space="preserve">s </w:t>
      </w:r>
      <w:r w:rsidR="003F012B" w:rsidRPr="003A1174">
        <w:rPr>
          <w:rFonts w:ascii="Garamond" w:eastAsia="Times New Roman" w:hAnsi="Garamond" w:cs="Arial"/>
          <w:sz w:val="24"/>
          <w:szCs w:val="24"/>
        </w:rPr>
        <w:t>vítima</w:t>
      </w:r>
      <w:r w:rsidRPr="003A1174">
        <w:rPr>
          <w:rFonts w:ascii="Garamond" w:eastAsia="Times New Roman" w:hAnsi="Garamond" w:cs="Arial"/>
          <w:sz w:val="24"/>
          <w:szCs w:val="24"/>
        </w:rPr>
        <w:t xml:space="preserve">s </w:t>
      </w:r>
      <w:r w:rsidR="000672E8" w:rsidRPr="003A1174">
        <w:rPr>
          <w:rFonts w:ascii="Garamond" w:eastAsia="Times New Roman" w:hAnsi="Garamond" w:cs="Arial"/>
          <w:sz w:val="24"/>
          <w:szCs w:val="24"/>
        </w:rPr>
        <w:t>e</w:t>
      </w:r>
      <w:r w:rsidR="00277F02" w:rsidRPr="003A1174">
        <w:rPr>
          <w:rFonts w:ascii="Garamond" w:eastAsia="Times New Roman" w:hAnsi="Garamond" w:cs="Arial"/>
          <w:sz w:val="24"/>
          <w:szCs w:val="24"/>
        </w:rPr>
        <w:t>,</w:t>
      </w:r>
      <w:r w:rsidRPr="003A1174">
        <w:rPr>
          <w:rFonts w:ascii="Garamond" w:eastAsia="Times New Roman" w:hAnsi="Garamond" w:cs="Arial"/>
          <w:sz w:val="24"/>
          <w:szCs w:val="24"/>
        </w:rPr>
        <w:t xml:space="preserve"> </w:t>
      </w:r>
      <w:r w:rsidR="0095451B">
        <w:rPr>
          <w:rFonts w:ascii="Garamond" w:eastAsia="Times New Roman" w:hAnsi="Garamond" w:cs="Arial"/>
          <w:sz w:val="24"/>
          <w:szCs w:val="24"/>
        </w:rPr>
        <w:t xml:space="preserve">por </w:t>
      </w:r>
      <w:r w:rsidR="001F2F8B" w:rsidRPr="003A1174">
        <w:rPr>
          <w:rFonts w:ascii="Garamond" w:eastAsia="Times New Roman" w:hAnsi="Garamond" w:cs="Arial"/>
          <w:sz w:val="24"/>
          <w:szCs w:val="24"/>
        </w:rPr>
        <w:t>outro</w:t>
      </w:r>
      <w:r w:rsidR="00277F02" w:rsidRPr="003A1174">
        <w:rPr>
          <w:rFonts w:ascii="Garamond" w:eastAsia="Times New Roman" w:hAnsi="Garamond" w:cs="Arial"/>
          <w:sz w:val="24"/>
          <w:szCs w:val="24"/>
        </w:rPr>
        <w:t>,</w:t>
      </w:r>
      <w:r w:rsidRPr="003A1174">
        <w:rPr>
          <w:rFonts w:ascii="Garamond" w:eastAsia="Times New Roman" w:hAnsi="Garamond" w:cs="Arial"/>
          <w:sz w:val="24"/>
          <w:szCs w:val="24"/>
        </w:rPr>
        <w:t xml:space="preserve"> realiza </w:t>
      </w:r>
      <w:r w:rsidR="00A04525" w:rsidRPr="003A1174">
        <w:rPr>
          <w:rFonts w:ascii="Garamond" w:eastAsia="Times New Roman" w:hAnsi="Garamond" w:cs="Arial"/>
          <w:sz w:val="24"/>
          <w:szCs w:val="24"/>
        </w:rPr>
        <w:t xml:space="preserve">o </w:t>
      </w:r>
      <w:r w:rsidR="001C2738" w:rsidRPr="003A1174">
        <w:rPr>
          <w:rFonts w:ascii="Garamond" w:eastAsia="Times New Roman" w:hAnsi="Garamond" w:cs="Arial"/>
          <w:sz w:val="24"/>
          <w:szCs w:val="24"/>
        </w:rPr>
        <w:t>tratamento</w:t>
      </w:r>
      <w:r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Pr="003A1174">
        <w:rPr>
          <w:rFonts w:ascii="Garamond" w:eastAsia="Times New Roman" w:hAnsi="Garamond" w:cs="Arial"/>
          <w:sz w:val="24"/>
          <w:szCs w:val="24"/>
        </w:rPr>
        <w:t xml:space="preserve"> </w:t>
      </w:r>
      <w:r w:rsidR="00A04525" w:rsidRPr="003A1174">
        <w:rPr>
          <w:rFonts w:ascii="Garamond" w:eastAsia="Times New Roman" w:hAnsi="Garamond" w:cs="Arial"/>
          <w:sz w:val="24"/>
          <w:szCs w:val="24"/>
        </w:rPr>
        <w:t>culpados</w:t>
      </w:r>
      <w:r w:rsidR="00277F02" w:rsidRPr="003A1174">
        <w:rPr>
          <w:rFonts w:ascii="Garamond" w:eastAsia="Times New Roman" w:hAnsi="Garamond" w:cs="Arial"/>
          <w:sz w:val="24"/>
          <w:szCs w:val="24"/>
        </w:rPr>
        <w:t>,</w:t>
      </w:r>
      <w:r w:rsidR="00A04525" w:rsidRPr="003A1174">
        <w:rPr>
          <w:rFonts w:ascii="Garamond" w:eastAsia="Times New Roman" w:hAnsi="Garamond" w:cs="Arial"/>
          <w:sz w:val="24"/>
          <w:szCs w:val="24"/>
        </w:rPr>
        <w:t xml:space="preserve"> </w:t>
      </w:r>
      <w:r w:rsidR="0095451B">
        <w:rPr>
          <w:rFonts w:ascii="Garamond" w:eastAsia="Times New Roman" w:hAnsi="Garamond" w:cs="Arial"/>
          <w:sz w:val="24"/>
          <w:szCs w:val="24"/>
        </w:rPr>
        <w:t>oferecendo</w:t>
      </w:r>
      <w:r w:rsidR="00EE0C74">
        <w:rPr>
          <w:rFonts w:ascii="Garamond" w:eastAsia="Times New Roman" w:hAnsi="Garamond" w:cs="Arial"/>
          <w:sz w:val="24"/>
          <w:szCs w:val="24"/>
        </w:rPr>
        <w:t>-</w:t>
      </w:r>
      <w:r w:rsidR="00EE0C74">
        <w:rPr>
          <w:rFonts w:ascii="Garamond" w:eastAsia="Times New Roman" w:hAnsi="Garamond" w:cs="Arial"/>
          <w:sz w:val="24"/>
          <w:szCs w:val="24"/>
        </w:rPr>
        <w:lastRenderedPageBreak/>
        <w:t>lhes</w:t>
      </w:r>
      <w:r w:rsidR="0095451B">
        <w:rPr>
          <w:rFonts w:ascii="Garamond" w:eastAsia="Times New Roman" w:hAnsi="Garamond" w:cs="Arial"/>
          <w:sz w:val="24"/>
          <w:szCs w:val="24"/>
        </w:rPr>
        <w:t xml:space="preserve"> </w:t>
      </w:r>
      <w:r w:rsidR="00A04525" w:rsidRPr="003A1174">
        <w:rPr>
          <w:rFonts w:ascii="Garamond" w:eastAsia="Times New Roman" w:hAnsi="Garamond" w:cs="Arial"/>
          <w:sz w:val="24"/>
          <w:szCs w:val="24"/>
        </w:rPr>
        <w:t>um</w:t>
      </w:r>
      <w:r w:rsidRPr="003A1174">
        <w:rPr>
          <w:rFonts w:ascii="Garamond" w:eastAsia="Times New Roman" w:hAnsi="Garamond" w:cs="Arial"/>
          <w:sz w:val="24"/>
          <w:szCs w:val="24"/>
        </w:rPr>
        <w:t>a oportunidad</w:t>
      </w:r>
      <w:r w:rsidR="00A04525" w:rsidRPr="003A1174">
        <w:rPr>
          <w:rFonts w:ascii="Garamond" w:eastAsia="Times New Roman" w:hAnsi="Garamond" w:cs="Arial"/>
          <w:sz w:val="24"/>
          <w:szCs w:val="24"/>
        </w:rPr>
        <w:t>e</w:t>
      </w:r>
      <w:r w:rsidRPr="003A1174">
        <w:rPr>
          <w:rFonts w:ascii="Garamond" w:eastAsia="Times New Roman" w:hAnsi="Garamond" w:cs="Arial"/>
          <w:sz w:val="24"/>
          <w:szCs w:val="24"/>
        </w:rPr>
        <w:t xml:space="preserve"> para come</w:t>
      </w:r>
      <w:r w:rsidR="00A04525" w:rsidRPr="003A1174">
        <w:rPr>
          <w:rFonts w:ascii="Garamond" w:eastAsia="Times New Roman" w:hAnsi="Garamond" w:cs="Arial"/>
          <w:sz w:val="24"/>
          <w:szCs w:val="24"/>
        </w:rPr>
        <w:t>ç</w:t>
      </w:r>
      <w:r w:rsidRPr="003A1174">
        <w:rPr>
          <w:rFonts w:ascii="Garamond" w:eastAsia="Times New Roman" w:hAnsi="Garamond" w:cs="Arial"/>
          <w:sz w:val="24"/>
          <w:szCs w:val="24"/>
        </w:rPr>
        <w:t xml:space="preserve">ar a </w:t>
      </w:r>
      <w:r w:rsidR="0095451B">
        <w:rPr>
          <w:rFonts w:ascii="Garamond" w:eastAsia="Times New Roman" w:hAnsi="Garamond" w:cs="Arial"/>
          <w:sz w:val="24"/>
          <w:szCs w:val="24"/>
        </w:rPr>
        <w:t xml:space="preserve">traçar </w:t>
      </w:r>
      <w:r w:rsidR="00455D57" w:rsidRPr="003A1174">
        <w:rPr>
          <w:rFonts w:ascii="Garamond" w:eastAsia="Times New Roman" w:hAnsi="Garamond" w:cs="Arial"/>
          <w:sz w:val="24"/>
          <w:szCs w:val="24"/>
        </w:rPr>
        <w:t>caminho</w:t>
      </w:r>
      <w:r w:rsidRPr="003A1174">
        <w:rPr>
          <w:rFonts w:ascii="Garamond" w:eastAsia="Times New Roman" w:hAnsi="Garamond" w:cs="Arial"/>
          <w:sz w:val="24"/>
          <w:szCs w:val="24"/>
        </w:rPr>
        <w:t>s de sa</w:t>
      </w:r>
      <w:r w:rsidR="00A04525" w:rsidRPr="003A1174">
        <w:rPr>
          <w:rFonts w:ascii="Garamond" w:eastAsia="Times New Roman" w:hAnsi="Garamond" w:cs="Arial"/>
          <w:sz w:val="24"/>
          <w:szCs w:val="24"/>
        </w:rPr>
        <w:t>í</w:t>
      </w:r>
      <w:r w:rsidRPr="003A1174">
        <w:rPr>
          <w:rFonts w:ascii="Garamond" w:eastAsia="Times New Roman" w:hAnsi="Garamond" w:cs="Arial"/>
          <w:sz w:val="24"/>
          <w:szCs w:val="24"/>
        </w:rPr>
        <w:t xml:space="preserve">da </w:t>
      </w:r>
      <w:r w:rsidR="000672E8" w:rsidRPr="003A1174">
        <w:rPr>
          <w:rFonts w:ascii="Garamond" w:eastAsia="Times New Roman" w:hAnsi="Garamond" w:cs="Arial"/>
          <w:sz w:val="24"/>
          <w:szCs w:val="24"/>
        </w:rPr>
        <w:t>e</w:t>
      </w:r>
      <w:r w:rsidRPr="003A1174">
        <w:rPr>
          <w:rFonts w:ascii="Garamond" w:eastAsia="Times New Roman" w:hAnsi="Garamond" w:cs="Arial"/>
          <w:sz w:val="24"/>
          <w:szCs w:val="24"/>
        </w:rPr>
        <w:t xml:space="preserve"> de </w:t>
      </w:r>
      <w:r w:rsidR="00C246B4" w:rsidRPr="003A1174">
        <w:rPr>
          <w:rFonts w:ascii="Garamond" w:eastAsia="Times New Roman" w:hAnsi="Garamond" w:cs="Arial"/>
          <w:sz w:val="24"/>
          <w:szCs w:val="24"/>
        </w:rPr>
        <w:t>reabilitação</w:t>
      </w:r>
      <w:r w:rsidRPr="003A1174">
        <w:rPr>
          <w:rFonts w:ascii="Garamond" w:eastAsia="Times New Roman" w:hAnsi="Garamond" w:cs="Arial"/>
          <w:sz w:val="24"/>
          <w:szCs w:val="24"/>
        </w:rPr>
        <w:t xml:space="preserve">. </w:t>
      </w:r>
    </w:p>
    <w:p w:rsidR="00955D60" w:rsidRPr="003A1174" w:rsidRDefault="00A04525" w:rsidP="008719D4">
      <w:pPr>
        <w:widowControl w:val="0"/>
        <w:numPr>
          <w:ilvl w:val="0"/>
          <w:numId w:val="35"/>
        </w:numPr>
        <w:tabs>
          <w:tab w:val="left" w:pos="-361"/>
        </w:tabs>
        <w:suppressAutoHyphens/>
        <w:spacing w:before="240" w:after="0" w:line="240" w:lineRule="auto"/>
        <w:jc w:val="both"/>
        <w:rPr>
          <w:rFonts w:ascii="Garamond" w:hAnsi="Garamond" w:cs="Arial"/>
          <w:sz w:val="24"/>
          <w:szCs w:val="24"/>
        </w:rPr>
      </w:pPr>
      <w:r w:rsidRPr="003A1174">
        <w:rPr>
          <w:rFonts w:ascii="Garamond" w:eastAsia="Times New Roman" w:hAnsi="Garamond" w:cs="Arial"/>
          <w:sz w:val="24"/>
          <w:szCs w:val="24"/>
        </w:rPr>
        <w:t xml:space="preserve">A </w:t>
      </w:r>
      <w:r w:rsidR="00FC1F7F" w:rsidRPr="003A1174">
        <w:rPr>
          <w:rFonts w:ascii="Garamond" w:eastAsia="Times New Roman" w:hAnsi="Garamond" w:cs="Arial"/>
          <w:sz w:val="24"/>
          <w:szCs w:val="24"/>
        </w:rPr>
        <w:t>comissão</w:t>
      </w:r>
      <w:r w:rsidR="00955D60" w:rsidRPr="003A1174">
        <w:rPr>
          <w:rFonts w:ascii="Garamond" w:eastAsia="Times New Roman" w:hAnsi="Garamond" w:cs="Arial"/>
          <w:sz w:val="24"/>
          <w:szCs w:val="24"/>
        </w:rPr>
        <w:t xml:space="preserve"> interinstitucional integrada </w:t>
      </w:r>
      <w:r w:rsidR="005C2020" w:rsidRPr="003A1174">
        <w:rPr>
          <w:rFonts w:ascii="Garamond" w:eastAsia="Times New Roman" w:hAnsi="Garamond" w:cs="Arial"/>
          <w:sz w:val="24"/>
          <w:szCs w:val="24"/>
        </w:rPr>
        <w:t>pelo</w:t>
      </w:r>
      <w:r w:rsidR="00955D60" w:rsidRPr="003A1174">
        <w:rPr>
          <w:rFonts w:ascii="Garamond" w:eastAsia="Times New Roman" w:hAnsi="Garamond" w:cs="Arial"/>
          <w:sz w:val="24"/>
          <w:szCs w:val="24"/>
        </w:rPr>
        <w:t xml:space="preserve"> Poder Judicial, </w:t>
      </w:r>
      <w:r w:rsidRPr="003A1174">
        <w:rPr>
          <w:rFonts w:ascii="Garamond" w:eastAsia="Times New Roman" w:hAnsi="Garamond" w:cs="Arial"/>
          <w:sz w:val="24"/>
          <w:szCs w:val="24"/>
        </w:rPr>
        <w:t xml:space="preserve">o </w:t>
      </w:r>
      <w:r w:rsidR="00D77C19" w:rsidRPr="003A1174">
        <w:rPr>
          <w:rFonts w:ascii="Garamond" w:eastAsia="Times New Roman" w:hAnsi="Garamond" w:cs="Arial"/>
          <w:sz w:val="24"/>
          <w:szCs w:val="24"/>
        </w:rPr>
        <w:t>Ministério</w:t>
      </w:r>
      <w:r w:rsidR="00955D60" w:rsidRPr="003A1174">
        <w:rPr>
          <w:rFonts w:ascii="Garamond" w:eastAsia="Times New Roman" w:hAnsi="Garamond" w:cs="Arial"/>
          <w:sz w:val="24"/>
          <w:szCs w:val="24"/>
        </w:rPr>
        <w:t xml:space="preserve"> Público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Fiscal, </w:t>
      </w:r>
      <w:r w:rsidRPr="003A1174">
        <w:rPr>
          <w:rFonts w:ascii="Garamond" w:eastAsia="Times New Roman" w:hAnsi="Garamond" w:cs="Arial"/>
          <w:sz w:val="24"/>
          <w:szCs w:val="24"/>
        </w:rPr>
        <w:t xml:space="preserve">o </w:t>
      </w:r>
      <w:r w:rsidR="00955D60" w:rsidRPr="003A1174">
        <w:rPr>
          <w:rFonts w:ascii="Garamond" w:eastAsia="Times New Roman" w:hAnsi="Garamond" w:cs="Arial"/>
          <w:sz w:val="24"/>
          <w:szCs w:val="24"/>
        </w:rPr>
        <w:t xml:space="preserve">Instituto Nacional </w:t>
      </w:r>
      <w:r w:rsidR="00497503" w:rsidRPr="003A1174">
        <w:rPr>
          <w:rFonts w:ascii="Garamond" w:eastAsia="Times New Roman" w:hAnsi="Garamond" w:cs="Arial"/>
          <w:sz w:val="24"/>
          <w:szCs w:val="24"/>
        </w:rPr>
        <w:t>das</w:t>
      </w:r>
      <w:r w:rsidR="00955D60" w:rsidRPr="003A1174">
        <w:rPr>
          <w:rFonts w:ascii="Garamond" w:eastAsia="Times New Roman" w:hAnsi="Garamond" w:cs="Arial"/>
          <w:sz w:val="24"/>
          <w:szCs w:val="24"/>
        </w:rPr>
        <w:t xml:space="preserve"> </w:t>
      </w:r>
      <w:r w:rsidR="00054EE0" w:rsidRPr="003A1174">
        <w:rPr>
          <w:rFonts w:ascii="Garamond" w:eastAsia="Times New Roman" w:hAnsi="Garamond" w:cs="Arial"/>
          <w:sz w:val="24"/>
          <w:szCs w:val="24"/>
        </w:rPr>
        <w:t>Mulheres</w:t>
      </w:r>
      <w:r w:rsidR="00955D60" w:rsidRPr="003A1174">
        <w:rPr>
          <w:rFonts w:ascii="Garamond" w:eastAsia="Times New Roman" w:hAnsi="Garamond" w:cs="Arial"/>
          <w:sz w:val="24"/>
          <w:szCs w:val="24"/>
        </w:rPr>
        <w:t xml:space="preserve">, </w:t>
      </w:r>
      <w:r w:rsidRPr="003A1174">
        <w:rPr>
          <w:rFonts w:ascii="Garamond" w:eastAsia="Times New Roman" w:hAnsi="Garamond" w:cs="Arial"/>
          <w:sz w:val="24"/>
          <w:szCs w:val="24"/>
        </w:rPr>
        <w:t>o</w:t>
      </w:r>
      <w:r w:rsidR="00955D60" w:rsidRPr="003A1174">
        <w:rPr>
          <w:rFonts w:ascii="Garamond" w:eastAsia="Times New Roman" w:hAnsi="Garamond" w:cs="Arial"/>
          <w:sz w:val="24"/>
          <w:szCs w:val="24"/>
        </w:rPr>
        <w:t xml:space="preserve"> </w:t>
      </w:r>
      <w:r w:rsidR="00D77C19" w:rsidRPr="003A1174">
        <w:rPr>
          <w:rFonts w:ascii="Garamond" w:eastAsia="Times New Roman" w:hAnsi="Garamond" w:cs="Arial"/>
          <w:sz w:val="24"/>
          <w:szCs w:val="24"/>
        </w:rPr>
        <w:t>Ministério</w:t>
      </w:r>
      <w:r w:rsidR="00955D60" w:rsidRPr="003A1174">
        <w:rPr>
          <w:rFonts w:ascii="Garamond" w:eastAsia="Times New Roman" w:hAnsi="Garamond" w:cs="Arial"/>
          <w:sz w:val="24"/>
          <w:szCs w:val="24"/>
        </w:rPr>
        <w:t xml:space="preserve"> de </w:t>
      </w:r>
      <w:r w:rsidR="009B133A" w:rsidRPr="003A1174">
        <w:rPr>
          <w:rFonts w:ascii="Garamond" w:eastAsia="Times New Roman" w:hAnsi="Garamond" w:cs="Arial"/>
          <w:sz w:val="24"/>
          <w:szCs w:val="24"/>
        </w:rPr>
        <w:t>Desenvolvimento</w:t>
      </w:r>
      <w:r w:rsidR="00955D60" w:rsidRPr="003A1174">
        <w:rPr>
          <w:rFonts w:ascii="Garamond" w:eastAsia="Times New Roman" w:hAnsi="Garamond" w:cs="Arial"/>
          <w:sz w:val="24"/>
          <w:szCs w:val="24"/>
        </w:rPr>
        <w:t xml:space="preserve"> Social (MIDES)</w:t>
      </w:r>
      <w:r w:rsidR="00277F02" w:rsidRPr="003A1174">
        <w:rPr>
          <w:rFonts w:ascii="Garamond" w:eastAsia="Times New Roman" w:hAnsi="Garamond" w:cs="Arial"/>
          <w:sz w:val="24"/>
          <w:szCs w:val="24"/>
        </w:rPr>
        <w:t xml:space="preserve"> </w:t>
      </w:r>
      <w:r w:rsidR="000672E8" w:rsidRPr="003A1174">
        <w:rPr>
          <w:rFonts w:ascii="Garamond" w:eastAsia="Times New Roman" w:hAnsi="Garamond" w:cs="Arial"/>
          <w:sz w:val="24"/>
          <w:szCs w:val="24"/>
        </w:rPr>
        <w:t>e</w:t>
      </w:r>
      <w:r w:rsidR="00955D60" w:rsidRPr="003A1174">
        <w:rPr>
          <w:rFonts w:ascii="Garamond" w:eastAsia="Times New Roman" w:hAnsi="Garamond" w:cs="Arial"/>
          <w:sz w:val="24"/>
          <w:szCs w:val="24"/>
        </w:rPr>
        <w:t xml:space="preserve"> di</w:t>
      </w:r>
      <w:r w:rsidRPr="003A1174">
        <w:rPr>
          <w:rFonts w:ascii="Garamond" w:eastAsia="Times New Roman" w:hAnsi="Garamond" w:cs="Arial"/>
          <w:sz w:val="24"/>
          <w:szCs w:val="24"/>
        </w:rPr>
        <w:t xml:space="preserve">ferentes </w:t>
      </w:r>
      <w:r w:rsidR="00955D60" w:rsidRPr="003A1174">
        <w:rPr>
          <w:rFonts w:ascii="Garamond" w:eastAsia="Times New Roman" w:hAnsi="Garamond" w:cs="Arial"/>
          <w:sz w:val="24"/>
          <w:szCs w:val="24"/>
        </w:rPr>
        <w:t xml:space="preserve">Unidades </w:t>
      </w:r>
      <w:r w:rsidR="00E85E59" w:rsidRPr="003A1174">
        <w:rPr>
          <w:rFonts w:ascii="Garamond" w:eastAsia="Times New Roman" w:hAnsi="Garamond" w:cs="Arial"/>
          <w:sz w:val="24"/>
          <w:szCs w:val="24"/>
        </w:rPr>
        <w:t>do</w:t>
      </w:r>
      <w:r w:rsidR="00955D60" w:rsidRPr="003A1174">
        <w:rPr>
          <w:rFonts w:ascii="Garamond" w:eastAsia="Times New Roman" w:hAnsi="Garamond" w:cs="Arial"/>
          <w:sz w:val="24"/>
          <w:szCs w:val="24"/>
        </w:rPr>
        <w:t xml:space="preserve"> </w:t>
      </w:r>
      <w:r w:rsidR="00D77C19" w:rsidRPr="003A1174">
        <w:rPr>
          <w:rFonts w:ascii="Garamond" w:eastAsia="Times New Roman" w:hAnsi="Garamond" w:cs="Arial"/>
          <w:sz w:val="24"/>
          <w:szCs w:val="24"/>
        </w:rPr>
        <w:t>Ministério</w:t>
      </w:r>
      <w:r w:rsidR="00955D60" w:rsidRPr="003A1174">
        <w:rPr>
          <w:rFonts w:ascii="Garamond" w:eastAsia="Times New Roman" w:hAnsi="Garamond" w:cs="Arial"/>
          <w:sz w:val="24"/>
          <w:szCs w:val="24"/>
        </w:rPr>
        <w:t xml:space="preserve"> </w:t>
      </w:r>
      <w:r w:rsidR="00E85E59" w:rsidRPr="003A1174">
        <w:rPr>
          <w:rFonts w:ascii="Garamond" w:eastAsia="Times New Roman" w:hAnsi="Garamond" w:cs="Arial"/>
          <w:sz w:val="24"/>
          <w:szCs w:val="24"/>
        </w:rPr>
        <w:t>do</w:t>
      </w:r>
      <w:r w:rsidR="00955D60" w:rsidRPr="003A1174">
        <w:rPr>
          <w:rFonts w:ascii="Garamond" w:eastAsia="Times New Roman" w:hAnsi="Garamond" w:cs="Arial"/>
          <w:sz w:val="24"/>
          <w:szCs w:val="24"/>
        </w:rPr>
        <w:t xml:space="preserve"> Interior</w:t>
      </w:r>
      <w:r w:rsidR="00277F02" w:rsidRPr="003A1174">
        <w:rPr>
          <w:rFonts w:ascii="Garamond" w:eastAsia="Times New Roman" w:hAnsi="Garamond" w:cs="Arial"/>
          <w:sz w:val="24"/>
          <w:szCs w:val="24"/>
        </w:rPr>
        <w:t>,</w:t>
      </w:r>
      <w:r w:rsidR="00955D60" w:rsidRPr="003A1174">
        <w:rPr>
          <w:rFonts w:ascii="Garamond" w:eastAsia="Times New Roman" w:hAnsi="Garamond" w:cs="Arial"/>
          <w:sz w:val="24"/>
          <w:szCs w:val="24"/>
        </w:rPr>
        <w:t xml:space="preserve"> </w:t>
      </w:r>
      <w:r w:rsidRPr="003A1174">
        <w:rPr>
          <w:rFonts w:ascii="Garamond" w:eastAsia="Times New Roman" w:hAnsi="Garamond" w:cs="Arial"/>
          <w:sz w:val="24"/>
          <w:szCs w:val="24"/>
        </w:rPr>
        <w:t>t</w:t>
      </w:r>
      <w:r w:rsidR="00AC63DF" w:rsidRPr="003A1174">
        <w:rPr>
          <w:rFonts w:ascii="Garamond" w:eastAsia="Times New Roman" w:hAnsi="Garamond" w:cs="Arial"/>
          <w:sz w:val="24"/>
          <w:szCs w:val="24"/>
        </w:rPr>
        <w:t>rabalha</w:t>
      </w:r>
      <w:r w:rsidRPr="003A1174">
        <w:rPr>
          <w:rFonts w:ascii="Garamond" w:eastAsia="Times New Roman" w:hAnsi="Garamond" w:cs="Arial"/>
          <w:sz w:val="24"/>
          <w:szCs w:val="24"/>
        </w:rPr>
        <w:t xml:space="preserve">ram </w:t>
      </w:r>
      <w:r w:rsidR="00955D60" w:rsidRPr="003A1174">
        <w:rPr>
          <w:rFonts w:ascii="Garamond" w:eastAsia="Times New Roman" w:hAnsi="Garamond" w:cs="Arial"/>
          <w:sz w:val="24"/>
          <w:szCs w:val="24"/>
        </w:rPr>
        <w:t>co</w:t>
      </w:r>
      <w:r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w:t>
      </w:r>
      <w:r w:rsidR="00C553E2" w:rsidRPr="003A1174">
        <w:rPr>
          <w:rFonts w:ascii="Garamond" w:eastAsia="Times New Roman" w:hAnsi="Garamond" w:cs="Arial"/>
          <w:sz w:val="24"/>
          <w:szCs w:val="24"/>
        </w:rPr>
        <w:t>profissional</w:t>
      </w:r>
      <w:r w:rsidR="00955D60" w:rsidRPr="003A1174">
        <w:rPr>
          <w:rFonts w:ascii="Garamond" w:eastAsia="Times New Roman" w:hAnsi="Garamond" w:cs="Arial"/>
          <w:sz w:val="24"/>
          <w:szCs w:val="24"/>
        </w:rPr>
        <w:t xml:space="preserve">ismo </w:t>
      </w:r>
      <w:r w:rsidR="000672E8" w:rsidRPr="003A1174">
        <w:rPr>
          <w:rFonts w:ascii="Garamond" w:eastAsia="Times New Roman" w:hAnsi="Garamond" w:cs="Arial"/>
          <w:sz w:val="24"/>
          <w:szCs w:val="24"/>
        </w:rPr>
        <w:t>e</w:t>
      </w:r>
      <w:r w:rsidRPr="003A1174">
        <w:rPr>
          <w:rFonts w:ascii="Garamond" w:eastAsia="Times New Roman" w:hAnsi="Garamond" w:cs="Arial"/>
          <w:sz w:val="24"/>
          <w:szCs w:val="24"/>
        </w:rPr>
        <w:t xml:space="preserve"> </w:t>
      </w:r>
      <w:r w:rsidR="006D0543" w:rsidRPr="003A1174">
        <w:rPr>
          <w:rFonts w:ascii="Garamond" w:eastAsia="Times New Roman" w:hAnsi="Garamond" w:cs="Arial"/>
          <w:sz w:val="24"/>
          <w:szCs w:val="24"/>
        </w:rPr>
        <w:t>responsabilidade</w:t>
      </w:r>
      <w:r w:rsidR="00277F02" w:rsidRPr="003A1174">
        <w:rPr>
          <w:rFonts w:ascii="Garamond" w:eastAsia="Times New Roman" w:hAnsi="Garamond" w:cs="Arial"/>
          <w:sz w:val="24"/>
          <w:szCs w:val="24"/>
        </w:rPr>
        <w:t xml:space="preserve">, </w:t>
      </w:r>
      <w:r w:rsidR="00955D60" w:rsidRPr="003A1174">
        <w:rPr>
          <w:rFonts w:ascii="Garamond" w:eastAsia="Times New Roman" w:hAnsi="Garamond" w:cs="Arial"/>
          <w:sz w:val="24"/>
          <w:szCs w:val="24"/>
        </w:rPr>
        <w:t xml:space="preserve">tanto </w:t>
      </w:r>
      <w:r w:rsidRPr="003A1174">
        <w:rPr>
          <w:rFonts w:ascii="Garamond" w:eastAsia="Times New Roman" w:hAnsi="Garamond" w:cs="Arial"/>
          <w:sz w:val="24"/>
          <w:szCs w:val="24"/>
        </w:rPr>
        <w:t xml:space="preserve">no </w:t>
      </w:r>
      <w:r w:rsidR="00C01806" w:rsidRPr="003A1174">
        <w:rPr>
          <w:rFonts w:ascii="Garamond" w:eastAsia="Times New Roman" w:hAnsi="Garamond" w:cs="Arial"/>
          <w:sz w:val="24"/>
          <w:szCs w:val="24"/>
        </w:rPr>
        <w:t>seguimento</w:t>
      </w:r>
      <w:r w:rsidR="00955D60" w:rsidRPr="003A1174">
        <w:rPr>
          <w:rFonts w:ascii="Garamond" w:eastAsia="Times New Roman" w:hAnsi="Garamond" w:cs="Arial"/>
          <w:sz w:val="24"/>
          <w:szCs w:val="24"/>
        </w:rPr>
        <w:t xml:space="preserve"> </w:t>
      </w:r>
      <w:r w:rsidR="00E85E59" w:rsidRPr="003A1174">
        <w:rPr>
          <w:rFonts w:ascii="Garamond" w:eastAsia="Times New Roman" w:hAnsi="Garamond" w:cs="Arial"/>
          <w:sz w:val="24"/>
          <w:szCs w:val="24"/>
        </w:rPr>
        <w:t>do</w:t>
      </w:r>
      <w:r w:rsidR="00955D60" w:rsidRPr="003A1174">
        <w:rPr>
          <w:rFonts w:ascii="Garamond" w:eastAsia="Times New Roman" w:hAnsi="Garamond" w:cs="Arial"/>
          <w:sz w:val="24"/>
          <w:szCs w:val="24"/>
        </w:rPr>
        <w:t xml:space="preserve"> </w:t>
      </w:r>
      <w:r w:rsidR="002D1021" w:rsidRPr="003A1174">
        <w:rPr>
          <w:rFonts w:ascii="Garamond" w:eastAsia="Times New Roman" w:hAnsi="Garamond" w:cs="Arial"/>
          <w:sz w:val="24"/>
          <w:szCs w:val="24"/>
        </w:rPr>
        <w:t>processo</w:t>
      </w:r>
      <w:r w:rsidR="00955D60" w:rsidRPr="003A1174">
        <w:rPr>
          <w:rFonts w:ascii="Garamond" w:eastAsia="Times New Roman" w:hAnsi="Garamond" w:cs="Arial"/>
          <w:sz w:val="24"/>
          <w:szCs w:val="24"/>
        </w:rPr>
        <w:t xml:space="preserve"> de </w:t>
      </w:r>
      <w:r w:rsidR="006C760C" w:rsidRPr="003A1174">
        <w:rPr>
          <w:rFonts w:ascii="Garamond" w:eastAsia="Times New Roman" w:hAnsi="Garamond" w:cs="Arial"/>
          <w:sz w:val="24"/>
          <w:szCs w:val="24"/>
        </w:rPr>
        <w:t>implementação</w:t>
      </w:r>
      <w:r w:rsidR="00955D60" w:rsidRPr="003A1174">
        <w:rPr>
          <w:rFonts w:ascii="Garamond" w:eastAsia="Times New Roman" w:hAnsi="Garamond" w:cs="Arial"/>
          <w:sz w:val="24"/>
          <w:szCs w:val="24"/>
        </w:rPr>
        <w:t xml:space="preserve"> </w:t>
      </w:r>
      <w:r w:rsidR="00E85E59" w:rsidRPr="003A1174">
        <w:rPr>
          <w:rFonts w:ascii="Garamond" w:eastAsia="Times New Roman" w:hAnsi="Garamond" w:cs="Arial"/>
          <w:sz w:val="24"/>
          <w:szCs w:val="24"/>
        </w:rPr>
        <w:t>d</w:t>
      </w:r>
      <w:r w:rsidRPr="003A1174">
        <w:rPr>
          <w:rFonts w:ascii="Garamond" w:eastAsia="Times New Roman" w:hAnsi="Garamond" w:cs="Arial"/>
          <w:sz w:val="24"/>
          <w:szCs w:val="24"/>
        </w:rPr>
        <w:t>o</w:t>
      </w:r>
      <w:r w:rsidR="00955D60" w:rsidRPr="003A1174">
        <w:rPr>
          <w:rFonts w:ascii="Garamond" w:eastAsia="Times New Roman" w:hAnsi="Garamond" w:cs="Arial"/>
          <w:sz w:val="24"/>
          <w:szCs w:val="24"/>
        </w:rPr>
        <w:t xml:space="preserve"> programa</w:t>
      </w:r>
      <w:r w:rsidR="0095451B">
        <w:rPr>
          <w:rFonts w:ascii="Garamond" w:eastAsia="Times New Roman" w:hAnsi="Garamond" w:cs="Arial"/>
          <w:sz w:val="24"/>
          <w:szCs w:val="24"/>
        </w:rPr>
        <w:t>,</w:t>
      </w:r>
      <w:r w:rsidR="00955D60" w:rsidRPr="003A1174">
        <w:rPr>
          <w:rFonts w:ascii="Garamond" w:eastAsia="Times New Roman" w:hAnsi="Garamond" w:cs="Arial"/>
          <w:sz w:val="24"/>
          <w:szCs w:val="24"/>
        </w:rPr>
        <w:t xml:space="preserve"> como </w:t>
      </w:r>
      <w:r w:rsidRPr="003A1174">
        <w:rPr>
          <w:rFonts w:ascii="Garamond" w:eastAsia="Times New Roman" w:hAnsi="Garamond" w:cs="Arial"/>
          <w:sz w:val="24"/>
          <w:szCs w:val="24"/>
        </w:rPr>
        <w:t xml:space="preserve">na </w:t>
      </w:r>
      <w:r w:rsidR="0017447A" w:rsidRPr="003A1174">
        <w:rPr>
          <w:rFonts w:ascii="Garamond" w:eastAsia="Times New Roman" w:hAnsi="Garamond" w:cs="Arial"/>
          <w:sz w:val="24"/>
          <w:szCs w:val="24"/>
        </w:rPr>
        <w:t>análise</w:t>
      </w:r>
      <w:r w:rsidR="00955D60" w:rsidRPr="003A1174">
        <w:rPr>
          <w:rFonts w:ascii="Garamond" w:eastAsia="Times New Roman" w:hAnsi="Garamond" w:cs="Arial"/>
          <w:sz w:val="24"/>
          <w:szCs w:val="24"/>
        </w:rPr>
        <w:t xml:space="preserve"> </w:t>
      </w:r>
      <w:r w:rsidR="00497503" w:rsidRPr="003A1174">
        <w:rPr>
          <w:rFonts w:ascii="Garamond" w:eastAsia="Times New Roman" w:hAnsi="Garamond" w:cs="Arial"/>
          <w:sz w:val="24"/>
          <w:szCs w:val="24"/>
        </w:rPr>
        <w:t>dos</w:t>
      </w:r>
      <w:r w:rsidR="00955D60" w:rsidRPr="003A1174">
        <w:rPr>
          <w:rFonts w:ascii="Garamond" w:eastAsia="Times New Roman" w:hAnsi="Garamond" w:cs="Arial"/>
          <w:sz w:val="24"/>
          <w:szCs w:val="24"/>
        </w:rPr>
        <w:t xml:space="preserve"> problemas que se </w:t>
      </w:r>
      <w:r w:rsidRPr="003A1174">
        <w:rPr>
          <w:rFonts w:ascii="Garamond" w:eastAsia="Times New Roman" w:hAnsi="Garamond" w:cs="Arial"/>
          <w:sz w:val="24"/>
          <w:szCs w:val="24"/>
        </w:rPr>
        <w:t>a</w:t>
      </w:r>
      <w:r w:rsidR="00955D60" w:rsidRPr="003A1174">
        <w:rPr>
          <w:rFonts w:ascii="Garamond" w:eastAsia="Times New Roman" w:hAnsi="Garamond" w:cs="Arial"/>
          <w:sz w:val="24"/>
          <w:szCs w:val="24"/>
        </w:rPr>
        <w:t>presenta</w:t>
      </w:r>
      <w:r w:rsidRPr="003A1174">
        <w:rPr>
          <w:rFonts w:ascii="Garamond" w:eastAsia="Times New Roman" w:hAnsi="Garamond" w:cs="Arial"/>
          <w:sz w:val="24"/>
          <w:szCs w:val="24"/>
        </w:rPr>
        <w:t>m na perspetiva</w:t>
      </w:r>
      <w:r w:rsidR="00955D60" w:rsidRPr="003A1174">
        <w:rPr>
          <w:rFonts w:ascii="Garamond" w:eastAsia="Times New Roman" w:hAnsi="Garamond" w:cs="Arial"/>
          <w:sz w:val="24"/>
          <w:szCs w:val="24"/>
        </w:rPr>
        <w:t xml:space="preserve"> de u</w:t>
      </w:r>
      <w:r w:rsidRPr="003A1174">
        <w:rPr>
          <w:rFonts w:ascii="Garamond" w:eastAsia="Times New Roman" w:hAnsi="Garamond" w:cs="Arial"/>
          <w:sz w:val="24"/>
          <w:szCs w:val="24"/>
        </w:rPr>
        <w:t>m</w:t>
      </w:r>
      <w:r w:rsidR="00955D60" w:rsidRPr="003A1174">
        <w:rPr>
          <w:rFonts w:ascii="Garamond" w:eastAsia="Times New Roman" w:hAnsi="Garamond" w:cs="Arial"/>
          <w:sz w:val="24"/>
          <w:szCs w:val="24"/>
        </w:rPr>
        <w:t xml:space="preserve"> </w:t>
      </w:r>
      <w:r w:rsidR="00277F02" w:rsidRPr="003A1174">
        <w:rPr>
          <w:rFonts w:ascii="Garamond" w:eastAsia="Times New Roman" w:hAnsi="Garamond" w:cs="Arial"/>
          <w:sz w:val="24"/>
          <w:szCs w:val="24"/>
        </w:rPr>
        <w:t>caso</w:t>
      </w:r>
      <w:r w:rsidR="00955D60" w:rsidRPr="003A1174">
        <w:rPr>
          <w:rFonts w:ascii="Garamond" w:eastAsia="Times New Roman" w:hAnsi="Garamond" w:cs="Arial"/>
          <w:sz w:val="24"/>
          <w:szCs w:val="24"/>
        </w:rPr>
        <w:t xml:space="preserve"> desta </w:t>
      </w:r>
      <w:r w:rsidRPr="003A1174">
        <w:rPr>
          <w:rFonts w:ascii="Garamond" w:eastAsia="Times New Roman" w:hAnsi="Garamond" w:cs="Arial"/>
          <w:sz w:val="24"/>
          <w:szCs w:val="24"/>
        </w:rPr>
        <w:t>complexidade</w:t>
      </w:r>
      <w:r w:rsidR="00955D60" w:rsidRPr="003A1174">
        <w:rPr>
          <w:rFonts w:ascii="Garamond" w:eastAsia="Times New Roman" w:hAnsi="Garamond" w:cs="Arial"/>
          <w:sz w:val="24"/>
          <w:szCs w:val="24"/>
        </w:rPr>
        <w:t>.</w:t>
      </w:r>
    </w:p>
    <w:p w:rsidR="00955D60" w:rsidRPr="003A1174" w:rsidRDefault="00955D60" w:rsidP="008719D4">
      <w:pPr>
        <w:pStyle w:val="Ttulo4"/>
        <w:spacing w:line="240" w:lineRule="auto"/>
        <w:rPr>
          <w:rFonts w:ascii="Garamond" w:hAnsi="Garamond"/>
          <w:sz w:val="24"/>
          <w:szCs w:val="24"/>
        </w:rPr>
      </w:pPr>
      <w:r w:rsidRPr="003A1174">
        <w:rPr>
          <w:rFonts w:ascii="Garamond" w:hAnsi="Garamond"/>
          <w:sz w:val="24"/>
          <w:szCs w:val="24"/>
        </w:rPr>
        <w:t xml:space="preserve">Casas de </w:t>
      </w:r>
      <w:r w:rsidR="00B936A7" w:rsidRPr="003A1174">
        <w:rPr>
          <w:rFonts w:ascii="Garamond" w:hAnsi="Garamond"/>
          <w:sz w:val="24"/>
          <w:szCs w:val="24"/>
        </w:rPr>
        <w:t>abrigo</w:t>
      </w:r>
      <w:r w:rsidRPr="003A1174">
        <w:rPr>
          <w:rFonts w:ascii="Garamond" w:hAnsi="Garamond"/>
          <w:sz w:val="24"/>
          <w:szCs w:val="24"/>
        </w:rPr>
        <w:t xml:space="preserve"> </w:t>
      </w:r>
      <w:r w:rsidR="00141BA9" w:rsidRPr="003A1174">
        <w:rPr>
          <w:rFonts w:ascii="Garamond" w:hAnsi="Garamond"/>
          <w:sz w:val="24"/>
          <w:szCs w:val="24"/>
        </w:rPr>
        <w:t>temporário</w:t>
      </w:r>
    </w:p>
    <w:p w:rsidR="00955D60" w:rsidRPr="003A1174" w:rsidRDefault="00A04525" w:rsidP="008719D4">
      <w:pPr>
        <w:spacing w:before="240" w:after="0" w:line="240" w:lineRule="auto"/>
        <w:jc w:val="both"/>
        <w:rPr>
          <w:rFonts w:ascii="Garamond" w:hAnsi="Garamond" w:cs="Arial"/>
          <w:sz w:val="24"/>
          <w:szCs w:val="24"/>
        </w:rPr>
      </w:pPr>
      <w:r w:rsidRPr="003A1174">
        <w:rPr>
          <w:rFonts w:ascii="Garamond" w:hAnsi="Garamond" w:cs="Arial"/>
          <w:sz w:val="24"/>
          <w:szCs w:val="24"/>
        </w:rPr>
        <w:t>M</w:t>
      </w:r>
      <w:r w:rsidR="00955D60" w:rsidRPr="003A1174">
        <w:rPr>
          <w:rFonts w:ascii="Garamond" w:hAnsi="Garamond" w:cs="Arial"/>
          <w:sz w:val="24"/>
          <w:szCs w:val="24"/>
        </w:rPr>
        <w:t>an</w:t>
      </w:r>
      <w:r w:rsidR="00D4575C" w:rsidRPr="003A1174">
        <w:rPr>
          <w:rFonts w:ascii="Garamond" w:hAnsi="Garamond" w:cs="Arial"/>
          <w:sz w:val="24"/>
          <w:szCs w:val="24"/>
        </w:rPr>
        <w:t>têm</w:t>
      </w:r>
      <w:r w:rsidRPr="003A1174">
        <w:rPr>
          <w:rFonts w:ascii="Garamond" w:hAnsi="Garamond" w:cs="Arial"/>
          <w:sz w:val="24"/>
          <w:szCs w:val="24"/>
        </w:rPr>
        <w:t xml:space="preserve">-se </w:t>
      </w:r>
      <w:r w:rsidR="00955D60" w:rsidRPr="003A1174">
        <w:rPr>
          <w:rFonts w:ascii="Garamond" w:hAnsi="Garamond" w:cs="Arial"/>
          <w:sz w:val="24"/>
          <w:szCs w:val="24"/>
        </w:rPr>
        <w:t xml:space="preserve">os </w:t>
      </w:r>
      <w:r w:rsidR="00B531F2" w:rsidRPr="003A1174">
        <w:rPr>
          <w:rFonts w:ascii="Garamond" w:hAnsi="Garamond" w:cs="Arial"/>
          <w:sz w:val="24"/>
          <w:szCs w:val="24"/>
        </w:rPr>
        <w:t>serviço</w:t>
      </w:r>
      <w:r w:rsidR="00955D60" w:rsidRPr="003A1174">
        <w:rPr>
          <w:rFonts w:ascii="Garamond" w:hAnsi="Garamond" w:cs="Arial"/>
          <w:sz w:val="24"/>
          <w:szCs w:val="24"/>
        </w:rPr>
        <w:t xml:space="preserve">s prestados </w:t>
      </w:r>
      <w:r w:rsidR="005C2020" w:rsidRPr="003A1174">
        <w:rPr>
          <w:rFonts w:ascii="Garamond" w:hAnsi="Garamond" w:cs="Arial"/>
          <w:sz w:val="24"/>
          <w:szCs w:val="24"/>
        </w:rPr>
        <w:t>pelo</w:t>
      </w:r>
      <w:r w:rsidR="00955D60" w:rsidRPr="003A1174">
        <w:rPr>
          <w:rFonts w:ascii="Garamond" w:hAnsi="Garamond" w:cs="Arial"/>
          <w:sz w:val="24"/>
          <w:szCs w:val="24"/>
        </w:rPr>
        <w:t xml:space="preserve"> Instituto Nacional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Pr="003A1174">
        <w:rPr>
          <w:rFonts w:ascii="Garamond" w:hAnsi="Garamond" w:cs="Arial"/>
          <w:sz w:val="24"/>
          <w:szCs w:val="24"/>
        </w:rPr>
        <w:t>INMUJERES</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Pr="003A1174">
        <w:rPr>
          <w:rFonts w:ascii="Garamond" w:hAnsi="Garamond" w:cs="Arial"/>
          <w:sz w:val="24"/>
          <w:szCs w:val="24"/>
        </w:rPr>
        <w:t xml:space="preserve">o </w:t>
      </w:r>
      <w:r w:rsidR="00955D60" w:rsidRPr="003A1174">
        <w:rPr>
          <w:rFonts w:ascii="Garamond" w:hAnsi="Garamond" w:cs="Arial"/>
          <w:sz w:val="24"/>
          <w:szCs w:val="24"/>
        </w:rPr>
        <w:t>Instituto d</w:t>
      </w:r>
      <w:r w:rsidRPr="003A1174">
        <w:rPr>
          <w:rFonts w:ascii="Garamond" w:hAnsi="Garamond" w:cs="Arial"/>
          <w:sz w:val="24"/>
          <w:szCs w:val="24"/>
        </w:rPr>
        <w:t xml:space="preserve">a Criança </w:t>
      </w:r>
      <w:r w:rsidR="000672E8" w:rsidRPr="003A1174">
        <w:rPr>
          <w:rFonts w:ascii="Garamond" w:hAnsi="Garamond" w:cs="Arial"/>
          <w:sz w:val="24"/>
          <w:szCs w:val="24"/>
        </w:rPr>
        <w:t>e</w:t>
      </w:r>
      <w:r w:rsidR="00955D60" w:rsidRPr="003A1174">
        <w:rPr>
          <w:rFonts w:ascii="Garamond" w:hAnsi="Garamond" w:cs="Arial"/>
          <w:sz w:val="24"/>
          <w:szCs w:val="24"/>
        </w:rPr>
        <w:t xml:space="preserve"> Adolescente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C30647" w:rsidRPr="003A1174">
        <w:rPr>
          <w:rFonts w:ascii="Garamond" w:hAnsi="Garamond" w:cs="Arial"/>
          <w:sz w:val="24"/>
          <w:szCs w:val="24"/>
        </w:rPr>
        <w:t>Uruguai</w:t>
      </w:r>
      <w:r w:rsidR="00955D60" w:rsidRPr="003A1174">
        <w:rPr>
          <w:rFonts w:ascii="Garamond" w:hAnsi="Garamond" w:cs="Arial"/>
          <w:sz w:val="24"/>
          <w:szCs w:val="24"/>
        </w:rPr>
        <w:t xml:space="preserve"> (INAU)</w:t>
      </w:r>
      <w:r w:rsidR="00277F02" w:rsidRPr="003A1174">
        <w:rPr>
          <w:rFonts w:ascii="Garamond" w:hAnsi="Garamond" w:cs="Arial"/>
          <w:sz w:val="24"/>
          <w:szCs w:val="24"/>
        </w:rPr>
        <w:t xml:space="preserve">, </w:t>
      </w:r>
      <w:r w:rsidR="00D94CD9">
        <w:rPr>
          <w:rFonts w:ascii="Garamond" w:hAnsi="Garamond" w:cs="Arial"/>
          <w:sz w:val="24"/>
          <w:szCs w:val="24"/>
        </w:rPr>
        <w:t>designadamente:</w:t>
      </w:r>
    </w:p>
    <w:p w:rsidR="00955D60" w:rsidRPr="003A1174" w:rsidRDefault="00A04525" w:rsidP="008719D4">
      <w:pPr>
        <w:pStyle w:val="Prrafodelista"/>
        <w:numPr>
          <w:ilvl w:val="0"/>
          <w:numId w:val="36"/>
        </w:numPr>
        <w:spacing w:before="240"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s Casas de Breve Esta</w:t>
      </w:r>
      <w:r w:rsidR="009D5ED8" w:rsidRPr="003A1174">
        <w:rPr>
          <w:rFonts w:ascii="Garamond" w:hAnsi="Garamond" w:cs="Arial"/>
          <w:color w:val="auto"/>
          <w:sz w:val="24"/>
          <w:szCs w:val="24"/>
          <w:lang w:val="pt-PT"/>
        </w:rPr>
        <w:t>dia</w:t>
      </w:r>
      <w:r w:rsidR="00955D60"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 xml:space="preserve">proporcionam </w:t>
      </w:r>
      <w:r w:rsidR="00C15C97" w:rsidRPr="003A1174">
        <w:rPr>
          <w:rFonts w:ascii="Garamond" w:hAnsi="Garamond" w:cs="Arial"/>
          <w:color w:val="auto"/>
          <w:sz w:val="24"/>
          <w:szCs w:val="24"/>
          <w:lang w:val="pt-PT"/>
        </w:rPr>
        <w:t>alojamento</w:t>
      </w:r>
      <w:r w:rsidR="00955D60"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proteção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081B57" w:rsidRPr="003A1174">
        <w:rPr>
          <w:rFonts w:ascii="Garamond" w:hAnsi="Garamond" w:cs="Arial"/>
          <w:color w:val="auto"/>
          <w:sz w:val="24"/>
          <w:szCs w:val="24"/>
          <w:lang w:val="pt-PT"/>
        </w:rPr>
        <w:t>orientação</w:t>
      </w:r>
      <w:r w:rsidR="00955D60" w:rsidRPr="003A1174">
        <w:rPr>
          <w:rFonts w:ascii="Garamond" w:hAnsi="Garamond" w:cs="Arial"/>
          <w:color w:val="auto"/>
          <w:sz w:val="24"/>
          <w:szCs w:val="24"/>
          <w:lang w:val="pt-PT"/>
        </w:rPr>
        <w:t xml:space="preserve"> a </w:t>
      </w:r>
      <w:r w:rsidR="00054EE0" w:rsidRPr="003A1174">
        <w:rPr>
          <w:rFonts w:ascii="Garamond" w:hAnsi="Garamond" w:cs="Arial"/>
          <w:color w:val="auto"/>
          <w:sz w:val="24"/>
          <w:szCs w:val="24"/>
          <w:lang w:val="pt-PT"/>
        </w:rPr>
        <w:t>mulheres</w:t>
      </w:r>
      <w:r w:rsidR="00955D60" w:rsidRPr="003A1174">
        <w:rPr>
          <w:rFonts w:ascii="Garamond" w:hAnsi="Garamond" w:cs="Arial"/>
          <w:color w:val="auto"/>
          <w:sz w:val="24"/>
          <w:szCs w:val="24"/>
          <w:lang w:val="pt-PT"/>
        </w:rPr>
        <w:t xml:space="preserve"> s</w:t>
      </w:r>
      <w:r w:rsidRPr="003A1174">
        <w:rPr>
          <w:rFonts w:ascii="Garamond" w:hAnsi="Garamond" w:cs="Arial"/>
          <w:color w:val="auto"/>
          <w:sz w:val="24"/>
          <w:szCs w:val="24"/>
          <w:lang w:val="pt-PT"/>
        </w:rPr>
        <w:t xml:space="preserve">ozinhas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/o</w:t>
      </w:r>
      <w:r w:rsidRPr="003A1174">
        <w:rPr>
          <w:rFonts w:ascii="Garamond" w:hAnsi="Garamond" w:cs="Arial"/>
          <w:color w:val="auto"/>
          <w:sz w:val="24"/>
          <w:szCs w:val="24"/>
          <w:lang w:val="pt-PT"/>
        </w:rPr>
        <w:t>u</w:t>
      </w:r>
      <w:r w:rsidR="00955D60"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7A2492" w:rsidRPr="003A1174">
        <w:rPr>
          <w:rFonts w:ascii="Garamond" w:hAnsi="Garamond" w:cs="Arial"/>
          <w:color w:val="auto"/>
          <w:sz w:val="24"/>
          <w:szCs w:val="24"/>
          <w:lang w:val="pt-PT"/>
        </w:rPr>
        <w:t>filho</w:t>
      </w:r>
      <w:r w:rsidRPr="003A1174">
        <w:rPr>
          <w:rFonts w:ascii="Garamond" w:hAnsi="Garamond" w:cs="Arial"/>
          <w:color w:val="auto"/>
          <w:sz w:val="24"/>
          <w:szCs w:val="24"/>
          <w:lang w:val="pt-PT"/>
        </w:rPr>
        <w:t>s a cargo, em</w:t>
      </w:r>
      <w:r w:rsidR="00955D60"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situação</w:t>
      </w:r>
      <w:r w:rsidR="00955D60"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co</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8651AF" w:rsidRPr="003A1174">
        <w:rPr>
          <w:rFonts w:ascii="Garamond" w:hAnsi="Garamond" w:cs="Arial"/>
          <w:color w:val="auto"/>
          <w:sz w:val="24"/>
          <w:szCs w:val="24"/>
          <w:lang w:val="pt-PT"/>
        </w:rPr>
        <w:t>risco</w:t>
      </w:r>
      <w:r w:rsidR="00955D60" w:rsidRPr="003A1174">
        <w:rPr>
          <w:rFonts w:ascii="Garamond" w:hAnsi="Garamond" w:cs="Arial"/>
          <w:color w:val="auto"/>
          <w:sz w:val="24"/>
          <w:szCs w:val="24"/>
          <w:lang w:val="pt-PT"/>
        </w:rPr>
        <w:t xml:space="preserve"> de vida, por u</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05622E" w:rsidRPr="003A1174">
        <w:rPr>
          <w:rFonts w:ascii="Garamond" w:hAnsi="Garamond" w:cs="Arial"/>
          <w:color w:val="auto"/>
          <w:sz w:val="24"/>
          <w:szCs w:val="24"/>
          <w:lang w:val="pt-PT"/>
        </w:rPr>
        <w:t>prazo</w:t>
      </w:r>
      <w:r w:rsidR="00955D60" w:rsidRPr="003A1174">
        <w:rPr>
          <w:rFonts w:ascii="Garamond" w:hAnsi="Garamond" w:cs="Arial"/>
          <w:color w:val="auto"/>
          <w:sz w:val="24"/>
          <w:szCs w:val="24"/>
          <w:lang w:val="pt-PT"/>
        </w:rPr>
        <w:t xml:space="preserve"> n</w:t>
      </w:r>
      <w:r w:rsidRPr="003A1174">
        <w:rPr>
          <w:rFonts w:ascii="Garamond" w:hAnsi="Garamond" w:cs="Arial"/>
          <w:color w:val="auto"/>
          <w:sz w:val="24"/>
          <w:szCs w:val="24"/>
          <w:lang w:val="pt-PT"/>
        </w:rPr>
        <w:t>ã</w:t>
      </w:r>
      <w:r w:rsidR="00955D60" w:rsidRPr="003A1174">
        <w:rPr>
          <w:rFonts w:ascii="Garamond" w:hAnsi="Garamond" w:cs="Arial"/>
          <w:color w:val="auto"/>
          <w:sz w:val="24"/>
          <w:szCs w:val="24"/>
          <w:lang w:val="pt-PT"/>
        </w:rPr>
        <w:t xml:space="preserve">o </w:t>
      </w:r>
      <w:r w:rsidR="00D94CD9">
        <w:rPr>
          <w:rFonts w:ascii="Garamond" w:hAnsi="Garamond" w:cs="Arial"/>
          <w:color w:val="auto"/>
          <w:sz w:val="24"/>
          <w:szCs w:val="24"/>
          <w:lang w:val="pt-PT"/>
        </w:rPr>
        <w:t xml:space="preserve">superior </w:t>
      </w:r>
      <w:r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30 </w:t>
      </w:r>
      <w:r w:rsidR="009D5ED8" w:rsidRPr="003A1174">
        <w:rPr>
          <w:rFonts w:ascii="Garamond" w:hAnsi="Garamond" w:cs="Arial"/>
          <w:color w:val="auto"/>
          <w:sz w:val="24"/>
          <w:szCs w:val="24"/>
          <w:lang w:val="pt-PT"/>
        </w:rPr>
        <w:t>dia</w:t>
      </w:r>
      <w:r w:rsidR="00955D60" w:rsidRPr="003A1174">
        <w:rPr>
          <w:rFonts w:ascii="Garamond" w:hAnsi="Garamond" w:cs="Arial"/>
          <w:color w:val="auto"/>
          <w:sz w:val="24"/>
          <w:szCs w:val="24"/>
          <w:lang w:val="pt-PT"/>
        </w:rPr>
        <w:t>s.</w:t>
      </w:r>
    </w:p>
    <w:p w:rsidR="00955D60" w:rsidRPr="003A1174" w:rsidRDefault="00D44677" w:rsidP="00A04525">
      <w:pPr>
        <w:pStyle w:val="Prrafodelista"/>
        <w:numPr>
          <w:ilvl w:val="0"/>
          <w:numId w:val="36"/>
        </w:numPr>
        <w:spacing w:before="240" w:after="0" w:line="240" w:lineRule="auto"/>
        <w:jc w:val="both"/>
        <w:rPr>
          <w:rFonts w:ascii="Garamond" w:hAnsi="Garamond" w:cs="Arial"/>
          <w:i/>
          <w:color w:val="auto"/>
          <w:sz w:val="24"/>
          <w:szCs w:val="24"/>
          <w:lang w:val="pt-PT"/>
        </w:rPr>
      </w:pPr>
      <w:r w:rsidRPr="003A1174">
        <w:rPr>
          <w:rFonts w:ascii="Garamond" w:hAnsi="Garamond" w:cs="Arial"/>
          <w:color w:val="auto"/>
          <w:sz w:val="24"/>
          <w:szCs w:val="24"/>
          <w:lang w:val="pt-PT"/>
        </w:rPr>
        <w:t>Abrigo</w:t>
      </w:r>
      <w:r w:rsidR="00955D60" w:rsidRPr="003A1174">
        <w:rPr>
          <w:rFonts w:ascii="Garamond" w:hAnsi="Garamond" w:cs="Arial"/>
          <w:color w:val="auto"/>
          <w:sz w:val="24"/>
          <w:szCs w:val="24"/>
          <w:lang w:val="pt-PT"/>
        </w:rPr>
        <w:t>s, cu</w:t>
      </w:r>
      <w:r w:rsidR="00A04525" w:rsidRPr="003A1174">
        <w:rPr>
          <w:rFonts w:ascii="Garamond" w:hAnsi="Garamond" w:cs="Arial"/>
          <w:color w:val="auto"/>
          <w:sz w:val="24"/>
          <w:szCs w:val="24"/>
          <w:lang w:val="pt-PT"/>
        </w:rPr>
        <w:t>j</w:t>
      </w:r>
      <w:r w:rsidR="00955D60" w:rsidRPr="003A1174">
        <w:rPr>
          <w:rFonts w:ascii="Garamond" w:hAnsi="Garamond" w:cs="Arial"/>
          <w:color w:val="auto"/>
          <w:sz w:val="24"/>
          <w:szCs w:val="24"/>
          <w:lang w:val="pt-PT"/>
        </w:rPr>
        <w:t xml:space="preserve">o </w:t>
      </w:r>
      <w:r w:rsidR="00955D60" w:rsidRPr="003A1174">
        <w:rPr>
          <w:rFonts w:ascii="Garamond" w:hAnsi="Garamond" w:cs="Arial"/>
          <w:color w:val="auto"/>
          <w:kern w:val="2"/>
          <w:sz w:val="24"/>
          <w:szCs w:val="24"/>
          <w:lang w:val="pt-PT"/>
        </w:rPr>
        <w:t>objet</w:t>
      </w:r>
      <w:r w:rsidR="00A04525" w:rsidRPr="003A1174">
        <w:rPr>
          <w:rFonts w:ascii="Garamond" w:hAnsi="Garamond" w:cs="Arial"/>
          <w:color w:val="auto"/>
          <w:kern w:val="2"/>
          <w:sz w:val="24"/>
          <w:szCs w:val="24"/>
          <w:lang w:val="pt-PT"/>
        </w:rPr>
        <w:t>iv</w:t>
      </w:r>
      <w:r w:rsidR="00955D60" w:rsidRPr="003A1174">
        <w:rPr>
          <w:rFonts w:ascii="Garamond" w:hAnsi="Garamond" w:cs="Arial"/>
          <w:color w:val="auto"/>
          <w:kern w:val="2"/>
          <w:sz w:val="24"/>
          <w:szCs w:val="24"/>
          <w:lang w:val="pt-PT"/>
        </w:rPr>
        <w:t xml:space="preserve">o </w:t>
      </w:r>
      <w:r w:rsidR="00A04525" w:rsidRPr="003A1174">
        <w:rPr>
          <w:rFonts w:ascii="Garamond" w:hAnsi="Garamond" w:cs="Arial"/>
          <w:color w:val="auto"/>
          <w:kern w:val="2"/>
          <w:sz w:val="24"/>
          <w:szCs w:val="24"/>
          <w:lang w:val="pt-PT"/>
        </w:rPr>
        <w:t xml:space="preserve">é </w:t>
      </w:r>
      <w:r w:rsidR="009024A0" w:rsidRPr="003A1174">
        <w:rPr>
          <w:rFonts w:ascii="Garamond" w:hAnsi="Garamond" w:cs="Arial"/>
          <w:color w:val="auto"/>
          <w:kern w:val="2"/>
          <w:sz w:val="24"/>
          <w:szCs w:val="24"/>
          <w:lang w:val="pt-PT"/>
        </w:rPr>
        <w:t>proporcionar</w:t>
      </w:r>
      <w:r w:rsidR="00955D60" w:rsidRPr="003A1174">
        <w:rPr>
          <w:rFonts w:ascii="Garamond" w:hAnsi="Garamond" w:cs="Arial"/>
          <w:color w:val="auto"/>
          <w:kern w:val="2"/>
          <w:sz w:val="24"/>
          <w:szCs w:val="24"/>
          <w:lang w:val="pt-PT"/>
        </w:rPr>
        <w:t xml:space="preserve"> </w:t>
      </w:r>
      <w:r w:rsidR="008278C4" w:rsidRPr="003A1174">
        <w:rPr>
          <w:rFonts w:ascii="Garamond" w:hAnsi="Garamond" w:cs="Arial"/>
          <w:color w:val="auto"/>
          <w:kern w:val="2"/>
          <w:sz w:val="24"/>
          <w:szCs w:val="24"/>
          <w:lang w:val="pt-PT"/>
        </w:rPr>
        <w:t>atenção</w:t>
      </w:r>
      <w:r w:rsidR="00955D60" w:rsidRPr="003A1174">
        <w:rPr>
          <w:rFonts w:ascii="Garamond" w:hAnsi="Garamond" w:cs="Arial"/>
          <w:color w:val="auto"/>
          <w:kern w:val="2"/>
          <w:sz w:val="24"/>
          <w:szCs w:val="24"/>
          <w:lang w:val="pt-PT"/>
        </w:rPr>
        <w:t xml:space="preserve"> </w:t>
      </w:r>
      <w:r w:rsidR="00D94CD9">
        <w:rPr>
          <w:rFonts w:ascii="Garamond" w:hAnsi="Garamond" w:cs="Arial"/>
          <w:color w:val="auto"/>
          <w:kern w:val="2"/>
          <w:sz w:val="24"/>
          <w:szCs w:val="24"/>
          <w:lang w:val="pt-PT"/>
        </w:rPr>
        <w:t xml:space="preserve">total </w:t>
      </w:r>
      <w:r w:rsidR="00955D60" w:rsidRPr="003A1174">
        <w:rPr>
          <w:rFonts w:ascii="Garamond" w:hAnsi="Garamond" w:cs="Arial"/>
          <w:color w:val="auto"/>
          <w:kern w:val="2"/>
          <w:sz w:val="24"/>
          <w:szCs w:val="24"/>
          <w:lang w:val="pt-PT"/>
        </w:rPr>
        <w:t>aos grupos de familiares que atrav</w:t>
      </w:r>
      <w:r w:rsidR="00A04525" w:rsidRPr="003A1174">
        <w:rPr>
          <w:rFonts w:ascii="Garamond" w:hAnsi="Garamond" w:cs="Arial"/>
          <w:color w:val="auto"/>
          <w:kern w:val="2"/>
          <w:sz w:val="24"/>
          <w:szCs w:val="24"/>
          <w:lang w:val="pt-PT"/>
        </w:rPr>
        <w:t>essam um</w:t>
      </w:r>
      <w:r w:rsidR="00955D60" w:rsidRPr="003A1174">
        <w:rPr>
          <w:rFonts w:ascii="Garamond" w:hAnsi="Garamond" w:cs="Arial"/>
          <w:color w:val="auto"/>
          <w:kern w:val="2"/>
          <w:sz w:val="24"/>
          <w:szCs w:val="24"/>
          <w:lang w:val="pt-PT"/>
        </w:rPr>
        <w:t xml:space="preserve">a </w:t>
      </w:r>
      <w:r w:rsidR="0017447A" w:rsidRPr="003A1174">
        <w:rPr>
          <w:rFonts w:ascii="Garamond" w:hAnsi="Garamond" w:cs="Arial"/>
          <w:color w:val="auto"/>
          <w:kern w:val="2"/>
          <w:sz w:val="24"/>
          <w:szCs w:val="24"/>
          <w:lang w:val="pt-PT"/>
        </w:rPr>
        <w:t>situação</w:t>
      </w:r>
      <w:r w:rsidR="00955D60" w:rsidRPr="003A1174">
        <w:rPr>
          <w:rFonts w:ascii="Garamond" w:hAnsi="Garamond" w:cs="Arial"/>
          <w:color w:val="auto"/>
          <w:kern w:val="2"/>
          <w:sz w:val="24"/>
          <w:szCs w:val="24"/>
          <w:lang w:val="pt-PT"/>
        </w:rPr>
        <w:t xml:space="preserve"> de </w:t>
      </w:r>
      <w:r w:rsidR="000350B1" w:rsidRPr="003A1174">
        <w:rPr>
          <w:rFonts w:ascii="Garamond" w:hAnsi="Garamond" w:cs="Arial"/>
          <w:color w:val="auto"/>
          <w:kern w:val="2"/>
          <w:sz w:val="24"/>
          <w:szCs w:val="24"/>
          <w:lang w:val="pt-PT"/>
        </w:rPr>
        <w:t>violência</w:t>
      </w:r>
      <w:r w:rsidR="00955D60" w:rsidRPr="003A1174">
        <w:rPr>
          <w:rFonts w:ascii="Garamond" w:hAnsi="Garamond" w:cs="Arial"/>
          <w:color w:val="auto"/>
          <w:kern w:val="2"/>
          <w:sz w:val="24"/>
          <w:szCs w:val="24"/>
          <w:lang w:val="pt-PT"/>
        </w:rPr>
        <w:t xml:space="preserve"> intrafamiliar </w:t>
      </w:r>
      <w:r w:rsidR="000672E8" w:rsidRPr="003A1174">
        <w:rPr>
          <w:rFonts w:ascii="Garamond" w:hAnsi="Garamond" w:cs="Arial"/>
          <w:color w:val="auto"/>
          <w:kern w:val="2"/>
          <w:sz w:val="24"/>
          <w:szCs w:val="24"/>
          <w:lang w:val="pt-PT"/>
        </w:rPr>
        <w:t>e</w:t>
      </w:r>
      <w:r w:rsidR="00955D60" w:rsidRPr="003A1174">
        <w:rPr>
          <w:rFonts w:ascii="Garamond" w:hAnsi="Garamond" w:cs="Arial"/>
          <w:color w:val="auto"/>
          <w:kern w:val="2"/>
          <w:sz w:val="24"/>
          <w:szCs w:val="24"/>
          <w:lang w:val="pt-PT"/>
        </w:rPr>
        <w:t xml:space="preserve"> n</w:t>
      </w:r>
      <w:r w:rsidR="00A04525" w:rsidRPr="003A1174">
        <w:rPr>
          <w:rFonts w:ascii="Garamond" w:hAnsi="Garamond" w:cs="Arial"/>
          <w:color w:val="auto"/>
          <w:kern w:val="2"/>
          <w:sz w:val="24"/>
          <w:szCs w:val="24"/>
          <w:lang w:val="pt-PT"/>
        </w:rPr>
        <w:t>ã</w:t>
      </w:r>
      <w:r w:rsidR="00955D60" w:rsidRPr="003A1174">
        <w:rPr>
          <w:rFonts w:ascii="Garamond" w:hAnsi="Garamond" w:cs="Arial"/>
          <w:color w:val="auto"/>
          <w:kern w:val="2"/>
          <w:sz w:val="24"/>
          <w:szCs w:val="24"/>
          <w:lang w:val="pt-PT"/>
        </w:rPr>
        <w:t xml:space="preserve">o </w:t>
      </w:r>
      <w:r w:rsidR="00A04525" w:rsidRPr="003A1174">
        <w:rPr>
          <w:rFonts w:ascii="Garamond" w:hAnsi="Garamond" w:cs="Arial"/>
          <w:color w:val="auto"/>
          <w:kern w:val="2"/>
          <w:sz w:val="24"/>
          <w:szCs w:val="24"/>
          <w:lang w:val="pt-PT"/>
        </w:rPr>
        <w:t xml:space="preserve">dispõem de </w:t>
      </w:r>
      <w:r w:rsidR="002B6C5B" w:rsidRPr="003A1174">
        <w:rPr>
          <w:rFonts w:ascii="Garamond" w:hAnsi="Garamond" w:cs="Arial"/>
          <w:color w:val="auto"/>
          <w:kern w:val="2"/>
          <w:sz w:val="24"/>
          <w:szCs w:val="24"/>
          <w:lang w:val="pt-PT"/>
        </w:rPr>
        <w:t>outra</w:t>
      </w:r>
      <w:r w:rsidR="00955D60" w:rsidRPr="003A1174">
        <w:rPr>
          <w:rFonts w:ascii="Garamond" w:hAnsi="Garamond" w:cs="Arial"/>
          <w:color w:val="auto"/>
          <w:kern w:val="2"/>
          <w:sz w:val="24"/>
          <w:szCs w:val="24"/>
          <w:lang w:val="pt-PT"/>
        </w:rPr>
        <w:t xml:space="preserve"> </w:t>
      </w:r>
      <w:r w:rsidR="008843FD" w:rsidRPr="003A1174">
        <w:rPr>
          <w:rFonts w:ascii="Garamond" w:hAnsi="Garamond" w:cs="Arial"/>
          <w:color w:val="auto"/>
          <w:kern w:val="2"/>
          <w:sz w:val="24"/>
          <w:szCs w:val="24"/>
          <w:lang w:val="pt-PT"/>
        </w:rPr>
        <w:t>possibilidade</w:t>
      </w:r>
      <w:r w:rsidR="00955D60" w:rsidRPr="003A1174">
        <w:rPr>
          <w:rFonts w:ascii="Garamond" w:hAnsi="Garamond" w:cs="Arial"/>
          <w:color w:val="auto"/>
          <w:kern w:val="2"/>
          <w:sz w:val="24"/>
          <w:szCs w:val="24"/>
          <w:lang w:val="pt-PT"/>
        </w:rPr>
        <w:t xml:space="preserve"> para resolver </w:t>
      </w:r>
      <w:r w:rsidR="00A04525" w:rsidRPr="003A1174">
        <w:rPr>
          <w:rFonts w:ascii="Garamond" w:hAnsi="Garamond" w:cs="Arial"/>
          <w:color w:val="auto"/>
          <w:kern w:val="2"/>
          <w:sz w:val="24"/>
          <w:szCs w:val="24"/>
          <w:lang w:val="pt-PT"/>
        </w:rPr>
        <w:t xml:space="preserve">a </w:t>
      </w:r>
      <w:r w:rsidR="00955D60" w:rsidRPr="003A1174">
        <w:rPr>
          <w:rFonts w:ascii="Garamond" w:hAnsi="Garamond" w:cs="Arial"/>
          <w:color w:val="auto"/>
          <w:kern w:val="2"/>
          <w:sz w:val="24"/>
          <w:szCs w:val="24"/>
          <w:lang w:val="pt-PT"/>
        </w:rPr>
        <w:t>su</w:t>
      </w:r>
      <w:r w:rsidR="00A04525" w:rsidRPr="003A1174">
        <w:rPr>
          <w:rFonts w:ascii="Garamond" w:hAnsi="Garamond" w:cs="Arial"/>
          <w:color w:val="auto"/>
          <w:kern w:val="2"/>
          <w:sz w:val="24"/>
          <w:szCs w:val="24"/>
          <w:lang w:val="pt-PT"/>
        </w:rPr>
        <w:t>a</w:t>
      </w:r>
      <w:r w:rsidR="00955D60" w:rsidRPr="003A1174">
        <w:rPr>
          <w:rFonts w:ascii="Garamond" w:hAnsi="Garamond" w:cs="Arial"/>
          <w:color w:val="auto"/>
          <w:kern w:val="2"/>
          <w:sz w:val="24"/>
          <w:szCs w:val="24"/>
          <w:lang w:val="pt-PT"/>
        </w:rPr>
        <w:t xml:space="preserve"> </w:t>
      </w:r>
      <w:r w:rsidR="0017447A" w:rsidRPr="003A1174">
        <w:rPr>
          <w:rFonts w:ascii="Garamond" w:hAnsi="Garamond" w:cs="Arial"/>
          <w:color w:val="auto"/>
          <w:kern w:val="2"/>
          <w:sz w:val="24"/>
          <w:szCs w:val="24"/>
          <w:lang w:val="pt-PT"/>
        </w:rPr>
        <w:t>situação</w:t>
      </w:r>
      <w:r w:rsidR="00955D60" w:rsidRPr="003A1174">
        <w:rPr>
          <w:rFonts w:ascii="Garamond" w:hAnsi="Garamond" w:cs="Arial"/>
          <w:color w:val="auto"/>
          <w:kern w:val="2"/>
          <w:sz w:val="24"/>
          <w:szCs w:val="24"/>
          <w:lang w:val="pt-PT"/>
        </w:rPr>
        <w:t xml:space="preserve"> de </w:t>
      </w:r>
      <w:r w:rsidR="00A04525" w:rsidRPr="003A1174">
        <w:rPr>
          <w:rFonts w:ascii="Garamond" w:hAnsi="Garamond" w:cs="Arial"/>
          <w:color w:val="auto"/>
          <w:kern w:val="2"/>
          <w:sz w:val="24"/>
          <w:szCs w:val="24"/>
          <w:lang w:val="pt-PT"/>
        </w:rPr>
        <w:t>habita</w:t>
      </w:r>
      <w:r w:rsidR="00D94CD9">
        <w:rPr>
          <w:rFonts w:ascii="Garamond" w:hAnsi="Garamond" w:cs="Arial"/>
          <w:color w:val="auto"/>
          <w:kern w:val="2"/>
          <w:sz w:val="24"/>
          <w:szCs w:val="24"/>
          <w:lang w:val="pt-PT"/>
        </w:rPr>
        <w:t>cional</w:t>
      </w:r>
      <w:r w:rsidR="00277F02" w:rsidRPr="003A1174">
        <w:rPr>
          <w:rFonts w:ascii="Garamond" w:hAnsi="Garamond" w:cs="Arial"/>
          <w:color w:val="auto"/>
          <w:kern w:val="2"/>
          <w:sz w:val="24"/>
          <w:szCs w:val="24"/>
          <w:lang w:val="pt-PT"/>
        </w:rPr>
        <w:t xml:space="preserve">. </w:t>
      </w:r>
      <w:r w:rsidR="00277F02" w:rsidRPr="00B5168A">
        <w:rPr>
          <w:rFonts w:ascii="Garamond" w:hAnsi="Garamond" w:cs="Arial"/>
          <w:color w:val="auto"/>
          <w:kern w:val="2"/>
          <w:sz w:val="24"/>
          <w:szCs w:val="24"/>
          <w:lang w:val="pt-PT"/>
        </w:rPr>
        <w:t>C</w:t>
      </w:r>
      <w:r w:rsidR="00955D60" w:rsidRPr="00B5168A">
        <w:rPr>
          <w:rFonts w:ascii="Garamond" w:hAnsi="Garamond" w:cs="Arial"/>
          <w:color w:val="auto"/>
          <w:kern w:val="2"/>
          <w:sz w:val="24"/>
          <w:szCs w:val="24"/>
          <w:lang w:val="pt-PT"/>
        </w:rPr>
        <w:t>onstituir</w:t>
      </w:r>
      <w:r w:rsidR="00B5168A" w:rsidRPr="00B5168A">
        <w:rPr>
          <w:rFonts w:ascii="Garamond" w:hAnsi="Garamond" w:cs="Arial"/>
          <w:color w:val="auto"/>
          <w:kern w:val="2"/>
          <w:sz w:val="24"/>
          <w:szCs w:val="24"/>
          <w:lang w:val="pt-PT"/>
        </w:rPr>
        <w:t xml:space="preserve"> </w:t>
      </w:r>
      <w:r w:rsidR="00A04525" w:rsidRPr="00B5168A">
        <w:rPr>
          <w:rFonts w:ascii="Garamond" w:hAnsi="Garamond" w:cs="Arial"/>
          <w:color w:val="auto"/>
          <w:kern w:val="2"/>
          <w:sz w:val="24"/>
          <w:szCs w:val="24"/>
          <w:lang w:val="pt-PT"/>
        </w:rPr>
        <w:t xml:space="preserve">um </w:t>
      </w:r>
      <w:r w:rsidR="006F7276" w:rsidRPr="00B5168A">
        <w:rPr>
          <w:rFonts w:ascii="Garamond" w:hAnsi="Garamond" w:cs="Arial"/>
          <w:color w:val="auto"/>
          <w:kern w:val="2"/>
          <w:sz w:val="24"/>
          <w:szCs w:val="24"/>
          <w:lang w:val="pt-PT"/>
        </w:rPr>
        <w:t>espaço</w:t>
      </w:r>
      <w:r w:rsidR="00A04525" w:rsidRPr="003A1174">
        <w:rPr>
          <w:rFonts w:ascii="Garamond" w:hAnsi="Garamond" w:cs="Arial"/>
          <w:color w:val="auto"/>
          <w:kern w:val="2"/>
          <w:sz w:val="24"/>
          <w:szCs w:val="24"/>
          <w:lang w:val="pt-PT"/>
        </w:rPr>
        <w:t xml:space="preserve"> de acolhimen</w:t>
      </w:r>
      <w:r w:rsidR="00955D60" w:rsidRPr="003A1174">
        <w:rPr>
          <w:rFonts w:ascii="Garamond" w:hAnsi="Garamond" w:cs="Arial"/>
          <w:color w:val="auto"/>
          <w:kern w:val="2"/>
          <w:sz w:val="24"/>
          <w:szCs w:val="24"/>
          <w:lang w:val="pt-PT"/>
        </w:rPr>
        <w:t xml:space="preserve">to </w:t>
      </w:r>
      <w:r w:rsidR="00D94CD9">
        <w:rPr>
          <w:rFonts w:ascii="Garamond" w:hAnsi="Garamond" w:cs="Arial"/>
          <w:color w:val="auto"/>
          <w:kern w:val="2"/>
          <w:sz w:val="24"/>
          <w:szCs w:val="24"/>
          <w:lang w:val="pt-PT"/>
        </w:rPr>
        <w:t xml:space="preserve">completo </w:t>
      </w:r>
      <w:r w:rsidR="00955D60" w:rsidRPr="003A1174">
        <w:rPr>
          <w:rFonts w:ascii="Garamond" w:hAnsi="Garamond" w:cs="Arial"/>
          <w:color w:val="auto"/>
          <w:kern w:val="2"/>
          <w:sz w:val="24"/>
          <w:szCs w:val="24"/>
          <w:lang w:val="pt-PT"/>
        </w:rPr>
        <w:t>co</w:t>
      </w:r>
      <w:r w:rsidR="00A04525" w:rsidRPr="003A1174">
        <w:rPr>
          <w:rFonts w:ascii="Garamond" w:hAnsi="Garamond" w:cs="Arial"/>
          <w:color w:val="auto"/>
          <w:kern w:val="2"/>
          <w:sz w:val="24"/>
          <w:szCs w:val="24"/>
          <w:lang w:val="pt-PT"/>
        </w:rPr>
        <w:t xml:space="preserve">m </w:t>
      </w:r>
      <w:r w:rsidR="00955D60" w:rsidRPr="003A1174">
        <w:rPr>
          <w:rFonts w:ascii="Garamond" w:hAnsi="Garamond" w:cs="Arial"/>
          <w:color w:val="auto"/>
          <w:kern w:val="2"/>
          <w:sz w:val="24"/>
          <w:szCs w:val="24"/>
          <w:lang w:val="pt-PT"/>
        </w:rPr>
        <w:t xml:space="preserve">a </w:t>
      </w:r>
      <w:r w:rsidR="006F4B2C" w:rsidRPr="003A1174">
        <w:rPr>
          <w:rFonts w:ascii="Garamond" w:hAnsi="Garamond" w:cs="Arial"/>
          <w:color w:val="auto"/>
          <w:kern w:val="2"/>
          <w:sz w:val="24"/>
          <w:szCs w:val="24"/>
          <w:lang w:val="pt-PT"/>
        </w:rPr>
        <w:t>finalidade</w:t>
      </w:r>
      <w:r w:rsidR="00955D60" w:rsidRPr="003A1174">
        <w:rPr>
          <w:rFonts w:ascii="Garamond" w:hAnsi="Garamond" w:cs="Arial"/>
          <w:color w:val="auto"/>
          <w:kern w:val="2"/>
          <w:sz w:val="24"/>
          <w:szCs w:val="24"/>
          <w:lang w:val="pt-PT"/>
        </w:rPr>
        <w:t xml:space="preserve"> de contribuir </w:t>
      </w:r>
      <w:r w:rsidR="00A04525" w:rsidRPr="003A1174">
        <w:rPr>
          <w:rFonts w:ascii="Garamond" w:hAnsi="Garamond" w:cs="Arial"/>
          <w:color w:val="auto"/>
          <w:kern w:val="2"/>
          <w:sz w:val="24"/>
          <w:szCs w:val="24"/>
          <w:lang w:val="pt-PT"/>
        </w:rPr>
        <w:t xml:space="preserve">para o </w:t>
      </w:r>
      <w:r w:rsidR="00DC5DA7" w:rsidRPr="003A1174">
        <w:rPr>
          <w:rFonts w:ascii="Garamond" w:hAnsi="Garamond" w:cs="Arial"/>
          <w:color w:val="auto"/>
          <w:kern w:val="2"/>
          <w:sz w:val="24"/>
          <w:szCs w:val="24"/>
          <w:lang w:val="pt-PT"/>
        </w:rPr>
        <w:t>fortalecimento</w:t>
      </w:r>
      <w:r w:rsidR="00955D60" w:rsidRPr="003A1174">
        <w:rPr>
          <w:rFonts w:ascii="Garamond" w:hAnsi="Garamond" w:cs="Arial"/>
          <w:color w:val="auto"/>
          <w:kern w:val="2"/>
          <w:sz w:val="24"/>
          <w:szCs w:val="24"/>
          <w:lang w:val="pt-PT"/>
        </w:rPr>
        <w:t xml:space="preserve"> </w:t>
      </w:r>
      <w:r w:rsidR="000672E8" w:rsidRPr="003A1174">
        <w:rPr>
          <w:rFonts w:ascii="Garamond" w:hAnsi="Garamond" w:cs="Arial"/>
          <w:color w:val="auto"/>
          <w:kern w:val="2"/>
          <w:sz w:val="24"/>
          <w:szCs w:val="24"/>
          <w:lang w:val="pt-PT"/>
        </w:rPr>
        <w:t>e</w:t>
      </w:r>
      <w:r w:rsidR="00A04525" w:rsidRPr="003A1174">
        <w:rPr>
          <w:rFonts w:ascii="Garamond" w:hAnsi="Garamond" w:cs="Arial"/>
          <w:color w:val="auto"/>
          <w:kern w:val="2"/>
          <w:sz w:val="24"/>
          <w:szCs w:val="24"/>
          <w:lang w:val="pt-PT"/>
        </w:rPr>
        <w:t xml:space="preserve"> par</w:t>
      </w:r>
      <w:r w:rsidR="00955D60" w:rsidRPr="003A1174">
        <w:rPr>
          <w:rFonts w:ascii="Garamond" w:hAnsi="Garamond" w:cs="Arial"/>
          <w:color w:val="auto"/>
          <w:kern w:val="2"/>
          <w:sz w:val="24"/>
          <w:szCs w:val="24"/>
          <w:lang w:val="pt-PT"/>
        </w:rPr>
        <w:t>a</w:t>
      </w:r>
      <w:r w:rsidR="00A04525" w:rsidRPr="003A1174">
        <w:rPr>
          <w:rFonts w:ascii="Garamond" w:hAnsi="Garamond" w:cs="Arial"/>
          <w:color w:val="auto"/>
          <w:kern w:val="2"/>
          <w:sz w:val="24"/>
          <w:szCs w:val="24"/>
          <w:lang w:val="pt-PT"/>
        </w:rPr>
        <w:t xml:space="preserve"> a</w:t>
      </w:r>
      <w:r w:rsidR="00955D60" w:rsidRPr="003A1174">
        <w:rPr>
          <w:rFonts w:ascii="Garamond" w:hAnsi="Garamond" w:cs="Arial"/>
          <w:color w:val="auto"/>
          <w:kern w:val="2"/>
          <w:sz w:val="24"/>
          <w:szCs w:val="24"/>
          <w:lang w:val="pt-PT"/>
        </w:rPr>
        <w:t xml:space="preserve"> </w:t>
      </w:r>
      <w:r w:rsidR="009B133A" w:rsidRPr="003A1174">
        <w:rPr>
          <w:rFonts w:ascii="Garamond" w:hAnsi="Garamond" w:cs="Arial"/>
          <w:color w:val="auto"/>
          <w:kern w:val="2"/>
          <w:sz w:val="24"/>
          <w:szCs w:val="24"/>
          <w:lang w:val="pt-PT"/>
        </w:rPr>
        <w:t>autonomia</w:t>
      </w:r>
      <w:r w:rsidR="00955D60" w:rsidRPr="003A1174">
        <w:rPr>
          <w:rFonts w:ascii="Garamond" w:hAnsi="Garamond" w:cs="Arial"/>
          <w:color w:val="auto"/>
          <w:kern w:val="2"/>
          <w:sz w:val="24"/>
          <w:szCs w:val="24"/>
          <w:lang w:val="pt-PT"/>
        </w:rPr>
        <w:t xml:space="preserve"> </w:t>
      </w:r>
      <w:r w:rsidR="00497503" w:rsidRPr="003A1174">
        <w:rPr>
          <w:rFonts w:ascii="Garamond" w:hAnsi="Garamond" w:cs="Arial"/>
          <w:color w:val="auto"/>
          <w:kern w:val="2"/>
          <w:sz w:val="24"/>
          <w:szCs w:val="24"/>
          <w:lang w:val="pt-PT"/>
        </w:rPr>
        <w:t>das</w:t>
      </w:r>
      <w:r w:rsidR="00955D60" w:rsidRPr="003A1174">
        <w:rPr>
          <w:rFonts w:ascii="Garamond" w:hAnsi="Garamond" w:cs="Arial"/>
          <w:color w:val="auto"/>
          <w:kern w:val="2"/>
          <w:sz w:val="24"/>
          <w:szCs w:val="24"/>
          <w:lang w:val="pt-PT"/>
        </w:rPr>
        <w:t xml:space="preserve"> </w:t>
      </w:r>
      <w:r w:rsidR="00DE6DF6" w:rsidRPr="003A1174">
        <w:rPr>
          <w:rFonts w:ascii="Garamond" w:hAnsi="Garamond" w:cs="Arial"/>
          <w:color w:val="auto"/>
          <w:kern w:val="2"/>
          <w:sz w:val="24"/>
          <w:szCs w:val="24"/>
          <w:lang w:val="pt-PT"/>
        </w:rPr>
        <w:t>respetiva</w:t>
      </w:r>
      <w:r w:rsidR="00955D60" w:rsidRPr="003A1174">
        <w:rPr>
          <w:rFonts w:ascii="Garamond" w:hAnsi="Garamond" w:cs="Arial"/>
          <w:color w:val="auto"/>
          <w:kern w:val="2"/>
          <w:sz w:val="24"/>
          <w:szCs w:val="24"/>
          <w:lang w:val="pt-PT"/>
        </w:rPr>
        <w:t xml:space="preserve">s </w:t>
      </w:r>
      <w:r w:rsidR="00D37CF3" w:rsidRPr="003A1174">
        <w:rPr>
          <w:rFonts w:ascii="Garamond" w:hAnsi="Garamond" w:cs="Arial"/>
          <w:color w:val="auto"/>
          <w:kern w:val="2"/>
          <w:sz w:val="24"/>
          <w:szCs w:val="24"/>
          <w:lang w:val="pt-PT"/>
        </w:rPr>
        <w:t>famílias</w:t>
      </w:r>
      <w:r w:rsidR="00955D60" w:rsidRPr="003A1174">
        <w:rPr>
          <w:rFonts w:ascii="Garamond" w:hAnsi="Garamond" w:cs="Arial"/>
          <w:color w:val="auto"/>
          <w:kern w:val="2"/>
          <w:sz w:val="24"/>
          <w:szCs w:val="24"/>
          <w:lang w:val="pt-PT"/>
        </w:rPr>
        <w:t xml:space="preserve"> </w:t>
      </w:r>
      <w:r w:rsidR="00A04525" w:rsidRPr="003A1174">
        <w:rPr>
          <w:rFonts w:ascii="Garamond" w:hAnsi="Garamond" w:cs="Arial"/>
          <w:color w:val="auto"/>
          <w:kern w:val="2"/>
          <w:sz w:val="24"/>
          <w:szCs w:val="24"/>
          <w:lang w:val="pt-PT"/>
        </w:rPr>
        <w:t xml:space="preserve">na sua </w:t>
      </w:r>
      <w:r w:rsidR="006F4B2C" w:rsidRPr="003A1174">
        <w:rPr>
          <w:rFonts w:ascii="Garamond" w:hAnsi="Garamond" w:cs="Arial"/>
          <w:color w:val="auto"/>
          <w:kern w:val="2"/>
          <w:sz w:val="24"/>
          <w:szCs w:val="24"/>
          <w:lang w:val="pt-PT"/>
        </w:rPr>
        <w:t>integração</w:t>
      </w:r>
      <w:r w:rsidR="00A04525" w:rsidRPr="003A1174">
        <w:rPr>
          <w:rFonts w:ascii="Garamond" w:hAnsi="Garamond" w:cs="Arial"/>
          <w:color w:val="auto"/>
          <w:kern w:val="2"/>
          <w:sz w:val="24"/>
          <w:szCs w:val="24"/>
          <w:lang w:val="pt-PT"/>
        </w:rPr>
        <w:t xml:space="preserve"> social, modificando </w:t>
      </w:r>
      <w:r w:rsidR="00955D60" w:rsidRPr="003A1174">
        <w:rPr>
          <w:rFonts w:ascii="Garamond" w:hAnsi="Garamond" w:cs="Arial"/>
          <w:color w:val="auto"/>
          <w:kern w:val="2"/>
          <w:sz w:val="24"/>
          <w:szCs w:val="24"/>
          <w:lang w:val="pt-PT"/>
        </w:rPr>
        <w:t xml:space="preserve">as </w:t>
      </w:r>
      <w:r w:rsidR="00AC3351" w:rsidRPr="003A1174">
        <w:rPr>
          <w:rFonts w:ascii="Garamond" w:hAnsi="Garamond" w:cs="Arial"/>
          <w:color w:val="auto"/>
          <w:kern w:val="2"/>
          <w:sz w:val="24"/>
          <w:szCs w:val="24"/>
          <w:lang w:val="pt-PT"/>
        </w:rPr>
        <w:t>condições</w:t>
      </w:r>
      <w:r w:rsidR="00955D60" w:rsidRPr="003A1174">
        <w:rPr>
          <w:rFonts w:ascii="Garamond" w:hAnsi="Garamond" w:cs="Arial"/>
          <w:color w:val="auto"/>
          <w:kern w:val="2"/>
          <w:sz w:val="24"/>
          <w:szCs w:val="24"/>
          <w:lang w:val="pt-PT"/>
        </w:rPr>
        <w:t xml:space="preserve"> que d</w:t>
      </w:r>
      <w:r w:rsidR="00A04525" w:rsidRPr="003A1174">
        <w:rPr>
          <w:rFonts w:ascii="Garamond" w:hAnsi="Garamond" w:cs="Arial"/>
          <w:color w:val="auto"/>
          <w:kern w:val="2"/>
          <w:sz w:val="24"/>
          <w:szCs w:val="24"/>
          <w:lang w:val="pt-PT"/>
        </w:rPr>
        <w:t xml:space="preserve">eram </w:t>
      </w:r>
      <w:r w:rsidR="00955D60" w:rsidRPr="003A1174">
        <w:rPr>
          <w:rFonts w:ascii="Garamond" w:hAnsi="Garamond" w:cs="Arial"/>
          <w:color w:val="auto"/>
          <w:kern w:val="2"/>
          <w:sz w:val="24"/>
          <w:szCs w:val="24"/>
          <w:lang w:val="pt-PT"/>
        </w:rPr>
        <w:t xml:space="preserve">lugar </w:t>
      </w:r>
      <w:r w:rsidR="00BB2B00" w:rsidRPr="003A1174">
        <w:rPr>
          <w:rFonts w:ascii="Garamond" w:hAnsi="Garamond" w:cs="Arial"/>
          <w:color w:val="auto"/>
          <w:kern w:val="2"/>
          <w:sz w:val="24"/>
          <w:szCs w:val="24"/>
          <w:lang w:val="pt-PT"/>
        </w:rPr>
        <w:t>à</w:t>
      </w:r>
      <w:r w:rsidR="00955D60" w:rsidRPr="003A1174">
        <w:rPr>
          <w:rFonts w:ascii="Garamond" w:hAnsi="Garamond" w:cs="Arial"/>
          <w:color w:val="auto"/>
          <w:kern w:val="2"/>
          <w:sz w:val="24"/>
          <w:szCs w:val="24"/>
          <w:lang w:val="pt-PT"/>
        </w:rPr>
        <w:t xml:space="preserve"> </w:t>
      </w:r>
      <w:r w:rsidR="00976FB8" w:rsidRPr="003A1174">
        <w:rPr>
          <w:rFonts w:ascii="Garamond" w:hAnsi="Garamond" w:cs="Arial"/>
          <w:color w:val="auto"/>
          <w:kern w:val="2"/>
          <w:sz w:val="24"/>
          <w:szCs w:val="24"/>
          <w:lang w:val="pt-PT"/>
        </w:rPr>
        <w:t>intervenção</w:t>
      </w:r>
      <w:r w:rsidR="00955D60" w:rsidRPr="003A1174">
        <w:rPr>
          <w:rFonts w:ascii="Garamond" w:hAnsi="Garamond" w:cs="Arial"/>
          <w:color w:val="auto"/>
          <w:kern w:val="2"/>
          <w:sz w:val="24"/>
          <w:szCs w:val="24"/>
          <w:lang w:val="pt-PT"/>
        </w:rPr>
        <w:t xml:space="preserve"> técnica. </w:t>
      </w:r>
      <w:r w:rsidR="00A04525" w:rsidRPr="003A1174">
        <w:rPr>
          <w:rFonts w:ascii="Garamond" w:hAnsi="Garamond" w:cs="Arial"/>
          <w:color w:val="auto"/>
          <w:kern w:val="2"/>
          <w:sz w:val="24"/>
          <w:szCs w:val="24"/>
          <w:lang w:val="pt-PT"/>
        </w:rPr>
        <w:t>Atualmente</w:t>
      </w:r>
      <w:r w:rsidR="00D94CD9">
        <w:rPr>
          <w:rFonts w:ascii="Garamond" w:hAnsi="Garamond" w:cs="Arial"/>
          <w:color w:val="auto"/>
          <w:kern w:val="2"/>
          <w:sz w:val="24"/>
          <w:szCs w:val="24"/>
          <w:lang w:val="pt-PT"/>
        </w:rPr>
        <w:t>,</w:t>
      </w:r>
      <w:r w:rsidR="00A04525" w:rsidRPr="003A1174">
        <w:rPr>
          <w:rFonts w:ascii="Garamond" w:hAnsi="Garamond" w:cs="Arial"/>
          <w:color w:val="auto"/>
          <w:kern w:val="2"/>
          <w:sz w:val="24"/>
          <w:szCs w:val="24"/>
          <w:lang w:val="pt-PT"/>
        </w:rPr>
        <w:t xml:space="preserve"> </w:t>
      </w:r>
      <w:r w:rsidR="00B5431B" w:rsidRPr="003A1174">
        <w:rPr>
          <w:rFonts w:ascii="Garamond" w:hAnsi="Garamond" w:cs="Arial"/>
          <w:color w:val="auto"/>
          <w:kern w:val="2"/>
          <w:sz w:val="24"/>
          <w:szCs w:val="24"/>
          <w:lang w:val="pt-PT"/>
        </w:rPr>
        <w:t>existem</w:t>
      </w:r>
      <w:r w:rsidR="00955D60" w:rsidRPr="003A1174">
        <w:rPr>
          <w:rFonts w:ascii="Garamond" w:hAnsi="Garamond" w:cs="Arial"/>
          <w:color w:val="auto"/>
          <w:kern w:val="2"/>
          <w:sz w:val="24"/>
          <w:szCs w:val="24"/>
          <w:lang w:val="pt-PT"/>
        </w:rPr>
        <w:t xml:space="preserve"> </w:t>
      </w:r>
      <w:proofErr w:type="gramStart"/>
      <w:r w:rsidR="00955D60" w:rsidRPr="003A1174">
        <w:rPr>
          <w:rFonts w:ascii="Garamond" w:hAnsi="Garamond" w:cs="Arial"/>
          <w:color w:val="auto"/>
          <w:kern w:val="2"/>
          <w:sz w:val="24"/>
          <w:szCs w:val="24"/>
          <w:lang w:val="pt-PT"/>
        </w:rPr>
        <w:t>5</w:t>
      </w:r>
      <w:proofErr w:type="gramEnd"/>
      <w:r w:rsidR="00955D60" w:rsidRPr="003A1174">
        <w:rPr>
          <w:rFonts w:ascii="Garamond" w:hAnsi="Garamond" w:cs="Arial"/>
          <w:color w:val="auto"/>
          <w:kern w:val="2"/>
          <w:sz w:val="24"/>
          <w:szCs w:val="24"/>
          <w:lang w:val="pt-PT"/>
        </w:rPr>
        <w:t xml:space="preserve"> centros desta </w:t>
      </w:r>
      <w:r w:rsidR="00C6493E" w:rsidRPr="003A1174">
        <w:rPr>
          <w:rFonts w:ascii="Garamond" w:hAnsi="Garamond" w:cs="Arial"/>
          <w:color w:val="auto"/>
          <w:kern w:val="2"/>
          <w:sz w:val="24"/>
          <w:szCs w:val="24"/>
          <w:lang w:val="pt-PT"/>
        </w:rPr>
        <w:t>natureza</w:t>
      </w:r>
      <w:r w:rsidR="00955D60" w:rsidRPr="003A1174">
        <w:rPr>
          <w:rFonts w:ascii="Garamond" w:hAnsi="Garamond" w:cs="Arial"/>
          <w:color w:val="auto"/>
          <w:kern w:val="2"/>
          <w:sz w:val="24"/>
          <w:szCs w:val="24"/>
          <w:lang w:val="pt-PT"/>
        </w:rPr>
        <w:t>, co</w:t>
      </w:r>
      <w:r w:rsidR="00A04525" w:rsidRPr="003A1174">
        <w:rPr>
          <w:rFonts w:ascii="Garamond" w:hAnsi="Garamond" w:cs="Arial"/>
          <w:color w:val="auto"/>
          <w:kern w:val="2"/>
          <w:sz w:val="24"/>
          <w:szCs w:val="24"/>
          <w:lang w:val="pt-PT"/>
        </w:rPr>
        <w:t>m um</w:t>
      </w:r>
      <w:r w:rsidR="00955D60" w:rsidRPr="003A1174">
        <w:rPr>
          <w:rFonts w:ascii="Garamond" w:hAnsi="Garamond" w:cs="Arial"/>
          <w:color w:val="auto"/>
          <w:kern w:val="2"/>
          <w:sz w:val="24"/>
          <w:szCs w:val="24"/>
          <w:lang w:val="pt-PT"/>
        </w:rPr>
        <w:t xml:space="preserve">a </w:t>
      </w:r>
      <w:r w:rsidR="00152A44" w:rsidRPr="003A1174">
        <w:rPr>
          <w:rFonts w:ascii="Garamond" w:hAnsi="Garamond" w:cs="Arial"/>
          <w:color w:val="auto"/>
          <w:kern w:val="2"/>
          <w:sz w:val="24"/>
          <w:szCs w:val="24"/>
          <w:lang w:val="pt-PT"/>
        </w:rPr>
        <w:t>capacidade</w:t>
      </w:r>
      <w:r w:rsidR="00955D60" w:rsidRPr="003A1174">
        <w:rPr>
          <w:rFonts w:ascii="Garamond" w:hAnsi="Garamond" w:cs="Arial"/>
          <w:color w:val="auto"/>
          <w:kern w:val="2"/>
          <w:sz w:val="24"/>
          <w:szCs w:val="24"/>
          <w:lang w:val="pt-PT"/>
        </w:rPr>
        <w:t xml:space="preserve"> para 170 </w:t>
      </w:r>
      <w:r w:rsidR="00A04525" w:rsidRPr="003A1174">
        <w:rPr>
          <w:rFonts w:ascii="Garamond" w:hAnsi="Garamond" w:cs="Arial"/>
          <w:color w:val="auto"/>
          <w:kern w:val="2"/>
          <w:sz w:val="24"/>
          <w:szCs w:val="24"/>
          <w:lang w:val="pt-PT"/>
        </w:rPr>
        <w:t xml:space="preserve">crianças </w:t>
      </w:r>
      <w:r w:rsidR="000672E8" w:rsidRPr="003A1174">
        <w:rPr>
          <w:rFonts w:ascii="Garamond" w:hAnsi="Garamond" w:cs="Arial"/>
          <w:color w:val="auto"/>
          <w:kern w:val="2"/>
          <w:sz w:val="24"/>
          <w:szCs w:val="24"/>
          <w:lang w:val="pt-PT"/>
        </w:rPr>
        <w:t>e</w:t>
      </w:r>
      <w:r w:rsidR="00955D60" w:rsidRPr="003A1174">
        <w:rPr>
          <w:rFonts w:ascii="Garamond" w:hAnsi="Garamond" w:cs="Arial"/>
          <w:color w:val="auto"/>
          <w:kern w:val="2"/>
          <w:sz w:val="24"/>
          <w:szCs w:val="24"/>
          <w:lang w:val="pt-PT"/>
        </w:rPr>
        <w:t xml:space="preserve"> adolescentes. </w:t>
      </w:r>
    </w:p>
    <w:p w:rsidR="00955D60" w:rsidRPr="003A1174" w:rsidRDefault="00D37CF3" w:rsidP="00A04525">
      <w:pPr>
        <w:numPr>
          <w:ilvl w:val="0"/>
          <w:numId w:val="36"/>
        </w:numPr>
        <w:suppressAutoHyphens/>
        <w:snapToGrid w:val="0"/>
        <w:spacing w:before="240" w:after="0" w:line="240" w:lineRule="auto"/>
        <w:jc w:val="both"/>
        <w:rPr>
          <w:rFonts w:ascii="Garamond" w:hAnsi="Garamond" w:cs="Arial"/>
          <w:sz w:val="24"/>
          <w:szCs w:val="24"/>
          <w:lang w:eastAsia="es-UY"/>
        </w:rPr>
      </w:pPr>
      <w:r w:rsidRPr="003A1174">
        <w:rPr>
          <w:rFonts w:ascii="Garamond" w:hAnsi="Garamond" w:cs="Arial"/>
          <w:sz w:val="24"/>
          <w:szCs w:val="24"/>
        </w:rPr>
        <w:t xml:space="preserve">As Alternativas Habitacionais para mulheres em processo de saída da violência doméstica, que </w:t>
      </w:r>
      <w:r w:rsidR="00D94CD9">
        <w:rPr>
          <w:rFonts w:ascii="Garamond" w:hAnsi="Garamond" w:cs="Arial"/>
          <w:sz w:val="24"/>
          <w:szCs w:val="24"/>
        </w:rPr>
        <w:t xml:space="preserve">preveem </w:t>
      </w:r>
      <w:r w:rsidRPr="003A1174">
        <w:rPr>
          <w:rFonts w:ascii="Garamond" w:hAnsi="Garamond" w:cs="Arial"/>
          <w:sz w:val="24"/>
          <w:szCs w:val="24"/>
        </w:rPr>
        <w:t xml:space="preserve">coordenação e articulação interinstitucional para </w:t>
      </w:r>
      <w:r w:rsidR="00B5168A">
        <w:rPr>
          <w:rFonts w:ascii="Garamond" w:hAnsi="Garamond" w:cs="Arial"/>
          <w:sz w:val="24"/>
          <w:szCs w:val="24"/>
        </w:rPr>
        <w:t xml:space="preserve">proporcionar </w:t>
      </w:r>
      <w:r w:rsidRPr="003A1174">
        <w:rPr>
          <w:rFonts w:ascii="Garamond" w:hAnsi="Garamond" w:cs="Arial"/>
          <w:sz w:val="24"/>
          <w:szCs w:val="24"/>
        </w:rPr>
        <w:t xml:space="preserve">a </w:t>
      </w:r>
      <w:r w:rsidR="00D70E3A">
        <w:rPr>
          <w:rFonts w:ascii="Garamond" w:hAnsi="Garamond" w:cs="Arial"/>
          <w:sz w:val="24"/>
          <w:szCs w:val="24"/>
        </w:rPr>
        <w:t xml:space="preserve">estas </w:t>
      </w:r>
      <w:r w:rsidRPr="003A1174">
        <w:rPr>
          <w:rFonts w:ascii="Garamond" w:hAnsi="Garamond" w:cs="Arial"/>
          <w:sz w:val="24"/>
          <w:szCs w:val="24"/>
        </w:rPr>
        <w:t>mulheres</w:t>
      </w:r>
      <w:r w:rsidR="00D94CD9">
        <w:rPr>
          <w:rFonts w:ascii="Garamond" w:hAnsi="Garamond" w:cs="Arial"/>
          <w:sz w:val="24"/>
          <w:szCs w:val="24"/>
        </w:rPr>
        <w:t>,</w:t>
      </w:r>
      <w:r w:rsidRPr="003A1174">
        <w:rPr>
          <w:rFonts w:ascii="Garamond" w:hAnsi="Garamond" w:cs="Arial"/>
          <w:sz w:val="24"/>
          <w:szCs w:val="24"/>
        </w:rPr>
        <w:t xml:space="preserve"> em situação de violência doméstica</w:t>
      </w:r>
      <w:r w:rsidR="00D94CD9">
        <w:rPr>
          <w:rFonts w:ascii="Garamond" w:hAnsi="Garamond" w:cs="Arial"/>
          <w:sz w:val="24"/>
          <w:szCs w:val="24"/>
        </w:rPr>
        <w:t>,</w:t>
      </w:r>
      <w:r w:rsidRPr="003A1174">
        <w:rPr>
          <w:rFonts w:ascii="Garamond" w:hAnsi="Garamond" w:cs="Arial"/>
          <w:sz w:val="24"/>
          <w:szCs w:val="24"/>
        </w:rPr>
        <w:t xml:space="preserve"> soluções habitacionais transitórias que consistem numa garantia de aluguer e um subsídio para o aluguer por um prazo de 2 anos. </w:t>
      </w:r>
    </w:p>
    <w:p w:rsidR="00955D60" w:rsidRPr="003A1174" w:rsidRDefault="005167E7" w:rsidP="005167E7">
      <w:pPr>
        <w:spacing w:before="240" w:line="240" w:lineRule="auto"/>
        <w:jc w:val="both"/>
        <w:rPr>
          <w:rFonts w:ascii="Garamond" w:hAnsi="Garamond" w:cs="Arial"/>
          <w:sz w:val="24"/>
          <w:szCs w:val="24"/>
        </w:rPr>
      </w:pPr>
      <w:r w:rsidRPr="003A1174">
        <w:rPr>
          <w:rFonts w:ascii="Garamond" w:hAnsi="Garamond" w:cs="Arial"/>
          <w:sz w:val="24"/>
          <w:szCs w:val="24"/>
        </w:rPr>
        <w:t xml:space="preserve">Relativamente </w:t>
      </w:r>
      <w:r w:rsidR="00BB2B00" w:rsidRPr="003A1174">
        <w:rPr>
          <w:rFonts w:ascii="Garamond" w:hAnsi="Garamond" w:cs="Arial"/>
          <w:sz w:val="24"/>
          <w:szCs w:val="24"/>
        </w:rPr>
        <w:t>à</w:t>
      </w:r>
      <w:r w:rsidR="00955D60" w:rsidRPr="003A1174">
        <w:rPr>
          <w:rFonts w:ascii="Garamond" w:hAnsi="Garamond" w:cs="Arial"/>
          <w:sz w:val="24"/>
          <w:szCs w:val="24"/>
        </w:rPr>
        <w:t xml:space="preserve"> </w:t>
      </w:r>
      <w:r w:rsidR="00201889" w:rsidRPr="003A1174">
        <w:rPr>
          <w:rFonts w:ascii="Garamond" w:hAnsi="Garamond" w:cs="Arial"/>
          <w:sz w:val="24"/>
          <w:szCs w:val="24"/>
        </w:rPr>
        <w:t>criação</w:t>
      </w:r>
      <w:r w:rsidR="00955D60" w:rsidRPr="003A1174">
        <w:rPr>
          <w:rFonts w:ascii="Garamond" w:hAnsi="Garamond" w:cs="Arial"/>
          <w:sz w:val="24"/>
          <w:szCs w:val="24"/>
        </w:rPr>
        <w:t xml:space="preserve"> de </w:t>
      </w:r>
      <w:r w:rsidR="00B936A7" w:rsidRPr="003A1174">
        <w:rPr>
          <w:rFonts w:ascii="Garamond" w:hAnsi="Garamond" w:cs="Arial"/>
          <w:sz w:val="24"/>
          <w:szCs w:val="24"/>
        </w:rPr>
        <w:t>abrigo</w:t>
      </w:r>
      <w:r w:rsidRPr="003A1174">
        <w:rPr>
          <w:rFonts w:ascii="Garamond" w:hAnsi="Garamond" w:cs="Arial"/>
          <w:sz w:val="24"/>
          <w:szCs w:val="24"/>
        </w:rPr>
        <w:t xml:space="preserve">s, </w:t>
      </w:r>
      <w:r w:rsidR="00955D60" w:rsidRPr="003A1174">
        <w:rPr>
          <w:rFonts w:ascii="Garamond" w:hAnsi="Garamond" w:cs="Arial"/>
          <w:sz w:val="24"/>
          <w:szCs w:val="24"/>
        </w:rPr>
        <w:t xml:space="preserve">a </w:t>
      </w:r>
      <w:r w:rsidRPr="003A1174">
        <w:rPr>
          <w:rFonts w:ascii="Garamond" w:hAnsi="Garamond" w:cs="Arial"/>
          <w:sz w:val="24"/>
          <w:szCs w:val="24"/>
        </w:rPr>
        <w:t xml:space="preserve">INDDHH destaca </w:t>
      </w:r>
      <w:r w:rsidR="00955D60" w:rsidRPr="003A1174">
        <w:rPr>
          <w:rFonts w:ascii="Garamond" w:hAnsi="Garamond" w:cs="Arial"/>
          <w:sz w:val="24"/>
          <w:szCs w:val="24"/>
        </w:rPr>
        <w:t xml:space="preserve">a </w:t>
      </w:r>
      <w:r w:rsidRPr="003A1174">
        <w:rPr>
          <w:rFonts w:ascii="Garamond" w:hAnsi="Garamond" w:cs="Arial"/>
          <w:sz w:val="24"/>
          <w:szCs w:val="24"/>
        </w:rPr>
        <w:t xml:space="preserve">melhoria </w:t>
      </w:r>
      <w:r w:rsidR="00A13226" w:rsidRPr="003A1174">
        <w:rPr>
          <w:rFonts w:ascii="Garamond" w:hAnsi="Garamond" w:cs="Arial"/>
          <w:sz w:val="24"/>
          <w:szCs w:val="24"/>
        </w:rPr>
        <w:t>sensível</w:t>
      </w:r>
      <w:r w:rsidRPr="003A1174">
        <w:rPr>
          <w:rFonts w:ascii="Garamond" w:hAnsi="Garamond" w:cs="Arial"/>
          <w:sz w:val="24"/>
          <w:szCs w:val="24"/>
        </w:rPr>
        <w:t xml:space="preserve"> nas </w:t>
      </w:r>
      <w:r w:rsidR="00955D60" w:rsidRPr="003A1174">
        <w:rPr>
          <w:rFonts w:ascii="Garamond" w:hAnsi="Garamond" w:cs="Arial"/>
          <w:sz w:val="24"/>
          <w:szCs w:val="24"/>
        </w:rPr>
        <w:t>políticas des</w:t>
      </w:r>
      <w:r w:rsidRPr="003A1174">
        <w:rPr>
          <w:rFonts w:ascii="Garamond" w:hAnsi="Garamond" w:cs="Arial"/>
          <w:sz w:val="24"/>
          <w:szCs w:val="24"/>
        </w:rPr>
        <w:t xml:space="preserve">envolvidas. Porém, </w:t>
      </w:r>
      <w:r w:rsidR="00955D60" w:rsidRPr="003A1174">
        <w:rPr>
          <w:rFonts w:ascii="Garamond" w:hAnsi="Garamond" w:cs="Arial"/>
          <w:sz w:val="24"/>
          <w:szCs w:val="24"/>
        </w:rPr>
        <w:t xml:space="preserve">a </w:t>
      </w:r>
      <w:r w:rsidR="00800D59" w:rsidRPr="003A1174">
        <w:rPr>
          <w:rFonts w:ascii="Garamond" w:hAnsi="Garamond" w:cs="Arial"/>
          <w:sz w:val="24"/>
          <w:szCs w:val="24"/>
        </w:rPr>
        <w:t>Instituição</w:t>
      </w:r>
      <w:r w:rsidR="00955D60" w:rsidRPr="003A1174">
        <w:rPr>
          <w:rFonts w:ascii="Garamond" w:hAnsi="Garamond" w:cs="Arial"/>
          <w:sz w:val="24"/>
          <w:szCs w:val="24"/>
        </w:rPr>
        <w:t xml:space="preserve"> </w:t>
      </w:r>
      <w:r w:rsidRPr="003A1174">
        <w:rPr>
          <w:rFonts w:ascii="Garamond" w:hAnsi="Garamond" w:cs="Arial"/>
          <w:sz w:val="24"/>
          <w:szCs w:val="24"/>
        </w:rPr>
        <w:t xml:space="preserve">tem </w:t>
      </w:r>
      <w:r w:rsidR="00955D60" w:rsidRPr="003A1174">
        <w:rPr>
          <w:rFonts w:ascii="Garamond" w:hAnsi="Garamond" w:cs="Arial"/>
          <w:sz w:val="24"/>
          <w:szCs w:val="24"/>
        </w:rPr>
        <w:t>rec</w:t>
      </w:r>
      <w:r w:rsidRPr="003A1174">
        <w:rPr>
          <w:rFonts w:ascii="Garamond" w:hAnsi="Garamond" w:cs="Arial"/>
          <w:sz w:val="24"/>
          <w:szCs w:val="24"/>
        </w:rPr>
        <w:t>e</w:t>
      </w:r>
      <w:r w:rsidR="00955D60" w:rsidRPr="003A1174">
        <w:rPr>
          <w:rFonts w:ascii="Garamond" w:hAnsi="Garamond" w:cs="Arial"/>
          <w:sz w:val="24"/>
          <w:szCs w:val="24"/>
        </w:rPr>
        <w:t xml:space="preserve">bido </w:t>
      </w:r>
      <w:r w:rsidR="00CD707D" w:rsidRPr="003A1174">
        <w:rPr>
          <w:rFonts w:ascii="Garamond" w:hAnsi="Garamond" w:cs="Arial"/>
          <w:sz w:val="24"/>
          <w:szCs w:val="24"/>
        </w:rPr>
        <w:t>alguma</w:t>
      </w:r>
      <w:r w:rsidR="00955D60" w:rsidRPr="003A1174">
        <w:rPr>
          <w:rFonts w:ascii="Garamond" w:hAnsi="Garamond" w:cs="Arial"/>
          <w:sz w:val="24"/>
          <w:szCs w:val="24"/>
        </w:rPr>
        <w:t xml:space="preserve">s </w:t>
      </w:r>
      <w:r w:rsidR="008651AF" w:rsidRPr="003A1174">
        <w:rPr>
          <w:rFonts w:ascii="Garamond" w:hAnsi="Garamond" w:cs="Arial"/>
          <w:sz w:val="24"/>
          <w:szCs w:val="24"/>
        </w:rPr>
        <w:t>denúncia</w:t>
      </w:r>
      <w:r w:rsidR="00955D60" w:rsidRPr="003A1174">
        <w:rPr>
          <w:rFonts w:ascii="Garamond" w:hAnsi="Garamond" w:cs="Arial"/>
          <w:sz w:val="24"/>
          <w:szCs w:val="24"/>
        </w:rPr>
        <w:t xml:space="preserve">s </w:t>
      </w:r>
      <w:r w:rsidR="00277F02" w:rsidRPr="003A1174">
        <w:rPr>
          <w:rFonts w:ascii="Garamond" w:hAnsi="Garamond" w:cs="Arial"/>
          <w:sz w:val="24"/>
          <w:szCs w:val="24"/>
        </w:rPr>
        <w:t>relativas a</w:t>
      </w:r>
      <w:r w:rsidR="00955D60" w:rsidRPr="003A1174">
        <w:rPr>
          <w:rFonts w:ascii="Garamond" w:hAnsi="Garamond" w:cs="Arial"/>
          <w:sz w:val="24"/>
          <w:szCs w:val="24"/>
        </w:rPr>
        <w:t xml:space="preserve"> problemas </w:t>
      </w:r>
      <w:r w:rsidRPr="003A1174">
        <w:rPr>
          <w:rFonts w:ascii="Garamond" w:hAnsi="Garamond" w:cs="Arial"/>
          <w:sz w:val="24"/>
          <w:szCs w:val="24"/>
        </w:rPr>
        <w:t xml:space="preserve">na </w:t>
      </w:r>
      <w:r w:rsidR="008278C4" w:rsidRPr="003A1174">
        <w:rPr>
          <w:rFonts w:ascii="Garamond" w:hAnsi="Garamond" w:cs="Arial"/>
          <w:sz w:val="24"/>
          <w:szCs w:val="24"/>
        </w:rPr>
        <w:t>qualidade</w:t>
      </w:r>
      <w:r w:rsidR="00955D60" w:rsidRPr="003A1174">
        <w:rPr>
          <w:rFonts w:ascii="Garamond" w:hAnsi="Garamond" w:cs="Arial"/>
          <w:sz w:val="24"/>
          <w:szCs w:val="24"/>
        </w:rPr>
        <w:t xml:space="preserve">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B531F2" w:rsidRPr="003A1174">
        <w:rPr>
          <w:rFonts w:ascii="Garamond" w:hAnsi="Garamond" w:cs="Arial"/>
          <w:sz w:val="24"/>
          <w:szCs w:val="24"/>
        </w:rPr>
        <w:t>serviço</w:t>
      </w:r>
      <w:r w:rsidR="00955D60" w:rsidRPr="003A1174">
        <w:rPr>
          <w:rFonts w:ascii="Garamond" w:hAnsi="Garamond" w:cs="Arial"/>
          <w:sz w:val="24"/>
          <w:szCs w:val="24"/>
        </w:rPr>
        <w:t xml:space="preserve">s </w:t>
      </w:r>
      <w:r w:rsidRPr="003A1174">
        <w:rPr>
          <w:rFonts w:ascii="Garamond" w:hAnsi="Garamond" w:cs="Arial"/>
          <w:sz w:val="24"/>
          <w:szCs w:val="24"/>
        </w:rPr>
        <w:t>prestados</w:t>
      </w:r>
      <w:r w:rsidR="00955D60" w:rsidRPr="003A1174">
        <w:rPr>
          <w:rFonts w:ascii="Garamond" w:hAnsi="Garamond" w:cs="Arial"/>
          <w:sz w:val="24"/>
          <w:szCs w:val="24"/>
        </w:rPr>
        <w:t>. E</w:t>
      </w:r>
      <w:r w:rsidRPr="003A1174">
        <w:rPr>
          <w:rFonts w:ascii="Garamond" w:hAnsi="Garamond" w:cs="Arial"/>
          <w:sz w:val="24"/>
          <w:szCs w:val="24"/>
        </w:rPr>
        <w:t>m</w:t>
      </w:r>
      <w:r w:rsidR="00955D60" w:rsidRPr="003A1174">
        <w:rPr>
          <w:rFonts w:ascii="Garamond" w:hAnsi="Garamond" w:cs="Arial"/>
          <w:sz w:val="24"/>
          <w:szCs w:val="24"/>
        </w:rPr>
        <w:t xml:space="preserve"> concreto, </w:t>
      </w:r>
      <w:r w:rsidR="0085607C">
        <w:rPr>
          <w:rFonts w:ascii="Garamond" w:hAnsi="Garamond" w:cs="Arial"/>
          <w:sz w:val="24"/>
          <w:szCs w:val="24"/>
        </w:rPr>
        <w:t xml:space="preserve">relativas </w:t>
      </w:r>
      <w:r w:rsidRPr="003A1174">
        <w:rPr>
          <w:rFonts w:ascii="Garamond" w:hAnsi="Garamond" w:cs="Arial"/>
          <w:sz w:val="24"/>
          <w:szCs w:val="24"/>
        </w:rPr>
        <w:t xml:space="preserve">ao </w:t>
      </w:r>
      <w:r w:rsidR="00FB09CA" w:rsidRPr="003A1174">
        <w:rPr>
          <w:rFonts w:ascii="Garamond" w:hAnsi="Garamond" w:cs="Arial"/>
          <w:sz w:val="24"/>
          <w:szCs w:val="24"/>
        </w:rPr>
        <w:t>funcionamento</w:t>
      </w:r>
      <w:r w:rsidR="00955D60" w:rsidRPr="003A1174">
        <w:rPr>
          <w:rFonts w:ascii="Garamond" w:hAnsi="Garamond" w:cs="Arial"/>
          <w:sz w:val="24"/>
          <w:szCs w:val="24"/>
        </w:rPr>
        <w:t xml:space="preserve"> de do</w:t>
      </w:r>
      <w:r w:rsidRPr="003A1174">
        <w:rPr>
          <w:rFonts w:ascii="Garamond" w:hAnsi="Garamond" w:cs="Arial"/>
          <w:sz w:val="24"/>
          <w:szCs w:val="24"/>
        </w:rPr>
        <w:t>i</w:t>
      </w:r>
      <w:r w:rsidR="00955D60" w:rsidRPr="003A1174">
        <w:rPr>
          <w:rFonts w:ascii="Garamond" w:hAnsi="Garamond" w:cs="Arial"/>
          <w:sz w:val="24"/>
          <w:szCs w:val="24"/>
        </w:rPr>
        <w:t xml:space="preserve">s </w:t>
      </w:r>
      <w:r w:rsidR="00497503" w:rsidRPr="003A1174">
        <w:rPr>
          <w:rFonts w:ascii="Garamond" w:hAnsi="Garamond" w:cs="Arial"/>
          <w:sz w:val="24"/>
          <w:szCs w:val="24"/>
        </w:rPr>
        <w:t>dos</w:t>
      </w:r>
      <w:r w:rsidR="00955D60" w:rsidRPr="003A1174">
        <w:rPr>
          <w:rFonts w:ascii="Garamond" w:hAnsi="Garamond" w:cs="Arial"/>
          <w:sz w:val="24"/>
          <w:szCs w:val="24"/>
        </w:rPr>
        <w:t xml:space="preserve"> cinco </w:t>
      </w:r>
      <w:r w:rsidR="00B936A7" w:rsidRPr="003A1174">
        <w:rPr>
          <w:rFonts w:ascii="Garamond" w:hAnsi="Garamond" w:cs="Arial"/>
          <w:sz w:val="24"/>
          <w:szCs w:val="24"/>
        </w:rPr>
        <w:t>abrigo</w:t>
      </w:r>
      <w:r w:rsidR="00955D60" w:rsidRPr="003A1174">
        <w:rPr>
          <w:rFonts w:ascii="Garamond" w:hAnsi="Garamond" w:cs="Arial"/>
          <w:sz w:val="24"/>
          <w:szCs w:val="24"/>
        </w:rPr>
        <w:t>s a cargo d</w:t>
      </w:r>
      <w:r w:rsidRPr="003A1174">
        <w:rPr>
          <w:rFonts w:ascii="Garamond" w:hAnsi="Garamond" w:cs="Arial"/>
          <w:sz w:val="24"/>
          <w:szCs w:val="24"/>
        </w:rPr>
        <w:t>a</w:t>
      </w:r>
      <w:r w:rsidR="00955D60" w:rsidRPr="003A1174">
        <w:rPr>
          <w:rFonts w:ascii="Garamond" w:hAnsi="Garamond" w:cs="Arial"/>
          <w:sz w:val="24"/>
          <w:szCs w:val="24"/>
        </w:rPr>
        <w:t xml:space="preserve"> INAU para </w:t>
      </w:r>
      <w:r w:rsidR="00964875" w:rsidRPr="003A1174">
        <w:rPr>
          <w:rFonts w:ascii="Garamond" w:hAnsi="Garamond" w:cs="Arial"/>
          <w:sz w:val="24"/>
          <w:szCs w:val="24"/>
        </w:rPr>
        <w:t>crianças</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adolescentes co</w:t>
      </w:r>
      <w:r w:rsidRPr="003A1174">
        <w:rPr>
          <w:rFonts w:ascii="Garamond" w:hAnsi="Garamond" w:cs="Arial"/>
          <w:sz w:val="24"/>
          <w:szCs w:val="24"/>
        </w:rPr>
        <w:t xml:space="preserve">m as </w:t>
      </w:r>
      <w:r w:rsidR="00955D60" w:rsidRPr="003A1174">
        <w:rPr>
          <w:rFonts w:ascii="Garamond" w:hAnsi="Garamond" w:cs="Arial"/>
          <w:sz w:val="24"/>
          <w:szCs w:val="24"/>
        </w:rPr>
        <w:t>s</w:t>
      </w:r>
      <w:r w:rsidRPr="003A1174">
        <w:rPr>
          <w:rFonts w:ascii="Garamond" w:hAnsi="Garamond" w:cs="Arial"/>
          <w:sz w:val="24"/>
          <w:szCs w:val="24"/>
        </w:rPr>
        <w:t>ua</w:t>
      </w:r>
      <w:r w:rsidR="00955D60" w:rsidRPr="003A1174">
        <w:rPr>
          <w:rFonts w:ascii="Garamond" w:hAnsi="Garamond" w:cs="Arial"/>
          <w:sz w:val="24"/>
          <w:szCs w:val="24"/>
        </w:rPr>
        <w:t xml:space="preserve">s </w:t>
      </w:r>
      <w:r w:rsidR="00955D60" w:rsidRPr="000E2CBA">
        <w:rPr>
          <w:rFonts w:ascii="Garamond" w:hAnsi="Garamond" w:cs="Arial"/>
          <w:sz w:val="24"/>
          <w:szCs w:val="24"/>
        </w:rPr>
        <w:t xml:space="preserve">referentes adultas, </w:t>
      </w:r>
      <w:r w:rsidRPr="000E2CBA">
        <w:rPr>
          <w:rFonts w:ascii="Garamond" w:hAnsi="Garamond" w:cs="Arial"/>
          <w:sz w:val="24"/>
          <w:szCs w:val="24"/>
        </w:rPr>
        <w:t xml:space="preserve">na </w:t>
      </w:r>
      <w:r w:rsidR="00233514" w:rsidRPr="000E2CBA">
        <w:rPr>
          <w:rFonts w:ascii="Garamond" w:hAnsi="Garamond" w:cs="Arial"/>
          <w:sz w:val="24"/>
          <w:szCs w:val="24"/>
        </w:rPr>
        <w:t>maioria</w:t>
      </w:r>
      <w:r w:rsidR="00955D60" w:rsidRPr="000E2CBA">
        <w:rPr>
          <w:rFonts w:ascii="Garamond" w:hAnsi="Garamond" w:cs="Arial"/>
          <w:sz w:val="24"/>
          <w:szCs w:val="24"/>
        </w:rPr>
        <w:t xml:space="preserve"> m</w:t>
      </w:r>
      <w:r w:rsidRPr="000E2CBA">
        <w:rPr>
          <w:rFonts w:ascii="Garamond" w:hAnsi="Garamond" w:cs="Arial"/>
          <w:sz w:val="24"/>
          <w:szCs w:val="24"/>
        </w:rPr>
        <w:t>ãe</w:t>
      </w:r>
      <w:r w:rsidR="000E2CBA" w:rsidRPr="000E2CBA">
        <w:rPr>
          <w:rFonts w:ascii="Garamond" w:hAnsi="Garamond" w:cs="Arial"/>
          <w:sz w:val="24"/>
          <w:szCs w:val="24"/>
        </w:rPr>
        <w:t>s</w:t>
      </w:r>
      <w:r w:rsidR="00955D60" w:rsidRPr="000E2CBA">
        <w:rPr>
          <w:rFonts w:ascii="Garamond" w:hAnsi="Garamond" w:cs="Arial"/>
          <w:sz w:val="24"/>
          <w:szCs w:val="24"/>
        </w:rPr>
        <w:t>,</w:t>
      </w:r>
      <w:r w:rsidR="00955D60" w:rsidRPr="003A1174">
        <w:rPr>
          <w:rFonts w:ascii="Garamond" w:hAnsi="Garamond" w:cs="Arial"/>
          <w:sz w:val="24"/>
          <w:szCs w:val="24"/>
        </w:rPr>
        <w:t xml:space="preserve"> que se </w:t>
      </w:r>
      <w:r w:rsidR="00F520D6" w:rsidRPr="003A1174">
        <w:rPr>
          <w:rFonts w:ascii="Garamond" w:hAnsi="Garamond" w:cs="Arial"/>
          <w:sz w:val="24"/>
          <w:szCs w:val="24"/>
        </w:rPr>
        <w:t>encontram</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17447A" w:rsidRPr="003A1174">
        <w:rPr>
          <w:rFonts w:ascii="Garamond" w:hAnsi="Garamond" w:cs="Arial"/>
          <w:sz w:val="24"/>
          <w:szCs w:val="24"/>
        </w:rPr>
        <w:t>situação</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familiar (113/2012 </w:t>
      </w:r>
      <w:r w:rsidR="000672E8" w:rsidRPr="003A1174">
        <w:rPr>
          <w:rFonts w:ascii="Garamond" w:hAnsi="Garamond" w:cs="Arial"/>
          <w:sz w:val="24"/>
          <w:szCs w:val="24"/>
        </w:rPr>
        <w:t>e</w:t>
      </w:r>
      <w:r w:rsidR="00955D60" w:rsidRPr="003A1174">
        <w:rPr>
          <w:rFonts w:ascii="Garamond" w:hAnsi="Garamond" w:cs="Arial"/>
          <w:sz w:val="24"/>
          <w:szCs w:val="24"/>
        </w:rPr>
        <w:t xml:space="preserve"> 281/2013).</w:t>
      </w:r>
    </w:p>
    <w:p w:rsidR="00955D60" w:rsidRPr="003A1174" w:rsidRDefault="005167E7" w:rsidP="008719D4">
      <w:pPr>
        <w:spacing w:before="240" w:line="240" w:lineRule="auto"/>
        <w:jc w:val="both"/>
        <w:rPr>
          <w:rFonts w:ascii="Garamond" w:hAnsi="Garamond" w:cs="Arial"/>
          <w:sz w:val="24"/>
          <w:szCs w:val="24"/>
        </w:rPr>
      </w:pPr>
      <w:r w:rsidRPr="003A1174">
        <w:rPr>
          <w:rFonts w:ascii="Garamond" w:hAnsi="Garamond" w:cs="Arial"/>
          <w:sz w:val="24"/>
          <w:szCs w:val="24"/>
        </w:rPr>
        <w:t>A</w:t>
      </w:r>
      <w:r w:rsidR="00955D60" w:rsidRPr="003A1174">
        <w:rPr>
          <w:rFonts w:ascii="Garamond" w:hAnsi="Garamond" w:cs="Arial"/>
          <w:sz w:val="24"/>
          <w:szCs w:val="24"/>
        </w:rPr>
        <w:t xml:space="preserve">s </w:t>
      </w:r>
      <w:r w:rsidR="008651AF" w:rsidRPr="003A1174">
        <w:rPr>
          <w:rFonts w:ascii="Garamond" w:hAnsi="Garamond" w:cs="Arial"/>
          <w:sz w:val="24"/>
          <w:szCs w:val="24"/>
        </w:rPr>
        <w:t>denúncia</w:t>
      </w:r>
      <w:r w:rsidR="00955D60" w:rsidRPr="003A1174">
        <w:rPr>
          <w:rFonts w:ascii="Garamond" w:hAnsi="Garamond" w:cs="Arial"/>
          <w:sz w:val="24"/>
          <w:szCs w:val="24"/>
        </w:rPr>
        <w:t xml:space="preserve">s </w:t>
      </w:r>
      <w:r w:rsidRPr="003A1174">
        <w:rPr>
          <w:rFonts w:ascii="Garamond" w:hAnsi="Garamond" w:cs="Arial"/>
          <w:sz w:val="24"/>
          <w:szCs w:val="24"/>
        </w:rPr>
        <w:t>apresentaram carência</w:t>
      </w:r>
      <w:r w:rsidR="00955D60" w:rsidRPr="003A1174">
        <w:rPr>
          <w:rFonts w:ascii="Garamond" w:hAnsi="Garamond" w:cs="Arial"/>
          <w:sz w:val="24"/>
          <w:szCs w:val="24"/>
        </w:rPr>
        <w:t>s</w:t>
      </w:r>
      <w:r w:rsidR="0085607C">
        <w:rPr>
          <w:rFonts w:ascii="Garamond" w:hAnsi="Garamond" w:cs="Arial"/>
          <w:sz w:val="24"/>
          <w:szCs w:val="24"/>
        </w:rPr>
        <w:t xml:space="preserve"> de espaço</w:t>
      </w:r>
      <w:r w:rsidR="00955D60" w:rsidRPr="003A1174">
        <w:rPr>
          <w:rFonts w:ascii="Garamond" w:hAnsi="Garamond" w:cs="Arial"/>
          <w:sz w:val="24"/>
          <w:szCs w:val="24"/>
        </w:rPr>
        <w:t>, escas</w:t>
      </w:r>
      <w:r w:rsidRPr="003A1174">
        <w:rPr>
          <w:rFonts w:ascii="Garamond" w:hAnsi="Garamond" w:cs="Arial"/>
          <w:sz w:val="24"/>
          <w:szCs w:val="24"/>
        </w:rPr>
        <w:t>s</w:t>
      </w:r>
      <w:r w:rsidR="00955D60" w:rsidRPr="003A1174">
        <w:rPr>
          <w:rFonts w:ascii="Garamond" w:hAnsi="Garamond" w:cs="Arial"/>
          <w:sz w:val="24"/>
          <w:szCs w:val="24"/>
        </w:rPr>
        <w:t>os o</w:t>
      </w:r>
      <w:r w:rsidRPr="003A1174">
        <w:rPr>
          <w:rFonts w:ascii="Garamond" w:hAnsi="Garamond" w:cs="Arial"/>
          <w:sz w:val="24"/>
          <w:szCs w:val="24"/>
        </w:rPr>
        <w:t xml:space="preserve">u quase </w:t>
      </w:r>
      <w:r w:rsidR="00955D60" w:rsidRPr="003A1174">
        <w:rPr>
          <w:rFonts w:ascii="Garamond" w:hAnsi="Garamond" w:cs="Arial"/>
          <w:sz w:val="24"/>
          <w:szCs w:val="24"/>
        </w:rPr>
        <w:t xml:space="preserve">nulos de </w:t>
      </w:r>
      <w:r w:rsidR="001657C4" w:rsidRPr="003A1174">
        <w:rPr>
          <w:rFonts w:ascii="Garamond" w:hAnsi="Garamond" w:cs="Arial"/>
          <w:sz w:val="24"/>
          <w:szCs w:val="24"/>
        </w:rPr>
        <w:t>contenção</w:t>
      </w:r>
      <w:r w:rsidRPr="003A1174">
        <w:rPr>
          <w:rFonts w:ascii="Garamond" w:hAnsi="Garamond" w:cs="Arial"/>
          <w:sz w:val="24"/>
          <w:szCs w:val="24"/>
        </w:rPr>
        <w:t xml:space="preserve"> individual para </w:t>
      </w:r>
      <w:r w:rsidR="00955D60" w:rsidRPr="003A1174">
        <w:rPr>
          <w:rFonts w:ascii="Garamond" w:hAnsi="Garamond" w:cs="Arial"/>
          <w:sz w:val="24"/>
          <w:szCs w:val="24"/>
        </w:rPr>
        <w:t xml:space="preserve">as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Pr="003A1174">
        <w:rPr>
          <w:rFonts w:ascii="Garamond" w:hAnsi="Garamond" w:cs="Arial"/>
          <w:sz w:val="24"/>
          <w:szCs w:val="24"/>
        </w:rPr>
        <w:t xml:space="preserve">crianças </w:t>
      </w:r>
      <w:r w:rsidR="000672E8" w:rsidRPr="003A1174">
        <w:rPr>
          <w:rFonts w:ascii="Garamond" w:hAnsi="Garamond" w:cs="Arial"/>
          <w:sz w:val="24"/>
          <w:szCs w:val="24"/>
        </w:rPr>
        <w:t>e</w:t>
      </w:r>
      <w:r w:rsidR="00955D60" w:rsidRPr="003A1174">
        <w:rPr>
          <w:rFonts w:ascii="Garamond" w:hAnsi="Garamond" w:cs="Arial"/>
          <w:sz w:val="24"/>
          <w:szCs w:val="24"/>
        </w:rPr>
        <w:t xml:space="preserve"> adolescentes que permita</w:t>
      </w:r>
      <w:r w:rsidRPr="003A1174">
        <w:rPr>
          <w:rFonts w:ascii="Garamond" w:hAnsi="Garamond" w:cs="Arial"/>
          <w:sz w:val="24"/>
          <w:szCs w:val="24"/>
        </w:rPr>
        <w:t>m</w:t>
      </w:r>
      <w:r w:rsidR="00955D60" w:rsidRPr="003A1174">
        <w:rPr>
          <w:rFonts w:ascii="Garamond" w:hAnsi="Garamond" w:cs="Arial"/>
          <w:sz w:val="24"/>
          <w:szCs w:val="24"/>
        </w:rPr>
        <w:t xml:space="preserve"> </w:t>
      </w:r>
      <w:r w:rsidR="001E380C">
        <w:rPr>
          <w:rFonts w:ascii="Garamond" w:hAnsi="Garamond" w:cs="Arial"/>
          <w:sz w:val="24"/>
          <w:szCs w:val="24"/>
        </w:rPr>
        <w:t xml:space="preserve">acompanhar </w:t>
      </w:r>
      <w:r w:rsidR="00955D60" w:rsidRPr="003A1174">
        <w:rPr>
          <w:rFonts w:ascii="Garamond" w:hAnsi="Garamond" w:cs="Arial"/>
          <w:sz w:val="24"/>
          <w:szCs w:val="24"/>
        </w:rPr>
        <w:t>as con</w:t>
      </w:r>
      <w:r w:rsidR="00661ADB" w:rsidRPr="003A1174">
        <w:rPr>
          <w:rFonts w:ascii="Garamond" w:hAnsi="Garamond" w:cs="Arial"/>
          <w:sz w:val="24"/>
          <w:szCs w:val="24"/>
        </w:rPr>
        <w:t>sequência</w:t>
      </w:r>
      <w:r w:rsidR="00955D60" w:rsidRPr="003A1174">
        <w:rPr>
          <w:rFonts w:ascii="Garamond" w:hAnsi="Garamond" w:cs="Arial"/>
          <w:sz w:val="24"/>
          <w:szCs w:val="24"/>
        </w:rPr>
        <w:t xml:space="preserve">s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7342D9" w:rsidRPr="003A1174">
        <w:rPr>
          <w:rFonts w:ascii="Garamond" w:hAnsi="Garamond" w:cs="Arial"/>
          <w:sz w:val="24"/>
          <w:szCs w:val="24"/>
        </w:rPr>
        <w:t>situações</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vividas, </w:t>
      </w:r>
      <w:r w:rsidR="000464C8" w:rsidRPr="003A1174">
        <w:rPr>
          <w:rFonts w:ascii="Garamond" w:hAnsi="Garamond" w:cs="Arial"/>
          <w:sz w:val="24"/>
          <w:szCs w:val="24"/>
        </w:rPr>
        <w:t>assim</w:t>
      </w:r>
      <w:r w:rsidR="00955D60" w:rsidRPr="003A1174">
        <w:rPr>
          <w:rFonts w:ascii="Garamond" w:hAnsi="Garamond" w:cs="Arial"/>
          <w:sz w:val="24"/>
          <w:szCs w:val="24"/>
        </w:rPr>
        <w:t xml:space="preserve"> como </w:t>
      </w:r>
      <w:r w:rsidR="009859FC" w:rsidRPr="003A1174">
        <w:rPr>
          <w:rFonts w:ascii="Garamond" w:hAnsi="Garamond" w:cs="Arial"/>
          <w:sz w:val="24"/>
          <w:szCs w:val="24"/>
        </w:rPr>
        <w:t>eventuais</w:t>
      </w:r>
      <w:r w:rsidR="00955D60" w:rsidRPr="003A1174">
        <w:rPr>
          <w:rFonts w:ascii="Garamond" w:hAnsi="Garamond" w:cs="Arial"/>
          <w:sz w:val="24"/>
          <w:szCs w:val="24"/>
        </w:rPr>
        <w:t xml:space="preserve"> </w:t>
      </w:r>
      <w:r w:rsidR="007342D9" w:rsidRPr="003A1174">
        <w:rPr>
          <w:rFonts w:ascii="Garamond" w:hAnsi="Garamond" w:cs="Arial"/>
          <w:sz w:val="24"/>
          <w:szCs w:val="24"/>
        </w:rPr>
        <w:t>situações</w:t>
      </w:r>
      <w:r w:rsidR="00955D60" w:rsidRPr="003A1174">
        <w:rPr>
          <w:rFonts w:ascii="Garamond" w:hAnsi="Garamond" w:cs="Arial"/>
          <w:sz w:val="24"/>
          <w:szCs w:val="24"/>
        </w:rPr>
        <w:t xml:space="preserve"> de re</w:t>
      </w:r>
      <w:r w:rsidR="00EE7406" w:rsidRPr="003A1174">
        <w:rPr>
          <w:rFonts w:ascii="Garamond" w:hAnsi="Garamond" w:cs="Arial"/>
          <w:sz w:val="24"/>
          <w:szCs w:val="24"/>
        </w:rPr>
        <w:t>vitimização</w:t>
      </w:r>
      <w:r w:rsidR="00955D60" w:rsidRPr="003A1174">
        <w:rPr>
          <w:rFonts w:ascii="Garamond" w:hAnsi="Garamond" w:cs="Arial"/>
          <w:sz w:val="24"/>
          <w:szCs w:val="24"/>
        </w:rPr>
        <w:t>. E</w:t>
      </w:r>
      <w:r w:rsidR="007A14AC" w:rsidRPr="003A1174">
        <w:rPr>
          <w:rFonts w:ascii="Garamond" w:hAnsi="Garamond" w:cs="Arial"/>
          <w:sz w:val="24"/>
          <w:szCs w:val="24"/>
        </w:rPr>
        <w:t>m</w:t>
      </w:r>
      <w:r w:rsidR="00955D60" w:rsidRPr="003A1174">
        <w:rPr>
          <w:rFonts w:ascii="Garamond" w:hAnsi="Garamond" w:cs="Arial"/>
          <w:sz w:val="24"/>
          <w:szCs w:val="24"/>
        </w:rPr>
        <w:t xml:space="preserve"> particular, </w:t>
      </w:r>
      <w:r w:rsidR="007A14AC" w:rsidRPr="003A1174">
        <w:rPr>
          <w:rFonts w:ascii="Garamond" w:hAnsi="Garamond" w:cs="Arial"/>
          <w:sz w:val="24"/>
          <w:szCs w:val="24"/>
        </w:rPr>
        <w:t xml:space="preserve">em um </w:t>
      </w:r>
      <w:r w:rsidR="00497503" w:rsidRPr="003A1174">
        <w:rPr>
          <w:rFonts w:ascii="Garamond" w:hAnsi="Garamond" w:cs="Arial"/>
          <w:sz w:val="24"/>
          <w:szCs w:val="24"/>
        </w:rPr>
        <w:t>dos</w:t>
      </w:r>
      <w:r w:rsidR="00955D60" w:rsidRPr="003A1174">
        <w:rPr>
          <w:rFonts w:ascii="Garamond" w:hAnsi="Garamond" w:cs="Arial"/>
          <w:sz w:val="24"/>
          <w:szCs w:val="24"/>
        </w:rPr>
        <w:t xml:space="preserve"> casos</w:t>
      </w:r>
      <w:r w:rsidR="0085607C">
        <w:rPr>
          <w:rFonts w:ascii="Garamond" w:hAnsi="Garamond" w:cs="Arial"/>
          <w:sz w:val="24"/>
          <w:szCs w:val="24"/>
        </w:rPr>
        <w:t>,</w:t>
      </w:r>
      <w:r w:rsidR="00955D60" w:rsidRPr="003A1174">
        <w:rPr>
          <w:rFonts w:ascii="Garamond" w:hAnsi="Garamond" w:cs="Arial"/>
          <w:sz w:val="24"/>
          <w:szCs w:val="24"/>
        </w:rPr>
        <w:t xml:space="preserve"> </w:t>
      </w:r>
      <w:r w:rsidR="007A14AC" w:rsidRPr="003A1174">
        <w:rPr>
          <w:rFonts w:ascii="Garamond" w:hAnsi="Garamond" w:cs="Arial"/>
          <w:sz w:val="24"/>
          <w:szCs w:val="24"/>
        </w:rPr>
        <w:t>recomendou-se o</w:t>
      </w:r>
      <w:r w:rsidR="00955D60" w:rsidRPr="003A1174">
        <w:rPr>
          <w:rFonts w:ascii="Garamond" w:hAnsi="Garamond" w:cs="Arial"/>
          <w:sz w:val="24"/>
          <w:szCs w:val="24"/>
        </w:rPr>
        <w:t xml:space="preserve"> </w:t>
      </w:r>
      <w:r w:rsidR="00D75A07" w:rsidRPr="003A1174">
        <w:rPr>
          <w:rFonts w:ascii="Garamond" w:hAnsi="Garamond" w:cs="Arial"/>
          <w:sz w:val="24"/>
          <w:szCs w:val="24"/>
        </w:rPr>
        <w:t>desenvolv</w:t>
      </w:r>
      <w:r w:rsidR="007A14AC" w:rsidRPr="003A1174">
        <w:rPr>
          <w:rFonts w:ascii="Garamond" w:hAnsi="Garamond" w:cs="Arial"/>
          <w:sz w:val="24"/>
          <w:szCs w:val="24"/>
        </w:rPr>
        <w:t xml:space="preserve">imento de um </w:t>
      </w:r>
      <w:r w:rsidR="00462B11" w:rsidRPr="003A1174">
        <w:rPr>
          <w:rFonts w:ascii="Garamond" w:hAnsi="Garamond" w:cs="Arial"/>
          <w:sz w:val="24"/>
          <w:szCs w:val="24"/>
        </w:rPr>
        <w:t>plano</w:t>
      </w:r>
      <w:r w:rsidR="00955D60" w:rsidRPr="003A1174">
        <w:rPr>
          <w:rFonts w:ascii="Garamond" w:hAnsi="Garamond" w:cs="Arial"/>
          <w:sz w:val="24"/>
          <w:szCs w:val="24"/>
        </w:rPr>
        <w:t xml:space="preserve"> de </w:t>
      </w:r>
      <w:r w:rsidR="00077461" w:rsidRPr="003A1174">
        <w:rPr>
          <w:rFonts w:ascii="Garamond" w:hAnsi="Garamond" w:cs="Arial"/>
          <w:sz w:val="24"/>
          <w:szCs w:val="24"/>
        </w:rPr>
        <w:t>ação</w:t>
      </w:r>
      <w:r w:rsidR="00955D60" w:rsidRPr="003A1174">
        <w:rPr>
          <w:rFonts w:ascii="Garamond" w:hAnsi="Garamond" w:cs="Arial"/>
          <w:sz w:val="24"/>
          <w:szCs w:val="24"/>
        </w:rPr>
        <w:t xml:space="preserve"> que permit</w:t>
      </w:r>
      <w:r w:rsidR="007A14AC" w:rsidRPr="003A1174">
        <w:rPr>
          <w:rFonts w:ascii="Garamond" w:hAnsi="Garamond" w:cs="Arial"/>
          <w:sz w:val="24"/>
          <w:szCs w:val="24"/>
        </w:rPr>
        <w:t xml:space="preserve">isse </w:t>
      </w:r>
      <w:r w:rsidR="00955D60" w:rsidRPr="003A1174">
        <w:rPr>
          <w:rFonts w:ascii="Garamond" w:hAnsi="Garamond" w:cs="Arial"/>
          <w:sz w:val="24"/>
          <w:szCs w:val="24"/>
        </w:rPr>
        <w:t>mante</w:t>
      </w:r>
      <w:r w:rsidR="007A14AC" w:rsidRPr="003A1174">
        <w:rPr>
          <w:rFonts w:ascii="Garamond" w:hAnsi="Garamond" w:cs="Arial"/>
          <w:sz w:val="24"/>
          <w:szCs w:val="24"/>
        </w:rPr>
        <w:t xml:space="preserve">r </w:t>
      </w:r>
      <w:r w:rsidR="00955D60" w:rsidRPr="003A1174">
        <w:rPr>
          <w:rFonts w:ascii="Garamond" w:hAnsi="Garamond" w:cs="Arial"/>
          <w:sz w:val="24"/>
          <w:szCs w:val="24"/>
        </w:rPr>
        <w:t xml:space="preserve">a </w:t>
      </w:r>
      <w:r w:rsidR="00FB09CA" w:rsidRPr="003A1174">
        <w:rPr>
          <w:rFonts w:ascii="Garamond" w:hAnsi="Garamond" w:cs="Arial"/>
          <w:sz w:val="24"/>
          <w:szCs w:val="24"/>
        </w:rPr>
        <w:t>atual</w:t>
      </w:r>
      <w:r w:rsidR="007A14AC" w:rsidRPr="003A1174">
        <w:rPr>
          <w:rFonts w:ascii="Garamond" w:hAnsi="Garamond" w:cs="Arial"/>
          <w:sz w:val="24"/>
          <w:szCs w:val="24"/>
        </w:rPr>
        <w:t xml:space="preserve"> cobertura, e iniciar </w:t>
      </w:r>
      <w:r w:rsidR="00955D60" w:rsidRPr="003A1174">
        <w:rPr>
          <w:rFonts w:ascii="Garamond" w:hAnsi="Garamond" w:cs="Arial"/>
          <w:sz w:val="24"/>
          <w:szCs w:val="24"/>
        </w:rPr>
        <w:t xml:space="preserve">os </w:t>
      </w:r>
      <w:r w:rsidR="003F012B" w:rsidRPr="003A1174">
        <w:rPr>
          <w:rFonts w:ascii="Garamond" w:hAnsi="Garamond" w:cs="Arial"/>
          <w:sz w:val="24"/>
          <w:szCs w:val="24"/>
        </w:rPr>
        <w:t>procedimentos</w:t>
      </w:r>
      <w:r w:rsidR="00955D60" w:rsidRPr="003A1174">
        <w:rPr>
          <w:rFonts w:ascii="Garamond" w:hAnsi="Garamond" w:cs="Arial"/>
          <w:sz w:val="24"/>
          <w:szCs w:val="24"/>
        </w:rPr>
        <w:t xml:space="preserve"> administrativos </w:t>
      </w:r>
      <w:r w:rsidR="00C30647" w:rsidRPr="003A1174">
        <w:rPr>
          <w:rFonts w:ascii="Garamond" w:hAnsi="Garamond" w:cs="Arial"/>
          <w:sz w:val="24"/>
          <w:szCs w:val="24"/>
        </w:rPr>
        <w:t>necessário</w:t>
      </w:r>
      <w:r w:rsidR="00955D60" w:rsidRPr="003A1174">
        <w:rPr>
          <w:rFonts w:ascii="Garamond" w:hAnsi="Garamond" w:cs="Arial"/>
          <w:sz w:val="24"/>
          <w:szCs w:val="24"/>
        </w:rPr>
        <w:t>s pa</w:t>
      </w:r>
      <w:r w:rsidR="007A14AC" w:rsidRPr="003A1174">
        <w:rPr>
          <w:rFonts w:ascii="Garamond" w:hAnsi="Garamond" w:cs="Arial"/>
          <w:sz w:val="24"/>
          <w:szCs w:val="24"/>
        </w:rPr>
        <w:t xml:space="preserve">ra </w:t>
      </w:r>
      <w:r w:rsidR="00955D60" w:rsidRPr="003A1174">
        <w:rPr>
          <w:rFonts w:ascii="Garamond" w:hAnsi="Garamond" w:cs="Arial"/>
          <w:sz w:val="24"/>
          <w:szCs w:val="24"/>
        </w:rPr>
        <w:t>a re</w:t>
      </w:r>
      <w:r w:rsidR="007A14AC" w:rsidRPr="003A1174">
        <w:rPr>
          <w:rFonts w:ascii="Garamond" w:hAnsi="Garamond" w:cs="Arial"/>
          <w:sz w:val="24"/>
          <w:szCs w:val="24"/>
        </w:rPr>
        <w:t>s</w:t>
      </w:r>
      <w:r w:rsidR="00955D60" w:rsidRPr="003A1174">
        <w:rPr>
          <w:rFonts w:ascii="Garamond" w:hAnsi="Garamond" w:cs="Arial"/>
          <w:sz w:val="24"/>
          <w:szCs w:val="24"/>
        </w:rPr>
        <w:t>cis</w:t>
      </w:r>
      <w:r w:rsidR="007A14AC" w:rsidRPr="003A1174">
        <w:rPr>
          <w:rFonts w:ascii="Garamond" w:hAnsi="Garamond" w:cs="Arial"/>
          <w:sz w:val="24"/>
          <w:szCs w:val="24"/>
        </w:rPr>
        <w:t xml:space="preserve">ão do acordo com </w:t>
      </w:r>
      <w:r w:rsidR="00955D60" w:rsidRPr="003A1174">
        <w:rPr>
          <w:rFonts w:ascii="Garamond" w:hAnsi="Garamond" w:cs="Arial"/>
          <w:sz w:val="24"/>
          <w:szCs w:val="24"/>
        </w:rPr>
        <w:t xml:space="preserve">a </w:t>
      </w:r>
      <w:r w:rsidR="008E7A2A" w:rsidRPr="003A1174">
        <w:rPr>
          <w:rFonts w:ascii="Garamond" w:hAnsi="Garamond" w:cs="Arial"/>
          <w:sz w:val="24"/>
          <w:szCs w:val="24"/>
        </w:rPr>
        <w:t>organização</w:t>
      </w:r>
      <w:r w:rsidR="00955D60" w:rsidRPr="003A1174">
        <w:rPr>
          <w:rFonts w:ascii="Garamond" w:hAnsi="Garamond" w:cs="Arial"/>
          <w:sz w:val="24"/>
          <w:szCs w:val="24"/>
        </w:rPr>
        <w:t xml:space="preserve"> </w:t>
      </w:r>
      <w:r w:rsidR="00FC1F7F" w:rsidRPr="003A1174">
        <w:rPr>
          <w:rFonts w:ascii="Garamond" w:hAnsi="Garamond" w:cs="Arial"/>
          <w:sz w:val="24"/>
          <w:szCs w:val="24"/>
        </w:rPr>
        <w:t>responsável</w:t>
      </w:r>
      <w:r w:rsidR="00955D60" w:rsidRPr="003A1174">
        <w:rPr>
          <w:rFonts w:ascii="Garamond" w:hAnsi="Garamond" w:cs="Arial"/>
          <w:sz w:val="24"/>
          <w:szCs w:val="24"/>
        </w:rPr>
        <w:t xml:space="preserve"> </w:t>
      </w:r>
      <w:r w:rsidR="007A14AC" w:rsidRPr="003A1174">
        <w:rPr>
          <w:rFonts w:ascii="Garamond" w:hAnsi="Garamond" w:cs="Arial"/>
          <w:sz w:val="24"/>
          <w:szCs w:val="24"/>
        </w:rPr>
        <w:t xml:space="preserve">pela </w:t>
      </w:r>
      <w:r w:rsidR="00D4575C" w:rsidRPr="003A1174">
        <w:rPr>
          <w:rFonts w:ascii="Garamond" w:hAnsi="Garamond" w:cs="Arial"/>
          <w:sz w:val="24"/>
          <w:szCs w:val="24"/>
        </w:rPr>
        <w:t>gestão</w:t>
      </w:r>
      <w:r w:rsidR="00955D60" w:rsidRPr="003A1174">
        <w:rPr>
          <w:rFonts w:ascii="Garamond" w:hAnsi="Garamond" w:cs="Arial"/>
          <w:sz w:val="24"/>
          <w:szCs w:val="24"/>
        </w:rPr>
        <w:t xml:space="preserve"> d</w:t>
      </w:r>
      <w:r w:rsidR="007A14AC" w:rsidRPr="003A1174">
        <w:rPr>
          <w:rFonts w:ascii="Garamond" w:hAnsi="Garamond" w:cs="Arial"/>
          <w:sz w:val="24"/>
          <w:szCs w:val="24"/>
        </w:rPr>
        <w:t>o referido</w:t>
      </w:r>
      <w:r w:rsidR="00955D60" w:rsidRPr="003A1174">
        <w:rPr>
          <w:rFonts w:ascii="Garamond" w:hAnsi="Garamond" w:cs="Arial"/>
          <w:sz w:val="24"/>
          <w:szCs w:val="24"/>
        </w:rPr>
        <w:t xml:space="preserve"> centro. A</w:t>
      </w:r>
      <w:r w:rsidR="007A14AC" w:rsidRPr="003A1174">
        <w:rPr>
          <w:rFonts w:ascii="Garamond" w:hAnsi="Garamond" w:cs="Arial"/>
          <w:sz w:val="24"/>
          <w:szCs w:val="24"/>
        </w:rPr>
        <w:t xml:space="preserve">té à </w:t>
      </w:r>
      <w:r w:rsidR="0074243F" w:rsidRPr="003A1174">
        <w:rPr>
          <w:rFonts w:ascii="Garamond" w:hAnsi="Garamond" w:cs="Arial"/>
          <w:sz w:val="24"/>
          <w:szCs w:val="24"/>
        </w:rPr>
        <w:t>data</w:t>
      </w:r>
      <w:r w:rsidR="00955D60" w:rsidRPr="003A1174">
        <w:rPr>
          <w:rFonts w:ascii="Garamond" w:hAnsi="Garamond" w:cs="Arial"/>
          <w:sz w:val="24"/>
          <w:szCs w:val="24"/>
        </w:rPr>
        <w:t xml:space="preserve"> </w:t>
      </w:r>
      <w:r w:rsidR="001E380C">
        <w:rPr>
          <w:rFonts w:ascii="Garamond" w:hAnsi="Garamond" w:cs="Arial"/>
          <w:sz w:val="24"/>
          <w:szCs w:val="24"/>
        </w:rPr>
        <w:t xml:space="preserve">da elaboração </w:t>
      </w:r>
      <w:r w:rsidR="00955D60" w:rsidRPr="003A1174">
        <w:rPr>
          <w:rFonts w:ascii="Garamond" w:hAnsi="Garamond" w:cs="Arial"/>
          <w:sz w:val="24"/>
          <w:szCs w:val="24"/>
        </w:rPr>
        <w:t xml:space="preserve">deste </w:t>
      </w:r>
      <w:r w:rsidR="009E3E55" w:rsidRPr="003A1174">
        <w:rPr>
          <w:rFonts w:ascii="Garamond" w:hAnsi="Garamond" w:cs="Arial"/>
          <w:sz w:val="24"/>
          <w:szCs w:val="24"/>
        </w:rPr>
        <w:t>relatório</w:t>
      </w:r>
      <w:r w:rsidR="007A14AC" w:rsidRPr="003A1174">
        <w:rPr>
          <w:rFonts w:ascii="Garamond" w:hAnsi="Garamond" w:cs="Arial"/>
          <w:sz w:val="24"/>
          <w:szCs w:val="24"/>
        </w:rPr>
        <w:t xml:space="preserve">, </w:t>
      </w:r>
      <w:r w:rsidR="00955D60" w:rsidRPr="003A1174">
        <w:rPr>
          <w:rFonts w:ascii="Garamond" w:hAnsi="Garamond" w:cs="Arial"/>
          <w:sz w:val="24"/>
          <w:szCs w:val="24"/>
        </w:rPr>
        <w:t xml:space="preserve">a </w:t>
      </w:r>
      <w:r w:rsidR="00C965B4" w:rsidRPr="003A1174">
        <w:rPr>
          <w:rFonts w:ascii="Garamond" w:hAnsi="Garamond" w:cs="Arial"/>
          <w:sz w:val="24"/>
          <w:szCs w:val="24"/>
        </w:rPr>
        <w:t>recomendação</w:t>
      </w:r>
      <w:r w:rsidR="00955D60" w:rsidRPr="003A1174">
        <w:rPr>
          <w:rFonts w:ascii="Garamond" w:hAnsi="Garamond" w:cs="Arial"/>
          <w:sz w:val="24"/>
          <w:szCs w:val="24"/>
        </w:rPr>
        <w:t xml:space="preserve"> n</w:t>
      </w:r>
      <w:r w:rsidR="007A14AC" w:rsidRPr="003A1174">
        <w:rPr>
          <w:rFonts w:ascii="Garamond" w:hAnsi="Garamond" w:cs="Arial"/>
          <w:sz w:val="24"/>
          <w:szCs w:val="24"/>
        </w:rPr>
        <w:t>ã</w:t>
      </w:r>
      <w:r w:rsidR="00955D60" w:rsidRPr="003A1174">
        <w:rPr>
          <w:rFonts w:ascii="Garamond" w:hAnsi="Garamond" w:cs="Arial"/>
          <w:sz w:val="24"/>
          <w:szCs w:val="24"/>
        </w:rPr>
        <w:t xml:space="preserve">o </w:t>
      </w:r>
      <w:r w:rsidR="007A14AC" w:rsidRPr="003A1174">
        <w:rPr>
          <w:rFonts w:ascii="Garamond" w:hAnsi="Garamond" w:cs="Arial"/>
          <w:sz w:val="24"/>
          <w:szCs w:val="24"/>
        </w:rPr>
        <w:t>foi cumpr</w:t>
      </w:r>
      <w:r w:rsidR="00955D60" w:rsidRPr="003A1174">
        <w:rPr>
          <w:rFonts w:ascii="Garamond" w:hAnsi="Garamond" w:cs="Arial"/>
          <w:sz w:val="24"/>
          <w:szCs w:val="24"/>
        </w:rPr>
        <w:t>ida; a</w:t>
      </w:r>
      <w:r w:rsidR="007A14AC" w:rsidRPr="003A1174">
        <w:rPr>
          <w:rFonts w:ascii="Garamond" w:hAnsi="Garamond" w:cs="Arial"/>
          <w:sz w:val="24"/>
          <w:szCs w:val="24"/>
        </w:rPr>
        <w:t xml:space="preserve"> esse </w:t>
      </w:r>
      <w:r w:rsidR="001F2F8B" w:rsidRPr="003A1174">
        <w:rPr>
          <w:rFonts w:ascii="Garamond" w:hAnsi="Garamond" w:cs="Arial"/>
          <w:sz w:val="24"/>
          <w:szCs w:val="24"/>
        </w:rPr>
        <w:t>respeito</w:t>
      </w:r>
      <w:r w:rsidR="00955D60" w:rsidRPr="003A1174">
        <w:rPr>
          <w:rFonts w:ascii="Garamond" w:hAnsi="Garamond" w:cs="Arial"/>
          <w:sz w:val="24"/>
          <w:szCs w:val="24"/>
        </w:rPr>
        <w:t xml:space="preserve">, </w:t>
      </w:r>
      <w:r w:rsidR="0085607C">
        <w:rPr>
          <w:rFonts w:ascii="Garamond" w:hAnsi="Garamond" w:cs="Arial"/>
          <w:sz w:val="24"/>
          <w:szCs w:val="24"/>
        </w:rPr>
        <w:t>disponibilizar</w:t>
      </w:r>
      <w:r w:rsidR="007A14AC" w:rsidRPr="003A1174">
        <w:rPr>
          <w:rFonts w:ascii="Garamond" w:hAnsi="Garamond" w:cs="Arial"/>
          <w:sz w:val="24"/>
          <w:szCs w:val="24"/>
        </w:rPr>
        <w:t>-se-</w:t>
      </w:r>
      <w:r w:rsidR="00955D60" w:rsidRPr="003A1174">
        <w:rPr>
          <w:rFonts w:ascii="Garamond" w:hAnsi="Garamond" w:cs="Arial"/>
          <w:sz w:val="24"/>
          <w:szCs w:val="24"/>
        </w:rPr>
        <w:t xml:space="preserve">á </w:t>
      </w:r>
      <w:r w:rsidR="00BA21ED" w:rsidRPr="003A1174">
        <w:rPr>
          <w:rFonts w:ascii="Garamond" w:hAnsi="Garamond" w:cs="Arial"/>
          <w:sz w:val="24"/>
          <w:szCs w:val="24"/>
        </w:rPr>
        <w:t>mais</w:t>
      </w:r>
      <w:r w:rsidR="00955D60" w:rsidRPr="003A1174">
        <w:rPr>
          <w:rFonts w:ascii="Garamond" w:hAnsi="Garamond" w:cs="Arial"/>
          <w:sz w:val="24"/>
          <w:szCs w:val="24"/>
        </w:rPr>
        <w:t xml:space="preserve"> </w:t>
      </w:r>
      <w:r w:rsidR="0017447A" w:rsidRPr="003A1174">
        <w:rPr>
          <w:rFonts w:ascii="Garamond" w:hAnsi="Garamond" w:cs="Arial"/>
          <w:sz w:val="24"/>
          <w:szCs w:val="24"/>
        </w:rPr>
        <w:t>informação</w:t>
      </w:r>
      <w:r w:rsidR="00955D60" w:rsidRPr="003A1174">
        <w:rPr>
          <w:rFonts w:ascii="Garamond" w:hAnsi="Garamond" w:cs="Arial"/>
          <w:sz w:val="24"/>
          <w:szCs w:val="24"/>
        </w:rPr>
        <w:t xml:space="preserve"> </w:t>
      </w:r>
      <w:r w:rsidR="0085607C">
        <w:rPr>
          <w:rFonts w:ascii="Garamond" w:hAnsi="Garamond" w:cs="Arial"/>
          <w:sz w:val="24"/>
          <w:szCs w:val="24"/>
        </w:rPr>
        <w:t xml:space="preserve">no que respeita </w:t>
      </w:r>
      <w:r w:rsidR="00BB2B00" w:rsidRPr="003A1174">
        <w:rPr>
          <w:rFonts w:ascii="Garamond" w:hAnsi="Garamond" w:cs="Arial"/>
          <w:sz w:val="24"/>
          <w:szCs w:val="24"/>
        </w:rPr>
        <w:t>à</w:t>
      </w:r>
      <w:r w:rsidR="00277F02" w:rsidRPr="003A1174">
        <w:rPr>
          <w:rFonts w:ascii="Garamond" w:hAnsi="Garamond" w:cs="Arial"/>
          <w:sz w:val="24"/>
          <w:szCs w:val="24"/>
        </w:rPr>
        <w:t>s</w:t>
      </w:r>
      <w:r w:rsidR="00955D60" w:rsidRPr="003A1174">
        <w:rPr>
          <w:rFonts w:ascii="Garamond" w:hAnsi="Garamond" w:cs="Arial"/>
          <w:sz w:val="24"/>
          <w:szCs w:val="24"/>
        </w:rPr>
        <w:t xml:space="preserve"> </w:t>
      </w:r>
      <w:r w:rsidR="00175015" w:rsidRPr="003A1174">
        <w:rPr>
          <w:rFonts w:ascii="Garamond" w:hAnsi="Garamond" w:cs="Arial"/>
          <w:sz w:val="24"/>
          <w:szCs w:val="24"/>
        </w:rPr>
        <w:t>Resoluções</w:t>
      </w:r>
      <w:r w:rsidR="00955D60" w:rsidRPr="003A1174">
        <w:rPr>
          <w:rFonts w:ascii="Garamond" w:hAnsi="Garamond" w:cs="Arial"/>
          <w:sz w:val="24"/>
          <w:szCs w:val="24"/>
        </w:rPr>
        <w:t>.</w:t>
      </w:r>
    </w:p>
    <w:p w:rsidR="00955D60" w:rsidRPr="003A1174" w:rsidRDefault="00077461" w:rsidP="008719D4">
      <w:pPr>
        <w:pStyle w:val="Ttulo4"/>
        <w:spacing w:line="240" w:lineRule="auto"/>
        <w:rPr>
          <w:rFonts w:ascii="Garamond" w:hAnsi="Garamond"/>
          <w:sz w:val="24"/>
          <w:szCs w:val="24"/>
        </w:rPr>
      </w:pPr>
      <w:r w:rsidRPr="003A1174">
        <w:rPr>
          <w:rFonts w:ascii="Garamond" w:hAnsi="Garamond"/>
          <w:sz w:val="24"/>
          <w:szCs w:val="24"/>
        </w:rPr>
        <w:lastRenderedPageBreak/>
        <w:t>Registo</w:t>
      </w:r>
      <w:r w:rsidR="00955D60" w:rsidRPr="003A1174">
        <w:rPr>
          <w:rFonts w:ascii="Garamond" w:hAnsi="Garamond"/>
          <w:sz w:val="24"/>
          <w:szCs w:val="24"/>
        </w:rPr>
        <w:t xml:space="preserve"> de </w:t>
      </w:r>
      <w:r w:rsidR="0017447A" w:rsidRPr="003A1174">
        <w:rPr>
          <w:rFonts w:ascii="Garamond" w:hAnsi="Garamond"/>
          <w:sz w:val="24"/>
          <w:szCs w:val="24"/>
        </w:rPr>
        <w:t>informação</w:t>
      </w:r>
    </w:p>
    <w:p w:rsidR="00955D60" w:rsidRPr="003A1174" w:rsidRDefault="007A14AC"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que se refere a </w:t>
      </w:r>
      <w:r w:rsidR="00955D60" w:rsidRPr="003A1174">
        <w:rPr>
          <w:rFonts w:ascii="Garamond" w:hAnsi="Garamond" w:cs="Arial"/>
          <w:sz w:val="24"/>
          <w:szCs w:val="24"/>
        </w:rPr>
        <w:t>e</w:t>
      </w:r>
      <w:r w:rsidRPr="003A1174">
        <w:rPr>
          <w:rFonts w:ascii="Garamond" w:hAnsi="Garamond" w:cs="Arial"/>
          <w:sz w:val="24"/>
          <w:szCs w:val="24"/>
        </w:rPr>
        <w:t>s</w:t>
      </w:r>
      <w:r w:rsidR="00EB05B3">
        <w:rPr>
          <w:rFonts w:ascii="Garamond" w:hAnsi="Garamond" w:cs="Arial"/>
          <w:sz w:val="24"/>
          <w:szCs w:val="24"/>
        </w:rPr>
        <w:t>t</w:t>
      </w:r>
      <w:r w:rsidR="00955D60" w:rsidRPr="003A1174">
        <w:rPr>
          <w:rFonts w:ascii="Garamond" w:hAnsi="Garamond" w:cs="Arial"/>
          <w:sz w:val="24"/>
          <w:szCs w:val="24"/>
        </w:rPr>
        <w:t xml:space="preserve">e tema, </w:t>
      </w:r>
      <w:r w:rsidRPr="003A1174">
        <w:rPr>
          <w:rFonts w:ascii="Garamond" w:hAnsi="Garamond" w:cs="Arial"/>
          <w:sz w:val="24"/>
          <w:szCs w:val="24"/>
        </w:rPr>
        <w:t xml:space="preserve">é importante salientar </w:t>
      </w:r>
      <w:r w:rsidR="00955D60" w:rsidRPr="003A1174">
        <w:rPr>
          <w:rFonts w:ascii="Garamond" w:hAnsi="Garamond" w:cs="Arial"/>
          <w:sz w:val="24"/>
          <w:szCs w:val="24"/>
        </w:rPr>
        <w:t xml:space="preserve">que existe </w:t>
      </w:r>
      <w:r w:rsidRPr="003A1174">
        <w:rPr>
          <w:rFonts w:ascii="Garamond" w:hAnsi="Garamond" w:cs="Arial"/>
          <w:sz w:val="24"/>
          <w:szCs w:val="24"/>
        </w:rPr>
        <w:t xml:space="preserve">o </w:t>
      </w:r>
      <w:r w:rsidR="00175015" w:rsidRPr="003A1174">
        <w:rPr>
          <w:rFonts w:ascii="Garamond" w:hAnsi="Garamond" w:cs="Arial"/>
          <w:sz w:val="24"/>
          <w:szCs w:val="24"/>
        </w:rPr>
        <w:t>Observatório</w:t>
      </w:r>
      <w:r w:rsidR="00955D60" w:rsidRPr="003A1174">
        <w:rPr>
          <w:rFonts w:ascii="Garamond" w:hAnsi="Garamond" w:cs="Arial"/>
          <w:sz w:val="24"/>
          <w:szCs w:val="24"/>
        </w:rPr>
        <w:t xml:space="preserve"> Nacional sobre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Criminalidad</w:t>
      </w:r>
      <w:r w:rsidRPr="003A1174">
        <w:rPr>
          <w:rFonts w:ascii="Garamond" w:hAnsi="Garamond" w:cs="Arial"/>
          <w:sz w:val="24"/>
          <w:szCs w:val="24"/>
        </w:rPr>
        <w:t>e</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D77C19" w:rsidRPr="003A1174">
        <w:rPr>
          <w:rFonts w:ascii="Garamond" w:hAnsi="Garamond" w:cs="Arial"/>
          <w:sz w:val="24"/>
          <w:szCs w:val="24"/>
        </w:rPr>
        <w:t>Ministério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Interior-</w:t>
      </w:r>
      <w:r w:rsidR="00C30647" w:rsidRPr="003A1174">
        <w:rPr>
          <w:rFonts w:ascii="Garamond" w:hAnsi="Garamond" w:cs="Arial"/>
          <w:sz w:val="24"/>
          <w:szCs w:val="24"/>
        </w:rPr>
        <w:t>Uruguai</w:t>
      </w:r>
      <w:r w:rsidR="00955D60" w:rsidRPr="003A1174">
        <w:rPr>
          <w:rFonts w:ascii="Garamond" w:hAnsi="Garamond" w:cs="Arial"/>
          <w:sz w:val="24"/>
          <w:szCs w:val="24"/>
        </w:rPr>
        <w:t>,</w:t>
      </w:r>
      <w:r w:rsidR="00277F02" w:rsidRPr="003A1174">
        <w:rPr>
          <w:rFonts w:ascii="Garamond" w:hAnsi="Garamond" w:cs="Arial"/>
          <w:sz w:val="24"/>
          <w:szCs w:val="24"/>
        </w:rPr>
        <w:t xml:space="preserve"> </w:t>
      </w:r>
      <w:r w:rsidRPr="003A1174">
        <w:rPr>
          <w:rFonts w:ascii="Garamond" w:hAnsi="Garamond" w:cs="Arial"/>
          <w:sz w:val="24"/>
          <w:szCs w:val="24"/>
        </w:rPr>
        <w:t>cuj</w:t>
      </w:r>
      <w:r w:rsidR="00955D60" w:rsidRPr="003A1174">
        <w:rPr>
          <w:rFonts w:ascii="Garamond" w:hAnsi="Garamond" w:cs="Arial"/>
          <w:sz w:val="24"/>
          <w:szCs w:val="24"/>
        </w:rPr>
        <w:t xml:space="preserve">o </w:t>
      </w:r>
      <w:r w:rsidR="009E3E55" w:rsidRPr="003A1174">
        <w:rPr>
          <w:rFonts w:ascii="Garamond" w:hAnsi="Garamond" w:cs="Arial"/>
          <w:sz w:val="24"/>
          <w:szCs w:val="24"/>
        </w:rPr>
        <w:t>relatório</w:t>
      </w:r>
      <w:r w:rsidR="00955D60" w:rsidRPr="003A1174">
        <w:rPr>
          <w:rFonts w:ascii="Garamond" w:hAnsi="Garamond" w:cs="Arial"/>
          <w:sz w:val="24"/>
          <w:szCs w:val="24"/>
        </w:rPr>
        <w:t xml:space="preserve"> anual</w:t>
      </w:r>
      <w:r w:rsidR="00EB05B3">
        <w:rPr>
          <w:rFonts w:ascii="Garamond" w:hAnsi="Garamond" w:cs="Arial"/>
          <w:sz w:val="24"/>
          <w:szCs w:val="24"/>
        </w:rPr>
        <w:t>,</w:t>
      </w:r>
      <w:r w:rsidR="00955D60" w:rsidRPr="003A1174">
        <w:rPr>
          <w:rFonts w:ascii="Garamond" w:hAnsi="Garamond" w:cs="Arial"/>
          <w:sz w:val="24"/>
          <w:szCs w:val="24"/>
        </w:rPr>
        <w:t xml:space="preserve"> </w:t>
      </w:r>
      <w:r w:rsidR="009E3E55" w:rsidRPr="003A1174">
        <w:rPr>
          <w:rFonts w:ascii="Garamond" w:hAnsi="Garamond" w:cs="Arial"/>
          <w:sz w:val="24"/>
          <w:szCs w:val="24"/>
        </w:rPr>
        <w:t>novembro</w:t>
      </w:r>
      <w:r w:rsidR="00955D60" w:rsidRPr="003A1174">
        <w:rPr>
          <w:rFonts w:ascii="Garamond" w:hAnsi="Garamond" w:cs="Arial"/>
          <w:sz w:val="24"/>
          <w:szCs w:val="24"/>
        </w:rPr>
        <w:t xml:space="preserve"> 2012</w:t>
      </w:r>
      <w:r w:rsidRPr="003A1174">
        <w:rPr>
          <w:rFonts w:ascii="Garamond" w:hAnsi="Garamond" w:cs="Arial"/>
          <w:sz w:val="24"/>
          <w:szCs w:val="24"/>
        </w:rPr>
        <w:t xml:space="preserve"> </w:t>
      </w:r>
      <w:r w:rsidR="00955D60" w:rsidRPr="003A1174">
        <w:rPr>
          <w:rFonts w:ascii="Garamond" w:hAnsi="Garamond" w:cs="Arial"/>
          <w:sz w:val="24"/>
          <w:szCs w:val="24"/>
        </w:rPr>
        <w:t xml:space="preserve">- </w:t>
      </w:r>
      <w:r w:rsidR="00374785" w:rsidRPr="003A1174">
        <w:rPr>
          <w:rFonts w:ascii="Garamond" w:hAnsi="Garamond" w:cs="Arial"/>
          <w:sz w:val="24"/>
          <w:szCs w:val="24"/>
        </w:rPr>
        <w:t>outubro</w:t>
      </w:r>
      <w:r w:rsidR="00955D60" w:rsidRPr="003A1174">
        <w:rPr>
          <w:rFonts w:ascii="Garamond" w:hAnsi="Garamond" w:cs="Arial"/>
          <w:sz w:val="24"/>
          <w:szCs w:val="24"/>
        </w:rPr>
        <w:t xml:space="preserve"> 2013 </w:t>
      </w:r>
      <w:r w:rsidR="0046438C">
        <w:rPr>
          <w:rFonts w:ascii="Garamond" w:hAnsi="Garamond" w:cs="Arial"/>
          <w:sz w:val="24"/>
          <w:szCs w:val="24"/>
        </w:rPr>
        <w:t xml:space="preserve">divulga, </w:t>
      </w:r>
      <w:r w:rsidRPr="003A1174">
        <w:rPr>
          <w:rFonts w:ascii="Garamond" w:hAnsi="Garamond" w:cs="Arial"/>
          <w:sz w:val="24"/>
          <w:szCs w:val="24"/>
        </w:rPr>
        <w:t>n</w:t>
      </w:r>
      <w:r w:rsidR="00955D60" w:rsidRPr="003A1174">
        <w:rPr>
          <w:rFonts w:ascii="Garamond" w:hAnsi="Garamond" w:cs="Arial"/>
          <w:sz w:val="24"/>
          <w:szCs w:val="24"/>
        </w:rPr>
        <w:t xml:space="preserve">a </w:t>
      </w:r>
      <w:r w:rsidR="0017447A" w:rsidRPr="003A1174">
        <w:rPr>
          <w:rFonts w:ascii="Garamond" w:hAnsi="Garamond" w:cs="Arial"/>
          <w:sz w:val="24"/>
          <w:szCs w:val="24"/>
        </w:rPr>
        <w:t>informação</w:t>
      </w:r>
      <w:r w:rsidR="00955D60" w:rsidRPr="003A1174">
        <w:rPr>
          <w:rFonts w:ascii="Garamond" w:hAnsi="Garamond" w:cs="Arial"/>
          <w:sz w:val="24"/>
          <w:szCs w:val="24"/>
        </w:rPr>
        <w:t xml:space="preserve"> sobre </w:t>
      </w:r>
      <w:r w:rsidR="009A0CC2" w:rsidRPr="003A1174">
        <w:rPr>
          <w:rFonts w:ascii="Garamond" w:hAnsi="Garamond" w:cs="Arial"/>
          <w:sz w:val="24"/>
          <w:szCs w:val="24"/>
        </w:rPr>
        <w:t>homicídio</w:t>
      </w:r>
      <w:r w:rsidR="00955D60" w:rsidRPr="003A1174">
        <w:rPr>
          <w:rFonts w:ascii="Garamond" w:hAnsi="Garamond" w:cs="Arial"/>
          <w:sz w:val="24"/>
          <w:szCs w:val="24"/>
        </w:rPr>
        <w:t xml:space="preserve">s de </w:t>
      </w:r>
      <w:r w:rsidR="00054EE0" w:rsidRPr="003A1174">
        <w:rPr>
          <w:rFonts w:ascii="Garamond" w:hAnsi="Garamond" w:cs="Arial"/>
          <w:sz w:val="24"/>
          <w:szCs w:val="24"/>
        </w:rPr>
        <w:t>mulheres</w:t>
      </w:r>
      <w:r w:rsidR="00955D60" w:rsidRPr="003A1174">
        <w:rPr>
          <w:rFonts w:ascii="Garamond" w:hAnsi="Garamond" w:cs="Arial"/>
          <w:sz w:val="24"/>
          <w:szCs w:val="24"/>
        </w:rPr>
        <w:t xml:space="preserve"> por </w:t>
      </w:r>
      <w:r w:rsidR="000350B1" w:rsidRPr="003A1174">
        <w:rPr>
          <w:rFonts w:ascii="Garamond" w:hAnsi="Garamond" w:cs="Arial"/>
          <w:sz w:val="24"/>
          <w:szCs w:val="24"/>
        </w:rPr>
        <w:t>violência</w:t>
      </w:r>
      <w:r w:rsidR="00955D60" w:rsidRPr="003A1174">
        <w:rPr>
          <w:rFonts w:ascii="Garamond" w:hAnsi="Garamond" w:cs="Arial"/>
          <w:sz w:val="24"/>
          <w:szCs w:val="24"/>
        </w:rPr>
        <w:t xml:space="preserve"> doméstica</w:t>
      </w:r>
      <w:r w:rsidR="0046438C">
        <w:rPr>
          <w:rFonts w:ascii="Garamond" w:hAnsi="Garamond" w:cs="Arial"/>
          <w:sz w:val="24"/>
          <w:szCs w:val="24"/>
        </w:rPr>
        <w:t>,</w:t>
      </w:r>
      <w:r w:rsidR="00955D60" w:rsidRPr="003A1174">
        <w:rPr>
          <w:rFonts w:ascii="Garamond" w:hAnsi="Garamond" w:cs="Arial"/>
          <w:sz w:val="24"/>
          <w:szCs w:val="24"/>
        </w:rPr>
        <w:t xml:space="preserve"> </w:t>
      </w:r>
      <w:r w:rsidR="0046438C">
        <w:rPr>
          <w:rFonts w:ascii="Garamond" w:hAnsi="Garamond" w:cs="Arial"/>
          <w:sz w:val="24"/>
          <w:szCs w:val="24"/>
        </w:rPr>
        <w:t>dados</w:t>
      </w:r>
      <w:r w:rsidR="00B5168A">
        <w:rPr>
          <w:rFonts w:ascii="Garamond" w:hAnsi="Garamond" w:cs="Arial"/>
          <w:sz w:val="24"/>
          <w:szCs w:val="24"/>
        </w:rPr>
        <w:t xml:space="preserve"> </w:t>
      </w:r>
      <w:r w:rsidR="00277F02" w:rsidRPr="003A1174">
        <w:rPr>
          <w:rFonts w:ascii="Garamond" w:hAnsi="Garamond" w:cs="Arial"/>
          <w:sz w:val="24"/>
          <w:szCs w:val="24"/>
        </w:rPr>
        <w:t>relativ</w:t>
      </w:r>
      <w:r w:rsidR="0046438C">
        <w:rPr>
          <w:rFonts w:ascii="Garamond" w:hAnsi="Garamond" w:cs="Arial"/>
          <w:sz w:val="24"/>
          <w:szCs w:val="24"/>
        </w:rPr>
        <w:t>o</w:t>
      </w:r>
      <w:r w:rsidR="00277F02" w:rsidRPr="003A1174">
        <w:rPr>
          <w:rFonts w:ascii="Garamond" w:hAnsi="Garamond" w:cs="Arial"/>
          <w:sz w:val="24"/>
          <w:szCs w:val="24"/>
        </w:rPr>
        <w:t xml:space="preserve">s </w:t>
      </w:r>
      <w:r w:rsidR="00BB2B00" w:rsidRPr="003A1174">
        <w:rPr>
          <w:rFonts w:ascii="Garamond" w:hAnsi="Garamond" w:cs="Arial"/>
          <w:sz w:val="24"/>
          <w:szCs w:val="24"/>
        </w:rPr>
        <w:t>à</w:t>
      </w:r>
      <w:r w:rsidR="00955D60" w:rsidRPr="003A1174">
        <w:rPr>
          <w:rFonts w:ascii="Garamond" w:hAnsi="Garamond" w:cs="Arial"/>
          <w:sz w:val="24"/>
          <w:szCs w:val="24"/>
        </w:rPr>
        <w:t xml:space="preserve"> </w:t>
      </w:r>
      <w:r w:rsidR="007342D9" w:rsidRPr="003A1174">
        <w:rPr>
          <w:rFonts w:ascii="Garamond" w:hAnsi="Garamond" w:cs="Arial"/>
          <w:sz w:val="24"/>
          <w:szCs w:val="24"/>
        </w:rPr>
        <w:t>idade</w:t>
      </w:r>
      <w:r w:rsidR="00955D60" w:rsidRPr="003A1174">
        <w:rPr>
          <w:rFonts w:ascii="Garamond" w:hAnsi="Garamond" w:cs="Arial"/>
          <w:sz w:val="24"/>
          <w:szCs w:val="24"/>
        </w:rPr>
        <w:t xml:space="preserve">, </w:t>
      </w:r>
      <w:r w:rsidR="009D5ED8" w:rsidRPr="003A1174">
        <w:rPr>
          <w:rFonts w:ascii="Garamond" w:hAnsi="Garamond" w:cs="Arial"/>
          <w:sz w:val="24"/>
          <w:szCs w:val="24"/>
        </w:rPr>
        <w:t>dia</w:t>
      </w:r>
      <w:r w:rsidRPr="003A1174">
        <w:rPr>
          <w:rFonts w:ascii="Garamond" w:hAnsi="Garamond" w:cs="Arial"/>
          <w:sz w:val="24"/>
          <w:szCs w:val="24"/>
        </w:rPr>
        <w:t xml:space="preserve"> d</w:t>
      </w:r>
      <w:r w:rsidR="00955D60" w:rsidRPr="003A1174">
        <w:rPr>
          <w:rFonts w:ascii="Garamond" w:hAnsi="Garamond" w:cs="Arial"/>
          <w:sz w:val="24"/>
          <w:szCs w:val="24"/>
        </w:rPr>
        <w:t xml:space="preserve">a semana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9A0CC2" w:rsidRPr="003A1174">
        <w:rPr>
          <w:rFonts w:ascii="Garamond" w:hAnsi="Garamond" w:cs="Arial"/>
          <w:sz w:val="24"/>
          <w:szCs w:val="24"/>
        </w:rPr>
        <w:t>homicídio</w:t>
      </w:r>
      <w:r w:rsidR="00955D60" w:rsidRPr="003A1174">
        <w:rPr>
          <w:rFonts w:ascii="Garamond" w:hAnsi="Garamond" w:cs="Arial"/>
          <w:sz w:val="24"/>
          <w:szCs w:val="24"/>
        </w:rPr>
        <w:t xml:space="preserve">s, </w:t>
      </w:r>
      <w:r w:rsidR="001A53AD" w:rsidRPr="003A1174">
        <w:rPr>
          <w:rFonts w:ascii="Garamond" w:hAnsi="Garamond" w:cs="Arial"/>
          <w:sz w:val="24"/>
          <w:szCs w:val="24"/>
        </w:rPr>
        <w:t>local</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ataque, tipo de </w:t>
      </w:r>
      <w:r w:rsidR="009A0623" w:rsidRPr="003A1174">
        <w:rPr>
          <w:rFonts w:ascii="Garamond" w:hAnsi="Garamond" w:cs="Arial"/>
          <w:sz w:val="24"/>
          <w:szCs w:val="24"/>
        </w:rPr>
        <w:t>agressão</w:t>
      </w:r>
      <w:r w:rsidR="00955D60" w:rsidRPr="003A1174">
        <w:rPr>
          <w:rFonts w:ascii="Garamond" w:hAnsi="Garamond" w:cs="Arial"/>
          <w:sz w:val="24"/>
          <w:szCs w:val="24"/>
        </w:rPr>
        <w:t xml:space="preserve">, </w:t>
      </w:r>
      <w:r w:rsidR="007578C6" w:rsidRPr="003A1174">
        <w:rPr>
          <w:rFonts w:ascii="Garamond" w:hAnsi="Garamond" w:cs="Arial"/>
          <w:sz w:val="24"/>
          <w:szCs w:val="24"/>
        </w:rPr>
        <w:t>existência</w:t>
      </w:r>
      <w:r w:rsidR="00955D60" w:rsidRPr="003A1174">
        <w:rPr>
          <w:rFonts w:ascii="Garamond" w:hAnsi="Garamond" w:cs="Arial"/>
          <w:sz w:val="24"/>
          <w:szCs w:val="24"/>
        </w:rPr>
        <w:t xml:space="preserve"> de </w:t>
      </w:r>
      <w:r w:rsidR="008651AF" w:rsidRPr="003A1174">
        <w:rPr>
          <w:rFonts w:ascii="Garamond" w:hAnsi="Garamond" w:cs="Arial"/>
          <w:sz w:val="24"/>
          <w:szCs w:val="24"/>
        </w:rPr>
        <w:t>denúncia</w:t>
      </w:r>
      <w:r w:rsidR="00955D60" w:rsidRPr="003A1174">
        <w:rPr>
          <w:rFonts w:ascii="Garamond" w:hAnsi="Garamond" w:cs="Arial"/>
          <w:sz w:val="24"/>
          <w:szCs w:val="24"/>
        </w:rPr>
        <w:t xml:space="preserve"> </w:t>
      </w:r>
      <w:r w:rsidRPr="003A1174">
        <w:rPr>
          <w:rFonts w:ascii="Garamond" w:hAnsi="Garamond" w:cs="Arial"/>
          <w:sz w:val="24"/>
          <w:szCs w:val="24"/>
        </w:rPr>
        <w:t>prévia</w:t>
      </w:r>
      <w:r w:rsidR="00955D60" w:rsidRPr="003A1174">
        <w:rPr>
          <w:rFonts w:ascii="Garamond" w:hAnsi="Garamond" w:cs="Arial"/>
          <w:sz w:val="24"/>
          <w:szCs w:val="24"/>
        </w:rPr>
        <w:t xml:space="preserve"> contra</w:t>
      </w:r>
      <w:r w:rsidRPr="003A1174">
        <w:rPr>
          <w:rFonts w:ascii="Garamond" w:hAnsi="Garamond" w:cs="Arial"/>
          <w:sz w:val="24"/>
          <w:szCs w:val="24"/>
        </w:rPr>
        <w:t xml:space="preserve"> o</w:t>
      </w:r>
      <w:r w:rsidR="00955D60" w:rsidRPr="003A1174">
        <w:rPr>
          <w:rFonts w:ascii="Garamond" w:hAnsi="Garamond" w:cs="Arial"/>
          <w:sz w:val="24"/>
          <w:szCs w:val="24"/>
        </w:rPr>
        <w:t xml:space="preserve"> </w:t>
      </w:r>
      <w:r w:rsidR="002D1021" w:rsidRPr="003A1174">
        <w:rPr>
          <w:rFonts w:ascii="Garamond" w:hAnsi="Garamond" w:cs="Arial"/>
          <w:sz w:val="24"/>
          <w:szCs w:val="24"/>
        </w:rPr>
        <w:t>agressor</w:t>
      </w:r>
      <w:r w:rsidR="00955D60" w:rsidRPr="003A1174">
        <w:rPr>
          <w:rFonts w:ascii="Garamond" w:hAnsi="Garamond" w:cs="Arial"/>
          <w:sz w:val="24"/>
          <w:szCs w:val="24"/>
        </w:rPr>
        <w:t>, avan</w:t>
      </w:r>
      <w:r w:rsidRPr="003A1174">
        <w:rPr>
          <w:rFonts w:ascii="Garamond" w:hAnsi="Garamond" w:cs="Arial"/>
          <w:sz w:val="24"/>
          <w:szCs w:val="24"/>
        </w:rPr>
        <w:t xml:space="preserve">çando-se </w:t>
      </w:r>
      <w:r w:rsidR="0046438C">
        <w:rPr>
          <w:rFonts w:ascii="Garamond" w:hAnsi="Garamond" w:cs="Arial"/>
          <w:sz w:val="24"/>
          <w:szCs w:val="24"/>
        </w:rPr>
        <w:t xml:space="preserve">com dados </w:t>
      </w:r>
      <w:r w:rsidR="00955D60" w:rsidRPr="003A1174">
        <w:rPr>
          <w:rFonts w:ascii="Garamond" w:hAnsi="Garamond" w:cs="Arial"/>
          <w:sz w:val="24"/>
          <w:szCs w:val="24"/>
        </w:rPr>
        <w:t xml:space="preserve">comparativos entre Montevideo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Pr="003A1174">
        <w:rPr>
          <w:rFonts w:ascii="Garamond" w:hAnsi="Garamond" w:cs="Arial"/>
          <w:sz w:val="24"/>
          <w:szCs w:val="24"/>
        </w:rPr>
        <w:t>o</w:t>
      </w:r>
      <w:r w:rsidR="00955D60" w:rsidRPr="003A1174">
        <w:rPr>
          <w:rFonts w:ascii="Garamond" w:hAnsi="Garamond" w:cs="Arial"/>
          <w:sz w:val="24"/>
          <w:szCs w:val="24"/>
        </w:rPr>
        <w:t xml:space="preserve"> interior </w:t>
      </w:r>
      <w:r w:rsidR="00E85E59" w:rsidRPr="003A1174">
        <w:rPr>
          <w:rFonts w:ascii="Garamond" w:hAnsi="Garamond" w:cs="Arial"/>
          <w:sz w:val="24"/>
          <w:szCs w:val="24"/>
        </w:rPr>
        <w:t>do</w:t>
      </w:r>
      <w:r w:rsidR="00955D60" w:rsidRPr="003A1174">
        <w:rPr>
          <w:rFonts w:ascii="Garamond" w:hAnsi="Garamond" w:cs="Arial"/>
          <w:sz w:val="24"/>
          <w:szCs w:val="24"/>
        </w:rPr>
        <w:t xml:space="preserve"> país.</w:t>
      </w:r>
    </w:p>
    <w:p w:rsidR="00955D60" w:rsidRPr="003A1174" w:rsidRDefault="00955D60" w:rsidP="008719D4">
      <w:pPr>
        <w:spacing w:before="240" w:line="240" w:lineRule="auto"/>
        <w:jc w:val="both"/>
        <w:rPr>
          <w:rFonts w:ascii="Garamond" w:hAnsi="Garamond" w:cs="Arial"/>
          <w:sz w:val="24"/>
          <w:szCs w:val="24"/>
        </w:rPr>
      </w:pPr>
      <w:r w:rsidRPr="003A1174">
        <w:rPr>
          <w:rFonts w:ascii="Garamond" w:hAnsi="Garamond" w:cs="Arial"/>
          <w:sz w:val="24"/>
          <w:szCs w:val="24"/>
        </w:rPr>
        <w:t>E</w:t>
      </w:r>
      <w:r w:rsidR="00AA2044" w:rsidRPr="003A1174">
        <w:rPr>
          <w:rFonts w:ascii="Garamond" w:hAnsi="Garamond" w:cs="Arial"/>
          <w:sz w:val="24"/>
          <w:szCs w:val="24"/>
        </w:rPr>
        <w:t>m</w:t>
      </w:r>
      <w:r w:rsidRPr="003A1174">
        <w:rPr>
          <w:rFonts w:ascii="Garamond" w:hAnsi="Garamond" w:cs="Arial"/>
          <w:sz w:val="24"/>
          <w:szCs w:val="24"/>
        </w:rPr>
        <w:t xml:space="preserve"> </w:t>
      </w:r>
      <w:r w:rsidR="00152A44" w:rsidRPr="003A1174">
        <w:rPr>
          <w:rFonts w:ascii="Garamond" w:hAnsi="Garamond" w:cs="Arial"/>
          <w:sz w:val="24"/>
          <w:szCs w:val="24"/>
        </w:rPr>
        <w:t>relação</w:t>
      </w:r>
      <w:r w:rsidRPr="003A1174">
        <w:rPr>
          <w:rFonts w:ascii="Garamond" w:hAnsi="Garamond" w:cs="Arial"/>
          <w:sz w:val="24"/>
          <w:szCs w:val="24"/>
        </w:rPr>
        <w:t xml:space="preserve"> a</w:t>
      </w:r>
      <w:r w:rsidR="00AA2044" w:rsidRPr="003A1174">
        <w:rPr>
          <w:rFonts w:ascii="Garamond" w:hAnsi="Garamond" w:cs="Arial"/>
          <w:sz w:val="24"/>
          <w:szCs w:val="24"/>
        </w:rPr>
        <w:t>o</w:t>
      </w:r>
      <w:r w:rsidRPr="003A1174">
        <w:rPr>
          <w:rFonts w:ascii="Garamond" w:hAnsi="Garamond" w:cs="Arial"/>
          <w:sz w:val="24"/>
          <w:szCs w:val="24"/>
        </w:rPr>
        <w:t xml:space="preserve"> Poder Judicial</w:t>
      </w:r>
      <w:r w:rsidR="00277F02" w:rsidRPr="003A1174">
        <w:rPr>
          <w:rFonts w:ascii="Garamond" w:hAnsi="Garamond" w:cs="Arial"/>
          <w:sz w:val="24"/>
          <w:szCs w:val="24"/>
        </w:rPr>
        <w:t>,</w:t>
      </w:r>
      <w:r w:rsidRPr="003A1174">
        <w:rPr>
          <w:rFonts w:ascii="Garamond" w:hAnsi="Garamond" w:cs="Arial"/>
          <w:sz w:val="24"/>
          <w:szCs w:val="24"/>
        </w:rPr>
        <w:t xml:space="preserve"> existi</w:t>
      </w:r>
      <w:r w:rsidR="00AA2044" w:rsidRPr="003A1174">
        <w:rPr>
          <w:rFonts w:ascii="Garamond" w:hAnsi="Garamond" w:cs="Arial"/>
          <w:sz w:val="24"/>
          <w:szCs w:val="24"/>
        </w:rPr>
        <w:t xml:space="preserve">ram melhorias na recolha de </w:t>
      </w:r>
      <w:r w:rsidR="00EE7406" w:rsidRPr="003A1174">
        <w:rPr>
          <w:rFonts w:ascii="Garamond" w:hAnsi="Garamond" w:cs="Arial"/>
          <w:sz w:val="24"/>
          <w:szCs w:val="24"/>
        </w:rPr>
        <w:t>dado</w:t>
      </w:r>
      <w:r w:rsidRPr="003A1174">
        <w:rPr>
          <w:rFonts w:ascii="Garamond" w:hAnsi="Garamond" w:cs="Arial"/>
          <w:sz w:val="24"/>
          <w:szCs w:val="24"/>
        </w:rPr>
        <w:t xml:space="preserve">s </w:t>
      </w:r>
      <w:r w:rsidR="00AA2044" w:rsidRPr="003A1174">
        <w:rPr>
          <w:rFonts w:ascii="Garamond" w:hAnsi="Garamond" w:cs="Arial"/>
          <w:sz w:val="24"/>
          <w:szCs w:val="24"/>
        </w:rPr>
        <w:t>por se ter conseguido a informatização</w:t>
      </w:r>
      <w:r w:rsidRPr="003A1174">
        <w:rPr>
          <w:rFonts w:ascii="Garamond" w:hAnsi="Garamond" w:cs="Arial"/>
          <w:sz w:val="24"/>
          <w:szCs w:val="24"/>
        </w:rPr>
        <w:t xml:space="preserve">, </w:t>
      </w:r>
      <w:r w:rsidR="00AA2044" w:rsidRPr="003A1174">
        <w:rPr>
          <w:rFonts w:ascii="Garamond" w:hAnsi="Garamond" w:cs="Arial"/>
          <w:sz w:val="24"/>
          <w:szCs w:val="24"/>
        </w:rPr>
        <w:t xml:space="preserve">procurando </w:t>
      </w:r>
      <w:r w:rsidR="00C30647" w:rsidRPr="003A1174">
        <w:rPr>
          <w:rFonts w:ascii="Garamond" w:hAnsi="Garamond" w:cs="Arial"/>
          <w:sz w:val="24"/>
          <w:szCs w:val="24"/>
        </w:rPr>
        <w:t>avançar</w:t>
      </w:r>
      <w:r w:rsidR="00AA2044" w:rsidRPr="003A1174">
        <w:rPr>
          <w:rFonts w:ascii="Garamond" w:hAnsi="Garamond" w:cs="Arial"/>
          <w:sz w:val="24"/>
          <w:szCs w:val="24"/>
        </w:rPr>
        <w:t xml:space="preserve">-se na </w:t>
      </w:r>
      <w:r w:rsidR="007A3375" w:rsidRPr="003A1174">
        <w:rPr>
          <w:rFonts w:ascii="Garamond" w:hAnsi="Garamond" w:cs="Arial"/>
          <w:sz w:val="24"/>
          <w:szCs w:val="24"/>
        </w:rPr>
        <w:t>elaboração</w:t>
      </w:r>
      <w:r w:rsidRPr="003A1174">
        <w:rPr>
          <w:rFonts w:ascii="Garamond" w:hAnsi="Garamond" w:cs="Arial"/>
          <w:sz w:val="24"/>
          <w:szCs w:val="24"/>
        </w:rPr>
        <w:t xml:space="preserve"> de u</w:t>
      </w:r>
      <w:r w:rsidR="00AA2044" w:rsidRPr="003A1174">
        <w:rPr>
          <w:rFonts w:ascii="Garamond" w:hAnsi="Garamond" w:cs="Arial"/>
          <w:sz w:val="24"/>
          <w:szCs w:val="24"/>
        </w:rPr>
        <w:t>m</w:t>
      </w:r>
      <w:r w:rsidRPr="003A1174">
        <w:rPr>
          <w:rFonts w:ascii="Garamond" w:hAnsi="Garamond" w:cs="Arial"/>
          <w:sz w:val="24"/>
          <w:szCs w:val="24"/>
        </w:rPr>
        <w:t xml:space="preserve"> indicador sobre </w:t>
      </w:r>
      <w:r w:rsidR="000350B1" w:rsidRPr="003A1174">
        <w:rPr>
          <w:rFonts w:ascii="Garamond" w:hAnsi="Garamond" w:cs="Arial"/>
          <w:sz w:val="24"/>
          <w:szCs w:val="24"/>
        </w:rPr>
        <w:t>violência</w:t>
      </w:r>
      <w:r w:rsidRPr="003A1174">
        <w:rPr>
          <w:rFonts w:ascii="Garamond" w:hAnsi="Garamond" w:cs="Arial"/>
          <w:sz w:val="24"/>
          <w:szCs w:val="24"/>
        </w:rPr>
        <w:t xml:space="preserve"> de género.</w:t>
      </w:r>
    </w:p>
    <w:p w:rsidR="00955D60" w:rsidRPr="003A1174" w:rsidRDefault="00AA2044" w:rsidP="008719D4">
      <w:pPr>
        <w:spacing w:before="240" w:line="240" w:lineRule="auto"/>
        <w:jc w:val="both"/>
        <w:rPr>
          <w:rFonts w:ascii="Garamond" w:hAnsi="Garamond" w:cs="Arial"/>
          <w:sz w:val="24"/>
          <w:szCs w:val="24"/>
        </w:rPr>
      </w:pPr>
      <w:r w:rsidRPr="003A1174">
        <w:rPr>
          <w:rFonts w:ascii="Garamond" w:hAnsi="Garamond" w:cs="Arial"/>
          <w:sz w:val="24"/>
          <w:szCs w:val="24"/>
        </w:rPr>
        <w:t>O INMUJERES</w:t>
      </w:r>
      <w:r w:rsidR="00955D60" w:rsidRPr="003A1174">
        <w:rPr>
          <w:rFonts w:ascii="Garamond" w:hAnsi="Garamond" w:cs="Arial"/>
          <w:sz w:val="24"/>
          <w:szCs w:val="24"/>
        </w:rPr>
        <w:t>, por s</w:t>
      </w:r>
      <w:r w:rsidRPr="003A1174">
        <w:rPr>
          <w:rFonts w:ascii="Garamond" w:hAnsi="Garamond" w:cs="Arial"/>
          <w:sz w:val="24"/>
          <w:szCs w:val="24"/>
        </w:rPr>
        <w:t>e</w:t>
      </w:r>
      <w:r w:rsidR="00955D60" w:rsidRPr="003A1174">
        <w:rPr>
          <w:rFonts w:ascii="Garamond" w:hAnsi="Garamond" w:cs="Arial"/>
          <w:sz w:val="24"/>
          <w:szCs w:val="24"/>
        </w:rPr>
        <w:t xml:space="preserve">u </w:t>
      </w:r>
      <w:r w:rsidRPr="003A1174">
        <w:rPr>
          <w:rFonts w:ascii="Garamond" w:hAnsi="Garamond" w:cs="Arial"/>
          <w:sz w:val="24"/>
          <w:szCs w:val="24"/>
        </w:rPr>
        <w:t>lado</w:t>
      </w:r>
      <w:r w:rsidR="00955D60" w:rsidRPr="003A1174">
        <w:rPr>
          <w:rFonts w:ascii="Garamond" w:hAnsi="Garamond" w:cs="Arial"/>
          <w:sz w:val="24"/>
          <w:szCs w:val="24"/>
        </w:rPr>
        <w:t xml:space="preserve">, </w:t>
      </w:r>
      <w:r w:rsidR="0091213A" w:rsidRPr="003A1174">
        <w:rPr>
          <w:rFonts w:ascii="Garamond" w:hAnsi="Garamond" w:cs="Arial"/>
          <w:sz w:val="24"/>
          <w:szCs w:val="24"/>
        </w:rPr>
        <w:t>mantém</w:t>
      </w:r>
      <w:r w:rsidR="00955D60" w:rsidRPr="003A1174">
        <w:rPr>
          <w:rFonts w:ascii="Garamond" w:hAnsi="Garamond" w:cs="Arial"/>
          <w:sz w:val="24"/>
          <w:szCs w:val="24"/>
        </w:rPr>
        <w:t xml:space="preserve"> </w:t>
      </w:r>
      <w:r w:rsidRPr="003A1174">
        <w:rPr>
          <w:rFonts w:ascii="Garamond" w:hAnsi="Garamond" w:cs="Arial"/>
          <w:sz w:val="24"/>
          <w:szCs w:val="24"/>
        </w:rPr>
        <w:t xml:space="preserve">o </w:t>
      </w:r>
      <w:r w:rsidR="00955D60" w:rsidRPr="003A1174">
        <w:rPr>
          <w:rFonts w:ascii="Garamond" w:hAnsi="Garamond" w:cs="Arial"/>
          <w:sz w:val="24"/>
          <w:szCs w:val="24"/>
        </w:rPr>
        <w:t>s</w:t>
      </w:r>
      <w:r w:rsidRPr="003A1174">
        <w:rPr>
          <w:rFonts w:ascii="Garamond" w:hAnsi="Garamond" w:cs="Arial"/>
          <w:sz w:val="24"/>
          <w:szCs w:val="24"/>
        </w:rPr>
        <w:t>e</w:t>
      </w:r>
      <w:r w:rsidR="00955D60" w:rsidRPr="003A1174">
        <w:rPr>
          <w:rFonts w:ascii="Garamond" w:hAnsi="Garamond" w:cs="Arial"/>
          <w:sz w:val="24"/>
          <w:szCs w:val="24"/>
        </w:rPr>
        <w:t xml:space="preserve">u sistema de </w:t>
      </w:r>
      <w:r w:rsidR="0017447A" w:rsidRPr="003A1174">
        <w:rPr>
          <w:rFonts w:ascii="Garamond" w:hAnsi="Garamond" w:cs="Arial"/>
          <w:sz w:val="24"/>
          <w:szCs w:val="24"/>
        </w:rPr>
        <w:t>informação</w:t>
      </w:r>
      <w:r w:rsidR="00955D60" w:rsidRPr="003A1174">
        <w:rPr>
          <w:rFonts w:ascii="Garamond" w:hAnsi="Garamond" w:cs="Arial"/>
          <w:sz w:val="24"/>
          <w:szCs w:val="24"/>
        </w:rPr>
        <w:t>.</w:t>
      </w:r>
    </w:p>
    <w:p w:rsidR="00955D60" w:rsidRPr="003A1174" w:rsidRDefault="009859FC" w:rsidP="008719D4">
      <w:pPr>
        <w:pStyle w:val="Ttulo4"/>
        <w:spacing w:line="240" w:lineRule="auto"/>
        <w:rPr>
          <w:rFonts w:ascii="Garamond" w:hAnsi="Garamond"/>
          <w:sz w:val="24"/>
          <w:szCs w:val="24"/>
        </w:rPr>
      </w:pPr>
      <w:r w:rsidRPr="003A1174">
        <w:rPr>
          <w:rFonts w:ascii="Garamond" w:hAnsi="Garamond"/>
          <w:sz w:val="24"/>
          <w:szCs w:val="24"/>
        </w:rPr>
        <w:t>Melhoria</w:t>
      </w:r>
      <w:r w:rsidR="00955D60" w:rsidRPr="003A1174">
        <w:rPr>
          <w:rFonts w:ascii="Garamond" w:hAnsi="Garamond"/>
          <w:sz w:val="24"/>
          <w:szCs w:val="24"/>
        </w:rPr>
        <w:t xml:space="preserve">s </w:t>
      </w:r>
      <w:r w:rsidR="00814B51" w:rsidRPr="003A1174">
        <w:rPr>
          <w:rFonts w:ascii="Garamond" w:hAnsi="Garamond"/>
          <w:sz w:val="24"/>
          <w:szCs w:val="24"/>
        </w:rPr>
        <w:t xml:space="preserve">na </w:t>
      </w:r>
      <w:r w:rsidR="008E259D">
        <w:rPr>
          <w:rFonts w:ascii="Garamond" w:hAnsi="Garamond"/>
          <w:sz w:val="24"/>
          <w:szCs w:val="24"/>
        </w:rPr>
        <w:t>avaliação</w:t>
      </w:r>
      <w:r w:rsidR="00814B51" w:rsidRPr="003A1174">
        <w:rPr>
          <w:rFonts w:ascii="Garamond" w:hAnsi="Garamond"/>
          <w:sz w:val="24"/>
          <w:szCs w:val="24"/>
        </w:rPr>
        <w:t xml:space="preserve"> do</w:t>
      </w:r>
      <w:r w:rsidR="00955D60" w:rsidRPr="003A1174">
        <w:rPr>
          <w:rFonts w:ascii="Garamond" w:hAnsi="Garamond"/>
          <w:sz w:val="24"/>
          <w:szCs w:val="24"/>
        </w:rPr>
        <w:t xml:space="preserve"> d</w:t>
      </w:r>
      <w:r w:rsidR="002C7510" w:rsidRPr="003A1174">
        <w:rPr>
          <w:rFonts w:ascii="Garamond" w:hAnsi="Garamond"/>
          <w:sz w:val="24"/>
          <w:szCs w:val="24"/>
        </w:rPr>
        <w:t>ano</w:t>
      </w:r>
      <w:r w:rsidR="00955D60" w:rsidRPr="003A1174">
        <w:rPr>
          <w:rFonts w:ascii="Garamond" w:hAnsi="Garamond"/>
          <w:sz w:val="24"/>
          <w:szCs w:val="24"/>
        </w:rPr>
        <w:t xml:space="preserve"> psicológico</w:t>
      </w:r>
    </w:p>
    <w:p w:rsidR="00955D60" w:rsidRPr="003A1174" w:rsidRDefault="00955D60" w:rsidP="008719D4">
      <w:pPr>
        <w:spacing w:before="240" w:line="240" w:lineRule="auto"/>
        <w:jc w:val="both"/>
        <w:rPr>
          <w:rFonts w:ascii="Garamond" w:hAnsi="Garamond" w:cs="Arial"/>
          <w:sz w:val="24"/>
          <w:szCs w:val="24"/>
        </w:rPr>
      </w:pPr>
      <w:r w:rsidRPr="003A1174">
        <w:rPr>
          <w:rFonts w:ascii="Garamond" w:hAnsi="Garamond" w:cs="Arial"/>
          <w:sz w:val="24"/>
          <w:szCs w:val="24"/>
        </w:rPr>
        <w:t>N</w:t>
      </w:r>
      <w:r w:rsidR="00AA2044" w:rsidRPr="003A1174">
        <w:rPr>
          <w:rFonts w:ascii="Garamond" w:hAnsi="Garamond" w:cs="Arial"/>
          <w:sz w:val="24"/>
          <w:szCs w:val="24"/>
        </w:rPr>
        <w:t>ã</w:t>
      </w:r>
      <w:r w:rsidRPr="003A1174">
        <w:rPr>
          <w:rFonts w:ascii="Garamond" w:hAnsi="Garamond" w:cs="Arial"/>
          <w:sz w:val="24"/>
          <w:szCs w:val="24"/>
        </w:rPr>
        <w:t xml:space="preserve">o se </w:t>
      </w:r>
      <w:r w:rsidR="00AA2044" w:rsidRPr="003A1174">
        <w:rPr>
          <w:rFonts w:ascii="Garamond" w:hAnsi="Garamond" w:cs="Arial"/>
          <w:sz w:val="24"/>
          <w:szCs w:val="24"/>
        </w:rPr>
        <w:t>comunicam</w:t>
      </w:r>
      <w:r w:rsidRPr="003A1174">
        <w:rPr>
          <w:rFonts w:ascii="Garamond" w:hAnsi="Garamond" w:cs="Arial"/>
          <w:sz w:val="24"/>
          <w:szCs w:val="24"/>
        </w:rPr>
        <w:t xml:space="preserve"> </w:t>
      </w:r>
      <w:r w:rsidR="00FC1F7F" w:rsidRPr="003A1174">
        <w:rPr>
          <w:rFonts w:ascii="Garamond" w:hAnsi="Garamond" w:cs="Arial"/>
          <w:sz w:val="24"/>
          <w:szCs w:val="24"/>
        </w:rPr>
        <w:t>avanços</w:t>
      </w:r>
      <w:r w:rsidRPr="003A1174">
        <w:rPr>
          <w:rFonts w:ascii="Garamond" w:hAnsi="Garamond" w:cs="Arial"/>
          <w:sz w:val="24"/>
          <w:szCs w:val="24"/>
        </w:rPr>
        <w:t xml:space="preserve"> </w:t>
      </w:r>
      <w:r w:rsidR="00AA2044" w:rsidRPr="003A1174">
        <w:rPr>
          <w:rFonts w:ascii="Garamond" w:hAnsi="Garamond" w:cs="Arial"/>
          <w:sz w:val="24"/>
          <w:szCs w:val="24"/>
        </w:rPr>
        <w:t>n</w:t>
      </w:r>
      <w:r w:rsidRPr="003A1174">
        <w:rPr>
          <w:rFonts w:ascii="Garamond" w:hAnsi="Garamond" w:cs="Arial"/>
          <w:sz w:val="24"/>
          <w:szCs w:val="24"/>
        </w:rPr>
        <w:t>este sentido.</w:t>
      </w:r>
    </w:p>
    <w:p w:rsidR="00955D60" w:rsidRPr="003A1174" w:rsidRDefault="001B7D0B" w:rsidP="008719D4">
      <w:pPr>
        <w:pStyle w:val="Ttulo4"/>
        <w:spacing w:line="240" w:lineRule="auto"/>
        <w:rPr>
          <w:rFonts w:ascii="Garamond" w:hAnsi="Garamond"/>
          <w:sz w:val="24"/>
          <w:szCs w:val="24"/>
        </w:rPr>
      </w:pPr>
      <w:r>
        <w:rPr>
          <w:rFonts w:ascii="Garamond" w:hAnsi="Garamond"/>
          <w:sz w:val="24"/>
          <w:szCs w:val="24"/>
        </w:rPr>
        <w:t>Formação</w:t>
      </w:r>
      <w:r w:rsidR="00955D60" w:rsidRPr="003A1174">
        <w:rPr>
          <w:rFonts w:ascii="Garamond" w:hAnsi="Garamond"/>
          <w:sz w:val="24"/>
          <w:szCs w:val="24"/>
        </w:rPr>
        <w:t>/</w:t>
      </w:r>
      <w:r w:rsidR="00976FB8" w:rsidRPr="003A1174">
        <w:rPr>
          <w:rFonts w:ascii="Garamond" w:hAnsi="Garamond"/>
          <w:sz w:val="24"/>
          <w:szCs w:val="24"/>
        </w:rPr>
        <w:t>sensibilização</w:t>
      </w:r>
      <w:r w:rsidR="00955D60" w:rsidRPr="003A1174">
        <w:rPr>
          <w:rFonts w:ascii="Garamond" w:hAnsi="Garamond"/>
          <w:sz w:val="24"/>
          <w:szCs w:val="24"/>
        </w:rPr>
        <w:t xml:space="preserve"> de operadores </w:t>
      </w:r>
      <w:r w:rsidR="00AA2044" w:rsidRPr="003A1174">
        <w:rPr>
          <w:rFonts w:ascii="Garamond" w:hAnsi="Garamond"/>
          <w:sz w:val="24"/>
          <w:szCs w:val="24"/>
        </w:rPr>
        <w:t xml:space="preserve">do </w:t>
      </w:r>
      <w:r>
        <w:rPr>
          <w:rFonts w:ascii="Garamond" w:hAnsi="Garamond"/>
          <w:sz w:val="24"/>
          <w:szCs w:val="24"/>
        </w:rPr>
        <w:t>S</w:t>
      </w:r>
      <w:r w:rsidR="00955D60" w:rsidRPr="003A1174">
        <w:rPr>
          <w:rFonts w:ascii="Garamond" w:hAnsi="Garamond"/>
          <w:sz w:val="24"/>
          <w:szCs w:val="24"/>
        </w:rPr>
        <w:t xml:space="preserve">istema de </w:t>
      </w:r>
      <w:r w:rsidR="00FC1F7F" w:rsidRPr="003A1174">
        <w:rPr>
          <w:rFonts w:ascii="Garamond" w:hAnsi="Garamond"/>
          <w:sz w:val="24"/>
          <w:szCs w:val="24"/>
        </w:rPr>
        <w:t>Ju</w:t>
      </w:r>
      <w:r>
        <w:rPr>
          <w:rFonts w:ascii="Garamond" w:hAnsi="Garamond"/>
          <w:sz w:val="24"/>
          <w:szCs w:val="24"/>
        </w:rPr>
        <w:t>dicial</w:t>
      </w:r>
    </w:p>
    <w:p w:rsidR="00955D60" w:rsidRPr="003A1174" w:rsidRDefault="00AA2044"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Afirma-se que </w:t>
      </w:r>
      <w:r w:rsidR="00955D60" w:rsidRPr="003A1174">
        <w:rPr>
          <w:rFonts w:ascii="Garamond" w:hAnsi="Garamond" w:cs="Arial"/>
          <w:sz w:val="24"/>
          <w:szCs w:val="24"/>
        </w:rPr>
        <w:t xml:space="preserve">a </w:t>
      </w:r>
      <w:r w:rsidR="00201889" w:rsidRPr="003A1174">
        <w:rPr>
          <w:rFonts w:ascii="Garamond" w:hAnsi="Garamond" w:cs="Arial"/>
          <w:sz w:val="24"/>
          <w:szCs w:val="24"/>
        </w:rPr>
        <w:t>criação</w:t>
      </w:r>
      <w:r w:rsidR="00955D60" w:rsidRPr="003A1174">
        <w:rPr>
          <w:rFonts w:ascii="Garamond" w:hAnsi="Garamond" w:cs="Arial"/>
          <w:sz w:val="24"/>
          <w:szCs w:val="24"/>
        </w:rPr>
        <w:t xml:space="preserve"> de </w:t>
      </w:r>
      <w:r w:rsidR="00862726">
        <w:rPr>
          <w:rFonts w:ascii="Garamond" w:hAnsi="Garamond" w:cs="Arial"/>
          <w:sz w:val="24"/>
          <w:szCs w:val="24"/>
        </w:rPr>
        <w:t xml:space="preserve">objetivos </w:t>
      </w:r>
      <w:r w:rsidRPr="003A1174">
        <w:rPr>
          <w:rFonts w:ascii="Garamond" w:hAnsi="Garamond" w:cs="Arial"/>
          <w:sz w:val="24"/>
          <w:szCs w:val="24"/>
        </w:rPr>
        <w:t xml:space="preserve">específicos para </w:t>
      </w:r>
      <w:r w:rsidR="00955D60" w:rsidRPr="003A1174">
        <w:rPr>
          <w:rFonts w:ascii="Garamond" w:hAnsi="Garamond" w:cs="Arial"/>
          <w:sz w:val="24"/>
          <w:szCs w:val="24"/>
        </w:rPr>
        <w:t xml:space="preserve">a </w:t>
      </w:r>
      <w:r w:rsidR="001B7D0B">
        <w:rPr>
          <w:rFonts w:ascii="Garamond" w:hAnsi="Garamond" w:cs="Arial"/>
          <w:sz w:val="24"/>
          <w:szCs w:val="24"/>
        </w:rPr>
        <w:t>formação</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976FB8" w:rsidRPr="003A1174">
        <w:rPr>
          <w:rFonts w:ascii="Garamond" w:hAnsi="Garamond" w:cs="Arial"/>
          <w:sz w:val="24"/>
          <w:szCs w:val="24"/>
        </w:rPr>
        <w:t>sensibilização</w:t>
      </w:r>
      <w:r w:rsidR="00955D60" w:rsidRPr="003A1174">
        <w:rPr>
          <w:rFonts w:ascii="Garamond" w:hAnsi="Garamond" w:cs="Arial"/>
          <w:sz w:val="24"/>
          <w:szCs w:val="24"/>
        </w:rPr>
        <w:t xml:space="preserve"> </w:t>
      </w:r>
      <w:r w:rsidR="00862726">
        <w:rPr>
          <w:rFonts w:ascii="Garamond" w:hAnsi="Garamond" w:cs="Arial"/>
          <w:sz w:val="24"/>
          <w:szCs w:val="24"/>
        </w:rPr>
        <w:t xml:space="preserve">possibilitou </w:t>
      </w:r>
      <w:r w:rsidR="00955D60" w:rsidRPr="003A1174">
        <w:rPr>
          <w:rFonts w:ascii="Garamond" w:hAnsi="Garamond" w:cs="Arial"/>
          <w:sz w:val="24"/>
          <w:szCs w:val="24"/>
        </w:rPr>
        <w:t>oportunidades</w:t>
      </w:r>
      <w:r w:rsidR="00862726">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até esse momento inexistentes</w:t>
      </w:r>
      <w:r w:rsidR="00862726">
        <w:rPr>
          <w:rFonts w:ascii="Garamond" w:hAnsi="Garamond" w:cs="Arial"/>
          <w:sz w:val="24"/>
          <w:szCs w:val="24"/>
        </w:rPr>
        <w:t>,</w:t>
      </w:r>
      <w:r w:rsidRPr="003A1174">
        <w:rPr>
          <w:rFonts w:ascii="Garamond" w:hAnsi="Garamond" w:cs="Arial"/>
          <w:sz w:val="24"/>
          <w:szCs w:val="24"/>
        </w:rPr>
        <w:t xml:space="preserve"> para </w:t>
      </w:r>
      <w:r w:rsidR="00955D60" w:rsidRPr="003A1174">
        <w:rPr>
          <w:rFonts w:ascii="Garamond" w:hAnsi="Garamond" w:cs="Arial"/>
          <w:sz w:val="24"/>
          <w:szCs w:val="24"/>
        </w:rPr>
        <w:t xml:space="preserve">a </w:t>
      </w:r>
      <w:r w:rsidR="00976FB8" w:rsidRPr="003A1174">
        <w:rPr>
          <w:rFonts w:ascii="Garamond" w:hAnsi="Garamond" w:cs="Arial"/>
          <w:sz w:val="24"/>
          <w:szCs w:val="24"/>
        </w:rPr>
        <w:t>inclusão</w:t>
      </w:r>
      <w:r w:rsidR="00955D60" w:rsidRPr="003A1174">
        <w:rPr>
          <w:rFonts w:ascii="Garamond" w:hAnsi="Garamond" w:cs="Arial"/>
          <w:sz w:val="24"/>
          <w:szCs w:val="24"/>
        </w:rPr>
        <w:t xml:space="preserve"> da </w:t>
      </w:r>
      <w:r w:rsidR="00D96FD0" w:rsidRPr="003A1174">
        <w:rPr>
          <w:rFonts w:ascii="Garamond" w:hAnsi="Garamond" w:cs="Arial"/>
          <w:sz w:val="24"/>
          <w:szCs w:val="24"/>
        </w:rPr>
        <w:t>perspetiva</w:t>
      </w:r>
      <w:r w:rsidR="00955D60" w:rsidRPr="003A1174">
        <w:rPr>
          <w:rFonts w:ascii="Garamond" w:hAnsi="Garamond" w:cs="Arial"/>
          <w:sz w:val="24"/>
          <w:szCs w:val="24"/>
        </w:rPr>
        <w:t xml:space="preserve"> de género</w:t>
      </w:r>
      <w:r w:rsidR="00277F02" w:rsidRPr="003A1174">
        <w:rPr>
          <w:rFonts w:ascii="Garamond" w:hAnsi="Garamond" w:cs="Arial"/>
          <w:sz w:val="24"/>
          <w:szCs w:val="24"/>
        </w:rPr>
        <w:t>,</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9B133A" w:rsidRPr="003A1174">
        <w:rPr>
          <w:rFonts w:ascii="Garamond" w:hAnsi="Garamond" w:cs="Arial"/>
          <w:sz w:val="24"/>
          <w:szCs w:val="24"/>
        </w:rPr>
        <w:t>especificamente</w:t>
      </w:r>
      <w:r w:rsidR="00862726">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na </w:t>
      </w:r>
      <w:r w:rsidR="000350B1" w:rsidRPr="003A1174">
        <w:rPr>
          <w:rFonts w:ascii="Garamond" w:hAnsi="Garamond" w:cs="Arial"/>
          <w:sz w:val="24"/>
          <w:szCs w:val="24"/>
        </w:rPr>
        <w:t>violência</w:t>
      </w:r>
      <w:r w:rsidR="00955D60" w:rsidRPr="003A1174">
        <w:rPr>
          <w:rFonts w:ascii="Garamond" w:hAnsi="Garamond" w:cs="Arial"/>
          <w:sz w:val="24"/>
          <w:szCs w:val="24"/>
        </w:rPr>
        <w:t xml:space="preserve"> doméstica</w:t>
      </w:r>
      <w:r w:rsidR="00277F02" w:rsidRPr="003A1174">
        <w:rPr>
          <w:rFonts w:ascii="Garamond" w:hAnsi="Garamond" w:cs="Arial"/>
          <w:sz w:val="24"/>
          <w:szCs w:val="24"/>
        </w:rPr>
        <w:t>,</w:t>
      </w:r>
      <w:r w:rsidR="00955D60" w:rsidRPr="003A1174">
        <w:rPr>
          <w:rFonts w:ascii="Garamond" w:hAnsi="Garamond" w:cs="Arial"/>
          <w:sz w:val="24"/>
          <w:szCs w:val="24"/>
        </w:rPr>
        <w:t xml:space="preserve"> para operadores </w:t>
      </w:r>
      <w:r w:rsidR="00E85E59" w:rsidRPr="003A1174">
        <w:rPr>
          <w:rFonts w:ascii="Garamond" w:hAnsi="Garamond" w:cs="Arial"/>
          <w:sz w:val="24"/>
          <w:szCs w:val="24"/>
        </w:rPr>
        <w:t>do</w:t>
      </w:r>
      <w:r w:rsidR="00955D60" w:rsidRPr="003A1174">
        <w:rPr>
          <w:rFonts w:ascii="Garamond" w:hAnsi="Garamond" w:cs="Arial"/>
          <w:sz w:val="24"/>
          <w:szCs w:val="24"/>
        </w:rPr>
        <w:t xml:space="preserve"> sistema de </w:t>
      </w:r>
      <w:r w:rsidR="00FC1F7F" w:rsidRPr="003A1174">
        <w:rPr>
          <w:rFonts w:ascii="Garamond" w:hAnsi="Garamond" w:cs="Arial"/>
          <w:sz w:val="24"/>
          <w:szCs w:val="24"/>
        </w:rPr>
        <w:t>justiça</w:t>
      </w:r>
      <w:r w:rsidR="00955D60" w:rsidRPr="003A1174">
        <w:rPr>
          <w:rFonts w:ascii="Garamond" w:hAnsi="Garamond" w:cs="Arial"/>
          <w:sz w:val="24"/>
          <w:szCs w:val="24"/>
        </w:rPr>
        <w:t>.</w:t>
      </w:r>
    </w:p>
    <w:p w:rsidR="00955D60" w:rsidRPr="003A1174" w:rsidRDefault="00955D60" w:rsidP="008719D4">
      <w:pPr>
        <w:spacing w:before="240" w:line="240" w:lineRule="auto"/>
        <w:jc w:val="both"/>
        <w:rPr>
          <w:rFonts w:ascii="Garamond" w:hAnsi="Garamond" w:cs="Arial"/>
          <w:sz w:val="24"/>
          <w:szCs w:val="24"/>
        </w:rPr>
      </w:pPr>
      <w:r w:rsidRPr="003A1174">
        <w:rPr>
          <w:rFonts w:ascii="Garamond" w:hAnsi="Garamond" w:cs="Arial"/>
          <w:sz w:val="24"/>
          <w:szCs w:val="24"/>
        </w:rPr>
        <w:t>U</w:t>
      </w:r>
      <w:r w:rsidR="00AA2044" w:rsidRPr="003A1174">
        <w:rPr>
          <w:rFonts w:ascii="Garamond" w:hAnsi="Garamond" w:cs="Arial"/>
          <w:sz w:val="24"/>
          <w:szCs w:val="24"/>
        </w:rPr>
        <w:t>m</w:t>
      </w:r>
      <w:r w:rsidRPr="003A1174">
        <w:rPr>
          <w:rFonts w:ascii="Garamond" w:hAnsi="Garamond" w:cs="Arial"/>
          <w:sz w:val="24"/>
          <w:szCs w:val="24"/>
        </w:rPr>
        <w:t xml:space="preserve"> </w:t>
      </w:r>
      <w:r w:rsidR="002F5CD1" w:rsidRPr="003A1174">
        <w:rPr>
          <w:rFonts w:ascii="Garamond" w:hAnsi="Garamond" w:cs="Arial"/>
          <w:sz w:val="24"/>
          <w:szCs w:val="24"/>
        </w:rPr>
        <w:t>exemplo</w:t>
      </w:r>
      <w:r w:rsidRPr="003A1174">
        <w:rPr>
          <w:rFonts w:ascii="Garamond" w:hAnsi="Garamond" w:cs="Arial"/>
          <w:sz w:val="24"/>
          <w:szCs w:val="24"/>
        </w:rPr>
        <w:t xml:space="preserve"> claro </w:t>
      </w:r>
      <w:r w:rsidR="00AA2044" w:rsidRPr="003A1174">
        <w:rPr>
          <w:rFonts w:ascii="Garamond" w:hAnsi="Garamond" w:cs="Arial"/>
          <w:sz w:val="24"/>
          <w:szCs w:val="24"/>
        </w:rPr>
        <w:t xml:space="preserve">é o </w:t>
      </w:r>
      <w:r w:rsidR="00E85E59" w:rsidRPr="003A1174">
        <w:rPr>
          <w:rFonts w:ascii="Garamond" w:hAnsi="Garamond" w:cs="Arial"/>
          <w:sz w:val="24"/>
          <w:szCs w:val="24"/>
        </w:rPr>
        <w:t>do</w:t>
      </w:r>
      <w:r w:rsidRPr="003A1174">
        <w:rPr>
          <w:rFonts w:ascii="Garamond" w:hAnsi="Garamond" w:cs="Arial"/>
          <w:sz w:val="24"/>
          <w:szCs w:val="24"/>
        </w:rPr>
        <w:t xml:space="preserve"> </w:t>
      </w:r>
      <w:r w:rsidR="00D77C19" w:rsidRPr="003A1174">
        <w:rPr>
          <w:rFonts w:ascii="Garamond" w:hAnsi="Garamond" w:cs="Arial"/>
          <w:sz w:val="24"/>
          <w:szCs w:val="24"/>
        </w:rPr>
        <w:t>Ministério</w:t>
      </w:r>
      <w:r w:rsidRPr="003A1174">
        <w:rPr>
          <w:rFonts w:ascii="Garamond" w:hAnsi="Garamond" w:cs="Arial"/>
          <w:sz w:val="24"/>
          <w:szCs w:val="24"/>
        </w:rPr>
        <w:t xml:space="preserve"> </w:t>
      </w:r>
      <w:r w:rsidR="00E85E59" w:rsidRPr="003A1174">
        <w:rPr>
          <w:rFonts w:ascii="Garamond" w:hAnsi="Garamond" w:cs="Arial"/>
          <w:sz w:val="24"/>
          <w:szCs w:val="24"/>
        </w:rPr>
        <w:t>do</w:t>
      </w:r>
      <w:r w:rsidRPr="003A1174">
        <w:rPr>
          <w:rFonts w:ascii="Garamond" w:hAnsi="Garamond" w:cs="Arial"/>
          <w:sz w:val="24"/>
          <w:szCs w:val="24"/>
        </w:rPr>
        <w:t xml:space="preserve"> Interior, co</w:t>
      </w:r>
      <w:r w:rsidR="00AA2044" w:rsidRPr="003A1174">
        <w:rPr>
          <w:rFonts w:ascii="Garamond" w:hAnsi="Garamond" w:cs="Arial"/>
          <w:sz w:val="24"/>
          <w:szCs w:val="24"/>
        </w:rPr>
        <w:t xml:space="preserve">m </w:t>
      </w:r>
      <w:r w:rsidRPr="003A1174">
        <w:rPr>
          <w:rFonts w:ascii="Garamond" w:hAnsi="Garamond" w:cs="Arial"/>
          <w:sz w:val="24"/>
          <w:szCs w:val="24"/>
        </w:rPr>
        <w:t xml:space="preserve">a </w:t>
      </w:r>
      <w:r w:rsidR="00201889" w:rsidRPr="003A1174">
        <w:rPr>
          <w:rFonts w:ascii="Garamond" w:hAnsi="Garamond" w:cs="Arial"/>
          <w:sz w:val="24"/>
          <w:szCs w:val="24"/>
        </w:rPr>
        <w:t>criação</w:t>
      </w:r>
      <w:r w:rsidRPr="003A1174">
        <w:rPr>
          <w:rFonts w:ascii="Garamond" w:hAnsi="Garamond" w:cs="Arial"/>
          <w:sz w:val="24"/>
          <w:szCs w:val="24"/>
        </w:rPr>
        <w:t xml:space="preserve"> da </w:t>
      </w:r>
      <w:r w:rsidR="00AB6522" w:rsidRPr="003A1174">
        <w:rPr>
          <w:rFonts w:ascii="Garamond" w:hAnsi="Garamond" w:cs="Arial"/>
          <w:sz w:val="24"/>
          <w:szCs w:val="24"/>
        </w:rPr>
        <w:t>Divisão</w:t>
      </w:r>
      <w:r w:rsidRPr="003A1174">
        <w:rPr>
          <w:rFonts w:ascii="Garamond" w:hAnsi="Garamond" w:cs="Arial"/>
          <w:sz w:val="24"/>
          <w:szCs w:val="24"/>
        </w:rPr>
        <w:t xml:space="preserve"> de Políticas de Género</w:t>
      </w:r>
      <w:r w:rsidR="00277F02" w:rsidRPr="003A1174">
        <w:rPr>
          <w:rFonts w:ascii="Garamond" w:hAnsi="Garamond" w:cs="Arial"/>
          <w:sz w:val="24"/>
          <w:szCs w:val="24"/>
        </w:rPr>
        <w:t>,</w:t>
      </w:r>
      <w:r w:rsidRPr="003A1174">
        <w:rPr>
          <w:rFonts w:ascii="Garamond" w:hAnsi="Garamond" w:cs="Arial"/>
          <w:sz w:val="24"/>
          <w:szCs w:val="24"/>
        </w:rPr>
        <w:t xml:space="preserve"> </w:t>
      </w:r>
      <w:r w:rsidR="003047D9" w:rsidRPr="003A1174">
        <w:rPr>
          <w:rFonts w:ascii="Garamond" w:hAnsi="Garamond" w:cs="Arial"/>
          <w:sz w:val="24"/>
          <w:szCs w:val="24"/>
        </w:rPr>
        <w:t xml:space="preserve">neste </w:t>
      </w:r>
      <w:r w:rsidR="00862726">
        <w:rPr>
          <w:rFonts w:ascii="Garamond" w:hAnsi="Garamond" w:cs="Arial"/>
          <w:sz w:val="24"/>
          <w:szCs w:val="24"/>
        </w:rPr>
        <w:t xml:space="preserve">contexto, </w:t>
      </w:r>
      <w:r w:rsidR="003047D9" w:rsidRPr="003A1174">
        <w:rPr>
          <w:rFonts w:ascii="Garamond" w:hAnsi="Garamond" w:cs="Arial"/>
          <w:sz w:val="24"/>
          <w:szCs w:val="24"/>
        </w:rPr>
        <w:t xml:space="preserve">chama-se a atenção para </w:t>
      </w:r>
      <w:r w:rsidRPr="003A1174">
        <w:rPr>
          <w:rFonts w:ascii="Garamond" w:hAnsi="Garamond" w:cs="Arial"/>
          <w:sz w:val="24"/>
          <w:szCs w:val="24"/>
        </w:rPr>
        <w:t xml:space="preserve">as </w:t>
      </w:r>
      <w:r w:rsidR="006F7276" w:rsidRPr="003A1174">
        <w:rPr>
          <w:rFonts w:ascii="Garamond" w:hAnsi="Garamond" w:cs="Arial"/>
          <w:sz w:val="24"/>
          <w:szCs w:val="24"/>
        </w:rPr>
        <w:t>seguintes</w:t>
      </w:r>
      <w:r w:rsidRPr="003A1174">
        <w:rPr>
          <w:rFonts w:ascii="Garamond" w:hAnsi="Garamond" w:cs="Arial"/>
          <w:sz w:val="24"/>
          <w:szCs w:val="24"/>
        </w:rPr>
        <w:t xml:space="preserve"> </w:t>
      </w:r>
      <w:r w:rsidR="0017447A" w:rsidRPr="003A1174">
        <w:rPr>
          <w:rFonts w:ascii="Garamond" w:hAnsi="Garamond" w:cs="Arial"/>
          <w:sz w:val="24"/>
          <w:szCs w:val="24"/>
        </w:rPr>
        <w:t>experiência</w:t>
      </w:r>
      <w:r w:rsidRPr="003A1174">
        <w:rPr>
          <w:rFonts w:ascii="Garamond" w:hAnsi="Garamond" w:cs="Arial"/>
          <w:sz w:val="24"/>
          <w:szCs w:val="24"/>
        </w:rPr>
        <w:t xml:space="preserve">s: </w:t>
      </w:r>
    </w:p>
    <w:p w:rsidR="00955D60" w:rsidRPr="003A1174" w:rsidRDefault="003047D9" w:rsidP="008719D4">
      <w:pPr>
        <w:pStyle w:val="Prrafodelista"/>
        <w:numPr>
          <w:ilvl w:val="0"/>
          <w:numId w:val="37"/>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A</w:t>
      </w:r>
      <w:r w:rsidR="00955D60" w:rsidRPr="003A1174">
        <w:rPr>
          <w:rFonts w:ascii="Garamond" w:hAnsi="Garamond" w:cs="Arial"/>
          <w:sz w:val="24"/>
          <w:szCs w:val="24"/>
          <w:lang w:val="pt-PT"/>
        </w:rPr>
        <w:t xml:space="preserve"> </w:t>
      </w:r>
      <w:r w:rsidR="00A23EB8" w:rsidRPr="003A1174">
        <w:rPr>
          <w:rFonts w:ascii="Garamond" w:hAnsi="Garamond" w:cs="Arial"/>
          <w:sz w:val="24"/>
          <w:szCs w:val="24"/>
          <w:lang w:val="pt-PT"/>
        </w:rPr>
        <w:t>Escola</w:t>
      </w:r>
      <w:r w:rsidR="00955D60" w:rsidRPr="003A1174">
        <w:rPr>
          <w:rFonts w:ascii="Garamond" w:hAnsi="Garamond" w:cs="Arial"/>
          <w:sz w:val="24"/>
          <w:szCs w:val="24"/>
          <w:lang w:val="pt-PT"/>
        </w:rPr>
        <w:t xml:space="preserve"> de </w:t>
      </w:r>
      <w:r w:rsidR="00E150E9" w:rsidRPr="003A1174">
        <w:rPr>
          <w:rFonts w:ascii="Garamond" w:hAnsi="Garamond" w:cs="Arial"/>
          <w:sz w:val="24"/>
          <w:szCs w:val="24"/>
          <w:lang w:val="pt-PT"/>
        </w:rPr>
        <w:t>Oficiais</w:t>
      </w:r>
      <w:r w:rsidR="00955D60" w:rsidRPr="003A1174">
        <w:rPr>
          <w:rFonts w:ascii="Garamond" w:hAnsi="Garamond" w:cs="Arial"/>
          <w:sz w:val="24"/>
          <w:szCs w:val="24"/>
          <w:lang w:val="pt-PT"/>
        </w:rPr>
        <w:t xml:space="preserve"> implement</w:t>
      </w:r>
      <w:r w:rsidRPr="003A1174">
        <w:rPr>
          <w:rFonts w:ascii="Garamond" w:hAnsi="Garamond" w:cs="Arial"/>
          <w:sz w:val="24"/>
          <w:szCs w:val="24"/>
          <w:lang w:val="pt-PT"/>
        </w:rPr>
        <w:t>ou</w:t>
      </w:r>
      <w:r w:rsidR="00862726">
        <w:rPr>
          <w:rFonts w:ascii="Garamond" w:hAnsi="Garamond" w:cs="Arial"/>
          <w:sz w:val="24"/>
          <w:szCs w:val="24"/>
          <w:lang w:val="pt-PT"/>
        </w:rPr>
        <w:t>,</w:t>
      </w:r>
      <w:r w:rsidRPr="003A1174">
        <w:rPr>
          <w:rFonts w:ascii="Garamond" w:hAnsi="Garamond" w:cs="Arial"/>
          <w:sz w:val="24"/>
          <w:szCs w:val="24"/>
          <w:lang w:val="pt-PT"/>
        </w:rPr>
        <w:t xml:space="preserve"> no </w:t>
      </w:r>
      <w:r w:rsidR="00955D60" w:rsidRPr="003A1174">
        <w:rPr>
          <w:rFonts w:ascii="Garamond" w:hAnsi="Garamond" w:cs="Arial"/>
          <w:sz w:val="24"/>
          <w:szCs w:val="24"/>
          <w:lang w:val="pt-PT"/>
        </w:rPr>
        <w:t>terce</w:t>
      </w:r>
      <w:r w:rsidRPr="003A1174">
        <w:rPr>
          <w:rFonts w:ascii="Garamond" w:hAnsi="Garamond" w:cs="Arial"/>
          <w:sz w:val="24"/>
          <w:szCs w:val="24"/>
          <w:lang w:val="pt-PT"/>
        </w:rPr>
        <w:t>i</w:t>
      </w:r>
      <w:r w:rsidR="00955D60" w:rsidRPr="003A1174">
        <w:rPr>
          <w:rFonts w:ascii="Garamond" w:hAnsi="Garamond" w:cs="Arial"/>
          <w:sz w:val="24"/>
          <w:szCs w:val="24"/>
          <w:lang w:val="pt-PT"/>
        </w:rPr>
        <w:t>r</w:t>
      </w:r>
      <w:r w:rsidRPr="003A1174">
        <w:rPr>
          <w:rFonts w:ascii="Garamond" w:hAnsi="Garamond" w:cs="Arial"/>
          <w:sz w:val="24"/>
          <w:szCs w:val="24"/>
          <w:lang w:val="pt-PT"/>
        </w:rPr>
        <w:t>o</w:t>
      </w:r>
      <w:r w:rsidR="00955D60" w:rsidRPr="003A1174">
        <w:rPr>
          <w:rFonts w:ascii="Garamond" w:hAnsi="Garamond" w:cs="Arial"/>
          <w:sz w:val="24"/>
          <w:szCs w:val="24"/>
          <w:lang w:val="pt-PT"/>
        </w:rPr>
        <w:t xml:space="preserve"> </w:t>
      </w:r>
      <w:r w:rsidR="002C7510" w:rsidRPr="003A1174">
        <w:rPr>
          <w:rFonts w:ascii="Garamond" w:hAnsi="Garamond" w:cs="Arial"/>
          <w:sz w:val="24"/>
          <w:szCs w:val="24"/>
          <w:lang w:val="pt-PT"/>
        </w:rPr>
        <w:t>ano</w:t>
      </w:r>
      <w:r w:rsidR="00955D60" w:rsidRPr="003A1174">
        <w:rPr>
          <w:rFonts w:ascii="Garamond" w:hAnsi="Garamond" w:cs="Arial"/>
          <w:sz w:val="24"/>
          <w:szCs w:val="24"/>
          <w:lang w:val="pt-PT"/>
        </w:rPr>
        <w:t xml:space="preserve"> d</w:t>
      </w:r>
      <w:r w:rsidRPr="003A1174">
        <w:rPr>
          <w:rFonts w:ascii="Garamond" w:hAnsi="Garamond" w:cs="Arial"/>
          <w:sz w:val="24"/>
          <w:szCs w:val="24"/>
          <w:lang w:val="pt-PT"/>
        </w:rPr>
        <w:t xml:space="preserve">o curso de </w:t>
      </w:r>
      <w:r w:rsidR="00955D60" w:rsidRPr="003A1174">
        <w:rPr>
          <w:rFonts w:ascii="Garamond" w:hAnsi="Garamond" w:cs="Arial"/>
          <w:sz w:val="24"/>
          <w:szCs w:val="24"/>
          <w:lang w:val="pt-PT"/>
        </w:rPr>
        <w:t>cadetes</w:t>
      </w:r>
      <w:r w:rsidR="00862726">
        <w:rPr>
          <w:rFonts w:ascii="Garamond" w:hAnsi="Garamond" w:cs="Arial"/>
          <w:sz w:val="24"/>
          <w:szCs w:val="24"/>
          <w:lang w:val="pt-PT"/>
        </w:rPr>
        <w:t>,</w:t>
      </w:r>
      <w:r w:rsidR="00955D60" w:rsidRPr="003A1174">
        <w:rPr>
          <w:rFonts w:ascii="Garamond" w:hAnsi="Garamond" w:cs="Arial"/>
          <w:sz w:val="24"/>
          <w:szCs w:val="24"/>
          <w:lang w:val="pt-PT"/>
        </w:rPr>
        <w:t xml:space="preserve"> </w:t>
      </w:r>
      <w:r w:rsidRPr="003A1174">
        <w:rPr>
          <w:rFonts w:ascii="Garamond" w:hAnsi="Garamond" w:cs="Arial"/>
          <w:sz w:val="24"/>
          <w:szCs w:val="24"/>
          <w:lang w:val="pt-PT"/>
        </w:rPr>
        <w:t xml:space="preserve">o </w:t>
      </w:r>
      <w:r w:rsidR="00955D60" w:rsidRPr="003A1174">
        <w:rPr>
          <w:rFonts w:ascii="Garamond" w:hAnsi="Garamond" w:cs="Arial"/>
          <w:sz w:val="24"/>
          <w:szCs w:val="24"/>
          <w:lang w:val="pt-PT"/>
        </w:rPr>
        <w:t xml:space="preserve">módulo de </w:t>
      </w:r>
      <w:r w:rsidR="000350B1" w:rsidRPr="003A1174">
        <w:rPr>
          <w:rFonts w:ascii="Garamond" w:hAnsi="Garamond" w:cs="Arial"/>
          <w:sz w:val="24"/>
          <w:szCs w:val="24"/>
          <w:lang w:val="pt-PT"/>
        </w:rPr>
        <w:t>violência</w:t>
      </w:r>
      <w:r w:rsidR="00955D60" w:rsidRPr="003A1174">
        <w:rPr>
          <w:rFonts w:ascii="Garamond" w:hAnsi="Garamond" w:cs="Arial"/>
          <w:sz w:val="24"/>
          <w:szCs w:val="24"/>
          <w:lang w:val="pt-PT"/>
        </w:rPr>
        <w:t xml:space="preserve"> doméstica</w:t>
      </w:r>
      <w:r w:rsidR="00862726">
        <w:rPr>
          <w:rFonts w:ascii="Garamond" w:hAnsi="Garamond" w:cs="Arial"/>
          <w:sz w:val="24"/>
          <w:szCs w:val="24"/>
          <w:lang w:val="pt-PT"/>
        </w:rPr>
        <w:t>,</w:t>
      </w:r>
      <w:r w:rsidR="00955D60" w:rsidRPr="003A1174">
        <w:rPr>
          <w:rFonts w:ascii="Garamond" w:hAnsi="Garamond" w:cs="Arial"/>
          <w:sz w:val="24"/>
          <w:szCs w:val="24"/>
          <w:lang w:val="pt-PT"/>
        </w:rPr>
        <w:t xml:space="preserve"> co</w:t>
      </w:r>
      <w:r w:rsidRPr="003A1174">
        <w:rPr>
          <w:rFonts w:ascii="Garamond" w:hAnsi="Garamond" w:cs="Arial"/>
          <w:sz w:val="24"/>
          <w:szCs w:val="24"/>
          <w:lang w:val="pt-PT"/>
        </w:rPr>
        <w:t>m</w:t>
      </w:r>
      <w:r w:rsidR="00955D60" w:rsidRPr="003A1174">
        <w:rPr>
          <w:rFonts w:ascii="Garamond" w:hAnsi="Garamond" w:cs="Arial"/>
          <w:sz w:val="24"/>
          <w:szCs w:val="24"/>
          <w:lang w:val="pt-PT"/>
        </w:rPr>
        <w:t xml:space="preserve"> 30 horas </w:t>
      </w:r>
      <w:r w:rsidR="00EC45A0" w:rsidRPr="003A1174">
        <w:rPr>
          <w:rFonts w:ascii="Garamond" w:hAnsi="Garamond" w:cs="Arial"/>
          <w:sz w:val="24"/>
          <w:szCs w:val="24"/>
          <w:lang w:val="pt-PT"/>
        </w:rPr>
        <w:t>presenciais</w:t>
      </w:r>
      <w:r w:rsidR="00862726">
        <w:rPr>
          <w:rFonts w:ascii="Garamond" w:hAnsi="Garamond" w:cs="Arial"/>
          <w:sz w:val="24"/>
          <w:szCs w:val="24"/>
          <w:lang w:val="pt-PT"/>
        </w:rPr>
        <w:t>,</w:t>
      </w:r>
      <w:r w:rsidR="00955D60" w:rsidRPr="003A1174">
        <w:rPr>
          <w:rFonts w:ascii="Garamond" w:hAnsi="Garamond" w:cs="Arial"/>
          <w:sz w:val="24"/>
          <w:szCs w:val="24"/>
          <w:lang w:val="pt-PT"/>
        </w:rPr>
        <w:t xml:space="preserve"> a 97 cadetes (12 </w:t>
      </w:r>
      <w:r w:rsidR="00054EE0" w:rsidRPr="003A1174">
        <w:rPr>
          <w:rFonts w:ascii="Garamond" w:hAnsi="Garamond" w:cs="Arial"/>
          <w:sz w:val="24"/>
          <w:szCs w:val="24"/>
          <w:lang w:val="pt-PT"/>
        </w:rPr>
        <w:t>mulheres</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85 </w:t>
      </w:r>
      <w:r w:rsidR="00524936" w:rsidRPr="003A1174">
        <w:rPr>
          <w:rFonts w:ascii="Garamond" w:hAnsi="Garamond" w:cs="Arial"/>
          <w:sz w:val="24"/>
          <w:szCs w:val="24"/>
          <w:lang w:val="pt-PT"/>
        </w:rPr>
        <w:t>homens</w:t>
      </w:r>
      <w:r w:rsidR="00955D60" w:rsidRPr="003A1174">
        <w:rPr>
          <w:rFonts w:ascii="Garamond" w:hAnsi="Garamond" w:cs="Arial"/>
          <w:sz w:val="24"/>
          <w:szCs w:val="24"/>
          <w:lang w:val="pt-PT"/>
        </w:rPr>
        <w:t>).</w:t>
      </w:r>
    </w:p>
    <w:p w:rsidR="00955D60" w:rsidRPr="003A1174" w:rsidRDefault="003047D9" w:rsidP="008719D4">
      <w:pPr>
        <w:pStyle w:val="Prrafodelista"/>
        <w:numPr>
          <w:ilvl w:val="0"/>
          <w:numId w:val="37"/>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A</w:t>
      </w:r>
      <w:r w:rsidR="00955D60" w:rsidRPr="003A1174">
        <w:rPr>
          <w:rFonts w:ascii="Garamond" w:hAnsi="Garamond" w:cs="Arial"/>
          <w:sz w:val="24"/>
          <w:szCs w:val="24"/>
          <w:lang w:val="pt-PT"/>
        </w:rPr>
        <w:t xml:space="preserve"> </w:t>
      </w:r>
      <w:r w:rsidR="00A23EB8" w:rsidRPr="003A1174">
        <w:rPr>
          <w:rFonts w:ascii="Garamond" w:hAnsi="Garamond" w:cs="Arial"/>
          <w:sz w:val="24"/>
          <w:szCs w:val="24"/>
          <w:lang w:val="pt-PT"/>
        </w:rPr>
        <w:t>Escola</w:t>
      </w:r>
      <w:r w:rsidR="00955D60" w:rsidRPr="003A1174">
        <w:rPr>
          <w:rFonts w:ascii="Garamond" w:hAnsi="Garamond" w:cs="Arial"/>
          <w:sz w:val="24"/>
          <w:szCs w:val="24"/>
          <w:lang w:val="pt-PT"/>
        </w:rPr>
        <w:t xml:space="preserve"> de Pas</w:t>
      </w:r>
      <w:r w:rsidRPr="003A1174">
        <w:rPr>
          <w:rFonts w:ascii="Garamond" w:hAnsi="Garamond" w:cs="Arial"/>
          <w:sz w:val="24"/>
          <w:szCs w:val="24"/>
          <w:lang w:val="pt-PT"/>
        </w:rPr>
        <w:t xml:space="preserve">sagem </w:t>
      </w:r>
      <w:r w:rsidR="00955D60" w:rsidRPr="003A1174">
        <w:rPr>
          <w:rFonts w:ascii="Garamond" w:hAnsi="Garamond" w:cs="Arial"/>
          <w:sz w:val="24"/>
          <w:szCs w:val="24"/>
          <w:lang w:val="pt-PT"/>
        </w:rPr>
        <w:t xml:space="preserve">de </w:t>
      </w:r>
      <w:r w:rsidR="006D4D0B" w:rsidRPr="003A1174">
        <w:rPr>
          <w:rFonts w:ascii="Garamond" w:hAnsi="Garamond" w:cs="Arial"/>
          <w:sz w:val="24"/>
          <w:szCs w:val="24"/>
          <w:lang w:val="pt-PT"/>
        </w:rPr>
        <w:t>Grau</w:t>
      </w:r>
      <w:r w:rsidR="00955D60" w:rsidRPr="003A1174">
        <w:rPr>
          <w:rFonts w:ascii="Garamond" w:hAnsi="Garamond" w:cs="Arial"/>
          <w:sz w:val="24"/>
          <w:szCs w:val="24"/>
          <w:lang w:val="pt-PT"/>
        </w:rPr>
        <w:t xml:space="preserve"> para </w:t>
      </w:r>
      <w:r w:rsidR="00E150E9" w:rsidRPr="003A1174">
        <w:rPr>
          <w:rFonts w:ascii="Garamond" w:hAnsi="Garamond" w:cs="Arial"/>
          <w:sz w:val="24"/>
          <w:szCs w:val="24"/>
          <w:lang w:val="pt-PT"/>
        </w:rPr>
        <w:t>Oficiais</w:t>
      </w:r>
      <w:r w:rsidR="00955D60" w:rsidRPr="003A1174">
        <w:rPr>
          <w:rFonts w:ascii="Garamond" w:hAnsi="Garamond" w:cs="Arial"/>
          <w:sz w:val="24"/>
          <w:szCs w:val="24"/>
          <w:lang w:val="pt-PT"/>
        </w:rPr>
        <w:t xml:space="preserve"> de </w:t>
      </w:r>
      <w:r w:rsidR="00CF42A3" w:rsidRPr="003A1174">
        <w:rPr>
          <w:rFonts w:ascii="Garamond" w:hAnsi="Garamond" w:cs="Arial"/>
          <w:sz w:val="24"/>
          <w:szCs w:val="24"/>
          <w:lang w:val="pt-PT"/>
        </w:rPr>
        <w:t>Polícia</w:t>
      </w:r>
      <w:r w:rsidR="00955D60" w:rsidRPr="003A1174">
        <w:rPr>
          <w:rFonts w:ascii="Garamond" w:hAnsi="Garamond" w:cs="Arial"/>
          <w:sz w:val="24"/>
          <w:szCs w:val="24"/>
          <w:lang w:val="pt-PT"/>
        </w:rPr>
        <w:t xml:space="preserve"> (EPES) </w:t>
      </w:r>
      <w:r w:rsidRPr="003A1174">
        <w:rPr>
          <w:rFonts w:ascii="Garamond" w:hAnsi="Garamond" w:cs="Arial"/>
          <w:sz w:val="24"/>
          <w:szCs w:val="24"/>
          <w:lang w:val="pt-PT"/>
        </w:rPr>
        <w:t xml:space="preserve">ministra nos seus </w:t>
      </w:r>
      <w:r w:rsidR="00955D60" w:rsidRPr="003A1174">
        <w:rPr>
          <w:rFonts w:ascii="Garamond" w:hAnsi="Garamond" w:cs="Arial"/>
          <w:sz w:val="24"/>
          <w:szCs w:val="24"/>
          <w:lang w:val="pt-PT"/>
        </w:rPr>
        <w:t xml:space="preserve">cursos temas vinculados a género, </w:t>
      </w:r>
      <w:r w:rsidR="000350B1" w:rsidRPr="003A1174">
        <w:rPr>
          <w:rFonts w:ascii="Garamond" w:hAnsi="Garamond" w:cs="Arial"/>
          <w:sz w:val="24"/>
          <w:szCs w:val="24"/>
          <w:lang w:val="pt-PT"/>
        </w:rPr>
        <w:t>violência</w:t>
      </w:r>
      <w:r w:rsidR="00955D60" w:rsidRPr="003A1174">
        <w:rPr>
          <w:rFonts w:ascii="Garamond" w:hAnsi="Garamond" w:cs="Arial"/>
          <w:sz w:val="24"/>
          <w:szCs w:val="24"/>
          <w:lang w:val="pt-PT"/>
        </w:rPr>
        <w:t xml:space="preserve"> doméstica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00955D60" w:rsidRPr="003A1174">
        <w:rPr>
          <w:rFonts w:ascii="Garamond" w:hAnsi="Garamond" w:cs="Arial"/>
          <w:sz w:val="24"/>
          <w:szCs w:val="24"/>
          <w:lang w:val="pt-PT"/>
        </w:rPr>
        <w:t xml:space="preserve">s humanos, destacando </w:t>
      </w:r>
      <w:r w:rsidRPr="003A1174">
        <w:rPr>
          <w:rFonts w:ascii="Garamond" w:hAnsi="Garamond" w:cs="Arial"/>
          <w:sz w:val="24"/>
          <w:szCs w:val="24"/>
          <w:lang w:val="pt-PT"/>
        </w:rPr>
        <w:t>o</w:t>
      </w:r>
      <w:r w:rsidR="00955D60" w:rsidRPr="003A1174">
        <w:rPr>
          <w:rFonts w:ascii="Garamond" w:hAnsi="Garamond" w:cs="Arial"/>
          <w:sz w:val="24"/>
          <w:szCs w:val="24"/>
          <w:lang w:val="pt-PT"/>
        </w:rPr>
        <w:t xml:space="preserve"> curso de pas</w:t>
      </w:r>
      <w:r w:rsidRPr="003A1174">
        <w:rPr>
          <w:rFonts w:ascii="Garamond" w:hAnsi="Garamond" w:cs="Arial"/>
          <w:sz w:val="24"/>
          <w:szCs w:val="24"/>
          <w:lang w:val="pt-PT"/>
        </w:rPr>
        <w:t xml:space="preserve">sagem </w:t>
      </w:r>
      <w:r w:rsidR="00955D60" w:rsidRPr="003A1174">
        <w:rPr>
          <w:rFonts w:ascii="Garamond" w:hAnsi="Garamond" w:cs="Arial"/>
          <w:sz w:val="24"/>
          <w:szCs w:val="24"/>
          <w:lang w:val="pt-PT"/>
        </w:rPr>
        <w:t xml:space="preserve">de </w:t>
      </w:r>
      <w:r w:rsidR="006D4D0B" w:rsidRPr="003A1174">
        <w:rPr>
          <w:rFonts w:ascii="Garamond" w:hAnsi="Garamond" w:cs="Arial"/>
          <w:sz w:val="24"/>
          <w:szCs w:val="24"/>
          <w:lang w:val="pt-PT"/>
        </w:rPr>
        <w:t>grau</w:t>
      </w:r>
      <w:r w:rsidR="003321CE" w:rsidRPr="003A1174">
        <w:rPr>
          <w:rFonts w:ascii="Garamond" w:hAnsi="Garamond" w:cs="Arial"/>
          <w:sz w:val="24"/>
          <w:szCs w:val="24"/>
          <w:lang w:val="pt-PT"/>
        </w:rPr>
        <w:t xml:space="preserve"> de </w:t>
      </w:r>
      <w:r w:rsidR="004539EA" w:rsidRPr="003A1174">
        <w:rPr>
          <w:rFonts w:ascii="Garamond" w:hAnsi="Garamond" w:cs="Arial"/>
          <w:sz w:val="24"/>
          <w:szCs w:val="24"/>
          <w:lang w:val="pt-PT"/>
        </w:rPr>
        <w:t>subcomissário</w:t>
      </w:r>
      <w:r w:rsidR="003321CE" w:rsidRPr="003A1174">
        <w:rPr>
          <w:rFonts w:ascii="Garamond" w:hAnsi="Garamond" w:cs="Arial"/>
          <w:sz w:val="24"/>
          <w:szCs w:val="24"/>
          <w:lang w:val="pt-PT"/>
        </w:rPr>
        <w:t xml:space="preserve"> a comis</w:t>
      </w:r>
      <w:r w:rsidRPr="003A1174">
        <w:rPr>
          <w:rFonts w:ascii="Garamond" w:hAnsi="Garamond" w:cs="Arial"/>
          <w:sz w:val="24"/>
          <w:szCs w:val="24"/>
          <w:lang w:val="pt-PT"/>
        </w:rPr>
        <w:t>sá</w:t>
      </w:r>
      <w:r w:rsidR="003321CE" w:rsidRPr="003A1174">
        <w:rPr>
          <w:rFonts w:ascii="Garamond" w:hAnsi="Garamond" w:cs="Arial"/>
          <w:sz w:val="24"/>
          <w:szCs w:val="24"/>
          <w:lang w:val="pt-PT"/>
        </w:rPr>
        <w:t xml:space="preserve">rio </w:t>
      </w:r>
      <w:r w:rsidRPr="003A1174">
        <w:rPr>
          <w:rFonts w:ascii="Garamond" w:hAnsi="Garamond" w:cs="Arial"/>
          <w:sz w:val="24"/>
          <w:szCs w:val="24"/>
          <w:lang w:val="pt-PT"/>
        </w:rPr>
        <w:t xml:space="preserve">ministrado a partir do </w:t>
      </w:r>
      <w:r w:rsidR="00955D60" w:rsidRPr="003A1174">
        <w:rPr>
          <w:rFonts w:ascii="Garamond" w:hAnsi="Garamond" w:cs="Arial"/>
          <w:sz w:val="24"/>
          <w:szCs w:val="24"/>
          <w:lang w:val="pt-PT"/>
        </w:rPr>
        <w:t>Portal Educativo da ENP</w:t>
      </w:r>
      <w:r w:rsidR="003321CE" w:rsidRPr="003A1174">
        <w:rPr>
          <w:rFonts w:ascii="Garamond" w:hAnsi="Garamond" w:cs="Arial"/>
          <w:sz w:val="24"/>
          <w:szCs w:val="24"/>
          <w:lang w:val="pt-PT"/>
        </w:rPr>
        <w:t>,</w:t>
      </w:r>
      <w:r w:rsidR="00955D60" w:rsidRPr="003A1174">
        <w:rPr>
          <w:rFonts w:ascii="Garamond" w:hAnsi="Garamond" w:cs="Arial"/>
          <w:sz w:val="24"/>
          <w:szCs w:val="24"/>
          <w:lang w:val="pt-PT"/>
        </w:rPr>
        <w:t xml:space="preserve"> co</w:t>
      </w:r>
      <w:r w:rsidRPr="003A1174">
        <w:rPr>
          <w:rFonts w:ascii="Garamond" w:hAnsi="Garamond" w:cs="Arial"/>
          <w:sz w:val="24"/>
          <w:szCs w:val="24"/>
          <w:lang w:val="pt-PT"/>
        </w:rPr>
        <w:t>m</w:t>
      </w:r>
      <w:r w:rsidR="00955D60" w:rsidRPr="003A1174">
        <w:rPr>
          <w:rFonts w:ascii="Garamond" w:hAnsi="Garamond" w:cs="Arial"/>
          <w:sz w:val="24"/>
          <w:szCs w:val="24"/>
          <w:lang w:val="pt-PT"/>
        </w:rPr>
        <w:t xml:space="preserve"> trinta horas </w:t>
      </w:r>
      <w:r w:rsidR="004539EA" w:rsidRPr="003A1174">
        <w:rPr>
          <w:rFonts w:ascii="Garamond" w:hAnsi="Garamond" w:cs="Arial"/>
          <w:sz w:val="24"/>
          <w:szCs w:val="24"/>
          <w:lang w:val="pt-PT"/>
        </w:rPr>
        <w:t>semipresenciais</w:t>
      </w:r>
      <w:r w:rsidR="00112F7B">
        <w:rPr>
          <w:rFonts w:ascii="Garamond" w:hAnsi="Garamond" w:cs="Arial"/>
          <w:sz w:val="24"/>
          <w:szCs w:val="24"/>
          <w:lang w:val="pt-PT"/>
        </w:rPr>
        <w:t>, envolvendo</w:t>
      </w:r>
      <w:r w:rsidRPr="003A1174">
        <w:rPr>
          <w:rFonts w:ascii="Garamond" w:hAnsi="Garamond" w:cs="Arial"/>
          <w:sz w:val="24"/>
          <w:szCs w:val="24"/>
          <w:lang w:val="pt-PT"/>
        </w:rPr>
        <w:t xml:space="preserve"> </w:t>
      </w:r>
      <w:r w:rsidR="00955D60" w:rsidRPr="003A1174">
        <w:rPr>
          <w:rFonts w:ascii="Garamond" w:hAnsi="Garamond" w:cs="Arial"/>
          <w:sz w:val="24"/>
          <w:szCs w:val="24"/>
          <w:lang w:val="pt-PT"/>
        </w:rPr>
        <w:t xml:space="preserve">451 </w:t>
      </w:r>
      <w:r w:rsidR="00CF42A3" w:rsidRPr="003A1174">
        <w:rPr>
          <w:rFonts w:ascii="Garamond" w:hAnsi="Garamond" w:cs="Arial"/>
          <w:sz w:val="24"/>
          <w:szCs w:val="24"/>
          <w:lang w:val="pt-PT"/>
        </w:rPr>
        <w:t>polícia</w:t>
      </w:r>
      <w:r w:rsidR="00955D60" w:rsidRPr="003A1174">
        <w:rPr>
          <w:rFonts w:ascii="Garamond" w:hAnsi="Garamond" w:cs="Arial"/>
          <w:sz w:val="24"/>
          <w:szCs w:val="24"/>
          <w:lang w:val="pt-PT"/>
        </w:rPr>
        <w:t xml:space="preserve">s (150 </w:t>
      </w:r>
      <w:r w:rsidR="00054EE0" w:rsidRPr="003A1174">
        <w:rPr>
          <w:rFonts w:ascii="Garamond" w:hAnsi="Garamond" w:cs="Arial"/>
          <w:sz w:val="24"/>
          <w:szCs w:val="24"/>
          <w:lang w:val="pt-PT"/>
        </w:rPr>
        <w:t>mulheres</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301 </w:t>
      </w:r>
      <w:r w:rsidR="00524936" w:rsidRPr="003A1174">
        <w:rPr>
          <w:rFonts w:ascii="Garamond" w:hAnsi="Garamond" w:cs="Arial"/>
          <w:sz w:val="24"/>
          <w:szCs w:val="24"/>
          <w:lang w:val="pt-PT"/>
        </w:rPr>
        <w:t>homens</w:t>
      </w:r>
      <w:r w:rsidR="00955D60" w:rsidRPr="003A1174">
        <w:rPr>
          <w:rFonts w:ascii="Garamond" w:hAnsi="Garamond" w:cs="Arial"/>
          <w:sz w:val="24"/>
          <w:szCs w:val="24"/>
          <w:lang w:val="pt-PT"/>
        </w:rPr>
        <w:t>).</w:t>
      </w:r>
    </w:p>
    <w:p w:rsidR="00955D60" w:rsidRPr="003A1174" w:rsidRDefault="003047D9" w:rsidP="008719D4">
      <w:pPr>
        <w:pStyle w:val="Prrafodelista"/>
        <w:numPr>
          <w:ilvl w:val="0"/>
          <w:numId w:val="37"/>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 xml:space="preserve">O </w:t>
      </w:r>
      <w:r w:rsidR="00955D60" w:rsidRPr="003A1174">
        <w:rPr>
          <w:rFonts w:ascii="Garamond" w:hAnsi="Garamond" w:cs="Arial"/>
          <w:sz w:val="24"/>
          <w:szCs w:val="24"/>
          <w:lang w:val="pt-PT"/>
        </w:rPr>
        <w:t xml:space="preserve">Centro de </w:t>
      </w:r>
      <w:r w:rsidR="00454353" w:rsidRPr="003A1174">
        <w:rPr>
          <w:rFonts w:ascii="Garamond" w:hAnsi="Garamond" w:cs="Arial"/>
          <w:sz w:val="24"/>
          <w:szCs w:val="24"/>
          <w:lang w:val="pt-PT"/>
        </w:rPr>
        <w:t>Formação</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w:t>
      </w:r>
      <w:r w:rsidR="002A71E1">
        <w:rPr>
          <w:rFonts w:ascii="Garamond" w:hAnsi="Garamond" w:cs="Arial"/>
          <w:sz w:val="24"/>
          <w:szCs w:val="24"/>
          <w:lang w:val="pt-PT"/>
        </w:rPr>
        <w:t xml:space="preserve">Profissionalização </w:t>
      </w:r>
      <w:r w:rsidR="00955D60" w:rsidRPr="003A1174">
        <w:rPr>
          <w:rFonts w:ascii="Garamond" w:hAnsi="Garamond" w:cs="Arial"/>
          <w:sz w:val="24"/>
          <w:szCs w:val="24"/>
          <w:lang w:val="pt-PT"/>
        </w:rPr>
        <w:t xml:space="preserve">para </w:t>
      </w:r>
      <w:r w:rsidRPr="003A1174">
        <w:rPr>
          <w:rFonts w:ascii="Garamond" w:hAnsi="Garamond" w:cs="Arial"/>
          <w:sz w:val="24"/>
          <w:szCs w:val="24"/>
          <w:lang w:val="pt-PT"/>
        </w:rPr>
        <w:t>o</w:t>
      </w:r>
      <w:r w:rsidR="00955D60" w:rsidRPr="003A1174">
        <w:rPr>
          <w:rFonts w:ascii="Garamond" w:hAnsi="Garamond" w:cs="Arial"/>
          <w:sz w:val="24"/>
          <w:szCs w:val="24"/>
          <w:lang w:val="pt-PT"/>
        </w:rPr>
        <w:t xml:space="preserve"> </w:t>
      </w:r>
      <w:r w:rsidR="008278C4" w:rsidRPr="003A1174">
        <w:rPr>
          <w:rFonts w:ascii="Garamond" w:hAnsi="Garamond" w:cs="Arial"/>
          <w:sz w:val="24"/>
          <w:szCs w:val="24"/>
          <w:lang w:val="pt-PT"/>
        </w:rPr>
        <w:t>Pessoal</w:t>
      </w:r>
      <w:r w:rsidR="00955D60" w:rsidRPr="003A1174">
        <w:rPr>
          <w:rFonts w:ascii="Garamond" w:hAnsi="Garamond" w:cs="Arial"/>
          <w:sz w:val="24"/>
          <w:szCs w:val="24"/>
          <w:lang w:val="pt-PT"/>
        </w:rPr>
        <w:t xml:space="preserve"> Subalterno, que </w:t>
      </w:r>
      <w:r w:rsidR="007A2492" w:rsidRPr="003A1174">
        <w:rPr>
          <w:rFonts w:ascii="Garamond" w:hAnsi="Garamond" w:cs="Arial"/>
          <w:sz w:val="24"/>
          <w:szCs w:val="24"/>
          <w:lang w:val="pt-PT"/>
        </w:rPr>
        <w:t>tem</w:t>
      </w:r>
      <w:r w:rsidR="00955D60" w:rsidRPr="003A1174">
        <w:rPr>
          <w:rFonts w:ascii="Garamond" w:hAnsi="Garamond" w:cs="Arial"/>
          <w:sz w:val="24"/>
          <w:szCs w:val="24"/>
          <w:lang w:val="pt-PT"/>
        </w:rPr>
        <w:t xml:space="preserve"> </w:t>
      </w:r>
      <w:r w:rsidRPr="003A1174">
        <w:rPr>
          <w:rFonts w:ascii="Garamond" w:hAnsi="Garamond" w:cs="Arial"/>
          <w:sz w:val="24"/>
          <w:szCs w:val="24"/>
          <w:lang w:val="pt-PT"/>
        </w:rPr>
        <w:t xml:space="preserve">a missão de </w:t>
      </w:r>
      <w:r w:rsidR="00955D60" w:rsidRPr="003A1174">
        <w:rPr>
          <w:rFonts w:ascii="Garamond" w:hAnsi="Garamond" w:cs="Arial"/>
          <w:sz w:val="24"/>
          <w:szCs w:val="24"/>
          <w:lang w:val="pt-PT"/>
        </w:rPr>
        <w:t xml:space="preserve">formar para </w:t>
      </w:r>
      <w:r w:rsidR="00112F7B">
        <w:rPr>
          <w:rFonts w:ascii="Garamond" w:hAnsi="Garamond" w:cs="Arial"/>
          <w:sz w:val="24"/>
          <w:szCs w:val="24"/>
          <w:lang w:val="pt-PT"/>
        </w:rPr>
        <w:t>o ingresso</w:t>
      </w:r>
      <w:r w:rsidRPr="003A1174">
        <w:rPr>
          <w:rFonts w:ascii="Garamond" w:hAnsi="Garamond" w:cs="Arial"/>
          <w:sz w:val="24"/>
          <w:szCs w:val="24"/>
          <w:lang w:val="pt-PT"/>
        </w:rPr>
        <w:t xml:space="preserve"> de </w:t>
      </w:r>
      <w:r w:rsidR="00CF42A3" w:rsidRPr="003A1174">
        <w:rPr>
          <w:rFonts w:ascii="Garamond" w:hAnsi="Garamond" w:cs="Arial"/>
          <w:sz w:val="24"/>
          <w:szCs w:val="24"/>
          <w:lang w:val="pt-PT"/>
        </w:rPr>
        <w:t>polícia</w:t>
      </w:r>
      <w:r w:rsidR="00955D60" w:rsidRPr="003A1174">
        <w:rPr>
          <w:rFonts w:ascii="Garamond" w:hAnsi="Garamond" w:cs="Arial"/>
          <w:sz w:val="24"/>
          <w:szCs w:val="24"/>
          <w:lang w:val="pt-PT"/>
        </w:rPr>
        <w:t xml:space="preserve">s de Montevideo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San José, </w:t>
      </w:r>
      <w:r w:rsidR="00E335B8" w:rsidRPr="003A1174">
        <w:rPr>
          <w:rFonts w:ascii="Garamond" w:hAnsi="Garamond" w:cs="Arial"/>
          <w:sz w:val="24"/>
          <w:szCs w:val="24"/>
          <w:lang w:val="pt-PT"/>
        </w:rPr>
        <w:t xml:space="preserve">tem uma disciplina sobre </w:t>
      </w:r>
      <w:r w:rsidR="000350B1" w:rsidRPr="003A1174">
        <w:rPr>
          <w:rFonts w:ascii="Garamond" w:hAnsi="Garamond" w:cs="Arial"/>
          <w:sz w:val="24"/>
          <w:szCs w:val="24"/>
          <w:lang w:val="pt-PT"/>
        </w:rPr>
        <w:t>violência</w:t>
      </w:r>
      <w:r w:rsidR="00955D60" w:rsidRPr="003A1174">
        <w:rPr>
          <w:rFonts w:ascii="Garamond" w:hAnsi="Garamond" w:cs="Arial"/>
          <w:sz w:val="24"/>
          <w:szCs w:val="24"/>
          <w:lang w:val="pt-PT"/>
        </w:rPr>
        <w:t xml:space="preserve"> doméstica </w:t>
      </w:r>
      <w:r w:rsidR="003A391A" w:rsidRPr="003A1174">
        <w:rPr>
          <w:rFonts w:ascii="Garamond" w:hAnsi="Garamond" w:cs="Arial"/>
          <w:sz w:val="24"/>
          <w:szCs w:val="24"/>
          <w:lang w:val="pt-PT"/>
        </w:rPr>
        <w:t>nos</w:t>
      </w:r>
      <w:r w:rsidR="00955D60" w:rsidRPr="003A1174">
        <w:rPr>
          <w:rFonts w:ascii="Garamond" w:hAnsi="Garamond" w:cs="Arial"/>
          <w:sz w:val="24"/>
          <w:szCs w:val="24"/>
          <w:lang w:val="pt-PT"/>
        </w:rPr>
        <w:t xml:space="preserve"> cursos de pas</w:t>
      </w:r>
      <w:r w:rsidR="00E335B8" w:rsidRPr="003A1174">
        <w:rPr>
          <w:rFonts w:ascii="Garamond" w:hAnsi="Garamond" w:cs="Arial"/>
          <w:sz w:val="24"/>
          <w:szCs w:val="24"/>
          <w:lang w:val="pt-PT"/>
        </w:rPr>
        <w:t xml:space="preserve">sagem </w:t>
      </w:r>
      <w:r w:rsidR="00955D60" w:rsidRPr="003A1174">
        <w:rPr>
          <w:rFonts w:ascii="Garamond" w:hAnsi="Garamond" w:cs="Arial"/>
          <w:sz w:val="24"/>
          <w:szCs w:val="24"/>
          <w:lang w:val="pt-PT"/>
        </w:rPr>
        <w:t xml:space="preserve">de </w:t>
      </w:r>
      <w:r w:rsidR="006D4D0B" w:rsidRPr="003A1174">
        <w:rPr>
          <w:rFonts w:ascii="Garamond" w:hAnsi="Garamond" w:cs="Arial"/>
          <w:sz w:val="24"/>
          <w:szCs w:val="24"/>
          <w:lang w:val="pt-PT"/>
        </w:rPr>
        <w:t>grau</w:t>
      </w:r>
      <w:r w:rsidR="00955D60" w:rsidRPr="003A1174">
        <w:rPr>
          <w:rFonts w:ascii="Garamond" w:hAnsi="Garamond" w:cs="Arial"/>
          <w:sz w:val="24"/>
          <w:szCs w:val="24"/>
          <w:lang w:val="pt-PT"/>
        </w:rPr>
        <w:t xml:space="preserve"> de </w:t>
      </w:r>
      <w:r w:rsidR="003321CE" w:rsidRPr="003A1174">
        <w:rPr>
          <w:rFonts w:ascii="Garamond" w:hAnsi="Garamond" w:cs="Arial"/>
          <w:sz w:val="24"/>
          <w:szCs w:val="24"/>
          <w:lang w:val="pt-PT"/>
        </w:rPr>
        <w:t xml:space="preserve">agente </w:t>
      </w:r>
      <w:r w:rsidR="00E335B8" w:rsidRPr="003A1174">
        <w:rPr>
          <w:rFonts w:ascii="Garamond" w:hAnsi="Garamond" w:cs="Arial"/>
          <w:sz w:val="24"/>
          <w:szCs w:val="24"/>
          <w:lang w:val="pt-PT"/>
        </w:rPr>
        <w:t xml:space="preserve">de primeira a </w:t>
      </w:r>
      <w:r w:rsidR="003321CE" w:rsidRPr="003A1174">
        <w:rPr>
          <w:rFonts w:ascii="Garamond" w:hAnsi="Garamond" w:cs="Arial"/>
          <w:sz w:val="24"/>
          <w:szCs w:val="24"/>
          <w:lang w:val="pt-PT"/>
        </w:rPr>
        <w:t xml:space="preserve">cabo </w:t>
      </w:r>
      <w:r w:rsidR="000672E8" w:rsidRPr="003A1174">
        <w:rPr>
          <w:rFonts w:ascii="Garamond" w:hAnsi="Garamond" w:cs="Arial"/>
          <w:sz w:val="24"/>
          <w:szCs w:val="24"/>
          <w:lang w:val="pt-PT"/>
        </w:rPr>
        <w:t>e</w:t>
      </w:r>
      <w:r w:rsidR="003321CE" w:rsidRPr="003A1174">
        <w:rPr>
          <w:rFonts w:ascii="Garamond" w:hAnsi="Garamond" w:cs="Arial"/>
          <w:sz w:val="24"/>
          <w:szCs w:val="24"/>
          <w:lang w:val="pt-PT"/>
        </w:rPr>
        <w:t xml:space="preserve"> de sargento para sargento </w:t>
      </w:r>
      <w:r w:rsidR="00E335B8" w:rsidRPr="003A1174">
        <w:rPr>
          <w:rFonts w:ascii="Garamond" w:hAnsi="Garamond" w:cs="Arial"/>
          <w:sz w:val="24"/>
          <w:szCs w:val="24"/>
          <w:lang w:val="pt-PT"/>
        </w:rPr>
        <w:t>de primeira</w:t>
      </w:r>
      <w:r w:rsidR="00955D60" w:rsidRPr="003A1174">
        <w:rPr>
          <w:rFonts w:ascii="Garamond" w:hAnsi="Garamond" w:cs="Arial"/>
          <w:sz w:val="24"/>
          <w:szCs w:val="24"/>
          <w:lang w:val="pt-PT"/>
        </w:rPr>
        <w:t>, compre</w:t>
      </w:r>
      <w:r w:rsidR="00E335B8" w:rsidRPr="003A1174">
        <w:rPr>
          <w:rFonts w:ascii="Garamond" w:hAnsi="Garamond" w:cs="Arial"/>
          <w:sz w:val="24"/>
          <w:szCs w:val="24"/>
          <w:lang w:val="pt-PT"/>
        </w:rPr>
        <w:t>end</w:t>
      </w:r>
      <w:r w:rsidR="00955D60" w:rsidRPr="003A1174">
        <w:rPr>
          <w:rFonts w:ascii="Garamond" w:hAnsi="Garamond" w:cs="Arial"/>
          <w:sz w:val="24"/>
          <w:szCs w:val="24"/>
          <w:lang w:val="pt-PT"/>
        </w:rPr>
        <w:t>endo 333</w:t>
      </w:r>
      <w:r w:rsidR="003321CE" w:rsidRPr="003A1174">
        <w:rPr>
          <w:rFonts w:ascii="Garamond" w:hAnsi="Garamond" w:cs="Arial"/>
          <w:sz w:val="24"/>
          <w:szCs w:val="24"/>
          <w:lang w:val="pt-PT"/>
        </w:rPr>
        <w:t xml:space="preserve"> </w:t>
      </w:r>
      <w:r w:rsidR="00CF42A3" w:rsidRPr="003A1174">
        <w:rPr>
          <w:rFonts w:ascii="Garamond" w:hAnsi="Garamond" w:cs="Arial"/>
          <w:sz w:val="24"/>
          <w:szCs w:val="24"/>
          <w:lang w:val="pt-PT"/>
        </w:rPr>
        <w:t>polícia</w:t>
      </w:r>
      <w:r w:rsidR="00955D60" w:rsidRPr="003A1174">
        <w:rPr>
          <w:rFonts w:ascii="Garamond" w:hAnsi="Garamond" w:cs="Arial"/>
          <w:sz w:val="24"/>
          <w:szCs w:val="24"/>
          <w:lang w:val="pt-PT"/>
        </w:rPr>
        <w:t xml:space="preserve">s (20 </w:t>
      </w:r>
      <w:r w:rsidR="00054EE0" w:rsidRPr="003A1174">
        <w:rPr>
          <w:rFonts w:ascii="Garamond" w:hAnsi="Garamond" w:cs="Arial"/>
          <w:sz w:val="24"/>
          <w:szCs w:val="24"/>
          <w:lang w:val="pt-PT"/>
        </w:rPr>
        <w:t>mulheres</w:t>
      </w:r>
      <w:r w:rsidR="00955D60"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955D60" w:rsidRPr="003A1174">
        <w:rPr>
          <w:rFonts w:ascii="Garamond" w:hAnsi="Garamond" w:cs="Arial"/>
          <w:sz w:val="24"/>
          <w:szCs w:val="24"/>
          <w:lang w:val="pt-PT"/>
        </w:rPr>
        <w:t xml:space="preserve"> 313 </w:t>
      </w:r>
      <w:r w:rsidR="00524936" w:rsidRPr="003A1174">
        <w:rPr>
          <w:rFonts w:ascii="Garamond" w:hAnsi="Garamond" w:cs="Arial"/>
          <w:sz w:val="24"/>
          <w:szCs w:val="24"/>
          <w:lang w:val="pt-PT"/>
        </w:rPr>
        <w:t>homens</w:t>
      </w:r>
      <w:r w:rsidR="00955D60" w:rsidRPr="003A1174">
        <w:rPr>
          <w:rFonts w:ascii="Garamond" w:hAnsi="Garamond" w:cs="Arial"/>
          <w:sz w:val="24"/>
          <w:szCs w:val="24"/>
          <w:lang w:val="pt-PT"/>
        </w:rPr>
        <w:t>).</w:t>
      </w:r>
    </w:p>
    <w:p w:rsidR="00955D60" w:rsidRPr="003A1174" w:rsidRDefault="00E335B8" w:rsidP="008719D4">
      <w:pPr>
        <w:pStyle w:val="Prrafodelista"/>
        <w:numPr>
          <w:ilvl w:val="0"/>
          <w:numId w:val="37"/>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 xml:space="preserve">Todas </w:t>
      </w:r>
      <w:r w:rsidR="00955D60" w:rsidRPr="003A1174">
        <w:rPr>
          <w:rFonts w:ascii="Garamond" w:hAnsi="Garamond" w:cs="Arial"/>
          <w:sz w:val="24"/>
          <w:szCs w:val="24"/>
          <w:lang w:val="pt-PT"/>
        </w:rPr>
        <w:t xml:space="preserve">as </w:t>
      </w:r>
      <w:r w:rsidR="00A23EB8" w:rsidRPr="003A1174">
        <w:rPr>
          <w:rFonts w:ascii="Garamond" w:hAnsi="Garamond" w:cs="Arial"/>
          <w:sz w:val="24"/>
          <w:szCs w:val="24"/>
          <w:lang w:val="pt-PT"/>
        </w:rPr>
        <w:t>Escola</w:t>
      </w:r>
      <w:r w:rsidR="00955D60" w:rsidRPr="003A1174">
        <w:rPr>
          <w:rFonts w:ascii="Garamond" w:hAnsi="Garamond" w:cs="Arial"/>
          <w:sz w:val="24"/>
          <w:szCs w:val="24"/>
          <w:lang w:val="pt-PT"/>
        </w:rPr>
        <w:t>s Departamen</w:t>
      </w:r>
      <w:r w:rsidR="00A41573" w:rsidRPr="003A1174">
        <w:rPr>
          <w:rFonts w:ascii="Garamond" w:hAnsi="Garamond" w:cs="Arial"/>
          <w:sz w:val="24"/>
          <w:szCs w:val="24"/>
          <w:lang w:val="pt-PT"/>
        </w:rPr>
        <w:t>ta</w:t>
      </w:r>
      <w:r w:rsidR="00821CFF" w:rsidRPr="003A1174">
        <w:rPr>
          <w:rFonts w:ascii="Garamond" w:hAnsi="Garamond" w:cs="Arial"/>
          <w:sz w:val="24"/>
          <w:szCs w:val="24"/>
          <w:lang w:val="pt-PT"/>
        </w:rPr>
        <w:t>i</w:t>
      </w:r>
      <w:r w:rsidR="00A41573" w:rsidRPr="003A1174">
        <w:rPr>
          <w:rFonts w:ascii="Garamond" w:hAnsi="Garamond" w:cs="Arial"/>
          <w:sz w:val="24"/>
          <w:szCs w:val="24"/>
          <w:lang w:val="pt-PT"/>
        </w:rPr>
        <w:t>s</w:t>
      </w:r>
      <w:r w:rsidR="00955D60"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955D60" w:rsidRPr="003A1174">
        <w:rPr>
          <w:rFonts w:ascii="Garamond" w:hAnsi="Garamond" w:cs="Arial"/>
          <w:sz w:val="24"/>
          <w:szCs w:val="24"/>
          <w:lang w:val="pt-PT"/>
        </w:rPr>
        <w:t xml:space="preserve"> país (17)</w:t>
      </w:r>
      <w:r w:rsidR="00112F7B">
        <w:rPr>
          <w:rFonts w:ascii="Garamond" w:hAnsi="Garamond" w:cs="Arial"/>
          <w:sz w:val="24"/>
          <w:szCs w:val="24"/>
          <w:lang w:val="pt-PT"/>
        </w:rPr>
        <w:t>,</w:t>
      </w:r>
      <w:r w:rsidR="00955D60" w:rsidRPr="003A1174">
        <w:rPr>
          <w:rFonts w:ascii="Garamond" w:hAnsi="Garamond" w:cs="Arial"/>
          <w:sz w:val="24"/>
          <w:szCs w:val="24"/>
          <w:lang w:val="pt-PT"/>
        </w:rPr>
        <w:t xml:space="preserve"> para </w:t>
      </w:r>
      <w:r w:rsidRPr="003A1174">
        <w:rPr>
          <w:rFonts w:ascii="Garamond" w:hAnsi="Garamond" w:cs="Arial"/>
          <w:sz w:val="24"/>
          <w:szCs w:val="24"/>
          <w:lang w:val="pt-PT"/>
        </w:rPr>
        <w:t xml:space="preserve">o </w:t>
      </w:r>
      <w:r w:rsidR="00955D60" w:rsidRPr="003A1174">
        <w:rPr>
          <w:rFonts w:ascii="Garamond" w:hAnsi="Garamond" w:cs="Arial"/>
          <w:sz w:val="24"/>
          <w:szCs w:val="24"/>
          <w:lang w:val="pt-PT"/>
        </w:rPr>
        <w:t>ingres</w:t>
      </w:r>
      <w:r w:rsidRPr="003A1174">
        <w:rPr>
          <w:rFonts w:ascii="Garamond" w:hAnsi="Garamond" w:cs="Arial"/>
          <w:sz w:val="24"/>
          <w:szCs w:val="24"/>
          <w:lang w:val="pt-PT"/>
        </w:rPr>
        <w:t>s</w:t>
      </w:r>
      <w:r w:rsidR="00955D60" w:rsidRPr="003A1174">
        <w:rPr>
          <w:rFonts w:ascii="Garamond" w:hAnsi="Garamond" w:cs="Arial"/>
          <w:sz w:val="24"/>
          <w:szCs w:val="24"/>
          <w:lang w:val="pt-PT"/>
        </w:rPr>
        <w:t xml:space="preserve">o </w:t>
      </w:r>
      <w:r w:rsidR="00E85E59" w:rsidRPr="003A1174">
        <w:rPr>
          <w:rFonts w:ascii="Garamond" w:hAnsi="Garamond" w:cs="Arial"/>
          <w:sz w:val="24"/>
          <w:szCs w:val="24"/>
          <w:lang w:val="pt-PT"/>
        </w:rPr>
        <w:t>do</w:t>
      </w:r>
      <w:r w:rsidR="00955D60" w:rsidRPr="003A1174">
        <w:rPr>
          <w:rFonts w:ascii="Garamond" w:hAnsi="Garamond" w:cs="Arial"/>
          <w:sz w:val="24"/>
          <w:szCs w:val="24"/>
          <w:lang w:val="pt-PT"/>
        </w:rPr>
        <w:t xml:space="preserve"> </w:t>
      </w:r>
      <w:r w:rsidR="008278C4" w:rsidRPr="003A1174">
        <w:rPr>
          <w:rFonts w:ascii="Garamond" w:hAnsi="Garamond" w:cs="Arial"/>
          <w:sz w:val="24"/>
          <w:szCs w:val="24"/>
          <w:lang w:val="pt-PT"/>
        </w:rPr>
        <w:t>pessoal</w:t>
      </w:r>
      <w:r w:rsidR="003321CE" w:rsidRPr="003A1174">
        <w:rPr>
          <w:rFonts w:ascii="Garamond" w:hAnsi="Garamond" w:cs="Arial"/>
          <w:sz w:val="24"/>
          <w:szCs w:val="24"/>
          <w:lang w:val="pt-PT"/>
        </w:rPr>
        <w:t xml:space="preserve"> subalterno</w:t>
      </w:r>
      <w:r w:rsidR="00112F7B">
        <w:rPr>
          <w:rFonts w:ascii="Garamond" w:hAnsi="Garamond" w:cs="Arial"/>
          <w:sz w:val="24"/>
          <w:szCs w:val="24"/>
          <w:lang w:val="pt-PT"/>
        </w:rPr>
        <w:t>,</w:t>
      </w:r>
      <w:r w:rsidRPr="003A1174">
        <w:rPr>
          <w:rFonts w:ascii="Garamond" w:hAnsi="Garamond" w:cs="Arial"/>
          <w:sz w:val="24"/>
          <w:szCs w:val="24"/>
          <w:lang w:val="pt-PT"/>
        </w:rPr>
        <w:t xml:space="preserve"> </w:t>
      </w:r>
      <w:r w:rsidR="00112F7B">
        <w:rPr>
          <w:rFonts w:ascii="Garamond" w:hAnsi="Garamond" w:cs="Arial"/>
          <w:sz w:val="24"/>
          <w:szCs w:val="24"/>
          <w:lang w:val="pt-PT"/>
        </w:rPr>
        <w:t xml:space="preserve">ministram </w:t>
      </w:r>
      <w:r w:rsidR="001B7D0B">
        <w:rPr>
          <w:rFonts w:ascii="Garamond" w:hAnsi="Garamond" w:cs="Arial"/>
          <w:sz w:val="24"/>
          <w:szCs w:val="24"/>
          <w:lang w:val="pt-PT"/>
        </w:rPr>
        <w:t xml:space="preserve">formação </w:t>
      </w:r>
      <w:r w:rsidR="00955D60" w:rsidRPr="003A1174">
        <w:rPr>
          <w:rFonts w:ascii="Garamond" w:hAnsi="Garamond" w:cs="Arial"/>
          <w:sz w:val="24"/>
          <w:szCs w:val="24"/>
          <w:lang w:val="pt-PT"/>
        </w:rPr>
        <w:t>e</w:t>
      </w:r>
      <w:r w:rsidRPr="003A1174">
        <w:rPr>
          <w:rFonts w:ascii="Garamond" w:hAnsi="Garamond" w:cs="Arial"/>
          <w:sz w:val="24"/>
          <w:szCs w:val="24"/>
          <w:lang w:val="pt-PT"/>
        </w:rPr>
        <w:t>m</w:t>
      </w:r>
      <w:r w:rsidR="00955D60"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00955D60" w:rsidRPr="003A1174">
        <w:rPr>
          <w:rFonts w:ascii="Garamond" w:hAnsi="Garamond" w:cs="Arial"/>
          <w:sz w:val="24"/>
          <w:szCs w:val="24"/>
          <w:lang w:val="pt-PT"/>
        </w:rPr>
        <w:t xml:space="preserve"> doméstica, </w:t>
      </w:r>
      <w:r w:rsidRPr="003A1174">
        <w:rPr>
          <w:rFonts w:ascii="Garamond" w:hAnsi="Garamond" w:cs="Arial"/>
          <w:sz w:val="24"/>
          <w:szCs w:val="24"/>
          <w:lang w:val="pt-PT"/>
        </w:rPr>
        <w:t xml:space="preserve">com base no </w:t>
      </w:r>
      <w:r w:rsidR="00501083" w:rsidRPr="003A1174">
        <w:rPr>
          <w:rFonts w:ascii="Garamond" w:hAnsi="Garamond" w:cs="Arial"/>
          <w:sz w:val="24"/>
          <w:szCs w:val="24"/>
          <w:lang w:val="pt-PT"/>
        </w:rPr>
        <w:t>Guia</w:t>
      </w:r>
      <w:r w:rsidR="00955D60" w:rsidRPr="003A1174">
        <w:rPr>
          <w:rFonts w:ascii="Garamond" w:hAnsi="Garamond" w:cs="Arial"/>
          <w:sz w:val="24"/>
          <w:szCs w:val="24"/>
          <w:lang w:val="pt-PT"/>
        </w:rPr>
        <w:t xml:space="preserve"> de </w:t>
      </w:r>
      <w:r w:rsidR="00BE4EB8" w:rsidRPr="003A1174">
        <w:rPr>
          <w:rFonts w:ascii="Garamond" w:hAnsi="Garamond" w:cs="Arial"/>
          <w:sz w:val="24"/>
          <w:szCs w:val="24"/>
          <w:lang w:val="pt-PT"/>
        </w:rPr>
        <w:t>Procedimento</w:t>
      </w:r>
      <w:r w:rsidR="00955D60" w:rsidRPr="003A1174">
        <w:rPr>
          <w:rFonts w:ascii="Garamond" w:hAnsi="Garamond" w:cs="Arial"/>
          <w:sz w:val="24"/>
          <w:szCs w:val="24"/>
          <w:lang w:val="pt-PT"/>
        </w:rPr>
        <w:t xml:space="preserve"> Policial.</w:t>
      </w:r>
    </w:p>
    <w:p w:rsidR="00955D60" w:rsidRPr="003A1174" w:rsidRDefault="0097197B" w:rsidP="008719D4">
      <w:pPr>
        <w:pStyle w:val="Prrafodelista"/>
        <w:numPr>
          <w:ilvl w:val="0"/>
          <w:numId w:val="3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lastRenderedPageBreak/>
        <w:t xml:space="preserve">Na </w:t>
      </w:r>
      <w:r w:rsidR="00A23EB8" w:rsidRPr="003A1174">
        <w:rPr>
          <w:rFonts w:ascii="Garamond" w:hAnsi="Garamond" w:cs="Arial"/>
          <w:color w:val="auto"/>
          <w:sz w:val="24"/>
          <w:szCs w:val="24"/>
          <w:lang w:val="pt-PT"/>
        </w:rPr>
        <w:t>Escola</w:t>
      </w:r>
      <w:r w:rsidR="00955D60" w:rsidRPr="003A1174">
        <w:rPr>
          <w:rFonts w:ascii="Garamond" w:hAnsi="Garamond" w:cs="Arial"/>
          <w:color w:val="auto"/>
          <w:sz w:val="24"/>
          <w:szCs w:val="24"/>
          <w:lang w:val="pt-PT"/>
        </w:rPr>
        <w:t xml:space="preserve"> Nacional de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 </w:t>
      </w:r>
      <w:r w:rsidR="00E67EF8" w:rsidRPr="003A1174">
        <w:rPr>
          <w:rFonts w:ascii="Garamond" w:hAnsi="Garamond" w:cs="Arial"/>
          <w:color w:val="auto"/>
          <w:sz w:val="24"/>
          <w:szCs w:val="24"/>
          <w:lang w:val="pt-PT"/>
        </w:rPr>
        <w:t>criou</w:t>
      </w:r>
      <w:r w:rsidRPr="003A1174">
        <w:rPr>
          <w:rFonts w:ascii="Garamond" w:hAnsi="Garamond" w:cs="Arial"/>
          <w:color w:val="auto"/>
          <w:sz w:val="24"/>
          <w:szCs w:val="24"/>
          <w:lang w:val="pt-PT"/>
        </w:rPr>
        <w:t>-se</w:t>
      </w:r>
      <w:r w:rsidR="00112F7B">
        <w:rPr>
          <w:rFonts w:ascii="Garamond" w:hAnsi="Garamond" w:cs="Arial"/>
          <w:color w:val="auto"/>
          <w:sz w:val="24"/>
          <w:szCs w:val="24"/>
          <w:lang w:val="pt-PT"/>
        </w:rPr>
        <w:t>, através da</w:t>
      </w:r>
      <w:r w:rsidR="00955D60"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Resolução</w:t>
      </w:r>
      <w:r w:rsidRPr="003A1174">
        <w:rPr>
          <w:rFonts w:ascii="Garamond" w:hAnsi="Garamond" w:cs="Arial"/>
          <w:color w:val="auto"/>
          <w:sz w:val="24"/>
          <w:szCs w:val="24"/>
          <w:lang w:val="pt-PT"/>
        </w:rPr>
        <w:t xml:space="preserve"> N</w:t>
      </w:r>
      <w:r w:rsidR="00112F7B">
        <w:rPr>
          <w:rFonts w:ascii="Garamond" w:hAnsi="Garamond" w:cs="Arial"/>
          <w:color w:val="auto"/>
          <w:sz w:val="24"/>
          <w:szCs w:val="24"/>
          <w:lang w:val="pt-PT"/>
        </w:rPr>
        <w:t>.</w:t>
      </w:r>
      <w:r w:rsidRPr="003A1174">
        <w:rPr>
          <w:rFonts w:ascii="Garamond" w:hAnsi="Garamond" w:cs="Arial"/>
          <w:color w:val="auto"/>
          <w:sz w:val="24"/>
          <w:szCs w:val="24"/>
          <w:lang w:val="pt-PT"/>
        </w:rPr>
        <w:t xml:space="preserve">º 042/2012 </w:t>
      </w:r>
      <w:r w:rsidR="00955D60" w:rsidRPr="003A1174">
        <w:rPr>
          <w:rFonts w:ascii="Garamond" w:hAnsi="Garamond" w:cs="Arial"/>
          <w:color w:val="auto"/>
          <w:sz w:val="24"/>
          <w:szCs w:val="24"/>
          <w:lang w:val="pt-PT"/>
        </w:rPr>
        <w:t xml:space="preserve">a </w:t>
      </w:r>
      <w:r w:rsidR="00955D60" w:rsidRPr="003A1174">
        <w:rPr>
          <w:rFonts w:ascii="Garamond" w:hAnsi="Garamond" w:cs="Arial"/>
          <w:i/>
          <w:color w:val="auto"/>
          <w:sz w:val="24"/>
          <w:szCs w:val="24"/>
          <w:lang w:val="pt-PT"/>
        </w:rPr>
        <w:t>Cátedra</w:t>
      </w:r>
      <w:r w:rsidR="00955D60" w:rsidRPr="003A1174">
        <w:rPr>
          <w:rFonts w:ascii="Garamond" w:hAnsi="Garamond" w:cs="Arial"/>
          <w:color w:val="auto"/>
          <w:sz w:val="24"/>
          <w:szCs w:val="24"/>
          <w:lang w:val="pt-PT"/>
        </w:rPr>
        <w:t xml:space="preserve"> de Género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Segurança</w:t>
      </w:r>
      <w:r w:rsidR="00955D60" w:rsidRPr="003A1174">
        <w:rPr>
          <w:rFonts w:ascii="Garamond" w:hAnsi="Garamond" w:cs="Arial"/>
          <w:color w:val="auto"/>
          <w:sz w:val="24"/>
          <w:szCs w:val="24"/>
          <w:lang w:val="pt-PT"/>
        </w:rPr>
        <w:t xml:space="preserve"> Pública</w:t>
      </w:r>
      <w:r w:rsidR="003321CE"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 xml:space="preserve">m o </w:t>
      </w:r>
      <w:r w:rsidR="00D37CF3" w:rsidRPr="003A1174">
        <w:rPr>
          <w:rFonts w:ascii="Garamond" w:hAnsi="Garamond" w:cs="Arial"/>
          <w:color w:val="auto"/>
          <w:sz w:val="24"/>
          <w:szCs w:val="24"/>
          <w:lang w:val="pt-PT"/>
        </w:rPr>
        <w:t>objetivo</w:t>
      </w:r>
      <w:r w:rsidRPr="003A1174">
        <w:rPr>
          <w:rFonts w:ascii="Garamond" w:hAnsi="Garamond" w:cs="Arial"/>
          <w:color w:val="auto"/>
          <w:sz w:val="24"/>
          <w:szCs w:val="24"/>
          <w:lang w:val="pt-PT"/>
        </w:rPr>
        <w:t xml:space="preserve"> de </w:t>
      </w:r>
      <w:r w:rsidR="00112F7B">
        <w:rPr>
          <w:rFonts w:ascii="Garamond" w:hAnsi="Garamond" w:cs="Arial"/>
          <w:color w:val="auto"/>
          <w:sz w:val="24"/>
          <w:szCs w:val="24"/>
          <w:lang w:val="pt-PT"/>
        </w:rPr>
        <w:t xml:space="preserve">integrar </w:t>
      </w:r>
      <w:r w:rsidR="00955D60" w:rsidRPr="003A1174">
        <w:rPr>
          <w:rFonts w:ascii="Garamond" w:hAnsi="Garamond" w:cs="Arial"/>
          <w:color w:val="auto"/>
          <w:sz w:val="24"/>
          <w:szCs w:val="24"/>
          <w:lang w:val="pt-PT"/>
        </w:rPr>
        <w:t xml:space="preserve">a </w:t>
      </w:r>
      <w:r w:rsidR="00D96FD0" w:rsidRPr="003A1174">
        <w:rPr>
          <w:rFonts w:ascii="Garamond" w:hAnsi="Garamond" w:cs="Arial"/>
          <w:color w:val="auto"/>
          <w:sz w:val="24"/>
          <w:szCs w:val="24"/>
          <w:lang w:val="pt-PT"/>
        </w:rPr>
        <w:t>perspetiva</w:t>
      </w:r>
      <w:r w:rsidR="00955D60" w:rsidRPr="003A1174">
        <w:rPr>
          <w:rFonts w:ascii="Garamond" w:hAnsi="Garamond" w:cs="Arial"/>
          <w:color w:val="auto"/>
          <w:sz w:val="24"/>
          <w:szCs w:val="24"/>
          <w:lang w:val="pt-PT"/>
        </w:rPr>
        <w:t xml:space="preserve"> de género,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 xml:space="preserve">s </w:t>
      </w:r>
      <w:r w:rsidR="0091113A" w:rsidRPr="003A1174">
        <w:rPr>
          <w:rFonts w:ascii="Garamond" w:hAnsi="Garamond" w:cs="Arial"/>
          <w:color w:val="auto"/>
          <w:sz w:val="24"/>
          <w:szCs w:val="24"/>
          <w:lang w:val="pt-PT"/>
        </w:rPr>
        <w:t>sexuais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D56EFC" w:rsidRPr="003A1174">
        <w:rPr>
          <w:rFonts w:ascii="Garamond" w:hAnsi="Garamond" w:cs="Arial"/>
          <w:color w:val="auto"/>
          <w:sz w:val="24"/>
          <w:szCs w:val="24"/>
          <w:lang w:val="pt-PT"/>
        </w:rPr>
        <w:t>reprodutivo</w:t>
      </w:r>
      <w:r w:rsidR="00955D60" w:rsidRPr="003A1174">
        <w:rPr>
          <w:rFonts w:ascii="Garamond" w:hAnsi="Garamond" w:cs="Arial"/>
          <w:color w:val="auto"/>
          <w:sz w:val="24"/>
          <w:szCs w:val="24"/>
          <w:lang w:val="pt-PT"/>
        </w:rPr>
        <w:t>s</w:t>
      </w:r>
      <w:r w:rsidR="003321CE"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Pr="003A1174">
        <w:rPr>
          <w:rFonts w:ascii="Garamond" w:hAnsi="Garamond" w:cs="Arial"/>
          <w:color w:val="auto"/>
          <w:sz w:val="24"/>
          <w:szCs w:val="24"/>
          <w:lang w:val="pt-PT"/>
        </w:rPr>
        <w:t xml:space="preserve">no </w:t>
      </w:r>
      <w:r w:rsidR="00955D60" w:rsidRPr="003A1174">
        <w:rPr>
          <w:rFonts w:ascii="Garamond" w:hAnsi="Garamond" w:cs="Arial"/>
          <w:color w:val="auto"/>
          <w:sz w:val="24"/>
          <w:szCs w:val="24"/>
          <w:lang w:val="pt-PT"/>
        </w:rPr>
        <w:t>currículo</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de </w:t>
      </w:r>
      <w:r w:rsidR="00454353" w:rsidRPr="003A1174">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w:t>
      </w:r>
      <w:r w:rsidR="003321CE"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m todos </w:t>
      </w:r>
      <w:r w:rsidR="00955D60" w:rsidRPr="003A1174">
        <w:rPr>
          <w:rFonts w:ascii="Garamond" w:hAnsi="Garamond" w:cs="Arial"/>
          <w:color w:val="auto"/>
          <w:sz w:val="24"/>
          <w:szCs w:val="24"/>
          <w:lang w:val="pt-PT"/>
        </w:rPr>
        <w:t xml:space="preserve">os </w:t>
      </w:r>
      <w:r w:rsidR="003F012B" w:rsidRPr="003A1174">
        <w:rPr>
          <w:rFonts w:ascii="Garamond" w:hAnsi="Garamond" w:cs="Arial"/>
          <w:color w:val="auto"/>
          <w:sz w:val="24"/>
          <w:szCs w:val="24"/>
          <w:lang w:val="pt-PT"/>
        </w:rPr>
        <w:t>níveis</w:t>
      </w:r>
      <w:r w:rsidR="00955D60" w:rsidRPr="003A1174">
        <w:rPr>
          <w:rFonts w:ascii="Garamond" w:hAnsi="Garamond" w:cs="Arial"/>
          <w:color w:val="auto"/>
          <w:sz w:val="24"/>
          <w:szCs w:val="24"/>
          <w:lang w:val="pt-PT"/>
        </w:rPr>
        <w:t xml:space="preserve"> da </w:t>
      </w:r>
      <w:r w:rsidR="002E2C71" w:rsidRPr="003A1174">
        <w:rPr>
          <w:rFonts w:ascii="Garamond" w:hAnsi="Garamond" w:cs="Arial"/>
          <w:color w:val="auto"/>
          <w:sz w:val="24"/>
          <w:szCs w:val="24"/>
          <w:lang w:val="pt-PT"/>
        </w:rPr>
        <w:t>função</w:t>
      </w:r>
      <w:r w:rsidR="00955D60" w:rsidRPr="003A1174">
        <w:rPr>
          <w:rFonts w:ascii="Garamond" w:hAnsi="Garamond" w:cs="Arial"/>
          <w:color w:val="auto"/>
          <w:sz w:val="24"/>
          <w:szCs w:val="24"/>
          <w:lang w:val="pt-PT"/>
        </w:rPr>
        <w:t xml:space="preserve">. Durante </w:t>
      </w:r>
      <w:r w:rsidRPr="003A1174">
        <w:rPr>
          <w:rFonts w:ascii="Garamond" w:hAnsi="Garamond" w:cs="Arial"/>
          <w:color w:val="auto"/>
          <w:sz w:val="24"/>
          <w:szCs w:val="24"/>
          <w:lang w:val="pt-PT"/>
        </w:rPr>
        <w:t xml:space="preserve">2013 </w:t>
      </w:r>
      <w:r w:rsidR="00955D60" w:rsidRPr="003A1174">
        <w:rPr>
          <w:rFonts w:ascii="Garamond" w:hAnsi="Garamond" w:cs="Arial"/>
          <w:color w:val="auto"/>
          <w:sz w:val="24"/>
          <w:szCs w:val="24"/>
          <w:lang w:val="pt-PT"/>
        </w:rPr>
        <w:t>organiz</w:t>
      </w:r>
      <w:r w:rsidRPr="003A1174">
        <w:rPr>
          <w:rFonts w:ascii="Garamond" w:hAnsi="Garamond" w:cs="Arial"/>
          <w:color w:val="auto"/>
          <w:sz w:val="24"/>
          <w:szCs w:val="24"/>
          <w:lang w:val="pt-PT"/>
        </w:rPr>
        <w:t xml:space="preserve">ou-se uma </w:t>
      </w:r>
      <w:r w:rsidR="00374785" w:rsidRPr="003A1174">
        <w:rPr>
          <w:rFonts w:ascii="Garamond" w:hAnsi="Garamond" w:cs="Arial"/>
          <w:color w:val="auto"/>
          <w:sz w:val="24"/>
          <w:szCs w:val="24"/>
          <w:lang w:val="pt-PT"/>
        </w:rPr>
        <w:t>atividade</w:t>
      </w:r>
      <w:r w:rsidR="009E0B5D"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 </w:t>
      </w:r>
      <w:r w:rsidR="00955D60" w:rsidRPr="003A1174">
        <w:rPr>
          <w:rFonts w:ascii="Garamond" w:hAnsi="Garamond" w:cs="Arial"/>
          <w:color w:val="auto"/>
          <w:sz w:val="24"/>
          <w:szCs w:val="24"/>
          <w:lang w:val="pt-PT"/>
        </w:rPr>
        <w:t xml:space="preserve">8 de </w:t>
      </w:r>
      <w:r w:rsidR="00C553E2" w:rsidRPr="003A1174">
        <w:rPr>
          <w:rFonts w:ascii="Garamond" w:hAnsi="Garamond" w:cs="Arial"/>
          <w:color w:val="auto"/>
          <w:sz w:val="24"/>
          <w:szCs w:val="24"/>
          <w:lang w:val="pt-PT"/>
        </w:rPr>
        <w:t>março</w:t>
      </w:r>
      <w:r w:rsidR="009E0B5D"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112F7B">
        <w:rPr>
          <w:rFonts w:ascii="Garamond" w:hAnsi="Garamond" w:cs="Arial"/>
          <w:color w:val="auto"/>
          <w:sz w:val="24"/>
          <w:szCs w:val="24"/>
          <w:lang w:val="pt-PT"/>
        </w:rPr>
        <w:t xml:space="preserve">em que </w:t>
      </w:r>
      <w:r w:rsidR="009E0B5D" w:rsidRPr="003A1174">
        <w:rPr>
          <w:rFonts w:ascii="Garamond" w:hAnsi="Garamond" w:cs="Arial"/>
          <w:color w:val="auto"/>
          <w:sz w:val="24"/>
          <w:szCs w:val="24"/>
          <w:lang w:val="pt-PT"/>
        </w:rPr>
        <w:t xml:space="preserve">foram ouvidas </w:t>
      </w:r>
      <w:r w:rsidR="00054EE0" w:rsidRPr="003A1174">
        <w:rPr>
          <w:rFonts w:ascii="Garamond" w:hAnsi="Garamond" w:cs="Arial"/>
          <w:color w:val="auto"/>
          <w:sz w:val="24"/>
          <w:szCs w:val="24"/>
          <w:lang w:val="pt-PT"/>
        </w:rPr>
        <w:t>mulheres</w:t>
      </w:r>
      <w:r w:rsidR="00955D60" w:rsidRPr="003A1174">
        <w:rPr>
          <w:rFonts w:ascii="Garamond" w:hAnsi="Garamond" w:cs="Arial"/>
          <w:color w:val="auto"/>
          <w:sz w:val="24"/>
          <w:szCs w:val="24"/>
          <w:lang w:val="pt-PT"/>
        </w:rPr>
        <w:t xml:space="preserve"> de</w:t>
      </w:r>
      <w:r w:rsidR="009E0B5D" w:rsidRPr="003A1174">
        <w:rPr>
          <w:rFonts w:ascii="Garamond" w:hAnsi="Garamond" w:cs="Arial"/>
          <w:color w:val="auto"/>
          <w:sz w:val="24"/>
          <w:szCs w:val="24"/>
          <w:lang w:val="pt-PT"/>
        </w:rPr>
        <w:t xml:space="preserve"> destaque, </w:t>
      </w:r>
      <w:r w:rsidR="00955D60" w:rsidRPr="003A1174">
        <w:rPr>
          <w:rFonts w:ascii="Garamond" w:hAnsi="Garamond" w:cs="Arial"/>
          <w:color w:val="auto"/>
          <w:sz w:val="24"/>
          <w:szCs w:val="24"/>
          <w:lang w:val="pt-PT"/>
        </w:rPr>
        <w:t>de f</w:t>
      </w: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ra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de </w:t>
      </w:r>
      <w:r w:rsidR="00955D60" w:rsidRPr="003A1174">
        <w:rPr>
          <w:rFonts w:ascii="Garamond" w:hAnsi="Garamond" w:cs="Arial"/>
          <w:color w:val="auto"/>
          <w:sz w:val="24"/>
          <w:szCs w:val="24"/>
          <w:lang w:val="pt-PT"/>
        </w:rPr>
        <w:t xml:space="preserve">dentro da </w:t>
      </w:r>
      <w:r w:rsidR="00800D59" w:rsidRPr="003A1174">
        <w:rPr>
          <w:rFonts w:ascii="Garamond" w:hAnsi="Garamond" w:cs="Arial"/>
          <w:color w:val="auto"/>
          <w:sz w:val="24"/>
          <w:szCs w:val="24"/>
          <w:lang w:val="pt-PT"/>
        </w:rPr>
        <w:t>Instituição</w:t>
      </w:r>
      <w:r w:rsidR="00955D60" w:rsidRPr="003A1174">
        <w:rPr>
          <w:rFonts w:ascii="Garamond" w:hAnsi="Garamond" w:cs="Arial"/>
          <w:color w:val="auto"/>
          <w:sz w:val="24"/>
          <w:szCs w:val="24"/>
          <w:lang w:val="pt-PT"/>
        </w:rPr>
        <w:t xml:space="preserve">, </w:t>
      </w:r>
      <w:r w:rsidR="009E0B5D" w:rsidRPr="003A1174">
        <w:rPr>
          <w:rFonts w:ascii="Garamond" w:hAnsi="Garamond" w:cs="Arial"/>
          <w:color w:val="auto"/>
          <w:sz w:val="24"/>
          <w:szCs w:val="24"/>
          <w:lang w:val="pt-PT"/>
        </w:rPr>
        <w:t xml:space="preserve">em que </w:t>
      </w:r>
      <w:r w:rsidR="00955D60" w:rsidRPr="003A1174">
        <w:rPr>
          <w:rFonts w:ascii="Garamond" w:hAnsi="Garamond" w:cs="Arial"/>
          <w:color w:val="auto"/>
          <w:sz w:val="24"/>
          <w:szCs w:val="24"/>
          <w:lang w:val="pt-PT"/>
        </w:rPr>
        <w:t>participa</w:t>
      </w:r>
      <w:r w:rsidR="009E0B5D" w:rsidRPr="003A1174">
        <w:rPr>
          <w:rFonts w:ascii="Garamond" w:hAnsi="Garamond" w:cs="Arial"/>
          <w:color w:val="auto"/>
          <w:sz w:val="24"/>
          <w:szCs w:val="24"/>
          <w:lang w:val="pt-PT"/>
        </w:rPr>
        <w:t>ram</w:t>
      </w:r>
      <w:r w:rsidR="00955D60" w:rsidRPr="003A1174">
        <w:rPr>
          <w:rFonts w:ascii="Garamond" w:hAnsi="Garamond" w:cs="Arial"/>
          <w:color w:val="auto"/>
          <w:sz w:val="24"/>
          <w:szCs w:val="24"/>
          <w:lang w:val="pt-PT"/>
        </w:rPr>
        <w:t xml:space="preserve"> 300 </w:t>
      </w:r>
      <w:r w:rsidR="006C760C" w:rsidRPr="003A1174">
        <w:rPr>
          <w:rFonts w:ascii="Garamond" w:hAnsi="Garamond" w:cs="Arial"/>
          <w:color w:val="auto"/>
          <w:sz w:val="24"/>
          <w:szCs w:val="24"/>
          <w:lang w:val="pt-PT"/>
        </w:rPr>
        <w:t>pessoas</w:t>
      </w:r>
      <w:r w:rsidR="009E0B5D"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aproximadamente, entre </w:t>
      </w:r>
      <w:r w:rsidR="00955D60" w:rsidRPr="003A1174">
        <w:rPr>
          <w:rFonts w:ascii="Garamond" w:hAnsi="Garamond" w:cs="Arial"/>
          <w:color w:val="auto"/>
          <w:sz w:val="24"/>
          <w:szCs w:val="24"/>
          <w:lang w:val="pt-PT"/>
        </w:rPr>
        <w:t xml:space="preserve">as </w:t>
      </w:r>
      <w:r w:rsidR="00B936A7" w:rsidRPr="003A1174">
        <w:rPr>
          <w:rFonts w:ascii="Garamond" w:hAnsi="Garamond" w:cs="Arial"/>
          <w:color w:val="auto"/>
          <w:sz w:val="24"/>
          <w:szCs w:val="24"/>
          <w:lang w:val="pt-PT"/>
        </w:rPr>
        <w:t>quais</w:t>
      </w:r>
      <w:r w:rsidR="00955D60" w:rsidRPr="003A1174">
        <w:rPr>
          <w:rFonts w:ascii="Garamond" w:hAnsi="Garamond" w:cs="Arial"/>
          <w:color w:val="auto"/>
          <w:sz w:val="24"/>
          <w:szCs w:val="24"/>
          <w:lang w:val="pt-PT"/>
        </w:rPr>
        <w:t xml:space="preserve"> se encontra</w:t>
      </w:r>
      <w:r w:rsidRPr="003A1174">
        <w:rPr>
          <w:rFonts w:ascii="Garamond" w:hAnsi="Garamond" w:cs="Arial"/>
          <w:color w:val="auto"/>
          <w:sz w:val="24"/>
          <w:szCs w:val="24"/>
          <w:lang w:val="pt-PT"/>
        </w:rPr>
        <w:t xml:space="preserve">vam </w:t>
      </w:r>
      <w:r w:rsidR="00955D60" w:rsidRPr="003A1174">
        <w:rPr>
          <w:rFonts w:ascii="Garamond" w:hAnsi="Garamond" w:cs="Arial"/>
          <w:color w:val="auto"/>
          <w:sz w:val="24"/>
          <w:szCs w:val="24"/>
          <w:lang w:val="pt-PT"/>
        </w:rPr>
        <w:t xml:space="preserve">cadetes, </w:t>
      </w:r>
      <w:r w:rsidR="008278C4" w:rsidRPr="003A1174">
        <w:rPr>
          <w:rFonts w:ascii="Garamond" w:hAnsi="Garamond" w:cs="Arial"/>
          <w:color w:val="auto"/>
          <w:sz w:val="24"/>
          <w:szCs w:val="24"/>
          <w:lang w:val="pt-PT"/>
        </w:rPr>
        <w:t>pessoal</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E0B5D" w:rsidRPr="003A1174">
        <w:rPr>
          <w:rFonts w:ascii="Garamond" w:hAnsi="Garamond" w:cs="Arial"/>
          <w:color w:val="auto"/>
          <w:sz w:val="24"/>
          <w:szCs w:val="24"/>
          <w:lang w:val="pt-PT"/>
        </w:rPr>
        <w:t xml:space="preserve"> alu</w:t>
      </w:r>
      <w:r w:rsidR="00955D60" w:rsidRPr="003A1174">
        <w:rPr>
          <w:rFonts w:ascii="Garamond" w:hAnsi="Garamond" w:cs="Arial"/>
          <w:color w:val="auto"/>
          <w:sz w:val="24"/>
          <w:szCs w:val="24"/>
          <w:lang w:val="pt-PT"/>
        </w:rPr>
        <w:t xml:space="preserve">nos, </w:t>
      </w:r>
      <w:r w:rsidR="00C30647" w:rsidRPr="003A1174">
        <w:rPr>
          <w:rFonts w:ascii="Garamond" w:hAnsi="Garamond" w:cs="Arial"/>
          <w:color w:val="auto"/>
          <w:sz w:val="24"/>
          <w:szCs w:val="24"/>
          <w:lang w:val="pt-PT"/>
        </w:rPr>
        <w:t>membro</w:t>
      </w:r>
      <w:r w:rsidR="00955D60" w:rsidRPr="003A1174">
        <w:rPr>
          <w:rFonts w:ascii="Garamond" w:hAnsi="Garamond" w:cs="Arial"/>
          <w:color w:val="auto"/>
          <w:sz w:val="24"/>
          <w:szCs w:val="24"/>
          <w:lang w:val="pt-PT"/>
        </w:rPr>
        <w:t xml:space="preserve">s da </w:t>
      </w:r>
      <w:r w:rsidR="00AB6522" w:rsidRPr="003A1174">
        <w:rPr>
          <w:rFonts w:ascii="Garamond" w:hAnsi="Garamond" w:cs="Arial"/>
          <w:color w:val="auto"/>
          <w:sz w:val="24"/>
          <w:szCs w:val="24"/>
          <w:lang w:val="pt-PT"/>
        </w:rPr>
        <w:t>Divisão</w:t>
      </w:r>
      <w:r w:rsidR="00955D60" w:rsidRPr="003A1174">
        <w:rPr>
          <w:rFonts w:ascii="Garamond" w:hAnsi="Garamond" w:cs="Arial"/>
          <w:color w:val="auto"/>
          <w:sz w:val="24"/>
          <w:szCs w:val="24"/>
          <w:lang w:val="pt-PT"/>
        </w:rPr>
        <w:t xml:space="preserve"> de Políticas de Género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Interior, etc.</w:t>
      </w:r>
    </w:p>
    <w:p w:rsidR="00955D60" w:rsidRPr="003A1174" w:rsidRDefault="009E0B5D" w:rsidP="008719D4">
      <w:pPr>
        <w:pStyle w:val="Prrafodelista"/>
        <w:numPr>
          <w:ilvl w:val="0"/>
          <w:numId w:val="38"/>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Convocou-se um </w:t>
      </w:r>
      <w:r w:rsidR="00955D60" w:rsidRPr="003A1174">
        <w:rPr>
          <w:rFonts w:ascii="Garamond" w:hAnsi="Garamond" w:cs="Arial"/>
          <w:color w:val="auto"/>
          <w:sz w:val="24"/>
          <w:szCs w:val="24"/>
          <w:lang w:val="pt-PT"/>
        </w:rPr>
        <w:t>enc</w:t>
      </w:r>
      <w:r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ntro nacional de </w:t>
      </w:r>
      <w:r w:rsidR="00A23EB8" w:rsidRPr="003A1174">
        <w:rPr>
          <w:rFonts w:ascii="Garamond" w:hAnsi="Garamond" w:cs="Arial"/>
          <w:color w:val="auto"/>
          <w:sz w:val="24"/>
          <w:szCs w:val="24"/>
          <w:lang w:val="pt-PT"/>
        </w:rPr>
        <w:t>Escola</w:t>
      </w:r>
      <w:r w:rsidR="00955D60" w:rsidRPr="003A1174">
        <w:rPr>
          <w:rFonts w:ascii="Garamond" w:hAnsi="Garamond" w:cs="Arial"/>
          <w:color w:val="auto"/>
          <w:sz w:val="24"/>
          <w:szCs w:val="24"/>
          <w:lang w:val="pt-PT"/>
        </w:rPr>
        <w:t>s Departamen</w:t>
      </w:r>
      <w:r w:rsidR="00A41573" w:rsidRPr="003A1174">
        <w:rPr>
          <w:rFonts w:ascii="Garamond" w:hAnsi="Garamond" w:cs="Arial"/>
          <w:color w:val="auto"/>
          <w:sz w:val="24"/>
          <w:szCs w:val="24"/>
          <w:lang w:val="pt-PT"/>
        </w:rPr>
        <w:t>tais</w:t>
      </w:r>
      <w:r w:rsidRPr="003A1174">
        <w:rPr>
          <w:rFonts w:ascii="Garamond" w:hAnsi="Garamond" w:cs="Arial"/>
          <w:color w:val="auto"/>
          <w:sz w:val="24"/>
          <w:szCs w:val="24"/>
          <w:lang w:val="pt-PT"/>
        </w:rPr>
        <w:t xml:space="preserve"> a fim</w:t>
      </w:r>
      <w:r w:rsidR="00955D60" w:rsidRPr="003A1174">
        <w:rPr>
          <w:rFonts w:ascii="Garamond" w:hAnsi="Garamond" w:cs="Arial"/>
          <w:color w:val="auto"/>
          <w:sz w:val="24"/>
          <w:szCs w:val="24"/>
          <w:lang w:val="pt-PT"/>
        </w:rPr>
        <w:t xml:space="preserve"> de unificar </w:t>
      </w:r>
      <w:r w:rsidR="00CB5DB2" w:rsidRPr="003A1174">
        <w:rPr>
          <w:rFonts w:ascii="Garamond" w:hAnsi="Garamond" w:cs="Arial"/>
          <w:color w:val="auto"/>
          <w:sz w:val="24"/>
          <w:szCs w:val="24"/>
          <w:lang w:val="pt-PT"/>
        </w:rPr>
        <w:t>critério</w:t>
      </w:r>
      <w:r w:rsidR="00955D60" w:rsidRPr="003A1174">
        <w:rPr>
          <w:rFonts w:ascii="Garamond" w:hAnsi="Garamond" w:cs="Arial"/>
          <w:color w:val="auto"/>
          <w:sz w:val="24"/>
          <w:szCs w:val="24"/>
          <w:lang w:val="pt-PT"/>
        </w:rPr>
        <w:t xml:space="preserve">s </w:t>
      </w:r>
      <w:r w:rsidR="003A391A" w:rsidRPr="003A1174">
        <w:rPr>
          <w:rFonts w:ascii="Garamond" w:hAnsi="Garamond" w:cs="Arial"/>
          <w:color w:val="auto"/>
          <w:sz w:val="24"/>
          <w:szCs w:val="24"/>
          <w:lang w:val="pt-PT"/>
        </w:rPr>
        <w:t>nos</w:t>
      </w:r>
      <w:r w:rsidR="00955D60" w:rsidRPr="003A1174">
        <w:rPr>
          <w:rFonts w:ascii="Garamond" w:hAnsi="Garamond" w:cs="Arial"/>
          <w:color w:val="auto"/>
          <w:sz w:val="24"/>
          <w:szCs w:val="24"/>
          <w:lang w:val="pt-PT"/>
        </w:rPr>
        <w:t xml:space="preserve"> temas de género </w:t>
      </w:r>
      <w:r w:rsidR="003A391A" w:rsidRPr="003A1174">
        <w:rPr>
          <w:rFonts w:ascii="Garamond" w:hAnsi="Garamond" w:cs="Arial"/>
          <w:color w:val="auto"/>
          <w:sz w:val="24"/>
          <w:szCs w:val="24"/>
          <w:lang w:val="pt-PT"/>
        </w:rPr>
        <w:t>nos</w:t>
      </w:r>
      <w:r w:rsidR="00955D60" w:rsidRPr="003A1174">
        <w:rPr>
          <w:rFonts w:ascii="Garamond" w:hAnsi="Garamond" w:cs="Arial"/>
          <w:color w:val="auto"/>
          <w:sz w:val="24"/>
          <w:szCs w:val="24"/>
          <w:lang w:val="pt-PT"/>
        </w:rPr>
        <w:t xml:space="preserve"> cursos que </w:t>
      </w:r>
      <w:r w:rsidR="00112F7B">
        <w:rPr>
          <w:rFonts w:ascii="Garamond" w:hAnsi="Garamond" w:cs="Arial"/>
          <w:color w:val="auto"/>
          <w:sz w:val="24"/>
          <w:szCs w:val="24"/>
          <w:lang w:val="pt-PT"/>
        </w:rPr>
        <w:t>nelas se ministram.</w:t>
      </w:r>
    </w:p>
    <w:p w:rsidR="00955D60" w:rsidRPr="003A1174" w:rsidRDefault="009E0B5D" w:rsidP="009E0B5D">
      <w:pPr>
        <w:pStyle w:val="Prrafodelista"/>
        <w:numPr>
          <w:ilvl w:val="0"/>
          <w:numId w:val="38"/>
        </w:numPr>
        <w:spacing w:before="240" w:line="240" w:lineRule="auto"/>
        <w:jc w:val="both"/>
        <w:rPr>
          <w:rFonts w:ascii="Garamond" w:hAnsi="Garamond" w:cs="Arial"/>
          <w:bCs/>
          <w:i/>
          <w:color w:val="auto"/>
          <w:sz w:val="24"/>
          <w:szCs w:val="24"/>
          <w:lang w:val="pt-PT"/>
        </w:rPr>
      </w:pPr>
      <w:r w:rsidRPr="003A1174">
        <w:rPr>
          <w:rFonts w:ascii="Garamond" w:hAnsi="Garamond" w:cs="Arial"/>
          <w:color w:val="auto"/>
          <w:sz w:val="24"/>
          <w:szCs w:val="24"/>
          <w:lang w:val="pt-PT"/>
        </w:rPr>
        <w:t xml:space="preserve">Sobre </w:t>
      </w:r>
      <w:r w:rsidR="003321CE"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base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Acordo </w:t>
      </w:r>
      <w:r w:rsidR="00D77C19" w:rsidRPr="003A1174">
        <w:rPr>
          <w:rFonts w:ascii="Garamond" w:hAnsi="Garamond" w:cs="Arial"/>
          <w:color w:val="auto"/>
          <w:sz w:val="24"/>
          <w:szCs w:val="24"/>
          <w:lang w:val="pt-PT"/>
        </w:rPr>
        <w:t>Ministério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Interior</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Universidad</w:t>
      </w:r>
      <w:r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da República </w:t>
      </w:r>
      <w:r w:rsidR="00946348" w:rsidRPr="003A1174">
        <w:rPr>
          <w:rFonts w:ascii="Garamond" w:hAnsi="Garamond" w:cs="Arial"/>
          <w:color w:val="auto"/>
          <w:sz w:val="24"/>
          <w:szCs w:val="24"/>
          <w:lang w:val="pt-PT"/>
        </w:rPr>
        <w:t>foram</w:t>
      </w:r>
      <w:r w:rsidR="00955D60" w:rsidRPr="003A1174">
        <w:rPr>
          <w:rFonts w:ascii="Garamond" w:hAnsi="Garamond" w:cs="Arial"/>
          <w:color w:val="auto"/>
          <w:sz w:val="24"/>
          <w:szCs w:val="24"/>
          <w:lang w:val="pt-PT"/>
        </w:rPr>
        <w:t xml:space="preserve"> </w:t>
      </w:r>
      <w:r w:rsidR="00112F7B">
        <w:rPr>
          <w:rFonts w:ascii="Garamond" w:hAnsi="Garamond" w:cs="Arial"/>
          <w:color w:val="auto"/>
          <w:sz w:val="24"/>
          <w:szCs w:val="24"/>
          <w:lang w:val="pt-PT"/>
        </w:rPr>
        <w:t xml:space="preserve">formados </w:t>
      </w:r>
      <w:r w:rsidR="00955D60" w:rsidRPr="003A1174">
        <w:rPr>
          <w:rFonts w:ascii="Garamond" w:hAnsi="Garamond" w:cs="Arial"/>
          <w:color w:val="auto"/>
          <w:sz w:val="24"/>
          <w:szCs w:val="24"/>
          <w:lang w:val="pt-PT"/>
        </w:rPr>
        <w:t xml:space="preserve">231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s (151 </w:t>
      </w:r>
      <w:r w:rsidR="00524936" w:rsidRPr="003A1174">
        <w:rPr>
          <w:rFonts w:ascii="Garamond" w:hAnsi="Garamond" w:cs="Arial"/>
          <w:color w:val="auto"/>
          <w:sz w:val="24"/>
          <w:szCs w:val="24"/>
          <w:lang w:val="pt-PT"/>
        </w:rPr>
        <w:t>homens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80 </w:t>
      </w:r>
      <w:r w:rsidR="00054EE0" w:rsidRPr="003A1174">
        <w:rPr>
          <w:rFonts w:ascii="Garamond" w:hAnsi="Garamond" w:cs="Arial"/>
          <w:color w:val="auto"/>
          <w:sz w:val="24"/>
          <w:szCs w:val="24"/>
          <w:lang w:val="pt-PT"/>
        </w:rPr>
        <w:t>mulheres</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Programa Integral de </w:t>
      </w:r>
      <w:r w:rsidR="001C2738" w:rsidRPr="003A1174">
        <w:rPr>
          <w:rFonts w:ascii="Garamond" w:hAnsi="Garamond" w:cs="Arial"/>
          <w:color w:val="auto"/>
          <w:sz w:val="24"/>
          <w:szCs w:val="24"/>
          <w:lang w:val="pt-PT"/>
        </w:rPr>
        <w:t>Luta</w:t>
      </w:r>
      <w:r w:rsidR="00955D60"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Contra a</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de Género que se des</w:t>
      </w:r>
      <w:r w:rsidRPr="003A1174">
        <w:rPr>
          <w:rFonts w:ascii="Garamond" w:hAnsi="Garamond" w:cs="Arial"/>
          <w:color w:val="auto"/>
          <w:sz w:val="24"/>
          <w:szCs w:val="24"/>
          <w:lang w:val="pt-PT"/>
        </w:rPr>
        <w:t xml:space="preserve">envolve </w:t>
      </w:r>
      <w:r w:rsidR="00955D60" w:rsidRPr="003A1174">
        <w:rPr>
          <w:rFonts w:ascii="Garamond" w:hAnsi="Garamond" w:cs="Arial"/>
          <w:color w:val="auto"/>
          <w:sz w:val="24"/>
          <w:szCs w:val="24"/>
          <w:lang w:val="pt-PT"/>
        </w:rPr>
        <w:t>co</w:t>
      </w:r>
      <w:r w:rsidRPr="003A1174">
        <w:rPr>
          <w:rFonts w:ascii="Garamond" w:hAnsi="Garamond" w:cs="Arial"/>
          <w:color w:val="auto"/>
          <w:sz w:val="24"/>
          <w:szCs w:val="24"/>
          <w:lang w:val="pt-PT"/>
        </w:rPr>
        <w:t xml:space="preserve">m o </w:t>
      </w:r>
      <w:r w:rsidR="00791197" w:rsidRPr="003A1174">
        <w:rPr>
          <w:rFonts w:ascii="Garamond" w:hAnsi="Garamond" w:cs="Arial"/>
          <w:color w:val="auto"/>
          <w:sz w:val="24"/>
          <w:szCs w:val="24"/>
          <w:lang w:val="pt-PT"/>
        </w:rPr>
        <w:t>apoio</w:t>
      </w:r>
      <w:r w:rsidR="00955D60" w:rsidRPr="003A1174">
        <w:rPr>
          <w:rFonts w:ascii="Garamond" w:hAnsi="Garamond" w:cs="Arial"/>
          <w:color w:val="auto"/>
          <w:sz w:val="24"/>
          <w:szCs w:val="24"/>
          <w:lang w:val="pt-PT"/>
        </w:rPr>
        <w:t xml:space="preserve"> da </w:t>
      </w:r>
      <w:r w:rsidR="00EC2E68" w:rsidRPr="003A1174">
        <w:rPr>
          <w:rFonts w:ascii="Garamond" w:hAnsi="Garamond" w:cs="Arial"/>
          <w:color w:val="auto"/>
          <w:sz w:val="24"/>
          <w:szCs w:val="24"/>
          <w:lang w:val="pt-PT"/>
        </w:rPr>
        <w:t>Agência</w:t>
      </w:r>
      <w:r w:rsidR="00955D60" w:rsidRPr="003A1174">
        <w:rPr>
          <w:rFonts w:ascii="Garamond" w:hAnsi="Garamond" w:cs="Arial"/>
          <w:color w:val="auto"/>
          <w:sz w:val="24"/>
          <w:szCs w:val="24"/>
          <w:lang w:val="pt-PT"/>
        </w:rPr>
        <w:t xml:space="preserve"> </w:t>
      </w:r>
      <w:r w:rsidR="002C7866" w:rsidRPr="003A1174">
        <w:rPr>
          <w:rFonts w:ascii="Garamond" w:hAnsi="Garamond" w:cs="Arial"/>
          <w:color w:val="auto"/>
          <w:sz w:val="24"/>
          <w:szCs w:val="24"/>
          <w:lang w:val="pt-PT"/>
        </w:rPr>
        <w:t>Espanhola</w:t>
      </w:r>
      <w:r w:rsidR="00955D60" w:rsidRPr="003A1174">
        <w:rPr>
          <w:rFonts w:ascii="Garamond" w:hAnsi="Garamond" w:cs="Arial"/>
          <w:color w:val="auto"/>
          <w:sz w:val="24"/>
          <w:szCs w:val="24"/>
          <w:lang w:val="pt-PT"/>
        </w:rPr>
        <w:t xml:space="preserve"> de </w:t>
      </w:r>
      <w:r w:rsidR="00C30647" w:rsidRPr="003A1174">
        <w:rPr>
          <w:rFonts w:ascii="Garamond" w:hAnsi="Garamond" w:cs="Arial"/>
          <w:color w:val="auto"/>
          <w:sz w:val="24"/>
          <w:szCs w:val="24"/>
          <w:lang w:val="pt-PT"/>
        </w:rPr>
        <w:t>Cooperação</w:t>
      </w:r>
      <w:r w:rsidR="00955D60" w:rsidRPr="003A1174">
        <w:rPr>
          <w:rFonts w:ascii="Garamond" w:hAnsi="Garamond" w:cs="Arial"/>
          <w:color w:val="auto"/>
          <w:sz w:val="24"/>
          <w:szCs w:val="24"/>
          <w:lang w:val="pt-PT"/>
        </w:rPr>
        <w:t xml:space="preserve"> Internacional para </w:t>
      </w:r>
      <w:r w:rsidRPr="003A1174">
        <w:rPr>
          <w:rFonts w:ascii="Garamond" w:hAnsi="Garamond" w:cs="Arial"/>
          <w:color w:val="auto"/>
          <w:sz w:val="24"/>
          <w:szCs w:val="24"/>
          <w:lang w:val="pt-PT"/>
        </w:rPr>
        <w:t xml:space="preserve">o </w:t>
      </w:r>
      <w:r w:rsidR="009B133A" w:rsidRPr="003A1174">
        <w:rPr>
          <w:rFonts w:ascii="Garamond" w:hAnsi="Garamond" w:cs="Arial"/>
          <w:color w:val="auto"/>
          <w:sz w:val="24"/>
          <w:szCs w:val="24"/>
          <w:lang w:val="pt-PT"/>
        </w:rPr>
        <w:t>Desenvolvimento</w:t>
      </w:r>
      <w:r w:rsidR="00955D60" w:rsidRPr="003A1174">
        <w:rPr>
          <w:rFonts w:ascii="Garamond" w:hAnsi="Garamond" w:cs="Arial"/>
          <w:color w:val="auto"/>
          <w:sz w:val="24"/>
          <w:szCs w:val="24"/>
          <w:lang w:val="pt-PT"/>
        </w:rPr>
        <w:t xml:space="preserve"> (AECID). </w:t>
      </w:r>
      <w:r w:rsidRPr="003A1174">
        <w:rPr>
          <w:rFonts w:ascii="Garamond" w:hAnsi="Garamond" w:cs="Arial"/>
          <w:color w:val="auto"/>
          <w:sz w:val="24"/>
          <w:szCs w:val="24"/>
          <w:lang w:val="pt-PT"/>
        </w:rPr>
        <w:t xml:space="preserve">Realizaram-se </w:t>
      </w:r>
      <w:r w:rsidR="00955D60" w:rsidRPr="003A1174">
        <w:rPr>
          <w:rFonts w:ascii="Garamond" w:hAnsi="Garamond" w:cs="Arial"/>
          <w:color w:val="auto"/>
          <w:sz w:val="24"/>
          <w:szCs w:val="24"/>
          <w:lang w:val="pt-PT"/>
        </w:rPr>
        <w:t xml:space="preserve">seis cursos de </w:t>
      </w:r>
      <w:r w:rsidR="001B7D0B">
        <w:rPr>
          <w:rFonts w:ascii="Garamond" w:hAnsi="Garamond" w:cs="Arial"/>
          <w:color w:val="auto"/>
          <w:sz w:val="24"/>
          <w:szCs w:val="24"/>
          <w:lang w:val="pt-PT"/>
        </w:rPr>
        <w:t xml:space="preserve">formação </w:t>
      </w:r>
      <w:r w:rsidR="00955D60" w:rsidRPr="003A1174">
        <w:rPr>
          <w:rFonts w:ascii="Garamond" w:hAnsi="Garamond" w:cs="Arial"/>
          <w:color w:val="auto"/>
          <w:sz w:val="24"/>
          <w:szCs w:val="24"/>
          <w:lang w:val="pt-PT"/>
        </w:rPr>
        <w:t xml:space="preserve">sobre </w:t>
      </w:r>
      <w:r w:rsidR="00AB6522" w:rsidRPr="003A1174">
        <w:rPr>
          <w:rFonts w:ascii="Garamond" w:hAnsi="Garamond" w:cs="Arial"/>
          <w:color w:val="auto"/>
          <w:sz w:val="24"/>
          <w:szCs w:val="24"/>
          <w:lang w:val="pt-PT"/>
        </w:rPr>
        <w:t>resposta</w:t>
      </w:r>
      <w:r w:rsidR="00955D60" w:rsidRPr="003A1174">
        <w:rPr>
          <w:rFonts w:ascii="Garamond" w:hAnsi="Garamond" w:cs="Arial"/>
          <w:color w:val="auto"/>
          <w:sz w:val="24"/>
          <w:szCs w:val="24"/>
          <w:lang w:val="pt-PT"/>
        </w:rPr>
        <w:t xml:space="preserve"> policial </w:t>
      </w:r>
      <w:r w:rsidR="00112F7B">
        <w:rPr>
          <w:rFonts w:ascii="Garamond" w:hAnsi="Garamond" w:cs="Arial"/>
          <w:color w:val="auto"/>
          <w:sz w:val="24"/>
          <w:szCs w:val="24"/>
          <w:lang w:val="pt-PT"/>
        </w:rPr>
        <w:t xml:space="preserve">à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 género </w:t>
      </w:r>
      <w:r w:rsidRPr="003A1174">
        <w:rPr>
          <w:rFonts w:ascii="Garamond" w:hAnsi="Garamond" w:cs="Arial"/>
          <w:color w:val="auto"/>
          <w:sz w:val="24"/>
          <w:szCs w:val="24"/>
          <w:lang w:val="pt-PT"/>
        </w:rPr>
        <w:t>n</w:t>
      </w:r>
      <w:r w:rsidR="00955D60" w:rsidRPr="003A1174">
        <w:rPr>
          <w:rFonts w:ascii="Garamond" w:hAnsi="Garamond" w:cs="Arial"/>
          <w:color w:val="auto"/>
          <w:sz w:val="24"/>
          <w:szCs w:val="24"/>
          <w:lang w:val="pt-PT"/>
        </w:rPr>
        <w:t xml:space="preserve">as </w:t>
      </w:r>
      <w:r w:rsidRPr="003A1174">
        <w:rPr>
          <w:rFonts w:ascii="Garamond" w:hAnsi="Garamond" w:cs="Arial"/>
          <w:color w:val="auto"/>
          <w:sz w:val="24"/>
          <w:szCs w:val="24"/>
          <w:lang w:val="pt-PT"/>
        </w:rPr>
        <w:t>esquadra</w:t>
      </w:r>
      <w:r w:rsidR="00955D60" w:rsidRPr="003A1174">
        <w:rPr>
          <w:rFonts w:ascii="Garamond" w:hAnsi="Garamond" w:cs="Arial"/>
          <w:color w:val="auto"/>
          <w:sz w:val="24"/>
          <w:szCs w:val="24"/>
          <w:lang w:val="pt-PT"/>
        </w:rPr>
        <w:t xml:space="preserve">s de Artigas, Cerro Largo, Colonia, Paysandú, Rocha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Soriano</w:t>
      </w:r>
      <w:r w:rsidR="003321CE"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3321CE" w:rsidRPr="003A1174">
        <w:rPr>
          <w:rFonts w:ascii="Garamond" w:hAnsi="Garamond" w:cs="Arial"/>
          <w:color w:val="auto"/>
          <w:sz w:val="24"/>
          <w:szCs w:val="24"/>
          <w:lang w:val="pt-PT"/>
        </w:rPr>
        <w:t>que</w:t>
      </w:r>
      <w:r w:rsidR="00955D60" w:rsidRPr="003A1174">
        <w:rPr>
          <w:rFonts w:ascii="Garamond" w:hAnsi="Garamond" w:cs="Arial"/>
          <w:color w:val="auto"/>
          <w:sz w:val="24"/>
          <w:szCs w:val="24"/>
          <w:lang w:val="pt-PT"/>
        </w:rPr>
        <w:t xml:space="preserve"> </w:t>
      </w:r>
      <w:r w:rsidR="00946348" w:rsidRPr="003A1174">
        <w:rPr>
          <w:rFonts w:ascii="Garamond" w:hAnsi="Garamond" w:cs="Arial"/>
          <w:color w:val="auto"/>
          <w:sz w:val="24"/>
          <w:szCs w:val="24"/>
          <w:lang w:val="pt-PT"/>
        </w:rPr>
        <w:t>foram</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ministrados </w:t>
      </w:r>
      <w:r w:rsidR="00955D60" w:rsidRPr="003A1174">
        <w:rPr>
          <w:rFonts w:ascii="Garamond" w:hAnsi="Garamond" w:cs="Arial"/>
          <w:color w:val="auto"/>
          <w:sz w:val="24"/>
          <w:szCs w:val="24"/>
          <w:lang w:val="pt-PT"/>
        </w:rPr>
        <w:t xml:space="preserve">por docentes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w:t>
      </w:r>
      <w:r w:rsidR="00E67EF8" w:rsidRPr="003A1174">
        <w:rPr>
          <w:rFonts w:ascii="Garamond" w:hAnsi="Garamond" w:cs="Arial"/>
          <w:color w:val="auto"/>
          <w:sz w:val="24"/>
          <w:szCs w:val="24"/>
          <w:lang w:val="pt-PT"/>
        </w:rPr>
        <w:t>faculdades</w:t>
      </w:r>
      <w:r w:rsidR="00955D60" w:rsidRPr="003A1174">
        <w:rPr>
          <w:rFonts w:ascii="Garamond" w:hAnsi="Garamond" w:cs="Arial"/>
          <w:color w:val="auto"/>
          <w:sz w:val="24"/>
          <w:szCs w:val="24"/>
          <w:lang w:val="pt-PT"/>
        </w:rPr>
        <w:t xml:space="preserve"> de </w:t>
      </w:r>
      <w:r w:rsidR="00A86B7C" w:rsidRPr="003A1174">
        <w:rPr>
          <w:rFonts w:ascii="Garamond" w:hAnsi="Garamond" w:cs="Arial"/>
          <w:color w:val="auto"/>
          <w:sz w:val="24"/>
          <w:szCs w:val="24"/>
          <w:lang w:val="pt-PT"/>
        </w:rPr>
        <w:t>Ciências</w:t>
      </w:r>
      <w:r w:rsidR="00955D60"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Sociais</w:t>
      </w:r>
      <w:r w:rsidR="00955D60" w:rsidRPr="003A1174">
        <w:rPr>
          <w:rFonts w:ascii="Garamond" w:hAnsi="Garamond" w:cs="Arial"/>
          <w:color w:val="auto"/>
          <w:sz w:val="24"/>
          <w:szCs w:val="24"/>
          <w:lang w:val="pt-PT"/>
        </w:rPr>
        <w:t xml:space="preserve">,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Humanidades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A86B7C" w:rsidRPr="003A1174">
        <w:rPr>
          <w:rFonts w:ascii="Garamond" w:hAnsi="Garamond" w:cs="Arial"/>
          <w:color w:val="auto"/>
          <w:sz w:val="24"/>
          <w:szCs w:val="24"/>
          <w:lang w:val="pt-PT"/>
        </w:rPr>
        <w:t>Ciências</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Decorreram em </w:t>
      </w:r>
      <w:r w:rsidR="00955D60" w:rsidRPr="003A1174">
        <w:rPr>
          <w:rFonts w:ascii="Garamond" w:hAnsi="Garamond" w:cs="Arial"/>
          <w:color w:val="auto"/>
          <w:sz w:val="24"/>
          <w:szCs w:val="24"/>
          <w:lang w:val="pt-PT"/>
        </w:rPr>
        <w:t>8 módulos</w:t>
      </w:r>
      <w:r w:rsidR="00112F7B">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co</w:t>
      </w:r>
      <w:r w:rsidRPr="003A1174">
        <w:rPr>
          <w:rFonts w:ascii="Garamond" w:hAnsi="Garamond" w:cs="Arial"/>
          <w:color w:val="auto"/>
          <w:sz w:val="24"/>
          <w:szCs w:val="24"/>
          <w:lang w:val="pt-PT"/>
        </w:rPr>
        <w:t>m um</w:t>
      </w:r>
      <w:r w:rsidR="00955D60" w:rsidRPr="003A1174">
        <w:rPr>
          <w:rFonts w:ascii="Garamond" w:hAnsi="Garamond" w:cs="Arial"/>
          <w:color w:val="auto"/>
          <w:sz w:val="24"/>
          <w:szCs w:val="24"/>
          <w:lang w:val="pt-PT"/>
        </w:rPr>
        <w:t xml:space="preserve"> total de 32 horas </w:t>
      </w:r>
      <w:r w:rsidR="00EC45A0" w:rsidRPr="003A1174">
        <w:rPr>
          <w:rFonts w:ascii="Garamond" w:hAnsi="Garamond" w:cs="Arial"/>
          <w:color w:val="auto"/>
          <w:sz w:val="24"/>
          <w:szCs w:val="24"/>
          <w:lang w:val="pt-PT"/>
        </w:rPr>
        <w:t>presenciais</w:t>
      </w:r>
      <w:r w:rsidR="00112F7B">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946348" w:rsidRPr="003A1174">
        <w:rPr>
          <w:rFonts w:ascii="Garamond" w:hAnsi="Garamond" w:cs="Arial"/>
          <w:color w:val="auto"/>
          <w:sz w:val="24"/>
          <w:szCs w:val="24"/>
          <w:lang w:val="pt-PT"/>
        </w:rPr>
        <w:t>foram</w:t>
      </w:r>
      <w:r w:rsidRPr="003A1174">
        <w:rPr>
          <w:rFonts w:ascii="Garamond" w:hAnsi="Garamond" w:cs="Arial"/>
          <w:color w:val="auto"/>
          <w:sz w:val="24"/>
          <w:szCs w:val="24"/>
          <w:lang w:val="pt-PT"/>
        </w:rPr>
        <w:t xml:space="preserve"> </w:t>
      </w:r>
      <w:r w:rsidR="00112F7B">
        <w:rPr>
          <w:rFonts w:ascii="Garamond" w:hAnsi="Garamond" w:cs="Arial"/>
          <w:color w:val="auto"/>
          <w:sz w:val="24"/>
          <w:szCs w:val="24"/>
          <w:lang w:val="pt-PT"/>
        </w:rPr>
        <w:t xml:space="preserve">formados </w:t>
      </w:r>
      <w:r w:rsidR="00955D60" w:rsidRPr="003A1174">
        <w:rPr>
          <w:rFonts w:ascii="Garamond" w:hAnsi="Garamond" w:cs="Arial"/>
          <w:color w:val="auto"/>
          <w:sz w:val="24"/>
          <w:szCs w:val="24"/>
          <w:lang w:val="pt-PT"/>
        </w:rPr>
        <w:t xml:space="preserve">os </w:t>
      </w:r>
      <w:r w:rsidR="003321CE" w:rsidRPr="003A1174">
        <w:rPr>
          <w:rFonts w:ascii="Garamond" w:hAnsi="Garamond" w:cs="Arial"/>
          <w:color w:val="auto"/>
          <w:sz w:val="24"/>
          <w:szCs w:val="24"/>
          <w:lang w:val="pt-PT"/>
        </w:rPr>
        <w:t>comis</w:t>
      </w:r>
      <w:r w:rsidRPr="003A1174">
        <w:rPr>
          <w:rFonts w:ascii="Garamond" w:hAnsi="Garamond" w:cs="Arial"/>
          <w:color w:val="auto"/>
          <w:sz w:val="24"/>
          <w:szCs w:val="24"/>
          <w:lang w:val="pt-PT"/>
        </w:rPr>
        <w:t>sá</w:t>
      </w:r>
      <w:r w:rsidR="003321CE" w:rsidRPr="003A1174">
        <w:rPr>
          <w:rFonts w:ascii="Garamond" w:hAnsi="Garamond" w:cs="Arial"/>
          <w:color w:val="auto"/>
          <w:sz w:val="24"/>
          <w:szCs w:val="24"/>
          <w:lang w:val="pt-PT"/>
        </w:rPr>
        <w:t>rios o</w:t>
      </w:r>
      <w:r w:rsidRPr="003A1174">
        <w:rPr>
          <w:rFonts w:ascii="Garamond" w:hAnsi="Garamond" w:cs="Arial"/>
          <w:color w:val="auto"/>
          <w:sz w:val="24"/>
          <w:szCs w:val="24"/>
          <w:lang w:val="pt-PT"/>
        </w:rPr>
        <w:t>u</w:t>
      </w:r>
      <w:r w:rsidR="003321CE"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encarregado</w:t>
      </w:r>
      <w:r w:rsidR="003321CE"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 xml:space="preserve">de todas </w:t>
      </w:r>
      <w:r w:rsidR="00955D60" w:rsidRPr="003A1174">
        <w:rPr>
          <w:rFonts w:ascii="Garamond" w:hAnsi="Garamond" w:cs="Arial"/>
          <w:color w:val="auto"/>
          <w:sz w:val="24"/>
          <w:szCs w:val="24"/>
          <w:lang w:val="pt-PT"/>
        </w:rPr>
        <w:t>as Sec</w:t>
      </w:r>
      <w:r w:rsidRPr="003A1174">
        <w:rPr>
          <w:rFonts w:ascii="Garamond" w:hAnsi="Garamond" w:cs="Arial"/>
          <w:color w:val="auto"/>
          <w:sz w:val="24"/>
          <w:szCs w:val="24"/>
          <w:lang w:val="pt-PT"/>
        </w:rPr>
        <w:t>ções de</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Polí</w:t>
      </w:r>
      <w:r w:rsidR="001F2F8B" w:rsidRPr="003A1174">
        <w:rPr>
          <w:rFonts w:ascii="Garamond" w:hAnsi="Garamond" w:cs="Arial"/>
          <w:color w:val="auto"/>
          <w:sz w:val="24"/>
          <w:szCs w:val="24"/>
          <w:lang w:val="pt-PT"/>
        </w:rPr>
        <w:t>cia</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de cada </w:t>
      </w:r>
      <w:r w:rsidRPr="003A1174">
        <w:rPr>
          <w:rFonts w:ascii="Garamond" w:hAnsi="Garamond" w:cs="Arial"/>
          <w:color w:val="auto"/>
          <w:sz w:val="24"/>
          <w:szCs w:val="24"/>
          <w:lang w:val="pt-PT"/>
        </w:rPr>
        <w:t>Esquadra</w:t>
      </w:r>
      <w:r w:rsidR="00955D60"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pessoal</w:t>
      </w:r>
      <w:r w:rsidR="00955D60" w:rsidRPr="003A1174">
        <w:rPr>
          <w:rFonts w:ascii="Garamond" w:hAnsi="Garamond" w:cs="Arial"/>
          <w:color w:val="auto"/>
          <w:sz w:val="24"/>
          <w:szCs w:val="24"/>
          <w:lang w:val="pt-PT"/>
        </w:rPr>
        <w:t xml:space="preserve"> subalterno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w:t>
      </w:r>
      <w:r w:rsidR="00524936" w:rsidRPr="003A1174">
        <w:rPr>
          <w:rFonts w:ascii="Garamond" w:hAnsi="Garamond" w:cs="Arial"/>
          <w:color w:val="auto"/>
          <w:sz w:val="24"/>
          <w:szCs w:val="24"/>
          <w:lang w:val="pt-PT"/>
        </w:rPr>
        <w:t>mesma</w:t>
      </w:r>
      <w:r w:rsidR="00955D60" w:rsidRPr="003A1174">
        <w:rPr>
          <w:rFonts w:ascii="Garamond" w:hAnsi="Garamond" w:cs="Arial"/>
          <w:color w:val="auto"/>
          <w:sz w:val="24"/>
          <w:szCs w:val="24"/>
          <w:lang w:val="pt-PT"/>
        </w:rPr>
        <w:t>s co</w:t>
      </w:r>
      <w:r w:rsidRPr="003A1174">
        <w:rPr>
          <w:rFonts w:ascii="Garamond" w:hAnsi="Garamond" w:cs="Arial"/>
          <w:color w:val="auto"/>
          <w:sz w:val="24"/>
          <w:szCs w:val="24"/>
          <w:lang w:val="pt-PT"/>
        </w:rPr>
        <w:t xml:space="preserve">m perfil para </w:t>
      </w:r>
      <w:r w:rsidR="005518C4">
        <w:rPr>
          <w:rFonts w:ascii="Garamond" w:hAnsi="Garamond" w:cs="Arial"/>
          <w:color w:val="auto"/>
          <w:sz w:val="24"/>
          <w:szCs w:val="24"/>
          <w:lang w:val="pt-PT"/>
        </w:rPr>
        <w:t>os cuidados a ter em</w:t>
      </w:r>
      <w:r w:rsidR="00955D60" w:rsidRPr="003A1174">
        <w:rPr>
          <w:rFonts w:ascii="Garamond" w:hAnsi="Garamond" w:cs="Arial"/>
          <w:color w:val="auto"/>
          <w:sz w:val="24"/>
          <w:szCs w:val="24"/>
          <w:lang w:val="pt-PT"/>
        </w:rPr>
        <w:t xml:space="preserve"> </w:t>
      </w:r>
      <w:r w:rsidR="007342D9" w:rsidRPr="003A1174">
        <w:rPr>
          <w:rFonts w:ascii="Garamond" w:hAnsi="Garamond" w:cs="Arial"/>
          <w:color w:val="auto"/>
          <w:sz w:val="24"/>
          <w:szCs w:val="24"/>
          <w:lang w:val="pt-PT"/>
        </w:rPr>
        <w:t>situações</w:t>
      </w:r>
      <w:r w:rsidR="00955D60"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w:t>
      </w:r>
      <w:r w:rsidR="003321CE" w:rsidRPr="003A117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Unidades Especializadas e</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(UEVD) </w:t>
      </w:r>
      <w:r w:rsidR="006A293D" w:rsidRPr="003A1174">
        <w:rPr>
          <w:rFonts w:ascii="Garamond" w:hAnsi="Garamond" w:cs="Arial"/>
          <w:color w:val="auto"/>
          <w:sz w:val="24"/>
          <w:szCs w:val="24"/>
          <w:lang w:val="pt-PT"/>
        </w:rPr>
        <w:t>sem</w:t>
      </w:r>
      <w:r w:rsidR="00955D60" w:rsidRPr="003A1174">
        <w:rPr>
          <w:rFonts w:ascii="Garamond" w:hAnsi="Garamond" w:cs="Arial"/>
          <w:color w:val="auto"/>
          <w:sz w:val="24"/>
          <w:szCs w:val="24"/>
          <w:lang w:val="pt-PT"/>
        </w:rPr>
        <w:t xml:space="preserve"> </w:t>
      </w:r>
      <w:r w:rsidR="001B7D0B">
        <w:rPr>
          <w:rFonts w:ascii="Garamond" w:hAnsi="Garamond" w:cs="Arial"/>
          <w:color w:val="auto"/>
          <w:sz w:val="24"/>
          <w:szCs w:val="24"/>
          <w:lang w:val="pt-PT"/>
        </w:rPr>
        <w:t xml:space="preserve">formação </w:t>
      </w:r>
      <w:r w:rsidRPr="003A1174">
        <w:rPr>
          <w:rFonts w:ascii="Garamond" w:hAnsi="Garamond" w:cs="Arial"/>
          <w:color w:val="auto"/>
          <w:sz w:val="24"/>
          <w:szCs w:val="24"/>
          <w:lang w:val="pt-PT"/>
        </w:rPr>
        <w:t>n</w:t>
      </w:r>
      <w:r w:rsidR="005518C4">
        <w:rPr>
          <w:rFonts w:ascii="Garamond" w:hAnsi="Garamond" w:cs="Arial"/>
          <w:color w:val="auto"/>
          <w:sz w:val="24"/>
          <w:szCs w:val="24"/>
          <w:lang w:val="pt-PT"/>
        </w:rPr>
        <w:t>esta área.</w:t>
      </w:r>
    </w:p>
    <w:p w:rsidR="00955D60" w:rsidRPr="003A1174" w:rsidRDefault="009E0B5D" w:rsidP="009E0B5D">
      <w:pPr>
        <w:pStyle w:val="Prrafodelista"/>
        <w:numPr>
          <w:ilvl w:val="0"/>
          <w:numId w:val="38"/>
        </w:numPr>
        <w:autoSpaceDE w:val="0"/>
        <w:spacing w:before="240" w:line="240" w:lineRule="auto"/>
        <w:jc w:val="both"/>
        <w:rPr>
          <w:rFonts w:ascii="Garamond" w:hAnsi="Garamond" w:cs="Arial"/>
          <w:bCs/>
          <w:color w:val="auto"/>
          <w:sz w:val="24"/>
          <w:szCs w:val="24"/>
          <w:lang w:val="pt-PT"/>
        </w:rPr>
      </w:pPr>
      <w:r w:rsidRPr="003A1174">
        <w:rPr>
          <w:rFonts w:ascii="Garamond" w:hAnsi="Garamond" w:cs="Arial"/>
          <w:bCs/>
          <w:color w:val="auto"/>
          <w:sz w:val="24"/>
          <w:szCs w:val="24"/>
          <w:lang w:val="pt-PT"/>
        </w:rPr>
        <w:t xml:space="preserve">No </w:t>
      </w:r>
      <w:r w:rsidR="00C30647" w:rsidRPr="003A1174">
        <w:rPr>
          <w:rFonts w:ascii="Garamond" w:hAnsi="Garamond" w:cs="Arial"/>
          <w:bCs/>
          <w:color w:val="auto"/>
          <w:sz w:val="24"/>
          <w:szCs w:val="24"/>
          <w:lang w:val="pt-PT"/>
        </w:rPr>
        <w:t>Projeto</w:t>
      </w:r>
      <w:r w:rsidR="00955D60" w:rsidRPr="003A1174">
        <w:rPr>
          <w:rFonts w:ascii="Garamond" w:hAnsi="Garamond" w:cs="Arial"/>
          <w:bCs/>
          <w:color w:val="auto"/>
          <w:sz w:val="24"/>
          <w:szCs w:val="24"/>
          <w:lang w:val="pt-PT"/>
        </w:rPr>
        <w:t xml:space="preserve"> </w:t>
      </w:r>
      <w:r w:rsidR="005518C4">
        <w:rPr>
          <w:rFonts w:ascii="Garamond" w:hAnsi="Garamond" w:cs="Arial"/>
          <w:bCs/>
          <w:i/>
          <w:color w:val="auto"/>
          <w:sz w:val="24"/>
          <w:szCs w:val="24"/>
          <w:lang w:val="pt-PT"/>
        </w:rPr>
        <w:t>«</w:t>
      </w:r>
      <w:r w:rsidR="00955D60" w:rsidRPr="003A1174">
        <w:rPr>
          <w:rFonts w:ascii="Garamond" w:hAnsi="Garamond" w:cs="Arial"/>
          <w:bCs/>
          <w:i/>
          <w:color w:val="auto"/>
          <w:sz w:val="24"/>
          <w:szCs w:val="24"/>
          <w:lang w:val="pt-PT"/>
        </w:rPr>
        <w:t>Mi Comisaría</w:t>
      </w:r>
      <w:r w:rsidR="005518C4">
        <w:rPr>
          <w:rFonts w:ascii="Garamond" w:hAnsi="Garamond" w:cs="Arial"/>
          <w:bCs/>
          <w:i/>
          <w:color w:val="auto"/>
          <w:sz w:val="24"/>
          <w:szCs w:val="24"/>
          <w:lang w:val="pt-PT"/>
        </w:rPr>
        <w:t>»</w:t>
      </w:r>
      <w:r w:rsidR="00955D60"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 xml:space="preserve">(A minha Esquadra) </w:t>
      </w:r>
      <w:r w:rsidR="00946348" w:rsidRPr="003A1174">
        <w:rPr>
          <w:rFonts w:ascii="Garamond" w:hAnsi="Garamond" w:cs="Arial"/>
          <w:bCs/>
          <w:color w:val="auto"/>
          <w:sz w:val="24"/>
          <w:szCs w:val="24"/>
          <w:lang w:val="pt-PT"/>
        </w:rPr>
        <w:t>foram</w:t>
      </w:r>
      <w:r w:rsidR="00955D60" w:rsidRPr="003A1174">
        <w:rPr>
          <w:rFonts w:ascii="Garamond" w:hAnsi="Garamond" w:cs="Arial"/>
          <w:bCs/>
          <w:color w:val="auto"/>
          <w:sz w:val="24"/>
          <w:szCs w:val="24"/>
          <w:lang w:val="pt-PT"/>
        </w:rPr>
        <w:t xml:space="preserve"> </w:t>
      </w:r>
      <w:r w:rsidR="005518C4">
        <w:rPr>
          <w:rFonts w:ascii="Garamond" w:hAnsi="Garamond" w:cs="Arial"/>
          <w:bCs/>
          <w:color w:val="auto"/>
          <w:sz w:val="24"/>
          <w:szCs w:val="24"/>
          <w:lang w:val="pt-PT"/>
        </w:rPr>
        <w:t xml:space="preserve">criados </w:t>
      </w:r>
      <w:r w:rsidR="00955D60" w:rsidRPr="003A1174">
        <w:rPr>
          <w:rFonts w:ascii="Garamond" w:hAnsi="Garamond" w:cs="Arial"/>
          <w:bCs/>
          <w:color w:val="auto"/>
          <w:sz w:val="24"/>
          <w:szCs w:val="24"/>
          <w:lang w:val="pt-PT"/>
        </w:rPr>
        <w:t xml:space="preserve">cursos sobre </w:t>
      </w:r>
      <w:r w:rsidR="000350B1" w:rsidRPr="003A1174">
        <w:rPr>
          <w:rFonts w:ascii="Garamond" w:hAnsi="Garamond" w:cs="Arial"/>
          <w:bCs/>
          <w:color w:val="auto"/>
          <w:sz w:val="24"/>
          <w:szCs w:val="24"/>
          <w:lang w:val="pt-PT"/>
        </w:rPr>
        <w:t>violência</w:t>
      </w:r>
      <w:r w:rsidR="003321CE" w:rsidRPr="003A1174">
        <w:rPr>
          <w:rFonts w:ascii="Garamond" w:hAnsi="Garamond" w:cs="Arial"/>
          <w:bCs/>
          <w:color w:val="auto"/>
          <w:sz w:val="24"/>
          <w:szCs w:val="24"/>
          <w:lang w:val="pt-PT"/>
        </w:rPr>
        <w:t xml:space="preserve"> doméstica,</w:t>
      </w:r>
      <w:r w:rsidRPr="003A1174">
        <w:rPr>
          <w:rFonts w:ascii="Garamond" w:hAnsi="Garamond" w:cs="Arial"/>
          <w:color w:val="auto"/>
          <w:sz w:val="24"/>
          <w:szCs w:val="24"/>
          <w:lang w:val="pt-PT"/>
        </w:rPr>
        <w:t xml:space="preserve"> dirigidos ao</w:t>
      </w:r>
      <w:r w:rsidR="003321CE"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pessoal</w:t>
      </w:r>
      <w:r w:rsidR="003321CE" w:rsidRPr="003A1174">
        <w:rPr>
          <w:rFonts w:ascii="Garamond" w:hAnsi="Garamond" w:cs="Arial"/>
          <w:color w:val="auto"/>
          <w:sz w:val="24"/>
          <w:szCs w:val="24"/>
          <w:lang w:val="pt-PT"/>
        </w:rPr>
        <w:t xml:space="preserve"> </w:t>
      </w:r>
      <w:r w:rsidR="00405739" w:rsidRPr="003A1174">
        <w:rPr>
          <w:rFonts w:ascii="Garamond" w:hAnsi="Garamond" w:cs="Arial"/>
          <w:color w:val="auto"/>
          <w:sz w:val="24"/>
          <w:szCs w:val="24"/>
          <w:lang w:val="pt-PT"/>
        </w:rPr>
        <w:t xml:space="preserve">que presta </w:t>
      </w:r>
      <w:r w:rsidR="005518C4">
        <w:rPr>
          <w:rFonts w:ascii="Garamond" w:hAnsi="Garamond" w:cs="Arial"/>
          <w:color w:val="auto"/>
          <w:sz w:val="24"/>
          <w:szCs w:val="24"/>
          <w:lang w:val="pt-PT"/>
        </w:rPr>
        <w:t xml:space="preserve">apoio </w:t>
      </w:r>
      <w:r w:rsidR="00774697" w:rsidRPr="003A1174">
        <w:rPr>
          <w:rFonts w:ascii="Garamond" w:hAnsi="Garamond" w:cs="Arial"/>
          <w:color w:val="auto"/>
          <w:sz w:val="24"/>
          <w:szCs w:val="24"/>
          <w:lang w:val="pt-PT"/>
        </w:rPr>
        <w:t>diret</w:t>
      </w:r>
      <w:r w:rsidR="005518C4">
        <w:rPr>
          <w:rFonts w:ascii="Garamond" w:hAnsi="Garamond" w:cs="Arial"/>
          <w:color w:val="auto"/>
          <w:sz w:val="24"/>
          <w:szCs w:val="24"/>
          <w:lang w:val="pt-PT"/>
        </w:rPr>
        <w:t>o</w:t>
      </w:r>
      <w:r w:rsidR="003321CE" w:rsidRPr="003A1174">
        <w:rPr>
          <w:rFonts w:ascii="Garamond" w:hAnsi="Garamond" w:cs="Arial"/>
          <w:color w:val="auto"/>
          <w:sz w:val="24"/>
          <w:szCs w:val="24"/>
          <w:lang w:val="pt-PT"/>
        </w:rPr>
        <w:t xml:space="preserve"> a</w:t>
      </w:r>
      <w:r w:rsidRPr="003A1174">
        <w:rPr>
          <w:rFonts w:ascii="Garamond" w:hAnsi="Garamond" w:cs="Arial"/>
          <w:color w:val="auto"/>
          <w:sz w:val="24"/>
          <w:szCs w:val="24"/>
          <w:lang w:val="pt-PT"/>
        </w:rPr>
        <w:t>o</w:t>
      </w:r>
      <w:r w:rsidR="003321CE" w:rsidRPr="003A1174">
        <w:rPr>
          <w:rFonts w:ascii="Garamond" w:hAnsi="Garamond" w:cs="Arial"/>
          <w:color w:val="auto"/>
          <w:sz w:val="24"/>
          <w:szCs w:val="24"/>
          <w:lang w:val="pt-PT"/>
        </w:rPr>
        <w:t xml:space="preserve"> pú</w:t>
      </w:r>
      <w:r w:rsidR="00955D60" w:rsidRPr="003A1174">
        <w:rPr>
          <w:rFonts w:ascii="Garamond" w:hAnsi="Garamond" w:cs="Arial"/>
          <w:color w:val="auto"/>
          <w:sz w:val="24"/>
          <w:szCs w:val="24"/>
          <w:lang w:val="pt-PT"/>
        </w:rPr>
        <w:t xml:space="preserve">blico </w:t>
      </w:r>
      <w:r w:rsidR="00405739" w:rsidRPr="003A1174">
        <w:rPr>
          <w:rFonts w:ascii="Garamond" w:hAnsi="Garamond" w:cs="Arial"/>
          <w:color w:val="auto"/>
          <w:sz w:val="24"/>
          <w:szCs w:val="24"/>
          <w:lang w:val="pt-PT"/>
        </w:rPr>
        <w:t xml:space="preserve">nas Secções </w:t>
      </w:r>
      <w:r w:rsidR="001F2F8B" w:rsidRPr="003A1174">
        <w:rPr>
          <w:rFonts w:ascii="Garamond" w:hAnsi="Garamond" w:cs="Arial"/>
          <w:color w:val="auto"/>
          <w:sz w:val="24"/>
          <w:szCs w:val="24"/>
          <w:lang w:val="pt-PT"/>
        </w:rPr>
        <w:t>Policiais</w:t>
      </w:r>
      <w:r w:rsidR="00955D60" w:rsidRPr="003A1174">
        <w:rPr>
          <w:rFonts w:ascii="Garamond" w:hAnsi="Garamond" w:cs="Arial"/>
          <w:color w:val="auto"/>
          <w:sz w:val="24"/>
          <w:szCs w:val="24"/>
          <w:lang w:val="pt-PT"/>
        </w:rPr>
        <w:t xml:space="preserve"> de Montevideo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que </w:t>
      </w:r>
      <w:r w:rsidR="007A2492" w:rsidRPr="003A1174">
        <w:rPr>
          <w:rFonts w:ascii="Garamond" w:hAnsi="Garamond" w:cs="Arial"/>
          <w:color w:val="auto"/>
          <w:sz w:val="24"/>
          <w:szCs w:val="24"/>
          <w:lang w:val="pt-PT"/>
        </w:rPr>
        <w:t>tem</w:t>
      </w:r>
      <w:r w:rsidR="00955D60" w:rsidRPr="003A1174">
        <w:rPr>
          <w:rFonts w:ascii="Garamond" w:hAnsi="Garamond" w:cs="Arial"/>
          <w:color w:val="auto"/>
          <w:sz w:val="24"/>
          <w:szCs w:val="24"/>
          <w:lang w:val="pt-PT"/>
        </w:rPr>
        <w:t xml:space="preserve"> por objet</w:t>
      </w:r>
      <w:r w:rsidR="00405739" w:rsidRPr="003A1174">
        <w:rPr>
          <w:rFonts w:ascii="Garamond" w:hAnsi="Garamond" w:cs="Arial"/>
          <w:color w:val="auto"/>
          <w:sz w:val="24"/>
          <w:szCs w:val="24"/>
          <w:lang w:val="pt-PT"/>
        </w:rPr>
        <w:t>iv</w:t>
      </w:r>
      <w:r w:rsidR="00955D60" w:rsidRPr="003A1174">
        <w:rPr>
          <w:rFonts w:ascii="Garamond" w:hAnsi="Garamond" w:cs="Arial"/>
          <w:color w:val="auto"/>
          <w:sz w:val="24"/>
          <w:szCs w:val="24"/>
          <w:lang w:val="pt-PT"/>
        </w:rPr>
        <w:t xml:space="preserve">o </w:t>
      </w:r>
      <w:r w:rsidR="00964875" w:rsidRPr="003A1174">
        <w:rPr>
          <w:rFonts w:ascii="Garamond" w:hAnsi="Garamond" w:cs="Arial"/>
          <w:color w:val="auto"/>
          <w:sz w:val="24"/>
          <w:szCs w:val="24"/>
          <w:lang w:val="pt-PT"/>
        </w:rPr>
        <w:t>melhorar</w:t>
      </w:r>
      <w:r w:rsidR="00405739"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 </w:t>
      </w:r>
      <w:r w:rsidR="00454353" w:rsidRPr="003A1174">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w:t>
      </w:r>
      <w:r w:rsidR="003321CE" w:rsidRPr="003A1174">
        <w:rPr>
          <w:rFonts w:ascii="Garamond" w:hAnsi="Garamond" w:cs="Arial"/>
          <w:color w:val="auto"/>
          <w:sz w:val="24"/>
          <w:szCs w:val="24"/>
          <w:lang w:val="pt-PT"/>
        </w:rPr>
        <w:t xml:space="preserve">as </w:t>
      </w:r>
      <w:r w:rsidR="00AC3351" w:rsidRPr="003A1174">
        <w:rPr>
          <w:rFonts w:ascii="Garamond" w:hAnsi="Garamond" w:cs="Arial"/>
          <w:color w:val="auto"/>
          <w:sz w:val="24"/>
          <w:szCs w:val="24"/>
          <w:lang w:val="pt-PT"/>
        </w:rPr>
        <w:t>condições</w:t>
      </w:r>
      <w:r w:rsidR="00955D60" w:rsidRPr="003A1174">
        <w:rPr>
          <w:rFonts w:ascii="Garamond" w:hAnsi="Garamond" w:cs="Arial"/>
          <w:color w:val="auto"/>
          <w:sz w:val="24"/>
          <w:szCs w:val="24"/>
          <w:lang w:val="pt-PT"/>
        </w:rPr>
        <w:t xml:space="preserve"> de </w:t>
      </w:r>
      <w:r w:rsidR="0017447A" w:rsidRPr="003A1174">
        <w:rPr>
          <w:rFonts w:ascii="Garamond" w:hAnsi="Garamond" w:cs="Arial"/>
          <w:color w:val="auto"/>
          <w:sz w:val="24"/>
          <w:szCs w:val="24"/>
          <w:lang w:val="pt-PT"/>
        </w:rPr>
        <w:t>trabalho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2F5CD1" w:rsidRPr="003A1174">
        <w:rPr>
          <w:rFonts w:ascii="Garamond" w:hAnsi="Garamond" w:cs="Arial"/>
          <w:color w:val="auto"/>
          <w:sz w:val="24"/>
          <w:szCs w:val="24"/>
          <w:lang w:val="pt-PT"/>
        </w:rPr>
        <w:t>estabelecer</w:t>
      </w:r>
      <w:r w:rsidR="005518C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co</w:t>
      </w:r>
      <w:r w:rsidR="00405739" w:rsidRPr="003A1174">
        <w:rPr>
          <w:rFonts w:ascii="Garamond" w:hAnsi="Garamond" w:cs="Arial"/>
          <w:color w:val="auto"/>
          <w:sz w:val="24"/>
          <w:szCs w:val="24"/>
          <w:lang w:val="pt-PT"/>
        </w:rPr>
        <w:t>m clareza</w:t>
      </w:r>
      <w:r w:rsidR="005518C4">
        <w:rPr>
          <w:rFonts w:ascii="Garamond" w:hAnsi="Garamond" w:cs="Arial"/>
          <w:color w:val="auto"/>
          <w:sz w:val="24"/>
          <w:szCs w:val="24"/>
          <w:lang w:val="pt-PT"/>
        </w:rPr>
        <w:t>,</w:t>
      </w:r>
      <w:r w:rsidR="00405739"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os </w:t>
      </w:r>
      <w:r w:rsidR="003F012B" w:rsidRPr="003A1174">
        <w:rPr>
          <w:rFonts w:ascii="Garamond" w:hAnsi="Garamond" w:cs="Arial"/>
          <w:color w:val="auto"/>
          <w:sz w:val="24"/>
          <w:szCs w:val="24"/>
          <w:lang w:val="pt-PT"/>
        </w:rPr>
        <w:t>procedimentos</w:t>
      </w:r>
      <w:r w:rsidR="00955D60" w:rsidRPr="003A1174">
        <w:rPr>
          <w:rFonts w:ascii="Garamond" w:hAnsi="Garamond" w:cs="Arial"/>
          <w:color w:val="auto"/>
          <w:sz w:val="24"/>
          <w:szCs w:val="24"/>
          <w:lang w:val="pt-PT"/>
        </w:rPr>
        <w:t xml:space="preserve"> para cada tare</w:t>
      </w:r>
      <w:r w:rsidR="00405739" w:rsidRPr="003A1174">
        <w:rPr>
          <w:rFonts w:ascii="Garamond" w:hAnsi="Garamond" w:cs="Arial"/>
          <w:color w:val="auto"/>
          <w:sz w:val="24"/>
          <w:szCs w:val="24"/>
          <w:lang w:val="pt-PT"/>
        </w:rPr>
        <w:t>f</w:t>
      </w:r>
      <w:r w:rsidR="00955D60" w:rsidRPr="003A1174">
        <w:rPr>
          <w:rFonts w:ascii="Garamond" w:hAnsi="Garamond" w:cs="Arial"/>
          <w:color w:val="auto"/>
          <w:sz w:val="24"/>
          <w:szCs w:val="24"/>
          <w:lang w:val="pt-PT"/>
        </w:rPr>
        <w:t>a; tanto p</w:t>
      </w:r>
      <w:r w:rsidR="003321CE" w:rsidRPr="003A1174">
        <w:rPr>
          <w:rFonts w:ascii="Garamond" w:hAnsi="Garamond" w:cs="Arial"/>
          <w:color w:val="auto"/>
          <w:sz w:val="24"/>
          <w:szCs w:val="24"/>
          <w:lang w:val="pt-PT"/>
        </w:rPr>
        <w:t>ara</w:t>
      </w:r>
      <w:r w:rsidR="00405739"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 </w:t>
      </w:r>
      <w:r w:rsidR="00B5431B" w:rsidRPr="003A1174">
        <w:rPr>
          <w:rFonts w:ascii="Garamond" w:hAnsi="Garamond" w:cs="Arial"/>
          <w:color w:val="auto"/>
          <w:sz w:val="24"/>
          <w:szCs w:val="24"/>
          <w:lang w:val="pt-PT"/>
        </w:rPr>
        <w:t>receção</w:t>
      </w:r>
      <w:r w:rsidR="00955D60" w:rsidRPr="003A1174">
        <w:rPr>
          <w:rFonts w:ascii="Garamond" w:hAnsi="Garamond" w:cs="Arial"/>
          <w:color w:val="auto"/>
          <w:sz w:val="24"/>
          <w:szCs w:val="24"/>
          <w:lang w:val="pt-PT"/>
        </w:rPr>
        <w:t xml:space="preserve"> de </w:t>
      </w:r>
      <w:r w:rsidR="008651AF" w:rsidRPr="003A1174">
        <w:rPr>
          <w:rFonts w:ascii="Garamond" w:hAnsi="Garamond" w:cs="Arial"/>
          <w:color w:val="auto"/>
          <w:sz w:val="24"/>
          <w:szCs w:val="24"/>
          <w:lang w:val="pt-PT"/>
        </w:rPr>
        <w:t>denúncia</w:t>
      </w:r>
      <w:r w:rsidR="00955D60" w:rsidRPr="003A1174">
        <w:rPr>
          <w:rFonts w:ascii="Garamond" w:hAnsi="Garamond" w:cs="Arial"/>
          <w:color w:val="auto"/>
          <w:sz w:val="24"/>
          <w:szCs w:val="24"/>
          <w:lang w:val="pt-PT"/>
        </w:rPr>
        <w:t>s de delitos</w:t>
      </w:r>
      <w:r w:rsidR="005518C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como </w:t>
      </w:r>
      <w:r w:rsidR="005518C4">
        <w:rPr>
          <w:rFonts w:ascii="Garamond" w:hAnsi="Garamond" w:cs="Arial"/>
          <w:color w:val="auto"/>
          <w:sz w:val="24"/>
          <w:szCs w:val="24"/>
          <w:lang w:val="pt-PT"/>
        </w:rPr>
        <w:t xml:space="preserve">no tratamento </w:t>
      </w:r>
      <w:r w:rsidR="00405739" w:rsidRPr="003A1174">
        <w:rPr>
          <w:rFonts w:ascii="Garamond" w:hAnsi="Garamond" w:cs="Arial"/>
          <w:color w:val="auto"/>
          <w:sz w:val="24"/>
          <w:szCs w:val="24"/>
          <w:lang w:val="pt-PT"/>
        </w:rPr>
        <w:t>de trâ</w:t>
      </w:r>
      <w:r w:rsidR="00955D60" w:rsidRPr="003A1174">
        <w:rPr>
          <w:rFonts w:ascii="Garamond" w:hAnsi="Garamond" w:cs="Arial"/>
          <w:color w:val="auto"/>
          <w:sz w:val="24"/>
          <w:szCs w:val="24"/>
          <w:lang w:val="pt-PT"/>
        </w:rPr>
        <w:t xml:space="preserve">mites </w:t>
      </w:r>
      <w:r w:rsidR="00077461" w:rsidRPr="003A1174">
        <w:rPr>
          <w:rFonts w:ascii="Garamond" w:hAnsi="Garamond" w:cs="Arial"/>
          <w:color w:val="auto"/>
          <w:sz w:val="24"/>
          <w:szCs w:val="24"/>
          <w:lang w:val="pt-PT"/>
        </w:rPr>
        <w:t>gera</w:t>
      </w:r>
      <w:r w:rsidR="00405739" w:rsidRPr="003A1174">
        <w:rPr>
          <w:rFonts w:ascii="Garamond" w:hAnsi="Garamond" w:cs="Arial"/>
          <w:color w:val="auto"/>
          <w:sz w:val="24"/>
          <w:szCs w:val="24"/>
          <w:lang w:val="pt-PT"/>
        </w:rPr>
        <w:t>i</w:t>
      </w:r>
      <w:r w:rsidR="00955D60" w:rsidRPr="003A1174">
        <w:rPr>
          <w:rFonts w:ascii="Garamond" w:hAnsi="Garamond" w:cs="Arial"/>
          <w:color w:val="auto"/>
          <w:sz w:val="24"/>
          <w:szCs w:val="24"/>
          <w:lang w:val="pt-PT"/>
        </w:rPr>
        <w:t xml:space="preserve">s. De </w:t>
      </w:r>
      <w:r w:rsidR="009E3E55" w:rsidRPr="003A1174">
        <w:rPr>
          <w:rFonts w:ascii="Garamond" w:hAnsi="Garamond" w:cs="Arial"/>
          <w:color w:val="auto"/>
          <w:sz w:val="24"/>
          <w:szCs w:val="24"/>
          <w:lang w:val="pt-PT"/>
        </w:rPr>
        <w:t>julho</w:t>
      </w:r>
      <w:r w:rsidR="00955D60" w:rsidRPr="003A1174">
        <w:rPr>
          <w:rFonts w:ascii="Garamond" w:hAnsi="Garamond" w:cs="Arial"/>
          <w:color w:val="auto"/>
          <w:sz w:val="24"/>
          <w:szCs w:val="24"/>
          <w:lang w:val="pt-PT"/>
        </w:rPr>
        <w:t xml:space="preserve"> a </w:t>
      </w:r>
      <w:r w:rsidR="0094067E" w:rsidRPr="003A1174">
        <w:rPr>
          <w:rFonts w:ascii="Garamond" w:hAnsi="Garamond" w:cs="Arial"/>
          <w:color w:val="auto"/>
          <w:sz w:val="24"/>
          <w:szCs w:val="24"/>
          <w:lang w:val="pt-PT"/>
        </w:rPr>
        <w:t>dezembro</w:t>
      </w:r>
      <w:r w:rsidR="00955D60" w:rsidRPr="003A1174">
        <w:rPr>
          <w:rFonts w:ascii="Garamond" w:hAnsi="Garamond" w:cs="Arial"/>
          <w:color w:val="auto"/>
          <w:sz w:val="24"/>
          <w:szCs w:val="24"/>
          <w:lang w:val="pt-PT"/>
        </w:rPr>
        <w:t xml:space="preserve"> de 2013</w:t>
      </w:r>
      <w:r w:rsidR="005518C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405739" w:rsidRPr="003A1174">
        <w:rPr>
          <w:rFonts w:ascii="Garamond" w:hAnsi="Garamond" w:cs="Arial"/>
          <w:color w:val="auto"/>
          <w:sz w:val="24"/>
          <w:szCs w:val="24"/>
          <w:lang w:val="pt-PT"/>
        </w:rPr>
        <w:t>realizaram-se</w:t>
      </w:r>
      <w:r w:rsidR="00955D60" w:rsidRPr="003A1174">
        <w:rPr>
          <w:rFonts w:ascii="Garamond" w:hAnsi="Garamond" w:cs="Arial"/>
          <w:color w:val="auto"/>
          <w:sz w:val="24"/>
          <w:szCs w:val="24"/>
          <w:lang w:val="pt-PT"/>
        </w:rPr>
        <w:t xml:space="preserve"> 6 cursos de </w:t>
      </w:r>
      <w:r w:rsidR="00955D60" w:rsidRPr="003A1174">
        <w:rPr>
          <w:rFonts w:ascii="Garamond" w:hAnsi="Garamond" w:cs="Arial"/>
          <w:bCs/>
          <w:color w:val="auto"/>
          <w:sz w:val="24"/>
          <w:szCs w:val="24"/>
          <w:lang w:val="pt-PT"/>
        </w:rPr>
        <w:t xml:space="preserve">20 horas </w:t>
      </w:r>
      <w:r w:rsidR="00EC45A0" w:rsidRPr="003A1174">
        <w:rPr>
          <w:rFonts w:ascii="Garamond" w:hAnsi="Garamond" w:cs="Arial"/>
          <w:bCs/>
          <w:color w:val="auto"/>
          <w:sz w:val="24"/>
          <w:szCs w:val="24"/>
          <w:lang w:val="pt-PT"/>
        </w:rPr>
        <w:t>presenciais</w:t>
      </w:r>
      <w:r w:rsidR="005518C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00405739" w:rsidRPr="003A1174">
        <w:rPr>
          <w:rFonts w:ascii="Garamond" w:hAnsi="Garamond" w:cs="Arial"/>
          <w:bCs/>
          <w:color w:val="auto"/>
          <w:sz w:val="24"/>
          <w:szCs w:val="24"/>
          <w:lang w:val="pt-PT"/>
        </w:rPr>
        <w:t xml:space="preserve">em </w:t>
      </w:r>
      <w:r w:rsidR="00955D60" w:rsidRPr="003A1174">
        <w:rPr>
          <w:rFonts w:ascii="Garamond" w:hAnsi="Garamond" w:cs="Arial"/>
          <w:color w:val="auto"/>
          <w:sz w:val="24"/>
          <w:szCs w:val="24"/>
          <w:lang w:val="pt-PT"/>
        </w:rPr>
        <w:t xml:space="preserve">que </w:t>
      </w:r>
      <w:r w:rsidR="00405739" w:rsidRPr="003A1174">
        <w:rPr>
          <w:rFonts w:ascii="Garamond" w:hAnsi="Garamond" w:cs="Arial"/>
          <w:color w:val="auto"/>
          <w:sz w:val="24"/>
          <w:szCs w:val="24"/>
          <w:lang w:val="pt-PT"/>
        </w:rPr>
        <w:t>participaram</w:t>
      </w:r>
      <w:r w:rsidR="00955D60" w:rsidRPr="003A1174">
        <w:rPr>
          <w:rFonts w:ascii="Garamond" w:hAnsi="Garamond" w:cs="Arial"/>
          <w:color w:val="auto"/>
          <w:sz w:val="24"/>
          <w:szCs w:val="24"/>
          <w:lang w:val="pt-PT"/>
        </w:rPr>
        <w:t xml:space="preserve"> </w:t>
      </w:r>
      <w:r w:rsidR="00955D60" w:rsidRPr="003A1174">
        <w:rPr>
          <w:rFonts w:ascii="Garamond" w:hAnsi="Garamond" w:cs="Arial"/>
          <w:bCs/>
          <w:color w:val="auto"/>
          <w:sz w:val="24"/>
          <w:szCs w:val="24"/>
          <w:lang w:val="pt-PT"/>
        </w:rPr>
        <w:t xml:space="preserve">151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s (88 </w:t>
      </w:r>
      <w:r w:rsidR="00054EE0" w:rsidRPr="003A1174">
        <w:rPr>
          <w:rFonts w:ascii="Garamond" w:hAnsi="Garamond" w:cs="Arial"/>
          <w:bCs/>
          <w:color w:val="auto"/>
          <w:sz w:val="24"/>
          <w:szCs w:val="24"/>
          <w:lang w:val="pt-PT"/>
        </w:rPr>
        <w:t>mulheres</w:t>
      </w:r>
      <w:r w:rsidR="00955D60"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00955D60" w:rsidRPr="003A1174">
        <w:rPr>
          <w:rFonts w:ascii="Garamond" w:hAnsi="Garamond" w:cs="Arial"/>
          <w:bCs/>
          <w:color w:val="auto"/>
          <w:sz w:val="24"/>
          <w:szCs w:val="24"/>
          <w:lang w:val="pt-PT"/>
        </w:rPr>
        <w:t xml:space="preserve"> 63 </w:t>
      </w:r>
      <w:r w:rsidR="00524936" w:rsidRPr="003A1174">
        <w:rPr>
          <w:rFonts w:ascii="Garamond" w:hAnsi="Garamond" w:cs="Arial"/>
          <w:bCs/>
          <w:color w:val="auto"/>
          <w:sz w:val="24"/>
          <w:szCs w:val="24"/>
          <w:lang w:val="pt-PT"/>
        </w:rPr>
        <w:t>homens</w:t>
      </w:r>
      <w:r w:rsidR="00955D60" w:rsidRPr="003A1174">
        <w:rPr>
          <w:rFonts w:ascii="Garamond" w:hAnsi="Garamond" w:cs="Arial"/>
          <w:bCs/>
          <w:color w:val="auto"/>
          <w:sz w:val="24"/>
          <w:szCs w:val="24"/>
          <w:lang w:val="pt-PT"/>
        </w:rPr>
        <w:t xml:space="preserve">)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Se</w:t>
      </w:r>
      <w:r w:rsidR="00405739" w:rsidRPr="003A1174">
        <w:rPr>
          <w:rFonts w:ascii="Garamond" w:hAnsi="Garamond" w:cs="Arial"/>
          <w:color w:val="auto"/>
          <w:sz w:val="24"/>
          <w:szCs w:val="24"/>
          <w:lang w:val="pt-PT"/>
        </w:rPr>
        <w:t xml:space="preserve">cções </w:t>
      </w:r>
      <w:r w:rsidR="00955D60" w:rsidRPr="003A1174">
        <w:rPr>
          <w:rFonts w:ascii="Garamond" w:hAnsi="Garamond" w:cs="Arial"/>
          <w:color w:val="auto"/>
          <w:sz w:val="24"/>
          <w:szCs w:val="24"/>
          <w:lang w:val="pt-PT"/>
        </w:rPr>
        <w:t xml:space="preserve">de Montevideo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Unidades Especializadas. </w:t>
      </w:r>
      <w:r w:rsidR="00405739" w:rsidRPr="003A1174">
        <w:rPr>
          <w:rFonts w:ascii="Garamond" w:hAnsi="Garamond" w:cs="Arial"/>
          <w:color w:val="auto"/>
          <w:sz w:val="24"/>
          <w:szCs w:val="24"/>
          <w:lang w:val="pt-PT"/>
        </w:rPr>
        <w:t xml:space="preserve">Também se </w:t>
      </w:r>
      <w:r w:rsidR="00276DCA" w:rsidRPr="003A1174">
        <w:rPr>
          <w:rFonts w:ascii="Garamond" w:hAnsi="Garamond" w:cs="Arial"/>
          <w:color w:val="auto"/>
          <w:sz w:val="24"/>
          <w:szCs w:val="24"/>
          <w:lang w:val="pt-PT"/>
        </w:rPr>
        <w:t>apresentou</w:t>
      </w:r>
      <w:r w:rsidR="00955D60" w:rsidRPr="003A1174">
        <w:rPr>
          <w:rFonts w:ascii="Garamond" w:hAnsi="Garamond" w:cs="Arial"/>
          <w:color w:val="auto"/>
          <w:sz w:val="24"/>
          <w:szCs w:val="24"/>
          <w:lang w:val="pt-PT"/>
        </w:rPr>
        <w:t xml:space="preserve"> </w:t>
      </w:r>
      <w:r w:rsidR="00405739"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módulo de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Sistema de </w:t>
      </w:r>
      <w:r w:rsidR="00D4575C" w:rsidRPr="003A1174">
        <w:rPr>
          <w:rFonts w:ascii="Garamond" w:hAnsi="Garamond" w:cs="Arial"/>
          <w:color w:val="auto"/>
          <w:sz w:val="24"/>
          <w:szCs w:val="24"/>
          <w:lang w:val="pt-PT"/>
        </w:rPr>
        <w:t>Gestão</w:t>
      </w:r>
      <w:r w:rsidR="00955D60" w:rsidRPr="003A1174">
        <w:rPr>
          <w:rFonts w:ascii="Garamond" w:hAnsi="Garamond" w:cs="Arial"/>
          <w:color w:val="auto"/>
          <w:sz w:val="24"/>
          <w:szCs w:val="24"/>
          <w:lang w:val="pt-PT"/>
        </w:rPr>
        <w:t xml:space="preserve"> de </w:t>
      </w:r>
      <w:r w:rsidR="00D15AFF" w:rsidRPr="003A1174">
        <w:rPr>
          <w:rFonts w:ascii="Garamond" w:hAnsi="Garamond" w:cs="Arial"/>
          <w:color w:val="auto"/>
          <w:sz w:val="24"/>
          <w:szCs w:val="24"/>
          <w:lang w:val="pt-PT"/>
        </w:rPr>
        <w:t>Segurança</w:t>
      </w:r>
      <w:r w:rsidR="00955D60" w:rsidRPr="003A1174">
        <w:rPr>
          <w:rFonts w:ascii="Garamond" w:hAnsi="Garamond" w:cs="Arial"/>
          <w:color w:val="auto"/>
          <w:sz w:val="24"/>
          <w:szCs w:val="24"/>
          <w:lang w:val="pt-PT"/>
        </w:rPr>
        <w:t xml:space="preserve"> Pública a </w:t>
      </w:r>
      <w:r w:rsidR="003C438C" w:rsidRPr="003A1174">
        <w:rPr>
          <w:rFonts w:ascii="Garamond" w:hAnsi="Garamond" w:cs="Arial"/>
          <w:color w:val="auto"/>
          <w:sz w:val="24"/>
          <w:szCs w:val="24"/>
          <w:lang w:val="pt-PT"/>
        </w:rPr>
        <w:t xml:space="preserve">cerca </w:t>
      </w:r>
      <w:r w:rsidR="00955D60" w:rsidRPr="003A1174">
        <w:rPr>
          <w:rFonts w:ascii="Garamond" w:hAnsi="Garamond" w:cs="Arial"/>
          <w:color w:val="auto"/>
          <w:sz w:val="24"/>
          <w:szCs w:val="24"/>
          <w:lang w:val="pt-PT"/>
        </w:rPr>
        <w:t xml:space="preserve">de </w:t>
      </w:r>
      <w:r w:rsidR="00955D60" w:rsidRPr="003A1174">
        <w:rPr>
          <w:rFonts w:ascii="Garamond" w:hAnsi="Garamond" w:cs="Arial"/>
          <w:bCs/>
          <w:color w:val="auto"/>
          <w:sz w:val="24"/>
          <w:szCs w:val="24"/>
          <w:lang w:val="pt-PT"/>
        </w:rPr>
        <w:t xml:space="preserve">75 </w:t>
      </w:r>
      <w:r w:rsidR="00CF42A3" w:rsidRPr="003A1174">
        <w:rPr>
          <w:rFonts w:ascii="Garamond" w:hAnsi="Garamond" w:cs="Arial"/>
          <w:bCs/>
          <w:color w:val="auto"/>
          <w:sz w:val="24"/>
          <w:szCs w:val="24"/>
          <w:lang w:val="pt-PT"/>
        </w:rPr>
        <w:t>polícia</w:t>
      </w:r>
      <w:r w:rsidR="00C031E1" w:rsidRPr="003A1174">
        <w:rPr>
          <w:rFonts w:ascii="Garamond" w:hAnsi="Garamond" w:cs="Arial"/>
          <w:bCs/>
          <w:color w:val="auto"/>
          <w:sz w:val="24"/>
          <w:szCs w:val="24"/>
          <w:lang w:val="pt-PT"/>
        </w:rPr>
        <w:t>s</w:t>
      </w:r>
      <w:r w:rsidR="00C031E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Sec</w:t>
      </w:r>
      <w:r w:rsidR="003C438C" w:rsidRPr="003A1174">
        <w:rPr>
          <w:rFonts w:ascii="Garamond" w:hAnsi="Garamond" w:cs="Arial"/>
          <w:color w:val="auto"/>
          <w:sz w:val="24"/>
          <w:szCs w:val="24"/>
          <w:lang w:val="pt-PT"/>
        </w:rPr>
        <w:t xml:space="preserve">ções </w:t>
      </w:r>
      <w:r w:rsidR="00955D60" w:rsidRPr="003A1174">
        <w:rPr>
          <w:rFonts w:ascii="Garamond" w:hAnsi="Garamond" w:cs="Arial"/>
          <w:color w:val="auto"/>
          <w:sz w:val="24"/>
          <w:szCs w:val="24"/>
          <w:lang w:val="pt-PT"/>
        </w:rPr>
        <w:t>5</w:t>
      </w:r>
      <w:r w:rsidR="001B7D0B">
        <w:rPr>
          <w:rFonts w:ascii="Garamond" w:hAnsi="Garamond" w:cs="Arial"/>
          <w:color w:val="auto"/>
          <w:sz w:val="24"/>
          <w:szCs w:val="24"/>
          <w:lang w:val="pt-PT"/>
        </w:rPr>
        <w:t>.</w:t>
      </w:r>
      <w:r w:rsidR="00955D60" w:rsidRPr="003A1174">
        <w:rPr>
          <w:rFonts w:ascii="Garamond" w:hAnsi="Garamond" w:cs="Arial"/>
          <w:color w:val="auto"/>
          <w:sz w:val="24"/>
          <w:szCs w:val="24"/>
          <w:lang w:val="pt-PT"/>
        </w:rPr>
        <w:t>ª, 7</w:t>
      </w:r>
      <w:r w:rsidR="001B7D0B">
        <w:rPr>
          <w:rFonts w:ascii="Garamond" w:hAnsi="Garamond" w:cs="Arial"/>
          <w:color w:val="auto"/>
          <w:sz w:val="24"/>
          <w:szCs w:val="24"/>
          <w:lang w:val="pt-PT"/>
        </w:rPr>
        <w:t>.</w:t>
      </w:r>
      <w:r w:rsidR="00955D60" w:rsidRPr="003A1174">
        <w:rPr>
          <w:rFonts w:ascii="Garamond" w:hAnsi="Garamond" w:cs="Arial"/>
          <w:color w:val="auto"/>
          <w:sz w:val="24"/>
          <w:szCs w:val="24"/>
          <w:lang w:val="pt-PT"/>
        </w:rPr>
        <w:t>ª, 10</w:t>
      </w:r>
      <w:r w:rsidR="001B7D0B">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ª, </w:t>
      </w:r>
      <w:r w:rsidR="003D34CA" w:rsidRPr="003A1174">
        <w:rPr>
          <w:rFonts w:ascii="Garamond" w:hAnsi="Garamond" w:cs="Arial"/>
          <w:color w:val="auto"/>
          <w:sz w:val="24"/>
          <w:szCs w:val="24"/>
          <w:lang w:val="pt-PT"/>
        </w:rPr>
        <w:t>21</w:t>
      </w:r>
      <w:r w:rsidR="001B7D0B">
        <w:rPr>
          <w:rFonts w:ascii="Garamond" w:hAnsi="Garamond" w:cs="Arial"/>
          <w:color w:val="auto"/>
          <w:sz w:val="24"/>
          <w:szCs w:val="24"/>
          <w:lang w:val="pt-PT"/>
        </w:rPr>
        <w:t>.</w:t>
      </w:r>
      <w:r w:rsidR="003D34CA" w:rsidRPr="003A1174">
        <w:rPr>
          <w:rFonts w:ascii="Garamond" w:hAnsi="Garamond" w:cs="Arial"/>
          <w:color w:val="auto"/>
          <w:sz w:val="24"/>
          <w:szCs w:val="24"/>
          <w:lang w:val="pt-PT"/>
        </w:rPr>
        <w:t>ª, 23</w:t>
      </w:r>
      <w:r w:rsidR="001B7D0B">
        <w:rPr>
          <w:rFonts w:ascii="Garamond" w:hAnsi="Garamond" w:cs="Arial"/>
          <w:color w:val="auto"/>
          <w:sz w:val="24"/>
          <w:szCs w:val="24"/>
          <w:lang w:val="pt-PT"/>
        </w:rPr>
        <w:t>.</w:t>
      </w:r>
      <w:r w:rsidR="003D34CA" w:rsidRPr="003A1174">
        <w:rPr>
          <w:rFonts w:ascii="Garamond" w:hAnsi="Garamond" w:cs="Arial"/>
          <w:color w:val="auto"/>
          <w:sz w:val="24"/>
          <w:szCs w:val="24"/>
          <w:lang w:val="pt-PT"/>
        </w:rPr>
        <w:t>ª</w:t>
      </w:r>
      <w:r w:rsidR="003321CE"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16</w:t>
      </w:r>
      <w:r w:rsidR="001B7D0B">
        <w:rPr>
          <w:rFonts w:ascii="Garamond" w:hAnsi="Garamond" w:cs="Arial"/>
          <w:color w:val="auto"/>
          <w:sz w:val="24"/>
          <w:szCs w:val="24"/>
          <w:lang w:val="pt-PT"/>
        </w:rPr>
        <w:t>.</w:t>
      </w:r>
      <w:r w:rsidR="00955D60" w:rsidRPr="003A1174">
        <w:rPr>
          <w:rFonts w:ascii="Garamond" w:hAnsi="Garamond" w:cs="Arial"/>
          <w:color w:val="auto"/>
          <w:sz w:val="24"/>
          <w:szCs w:val="24"/>
          <w:lang w:val="pt-PT"/>
        </w:rPr>
        <w:t>ª</w:t>
      </w:r>
      <w:r w:rsidR="005518C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3C438C" w:rsidRPr="003A1174">
        <w:rPr>
          <w:rFonts w:ascii="Garamond" w:hAnsi="Garamond" w:cs="Arial"/>
          <w:color w:val="auto"/>
          <w:sz w:val="24"/>
          <w:szCs w:val="24"/>
          <w:lang w:val="pt-PT"/>
        </w:rPr>
        <w:t xml:space="preserve">contribuindo com </w:t>
      </w:r>
      <w:r w:rsidR="00955D60" w:rsidRPr="003A1174">
        <w:rPr>
          <w:rFonts w:ascii="Garamond" w:hAnsi="Garamond" w:cs="Arial"/>
          <w:color w:val="auto"/>
          <w:sz w:val="24"/>
          <w:szCs w:val="24"/>
          <w:lang w:val="pt-PT"/>
        </w:rPr>
        <w:t xml:space="preserve">elementos </w:t>
      </w:r>
      <w:r w:rsidR="00973DDE" w:rsidRPr="003A1174">
        <w:rPr>
          <w:rFonts w:ascii="Garamond" w:hAnsi="Garamond" w:cs="Arial"/>
          <w:color w:val="auto"/>
          <w:sz w:val="24"/>
          <w:szCs w:val="24"/>
          <w:lang w:val="pt-PT"/>
        </w:rPr>
        <w:t>conceptuais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DE6DF6" w:rsidRPr="003A1174">
        <w:rPr>
          <w:rFonts w:ascii="Garamond" w:hAnsi="Garamond" w:cs="Arial"/>
          <w:color w:val="auto"/>
          <w:sz w:val="24"/>
          <w:szCs w:val="24"/>
          <w:lang w:val="pt-PT"/>
        </w:rPr>
        <w:t>prático</w:t>
      </w:r>
      <w:r w:rsidR="00955D60" w:rsidRPr="003A1174">
        <w:rPr>
          <w:rFonts w:ascii="Garamond" w:hAnsi="Garamond" w:cs="Arial"/>
          <w:color w:val="auto"/>
          <w:sz w:val="24"/>
          <w:szCs w:val="24"/>
          <w:lang w:val="pt-PT"/>
        </w:rPr>
        <w:t xml:space="preserve">s para </w:t>
      </w:r>
      <w:r w:rsidR="003C438C" w:rsidRPr="003A1174">
        <w:rPr>
          <w:rFonts w:ascii="Garamond" w:hAnsi="Garamond" w:cs="Arial"/>
          <w:color w:val="auto"/>
          <w:sz w:val="24"/>
          <w:szCs w:val="24"/>
          <w:lang w:val="pt-PT"/>
        </w:rPr>
        <w:t xml:space="preserve">o </w:t>
      </w:r>
      <w:r w:rsidR="00D37CF3" w:rsidRPr="003A1174">
        <w:rPr>
          <w:rFonts w:ascii="Garamond" w:hAnsi="Garamond" w:cs="Arial"/>
          <w:color w:val="auto"/>
          <w:sz w:val="24"/>
          <w:szCs w:val="24"/>
          <w:lang w:val="pt-PT"/>
        </w:rPr>
        <w:t>preenchimento</w:t>
      </w:r>
      <w:r w:rsidR="003C438C" w:rsidRPr="003A1174">
        <w:rPr>
          <w:rFonts w:ascii="Garamond" w:hAnsi="Garamond" w:cs="Arial"/>
          <w:color w:val="auto"/>
          <w:sz w:val="24"/>
          <w:szCs w:val="24"/>
          <w:lang w:val="pt-PT"/>
        </w:rPr>
        <w:t xml:space="preserve"> da </w:t>
      </w:r>
      <w:r w:rsidR="0017447A" w:rsidRPr="003A1174">
        <w:rPr>
          <w:rFonts w:ascii="Garamond" w:hAnsi="Garamond" w:cs="Arial"/>
          <w:color w:val="auto"/>
          <w:sz w:val="24"/>
          <w:szCs w:val="24"/>
          <w:lang w:val="pt-PT"/>
        </w:rPr>
        <w:t>informação</w:t>
      </w:r>
      <w:r w:rsidR="003321CE" w:rsidRPr="003A1174">
        <w:rPr>
          <w:rFonts w:ascii="Garamond" w:hAnsi="Garamond" w:cs="Arial"/>
          <w:color w:val="auto"/>
          <w:sz w:val="24"/>
          <w:szCs w:val="24"/>
          <w:lang w:val="pt-PT"/>
        </w:rPr>
        <w:t xml:space="preserve"> requerida</w:t>
      </w:r>
      <w:r w:rsidR="00955D60" w:rsidRPr="003A1174">
        <w:rPr>
          <w:rFonts w:ascii="Garamond" w:hAnsi="Garamond" w:cs="Arial"/>
          <w:color w:val="auto"/>
          <w:sz w:val="24"/>
          <w:szCs w:val="24"/>
          <w:lang w:val="pt-PT"/>
        </w:rPr>
        <w:t>.</w:t>
      </w:r>
    </w:p>
    <w:p w:rsidR="00955D60" w:rsidRPr="003A1174" w:rsidRDefault="00976FB8" w:rsidP="003C438C">
      <w:pPr>
        <w:pStyle w:val="Prrafodelista"/>
        <w:numPr>
          <w:ilvl w:val="0"/>
          <w:numId w:val="38"/>
        </w:numPr>
        <w:autoSpaceDE w:val="0"/>
        <w:spacing w:before="24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t>Sensibilização</w:t>
      </w:r>
      <w:r w:rsidR="00955D60"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00955D60" w:rsidRPr="003A1174">
        <w:rPr>
          <w:rFonts w:ascii="Garamond" w:hAnsi="Garamond" w:cs="Arial"/>
          <w:bCs/>
          <w:color w:val="auto"/>
          <w:sz w:val="24"/>
          <w:szCs w:val="24"/>
          <w:lang w:val="pt-PT"/>
        </w:rPr>
        <w:t xml:space="preserve"> </w:t>
      </w:r>
      <w:r w:rsidR="001B7D0B">
        <w:rPr>
          <w:rFonts w:ascii="Garamond" w:hAnsi="Garamond" w:cs="Arial"/>
          <w:bCs/>
          <w:color w:val="auto"/>
          <w:sz w:val="24"/>
          <w:szCs w:val="24"/>
          <w:lang w:val="pt-PT"/>
        </w:rPr>
        <w:t xml:space="preserve">formação </w:t>
      </w:r>
      <w:r w:rsidR="00955D60" w:rsidRPr="003A1174">
        <w:rPr>
          <w:rFonts w:ascii="Garamond" w:hAnsi="Garamond" w:cs="Arial"/>
          <w:bCs/>
          <w:color w:val="auto"/>
          <w:sz w:val="24"/>
          <w:szCs w:val="24"/>
          <w:lang w:val="pt-PT"/>
        </w:rPr>
        <w:t xml:space="preserve">para </w:t>
      </w:r>
      <w:r w:rsidR="003C438C" w:rsidRPr="003A1174">
        <w:rPr>
          <w:rFonts w:ascii="Garamond" w:hAnsi="Garamond" w:cs="Arial"/>
          <w:bCs/>
          <w:color w:val="auto"/>
          <w:sz w:val="24"/>
          <w:szCs w:val="24"/>
          <w:lang w:val="pt-PT"/>
        </w:rPr>
        <w:t>o</w:t>
      </w:r>
      <w:r w:rsidR="00955D60" w:rsidRPr="003A1174">
        <w:rPr>
          <w:rFonts w:ascii="Garamond" w:hAnsi="Garamond" w:cs="Arial"/>
          <w:bCs/>
          <w:color w:val="auto"/>
          <w:sz w:val="24"/>
          <w:szCs w:val="24"/>
          <w:lang w:val="pt-PT"/>
        </w:rPr>
        <w:t xml:space="preserve"> programa </w:t>
      </w:r>
      <w:r w:rsidR="005518C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Tobilleras</w:t>
      </w:r>
      <w:r w:rsidR="005518C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00955D60" w:rsidRPr="003A1174">
        <w:rPr>
          <w:rFonts w:ascii="Garamond" w:hAnsi="Garamond" w:cs="Arial"/>
          <w:color w:val="auto"/>
          <w:sz w:val="24"/>
          <w:szCs w:val="24"/>
          <w:lang w:val="pt-PT"/>
        </w:rPr>
        <w:t xml:space="preserve">Durante </w:t>
      </w:r>
      <w:r w:rsidR="003C438C" w:rsidRPr="003A1174">
        <w:rPr>
          <w:rFonts w:ascii="Garamond" w:hAnsi="Garamond" w:cs="Arial"/>
          <w:color w:val="auto"/>
          <w:sz w:val="24"/>
          <w:szCs w:val="24"/>
          <w:lang w:val="pt-PT"/>
        </w:rPr>
        <w:t xml:space="preserve">o </w:t>
      </w:r>
      <w:r w:rsidR="003A391A" w:rsidRPr="003A1174">
        <w:rPr>
          <w:rFonts w:ascii="Garamond" w:hAnsi="Garamond" w:cs="Arial"/>
          <w:color w:val="auto"/>
          <w:sz w:val="24"/>
          <w:szCs w:val="24"/>
          <w:lang w:val="pt-PT"/>
        </w:rPr>
        <w:t>mês</w:t>
      </w:r>
      <w:r w:rsidR="00955D60" w:rsidRPr="003A1174">
        <w:rPr>
          <w:rFonts w:ascii="Garamond" w:hAnsi="Garamond" w:cs="Arial"/>
          <w:color w:val="auto"/>
          <w:sz w:val="24"/>
          <w:szCs w:val="24"/>
          <w:lang w:val="pt-PT"/>
        </w:rPr>
        <w:t xml:space="preserve"> de </w:t>
      </w:r>
      <w:r w:rsidR="00B936A7" w:rsidRPr="003A1174">
        <w:rPr>
          <w:rFonts w:ascii="Garamond" w:hAnsi="Garamond" w:cs="Arial"/>
          <w:color w:val="auto"/>
          <w:sz w:val="24"/>
          <w:szCs w:val="24"/>
          <w:lang w:val="pt-PT"/>
        </w:rPr>
        <w:t>janeiro</w:t>
      </w:r>
      <w:r w:rsidR="00955D60" w:rsidRPr="003A1174">
        <w:rPr>
          <w:rFonts w:ascii="Garamond" w:hAnsi="Garamond" w:cs="Arial"/>
          <w:color w:val="auto"/>
          <w:sz w:val="24"/>
          <w:szCs w:val="24"/>
          <w:lang w:val="pt-PT"/>
        </w:rPr>
        <w:t xml:space="preserve"> </w:t>
      </w:r>
      <w:r w:rsidR="003321CE" w:rsidRPr="003A1174">
        <w:rPr>
          <w:rFonts w:ascii="Garamond" w:hAnsi="Garamond" w:cs="Arial"/>
          <w:color w:val="auto"/>
          <w:sz w:val="24"/>
          <w:szCs w:val="24"/>
          <w:lang w:val="pt-PT"/>
        </w:rPr>
        <w:t>de</w:t>
      </w:r>
      <w:r w:rsidR="00955D60" w:rsidRPr="003A1174">
        <w:rPr>
          <w:rFonts w:ascii="Garamond" w:hAnsi="Garamond" w:cs="Arial"/>
          <w:color w:val="auto"/>
          <w:sz w:val="24"/>
          <w:szCs w:val="24"/>
          <w:lang w:val="pt-PT"/>
        </w:rPr>
        <w:t xml:space="preserve"> 2014</w:t>
      </w:r>
      <w:r w:rsidR="005518C4">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405739" w:rsidRPr="003A1174">
        <w:rPr>
          <w:rFonts w:ascii="Garamond" w:hAnsi="Garamond" w:cs="Arial"/>
          <w:color w:val="auto"/>
          <w:sz w:val="24"/>
          <w:szCs w:val="24"/>
          <w:lang w:val="pt-PT"/>
        </w:rPr>
        <w:t>realizaram-se</w:t>
      </w:r>
      <w:r w:rsidR="00955D60" w:rsidRPr="003A1174">
        <w:rPr>
          <w:rFonts w:ascii="Garamond" w:hAnsi="Garamond" w:cs="Arial"/>
          <w:color w:val="auto"/>
          <w:sz w:val="24"/>
          <w:szCs w:val="24"/>
          <w:lang w:val="pt-PT"/>
        </w:rPr>
        <w:t xml:space="preserve"> di</w:t>
      </w:r>
      <w:r w:rsidR="003C438C" w:rsidRPr="003A1174">
        <w:rPr>
          <w:rFonts w:ascii="Garamond" w:hAnsi="Garamond" w:cs="Arial"/>
          <w:color w:val="auto"/>
          <w:sz w:val="24"/>
          <w:szCs w:val="24"/>
          <w:lang w:val="pt-PT"/>
        </w:rPr>
        <w:t xml:space="preserve">ferentes </w:t>
      </w:r>
      <w:r w:rsidR="00955D60" w:rsidRPr="003A1174">
        <w:rPr>
          <w:rFonts w:ascii="Garamond" w:hAnsi="Garamond" w:cs="Arial"/>
          <w:color w:val="auto"/>
          <w:sz w:val="24"/>
          <w:szCs w:val="24"/>
          <w:lang w:val="pt-PT"/>
        </w:rPr>
        <w:t xml:space="preserve">jornadas de </w:t>
      </w:r>
      <w:r w:rsidR="001B7D0B">
        <w:rPr>
          <w:rFonts w:ascii="Garamond" w:hAnsi="Garamond" w:cs="Arial"/>
          <w:color w:val="auto"/>
          <w:sz w:val="24"/>
          <w:szCs w:val="24"/>
          <w:lang w:val="pt-PT"/>
        </w:rPr>
        <w:t xml:space="preserve">formação </w:t>
      </w:r>
      <w:r w:rsidR="00955D60" w:rsidRPr="003A1174">
        <w:rPr>
          <w:rFonts w:ascii="Garamond" w:hAnsi="Garamond" w:cs="Arial"/>
          <w:color w:val="auto"/>
          <w:sz w:val="24"/>
          <w:szCs w:val="24"/>
          <w:lang w:val="pt-PT"/>
        </w:rPr>
        <w:t>a</w:t>
      </w:r>
      <w:r w:rsidR="003C438C"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pessoal</w:t>
      </w:r>
      <w:r w:rsidR="00955D60" w:rsidRPr="003A1174">
        <w:rPr>
          <w:rFonts w:ascii="Garamond" w:hAnsi="Garamond" w:cs="Arial"/>
          <w:color w:val="auto"/>
          <w:sz w:val="24"/>
          <w:szCs w:val="24"/>
          <w:lang w:val="pt-PT"/>
        </w:rPr>
        <w:t xml:space="preserve"> </w:t>
      </w:r>
      <w:r w:rsidR="003C438C" w:rsidRPr="003A1174">
        <w:rPr>
          <w:rFonts w:ascii="Garamond" w:hAnsi="Garamond" w:cs="Arial"/>
          <w:color w:val="auto"/>
          <w:sz w:val="24"/>
          <w:szCs w:val="24"/>
          <w:lang w:val="pt-PT"/>
        </w:rPr>
        <w:t>d</w:t>
      </w:r>
      <w:r w:rsidR="00955D60" w:rsidRPr="003A1174">
        <w:rPr>
          <w:rFonts w:ascii="Garamond" w:hAnsi="Garamond" w:cs="Arial"/>
          <w:color w:val="auto"/>
          <w:sz w:val="24"/>
          <w:szCs w:val="24"/>
          <w:lang w:val="pt-PT"/>
        </w:rPr>
        <w:t xml:space="preserve">a </w:t>
      </w:r>
      <w:r w:rsidR="00CF42A3" w:rsidRPr="003A1174">
        <w:rPr>
          <w:rFonts w:ascii="Garamond" w:hAnsi="Garamond" w:cs="Arial"/>
          <w:color w:val="auto"/>
          <w:sz w:val="24"/>
          <w:szCs w:val="24"/>
          <w:lang w:val="pt-PT"/>
        </w:rPr>
        <w:t>Polícia</w:t>
      </w:r>
      <w:r w:rsidR="003C438C" w:rsidRPr="003A1174">
        <w:rPr>
          <w:rFonts w:ascii="Garamond" w:hAnsi="Garamond" w:cs="Arial"/>
          <w:color w:val="auto"/>
          <w:sz w:val="24"/>
          <w:szCs w:val="24"/>
          <w:lang w:val="pt-PT"/>
        </w:rPr>
        <w:t xml:space="preserve"> de Trâ</w:t>
      </w:r>
      <w:r w:rsidR="00955D60" w:rsidRPr="003A1174">
        <w:rPr>
          <w:rFonts w:ascii="Garamond" w:hAnsi="Garamond" w:cs="Arial"/>
          <w:color w:val="auto"/>
          <w:sz w:val="24"/>
          <w:szCs w:val="24"/>
          <w:lang w:val="pt-PT"/>
        </w:rPr>
        <w:t>nsito, Secciona</w:t>
      </w:r>
      <w:r w:rsidR="003C438C" w:rsidRPr="003A1174">
        <w:rPr>
          <w:rFonts w:ascii="Garamond" w:hAnsi="Garamond" w:cs="Arial"/>
          <w:color w:val="auto"/>
          <w:sz w:val="24"/>
          <w:szCs w:val="24"/>
          <w:lang w:val="pt-PT"/>
        </w:rPr>
        <w:t>i</w:t>
      </w:r>
      <w:r w:rsidR="00955D60" w:rsidRPr="003A1174">
        <w:rPr>
          <w:rFonts w:ascii="Garamond" w:hAnsi="Garamond" w:cs="Arial"/>
          <w:color w:val="auto"/>
          <w:sz w:val="24"/>
          <w:szCs w:val="24"/>
          <w:lang w:val="pt-PT"/>
        </w:rPr>
        <w:t xml:space="preserve">s </w:t>
      </w:r>
      <w:r w:rsidR="003C438C" w:rsidRPr="003A1174">
        <w:rPr>
          <w:rFonts w:ascii="Garamond" w:hAnsi="Garamond" w:cs="Arial"/>
          <w:color w:val="auto"/>
          <w:sz w:val="24"/>
          <w:szCs w:val="24"/>
          <w:lang w:val="pt-PT"/>
        </w:rPr>
        <w:t>Polícias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Unidades Especializadas de Montevideo, </w:t>
      </w:r>
      <w:r w:rsidR="00D1487B" w:rsidRPr="003A1174">
        <w:rPr>
          <w:rFonts w:ascii="Garamond" w:hAnsi="Garamond" w:cs="Arial"/>
          <w:color w:val="auto"/>
          <w:sz w:val="24"/>
          <w:szCs w:val="24"/>
          <w:lang w:val="pt-PT"/>
        </w:rPr>
        <w:t>Corpo</w:t>
      </w:r>
      <w:r w:rsidR="00955D60" w:rsidRPr="003A1174">
        <w:rPr>
          <w:rFonts w:ascii="Garamond" w:hAnsi="Garamond" w:cs="Arial"/>
          <w:color w:val="auto"/>
          <w:sz w:val="24"/>
          <w:szCs w:val="24"/>
          <w:lang w:val="pt-PT"/>
        </w:rPr>
        <w:t xml:space="preserve"> de Radio Patrulla</w:t>
      </w:r>
      <w:r w:rsidR="005518C4">
        <w:rPr>
          <w:rFonts w:ascii="Garamond" w:hAnsi="Garamond" w:cs="Arial"/>
          <w:color w:val="auto"/>
          <w:sz w:val="24"/>
          <w:szCs w:val="24"/>
          <w:lang w:val="pt-PT"/>
        </w:rPr>
        <w:t>, entre outros</w:t>
      </w:r>
      <w:r w:rsidR="00955D60" w:rsidRPr="003A1174">
        <w:rPr>
          <w:rFonts w:ascii="Garamond" w:hAnsi="Garamond" w:cs="Arial"/>
          <w:color w:val="auto"/>
          <w:sz w:val="24"/>
          <w:szCs w:val="24"/>
          <w:lang w:val="pt-PT"/>
        </w:rPr>
        <w:t xml:space="preserve">. </w:t>
      </w:r>
      <w:r w:rsidR="00405739" w:rsidRPr="003A1174">
        <w:rPr>
          <w:rFonts w:ascii="Garamond" w:hAnsi="Garamond" w:cs="Arial"/>
          <w:color w:val="auto"/>
          <w:sz w:val="24"/>
          <w:szCs w:val="24"/>
          <w:lang w:val="pt-PT"/>
        </w:rPr>
        <w:t>Participaram</w:t>
      </w:r>
      <w:r w:rsidR="00955D60" w:rsidRPr="003A1174">
        <w:rPr>
          <w:rFonts w:ascii="Garamond" w:hAnsi="Garamond" w:cs="Arial"/>
          <w:color w:val="auto"/>
          <w:sz w:val="24"/>
          <w:szCs w:val="24"/>
          <w:lang w:val="pt-PT"/>
        </w:rPr>
        <w:t xml:space="preserve"> u</w:t>
      </w:r>
      <w:r w:rsidR="003C438C"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total de </w:t>
      </w:r>
      <w:r w:rsidR="00955D60" w:rsidRPr="003A1174">
        <w:rPr>
          <w:rFonts w:ascii="Garamond" w:hAnsi="Garamond" w:cs="Arial"/>
          <w:bCs/>
          <w:color w:val="auto"/>
          <w:sz w:val="24"/>
          <w:szCs w:val="24"/>
          <w:lang w:val="pt-PT"/>
        </w:rPr>
        <w:t xml:space="preserve">201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s (43 </w:t>
      </w:r>
      <w:r w:rsidR="00054EE0" w:rsidRPr="003A1174">
        <w:rPr>
          <w:rFonts w:ascii="Garamond" w:hAnsi="Garamond" w:cs="Arial"/>
          <w:bCs/>
          <w:color w:val="auto"/>
          <w:sz w:val="24"/>
          <w:szCs w:val="24"/>
          <w:lang w:val="pt-PT"/>
        </w:rPr>
        <w:t>mulheres</w:t>
      </w:r>
      <w:r w:rsidR="00955D60"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00955D60" w:rsidRPr="003A1174">
        <w:rPr>
          <w:rFonts w:ascii="Garamond" w:hAnsi="Garamond" w:cs="Arial"/>
          <w:bCs/>
          <w:color w:val="auto"/>
          <w:sz w:val="24"/>
          <w:szCs w:val="24"/>
          <w:lang w:val="pt-PT"/>
        </w:rPr>
        <w:t xml:space="preserve"> 158 </w:t>
      </w:r>
      <w:r w:rsidR="00524936" w:rsidRPr="003A1174">
        <w:rPr>
          <w:rFonts w:ascii="Garamond" w:hAnsi="Garamond" w:cs="Arial"/>
          <w:bCs/>
          <w:color w:val="auto"/>
          <w:sz w:val="24"/>
          <w:szCs w:val="24"/>
          <w:lang w:val="pt-PT"/>
        </w:rPr>
        <w:t>homens</w:t>
      </w:r>
      <w:r w:rsidR="00955D60" w:rsidRPr="003A1174">
        <w:rPr>
          <w:rFonts w:ascii="Garamond" w:hAnsi="Garamond" w:cs="Arial"/>
          <w:bCs/>
          <w:color w:val="auto"/>
          <w:sz w:val="24"/>
          <w:szCs w:val="24"/>
          <w:lang w:val="pt-PT"/>
        </w:rPr>
        <w:t>).</w:t>
      </w:r>
    </w:p>
    <w:p w:rsidR="00955D60" w:rsidRPr="003A1174" w:rsidRDefault="005518C4" w:rsidP="008719D4">
      <w:pPr>
        <w:pStyle w:val="Prrafodelista"/>
        <w:numPr>
          <w:ilvl w:val="0"/>
          <w:numId w:val="39"/>
        </w:numPr>
        <w:autoSpaceDE w:val="0"/>
        <w:spacing w:before="240" w:line="240" w:lineRule="auto"/>
        <w:jc w:val="both"/>
        <w:rPr>
          <w:rFonts w:ascii="Garamond" w:hAnsi="Garamond" w:cs="Arial"/>
          <w:bCs/>
          <w:color w:val="auto"/>
          <w:sz w:val="24"/>
          <w:szCs w:val="24"/>
          <w:lang w:val="pt-PT"/>
        </w:rPr>
      </w:pPr>
      <w:r>
        <w:rPr>
          <w:rFonts w:ascii="Garamond" w:hAnsi="Garamond" w:cs="Arial"/>
          <w:color w:val="auto"/>
          <w:sz w:val="24"/>
          <w:szCs w:val="24"/>
          <w:lang w:val="pt-PT"/>
        </w:rPr>
        <w:t xml:space="preserve">Formaram-se </w:t>
      </w:r>
      <w:r w:rsidR="00E150E9" w:rsidRPr="003A1174">
        <w:rPr>
          <w:rFonts w:ascii="Garamond" w:hAnsi="Garamond" w:cs="Arial"/>
          <w:color w:val="auto"/>
          <w:sz w:val="24"/>
          <w:szCs w:val="24"/>
          <w:lang w:val="pt-PT"/>
        </w:rPr>
        <w:t>oficiais</w:t>
      </w:r>
      <w:r w:rsidR="00955D60" w:rsidRPr="003A1174">
        <w:rPr>
          <w:rFonts w:ascii="Garamond" w:hAnsi="Garamond" w:cs="Arial"/>
          <w:color w:val="auto"/>
          <w:sz w:val="24"/>
          <w:szCs w:val="24"/>
          <w:lang w:val="pt-PT"/>
        </w:rPr>
        <w:t xml:space="preserve"> d</w:t>
      </w:r>
      <w:r w:rsidR="003C438C" w:rsidRPr="003A1174">
        <w:rPr>
          <w:rFonts w:ascii="Garamond" w:hAnsi="Garamond" w:cs="Arial"/>
          <w:color w:val="auto"/>
          <w:sz w:val="24"/>
          <w:szCs w:val="24"/>
          <w:lang w:val="pt-PT"/>
        </w:rPr>
        <w:t xml:space="preserve">a Esquadra </w:t>
      </w:r>
      <w:r w:rsidR="00955D60" w:rsidRPr="003A1174">
        <w:rPr>
          <w:rFonts w:ascii="Garamond" w:hAnsi="Garamond" w:cs="Arial"/>
          <w:color w:val="auto"/>
          <w:sz w:val="24"/>
          <w:szCs w:val="24"/>
          <w:lang w:val="pt-PT"/>
        </w:rPr>
        <w:t xml:space="preserve">de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 da lo</w:t>
      </w:r>
      <w:r w:rsidR="003C438C" w:rsidRPr="003A1174">
        <w:rPr>
          <w:rFonts w:ascii="Garamond" w:hAnsi="Garamond" w:cs="Arial"/>
          <w:color w:val="auto"/>
          <w:sz w:val="24"/>
          <w:szCs w:val="24"/>
          <w:lang w:val="pt-PT"/>
        </w:rPr>
        <w:t>c</w:t>
      </w:r>
      <w:r w:rsidR="008278C4" w:rsidRPr="003A1174">
        <w:rPr>
          <w:rFonts w:ascii="Garamond" w:hAnsi="Garamond" w:cs="Arial"/>
          <w:color w:val="auto"/>
          <w:sz w:val="24"/>
          <w:szCs w:val="24"/>
          <w:lang w:val="pt-PT"/>
        </w:rPr>
        <w:t>alidade</w:t>
      </w:r>
      <w:r w:rsidR="003C438C" w:rsidRPr="003A1174">
        <w:rPr>
          <w:rFonts w:ascii="Garamond" w:hAnsi="Garamond" w:cs="Arial"/>
          <w:color w:val="auto"/>
          <w:sz w:val="24"/>
          <w:szCs w:val="24"/>
          <w:lang w:val="pt-PT"/>
        </w:rPr>
        <w:t xml:space="preserve"> de Canelones sobre </w:t>
      </w:r>
      <w:r w:rsidR="00955D60" w:rsidRPr="003A1174">
        <w:rPr>
          <w:rFonts w:ascii="Garamond" w:hAnsi="Garamond" w:cs="Arial"/>
          <w:color w:val="auto"/>
          <w:sz w:val="24"/>
          <w:szCs w:val="24"/>
          <w:lang w:val="pt-PT"/>
        </w:rPr>
        <w:t xml:space="preserve">a </w:t>
      </w:r>
      <w:r w:rsidR="00AB6522" w:rsidRPr="003A1174">
        <w:rPr>
          <w:rFonts w:ascii="Garamond" w:hAnsi="Garamond" w:cs="Arial"/>
          <w:color w:val="auto"/>
          <w:sz w:val="24"/>
          <w:szCs w:val="24"/>
          <w:lang w:val="pt-PT"/>
        </w:rPr>
        <w:t>resposta</w:t>
      </w:r>
      <w:r w:rsidR="00955D60" w:rsidRPr="003A1174">
        <w:rPr>
          <w:rFonts w:ascii="Garamond" w:hAnsi="Garamond" w:cs="Arial"/>
          <w:color w:val="auto"/>
          <w:sz w:val="24"/>
          <w:szCs w:val="24"/>
          <w:lang w:val="pt-PT"/>
        </w:rPr>
        <w:t xml:space="preserve"> policial </w:t>
      </w:r>
      <w:r>
        <w:rPr>
          <w:rFonts w:ascii="Garamond" w:hAnsi="Garamond" w:cs="Arial"/>
          <w:color w:val="auto"/>
          <w:sz w:val="24"/>
          <w:szCs w:val="24"/>
          <w:lang w:val="pt-PT"/>
        </w:rPr>
        <w:t>à</w:t>
      </w:r>
      <w:r w:rsidR="003C438C"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w:t>
      </w:r>
      <w:r w:rsidR="003C438C" w:rsidRPr="003A1174">
        <w:rPr>
          <w:rFonts w:ascii="Garamond" w:hAnsi="Garamond" w:cs="Arial"/>
          <w:color w:val="auto"/>
          <w:sz w:val="24"/>
          <w:szCs w:val="24"/>
          <w:lang w:val="pt-PT"/>
        </w:rPr>
        <w:t xml:space="preserve">referente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tecnologia</w:t>
      </w:r>
      <w:r w:rsidR="00955D60" w:rsidRPr="003A1174">
        <w:rPr>
          <w:rFonts w:ascii="Garamond" w:hAnsi="Garamond" w:cs="Arial"/>
          <w:color w:val="auto"/>
          <w:sz w:val="24"/>
          <w:szCs w:val="24"/>
          <w:lang w:val="pt-PT"/>
        </w:rPr>
        <w:t xml:space="preserve"> de </w:t>
      </w:r>
      <w:r w:rsidR="00E150E9" w:rsidRPr="003A1174">
        <w:rPr>
          <w:rFonts w:ascii="Garamond" w:hAnsi="Garamond" w:cs="Arial"/>
          <w:color w:val="auto"/>
          <w:sz w:val="24"/>
          <w:szCs w:val="24"/>
          <w:lang w:val="pt-PT"/>
        </w:rPr>
        <w:t>verificação</w:t>
      </w:r>
      <w:r w:rsidR="00955D60" w:rsidRPr="003A1174">
        <w:rPr>
          <w:rFonts w:ascii="Garamond" w:hAnsi="Garamond" w:cs="Arial"/>
          <w:color w:val="auto"/>
          <w:sz w:val="24"/>
          <w:szCs w:val="24"/>
          <w:lang w:val="pt-PT"/>
        </w:rPr>
        <w:t xml:space="preserve"> de </w:t>
      </w:r>
      <w:r w:rsidR="00A523BE" w:rsidRPr="003A1174">
        <w:rPr>
          <w:rFonts w:ascii="Garamond" w:hAnsi="Garamond" w:cs="Arial"/>
          <w:color w:val="auto"/>
          <w:sz w:val="24"/>
          <w:szCs w:val="24"/>
          <w:lang w:val="pt-PT"/>
        </w:rPr>
        <w:t>presença</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localização</w:t>
      </w:r>
      <w:r w:rsidR="00955D60" w:rsidRPr="003A1174">
        <w:rPr>
          <w:rFonts w:ascii="Garamond" w:hAnsi="Garamond" w:cs="Arial"/>
          <w:color w:val="auto"/>
          <w:sz w:val="24"/>
          <w:szCs w:val="24"/>
          <w:lang w:val="pt-PT"/>
        </w:rPr>
        <w:t xml:space="preserve"> de </w:t>
      </w:r>
      <w:r w:rsidR="006C760C" w:rsidRPr="003A1174">
        <w:rPr>
          <w:rFonts w:ascii="Garamond" w:hAnsi="Garamond" w:cs="Arial"/>
          <w:color w:val="auto"/>
          <w:sz w:val="24"/>
          <w:szCs w:val="24"/>
          <w:lang w:val="pt-PT"/>
        </w:rPr>
        <w:t>pessoas</w:t>
      </w:r>
      <w:r w:rsidR="00955D60" w:rsidRPr="003A1174">
        <w:rPr>
          <w:rFonts w:ascii="Garamond" w:hAnsi="Garamond" w:cs="Arial"/>
          <w:color w:val="auto"/>
          <w:sz w:val="24"/>
          <w:szCs w:val="24"/>
          <w:lang w:val="pt-PT"/>
        </w:rPr>
        <w:t xml:space="preserve"> e</w:t>
      </w:r>
      <w:r w:rsidR="003C438C"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casos de alto </w:t>
      </w:r>
      <w:r w:rsidR="008651AF" w:rsidRPr="003A1174">
        <w:rPr>
          <w:rFonts w:ascii="Garamond" w:hAnsi="Garamond" w:cs="Arial"/>
          <w:color w:val="auto"/>
          <w:sz w:val="24"/>
          <w:szCs w:val="24"/>
          <w:lang w:val="pt-PT"/>
        </w:rPr>
        <w:t>risco</w:t>
      </w:r>
      <w:r w:rsidR="003C438C" w:rsidRPr="003A1174">
        <w:rPr>
          <w:rFonts w:ascii="Garamond" w:hAnsi="Garamond" w:cs="Arial"/>
          <w:color w:val="auto"/>
          <w:sz w:val="24"/>
          <w:szCs w:val="24"/>
          <w:lang w:val="pt-PT"/>
        </w:rPr>
        <w:t>, participando um</w:t>
      </w:r>
      <w:r w:rsidR="00955D60" w:rsidRPr="003A1174">
        <w:rPr>
          <w:rFonts w:ascii="Garamond" w:hAnsi="Garamond" w:cs="Arial"/>
          <w:color w:val="auto"/>
          <w:sz w:val="24"/>
          <w:szCs w:val="24"/>
          <w:lang w:val="pt-PT"/>
        </w:rPr>
        <w:t xml:space="preserve"> total de </w:t>
      </w:r>
      <w:r w:rsidR="00955D60" w:rsidRPr="003A1174">
        <w:rPr>
          <w:rFonts w:ascii="Garamond" w:hAnsi="Garamond" w:cs="Arial"/>
          <w:bCs/>
          <w:color w:val="auto"/>
          <w:sz w:val="24"/>
          <w:szCs w:val="24"/>
          <w:lang w:val="pt-PT"/>
        </w:rPr>
        <w:t xml:space="preserve">56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s (6 </w:t>
      </w:r>
      <w:r w:rsidR="00054EE0" w:rsidRPr="003A1174">
        <w:rPr>
          <w:rFonts w:ascii="Garamond" w:hAnsi="Garamond" w:cs="Arial"/>
          <w:bCs/>
          <w:color w:val="auto"/>
          <w:sz w:val="24"/>
          <w:szCs w:val="24"/>
          <w:lang w:val="pt-PT"/>
        </w:rPr>
        <w:t>mulheres</w:t>
      </w:r>
      <w:r w:rsidR="00955D60"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00955D60" w:rsidRPr="003A1174">
        <w:rPr>
          <w:rFonts w:ascii="Garamond" w:hAnsi="Garamond" w:cs="Arial"/>
          <w:bCs/>
          <w:color w:val="auto"/>
          <w:sz w:val="24"/>
          <w:szCs w:val="24"/>
          <w:lang w:val="pt-PT"/>
        </w:rPr>
        <w:t xml:space="preserve"> 50 </w:t>
      </w:r>
      <w:r w:rsidR="00524936" w:rsidRPr="003A1174">
        <w:rPr>
          <w:rFonts w:ascii="Garamond" w:hAnsi="Garamond" w:cs="Arial"/>
          <w:bCs/>
          <w:color w:val="auto"/>
          <w:sz w:val="24"/>
          <w:szCs w:val="24"/>
          <w:lang w:val="pt-PT"/>
        </w:rPr>
        <w:t>homens</w:t>
      </w:r>
      <w:r w:rsidR="00955D60" w:rsidRPr="003A1174">
        <w:rPr>
          <w:rFonts w:ascii="Garamond" w:hAnsi="Garamond" w:cs="Arial"/>
          <w:bCs/>
          <w:color w:val="auto"/>
          <w:sz w:val="24"/>
          <w:szCs w:val="24"/>
          <w:lang w:val="pt-PT"/>
        </w:rPr>
        <w:t>)</w:t>
      </w:r>
      <w:r>
        <w:rPr>
          <w:rFonts w:ascii="Garamond" w:hAnsi="Garamond" w:cs="Arial"/>
          <w:bCs/>
          <w:color w:val="auto"/>
          <w:sz w:val="24"/>
          <w:szCs w:val="24"/>
          <w:lang w:val="pt-PT"/>
        </w:rPr>
        <w:t>.</w:t>
      </w:r>
    </w:p>
    <w:p w:rsidR="00955D60" w:rsidRPr="003A1174" w:rsidRDefault="003C438C" w:rsidP="003C438C">
      <w:pPr>
        <w:pStyle w:val="Prrafodelista"/>
        <w:numPr>
          <w:ilvl w:val="0"/>
          <w:numId w:val="39"/>
        </w:numPr>
        <w:autoSpaceDE w:val="0"/>
        <w:spacing w:before="240" w:line="240" w:lineRule="auto"/>
        <w:jc w:val="both"/>
        <w:rPr>
          <w:rFonts w:ascii="Garamond" w:hAnsi="Garamond" w:cs="Arial"/>
          <w:color w:val="auto"/>
          <w:sz w:val="24"/>
          <w:szCs w:val="24"/>
          <w:lang w:val="pt-PT"/>
        </w:rPr>
      </w:pPr>
      <w:r w:rsidRPr="003A1174">
        <w:rPr>
          <w:rFonts w:ascii="Garamond" w:hAnsi="Garamond" w:cs="Arial"/>
          <w:bCs/>
          <w:color w:val="auto"/>
          <w:sz w:val="24"/>
          <w:szCs w:val="24"/>
          <w:lang w:val="pt-PT"/>
        </w:rPr>
        <w:lastRenderedPageBreak/>
        <w:t>Executou-se</w:t>
      </w:r>
      <w:r w:rsidR="00955D60" w:rsidRPr="003A1174">
        <w:rPr>
          <w:rFonts w:ascii="Garamond" w:hAnsi="Garamond" w:cs="Arial"/>
          <w:bCs/>
          <w:color w:val="auto"/>
          <w:sz w:val="24"/>
          <w:szCs w:val="24"/>
          <w:lang w:val="pt-PT"/>
        </w:rPr>
        <w:t xml:space="preserve"> </w:t>
      </w:r>
      <w:r w:rsidRPr="003A1174">
        <w:rPr>
          <w:rFonts w:ascii="Garamond" w:hAnsi="Garamond" w:cs="Arial"/>
          <w:bCs/>
          <w:color w:val="auto"/>
          <w:sz w:val="24"/>
          <w:szCs w:val="24"/>
          <w:lang w:val="pt-PT"/>
        </w:rPr>
        <w:t>o</w:t>
      </w:r>
      <w:r w:rsidR="00955D60" w:rsidRPr="003A1174">
        <w:rPr>
          <w:rFonts w:ascii="Garamond" w:hAnsi="Garamond" w:cs="Arial"/>
          <w:bCs/>
          <w:color w:val="auto"/>
          <w:sz w:val="24"/>
          <w:szCs w:val="24"/>
          <w:lang w:val="pt-PT"/>
        </w:rPr>
        <w:t xml:space="preserve"> </w:t>
      </w:r>
      <w:r w:rsidR="003321CE" w:rsidRPr="003A1174">
        <w:rPr>
          <w:rFonts w:ascii="Garamond" w:hAnsi="Garamond" w:cs="Arial"/>
          <w:bCs/>
          <w:color w:val="auto"/>
          <w:sz w:val="24"/>
          <w:szCs w:val="24"/>
          <w:lang w:val="pt-PT"/>
        </w:rPr>
        <w:t>c</w:t>
      </w:r>
      <w:r w:rsidR="003D34CA" w:rsidRPr="003A1174">
        <w:rPr>
          <w:rFonts w:ascii="Garamond" w:hAnsi="Garamond" w:cs="Arial"/>
          <w:bCs/>
          <w:color w:val="auto"/>
          <w:sz w:val="24"/>
          <w:szCs w:val="24"/>
          <w:lang w:val="pt-PT"/>
        </w:rPr>
        <w:t>urso Políticas de Género à distâ</w:t>
      </w:r>
      <w:r w:rsidR="00955D60" w:rsidRPr="003A1174">
        <w:rPr>
          <w:rFonts w:ascii="Garamond" w:hAnsi="Garamond" w:cs="Arial"/>
          <w:bCs/>
          <w:color w:val="auto"/>
          <w:sz w:val="24"/>
          <w:szCs w:val="24"/>
          <w:lang w:val="pt-PT"/>
        </w:rPr>
        <w:t>ncia</w:t>
      </w:r>
      <w:r w:rsidR="005518C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009A0CC2" w:rsidRPr="003A1174">
        <w:rPr>
          <w:rFonts w:ascii="Garamond" w:hAnsi="Garamond" w:cs="Arial"/>
          <w:bCs/>
          <w:color w:val="auto"/>
          <w:sz w:val="24"/>
          <w:szCs w:val="24"/>
          <w:lang w:val="pt-PT"/>
        </w:rPr>
        <w:t>através</w:t>
      </w:r>
      <w:r w:rsidR="00955D60" w:rsidRPr="003A1174">
        <w:rPr>
          <w:rFonts w:ascii="Garamond" w:hAnsi="Garamond" w:cs="Arial"/>
          <w:bCs/>
          <w:color w:val="auto"/>
          <w:sz w:val="24"/>
          <w:szCs w:val="24"/>
          <w:lang w:val="pt-PT"/>
        </w:rPr>
        <w:t xml:space="preserve"> </w:t>
      </w:r>
      <w:r w:rsidR="00E85E59" w:rsidRPr="003A1174">
        <w:rPr>
          <w:rFonts w:ascii="Garamond" w:hAnsi="Garamond" w:cs="Arial"/>
          <w:bCs/>
          <w:color w:val="auto"/>
          <w:sz w:val="24"/>
          <w:szCs w:val="24"/>
          <w:lang w:val="pt-PT"/>
        </w:rPr>
        <w:t>do</w:t>
      </w:r>
      <w:r w:rsidR="00955D60" w:rsidRPr="003A1174">
        <w:rPr>
          <w:rFonts w:ascii="Garamond" w:hAnsi="Garamond" w:cs="Arial"/>
          <w:bCs/>
          <w:color w:val="auto"/>
          <w:sz w:val="24"/>
          <w:szCs w:val="24"/>
          <w:lang w:val="pt-PT"/>
        </w:rPr>
        <w:t xml:space="preserve"> Portal Educativo da </w:t>
      </w:r>
      <w:r w:rsidR="00A23EB8" w:rsidRPr="003A1174">
        <w:rPr>
          <w:rFonts w:ascii="Garamond" w:hAnsi="Garamond" w:cs="Arial"/>
          <w:bCs/>
          <w:color w:val="auto"/>
          <w:sz w:val="24"/>
          <w:szCs w:val="24"/>
          <w:lang w:val="pt-PT"/>
        </w:rPr>
        <w:t>Escola</w:t>
      </w:r>
      <w:r w:rsidR="00955D60" w:rsidRPr="003A1174">
        <w:rPr>
          <w:rFonts w:ascii="Garamond" w:hAnsi="Garamond" w:cs="Arial"/>
          <w:bCs/>
          <w:color w:val="auto"/>
          <w:sz w:val="24"/>
          <w:szCs w:val="24"/>
          <w:lang w:val="pt-PT"/>
        </w:rPr>
        <w:t xml:space="preserve"> Nacional de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 (ENP)</w:t>
      </w:r>
      <w:r w:rsidR="00955D60" w:rsidRPr="003A1174">
        <w:rPr>
          <w:rFonts w:ascii="Garamond" w:hAnsi="Garamond" w:cs="Arial"/>
          <w:color w:val="auto"/>
          <w:sz w:val="24"/>
          <w:szCs w:val="24"/>
          <w:lang w:val="pt-PT"/>
        </w:rPr>
        <w:t>, co</w:t>
      </w:r>
      <w:r w:rsidR="003D34CA" w:rsidRPr="003A1174">
        <w:rPr>
          <w:rFonts w:ascii="Garamond" w:hAnsi="Garamond" w:cs="Arial"/>
          <w:color w:val="auto"/>
          <w:sz w:val="24"/>
          <w:szCs w:val="24"/>
          <w:lang w:val="pt-PT"/>
        </w:rPr>
        <w:t xml:space="preserve">m o </w:t>
      </w:r>
      <w:r w:rsidR="00955D60" w:rsidRPr="003A1174">
        <w:rPr>
          <w:rFonts w:ascii="Garamond" w:hAnsi="Garamond" w:cs="Arial"/>
          <w:color w:val="auto"/>
          <w:sz w:val="24"/>
          <w:szCs w:val="24"/>
          <w:lang w:val="pt-PT"/>
        </w:rPr>
        <w:t>objet</w:t>
      </w:r>
      <w:r w:rsidR="003D34CA" w:rsidRPr="003A1174">
        <w:rPr>
          <w:rFonts w:ascii="Garamond" w:hAnsi="Garamond" w:cs="Arial"/>
          <w:color w:val="auto"/>
          <w:sz w:val="24"/>
          <w:szCs w:val="24"/>
          <w:lang w:val="pt-PT"/>
        </w:rPr>
        <w:t>iv</w:t>
      </w:r>
      <w:r w:rsidR="00955D60" w:rsidRPr="003A1174">
        <w:rPr>
          <w:rFonts w:ascii="Garamond" w:hAnsi="Garamond" w:cs="Arial"/>
          <w:color w:val="auto"/>
          <w:sz w:val="24"/>
          <w:szCs w:val="24"/>
          <w:lang w:val="pt-PT"/>
        </w:rPr>
        <w:t xml:space="preserve">o de mostrar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debat</w:t>
      </w:r>
      <w:r w:rsidR="003D34CA"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r </w:t>
      </w:r>
      <w:r w:rsidR="003D34CA" w:rsidRPr="003A1174">
        <w:rPr>
          <w:rFonts w:ascii="Garamond" w:hAnsi="Garamond" w:cs="Arial"/>
          <w:color w:val="auto"/>
          <w:sz w:val="24"/>
          <w:szCs w:val="24"/>
          <w:lang w:val="pt-PT"/>
        </w:rPr>
        <w:t xml:space="preserve">um </w:t>
      </w:r>
      <w:r w:rsidR="005D38DC" w:rsidRPr="003A1174">
        <w:rPr>
          <w:rFonts w:ascii="Garamond" w:hAnsi="Garamond" w:cs="Arial"/>
          <w:color w:val="auto"/>
          <w:sz w:val="24"/>
          <w:szCs w:val="24"/>
          <w:lang w:val="pt-PT"/>
        </w:rPr>
        <w:t>novo</w:t>
      </w:r>
      <w:r w:rsidR="00955D60" w:rsidRPr="003A1174">
        <w:rPr>
          <w:rFonts w:ascii="Garamond" w:hAnsi="Garamond" w:cs="Arial"/>
          <w:color w:val="auto"/>
          <w:sz w:val="24"/>
          <w:szCs w:val="24"/>
          <w:lang w:val="pt-PT"/>
        </w:rPr>
        <w:t xml:space="preserve"> paradigma cultural </w:t>
      </w:r>
      <w:r w:rsidR="003D34CA" w:rsidRPr="003A1174">
        <w:rPr>
          <w:rFonts w:ascii="Garamond" w:hAnsi="Garamond" w:cs="Arial"/>
          <w:color w:val="auto"/>
          <w:sz w:val="24"/>
          <w:szCs w:val="24"/>
          <w:lang w:val="pt-PT"/>
        </w:rPr>
        <w:t>n</w:t>
      </w:r>
      <w:r w:rsidR="00955D60" w:rsidRPr="003A1174">
        <w:rPr>
          <w:rFonts w:ascii="Garamond" w:hAnsi="Garamond" w:cs="Arial"/>
          <w:color w:val="auto"/>
          <w:sz w:val="24"/>
          <w:szCs w:val="24"/>
          <w:lang w:val="pt-PT"/>
        </w:rPr>
        <w:t xml:space="preserve">a </w:t>
      </w:r>
      <w:r w:rsidR="009859FC" w:rsidRPr="003A1174">
        <w:rPr>
          <w:rFonts w:ascii="Garamond" w:hAnsi="Garamond" w:cs="Arial"/>
          <w:color w:val="auto"/>
          <w:sz w:val="24"/>
          <w:szCs w:val="24"/>
          <w:lang w:val="pt-PT"/>
        </w:rPr>
        <w:t>força</w:t>
      </w:r>
      <w:r w:rsidR="00955D60" w:rsidRPr="003A1174">
        <w:rPr>
          <w:rFonts w:ascii="Garamond" w:hAnsi="Garamond" w:cs="Arial"/>
          <w:color w:val="auto"/>
          <w:sz w:val="24"/>
          <w:szCs w:val="24"/>
          <w:lang w:val="pt-PT"/>
        </w:rPr>
        <w:t xml:space="preserve"> policial </w:t>
      </w:r>
      <w:r w:rsidR="000672E8" w:rsidRPr="003A1174">
        <w:rPr>
          <w:rFonts w:ascii="Garamond" w:hAnsi="Garamond" w:cs="Arial"/>
          <w:color w:val="auto"/>
          <w:sz w:val="24"/>
          <w:szCs w:val="24"/>
          <w:lang w:val="pt-PT"/>
        </w:rPr>
        <w:t>e</w:t>
      </w:r>
      <w:r w:rsidR="003D34CA"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 </w:t>
      </w:r>
      <w:r w:rsidR="002E2C71" w:rsidRPr="003A1174">
        <w:rPr>
          <w:rFonts w:ascii="Garamond" w:hAnsi="Garamond" w:cs="Arial"/>
          <w:color w:val="auto"/>
          <w:sz w:val="24"/>
          <w:szCs w:val="24"/>
          <w:lang w:val="pt-PT"/>
        </w:rPr>
        <w:t>função</w:t>
      </w:r>
      <w:r w:rsidR="00955D60" w:rsidRPr="003A1174">
        <w:rPr>
          <w:rFonts w:ascii="Garamond" w:hAnsi="Garamond" w:cs="Arial"/>
          <w:color w:val="auto"/>
          <w:sz w:val="24"/>
          <w:szCs w:val="24"/>
          <w:lang w:val="pt-PT"/>
        </w:rPr>
        <w:t xml:space="preserve"> policial que privilegia valores que </w:t>
      </w:r>
      <w:r w:rsidR="001647F2" w:rsidRPr="003A1174">
        <w:rPr>
          <w:rFonts w:ascii="Garamond" w:hAnsi="Garamond" w:cs="Arial"/>
          <w:color w:val="auto"/>
          <w:sz w:val="24"/>
          <w:szCs w:val="24"/>
          <w:lang w:val="pt-PT"/>
        </w:rPr>
        <w:t>estão</w:t>
      </w:r>
      <w:r w:rsidR="00955D60" w:rsidRPr="003A1174">
        <w:rPr>
          <w:rFonts w:ascii="Garamond" w:hAnsi="Garamond" w:cs="Arial"/>
          <w:color w:val="auto"/>
          <w:sz w:val="24"/>
          <w:szCs w:val="24"/>
          <w:lang w:val="pt-PT"/>
        </w:rPr>
        <w:t xml:space="preserve"> e</w:t>
      </w:r>
      <w:r w:rsidR="003D34CA" w:rsidRPr="003A1174">
        <w:rPr>
          <w:rFonts w:ascii="Garamond" w:hAnsi="Garamond" w:cs="Arial"/>
          <w:color w:val="auto"/>
          <w:sz w:val="24"/>
          <w:szCs w:val="24"/>
          <w:lang w:val="pt-PT"/>
        </w:rPr>
        <w:t xml:space="preserve">m </w:t>
      </w:r>
      <w:r w:rsidR="00955D60" w:rsidRPr="003A1174">
        <w:rPr>
          <w:rFonts w:ascii="Garamond" w:hAnsi="Garamond" w:cs="Arial"/>
          <w:color w:val="auto"/>
          <w:sz w:val="24"/>
          <w:szCs w:val="24"/>
          <w:lang w:val="pt-PT"/>
        </w:rPr>
        <w:t>estre</w:t>
      </w:r>
      <w:r w:rsidR="00CB0C30" w:rsidRPr="003A1174">
        <w:rPr>
          <w:rFonts w:ascii="Garamond" w:hAnsi="Garamond" w:cs="Arial"/>
          <w:color w:val="auto"/>
          <w:sz w:val="24"/>
          <w:szCs w:val="24"/>
          <w:lang w:val="pt-PT"/>
        </w:rPr>
        <w:t>it</w:t>
      </w:r>
      <w:r w:rsidR="00955D60" w:rsidRPr="003A1174">
        <w:rPr>
          <w:rFonts w:ascii="Garamond" w:hAnsi="Garamond" w:cs="Arial"/>
          <w:color w:val="auto"/>
          <w:sz w:val="24"/>
          <w:szCs w:val="24"/>
          <w:lang w:val="pt-PT"/>
        </w:rPr>
        <w:t xml:space="preserve">a </w:t>
      </w:r>
      <w:r w:rsidR="00152A44" w:rsidRPr="003A1174">
        <w:rPr>
          <w:rFonts w:ascii="Garamond" w:hAnsi="Garamond" w:cs="Arial"/>
          <w:color w:val="auto"/>
          <w:sz w:val="24"/>
          <w:szCs w:val="24"/>
          <w:lang w:val="pt-PT"/>
        </w:rPr>
        <w:t>relação</w:t>
      </w:r>
      <w:r w:rsidR="00955D60" w:rsidRPr="003A1174">
        <w:rPr>
          <w:rFonts w:ascii="Garamond" w:hAnsi="Garamond" w:cs="Arial"/>
          <w:color w:val="auto"/>
          <w:sz w:val="24"/>
          <w:szCs w:val="24"/>
          <w:lang w:val="pt-PT"/>
        </w:rPr>
        <w:t xml:space="preserve"> co</w:t>
      </w:r>
      <w:r w:rsidR="003D34CA" w:rsidRPr="003A1174">
        <w:rPr>
          <w:rFonts w:ascii="Garamond" w:hAnsi="Garamond" w:cs="Arial"/>
          <w:color w:val="auto"/>
          <w:sz w:val="24"/>
          <w:szCs w:val="24"/>
          <w:lang w:val="pt-PT"/>
        </w:rPr>
        <w:t xml:space="preserve">m </w:t>
      </w:r>
      <w:r w:rsidR="00955D60"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igualdade</w:t>
      </w:r>
      <w:r w:rsidR="00955D60" w:rsidRPr="003A1174">
        <w:rPr>
          <w:rFonts w:ascii="Garamond" w:hAnsi="Garamond" w:cs="Arial"/>
          <w:color w:val="auto"/>
          <w:sz w:val="24"/>
          <w:szCs w:val="24"/>
          <w:lang w:val="pt-PT"/>
        </w:rPr>
        <w:t xml:space="preserve"> de género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que pretende</w:t>
      </w:r>
      <w:r w:rsidR="003D34CA" w:rsidRPr="003A1174">
        <w:rPr>
          <w:rFonts w:ascii="Garamond" w:hAnsi="Garamond" w:cs="Arial"/>
          <w:color w:val="auto"/>
          <w:sz w:val="24"/>
          <w:szCs w:val="24"/>
          <w:lang w:val="pt-PT"/>
        </w:rPr>
        <w:t>m consolidar um</w:t>
      </w:r>
      <w:r w:rsidR="00955D60" w:rsidRPr="003A1174">
        <w:rPr>
          <w:rFonts w:ascii="Garamond" w:hAnsi="Garamond" w:cs="Arial"/>
          <w:color w:val="auto"/>
          <w:sz w:val="24"/>
          <w:szCs w:val="24"/>
          <w:lang w:val="pt-PT"/>
        </w:rPr>
        <w:t xml:space="preserve">a </w:t>
      </w:r>
      <w:r w:rsidR="00800D59" w:rsidRPr="003A1174">
        <w:rPr>
          <w:rFonts w:ascii="Garamond" w:hAnsi="Garamond" w:cs="Arial"/>
          <w:color w:val="auto"/>
          <w:sz w:val="24"/>
          <w:szCs w:val="24"/>
          <w:lang w:val="pt-PT"/>
        </w:rPr>
        <w:t>Instituição</w:t>
      </w:r>
      <w:r w:rsidR="00955D60" w:rsidRPr="003A1174">
        <w:rPr>
          <w:rFonts w:ascii="Garamond" w:hAnsi="Garamond" w:cs="Arial"/>
          <w:color w:val="auto"/>
          <w:sz w:val="24"/>
          <w:szCs w:val="24"/>
          <w:lang w:val="pt-PT"/>
        </w:rPr>
        <w:t xml:space="preserve"> Policial </w:t>
      </w:r>
      <w:r w:rsidR="00BA21ED" w:rsidRPr="003A1174">
        <w:rPr>
          <w:rFonts w:ascii="Garamond" w:hAnsi="Garamond" w:cs="Arial"/>
          <w:color w:val="auto"/>
          <w:sz w:val="24"/>
          <w:szCs w:val="24"/>
          <w:lang w:val="pt-PT"/>
        </w:rPr>
        <w:t>mais</w:t>
      </w:r>
      <w:r w:rsidR="00955D60" w:rsidRPr="003A1174">
        <w:rPr>
          <w:rFonts w:ascii="Garamond" w:hAnsi="Garamond" w:cs="Arial"/>
          <w:color w:val="auto"/>
          <w:sz w:val="24"/>
          <w:szCs w:val="24"/>
          <w:lang w:val="pt-PT"/>
        </w:rPr>
        <w:t xml:space="preserve"> moderna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democrática. </w:t>
      </w:r>
      <w:r w:rsidR="00955D60" w:rsidRPr="003A1174">
        <w:rPr>
          <w:rFonts w:ascii="Garamond" w:hAnsi="Garamond" w:cs="Arial"/>
          <w:bCs/>
          <w:color w:val="auto"/>
          <w:sz w:val="24"/>
          <w:szCs w:val="24"/>
          <w:lang w:val="pt-PT"/>
        </w:rPr>
        <w:t>Particip</w:t>
      </w:r>
      <w:r w:rsidR="003D34CA" w:rsidRPr="003A1174">
        <w:rPr>
          <w:rFonts w:ascii="Garamond" w:hAnsi="Garamond" w:cs="Arial"/>
          <w:bCs/>
          <w:color w:val="auto"/>
          <w:sz w:val="24"/>
          <w:szCs w:val="24"/>
          <w:lang w:val="pt-PT"/>
        </w:rPr>
        <w:t>aram</w:t>
      </w:r>
      <w:r w:rsidR="005518C4">
        <w:rPr>
          <w:rFonts w:ascii="Garamond" w:hAnsi="Garamond" w:cs="Arial"/>
          <w:bCs/>
          <w:color w:val="auto"/>
          <w:sz w:val="24"/>
          <w:szCs w:val="24"/>
          <w:lang w:val="pt-PT"/>
        </w:rPr>
        <w:t>,</w:t>
      </w:r>
      <w:r w:rsidR="003D34CA" w:rsidRPr="003A1174">
        <w:rPr>
          <w:rFonts w:ascii="Garamond" w:hAnsi="Garamond" w:cs="Arial"/>
          <w:bCs/>
          <w:color w:val="auto"/>
          <w:sz w:val="24"/>
          <w:szCs w:val="24"/>
          <w:lang w:val="pt-PT"/>
        </w:rPr>
        <w:t xml:space="preserve"> no </w:t>
      </w:r>
      <w:r w:rsidR="00955D60" w:rsidRPr="003A1174">
        <w:rPr>
          <w:rFonts w:ascii="Garamond" w:hAnsi="Garamond" w:cs="Arial"/>
          <w:bCs/>
          <w:color w:val="auto"/>
          <w:sz w:val="24"/>
          <w:szCs w:val="24"/>
          <w:lang w:val="pt-PT"/>
        </w:rPr>
        <w:t>total</w:t>
      </w:r>
      <w:r w:rsidR="005518C4">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18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s (15 </w:t>
      </w:r>
      <w:r w:rsidR="00054EE0" w:rsidRPr="003A1174">
        <w:rPr>
          <w:rFonts w:ascii="Garamond" w:hAnsi="Garamond" w:cs="Arial"/>
          <w:bCs/>
          <w:color w:val="auto"/>
          <w:sz w:val="24"/>
          <w:szCs w:val="24"/>
          <w:lang w:val="pt-PT"/>
        </w:rPr>
        <w:t>mulheres</w:t>
      </w:r>
      <w:r w:rsidR="00955D60" w:rsidRPr="003A1174">
        <w:rPr>
          <w:rFonts w:ascii="Garamond" w:hAnsi="Garamond" w:cs="Arial"/>
          <w:bCs/>
          <w:color w:val="auto"/>
          <w:sz w:val="24"/>
          <w:szCs w:val="24"/>
          <w:lang w:val="pt-PT"/>
        </w:rPr>
        <w:t xml:space="preserve"> </w:t>
      </w:r>
      <w:r w:rsidR="000672E8" w:rsidRPr="003A1174">
        <w:rPr>
          <w:rFonts w:ascii="Garamond" w:hAnsi="Garamond" w:cs="Arial"/>
          <w:bCs/>
          <w:color w:val="auto"/>
          <w:sz w:val="24"/>
          <w:szCs w:val="24"/>
          <w:lang w:val="pt-PT"/>
        </w:rPr>
        <w:t>e</w:t>
      </w:r>
      <w:r w:rsidR="00955D60" w:rsidRPr="003A1174">
        <w:rPr>
          <w:rFonts w:ascii="Garamond" w:hAnsi="Garamond" w:cs="Arial"/>
          <w:bCs/>
          <w:color w:val="auto"/>
          <w:sz w:val="24"/>
          <w:szCs w:val="24"/>
          <w:lang w:val="pt-PT"/>
        </w:rPr>
        <w:t xml:space="preserve"> 3 </w:t>
      </w:r>
      <w:r w:rsidR="00524936" w:rsidRPr="003A1174">
        <w:rPr>
          <w:rFonts w:ascii="Garamond" w:hAnsi="Garamond" w:cs="Arial"/>
          <w:bCs/>
          <w:color w:val="auto"/>
          <w:sz w:val="24"/>
          <w:szCs w:val="24"/>
          <w:lang w:val="pt-PT"/>
        </w:rPr>
        <w:t>homens</w:t>
      </w:r>
      <w:r w:rsidR="00955D60" w:rsidRPr="003A1174">
        <w:rPr>
          <w:rFonts w:ascii="Garamond" w:hAnsi="Garamond" w:cs="Arial"/>
          <w:bCs/>
          <w:color w:val="auto"/>
          <w:sz w:val="24"/>
          <w:szCs w:val="24"/>
          <w:lang w:val="pt-PT"/>
        </w:rPr>
        <w:t>).</w:t>
      </w:r>
    </w:p>
    <w:p w:rsidR="00955D60" w:rsidRPr="003A1174" w:rsidRDefault="00C621D7" w:rsidP="008719D4">
      <w:pPr>
        <w:pStyle w:val="Prrafodelista"/>
        <w:numPr>
          <w:ilvl w:val="0"/>
          <w:numId w:val="39"/>
        </w:numPr>
        <w:spacing w:before="240" w:line="240" w:lineRule="auto"/>
        <w:jc w:val="both"/>
        <w:rPr>
          <w:rFonts w:ascii="Garamond" w:hAnsi="Garamond" w:cs="Arial"/>
          <w:bCs/>
          <w:i/>
          <w:color w:val="auto"/>
          <w:sz w:val="24"/>
          <w:szCs w:val="24"/>
          <w:u w:val="single"/>
          <w:lang w:val="pt-PT"/>
        </w:rPr>
      </w:pPr>
      <w:r>
        <w:rPr>
          <w:rFonts w:ascii="Garamond" w:hAnsi="Garamond" w:cs="Arial"/>
          <w:color w:val="auto"/>
          <w:sz w:val="24"/>
          <w:szCs w:val="24"/>
          <w:lang w:val="pt-PT"/>
        </w:rPr>
        <w:t xml:space="preserve">Criou-se </w:t>
      </w:r>
      <w:r w:rsidR="00CB0C30"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Diploma de P</w:t>
      </w:r>
      <w:r w:rsidR="00CB0C30" w:rsidRPr="003A1174">
        <w:rPr>
          <w:rFonts w:ascii="Garamond" w:hAnsi="Garamond" w:cs="Arial"/>
          <w:color w:val="auto"/>
          <w:sz w:val="24"/>
          <w:szCs w:val="24"/>
          <w:lang w:val="pt-PT"/>
        </w:rPr>
        <w:t xml:space="preserve">ós-Graduação </w:t>
      </w:r>
      <w:r>
        <w:rPr>
          <w:rFonts w:ascii="Garamond" w:hAnsi="Garamond" w:cs="Arial"/>
          <w:color w:val="auto"/>
          <w:sz w:val="24"/>
          <w:szCs w:val="24"/>
          <w:lang w:val="pt-PT"/>
        </w:rPr>
        <w:t xml:space="preserve">em </w:t>
      </w:r>
      <w:r w:rsidR="00955D60" w:rsidRPr="003A1174">
        <w:rPr>
          <w:rFonts w:ascii="Garamond" w:hAnsi="Garamond" w:cs="Arial"/>
          <w:color w:val="auto"/>
          <w:sz w:val="24"/>
          <w:szCs w:val="24"/>
          <w:lang w:val="pt-PT"/>
        </w:rPr>
        <w:t xml:space="preserve">Género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Políticas Públicas</w:t>
      </w:r>
      <w:r>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CB0C30" w:rsidRPr="003A1174">
        <w:rPr>
          <w:rFonts w:ascii="Garamond" w:hAnsi="Garamond" w:cs="Arial"/>
          <w:color w:val="auto"/>
          <w:sz w:val="24"/>
          <w:szCs w:val="24"/>
          <w:lang w:val="pt-PT"/>
        </w:rPr>
        <w:t xml:space="preserve">dando </w:t>
      </w:r>
      <w:r w:rsidR="00964875" w:rsidRPr="003A1174">
        <w:rPr>
          <w:rFonts w:ascii="Garamond" w:hAnsi="Garamond" w:cs="Arial"/>
          <w:color w:val="auto"/>
          <w:sz w:val="24"/>
          <w:szCs w:val="24"/>
          <w:lang w:val="pt-PT"/>
        </w:rPr>
        <w:t>ênfase</w:t>
      </w:r>
      <w:r w:rsidR="00955D60" w:rsidRPr="003A1174">
        <w:rPr>
          <w:rFonts w:ascii="Garamond" w:hAnsi="Garamond" w:cs="Arial"/>
          <w:color w:val="auto"/>
          <w:sz w:val="24"/>
          <w:szCs w:val="24"/>
          <w:lang w:val="pt-PT"/>
        </w:rPr>
        <w:t xml:space="preserve"> </w:t>
      </w:r>
      <w:r w:rsidR="00CB0C30" w:rsidRPr="003A1174">
        <w:rPr>
          <w:rFonts w:ascii="Garamond" w:hAnsi="Garamond" w:cs="Arial"/>
          <w:color w:val="auto"/>
          <w:sz w:val="24"/>
          <w:szCs w:val="24"/>
          <w:lang w:val="pt-PT"/>
        </w:rPr>
        <w:t xml:space="preserve">à </w:t>
      </w:r>
      <w:r w:rsidR="00D15AFF" w:rsidRPr="003A1174">
        <w:rPr>
          <w:rFonts w:ascii="Garamond" w:hAnsi="Garamond" w:cs="Arial"/>
          <w:color w:val="auto"/>
          <w:sz w:val="24"/>
          <w:szCs w:val="24"/>
          <w:lang w:val="pt-PT"/>
        </w:rPr>
        <w:t>Segurança</w:t>
      </w:r>
      <w:r>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durante </w:t>
      </w:r>
      <w:r w:rsidR="000866B6" w:rsidRPr="003A1174">
        <w:rPr>
          <w:rFonts w:ascii="Garamond" w:hAnsi="Garamond" w:cs="Arial"/>
          <w:color w:val="auto"/>
          <w:sz w:val="24"/>
          <w:szCs w:val="24"/>
          <w:lang w:val="pt-PT"/>
        </w:rPr>
        <w:t>três</w:t>
      </w:r>
      <w:r w:rsidR="00955D60" w:rsidRPr="003A1174">
        <w:rPr>
          <w:rFonts w:ascii="Garamond" w:hAnsi="Garamond" w:cs="Arial"/>
          <w:color w:val="auto"/>
          <w:sz w:val="24"/>
          <w:szCs w:val="24"/>
          <w:lang w:val="pt-PT"/>
        </w:rPr>
        <w:t xml:space="preserve"> trimestres</w:t>
      </w:r>
      <w:r>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que totalizar</w:t>
      </w:r>
      <w:r w:rsidR="00CB0C30" w:rsidRPr="003A1174">
        <w:rPr>
          <w:rFonts w:ascii="Garamond" w:hAnsi="Garamond" w:cs="Arial"/>
          <w:color w:val="auto"/>
          <w:sz w:val="24"/>
          <w:szCs w:val="24"/>
          <w:lang w:val="pt-PT"/>
        </w:rPr>
        <w:t xml:space="preserve">am </w:t>
      </w:r>
      <w:r w:rsidR="00955D60" w:rsidRPr="003A1174">
        <w:rPr>
          <w:rFonts w:ascii="Garamond" w:hAnsi="Garamond" w:cs="Arial"/>
          <w:color w:val="auto"/>
          <w:sz w:val="24"/>
          <w:szCs w:val="24"/>
          <w:lang w:val="pt-PT"/>
        </w:rPr>
        <w:t xml:space="preserve">250 horas </w:t>
      </w:r>
      <w:r w:rsidR="00EC45A0" w:rsidRPr="003A1174">
        <w:rPr>
          <w:rFonts w:ascii="Garamond" w:hAnsi="Garamond" w:cs="Arial"/>
          <w:color w:val="auto"/>
          <w:sz w:val="24"/>
          <w:szCs w:val="24"/>
          <w:lang w:val="pt-PT"/>
        </w:rPr>
        <w:t>presenciais</w:t>
      </w:r>
      <w:r w:rsidR="00955D60"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Foi</w:t>
      </w:r>
      <w:r w:rsidR="00955D60" w:rsidRPr="003A1174">
        <w:rPr>
          <w:rFonts w:ascii="Garamond" w:hAnsi="Garamond" w:cs="Arial"/>
          <w:color w:val="auto"/>
          <w:sz w:val="24"/>
          <w:szCs w:val="24"/>
          <w:lang w:val="pt-PT"/>
        </w:rPr>
        <w:t xml:space="preserve"> dirigido a</w:t>
      </w:r>
      <w:r>
        <w:rPr>
          <w:rFonts w:ascii="Garamond" w:hAnsi="Garamond" w:cs="Arial"/>
          <w:color w:val="auto"/>
          <w:sz w:val="24"/>
          <w:szCs w:val="24"/>
          <w:lang w:val="pt-PT"/>
        </w:rPr>
        <w:t>os</w:t>
      </w:r>
      <w:r w:rsidR="00955D60" w:rsidRPr="003A1174">
        <w:rPr>
          <w:rFonts w:ascii="Garamond" w:hAnsi="Garamond" w:cs="Arial"/>
          <w:color w:val="auto"/>
          <w:sz w:val="24"/>
          <w:szCs w:val="24"/>
          <w:lang w:val="pt-PT"/>
        </w:rPr>
        <w:t xml:space="preserve"> </w:t>
      </w:r>
      <w:r w:rsidR="00E150E9" w:rsidRPr="003A1174">
        <w:rPr>
          <w:rFonts w:ascii="Garamond" w:hAnsi="Garamond" w:cs="Arial"/>
          <w:color w:val="auto"/>
          <w:sz w:val="24"/>
          <w:szCs w:val="24"/>
          <w:lang w:val="pt-PT"/>
        </w:rPr>
        <w:t>oficiais</w:t>
      </w:r>
      <w:r w:rsidR="00955D60" w:rsidRPr="003A1174">
        <w:rPr>
          <w:rFonts w:ascii="Garamond" w:hAnsi="Garamond" w:cs="Arial"/>
          <w:color w:val="auto"/>
          <w:sz w:val="24"/>
          <w:szCs w:val="24"/>
          <w:lang w:val="pt-PT"/>
        </w:rPr>
        <w:t xml:space="preserve"> da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 Nacional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Pr>
          <w:rFonts w:ascii="Garamond" w:hAnsi="Garamond" w:cs="Arial"/>
          <w:color w:val="auto"/>
          <w:sz w:val="24"/>
          <w:szCs w:val="24"/>
          <w:lang w:val="pt-PT"/>
        </w:rPr>
        <w:t>às</w:t>
      </w:r>
      <w:r w:rsidR="00955D60" w:rsidRPr="003A1174">
        <w:rPr>
          <w:rFonts w:ascii="Garamond" w:hAnsi="Garamond" w:cs="Arial"/>
          <w:color w:val="auto"/>
          <w:sz w:val="24"/>
          <w:szCs w:val="24"/>
          <w:lang w:val="pt-PT"/>
        </w:rPr>
        <w:t xml:space="preserve"> </w:t>
      </w:r>
      <w:r w:rsidR="006C760C" w:rsidRPr="003A1174">
        <w:rPr>
          <w:rFonts w:ascii="Garamond" w:hAnsi="Garamond" w:cs="Arial"/>
          <w:color w:val="auto"/>
          <w:sz w:val="24"/>
          <w:szCs w:val="24"/>
          <w:lang w:val="pt-PT"/>
        </w:rPr>
        <w:t>pessoas</w:t>
      </w:r>
      <w:r w:rsidR="00CB0C30" w:rsidRPr="003A1174">
        <w:rPr>
          <w:rFonts w:ascii="Garamond" w:hAnsi="Garamond" w:cs="Arial"/>
          <w:color w:val="auto"/>
          <w:sz w:val="24"/>
          <w:szCs w:val="24"/>
          <w:lang w:val="pt-PT"/>
        </w:rPr>
        <w:t xml:space="preserve"> com </w:t>
      </w:r>
      <w:r w:rsidR="003F012B" w:rsidRPr="003A1174">
        <w:rPr>
          <w:rFonts w:ascii="Garamond" w:hAnsi="Garamond" w:cs="Arial"/>
          <w:color w:val="auto"/>
          <w:sz w:val="24"/>
          <w:szCs w:val="24"/>
          <w:lang w:val="pt-PT"/>
        </w:rPr>
        <w:t>estudo</w:t>
      </w:r>
      <w:r w:rsidR="00CB0C30" w:rsidRPr="003A1174">
        <w:rPr>
          <w:rFonts w:ascii="Garamond" w:hAnsi="Garamond" w:cs="Arial"/>
          <w:color w:val="auto"/>
          <w:sz w:val="24"/>
          <w:szCs w:val="24"/>
          <w:lang w:val="pt-PT"/>
        </w:rPr>
        <w:t>s terciá</w:t>
      </w:r>
      <w:r w:rsidR="00955D60" w:rsidRPr="003A1174">
        <w:rPr>
          <w:rFonts w:ascii="Garamond" w:hAnsi="Garamond" w:cs="Arial"/>
          <w:color w:val="auto"/>
          <w:sz w:val="24"/>
          <w:szCs w:val="24"/>
          <w:lang w:val="pt-PT"/>
        </w:rPr>
        <w:t>rios interes</w:t>
      </w:r>
      <w:r w:rsidR="00CB0C30" w:rsidRPr="003A1174">
        <w:rPr>
          <w:rFonts w:ascii="Garamond" w:hAnsi="Garamond" w:cs="Arial"/>
          <w:color w:val="auto"/>
          <w:sz w:val="24"/>
          <w:szCs w:val="24"/>
          <w:lang w:val="pt-PT"/>
        </w:rPr>
        <w:t>s</w:t>
      </w:r>
      <w:r w:rsidR="00955D60" w:rsidRPr="003A1174">
        <w:rPr>
          <w:rFonts w:ascii="Garamond" w:hAnsi="Garamond" w:cs="Arial"/>
          <w:color w:val="auto"/>
          <w:sz w:val="24"/>
          <w:szCs w:val="24"/>
          <w:lang w:val="pt-PT"/>
        </w:rPr>
        <w:t>adas e</w:t>
      </w:r>
      <w:r w:rsidR="00CB0C30"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desenvolver</w:t>
      </w:r>
      <w:r w:rsidR="00CB0C30" w:rsidRPr="003A1174">
        <w:rPr>
          <w:rFonts w:ascii="Garamond" w:hAnsi="Garamond" w:cs="Arial"/>
          <w:color w:val="auto"/>
          <w:sz w:val="24"/>
          <w:szCs w:val="24"/>
          <w:lang w:val="pt-PT"/>
        </w:rPr>
        <w:t xml:space="preserve"> um</w:t>
      </w:r>
      <w:r w:rsidR="00955D60" w:rsidRPr="003A1174">
        <w:rPr>
          <w:rFonts w:ascii="Garamond" w:hAnsi="Garamond" w:cs="Arial"/>
          <w:color w:val="auto"/>
          <w:sz w:val="24"/>
          <w:szCs w:val="24"/>
          <w:lang w:val="pt-PT"/>
        </w:rPr>
        <w:t xml:space="preserve">a </w:t>
      </w:r>
      <w:r w:rsidR="00454353" w:rsidRPr="003A1174">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especializada</w:t>
      </w:r>
      <w:r>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CB0C30" w:rsidRPr="003A1174">
        <w:rPr>
          <w:rFonts w:ascii="Garamond" w:hAnsi="Garamond" w:cs="Arial"/>
          <w:color w:val="auto"/>
          <w:sz w:val="24"/>
          <w:szCs w:val="24"/>
          <w:lang w:val="pt-PT"/>
        </w:rPr>
        <w:t xml:space="preserve">no </w:t>
      </w:r>
      <w:r w:rsidR="00955D60" w:rsidRPr="003A1174">
        <w:rPr>
          <w:rFonts w:ascii="Garamond" w:hAnsi="Garamond" w:cs="Arial"/>
          <w:color w:val="auto"/>
          <w:sz w:val="24"/>
          <w:szCs w:val="24"/>
          <w:lang w:val="pt-PT"/>
        </w:rPr>
        <w:t xml:space="preserve">campo </w:t>
      </w:r>
      <w:r w:rsidR="00497503" w:rsidRPr="003A1174">
        <w:rPr>
          <w:rFonts w:ascii="Garamond" w:hAnsi="Garamond" w:cs="Arial"/>
          <w:color w:val="auto"/>
          <w:sz w:val="24"/>
          <w:szCs w:val="24"/>
          <w:lang w:val="pt-PT"/>
        </w:rPr>
        <w:t>dos</w:t>
      </w:r>
      <w:r w:rsidR="00955D60"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estudo</w:t>
      </w:r>
      <w:r w:rsidR="00955D60" w:rsidRPr="003A1174">
        <w:rPr>
          <w:rFonts w:ascii="Garamond" w:hAnsi="Garamond" w:cs="Arial"/>
          <w:color w:val="auto"/>
          <w:sz w:val="24"/>
          <w:szCs w:val="24"/>
          <w:lang w:val="pt-PT"/>
        </w:rPr>
        <w:t xml:space="preserve">s de género </w:t>
      </w:r>
      <w:r w:rsidR="000672E8" w:rsidRPr="003A1174">
        <w:rPr>
          <w:rFonts w:ascii="Garamond" w:hAnsi="Garamond" w:cs="Arial"/>
          <w:color w:val="auto"/>
          <w:sz w:val="24"/>
          <w:szCs w:val="24"/>
          <w:lang w:val="pt-PT"/>
        </w:rPr>
        <w:t>e</w:t>
      </w:r>
      <w:r w:rsidR="00CB0C30" w:rsidRPr="003A1174">
        <w:rPr>
          <w:rFonts w:ascii="Garamond" w:hAnsi="Garamond" w:cs="Arial"/>
          <w:color w:val="auto"/>
          <w:sz w:val="24"/>
          <w:szCs w:val="24"/>
          <w:lang w:val="pt-PT"/>
        </w:rPr>
        <w:t xml:space="preserve"> d</w:t>
      </w:r>
      <w:r w:rsidR="00955D60" w:rsidRPr="003A1174">
        <w:rPr>
          <w:rFonts w:ascii="Garamond" w:hAnsi="Garamond" w:cs="Arial"/>
          <w:color w:val="auto"/>
          <w:sz w:val="24"/>
          <w:szCs w:val="24"/>
          <w:lang w:val="pt-PT"/>
        </w:rPr>
        <w:t xml:space="preserve">as políticas de </w:t>
      </w:r>
      <w:r w:rsidR="00D15AFF" w:rsidRPr="003A1174">
        <w:rPr>
          <w:rFonts w:ascii="Garamond" w:hAnsi="Garamond" w:cs="Arial"/>
          <w:color w:val="auto"/>
          <w:sz w:val="24"/>
          <w:szCs w:val="24"/>
          <w:lang w:val="pt-PT"/>
        </w:rPr>
        <w:t>segurança</w:t>
      </w:r>
      <w:r w:rsidR="00955D60" w:rsidRPr="003A1174">
        <w:rPr>
          <w:rFonts w:ascii="Garamond" w:hAnsi="Garamond" w:cs="Arial"/>
          <w:color w:val="auto"/>
          <w:sz w:val="24"/>
          <w:szCs w:val="24"/>
          <w:lang w:val="pt-PT"/>
        </w:rPr>
        <w:t xml:space="preserve"> pública. </w:t>
      </w:r>
      <w:r w:rsidR="00CB0C30" w:rsidRPr="003A1174">
        <w:rPr>
          <w:rFonts w:ascii="Garamond" w:hAnsi="Garamond" w:cs="Arial"/>
          <w:color w:val="auto"/>
          <w:sz w:val="24"/>
          <w:szCs w:val="24"/>
          <w:lang w:val="pt-PT"/>
        </w:rPr>
        <w:t>Realizou-se</w:t>
      </w:r>
      <w:r>
        <w:rPr>
          <w:rFonts w:ascii="Garamond" w:hAnsi="Garamond" w:cs="Arial"/>
          <w:color w:val="auto"/>
          <w:sz w:val="24"/>
          <w:szCs w:val="24"/>
          <w:lang w:val="pt-PT"/>
        </w:rPr>
        <w:t>,</w:t>
      </w:r>
      <w:r w:rsidR="00CB0C30" w:rsidRPr="003A1174">
        <w:rPr>
          <w:rFonts w:ascii="Garamond" w:hAnsi="Garamond" w:cs="Arial"/>
          <w:color w:val="auto"/>
          <w:sz w:val="24"/>
          <w:szCs w:val="24"/>
          <w:lang w:val="pt-PT"/>
        </w:rPr>
        <w:t xml:space="preserve"> no </w:t>
      </w:r>
      <w:r w:rsidR="00253B1D" w:rsidRPr="003A1174">
        <w:rPr>
          <w:rFonts w:ascii="Garamond" w:hAnsi="Garamond" w:cs="Arial"/>
          <w:color w:val="auto"/>
          <w:sz w:val="24"/>
          <w:szCs w:val="24"/>
          <w:lang w:val="pt-PT"/>
        </w:rPr>
        <w:t>quadro</w:t>
      </w:r>
      <w:r w:rsidR="00955D60" w:rsidRPr="003A1174">
        <w:rPr>
          <w:rFonts w:ascii="Garamond" w:hAnsi="Garamond" w:cs="Arial"/>
          <w:color w:val="auto"/>
          <w:sz w:val="24"/>
          <w:szCs w:val="24"/>
          <w:lang w:val="pt-PT"/>
        </w:rPr>
        <w:t xml:space="preserve"> de u</w:t>
      </w:r>
      <w:r w:rsidR="00CB0C30" w:rsidRPr="003A1174">
        <w:rPr>
          <w:rFonts w:ascii="Garamond" w:hAnsi="Garamond" w:cs="Arial"/>
          <w:color w:val="auto"/>
          <w:sz w:val="24"/>
          <w:szCs w:val="24"/>
          <w:lang w:val="pt-PT"/>
        </w:rPr>
        <w:t>m acordo assinado</w:t>
      </w:r>
      <w:r>
        <w:rPr>
          <w:rFonts w:ascii="Garamond" w:hAnsi="Garamond" w:cs="Arial"/>
          <w:color w:val="auto"/>
          <w:sz w:val="24"/>
          <w:szCs w:val="24"/>
          <w:lang w:val="pt-PT"/>
        </w:rPr>
        <w:t>,</w:t>
      </w:r>
      <w:r w:rsidR="00CB0C30" w:rsidRPr="003A1174">
        <w:rPr>
          <w:rFonts w:ascii="Garamond" w:hAnsi="Garamond" w:cs="Arial"/>
          <w:color w:val="auto"/>
          <w:sz w:val="24"/>
          <w:szCs w:val="24"/>
          <w:lang w:val="pt-PT"/>
        </w:rPr>
        <w:t xml:space="preserve"> entre </w:t>
      </w:r>
      <w:r w:rsidR="00955D60" w:rsidRPr="003A1174">
        <w:rPr>
          <w:rFonts w:ascii="Garamond" w:hAnsi="Garamond" w:cs="Arial"/>
          <w:color w:val="auto"/>
          <w:sz w:val="24"/>
          <w:szCs w:val="24"/>
          <w:lang w:val="pt-PT"/>
        </w:rPr>
        <w:t xml:space="preserve">a </w:t>
      </w:r>
      <w:r w:rsidR="00CB0C30" w:rsidRPr="003A1174">
        <w:rPr>
          <w:rFonts w:ascii="Garamond" w:hAnsi="Garamond" w:cs="Arial"/>
          <w:color w:val="auto"/>
          <w:sz w:val="24"/>
          <w:szCs w:val="24"/>
          <w:lang w:val="pt-PT"/>
        </w:rPr>
        <w:t>Universidade</w:t>
      </w:r>
      <w:r w:rsidR="00955D60" w:rsidRPr="003A1174">
        <w:rPr>
          <w:rFonts w:ascii="Garamond" w:hAnsi="Garamond" w:cs="Arial"/>
          <w:color w:val="auto"/>
          <w:sz w:val="24"/>
          <w:szCs w:val="24"/>
          <w:lang w:val="pt-PT"/>
        </w:rPr>
        <w:t xml:space="preserve"> da República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D37CF3" w:rsidRPr="003A1174">
        <w:rPr>
          <w:rFonts w:ascii="Garamond" w:hAnsi="Garamond" w:cs="Arial"/>
          <w:color w:val="auto"/>
          <w:sz w:val="24"/>
          <w:szCs w:val="24"/>
          <w:lang w:val="pt-PT"/>
        </w:rPr>
        <w:t>o</w:t>
      </w:r>
      <w:r w:rsidR="00CB0C30"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Interior. </w:t>
      </w:r>
      <w:r w:rsidR="00CB0C30" w:rsidRPr="003A1174">
        <w:rPr>
          <w:rFonts w:ascii="Garamond" w:hAnsi="Garamond" w:cs="Arial"/>
          <w:color w:val="auto"/>
          <w:sz w:val="24"/>
          <w:szCs w:val="24"/>
          <w:lang w:val="pt-PT"/>
        </w:rPr>
        <w:t>Depois da convocató</w:t>
      </w:r>
      <w:r w:rsidR="00955D60" w:rsidRPr="003A1174">
        <w:rPr>
          <w:rFonts w:ascii="Garamond" w:hAnsi="Garamond" w:cs="Arial"/>
          <w:color w:val="auto"/>
          <w:sz w:val="24"/>
          <w:szCs w:val="24"/>
          <w:lang w:val="pt-PT"/>
        </w:rPr>
        <w:t>ria a</w:t>
      </w:r>
      <w:r w:rsidR="00CB0C30" w:rsidRPr="003A1174">
        <w:rPr>
          <w:rFonts w:ascii="Garamond" w:hAnsi="Garamond" w:cs="Arial"/>
          <w:color w:val="auto"/>
          <w:sz w:val="24"/>
          <w:szCs w:val="24"/>
          <w:lang w:val="pt-PT"/>
        </w:rPr>
        <w:t>os</w:t>
      </w:r>
      <w:r w:rsidR="00955D60" w:rsidRPr="003A1174">
        <w:rPr>
          <w:rFonts w:ascii="Garamond" w:hAnsi="Garamond" w:cs="Arial"/>
          <w:color w:val="auto"/>
          <w:sz w:val="24"/>
          <w:szCs w:val="24"/>
          <w:lang w:val="pt-PT"/>
        </w:rPr>
        <w:t xml:space="preserve"> </w:t>
      </w:r>
      <w:r w:rsidR="00CB0C30" w:rsidRPr="003A1174">
        <w:rPr>
          <w:rFonts w:ascii="Garamond" w:hAnsi="Garamond" w:cs="Arial"/>
          <w:color w:val="auto"/>
          <w:sz w:val="24"/>
          <w:szCs w:val="24"/>
          <w:lang w:val="pt-PT"/>
        </w:rPr>
        <w:t>interessados, 30</w:t>
      </w:r>
      <w:r w:rsidR="00955D60" w:rsidRPr="003A1174">
        <w:rPr>
          <w:rFonts w:ascii="Garamond" w:hAnsi="Garamond" w:cs="Arial"/>
          <w:color w:val="auto"/>
          <w:sz w:val="24"/>
          <w:szCs w:val="24"/>
          <w:lang w:val="pt-PT"/>
        </w:rPr>
        <w:t xml:space="preserve"> </w:t>
      </w:r>
      <w:r w:rsidR="003E6403" w:rsidRPr="003A1174">
        <w:rPr>
          <w:rFonts w:ascii="Garamond" w:hAnsi="Garamond" w:cs="Arial"/>
          <w:color w:val="auto"/>
          <w:sz w:val="24"/>
          <w:szCs w:val="24"/>
          <w:lang w:val="pt-PT"/>
        </w:rPr>
        <w:t>funcionári</w:t>
      </w:r>
      <w:r w:rsidR="00955D60" w:rsidRPr="003A1174">
        <w:rPr>
          <w:rFonts w:ascii="Garamond" w:hAnsi="Garamond" w:cs="Arial"/>
          <w:color w:val="auto"/>
          <w:sz w:val="24"/>
          <w:szCs w:val="24"/>
          <w:lang w:val="pt-PT"/>
        </w:rPr>
        <w:t>os</w:t>
      </w:r>
      <w:r w:rsidR="00CB0C30" w:rsidRPr="003A1174">
        <w:rPr>
          <w:rFonts w:ascii="Garamond" w:hAnsi="Garamond" w:cs="Arial"/>
          <w:color w:val="auto"/>
          <w:sz w:val="24"/>
          <w:szCs w:val="24"/>
          <w:lang w:val="pt-PT"/>
        </w:rPr>
        <w:t xml:space="preserve"> fizeram estágio, dando</w:t>
      </w:r>
      <w:r w:rsidR="00955D60" w:rsidRPr="003A1174">
        <w:rPr>
          <w:rFonts w:ascii="Garamond" w:hAnsi="Garamond" w:cs="Arial"/>
          <w:color w:val="auto"/>
          <w:sz w:val="24"/>
          <w:szCs w:val="24"/>
          <w:lang w:val="pt-PT"/>
        </w:rPr>
        <w:t xml:space="preserve"> priori</w:t>
      </w:r>
      <w:r w:rsidR="00CB0C30" w:rsidRPr="003A1174">
        <w:rPr>
          <w:rFonts w:ascii="Garamond" w:hAnsi="Garamond" w:cs="Arial"/>
          <w:color w:val="auto"/>
          <w:sz w:val="24"/>
          <w:szCs w:val="24"/>
          <w:lang w:val="pt-PT"/>
        </w:rPr>
        <w:t xml:space="preserve">dade </w:t>
      </w:r>
      <w:r w:rsidR="00955D60" w:rsidRPr="003A1174">
        <w:rPr>
          <w:rFonts w:ascii="Garamond" w:hAnsi="Garamond" w:cs="Arial"/>
          <w:color w:val="auto"/>
          <w:sz w:val="24"/>
          <w:szCs w:val="24"/>
          <w:lang w:val="pt-PT"/>
        </w:rPr>
        <w:t xml:space="preserve">a </w:t>
      </w:r>
      <w:r w:rsidR="00976FB8" w:rsidRPr="003A1174">
        <w:rPr>
          <w:rFonts w:ascii="Garamond" w:hAnsi="Garamond" w:cs="Arial"/>
          <w:color w:val="auto"/>
          <w:sz w:val="24"/>
          <w:szCs w:val="24"/>
          <w:lang w:val="pt-PT"/>
        </w:rPr>
        <w:t>encarregado</w:t>
      </w:r>
      <w:r w:rsidR="00955D60" w:rsidRPr="003A1174">
        <w:rPr>
          <w:rFonts w:ascii="Garamond" w:hAnsi="Garamond" w:cs="Arial"/>
          <w:color w:val="auto"/>
          <w:sz w:val="24"/>
          <w:szCs w:val="24"/>
          <w:lang w:val="pt-PT"/>
        </w:rPr>
        <w:t xml:space="preserve">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8278C4" w:rsidRPr="003A1174">
        <w:rPr>
          <w:rFonts w:ascii="Garamond" w:hAnsi="Garamond" w:cs="Arial"/>
          <w:color w:val="auto"/>
          <w:sz w:val="24"/>
          <w:szCs w:val="24"/>
          <w:lang w:val="pt-PT"/>
        </w:rPr>
        <w:t>pessoal</w:t>
      </w:r>
      <w:r w:rsidR="00955D60" w:rsidRPr="003A1174">
        <w:rPr>
          <w:rFonts w:ascii="Garamond" w:hAnsi="Garamond" w:cs="Arial"/>
          <w:color w:val="auto"/>
          <w:sz w:val="24"/>
          <w:szCs w:val="24"/>
          <w:lang w:val="pt-PT"/>
        </w:rPr>
        <w:t xml:space="preserve"> técnico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Unidades Especializadas e</w:t>
      </w:r>
      <w:r w:rsidR="00CB0C30"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955D60" w:rsidRPr="003A1174">
        <w:rPr>
          <w:rFonts w:ascii="Garamond" w:hAnsi="Garamond" w:cs="Arial"/>
          <w:color w:val="auto"/>
          <w:sz w:val="24"/>
          <w:szCs w:val="24"/>
          <w:lang w:val="pt-PT"/>
        </w:rPr>
        <w:t xml:space="preserve"> Doméstica de todo </w:t>
      </w:r>
      <w:r w:rsidR="00CB0C30"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país (Canelones, Salto, Paysandú, Río Negro, Soriano, Lavalleja, Durazno, Colonia, Rocha, Maldonado, Montevideo). </w:t>
      </w:r>
      <w:r w:rsidR="00CB0C30"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s restantes </w:t>
      </w:r>
      <w:r w:rsidR="00F520D6" w:rsidRPr="003A1174">
        <w:rPr>
          <w:rFonts w:ascii="Garamond" w:hAnsi="Garamond" w:cs="Arial"/>
          <w:color w:val="auto"/>
          <w:sz w:val="24"/>
          <w:szCs w:val="24"/>
          <w:lang w:val="pt-PT"/>
        </w:rPr>
        <w:t>perten</w:t>
      </w:r>
      <w:r w:rsidR="00CB0C30" w:rsidRPr="003A1174">
        <w:rPr>
          <w:rFonts w:ascii="Garamond" w:hAnsi="Garamond" w:cs="Arial"/>
          <w:color w:val="auto"/>
          <w:sz w:val="24"/>
          <w:szCs w:val="24"/>
          <w:lang w:val="pt-PT"/>
        </w:rPr>
        <w:t xml:space="preserve">cem ao </w:t>
      </w:r>
      <w:r w:rsidR="00955D60" w:rsidRPr="003A1174">
        <w:rPr>
          <w:rFonts w:ascii="Garamond" w:hAnsi="Garamond" w:cs="Arial"/>
          <w:color w:val="auto"/>
          <w:sz w:val="24"/>
          <w:szCs w:val="24"/>
          <w:lang w:val="pt-PT"/>
        </w:rPr>
        <w:t xml:space="preserve">Instituto Nacional de </w:t>
      </w:r>
      <w:r w:rsidR="00C246B4" w:rsidRPr="003A1174">
        <w:rPr>
          <w:rFonts w:ascii="Garamond" w:hAnsi="Garamond" w:cs="Arial"/>
          <w:color w:val="auto"/>
          <w:sz w:val="24"/>
          <w:szCs w:val="24"/>
          <w:lang w:val="pt-PT"/>
        </w:rPr>
        <w:t>Reabilitação</w:t>
      </w:r>
      <w:r w:rsidR="00955D60" w:rsidRPr="003A1174">
        <w:rPr>
          <w:rFonts w:ascii="Garamond" w:hAnsi="Garamond" w:cs="Arial"/>
          <w:color w:val="auto"/>
          <w:sz w:val="24"/>
          <w:szCs w:val="24"/>
          <w:lang w:val="pt-PT"/>
        </w:rPr>
        <w:t xml:space="preserve">, </w:t>
      </w:r>
      <w:r w:rsidR="00973DDE" w:rsidRPr="003A1174">
        <w:rPr>
          <w:rFonts w:ascii="Garamond" w:hAnsi="Garamond" w:cs="Arial"/>
          <w:color w:val="auto"/>
          <w:sz w:val="24"/>
          <w:szCs w:val="24"/>
          <w:lang w:val="pt-PT"/>
        </w:rPr>
        <w:t>Assunto</w:t>
      </w:r>
      <w:r w:rsidR="00955D60" w:rsidRPr="003A1174">
        <w:rPr>
          <w:rFonts w:ascii="Garamond" w:hAnsi="Garamond" w:cs="Arial"/>
          <w:color w:val="auto"/>
          <w:sz w:val="24"/>
          <w:szCs w:val="24"/>
          <w:lang w:val="pt-PT"/>
        </w:rPr>
        <w:t xml:space="preserve">s Internos, Área Jurídica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Notarial, Sa</w:t>
      </w:r>
      <w:r w:rsidR="00CB0C30" w:rsidRPr="003A1174">
        <w:rPr>
          <w:rFonts w:ascii="Garamond" w:hAnsi="Garamond" w:cs="Arial"/>
          <w:color w:val="auto"/>
          <w:sz w:val="24"/>
          <w:szCs w:val="24"/>
          <w:lang w:val="pt-PT"/>
        </w:rPr>
        <w:t xml:space="preserve">úde </w:t>
      </w:r>
      <w:r w:rsidR="00955D60" w:rsidRPr="003A1174">
        <w:rPr>
          <w:rFonts w:ascii="Garamond" w:hAnsi="Garamond" w:cs="Arial"/>
          <w:color w:val="auto"/>
          <w:sz w:val="24"/>
          <w:szCs w:val="24"/>
          <w:lang w:val="pt-PT"/>
        </w:rPr>
        <w:t xml:space="preserve">Policial, </w:t>
      </w:r>
      <w:r w:rsidR="00D15AFF" w:rsidRPr="003A1174">
        <w:rPr>
          <w:rFonts w:ascii="Garamond" w:hAnsi="Garamond" w:cs="Arial"/>
          <w:color w:val="auto"/>
          <w:sz w:val="24"/>
          <w:szCs w:val="24"/>
          <w:lang w:val="pt-PT"/>
        </w:rPr>
        <w:t>Segurança</w:t>
      </w:r>
      <w:r w:rsidR="00955D60" w:rsidRPr="003A1174">
        <w:rPr>
          <w:rFonts w:ascii="Garamond" w:hAnsi="Garamond" w:cs="Arial"/>
          <w:color w:val="auto"/>
          <w:sz w:val="24"/>
          <w:szCs w:val="24"/>
          <w:lang w:val="pt-PT"/>
        </w:rPr>
        <w:t xml:space="preserve"> Legislativa, entre </w:t>
      </w:r>
      <w:r w:rsidR="0017447A" w:rsidRPr="003A1174">
        <w:rPr>
          <w:rFonts w:ascii="Garamond" w:hAnsi="Garamond" w:cs="Arial"/>
          <w:color w:val="auto"/>
          <w:sz w:val="24"/>
          <w:szCs w:val="24"/>
          <w:lang w:val="pt-PT"/>
        </w:rPr>
        <w:t>outras</w:t>
      </w:r>
      <w:r w:rsidR="00955D60" w:rsidRPr="003A1174">
        <w:rPr>
          <w:rFonts w:ascii="Garamond" w:hAnsi="Garamond" w:cs="Arial"/>
          <w:color w:val="auto"/>
          <w:sz w:val="24"/>
          <w:szCs w:val="24"/>
          <w:lang w:val="pt-PT"/>
        </w:rPr>
        <w:t xml:space="preserve"> </w:t>
      </w:r>
      <w:r w:rsidR="007A2492" w:rsidRPr="003A1174">
        <w:rPr>
          <w:rFonts w:ascii="Garamond" w:hAnsi="Garamond" w:cs="Arial"/>
          <w:color w:val="auto"/>
          <w:sz w:val="24"/>
          <w:szCs w:val="24"/>
          <w:lang w:val="pt-PT"/>
        </w:rPr>
        <w:t>dependência</w:t>
      </w:r>
      <w:r w:rsidR="00955D60" w:rsidRPr="003A1174">
        <w:rPr>
          <w:rFonts w:ascii="Garamond" w:hAnsi="Garamond" w:cs="Arial"/>
          <w:color w:val="auto"/>
          <w:sz w:val="24"/>
          <w:szCs w:val="24"/>
          <w:lang w:val="pt-PT"/>
        </w:rPr>
        <w:t xml:space="preserve">s. </w:t>
      </w:r>
      <w:r w:rsidR="00CB0C30" w:rsidRPr="003A1174">
        <w:rPr>
          <w:rFonts w:ascii="Garamond" w:hAnsi="Garamond" w:cs="Arial"/>
          <w:color w:val="auto"/>
          <w:sz w:val="24"/>
          <w:szCs w:val="24"/>
          <w:lang w:val="pt-PT"/>
        </w:rPr>
        <w:t xml:space="preserve">Estão a </w:t>
      </w:r>
      <w:r w:rsidR="00F25BAE">
        <w:rPr>
          <w:rFonts w:ascii="Garamond" w:hAnsi="Garamond" w:cs="Arial"/>
          <w:color w:val="auto"/>
          <w:sz w:val="24"/>
          <w:szCs w:val="24"/>
          <w:lang w:val="pt-PT"/>
        </w:rPr>
        <w:t xml:space="preserve">receber formação </w:t>
      </w:r>
      <w:r w:rsidR="00955D60" w:rsidRPr="003A1174">
        <w:rPr>
          <w:rFonts w:ascii="Garamond" w:hAnsi="Garamond" w:cs="Arial"/>
          <w:color w:val="auto"/>
          <w:sz w:val="24"/>
          <w:szCs w:val="24"/>
          <w:lang w:val="pt-PT"/>
        </w:rPr>
        <w:t xml:space="preserve">26 </w:t>
      </w:r>
      <w:r w:rsidR="00CF42A3" w:rsidRPr="003A1174">
        <w:rPr>
          <w:rFonts w:ascii="Garamond" w:hAnsi="Garamond" w:cs="Arial"/>
          <w:color w:val="auto"/>
          <w:sz w:val="24"/>
          <w:szCs w:val="24"/>
          <w:lang w:val="pt-PT"/>
        </w:rPr>
        <w:t>polícia</w:t>
      </w:r>
      <w:r w:rsidR="00955D60" w:rsidRPr="003A1174">
        <w:rPr>
          <w:rFonts w:ascii="Garamond" w:hAnsi="Garamond" w:cs="Arial"/>
          <w:color w:val="auto"/>
          <w:sz w:val="24"/>
          <w:szCs w:val="24"/>
          <w:lang w:val="pt-PT"/>
        </w:rPr>
        <w:t xml:space="preserve">s (19 </w:t>
      </w:r>
      <w:r w:rsidR="00054EE0" w:rsidRPr="003A1174">
        <w:rPr>
          <w:rFonts w:ascii="Garamond" w:hAnsi="Garamond" w:cs="Arial"/>
          <w:color w:val="auto"/>
          <w:sz w:val="24"/>
          <w:szCs w:val="24"/>
          <w:lang w:val="pt-PT"/>
        </w:rPr>
        <w:t>mulheres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7 </w:t>
      </w:r>
      <w:r w:rsidR="00524936" w:rsidRPr="003A1174">
        <w:rPr>
          <w:rFonts w:ascii="Garamond" w:hAnsi="Garamond" w:cs="Arial"/>
          <w:color w:val="auto"/>
          <w:sz w:val="24"/>
          <w:szCs w:val="24"/>
          <w:lang w:val="pt-PT"/>
        </w:rPr>
        <w:t>homens</w:t>
      </w:r>
      <w:r w:rsidR="00955D60" w:rsidRPr="003A1174">
        <w:rPr>
          <w:rFonts w:ascii="Garamond" w:hAnsi="Garamond" w:cs="Arial"/>
          <w:color w:val="auto"/>
          <w:sz w:val="24"/>
          <w:szCs w:val="24"/>
          <w:lang w:val="pt-PT"/>
        </w:rPr>
        <w:t>).</w:t>
      </w:r>
    </w:p>
    <w:p w:rsidR="00955D60" w:rsidRPr="003A1174" w:rsidRDefault="00CB0C30" w:rsidP="008719D4">
      <w:pPr>
        <w:pStyle w:val="Prrafodelista"/>
        <w:numPr>
          <w:ilvl w:val="0"/>
          <w:numId w:val="39"/>
        </w:numPr>
        <w:autoSpaceDE w:val="0"/>
        <w:spacing w:before="240"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acordo </w:t>
      </w:r>
      <w:r w:rsidR="00955D60" w:rsidRPr="003A1174">
        <w:rPr>
          <w:rFonts w:ascii="Garamond" w:hAnsi="Garamond" w:cs="Arial"/>
          <w:color w:val="auto"/>
          <w:sz w:val="24"/>
          <w:szCs w:val="24"/>
          <w:lang w:val="pt-PT"/>
        </w:rPr>
        <w:t xml:space="preserve">entre </w:t>
      </w:r>
      <w:r w:rsidRPr="003A1174">
        <w:rPr>
          <w:rFonts w:ascii="Garamond" w:hAnsi="Garamond" w:cs="Arial"/>
          <w:color w:val="auto"/>
          <w:sz w:val="24"/>
          <w:szCs w:val="24"/>
          <w:lang w:val="pt-PT"/>
        </w:rPr>
        <w:t xml:space="preserve">o </w:t>
      </w:r>
      <w:r w:rsidR="00AA2044" w:rsidRPr="003A1174">
        <w:rPr>
          <w:rFonts w:ascii="Garamond" w:hAnsi="Garamond" w:cs="Arial"/>
          <w:color w:val="auto"/>
          <w:sz w:val="24"/>
          <w:szCs w:val="24"/>
          <w:lang w:val="pt-PT"/>
        </w:rPr>
        <w:t>INMUJERES</w:t>
      </w:r>
      <w:r w:rsidR="003A1D1B"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t xml:space="preserve">a </w:t>
      </w:r>
      <w:r w:rsidR="00A23EB8" w:rsidRPr="003A1174">
        <w:rPr>
          <w:rFonts w:ascii="Garamond" w:hAnsi="Garamond" w:cs="Arial"/>
          <w:color w:val="auto"/>
          <w:sz w:val="24"/>
          <w:szCs w:val="24"/>
          <w:lang w:val="pt-PT"/>
        </w:rPr>
        <w:t>Escola</w:t>
      </w:r>
      <w:r w:rsidR="00955D60" w:rsidRPr="003A1174">
        <w:rPr>
          <w:rFonts w:ascii="Garamond" w:hAnsi="Garamond" w:cs="Arial"/>
          <w:color w:val="auto"/>
          <w:sz w:val="24"/>
          <w:szCs w:val="24"/>
          <w:lang w:val="pt-PT"/>
        </w:rPr>
        <w:t xml:space="preserve"> Nacional de </w:t>
      </w:r>
      <w:r w:rsidR="00FB09CA" w:rsidRPr="003A1174">
        <w:rPr>
          <w:rFonts w:ascii="Garamond" w:hAnsi="Garamond" w:cs="Arial"/>
          <w:color w:val="auto"/>
          <w:sz w:val="24"/>
          <w:szCs w:val="24"/>
          <w:lang w:val="pt-PT"/>
        </w:rPr>
        <w:t>Administração</w:t>
      </w:r>
      <w:r w:rsidR="00955D60" w:rsidRPr="003A1174">
        <w:rPr>
          <w:rFonts w:ascii="Garamond" w:hAnsi="Garamond" w:cs="Arial"/>
          <w:color w:val="auto"/>
          <w:sz w:val="24"/>
          <w:szCs w:val="24"/>
          <w:lang w:val="pt-PT"/>
        </w:rPr>
        <w:t xml:space="preserve"> Pública, </w:t>
      </w:r>
      <w:r w:rsidRPr="003A1174">
        <w:rPr>
          <w:rFonts w:ascii="Garamond" w:hAnsi="Garamond" w:cs="Arial"/>
          <w:color w:val="auto"/>
          <w:sz w:val="24"/>
          <w:szCs w:val="24"/>
          <w:lang w:val="pt-PT"/>
        </w:rPr>
        <w:t xml:space="preserve">ministraram-se </w:t>
      </w:r>
      <w:r w:rsidR="00955D60" w:rsidRPr="003A1174">
        <w:rPr>
          <w:rFonts w:ascii="Garamond" w:hAnsi="Garamond" w:cs="Arial"/>
          <w:color w:val="auto"/>
          <w:sz w:val="24"/>
          <w:szCs w:val="24"/>
          <w:lang w:val="pt-PT"/>
        </w:rPr>
        <w:t>cursos de transversalidad</w:t>
      </w:r>
      <w:r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 género co</w:t>
      </w:r>
      <w:r w:rsidRPr="003A1174">
        <w:rPr>
          <w:rFonts w:ascii="Garamond" w:hAnsi="Garamond" w:cs="Arial"/>
          <w:color w:val="auto"/>
          <w:sz w:val="24"/>
          <w:szCs w:val="24"/>
          <w:lang w:val="pt-PT"/>
        </w:rPr>
        <w:t xml:space="preserve">m uma </w:t>
      </w:r>
      <w:r w:rsidR="00955D60" w:rsidRPr="003A1174">
        <w:rPr>
          <w:rFonts w:ascii="Garamond" w:hAnsi="Garamond" w:cs="Arial"/>
          <w:color w:val="auto"/>
          <w:sz w:val="24"/>
          <w:szCs w:val="24"/>
          <w:lang w:val="pt-PT"/>
        </w:rPr>
        <w:t>carga</w:t>
      </w:r>
      <w:r w:rsidRPr="003A1174">
        <w:rPr>
          <w:rFonts w:ascii="Garamond" w:hAnsi="Garamond" w:cs="Arial"/>
          <w:color w:val="auto"/>
          <w:sz w:val="24"/>
          <w:szCs w:val="24"/>
          <w:lang w:val="pt-PT"/>
        </w:rPr>
        <w:t xml:space="preserve"> horária</w:t>
      </w:r>
      <w:r w:rsidR="00955D60" w:rsidRPr="003A1174">
        <w:rPr>
          <w:rFonts w:ascii="Garamond" w:hAnsi="Garamond" w:cs="Arial"/>
          <w:color w:val="auto"/>
          <w:sz w:val="24"/>
          <w:szCs w:val="24"/>
          <w:lang w:val="pt-PT"/>
        </w:rPr>
        <w:t xml:space="preserve"> de </w:t>
      </w:r>
      <w:r w:rsidR="00955D60" w:rsidRPr="003A1174">
        <w:rPr>
          <w:rFonts w:ascii="Garamond" w:hAnsi="Garamond" w:cs="Arial"/>
          <w:bCs/>
          <w:color w:val="auto"/>
          <w:sz w:val="24"/>
          <w:szCs w:val="24"/>
          <w:lang w:val="pt-PT"/>
        </w:rPr>
        <w:t xml:space="preserve">24 horas </w:t>
      </w:r>
      <w:r w:rsidR="00EC45A0" w:rsidRPr="003A1174">
        <w:rPr>
          <w:rFonts w:ascii="Garamond" w:hAnsi="Garamond" w:cs="Arial"/>
          <w:bCs/>
          <w:color w:val="auto"/>
          <w:sz w:val="24"/>
          <w:szCs w:val="24"/>
          <w:lang w:val="pt-PT"/>
        </w:rPr>
        <w:t>presenciais</w:t>
      </w:r>
      <w:r w:rsidR="00F25BAE">
        <w:rPr>
          <w:rFonts w:ascii="Garamond" w:hAnsi="Garamond" w:cs="Arial"/>
          <w:bCs/>
          <w:color w:val="auto"/>
          <w:sz w:val="24"/>
          <w:szCs w:val="24"/>
          <w:lang w:val="pt-PT"/>
        </w:rPr>
        <w:t>,</w:t>
      </w:r>
      <w:r w:rsidR="00955D60" w:rsidRPr="003A1174">
        <w:rPr>
          <w:rFonts w:ascii="Garamond" w:hAnsi="Garamond" w:cs="Arial"/>
          <w:bCs/>
          <w:color w:val="auto"/>
          <w:sz w:val="24"/>
          <w:szCs w:val="24"/>
          <w:lang w:val="pt-PT"/>
        </w:rPr>
        <w:t xml:space="preserve"> </w:t>
      </w:r>
      <w:r w:rsidRPr="003A1174">
        <w:rPr>
          <w:rFonts w:ascii="Garamond" w:hAnsi="Garamond" w:cs="Arial"/>
          <w:color w:val="auto"/>
          <w:sz w:val="24"/>
          <w:szCs w:val="24"/>
          <w:lang w:val="pt-PT"/>
        </w:rPr>
        <w:t>dirigidas aos</w:t>
      </w:r>
      <w:r w:rsidR="00955D60" w:rsidRPr="003A1174">
        <w:rPr>
          <w:rFonts w:ascii="Garamond" w:hAnsi="Garamond" w:cs="Arial"/>
          <w:color w:val="auto"/>
          <w:sz w:val="24"/>
          <w:szCs w:val="24"/>
          <w:lang w:val="pt-PT"/>
        </w:rPr>
        <w:t xml:space="preserve"> funcion</w:t>
      </w:r>
      <w:r w:rsidRPr="003A1174">
        <w:rPr>
          <w:rFonts w:ascii="Garamond" w:hAnsi="Garamond" w:cs="Arial"/>
          <w:color w:val="auto"/>
          <w:sz w:val="24"/>
          <w:szCs w:val="24"/>
          <w:lang w:val="pt-PT"/>
        </w:rPr>
        <w:t xml:space="preserve">ários da </w:t>
      </w:r>
      <w:r w:rsidR="00FB09CA" w:rsidRPr="003A1174">
        <w:rPr>
          <w:rFonts w:ascii="Garamond" w:hAnsi="Garamond" w:cs="Arial"/>
          <w:color w:val="auto"/>
          <w:sz w:val="24"/>
          <w:szCs w:val="24"/>
          <w:lang w:val="pt-PT"/>
        </w:rPr>
        <w:t>Administração</w:t>
      </w:r>
      <w:r w:rsidR="00955D60" w:rsidRPr="003A1174">
        <w:rPr>
          <w:rFonts w:ascii="Garamond" w:hAnsi="Garamond" w:cs="Arial"/>
          <w:color w:val="auto"/>
          <w:sz w:val="24"/>
          <w:szCs w:val="24"/>
          <w:lang w:val="pt-PT"/>
        </w:rPr>
        <w:t xml:space="preserve"> Pública. Por parte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w:t>
      </w:r>
      <w:r w:rsidR="00D77C19" w:rsidRPr="003A1174">
        <w:rPr>
          <w:rFonts w:ascii="Garamond" w:hAnsi="Garamond" w:cs="Arial"/>
          <w:color w:val="auto"/>
          <w:sz w:val="24"/>
          <w:szCs w:val="24"/>
          <w:lang w:val="pt-PT"/>
        </w:rPr>
        <w:t>Ministério</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Interior </w:t>
      </w:r>
      <w:r w:rsidR="00405739" w:rsidRPr="003A1174">
        <w:rPr>
          <w:rFonts w:ascii="Garamond" w:hAnsi="Garamond" w:cs="Arial"/>
          <w:color w:val="auto"/>
          <w:sz w:val="24"/>
          <w:szCs w:val="24"/>
          <w:lang w:val="pt-PT"/>
        </w:rPr>
        <w:t>participaram</w:t>
      </w:r>
      <w:r w:rsidR="00F25BAE">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no total</w:t>
      </w:r>
      <w:r w:rsidR="00F25BAE">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955D60" w:rsidRPr="003A1174">
        <w:rPr>
          <w:rFonts w:ascii="Garamond" w:hAnsi="Garamond" w:cs="Arial"/>
          <w:bCs/>
          <w:color w:val="auto"/>
          <w:sz w:val="24"/>
          <w:szCs w:val="24"/>
          <w:lang w:val="pt-PT"/>
        </w:rPr>
        <w:t xml:space="preserve">39 </w:t>
      </w:r>
      <w:r w:rsidR="00CF42A3" w:rsidRPr="003A1174">
        <w:rPr>
          <w:rFonts w:ascii="Garamond" w:hAnsi="Garamond" w:cs="Arial"/>
          <w:bCs/>
          <w:color w:val="auto"/>
          <w:sz w:val="24"/>
          <w:szCs w:val="24"/>
          <w:lang w:val="pt-PT"/>
        </w:rPr>
        <w:t>polícia</w:t>
      </w:r>
      <w:r w:rsidR="00955D60" w:rsidRPr="003A1174">
        <w:rPr>
          <w:rFonts w:ascii="Garamond" w:hAnsi="Garamond" w:cs="Arial"/>
          <w:bCs/>
          <w:color w:val="auto"/>
          <w:sz w:val="24"/>
          <w:szCs w:val="24"/>
          <w:lang w:val="pt-PT"/>
        </w:rPr>
        <w:t xml:space="preserve">s </w:t>
      </w:r>
      <w:r w:rsidRPr="003A1174">
        <w:rPr>
          <w:rFonts w:ascii="Garamond" w:hAnsi="Garamond" w:cs="Arial"/>
          <w:color w:val="auto"/>
          <w:sz w:val="24"/>
          <w:szCs w:val="24"/>
          <w:lang w:val="pt-PT"/>
        </w:rPr>
        <w:t>distribuí</w:t>
      </w:r>
      <w:r w:rsidR="00955D60" w:rsidRPr="003A1174">
        <w:rPr>
          <w:rFonts w:ascii="Garamond" w:hAnsi="Garamond" w:cs="Arial"/>
          <w:color w:val="auto"/>
          <w:sz w:val="24"/>
          <w:szCs w:val="24"/>
          <w:lang w:val="pt-PT"/>
        </w:rPr>
        <w:t>dos e</w:t>
      </w:r>
      <w:r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do</w:t>
      </w:r>
      <w:r w:rsidRPr="003A1174">
        <w:rPr>
          <w:rFonts w:ascii="Garamond" w:hAnsi="Garamond" w:cs="Arial"/>
          <w:color w:val="auto"/>
          <w:sz w:val="24"/>
          <w:szCs w:val="24"/>
          <w:lang w:val="pt-PT"/>
        </w:rPr>
        <w:t>i</w:t>
      </w:r>
      <w:r w:rsidR="00955D60" w:rsidRPr="003A1174">
        <w:rPr>
          <w:rFonts w:ascii="Garamond" w:hAnsi="Garamond" w:cs="Arial"/>
          <w:color w:val="auto"/>
          <w:sz w:val="24"/>
          <w:szCs w:val="24"/>
          <w:lang w:val="pt-PT"/>
        </w:rPr>
        <w:t>s grupos. (</w:t>
      </w:r>
      <w:r w:rsidR="00955D60" w:rsidRPr="003A1174">
        <w:rPr>
          <w:rFonts w:ascii="Garamond" w:hAnsi="Garamond" w:cs="Arial"/>
          <w:bCs/>
          <w:color w:val="auto"/>
          <w:sz w:val="24"/>
          <w:szCs w:val="24"/>
          <w:lang w:val="pt-PT"/>
        </w:rPr>
        <w:t xml:space="preserve">33 </w:t>
      </w:r>
      <w:r w:rsidR="00054EE0" w:rsidRPr="003A1174">
        <w:rPr>
          <w:rFonts w:ascii="Garamond" w:hAnsi="Garamond" w:cs="Arial"/>
          <w:bCs/>
          <w:color w:val="auto"/>
          <w:sz w:val="24"/>
          <w:szCs w:val="24"/>
          <w:lang w:val="pt-PT"/>
        </w:rPr>
        <w:t>mulheres</w:t>
      </w:r>
      <w:r w:rsidR="00955D60" w:rsidRPr="003A1174">
        <w:rPr>
          <w:rFonts w:ascii="Garamond" w:hAnsi="Garamond" w:cs="Arial"/>
          <w:bCs/>
          <w:color w:val="auto"/>
          <w:sz w:val="24"/>
          <w:szCs w:val="24"/>
          <w:lang w:val="pt-PT"/>
        </w:rPr>
        <w:t xml:space="preserve">, 6 </w:t>
      </w:r>
      <w:r w:rsidR="00524936" w:rsidRPr="003A1174">
        <w:rPr>
          <w:rFonts w:ascii="Garamond" w:hAnsi="Garamond" w:cs="Arial"/>
          <w:bCs/>
          <w:color w:val="auto"/>
          <w:sz w:val="24"/>
          <w:szCs w:val="24"/>
          <w:lang w:val="pt-PT"/>
        </w:rPr>
        <w:t>homens</w:t>
      </w:r>
      <w:r w:rsidR="00955D60" w:rsidRPr="003A1174">
        <w:rPr>
          <w:rFonts w:ascii="Garamond" w:hAnsi="Garamond" w:cs="Arial"/>
          <w:color w:val="auto"/>
          <w:sz w:val="24"/>
          <w:szCs w:val="24"/>
          <w:lang w:val="pt-PT"/>
        </w:rPr>
        <w:t>).</w:t>
      </w:r>
    </w:p>
    <w:p w:rsidR="00955D60" w:rsidRPr="003A1174" w:rsidRDefault="00CB0C30" w:rsidP="008719D4">
      <w:pPr>
        <w:autoSpaceDE w:val="0"/>
        <w:spacing w:before="240" w:after="0" w:line="240" w:lineRule="auto"/>
        <w:jc w:val="both"/>
        <w:rPr>
          <w:rFonts w:ascii="Garamond" w:hAnsi="Garamond" w:cs="Arial"/>
          <w:sz w:val="24"/>
          <w:szCs w:val="24"/>
        </w:rPr>
      </w:pPr>
      <w:r w:rsidRPr="003A1174">
        <w:rPr>
          <w:rFonts w:ascii="Garamond" w:hAnsi="Garamond" w:cs="Arial"/>
          <w:sz w:val="24"/>
          <w:szCs w:val="24"/>
        </w:rPr>
        <w:t>Por sua v</w:t>
      </w:r>
      <w:r w:rsidR="00955D60" w:rsidRPr="003A1174">
        <w:rPr>
          <w:rFonts w:ascii="Garamond" w:hAnsi="Garamond" w:cs="Arial"/>
          <w:sz w:val="24"/>
          <w:szCs w:val="24"/>
        </w:rPr>
        <w:t>ez</w:t>
      </w:r>
      <w:r w:rsidR="003A1D1B" w:rsidRPr="003A1174">
        <w:rPr>
          <w:rFonts w:ascii="Garamond" w:hAnsi="Garamond" w:cs="Arial"/>
          <w:sz w:val="24"/>
          <w:szCs w:val="24"/>
        </w:rPr>
        <w:t>,</w:t>
      </w:r>
      <w:r w:rsidR="00955D60" w:rsidRPr="003A1174">
        <w:rPr>
          <w:rFonts w:ascii="Garamond" w:hAnsi="Garamond" w:cs="Arial"/>
          <w:sz w:val="24"/>
          <w:szCs w:val="24"/>
        </w:rPr>
        <w:t xml:space="preserve"> </w:t>
      </w:r>
      <w:r w:rsidR="009A0CC2" w:rsidRPr="003A1174">
        <w:rPr>
          <w:rFonts w:ascii="Garamond" w:hAnsi="Garamond" w:cs="Arial"/>
          <w:sz w:val="24"/>
          <w:szCs w:val="24"/>
        </w:rPr>
        <w:t>através</w:t>
      </w:r>
      <w:r w:rsidRPr="003A1174">
        <w:rPr>
          <w:rFonts w:ascii="Garamond" w:hAnsi="Garamond" w:cs="Arial"/>
          <w:sz w:val="24"/>
          <w:szCs w:val="24"/>
        </w:rPr>
        <w:t xml:space="preserve"> d</w:t>
      </w:r>
      <w:r w:rsidR="003A1D1B" w:rsidRPr="003A1174">
        <w:rPr>
          <w:rFonts w:ascii="Garamond" w:hAnsi="Garamond" w:cs="Arial"/>
          <w:sz w:val="24"/>
          <w:szCs w:val="24"/>
        </w:rPr>
        <w:t>a Unidad</w:t>
      </w:r>
      <w:r w:rsidRPr="003A1174">
        <w:rPr>
          <w:rFonts w:ascii="Garamond" w:hAnsi="Garamond" w:cs="Arial"/>
          <w:sz w:val="24"/>
          <w:szCs w:val="24"/>
        </w:rPr>
        <w:t>e</w:t>
      </w:r>
      <w:r w:rsidR="003A1D1B" w:rsidRPr="003A1174">
        <w:rPr>
          <w:rFonts w:ascii="Garamond" w:hAnsi="Garamond" w:cs="Arial"/>
          <w:sz w:val="24"/>
          <w:szCs w:val="24"/>
        </w:rPr>
        <w:t xml:space="preserve"> </w:t>
      </w:r>
      <w:r w:rsidRPr="003A1174">
        <w:rPr>
          <w:rFonts w:ascii="Garamond" w:hAnsi="Garamond" w:cs="Arial"/>
          <w:sz w:val="24"/>
          <w:szCs w:val="24"/>
        </w:rPr>
        <w:t>Executora</w:t>
      </w:r>
      <w:r w:rsidR="003A1D1B" w:rsidRPr="003A1174">
        <w:rPr>
          <w:rFonts w:ascii="Garamond" w:hAnsi="Garamond" w:cs="Arial"/>
          <w:sz w:val="24"/>
          <w:szCs w:val="24"/>
        </w:rPr>
        <w:t xml:space="preserve"> </w:t>
      </w:r>
      <w:r w:rsidR="00E85E59" w:rsidRPr="003A1174">
        <w:rPr>
          <w:rFonts w:ascii="Garamond" w:hAnsi="Garamond" w:cs="Arial"/>
          <w:sz w:val="24"/>
          <w:szCs w:val="24"/>
        </w:rPr>
        <w:t>do</w:t>
      </w:r>
      <w:r w:rsidR="003A1D1B" w:rsidRPr="003A1174">
        <w:rPr>
          <w:rFonts w:ascii="Garamond" w:hAnsi="Garamond" w:cs="Arial"/>
          <w:sz w:val="24"/>
          <w:szCs w:val="24"/>
        </w:rPr>
        <w:t xml:space="preserve"> Poder Judicial </w:t>
      </w:r>
      <w:r w:rsidRPr="003A1174">
        <w:rPr>
          <w:rFonts w:ascii="Garamond" w:hAnsi="Garamond" w:cs="Arial"/>
          <w:sz w:val="24"/>
          <w:szCs w:val="24"/>
        </w:rPr>
        <w:t xml:space="preserve">no </w:t>
      </w:r>
      <w:r w:rsidR="003A1D1B" w:rsidRPr="003A1174">
        <w:rPr>
          <w:rFonts w:ascii="Garamond" w:hAnsi="Garamond" w:cs="Arial"/>
          <w:sz w:val="24"/>
          <w:szCs w:val="24"/>
        </w:rPr>
        <w:t xml:space="preserve">Programa Integral de </w:t>
      </w:r>
      <w:r w:rsidR="001C2738" w:rsidRPr="003A1174">
        <w:rPr>
          <w:rFonts w:ascii="Garamond" w:hAnsi="Garamond" w:cs="Arial"/>
          <w:sz w:val="24"/>
          <w:szCs w:val="24"/>
        </w:rPr>
        <w:t>Luta</w:t>
      </w:r>
      <w:r w:rsidR="003A1D1B" w:rsidRPr="003A1174">
        <w:rPr>
          <w:rFonts w:ascii="Garamond" w:hAnsi="Garamond" w:cs="Arial"/>
          <w:sz w:val="24"/>
          <w:szCs w:val="24"/>
        </w:rPr>
        <w:t xml:space="preserve"> </w:t>
      </w:r>
      <w:r w:rsidR="00BB2B00" w:rsidRPr="003A1174">
        <w:rPr>
          <w:rFonts w:ascii="Garamond" w:hAnsi="Garamond" w:cs="Arial"/>
          <w:sz w:val="24"/>
          <w:szCs w:val="24"/>
        </w:rPr>
        <w:t>contra a</w:t>
      </w:r>
      <w:r w:rsidR="003A1D1B" w:rsidRPr="003A1174">
        <w:rPr>
          <w:rFonts w:ascii="Garamond" w:hAnsi="Garamond" w:cs="Arial"/>
          <w:sz w:val="24"/>
          <w:szCs w:val="24"/>
        </w:rPr>
        <w:t xml:space="preserve"> </w:t>
      </w:r>
      <w:r w:rsidR="000350B1" w:rsidRPr="003A1174">
        <w:rPr>
          <w:rFonts w:ascii="Garamond" w:hAnsi="Garamond" w:cs="Arial"/>
          <w:sz w:val="24"/>
          <w:szCs w:val="24"/>
        </w:rPr>
        <w:t>Violência</w:t>
      </w:r>
      <w:r w:rsidR="003A1D1B" w:rsidRPr="003A1174">
        <w:rPr>
          <w:rFonts w:ascii="Garamond" w:hAnsi="Garamond" w:cs="Arial"/>
          <w:sz w:val="24"/>
          <w:szCs w:val="24"/>
        </w:rPr>
        <w:t xml:space="preserve"> de Género, </w:t>
      </w:r>
      <w:r w:rsidRPr="003A1174">
        <w:rPr>
          <w:rFonts w:ascii="Garamond" w:hAnsi="Garamond" w:cs="Arial"/>
          <w:sz w:val="24"/>
          <w:szCs w:val="24"/>
        </w:rPr>
        <w:t xml:space="preserve">o </w:t>
      </w:r>
      <w:r w:rsidR="00955D60" w:rsidRPr="003A1174">
        <w:rPr>
          <w:rFonts w:ascii="Garamond" w:hAnsi="Garamond" w:cs="Arial"/>
          <w:sz w:val="24"/>
          <w:szCs w:val="24"/>
        </w:rPr>
        <w:t>Poder Judicial implement</w:t>
      </w:r>
      <w:r w:rsidRPr="003A1174">
        <w:rPr>
          <w:rFonts w:ascii="Garamond" w:hAnsi="Garamond" w:cs="Arial"/>
          <w:sz w:val="24"/>
          <w:szCs w:val="24"/>
        </w:rPr>
        <w:t xml:space="preserve">ou </w:t>
      </w:r>
      <w:r w:rsidR="00955D60" w:rsidRPr="003A1174">
        <w:rPr>
          <w:rFonts w:ascii="Garamond" w:hAnsi="Garamond" w:cs="Arial"/>
          <w:sz w:val="24"/>
          <w:szCs w:val="24"/>
        </w:rPr>
        <w:t xml:space="preserve">as </w:t>
      </w:r>
      <w:r w:rsidR="006F7276" w:rsidRPr="003A1174">
        <w:rPr>
          <w:rFonts w:ascii="Garamond" w:hAnsi="Garamond" w:cs="Arial"/>
          <w:sz w:val="24"/>
          <w:szCs w:val="24"/>
        </w:rPr>
        <w:t>seguintes</w:t>
      </w:r>
      <w:r w:rsidR="00955D60" w:rsidRPr="003A1174">
        <w:rPr>
          <w:rFonts w:ascii="Garamond" w:hAnsi="Garamond" w:cs="Arial"/>
          <w:sz w:val="24"/>
          <w:szCs w:val="24"/>
        </w:rPr>
        <w:t xml:space="preserve"> </w:t>
      </w:r>
      <w:r w:rsidR="002C7510" w:rsidRPr="003A1174">
        <w:rPr>
          <w:rFonts w:ascii="Garamond" w:hAnsi="Garamond" w:cs="Arial"/>
          <w:sz w:val="24"/>
          <w:szCs w:val="24"/>
        </w:rPr>
        <w:t>ações</w:t>
      </w:r>
      <w:r w:rsidR="00955D60" w:rsidRPr="003A1174">
        <w:rPr>
          <w:rFonts w:ascii="Garamond" w:hAnsi="Garamond" w:cs="Arial"/>
          <w:sz w:val="24"/>
          <w:szCs w:val="24"/>
        </w:rPr>
        <w:t xml:space="preserve"> de </w:t>
      </w:r>
      <w:r w:rsidR="001B7D0B">
        <w:rPr>
          <w:rFonts w:ascii="Garamond" w:hAnsi="Garamond" w:cs="Arial"/>
          <w:sz w:val="24"/>
          <w:szCs w:val="24"/>
        </w:rPr>
        <w:t>formação</w:t>
      </w:r>
      <w:r w:rsidR="003A1D1B" w:rsidRPr="003A1174">
        <w:rPr>
          <w:rFonts w:ascii="Garamond" w:hAnsi="Garamond" w:cs="Arial"/>
          <w:sz w:val="24"/>
          <w:szCs w:val="24"/>
        </w:rPr>
        <w:t>:</w:t>
      </w:r>
      <w:r w:rsidR="00955D60" w:rsidRPr="003A1174">
        <w:rPr>
          <w:rStyle w:val="Caracteresdenotaalpie"/>
          <w:rFonts w:ascii="Garamond" w:hAnsi="Garamond" w:cs="Arial"/>
          <w:sz w:val="24"/>
          <w:szCs w:val="24"/>
        </w:rPr>
        <w:footnoteReference w:id="136"/>
      </w:r>
    </w:p>
    <w:p w:rsidR="00955D60" w:rsidRPr="003A1174" w:rsidRDefault="00955D60" w:rsidP="008719D4">
      <w:pPr>
        <w:pStyle w:val="Prrafodelista"/>
        <w:numPr>
          <w:ilvl w:val="0"/>
          <w:numId w:val="40"/>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Abril </w:t>
      </w:r>
      <w:r w:rsidR="003A1D1B" w:rsidRPr="003A1174">
        <w:rPr>
          <w:rFonts w:ascii="Garamond" w:hAnsi="Garamond" w:cs="Arial"/>
          <w:color w:val="auto"/>
          <w:sz w:val="24"/>
          <w:szCs w:val="24"/>
          <w:lang w:val="pt-PT"/>
        </w:rPr>
        <w:t xml:space="preserve">de </w:t>
      </w:r>
      <w:r w:rsidRPr="003A1174">
        <w:rPr>
          <w:rFonts w:ascii="Garamond" w:hAnsi="Garamond" w:cs="Arial"/>
          <w:color w:val="auto"/>
          <w:sz w:val="24"/>
          <w:szCs w:val="24"/>
          <w:lang w:val="pt-PT"/>
        </w:rPr>
        <w:t xml:space="preserve">2013: 3 </w:t>
      </w:r>
      <w:r w:rsidR="009D5ED8" w:rsidRPr="003A1174">
        <w:rPr>
          <w:rFonts w:ascii="Garamond" w:hAnsi="Garamond" w:cs="Arial"/>
          <w:color w:val="auto"/>
          <w:sz w:val="24"/>
          <w:szCs w:val="24"/>
          <w:lang w:val="pt-PT"/>
        </w:rPr>
        <w:t>dia</w:t>
      </w:r>
      <w:r w:rsidRPr="003A1174">
        <w:rPr>
          <w:rFonts w:ascii="Garamond" w:hAnsi="Garamond" w:cs="Arial"/>
          <w:color w:val="auto"/>
          <w:sz w:val="24"/>
          <w:szCs w:val="24"/>
          <w:lang w:val="pt-PT"/>
        </w:rPr>
        <w:t xml:space="preserve">s de </w:t>
      </w:r>
      <w:r w:rsidR="00064FDA" w:rsidRPr="003A1174">
        <w:rPr>
          <w:rFonts w:ascii="Garamond" w:hAnsi="Garamond" w:cs="Arial"/>
          <w:color w:val="auto"/>
          <w:sz w:val="24"/>
          <w:szCs w:val="24"/>
          <w:lang w:val="pt-PT"/>
        </w:rPr>
        <w:t>j</w:t>
      </w:r>
      <w:r w:rsidRPr="003A1174">
        <w:rPr>
          <w:rFonts w:ascii="Garamond" w:hAnsi="Garamond" w:cs="Arial"/>
          <w:color w:val="auto"/>
          <w:sz w:val="24"/>
          <w:szCs w:val="24"/>
          <w:lang w:val="pt-PT"/>
        </w:rPr>
        <w:t xml:space="preserve">ornada sobre </w:t>
      </w:r>
      <w:r w:rsidR="00886D6A" w:rsidRPr="003A1174">
        <w:rPr>
          <w:rFonts w:ascii="Garamond" w:hAnsi="Garamond" w:cs="Arial"/>
          <w:color w:val="auto"/>
          <w:sz w:val="24"/>
          <w:szCs w:val="24"/>
          <w:lang w:val="pt-PT"/>
        </w:rPr>
        <w:t>Direito</w:t>
      </w:r>
      <w:r w:rsidRPr="003A1174">
        <w:rPr>
          <w:rFonts w:ascii="Garamond" w:hAnsi="Garamond" w:cs="Arial"/>
          <w:color w:val="auto"/>
          <w:sz w:val="24"/>
          <w:szCs w:val="24"/>
          <w:lang w:val="pt-PT"/>
        </w:rPr>
        <w:t xml:space="preserve">s Humanos,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de Género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Pr="003A1174">
        <w:rPr>
          <w:rFonts w:ascii="Garamond" w:hAnsi="Garamond" w:cs="Arial"/>
          <w:color w:val="auto"/>
          <w:sz w:val="24"/>
          <w:szCs w:val="24"/>
          <w:lang w:val="pt-PT"/>
        </w:rPr>
        <w:t xml:space="preserve"> co</w:t>
      </w:r>
      <w:r w:rsidR="00CB0C30"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366AE3">
        <w:rPr>
          <w:rFonts w:ascii="Garamond" w:hAnsi="Garamond" w:cs="Arial"/>
          <w:color w:val="auto"/>
          <w:sz w:val="24"/>
          <w:szCs w:val="24"/>
          <w:lang w:val="pt-PT"/>
        </w:rPr>
        <w:t xml:space="preserve">a colaboração </w:t>
      </w:r>
      <w:r w:rsidRPr="003A1174">
        <w:rPr>
          <w:rFonts w:ascii="Garamond" w:hAnsi="Garamond" w:cs="Arial"/>
          <w:color w:val="auto"/>
          <w:sz w:val="24"/>
          <w:szCs w:val="24"/>
          <w:lang w:val="pt-PT"/>
        </w:rPr>
        <w:t xml:space="preserve">técnica </w:t>
      </w:r>
      <w:r w:rsidR="00E85E59"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Poder Judicial de </w:t>
      </w:r>
      <w:r w:rsidR="0017447A" w:rsidRPr="003A1174">
        <w:rPr>
          <w:rFonts w:ascii="Garamond" w:hAnsi="Garamond" w:cs="Arial"/>
          <w:color w:val="auto"/>
          <w:sz w:val="24"/>
          <w:szCs w:val="24"/>
          <w:lang w:val="pt-PT"/>
        </w:rPr>
        <w:t>Espanha</w:t>
      </w:r>
      <w:r w:rsidRPr="003A1174">
        <w:rPr>
          <w:rFonts w:ascii="Garamond" w:hAnsi="Garamond" w:cs="Arial"/>
          <w:color w:val="auto"/>
          <w:sz w:val="24"/>
          <w:szCs w:val="24"/>
          <w:lang w:val="pt-PT"/>
        </w:rPr>
        <w:t>, dir</w:t>
      </w:r>
      <w:r w:rsidR="000E2CBA">
        <w:rPr>
          <w:rFonts w:ascii="Garamond" w:hAnsi="Garamond" w:cs="Arial"/>
          <w:color w:val="auto"/>
          <w:sz w:val="24"/>
          <w:szCs w:val="24"/>
          <w:lang w:val="pt-PT"/>
        </w:rPr>
        <w:t xml:space="preserve">igida a juízes </w:t>
      </w:r>
      <w:r w:rsidR="00E85E59"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Tribunal de Apela</w:t>
      </w:r>
      <w:r w:rsidR="00CB0C30" w:rsidRPr="003A1174">
        <w:rPr>
          <w:rFonts w:ascii="Garamond" w:hAnsi="Garamond" w:cs="Arial"/>
          <w:color w:val="auto"/>
          <w:sz w:val="24"/>
          <w:szCs w:val="24"/>
          <w:lang w:val="pt-PT"/>
        </w:rPr>
        <w:t>ção</w:t>
      </w:r>
      <w:r w:rsidRPr="000E2CBA">
        <w:rPr>
          <w:rFonts w:ascii="Garamond" w:hAnsi="Garamond" w:cs="Arial"/>
          <w:color w:val="auto"/>
          <w:sz w:val="24"/>
          <w:szCs w:val="24"/>
          <w:lang w:val="pt-PT"/>
        </w:rPr>
        <w:t>, magistrados</w:t>
      </w:r>
      <w:r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defensores </w:t>
      </w:r>
      <w:r w:rsidR="00E85E59"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Poder Judicial, </w:t>
      </w:r>
      <w:r w:rsidR="00064FDA" w:rsidRPr="003A1174">
        <w:rPr>
          <w:rFonts w:ascii="Garamond" w:hAnsi="Garamond" w:cs="Arial"/>
          <w:color w:val="auto"/>
          <w:sz w:val="24"/>
          <w:szCs w:val="24"/>
          <w:lang w:val="pt-PT"/>
        </w:rPr>
        <w:t xml:space="preserve">de </w:t>
      </w:r>
      <w:r w:rsidRPr="003A1174">
        <w:rPr>
          <w:rFonts w:ascii="Garamond" w:hAnsi="Garamond" w:cs="Arial"/>
          <w:color w:val="auto"/>
          <w:sz w:val="24"/>
          <w:szCs w:val="24"/>
          <w:lang w:val="pt-PT"/>
        </w:rPr>
        <w:t xml:space="preserve">Montevideo </w:t>
      </w:r>
      <w:r w:rsidR="000672E8" w:rsidRPr="003A1174">
        <w:rPr>
          <w:rFonts w:ascii="Garamond" w:hAnsi="Garamond" w:cs="Arial"/>
          <w:color w:val="auto"/>
          <w:sz w:val="24"/>
          <w:szCs w:val="24"/>
          <w:lang w:val="pt-PT"/>
        </w:rPr>
        <w:t>e</w:t>
      </w:r>
      <w:r w:rsidR="00064FDA" w:rsidRPr="003A1174">
        <w:rPr>
          <w:rFonts w:ascii="Garamond" w:hAnsi="Garamond" w:cs="Arial"/>
          <w:color w:val="auto"/>
          <w:sz w:val="24"/>
          <w:szCs w:val="24"/>
          <w:lang w:val="pt-PT"/>
        </w:rPr>
        <w:t xml:space="preserve"> </w:t>
      </w:r>
      <w:r w:rsidR="00CB0C30" w:rsidRPr="003A1174">
        <w:rPr>
          <w:rFonts w:ascii="Garamond" w:hAnsi="Garamond" w:cs="Arial"/>
          <w:color w:val="auto"/>
          <w:sz w:val="24"/>
          <w:szCs w:val="24"/>
          <w:lang w:val="pt-PT"/>
        </w:rPr>
        <w:t>do</w:t>
      </w:r>
      <w:r w:rsidRPr="003A1174">
        <w:rPr>
          <w:rFonts w:ascii="Garamond" w:hAnsi="Garamond" w:cs="Arial"/>
          <w:color w:val="auto"/>
          <w:sz w:val="24"/>
          <w:szCs w:val="24"/>
          <w:lang w:val="pt-PT"/>
        </w:rPr>
        <w:t xml:space="preserve"> </w:t>
      </w:r>
      <w:r w:rsidR="00064FDA" w:rsidRPr="003A1174">
        <w:rPr>
          <w:rFonts w:ascii="Garamond" w:hAnsi="Garamond" w:cs="Arial"/>
          <w:color w:val="auto"/>
          <w:sz w:val="24"/>
          <w:szCs w:val="24"/>
          <w:lang w:val="pt-PT"/>
        </w:rPr>
        <w:t>i</w:t>
      </w:r>
      <w:r w:rsidRPr="003A1174">
        <w:rPr>
          <w:rFonts w:ascii="Garamond" w:hAnsi="Garamond" w:cs="Arial"/>
          <w:color w:val="auto"/>
          <w:sz w:val="24"/>
          <w:szCs w:val="24"/>
          <w:lang w:val="pt-PT"/>
        </w:rPr>
        <w:t xml:space="preserve">nterior. </w:t>
      </w:r>
    </w:p>
    <w:p w:rsidR="00955D60" w:rsidRPr="003A1174" w:rsidRDefault="00366AE3" w:rsidP="008719D4">
      <w:pPr>
        <w:pStyle w:val="Prrafodelista"/>
        <w:numPr>
          <w:ilvl w:val="0"/>
          <w:numId w:val="40"/>
        </w:numPr>
        <w:spacing w:before="240" w:line="240" w:lineRule="auto"/>
        <w:jc w:val="both"/>
        <w:rPr>
          <w:rFonts w:ascii="Garamond" w:hAnsi="Garamond" w:cs="Arial"/>
          <w:color w:val="auto"/>
          <w:sz w:val="24"/>
          <w:szCs w:val="24"/>
          <w:lang w:val="pt-PT"/>
        </w:rPr>
      </w:pPr>
      <w:r>
        <w:rPr>
          <w:rFonts w:ascii="Garamond" w:hAnsi="Garamond" w:cs="Arial"/>
          <w:color w:val="auto"/>
          <w:sz w:val="24"/>
          <w:szCs w:val="24"/>
          <w:lang w:val="pt-PT"/>
        </w:rPr>
        <w:t xml:space="preserve">Presença </w:t>
      </w:r>
      <w:r w:rsidR="00955D60" w:rsidRPr="003A1174">
        <w:rPr>
          <w:rFonts w:ascii="Garamond" w:hAnsi="Garamond" w:cs="Arial"/>
          <w:color w:val="auto"/>
          <w:sz w:val="24"/>
          <w:szCs w:val="24"/>
          <w:lang w:val="pt-PT"/>
        </w:rPr>
        <w:t xml:space="preserve">de </w:t>
      </w:r>
      <w:proofErr w:type="gramStart"/>
      <w:r w:rsidR="00955D60" w:rsidRPr="000E2CBA">
        <w:rPr>
          <w:rFonts w:ascii="Garamond" w:hAnsi="Garamond" w:cs="Arial"/>
          <w:color w:val="auto"/>
          <w:sz w:val="24"/>
          <w:szCs w:val="24"/>
          <w:lang w:val="pt-PT"/>
        </w:rPr>
        <w:t>2</w:t>
      </w:r>
      <w:proofErr w:type="gramEnd"/>
      <w:r w:rsidR="00955D60" w:rsidRPr="000E2CBA">
        <w:rPr>
          <w:rFonts w:ascii="Garamond" w:hAnsi="Garamond" w:cs="Arial"/>
          <w:color w:val="auto"/>
          <w:sz w:val="24"/>
          <w:szCs w:val="24"/>
          <w:lang w:val="pt-PT"/>
        </w:rPr>
        <w:t xml:space="preserve"> </w:t>
      </w:r>
      <w:r w:rsidR="000E2CBA">
        <w:rPr>
          <w:rFonts w:ascii="Garamond" w:hAnsi="Garamond" w:cs="Arial"/>
          <w:color w:val="auto"/>
          <w:sz w:val="24"/>
          <w:szCs w:val="24"/>
          <w:lang w:val="pt-PT"/>
        </w:rPr>
        <w:t>juízes</w:t>
      </w:r>
      <w:r w:rsidR="00955D60"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Tribunal de Apela</w:t>
      </w:r>
      <w:r w:rsidR="00CB0C30" w:rsidRPr="003A1174">
        <w:rPr>
          <w:rFonts w:ascii="Garamond" w:hAnsi="Garamond" w:cs="Arial"/>
          <w:color w:val="auto"/>
          <w:sz w:val="24"/>
          <w:szCs w:val="24"/>
          <w:lang w:val="pt-PT"/>
        </w:rPr>
        <w:t>ção</w:t>
      </w:r>
      <w:r w:rsidR="00955D60" w:rsidRPr="003A1174">
        <w:rPr>
          <w:rFonts w:ascii="Garamond" w:hAnsi="Garamond" w:cs="Arial"/>
          <w:color w:val="auto"/>
          <w:sz w:val="24"/>
          <w:szCs w:val="24"/>
          <w:lang w:val="pt-PT"/>
        </w:rPr>
        <w:t xml:space="preserve"> (Civil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6C7AF1" w:rsidRPr="003A1174">
        <w:rPr>
          <w:rFonts w:ascii="Garamond" w:hAnsi="Garamond" w:cs="Arial"/>
          <w:color w:val="auto"/>
          <w:sz w:val="24"/>
          <w:szCs w:val="24"/>
          <w:lang w:val="pt-PT"/>
        </w:rPr>
        <w:t>Família</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B0C30" w:rsidRPr="003A1174">
        <w:rPr>
          <w:rFonts w:ascii="Garamond" w:hAnsi="Garamond" w:cs="Arial"/>
          <w:color w:val="auto"/>
          <w:sz w:val="24"/>
          <w:szCs w:val="24"/>
          <w:lang w:val="pt-PT"/>
        </w:rPr>
        <w:t xml:space="preserve"> d</w:t>
      </w:r>
      <w:r w:rsidR="00955D60" w:rsidRPr="003A1174">
        <w:rPr>
          <w:rFonts w:ascii="Garamond" w:hAnsi="Garamond" w:cs="Arial"/>
          <w:color w:val="auto"/>
          <w:sz w:val="24"/>
          <w:szCs w:val="24"/>
          <w:lang w:val="pt-PT"/>
        </w:rPr>
        <w:t xml:space="preserve">a </w:t>
      </w:r>
      <w:r w:rsidR="009859FC" w:rsidRPr="003A1174">
        <w:rPr>
          <w:rFonts w:ascii="Garamond" w:hAnsi="Garamond" w:cs="Arial"/>
          <w:color w:val="auto"/>
          <w:sz w:val="24"/>
          <w:szCs w:val="24"/>
          <w:lang w:val="pt-PT"/>
        </w:rPr>
        <w:t>Direção</w:t>
      </w:r>
      <w:r w:rsidR="00955D60" w:rsidRPr="003A1174">
        <w:rPr>
          <w:rFonts w:ascii="Garamond" w:hAnsi="Garamond" w:cs="Arial"/>
          <w:color w:val="auto"/>
          <w:sz w:val="24"/>
          <w:szCs w:val="24"/>
          <w:lang w:val="pt-PT"/>
        </w:rPr>
        <w:t xml:space="preserve"> de </w:t>
      </w:r>
      <w:r w:rsidR="00D4575C" w:rsidRPr="003A1174">
        <w:rPr>
          <w:rFonts w:ascii="Garamond" w:hAnsi="Garamond" w:cs="Arial"/>
          <w:color w:val="auto"/>
          <w:sz w:val="24"/>
          <w:szCs w:val="24"/>
          <w:lang w:val="pt-PT"/>
        </w:rPr>
        <w:t>Gestão</w:t>
      </w:r>
      <w:r w:rsidR="00955D60" w:rsidRPr="003A1174">
        <w:rPr>
          <w:rFonts w:ascii="Garamond" w:hAnsi="Garamond" w:cs="Arial"/>
          <w:color w:val="auto"/>
          <w:sz w:val="24"/>
          <w:szCs w:val="24"/>
          <w:lang w:val="pt-PT"/>
        </w:rPr>
        <w:t xml:space="preserve"> de </w:t>
      </w:r>
      <w:r w:rsidR="00C30647" w:rsidRPr="003A1174">
        <w:rPr>
          <w:rFonts w:ascii="Garamond" w:hAnsi="Garamond" w:cs="Arial"/>
          <w:color w:val="auto"/>
          <w:sz w:val="24"/>
          <w:szCs w:val="24"/>
          <w:lang w:val="pt-PT"/>
        </w:rPr>
        <w:t>Projeto</w:t>
      </w:r>
      <w:r w:rsidR="00955D60" w:rsidRPr="003A1174">
        <w:rPr>
          <w:rFonts w:ascii="Garamond" w:hAnsi="Garamond" w:cs="Arial"/>
          <w:color w:val="auto"/>
          <w:sz w:val="24"/>
          <w:szCs w:val="24"/>
          <w:lang w:val="pt-PT"/>
        </w:rPr>
        <w:t xml:space="preserve">s, </w:t>
      </w:r>
      <w:r>
        <w:rPr>
          <w:rFonts w:ascii="Garamond" w:hAnsi="Garamond" w:cs="Arial"/>
          <w:color w:val="auto"/>
          <w:sz w:val="24"/>
          <w:szCs w:val="24"/>
          <w:lang w:val="pt-PT"/>
        </w:rPr>
        <w:t xml:space="preserve">no </w:t>
      </w:r>
      <w:r w:rsidR="00B830CA" w:rsidRPr="003A1174">
        <w:rPr>
          <w:rFonts w:ascii="Garamond" w:hAnsi="Garamond" w:cs="Arial"/>
          <w:i/>
          <w:color w:val="auto"/>
          <w:sz w:val="24"/>
          <w:szCs w:val="24"/>
          <w:lang w:val="pt-PT"/>
        </w:rPr>
        <w:t>Atelier</w:t>
      </w:r>
      <w:r w:rsidR="00955D60" w:rsidRPr="003A1174">
        <w:rPr>
          <w:rFonts w:ascii="Garamond" w:hAnsi="Garamond" w:cs="Arial"/>
          <w:color w:val="auto"/>
          <w:sz w:val="24"/>
          <w:szCs w:val="24"/>
          <w:lang w:val="pt-PT"/>
        </w:rPr>
        <w:t xml:space="preserve"> sobre Género </w:t>
      </w:r>
      <w:r w:rsidR="00CB0C30" w:rsidRPr="003A1174">
        <w:rPr>
          <w:rFonts w:ascii="Garamond" w:hAnsi="Garamond" w:cs="Arial"/>
          <w:color w:val="auto"/>
          <w:sz w:val="24"/>
          <w:szCs w:val="24"/>
          <w:lang w:val="pt-PT"/>
        </w:rPr>
        <w:t>n</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EF1F27">
        <w:rPr>
          <w:rFonts w:ascii="Garamond" w:hAnsi="Garamond" w:cs="Arial"/>
          <w:color w:val="auto"/>
          <w:sz w:val="24"/>
          <w:szCs w:val="24"/>
          <w:lang w:val="pt-PT"/>
        </w:rPr>
        <w:t>o Tribunal</w:t>
      </w:r>
      <w:r w:rsidR="00955D60"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CB0C30" w:rsidRPr="003A1174">
        <w:rPr>
          <w:rFonts w:ascii="Garamond" w:hAnsi="Garamond" w:cs="Arial"/>
          <w:color w:val="auto"/>
          <w:sz w:val="24"/>
          <w:szCs w:val="24"/>
          <w:lang w:val="pt-PT"/>
        </w:rPr>
        <w:t xml:space="preserve"> d</w:t>
      </w:r>
      <w:r w:rsidR="00955D60" w:rsidRPr="003A1174">
        <w:rPr>
          <w:rFonts w:ascii="Garamond" w:hAnsi="Garamond" w:cs="Arial"/>
          <w:color w:val="auto"/>
          <w:sz w:val="24"/>
          <w:szCs w:val="24"/>
          <w:lang w:val="pt-PT"/>
        </w:rPr>
        <w:t xml:space="preserve">a </w:t>
      </w:r>
      <w:r w:rsidR="006E0719" w:rsidRPr="003A1174">
        <w:rPr>
          <w:rFonts w:ascii="Garamond" w:hAnsi="Garamond" w:cs="Arial"/>
          <w:color w:val="auto"/>
          <w:sz w:val="24"/>
          <w:szCs w:val="24"/>
          <w:lang w:val="pt-PT"/>
        </w:rPr>
        <w:t>Nação</w:t>
      </w:r>
      <w:r w:rsidR="00955D60" w:rsidRPr="003A1174">
        <w:rPr>
          <w:rFonts w:ascii="Garamond" w:hAnsi="Garamond" w:cs="Arial"/>
          <w:color w:val="auto"/>
          <w:sz w:val="24"/>
          <w:szCs w:val="24"/>
          <w:lang w:val="pt-PT"/>
        </w:rPr>
        <w:t xml:space="preserve"> Argentina.</w:t>
      </w:r>
    </w:p>
    <w:p w:rsidR="00955D60" w:rsidRPr="003A1174" w:rsidRDefault="00FF6A3F" w:rsidP="008719D4">
      <w:pPr>
        <w:pStyle w:val="Prrafodelista"/>
        <w:numPr>
          <w:ilvl w:val="0"/>
          <w:numId w:val="40"/>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Setembro</w:t>
      </w:r>
      <w:r w:rsidR="00955D60" w:rsidRPr="003A1174">
        <w:rPr>
          <w:rFonts w:ascii="Garamond" w:hAnsi="Garamond" w:cs="Arial"/>
          <w:color w:val="auto"/>
          <w:sz w:val="24"/>
          <w:szCs w:val="24"/>
          <w:lang w:val="pt-PT"/>
        </w:rPr>
        <w:t xml:space="preserve"> 2013:</w:t>
      </w:r>
      <w:r w:rsidR="00366AE3">
        <w:rPr>
          <w:rFonts w:ascii="Garamond" w:hAnsi="Garamond" w:cs="Arial"/>
          <w:color w:val="auto"/>
          <w:sz w:val="24"/>
          <w:szCs w:val="24"/>
          <w:lang w:val="pt-PT"/>
        </w:rPr>
        <w:t xml:space="preserve"> presença</w:t>
      </w:r>
      <w:r w:rsidR="00955D60" w:rsidRPr="003A1174">
        <w:rPr>
          <w:rFonts w:ascii="Garamond" w:hAnsi="Garamond" w:cs="Arial"/>
          <w:color w:val="auto"/>
          <w:sz w:val="24"/>
          <w:szCs w:val="24"/>
          <w:lang w:val="pt-PT"/>
        </w:rPr>
        <w:t xml:space="preserve"> de </w:t>
      </w:r>
      <w:r w:rsidR="00955D60" w:rsidRPr="000E2CBA">
        <w:rPr>
          <w:rFonts w:ascii="Garamond" w:hAnsi="Garamond" w:cs="Arial"/>
          <w:color w:val="auto"/>
          <w:sz w:val="24"/>
          <w:szCs w:val="24"/>
          <w:lang w:val="pt-PT"/>
        </w:rPr>
        <w:t xml:space="preserve">3 </w:t>
      </w:r>
      <w:r w:rsidR="000E2CBA" w:rsidRPr="000E2CBA">
        <w:rPr>
          <w:rFonts w:ascii="Garamond" w:hAnsi="Garamond" w:cs="Arial"/>
          <w:color w:val="auto"/>
          <w:sz w:val="24"/>
          <w:szCs w:val="24"/>
          <w:lang w:val="pt-PT"/>
        </w:rPr>
        <w:t>juízes</w:t>
      </w:r>
      <w:r w:rsidR="00CB0C30" w:rsidRPr="000E2CBA">
        <w:rPr>
          <w:rFonts w:ascii="Garamond" w:hAnsi="Garamond" w:cs="Arial"/>
          <w:color w:val="auto"/>
          <w:sz w:val="24"/>
          <w:szCs w:val="24"/>
          <w:lang w:val="pt-PT"/>
        </w:rPr>
        <w:t xml:space="preserve"> d</w:t>
      </w:r>
      <w:r w:rsidR="00EF1F27" w:rsidRPr="000E2CBA">
        <w:rPr>
          <w:rFonts w:ascii="Garamond" w:hAnsi="Garamond" w:cs="Arial"/>
          <w:color w:val="auto"/>
          <w:sz w:val="24"/>
          <w:szCs w:val="24"/>
          <w:lang w:val="pt-PT"/>
        </w:rPr>
        <w:t>o</w:t>
      </w:r>
      <w:r w:rsidR="00955D60" w:rsidRPr="000E2CBA">
        <w:rPr>
          <w:rFonts w:ascii="Garamond" w:hAnsi="Garamond" w:cs="Arial"/>
          <w:color w:val="auto"/>
          <w:sz w:val="24"/>
          <w:szCs w:val="24"/>
          <w:lang w:val="pt-PT"/>
        </w:rPr>
        <w:t xml:space="preserve"> Suprem</w:t>
      </w:r>
      <w:r w:rsidR="00EF1F27" w:rsidRPr="000E2CBA">
        <w:rPr>
          <w:rFonts w:ascii="Garamond" w:hAnsi="Garamond" w:cs="Arial"/>
          <w:color w:val="auto"/>
          <w:sz w:val="24"/>
          <w:szCs w:val="24"/>
          <w:lang w:val="pt-PT"/>
        </w:rPr>
        <w:t>o</w:t>
      </w:r>
      <w:r w:rsidR="00955D60" w:rsidRPr="000E2CBA">
        <w:rPr>
          <w:rFonts w:ascii="Garamond" w:hAnsi="Garamond" w:cs="Arial"/>
          <w:color w:val="auto"/>
          <w:sz w:val="24"/>
          <w:szCs w:val="24"/>
          <w:lang w:val="pt-PT"/>
        </w:rPr>
        <w:t xml:space="preserve"> </w:t>
      </w:r>
      <w:r w:rsidR="00EF1F27" w:rsidRPr="000E2CBA">
        <w:rPr>
          <w:rFonts w:ascii="Garamond" w:hAnsi="Garamond" w:cs="Arial"/>
          <w:color w:val="auto"/>
          <w:sz w:val="24"/>
          <w:szCs w:val="24"/>
          <w:lang w:val="pt-PT"/>
        </w:rPr>
        <w:t xml:space="preserve">Tribunal </w:t>
      </w:r>
      <w:r w:rsidR="00955D60" w:rsidRPr="000E2CBA">
        <w:rPr>
          <w:rFonts w:ascii="Garamond" w:hAnsi="Garamond" w:cs="Arial"/>
          <w:color w:val="auto"/>
          <w:sz w:val="24"/>
          <w:szCs w:val="24"/>
          <w:lang w:val="pt-PT"/>
        </w:rPr>
        <w:t xml:space="preserve">de </w:t>
      </w:r>
      <w:r w:rsidR="00FC1F7F" w:rsidRPr="000E2CBA">
        <w:rPr>
          <w:rFonts w:ascii="Garamond" w:hAnsi="Garamond" w:cs="Arial"/>
          <w:color w:val="auto"/>
          <w:sz w:val="24"/>
          <w:szCs w:val="24"/>
          <w:lang w:val="pt-PT"/>
        </w:rPr>
        <w:t>Justiça</w:t>
      </w:r>
      <w:r w:rsidR="00955D60" w:rsidRPr="000E2CBA">
        <w:rPr>
          <w:rFonts w:ascii="Garamond" w:hAnsi="Garamond" w:cs="Arial"/>
          <w:color w:val="auto"/>
          <w:sz w:val="24"/>
          <w:szCs w:val="24"/>
          <w:lang w:val="pt-PT"/>
        </w:rPr>
        <w:t xml:space="preserve"> </w:t>
      </w:r>
      <w:r w:rsidR="000672E8" w:rsidRPr="000E2CBA">
        <w:rPr>
          <w:rFonts w:ascii="Garamond" w:hAnsi="Garamond" w:cs="Arial"/>
          <w:color w:val="auto"/>
          <w:sz w:val="24"/>
          <w:szCs w:val="24"/>
          <w:lang w:val="pt-PT"/>
        </w:rPr>
        <w:t>e</w:t>
      </w:r>
      <w:r w:rsidR="00955D60" w:rsidRPr="000E2CBA">
        <w:rPr>
          <w:rFonts w:ascii="Garamond" w:hAnsi="Garamond" w:cs="Arial"/>
          <w:color w:val="auto"/>
          <w:sz w:val="24"/>
          <w:szCs w:val="24"/>
          <w:lang w:val="pt-PT"/>
        </w:rPr>
        <w:t xml:space="preserve"> </w:t>
      </w:r>
      <w:r w:rsidR="00CB0C30" w:rsidRPr="000E2CBA">
        <w:rPr>
          <w:rFonts w:ascii="Garamond" w:hAnsi="Garamond" w:cs="Arial"/>
          <w:color w:val="auto"/>
          <w:sz w:val="24"/>
          <w:szCs w:val="24"/>
          <w:lang w:val="pt-PT"/>
        </w:rPr>
        <w:t xml:space="preserve">de </w:t>
      </w:r>
      <w:r w:rsidR="00955D60" w:rsidRPr="000E2CBA">
        <w:rPr>
          <w:rFonts w:ascii="Garamond" w:hAnsi="Garamond" w:cs="Arial"/>
          <w:color w:val="auto"/>
          <w:sz w:val="24"/>
          <w:szCs w:val="24"/>
          <w:lang w:val="pt-PT"/>
        </w:rPr>
        <w:t xml:space="preserve">21 </w:t>
      </w:r>
      <w:r w:rsidR="000E2CBA" w:rsidRPr="000E2CBA">
        <w:rPr>
          <w:rFonts w:ascii="Garamond" w:hAnsi="Garamond" w:cs="Arial"/>
          <w:color w:val="auto"/>
          <w:sz w:val="24"/>
          <w:szCs w:val="24"/>
          <w:lang w:val="pt-PT"/>
        </w:rPr>
        <w:t>juízes</w:t>
      </w:r>
      <w:r w:rsidR="00955D60" w:rsidRPr="000E2CBA">
        <w:rPr>
          <w:rFonts w:ascii="Garamond" w:hAnsi="Garamond" w:cs="Arial"/>
          <w:color w:val="auto"/>
          <w:sz w:val="24"/>
          <w:szCs w:val="24"/>
          <w:lang w:val="pt-PT"/>
        </w:rPr>
        <w:t xml:space="preserve"> de </w:t>
      </w:r>
      <w:r w:rsidR="00FB09CA" w:rsidRPr="000E2CBA">
        <w:rPr>
          <w:rFonts w:ascii="Garamond" w:hAnsi="Garamond" w:cs="Arial"/>
          <w:color w:val="auto"/>
          <w:sz w:val="24"/>
          <w:szCs w:val="24"/>
          <w:lang w:val="pt-PT"/>
        </w:rPr>
        <w:t>Tribunais</w:t>
      </w:r>
      <w:r w:rsidR="00955D60" w:rsidRPr="000E2CBA">
        <w:rPr>
          <w:rFonts w:ascii="Garamond" w:hAnsi="Garamond" w:cs="Arial"/>
          <w:color w:val="auto"/>
          <w:sz w:val="24"/>
          <w:szCs w:val="24"/>
          <w:lang w:val="pt-PT"/>
        </w:rPr>
        <w:t xml:space="preserve"> de Apela</w:t>
      </w:r>
      <w:r w:rsidR="00CB0C30" w:rsidRPr="000E2CBA">
        <w:rPr>
          <w:rFonts w:ascii="Garamond" w:hAnsi="Garamond" w:cs="Arial"/>
          <w:color w:val="auto"/>
          <w:sz w:val="24"/>
          <w:szCs w:val="24"/>
          <w:lang w:val="pt-PT"/>
        </w:rPr>
        <w:t xml:space="preserve">ção de todas </w:t>
      </w:r>
      <w:r w:rsidR="00955D60" w:rsidRPr="000E2CBA">
        <w:rPr>
          <w:rFonts w:ascii="Garamond" w:hAnsi="Garamond" w:cs="Arial"/>
          <w:color w:val="auto"/>
          <w:sz w:val="24"/>
          <w:szCs w:val="24"/>
          <w:lang w:val="pt-PT"/>
        </w:rPr>
        <w:t>as</w:t>
      </w:r>
      <w:r w:rsidR="008430C5" w:rsidRPr="000E2CBA">
        <w:rPr>
          <w:rFonts w:ascii="Garamond" w:hAnsi="Garamond" w:cs="Arial"/>
          <w:color w:val="auto"/>
          <w:sz w:val="24"/>
          <w:szCs w:val="24"/>
          <w:lang w:val="pt-PT"/>
        </w:rPr>
        <w:t xml:space="preserve"> </w:t>
      </w:r>
      <w:r w:rsidR="00366AE3" w:rsidRPr="000E2CBA">
        <w:rPr>
          <w:rFonts w:ascii="Garamond" w:hAnsi="Garamond" w:cs="Arial"/>
          <w:color w:val="auto"/>
          <w:sz w:val="24"/>
          <w:szCs w:val="24"/>
          <w:lang w:val="pt-PT"/>
        </w:rPr>
        <w:t>áreas</w:t>
      </w:r>
      <w:r w:rsidR="00955D60" w:rsidRPr="000E2CBA">
        <w:rPr>
          <w:rFonts w:ascii="Garamond" w:hAnsi="Garamond" w:cs="Arial"/>
          <w:color w:val="auto"/>
          <w:sz w:val="24"/>
          <w:szCs w:val="24"/>
          <w:lang w:val="pt-PT"/>
        </w:rPr>
        <w:t xml:space="preserve">, </w:t>
      </w:r>
      <w:r w:rsidR="00366AE3" w:rsidRPr="000E2CBA">
        <w:rPr>
          <w:rFonts w:ascii="Garamond" w:hAnsi="Garamond" w:cs="Arial"/>
          <w:color w:val="auto"/>
          <w:sz w:val="24"/>
          <w:szCs w:val="24"/>
          <w:lang w:val="pt-PT"/>
        </w:rPr>
        <w:t xml:space="preserve">no </w:t>
      </w:r>
      <w:r w:rsidR="00B830CA" w:rsidRPr="000E2CBA">
        <w:rPr>
          <w:rFonts w:ascii="Garamond" w:hAnsi="Garamond" w:cs="Arial"/>
          <w:i/>
          <w:color w:val="auto"/>
          <w:sz w:val="24"/>
          <w:szCs w:val="24"/>
          <w:lang w:val="pt-PT"/>
        </w:rPr>
        <w:t>Atelier</w:t>
      </w:r>
      <w:r w:rsidR="00955D60" w:rsidRPr="000E2CBA">
        <w:rPr>
          <w:rFonts w:ascii="Garamond" w:hAnsi="Garamond" w:cs="Arial"/>
          <w:color w:val="auto"/>
          <w:sz w:val="24"/>
          <w:szCs w:val="24"/>
          <w:lang w:val="pt-PT"/>
        </w:rPr>
        <w:t xml:space="preserve"> de</w:t>
      </w:r>
      <w:r w:rsidR="00955D60"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Sensibilização</w:t>
      </w:r>
      <w:r w:rsidR="00955D60" w:rsidRPr="003A1174">
        <w:rPr>
          <w:rFonts w:ascii="Garamond" w:hAnsi="Garamond" w:cs="Arial"/>
          <w:color w:val="auto"/>
          <w:sz w:val="24"/>
          <w:szCs w:val="24"/>
          <w:lang w:val="pt-PT"/>
        </w:rPr>
        <w:t xml:space="preserve"> e</w:t>
      </w:r>
      <w:r w:rsidR="00CB0C30"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Género (género, </w:t>
      </w:r>
      <w:r w:rsidR="00EB2F44" w:rsidRPr="003A1174">
        <w:rPr>
          <w:rFonts w:ascii="Garamond" w:hAnsi="Garamond" w:cs="Arial"/>
          <w:color w:val="auto"/>
          <w:sz w:val="24"/>
          <w:szCs w:val="24"/>
          <w:lang w:val="pt-PT"/>
        </w:rPr>
        <w:t>convenções</w:t>
      </w:r>
      <w:r w:rsidR="00955D60"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internacionais</w:t>
      </w:r>
      <w:r w:rsidR="00955D60" w:rsidRPr="003A1174">
        <w:rPr>
          <w:rFonts w:ascii="Garamond" w:hAnsi="Garamond" w:cs="Arial"/>
          <w:color w:val="auto"/>
          <w:sz w:val="24"/>
          <w:szCs w:val="24"/>
          <w:lang w:val="pt-PT"/>
        </w:rPr>
        <w:t>, des</w:t>
      </w:r>
      <w:r w:rsidR="002C7510" w:rsidRPr="003A1174">
        <w:rPr>
          <w:rFonts w:ascii="Garamond" w:hAnsi="Garamond" w:cs="Arial"/>
          <w:color w:val="auto"/>
          <w:sz w:val="24"/>
          <w:szCs w:val="24"/>
          <w:lang w:val="pt-PT"/>
        </w:rPr>
        <w:t>igualdade</w:t>
      </w:r>
      <w:r w:rsidR="00955D60"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estrutura</w:t>
      </w:r>
      <w:r w:rsidR="00955D60" w:rsidRPr="003A1174">
        <w:rPr>
          <w:rFonts w:ascii="Garamond" w:hAnsi="Garamond" w:cs="Arial"/>
          <w:color w:val="auto"/>
          <w:sz w:val="24"/>
          <w:szCs w:val="24"/>
          <w:lang w:val="pt-PT"/>
        </w:rPr>
        <w:t>l, etc.)</w:t>
      </w:r>
      <w:r w:rsidR="00366AE3">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366AE3">
        <w:rPr>
          <w:rFonts w:ascii="Garamond" w:hAnsi="Garamond" w:cs="Arial"/>
          <w:color w:val="auto"/>
          <w:sz w:val="24"/>
          <w:szCs w:val="24"/>
          <w:lang w:val="pt-PT"/>
        </w:rPr>
        <w:t xml:space="preserve">promovido </w:t>
      </w:r>
      <w:r w:rsidR="00275092" w:rsidRPr="003A1174">
        <w:rPr>
          <w:rFonts w:ascii="Garamond" w:hAnsi="Garamond" w:cs="Arial"/>
          <w:color w:val="auto"/>
          <w:sz w:val="24"/>
          <w:szCs w:val="24"/>
          <w:lang w:val="pt-PT"/>
        </w:rPr>
        <w:t>pel</w:t>
      </w:r>
      <w:r w:rsidR="00CB0C30"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C246B4" w:rsidRPr="003A1174">
        <w:rPr>
          <w:rFonts w:ascii="Garamond" w:hAnsi="Garamond" w:cs="Arial"/>
          <w:color w:val="auto"/>
          <w:sz w:val="24"/>
          <w:szCs w:val="24"/>
          <w:lang w:val="pt-PT"/>
        </w:rPr>
        <w:t>Gabinete</w:t>
      </w:r>
      <w:r w:rsidR="00955D60" w:rsidRPr="003A1174">
        <w:rPr>
          <w:rFonts w:ascii="Garamond" w:hAnsi="Garamond" w:cs="Arial"/>
          <w:color w:val="auto"/>
          <w:sz w:val="24"/>
          <w:szCs w:val="24"/>
          <w:lang w:val="pt-PT"/>
        </w:rPr>
        <w:t xml:space="preserve"> da </w:t>
      </w:r>
      <w:r w:rsidR="00AF192F" w:rsidRPr="003A1174">
        <w:rPr>
          <w:rFonts w:ascii="Garamond" w:hAnsi="Garamond" w:cs="Arial"/>
          <w:color w:val="auto"/>
          <w:sz w:val="24"/>
          <w:szCs w:val="24"/>
          <w:lang w:val="pt-PT"/>
        </w:rPr>
        <w:t>Mulher</w:t>
      </w:r>
      <w:r w:rsidR="00955D60" w:rsidRPr="003A1174">
        <w:rPr>
          <w:rFonts w:ascii="Garamond" w:hAnsi="Garamond" w:cs="Arial"/>
          <w:color w:val="auto"/>
          <w:sz w:val="24"/>
          <w:szCs w:val="24"/>
          <w:lang w:val="pt-PT"/>
        </w:rPr>
        <w:t xml:space="preserve"> d</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EF1F27">
        <w:rPr>
          <w:rFonts w:ascii="Garamond" w:hAnsi="Garamond" w:cs="Arial"/>
          <w:color w:val="auto"/>
          <w:sz w:val="24"/>
          <w:szCs w:val="24"/>
          <w:lang w:val="pt-PT"/>
        </w:rPr>
        <w:t xml:space="preserve">Tribunal </w:t>
      </w:r>
      <w:r w:rsidR="00955D60" w:rsidRPr="003A1174">
        <w:rPr>
          <w:rFonts w:ascii="Garamond" w:hAnsi="Garamond" w:cs="Arial"/>
          <w:color w:val="auto"/>
          <w:sz w:val="24"/>
          <w:szCs w:val="24"/>
          <w:lang w:val="pt-PT"/>
        </w:rPr>
        <w:t xml:space="preserve">de </w:t>
      </w:r>
      <w:r w:rsidR="00FC1F7F" w:rsidRPr="003A1174">
        <w:rPr>
          <w:rFonts w:ascii="Garamond" w:hAnsi="Garamond" w:cs="Arial"/>
          <w:color w:val="auto"/>
          <w:sz w:val="24"/>
          <w:szCs w:val="24"/>
          <w:lang w:val="pt-PT"/>
        </w:rPr>
        <w:t>Justiça</w:t>
      </w:r>
      <w:r w:rsidR="00CB0C30" w:rsidRPr="003A1174">
        <w:rPr>
          <w:rFonts w:ascii="Garamond" w:hAnsi="Garamond" w:cs="Arial"/>
          <w:color w:val="auto"/>
          <w:sz w:val="24"/>
          <w:szCs w:val="24"/>
          <w:lang w:val="pt-PT"/>
        </w:rPr>
        <w:t xml:space="preserve"> d</w:t>
      </w:r>
      <w:r w:rsidR="00955D60" w:rsidRPr="003A1174">
        <w:rPr>
          <w:rFonts w:ascii="Garamond" w:hAnsi="Garamond" w:cs="Arial"/>
          <w:color w:val="auto"/>
          <w:sz w:val="24"/>
          <w:szCs w:val="24"/>
          <w:lang w:val="pt-PT"/>
        </w:rPr>
        <w:t xml:space="preserve">a </w:t>
      </w:r>
      <w:r w:rsidR="006E0719" w:rsidRPr="003A1174">
        <w:rPr>
          <w:rFonts w:ascii="Garamond" w:hAnsi="Garamond" w:cs="Arial"/>
          <w:color w:val="auto"/>
          <w:sz w:val="24"/>
          <w:szCs w:val="24"/>
          <w:lang w:val="pt-PT"/>
        </w:rPr>
        <w:t>Nação</w:t>
      </w:r>
      <w:r w:rsidR="00955D60" w:rsidRPr="003A1174">
        <w:rPr>
          <w:rFonts w:ascii="Garamond" w:hAnsi="Garamond" w:cs="Arial"/>
          <w:color w:val="auto"/>
          <w:sz w:val="24"/>
          <w:szCs w:val="24"/>
          <w:lang w:val="pt-PT"/>
        </w:rPr>
        <w:t xml:space="preserve"> Argentina. </w:t>
      </w:r>
      <w:r w:rsidR="00CB0C30" w:rsidRPr="003A1174">
        <w:rPr>
          <w:rFonts w:ascii="Garamond" w:hAnsi="Garamond" w:cs="Arial"/>
          <w:color w:val="auto"/>
          <w:sz w:val="24"/>
          <w:szCs w:val="24"/>
          <w:lang w:val="pt-PT"/>
        </w:rPr>
        <w:t xml:space="preserve">Por esta ocasião, assinou-se um acordo </w:t>
      </w:r>
      <w:r w:rsidR="00955D60" w:rsidRPr="003A1174">
        <w:rPr>
          <w:rFonts w:ascii="Garamond" w:hAnsi="Garamond" w:cs="Arial"/>
          <w:color w:val="auto"/>
          <w:sz w:val="24"/>
          <w:szCs w:val="24"/>
          <w:lang w:val="pt-PT"/>
        </w:rPr>
        <w:t xml:space="preserve">de </w:t>
      </w:r>
      <w:r w:rsidR="00C30647" w:rsidRPr="003A1174">
        <w:rPr>
          <w:rFonts w:ascii="Garamond" w:hAnsi="Garamond" w:cs="Arial"/>
          <w:color w:val="auto"/>
          <w:sz w:val="24"/>
          <w:szCs w:val="24"/>
          <w:lang w:val="pt-PT"/>
        </w:rPr>
        <w:t>cooperação</w:t>
      </w:r>
      <w:r w:rsidR="00955D60" w:rsidRPr="003A1174">
        <w:rPr>
          <w:rFonts w:ascii="Garamond" w:hAnsi="Garamond" w:cs="Arial"/>
          <w:color w:val="auto"/>
          <w:sz w:val="24"/>
          <w:szCs w:val="24"/>
          <w:lang w:val="pt-PT"/>
        </w:rPr>
        <w:t xml:space="preserve"> </w:t>
      </w:r>
      <w:r w:rsidR="00955D60" w:rsidRPr="003A1174">
        <w:rPr>
          <w:rFonts w:ascii="Garamond" w:hAnsi="Garamond" w:cs="Arial"/>
          <w:color w:val="auto"/>
          <w:sz w:val="24"/>
          <w:szCs w:val="24"/>
          <w:lang w:val="pt-PT"/>
        </w:rPr>
        <w:lastRenderedPageBreak/>
        <w:t>interinstitucional co</w:t>
      </w:r>
      <w:r w:rsidR="00CB0C30" w:rsidRPr="003A1174">
        <w:rPr>
          <w:rFonts w:ascii="Garamond" w:hAnsi="Garamond" w:cs="Arial"/>
          <w:color w:val="auto"/>
          <w:sz w:val="24"/>
          <w:szCs w:val="24"/>
          <w:lang w:val="pt-PT"/>
        </w:rPr>
        <w:t xml:space="preserve">m o </w:t>
      </w:r>
      <w:r w:rsidR="00C246B4" w:rsidRPr="003A1174">
        <w:rPr>
          <w:rFonts w:ascii="Garamond" w:hAnsi="Garamond" w:cs="Arial"/>
          <w:color w:val="auto"/>
          <w:sz w:val="24"/>
          <w:szCs w:val="24"/>
          <w:lang w:val="pt-PT"/>
        </w:rPr>
        <w:t>Gabinete</w:t>
      </w:r>
      <w:r w:rsidR="00955D60" w:rsidRPr="003A1174">
        <w:rPr>
          <w:rFonts w:ascii="Garamond" w:hAnsi="Garamond" w:cs="Arial"/>
          <w:color w:val="auto"/>
          <w:sz w:val="24"/>
          <w:szCs w:val="24"/>
          <w:lang w:val="pt-PT"/>
        </w:rPr>
        <w:t xml:space="preserve"> da </w:t>
      </w:r>
      <w:r w:rsidR="00AF192F" w:rsidRPr="003A1174">
        <w:rPr>
          <w:rFonts w:ascii="Garamond" w:hAnsi="Garamond" w:cs="Arial"/>
          <w:color w:val="auto"/>
          <w:sz w:val="24"/>
          <w:szCs w:val="24"/>
          <w:lang w:val="pt-PT"/>
        </w:rPr>
        <w:t>Mulher</w:t>
      </w:r>
      <w:r w:rsidR="00955D60" w:rsidRPr="003A1174">
        <w:rPr>
          <w:rFonts w:ascii="Garamond" w:hAnsi="Garamond" w:cs="Arial"/>
          <w:color w:val="auto"/>
          <w:sz w:val="24"/>
          <w:szCs w:val="24"/>
          <w:lang w:val="pt-PT"/>
        </w:rPr>
        <w:t xml:space="preserve">, </w:t>
      </w:r>
      <w:r w:rsidR="00064FDA" w:rsidRPr="003A1174">
        <w:rPr>
          <w:rFonts w:ascii="Garamond" w:hAnsi="Garamond" w:cs="Arial"/>
          <w:color w:val="auto"/>
          <w:sz w:val="24"/>
          <w:szCs w:val="24"/>
          <w:lang w:val="pt-PT"/>
        </w:rPr>
        <w:t>que</w:t>
      </w:r>
      <w:r w:rsidR="00955D60"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foi</w:t>
      </w:r>
      <w:r w:rsidR="00955D60" w:rsidRPr="003A1174">
        <w:rPr>
          <w:rFonts w:ascii="Garamond" w:hAnsi="Garamond" w:cs="Arial"/>
          <w:color w:val="auto"/>
          <w:sz w:val="24"/>
          <w:szCs w:val="24"/>
          <w:lang w:val="pt-PT"/>
        </w:rPr>
        <w:t xml:space="preserve"> ratificado </w:t>
      </w:r>
      <w:r w:rsidR="00275092" w:rsidRPr="003A1174">
        <w:rPr>
          <w:rFonts w:ascii="Garamond" w:hAnsi="Garamond" w:cs="Arial"/>
          <w:color w:val="auto"/>
          <w:sz w:val="24"/>
          <w:szCs w:val="24"/>
          <w:lang w:val="pt-PT"/>
        </w:rPr>
        <w:t>pel</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EF1F27">
        <w:rPr>
          <w:rFonts w:ascii="Garamond" w:hAnsi="Garamond" w:cs="Arial"/>
          <w:color w:val="auto"/>
          <w:sz w:val="24"/>
          <w:szCs w:val="24"/>
          <w:lang w:val="pt-PT"/>
        </w:rPr>
        <w:t>o Tribunal</w:t>
      </w:r>
      <w:r w:rsidR="00955D60"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366AE3">
        <w:rPr>
          <w:rFonts w:ascii="Garamond" w:hAnsi="Garamond" w:cs="Arial"/>
          <w:color w:val="auto"/>
          <w:sz w:val="24"/>
          <w:szCs w:val="24"/>
          <w:lang w:val="pt-PT"/>
        </w:rPr>
        <w:t xml:space="preserve"> da</w:t>
      </w:r>
      <w:r w:rsidR="00955D60" w:rsidRPr="003A1174">
        <w:rPr>
          <w:rFonts w:ascii="Garamond" w:hAnsi="Garamond" w:cs="Arial"/>
          <w:color w:val="auto"/>
          <w:sz w:val="24"/>
          <w:szCs w:val="24"/>
          <w:lang w:val="pt-PT"/>
        </w:rPr>
        <w:t xml:space="preserve"> Argentina. </w:t>
      </w:r>
    </w:p>
    <w:p w:rsidR="00955D60" w:rsidRPr="003A1174" w:rsidRDefault="00FF6A3F" w:rsidP="008719D4">
      <w:pPr>
        <w:pStyle w:val="Prrafodelista"/>
        <w:numPr>
          <w:ilvl w:val="0"/>
          <w:numId w:val="40"/>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Setembro</w:t>
      </w:r>
      <w:r w:rsidR="00955D60" w:rsidRPr="003A1174">
        <w:rPr>
          <w:rFonts w:ascii="Garamond" w:hAnsi="Garamond" w:cs="Arial"/>
          <w:color w:val="auto"/>
          <w:sz w:val="24"/>
          <w:szCs w:val="24"/>
          <w:lang w:val="pt-PT"/>
        </w:rPr>
        <w:t xml:space="preserve"> 2013: </w:t>
      </w:r>
      <w:r w:rsidR="00366AE3">
        <w:rPr>
          <w:rFonts w:ascii="Garamond" w:hAnsi="Garamond" w:cs="Arial"/>
          <w:color w:val="auto"/>
          <w:sz w:val="24"/>
          <w:szCs w:val="24"/>
          <w:lang w:val="pt-PT"/>
        </w:rPr>
        <w:t xml:space="preserve">presença </w:t>
      </w:r>
      <w:r w:rsidR="00955D60" w:rsidRPr="003A1174">
        <w:rPr>
          <w:rFonts w:ascii="Garamond" w:hAnsi="Garamond" w:cs="Arial"/>
          <w:color w:val="auto"/>
          <w:sz w:val="24"/>
          <w:szCs w:val="24"/>
          <w:lang w:val="pt-PT"/>
        </w:rPr>
        <w:t xml:space="preserve">de 38 </w:t>
      </w:r>
      <w:r w:rsidR="00D37CF3" w:rsidRPr="003A1174">
        <w:rPr>
          <w:rFonts w:ascii="Garamond" w:hAnsi="Garamond" w:cs="Arial"/>
          <w:color w:val="auto"/>
          <w:sz w:val="24"/>
          <w:szCs w:val="24"/>
          <w:lang w:val="pt-PT"/>
        </w:rPr>
        <w:t>juízes</w:t>
      </w:r>
      <w:r w:rsidR="00CB0C30" w:rsidRPr="003A1174">
        <w:rPr>
          <w:rFonts w:ascii="Garamond" w:hAnsi="Garamond" w:cs="Arial"/>
          <w:color w:val="auto"/>
          <w:sz w:val="24"/>
          <w:szCs w:val="24"/>
          <w:lang w:val="pt-PT"/>
        </w:rPr>
        <w:t xml:space="preserve">, advogados e </w:t>
      </w:r>
      <w:r w:rsidR="00064FDA" w:rsidRPr="003A1174">
        <w:rPr>
          <w:rFonts w:ascii="Garamond" w:hAnsi="Garamond" w:cs="Arial"/>
          <w:color w:val="auto"/>
          <w:sz w:val="24"/>
          <w:szCs w:val="24"/>
          <w:lang w:val="pt-PT"/>
        </w:rPr>
        <w:t xml:space="preserve">defensores </w:t>
      </w:r>
      <w:r w:rsidR="00955D60" w:rsidRPr="003A1174">
        <w:rPr>
          <w:rFonts w:ascii="Garamond" w:hAnsi="Garamond" w:cs="Arial"/>
          <w:color w:val="auto"/>
          <w:sz w:val="24"/>
          <w:szCs w:val="24"/>
          <w:lang w:val="pt-PT"/>
        </w:rPr>
        <w:t xml:space="preserve">de </w:t>
      </w:r>
      <w:r w:rsidR="006C7AF1" w:rsidRPr="003A1174">
        <w:rPr>
          <w:rFonts w:ascii="Garamond" w:hAnsi="Garamond" w:cs="Arial"/>
          <w:color w:val="auto"/>
          <w:sz w:val="24"/>
          <w:szCs w:val="24"/>
          <w:lang w:val="pt-PT"/>
        </w:rPr>
        <w:t>família</w:t>
      </w:r>
      <w:r w:rsidR="00955D60" w:rsidRPr="003A1174">
        <w:rPr>
          <w:rFonts w:ascii="Garamond" w:hAnsi="Garamond" w:cs="Arial"/>
          <w:color w:val="auto"/>
          <w:sz w:val="24"/>
          <w:szCs w:val="24"/>
          <w:lang w:val="pt-PT"/>
        </w:rPr>
        <w:t xml:space="preserve">, penal, </w:t>
      </w:r>
      <w:r w:rsidR="006C7AF1" w:rsidRPr="003A1174">
        <w:rPr>
          <w:rFonts w:ascii="Garamond" w:hAnsi="Garamond" w:cs="Arial"/>
          <w:color w:val="auto"/>
          <w:sz w:val="24"/>
          <w:szCs w:val="24"/>
          <w:lang w:val="pt-PT"/>
        </w:rPr>
        <w:t>família</w:t>
      </w:r>
      <w:r w:rsidR="00955D60" w:rsidRPr="003A1174">
        <w:rPr>
          <w:rFonts w:ascii="Garamond" w:hAnsi="Garamond" w:cs="Arial"/>
          <w:color w:val="auto"/>
          <w:sz w:val="24"/>
          <w:szCs w:val="24"/>
          <w:lang w:val="pt-PT"/>
        </w:rPr>
        <w:t xml:space="preserve"> especializada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laboral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5 </w:t>
      </w:r>
      <w:r w:rsidR="00D22D82" w:rsidRPr="003A1174">
        <w:rPr>
          <w:rFonts w:ascii="Garamond" w:hAnsi="Garamond" w:cs="Arial"/>
          <w:color w:val="auto"/>
          <w:sz w:val="24"/>
          <w:szCs w:val="24"/>
          <w:lang w:val="pt-PT"/>
        </w:rPr>
        <w:t xml:space="preserve">chefes da </w:t>
      </w:r>
      <w:r w:rsidR="00955D60" w:rsidRPr="003A1174">
        <w:rPr>
          <w:rFonts w:ascii="Garamond" w:hAnsi="Garamond" w:cs="Arial"/>
          <w:color w:val="auto"/>
          <w:sz w:val="24"/>
          <w:szCs w:val="24"/>
          <w:lang w:val="pt-PT"/>
        </w:rPr>
        <w:t xml:space="preserve">área </w:t>
      </w:r>
      <w:r w:rsidR="00D22D82" w:rsidRPr="003A1174">
        <w:rPr>
          <w:rFonts w:ascii="Garamond" w:hAnsi="Garamond" w:cs="Arial"/>
          <w:color w:val="auto"/>
          <w:sz w:val="24"/>
          <w:szCs w:val="24"/>
          <w:lang w:val="pt-PT"/>
        </w:rPr>
        <w:t xml:space="preserve">administrativa </w:t>
      </w:r>
      <w:r w:rsidR="00366AE3">
        <w:rPr>
          <w:rFonts w:ascii="Garamond" w:hAnsi="Garamond" w:cs="Arial"/>
          <w:color w:val="auto"/>
          <w:sz w:val="24"/>
          <w:szCs w:val="24"/>
          <w:lang w:val="pt-PT"/>
        </w:rPr>
        <w:t xml:space="preserve">no </w:t>
      </w:r>
      <w:r w:rsidR="00B830CA" w:rsidRPr="003A1174">
        <w:rPr>
          <w:rFonts w:ascii="Garamond" w:hAnsi="Garamond" w:cs="Arial"/>
          <w:i/>
          <w:color w:val="auto"/>
          <w:sz w:val="24"/>
          <w:szCs w:val="24"/>
          <w:lang w:val="pt-PT"/>
        </w:rPr>
        <w:t>Atelier</w:t>
      </w:r>
      <w:r w:rsidR="00955D60" w:rsidRPr="003A1174">
        <w:rPr>
          <w:rFonts w:ascii="Garamond" w:hAnsi="Garamond" w:cs="Arial"/>
          <w:color w:val="auto"/>
          <w:sz w:val="24"/>
          <w:szCs w:val="24"/>
          <w:lang w:val="pt-PT"/>
        </w:rPr>
        <w:t xml:space="preserve"> de </w:t>
      </w:r>
      <w:r w:rsidR="00976FB8" w:rsidRPr="003A1174">
        <w:rPr>
          <w:rFonts w:ascii="Garamond" w:hAnsi="Garamond" w:cs="Arial"/>
          <w:color w:val="auto"/>
          <w:sz w:val="24"/>
          <w:szCs w:val="24"/>
          <w:lang w:val="pt-PT"/>
        </w:rPr>
        <w:t>Sensibilização</w:t>
      </w:r>
      <w:r w:rsidR="00955D60" w:rsidRPr="003A1174">
        <w:rPr>
          <w:rFonts w:ascii="Garamond" w:hAnsi="Garamond" w:cs="Arial"/>
          <w:color w:val="auto"/>
          <w:sz w:val="24"/>
          <w:szCs w:val="24"/>
          <w:lang w:val="pt-PT"/>
        </w:rPr>
        <w:t xml:space="preserve"> 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Género (género, </w:t>
      </w:r>
      <w:r w:rsidR="00EB2F44" w:rsidRPr="003A1174">
        <w:rPr>
          <w:rFonts w:ascii="Garamond" w:hAnsi="Garamond" w:cs="Arial"/>
          <w:color w:val="auto"/>
          <w:sz w:val="24"/>
          <w:szCs w:val="24"/>
          <w:lang w:val="pt-PT"/>
        </w:rPr>
        <w:t>convenções</w:t>
      </w:r>
      <w:r w:rsidR="00955D60"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internacionais</w:t>
      </w:r>
      <w:r w:rsidR="00955D60" w:rsidRPr="003A1174">
        <w:rPr>
          <w:rFonts w:ascii="Garamond" w:hAnsi="Garamond" w:cs="Arial"/>
          <w:color w:val="auto"/>
          <w:sz w:val="24"/>
          <w:szCs w:val="24"/>
          <w:lang w:val="pt-PT"/>
        </w:rPr>
        <w:t>, des</w:t>
      </w:r>
      <w:r w:rsidR="002C7510" w:rsidRPr="003A1174">
        <w:rPr>
          <w:rFonts w:ascii="Garamond" w:hAnsi="Garamond" w:cs="Arial"/>
          <w:color w:val="auto"/>
          <w:sz w:val="24"/>
          <w:szCs w:val="24"/>
          <w:lang w:val="pt-PT"/>
        </w:rPr>
        <w:t>igualdade</w:t>
      </w:r>
      <w:r w:rsidR="00955D60" w:rsidRPr="003A1174">
        <w:rPr>
          <w:rFonts w:ascii="Garamond" w:hAnsi="Garamond" w:cs="Arial"/>
          <w:color w:val="auto"/>
          <w:sz w:val="24"/>
          <w:szCs w:val="24"/>
          <w:lang w:val="pt-PT"/>
        </w:rPr>
        <w:t xml:space="preserve"> </w:t>
      </w:r>
      <w:r w:rsidR="00462B11" w:rsidRPr="003A1174">
        <w:rPr>
          <w:rFonts w:ascii="Garamond" w:hAnsi="Garamond" w:cs="Arial"/>
          <w:color w:val="auto"/>
          <w:sz w:val="24"/>
          <w:szCs w:val="24"/>
          <w:lang w:val="pt-PT"/>
        </w:rPr>
        <w:t>estrutura</w:t>
      </w:r>
      <w:r w:rsidR="00955D60" w:rsidRPr="003A1174">
        <w:rPr>
          <w:rFonts w:ascii="Garamond" w:hAnsi="Garamond" w:cs="Arial"/>
          <w:color w:val="auto"/>
          <w:sz w:val="24"/>
          <w:szCs w:val="24"/>
          <w:lang w:val="pt-PT"/>
        </w:rPr>
        <w:t xml:space="preserve">l, etc.) </w:t>
      </w:r>
      <w:r w:rsidR="00366AE3">
        <w:rPr>
          <w:rFonts w:ascii="Garamond" w:hAnsi="Garamond" w:cs="Arial"/>
          <w:color w:val="auto"/>
          <w:sz w:val="24"/>
          <w:szCs w:val="24"/>
          <w:lang w:val="pt-PT"/>
        </w:rPr>
        <w:t xml:space="preserve">promovido </w:t>
      </w:r>
      <w:r w:rsidR="00275092" w:rsidRPr="003A1174">
        <w:rPr>
          <w:rFonts w:ascii="Garamond" w:hAnsi="Garamond" w:cs="Arial"/>
          <w:color w:val="auto"/>
          <w:sz w:val="24"/>
          <w:szCs w:val="24"/>
          <w:lang w:val="pt-PT"/>
        </w:rPr>
        <w:t>pel</w:t>
      </w:r>
      <w:r w:rsidR="00D22D82" w:rsidRPr="003A1174">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C246B4" w:rsidRPr="003A1174">
        <w:rPr>
          <w:rFonts w:ascii="Garamond" w:hAnsi="Garamond" w:cs="Arial"/>
          <w:color w:val="auto"/>
          <w:sz w:val="24"/>
          <w:szCs w:val="24"/>
          <w:lang w:val="pt-PT"/>
        </w:rPr>
        <w:t>Gabinete</w:t>
      </w:r>
      <w:r w:rsidR="00955D60" w:rsidRPr="003A1174">
        <w:rPr>
          <w:rFonts w:ascii="Garamond" w:hAnsi="Garamond" w:cs="Arial"/>
          <w:color w:val="auto"/>
          <w:sz w:val="24"/>
          <w:szCs w:val="24"/>
          <w:lang w:val="pt-PT"/>
        </w:rPr>
        <w:t xml:space="preserve"> da </w:t>
      </w:r>
      <w:r w:rsidR="00AF192F" w:rsidRPr="003A1174">
        <w:rPr>
          <w:rFonts w:ascii="Garamond" w:hAnsi="Garamond" w:cs="Arial"/>
          <w:color w:val="auto"/>
          <w:sz w:val="24"/>
          <w:szCs w:val="24"/>
          <w:lang w:val="pt-PT"/>
        </w:rPr>
        <w:t>Mulher</w:t>
      </w:r>
      <w:r w:rsidR="00955D60" w:rsidRPr="003A1174">
        <w:rPr>
          <w:rFonts w:ascii="Garamond" w:hAnsi="Garamond" w:cs="Arial"/>
          <w:color w:val="auto"/>
          <w:sz w:val="24"/>
          <w:szCs w:val="24"/>
          <w:lang w:val="pt-PT"/>
        </w:rPr>
        <w:t xml:space="preserve"> d</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366AE3">
        <w:rPr>
          <w:rFonts w:ascii="Garamond" w:hAnsi="Garamond" w:cs="Arial"/>
          <w:color w:val="auto"/>
          <w:sz w:val="24"/>
          <w:szCs w:val="24"/>
          <w:lang w:val="pt-PT"/>
        </w:rPr>
        <w:t>o</w:t>
      </w:r>
      <w:r w:rsidR="00EF1F27">
        <w:rPr>
          <w:rFonts w:ascii="Garamond" w:hAnsi="Garamond" w:cs="Arial"/>
          <w:color w:val="auto"/>
          <w:sz w:val="24"/>
          <w:szCs w:val="24"/>
          <w:lang w:val="pt-PT"/>
        </w:rPr>
        <w:t xml:space="preserve"> Tribunal</w:t>
      </w:r>
      <w:r w:rsidR="00955D60" w:rsidRPr="003A1174">
        <w:rPr>
          <w:rFonts w:ascii="Garamond" w:hAnsi="Garamond" w:cs="Arial"/>
          <w:color w:val="auto"/>
          <w:sz w:val="24"/>
          <w:szCs w:val="24"/>
          <w:lang w:val="pt-PT"/>
        </w:rPr>
        <w:t xml:space="preserve"> de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da Argentina.</w:t>
      </w:r>
    </w:p>
    <w:p w:rsidR="00955D60" w:rsidRPr="003A1174" w:rsidRDefault="00374785" w:rsidP="008719D4">
      <w:pPr>
        <w:pStyle w:val="Prrafodelista"/>
        <w:numPr>
          <w:ilvl w:val="0"/>
          <w:numId w:val="40"/>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Outubro</w:t>
      </w:r>
      <w:r w:rsidR="00955D60" w:rsidRPr="003A1174">
        <w:rPr>
          <w:rFonts w:ascii="Garamond" w:hAnsi="Garamond" w:cs="Arial"/>
          <w:color w:val="auto"/>
          <w:sz w:val="24"/>
          <w:szCs w:val="24"/>
          <w:lang w:val="pt-PT"/>
        </w:rPr>
        <w:t xml:space="preserve"> 2013: </w:t>
      </w:r>
      <w:r w:rsidR="00366AE3">
        <w:rPr>
          <w:rFonts w:ascii="Garamond" w:hAnsi="Garamond" w:cs="Arial"/>
          <w:color w:val="auto"/>
          <w:sz w:val="24"/>
          <w:szCs w:val="24"/>
          <w:lang w:val="pt-PT"/>
        </w:rPr>
        <w:t xml:space="preserve">presença </w:t>
      </w:r>
      <w:r w:rsidR="00955D60" w:rsidRPr="003A1174">
        <w:rPr>
          <w:rFonts w:ascii="Garamond" w:hAnsi="Garamond" w:cs="Arial"/>
          <w:color w:val="auto"/>
          <w:sz w:val="24"/>
          <w:szCs w:val="24"/>
          <w:lang w:val="pt-PT"/>
        </w:rPr>
        <w:t xml:space="preserve">de 10 </w:t>
      </w:r>
      <w:r w:rsidR="00AA231C">
        <w:rPr>
          <w:rFonts w:ascii="Garamond" w:hAnsi="Garamond" w:cs="Arial"/>
          <w:color w:val="auto"/>
          <w:sz w:val="24"/>
          <w:szCs w:val="24"/>
          <w:lang w:val="pt-PT"/>
        </w:rPr>
        <w:t xml:space="preserve">formandos </w:t>
      </w:r>
      <w:r w:rsidR="00955D60" w:rsidRPr="003A1174">
        <w:rPr>
          <w:rFonts w:ascii="Garamond" w:hAnsi="Garamond" w:cs="Arial"/>
          <w:color w:val="auto"/>
          <w:sz w:val="24"/>
          <w:szCs w:val="24"/>
          <w:lang w:val="pt-PT"/>
        </w:rPr>
        <w:t xml:space="preserve">(magistrados, defensores, peritos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3E6403" w:rsidRPr="003A1174">
        <w:rPr>
          <w:rFonts w:ascii="Garamond" w:hAnsi="Garamond" w:cs="Arial"/>
          <w:color w:val="auto"/>
          <w:sz w:val="24"/>
          <w:szCs w:val="24"/>
          <w:lang w:val="pt-PT"/>
        </w:rPr>
        <w:t>funcionári</w:t>
      </w:r>
      <w:r w:rsidR="00955D60" w:rsidRPr="003A1174">
        <w:rPr>
          <w:rFonts w:ascii="Garamond" w:hAnsi="Garamond" w:cs="Arial"/>
          <w:color w:val="auto"/>
          <w:sz w:val="24"/>
          <w:szCs w:val="24"/>
          <w:lang w:val="pt-PT"/>
        </w:rPr>
        <w:t>os administrativos)</w:t>
      </w:r>
      <w:r w:rsidR="00AA231C">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366AE3">
        <w:rPr>
          <w:rFonts w:ascii="Garamond" w:hAnsi="Garamond" w:cs="Arial"/>
          <w:color w:val="auto"/>
          <w:sz w:val="24"/>
          <w:szCs w:val="24"/>
          <w:lang w:val="pt-PT"/>
        </w:rPr>
        <w:t xml:space="preserve">no </w:t>
      </w:r>
      <w:r w:rsidR="00064FDA" w:rsidRPr="003A1174">
        <w:rPr>
          <w:rFonts w:ascii="Garamond" w:hAnsi="Garamond" w:cs="Arial"/>
          <w:color w:val="auto"/>
          <w:sz w:val="24"/>
          <w:szCs w:val="24"/>
          <w:lang w:val="pt-PT"/>
        </w:rPr>
        <w:t>c</w:t>
      </w:r>
      <w:r w:rsidR="00955D60" w:rsidRPr="003A1174">
        <w:rPr>
          <w:rFonts w:ascii="Garamond" w:hAnsi="Garamond" w:cs="Arial"/>
          <w:color w:val="auto"/>
          <w:sz w:val="24"/>
          <w:szCs w:val="24"/>
          <w:lang w:val="pt-PT"/>
        </w:rPr>
        <w:t xml:space="preserve">urso de </w:t>
      </w:r>
      <w:r w:rsidR="00454353" w:rsidRPr="003A1174">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w:t>
      </w:r>
      <w:r w:rsidR="008430C5">
        <w:rPr>
          <w:rFonts w:ascii="Garamond" w:hAnsi="Garamond" w:cs="Arial"/>
          <w:color w:val="auto"/>
          <w:sz w:val="24"/>
          <w:szCs w:val="24"/>
          <w:lang w:val="pt-PT"/>
        </w:rPr>
        <w:t xml:space="preserve">ministrado por </w:t>
      </w:r>
      <w:r w:rsidR="00D22D82" w:rsidRPr="003A1174">
        <w:rPr>
          <w:rFonts w:ascii="Garamond" w:hAnsi="Garamond" w:cs="Arial"/>
          <w:color w:val="auto"/>
          <w:sz w:val="24"/>
          <w:szCs w:val="24"/>
          <w:lang w:val="pt-PT"/>
        </w:rPr>
        <w:t xml:space="preserve">formadores especializados </w:t>
      </w:r>
      <w:r w:rsidR="00955D60" w:rsidRPr="003A1174">
        <w:rPr>
          <w:rFonts w:ascii="Garamond" w:hAnsi="Garamond" w:cs="Arial"/>
          <w:color w:val="auto"/>
          <w:sz w:val="24"/>
          <w:szCs w:val="24"/>
          <w:lang w:val="pt-PT"/>
        </w:rPr>
        <w:t>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C15C97" w:rsidRPr="003A1174">
        <w:rPr>
          <w:rFonts w:ascii="Garamond" w:hAnsi="Garamond" w:cs="Arial"/>
          <w:i/>
          <w:color w:val="auto"/>
          <w:sz w:val="24"/>
          <w:szCs w:val="24"/>
          <w:lang w:val="pt-PT"/>
        </w:rPr>
        <w:t>ateliers</w:t>
      </w:r>
      <w:r w:rsidR="00955D60" w:rsidRPr="003A1174">
        <w:rPr>
          <w:rFonts w:ascii="Garamond" w:hAnsi="Garamond" w:cs="Arial"/>
          <w:color w:val="auto"/>
          <w:sz w:val="24"/>
          <w:szCs w:val="24"/>
          <w:lang w:val="pt-PT"/>
        </w:rPr>
        <w:t xml:space="preserve"> de </w:t>
      </w:r>
      <w:r w:rsidR="00976FB8" w:rsidRPr="003A1174">
        <w:rPr>
          <w:rFonts w:ascii="Garamond" w:hAnsi="Garamond" w:cs="Arial"/>
          <w:color w:val="auto"/>
          <w:sz w:val="24"/>
          <w:szCs w:val="24"/>
          <w:lang w:val="pt-PT"/>
        </w:rPr>
        <w:t>sensibilização</w:t>
      </w:r>
      <w:r w:rsidR="00955D60" w:rsidRPr="003A1174">
        <w:rPr>
          <w:rFonts w:ascii="Garamond" w:hAnsi="Garamond" w:cs="Arial"/>
          <w:color w:val="auto"/>
          <w:sz w:val="24"/>
          <w:szCs w:val="24"/>
          <w:lang w:val="pt-PT"/>
        </w:rPr>
        <w:t xml:space="preserve"> 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género, tr</w:t>
      </w:r>
      <w:r w:rsidR="00D22D82" w:rsidRPr="003A1174">
        <w:rPr>
          <w:rFonts w:ascii="Garamond" w:hAnsi="Garamond" w:cs="Arial"/>
          <w:color w:val="auto"/>
          <w:sz w:val="24"/>
          <w:szCs w:val="24"/>
          <w:lang w:val="pt-PT"/>
        </w:rPr>
        <w:t xml:space="preserve">áfico </w:t>
      </w:r>
      <w:r w:rsidR="00955D60" w:rsidRPr="003A1174">
        <w:rPr>
          <w:rFonts w:ascii="Garamond" w:hAnsi="Garamond" w:cs="Arial"/>
          <w:color w:val="auto"/>
          <w:sz w:val="24"/>
          <w:szCs w:val="24"/>
          <w:lang w:val="pt-PT"/>
        </w:rPr>
        <w:t xml:space="preserve">de </w:t>
      </w:r>
      <w:r w:rsidR="006C760C" w:rsidRPr="003A1174">
        <w:rPr>
          <w:rFonts w:ascii="Garamond" w:hAnsi="Garamond" w:cs="Arial"/>
          <w:color w:val="auto"/>
          <w:sz w:val="24"/>
          <w:szCs w:val="24"/>
          <w:lang w:val="pt-PT"/>
        </w:rPr>
        <w:t>pessoas</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96583F" w:rsidRPr="003A1174">
        <w:rPr>
          <w:rFonts w:ascii="Garamond" w:hAnsi="Garamond" w:cs="Arial"/>
          <w:color w:val="auto"/>
          <w:sz w:val="24"/>
          <w:szCs w:val="24"/>
          <w:lang w:val="pt-PT"/>
        </w:rPr>
        <w:t>exploração</w:t>
      </w:r>
      <w:r w:rsidR="00955D60" w:rsidRPr="003A1174">
        <w:rPr>
          <w:rFonts w:ascii="Garamond" w:hAnsi="Garamond" w:cs="Arial"/>
          <w:color w:val="auto"/>
          <w:sz w:val="24"/>
          <w:szCs w:val="24"/>
          <w:lang w:val="pt-PT"/>
        </w:rPr>
        <w:t xml:space="preserve"> sexual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comercial</w:t>
      </w:r>
      <w:r w:rsidR="008430C5">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8430C5">
        <w:rPr>
          <w:rFonts w:ascii="Garamond" w:hAnsi="Garamond" w:cs="Arial"/>
          <w:color w:val="auto"/>
          <w:sz w:val="24"/>
          <w:szCs w:val="24"/>
          <w:lang w:val="pt-PT"/>
        </w:rPr>
        <w:t xml:space="preserve">promovido </w:t>
      </w:r>
      <w:r w:rsidR="00D22D82" w:rsidRPr="003A1174">
        <w:rPr>
          <w:rFonts w:ascii="Garamond" w:hAnsi="Garamond" w:cs="Arial"/>
          <w:color w:val="auto"/>
          <w:sz w:val="24"/>
          <w:szCs w:val="24"/>
          <w:lang w:val="pt-PT"/>
        </w:rPr>
        <w:t>pelo</w:t>
      </w:r>
      <w:r w:rsidR="00955D60" w:rsidRPr="003A1174">
        <w:rPr>
          <w:rFonts w:ascii="Garamond" w:hAnsi="Garamond" w:cs="Arial"/>
          <w:color w:val="auto"/>
          <w:sz w:val="24"/>
          <w:szCs w:val="24"/>
          <w:lang w:val="pt-PT"/>
        </w:rPr>
        <w:t xml:space="preserve"> </w:t>
      </w:r>
      <w:r w:rsidR="00C246B4" w:rsidRPr="003A1174">
        <w:rPr>
          <w:rFonts w:ascii="Garamond" w:hAnsi="Garamond" w:cs="Arial"/>
          <w:color w:val="auto"/>
          <w:sz w:val="24"/>
          <w:szCs w:val="24"/>
          <w:lang w:val="pt-PT"/>
        </w:rPr>
        <w:t>Gabinete</w:t>
      </w:r>
      <w:r w:rsidR="00955D60" w:rsidRPr="003A1174">
        <w:rPr>
          <w:rFonts w:ascii="Garamond" w:hAnsi="Garamond" w:cs="Arial"/>
          <w:color w:val="auto"/>
          <w:sz w:val="24"/>
          <w:szCs w:val="24"/>
          <w:lang w:val="pt-PT"/>
        </w:rPr>
        <w:t xml:space="preserve"> da </w:t>
      </w:r>
      <w:r w:rsidR="00AF192F" w:rsidRPr="003A1174">
        <w:rPr>
          <w:rFonts w:ascii="Garamond" w:hAnsi="Garamond" w:cs="Arial"/>
          <w:color w:val="auto"/>
          <w:sz w:val="24"/>
          <w:szCs w:val="24"/>
          <w:lang w:val="pt-PT"/>
        </w:rPr>
        <w:t>Mulher</w:t>
      </w:r>
      <w:r w:rsidR="00955D60" w:rsidRPr="003A1174">
        <w:rPr>
          <w:rFonts w:ascii="Garamond" w:hAnsi="Garamond" w:cs="Arial"/>
          <w:color w:val="auto"/>
          <w:sz w:val="24"/>
          <w:szCs w:val="24"/>
          <w:lang w:val="pt-PT"/>
        </w:rPr>
        <w:t xml:space="preserve"> d</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Suprem</w:t>
      </w:r>
      <w:r w:rsidR="00EF1F27">
        <w:rPr>
          <w:rFonts w:ascii="Garamond" w:hAnsi="Garamond" w:cs="Arial"/>
          <w:color w:val="auto"/>
          <w:sz w:val="24"/>
          <w:szCs w:val="24"/>
          <w:lang w:val="pt-PT"/>
        </w:rPr>
        <w:t>o</w:t>
      </w:r>
      <w:r w:rsidR="00955D60" w:rsidRPr="003A1174">
        <w:rPr>
          <w:rFonts w:ascii="Garamond" w:hAnsi="Garamond" w:cs="Arial"/>
          <w:color w:val="auto"/>
          <w:sz w:val="24"/>
          <w:szCs w:val="24"/>
          <w:lang w:val="pt-PT"/>
        </w:rPr>
        <w:t xml:space="preserve"> </w:t>
      </w:r>
      <w:r w:rsidR="00EF1F27">
        <w:rPr>
          <w:rFonts w:ascii="Garamond" w:hAnsi="Garamond" w:cs="Arial"/>
          <w:color w:val="auto"/>
          <w:sz w:val="24"/>
          <w:szCs w:val="24"/>
          <w:lang w:val="pt-PT"/>
        </w:rPr>
        <w:t xml:space="preserve">Tribunal </w:t>
      </w:r>
      <w:r w:rsidR="00955D60" w:rsidRPr="003A1174">
        <w:rPr>
          <w:rFonts w:ascii="Garamond" w:hAnsi="Garamond" w:cs="Arial"/>
          <w:color w:val="auto"/>
          <w:sz w:val="24"/>
          <w:szCs w:val="24"/>
          <w:lang w:val="pt-PT"/>
        </w:rPr>
        <w:t xml:space="preserve">de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Argentina. </w:t>
      </w:r>
    </w:p>
    <w:p w:rsidR="00955D60" w:rsidRPr="003A1174" w:rsidRDefault="00D22D82" w:rsidP="00D22D82">
      <w:pPr>
        <w:spacing w:before="240" w:line="240" w:lineRule="auto"/>
        <w:jc w:val="both"/>
        <w:rPr>
          <w:rFonts w:ascii="Garamond" w:hAnsi="Garamond" w:cs="Arial"/>
          <w:sz w:val="24"/>
          <w:szCs w:val="24"/>
        </w:rPr>
      </w:pPr>
      <w:r w:rsidRPr="003A1174">
        <w:rPr>
          <w:rFonts w:ascii="Garamond" w:hAnsi="Garamond" w:cs="Arial"/>
          <w:sz w:val="24"/>
          <w:szCs w:val="24"/>
        </w:rPr>
        <w:t>É importante salientar que</w:t>
      </w:r>
      <w:r w:rsidR="00AA231C">
        <w:rPr>
          <w:rFonts w:ascii="Garamond" w:hAnsi="Garamond" w:cs="Arial"/>
          <w:sz w:val="24"/>
          <w:szCs w:val="24"/>
        </w:rPr>
        <w:t>,</w:t>
      </w:r>
      <w:r w:rsidRPr="003A1174">
        <w:rPr>
          <w:rFonts w:ascii="Garamond" w:hAnsi="Garamond" w:cs="Arial"/>
          <w:sz w:val="24"/>
          <w:szCs w:val="24"/>
        </w:rPr>
        <w:t xml:space="preserve"> </w:t>
      </w:r>
      <w:r w:rsidR="00955D60" w:rsidRPr="003A1174">
        <w:rPr>
          <w:rFonts w:ascii="Garamond" w:hAnsi="Garamond" w:cs="Arial"/>
          <w:sz w:val="24"/>
          <w:szCs w:val="24"/>
        </w:rPr>
        <w:t xml:space="preserve">a </w:t>
      </w:r>
      <w:r w:rsidR="00D37CF3" w:rsidRPr="003A1174">
        <w:rPr>
          <w:rFonts w:ascii="Garamond" w:hAnsi="Garamond" w:cs="Arial"/>
          <w:sz w:val="24"/>
          <w:szCs w:val="24"/>
        </w:rPr>
        <w:t>metodologia</w:t>
      </w:r>
      <w:r w:rsidR="00955D60" w:rsidRPr="003A1174">
        <w:rPr>
          <w:rFonts w:ascii="Garamond" w:hAnsi="Garamond" w:cs="Arial"/>
          <w:sz w:val="24"/>
          <w:szCs w:val="24"/>
        </w:rPr>
        <w:t xml:space="preserve"> </w:t>
      </w:r>
      <w:r w:rsidR="00497503" w:rsidRPr="003A1174">
        <w:rPr>
          <w:rFonts w:ascii="Garamond" w:hAnsi="Garamond" w:cs="Arial"/>
          <w:sz w:val="24"/>
          <w:szCs w:val="24"/>
        </w:rPr>
        <w:t>dos</w:t>
      </w:r>
      <w:r w:rsidR="00955D60" w:rsidRPr="003A1174">
        <w:rPr>
          <w:rFonts w:ascii="Garamond" w:hAnsi="Garamond" w:cs="Arial"/>
          <w:sz w:val="24"/>
          <w:szCs w:val="24"/>
        </w:rPr>
        <w:t xml:space="preserve"> </w:t>
      </w:r>
      <w:r w:rsidR="00C15C97" w:rsidRPr="003A1174">
        <w:rPr>
          <w:rFonts w:ascii="Garamond" w:hAnsi="Garamond" w:cs="Arial"/>
          <w:i/>
          <w:sz w:val="24"/>
          <w:szCs w:val="24"/>
        </w:rPr>
        <w:t>ateliers</w:t>
      </w:r>
      <w:r w:rsidR="00AA231C">
        <w:rPr>
          <w:rFonts w:ascii="Garamond" w:hAnsi="Garamond" w:cs="Arial"/>
          <w:i/>
          <w:sz w:val="24"/>
          <w:szCs w:val="24"/>
        </w:rPr>
        <w:t>,</w:t>
      </w:r>
      <w:r w:rsidR="00955D60" w:rsidRPr="003A1174">
        <w:rPr>
          <w:rFonts w:ascii="Garamond" w:hAnsi="Garamond" w:cs="Arial"/>
          <w:sz w:val="24"/>
          <w:szCs w:val="24"/>
        </w:rPr>
        <w:t xml:space="preserve"> </w:t>
      </w:r>
      <w:r w:rsidR="00462B11" w:rsidRPr="003A1174">
        <w:rPr>
          <w:rFonts w:ascii="Garamond" w:hAnsi="Garamond" w:cs="Arial"/>
          <w:sz w:val="24"/>
          <w:szCs w:val="24"/>
        </w:rPr>
        <w:t>foi</w:t>
      </w:r>
      <w:r w:rsidR="00955D60" w:rsidRPr="003A1174">
        <w:rPr>
          <w:rFonts w:ascii="Garamond" w:hAnsi="Garamond" w:cs="Arial"/>
          <w:sz w:val="24"/>
          <w:szCs w:val="24"/>
        </w:rPr>
        <w:t xml:space="preserve"> elaborada </w:t>
      </w:r>
      <w:r w:rsidRPr="003A1174">
        <w:rPr>
          <w:rFonts w:ascii="Garamond" w:hAnsi="Garamond" w:cs="Arial"/>
          <w:sz w:val="24"/>
          <w:szCs w:val="24"/>
        </w:rPr>
        <w:t>pelo</w:t>
      </w:r>
      <w:r w:rsidR="00955D60" w:rsidRPr="003A1174">
        <w:rPr>
          <w:rFonts w:ascii="Garamond" w:hAnsi="Garamond" w:cs="Arial"/>
          <w:sz w:val="24"/>
          <w:szCs w:val="24"/>
        </w:rPr>
        <w:t xml:space="preserve"> </w:t>
      </w:r>
      <w:r w:rsidR="00C246B4" w:rsidRPr="003A1174">
        <w:rPr>
          <w:rFonts w:ascii="Garamond" w:hAnsi="Garamond" w:cs="Arial"/>
          <w:sz w:val="24"/>
          <w:szCs w:val="24"/>
        </w:rPr>
        <w:t>Gabinete</w:t>
      </w:r>
      <w:r w:rsidR="00955D60" w:rsidRPr="003A1174">
        <w:rPr>
          <w:rFonts w:ascii="Garamond" w:hAnsi="Garamond" w:cs="Arial"/>
          <w:sz w:val="24"/>
          <w:szCs w:val="24"/>
        </w:rPr>
        <w:t xml:space="preserve"> da </w:t>
      </w:r>
      <w:r w:rsidR="00AF192F" w:rsidRPr="003A1174">
        <w:rPr>
          <w:rFonts w:ascii="Garamond" w:hAnsi="Garamond" w:cs="Arial"/>
          <w:sz w:val="24"/>
          <w:szCs w:val="24"/>
        </w:rPr>
        <w:t>Mulher</w:t>
      </w:r>
      <w:r w:rsidRPr="003A1174">
        <w:rPr>
          <w:rFonts w:ascii="Garamond" w:hAnsi="Garamond" w:cs="Arial"/>
          <w:sz w:val="24"/>
          <w:szCs w:val="24"/>
        </w:rPr>
        <w:t xml:space="preserve"> d</w:t>
      </w:r>
      <w:r w:rsidR="00EF1F27">
        <w:rPr>
          <w:rFonts w:ascii="Garamond" w:hAnsi="Garamond" w:cs="Arial"/>
          <w:sz w:val="24"/>
          <w:szCs w:val="24"/>
        </w:rPr>
        <w:t>o</w:t>
      </w:r>
      <w:r w:rsidR="00955D60" w:rsidRPr="003A1174">
        <w:rPr>
          <w:rFonts w:ascii="Garamond" w:hAnsi="Garamond" w:cs="Arial"/>
          <w:sz w:val="24"/>
          <w:szCs w:val="24"/>
        </w:rPr>
        <w:t xml:space="preserve"> Suprem</w:t>
      </w:r>
      <w:r w:rsidR="00EF1F27">
        <w:rPr>
          <w:rFonts w:ascii="Garamond" w:hAnsi="Garamond" w:cs="Arial"/>
          <w:sz w:val="24"/>
          <w:szCs w:val="24"/>
        </w:rPr>
        <w:t>o Tribunal</w:t>
      </w:r>
      <w:r w:rsidR="00955D60" w:rsidRPr="003A1174">
        <w:rPr>
          <w:rFonts w:ascii="Garamond" w:hAnsi="Garamond" w:cs="Arial"/>
          <w:sz w:val="24"/>
          <w:szCs w:val="24"/>
        </w:rPr>
        <w:t xml:space="preserve"> de </w:t>
      </w:r>
      <w:r w:rsidR="00FC1F7F" w:rsidRPr="003A1174">
        <w:rPr>
          <w:rFonts w:ascii="Garamond" w:hAnsi="Garamond" w:cs="Arial"/>
          <w:sz w:val="24"/>
          <w:szCs w:val="24"/>
        </w:rPr>
        <w:t>Justiça</w:t>
      </w:r>
      <w:r w:rsidR="00955D60" w:rsidRPr="003A1174">
        <w:rPr>
          <w:rFonts w:ascii="Garamond" w:hAnsi="Garamond" w:cs="Arial"/>
          <w:sz w:val="24"/>
          <w:szCs w:val="24"/>
        </w:rPr>
        <w:t xml:space="preserve"> </w:t>
      </w:r>
      <w:r w:rsidRPr="003A1174">
        <w:rPr>
          <w:rFonts w:ascii="Garamond" w:hAnsi="Garamond" w:cs="Arial"/>
          <w:sz w:val="24"/>
          <w:szCs w:val="24"/>
        </w:rPr>
        <w:t>d</w:t>
      </w:r>
      <w:r w:rsidR="00955D60" w:rsidRPr="003A1174">
        <w:rPr>
          <w:rFonts w:ascii="Garamond" w:hAnsi="Garamond" w:cs="Arial"/>
          <w:sz w:val="24"/>
          <w:szCs w:val="24"/>
        </w:rPr>
        <w:t>a Argentina</w:t>
      </w:r>
      <w:r w:rsidR="00064FDA" w:rsidRPr="003A1174">
        <w:rPr>
          <w:rFonts w:ascii="Garamond" w:hAnsi="Garamond" w:cs="Arial"/>
          <w:sz w:val="24"/>
          <w:szCs w:val="24"/>
        </w:rPr>
        <w:t>,</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CA633E" w:rsidRPr="003A1174">
        <w:rPr>
          <w:rFonts w:ascii="Garamond" w:hAnsi="Garamond" w:cs="Arial"/>
          <w:sz w:val="24"/>
          <w:szCs w:val="24"/>
        </w:rPr>
        <w:t>colaboração</w:t>
      </w:r>
      <w:r w:rsidR="00955D60" w:rsidRPr="003A1174">
        <w:rPr>
          <w:rFonts w:ascii="Garamond" w:hAnsi="Garamond" w:cs="Arial"/>
          <w:sz w:val="24"/>
          <w:szCs w:val="24"/>
        </w:rPr>
        <w:t xml:space="preserve"> co</w:t>
      </w:r>
      <w:r w:rsidRPr="003A1174">
        <w:rPr>
          <w:rFonts w:ascii="Garamond" w:hAnsi="Garamond" w:cs="Arial"/>
          <w:sz w:val="24"/>
          <w:szCs w:val="24"/>
        </w:rPr>
        <w:t>m o Programa das Nações</w:t>
      </w:r>
      <w:r w:rsidR="00955D60" w:rsidRPr="003A1174">
        <w:rPr>
          <w:rFonts w:ascii="Garamond" w:hAnsi="Garamond" w:cs="Arial"/>
          <w:sz w:val="24"/>
          <w:szCs w:val="24"/>
        </w:rPr>
        <w:t xml:space="preserve"> Unidas, </w:t>
      </w:r>
      <w:r w:rsidR="00AA231C">
        <w:rPr>
          <w:rFonts w:ascii="Garamond" w:hAnsi="Garamond" w:cs="Arial"/>
          <w:sz w:val="24"/>
          <w:szCs w:val="24"/>
        </w:rPr>
        <w:t xml:space="preserve">tendo presente a </w:t>
      </w:r>
      <w:r w:rsidRPr="003A1174">
        <w:rPr>
          <w:rFonts w:ascii="Garamond" w:hAnsi="Garamond" w:cs="Arial"/>
          <w:sz w:val="24"/>
          <w:szCs w:val="24"/>
        </w:rPr>
        <w:t xml:space="preserve">sua </w:t>
      </w:r>
      <w:r w:rsidR="00B14AA6" w:rsidRPr="003A1174">
        <w:rPr>
          <w:rFonts w:ascii="Garamond" w:hAnsi="Garamond" w:cs="Arial"/>
          <w:sz w:val="24"/>
          <w:szCs w:val="24"/>
        </w:rPr>
        <w:t>aplicação</w:t>
      </w:r>
      <w:r w:rsidR="00955D60" w:rsidRPr="003A1174">
        <w:rPr>
          <w:rFonts w:ascii="Garamond" w:hAnsi="Garamond" w:cs="Arial"/>
          <w:sz w:val="24"/>
          <w:szCs w:val="24"/>
        </w:rPr>
        <w:t xml:space="preserve"> </w:t>
      </w:r>
      <w:r w:rsidRPr="003A1174">
        <w:rPr>
          <w:rFonts w:ascii="Garamond" w:hAnsi="Garamond" w:cs="Arial"/>
          <w:sz w:val="24"/>
          <w:szCs w:val="24"/>
        </w:rPr>
        <w:t>n</w:t>
      </w:r>
      <w:r w:rsidR="00955D60" w:rsidRPr="003A1174">
        <w:rPr>
          <w:rFonts w:ascii="Garamond" w:hAnsi="Garamond" w:cs="Arial"/>
          <w:sz w:val="24"/>
          <w:szCs w:val="24"/>
        </w:rPr>
        <w:t xml:space="preserve">a </w:t>
      </w:r>
      <w:r w:rsidR="0017447A" w:rsidRPr="003A1174">
        <w:rPr>
          <w:rFonts w:ascii="Garamond" w:hAnsi="Garamond" w:cs="Arial"/>
          <w:sz w:val="24"/>
          <w:szCs w:val="24"/>
        </w:rPr>
        <w:t>região</w:t>
      </w:r>
      <w:r w:rsidR="00955D60" w:rsidRPr="003A1174">
        <w:rPr>
          <w:rFonts w:ascii="Garamond" w:hAnsi="Garamond" w:cs="Arial"/>
          <w:sz w:val="24"/>
          <w:szCs w:val="24"/>
        </w:rPr>
        <w:t xml:space="preserve"> americana,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AA231C">
        <w:rPr>
          <w:rFonts w:ascii="Garamond" w:hAnsi="Garamond" w:cs="Arial"/>
          <w:sz w:val="24"/>
          <w:szCs w:val="24"/>
        </w:rPr>
        <w:t xml:space="preserve">na perspetiva </w:t>
      </w:r>
      <w:r w:rsidR="00955D60" w:rsidRPr="003A1174">
        <w:rPr>
          <w:rFonts w:ascii="Garamond" w:hAnsi="Garamond" w:cs="Arial"/>
          <w:sz w:val="24"/>
          <w:szCs w:val="24"/>
        </w:rPr>
        <w:t>internacional vigente</w:t>
      </w:r>
      <w:r w:rsidR="00AA231C">
        <w:rPr>
          <w:rFonts w:ascii="Garamond" w:hAnsi="Garamond" w:cs="Arial"/>
          <w:sz w:val="24"/>
          <w:szCs w:val="24"/>
        </w:rPr>
        <w:t>,</w:t>
      </w:r>
      <w:r w:rsidR="00955D60" w:rsidRPr="003A1174">
        <w:rPr>
          <w:rFonts w:ascii="Garamond" w:hAnsi="Garamond" w:cs="Arial"/>
          <w:sz w:val="24"/>
          <w:szCs w:val="24"/>
        </w:rPr>
        <w:t xml:space="preserve"> sobre </w:t>
      </w:r>
      <w:r w:rsidR="000350B1" w:rsidRPr="003A1174">
        <w:rPr>
          <w:rFonts w:ascii="Garamond" w:hAnsi="Garamond" w:cs="Arial"/>
          <w:sz w:val="24"/>
          <w:szCs w:val="24"/>
        </w:rPr>
        <w:t>violência</w:t>
      </w:r>
      <w:r w:rsidR="00955D60" w:rsidRPr="003A1174">
        <w:rPr>
          <w:rFonts w:ascii="Garamond" w:hAnsi="Garamond" w:cs="Arial"/>
          <w:sz w:val="24"/>
          <w:szCs w:val="24"/>
        </w:rPr>
        <w:t xml:space="preserve"> de género (100 </w:t>
      </w:r>
      <w:r w:rsidR="00233514" w:rsidRPr="003A1174">
        <w:rPr>
          <w:rFonts w:ascii="Garamond" w:hAnsi="Garamond" w:cs="Arial"/>
          <w:sz w:val="24"/>
          <w:szCs w:val="24"/>
        </w:rPr>
        <w:t>Regra</w:t>
      </w:r>
      <w:r w:rsidRPr="003A1174">
        <w:rPr>
          <w:rFonts w:ascii="Garamond" w:hAnsi="Garamond" w:cs="Arial"/>
          <w:sz w:val="24"/>
          <w:szCs w:val="24"/>
        </w:rPr>
        <w:t xml:space="preserve">s de </w:t>
      </w:r>
      <w:r w:rsidR="00D37CF3" w:rsidRPr="003A1174">
        <w:rPr>
          <w:rFonts w:ascii="Garamond" w:hAnsi="Garamond" w:cs="Arial"/>
          <w:sz w:val="24"/>
          <w:szCs w:val="24"/>
        </w:rPr>
        <w:t>Brasília</w:t>
      </w:r>
      <w:r w:rsidRPr="003A1174">
        <w:rPr>
          <w:rFonts w:ascii="Garamond" w:hAnsi="Garamond" w:cs="Arial"/>
          <w:sz w:val="24"/>
          <w:szCs w:val="24"/>
        </w:rPr>
        <w:t>, A</w:t>
      </w:r>
      <w:r w:rsidR="00955D60" w:rsidRPr="003A1174">
        <w:rPr>
          <w:rFonts w:ascii="Garamond" w:hAnsi="Garamond" w:cs="Arial"/>
          <w:sz w:val="24"/>
          <w:szCs w:val="24"/>
        </w:rPr>
        <w:t xml:space="preserve"> </w:t>
      </w:r>
      <w:r w:rsidR="00B14AA6" w:rsidRPr="003A1174">
        <w:rPr>
          <w:rFonts w:ascii="Garamond" w:hAnsi="Garamond" w:cs="Arial"/>
          <w:sz w:val="24"/>
          <w:szCs w:val="24"/>
        </w:rPr>
        <w:t>Convenção</w:t>
      </w:r>
      <w:r w:rsidRPr="003A1174">
        <w:rPr>
          <w:rFonts w:ascii="Garamond" w:hAnsi="Garamond" w:cs="Arial"/>
          <w:sz w:val="24"/>
          <w:szCs w:val="24"/>
        </w:rPr>
        <w:t xml:space="preserve"> para </w:t>
      </w:r>
      <w:r w:rsidR="00955D60" w:rsidRPr="003A1174">
        <w:rPr>
          <w:rFonts w:ascii="Garamond" w:hAnsi="Garamond" w:cs="Arial"/>
          <w:sz w:val="24"/>
          <w:szCs w:val="24"/>
        </w:rPr>
        <w:t xml:space="preserve">a </w:t>
      </w:r>
      <w:r w:rsidR="008E7A2A" w:rsidRPr="003A1174">
        <w:rPr>
          <w:rFonts w:ascii="Garamond" w:hAnsi="Garamond" w:cs="Arial"/>
          <w:sz w:val="24"/>
          <w:szCs w:val="24"/>
        </w:rPr>
        <w:t>Eliminação</w:t>
      </w:r>
      <w:r w:rsidRPr="003A1174">
        <w:rPr>
          <w:rFonts w:ascii="Garamond" w:hAnsi="Garamond" w:cs="Arial"/>
          <w:sz w:val="24"/>
          <w:szCs w:val="24"/>
        </w:rPr>
        <w:t xml:space="preserve"> de todas </w:t>
      </w:r>
      <w:r w:rsidR="00955D60" w:rsidRPr="003A1174">
        <w:rPr>
          <w:rFonts w:ascii="Garamond" w:hAnsi="Garamond" w:cs="Arial"/>
          <w:sz w:val="24"/>
          <w:szCs w:val="24"/>
        </w:rPr>
        <w:t xml:space="preserve">as formas de </w:t>
      </w:r>
      <w:r w:rsidR="0017447A" w:rsidRPr="003A1174">
        <w:rPr>
          <w:rFonts w:ascii="Garamond" w:hAnsi="Garamond" w:cs="Arial"/>
          <w:sz w:val="24"/>
          <w:szCs w:val="24"/>
        </w:rPr>
        <w:t>Discriminação</w:t>
      </w:r>
      <w:r w:rsidR="00955D60" w:rsidRPr="003A1174">
        <w:rPr>
          <w:rFonts w:ascii="Garamond" w:hAnsi="Garamond" w:cs="Arial"/>
          <w:sz w:val="24"/>
          <w:szCs w:val="24"/>
        </w:rPr>
        <w:t xml:space="preserve"> </w:t>
      </w:r>
      <w:r w:rsidR="00BB2B00" w:rsidRPr="003A1174">
        <w:rPr>
          <w:rFonts w:ascii="Garamond" w:hAnsi="Garamond" w:cs="Arial"/>
          <w:sz w:val="24"/>
          <w:szCs w:val="24"/>
        </w:rPr>
        <w:t>contra a</w:t>
      </w:r>
      <w:r w:rsidR="00955D60" w:rsidRPr="003A1174">
        <w:rPr>
          <w:rFonts w:ascii="Garamond" w:hAnsi="Garamond" w:cs="Arial"/>
          <w:sz w:val="24"/>
          <w:szCs w:val="24"/>
        </w:rPr>
        <w:t xml:space="preserve">s </w:t>
      </w:r>
      <w:r w:rsidR="00054EE0" w:rsidRPr="003A1174">
        <w:rPr>
          <w:rFonts w:ascii="Garamond" w:hAnsi="Garamond" w:cs="Arial"/>
          <w:sz w:val="24"/>
          <w:szCs w:val="24"/>
        </w:rPr>
        <w:t>Mulheres</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955D60" w:rsidRPr="003A1174">
        <w:rPr>
          <w:rFonts w:ascii="Garamond" w:hAnsi="Garamond" w:cs="Arial"/>
          <w:sz w:val="24"/>
          <w:szCs w:val="24"/>
        </w:rPr>
        <w:t xml:space="preserve">a </w:t>
      </w:r>
      <w:r w:rsidR="00B14AA6" w:rsidRPr="003A1174">
        <w:rPr>
          <w:rFonts w:ascii="Garamond" w:hAnsi="Garamond" w:cs="Arial"/>
          <w:sz w:val="24"/>
          <w:szCs w:val="24"/>
        </w:rPr>
        <w:t>Convenção</w:t>
      </w:r>
      <w:r w:rsidR="00955D60" w:rsidRPr="003A1174">
        <w:rPr>
          <w:rFonts w:ascii="Garamond" w:hAnsi="Garamond" w:cs="Arial"/>
          <w:sz w:val="24"/>
          <w:szCs w:val="24"/>
        </w:rPr>
        <w:t xml:space="preserve"> de Belém </w:t>
      </w:r>
      <w:r w:rsidR="007B2140">
        <w:rPr>
          <w:rFonts w:ascii="Garamond" w:hAnsi="Garamond" w:cs="Arial"/>
          <w:sz w:val="24"/>
          <w:szCs w:val="24"/>
        </w:rPr>
        <w:t>d</w:t>
      </w:r>
      <w:r w:rsidR="00955D60" w:rsidRPr="003A1174">
        <w:rPr>
          <w:rFonts w:ascii="Garamond" w:hAnsi="Garamond" w:cs="Arial"/>
          <w:sz w:val="24"/>
          <w:szCs w:val="24"/>
        </w:rPr>
        <w:t xml:space="preserve">o Pará). </w:t>
      </w:r>
    </w:p>
    <w:p w:rsidR="00955D60" w:rsidRPr="003A1174" w:rsidRDefault="009E3E55" w:rsidP="008719D4">
      <w:pPr>
        <w:pStyle w:val="Prrafodelista"/>
        <w:numPr>
          <w:ilvl w:val="0"/>
          <w:numId w:val="41"/>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Novembro</w:t>
      </w:r>
      <w:r w:rsidR="00955D60" w:rsidRPr="003A1174">
        <w:rPr>
          <w:rFonts w:ascii="Garamond" w:hAnsi="Garamond" w:cs="Arial"/>
          <w:color w:val="auto"/>
          <w:sz w:val="24"/>
          <w:szCs w:val="24"/>
          <w:lang w:val="pt-PT"/>
        </w:rPr>
        <w:t xml:space="preserve"> 2013 a </w:t>
      </w:r>
      <w:r w:rsidR="00D2560E" w:rsidRPr="003A1174">
        <w:rPr>
          <w:rFonts w:ascii="Garamond" w:hAnsi="Garamond" w:cs="Arial"/>
          <w:color w:val="auto"/>
          <w:sz w:val="24"/>
          <w:szCs w:val="24"/>
          <w:lang w:val="pt-PT"/>
        </w:rPr>
        <w:t>Maio</w:t>
      </w:r>
      <w:r w:rsidR="00955D60" w:rsidRPr="003A1174">
        <w:rPr>
          <w:rFonts w:ascii="Garamond" w:hAnsi="Garamond" w:cs="Arial"/>
          <w:color w:val="auto"/>
          <w:sz w:val="24"/>
          <w:szCs w:val="24"/>
          <w:lang w:val="pt-PT"/>
        </w:rPr>
        <w:t xml:space="preserve"> 2014: </w:t>
      </w:r>
      <w:r w:rsidR="00405739" w:rsidRPr="003A1174">
        <w:rPr>
          <w:rFonts w:ascii="Garamond" w:hAnsi="Garamond" w:cs="Arial"/>
          <w:color w:val="auto"/>
          <w:sz w:val="24"/>
          <w:szCs w:val="24"/>
          <w:lang w:val="pt-PT"/>
        </w:rPr>
        <w:t>realizaram-se</w:t>
      </w:r>
      <w:r w:rsidR="00955D60" w:rsidRPr="003A1174">
        <w:rPr>
          <w:rFonts w:ascii="Garamond" w:hAnsi="Garamond" w:cs="Arial"/>
          <w:color w:val="auto"/>
          <w:sz w:val="24"/>
          <w:szCs w:val="24"/>
          <w:lang w:val="pt-PT"/>
        </w:rPr>
        <w:t xml:space="preserve"> </w:t>
      </w:r>
      <w:proofErr w:type="gramStart"/>
      <w:r w:rsidR="00955D60" w:rsidRPr="003A1174">
        <w:rPr>
          <w:rFonts w:ascii="Garamond" w:hAnsi="Garamond" w:cs="Arial"/>
          <w:color w:val="auto"/>
          <w:sz w:val="24"/>
          <w:szCs w:val="24"/>
          <w:lang w:val="pt-PT"/>
        </w:rPr>
        <w:t>5</w:t>
      </w:r>
      <w:proofErr w:type="gramEnd"/>
      <w:r w:rsidR="00955D60" w:rsidRPr="003A1174">
        <w:rPr>
          <w:rFonts w:ascii="Garamond" w:hAnsi="Garamond" w:cs="Arial"/>
          <w:color w:val="auto"/>
          <w:sz w:val="24"/>
          <w:szCs w:val="24"/>
          <w:lang w:val="pt-PT"/>
        </w:rPr>
        <w:t xml:space="preserve"> </w:t>
      </w:r>
      <w:r w:rsidR="00C15C97" w:rsidRPr="003A1174">
        <w:rPr>
          <w:rFonts w:ascii="Garamond" w:hAnsi="Garamond" w:cs="Arial"/>
          <w:i/>
          <w:color w:val="auto"/>
          <w:sz w:val="24"/>
          <w:szCs w:val="24"/>
          <w:lang w:val="pt-PT"/>
        </w:rPr>
        <w:t>ateliers</w:t>
      </w:r>
      <w:r w:rsidR="00955D60" w:rsidRPr="003A1174">
        <w:rPr>
          <w:rFonts w:ascii="Garamond" w:hAnsi="Garamond" w:cs="Arial"/>
          <w:color w:val="auto"/>
          <w:sz w:val="24"/>
          <w:szCs w:val="24"/>
          <w:lang w:val="pt-PT"/>
        </w:rPr>
        <w:t xml:space="preserve"> de </w:t>
      </w:r>
      <w:r w:rsidR="00976FB8" w:rsidRPr="003A1174">
        <w:rPr>
          <w:rFonts w:ascii="Garamond" w:hAnsi="Garamond" w:cs="Arial"/>
          <w:color w:val="auto"/>
          <w:sz w:val="24"/>
          <w:szCs w:val="24"/>
          <w:lang w:val="pt-PT"/>
        </w:rPr>
        <w:t>Sensibilização</w:t>
      </w:r>
      <w:r w:rsidR="00955D60" w:rsidRPr="003A1174">
        <w:rPr>
          <w:rFonts w:ascii="Garamond" w:hAnsi="Garamond" w:cs="Arial"/>
          <w:color w:val="auto"/>
          <w:sz w:val="24"/>
          <w:szCs w:val="24"/>
          <w:lang w:val="pt-PT"/>
        </w:rPr>
        <w:t xml:space="preserve"> 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Género,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 xml:space="preserve">s Humanos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w:t>
      </w:r>
      <w:r w:rsidR="00D22D82" w:rsidRPr="003A1174">
        <w:rPr>
          <w:rFonts w:ascii="Garamond" w:hAnsi="Garamond" w:cs="Arial"/>
          <w:color w:val="auto"/>
          <w:sz w:val="24"/>
          <w:szCs w:val="24"/>
          <w:lang w:val="pt-PT"/>
        </w:rPr>
        <w:t xml:space="preserve">no </w:t>
      </w:r>
      <w:r w:rsidR="00955D60" w:rsidRPr="003A1174">
        <w:rPr>
          <w:rFonts w:ascii="Garamond" w:hAnsi="Garamond" w:cs="Arial"/>
          <w:color w:val="auto"/>
          <w:sz w:val="24"/>
          <w:szCs w:val="24"/>
          <w:lang w:val="pt-PT"/>
        </w:rPr>
        <w:t xml:space="preserve">Centro de </w:t>
      </w:r>
      <w:r w:rsidR="00454353" w:rsidRPr="003A1174">
        <w:rPr>
          <w:rFonts w:ascii="Garamond" w:hAnsi="Garamond" w:cs="Arial"/>
          <w:color w:val="auto"/>
          <w:sz w:val="24"/>
          <w:szCs w:val="24"/>
          <w:lang w:val="pt-PT"/>
        </w:rPr>
        <w:t>Formação</w:t>
      </w:r>
      <w:r w:rsidR="00955D60" w:rsidRPr="003A1174">
        <w:rPr>
          <w:rFonts w:ascii="Garamond" w:hAnsi="Garamond" w:cs="Arial"/>
          <w:color w:val="auto"/>
          <w:sz w:val="24"/>
          <w:szCs w:val="24"/>
          <w:lang w:val="pt-PT"/>
        </w:rPr>
        <w:t xml:space="preserve"> da </w:t>
      </w:r>
      <w:r w:rsidR="00C30647" w:rsidRPr="003A1174">
        <w:rPr>
          <w:rFonts w:ascii="Garamond" w:hAnsi="Garamond" w:cs="Arial"/>
          <w:color w:val="auto"/>
          <w:sz w:val="24"/>
          <w:szCs w:val="24"/>
          <w:lang w:val="pt-PT"/>
        </w:rPr>
        <w:t>Cooperação</w:t>
      </w:r>
      <w:r w:rsidR="00955D60" w:rsidRPr="003A1174">
        <w:rPr>
          <w:rFonts w:ascii="Garamond" w:hAnsi="Garamond" w:cs="Arial"/>
          <w:color w:val="auto"/>
          <w:sz w:val="24"/>
          <w:szCs w:val="24"/>
          <w:lang w:val="pt-PT"/>
        </w:rPr>
        <w:t xml:space="preserve"> </w:t>
      </w:r>
      <w:r w:rsidR="002C7866" w:rsidRPr="003A1174">
        <w:rPr>
          <w:rFonts w:ascii="Garamond" w:hAnsi="Garamond" w:cs="Arial"/>
          <w:color w:val="auto"/>
          <w:sz w:val="24"/>
          <w:szCs w:val="24"/>
          <w:lang w:val="pt-PT"/>
        </w:rPr>
        <w:t>Espanhola</w:t>
      </w:r>
      <w:r w:rsidR="00955D60" w:rsidRPr="003A1174">
        <w:rPr>
          <w:rFonts w:ascii="Garamond" w:hAnsi="Garamond" w:cs="Arial"/>
          <w:color w:val="auto"/>
          <w:sz w:val="24"/>
          <w:szCs w:val="24"/>
          <w:lang w:val="pt-PT"/>
        </w:rPr>
        <w:t xml:space="preserve"> 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Montevideo, dirigidos a operadores </w:t>
      </w:r>
      <w:r w:rsidR="00AA231C">
        <w:rPr>
          <w:rFonts w:ascii="Garamond" w:hAnsi="Garamond" w:cs="Arial"/>
          <w:color w:val="auto"/>
          <w:sz w:val="24"/>
          <w:szCs w:val="24"/>
          <w:lang w:val="pt-PT"/>
        </w:rPr>
        <w:t xml:space="preserve">da área </w:t>
      </w:r>
      <w:r w:rsidR="001F2F8B" w:rsidRPr="003A1174">
        <w:rPr>
          <w:rFonts w:ascii="Garamond" w:hAnsi="Garamond" w:cs="Arial"/>
          <w:color w:val="auto"/>
          <w:sz w:val="24"/>
          <w:szCs w:val="24"/>
          <w:lang w:val="pt-PT"/>
        </w:rPr>
        <w:t>jurisdicional</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altos </w:t>
      </w:r>
      <w:r w:rsidR="003E6403" w:rsidRPr="003A1174">
        <w:rPr>
          <w:rFonts w:ascii="Garamond" w:hAnsi="Garamond" w:cs="Arial"/>
          <w:color w:val="auto"/>
          <w:sz w:val="24"/>
          <w:szCs w:val="24"/>
          <w:lang w:val="pt-PT"/>
        </w:rPr>
        <w:t>funcionári</w:t>
      </w:r>
      <w:r w:rsidR="00955D60" w:rsidRPr="003A1174">
        <w:rPr>
          <w:rFonts w:ascii="Garamond" w:hAnsi="Garamond" w:cs="Arial"/>
          <w:color w:val="auto"/>
          <w:sz w:val="24"/>
          <w:szCs w:val="24"/>
          <w:lang w:val="pt-PT"/>
        </w:rPr>
        <w:t xml:space="preserve">os </w:t>
      </w:r>
      <w:r w:rsidR="00AA231C">
        <w:rPr>
          <w:rFonts w:ascii="Garamond" w:hAnsi="Garamond" w:cs="Arial"/>
          <w:color w:val="auto"/>
          <w:sz w:val="24"/>
          <w:szCs w:val="24"/>
          <w:lang w:val="pt-PT"/>
        </w:rPr>
        <w:t xml:space="preserve">da área </w:t>
      </w:r>
      <w:r w:rsidR="00955D60" w:rsidRPr="003A1174">
        <w:rPr>
          <w:rFonts w:ascii="Garamond" w:hAnsi="Garamond" w:cs="Arial"/>
          <w:color w:val="auto"/>
          <w:sz w:val="24"/>
          <w:szCs w:val="24"/>
          <w:lang w:val="pt-PT"/>
        </w:rPr>
        <w:t>administrativ</w:t>
      </w:r>
      <w:r w:rsidR="00AA231C">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w:t>
      </w:r>
    </w:p>
    <w:p w:rsidR="00955D60" w:rsidRPr="003A1174" w:rsidRDefault="00077461" w:rsidP="008719D4">
      <w:pPr>
        <w:pStyle w:val="Prrafodelista"/>
        <w:numPr>
          <w:ilvl w:val="0"/>
          <w:numId w:val="41"/>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Junho</w:t>
      </w:r>
      <w:r w:rsidR="00955D60" w:rsidRPr="003A1174">
        <w:rPr>
          <w:rFonts w:ascii="Garamond" w:hAnsi="Garamond" w:cs="Arial"/>
          <w:color w:val="auto"/>
          <w:sz w:val="24"/>
          <w:szCs w:val="24"/>
          <w:lang w:val="pt-PT"/>
        </w:rPr>
        <w:t xml:space="preserve"> 2014: </w:t>
      </w:r>
      <w:r w:rsidR="00D75A07" w:rsidRPr="003A1174">
        <w:rPr>
          <w:rFonts w:ascii="Garamond" w:hAnsi="Garamond" w:cs="Arial"/>
          <w:color w:val="auto"/>
          <w:sz w:val="24"/>
          <w:szCs w:val="24"/>
          <w:lang w:val="pt-PT"/>
        </w:rPr>
        <w:t>realizou</w:t>
      </w:r>
      <w:r w:rsidR="00D22D82" w:rsidRPr="003A1174">
        <w:rPr>
          <w:rFonts w:ascii="Garamond" w:hAnsi="Garamond" w:cs="Arial"/>
          <w:color w:val="auto"/>
          <w:sz w:val="24"/>
          <w:szCs w:val="24"/>
          <w:lang w:val="pt-PT"/>
        </w:rPr>
        <w:t>-se</w:t>
      </w:r>
      <w:r w:rsidR="00955D60" w:rsidRPr="003A1174">
        <w:rPr>
          <w:rFonts w:ascii="Garamond" w:hAnsi="Garamond" w:cs="Arial"/>
          <w:color w:val="auto"/>
          <w:sz w:val="24"/>
          <w:szCs w:val="24"/>
          <w:lang w:val="pt-PT"/>
        </w:rPr>
        <w:t xml:space="preserve"> u</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w:t>
      </w:r>
      <w:r w:rsidR="00B830CA" w:rsidRPr="003A1174">
        <w:rPr>
          <w:rFonts w:ascii="Garamond" w:hAnsi="Garamond" w:cs="Arial"/>
          <w:i/>
          <w:color w:val="auto"/>
          <w:sz w:val="24"/>
          <w:szCs w:val="24"/>
          <w:lang w:val="pt-PT"/>
        </w:rPr>
        <w:t>atelier</w:t>
      </w:r>
      <w:r w:rsidR="00955D60" w:rsidRPr="003A1174">
        <w:rPr>
          <w:rFonts w:ascii="Garamond" w:hAnsi="Garamond" w:cs="Arial"/>
          <w:color w:val="auto"/>
          <w:sz w:val="24"/>
          <w:szCs w:val="24"/>
          <w:lang w:val="pt-PT"/>
        </w:rPr>
        <w:t xml:space="preserve"> de </w:t>
      </w:r>
      <w:r w:rsidR="00976FB8" w:rsidRPr="003A1174">
        <w:rPr>
          <w:rFonts w:ascii="Garamond" w:hAnsi="Garamond" w:cs="Arial"/>
          <w:color w:val="auto"/>
          <w:sz w:val="24"/>
          <w:szCs w:val="24"/>
          <w:lang w:val="pt-PT"/>
        </w:rPr>
        <w:t>Sensibilização</w:t>
      </w:r>
      <w:r w:rsidR="00955D60" w:rsidRPr="003A1174">
        <w:rPr>
          <w:rFonts w:ascii="Garamond" w:hAnsi="Garamond" w:cs="Arial"/>
          <w:color w:val="auto"/>
          <w:sz w:val="24"/>
          <w:szCs w:val="24"/>
          <w:lang w:val="pt-PT"/>
        </w:rPr>
        <w:t xml:space="preserve"> e</w:t>
      </w:r>
      <w:r w:rsidR="00D22D82" w:rsidRPr="003A1174">
        <w:rPr>
          <w:rFonts w:ascii="Garamond" w:hAnsi="Garamond" w:cs="Arial"/>
          <w:color w:val="auto"/>
          <w:sz w:val="24"/>
          <w:szCs w:val="24"/>
          <w:lang w:val="pt-PT"/>
        </w:rPr>
        <w:t>m</w:t>
      </w:r>
      <w:r w:rsidR="00955D60" w:rsidRPr="003A1174">
        <w:rPr>
          <w:rFonts w:ascii="Garamond" w:hAnsi="Garamond" w:cs="Arial"/>
          <w:color w:val="auto"/>
          <w:sz w:val="24"/>
          <w:szCs w:val="24"/>
          <w:lang w:val="pt-PT"/>
        </w:rPr>
        <w:t xml:space="preserve"> Género,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 xml:space="preserve">s Humanos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955D60" w:rsidRPr="003A1174">
        <w:rPr>
          <w:rFonts w:ascii="Garamond" w:hAnsi="Garamond" w:cs="Arial"/>
          <w:color w:val="auto"/>
          <w:sz w:val="24"/>
          <w:szCs w:val="24"/>
          <w:lang w:val="pt-PT"/>
        </w:rPr>
        <w:t xml:space="preserve"> </w:t>
      </w:r>
      <w:r w:rsidR="00D22D82" w:rsidRPr="003A1174">
        <w:rPr>
          <w:rFonts w:ascii="Garamond" w:hAnsi="Garamond" w:cs="Arial"/>
          <w:color w:val="auto"/>
          <w:sz w:val="24"/>
          <w:szCs w:val="24"/>
          <w:lang w:val="pt-PT"/>
        </w:rPr>
        <w:t xml:space="preserve">na </w:t>
      </w:r>
      <w:r w:rsidR="00955D60" w:rsidRPr="003A1174">
        <w:rPr>
          <w:rFonts w:ascii="Garamond" w:hAnsi="Garamond" w:cs="Arial"/>
          <w:color w:val="auto"/>
          <w:sz w:val="24"/>
          <w:szCs w:val="24"/>
          <w:lang w:val="pt-PT"/>
        </w:rPr>
        <w:t xml:space="preserve">Sala García Otero </w:t>
      </w:r>
      <w:r w:rsidR="00E85E59" w:rsidRPr="003A1174">
        <w:rPr>
          <w:rFonts w:ascii="Garamond" w:hAnsi="Garamond" w:cs="Arial"/>
          <w:color w:val="auto"/>
          <w:sz w:val="24"/>
          <w:szCs w:val="24"/>
          <w:lang w:val="pt-PT"/>
        </w:rPr>
        <w:t>do</w:t>
      </w:r>
      <w:r w:rsidR="00955D60" w:rsidRPr="003A1174">
        <w:rPr>
          <w:rFonts w:ascii="Garamond" w:hAnsi="Garamond" w:cs="Arial"/>
          <w:color w:val="auto"/>
          <w:sz w:val="24"/>
          <w:szCs w:val="24"/>
          <w:lang w:val="pt-PT"/>
        </w:rPr>
        <w:t xml:space="preserve"> Poder Judicial, dirigido a </w:t>
      </w:r>
      <w:r w:rsidR="003E6403" w:rsidRPr="003A1174">
        <w:rPr>
          <w:rFonts w:ascii="Garamond" w:hAnsi="Garamond" w:cs="Arial"/>
          <w:color w:val="auto"/>
          <w:sz w:val="24"/>
          <w:szCs w:val="24"/>
          <w:lang w:val="pt-PT"/>
        </w:rPr>
        <w:t>funcionári</w:t>
      </w:r>
      <w:r w:rsidR="00955D60" w:rsidRPr="003A1174">
        <w:rPr>
          <w:rFonts w:ascii="Garamond" w:hAnsi="Garamond" w:cs="Arial"/>
          <w:color w:val="auto"/>
          <w:sz w:val="24"/>
          <w:szCs w:val="24"/>
          <w:lang w:val="pt-PT"/>
        </w:rPr>
        <w:t xml:space="preserve">os técnicos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administrativos </w:t>
      </w:r>
      <w:r w:rsidR="00497503" w:rsidRPr="003A1174">
        <w:rPr>
          <w:rFonts w:ascii="Garamond" w:hAnsi="Garamond" w:cs="Arial"/>
          <w:color w:val="auto"/>
          <w:sz w:val="24"/>
          <w:szCs w:val="24"/>
          <w:lang w:val="pt-PT"/>
        </w:rPr>
        <w:t>das</w:t>
      </w:r>
      <w:r w:rsidR="00955D60" w:rsidRPr="003A1174">
        <w:rPr>
          <w:rFonts w:ascii="Garamond" w:hAnsi="Garamond" w:cs="Arial"/>
          <w:color w:val="auto"/>
          <w:sz w:val="24"/>
          <w:szCs w:val="24"/>
          <w:lang w:val="pt-PT"/>
        </w:rPr>
        <w:t xml:space="preserve"> </w:t>
      </w:r>
      <w:r w:rsidR="00D22D82" w:rsidRPr="003A1174">
        <w:rPr>
          <w:rFonts w:ascii="Garamond" w:hAnsi="Garamond" w:cs="Arial"/>
          <w:color w:val="auto"/>
          <w:sz w:val="24"/>
          <w:szCs w:val="24"/>
          <w:lang w:val="pt-PT"/>
        </w:rPr>
        <w:t>Divisões</w:t>
      </w:r>
      <w:r w:rsidR="00955D60" w:rsidRPr="003A1174">
        <w:rPr>
          <w:rFonts w:ascii="Garamond" w:hAnsi="Garamond" w:cs="Arial"/>
          <w:color w:val="auto"/>
          <w:sz w:val="24"/>
          <w:szCs w:val="24"/>
          <w:lang w:val="pt-PT"/>
        </w:rPr>
        <w:t xml:space="preserve"> </w:t>
      </w:r>
      <w:r w:rsidR="00064FDA" w:rsidRPr="003A1174">
        <w:rPr>
          <w:rFonts w:ascii="Garamond" w:hAnsi="Garamond" w:cs="Arial"/>
          <w:color w:val="auto"/>
          <w:sz w:val="24"/>
          <w:szCs w:val="24"/>
          <w:lang w:val="pt-PT"/>
        </w:rPr>
        <w:t xml:space="preserve">de </w:t>
      </w:r>
      <w:r w:rsidR="00955D60" w:rsidRPr="003A1174">
        <w:rPr>
          <w:rFonts w:ascii="Garamond" w:hAnsi="Garamond" w:cs="Arial"/>
          <w:color w:val="auto"/>
          <w:sz w:val="24"/>
          <w:szCs w:val="24"/>
          <w:lang w:val="pt-PT"/>
        </w:rPr>
        <w:t xml:space="preserve">Recursos Humanos, Arquitetura, Informática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Tecnologia</w:t>
      </w:r>
      <w:r w:rsidR="00955D60" w:rsidRPr="003A1174">
        <w:rPr>
          <w:rFonts w:ascii="Garamond" w:hAnsi="Garamond" w:cs="Arial"/>
          <w:color w:val="auto"/>
          <w:sz w:val="24"/>
          <w:szCs w:val="24"/>
          <w:lang w:val="pt-PT"/>
        </w:rPr>
        <w:t xml:space="preserve">. </w:t>
      </w:r>
    </w:p>
    <w:p w:rsidR="00955D60" w:rsidRPr="003A1174" w:rsidRDefault="00D22D82" w:rsidP="008719D4">
      <w:pPr>
        <w:spacing w:before="240" w:line="240" w:lineRule="auto"/>
        <w:jc w:val="both"/>
        <w:rPr>
          <w:rFonts w:ascii="Garamond" w:hAnsi="Garamond" w:cs="Arial"/>
          <w:sz w:val="24"/>
          <w:szCs w:val="24"/>
        </w:rPr>
      </w:pPr>
      <w:r w:rsidRPr="003A1174">
        <w:rPr>
          <w:rFonts w:ascii="Garamond" w:hAnsi="Garamond" w:cs="Arial"/>
          <w:sz w:val="24"/>
          <w:szCs w:val="24"/>
        </w:rPr>
        <w:t>Na área d</w:t>
      </w:r>
      <w:r w:rsidR="00955D60" w:rsidRPr="003A1174">
        <w:rPr>
          <w:rFonts w:ascii="Garamond" w:hAnsi="Garamond" w:cs="Arial"/>
          <w:sz w:val="24"/>
          <w:szCs w:val="24"/>
        </w:rPr>
        <w:t xml:space="preserve">a </w:t>
      </w:r>
      <w:r w:rsidR="007C63D0" w:rsidRPr="003A1174">
        <w:rPr>
          <w:rFonts w:ascii="Garamond" w:hAnsi="Garamond" w:cs="Arial"/>
          <w:sz w:val="24"/>
          <w:szCs w:val="24"/>
        </w:rPr>
        <w:t>Saúde</w:t>
      </w:r>
      <w:r w:rsidRPr="003A1174">
        <w:rPr>
          <w:rFonts w:ascii="Garamond" w:hAnsi="Garamond" w:cs="Arial"/>
          <w:sz w:val="24"/>
          <w:szCs w:val="24"/>
        </w:rPr>
        <w:t>, a</w:t>
      </w:r>
      <w:r w:rsidR="00955D60" w:rsidRPr="003A1174">
        <w:rPr>
          <w:rFonts w:ascii="Garamond" w:hAnsi="Garamond" w:cs="Arial"/>
          <w:sz w:val="24"/>
          <w:szCs w:val="24"/>
        </w:rPr>
        <w:t xml:space="preserve">s </w:t>
      </w:r>
      <w:r w:rsidR="00C30647" w:rsidRPr="003A1174">
        <w:rPr>
          <w:rFonts w:ascii="Garamond" w:hAnsi="Garamond" w:cs="Arial"/>
          <w:sz w:val="24"/>
          <w:szCs w:val="24"/>
        </w:rPr>
        <w:t>Equipa</w:t>
      </w:r>
      <w:r w:rsidR="00955D60" w:rsidRPr="003A1174">
        <w:rPr>
          <w:rFonts w:ascii="Garamond" w:hAnsi="Garamond" w:cs="Arial"/>
          <w:sz w:val="24"/>
          <w:szCs w:val="24"/>
        </w:rPr>
        <w:t xml:space="preserve">s de </w:t>
      </w:r>
      <w:r w:rsidR="00CB5DB2" w:rsidRPr="003A1174">
        <w:rPr>
          <w:rFonts w:ascii="Garamond" w:hAnsi="Garamond" w:cs="Arial"/>
          <w:sz w:val="24"/>
          <w:szCs w:val="24"/>
        </w:rPr>
        <w:t>Referência</w:t>
      </w:r>
      <w:r w:rsidR="00AA231C">
        <w:rPr>
          <w:rFonts w:ascii="Garamond" w:hAnsi="Garamond" w:cs="Arial"/>
          <w:sz w:val="24"/>
          <w:szCs w:val="24"/>
        </w:rPr>
        <w:t>,</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0350B1" w:rsidRPr="003A1174">
        <w:rPr>
          <w:rFonts w:ascii="Garamond" w:hAnsi="Garamond" w:cs="Arial"/>
          <w:sz w:val="24"/>
          <w:szCs w:val="24"/>
        </w:rPr>
        <w:t>violência</w:t>
      </w:r>
      <w:r w:rsidR="00955D60" w:rsidRPr="003A1174">
        <w:rPr>
          <w:rFonts w:ascii="Garamond" w:hAnsi="Garamond" w:cs="Arial"/>
          <w:sz w:val="24"/>
          <w:szCs w:val="24"/>
        </w:rPr>
        <w:t xml:space="preserve"> doméstica</w:t>
      </w:r>
      <w:r w:rsidR="00AA231C">
        <w:rPr>
          <w:rFonts w:ascii="Garamond" w:hAnsi="Garamond" w:cs="Arial"/>
          <w:sz w:val="24"/>
          <w:szCs w:val="24"/>
        </w:rPr>
        <w:t>,</w:t>
      </w:r>
      <w:r w:rsidR="00955D60" w:rsidRPr="003A1174">
        <w:rPr>
          <w:rFonts w:ascii="Garamond" w:hAnsi="Garamond" w:cs="Arial"/>
          <w:sz w:val="24"/>
          <w:szCs w:val="24"/>
        </w:rPr>
        <w:t xml:space="preserve">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2C7510" w:rsidRPr="003A1174">
        <w:rPr>
          <w:rFonts w:ascii="Garamond" w:hAnsi="Garamond" w:cs="Arial"/>
          <w:sz w:val="24"/>
          <w:szCs w:val="24"/>
        </w:rPr>
        <w:t>instituições</w:t>
      </w:r>
      <w:r w:rsidR="00955D60" w:rsidRPr="003A1174">
        <w:rPr>
          <w:rFonts w:ascii="Garamond" w:hAnsi="Garamond" w:cs="Arial"/>
          <w:sz w:val="24"/>
          <w:szCs w:val="24"/>
        </w:rPr>
        <w:t xml:space="preserve"> de </w:t>
      </w:r>
      <w:r w:rsidR="007C63D0" w:rsidRPr="003A1174">
        <w:rPr>
          <w:rFonts w:ascii="Garamond" w:hAnsi="Garamond" w:cs="Arial"/>
          <w:sz w:val="24"/>
          <w:szCs w:val="24"/>
        </w:rPr>
        <w:t>Saúde</w:t>
      </w:r>
      <w:r w:rsidR="00955D60" w:rsidRPr="003A1174">
        <w:rPr>
          <w:rFonts w:ascii="Garamond" w:hAnsi="Garamond" w:cs="Arial"/>
          <w:sz w:val="24"/>
          <w:szCs w:val="24"/>
        </w:rPr>
        <w:t xml:space="preserve"> públicas </w:t>
      </w:r>
      <w:r w:rsidR="000672E8" w:rsidRPr="003A1174">
        <w:rPr>
          <w:rFonts w:ascii="Garamond" w:hAnsi="Garamond" w:cs="Arial"/>
          <w:sz w:val="24"/>
          <w:szCs w:val="24"/>
        </w:rPr>
        <w:t>e</w:t>
      </w:r>
      <w:r w:rsidR="00955D60" w:rsidRPr="003A1174">
        <w:rPr>
          <w:rFonts w:ascii="Garamond" w:hAnsi="Garamond" w:cs="Arial"/>
          <w:sz w:val="24"/>
          <w:szCs w:val="24"/>
        </w:rPr>
        <w:t xml:space="preserve"> privadas</w:t>
      </w:r>
      <w:r w:rsidR="00AA231C">
        <w:rPr>
          <w:rFonts w:ascii="Garamond" w:hAnsi="Garamond" w:cs="Arial"/>
          <w:sz w:val="24"/>
          <w:szCs w:val="24"/>
        </w:rPr>
        <w:t>,</w:t>
      </w:r>
      <w:r w:rsidR="00955D60" w:rsidRPr="003A1174">
        <w:rPr>
          <w:rFonts w:ascii="Garamond" w:hAnsi="Garamond" w:cs="Arial"/>
          <w:sz w:val="24"/>
          <w:szCs w:val="24"/>
        </w:rPr>
        <w:t xml:space="preserve"> </w:t>
      </w:r>
      <w:r w:rsidR="00FB09CA" w:rsidRPr="003A1174">
        <w:rPr>
          <w:rFonts w:ascii="Garamond" w:hAnsi="Garamond" w:cs="Arial"/>
          <w:sz w:val="24"/>
          <w:szCs w:val="24"/>
        </w:rPr>
        <w:t>constitu</w:t>
      </w:r>
      <w:r w:rsidRPr="003A1174">
        <w:rPr>
          <w:rFonts w:ascii="Garamond" w:hAnsi="Garamond" w:cs="Arial"/>
          <w:sz w:val="24"/>
          <w:szCs w:val="24"/>
        </w:rPr>
        <w:t xml:space="preserve">em uma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2F5CD1" w:rsidRPr="003A1174">
        <w:rPr>
          <w:rFonts w:ascii="Garamond" w:hAnsi="Garamond" w:cs="Arial"/>
          <w:sz w:val="24"/>
          <w:szCs w:val="24"/>
        </w:rPr>
        <w:t>principais</w:t>
      </w:r>
      <w:r w:rsidR="00955D60" w:rsidRPr="003A1174">
        <w:rPr>
          <w:rFonts w:ascii="Garamond" w:hAnsi="Garamond" w:cs="Arial"/>
          <w:sz w:val="24"/>
          <w:szCs w:val="24"/>
        </w:rPr>
        <w:t xml:space="preserve"> </w:t>
      </w:r>
      <w:r w:rsidR="003F012B" w:rsidRPr="003A1174">
        <w:rPr>
          <w:rFonts w:ascii="Garamond" w:hAnsi="Garamond" w:cs="Arial"/>
          <w:sz w:val="24"/>
          <w:szCs w:val="24"/>
        </w:rPr>
        <w:t>linhas</w:t>
      </w:r>
      <w:r w:rsidR="00955D60" w:rsidRPr="003A1174">
        <w:rPr>
          <w:rFonts w:ascii="Garamond" w:hAnsi="Garamond" w:cs="Arial"/>
          <w:sz w:val="24"/>
          <w:szCs w:val="24"/>
        </w:rPr>
        <w:t xml:space="preserve"> de </w:t>
      </w:r>
      <w:r w:rsidR="0017447A" w:rsidRPr="003A1174">
        <w:rPr>
          <w:rFonts w:ascii="Garamond" w:hAnsi="Garamond" w:cs="Arial"/>
          <w:sz w:val="24"/>
          <w:szCs w:val="24"/>
        </w:rPr>
        <w:t>trabalho</w:t>
      </w:r>
      <w:r w:rsidR="00955D60" w:rsidRPr="003A1174">
        <w:rPr>
          <w:rFonts w:ascii="Garamond" w:hAnsi="Garamond" w:cs="Arial"/>
          <w:sz w:val="24"/>
          <w:szCs w:val="24"/>
        </w:rPr>
        <w:t xml:space="preserve"> para </w:t>
      </w:r>
      <w:r w:rsidRPr="003A1174">
        <w:rPr>
          <w:rFonts w:ascii="Garamond" w:hAnsi="Garamond" w:cs="Arial"/>
          <w:sz w:val="24"/>
          <w:szCs w:val="24"/>
        </w:rPr>
        <w:t xml:space="preserve">o </w:t>
      </w:r>
      <w:r w:rsidR="009B133A" w:rsidRPr="003A1174">
        <w:rPr>
          <w:rFonts w:ascii="Garamond" w:hAnsi="Garamond" w:cs="Arial"/>
          <w:sz w:val="24"/>
          <w:szCs w:val="24"/>
        </w:rPr>
        <w:t>desenvolvimento</w:t>
      </w:r>
      <w:r w:rsidR="00955D60" w:rsidRPr="003A1174">
        <w:rPr>
          <w:rFonts w:ascii="Garamond" w:hAnsi="Garamond" w:cs="Arial"/>
          <w:sz w:val="24"/>
          <w:szCs w:val="24"/>
        </w:rPr>
        <w:t xml:space="preserve"> de políticas de </w:t>
      </w:r>
      <w:r w:rsidR="008278C4" w:rsidRPr="003A1174">
        <w:rPr>
          <w:rFonts w:ascii="Garamond" w:hAnsi="Garamond" w:cs="Arial"/>
          <w:sz w:val="24"/>
          <w:szCs w:val="24"/>
        </w:rPr>
        <w:t>atenção</w:t>
      </w:r>
      <w:r w:rsidR="00955D60" w:rsidRPr="003A1174">
        <w:rPr>
          <w:rFonts w:ascii="Garamond" w:hAnsi="Garamond" w:cs="Arial"/>
          <w:sz w:val="24"/>
          <w:szCs w:val="24"/>
        </w:rPr>
        <w:t xml:space="preserve"> </w:t>
      </w:r>
      <w:r w:rsidR="00BB2B00" w:rsidRPr="003A1174">
        <w:rPr>
          <w:rFonts w:ascii="Garamond" w:hAnsi="Garamond" w:cs="Arial"/>
          <w:sz w:val="24"/>
          <w:szCs w:val="24"/>
        </w:rPr>
        <w:t>à</w:t>
      </w:r>
      <w:r w:rsidR="00955D60" w:rsidRPr="003A1174">
        <w:rPr>
          <w:rFonts w:ascii="Garamond" w:hAnsi="Garamond" w:cs="Arial"/>
          <w:sz w:val="24"/>
          <w:szCs w:val="24"/>
        </w:rPr>
        <w:t xml:space="preserve">s </w:t>
      </w:r>
      <w:r w:rsidR="007342D9" w:rsidRPr="003A1174">
        <w:rPr>
          <w:rFonts w:ascii="Garamond" w:hAnsi="Garamond" w:cs="Arial"/>
          <w:sz w:val="24"/>
          <w:szCs w:val="24"/>
        </w:rPr>
        <w:t>situações</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Pr="003A1174">
        <w:rPr>
          <w:rFonts w:ascii="Garamond" w:hAnsi="Garamond" w:cs="Arial"/>
          <w:sz w:val="24"/>
          <w:szCs w:val="24"/>
        </w:rPr>
        <w:t xml:space="preserve">no </w:t>
      </w:r>
      <w:r w:rsidR="00F96DD1" w:rsidRPr="003A1174">
        <w:rPr>
          <w:rFonts w:ascii="Garamond" w:hAnsi="Garamond" w:cs="Arial"/>
          <w:sz w:val="24"/>
          <w:szCs w:val="24"/>
        </w:rPr>
        <w:t>setor</w:t>
      </w:r>
      <w:r w:rsidR="00955D60" w:rsidRPr="003A1174">
        <w:rPr>
          <w:rFonts w:ascii="Garamond" w:hAnsi="Garamond" w:cs="Arial"/>
          <w:sz w:val="24"/>
          <w:szCs w:val="24"/>
        </w:rPr>
        <w:t xml:space="preserve"> </w:t>
      </w:r>
      <w:r w:rsidR="007C63D0" w:rsidRPr="003A1174">
        <w:rPr>
          <w:rFonts w:ascii="Garamond" w:hAnsi="Garamond" w:cs="Arial"/>
          <w:sz w:val="24"/>
          <w:szCs w:val="24"/>
        </w:rPr>
        <w:t>Saúde</w:t>
      </w:r>
      <w:r w:rsidRPr="003A1174">
        <w:rPr>
          <w:rFonts w:ascii="Garamond" w:hAnsi="Garamond" w:cs="Arial"/>
          <w:sz w:val="24"/>
          <w:szCs w:val="24"/>
        </w:rPr>
        <w:t xml:space="preserve">. Em </w:t>
      </w:r>
      <w:r w:rsidR="0094067E" w:rsidRPr="003A1174">
        <w:rPr>
          <w:rFonts w:ascii="Garamond" w:hAnsi="Garamond" w:cs="Arial"/>
          <w:sz w:val="24"/>
          <w:szCs w:val="24"/>
        </w:rPr>
        <w:t>dezembro</w:t>
      </w:r>
      <w:r w:rsidR="00955D60" w:rsidRPr="003A1174">
        <w:rPr>
          <w:rFonts w:ascii="Garamond" w:hAnsi="Garamond" w:cs="Arial"/>
          <w:sz w:val="24"/>
          <w:szCs w:val="24"/>
        </w:rPr>
        <w:t xml:space="preserve"> de 2013 </w:t>
      </w:r>
      <w:r w:rsidR="00AA231C">
        <w:rPr>
          <w:rFonts w:ascii="Garamond" w:hAnsi="Garamond" w:cs="Arial"/>
          <w:sz w:val="24"/>
          <w:szCs w:val="24"/>
        </w:rPr>
        <w:t xml:space="preserve">destacaram-se </w:t>
      </w:r>
      <w:r w:rsidR="00955D60" w:rsidRPr="003A1174">
        <w:rPr>
          <w:rFonts w:ascii="Garamond" w:hAnsi="Garamond" w:cs="Arial"/>
          <w:sz w:val="24"/>
          <w:szCs w:val="24"/>
        </w:rPr>
        <w:t xml:space="preserve">112 </w:t>
      </w:r>
      <w:r w:rsidR="00C30647" w:rsidRPr="003A1174">
        <w:rPr>
          <w:rFonts w:ascii="Garamond" w:hAnsi="Garamond" w:cs="Arial"/>
          <w:sz w:val="24"/>
          <w:szCs w:val="24"/>
        </w:rPr>
        <w:t>equipa</w:t>
      </w:r>
      <w:r w:rsidR="00955D60" w:rsidRPr="003A1174">
        <w:rPr>
          <w:rFonts w:ascii="Garamond" w:hAnsi="Garamond" w:cs="Arial"/>
          <w:sz w:val="24"/>
          <w:szCs w:val="24"/>
        </w:rPr>
        <w:t xml:space="preserve">s </w:t>
      </w:r>
      <w:r w:rsidR="003A391A" w:rsidRPr="003A1174">
        <w:rPr>
          <w:rFonts w:ascii="Garamond" w:hAnsi="Garamond" w:cs="Arial"/>
          <w:sz w:val="24"/>
          <w:szCs w:val="24"/>
        </w:rPr>
        <w:t>nos</w:t>
      </w:r>
      <w:r w:rsidR="00955D60" w:rsidRPr="003A1174">
        <w:rPr>
          <w:rFonts w:ascii="Garamond" w:hAnsi="Garamond" w:cs="Arial"/>
          <w:sz w:val="24"/>
          <w:szCs w:val="24"/>
        </w:rPr>
        <w:t xml:space="preserve"> 19 departamentos </w:t>
      </w:r>
      <w:r w:rsidR="00497503" w:rsidRPr="003A1174">
        <w:rPr>
          <w:rFonts w:ascii="Garamond" w:hAnsi="Garamond" w:cs="Arial"/>
          <w:sz w:val="24"/>
          <w:szCs w:val="24"/>
        </w:rPr>
        <w:t>das</w:t>
      </w:r>
      <w:r w:rsidR="00955D60" w:rsidRPr="003A1174">
        <w:rPr>
          <w:rFonts w:ascii="Garamond" w:hAnsi="Garamond" w:cs="Arial"/>
          <w:sz w:val="24"/>
          <w:szCs w:val="24"/>
        </w:rPr>
        <w:t xml:space="preserve"> 49 </w:t>
      </w:r>
      <w:r w:rsidR="002C7510" w:rsidRPr="003A1174">
        <w:rPr>
          <w:rFonts w:ascii="Garamond" w:hAnsi="Garamond" w:cs="Arial"/>
          <w:sz w:val="24"/>
          <w:szCs w:val="24"/>
        </w:rPr>
        <w:t>instituições</w:t>
      </w:r>
      <w:r w:rsidR="00955D60" w:rsidRPr="003A1174">
        <w:rPr>
          <w:rFonts w:ascii="Garamond" w:hAnsi="Garamond" w:cs="Arial"/>
          <w:sz w:val="24"/>
          <w:szCs w:val="24"/>
        </w:rPr>
        <w:t xml:space="preserve"> que integra</w:t>
      </w:r>
      <w:r w:rsidRPr="003A1174">
        <w:rPr>
          <w:rFonts w:ascii="Garamond" w:hAnsi="Garamond" w:cs="Arial"/>
          <w:sz w:val="24"/>
          <w:szCs w:val="24"/>
        </w:rPr>
        <w:t>m o</w:t>
      </w:r>
      <w:r w:rsidR="00955D60" w:rsidRPr="003A1174">
        <w:rPr>
          <w:rFonts w:ascii="Garamond" w:hAnsi="Garamond" w:cs="Arial"/>
          <w:sz w:val="24"/>
          <w:szCs w:val="24"/>
        </w:rPr>
        <w:t xml:space="preserve"> </w:t>
      </w:r>
      <w:r w:rsidR="00064FDA" w:rsidRPr="003A1174">
        <w:rPr>
          <w:rFonts w:ascii="Garamond" w:hAnsi="Garamond" w:cs="Arial"/>
          <w:sz w:val="24"/>
          <w:szCs w:val="24"/>
        </w:rPr>
        <w:t>s</w:t>
      </w:r>
      <w:r w:rsidR="00955D60" w:rsidRPr="003A1174">
        <w:rPr>
          <w:rFonts w:ascii="Garamond" w:hAnsi="Garamond" w:cs="Arial"/>
          <w:sz w:val="24"/>
          <w:szCs w:val="24"/>
        </w:rPr>
        <w:t xml:space="preserve">istema de </w:t>
      </w:r>
      <w:r w:rsidR="007C63D0" w:rsidRPr="003A1174">
        <w:rPr>
          <w:rFonts w:ascii="Garamond" w:hAnsi="Garamond" w:cs="Arial"/>
          <w:sz w:val="24"/>
          <w:szCs w:val="24"/>
        </w:rPr>
        <w:t>Saúde</w:t>
      </w:r>
      <w:r w:rsidR="00955D60" w:rsidRPr="003A1174">
        <w:rPr>
          <w:rFonts w:ascii="Garamond" w:hAnsi="Garamond" w:cs="Arial"/>
          <w:sz w:val="24"/>
          <w:szCs w:val="24"/>
        </w:rPr>
        <w:t>.</w:t>
      </w:r>
    </w:p>
    <w:p w:rsidR="00955D60" w:rsidRPr="003A1174" w:rsidRDefault="00D22D82" w:rsidP="008719D4">
      <w:pPr>
        <w:spacing w:before="240" w:line="240" w:lineRule="auto"/>
        <w:jc w:val="both"/>
        <w:rPr>
          <w:rFonts w:ascii="Garamond" w:hAnsi="Garamond" w:cs="Arial"/>
          <w:sz w:val="24"/>
          <w:szCs w:val="24"/>
        </w:rPr>
      </w:pPr>
      <w:r w:rsidRPr="003A1174">
        <w:rPr>
          <w:rFonts w:ascii="Garamond" w:hAnsi="Garamond" w:cs="Arial"/>
          <w:sz w:val="24"/>
          <w:szCs w:val="24"/>
        </w:rPr>
        <w:t xml:space="preserve">No </w:t>
      </w:r>
      <w:r w:rsidR="002C7510" w:rsidRPr="003A1174">
        <w:rPr>
          <w:rFonts w:ascii="Garamond" w:hAnsi="Garamond" w:cs="Arial"/>
          <w:sz w:val="24"/>
          <w:szCs w:val="24"/>
        </w:rPr>
        <w:t>ano</w:t>
      </w:r>
      <w:r w:rsidR="00955D60" w:rsidRPr="003A1174">
        <w:rPr>
          <w:rFonts w:ascii="Garamond" w:hAnsi="Garamond" w:cs="Arial"/>
          <w:sz w:val="24"/>
          <w:szCs w:val="24"/>
        </w:rPr>
        <w:t xml:space="preserve"> 2007</w:t>
      </w:r>
      <w:r w:rsidR="00536960">
        <w:rPr>
          <w:rFonts w:ascii="Garamond" w:hAnsi="Garamond" w:cs="Arial"/>
          <w:sz w:val="24"/>
          <w:szCs w:val="24"/>
        </w:rPr>
        <w:t>,</w:t>
      </w:r>
      <w:r w:rsidR="00955D60" w:rsidRPr="003A1174">
        <w:rPr>
          <w:rFonts w:ascii="Garamond" w:hAnsi="Garamond" w:cs="Arial"/>
          <w:sz w:val="24"/>
          <w:szCs w:val="24"/>
        </w:rPr>
        <w:t xml:space="preserve"> </w:t>
      </w:r>
      <w:r w:rsidR="00CF3AA5">
        <w:rPr>
          <w:rFonts w:ascii="Garamond" w:hAnsi="Garamond" w:cs="Arial"/>
          <w:sz w:val="24"/>
          <w:szCs w:val="24"/>
        </w:rPr>
        <w:t xml:space="preserve">foi criada </w:t>
      </w:r>
      <w:r w:rsidR="00955D60" w:rsidRPr="003A1174">
        <w:rPr>
          <w:rFonts w:ascii="Garamond" w:hAnsi="Garamond" w:cs="Arial"/>
          <w:sz w:val="24"/>
          <w:szCs w:val="24"/>
        </w:rPr>
        <w:t xml:space="preserve">a </w:t>
      </w:r>
      <w:r w:rsidR="002C7510" w:rsidRPr="003A1174">
        <w:rPr>
          <w:rFonts w:ascii="Garamond" w:hAnsi="Garamond" w:cs="Arial"/>
          <w:sz w:val="24"/>
          <w:szCs w:val="24"/>
        </w:rPr>
        <w:t>Rede</w:t>
      </w:r>
      <w:r w:rsidR="00955D60" w:rsidRPr="003A1174">
        <w:rPr>
          <w:rFonts w:ascii="Garamond" w:hAnsi="Garamond" w:cs="Arial"/>
          <w:sz w:val="24"/>
          <w:szCs w:val="24"/>
        </w:rPr>
        <w:t xml:space="preserve"> de </w:t>
      </w:r>
      <w:r w:rsidR="00C30647" w:rsidRPr="003A1174">
        <w:rPr>
          <w:rFonts w:ascii="Garamond" w:hAnsi="Garamond" w:cs="Arial"/>
          <w:sz w:val="24"/>
          <w:szCs w:val="24"/>
        </w:rPr>
        <w:t>Equipa</w:t>
      </w:r>
      <w:r w:rsidR="00955D60" w:rsidRPr="003A1174">
        <w:rPr>
          <w:rFonts w:ascii="Garamond" w:hAnsi="Garamond" w:cs="Arial"/>
          <w:sz w:val="24"/>
          <w:szCs w:val="24"/>
        </w:rPr>
        <w:t>s e</w:t>
      </w:r>
      <w:r w:rsidRPr="003A1174">
        <w:rPr>
          <w:rFonts w:ascii="Garamond" w:hAnsi="Garamond" w:cs="Arial"/>
          <w:sz w:val="24"/>
          <w:szCs w:val="24"/>
        </w:rPr>
        <w:t>m</w:t>
      </w:r>
      <w:r w:rsidR="00955D60" w:rsidRPr="003A1174">
        <w:rPr>
          <w:rFonts w:ascii="Garamond" w:hAnsi="Garamond" w:cs="Arial"/>
          <w:sz w:val="24"/>
          <w:szCs w:val="24"/>
        </w:rPr>
        <w:t xml:space="preserv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7C63D0" w:rsidRPr="003A1174">
        <w:rPr>
          <w:rFonts w:ascii="Garamond" w:hAnsi="Garamond" w:cs="Arial"/>
          <w:sz w:val="24"/>
          <w:szCs w:val="24"/>
        </w:rPr>
        <w:t>Saúde</w:t>
      </w:r>
      <w:r w:rsidR="00064FDA" w:rsidRPr="003A1174">
        <w:rPr>
          <w:rFonts w:ascii="Garamond" w:hAnsi="Garamond" w:cs="Arial"/>
          <w:sz w:val="24"/>
          <w:szCs w:val="24"/>
        </w:rPr>
        <w:t>,</w:t>
      </w:r>
      <w:r w:rsidR="00955D60" w:rsidRPr="003A1174">
        <w:rPr>
          <w:rFonts w:ascii="Garamond" w:hAnsi="Garamond" w:cs="Arial"/>
          <w:sz w:val="24"/>
          <w:szCs w:val="24"/>
        </w:rPr>
        <w:t xml:space="preserve"> que </w:t>
      </w:r>
      <w:r w:rsidRPr="003A1174">
        <w:rPr>
          <w:rFonts w:ascii="Garamond" w:hAnsi="Garamond" w:cs="Arial"/>
          <w:sz w:val="24"/>
          <w:szCs w:val="24"/>
        </w:rPr>
        <w:t>coorde</w:t>
      </w:r>
      <w:r w:rsidR="00955D60" w:rsidRPr="003A1174">
        <w:rPr>
          <w:rFonts w:ascii="Garamond" w:hAnsi="Garamond" w:cs="Arial"/>
          <w:sz w:val="24"/>
          <w:szCs w:val="24"/>
        </w:rPr>
        <w:t xml:space="preserve">na </w:t>
      </w:r>
      <w:r w:rsidRPr="003A1174">
        <w:rPr>
          <w:rFonts w:ascii="Garamond" w:hAnsi="Garamond" w:cs="Arial"/>
          <w:sz w:val="24"/>
          <w:szCs w:val="24"/>
        </w:rPr>
        <w:t xml:space="preserve">o </w:t>
      </w:r>
      <w:r w:rsidR="00955D60" w:rsidRPr="003A1174">
        <w:rPr>
          <w:rFonts w:ascii="Garamond" w:hAnsi="Garamond" w:cs="Arial"/>
          <w:sz w:val="24"/>
          <w:szCs w:val="24"/>
        </w:rPr>
        <w:t xml:space="preserve">Programa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7C63D0" w:rsidRPr="003A1174">
        <w:rPr>
          <w:rFonts w:ascii="Garamond" w:hAnsi="Garamond" w:cs="Arial"/>
          <w:sz w:val="24"/>
          <w:szCs w:val="24"/>
        </w:rPr>
        <w:t>Saúde</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D77C19" w:rsidRPr="003A1174">
        <w:rPr>
          <w:rFonts w:ascii="Garamond" w:hAnsi="Garamond" w:cs="Arial"/>
          <w:sz w:val="24"/>
          <w:szCs w:val="24"/>
        </w:rPr>
        <w:t>Ministério</w:t>
      </w:r>
      <w:r w:rsidR="00955D60" w:rsidRPr="003A1174">
        <w:rPr>
          <w:rFonts w:ascii="Garamond" w:hAnsi="Garamond" w:cs="Arial"/>
          <w:sz w:val="24"/>
          <w:szCs w:val="24"/>
        </w:rPr>
        <w:t xml:space="preserve"> de </w:t>
      </w:r>
      <w:r w:rsidR="007C63D0" w:rsidRPr="003A1174">
        <w:rPr>
          <w:rFonts w:ascii="Garamond" w:hAnsi="Garamond" w:cs="Arial"/>
          <w:sz w:val="24"/>
          <w:szCs w:val="24"/>
        </w:rPr>
        <w:t>Saúde</w:t>
      </w:r>
      <w:r w:rsidR="00955D60" w:rsidRPr="003A1174">
        <w:rPr>
          <w:rFonts w:ascii="Garamond" w:hAnsi="Garamond" w:cs="Arial"/>
          <w:sz w:val="24"/>
          <w:szCs w:val="24"/>
        </w:rPr>
        <w:t xml:space="preserve"> Pública; est</w:t>
      </w:r>
      <w:r w:rsidR="00536960">
        <w:rPr>
          <w:rFonts w:ascii="Garamond" w:hAnsi="Garamond" w:cs="Arial"/>
          <w:sz w:val="24"/>
          <w:szCs w:val="24"/>
        </w:rPr>
        <w:t>a</w:t>
      </w:r>
      <w:r w:rsidR="00955D60" w:rsidRPr="003A1174">
        <w:rPr>
          <w:rFonts w:ascii="Garamond" w:hAnsi="Garamond" w:cs="Arial"/>
          <w:sz w:val="24"/>
          <w:szCs w:val="24"/>
        </w:rPr>
        <w:t xml:space="preserve"> </w:t>
      </w:r>
      <w:r w:rsidR="00536960">
        <w:rPr>
          <w:rFonts w:ascii="Garamond" w:hAnsi="Garamond" w:cs="Arial"/>
          <w:sz w:val="24"/>
          <w:szCs w:val="24"/>
        </w:rPr>
        <w:t>rede</w:t>
      </w:r>
      <w:r w:rsidRPr="003A1174">
        <w:rPr>
          <w:rFonts w:ascii="Garamond" w:hAnsi="Garamond" w:cs="Arial"/>
          <w:sz w:val="24"/>
          <w:szCs w:val="24"/>
        </w:rPr>
        <w:t xml:space="preserve">, </w:t>
      </w:r>
      <w:r w:rsidR="00CF3AA5">
        <w:rPr>
          <w:rFonts w:ascii="Garamond" w:hAnsi="Garamond" w:cs="Arial"/>
          <w:sz w:val="24"/>
          <w:szCs w:val="24"/>
        </w:rPr>
        <w:t>para além do mais,</w:t>
      </w:r>
      <w:r w:rsidRPr="003A1174">
        <w:rPr>
          <w:rFonts w:ascii="Garamond" w:hAnsi="Garamond" w:cs="Arial"/>
          <w:sz w:val="24"/>
          <w:szCs w:val="24"/>
        </w:rPr>
        <w:t xml:space="preserve"> constitui</w:t>
      </w:r>
      <w:r w:rsidR="00CF3AA5">
        <w:rPr>
          <w:rFonts w:ascii="Garamond" w:hAnsi="Garamond" w:cs="Arial"/>
          <w:sz w:val="24"/>
          <w:szCs w:val="24"/>
        </w:rPr>
        <w:t>u</w:t>
      </w:r>
      <w:r w:rsidRPr="003A1174">
        <w:rPr>
          <w:rFonts w:ascii="Garamond" w:hAnsi="Garamond" w:cs="Arial"/>
          <w:sz w:val="24"/>
          <w:szCs w:val="24"/>
        </w:rPr>
        <w:t>-</w:t>
      </w:r>
      <w:r w:rsidR="00955D60" w:rsidRPr="003A1174">
        <w:rPr>
          <w:rFonts w:ascii="Garamond" w:hAnsi="Garamond" w:cs="Arial"/>
          <w:sz w:val="24"/>
          <w:szCs w:val="24"/>
        </w:rPr>
        <w:t xml:space="preserve">se </w:t>
      </w:r>
      <w:r w:rsidR="00536960">
        <w:rPr>
          <w:rFonts w:ascii="Garamond" w:hAnsi="Garamond" w:cs="Arial"/>
          <w:sz w:val="24"/>
          <w:szCs w:val="24"/>
        </w:rPr>
        <w:t>com o objetivo de prestar</w:t>
      </w:r>
      <w:r w:rsidR="00955D60" w:rsidRPr="003A1174">
        <w:rPr>
          <w:rFonts w:ascii="Garamond" w:hAnsi="Garamond" w:cs="Arial"/>
          <w:sz w:val="24"/>
          <w:szCs w:val="24"/>
        </w:rPr>
        <w:t xml:space="preserve"> </w:t>
      </w:r>
      <w:r w:rsidR="00CF3AA5">
        <w:rPr>
          <w:rFonts w:ascii="Garamond" w:hAnsi="Garamond" w:cs="Arial"/>
          <w:sz w:val="24"/>
          <w:szCs w:val="24"/>
        </w:rPr>
        <w:t xml:space="preserve">uma </w:t>
      </w:r>
      <w:r w:rsidR="001B7D0B">
        <w:rPr>
          <w:rFonts w:ascii="Garamond" w:hAnsi="Garamond" w:cs="Arial"/>
          <w:sz w:val="24"/>
          <w:szCs w:val="24"/>
        </w:rPr>
        <w:t xml:space="preserve">formação </w:t>
      </w:r>
      <w:r w:rsidRPr="003A1174">
        <w:rPr>
          <w:rFonts w:ascii="Garamond" w:hAnsi="Garamond" w:cs="Arial"/>
          <w:sz w:val="24"/>
          <w:szCs w:val="24"/>
        </w:rPr>
        <w:t>contí</w:t>
      </w:r>
      <w:r w:rsidR="00955D60" w:rsidRPr="003A1174">
        <w:rPr>
          <w:rFonts w:ascii="Garamond" w:hAnsi="Garamond" w:cs="Arial"/>
          <w:sz w:val="24"/>
          <w:szCs w:val="24"/>
        </w:rPr>
        <w:t>nua</w:t>
      </w:r>
      <w:r w:rsidR="00536960">
        <w:rPr>
          <w:rFonts w:ascii="Garamond" w:hAnsi="Garamond" w:cs="Arial"/>
          <w:sz w:val="24"/>
          <w:szCs w:val="24"/>
        </w:rPr>
        <w:t>,</w:t>
      </w:r>
      <w:r w:rsidR="00955D60" w:rsidRPr="003A1174">
        <w:rPr>
          <w:rFonts w:ascii="Garamond" w:hAnsi="Garamond" w:cs="Arial"/>
          <w:sz w:val="24"/>
          <w:szCs w:val="24"/>
        </w:rPr>
        <w:t xml:space="preserve"> </w:t>
      </w:r>
      <w:r w:rsidR="00536960">
        <w:rPr>
          <w:rFonts w:ascii="Garamond" w:hAnsi="Garamond" w:cs="Arial"/>
          <w:sz w:val="24"/>
          <w:szCs w:val="24"/>
        </w:rPr>
        <w:t xml:space="preserve">a </w:t>
      </w:r>
      <w:r w:rsidR="00BA21ED" w:rsidRPr="003A1174">
        <w:rPr>
          <w:rFonts w:ascii="Garamond" w:hAnsi="Garamond" w:cs="Arial"/>
          <w:sz w:val="24"/>
          <w:szCs w:val="24"/>
        </w:rPr>
        <w:t>mais</w:t>
      </w:r>
      <w:r w:rsidR="00955D60" w:rsidRPr="003A1174">
        <w:rPr>
          <w:rFonts w:ascii="Garamond" w:hAnsi="Garamond" w:cs="Arial"/>
          <w:sz w:val="24"/>
          <w:szCs w:val="24"/>
        </w:rPr>
        <w:t xml:space="preserve"> de 400 técnicos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0350B1" w:rsidRPr="003A1174">
        <w:rPr>
          <w:rFonts w:ascii="Garamond" w:hAnsi="Garamond" w:cs="Arial"/>
          <w:sz w:val="24"/>
          <w:szCs w:val="24"/>
        </w:rPr>
        <w:t>profissionais</w:t>
      </w:r>
      <w:r w:rsidRPr="003A1174">
        <w:rPr>
          <w:rFonts w:ascii="Garamond" w:hAnsi="Garamond" w:cs="Arial"/>
          <w:sz w:val="24"/>
          <w:szCs w:val="24"/>
        </w:rPr>
        <w:t xml:space="preserve"> que </w:t>
      </w:r>
      <w:r w:rsidR="00955D60" w:rsidRPr="003A1174">
        <w:rPr>
          <w:rFonts w:ascii="Garamond" w:hAnsi="Garamond" w:cs="Arial"/>
          <w:sz w:val="24"/>
          <w:szCs w:val="24"/>
        </w:rPr>
        <w:t>a integra</w:t>
      </w:r>
      <w:r w:rsidRPr="003A1174">
        <w:rPr>
          <w:rFonts w:ascii="Garamond" w:hAnsi="Garamond" w:cs="Arial"/>
          <w:sz w:val="24"/>
          <w:szCs w:val="24"/>
        </w:rPr>
        <w:t>m</w:t>
      </w:r>
      <w:r w:rsidR="00C751FC" w:rsidRPr="003A1174">
        <w:rPr>
          <w:rFonts w:ascii="Garamond" w:hAnsi="Garamond" w:cs="Arial"/>
          <w:sz w:val="24"/>
          <w:szCs w:val="24"/>
        </w:rPr>
        <w:t>,</w:t>
      </w:r>
      <w:r w:rsidR="00955D60" w:rsidRPr="003A1174">
        <w:rPr>
          <w:rFonts w:ascii="Garamond" w:hAnsi="Garamond" w:cs="Arial"/>
          <w:sz w:val="24"/>
          <w:szCs w:val="24"/>
        </w:rPr>
        <w:t xml:space="preserve"> </w:t>
      </w:r>
      <w:r w:rsidR="00CF3AA5">
        <w:rPr>
          <w:rFonts w:ascii="Garamond" w:hAnsi="Garamond" w:cs="Arial"/>
          <w:sz w:val="24"/>
          <w:szCs w:val="24"/>
        </w:rPr>
        <w:t xml:space="preserve">partindo do princípio de que a </w:t>
      </w:r>
      <w:r w:rsidR="00454353" w:rsidRPr="003A1174">
        <w:rPr>
          <w:rFonts w:ascii="Garamond" w:hAnsi="Garamond" w:cs="Arial"/>
          <w:sz w:val="24"/>
          <w:szCs w:val="24"/>
        </w:rPr>
        <w:t>formação</w:t>
      </w:r>
      <w:r w:rsidR="00C751FC" w:rsidRPr="003A1174">
        <w:rPr>
          <w:rFonts w:ascii="Garamond" w:hAnsi="Garamond" w:cs="Arial"/>
          <w:sz w:val="24"/>
          <w:szCs w:val="24"/>
        </w:rPr>
        <w:t xml:space="preserve"> recebida em</w:t>
      </w:r>
      <w:r w:rsidR="00955D60" w:rsidRPr="003A1174">
        <w:rPr>
          <w:rFonts w:ascii="Garamond" w:hAnsi="Garamond" w:cs="Arial"/>
          <w:sz w:val="24"/>
          <w:szCs w:val="24"/>
        </w:rPr>
        <w:t xml:space="preserve"> </w:t>
      </w:r>
      <w:r w:rsidR="00B531F2" w:rsidRPr="003A1174">
        <w:rPr>
          <w:rFonts w:ascii="Garamond" w:hAnsi="Garamond" w:cs="Arial"/>
          <w:sz w:val="24"/>
          <w:szCs w:val="24"/>
        </w:rPr>
        <w:t>serviço</w:t>
      </w:r>
      <w:r w:rsidR="00C751FC" w:rsidRPr="003A1174">
        <w:rPr>
          <w:rFonts w:ascii="Garamond" w:hAnsi="Garamond" w:cs="Arial"/>
          <w:sz w:val="24"/>
          <w:szCs w:val="24"/>
        </w:rPr>
        <w:t>,</w:t>
      </w:r>
      <w:r w:rsidR="00955D60" w:rsidRPr="003A1174">
        <w:rPr>
          <w:rFonts w:ascii="Garamond" w:hAnsi="Garamond" w:cs="Arial"/>
          <w:sz w:val="24"/>
          <w:szCs w:val="24"/>
        </w:rPr>
        <w:t xml:space="preserve"> </w:t>
      </w:r>
      <w:r w:rsidR="00536960">
        <w:rPr>
          <w:rFonts w:ascii="Garamond" w:hAnsi="Garamond" w:cs="Arial"/>
          <w:sz w:val="24"/>
          <w:szCs w:val="24"/>
        </w:rPr>
        <w:t xml:space="preserve">se reflete, positivamente, nas </w:t>
      </w:r>
      <w:r w:rsidR="002C7510" w:rsidRPr="003A1174">
        <w:rPr>
          <w:rFonts w:ascii="Garamond" w:hAnsi="Garamond" w:cs="Arial"/>
          <w:sz w:val="24"/>
          <w:szCs w:val="24"/>
        </w:rPr>
        <w:t>instituições</w:t>
      </w:r>
      <w:r w:rsidR="00536960">
        <w:rPr>
          <w:rFonts w:ascii="Garamond" w:hAnsi="Garamond" w:cs="Arial"/>
          <w:sz w:val="24"/>
          <w:szCs w:val="24"/>
        </w:rPr>
        <w:t xml:space="preserve"> onde trabalham</w:t>
      </w:r>
      <w:r w:rsidR="00955D60" w:rsidRPr="003A1174">
        <w:rPr>
          <w:rFonts w:ascii="Garamond" w:hAnsi="Garamond" w:cs="Arial"/>
          <w:sz w:val="24"/>
          <w:szCs w:val="24"/>
        </w:rPr>
        <w:t>.</w:t>
      </w:r>
    </w:p>
    <w:p w:rsidR="00955D60" w:rsidRPr="003A1174" w:rsidRDefault="00955D60" w:rsidP="008719D4">
      <w:pPr>
        <w:spacing w:before="240" w:line="240" w:lineRule="auto"/>
        <w:jc w:val="both"/>
        <w:rPr>
          <w:rFonts w:ascii="Garamond" w:hAnsi="Garamond" w:cs="Arial"/>
          <w:sz w:val="24"/>
          <w:szCs w:val="24"/>
        </w:rPr>
      </w:pPr>
      <w:r w:rsidRPr="003A1174">
        <w:rPr>
          <w:rFonts w:ascii="Garamond" w:hAnsi="Garamond" w:cs="Arial"/>
          <w:sz w:val="24"/>
          <w:szCs w:val="24"/>
        </w:rPr>
        <w:t>A</w:t>
      </w:r>
      <w:r w:rsidR="00C751FC" w:rsidRPr="003A1174">
        <w:rPr>
          <w:rFonts w:ascii="Garamond" w:hAnsi="Garamond" w:cs="Arial"/>
          <w:sz w:val="24"/>
          <w:szCs w:val="24"/>
        </w:rPr>
        <w:t xml:space="preserve">inda não se </w:t>
      </w:r>
      <w:r w:rsidR="00536960">
        <w:rPr>
          <w:rFonts w:ascii="Garamond" w:hAnsi="Garamond" w:cs="Arial"/>
          <w:sz w:val="24"/>
          <w:szCs w:val="24"/>
        </w:rPr>
        <w:t xml:space="preserve">conhecem as </w:t>
      </w:r>
      <w:r w:rsidR="00C751FC" w:rsidRPr="003A1174">
        <w:rPr>
          <w:rFonts w:ascii="Garamond" w:hAnsi="Garamond" w:cs="Arial"/>
          <w:sz w:val="24"/>
          <w:szCs w:val="24"/>
        </w:rPr>
        <w:t>percentagens</w:t>
      </w:r>
      <w:r w:rsidRPr="003A1174">
        <w:rPr>
          <w:rFonts w:ascii="Garamond" w:hAnsi="Garamond" w:cs="Arial"/>
          <w:sz w:val="24"/>
          <w:szCs w:val="24"/>
        </w:rPr>
        <w:t xml:space="preserve"> de </w:t>
      </w:r>
      <w:r w:rsidR="008278C4" w:rsidRPr="003A1174">
        <w:rPr>
          <w:rFonts w:ascii="Garamond" w:hAnsi="Garamond" w:cs="Arial"/>
          <w:sz w:val="24"/>
          <w:szCs w:val="24"/>
        </w:rPr>
        <w:t>pessoal</w:t>
      </w:r>
      <w:r w:rsidRPr="003A1174">
        <w:rPr>
          <w:rFonts w:ascii="Garamond" w:hAnsi="Garamond" w:cs="Arial"/>
          <w:sz w:val="24"/>
          <w:szCs w:val="24"/>
        </w:rPr>
        <w:t xml:space="preserve"> </w:t>
      </w:r>
      <w:r w:rsidR="00536960">
        <w:rPr>
          <w:rFonts w:ascii="Garamond" w:hAnsi="Garamond" w:cs="Arial"/>
          <w:sz w:val="24"/>
          <w:szCs w:val="24"/>
        </w:rPr>
        <w:t xml:space="preserve">formado, </w:t>
      </w:r>
      <w:r w:rsidR="00C751FC" w:rsidRPr="003A1174">
        <w:rPr>
          <w:rFonts w:ascii="Garamond" w:hAnsi="Garamond" w:cs="Arial"/>
          <w:sz w:val="24"/>
          <w:szCs w:val="24"/>
        </w:rPr>
        <w:t xml:space="preserve">no ano de </w:t>
      </w:r>
      <w:r w:rsidRPr="003A1174">
        <w:rPr>
          <w:rFonts w:ascii="Garamond" w:hAnsi="Garamond" w:cs="Arial"/>
          <w:sz w:val="24"/>
          <w:szCs w:val="24"/>
        </w:rPr>
        <w:t>2013.</w:t>
      </w:r>
    </w:p>
    <w:p w:rsidR="00955D60" w:rsidRPr="003A1174" w:rsidRDefault="00955D60" w:rsidP="008719D4">
      <w:pPr>
        <w:spacing w:before="240" w:line="240" w:lineRule="auto"/>
        <w:jc w:val="both"/>
        <w:rPr>
          <w:rFonts w:ascii="Garamond" w:hAnsi="Garamond" w:cs="Arial"/>
          <w:sz w:val="24"/>
          <w:szCs w:val="24"/>
        </w:rPr>
      </w:pPr>
      <w:r w:rsidRPr="003A1174">
        <w:rPr>
          <w:rFonts w:ascii="Garamond" w:hAnsi="Garamond" w:cs="Arial"/>
          <w:sz w:val="24"/>
          <w:szCs w:val="24"/>
        </w:rPr>
        <w:t>De u</w:t>
      </w:r>
      <w:r w:rsidR="00C751FC" w:rsidRPr="003A1174">
        <w:rPr>
          <w:rFonts w:ascii="Garamond" w:hAnsi="Garamond" w:cs="Arial"/>
          <w:sz w:val="24"/>
          <w:szCs w:val="24"/>
        </w:rPr>
        <w:t>m</w:t>
      </w:r>
      <w:r w:rsidRPr="003A1174">
        <w:rPr>
          <w:rFonts w:ascii="Garamond" w:hAnsi="Garamond" w:cs="Arial"/>
          <w:sz w:val="24"/>
          <w:szCs w:val="24"/>
        </w:rPr>
        <w:t xml:space="preserve"> total de 30</w:t>
      </w:r>
      <w:r w:rsidR="00536960">
        <w:rPr>
          <w:rFonts w:ascii="Garamond" w:hAnsi="Garamond" w:cs="Arial"/>
          <w:sz w:val="24"/>
          <w:szCs w:val="24"/>
        </w:rPr>
        <w:t xml:space="preserve"> </w:t>
      </w:r>
      <w:r w:rsidRPr="003A1174">
        <w:rPr>
          <w:rFonts w:ascii="Garamond" w:hAnsi="Garamond" w:cs="Arial"/>
          <w:sz w:val="24"/>
          <w:szCs w:val="24"/>
        </w:rPr>
        <w:t xml:space="preserve">860 </w:t>
      </w:r>
      <w:r w:rsidR="003E6403" w:rsidRPr="003A1174">
        <w:rPr>
          <w:rFonts w:ascii="Garamond" w:hAnsi="Garamond" w:cs="Arial"/>
          <w:sz w:val="24"/>
          <w:szCs w:val="24"/>
        </w:rPr>
        <w:t>funcionári</w:t>
      </w:r>
      <w:r w:rsidRPr="003A1174">
        <w:rPr>
          <w:rFonts w:ascii="Garamond" w:hAnsi="Garamond" w:cs="Arial"/>
          <w:sz w:val="24"/>
          <w:szCs w:val="24"/>
        </w:rPr>
        <w:t>os</w:t>
      </w:r>
      <w:r w:rsidR="00064FDA" w:rsidRPr="003A1174">
        <w:rPr>
          <w:rFonts w:ascii="Garamond" w:hAnsi="Garamond" w:cs="Arial"/>
          <w:sz w:val="24"/>
          <w:szCs w:val="24"/>
        </w:rPr>
        <w:t>,</w:t>
      </w:r>
      <w:r w:rsidRPr="003A1174">
        <w:rPr>
          <w:rFonts w:ascii="Garamond" w:hAnsi="Garamond" w:cs="Arial"/>
          <w:sz w:val="24"/>
          <w:szCs w:val="24"/>
        </w:rPr>
        <w:t xml:space="preserve"> </w:t>
      </w:r>
      <w:r w:rsidR="00536960">
        <w:rPr>
          <w:rFonts w:ascii="Garamond" w:hAnsi="Garamond" w:cs="Arial"/>
          <w:sz w:val="24"/>
          <w:szCs w:val="24"/>
        </w:rPr>
        <w:t>formaram-se</w:t>
      </w:r>
      <w:r w:rsidR="007B2140">
        <w:rPr>
          <w:rFonts w:ascii="Garamond" w:hAnsi="Garamond" w:cs="Arial"/>
          <w:sz w:val="24"/>
          <w:szCs w:val="24"/>
        </w:rPr>
        <w:t>,</w:t>
      </w:r>
      <w:r w:rsidR="00536960">
        <w:rPr>
          <w:rFonts w:ascii="Garamond" w:hAnsi="Garamond" w:cs="Arial"/>
          <w:sz w:val="24"/>
          <w:szCs w:val="24"/>
        </w:rPr>
        <w:t xml:space="preserve"> </w:t>
      </w:r>
      <w:r w:rsidR="00C751FC" w:rsidRPr="003A1174">
        <w:rPr>
          <w:rFonts w:ascii="Garamond" w:hAnsi="Garamond" w:cs="Arial"/>
          <w:sz w:val="24"/>
          <w:szCs w:val="24"/>
        </w:rPr>
        <w:t xml:space="preserve">ou </w:t>
      </w:r>
      <w:r w:rsidR="00536960">
        <w:rPr>
          <w:rFonts w:ascii="Garamond" w:hAnsi="Garamond" w:cs="Arial"/>
          <w:sz w:val="24"/>
          <w:szCs w:val="24"/>
        </w:rPr>
        <w:t>tiveram acesso</w:t>
      </w:r>
      <w:r w:rsidR="00C751FC" w:rsidRPr="003A1174">
        <w:rPr>
          <w:rFonts w:ascii="Garamond" w:hAnsi="Garamond" w:cs="Arial"/>
          <w:sz w:val="24"/>
          <w:szCs w:val="24"/>
        </w:rPr>
        <w:t xml:space="preserve"> </w:t>
      </w:r>
      <w:r w:rsidRPr="003A1174">
        <w:rPr>
          <w:rFonts w:ascii="Garamond" w:hAnsi="Garamond" w:cs="Arial"/>
          <w:sz w:val="24"/>
          <w:szCs w:val="24"/>
        </w:rPr>
        <w:t xml:space="preserve">a </w:t>
      </w:r>
      <w:r w:rsidR="002D1021" w:rsidRPr="003A1174">
        <w:rPr>
          <w:rFonts w:ascii="Garamond" w:hAnsi="Garamond" w:cs="Arial"/>
          <w:sz w:val="24"/>
          <w:szCs w:val="24"/>
        </w:rPr>
        <w:t>processo</w:t>
      </w:r>
      <w:r w:rsidRPr="003A1174">
        <w:rPr>
          <w:rFonts w:ascii="Garamond" w:hAnsi="Garamond" w:cs="Arial"/>
          <w:sz w:val="24"/>
          <w:szCs w:val="24"/>
        </w:rPr>
        <w:t xml:space="preserve">s de </w:t>
      </w:r>
      <w:r w:rsidR="00976FB8" w:rsidRPr="003A1174">
        <w:rPr>
          <w:rFonts w:ascii="Garamond" w:hAnsi="Garamond" w:cs="Arial"/>
          <w:sz w:val="24"/>
          <w:szCs w:val="24"/>
        </w:rPr>
        <w:t>sensibilização</w:t>
      </w:r>
      <w:r w:rsidR="007B2140">
        <w:rPr>
          <w:rFonts w:ascii="Garamond" w:hAnsi="Garamond" w:cs="Arial"/>
          <w:sz w:val="24"/>
          <w:szCs w:val="24"/>
        </w:rPr>
        <w:t>,</w:t>
      </w:r>
      <w:r w:rsidRPr="003A1174">
        <w:rPr>
          <w:rFonts w:ascii="Garamond" w:hAnsi="Garamond" w:cs="Arial"/>
          <w:sz w:val="24"/>
          <w:szCs w:val="24"/>
        </w:rPr>
        <w:t xml:space="preserve"> 3577. </w:t>
      </w:r>
      <w:r w:rsidR="00C751FC" w:rsidRPr="003A1174">
        <w:rPr>
          <w:rFonts w:ascii="Garamond" w:hAnsi="Garamond" w:cs="Arial"/>
          <w:sz w:val="24"/>
          <w:szCs w:val="24"/>
        </w:rPr>
        <w:t xml:space="preserve">Numa </w:t>
      </w:r>
      <w:r w:rsidRPr="003A1174">
        <w:rPr>
          <w:rFonts w:ascii="Garamond" w:hAnsi="Garamond" w:cs="Arial"/>
          <w:sz w:val="24"/>
          <w:szCs w:val="24"/>
        </w:rPr>
        <w:t>vis</w:t>
      </w:r>
      <w:r w:rsidR="00C751FC" w:rsidRPr="003A1174">
        <w:rPr>
          <w:rFonts w:ascii="Garamond" w:hAnsi="Garamond" w:cs="Arial"/>
          <w:sz w:val="24"/>
          <w:szCs w:val="24"/>
        </w:rPr>
        <w:t xml:space="preserve">ão </w:t>
      </w:r>
      <w:r w:rsidRPr="003A1174">
        <w:rPr>
          <w:rFonts w:ascii="Garamond" w:hAnsi="Garamond" w:cs="Arial"/>
          <w:sz w:val="24"/>
          <w:szCs w:val="24"/>
        </w:rPr>
        <w:t xml:space="preserve">de género, </w:t>
      </w:r>
      <w:r w:rsidR="00C751FC" w:rsidRPr="003A1174">
        <w:rPr>
          <w:rFonts w:ascii="Garamond" w:hAnsi="Garamond" w:cs="Arial"/>
          <w:sz w:val="24"/>
          <w:szCs w:val="24"/>
        </w:rPr>
        <w:t xml:space="preserve">em </w:t>
      </w:r>
      <w:r w:rsidRPr="003A1174">
        <w:rPr>
          <w:rFonts w:ascii="Garamond" w:hAnsi="Garamond" w:cs="Arial"/>
          <w:sz w:val="24"/>
          <w:szCs w:val="24"/>
        </w:rPr>
        <w:t xml:space="preserve">9003 </w:t>
      </w:r>
      <w:r w:rsidR="00054EE0" w:rsidRPr="003A1174">
        <w:rPr>
          <w:rFonts w:ascii="Garamond" w:hAnsi="Garamond" w:cs="Arial"/>
          <w:sz w:val="24"/>
          <w:szCs w:val="24"/>
        </w:rPr>
        <w:t>mulheres</w:t>
      </w:r>
      <w:r w:rsidR="00536960">
        <w:rPr>
          <w:rFonts w:ascii="Garamond" w:hAnsi="Garamond" w:cs="Arial"/>
          <w:sz w:val="24"/>
          <w:szCs w:val="24"/>
        </w:rPr>
        <w:t>,</w:t>
      </w:r>
      <w:r w:rsidR="00C751FC" w:rsidRPr="003A1174">
        <w:rPr>
          <w:rFonts w:ascii="Garamond" w:hAnsi="Garamond" w:cs="Arial"/>
          <w:sz w:val="24"/>
          <w:szCs w:val="24"/>
        </w:rPr>
        <w:t xml:space="preserve"> </w:t>
      </w:r>
      <w:r w:rsidR="00536960">
        <w:rPr>
          <w:rFonts w:ascii="Garamond" w:hAnsi="Garamond" w:cs="Arial"/>
          <w:sz w:val="24"/>
          <w:szCs w:val="24"/>
        </w:rPr>
        <w:t>formaram-se</w:t>
      </w:r>
      <w:r w:rsidR="00C751FC" w:rsidRPr="003A1174">
        <w:rPr>
          <w:rFonts w:ascii="Garamond" w:hAnsi="Garamond" w:cs="Arial"/>
          <w:sz w:val="24"/>
          <w:szCs w:val="24"/>
        </w:rPr>
        <w:t xml:space="preserve"> </w:t>
      </w:r>
      <w:r w:rsidR="00814B51" w:rsidRPr="003A1174">
        <w:rPr>
          <w:rFonts w:ascii="Garamond" w:hAnsi="Garamond" w:cs="Arial"/>
          <w:sz w:val="24"/>
          <w:szCs w:val="24"/>
        </w:rPr>
        <w:t>1163, e</w:t>
      </w:r>
      <w:r w:rsidRPr="003A1174">
        <w:rPr>
          <w:rFonts w:ascii="Garamond" w:hAnsi="Garamond" w:cs="Arial"/>
          <w:sz w:val="24"/>
          <w:szCs w:val="24"/>
        </w:rPr>
        <w:t xml:space="preserve"> </w:t>
      </w:r>
      <w:r w:rsidR="00C751FC" w:rsidRPr="003A1174">
        <w:rPr>
          <w:rFonts w:ascii="Garamond" w:hAnsi="Garamond" w:cs="Arial"/>
          <w:sz w:val="24"/>
          <w:szCs w:val="24"/>
        </w:rPr>
        <w:t xml:space="preserve">em </w:t>
      </w:r>
      <w:r w:rsidRPr="003A1174">
        <w:rPr>
          <w:rFonts w:ascii="Garamond" w:hAnsi="Garamond" w:cs="Arial"/>
          <w:sz w:val="24"/>
          <w:szCs w:val="24"/>
        </w:rPr>
        <w:t>21</w:t>
      </w:r>
      <w:r w:rsidR="00536960">
        <w:rPr>
          <w:rFonts w:ascii="Garamond" w:hAnsi="Garamond" w:cs="Arial"/>
          <w:sz w:val="24"/>
          <w:szCs w:val="24"/>
        </w:rPr>
        <w:t xml:space="preserve"> </w:t>
      </w:r>
      <w:r w:rsidRPr="003A1174">
        <w:rPr>
          <w:rFonts w:ascii="Garamond" w:hAnsi="Garamond" w:cs="Arial"/>
          <w:sz w:val="24"/>
          <w:szCs w:val="24"/>
        </w:rPr>
        <w:t xml:space="preserve">857 </w:t>
      </w:r>
      <w:r w:rsidR="00524936" w:rsidRPr="003A1174">
        <w:rPr>
          <w:rFonts w:ascii="Garamond" w:hAnsi="Garamond" w:cs="Arial"/>
          <w:sz w:val="24"/>
          <w:szCs w:val="24"/>
        </w:rPr>
        <w:t>homens</w:t>
      </w:r>
      <w:r w:rsidR="00536960">
        <w:rPr>
          <w:rFonts w:ascii="Garamond" w:hAnsi="Garamond" w:cs="Arial"/>
          <w:sz w:val="24"/>
          <w:szCs w:val="24"/>
        </w:rPr>
        <w:t>,</w:t>
      </w:r>
      <w:r w:rsidRPr="003A1174">
        <w:rPr>
          <w:rFonts w:ascii="Garamond" w:hAnsi="Garamond" w:cs="Arial"/>
          <w:sz w:val="24"/>
          <w:szCs w:val="24"/>
        </w:rPr>
        <w:t xml:space="preserve"> 2414</w:t>
      </w:r>
      <w:r w:rsidR="00536960">
        <w:rPr>
          <w:rFonts w:ascii="Garamond" w:hAnsi="Garamond" w:cs="Arial"/>
          <w:sz w:val="24"/>
          <w:szCs w:val="24"/>
        </w:rPr>
        <w:t xml:space="preserve"> tiveram formação</w:t>
      </w:r>
      <w:r w:rsidRPr="003A1174">
        <w:rPr>
          <w:rFonts w:ascii="Garamond" w:hAnsi="Garamond" w:cs="Arial"/>
          <w:sz w:val="24"/>
          <w:szCs w:val="24"/>
        </w:rPr>
        <w:t>.</w:t>
      </w:r>
    </w:p>
    <w:p w:rsidR="00955D60" w:rsidRPr="003A1174" w:rsidRDefault="00670522" w:rsidP="008719D4">
      <w:pPr>
        <w:pStyle w:val="Ttulo3"/>
        <w:spacing w:line="240" w:lineRule="auto"/>
        <w:rPr>
          <w:rFonts w:ascii="Garamond" w:hAnsi="Garamond"/>
          <w:sz w:val="24"/>
          <w:szCs w:val="24"/>
        </w:rPr>
      </w:pPr>
      <w:bookmarkStart w:id="69" w:name="_Toc421529756"/>
      <w:r w:rsidRPr="003A1174">
        <w:rPr>
          <w:rFonts w:ascii="Garamond" w:hAnsi="Garamond"/>
          <w:sz w:val="24"/>
          <w:szCs w:val="24"/>
        </w:rPr>
        <w:lastRenderedPageBreak/>
        <w:t>Venezuela</w:t>
      </w:r>
      <w:bookmarkEnd w:id="69"/>
    </w:p>
    <w:p w:rsidR="00955D60" w:rsidRPr="003A1174" w:rsidRDefault="009859FC" w:rsidP="008719D4">
      <w:pPr>
        <w:pStyle w:val="NormalWeb"/>
        <w:spacing w:before="240" w:beforeAutospacing="0"/>
        <w:jc w:val="both"/>
        <w:rPr>
          <w:rFonts w:ascii="Garamond" w:hAnsi="Garamond" w:cs="Arial"/>
          <w:lang w:val="pt-PT"/>
        </w:rPr>
      </w:pPr>
      <w:r w:rsidRPr="003A1174">
        <w:rPr>
          <w:rStyle w:val="Ttulo4Car"/>
          <w:rFonts w:ascii="Garamond" w:hAnsi="Garamond"/>
          <w:sz w:val="24"/>
          <w:lang w:val="pt-PT"/>
        </w:rPr>
        <w:t>Melhoria</w:t>
      </w:r>
      <w:r w:rsidR="00670522" w:rsidRPr="003A1174">
        <w:rPr>
          <w:rStyle w:val="Ttulo4Car"/>
          <w:rFonts w:ascii="Garamond" w:hAnsi="Garamond"/>
          <w:sz w:val="24"/>
          <w:lang w:val="pt-PT"/>
        </w:rPr>
        <w:t xml:space="preserve"> d</w:t>
      </w:r>
      <w:r w:rsidR="00C751FC" w:rsidRPr="003A1174">
        <w:rPr>
          <w:rStyle w:val="Ttulo4Car"/>
          <w:rFonts w:ascii="Garamond" w:hAnsi="Garamond"/>
          <w:sz w:val="24"/>
          <w:lang w:val="pt-PT"/>
        </w:rPr>
        <w:t>as</w:t>
      </w:r>
      <w:r w:rsidR="00670522" w:rsidRPr="003A1174">
        <w:rPr>
          <w:rStyle w:val="Ttulo4Car"/>
          <w:rFonts w:ascii="Garamond" w:hAnsi="Garamond"/>
          <w:sz w:val="24"/>
          <w:lang w:val="pt-PT"/>
        </w:rPr>
        <w:t xml:space="preserve"> medidas de </w:t>
      </w:r>
      <w:r w:rsidR="00886D6A" w:rsidRPr="003A1174">
        <w:rPr>
          <w:rStyle w:val="Ttulo4Car"/>
          <w:rFonts w:ascii="Garamond" w:hAnsi="Garamond"/>
          <w:sz w:val="24"/>
          <w:lang w:val="pt-PT"/>
        </w:rPr>
        <w:t>proteção</w:t>
      </w:r>
      <w:r w:rsidR="00670522" w:rsidRPr="003A1174">
        <w:rPr>
          <w:rStyle w:val="Ttulo4Car"/>
          <w:rFonts w:ascii="Garamond" w:hAnsi="Garamond"/>
          <w:sz w:val="24"/>
          <w:lang w:val="pt-PT"/>
        </w:rPr>
        <w:t>/</w:t>
      </w:r>
      <w:r w:rsidR="00CF4C35" w:rsidRPr="003A1174">
        <w:rPr>
          <w:rStyle w:val="Ttulo4Car"/>
          <w:rFonts w:ascii="Garamond" w:hAnsi="Garamond"/>
          <w:sz w:val="24"/>
          <w:lang w:val="pt-PT"/>
        </w:rPr>
        <w:t>reabilitação</w:t>
      </w:r>
    </w:p>
    <w:p w:rsidR="00955D60" w:rsidRPr="003A1174" w:rsidRDefault="0049318C" w:rsidP="008719D4">
      <w:pPr>
        <w:pStyle w:val="Prrafodelista"/>
        <w:spacing w:before="240" w:line="240" w:lineRule="auto"/>
        <w:ind w:left="0"/>
        <w:jc w:val="both"/>
        <w:rPr>
          <w:rFonts w:ascii="Garamond" w:hAnsi="Garamond" w:cs="Arial"/>
          <w:color w:val="auto"/>
          <w:sz w:val="24"/>
          <w:szCs w:val="24"/>
          <w:lang w:val="pt-PT"/>
        </w:rPr>
      </w:pPr>
      <w:r>
        <w:rPr>
          <w:rFonts w:ascii="Garamond" w:hAnsi="Garamond" w:cs="Arial"/>
          <w:color w:val="auto"/>
          <w:sz w:val="24"/>
          <w:szCs w:val="24"/>
          <w:lang w:val="pt-PT"/>
        </w:rPr>
        <w:t xml:space="preserve">Apresenta-se </w:t>
      </w:r>
      <w:r w:rsidR="00C751FC" w:rsidRPr="003A1174">
        <w:rPr>
          <w:rFonts w:ascii="Garamond" w:hAnsi="Garamond" w:cs="Arial"/>
          <w:color w:val="auto"/>
          <w:sz w:val="24"/>
          <w:szCs w:val="24"/>
          <w:lang w:val="pt-PT"/>
        </w:rPr>
        <w:t xml:space="preserve">um relatório que diz respeito </w:t>
      </w:r>
      <w:r w:rsidR="00BB2B00" w:rsidRPr="003A1174">
        <w:rPr>
          <w:rFonts w:ascii="Garamond" w:hAnsi="Garamond" w:cs="Arial"/>
          <w:color w:val="auto"/>
          <w:sz w:val="24"/>
          <w:szCs w:val="24"/>
          <w:lang w:val="pt-PT"/>
        </w:rPr>
        <w:t>à</w:t>
      </w:r>
      <w:r w:rsidR="00955D60" w:rsidRPr="003A1174">
        <w:rPr>
          <w:rFonts w:ascii="Garamond" w:hAnsi="Garamond" w:cs="Arial"/>
          <w:color w:val="auto"/>
          <w:sz w:val="24"/>
          <w:szCs w:val="24"/>
          <w:lang w:val="pt-PT"/>
        </w:rPr>
        <w:t xml:space="preserve"> </w:t>
      </w:r>
      <w:r w:rsidR="00A23EB8" w:rsidRPr="003A1174">
        <w:rPr>
          <w:rFonts w:ascii="Garamond" w:hAnsi="Garamond" w:cs="Arial"/>
          <w:color w:val="auto"/>
          <w:sz w:val="24"/>
          <w:szCs w:val="24"/>
          <w:lang w:val="pt-PT"/>
        </w:rPr>
        <w:t>dimensão</w:t>
      </w:r>
      <w:r w:rsidR="00955D60" w:rsidRPr="003A1174">
        <w:rPr>
          <w:rFonts w:ascii="Garamond" w:hAnsi="Garamond" w:cs="Arial"/>
          <w:color w:val="auto"/>
          <w:sz w:val="24"/>
          <w:szCs w:val="24"/>
          <w:lang w:val="pt-PT"/>
        </w:rPr>
        <w:t xml:space="preserve"> </w:t>
      </w:r>
      <w:r w:rsidR="00FB76BE" w:rsidRPr="003A1174">
        <w:rPr>
          <w:rFonts w:ascii="Garamond" w:hAnsi="Garamond" w:cs="Arial"/>
          <w:color w:val="auto"/>
          <w:sz w:val="24"/>
          <w:szCs w:val="24"/>
          <w:lang w:val="pt-PT"/>
        </w:rPr>
        <w:t>norma</w:t>
      </w:r>
      <w:r w:rsidR="00C751FC" w:rsidRPr="003A1174">
        <w:rPr>
          <w:rFonts w:ascii="Garamond" w:hAnsi="Garamond" w:cs="Arial"/>
          <w:color w:val="auto"/>
          <w:sz w:val="24"/>
          <w:szCs w:val="24"/>
          <w:lang w:val="pt-PT"/>
        </w:rPr>
        <w:t>tiva</w:t>
      </w:r>
      <w:r w:rsidR="00955D6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Destaca-se, </w:t>
      </w:r>
      <w:r w:rsidR="000464C8" w:rsidRPr="003A1174">
        <w:rPr>
          <w:rFonts w:ascii="Garamond" w:hAnsi="Garamond" w:cs="Arial"/>
          <w:color w:val="auto"/>
          <w:sz w:val="24"/>
          <w:szCs w:val="24"/>
          <w:lang w:val="pt-PT"/>
        </w:rPr>
        <w:t>assim</w:t>
      </w:r>
      <w:r w:rsidR="00C751FC" w:rsidRPr="003A1174">
        <w:rPr>
          <w:rFonts w:ascii="Garamond" w:hAnsi="Garamond" w:cs="Arial"/>
          <w:color w:val="auto"/>
          <w:sz w:val="24"/>
          <w:szCs w:val="24"/>
          <w:lang w:val="pt-PT"/>
        </w:rPr>
        <w:t xml:space="preserve">, que </w:t>
      </w:r>
      <w:r w:rsidR="00955D60"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legislação</w:t>
      </w:r>
      <w:r w:rsidR="00955D6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venezuelana</w:t>
      </w:r>
      <w:r w:rsidR="00955D60" w:rsidRPr="003A1174">
        <w:rPr>
          <w:rFonts w:ascii="Garamond" w:hAnsi="Garamond" w:cs="Arial"/>
          <w:color w:val="auto"/>
          <w:sz w:val="24"/>
          <w:szCs w:val="24"/>
          <w:lang w:val="pt-PT"/>
        </w:rPr>
        <w:t xml:space="preserve"> </w:t>
      </w:r>
      <w:r w:rsidR="00152A44" w:rsidRPr="003A1174">
        <w:rPr>
          <w:rFonts w:ascii="Garamond" w:hAnsi="Garamond" w:cs="Arial"/>
          <w:color w:val="auto"/>
          <w:sz w:val="24"/>
          <w:szCs w:val="24"/>
          <w:lang w:val="pt-PT"/>
        </w:rPr>
        <w:t>estabelece</w:t>
      </w:r>
      <w:r w:rsidR="00955D6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a aplicação </w:t>
      </w:r>
      <w:r w:rsidR="00955D60" w:rsidRPr="003A1174">
        <w:rPr>
          <w:rFonts w:ascii="Garamond" w:hAnsi="Garamond" w:cs="Arial"/>
          <w:color w:val="auto"/>
          <w:sz w:val="24"/>
          <w:szCs w:val="24"/>
          <w:lang w:val="pt-PT"/>
        </w:rPr>
        <w:t xml:space="preserve">de medidas de </w:t>
      </w:r>
      <w:r w:rsidR="00886D6A" w:rsidRPr="003A1174">
        <w:rPr>
          <w:rFonts w:ascii="Garamond" w:hAnsi="Garamond" w:cs="Arial"/>
          <w:color w:val="auto"/>
          <w:sz w:val="24"/>
          <w:szCs w:val="24"/>
          <w:lang w:val="pt-PT"/>
        </w:rPr>
        <w:t>proteção</w:t>
      </w:r>
      <w:r w:rsidR="00955D6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w:t>
      </w:r>
      <w:r w:rsidR="00D15AFF" w:rsidRPr="003A1174">
        <w:rPr>
          <w:rFonts w:ascii="Garamond" w:hAnsi="Garamond" w:cs="Arial"/>
          <w:color w:val="auto"/>
          <w:sz w:val="24"/>
          <w:szCs w:val="24"/>
          <w:lang w:val="pt-PT"/>
        </w:rPr>
        <w:t>segurança</w:t>
      </w:r>
      <w:r w:rsidR="00955D60" w:rsidRPr="003A1174">
        <w:rPr>
          <w:rFonts w:ascii="Garamond" w:hAnsi="Garamond" w:cs="Arial"/>
          <w:color w:val="auto"/>
          <w:sz w:val="24"/>
          <w:szCs w:val="24"/>
          <w:lang w:val="pt-PT"/>
        </w:rPr>
        <w:t xml:space="preserve"> para proteger </w:t>
      </w:r>
      <w:r w:rsidR="00C751FC"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mulher</w:t>
      </w:r>
      <w:r w:rsidR="00955D60" w:rsidRPr="003A1174">
        <w:rPr>
          <w:rFonts w:ascii="Garamond" w:hAnsi="Garamond" w:cs="Arial"/>
          <w:color w:val="auto"/>
          <w:sz w:val="24"/>
          <w:szCs w:val="24"/>
          <w:lang w:val="pt-PT"/>
        </w:rPr>
        <w:t xml:space="preserve"> agredida</w:t>
      </w:r>
      <w:r>
        <w:rPr>
          <w:rFonts w:ascii="Garamond" w:hAnsi="Garamond" w:cs="Arial"/>
          <w:color w:val="auto"/>
          <w:sz w:val="24"/>
          <w:szCs w:val="24"/>
          <w:lang w:val="pt-PT"/>
        </w:rPr>
        <w:t>,</w:t>
      </w:r>
      <w:r w:rsidR="00955D6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na sua </w:t>
      </w:r>
      <w:r w:rsidR="002D1021" w:rsidRPr="003A1174">
        <w:rPr>
          <w:rFonts w:ascii="Garamond" w:hAnsi="Garamond" w:cs="Arial"/>
          <w:color w:val="auto"/>
          <w:sz w:val="24"/>
          <w:szCs w:val="24"/>
          <w:lang w:val="pt-PT"/>
        </w:rPr>
        <w:t>integridade</w:t>
      </w:r>
      <w:r w:rsidR="00955D60" w:rsidRPr="003A1174">
        <w:rPr>
          <w:rFonts w:ascii="Garamond" w:hAnsi="Garamond" w:cs="Arial"/>
          <w:color w:val="auto"/>
          <w:sz w:val="24"/>
          <w:szCs w:val="24"/>
          <w:lang w:val="pt-PT"/>
        </w:rPr>
        <w:t xml:space="preserve"> física, psicológica, sexual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patrimonial, </w:t>
      </w:r>
      <w:r w:rsidR="000672E8"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 de toda</w:t>
      </w:r>
      <w:r w:rsidR="00C751FC" w:rsidRPr="003A1174">
        <w:rPr>
          <w:rFonts w:ascii="Garamond" w:hAnsi="Garamond" w:cs="Arial"/>
          <w:color w:val="auto"/>
          <w:sz w:val="24"/>
          <w:szCs w:val="24"/>
          <w:lang w:val="pt-PT"/>
        </w:rPr>
        <w:t xml:space="preserve"> a</w:t>
      </w:r>
      <w:r w:rsidR="00955D60" w:rsidRPr="003A1174">
        <w:rPr>
          <w:rFonts w:ascii="Garamond" w:hAnsi="Garamond" w:cs="Arial"/>
          <w:color w:val="auto"/>
          <w:sz w:val="24"/>
          <w:szCs w:val="24"/>
          <w:lang w:val="pt-PT"/>
        </w:rPr>
        <w:t xml:space="preserve"> </w:t>
      </w:r>
      <w:r w:rsidR="00077461" w:rsidRPr="003A1174">
        <w:rPr>
          <w:rFonts w:ascii="Garamond" w:hAnsi="Garamond" w:cs="Arial"/>
          <w:color w:val="auto"/>
          <w:sz w:val="24"/>
          <w:szCs w:val="24"/>
          <w:lang w:val="pt-PT"/>
        </w:rPr>
        <w:t>ação</w:t>
      </w:r>
      <w:r w:rsidR="00955D60" w:rsidRPr="003A1174">
        <w:rPr>
          <w:rFonts w:ascii="Garamond" w:hAnsi="Garamond" w:cs="Arial"/>
          <w:color w:val="auto"/>
          <w:sz w:val="24"/>
          <w:szCs w:val="24"/>
          <w:lang w:val="pt-PT"/>
        </w:rPr>
        <w:t xml:space="preserve"> que viole o</w:t>
      </w:r>
      <w:r w:rsidR="00C751FC" w:rsidRPr="003A1174">
        <w:rPr>
          <w:rFonts w:ascii="Garamond" w:hAnsi="Garamond" w:cs="Arial"/>
          <w:color w:val="auto"/>
          <w:sz w:val="24"/>
          <w:szCs w:val="24"/>
          <w:lang w:val="pt-PT"/>
        </w:rPr>
        <w:t>u</w:t>
      </w:r>
      <w:r w:rsidR="00955D60" w:rsidRPr="003A1174">
        <w:rPr>
          <w:rFonts w:ascii="Garamond" w:hAnsi="Garamond" w:cs="Arial"/>
          <w:color w:val="auto"/>
          <w:sz w:val="24"/>
          <w:szCs w:val="24"/>
          <w:lang w:val="pt-PT"/>
        </w:rPr>
        <w:t xml:space="preserve"> ame</w:t>
      </w:r>
      <w:r w:rsidR="00C751FC" w:rsidRPr="003A1174">
        <w:rPr>
          <w:rFonts w:ascii="Garamond" w:hAnsi="Garamond" w:cs="Arial"/>
          <w:color w:val="auto"/>
          <w:sz w:val="24"/>
          <w:szCs w:val="24"/>
          <w:lang w:val="pt-PT"/>
        </w:rPr>
        <w:t xml:space="preserve">ace os seus </w:t>
      </w:r>
      <w:r w:rsidR="00886D6A" w:rsidRPr="003A1174">
        <w:rPr>
          <w:rFonts w:ascii="Garamond" w:hAnsi="Garamond" w:cs="Arial"/>
          <w:color w:val="auto"/>
          <w:sz w:val="24"/>
          <w:szCs w:val="24"/>
          <w:lang w:val="pt-PT"/>
        </w:rPr>
        <w:t>direito</w:t>
      </w:r>
      <w:r w:rsidR="00955D60" w:rsidRPr="003A1174">
        <w:rPr>
          <w:rFonts w:ascii="Garamond" w:hAnsi="Garamond" w:cs="Arial"/>
          <w:color w:val="auto"/>
          <w:sz w:val="24"/>
          <w:szCs w:val="24"/>
          <w:lang w:val="pt-PT"/>
        </w:rPr>
        <w:t>s</w:t>
      </w:r>
      <w:r w:rsidR="003D6CAE" w:rsidRPr="003A1174">
        <w:rPr>
          <w:rFonts w:ascii="Garamond" w:hAnsi="Garamond" w:cs="Arial"/>
          <w:color w:val="auto"/>
          <w:sz w:val="24"/>
          <w:szCs w:val="24"/>
          <w:lang w:val="pt-PT"/>
        </w:rPr>
        <w:t xml:space="preserve">. </w:t>
      </w:r>
      <w:r w:rsidR="00D75A07" w:rsidRPr="003A1174">
        <w:rPr>
          <w:rFonts w:ascii="Garamond" w:hAnsi="Garamond" w:cs="Arial"/>
          <w:color w:val="auto"/>
          <w:sz w:val="24"/>
          <w:szCs w:val="24"/>
          <w:lang w:val="pt-PT"/>
        </w:rPr>
        <w:t>São</w:t>
      </w:r>
      <w:r w:rsidR="00955D60" w:rsidRPr="003A1174">
        <w:rPr>
          <w:rFonts w:ascii="Garamond" w:hAnsi="Garamond" w:cs="Arial"/>
          <w:color w:val="auto"/>
          <w:sz w:val="24"/>
          <w:szCs w:val="24"/>
          <w:lang w:val="pt-PT"/>
        </w:rPr>
        <w:t xml:space="preserve"> de </w:t>
      </w:r>
      <w:r w:rsidR="00B14AA6" w:rsidRPr="003A1174">
        <w:rPr>
          <w:rFonts w:ascii="Garamond" w:hAnsi="Garamond" w:cs="Arial"/>
          <w:color w:val="auto"/>
          <w:sz w:val="24"/>
          <w:szCs w:val="24"/>
          <w:lang w:val="pt-PT"/>
        </w:rPr>
        <w:t>aplicação</w:t>
      </w:r>
      <w:r w:rsidR="00955D60" w:rsidRPr="003A1174">
        <w:rPr>
          <w:rFonts w:ascii="Garamond" w:hAnsi="Garamond" w:cs="Arial"/>
          <w:color w:val="auto"/>
          <w:sz w:val="24"/>
          <w:szCs w:val="24"/>
          <w:lang w:val="pt-PT"/>
        </w:rPr>
        <w:t xml:space="preserve"> </w:t>
      </w:r>
      <w:r w:rsidR="00201889" w:rsidRPr="003A1174">
        <w:rPr>
          <w:rFonts w:ascii="Garamond" w:hAnsi="Garamond" w:cs="Arial"/>
          <w:color w:val="auto"/>
          <w:sz w:val="24"/>
          <w:szCs w:val="24"/>
          <w:lang w:val="pt-PT"/>
        </w:rPr>
        <w:t>imediata</w:t>
      </w:r>
      <w:r w:rsidR="00955D60" w:rsidRPr="003A1174">
        <w:rPr>
          <w:rFonts w:ascii="Garamond" w:hAnsi="Garamond" w:cs="Arial"/>
          <w:color w:val="auto"/>
          <w:sz w:val="24"/>
          <w:szCs w:val="24"/>
          <w:lang w:val="pt-PT"/>
        </w:rPr>
        <w:t xml:space="preserve"> p</w:t>
      </w:r>
      <w:r w:rsidR="00C751FC" w:rsidRPr="003A1174">
        <w:rPr>
          <w:rFonts w:ascii="Garamond" w:hAnsi="Garamond" w:cs="Arial"/>
          <w:color w:val="auto"/>
          <w:sz w:val="24"/>
          <w:szCs w:val="24"/>
          <w:lang w:val="pt-PT"/>
        </w:rPr>
        <w:t>e</w:t>
      </w:r>
      <w:r w:rsidR="00955D60" w:rsidRPr="003A1174">
        <w:rPr>
          <w:rFonts w:ascii="Garamond" w:hAnsi="Garamond" w:cs="Arial"/>
          <w:color w:val="auto"/>
          <w:sz w:val="24"/>
          <w:szCs w:val="24"/>
          <w:lang w:val="pt-PT"/>
        </w:rPr>
        <w:t xml:space="preserve">los </w:t>
      </w:r>
      <w:r w:rsidR="003F012B" w:rsidRPr="003A1174">
        <w:rPr>
          <w:rFonts w:ascii="Garamond" w:hAnsi="Garamond" w:cs="Arial"/>
          <w:color w:val="auto"/>
          <w:sz w:val="24"/>
          <w:szCs w:val="24"/>
          <w:lang w:val="pt-PT"/>
        </w:rPr>
        <w:t>órgão</w:t>
      </w:r>
      <w:r w:rsidR="00955D60" w:rsidRPr="003A1174">
        <w:rPr>
          <w:rFonts w:ascii="Garamond" w:hAnsi="Garamond" w:cs="Arial"/>
          <w:color w:val="auto"/>
          <w:sz w:val="24"/>
          <w:szCs w:val="24"/>
          <w:lang w:val="pt-PT"/>
        </w:rPr>
        <w:t>s recetores d</w:t>
      </w:r>
      <w:r w:rsidR="00C751FC" w:rsidRPr="003A1174">
        <w:rPr>
          <w:rFonts w:ascii="Garamond" w:hAnsi="Garamond" w:cs="Arial"/>
          <w:color w:val="auto"/>
          <w:sz w:val="24"/>
          <w:szCs w:val="24"/>
          <w:lang w:val="pt-PT"/>
        </w:rPr>
        <w:t>a</w:t>
      </w:r>
      <w:r w:rsidR="00955D60" w:rsidRPr="003A1174">
        <w:rPr>
          <w:rFonts w:ascii="Garamond" w:hAnsi="Garamond" w:cs="Arial"/>
          <w:color w:val="auto"/>
          <w:sz w:val="24"/>
          <w:szCs w:val="24"/>
          <w:lang w:val="pt-PT"/>
        </w:rPr>
        <w:t xml:space="preserve"> </w:t>
      </w:r>
      <w:r w:rsidR="003D6CAE" w:rsidRPr="003A1174">
        <w:rPr>
          <w:rFonts w:ascii="Garamond" w:hAnsi="Garamond" w:cs="Arial"/>
          <w:color w:val="auto"/>
          <w:sz w:val="24"/>
          <w:szCs w:val="24"/>
          <w:lang w:val="pt-PT"/>
        </w:rPr>
        <w:t xml:space="preserve">LA </w:t>
      </w:r>
      <w:r w:rsidR="008651AF" w:rsidRPr="003A1174">
        <w:rPr>
          <w:rFonts w:ascii="Garamond" w:hAnsi="Garamond" w:cs="Arial"/>
          <w:color w:val="auto"/>
          <w:sz w:val="24"/>
          <w:szCs w:val="24"/>
          <w:lang w:val="pt-PT"/>
        </w:rPr>
        <w:t>denúncia</w:t>
      </w:r>
      <w:r w:rsidR="00955D60" w:rsidRPr="003A1174">
        <w:rPr>
          <w:rFonts w:ascii="Garamond" w:hAnsi="Garamond" w:cs="Arial"/>
          <w:color w:val="auto"/>
          <w:sz w:val="24"/>
          <w:szCs w:val="24"/>
          <w:lang w:val="pt-PT"/>
        </w:rPr>
        <w:t>.</w:t>
      </w:r>
      <w:r w:rsidR="00955D60" w:rsidRPr="003A1174">
        <w:rPr>
          <w:rStyle w:val="Refdenotaalpie"/>
          <w:rFonts w:ascii="Garamond" w:hAnsi="Garamond" w:cs="Arial"/>
          <w:color w:val="auto"/>
          <w:sz w:val="24"/>
          <w:szCs w:val="24"/>
        </w:rPr>
        <w:footnoteReference w:id="137"/>
      </w:r>
    </w:p>
    <w:p w:rsidR="00955D60" w:rsidRPr="003A1174" w:rsidRDefault="00670522" w:rsidP="008719D4">
      <w:pPr>
        <w:pStyle w:val="NormalWeb"/>
        <w:spacing w:before="240" w:beforeAutospacing="0"/>
        <w:jc w:val="both"/>
        <w:rPr>
          <w:rFonts w:ascii="Garamond" w:hAnsi="Garamond" w:cs="Arial"/>
          <w:lang w:val="pt-PT"/>
        </w:rPr>
      </w:pPr>
      <w:r w:rsidRPr="003A1174">
        <w:rPr>
          <w:rStyle w:val="Ttulo4Car"/>
          <w:rFonts w:ascii="Garamond" w:hAnsi="Garamond"/>
          <w:sz w:val="24"/>
          <w:lang w:val="pt-PT"/>
        </w:rPr>
        <w:t xml:space="preserve">Casas de </w:t>
      </w:r>
      <w:r w:rsidR="00B936A7" w:rsidRPr="003A1174">
        <w:rPr>
          <w:rStyle w:val="Ttulo4Car"/>
          <w:rFonts w:ascii="Garamond" w:hAnsi="Garamond"/>
          <w:sz w:val="24"/>
          <w:lang w:val="pt-PT"/>
        </w:rPr>
        <w:t>abrigo</w:t>
      </w:r>
    </w:p>
    <w:p w:rsidR="00955D60" w:rsidRPr="003A1174" w:rsidRDefault="00955D60" w:rsidP="008719D4">
      <w:pPr>
        <w:pStyle w:val="Default"/>
        <w:spacing w:before="240"/>
        <w:jc w:val="both"/>
        <w:rPr>
          <w:rFonts w:ascii="Garamond" w:hAnsi="Garamond" w:cs="Arial"/>
          <w:color w:val="auto"/>
          <w:lang w:val="pt-PT"/>
        </w:rPr>
      </w:pPr>
      <w:r w:rsidRPr="003A1174">
        <w:rPr>
          <w:rFonts w:ascii="Garamond" w:hAnsi="Garamond" w:cs="Arial"/>
          <w:color w:val="auto"/>
          <w:lang w:val="pt-PT"/>
        </w:rPr>
        <w:t>A</w:t>
      </w:r>
      <w:r w:rsidR="000864ED" w:rsidRPr="003A1174">
        <w:rPr>
          <w:rFonts w:ascii="Garamond" w:hAnsi="Garamond" w:cs="Arial"/>
          <w:color w:val="auto"/>
          <w:lang w:val="pt-PT"/>
        </w:rPr>
        <w:t xml:space="preserve"> </w:t>
      </w:r>
      <w:r w:rsidR="00D37CF3" w:rsidRPr="003A1174">
        <w:rPr>
          <w:rFonts w:ascii="Garamond" w:hAnsi="Garamond" w:cs="Arial"/>
          <w:color w:val="auto"/>
          <w:lang w:val="pt-PT"/>
        </w:rPr>
        <w:t>es</w:t>
      </w:r>
      <w:r w:rsidR="0049318C">
        <w:rPr>
          <w:rFonts w:ascii="Garamond" w:hAnsi="Garamond" w:cs="Arial"/>
          <w:color w:val="auto"/>
          <w:lang w:val="pt-PT"/>
        </w:rPr>
        <w:t>t</w:t>
      </w:r>
      <w:r w:rsidR="00D37CF3" w:rsidRPr="003A1174">
        <w:rPr>
          <w:rFonts w:ascii="Garamond" w:hAnsi="Garamond" w:cs="Arial"/>
          <w:color w:val="auto"/>
          <w:lang w:val="pt-PT"/>
        </w:rPr>
        <w:t>e</w:t>
      </w:r>
      <w:r w:rsidR="000864ED" w:rsidRPr="003A1174">
        <w:rPr>
          <w:rFonts w:ascii="Garamond" w:hAnsi="Garamond" w:cs="Arial"/>
          <w:color w:val="auto"/>
          <w:lang w:val="pt-PT"/>
        </w:rPr>
        <w:t xml:space="preserve"> </w:t>
      </w:r>
      <w:r w:rsidR="001F2F8B" w:rsidRPr="003A1174">
        <w:rPr>
          <w:rFonts w:ascii="Garamond" w:hAnsi="Garamond" w:cs="Arial"/>
          <w:color w:val="auto"/>
          <w:lang w:val="pt-PT"/>
        </w:rPr>
        <w:t>respeito</w:t>
      </w:r>
      <w:r w:rsidR="0049318C">
        <w:rPr>
          <w:rFonts w:ascii="Garamond" w:hAnsi="Garamond" w:cs="Arial"/>
          <w:color w:val="auto"/>
          <w:lang w:val="pt-PT"/>
        </w:rPr>
        <w:t>,</w:t>
      </w:r>
      <w:r w:rsidRPr="003A1174">
        <w:rPr>
          <w:rFonts w:ascii="Garamond" w:hAnsi="Garamond" w:cs="Arial"/>
          <w:color w:val="auto"/>
          <w:lang w:val="pt-PT"/>
        </w:rPr>
        <w:t xml:space="preserve"> </w:t>
      </w:r>
      <w:r w:rsidR="000864ED" w:rsidRPr="003A1174">
        <w:rPr>
          <w:rFonts w:ascii="Garamond" w:hAnsi="Garamond" w:cs="Arial"/>
          <w:color w:val="auto"/>
          <w:lang w:val="pt-PT"/>
        </w:rPr>
        <w:t>refere-</w:t>
      </w:r>
      <w:r w:rsidRPr="003A1174">
        <w:rPr>
          <w:rFonts w:ascii="Garamond" w:hAnsi="Garamond" w:cs="Arial"/>
          <w:color w:val="auto"/>
          <w:lang w:val="pt-PT"/>
        </w:rPr>
        <w:t xml:space="preserve">se </w:t>
      </w:r>
      <w:r w:rsidR="000864ED" w:rsidRPr="003A1174">
        <w:rPr>
          <w:rFonts w:ascii="Garamond" w:hAnsi="Garamond" w:cs="Arial"/>
          <w:color w:val="auto"/>
          <w:lang w:val="pt-PT"/>
        </w:rPr>
        <w:t>que</w:t>
      </w:r>
      <w:r w:rsidR="0049318C">
        <w:rPr>
          <w:rFonts w:ascii="Garamond" w:hAnsi="Garamond" w:cs="Arial"/>
          <w:color w:val="auto"/>
          <w:lang w:val="pt-PT"/>
        </w:rPr>
        <w:t>,</w:t>
      </w:r>
      <w:r w:rsidR="000864ED" w:rsidRPr="003A1174">
        <w:rPr>
          <w:rFonts w:ascii="Garamond" w:hAnsi="Garamond" w:cs="Arial"/>
          <w:color w:val="auto"/>
          <w:lang w:val="pt-PT"/>
        </w:rPr>
        <w:t xml:space="preserve"> </w:t>
      </w:r>
      <w:r w:rsidRPr="003A1174">
        <w:rPr>
          <w:rFonts w:ascii="Garamond" w:hAnsi="Garamond" w:cs="Arial"/>
          <w:color w:val="auto"/>
          <w:lang w:val="pt-PT"/>
        </w:rPr>
        <w:t xml:space="preserve">as casas de abrigo </w:t>
      </w:r>
      <w:r w:rsidR="00D75A07" w:rsidRPr="003A1174">
        <w:rPr>
          <w:rFonts w:ascii="Garamond" w:hAnsi="Garamond" w:cs="Arial"/>
          <w:color w:val="auto"/>
          <w:lang w:val="pt-PT"/>
        </w:rPr>
        <w:t>são</w:t>
      </w:r>
      <w:r w:rsidRPr="003A1174">
        <w:rPr>
          <w:rFonts w:ascii="Garamond" w:hAnsi="Garamond" w:cs="Arial"/>
          <w:color w:val="auto"/>
          <w:lang w:val="pt-PT"/>
        </w:rPr>
        <w:t xml:space="preserve"> re</w:t>
      </w:r>
      <w:r w:rsidR="00A41573" w:rsidRPr="003A1174">
        <w:rPr>
          <w:rFonts w:ascii="Garamond" w:hAnsi="Garamond" w:cs="Arial"/>
          <w:color w:val="auto"/>
          <w:lang w:val="pt-PT"/>
        </w:rPr>
        <w:t>conhecid</w:t>
      </w:r>
      <w:r w:rsidRPr="003A1174">
        <w:rPr>
          <w:rFonts w:ascii="Garamond" w:hAnsi="Garamond" w:cs="Arial"/>
          <w:color w:val="auto"/>
          <w:lang w:val="pt-PT"/>
        </w:rPr>
        <w:t xml:space="preserve">as como parte </w:t>
      </w:r>
      <w:r w:rsidR="00497503" w:rsidRPr="003A1174">
        <w:rPr>
          <w:rFonts w:ascii="Garamond" w:hAnsi="Garamond" w:cs="Arial"/>
          <w:color w:val="auto"/>
          <w:lang w:val="pt-PT"/>
        </w:rPr>
        <w:t>dos</w:t>
      </w:r>
      <w:r w:rsidRPr="003A1174">
        <w:rPr>
          <w:rFonts w:ascii="Garamond" w:hAnsi="Garamond" w:cs="Arial"/>
          <w:color w:val="auto"/>
          <w:lang w:val="pt-PT"/>
        </w:rPr>
        <w:t xml:space="preserve"> programas que </w:t>
      </w:r>
      <w:r w:rsidR="00A862C2" w:rsidRPr="003A1174">
        <w:rPr>
          <w:rFonts w:ascii="Garamond" w:hAnsi="Garamond" w:cs="Arial"/>
          <w:color w:val="auto"/>
          <w:lang w:val="pt-PT"/>
        </w:rPr>
        <w:t>deve</w:t>
      </w:r>
      <w:r w:rsidR="000864ED" w:rsidRPr="003A1174">
        <w:rPr>
          <w:rFonts w:ascii="Garamond" w:hAnsi="Garamond" w:cs="Arial"/>
          <w:color w:val="auto"/>
          <w:lang w:val="pt-PT"/>
        </w:rPr>
        <w:t>m</w:t>
      </w:r>
      <w:r w:rsidRPr="003A1174">
        <w:rPr>
          <w:rFonts w:ascii="Garamond" w:hAnsi="Garamond" w:cs="Arial"/>
          <w:color w:val="auto"/>
          <w:lang w:val="pt-PT"/>
        </w:rPr>
        <w:t xml:space="preserve"> ser des</w:t>
      </w:r>
      <w:r w:rsidR="000864ED" w:rsidRPr="003A1174">
        <w:rPr>
          <w:rFonts w:ascii="Garamond" w:hAnsi="Garamond" w:cs="Arial"/>
          <w:color w:val="auto"/>
          <w:lang w:val="pt-PT"/>
        </w:rPr>
        <w:t xml:space="preserve">envolvidos </w:t>
      </w:r>
      <w:r w:rsidR="00275092" w:rsidRPr="003A1174">
        <w:rPr>
          <w:rFonts w:ascii="Garamond" w:hAnsi="Garamond" w:cs="Arial"/>
          <w:color w:val="auto"/>
          <w:lang w:val="pt-PT"/>
        </w:rPr>
        <w:t>pela</w:t>
      </w:r>
      <w:r w:rsidRPr="003A1174">
        <w:rPr>
          <w:rFonts w:ascii="Garamond" w:hAnsi="Garamond" w:cs="Arial"/>
          <w:color w:val="auto"/>
          <w:lang w:val="pt-PT"/>
        </w:rPr>
        <w:t xml:space="preserve">s políticas públicas </w:t>
      </w:r>
      <w:r w:rsidR="00E85E59" w:rsidRPr="003A1174">
        <w:rPr>
          <w:rFonts w:ascii="Garamond" w:hAnsi="Garamond" w:cs="Arial"/>
          <w:color w:val="auto"/>
          <w:lang w:val="pt-PT"/>
        </w:rPr>
        <w:t>do</w:t>
      </w:r>
      <w:r w:rsidRPr="003A1174">
        <w:rPr>
          <w:rFonts w:ascii="Garamond" w:hAnsi="Garamond" w:cs="Arial"/>
          <w:color w:val="auto"/>
          <w:lang w:val="pt-PT"/>
        </w:rPr>
        <w:t xml:space="preserve"> Estado,</w:t>
      </w:r>
      <w:r w:rsidRPr="003A1174">
        <w:rPr>
          <w:rStyle w:val="Refdenotaalpie"/>
          <w:rFonts w:ascii="Garamond" w:hAnsi="Garamond" w:cs="Arial"/>
          <w:color w:val="auto"/>
        </w:rPr>
        <w:footnoteReference w:id="138"/>
      </w:r>
      <w:r w:rsidRPr="003A1174">
        <w:rPr>
          <w:rFonts w:ascii="Garamond" w:hAnsi="Garamond" w:cs="Arial"/>
          <w:color w:val="auto"/>
          <w:lang w:val="pt-PT"/>
        </w:rPr>
        <w:t xml:space="preserve"> </w:t>
      </w:r>
      <w:r w:rsidR="000672E8" w:rsidRPr="003A1174">
        <w:rPr>
          <w:rFonts w:ascii="Garamond" w:hAnsi="Garamond" w:cs="Arial"/>
          <w:color w:val="auto"/>
          <w:lang w:val="pt-PT"/>
        </w:rPr>
        <w:t>e</w:t>
      </w:r>
      <w:r w:rsidR="000864ED" w:rsidRPr="003A1174">
        <w:rPr>
          <w:rFonts w:ascii="Garamond" w:hAnsi="Garamond" w:cs="Arial"/>
          <w:color w:val="auto"/>
          <w:lang w:val="pt-PT"/>
        </w:rPr>
        <w:t xml:space="preserve"> que </w:t>
      </w:r>
      <w:r w:rsidRPr="003A1174">
        <w:rPr>
          <w:rFonts w:ascii="Garamond" w:hAnsi="Garamond" w:cs="Arial"/>
          <w:color w:val="auto"/>
          <w:lang w:val="pt-PT"/>
        </w:rPr>
        <w:t xml:space="preserve">as </w:t>
      </w:r>
      <w:r w:rsidR="009859FC" w:rsidRPr="003A1174">
        <w:rPr>
          <w:rFonts w:ascii="Garamond" w:hAnsi="Garamond" w:cs="Arial"/>
          <w:color w:val="auto"/>
          <w:lang w:val="pt-PT"/>
        </w:rPr>
        <w:t>melhoria</w:t>
      </w:r>
      <w:r w:rsidRPr="003A1174">
        <w:rPr>
          <w:rFonts w:ascii="Garamond" w:hAnsi="Garamond" w:cs="Arial"/>
          <w:color w:val="auto"/>
          <w:lang w:val="pt-PT"/>
        </w:rPr>
        <w:t xml:space="preserve">s </w:t>
      </w:r>
      <w:r w:rsidR="000864ED" w:rsidRPr="003A1174">
        <w:rPr>
          <w:rFonts w:ascii="Garamond" w:hAnsi="Garamond" w:cs="Arial"/>
          <w:color w:val="auto"/>
          <w:lang w:val="pt-PT"/>
        </w:rPr>
        <w:t>n</w:t>
      </w:r>
      <w:r w:rsidRPr="003A1174">
        <w:rPr>
          <w:rFonts w:ascii="Garamond" w:hAnsi="Garamond" w:cs="Arial"/>
          <w:color w:val="auto"/>
          <w:lang w:val="pt-PT"/>
        </w:rPr>
        <w:t xml:space="preserve">a </w:t>
      </w:r>
      <w:r w:rsidR="008278C4" w:rsidRPr="003A1174">
        <w:rPr>
          <w:rFonts w:ascii="Garamond" w:hAnsi="Garamond" w:cs="Arial"/>
          <w:color w:val="auto"/>
          <w:lang w:val="pt-PT"/>
        </w:rPr>
        <w:t>qualidade</w:t>
      </w:r>
      <w:r w:rsidRPr="003A1174">
        <w:rPr>
          <w:rFonts w:ascii="Garamond" w:hAnsi="Garamond" w:cs="Arial"/>
          <w:color w:val="auto"/>
          <w:lang w:val="pt-PT"/>
        </w:rPr>
        <w:t xml:space="preserve"> </w:t>
      </w:r>
      <w:r w:rsidR="000672E8" w:rsidRPr="003A1174">
        <w:rPr>
          <w:rFonts w:ascii="Garamond" w:hAnsi="Garamond" w:cs="Arial"/>
          <w:color w:val="auto"/>
          <w:lang w:val="pt-PT"/>
        </w:rPr>
        <w:t>e</w:t>
      </w:r>
      <w:r w:rsidRPr="003A1174">
        <w:rPr>
          <w:rFonts w:ascii="Garamond" w:hAnsi="Garamond" w:cs="Arial"/>
          <w:color w:val="auto"/>
          <w:lang w:val="pt-PT"/>
        </w:rPr>
        <w:t xml:space="preserve"> </w:t>
      </w:r>
      <w:r w:rsidR="000864ED" w:rsidRPr="003A1174">
        <w:rPr>
          <w:rFonts w:ascii="Garamond" w:hAnsi="Garamond" w:cs="Arial"/>
          <w:color w:val="auto"/>
          <w:lang w:val="pt-PT"/>
        </w:rPr>
        <w:t xml:space="preserve">no </w:t>
      </w:r>
      <w:r w:rsidRPr="003A1174">
        <w:rPr>
          <w:rFonts w:ascii="Garamond" w:hAnsi="Garamond" w:cs="Arial"/>
          <w:color w:val="auto"/>
          <w:lang w:val="pt-PT"/>
        </w:rPr>
        <w:t xml:space="preserve">número de Casas </w:t>
      </w:r>
      <w:r w:rsidR="000864ED" w:rsidRPr="003A1174">
        <w:rPr>
          <w:rFonts w:ascii="Garamond" w:hAnsi="Garamond" w:cs="Arial"/>
          <w:color w:val="auto"/>
          <w:lang w:val="pt-PT"/>
        </w:rPr>
        <w:t xml:space="preserve">na </w:t>
      </w:r>
      <w:r w:rsidRPr="003A1174">
        <w:rPr>
          <w:rFonts w:ascii="Garamond" w:hAnsi="Garamond" w:cs="Arial"/>
          <w:color w:val="auto"/>
          <w:lang w:val="pt-PT"/>
        </w:rPr>
        <w:t xml:space="preserve">Venezuela </w:t>
      </w:r>
      <w:r w:rsidR="00D75A07" w:rsidRPr="003A1174">
        <w:rPr>
          <w:rFonts w:ascii="Garamond" w:hAnsi="Garamond" w:cs="Arial"/>
          <w:color w:val="auto"/>
          <w:lang w:val="pt-PT"/>
        </w:rPr>
        <w:t>são</w:t>
      </w:r>
      <w:r w:rsidRPr="003A1174">
        <w:rPr>
          <w:rFonts w:ascii="Garamond" w:hAnsi="Garamond" w:cs="Arial"/>
          <w:color w:val="auto"/>
          <w:lang w:val="pt-PT"/>
        </w:rPr>
        <w:t xml:space="preserve"> u</w:t>
      </w:r>
      <w:r w:rsidR="000864ED" w:rsidRPr="003A1174">
        <w:rPr>
          <w:rFonts w:ascii="Garamond" w:hAnsi="Garamond" w:cs="Arial"/>
          <w:color w:val="auto"/>
          <w:lang w:val="pt-PT"/>
        </w:rPr>
        <w:t xml:space="preserve">m </w:t>
      </w:r>
      <w:r w:rsidR="00497503" w:rsidRPr="003A1174">
        <w:rPr>
          <w:rFonts w:ascii="Garamond" w:hAnsi="Garamond" w:cs="Arial"/>
          <w:color w:val="auto"/>
          <w:lang w:val="pt-PT"/>
        </w:rPr>
        <w:t>dos</w:t>
      </w:r>
      <w:r w:rsidRPr="003A1174">
        <w:rPr>
          <w:rFonts w:ascii="Garamond" w:hAnsi="Garamond" w:cs="Arial"/>
          <w:color w:val="auto"/>
          <w:lang w:val="pt-PT"/>
        </w:rPr>
        <w:t xml:space="preserve"> </w:t>
      </w:r>
      <w:r w:rsidR="00FC1F7F" w:rsidRPr="003A1174">
        <w:rPr>
          <w:rFonts w:ascii="Garamond" w:hAnsi="Garamond" w:cs="Arial"/>
          <w:color w:val="auto"/>
          <w:lang w:val="pt-PT"/>
        </w:rPr>
        <w:t>avanços</w:t>
      </w:r>
      <w:r w:rsidRPr="003A1174">
        <w:rPr>
          <w:rFonts w:ascii="Garamond" w:hAnsi="Garamond" w:cs="Arial"/>
          <w:color w:val="auto"/>
          <w:lang w:val="pt-PT"/>
        </w:rPr>
        <w:t xml:space="preserve"> </w:t>
      </w:r>
      <w:r w:rsidR="00BA21ED" w:rsidRPr="003A1174">
        <w:rPr>
          <w:rFonts w:ascii="Garamond" w:hAnsi="Garamond" w:cs="Arial"/>
          <w:color w:val="auto"/>
          <w:lang w:val="pt-PT"/>
        </w:rPr>
        <w:t>mais</w:t>
      </w:r>
      <w:r w:rsidRPr="003A1174">
        <w:rPr>
          <w:rFonts w:ascii="Garamond" w:hAnsi="Garamond" w:cs="Arial"/>
          <w:color w:val="auto"/>
          <w:lang w:val="pt-PT"/>
        </w:rPr>
        <w:t xml:space="preserve"> significativos </w:t>
      </w:r>
      <w:r w:rsidR="0049318C">
        <w:rPr>
          <w:rFonts w:ascii="Garamond" w:hAnsi="Garamond" w:cs="Arial"/>
          <w:color w:val="auto"/>
          <w:lang w:val="pt-PT"/>
        </w:rPr>
        <w:t xml:space="preserve">em </w:t>
      </w:r>
      <w:r w:rsidR="00EF645F" w:rsidRPr="003A1174">
        <w:rPr>
          <w:rFonts w:ascii="Garamond" w:hAnsi="Garamond" w:cs="Arial"/>
          <w:color w:val="auto"/>
          <w:lang w:val="pt-PT"/>
        </w:rPr>
        <w:t>matéria</w:t>
      </w:r>
      <w:r w:rsidRPr="003A1174">
        <w:rPr>
          <w:rFonts w:ascii="Garamond" w:hAnsi="Garamond" w:cs="Arial"/>
          <w:color w:val="auto"/>
          <w:lang w:val="pt-PT"/>
        </w:rPr>
        <w:t xml:space="preserve"> </w:t>
      </w:r>
      <w:r w:rsidR="0049318C">
        <w:rPr>
          <w:rFonts w:ascii="Garamond" w:hAnsi="Garamond" w:cs="Arial"/>
          <w:color w:val="auto"/>
          <w:lang w:val="pt-PT"/>
        </w:rPr>
        <w:t xml:space="preserve">de cuidados </w:t>
      </w:r>
      <w:r w:rsidRPr="003A1174">
        <w:rPr>
          <w:rFonts w:ascii="Garamond" w:hAnsi="Garamond" w:cs="Arial"/>
          <w:color w:val="auto"/>
          <w:lang w:val="pt-PT"/>
        </w:rPr>
        <w:t>integra</w:t>
      </w:r>
      <w:r w:rsidR="0049318C">
        <w:rPr>
          <w:rFonts w:ascii="Garamond" w:hAnsi="Garamond" w:cs="Arial"/>
          <w:color w:val="auto"/>
          <w:lang w:val="pt-PT"/>
        </w:rPr>
        <w:t>is</w:t>
      </w:r>
      <w:r w:rsidRPr="003A1174">
        <w:rPr>
          <w:rFonts w:ascii="Garamond" w:hAnsi="Garamond" w:cs="Arial"/>
          <w:color w:val="auto"/>
          <w:lang w:val="pt-PT"/>
        </w:rPr>
        <w:t xml:space="preserve"> </w:t>
      </w:r>
      <w:r w:rsidR="000864ED" w:rsidRPr="003A1174">
        <w:rPr>
          <w:rFonts w:ascii="Garamond" w:hAnsi="Garamond" w:cs="Arial"/>
          <w:color w:val="auto"/>
          <w:lang w:val="pt-PT"/>
        </w:rPr>
        <w:t>à</w:t>
      </w:r>
      <w:r w:rsidRPr="003A1174">
        <w:rPr>
          <w:rFonts w:ascii="Garamond" w:hAnsi="Garamond" w:cs="Arial"/>
          <w:color w:val="auto"/>
          <w:lang w:val="pt-PT"/>
        </w:rPr>
        <w:t xml:space="preserve">s </w:t>
      </w:r>
      <w:r w:rsidR="00054EE0" w:rsidRPr="003A1174">
        <w:rPr>
          <w:rFonts w:ascii="Garamond" w:hAnsi="Garamond" w:cs="Arial"/>
          <w:color w:val="auto"/>
          <w:lang w:val="pt-PT"/>
        </w:rPr>
        <w:t>mulheres</w:t>
      </w:r>
      <w:r w:rsidRPr="003A1174">
        <w:rPr>
          <w:rFonts w:ascii="Garamond" w:hAnsi="Garamond" w:cs="Arial"/>
          <w:color w:val="auto"/>
          <w:lang w:val="pt-PT"/>
        </w:rPr>
        <w:t xml:space="preserve"> </w:t>
      </w:r>
      <w:r w:rsidR="003F012B" w:rsidRPr="003A1174">
        <w:rPr>
          <w:rFonts w:ascii="Garamond" w:hAnsi="Garamond" w:cs="Arial"/>
          <w:color w:val="auto"/>
          <w:lang w:val="pt-PT"/>
        </w:rPr>
        <w:t>vítima</w:t>
      </w:r>
      <w:r w:rsidRPr="003A1174">
        <w:rPr>
          <w:rFonts w:ascii="Garamond" w:hAnsi="Garamond" w:cs="Arial"/>
          <w:color w:val="auto"/>
          <w:lang w:val="pt-PT"/>
        </w:rPr>
        <w:t xml:space="preserve">s de </w:t>
      </w:r>
      <w:r w:rsidR="000350B1" w:rsidRPr="003A1174">
        <w:rPr>
          <w:rFonts w:ascii="Garamond" w:hAnsi="Garamond" w:cs="Arial"/>
          <w:color w:val="auto"/>
          <w:lang w:val="pt-PT"/>
        </w:rPr>
        <w:t>violência</w:t>
      </w:r>
      <w:r w:rsidRPr="003A1174">
        <w:rPr>
          <w:rFonts w:ascii="Garamond" w:hAnsi="Garamond" w:cs="Arial"/>
          <w:color w:val="auto"/>
          <w:lang w:val="pt-PT"/>
        </w:rPr>
        <w:t>.</w:t>
      </w:r>
    </w:p>
    <w:p w:rsidR="00955D60" w:rsidRPr="003A1174" w:rsidRDefault="000864ED" w:rsidP="008719D4">
      <w:pPr>
        <w:spacing w:before="240" w:after="100" w:afterAutospacing="1" w:line="240" w:lineRule="auto"/>
        <w:jc w:val="both"/>
        <w:rPr>
          <w:rFonts w:ascii="Garamond" w:hAnsi="Garamond" w:cs="Arial"/>
          <w:sz w:val="24"/>
          <w:szCs w:val="24"/>
        </w:rPr>
      </w:pPr>
      <w:r w:rsidRPr="003A1174">
        <w:rPr>
          <w:rFonts w:ascii="Garamond" w:hAnsi="Garamond" w:cs="Arial"/>
          <w:sz w:val="24"/>
          <w:szCs w:val="24"/>
        </w:rPr>
        <w:t>Num</w:t>
      </w:r>
      <w:r w:rsidR="006B5808">
        <w:rPr>
          <w:rFonts w:ascii="Garamond" w:hAnsi="Garamond" w:cs="Arial"/>
          <w:sz w:val="24"/>
          <w:szCs w:val="24"/>
        </w:rPr>
        <w:t>a</w:t>
      </w:r>
      <w:r w:rsidRPr="003A1174">
        <w:rPr>
          <w:rFonts w:ascii="Garamond" w:hAnsi="Garamond" w:cs="Arial"/>
          <w:sz w:val="24"/>
          <w:szCs w:val="24"/>
        </w:rPr>
        <w:t xml:space="preserve"> </w:t>
      </w:r>
      <w:r w:rsidR="006B5808">
        <w:rPr>
          <w:rFonts w:ascii="Garamond" w:hAnsi="Garamond" w:cs="Arial"/>
          <w:sz w:val="24"/>
          <w:szCs w:val="24"/>
        </w:rPr>
        <w:t>abordagem</w:t>
      </w:r>
      <w:r w:rsidR="00D85F87">
        <w:rPr>
          <w:rFonts w:ascii="Garamond" w:hAnsi="Garamond" w:cs="Arial"/>
          <w:sz w:val="24"/>
          <w:szCs w:val="24"/>
        </w:rPr>
        <w:t xml:space="preserve"> </w:t>
      </w:r>
      <w:r w:rsidR="00955D60" w:rsidRPr="003A1174">
        <w:rPr>
          <w:rFonts w:ascii="Garamond" w:hAnsi="Garamond" w:cs="Arial"/>
          <w:sz w:val="24"/>
          <w:szCs w:val="24"/>
        </w:rPr>
        <w:t>descritiv</w:t>
      </w:r>
      <w:r w:rsidR="006B5808">
        <w:rPr>
          <w:rFonts w:ascii="Garamond" w:hAnsi="Garamond" w:cs="Arial"/>
          <w:sz w:val="24"/>
          <w:szCs w:val="24"/>
        </w:rPr>
        <w:t>a</w:t>
      </w:r>
      <w:r w:rsidR="0049318C">
        <w:rPr>
          <w:rFonts w:ascii="Garamond" w:hAnsi="Garamond" w:cs="Arial"/>
          <w:sz w:val="24"/>
          <w:szCs w:val="24"/>
        </w:rPr>
        <w:t>,</w:t>
      </w:r>
      <w:r w:rsidR="00955D60" w:rsidRPr="003A1174">
        <w:rPr>
          <w:rFonts w:ascii="Garamond" w:hAnsi="Garamond" w:cs="Arial"/>
          <w:sz w:val="24"/>
          <w:szCs w:val="24"/>
        </w:rPr>
        <w:t xml:space="preserve"> </w:t>
      </w:r>
      <w:r w:rsidR="006B5808">
        <w:rPr>
          <w:rFonts w:ascii="Garamond" w:hAnsi="Garamond" w:cs="Arial"/>
          <w:sz w:val="24"/>
          <w:szCs w:val="24"/>
        </w:rPr>
        <w:t xml:space="preserve">pode afirmar-se </w:t>
      </w:r>
      <w:r w:rsidRPr="003A1174">
        <w:rPr>
          <w:rFonts w:ascii="Garamond" w:hAnsi="Garamond" w:cs="Arial"/>
          <w:sz w:val="24"/>
          <w:szCs w:val="24"/>
        </w:rPr>
        <w:t xml:space="preserve">que </w:t>
      </w:r>
      <w:r w:rsidR="00955D60" w:rsidRPr="003A1174">
        <w:rPr>
          <w:rFonts w:ascii="Garamond" w:hAnsi="Garamond" w:cs="Arial"/>
          <w:sz w:val="24"/>
          <w:szCs w:val="24"/>
        </w:rPr>
        <w:t xml:space="preserve">as Casas de Abrigo </w:t>
      </w:r>
      <w:r w:rsidR="0049318C">
        <w:rPr>
          <w:rFonts w:ascii="Garamond" w:hAnsi="Garamond" w:cs="Arial"/>
          <w:sz w:val="24"/>
          <w:szCs w:val="24"/>
        </w:rPr>
        <w:t>«</w:t>
      </w:r>
      <w:r w:rsidR="003D6CAE" w:rsidRPr="003A1174">
        <w:rPr>
          <w:rFonts w:ascii="Garamond" w:hAnsi="Garamond" w:cs="Arial"/>
          <w:sz w:val="24"/>
          <w:szCs w:val="24"/>
        </w:rPr>
        <w:t xml:space="preserve">(…) </w:t>
      </w:r>
      <w:r w:rsidR="00D75A07" w:rsidRPr="003A1174">
        <w:rPr>
          <w:rFonts w:ascii="Garamond" w:hAnsi="Garamond" w:cs="Arial"/>
          <w:sz w:val="24"/>
          <w:szCs w:val="24"/>
        </w:rPr>
        <w:t>são</w:t>
      </w:r>
      <w:r w:rsidR="00955D60" w:rsidRPr="003A1174">
        <w:rPr>
          <w:rFonts w:ascii="Garamond" w:hAnsi="Garamond" w:cs="Arial"/>
          <w:sz w:val="24"/>
          <w:szCs w:val="24"/>
        </w:rPr>
        <w:t xml:space="preserve"> lugares discretos</w:t>
      </w:r>
      <w:r w:rsidR="0049318C">
        <w:rPr>
          <w:rFonts w:ascii="Garamond" w:hAnsi="Garamond" w:cs="Arial"/>
          <w:sz w:val="24"/>
          <w:szCs w:val="24"/>
        </w:rPr>
        <w:t>,</w:t>
      </w:r>
      <w:r w:rsidR="00955D60" w:rsidRPr="003A1174">
        <w:rPr>
          <w:rFonts w:ascii="Garamond" w:hAnsi="Garamond" w:cs="Arial"/>
          <w:sz w:val="24"/>
          <w:szCs w:val="24"/>
        </w:rPr>
        <w:t xml:space="preserve"> destinados a dar </w:t>
      </w:r>
      <w:r w:rsidR="00BB2B00" w:rsidRPr="003A1174">
        <w:rPr>
          <w:rFonts w:ascii="Garamond" w:hAnsi="Garamond" w:cs="Arial"/>
          <w:sz w:val="24"/>
          <w:szCs w:val="24"/>
        </w:rPr>
        <w:t>à</w:t>
      </w:r>
      <w:r w:rsidR="00955D60" w:rsidRPr="003A1174">
        <w:rPr>
          <w:rFonts w:ascii="Garamond" w:hAnsi="Garamond" w:cs="Arial"/>
          <w:sz w:val="24"/>
          <w:szCs w:val="24"/>
        </w:rPr>
        <w:t xml:space="preserve">s </w:t>
      </w:r>
      <w:r w:rsidR="00054EE0" w:rsidRPr="003A1174">
        <w:rPr>
          <w:rFonts w:ascii="Garamond" w:hAnsi="Garamond" w:cs="Arial"/>
          <w:sz w:val="24"/>
          <w:szCs w:val="24"/>
        </w:rPr>
        <w:t>mulheres</w:t>
      </w:r>
      <w:r w:rsidRPr="003A1174">
        <w:rPr>
          <w:rFonts w:ascii="Garamond" w:hAnsi="Garamond" w:cs="Arial"/>
          <w:sz w:val="24"/>
          <w:szCs w:val="24"/>
        </w:rPr>
        <w:t>,</w:t>
      </w:r>
      <w:r w:rsidR="00955D60" w:rsidRPr="003A1174">
        <w:rPr>
          <w:rFonts w:ascii="Garamond" w:hAnsi="Garamond" w:cs="Arial"/>
          <w:sz w:val="24"/>
          <w:szCs w:val="24"/>
        </w:rPr>
        <w:t xml:space="preserve"> e</w:t>
      </w:r>
      <w:r w:rsidRPr="003A1174">
        <w:rPr>
          <w:rFonts w:ascii="Garamond" w:hAnsi="Garamond" w:cs="Arial"/>
          <w:sz w:val="24"/>
          <w:szCs w:val="24"/>
        </w:rPr>
        <w:t>m</w:t>
      </w:r>
      <w:r w:rsidR="00955D60" w:rsidRPr="003A1174">
        <w:rPr>
          <w:rFonts w:ascii="Garamond" w:hAnsi="Garamond" w:cs="Arial"/>
          <w:sz w:val="24"/>
          <w:szCs w:val="24"/>
        </w:rPr>
        <w:t xml:space="preserve"> </w:t>
      </w:r>
      <w:r w:rsidR="002D1021" w:rsidRPr="003A1174">
        <w:rPr>
          <w:rFonts w:ascii="Garamond" w:hAnsi="Garamond" w:cs="Arial"/>
          <w:sz w:val="24"/>
          <w:szCs w:val="24"/>
        </w:rPr>
        <w:t>perigo</w:t>
      </w:r>
      <w:r w:rsidR="00955D60" w:rsidRPr="003A1174">
        <w:rPr>
          <w:rFonts w:ascii="Garamond" w:hAnsi="Garamond" w:cs="Arial"/>
          <w:sz w:val="24"/>
          <w:szCs w:val="24"/>
        </w:rPr>
        <w:t xml:space="preserve"> extremo por </w:t>
      </w:r>
      <w:r w:rsidR="000350B1" w:rsidRPr="003A1174">
        <w:rPr>
          <w:rFonts w:ascii="Garamond" w:hAnsi="Garamond" w:cs="Arial"/>
          <w:sz w:val="24"/>
          <w:szCs w:val="24"/>
        </w:rPr>
        <w:t>violência</w:t>
      </w:r>
      <w:r w:rsidR="00955D60" w:rsidRPr="003A1174">
        <w:rPr>
          <w:rFonts w:ascii="Garamond" w:hAnsi="Garamond" w:cs="Arial"/>
          <w:sz w:val="24"/>
          <w:szCs w:val="24"/>
        </w:rPr>
        <w:t xml:space="preserve"> intrafamiliar</w:t>
      </w:r>
      <w:r w:rsidRPr="003A1174">
        <w:rPr>
          <w:rFonts w:ascii="Garamond" w:hAnsi="Garamond" w:cs="Arial"/>
          <w:sz w:val="24"/>
          <w:szCs w:val="24"/>
        </w:rPr>
        <w:t>,</w:t>
      </w:r>
      <w:r w:rsidR="00955D60" w:rsidRPr="003A1174">
        <w:rPr>
          <w:rFonts w:ascii="Garamond" w:hAnsi="Garamond" w:cs="Arial"/>
          <w:sz w:val="24"/>
          <w:szCs w:val="24"/>
        </w:rPr>
        <w:t xml:space="preserve"> </w:t>
      </w:r>
      <w:r w:rsidR="00886D6A" w:rsidRPr="003A1174">
        <w:rPr>
          <w:rFonts w:ascii="Garamond" w:hAnsi="Garamond" w:cs="Arial"/>
          <w:sz w:val="24"/>
          <w:szCs w:val="24"/>
        </w:rPr>
        <w:t>proteção</w:t>
      </w:r>
      <w:r w:rsidR="00955D60" w:rsidRPr="003A1174">
        <w:rPr>
          <w:rFonts w:ascii="Garamond" w:hAnsi="Garamond" w:cs="Arial"/>
          <w:sz w:val="24"/>
          <w:szCs w:val="24"/>
        </w:rPr>
        <w:t xml:space="preserve"> </w:t>
      </w:r>
      <w:r w:rsidR="00141BA9" w:rsidRPr="003A1174">
        <w:rPr>
          <w:rFonts w:ascii="Garamond" w:hAnsi="Garamond" w:cs="Arial"/>
          <w:sz w:val="24"/>
          <w:szCs w:val="24"/>
        </w:rPr>
        <w:t>temporári</w:t>
      </w:r>
      <w:r w:rsidRPr="003A1174">
        <w:rPr>
          <w:rFonts w:ascii="Garamond" w:hAnsi="Garamond" w:cs="Arial"/>
          <w:sz w:val="24"/>
          <w:szCs w:val="24"/>
        </w:rPr>
        <w:t xml:space="preserve">a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9024A0" w:rsidRPr="003A1174">
        <w:rPr>
          <w:rFonts w:ascii="Garamond" w:hAnsi="Garamond" w:cs="Arial"/>
          <w:sz w:val="24"/>
          <w:szCs w:val="24"/>
        </w:rPr>
        <w:t>proporcionar</w:t>
      </w:r>
      <w:r w:rsidRPr="003A1174">
        <w:rPr>
          <w:rFonts w:ascii="Garamond" w:hAnsi="Garamond" w:cs="Arial"/>
          <w:sz w:val="24"/>
          <w:szCs w:val="24"/>
        </w:rPr>
        <w:t>-</w:t>
      </w:r>
      <w:r w:rsidR="00955D60" w:rsidRPr="003A1174">
        <w:rPr>
          <w:rFonts w:ascii="Garamond" w:hAnsi="Garamond" w:cs="Arial"/>
          <w:sz w:val="24"/>
          <w:szCs w:val="24"/>
        </w:rPr>
        <w:t>l</w:t>
      </w:r>
      <w:r w:rsidRPr="003A1174">
        <w:rPr>
          <w:rFonts w:ascii="Garamond" w:hAnsi="Garamond" w:cs="Arial"/>
          <w:sz w:val="24"/>
          <w:szCs w:val="24"/>
        </w:rPr>
        <w:t>h</w:t>
      </w:r>
      <w:r w:rsidR="00955D60" w:rsidRPr="003A1174">
        <w:rPr>
          <w:rFonts w:ascii="Garamond" w:hAnsi="Garamond" w:cs="Arial"/>
          <w:sz w:val="24"/>
          <w:szCs w:val="24"/>
        </w:rPr>
        <w:t xml:space="preserve">es </w:t>
      </w:r>
      <w:r w:rsidR="0049318C">
        <w:rPr>
          <w:rFonts w:ascii="Garamond" w:hAnsi="Garamond" w:cs="Arial"/>
          <w:sz w:val="24"/>
          <w:szCs w:val="24"/>
        </w:rPr>
        <w:t xml:space="preserve">cuidados </w:t>
      </w:r>
      <w:r w:rsidRPr="003A1174">
        <w:rPr>
          <w:rFonts w:ascii="Garamond" w:hAnsi="Garamond" w:cs="Arial"/>
          <w:sz w:val="24"/>
          <w:szCs w:val="24"/>
        </w:rPr>
        <w:t>per</w:t>
      </w:r>
      <w:r w:rsidR="00955D60" w:rsidRPr="003A1174">
        <w:rPr>
          <w:rFonts w:ascii="Garamond" w:hAnsi="Garamond" w:cs="Arial"/>
          <w:sz w:val="24"/>
          <w:szCs w:val="24"/>
        </w:rPr>
        <w:t xml:space="preserve">ante </w:t>
      </w:r>
      <w:r w:rsidR="007342D9" w:rsidRPr="003A1174">
        <w:rPr>
          <w:rFonts w:ascii="Garamond" w:hAnsi="Garamond" w:cs="Arial"/>
          <w:sz w:val="24"/>
          <w:szCs w:val="24"/>
        </w:rPr>
        <w:t>situações</w:t>
      </w:r>
      <w:r w:rsidR="00955D60" w:rsidRPr="003A1174">
        <w:rPr>
          <w:rFonts w:ascii="Garamond" w:hAnsi="Garamond" w:cs="Arial"/>
          <w:sz w:val="24"/>
          <w:szCs w:val="24"/>
        </w:rPr>
        <w:t xml:space="preserve"> graves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familiar que representa</w:t>
      </w:r>
      <w:r w:rsidRPr="003A1174">
        <w:rPr>
          <w:rFonts w:ascii="Garamond" w:hAnsi="Garamond" w:cs="Arial"/>
          <w:sz w:val="24"/>
          <w:szCs w:val="24"/>
        </w:rPr>
        <w:t xml:space="preserve">m um </w:t>
      </w:r>
      <w:r w:rsidR="002D1021" w:rsidRPr="003A1174">
        <w:rPr>
          <w:rFonts w:ascii="Garamond" w:hAnsi="Garamond" w:cs="Arial"/>
          <w:sz w:val="24"/>
          <w:szCs w:val="24"/>
        </w:rPr>
        <w:t>perigo</w:t>
      </w:r>
      <w:r w:rsidR="00955D60" w:rsidRPr="003A1174">
        <w:rPr>
          <w:rFonts w:ascii="Garamond" w:hAnsi="Garamond" w:cs="Arial"/>
          <w:sz w:val="24"/>
          <w:szCs w:val="24"/>
        </w:rPr>
        <w:t xml:space="preserve"> para </w:t>
      </w:r>
      <w:r w:rsidRPr="003A1174">
        <w:rPr>
          <w:rFonts w:ascii="Garamond" w:hAnsi="Garamond" w:cs="Arial"/>
          <w:sz w:val="24"/>
          <w:szCs w:val="24"/>
        </w:rPr>
        <w:t xml:space="preserve">a </w:t>
      </w:r>
      <w:r w:rsidR="00955D60" w:rsidRPr="003A1174">
        <w:rPr>
          <w:rFonts w:ascii="Garamond" w:hAnsi="Garamond" w:cs="Arial"/>
          <w:sz w:val="24"/>
          <w:szCs w:val="24"/>
        </w:rPr>
        <w:t>su</w:t>
      </w:r>
      <w:r w:rsidRPr="003A1174">
        <w:rPr>
          <w:rFonts w:ascii="Garamond" w:hAnsi="Garamond" w:cs="Arial"/>
          <w:sz w:val="24"/>
          <w:szCs w:val="24"/>
        </w:rPr>
        <w:t>a</w:t>
      </w:r>
      <w:r w:rsidR="00955D60" w:rsidRPr="003A1174">
        <w:rPr>
          <w:rFonts w:ascii="Garamond" w:hAnsi="Garamond" w:cs="Arial"/>
          <w:sz w:val="24"/>
          <w:szCs w:val="24"/>
        </w:rPr>
        <w:t xml:space="preserve"> vida</w:t>
      </w:r>
      <w:r w:rsidR="0049318C">
        <w:rPr>
          <w:rFonts w:ascii="Garamond" w:hAnsi="Garamond" w:cs="Arial"/>
          <w:sz w:val="24"/>
          <w:szCs w:val="24"/>
        </w:rPr>
        <w:t>»</w:t>
      </w:r>
      <w:r w:rsidR="00955D60" w:rsidRPr="003A1174">
        <w:rPr>
          <w:rFonts w:ascii="Garamond" w:hAnsi="Garamond" w:cs="Arial"/>
          <w:sz w:val="24"/>
          <w:szCs w:val="24"/>
        </w:rPr>
        <w:t>.</w:t>
      </w:r>
      <w:r w:rsidR="00955D60" w:rsidRPr="003A1174">
        <w:rPr>
          <w:rStyle w:val="Refdenotaalpie"/>
          <w:rFonts w:ascii="Garamond" w:hAnsi="Garamond" w:cs="Arial"/>
          <w:sz w:val="24"/>
          <w:szCs w:val="24"/>
        </w:rPr>
        <w:footnoteReference w:id="139"/>
      </w:r>
      <w:r w:rsidR="00955D60" w:rsidRPr="003A1174">
        <w:rPr>
          <w:rFonts w:ascii="Garamond" w:hAnsi="Garamond" w:cs="Arial"/>
          <w:sz w:val="24"/>
          <w:szCs w:val="24"/>
        </w:rPr>
        <w:t xml:space="preserve"> </w:t>
      </w:r>
      <w:r w:rsidRPr="003A1174">
        <w:rPr>
          <w:rFonts w:ascii="Garamond" w:hAnsi="Garamond" w:cs="Arial"/>
          <w:sz w:val="24"/>
          <w:szCs w:val="24"/>
        </w:rPr>
        <w:t>D</w:t>
      </w:r>
      <w:r w:rsidR="00955D60" w:rsidRPr="003A1174">
        <w:rPr>
          <w:rFonts w:ascii="Garamond" w:hAnsi="Garamond" w:cs="Arial"/>
          <w:sz w:val="24"/>
          <w:szCs w:val="24"/>
        </w:rPr>
        <w:t>estaca</w:t>
      </w:r>
      <w:r w:rsidRPr="003A1174">
        <w:rPr>
          <w:rFonts w:ascii="Garamond" w:hAnsi="Garamond" w:cs="Arial"/>
          <w:sz w:val="24"/>
          <w:szCs w:val="24"/>
        </w:rPr>
        <w:t>-se</w:t>
      </w:r>
      <w:r w:rsidR="00955D60" w:rsidRPr="003A1174">
        <w:rPr>
          <w:rFonts w:ascii="Garamond" w:hAnsi="Garamond" w:cs="Arial"/>
          <w:sz w:val="24"/>
          <w:szCs w:val="24"/>
        </w:rPr>
        <w:t xml:space="preserve"> que</w:t>
      </w:r>
      <w:r w:rsidR="0049318C">
        <w:rPr>
          <w:rFonts w:ascii="Garamond" w:hAnsi="Garamond" w:cs="Arial"/>
          <w:sz w:val="24"/>
          <w:szCs w:val="24"/>
        </w:rPr>
        <w:t>,</w:t>
      </w:r>
      <w:r w:rsidR="00955D60" w:rsidRPr="003A1174">
        <w:rPr>
          <w:rFonts w:ascii="Garamond" w:hAnsi="Garamond" w:cs="Arial"/>
          <w:sz w:val="24"/>
          <w:szCs w:val="24"/>
        </w:rPr>
        <w:t xml:space="preserve"> </w:t>
      </w:r>
      <w:r w:rsidRPr="003A1174">
        <w:rPr>
          <w:rFonts w:ascii="Garamond" w:hAnsi="Garamond" w:cs="Arial"/>
          <w:sz w:val="24"/>
          <w:szCs w:val="24"/>
        </w:rPr>
        <w:t xml:space="preserve">o </w:t>
      </w:r>
      <w:r w:rsidR="002D1021" w:rsidRPr="003A1174">
        <w:rPr>
          <w:rFonts w:ascii="Garamond" w:hAnsi="Garamond" w:cs="Arial"/>
          <w:sz w:val="24"/>
          <w:szCs w:val="24"/>
        </w:rPr>
        <w:t>processo</w:t>
      </w:r>
      <w:r w:rsidR="00955D60" w:rsidRPr="003A1174">
        <w:rPr>
          <w:rFonts w:ascii="Garamond" w:hAnsi="Garamond" w:cs="Arial"/>
          <w:sz w:val="24"/>
          <w:szCs w:val="24"/>
        </w:rPr>
        <w:t xml:space="preserve"> de </w:t>
      </w:r>
      <w:r w:rsidR="00D37CF3" w:rsidRPr="003A1174">
        <w:rPr>
          <w:rFonts w:ascii="Garamond" w:hAnsi="Garamond" w:cs="Arial"/>
          <w:sz w:val="24"/>
          <w:szCs w:val="24"/>
        </w:rPr>
        <w:t>seleção</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sidR="008278C4" w:rsidRPr="003A1174">
        <w:rPr>
          <w:rFonts w:ascii="Garamond" w:hAnsi="Garamond" w:cs="Arial"/>
          <w:sz w:val="24"/>
          <w:szCs w:val="24"/>
        </w:rPr>
        <w:t>pessoal</w:t>
      </w:r>
      <w:r w:rsidR="00955D60" w:rsidRPr="003A1174">
        <w:rPr>
          <w:rFonts w:ascii="Garamond" w:hAnsi="Garamond" w:cs="Arial"/>
          <w:sz w:val="24"/>
          <w:szCs w:val="24"/>
        </w:rPr>
        <w:t xml:space="preserve"> que </w:t>
      </w:r>
      <w:r w:rsidRPr="003A1174">
        <w:rPr>
          <w:rFonts w:ascii="Garamond" w:hAnsi="Garamond" w:cs="Arial"/>
          <w:sz w:val="24"/>
          <w:szCs w:val="24"/>
        </w:rPr>
        <w:t xml:space="preserve">trabalha </w:t>
      </w:r>
      <w:r w:rsidR="0049318C">
        <w:rPr>
          <w:rFonts w:ascii="Garamond" w:hAnsi="Garamond" w:cs="Arial"/>
          <w:sz w:val="24"/>
          <w:szCs w:val="24"/>
        </w:rPr>
        <w:t xml:space="preserve">nessas </w:t>
      </w:r>
      <w:r w:rsidR="006B5808">
        <w:rPr>
          <w:rFonts w:ascii="Garamond" w:hAnsi="Garamond" w:cs="Arial"/>
          <w:sz w:val="24"/>
          <w:szCs w:val="24"/>
        </w:rPr>
        <w:t>C</w:t>
      </w:r>
      <w:r w:rsidR="0049318C">
        <w:rPr>
          <w:rFonts w:ascii="Garamond" w:hAnsi="Garamond" w:cs="Arial"/>
          <w:sz w:val="24"/>
          <w:szCs w:val="24"/>
        </w:rPr>
        <w:t>asas,</w:t>
      </w:r>
      <w:r w:rsidRPr="003A1174">
        <w:rPr>
          <w:rFonts w:ascii="Garamond" w:hAnsi="Garamond" w:cs="Arial"/>
          <w:sz w:val="24"/>
          <w:szCs w:val="24"/>
        </w:rPr>
        <w:t xml:space="preserve"> tem </w:t>
      </w:r>
      <w:proofErr w:type="gramStart"/>
      <w:r w:rsidRPr="003A1174">
        <w:rPr>
          <w:rFonts w:ascii="Garamond" w:hAnsi="Garamond" w:cs="Arial"/>
          <w:sz w:val="24"/>
          <w:szCs w:val="24"/>
        </w:rPr>
        <w:t>sido</w:t>
      </w:r>
      <w:r w:rsidR="0049318C">
        <w:rPr>
          <w:rFonts w:ascii="Garamond" w:hAnsi="Garamond" w:cs="Arial"/>
          <w:sz w:val="24"/>
          <w:szCs w:val="24"/>
        </w:rPr>
        <w:t>,</w:t>
      </w:r>
      <w:proofErr w:type="gramEnd"/>
      <w:r w:rsidRPr="003A1174">
        <w:rPr>
          <w:rFonts w:ascii="Garamond" w:hAnsi="Garamond" w:cs="Arial"/>
          <w:sz w:val="24"/>
          <w:szCs w:val="24"/>
        </w:rPr>
        <w:t xml:space="preserve"> extremamente</w:t>
      </w:r>
      <w:r w:rsidR="00955D60" w:rsidRPr="003A1174">
        <w:rPr>
          <w:rFonts w:ascii="Garamond" w:hAnsi="Garamond" w:cs="Arial"/>
          <w:sz w:val="24"/>
          <w:szCs w:val="24"/>
        </w:rPr>
        <w:t xml:space="preserve"> cuidadoso</w:t>
      </w:r>
      <w:r w:rsidR="003D6CAE" w:rsidRPr="003A1174">
        <w:rPr>
          <w:rFonts w:ascii="Garamond" w:hAnsi="Garamond" w:cs="Arial"/>
          <w:sz w:val="24"/>
          <w:szCs w:val="24"/>
        </w:rPr>
        <w:t>,</w:t>
      </w:r>
      <w:r w:rsidR="00955D60" w:rsidRPr="003A1174">
        <w:rPr>
          <w:rFonts w:ascii="Garamond" w:hAnsi="Garamond" w:cs="Arial"/>
          <w:sz w:val="24"/>
          <w:szCs w:val="24"/>
        </w:rPr>
        <w:t xml:space="preserve"> </w:t>
      </w:r>
      <w:r w:rsidR="006B5808">
        <w:rPr>
          <w:rFonts w:ascii="Garamond" w:hAnsi="Garamond" w:cs="Arial"/>
          <w:sz w:val="24"/>
          <w:szCs w:val="24"/>
        </w:rPr>
        <w:t>seleciona</w:t>
      </w:r>
      <w:r w:rsidR="00D85F87">
        <w:rPr>
          <w:rFonts w:ascii="Garamond" w:hAnsi="Garamond" w:cs="Arial"/>
          <w:sz w:val="24"/>
          <w:szCs w:val="24"/>
        </w:rPr>
        <w:t>n</w:t>
      </w:r>
      <w:r w:rsidR="006B5808">
        <w:rPr>
          <w:rFonts w:ascii="Garamond" w:hAnsi="Garamond" w:cs="Arial"/>
          <w:sz w:val="24"/>
          <w:szCs w:val="24"/>
        </w:rPr>
        <w:t xml:space="preserve">do-se, apenas, </w:t>
      </w:r>
      <w:r w:rsidR="00955D60" w:rsidRPr="003A1174">
        <w:rPr>
          <w:rFonts w:ascii="Garamond" w:hAnsi="Garamond" w:cs="Arial"/>
          <w:sz w:val="24"/>
          <w:szCs w:val="24"/>
        </w:rPr>
        <w:t xml:space="preserve">elementos </w:t>
      </w:r>
      <w:r w:rsidR="006B5808">
        <w:rPr>
          <w:rFonts w:ascii="Garamond" w:hAnsi="Garamond" w:cs="Arial"/>
          <w:sz w:val="24"/>
          <w:szCs w:val="24"/>
        </w:rPr>
        <w:t>com</w:t>
      </w:r>
      <w:r w:rsidR="00955D60" w:rsidRPr="003A1174">
        <w:rPr>
          <w:rFonts w:ascii="Garamond" w:hAnsi="Garamond" w:cs="Arial"/>
          <w:sz w:val="24"/>
          <w:szCs w:val="24"/>
        </w:rPr>
        <w:t xml:space="preserve"> </w:t>
      </w:r>
      <w:r w:rsidR="0017447A" w:rsidRPr="003A1174">
        <w:rPr>
          <w:rFonts w:ascii="Garamond" w:hAnsi="Garamond" w:cs="Arial"/>
          <w:sz w:val="24"/>
          <w:szCs w:val="24"/>
        </w:rPr>
        <w:t>experiência</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454353" w:rsidRPr="003A1174">
        <w:rPr>
          <w:rFonts w:ascii="Garamond" w:hAnsi="Garamond" w:cs="Arial"/>
          <w:sz w:val="24"/>
          <w:szCs w:val="24"/>
        </w:rPr>
        <w:t>formação</w:t>
      </w:r>
      <w:r w:rsidR="00955D60" w:rsidRPr="003A1174">
        <w:rPr>
          <w:rFonts w:ascii="Garamond" w:hAnsi="Garamond" w:cs="Arial"/>
          <w:sz w:val="24"/>
          <w:szCs w:val="24"/>
        </w:rPr>
        <w:t xml:space="preserve">, </w:t>
      </w:r>
      <w:r w:rsidR="006B5808">
        <w:rPr>
          <w:rFonts w:ascii="Garamond" w:hAnsi="Garamond" w:cs="Arial"/>
          <w:sz w:val="24"/>
          <w:szCs w:val="24"/>
        </w:rPr>
        <w:t xml:space="preserve">através de </w:t>
      </w:r>
      <w:r w:rsidR="002B6C5B" w:rsidRPr="003A1174">
        <w:rPr>
          <w:rFonts w:ascii="Garamond" w:hAnsi="Garamond" w:cs="Arial"/>
          <w:sz w:val="24"/>
          <w:szCs w:val="24"/>
        </w:rPr>
        <w:t>prova</w:t>
      </w:r>
      <w:r w:rsidR="00955D60" w:rsidRPr="003A1174">
        <w:rPr>
          <w:rFonts w:ascii="Garamond" w:hAnsi="Garamond" w:cs="Arial"/>
          <w:sz w:val="24"/>
          <w:szCs w:val="24"/>
        </w:rPr>
        <w:t xml:space="preserve">s psicológicas </w:t>
      </w:r>
      <w:r w:rsidR="000672E8" w:rsidRPr="003A1174">
        <w:rPr>
          <w:rFonts w:ascii="Garamond" w:hAnsi="Garamond" w:cs="Arial"/>
          <w:sz w:val="24"/>
          <w:szCs w:val="24"/>
        </w:rPr>
        <w:t>e</w:t>
      </w:r>
      <w:r w:rsidR="00955D60" w:rsidRPr="003A1174">
        <w:rPr>
          <w:rFonts w:ascii="Garamond" w:hAnsi="Garamond" w:cs="Arial"/>
          <w:sz w:val="24"/>
          <w:szCs w:val="24"/>
        </w:rPr>
        <w:t xml:space="preserve"> entrevistas; a </w:t>
      </w:r>
      <w:r w:rsidRPr="003A1174">
        <w:rPr>
          <w:rFonts w:ascii="Garamond" w:hAnsi="Garamond" w:cs="Arial"/>
          <w:sz w:val="24"/>
          <w:szCs w:val="24"/>
        </w:rPr>
        <w:t xml:space="preserve">tudo isto acrescenta-se um </w:t>
      </w:r>
      <w:r w:rsidR="002D1021" w:rsidRPr="003A1174">
        <w:rPr>
          <w:rFonts w:ascii="Garamond" w:hAnsi="Garamond" w:cs="Arial"/>
          <w:sz w:val="24"/>
          <w:szCs w:val="24"/>
        </w:rPr>
        <w:t>processo</w:t>
      </w:r>
      <w:r w:rsidR="00955D60" w:rsidRPr="003A1174">
        <w:rPr>
          <w:rFonts w:ascii="Garamond" w:hAnsi="Garamond" w:cs="Arial"/>
          <w:sz w:val="24"/>
          <w:szCs w:val="24"/>
        </w:rPr>
        <w:t xml:space="preserve"> de </w:t>
      </w:r>
      <w:r w:rsidR="00454353" w:rsidRPr="003A1174">
        <w:rPr>
          <w:rFonts w:ascii="Garamond" w:hAnsi="Garamond" w:cs="Arial"/>
          <w:sz w:val="24"/>
          <w:szCs w:val="24"/>
        </w:rPr>
        <w:t>formação</w:t>
      </w:r>
      <w:r w:rsidR="00955D60" w:rsidRPr="003A1174">
        <w:rPr>
          <w:rFonts w:ascii="Garamond" w:hAnsi="Garamond" w:cs="Arial"/>
          <w:sz w:val="24"/>
          <w:szCs w:val="24"/>
        </w:rPr>
        <w:t xml:space="preserve"> </w:t>
      </w:r>
      <w:r w:rsidRPr="003A1174">
        <w:rPr>
          <w:rFonts w:ascii="Garamond" w:hAnsi="Garamond" w:cs="Arial"/>
          <w:sz w:val="24"/>
          <w:szCs w:val="24"/>
        </w:rPr>
        <w:t>presencial</w:t>
      </w:r>
      <w:r w:rsidR="00955D60" w:rsidRPr="003A1174">
        <w:rPr>
          <w:rFonts w:ascii="Garamond" w:hAnsi="Garamond" w:cs="Arial"/>
          <w:sz w:val="24"/>
          <w:szCs w:val="24"/>
        </w:rPr>
        <w:t xml:space="preserve"> </w:t>
      </w:r>
      <w:r w:rsidR="000672E8" w:rsidRPr="003A1174">
        <w:rPr>
          <w:rFonts w:ascii="Garamond" w:hAnsi="Garamond" w:cs="Arial"/>
          <w:sz w:val="24"/>
          <w:szCs w:val="24"/>
        </w:rPr>
        <w:t>e</w:t>
      </w:r>
      <w:r w:rsidR="00955D60" w:rsidRPr="003A1174">
        <w:rPr>
          <w:rFonts w:ascii="Garamond" w:hAnsi="Garamond" w:cs="Arial"/>
          <w:sz w:val="24"/>
          <w:szCs w:val="24"/>
        </w:rPr>
        <w:t xml:space="preserve"> u</w:t>
      </w:r>
      <w:r w:rsidRPr="003A1174">
        <w:rPr>
          <w:rFonts w:ascii="Garamond" w:hAnsi="Garamond" w:cs="Arial"/>
          <w:sz w:val="24"/>
          <w:szCs w:val="24"/>
        </w:rPr>
        <w:t>m</w:t>
      </w:r>
      <w:r w:rsidR="00D85F87">
        <w:rPr>
          <w:rFonts w:ascii="Garamond" w:hAnsi="Garamond" w:cs="Arial"/>
          <w:sz w:val="24"/>
          <w:szCs w:val="24"/>
        </w:rPr>
        <w:t xml:space="preserve"> </w:t>
      </w:r>
      <w:r w:rsidR="0049318C">
        <w:rPr>
          <w:rFonts w:ascii="Garamond" w:hAnsi="Garamond" w:cs="Arial"/>
          <w:sz w:val="24"/>
          <w:szCs w:val="24"/>
        </w:rPr>
        <w:t>acompanhamento,</w:t>
      </w:r>
      <w:r w:rsidR="00955D60" w:rsidRPr="003A1174">
        <w:rPr>
          <w:rFonts w:ascii="Garamond" w:hAnsi="Garamond" w:cs="Arial"/>
          <w:sz w:val="24"/>
          <w:szCs w:val="24"/>
        </w:rPr>
        <w:t xml:space="preserve"> </w:t>
      </w:r>
      <w:r w:rsidRPr="003A1174">
        <w:rPr>
          <w:rFonts w:ascii="Garamond" w:hAnsi="Garamond" w:cs="Arial"/>
          <w:sz w:val="24"/>
          <w:szCs w:val="24"/>
        </w:rPr>
        <w:t>na m</w:t>
      </w:r>
      <w:r w:rsidR="00955D60" w:rsidRPr="003A1174">
        <w:rPr>
          <w:rFonts w:ascii="Garamond" w:hAnsi="Garamond" w:cs="Arial"/>
          <w:sz w:val="24"/>
          <w:szCs w:val="24"/>
        </w:rPr>
        <w:t>odalidad</w:t>
      </w:r>
      <w:r w:rsidRPr="003A1174">
        <w:rPr>
          <w:rFonts w:ascii="Garamond" w:hAnsi="Garamond" w:cs="Arial"/>
          <w:sz w:val="24"/>
          <w:szCs w:val="24"/>
        </w:rPr>
        <w:t>e</w:t>
      </w:r>
      <w:r w:rsidR="00955D60" w:rsidRPr="003A1174">
        <w:rPr>
          <w:rFonts w:ascii="Garamond" w:hAnsi="Garamond" w:cs="Arial"/>
          <w:sz w:val="24"/>
          <w:szCs w:val="24"/>
        </w:rPr>
        <w:t xml:space="preserve"> virtual</w:t>
      </w:r>
      <w:r w:rsidRPr="003A1174">
        <w:rPr>
          <w:rFonts w:ascii="Garamond" w:hAnsi="Garamond" w:cs="Arial"/>
          <w:sz w:val="24"/>
          <w:szCs w:val="24"/>
        </w:rPr>
        <w:t>,</w:t>
      </w:r>
      <w:r w:rsidR="00955D60" w:rsidRPr="003A1174">
        <w:rPr>
          <w:rFonts w:ascii="Garamond" w:hAnsi="Garamond" w:cs="Arial"/>
          <w:sz w:val="24"/>
          <w:szCs w:val="24"/>
        </w:rPr>
        <w:t xml:space="preserve"> a todo </w:t>
      </w:r>
      <w:r w:rsidRPr="003A1174">
        <w:rPr>
          <w:rFonts w:ascii="Garamond" w:hAnsi="Garamond" w:cs="Arial"/>
          <w:sz w:val="24"/>
          <w:szCs w:val="24"/>
        </w:rPr>
        <w:t>o</w:t>
      </w:r>
      <w:r w:rsidR="00955D60" w:rsidRPr="003A1174">
        <w:rPr>
          <w:rFonts w:ascii="Garamond" w:hAnsi="Garamond" w:cs="Arial"/>
          <w:sz w:val="24"/>
          <w:szCs w:val="24"/>
        </w:rPr>
        <w:t xml:space="preserve"> </w:t>
      </w:r>
      <w:r w:rsidR="008278C4" w:rsidRPr="003A1174">
        <w:rPr>
          <w:rFonts w:ascii="Garamond" w:hAnsi="Garamond" w:cs="Arial"/>
          <w:sz w:val="24"/>
          <w:szCs w:val="24"/>
        </w:rPr>
        <w:t>pessoal</w:t>
      </w:r>
      <w:r w:rsidR="00955D60" w:rsidRPr="003A1174">
        <w:rPr>
          <w:rFonts w:ascii="Garamond" w:hAnsi="Garamond" w:cs="Arial"/>
          <w:sz w:val="24"/>
          <w:szCs w:val="24"/>
        </w:rPr>
        <w:t xml:space="preserve"> </w:t>
      </w:r>
      <w:r w:rsidR="00497503" w:rsidRPr="003A1174">
        <w:rPr>
          <w:rFonts w:ascii="Garamond" w:hAnsi="Garamond" w:cs="Arial"/>
          <w:sz w:val="24"/>
          <w:szCs w:val="24"/>
        </w:rPr>
        <w:t>das</w:t>
      </w:r>
      <w:r w:rsidR="00955D60" w:rsidRPr="003A1174">
        <w:rPr>
          <w:rFonts w:ascii="Garamond" w:hAnsi="Garamond" w:cs="Arial"/>
          <w:sz w:val="24"/>
          <w:szCs w:val="24"/>
        </w:rPr>
        <w:t xml:space="preserve"> Casas. </w:t>
      </w:r>
    </w:p>
    <w:p w:rsidR="00955D60" w:rsidRPr="003A1174" w:rsidRDefault="000864ED"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O </w:t>
      </w:r>
      <w:r w:rsidR="00886D6A" w:rsidRPr="003A1174">
        <w:rPr>
          <w:rFonts w:ascii="Garamond" w:hAnsi="Garamond" w:cs="Arial"/>
          <w:sz w:val="24"/>
          <w:szCs w:val="24"/>
        </w:rPr>
        <w:t>acesso</w:t>
      </w:r>
      <w:r w:rsidRPr="003A1174">
        <w:rPr>
          <w:rFonts w:ascii="Garamond" w:hAnsi="Garamond" w:cs="Arial"/>
          <w:sz w:val="24"/>
          <w:szCs w:val="24"/>
        </w:rPr>
        <w:t xml:space="preserve"> a e</w:t>
      </w:r>
      <w:r w:rsidR="00955D60" w:rsidRPr="003A1174">
        <w:rPr>
          <w:rFonts w:ascii="Garamond" w:hAnsi="Garamond" w:cs="Arial"/>
          <w:sz w:val="24"/>
          <w:szCs w:val="24"/>
        </w:rPr>
        <w:t>stas</w:t>
      </w:r>
      <w:r w:rsidR="00D85F87">
        <w:rPr>
          <w:rFonts w:ascii="Garamond" w:hAnsi="Garamond" w:cs="Arial"/>
          <w:sz w:val="24"/>
          <w:szCs w:val="24"/>
        </w:rPr>
        <w:t xml:space="preserve"> Casas</w:t>
      </w:r>
      <w:r w:rsidR="00955D60" w:rsidRPr="003A1174">
        <w:rPr>
          <w:rFonts w:ascii="Garamond" w:hAnsi="Garamond" w:cs="Arial"/>
          <w:sz w:val="24"/>
          <w:szCs w:val="24"/>
        </w:rPr>
        <w:t xml:space="preserve"> </w:t>
      </w:r>
      <w:r w:rsidR="007342D9" w:rsidRPr="003A1174">
        <w:rPr>
          <w:rFonts w:ascii="Garamond" w:hAnsi="Garamond" w:cs="Arial"/>
          <w:sz w:val="24"/>
          <w:szCs w:val="24"/>
        </w:rPr>
        <w:t>pode</w:t>
      </w:r>
      <w:r w:rsidR="00955D60" w:rsidRPr="003A1174">
        <w:rPr>
          <w:rFonts w:ascii="Garamond" w:hAnsi="Garamond" w:cs="Arial"/>
          <w:sz w:val="24"/>
          <w:szCs w:val="24"/>
        </w:rPr>
        <w:t xml:space="preserve"> iniciar</w:t>
      </w:r>
      <w:r w:rsidRPr="003A1174">
        <w:rPr>
          <w:rFonts w:ascii="Garamond" w:hAnsi="Garamond" w:cs="Arial"/>
          <w:sz w:val="24"/>
          <w:szCs w:val="24"/>
        </w:rPr>
        <w:t>-</w:t>
      </w:r>
      <w:r w:rsidR="00955D60" w:rsidRPr="003A1174">
        <w:rPr>
          <w:rFonts w:ascii="Garamond" w:hAnsi="Garamond" w:cs="Arial"/>
          <w:sz w:val="24"/>
          <w:szCs w:val="24"/>
        </w:rPr>
        <w:t>se por v</w:t>
      </w:r>
      <w:r w:rsidRPr="003A1174">
        <w:rPr>
          <w:rFonts w:ascii="Garamond" w:hAnsi="Garamond" w:cs="Arial"/>
          <w:sz w:val="24"/>
          <w:szCs w:val="24"/>
        </w:rPr>
        <w:t>i</w:t>
      </w:r>
      <w:r w:rsidR="00955D60" w:rsidRPr="003A1174">
        <w:rPr>
          <w:rFonts w:ascii="Garamond" w:hAnsi="Garamond" w:cs="Arial"/>
          <w:sz w:val="24"/>
          <w:szCs w:val="24"/>
        </w:rPr>
        <w:t xml:space="preserve">a telefónica, </w:t>
      </w:r>
      <w:r w:rsidR="000464C8" w:rsidRPr="003A1174">
        <w:rPr>
          <w:rFonts w:ascii="Garamond" w:hAnsi="Garamond" w:cs="Arial"/>
          <w:sz w:val="24"/>
          <w:szCs w:val="24"/>
        </w:rPr>
        <w:t>assim</w:t>
      </w:r>
      <w:r w:rsidR="00955D60" w:rsidRPr="003A1174">
        <w:rPr>
          <w:rFonts w:ascii="Garamond" w:hAnsi="Garamond" w:cs="Arial"/>
          <w:sz w:val="24"/>
          <w:szCs w:val="24"/>
        </w:rPr>
        <w:t xml:space="preserve"> </w:t>
      </w:r>
      <w:r w:rsidR="00955D60" w:rsidRPr="003A1174">
        <w:rPr>
          <w:rFonts w:ascii="Garamond" w:hAnsi="Garamond" w:cs="Arial"/>
          <w:bCs/>
          <w:sz w:val="24"/>
          <w:szCs w:val="24"/>
        </w:rPr>
        <w:t>como</w:t>
      </w:r>
      <w:r w:rsidR="00D85F87">
        <w:rPr>
          <w:rFonts w:ascii="Garamond" w:hAnsi="Garamond" w:cs="Arial"/>
          <w:bCs/>
          <w:sz w:val="24"/>
          <w:szCs w:val="24"/>
        </w:rPr>
        <w:t>,</w:t>
      </w:r>
      <w:r w:rsidR="00955D60" w:rsidRPr="003A1174">
        <w:rPr>
          <w:rFonts w:ascii="Garamond" w:hAnsi="Garamond" w:cs="Arial"/>
          <w:bCs/>
          <w:sz w:val="24"/>
          <w:szCs w:val="24"/>
        </w:rPr>
        <w:t xml:space="preserve"> </w:t>
      </w:r>
      <w:r w:rsidRPr="003A1174">
        <w:rPr>
          <w:rFonts w:ascii="Garamond" w:hAnsi="Garamond" w:cs="Arial"/>
          <w:bCs/>
          <w:sz w:val="24"/>
          <w:szCs w:val="24"/>
        </w:rPr>
        <w:t>através de ligações com o</w:t>
      </w:r>
      <w:r w:rsidR="00955D60" w:rsidRPr="003A1174">
        <w:rPr>
          <w:rFonts w:ascii="Garamond" w:hAnsi="Garamond" w:cs="Arial"/>
          <w:bCs/>
          <w:sz w:val="24"/>
          <w:szCs w:val="24"/>
        </w:rPr>
        <w:t xml:space="preserve">s </w:t>
      </w:r>
      <w:r w:rsidR="003F012B" w:rsidRPr="003A1174">
        <w:rPr>
          <w:rFonts w:ascii="Garamond" w:hAnsi="Garamond" w:cs="Arial"/>
          <w:bCs/>
          <w:sz w:val="24"/>
          <w:szCs w:val="24"/>
        </w:rPr>
        <w:t>órgão</w:t>
      </w:r>
      <w:r w:rsidR="00955D60" w:rsidRPr="003A1174">
        <w:rPr>
          <w:rFonts w:ascii="Garamond" w:hAnsi="Garamond" w:cs="Arial"/>
          <w:bCs/>
          <w:sz w:val="24"/>
          <w:szCs w:val="24"/>
        </w:rPr>
        <w:t xml:space="preserve">s recetores de </w:t>
      </w:r>
      <w:r w:rsidR="008651AF" w:rsidRPr="003A1174">
        <w:rPr>
          <w:rFonts w:ascii="Garamond" w:hAnsi="Garamond" w:cs="Arial"/>
          <w:bCs/>
          <w:sz w:val="24"/>
          <w:szCs w:val="24"/>
        </w:rPr>
        <w:t>denúncia</w:t>
      </w:r>
      <w:r w:rsidR="00955D60" w:rsidRPr="003A1174">
        <w:rPr>
          <w:rFonts w:ascii="Garamond" w:hAnsi="Garamond" w:cs="Arial"/>
          <w:bCs/>
          <w:sz w:val="24"/>
          <w:szCs w:val="24"/>
        </w:rPr>
        <w:t xml:space="preserve"> que </w:t>
      </w:r>
      <w:r w:rsidRPr="003A1174">
        <w:rPr>
          <w:rFonts w:ascii="Garamond" w:hAnsi="Garamond" w:cs="Arial"/>
          <w:bCs/>
          <w:sz w:val="24"/>
          <w:szCs w:val="24"/>
        </w:rPr>
        <w:t xml:space="preserve">proferem </w:t>
      </w:r>
      <w:r w:rsidR="00955D60" w:rsidRPr="003A1174">
        <w:rPr>
          <w:rFonts w:ascii="Garamond" w:hAnsi="Garamond" w:cs="Arial"/>
          <w:bCs/>
          <w:sz w:val="24"/>
          <w:szCs w:val="24"/>
        </w:rPr>
        <w:t>a medida de abrigo.</w:t>
      </w:r>
      <w:r w:rsidR="00955D60" w:rsidRPr="003A1174">
        <w:rPr>
          <w:rStyle w:val="Refdenotaalpie"/>
          <w:rFonts w:ascii="Garamond" w:hAnsi="Garamond" w:cs="Arial"/>
          <w:bCs/>
          <w:sz w:val="24"/>
          <w:szCs w:val="24"/>
        </w:rPr>
        <w:footnoteReference w:id="140"/>
      </w:r>
      <w:r w:rsidR="003D6CAE" w:rsidRPr="003A1174">
        <w:rPr>
          <w:rFonts w:ascii="Garamond" w:hAnsi="Garamond" w:cs="Arial"/>
          <w:bCs/>
          <w:sz w:val="24"/>
          <w:szCs w:val="24"/>
        </w:rPr>
        <w:t xml:space="preserve"> </w:t>
      </w:r>
      <w:r w:rsidR="00D85F87">
        <w:rPr>
          <w:rFonts w:ascii="Garamond" w:hAnsi="Garamond" w:cs="Arial"/>
          <w:bCs/>
          <w:sz w:val="24"/>
          <w:szCs w:val="24"/>
        </w:rPr>
        <w:t xml:space="preserve">Acrescenta-se, ainda, que </w:t>
      </w:r>
      <w:r w:rsidR="00D85F87">
        <w:rPr>
          <w:rFonts w:ascii="Garamond" w:hAnsi="Garamond" w:cs="Arial"/>
          <w:sz w:val="24"/>
          <w:szCs w:val="24"/>
        </w:rPr>
        <w:t>e</w:t>
      </w:r>
      <w:r w:rsidR="00955D60" w:rsidRPr="003A1174">
        <w:rPr>
          <w:rFonts w:ascii="Garamond" w:hAnsi="Garamond" w:cs="Arial"/>
          <w:sz w:val="24"/>
          <w:szCs w:val="24"/>
        </w:rPr>
        <w:t xml:space="preserve">ste programa, </w:t>
      </w:r>
      <w:r w:rsidRPr="003A1174">
        <w:rPr>
          <w:rFonts w:ascii="Garamond" w:hAnsi="Garamond" w:cs="Arial"/>
          <w:sz w:val="24"/>
          <w:szCs w:val="24"/>
        </w:rPr>
        <w:t xml:space="preserve">ajudou um </w:t>
      </w:r>
      <w:r w:rsidR="00955D60" w:rsidRPr="003A1174">
        <w:rPr>
          <w:rFonts w:ascii="Garamond" w:hAnsi="Garamond" w:cs="Arial"/>
          <w:sz w:val="24"/>
          <w:szCs w:val="24"/>
        </w:rPr>
        <w:t xml:space="preserve">total de 141 </w:t>
      </w:r>
      <w:r w:rsidR="00054EE0" w:rsidRPr="003A1174">
        <w:rPr>
          <w:rFonts w:ascii="Garamond" w:hAnsi="Garamond" w:cs="Arial"/>
          <w:sz w:val="24"/>
          <w:szCs w:val="24"/>
        </w:rPr>
        <w:t>mulheres</w:t>
      </w:r>
      <w:r w:rsidR="00D85F87">
        <w:rPr>
          <w:rFonts w:ascii="Garamond" w:hAnsi="Garamond" w:cs="Arial"/>
          <w:sz w:val="24"/>
          <w:szCs w:val="24"/>
        </w:rPr>
        <w:t>,</w:t>
      </w:r>
      <w:r w:rsidR="00955D60" w:rsidRPr="003A1174">
        <w:rPr>
          <w:rFonts w:ascii="Garamond" w:hAnsi="Garamond" w:cs="Arial"/>
          <w:sz w:val="24"/>
          <w:szCs w:val="24"/>
        </w:rPr>
        <w:t xml:space="preserve"> entre 2009 </w:t>
      </w:r>
      <w:r w:rsidR="000672E8" w:rsidRPr="003A1174">
        <w:rPr>
          <w:rFonts w:ascii="Garamond" w:hAnsi="Garamond" w:cs="Arial"/>
          <w:sz w:val="24"/>
          <w:szCs w:val="24"/>
        </w:rPr>
        <w:t>e</w:t>
      </w:r>
      <w:r w:rsidR="00955D60" w:rsidRPr="003A1174">
        <w:rPr>
          <w:rFonts w:ascii="Garamond" w:hAnsi="Garamond" w:cs="Arial"/>
          <w:sz w:val="24"/>
          <w:szCs w:val="24"/>
        </w:rPr>
        <w:t xml:space="preserve"> 2013.</w:t>
      </w:r>
      <w:proofErr w:type="gramStart"/>
      <w:r w:rsidR="00955D60" w:rsidRPr="003A1174">
        <w:rPr>
          <w:rStyle w:val="Refdenotaalpie"/>
          <w:rFonts w:ascii="Garamond" w:hAnsi="Garamond" w:cs="Arial"/>
          <w:sz w:val="24"/>
          <w:szCs w:val="24"/>
        </w:rPr>
        <w:footnoteReference w:id="141"/>
      </w:r>
      <w:proofErr w:type="gramEnd"/>
    </w:p>
    <w:p w:rsidR="00955D60" w:rsidRPr="003A1174" w:rsidRDefault="00955D60" w:rsidP="008719D4">
      <w:pPr>
        <w:pStyle w:val="Default"/>
        <w:jc w:val="both"/>
        <w:rPr>
          <w:rFonts w:ascii="Garamond" w:hAnsi="Garamond" w:cs="Arial"/>
          <w:color w:val="auto"/>
          <w:lang w:val="pt-PT"/>
        </w:rPr>
      </w:pPr>
    </w:p>
    <w:p w:rsidR="00187AE8" w:rsidRDefault="00FB09CA" w:rsidP="008719D4">
      <w:pPr>
        <w:pStyle w:val="Default"/>
        <w:jc w:val="both"/>
        <w:rPr>
          <w:rFonts w:ascii="Garamond" w:hAnsi="Garamond" w:cs="Arial"/>
          <w:color w:val="auto"/>
          <w:lang w:val="pt-PT"/>
        </w:rPr>
      </w:pPr>
      <w:r w:rsidRPr="003A1174">
        <w:rPr>
          <w:rFonts w:ascii="Garamond" w:hAnsi="Garamond" w:cs="Arial"/>
          <w:color w:val="auto"/>
          <w:lang w:val="pt-PT"/>
        </w:rPr>
        <w:t>Atual</w:t>
      </w:r>
      <w:r w:rsidR="00955D60" w:rsidRPr="003A1174">
        <w:rPr>
          <w:rFonts w:ascii="Garamond" w:hAnsi="Garamond" w:cs="Arial"/>
          <w:color w:val="auto"/>
          <w:lang w:val="pt-PT"/>
        </w:rPr>
        <w:t xml:space="preserve">mente </w:t>
      </w:r>
      <w:r w:rsidR="000864ED" w:rsidRPr="003A1174">
        <w:rPr>
          <w:rFonts w:ascii="Garamond" w:hAnsi="Garamond" w:cs="Arial"/>
          <w:color w:val="auto"/>
          <w:lang w:val="pt-PT"/>
        </w:rPr>
        <w:t>dispõe-</w:t>
      </w:r>
      <w:r w:rsidR="00955D60" w:rsidRPr="003A1174">
        <w:rPr>
          <w:rFonts w:ascii="Garamond" w:hAnsi="Garamond" w:cs="Arial"/>
          <w:color w:val="auto"/>
          <w:lang w:val="pt-PT"/>
        </w:rPr>
        <w:t xml:space="preserve">se </w:t>
      </w:r>
      <w:r w:rsidR="000864ED" w:rsidRPr="003A1174">
        <w:rPr>
          <w:rFonts w:ascii="Garamond" w:hAnsi="Garamond" w:cs="Arial"/>
          <w:color w:val="auto"/>
          <w:lang w:val="pt-PT"/>
        </w:rPr>
        <w:t xml:space="preserve">de </w:t>
      </w:r>
      <w:r w:rsidR="00955D60" w:rsidRPr="003A1174">
        <w:rPr>
          <w:rFonts w:ascii="Garamond" w:hAnsi="Garamond" w:cs="Arial"/>
          <w:color w:val="auto"/>
          <w:lang w:val="pt-PT"/>
        </w:rPr>
        <w:t xml:space="preserve">seis (6) </w:t>
      </w:r>
      <w:r w:rsidR="003D6CAE" w:rsidRPr="003A1174">
        <w:rPr>
          <w:rFonts w:ascii="Garamond" w:hAnsi="Garamond" w:cs="Arial"/>
          <w:color w:val="auto"/>
          <w:lang w:val="pt-PT"/>
        </w:rPr>
        <w:t>C</w:t>
      </w:r>
      <w:r w:rsidR="00955D60" w:rsidRPr="003A1174">
        <w:rPr>
          <w:rFonts w:ascii="Garamond" w:hAnsi="Garamond" w:cs="Arial"/>
          <w:color w:val="auto"/>
          <w:lang w:val="pt-PT"/>
        </w:rPr>
        <w:t>asas de Abrigo</w:t>
      </w:r>
      <w:r w:rsidR="00D85F87">
        <w:rPr>
          <w:rFonts w:ascii="Garamond" w:hAnsi="Garamond" w:cs="Arial"/>
          <w:color w:val="auto"/>
          <w:lang w:val="pt-PT"/>
        </w:rPr>
        <w:t>,</w:t>
      </w:r>
      <w:r w:rsidR="00955D60" w:rsidRPr="003A1174">
        <w:rPr>
          <w:rFonts w:ascii="Garamond" w:hAnsi="Garamond" w:cs="Arial"/>
          <w:color w:val="auto"/>
          <w:lang w:val="pt-PT"/>
        </w:rPr>
        <w:t xml:space="preserve"> </w:t>
      </w:r>
      <w:r w:rsidR="00D37CF3" w:rsidRPr="003A1174">
        <w:rPr>
          <w:rFonts w:ascii="Garamond" w:hAnsi="Garamond" w:cs="Arial"/>
          <w:color w:val="auto"/>
          <w:lang w:val="pt-PT"/>
        </w:rPr>
        <w:t>distribuídas</w:t>
      </w:r>
      <w:r w:rsidR="00955D60" w:rsidRPr="003A1174">
        <w:rPr>
          <w:rFonts w:ascii="Garamond" w:hAnsi="Garamond" w:cs="Arial"/>
          <w:color w:val="auto"/>
          <w:lang w:val="pt-PT"/>
        </w:rPr>
        <w:t xml:space="preserve"> </w:t>
      </w:r>
      <w:r w:rsidR="000864ED" w:rsidRPr="003A1174">
        <w:rPr>
          <w:rFonts w:ascii="Garamond" w:hAnsi="Garamond" w:cs="Arial"/>
          <w:color w:val="auto"/>
          <w:lang w:val="pt-PT"/>
        </w:rPr>
        <w:t>n</w:t>
      </w:r>
      <w:r w:rsidR="00955D60" w:rsidRPr="003A1174">
        <w:rPr>
          <w:rFonts w:ascii="Garamond" w:hAnsi="Garamond" w:cs="Arial"/>
          <w:color w:val="auto"/>
          <w:lang w:val="pt-PT"/>
        </w:rPr>
        <w:t xml:space="preserve">as </w:t>
      </w:r>
      <w:r w:rsidR="003D6CAE" w:rsidRPr="003A1174">
        <w:rPr>
          <w:rFonts w:ascii="Garamond" w:hAnsi="Garamond" w:cs="Arial"/>
          <w:color w:val="auto"/>
          <w:lang w:val="pt-PT"/>
        </w:rPr>
        <w:t xml:space="preserve">diferentes </w:t>
      </w:r>
      <w:r w:rsidR="00955D60" w:rsidRPr="003A1174">
        <w:rPr>
          <w:rFonts w:ascii="Garamond" w:hAnsi="Garamond" w:cs="Arial"/>
          <w:color w:val="auto"/>
          <w:lang w:val="pt-PT"/>
        </w:rPr>
        <w:t>regi</w:t>
      </w:r>
      <w:r w:rsidR="000864ED" w:rsidRPr="003A1174">
        <w:rPr>
          <w:rFonts w:ascii="Garamond" w:hAnsi="Garamond" w:cs="Arial"/>
          <w:color w:val="auto"/>
          <w:lang w:val="pt-PT"/>
        </w:rPr>
        <w:t xml:space="preserve">ões </w:t>
      </w:r>
      <w:r w:rsidR="00E85E59" w:rsidRPr="003A1174">
        <w:rPr>
          <w:rFonts w:ascii="Garamond" w:hAnsi="Garamond" w:cs="Arial"/>
          <w:color w:val="auto"/>
          <w:lang w:val="pt-PT"/>
        </w:rPr>
        <w:t>do</w:t>
      </w:r>
      <w:r w:rsidR="00955D60" w:rsidRPr="003A1174">
        <w:rPr>
          <w:rFonts w:ascii="Garamond" w:hAnsi="Garamond" w:cs="Arial"/>
          <w:color w:val="auto"/>
          <w:lang w:val="pt-PT"/>
        </w:rPr>
        <w:t xml:space="preserve"> país. </w:t>
      </w:r>
    </w:p>
    <w:p w:rsidR="00187AE8" w:rsidRDefault="00187AE8">
      <w:pPr>
        <w:rPr>
          <w:rFonts w:ascii="Garamond" w:eastAsia="Times New Roman" w:hAnsi="Garamond" w:cs="Arial"/>
          <w:sz w:val="24"/>
          <w:szCs w:val="24"/>
          <w:lang w:eastAsia="es-VE"/>
        </w:rPr>
      </w:pPr>
      <w:r>
        <w:rPr>
          <w:rFonts w:ascii="Garamond" w:hAnsi="Garamond" w:cs="Arial"/>
        </w:rPr>
        <w:br w:type="page"/>
      </w:r>
    </w:p>
    <w:p w:rsidR="00955D60" w:rsidRPr="003A1174" w:rsidRDefault="00955D60" w:rsidP="008719D4">
      <w:pPr>
        <w:pStyle w:val="Default"/>
        <w:jc w:val="both"/>
        <w:rPr>
          <w:rFonts w:ascii="Garamond" w:hAnsi="Garamond" w:cs="Arial"/>
          <w:color w:val="auto"/>
          <w:lang w:val="pt-PT"/>
        </w:rPr>
      </w:pPr>
    </w:p>
    <w:p w:rsidR="00955D60" w:rsidRPr="003A1174" w:rsidRDefault="00077461" w:rsidP="008719D4">
      <w:pPr>
        <w:pStyle w:val="NormalWeb"/>
        <w:jc w:val="both"/>
        <w:rPr>
          <w:rFonts w:ascii="Garamond" w:hAnsi="Garamond" w:cs="Arial"/>
          <w:lang w:val="pt-PT"/>
        </w:rPr>
      </w:pPr>
      <w:r w:rsidRPr="003A1174">
        <w:rPr>
          <w:rStyle w:val="Ttulo4Car"/>
          <w:rFonts w:ascii="Garamond" w:hAnsi="Garamond"/>
          <w:sz w:val="24"/>
          <w:lang w:val="pt-PT"/>
        </w:rPr>
        <w:t>Registo</w:t>
      </w:r>
      <w:r w:rsidR="00670522" w:rsidRPr="003A1174">
        <w:rPr>
          <w:rStyle w:val="Ttulo4Car"/>
          <w:rFonts w:ascii="Garamond" w:hAnsi="Garamond"/>
          <w:sz w:val="24"/>
          <w:lang w:val="pt-PT"/>
        </w:rPr>
        <w:t xml:space="preserve"> de </w:t>
      </w:r>
      <w:r w:rsidR="0017447A" w:rsidRPr="003A1174">
        <w:rPr>
          <w:rStyle w:val="Ttulo4Car"/>
          <w:rFonts w:ascii="Garamond" w:hAnsi="Garamond"/>
          <w:sz w:val="24"/>
          <w:lang w:val="pt-PT"/>
        </w:rPr>
        <w:t>informação</w:t>
      </w:r>
    </w:p>
    <w:p w:rsidR="00955D60" w:rsidRPr="003A1174" w:rsidRDefault="00BD5704" w:rsidP="008719D4">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Salienta-se</w:t>
      </w:r>
      <w:r w:rsidR="00955D60" w:rsidRPr="003A1174">
        <w:rPr>
          <w:rFonts w:ascii="Garamond" w:hAnsi="Garamond" w:cs="Arial"/>
          <w:sz w:val="24"/>
          <w:szCs w:val="24"/>
        </w:rPr>
        <w:t xml:space="preserve"> que </w:t>
      </w:r>
      <w:r w:rsidR="000864ED" w:rsidRPr="003A1174">
        <w:rPr>
          <w:rFonts w:ascii="Garamond" w:hAnsi="Garamond" w:cs="Arial"/>
          <w:sz w:val="24"/>
          <w:szCs w:val="24"/>
        </w:rPr>
        <w:t>o</w:t>
      </w:r>
      <w:r w:rsidR="00955D60" w:rsidRPr="003A1174">
        <w:rPr>
          <w:rFonts w:ascii="Garamond" w:hAnsi="Garamond" w:cs="Arial"/>
          <w:sz w:val="24"/>
          <w:szCs w:val="24"/>
        </w:rPr>
        <w:t xml:space="preserve"> Instituto Nacional de </w:t>
      </w:r>
      <w:r w:rsidR="00190B59" w:rsidRPr="003A1174">
        <w:rPr>
          <w:rFonts w:ascii="Garamond" w:hAnsi="Garamond" w:cs="Arial"/>
          <w:sz w:val="24"/>
          <w:szCs w:val="24"/>
        </w:rPr>
        <w:t>Estatísticas</w:t>
      </w:r>
      <w:r w:rsidR="00955D60" w:rsidRPr="003A1174">
        <w:rPr>
          <w:rFonts w:ascii="Garamond" w:hAnsi="Garamond" w:cs="Arial"/>
          <w:sz w:val="24"/>
          <w:szCs w:val="24"/>
        </w:rPr>
        <w:t xml:space="preserve">, </w:t>
      </w:r>
      <w:r w:rsidR="009A0CC2" w:rsidRPr="003A1174">
        <w:rPr>
          <w:rFonts w:ascii="Garamond" w:hAnsi="Garamond" w:cs="Arial"/>
          <w:sz w:val="24"/>
          <w:szCs w:val="24"/>
        </w:rPr>
        <w:t>através</w:t>
      </w:r>
      <w:r w:rsidR="00955D60" w:rsidRPr="003A1174">
        <w:rPr>
          <w:rFonts w:ascii="Garamond" w:hAnsi="Garamond" w:cs="Arial"/>
          <w:sz w:val="24"/>
          <w:szCs w:val="24"/>
        </w:rPr>
        <w:t xml:space="preserve"> </w:t>
      </w:r>
      <w:r w:rsidR="00E85E59" w:rsidRPr="003A1174">
        <w:rPr>
          <w:rFonts w:ascii="Garamond" w:hAnsi="Garamond" w:cs="Arial"/>
          <w:sz w:val="24"/>
          <w:szCs w:val="24"/>
        </w:rPr>
        <w:t>do</w:t>
      </w:r>
      <w:r w:rsidR="00955D60" w:rsidRPr="003A1174">
        <w:rPr>
          <w:rFonts w:ascii="Garamond" w:hAnsi="Garamond" w:cs="Arial"/>
          <w:sz w:val="24"/>
          <w:szCs w:val="24"/>
        </w:rPr>
        <w:t xml:space="preserve"> </w:t>
      </w:r>
      <w:r>
        <w:rPr>
          <w:rFonts w:ascii="Garamond" w:hAnsi="Garamond" w:cs="Arial"/>
          <w:sz w:val="24"/>
          <w:szCs w:val="24"/>
        </w:rPr>
        <w:t>«</w:t>
      </w:r>
      <w:r w:rsidR="00955D60" w:rsidRPr="003A1174">
        <w:rPr>
          <w:rFonts w:ascii="Garamond" w:hAnsi="Garamond" w:cs="Arial"/>
          <w:sz w:val="24"/>
          <w:szCs w:val="24"/>
        </w:rPr>
        <w:t xml:space="preserve">Diagnóstico de </w:t>
      </w:r>
      <w:r w:rsidR="006506C6" w:rsidRPr="003A1174">
        <w:rPr>
          <w:rFonts w:ascii="Garamond" w:hAnsi="Garamond" w:cs="Arial"/>
          <w:sz w:val="24"/>
          <w:szCs w:val="24"/>
        </w:rPr>
        <w:t>Necessidades</w:t>
      </w:r>
      <w:r w:rsidR="00955D60" w:rsidRPr="003A1174">
        <w:rPr>
          <w:rFonts w:ascii="Garamond" w:hAnsi="Garamond" w:cs="Arial"/>
          <w:sz w:val="24"/>
          <w:szCs w:val="24"/>
        </w:rPr>
        <w:t xml:space="preserve"> de </w:t>
      </w:r>
      <w:r w:rsidR="0017447A" w:rsidRPr="003A1174">
        <w:rPr>
          <w:rFonts w:ascii="Garamond" w:hAnsi="Garamond" w:cs="Arial"/>
          <w:sz w:val="24"/>
          <w:szCs w:val="24"/>
        </w:rPr>
        <w:t>Informação</w:t>
      </w:r>
      <w:r w:rsidR="00955D60" w:rsidRPr="003A1174">
        <w:rPr>
          <w:rFonts w:ascii="Garamond" w:hAnsi="Garamond" w:cs="Arial"/>
          <w:sz w:val="24"/>
          <w:szCs w:val="24"/>
        </w:rPr>
        <w:t xml:space="preserve"> </w:t>
      </w:r>
      <w:r w:rsidR="00C15C97" w:rsidRPr="003A1174">
        <w:rPr>
          <w:rFonts w:ascii="Garamond" w:hAnsi="Garamond" w:cs="Arial"/>
          <w:sz w:val="24"/>
          <w:szCs w:val="24"/>
        </w:rPr>
        <w:t>Estatística</w:t>
      </w:r>
      <w:r>
        <w:rPr>
          <w:rFonts w:ascii="Garamond" w:hAnsi="Garamond" w:cs="Arial"/>
          <w:sz w:val="24"/>
          <w:szCs w:val="24"/>
        </w:rPr>
        <w:t>»</w:t>
      </w:r>
      <w:r w:rsidR="00955D60" w:rsidRPr="003A1174">
        <w:rPr>
          <w:rFonts w:ascii="Garamond" w:hAnsi="Garamond" w:cs="Arial"/>
          <w:sz w:val="24"/>
          <w:szCs w:val="24"/>
        </w:rPr>
        <w:t xml:space="preserve">, </w:t>
      </w:r>
      <w:r w:rsidR="000864ED" w:rsidRPr="003A1174">
        <w:rPr>
          <w:rFonts w:ascii="Garamond" w:hAnsi="Garamond" w:cs="Arial"/>
          <w:sz w:val="24"/>
          <w:szCs w:val="24"/>
        </w:rPr>
        <w:t xml:space="preserve">é </w:t>
      </w:r>
      <w:r>
        <w:rPr>
          <w:rFonts w:ascii="Garamond" w:hAnsi="Garamond" w:cs="Arial"/>
          <w:sz w:val="24"/>
          <w:szCs w:val="24"/>
        </w:rPr>
        <w:t xml:space="preserve">a entidade que </w:t>
      </w:r>
      <w:r w:rsidR="000864ED" w:rsidRPr="003A1174">
        <w:rPr>
          <w:rFonts w:ascii="Garamond" w:hAnsi="Garamond" w:cs="Arial"/>
          <w:sz w:val="24"/>
          <w:szCs w:val="24"/>
        </w:rPr>
        <w:t xml:space="preserve">fornece </w:t>
      </w:r>
      <w:r w:rsidR="00955D60" w:rsidRPr="003A1174">
        <w:rPr>
          <w:rFonts w:ascii="Garamond" w:hAnsi="Garamond" w:cs="Arial"/>
          <w:sz w:val="24"/>
          <w:szCs w:val="24"/>
        </w:rPr>
        <w:t xml:space="preserve">os </w:t>
      </w:r>
      <w:r w:rsidR="00EE7406" w:rsidRPr="003A1174">
        <w:rPr>
          <w:rFonts w:ascii="Garamond" w:hAnsi="Garamond" w:cs="Arial"/>
          <w:sz w:val="24"/>
          <w:szCs w:val="24"/>
        </w:rPr>
        <w:t>dado</w:t>
      </w:r>
      <w:r w:rsidR="00955D60" w:rsidRPr="003A1174">
        <w:rPr>
          <w:rFonts w:ascii="Garamond" w:hAnsi="Garamond" w:cs="Arial"/>
          <w:sz w:val="24"/>
          <w:szCs w:val="24"/>
        </w:rPr>
        <w:t xml:space="preserve">s </w:t>
      </w:r>
      <w:r w:rsidR="00D37CF3" w:rsidRPr="003A1174">
        <w:rPr>
          <w:rFonts w:ascii="Garamond" w:hAnsi="Garamond" w:cs="Arial"/>
          <w:sz w:val="24"/>
          <w:szCs w:val="24"/>
        </w:rPr>
        <w:t>estatísticos</w:t>
      </w:r>
      <w:r w:rsidR="00955D60" w:rsidRPr="003A1174">
        <w:rPr>
          <w:rFonts w:ascii="Garamond" w:hAnsi="Garamond" w:cs="Arial"/>
          <w:sz w:val="24"/>
          <w:szCs w:val="24"/>
        </w:rPr>
        <w:t xml:space="preserve"> e</w:t>
      </w:r>
      <w:r w:rsidR="000864ED" w:rsidRPr="003A1174">
        <w:rPr>
          <w:rFonts w:ascii="Garamond" w:hAnsi="Garamond" w:cs="Arial"/>
          <w:sz w:val="24"/>
          <w:szCs w:val="24"/>
        </w:rPr>
        <w:t>m</w:t>
      </w:r>
      <w:r w:rsidR="00955D60" w:rsidRPr="003A1174">
        <w:rPr>
          <w:rFonts w:ascii="Garamond" w:hAnsi="Garamond" w:cs="Arial"/>
          <w:sz w:val="24"/>
          <w:szCs w:val="24"/>
        </w:rPr>
        <w:t xml:space="preserve"> </w:t>
      </w:r>
      <w:r w:rsidR="00EF645F" w:rsidRPr="003A1174">
        <w:rPr>
          <w:rFonts w:ascii="Garamond" w:hAnsi="Garamond" w:cs="Arial"/>
          <w:sz w:val="24"/>
          <w:szCs w:val="24"/>
        </w:rPr>
        <w:t>matéria</w:t>
      </w:r>
      <w:r w:rsidR="00955D60" w:rsidRPr="003A1174">
        <w:rPr>
          <w:rFonts w:ascii="Garamond" w:hAnsi="Garamond" w:cs="Arial"/>
          <w:sz w:val="24"/>
          <w:szCs w:val="24"/>
        </w:rPr>
        <w:t xml:space="preserve"> de género.</w:t>
      </w:r>
      <w:r w:rsidR="00955D60" w:rsidRPr="003A1174">
        <w:rPr>
          <w:rStyle w:val="Refdenotaalpie"/>
          <w:rFonts w:ascii="Garamond" w:hAnsi="Garamond" w:cs="Arial"/>
          <w:sz w:val="24"/>
          <w:szCs w:val="24"/>
        </w:rPr>
        <w:footnoteReference w:id="142"/>
      </w:r>
    </w:p>
    <w:p w:rsidR="00955D60" w:rsidRPr="003A1174" w:rsidRDefault="009859FC" w:rsidP="008719D4">
      <w:pPr>
        <w:pStyle w:val="NormalWeb"/>
        <w:jc w:val="both"/>
        <w:rPr>
          <w:rFonts w:ascii="Garamond" w:hAnsi="Garamond" w:cs="Arial"/>
          <w:lang w:val="pt-PT"/>
        </w:rPr>
      </w:pPr>
      <w:r w:rsidRPr="003A1174">
        <w:rPr>
          <w:rStyle w:val="Ttulo4Car"/>
          <w:rFonts w:ascii="Garamond" w:hAnsi="Garamond"/>
          <w:sz w:val="24"/>
          <w:lang w:val="pt-PT"/>
        </w:rPr>
        <w:t>Melhoria</w:t>
      </w:r>
      <w:r w:rsidR="00670522" w:rsidRPr="003A1174">
        <w:rPr>
          <w:rStyle w:val="Ttulo4Car"/>
          <w:rFonts w:ascii="Garamond" w:hAnsi="Garamond"/>
          <w:sz w:val="24"/>
          <w:lang w:val="pt-PT"/>
        </w:rPr>
        <w:t xml:space="preserve">s </w:t>
      </w:r>
      <w:r w:rsidR="000864ED" w:rsidRPr="003A1174">
        <w:rPr>
          <w:rStyle w:val="Ttulo4Car"/>
          <w:rFonts w:ascii="Garamond" w:hAnsi="Garamond"/>
          <w:sz w:val="24"/>
          <w:lang w:val="pt-PT"/>
        </w:rPr>
        <w:t xml:space="preserve">na </w:t>
      </w:r>
      <w:r w:rsidR="00BD5704">
        <w:rPr>
          <w:rStyle w:val="Ttulo4Car"/>
          <w:rFonts w:ascii="Garamond" w:hAnsi="Garamond"/>
          <w:sz w:val="24"/>
          <w:lang w:val="pt-PT"/>
        </w:rPr>
        <w:t xml:space="preserve">avaliação </w:t>
      </w:r>
      <w:r w:rsidR="00670522" w:rsidRPr="003A1174">
        <w:rPr>
          <w:rStyle w:val="Ttulo4Car"/>
          <w:rFonts w:ascii="Garamond" w:hAnsi="Garamond"/>
          <w:sz w:val="24"/>
          <w:lang w:val="pt-PT"/>
        </w:rPr>
        <w:t>de d</w:t>
      </w:r>
      <w:r w:rsidR="002C7510" w:rsidRPr="003A1174">
        <w:rPr>
          <w:rStyle w:val="Ttulo4Car"/>
          <w:rFonts w:ascii="Garamond" w:hAnsi="Garamond"/>
          <w:sz w:val="24"/>
          <w:lang w:val="pt-PT"/>
        </w:rPr>
        <w:t>ano</w:t>
      </w:r>
      <w:r w:rsidR="00670522" w:rsidRPr="003A1174">
        <w:rPr>
          <w:rStyle w:val="Ttulo4Car"/>
          <w:rFonts w:ascii="Garamond" w:hAnsi="Garamond"/>
          <w:sz w:val="24"/>
          <w:lang w:val="pt-PT"/>
        </w:rPr>
        <w:t xml:space="preserve"> psicológico</w:t>
      </w:r>
    </w:p>
    <w:p w:rsidR="00813D2E" w:rsidRDefault="000864ED"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 xml:space="preserve">A </w:t>
      </w:r>
      <w:r w:rsidR="00D15AFF" w:rsidRPr="003A1174">
        <w:rPr>
          <w:rFonts w:ascii="Garamond" w:hAnsi="Garamond" w:cs="Arial"/>
          <w:sz w:val="24"/>
          <w:szCs w:val="24"/>
        </w:rPr>
        <w:t>Lei</w:t>
      </w:r>
      <w:r w:rsidR="00955D60" w:rsidRPr="003A1174">
        <w:rPr>
          <w:rFonts w:ascii="Garamond" w:hAnsi="Garamond" w:cs="Arial"/>
          <w:sz w:val="24"/>
          <w:szCs w:val="24"/>
        </w:rPr>
        <w:t xml:space="preserve"> </w:t>
      </w:r>
      <w:r w:rsidR="0091113A" w:rsidRPr="003A1174">
        <w:rPr>
          <w:rFonts w:ascii="Garamond" w:hAnsi="Garamond" w:cs="Arial"/>
          <w:sz w:val="24"/>
          <w:szCs w:val="24"/>
        </w:rPr>
        <w:t>Orgânica</w:t>
      </w:r>
      <w:r w:rsidR="00955D60" w:rsidRPr="003A1174">
        <w:rPr>
          <w:rFonts w:ascii="Garamond" w:hAnsi="Garamond" w:cs="Arial"/>
          <w:sz w:val="24"/>
          <w:szCs w:val="24"/>
        </w:rPr>
        <w:t xml:space="preserve"> sobre</w:t>
      </w:r>
      <w:r w:rsidRPr="003A1174">
        <w:rPr>
          <w:rFonts w:ascii="Garamond" w:hAnsi="Garamond" w:cs="Arial"/>
          <w:sz w:val="24"/>
          <w:szCs w:val="24"/>
        </w:rPr>
        <w:t xml:space="preserve"> o </w:t>
      </w:r>
      <w:r w:rsidR="00886D6A" w:rsidRPr="003A1174">
        <w:rPr>
          <w:rFonts w:ascii="Garamond" w:hAnsi="Garamond" w:cs="Arial"/>
          <w:sz w:val="24"/>
          <w:szCs w:val="24"/>
        </w:rPr>
        <w:t>Direito</w:t>
      </w:r>
      <w:r w:rsidR="00955D60" w:rsidRPr="003A1174">
        <w:rPr>
          <w:rFonts w:ascii="Garamond" w:hAnsi="Garamond" w:cs="Arial"/>
          <w:sz w:val="24"/>
          <w:szCs w:val="24"/>
        </w:rPr>
        <w:t xml:space="preserve"> </w:t>
      </w:r>
      <w:r w:rsidR="00497503" w:rsidRPr="003A1174">
        <w:rPr>
          <w:rFonts w:ascii="Garamond" w:hAnsi="Garamond" w:cs="Arial"/>
          <w:sz w:val="24"/>
          <w:szCs w:val="24"/>
        </w:rPr>
        <w:t>das</w:t>
      </w:r>
      <w:r w:rsidR="00955D60" w:rsidRPr="003A1174">
        <w:rPr>
          <w:rFonts w:ascii="Garamond" w:hAnsi="Garamond" w:cs="Arial"/>
          <w:sz w:val="24"/>
          <w:szCs w:val="24"/>
        </w:rPr>
        <w:t xml:space="preserve"> </w:t>
      </w:r>
      <w:r w:rsidR="00054EE0" w:rsidRPr="003A1174">
        <w:rPr>
          <w:rFonts w:ascii="Garamond" w:hAnsi="Garamond" w:cs="Arial"/>
          <w:sz w:val="24"/>
          <w:szCs w:val="24"/>
        </w:rPr>
        <w:t>Mulheres</w:t>
      </w:r>
      <w:r w:rsidR="00955D60" w:rsidRPr="003A1174">
        <w:rPr>
          <w:rFonts w:ascii="Garamond" w:hAnsi="Garamond" w:cs="Arial"/>
          <w:sz w:val="24"/>
          <w:szCs w:val="24"/>
        </w:rPr>
        <w:t xml:space="preserve"> a u</w:t>
      </w:r>
      <w:r w:rsidRPr="003A1174">
        <w:rPr>
          <w:rFonts w:ascii="Garamond" w:hAnsi="Garamond" w:cs="Arial"/>
          <w:sz w:val="24"/>
          <w:szCs w:val="24"/>
        </w:rPr>
        <w:t>m</w:t>
      </w:r>
      <w:r w:rsidR="00955D60" w:rsidRPr="003A1174">
        <w:rPr>
          <w:rFonts w:ascii="Garamond" w:hAnsi="Garamond" w:cs="Arial"/>
          <w:sz w:val="24"/>
          <w:szCs w:val="24"/>
        </w:rPr>
        <w:t xml:space="preserve">a Vida </w:t>
      </w:r>
      <w:r w:rsidR="00AF192F" w:rsidRPr="003A1174">
        <w:rPr>
          <w:rFonts w:ascii="Garamond" w:hAnsi="Garamond" w:cs="Arial"/>
          <w:sz w:val="24"/>
          <w:szCs w:val="24"/>
        </w:rPr>
        <w:t>Livre</w:t>
      </w:r>
      <w:r w:rsidR="00955D60" w:rsidRPr="003A1174">
        <w:rPr>
          <w:rFonts w:ascii="Garamond" w:hAnsi="Garamond" w:cs="Arial"/>
          <w:sz w:val="24"/>
          <w:szCs w:val="24"/>
        </w:rPr>
        <w:t xml:space="preserve">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91213A" w:rsidRPr="003A1174">
        <w:rPr>
          <w:rFonts w:ascii="Garamond" w:hAnsi="Garamond" w:cs="Arial"/>
          <w:sz w:val="24"/>
          <w:szCs w:val="24"/>
        </w:rPr>
        <w:t>reconhece</w:t>
      </w:r>
      <w:r w:rsidRPr="003A1174">
        <w:rPr>
          <w:rFonts w:ascii="Garamond" w:hAnsi="Garamond" w:cs="Arial"/>
          <w:sz w:val="24"/>
          <w:szCs w:val="24"/>
        </w:rPr>
        <w:t xml:space="preserve"> </w:t>
      </w:r>
      <w:r w:rsidR="00955D60" w:rsidRPr="003A1174">
        <w:rPr>
          <w:rFonts w:ascii="Garamond" w:hAnsi="Garamond" w:cs="Arial"/>
          <w:sz w:val="24"/>
          <w:szCs w:val="24"/>
        </w:rPr>
        <w:t xml:space="preserve">a </w:t>
      </w:r>
      <w:r w:rsidR="000350B1" w:rsidRPr="003A1174">
        <w:rPr>
          <w:rFonts w:ascii="Garamond" w:hAnsi="Garamond" w:cs="Arial"/>
          <w:sz w:val="24"/>
          <w:szCs w:val="24"/>
        </w:rPr>
        <w:t>violência</w:t>
      </w:r>
      <w:r w:rsidRPr="003A1174">
        <w:rPr>
          <w:rFonts w:ascii="Garamond" w:hAnsi="Garamond" w:cs="Arial"/>
          <w:sz w:val="24"/>
          <w:szCs w:val="24"/>
        </w:rPr>
        <w:t xml:space="preserve"> psicológica como um</w:t>
      </w:r>
      <w:r w:rsidR="00955D60" w:rsidRPr="003A1174">
        <w:rPr>
          <w:rFonts w:ascii="Garamond" w:hAnsi="Garamond" w:cs="Arial"/>
          <w:sz w:val="24"/>
          <w:szCs w:val="24"/>
        </w:rPr>
        <w:t xml:space="preserve">a forma de </w:t>
      </w:r>
      <w:r w:rsidR="000350B1" w:rsidRPr="003A1174">
        <w:rPr>
          <w:rFonts w:ascii="Garamond" w:hAnsi="Garamond" w:cs="Arial"/>
          <w:sz w:val="24"/>
          <w:szCs w:val="24"/>
        </w:rPr>
        <w:t>violência</w:t>
      </w:r>
      <w:r w:rsidR="00955D60" w:rsidRPr="003A1174">
        <w:rPr>
          <w:rFonts w:ascii="Garamond" w:hAnsi="Garamond" w:cs="Arial"/>
          <w:sz w:val="24"/>
          <w:szCs w:val="24"/>
        </w:rPr>
        <w:t xml:space="preserve"> </w:t>
      </w:r>
      <w:r w:rsidR="00BB2B00" w:rsidRPr="003A1174">
        <w:rPr>
          <w:rFonts w:ascii="Garamond" w:hAnsi="Garamond" w:cs="Arial"/>
          <w:sz w:val="24"/>
          <w:szCs w:val="24"/>
        </w:rPr>
        <w:t>contra a</w:t>
      </w:r>
      <w:r w:rsidR="00955D60" w:rsidRPr="003A1174">
        <w:rPr>
          <w:rFonts w:ascii="Garamond" w:hAnsi="Garamond" w:cs="Arial"/>
          <w:sz w:val="24"/>
          <w:szCs w:val="24"/>
        </w:rPr>
        <w:t xml:space="preserve">s </w:t>
      </w:r>
      <w:r w:rsidR="00054EE0" w:rsidRPr="003A1174">
        <w:rPr>
          <w:rFonts w:ascii="Garamond" w:hAnsi="Garamond" w:cs="Arial"/>
          <w:sz w:val="24"/>
          <w:szCs w:val="24"/>
        </w:rPr>
        <w:t>mulheres</w:t>
      </w:r>
      <w:r w:rsidR="00955D60" w:rsidRPr="003A1174">
        <w:rPr>
          <w:rFonts w:ascii="Garamond" w:hAnsi="Garamond" w:cs="Arial"/>
          <w:sz w:val="24"/>
          <w:szCs w:val="24"/>
        </w:rPr>
        <w:t>, defini</w:t>
      </w:r>
      <w:r w:rsidRPr="003A1174">
        <w:rPr>
          <w:rFonts w:ascii="Garamond" w:hAnsi="Garamond" w:cs="Arial"/>
          <w:sz w:val="24"/>
          <w:szCs w:val="24"/>
        </w:rPr>
        <w:t xml:space="preserve">ndo-a </w:t>
      </w:r>
      <w:r w:rsidR="00955D60" w:rsidRPr="003A1174">
        <w:rPr>
          <w:rFonts w:ascii="Garamond" w:hAnsi="Garamond" w:cs="Arial"/>
          <w:sz w:val="24"/>
          <w:szCs w:val="24"/>
        </w:rPr>
        <w:t xml:space="preserve">como </w:t>
      </w:r>
    </w:p>
    <w:p w:rsidR="00813D2E" w:rsidRDefault="00813D2E" w:rsidP="008719D4">
      <w:pPr>
        <w:autoSpaceDE w:val="0"/>
        <w:autoSpaceDN w:val="0"/>
        <w:adjustRightInd w:val="0"/>
        <w:spacing w:after="0" w:line="240" w:lineRule="auto"/>
        <w:jc w:val="both"/>
        <w:rPr>
          <w:rFonts w:ascii="Garamond" w:hAnsi="Garamond" w:cs="Arial"/>
          <w:sz w:val="24"/>
          <w:szCs w:val="24"/>
        </w:rPr>
      </w:pPr>
    </w:p>
    <w:p w:rsidR="00955D60" w:rsidRPr="00813D2E" w:rsidRDefault="00813D2E" w:rsidP="00813D2E">
      <w:pPr>
        <w:autoSpaceDE w:val="0"/>
        <w:autoSpaceDN w:val="0"/>
        <w:adjustRightInd w:val="0"/>
        <w:spacing w:after="0" w:line="240" w:lineRule="auto"/>
        <w:ind w:left="567"/>
        <w:jc w:val="both"/>
        <w:rPr>
          <w:rFonts w:ascii="Garamond" w:hAnsi="Garamond" w:cs="Arial"/>
        </w:rPr>
      </w:pPr>
      <w:r w:rsidRPr="00813D2E">
        <w:rPr>
          <w:rFonts w:ascii="Garamond" w:hAnsi="Garamond" w:cs="Arial"/>
        </w:rPr>
        <w:t>«</w:t>
      </w:r>
      <w:r w:rsidR="003D6CAE" w:rsidRPr="00813D2E">
        <w:rPr>
          <w:rFonts w:ascii="Garamond" w:hAnsi="Garamond" w:cs="Arial"/>
        </w:rPr>
        <w:t xml:space="preserve">(…) </w:t>
      </w:r>
      <w:r w:rsidR="00955D60" w:rsidRPr="00813D2E">
        <w:rPr>
          <w:rFonts w:ascii="Garamond" w:hAnsi="Garamond" w:cs="Arial"/>
        </w:rPr>
        <w:t>tod</w:t>
      </w:r>
      <w:r w:rsidR="000864ED" w:rsidRPr="00813D2E">
        <w:rPr>
          <w:rFonts w:ascii="Garamond" w:hAnsi="Garamond" w:cs="Arial"/>
        </w:rPr>
        <w:t xml:space="preserve">o o </w:t>
      </w:r>
      <w:r w:rsidR="007C63D0" w:rsidRPr="00813D2E">
        <w:rPr>
          <w:rFonts w:ascii="Garamond" w:hAnsi="Garamond" w:cs="Arial"/>
        </w:rPr>
        <w:t>comportamento</w:t>
      </w:r>
      <w:r w:rsidR="000864ED" w:rsidRPr="00813D2E">
        <w:rPr>
          <w:rFonts w:ascii="Garamond" w:hAnsi="Garamond" w:cs="Arial"/>
        </w:rPr>
        <w:t xml:space="preserve"> a</w:t>
      </w:r>
      <w:r w:rsidR="00955D60" w:rsidRPr="00813D2E">
        <w:rPr>
          <w:rFonts w:ascii="Garamond" w:hAnsi="Garamond" w:cs="Arial"/>
        </w:rPr>
        <w:t>tiv</w:t>
      </w:r>
      <w:r w:rsidR="000864ED" w:rsidRPr="00813D2E">
        <w:rPr>
          <w:rFonts w:ascii="Garamond" w:hAnsi="Garamond" w:cs="Arial"/>
        </w:rPr>
        <w:t xml:space="preserve">o ou </w:t>
      </w:r>
      <w:r w:rsidR="00955D60" w:rsidRPr="00813D2E">
        <w:rPr>
          <w:rFonts w:ascii="Garamond" w:hAnsi="Garamond" w:cs="Arial"/>
        </w:rPr>
        <w:t>omi</w:t>
      </w:r>
      <w:r w:rsidR="000864ED" w:rsidRPr="00813D2E">
        <w:rPr>
          <w:rFonts w:ascii="Garamond" w:hAnsi="Garamond" w:cs="Arial"/>
        </w:rPr>
        <w:t>s</w:t>
      </w:r>
      <w:r w:rsidR="00955D60" w:rsidRPr="00813D2E">
        <w:rPr>
          <w:rFonts w:ascii="Garamond" w:hAnsi="Garamond" w:cs="Arial"/>
        </w:rPr>
        <w:t>siv</w:t>
      </w:r>
      <w:r w:rsidR="000864ED" w:rsidRPr="00813D2E">
        <w:rPr>
          <w:rFonts w:ascii="Garamond" w:hAnsi="Garamond" w:cs="Arial"/>
        </w:rPr>
        <w:t>o ex</w:t>
      </w:r>
      <w:r w:rsidR="00955D60" w:rsidRPr="00813D2E">
        <w:rPr>
          <w:rFonts w:ascii="Garamond" w:hAnsi="Garamond" w:cs="Arial"/>
        </w:rPr>
        <w:t>ercid</w:t>
      </w:r>
      <w:r w:rsidR="000864ED" w:rsidRPr="00813D2E">
        <w:rPr>
          <w:rFonts w:ascii="Garamond" w:hAnsi="Garamond" w:cs="Arial"/>
        </w:rPr>
        <w:t xml:space="preserve">o em </w:t>
      </w:r>
      <w:r w:rsidR="00955D60" w:rsidRPr="00813D2E">
        <w:rPr>
          <w:rFonts w:ascii="Garamond" w:hAnsi="Garamond" w:cs="Arial"/>
        </w:rPr>
        <w:t>desonra, descrédito o</w:t>
      </w:r>
      <w:r w:rsidR="000864ED" w:rsidRPr="00813D2E">
        <w:rPr>
          <w:rFonts w:ascii="Garamond" w:hAnsi="Garamond" w:cs="Arial"/>
        </w:rPr>
        <w:t xml:space="preserve">u desprezo pelo </w:t>
      </w:r>
      <w:r w:rsidR="00955D60" w:rsidRPr="00813D2E">
        <w:rPr>
          <w:rFonts w:ascii="Garamond" w:hAnsi="Garamond" w:cs="Arial"/>
        </w:rPr>
        <w:t>valor o</w:t>
      </w:r>
      <w:r w:rsidR="000864ED" w:rsidRPr="00813D2E">
        <w:rPr>
          <w:rFonts w:ascii="Garamond" w:hAnsi="Garamond" w:cs="Arial"/>
        </w:rPr>
        <w:t>u</w:t>
      </w:r>
      <w:r w:rsidR="00955D60" w:rsidRPr="00813D2E">
        <w:rPr>
          <w:rFonts w:ascii="Garamond" w:hAnsi="Garamond" w:cs="Arial"/>
        </w:rPr>
        <w:t xml:space="preserve"> </w:t>
      </w:r>
      <w:r w:rsidR="00BD6A0C" w:rsidRPr="00813D2E">
        <w:rPr>
          <w:rFonts w:ascii="Garamond" w:hAnsi="Garamond" w:cs="Arial"/>
        </w:rPr>
        <w:t>dignidade</w:t>
      </w:r>
      <w:r w:rsidR="00955D60" w:rsidRPr="00813D2E">
        <w:rPr>
          <w:rFonts w:ascii="Garamond" w:hAnsi="Garamond" w:cs="Arial"/>
        </w:rPr>
        <w:t xml:space="preserve"> </w:t>
      </w:r>
      <w:r w:rsidR="008278C4" w:rsidRPr="00813D2E">
        <w:rPr>
          <w:rFonts w:ascii="Garamond" w:hAnsi="Garamond" w:cs="Arial"/>
        </w:rPr>
        <w:t>pessoal</w:t>
      </w:r>
      <w:r w:rsidR="00955D60" w:rsidRPr="00813D2E">
        <w:rPr>
          <w:rFonts w:ascii="Garamond" w:hAnsi="Garamond" w:cs="Arial"/>
        </w:rPr>
        <w:t>, trat</w:t>
      </w:r>
      <w:r w:rsidR="000864ED" w:rsidRPr="00813D2E">
        <w:rPr>
          <w:rFonts w:ascii="Garamond" w:hAnsi="Garamond" w:cs="Arial"/>
        </w:rPr>
        <w:t>ament</w:t>
      </w:r>
      <w:r w:rsidR="00955D60" w:rsidRPr="00813D2E">
        <w:rPr>
          <w:rFonts w:ascii="Garamond" w:hAnsi="Garamond" w:cs="Arial"/>
        </w:rPr>
        <w:t xml:space="preserve">os </w:t>
      </w:r>
      <w:r w:rsidR="00D37CF3" w:rsidRPr="00813D2E">
        <w:rPr>
          <w:rFonts w:ascii="Garamond" w:hAnsi="Garamond" w:cs="Arial"/>
        </w:rPr>
        <w:t>humilhantes</w:t>
      </w:r>
      <w:r w:rsidR="00955D60" w:rsidRPr="00813D2E">
        <w:rPr>
          <w:rFonts w:ascii="Garamond" w:hAnsi="Garamond" w:cs="Arial"/>
        </w:rPr>
        <w:t xml:space="preserve"> </w:t>
      </w:r>
      <w:r w:rsidR="000672E8" w:rsidRPr="00813D2E">
        <w:rPr>
          <w:rFonts w:ascii="Garamond" w:hAnsi="Garamond" w:cs="Arial"/>
        </w:rPr>
        <w:t>e</w:t>
      </w:r>
      <w:r w:rsidR="00955D60" w:rsidRPr="00813D2E">
        <w:rPr>
          <w:rFonts w:ascii="Garamond" w:hAnsi="Garamond" w:cs="Arial"/>
        </w:rPr>
        <w:t xml:space="preserve"> ve</w:t>
      </w:r>
      <w:r w:rsidR="000864ED" w:rsidRPr="00813D2E">
        <w:rPr>
          <w:rFonts w:ascii="Garamond" w:hAnsi="Garamond" w:cs="Arial"/>
        </w:rPr>
        <w:t>xató</w:t>
      </w:r>
      <w:r w:rsidR="00955D60" w:rsidRPr="00813D2E">
        <w:rPr>
          <w:rFonts w:ascii="Garamond" w:hAnsi="Garamond" w:cs="Arial"/>
        </w:rPr>
        <w:t xml:space="preserve">rios, </w:t>
      </w:r>
      <w:r w:rsidR="00964875" w:rsidRPr="00813D2E">
        <w:rPr>
          <w:rFonts w:ascii="Garamond" w:hAnsi="Garamond" w:cs="Arial"/>
        </w:rPr>
        <w:t>vigilância</w:t>
      </w:r>
      <w:r w:rsidR="00955D60" w:rsidRPr="00813D2E">
        <w:rPr>
          <w:rFonts w:ascii="Garamond" w:hAnsi="Garamond" w:cs="Arial"/>
        </w:rPr>
        <w:t xml:space="preserve"> constante, </w:t>
      </w:r>
      <w:r w:rsidR="007C4A71" w:rsidRPr="00813D2E">
        <w:rPr>
          <w:rFonts w:ascii="Garamond" w:hAnsi="Garamond" w:cs="Arial"/>
        </w:rPr>
        <w:t>isolamento</w:t>
      </w:r>
      <w:r w:rsidR="00955D60" w:rsidRPr="00813D2E">
        <w:rPr>
          <w:rFonts w:ascii="Garamond" w:hAnsi="Garamond" w:cs="Arial"/>
        </w:rPr>
        <w:t>, margina</w:t>
      </w:r>
      <w:r w:rsidR="000864ED" w:rsidRPr="00813D2E">
        <w:rPr>
          <w:rFonts w:ascii="Garamond" w:hAnsi="Garamond" w:cs="Arial"/>
        </w:rPr>
        <w:t>lização, negligê</w:t>
      </w:r>
      <w:r w:rsidR="00955D60" w:rsidRPr="00813D2E">
        <w:rPr>
          <w:rFonts w:ascii="Garamond" w:hAnsi="Garamond" w:cs="Arial"/>
        </w:rPr>
        <w:t xml:space="preserve">ncia, abandono, </w:t>
      </w:r>
      <w:r w:rsidR="00F66145" w:rsidRPr="00813D2E">
        <w:rPr>
          <w:rFonts w:ascii="Garamond" w:hAnsi="Garamond" w:cs="Arial"/>
        </w:rPr>
        <w:t>ciúme-patológico</w:t>
      </w:r>
      <w:r w:rsidR="00955D60" w:rsidRPr="00813D2E">
        <w:rPr>
          <w:rFonts w:ascii="Garamond" w:hAnsi="Garamond" w:cs="Arial"/>
        </w:rPr>
        <w:t>, compara</w:t>
      </w:r>
      <w:r w:rsidR="00F66145" w:rsidRPr="00813D2E">
        <w:rPr>
          <w:rFonts w:ascii="Garamond" w:hAnsi="Garamond" w:cs="Arial"/>
        </w:rPr>
        <w:t>ções</w:t>
      </w:r>
      <w:r w:rsidR="00955D60" w:rsidRPr="00813D2E">
        <w:rPr>
          <w:rFonts w:ascii="Garamond" w:hAnsi="Garamond" w:cs="Arial"/>
        </w:rPr>
        <w:t xml:space="preserve"> destrutivas, </w:t>
      </w:r>
      <w:r w:rsidR="001B02AD" w:rsidRPr="00813D2E">
        <w:rPr>
          <w:rFonts w:ascii="Garamond" w:hAnsi="Garamond" w:cs="Arial"/>
        </w:rPr>
        <w:t>ameaça</w:t>
      </w:r>
      <w:r w:rsidR="00955D60" w:rsidRPr="00813D2E">
        <w:rPr>
          <w:rFonts w:ascii="Garamond" w:hAnsi="Garamond" w:cs="Arial"/>
        </w:rPr>
        <w:t xml:space="preserve">s </w:t>
      </w:r>
      <w:r w:rsidR="000672E8" w:rsidRPr="00813D2E">
        <w:rPr>
          <w:rFonts w:ascii="Garamond" w:hAnsi="Garamond" w:cs="Arial"/>
        </w:rPr>
        <w:t>e</w:t>
      </w:r>
      <w:r w:rsidR="00955D60" w:rsidRPr="00813D2E">
        <w:rPr>
          <w:rFonts w:ascii="Garamond" w:hAnsi="Garamond" w:cs="Arial"/>
        </w:rPr>
        <w:t xml:space="preserve"> </w:t>
      </w:r>
      <w:r w:rsidR="001B02AD" w:rsidRPr="00813D2E">
        <w:rPr>
          <w:rFonts w:ascii="Garamond" w:hAnsi="Garamond" w:cs="Arial"/>
        </w:rPr>
        <w:t>atos</w:t>
      </w:r>
      <w:r w:rsidR="00F66145" w:rsidRPr="00813D2E">
        <w:rPr>
          <w:rFonts w:ascii="Garamond" w:hAnsi="Garamond" w:cs="Arial"/>
        </w:rPr>
        <w:t xml:space="preserve"> que </w:t>
      </w:r>
      <w:r w:rsidR="00955D60" w:rsidRPr="00813D2E">
        <w:rPr>
          <w:rFonts w:ascii="Garamond" w:hAnsi="Garamond" w:cs="Arial"/>
        </w:rPr>
        <w:t>leva</w:t>
      </w:r>
      <w:r w:rsidR="00F66145" w:rsidRPr="00813D2E">
        <w:rPr>
          <w:rFonts w:ascii="Garamond" w:hAnsi="Garamond" w:cs="Arial"/>
        </w:rPr>
        <w:t xml:space="preserve">m </w:t>
      </w:r>
      <w:r w:rsidR="00955D60" w:rsidRPr="00813D2E">
        <w:rPr>
          <w:rFonts w:ascii="Garamond" w:hAnsi="Garamond" w:cs="Arial"/>
        </w:rPr>
        <w:t xml:space="preserve">as </w:t>
      </w:r>
      <w:r w:rsidR="00054EE0" w:rsidRPr="00813D2E">
        <w:rPr>
          <w:rFonts w:ascii="Garamond" w:hAnsi="Garamond" w:cs="Arial"/>
        </w:rPr>
        <w:t>mulheres</w:t>
      </w:r>
      <w:r w:rsidR="00955D60" w:rsidRPr="00813D2E">
        <w:rPr>
          <w:rFonts w:ascii="Garamond" w:hAnsi="Garamond" w:cs="Arial"/>
        </w:rPr>
        <w:t xml:space="preserve"> </w:t>
      </w:r>
      <w:r w:rsidR="003F012B" w:rsidRPr="00813D2E">
        <w:rPr>
          <w:rFonts w:ascii="Garamond" w:hAnsi="Garamond" w:cs="Arial"/>
        </w:rPr>
        <w:t>vítima</w:t>
      </w:r>
      <w:r w:rsidR="00955D60" w:rsidRPr="00813D2E">
        <w:rPr>
          <w:rFonts w:ascii="Garamond" w:hAnsi="Garamond" w:cs="Arial"/>
        </w:rPr>
        <w:t xml:space="preserve">s de </w:t>
      </w:r>
      <w:r w:rsidR="000350B1" w:rsidRPr="00813D2E">
        <w:rPr>
          <w:rFonts w:ascii="Garamond" w:hAnsi="Garamond" w:cs="Arial"/>
        </w:rPr>
        <w:t>violência</w:t>
      </w:r>
      <w:r w:rsidR="00955D60" w:rsidRPr="00813D2E">
        <w:rPr>
          <w:rFonts w:ascii="Garamond" w:hAnsi="Garamond" w:cs="Arial"/>
        </w:rPr>
        <w:t xml:space="preserve"> a di</w:t>
      </w:r>
      <w:r w:rsidR="00F66145" w:rsidRPr="00813D2E">
        <w:rPr>
          <w:rFonts w:ascii="Garamond" w:hAnsi="Garamond" w:cs="Arial"/>
        </w:rPr>
        <w:t xml:space="preserve">minuir a sua </w:t>
      </w:r>
      <w:r w:rsidR="00955D60" w:rsidRPr="00813D2E">
        <w:rPr>
          <w:rFonts w:ascii="Garamond" w:hAnsi="Garamond" w:cs="Arial"/>
        </w:rPr>
        <w:t>autoestima, a p</w:t>
      </w:r>
      <w:r w:rsidR="00F66145" w:rsidRPr="00813D2E">
        <w:rPr>
          <w:rFonts w:ascii="Garamond" w:hAnsi="Garamond" w:cs="Arial"/>
        </w:rPr>
        <w:t>re</w:t>
      </w:r>
      <w:r w:rsidR="00955D60" w:rsidRPr="00813D2E">
        <w:rPr>
          <w:rFonts w:ascii="Garamond" w:hAnsi="Garamond" w:cs="Arial"/>
        </w:rPr>
        <w:t>judicar o</w:t>
      </w:r>
      <w:r w:rsidR="00F66145" w:rsidRPr="00813D2E">
        <w:rPr>
          <w:rFonts w:ascii="Garamond" w:hAnsi="Garamond" w:cs="Arial"/>
        </w:rPr>
        <w:t>u</w:t>
      </w:r>
      <w:r w:rsidR="00955D60" w:rsidRPr="00813D2E">
        <w:rPr>
          <w:rFonts w:ascii="Garamond" w:hAnsi="Garamond" w:cs="Arial"/>
        </w:rPr>
        <w:t xml:space="preserve"> perturbar</w:t>
      </w:r>
      <w:r w:rsidR="00F66145" w:rsidRPr="00813D2E">
        <w:rPr>
          <w:rFonts w:ascii="Garamond" w:hAnsi="Garamond" w:cs="Arial"/>
        </w:rPr>
        <w:t xml:space="preserve"> o seu </w:t>
      </w:r>
      <w:r w:rsidR="009B133A" w:rsidRPr="00813D2E">
        <w:rPr>
          <w:rFonts w:ascii="Garamond" w:hAnsi="Garamond" w:cs="Arial"/>
        </w:rPr>
        <w:t>desenvolvimento</w:t>
      </w:r>
      <w:r w:rsidR="00F66145" w:rsidRPr="00813D2E">
        <w:rPr>
          <w:rFonts w:ascii="Garamond" w:hAnsi="Garamond" w:cs="Arial"/>
        </w:rPr>
        <w:t xml:space="preserve"> saudável, </w:t>
      </w:r>
      <w:r w:rsidR="00BB2B00" w:rsidRPr="00813D2E">
        <w:rPr>
          <w:rFonts w:ascii="Garamond" w:hAnsi="Garamond" w:cs="Arial"/>
        </w:rPr>
        <w:t>à</w:t>
      </w:r>
      <w:r w:rsidR="00955D60" w:rsidRPr="00813D2E">
        <w:rPr>
          <w:rFonts w:ascii="Garamond" w:hAnsi="Garamond" w:cs="Arial"/>
        </w:rPr>
        <w:t xml:space="preserve"> depres</w:t>
      </w:r>
      <w:r w:rsidR="00F66145" w:rsidRPr="00813D2E">
        <w:rPr>
          <w:rFonts w:ascii="Garamond" w:hAnsi="Garamond" w:cs="Arial"/>
        </w:rPr>
        <w:t xml:space="preserve">são e, inclusivamente, ao </w:t>
      </w:r>
      <w:r w:rsidR="006D4D0B" w:rsidRPr="00813D2E">
        <w:rPr>
          <w:rFonts w:ascii="Garamond" w:hAnsi="Garamond" w:cs="Arial"/>
        </w:rPr>
        <w:t>suicídio</w:t>
      </w:r>
      <w:r w:rsidR="003D6CAE" w:rsidRPr="00813D2E">
        <w:rPr>
          <w:rFonts w:ascii="Garamond" w:hAnsi="Garamond" w:cs="Arial"/>
        </w:rPr>
        <w:t>.</w:t>
      </w:r>
      <w:proofErr w:type="gramStart"/>
      <w:r w:rsidR="00955D60" w:rsidRPr="00813D2E">
        <w:rPr>
          <w:rFonts w:ascii="Garamond" w:hAnsi="Garamond" w:cs="Arial"/>
        </w:rPr>
        <w:t>”</w:t>
      </w:r>
      <w:proofErr w:type="gramEnd"/>
      <w:r w:rsidR="00955D60" w:rsidRPr="00813D2E">
        <w:rPr>
          <w:rStyle w:val="Refdenotaalpie"/>
          <w:rFonts w:ascii="Garamond" w:hAnsi="Garamond" w:cs="Arial"/>
        </w:rPr>
        <w:footnoteReference w:id="143"/>
      </w:r>
    </w:p>
    <w:p w:rsidR="00955D60" w:rsidRPr="003A1174" w:rsidRDefault="00955D60" w:rsidP="008719D4">
      <w:pPr>
        <w:autoSpaceDE w:val="0"/>
        <w:autoSpaceDN w:val="0"/>
        <w:adjustRightInd w:val="0"/>
        <w:spacing w:after="0" w:line="240" w:lineRule="auto"/>
        <w:jc w:val="both"/>
        <w:rPr>
          <w:rFonts w:ascii="Garamond" w:hAnsi="Garamond" w:cs="Arial"/>
          <w:sz w:val="24"/>
          <w:szCs w:val="24"/>
        </w:rPr>
      </w:pPr>
    </w:p>
    <w:p w:rsidR="00955D60" w:rsidRPr="003A1174" w:rsidRDefault="00E560D8"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Além disso</w:t>
      </w:r>
      <w:r w:rsidR="00F66145" w:rsidRPr="003A1174">
        <w:rPr>
          <w:rFonts w:ascii="Garamond" w:hAnsi="Garamond" w:cs="Arial"/>
          <w:sz w:val="24"/>
          <w:szCs w:val="24"/>
        </w:rPr>
        <w:t>,</w:t>
      </w:r>
      <w:r w:rsidR="00955D60" w:rsidRPr="003A1174">
        <w:rPr>
          <w:rFonts w:ascii="Garamond" w:hAnsi="Garamond" w:cs="Arial"/>
          <w:sz w:val="24"/>
          <w:szCs w:val="24"/>
        </w:rPr>
        <w:t xml:space="preserve"> tipifica</w:t>
      </w:r>
      <w:r w:rsidR="00F66145" w:rsidRPr="003A1174">
        <w:rPr>
          <w:rFonts w:ascii="Garamond" w:hAnsi="Garamond" w:cs="Arial"/>
          <w:sz w:val="24"/>
          <w:szCs w:val="24"/>
        </w:rPr>
        <w:t>-se a</w:t>
      </w:r>
      <w:r w:rsidR="00955D60" w:rsidRPr="003A1174">
        <w:rPr>
          <w:rFonts w:ascii="Garamond" w:hAnsi="Garamond" w:cs="Arial"/>
          <w:sz w:val="24"/>
          <w:szCs w:val="24"/>
        </w:rPr>
        <w:t xml:space="preserve"> </w:t>
      </w:r>
      <w:r w:rsidR="000350B1" w:rsidRPr="003A1174">
        <w:rPr>
          <w:rFonts w:ascii="Garamond" w:hAnsi="Garamond" w:cs="Arial"/>
          <w:sz w:val="24"/>
          <w:szCs w:val="24"/>
        </w:rPr>
        <w:t>violência</w:t>
      </w:r>
      <w:r w:rsidR="00955D60" w:rsidRPr="003A1174">
        <w:rPr>
          <w:rFonts w:ascii="Garamond" w:hAnsi="Garamond" w:cs="Arial"/>
          <w:sz w:val="24"/>
          <w:szCs w:val="24"/>
        </w:rPr>
        <w:t xml:space="preserve"> psicológica como u</w:t>
      </w:r>
      <w:r w:rsidR="00F66145" w:rsidRPr="003A1174">
        <w:rPr>
          <w:rFonts w:ascii="Garamond" w:hAnsi="Garamond" w:cs="Arial"/>
          <w:sz w:val="24"/>
          <w:szCs w:val="24"/>
        </w:rPr>
        <w:t>m</w:t>
      </w:r>
      <w:r w:rsidR="00955D60" w:rsidRPr="003A1174">
        <w:rPr>
          <w:rFonts w:ascii="Garamond" w:hAnsi="Garamond" w:cs="Arial"/>
          <w:sz w:val="24"/>
          <w:szCs w:val="24"/>
        </w:rPr>
        <w:t xml:space="preserve"> delito, </w:t>
      </w:r>
      <w:r w:rsidR="00F66145" w:rsidRPr="003A1174">
        <w:rPr>
          <w:rFonts w:ascii="Garamond" w:hAnsi="Garamond" w:cs="Arial"/>
          <w:sz w:val="24"/>
          <w:szCs w:val="24"/>
        </w:rPr>
        <w:t>e</w:t>
      </w:r>
      <w:r w:rsidR="0091113A" w:rsidRPr="003A1174">
        <w:rPr>
          <w:rFonts w:ascii="Garamond" w:hAnsi="Garamond" w:cs="Arial"/>
          <w:sz w:val="24"/>
          <w:szCs w:val="24"/>
        </w:rPr>
        <w:t>stabelecendo-se</w:t>
      </w:r>
      <w:r w:rsidR="00955D60" w:rsidRPr="003A1174">
        <w:rPr>
          <w:rFonts w:ascii="Garamond" w:hAnsi="Garamond" w:cs="Arial"/>
          <w:sz w:val="24"/>
          <w:szCs w:val="24"/>
        </w:rPr>
        <w:t xml:space="preserve"> </w:t>
      </w:r>
      <w:r w:rsidR="00F66145" w:rsidRPr="003A1174">
        <w:rPr>
          <w:rFonts w:ascii="Garamond" w:hAnsi="Garamond" w:cs="Arial"/>
          <w:sz w:val="24"/>
          <w:szCs w:val="24"/>
        </w:rPr>
        <w:t xml:space="preserve">que </w:t>
      </w:r>
      <w:r w:rsidR="00813D2E">
        <w:rPr>
          <w:rFonts w:ascii="Garamond" w:hAnsi="Garamond" w:cs="Arial"/>
          <w:sz w:val="24"/>
          <w:szCs w:val="24"/>
        </w:rPr>
        <w:t>«</w:t>
      </w:r>
      <w:r w:rsidR="0080402D" w:rsidRPr="003A1174">
        <w:rPr>
          <w:rFonts w:ascii="Garamond" w:hAnsi="Garamond" w:cs="Arial"/>
          <w:sz w:val="24"/>
          <w:szCs w:val="24"/>
        </w:rPr>
        <w:t>Q</w:t>
      </w:r>
      <w:r w:rsidR="00955D60" w:rsidRPr="003A1174">
        <w:rPr>
          <w:rFonts w:ascii="Garamond" w:hAnsi="Garamond" w:cs="Arial"/>
          <w:sz w:val="24"/>
          <w:szCs w:val="24"/>
        </w:rPr>
        <w:t>u</w:t>
      </w:r>
      <w:r w:rsidR="00F66145" w:rsidRPr="003A1174">
        <w:rPr>
          <w:rFonts w:ascii="Garamond" w:hAnsi="Garamond" w:cs="Arial"/>
          <w:sz w:val="24"/>
          <w:szCs w:val="24"/>
        </w:rPr>
        <w:t>em, através de tratamentos humilh</w:t>
      </w:r>
      <w:r w:rsidR="00955D60" w:rsidRPr="003A1174">
        <w:rPr>
          <w:rFonts w:ascii="Garamond" w:hAnsi="Garamond" w:cs="Arial"/>
          <w:sz w:val="24"/>
          <w:szCs w:val="24"/>
        </w:rPr>
        <w:t xml:space="preserve">antes </w:t>
      </w:r>
      <w:r w:rsidR="000672E8" w:rsidRPr="003A1174">
        <w:rPr>
          <w:rFonts w:ascii="Garamond" w:hAnsi="Garamond" w:cs="Arial"/>
          <w:sz w:val="24"/>
          <w:szCs w:val="24"/>
        </w:rPr>
        <w:t>e</w:t>
      </w:r>
      <w:r w:rsidR="00955D60" w:rsidRPr="003A1174">
        <w:rPr>
          <w:rFonts w:ascii="Garamond" w:hAnsi="Garamond" w:cs="Arial"/>
          <w:sz w:val="24"/>
          <w:szCs w:val="24"/>
        </w:rPr>
        <w:t xml:space="preserve"> </w:t>
      </w:r>
      <w:r w:rsidR="00F66145" w:rsidRPr="003A1174">
        <w:rPr>
          <w:rFonts w:ascii="Garamond" w:hAnsi="Garamond" w:cs="Arial"/>
          <w:sz w:val="24"/>
          <w:szCs w:val="24"/>
        </w:rPr>
        <w:t>vexatórios</w:t>
      </w:r>
      <w:r w:rsidR="00955D60" w:rsidRPr="003A1174">
        <w:rPr>
          <w:rFonts w:ascii="Garamond" w:hAnsi="Garamond" w:cs="Arial"/>
          <w:sz w:val="24"/>
          <w:szCs w:val="24"/>
        </w:rPr>
        <w:t xml:space="preserve">, ofensas, </w:t>
      </w:r>
      <w:r w:rsidR="007C4A71" w:rsidRPr="003A1174">
        <w:rPr>
          <w:rFonts w:ascii="Garamond" w:hAnsi="Garamond" w:cs="Arial"/>
          <w:sz w:val="24"/>
          <w:szCs w:val="24"/>
        </w:rPr>
        <w:t>isolamento</w:t>
      </w:r>
      <w:r w:rsidR="00955D60" w:rsidRPr="003A1174">
        <w:rPr>
          <w:rFonts w:ascii="Garamond" w:hAnsi="Garamond" w:cs="Arial"/>
          <w:sz w:val="24"/>
          <w:szCs w:val="24"/>
        </w:rPr>
        <w:t xml:space="preserve">, </w:t>
      </w:r>
      <w:r w:rsidR="00964875" w:rsidRPr="003A1174">
        <w:rPr>
          <w:rFonts w:ascii="Garamond" w:hAnsi="Garamond" w:cs="Arial"/>
          <w:sz w:val="24"/>
          <w:szCs w:val="24"/>
        </w:rPr>
        <w:t>vigilância</w:t>
      </w:r>
      <w:r w:rsidR="00955D60" w:rsidRPr="003A1174">
        <w:rPr>
          <w:rFonts w:ascii="Garamond" w:hAnsi="Garamond" w:cs="Arial"/>
          <w:sz w:val="24"/>
          <w:szCs w:val="24"/>
        </w:rPr>
        <w:t xml:space="preserve"> permanente, compara</w:t>
      </w:r>
      <w:r w:rsidR="00F66145" w:rsidRPr="003A1174">
        <w:rPr>
          <w:rFonts w:ascii="Garamond" w:hAnsi="Garamond" w:cs="Arial"/>
          <w:sz w:val="24"/>
          <w:szCs w:val="24"/>
        </w:rPr>
        <w:t xml:space="preserve">ções </w:t>
      </w:r>
      <w:r w:rsidR="00955D60" w:rsidRPr="003A1174">
        <w:rPr>
          <w:rFonts w:ascii="Garamond" w:hAnsi="Garamond" w:cs="Arial"/>
          <w:sz w:val="24"/>
          <w:szCs w:val="24"/>
        </w:rPr>
        <w:t>destrutivas o</w:t>
      </w:r>
      <w:r w:rsidR="00F66145" w:rsidRPr="003A1174">
        <w:rPr>
          <w:rFonts w:ascii="Garamond" w:hAnsi="Garamond" w:cs="Arial"/>
          <w:sz w:val="24"/>
          <w:szCs w:val="24"/>
        </w:rPr>
        <w:t>u</w:t>
      </w:r>
      <w:r w:rsidR="00955D60" w:rsidRPr="003A1174">
        <w:rPr>
          <w:rFonts w:ascii="Garamond" w:hAnsi="Garamond" w:cs="Arial"/>
          <w:sz w:val="24"/>
          <w:szCs w:val="24"/>
        </w:rPr>
        <w:t xml:space="preserve"> </w:t>
      </w:r>
      <w:r w:rsidR="001B02AD" w:rsidRPr="003A1174">
        <w:rPr>
          <w:rFonts w:ascii="Garamond" w:hAnsi="Garamond" w:cs="Arial"/>
          <w:sz w:val="24"/>
          <w:szCs w:val="24"/>
        </w:rPr>
        <w:t>ameaça</w:t>
      </w:r>
      <w:r w:rsidR="00955D60" w:rsidRPr="003A1174">
        <w:rPr>
          <w:rFonts w:ascii="Garamond" w:hAnsi="Garamond" w:cs="Arial"/>
          <w:sz w:val="24"/>
          <w:szCs w:val="24"/>
        </w:rPr>
        <w:t xml:space="preserve">s genéricas constantes, atente </w:t>
      </w:r>
      <w:r w:rsidR="00BB2B00" w:rsidRPr="003A1174">
        <w:rPr>
          <w:rFonts w:ascii="Garamond" w:hAnsi="Garamond" w:cs="Arial"/>
          <w:sz w:val="24"/>
          <w:szCs w:val="24"/>
        </w:rPr>
        <w:t>contra a</w:t>
      </w:r>
      <w:r w:rsidR="00955D60" w:rsidRPr="003A1174">
        <w:rPr>
          <w:rFonts w:ascii="Garamond" w:hAnsi="Garamond" w:cs="Arial"/>
          <w:sz w:val="24"/>
          <w:szCs w:val="24"/>
        </w:rPr>
        <w:t xml:space="preserve"> estabilidad</w:t>
      </w:r>
      <w:r w:rsidR="00F66145" w:rsidRPr="003A1174">
        <w:rPr>
          <w:rFonts w:ascii="Garamond" w:hAnsi="Garamond" w:cs="Arial"/>
          <w:sz w:val="24"/>
          <w:szCs w:val="24"/>
        </w:rPr>
        <w:t>e</w:t>
      </w:r>
      <w:r w:rsidR="00955D60" w:rsidRPr="003A1174">
        <w:rPr>
          <w:rFonts w:ascii="Garamond" w:hAnsi="Garamond" w:cs="Arial"/>
          <w:sz w:val="24"/>
          <w:szCs w:val="24"/>
        </w:rPr>
        <w:t xml:space="preserve"> emocional o</w:t>
      </w:r>
      <w:r w:rsidR="00F66145" w:rsidRPr="003A1174">
        <w:rPr>
          <w:rFonts w:ascii="Garamond" w:hAnsi="Garamond" w:cs="Arial"/>
          <w:sz w:val="24"/>
          <w:szCs w:val="24"/>
        </w:rPr>
        <w:t>u</w:t>
      </w:r>
      <w:r w:rsidR="00955D60" w:rsidRPr="003A1174">
        <w:rPr>
          <w:rFonts w:ascii="Garamond" w:hAnsi="Garamond" w:cs="Arial"/>
          <w:sz w:val="24"/>
          <w:szCs w:val="24"/>
        </w:rPr>
        <w:t xml:space="preserve"> psíquica da </w:t>
      </w:r>
      <w:r w:rsidR="00AF192F" w:rsidRPr="003A1174">
        <w:rPr>
          <w:rFonts w:ascii="Garamond" w:hAnsi="Garamond" w:cs="Arial"/>
          <w:sz w:val="24"/>
          <w:szCs w:val="24"/>
        </w:rPr>
        <w:t>mulher</w:t>
      </w:r>
      <w:r w:rsidR="00955D60" w:rsidRPr="003A1174">
        <w:rPr>
          <w:rFonts w:ascii="Garamond" w:hAnsi="Garamond" w:cs="Arial"/>
          <w:sz w:val="24"/>
          <w:szCs w:val="24"/>
        </w:rPr>
        <w:t xml:space="preserve">, será </w:t>
      </w:r>
      <w:r w:rsidR="00814B51" w:rsidRPr="003A1174">
        <w:rPr>
          <w:rFonts w:ascii="Garamond" w:hAnsi="Garamond" w:cs="Arial"/>
          <w:sz w:val="24"/>
          <w:szCs w:val="24"/>
        </w:rPr>
        <w:t xml:space="preserve">punido </w:t>
      </w:r>
      <w:r w:rsidR="00955D60" w:rsidRPr="003A1174">
        <w:rPr>
          <w:rFonts w:ascii="Garamond" w:hAnsi="Garamond" w:cs="Arial"/>
          <w:sz w:val="24"/>
          <w:szCs w:val="24"/>
        </w:rPr>
        <w:t>co</w:t>
      </w:r>
      <w:r w:rsidR="00F66145" w:rsidRPr="003A1174">
        <w:rPr>
          <w:rFonts w:ascii="Garamond" w:hAnsi="Garamond" w:cs="Arial"/>
          <w:sz w:val="24"/>
          <w:szCs w:val="24"/>
        </w:rPr>
        <w:t>m</w:t>
      </w:r>
      <w:r w:rsidR="00955D60" w:rsidRPr="003A1174">
        <w:rPr>
          <w:rFonts w:ascii="Garamond" w:hAnsi="Garamond" w:cs="Arial"/>
          <w:sz w:val="24"/>
          <w:szCs w:val="24"/>
        </w:rPr>
        <w:t xml:space="preserve"> pena de seis a</w:t>
      </w:r>
      <w:r w:rsidR="00F66145" w:rsidRPr="003A1174">
        <w:rPr>
          <w:rFonts w:ascii="Garamond" w:hAnsi="Garamond" w:cs="Arial"/>
          <w:sz w:val="24"/>
          <w:szCs w:val="24"/>
        </w:rPr>
        <w:t xml:space="preserve"> dezoito </w:t>
      </w:r>
      <w:r w:rsidR="00955D60" w:rsidRPr="003A1174">
        <w:rPr>
          <w:rFonts w:ascii="Garamond" w:hAnsi="Garamond" w:cs="Arial"/>
          <w:sz w:val="24"/>
          <w:szCs w:val="24"/>
        </w:rPr>
        <w:t>meses.</w:t>
      </w:r>
      <w:r w:rsidR="00813D2E">
        <w:rPr>
          <w:rFonts w:ascii="Garamond" w:hAnsi="Garamond" w:cs="Arial"/>
          <w:sz w:val="24"/>
          <w:szCs w:val="24"/>
        </w:rPr>
        <w:t>»</w:t>
      </w:r>
      <w:r w:rsidR="00955D60" w:rsidRPr="003A1174">
        <w:rPr>
          <w:rStyle w:val="Refdenotaalpie"/>
          <w:rFonts w:ascii="Garamond" w:hAnsi="Garamond" w:cs="Arial"/>
          <w:sz w:val="24"/>
          <w:szCs w:val="24"/>
        </w:rPr>
        <w:footnoteReference w:id="144"/>
      </w:r>
    </w:p>
    <w:p w:rsidR="00955D60" w:rsidRPr="003A1174" w:rsidRDefault="00955D60" w:rsidP="008719D4">
      <w:pPr>
        <w:autoSpaceDE w:val="0"/>
        <w:autoSpaceDN w:val="0"/>
        <w:adjustRightInd w:val="0"/>
        <w:spacing w:after="0" w:line="240" w:lineRule="auto"/>
        <w:jc w:val="both"/>
        <w:rPr>
          <w:rFonts w:ascii="Garamond" w:hAnsi="Garamond" w:cs="Arial"/>
          <w:sz w:val="24"/>
          <w:szCs w:val="24"/>
        </w:rPr>
      </w:pPr>
    </w:p>
    <w:p w:rsidR="00955D60" w:rsidRPr="003A1174" w:rsidRDefault="00955D60" w:rsidP="008719D4">
      <w:pPr>
        <w:autoSpaceDE w:val="0"/>
        <w:autoSpaceDN w:val="0"/>
        <w:adjustRightInd w:val="0"/>
        <w:spacing w:after="0" w:line="240" w:lineRule="auto"/>
        <w:jc w:val="both"/>
        <w:rPr>
          <w:rFonts w:ascii="Garamond" w:hAnsi="Garamond" w:cs="Arial"/>
          <w:sz w:val="24"/>
          <w:szCs w:val="24"/>
        </w:rPr>
      </w:pPr>
      <w:r w:rsidRPr="003A1174">
        <w:rPr>
          <w:rFonts w:ascii="Garamond" w:hAnsi="Garamond" w:cs="Arial"/>
          <w:sz w:val="24"/>
          <w:szCs w:val="24"/>
        </w:rPr>
        <w:t>E</w:t>
      </w:r>
      <w:r w:rsidR="00F66145" w:rsidRPr="003A1174">
        <w:rPr>
          <w:rFonts w:ascii="Garamond" w:hAnsi="Garamond" w:cs="Arial"/>
          <w:sz w:val="24"/>
          <w:szCs w:val="24"/>
        </w:rPr>
        <w:t>m</w:t>
      </w:r>
      <w:r w:rsidRPr="003A1174">
        <w:rPr>
          <w:rFonts w:ascii="Garamond" w:hAnsi="Garamond" w:cs="Arial"/>
          <w:sz w:val="24"/>
          <w:szCs w:val="24"/>
        </w:rPr>
        <w:t xml:space="preserve"> 2013, </w:t>
      </w:r>
      <w:r w:rsidR="00F66145" w:rsidRPr="003A1174">
        <w:rPr>
          <w:rFonts w:ascii="Garamond" w:hAnsi="Garamond" w:cs="Arial"/>
          <w:sz w:val="24"/>
          <w:szCs w:val="24"/>
        </w:rPr>
        <w:t xml:space="preserve">o </w:t>
      </w:r>
      <w:r w:rsidRPr="003A1174">
        <w:rPr>
          <w:rFonts w:ascii="Garamond" w:hAnsi="Garamond" w:cs="Arial"/>
          <w:sz w:val="24"/>
          <w:szCs w:val="24"/>
        </w:rPr>
        <w:t>Estado</w:t>
      </w:r>
      <w:r w:rsidR="00813D2E">
        <w:rPr>
          <w:rFonts w:ascii="Garamond" w:hAnsi="Garamond" w:cs="Arial"/>
          <w:sz w:val="24"/>
          <w:szCs w:val="24"/>
        </w:rPr>
        <w:t xml:space="preserve"> pôs </w:t>
      </w:r>
      <w:r w:rsidR="00F66145" w:rsidRPr="003A1174">
        <w:rPr>
          <w:rFonts w:ascii="Garamond" w:hAnsi="Garamond" w:cs="Arial"/>
          <w:sz w:val="24"/>
          <w:szCs w:val="24"/>
        </w:rPr>
        <w:t>em prática um</w:t>
      </w:r>
      <w:r w:rsidRPr="003A1174">
        <w:rPr>
          <w:rFonts w:ascii="Garamond" w:hAnsi="Garamond" w:cs="Arial"/>
          <w:sz w:val="24"/>
          <w:szCs w:val="24"/>
        </w:rPr>
        <w:t>a iniciativa</w:t>
      </w:r>
      <w:r w:rsidR="00813D2E">
        <w:rPr>
          <w:rFonts w:ascii="Garamond" w:hAnsi="Garamond" w:cs="Arial"/>
          <w:sz w:val="24"/>
          <w:szCs w:val="24"/>
        </w:rPr>
        <w:t xml:space="preserve"> com o objetivo de</w:t>
      </w:r>
      <w:r w:rsidRPr="003A1174">
        <w:rPr>
          <w:rFonts w:ascii="Garamond" w:hAnsi="Garamond" w:cs="Arial"/>
          <w:sz w:val="24"/>
          <w:szCs w:val="24"/>
        </w:rPr>
        <w:t xml:space="preserve"> </w:t>
      </w:r>
      <w:r w:rsidR="00F66145" w:rsidRPr="003A1174">
        <w:rPr>
          <w:rFonts w:ascii="Garamond" w:hAnsi="Garamond" w:cs="Arial"/>
          <w:sz w:val="24"/>
          <w:szCs w:val="24"/>
        </w:rPr>
        <w:t>contribuir</w:t>
      </w:r>
      <w:r w:rsidRPr="003A1174">
        <w:rPr>
          <w:rFonts w:ascii="Garamond" w:hAnsi="Garamond" w:cs="Arial"/>
          <w:sz w:val="24"/>
          <w:szCs w:val="24"/>
        </w:rPr>
        <w:t xml:space="preserve"> </w:t>
      </w:r>
      <w:r w:rsidR="00F66145" w:rsidRPr="003A1174">
        <w:rPr>
          <w:rFonts w:ascii="Garamond" w:hAnsi="Garamond" w:cs="Arial"/>
          <w:sz w:val="24"/>
          <w:szCs w:val="24"/>
        </w:rPr>
        <w:t xml:space="preserve">para </w:t>
      </w:r>
      <w:r w:rsidRPr="003A1174">
        <w:rPr>
          <w:rFonts w:ascii="Garamond" w:hAnsi="Garamond" w:cs="Arial"/>
          <w:sz w:val="24"/>
          <w:szCs w:val="24"/>
        </w:rPr>
        <w:t xml:space="preserve">a </w:t>
      </w:r>
      <w:r w:rsidR="00C30647" w:rsidRPr="003A1174">
        <w:rPr>
          <w:rFonts w:ascii="Garamond" w:hAnsi="Garamond" w:cs="Arial"/>
          <w:sz w:val="24"/>
          <w:szCs w:val="24"/>
        </w:rPr>
        <w:t>erradicação</w:t>
      </w:r>
      <w:r w:rsidRPr="003A1174">
        <w:rPr>
          <w:rFonts w:ascii="Garamond" w:hAnsi="Garamond" w:cs="Arial"/>
          <w:sz w:val="24"/>
          <w:szCs w:val="24"/>
        </w:rPr>
        <w:t xml:space="preserve"> da </w:t>
      </w:r>
      <w:r w:rsidR="000350B1" w:rsidRPr="003A1174">
        <w:rPr>
          <w:rFonts w:ascii="Garamond" w:hAnsi="Garamond" w:cs="Arial"/>
          <w:sz w:val="24"/>
          <w:szCs w:val="24"/>
        </w:rPr>
        <w:t>violência</w:t>
      </w:r>
      <w:r w:rsidRPr="003A1174">
        <w:rPr>
          <w:rFonts w:ascii="Garamond" w:hAnsi="Garamond" w:cs="Arial"/>
          <w:sz w:val="24"/>
          <w:szCs w:val="24"/>
        </w:rPr>
        <w:t xml:space="preserve"> </w:t>
      </w:r>
      <w:r w:rsidR="00BB2B00" w:rsidRPr="003A1174">
        <w:rPr>
          <w:rFonts w:ascii="Garamond" w:hAnsi="Garamond" w:cs="Arial"/>
          <w:sz w:val="24"/>
          <w:szCs w:val="24"/>
        </w:rPr>
        <w:t>contra a</w:t>
      </w:r>
      <w:r w:rsidRPr="003A1174">
        <w:rPr>
          <w:rFonts w:ascii="Garamond" w:hAnsi="Garamond" w:cs="Arial"/>
          <w:sz w:val="24"/>
          <w:szCs w:val="24"/>
        </w:rPr>
        <w:t xml:space="preserve"> </w:t>
      </w:r>
      <w:r w:rsidR="00AF192F" w:rsidRPr="003A1174">
        <w:rPr>
          <w:rFonts w:ascii="Garamond" w:hAnsi="Garamond" w:cs="Arial"/>
          <w:sz w:val="24"/>
          <w:szCs w:val="24"/>
        </w:rPr>
        <w:t>mulher</w:t>
      </w:r>
      <w:r w:rsidRPr="003A1174">
        <w:rPr>
          <w:rFonts w:ascii="Garamond" w:hAnsi="Garamond" w:cs="Arial"/>
          <w:sz w:val="24"/>
          <w:szCs w:val="24"/>
        </w:rPr>
        <w:t xml:space="preserve">, </w:t>
      </w:r>
      <w:r w:rsidR="009A0CC2" w:rsidRPr="003A1174">
        <w:rPr>
          <w:rFonts w:ascii="Garamond" w:hAnsi="Garamond" w:cs="Arial"/>
          <w:sz w:val="24"/>
          <w:szCs w:val="24"/>
        </w:rPr>
        <w:t>através</w:t>
      </w:r>
      <w:r w:rsidRPr="003A1174">
        <w:rPr>
          <w:rFonts w:ascii="Garamond" w:hAnsi="Garamond" w:cs="Arial"/>
          <w:sz w:val="24"/>
          <w:szCs w:val="24"/>
        </w:rPr>
        <w:t xml:space="preserve"> </w:t>
      </w:r>
      <w:r w:rsidR="00E85E59" w:rsidRPr="003A1174">
        <w:rPr>
          <w:rFonts w:ascii="Garamond" w:hAnsi="Garamond" w:cs="Arial"/>
          <w:sz w:val="24"/>
          <w:szCs w:val="24"/>
        </w:rPr>
        <w:t>do</w:t>
      </w:r>
      <w:r w:rsidRPr="003A1174">
        <w:rPr>
          <w:rFonts w:ascii="Garamond" w:hAnsi="Garamond" w:cs="Arial"/>
          <w:sz w:val="24"/>
          <w:szCs w:val="24"/>
        </w:rPr>
        <w:t xml:space="preserve"> programa piloto </w:t>
      </w:r>
      <w:r w:rsidR="00497503" w:rsidRPr="003A1174">
        <w:rPr>
          <w:rFonts w:ascii="Garamond" w:hAnsi="Garamond" w:cs="Arial"/>
          <w:sz w:val="24"/>
          <w:szCs w:val="24"/>
        </w:rPr>
        <w:t>dos</w:t>
      </w:r>
      <w:r w:rsidRPr="003A1174">
        <w:rPr>
          <w:rFonts w:ascii="Garamond" w:hAnsi="Garamond" w:cs="Arial"/>
          <w:sz w:val="24"/>
          <w:szCs w:val="24"/>
        </w:rPr>
        <w:t xml:space="preserve"> Centros de </w:t>
      </w:r>
      <w:r w:rsidR="008278C4" w:rsidRPr="003A1174">
        <w:rPr>
          <w:rFonts w:ascii="Garamond" w:hAnsi="Garamond" w:cs="Arial"/>
          <w:sz w:val="24"/>
          <w:szCs w:val="24"/>
        </w:rPr>
        <w:t>Atenção</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454353" w:rsidRPr="003A1174">
        <w:rPr>
          <w:rFonts w:ascii="Garamond" w:hAnsi="Garamond" w:cs="Arial"/>
          <w:sz w:val="24"/>
          <w:szCs w:val="24"/>
        </w:rPr>
        <w:t>Formação</w:t>
      </w:r>
      <w:r w:rsidRPr="003A1174">
        <w:rPr>
          <w:rFonts w:ascii="Garamond" w:hAnsi="Garamond" w:cs="Arial"/>
          <w:sz w:val="24"/>
          <w:szCs w:val="24"/>
        </w:rPr>
        <w:t xml:space="preserve"> Integral </w:t>
      </w:r>
      <w:r w:rsidR="00497503" w:rsidRPr="003A1174">
        <w:rPr>
          <w:rFonts w:ascii="Garamond" w:hAnsi="Garamond" w:cs="Arial"/>
          <w:sz w:val="24"/>
          <w:szCs w:val="24"/>
        </w:rPr>
        <w:t>das</w:t>
      </w:r>
      <w:r w:rsidRPr="003A1174">
        <w:rPr>
          <w:rFonts w:ascii="Garamond" w:hAnsi="Garamond" w:cs="Arial"/>
          <w:sz w:val="24"/>
          <w:szCs w:val="24"/>
        </w:rPr>
        <w:t xml:space="preserve"> </w:t>
      </w:r>
      <w:r w:rsidR="00054EE0" w:rsidRPr="003A1174">
        <w:rPr>
          <w:rFonts w:ascii="Garamond" w:hAnsi="Garamond" w:cs="Arial"/>
          <w:sz w:val="24"/>
          <w:szCs w:val="24"/>
        </w:rPr>
        <w:t>Mulheres</w:t>
      </w:r>
      <w:r w:rsidRPr="003A1174">
        <w:rPr>
          <w:rFonts w:ascii="Garamond" w:hAnsi="Garamond" w:cs="Arial"/>
          <w:sz w:val="24"/>
          <w:szCs w:val="24"/>
        </w:rPr>
        <w:t xml:space="preserve"> (CAFIM), que </w:t>
      </w:r>
      <w:r w:rsidR="00F66145" w:rsidRPr="003A1174">
        <w:rPr>
          <w:rFonts w:ascii="Garamond" w:hAnsi="Garamond" w:cs="Arial"/>
          <w:sz w:val="24"/>
          <w:szCs w:val="24"/>
        </w:rPr>
        <w:t xml:space="preserve">proporciona </w:t>
      </w:r>
      <w:r w:rsidR="00B531F2" w:rsidRPr="003A1174">
        <w:rPr>
          <w:rFonts w:ascii="Garamond" w:hAnsi="Garamond" w:cs="Arial"/>
          <w:sz w:val="24"/>
          <w:szCs w:val="24"/>
        </w:rPr>
        <w:t>serviço</w:t>
      </w:r>
      <w:r w:rsidRPr="003A1174">
        <w:rPr>
          <w:rFonts w:ascii="Garamond" w:hAnsi="Garamond" w:cs="Arial"/>
          <w:sz w:val="24"/>
          <w:szCs w:val="24"/>
        </w:rPr>
        <w:t xml:space="preserve">s </w:t>
      </w:r>
      <w:r w:rsidR="00040BD1" w:rsidRPr="003A1174">
        <w:rPr>
          <w:rFonts w:ascii="Garamond" w:hAnsi="Garamond" w:cs="Arial"/>
          <w:sz w:val="24"/>
          <w:szCs w:val="24"/>
        </w:rPr>
        <w:t>socioculturais</w:t>
      </w:r>
      <w:r w:rsidRPr="003A1174">
        <w:rPr>
          <w:rFonts w:ascii="Garamond" w:hAnsi="Garamond" w:cs="Arial"/>
          <w:sz w:val="24"/>
          <w:szCs w:val="24"/>
        </w:rPr>
        <w:t xml:space="preserve"> de </w:t>
      </w:r>
      <w:r w:rsidR="000350B1" w:rsidRPr="003A1174">
        <w:rPr>
          <w:rFonts w:ascii="Garamond" w:hAnsi="Garamond" w:cs="Arial"/>
          <w:sz w:val="24"/>
          <w:szCs w:val="24"/>
        </w:rPr>
        <w:t>assistência</w:t>
      </w:r>
      <w:r w:rsidRPr="003A1174">
        <w:rPr>
          <w:rFonts w:ascii="Garamond" w:hAnsi="Garamond" w:cs="Arial"/>
          <w:sz w:val="24"/>
          <w:szCs w:val="24"/>
        </w:rPr>
        <w:t xml:space="preserve"> psicológica, social, jurídica </w:t>
      </w:r>
      <w:r w:rsidR="000672E8" w:rsidRPr="003A1174">
        <w:rPr>
          <w:rFonts w:ascii="Garamond" w:hAnsi="Garamond" w:cs="Arial"/>
          <w:sz w:val="24"/>
          <w:szCs w:val="24"/>
        </w:rPr>
        <w:t>e</w:t>
      </w:r>
      <w:r w:rsidRPr="003A1174">
        <w:rPr>
          <w:rFonts w:ascii="Garamond" w:hAnsi="Garamond" w:cs="Arial"/>
          <w:sz w:val="24"/>
          <w:szCs w:val="24"/>
        </w:rPr>
        <w:t xml:space="preserve"> de </w:t>
      </w:r>
      <w:r w:rsidR="007C63D0" w:rsidRPr="003A1174">
        <w:rPr>
          <w:rFonts w:ascii="Garamond" w:hAnsi="Garamond" w:cs="Arial"/>
          <w:sz w:val="24"/>
          <w:szCs w:val="24"/>
        </w:rPr>
        <w:t>saúde</w:t>
      </w:r>
      <w:r w:rsidRPr="003A1174">
        <w:rPr>
          <w:rFonts w:ascii="Garamond" w:hAnsi="Garamond" w:cs="Arial"/>
          <w:sz w:val="24"/>
          <w:szCs w:val="24"/>
        </w:rPr>
        <w:t xml:space="preserve">. </w:t>
      </w:r>
      <w:r w:rsidR="00813D2E">
        <w:rPr>
          <w:rFonts w:ascii="Garamond" w:hAnsi="Garamond" w:cs="Arial"/>
          <w:sz w:val="24"/>
          <w:szCs w:val="24"/>
        </w:rPr>
        <w:t>Informa-se</w:t>
      </w:r>
      <w:r w:rsidR="00F66145" w:rsidRPr="003A1174">
        <w:rPr>
          <w:rFonts w:ascii="Garamond" w:hAnsi="Garamond" w:cs="Arial"/>
          <w:sz w:val="24"/>
          <w:szCs w:val="24"/>
        </w:rPr>
        <w:t xml:space="preserve"> </w:t>
      </w:r>
      <w:r w:rsidRPr="003A1174">
        <w:rPr>
          <w:rFonts w:ascii="Garamond" w:hAnsi="Garamond" w:cs="Arial"/>
          <w:sz w:val="24"/>
          <w:szCs w:val="24"/>
        </w:rPr>
        <w:t xml:space="preserve">que </w:t>
      </w:r>
      <w:r w:rsidR="00F66145" w:rsidRPr="003A1174">
        <w:rPr>
          <w:rFonts w:ascii="Garamond" w:hAnsi="Garamond" w:cs="Arial"/>
          <w:sz w:val="24"/>
          <w:szCs w:val="24"/>
        </w:rPr>
        <w:t xml:space="preserve">o </w:t>
      </w:r>
      <w:r w:rsidRPr="003A1174">
        <w:rPr>
          <w:rFonts w:ascii="Garamond" w:hAnsi="Garamond" w:cs="Arial"/>
          <w:sz w:val="24"/>
          <w:szCs w:val="24"/>
        </w:rPr>
        <w:t xml:space="preserve">programa </w:t>
      </w:r>
      <w:r w:rsidR="00813D2E">
        <w:rPr>
          <w:rFonts w:ascii="Garamond" w:hAnsi="Garamond" w:cs="Arial"/>
          <w:sz w:val="24"/>
          <w:szCs w:val="24"/>
        </w:rPr>
        <w:t xml:space="preserve">se </w:t>
      </w:r>
      <w:r w:rsidRPr="003A1174">
        <w:rPr>
          <w:rFonts w:ascii="Garamond" w:hAnsi="Garamond" w:cs="Arial"/>
          <w:sz w:val="24"/>
          <w:szCs w:val="24"/>
        </w:rPr>
        <w:t>inici</w:t>
      </w:r>
      <w:r w:rsidR="00F66145" w:rsidRPr="003A1174">
        <w:rPr>
          <w:rFonts w:ascii="Garamond" w:hAnsi="Garamond" w:cs="Arial"/>
          <w:sz w:val="24"/>
          <w:szCs w:val="24"/>
        </w:rPr>
        <w:t xml:space="preserve">ou com a </w:t>
      </w:r>
      <w:r w:rsidR="006C6E85" w:rsidRPr="003A1174">
        <w:rPr>
          <w:rFonts w:ascii="Garamond" w:hAnsi="Garamond" w:cs="Arial"/>
          <w:sz w:val="24"/>
          <w:szCs w:val="24"/>
        </w:rPr>
        <w:t>abertura</w:t>
      </w:r>
      <w:r w:rsidRPr="003A1174">
        <w:rPr>
          <w:rFonts w:ascii="Garamond" w:hAnsi="Garamond" w:cs="Arial"/>
          <w:sz w:val="24"/>
          <w:szCs w:val="24"/>
        </w:rPr>
        <w:t xml:space="preserve"> de 2 Centros de </w:t>
      </w:r>
      <w:r w:rsidR="008278C4" w:rsidRPr="003A1174">
        <w:rPr>
          <w:rFonts w:ascii="Garamond" w:hAnsi="Garamond" w:cs="Arial"/>
          <w:sz w:val="24"/>
          <w:szCs w:val="24"/>
        </w:rPr>
        <w:t>Atenção</w:t>
      </w:r>
      <w:r w:rsidRPr="003A1174">
        <w:rPr>
          <w:rFonts w:ascii="Garamond" w:hAnsi="Garamond" w:cs="Arial"/>
          <w:sz w:val="24"/>
          <w:szCs w:val="24"/>
        </w:rPr>
        <w:t xml:space="preserve"> </w:t>
      </w:r>
      <w:r w:rsidR="000672E8" w:rsidRPr="003A1174">
        <w:rPr>
          <w:rFonts w:ascii="Garamond" w:hAnsi="Garamond" w:cs="Arial"/>
          <w:sz w:val="24"/>
          <w:szCs w:val="24"/>
        </w:rPr>
        <w:t>e</w:t>
      </w:r>
      <w:r w:rsidRPr="003A1174">
        <w:rPr>
          <w:rFonts w:ascii="Garamond" w:hAnsi="Garamond" w:cs="Arial"/>
          <w:sz w:val="24"/>
          <w:szCs w:val="24"/>
        </w:rPr>
        <w:t xml:space="preserve"> </w:t>
      </w:r>
      <w:r w:rsidR="00454353" w:rsidRPr="003A1174">
        <w:rPr>
          <w:rFonts w:ascii="Garamond" w:hAnsi="Garamond" w:cs="Arial"/>
          <w:sz w:val="24"/>
          <w:szCs w:val="24"/>
        </w:rPr>
        <w:t>Formação</w:t>
      </w:r>
      <w:r w:rsidRPr="003A1174">
        <w:rPr>
          <w:rFonts w:ascii="Garamond" w:hAnsi="Garamond" w:cs="Arial"/>
          <w:sz w:val="24"/>
          <w:szCs w:val="24"/>
        </w:rPr>
        <w:t xml:space="preserve"> Integral </w:t>
      </w:r>
      <w:r w:rsidR="00F66145" w:rsidRPr="003A1174">
        <w:rPr>
          <w:rFonts w:ascii="Garamond" w:hAnsi="Garamond" w:cs="Arial"/>
          <w:sz w:val="24"/>
          <w:szCs w:val="24"/>
        </w:rPr>
        <w:t xml:space="preserve">a </w:t>
      </w:r>
      <w:r w:rsidR="00054EE0" w:rsidRPr="003A1174">
        <w:rPr>
          <w:rFonts w:ascii="Garamond" w:hAnsi="Garamond" w:cs="Arial"/>
          <w:sz w:val="24"/>
          <w:szCs w:val="24"/>
        </w:rPr>
        <w:t>Mulheres</w:t>
      </w:r>
      <w:r w:rsidRPr="003A1174">
        <w:rPr>
          <w:rFonts w:ascii="Garamond" w:hAnsi="Garamond" w:cs="Arial"/>
          <w:sz w:val="24"/>
          <w:szCs w:val="24"/>
        </w:rPr>
        <w:t xml:space="preserve">, </w:t>
      </w:r>
      <w:r w:rsidR="003A391A" w:rsidRPr="003A1174">
        <w:rPr>
          <w:rFonts w:ascii="Garamond" w:hAnsi="Garamond" w:cs="Arial"/>
          <w:sz w:val="24"/>
          <w:szCs w:val="24"/>
        </w:rPr>
        <w:t>nos</w:t>
      </w:r>
      <w:r w:rsidRPr="003A1174">
        <w:rPr>
          <w:rFonts w:ascii="Garamond" w:hAnsi="Garamond" w:cs="Arial"/>
          <w:sz w:val="24"/>
          <w:szCs w:val="24"/>
        </w:rPr>
        <w:t xml:space="preserve"> estados Zulia </w:t>
      </w:r>
      <w:r w:rsidR="000672E8" w:rsidRPr="003A1174">
        <w:rPr>
          <w:rFonts w:ascii="Garamond" w:hAnsi="Garamond" w:cs="Arial"/>
          <w:sz w:val="24"/>
          <w:szCs w:val="24"/>
        </w:rPr>
        <w:t>e</w:t>
      </w:r>
      <w:r w:rsidRPr="003A1174">
        <w:rPr>
          <w:rFonts w:ascii="Garamond" w:hAnsi="Garamond" w:cs="Arial"/>
          <w:sz w:val="24"/>
          <w:szCs w:val="24"/>
        </w:rPr>
        <w:t xml:space="preserve"> Distrito Capital, co</w:t>
      </w:r>
      <w:r w:rsidR="00F66145" w:rsidRPr="003A1174">
        <w:rPr>
          <w:rFonts w:ascii="Garamond" w:hAnsi="Garamond" w:cs="Arial"/>
          <w:sz w:val="24"/>
          <w:szCs w:val="24"/>
        </w:rPr>
        <w:t>m um</w:t>
      </w:r>
      <w:r w:rsidRPr="003A1174">
        <w:rPr>
          <w:rFonts w:ascii="Garamond" w:hAnsi="Garamond" w:cs="Arial"/>
          <w:sz w:val="24"/>
          <w:szCs w:val="24"/>
        </w:rPr>
        <w:t xml:space="preserve">a </w:t>
      </w:r>
      <w:r w:rsidR="00152A44" w:rsidRPr="003A1174">
        <w:rPr>
          <w:rFonts w:ascii="Garamond" w:hAnsi="Garamond" w:cs="Arial"/>
          <w:sz w:val="24"/>
          <w:szCs w:val="24"/>
        </w:rPr>
        <w:t>capacidade</w:t>
      </w:r>
      <w:r w:rsidRPr="003A1174">
        <w:rPr>
          <w:rFonts w:ascii="Garamond" w:hAnsi="Garamond" w:cs="Arial"/>
          <w:sz w:val="24"/>
          <w:szCs w:val="24"/>
        </w:rPr>
        <w:t xml:space="preserve"> de </w:t>
      </w:r>
      <w:r w:rsidR="00813D2E">
        <w:rPr>
          <w:rFonts w:ascii="Garamond" w:hAnsi="Garamond" w:cs="Arial"/>
          <w:sz w:val="24"/>
          <w:szCs w:val="24"/>
        </w:rPr>
        <w:t xml:space="preserve">atendimento a </w:t>
      </w:r>
      <w:r w:rsidRPr="003A1174">
        <w:rPr>
          <w:rFonts w:ascii="Garamond" w:hAnsi="Garamond" w:cs="Arial"/>
          <w:sz w:val="24"/>
          <w:szCs w:val="24"/>
        </w:rPr>
        <w:t xml:space="preserve">1000 </w:t>
      </w:r>
      <w:r w:rsidR="00054EE0" w:rsidRPr="003A1174">
        <w:rPr>
          <w:rFonts w:ascii="Garamond" w:hAnsi="Garamond" w:cs="Arial"/>
          <w:sz w:val="24"/>
          <w:szCs w:val="24"/>
        </w:rPr>
        <w:t>mulheres</w:t>
      </w:r>
      <w:r w:rsidRPr="003A1174">
        <w:rPr>
          <w:rFonts w:ascii="Garamond" w:hAnsi="Garamond" w:cs="Arial"/>
          <w:sz w:val="24"/>
          <w:szCs w:val="24"/>
        </w:rPr>
        <w:t xml:space="preserve"> </w:t>
      </w:r>
      <w:r w:rsidR="00F66145" w:rsidRPr="003A1174">
        <w:rPr>
          <w:rFonts w:ascii="Garamond" w:hAnsi="Garamond" w:cs="Arial"/>
          <w:sz w:val="24"/>
          <w:szCs w:val="24"/>
        </w:rPr>
        <w:t xml:space="preserve">por </w:t>
      </w:r>
      <w:r w:rsidR="003A391A" w:rsidRPr="003A1174">
        <w:rPr>
          <w:rFonts w:ascii="Garamond" w:hAnsi="Garamond" w:cs="Arial"/>
          <w:sz w:val="24"/>
          <w:szCs w:val="24"/>
        </w:rPr>
        <w:t>mês</w:t>
      </w:r>
      <w:r w:rsidRPr="003A1174">
        <w:rPr>
          <w:rFonts w:ascii="Garamond" w:hAnsi="Garamond" w:cs="Arial"/>
          <w:sz w:val="24"/>
          <w:szCs w:val="24"/>
        </w:rPr>
        <w:t>.</w:t>
      </w:r>
      <w:r w:rsidRPr="003A1174">
        <w:rPr>
          <w:rStyle w:val="Refdenotaalpie"/>
          <w:rFonts w:ascii="Garamond" w:hAnsi="Garamond" w:cs="Arial"/>
          <w:sz w:val="24"/>
          <w:szCs w:val="24"/>
        </w:rPr>
        <w:footnoteReference w:id="145"/>
      </w:r>
    </w:p>
    <w:p w:rsidR="00955D60" w:rsidRPr="003A1174" w:rsidRDefault="001B7D0B" w:rsidP="008719D4">
      <w:pPr>
        <w:pStyle w:val="Ttulo4"/>
        <w:spacing w:line="240" w:lineRule="auto"/>
        <w:rPr>
          <w:rFonts w:ascii="Garamond" w:hAnsi="Garamond"/>
          <w:sz w:val="24"/>
          <w:szCs w:val="24"/>
        </w:rPr>
      </w:pPr>
      <w:r>
        <w:rPr>
          <w:rFonts w:ascii="Garamond" w:hAnsi="Garamond"/>
          <w:sz w:val="24"/>
          <w:szCs w:val="24"/>
        </w:rPr>
        <w:t>Formação</w:t>
      </w:r>
      <w:r w:rsidR="00670522" w:rsidRPr="003A1174">
        <w:rPr>
          <w:rFonts w:ascii="Garamond" w:hAnsi="Garamond"/>
          <w:sz w:val="24"/>
          <w:szCs w:val="24"/>
        </w:rPr>
        <w:t>/</w:t>
      </w:r>
      <w:r w:rsidR="00976FB8" w:rsidRPr="003A1174">
        <w:rPr>
          <w:rFonts w:ascii="Garamond" w:hAnsi="Garamond"/>
          <w:sz w:val="24"/>
          <w:szCs w:val="24"/>
        </w:rPr>
        <w:t>sensibilização</w:t>
      </w:r>
      <w:r w:rsidR="00670522" w:rsidRPr="003A1174">
        <w:rPr>
          <w:rFonts w:ascii="Garamond" w:hAnsi="Garamond"/>
          <w:sz w:val="24"/>
          <w:szCs w:val="24"/>
        </w:rPr>
        <w:t xml:space="preserve"> de operadores </w:t>
      </w:r>
      <w:r w:rsidR="00E85E59" w:rsidRPr="003A1174">
        <w:rPr>
          <w:rFonts w:ascii="Garamond" w:hAnsi="Garamond"/>
          <w:sz w:val="24"/>
          <w:szCs w:val="24"/>
        </w:rPr>
        <w:t>do</w:t>
      </w:r>
      <w:r w:rsidR="00670522" w:rsidRPr="003A1174">
        <w:rPr>
          <w:rFonts w:ascii="Garamond" w:hAnsi="Garamond"/>
          <w:sz w:val="24"/>
          <w:szCs w:val="24"/>
        </w:rPr>
        <w:t xml:space="preserve"> </w:t>
      </w:r>
      <w:r>
        <w:rPr>
          <w:rFonts w:ascii="Garamond" w:hAnsi="Garamond"/>
          <w:sz w:val="24"/>
          <w:szCs w:val="24"/>
        </w:rPr>
        <w:t>S</w:t>
      </w:r>
      <w:r w:rsidR="00670522" w:rsidRPr="003A1174">
        <w:rPr>
          <w:rFonts w:ascii="Garamond" w:hAnsi="Garamond"/>
          <w:sz w:val="24"/>
          <w:szCs w:val="24"/>
        </w:rPr>
        <w:t xml:space="preserve">istema </w:t>
      </w:r>
      <w:r>
        <w:rPr>
          <w:rFonts w:ascii="Garamond" w:hAnsi="Garamond"/>
          <w:sz w:val="24"/>
          <w:szCs w:val="24"/>
        </w:rPr>
        <w:t>Judicial</w:t>
      </w:r>
    </w:p>
    <w:p w:rsidR="00955D60" w:rsidRPr="003A1174" w:rsidRDefault="00F66145" w:rsidP="008719D4">
      <w:pPr>
        <w:pStyle w:val="NormalWeb"/>
        <w:jc w:val="both"/>
        <w:rPr>
          <w:rFonts w:ascii="Garamond" w:hAnsi="Garamond" w:cs="Arial"/>
          <w:u w:val="single"/>
          <w:lang w:val="pt-PT"/>
        </w:rPr>
      </w:pPr>
      <w:r w:rsidRPr="0076509A">
        <w:rPr>
          <w:rFonts w:ascii="Garamond" w:hAnsi="Garamond" w:cs="Arial"/>
          <w:lang w:val="pt-PT"/>
        </w:rPr>
        <w:t xml:space="preserve">O </w:t>
      </w:r>
      <w:r w:rsidR="00955D60" w:rsidRPr="0076509A">
        <w:rPr>
          <w:rFonts w:ascii="Garamond" w:hAnsi="Garamond" w:cs="Arial"/>
          <w:lang w:val="pt-PT"/>
        </w:rPr>
        <w:t xml:space="preserve">Estado </w:t>
      </w:r>
      <w:r w:rsidR="005A5191" w:rsidRPr="0076509A">
        <w:rPr>
          <w:rFonts w:ascii="Garamond" w:hAnsi="Garamond" w:cs="Arial"/>
          <w:lang w:val="pt-PT"/>
        </w:rPr>
        <w:t>venezuelano</w:t>
      </w:r>
      <w:r w:rsidR="00955D60" w:rsidRPr="0076509A">
        <w:rPr>
          <w:rFonts w:ascii="Garamond" w:hAnsi="Garamond" w:cs="Arial"/>
          <w:lang w:val="pt-PT"/>
        </w:rPr>
        <w:t xml:space="preserve"> promov</w:t>
      </w:r>
      <w:r w:rsidRPr="0076509A">
        <w:rPr>
          <w:rFonts w:ascii="Garamond" w:hAnsi="Garamond" w:cs="Arial"/>
          <w:lang w:val="pt-PT"/>
        </w:rPr>
        <w:t xml:space="preserve">eu </w:t>
      </w:r>
      <w:r w:rsidR="00955D60" w:rsidRPr="0076509A">
        <w:rPr>
          <w:rFonts w:ascii="Garamond" w:hAnsi="Garamond" w:cs="Arial"/>
          <w:lang w:val="pt-PT"/>
        </w:rPr>
        <w:t xml:space="preserve">a </w:t>
      </w:r>
      <w:r w:rsidR="00964875" w:rsidRPr="0076509A">
        <w:rPr>
          <w:rFonts w:ascii="Garamond" w:hAnsi="Garamond" w:cs="Arial"/>
          <w:lang w:val="pt-PT"/>
        </w:rPr>
        <w:t>divulgação</w:t>
      </w:r>
      <w:r w:rsidR="00955D60" w:rsidRPr="0076509A">
        <w:rPr>
          <w:rFonts w:ascii="Garamond" w:hAnsi="Garamond" w:cs="Arial"/>
          <w:lang w:val="pt-PT"/>
        </w:rPr>
        <w:t xml:space="preserve"> </w:t>
      </w:r>
      <w:r w:rsidR="00497503" w:rsidRPr="0076509A">
        <w:rPr>
          <w:rFonts w:ascii="Garamond" w:hAnsi="Garamond" w:cs="Arial"/>
          <w:lang w:val="pt-PT"/>
        </w:rPr>
        <w:t>dos</w:t>
      </w:r>
      <w:r w:rsidR="00955D60" w:rsidRPr="0076509A">
        <w:rPr>
          <w:rFonts w:ascii="Garamond" w:hAnsi="Garamond" w:cs="Arial"/>
          <w:lang w:val="pt-PT"/>
        </w:rPr>
        <w:t xml:space="preserve"> </w:t>
      </w:r>
      <w:r w:rsidR="00886D6A" w:rsidRPr="0076509A">
        <w:rPr>
          <w:rFonts w:ascii="Garamond" w:hAnsi="Garamond" w:cs="Arial"/>
          <w:lang w:val="pt-PT"/>
        </w:rPr>
        <w:t>direito</w:t>
      </w:r>
      <w:r w:rsidR="00955D60" w:rsidRPr="0076509A">
        <w:rPr>
          <w:rFonts w:ascii="Garamond" w:hAnsi="Garamond" w:cs="Arial"/>
          <w:lang w:val="pt-PT"/>
        </w:rPr>
        <w:t xml:space="preserve">s humanos </w:t>
      </w:r>
      <w:r w:rsidR="00497503" w:rsidRPr="0076509A">
        <w:rPr>
          <w:rFonts w:ascii="Garamond" w:hAnsi="Garamond" w:cs="Arial"/>
          <w:lang w:val="pt-PT"/>
        </w:rPr>
        <w:t>das</w:t>
      </w:r>
      <w:r w:rsidR="00955D60" w:rsidRPr="0076509A">
        <w:rPr>
          <w:rFonts w:ascii="Garamond" w:hAnsi="Garamond" w:cs="Arial"/>
          <w:lang w:val="pt-PT"/>
        </w:rPr>
        <w:t xml:space="preserve"> </w:t>
      </w:r>
      <w:r w:rsidR="00054EE0" w:rsidRPr="0076509A">
        <w:rPr>
          <w:rFonts w:ascii="Garamond" w:hAnsi="Garamond" w:cs="Arial"/>
          <w:lang w:val="pt-PT"/>
        </w:rPr>
        <w:t>mulheres</w:t>
      </w:r>
      <w:r w:rsidR="00955D60" w:rsidRPr="0076509A">
        <w:rPr>
          <w:rFonts w:ascii="Garamond" w:hAnsi="Garamond" w:cs="Arial"/>
          <w:lang w:val="pt-PT"/>
        </w:rPr>
        <w:t xml:space="preserve">, </w:t>
      </w:r>
      <w:r w:rsidR="0026216A">
        <w:rPr>
          <w:rFonts w:ascii="Garamond" w:hAnsi="Garamond" w:cs="Arial"/>
          <w:lang w:val="pt-PT"/>
        </w:rPr>
        <w:t xml:space="preserve">bem </w:t>
      </w:r>
      <w:r w:rsidR="00955D60" w:rsidRPr="0076509A">
        <w:rPr>
          <w:rFonts w:ascii="Garamond" w:hAnsi="Garamond" w:cs="Arial"/>
          <w:lang w:val="pt-PT"/>
        </w:rPr>
        <w:t>como</w:t>
      </w:r>
      <w:r w:rsidR="00813D2E" w:rsidRPr="0076509A">
        <w:rPr>
          <w:rFonts w:ascii="Garamond" w:hAnsi="Garamond" w:cs="Arial"/>
          <w:lang w:val="pt-PT"/>
        </w:rPr>
        <w:t>,</w:t>
      </w:r>
      <w:r w:rsidR="00955D60" w:rsidRPr="0076509A">
        <w:rPr>
          <w:rFonts w:ascii="Garamond" w:hAnsi="Garamond" w:cs="Arial"/>
          <w:lang w:val="pt-PT"/>
        </w:rPr>
        <w:t xml:space="preserve"> </w:t>
      </w:r>
      <w:r w:rsidRPr="0076509A">
        <w:rPr>
          <w:rFonts w:ascii="Garamond" w:hAnsi="Garamond" w:cs="Arial"/>
          <w:lang w:val="pt-PT"/>
        </w:rPr>
        <w:t xml:space="preserve">o </w:t>
      </w:r>
      <w:r w:rsidR="00FC1F7F" w:rsidRPr="0076509A">
        <w:rPr>
          <w:rFonts w:ascii="Garamond" w:hAnsi="Garamond" w:cs="Arial"/>
          <w:lang w:val="pt-PT"/>
        </w:rPr>
        <w:t>conteúdo</w:t>
      </w:r>
      <w:r w:rsidR="00955D60" w:rsidRPr="0076509A">
        <w:rPr>
          <w:rFonts w:ascii="Garamond" w:hAnsi="Garamond" w:cs="Arial"/>
          <w:lang w:val="pt-PT"/>
        </w:rPr>
        <w:t xml:space="preserve"> da </w:t>
      </w:r>
      <w:r w:rsidR="00D15AFF" w:rsidRPr="0076509A">
        <w:rPr>
          <w:rFonts w:ascii="Garamond" w:hAnsi="Garamond" w:cs="Arial"/>
          <w:lang w:val="pt-PT"/>
        </w:rPr>
        <w:t>Lei</w:t>
      </w:r>
      <w:r w:rsidR="00955D60" w:rsidRPr="0076509A">
        <w:rPr>
          <w:rFonts w:ascii="Garamond" w:hAnsi="Garamond" w:cs="Arial"/>
          <w:lang w:val="pt-PT"/>
        </w:rPr>
        <w:t xml:space="preserve"> </w:t>
      </w:r>
      <w:r w:rsidR="0091113A" w:rsidRPr="0076509A">
        <w:rPr>
          <w:rFonts w:ascii="Garamond" w:hAnsi="Garamond" w:cs="Arial"/>
          <w:lang w:val="pt-PT"/>
        </w:rPr>
        <w:t>Orgânica</w:t>
      </w:r>
      <w:r w:rsidR="00955D60" w:rsidRPr="0076509A">
        <w:rPr>
          <w:rFonts w:ascii="Garamond" w:hAnsi="Garamond" w:cs="Arial"/>
          <w:lang w:val="pt-PT"/>
        </w:rPr>
        <w:t xml:space="preserve"> sobre </w:t>
      </w:r>
      <w:r w:rsidRPr="0076509A">
        <w:rPr>
          <w:rFonts w:ascii="Garamond" w:hAnsi="Garamond" w:cs="Arial"/>
          <w:lang w:val="pt-PT"/>
        </w:rPr>
        <w:t xml:space="preserve">o </w:t>
      </w:r>
      <w:r w:rsidR="00886D6A" w:rsidRPr="0076509A">
        <w:rPr>
          <w:rFonts w:ascii="Garamond" w:hAnsi="Garamond" w:cs="Arial"/>
          <w:lang w:val="pt-PT"/>
        </w:rPr>
        <w:t>Direito</w:t>
      </w:r>
      <w:r w:rsidR="00955D60" w:rsidRPr="0076509A">
        <w:rPr>
          <w:rFonts w:ascii="Garamond" w:hAnsi="Garamond" w:cs="Arial"/>
          <w:lang w:val="pt-PT"/>
        </w:rPr>
        <w:t xml:space="preserve"> </w:t>
      </w:r>
      <w:r w:rsidR="00497503" w:rsidRPr="0076509A">
        <w:rPr>
          <w:rFonts w:ascii="Garamond" w:hAnsi="Garamond" w:cs="Arial"/>
          <w:lang w:val="pt-PT"/>
        </w:rPr>
        <w:t>das</w:t>
      </w:r>
      <w:r w:rsidR="00955D60" w:rsidRPr="0076509A">
        <w:rPr>
          <w:rFonts w:ascii="Garamond" w:hAnsi="Garamond" w:cs="Arial"/>
          <w:lang w:val="pt-PT"/>
        </w:rPr>
        <w:t xml:space="preserve"> </w:t>
      </w:r>
      <w:r w:rsidR="00054EE0" w:rsidRPr="0076509A">
        <w:rPr>
          <w:rFonts w:ascii="Garamond" w:hAnsi="Garamond" w:cs="Arial"/>
          <w:lang w:val="pt-PT"/>
        </w:rPr>
        <w:t>Mulheres</w:t>
      </w:r>
      <w:r w:rsidRPr="0076509A">
        <w:rPr>
          <w:rFonts w:ascii="Garamond" w:hAnsi="Garamond" w:cs="Arial"/>
          <w:lang w:val="pt-PT"/>
        </w:rPr>
        <w:t xml:space="preserve"> a um</w:t>
      </w:r>
      <w:r w:rsidR="00955D60" w:rsidRPr="0076509A">
        <w:rPr>
          <w:rFonts w:ascii="Garamond" w:hAnsi="Garamond" w:cs="Arial"/>
          <w:lang w:val="pt-PT"/>
        </w:rPr>
        <w:t xml:space="preserve">a Vida </w:t>
      </w:r>
      <w:r w:rsidR="00AF192F" w:rsidRPr="0076509A">
        <w:rPr>
          <w:rFonts w:ascii="Garamond" w:hAnsi="Garamond" w:cs="Arial"/>
          <w:lang w:val="pt-PT"/>
        </w:rPr>
        <w:t>Livre</w:t>
      </w:r>
      <w:r w:rsidR="00955D60" w:rsidRPr="0076509A">
        <w:rPr>
          <w:rFonts w:ascii="Garamond" w:hAnsi="Garamond" w:cs="Arial"/>
          <w:lang w:val="pt-PT"/>
        </w:rPr>
        <w:t xml:space="preserve"> de </w:t>
      </w:r>
      <w:r w:rsidR="000350B1" w:rsidRPr="0076509A">
        <w:rPr>
          <w:rFonts w:ascii="Garamond" w:hAnsi="Garamond" w:cs="Arial"/>
          <w:lang w:val="pt-PT"/>
        </w:rPr>
        <w:t>Violência</w:t>
      </w:r>
      <w:r w:rsidR="00955D60" w:rsidRPr="0076509A">
        <w:rPr>
          <w:rFonts w:ascii="Garamond" w:hAnsi="Garamond" w:cs="Arial"/>
          <w:lang w:val="pt-PT"/>
        </w:rPr>
        <w:t xml:space="preserve"> </w:t>
      </w:r>
      <w:r w:rsidRPr="0076509A">
        <w:rPr>
          <w:rFonts w:ascii="Garamond" w:hAnsi="Garamond" w:cs="Arial"/>
          <w:lang w:val="pt-PT"/>
        </w:rPr>
        <w:t xml:space="preserve">através </w:t>
      </w:r>
      <w:r w:rsidR="00813D2E" w:rsidRPr="0076509A">
        <w:rPr>
          <w:rFonts w:ascii="Garamond" w:hAnsi="Garamond" w:cs="Arial"/>
          <w:lang w:val="pt-PT"/>
        </w:rPr>
        <w:t xml:space="preserve">das seguintes </w:t>
      </w:r>
      <w:r w:rsidR="002C7510" w:rsidRPr="0076509A">
        <w:rPr>
          <w:rFonts w:ascii="Garamond" w:hAnsi="Garamond" w:cs="Arial"/>
          <w:lang w:val="pt-PT"/>
        </w:rPr>
        <w:t>ações</w:t>
      </w:r>
      <w:r w:rsidR="00813D2E" w:rsidRPr="0076509A">
        <w:rPr>
          <w:rFonts w:ascii="Garamond" w:hAnsi="Garamond" w:cs="Arial"/>
          <w:lang w:val="pt-PT"/>
        </w:rPr>
        <w:t>:</w:t>
      </w:r>
    </w:p>
    <w:p w:rsidR="00955D60" w:rsidRPr="003A1174" w:rsidRDefault="003A391A" w:rsidP="008719D4">
      <w:pPr>
        <w:pStyle w:val="NormalWeb"/>
        <w:numPr>
          <w:ilvl w:val="0"/>
          <w:numId w:val="42"/>
        </w:numPr>
        <w:spacing w:after="100" w:afterAutospacing="1"/>
        <w:jc w:val="both"/>
        <w:rPr>
          <w:rFonts w:ascii="Garamond" w:hAnsi="Garamond" w:cs="Arial"/>
          <w:lang w:val="pt-PT"/>
        </w:rPr>
      </w:pPr>
      <w:r w:rsidRPr="003A1174">
        <w:rPr>
          <w:rFonts w:ascii="Garamond" w:hAnsi="Garamond" w:cs="Arial"/>
          <w:lang w:val="pt-PT"/>
        </w:rPr>
        <w:t>Campanha</w:t>
      </w:r>
      <w:r w:rsidR="00955D60" w:rsidRPr="003A1174">
        <w:rPr>
          <w:rFonts w:ascii="Garamond" w:hAnsi="Garamond" w:cs="Arial"/>
          <w:lang w:val="pt-PT"/>
        </w:rPr>
        <w:t xml:space="preserve">s de </w:t>
      </w:r>
      <w:r w:rsidR="00964875" w:rsidRPr="003A1174">
        <w:rPr>
          <w:rFonts w:ascii="Garamond" w:hAnsi="Garamond" w:cs="Arial"/>
          <w:lang w:val="pt-PT"/>
        </w:rPr>
        <w:t>divulgação</w:t>
      </w:r>
      <w:r w:rsidR="00955D60" w:rsidRPr="003A1174">
        <w:rPr>
          <w:rFonts w:ascii="Garamond" w:hAnsi="Garamond" w:cs="Arial"/>
          <w:lang w:val="pt-PT"/>
        </w:rPr>
        <w:t xml:space="preserve"> </w:t>
      </w:r>
      <w:r w:rsidR="00497503" w:rsidRPr="003A1174">
        <w:rPr>
          <w:rFonts w:ascii="Garamond" w:hAnsi="Garamond" w:cs="Arial"/>
          <w:lang w:val="pt-PT"/>
        </w:rPr>
        <w:t>dos</w:t>
      </w:r>
      <w:r w:rsidR="00955D60" w:rsidRPr="003A1174">
        <w:rPr>
          <w:rFonts w:ascii="Garamond" w:hAnsi="Garamond" w:cs="Arial"/>
          <w:lang w:val="pt-PT"/>
        </w:rPr>
        <w:t xml:space="preserve"> </w:t>
      </w:r>
      <w:r w:rsidR="00886D6A" w:rsidRPr="003A1174">
        <w:rPr>
          <w:rFonts w:ascii="Garamond" w:hAnsi="Garamond" w:cs="Arial"/>
          <w:lang w:val="pt-PT"/>
        </w:rPr>
        <w:t>direito</w:t>
      </w:r>
      <w:r w:rsidR="00955D60" w:rsidRPr="003A1174">
        <w:rPr>
          <w:rFonts w:ascii="Garamond" w:hAnsi="Garamond" w:cs="Arial"/>
          <w:lang w:val="pt-PT"/>
        </w:rPr>
        <w:t xml:space="preserve">s </w:t>
      </w:r>
      <w:r w:rsidR="00497503" w:rsidRPr="003A1174">
        <w:rPr>
          <w:rFonts w:ascii="Garamond" w:hAnsi="Garamond" w:cs="Arial"/>
          <w:lang w:val="pt-PT"/>
        </w:rPr>
        <w:t>das</w:t>
      </w:r>
      <w:r w:rsidR="00955D60" w:rsidRPr="003A1174">
        <w:rPr>
          <w:rFonts w:ascii="Garamond" w:hAnsi="Garamond" w:cs="Arial"/>
          <w:lang w:val="pt-PT"/>
        </w:rPr>
        <w:t xml:space="preserve"> </w:t>
      </w:r>
      <w:r w:rsidR="00054EE0" w:rsidRPr="003A1174">
        <w:rPr>
          <w:rFonts w:ascii="Garamond" w:hAnsi="Garamond" w:cs="Arial"/>
          <w:lang w:val="pt-PT"/>
        </w:rPr>
        <w:t>mulheres</w:t>
      </w:r>
      <w:r w:rsidR="00955D60" w:rsidRPr="003A1174">
        <w:rPr>
          <w:rFonts w:ascii="Garamond" w:hAnsi="Garamond" w:cs="Arial"/>
          <w:lang w:val="pt-PT"/>
        </w:rPr>
        <w:t xml:space="preserve"> </w:t>
      </w:r>
      <w:r w:rsidR="0006412D">
        <w:rPr>
          <w:rFonts w:ascii="Garamond" w:hAnsi="Garamond" w:cs="Arial"/>
          <w:lang w:val="pt-PT"/>
        </w:rPr>
        <w:t>junto dos</w:t>
      </w:r>
      <w:r w:rsidR="00955D60" w:rsidRPr="003A1174">
        <w:rPr>
          <w:rFonts w:ascii="Garamond" w:hAnsi="Garamond" w:cs="Arial"/>
          <w:lang w:val="pt-PT"/>
        </w:rPr>
        <w:t xml:space="preserve"> servidores públicos </w:t>
      </w:r>
      <w:r w:rsidR="00B91ED4" w:rsidRPr="003A1174">
        <w:rPr>
          <w:rFonts w:ascii="Garamond" w:hAnsi="Garamond" w:cs="Arial"/>
          <w:lang w:val="pt-PT"/>
        </w:rPr>
        <w:t>envolvidos</w:t>
      </w:r>
      <w:r w:rsidR="00955D60" w:rsidRPr="003A1174">
        <w:rPr>
          <w:rFonts w:ascii="Garamond" w:hAnsi="Garamond" w:cs="Arial"/>
          <w:lang w:val="pt-PT"/>
        </w:rPr>
        <w:t xml:space="preserve"> </w:t>
      </w:r>
      <w:r w:rsidR="00F66145" w:rsidRPr="003A1174">
        <w:rPr>
          <w:rFonts w:ascii="Garamond" w:hAnsi="Garamond" w:cs="Arial"/>
          <w:lang w:val="pt-PT"/>
        </w:rPr>
        <w:t>n</w:t>
      </w:r>
      <w:r w:rsidR="00955D60" w:rsidRPr="003A1174">
        <w:rPr>
          <w:rFonts w:ascii="Garamond" w:hAnsi="Garamond" w:cs="Arial"/>
          <w:lang w:val="pt-PT"/>
        </w:rPr>
        <w:t xml:space="preserve">as áreas de </w:t>
      </w:r>
      <w:r w:rsidR="008278C4" w:rsidRPr="003A1174">
        <w:rPr>
          <w:rFonts w:ascii="Garamond" w:hAnsi="Garamond" w:cs="Arial"/>
          <w:lang w:val="pt-PT"/>
        </w:rPr>
        <w:t>atenção</w:t>
      </w:r>
      <w:r w:rsidR="00955D60" w:rsidRPr="003A1174">
        <w:rPr>
          <w:rFonts w:ascii="Garamond" w:hAnsi="Garamond" w:cs="Arial"/>
          <w:lang w:val="pt-PT"/>
        </w:rPr>
        <w:t xml:space="preserve">, </w:t>
      </w:r>
      <w:r w:rsidR="007578C6" w:rsidRPr="003A1174">
        <w:rPr>
          <w:rFonts w:ascii="Garamond" w:hAnsi="Garamond" w:cs="Arial"/>
          <w:lang w:val="pt-PT"/>
        </w:rPr>
        <w:t>prevenção</w:t>
      </w:r>
      <w:r w:rsidR="00955D60" w:rsidRPr="003A1174">
        <w:rPr>
          <w:rFonts w:ascii="Garamond" w:hAnsi="Garamond" w:cs="Arial"/>
          <w:lang w:val="pt-PT"/>
        </w:rPr>
        <w:t xml:space="preserve">, </w:t>
      </w:r>
      <w:r w:rsidR="00B5431B" w:rsidRPr="003A1174">
        <w:rPr>
          <w:rFonts w:ascii="Garamond" w:hAnsi="Garamond" w:cs="Arial"/>
          <w:lang w:val="pt-PT"/>
        </w:rPr>
        <w:t>receção</w:t>
      </w:r>
      <w:r w:rsidR="00955D60" w:rsidRPr="003A1174">
        <w:rPr>
          <w:rFonts w:ascii="Garamond" w:hAnsi="Garamond" w:cs="Arial"/>
          <w:lang w:val="pt-PT"/>
        </w:rPr>
        <w:t xml:space="preserve"> de </w:t>
      </w:r>
      <w:r w:rsidR="008651AF" w:rsidRPr="003A1174">
        <w:rPr>
          <w:rFonts w:ascii="Garamond" w:hAnsi="Garamond" w:cs="Arial"/>
          <w:lang w:val="pt-PT"/>
        </w:rPr>
        <w:t>denúncia</w:t>
      </w:r>
      <w:r w:rsidR="00955D60" w:rsidRPr="003A1174">
        <w:rPr>
          <w:rFonts w:ascii="Garamond" w:hAnsi="Garamond" w:cs="Arial"/>
          <w:lang w:val="pt-PT"/>
        </w:rPr>
        <w:t xml:space="preserve">s </w:t>
      </w:r>
      <w:r w:rsidR="000672E8" w:rsidRPr="003A1174">
        <w:rPr>
          <w:rFonts w:ascii="Garamond" w:hAnsi="Garamond" w:cs="Arial"/>
          <w:lang w:val="pt-PT"/>
        </w:rPr>
        <w:t>e</w:t>
      </w:r>
      <w:r w:rsidR="00955D60" w:rsidRPr="003A1174">
        <w:rPr>
          <w:rFonts w:ascii="Garamond" w:hAnsi="Garamond" w:cs="Arial"/>
          <w:lang w:val="pt-PT"/>
        </w:rPr>
        <w:t xml:space="preserve"> </w:t>
      </w:r>
      <w:r w:rsidR="003F012B" w:rsidRPr="003A1174">
        <w:rPr>
          <w:rFonts w:ascii="Garamond" w:hAnsi="Garamond" w:cs="Arial"/>
          <w:lang w:val="pt-PT"/>
        </w:rPr>
        <w:t>procedimentos</w:t>
      </w:r>
      <w:r w:rsidR="00955D60" w:rsidRPr="003A1174">
        <w:rPr>
          <w:rFonts w:ascii="Garamond" w:hAnsi="Garamond" w:cs="Arial"/>
          <w:lang w:val="pt-PT"/>
        </w:rPr>
        <w:t xml:space="preserve"> </w:t>
      </w:r>
      <w:r w:rsidR="002D1021" w:rsidRPr="003A1174">
        <w:rPr>
          <w:rFonts w:ascii="Garamond" w:hAnsi="Garamond" w:cs="Arial"/>
          <w:lang w:val="pt-PT"/>
        </w:rPr>
        <w:lastRenderedPageBreak/>
        <w:t>judiciais</w:t>
      </w:r>
      <w:r w:rsidR="00955D60" w:rsidRPr="003A1174">
        <w:rPr>
          <w:rFonts w:ascii="Garamond" w:hAnsi="Garamond" w:cs="Arial"/>
          <w:lang w:val="pt-PT"/>
        </w:rPr>
        <w:t xml:space="preserve">, vinculados </w:t>
      </w:r>
      <w:r w:rsidR="00BB2B00" w:rsidRPr="003A1174">
        <w:rPr>
          <w:rFonts w:ascii="Garamond" w:hAnsi="Garamond" w:cs="Arial"/>
          <w:lang w:val="pt-PT"/>
        </w:rPr>
        <w:t>à</w:t>
      </w:r>
      <w:r w:rsidR="00955D60" w:rsidRPr="003A1174">
        <w:rPr>
          <w:rFonts w:ascii="Garamond" w:hAnsi="Garamond" w:cs="Arial"/>
          <w:lang w:val="pt-PT"/>
        </w:rPr>
        <w:t xml:space="preserve"> </w:t>
      </w:r>
      <w:r w:rsidR="000350B1" w:rsidRPr="003A1174">
        <w:rPr>
          <w:rFonts w:ascii="Garamond" w:hAnsi="Garamond" w:cs="Arial"/>
          <w:lang w:val="pt-PT"/>
        </w:rPr>
        <w:t>violência</w:t>
      </w:r>
      <w:r w:rsidR="00955D60" w:rsidRPr="003A1174">
        <w:rPr>
          <w:rFonts w:ascii="Garamond" w:hAnsi="Garamond" w:cs="Arial"/>
          <w:lang w:val="pt-PT"/>
        </w:rPr>
        <w:t xml:space="preserve"> </w:t>
      </w:r>
      <w:r w:rsidR="00BB2B00" w:rsidRPr="003A1174">
        <w:rPr>
          <w:rFonts w:ascii="Garamond" w:hAnsi="Garamond" w:cs="Arial"/>
          <w:lang w:val="pt-PT"/>
        </w:rPr>
        <w:t>contra a</w:t>
      </w:r>
      <w:r w:rsidR="00955D60" w:rsidRPr="003A1174">
        <w:rPr>
          <w:rFonts w:ascii="Garamond" w:hAnsi="Garamond" w:cs="Arial"/>
          <w:lang w:val="pt-PT"/>
        </w:rPr>
        <w:t xml:space="preserve"> </w:t>
      </w:r>
      <w:r w:rsidR="00AF192F" w:rsidRPr="003A1174">
        <w:rPr>
          <w:rFonts w:ascii="Garamond" w:hAnsi="Garamond" w:cs="Arial"/>
          <w:lang w:val="pt-PT"/>
        </w:rPr>
        <w:t>mulher</w:t>
      </w:r>
      <w:r w:rsidR="00955D60" w:rsidRPr="003A1174">
        <w:rPr>
          <w:rFonts w:ascii="Garamond" w:hAnsi="Garamond" w:cs="Arial"/>
          <w:lang w:val="pt-PT"/>
        </w:rPr>
        <w:t xml:space="preserve">. </w:t>
      </w:r>
      <w:r w:rsidR="00F66145" w:rsidRPr="003A1174">
        <w:rPr>
          <w:rFonts w:ascii="Garamond" w:hAnsi="Garamond" w:cs="Arial"/>
          <w:lang w:val="pt-PT"/>
        </w:rPr>
        <w:t xml:space="preserve">Estendeu-se a </w:t>
      </w:r>
      <w:r w:rsidR="00955D60" w:rsidRPr="003A1174">
        <w:rPr>
          <w:rFonts w:ascii="Garamond" w:hAnsi="Garamond" w:cs="Arial"/>
          <w:lang w:val="pt-PT"/>
        </w:rPr>
        <w:t>diversas comunidades, co</w:t>
      </w:r>
      <w:r w:rsidR="00F66145" w:rsidRPr="003A1174">
        <w:rPr>
          <w:rFonts w:ascii="Garamond" w:hAnsi="Garamond" w:cs="Arial"/>
          <w:lang w:val="pt-PT"/>
        </w:rPr>
        <w:t xml:space="preserve">m </w:t>
      </w:r>
      <w:r w:rsidR="00955D60" w:rsidRPr="003A1174">
        <w:rPr>
          <w:rFonts w:ascii="Garamond" w:hAnsi="Garamond" w:cs="Arial"/>
          <w:lang w:val="pt-PT"/>
        </w:rPr>
        <w:t xml:space="preserve">a </w:t>
      </w:r>
      <w:r w:rsidR="0017447A" w:rsidRPr="003A1174">
        <w:rPr>
          <w:rFonts w:ascii="Garamond" w:hAnsi="Garamond" w:cs="Arial"/>
          <w:lang w:val="pt-PT"/>
        </w:rPr>
        <w:t>participação</w:t>
      </w:r>
      <w:r w:rsidR="00955D60" w:rsidRPr="003A1174">
        <w:rPr>
          <w:rFonts w:ascii="Garamond" w:hAnsi="Garamond" w:cs="Arial"/>
          <w:lang w:val="pt-PT"/>
        </w:rPr>
        <w:t xml:space="preserve"> de 5606 </w:t>
      </w:r>
      <w:r w:rsidR="00054EE0" w:rsidRPr="003A1174">
        <w:rPr>
          <w:rFonts w:ascii="Garamond" w:hAnsi="Garamond" w:cs="Arial"/>
          <w:lang w:val="pt-PT"/>
        </w:rPr>
        <w:t>mulheres</w:t>
      </w:r>
      <w:r w:rsidR="00955D60" w:rsidRPr="003A1174">
        <w:rPr>
          <w:rFonts w:ascii="Garamond" w:hAnsi="Garamond" w:cs="Arial"/>
          <w:lang w:val="pt-PT"/>
        </w:rPr>
        <w:t xml:space="preserve"> durante 2013.</w:t>
      </w:r>
      <w:r w:rsidR="00955D60" w:rsidRPr="003A1174">
        <w:rPr>
          <w:rStyle w:val="Refdenotaalpie"/>
          <w:rFonts w:ascii="Garamond" w:hAnsi="Garamond" w:cs="Arial"/>
        </w:rPr>
        <w:footnoteReference w:id="146"/>
      </w:r>
    </w:p>
    <w:p w:rsidR="00955D60" w:rsidRPr="003A1174" w:rsidRDefault="0076509A" w:rsidP="008719D4">
      <w:pPr>
        <w:pStyle w:val="NormalWeb"/>
        <w:numPr>
          <w:ilvl w:val="0"/>
          <w:numId w:val="42"/>
        </w:numPr>
        <w:spacing w:after="100" w:afterAutospacing="1"/>
        <w:jc w:val="both"/>
        <w:rPr>
          <w:rFonts w:ascii="Garamond" w:hAnsi="Garamond" w:cs="Arial"/>
          <w:lang w:val="pt-PT"/>
        </w:rPr>
      </w:pPr>
      <w:r>
        <w:rPr>
          <w:rFonts w:ascii="Garamond" w:hAnsi="Garamond" w:cs="Arial"/>
          <w:iCs/>
          <w:lang w:val="pt-PT"/>
        </w:rPr>
        <w:t>Criou-se</w:t>
      </w:r>
      <w:r w:rsidR="00955D60" w:rsidRPr="003A1174">
        <w:rPr>
          <w:rFonts w:ascii="Garamond" w:hAnsi="Garamond" w:cs="Arial"/>
          <w:iCs/>
          <w:lang w:val="pt-PT"/>
        </w:rPr>
        <w:t xml:space="preserve"> u</w:t>
      </w:r>
      <w:r w:rsidR="00F66145" w:rsidRPr="003A1174">
        <w:rPr>
          <w:rFonts w:ascii="Garamond" w:hAnsi="Garamond" w:cs="Arial"/>
          <w:iCs/>
          <w:lang w:val="pt-PT"/>
        </w:rPr>
        <w:t>m</w:t>
      </w:r>
      <w:r w:rsidR="00955D60" w:rsidRPr="003A1174">
        <w:rPr>
          <w:rFonts w:ascii="Garamond" w:hAnsi="Garamond" w:cs="Arial"/>
          <w:iCs/>
          <w:lang w:val="pt-PT"/>
        </w:rPr>
        <w:t xml:space="preserve"> Programa de </w:t>
      </w:r>
      <w:r w:rsidR="0017447A" w:rsidRPr="003A1174">
        <w:rPr>
          <w:rFonts w:ascii="Garamond" w:hAnsi="Garamond" w:cs="Arial"/>
          <w:iCs/>
          <w:lang w:val="pt-PT"/>
        </w:rPr>
        <w:t>Informação</w:t>
      </w:r>
      <w:r w:rsidR="00955D60" w:rsidRPr="003A1174">
        <w:rPr>
          <w:rFonts w:ascii="Garamond" w:hAnsi="Garamond" w:cs="Arial"/>
          <w:iCs/>
          <w:lang w:val="pt-PT"/>
        </w:rPr>
        <w:t xml:space="preserve"> </w:t>
      </w:r>
      <w:r w:rsidR="000672E8" w:rsidRPr="003A1174">
        <w:rPr>
          <w:rFonts w:ascii="Garamond" w:hAnsi="Garamond" w:cs="Arial"/>
          <w:iCs/>
          <w:lang w:val="pt-PT"/>
        </w:rPr>
        <w:t>e</w:t>
      </w:r>
      <w:r w:rsidR="00955D60" w:rsidRPr="003A1174">
        <w:rPr>
          <w:rFonts w:ascii="Garamond" w:hAnsi="Garamond" w:cs="Arial"/>
          <w:iCs/>
          <w:lang w:val="pt-PT"/>
        </w:rPr>
        <w:t xml:space="preserve"> </w:t>
      </w:r>
      <w:r w:rsidR="00976FB8" w:rsidRPr="003A1174">
        <w:rPr>
          <w:rFonts w:ascii="Garamond" w:hAnsi="Garamond" w:cs="Arial"/>
          <w:iCs/>
          <w:lang w:val="pt-PT"/>
        </w:rPr>
        <w:t>Sensibilização</w:t>
      </w:r>
      <w:r w:rsidR="00F66145" w:rsidRPr="003A1174">
        <w:rPr>
          <w:rFonts w:ascii="Garamond" w:hAnsi="Garamond" w:cs="Arial"/>
          <w:lang w:val="pt-PT"/>
        </w:rPr>
        <w:t>, de</w:t>
      </w:r>
      <w:r w:rsidR="00955D60" w:rsidRPr="003A1174">
        <w:rPr>
          <w:rFonts w:ascii="Garamond" w:hAnsi="Garamond" w:cs="Arial"/>
          <w:lang w:val="pt-PT"/>
        </w:rPr>
        <w:t xml:space="preserve"> </w:t>
      </w:r>
      <w:r w:rsidR="00120915" w:rsidRPr="003A1174">
        <w:rPr>
          <w:rFonts w:ascii="Garamond" w:hAnsi="Garamond" w:cs="Arial"/>
          <w:lang w:val="pt-PT"/>
        </w:rPr>
        <w:t>caráter</w:t>
      </w:r>
      <w:r w:rsidR="00955D60" w:rsidRPr="003A1174">
        <w:rPr>
          <w:rFonts w:ascii="Garamond" w:hAnsi="Garamond" w:cs="Arial"/>
          <w:lang w:val="pt-PT"/>
        </w:rPr>
        <w:t xml:space="preserve"> </w:t>
      </w:r>
      <w:r w:rsidR="00D96FD0" w:rsidRPr="003A1174">
        <w:rPr>
          <w:rFonts w:ascii="Garamond" w:hAnsi="Garamond" w:cs="Arial"/>
          <w:lang w:val="pt-PT"/>
        </w:rPr>
        <w:t>obrigatório</w:t>
      </w:r>
      <w:r w:rsidR="0006412D">
        <w:rPr>
          <w:rFonts w:ascii="Garamond" w:hAnsi="Garamond" w:cs="Arial"/>
          <w:lang w:val="pt-PT"/>
        </w:rPr>
        <w:t>,</w:t>
      </w:r>
      <w:r w:rsidR="00955D60" w:rsidRPr="003A1174">
        <w:rPr>
          <w:rFonts w:ascii="Garamond" w:hAnsi="Garamond" w:cs="Arial"/>
          <w:lang w:val="pt-PT"/>
        </w:rPr>
        <w:t xml:space="preserve"> para todo </w:t>
      </w:r>
      <w:r w:rsidR="00F66145" w:rsidRPr="003A1174">
        <w:rPr>
          <w:rFonts w:ascii="Garamond" w:hAnsi="Garamond" w:cs="Arial"/>
          <w:lang w:val="pt-PT"/>
        </w:rPr>
        <w:t xml:space="preserve">o </w:t>
      </w:r>
      <w:r w:rsidR="008278C4" w:rsidRPr="003A1174">
        <w:rPr>
          <w:rFonts w:ascii="Garamond" w:hAnsi="Garamond" w:cs="Arial"/>
          <w:lang w:val="pt-PT"/>
        </w:rPr>
        <w:t>pessoal</w:t>
      </w:r>
      <w:r w:rsidR="00955D60" w:rsidRPr="003A1174">
        <w:rPr>
          <w:rFonts w:ascii="Garamond" w:hAnsi="Garamond" w:cs="Arial"/>
          <w:lang w:val="pt-PT"/>
        </w:rPr>
        <w:t xml:space="preserve"> técnico, </w:t>
      </w:r>
      <w:r w:rsidR="009A0CC2" w:rsidRPr="003A1174">
        <w:rPr>
          <w:rFonts w:ascii="Garamond" w:hAnsi="Garamond" w:cs="Arial"/>
          <w:lang w:val="pt-PT"/>
        </w:rPr>
        <w:t>advogado</w:t>
      </w:r>
      <w:r w:rsidR="00F66145" w:rsidRPr="003A1174">
        <w:rPr>
          <w:rFonts w:ascii="Garamond" w:hAnsi="Garamond" w:cs="Arial"/>
          <w:lang w:val="pt-PT"/>
        </w:rPr>
        <w:t xml:space="preserve">s </w:t>
      </w:r>
      <w:r w:rsidR="000672E8" w:rsidRPr="003A1174">
        <w:rPr>
          <w:rFonts w:ascii="Garamond" w:hAnsi="Garamond" w:cs="Arial"/>
          <w:lang w:val="pt-PT"/>
        </w:rPr>
        <w:t>e</w:t>
      </w:r>
      <w:r w:rsidR="00955D60" w:rsidRPr="003A1174">
        <w:rPr>
          <w:rFonts w:ascii="Garamond" w:hAnsi="Garamond" w:cs="Arial"/>
          <w:lang w:val="pt-PT"/>
        </w:rPr>
        <w:t xml:space="preserve"> </w:t>
      </w:r>
      <w:r w:rsidR="008278C4" w:rsidRPr="003A1174">
        <w:rPr>
          <w:rFonts w:ascii="Garamond" w:hAnsi="Garamond" w:cs="Arial"/>
          <w:lang w:val="pt-PT"/>
        </w:rPr>
        <w:t>pessoal</w:t>
      </w:r>
      <w:r w:rsidR="00955D60" w:rsidRPr="003A1174">
        <w:rPr>
          <w:rFonts w:ascii="Garamond" w:hAnsi="Garamond" w:cs="Arial"/>
          <w:lang w:val="pt-PT"/>
        </w:rPr>
        <w:t xml:space="preserve"> de </w:t>
      </w:r>
      <w:r w:rsidR="00791197" w:rsidRPr="003A1174">
        <w:rPr>
          <w:rFonts w:ascii="Garamond" w:hAnsi="Garamond" w:cs="Arial"/>
          <w:lang w:val="pt-PT"/>
        </w:rPr>
        <w:t>apoio</w:t>
      </w:r>
      <w:r w:rsidR="00F66145" w:rsidRPr="003A1174">
        <w:rPr>
          <w:rFonts w:ascii="Garamond" w:hAnsi="Garamond" w:cs="Arial"/>
          <w:lang w:val="pt-PT"/>
        </w:rPr>
        <w:t xml:space="preserve"> d</w:t>
      </w:r>
      <w:r w:rsidR="00955D60" w:rsidRPr="003A1174">
        <w:rPr>
          <w:rFonts w:ascii="Garamond" w:hAnsi="Garamond" w:cs="Arial"/>
          <w:lang w:val="pt-PT"/>
        </w:rPr>
        <w:t xml:space="preserve">a </w:t>
      </w:r>
      <w:r w:rsidR="00FC1F7F" w:rsidRPr="003A1174">
        <w:rPr>
          <w:rFonts w:ascii="Garamond" w:hAnsi="Garamond" w:cs="Arial"/>
          <w:lang w:val="pt-PT"/>
        </w:rPr>
        <w:t>Comissão</w:t>
      </w:r>
      <w:r w:rsidR="00955D60" w:rsidRPr="003A1174">
        <w:rPr>
          <w:rFonts w:ascii="Garamond" w:hAnsi="Garamond" w:cs="Arial"/>
          <w:lang w:val="pt-PT"/>
        </w:rPr>
        <w:t xml:space="preserve"> de </w:t>
      </w:r>
      <w:r w:rsidR="00FC1F7F" w:rsidRPr="003A1174">
        <w:rPr>
          <w:rFonts w:ascii="Garamond" w:hAnsi="Garamond" w:cs="Arial"/>
          <w:lang w:val="pt-PT"/>
        </w:rPr>
        <w:t>Justiça</w:t>
      </w:r>
      <w:r w:rsidR="00955D60" w:rsidRPr="003A1174">
        <w:rPr>
          <w:rFonts w:ascii="Garamond" w:hAnsi="Garamond" w:cs="Arial"/>
          <w:lang w:val="pt-PT"/>
        </w:rPr>
        <w:t xml:space="preserve"> de Género </w:t>
      </w:r>
      <w:r w:rsidR="00E85E59" w:rsidRPr="003A1174">
        <w:rPr>
          <w:rFonts w:ascii="Garamond" w:hAnsi="Garamond" w:cs="Arial"/>
          <w:lang w:val="pt-PT"/>
        </w:rPr>
        <w:t>do</w:t>
      </w:r>
      <w:r w:rsidR="00955D60" w:rsidRPr="003A1174">
        <w:rPr>
          <w:rFonts w:ascii="Garamond" w:hAnsi="Garamond" w:cs="Arial"/>
          <w:lang w:val="pt-PT"/>
        </w:rPr>
        <w:t xml:space="preserve"> Poder Judicial.</w:t>
      </w:r>
    </w:p>
    <w:p w:rsidR="00955D60" w:rsidRPr="003A1174" w:rsidRDefault="00F66145" w:rsidP="008719D4">
      <w:pPr>
        <w:pStyle w:val="NormalWeb"/>
        <w:numPr>
          <w:ilvl w:val="0"/>
          <w:numId w:val="42"/>
        </w:numPr>
        <w:spacing w:after="100" w:afterAutospacing="1"/>
        <w:jc w:val="both"/>
        <w:rPr>
          <w:rFonts w:ascii="Garamond" w:hAnsi="Garamond" w:cs="Arial"/>
          <w:lang w:val="pt-PT"/>
        </w:rPr>
      </w:pPr>
      <w:r w:rsidRPr="003A1174">
        <w:rPr>
          <w:rFonts w:ascii="Garamond" w:hAnsi="Garamond" w:cs="Arial"/>
          <w:lang w:val="pt-PT"/>
        </w:rPr>
        <w:t xml:space="preserve">Concebeu-se </w:t>
      </w:r>
      <w:r w:rsidR="00955D60" w:rsidRPr="003A1174">
        <w:rPr>
          <w:rFonts w:ascii="Garamond" w:hAnsi="Garamond" w:cs="Arial"/>
          <w:lang w:val="pt-PT"/>
        </w:rPr>
        <w:t xml:space="preserve">a página </w:t>
      </w:r>
      <w:r w:rsidR="00955D60" w:rsidRPr="0076509A">
        <w:rPr>
          <w:rFonts w:ascii="Garamond" w:hAnsi="Garamond" w:cs="Arial"/>
          <w:i/>
          <w:lang w:val="pt-PT"/>
        </w:rPr>
        <w:t>web</w:t>
      </w:r>
      <w:r w:rsidR="00955D60" w:rsidRPr="003A1174">
        <w:rPr>
          <w:rFonts w:ascii="Garamond" w:hAnsi="Garamond" w:cs="Arial"/>
          <w:lang w:val="pt-PT"/>
        </w:rPr>
        <w:t xml:space="preserve"> </w:t>
      </w:r>
      <w:r w:rsidR="002C7510" w:rsidRPr="003A1174">
        <w:rPr>
          <w:rFonts w:ascii="Garamond" w:hAnsi="Garamond" w:cs="Arial"/>
          <w:iCs/>
          <w:lang w:val="pt-PT"/>
        </w:rPr>
        <w:t>Rede</w:t>
      </w:r>
      <w:r w:rsidR="00955D60" w:rsidRPr="003A1174">
        <w:rPr>
          <w:rFonts w:ascii="Garamond" w:hAnsi="Garamond" w:cs="Arial"/>
          <w:iCs/>
          <w:lang w:val="pt-PT"/>
        </w:rPr>
        <w:t xml:space="preserve"> </w:t>
      </w:r>
      <w:r w:rsidR="00FC1F7F" w:rsidRPr="003A1174">
        <w:rPr>
          <w:rFonts w:ascii="Garamond" w:hAnsi="Garamond" w:cs="Arial"/>
          <w:iCs/>
          <w:lang w:val="pt-PT"/>
        </w:rPr>
        <w:t>Justiça</w:t>
      </w:r>
      <w:r w:rsidR="00955D60" w:rsidRPr="003A1174">
        <w:rPr>
          <w:rFonts w:ascii="Garamond" w:hAnsi="Garamond" w:cs="Arial"/>
          <w:iCs/>
          <w:lang w:val="pt-PT"/>
        </w:rPr>
        <w:t xml:space="preserve"> </w:t>
      </w:r>
      <w:r w:rsidR="00AF192F" w:rsidRPr="003A1174">
        <w:rPr>
          <w:rFonts w:ascii="Garamond" w:hAnsi="Garamond" w:cs="Arial"/>
          <w:iCs/>
          <w:lang w:val="pt-PT"/>
        </w:rPr>
        <w:t>Mulher</w:t>
      </w:r>
      <w:r w:rsidR="00955D60" w:rsidRPr="003A1174">
        <w:rPr>
          <w:rFonts w:ascii="Garamond" w:hAnsi="Garamond" w:cs="Arial"/>
          <w:lang w:val="pt-PT"/>
        </w:rPr>
        <w:t xml:space="preserve">, como </w:t>
      </w:r>
      <w:r w:rsidR="003F012B" w:rsidRPr="003A1174">
        <w:rPr>
          <w:rFonts w:ascii="Garamond" w:hAnsi="Garamond" w:cs="Arial"/>
          <w:lang w:val="pt-PT"/>
        </w:rPr>
        <w:t>órgão</w:t>
      </w:r>
      <w:r w:rsidR="00955D60" w:rsidRPr="003A1174">
        <w:rPr>
          <w:rFonts w:ascii="Garamond" w:hAnsi="Garamond" w:cs="Arial"/>
          <w:lang w:val="pt-PT"/>
        </w:rPr>
        <w:t xml:space="preserve"> </w:t>
      </w:r>
      <w:r w:rsidR="0080402D" w:rsidRPr="003A1174">
        <w:rPr>
          <w:rFonts w:ascii="Garamond" w:hAnsi="Garamond" w:cs="Arial"/>
          <w:lang w:val="pt-PT"/>
        </w:rPr>
        <w:t xml:space="preserve">informativo </w:t>
      </w:r>
      <w:r w:rsidR="00955D60" w:rsidRPr="003A1174">
        <w:rPr>
          <w:rFonts w:ascii="Garamond" w:hAnsi="Garamond" w:cs="Arial"/>
          <w:lang w:val="pt-PT"/>
        </w:rPr>
        <w:t xml:space="preserve">de </w:t>
      </w:r>
      <w:r w:rsidR="002C7510" w:rsidRPr="003A1174">
        <w:rPr>
          <w:rFonts w:ascii="Garamond" w:hAnsi="Garamond" w:cs="Arial"/>
          <w:lang w:val="pt-PT"/>
        </w:rPr>
        <w:t>difusão</w:t>
      </w:r>
      <w:r w:rsidR="00955D60" w:rsidRPr="003A1174">
        <w:rPr>
          <w:rFonts w:ascii="Garamond" w:hAnsi="Garamond" w:cs="Arial"/>
          <w:lang w:val="pt-PT"/>
        </w:rPr>
        <w:t xml:space="preserve"> </w:t>
      </w:r>
      <w:r w:rsidR="00497503" w:rsidRPr="003A1174">
        <w:rPr>
          <w:rFonts w:ascii="Garamond" w:hAnsi="Garamond" w:cs="Arial"/>
          <w:lang w:val="pt-PT"/>
        </w:rPr>
        <w:t>das</w:t>
      </w:r>
      <w:r w:rsidR="00955D60" w:rsidRPr="003A1174">
        <w:rPr>
          <w:rFonts w:ascii="Garamond" w:hAnsi="Garamond" w:cs="Arial"/>
          <w:lang w:val="pt-PT"/>
        </w:rPr>
        <w:t xml:space="preserve"> políticas implementadas</w:t>
      </w:r>
      <w:r w:rsidR="0076509A">
        <w:rPr>
          <w:rFonts w:ascii="Garamond" w:hAnsi="Garamond" w:cs="Arial"/>
          <w:lang w:val="pt-PT"/>
        </w:rPr>
        <w:t>,</w:t>
      </w:r>
      <w:r w:rsidR="00955D60" w:rsidRPr="003A1174">
        <w:rPr>
          <w:rFonts w:ascii="Garamond" w:hAnsi="Garamond" w:cs="Arial"/>
          <w:lang w:val="pt-PT"/>
        </w:rPr>
        <w:t xml:space="preserve"> </w:t>
      </w:r>
      <w:r w:rsidR="009A0CC2" w:rsidRPr="003A1174">
        <w:rPr>
          <w:rFonts w:ascii="Garamond" w:hAnsi="Garamond" w:cs="Arial"/>
          <w:lang w:val="pt-PT"/>
        </w:rPr>
        <w:t>através</w:t>
      </w:r>
      <w:r w:rsidR="00955D60" w:rsidRPr="003A1174">
        <w:rPr>
          <w:rFonts w:ascii="Garamond" w:hAnsi="Garamond" w:cs="Arial"/>
          <w:lang w:val="pt-PT"/>
        </w:rPr>
        <w:t xml:space="preserve"> </w:t>
      </w:r>
      <w:r w:rsidR="00497503" w:rsidRPr="003A1174">
        <w:rPr>
          <w:rFonts w:ascii="Garamond" w:hAnsi="Garamond" w:cs="Arial"/>
          <w:lang w:val="pt-PT"/>
        </w:rPr>
        <w:t>das</w:t>
      </w:r>
      <w:r w:rsidR="00955D60" w:rsidRPr="003A1174">
        <w:rPr>
          <w:rFonts w:ascii="Garamond" w:hAnsi="Garamond" w:cs="Arial"/>
          <w:lang w:val="pt-PT"/>
        </w:rPr>
        <w:t xml:space="preserve"> redes </w:t>
      </w:r>
      <w:r w:rsidR="003F012B" w:rsidRPr="003A1174">
        <w:rPr>
          <w:rFonts w:ascii="Garamond" w:hAnsi="Garamond" w:cs="Arial"/>
          <w:lang w:val="pt-PT"/>
        </w:rPr>
        <w:t>sociais</w:t>
      </w:r>
      <w:r w:rsidR="00955D60" w:rsidRPr="003A1174">
        <w:rPr>
          <w:rFonts w:ascii="Garamond" w:hAnsi="Garamond" w:cs="Arial"/>
          <w:lang w:val="pt-PT"/>
        </w:rPr>
        <w:t xml:space="preserve">. </w:t>
      </w:r>
    </w:p>
    <w:p w:rsidR="00955D60" w:rsidRPr="003A1174" w:rsidRDefault="0076509A" w:rsidP="008719D4">
      <w:pPr>
        <w:pStyle w:val="NormalWeb"/>
        <w:numPr>
          <w:ilvl w:val="0"/>
          <w:numId w:val="42"/>
        </w:numPr>
        <w:spacing w:after="100" w:afterAutospacing="1"/>
        <w:jc w:val="both"/>
        <w:rPr>
          <w:rFonts w:ascii="Garamond" w:hAnsi="Garamond" w:cs="Arial"/>
          <w:lang w:val="pt-PT"/>
        </w:rPr>
      </w:pPr>
      <w:r>
        <w:rPr>
          <w:rFonts w:ascii="Garamond" w:hAnsi="Garamond" w:cs="Arial"/>
          <w:bCs/>
          <w:lang w:val="pt-PT"/>
        </w:rPr>
        <w:t xml:space="preserve">Promoveram-se </w:t>
      </w:r>
      <w:r w:rsidR="00F66145" w:rsidRPr="003A1174">
        <w:rPr>
          <w:rFonts w:ascii="Garamond" w:hAnsi="Garamond" w:cs="Arial"/>
          <w:lang w:val="pt-PT"/>
        </w:rPr>
        <w:t xml:space="preserve">conferências, </w:t>
      </w:r>
      <w:r w:rsidR="00955D60" w:rsidRPr="003A1174">
        <w:rPr>
          <w:rFonts w:ascii="Garamond" w:hAnsi="Garamond" w:cs="Arial"/>
          <w:lang w:val="pt-PT"/>
        </w:rPr>
        <w:t>f</w:t>
      </w:r>
      <w:r w:rsidR="00F66145" w:rsidRPr="003A1174">
        <w:rPr>
          <w:rFonts w:ascii="Garamond" w:hAnsi="Garamond" w:cs="Arial"/>
          <w:lang w:val="pt-PT"/>
        </w:rPr>
        <w:t>órun</w:t>
      </w:r>
      <w:r w:rsidR="00955D60" w:rsidRPr="003A1174">
        <w:rPr>
          <w:rFonts w:ascii="Garamond" w:hAnsi="Garamond" w:cs="Arial"/>
          <w:lang w:val="pt-PT"/>
        </w:rPr>
        <w:t xml:space="preserve">s </w:t>
      </w:r>
      <w:r w:rsidR="000672E8" w:rsidRPr="003A1174">
        <w:rPr>
          <w:rFonts w:ascii="Garamond" w:hAnsi="Garamond" w:cs="Arial"/>
          <w:lang w:val="pt-PT"/>
        </w:rPr>
        <w:t>e</w:t>
      </w:r>
      <w:r w:rsidR="00955D60" w:rsidRPr="003A1174">
        <w:rPr>
          <w:rFonts w:ascii="Garamond" w:hAnsi="Garamond" w:cs="Arial"/>
          <w:lang w:val="pt-PT"/>
        </w:rPr>
        <w:t xml:space="preserve"> </w:t>
      </w:r>
      <w:r w:rsidR="00C15C97" w:rsidRPr="003A1174">
        <w:rPr>
          <w:rFonts w:ascii="Garamond" w:hAnsi="Garamond" w:cs="Arial"/>
          <w:i/>
          <w:lang w:val="pt-PT"/>
        </w:rPr>
        <w:t>ateliers</w:t>
      </w:r>
      <w:r>
        <w:rPr>
          <w:rFonts w:ascii="Garamond" w:hAnsi="Garamond" w:cs="Arial"/>
          <w:i/>
          <w:lang w:val="pt-PT"/>
        </w:rPr>
        <w:t>,</w:t>
      </w:r>
      <w:r w:rsidR="00955D60" w:rsidRPr="003A1174">
        <w:rPr>
          <w:rFonts w:ascii="Garamond" w:hAnsi="Garamond" w:cs="Arial"/>
          <w:lang w:val="pt-PT"/>
        </w:rPr>
        <w:t xml:space="preserve"> dirigidos a </w:t>
      </w:r>
      <w:r w:rsidR="00D37CF3" w:rsidRPr="003A1174">
        <w:rPr>
          <w:rFonts w:ascii="Garamond" w:hAnsi="Garamond" w:cs="Arial"/>
          <w:lang w:val="pt-PT"/>
        </w:rPr>
        <w:t>juízes</w:t>
      </w:r>
      <w:r w:rsidR="00955D60" w:rsidRPr="003A1174">
        <w:rPr>
          <w:rFonts w:ascii="Garamond" w:hAnsi="Garamond" w:cs="Arial"/>
          <w:lang w:val="pt-PT"/>
        </w:rPr>
        <w:t xml:space="preserve"> </w:t>
      </w:r>
      <w:r w:rsidR="000672E8" w:rsidRPr="003A1174">
        <w:rPr>
          <w:rFonts w:ascii="Garamond" w:hAnsi="Garamond" w:cs="Arial"/>
          <w:lang w:val="pt-PT"/>
        </w:rPr>
        <w:t>e</w:t>
      </w:r>
      <w:r w:rsidR="00955D60" w:rsidRPr="003A1174">
        <w:rPr>
          <w:rFonts w:ascii="Garamond" w:hAnsi="Garamond" w:cs="Arial"/>
          <w:lang w:val="pt-PT"/>
        </w:rPr>
        <w:t xml:space="preserve"> </w:t>
      </w:r>
      <w:r w:rsidR="00D37CF3" w:rsidRPr="003A1174">
        <w:rPr>
          <w:rFonts w:ascii="Garamond" w:hAnsi="Garamond" w:cs="Arial"/>
          <w:lang w:val="pt-PT"/>
        </w:rPr>
        <w:t>juízas</w:t>
      </w:r>
      <w:r>
        <w:rPr>
          <w:rFonts w:ascii="Garamond" w:hAnsi="Garamond" w:cs="Arial"/>
          <w:lang w:val="pt-PT"/>
        </w:rPr>
        <w:t>, tais</w:t>
      </w:r>
      <w:r w:rsidR="00955D60" w:rsidRPr="003A1174">
        <w:rPr>
          <w:rFonts w:ascii="Garamond" w:hAnsi="Garamond" w:cs="Arial"/>
          <w:lang w:val="pt-PT"/>
        </w:rPr>
        <w:t xml:space="preserve"> como</w:t>
      </w:r>
      <w:r>
        <w:rPr>
          <w:rFonts w:ascii="Garamond" w:hAnsi="Garamond" w:cs="Arial"/>
          <w:lang w:val="pt-PT"/>
        </w:rPr>
        <w:t>,</w:t>
      </w:r>
      <w:r w:rsidR="00955D60" w:rsidRPr="003A1174">
        <w:rPr>
          <w:rFonts w:ascii="Garamond" w:hAnsi="Garamond" w:cs="Arial"/>
          <w:lang w:val="pt-PT"/>
        </w:rPr>
        <w:t xml:space="preserve"> </w:t>
      </w:r>
      <w:r w:rsidR="002C7510" w:rsidRPr="003A1174">
        <w:rPr>
          <w:rFonts w:ascii="Garamond" w:hAnsi="Garamond" w:cs="Arial"/>
          <w:lang w:val="pt-PT"/>
        </w:rPr>
        <w:t>espaços</w:t>
      </w:r>
      <w:r w:rsidR="00955D60" w:rsidRPr="003A1174">
        <w:rPr>
          <w:rFonts w:ascii="Garamond" w:hAnsi="Garamond" w:cs="Arial"/>
          <w:lang w:val="pt-PT"/>
        </w:rPr>
        <w:t xml:space="preserve"> de </w:t>
      </w:r>
      <w:r w:rsidR="00964875" w:rsidRPr="003A1174">
        <w:rPr>
          <w:rFonts w:ascii="Garamond" w:hAnsi="Garamond" w:cs="Arial"/>
          <w:lang w:val="pt-PT"/>
        </w:rPr>
        <w:t>divulgação</w:t>
      </w:r>
      <w:r w:rsidR="00955D60" w:rsidRPr="003A1174">
        <w:rPr>
          <w:rFonts w:ascii="Garamond" w:hAnsi="Garamond" w:cs="Arial"/>
          <w:lang w:val="pt-PT"/>
        </w:rPr>
        <w:t xml:space="preserve">, </w:t>
      </w:r>
      <w:r w:rsidR="00AB6522" w:rsidRPr="003A1174">
        <w:rPr>
          <w:rFonts w:ascii="Garamond" w:hAnsi="Garamond" w:cs="Arial"/>
          <w:lang w:val="pt-PT"/>
        </w:rPr>
        <w:t>avaliação</w:t>
      </w:r>
      <w:r w:rsidR="00955D60" w:rsidRPr="003A1174">
        <w:rPr>
          <w:rFonts w:ascii="Garamond" w:hAnsi="Garamond" w:cs="Arial"/>
          <w:lang w:val="pt-PT"/>
        </w:rPr>
        <w:t xml:space="preserve"> </w:t>
      </w:r>
      <w:r w:rsidR="000672E8" w:rsidRPr="003A1174">
        <w:rPr>
          <w:rFonts w:ascii="Garamond" w:hAnsi="Garamond" w:cs="Arial"/>
          <w:lang w:val="pt-PT"/>
        </w:rPr>
        <w:t>e</w:t>
      </w:r>
      <w:r w:rsidR="00955D60" w:rsidRPr="003A1174">
        <w:rPr>
          <w:rFonts w:ascii="Garamond" w:hAnsi="Garamond" w:cs="Arial"/>
          <w:lang w:val="pt-PT"/>
        </w:rPr>
        <w:t xml:space="preserve"> </w:t>
      </w:r>
      <w:r>
        <w:rPr>
          <w:rFonts w:ascii="Garamond" w:hAnsi="Garamond" w:cs="Arial"/>
          <w:lang w:val="pt-PT"/>
        </w:rPr>
        <w:t xml:space="preserve">acompanhamento </w:t>
      </w:r>
      <w:r w:rsidR="00955D60" w:rsidRPr="003A1174">
        <w:rPr>
          <w:rFonts w:ascii="Garamond" w:hAnsi="Garamond" w:cs="Arial"/>
          <w:lang w:val="pt-PT"/>
        </w:rPr>
        <w:t xml:space="preserve">da </w:t>
      </w:r>
      <w:r w:rsidR="00682C71" w:rsidRPr="003A1174">
        <w:rPr>
          <w:rFonts w:ascii="Garamond" w:hAnsi="Garamond" w:cs="Arial"/>
          <w:lang w:val="pt-PT"/>
        </w:rPr>
        <w:t>jurisprudência</w:t>
      </w:r>
      <w:r w:rsidR="00955D60" w:rsidRPr="003A1174">
        <w:rPr>
          <w:rFonts w:ascii="Garamond" w:hAnsi="Garamond" w:cs="Arial"/>
          <w:lang w:val="pt-PT"/>
        </w:rPr>
        <w:t xml:space="preserve"> vinculante</w:t>
      </w:r>
      <w:r>
        <w:rPr>
          <w:rFonts w:ascii="Garamond" w:hAnsi="Garamond" w:cs="Arial"/>
          <w:lang w:val="pt-PT"/>
        </w:rPr>
        <w:t>,</w:t>
      </w:r>
      <w:r w:rsidR="00955D60" w:rsidRPr="003A1174">
        <w:rPr>
          <w:rFonts w:ascii="Garamond" w:hAnsi="Garamond" w:cs="Arial"/>
          <w:lang w:val="pt-PT"/>
        </w:rPr>
        <w:t xml:space="preserve"> </w:t>
      </w:r>
      <w:r w:rsidR="00F66145" w:rsidRPr="003A1174">
        <w:rPr>
          <w:rFonts w:ascii="Garamond" w:hAnsi="Garamond" w:cs="Arial"/>
          <w:lang w:val="pt-PT"/>
        </w:rPr>
        <w:t xml:space="preserve">promovidos pelo </w:t>
      </w:r>
      <w:r w:rsidR="00955D60" w:rsidRPr="003A1174">
        <w:rPr>
          <w:rFonts w:ascii="Garamond" w:hAnsi="Garamond" w:cs="Arial"/>
          <w:lang w:val="pt-PT"/>
        </w:rPr>
        <w:t xml:space="preserve">Supremo </w:t>
      </w:r>
      <w:r w:rsidRPr="003A1174">
        <w:rPr>
          <w:rFonts w:ascii="Garamond" w:hAnsi="Garamond" w:cs="Arial"/>
          <w:lang w:val="pt-PT"/>
        </w:rPr>
        <w:t xml:space="preserve">Tribunal </w:t>
      </w:r>
      <w:r w:rsidR="00955D60" w:rsidRPr="003A1174">
        <w:rPr>
          <w:rFonts w:ascii="Garamond" w:hAnsi="Garamond" w:cs="Arial"/>
          <w:lang w:val="pt-PT"/>
        </w:rPr>
        <w:t xml:space="preserve">de </w:t>
      </w:r>
      <w:r w:rsidR="00FC1F7F" w:rsidRPr="003A1174">
        <w:rPr>
          <w:rFonts w:ascii="Garamond" w:hAnsi="Garamond" w:cs="Arial"/>
          <w:lang w:val="pt-PT"/>
        </w:rPr>
        <w:t>Justiça</w:t>
      </w:r>
      <w:r>
        <w:rPr>
          <w:rFonts w:ascii="Garamond" w:hAnsi="Garamond" w:cs="Arial"/>
          <w:lang w:val="pt-PT"/>
        </w:rPr>
        <w:t>,</w:t>
      </w:r>
      <w:r w:rsidR="00955D60" w:rsidRPr="003A1174">
        <w:rPr>
          <w:rFonts w:ascii="Garamond" w:hAnsi="Garamond" w:cs="Arial"/>
          <w:lang w:val="pt-PT"/>
        </w:rPr>
        <w:t xml:space="preserve"> </w:t>
      </w:r>
      <w:r w:rsidR="00F66145" w:rsidRPr="003A1174">
        <w:rPr>
          <w:rFonts w:ascii="Garamond" w:hAnsi="Garamond" w:cs="Arial"/>
          <w:lang w:val="pt-PT"/>
        </w:rPr>
        <w:t xml:space="preserve">nas </w:t>
      </w:r>
      <w:r w:rsidR="00955D60" w:rsidRPr="003A1174">
        <w:rPr>
          <w:rFonts w:ascii="Garamond" w:hAnsi="Garamond" w:cs="Arial"/>
          <w:lang w:val="pt-PT"/>
        </w:rPr>
        <w:t xml:space="preserve">Salas </w:t>
      </w:r>
      <w:r>
        <w:rPr>
          <w:rFonts w:ascii="Garamond" w:hAnsi="Garamond" w:cs="Arial"/>
          <w:lang w:val="pt-PT"/>
        </w:rPr>
        <w:t xml:space="preserve">do </w:t>
      </w:r>
      <w:r w:rsidR="00955D60" w:rsidRPr="003A1174">
        <w:rPr>
          <w:rFonts w:ascii="Garamond" w:hAnsi="Garamond" w:cs="Arial"/>
          <w:lang w:val="pt-PT"/>
        </w:rPr>
        <w:t xml:space="preserve">Constitucional </w:t>
      </w:r>
      <w:r w:rsidR="000672E8" w:rsidRPr="003A1174">
        <w:rPr>
          <w:rFonts w:ascii="Garamond" w:hAnsi="Garamond" w:cs="Arial"/>
          <w:lang w:val="pt-PT"/>
        </w:rPr>
        <w:t>e</w:t>
      </w:r>
      <w:r w:rsidR="00955D60" w:rsidRPr="003A1174">
        <w:rPr>
          <w:rFonts w:ascii="Garamond" w:hAnsi="Garamond" w:cs="Arial"/>
          <w:lang w:val="pt-PT"/>
        </w:rPr>
        <w:t xml:space="preserve"> de </w:t>
      </w:r>
      <w:r w:rsidR="005C2020" w:rsidRPr="003A1174">
        <w:rPr>
          <w:rFonts w:ascii="Garamond" w:hAnsi="Garamond" w:cs="Arial"/>
          <w:lang w:val="pt-PT"/>
        </w:rPr>
        <w:t>Cassação</w:t>
      </w:r>
      <w:r w:rsidR="00955D60" w:rsidRPr="003A1174">
        <w:rPr>
          <w:rFonts w:ascii="Garamond" w:hAnsi="Garamond" w:cs="Arial"/>
          <w:lang w:val="pt-PT"/>
        </w:rPr>
        <w:t xml:space="preserve"> Penal,</w:t>
      </w:r>
      <w:r w:rsidR="00BC14D2" w:rsidRPr="003A1174">
        <w:rPr>
          <w:rFonts w:ascii="Garamond" w:hAnsi="Garamond" w:cs="Arial"/>
          <w:lang w:val="pt-PT"/>
        </w:rPr>
        <w:t xml:space="preserve"> </w:t>
      </w:r>
      <w:r w:rsidR="00955D60" w:rsidRPr="003A1174">
        <w:rPr>
          <w:rFonts w:ascii="Garamond" w:hAnsi="Garamond" w:cs="Arial"/>
          <w:lang w:val="pt-PT"/>
        </w:rPr>
        <w:t>relativa</w:t>
      </w:r>
      <w:r w:rsidR="00F66145" w:rsidRPr="003A1174">
        <w:rPr>
          <w:rFonts w:ascii="Garamond" w:hAnsi="Garamond" w:cs="Arial"/>
          <w:lang w:val="pt-PT"/>
        </w:rPr>
        <w:t>mente</w:t>
      </w:r>
      <w:r w:rsidR="00955D60" w:rsidRPr="003A1174">
        <w:rPr>
          <w:rFonts w:ascii="Garamond" w:hAnsi="Garamond" w:cs="Arial"/>
          <w:lang w:val="pt-PT"/>
        </w:rPr>
        <w:t xml:space="preserve"> </w:t>
      </w:r>
      <w:r w:rsidR="00BB2B00" w:rsidRPr="003A1174">
        <w:rPr>
          <w:rFonts w:ascii="Garamond" w:hAnsi="Garamond" w:cs="Arial"/>
          <w:lang w:val="pt-PT"/>
        </w:rPr>
        <w:t>à</w:t>
      </w:r>
      <w:r w:rsidR="00955D60" w:rsidRPr="003A1174">
        <w:rPr>
          <w:rFonts w:ascii="Garamond" w:hAnsi="Garamond" w:cs="Arial"/>
          <w:lang w:val="pt-PT"/>
        </w:rPr>
        <w:t xml:space="preserve"> </w:t>
      </w:r>
      <w:r w:rsidR="00FC1F7F" w:rsidRPr="003A1174">
        <w:rPr>
          <w:rFonts w:ascii="Garamond" w:hAnsi="Garamond" w:cs="Arial"/>
          <w:lang w:val="pt-PT"/>
        </w:rPr>
        <w:t>justiça</w:t>
      </w:r>
      <w:r w:rsidR="00955D60" w:rsidRPr="003A1174">
        <w:rPr>
          <w:rFonts w:ascii="Garamond" w:hAnsi="Garamond" w:cs="Arial"/>
          <w:lang w:val="pt-PT"/>
        </w:rPr>
        <w:t xml:space="preserve"> de género. </w:t>
      </w:r>
      <w:r w:rsidR="00F66145" w:rsidRPr="003A1174">
        <w:rPr>
          <w:rFonts w:ascii="Garamond" w:hAnsi="Garamond" w:cs="Arial"/>
          <w:lang w:val="pt-PT"/>
        </w:rPr>
        <w:t xml:space="preserve">Efetuaram-se </w:t>
      </w:r>
      <w:r w:rsidR="00374785" w:rsidRPr="003A1174">
        <w:rPr>
          <w:rFonts w:ascii="Garamond" w:hAnsi="Garamond" w:cs="Arial"/>
          <w:lang w:val="pt-PT"/>
        </w:rPr>
        <w:t>atividades</w:t>
      </w:r>
      <w:r w:rsidR="00F66145" w:rsidRPr="003A1174">
        <w:rPr>
          <w:rFonts w:ascii="Garamond" w:hAnsi="Garamond" w:cs="Arial"/>
          <w:lang w:val="pt-PT"/>
        </w:rPr>
        <w:t xml:space="preserve"> análogas com o apoio de </w:t>
      </w:r>
      <w:r w:rsidR="002470B1" w:rsidRPr="003A1174">
        <w:rPr>
          <w:rFonts w:ascii="Garamond" w:hAnsi="Garamond" w:cs="Arial"/>
          <w:lang w:val="pt-PT"/>
        </w:rPr>
        <w:t>organizações</w:t>
      </w:r>
      <w:r w:rsidR="00955D60" w:rsidRPr="003A1174">
        <w:rPr>
          <w:rFonts w:ascii="Garamond" w:hAnsi="Garamond" w:cs="Arial"/>
          <w:lang w:val="pt-PT"/>
        </w:rPr>
        <w:t xml:space="preserve"> de </w:t>
      </w:r>
      <w:r w:rsidR="00054EE0" w:rsidRPr="003A1174">
        <w:rPr>
          <w:rFonts w:ascii="Garamond" w:hAnsi="Garamond" w:cs="Arial"/>
          <w:lang w:val="pt-PT"/>
        </w:rPr>
        <w:t>mulheres</w:t>
      </w:r>
      <w:r w:rsidR="00955D60" w:rsidRPr="003A1174">
        <w:rPr>
          <w:rFonts w:ascii="Garamond" w:hAnsi="Garamond" w:cs="Arial"/>
          <w:lang w:val="pt-PT"/>
        </w:rPr>
        <w:t xml:space="preserve">, para promover </w:t>
      </w:r>
      <w:r w:rsidR="00F66145" w:rsidRPr="003A1174">
        <w:rPr>
          <w:rFonts w:ascii="Garamond" w:hAnsi="Garamond" w:cs="Arial"/>
          <w:lang w:val="pt-PT"/>
        </w:rPr>
        <w:t>o</w:t>
      </w:r>
      <w:r w:rsidR="00955D60" w:rsidRPr="003A1174">
        <w:rPr>
          <w:rFonts w:ascii="Garamond" w:hAnsi="Garamond" w:cs="Arial"/>
          <w:lang w:val="pt-PT"/>
        </w:rPr>
        <w:t xml:space="preserve"> </w:t>
      </w:r>
      <w:r w:rsidR="00731B19" w:rsidRPr="003A1174">
        <w:rPr>
          <w:rFonts w:ascii="Garamond" w:hAnsi="Garamond" w:cs="Arial"/>
          <w:lang w:val="pt-PT"/>
        </w:rPr>
        <w:t>exercício</w:t>
      </w:r>
      <w:r w:rsidR="00955D60" w:rsidRPr="003A1174">
        <w:rPr>
          <w:rFonts w:ascii="Garamond" w:hAnsi="Garamond" w:cs="Arial"/>
          <w:lang w:val="pt-PT"/>
        </w:rPr>
        <w:t xml:space="preserve"> d</w:t>
      </w:r>
      <w:r w:rsidR="00F66145" w:rsidRPr="003A1174">
        <w:rPr>
          <w:rFonts w:ascii="Garamond" w:hAnsi="Garamond" w:cs="Arial"/>
          <w:lang w:val="pt-PT"/>
        </w:rPr>
        <w:t xml:space="preserve">o controlo </w:t>
      </w:r>
      <w:r w:rsidR="00955D60" w:rsidRPr="003A1174">
        <w:rPr>
          <w:rFonts w:ascii="Garamond" w:hAnsi="Garamond" w:cs="Arial"/>
          <w:lang w:val="pt-PT"/>
        </w:rPr>
        <w:t xml:space="preserve">social por parte </w:t>
      </w:r>
      <w:r w:rsidR="00497503" w:rsidRPr="003A1174">
        <w:rPr>
          <w:rFonts w:ascii="Garamond" w:hAnsi="Garamond" w:cs="Arial"/>
          <w:lang w:val="pt-PT"/>
        </w:rPr>
        <w:t>dos</w:t>
      </w:r>
      <w:r w:rsidR="00F66145" w:rsidRPr="003A1174">
        <w:rPr>
          <w:rFonts w:ascii="Garamond" w:hAnsi="Garamond" w:cs="Arial"/>
          <w:lang w:val="pt-PT"/>
        </w:rPr>
        <w:t xml:space="preserve"> Comités de Género</w:t>
      </w:r>
      <w:r>
        <w:rPr>
          <w:rFonts w:ascii="Garamond" w:hAnsi="Garamond" w:cs="Arial"/>
          <w:lang w:val="pt-PT"/>
        </w:rPr>
        <w:t>,</w:t>
      </w:r>
      <w:r w:rsidR="00F66145" w:rsidRPr="003A1174">
        <w:rPr>
          <w:rFonts w:ascii="Garamond" w:hAnsi="Garamond" w:cs="Arial"/>
          <w:lang w:val="pt-PT"/>
        </w:rPr>
        <w:t xml:space="preserve"> cri</w:t>
      </w:r>
      <w:r w:rsidR="00955D60" w:rsidRPr="003A1174">
        <w:rPr>
          <w:rFonts w:ascii="Garamond" w:hAnsi="Garamond" w:cs="Arial"/>
          <w:lang w:val="pt-PT"/>
        </w:rPr>
        <w:t xml:space="preserve">ados </w:t>
      </w:r>
      <w:r w:rsidR="003A391A" w:rsidRPr="003A1174">
        <w:rPr>
          <w:rFonts w:ascii="Garamond" w:hAnsi="Garamond" w:cs="Arial"/>
          <w:lang w:val="pt-PT"/>
        </w:rPr>
        <w:t>nos</w:t>
      </w:r>
      <w:r w:rsidR="00955D60" w:rsidRPr="003A1174">
        <w:rPr>
          <w:rFonts w:ascii="Garamond" w:hAnsi="Garamond" w:cs="Arial"/>
          <w:lang w:val="pt-PT"/>
        </w:rPr>
        <w:t xml:space="preserve"> </w:t>
      </w:r>
      <w:r w:rsidR="004C1496" w:rsidRPr="003A1174">
        <w:rPr>
          <w:rFonts w:ascii="Garamond" w:hAnsi="Garamond" w:cs="Arial"/>
          <w:lang w:val="pt-PT"/>
        </w:rPr>
        <w:t>Conselho</w:t>
      </w:r>
      <w:r w:rsidR="00955D60" w:rsidRPr="003A1174">
        <w:rPr>
          <w:rFonts w:ascii="Garamond" w:hAnsi="Garamond" w:cs="Arial"/>
          <w:lang w:val="pt-PT"/>
        </w:rPr>
        <w:t>s</w:t>
      </w:r>
      <w:r w:rsidR="00A62219">
        <w:rPr>
          <w:rFonts w:ascii="Garamond" w:hAnsi="Garamond" w:cs="Arial"/>
          <w:lang w:val="pt-PT"/>
        </w:rPr>
        <w:t xml:space="preserve"> </w:t>
      </w:r>
      <w:r w:rsidR="0006412D">
        <w:rPr>
          <w:rFonts w:ascii="Garamond" w:hAnsi="Garamond" w:cs="Arial"/>
          <w:lang w:val="pt-PT"/>
        </w:rPr>
        <w:t>Municipais</w:t>
      </w:r>
      <w:r w:rsidR="00955D60" w:rsidRPr="003A1174">
        <w:rPr>
          <w:rFonts w:ascii="Garamond" w:hAnsi="Garamond" w:cs="Arial"/>
          <w:lang w:val="pt-PT"/>
        </w:rPr>
        <w:t>.</w:t>
      </w:r>
    </w:p>
    <w:p w:rsidR="00955D60" w:rsidRPr="003A1174" w:rsidRDefault="00F66145" w:rsidP="00F66145">
      <w:pPr>
        <w:pStyle w:val="NormalWeb"/>
        <w:numPr>
          <w:ilvl w:val="0"/>
          <w:numId w:val="42"/>
        </w:numPr>
        <w:spacing w:after="100" w:afterAutospacing="1"/>
        <w:jc w:val="both"/>
        <w:rPr>
          <w:rFonts w:ascii="Garamond" w:hAnsi="Garamond" w:cs="Arial"/>
          <w:lang w:val="pt-PT"/>
        </w:rPr>
      </w:pPr>
      <w:r w:rsidRPr="003A1174">
        <w:rPr>
          <w:rFonts w:ascii="Garamond" w:hAnsi="Garamond" w:cs="Arial"/>
          <w:lang w:val="pt-PT"/>
        </w:rPr>
        <w:t>Também importa d</w:t>
      </w:r>
      <w:r w:rsidR="00955D60" w:rsidRPr="003A1174">
        <w:rPr>
          <w:rFonts w:ascii="Garamond" w:hAnsi="Garamond" w:cs="Arial"/>
          <w:lang w:val="pt-PT"/>
        </w:rPr>
        <w:t xml:space="preserve">estacar a </w:t>
      </w:r>
      <w:r w:rsidR="0017447A" w:rsidRPr="003A1174">
        <w:rPr>
          <w:rFonts w:ascii="Garamond" w:hAnsi="Garamond" w:cs="Arial"/>
          <w:lang w:val="pt-PT"/>
        </w:rPr>
        <w:t>participação</w:t>
      </w:r>
      <w:r w:rsidR="0076509A">
        <w:rPr>
          <w:rFonts w:ascii="Garamond" w:hAnsi="Garamond" w:cs="Arial"/>
          <w:lang w:val="pt-PT"/>
        </w:rPr>
        <w:t>,</w:t>
      </w:r>
      <w:r w:rsidR="00955D60" w:rsidRPr="003A1174">
        <w:rPr>
          <w:rFonts w:ascii="Garamond" w:hAnsi="Garamond" w:cs="Arial"/>
          <w:lang w:val="pt-PT"/>
        </w:rPr>
        <w:t xml:space="preserve"> e</w:t>
      </w:r>
      <w:r w:rsidRPr="003A1174">
        <w:rPr>
          <w:rFonts w:ascii="Garamond" w:hAnsi="Garamond" w:cs="Arial"/>
          <w:lang w:val="pt-PT"/>
        </w:rPr>
        <w:t>m</w:t>
      </w:r>
      <w:r w:rsidR="00955D60" w:rsidRPr="003A1174">
        <w:rPr>
          <w:rFonts w:ascii="Garamond" w:hAnsi="Garamond" w:cs="Arial"/>
          <w:lang w:val="pt-PT"/>
        </w:rPr>
        <w:t xml:space="preserve"> </w:t>
      </w:r>
      <w:r w:rsidR="00374785" w:rsidRPr="003A1174">
        <w:rPr>
          <w:rFonts w:ascii="Garamond" w:hAnsi="Garamond" w:cs="Arial"/>
          <w:lang w:val="pt-PT"/>
        </w:rPr>
        <w:t>atividades</w:t>
      </w:r>
      <w:r w:rsidRPr="003A1174">
        <w:rPr>
          <w:rFonts w:ascii="Garamond" w:hAnsi="Garamond" w:cs="Arial"/>
          <w:lang w:val="pt-PT"/>
        </w:rPr>
        <w:t xml:space="preserve"> formativas</w:t>
      </w:r>
      <w:r w:rsidR="0076509A">
        <w:rPr>
          <w:rFonts w:ascii="Garamond" w:hAnsi="Garamond" w:cs="Arial"/>
          <w:lang w:val="pt-PT"/>
        </w:rPr>
        <w:t>,</w:t>
      </w:r>
      <w:r w:rsidRPr="003A1174">
        <w:rPr>
          <w:rFonts w:ascii="Garamond" w:hAnsi="Garamond" w:cs="Arial"/>
          <w:lang w:val="pt-PT"/>
        </w:rPr>
        <w:t xml:space="preserve"> de todos </w:t>
      </w:r>
      <w:r w:rsidR="00955D60" w:rsidRPr="003A1174">
        <w:rPr>
          <w:rFonts w:ascii="Garamond" w:hAnsi="Garamond" w:cs="Arial"/>
          <w:lang w:val="pt-PT"/>
        </w:rPr>
        <w:t xml:space="preserve">os </w:t>
      </w:r>
      <w:r w:rsidR="003F012B" w:rsidRPr="003A1174">
        <w:rPr>
          <w:rFonts w:ascii="Garamond" w:hAnsi="Garamond" w:cs="Arial"/>
          <w:lang w:val="pt-PT"/>
        </w:rPr>
        <w:t>órgão</w:t>
      </w:r>
      <w:r w:rsidR="00955D60" w:rsidRPr="003A1174">
        <w:rPr>
          <w:rFonts w:ascii="Garamond" w:hAnsi="Garamond" w:cs="Arial"/>
          <w:lang w:val="pt-PT"/>
        </w:rPr>
        <w:t xml:space="preserve">s </w:t>
      </w:r>
      <w:r w:rsidR="00E85E59" w:rsidRPr="003A1174">
        <w:rPr>
          <w:rFonts w:ascii="Garamond" w:hAnsi="Garamond" w:cs="Arial"/>
          <w:lang w:val="pt-PT"/>
        </w:rPr>
        <w:t>do</w:t>
      </w:r>
      <w:r w:rsidR="00955D60" w:rsidRPr="003A1174">
        <w:rPr>
          <w:rFonts w:ascii="Garamond" w:hAnsi="Garamond" w:cs="Arial"/>
          <w:lang w:val="pt-PT"/>
        </w:rPr>
        <w:t xml:space="preserve"> sistema nacional da </w:t>
      </w:r>
      <w:r w:rsidR="00731B19" w:rsidRPr="003A1174">
        <w:rPr>
          <w:rFonts w:ascii="Garamond" w:hAnsi="Garamond" w:cs="Arial"/>
          <w:lang w:val="pt-PT"/>
        </w:rPr>
        <w:t>jurisdição</w:t>
      </w:r>
      <w:r w:rsidR="00955D60" w:rsidRPr="003A1174">
        <w:rPr>
          <w:rFonts w:ascii="Garamond" w:hAnsi="Garamond" w:cs="Arial"/>
          <w:lang w:val="pt-PT"/>
        </w:rPr>
        <w:t xml:space="preserve"> e</w:t>
      </w:r>
      <w:r w:rsidRPr="003A1174">
        <w:rPr>
          <w:rFonts w:ascii="Garamond" w:hAnsi="Garamond" w:cs="Arial"/>
          <w:lang w:val="pt-PT"/>
        </w:rPr>
        <w:t>m</w:t>
      </w:r>
      <w:r w:rsidR="00955D60" w:rsidRPr="003A1174">
        <w:rPr>
          <w:rFonts w:ascii="Garamond" w:hAnsi="Garamond" w:cs="Arial"/>
          <w:lang w:val="pt-PT"/>
        </w:rPr>
        <w:t xml:space="preserve"> </w:t>
      </w:r>
      <w:r w:rsidR="00EF645F" w:rsidRPr="003A1174">
        <w:rPr>
          <w:rFonts w:ascii="Garamond" w:hAnsi="Garamond" w:cs="Arial"/>
          <w:lang w:val="pt-PT"/>
        </w:rPr>
        <w:t>matéria</w:t>
      </w:r>
      <w:r w:rsidR="00955D60" w:rsidRPr="003A1174">
        <w:rPr>
          <w:rFonts w:ascii="Garamond" w:hAnsi="Garamond" w:cs="Arial"/>
          <w:lang w:val="pt-PT"/>
        </w:rPr>
        <w:t xml:space="preserve"> de delitos de </w:t>
      </w:r>
      <w:r w:rsidR="000350B1" w:rsidRPr="003A1174">
        <w:rPr>
          <w:rFonts w:ascii="Garamond" w:hAnsi="Garamond" w:cs="Arial"/>
          <w:lang w:val="pt-PT"/>
        </w:rPr>
        <w:t>violência</w:t>
      </w:r>
      <w:r w:rsidR="00955D60" w:rsidRPr="003A1174">
        <w:rPr>
          <w:rFonts w:ascii="Garamond" w:hAnsi="Garamond" w:cs="Arial"/>
          <w:lang w:val="pt-PT"/>
        </w:rPr>
        <w:t xml:space="preserve"> </w:t>
      </w:r>
      <w:r w:rsidR="00BB2B00" w:rsidRPr="003A1174">
        <w:rPr>
          <w:rFonts w:ascii="Garamond" w:hAnsi="Garamond" w:cs="Arial"/>
          <w:lang w:val="pt-PT"/>
        </w:rPr>
        <w:t>contra a</w:t>
      </w:r>
      <w:r w:rsidR="00955D60" w:rsidRPr="003A1174">
        <w:rPr>
          <w:rFonts w:ascii="Garamond" w:hAnsi="Garamond" w:cs="Arial"/>
          <w:lang w:val="pt-PT"/>
        </w:rPr>
        <w:t xml:space="preserve"> </w:t>
      </w:r>
      <w:r w:rsidR="00AF192F" w:rsidRPr="003A1174">
        <w:rPr>
          <w:rFonts w:ascii="Garamond" w:hAnsi="Garamond" w:cs="Arial"/>
          <w:lang w:val="pt-PT"/>
        </w:rPr>
        <w:t>mulher</w:t>
      </w:r>
      <w:r w:rsidR="00955D60" w:rsidRPr="003A1174">
        <w:rPr>
          <w:rFonts w:ascii="Garamond" w:hAnsi="Garamond" w:cs="Arial"/>
          <w:lang w:val="pt-PT"/>
        </w:rPr>
        <w:t xml:space="preserve">, como </w:t>
      </w:r>
      <w:r w:rsidR="00D75A07" w:rsidRPr="003A1174">
        <w:rPr>
          <w:rFonts w:ascii="Garamond" w:hAnsi="Garamond" w:cs="Arial"/>
          <w:lang w:val="pt-PT"/>
        </w:rPr>
        <w:t>são</w:t>
      </w:r>
      <w:r w:rsidRPr="003A1174">
        <w:rPr>
          <w:rFonts w:ascii="Garamond" w:hAnsi="Garamond" w:cs="Arial"/>
          <w:lang w:val="pt-PT"/>
        </w:rPr>
        <w:t xml:space="preserve"> </w:t>
      </w:r>
      <w:r w:rsidR="00955D60" w:rsidRPr="003A1174">
        <w:rPr>
          <w:rFonts w:ascii="Garamond" w:hAnsi="Garamond" w:cs="Arial"/>
          <w:lang w:val="pt-PT"/>
        </w:rPr>
        <w:t xml:space="preserve">a </w:t>
      </w:r>
      <w:r w:rsidR="00C04CA4" w:rsidRPr="003A1174">
        <w:rPr>
          <w:rFonts w:ascii="Garamond" w:hAnsi="Garamond" w:cs="Arial"/>
          <w:lang w:val="pt-PT"/>
        </w:rPr>
        <w:t>Provedoria de Justiça</w:t>
      </w:r>
      <w:r w:rsidR="00955D60" w:rsidRPr="003A1174">
        <w:rPr>
          <w:rFonts w:ascii="Garamond" w:hAnsi="Garamond" w:cs="Arial"/>
          <w:lang w:val="pt-PT"/>
        </w:rPr>
        <w:t xml:space="preserve"> (DdP), </w:t>
      </w:r>
      <w:r w:rsidRPr="003A1174">
        <w:rPr>
          <w:rFonts w:ascii="Garamond" w:hAnsi="Garamond" w:cs="Arial"/>
          <w:lang w:val="pt-PT"/>
        </w:rPr>
        <w:t>o</w:t>
      </w:r>
      <w:r w:rsidR="0080402D" w:rsidRPr="003A1174">
        <w:rPr>
          <w:rFonts w:ascii="Garamond" w:hAnsi="Garamond" w:cs="Arial"/>
          <w:lang w:val="pt-PT"/>
        </w:rPr>
        <w:t xml:space="preserve"> </w:t>
      </w:r>
      <w:r w:rsidR="00D77C19" w:rsidRPr="003A1174">
        <w:rPr>
          <w:rFonts w:ascii="Garamond" w:hAnsi="Garamond" w:cs="Arial"/>
          <w:lang w:val="pt-PT"/>
        </w:rPr>
        <w:t>Ministério</w:t>
      </w:r>
      <w:r w:rsidRPr="003A1174">
        <w:rPr>
          <w:rFonts w:ascii="Garamond" w:hAnsi="Garamond" w:cs="Arial"/>
          <w:lang w:val="pt-PT"/>
        </w:rPr>
        <w:t xml:space="preserve"> Público (MP), </w:t>
      </w:r>
      <w:r w:rsidR="00955D60" w:rsidRPr="003A1174">
        <w:rPr>
          <w:rFonts w:ascii="Garamond" w:hAnsi="Garamond" w:cs="Arial"/>
          <w:lang w:val="pt-PT"/>
        </w:rPr>
        <w:t xml:space="preserve">a </w:t>
      </w:r>
      <w:r w:rsidR="00C30647" w:rsidRPr="003A1174">
        <w:rPr>
          <w:rFonts w:ascii="Garamond" w:hAnsi="Garamond" w:cs="Arial"/>
          <w:lang w:val="pt-PT"/>
        </w:rPr>
        <w:t>Assembleia</w:t>
      </w:r>
      <w:r w:rsidR="00955D60" w:rsidRPr="003A1174">
        <w:rPr>
          <w:rFonts w:ascii="Garamond" w:hAnsi="Garamond" w:cs="Arial"/>
          <w:lang w:val="pt-PT"/>
        </w:rPr>
        <w:t xml:space="preserve"> Nacional (AN) </w:t>
      </w:r>
      <w:r w:rsidR="000672E8" w:rsidRPr="003A1174">
        <w:rPr>
          <w:rFonts w:ascii="Garamond" w:hAnsi="Garamond" w:cs="Arial"/>
          <w:lang w:val="pt-PT"/>
        </w:rPr>
        <w:t>e</w:t>
      </w:r>
      <w:r w:rsidR="00955D60" w:rsidRPr="003A1174">
        <w:rPr>
          <w:rFonts w:ascii="Garamond" w:hAnsi="Garamond" w:cs="Arial"/>
          <w:lang w:val="pt-PT"/>
        </w:rPr>
        <w:t xml:space="preserve"> </w:t>
      </w:r>
      <w:r w:rsidR="0080402D" w:rsidRPr="003A1174">
        <w:rPr>
          <w:rFonts w:ascii="Garamond" w:hAnsi="Garamond" w:cs="Arial"/>
          <w:lang w:val="pt-PT"/>
        </w:rPr>
        <w:t xml:space="preserve">a </w:t>
      </w:r>
      <w:r w:rsidR="002C7510" w:rsidRPr="003A1174">
        <w:rPr>
          <w:rFonts w:ascii="Garamond" w:hAnsi="Garamond" w:cs="Arial"/>
          <w:lang w:val="pt-PT"/>
        </w:rPr>
        <w:t>Defesa</w:t>
      </w:r>
      <w:r w:rsidR="00955D60" w:rsidRPr="003A1174">
        <w:rPr>
          <w:rFonts w:ascii="Garamond" w:hAnsi="Garamond" w:cs="Arial"/>
          <w:lang w:val="pt-PT"/>
        </w:rPr>
        <w:t xml:space="preserve"> Pública.</w:t>
      </w:r>
      <w:r w:rsidR="00955D60" w:rsidRPr="003A1174">
        <w:rPr>
          <w:rStyle w:val="Refdenotaalpie"/>
          <w:rFonts w:ascii="Garamond" w:hAnsi="Garamond" w:cs="Arial"/>
        </w:rPr>
        <w:footnoteReference w:id="147"/>
      </w:r>
    </w:p>
    <w:p w:rsidR="00CA39B2" w:rsidRPr="003A1174" w:rsidRDefault="005D38DC" w:rsidP="008719D4">
      <w:pPr>
        <w:pStyle w:val="Ttulo2"/>
        <w:numPr>
          <w:ilvl w:val="1"/>
          <w:numId w:val="54"/>
        </w:numPr>
        <w:rPr>
          <w:rFonts w:ascii="Garamond" w:hAnsi="Garamond"/>
          <w:sz w:val="24"/>
          <w:szCs w:val="24"/>
        </w:rPr>
      </w:pPr>
      <w:bookmarkStart w:id="70" w:name="_Toc421529757"/>
      <w:r w:rsidRPr="003A1174">
        <w:rPr>
          <w:rFonts w:ascii="Garamond" w:hAnsi="Garamond"/>
          <w:sz w:val="24"/>
          <w:szCs w:val="24"/>
        </w:rPr>
        <w:t>Aspeto</w:t>
      </w:r>
      <w:r w:rsidR="00AB405A" w:rsidRPr="003A1174">
        <w:rPr>
          <w:rFonts w:ascii="Garamond" w:hAnsi="Garamond"/>
          <w:sz w:val="24"/>
          <w:szCs w:val="24"/>
        </w:rPr>
        <w:t xml:space="preserve">s </w:t>
      </w:r>
      <w:r w:rsidR="00F66145" w:rsidRPr="003A1174">
        <w:rPr>
          <w:rFonts w:ascii="Garamond" w:hAnsi="Garamond"/>
          <w:sz w:val="24"/>
          <w:szCs w:val="24"/>
        </w:rPr>
        <w:t>orçamentais</w:t>
      </w:r>
      <w:bookmarkEnd w:id="70"/>
    </w:p>
    <w:p w:rsidR="00CA39B2" w:rsidRPr="003A1174" w:rsidRDefault="00F66145" w:rsidP="008719D4">
      <w:pPr>
        <w:pStyle w:val="Predeterminado"/>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Ne</w:t>
      </w:r>
      <w:r w:rsidR="00CB05FB" w:rsidRPr="003A1174">
        <w:rPr>
          <w:rFonts w:ascii="Garamond" w:hAnsi="Garamond" w:cs="Arial"/>
          <w:color w:val="auto"/>
          <w:sz w:val="24"/>
          <w:szCs w:val="24"/>
          <w:lang w:val="pt-PT"/>
        </w:rPr>
        <w:t xml:space="preserve">ste </w:t>
      </w:r>
      <w:r w:rsidR="00CF3B7E" w:rsidRPr="003A1174">
        <w:rPr>
          <w:rFonts w:ascii="Garamond" w:hAnsi="Garamond" w:cs="Arial"/>
          <w:color w:val="auto"/>
          <w:sz w:val="24"/>
          <w:szCs w:val="24"/>
          <w:lang w:val="pt-PT"/>
        </w:rPr>
        <w:t>c</w:t>
      </w:r>
      <w:r w:rsidR="00CB05FB" w:rsidRPr="003A1174">
        <w:rPr>
          <w:rFonts w:ascii="Garamond" w:hAnsi="Garamond" w:cs="Arial"/>
          <w:color w:val="auto"/>
          <w:sz w:val="24"/>
          <w:szCs w:val="24"/>
          <w:lang w:val="pt-PT"/>
        </w:rPr>
        <w:t>apítulo</w:t>
      </w:r>
      <w:r w:rsidR="0076509A">
        <w:rPr>
          <w:rFonts w:ascii="Garamond" w:hAnsi="Garamond" w:cs="Arial"/>
          <w:color w:val="auto"/>
          <w:sz w:val="24"/>
          <w:szCs w:val="24"/>
          <w:lang w:val="pt-PT"/>
        </w:rPr>
        <w:t>,</w:t>
      </w:r>
      <w:r w:rsidR="00CB05FB" w:rsidRPr="003A1174">
        <w:rPr>
          <w:rFonts w:ascii="Garamond" w:hAnsi="Garamond" w:cs="Arial"/>
          <w:color w:val="auto"/>
          <w:sz w:val="24"/>
          <w:szCs w:val="24"/>
          <w:lang w:val="pt-PT"/>
        </w:rPr>
        <w:t xml:space="preserve"> </w:t>
      </w:r>
      <w:r w:rsidR="00CF3B7E" w:rsidRPr="003A1174">
        <w:rPr>
          <w:rFonts w:ascii="Garamond" w:hAnsi="Garamond" w:cs="Arial"/>
          <w:color w:val="auto"/>
          <w:sz w:val="24"/>
          <w:szCs w:val="24"/>
          <w:lang w:val="pt-PT"/>
        </w:rPr>
        <w:t>reco</w:t>
      </w:r>
      <w:r w:rsidRPr="003A1174">
        <w:rPr>
          <w:rFonts w:ascii="Garamond" w:hAnsi="Garamond" w:cs="Arial"/>
          <w:color w:val="auto"/>
          <w:sz w:val="24"/>
          <w:szCs w:val="24"/>
          <w:lang w:val="pt-PT"/>
        </w:rPr>
        <w:t xml:space="preserve">lhemos </w:t>
      </w:r>
      <w:r w:rsidR="0017447A" w:rsidRPr="003A1174">
        <w:rPr>
          <w:rFonts w:ascii="Garamond" w:hAnsi="Garamond" w:cs="Arial"/>
          <w:color w:val="auto"/>
          <w:sz w:val="24"/>
          <w:szCs w:val="24"/>
          <w:lang w:val="pt-PT"/>
        </w:rPr>
        <w:t>informação</w:t>
      </w:r>
      <w:r w:rsidR="00CB05FB" w:rsidRPr="003A1174">
        <w:rPr>
          <w:rFonts w:ascii="Garamond" w:hAnsi="Garamond" w:cs="Arial"/>
          <w:color w:val="auto"/>
          <w:sz w:val="24"/>
          <w:szCs w:val="24"/>
          <w:lang w:val="pt-PT"/>
        </w:rPr>
        <w:t xml:space="preserve"> acerca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aumento ou di</w:t>
      </w:r>
      <w:r w:rsidR="00CA39B2" w:rsidRPr="003A1174">
        <w:rPr>
          <w:rFonts w:ascii="Garamond" w:hAnsi="Garamond" w:cs="Arial"/>
          <w:color w:val="auto"/>
          <w:sz w:val="24"/>
          <w:szCs w:val="24"/>
          <w:lang w:val="pt-PT"/>
        </w:rPr>
        <w:t>minu</w:t>
      </w:r>
      <w:r w:rsidRPr="003A1174">
        <w:rPr>
          <w:rFonts w:ascii="Garamond" w:hAnsi="Garamond" w:cs="Arial"/>
          <w:color w:val="auto"/>
          <w:sz w:val="24"/>
          <w:szCs w:val="24"/>
          <w:lang w:val="pt-PT"/>
        </w:rPr>
        <w:t>i</w:t>
      </w:r>
      <w:r w:rsidR="00C751FC" w:rsidRPr="003A1174">
        <w:rPr>
          <w:rFonts w:ascii="Garamond" w:hAnsi="Garamond" w:cs="Arial"/>
          <w:color w:val="auto"/>
          <w:sz w:val="24"/>
          <w:szCs w:val="24"/>
          <w:lang w:val="pt-PT"/>
        </w:rPr>
        <w:t>ção</w:t>
      </w:r>
      <w:r w:rsidR="0076509A">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76509A">
        <w:rPr>
          <w:rFonts w:ascii="Garamond" w:hAnsi="Garamond" w:cs="Arial"/>
          <w:color w:val="auto"/>
          <w:sz w:val="24"/>
          <w:szCs w:val="24"/>
          <w:lang w:val="pt-PT"/>
        </w:rPr>
        <w:t>d</w:t>
      </w:r>
      <w:r w:rsidRPr="003A1174">
        <w:rPr>
          <w:rFonts w:ascii="Garamond" w:hAnsi="Garamond" w:cs="Arial"/>
          <w:color w:val="auto"/>
          <w:sz w:val="24"/>
          <w:szCs w:val="24"/>
          <w:lang w:val="pt-PT"/>
        </w:rPr>
        <w:t xml:space="preserve">o </w:t>
      </w:r>
      <w:r w:rsidR="00946348" w:rsidRPr="003A1174">
        <w:rPr>
          <w:rFonts w:ascii="Garamond" w:hAnsi="Garamond" w:cs="Arial"/>
          <w:color w:val="auto"/>
          <w:sz w:val="24"/>
          <w:szCs w:val="24"/>
          <w:lang w:val="pt-PT"/>
        </w:rPr>
        <w:t>orçamento</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Estado</w:t>
      </w:r>
      <w:r w:rsidR="0076509A">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o </w:t>
      </w:r>
      <w:r w:rsidR="002D1021" w:rsidRPr="003A1174">
        <w:rPr>
          <w:rFonts w:ascii="Garamond" w:hAnsi="Garamond" w:cs="Arial"/>
          <w:color w:val="auto"/>
          <w:sz w:val="24"/>
          <w:szCs w:val="24"/>
          <w:lang w:val="pt-PT"/>
        </w:rPr>
        <w:t>estabelecimento</w:t>
      </w:r>
      <w:r w:rsidR="00CA39B2" w:rsidRPr="003A1174">
        <w:rPr>
          <w:rFonts w:ascii="Garamond" w:hAnsi="Garamond" w:cs="Arial"/>
          <w:color w:val="auto"/>
          <w:sz w:val="24"/>
          <w:szCs w:val="24"/>
          <w:lang w:val="pt-PT"/>
        </w:rPr>
        <w:t xml:space="preserve"> de políticas públicas que </w:t>
      </w:r>
      <w:r w:rsidR="00D75A07" w:rsidRPr="003A1174">
        <w:rPr>
          <w:rFonts w:ascii="Garamond" w:hAnsi="Garamond" w:cs="Arial"/>
          <w:color w:val="auto"/>
          <w:sz w:val="24"/>
          <w:szCs w:val="24"/>
          <w:lang w:val="pt-PT"/>
        </w:rPr>
        <w:t>contribuam</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para</w:t>
      </w:r>
      <w:r w:rsidR="00CA39B2"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garantir</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o </w:t>
      </w:r>
      <w:r w:rsidR="00886D6A" w:rsidRPr="003A1174">
        <w:rPr>
          <w:rFonts w:ascii="Garamond" w:hAnsi="Garamond" w:cs="Arial"/>
          <w:color w:val="auto"/>
          <w:sz w:val="24"/>
          <w:szCs w:val="24"/>
          <w:lang w:val="pt-PT"/>
        </w:rPr>
        <w:t>acesso</w:t>
      </w:r>
      <w:r w:rsidR="00CA39B2"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à</w:t>
      </w:r>
      <w:r w:rsidR="00CA39B2"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justiça</w:t>
      </w:r>
      <w:r w:rsidR="00CA39B2"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CA39B2"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CB05FB" w:rsidRPr="003A1174">
        <w:rPr>
          <w:rFonts w:ascii="Garamond" w:hAnsi="Garamond" w:cs="Arial"/>
          <w:color w:val="auto"/>
          <w:sz w:val="24"/>
          <w:szCs w:val="24"/>
          <w:lang w:val="pt-PT"/>
        </w:rPr>
        <w:t>.</w:t>
      </w:r>
    </w:p>
    <w:p w:rsidR="00CA39B2" w:rsidRPr="003A1174" w:rsidRDefault="00670522" w:rsidP="008719D4">
      <w:pPr>
        <w:pStyle w:val="Ttulo3"/>
        <w:spacing w:line="240" w:lineRule="auto"/>
        <w:rPr>
          <w:rFonts w:ascii="Garamond" w:hAnsi="Garamond"/>
          <w:sz w:val="24"/>
          <w:szCs w:val="24"/>
        </w:rPr>
      </w:pPr>
      <w:bookmarkStart w:id="71" w:name="_Toc421529758"/>
      <w:r w:rsidRPr="003A1174">
        <w:rPr>
          <w:rFonts w:ascii="Garamond" w:hAnsi="Garamond"/>
          <w:sz w:val="24"/>
          <w:szCs w:val="24"/>
        </w:rPr>
        <w:t>Argentina</w:t>
      </w:r>
      <w:bookmarkEnd w:id="71"/>
    </w:p>
    <w:p w:rsidR="00CA39B2" w:rsidRPr="003A1174" w:rsidRDefault="00CA39B2" w:rsidP="008719D4">
      <w:pPr>
        <w:spacing w:line="240" w:lineRule="auto"/>
        <w:jc w:val="both"/>
        <w:rPr>
          <w:rFonts w:ascii="Garamond" w:hAnsi="Garamond" w:cs="Arial"/>
          <w:sz w:val="24"/>
          <w:szCs w:val="24"/>
        </w:rPr>
      </w:pPr>
      <w:r w:rsidRPr="003A1174">
        <w:rPr>
          <w:rFonts w:ascii="Garamond" w:hAnsi="Garamond" w:cs="Arial"/>
          <w:sz w:val="24"/>
          <w:szCs w:val="24"/>
        </w:rPr>
        <w:t>N</w:t>
      </w:r>
      <w:r w:rsidR="00F66145" w:rsidRPr="003A1174">
        <w:rPr>
          <w:rFonts w:ascii="Garamond" w:hAnsi="Garamond" w:cs="Arial"/>
          <w:sz w:val="24"/>
          <w:szCs w:val="24"/>
        </w:rPr>
        <w:t>ã</w:t>
      </w:r>
      <w:r w:rsidR="0026029B" w:rsidRPr="003A1174">
        <w:rPr>
          <w:rFonts w:ascii="Garamond" w:hAnsi="Garamond" w:cs="Arial"/>
          <w:sz w:val="24"/>
          <w:szCs w:val="24"/>
        </w:rPr>
        <w:t xml:space="preserve">o </w:t>
      </w:r>
      <w:r w:rsidR="0026216A">
        <w:rPr>
          <w:rFonts w:ascii="Garamond" w:hAnsi="Garamond" w:cs="Arial"/>
          <w:sz w:val="24"/>
          <w:szCs w:val="24"/>
        </w:rPr>
        <w:t>dispõe de</w:t>
      </w:r>
      <w:r w:rsidR="0026029B" w:rsidRPr="003A1174">
        <w:rPr>
          <w:rFonts w:ascii="Garamond" w:hAnsi="Garamond" w:cs="Arial"/>
          <w:sz w:val="24"/>
          <w:szCs w:val="24"/>
        </w:rPr>
        <w:t xml:space="preserve"> </w:t>
      </w:r>
      <w:r w:rsidR="0017447A" w:rsidRPr="003A1174">
        <w:rPr>
          <w:rFonts w:ascii="Garamond" w:hAnsi="Garamond" w:cs="Arial"/>
          <w:sz w:val="24"/>
          <w:szCs w:val="24"/>
        </w:rPr>
        <w:t>informação</w:t>
      </w:r>
      <w:r w:rsidR="0026029B" w:rsidRPr="003A1174">
        <w:rPr>
          <w:rFonts w:ascii="Garamond" w:hAnsi="Garamond" w:cs="Arial"/>
          <w:sz w:val="24"/>
          <w:szCs w:val="24"/>
        </w:rPr>
        <w:t xml:space="preserve"> </w:t>
      </w:r>
      <w:r w:rsidR="002F600B">
        <w:rPr>
          <w:rFonts w:ascii="Garamond" w:hAnsi="Garamond" w:cs="Arial"/>
          <w:sz w:val="24"/>
          <w:szCs w:val="24"/>
        </w:rPr>
        <w:t>sobre este</w:t>
      </w:r>
      <w:r w:rsidR="00187AE8">
        <w:rPr>
          <w:rFonts w:ascii="Garamond" w:hAnsi="Garamond" w:cs="Arial"/>
          <w:sz w:val="24"/>
          <w:szCs w:val="24"/>
        </w:rPr>
        <w:t xml:space="preserve"> assunto</w:t>
      </w:r>
      <w:r w:rsidR="0026029B" w:rsidRPr="003A1174">
        <w:rPr>
          <w:rFonts w:ascii="Garamond" w:hAnsi="Garamond" w:cs="Arial"/>
          <w:sz w:val="24"/>
          <w:szCs w:val="24"/>
        </w:rPr>
        <w:t xml:space="preserve">. </w:t>
      </w:r>
    </w:p>
    <w:p w:rsidR="00AB405A" w:rsidRPr="003A1174" w:rsidRDefault="00C30647" w:rsidP="008719D4">
      <w:pPr>
        <w:pStyle w:val="Ttulo3"/>
        <w:spacing w:line="240" w:lineRule="auto"/>
        <w:rPr>
          <w:rFonts w:ascii="Garamond" w:hAnsi="Garamond"/>
          <w:sz w:val="24"/>
          <w:szCs w:val="24"/>
        </w:rPr>
      </w:pPr>
      <w:bookmarkStart w:id="72" w:name="_Toc421529759"/>
      <w:r w:rsidRPr="003A1174">
        <w:rPr>
          <w:rFonts w:ascii="Garamond" w:hAnsi="Garamond"/>
          <w:sz w:val="24"/>
          <w:szCs w:val="24"/>
        </w:rPr>
        <w:t>Bolívia</w:t>
      </w:r>
      <w:bookmarkEnd w:id="72"/>
    </w:p>
    <w:p w:rsidR="00AB405A" w:rsidRPr="003A1174" w:rsidRDefault="0026216A" w:rsidP="008719D4">
      <w:pPr>
        <w:spacing w:before="240" w:line="240" w:lineRule="auto"/>
        <w:jc w:val="both"/>
        <w:rPr>
          <w:rFonts w:ascii="Garamond" w:hAnsi="Garamond"/>
          <w:sz w:val="24"/>
          <w:szCs w:val="24"/>
        </w:rPr>
      </w:pPr>
      <w:r>
        <w:rPr>
          <w:rFonts w:ascii="Garamond" w:hAnsi="Garamond" w:cs="Arial"/>
          <w:sz w:val="24"/>
          <w:szCs w:val="24"/>
        </w:rPr>
        <w:t>Na Bolívia, v</w:t>
      </w:r>
      <w:r w:rsidR="00C35A24" w:rsidRPr="003A1174">
        <w:rPr>
          <w:rFonts w:ascii="Garamond" w:hAnsi="Garamond" w:cs="Arial"/>
          <w:sz w:val="24"/>
          <w:szCs w:val="24"/>
        </w:rPr>
        <w:t xml:space="preserve">erifica-se </w:t>
      </w:r>
      <w:r w:rsidR="00AB405A" w:rsidRPr="003A1174">
        <w:rPr>
          <w:rFonts w:ascii="Garamond" w:hAnsi="Garamond" w:cs="Arial"/>
          <w:sz w:val="24"/>
          <w:szCs w:val="24"/>
        </w:rPr>
        <w:t>que</w:t>
      </w:r>
      <w:r w:rsidR="002F600B">
        <w:rPr>
          <w:rFonts w:ascii="Garamond" w:hAnsi="Garamond" w:cs="Arial"/>
          <w:sz w:val="24"/>
          <w:szCs w:val="24"/>
        </w:rPr>
        <w:t>,</w:t>
      </w:r>
      <w:r w:rsidR="00AB405A" w:rsidRPr="003A1174">
        <w:rPr>
          <w:rFonts w:ascii="Garamond" w:hAnsi="Garamond" w:cs="Arial"/>
          <w:sz w:val="24"/>
          <w:szCs w:val="24"/>
        </w:rPr>
        <w:t xml:space="preserve"> </w:t>
      </w:r>
      <w:r w:rsidR="00C35A24" w:rsidRPr="003A1174">
        <w:rPr>
          <w:rFonts w:ascii="Garamond" w:hAnsi="Garamond" w:cs="Arial"/>
          <w:sz w:val="24"/>
          <w:szCs w:val="24"/>
        </w:rPr>
        <w:t xml:space="preserve">a contribuição da </w:t>
      </w:r>
      <w:r w:rsidR="00C30647" w:rsidRPr="003A1174">
        <w:rPr>
          <w:rFonts w:ascii="Garamond" w:hAnsi="Garamond" w:cs="Arial"/>
          <w:sz w:val="24"/>
          <w:szCs w:val="24"/>
        </w:rPr>
        <w:t>cooperação</w:t>
      </w:r>
      <w:r w:rsidR="00AB405A" w:rsidRPr="003A1174">
        <w:rPr>
          <w:rFonts w:ascii="Garamond" w:hAnsi="Garamond" w:cs="Arial"/>
          <w:sz w:val="24"/>
          <w:szCs w:val="24"/>
        </w:rPr>
        <w:t xml:space="preserve"> internacional</w:t>
      </w:r>
      <w:r w:rsidR="002F600B">
        <w:rPr>
          <w:rFonts w:ascii="Garamond" w:hAnsi="Garamond" w:cs="Arial"/>
          <w:sz w:val="24"/>
          <w:szCs w:val="24"/>
        </w:rPr>
        <w:t>,</w:t>
      </w:r>
      <w:r w:rsidR="00AB405A" w:rsidRPr="003A1174">
        <w:rPr>
          <w:rFonts w:ascii="Garamond" w:hAnsi="Garamond" w:cs="Arial"/>
          <w:sz w:val="24"/>
          <w:szCs w:val="24"/>
        </w:rPr>
        <w:t xml:space="preserve"> contin</w:t>
      </w:r>
      <w:r w:rsidR="00C35A24" w:rsidRPr="003A1174">
        <w:rPr>
          <w:rFonts w:ascii="Garamond" w:hAnsi="Garamond" w:cs="Arial"/>
          <w:sz w:val="24"/>
          <w:szCs w:val="24"/>
        </w:rPr>
        <w:t xml:space="preserve">ua a ser </w:t>
      </w:r>
      <w:r w:rsidR="002F600B">
        <w:rPr>
          <w:rFonts w:ascii="Garamond" w:hAnsi="Garamond" w:cs="Arial"/>
          <w:sz w:val="24"/>
          <w:szCs w:val="24"/>
        </w:rPr>
        <w:t xml:space="preserve">o principal recurso </w:t>
      </w:r>
      <w:r w:rsidR="00AB405A" w:rsidRPr="003A1174">
        <w:rPr>
          <w:rFonts w:ascii="Garamond" w:hAnsi="Garamond" w:cs="Arial"/>
          <w:sz w:val="24"/>
          <w:szCs w:val="24"/>
        </w:rPr>
        <w:t xml:space="preserve">para </w:t>
      </w:r>
      <w:r w:rsidR="00C35A24" w:rsidRPr="003A1174">
        <w:rPr>
          <w:rFonts w:ascii="Garamond" w:hAnsi="Garamond" w:cs="Arial"/>
          <w:sz w:val="24"/>
          <w:szCs w:val="24"/>
        </w:rPr>
        <w:t>fazer face aos processo</w:t>
      </w:r>
      <w:r w:rsidR="00AB405A" w:rsidRPr="003A1174">
        <w:rPr>
          <w:rFonts w:ascii="Garamond" w:hAnsi="Garamond" w:cs="Arial"/>
          <w:sz w:val="24"/>
          <w:szCs w:val="24"/>
        </w:rPr>
        <w:t xml:space="preserve">s da política de género, </w:t>
      </w:r>
      <w:r w:rsidR="00C35A24" w:rsidRPr="003A1174">
        <w:rPr>
          <w:rFonts w:ascii="Garamond" w:hAnsi="Garamond" w:cs="Arial"/>
          <w:sz w:val="24"/>
          <w:szCs w:val="24"/>
        </w:rPr>
        <w:t>embora</w:t>
      </w:r>
      <w:r w:rsidR="002F600B">
        <w:rPr>
          <w:rFonts w:ascii="Garamond" w:hAnsi="Garamond" w:cs="Arial"/>
          <w:sz w:val="24"/>
          <w:szCs w:val="24"/>
        </w:rPr>
        <w:t>,</w:t>
      </w:r>
      <w:r w:rsidR="00C35A24" w:rsidRPr="003A1174">
        <w:rPr>
          <w:rFonts w:ascii="Garamond" w:hAnsi="Garamond" w:cs="Arial"/>
          <w:sz w:val="24"/>
          <w:szCs w:val="24"/>
        </w:rPr>
        <w:t xml:space="preserve"> </w:t>
      </w:r>
      <w:r w:rsidR="00AB405A" w:rsidRPr="003A1174">
        <w:rPr>
          <w:rFonts w:ascii="Garamond" w:hAnsi="Garamond" w:cs="Arial"/>
          <w:sz w:val="24"/>
          <w:szCs w:val="24"/>
        </w:rPr>
        <w:t xml:space="preserve">a </w:t>
      </w:r>
      <w:r w:rsidR="0017447A" w:rsidRPr="003A1174">
        <w:rPr>
          <w:rFonts w:ascii="Garamond" w:hAnsi="Garamond" w:cs="Arial"/>
          <w:sz w:val="24"/>
          <w:szCs w:val="24"/>
        </w:rPr>
        <w:t>nível</w:t>
      </w:r>
      <w:r w:rsidR="00AB405A" w:rsidRPr="003A1174">
        <w:rPr>
          <w:rFonts w:ascii="Garamond" w:hAnsi="Garamond" w:cs="Arial"/>
          <w:sz w:val="24"/>
          <w:szCs w:val="24"/>
        </w:rPr>
        <w:t xml:space="preserve"> de </w:t>
      </w:r>
      <w:r w:rsidR="006C760C" w:rsidRPr="003A1174">
        <w:rPr>
          <w:rFonts w:ascii="Garamond" w:hAnsi="Garamond" w:cs="Arial"/>
          <w:sz w:val="24"/>
          <w:szCs w:val="24"/>
        </w:rPr>
        <w:t>implementação</w:t>
      </w:r>
      <w:r w:rsidR="00AB405A" w:rsidRPr="003A1174">
        <w:rPr>
          <w:rFonts w:ascii="Garamond" w:hAnsi="Garamond" w:cs="Arial"/>
          <w:sz w:val="24"/>
          <w:szCs w:val="24"/>
        </w:rPr>
        <w:t xml:space="preserve"> de </w:t>
      </w:r>
      <w:r w:rsidR="00B531F2" w:rsidRPr="003A1174">
        <w:rPr>
          <w:rFonts w:ascii="Garamond" w:hAnsi="Garamond" w:cs="Arial"/>
          <w:sz w:val="24"/>
          <w:szCs w:val="24"/>
        </w:rPr>
        <w:t>serviço</w:t>
      </w:r>
      <w:r w:rsidR="00AB405A" w:rsidRPr="003A1174">
        <w:rPr>
          <w:rFonts w:ascii="Garamond" w:hAnsi="Garamond" w:cs="Arial"/>
          <w:sz w:val="24"/>
          <w:szCs w:val="24"/>
        </w:rPr>
        <w:t>s</w:t>
      </w:r>
      <w:r w:rsidR="002F600B">
        <w:rPr>
          <w:rFonts w:ascii="Garamond" w:hAnsi="Garamond" w:cs="Arial"/>
          <w:sz w:val="24"/>
          <w:szCs w:val="24"/>
        </w:rPr>
        <w:t>,</w:t>
      </w:r>
      <w:r w:rsidR="00AB405A" w:rsidRPr="003A1174">
        <w:rPr>
          <w:rFonts w:ascii="Garamond" w:hAnsi="Garamond" w:cs="Arial"/>
          <w:sz w:val="24"/>
          <w:szCs w:val="24"/>
        </w:rPr>
        <w:t xml:space="preserve"> se </w:t>
      </w:r>
      <w:r w:rsidR="00661ADB" w:rsidRPr="003A1174">
        <w:rPr>
          <w:rFonts w:ascii="Garamond" w:hAnsi="Garamond" w:cs="Arial"/>
          <w:sz w:val="24"/>
          <w:szCs w:val="24"/>
        </w:rPr>
        <w:t>estabelec</w:t>
      </w:r>
      <w:r w:rsidR="00C35A24" w:rsidRPr="003A1174">
        <w:rPr>
          <w:rFonts w:ascii="Garamond" w:hAnsi="Garamond" w:cs="Arial"/>
          <w:sz w:val="24"/>
          <w:szCs w:val="24"/>
        </w:rPr>
        <w:t>e</w:t>
      </w:r>
      <w:r w:rsidR="002F600B">
        <w:rPr>
          <w:rFonts w:ascii="Garamond" w:hAnsi="Garamond" w:cs="Arial"/>
          <w:sz w:val="24"/>
          <w:szCs w:val="24"/>
        </w:rPr>
        <w:t>ssem</w:t>
      </w:r>
      <w:r w:rsidR="00C35A24" w:rsidRPr="003A1174">
        <w:rPr>
          <w:rFonts w:ascii="Garamond" w:hAnsi="Garamond" w:cs="Arial"/>
          <w:sz w:val="24"/>
          <w:szCs w:val="24"/>
        </w:rPr>
        <w:t xml:space="preserve"> novos postos de </w:t>
      </w:r>
      <w:r w:rsidR="006E4BFA" w:rsidRPr="003A1174">
        <w:rPr>
          <w:rFonts w:ascii="Garamond" w:hAnsi="Garamond" w:cs="Arial"/>
          <w:sz w:val="24"/>
          <w:szCs w:val="24"/>
        </w:rPr>
        <w:t>Delegados do Ministério Público</w:t>
      </w:r>
      <w:r w:rsidR="00AB405A" w:rsidRPr="003A1174">
        <w:rPr>
          <w:rFonts w:ascii="Garamond" w:hAnsi="Garamond" w:cs="Arial"/>
          <w:sz w:val="24"/>
          <w:szCs w:val="24"/>
        </w:rPr>
        <w:t xml:space="preserve"> e</w:t>
      </w:r>
      <w:r w:rsidR="00C35A24" w:rsidRPr="003A1174">
        <w:rPr>
          <w:rFonts w:ascii="Garamond" w:hAnsi="Garamond" w:cs="Arial"/>
          <w:sz w:val="24"/>
          <w:szCs w:val="24"/>
        </w:rPr>
        <w:t>m</w:t>
      </w:r>
      <w:r w:rsidR="00AB405A" w:rsidRPr="003A1174">
        <w:rPr>
          <w:rFonts w:ascii="Garamond" w:hAnsi="Garamond" w:cs="Arial"/>
          <w:sz w:val="24"/>
          <w:szCs w:val="24"/>
        </w:rPr>
        <w:t xml:space="preserve"> todo </w:t>
      </w:r>
      <w:r w:rsidR="00C35A24" w:rsidRPr="003A1174">
        <w:rPr>
          <w:rFonts w:ascii="Garamond" w:hAnsi="Garamond" w:cs="Arial"/>
          <w:sz w:val="24"/>
          <w:szCs w:val="24"/>
        </w:rPr>
        <w:t xml:space="preserve">o </w:t>
      </w:r>
      <w:r w:rsidR="00AB405A" w:rsidRPr="003A1174">
        <w:rPr>
          <w:rFonts w:ascii="Garamond" w:hAnsi="Garamond" w:cs="Arial"/>
          <w:sz w:val="24"/>
          <w:szCs w:val="24"/>
        </w:rPr>
        <w:t>país.</w:t>
      </w:r>
      <w:r>
        <w:rPr>
          <w:rFonts w:ascii="Garamond" w:hAnsi="Garamond" w:cs="Arial"/>
          <w:sz w:val="24"/>
          <w:szCs w:val="24"/>
        </w:rPr>
        <w:t xml:space="preserve"> Ainda assim</w:t>
      </w:r>
      <w:r w:rsidR="00812C06">
        <w:rPr>
          <w:rFonts w:ascii="Garamond" w:hAnsi="Garamond" w:cs="Arial"/>
          <w:sz w:val="24"/>
          <w:szCs w:val="24"/>
        </w:rPr>
        <w:t>, considera-se</w:t>
      </w:r>
      <w:r>
        <w:rPr>
          <w:rFonts w:ascii="Garamond" w:hAnsi="Garamond" w:cs="Arial"/>
          <w:sz w:val="24"/>
          <w:szCs w:val="24"/>
        </w:rPr>
        <w:t xml:space="preserve"> </w:t>
      </w:r>
      <w:r w:rsidR="00812C06">
        <w:rPr>
          <w:rFonts w:ascii="Garamond" w:hAnsi="Garamond" w:cs="Arial"/>
          <w:sz w:val="24"/>
          <w:szCs w:val="24"/>
        </w:rPr>
        <w:t xml:space="preserve">ter havido algum </w:t>
      </w:r>
      <w:r w:rsidR="001F2F8B" w:rsidRPr="003A1174">
        <w:rPr>
          <w:rFonts w:ascii="Garamond" w:hAnsi="Garamond" w:cs="Arial"/>
          <w:sz w:val="24"/>
          <w:szCs w:val="24"/>
        </w:rPr>
        <w:t>avanço</w:t>
      </w:r>
      <w:r w:rsidR="00C35A24" w:rsidRPr="003A1174">
        <w:rPr>
          <w:rFonts w:ascii="Garamond" w:hAnsi="Garamond" w:cs="Arial"/>
          <w:sz w:val="24"/>
          <w:szCs w:val="24"/>
        </w:rPr>
        <w:t>, considerando que</w:t>
      </w:r>
      <w:r w:rsidR="00812C06">
        <w:rPr>
          <w:rFonts w:ascii="Garamond" w:hAnsi="Garamond" w:cs="Arial"/>
          <w:sz w:val="24"/>
          <w:szCs w:val="24"/>
        </w:rPr>
        <w:t>,</w:t>
      </w:r>
      <w:r w:rsidR="00C35A24" w:rsidRPr="003A1174">
        <w:rPr>
          <w:rFonts w:ascii="Garamond" w:hAnsi="Garamond" w:cs="Arial"/>
          <w:sz w:val="24"/>
          <w:szCs w:val="24"/>
        </w:rPr>
        <w:t xml:space="preserve"> histo</w:t>
      </w:r>
      <w:r w:rsidR="00AB405A" w:rsidRPr="003A1174">
        <w:rPr>
          <w:rFonts w:ascii="Garamond" w:hAnsi="Garamond" w:cs="Arial"/>
          <w:sz w:val="24"/>
          <w:szCs w:val="24"/>
        </w:rPr>
        <w:t>ricamente</w:t>
      </w:r>
      <w:r w:rsidR="00812C06">
        <w:rPr>
          <w:rFonts w:ascii="Garamond" w:hAnsi="Garamond" w:cs="Arial"/>
          <w:sz w:val="24"/>
          <w:szCs w:val="24"/>
        </w:rPr>
        <w:t>,</w:t>
      </w:r>
      <w:r w:rsidR="00AB405A" w:rsidRPr="003A1174">
        <w:rPr>
          <w:rFonts w:ascii="Garamond" w:hAnsi="Garamond" w:cs="Arial"/>
          <w:sz w:val="24"/>
          <w:szCs w:val="24"/>
        </w:rPr>
        <w:t xml:space="preserve"> n</w:t>
      </w:r>
      <w:r w:rsidR="00C35A24" w:rsidRPr="003A1174">
        <w:rPr>
          <w:rFonts w:ascii="Garamond" w:hAnsi="Garamond" w:cs="Arial"/>
          <w:sz w:val="24"/>
          <w:szCs w:val="24"/>
        </w:rPr>
        <w:t>ã</w:t>
      </w:r>
      <w:r w:rsidR="00AB405A" w:rsidRPr="003A1174">
        <w:rPr>
          <w:rFonts w:ascii="Garamond" w:hAnsi="Garamond" w:cs="Arial"/>
          <w:sz w:val="24"/>
          <w:szCs w:val="24"/>
        </w:rPr>
        <w:t xml:space="preserve">o se </w:t>
      </w:r>
      <w:r w:rsidR="00C35A24" w:rsidRPr="003A1174">
        <w:rPr>
          <w:rFonts w:ascii="Garamond" w:hAnsi="Garamond" w:cs="Arial"/>
          <w:sz w:val="24"/>
          <w:szCs w:val="24"/>
        </w:rPr>
        <w:t xml:space="preserve">tinha </w:t>
      </w:r>
      <w:r w:rsidR="00812C06">
        <w:rPr>
          <w:rFonts w:ascii="Garamond" w:hAnsi="Garamond" w:cs="Arial"/>
          <w:sz w:val="24"/>
          <w:szCs w:val="24"/>
        </w:rPr>
        <w:t>progredido muito nesta área.</w:t>
      </w:r>
    </w:p>
    <w:p w:rsidR="00AB405A" w:rsidRPr="003A1174" w:rsidRDefault="0017447A" w:rsidP="008719D4">
      <w:pPr>
        <w:pStyle w:val="Ttulo3"/>
        <w:spacing w:line="240" w:lineRule="auto"/>
        <w:rPr>
          <w:rFonts w:ascii="Garamond" w:hAnsi="Garamond"/>
          <w:sz w:val="24"/>
          <w:szCs w:val="24"/>
        </w:rPr>
      </w:pPr>
      <w:bookmarkStart w:id="73" w:name="_Toc421529760"/>
      <w:r w:rsidRPr="003A1174">
        <w:rPr>
          <w:rFonts w:ascii="Garamond" w:hAnsi="Garamond"/>
          <w:sz w:val="24"/>
          <w:szCs w:val="24"/>
        </w:rPr>
        <w:t>Colômbia</w:t>
      </w:r>
      <w:bookmarkEnd w:id="73"/>
    </w:p>
    <w:p w:rsidR="00AB405A" w:rsidRPr="003A1174" w:rsidRDefault="00812C06" w:rsidP="008719D4">
      <w:pPr>
        <w:spacing w:before="240" w:line="240" w:lineRule="auto"/>
        <w:jc w:val="both"/>
        <w:rPr>
          <w:rFonts w:ascii="Garamond" w:hAnsi="Garamond" w:cs="Arial"/>
          <w:sz w:val="24"/>
          <w:szCs w:val="24"/>
        </w:rPr>
      </w:pPr>
      <w:r>
        <w:rPr>
          <w:rFonts w:ascii="Garamond" w:hAnsi="Garamond" w:cs="Arial"/>
          <w:sz w:val="24"/>
          <w:szCs w:val="24"/>
        </w:rPr>
        <w:t>Na Colômbia, a</w:t>
      </w:r>
      <w:r w:rsidR="00C35A24" w:rsidRPr="003A1174">
        <w:rPr>
          <w:rFonts w:ascii="Garamond" w:hAnsi="Garamond" w:cs="Arial"/>
          <w:sz w:val="24"/>
          <w:szCs w:val="24"/>
        </w:rPr>
        <w:t xml:space="preserve"> </w:t>
      </w:r>
      <w:r w:rsidR="00C04CA4" w:rsidRPr="003A1174">
        <w:rPr>
          <w:rFonts w:ascii="Garamond" w:hAnsi="Garamond" w:cs="Arial"/>
          <w:sz w:val="24"/>
          <w:szCs w:val="24"/>
        </w:rPr>
        <w:t>Provedoria de Justiça</w:t>
      </w:r>
      <w:r w:rsidR="00AB405A" w:rsidRPr="003A1174">
        <w:rPr>
          <w:rFonts w:ascii="Garamond" w:hAnsi="Garamond" w:cs="Arial"/>
          <w:sz w:val="24"/>
          <w:szCs w:val="24"/>
        </w:rPr>
        <w:t xml:space="preserve"> </w:t>
      </w:r>
      <w:r w:rsidR="00C35A24" w:rsidRPr="003A1174">
        <w:rPr>
          <w:rFonts w:ascii="Garamond" w:hAnsi="Garamond" w:cs="Arial"/>
          <w:sz w:val="24"/>
          <w:szCs w:val="24"/>
        </w:rPr>
        <w:t>refere</w:t>
      </w:r>
      <w:r w:rsidR="00AB405A" w:rsidRPr="003A1174">
        <w:rPr>
          <w:rFonts w:ascii="Garamond" w:hAnsi="Garamond" w:cs="Arial"/>
          <w:sz w:val="24"/>
          <w:szCs w:val="24"/>
        </w:rPr>
        <w:t xml:space="preserve"> que </w:t>
      </w:r>
      <w:r w:rsidR="0026216A">
        <w:rPr>
          <w:rFonts w:ascii="Garamond" w:hAnsi="Garamond" w:cs="Arial"/>
          <w:sz w:val="24"/>
          <w:szCs w:val="24"/>
        </w:rPr>
        <w:t xml:space="preserve">fazem parte </w:t>
      </w:r>
      <w:r w:rsidR="0006412D">
        <w:rPr>
          <w:rFonts w:ascii="Garamond" w:hAnsi="Garamond" w:cs="Arial"/>
          <w:sz w:val="24"/>
          <w:szCs w:val="24"/>
        </w:rPr>
        <w:t>d</w:t>
      </w:r>
      <w:r w:rsidR="00C35A24" w:rsidRPr="003A1174">
        <w:rPr>
          <w:rFonts w:ascii="Garamond" w:hAnsi="Garamond" w:cs="Arial"/>
          <w:sz w:val="24"/>
          <w:szCs w:val="24"/>
        </w:rPr>
        <w:t xml:space="preserve">o </w:t>
      </w:r>
      <w:r w:rsidR="00462B11" w:rsidRPr="003A1174">
        <w:rPr>
          <w:rFonts w:ascii="Garamond" w:hAnsi="Garamond" w:cs="Arial"/>
          <w:sz w:val="24"/>
          <w:szCs w:val="24"/>
        </w:rPr>
        <w:t>Plano</w:t>
      </w:r>
      <w:r w:rsidR="00AB405A" w:rsidRPr="003A1174">
        <w:rPr>
          <w:rFonts w:ascii="Garamond" w:hAnsi="Garamond" w:cs="Arial"/>
          <w:sz w:val="24"/>
          <w:szCs w:val="24"/>
        </w:rPr>
        <w:t xml:space="preserve"> de </w:t>
      </w:r>
      <w:r w:rsidR="00077461" w:rsidRPr="003A1174">
        <w:rPr>
          <w:rFonts w:ascii="Garamond" w:hAnsi="Garamond" w:cs="Arial"/>
          <w:sz w:val="24"/>
          <w:szCs w:val="24"/>
        </w:rPr>
        <w:t>Ação</w:t>
      </w:r>
      <w:r w:rsidR="00AB405A" w:rsidRPr="003A1174">
        <w:rPr>
          <w:rFonts w:ascii="Garamond" w:hAnsi="Garamond" w:cs="Arial"/>
          <w:sz w:val="24"/>
          <w:szCs w:val="24"/>
        </w:rPr>
        <w:t xml:space="preserve">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4C1496" w:rsidRPr="003A1174">
        <w:rPr>
          <w:rFonts w:ascii="Garamond" w:hAnsi="Garamond" w:cs="Arial"/>
          <w:sz w:val="24"/>
          <w:szCs w:val="24"/>
        </w:rPr>
        <w:t>Conselho</w:t>
      </w:r>
      <w:r w:rsidR="00AB405A" w:rsidRPr="003A1174">
        <w:rPr>
          <w:rFonts w:ascii="Garamond" w:hAnsi="Garamond" w:cs="Arial"/>
          <w:sz w:val="24"/>
          <w:szCs w:val="24"/>
        </w:rPr>
        <w:t xml:space="preserve"> Nacional de Política Económica </w:t>
      </w:r>
      <w:r w:rsidR="000672E8" w:rsidRPr="003A1174">
        <w:rPr>
          <w:rFonts w:ascii="Garamond" w:hAnsi="Garamond" w:cs="Arial"/>
          <w:sz w:val="24"/>
          <w:szCs w:val="24"/>
        </w:rPr>
        <w:t>e</w:t>
      </w:r>
      <w:r w:rsidR="00AB405A" w:rsidRPr="003A1174">
        <w:rPr>
          <w:rFonts w:ascii="Garamond" w:hAnsi="Garamond" w:cs="Arial"/>
          <w:sz w:val="24"/>
          <w:szCs w:val="24"/>
        </w:rPr>
        <w:t xml:space="preserve"> Social (CONPES 3784</w:t>
      </w:r>
      <w:r w:rsidR="00142B26" w:rsidRPr="003A1174">
        <w:rPr>
          <w:rFonts w:ascii="Garamond" w:hAnsi="Garamond" w:cs="Arial"/>
          <w:sz w:val="24"/>
          <w:szCs w:val="24"/>
        </w:rPr>
        <w:t>)</w:t>
      </w:r>
      <w:r w:rsidR="00AB405A" w:rsidRPr="003A1174">
        <w:rPr>
          <w:rFonts w:ascii="Garamond" w:hAnsi="Garamond" w:cs="Arial"/>
          <w:sz w:val="24"/>
          <w:szCs w:val="24"/>
        </w:rPr>
        <w:t xml:space="preserve"> </w:t>
      </w:r>
      <w:r w:rsidR="00BA21ED" w:rsidRPr="003A1174">
        <w:rPr>
          <w:rFonts w:ascii="Garamond" w:hAnsi="Garamond" w:cs="Arial"/>
          <w:sz w:val="24"/>
          <w:szCs w:val="24"/>
        </w:rPr>
        <w:t>mais</w:t>
      </w:r>
      <w:r w:rsidR="00AB405A" w:rsidRPr="003A1174">
        <w:rPr>
          <w:rFonts w:ascii="Garamond" w:hAnsi="Garamond" w:cs="Arial"/>
          <w:sz w:val="24"/>
          <w:szCs w:val="24"/>
        </w:rPr>
        <w:t xml:space="preserve"> de 20 entidades</w:t>
      </w:r>
      <w:r w:rsidR="0006412D">
        <w:rPr>
          <w:rFonts w:ascii="Garamond" w:hAnsi="Garamond" w:cs="Arial"/>
          <w:sz w:val="24"/>
          <w:szCs w:val="24"/>
        </w:rPr>
        <w:t>,</w:t>
      </w:r>
      <w:r w:rsidR="00AB405A" w:rsidRPr="003A1174">
        <w:rPr>
          <w:rFonts w:ascii="Garamond" w:hAnsi="Garamond" w:cs="Arial"/>
          <w:sz w:val="24"/>
          <w:szCs w:val="24"/>
        </w:rPr>
        <w:t xml:space="preserve"> e</w:t>
      </w:r>
      <w:r w:rsidR="00C35A24" w:rsidRPr="003A1174">
        <w:rPr>
          <w:rFonts w:ascii="Garamond" w:hAnsi="Garamond" w:cs="Arial"/>
          <w:sz w:val="24"/>
          <w:szCs w:val="24"/>
        </w:rPr>
        <w:t>m</w:t>
      </w:r>
      <w:r w:rsidR="00AB405A" w:rsidRPr="003A1174">
        <w:rPr>
          <w:rFonts w:ascii="Garamond" w:hAnsi="Garamond" w:cs="Arial"/>
          <w:sz w:val="24"/>
          <w:szCs w:val="24"/>
        </w:rPr>
        <w:t xml:space="preserve"> </w:t>
      </w:r>
      <w:r w:rsidR="002E2C71" w:rsidRPr="003A1174">
        <w:rPr>
          <w:rFonts w:ascii="Garamond" w:hAnsi="Garamond" w:cs="Arial"/>
          <w:sz w:val="24"/>
          <w:szCs w:val="24"/>
        </w:rPr>
        <w:t>função</w:t>
      </w:r>
      <w:r w:rsidR="00AB405A" w:rsidRPr="003A1174">
        <w:rPr>
          <w:rFonts w:ascii="Garamond" w:hAnsi="Garamond" w:cs="Arial"/>
          <w:sz w:val="24"/>
          <w:szCs w:val="24"/>
        </w:rPr>
        <w:t xml:space="preserve"> da </w:t>
      </w:r>
      <w:r w:rsidR="006C760C" w:rsidRPr="003A1174">
        <w:rPr>
          <w:rFonts w:ascii="Garamond" w:hAnsi="Garamond" w:cs="Arial"/>
          <w:sz w:val="24"/>
          <w:szCs w:val="24"/>
        </w:rPr>
        <w:t>implementação</w:t>
      </w:r>
      <w:r w:rsidR="00AB405A" w:rsidRPr="003A1174">
        <w:rPr>
          <w:rFonts w:ascii="Garamond" w:hAnsi="Garamond" w:cs="Arial"/>
          <w:sz w:val="24"/>
          <w:szCs w:val="24"/>
        </w:rPr>
        <w:t xml:space="preserve"> de 223 </w:t>
      </w:r>
      <w:r w:rsidR="002C7510" w:rsidRPr="003A1174">
        <w:rPr>
          <w:rFonts w:ascii="Garamond" w:hAnsi="Garamond" w:cs="Arial"/>
          <w:sz w:val="24"/>
          <w:szCs w:val="24"/>
        </w:rPr>
        <w:t>ações</w:t>
      </w:r>
      <w:r w:rsidR="0006412D">
        <w:rPr>
          <w:rFonts w:ascii="Garamond" w:hAnsi="Garamond" w:cs="Arial"/>
          <w:sz w:val="24"/>
          <w:szCs w:val="24"/>
        </w:rPr>
        <w:t xml:space="preserve"> e</w:t>
      </w:r>
      <w:r w:rsidR="00AB405A" w:rsidRPr="003A1174">
        <w:rPr>
          <w:rFonts w:ascii="Garamond" w:hAnsi="Garamond" w:cs="Arial"/>
          <w:sz w:val="24"/>
          <w:szCs w:val="24"/>
        </w:rPr>
        <w:t xml:space="preserve"> </w:t>
      </w:r>
      <w:r w:rsidR="0006412D">
        <w:rPr>
          <w:rFonts w:ascii="Garamond" w:hAnsi="Garamond" w:cs="Arial"/>
          <w:sz w:val="24"/>
          <w:szCs w:val="24"/>
        </w:rPr>
        <w:t>d</w:t>
      </w:r>
      <w:r w:rsidR="00C35A24" w:rsidRPr="003A1174">
        <w:rPr>
          <w:rFonts w:ascii="Garamond" w:hAnsi="Garamond" w:cs="Arial"/>
          <w:sz w:val="24"/>
          <w:szCs w:val="24"/>
        </w:rPr>
        <w:t xml:space="preserve">o </w:t>
      </w:r>
      <w:r w:rsidR="00AB405A" w:rsidRPr="003A1174">
        <w:rPr>
          <w:rFonts w:ascii="Garamond" w:hAnsi="Garamond" w:cs="Arial"/>
          <w:sz w:val="24"/>
          <w:szCs w:val="24"/>
        </w:rPr>
        <w:t>s</w:t>
      </w:r>
      <w:r w:rsidR="00C35A24" w:rsidRPr="003A1174">
        <w:rPr>
          <w:rFonts w:ascii="Garamond" w:hAnsi="Garamond" w:cs="Arial"/>
          <w:sz w:val="24"/>
          <w:szCs w:val="24"/>
        </w:rPr>
        <w:t>e</w:t>
      </w:r>
      <w:r w:rsidR="00AB405A" w:rsidRPr="003A1174">
        <w:rPr>
          <w:rFonts w:ascii="Garamond" w:hAnsi="Garamond" w:cs="Arial"/>
          <w:sz w:val="24"/>
          <w:szCs w:val="24"/>
        </w:rPr>
        <w:t xml:space="preserve">u </w:t>
      </w:r>
      <w:r w:rsidR="00462B11" w:rsidRPr="003A1174">
        <w:rPr>
          <w:rFonts w:ascii="Garamond" w:hAnsi="Garamond" w:cs="Arial"/>
          <w:sz w:val="24"/>
          <w:szCs w:val="24"/>
        </w:rPr>
        <w:t>plano</w:t>
      </w:r>
      <w:r w:rsidR="00CF3B7E" w:rsidRPr="003A1174">
        <w:rPr>
          <w:rFonts w:ascii="Garamond" w:hAnsi="Garamond" w:cs="Arial"/>
          <w:sz w:val="24"/>
          <w:szCs w:val="24"/>
        </w:rPr>
        <w:t xml:space="preserve"> de </w:t>
      </w:r>
      <w:r w:rsidR="00606CEE" w:rsidRPr="003A1174">
        <w:rPr>
          <w:rFonts w:ascii="Garamond" w:hAnsi="Garamond" w:cs="Arial"/>
          <w:sz w:val="24"/>
          <w:szCs w:val="24"/>
        </w:rPr>
        <w:t>financiamento</w:t>
      </w:r>
      <w:r w:rsidR="00CF3B7E" w:rsidRPr="003A1174">
        <w:rPr>
          <w:rFonts w:ascii="Garamond" w:hAnsi="Garamond" w:cs="Arial"/>
          <w:sz w:val="24"/>
          <w:szCs w:val="24"/>
        </w:rPr>
        <w:t xml:space="preserve"> </w:t>
      </w:r>
      <w:r w:rsidR="0006412D">
        <w:rPr>
          <w:rFonts w:ascii="Garamond" w:hAnsi="Garamond" w:cs="Arial"/>
          <w:sz w:val="24"/>
          <w:szCs w:val="24"/>
        </w:rPr>
        <w:t xml:space="preserve">que </w:t>
      </w:r>
      <w:r w:rsidR="00C35A24" w:rsidRPr="003A1174">
        <w:rPr>
          <w:rFonts w:ascii="Garamond" w:hAnsi="Garamond" w:cs="Arial"/>
          <w:sz w:val="24"/>
          <w:szCs w:val="24"/>
        </w:rPr>
        <w:t xml:space="preserve">dispõe de </w:t>
      </w:r>
      <w:r w:rsidR="00AB405A" w:rsidRPr="003A1174">
        <w:rPr>
          <w:rFonts w:ascii="Garamond" w:hAnsi="Garamond" w:cs="Arial"/>
          <w:sz w:val="24"/>
          <w:szCs w:val="24"/>
        </w:rPr>
        <w:t xml:space="preserve">recursos </w:t>
      </w:r>
      <w:r w:rsidR="0006412D">
        <w:rPr>
          <w:rFonts w:ascii="Garamond" w:hAnsi="Garamond" w:cs="Arial"/>
          <w:sz w:val="24"/>
          <w:szCs w:val="24"/>
        </w:rPr>
        <w:t xml:space="preserve">na </w:t>
      </w:r>
      <w:r w:rsidR="00374785" w:rsidRPr="003A1174">
        <w:rPr>
          <w:rFonts w:ascii="Garamond" w:hAnsi="Garamond" w:cs="Arial"/>
          <w:sz w:val="24"/>
          <w:szCs w:val="24"/>
        </w:rPr>
        <w:lastRenderedPageBreak/>
        <w:t>ordem</w:t>
      </w:r>
      <w:r w:rsidR="00AB405A" w:rsidRPr="003A1174">
        <w:rPr>
          <w:rFonts w:ascii="Garamond" w:hAnsi="Garamond" w:cs="Arial"/>
          <w:sz w:val="24"/>
          <w:szCs w:val="24"/>
        </w:rPr>
        <w:t xml:space="preserve"> </w:t>
      </w:r>
      <w:r w:rsidR="0006412D">
        <w:rPr>
          <w:rFonts w:ascii="Garamond" w:hAnsi="Garamond" w:cs="Arial"/>
          <w:sz w:val="24"/>
          <w:szCs w:val="24"/>
        </w:rPr>
        <w:t>(</w:t>
      </w:r>
      <w:r w:rsidR="00AB405A" w:rsidRPr="003A1174">
        <w:rPr>
          <w:rFonts w:ascii="Garamond" w:hAnsi="Garamond" w:cs="Arial"/>
          <w:sz w:val="24"/>
          <w:szCs w:val="24"/>
        </w:rPr>
        <w:t>e</w:t>
      </w:r>
      <w:r w:rsidR="00C35A24" w:rsidRPr="003A1174">
        <w:rPr>
          <w:rFonts w:ascii="Garamond" w:hAnsi="Garamond" w:cs="Arial"/>
          <w:sz w:val="24"/>
          <w:szCs w:val="24"/>
        </w:rPr>
        <w:t>m</w:t>
      </w:r>
      <w:r w:rsidR="00AB405A" w:rsidRPr="003A1174">
        <w:rPr>
          <w:rFonts w:ascii="Garamond" w:hAnsi="Garamond" w:cs="Arial"/>
          <w:sz w:val="24"/>
          <w:szCs w:val="24"/>
        </w:rPr>
        <w:t xml:space="preserve"> pesos colombianos</w:t>
      </w:r>
      <w:r w:rsidR="0006412D">
        <w:rPr>
          <w:rFonts w:ascii="Garamond" w:hAnsi="Garamond" w:cs="Arial"/>
          <w:sz w:val="24"/>
          <w:szCs w:val="24"/>
        </w:rPr>
        <w:t>)</w:t>
      </w:r>
      <w:r w:rsidR="00AB405A" w:rsidRPr="003A1174">
        <w:rPr>
          <w:rFonts w:ascii="Garamond" w:hAnsi="Garamond" w:cs="Arial"/>
          <w:sz w:val="24"/>
          <w:szCs w:val="24"/>
        </w:rPr>
        <w:t xml:space="preserve"> </w:t>
      </w:r>
      <w:r w:rsidR="00497503" w:rsidRPr="003A1174">
        <w:rPr>
          <w:rFonts w:ascii="Garamond" w:hAnsi="Garamond" w:cs="Arial"/>
          <w:sz w:val="24"/>
          <w:szCs w:val="24"/>
        </w:rPr>
        <w:t>dos</w:t>
      </w:r>
      <w:r w:rsidR="00AB405A" w:rsidRPr="003A1174">
        <w:rPr>
          <w:rFonts w:ascii="Garamond" w:hAnsi="Garamond" w:cs="Arial"/>
          <w:sz w:val="24"/>
          <w:szCs w:val="24"/>
        </w:rPr>
        <w:t xml:space="preserve"> $3</w:t>
      </w:r>
      <w:r w:rsidR="00CF3B7E" w:rsidRPr="003A1174">
        <w:rPr>
          <w:rFonts w:ascii="Garamond" w:hAnsi="Garamond" w:cs="Arial"/>
          <w:sz w:val="24"/>
          <w:szCs w:val="24"/>
        </w:rPr>
        <w:t>,</w:t>
      </w:r>
      <w:r w:rsidR="00AB405A" w:rsidRPr="003A1174">
        <w:rPr>
          <w:rFonts w:ascii="Garamond" w:hAnsi="Garamond" w:cs="Arial"/>
          <w:sz w:val="24"/>
          <w:szCs w:val="24"/>
        </w:rPr>
        <w:t xml:space="preserve">3 </w:t>
      </w:r>
      <w:r w:rsidR="00C35A24" w:rsidRPr="003A1174">
        <w:rPr>
          <w:rFonts w:ascii="Garamond" w:hAnsi="Garamond" w:cs="Arial"/>
          <w:sz w:val="24"/>
          <w:szCs w:val="24"/>
        </w:rPr>
        <w:t>bilhões</w:t>
      </w:r>
      <w:r w:rsidR="00AB405A" w:rsidRPr="003A1174">
        <w:rPr>
          <w:rFonts w:ascii="Garamond" w:hAnsi="Garamond" w:cs="Arial"/>
          <w:sz w:val="24"/>
          <w:szCs w:val="24"/>
        </w:rPr>
        <w:t xml:space="preserve">, </w:t>
      </w:r>
      <w:r w:rsidR="00497503" w:rsidRPr="003A1174">
        <w:rPr>
          <w:rFonts w:ascii="Garamond" w:hAnsi="Garamond" w:cs="Arial"/>
          <w:sz w:val="24"/>
          <w:szCs w:val="24"/>
        </w:rPr>
        <w:t>dos</w:t>
      </w:r>
      <w:r w:rsidR="00AB405A" w:rsidRPr="003A1174">
        <w:rPr>
          <w:rFonts w:ascii="Garamond" w:hAnsi="Garamond" w:cs="Arial"/>
          <w:sz w:val="24"/>
          <w:szCs w:val="24"/>
        </w:rPr>
        <w:t xml:space="preserve"> </w:t>
      </w:r>
      <w:r w:rsidR="00B936A7" w:rsidRPr="003A1174">
        <w:rPr>
          <w:rFonts w:ascii="Garamond" w:hAnsi="Garamond" w:cs="Arial"/>
          <w:sz w:val="24"/>
          <w:szCs w:val="24"/>
        </w:rPr>
        <w:t>quais</w:t>
      </w:r>
      <w:r w:rsidR="00AB405A" w:rsidRPr="003A1174">
        <w:rPr>
          <w:rFonts w:ascii="Garamond" w:hAnsi="Garamond" w:cs="Arial"/>
          <w:sz w:val="24"/>
          <w:szCs w:val="24"/>
        </w:rPr>
        <w:t xml:space="preserve"> $2</w:t>
      </w:r>
      <w:r w:rsidR="00CF3B7E" w:rsidRPr="003A1174">
        <w:rPr>
          <w:rFonts w:ascii="Garamond" w:hAnsi="Garamond" w:cs="Arial"/>
          <w:sz w:val="24"/>
          <w:szCs w:val="24"/>
        </w:rPr>
        <w:t>,</w:t>
      </w:r>
      <w:r w:rsidR="00AB405A" w:rsidRPr="003A1174">
        <w:rPr>
          <w:rFonts w:ascii="Garamond" w:hAnsi="Garamond" w:cs="Arial"/>
          <w:sz w:val="24"/>
          <w:szCs w:val="24"/>
        </w:rPr>
        <w:t xml:space="preserve">1 </w:t>
      </w:r>
      <w:r w:rsidR="00C35A24" w:rsidRPr="003A1174">
        <w:rPr>
          <w:rFonts w:ascii="Garamond" w:hAnsi="Garamond" w:cs="Arial"/>
          <w:sz w:val="24"/>
          <w:szCs w:val="24"/>
        </w:rPr>
        <w:t>bilhões</w:t>
      </w:r>
      <w:r w:rsidR="00AB405A" w:rsidRPr="003A1174">
        <w:rPr>
          <w:rFonts w:ascii="Garamond" w:hAnsi="Garamond" w:cs="Arial"/>
          <w:sz w:val="24"/>
          <w:szCs w:val="24"/>
        </w:rPr>
        <w:t xml:space="preserve"> corresponde</w:t>
      </w:r>
      <w:r w:rsidR="00C35A24" w:rsidRPr="003A1174">
        <w:rPr>
          <w:rFonts w:ascii="Garamond" w:hAnsi="Garamond" w:cs="Arial"/>
          <w:sz w:val="24"/>
          <w:szCs w:val="24"/>
        </w:rPr>
        <w:t>m</w:t>
      </w:r>
      <w:r w:rsidR="00AB405A" w:rsidRPr="003A1174">
        <w:rPr>
          <w:rFonts w:ascii="Garamond" w:hAnsi="Garamond" w:cs="Arial"/>
          <w:sz w:val="24"/>
          <w:szCs w:val="24"/>
        </w:rPr>
        <w:t xml:space="preserve"> a</w:t>
      </w:r>
      <w:r w:rsidR="0006412D">
        <w:rPr>
          <w:rFonts w:ascii="Garamond" w:hAnsi="Garamond" w:cs="Arial"/>
          <w:sz w:val="24"/>
          <w:szCs w:val="24"/>
        </w:rPr>
        <w:t>os anos</w:t>
      </w:r>
      <w:r w:rsidR="00AB405A" w:rsidRPr="003A1174">
        <w:rPr>
          <w:rFonts w:ascii="Garamond" w:hAnsi="Garamond" w:cs="Arial"/>
          <w:sz w:val="24"/>
          <w:szCs w:val="24"/>
        </w:rPr>
        <w:t xml:space="preserve"> 2013-2014, </w:t>
      </w:r>
      <w:r w:rsidR="000672E8" w:rsidRPr="003A1174">
        <w:rPr>
          <w:rFonts w:ascii="Garamond" w:hAnsi="Garamond" w:cs="Arial"/>
          <w:sz w:val="24"/>
          <w:szCs w:val="24"/>
        </w:rPr>
        <w:t>e</w:t>
      </w:r>
      <w:r w:rsidR="00C35A24" w:rsidRPr="003A1174">
        <w:rPr>
          <w:rFonts w:ascii="Garamond" w:hAnsi="Garamond" w:cs="Arial"/>
          <w:sz w:val="24"/>
          <w:szCs w:val="24"/>
        </w:rPr>
        <w:t xml:space="preserve"> o</w:t>
      </w:r>
      <w:r w:rsidR="00AB405A" w:rsidRPr="003A1174">
        <w:rPr>
          <w:rFonts w:ascii="Garamond" w:hAnsi="Garamond" w:cs="Arial"/>
          <w:sz w:val="24"/>
          <w:szCs w:val="24"/>
        </w:rPr>
        <w:t xml:space="preserve"> $1</w:t>
      </w:r>
      <w:r w:rsidR="00CF3B7E" w:rsidRPr="003A1174">
        <w:rPr>
          <w:rFonts w:ascii="Garamond" w:hAnsi="Garamond" w:cs="Arial"/>
          <w:sz w:val="24"/>
          <w:szCs w:val="24"/>
        </w:rPr>
        <w:t>,</w:t>
      </w:r>
      <w:r w:rsidR="00AB405A" w:rsidRPr="003A1174">
        <w:rPr>
          <w:rFonts w:ascii="Garamond" w:hAnsi="Garamond" w:cs="Arial"/>
          <w:sz w:val="24"/>
          <w:szCs w:val="24"/>
        </w:rPr>
        <w:t>2 bil</w:t>
      </w:r>
      <w:r w:rsidR="00C35A24" w:rsidRPr="003A1174">
        <w:rPr>
          <w:rFonts w:ascii="Garamond" w:hAnsi="Garamond" w:cs="Arial"/>
          <w:sz w:val="24"/>
          <w:szCs w:val="24"/>
        </w:rPr>
        <w:t xml:space="preserve">hão </w:t>
      </w:r>
      <w:r w:rsidR="00AB405A" w:rsidRPr="003A1174">
        <w:rPr>
          <w:rFonts w:ascii="Garamond" w:hAnsi="Garamond" w:cs="Arial"/>
          <w:sz w:val="24"/>
          <w:szCs w:val="24"/>
        </w:rPr>
        <w:t>restante</w:t>
      </w:r>
      <w:r w:rsidR="0006412D">
        <w:rPr>
          <w:rFonts w:ascii="Garamond" w:hAnsi="Garamond" w:cs="Arial"/>
          <w:sz w:val="24"/>
          <w:szCs w:val="24"/>
        </w:rPr>
        <w:t>,</w:t>
      </w:r>
      <w:r w:rsidR="00AB405A" w:rsidRPr="003A1174">
        <w:rPr>
          <w:rFonts w:ascii="Garamond" w:hAnsi="Garamond" w:cs="Arial"/>
          <w:sz w:val="24"/>
          <w:szCs w:val="24"/>
        </w:rPr>
        <w:t xml:space="preserve"> está </w:t>
      </w:r>
      <w:r w:rsidR="00D37CF3" w:rsidRPr="003A1174">
        <w:rPr>
          <w:rFonts w:ascii="Garamond" w:hAnsi="Garamond" w:cs="Arial"/>
          <w:sz w:val="24"/>
          <w:szCs w:val="24"/>
        </w:rPr>
        <w:t>sujeito</w:t>
      </w:r>
      <w:r w:rsidR="00AB405A" w:rsidRPr="003A1174">
        <w:rPr>
          <w:rFonts w:ascii="Garamond" w:hAnsi="Garamond" w:cs="Arial"/>
          <w:sz w:val="24"/>
          <w:szCs w:val="24"/>
        </w:rPr>
        <w:t xml:space="preserve"> </w:t>
      </w:r>
      <w:r w:rsidR="00BB2B00" w:rsidRPr="003A1174">
        <w:rPr>
          <w:rFonts w:ascii="Garamond" w:hAnsi="Garamond" w:cs="Arial"/>
          <w:sz w:val="24"/>
          <w:szCs w:val="24"/>
        </w:rPr>
        <w:t>à</w:t>
      </w:r>
      <w:r w:rsidR="00AB405A" w:rsidRPr="003A1174">
        <w:rPr>
          <w:rFonts w:ascii="Garamond" w:hAnsi="Garamond" w:cs="Arial"/>
          <w:sz w:val="24"/>
          <w:szCs w:val="24"/>
        </w:rPr>
        <w:t>s pro</w:t>
      </w:r>
      <w:r w:rsidR="00C35A24" w:rsidRPr="003A1174">
        <w:rPr>
          <w:rFonts w:ascii="Garamond" w:hAnsi="Garamond" w:cs="Arial"/>
          <w:sz w:val="24"/>
          <w:szCs w:val="24"/>
        </w:rPr>
        <w:t>jeções orçamentais</w:t>
      </w:r>
      <w:r w:rsidR="00AB405A" w:rsidRPr="003A1174">
        <w:rPr>
          <w:rFonts w:ascii="Garamond" w:hAnsi="Garamond" w:cs="Arial"/>
          <w:sz w:val="24"/>
          <w:szCs w:val="24"/>
        </w:rPr>
        <w:t xml:space="preserve"> de 2015</w:t>
      </w:r>
      <w:r w:rsidR="00CF3B7E" w:rsidRPr="003A1174">
        <w:rPr>
          <w:rFonts w:ascii="Garamond" w:hAnsi="Garamond" w:cs="Arial"/>
          <w:sz w:val="24"/>
          <w:szCs w:val="24"/>
        </w:rPr>
        <w:t>.</w:t>
      </w:r>
      <w:r w:rsidR="00AB405A" w:rsidRPr="003A1174">
        <w:rPr>
          <w:rStyle w:val="Refdenotaalpie"/>
          <w:rFonts w:ascii="Garamond" w:hAnsi="Garamond" w:cs="Arial"/>
          <w:sz w:val="24"/>
          <w:szCs w:val="24"/>
        </w:rPr>
        <w:footnoteReference w:id="148"/>
      </w:r>
    </w:p>
    <w:p w:rsidR="00AB405A" w:rsidRPr="003A1174" w:rsidRDefault="00AB405A" w:rsidP="008719D4">
      <w:pPr>
        <w:spacing w:before="240" w:line="240" w:lineRule="auto"/>
        <w:jc w:val="both"/>
        <w:rPr>
          <w:rFonts w:ascii="Garamond" w:hAnsi="Garamond" w:cs="Arial"/>
          <w:sz w:val="24"/>
          <w:szCs w:val="24"/>
        </w:rPr>
      </w:pPr>
      <w:r w:rsidRPr="003A1174">
        <w:rPr>
          <w:rFonts w:ascii="Garamond" w:hAnsi="Garamond" w:cs="Arial"/>
          <w:sz w:val="24"/>
          <w:szCs w:val="24"/>
        </w:rPr>
        <w:t>Adicional</w:t>
      </w:r>
      <w:r w:rsidR="00CF3B7E" w:rsidRPr="003A1174">
        <w:rPr>
          <w:rFonts w:ascii="Garamond" w:hAnsi="Garamond" w:cs="Arial"/>
          <w:sz w:val="24"/>
          <w:szCs w:val="24"/>
        </w:rPr>
        <w:t>mente</w:t>
      </w:r>
      <w:r w:rsidR="00C35A24" w:rsidRPr="003A1174">
        <w:rPr>
          <w:rFonts w:ascii="Garamond" w:hAnsi="Garamond" w:cs="Arial"/>
          <w:sz w:val="24"/>
          <w:szCs w:val="24"/>
        </w:rPr>
        <w:t xml:space="preserve">, </w:t>
      </w:r>
      <w:r w:rsidRPr="003A1174">
        <w:rPr>
          <w:rFonts w:ascii="Garamond" w:hAnsi="Garamond" w:cs="Arial"/>
          <w:sz w:val="24"/>
          <w:szCs w:val="24"/>
        </w:rPr>
        <w:t xml:space="preserve">a </w:t>
      </w:r>
      <w:r w:rsidR="00C04CA4" w:rsidRPr="003A1174">
        <w:rPr>
          <w:rFonts w:ascii="Garamond" w:hAnsi="Garamond" w:cs="Arial"/>
          <w:sz w:val="24"/>
          <w:szCs w:val="24"/>
        </w:rPr>
        <w:t>Provedoria de Justiça</w:t>
      </w:r>
      <w:r w:rsidRPr="003A1174">
        <w:rPr>
          <w:rFonts w:ascii="Garamond" w:hAnsi="Garamond" w:cs="Arial"/>
          <w:sz w:val="24"/>
          <w:szCs w:val="24"/>
        </w:rPr>
        <w:t xml:space="preserve"> </w:t>
      </w:r>
      <w:r w:rsidR="00C35A24" w:rsidRPr="003A1174">
        <w:rPr>
          <w:rFonts w:ascii="Garamond" w:hAnsi="Garamond" w:cs="Arial"/>
          <w:sz w:val="24"/>
          <w:szCs w:val="24"/>
        </w:rPr>
        <w:t xml:space="preserve">refere as </w:t>
      </w:r>
      <w:r w:rsidR="002C7510" w:rsidRPr="003A1174">
        <w:rPr>
          <w:rFonts w:ascii="Garamond" w:hAnsi="Garamond" w:cs="Arial"/>
          <w:sz w:val="24"/>
          <w:szCs w:val="24"/>
        </w:rPr>
        <w:t>ações</w:t>
      </w:r>
      <w:r w:rsidRPr="003A1174">
        <w:rPr>
          <w:rFonts w:ascii="Garamond" w:hAnsi="Garamond" w:cs="Arial"/>
          <w:sz w:val="24"/>
          <w:szCs w:val="24"/>
        </w:rPr>
        <w:t xml:space="preserve"> des</w:t>
      </w:r>
      <w:r w:rsidR="00C35A24" w:rsidRPr="003A1174">
        <w:rPr>
          <w:rFonts w:ascii="Garamond" w:hAnsi="Garamond" w:cs="Arial"/>
          <w:sz w:val="24"/>
          <w:szCs w:val="24"/>
        </w:rPr>
        <w:t xml:space="preserve">envolvidas </w:t>
      </w:r>
      <w:r w:rsidR="005C2020" w:rsidRPr="003A1174">
        <w:rPr>
          <w:rFonts w:ascii="Garamond" w:hAnsi="Garamond" w:cs="Arial"/>
          <w:sz w:val="24"/>
          <w:szCs w:val="24"/>
        </w:rPr>
        <w:t>pelo</w:t>
      </w:r>
      <w:r w:rsidRPr="003A1174">
        <w:rPr>
          <w:rFonts w:ascii="Garamond" w:hAnsi="Garamond" w:cs="Arial"/>
          <w:sz w:val="24"/>
          <w:szCs w:val="24"/>
        </w:rPr>
        <w:t xml:space="preserve"> </w:t>
      </w:r>
      <w:r w:rsidR="00D77C19" w:rsidRPr="003A1174">
        <w:rPr>
          <w:rFonts w:ascii="Garamond" w:hAnsi="Garamond" w:cs="Arial"/>
          <w:sz w:val="24"/>
          <w:szCs w:val="24"/>
        </w:rPr>
        <w:t>Ministério</w:t>
      </w:r>
      <w:r w:rsidRPr="003A1174">
        <w:rPr>
          <w:rFonts w:ascii="Garamond" w:hAnsi="Garamond" w:cs="Arial"/>
          <w:sz w:val="24"/>
          <w:szCs w:val="24"/>
        </w:rPr>
        <w:t xml:space="preserve"> d</w:t>
      </w:r>
      <w:r w:rsidR="00C35A24" w:rsidRPr="003A1174">
        <w:rPr>
          <w:rFonts w:ascii="Garamond" w:hAnsi="Garamond" w:cs="Arial"/>
          <w:sz w:val="24"/>
          <w:szCs w:val="24"/>
        </w:rPr>
        <w:t>a</w:t>
      </w:r>
      <w:r w:rsidRPr="003A1174">
        <w:rPr>
          <w:rFonts w:ascii="Garamond" w:hAnsi="Garamond" w:cs="Arial"/>
          <w:sz w:val="24"/>
          <w:szCs w:val="24"/>
        </w:rPr>
        <w:t xml:space="preserve"> </w:t>
      </w:r>
      <w:r w:rsidR="00FC1F7F" w:rsidRPr="003A1174">
        <w:rPr>
          <w:rFonts w:ascii="Garamond" w:hAnsi="Garamond" w:cs="Arial"/>
          <w:sz w:val="24"/>
          <w:szCs w:val="24"/>
        </w:rPr>
        <w:t>Justiça</w:t>
      </w:r>
      <w:r w:rsidRPr="003A1174">
        <w:rPr>
          <w:rFonts w:ascii="Garamond" w:hAnsi="Garamond" w:cs="Arial"/>
          <w:sz w:val="24"/>
          <w:szCs w:val="24"/>
        </w:rPr>
        <w:t xml:space="preserve"> d</w:t>
      </w:r>
      <w:r w:rsidR="0026216A">
        <w:rPr>
          <w:rFonts w:ascii="Garamond" w:hAnsi="Garamond" w:cs="Arial"/>
          <w:sz w:val="24"/>
          <w:szCs w:val="24"/>
        </w:rPr>
        <w:t>a</w:t>
      </w:r>
      <w:r w:rsidRPr="003A1174">
        <w:rPr>
          <w:rFonts w:ascii="Garamond" w:hAnsi="Garamond" w:cs="Arial"/>
          <w:sz w:val="24"/>
          <w:szCs w:val="24"/>
        </w:rPr>
        <w:t xml:space="preserve"> </w:t>
      </w:r>
      <w:r w:rsidR="0017447A" w:rsidRPr="003A1174">
        <w:rPr>
          <w:rFonts w:ascii="Garamond" w:hAnsi="Garamond" w:cs="Arial"/>
          <w:sz w:val="24"/>
          <w:szCs w:val="24"/>
        </w:rPr>
        <w:t>Colômbia</w:t>
      </w:r>
      <w:r w:rsidR="0026216A">
        <w:rPr>
          <w:rFonts w:ascii="Garamond" w:hAnsi="Garamond" w:cs="Arial"/>
          <w:sz w:val="24"/>
          <w:szCs w:val="24"/>
        </w:rPr>
        <w:t>, sobre</w:t>
      </w:r>
      <w:r w:rsidRPr="003A1174">
        <w:rPr>
          <w:rFonts w:ascii="Garamond" w:hAnsi="Garamond" w:cs="Arial"/>
          <w:sz w:val="24"/>
          <w:szCs w:val="24"/>
        </w:rPr>
        <w:t xml:space="preserve"> temas de </w:t>
      </w:r>
      <w:r w:rsidR="000350B1" w:rsidRPr="003A1174">
        <w:rPr>
          <w:rFonts w:ascii="Garamond" w:hAnsi="Garamond" w:cs="Arial"/>
          <w:sz w:val="24"/>
          <w:szCs w:val="24"/>
        </w:rPr>
        <w:t>violência</w:t>
      </w:r>
      <w:r w:rsidRPr="003A1174">
        <w:rPr>
          <w:rFonts w:ascii="Garamond" w:hAnsi="Garamond" w:cs="Arial"/>
          <w:sz w:val="24"/>
          <w:szCs w:val="24"/>
        </w:rPr>
        <w:t xml:space="preserve"> sexual </w:t>
      </w:r>
      <w:r w:rsidR="000672E8" w:rsidRPr="003A1174">
        <w:rPr>
          <w:rFonts w:ascii="Garamond" w:hAnsi="Garamond" w:cs="Arial"/>
          <w:sz w:val="24"/>
          <w:szCs w:val="24"/>
        </w:rPr>
        <w:t>e</w:t>
      </w:r>
      <w:r w:rsidRPr="003A1174">
        <w:rPr>
          <w:rFonts w:ascii="Garamond" w:hAnsi="Garamond" w:cs="Arial"/>
          <w:sz w:val="24"/>
          <w:szCs w:val="24"/>
        </w:rPr>
        <w:t xml:space="preserve"> </w:t>
      </w:r>
      <w:r w:rsidRPr="003A1174">
        <w:rPr>
          <w:rFonts w:ascii="Garamond" w:hAnsi="Garamond" w:cs="Arial"/>
          <w:i/>
          <w:sz w:val="24"/>
          <w:szCs w:val="24"/>
        </w:rPr>
        <w:t xml:space="preserve">Comisarías de </w:t>
      </w:r>
      <w:r w:rsidR="006C7AF1" w:rsidRPr="003A1174">
        <w:rPr>
          <w:rFonts w:ascii="Garamond" w:hAnsi="Garamond" w:cs="Arial"/>
          <w:i/>
          <w:sz w:val="24"/>
          <w:szCs w:val="24"/>
        </w:rPr>
        <w:t>Família</w:t>
      </w:r>
      <w:r w:rsidR="00C35A24" w:rsidRPr="003A1174">
        <w:rPr>
          <w:rFonts w:ascii="Garamond" w:hAnsi="Garamond" w:cs="Arial"/>
          <w:i/>
          <w:sz w:val="24"/>
          <w:szCs w:val="24"/>
        </w:rPr>
        <w:t xml:space="preserve"> </w:t>
      </w:r>
      <w:r w:rsidR="00C35A24" w:rsidRPr="003A1174">
        <w:rPr>
          <w:rFonts w:ascii="Garamond" w:hAnsi="Garamond" w:cs="Arial"/>
          <w:sz w:val="24"/>
          <w:szCs w:val="24"/>
        </w:rPr>
        <w:t>(Gabinetes de</w:t>
      </w:r>
      <w:r w:rsidR="00C35A24" w:rsidRPr="003A1174">
        <w:rPr>
          <w:rFonts w:ascii="Garamond" w:hAnsi="Garamond" w:cs="Arial"/>
          <w:i/>
          <w:sz w:val="24"/>
          <w:szCs w:val="24"/>
        </w:rPr>
        <w:t xml:space="preserve"> </w:t>
      </w:r>
      <w:r w:rsidR="00C35A24" w:rsidRPr="003A1174">
        <w:rPr>
          <w:rFonts w:ascii="Garamond" w:hAnsi="Garamond" w:cs="Arial"/>
          <w:sz w:val="24"/>
          <w:szCs w:val="24"/>
        </w:rPr>
        <w:t>Apoio à Família)</w:t>
      </w:r>
      <w:r w:rsidRPr="003A1174">
        <w:rPr>
          <w:rFonts w:ascii="Garamond" w:hAnsi="Garamond" w:cs="Arial"/>
          <w:sz w:val="24"/>
          <w:szCs w:val="24"/>
        </w:rPr>
        <w:t>.</w:t>
      </w:r>
    </w:p>
    <w:p w:rsidR="00AB405A" w:rsidRPr="003A1174" w:rsidRDefault="00D65CFD" w:rsidP="008719D4">
      <w:pPr>
        <w:spacing w:before="240" w:line="240" w:lineRule="auto"/>
        <w:jc w:val="both"/>
        <w:rPr>
          <w:rFonts w:ascii="Garamond" w:hAnsi="Garamond" w:cs="Arial"/>
          <w:sz w:val="24"/>
          <w:szCs w:val="24"/>
        </w:rPr>
      </w:pPr>
      <w:r w:rsidRPr="003A1174">
        <w:rPr>
          <w:rFonts w:ascii="Garamond" w:hAnsi="Garamond" w:cs="Arial"/>
          <w:sz w:val="24"/>
          <w:szCs w:val="24"/>
        </w:rPr>
        <w:t>O</w:t>
      </w:r>
      <w:r w:rsidR="00AB405A" w:rsidRPr="003A1174">
        <w:rPr>
          <w:rFonts w:ascii="Garamond" w:hAnsi="Garamond" w:cs="Arial"/>
          <w:sz w:val="24"/>
          <w:szCs w:val="24"/>
        </w:rPr>
        <w:t xml:space="preserve"> Programa </w:t>
      </w:r>
      <w:r w:rsidRPr="003A1174">
        <w:rPr>
          <w:rFonts w:ascii="Garamond" w:hAnsi="Garamond" w:cs="Arial"/>
          <w:sz w:val="24"/>
          <w:szCs w:val="24"/>
        </w:rPr>
        <w:t>Preside</w:t>
      </w:r>
      <w:r w:rsidR="002C7510" w:rsidRPr="003A1174">
        <w:rPr>
          <w:rFonts w:ascii="Garamond" w:hAnsi="Garamond" w:cs="Arial"/>
          <w:sz w:val="24"/>
          <w:szCs w:val="24"/>
        </w:rPr>
        <w:t>ncia</w:t>
      </w:r>
      <w:r w:rsidR="00AB405A" w:rsidRPr="003A1174">
        <w:rPr>
          <w:rFonts w:ascii="Garamond" w:hAnsi="Garamond" w:cs="Arial"/>
          <w:sz w:val="24"/>
          <w:szCs w:val="24"/>
        </w:rPr>
        <w:t xml:space="preserve">l de </w:t>
      </w:r>
      <w:r w:rsidR="00886D6A" w:rsidRPr="003A1174">
        <w:rPr>
          <w:rFonts w:ascii="Garamond" w:hAnsi="Garamond" w:cs="Arial"/>
          <w:sz w:val="24"/>
          <w:szCs w:val="24"/>
        </w:rPr>
        <w:t>Direito</w:t>
      </w:r>
      <w:r w:rsidRPr="003A1174">
        <w:rPr>
          <w:rFonts w:ascii="Garamond" w:hAnsi="Garamond" w:cs="Arial"/>
          <w:sz w:val="24"/>
          <w:szCs w:val="24"/>
        </w:rPr>
        <w:t>s Humanos d</w:t>
      </w:r>
      <w:r w:rsidR="00AB405A" w:rsidRPr="003A1174">
        <w:rPr>
          <w:rFonts w:ascii="Garamond" w:hAnsi="Garamond" w:cs="Arial"/>
          <w:sz w:val="24"/>
          <w:szCs w:val="24"/>
        </w:rPr>
        <w:t xml:space="preserve">a </w:t>
      </w:r>
      <w:r w:rsidR="002C7510" w:rsidRPr="003A1174">
        <w:rPr>
          <w:rFonts w:ascii="Garamond" w:hAnsi="Garamond" w:cs="Arial"/>
          <w:sz w:val="24"/>
          <w:szCs w:val="24"/>
        </w:rPr>
        <w:t>Presidência</w:t>
      </w:r>
      <w:r w:rsidR="00AB405A" w:rsidRPr="003A1174">
        <w:rPr>
          <w:rFonts w:ascii="Garamond" w:hAnsi="Garamond" w:cs="Arial"/>
          <w:sz w:val="24"/>
          <w:szCs w:val="24"/>
        </w:rPr>
        <w:t xml:space="preserve"> d</w:t>
      </w:r>
      <w:r w:rsidRPr="003A1174">
        <w:rPr>
          <w:rFonts w:ascii="Garamond" w:hAnsi="Garamond" w:cs="Arial"/>
          <w:sz w:val="24"/>
          <w:szCs w:val="24"/>
        </w:rPr>
        <w:t>a República da</w:t>
      </w:r>
      <w:r w:rsidR="00AB405A" w:rsidRPr="003A1174">
        <w:rPr>
          <w:rFonts w:ascii="Garamond" w:hAnsi="Garamond" w:cs="Arial"/>
          <w:sz w:val="24"/>
          <w:szCs w:val="24"/>
        </w:rPr>
        <w:t xml:space="preserve"> </w:t>
      </w:r>
      <w:r w:rsidR="0017447A" w:rsidRPr="003A1174">
        <w:rPr>
          <w:rFonts w:ascii="Garamond" w:hAnsi="Garamond" w:cs="Arial"/>
          <w:sz w:val="24"/>
          <w:szCs w:val="24"/>
        </w:rPr>
        <w:t>Colômbia</w:t>
      </w:r>
      <w:r w:rsidR="00AB405A" w:rsidRPr="003A1174">
        <w:rPr>
          <w:rFonts w:ascii="Garamond" w:hAnsi="Garamond" w:cs="Arial"/>
          <w:sz w:val="24"/>
          <w:szCs w:val="24"/>
        </w:rPr>
        <w:t xml:space="preserve"> </w:t>
      </w:r>
      <w:r w:rsidRPr="003A1174">
        <w:rPr>
          <w:rFonts w:ascii="Garamond" w:hAnsi="Garamond" w:cs="Arial"/>
          <w:sz w:val="24"/>
          <w:szCs w:val="24"/>
        </w:rPr>
        <w:t>investiu</w:t>
      </w:r>
      <w:r w:rsidR="00032B25">
        <w:rPr>
          <w:rFonts w:ascii="Garamond" w:hAnsi="Garamond" w:cs="Arial"/>
          <w:sz w:val="24"/>
          <w:szCs w:val="24"/>
        </w:rPr>
        <w:t>, igualmente, em</w:t>
      </w:r>
      <w:r w:rsidRPr="003A1174">
        <w:rPr>
          <w:rFonts w:ascii="Garamond" w:hAnsi="Garamond" w:cs="Arial"/>
          <w:sz w:val="24"/>
          <w:szCs w:val="24"/>
        </w:rPr>
        <w:t xml:space="preserve"> </w:t>
      </w:r>
      <w:r w:rsidR="00AB405A" w:rsidRPr="003A1174">
        <w:rPr>
          <w:rFonts w:ascii="Garamond" w:hAnsi="Garamond" w:cs="Arial"/>
          <w:sz w:val="24"/>
          <w:szCs w:val="24"/>
        </w:rPr>
        <w:t>recursos</w:t>
      </w:r>
      <w:r w:rsidR="00032B25">
        <w:rPr>
          <w:rFonts w:ascii="Garamond" w:hAnsi="Garamond" w:cs="Arial"/>
          <w:sz w:val="24"/>
          <w:szCs w:val="24"/>
        </w:rPr>
        <w:t xml:space="preserve"> valiosos, </w:t>
      </w:r>
      <w:r w:rsidRPr="003A1174">
        <w:rPr>
          <w:rFonts w:ascii="Garamond" w:hAnsi="Garamond" w:cs="Arial"/>
          <w:sz w:val="24"/>
          <w:szCs w:val="24"/>
        </w:rPr>
        <w:t>n</w:t>
      </w:r>
      <w:r w:rsidR="00AB405A" w:rsidRPr="003A1174">
        <w:rPr>
          <w:rFonts w:ascii="Garamond" w:hAnsi="Garamond" w:cs="Arial"/>
          <w:sz w:val="24"/>
          <w:szCs w:val="24"/>
        </w:rPr>
        <w:t xml:space="preserve">a </w:t>
      </w:r>
      <w:r w:rsidR="00C30647" w:rsidRPr="003A1174">
        <w:rPr>
          <w:rFonts w:ascii="Garamond" w:hAnsi="Garamond" w:cs="Arial"/>
          <w:sz w:val="24"/>
          <w:szCs w:val="24"/>
        </w:rPr>
        <w:t>realização</w:t>
      </w:r>
      <w:r w:rsidR="00AB405A" w:rsidRPr="003A1174">
        <w:rPr>
          <w:rFonts w:ascii="Garamond" w:hAnsi="Garamond" w:cs="Arial"/>
          <w:sz w:val="24"/>
          <w:szCs w:val="24"/>
        </w:rPr>
        <w:t xml:space="preserve"> de jornadas conjuntas</w:t>
      </w:r>
      <w:r w:rsidR="00CF3B7E" w:rsidRPr="003A1174">
        <w:rPr>
          <w:rFonts w:ascii="Garamond" w:hAnsi="Garamond" w:cs="Arial"/>
          <w:sz w:val="24"/>
          <w:szCs w:val="24"/>
        </w:rPr>
        <w:t>,</w:t>
      </w:r>
      <w:r w:rsidR="00AB405A" w:rsidRPr="003A1174">
        <w:rPr>
          <w:rFonts w:ascii="Garamond" w:hAnsi="Garamond" w:cs="Arial"/>
          <w:sz w:val="24"/>
          <w:szCs w:val="24"/>
        </w:rPr>
        <w:t xml:space="preserve"> </w:t>
      </w:r>
      <w:r w:rsidR="009A0CC2" w:rsidRPr="003A1174">
        <w:rPr>
          <w:rFonts w:ascii="Garamond" w:hAnsi="Garamond" w:cs="Arial"/>
          <w:sz w:val="24"/>
          <w:szCs w:val="24"/>
        </w:rPr>
        <w:t>através</w:t>
      </w:r>
      <w:r w:rsidRPr="003A1174">
        <w:rPr>
          <w:rFonts w:ascii="Garamond" w:hAnsi="Garamond" w:cs="Arial"/>
          <w:sz w:val="24"/>
          <w:szCs w:val="24"/>
        </w:rPr>
        <w:t xml:space="preserve"> de um</w:t>
      </w:r>
      <w:r w:rsidR="00AB405A" w:rsidRPr="003A1174">
        <w:rPr>
          <w:rFonts w:ascii="Garamond" w:hAnsi="Garamond" w:cs="Arial"/>
          <w:sz w:val="24"/>
          <w:szCs w:val="24"/>
        </w:rPr>
        <w:t xml:space="preserve">a </w:t>
      </w:r>
      <w:r w:rsidR="00A56F43" w:rsidRPr="003A1174">
        <w:rPr>
          <w:rFonts w:ascii="Garamond" w:hAnsi="Garamond" w:cs="Arial"/>
          <w:sz w:val="24"/>
          <w:szCs w:val="24"/>
        </w:rPr>
        <w:t>estratégia</w:t>
      </w:r>
      <w:r w:rsidR="00AB405A" w:rsidRPr="003A1174">
        <w:rPr>
          <w:rFonts w:ascii="Garamond" w:hAnsi="Garamond" w:cs="Arial"/>
          <w:sz w:val="24"/>
          <w:szCs w:val="24"/>
        </w:rPr>
        <w:t xml:space="preserve"> inter</w:t>
      </w:r>
      <w:r w:rsidR="00F96DD1" w:rsidRPr="003A1174">
        <w:rPr>
          <w:rFonts w:ascii="Garamond" w:hAnsi="Garamond" w:cs="Arial"/>
          <w:sz w:val="24"/>
          <w:szCs w:val="24"/>
        </w:rPr>
        <w:t>setor</w:t>
      </w:r>
      <w:r w:rsidR="00AB405A" w:rsidRPr="003A1174">
        <w:rPr>
          <w:rFonts w:ascii="Garamond" w:hAnsi="Garamond" w:cs="Arial"/>
          <w:sz w:val="24"/>
          <w:szCs w:val="24"/>
        </w:rPr>
        <w:t xml:space="preserve">ial de </w:t>
      </w:r>
      <w:r w:rsidR="007A74B6">
        <w:rPr>
          <w:rFonts w:ascii="Garamond" w:hAnsi="Garamond" w:cs="Arial"/>
          <w:sz w:val="24"/>
          <w:szCs w:val="24"/>
        </w:rPr>
        <w:t xml:space="preserve">desenvolvimento, aplicáveis </w:t>
      </w:r>
      <w:r w:rsidR="00AB405A" w:rsidRPr="003A1174">
        <w:rPr>
          <w:rFonts w:ascii="Garamond" w:hAnsi="Garamond" w:cs="Arial"/>
          <w:sz w:val="24"/>
          <w:szCs w:val="24"/>
        </w:rPr>
        <w:t xml:space="preserve">a casos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00032B25">
        <w:rPr>
          <w:rFonts w:ascii="Garamond" w:hAnsi="Garamond" w:cs="Arial"/>
          <w:sz w:val="24"/>
          <w:szCs w:val="24"/>
        </w:rPr>
        <w:t xml:space="preserve">à </w:t>
      </w:r>
      <w:r w:rsidR="008278C4" w:rsidRPr="003A1174">
        <w:rPr>
          <w:rFonts w:ascii="Garamond" w:hAnsi="Garamond" w:cs="Arial"/>
          <w:sz w:val="24"/>
          <w:szCs w:val="24"/>
        </w:rPr>
        <w:t>atenção</w:t>
      </w:r>
      <w:r w:rsidR="00AB405A" w:rsidRPr="003A1174">
        <w:rPr>
          <w:rFonts w:ascii="Garamond" w:hAnsi="Garamond" w:cs="Arial"/>
          <w:sz w:val="24"/>
          <w:szCs w:val="24"/>
        </w:rPr>
        <w:t xml:space="preserve"> integral a </w:t>
      </w:r>
      <w:r w:rsidR="00054EE0" w:rsidRPr="003A1174">
        <w:rPr>
          <w:rFonts w:ascii="Garamond" w:hAnsi="Garamond" w:cs="Arial"/>
          <w:sz w:val="24"/>
          <w:szCs w:val="24"/>
        </w:rPr>
        <w:t>mulheres</w:t>
      </w:r>
      <w:r w:rsidR="00AB405A" w:rsidRPr="003A1174">
        <w:rPr>
          <w:rFonts w:ascii="Garamond" w:hAnsi="Garamond" w:cs="Arial"/>
          <w:sz w:val="24"/>
          <w:szCs w:val="24"/>
        </w:rPr>
        <w:t xml:space="preserve"> </w:t>
      </w:r>
      <w:r w:rsidR="003F012B" w:rsidRPr="003A1174">
        <w:rPr>
          <w:rFonts w:ascii="Garamond" w:hAnsi="Garamond" w:cs="Arial"/>
          <w:sz w:val="24"/>
          <w:szCs w:val="24"/>
        </w:rPr>
        <w:t>vítima</w:t>
      </w:r>
      <w:r w:rsidR="00AB405A" w:rsidRPr="003A1174">
        <w:rPr>
          <w:rFonts w:ascii="Garamond" w:hAnsi="Garamond" w:cs="Arial"/>
          <w:sz w:val="24"/>
          <w:szCs w:val="24"/>
        </w:rPr>
        <w:t xml:space="preserve">s de </w:t>
      </w:r>
      <w:r w:rsidR="000350B1" w:rsidRPr="003A1174">
        <w:rPr>
          <w:rFonts w:ascii="Garamond" w:hAnsi="Garamond" w:cs="Arial"/>
          <w:sz w:val="24"/>
          <w:szCs w:val="24"/>
        </w:rPr>
        <w:t>violência</w:t>
      </w:r>
      <w:r w:rsidR="00AB405A" w:rsidRPr="003A1174">
        <w:rPr>
          <w:rFonts w:ascii="Garamond" w:hAnsi="Garamond" w:cs="Arial"/>
          <w:sz w:val="24"/>
          <w:szCs w:val="24"/>
        </w:rPr>
        <w:t>, e</w:t>
      </w:r>
      <w:r w:rsidRPr="003A1174">
        <w:rPr>
          <w:rFonts w:ascii="Garamond" w:hAnsi="Garamond" w:cs="Arial"/>
          <w:sz w:val="24"/>
          <w:szCs w:val="24"/>
        </w:rPr>
        <w:t>m</w:t>
      </w:r>
      <w:r w:rsidR="00AB405A" w:rsidRPr="003A1174">
        <w:rPr>
          <w:rFonts w:ascii="Garamond" w:hAnsi="Garamond" w:cs="Arial"/>
          <w:sz w:val="24"/>
          <w:szCs w:val="24"/>
        </w:rPr>
        <w:t xml:space="preserve"> especial </w:t>
      </w:r>
      <w:r w:rsidRPr="003A1174">
        <w:rPr>
          <w:rFonts w:ascii="Garamond" w:hAnsi="Garamond" w:cs="Arial"/>
          <w:sz w:val="24"/>
          <w:szCs w:val="24"/>
        </w:rPr>
        <w:t xml:space="preserve">de </w:t>
      </w:r>
      <w:r w:rsidR="000350B1" w:rsidRPr="003A1174">
        <w:rPr>
          <w:rFonts w:ascii="Garamond" w:hAnsi="Garamond" w:cs="Arial"/>
          <w:sz w:val="24"/>
          <w:szCs w:val="24"/>
        </w:rPr>
        <w:t>violência</w:t>
      </w:r>
      <w:r w:rsidR="00AB405A" w:rsidRPr="003A1174">
        <w:rPr>
          <w:rFonts w:ascii="Garamond" w:hAnsi="Garamond" w:cs="Arial"/>
          <w:sz w:val="24"/>
          <w:szCs w:val="24"/>
        </w:rPr>
        <w:t xml:space="preserve"> sexual, e</w:t>
      </w:r>
      <w:r w:rsidRPr="003A1174">
        <w:rPr>
          <w:rFonts w:ascii="Garamond" w:hAnsi="Garamond" w:cs="Arial"/>
          <w:sz w:val="24"/>
          <w:szCs w:val="24"/>
        </w:rPr>
        <w:t>m</w:t>
      </w:r>
      <w:r w:rsidR="00AB405A" w:rsidRPr="003A1174">
        <w:rPr>
          <w:rFonts w:ascii="Garamond" w:hAnsi="Garamond" w:cs="Arial"/>
          <w:sz w:val="24"/>
          <w:szCs w:val="24"/>
        </w:rPr>
        <w:t xml:space="preserve"> </w:t>
      </w:r>
      <w:r w:rsidR="008278C4" w:rsidRPr="003A1174">
        <w:rPr>
          <w:rFonts w:ascii="Garamond" w:hAnsi="Garamond" w:cs="Arial"/>
          <w:sz w:val="24"/>
          <w:szCs w:val="24"/>
        </w:rPr>
        <w:t>município</w:t>
      </w:r>
      <w:r w:rsidRPr="003A1174">
        <w:rPr>
          <w:rFonts w:ascii="Garamond" w:hAnsi="Garamond" w:cs="Arial"/>
          <w:sz w:val="24"/>
          <w:szCs w:val="24"/>
        </w:rPr>
        <w:t>s</w:t>
      </w:r>
      <w:r w:rsidR="00032B25">
        <w:rPr>
          <w:rFonts w:ascii="Garamond" w:hAnsi="Garamond" w:cs="Arial"/>
          <w:sz w:val="24"/>
          <w:szCs w:val="24"/>
        </w:rPr>
        <w:t>,</w:t>
      </w:r>
      <w:r w:rsidRPr="003A1174">
        <w:rPr>
          <w:rFonts w:ascii="Garamond" w:hAnsi="Garamond" w:cs="Arial"/>
          <w:sz w:val="24"/>
          <w:szCs w:val="24"/>
        </w:rPr>
        <w:t xml:space="preserve"> </w:t>
      </w:r>
      <w:r w:rsidR="00AB405A" w:rsidRPr="003A1174">
        <w:rPr>
          <w:rFonts w:ascii="Garamond" w:hAnsi="Garamond" w:cs="Arial"/>
          <w:sz w:val="24"/>
          <w:szCs w:val="24"/>
        </w:rPr>
        <w:t>onde se identifica</w:t>
      </w:r>
      <w:r w:rsidRPr="003A1174">
        <w:rPr>
          <w:rFonts w:ascii="Garamond" w:hAnsi="Garamond" w:cs="Arial"/>
          <w:sz w:val="24"/>
          <w:szCs w:val="24"/>
        </w:rPr>
        <w:t xml:space="preserve">ram </w:t>
      </w:r>
      <w:r w:rsidR="007342D9" w:rsidRPr="003A1174">
        <w:rPr>
          <w:rFonts w:ascii="Garamond" w:hAnsi="Garamond" w:cs="Arial"/>
          <w:sz w:val="24"/>
          <w:szCs w:val="24"/>
        </w:rPr>
        <w:t>situações</w:t>
      </w:r>
      <w:r w:rsidR="00AB405A" w:rsidRPr="003A1174">
        <w:rPr>
          <w:rFonts w:ascii="Garamond" w:hAnsi="Garamond" w:cs="Arial"/>
          <w:sz w:val="24"/>
          <w:szCs w:val="24"/>
        </w:rPr>
        <w:t xml:space="preserve"> críticas de </w:t>
      </w:r>
      <w:r w:rsidR="000350B1" w:rsidRPr="003A1174">
        <w:rPr>
          <w:rFonts w:ascii="Garamond" w:hAnsi="Garamond" w:cs="Arial"/>
          <w:sz w:val="24"/>
          <w:szCs w:val="24"/>
        </w:rPr>
        <w:t>violência</w:t>
      </w:r>
      <w:r w:rsidR="00447BFA">
        <w:rPr>
          <w:rFonts w:ascii="Garamond" w:hAnsi="Garamond" w:cs="Arial"/>
          <w:sz w:val="24"/>
          <w:szCs w:val="24"/>
        </w:rPr>
        <w:t>,</w:t>
      </w:r>
      <w:r w:rsidR="00AB405A" w:rsidRPr="003A1174">
        <w:rPr>
          <w:rFonts w:ascii="Garamond" w:hAnsi="Garamond" w:cs="Arial"/>
          <w:sz w:val="24"/>
          <w:szCs w:val="24"/>
        </w:rPr>
        <w:t xml:space="preserve"> </w:t>
      </w:r>
      <w:r w:rsidR="007C63D0" w:rsidRPr="003A1174">
        <w:rPr>
          <w:rFonts w:ascii="Garamond" w:hAnsi="Garamond" w:cs="Arial"/>
          <w:sz w:val="24"/>
          <w:szCs w:val="24"/>
        </w:rPr>
        <w:t>baseada</w:t>
      </w:r>
      <w:r w:rsidR="00AB405A" w:rsidRPr="003A1174">
        <w:rPr>
          <w:rFonts w:ascii="Garamond" w:hAnsi="Garamond" w:cs="Arial"/>
          <w:sz w:val="24"/>
          <w:szCs w:val="24"/>
        </w:rPr>
        <w:t xml:space="preserve"> e</w:t>
      </w:r>
      <w:r w:rsidRPr="003A1174">
        <w:rPr>
          <w:rFonts w:ascii="Garamond" w:hAnsi="Garamond" w:cs="Arial"/>
          <w:sz w:val="24"/>
          <w:szCs w:val="24"/>
        </w:rPr>
        <w:t>m</w:t>
      </w:r>
      <w:r w:rsidR="00AB405A" w:rsidRPr="003A1174">
        <w:rPr>
          <w:rFonts w:ascii="Garamond" w:hAnsi="Garamond" w:cs="Arial"/>
          <w:sz w:val="24"/>
          <w:szCs w:val="24"/>
        </w:rPr>
        <w:t xml:space="preserve"> género,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Pr="003A1174">
        <w:rPr>
          <w:rFonts w:ascii="Garamond" w:hAnsi="Garamond" w:cs="Arial"/>
          <w:sz w:val="24"/>
          <w:szCs w:val="24"/>
        </w:rPr>
        <w:t>n</w:t>
      </w:r>
      <w:r w:rsidR="00032B25">
        <w:rPr>
          <w:rFonts w:ascii="Garamond" w:hAnsi="Garamond" w:cs="Arial"/>
          <w:sz w:val="24"/>
          <w:szCs w:val="24"/>
        </w:rPr>
        <w:t>o</w:t>
      </w:r>
      <w:r w:rsidR="00AB405A" w:rsidRPr="003A1174">
        <w:rPr>
          <w:rFonts w:ascii="Garamond" w:hAnsi="Garamond" w:cs="Arial"/>
          <w:sz w:val="24"/>
          <w:szCs w:val="24"/>
        </w:rPr>
        <w:t xml:space="preserve">s </w:t>
      </w:r>
      <w:r w:rsidR="00B936A7" w:rsidRPr="003A1174">
        <w:rPr>
          <w:rFonts w:ascii="Garamond" w:hAnsi="Garamond" w:cs="Arial"/>
          <w:sz w:val="24"/>
          <w:szCs w:val="24"/>
        </w:rPr>
        <w:t>quais</w:t>
      </w:r>
      <w:r w:rsidR="00AB405A" w:rsidRPr="003A1174">
        <w:rPr>
          <w:rFonts w:ascii="Garamond" w:hAnsi="Garamond" w:cs="Arial"/>
          <w:sz w:val="24"/>
          <w:szCs w:val="24"/>
        </w:rPr>
        <w:t xml:space="preserve"> se </w:t>
      </w:r>
      <w:r w:rsidR="00152A44" w:rsidRPr="003A1174">
        <w:rPr>
          <w:rFonts w:ascii="Garamond" w:hAnsi="Garamond" w:cs="Arial"/>
          <w:sz w:val="24"/>
          <w:szCs w:val="24"/>
        </w:rPr>
        <w:t>estabelece</w:t>
      </w:r>
      <w:r w:rsidR="00447BFA">
        <w:rPr>
          <w:rFonts w:ascii="Garamond" w:hAnsi="Garamond" w:cs="Arial"/>
          <w:sz w:val="24"/>
          <w:szCs w:val="24"/>
        </w:rPr>
        <w:t>ra</w:t>
      </w:r>
      <w:r w:rsidRPr="003A1174">
        <w:rPr>
          <w:rFonts w:ascii="Garamond" w:hAnsi="Garamond" w:cs="Arial"/>
          <w:sz w:val="24"/>
          <w:szCs w:val="24"/>
        </w:rPr>
        <w:t>m</w:t>
      </w:r>
      <w:r w:rsidR="00AB405A" w:rsidRPr="003A1174">
        <w:rPr>
          <w:rFonts w:ascii="Garamond" w:hAnsi="Garamond" w:cs="Arial"/>
          <w:sz w:val="24"/>
          <w:szCs w:val="24"/>
        </w:rPr>
        <w:t xml:space="preserve"> agendas co</w:t>
      </w:r>
      <w:r w:rsidRPr="003A1174">
        <w:rPr>
          <w:rFonts w:ascii="Garamond" w:hAnsi="Garamond" w:cs="Arial"/>
          <w:sz w:val="24"/>
          <w:szCs w:val="24"/>
        </w:rPr>
        <w:t xml:space="preserve">m </w:t>
      </w:r>
      <w:r w:rsidR="00AB405A" w:rsidRPr="003A1174">
        <w:rPr>
          <w:rFonts w:ascii="Garamond" w:hAnsi="Garamond" w:cs="Arial"/>
          <w:sz w:val="24"/>
          <w:szCs w:val="24"/>
        </w:rPr>
        <w:t>a</w:t>
      </w:r>
      <w:r w:rsidR="007A74B6">
        <w:rPr>
          <w:rFonts w:ascii="Garamond" w:hAnsi="Garamond" w:cs="Arial"/>
          <w:sz w:val="24"/>
          <w:szCs w:val="24"/>
        </w:rPr>
        <w:t>s</w:t>
      </w:r>
      <w:r w:rsidR="00AB405A" w:rsidRPr="003A1174">
        <w:rPr>
          <w:rFonts w:ascii="Garamond" w:hAnsi="Garamond" w:cs="Arial"/>
          <w:sz w:val="24"/>
          <w:szCs w:val="24"/>
        </w:rPr>
        <w:t xml:space="preserve"> </w:t>
      </w:r>
      <w:r w:rsidR="00447BFA">
        <w:rPr>
          <w:rFonts w:ascii="Garamond" w:hAnsi="Garamond" w:cs="Arial"/>
          <w:sz w:val="24"/>
          <w:szCs w:val="24"/>
        </w:rPr>
        <w:t xml:space="preserve">instituições </w:t>
      </w:r>
      <w:r w:rsidR="00AB405A" w:rsidRPr="003A1174">
        <w:rPr>
          <w:rFonts w:ascii="Garamond" w:hAnsi="Garamond" w:cs="Arial"/>
          <w:sz w:val="24"/>
          <w:szCs w:val="24"/>
        </w:rPr>
        <w:t>loca</w:t>
      </w:r>
      <w:r w:rsidR="007A74B6">
        <w:rPr>
          <w:rFonts w:ascii="Garamond" w:hAnsi="Garamond" w:cs="Arial"/>
          <w:sz w:val="24"/>
          <w:szCs w:val="24"/>
        </w:rPr>
        <w:t>is</w:t>
      </w:r>
      <w:r w:rsidR="00AB405A" w:rsidRPr="003A1174">
        <w:rPr>
          <w:rFonts w:ascii="Garamond" w:hAnsi="Garamond" w:cs="Arial"/>
          <w:sz w:val="24"/>
          <w:szCs w:val="24"/>
        </w:rPr>
        <w:t xml:space="preserve">, para </w:t>
      </w:r>
      <w:r w:rsidR="00447BFA">
        <w:rPr>
          <w:rFonts w:ascii="Garamond" w:hAnsi="Garamond" w:cs="Arial"/>
          <w:sz w:val="24"/>
          <w:szCs w:val="24"/>
        </w:rPr>
        <w:t>registar</w:t>
      </w:r>
      <w:r w:rsidR="007A74B6">
        <w:rPr>
          <w:rFonts w:ascii="Garamond" w:hAnsi="Garamond" w:cs="Arial"/>
          <w:sz w:val="24"/>
          <w:szCs w:val="24"/>
        </w:rPr>
        <w:t xml:space="preserve"> </w:t>
      </w:r>
      <w:r w:rsidR="00AB405A" w:rsidRPr="003A1174">
        <w:rPr>
          <w:rFonts w:ascii="Garamond" w:hAnsi="Garamond" w:cs="Arial"/>
          <w:sz w:val="24"/>
          <w:szCs w:val="24"/>
        </w:rPr>
        <w:t xml:space="preserve">as problemáticas existentes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007A74B6">
        <w:rPr>
          <w:rFonts w:ascii="Garamond" w:hAnsi="Garamond" w:cs="Arial"/>
          <w:sz w:val="24"/>
          <w:szCs w:val="24"/>
        </w:rPr>
        <w:t xml:space="preserve">encontrar </w:t>
      </w:r>
      <w:r w:rsidR="00620CE8" w:rsidRPr="003A1174">
        <w:rPr>
          <w:rFonts w:ascii="Garamond" w:hAnsi="Garamond" w:cs="Arial"/>
          <w:sz w:val="24"/>
          <w:szCs w:val="24"/>
        </w:rPr>
        <w:t>soluções</w:t>
      </w:r>
      <w:r w:rsidR="00AB405A" w:rsidRPr="003A1174">
        <w:rPr>
          <w:rFonts w:ascii="Garamond" w:hAnsi="Garamond" w:cs="Arial"/>
          <w:sz w:val="24"/>
          <w:szCs w:val="24"/>
        </w:rPr>
        <w:t xml:space="preserve"> </w:t>
      </w:r>
      <w:r w:rsidR="00201889" w:rsidRPr="003A1174">
        <w:rPr>
          <w:rFonts w:ascii="Garamond" w:hAnsi="Garamond" w:cs="Arial"/>
          <w:sz w:val="24"/>
          <w:szCs w:val="24"/>
        </w:rPr>
        <w:t>pontuais</w:t>
      </w:r>
      <w:r w:rsidR="00AB405A" w:rsidRPr="003A1174">
        <w:rPr>
          <w:rFonts w:ascii="Garamond" w:hAnsi="Garamond" w:cs="Arial"/>
          <w:sz w:val="24"/>
          <w:szCs w:val="24"/>
        </w:rPr>
        <w:t xml:space="preserve"> </w:t>
      </w:r>
      <w:r w:rsidR="007A74B6">
        <w:rPr>
          <w:rFonts w:ascii="Garamond" w:hAnsi="Garamond" w:cs="Arial"/>
          <w:sz w:val="24"/>
          <w:szCs w:val="24"/>
        </w:rPr>
        <w:t>para</w:t>
      </w:r>
      <w:r w:rsidR="00447BFA">
        <w:rPr>
          <w:rFonts w:ascii="Garamond" w:hAnsi="Garamond" w:cs="Arial"/>
          <w:sz w:val="24"/>
          <w:szCs w:val="24"/>
        </w:rPr>
        <w:t xml:space="preserve"> ultrapassar</w:t>
      </w:r>
      <w:r w:rsidR="007A74B6">
        <w:rPr>
          <w:rFonts w:ascii="Garamond" w:hAnsi="Garamond" w:cs="Arial"/>
          <w:sz w:val="24"/>
          <w:szCs w:val="24"/>
        </w:rPr>
        <w:t xml:space="preserve"> os </w:t>
      </w:r>
      <w:r w:rsidR="00AB405A" w:rsidRPr="003A1174">
        <w:rPr>
          <w:rFonts w:ascii="Garamond" w:hAnsi="Garamond" w:cs="Arial"/>
          <w:sz w:val="24"/>
          <w:szCs w:val="24"/>
        </w:rPr>
        <w:t>obstáculos encontrados</w:t>
      </w:r>
      <w:r w:rsidR="00CF3B7E" w:rsidRPr="003A1174">
        <w:rPr>
          <w:rFonts w:ascii="Garamond" w:hAnsi="Garamond" w:cs="Arial"/>
          <w:sz w:val="24"/>
          <w:szCs w:val="24"/>
        </w:rPr>
        <w:t>.</w:t>
      </w:r>
      <w:r w:rsidR="00AB405A" w:rsidRPr="003A1174">
        <w:rPr>
          <w:rFonts w:ascii="Garamond" w:hAnsi="Garamond" w:cs="Arial"/>
          <w:sz w:val="24"/>
          <w:szCs w:val="24"/>
        </w:rPr>
        <w:t xml:space="preserve"> </w:t>
      </w:r>
      <w:r w:rsidR="00CF3B7E" w:rsidRPr="003A1174">
        <w:rPr>
          <w:rFonts w:ascii="Garamond" w:hAnsi="Garamond" w:cs="Arial"/>
          <w:sz w:val="24"/>
          <w:szCs w:val="24"/>
        </w:rPr>
        <w:t>C</w:t>
      </w:r>
      <w:r w:rsidR="00AB405A" w:rsidRPr="003A1174">
        <w:rPr>
          <w:rFonts w:ascii="Garamond" w:hAnsi="Garamond" w:cs="Arial"/>
          <w:sz w:val="24"/>
          <w:szCs w:val="24"/>
        </w:rPr>
        <w:t>o</w:t>
      </w:r>
      <w:r w:rsidRPr="003A1174">
        <w:rPr>
          <w:rFonts w:ascii="Garamond" w:hAnsi="Garamond" w:cs="Arial"/>
          <w:sz w:val="24"/>
          <w:szCs w:val="24"/>
        </w:rPr>
        <w:t xml:space="preserve">m </w:t>
      </w:r>
      <w:r w:rsidR="00CF3B7E" w:rsidRPr="003A1174">
        <w:rPr>
          <w:rFonts w:ascii="Garamond" w:hAnsi="Garamond" w:cs="Arial"/>
          <w:sz w:val="24"/>
          <w:szCs w:val="24"/>
        </w:rPr>
        <w:t xml:space="preserve">estas </w:t>
      </w:r>
      <w:r w:rsidR="002C7510" w:rsidRPr="003A1174">
        <w:rPr>
          <w:rFonts w:ascii="Garamond" w:hAnsi="Garamond" w:cs="Arial"/>
          <w:sz w:val="24"/>
          <w:szCs w:val="24"/>
        </w:rPr>
        <w:t>ações</w:t>
      </w:r>
      <w:r w:rsidR="00CF3B7E" w:rsidRPr="003A1174">
        <w:rPr>
          <w:rFonts w:ascii="Garamond" w:hAnsi="Garamond" w:cs="Arial"/>
          <w:sz w:val="24"/>
          <w:szCs w:val="24"/>
        </w:rPr>
        <w:t xml:space="preserve"> </w:t>
      </w:r>
      <w:r w:rsidRPr="003A1174">
        <w:rPr>
          <w:rFonts w:ascii="Garamond" w:hAnsi="Garamond" w:cs="Arial"/>
          <w:sz w:val="24"/>
          <w:szCs w:val="24"/>
        </w:rPr>
        <w:t>consegu</w:t>
      </w:r>
      <w:r w:rsidR="00447BFA">
        <w:rPr>
          <w:rFonts w:ascii="Garamond" w:hAnsi="Garamond" w:cs="Arial"/>
          <w:sz w:val="24"/>
          <w:szCs w:val="24"/>
        </w:rPr>
        <w:t>iu-se</w:t>
      </w:r>
      <w:r w:rsidR="00CF3B7E" w:rsidRPr="003A1174">
        <w:rPr>
          <w:rFonts w:ascii="Garamond" w:hAnsi="Garamond" w:cs="Arial"/>
          <w:sz w:val="24"/>
          <w:szCs w:val="24"/>
        </w:rPr>
        <w:t xml:space="preserve"> </w:t>
      </w:r>
      <w:r w:rsidR="002F5CD1" w:rsidRPr="003A1174">
        <w:rPr>
          <w:rFonts w:ascii="Garamond" w:hAnsi="Garamond" w:cs="Arial"/>
          <w:sz w:val="24"/>
          <w:szCs w:val="24"/>
        </w:rPr>
        <w:t>estabelecer</w:t>
      </w:r>
      <w:r w:rsidR="00CF3B7E" w:rsidRPr="003A1174">
        <w:rPr>
          <w:rFonts w:ascii="Garamond" w:hAnsi="Garamond" w:cs="Arial"/>
          <w:sz w:val="24"/>
          <w:szCs w:val="24"/>
        </w:rPr>
        <w:t xml:space="preserve"> </w:t>
      </w:r>
      <w:r w:rsidR="00731B19" w:rsidRPr="003A1174">
        <w:rPr>
          <w:rFonts w:ascii="Garamond" w:hAnsi="Garamond" w:cs="Arial"/>
          <w:sz w:val="24"/>
          <w:szCs w:val="24"/>
        </w:rPr>
        <w:t>compromisso</w:t>
      </w:r>
      <w:r w:rsidR="00AB405A" w:rsidRPr="003A1174">
        <w:rPr>
          <w:rFonts w:ascii="Garamond" w:hAnsi="Garamond" w:cs="Arial"/>
          <w:sz w:val="24"/>
          <w:szCs w:val="24"/>
        </w:rPr>
        <w:t xml:space="preserve">s </w:t>
      </w:r>
      <w:r w:rsidR="00201889" w:rsidRPr="003A1174">
        <w:rPr>
          <w:rFonts w:ascii="Garamond" w:hAnsi="Garamond" w:cs="Arial"/>
          <w:sz w:val="24"/>
          <w:szCs w:val="24"/>
        </w:rPr>
        <w:t>pontuais</w:t>
      </w:r>
      <w:r w:rsidR="00AB405A" w:rsidRPr="003A1174">
        <w:rPr>
          <w:rFonts w:ascii="Garamond" w:hAnsi="Garamond" w:cs="Arial"/>
          <w:sz w:val="24"/>
          <w:szCs w:val="24"/>
        </w:rPr>
        <w:t xml:space="preserve"> </w:t>
      </w:r>
      <w:r w:rsidRPr="003A1174">
        <w:rPr>
          <w:rFonts w:ascii="Garamond" w:hAnsi="Garamond" w:cs="Arial"/>
          <w:sz w:val="24"/>
          <w:szCs w:val="24"/>
        </w:rPr>
        <w:t xml:space="preserve">regionais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007A74B6">
        <w:rPr>
          <w:rFonts w:ascii="Garamond" w:hAnsi="Garamond" w:cs="Arial"/>
          <w:sz w:val="24"/>
          <w:szCs w:val="24"/>
        </w:rPr>
        <w:t xml:space="preserve">acompanhamento </w:t>
      </w:r>
      <w:r w:rsidRPr="003A1174">
        <w:rPr>
          <w:rFonts w:ascii="Garamond" w:hAnsi="Garamond" w:cs="Arial"/>
          <w:sz w:val="24"/>
          <w:szCs w:val="24"/>
        </w:rPr>
        <w:t xml:space="preserve">a nível </w:t>
      </w:r>
      <w:r w:rsidR="00AB405A" w:rsidRPr="003A1174">
        <w:rPr>
          <w:rFonts w:ascii="Garamond" w:hAnsi="Garamond" w:cs="Arial"/>
          <w:sz w:val="24"/>
          <w:szCs w:val="24"/>
        </w:rPr>
        <w:t>nacional, co</w:t>
      </w:r>
      <w:r w:rsidRPr="003A1174">
        <w:rPr>
          <w:rFonts w:ascii="Garamond" w:hAnsi="Garamond" w:cs="Arial"/>
          <w:sz w:val="24"/>
          <w:szCs w:val="24"/>
        </w:rPr>
        <w:t>m um</w:t>
      </w:r>
      <w:r w:rsidR="00AB405A" w:rsidRPr="003A1174">
        <w:rPr>
          <w:rFonts w:ascii="Garamond" w:hAnsi="Garamond" w:cs="Arial"/>
          <w:sz w:val="24"/>
          <w:szCs w:val="24"/>
        </w:rPr>
        <w:t xml:space="preserve">a </w:t>
      </w:r>
      <w:r w:rsidR="00A56F43" w:rsidRPr="003A1174">
        <w:rPr>
          <w:rFonts w:ascii="Garamond" w:hAnsi="Garamond" w:cs="Arial"/>
          <w:sz w:val="24"/>
          <w:szCs w:val="24"/>
        </w:rPr>
        <w:t>estratégia</w:t>
      </w:r>
      <w:r w:rsidR="00AB405A" w:rsidRPr="003A1174">
        <w:rPr>
          <w:rFonts w:ascii="Garamond" w:hAnsi="Garamond" w:cs="Arial"/>
          <w:sz w:val="24"/>
          <w:szCs w:val="24"/>
        </w:rPr>
        <w:t xml:space="preserve"> clara </w:t>
      </w:r>
      <w:r w:rsidR="007A74B6">
        <w:rPr>
          <w:rFonts w:ascii="Garamond" w:hAnsi="Garamond" w:cs="Arial"/>
          <w:sz w:val="24"/>
          <w:szCs w:val="24"/>
        </w:rPr>
        <w:t xml:space="preserve">de expansão </w:t>
      </w:r>
      <w:r w:rsidRPr="003A1174">
        <w:rPr>
          <w:rFonts w:ascii="Garamond" w:hAnsi="Garamond" w:cs="Arial"/>
          <w:sz w:val="24"/>
          <w:szCs w:val="24"/>
        </w:rPr>
        <w:t xml:space="preserve">a casos para </w:t>
      </w:r>
      <w:r w:rsidR="00886D6A" w:rsidRPr="003A1174">
        <w:rPr>
          <w:rFonts w:ascii="Garamond" w:hAnsi="Garamond" w:cs="Arial"/>
          <w:sz w:val="24"/>
          <w:szCs w:val="24"/>
        </w:rPr>
        <w:t>investigação</w:t>
      </w:r>
      <w:r w:rsidR="00AB405A" w:rsidRPr="003A1174">
        <w:rPr>
          <w:rFonts w:ascii="Garamond" w:hAnsi="Garamond" w:cs="Arial"/>
          <w:sz w:val="24"/>
          <w:szCs w:val="24"/>
        </w:rPr>
        <w:t xml:space="preserve"> </w:t>
      </w:r>
      <w:r w:rsidR="000672E8" w:rsidRPr="003A1174">
        <w:rPr>
          <w:rFonts w:ascii="Garamond" w:hAnsi="Garamond" w:cs="Arial"/>
          <w:sz w:val="24"/>
          <w:szCs w:val="24"/>
        </w:rPr>
        <w:t>e</w:t>
      </w:r>
      <w:r w:rsidR="00AB405A" w:rsidRPr="003A1174">
        <w:rPr>
          <w:rFonts w:ascii="Garamond" w:hAnsi="Garamond" w:cs="Arial"/>
          <w:sz w:val="24"/>
          <w:szCs w:val="24"/>
        </w:rPr>
        <w:t xml:space="preserve"> judicializa</w:t>
      </w:r>
      <w:r w:rsidR="00C751FC" w:rsidRPr="003A1174">
        <w:rPr>
          <w:rFonts w:ascii="Garamond" w:hAnsi="Garamond" w:cs="Arial"/>
          <w:sz w:val="24"/>
          <w:szCs w:val="24"/>
        </w:rPr>
        <w:t>ção</w:t>
      </w:r>
      <w:r w:rsidR="00AB405A" w:rsidRPr="003A1174">
        <w:rPr>
          <w:rFonts w:ascii="Garamond" w:hAnsi="Garamond" w:cs="Arial"/>
          <w:sz w:val="24"/>
          <w:szCs w:val="24"/>
        </w:rPr>
        <w:t xml:space="preserve"> da </w:t>
      </w:r>
      <w:r w:rsidR="000350B1" w:rsidRPr="003A1174">
        <w:rPr>
          <w:rFonts w:ascii="Garamond" w:hAnsi="Garamond" w:cs="Arial"/>
          <w:sz w:val="24"/>
          <w:szCs w:val="24"/>
        </w:rPr>
        <w:t>violência</w:t>
      </w:r>
      <w:r w:rsidR="00AB405A" w:rsidRPr="003A1174">
        <w:rPr>
          <w:rFonts w:ascii="Garamond" w:hAnsi="Garamond" w:cs="Arial"/>
          <w:sz w:val="24"/>
          <w:szCs w:val="24"/>
        </w:rPr>
        <w:t xml:space="preserve"> </w:t>
      </w:r>
      <w:r w:rsidR="00BB2B00" w:rsidRPr="003A1174">
        <w:rPr>
          <w:rFonts w:ascii="Garamond" w:hAnsi="Garamond" w:cs="Arial"/>
          <w:sz w:val="24"/>
          <w:szCs w:val="24"/>
        </w:rPr>
        <w:t>contra a</w:t>
      </w:r>
      <w:r w:rsidR="00AB405A" w:rsidRPr="003A1174">
        <w:rPr>
          <w:rFonts w:ascii="Garamond" w:hAnsi="Garamond" w:cs="Arial"/>
          <w:sz w:val="24"/>
          <w:szCs w:val="24"/>
        </w:rPr>
        <w:t xml:space="preserve">s </w:t>
      </w:r>
      <w:r w:rsidR="00054EE0" w:rsidRPr="003A1174">
        <w:rPr>
          <w:rFonts w:ascii="Garamond" w:hAnsi="Garamond" w:cs="Arial"/>
          <w:sz w:val="24"/>
          <w:szCs w:val="24"/>
        </w:rPr>
        <w:t>mulheres</w:t>
      </w:r>
      <w:r w:rsidR="00AB405A" w:rsidRPr="003A1174">
        <w:rPr>
          <w:rFonts w:ascii="Garamond" w:hAnsi="Garamond" w:cs="Arial"/>
          <w:sz w:val="24"/>
          <w:szCs w:val="24"/>
        </w:rPr>
        <w:t xml:space="preserve">, </w:t>
      </w:r>
      <w:r w:rsidR="000464C8" w:rsidRPr="003A1174">
        <w:rPr>
          <w:rFonts w:ascii="Garamond" w:hAnsi="Garamond" w:cs="Arial"/>
          <w:sz w:val="24"/>
          <w:szCs w:val="24"/>
        </w:rPr>
        <w:t>assim</w:t>
      </w:r>
      <w:r w:rsidR="00AB405A" w:rsidRPr="003A1174">
        <w:rPr>
          <w:rFonts w:ascii="Garamond" w:hAnsi="Garamond" w:cs="Arial"/>
          <w:sz w:val="24"/>
          <w:szCs w:val="24"/>
        </w:rPr>
        <w:t xml:space="preserve"> como</w:t>
      </w:r>
      <w:r w:rsidR="00025BB2">
        <w:rPr>
          <w:rFonts w:ascii="Garamond" w:hAnsi="Garamond" w:cs="Arial"/>
          <w:sz w:val="24"/>
          <w:szCs w:val="24"/>
        </w:rPr>
        <w:t>,</w:t>
      </w:r>
      <w:r w:rsidR="00AB405A" w:rsidRPr="003A1174">
        <w:rPr>
          <w:rFonts w:ascii="Garamond" w:hAnsi="Garamond" w:cs="Arial"/>
          <w:sz w:val="24"/>
          <w:szCs w:val="24"/>
        </w:rPr>
        <w:t xml:space="preserve"> de </w:t>
      </w:r>
      <w:r w:rsidR="00DC5DA7" w:rsidRPr="003A1174">
        <w:rPr>
          <w:rFonts w:ascii="Garamond" w:hAnsi="Garamond" w:cs="Arial"/>
          <w:sz w:val="24"/>
          <w:szCs w:val="24"/>
        </w:rPr>
        <w:t>fortalecimento</w:t>
      </w:r>
      <w:r w:rsidR="00AB405A" w:rsidRPr="003A1174">
        <w:rPr>
          <w:rFonts w:ascii="Garamond" w:hAnsi="Garamond" w:cs="Arial"/>
          <w:sz w:val="24"/>
          <w:szCs w:val="24"/>
        </w:rPr>
        <w:t xml:space="preserve"> </w:t>
      </w:r>
      <w:r w:rsidR="00CF3B7E" w:rsidRPr="003A1174">
        <w:rPr>
          <w:rFonts w:ascii="Garamond" w:hAnsi="Garamond" w:cs="Arial"/>
          <w:sz w:val="24"/>
          <w:szCs w:val="24"/>
        </w:rPr>
        <w:t>d</w:t>
      </w:r>
      <w:r w:rsidR="00AB405A" w:rsidRPr="003A1174">
        <w:rPr>
          <w:rFonts w:ascii="Garamond" w:hAnsi="Garamond" w:cs="Arial"/>
          <w:sz w:val="24"/>
          <w:szCs w:val="24"/>
        </w:rPr>
        <w:t xml:space="preserve">a </w:t>
      </w:r>
      <w:r w:rsidR="00152A44" w:rsidRPr="003A1174">
        <w:rPr>
          <w:rFonts w:ascii="Garamond" w:hAnsi="Garamond" w:cs="Arial"/>
          <w:sz w:val="24"/>
          <w:szCs w:val="24"/>
        </w:rPr>
        <w:t>capacidade</w:t>
      </w:r>
      <w:r w:rsidR="00AB405A" w:rsidRPr="003A1174">
        <w:rPr>
          <w:rFonts w:ascii="Garamond" w:hAnsi="Garamond" w:cs="Arial"/>
          <w:sz w:val="24"/>
          <w:szCs w:val="24"/>
        </w:rPr>
        <w:t xml:space="preserve"> institucional </w:t>
      </w:r>
      <w:r w:rsidR="00497503" w:rsidRPr="003A1174">
        <w:rPr>
          <w:rFonts w:ascii="Garamond" w:hAnsi="Garamond" w:cs="Arial"/>
          <w:sz w:val="24"/>
          <w:szCs w:val="24"/>
        </w:rPr>
        <w:t>das</w:t>
      </w:r>
      <w:r w:rsidR="00AB405A" w:rsidRPr="003A1174">
        <w:rPr>
          <w:rFonts w:ascii="Garamond" w:hAnsi="Garamond" w:cs="Arial"/>
          <w:sz w:val="24"/>
          <w:szCs w:val="24"/>
        </w:rPr>
        <w:t xml:space="preserve"> autoridades </w:t>
      </w:r>
      <w:r w:rsidR="00D75A07" w:rsidRPr="003A1174">
        <w:rPr>
          <w:rFonts w:ascii="Garamond" w:hAnsi="Garamond" w:cs="Arial"/>
          <w:sz w:val="24"/>
          <w:szCs w:val="24"/>
        </w:rPr>
        <w:t>locais</w:t>
      </w:r>
      <w:r w:rsidR="007A74B6">
        <w:rPr>
          <w:rFonts w:ascii="Garamond" w:hAnsi="Garamond" w:cs="Arial"/>
          <w:sz w:val="24"/>
          <w:szCs w:val="24"/>
        </w:rPr>
        <w:t>,</w:t>
      </w:r>
      <w:r w:rsidR="00AB405A" w:rsidRPr="003A1174">
        <w:rPr>
          <w:rFonts w:ascii="Garamond" w:hAnsi="Garamond" w:cs="Arial"/>
          <w:sz w:val="24"/>
          <w:szCs w:val="24"/>
        </w:rPr>
        <w:t xml:space="preserve"> </w:t>
      </w:r>
      <w:r w:rsidRPr="003A1174">
        <w:rPr>
          <w:rFonts w:ascii="Garamond" w:hAnsi="Garamond" w:cs="Arial"/>
          <w:sz w:val="24"/>
          <w:szCs w:val="24"/>
        </w:rPr>
        <w:t>n</w:t>
      </w:r>
      <w:r w:rsidR="00CF3B7E" w:rsidRPr="003A1174">
        <w:rPr>
          <w:rFonts w:ascii="Garamond" w:hAnsi="Garamond" w:cs="Arial"/>
          <w:sz w:val="24"/>
          <w:szCs w:val="24"/>
        </w:rPr>
        <w:t xml:space="preserve">a </w:t>
      </w:r>
      <w:r w:rsidR="007578C6" w:rsidRPr="003A1174">
        <w:rPr>
          <w:rFonts w:ascii="Garamond" w:hAnsi="Garamond" w:cs="Arial"/>
          <w:sz w:val="24"/>
          <w:szCs w:val="24"/>
        </w:rPr>
        <w:t>prevenção</w:t>
      </w:r>
      <w:r w:rsidRPr="003A1174">
        <w:rPr>
          <w:rFonts w:ascii="Garamond" w:hAnsi="Garamond" w:cs="Arial"/>
          <w:sz w:val="24"/>
          <w:szCs w:val="24"/>
        </w:rPr>
        <w:t xml:space="preserve"> e n</w:t>
      </w:r>
      <w:r w:rsidR="00CF3B7E" w:rsidRPr="003A1174">
        <w:rPr>
          <w:rFonts w:ascii="Garamond" w:hAnsi="Garamond" w:cs="Arial"/>
          <w:sz w:val="24"/>
          <w:szCs w:val="24"/>
        </w:rPr>
        <w:t>a</w:t>
      </w:r>
      <w:r w:rsidR="00AB405A" w:rsidRPr="003A1174">
        <w:rPr>
          <w:rFonts w:ascii="Garamond" w:hAnsi="Garamond" w:cs="Arial"/>
          <w:sz w:val="24"/>
          <w:szCs w:val="24"/>
        </w:rPr>
        <w:t xml:space="preserve"> </w:t>
      </w:r>
      <w:r w:rsidR="00AB6522" w:rsidRPr="003A1174">
        <w:rPr>
          <w:rFonts w:ascii="Garamond" w:hAnsi="Garamond" w:cs="Arial"/>
          <w:sz w:val="24"/>
          <w:szCs w:val="24"/>
        </w:rPr>
        <w:t>resposta</w:t>
      </w:r>
      <w:r w:rsidR="00AB405A" w:rsidRPr="003A1174">
        <w:rPr>
          <w:rFonts w:ascii="Garamond" w:hAnsi="Garamond" w:cs="Arial"/>
          <w:sz w:val="24"/>
          <w:szCs w:val="24"/>
        </w:rPr>
        <w:t xml:space="preserve"> </w:t>
      </w:r>
      <w:r w:rsidR="00D84A9F" w:rsidRPr="003A1174">
        <w:rPr>
          <w:rFonts w:ascii="Garamond" w:hAnsi="Garamond" w:cs="Arial"/>
          <w:sz w:val="24"/>
          <w:szCs w:val="24"/>
        </w:rPr>
        <w:t>efetiva</w:t>
      </w:r>
      <w:r w:rsidR="00AB405A" w:rsidRPr="003A1174">
        <w:rPr>
          <w:rFonts w:ascii="Garamond" w:hAnsi="Garamond" w:cs="Arial"/>
          <w:sz w:val="24"/>
          <w:szCs w:val="24"/>
        </w:rPr>
        <w:t xml:space="preserve"> </w:t>
      </w:r>
      <w:r w:rsidR="00BB2B00" w:rsidRPr="003A1174">
        <w:rPr>
          <w:rFonts w:ascii="Garamond" w:hAnsi="Garamond" w:cs="Arial"/>
          <w:sz w:val="24"/>
          <w:szCs w:val="24"/>
        </w:rPr>
        <w:t>à</w:t>
      </w:r>
      <w:r w:rsidR="00AB405A" w:rsidRPr="003A1174">
        <w:rPr>
          <w:rFonts w:ascii="Garamond" w:hAnsi="Garamond" w:cs="Arial"/>
          <w:sz w:val="24"/>
          <w:szCs w:val="24"/>
        </w:rPr>
        <w:t xml:space="preserve">s </w:t>
      </w:r>
      <w:r w:rsidR="003F012B" w:rsidRPr="003A1174">
        <w:rPr>
          <w:rFonts w:ascii="Garamond" w:hAnsi="Garamond" w:cs="Arial"/>
          <w:sz w:val="24"/>
          <w:szCs w:val="24"/>
        </w:rPr>
        <w:t>vítima</w:t>
      </w:r>
      <w:r w:rsidR="00AB405A" w:rsidRPr="003A1174">
        <w:rPr>
          <w:rFonts w:ascii="Garamond" w:hAnsi="Garamond" w:cs="Arial"/>
          <w:sz w:val="24"/>
          <w:szCs w:val="24"/>
        </w:rPr>
        <w:t>s.</w:t>
      </w:r>
    </w:p>
    <w:p w:rsidR="00AB405A" w:rsidRPr="003A1174" w:rsidRDefault="00025BB2" w:rsidP="008719D4">
      <w:pPr>
        <w:spacing w:before="240" w:line="240" w:lineRule="auto"/>
        <w:jc w:val="both"/>
        <w:rPr>
          <w:rFonts w:ascii="Garamond" w:hAnsi="Garamond" w:cs="Arial"/>
          <w:sz w:val="24"/>
          <w:szCs w:val="24"/>
        </w:rPr>
      </w:pPr>
      <w:r>
        <w:rPr>
          <w:rFonts w:ascii="Garamond" w:hAnsi="Garamond" w:cs="Arial"/>
          <w:sz w:val="24"/>
          <w:szCs w:val="24"/>
        </w:rPr>
        <w:t>Por fim,</w:t>
      </w:r>
      <w:r w:rsidR="00AB405A" w:rsidRPr="003A1174">
        <w:rPr>
          <w:rFonts w:ascii="Garamond" w:hAnsi="Garamond" w:cs="Arial"/>
          <w:sz w:val="24"/>
          <w:szCs w:val="24"/>
        </w:rPr>
        <w:t xml:space="preserve"> </w:t>
      </w:r>
      <w:proofErr w:type="gramStart"/>
      <w:r w:rsidR="00AB405A" w:rsidRPr="003A1174">
        <w:rPr>
          <w:rFonts w:ascii="Garamond" w:hAnsi="Garamond" w:cs="Arial"/>
          <w:sz w:val="24"/>
          <w:szCs w:val="24"/>
        </w:rPr>
        <w:t>informa</w:t>
      </w:r>
      <w:r>
        <w:rPr>
          <w:rFonts w:ascii="Garamond" w:hAnsi="Garamond" w:cs="Arial"/>
          <w:sz w:val="24"/>
          <w:szCs w:val="24"/>
        </w:rPr>
        <w:t>-se</w:t>
      </w:r>
      <w:proofErr w:type="gramEnd"/>
      <w:r w:rsidR="00AB405A" w:rsidRPr="003A1174">
        <w:rPr>
          <w:rFonts w:ascii="Garamond" w:hAnsi="Garamond" w:cs="Arial"/>
          <w:sz w:val="24"/>
          <w:szCs w:val="24"/>
        </w:rPr>
        <w:t xml:space="preserve"> que </w:t>
      </w:r>
      <w:r w:rsidR="00D65CFD" w:rsidRPr="003A1174">
        <w:rPr>
          <w:rFonts w:ascii="Garamond" w:hAnsi="Garamond" w:cs="Arial"/>
          <w:sz w:val="24"/>
          <w:szCs w:val="24"/>
        </w:rPr>
        <w:t xml:space="preserve">o </w:t>
      </w:r>
      <w:r w:rsidR="00D77C19" w:rsidRPr="003A1174">
        <w:rPr>
          <w:rFonts w:ascii="Garamond" w:hAnsi="Garamond" w:cs="Arial"/>
          <w:sz w:val="24"/>
          <w:szCs w:val="24"/>
        </w:rPr>
        <w:t>Ministério</w:t>
      </w:r>
      <w:r w:rsidR="00D65CFD" w:rsidRPr="003A1174">
        <w:rPr>
          <w:rFonts w:ascii="Garamond" w:hAnsi="Garamond" w:cs="Arial"/>
          <w:sz w:val="24"/>
          <w:szCs w:val="24"/>
        </w:rPr>
        <w:t xml:space="preserve"> da</w:t>
      </w:r>
      <w:r w:rsidR="00AB405A" w:rsidRPr="003A1174">
        <w:rPr>
          <w:rFonts w:ascii="Garamond" w:hAnsi="Garamond" w:cs="Arial"/>
          <w:sz w:val="24"/>
          <w:szCs w:val="24"/>
        </w:rPr>
        <w:t xml:space="preserve"> </w:t>
      </w:r>
      <w:r w:rsidR="007C63D0" w:rsidRPr="003A1174">
        <w:rPr>
          <w:rFonts w:ascii="Garamond" w:hAnsi="Garamond" w:cs="Arial"/>
          <w:sz w:val="24"/>
          <w:szCs w:val="24"/>
        </w:rPr>
        <w:t>Saúde</w:t>
      </w:r>
      <w:r w:rsidR="00AB405A" w:rsidRPr="003A1174">
        <w:rPr>
          <w:rFonts w:ascii="Garamond" w:hAnsi="Garamond" w:cs="Arial"/>
          <w:sz w:val="24"/>
          <w:szCs w:val="24"/>
        </w:rPr>
        <w:t xml:space="preserve"> </w:t>
      </w:r>
      <w:r w:rsidR="000672E8" w:rsidRPr="003A1174">
        <w:rPr>
          <w:rFonts w:ascii="Garamond" w:hAnsi="Garamond" w:cs="Arial"/>
          <w:sz w:val="24"/>
          <w:szCs w:val="24"/>
        </w:rPr>
        <w:t>e</w:t>
      </w:r>
      <w:r w:rsidR="00AB405A" w:rsidRPr="003A1174">
        <w:rPr>
          <w:rFonts w:ascii="Garamond" w:hAnsi="Garamond" w:cs="Arial"/>
          <w:sz w:val="24"/>
          <w:szCs w:val="24"/>
        </w:rPr>
        <w:t xml:space="preserve"> d</w:t>
      </w:r>
      <w:r w:rsidR="00D65CFD" w:rsidRPr="003A1174">
        <w:rPr>
          <w:rFonts w:ascii="Garamond" w:hAnsi="Garamond" w:cs="Arial"/>
          <w:sz w:val="24"/>
          <w:szCs w:val="24"/>
        </w:rPr>
        <w:t>a</w:t>
      </w:r>
      <w:r w:rsidR="00AB405A" w:rsidRPr="003A1174">
        <w:rPr>
          <w:rFonts w:ascii="Garamond" w:hAnsi="Garamond" w:cs="Arial"/>
          <w:sz w:val="24"/>
          <w:szCs w:val="24"/>
        </w:rPr>
        <w:t xml:space="preserve"> </w:t>
      </w:r>
      <w:r w:rsidR="00886D6A" w:rsidRPr="003A1174">
        <w:rPr>
          <w:rFonts w:ascii="Garamond" w:hAnsi="Garamond" w:cs="Arial"/>
          <w:sz w:val="24"/>
          <w:szCs w:val="24"/>
        </w:rPr>
        <w:t>Proteção</w:t>
      </w:r>
      <w:r w:rsidR="00AB405A" w:rsidRPr="003A1174">
        <w:rPr>
          <w:rFonts w:ascii="Garamond" w:hAnsi="Garamond" w:cs="Arial"/>
          <w:sz w:val="24"/>
          <w:szCs w:val="24"/>
        </w:rPr>
        <w:t xml:space="preserve"> Social emiti</w:t>
      </w:r>
      <w:r w:rsidR="00D65CFD" w:rsidRPr="003A1174">
        <w:rPr>
          <w:rFonts w:ascii="Garamond" w:hAnsi="Garamond" w:cs="Arial"/>
          <w:sz w:val="24"/>
          <w:szCs w:val="24"/>
        </w:rPr>
        <w:t xml:space="preserve">u </w:t>
      </w:r>
      <w:r w:rsidR="00AB405A" w:rsidRPr="003A1174">
        <w:rPr>
          <w:rFonts w:ascii="Garamond" w:hAnsi="Garamond" w:cs="Arial"/>
          <w:sz w:val="24"/>
          <w:szCs w:val="24"/>
        </w:rPr>
        <w:t xml:space="preserve">a </w:t>
      </w:r>
      <w:r w:rsidR="003F012B" w:rsidRPr="003A1174">
        <w:rPr>
          <w:rFonts w:ascii="Garamond" w:hAnsi="Garamond" w:cs="Arial"/>
          <w:sz w:val="24"/>
          <w:szCs w:val="24"/>
        </w:rPr>
        <w:t>Resolução</w:t>
      </w:r>
      <w:r w:rsidR="00AB405A" w:rsidRPr="003A1174">
        <w:rPr>
          <w:rFonts w:ascii="Garamond" w:hAnsi="Garamond" w:cs="Arial"/>
          <w:sz w:val="24"/>
          <w:szCs w:val="24"/>
        </w:rPr>
        <w:t xml:space="preserve"> N</w:t>
      </w:r>
      <w:r w:rsidR="007A74B6">
        <w:rPr>
          <w:rFonts w:ascii="Garamond" w:hAnsi="Garamond" w:cs="Arial"/>
          <w:sz w:val="24"/>
          <w:szCs w:val="24"/>
        </w:rPr>
        <w:t>.</w:t>
      </w:r>
      <w:r w:rsidR="00AB405A" w:rsidRPr="003A1174">
        <w:rPr>
          <w:rFonts w:ascii="Garamond" w:hAnsi="Garamond" w:cs="Arial"/>
          <w:sz w:val="24"/>
          <w:szCs w:val="24"/>
        </w:rPr>
        <w:t xml:space="preserve">° 00001895 de 2013, </w:t>
      </w:r>
      <w:r w:rsidR="00D65CFD" w:rsidRPr="003A1174">
        <w:rPr>
          <w:rFonts w:ascii="Garamond" w:hAnsi="Garamond" w:cs="Arial"/>
          <w:sz w:val="24"/>
          <w:szCs w:val="24"/>
        </w:rPr>
        <w:t>através da qual</w:t>
      </w:r>
      <w:r>
        <w:rPr>
          <w:rFonts w:ascii="Garamond" w:hAnsi="Garamond" w:cs="Arial"/>
          <w:sz w:val="24"/>
          <w:szCs w:val="24"/>
        </w:rPr>
        <w:t>,</w:t>
      </w:r>
      <w:r w:rsidR="00D65CFD" w:rsidRPr="003A1174">
        <w:rPr>
          <w:rFonts w:ascii="Garamond" w:hAnsi="Garamond" w:cs="Arial"/>
          <w:sz w:val="24"/>
          <w:szCs w:val="24"/>
        </w:rPr>
        <w:t xml:space="preserve"> atribuiu </w:t>
      </w:r>
      <w:r w:rsidR="00AB405A" w:rsidRPr="003A1174">
        <w:rPr>
          <w:rFonts w:ascii="Garamond" w:hAnsi="Garamond" w:cs="Arial"/>
          <w:sz w:val="24"/>
          <w:szCs w:val="24"/>
        </w:rPr>
        <w:t xml:space="preserve">recursos para </w:t>
      </w:r>
      <w:r w:rsidR="00D65CFD" w:rsidRPr="003A1174">
        <w:rPr>
          <w:rFonts w:ascii="Garamond" w:hAnsi="Garamond" w:cs="Arial"/>
          <w:sz w:val="24"/>
          <w:szCs w:val="24"/>
        </w:rPr>
        <w:t xml:space="preserve">o </w:t>
      </w:r>
      <w:r w:rsidR="00606CEE" w:rsidRPr="003A1174">
        <w:rPr>
          <w:rFonts w:ascii="Garamond" w:hAnsi="Garamond" w:cs="Arial"/>
          <w:sz w:val="24"/>
          <w:szCs w:val="24"/>
        </w:rPr>
        <w:t>financiamento</w:t>
      </w:r>
      <w:r w:rsidR="00AB405A" w:rsidRPr="003A1174">
        <w:rPr>
          <w:rFonts w:ascii="Garamond" w:hAnsi="Garamond" w:cs="Arial"/>
          <w:sz w:val="24"/>
          <w:szCs w:val="24"/>
        </w:rPr>
        <w:t xml:space="preserve"> </w:t>
      </w:r>
      <w:r w:rsidR="00497503" w:rsidRPr="003A1174">
        <w:rPr>
          <w:rFonts w:ascii="Garamond" w:hAnsi="Garamond" w:cs="Arial"/>
          <w:sz w:val="24"/>
          <w:szCs w:val="24"/>
        </w:rPr>
        <w:t>das</w:t>
      </w:r>
      <w:r w:rsidR="00AB405A" w:rsidRPr="003A1174">
        <w:rPr>
          <w:rFonts w:ascii="Garamond" w:hAnsi="Garamond" w:cs="Arial"/>
          <w:sz w:val="24"/>
          <w:szCs w:val="24"/>
        </w:rPr>
        <w:t xml:space="preserve"> medidas de </w:t>
      </w:r>
      <w:r w:rsidR="008278C4" w:rsidRPr="003A1174">
        <w:rPr>
          <w:rFonts w:ascii="Garamond" w:hAnsi="Garamond" w:cs="Arial"/>
          <w:sz w:val="24"/>
          <w:szCs w:val="24"/>
        </w:rPr>
        <w:t>atenção</w:t>
      </w:r>
      <w:r w:rsidR="00AB405A" w:rsidRPr="003A1174">
        <w:rPr>
          <w:rFonts w:ascii="Garamond" w:hAnsi="Garamond" w:cs="Arial"/>
          <w:sz w:val="24"/>
          <w:szCs w:val="24"/>
        </w:rPr>
        <w:t xml:space="preserve"> </w:t>
      </w:r>
      <w:r w:rsidR="00D65CFD" w:rsidRPr="003A1174">
        <w:rPr>
          <w:rFonts w:ascii="Garamond" w:hAnsi="Garamond" w:cs="Arial"/>
          <w:sz w:val="24"/>
          <w:szCs w:val="24"/>
        </w:rPr>
        <w:t>a</w:t>
      </w:r>
      <w:r w:rsidR="00AB405A" w:rsidRPr="003A1174">
        <w:rPr>
          <w:rFonts w:ascii="Garamond" w:hAnsi="Garamond" w:cs="Arial"/>
          <w:sz w:val="24"/>
          <w:szCs w:val="24"/>
        </w:rPr>
        <w:t xml:space="preserve"> </w:t>
      </w:r>
      <w:r w:rsidR="00054EE0" w:rsidRPr="003A1174">
        <w:rPr>
          <w:rFonts w:ascii="Garamond" w:hAnsi="Garamond" w:cs="Arial"/>
          <w:sz w:val="24"/>
          <w:szCs w:val="24"/>
        </w:rPr>
        <w:t>mulheres</w:t>
      </w:r>
      <w:r w:rsidR="00AB405A" w:rsidRPr="003A1174">
        <w:rPr>
          <w:rFonts w:ascii="Garamond" w:hAnsi="Garamond" w:cs="Arial"/>
          <w:sz w:val="24"/>
          <w:szCs w:val="24"/>
        </w:rPr>
        <w:t xml:space="preserve"> </w:t>
      </w:r>
      <w:r w:rsidR="003F012B" w:rsidRPr="003A1174">
        <w:rPr>
          <w:rFonts w:ascii="Garamond" w:hAnsi="Garamond" w:cs="Arial"/>
          <w:sz w:val="24"/>
          <w:szCs w:val="24"/>
        </w:rPr>
        <w:t>vítima</w:t>
      </w:r>
      <w:r w:rsidR="00D65CFD" w:rsidRPr="003A1174">
        <w:rPr>
          <w:rFonts w:ascii="Garamond" w:hAnsi="Garamond" w:cs="Arial"/>
          <w:sz w:val="24"/>
          <w:szCs w:val="24"/>
        </w:rPr>
        <w:t xml:space="preserve">s de </w:t>
      </w:r>
      <w:r w:rsidR="000350B1" w:rsidRPr="003A1174">
        <w:rPr>
          <w:rFonts w:ascii="Garamond" w:hAnsi="Garamond" w:cs="Arial"/>
          <w:sz w:val="24"/>
          <w:szCs w:val="24"/>
        </w:rPr>
        <w:t>violência</w:t>
      </w:r>
      <w:r w:rsidR="00221CED" w:rsidRPr="003A1174">
        <w:rPr>
          <w:rFonts w:ascii="Garamond" w:hAnsi="Garamond" w:cs="Arial"/>
          <w:sz w:val="24"/>
          <w:szCs w:val="24"/>
        </w:rPr>
        <w:t>,</w:t>
      </w:r>
      <w:r w:rsidR="00AB405A" w:rsidRPr="003A1174">
        <w:rPr>
          <w:rFonts w:ascii="Garamond" w:hAnsi="Garamond" w:cs="Arial"/>
          <w:sz w:val="24"/>
          <w:szCs w:val="24"/>
        </w:rPr>
        <w:t xml:space="preserve"> </w:t>
      </w:r>
      <w:r w:rsidR="00D65CFD" w:rsidRPr="003A1174">
        <w:rPr>
          <w:rFonts w:ascii="Garamond" w:hAnsi="Garamond" w:cs="Arial"/>
          <w:sz w:val="24"/>
          <w:szCs w:val="24"/>
        </w:rPr>
        <w:t xml:space="preserve">de acordo com as alíneas </w:t>
      </w:r>
      <w:r w:rsidR="00AB405A" w:rsidRPr="003A1174">
        <w:rPr>
          <w:rFonts w:ascii="Garamond" w:hAnsi="Garamond" w:cs="Arial"/>
          <w:sz w:val="24"/>
          <w:szCs w:val="24"/>
        </w:rPr>
        <w:t>a</w:t>
      </w:r>
      <w:r>
        <w:rPr>
          <w:rFonts w:ascii="Garamond" w:hAnsi="Garamond" w:cs="Arial"/>
          <w:sz w:val="24"/>
          <w:szCs w:val="24"/>
        </w:rPr>
        <w:t>)</w:t>
      </w:r>
      <w:r w:rsidR="00AB405A" w:rsidRPr="003A1174">
        <w:rPr>
          <w:rFonts w:ascii="Garamond" w:hAnsi="Garamond" w:cs="Arial"/>
          <w:sz w:val="24"/>
          <w:szCs w:val="24"/>
        </w:rPr>
        <w:t xml:space="preserve"> </w:t>
      </w:r>
      <w:r w:rsidR="000672E8" w:rsidRPr="003A1174">
        <w:rPr>
          <w:rFonts w:ascii="Garamond" w:hAnsi="Garamond" w:cs="Arial"/>
          <w:sz w:val="24"/>
          <w:szCs w:val="24"/>
        </w:rPr>
        <w:t>e</w:t>
      </w:r>
      <w:r w:rsidR="00AB405A" w:rsidRPr="003A1174">
        <w:rPr>
          <w:rFonts w:ascii="Garamond" w:hAnsi="Garamond" w:cs="Arial"/>
          <w:sz w:val="24"/>
          <w:szCs w:val="24"/>
        </w:rPr>
        <w:t xml:space="preserve"> b</w:t>
      </w:r>
      <w:r>
        <w:rPr>
          <w:rFonts w:ascii="Garamond" w:hAnsi="Garamond" w:cs="Arial"/>
          <w:sz w:val="24"/>
          <w:szCs w:val="24"/>
        </w:rPr>
        <w:t>)</w:t>
      </w:r>
      <w:r w:rsidR="00AB405A" w:rsidRPr="003A1174">
        <w:rPr>
          <w:rFonts w:ascii="Garamond" w:hAnsi="Garamond" w:cs="Arial"/>
          <w:sz w:val="24"/>
          <w:szCs w:val="24"/>
        </w:rPr>
        <w:t xml:space="preserve">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383B3F" w:rsidRPr="003A1174">
        <w:rPr>
          <w:rFonts w:ascii="Garamond" w:hAnsi="Garamond" w:cs="Arial"/>
          <w:sz w:val="24"/>
          <w:szCs w:val="24"/>
        </w:rPr>
        <w:t>Art.</w:t>
      </w:r>
      <w:r w:rsidR="00D65CFD" w:rsidRPr="003A1174">
        <w:rPr>
          <w:rFonts w:ascii="Garamond" w:hAnsi="Garamond" w:cs="Arial"/>
          <w:sz w:val="24"/>
          <w:szCs w:val="24"/>
        </w:rPr>
        <w:t xml:space="preserve"> 19 d</w:t>
      </w:r>
      <w:r w:rsidR="00AB405A" w:rsidRPr="003A1174">
        <w:rPr>
          <w:rFonts w:ascii="Garamond" w:hAnsi="Garamond" w:cs="Arial"/>
          <w:sz w:val="24"/>
          <w:szCs w:val="24"/>
        </w:rPr>
        <w:t xml:space="preserve">a </w:t>
      </w:r>
      <w:r w:rsidR="00D15AFF" w:rsidRPr="003A1174">
        <w:rPr>
          <w:rFonts w:ascii="Garamond" w:hAnsi="Garamond" w:cs="Arial"/>
          <w:sz w:val="24"/>
          <w:szCs w:val="24"/>
        </w:rPr>
        <w:t>Lei</w:t>
      </w:r>
      <w:r w:rsidR="00AB405A" w:rsidRPr="003A1174">
        <w:rPr>
          <w:rFonts w:ascii="Garamond" w:hAnsi="Garamond" w:cs="Arial"/>
          <w:sz w:val="24"/>
          <w:szCs w:val="24"/>
        </w:rPr>
        <w:t xml:space="preserve"> 1257 de 2008.</w:t>
      </w:r>
    </w:p>
    <w:p w:rsidR="00AB405A" w:rsidRPr="003A1174" w:rsidRDefault="00670522" w:rsidP="008719D4">
      <w:pPr>
        <w:pStyle w:val="Ttulo3"/>
        <w:spacing w:line="240" w:lineRule="auto"/>
        <w:rPr>
          <w:rFonts w:ascii="Garamond" w:eastAsia="Calibri" w:hAnsi="Garamond"/>
          <w:sz w:val="24"/>
          <w:szCs w:val="24"/>
        </w:rPr>
      </w:pPr>
      <w:bookmarkStart w:id="74" w:name="_Toc421529761"/>
      <w:r w:rsidRPr="003A1174">
        <w:rPr>
          <w:rFonts w:ascii="Garamond" w:eastAsia="Calibri" w:hAnsi="Garamond"/>
          <w:sz w:val="24"/>
          <w:szCs w:val="24"/>
        </w:rPr>
        <w:t>Costa Rica</w:t>
      </w:r>
      <w:bookmarkEnd w:id="74"/>
      <w:r w:rsidRPr="003A1174">
        <w:rPr>
          <w:rFonts w:ascii="Garamond" w:eastAsia="Calibri" w:hAnsi="Garamond"/>
          <w:sz w:val="24"/>
          <w:szCs w:val="24"/>
        </w:rPr>
        <w:t xml:space="preserve"> </w:t>
      </w:r>
    </w:p>
    <w:p w:rsidR="00AB405A" w:rsidRPr="003A1174" w:rsidRDefault="00025BB2" w:rsidP="008719D4">
      <w:pPr>
        <w:autoSpaceDE w:val="0"/>
        <w:autoSpaceDN w:val="0"/>
        <w:adjustRightInd w:val="0"/>
        <w:spacing w:after="0" w:line="240" w:lineRule="auto"/>
        <w:jc w:val="both"/>
        <w:rPr>
          <w:rFonts w:ascii="Garamond" w:eastAsia="Calibri" w:hAnsi="Garamond" w:cs="Arial"/>
          <w:sz w:val="24"/>
          <w:szCs w:val="24"/>
        </w:rPr>
      </w:pPr>
      <w:r>
        <w:rPr>
          <w:rFonts w:ascii="Garamond" w:eastAsia="Calibri" w:hAnsi="Garamond" w:cs="Arial"/>
          <w:sz w:val="24"/>
          <w:szCs w:val="24"/>
        </w:rPr>
        <w:t>Na Costa Rica, a</w:t>
      </w:r>
      <w:r w:rsidR="00D65CFD" w:rsidRPr="003A1174">
        <w:rPr>
          <w:rFonts w:ascii="Garamond" w:eastAsia="Calibri" w:hAnsi="Garamond" w:cs="Arial"/>
          <w:sz w:val="24"/>
          <w:szCs w:val="24"/>
        </w:rPr>
        <w:t xml:space="preserve"> </w:t>
      </w:r>
      <w:r w:rsidR="006C6E85" w:rsidRPr="003A1174">
        <w:rPr>
          <w:rFonts w:ascii="Garamond" w:eastAsia="Calibri" w:hAnsi="Garamond" w:cs="Arial"/>
          <w:sz w:val="24"/>
          <w:szCs w:val="24"/>
        </w:rPr>
        <w:t>Provedoria</w:t>
      </w:r>
      <w:r w:rsidR="00AB405A" w:rsidRPr="003A1174">
        <w:rPr>
          <w:rFonts w:ascii="Garamond" w:eastAsia="Calibri" w:hAnsi="Garamond" w:cs="Arial"/>
          <w:sz w:val="24"/>
          <w:szCs w:val="24"/>
        </w:rPr>
        <w:t xml:space="preserve"> </w:t>
      </w:r>
      <w:r w:rsidR="00497503" w:rsidRPr="003A1174">
        <w:rPr>
          <w:rFonts w:ascii="Garamond" w:eastAsia="Calibri" w:hAnsi="Garamond" w:cs="Arial"/>
          <w:sz w:val="24"/>
          <w:szCs w:val="24"/>
        </w:rPr>
        <w:t>dos</w:t>
      </w:r>
      <w:r w:rsidR="00AB405A" w:rsidRPr="003A1174">
        <w:rPr>
          <w:rFonts w:ascii="Garamond" w:eastAsia="Calibri" w:hAnsi="Garamond" w:cs="Arial"/>
          <w:sz w:val="24"/>
          <w:szCs w:val="24"/>
        </w:rPr>
        <w:t xml:space="preserve"> Habitantes </w:t>
      </w:r>
      <w:r w:rsidR="00D65CFD" w:rsidRPr="003A1174">
        <w:rPr>
          <w:rFonts w:ascii="Garamond" w:eastAsia="Calibri" w:hAnsi="Garamond" w:cs="Arial"/>
          <w:sz w:val="24"/>
          <w:szCs w:val="24"/>
        </w:rPr>
        <w:t xml:space="preserve">tem vindo a dar </w:t>
      </w:r>
      <w:r w:rsidR="00C01806" w:rsidRPr="003A1174">
        <w:rPr>
          <w:rFonts w:ascii="Garamond" w:eastAsia="Calibri" w:hAnsi="Garamond" w:cs="Arial"/>
          <w:sz w:val="24"/>
          <w:szCs w:val="24"/>
        </w:rPr>
        <w:t>seguimento</w:t>
      </w:r>
      <w:r w:rsidR="00AB405A" w:rsidRPr="003A1174">
        <w:rPr>
          <w:rFonts w:ascii="Garamond" w:eastAsia="Calibri" w:hAnsi="Garamond" w:cs="Arial"/>
          <w:sz w:val="24"/>
          <w:szCs w:val="24"/>
        </w:rPr>
        <w:t xml:space="preserve"> </w:t>
      </w:r>
      <w:r w:rsidR="00BB2B00" w:rsidRPr="003A1174">
        <w:rPr>
          <w:rFonts w:ascii="Garamond" w:eastAsia="Calibri" w:hAnsi="Garamond" w:cs="Arial"/>
          <w:sz w:val="24"/>
          <w:szCs w:val="24"/>
        </w:rPr>
        <w:t>à</w:t>
      </w:r>
      <w:r w:rsidR="00AB405A" w:rsidRPr="003A1174">
        <w:rPr>
          <w:rFonts w:ascii="Garamond" w:eastAsia="Calibri" w:hAnsi="Garamond" w:cs="Arial"/>
          <w:sz w:val="24"/>
          <w:szCs w:val="24"/>
        </w:rPr>
        <w:t xml:space="preserve">s </w:t>
      </w:r>
      <w:r w:rsidR="00100435" w:rsidRPr="003A1174">
        <w:rPr>
          <w:rFonts w:ascii="Garamond" w:eastAsia="Calibri" w:hAnsi="Garamond" w:cs="Arial"/>
          <w:sz w:val="24"/>
          <w:szCs w:val="24"/>
        </w:rPr>
        <w:t>execuções</w:t>
      </w:r>
      <w:r w:rsidR="00AB405A" w:rsidRPr="003A1174">
        <w:rPr>
          <w:rFonts w:ascii="Garamond" w:eastAsia="Calibri" w:hAnsi="Garamond" w:cs="Arial"/>
          <w:sz w:val="24"/>
          <w:szCs w:val="24"/>
        </w:rPr>
        <w:t xml:space="preserve"> </w:t>
      </w:r>
      <w:r w:rsidR="00D65CFD" w:rsidRPr="003A1174">
        <w:rPr>
          <w:rFonts w:ascii="Garamond" w:eastAsia="Calibri" w:hAnsi="Garamond" w:cs="Arial"/>
          <w:sz w:val="24"/>
          <w:szCs w:val="24"/>
        </w:rPr>
        <w:t xml:space="preserve">orçamentais </w:t>
      </w:r>
      <w:r w:rsidR="00E85E59" w:rsidRPr="003A1174">
        <w:rPr>
          <w:rFonts w:ascii="Garamond" w:eastAsia="Calibri" w:hAnsi="Garamond" w:cs="Arial"/>
          <w:sz w:val="24"/>
          <w:szCs w:val="24"/>
        </w:rPr>
        <w:t>do</w:t>
      </w:r>
      <w:r w:rsidR="00AB405A" w:rsidRPr="003A1174">
        <w:rPr>
          <w:rFonts w:ascii="Garamond" w:eastAsia="Calibri" w:hAnsi="Garamond" w:cs="Arial"/>
          <w:sz w:val="24"/>
          <w:szCs w:val="24"/>
        </w:rPr>
        <w:t xml:space="preserve"> Instituto Nacional </w:t>
      </w:r>
      <w:r w:rsidR="00497503" w:rsidRPr="003A1174">
        <w:rPr>
          <w:rFonts w:ascii="Garamond" w:eastAsia="Calibri" w:hAnsi="Garamond" w:cs="Arial"/>
          <w:sz w:val="24"/>
          <w:szCs w:val="24"/>
        </w:rPr>
        <w:t>das</w:t>
      </w:r>
      <w:r w:rsidR="00AB405A" w:rsidRPr="003A1174">
        <w:rPr>
          <w:rFonts w:ascii="Garamond" w:eastAsia="Calibri" w:hAnsi="Garamond" w:cs="Arial"/>
          <w:sz w:val="24"/>
          <w:szCs w:val="24"/>
        </w:rPr>
        <w:t xml:space="preserve"> </w:t>
      </w:r>
      <w:r w:rsidR="00054EE0" w:rsidRPr="003A1174">
        <w:rPr>
          <w:rFonts w:ascii="Garamond" w:eastAsia="Calibri" w:hAnsi="Garamond" w:cs="Arial"/>
          <w:sz w:val="24"/>
          <w:szCs w:val="24"/>
        </w:rPr>
        <w:t>Mulheres</w:t>
      </w:r>
      <w:r w:rsidR="00AB405A" w:rsidRPr="003A1174">
        <w:rPr>
          <w:rFonts w:ascii="Garamond" w:eastAsia="Calibri" w:hAnsi="Garamond" w:cs="Arial"/>
          <w:sz w:val="24"/>
          <w:szCs w:val="24"/>
        </w:rPr>
        <w:t xml:space="preserve"> (INAMU) co</w:t>
      </w:r>
      <w:r w:rsidR="00D65CFD" w:rsidRPr="003A1174">
        <w:rPr>
          <w:rFonts w:ascii="Garamond" w:eastAsia="Calibri" w:hAnsi="Garamond" w:cs="Arial"/>
          <w:sz w:val="24"/>
          <w:szCs w:val="24"/>
        </w:rPr>
        <w:t xml:space="preserve">m </w:t>
      </w:r>
      <w:r>
        <w:rPr>
          <w:rFonts w:ascii="Garamond" w:eastAsia="Calibri" w:hAnsi="Garamond" w:cs="Arial"/>
          <w:sz w:val="24"/>
          <w:szCs w:val="24"/>
        </w:rPr>
        <w:t xml:space="preserve">a finalidade </w:t>
      </w:r>
      <w:r w:rsidR="00AB405A" w:rsidRPr="003A1174">
        <w:rPr>
          <w:rFonts w:ascii="Garamond" w:eastAsia="Calibri" w:hAnsi="Garamond" w:cs="Arial"/>
          <w:sz w:val="24"/>
          <w:szCs w:val="24"/>
        </w:rPr>
        <w:t xml:space="preserve">de verificar </w:t>
      </w:r>
      <w:r w:rsidR="00D65CFD" w:rsidRPr="003A1174">
        <w:rPr>
          <w:rFonts w:ascii="Garamond" w:eastAsia="Calibri" w:hAnsi="Garamond" w:cs="Arial"/>
          <w:sz w:val="24"/>
          <w:szCs w:val="24"/>
        </w:rPr>
        <w:t xml:space="preserve">o </w:t>
      </w:r>
      <w:r w:rsidR="00D96FD0" w:rsidRPr="003A1174">
        <w:rPr>
          <w:rFonts w:ascii="Garamond" w:eastAsia="Calibri" w:hAnsi="Garamond" w:cs="Arial"/>
          <w:sz w:val="24"/>
          <w:szCs w:val="24"/>
        </w:rPr>
        <w:t>cumprimento</w:t>
      </w:r>
      <w:r w:rsidR="00AB405A" w:rsidRPr="003A1174">
        <w:rPr>
          <w:rFonts w:ascii="Garamond" w:eastAsia="Calibri" w:hAnsi="Garamond" w:cs="Arial"/>
          <w:sz w:val="24"/>
          <w:szCs w:val="24"/>
        </w:rPr>
        <w:t xml:space="preserve"> </w:t>
      </w:r>
      <w:r w:rsidR="00497503" w:rsidRPr="003A1174">
        <w:rPr>
          <w:rFonts w:ascii="Garamond" w:eastAsia="Calibri" w:hAnsi="Garamond" w:cs="Arial"/>
          <w:sz w:val="24"/>
          <w:szCs w:val="24"/>
        </w:rPr>
        <w:t>dos</w:t>
      </w:r>
      <w:r w:rsidR="00AB405A" w:rsidRPr="003A1174">
        <w:rPr>
          <w:rFonts w:ascii="Garamond" w:eastAsia="Calibri" w:hAnsi="Garamond" w:cs="Arial"/>
          <w:sz w:val="24"/>
          <w:szCs w:val="24"/>
        </w:rPr>
        <w:t xml:space="preserve"> objetivos estratégicos de</w:t>
      </w:r>
      <w:r w:rsidR="00D65CFD" w:rsidRPr="003A1174">
        <w:rPr>
          <w:rFonts w:ascii="Garamond" w:eastAsia="Calibri" w:hAnsi="Garamond" w:cs="Arial"/>
          <w:sz w:val="24"/>
          <w:szCs w:val="24"/>
        </w:rPr>
        <w:t>s</w:t>
      </w:r>
      <w:r w:rsidR="00AB405A" w:rsidRPr="003A1174">
        <w:rPr>
          <w:rFonts w:ascii="Garamond" w:eastAsia="Calibri" w:hAnsi="Garamond" w:cs="Arial"/>
          <w:sz w:val="24"/>
          <w:szCs w:val="24"/>
        </w:rPr>
        <w:t xml:space="preserve">sa </w:t>
      </w:r>
      <w:r w:rsidR="00800D59" w:rsidRPr="003A1174">
        <w:rPr>
          <w:rFonts w:ascii="Garamond" w:eastAsia="Calibri" w:hAnsi="Garamond" w:cs="Arial"/>
          <w:sz w:val="24"/>
          <w:szCs w:val="24"/>
        </w:rPr>
        <w:t>Instituição</w:t>
      </w:r>
      <w:r w:rsidR="00AB405A" w:rsidRPr="003A1174">
        <w:rPr>
          <w:rFonts w:ascii="Garamond" w:eastAsia="Calibri" w:hAnsi="Garamond" w:cs="Arial"/>
          <w:sz w:val="24"/>
          <w:szCs w:val="24"/>
        </w:rPr>
        <w:t xml:space="preserve">. </w:t>
      </w:r>
    </w:p>
    <w:p w:rsidR="00AB405A" w:rsidRPr="003A1174" w:rsidRDefault="00AB405A" w:rsidP="008719D4">
      <w:pPr>
        <w:autoSpaceDE w:val="0"/>
        <w:autoSpaceDN w:val="0"/>
        <w:adjustRightInd w:val="0"/>
        <w:spacing w:after="0" w:line="240" w:lineRule="auto"/>
        <w:jc w:val="both"/>
        <w:rPr>
          <w:rFonts w:ascii="Garamond" w:eastAsia="Calibri" w:hAnsi="Garamond" w:cs="Arial"/>
          <w:sz w:val="24"/>
          <w:szCs w:val="24"/>
        </w:rPr>
      </w:pPr>
    </w:p>
    <w:p w:rsidR="00AB405A" w:rsidRPr="003A1174" w:rsidRDefault="00AB405A" w:rsidP="008719D4">
      <w:pPr>
        <w:autoSpaceDE w:val="0"/>
        <w:autoSpaceDN w:val="0"/>
        <w:adjustRightInd w:val="0"/>
        <w:spacing w:after="0" w:line="240" w:lineRule="auto"/>
        <w:jc w:val="both"/>
        <w:rPr>
          <w:rFonts w:ascii="Garamond" w:eastAsia="Calibri" w:hAnsi="Garamond" w:cs="Arial"/>
          <w:sz w:val="24"/>
          <w:szCs w:val="24"/>
        </w:rPr>
      </w:pPr>
      <w:r w:rsidRPr="003A1174">
        <w:rPr>
          <w:rFonts w:ascii="Garamond" w:eastAsia="Calibri" w:hAnsi="Garamond" w:cs="Arial"/>
          <w:sz w:val="24"/>
          <w:szCs w:val="24"/>
        </w:rPr>
        <w:t>Considera</w:t>
      </w:r>
      <w:r w:rsidR="00025BB2">
        <w:rPr>
          <w:rFonts w:ascii="Garamond" w:eastAsia="Calibri" w:hAnsi="Garamond" w:cs="Arial"/>
          <w:sz w:val="24"/>
          <w:szCs w:val="24"/>
        </w:rPr>
        <w:t>-se</w:t>
      </w:r>
      <w:r w:rsidRPr="003A1174">
        <w:rPr>
          <w:rFonts w:ascii="Garamond" w:eastAsia="Calibri" w:hAnsi="Garamond" w:cs="Arial"/>
          <w:sz w:val="24"/>
          <w:szCs w:val="24"/>
        </w:rPr>
        <w:t xml:space="preserve"> relevante </w:t>
      </w:r>
      <w:r w:rsidR="00D65CFD" w:rsidRPr="003A1174">
        <w:rPr>
          <w:rFonts w:ascii="Garamond" w:eastAsia="Calibri" w:hAnsi="Garamond" w:cs="Arial"/>
          <w:sz w:val="24"/>
          <w:szCs w:val="24"/>
        </w:rPr>
        <w:t xml:space="preserve">assinalar </w:t>
      </w:r>
      <w:r w:rsidRPr="003A1174">
        <w:rPr>
          <w:rFonts w:ascii="Garamond" w:eastAsia="Calibri" w:hAnsi="Garamond" w:cs="Arial"/>
          <w:sz w:val="24"/>
          <w:szCs w:val="24"/>
        </w:rPr>
        <w:t>que</w:t>
      </w:r>
      <w:r w:rsidR="00025BB2">
        <w:rPr>
          <w:rFonts w:ascii="Garamond" w:eastAsia="Calibri" w:hAnsi="Garamond" w:cs="Arial"/>
          <w:sz w:val="24"/>
          <w:szCs w:val="24"/>
        </w:rPr>
        <w:t>,</w:t>
      </w:r>
      <w:r w:rsidRPr="003A1174">
        <w:rPr>
          <w:rFonts w:ascii="Garamond" w:eastAsia="Calibri" w:hAnsi="Garamond" w:cs="Arial"/>
          <w:sz w:val="24"/>
          <w:szCs w:val="24"/>
        </w:rPr>
        <w:t xml:space="preserve"> durante </w:t>
      </w:r>
      <w:r w:rsidR="00D65CFD" w:rsidRPr="003A1174">
        <w:rPr>
          <w:rFonts w:ascii="Garamond" w:eastAsia="Calibri" w:hAnsi="Garamond" w:cs="Arial"/>
          <w:sz w:val="24"/>
          <w:szCs w:val="24"/>
        </w:rPr>
        <w:t xml:space="preserve">o </w:t>
      </w:r>
      <w:r w:rsidR="00025BB2">
        <w:rPr>
          <w:rFonts w:ascii="Garamond" w:eastAsia="Calibri" w:hAnsi="Garamond" w:cs="Arial"/>
          <w:sz w:val="24"/>
          <w:szCs w:val="24"/>
        </w:rPr>
        <w:t xml:space="preserve">acompanhamento </w:t>
      </w:r>
      <w:r w:rsidR="00D65CFD" w:rsidRPr="003A1174">
        <w:rPr>
          <w:rFonts w:ascii="Garamond" w:eastAsia="Calibri" w:hAnsi="Garamond" w:cs="Arial"/>
          <w:sz w:val="24"/>
          <w:szCs w:val="24"/>
        </w:rPr>
        <w:t>efetuado, teve-</w:t>
      </w:r>
      <w:r w:rsidRPr="003A1174">
        <w:rPr>
          <w:rFonts w:ascii="Garamond" w:eastAsia="Calibri" w:hAnsi="Garamond" w:cs="Arial"/>
          <w:sz w:val="24"/>
          <w:szCs w:val="24"/>
        </w:rPr>
        <w:t xml:space="preserve">se </w:t>
      </w:r>
      <w:r w:rsidR="003E6403" w:rsidRPr="003A1174">
        <w:rPr>
          <w:rFonts w:ascii="Garamond" w:eastAsia="Calibri" w:hAnsi="Garamond" w:cs="Arial"/>
          <w:sz w:val="24"/>
          <w:szCs w:val="24"/>
        </w:rPr>
        <w:t>conhecimento</w:t>
      </w:r>
      <w:r w:rsidRPr="003A1174">
        <w:rPr>
          <w:rFonts w:ascii="Garamond" w:eastAsia="Calibri" w:hAnsi="Garamond" w:cs="Arial"/>
          <w:sz w:val="24"/>
          <w:szCs w:val="24"/>
        </w:rPr>
        <w:t xml:space="preserve"> de que </w:t>
      </w:r>
      <w:r w:rsidR="00D65CFD" w:rsidRPr="003A1174">
        <w:rPr>
          <w:rFonts w:ascii="Garamond" w:eastAsia="Calibri" w:hAnsi="Garamond" w:cs="Arial"/>
          <w:sz w:val="24"/>
          <w:szCs w:val="24"/>
        </w:rPr>
        <w:t>o INAMU, em</w:t>
      </w:r>
      <w:r w:rsidRPr="003A1174">
        <w:rPr>
          <w:rFonts w:ascii="Garamond" w:eastAsia="Calibri" w:hAnsi="Garamond" w:cs="Arial"/>
          <w:sz w:val="24"/>
          <w:szCs w:val="24"/>
        </w:rPr>
        <w:t xml:space="preserve"> </w:t>
      </w:r>
      <w:r w:rsidR="00AF6765" w:rsidRPr="003A1174">
        <w:rPr>
          <w:rFonts w:ascii="Garamond" w:eastAsia="Calibri" w:hAnsi="Garamond" w:cs="Arial"/>
          <w:sz w:val="24"/>
          <w:szCs w:val="24"/>
        </w:rPr>
        <w:t>sessão</w:t>
      </w:r>
      <w:r w:rsidR="00D65CFD" w:rsidRPr="003A1174">
        <w:rPr>
          <w:rFonts w:ascii="Garamond" w:eastAsia="Calibri" w:hAnsi="Garamond" w:cs="Arial"/>
          <w:sz w:val="24"/>
          <w:szCs w:val="24"/>
        </w:rPr>
        <w:t xml:space="preserve"> ordiná</w:t>
      </w:r>
      <w:r w:rsidRPr="003A1174">
        <w:rPr>
          <w:rFonts w:ascii="Garamond" w:eastAsia="Calibri" w:hAnsi="Garamond" w:cs="Arial"/>
          <w:sz w:val="24"/>
          <w:szCs w:val="24"/>
        </w:rPr>
        <w:t>ria da Junta Diretiva</w:t>
      </w:r>
      <w:r w:rsidR="00025BB2">
        <w:rPr>
          <w:rFonts w:ascii="Garamond" w:eastAsia="Calibri" w:hAnsi="Garamond" w:cs="Arial"/>
          <w:sz w:val="24"/>
          <w:szCs w:val="24"/>
        </w:rPr>
        <w:t>,</w:t>
      </w:r>
      <w:r w:rsidRPr="003A1174">
        <w:rPr>
          <w:rFonts w:ascii="Garamond" w:eastAsia="Calibri" w:hAnsi="Garamond" w:cs="Arial"/>
          <w:sz w:val="24"/>
          <w:szCs w:val="24"/>
        </w:rPr>
        <w:t xml:space="preserve"> celebrada e</w:t>
      </w:r>
      <w:r w:rsidR="00D65CFD" w:rsidRPr="003A1174">
        <w:rPr>
          <w:rFonts w:ascii="Garamond" w:eastAsia="Calibri" w:hAnsi="Garamond" w:cs="Arial"/>
          <w:sz w:val="24"/>
          <w:szCs w:val="24"/>
        </w:rPr>
        <w:t>m</w:t>
      </w:r>
      <w:r w:rsidRPr="003A1174">
        <w:rPr>
          <w:rFonts w:ascii="Garamond" w:eastAsia="Calibri" w:hAnsi="Garamond" w:cs="Arial"/>
          <w:sz w:val="24"/>
          <w:szCs w:val="24"/>
        </w:rPr>
        <w:t xml:space="preserve"> </w:t>
      </w:r>
      <w:r w:rsidR="00B936A7" w:rsidRPr="003A1174">
        <w:rPr>
          <w:rFonts w:ascii="Garamond" w:eastAsia="Calibri" w:hAnsi="Garamond" w:cs="Arial"/>
          <w:sz w:val="24"/>
          <w:szCs w:val="24"/>
        </w:rPr>
        <w:t>janeiro</w:t>
      </w:r>
      <w:r w:rsidR="00D65CFD" w:rsidRPr="003A1174">
        <w:rPr>
          <w:rFonts w:ascii="Garamond" w:eastAsia="Calibri" w:hAnsi="Garamond" w:cs="Arial"/>
          <w:sz w:val="24"/>
          <w:szCs w:val="24"/>
        </w:rPr>
        <w:t xml:space="preserve"> de</w:t>
      </w:r>
      <w:r w:rsidRPr="003A1174">
        <w:rPr>
          <w:rFonts w:ascii="Garamond" w:eastAsia="Calibri" w:hAnsi="Garamond" w:cs="Arial"/>
          <w:sz w:val="24"/>
          <w:szCs w:val="24"/>
        </w:rPr>
        <w:t xml:space="preserve"> 2014 </w:t>
      </w:r>
      <w:r w:rsidR="00025BB2">
        <w:rPr>
          <w:rFonts w:ascii="Garamond" w:eastAsia="Calibri" w:hAnsi="Garamond" w:cs="Arial"/>
          <w:sz w:val="24"/>
          <w:szCs w:val="24"/>
        </w:rPr>
        <w:t>-</w:t>
      </w:r>
      <w:r w:rsidR="00D65CFD" w:rsidRPr="003A1174">
        <w:rPr>
          <w:rFonts w:ascii="Garamond" w:eastAsia="Calibri" w:hAnsi="Garamond" w:cs="Arial"/>
          <w:sz w:val="24"/>
          <w:szCs w:val="24"/>
        </w:rPr>
        <w:t xml:space="preserve"> </w:t>
      </w:r>
      <w:r w:rsidRPr="003A1174">
        <w:rPr>
          <w:rFonts w:ascii="Garamond" w:eastAsia="Calibri" w:hAnsi="Garamond" w:cs="Arial"/>
          <w:sz w:val="24"/>
          <w:szCs w:val="24"/>
        </w:rPr>
        <w:t>Ata N</w:t>
      </w:r>
      <w:r w:rsidR="00025BB2">
        <w:rPr>
          <w:rFonts w:ascii="Garamond" w:eastAsia="Calibri" w:hAnsi="Garamond" w:cs="Arial"/>
          <w:sz w:val="24"/>
          <w:szCs w:val="24"/>
        </w:rPr>
        <w:t>.</w:t>
      </w:r>
      <w:r w:rsidRPr="003A1174">
        <w:rPr>
          <w:rFonts w:ascii="Garamond" w:eastAsia="Calibri" w:hAnsi="Garamond" w:cs="Arial"/>
          <w:sz w:val="24"/>
          <w:szCs w:val="24"/>
        </w:rPr>
        <w:t>°03-2014</w:t>
      </w:r>
      <w:r w:rsidR="00025BB2">
        <w:rPr>
          <w:rFonts w:ascii="Garamond" w:eastAsia="Calibri" w:hAnsi="Garamond" w:cs="Arial"/>
          <w:sz w:val="24"/>
          <w:szCs w:val="24"/>
        </w:rPr>
        <w:t>,</w:t>
      </w:r>
      <w:r w:rsidRPr="003A1174">
        <w:rPr>
          <w:rFonts w:ascii="Garamond" w:eastAsia="Calibri" w:hAnsi="Garamond" w:cs="Arial"/>
          <w:sz w:val="24"/>
          <w:szCs w:val="24"/>
        </w:rPr>
        <w:t xml:space="preserve"> </w:t>
      </w:r>
      <w:r w:rsidR="00D37CF3" w:rsidRPr="003A1174">
        <w:rPr>
          <w:rFonts w:ascii="Garamond" w:eastAsia="Calibri" w:hAnsi="Garamond" w:cs="Arial"/>
          <w:sz w:val="24"/>
          <w:szCs w:val="24"/>
        </w:rPr>
        <w:t>adotou</w:t>
      </w:r>
      <w:r w:rsidR="00D65CFD"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as medidas </w:t>
      </w:r>
      <w:r w:rsidR="007578C6" w:rsidRPr="003A1174">
        <w:rPr>
          <w:rFonts w:ascii="Garamond" w:eastAsia="Calibri" w:hAnsi="Garamond" w:cs="Arial"/>
          <w:sz w:val="24"/>
          <w:szCs w:val="24"/>
        </w:rPr>
        <w:t>necessária</w:t>
      </w:r>
      <w:r w:rsidRPr="003A1174">
        <w:rPr>
          <w:rFonts w:ascii="Garamond" w:eastAsia="Calibri" w:hAnsi="Garamond" w:cs="Arial"/>
          <w:sz w:val="24"/>
          <w:szCs w:val="24"/>
        </w:rPr>
        <w:t xml:space="preserve">s </w:t>
      </w:r>
      <w:r w:rsidR="00221CED" w:rsidRPr="003A1174">
        <w:rPr>
          <w:rFonts w:ascii="Garamond" w:eastAsia="Calibri" w:hAnsi="Garamond" w:cs="Arial"/>
          <w:sz w:val="24"/>
          <w:szCs w:val="24"/>
        </w:rPr>
        <w:t>par</w:t>
      </w:r>
      <w:r w:rsidRPr="003A1174">
        <w:rPr>
          <w:rFonts w:ascii="Garamond" w:eastAsia="Calibri" w:hAnsi="Garamond" w:cs="Arial"/>
          <w:sz w:val="24"/>
          <w:szCs w:val="24"/>
        </w:rPr>
        <w:t xml:space="preserve">a </w:t>
      </w:r>
      <w:r w:rsidR="00964875" w:rsidRPr="003A1174">
        <w:rPr>
          <w:rFonts w:ascii="Garamond" w:eastAsia="Calibri" w:hAnsi="Garamond" w:cs="Arial"/>
          <w:sz w:val="24"/>
          <w:szCs w:val="24"/>
        </w:rPr>
        <w:t>melhorar</w:t>
      </w:r>
      <w:r w:rsidR="00D65CFD" w:rsidRPr="003A1174">
        <w:rPr>
          <w:rFonts w:ascii="Garamond" w:eastAsia="Calibri" w:hAnsi="Garamond" w:cs="Arial"/>
          <w:sz w:val="24"/>
          <w:szCs w:val="24"/>
        </w:rPr>
        <w:t xml:space="preserve"> </w:t>
      </w:r>
      <w:r w:rsidRPr="003A1174">
        <w:rPr>
          <w:rFonts w:ascii="Garamond" w:eastAsia="Calibri" w:hAnsi="Garamond" w:cs="Arial"/>
          <w:sz w:val="24"/>
          <w:szCs w:val="24"/>
        </w:rPr>
        <w:t xml:space="preserve">a </w:t>
      </w:r>
      <w:r w:rsidR="00EB78D9" w:rsidRPr="003A1174">
        <w:rPr>
          <w:rFonts w:ascii="Garamond" w:eastAsia="Calibri" w:hAnsi="Garamond" w:cs="Arial"/>
          <w:sz w:val="24"/>
          <w:szCs w:val="24"/>
        </w:rPr>
        <w:t>execução</w:t>
      </w:r>
      <w:r w:rsidRPr="003A1174">
        <w:rPr>
          <w:rFonts w:ascii="Garamond" w:eastAsia="Calibri" w:hAnsi="Garamond" w:cs="Arial"/>
          <w:sz w:val="24"/>
          <w:szCs w:val="24"/>
        </w:rPr>
        <w:t xml:space="preserve"> </w:t>
      </w:r>
      <w:r w:rsidR="00D65CFD" w:rsidRPr="003A1174">
        <w:rPr>
          <w:rFonts w:ascii="Garamond" w:eastAsia="Calibri" w:hAnsi="Garamond" w:cs="Arial"/>
          <w:sz w:val="24"/>
          <w:szCs w:val="24"/>
        </w:rPr>
        <w:t xml:space="preserve">orçamental e conseguir a </w:t>
      </w:r>
      <w:r w:rsidR="006B29BF" w:rsidRPr="003A1174">
        <w:rPr>
          <w:rFonts w:ascii="Garamond" w:eastAsia="Calibri" w:hAnsi="Garamond" w:cs="Arial"/>
          <w:sz w:val="24"/>
          <w:szCs w:val="24"/>
        </w:rPr>
        <w:t>redução</w:t>
      </w:r>
      <w:r w:rsidRPr="003A1174">
        <w:rPr>
          <w:rFonts w:ascii="Garamond" w:eastAsia="Calibri" w:hAnsi="Garamond" w:cs="Arial"/>
          <w:sz w:val="24"/>
          <w:szCs w:val="24"/>
        </w:rPr>
        <w:t xml:space="preserve"> </w:t>
      </w:r>
      <w:r w:rsidR="00E85E59" w:rsidRPr="003A1174">
        <w:rPr>
          <w:rFonts w:ascii="Garamond" w:eastAsia="Calibri" w:hAnsi="Garamond" w:cs="Arial"/>
          <w:sz w:val="24"/>
          <w:szCs w:val="24"/>
        </w:rPr>
        <w:t>do</w:t>
      </w:r>
      <w:r w:rsidRPr="003A1174">
        <w:rPr>
          <w:rFonts w:ascii="Garamond" w:eastAsia="Calibri" w:hAnsi="Garamond" w:cs="Arial"/>
          <w:sz w:val="24"/>
          <w:szCs w:val="24"/>
        </w:rPr>
        <w:t xml:space="preserve"> </w:t>
      </w:r>
      <w:r w:rsidR="00025BB2" w:rsidRPr="003A1174">
        <w:rPr>
          <w:rFonts w:ascii="Garamond" w:eastAsia="Calibri" w:hAnsi="Garamond" w:cs="Arial"/>
          <w:sz w:val="24"/>
          <w:szCs w:val="24"/>
        </w:rPr>
        <w:t>superavit</w:t>
      </w:r>
      <w:r w:rsidRPr="003A1174">
        <w:rPr>
          <w:rFonts w:ascii="Garamond" w:eastAsia="Calibri" w:hAnsi="Garamond" w:cs="Arial"/>
          <w:sz w:val="24"/>
          <w:szCs w:val="24"/>
        </w:rPr>
        <w:t xml:space="preserve"> acumulado</w:t>
      </w:r>
      <w:r w:rsidR="00D65CFD" w:rsidRPr="003A1174">
        <w:rPr>
          <w:rFonts w:ascii="Garamond" w:eastAsia="Calibri" w:hAnsi="Garamond" w:cs="Arial"/>
          <w:sz w:val="24"/>
          <w:szCs w:val="24"/>
        </w:rPr>
        <w:t xml:space="preserve"> </w:t>
      </w:r>
      <w:r w:rsidR="00025BB2">
        <w:rPr>
          <w:rFonts w:ascii="Garamond" w:eastAsia="Calibri" w:hAnsi="Garamond" w:cs="Arial"/>
          <w:sz w:val="24"/>
          <w:szCs w:val="24"/>
        </w:rPr>
        <w:t>-</w:t>
      </w:r>
      <w:r w:rsidR="00221CED" w:rsidRPr="003A1174">
        <w:rPr>
          <w:rFonts w:ascii="Garamond" w:eastAsia="Calibri" w:hAnsi="Garamond" w:cs="Arial"/>
          <w:sz w:val="24"/>
          <w:szCs w:val="24"/>
        </w:rPr>
        <w:t xml:space="preserve"> </w:t>
      </w:r>
      <w:r w:rsidR="000672E8" w:rsidRPr="003A1174">
        <w:rPr>
          <w:rFonts w:ascii="Garamond" w:eastAsia="Calibri" w:hAnsi="Garamond" w:cs="Arial"/>
          <w:sz w:val="24"/>
          <w:szCs w:val="24"/>
        </w:rPr>
        <w:t>e</w:t>
      </w:r>
      <w:r w:rsidRPr="003A1174">
        <w:rPr>
          <w:rFonts w:ascii="Garamond" w:eastAsia="Calibri" w:hAnsi="Garamond" w:cs="Arial"/>
          <w:sz w:val="24"/>
          <w:szCs w:val="24"/>
        </w:rPr>
        <w:t xml:space="preserve"> </w:t>
      </w:r>
      <w:r w:rsidR="00D54730" w:rsidRPr="003A1174">
        <w:rPr>
          <w:rFonts w:ascii="Garamond" w:eastAsia="Calibri" w:hAnsi="Garamond" w:cs="Arial"/>
          <w:sz w:val="24"/>
          <w:szCs w:val="24"/>
        </w:rPr>
        <w:t>elaborou</w:t>
      </w:r>
      <w:r w:rsidRPr="003A1174">
        <w:rPr>
          <w:rFonts w:ascii="Garamond" w:eastAsia="Calibri" w:hAnsi="Garamond" w:cs="Arial"/>
          <w:sz w:val="24"/>
          <w:szCs w:val="24"/>
        </w:rPr>
        <w:t xml:space="preserve"> u</w:t>
      </w:r>
      <w:r w:rsidR="00D65CFD" w:rsidRPr="003A1174">
        <w:rPr>
          <w:rFonts w:ascii="Garamond" w:eastAsia="Calibri" w:hAnsi="Garamond" w:cs="Arial"/>
          <w:sz w:val="24"/>
          <w:szCs w:val="24"/>
        </w:rPr>
        <w:t>m</w:t>
      </w:r>
      <w:r w:rsidRPr="003A1174">
        <w:rPr>
          <w:rFonts w:ascii="Garamond" w:eastAsia="Calibri" w:hAnsi="Garamond" w:cs="Arial"/>
          <w:sz w:val="24"/>
          <w:szCs w:val="24"/>
        </w:rPr>
        <w:t xml:space="preserve"> </w:t>
      </w:r>
      <w:r w:rsidR="00462B11" w:rsidRPr="003A1174">
        <w:rPr>
          <w:rFonts w:ascii="Garamond" w:eastAsia="Calibri" w:hAnsi="Garamond" w:cs="Arial"/>
          <w:sz w:val="24"/>
          <w:szCs w:val="24"/>
        </w:rPr>
        <w:t>Plano</w:t>
      </w:r>
      <w:r w:rsidRPr="003A1174">
        <w:rPr>
          <w:rFonts w:ascii="Garamond" w:eastAsia="Calibri" w:hAnsi="Garamond" w:cs="Arial"/>
          <w:sz w:val="24"/>
          <w:szCs w:val="24"/>
        </w:rPr>
        <w:t xml:space="preserve"> de Inve</w:t>
      </w:r>
      <w:r w:rsidR="00D65CFD" w:rsidRPr="003A1174">
        <w:rPr>
          <w:rFonts w:ascii="Garamond" w:eastAsia="Calibri" w:hAnsi="Garamond" w:cs="Arial"/>
          <w:sz w:val="24"/>
          <w:szCs w:val="24"/>
        </w:rPr>
        <w:t xml:space="preserve">stimentos com </w:t>
      </w:r>
      <w:r w:rsidRPr="003A1174">
        <w:rPr>
          <w:rFonts w:ascii="Garamond" w:eastAsia="Calibri" w:hAnsi="Garamond" w:cs="Arial"/>
          <w:sz w:val="24"/>
          <w:szCs w:val="24"/>
        </w:rPr>
        <w:t xml:space="preserve">Recursos </w:t>
      </w:r>
      <w:r w:rsidR="00E85E59" w:rsidRPr="003A1174">
        <w:rPr>
          <w:rFonts w:ascii="Garamond" w:eastAsia="Calibri" w:hAnsi="Garamond" w:cs="Arial"/>
          <w:sz w:val="24"/>
          <w:szCs w:val="24"/>
        </w:rPr>
        <w:t>do</w:t>
      </w:r>
      <w:r w:rsidRPr="003A1174">
        <w:rPr>
          <w:rFonts w:ascii="Garamond" w:eastAsia="Calibri" w:hAnsi="Garamond" w:cs="Arial"/>
          <w:sz w:val="24"/>
          <w:szCs w:val="24"/>
        </w:rPr>
        <w:t xml:space="preserve"> </w:t>
      </w:r>
      <w:r w:rsidR="00025BB2" w:rsidRPr="003A1174">
        <w:rPr>
          <w:rFonts w:ascii="Garamond" w:eastAsia="Calibri" w:hAnsi="Garamond" w:cs="Arial"/>
          <w:sz w:val="24"/>
          <w:szCs w:val="24"/>
        </w:rPr>
        <w:t>Superavit</w:t>
      </w:r>
      <w:r w:rsidRPr="003A1174">
        <w:rPr>
          <w:rFonts w:ascii="Garamond" w:eastAsia="Calibri" w:hAnsi="Garamond" w:cs="Arial"/>
          <w:sz w:val="24"/>
          <w:szCs w:val="24"/>
        </w:rPr>
        <w:t xml:space="preserve"> Acumulado</w:t>
      </w:r>
      <w:r w:rsidR="00AF034B">
        <w:rPr>
          <w:rFonts w:ascii="Garamond" w:eastAsia="Calibri" w:hAnsi="Garamond" w:cs="Arial"/>
          <w:sz w:val="24"/>
          <w:szCs w:val="24"/>
        </w:rPr>
        <w:t>,</w:t>
      </w:r>
      <w:r w:rsidRPr="003A1174">
        <w:rPr>
          <w:rFonts w:ascii="Garamond" w:eastAsia="Calibri" w:hAnsi="Garamond" w:cs="Arial"/>
          <w:sz w:val="24"/>
          <w:szCs w:val="24"/>
        </w:rPr>
        <w:t xml:space="preserve"> e</w:t>
      </w:r>
      <w:r w:rsidR="00D65CFD" w:rsidRPr="003A1174">
        <w:rPr>
          <w:rFonts w:ascii="Garamond" w:eastAsia="Calibri" w:hAnsi="Garamond" w:cs="Arial"/>
          <w:sz w:val="24"/>
          <w:szCs w:val="24"/>
        </w:rPr>
        <w:t xml:space="preserve">m </w:t>
      </w:r>
      <w:r w:rsidRPr="003A1174">
        <w:rPr>
          <w:rFonts w:ascii="Garamond" w:eastAsia="Calibri" w:hAnsi="Garamond" w:cs="Arial"/>
          <w:sz w:val="24"/>
          <w:szCs w:val="24"/>
        </w:rPr>
        <w:t>que se determin</w:t>
      </w:r>
      <w:r w:rsidR="00D65CFD" w:rsidRPr="003A1174">
        <w:rPr>
          <w:rFonts w:ascii="Garamond" w:eastAsia="Calibri" w:hAnsi="Garamond" w:cs="Arial"/>
          <w:sz w:val="24"/>
          <w:szCs w:val="24"/>
        </w:rPr>
        <w:t xml:space="preserve">ou </w:t>
      </w:r>
      <w:r w:rsidRPr="003A1174">
        <w:rPr>
          <w:rFonts w:ascii="Garamond" w:eastAsia="Calibri" w:hAnsi="Garamond" w:cs="Arial"/>
          <w:sz w:val="24"/>
          <w:szCs w:val="24"/>
        </w:rPr>
        <w:t xml:space="preserve">a </w:t>
      </w:r>
      <w:r w:rsidR="00AB6522" w:rsidRPr="003A1174">
        <w:rPr>
          <w:rFonts w:ascii="Garamond" w:eastAsia="Calibri" w:hAnsi="Garamond" w:cs="Arial"/>
          <w:sz w:val="24"/>
          <w:szCs w:val="24"/>
        </w:rPr>
        <w:t>utilização</w:t>
      </w:r>
      <w:r w:rsidRPr="003A1174">
        <w:rPr>
          <w:rFonts w:ascii="Garamond" w:eastAsia="Calibri" w:hAnsi="Garamond" w:cs="Arial"/>
          <w:sz w:val="24"/>
          <w:szCs w:val="24"/>
        </w:rPr>
        <w:t xml:space="preserve"> de </w:t>
      </w:r>
      <w:r w:rsidRPr="003A1174">
        <w:rPr>
          <w:rFonts w:ascii="Times New Roman" w:eastAsia="Calibri" w:hAnsi="Times New Roman" w:cs="Times New Roman"/>
          <w:sz w:val="24"/>
          <w:szCs w:val="24"/>
        </w:rPr>
        <w:t>Ȼ</w:t>
      </w:r>
      <w:r w:rsidRPr="003A1174">
        <w:rPr>
          <w:rFonts w:ascii="Garamond" w:eastAsia="Calibri" w:hAnsi="Garamond" w:cs="Arial"/>
          <w:sz w:val="24"/>
          <w:szCs w:val="24"/>
        </w:rPr>
        <w:t xml:space="preserve"> 5</w:t>
      </w:r>
      <w:r w:rsidR="00025BB2">
        <w:rPr>
          <w:rFonts w:ascii="Garamond" w:eastAsia="Calibri" w:hAnsi="Garamond" w:cs="Arial"/>
          <w:sz w:val="24"/>
          <w:szCs w:val="24"/>
        </w:rPr>
        <w:t xml:space="preserve"> </w:t>
      </w:r>
      <w:r w:rsidRPr="003A1174">
        <w:rPr>
          <w:rFonts w:ascii="Garamond" w:eastAsia="Calibri" w:hAnsi="Garamond" w:cs="Arial"/>
          <w:sz w:val="24"/>
          <w:szCs w:val="24"/>
        </w:rPr>
        <w:t>187</w:t>
      </w:r>
      <w:r w:rsidR="00025BB2">
        <w:rPr>
          <w:rFonts w:ascii="Garamond" w:eastAsia="Calibri" w:hAnsi="Garamond" w:cs="Arial"/>
          <w:sz w:val="24"/>
          <w:szCs w:val="24"/>
        </w:rPr>
        <w:t xml:space="preserve"> </w:t>
      </w:r>
      <w:r w:rsidRPr="003A1174">
        <w:rPr>
          <w:rFonts w:ascii="Garamond" w:eastAsia="Calibri" w:hAnsi="Garamond" w:cs="Arial"/>
          <w:sz w:val="24"/>
          <w:szCs w:val="24"/>
        </w:rPr>
        <w:t>381</w:t>
      </w:r>
      <w:r w:rsidR="00025BB2">
        <w:rPr>
          <w:rFonts w:ascii="Garamond" w:eastAsia="Calibri" w:hAnsi="Garamond" w:cs="Arial"/>
          <w:sz w:val="24"/>
          <w:szCs w:val="24"/>
        </w:rPr>
        <w:t xml:space="preserve"> </w:t>
      </w:r>
      <w:r w:rsidRPr="003A1174">
        <w:rPr>
          <w:rFonts w:ascii="Garamond" w:eastAsia="Calibri" w:hAnsi="Garamond" w:cs="Arial"/>
          <w:sz w:val="24"/>
          <w:szCs w:val="24"/>
        </w:rPr>
        <w:t xml:space="preserve">056,15 </w:t>
      </w:r>
      <w:r w:rsidR="00D65CFD" w:rsidRPr="003A1174">
        <w:rPr>
          <w:rFonts w:ascii="Garamond" w:eastAsia="Calibri" w:hAnsi="Garamond" w:cs="Arial"/>
          <w:sz w:val="24"/>
          <w:szCs w:val="24"/>
        </w:rPr>
        <w:t>(colon</w:t>
      </w:r>
      <w:r w:rsidR="00221CED" w:rsidRPr="003A1174">
        <w:rPr>
          <w:rFonts w:ascii="Garamond" w:eastAsia="Calibri" w:hAnsi="Garamond" w:cs="Arial"/>
          <w:sz w:val="24"/>
          <w:szCs w:val="24"/>
        </w:rPr>
        <w:t>s)</w:t>
      </w:r>
      <w:r w:rsidR="00025BB2">
        <w:rPr>
          <w:rFonts w:ascii="Garamond" w:eastAsia="Calibri" w:hAnsi="Garamond" w:cs="Arial"/>
          <w:sz w:val="24"/>
          <w:szCs w:val="24"/>
        </w:rPr>
        <w:t>,</w:t>
      </w:r>
      <w:r w:rsidR="00221CED" w:rsidRPr="003A1174">
        <w:rPr>
          <w:rFonts w:ascii="Garamond" w:eastAsia="Calibri" w:hAnsi="Garamond" w:cs="Arial"/>
          <w:sz w:val="24"/>
          <w:szCs w:val="24"/>
        </w:rPr>
        <w:t xml:space="preserve"> </w:t>
      </w:r>
      <w:r w:rsidR="00D65CFD" w:rsidRPr="003A1174">
        <w:rPr>
          <w:rFonts w:ascii="Garamond" w:eastAsia="Calibri" w:hAnsi="Garamond" w:cs="Arial"/>
          <w:sz w:val="24"/>
          <w:szCs w:val="24"/>
        </w:rPr>
        <w:t xml:space="preserve">mediante </w:t>
      </w:r>
      <w:r w:rsidRPr="003A1174">
        <w:rPr>
          <w:rFonts w:ascii="Garamond" w:eastAsia="Calibri" w:hAnsi="Garamond" w:cs="Arial"/>
          <w:sz w:val="24"/>
          <w:szCs w:val="24"/>
        </w:rPr>
        <w:t xml:space="preserve">a </w:t>
      </w:r>
      <w:r w:rsidR="00D37CF3" w:rsidRPr="003A1174">
        <w:rPr>
          <w:rFonts w:ascii="Garamond" w:eastAsia="Calibri" w:hAnsi="Garamond" w:cs="Arial"/>
          <w:sz w:val="24"/>
          <w:szCs w:val="24"/>
        </w:rPr>
        <w:t>distribuição</w:t>
      </w:r>
      <w:r w:rsidRPr="003A1174">
        <w:rPr>
          <w:rFonts w:ascii="Garamond" w:eastAsia="Calibri" w:hAnsi="Garamond" w:cs="Arial"/>
          <w:sz w:val="24"/>
          <w:szCs w:val="24"/>
        </w:rPr>
        <w:t xml:space="preserve"> de recursos por </w:t>
      </w:r>
      <w:r w:rsidR="00221CED" w:rsidRPr="003A1174">
        <w:rPr>
          <w:rFonts w:ascii="Garamond" w:eastAsia="Calibri" w:hAnsi="Garamond" w:cs="Arial"/>
          <w:sz w:val="24"/>
          <w:szCs w:val="24"/>
        </w:rPr>
        <w:t xml:space="preserve">programas </w:t>
      </w:r>
      <w:r w:rsidR="000672E8" w:rsidRPr="003A1174">
        <w:rPr>
          <w:rFonts w:ascii="Garamond" w:eastAsia="Calibri" w:hAnsi="Garamond" w:cs="Arial"/>
          <w:sz w:val="24"/>
          <w:szCs w:val="24"/>
        </w:rPr>
        <w:t>e</w:t>
      </w:r>
      <w:r w:rsidR="00221CED" w:rsidRPr="003A1174">
        <w:rPr>
          <w:rFonts w:ascii="Garamond" w:eastAsia="Calibri" w:hAnsi="Garamond" w:cs="Arial"/>
          <w:sz w:val="24"/>
          <w:szCs w:val="24"/>
        </w:rPr>
        <w:t xml:space="preserve"> </w:t>
      </w:r>
      <w:r w:rsidR="00C30647" w:rsidRPr="003A1174">
        <w:rPr>
          <w:rFonts w:ascii="Garamond" w:eastAsia="Calibri" w:hAnsi="Garamond" w:cs="Arial"/>
          <w:sz w:val="24"/>
          <w:szCs w:val="24"/>
        </w:rPr>
        <w:t>projeto</w:t>
      </w:r>
      <w:r w:rsidR="00221CED" w:rsidRPr="003A1174">
        <w:rPr>
          <w:rFonts w:ascii="Garamond" w:eastAsia="Calibri" w:hAnsi="Garamond" w:cs="Arial"/>
          <w:sz w:val="24"/>
          <w:szCs w:val="24"/>
        </w:rPr>
        <w:t xml:space="preserve">s </w:t>
      </w:r>
      <w:r w:rsidR="00FB09CA" w:rsidRPr="003A1174">
        <w:rPr>
          <w:rFonts w:ascii="Garamond" w:eastAsia="Calibri" w:hAnsi="Garamond" w:cs="Arial"/>
          <w:sz w:val="24"/>
          <w:szCs w:val="24"/>
        </w:rPr>
        <w:t>atual</w:t>
      </w:r>
      <w:r w:rsidR="00221CED" w:rsidRPr="003A1174">
        <w:rPr>
          <w:rFonts w:ascii="Garamond" w:eastAsia="Calibri" w:hAnsi="Garamond" w:cs="Arial"/>
          <w:sz w:val="24"/>
          <w:szCs w:val="24"/>
        </w:rPr>
        <w:t xml:space="preserve">izados. </w:t>
      </w:r>
    </w:p>
    <w:p w:rsidR="00AB405A" w:rsidRPr="003A1174" w:rsidRDefault="00AB405A" w:rsidP="008719D4">
      <w:pPr>
        <w:autoSpaceDE w:val="0"/>
        <w:autoSpaceDN w:val="0"/>
        <w:adjustRightInd w:val="0"/>
        <w:spacing w:after="0" w:line="240" w:lineRule="auto"/>
        <w:jc w:val="both"/>
        <w:rPr>
          <w:rFonts w:ascii="Garamond" w:eastAsia="Calibri" w:hAnsi="Garamond" w:cs="Arial"/>
          <w:sz w:val="24"/>
          <w:szCs w:val="24"/>
        </w:rPr>
      </w:pPr>
    </w:p>
    <w:p w:rsidR="00AB405A" w:rsidRPr="003A1174" w:rsidRDefault="00D65CFD" w:rsidP="008719D4">
      <w:pPr>
        <w:widowControl w:val="0"/>
        <w:autoSpaceDE w:val="0"/>
        <w:autoSpaceDN w:val="0"/>
        <w:adjustRightInd w:val="0"/>
        <w:spacing w:after="0" w:line="240" w:lineRule="auto"/>
        <w:jc w:val="both"/>
        <w:rPr>
          <w:rFonts w:ascii="Garamond" w:eastAsia="Times New Roman" w:hAnsi="Garamond" w:cs="Arial"/>
          <w:sz w:val="24"/>
          <w:szCs w:val="24"/>
          <w:shd w:val="clear" w:color="auto" w:fill="FEFFFF"/>
          <w:lang w:eastAsia="es-CR" w:bidi="he-IL"/>
        </w:rPr>
      </w:pPr>
      <w:r w:rsidRPr="003A1174">
        <w:rPr>
          <w:rFonts w:ascii="Garamond" w:eastAsia="Times New Roman" w:hAnsi="Garamond" w:cs="Arial"/>
          <w:sz w:val="24"/>
          <w:szCs w:val="24"/>
          <w:shd w:val="clear" w:color="auto" w:fill="FEFFFF"/>
          <w:lang w:eastAsia="es-CR" w:bidi="he-IL"/>
        </w:rPr>
        <w:t xml:space="preserve">Também </w:t>
      </w:r>
      <w:r w:rsidR="00025BB2">
        <w:rPr>
          <w:rFonts w:ascii="Garamond" w:eastAsia="Times New Roman" w:hAnsi="Garamond" w:cs="Arial"/>
          <w:sz w:val="24"/>
          <w:szCs w:val="24"/>
          <w:shd w:val="clear" w:color="auto" w:fill="FEFFFF"/>
          <w:lang w:eastAsia="es-CR" w:bidi="he-IL"/>
        </w:rPr>
        <w:t xml:space="preserve">se </w:t>
      </w:r>
      <w:proofErr w:type="gramStart"/>
      <w:r w:rsidRPr="003A1174">
        <w:rPr>
          <w:rFonts w:ascii="Garamond" w:eastAsia="Times New Roman" w:hAnsi="Garamond" w:cs="Arial"/>
          <w:sz w:val="24"/>
          <w:szCs w:val="24"/>
          <w:shd w:val="clear" w:color="auto" w:fill="FEFFFF"/>
          <w:lang w:eastAsia="es-CR" w:bidi="he-IL"/>
        </w:rPr>
        <w:t>esclarece</w:t>
      </w:r>
      <w:r w:rsidR="00AF034B">
        <w:rPr>
          <w:rFonts w:ascii="Garamond" w:eastAsia="Times New Roman" w:hAnsi="Garamond" w:cs="Arial"/>
          <w:sz w:val="24"/>
          <w:szCs w:val="24"/>
          <w:shd w:val="clear" w:color="auto" w:fill="FEFFFF"/>
          <w:lang w:eastAsia="es-CR" w:bidi="he-IL"/>
        </w:rPr>
        <w:t>,</w:t>
      </w:r>
      <w:proofErr w:type="gramEnd"/>
      <w:r w:rsidRPr="003A1174">
        <w:rPr>
          <w:rFonts w:ascii="Garamond" w:eastAsia="Times New Roman" w:hAnsi="Garamond" w:cs="Arial"/>
          <w:sz w:val="24"/>
          <w:szCs w:val="24"/>
          <w:shd w:val="clear" w:color="auto" w:fill="FEFFFF"/>
          <w:lang w:eastAsia="es-CR" w:bidi="he-IL"/>
        </w:rPr>
        <w:t xml:space="preserve"> </w:t>
      </w:r>
      <w:r w:rsidR="00AB405A" w:rsidRPr="003A1174">
        <w:rPr>
          <w:rFonts w:ascii="Garamond" w:eastAsia="Times New Roman" w:hAnsi="Garamond" w:cs="Arial"/>
          <w:sz w:val="24"/>
          <w:szCs w:val="24"/>
          <w:shd w:val="clear" w:color="auto" w:fill="FEFFFF"/>
          <w:lang w:eastAsia="es-CR" w:bidi="he-IL"/>
        </w:rPr>
        <w:t xml:space="preserve">que </w:t>
      </w:r>
      <w:r w:rsidRPr="003A1174">
        <w:rPr>
          <w:rFonts w:ascii="Garamond" w:eastAsia="Times New Roman" w:hAnsi="Garamond" w:cs="Arial"/>
          <w:sz w:val="24"/>
          <w:szCs w:val="24"/>
          <w:shd w:val="clear" w:color="auto" w:fill="FEFFFF"/>
          <w:lang w:eastAsia="es-CR" w:bidi="he-IL"/>
        </w:rPr>
        <w:t xml:space="preserve">o </w:t>
      </w:r>
      <w:r w:rsidR="00187AE8" w:rsidRPr="003A1174">
        <w:rPr>
          <w:rFonts w:ascii="Garamond" w:eastAsia="Times New Roman" w:hAnsi="Garamond" w:cs="Arial"/>
          <w:sz w:val="24"/>
          <w:szCs w:val="24"/>
          <w:shd w:val="clear" w:color="auto" w:fill="FEFFFF"/>
          <w:lang w:eastAsia="es-CR" w:bidi="he-IL"/>
        </w:rPr>
        <w:t>superavit</w:t>
      </w:r>
      <w:r w:rsidR="00AB405A" w:rsidRPr="003A1174">
        <w:rPr>
          <w:rFonts w:ascii="Garamond" w:eastAsia="Times New Roman" w:hAnsi="Garamond" w:cs="Arial"/>
          <w:sz w:val="24"/>
          <w:szCs w:val="24"/>
          <w:shd w:val="clear" w:color="auto" w:fill="FEFFFF"/>
          <w:lang w:eastAsia="es-CR" w:bidi="he-IL"/>
        </w:rPr>
        <w:t xml:space="preserve"> s</w:t>
      </w:r>
      <w:r w:rsidRPr="003A1174">
        <w:rPr>
          <w:rFonts w:ascii="Garamond" w:eastAsia="Times New Roman" w:hAnsi="Garamond" w:cs="Arial"/>
          <w:sz w:val="24"/>
          <w:szCs w:val="24"/>
          <w:shd w:val="clear" w:color="auto" w:fill="FEFFFF"/>
          <w:lang w:eastAsia="es-CR" w:bidi="he-IL"/>
        </w:rPr>
        <w:t xml:space="preserve">ó se </w:t>
      </w:r>
      <w:r w:rsidR="007342D9" w:rsidRPr="003A1174">
        <w:rPr>
          <w:rFonts w:ascii="Garamond" w:eastAsia="Times New Roman" w:hAnsi="Garamond" w:cs="Arial"/>
          <w:sz w:val="24"/>
          <w:szCs w:val="24"/>
          <w:shd w:val="clear" w:color="auto" w:fill="FEFFFF"/>
          <w:lang w:eastAsia="es-CR" w:bidi="he-IL"/>
        </w:rPr>
        <w:t>pode</w:t>
      </w:r>
      <w:r w:rsidR="00AB405A" w:rsidRPr="003A1174">
        <w:rPr>
          <w:rFonts w:ascii="Garamond" w:eastAsia="Times New Roman" w:hAnsi="Garamond" w:cs="Arial"/>
          <w:sz w:val="24"/>
          <w:szCs w:val="24"/>
          <w:shd w:val="clear" w:color="auto" w:fill="FEFFFF"/>
          <w:lang w:eastAsia="es-CR" w:bidi="he-IL"/>
        </w:rPr>
        <w:t xml:space="preserve"> destinar </w:t>
      </w:r>
      <w:r w:rsidR="00BB2B00" w:rsidRPr="003A1174">
        <w:rPr>
          <w:rFonts w:ascii="Garamond" w:eastAsia="Times New Roman" w:hAnsi="Garamond" w:cs="Arial"/>
          <w:sz w:val="24"/>
          <w:szCs w:val="24"/>
          <w:shd w:val="clear" w:color="auto" w:fill="FEFFFF"/>
          <w:lang w:eastAsia="es-CR" w:bidi="he-IL"/>
        </w:rPr>
        <w:t>à</w:t>
      </w:r>
      <w:r w:rsidR="00AB405A" w:rsidRPr="003A1174">
        <w:rPr>
          <w:rFonts w:ascii="Garamond" w:eastAsia="Times New Roman" w:hAnsi="Garamond" w:cs="Arial"/>
          <w:sz w:val="24"/>
          <w:szCs w:val="24"/>
          <w:shd w:val="clear" w:color="auto" w:fill="FEFFFF"/>
          <w:lang w:eastAsia="es-CR" w:bidi="he-IL"/>
        </w:rPr>
        <w:t xml:space="preserve"> </w:t>
      </w:r>
      <w:r w:rsidR="00374785" w:rsidRPr="003A1174">
        <w:rPr>
          <w:rFonts w:ascii="Garamond" w:eastAsia="Times New Roman" w:hAnsi="Garamond" w:cs="Arial"/>
          <w:sz w:val="24"/>
          <w:szCs w:val="24"/>
          <w:shd w:val="clear" w:color="auto" w:fill="FEFFFF"/>
          <w:lang w:eastAsia="es-CR" w:bidi="he-IL"/>
        </w:rPr>
        <w:t>atividade</w:t>
      </w:r>
      <w:r w:rsidRPr="003A1174">
        <w:rPr>
          <w:rFonts w:ascii="Garamond" w:eastAsia="Times New Roman" w:hAnsi="Garamond" w:cs="Arial"/>
          <w:sz w:val="24"/>
          <w:szCs w:val="24"/>
          <w:shd w:val="clear" w:color="auto" w:fill="FEFFFF"/>
          <w:lang w:eastAsia="es-CR" w:bidi="he-IL"/>
        </w:rPr>
        <w:t xml:space="preserve"> </w:t>
      </w:r>
      <w:r w:rsidR="00AF034B">
        <w:rPr>
          <w:rFonts w:ascii="Garamond" w:eastAsia="Times New Roman" w:hAnsi="Garamond" w:cs="Arial"/>
          <w:sz w:val="24"/>
          <w:szCs w:val="24"/>
          <w:shd w:val="clear" w:color="auto" w:fill="FEFFFF"/>
          <w:lang w:eastAsia="es-CR" w:bidi="he-IL"/>
        </w:rPr>
        <w:t xml:space="preserve">normal </w:t>
      </w:r>
      <w:r w:rsidR="00AB405A" w:rsidRPr="003A1174">
        <w:rPr>
          <w:rFonts w:ascii="Garamond" w:eastAsia="Times New Roman" w:hAnsi="Garamond" w:cs="Arial"/>
          <w:sz w:val="24"/>
          <w:szCs w:val="24"/>
          <w:shd w:val="clear" w:color="auto" w:fill="FEFFFF"/>
          <w:lang w:eastAsia="es-CR" w:bidi="he-IL"/>
        </w:rPr>
        <w:t>para n</w:t>
      </w:r>
      <w:r w:rsidRPr="003A1174">
        <w:rPr>
          <w:rFonts w:ascii="Garamond" w:eastAsia="Times New Roman" w:hAnsi="Garamond" w:cs="Arial"/>
          <w:sz w:val="24"/>
          <w:szCs w:val="24"/>
          <w:shd w:val="clear" w:color="auto" w:fill="FEFFFF"/>
          <w:lang w:eastAsia="es-CR" w:bidi="he-IL"/>
        </w:rPr>
        <w:t>ã</w:t>
      </w:r>
      <w:r w:rsidR="00AB405A" w:rsidRPr="003A1174">
        <w:rPr>
          <w:rFonts w:ascii="Garamond" w:eastAsia="Times New Roman" w:hAnsi="Garamond" w:cs="Arial"/>
          <w:sz w:val="24"/>
          <w:szCs w:val="24"/>
          <w:shd w:val="clear" w:color="auto" w:fill="FEFFFF"/>
          <w:lang w:eastAsia="es-CR" w:bidi="he-IL"/>
        </w:rPr>
        <w:t xml:space="preserve">o </w:t>
      </w:r>
      <w:r w:rsidRPr="003A1174">
        <w:rPr>
          <w:rFonts w:ascii="Garamond" w:eastAsia="Times New Roman" w:hAnsi="Garamond" w:cs="Arial"/>
          <w:sz w:val="24"/>
          <w:szCs w:val="24"/>
          <w:shd w:val="clear" w:color="auto" w:fill="FEFFFF"/>
          <w:lang w:eastAsia="es-CR" w:bidi="he-IL"/>
        </w:rPr>
        <w:t xml:space="preserve">infringir o </w:t>
      </w:r>
      <w:r w:rsidR="006D0543" w:rsidRPr="003A1174">
        <w:rPr>
          <w:rFonts w:ascii="Garamond" w:eastAsia="Times New Roman" w:hAnsi="Garamond" w:cs="Arial"/>
          <w:sz w:val="24"/>
          <w:szCs w:val="24"/>
          <w:shd w:val="clear" w:color="auto" w:fill="FEFFFF"/>
          <w:lang w:eastAsia="es-CR" w:bidi="he-IL"/>
        </w:rPr>
        <w:t>princípio</w:t>
      </w:r>
      <w:r w:rsidR="00AB405A" w:rsidRPr="003A1174">
        <w:rPr>
          <w:rFonts w:ascii="Garamond" w:eastAsia="Times New Roman" w:hAnsi="Garamond" w:cs="Arial"/>
          <w:sz w:val="24"/>
          <w:szCs w:val="24"/>
          <w:shd w:val="clear" w:color="auto" w:fill="FEFFFF"/>
          <w:lang w:eastAsia="es-CR" w:bidi="he-IL"/>
        </w:rPr>
        <w:t xml:space="preserve"> de </w:t>
      </w:r>
      <w:r w:rsidRPr="003A1174">
        <w:rPr>
          <w:rFonts w:ascii="Garamond" w:eastAsia="Times New Roman" w:hAnsi="Garamond" w:cs="Arial"/>
          <w:sz w:val="24"/>
          <w:szCs w:val="24"/>
          <w:shd w:val="clear" w:color="auto" w:fill="FEFFFF"/>
          <w:lang w:eastAsia="es-CR" w:bidi="he-IL"/>
        </w:rPr>
        <w:t>equilíbrio</w:t>
      </w:r>
      <w:r w:rsidR="00AB405A" w:rsidRPr="003A1174">
        <w:rPr>
          <w:rFonts w:ascii="Garamond" w:eastAsia="Times New Roman" w:hAnsi="Garamond" w:cs="Arial"/>
          <w:sz w:val="24"/>
          <w:szCs w:val="24"/>
          <w:shd w:val="clear" w:color="auto" w:fill="FEFFFF"/>
          <w:lang w:eastAsia="es-CR" w:bidi="he-IL"/>
        </w:rPr>
        <w:t xml:space="preserve"> en</w:t>
      </w:r>
      <w:r w:rsidR="00C031E1" w:rsidRPr="003A1174">
        <w:rPr>
          <w:rFonts w:ascii="Garamond" w:eastAsia="Times New Roman" w:hAnsi="Garamond" w:cs="Arial"/>
          <w:sz w:val="24"/>
          <w:szCs w:val="24"/>
          <w:shd w:val="clear" w:color="auto" w:fill="FEFFFF"/>
          <w:lang w:eastAsia="es-CR" w:bidi="he-IL"/>
        </w:rPr>
        <w:t>tre</w:t>
      </w:r>
      <w:r w:rsidR="00AB405A" w:rsidRPr="003A1174">
        <w:rPr>
          <w:rFonts w:ascii="Garamond" w:eastAsia="Times New Roman" w:hAnsi="Garamond" w:cs="Arial"/>
          <w:sz w:val="24"/>
          <w:szCs w:val="24"/>
          <w:shd w:val="clear" w:color="auto" w:fill="FEFFFF"/>
          <w:lang w:eastAsia="es-CR" w:bidi="he-IL"/>
        </w:rPr>
        <w:t xml:space="preserve"> </w:t>
      </w:r>
      <w:r w:rsidRPr="003A1174">
        <w:rPr>
          <w:rFonts w:ascii="Garamond" w:eastAsia="Times New Roman" w:hAnsi="Garamond" w:cs="Arial"/>
          <w:sz w:val="24"/>
          <w:szCs w:val="24"/>
          <w:shd w:val="clear" w:color="auto" w:fill="FEFFFF"/>
          <w:lang w:eastAsia="es-CR" w:bidi="he-IL"/>
        </w:rPr>
        <w:t xml:space="preserve">o </w:t>
      </w:r>
      <w:r w:rsidR="00946348" w:rsidRPr="003A1174">
        <w:rPr>
          <w:rFonts w:ascii="Garamond" w:eastAsia="Times New Roman" w:hAnsi="Garamond" w:cs="Arial"/>
          <w:sz w:val="24"/>
          <w:szCs w:val="24"/>
          <w:shd w:val="clear" w:color="auto" w:fill="FEFFFF"/>
          <w:lang w:eastAsia="es-CR" w:bidi="he-IL"/>
        </w:rPr>
        <w:t>orçamento</w:t>
      </w:r>
      <w:r w:rsidR="00C031E1" w:rsidRPr="003A1174">
        <w:rPr>
          <w:rFonts w:ascii="Garamond" w:eastAsia="Times New Roman" w:hAnsi="Garamond" w:cs="Arial"/>
          <w:sz w:val="24"/>
          <w:szCs w:val="24"/>
          <w:shd w:val="clear" w:color="auto" w:fill="FEFFFF"/>
          <w:lang w:eastAsia="es-CR" w:bidi="he-IL"/>
        </w:rPr>
        <w:t xml:space="preserve"> </w:t>
      </w:r>
      <w:r w:rsidR="000672E8" w:rsidRPr="003A1174">
        <w:rPr>
          <w:rFonts w:ascii="Garamond" w:eastAsia="Times New Roman" w:hAnsi="Garamond" w:cs="Arial"/>
          <w:sz w:val="24"/>
          <w:szCs w:val="24"/>
          <w:shd w:val="clear" w:color="auto" w:fill="FEFFFF"/>
          <w:lang w:eastAsia="es-CR" w:bidi="he-IL"/>
        </w:rPr>
        <w:t>e</w:t>
      </w:r>
      <w:r w:rsidR="00C031E1" w:rsidRPr="003A1174">
        <w:rPr>
          <w:rFonts w:ascii="Garamond" w:eastAsia="Times New Roman" w:hAnsi="Garamond" w:cs="Arial"/>
          <w:sz w:val="24"/>
          <w:szCs w:val="24"/>
          <w:shd w:val="clear" w:color="auto" w:fill="FEFFFF"/>
          <w:lang w:eastAsia="es-CR" w:bidi="he-IL"/>
        </w:rPr>
        <w:t xml:space="preserve"> </w:t>
      </w:r>
      <w:r w:rsidR="00AB405A" w:rsidRPr="003A1174">
        <w:rPr>
          <w:rFonts w:ascii="Garamond" w:eastAsia="Times New Roman" w:hAnsi="Garamond" w:cs="Arial"/>
          <w:sz w:val="24"/>
          <w:szCs w:val="24"/>
          <w:shd w:val="clear" w:color="auto" w:fill="FEFFFF"/>
          <w:lang w:eastAsia="es-CR" w:bidi="he-IL"/>
        </w:rPr>
        <w:t xml:space="preserve">a </w:t>
      </w:r>
      <w:r w:rsidR="00EB2F44" w:rsidRPr="003A1174">
        <w:rPr>
          <w:rFonts w:ascii="Garamond" w:eastAsia="Times New Roman" w:hAnsi="Garamond" w:cs="Arial"/>
          <w:sz w:val="24"/>
          <w:szCs w:val="24"/>
          <w:shd w:val="clear" w:color="auto" w:fill="FEFFFF"/>
          <w:lang w:eastAsia="es-CR" w:bidi="he-IL"/>
        </w:rPr>
        <w:t>planificação</w:t>
      </w:r>
      <w:r w:rsidR="00AB405A" w:rsidRPr="003A1174">
        <w:rPr>
          <w:rFonts w:ascii="Garamond" w:eastAsia="Times New Roman" w:hAnsi="Garamond" w:cs="Arial"/>
          <w:sz w:val="24"/>
          <w:szCs w:val="24"/>
          <w:shd w:val="clear" w:color="auto" w:fill="FEFFFF"/>
          <w:lang w:eastAsia="es-CR" w:bidi="he-IL"/>
        </w:rPr>
        <w:t xml:space="preserve">. </w:t>
      </w:r>
      <w:r w:rsidRPr="003A1174">
        <w:rPr>
          <w:rFonts w:ascii="Garamond" w:eastAsia="Times New Roman" w:hAnsi="Garamond" w:cs="Arial"/>
          <w:sz w:val="24"/>
          <w:szCs w:val="24"/>
          <w:shd w:val="clear" w:color="auto" w:fill="FEFFFF"/>
          <w:lang w:eastAsia="es-CR" w:bidi="he-IL"/>
        </w:rPr>
        <w:t xml:space="preserve">O </w:t>
      </w:r>
      <w:r w:rsidR="00AB405A" w:rsidRPr="003A1174">
        <w:rPr>
          <w:rFonts w:ascii="Garamond" w:eastAsia="Times New Roman" w:hAnsi="Garamond" w:cs="Arial"/>
          <w:sz w:val="24"/>
          <w:szCs w:val="24"/>
          <w:shd w:val="clear" w:color="auto" w:fill="FEFFFF"/>
          <w:lang w:eastAsia="es-CR" w:bidi="he-IL"/>
        </w:rPr>
        <w:t>anterior implica u</w:t>
      </w:r>
      <w:r w:rsidRPr="003A1174">
        <w:rPr>
          <w:rFonts w:ascii="Garamond" w:eastAsia="Times New Roman" w:hAnsi="Garamond" w:cs="Arial"/>
          <w:sz w:val="24"/>
          <w:szCs w:val="24"/>
          <w:shd w:val="clear" w:color="auto" w:fill="FEFFFF"/>
          <w:lang w:eastAsia="es-CR" w:bidi="he-IL"/>
        </w:rPr>
        <w:t>m</w:t>
      </w:r>
      <w:r w:rsidR="00AB405A" w:rsidRPr="003A1174">
        <w:rPr>
          <w:rFonts w:ascii="Garamond" w:eastAsia="Times New Roman" w:hAnsi="Garamond" w:cs="Arial"/>
          <w:sz w:val="24"/>
          <w:szCs w:val="24"/>
          <w:shd w:val="clear" w:color="auto" w:fill="FEFFFF"/>
          <w:lang w:eastAsia="es-CR" w:bidi="he-IL"/>
        </w:rPr>
        <w:t xml:space="preserve"> </w:t>
      </w:r>
      <w:r w:rsidR="005D38DC" w:rsidRPr="003A1174">
        <w:rPr>
          <w:rFonts w:ascii="Garamond" w:eastAsia="Times New Roman" w:hAnsi="Garamond" w:cs="Arial"/>
          <w:sz w:val="24"/>
          <w:szCs w:val="24"/>
          <w:shd w:val="clear" w:color="auto" w:fill="FEFFFF"/>
          <w:lang w:eastAsia="es-CR" w:bidi="he-IL"/>
        </w:rPr>
        <w:t>novo</w:t>
      </w:r>
      <w:r w:rsidR="00AB405A" w:rsidRPr="003A1174">
        <w:rPr>
          <w:rFonts w:ascii="Garamond" w:eastAsia="Times New Roman" w:hAnsi="Garamond" w:cs="Arial"/>
          <w:sz w:val="24"/>
          <w:szCs w:val="24"/>
          <w:shd w:val="clear" w:color="auto" w:fill="FEFFFF"/>
          <w:lang w:eastAsia="es-CR" w:bidi="he-IL"/>
        </w:rPr>
        <w:t xml:space="preserve"> </w:t>
      </w:r>
      <w:r w:rsidR="00462B11" w:rsidRPr="003A1174">
        <w:rPr>
          <w:rFonts w:ascii="Garamond" w:eastAsia="Times New Roman" w:hAnsi="Garamond" w:cs="Arial"/>
          <w:sz w:val="24"/>
          <w:szCs w:val="24"/>
          <w:shd w:val="clear" w:color="auto" w:fill="FEFFFF"/>
          <w:lang w:eastAsia="es-CR" w:bidi="he-IL"/>
        </w:rPr>
        <w:t>plano</w:t>
      </w:r>
      <w:r w:rsidR="00AB405A" w:rsidRPr="003A1174">
        <w:rPr>
          <w:rFonts w:ascii="Garamond" w:eastAsia="Times New Roman" w:hAnsi="Garamond" w:cs="Arial"/>
          <w:sz w:val="24"/>
          <w:szCs w:val="24"/>
          <w:shd w:val="clear" w:color="auto" w:fill="FEFFFF"/>
          <w:lang w:eastAsia="es-CR" w:bidi="he-IL"/>
        </w:rPr>
        <w:t xml:space="preserve"> de inve</w:t>
      </w:r>
      <w:r w:rsidRPr="003A1174">
        <w:rPr>
          <w:rFonts w:ascii="Garamond" w:eastAsia="Times New Roman" w:hAnsi="Garamond" w:cs="Arial"/>
          <w:sz w:val="24"/>
          <w:szCs w:val="24"/>
          <w:shd w:val="clear" w:color="auto" w:fill="FEFFFF"/>
          <w:lang w:eastAsia="es-CR" w:bidi="he-IL"/>
        </w:rPr>
        <w:t xml:space="preserve">stimento, </w:t>
      </w:r>
      <w:r w:rsidR="00AB405A" w:rsidRPr="003A1174">
        <w:rPr>
          <w:rFonts w:ascii="Garamond" w:eastAsia="Times New Roman" w:hAnsi="Garamond" w:cs="Arial"/>
          <w:sz w:val="24"/>
          <w:szCs w:val="24"/>
          <w:shd w:val="clear" w:color="auto" w:fill="FEFFFF"/>
          <w:lang w:eastAsia="es-CR" w:bidi="he-IL"/>
        </w:rPr>
        <w:t xml:space="preserve">por </w:t>
      </w:r>
      <w:r w:rsidR="00D4575C" w:rsidRPr="003A1174">
        <w:rPr>
          <w:rFonts w:ascii="Garamond" w:eastAsia="Times New Roman" w:hAnsi="Garamond" w:cs="Arial"/>
          <w:sz w:val="24"/>
          <w:szCs w:val="24"/>
          <w:shd w:val="clear" w:color="auto" w:fill="FEFFFF"/>
          <w:lang w:eastAsia="es-CR" w:bidi="he-IL"/>
        </w:rPr>
        <w:t>meio</w:t>
      </w:r>
      <w:r w:rsidR="00AB405A" w:rsidRPr="003A1174">
        <w:rPr>
          <w:rFonts w:ascii="Garamond" w:eastAsia="Times New Roman" w:hAnsi="Garamond" w:cs="Arial"/>
          <w:sz w:val="24"/>
          <w:szCs w:val="24"/>
          <w:shd w:val="clear" w:color="auto" w:fill="FEFFFF"/>
          <w:lang w:eastAsia="es-CR" w:bidi="he-IL"/>
        </w:rPr>
        <w:t xml:space="preserve"> de concurso público</w:t>
      </w:r>
      <w:r w:rsidR="00AF034B">
        <w:rPr>
          <w:rFonts w:ascii="Garamond" w:eastAsia="Times New Roman" w:hAnsi="Garamond" w:cs="Arial"/>
          <w:sz w:val="24"/>
          <w:szCs w:val="24"/>
          <w:shd w:val="clear" w:color="auto" w:fill="FEFFFF"/>
          <w:lang w:eastAsia="es-CR" w:bidi="he-IL"/>
        </w:rPr>
        <w:t>,</w:t>
      </w:r>
      <w:r w:rsidR="00AB405A" w:rsidRPr="003A1174">
        <w:rPr>
          <w:rFonts w:ascii="Garamond" w:eastAsia="Times New Roman" w:hAnsi="Garamond" w:cs="Arial"/>
          <w:sz w:val="24"/>
          <w:szCs w:val="24"/>
          <w:shd w:val="clear" w:color="auto" w:fill="FEFFFF"/>
          <w:lang w:eastAsia="es-CR" w:bidi="he-IL"/>
        </w:rPr>
        <w:t xml:space="preserve"> dirigido </w:t>
      </w:r>
      <w:r w:rsidR="00D37CF3" w:rsidRPr="003A1174">
        <w:rPr>
          <w:rFonts w:ascii="Garamond" w:eastAsia="Times New Roman" w:hAnsi="Garamond" w:cs="Arial"/>
          <w:sz w:val="24"/>
          <w:szCs w:val="24"/>
          <w:shd w:val="clear" w:color="auto" w:fill="FEFFFF"/>
          <w:lang w:eastAsia="es-CR" w:bidi="he-IL"/>
        </w:rPr>
        <w:t>sectorialmente</w:t>
      </w:r>
      <w:r w:rsidR="00AF034B">
        <w:rPr>
          <w:rFonts w:ascii="Garamond" w:eastAsia="Times New Roman" w:hAnsi="Garamond" w:cs="Arial"/>
          <w:sz w:val="24"/>
          <w:szCs w:val="24"/>
          <w:shd w:val="clear" w:color="auto" w:fill="FEFFFF"/>
          <w:lang w:eastAsia="es-CR" w:bidi="he-IL"/>
        </w:rPr>
        <w:t>,</w:t>
      </w:r>
      <w:r w:rsidR="00AB405A" w:rsidRPr="003A1174">
        <w:rPr>
          <w:rFonts w:ascii="Garamond" w:eastAsia="Times New Roman" w:hAnsi="Garamond" w:cs="Arial"/>
          <w:sz w:val="24"/>
          <w:szCs w:val="24"/>
          <w:shd w:val="clear" w:color="auto" w:fill="FEFFFF"/>
          <w:lang w:eastAsia="es-CR" w:bidi="he-IL"/>
        </w:rPr>
        <w:t xml:space="preserve"> </w:t>
      </w:r>
      <w:r w:rsidR="00BB2B00" w:rsidRPr="003A1174">
        <w:rPr>
          <w:rFonts w:ascii="Garamond" w:eastAsia="Times New Roman" w:hAnsi="Garamond" w:cs="Arial"/>
          <w:sz w:val="24"/>
          <w:szCs w:val="24"/>
          <w:shd w:val="clear" w:color="auto" w:fill="FEFFFF"/>
          <w:lang w:eastAsia="es-CR" w:bidi="he-IL"/>
        </w:rPr>
        <w:t>à</w:t>
      </w:r>
      <w:r w:rsidR="00AB405A" w:rsidRPr="003A1174">
        <w:rPr>
          <w:rFonts w:ascii="Garamond" w:eastAsia="Times New Roman" w:hAnsi="Garamond" w:cs="Arial"/>
          <w:sz w:val="24"/>
          <w:szCs w:val="24"/>
          <w:shd w:val="clear" w:color="auto" w:fill="FEFFFF"/>
          <w:lang w:eastAsia="es-CR" w:bidi="he-IL"/>
        </w:rPr>
        <w:t xml:space="preserve">s </w:t>
      </w:r>
      <w:r w:rsidR="00054EE0" w:rsidRPr="003A1174">
        <w:rPr>
          <w:rFonts w:ascii="Garamond" w:eastAsia="Times New Roman" w:hAnsi="Garamond" w:cs="Arial"/>
          <w:sz w:val="24"/>
          <w:szCs w:val="24"/>
          <w:shd w:val="clear" w:color="auto" w:fill="FEFFFF"/>
          <w:lang w:eastAsia="es-CR" w:bidi="he-IL"/>
        </w:rPr>
        <w:t>mulheres</w:t>
      </w:r>
      <w:r w:rsidR="00AB405A" w:rsidRPr="003A1174">
        <w:rPr>
          <w:rFonts w:ascii="Garamond" w:eastAsia="Times New Roman" w:hAnsi="Garamond" w:cs="Arial"/>
          <w:sz w:val="24"/>
          <w:szCs w:val="24"/>
          <w:shd w:val="clear" w:color="auto" w:fill="FEFFFF"/>
          <w:lang w:eastAsia="es-CR" w:bidi="he-IL"/>
        </w:rPr>
        <w:t xml:space="preserve"> cla</w:t>
      </w:r>
      <w:r w:rsidRPr="003A1174">
        <w:rPr>
          <w:rFonts w:ascii="Garamond" w:eastAsia="Times New Roman" w:hAnsi="Garamond" w:cs="Arial"/>
          <w:sz w:val="24"/>
          <w:szCs w:val="24"/>
          <w:shd w:val="clear" w:color="auto" w:fill="FEFFFF"/>
          <w:lang w:eastAsia="es-CR" w:bidi="he-IL"/>
        </w:rPr>
        <w:t>s</w:t>
      </w:r>
      <w:r w:rsidR="00AB405A" w:rsidRPr="003A1174">
        <w:rPr>
          <w:rFonts w:ascii="Garamond" w:eastAsia="Times New Roman" w:hAnsi="Garamond" w:cs="Arial"/>
          <w:sz w:val="24"/>
          <w:szCs w:val="24"/>
          <w:shd w:val="clear" w:color="auto" w:fill="FEFFFF"/>
          <w:lang w:eastAsia="es-CR" w:bidi="he-IL"/>
        </w:rPr>
        <w:t xml:space="preserve">sificadas </w:t>
      </w:r>
      <w:r w:rsidRPr="003A1174">
        <w:rPr>
          <w:rFonts w:ascii="Garamond" w:eastAsia="Times New Roman" w:hAnsi="Garamond" w:cs="Arial"/>
          <w:sz w:val="24"/>
          <w:szCs w:val="24"/>
          <w:shd w:val="clear" w:color="auto" w:fill="FEFFFF"/>
          <w:lang w:eastAsia="es-CR" w:bidi="he-IL"/>
        </w:rPr>
        <w:t xml:space="preserve">como </w:t>
      </w:r>
      <w:r w:rsidR="009B27D0">
        <w:rPr>
          <w:rFonts w:ascii="Garamond" w:eastAsia="Times New Roman" w:hAnsi="Garamond" w:cs="Arial"/>
          <w:sz w:val="24"/>
          <w:szCs w:val="24"/>
          <w:shd w:val="clear" w:color="auto" w:fill="FEFFFF"/>
          <w:lang w:eastAsia="es-CR" w:bidi="he-IL"/>
        </w:rPr>
        <w:t xml:space="preserve">de </w:t>
      </w:r>
      <w:r w:rsidR="00AB405A" w:rsidRPr="003A1174">
        <w:rPr>
          <w:rFonts w:ascii="Garamond" w:eastAsia="Times New Roman" w:hAnsi="Garamond" w:cs="Arial"/>
          <w:sz w:val="24"/>
          <w:szCs w:val="24"/>
          <w:shd w:val="clear" w:color="auto" w:fill="FEFFFF"/>
          <w:lang w:eastAsia="es-CR" w:bidi="he-IL"/>
        </w:rPr>
        <w:t xml:space="preserve">extrema pobreza </w:t>
      </w:r>
      <w:r w:rsidR="000672E8" w:rsidRPr="003A1174">
        <w:rPr>
          <w:rFonts w:ascii="Garamond" w:eastAsia="Times New Roman" w:hAnsi="Garamond" w:cs="Arial"/>
          <w:w w:val="78"/>
          <w:sz w:val="24"/>
          <w:szCs w:val="24"/>
          <w:shd w:val="clear" w:color="auto" w:fill="FEFFFF"/>
          <w:lang w:eastAsia="es-CR" w:bidi="he-IL"/>
        </w:rPr>
        <w:t>e</w:t>
      </w:r>
      <w:r w:rsidR="00AB405A" w:rsidRPr="003A1174">
        <w:rPr>
          <w:rFonts w:ascii="Garamond" w:eastAsia="Times New Roman" w:hAnsi="Garamond" w:cs="Arial"/>
          <w:w w:val="78"/>
          <w:sz w:val="24"/>
          <w:szCs w:val="24"/>
          <w:shd w:val="clear" w:color="auto" w:fill="FEFFFF"/>
          <w:lang w:eastAsia="es-CR" w:bidi="he-IL"/>
        </w:rPr>
        <w:t xml:space="preserve"> </w:t>
      </w:r>
      <w:r w:rsidR="00AB405A" w:rsidRPr="003A1174">
        <w:rPr>
          <w:rFonts w:ascii="Garamond" w:eastAsia="Times New Roman" w:hAnsi="Garamond" w:cs="Arial"/>
          <w:sz w:val="24"/>
          <w:szCs w:val="24"/>
          <w:shd w:val="clear" w:color="auto" w:fill="FEFFFF"/>
          <w:lang w:eastAsia="es-CR" w:bidi="he-IL"/>
        </w:rPr>
        <w:t xml:space="preserve">pobreza. </w:t>
      </w:r>
      <w:r w:rsidR="00AB405A" w:rsidRPr="00E171CF">
        <w:rPr>
          <w:rFonts w:ascii="Garamond" w:eastAsia="Times New Roman" w:hAnsi="Garamond" w:cs="Arial"/>
          <w:sz w:val="24"/>
          <w:szCs w:val="24"/>
          <w:shd w:val="clear" w:color="auto" w:fill="FEFFFF"/>
          <w:lang w:eastAsia="es-CR" w:bidi="he-IL"/>
        </w:rPr>
        <w:t xml:space="preserve">Para </w:t>
      </w:r>
      <w:r w:rsidR="00112369" w:rsidRPr="00E171CF">
        <w:rPr>
          <w:rFonts w:ascii="Garamond" w:eastAsia="Times New Roman" w:hAnsi="Garamond" w:cs="Arial"/>
          <w:sz w:val="24"/>
          <w:szCs w:val="24"/>
          <w:shd w:val="clear" w:color="auto" w:fill="FEFFFF"/>
          <w:lang w:eastAsia="es-CR" w:bidi="he-IL"/>
        </w:rPr>
        <w:t xml:space="preserve">se </w:t>
      </w:r>
      <w:r w:rsidRPr="00E171CF">
        <w:rPr>
          <w:rFonts w:ascii="Garamond" w:eastAsia="Times New Roman" w:hAnsi="Garamond" w:cs="Arial"/>
          <w:sz w:val="24"/>
          <w:szCs w:val="24"/>
          <w:shd w:val="clear" w:color="auto" w:fill="FEFFFF"/>
          <w:lang w:eastAsia="es-CR" w:bidi="he-IL"/>
        </w:rPr>
        <w:t xml:space="preserve">conseguir este acordo </w:t>
      </w:r>
      <w:r w:rsidR="00112369" w:rsidRPr="00E171CF">
        <w:rPr>
          <w:rFonts w:ascii="Garamond" w:eastAsia="Times New Roman" w:hAnsi="Garamond" w:cs="Arial"/>
          <w:sz w:val="24"/>
          <w:szCs w:val="24"/>
          <w:shd w:val="clear" w:color="auto" w:fill="FEFFFF"/>
          <w:lang w:eastAsia="es-CR" w:bidi="he-IL"/>
        </w:rPr>
        <w:t xml:space="preserve">assinaram-se </w:t>
      </w:r>
      <w:r w:rsidR="00AB405A" w:rsidRPr="00E171CF">
        <w:rPr>
          <w:rFonts w:ascii="Garamond" w:eastAsia="Times New Roman" w:hAnsi="Garamond" w:cs="Arial"/>
          <w:sz w:val="24"/>
          <w:szCs w:val="24"/>
          <w:shd w:val="clear" w:color="auto" w:fill="FEFFFF"/>
          <w:lang w:eastAsia="es-CR" w:bidi="he-IL"/>
        </w:rPr>
        <w:t xml:space="preserve">diferentes </w:t>
      </w:r>
      <w:r w:rsidR="00112369" w:rsidRPr="00E171CF">
        <w:rPr>
          <w:rFonts w:ascii="Garamond" w:eastAsia="Times New Roman" w:hAnsi="Garamond" w:cs="Arial"/>
          <w:sz w:val="24"/>
          <w:szCs w:val="24"/>
          <w:shd w:val="clear" w:color="auto" w:fill="FEFFFF"/>
          <w:lang w:eastAsia="es-CR" w:bidi="he-IL"/>
        </w:rPr>
        <w:t>convénios</w:t>
      </w:r>
      <w:r w:rsidR="00C91F28" w:rsidRPr="00E171CF">
        <w:rPr>
          <w:rFonts w:ascii="Garamond" w:eastAsia="Times New Roman" w:hAnsi="Garamond" w:cs="Arial"/>
          <w:sz w:val="24"/>
          <w:szCs w:val="24"/>
          <w:shd w:val="clear" w:color="auto" w:fill="FEFFFF"/>
          <w:lang w:eastAsia="es-CR" w:bidi="he-IL"/>
        </w:rPr>
        <w:t>,</w:t>
      </w:r>
      <w:r w:rsidR="00112369" w:rsidRPr="00E171CF">
        <w:rPr>
          <w:rFonts w:ascii="Garamond" w:eastAsia="Times New Roman" w:hAnsi="Garamond" w:cs="Arial"/>
          <w:sz w:val="24"/>
          <w:szCs w:val="24"/>
          <w:shd w:val="clear" w:color="auto" w:fill="FEFFFF"/>
          <w:lang w:eastAsia="es-CR" w:bidi="he-IL"/>
        </w:rPr>
        <w:t xml:space="preserve"> </w:t>
      </w:r>
      <w:r w:rsidR="00AB405A" w:rsidRPr="00E171CF">
        <w:rPr>
          <w:rFonts w:ascii="Garamond" w:eastAsia="Times New Roman" w:hAnsi="Garamond" w:cs="Arial"/>
          <w:sz w:val="24"/>
          <w:szCs w:val="24"/>
          <w:shd w:val="clear" w:color="auto" w:fill="FEFFFF"/>
          <w:lang w:eastAsia="es-CR" w:bidi="he-IL"/>
        </w:rPr>
        <w:t>e</w:t>
      </w:r>
      <w:r w:rsidRPr="00E171CF">
        <w:rPr>
          <w:rFonts w:ascii="Garamond" w:eastAsia="Times New Roman" w:hAnsi="Garamond" w:cs="Arial"/>
          <w:sz w:val="24"/>
          <w:szCs w:val="24"/>
          <w:shd w:val="clear" w:color="auto" w:fill="FEFFFF"/>
          <w:lang w:eastAsia="es-CR" w:bidi="he-IL"/>
        </w:rPr>
        <w:t>m cuj</w:t>
      </w:r>
      <w:r w:rsidR="00AB405A" w:rsidRPr="00E171CF">
        <w:rPr>
          <w:rFonts w:ascii="Garamond" w:eastAsia="Times New Roman" w:hAnsi="Garamond" w:cs="Arial"/>
          <w:sz w:val="24"/>
          <w:szCs w:val="24"/>
          <w:shd w:val="clear" w:color="auto" w:fill="FEFFFF"/>
          <w:lang w:eastAsia="es-CR" w:bidi="he-IL"/>
        </w:rPr>
        <w:t xml:space="preserve">o </w:t>
      </w:r>
      <w:r w:rsidR="002D1021" w:rsidRPr="00E171CF">
        <w:rPr>
          <w:rFonts w:ascii="Garamond" w:eastAsia="Times New Roman" w:hAnsi="Garamond" w:cs="Arial"/>
          <w:sz w:val="24"/>
          <w:szCs w:val="24"/>
          <w:shd w:val="clear" w:color="auto" w:fill="FEFFFF"/>
          <w:lang w:eastAsia="es-CR" w:bidi="he-IL"/>
        </w:rPr>
        <w:t>processo</w:t>
      </w:r>
      <w:r w:rsidR="00112369" w:rsidRPr="00E171CF">
        <w:rPr>
          <w:rFonts w:ascii="Garamond" w:eastAsia="Times New Roman" w:hAnsi="Garamond" w:cs="Arial"/>
          <w:sz w:val="24"/>
          <w:szCs w:val="24"/>
          <w:shd w:val="clear" w:color="auto" w:fill="FEFFFF"/>
          <w:lang w:eastAsia="es-CR" w:bidi="he-IL"/>
        </w:rPr>
        <w:t>,</w:t>
      </w:r>
      <w:r w:rsidR="00AB405A" w:rsidRPr="00E171CF">
        <w:rPr>
          <w:rFonts w:ascii="Garamond" w:eastAsia="Times New Roman" w:hAnsi="Garamond" w:cs="Arial"/>
          <w:sz w:val="24"/>
          <w:szCs w:val="24"/>
          <w:shd w:val="clear" w:color="auto" w:fill="FEFFFF"/>
          <w:lang w:eastAsia="es-CR" w:bidi="he-IL"/>
        </w:rPr>
        <w:t xml:space="preserve"> </w:t>
      </w:r>
      <w:r w:rsidR="00AB405A" w:rsidRPr="00187AE8">
        <w:rPr>
          <w:rFonts w:ascii="Garamond" w:eastAsia="Times New Roman" w:hAnsi="Garamond" w:cs="Arial"/>
          <w:sz w:val="24"/>
          <w:szCs w:val="24"/>
          <w:shd w:val="clear" w:color="auto" w:fill="FEFFFF"/>
          <w:lang w:eastAsia="es-CR" w:bidi="he-IL"/>
        </w:rPr>
        <w:t>pa</w:t>
      </w:r>
      <w:r w:rsidRPr="00187AE8">
        <w:rPr>
          <w:rFonts w:ascii="Garamond" w:eastAsia="Times New Roman" w:hAnsi="Garamond" w:cs="Arial"/>
          <w:sz w:val="24"/>
          <w:szCs w:val="24"/>
          <w:shd w:val="clear" w:color="auto" w:fill="FEFFFF"/>
          <w:lang w:eastAsia="es-CR" w:bidi="he-IL"/>
        </w:rPr>
        <w:t>s</w:t>
      </w:r>
      <w:r w:rsidR="00AB405A" w:rsidRPr="00187AE8">
        <w:rPr>
          <w:rFonts w:ascii="Garamond" w:eastAsia="Times New Roman" w:hAnsi="Garamond" w:cs="Arial"/>
          <w:sz w:val="24"/>
          <w:szCs w:val="24"/>
          <w:shd w:val="clear" w:color="auto" w:fill="FEFFFF"/>
          <w:lang w:eastAsia="es-CR" w:bidi="he-IL"/>
        </w:rPr>
        <w:t>s</w:t>
      </w:r>
      <w:r w:rsidR="00112369" w:rsidRPr="00187AE8">
        <w:rPr>
          <w:rFonts w:ascii="Garamond" w:eastAsia="Times New Roman" w:hAnsi="Garamond" w:cs="Arial"/>
          <w:sz w:val="24"/>
          <w:szCs w:val="24"/>
          <w:shd w:val="clear" w:color="auto" w:fill="FEFFFF"/>
          <w:lang w:eastAsia="es-CR" w:bidi="he-IL"/>
        </w:rPr>
        <w:t>á</w:t>
      </w:r>
      <w:r w:rsidR="00AB405A" w:rsidRPr="00187AE8">
        <w:rPr>
          <w:rFonts w:ascii="Garamond" w:eastAsia="Times New Roman" w:hAnsi="Garamond" w:cs="Arial"/>
          <w:sz w:val="24"/>
          <w:szCs w:val="24"/>
          <w:shd w:val="clear" w:color="auto" w:fill="FEFFFF"/>
          <w:lang w:eastAsia="es-CR" w:bidi="he-IL"/>
        </w:rPr>
        <w:t xml:space="preserve">mos de 38 </w:t>
      </w:r>
      <w:r w:rsidR="00C30647" w:rsidRPr="00187AE8">
        <w:rPr>
          <w:rFonts w:ascii="Garamond" w:eastAsia="Times New Roman" w:hAnsi="Garamond" w:cs="Arial"/>
          <w:sz w:val="24"/>
          <w:szCs w:val="24"/>
          <w:shd w:val="clear" w:color="auto" w:fill="FEFFFF"/>
          <w:lang w:eastAsia="es-CR" w:bidi="he-IL"/>
        </w:rPr>
        <w:t>projeto</w:t>
      </w:r>
      <w:r w:rsidR="00AB405A" w:rsidRPr="00187AE8">
        <w:rPr>
          <w:rFonts w:ascii="Garamond" w:eastAsia="Times New Roman" w:hAnsi="Garamond" w:cs="Arial"/>
          <w:sz w:val="24"/>
          <w:szCs w:val="24"/>
          <w:shd w:val="clear" w:color="auto" w:fill="FEFFFF"/>
          <w:lang w:eastAsia="es-CR" w:bidi="he-IL"/>
        </w:rPr>
        <w:t>s</w:t>
      </w:r>
      <w:r w:rsidR="005071D8" w:rsidRPr="00187AE8">
        <w:rPr>
          <w:rFonts w:ascii="Garamond" w:eastAsia="Times New Roman" w:hAnsi="Garamond" w:cs="Arial"/>
          <w:sz w:val="24"/>
          <w:szCs w:val="24"/>
          <w:shd w:val="clear" w:color="auto" w:fill="FEFFFF"/>
          <w:lang w:eastAsia="es-CR" w:bidi="he-IL"/>
        </w:rPr>
        <w:t>,</w:t>
      </w:r>
      <w:r w:rsidR="00AB405A" w:rsidRPr="00187AE8">
        <w:rPr>
          <w:rFonts w:ascii="Garamond" w:eastAsia="Times New Roman" w:hAnsi="Garamond" w:cs="Arial"/>
          <w:sz w:val="24"/>
          <w:szCs w:val="24"/>
          <w:shd w:val="clear" w:color="auto" w:fill="FEFFFF"/>
          <w:lang w:eastAsia="es-CR" w:bidi="he-IL"/>
        </w:rPr>
        <w:t xml:space="preserve"> </w:t>
      </w:r>
      <w:r w:rsidR="00187AE8" w:rsidRPr="00187AE8">
        <w:rPr>
          <w:rFonts w:ascii="Garamond" w:eastAsia="Times New Roman" w:hAnsi="Garamond" w:cs="Arial"/>
          <w:sz w:val="24"/>
          <w:szCs w:val="24"/>
          <w:shd w:val="clear" w:color="auto" w:fill="FEFFFF"/>
          <w:lang w:eastAsia="es-CR" w:bidi="he-IL"/>
        </w:rPr>
        <w:t xml:space="preserve">aplicados </w:t>
      </w:r>
      <w:r w:rsidR="00AB405A" w:rsidRPr="00187AE8">
        <w:rPr>
          <w:rFonts w:ascii="Garamond" w:eastAsia="Times New Roman" w:hAnsi="Garamond" w:cs="Arial"/>
          <w:sz w:val="24"/>
          <w:szCs w:val="24"/>
          <w:shd w:val="clear" w:color="auto" w:fill="FEFFFF"/>
          <w:lang w:eastAsia="es-CR" w:bidi="he-IL"/>
        </w:rPr>
        <w:t xml:space="preserve">a </w:t>
      </w:r>
      <w:r w:rsidR="00BA21ED" w:rsidRPr="00187AE8">
        <w:rPr>
          <w:rFonts w:ascii="Garamond" w:eastAsia="Times New Roman" w:hAnsi="Garamond" w:cs="Arial"/>
          <w:sz w:val="24"/>
          <w:szCs w:val="24"/>
          <w:shd w:val="clear" w:color="auto" w:fill="FEFFFF"/>
          <w:lang w:eastAsia="es-CR" w:bidi="he-IL"/>
        </w:rPr>
        <w:t>mais</w:t>
      </w:r>
      <w:r w:rsidR="00AB405A" w:rsidRPr="00187AE8">
        <w:rPr>
          <w:rFonts w:ascii="Garamond" w:eastAsia="Times New Roman" w:hAnsi="Garamond" w:cs="Arial"/>
          <w:sz w:val="24"/>
          <w:szCs w:val="24"/>
          <w:shd w:val="clear" w:color="auto" w:fill="FEFFFF"/>
          <w:lang w:eastAsia="es-CR" w:bidi="he-IL"/>
        </w:rPr>
        <w:t xml:space="preserve"> de 1200 </w:t>
      </w:r>
      <w:r w:rsidR="00054EE0" w:rsidRPr="00187AE8">
        <w:rPr>
          <w:rFonts w:ascii="Garamond" w:eastAsia="Times New Roman" w:hAnsi="Garamond" w:cs="Arial"/>
          <w:sz w:val="24"/>
          <w:szCs w:val="24"/>
          <w:shd w:val="clear" w:color="auto" w:fill="FEFFFF"/>
          <w:lang w:eastAsia="es-CR" w:bidi="he-IL"/>
        </w:rPr>
        <w:t>mulheres</w:t>
      </w:r>
      <w:r w:rsidRPr="00187AE8">
        <w:rPr>
          <w:rFonts w:ascii="Garamond" w:eastAsia="Times New Roman" w:hAnsi="Garamond" w:cs="Arial"/>
          <w:sz w:val="24"/>
          <w:szCs w:val="24"/>
          <w:shd w:val="clear" w:color="auto" w:fill="FEFFFF"/>
          <w:lang w:eastAsia="es-CR" w:bidi="he-IL"/>
        </w:rPr>
        <w:t xml:space="preserve"> beneficiá</w:t>
      </w:r>
      <w:r w:rsidR="00AB405A" w:rsidRPr="00187AE8">
        <w:rPr>
          <w:rFonts w:ascii="Garamond" w:eastAsia="Times New Roman" w:hAnsi="Garamond" w:cs="Arial"/>
          <w:sz w:val="24"/>
          <w:szCs w:val="24"/>
          <w:shd w:val="clear" w:color="auto" w:fill="FEFFFF"/>
          <w:lang w:eastAsia="es-CR" w:bidi="he-IL"/>
        </w:rPr>
        <w:t xml:space="preserve">rias </w:t>
      </w:r>
      <w:r w:rsidR="00774697" w:rsidRPr="00187AE8">
        <w:rPr>
          <w:rFonts w:ascii="Garamond" w:eastAsia="Times New Roman" w:hAnsi="Garamond" w:cs="Arial"/>
          <w:sz w:val="24"/>
          <w:szCs w:val="24"/>
          <w:shd w:val="clear" w:color="auto" w:fill="FEFFFF"/>
          <w:lang w:eastAsia="es-CR" w:bidi="he-IL"/>
        </w:rPr>
        <w:t>direta</w:t>
      </w:r>
      <w:r w:rsidR="00AB405A" w:rsidRPr="00187AE8">
        <w:rPr>
          <w:rFonts w:ascii="Garamond" w:eastAsia="Times New Roman" w:hAnsi="Garamond" w:cs="Arial"/>
          <w:sz w:val="24"/>
          <w:szCs w:val="24"/>
          <w:shd w:val="clear" w:color="auto" w:fill="FEFFFF"/>
          <w:lang w:eastAsia="es-CR" w:bidi="he-IL"/>
        </w:rPr>
        <w:t>s.</w:t>
      </w:r>
      <w:r w:rsidR="00AB405A" w:rsidRPr="003A1174">
        <w:rPr>
          <w:rFonts w:ascii="Garamond" w:eastAsia="Times New Roman" w:hAnsi="Garamond" w:cs="Arial"/>
          <w:sz w:val="24"/>
          <w:szCs w:val="24"/>
          <w:shd w:val="clear" w:color="auto" w:fill="FEFFFF"/>
          <w:lang w:eastAsia="es-CR" w:bidi="he-IL"/>
        </w:rPr>
        <w:t xml:space="preserve"> </w:t>
      </w:r>
    </w:p>
    <w:p w:rsidR="00AB405A" w:rsidRPr="003A1174" w:rsidRDefault="00AB405A" w:rsidP="008719D4">
      <w:pPr>
        <w:widowControl w:val="0"/>
        <w:autoSpaceDE w:val="0"/>
        <w:autoSpaceDN w:val="0"/>
        <w:adjustRightInd w:val="0"/>
        <w:spacing w:after="0" w:line="240" w:lineRule="auto"/>
        <w:jc w:val="both"/>
        <w:rPr>
          <w:rFonts w:ascii="Garamond" w:eastAsia="Times New Roman" w:hAnsi="Garamond" w:cs="Arial"/>
          <w:sz w:val="24"/>
          <w:szCs w:val="24"/>
          <w:shd w:val="clear" w:color="auto" w:fill="FEFFFF"/>
          <w:lang w:eastAsia="es-CR" w:bidi="he-IL"/>
        </w:rPr>
      </w:pPr>
    </w:p>
    <w:p w:rsidR="001B1099" w:rsidRDefault="001B1099" w:rsidP="008719D4">
      <w:pPr>
        <w:spacing w:after="0" w:line="240" w:lineRule="auto"/>
        <w:jc w:val="both"/>
        <w:rPr>
          <w:rFonts w:ascii="Garamond" w:eastAsia="Times New Roman" w:hAnsi="Garamond" w:cs="Arial"/>
          <w:w w:val="92"/>
          <w:sz w:val="24"/>
          <w:szCs w:val="24"/>
          <w:shd w:val="clear" w:color="auto" w:fill="FEFFFF"/>
          <w:lang w:eastAsia="es-CR" w:bidi="he-IL"/>
        </w:rPr>
      </w:pPr>
      <w:r>
        <w:rPr>
          <w:rFonts w:ascii="Garamond" w:eastAsia="Times New Roman" w:hAnsi="Garamond" w:cs="Arial"/>
          <w:w w:val="92"/>
          <w:sz w:val="24"/>
          <w:szCs w:val="24"/>
          <w:shd w:val="clear" w:color="auto" w:fill="FEFFFF"/>
          <w:lang w:eastAsia="es-CR" w:bidi="he-IL"/>
        </w:rPr>
        <w:t xml:space="preserve">Por conseguinte, </w:t>
      </w:r>
      <w:r w:rsidR="00D65CFD" w:rsidRPr="003A1174">
        <w:rPr>
          <w:rFonts w:ascii="Garamond" w:eastAsia="Times New Roman" w:hAnsi="Garamond" w:cs="Arial"/>
          <w:w w:val="92"/>
          <w:sz w:val="24"/>
          <w:szCs w:val="24"/>
          <w:shd w:val="clear" w:color="auto" w:fill="FEFFFF"/>
          <w:lang w:eastAsia="es-CR" w:bidi="he-IL"/>
        </w:rPr>
        <w:t xml:space="preserve">o </w:t>
      </w:r>
      <w:r w:rsidR="00AB405A" w:rsidRPr="003A1174">
        <w:rPr>
          <w:rFonts w:ascii="Garamond" w:eastAsia="Times New Roman" w:hAnsi="Garamond" w:cs="Arial"/>
          <w:w w:val="92"/>
          <w:sz w:val="24"/>
          <w:szCs w:val="24"/>
          <w:shd w:val="clear" w:color="auto" w:fill="FEFFFF"/>
          <w:lang w:eastAsia="es-CR" w:bidi="he-IL"/>
        </w:rPr>
        <w:t xml:space="preserve">INAMU </w:t>
      </w:r>
    </w:p>
    <w:p w:rsidR="001B1099" w:rsidRDefault="001B1099" w:rsidP="008719D4">
      <w:pPr>
        <w:spacing w:after="0" w:line="240" w:lineRule="auto"/>
        <w:jc w:val="both"/>
        <w:rPr>
          <w:rFonts w:ascii="Garamond" w:eastAsia="Times New Roman" w:hAnsi="Garamond" w:cs="Arial"/>
          <w:w w:val="92"/>
          <w:sz w:val="24"/>
          <w:szCs w:val="24"/>
          <w:shd w:val="clear" w:color="auto" w:fill="FEFFFF"/>
          <w:lang w:eastAsia="es-CR" w:bidi="he-IL"/>
        </w:rPr>
      </w:pPr>
    </w:p>
    <w:p w:rsidR="00AB405A" w:rsidRPr="001B1099" w:rsidRDefault="00C91F28" w:rsidP="001B1099">
      <w:pPr>
        <w:spacing w:after="0" w:line="240" w:lineRule="auto"/>
        <w:ind w:left="567"/>
        <w:jc w:val="both"/>
        <w:rPr>
          <w:rFonts w:ascii="Garamond" w:eastAsia="Times New Roman" w:hAnsi="Garamond" w:cs="Arial"/>
          <w:w w:val="92"/>
          <w:shd w:val="clear" w:color="auto" w:fill="FEFFFF"/>
          <w:lang w:eastAsia="es-CR" w:bidi="he-IL"/>
        </w:rPr>
      </w:pPr>
      <w:r w:rsidRPr="001B1099">
        <w:rPr>
          <w:rFonts w:ascii="Garamond" w:eastAsia="Times New Roman" w:hAnsi="Garamond" w:cs="Arial"/>
          <w:w w:val="92"/>
          <w:shd w:val="clear" w:color="auto" w:fill="FEFFFF"/>
          <w:lang w:eastAsia="es-CR" w:bidi="he-IL"/>
        </w:rPr>
        <w:lastRenderedPageBreak/>
        <w:t>«</w:t>
      </w:r>
      <w:r w:rsidR="00221CED" w:rsidRPr="001B1099">
        <w:rPr>
          <w:rFonts w:ascii="Garamond" w:eastAsia="Times New Roman" w:hAnsi="Garamond" w:cs="Arial"/>
          <w:w w:val="92"/>
          <w:shd w:val="clear" w:color="auto" w:fill="FEFFFF"/>
          <w:lang w:eastAsia="es-CR" w:bidi="he-IL"/>
        </w:rPr>
        <w:t xml:space="preserve">(…) </w:t>
      </w:r>
      <w:r w:rsidR="00AB405A" w:rsidRPr="001B1099">
        <w:rPr>
          <w:rFonts w:ascii="Garamond" w:eastAsia="Times New Roman" w:hAnsi="Garamond" w:cs="Arial"/>
          <w:w w:val="92"/>
          <w:shd w:val="clear" w:color="auto" w:fill="FEFFFF"/>
          <w:lang w:eastAsia="es-CR" w:bidi="he-IL"/>
        </w:rPr>
        <w:t xml:space="preserve">redireciona parte </w:t>
      </w:r>
      <w:r w:rsidR="00497503" w:rsidRPr="001B1099">
        <w:rPr>
          <w:rFonts w:ascii="Garamond" w:eastAsia="Times New Roman" w:hAnsi="Garamond" w:cs="Arial"/>
          <w:w w:val="92"/>
          <w:shd w:val="clear" w:color="auto" w:fill="FEFFFF"/>
          <w:lang w:eastAsia="es-CR" w:bidi="he-IL"/>
        </w:rPr>
        <w:t>dos</w:t>
      </w:r>
      <w:r w:rsidR="00AB405A" w:rsidRPr="001B1099">
        <w:rPr>
          <w:rFonts w:ascii="Garamond" w:eastAsia="Times New Roman" w:hAnsi="Garamond" w:cs="Arial"/>
          <w:w w:val="92"/>
          <w:shd w:val="clear" w:color="auto" w:fill="FEFFFF"/>
          <w:lang w:eastAsia="es-CR" w:bidi="he-IL"/>
        </w:rPr>
        <w:t xml:space="preserve"> </w:t>
      </w:r>
      <w:r w:rsidR="00E560D8" w:rsidRPr="001B1099">
        <w:rPr>
          <w:rFonts w:ascii="Garamond" w:eastAsia="Times New Roman" w:hAnsi="Garamond" w:cs="Arial"/>
          <w:w w:val="92"/>
          <w:shd w:val="clear" w:color="auto" w:fill="FEFFFF"/>
          <w:lang w:eastAsia="es-CR" w:bidi="he-IL"/>
        </w:rPr>
        <w:t>fundo</w:t>
      </w:r>
      <w:r w:rsidR="00AB405A" w:rsidRPr="001B1099">
        <w:rPr>
          <w:rFonts w:ascii="Garamond" w:eastAsia="Times New Roman" w:hAnsi="Garamond" w:cs="Arial"/>
          <w:w w:val="92"/>
          <w:shd w:val="clear" w:color="auto" w:fill="FEFFFF"/>
          <w:lang w:eastAsia="es-CR" w:bidi="he-IL"/>
        </w:rPr>
        <w:t xml:space="preserve">s </w:t>
      </w:r>
      <w:r w:rsidR="00E85E59" w:rsidRPr="001B1099">
        <w:rPr>
          <w:rFonts w:ascii="Garamond" w:eastAsia="Times New Roman" w:hAnsi="Garamond" w:cs="Arial"/>
          <w:w w:val="92"/>
          <w:shd w:val="clear" w:color="auto" w:fill="FEFFFF"/>
          <w:lang w:eastAsia="es-CR" w:bidi="he-IL"/>
        </w:rPr>
        <w:t>do</w:t>
      </w:r>
      <w:r w:rsidR="00AB405A" w:rsidRPr="001B1099">
        <w:rPr>
          <w:rFonts w:ascii="Garamond" w:eastAsia="Times New Roman" w:hAnsi="Garamond" w:cs="Arial"/>
          <w:w w:val="92"/>
          <w:shd w:val="clear" w:color="auto" w:fill="FEFFFF"/>
          <w:lang w:eastAsia="es-CR" w:bidi="he-IL"/>
        </w:rPr>
        <w:t xml:space="preserve"> </w:t>
      </w:r>
      <w:r w:rsidR="00187AE8" w:rsidRPr="001B1099">
        <w:rPr>
          <w:rFonts w:ascii="Garamond" w:eastAsia="Times New Roman" w:hAnsi="Garamond" w:cs="Arial"/>
          <w:w w:val="92"/>
          <w:shd w:val="clear" w:color="auto" w:fill="FEFFFF"/>
          <w:lang w:eastAsia="es-CR" w:bidi="he-IL"/>
        </w:rPr>
        <w:t>superavit</w:t>
      </w:r>
      <w:r w:rsidR="00AB405A" w:rsidRPr="001B1099">
        <w:rPr>
          <w:rFonts w:ascii="Garamond" w:eastAsia="Times New Roman" w:hAnsi="Garamond" w:cs="Arial"/>
          <w:w w:val="92"/>
          <w:shd w:val="clear" w:color="auto" w:fill="FEFFFF"/>
          <w:lang w:eastAsia="es-CR" w:bidi="he-IL"/>
        </w:rPr>
        <w:t xml:space="preserve"> </w:t>
      </w:r>
      <w:r w:rsidR="00E85E59" w:rsidRPr="001B1099">
        <w:rPr>
          <w:rFonts w:ascii="Garamond" w:eastAsia="Times New Roman" w:hAnsi="Garamond" w:cs="Arial"/>
          <w:w w:val="92"/>
          <w:shd w:val="clear" w:color="auto" w:fill="FEFFFF"/>
          <w:lang w:eastAsia="es-CR" w:bidi="he-IL"/>
        </w:rPr>
        <w:t>do</w:t>
      </w:r>
      <w:r w:rsidR="00AB405A" w:rsidRPr="001B1099">
        <w:rPr>
          <w:rFonts w:ascii="Garamond" w:eastAsia="Times New Roman" w:hAnsi="Garamond" w:cs="Arial"/>
          <w:w w:val="92"/>
          <w:shd w:val="clear" w:color="auto" w:fill="FEFFFF"/>
          <w:lang w:eastAsia="es-CR" w:bidi="he-IL"/>
        </w:rPr>
        <w:t xml:space="preserve"> </w:t>
      </w:r>
      <w:r w:rsidR="00946348" w:rsidRPr="001B1099">
        <w:rPr>
          <w:rFonts w:ascii="Garamond" w:eastAsia="Times New Roman" w:hAnsi="Garamond" w:cs="Arial"/>
          <w:w w:val="92"/>
          <w:shd w:val="clear" w:color="auto" w:fill="FEFFFF"/>
          <w:lang w:eastAsia="es-CR" w:bidi="he-IL"/>
        </w:rPr>
        <w:t>orçamento</w:t>
      </w:r>
      <w:r w:rsidR="00AB405A" w:rsidRPr="001B1099">
        <w:rPr>
          <w:rFonts w:ascii="Garamond" w:eastAsia="Times New Roman" w:hAnsi="Garamond" w:cs="Arial"/>
          <w:w w:val="92"/>
          <w:shd w:val="clear" w:color="auto" w:fill="FEFFFF"/>
          <w:lang w:eastAsia="es-CR" w:bidi="he-IL"/>
        </w:rPr>
        <w:t xml:space="preserve"> </w:t>
      </w:r>
      <w:r w:rsidR="00D65CFD" w:rsidRPr="001B1099">
        <w:rPr>
          <w:rFonts w:ascii="Garamond" w:eastAsia="Times New Roman" w:hAnsi="Garamond" w:cs="Arial"/>
          <w:w w:val="92"/>
          <w:shd w:val="clear" w:color="auto" w:fill="FEFFFF"/>
          <w:lang w:eastAsia="es-CR" w:bidi="he-IL"/>
        </w:rPr>
        <w:t xml:space="preserve">de </w:t>
      </w:r>
      <w:r w:rsidR="00AB405A" w:rsidRPr="001B1099">
        <w:rPr>
          <w:rFonts w:ascii="Garamond" w:eastAsia="Times New Roman" w:hAnsi="Garamond" w:cs="Arial"/>
          <w:w w:val="92"/>
          <w:shd w:val="clear" w:color="auto" w:fill="FEFFFF"/>
          <w:lang w:eastAsia="es-CR" w:bidi="he-IL"/>
        </w:rPr>
        <w:t xml:space="preserve">2014, </w:t>
      </w:r>
      <w:r w:rsidR="001B1099" w:rsidRPr="001B1099">
        <w:rPr>
          <w:rFonts w:ascii="Garamond" w:eastAsia="Times New Roman" w:hAnsi="Garamond" w:cs="Arial"/>
          <w:w w:val="92"/>
          <w:shd w:val="clear" w:color="auto" w:fill="FEFFFF"/>
          <w:lang w:eastAsia="es-CR" w:bidi="he-IL"/>
        </w:rPr>
        <w:t>para</w:t>
      </w:r>
      <w:r w:rsidR="00AB405A" w:rsidRPr="001B1099">
        <w:rPr>
          <w:rFonts w:ascii="Garamond" w:eastAsia="Times New Roman" w:hAnsi="Garamond" w:cs="Arial"/>
          <w:w w:val="92"/>
          <w:shd w:val="clear" w:color="auto" w:fill="FEFFFF"/>
          <w:lang w:eastAsia="es-CR" w:bidi="he-IL"/>
        </w:rPr>
        <w:t xml:space="preserve"> </w:t>
      </w:r>
      <w:r w:rsidRPr="001B1099">
        <w:rPr>
          <w:rFonts w:ascii="Garamond" w:eastAsia="Times New Roman" w:hAnsi="Garamond" w:cs="Arial"/>
          <w:w w:val="92"/>
          <w:shd w:val="clear" w:color="auto" w:fill="FEFFFF"/>
          <w:lang w:eastAsia="es-CR" w:bidi="he-IL"/>
        </w:rPr>
        <w:t xml:space="preserve">adjudicar </w:t>
      </w:r>
      <w:r w:rsidR="00AB405A" w:rsidRPr="001B1099">
        <w:rPr>
          <w:rFonts w:ascii="Garamond" w:eastAsia="Times New Roman" w:hAnsi="Garamond" w:cs="Arial"/>
          <w:w w:val="92"/>
          <w:shd w:val="clear" w:color="auto" w:fill="FEFFFF"/>
          <w:lang w:eastAsia="es-CR" w:bidi="he-IL"/>
        </w:rPr>
        <w:t xml:space="preserve">mil </w:t>
      </w:r>
      <w:r w:rsidR="003F012B" w:rsidRPr="001B1099">
        <w:rPr>
          <w:rFonts w:ascii="Garamond" w:eastAsia="Times New Roman" w:hAnsi="Garamond" w:cs="Arial"/>
          <w:w w:val="92"/>
          <w:shd w:val="clear" w:color="auto" w:fill="FEFFFF"/>
          <w:lang w:eastAsia="es-CR" w:bidi="he-IL"/>
        </w:rPr>
        <w:t>milhões</w:t>
      </w:r>
      <w:r w:rsidR="00AB405A" w:rsidRPr="001B1099">
        <w:rPr>
          <w:rFonts w:ascii="Garamond" w:eastAsia="Times New Roman" w:hAnsi="Garamond" w:cs="Arial"/>
          <w:w w:val="92"/>
          <w:shd w:val="clear" w:color="auto" w:fill="FEFFFF"/>
          <w:lang w:eastAsia="es-CR" w:bidi="he-IL"/>
        </w:rPr>
        <w:t xml:space="preserve"> de colons (1</w:t>
      </w:r>
      <w:r w:rsidRPr="001B1099">
        <w:rPr>
          <w:rFonts w:ascii="Garamond" w:eastAsia="Times New Roman" w:hAnsi="Garamond" w:cs="Arial"/>
          <w:w w:val="92"/>
          <w:shd w:val="clear" w:color="auto" w:fill="FEFFFF"/>
          <w:lang w:eastAsia="es-CR" w:bidi="he-IL"/>
        </w:rPr>
        <w:t xml:space="preserve"> </w:t>
      </w:r>
      <w:r w:rsidR="00AB405A" w:rsidRPr="001B1099">
        <w:rPr>
          <w:rFonts w:ascii="Garamond" w:eastAsia="Times New Roman" w:hAnsi="Garamond" w:cs="Arial"/>
          <w:w w:val="92"/>
          <w:shd w:val="clear" w:color="auto" w:fill="FEFFFF"/>
          <w:lang w:eastAsia="es-CR" w:bidi="he-IL"/>
        </w:rPr>
        <w:t>000</w:t>
      </w:r>
      <w:r w:rsidRPr="001B1099">
        <w:rPr>
          <w:rFonts w:ascii="Garamond" w:eastAsia="Times New Roman" w:hAnsi="Garamond" w:cs="Arial"/>
          <w:w w:val="92"/>
          <w:shd w:val="clear" w:color="auto" w:fill="FEFFFF"/>
          <w:lang w:eastAsia="es-CR" w:bidi="he-IL"/>
        </w:rPr>
        <w:t xml:space="preserve"> </w:t>
      </w:r>
      <w:r w:rsidR="00AB405A" w:rsidRPr="001B1099">
        <w:rPr>
          <w:rFonts w:ascii="Garamond" w:eastAsia="Times New Roman" w:hAnsi="Garamond" w:cs="Arial"/>
          <w:w w:val="92"/>
          <w:shd w:val="clear" w:color="auto" w:fill="FEFFFF"/>
          <w:lang w:eastAsia="es-CR" w:bidi="he-IL"/>
        </w:rPr>
        <w:t>000</w:t>
      </w:r>
      <w:r w:rsidRPr="001B1099">
        <w:rPr>
          <w:rFonts w:ascii="Garamond" w:eastAsia="Times New Roman" w:hAnsi="Garamond" w:cs="Arial"/>
          <w:w w:val="92"/>
          <w:shd w:val="clear" w:color="auto" w:fill="FEFFFF"/>
          <w:lang w:eastAsia="es-CR" w:bidi="he-IL"/>
        </w:rPr>
        <w:t xml:space="preserve"> </w:t>
      </w:r>
      <w:r w:rsidR="00AB405A" w:rsidRPr="001B1099">
        <w:rPr>
          <w:rFonts w:ascii="Garamond" w:eastAsia="Times New Roman" w:hAnsi="Garamond" w:cs="Arial"/>
          <w:w w:val="92"/>
          <w:shd w:val="clear" w:color="auto" w:fill="FEFFFF"/>
          <w:lang w:eastAsia="es-CR" w:bidi="he-IL"/>
        </w:rPr>
        <w:t>000</w:t>
      </w:r>
      <w:r w:rsidR="00221CED" w:rsidRPr="001B1099">
        <w:rPr>
          <w:rFonts w:ascii="Garamond" w:eastAsia="Times New Roman" w:hAnsi="Garamond" w:cs="Arial"/>
          <w:w w:val="92"/>
          <w:shd w:val="clear" w:color="auto" w:fill="FEFFFF"/>
          <w:lang w:eastAsia="es-CR" w:bidi="he-IL"/>
        </w:rPr>
        <w:t>,</w:t>
      </w:r>
      <w:r w:rsidR="00D65CFD" w:rsidRPr="001B1099">
        <w:rPr>
          <w:rFonts w:ascii="Garamond" w:eastAsia="Times New Roman" w:hAnsi="Garamond" w:cs="Arial"/>
          <w:w w:val="92"/>
          <w:shd w:val="clear" w:color="auto" w:fill="FEFFFF"/>
          <w:lang w:eastAsia="es-CR" w:bidi="he-IL"/>
        </w:rPr>
        <w:t xml:space="preserve">00) </w:t>
      </w:r>
      <w:r w:rsidR="001E0C61">
        <w:rPr>
          <w:rFonts w:ascii="Garamond" w:eastAsia="Times New Roman" w:hAnsi="Garamond" w:cs="Arial"/>
          <w:w w:val="92"/>
          <w:shd w:val="clear" w:color="auto" w:fill="FEFFFF"/>
          <w:lang w:eastAsia="es-CR" w:bidi="he-IL"/>
        </w:rPr>
        <w:t>destinados ao financiamento de</w:t>
      </w:r>
      <w:r w:rsidR="00AB405A" w:rsidRPr="001B1099">
        <w:rPr>
          <w:rFonts w:ascii="Garamond" w:eastAsia="Times New Roman" w:hAnsi="Garamond" w:cs="Arial"/>
          <w:w w:val="92"/>
          <w:shd w:val="clear" w:color="auto" w:fill="FEFFFF"/>
          <w:lang w:eastAsia="es-CR" w:bidi="he-IL"/>
        </w:rPr>
        <w:t xml:space="preserve"> </w:t>
      </w:r>
      <w:r w:rsidR="00C30647" w:rsidRPr="001B1099">
        <w:rPr>
          <w:rFonts w:ascii="Garamond" w:eastAsia="Times New Roman" w:hAnsi="Garamond" w:cs="Arial"/>
          <w:w w:val="92"/>
          <w:shd w:val="clear" w:color="auto" w:fill="FEFFFF"/>
          <w:lang w:eastAsia="es-CR" w:bidi="he-IL"/>
        </w:rPr>
        <w:t>projeto</w:t>
      </w:r>
      <w:r w:rsidR="00AB405A" w:rsidRPr="001B1099">
        <w:rPr>
          <w:rFonts w:ascii="Garamond" w:eastAsia="Times New Roman" w:hAnsi="Garamond" w:cs="Arial"/>
          <w:w w:val="92"/>
          <w:shd w:val="clear" w:color="auto" w:fill="FEFFFF"/>
          <w:lang w:eastAsia="es-CR" w:bidi="he-IL"/>
        </w:rPr>
        <w:t>s produtivos</w:t>
      </w:r>
      <w:r w:rsidRPr="001B1099">
        <w:rPr>
          <w:rFonts w:ascii="Garamond" w:eastAsia="Times New Roman" w:hAnsi="Garamond" w:cs="Arial"/>
          <w:w w:val="92"/>
          <w:shd w:val="clear" w:color="auto" w:fill="FEFFFF"/>
          <w:lang w:eastAsia="es-CR" w:bidi="he-IL"/>
        </w:rPr>
        <w:t>,</w:t>
      </w:r>
      <w:r w:rsidR="001B1099" w:rsidRPr="001B1099">
        <w:rPr>
          <w:rFonts w:ascii="Garamond" w:eastAsia="Times New Roman" w:hAnsi="Garamond" w:cs="Arial"/>
          <w:w w:val="92"/>
          <w:shd w:val="clear" w:color="auto" w:fill="FEFFFF"/>
          <w:lang w:eastAsia="es-CR" w:bidi="he-IL"/>
        </w:rPr>
        <w:t xml:space="preserve"> de mulheres</w:t>
      </w:r>
      <w:r w:rsidR="00AB405A" w:rsidRPr="001B1099">
        <w:rPr>
          <w:rFonts w:ascii="Garamond" w:eastAsia="Times New Roman" w:hAnsi="Garamond" w:cs="Arial"/>
          <w:w w:val="92"/>
          <w:shd w:val="clear" w:color="auto" w:fill="FEFFFF"/>
          <w:lang w:eastAsia="es-CR" w:bidi="he-IL"/>
        </w:rPr>
        <w:t xml:space="preserve"> </w:t>
      </w:r>
      <w:r w:rsidR="001B1099" w:rsidRPr="001B1099">
        <w:rPr>
          <w:rFonts w:ascii="Garamond" w:eastAsia="Times New Roman" w:hAnsi="Garamond" w:cs="Arial"/>
          <w:w w:val="92"/>
          <w:shd w:val="clear" w:color="auto" w:fill="FEFFFF"/>
          <w:lang w:eastAsia="es-CR" w:bidi="he-IL"/>
        </w:rPr>
        <w:t>(</w:t>
      </w:r>
      <w:r w:rsidR="00D65CFD" w:rsidRPr="001B1099">
        <w:rPr>
          <w:rFonts w:ascii="Garamond" w:eastAsia="Times New Roman" w:hAnsi="Garamond" w:cs="Arial"/>
          <w:w w:val="92"/>
          <w:shd w:val="clear" w:color="auto" w:fill="FEFFFF"/>
          <w:lang w:eastAsia="es-CR" w:bidi="he-IL"/>
        </w:rPr>
        <w:t xml:space="preserve">até </w:t>
      </w:r>
      <w:r w:rsidR="00AB405A" w:rsidRPr="001B1099">
        <w:rPr>
          <w:rFonts w:ascii="Garamond" w:eastAsia="Times New Roman" w:hAnsi="Garamond" w:cs="Arial"/>
          <w:w w:val="92"/>
          <w:shd w:val="clear" w:color="auto" w:fill="FEFFFF"/>
          <w:lang w:eastAsia="es-CR" w:bidi="he-IL"/>
        </w:rPr>
        <w:t>mil</w:t>
      </w:r>
      <w:r w:rsidR="00D65CFD" w:rsidRPr="001B1099">
        <w:rPr>
          <w:rFonts w:ascii="Garamond" w:eastAsia="Times New Roman" w:hAnsi="Garamond" w:cs="Arial"/>
          <w:w w:val="92"/>
          <w:shd w:val="clear" w:color="auto" w:fill="FEFFFF"/>
          <w:lang w:eastAsia="es-CR" w:bidi="he-IL"/>
        </w:rPr>
        <w:t xml:space="preserve"> e duzentas </w:t>
      </w:r>
      <w:r w:rsidR="00AB405A" w:rsidRPr="001B1099">
        <w:rPr>
          <w:rFonts w:ascii="Garamond" w:eastAsia="Times New Roman" w:hAnsi="Garamond" w:cs="Arial"/>
          <w:w w:val="92"/>
          <w:shd w:val="clear" w:color="auto" w:fill="FEFFFF"/>
          <w:lang w:eastAsia="es-CR" w:bidi="he-IL"/>
        </w:rPr>
        <w:t>1200)</w:t>
      </w:r>
      <w:r w:rsidR="001B1099" w:rsidRPr="001B1099">
        <w:rPr>
          <w:rFonts w:ascii="Garamond" w:eastAsia="Times New Roman" w:hAnsi="Garamond" w:cs="Arial"/>
          <w:w w:val="92"/>
          <w:shd w:val="clear" w:color="auto" w:fill="FEFFFF"/>
          <w:lang w:eastAsia="es-CR" w:bidi="he-IL"/>
        </w:rPr>
        <w:t>,</w:t>
      </w:r>
      <w:r w:rsidR="00AB405A" w:rsidRPr="001B1099">
        <w:rPr>
          <w:rFonts w:ascii="Garamond" w:eastAsia="Times New Roman" w:hAnsi="Garamond" w:cs="Arial"/>
          <w:w w:val="92"/>
          <w:shd w:val="clear" w:color="auto" w:fill="FEFFFF"/>
          <w:lang w:eastAsia="es-CR" w:bidi="he-IL"/>
        </w:rPr>
        <w:t xml:space="preserve"> cla</w:t>
      </w:r>
      <w:r w:rsidR="00D65CFD" w:rsidRPr="001B1099">
        <w:rPr>
          <w:rFonts w:ascii="Garamond" w:eastAsia="Times New Roman" w:hAnsi="Garamond" w:cs="Arial"/>
          <w:w w:val="92"/>
          <w:shd w:val="clear" w:color="auto" w:fill="FEFFFF"/>
          <w:lang w:eastAsia="es-CR" w:bidi="he-IL"/>
        </w:rPr>
        <w:t>s</w:t>
      </w:r>
      <w:r w:rsidR="00AB405A" w:rsidRPr="001B1099">
        <w:rPr>
          <w:rFonts w:ascii="Garamond" w:eastAsia="Times New Roman" w:hAnsi="Garamond" w:cs="Arial"/>
          <w:w w:val="92"/>
          <w:shd w:val="clear" w:color="auto" w:fill="FEFFFF"/>
          <w:lang w:eastAsia="es-CR" w:bidi="he-IL"/>
        </w:rPr>
        <w:t xml:space="preserve">sificadas </w:t>
      </w:r>
      <w:proofErr w:type="gramStart"/>
      <w:r w:rsidR="005C2020" w:rsidRPr="001B1099">
        <w:rPr>
          <w:rFonts w:ascii="Garamond" w:eastAsia="Times New Roman" w:hAnsi="Garamond" w:cs="Arial"/>
          <w:w w:val="92"/>
          <w:shd w:val="clear" w:color="auto" w:fill="FEFFFF"/>
          <w:lang w:eastAsia="es-CR" w:bidi="he-IL"/>
        </w:rPr>
        <w:t>pelo</w:t>
      </w:r>
      <w:r w:rsidR="00AB405A" w:rsidRPr="001B1099">
        <w:rPr>
          <w:rFonts w:ascii="Garamond" w:eastAsia="Times New Roman" w:hAnsi="Garamond" w:cs="Arial"/>
          <w:w w:val="92"/>
          <w:shd w:val="clear" w:color="auto" w:fill="FEFFFF"/>
          <w:lang w:eastAsia="es-CR" w:bidi="he-IL"/>
        </w:rPr>
        <w:t xml:space="preserve"> IMAS</w:t>
      </w:r>
      <w:proofErr w:type="gramEnd"/>
      <w:r w:rsidR="00AB405A" w:rsidRPr="001B1099">
        <w:rPr>
          <w:rFonts w:ascii="Garamond" w:eastAsia="Times New Roman" w:hAnsi="Garamond" w:cs="Arial"/>
          <w:w w:val="92"/>
          <w:shd w:val="clear" w:color="auto" w:fill="FEFFFF"/>
          <w:lang w:eastAsia="es-CR" w:bidi="he-IL"/>
        </w:rPr>
        <w:t xml:space="preserve"> </w:t>
      </w:r>
      <w:r w:rsidR="00D65CFD" w:rsidRPr="001B1099">
        <w:rPr>
          <w:rFonts w:ascii="Garamond" w:eastAsia="Times New Roman" w:hAnsi="Garamond" w:cs="Arial"/>
          <w:w w:val="92"/>
          <w:shd w:val="clear" w:color="auto" w:fill="FEFFFF"/>
          <w:lang w:eastAsia="es-CR" w:bidi="he-IL"/>
        </w:rPr>
        <w:t xml:space="preserve">no </w:t>
      </w:r>
      <w:r w:rsidR="00AB405A" w:rsidRPr="001B1099">
        <w:rPr>
          <w:rFonts w:ascii="Garamond" w:eastAsia="Times New Roman" w:hAnsi="Garamond" w:cs="Arial"/>
          <w:w w:val="92"/>
          <w:shd w:val="clear" w:color="auto" w:fill="FEFFFF"/>
          <w:lang w:eastAsia="es-CR" w:bidi="he-IL"/>
        </w:rPr>
        <w:t>programa FIDEIMAS, que terá como ob</w:t>
      </w:r>
      <w:r w:rsidR="00D65CFD" w:rsidRPr="001B1099">
        <w:rPr>
          <w:rFonts w:ascii="Garamond" w:eastAsia="Times New Roman" w:hAnsi="Garamond" w:cs="Arial"/>
          <w:w w:val="92"/>
          <w:shd w:val="clear" w:color="auto" w:fill="FEFFFF"/>
          <w:lang w:eastAsia="es-CR" w:bidi="he-IL"/>
        </w:rPr>
        <w:t xml:space="preserve">jetivo </w:t>
      </w:r>
      <w:r w:rsidR="00AB405A" w:rsidRPr="001B1099">
        <w:rPr>
          <w:rFonts w:ascii="Garamond" w:eastAsia="Times New Roman" w:hAnsi="Garamond" w:cs="Arial"/>
          <w:w w:val="92"/>
          <w:shd w:val="clear" w:color="auto" w:fill="FEFFFF"/>
          <w:lang w:eastAsia="es-CR" w:bidi="he-IL"/>
        </w:rPr>
        <w:t xml:space="preserve">a </w:t>
      </w:r>
      <w:r w:rsidR="008278C4" w:rsidRPr="001B1099">
        <w:rPr>
          <w:rFonts w:ascii="Garamond" w:eastAsia="Times New Roman" w:hAnsi="Garamond" w:cs="Arial"/>
          <w:w w:val="92"/>
          <w:shd w:val="clear" w:color="auto" w:fill="FEFFFF"/>
          <w:lang w:eastAsia="es-CR" w:bidi="he-IL"/>
        </w:rPr>
        <w:t>atenção</w:t>
      </w:r>
      <w:r w:rsidR="00AB405A" w:rsidRPr="001B1099">
        <w:rPr>
          <w:rFonts w:ascii="Garamond" w:eastAsia="Times New Roman" w:hAnsi="Garamond" w:cs="Arial"/>
          <w:w w:val="92"/>
          <w:shd w:val="clear" w:color="auto" w:fill="FEFFFF"/>
          <w:lang w:eastAsia="es-CR" w:bidi="he-IL"/>
        </w:rPr>
        <w:t xml:space="preserve"> de </w:t>
      </w:r>
      <w:r w:rsidR="00054EE0" w:rsidRPr="001B1099">
        <w:rPr>
          <w:rFonts w:ascii="Garamond" w:eastAsia="Times New Roman" w:hAnsi="Garamond" w:cs="Arial"/>
          <w:w w:val="92"/>
          <w:shd w:val="clear" w:color="auto" w:fill="FEFFFF"/>
          <w:lang w:eastAsia="es-CR" w:bidi="he-IL"/>
        </w:rPr>
        <w:t>mulheres</w:t>
      </w:r>
      <w:r w:rsidR="00AB405A" w:rsidRPr="001B1099">
        <w:rPr>
          <w:rFonts w:ascii="Garamond" w:eastAsia="Times New Roman" w:hAnsi="Garamond" w:cs="Arial"/>
          <w:w w:val="92"/>
          <w:shd w:val="clear" w:color="auto" w:fill="FEFFFF"/>
          <w:lang w:eastAsia="es-CR" w:bidi="he-IL"/>
        </w:rPr>
        <w:t xml:space="preserve"> e</w:t>
      </w:r>
      <w:r w:rsidR="00D65CFD" w:rsidRPr="001B1099">
        <w:rPr>
          <w:rFonts w:ascii="Garamond" w:eastAsia="Times New Roman" w:hAnsi="Garamond" w:cs="Arial"/>
          <w:w w:val="92"/>
          <w:shd w:val="clear" w:color="auto" w:fill="FEFFFF"/>
          <w:lang w:eastAsia="es-CR" w:bidi="he-IL"/>
        </w:rPr>
        <w:t>m</w:t>
      </w:r>
      <w:r w:rsidR="00AB405A" w:rsidRPr="001B1099">
        <w:rPr>
          <w:rFonts w:ascii="Garamond" w:eastAsia="Times New Roman" w:hAnsi="Garamond" w:cs="Arial"/>
          <w:w w:val="92"/>
          <w:shd w:val="clear" w:color="auto" w:fill="FEFFFF"/>
          <w:lang w:eastAsia="es-CR" w:bidi="he-IL"/>
        </w:rPr>
        <w:t xml:space="preserve"> </w:t>
      </w:r>
      <w:r w:rsidR="00AC3351" w:rsidRPr="001B1099">
        <w:rPr>
          <w:rFonts w:ascii="Garamond" w:eastAsia="Times New Roman" w:hAnsi="Garamond" w:cs="Arial"/>
          <w:w w:val="92"/>
          <w:shd w:val="clear" w:color="auto" w:fill="FEFFFF"/>
          <w:lang w:eastAsia="es-CR" w:bidi="he-IL"/>
        </w:rPr>
        <w:t>condições</w:t>
      </w:r>
      <w:r w:rsidR="00AB405A" w:rsidRPr="001B1099">
        <w:rPr>
          <w:rFonts w:ascii="Garamond" w:eastAsia="Times New Roman" w:hAnsi="Garamond" w:cs="Arial"/>
          <w:w w:val="92"/>
          <w:shd w:val="clear" w:color="auto" w:fill="FEFFFF"/>
          <w:lang w:eastAsia="es-CR" w:bidi="he-IL"/>
        </w:rPr>
        <w:t xml:space="preserve"> de pobreza</w:t>
      </w:r>
      <w:r w:rsidRPr="001B1099">
        <w:rPr>
          <w:rFonts w:ascii="Garamond" w:eastAsia="Times New Roman" w:hAnsi="Garamond" w:cs="Arial"/>
          <w:w w:val="92"/>
          <w:shd w:val="clear" w:color="auto" w:fill="FEFFFF"/>
          <w:lang w:eastAsia="es-CR" w:bidi="he-IL"/>
        </w:rPr>
        <w:t>,</w:t>
      </w:r>
      <w:r w:rsidR="00AB405A" w:rsidRPr="001B1099">
        <w:rPr>
          <w:rFonts w:ascii="Garamond" w:eastAsia="Times New Roman" w:hAnsi="Garamond" w:cs="Arial"/>
          <w:w w:val="92"/>
          <w:shd w:val="clear" w:color="auto" w:fill="FEFFFF"/>
          <w:lang w:eastAsia="es-CR" w:bidi="he-IL"/>
        </w:rPr>
        <w:t xml:space="preserve"> referidas </w:t>
      </w:r>
      <w:r w:rsidR="005C2020" w:rsidRPr="001B1099">
        <w:rPr>
          <w:rFonts w:ascii="Garamond" w:eastAsia="Times New Roman" w:hAnsi="Garamond" w:cs="Arial"/>
          <w:w w:val="92"/>
          <w:shd w:val="clear" w:color="auto" w:fill="FEFFFF"/>
          <w:lang w:eastAsia="es-CR" w:bidi="he-IL"/>
        </w:rPr>
        <w:t>pelo</w:t>
      </w:r>
      <w:r w:rsidR="00D65CFD" w:rsidRPr="001B1099">
        <w:rPr>
          <w:rFonts w:ascii="Garamond" w:eastAsia="Times New Roman" w:hAnsi="Garamond" w:cs="Arial"/>
          <w:w w:val="92"/>
          <w:shd w:val="clear" w:color="auto" w:fill="FEFFFF"/>
          <w:lang w:eastAsia="es-CR" w:bidi="he-IL"/>
        </w:rPr>
        <w:t xml:space="preserve"> instituto mis</w:t>
      </w:r>
      <w:r w:rsidR="00AB405A" w:rsidRPr="001B1099">
        <w:rPr>
          <w:rFonts w:ascii="Garamond" w:eastAsia="Times New Roman" w:hAnsi="Garamond" w:cs="Arial"/>
          <w:w w:val="92"/>
          <w:shd w:val="clear" w:color="auto" w:fill="FEFFFF"/>
          <w:lang w:eastAsia="es-CR" w:bidi="he-IL"/>
        </w:rPr>
        <w:t xml:space="preserve">to de </w:t>
      </w:r>
      <w:r w:rsidR="000672E8" w:rsidRPr="001B1099">
        <w:rPr>
          <w:rFonts w:ascii="Garamond" w:eastAsia="Times New Roman" w:hAnsi="Garamond" w:cs="Arial"/>
          <w:w w:val="92"/>
          <w:shd w:val="clear" w:color="auto" w:fill="FEFFFF"/>
          <w:lang w:eastAsia="es-CR" w:bidi="he-IL"/>
        </w:rPr>
        <w:t>ajuda</w:t>
      </w:r>
      <w:r w:rsidR="00AB405A" w:rsidRPr="001B1099">
        <w:rPr>
          <w:rFonts w:ascii="Garamond" w:eastAsia="Times New Roman" w:hAnsi="Garamond" w:cs="Arial"/>
          <w:w w:val="92"/>
          <w:shd w:val="clear" w:color="auto" w:fill="FEFFFF"/>
          <w:lang w:eastAsia="es-CR" w:bidi="he-IL"/>
        </w:rPr>
        <w:t xml:space="preserve"> social IMAS, que </w:t>
      </w:r>
      <w:r w:rsidR="00AB405A" w:rsidRPr="001B1099">
        <w:rPr>
          <w:rFonts w:ascii="Garamond" w:eastAsia="Times New Roman" w:hAnsi="Garamond" w:cs="Arial"/>
          <w:w w:val="77"/>
          <w:shd w:val="clear" w:color="auto" w:fill="FEFFFF"/>
          <w:lang w:eastAsia="es-CR" w:bidi="he-IL"/>
        </w:rPr>
        <w:t xml:space="preserve">se </w:t>
      </w:r>
      <w:r w:rsidR="00F520D6" w:rsidRPr="001B1099">
        <w:rPr>
          <w:rFonts w:ascii="Garamond" w:eastAsia="Times New Roman" w:hAnsi="Garamond" w:cs="Arial"/>
          <w:w w:val="92"/>
          <w:shd w:val="clear" w:color="auto" w:fill="FEFFFF"/>
          <w:lang w:eastAsia="es-CR" w:bidi="he-IL"/>
        </w:rPr>
        <w:t>encontram</w:t>
      </w:r>
      <w:r w:rsidR="00AB405A" w:rsidRPr="001B1099">
        <w:rPr>
          <w:rFonts w:ascii="Garamond" w:eastAsia="Times New Roman" w:hAnsi="Garamond" w:cs="Arial"/>
          <w:w w:val="92"/>
          <w:shd w:val="clear" w:color="auto" w:fill="FEFFFF"/>
          <w:lang w:eastAsia="es-CR" w:bidi="he-IL"/>
        </w:rPr>
        <w:t xml:space="preserve"> </w:t>
      </w:r>
      <w:r w:rsidR="003A391A" w:rsidRPr="001B1099">
        <w:rPr>
          <w:rFonts w:ascii="Garamond" w:eastAsia="Times New Roman" w:hAnsi="Garamond" w:cs="Arial"/>
          <w:w w:val="92"/>
          <w:shd w:val="clear" w:color="auto" w:fill="FEFFFF"/>
          <w:lang w:eastAsia="es-CR" w:bidi="he-IL"/>
        </w:rPr>
        <w:t>nos</w:t>
      </w:r>
      <w:r w:rsidR="00AB405A" w:rsidRPr="001B1099">
        <w:rPr>
          <w:rFonts w:ascii="Garamond" w:eastAsia="Times New Roman" w:hAnsi="Garamond" w:cs="Arial"/>
          <w:w w:val="92"/>
          <w:shd w:val="clear" w:color="auto" w:fill="FEFFFF"/>
          <w:lang w:eastAsia="es-CR" w:bidi="he-IL"/>
        </w:rPr>
        <w:t xml:space="preserve"> grupos u</w:t>
      </w:r>
      <w:r w:rsidR="00D65CFD" w:rsidRPr="001B1099">
        <w:rPr>
          <w:rFonts w:ascii="Garamond" w:eastAsia="Times New Roman" w:hAnsi="Garamond" w:cs="Arial"/>
          <w:w w:val="92"/>
          <w:shd w:val="clear" w:color="auto" w:fill="FEFFFF"/>
          <w:lang w:eastAsia="es-CR" w:bidi="he-IL"/>
        </w:rPr>
        <w:t>m</w:t>
      </w:r>
      <w:r w:rsidR="00AB405A" w:rsidRPr="001B1099">
        <w:rPr>
          <w:rFonts w:ascii="Garamond" w:eastAsia="Times New Roman" w:hAnsi="Garamond" w:cs="Arial"/>
          <w:w w:val="92"/>
          <w:shd w:val="clear" w:color="auto" w:fill="FEFFFF"/>
          <w:lang w:eastAsia="es-CR" w:bidi="he-IL"/>
        </w:rPr>
        <w:t>, do</w:t>
      </w:r>
      <w:r w:rsidR="00D65CFD" w:rsidRPr="001B1099">
        <w:rPr>
          <w:rFonts w:ascii="Garamond" w:eastAsia="Times New Roman" w:hAnsi="Garamond" w:cs="Arial"/>
          <w:w w:val="92"/>
          <w:shd w:val="clear" w:color="auto" w:fill="FEFFFF"/>
          <w:lang w:eastAsia="es-CR" w:bidi="he-IL"/>
        </w:rPr>
        <w:t>i</w:t>
      </w:r>
      <w:r w:rsidR="00AB405A" w:rsidRPr="001B1099">
        <w:rPr>
          <w:rFonts w:ascii="Garamond" w:eastAsia="Times New Roman" w:hAnsi="Garamond" w:cs="Arial"/>
          <w:w w:val="92"/>
          <w:shd w:val="clear" w:color="auto" w:fill="FEFFFF"/>
          <w:lang w:eastAsia="es-CR" w:bidi="he-IL"/>
        </w:rPr>
        <w:t xml:space="preserve">s, </w:t>
      </w:r>
      <w:r w:rsidR="000866B6" w:rsidRPr="001B1099">
        <w:rPr>
          <w:rFonts w:ascii="Garamond" w:eastAsia="Times New Roman" w:hAnsi="Garamond" w:cs="Arial"/>
          <w:w w:val="92"/>
          <w:shd w:val="clear" w:color="auto" w:fill="FEFFFF"/>
          <w:lang w:eastAsia="es-CR" w:bidi="he-IL"/>
        </w:rPr>
        <w:t>três</w:t>
      </w:r>
      <w:r w:rsidR="00AB405A" w:rsidRPr="001B1099">
        <w:rPr>
          <w:rFonts w:ascii="Garamond" w:eastAsia="Times New Roman" w:hAnsi="Garamond" w:cs="Arial"/>
          <w:w w:val="92"/>
          <w:shd w:val="clear" w:color="auto" w:fill="FEFFFF"/>
          <w:lang w:eastAsia="es-CR" w:bidi="he-IL"/>
        </w:rPr>
        <w:t xml:space="preserve"> o</w:t>
      </w:r>
      <w:r w:rsidR="00D65CFD" w:rsidRPr="001B1099">
        <w:rPr>
          <w:rFonts w:ascii="Garamond" w:eastAsia="Times New Roman" w:hAnsi="Garamond" w:cs="Arial"/>
          <w:w w:val="92"/>
          <w:shd w:val="clear" w:color="auto" w:fill="FEFFFF"/>
          <w:lang w:eastAsia="es-CR" w:bidi="he-IL"/>
        </w:rPr>
        <w:t>u q</w:t>
      </w:r>
      <w:r w:rsidR="00AB405A" w:rsidRPr="001B1099">
        <w:rPr>
          <w:rFonts w:ascii="Garamond" w:eastAsia="Times New Roman" w:hAnsi="Garamond" w:cs="Arial"/>
          <w:w w:val="92"/>
          <w:shd w:val="clear" w:color="auto" w:fill="FEFFFF"/>
          <w:lang w:eastAsia="es-CR" w:bidi="he-IL"/>
        </w:rPr>
        <w:t xml:space="preserve">uatro </w:t>
      </w:r>
      <w:r w:rsidR="00AB405A" w:rsidRPr="001B1099">
        <w:rPr>
          <w:rFonts w:ascii="Garamond" w:eastAsia="Times New Roman" w:hAnsi="Garamond" w:cs="Arial"/>
          <w:w w:val="109"/>
          <w:shd w:val="clear" w:color="auto" w:fill="FEFFFF"/>
          <w:lang w:eastAsia="es-CR" w:bidi="he-IL"/>
        </w:rPr>
        <w:t xml:space="preserve">(l, 2, 3 </w:t>
      </w:r>
      <w:r w:rsidR="00AB405A" w:rsidRPr="001B1099">
        <w:rPr>
          <w:rFonts w:ascii="Garamond" w:eastAsia="Times New Roman" w:hAnsi="Garamond" w:cs="Arial"/>
          <w:w w:val="119"/>
          <w:shd w:val="clear" w:color="auto" w:fill="FEFFFF"/>
          <w:lang w:eastAsia="es-CR" w:bidi="he-IL"/>
        </w:rPr>
        <w:t>o</w:t>
      </w:r>
      <w:r w:rsidR="00D65CFD" w:rsidRPr="001B1099">
        <w:rPr>
          <w:rFonts w:ascii="Garamond" w:eastAsia="Times New Roman" w:hAnsi="Garamond" w:cs="Arial"/>
          <w:w w:val="119"/>
          <w:shd w:val="clear" w:color="auto" w:fill="FEFFFF"/>
          <w:lang w:eastAsia="es-CR" w:bidi="he-IL"/>
        </w:rPr>
        <w:t>u</w:t>
      </w:r>
      <w:r w:rsidR="00AB405A" w:rsidRPr="001B1099">
        <w:rPr>
          <w:rFonts w:ascii="Garamond" w:eastAsia="Times New Roman" w:hAnsi="Garamond" w:cs="Arial"/>
          <w:w w:val="119"/>
          <w:shd w:val="clear" w:color="auto" w:fill="FEFFFF"/>
          <w:lang w:eastAsia="es-CR" w:bidi="he-IL"/>
        </w:rPr>
        <w:t xml:space="preserve"> </w:t>
      </w:r>
      <w:r w:rsidR="00AB405A" w:rsidRPr="001B1099">
        <w:rPr>
          <w:rFonts w:ascii="Garamond" w:eastAsia="Times New Roman" w:hAnsi="Garamond" w:cs="Arial"/>
          <w:w w:val="109"/>
          <w:shd w:val="clear" w:color="auto" w:fill="FEFFFF"/>
          <w:lang w:eastAsia="es-CR" w:bidi="he-IL"/>
        </w:rPr>
        <w:t xml:space="preserve">4) </w:t>
      </w:r>
      <w:r w:rsidR="00AB405A" w:rsidRPr="001B1099">
        <w:rPr>
          <w:rFonts w:ascii="Garamond" w:eastAsia="Times New Roman" w:hAnsi="Garamond" w:cs="Arial"/>
          <w:w w:val="92"/>
          <w:shd w:val="clear" w:color="auto" w:fill="FEFFFF"/>
          <w:lang w:eastAsia="es-CR" w:bidi="he-IL"/>
        </w:rPr>
        <w:t>de pobreza</w:t>
      </w:r>
      <w:r w:rsidRPr="001B1099">
        <w:rPr>
          <w:rFonts w:ascii="Garamond" w:eastAsia="Times New Roman" w:hAnsi="Garamond" w:cs="Arial"/>
          <w:w w:val="92"/>
          <w:shd w:val="clear" w:color="auto" w:fill="FEFFFF"/>
          <w:lang w:eastAsia="es-CR" w:bidi="he-IL"/>
        </w:rPr>
        <w:t>, d</w:t>
      </w:r>
      <w:r w:rsidR="00D65CFD" w:rsidRPr="001B1099">
        <w:rPr>
          <w:rFonts w:ascii="Garamond" w:eastAsia="Times New Roman" w:hAnsi="Garamond" w:cs="Arial"/>
          <w:w w:val="92"/>
          <w:shd w:val="clear" w:color="auto" w:fill="FEFFFF"/>
          <w:lang w:eastAsia="es-CR" w:bidi="he-IL"/>
        </w:rPr>
        <w:t xml:space="preserve">e acordo </w:t>
      </w:r>
      <w:r w:rsidRPr="001B1099">
        <w:rPr>
          <w:rFonts w:ascii="Garamond" w:eastAsia="Times New Roman" w:hAnsi="Garamond" w:cs="Arial"/>
          <w:w w:val="92"/>
          <w:shd w:val="clear" w:color="auto" w:fill="FEFFFF"/>
          <w:lang w:eastAsia="es-CR" w:bidi="he-IL"/>
        </w:rPr>
        <w:t xml:space="preserve">com a informação prestada pelo </w:t>
      </w:r>
      <w:r w:rsidR="00AB405A" w:rsidRPr="001B1099">
        <w:rPr>
          <w:rFonts w:ascii="Garamond" w:eastAsia="Times New Roman" w:hAnsi="Garamond" w:cs="Arial"/>
          <w:w w:val="92"/>
          <w:shd w:val="clear" w:color="auto" w:fill="FEFFFF"/>
          <w:lang w:eastAsia="es-CR" w:bidi="he-IL"/>
        </w:rPr>
        <w:t xml:space="preserve">sistema de </w:t>
      </w:r>
      <w:r w:rsidR="0017447A" w:rsidRPr="001B1099">
        <w:rPr>
          <w:rFonts w:ascii="Garamond" w:eastAsia="Times New Roman" w:hAnsi="Garamond" w:cs="Arial"/>
          <w:w w:val="92"/>
          <w:shd w:val="clear" w:color="auto" w:fill="FEFFFF"/>
          <w:lang w:eastAsia="es-CR" w:bidi="he-IL"/>
        </w:rPr>
        <w:t>informação</w:t>
      </w:r>
      <w:r w:rsidR="00D65CFD" w:rsidRPr="001B1099">
        <w:rPr>
          <w:rFonts w:ascii="Garamond" w:eastAsia="Times New Roman" w:hAnsi="Garamond" w:cs="Arial"/>
          <w:w w:val="92"/>
          <w:shd w:val="clear" w:color="auto" w:fill="FEFFFF"/>
          <w:lang w:eastAsia="es-CR" w:bidi="he-IL"/>
        </w:rPr>
        <w:t xml:space="preserve"> de</w:t>
      </w:r>
      <w:r w:rsidR="00AB405A" w:rsidRPr="001B1099">
        <w:rPr>
          <w:rFonts w:ascii="Garamond" w:eastAsia="Times New Roman" w:hAnsi="Garamond" w:cs="Arial"/>
          <w:w w:val="92"/>
          <w:shd w:val="clear" w:color="auto" w:fill="FEFFFF"/>
          <w:lang w:eastAsia="es-CR" w:bidi="he-IL"/>
        </w:rPr>
        <w:t xml:space="preserve"> </w:t>
      </w:r>
      <w:r w:rsidR="007A2492" w:rsidRPr="001B1099">
        <w:rPr>
          <w:rFonts w:ascii="Garamond" w:eastAsia="Times New Roman" w:hAnsi="Garamond" w:cs="Arial"/>
          <w:w w:val="92"/>
          <w:shd w:val="clear" w:color="auto" w:fill="FEFFFF"/>
          <w:lang w:eastAsia="es-CR" w:bidi="he-IL"/>
        </w:rPr>
        <w:t>população</w:t>
      </w:r>
      <w:r w:rsidR="00AB405A" w:rsidRPr="001B1099">
        <w:rPr>
          <w:rFonts w:ascii="Garamond" w:eastAsia="Times New Roman" w:hAnsi="Garamond" w:cs="Arial"/>
          <w:w w:val="92"/>
          <w:shd w:val="clear" w:color="auto" w:fill="FEFFFF"/>
          <w:lang w:eastAsia="es-CR" w:bidi="he-IL"/>
        </w:rPr>
        <w:t xml:space="preserve"> objetiv</w:t>
      </w:r>
      <w:r w:rsidR="00D65CFD" w:rsidRPr="001B1099">
        <w:rPr>
          <w:rFonts w:ascii="Garamond" w:eastAsia="Times New Roman" w:hAnsi="Garamond" w:cs="Arial"/>
          <w:w w:val="92"/>
          <w:shd w:val="clear" w:color="auto" w:fill="FEFFFF"/>
          <w:lang w:eastAsia="es-CR" w:bidi="he-IL"/>
        </w:rPr>
        <w:t>a</w:t>
      </w:r>
      <w:r w:rsidR="00AB405A" w:rsidRPr="001B1099">
        <w:rPr>
          <w:rFonts w:ascii="Garamond" w:eastAsia="Times New Roman" w:hAnsi="Garamond" w:cs="Arial"/>
          <w:w w:val="92"/>
          <w:shd w:val="clear" w:color="auto" w:fill="FEFFFF"/>
          <w:lang w:eastAsia="es-CR" w:bidi="he-IL"/>
        </w:rPr>
        <w:t xml:space="preserve"> SIPO</w:t>
      </w:r>
      <w:r w:rsidR="001B1099" w:rsidRPr="001B1099">
        <w:rPr>
          <w:rFonts w:ascii="Garamond" w:eastAsia="Times New Roman" w:hAnsi="Garamond" w:cs="Arial"/>
          <w:w w:val="92"/>
          <w:shd w:val="clear" w:color="auto" w:fill="FEFFFF"/>
          <w:lang w:eastAsia="es-CR" w:bidi="he-IL"/>
        </w:rPr>
        <w:t>, tecnicamente validada</w:t>
      </w:r>
      <w:r w:rsidR="00AB405A" w:rsidRPr="001B1099">
        <w:rPr>
          <w:rFonts w:ascii="Garamond" w:eastAsia="Times New Roman" w:hAnsi="Garamond" w:cs="Arial"/>
          <w:w w:val="92"/>
          <w:shd w:val="clear" w:color="auto" w:fill="FEFFFF"/>
          <w:lang w:eastAsia="es-CR" w:bidi="he-IL"/>
        </w:rPr>
        <w:t xml:space="preserve"> </w:t>
      </w:r>
      <w:r w:rsidR="001B1099" w:rsidRPr="001B1099">
        <w:rPr>
          <w:rFonts w:ascii="Garamond" w:eastAsia="Times New Roman" w:hAnsi="Garamond" w:cs="Arial"/>
          <w:w w:val="92"/>
          <w:shd w:val="clear" w:color="auto" w:fill="FEFFFF"/>
          <w:lang w:eastAsia="es-CR" w:bidi="he-IL"/>
        </w:rPr>
        <w:t xml:space="preserve">através </w:t>
      </w:r>
      <w:r w:rsidR="00D65CFD" w:rsidRPr="001B1099">
        <w:rPr>
          <w:rFonts w:ascii="Garamond" w:eastAsia="Times New Roman" w:hAnsi="Garamond" w:cs="Arial"/>
          <w:w w:val="92"/>
          <w:shd w:val="clear" w:color="auto" w:fill="FEFFFF"/>
          <w:lang w:eastAsia="es-CR" w:bidi="he-IL"/>
        </w:rPr>
        <w:t xml:space="preserve">de </w:t>
      </w:r>
      <w:r w:rsidR="00201889" w:rsidRPr="001B1099">
        <w:rPr>
          <w:rFonts w:ascii="Garamond" w:eastAsia="Times New Roman" w:hAnsi="Garamond" w:cs="Arial"/>
          <w:w w:val="92"/>
          <w:shd w:val="clear" w:color="auto" w:fill="FEFFFF"/>
          <w:lang w:eastAsia="es-CR" w:bidi="he-IL"/>
        </w:rPr>
        <w:t>proposta</w:t>
      </w:r>
      <w:r w:rsidR="00AB405A" w:rsidRPr="001B1099">
        <w:rPr>
          <w:rFonts w:ascii="Garamond" w:eastAsia="Times New Roman" w:hAnsi="Garamond" w:cs="Arial"/>
          <w:w w:val="92"/>
          <w:shd w:val="clear" w:color="auto" w:fill="FEFFFF"/>
          <w:lang w:eastAsia="es-CR" w:bidi="he-IL"/>
        </w:rPr>
        <w:t xml:space="preserve"> </w:t>
      </w:r>
      <w:r w:rsidR="001B1099" w:rsidRPr="001B1099">
        <w:rPr>
          <w:rFonts w:ascii="Garamond" w:eastAsia="Times New Roman" w:hAnsi="Garamond" w:cs="Arial"/>
          <w:w w:val="82"/>
          <w:shd w:val="clear" w:color="auto" w:fill="FEFFFF"/>
          <w:lang w:eastAsia="es-CR" w:bidi="he-IL"/>
        </w:rPr>
        <w:t xml:space="preserve">da </w:t>
      </w:r>
      <w:r w:rsidR="00AB405A" w:rsidRPr="001B1099">
        <w:rPr>
          <w:rFonts w:ascii="Garamond" w:eastAsia="Times New Roman" w:hAnsi="Garamond" w:cs="Arial"/>
          <w:w w:val="92"/>
          <w:shd w:val="clear" w:color="auto" w:fill="FEFFFF"/>
          <w:lang w:eastAsia="es-CR" w:bidi="he-IL"/>
        </w:rPr>
        <w:t>FIDEIMAS</w:t>
      </w:r>
      <w:r w:rsidR="00221CED" w:rsidRPr="001B1099">
        <w:rPr>
          <w:rFonts w:ascii="Garamond" w:eastAsia="Times New Roman" w:hAnsi="Garamond" w:cs="Arial"/>
          <w:w w:val="92"/>
          <w:shd w:val="clear" w:color="auto" w:fill="FEFFFF"/>
          <w:lang w:eastAsia="es-CR" w:bidi="he-IL"/>
        </w:rPr>
        <w:t>.</w:t>
      </w:r>
      <w:r w:rsidRPr="001B1099">
        <w:rPr>
          <w:rFonts w:ascii="Garamond" w:eastAsia="Times New Roman" w:hAnsi="Garamond" w:cs="Arial"/>
          <w:w w:val="92"/>
          <w:shd w:val="clear" w:color="auto" w:fill="FEFFFF"/>
          <w:lang w:eastAsia="es-CR" w:bidi="he-IL"/>
        </w:rPr>
        <w:t>»</w:t>
      </w:r>
      <w:r w:rsidR="00AB405A" w:rsidRPr="001B1099">
        <w:rPr>
          <w:rFonts w:ascii="Garamond" w:eastAsia="Times New Roman" w:hAnsi="Garamond" w:cs="Arial"/>
          <w:w w:val="92"/>
          <w:shd w:val="clear" w:color="auto" w:fill="FEFFFF"/>
          <w:lang w:eastAsia="es-CR" w:bidi="he-IL"/>
        </w:rPr>
        <w:t xml:space="preserve"> </w:t>
      </w:r>
    </w:p>
    <w:p w:rsidR="00AB405A" w:rsidRPr="003A1174" w:rsidRDefault="00CF5971" w:rsidP="008719D4">
      <w:pPr>
        <w:pStyle w:val="Ttulo3"/>
        <w:tabs>
          <w:tab w:val="left" w:pos="4382"/>
        </w:tabs>
        <w:spacing w:line="240" w:lineRule="auto"/>
        <w:rPr>
          <w:rFonts w:ascii="Garamond" w:hAnsi="Garamond"/>
          <w:sz w:val="24"/>
          <w:szCs w:val="24"/>
        </w:rPr>
      </w:pPr>
      <w:bookmarkStart w:id="75" w:name="_Toc421529762"/>
      <w:r w:rsidRPr="003A1174">
        <w:rPr>
          <w:rFonts w:ascii="Garamond" w:hAnsi="Garamond"/>
          <w:sz w:val="24"/>
          <w:szCs w:val="24"/>
        </w:rPr>
        <w:t>El Salvador</w:t>
      </w:r>
      <w:bookmarkEnd w:id="75"/>
      <w:r w:rsidR="00AB405A" w:rsidRPr="003A1174">
        <w:rPr>
          <w:rFonts w:ascii="Garamond" w:hAnsi="Garamond"/>
          <w:sz w:val="24"/>
          <w:szCs w:val="24"/>
        </w:rPr>
        <w:t xml:space="preserve"> </w:t>
      </w:r>
    </w:p>
    <w:p w:rsidR="00AB405A" w:rsidRPr="003A1174" w:rsidRDefault="00E171CF" w:rsidP="008719D4">
      <w:pPr>
        <w:spacing w:line="240" w:lineRule="auto"/>
        <w:jc w:val="both"/>
        <w:rPr>
          <w:rFonts w:ascii="Garamond" w:hAnsi="Garamond" w:cs="Arial"/>
          <w:sz w:val="24"/>
          <w:szCs w:val="24"/>
        </w:rPr>
      </w:pPr>
      <w:r>
        <w:rPr>
          <w:rFonts w:ascii="Garamond" w:hAnsi="Garamond" w:cs="Arial"/>
          <w:sz w:val="24"/>
          <w:szCs w:val="24"/>
        </w:rPr>
        <w:t>Em El Salvador, o</w:t>
      </w:r>
      <w:r w:rsidR="00D65CFD" w:rsidRPr="003A1174">
        <w:rPr>
          <w:rFonts w:ascii="Garamond" w:hAnsi="Garamond" w:cs="Arial"/>
          <w:sz w:val="24"/>
          <w:szCs w:val="24"/>
        </w:rPr>
        <w:t xml:space="preserve"> </w:t>
      </w:r>
      <w:r w:rsidR="00AB405A" w:rsidRPr="003A1174">
        <w:rPr>
          <w:rFonts w:ascii="Garamond" w:hAnsi="Garamond" w:cs="Arial"/>
          <w:sz w:val="24"/>
          <w:szCs w:val="24"/>
        </w:rPr>
        <w:t xml:space="preserve">Instituto </w:t>
      </w:r>
      <w:r w:rsidR="00201889" w:rsidRPr="003A1174">
        <w:rPr>
          <w:rFonts w:ascii="Garamond" w:hAnsi="Garamond" w:cs="Arial"/>
          <w:sz w:val="24"/>
          <w:szCs w:val="24"/>
        </w:rPr>
        <w:t>Salvadorenho</w:t>
      </w:r>
      <w:r w:rsidR="00AB405A" w:rsidRPr="003A1174">
        <w:rPr>
          <w:rFonts w:ascii="Garamond" w:hAnsi="Garamond" w:cs="Arial"/>
          <w:sz w:val="24"/>
          <w:szCs w:val="24"/>
        </w:rPr>
        <w:t xml:space="preserve"> para </w:t>
      </w:r>
      <w:r w:rsidR="00D65CFD" w:rsidRPr="003A1174">
        <w:rPr>
          <w:rFonts w:ascii="Garamond" w:hAnsi="Garamond" w:cs="Arial"/>
          <w:sz w:val="24"/>
          <w:szCs w:val="24"/>
        </w:rPr>
        <w:t xml:space="preserve">o </w:t>
      </w:r>
      <w:r w:rsidR="009B133A" w:rsidRPr="003A1174">
        <w:rPr>
          <w:rFonts w:ascii="Garamond" w:hAnsi="Garamond" w:cs="Arial"/>
          <w:sz w:val="24"/>
          <w:szCs w:val="24"/>
        </w:rPr>
        <w:t>Desenvolvimento</w:t>
      </w:r>
      <w:r w:rsidR="00AB405A" w:rsidRPr="003A1174">
        <w:rPr>
          <w:rFonts w:ascii="Garamond" w:hAnsi="Garamond" w:cs="Arial"/>
          <w:sz w:val="24"/>
          <w:szCs w:val="24"/>
        </w:rPr>
        <w:t xml:space="preserve"> da </w:t>
      </w:r>
      <w:r w:rsidR="00AF192F" w:rsidRPr="003A1174">
        <w:rPr>
          <w:rFonts w:ascii="Garamond" w:hAnsi="Garamond" w:cs="Arial"/>
          <w:sz w:val="24"/>
          <w:szCs w:val="24"/>
        </w:rPr>
        <w:t>Mulher</w:t>
      </w:r>
      <w:r w:rsidR="00AB405A" w:rsidRPr="003A1174">
        <w:rPr>
          <w:rFonts w:ascii="Garamond" w:hAnsi="Garamond" w:cs="Arial"/>
          <w:sz w:val="24"/>
          <w:szCs w:val="24"/>
        </w:rPr>
        <w:t xml:space="preserve"> (ISDEMU) </w:t>
      </w:r>
      <w:r w:rsidR="00D65CFD" w:rsidRPr="003A1174">
        <w:rPr>
          <w:rFonts w:ascii="Garamond" w:hAnsi="Garamond" w:cs="Arial"/>
          <w:sz w:val="24"/>
          <w:szCs w:val="24"/>
        </w:rPr>
        <w:t xml:space="preserve">é </w:t>
      </w:r>
      <w:r>
        <w:rPr>
          <w:rFonts w:ascii="Garamond" w:hAnsi="Garamond" w:cs="Arial"/>
          <w:sz w:val="24"/>
          <w:szCs w:val="24"/>
        </w:rPr>
        <w:t xml:space="preserve">a </w:t>
      </w:r>
      <w:r w:rsidR="00AB405A" w:rsidRPr="003A1174">
        <w:rPr>
          <w:rFonts w:ascii="Garamond" w:hAnsi="Garamond" w:cs="Arial"/>
          <w:sz w:val="24"/>
          <w:szCs w:val="24"/>
        </w:rPr>
        <w:t>ent</w:t>
      </w:r>
      <w:r w:rsidR="00D65CFD" w:rsidRPr="003A1174">
        <w:rPr>
          <w:rFonts w:ascii="Garamond" w:hAnsi="Garamond" w:cs="Arial"/>
          <w:sz w:val="24"/>
          <w:szCs w:val="24"/>
        </w:rPr>
        <w:t xml:space="preserve">idade </w:t>
      </w:r>
      <w:r w:rsidR="00792E40">
        <w:rPr>
          <w:rFonts w:ascii="Garamond" w:hAnsi="Garamond" w:cs="Arial"/>
          <w:sz w:val="24"/>
          <w:szCs w:val="24"/>
        </w:rPr>
        <w:t xml:space="preserve">responsável pela aplicação </w:t>
      </w:r>
      <w:r w:rsidR="00E85FE2" w:rsidRPr="003A1174">
        <w:rPr>
          <w:rFonts w:ascii="Garamond" w:hAnsi="Garamond" w:cs="Arial"/>
          <w:sz w:val="24"/>
          <w:szCs w:val="24"/>
        </w:rPr>
        <w:t xml:space="preserve">da </w:t>
      </w:r>
      <w:r w:rsidR="00D15AFF" w:rsidRPr="003A1174">
        <w:rPr>
          <w:rFonts w:ascii="Garamond" w:hAnsi="Garamond" w:cs="Arial"/>
          <w:sz w:val="24"/>
          <w:szCs w:val="24"/>
        </w:rPr>
        <w:t>Lei</w:t>
      </w:r>
      <w:r w:rsidR="00E85FE2" w:rsidRPr="003A1174">
        <w:rPr>
          <w:rFonts w:ascii="Garamond" w:hAnsi="Garamond" w:cs="Arial"/>
          <w:sz w:val="24"/>
          <w:szCs w:val="24"/>
        </w:rPr>
        <w:t xml:space="preserve"> Especial Integral para um</w:t>
      </w:r>
      <w:r w:rsidR="00AB405A" w:rsidRPr="003A1174">
        <w:rPr>
          <w:rFonts w:ascii="Garamond" w:hAnsi="Garamond" w:cs="Arial"/>
          <w:sz w:val="24"/>
          <w:szCs w:val="24"/>
        </w:rPr>
        <w:t xml:space="preserve">a Vida </w:t>
      </w:r>
      <w:r w:rsidR="00AF192F" w:rsidRPr="003A1174">
        <w:rPr>
          <w:rFonts w:ascii="Garamond" w:hAnsi="Garamond" w:cs="Arial"/>
          <w:sz w:val="24"/>
          <w:szCs w:val="24"/>
        </w:rPr>
        <w:t>Livre</w:t>
      </w:r>
      <w:r w:rsidR="00AB405A" w:rsidRPr="003A1174">
        <w:rPr>
          <w:rFonts w:ascii="Garamond" w:hAnsi="Garamond" w:cs="Arial"/>
          <w:sz w:val="24"/>
          <w:szCs w:val="24"/>
        </w:rPr>
        <w:t xml:space="preserve"> de </w:t>
      </w:r>
      <w:r w:rsidR="000350B1" w:rsidRPr="003A1174">
        <w:rPr>
          <w:rFonts w:ascii="Garamond" w:hAnsi="Garamond" w:cs="Arial"/>
          <w:sz w:val="24"/>
          <w:szCs w:val="24"/>
        </w:rPr>
        <w:t>Violência</w:t>
      </w:r>
      <w:r w:rsidR="00E85FE2" w:rsidRPr="003A1174">
        <w:rPr>
          <w:rFonts w:ascii="Garamond" w:hAnsi="Garamond" w:cs="Arial"/>
          <w:sz w:val="24"/>
          <w:szCs w:val="24"/>
        </w:rPr>
        <w:t xml:space="preserve"> para </w:t>
      </w:r>
      <w:r w:rsidR="00AB405A" w:rsidRPr="003A1174">
        <w:rPr>
          <w:rFonts w:ascii="Garamond" w:hAnsi="Garamond" w:cs="Arial"/>
          <w:sz w:val="24"/>
          <w:szCs w:val="24"/>
        </w:rPr>
        <w:t xml:space="preserve">as </w:t>
      </w:r>
      <w:r w:rsidR="00054EE0" w:rsidRPr="003A1174">
        <w:rPr>
          <w:rFonts w:ascii="Garamond" w:hAnsi="Garamond" w:cs="Arial"/>
          <w:sz w:val="24"/>
          <w:szCs w:val="24"/>
        </w:rPr>
        <w:t>Mulheres</w:t>
      </w:r>
      <w:r w:rsidR="00792E40">
        <w:rPr>
          <w:rFonts w:ascii="Garamond" w:hAnsi="Garamond" w:cs="Arial"/>
          <w:sz w:val="24"/>
          <w:szCs w:val="24"/>
        </w:rPr>
        <w:t xml:space="preserve"> e,</w:t>
      </w:r>
      <w:r w:rsidR="00A060D9" w:rsidRPr="003A1174">
        <w:rPr>
          <w:rFonts w:ascii="Garamond" w:hAnsi="Garamond" w:cs="Arial"/>
          <w:sz w:val="24"/>
          <w:szCs w:val="24"/>
        </w:rPr>
        <w:t xml:space="preserve"> </w:t>
      </w:r>
      <w:r w:rsidR="00AB405A" w:rsidRPr="003A1174">
        <w:rPr>
          <w:rFonts w:ascii="Garamond" w:hAnsi="Garamond" w:cs="Arial"/>
          <w:sz w:val="24"/>
          <w:szCs w:val="24"/>
        </w:rPr>
        <w:t>desde 2008</w:t>
      </w:r>
      <w:r w:rsidR="00792E40">
        <w:rPr>
          <w:rFonts w:ascii="Garamond" w:hAnsi="Garamond" w:cs="Arial"/>
          <w:sz w:val="24"/>
          <w:szCs w:val="24"/>
        </w:rPr>
        <w:t>,</w:t>
      </w:r>
      <w:r w:rsidR="00AB405A" w:rsidRPr="003A1174">
        <w:rPr>
          <w:rFonts w:ascii="Garamond" w:hAnsi="Garamond" w:cs="Arial"/>
          <w:sz w:val="24"/>
          <w:szCs w:val="24"/>
        </w:rPr>
        <w:t xml:space="preserve"> </w:t>
      </w:r>
      <w:r w:rsidR="00792E40">
        <w:rPr>
          <w:rFonts w:ascii="Garamond" w:hAnsi="Garamond" w:cs="Arial"/>
          <w:sz w:val="24"/>
          <w:szCs w:val="24"/>
        </w:rPr>
        <w:t xml:space="preserve">que </w:t>
      </w:r>
      <w:r w:rsidR="00E85FE2" w:rsidRPr="003A1174">
        <w:rPr>
          <w:rFonts w:ascii="Garamond" w:hAnsi="Garamond" w:cs="Arial"/>
          <w:sz w:val="24"/>
          <w:szCs w:val="24"/>
        </w:rPr>
        <w:t xml:space="preserve">tem </w:t>
      </w:r>
      <w:r w:rsidR="00792E40">
        <w:rPr>
          <w:rFonts w:ascii="Garamond" w:hAnsi="Garamond" w:cs="Arial"/>
          <w:sz w:val="24"/>
          <w:szCs w:val="24"/>
        </w:rPr>
        <w:t xml:space="preserve">vindo a </w:t>
      </w:r>
      <w:r w:rsidR="000A412B">
        <w:rPr>
          <w:rFonts w:ascii="Garamond" w:hAnsi="Garamond" w:cs="Arial"/>
          <w:sz w:val="24"/>
          <w:szCs w:val="24"/>
        </w:rPr>
        <w:t xml:space="preserve">apresentar </w:t>
      </w:r>
      <w:r w:rsidR="00862120" w:rsidRPr="003A1174">
        <w:rPr>
          <w:rFonts w:ascii="Garamond" w:hAnsi="Garamond" w:cs="Arial"/>
          <w:sz w:val="24"/>
          <w:szCs w:val="24"/>
        </w:rPr>
        <w:t xml:space="preserve">uma </w:t>
      </w:r>
      <w:r w:rsidR="003F012B" w:rsidRPr="003A1174">
        <w:rPr>
          <w:rFonts w:ascii="Garamond" w:hAnsi="Garamond" w:cs="Arial"/>
          <w:sz w:val="24"/>
          <w:szCs w:val="24"/>
        </w:rPr>
        <w:t>evolução</w:t>
      </w:r>
      <w:r w:rsidR="00AB405A" w:rsidRPr="003A1174">
        <w:rPr>
          <w:rFonts w:ascii="Garamond" w:hAnsi="Garamond" w:cs="Arial"/>
          <w:sz w:val="24"/>
          <w:szCs w:val="24"/>
        </w:rPr>
        <w:t xml:space="preserve"> </w:t>
      </w:r>
      <w:r w:rsidR="00862120" w:rsidRPr="003A1174">
        <w:rPr>
          <w:rFonts w:ascii="Garamond" w:hAnsi="Garamond" w:cs="Arial"/>
          <w:sz w:val="24"/>
          <w:szCs w:val="24"/>
        </w:rPr>
        <w:t>orçamental</w:t>
      </w:r>
      <w:r w:rsidR="00792E40">
        <w:rPr>
          <w:rFonts w:ascii="Garamond" w:hAnsi="Garamond" w:cs="Arial"/>
          <w:sz w:val="24"/>
          <w:szCs w:val="24"/>
        </w:rPr>
        <w:t xml:space="preserve">, com </w:t>
      </w:r>
      <w:r w:rsidR="00862120" w:rsidRPr="003A1174">
        <w:rPr>
          <w:rFonts w:ascii="Garamond" w:hAnsi="Garamond" w:cs="Arial"/>
          <w:sz w:val="24"/>
          <w:szCs w:val="24"/>
        </w:rPr>
        <w:t>um aumento de $2</w:t>
      </w:r>
      <w:r w:rsidR="000A412B">
        <w:rPr>
          <w:rFonts w:ascii="Garamond" w:hAnsi="Garamond" w:cs="Arial"/>
          <w:sz w:val="24"/>
          <w:szCs w:val="24"/>
        </w:rPr>
        <w:t xml:space="preserve"> </w:t>
      </w:r>
      <w:r w:rsidR="00862120" w:rsidRPr="003A1174">
        <w:rPr>
          <w:rFonts w:ascii="Garamond" w:hAnsi="Garamond" w:cs="Arial"/>
          <w:sz w:val="24"/>
          <w:szCs w:val="24"/>
        </w:rPr>
        <w:t>554</w:t>
      </w:r>
      <w:r w:rsidR="000A412B">
        <w:rPr>
          <w:rFonts w:ascii="Garamond" w:hAnsi="Garamond" w:cs="Arial"/>
          <w:sz w:val="24"/>
          <w:szCs w:val="24"/>
        </w:rPr>
        <w:t xml:space="preserve"> </w:t>
      </w:r>
      <w:r w:rsidR="00862120" w:rsidRPr="003A1174">
        <w:rPr>
          <w:rFonts w:ascii="Garamond" w:hAnsi="Garamond" w:cs="Arial"/>
          <w:sz w:val="24"/>
          <w:szCs w:val="24"/>
        </w:rPr>
        <w:t>815.00</w:t>
      </w:r>
      <w:r w:rsidR="000A412B">
        <w:rPr>
          <w:rFonts w:ascii="Garamond" w:hAnsi="Garamond" w:cs="Arial"/>
          <w:sz w:val="24"/>
          <w:szCs w:val="24"/>
        </w:rPr>
        <w:t>,</w:t>
      </w:r>
      <w:r w:rsidR="00862120" w:rsidRPr="003A1174">
        <w:rPr>
          <w:rFonts w:ascii="Garamond" w:hAnsi="Garamond" w:cs="Arial"/>
          <w:sz w:val="24"/>
          <w:szCs w:val="24"/>
        </w:rPr>
        <w:t xml:space="preserve"> </w:t>
      </w:r>
      <w:r w:rsidR="00AB405A" w:rsidRPr="003A1174">
        <w:rPr>
          <w:rFonts w:ascii="Garamond" w:hAnsi="Garamond" w:cs="Arial"/>
          <w:sz w:val="24"/>
          <w:szCs w:val="24"/>
        </w:rPr>
        <w:t>e</w:t>
      </w:r>
      <w:r w:rsidR="00862120" w:rsidRPr="003A1174">
        <w:rPr>
          <w:rFonts w:ascii="Garamond" w:hAnsi="Garamond" w:cs="Arial"/>
          <w:sz w:val="24"/>
          <w:szCs w:val="24"/>
        </w:rPr>
        <w:t>m</w:t>
      </w:r>
      <w:r w:rsidR="00AB405A" w:rsidRPr="003A1174">
        <w:rPr>
          <w:rFonts w:ascii="Garamond" w:hAnsi="Garamond" w:cs="Arial"/>
          <w:sz w:val="24"/>
          <w:szCs w:val="24"/>
        </w:rPr>
        <w:t xml:space="preserve"> 5 </w:t>
      </w:r>
      <w:r w:rsidR="002C7510" w:rsidRPr="003A1174">
        <w:rPr>
          <w:rFonts w:ascii="Garamond" w:hAnsi="Garamond" w:cs="Arial"/>
          <w:sz w:val="24"/>
          <w:szCs w:val="24"/>
        </w:rPr>
        <w:t>ano</w:t>
      </w:r>
      <w:r w:rsidR="00AB405A" w:rsidRPr="003A1174">
        <w:rPr>
          <w:rFonts w:ascii="Garamond" w:hAnsi="Garamond" w:cs="Arial"/>
          <w:sz w:val="24"/>
          <w:szCs w:val="24"/>
        </w:rPr>
        <w:t xml:space="preserve">s. </w:t>
      </w:r>
      <w:r w:rsidR="00862120" w:rsidRPr="003A1174">
        <w:rPr>
          <w:rFonts w:ascii="Garamond" w:hAnsi="Garamond" w:cs="Arial"/>
          <w:sz w:val="24"/>
          <w:szCs w:val="24"/>
        </w:rPr>
        <w:t xml:space="preserve">Do mesmo modo, o investimento em </w:t>
      </w:r>
      <w:r w:rsidR="002C7510" w:rsidRPr="003A1174">
        <w:rPr>
          <w:rFonts w:ascii="Garamond" w:hAnsi="Garamond" w:cs="Arial"/>
          <w:sz w:val="24"/>
          <w:szCs w:val="24"/>
        </w:rPr>
        <w:t>igualdade</w:t>
      </w:r>
      <w:r w:rsidR="00AB405A" w:rsidRPr="003A1174">
        <w:rPr>
          <w:rFonts w:ascii="Garamond" w:hAnsi="Garamond" w:cs="Arial"/>
          <w:sz w:val="24"/>
          <w:szCs w:val="24"/>
        </w:rPr>
        <w:t xml:space="preserve"> </w:t>
      </w:r>
      <w:r w:rsidR="00792E40">
        <w:rPr>
          <w:rFonts w:ascii="Garamond" w:hAnsi="Garamond" w:cs="Arial"/>
          <w:sz w:val="24"/>
          <w:szCs w:val="24"/>
        </w:rPr>
        <w:t xml:space="preserve">de género </w:t>
      </w:r>
      <w:r w:rsidR="00AB405A" w:rsidRPr="003A1174">
        <w:rPr>
          <w:rFonts w:ascii="Garamond" w:hAnsi="Garamond" w:cs="Arial"/>
          <w:sz w:val="24"/>
          <w:szCs w:val="24"/>
        </w:rPr>
        <w:t xml:space="preserve">que El Salvador está </w:t>
      </w:r>
      <w:r w:rsidR="00862120" w:rsidRPr="003A1174">
        <w:rPr>
          <w:rFonts w:ascii="Garamond" w:hAnsi="Garamond" w:cs="Arial"/>
          <w:sz w:val="24"/>
          <w:szCs w:val="24"/>
        </w:rPr>
        <w:t xml:space="preserve">a </w:t>
      </w:r>
      <w:r w:rsidR="00792E40">
        <w:rPr>
          <w:rFonts w:ascii="Garamond" w:hAnsi="Garamond" w:cs="Arial"/>
          <w:sz w:val="24"/>
          <w:szCs w:val="24"/>
        </w:rPr>
        <w:t>aplicar</w:t>
      </w:r>
      <w:r w:rsidR="000A412B">
        <w:rPr>
          <w:rFonts w:ascii="Garamond" w:hAnsi="Garamond" w:cs="Arial"/>
          <w:sz w:val="24"/>
          <w:szCs w:val="24"/>
        </w:rPr>
        <w:t>,</w:t>
      </w:r>
      <w:r w:rsidR="00792E40">
        <w:rPr>
          <w:rFonts w:ascii="Garamond" w:hAnsi="Garamond" w:cs="Arial"/>
          <w:sz w:val="24"/>
          <w:szCs w:val="24"/>
        </w:rPr>
        <w:t xml:space="preserve"> </w:t>
      </w:r>
      <w:r w:rsidR="00862120" w:rsidRPr="003A1174">
        <w:rPr>
          <w:rFonts w:ascii="Garamond" w:hAnsi="Garamond" w:cs="Arial"/>
          <w:sz w:val="24"/>
          <w:szCs w:val="24"/>
        </w:rPr>
        <w:t xml:space="preserve">ascende </w:t>
      </w:r>
      <w:r w:rsidR="00792E40">
        <w:rPr>
          <w:rFonts w:ascii="Garamond" w:hAnsi="Garamond" w:cs="Arial"/>
          <w:sz w:val="24"/>
          <w:szCs w:val="24"/>
        </w:rPr>
        <w:t>a</w:t>
      </w:r>
      <w:r w:rsidR="00A060D9" w:rsidRPr="003A1174">
        <w:rPr>
          <w:rFonts w:ascii="Garamond" w:hAnsi="Garamond" w:cs="Arial"/>
          <w:sz w:val="24"/>
          <w:szCs w:val="24"/>
        </w:rPr>
        <w:t>os</w:t>
      </w:r>
      <w:r w:rsidR="00AB405A" w:rsidRPr="003A1174">
        <w:rPr>
          <w:rFonts w:ascii="Garamond" w:hAnsi="Garamond" w:cs="Arial"/>
          <w:sz w:val="24"/>
          <w:szCs w:val="24"/>
        </w:rPr>
        <w:t xml:space="preserve"> 12 184</w:t>
      </w:r>
      <w:r w:rsidR="00792E40">
        <w:rPr>
          <w:rFonts w:ascii="Garamond" w:hAnsi="Garamond" w:cs="Arial"/>
          <w:sz w:val="24"/>
          <w:szCs w:val="24"/>
        </w:rPr>
        <w:t xml:space="preserve"> </w:t>
      </w:r>
      <w:r w:rsidR="00AB405A" w:rsidRPr="003A1174">
        <w:rPr>
          <w:rFonts w:ascii="Garamond" w:hAnsi="Garamond" w:cs="Arial"/>
          <w:sz w:val="24"/>
          <w:szCs w:val="24"/>
        </w:rPr>
        <w:t>000.00</w:t>
      </w:r>
      <w:r w:rsidR="00A060D9" w:rsidRPr="003A1174">
        <w:rPr>
          <w:rFonts w:ascii="Garamond" w:hAnsi="Garamond" w:cs="Arial"/>
          <w:sz w:val="24"/>
          <w:szCs w:val="24"/>
        </w:rPr>
        <w:t>,</w:t>
      </w:r>
      <w:r w:rsidR="00AB405A" w:rsidRPr="003A1174">
        <w:rPr>
          <w:rFonts w:ascii="Garamond" w:hAnsi="Garamond" w:cs="Arial"/>
          <w:sz w:val="24"/>
          <w:szCs w:val="24"/>
        </w:rPr>
        <w:t xml:space="preserve"> </w:t>
      </w:r>
      <w:r w:rsidR="00152A44" w:rsidRPr="003A1174">
        <w:rPr>
          <w:rFonts w:ascii="Garamond" w:hAnsi="Garamond" w:cs="Arial"/>
          <w:sz w:val="24"/>
          <w:szCs w:val="24"/>
        </w:rPr>
        <w:t>inclui</w:t>
      </w:r>
      <w:r w:rsidR="00AB405A" w:rsidRPr="003A1174">
        <w:rPr>
          <w:rFonts w:ascii="Garamond" w:hAnsi="Garamond" w:cs="Arial"/>
          <w:sz w:val="24"/>
          <w:szCs w:val="24"/>
        </w:rPr>
        <w:t xml:space="preserve">ndo </w:t>
      </w:r>
      <w:r w:rsidR="00862120" w:rsidRPr="003A1174">
        <w:rPr>
          <w:rFonts w:ascii="Garamond" w:hAnsi="Garamond" w:cs="Arial"/>
          <w:sz w:val="24"/>
          <w:szCs w:val="24"/>
        </w:rPr>
        <w:t xml:space="preserve">o </w:t>
      </w:r>
      <w:r w:rsidR="00C30647" w:rsidRPr="003A1174">
        <w:rPr>
          <w:rFonts w:ascii="Garamond" w:hAnsi="Garamond" w:cs="Arial"/>
          <w:sz w:val="24"/>
          <w:szCs w:val="24"/>
        </w:rPr>
        <w:t>projeto</w:t>
      </w:r>
      <w:r w:rsidR="00AB405A" w:rsidRPr="003A1174">
        <w:rPr>
          <w:rFonts w:ascii="Garamond" w:hAnsi="Garamond" w:cs="Arial"/>
          <w:sz w:val="24"/>
          <w:szCs w:val="24"/>
        </w:rPr>
        <w:t xml:space="preserve"> de </w:t>
      </w:r>
      <w:r w:rsidR="00C90370" w:rsidRPr="003A1174">
        <w:rPr>
          <w:rFonts w:ascii="Garamond" w:hAnsi="Garamond" w:cs="Arial"/>
          <w:sz w:val="24"/>
          <w:szCs w:val="24"/>
        </w:rPr>
        <w:t>Cidade</w:t>
      </w:r>
      <w:r w:rsidR="00AB405A" w:rsidRPr="003A1174">
        <w:rPr>
          <w:rFonts w:ascii="Garamond" w:hAnsi="Garamond" w:cs="Arial"/>
          <w:sz w:val="24"/>
          <w:szCs w:val="24"/>
        </w:rPr>
        <w:t xml:space="preserve"> </w:t>
      </w:r>
      <w:r w:rsidR="00AF192F" w:rsidRPr="003A1174">
        <w:rPr>
          <w:rFonts w:ascii="Garamond" w:hAnsi="Garamond" w:cs="Arial"/>
          <w:sz w:val="24"/>
          <w:szCs w:val="24"/>
        </w:rPr>
        <w:t>Mulher</w:t>
      </w:r>
      <w:r w:rsidR="00AB405A" w:rsidRPr="003A1174">
        <w:rPr>
          <w:rFonts w:ascii="Garamond" w:hAnsi="Garamond" w:cs="Arial"/>
          <w:sz w:val="24"/>
          <w:szCs w:val="24"/>
        </w:rPr>
        <w:t xml:space="preserve">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006A293D" w:rsidRPr="003A1174">
        <w:rPr>
          <w:rFonts w:ascii="Garamond" w:hAnsi="Garamond" w:cs="Arial"/>
          <w:sz w:val="24"/>
          <w:szCs w:val="24"/>
        </w:rPr>
        <w:t>sem</w:t>
      </w:r>
      <w:r w:rsidR="00AB405A" w:rsidRPr="003A1174">
        <w:rPr>
          <w:rFonts w:ascii="Garamond" w:hAnsi="Garamond" w:cs="Arial"/>
          <w:sz w:val="24"/>
          <w:szCs w:val="24"/>
        </w:rPr>
        <w:t xml:space="preserve"> contar </w:t>
      </w:r>
      <w:r w:rsidR="00862120" w:rsidRPr="003A1174">
        <w:rPr>
          <w:rFonts w:ascii="Garamond" w:hAnsi="Garamond" w:cs="Arial"/>
          <w:sz w:val="24"/>
          <w:szCs w:val="24"/>
        </w:rPr>
        <w:t xml:space="preserve">com a </w:t>
      </w:r>
      <w:r w:rsidR="00792E40">
        <w:rPr>
          <w:rFonts w:ascii="Garamond" w:hAnsi="Garamond" w:cs="Arial"/>
          <w:sz w:val="24"/>
          <w:szCs w:val="24"/>
        </w:rPr>
        <w:t xml:space="preserve">contribuição </w:t>
      </w:r>
      <w:r w:rsidR="00862120" w:rsidRPr="003A1174">
        <w:rPr>
          <w:rFonts w:ascii="Garamond" w:hAnsi="Garamond" w:cs="Arial"/>
          <w:sz w:val="24"/>
          <w:szCs w:val="24"/>
        </w:rPr>
        <w:t>orçamental</w:t>
      </w:r>
      <w:r w:rsidR="000A412B">
        <w:rPr>
          <w:rFonts w:ascii="Garamond" w:hAnsi="Garamond" w:cs="Arial"/>
          <w:sz w:val="24"/>
          <w:szCs w:val="24"/>
        </w:rPr>
        <w:t>,</w:t>
      </w:r>
      <w:r w:rsidR="00862120" w:rsidRPr="003A1174">
        <w:rPr>
          <w:rFonts w:ascii="Garamond" w:hAnsi="Garamond" w:cs="Arial"/>
          <w:sz w:val="24"/>
          <w:szCs w:val="24"/>
        </w:rPr>
        <w:t xml:space="preserve"> </w:t>
      </w:r>
      <w:r w:rsidR="000A412B">
        <w:rPr>
          <w:rFonts w:ascii="Garamond" w:hAnsi="Garamond" w:cs="Arial"/>
          <w:sz w:val="24"/>
          <w:szCs w:val="24"/>
        </w:rPr>
        <w:t xml:space="preserve">de </w:t>
      </w:r>
      <w:r w:rsidR="00AB405A" w:rsidRPr="003A1174">
        <w:rPr>
          <w:rFonts w:ascii="Garamond" w:hAnsi="Garamond" w:cs="Arial"/>
          <w:sz w:val="24"/>
          <w:szCs w:val="24"/>
        </w:rPr>
        <w:t xml:space="preserve">cada </w:t>
      </w:r>
      <w:r w:rsidR="00792E40">
        <w:rPr>
          <w:rFonts w:ascii="Garamond" w:hAnsi="Garamond" w:cs="Arial"/>
          <w:sz w:val="24"/>
          <w:szCs w:val="24"/>
        </w:rPr>
        <w:t>m</w:t>
      </w:r>
      <w:r w:rsidR="00D77C19" w:rsidRPr="003A1174">
        <w:rPr>
          <w:rFonts w:ascii="Garamond" w:hAnsi="Garamond" w:cs="Arial"/>
          <w:sz w:val="24"/>
          <w:szCs w:val="24"/>
        </w:rPr>
        <w:t>inistério</w:t>
      </w:r>
      <w:r w:rsidR="000A412B">
        <w:rPr>
          <w:rFonts w:ascii="Garamond" w:hAnsi="Garamond" w:cs="Arial"/>
          <w:sz w:val="24"/>
          <w:szCs w:val="24"/>
        </w:rPr>
        <w:t xml:space="preserve">, </w:t>
      </w:r>
      <w:r w:rsidR="00862120" w:rsidRPr="003A1174">
        <w:rPr>
          <w:rFonts w:ascii="Garamond" w:hAnsi="Garamond" w:cs="Arial"/>
          <w:sz w:val="24"/>
          <w:szCs w:val="24"/>
        </w:rPr>
        <w:t xml:space="preserve">para </w:t>
      </w:r>
      <w:r w:rsidR="00AB405A" w:rsidRPr="003A1174">
        <w:rPr>
          <w:rFonts w:ascii="Garamond" w:hAnsi="Garamond" w:cs="Arial"/>
          <w:sz w:val="24"/>
          <w:szCs w:val="24"/>
        </w:rPr>
        <w:t xml:space="preserve">a </w:t>
      </w:r>
      <w:r w:rsidR="002F5CD1" w:rsidRPr="003A1174">
        <w:rPr>
          <w:rFonts w:ascii="Garamond" w:hAnsi="Garamond" w:cs="Arial"/>
          <w:sz w:val="24"/>
          <w:szCs w:val="24"/>
        </w:rPr>
        <w:t>promoção</w:t>
      </w:r>
      <w:r w:rsidR="00AB405A" w:rsidRPr="003A1174">
        <w:rPr>
          <w:rFonts w:ascii="Garamond" w:hAnsi="Garamond" w:cs="Arial"/>
          <w:sz w:val="24"/>
          <w:szCs w:val="24"/>
        </w:rPr>
        <w:t xml:space="preserve"> da </w:t>
      </w:r>
      <w:r w:rsidR="002C7510" w:rsidRPr="003A1174">
        <w:rPr>
          <w:rFonts w:ascii="Garamond" w:hAnsi="Garamond" w:cs="Arial"/>
          <w:sz w:val="24"/>
          <w:szCs w:val="24"/>
        </w:rPr>
        <w:t>igualdade</w:t>
      </w:r>
      <w:r w:rsidR="00AB405A" w:rsidRPr="003A1174">
        <w:rPr>
          <w:rFonts w:ascii="Garamond" w:hAnsi="Garamond" w:cs="Arial"/>
          <w:sz w:val="24"/>
          <w:szCs w:val="24"/>
        </w:rPr>
        <w:t>.</w:t>
      </w:r>
    </w:p>
    <w:p w:rsidR="00AB405A" w:rsidRPr="003A1174" w:rsidRDefault="00CF5971" w:rsidP="008719D4">
      <w:pPr>
        <w:pStyle w:val="Ttulo3"/>
        <w:spacing w:line="240" w:lineRule="auto"/>
        <w:rPr>
          <w:rFonts w:ascii="Garamond" w:hAnsi="Garamond"/>
          <w:w w:val="92"/>
          <w:sz w:val="24"/>
          <w:szCs w:val="24"/>
          <w:shd w:val="clear" w:color="auto" w:fill="FEFFFF"/>
          <w:lang w:eastAsia="es-CR" w:bidi="he-IL"/>
        </w:rPr>
      </w:pPr>
      <w:bookmarkStart w:id="76" w:name="_Toc421529763"/>
      <w:r w:rsidRPr="003A1174">
        <w:rPr>
          <w:rFonts w:ascii="Garamond" w:hAnsi="Garamond"/>
          <w:w w:val="92"/>
          <w:sz w:val="24"/>
          <w:szCs w:val="24"/>
          <w:shd w:val="clear" w:color="auto" w:fill="FEFFFF"/>
          <w:lang w:eastAsia="es-CR" w:bidi="he-IL"/>
        </w:rPr>
        <w:t>Honduras</w:t>
      </w:r>
      <w:bookmarkEnd w:id="76"/>
    </w:p>
    <w:p w:rsidR="00AB405A" w:rsidRPr="003A1174" w:rsidRDefault="000A412B" w:rsidP="008719D4">
      <w:pPr>
        <w:shd w:val="clear" w:color="auto" w:fill="FFFFFF"/>
        <w:spacing w:before="240" w:after="0" w:line="240" w:lineRule="auto"/>
        <w:jc w:val="both"/>
        <w:rPr>
          <w:rFonts w:ascii="Garamond" w:eastAsia="Times New Roman" w:hAnsi="Garamond" w:cs="Arial"/>
          <w:color w:val="000000" w:themeColor="text1"/>
          <w:sz w:val="24"/>
          <w:szCs w:val="24"/>
          <w:lang w:eastAsia="es-HN"/>
        </w:rPr>
      </w:pPr>
      <w:r>
        <w:rPr>
          <w:rFonts w:ascii="Garamond" w:eastAsia="Times New Roman" w:hAnsi="Garamond" w:cs="Arial"/>
          <w:color w:val="000000" w:themeColor="text1"/>
          <w:sz w:val="24"/>
          <w:szCs w:val="24"/>
          <w:lang w:eastAsia="es-HN"/>
        </w:rPr>
        <w:t xml:space="preserve">Nas Honduras, </w:t>
      </w:r>
      <w:r w:rsidR="00862120" w:rsidRPr="003A1174">
        <w:rPr>
          <w:rFonts w:ascii="Garamond" w:eastAsia="Times New Roman" w:hAnsi="Garamond" w:cs="Arial"/>
          <w:color w:val="000000" w:themeColor="text1"/>
          <w:sz w:val="24"/>
          <w:szCs w:val="24"/>
          <w:lang w:eastAsia="es-HN"/>
        </w:rPr>
        <w:t>n</w:t>
      </w:r>
      <w:r w:rsidR="00AB405A" w:rsidRPr="003A1174">
        <w:rPr>
          <w:rFonts w:ascii="Garamond" w:eastAsia="Times New Roman" w:hAnsi="Garamond" w:cs="Arial"/>
          <w:color w:val="000000" w:themeColor="text1"/>
          <w:sz w:val="24"/>
          <w:szCs w:val="24"/>
          <w:lang w:eastAsia="es-HN"/>
        </w:rPr>
        <w:t xml:space="preserve">a </w:t>
      </w:r>
      <w:r w:rsidR="005D38DC" w:rsidRPr="003A1174">
        <w:rPr>
          <w:rFonts w:ascii="Garamond" w:eastAsia="Times New Roman" w:hAnsi="Garamond" w:cs="Arial"/>
          <w:color w:val="000000" w:themeColor="text1"/>
          <w:sz w:val="24"/>
          <w:szCs w:val="24"/>
          <w:lang w:eastAsia="es-HN"/>
        </w:rPr>
        <w:t>apresentação</w:t>
      </w:r>
      <w:r w:rsidR="00AB405A" w:rsidRPr="003A1174">
        <w:rPr>
          <w:rFonts w:ascii="Garamond" w:eastAsia="Times New Roman" w:hAnsi="Garamond" w:cs="Arial"/>
          <w:color w:val="000000" w:themeColor="text1"/>
          <w:sz w:val="24"/>
          <w:szCs w:val="24"/>
          <w:lang w:eastAsia="es-HN"/>
        </w:rPr>
        <w:t xml:space="preserve"> </w:t>
      </w:r>
      <w:r w:rsidR="00E85E59" w:rsidRPr="003A1174">
        <w:rPr>
          <w:rFonts w:ascii="Garamond" w:eastAsia="Times New Roman" w:hAnsi="Garamond" w:cs="Arial"/>
          <w:color w:val="000000" w:themeColor="text1"/>
          <w:sz w:val="24"/>
          <w:szCs w:val="24"/>
          <w:lang w:eastAsia="es-HN"/>
        </w:rPr>
        <w:t>do</w:t>
      </w:r>
      <w:r w:rsidR="00AB405A" w:rsidRPr="003A1174">
        <w:rPr>
          <w:rFonts w:ascii="Garamond" w:eastAsia="Times New Roman" w:hAnsi="Garamond" w:cs="Arial"/>
          <w:color w:val="000000" w:themeColor="text1"/>
          <w:sz w:val="24"/>
          <w:szCs w:val="24"/>
          <w:lang w:eastAsia="es-HN"/>
        </w:rPr>
        <w:t xml:space="preserve"> </w:t>
      </w:r>
      <w:r w:rsidR="003F012B" w:rsidRPr="003A1174">
        <w:rPr>
          <w:rFonts w:ascii="Garamond" w:eastAsia="Times New Roman" w:hAnsi="Garamond" w:cs="Arial"/>
          <w:color w:val="000000" w:themeColor="text1"/>
          <w:sz w:val="24"/>
          <w:szCs w:val="24"/>
          <w:lang w:eastAsia="es-HN"/>
        </w:rPr>
        <w:t>estudo</w:t>
      </w:r>
      <w:r w:rsidR="00AB405A" w:rsidRPr="003A1174">
        <w:rPr>
          <w:rFonts w:ascii="Garamond" w:eastAsia="Times New Roman" w:hAnsi="Garamond" w:cs="Arial"/>
          <w:color w:val="000000" w:themeColor="text1"/>
          <w:sz w:val="24"/>
          <w:szCs w:val="24"/>
          <w:lang w:eastAsia="es-HN"/>
        </w:rPr>
        <w:t xml:space="preserve">: </w:t>
      </w:r>
      <w:r>
        <w:rPr>
          <w:rFonts w:ascii="Garamond" w:eastAsia="Times New Roman" w:hAnsi="Garamond" w:cs="Arial"/>
          <w:color w:val="000000" w:themeColor="text1"/>
          <w:sz w:val="24"/>
          <w:szCs w:val="24"/>
          <w:lang w:eastAsia="es-HN"/>
        </w:rPr>
        <w:t>«</w:t>
      </w:r>
      <w:r w:rsidR="00862120" w:rsidRPr="003A1174">
        <w:rPr>
          <w:rFonts w:ascii="Garamond" w:eastAsia="Times New Roman" w:hAnsi="Garamond" w:cs="Arial"/>
          <w:color w:val="000000" w:themeColor="text1"/>
          <w:sz w:val="24"/>
          <w:szCs w:val="24"/>
          <w:lang w:eastAsia="es-HN"/>
        </w:rPr>
        <w:t>A</w:t>
      </w:r>
      <w:r w:rsidR="00AB405A" w:rsidRPr="003A1174">
        <w:rPr>
          <w:rFonts w:ascii="Garamond" w:eastAsia="Times New Roman" w:hAnsi="Garamond" w:cs="Arial"/>
          <w:color w:val="000000" w:themeColor="text1"/>
          <w:sz w:val="24"/>
          <w:szCs w:val="24"/>
          <w:lang w:eastAsia="es-HN"/>
        </w:rPr>
        <w:t xml:space="preserve">s </w:t>
      </w:r>
      <w:r w:rsidR="00054EE0" w:rsidRPr="003A1174">
        <w:rPr>
          <w:rFonts w:ascii="Garamond" w:eastAsia="Times New Roman" w:hAnsi="Garamond" w:cs="Arial"/>
          <w:color w:val="000000" w:themeColor="text1"/>
          <w:sz w:val="24"/>
          <w:szCs w:val="24"/>
          <w:lang w:eastAsia="es-HN"/>
        </w:rPr>
        <w:t>Mulheres</w:t>
      </w:r>
      <w:r w:rsidR="00AB405A" w:rsidRPr="003A1174">
        <w:rPr>
          <w:rFonts w:ascii="Garamond" w:eastAsia="Times New Roman" w:hAnsi="Garamond" w:cs="Arial"/>
          <w:color w:val="000000" w:themeColor="text1"/>
          <w:sz w:val="24"/>
          <w:szCs w:val="24"/>
          <w:lang w:eastAsia="es-HN"/>
        </w:rPr>
        <w:t xml:space="preserve"> conta</w:t>
      </w:r>
      <w:r w:rsidR="00862120" w:rsidRPr="003A1174">
        <w:rPr>
          <w:rFonts w:ascii="Garamond" w:eastAsia="Times New Roman" w:hAnsi="Garamond" w:cs="Arial"/>
          <w:color w:val="000000" w:themeColor="text1"/>
          <w:sz w:val="24"/>
          <w:szCs w:val="24"/>
          <w:lang w:eastAsia="es-HN"/>
        </w:rPr>
        <w:t xml:space="preserve">m no </w:t>
      </w:r>
      <w:r w:rsidR="00946348" w:rsidRPr="003A1174">
        <w:rPr>
          <w:rFonts w:ascii="Garamond" w:eastAsia="Times New Roman" w:hAnsi="Garamond" w:cs="Arial"/>
          <w:color w:val="000000" w:themeColor="text1"/>
          <w:sz w:val="24"/>
          <w:szCs w:val="24"/>
          <w:lang w:eastAsia="es-HN"/>
        </w:rPr>
        <w:t>orçamento</w:t>
      </w:r>
      <w:r w:rsidR="00AB405A" w:rsidRPr="003A1174">
        <w:rPr>
          <w:rFonts w:ascii="Garamond" w:eastAsia="Times New Roman" w:hAnsi="Garamond" w:cs="Arial"/>
          <w:color w:val="000000" w:themeColor="text1"/>
          <w:sz w:val="24"/>
          <w:szCs w:val="24"/>
          <w:lang w:eastAsia="es-HN"/>
        </w:rPr>
        <w:t xml:space="preserve">. </w:t>
      </w:r>
      <w:r w:rsidR="0017447A" w:rsidRPr="003A1174">
        <w:rPr>
          <w:rFonts w:ascii="Garamond" w:eastAsia="Times New Roman" w:hAnsi="Garamond" w:cs="Arial"/>
          <w:color w:val="000000" w:themeColor="text1"/>
          <w:sz w:val="24"/>
          <w:szCs w:val="24"/>
          <w:lang w:eastAsia="es-HN"/>
        </w:rPr>
        <w:t>Análise</w:t>
      </w:r>
      <w:r w:rsidR="00AB405A" w:rsidRPr="003A1174">
        <w:rPr>
          <w:rFonts w:ascii="Garamond" w:eastAsia="Times New Roman" w:hAnsi="Garamond" w:cs="Arial"/>
          <w:color w:val="000000" w:themeColor="text1"/>
          <w:sz w:val="24"/>
          <w:szCs w:val="24"/>
          <w:lang w:eastAsia="es-HN"/>
        </w:rPr>
        <w:t xml:space="preserve"> </w:t>
      </w:r>
      <w:r w:rsidR="00A817BC">
        <w:rPr>
          <w:rFonts w:ascii="Garamond" w:eastAsia="Times New Roman" w:hAnsi="Garamond" w:cs="Arial"/>
          <w:color w:val="000000" w:themeColor="text1"/>
          <w:sz w:val="24"/>
          <w:szCs w:val="24"/>
          <w:lang w:eastAsia="es-HN"/>
        </w:rPr>
        <w:t xml:space="preserve">caracterizada </w:t>
      </w:r>
      <w:r w:rsidR="00862120" w:rsidRPr="003A1174">
        <w:rPr>
          <w:rFonts w:ascii="Garamond" w:eastAsia="Times New Roman" w:hAnsi="Garamond" w:cs="Arial"/>
          <w:color w:val="000000" w:themeColor="text1"/>
          <w:sz w:val="24"/>
          <w:szCs w:val="24"/>
          <w:lang w:eastAsia="es-HN"/>
        </w:rPr>
        <w:t xml:space="preserve">em </w:t>
      </w:r>
      <w:r w:rsidR="00AB405A" w:rsidRPr="003A1174">
        <w:rPr>
          <w:rFonts w:ascii="Garamond" w:eastAsia="Times New Roman" w:hAnsi="Garamond" w:cs="Arial"/>
          <w:color w:val="000000" w:themeColor="text1"/>
          <w:sz w:val="24"/>
          <w:szCs w:val="24"/>
          <w:lang w:eastAsia="es-HN"/>
        </w:rPr>
        <w:t>Género</w:t>
      </w:r>
      <w:r>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que </w:t>
      </w:r>
      <w:r w:rsidR="00862120" w:rsidRPr="003A1174">
        <w:rPr>
          <w:rFonts w:ascii="Garamond" w:eastAsia="Times New Roman" w:hAnsi="Garamond" w:cs="Arial"/>
          <w:color w:val="000000" w:themeColor="text1"/>
          <w:sz w:val="24"/>
          <w:szCs w:val="24"/>
          <w:lang w:eastAsia="es-HN"/>
        </w:rPr>
        <w:t xml:space="preserve">o Centro de Estudo para a Democracia – CESPAD </w:t>
      </w:r>
      <w:r>
        <w:rPr>
          <w:rFonts w:ascii="Garamond" w:eastAsia="Times New Roman" w:hAnsi="Garamond" w:cs="Arial"/>
          <w:color w:val="000000" w:themeColor="text1"/>
          <w:sz w:val="24"/>
          <w:szCs w:val="24"/>
          <w:lang w:eastAsia="es-HN"/>
        </w:rPr>
        <w:t>–</w:t>
      </w:r>
      <w:r w:rsidR="00862120" w:rsidRPr="003A1174">
        <w:rPr>
          <w:rFonts w:ascii="Garamond" w:eastAsia="Times New Roman" w:hAnsi="Garamond" w:cs="Arial"/>
          <w:color w:val="000000" w:themeColor="text1"/>
          <w:sz w:val="24"/>
          <w:szCs w:val="24"/>
          <w:lang w:eastAsia="es-HN"/>
        </w:rPr>
        <w:t xml:space="preserve"> </w:t>
      </w:r>
      <w:r w:rsidR="00D75A07" w:rsidRPr="003A1174">
        <w:rPr>
          <w:rFonts w:ascii="Garamond" w:eastAsia="Times New Roman" w:hAnsi="Garamond" w:cs="Arial"/>
          <w:color w:val="000000" w:themeColor="text1"/>
          <w:sz w:val="24"/>
          <w:szCs w:val="24"/>
          <w:lang w:eastAsia="es-HN"/>
        </w:rPr>
        <w:t>realizou</w:t>
      </w:r>
      <w:r w:rsidR="00A817BC">
        <w:rPr>
          <w:rFonts w:ascii="Garamond" w:eastAsia="Times New Roman" w:hAnsi="Garamond" w:cs="Arial"/>
          <w:color w:val="000000" w:themeColor="text1"/>
          <w:sz w:val="24"/>
          <w:szCs w:val="24"/>
          <w:lang w:eastAsia="es-HN"/>
        </w:rPr>
        <w:t>,</w:t>
      </w:r>
      <w:r>
        <w:rPr>
          <w:rFonts w:ascii="Garamond" w:eastAsia="Times New Roman" w:hAnsi="Garamond" w:cs="Arial"/>
          <w:color w:val="000000" w:themeColor="text1"/>
          <w:sz w:val="24"/>
          <w:szCs w:val="24"/>
          <w:lang w:eastAsia="es-HN"/>
        </w:rPr>
        <w:t xml:space="preserve"> recentemente</w:t>
      </w:r>
      <w:r w:rsidR="00A060D9" w:rsidRPr="003A1174">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percebe-</w:t>
      </w:r>
      <w:r w:rsidR="00AB405A" w:rsidRPr="003A1174">
        <w:rPr>
          <w:rFonts w:ascii="Garamond" w:eastAsia="Times New Roman" w:hAnsi="Garamond" w:cs="Arial"/>
          <w:color w:val="000000" w:themeColor="text1"/>
          <w:sz w:val="24"/>
          <w:szCs w:val="24"/>
          <w:lang w:eastAsia="es-HN"/>
        </w:rPr>
        <w:t>se que</w:t>
      </w:r>
      <w:r w:rsidR="00A4048F">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w:t>
      </w:r>
      <w:r w:rsidR="00A817BC">
        <w:rPr>
          <w:rFonts w:ascii="Garamond" w:eastAsia="Times New Roman" w:hAnsi="Garamond" w:cs="Arial"/>
          <w:color w:val="000000" w:themeColor="text1"/>
          <w:sz w:val="24"/>
          <w:szCs w:val="24"/>
          <w:lang w:eastAsia="es-HN"/>
        </w:rPr>
        <w:t xml:space="preserve">de entre </w:t>
      </w:r>
      <w:r w:rsidR="00AB405A" w:rsidRPr="003A1174">
        <w:rPr>
          <w:rFonts w:ascii="Garamond" w:eastAsia="Times New Roman" w:hAnsi="Garamond" w:cs="Arial"/>
          <w:color w:val="000000" w:themeColor="text1"/>
          <w:sz w:val="24"/>
          <w:szCs w:val="24"/>
          <w:lang w:eastAsia="es-HN"/>
        </w:rPr>
        <w:t>a</w:t>
      </w:r>
      <w:r w:rsidR="00A817BC">
        <w:rPr>
          <w:rFonts w:ascii="Garamond" w:eastAsia="Times New Roman" w:hAnsi="Garamond" w:cs="Arial"/>
          <w:color w:val="000000" w:themeColor="text1"/>
          <w:sz w:val="24"/>
          <w:szCs w:val="24"/>
          <w:lang w:eastAsia="es-HN"/>
        </w:rPr>
        <w:t>s</w:t>
      </w:r>
      <w:r w:rsidR="00AB405A" w:rsidRPr="003A1174">
        <w:rPr>
          <w:rFonts w:ascii="Garamond" w:eastAsia="Times New Roman" w:hAnsi="Garamond" w:cs="Arial"/>
          <w:color w:val="000000" w:themeColor="text1"/>
          <w:sz w:val="24"/>
          <w:szCs w:val="24"/>
          <w:lang w:eastAsia="es-HN"/>
        </w:rPr>
        <w:t xml:space="preserve"> </w:t>
      </w:r>
      <w:r w:rsidR="001128A0" w:rsidRPr="003A1174">
        <w:rPr>
          <w:rFonts w:ascii="Garamond" w:eastAsia="Times New Roman" w:hAnsi="Garamond" w:cs="Arial"/>
          <w:color w:val="000000" w:themeColor="text1"/>
          <w:sz w:val="24"/>
          <w:szCs w:val="24"/>
          <w:lang w:eastAsia="es-HN"/>
        </w:rPr>
        <w:t>instituiç</w:t>
      </w:r>
      <w:r w:rsidR="001128A0">
        <w:rPr>
          <w:rFonts w:ascii="Garamond" w:eastAsia="Times New Roman" w:hAnsi="Garamond" w:cs="Arial"/>
          <w:color w:val="000000" w:themeColor="text1"/>
          <w:sz w:val="24"/>
          <w:szCs w:val="24"/>
          <w:lang w:eastAsia="es-HN"/>
        </w:rPr>
        <w:t>ões</w:t>
      </w:r>
      <w:r w:rsidR="00862120" w:rsidRPr="003A1174">
        <w:rPr>
          <w:rFonts w:ascii="Garamond" w:eastAsia="Times New Roman" w:hAnsi="Garamond" w:cs="Arial"/>
          <w:color w:val="000000" w:themeColor="text1"/>
          <w:sz w:val="24"/>
          <w:szCs w:val="24"/>
          <w:lang w:eastAsia="es-HN"/>
        </w:rPr>
        <w:t xml:space="preserve"> estata</w:t>
      </w:r>
      <w:r w:rsidR="00A817BC">
        <w:rPr>
          <w:rFonts w:ascii="Garamond" w:eastAsia="Times New Roman" w:hAnsi="Garamond" w:cs="Arial"/>
          <w:color w:val="000000" w:themeColor="text1"/>
          <w:sz w:val="24"/>
          <w:szCs w:val="24"/>
          <w:lang w:eastAsia="es-HN"/>
        </w:rPr>
        <w:t>is</w:t>
      </w:r>
      <w:r w:rsidR="00862120" w:rsidRPr="003A1174">
        <w:rPr>
          <w:rFonts w:ascii="Garamond" w:eastAsia="Times New Roman" w:hAnsi="Garamond" w:cs="Arial"/>
          <w:color w:val="000000" w:themeColor="text1"/>
          <w:sz w:val="24"/>
          <w:szCs w:val="24"/>
          <w:lang w:eastAsia="es-HN"/>
        </w:rPr>
        <w:t xml:space="preserve">, </w:t>
      </w:r>
      <w:r w:rsidR="00AB405A" w:rsidRPr="003A1174">
        <w:rPr>
          <w:rFonts w:ascii="Garamond" w:eastAsia="Times New Roman" w:hAnsi="Garamond" w:cs="Arial"/>
          <w:color w:val="000000" w:themeColor="text1"/>
          <w:sz w:val="24"/>
          <w:szCs w:val="24"/>
          <w:lang w:eastAsia="es-HN"/>
        </w:rPr>
        <w:t xml:space="preserve">a </w:t>
      </w:r>
      <w:r w:rsidR="00D75A07" w:rsidRPr="003A1174">
        <w:rPr>
          <w:rFonts w:ascii="Garamond" w:eastAsia="Times New Roman" w:hAnsi="Garamond" w:cs="Arial"/>
          <w:color w:val="000000" w:themeColor="text1"/>
          <w:sz w:val="24"/>
          <w:szCs w:val="24"/>
          <w:lang w:eastAsia="es-HN"/>
        </w:rPr>
        <w:t>Secretaria</w:t>
      </w:r>
      <w:r w:rsidR="00AB405A" w:rsidRPr="003A1174">
        <w:rPr>
          <w:rFonts w:ascii="Garamond" w:eastAsia="Times New Roman" w:hAnsi="Garamond" w:cs="Arial"/>
          <w:color w:val="000000" w:themeColor="text1"/>
          <w:sz w:val="24"/>
          <w:szCs w:val="24"/>
          <w:lang w:eastAsia="es-HN"/>
        </w:rPr>
        <w:t xml:space="preserve"> de </w:t>
      </w:r>
      <w:r w:rsidR="00D15AFF" w:rsidRPr="003A1174">
        <w:rPr>
          <w:rFonts w:ascii="Garamond" w:eastAsia="Times New Roman" w:hAnsi="Garamond" w:cs="Arial"/>
          <w:color w:val="000000" w:themeColor="text1"/>
          <w:sz w:val="24"/>
          <w:szCs w:val="24"/>
          <w:lang w:eastAsia="es-HN"/>
        </w:rPr>
        <w:t>Segurança</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o </w:t>
      </w:r>
      <w:r w:rsidR="00D77C19" w:rsidRPr="003A1174">
        <w:rPr>
          <w:rFonts w:ascii="Garamond" w:eastAsia="Times New Roman" w:hAnsi="Garamond" w:cs="Arial"/>
          <w:color w:val="000000" w:themeColor="text1"/>
          <w:sz w:val="24"/>
          <w:szCs w:val="24"/>
          <w:lang w:eastAsia="es-HN"/>
        </w:rPr>
        <w:t>Ministério</w:t>
      </w:r>
      <w:r w:rsidR="00AB405A" w:rsidRPr="003A1174">
        <w:rPr>
          <w:rFonts w:ascii="Garamond" w:eastAsia="Times New Roman" w:hAnsi="Garamond" w:cs="Arial"/>
          <w:color w:val="000000" w:themeColor="text1"/>
          <w:sz w:val="24"/>
          <w:szCs w:val="24"/>
          <w:lang w:eastAsia="es-HN"/>
        </w:rPr>
        <w:t xml:space="preserve"> Público </w:t>
      </w:r>
      <w:r w:rsidR="000672E8" w:rsidRPr="003A1174">
        <w:rPr>
          <w:rFonts w:ascii="Garamond" w:eastAsia="Times New Roman" w:hAnsi="Garamond" w:cs="Arial"/>
          <w:color w:val="000000" w:themeColor="text1"/>
          <w:sz w:val="24"/>
          <w:szCs w:val="24"/>
          <w:lang w:eastAsia="es-HN"/>
        </w:rPr>
        <w:t>e</w:t>
      </w:r>
      <w:r w:rsidR="00862120" w:rsidRPr="003A1174">
        <w:rPr>
          <w:rFonts w:ascii="Garamond" w:eastAsia="Times New Roman" w:hAnsi="Garamond" w:cs="Arial"/>
          <w:color w:val="000000" w:themeColor="text1"/>
          <w:sz w:val="24"/>
          <w:szCs w:val="24"/>
          <w:lang w:eastAsia="es-HN"/>
        </w:rPr>
        <w:t xml:space="preserve"> </w:t>
      </w:r>
      <w:r w:rsidR="00312546">
        <w:rPr>
          <w:rFonts w:ascii="Garamond" w:eastAsia="Times New Roman" w:hAnsi="Garamond" w:cs="Arial"/>
          <w:color w:val="000000" w:themeColor="text1"/>
          <w:sz w:val="24"/>
          <w:szCs w:val="24"/>
          <w:lang w:eastAsia="es-HN"/>
        </w:rPr>
        <w:t>o</w:t>
      </w:r>
      <w:r w:rsidR="00AB405A" w:rsidRPr="003A1174">
        <w:rPr>
          <w:rFonts w:ascii="Garamond" w:eastAsia="Times New Roman" w:hAnsi="Garamond" w:cs="Arial"/>
          <w:color w:val="000000" w:themeColor="text1"/>
          <w:sz w:val="24"/>
          <w:szCs w:val="24"/>
          <w:lang w:eastAsia="es-HN"/>
        </w:rPr>
        <w:t xml:space="preserve"> Suprem</w:t>
      </w:r>
      <w:r w:rsidR="00312546">
        <w:rPr>
          <w:rFonts w:ascii="Garamond" w:eastAsia="Times New Roman" w:hAnsi="Garamond" w:cs="Arial"/>
          <w:color w:val="000000" w:themeColor="text1"/>
          <w:sz w:val="24"/>
          <w:szCs w:val="24"/>
          <w:lang w:eastAsia="es-HN"/>
        </w:rPr>
        <w:t>o</w:t>
      </w:r>
      <w:r w:rsidR="00AB405A" w:rsidRPr="003A1174">
        <w:rPr>
          <w:rFonts w:ascii="Garamond" w:eastAsia="Times New Roman" w:hAnsi="Garamond" w:cs="Arial"/>
          <w:color w:val="000000" w:themeColor="text1"/>
          <w:sz w:val="24"/>
          <w:szCs w:val="24"/>
          <w:lang w:eastAsia="es-HN"/>
        </w:rPr>
        <w:t xml:space="preserve"> </w:t>
      </w:r>
      <w:r w:rsidR="00312546">
        <w:rPr>
          <w:rFonts w:ascii="Garamond" w:eastAsia="Times New Roman" w:hAnsi="Garamond" w:cs="Arial"/>
          <w:color w:val="000000" w:themeColor="text1"/>
          <w:sz w:val="24"/>
          <w:szCs w:val="24"/>
          <w:lang w:eastAsia="es-HN"/>
        </w:rPr>
        <w:t xml:space="preserve">Tribunal </w:t>
      </w:r>
      <w:r w:rsidR="00AB405A" w:rsidRPr="003A1174">
        <w:rPr>
          <w:rFonts w:ascii="Garamond" w:eastAsia="Times New Roman" w:hAnsi="Garamond" w:cs="Arial"/>
          <w:color w:val="000000" w:themeColor="text1"/>
          <w:sz w:val="24"/>
          <w:szCs w:val="24"/>
          <w:lang w:eastAsia="es-HN"/>
        </w:rPr>
        <w:t xml:space="preserve">de </w:t>
      </w:r>
      <w:r w:rsidR="00FC1F7F" w:rsidRPr="003A1174">
        <w:rPr>
          <w:rFonts w:ascii="Garamond" w:eastAsia="Times New Roman" w:hAnsi="Garamond" w:cs="Arial"/>
          <w:color w:val="000000" w:themeColor="text1"/>
          <w:sz w:val="24"/>
          <w:szCs w:val="24"/>
          <w:lang w:eastAsia="es-HN"/>
        </w:rPr>
        <w:t>Justiça</w:t>
      </w:r>
      <w:r w:rsidR="00AB405A" w:rsidRPr="003A1174">
        <w:rPr>
          <w:rFonts w:ascii="Garamond" w:eastAsia="Times New Roman" w:hAnsi="Garamond" w:cs="Arial"/>
          <w:color w:val="000000" w:themeColor="text1"/>
          <w:sz w:val="24"/>
          <w:szCs w:val="24"/>
          <w:lang w:eastAsia="es-HN"/>
        </w:rPr>
        <w:t xml:space="preserve"> </w:t>
      </w:r>
      <w:r w:rsidR="00D75A07" w:rsidRPr="003A1174">
        <w:rPr>
          <w:rFonts w:ascii="Garamond" w:eastAsia="Times New Roman" w:hAnsi="Garamond" w:cs="Arial"/>
          <w:color w:val="000000" w:themeColor="text1"/>
          <w:sz w:val="24"/>
          <w:szCs w:val="24"/>
          <w:lang w:eastAsia="es-HN"/>
        </w:rPr>
        <w:t>são</w:t>
      </w:r>
      <w:r w:rsidR="00862120" w:rsidRPr="003A1174">
        <w:rPr>
          <w:rFonts w:ascii="Garamond" w:eastAsia="Times New Roman" w:hAnsi="Garamond" w:cs="Arial"/>
          <w:color w:val="000000" w:themeColor="text1"/>
          <w:sz w:val="24"/>
          <w:szCs w:val="24"/>
          <w:lang w:eastAsia="es-HN"/>
        </w:rPr>
        <w:t xml:space="preserve"> a</w:t>
      </w:r>
      <w:r w:rsidR="00AB405A" w:rsidRPr="003A1174">
        <w:rPr>
          <w:rFonts w:ascii="Garamond" w:eastAsia="Times New Roman" w:hAnsi="Garamond" w:cs="Arial"/>
          <w:color w:val="000000" w:themeColor="text1"/>
          <w:sz w:val="24"/>
          <w:szCs w:val="24"/>
          <w:lang w:eastAsia="es-HN"/>
        </w:rPr>
        <w:t>s ent</w:t>
      </w:r>
      <w:r w:rsidR="00862120" w:rsidRPr="003A1174">
        <w:rPr>
          <w:rFonts w:ascii="Garamond" w:eastAsia="Times New Roman" w:hAnsi="Garamond" w:cs="Arial"/>
          <w:color w:val="000000" w:themeColor="text1"/>
          <w:sz w:val="24"/>
          <w:szCs w:val="24"/>
          <w:lang w:eastAsia="es-HN"/>
        </w:rPr>
        <w:t>idad</w:t>
      </w:r>
      <w:r w:rsidR="00AB405A" w:rsidRPr="003A1174">
        <w:rPr>
          <w:rFonts w:ascii="Garamond" w:eastAsia="Times New Roman" w:hAnsi="Garamond" w:cs="Arial"/>
          <w:color w:val="000000" w:themeColor="text1"/>
          <w:sz w:val="24"/>
          <w:szCs w:val="24"/>
          <w:lang w:eastAsia="es-HN"/>
        </w:rPr>
        <w:t xml:space="preserve">es </w:t>
      </w:r>
      <w:r w:rsidR="00BA21ED" w:rsidRPr="003A1174">
        <w:rPr>
          <w:rFonts w:ascii="Garamond" w:eastAsia="Times New Roman" w:hAnsi="Garamond" w:cs="Arial"/>
          <w:color w:val="000000" w:themeColor="text1"/>
          <w:sz w:val="24"/>
          <w:szCs w:val="24"/>
          <w:lang w:eastAsia="es-HN"/>
        </w:rPr>
        <w:t>mais</w:t>
      </w:r>
      <w:r w:rsidR="00AB405A" w:rsidRPr="003A1174">
        <w:rPr>
          <w:rFonts w:ascii="Garamond" w:eastAsia="Times New Roman" w:hAnsi="Garamond" w:cs="Arial"/>
          <w:color w:val="000000" w:themeColor="text1"/>
          <w:sz w:val="24"/>
          <w:szCs w:val="24"/>
          <w:lang w:eastAsia="es-HN"/>
        </w:rPr>
        <w:t xml:space="preserve"> interrelacionados co</w:t>
      </w:r>
      <w:r w:rsidR="00862120" w:rsidRPr="003A1174">
        <w:rPr>
          <w:rFonts w:ascii="Garamond" w:eastAsia="Times New Roman" w:hAnsi="Garamond" w:cs="Arial"/>
          <w:color w:val="000000" w:themeColor="text1"/>
          <w:sz w:val="24"/>
          <w:szCs w:val="24"/>
          <w:lang w:eastAsia="es-HN"/>
        </w:rPr>
        <w:t xml:space="preserve">m o </w:t>
      </w:r>
      <w:r w:rsidR="00886D6A" w:rsidRPr="003A1174">
        <w:rPr>
          <w:rFonts w:ascii="Garamond" w:eastAsia="Times New Roman" w:hAnsi="Garamond" w:cs="Arial"/>
          <w:color w:val="000000" w:themeColor="text1"/>
          <w:sz w:val="24"/>
          <w:szCs w:val="24"/>
          <w:lang w:eastAsia="es-HN"/>
        </w:rPr>
        <w:t>acesso</w:t>
      </w:r>
      <w:r w:rsidR="00AB405A" w:rsidRPr="003A1174">
        <w:rPr>
          <w:rFonts w:ascii="Garamond" w:eastAsia="Times New Roman" w:hAnsi="Garamond" w:cs="Arial"/>
          <w:color w:val="000000" w:themeColor="text1"/>
          <w:sz w:val="24"/>
          <w:szCs w:val="24"/>
          <w:lang w:eastAsia="es-HN"/>
        </w:rPr>
        <w:t xml:space="preserve"> </w:t>
      </w:r>
      <w:r w:rsidR="00BB2B00" w:rsidRPr="003A1174">
        <w:rPr>
          <w:rFonts w:ascii="Garamond" w:eastAsia="Times New Roman" w:hAnsi="Garamond" w:cs="Arial"/>
          <w:color w:val="000000" w:themeColor="text1"/>
          <w:sz w:val="24"/>
          <w:szCs w:val="24"/>
          <w:lang w:eastAsia="es-HN"/>
        </w:rPr>
        <w:t>à</w:t>
      </w:r>
      <w:r w:rsidR="00AB405A" w:rsidRPr="003A1174">
        <w:rPr>
          <w:rFonts w:ascii="Garamond" w:eastAsia="Times New Roman" w:hAnsi="Garamond" w:cs="Arial"/>
          <w:color w:val="000000" w:themeColor="text1"/>
          <w:sz w:val="24"/>
          <w:szCs w:val="24"/>
          <w:lang w:eastAsia="es-HN"/>
        </w:rPr>
        <w:t xml:space="preserve"> </w:t>
      </w:r>
      <w:r w:rsidR="00FC1F7F" w:rsidRPr="003A1174">
        <w:rPr>
          <w:rFonts w:ascii="Garamond" w:eastAsia="Times New Roman" w:hAnsi="Garamond" w:cs="Arial"/>
          <w:color w:val="000000" w:themeColor="text1"/>
          <w:sz w:val="24"/>
          <w:szCs w:val="24"/>
          <w:lang w:eastAsia="es-HN"/>
        </w:rPr>
        <w:t>justiça</w:t>
      </w:r>
      <w:r w:rsidR="00AB405A" w:rsidRPr="003A1174">
        <w:rPr>
          <w:rFonts w:ascii="Garamond" w:eastAsia="Times New Roman" w:hAnsi="Garamond" w:cs="Arial"/>
          <w:color w:val="000000" w:themeColor="text1"/>
          <w:sz w:val="24"/>
          <w:szCs w:val="24"/>
          <w:lang w:eastAsia="es-HN"/>
        </w:rPr>
        <w:t xml:space="preserve"> </w:t>
      </w:r>
      <w:r w:rsidR="00497503" w:rsidRPr="003A1174">
        <w:rPr>
          <w:rFonts w:ascii="Garamond" w:eastAsia="Times New Roman" w:hAnsi="Garamond" w:cs="Arial"/>
          <w:color w:val="000000" w:themeColor="text1"/>
          <w:sz w:val="24"/>
          <w:szCs w:val="24"/>
          <w:lang w:eastAsia="es-HN"/>
        </w:rPr>
        <w:t>das</w:t>
      </w:r>
      <w:r w:rsidR="00AB405A" w:rsidRPr="003A1174">
        <w:rPr>
          <w:rFonts w:ascii="Garamond" w:eastAsia="Times New Roman" w:hAnsi="Garamond" w:cs="Arial"/>
          <w:color w:val="000000" w:themeColor="text1"/>
          <w:sz w:val="24"/>
          <w:szCs w:val="24"/>
          <w:lang w:eastAsia="es-HN"/>
        </w:rPr>
        <w:t xml:space="preserve"> </w:t>
      </w:r>
      <w:r w:rsidR="00054EE0" w:rsidRPr="003A1174">
        <w:rPr>
          <w:rFonts w:ascii="Garamond" w:eastAsia="Times New Roman" w:hAnsi="Garamond" w:cs="Arial"/>
          <w:color w:val="000000" w:themeColor="text1"/>
          <w:sz w:val="24"/>
          <w:szCs w:val="24"/>
          <w:lang w:eastAsia="es-HN"/>
        </w:rPr>
        <w:t>mulheres</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no </w:t>
      </w:r>
      <w:r w:rsidR="00AB405A" w:rsidRPr="003A1174">
        <w:rPr>
          <w:rFonts w:ascii="Garamond" w:eastAsia="Times New Roman" w:hAnsi="Garamond" w:cs="Arial"/>
          <w:color w:val="000000" w:themeColor="text1"/>
          <w:sz w:val="24"/>
          <w:szCs w:val="24"/>
          <w:lang w:eastAsia="es-HN"/>
        </w:rPr>
        <w:t xml:space="preserve">país. </w:t>
      </w:r>
      <w:r w:rsidR="00862120" w:rsidRPr="003A1174">
        <w:rPr>
          <w:rFonts w:ascii="Garamond" w:eastAsia="Times New Roman" w:hAnsi="Garamond" w:cs="Arial"/>
          <w:color w:val="000000" w:themeColor="text1"/>
          <w:sz w:val="24"/>
          <w:szCs w:val="24"/>
          <w:lang w:eastAsia="es-HN"/>
        </w:rPr>
        <w:t>Nesse</w:t>
      </w:r>
      <w:r w:rsidR="00AB405A" w:rsidRPr="003A1174">
        <w:rPr>
          <w:rFonts w:ascii="Garamond" w:eastAsia="Times New Roman" w:hAnsi="Garamond" w:cs="Arial"/>
          <w:color w:val="000000" w:themeColor="text1"/>
          <w:sz w:val="24"/>
          <w:szCs w:val="24"/>
          <w:lang w:eastAsia="es-HN"/>
        </w:rPr>
        <w:t xml:space="preserve"> sentido, a</w:t>
      </w:r>
      <w:r w:rsidR="00862120" w:rsidRPr="003A1174">
        <w:rPr>
          <w:rFonts w:ascii="Garamond" w:eastAsia="Times New Roman" w:hAnsi="Garamond" w:cs="Arial"/>
          <w:color w:val="000000" w:themeColor="text1"/>
          <w:sz w:val="24"/>
          <w:szCs w:val="24"/>
          <w:lang w:eastAsia="es-HN"/>
        </w:rPr>
        <w:t xml:space="preserve">o examinar o </w:t>
      </w:r>
      <w:r w:rsidR="00946348" w:rsidRPr="003A1174">
        <w:rPr>
          <w:rFonts w:ascii="Garamond" w:eastAsia="Times New Roman" w:hAnsi="Garamond" w:cs="Arial"/>
          <w:color w:val="000000" w:themeColor="text1"/>
          <w:sz w:val="24"/>
          <w:szCs w:val="24"/>
          <w:lang w:eastAsia="es-HN"/>
        </w:rPr>
        <w:t>orçamento</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de cada um</w:t>
      </w:r>
      <w:r w:rsidR="00A060D9" w:rsidRPr="003A1174">
        <w:rPr>
          <w:rFonts w:ascii="Garamond" w:eastAsia="Times New Roman" w:hAnsi="Garamond" w:cs="Arial"/>
          <w:color w:val="000000" w:themeColor="text1"/>
          <w:sz w:val="24"/>
          <w:szCs w:val="24"/>
          <w:lang w:eastAsia="es-HN"/>
        </w:rPr>
        <w:t xml:space="preserve"> de</w:t>
      </w:r>
      <w:r w:rsidR="00862120" w:rsidRPr="003A1174">
        <w:rPr>
          <w:rFonts w:ascii="Garamond" w:eastAsia="Times New Roman" w:hAnsi="Garamond" w:cs="Arial"/>
          <w:color w:val="000000" w:themeColor="text1"/>
          <w:sz w:val="24"/>
          <w:szCs w:val="24"/>
          <w:lang w:eastAsia="es-HN"/>
        </w:rPr>
        <w:t>le</w:t>
      </w:r>
      <w:r w:rsidR="00A060D9" w:rsidRPr="003A1174">
        <w:rPr>
          <w:rFonts w:ascii="Garamond" w:eastAsia="Times New Roman" w:hAnsi="Garamond" w:cs="Arial"/>
          <w:color w:val="000000" w:themeColor="text1"/>
          <w:sz w:val="24"/>
          <w:szCs w:val="24"/>
          <w:lang w:eastAsia="es-HN"/>
        </w:rPr>
        <w:t>s</w:t>
      </w:r>
      <w:r w:rsidR="00AB405A" w:rsidRPr="003A1174">
        <w:rPr>
          <w:rFonts w:ascii="Garamond" w:eastAsia="Times New Roman" w:hAnsi="Garamond" w:cs="Arial"/>
          <w:color w:val="000000" w:themeColor="text1"/>
          <w:sz w:val="24"/>
          <w:szCs w:val="24"/>
          <w:lang w:eastAsia="es-HN"/>
        </w:rPr>
        <w:t>, observa</w:t>
      </w:r>
      <w:r w:rsidR="00862120" w:rsidRPr="003A1174">
        <w:rPr>
          <w:rFonts w:ascii="Garamond" w:eastAsia="Times New Roman" w:hAnsi="Garamond" w:cs="Arial"/>
          <w:color w:val="000000" w:themeColor="text1"/>
          <w:sz w:val="24"/>
          <w:szCs w:val="24"/>
          <w:lang w:eastAsia="es-HN"/>
        </w:rPr>
        <w:t>-se</w:t>
      </w:r>
      <w:r w:rsidR="00AB405A" w:rsidRPr="003A1174">
        <w:rPr>
          <w:rFonts w:ascii="Garamond" w:eastAsia="Times New Roman" w:hAnsi="Garamond" w:cs="Arial"/>
          <w:color w:val="000000" w:themeColor="text1"/>
          <w:sz w:val="24"/>
          <w:szCs w:val="24"/>
          <w:lang w:eastAsia="es-HN"/>
        </w:rPr>
        <w:t xml:space="preserve"> que entre 2009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2014, </w:t>
      </w:r>
      <w:r w:rsidR="00862120" w:rsidRPr="003A1174">
        <w:rPr>
          <w:rFonts w:ascii="Garamond" w:eastAsia="Times New Roman" w:hAnsi="Garamond" w:cs="Arial"/>
          <w:color w:val="000000" w:themeColor="text1"/>
          <w:sz w:val="24"/>
          <w:szCs w:val="24"/>
          <w:lang w:eastAsia="es-HN"/>
        </w:rPr>
        <w:t xml:space="preserve">o </w:t>
      </w:r>
      <w:r w:rsidR="00946348" w:rsidRPr="003A1174">
        <w:rPr>
          <w:rFonts w:ascii="Garamond" w:eastAsia="Times New Roman" w:hAnsi="Garamond" w:cs="Arial"/>
          <w:color w:val="000000" w:themeColor="text1"/>
          <w:sz w:val="24"/>
          <w:szCs w:val="24"/>
          <w:lang w:eastAsia="es-HN"/>
        </w:rPr>
        <w:t>orçamento</w:t>
      </w:r>
      <w:r w:rsidR="00AB405A" w:rsidRPr="003A1174">
        <w:rPr>
          <w:rFonts w:ascii="Garamond" w:eastAsia="Times New Roman" w:hAnsi="Garamond" w:cs="Arial"/>
          <w:color w:val="000000" w:themeColor="text1"/>
          <w:sz w:val="24"/>
          <w:szCs w:val="24"/>
          <w:lang w:eastAsia="es-HN"/>
        </w:rPr>
        <w:t xml:space="preserve"> e</w:t>
      </w:r>
      <w:r w:rsidR="00862120" w:rsidRPr="003A1174">
        <w:rPr>
          <w:rFonts w:ascii="Garamond" w:eastAsia="Times New Roman" w:hAnsi="Garamond" w:cs="Arial"/>
          <w:color w:val="000000" w:themeColor="text1"/>
          <w:sz w:val="24"/>
          <w:szCs w:val="24"/>
          <w:lang w:eastAsia="es-HN"/>
        </w:rPr>
        <w:t>m</w:t>
      </w:r>
      <w:r w:rsidR="00AB405A" w:rsidRPr="003A1174">
        <w:rPr>
          <w:rFonts w:ascii="Garamond" w:eastAsia="Times New Roman" w:hAnsi="Garamond" w:cs="Arial"/>
          <w:color w:val="000000" w:themeColor="text1"/>
          <w:sz w:val="24"/>
          <w:szCs w:val="24"/>
          <w:lang w:eastAsia="es-HN"/>
        </w:rPr>
        <w:t xml:space="preserve"> </w:t>
      </w:r>
      <w:r w:rsidR="00EF645F" w:rsidRPr="003A1174">
        <w:rPr>
          <w:rFonts w:ascii="Garamond" w:eastAsia="Times New Roman" w:hAnsi="Garamond" w:cs="Arial"/>
          <w:color w:val="000000" w:themeColor="text1"/>
          <w:sz w:val="24"/>
          <w:szCs w:val="24"/>
          <w:lang w:eastAsia="es-HN"/>
        </w:rPr>
        <w:t>matéria</w:t>
      </w:r>
      <w:r w:rsidR="00AB405A" w:rsidRPr="003A1174">
        <w:rPr>
          <w:rFonts w:ascii="Garamond" w:eastAsia="Times New Roman" w:hAnsi="Garamond" w:cs="Arial"/>
          <w:color w:val="000000" w:themeColor="text1"/>
          <w:sz w:val="24"/>
          <w:szCs w:val="24"/>
          <w:lang w:eastAsia="es-HN"/>
        </w:rPr>
        <w:t xml:space="preserve"> de </w:t>
      </w:r>
      <w:r w:rsidR="00D15AFF" w:rsidRPr="003A1174">
        <w:rPr>
          <w:rFonts w:ascii="Garamond" w:eastAsia="Times New Roman" w:hAnsi="Garamond" w:cs="Arial"/>
          <w:color w:val="000000" w:themeColor="text1"/>
          <w:sz w:val="24"/>
          <w:szCs w:val="24"/>
          <w:lang w:eastAsia="es-HN"/>
        </w:rPr>
        <w:t>segurança</w:t>
      </w:r>
      <w:r w:rsidR="00AB405A" w:rsidRPr="003A1174">
        <w:rPr>
          <w:rFonts w:ascii="Garamond" w:eastAsia="Times New Roman" w:hAnsi="Garamond" w:cs="Arial"/>
          <w:color w:val="000000" w:themeColor="text1"/>
          <w:sz w:val="24"/>
          <w:szCs w:val="24"/>
          <w:lang w:eastAsia="es-HN"/>
        </w:rPr>
        <w:t xml:space="preserve">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w:t>
      </w:r>
      <w:r w:rsidR="00FC1F7F" w:rsidRPr="003A1174">
        <w:rPr>
          <w:rFonts w:ascii="Garamond" w:eastAsia="Times New Roman" w:hAnsi="Garamond" w:cs="Arial"/>
          <w:color w:val="000000" w:themeColor="text1"/>
          <w:sz w:val="24"/>
          <w:szCs w:val="24"/>
          <w:lang w:eastAsia="es-HN"/>
        </w:rPr>
        <w:t>justiça</w:t>
      </w:r>
      <w:r w:rsidR="00AB405A" w:rsidRPr="003A1174">
        <w:rPr>
          <w:rFonts w:ascii="Garamond" w:eastAsia="Times New Roman" w:hAnsi="Garamond" w:cs="Arial"/>
          <w:color w:val="000000" w:themeColor="text1"/>
          <w:sz w:val="24"/>
          <w:szCs w:val="24"/>
          <w:lang w:eastAsia="es-HN"/>
        </w:rPr>
        <w:t xml:space="preserve"> </w:t>
      </w:r>
      <w:r w:rsidR="00276DCA" w:rsidRPr="003A1174">
        <w:rPr>
          <w:rFonts w:ascii="Garamond" w:eastAsia="Times New Roman" w:hAnsi="Garamond" w:cs="Arial"/>
          <w:color w:val="000000" w:themeColor="text1"/>
          <w:sz w:val="24"/>
          <w:szCs w:val="24"/>
          <w:lang w:eastAsia="es-HN"/>
        </w:rPr>
        <w:t>apresentou</w:t>
      </w:r>
      <w:r w:rsidR="00862120" w:rsidRPr="003A1174">
        <w:rPr>
          <w:rFonts w:ascii="Garamond" w:eastAsia="Times New Roman" w:hAnsi="Garamond" w:cs="Arial"/>
          <w:color w:val="000000" w:themeColor="text1"/>
          <w:sz w:val="24"/>
          <w:szCs w:val="24"/>
          <w:lang w:eastAsia="es-HN"/>
        </w:rPr>
        <w:t xml:space="preserve"> um</w:t>
      </w:r>
      <w:r w:rsidR="00AB405A" w:rsidRPr="003A1174">
        <w:rPr>
          <w:rFonts w:ascii="Garamond" w:eastAsia="Times New Roman" w:hAnsi="Garamond" w:cs="Arial"/>
          <w:color w:val="000000" w:themeColor="text1"/>
          <w:sz w:val="24"/>
          <w:szCs w:val="24"/>
          <w:lang w:eastAsia="es-HN"/>
        </w:rPr>
        <w:t xml:space="preserve">a </w:t>
      </w:r>
      <w:r w:rsidR="00BB2B00" w:rsidRPr="003A1174">
        <w:rPr>
          <w:rFonts w:ascii="Garamond" w:eastAsia="Times New Roman" w:hAnsi="Garamond" w:cs="Arial"/>
          <w:color w:val="000000" w:themeColor="text1"/>
          <w:sz w:val="24"/>
          <w:szCs w:val="24"/>
          <w:lang w:eastAsia="es-HN"/>
        </w:rPr>
        <w:t>taxa</w:t>
      </w:r>
      <w:r w:rsidR="00AB405A" w:rsidRPr="003A1174">
        <w:rPr>
          <w:rFonts w:ascii="Garamond" w:eastAsia="Times New Roman" w:hAnsi="Garamond" w:cs="Arial"/>
          <w:color w:val="000000" w:themeColor="text1"/>
          <w:sz w:val="24"/>
          <w:szCs w:val="24"/>
          <w:lang w:eastAsia="es-HN"/>
        </w:rPr>
        <w:t xml:space="preserve"> de cre</w:t>
      </w:r>
      <w:r w:rsidR="00862120" w:rsidRPr="003A1174">
        <w:rPr>
          <w:rFonts w:ascii="Garamond" w:eastAsia="Times New Roman" w:hAnsi="Garamond" w:cs="Arial"/>
          <w:color w:val="000000" w:themeColor="text1"/>
          <w:sz w:val="24"/>
          <w:szCs w:val="24"/>
          <w:lang w:eastAsia="es-HN"/>
        </w:rPr>
        <w:t>scim</w:t>
      </w:r>
      <w:r w:rsidR="00AB405A" w:rsidRPr="003A1174">
        <w:rPr>
          <w:rFonts w:ascii="Garamond" w:eastAsia="Times New Roman" w:hAnsi="Garamond" w:cs="Arial"/>
          <w:color w:val="000000" w:themeColor="text1"/>
          <w:sz w:val="24"/>
          <w:szCs w:val="24"/>
          <w:lang w:eastAsia="es-HN"/>
        </w:rPr>
        <w:t xml:space="preserve">ento </w:t>
      </w:r>
      <w:r w:rsidR="00862120" w:rsidRPr="003A1174">
        <w:rPr>
          <w:rFonts w:ascii="Garamond" w:eastAsia="Times New Roman" w:hAnsi="Garamond" w:cs="Arial"/>
          <w:color w:val="000000" w:themeColor="text1"/>
          <w:sz w:val="24"/>
          <w:szCs w:val="24"/>
          <w:lang w:eastAsia="es-HN"/>
        </w:rPr>
        <w:t xml:space="preserve">média </w:t>
      </w:r>
      <w:r w:rsidR="00AB405A" w:rsidRPr="003A1174">
        <w:rPr>
          <w:rFonts w:ascii="Garamond" w:eastAsia="Times New Roman" w:hAnsi="Garamond" w:cs="Arial"/>
          <w:color w:val="000000" w:themeColor="text1"/>
          <w:sz w:val="24"/>
          <w:szCs w:val="24"/>
          <w:lang w:eastAsia="es-HN"/>
        </w:rPr>
        <w:t xml:space="preserve">anual para </w:t>
      </w:r>
      <w:r w:rsidR="00862120" w:rsidRPr="003A1174">
        <w:rPr>
          <w:rFonts w:ascii="Garamond" w:eastAsia="Times New Roman" w:hAnsi="Garamond" w:cs="Arial"/>
          <w:color w:val="000000" w:themeColor="text1"/>
          <w:sz w:val="24"/>
          <w:szCs w:val="24"/>
          <w:lang w:eastAsia="es-HN"/>
        </w:rPr>
        <w:t xml:space="preserve">o </w:t>
      </w:r>
      <w:r w:rsidR="00D77C19" w:rsidRPr="003A1174">
        <w:rPr>
          <w:rFonts w:ascii="Garamond" w:eastAsia="Times New Roman" w:hAnsi="Garamond" w:cs="Arial"/>
          <w:color w:val="000000" w:themeColor="text1"/>
          <w:sz w:val="24"/>
          <w:szCs w:val="24"/>
          <w:lang w:eastAsia="es-HN"/>
        </w:rPr>
        <w:t>Ministério</w:t>
      </w:r>
      <w:r w:rsidR="00AB405A" w:rsidRPr="003A1174">
        <w:rPr>
          <w:rFonts w:ascii="Garamond" w:eastAsia="Times New Roman" w:hAnsi="Garamond" w:cs="Arial"/>
          <w:color w:val="000000" w:themeColor="text1"/>
          <w:sz w:val="24"/>
          <w:szCs w:val="24"/>
          <w:lang w:eastAsia="es-HN"/>
        </w:rPr>
        <w:t xml:space="preserve"> Público </w:t>
      </w:r>
      <w:r w:rsidR="00A060D9" w:rsidRPr="003A1174">
        <w:rPr>
          <w:rFonts w:ascii="Garamond" w:eastAsia="Times New Roman" w:hAnsi="Garamond" w:cs="Arial"/>
          <w:color w:val="000000" w:themeColor="text1"/>
          <w:sz w:val="24"/>
          <w:szCs w:val="24"/>
          <w:lang w:eastAsia="es-HN"/>
        </w:rPr>
        <w:t>de</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11%, para </w:t>
      </w:r>
      <w:r w:rsidR="00312546">
        <w:rPr>
          <w:rFonts w:ascii="Garamond" w:eastAsia="Times New Roman" w:hAnsi="Garamond" w:cs="Arial"/>
          <w:color w:val="000000" w:themeColor="text1"/>
          <w:sz w:val="24"/>
          <w:szCs w:val="24"/>
          <w:lang w:eastAsia="es-HN"/>
        </w:rPr>
        <w:t>o</w:t>
      </w:r>
      <w:r w:rsidR="00AB405A" w:rsidRPr="003A1174">
        <w:rPr>
          <w:rFonts w:ascii="Garamond" w:eastAsia="Times New Roman" w:hAnsi="Garamond" w:cs="Arial"/>
          <w:color w:val="000000" w:themeColor="text1"/>
          <w:sz w:val="24"/>
          <w:szCs w:val="24"/>
          <w:lang w:eastAsia="es-HN"/>
        </w:rPr>
        <w:t xml:space="preserve"> Suprem</w:t>
      </w:r>
      <w:r w:rsidR="00312546">
        <w:rPr>
          <w:rFonts w:ascii="Garamond" w:eastAsia="Times New Roman" w:hAnsi="Garamond" w:cs="Arial"/>
          <w:color w:val="000000" w:themeColor="text1"/>
          <w:sz w:val="24"/>
          <w:szCs w:val="24"/>
          <w:lang w:eastAsia="es-HN"/>
        </w:rPr>
        <w:t>o</w:t>
      </w:r>
      <w:r w:rsidR="00AB405A" w:rsidRPr="003A1174">
        <w:rPr>
          <w:rFonts w:ascii="Garamond" w:eastAsia="Times New Roman" w:hAnsi="Garamond" w:cs="Arial"/>
          <w:color w:val="000000" w:themeColor="text1"/>
          <w:sz w:val="24"/>
          <w:szCs w:val="24"/>
          <w:lang w:eastAsia="es-HN"/>
        </w:rPr>
        <w:t xml:space="preserve"> </w:t>
      </w:r>
      <w:r w:rsidR="00312546">
        <w:rPr>
          <w:rFonts w:ascii="Garamond" w:eastAsia="Times New Roman" w:hAnsi="Garamond" w:cs="Arial"/>
          <w:color w:val="000000" w:themeColor="text1"/>
          <w:sz w:val="24"/>
          <w:szCs w:val="24"/>
          <w:lang w:eastAsia="es-HN"/>
        </w:rPr>
        <w:t xml:space="preserve">Tribunal </w:t>
      </w:r>
      <w:r w:rsidR="00AB405A" w:rsidRPr="003A1174">
        <w:rPr>
          <w:rFonts w:ascii="Garamond" w:eastAsia="Times New Roman" w:hAnsi="Garamond" w:cs="Arial"/>
          <w:color w:val="000000" w:themeColor="text1"/>
          <w:sz w:val="24"/>
          <w:szCs w:val="24"/>
          <w:lang w:eastAsia="es-HN"/>
        </w:rPr>
        <w:t xml:space="preserve">de </w:t>
      </w:r>
      <w:r w:rsidR="00FC1F7F" w:rsidRPr="003A1174">
        <w:rPr>
          <w:rFonts w:ascii="Garamond" w:eastAsia="Times New Roman" w:hAnsi="Garamond" w:cs="Arial"/>
          <w:color w:val="000000" w:themeColor="text1"/>
          <w:sz w:val="24"/>
          <w:szCs w:val="24"/>
          <w:lang w:eastAsia="es-HN"/>
        </w:rPr>
        <w:t>Justiça</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houve um crescimento de </w:t>
      </w:r>
      <w:r w:rsidR="00AB405A" w:rsidRPr="003A1174">
        <w:rPr>
          <w:rFonts w:ascii="Garamond" w:eastAsia="Times New Roman" w:hAnsi="Garamond" w:cs="Arial"/>
          <w:color w:val="000000" w:themeColor="text1"/>
          <w:sz w:val="24"/>
          <w:szCs w:val="24"/>
          <w:lang w:eastAsia="es-HN"/>
        </w:rPr>
        <w:t xml:space="preserve">5%, </w:t>
      </w:r>
      <w:r w:rsidR="00862120" w:rsidRPr="003A1174">
        <w:rPr>
          <w:rFonts w:ascii="Garamond" w:eastAsia="Times New Roman" w:hAnsi="Garamond" w:cs="Arial"/>
          <w:color w:val="000000" w:themeColor="text1"/>
          <w:sz w:val="24"/>
          <w:szCs w:val="24"/>
          <w:lang w:eastAsia="es-HN"/>
        </w:rPr>
        <w:t>enquanto que</w:t>
      </w:r>
      <w:r w:rsidR="00A4048F">
        <w:rPr>
          <w:rFonts w:ascii="Garamond" w:eastAsia="Times New Roman" w:hAnsi="Garamond" w:cs="Arial"/>
          <w:color w:val="000000" w:themeColor="text1"/>
          <w:sz w:val="24"/>
          <w:szCs w:val="24"/>
          <w:lang w:eastAsia="es-HN"/>
        </w:rPr>
        <w:t>,</w:t>
      </w:r>
      <w:r w:rsidR="00862120" w:rsidRPr="003A1174">
        <w:rPr>
          <w:rFonts w:ascii="Garamond" w:eastAsia="Times New Roman" w:hAnsi="Garamond" w:cs="Arial"/>
          <w:color w:val="000000" w:themeColor="text1"/>
          <w:sz w:val="24"/>
          <w:szCs w:val="24"/>
          <w:lang w:eastAsia="es-HN"/>
        </w:rPr>
        <w:t xml:space="preserve"> em </w:t>
      </w:r>
      <w:r w:rsidR="00D15AFF" w:rsidRPr="003A1174">
        <w:rPr>
          <w:rFonts w:ascii="Garamond" w:eastAsia="Times New Roman" w:hAnsi="Garamond" w:cs="Arial"/>
          <w:color w:val="000000" w:themeColor="text1"/>
          <w:sz w:val="24"/>
          <w:szCs w:val="24"/>
          <w:lang w:eastAsia="es-HN"/>
        </w:rPr>
        <w:t>Segurança</w:t>
      </w:r>
      <w:r w:rsidR="00AB405A" w:rsidRPr="003A1174">
        <w:rPr>
          <w:rFonts w:ascii="Garamond" w:eastAsia="Times New Roman" w:hAnsi="Garamond" w:cs="Arial"/>
          <w:color w:val="000000" w:themeColor="text1"/>
          <w:sz w:val="24"/>
          <w:szCs w:val="24"/>
          <w:lang w:eastAsia="es-HN"/>
        </w:rPr>
        <w:t xml:space="preserve">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w:t>
      </w:r>
      <w:r w:rsidR="002C7510" w:rsidRPr="003A1174">
        <w:rPr>
          <w:rFonts w:ascii="Garamond" w:eastAsia="Times New Roman" w:hAnsi="Garamond" w:cs="Arial"/>
          <w:color w:val="000000" w:themeColor="text1"/>
          <w:sz w:val="24"/>
          <w:szCs w:val="24"/>
          <w:lang w:eastAsia="es-HN"/>
        </w:rPr>
        <w:t>Defesa</w:t>
      </w:r>
      <w:r w:rsidR="00AB405A" w:rsidRPr="003A1174">
        <w:rPr>
          <w:rFonts w:ascii="Garamond" w:eastAsia="Times New Roman" w:hAnsi="Garamond" w:cs="Arial"/>
          <w:color w:val="000000" w:themeColor="text1"/>
          <w:sz w:val="24"/>
          <w:szCs w:val="24"/>
          <w:lang w:eastAsia="es-HN"/>
        </w:rPr>
        <w:t xml:space="preserve"> </w:t>
      </w:r>
      <w:r w:rsidR="00A4048F">
        <w:rPr>
          <w:rFonts w:ascii="Garamond" w:eastAsia="Times New Roman" w:hAnsi="Garamond" w:cs="Arial"/>
          <w:color w:val="000000" w:themeColor="text1"/>
          <w:sz w:val="24"/>
          <w:szCs w:val="24"/>
          <w:lang w:eastAsia="es-HN"/>
        </w:rPr>
        <w:t xml:space="preserve">o crescimento foi de </w:t>
      </w:r>
      <w:r w:rsidR="00AB405A" w:rsidRPr="003A1174">
        <w:rPr>
          <w:rFonts w:ascii="Garamond" w:eastAsia="Times New Roman" w:hAnsi="Garamond" w:cs="Arial"/>
          <w:color w:val="000000" w:themeColor="text1"/>
          <w:sz w:val="24"/>
          <w:szCs w:val="24"/>
          <w:lang w:eastAsia="es-HN"/>
        </w:rPr>
        <w:t xml:space="preserve">14%. </w:t>
      </w:r>
      <w:r w:rsidR="00862120" w:rsidRPr="003A1174">
        <w:rPr>
          <w:rFonts w:ascii="Garamond" w:eastAsia="Times New Roman" w:hAnsi="Garamond" w:cs="Arial"/>
          <w:color w:val="000000" w:themeColor="text1"/>
          <w:sz w:val="24"/>
          <w:szCs w:val="24"/>
          <w:lang w:eastAsia="es-HN"/>
        </w:rPr>
        <w:t xml:space="preserve">De acordo com o referido estudo, </w:t>
      </w:r>
      <w:r w:rsidR="00EE7406" w:rsidRPr="003A1174">
        <w:rPr>
          <w:rFonts w:ascii="Garamond" w:eastAsia="Times New Roman" w:hAnsi="Garamond" w:cs="Arial"/>
          <w:color w:val="000000" w:themeColor="text1"/>
          <w:sz w:val="24"/>
          <w:szCs w:val="24"/>
          <w:lang w:eastAsia="es-HN"/>
        </w:rPr>
        <w:t>apesar</w:t>
      </w:r>
      <w:r w:rsidR="00AB405A" w:rsidRPr="003A1174">
        <w:rPr>
          <w:rFonts w:ascii="Garamond" w:eastAsia="Times New Roman" w:hAnsi="Garamond" w:cs="Arial"/>
          <w:color w:val="000000" w:themeColor="text1"/>
          <w:sz w:val="24"/>
          <w:szCs w:val="24"/>
          <w:lang w:eastAsia="es-HN"/>
        </w:rPr>
        <w:t xml:space="preserve"> </w:t>
      </w:r>
      <w:r w:rsidR="00E85E59" w:rsidRPr="003A1174">
        <w:rPr>
          <w:rFonts w:ascii="Garamond" w:eastAsia="Times New Roman" w:hAnsi="Garamond" w:cs="Arial"/>
          <w:color w:val="000000" w:themeColor="text1"/>
          <w:sz w:val="24"/>
          <w:szCs w:val="24"/>
          <w:lang w:eastAsia="es-HN"/>
        </w:rPr>
        <w:t>do</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aumento </w:t>
      </w:r>
      <w:r w:rsidR="00E85E59" w:rsidRPr="003A1174">
        <w:rPr>
          <w:rFonts w:ascii="Garamond" w:eastAsia="Times New Roman" w:hAnsi="Garamond" w:cs="Arial"/>
          <w:color w:val="000000" w:themeColor="text1"/>
          <w:sz w:val="24"/>
          <w:szCs w:val="24"/>
          <w:lang w:eastAsia="es-HN"/>
        </w:rPr>
        <w:t>do</w:t>
      </w:r>
      <w:r w:rsidR="00AB405A" w:rsidRPr="003A1174">
        <w:rPr>
          <w:rFonts w:ascii="Garamond" w:eastAsia="Times New Roman" w:hAnsi="Garamond" w:cs="Arial"/>
          <w:color w:val="000000" w:themeColor="text1"/>
          <w:sz w:val="24"/>
          <w:szCs w:val="24"/>
          <w:lang w:eastAsia="es-HN"/>
        </w:rPr>
        <w:t xml:space="preserve"> </w:t>
      </w:r>
      <w:r w:rsidR="00946348" w:rsidRPr="003A1174">
        <w:rPr>
          <w:rFonts w:ascii="Garamond" w:eastAsia="Times New Roman" w:hAnsi="Garamond" w:cs="Arial"/>
          <w:color w:val="000000" w:themeColor="text1"/>
          <w:sz w:val="24"/>
          <w:szCs w:val="24"/>
          <w:lang w:eastAsia="es-HN"/>
        </w:rPr>
        <w:t>orçamento</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no </w:t>
      </w:r>
      <w:r w:rsidR="00F96DD1" w:rsidRPr="003A1174">
        <w:rPr>
          <w:rFonts w:ascii="Garamond" w:eastAsia="Times New Roman" w:hAnsi="Garamond" w:cs="Arial"/>
          <w:color w:val="000000" w:themeColor="text1"/>
          <w:sz w:val="24"/>
          <w:szCs w:val="24"/>
          <w:lang w:eastAsia="es-HN"/>
        </w:rPr>
        <w:t>setor</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da </w:t>
      </w:r>
      <w:r w:rsidR="00D15AFF" w:rsidRPr="003A1174">
        <w:rPr>
          <w:rFonts w:ascii="Garamond" w:eastAsia="Times New Roman" w:hAnsi="Garamond" w:cs="Arial"/>
          <w:color w:val="000000" w:themeColor="text1"/>
          <w:sz w:val="24"/>
          <w:szCs w:val="24"/>
          <w:lang w:eastAsia="es-HN"/>
        </w:rPr>
        <w:t>Segurança</w:t>
      </w:r>
      <w:r w:rsidR="00AB405A" w:rsidRPr="003A1174">
        <w:rPr>
          <w:rFonts w:ascii="Garamond" w:eastAsia="Times New Roman" w:hAnsi="Garamond" w:cs="Arial"/>
          <w:color w:val="000000" w:themeColor="text1"/>
          <w:sz w:val="24"/>
          <w:szCs w:val="24"/>
          <w:lang w:eastAsia="es-HN"/>
        </w:rPr>
        <w:t xml:space="preserve">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da </w:t>
      </w:r>
      <w:r w:rsidR="00FC1F7F" w:rsidRPr="003A1174">
        <w:rPr>
          <w:rFonts w:ascii="Garamond" w:eastAsia="Times New Roman" w:hAnsi="Garamond" w:cs="Arial"/>
          <w:color w:val="000000" w:themeColor="text1"/>
          <w:sz w:val="24"/>
          <w:szCs w:val="24"/>
          <w:lang w:eastAsia="es-HN"/>
        </w:rPr>
        <w:t>Justiça</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o </w:t>
      </w:r>
      <w:r w:rsidR="00AB405A" w:rsidRPr="003A1174">
        <w:rPr>
          <w:rFonts w:ascii="Garamond" w:eastAsia="Times New Roman" w:hAnsi="Garamond" w:cs="Arial"/>
          <w:color w:val="000000" w:themeColor="text1"/>
          <w:sz w:val="24"/>
          <w:szCs w:val="24"/>
          <w:lang w:eastAsia="es-HN"/>
        </w:rPr>
        <w:t xml:space="preserve">problema da </w:t>
      </w:r>
      <w:r w:rsidR="000350B1" w:rsidRPr="003A1174">
        <w:rPr>
          <w:rFonts w:ascii="Garamond" w:eastAsia="Times New Roman" w:hAnsi="Garamond" w:cs="Arial"/>
          <w:color w:val="000000" w:themeColor="text1"/>
          <w:sz w:val="24"/>
          <w:szCs w:val="24"/>
          <w:lang w:eastAsia="es-HN"/>
        </w:rPr>
        <w:t>violência</w:t>
      </w:r>
      <w:r w:rsidR="00AB405A" w:rsidRPr="003A1174">
        <w:rPr>
          <w:rFonts w:ascii="Garamond" w:eastAsia="Times New Roman" w:hAnsi="Garamond" w:cs="Arial"/>
          <w:color w:val="000000" w:themeColor="text1"/>
          <w:sz w:val="24"/>
          <w:szCs w:val="24"/>
          <w:lang w:eastAsia="es-HN"/>
        </w:rPr>
        <w:t xml:space="preserve"> </w:t>
      </w:r>
      <w:r w:rsidR="00BB2B00" w:rsidRPr="003A1174">
        <w:rPr>
          <w:rFonts w:ascii="Garamond" w:eastAsia="Times New Roman" w:hAnsi="Garamond" w:cs="Arial"/>
          <w:color w:val="000000" w:themeColor="text1"/>
          <w:sz w:val="24"/>
          <w:szCs w:val="24"/>
          <w:lang w:eastAsia="es-HN"/>
        </w:rPr>
        <w:t>contra a</w:t>
      </w:r>
      <w:r w:rsidR="00AB405A" w:rsidRPr="003A1174">
        <w:rPr>
          <w:rFonts w:ascii="Garamond" w:eastAsia="Times New Roman" w:hAnsi="Garamond" w:cs="Arial"/>
          <w:color w:val="000000" w:themeColor="text1"/>
          <w:sz w:val="24"/>
          <w:szCs w:val="24"/>
          <w:lang w:eastAsia="es-HN"/>
        </w:rPr>
        <w:t xml:space="preserve">s </w:t>
      </w:r>
      <w:r w:rsidR="00054EE0" w:rsidRPr="003A1174">
        <w:rPr>
          <w:rFonts w:ascii="Garamond" w:eastAsia="Times New Roman" w:hAnsi="Garamond" w:cs="Arial"/>
          <w:color w:val="000000" w:themeColor="text1"/>
          <w:sz w:val="24"/>
          <w:szCs w:val="24"/>
          <w:lang w:eastAsia="es-HN"/>
        </w:rPr>
        <w:t>mulheres</w:t>
      </w:r>
      <w:r w:rsidR="00AB405A" w:rsidRPr="003A1174">
        <w:rPr>
          <w:rFonts w:ascii="Garamond" w:eastAsia="Times New Roman" w:hAnsi="Garamond" w:cs="Arial"/>
          <w:color w:val="000000" w:themeColor="text1"/>
          <w:sz w:val="24"/>
          <w:szCs w:val="24"/>
          <w:lang w:eastAsia="es-HN"/>
        </w:rPr>
        <w:t>, tradu</w:t>
      </w:r>
      <w:r w:rsidR="00862120" w:rsidRPr="003A1174">
        <w:rPr>
          <w:rFonts w:ascii="Garamond" w:eastAsia="Times New Roman" w:hAnsi="Garamond" w:cs="Arial"/>
          <w:color w:val="000000" w:themeColor="text1"/>
          <w:sz w:val="24"/>
          <w:szCs w:val="24"/>
          <w:lang w:eastAsia="es-HN"/>
        </w:rPr>
        <w:t>z</w:t>
      </w:r>
      <w:r w:rsidR="00AB405A" w:rsidRPr="003A1174">
        <w:rPr>
          <w:rFonts w:ascii="Garamond" w:eastAsia="Times New Roman" w:hAnsi="Garamond" w:cs="Arial"/>
          <w:color w:val="000000" w:themeColor="text1"/>
          <w:sz w:val="24"/>
          <w:szCs w:val="24"/>
          <w:lang w:eastAsia="es-HN"/>
        </w:rPr>
        <w:t>ido e</w:t>
      </w:r>
      <w:r w:rsidR="00862120" w:rsidRPr="003A1174">
        <w:rPr>
          <w:rFonts w:ascii="Garamond" w:eastAsia="Times New Roman" w:hAnsi="Garamond" w:cs="Arial"/>
          <w:color w:val="000000" w:themeColor="text1"/>
          <w:sz w:val="24"/>
          <w:szCs w:val="24"/>
          <w:lang w:eastAsia="es-HN"/>
        </w:rPr>
        <w:t>m</w:t>
      </w:r>
      <w:r w:rsidR="00AB405A" w:rsidRPr="003A1174">
        <w:rPr>
          <w:rFonts w:ascii="Garamond" w:eastAsia="Times New Roman" w:hAnsi="Garamond" w:cs="Arial"/>
          <w:color w:val="000000" w:themeColor="text1"/>
          <w:sz w:val="24"/>
          <w:szCs w:val="24"/>
          <w:lang w:eastAsia="es-HN"/>
        </w:rPr>
        <w:t xml:space="preserve"> </w:t>
      </w:r>
      <w:r w:rsidR="000350B1" w:rsidRPr="003A1174">
        <w:rPr>
          <w:rFonts w:ascii="Garamond" w:eastAsia="Times New Roman" w:hAnsi="Garamond" w:cs="Arial"/>
          <w:color w:val="000000" w:themeColor="text1"/>
          <w:sz w:val="24"/>
          <w:szCs w:val="24"/>
          <w:lang w:eastAsia="es-HN"/>
        </w:rPr>
        <w:t>violência</w:t>
      </w:r>
      <w:r w:rsidR="00AB405A" w:rsidRPr="003A1174">
        <w:rPr>
          <w:rFonts w:ascii="Garamond" w:eastAsia="Times New Roman" w:hAnsi="Garamond" w:cs="Arial"/>
          <w:color w:val="000000" w:themeColor="text1"/>
          <w:sz w:val="24"/>
          <w:szCs w:val="24"/>
          <w:lang w:eastAsia="es-HN"/>
        </w:rPr>
        <w:t xml:space="preserve"> doméstica, </w:t>
      </w:r>
      <w:r w:rsidR="007C63D0" w:rsidRPr="003A1174">
        <w:rPr>
          <w:rFonts w:ascii="Garamond" w:eastAsia="Times New Roman" w:hAnsi="Garamond" w:cs="Arial"/>
          <w:color w:val="000000" w:themeColor="text1"/>
          <w:sz w:val="24"/>
          <w:szCs w:val="24"/>
          <w:lang w:eastAsia="es-HN"/>
        </w:rPr>
        <w:t>morte</w:t>
      </w:r>
      <w:r w:rsidR="00AB405A" w:rsidRPr="003A1174">
        <w:rPr>
          <w:rFonts w:ascii="Garamond" w:eastAsia="Times New Roman" w:hAnsi="Garamond" w:cs="Arial"/>
          <w:color w:val="000000" w:themeColor="text1"/>
          <w:sz w:val="24"/>
          <w:szCs w:val="24"/>
          <w:lang w:eastAsia="es-HN"/>
        </w:rPr>
        <w:t xml:space="preserve">s violentas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w:t>
      </w:r>
      <w:r w:rsidR="005C051C" w:rsidRPr="003A1174">
        <w:rPr>
          <w:rFonts w:ascii="Garamond" w:eastAsia="Times New Roman" w:hAnsi="Garamond" w:cs="Arial"/>
          <w:color w:val="000000" w:themeColor="text1"/>
          <w:sz w:val="24"/>
          <w:szCs w:val="24"/>
          <w:lang w:eastAsia="es-HN"/>
        </w:rPr>
        <w:t>femicídio</w:t>
      </w:r>
      <w:r w:rsidR="00AB405A" w:rsidRPr="003A1174">
        <w:rPr>
          <w:rFonts w:ascii="Garamond" w:eastAsia="Times New Roman" w:hAnsi="Garamond" w:cs="Arial"/>
          <w:color w:val="000000" w:themeColor="text1"/>
          <w:sz w:val="24"/>
          <w:szCs w:val="24"/>
          <w:lang w:eastAsia="es-HN"/>
        </w:rPr>
        <w:t>s, n</w:t>
      </w:r>
      <w:r w:rsidR="00862120" w:rsidRPr="003A1174">
        <w:rPr>
          <w:rFonts w:ascii="Garamond" w:eastAsia="Times New Roman" w:hAnsi="Garamond" w:cs="Arial"/>
          <w:color w:val="000000" w:themeColor="text1"/>
          <w:sz w:val="24"/>
          <w:szCs w:val="24"/>
          <w:lang w:eastAsia="es-HN"/>
        </w:rPr>
        <w:t>ã</w:t>
      </w:r>
      <w:r w:rsidR="00AB405A" w:rsidRPr="003A1174">
        <w:rPr>
          <w:rFonts w:ascii="Garamond" w:eastAsia="Times New Roman" w:hAnsi="Garamond" w:cs="Arial"/>
          <w:color w:val="000000" w:themeColor="text1"/>
          <w:sz w:val="24"/>
          <w:szCs w:val="24"/>
          <w:lang w:eastAsia="es-HN"/>
        </w:rPr>
        <w:t>o diminu</w:t>
      </w:r>
      <w:r w:rsidR="00862120" w:rsidRPr="003A1174">
        <w:rPr>
          <w:rFonts w:ascii="Garamond" w:eastAsia="Times New Roman" w:hAnsi="Garamond" w:cs="Arial"/>
          <w:color w:val="000000" w:themeColor="text1"/>
          <w:sz w:val="24"/>
          <w:szCs w:val="24"/>
          <w:lang w:eastAsia="es-HN"/>
        </w:rPr>
        <w:t>i</w:t>
      </w:r>
      <w:r w:rsidR="00A4048F">
        <w:rPr>
          <w:rFonts w:ascii="Garamond" w:eastAsia="Times New Roman" w:hAnsi="Garamond" w:cs="Arial"/>
          <w:color w:val="000000" w:themeColor="text1"/>
          <w:sz w:val="24"/>
          <w:szCs w:val="24"/>
          <w:lang w:eastAsia="es-HN"/>
        </w:rPr>
        <w:t>u</w:t>
      </w:r>
      <w:r w:rsidR="00AB405A" w:rsidRPr="003A1174">
        <w:rPr>
          <w:rFonts w:ascii="Garamond" w:eastAsia="Times New Roman" w:hAnsi="Garamond" w:cs="Arial"/>
          <w:color w:val="000000" w:themeColor="text1"/>
          <w:sz w:val="24"/>
          <w:szCs w:val="24"/>
          <w:lang w:eastAsia="es-HN"/>
        </w:rPr>
        <w:t>.</w:t>
      </w:r>
    </w:p>
    <w:p w:rsidR="00AB405A" w:rsidRPr="003A1174" w:rsidRDefault="00A060D9" w:rsidP="008719D4">
      <w:pPr>
        <w:shd w:val="clear" w:color="auto" w:fill="FFFFFF"/>
        <w:spacing w:before="240" w:after="0" w:line="240" w:lineRule="auto"/>
        <w:jc w:val="both"/>
        <w:rPr>
          <w:rFonts w:ascii="Garamond" w:eastAsia="Times New Roman" w:hAnsi="Garamond" w:cs="Arial"/>
          <w:color w:val="000000" w:themeColor="text1"/>
          <w:sz w:val="24"/>
          <w:szCs w:val="24"/>
          <w:lang w:eastAsia="es-HN"/>
        </w:rPr>
      </w:pPr>
      <w:r w:rsidRPr="003A1174">
        <w:rPr>
          <w:rFonts w:ascii="Garamond" w:eastAsia="Times New Roman" w:hAnsi="Garamond" w:cs="Arial"/>
          <w:color w:val="000000" w:themeColor="text1"/>
          <w:sz w:val="24"/>
          <w:szCs w:val="24"/>
          <w:lang w:eastAsia="es-HN"/>
        </w:rPr>
        <w:t>Entre</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o</w:t>
      </w:r>
      <w:r w:rsidRPr="003A1174">
        <w:rPr>
          <w:rFonts w:ascii="Garamond" w:eastAsia="Times New Roman" w:hAnsi="Garamond" w:cs="Arial"/>
          <w:color w:val="000000" w:themeColor="text1"/>
          <w:sz w:val="24"/>
          <w:szCs w:val="24"/>
          <w:lang w:eastAsia="es-HN"/>
        </w:rPr>
        <w:t>s</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pedidos </w:t>
      </w:r>
      <w:r w:rsidR="00497503" w:rsidRPr="003A1174">
        <w:rPr>
          <w:rFonts w:ascii="Garamond" w:eastAsia="Times New Roman" w:hAnsi="Garamond" w:cs="Arial"/>
          <w:color w:val="000000" w:themeColor="text1"/>
          <w:sz w:val="24"/>
          <w:szCs w:val="24"/>
          <w:lang w:eastAsia="es-HN"/>
        </w:rPr>
        <w:t>das</w:t>
      </w:r>
      <w:r w:rsidR="00AB405A" w:rsidRPr="003A1174">
        <w:rPr>
          <w:rFonts w:ascii="Garamond" w:eastAsia="Times New Roman" w:hAnsi="Garamond" w:cs="Arial"/>
          <w:color w:val="000000" w:themeColor="text1"/>
          <w:sz w:val="24"/>
          <w:szCs w:val="24"/>
          <w:lang w:eastAsia="es-HN"/>
        </w:rPr>
        <w:t xml:space="preserve"> </w:t>
      </w:r>
      <w:r w:rsidR="00054EE0" w:rsidRPr="003A1174">
        <w:rPr>
          <w:rFonts w:ascii="Garamond" w:eastAsia="Times New Roman" w:hAnsi="Garamond" w:cs="Arial"/>
          <w:color w:val="000000" w:themeColor="text1"/>
          <w:sz w:val="24"/>
          <w:szCs w:val="24"/>
          <w:lang w:eastAsia="es-HN"/>
        </w:rPr>
        <w:t>mulheres</w:t>
      </w:r>
      <w:r w:rsidR="00AB405A" w:rsidRPr="003A1174">
        <w:rPr>
          <w:rFonts w:ascii="Garamond" w:eastAsia="Times New Roman" w:hAnsi="Garamond" w:cs="Arial"/>
          <w:color w:val="000000" w:themeColor="text1"/>
          <w:sz w:val="24"/>
          <w:szCs w:val="24"/>
          <w:lang w:eastAsia="es-HN"/>
        </w:rPr>
        <w:t xml:space="preserve"> organizadas</w:t>
      </w:r>
      <w:r w:rsidR="00A4048F">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w:t>
      </w:r>
      <w:r w:rsidR="00A4048F">
        <w:rPr>
          <w:rFonts w:ascii="Garamond" w:eastAsia="Times New Roman" w:hAnsi="Garamond" w:cs="Arial"/>
          <w:color w:val="000000" w:themeColor="text1"/>
          <w:sz w:val="24"/>
          <w:szCs w:val="24"/>
          <w:lang w:eastAsia="es-HN"/>
        </w:rPr>
        <w:t>destaca</w:t>
      </w:r>
      <w:r w:rsidR="00862120" w:rsidRPr="003A1174">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se a </w:t>
      </w:r>
      <w:r w:rsidR="006506C6" w:rsidRPr="003A1174">
        <w:rPr>
          <w:rFonts w:ascii="Garamond" w:eastAsia="Times New Roman" w:hAnsi="Garamond" w:cs="Arial"/>
          <w:color w:val="000000" w:themeColor="text1"/>
          <w:sz w:val="24"/>
          <w:szCs w:val="24"/>
          <w:lang w:eastAsia="es-HN"/>
        </w:rPr>
        <w:t>necessidade</w:t>
      </w:r>
      <w:r w:rsidR="00AB405A" w:rsidRPr="003A1174">
        <w:rPr>
          <w:rFonts w:ascii="Garamond" w:eastAsia="Times New Roman" w:hAnsi="Garamond" w:cs="Arial"/>
          <w:color w:val="000000" w:themeColor="text1"/>
          <w:sz w:val="24"/>
          <w:szCs w:val="24"/>
          <w:lang w:eastAsia="es-HN"/>
        </w:rPr>
        <w:t xml:space="preserve"> de abrir </w:t>
      </w:r>
      <w:r w:rsidR="00BA21ED" w:rsidRPr="003A1174">
        <w:rPr>
          <w:rFonts w:ascii="Garamond" w:eastAsia="Times New Roman" w:hAnsi="Garamond" w:cs="Arial"/>
          <w:color w:val="000000" w:themeColor="text1"/>
          <w:sz w:val="24"/>
          <w:szCs w:val="24"/>
          <w:lang w:eastAsia="es-HN"/>
        </w:rPr>
        <w:t>mais</w:t>
      </w:r>
      <w:r w:rsidR="00AB405A" w:rsidRPr="003A1174">
        <w:rPr>
          <w:rFonts w:ascii="Garamond" w:eastAsia="Times New Roman" w:hAnsi="Garamond" w:cs="Arial"/>
          <w:color w:val="000000" w:themeColor="text1"/>
          <w:sz w:val="24"/>
          <w:szCs w:val="24"/>
          <w:lang w:eastAsia="es-HN"/>
        </w:rPr>
        <w:t xml:space="preserve"> </w:t>
      </w:r>
      <w:r w:rsidR="00A4048F">
        <w:rPr>
          <w:rFonts w:ascii="Garamond" w:eastAsia="Times New Roman" w:hAnsi="Garamond" w:cs="Arial"/>
          <w:color w:val="000000" w:themeColor="text1"/>
          <w:sz w:val="24"/>
          <w:szCs w:val="24"/>
          <w:lang w:eastAsia="es-HN"/>
        </w:rPr>
        <w:t>t</w:t>
      </w:r>
      <w:r w:rsidR="002470B1" w:rsidRPr="003A1174">
        <w:rPr>
          <w:rFonts w:ascii="Garamond" w:eastAsia="Times New Roman" w:hAnsi="Garamond" w:cs="Arial"/>
          <w:color w:val="000000" w:themeColor="text1"/>
          <w:sz w:val="24"/>
          <w:szCs w:val="24"/>
          <w:lang w:eastAsia="es-HN"/>
        </w:rPr>
        <w:t>ribunais</w:t>
      </w:r>
      <w:r w:rsidR="00AB405A" w:rsidRPr="003A1174">
        <w:rPr>
          <w:rFonts w:ascii="Garamond" w:eastAsia="Times New Roman" w:hAnsi="Garamond" w:cs="Arial"/>
          <w:color w:val="000000" w:themeColor="text1"/>
          <w:sz w:val="24"/>
          <w:szCs w:val="24"/>
          <w:lang w:eastAsia="es-HN"/>
        </w:rPr>
        <w:t xml:space="preserve"> especializados</w:t>
      </w:r>
      <w:r w:rsidR="00A4048F">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no </w:t>
      </w:r>
      <w:r w:rsidR="00AB405A" w:rsidRPr="003A1174">
        <w:rPr>
          <w:rFonts w:ascii="Garamond" w:eastAsia="Times New Roman" w:hAnsi="Garamond" w:cs="Arial"/>
          <w:color w:val="000000" w:themeColor="text1"/>
          <w:sz w:val="24"/>
          <w:szCs w:val="24"/>
          <w:lang w:eastAsia="es-HN"/>
        </w:rPr>
        <w:t xml:space="preserve">tema </w:t>
      </w:r>
      <w:r w:rsidR="00AF192F" w:rsidRPr="003A1174">
        <w:rPr>
          <w:rFonts w:ascii="Garamond" w:eastAsia="Times New Roman" w:hAnsi="Garamond" w:cs="Arial"/>
          <w:color w:val="000000" w:themeColor="text1"/>
          <w:sz w:val="24"/>
          <w:szCs w:val="24"/>
          <w:lang w:eastAsia="es-HN"/>
        </w:rPr>
        <w:t>mulher</w:t>
      </w:r>
      <w:r w:rsidR="00A4048F">
        <w:rPr>
          <w:rFonts w:ascii="Garamond" w:eastAsia="Times New Roman" w:hAnsi="Garamond" w:cs="Arial"/>
          <w:color w:val="000000" w:themeColor="text1"/>
          <w:sz w:val="24"/>
          <w:szCs w:val="24"/>
          <w:lang w:eastAsia="es-HN"/>
        </w:rPr>
        <w:t>, em outras</w:t>
      </w:r>
      <w:r w:rsidR="00AB405A" w:rsidRPr="003A1174">
        <w:rPr>
          <w:rFonts w:ascii="Garamond" w:eastAsia="Times New Roman" w:hAnsi="Garamond" w:cs="Arial"/>
          <w:color w:val="000000" w:themeColor="text1"/>
          <w:sz w:val="24"/>
          <w:szCs w:val="24"/>
          <w:lang w:eastAsia="es-HN"/>
        </w:rPr>
        <w:t xml:space="preserve"> zonas </w:t>
      </w:r>
      <w:r w:rsidR="00E85E59" w:rsidRPr="003A1174">
        <w:rPr>
          <w:rFonts w:ascii="Garamond" w:eastAsia="Times New Roman" w:hAnsi="Garamond" w:cs="Arial"/>
          <w:color w:val="000000" w:themeColor="text1"/>
          <w:sz w:val="24"/>
          <w:szCs w:val="24"/>
          <w:lang w:eastAsia="es-HN"/>
        </w:rPr>
        <w:t>do</w:t>
      </w:r>
      <w:r w:rsidR="00862120" w:rsidRPr="003A1174">
        <w:rPr>
          <w:rFonts w:ascii="Garamond" w:eastAsia="Times New Roman" w:hAnsi="Garamond" w:cs="Arial"/>
          <w:color w:val="000000" w:themeColor="text1"/>
          <w:sz w:val="24"/>
          <w:szCs w:val="24"/>
          <w:lang w:eastAsia="es-HN"/>
        </w:rPr>
        <w:t xml:space="preserve"> país, </w:t>
      </w:r>
      <w:r w:rsidR="00AB405A" w:rsidRPr="003A1174">
        <w:rPr>
          <w:rFonts w:ascii="Garamond" w:eastAsia="Times New Roman" w:hAnsi="Garamond" w:cs="Arial"/>
          <w:color w:val="000000" w:themeColor="text1"/>
          <w:sz w:val="24"/>
          <w:szCs w:val="24"/>
          <w:lang w:eastAsia="es-HN"/>
        </w:rPr>
        <w:t xml:space="preserve">a </w:t>
      </w:r>
      <w:r w:rsidR="00201889" w:rsidRPr="003A1174">
        <w:rPr>
          <w:rFonts w:ascii="Garamond" w:eastAsia="Times New Roman" w:hAnsi="Garamond" w:cs="Arial"/>
          <w:color w:val="000000" w:themeColor="text1"/>
          <w:sz w:val="24"/>
          <w:szCs w:val="24"/>
          <w:lang w:eastAsia="es-HN"/>
        </w:rPr>
        <w:t>criação</w:t>
      </w:r>
      <w:r w:rsidR="00862120" w:rsidRPr="003A1174">
        <w:rPr>
          <w:rFonts w:ascii="Garamond" w:eastAsia="Times New Roman" w:hAnsi="Garamond" w:cs="Arial"/>
          <w:color w:val="000000" w:themeColor="text1"/>
          <w:sz w:val="24"/>
          <w:szCs w:val="24"/>
          <w:lang w:eastAsia="es-HN"/>
        </w:rPr>
        <w:t xml:space="preserve"> de um</w:t>
      </w:r>
      <w:r w:rsidR="00AB405A" w:rsidRPr="003A1174">
        <w:rPr>
          <w:rFonts w:ascii="Garamond" w:eastAsia="Times New Roman" w:hAnsi="Garamond" w:cs="Arial"/>
          <w:color w:val="000000" w:themeColor="text1"/>
          <w:sz w:val="24"/>
          <w:szCs w:val="24"/>
          <w:lang w:eastAsia="es-HN"/>
        </w:rPr>
        <w:t xml:space="preserve">a </w:t>
      </w:r>
      <w:r w:rsidR="00D4575C" w:rsidRPr="003A1174">
        <w:rPr>
          <w:rFonts w:ascii="Garamond" w:eastAsia="Times New Roman" w:hAnsi="Garamond" w:cs="Arial"/>
          <w:color w:val="000000" w:themeColor="text1"/>
          <w:sz w:val="24"/>
          <w:szCs w:val="24"/>
          <w:lang w:eastAsia="es-HN"/>
        </w:rPr>
        <w:t>linha</w:t>
      </w:r>
      <w:r w:rsidR="00AB405A" w:rsidRPr="003A1174">
        <w:rPr>
          <w:rFonts w:ascii="Garamond" w:eastAsia="Times New Roman" w:hAnsi="Garamond" w:cs="Arial"/>
          <w:color w:val="000000" w:themeColor="text1"/>
          <w:sz w:val="24"/>
          <w:szCs w:val="24"/>
          <w:lang w:eastAsia="es-HN"/>
        </w:rPr>
        <w:t xml:space="preserve"> específica para a </w:t>
      </w:r>
      <w:r w:rsidR="00886D6A" w:rsidRPr="003A1174">
        <w:rPr>
          <w:rFonts w:ascii="Garamond" w:eastAsia="Times New Roman" w:hAnsi="Garamond" w:cs="Arial"/>
          <w:color w:val="000000" w:themeColor="text1"/>
          <w:sz w:val="24"/>
          <w:szCs w:val="24"/>
          <w:lang w:eastAsia="es-HN"/>
        </w:rPr>
        <w:t>investigação</w:t>
      </w:r>
      <w:r w:rsidR="00AB405A" w:rsidRPr="003A1174">
        <w:rPr>
          <w:rFonts w:ascii="Garamond" w:eastAsia="Times New Roman" w:hAnsi="Garamond" w:cs="Arial"/>
          <w:color w:val="000000" w:themeColor="text1"/>
          <w:sz w:val="24"/>
          <w:szCs w:val="24"/>
          <w:lang w:eastAsia="es-HN"/>
        </w:rPr>
        <w:t xml:space="preserve"> de as</w:t>
      </w:r>
      <w:r w:rsidR="00862120" w:rsidRPr="003A1174">
        <w:rPr>
          <w:rFonts w:ascii="Garamond" w:eastAsia="Times New Roman" w:hAnsi="Garamond" w:cs="Arial"/>
          <w:color w:val="000000" w:themeColor="text1"/>
          <w:sz w:val="24"/>
          <w:szCs w:val="24"/>
          <w:lang w:eastAsia="es-HN"/>
        </w:rPr>
        <w:t>sas</w:t>
      </w:r>
      <w:r w:rsidR="00AB405A" w:rsidRPr="003A1174">
        <w:rPr>
          <w:rFonts w:ascii="Garamond" w:eastAsia="Times New Roman" w:hAnsi="Garamond" w:cs="Arial"/>
          <w:color w:val="000000" w:themeColor="text1"/>
          <w:sz w:val="24"/>
          <w:szCs w:val="24"/>
          <w:lang w:eastAsia="es-HN"/>
        </w:rPr>
        <w:t xml:space="preserve">sinatos </w:t>
      </w:r>
      <w:r w:rsidR="00BB2B00" w:rsidRPr="003A1174">
        <w:rPr>
          <w:rFonts w:ascii="Garamond" w:eastAsia="Times New Roman" w:hAnsi="Garamond" w:cs="Arial"/>
          <w:color w:val="000000" w:themeColor="text1"/>
          <w:sz w:val="24"/>
          <w:szCs w:val="24"/>
          <w:lang w:eastAsia="es-HN"/>
        </w:rPr>
        <w:t>contra a</w:t>
      </w:r>
      <w:r w:rsidR="00AB405A" w:rsidRPr="003A1174">
        <w:rPr>
          <w:rFonts w:ascii="Garamond" w:eastAsia="Times New Roman" w:hAnsi="Garamond" w:cs="Arial"/>
          <w:color w:val="000000" w:themeColor="text1"/>
          <w:sz w:val="24"/>
          <w:szCs w:val="24"/>
          <w:lang w:eastAsia="es-HN"/>
        </w:rPr>
        <w:t xml:space="preserve">s </w:t>
      </w:r>
      <w:r w:rsidR="00054EE0" w:rsidRPr="003A1174">
        <w:rPr>
          <w:rFonts w:ascii="Garamond" w:eastAsia="Times New Roman" w:hAnsi="Garamond" w:cs="Arial"/>
          <w:color w:val="000000" w:themeColor="text1"/>
          <w:sz w:val="24"/>
          <w:szCs w:val="24"/>
          <w:lang w:eastAsia="es-HN"/>
        </w:rPr>
        <w:t>mulheres</w:t>
      </w:r>
      <w:r w:rsidR="00A4048F">
        <w:rPr>
          <w:rFonts w:ascii="Garamond" w:eastAsia="Times New Roman" w:hAnsi="Garamond" w:cs="Arial"/>
          <w:color w:val="000000" w:themeColor="text1"/>
          <w:sz w:val="24"/>
          <w:szCs w:val="24"/>
          <w:lang w:eastAsia="es-HN"/>
        </w:rPr>
        <w:t>,</w:t>
      </w:r>
      <w:r w:rsidR="00AB405A" w:rsidRPr="003A1174">
        <w:rPr>
          <w:rFonts w:ascii="Garamond" w:eastAsia="Times New Roman" w:hAnsi="Garamond" w:cs="Arial"/>
          <w:color w:val="000000" w:themeColor="text1"/>
          <w:sz w:val="24"/>
          <w:szCs w:val="24"/>
          <w:lang w:eastAsia="es-HN"/>
        </w:rPr>
        <w:t xml:space="preserve"> </w:t>
      </w:r>
      <w:r w:rsidR="00A4048F">
        <w:rPr>
          <w:rFonts w:ascii="Garamond" w:eastAsia="Times New Roman" w:hAnsi="Garamond" w:cs="Arial"/>
          <w:color w:val="000000" w:themeColor="text1"/>
          <w:sz w:val="24"/>
          <w:szCs w:val="24"/>
          <w:lang w:eastAsia="es-HN"/>
        </w:rPr>
        <w:t xml:space="preserve">sob a tutela </w:t>
      </w:r>
      <w:r w:rsidR="00AB405A" w:rsidRPr="003A1174">
        <w:rPr>
          <w:rFonts w:ascii="Garamond" w:eastAsia="Times New Roman" w:hAnsi="Garamond" w:cs="Arial"/>
          <w:color w:val="000000" w:themeColor="text1"/>
          <w:sz w:val="24"/>
          <w:szCs w:val="24"/>
          <w:lang w:eastAsia="es-HN"/>
        </w:rPr>
        <w:t xml:space="preserve">da </w:t>
      </w:r>
      <w:r w:rsidR="00D75A07" w:rsidRPr="003A1174">
        <w:rPr>
          <w:rFonts w:ascii="Garamond" w:eastAsia="Times New Roman" w:hAnsi="Garamond" w:cs="Arial"/>
          <w:color w:val="000000" w:themeColor="text1"/>
          <w:sz w:val="24"/>
          <w:szCs w:val="24"/>
          <w:lang w:eastAsia="es-HN"/>
        </w:rPr>
        <w:t>Secretaria</w:t>
      </w:r>
      <w:r w:rsidR="00AB405A" w:rsidRPr="003A1174">
        <w:rPr>
          <w:rFonts w:ascii="Garamond" w:eastAsia="Times New Roman" w:hAnsi="Garamond" w:cs="Arial"/>
          <w:color w:val="000000" w:themeColor="text1"/>
          <w:sz w:val="24"/>
          <w:szCs w:val="24"/>
          <w:lang w:eastAsia="es-HN"/>
        </w:rPr>
        <w:t xml:space="preserve"> de </w:t>
      </w:r>
      <w:r w:rsidR="00D15AFF" w:rsidRPr="003A1174">
        <w:rPr>
          <w:rFonts w:ascii="Garamond" w:eastAsia="Times New Roman" w:hAnsi="Garamond" w:cs="Arial"/>
          <w:color w:val="000000" w:themeColor="text1"/>
          <w:sz w:val="24"/>
          <w:szCs w:val="24"/>
          <w:lang w:eastAsia="es-HN"/>
        </w:rPr>
        <w:t>Segurança</w:t>
      </w:r>
      <w:r w:rsidR="00AB405A" w:rsidRPr="003A1174">
        <w:rPr>
          <w:rFonts w:ascii="Garamond" w:eastAsia="Times New Roman" w:hAnsi="Garamond" w:cs="Arial"/>
          <w:color w:val="000000" w:themeColor="text1"/>
          <w:sz w:val="24"/>
          <w:szCs w:val="24"/>
          <w:lang w:eastAsia="es-HN"/>
        </w:rPr>
        <w:t xml:space="preserve">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o </w:t>
      </w:r>
      <w:r w:rsidR="00DC5DA7" w:rsidRPr="003A1174">
        <w:rPr>
          <w:rFonts w:ascii="Garamond" w:eastAsia="Times New Roman" w:hAnsi="Garamond" w:cs="Arial"/>
          <w:color w:val="000000" w:themeColor="text1"/>
          <w:sz w:val="24"/>
          <w:szCs w:val="24"/>
          <w:lang w:eastAsia="es-HN"/>
        </w:rPr>
        <w:t>fortalecimento</w:t>
      </w:r>
      <w:r w:rsidR="00AB405A" w:rsidRPr="003A1174">
        <w:rPr>
          <w:rFonts w:ascii="Garamond" w:eastAsia="Times New Roman" w:hAnsi="Garamond" w:cs="Arial"/>
          <w:color w:val="000000" w:themeColor="text1"/>
          <w:sz w:val="24"/>
          <w:szCs w:val="24"/>
          <w:lang w:eastAsia="es-HN"/>
        </w:rPr>
        <w:t xml:space="preserve"> da </w:t>
      </w:r>
      <w:r w:rsidR="009F0311" w:rsidRPr="003A1174">
        <w:rPr>
          <w:rFonts w:ascii="Garamond" w:eastAsia="Times New Roman" w:hAnsi="Garamond" w:cs="Arial"/>
          <w:color w:val="000000" w:themeColor="text1"/>
          <w:sz w:val="24"/>
          <w:szCs w:val="24"/>
          <w:lang w:eastAsia="es-HN"/>
        </w:rPr>
        <w:t>Procuradoria</w:t>
      </w:r>
      <w:r w:rsidR="00AB405A" w:rsidRPr="003A1174">
        <w:rPr>
          <w:rFonts w:ascii="Garamond" w:eastAsia="Times New Roman" w:hAnsi="Garamond" w:cs="Arial"/>
          <w:color w:val="000000" w:themeColor="text1"/>
          <w:sz w:val="24"/>
          <w:szCs w:val="24"/>
          <w:lang w:eastAsia="es-HN"/>
        </w:rPr>
        <w:t xml:space="preserve"> Especial da </w:t>
      </w:r>
      <w:r w:rsidR="00AF192F" w:rsidRPr="003A1174">
        <w:rPr>
          <w:rFonts w:ascii="Garamond" w:eastAsia="Times New Roman" w:hAnsi="Garamond" w:cs="Arial"/>
          <w:color w:val="000000" w:themeColor="text1"/>
          <w:sz w:val="24"/>
          <w:szCs w:val="24"/>
          <w:lang w:eastAsia="es-HN"/>
        </w:rPr>
        <w:t>Mulher</w:t>
      </w:r>
      <w:r w:rsidR="00AB405A" w:rsidRPr="003A1174">
        <w:rPr>
          <w:rFonts w:ascii="Garamond" w:eastAsia="Times New Roman" w:hAnsi="Garamond" w:cs="Arial"/>
          <w:color w:val="000000" w:themeColor="text1"/>
          <w:sz w:val="24"/>
          <w:szCs w:val="24"/>
          <w:lang w:eastAsia="es-HN"/>
        </w:rPr>
        <w:t xml:space="preserve"> </w:t>
      </w:r>
      <w:r w:rsidR="00862120" w:rsidRPr="003A1174">
        <w:rPr>
          <w:rFonts w:ascii="Garamond" w:eastAsia="Times New Roman" w:hAnsi="Garamond" w:cs="Arial"/>
          <w:color w:val="000000" w:themeColor="text1"/>
          <w:sz w:val="24"/>
          <w:szCs w:val="24"/>
          <w:lang w:eastAsia="es-HN"/>
        </w:rPr>
        <w:t xml:space="preserve">quanto à sua </w:t>
      </w:r>
      <w:r w:rsidR="00152A44" w:rsidRPr="003A1174">
        <w:rPr>
          <w:rFonts w:ascii="Garamond" w:eastAsia="Times New Roman" w:hAnsi="Garamond" w:cs="Arial"/>
          <w:color w:val="000000" w:themeColor="text1"/>
          <w:sz w:val="24"/>
          <w:szCs w:val="24"/>
          <w:lang w:eastAsia="es-HN"/>
        </w:rPr>
        <w:t>capacidade</w:t>
      </w:r>
      <w:r w:rsidR="00862120" w:rsidRPr="003A1174">
        <w:rPr>
          <w:rFonts w:ascii="Garamond" w:eastAsia="Times New Roman" w:hAnsi="Garamond" w:cs="Arial"/>
          <w:color w:val="000000" w:themeColor="text1"/>
          <w:sz w:val="24"/>
          <w:szCs w:val="24"/>
          <w:lang w:eastAsia="es-HN"/>
        </w:rPr>
        <w:t xml:space="preserve"> de </w:t>
      </w:r>
      <w:r w:rsidR="00AB405A" w:rsidRPr="003A1174">
        <w:rPr>
          <w:rFonts w:ascii="Garamond" w:eastAsia="Times New Roman" w:hAnsi="Garamond" w:cs="Arial"/>
          <w:color w:val="000000" w:themeColor="text1"/>
          <w:sz w:val="24"/>
          <w:szCs w:val="24"/>
          <w:lang w:eastAsia="es-HN"/>
        </w:rPr>
        <w:t>investiga</w:t>
      </w:r>
      <w:r w:rsidR="00862120" w:rsidRPr="003A1174">
        <w:rPr>
          <w:rFonts w:ascii="Garamond" w:eastAsia="Times New Roman" w:hAnsi="Garamond" w:cs="Arial"/>
          <w:color w:val="000000" w:themeColor="text1"/>
          <w:sz w:val="24"/>
          <w:szCs w:val="24"/>
          <w:lang w:eastAsia="es-HN"/>
        </w:rPr>
        <w:t xml:space="preserve">ção </w:t>
      </w:r>
      <w:r w:rsidR="000672E8" w:rsidRPr="003A1174">
        <w:rPr>
          <w:rFonts w:ascii="Garamond" w:eastAsia="Times New Roman" w:hAnsi="Garamond" w:cs="Arial"/>
          <w:color w:val="000000" w:themeColor="text1"/>
          <w:sz w:val="24"/>
          <w:szCs w:val="24"/>
          <w:lang w:eastAsia="es-HN"/>
        </w:rPr>
        <w:t>e</w:t>
      </w:r>
      <w:r w:rsidR="00AB405A" w:rsidRPr="003A1174">
        <w:rPr>
          <w:rFonts w:ascii="Garamond" w:eastAsia="Times New Roman" w:hAnsi="Garamond" w:cs="Arial"/>
          <w:color w:val="000000" w:themeColor="text1"/>
          <w:sz w:val="24"/>
          <w:szCs w:val="24"/>
          <w:lang w:eastAsia="es-HN"/>
        </w:rPr>
        <w:t xml:space="preserve"> de </w:t>
      </w:r>
      <w:r w:rsidR="00EB2F44" w:rsidRPr="003A1174">
        <w:rPr>
          <w:rFonts w:ascii="Garamond" w:eastAsia="Times New Roman" w:hAnsi="Garamond" w:cs="Arial"/>
          <w:color w:val="000000" w:themeColor="text1"/>
          <w:sz w:val="24"/>
          <w:szCs w:val="24"/>
          <w:lang w:eastAsia="es-HN"/>
        </w:rPr>
        <w:t>formulação</w:t>
      </w:r>
      <w:r w:rsidR="002D7492" w:rsidRPr="003A1174">
        <w:rPr>
          <w:rFonts w:ascii="Garamond" w:eastAsia="Times New Roman" w:hAnsi="Garamond" w:cs="Arial"/>
          <w:color w:val="000000" w:themeColor="text1"/>
          <w:sz w:val="24"/>
          <w:szCs w:val="24"/>
          <w:lang w:eastAsia="es-HN"/>
        </w:rPr>
        <w:t xml:space="preserve"> de requerim</w:t>
      </w:r>
      <w:r w:rsidR="00C635E5" w:rsidRPr="003A1174">
        <w:rPr>
          <w:rFonts w:ascii="Garamond" w:eastAsia="Times New Roman" w:hAnsi="Garamond" w:cs="Arial"/>
          <w:color w:val="000000" w:themeColor="text1"/>
          <w:sz w:val="24"/>
          <w:szCs w:val="24"/>
          <w:lang w:eastAsia="es-HN"/>
        </w:rPr>
        <w:t>entos</w:t>
      </w:r>
      <w:r w:rsidR="002D7492" w:rsidRPr="003A1174">
        <w:rPr>
          <w:rFonts w:ascii="Garamond" w:eastAsia="Times New Roman" w:hAnsi="Garamond" w:cs="Arial"/>
          <w:color w:val="000000" w:themeColor="text1"/>
          <w:sz w:val="24"/>
          <w:szCs w:val="24"/>
          <w:lang w:eastAsia="es-HN"/>
        </w:rPr>
        <w:t>.</w:t>
      </w:r>
    </w:p>
    <w:p w:rsidR="00AB405A" w:rsidRPr="003A1174" w:rsidRDefault="00CF5971" w:rsidP="008719D4">
      <w:pPr>
        <w:pStyle w:val="Ttulo2"/>
        <w:rPr>
          <w:rFonts w:ascii="Garamond" w:hAnsi="Garamond"/>
          <w:sz w:val="24"/>
          <w:szCs w:val="24"/>
        </w:rPr>
      </w:pPr>
      <w:bookmarkStart w:id="77" w:name="_Toc421529764"/>
      <w:r w:rsidRPr="003A1174">
        <w:rPr>
          <w:rFonts w:ascii="Garamond" w:hAnsi="Garamond"/>
          <w:sz w:val="24"/>
          <w:szCs w:val="24"/>
        </w:rPr>
        <w:t>México</w:t>
      </w:r>
      <w:bookmarkEnd w:id="77"/>
    </w:p>
    <w:p w:rsidR="00AB405A" w:rsidRPr="003A1174" w:rsidRDefault="00526535" w:rsidP="008719D4">
      <w:pPr>
        <w:spacing w:before="240" w:after="0" w:line="240" w:lineRule="auto"/>
        <w:jc w:val="both"/>
        <w:rPr>
          <w:rFonts w:ascii="Garamond" w:hAnsi="Garamond" w:cs="Arial"/>
          <w:sz w:val="24"/>
          <w:szCs w:val="24"/>
        </w:rPr>
      </w:pPr>
      <w:r>
        <w:rPr>
          <w:rFonts w:ascii="Garamond" w:hAnsi="Garamond" w:cs="Arial"/>
          <w:sz w:val="24"/>
          <w:szCs w:val="24"/>
        </w:rPr>
        <w:t>No México, no que respeita ao Orçamento de saídas do conjunto da Federação, i</w:t>
      </w:r>
      <w:r w:rsidR="00C635E5" w:rsidRPr="003A1174">
        <w:rPr>
          <w:rFonts w:ascii="Garamond" w:hAnsi="Garamond" w:cs="Arial"/>
          <w:sz w:val="24"/>
          <w:szCs w:val="24"/>
        </w:rPr>
        <w:t>n</w:t>
      </w:r>
      <w:r w:rsidR="00AB405A" w:rsidRPr="003A1174">
        <w:rPr>
          <w:rFonts w:ascii="Garamond" w:hAnsi="Garamond" w:cs="Arial"/>
          <w:sz w:val="24"/>
          <w:szCs w:val="24"/>
        </w:rPr>
        <w:t>dica</w:t>
      </w:r>
      <w:r w:rsidR="00C635E5" w:rsidRPr="003A1174">
        <w:rPr>
          <w:rFonts w:ascii="Garamond" w:hAnsi="Garamond" w:cs="Arial"/>
          <w:sz w:val="24"/>
          <w:szCs w:val="24"/>
        </w:rPr>
        <w:t>-se</w:t>
      </w:r>
      <w:r>
        <w:rPr>
          <w:rFonts w:ascii="Garamond" w:hAnsi="Garamond" w:cs="Arial"/>
          <w:sz w:val="24"/>
          <w:szCs w:val="24"/>
        </w:rPr>
        <w:t>,</w:t>
      </w:r>
      <w:r w:rsidR="00AB405A" w:rsidRPr="003A1174">
        <w:rPr>
          <w:rFonts w:ascii="Garamond" w:hAnsi="Garamond" w:cs="Arial"/>
          <w:sz w:val="24"/>
          <w:szCs w:val="24"/>
        </w:rPr>
        <w:t xml:space="preserve"> sucintamente</w:t>
      </w:r>
      <w:r>
        <w:rPr>
          <w:rFonts w:ascii="Garamond" w:hAnsi="Garamond" w:cs="Arial"/>
          <w:sz w:val="24"/>
          <w:szCs w:val="24"/>
        </w:rPr>
        <w:t>,</w:t>
      </w:r>
      <w:r w:rsidR="00AB405A" w:rsidRPr="003A1174">
        <w:rPr>
          <w:rFonts w:ascii="Garamond" w:hAnsi="Garamond" w:cs="Arial"/>
          <w:sz w:val="24"/>
          <w:szCs w:val="24"/>
        </w:rPr>
        <w:t xml:space="preserve"> que entre </w:t>
      </w:r>
      <w:r w:rsidR="00C635E5" w:rsidRPr="003A1174">
        <w:rPr>
          <w:rFonts w:ascii="Garamond" w:hAnsi="Garamond" w:cs="Arial"/>
          <w:sz w:val="24"/>
          <w:szCs w:val="24"/>
        </w:rPr>
        <w:t xml:space="preserve">o </w:t>
      </w:r>
      <w:r w:rsidR="00731B19" w:rsidRPr="003A1174">
        <w:rPr>
          <w:rFonts w:ascii="Garamond" w:hAnsi="Garamond" w:cs="Arial"/>
          <w:sz w:val="24"/>
          <w:szCs w:val="24"/>
        </w:rPr>
        <w:t>Exercício</w:t>
      </w:r>
      <w:r w:rsidR="00AB405A" w:rsidRPr="003A1174">
        <w:rPr>
          <w:rFonts w:ascii="Garamond" w:hAnsi="Garamond" w:cs="Arial"/>
          <w:sz w:val="24"/>
          <w:szCs w:val="24"/>
        </w:rPr>
        <w:t xml:space="preserve"> Fiscal </w:t>
      </w:r>
      <w:r>
        <w:rPr>
          <w:rFonts w:ascii="Garamond" w:hAnsi="Garamond" w:cs="Arial"/>
          <w:sz w:val="24"/>
          <w:szCs w:val="24"/>
        </w:rPr>
        <w:t xml:space="preserve">de </w:t>
      </w:r>
      <w:r w:rsidR="00AB405A" w:rsidRPr="003A1174">
        <w:rPr>
          <w:rFonts w:ascii="Garamond" w:hAnsi="Garamond" w:cs="Arial"/>
          <w:sz w:val="24"/>
          <w:szCs w:val="24"/>
        </w:rPr>
        <w:t xml:space="preserve">2013 </w:t>
      </w:r>
      <w:r w:rsidR="000672E8" w:rsidRPr="003A1174">
        <w:rPr>
          <w:rFonts w:ascii="Garamond" w:hAnsi="Garamond" w:cs="Arial"/>
          <w:sz w:val="24"/>
          <w:szCs w:val="24"/>
        </w:rPr>
        <w:t>e</w:t>
      </w:r>
      <w:r w:rsidR="00AB405A" w:rsidRPr="003A1174">
        <w:rPr>
          <w:rFonts w:ascii="Garamond" w:hAnsi="Garamond" w:cs="Arial"/>
          <w:sz w:val="24"/>
          <w:szCs w:val="24"/>
        </w:rPr>
        <w:t xml:space="preserve"> </w:t>
      </w:r>
      <w:r w:rsidR="00C635E5" w:rsidRPr="003A1174">
        <w:rPr>
          <w:rFonts w:ascii="Garamond" w:hAnsi="Garamond" w:cs="Arial"/>
          <w:sz w:val="24"/>
          <w:szCs w:val="24"/>
        </w:rPr>
        <w:t>o</w:t>
      </w:r>
      <w:r w:rsidR="00AB405A" w:rsidRPr="003A1174">
        <w:rPr>
          <w:rFonts w:ascii="Garamond" w:hAnsi="Garamond" w:cs="Arial"/>
          <w:sz w:val="24"/>
          <w:szCs w:val="24"/>
        </w:rPr>
        <w:t xml:space="preserve"> de 2014</w:t>
      </w:r>
      <w:r>
        <w:rPr>
          <w:rFonts w:ascii="Garamond" w:hAnsi="Garamond" w:cs="Arial"/>
          <w:sz w:val="24"/>
          <w:szCs w:val="24"/>
        </w:rPr>
        <w:t>,</w:t>
      </w:r>
      <w:r w:rsidR="00AB405A" w:rsidRPr="003A1174">
        <w:rPr>
          <w:rFonts w:ascii="Garamond" w:hAnsi="Garamond" w:cs="Arial"/>
          <w:sz w:val="24"/>
          <w:szCs w:val="24"/>
        </w:rPr>
        <w:t xml:space="preserve"> </w:t>
      </w:r>
      <w:r>
        <w:rPr>
          <w:rFonts w:ascii="Garamond" w:hAnsi="Garamond" w:cs="Arial"/>
          <w:sz w:val="24"/>
          <w:szCs w:val="24"/>
        </w:rPr>
        <w:t>verificou</w:t>
      </w:r>
      <w:r w:rsidR="00C635E5" w:rsidRPr="003A1174">
        <w:rPr>
          <w:rFonts w:ascii="Garamond" w:hAnsi="Garamond" w:cs="Arial"/>
          <w:sz w:val="24"/>
          <w:szCs w:val="24"/>
        </w:rPr>
        <w:t>-se</w:t>
      </w:r>
      <w:r w:rsidR="00AB405A" w:rsidRPr="003A1174">
        <w:rPr>
          <w:rFonts w:ascii="Garamond" w:hAnsi="Garamond" w:cs="Arial"/>
          <w:sz w:val="24"/>
          <w:szCs w:val="24"/>
        </w:rPr>
        <w:t xml:space="preserve"> u</w:t>
      </w:r>
      <w:r w:rsidR="00C635E5" w:rsidRPr="003A1174">
        <w:rPr>
          <w:rFonts w:ascii="Garamond" w:hAnsi="Garamond" w:cs="Arial"/>
          <w:sz w:val="24"/>
          <w:szCs w:val="24"/>
        </w:rPr>
        <w:t>m</w:t>
      </w:r>
      <w:r w:rsidR="00AB405A" w:rsidRPr="003A1174">
        <w:rPr>
          <w:rFonts w:ascii="Garamond" w:hAnsi="Garamond" w:cs="Arial"/>
          <w:sz w:val="24"/>
          <w:szCs w:val="24"/>
        </w:rPr>
        <w:t xml:space="preserve"> </w:t>
      </w:r>
      <w:r w:rsidR="00A060D9" w:rsidRPr="003A1174">
        <w:rPr>
          <w:rFonts w:ascii="Garamond" w:hAnsi="Garamond" w:cs="Arial"/>
          <w:sz w:val="24"/>
          <w:szCs w:val="24"/>
        </w:rPr>
        <w:t>aumento</w:t>
      </w:r>
      <w:r w:rsidR="00AB405A" w:rsidRPr="003A1174">
        <w:rPr>
          <w:rFonts w:ascii="Garamond" w:hAnsi="Garamond" w:cs="Arial"/>
          <w:sz w:val="24"/>
          <w:szCs w:val="24"/>
        </w:rPr>
        <w:t xml:space="preserve"> de $6</w:t>
      </w:r>
      <w:r w:rsidR="00C635E5" w:rsidRPr="003A1174">
        <w:rPr>
          <w:rFonts w:ascii="Garamond" w:hAnsi="Garamond" w:cs="Arial"/>
          <w:sz w:val="24"/>
          <w:szCs w:val="24"/>
        </w:rPr>
        <w:t>9 789</w:t>
      </w:r>
      <w:r>
        <w:rPr>
          <w:rFonts w:ascii="Garamond" w:hAnsi="Garamond" w:cs="Arial"/>
          <w:sz w:val="24"/>
          <w:szCs w:val="24"/>
        </w:rPr>
        <w:t xml:space="preserve"> </w:t>
      </w:r>
      <w:r w:rsidR="00C635E5" w:rsidRPr="003A1174">
        <w:rPr>
          <w:rFonts w:ascii="Garamond" w:hAnsi="Garamond" w:cs="Arial"/>
          <w:sz w:val="24"/>
          <w:szCs w:val="24"/>
        </w:rPr>
        <w:t xml:space="preserve">750.00 pesos mexicanos, </w:t>
      </w:r>
      <w:r w:rsidR="00AB405A" w:rsidRPr="003A1174">
        <w:rPr>
          <w:rFonts w:ascii="Garamond" w:hAnsi="Garamond" w:cs="Arial"/>
          <w:sz w:val="24"/>
          <w:szCs w:val="24"/>
        </w:rPr>
        <w:t>o que sup</w:t>
      </w:r>
      <w:r w:rsidR="00C635E5" w:rsidRPr="003A1174">
        <w:rPr>
          <w:rFonts w:ascii="Garamond" w:hAnsi="Garamond" w:cs="Arial"/>
          <w:sz w:val="24"/>
          <w:szCs w:val="24"/>
        </w:rPr>
        <w:t>õe um aumento de</w:t>
      </w:r>
      <w:r w:rsidR="00AB405A" w:rsidRPr="003A1174">
        <w:rPr>
          <w:rFonts w:ascii="Garamond" w:hAnsi="Garamond" w:cs="Arial"/>
          <w:sz w:val="24"/>
          <w:szCs w:val="24"/>
        </w:rPr>
        <w:t xml:space="preserve"> 57%.</w:t>
      </w:r>
    </w:p>
    <w:p w:rsidR="00AB405A" w:rsidRPr="003A1174" w:rsidRDefault="00C635E5" w:rsidP="008719D4">
      <w:pPr>
        <w:spacing w:before="240" w:after="0" w:line="240" w:lineRule="auto"/>
        <w:jc w:val="both"/>
        <w:rPr>
          <w:rFonts w:ascii="Garamond" w:hAnsi="Garamond" w:cs="Arial"/>
          <w:sz w:val="24"/>
          <w:szCs w:val="24"/>
        </w:rPr>
      </w:pPr>
      <w:r w:rsidRPr="003A1174">
        <w:rPr>
          <w:rFonts w:ascii="Garamond" w:hAnsi="Garamond" w:cs="Arial"/>
          <w:sz w:val="24"/>
          <w:szCs w:val="24"/>
        </w:rPr>
        <w:t xml:space="preserve">No que se refere </w:t>
      </w:r>
      <w:r w:rsidR="00AB405A" w:rsidRPr="003A1174">
        <w:rPr>
          <w:rFonts w:ascii="Garamond" w:hAnsi="Garamond" w:cs="Arial"/>
          <w:sz w:val="24"/>
          <w:szCs w:val="24"/>
        </w:rPr>
        <w:t>a Guanajuato</w:t>
      </w:r>
      <w:r w:rsidR="00A060D9" w:rsidRPr="003A1174">
        <w:rPr>
          <w:rFonts w:ascii="Garamond" w:hAnsi="Garamond" w:cs="Arial"/>
          <w:sz w:val="24"/>
          <w:szCs w:val="24"/>
        </w:rPr>
        <w:t>,</w:t>
      </w:r>
      <w:r w:rsidR="00AB405A" w:rsidRPr="003A1174">
        <w:rPr>
          <w:rFonts w:ascii="Garamond" w:hAnsi="Garamond" w:cs="Arial"/>
          <w:sz w:val="24"/>
          <w:szCs w:val="24"/>
        </w:rPr>
        <w:t xml:space="preserve"> </w:t>
      </w:r>
      <w:r w:rsidR="00526535">
        <w:rPr>
          <w:rFonts w:ascii="Garamond" w:hAnsi="Garamond" w:cs="Arial"/>
          <w:sz w:val="24"/>
          <w:szCs w:val="24"/>
        </w:rPr>
        <w:t xml:space="preserve">constata-se </w:t>
      </w:r>
      <w:r w:rsidR="00AB405A" w:rsidRPr="003A1174">
        <w:rPr>
          <w:rFonts w:ascii="Garamond" w:hAnsi="Garamond" w:cs="Arial"/>
          <w:sz w:val="24"/>
          <w:szCs w:val="24"/>
        </w:rPr>
        <w:t>que e</w:t>
      </w:r>
      <w:r w:rsidRPr="003A1174">
        <w:rPr>
          <w:rFonts w:ascii="Garamond" w:hAnsi="Garamond" w:cs="Arial"/>
          <w:sz w:val="24"/>
          <w:szCs w:val="24"/>
        </w:rPr>
        <w:t xml:space="preserve">m 2013 </w:t>
      </w:r>
      <w:r w:rsidR="00AB405A" w:rsidRPr="003A1174">
        <w:rPr>
          <w:rFonts w:ascii="Garamond" w:hAnsi="Garamond" w:cs="Arial"/>
          <w:sz w:val="24"/>
          <w:szCs w:val="24"/>
        </w:rPr>
        <w:t xml:space="preserve">a </w:t>
      </w:r>
      <w:r w:rsidR="00D15AFF" w:rsidRPr="003A1174">
        <w:rPr>
          <w:rFonts w:ascii="Garamond" w:hAnsi="Garamond" w:cs="Arial"/>
          <w:sz w:val="24"/>
          <w:szCs w:val="24"/>
        </w:rPr>
        <w:t>Lei</w:t>
      </w:r>
      <w:r w:rsidR="00AB405A" w:rsidRPr="003A1174">
        <w:rPr>
          <w:rFonts w:ascii="Garamond" w:hAnsi="Garamond" w:cs="Arial"/>
          <w:sz w:val="24"/>
          <w:szCs w:val="24"/>
        </w:rPr>
        <w:t xml:space="preserve">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946348" w:rsidRPr="003A1174">
        <w:rPr>
          <w:rFonts w:ascii="Garamond" w:hAnsi="Garamond" w:cs="Arial"/>
          <w:sz w:val="24"/>
          <w:szCs w:val="24"/>
        </w:rPr>
        <w:t>Orçamento</w:t>
      </w:r>
      <w:r w:rsidR="00AB405A" w:rsidRPr="003A1174">
        <w:rPr>
          <w:rFonts w:ascii="Garamond" w:hAnsi="Garamond" w:cs="Arial"/>
          <w:sz w:val="24"/>
          <w:szCs w:val="24"/>
        </w:rPr>
        <w:t xml:space="preserve"> </w:t>
      </w:r>
      <w:r w:rsidR="00077461" w:rsidRPr="003A1174">
        <w:rPr>
          <w:rFonts w:ascii="Garamond" w:hAnsi="Garamond" w:cs="Arial"/>
          <w:sz w:val="24"/>
          <w:szCs w:val="24"/>
        </w:rPr>
        <w:t>Geral</w:t>
      </w:r>
      <w:r w:rsidR="00AB405A" w:rsidRPr="003A1174">
        <w:rPr>
          <w:rFonts w:ascii="Garamond" w:hAnsi="Garamond" w:cs="Arial"/>
          <w:sz w:val="24"/>
          <w:szCs w:val="24"/>
        </w:rPr>
        <w:t xml:space="preserve"> </w:t>
      </w:r>
      <w:r w:rsidR="00526535">
        <w:rPr>
          <w:rFonts w:ascii="Garamond" w:hAnsi="Garamond" w:cs="Arial"/>
          <w:sz w:val="24"/>
          <w:szCs w:val="24"/>
        </w:rPr>
        <w:t xml:space="preserve">atribuiu </w:t>
      </w:r>
      <w:r w:rsidRPr="003A1174">
        <w:rPr>
          <w:rFonts w:ascii="Garamond" w:hAnsi="Garamond" w:cs="Arial"/>
          <w:sz w:val="24"/>
          <w:szCs w:val="24"/>
        </w:rPr>
        <w:t xml:space="preserve">ao </w:t>
      </w:r>
      <w:r w:rsidR="00AB405A" w:rsidRPr="003A1174">
        <w:rPr>
          <w:rFonts w:ascii="Garamond" w:hAnsi="Garamond" w:cs="Arial"/>
          <w:sz w:val="24"/>
          <w:szCs w:val="24"/>
        </w:rPr>
        <w:t xml:space="preserve">Instituto da </w:t>
      </w:r>
      <w:r w:rsidR="00AF192F" w:rsidRPr="003A1174">
        <w:rPr>
          <w:rFonts w:ascii="Garamond" w:hAnsi="Garamond" w:cs="Arial"/>
          <w:sz w:val="24"/>
          <w:szCs w:val="24"/>
        </w:rPr>
        <w:t>Mulher</w:t>
      </w:r>
      <w:r w:rsidR="00AB405A" w:rsidRPr="003A1174">
        <w:rPr>
          <w:rFonts w:ascii="Garamond" w:hAnsi="Garamond" w:cs="Arial"/>
          <w:sz w:val="24"/>
          <w:szCs w:val="24"/>
        </w:rPr>
        <w:t xml:space="preserve"> Guanajuatense $17 226</w:t>
      </w:r>
      <w:r w:rsidR="00526535">
        <w:rPr>
          <w:rFonts w:ascii="Garamond" w:hAnsi="Garamond" w:cs="Arial"/>
          <w:sz w:val="24"/>
          <w:szCs w:val="24"/>
        </w:rPr>
        <w:t xml:space="preserve"> </w:t>
      </w:r>
      <w:r w:rsidR="00AB405A" w:rsidRPr="003A1174">
        <w:rPr>
          <w:rFonts w:ascii="Garamond" w:hAnsi="Garamond" w:cs="Arial"/>
          <w:sz w:val="24"/>
          <w:szCs w:val="24"/>
        </w:rPr>
        <w:t>128</w:t>
      </w:r>
      <w:r w:rsidR="00A060D9" w:rsidRPr="003A1174">
        <w:rPr>
          <w:rFonts w:ascii="Garamond" w:hAnsi="Garamond" w:cs="Arial"/>
          <w:sz w:val="24"/>
          <w:szCs w:val="24"/>
        </w:rPr>
        <w:t>,</w:t>
      </w:r>
      <w:r w:rsidR="00AB405A" w:rsidRPr="003A1174">
        <w:rPr>
          <w:rFonts w:ascii="Garamond" w:hAnsi="Garamond" w:cs="Arial"/>
          <w:sz w:val="24"/>
          <w:szCs w:val="24"/>
        </w:rPr>
        <w:t xml:space="preserve">00 pesos mexicanos. </w:t>
      </w:r>
      <w:r w:rsidRPr="003A1174">
        <w:rPr>
          <w:rFonts w:ascii="Garamond" w:hAnsi="Garamond" w:cs="Arial"/>
          <w:sz w:val="24"/>
          <w:szCs w:val="24"/>
        </w:rPr>
        <w:t xml:space="preserve">Enquanto que em </w:t>
      </w:r>
      <w:r w:rsidR="00AB405A" w:rsidRPr="003A1174">
        <w:rPr>
          <w:rFonts w:ascii="Garamond" w:hAnsi="Garamond" w:cs="Arial"/>
          <w:sz w:val="24"/>
          <w:szCs w:val="24"/>
        </w:rPr>
        <w:t xml:space="preserve">2014 </w:t>
      </w:r>
      <w:r w:rsidRPr="003A1174">
        <w:rPr>
          <w:rFonts w:ascii="Garamond" w:hAnsi="Garamond" w:cs="Arial"/>
          <w:sz w:val="24"/>
          <w:szCs w:val="24"/>
        </w:rPr>
        <w:t xml:space="preserve">o montante ascendeu a </w:t>
      </w:r>
      <w:r w:rsidR="00AB405A" w:rsidRPr="003A1174">
        <w:rPr>
          <w:rFonts w:ascii="Garamond" w:hAnsi="Garamond" w:cs="Arial"/>
          <w:sz w:val="24"/>
          <w:szCs w:val="24"/>
        </w:rPr>
        <w:t>$36</w:t>
      </w:r>
      <w:r w:rsidR="00526535">
        <w:rPr>
          <w:rFonts w:ascii="Garamond" w:hAnsi="Garamond" w:cs="Arial"/>
          <w:sz w:val="24"/>
          <w:szCs w:val="24"/>
        </w:rPr>
        <w:t xml:space="preserve"> </w:t>
      </w:r>
      <w:r w:rsidR="00AB405A" w:rsidRPr="003A1174">
        <w:rPr>
          <w:rFonts w:ascii="Garamond" w:hAnsi="Garamond" w:cs="Arial"/>
          <w:sz w:val="24"/>
          <w:szCs w:val="24"/>
        </w:rPr>
        <w:t>952</w:t>
      </w:r>
      <w:r w:rsidR="00526535">
        <w:rPr>
          <w:rFonts w:ascii="Garamond" w:hAnsi="Garamond" w:cs="Arial"/>
          <w:sz w:val="24"/>
          <w:szCs w:val="24"/>
        </w:rPr>
        <w:t xml:space="preserve"> </w:t>
      </w:r>
      <w:r w:rsidR="00AB405A" w:rsidRPr="003A1174">
        <w:rPr>
          <w:rFonts w:ascii="Garamond" w:hAnsi="Garamond" w:cs="Arial"/>
          <w:sz w:val="24"/>
          <w:szCs w:val="24"/>
        </w:rPr>
        <w:t>885</w:t>
      </w:r>
      <w:r w:rsidR="00A060D9" w:rsidRPr="003A1174">
        <w:rPr>
          <w:rFonts w:ascii="Garamond" w:hAnsi="Garamond" w:cs="Arial"/>
          <w:sz w:val="24"/>
          <w:szCs w:val="24"/>
        </w:rPr>
        <w:t>,</w:t>
      </w:r>
      <w:r w:rsidR="00AB405A" w:rsidRPr="003A1174">
        <w:rPr>
          <w:rFonts w:ascii="Garamond" w:hAnsi="Garamond" w:cs="Arial"/>
          <w:sz w:val="24"/>
          <w:szCs w:val="24"/>
        </w:rPr>
        <w:t xml:space="preserve">98 pesos mexicanos, </w:t>
      </w:r>
      <w:r w:rsidRPr="003A1174">
        <w:rPr>
          <w:rFonts w:ascii="Garamond" w:hAnsi="Garamond" w:cs="Arial"/>
          <w:sz w:val="24"/>
          <w:szCs w:val="24"/>
        </w:rPr>
        <w:t xml:space="preserve">o que </w:t>
      </w:r>
      <w:r w:rsidR="00526535">
        <w:rPr>
          <w:rFonts w:ascii="Garamond" w:hAnsi="Garamond" w:cs="Arial"/>
          <w:sz w:val="24"/>
          <w:szCs w:val="24"/>
        </w:rPr>
        <w:t xml:space="preserve">indicia </w:t>
      </w:r>
      <w:r w:rsidRPr="003A1174">
        <w:rPr>
          <w:rFonts w:ascii="Garamond" w:hAnsi="Garamond" w:cs="Arial"/>
          <w:sz w:val="24"/>
          <w:szCs w:val="24"/>
        </w:rPr>
        <w:t>um aumento signi</w:t>
      </w:r>
      <w:r w:rsidR="00AB405A" w:rsidRPr="003A1174">
        <w:rPr>
          <w:rFonts w:ascii="Garamond" w:hAnsi="Garamond" w:cs="Arial"/>
          <w:sz w:val="24"/>
          <w:szCs w:val="24"/>
        </w:rPr>
        <w:t>ficativo de 111.76</w:t>
      </w:r>
      <w:proofErr w:type="gramStart"/>
      <w:r w:rsidR="00AB405A" w:rsidRPr="003A1174">
        <w:rPr>
          <w:rFonts w:ascii="Garamond" w:hAnsi="Garamond" w:cs="Arial"/>
          <w:sz w:val="24"/>
          <w:szCs w:val="24"/>
        </w:rPr>
        <w:t>%</w:t>
      </w:r>
      <w:proofErr w:type="gramEnd"/>
    </w:p>
    <w:p w:rsidR="00CA39B2" w:rsidRPr="003A1174" w:rsidRDefault="00C30647" w:rsidP="008719D4">
      <w:pPr>
        <w:pStyle w:val="Ttulo3"/>
        <w:spacing w:line="240" w:lineRule="auto"/>
        <w:rPr>
          <w:rFonts w:ascii="Garamond" w:hAnsi="Garamond"/>
          <w:sz w:val="24"/>
          <w:szCs w:val="24"/>
        </w:rPr>
      </w:pPr>
      <w:bookmarkStart w:id="78" w:name="_Toc421529765"/>
      <w:r w:rsidRPr="003A1174">
        <w:rPr>
          <w:rFonts w:ascii="Garamond" w:hAnsi="Garamond"/>
          <w:sz w:val="24"/>
          <w:szCs w:val="24"/>
        </w:rPr>
        <w:lastRenderedPageBreak/>
        <w:t>Paraguai</w:t>
      </w:r>
      <w:bookmarkEnd w:id="78"/>
    </w:p>
    <w:p w:rsidR="00CA39B2" w:rsidRPr="003A1174" w:rsidRDefault="00526535" w:rsidP="008719D4">
      <w:pPr>
        <w:pStyle w:val="Predeterminado"/>
        <w:spacing w:line="240" w:lineRule="auto"/>
        <w:jc w:val="both"/>
        <w:rPr>
          <w:rFonts w:ascii="Garamond" w:eastAsia="Times New Roman" w:hAnsi="Garamond" w:cs="Arial"/>
          <w:color w:val="auto"/>
          <w:sz w:val="24"/>
          <w:szCs w:val="24"/>
          <w:lang w:val="pt-PT" w:eastAsia="es-ES"/>
        </w:rPr>
      </w:pPr>
      <w:r>
        <w:rPr>
          <w:rFonts w:ascii="Garamond" w:hAnsi="Garamond" w:cs="Arial"/>
          <w:color w:val="auto"/>
          <w:sz w:val="24"/>
          <w:szCs w:val="24"/>
          <w:lang w:val="pt-PT"/>
        </w:rPr>
        <w:t xml:space="preserve">No Paraguai, </w:t>
      </w:r>
      <w:r w:rsidR="00C635E5" w:rsidRPr="003A1174">
        <w:rPr>
          <w:rFonts w:ascii="Garamond" w:hAnsi="Garamond" w:cs="Arial"/>
          <w:color w:val="auto"/>
          <w:sz w:val="24"/>
          <w:szCs w:val="24"/>
          <w:lang w:val="pt-PT"/>
        </w:rPr>
        <w:t xml:space="preserve">o </w:t>
      </w:r>
      <w:r w:rsidR="00D77C19" w:rsidRPr="003A1174">
        <w:rPr>
          <w:rFonts w:ascii="Garamond" w:hAnsi="Garamond" w:cs="Arial"/>
          <w:color w:val="auto"/>
          <w:sz w:val="24"/>
          <w:szCs w:val="24"/>
          <w:lang w:val="pt-PT"/>
        </w:rPr>
        <w:t>Ministério</w:t>
      </w:r>
      <w:r w:rsidR="00CA39B2" w:rsidRPr="003A1174">
        <w:rPr>
          <w:rFonts w:ascii="Garamond" w:hAnsi="Garamond" w:cs="Arial"/>
          <w:color w:val="auto"/>
          <w:sz w:val="24"/>
          <w:szCs w:val="24"/>
          <w:lang w:val="pt-PT"/>
        </w:rPr>
        <w:t xml:space="preserve"> da </w:t>
      </w:r>
      <w:r w:rsidR="00AF192F" w:rsidRPr="003A1174">
        <w:rPr>
          <w:rFonts w:ascii="Garamond" w:hAnsi="Garamond" w:cs="Arial"/>
          <w:color w:val="auto"/>
          <w:sz w:val="24"/>
          <w:szCs w:val="24"/>
          <w:lang w:val="pt-PT"/>
        </w:rPr>
        <w:t>Mulher</w:t>
      </w:r>
      <w:r w:rsidR="00CA39B2" w:rsidRPr="003A1174">
        <w:rPr>
          <w:rFonts w:ascii="Garamond" w:hAnsi="Garamond" w:cs="Arial"/>
          <w:color w:val="auto"/>
          <w:sz w:val="24"/>
          <w:szCs w:val="24"/>
          <w:lang w:val="pt-PT"/>
        </w:rPr>
        <w:t xml:space="preserve"> </w:t>
      </w:r>
      <w:r w:rsidR="00C635E5" w:rsidRPr="003A1174">
        <w:rPr>
          <w:rFonts w:ascii="Garamond" w:hAnsi="Garamond" w:cs="Arial"/>
          <w:color w:val="auto"/>
          <w:sz w:val="24"/>
          <w:szCs w:val="24"/>
          <w:lang w:val="pt-PT"/>
        </w:rPr>
        <w:t xml:space="preserve">colocou em funcionamento o </w:t>
      </w:r>
      <w:r w:rsidR="00462B11" w:rsidRPr="003A1174">
        <w:rPr>
          <w:rFonts w:ascii="Garamond" w:hAnsi="Garamond" w:cs="Arial"/>
          <w:color w:val="auto"/>
          <w:sz w:val="24"/>
          <w:szCs w:val="24"/>
          <w:lang w:val="pt-PT"/>
        </w:rPr>
        <w:t>Plano</w:t>
      </w:r>
      <w:r w:rsidR="00CA39B2" w:rsidRPr="003A1174">
        <w:rPr>
          <w:rFonts w:ascii="Garamond" w:hAnsi="Garamond" w:cs="Arial"/>
          <w:color w:val="auto"/>
          <w:sz w:val="24"/>
          <w:szCs w:val="24"/>
          <w:lang w:val="pt-PT"/>
        </w:rPr>
        <w:t xml:space="preserve"> Nacional de </w:t>
      </w:r>
      <w:r w:rsidR="002C7510" w:rsidRPr="003A1174">
        <w:rPr>
          <w:rFonts w:ascii="Garamond" w:hAnsi="Garamond" w:cs="Arial"/>
          <w:color w:val="auto"/>
          <w:sz w:val="24"/>
          <w:szCs w:val="24"/>
          <w:lang w:val="pt-PT"/>
        </w:rPr>
        <w:t>Igualdade</w:t>
      </w:r>
      <w:r w:rsidR="00CA39B2" w:rsidRPr="003A1174">
        <w:rPr>
          <w:rFonts w:ascii="Garamond" w:hAnsi="Garamond" w:cs="Arial"/>
          <w:color w:val="auto"/>
          <w:sz w:val="24"/>
          <w:szCs w:val="24"/>
          <w:lang w:val="pt-PT"/>
        </w:rPr>
        <w:t xml:space="preserve"> de Oportunidades entre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Pr>
          <w:rFonts w:ascii="Garamond" w:hAnsi="Garamond" w:cs="Arial"/>
          <w:color w:val="auto"/>
          <w:sz w:val="24"/>
          <w:szCs w:val="24"/>
          <w:lang w:val="pt-PT"/>
        </w:rPr>
        <w:t>H</w:t>
      </w:r>
      <w:r w:rsidR="00524936" w:rsidRPr="003A1174">
        <w:rPr>
          <w:rFonts w:ascii="Garamond" w:hAnsi="Garamond" w:cs="Arial"/>
          <w:color w:val="auto"/>
          <w:sz w:val="24"/>
          <w:szCs w:val="24"/>
          <w:lang w:val="pt-PT"/>
        </w:rPr>
        <w:t>omens</w:t>
      </w:r>
      <w:r w:rsidR="00CA39B2" w:rsidRPr="003A1174">
        <w:rPr>
          <w:rFonts w:ascii="Garamond" w:hAnsi="Garamond" w:cs="Arial"/>
          <w:color w:val="auto"/>
          <w:sz w:val="24"/>
          <w:szCs w:val="24"/>
          <w:lang w:val="pt-PT"/>
        </w:rPr>
        <w:t xml:space="preserve"> (III PNIO 2008-2017), que </w:t>
      </w:r>
      <w:r w:rsidR="00FB09CA" w:rsidRPr="003A1174">
        <w:rPr>
          <w:rFonts w:ascii="Garamond" w:eastAsia="Times New Roman" w:hAnsi="Garamond" w:cs="Arial"/>
          <w:color w:val="auto"/>
          <w:sz w:val="24"/>
          <w:szCs w:val="24"/>
          <w:lang w:val="pt-PT" w:eastAsia="es-ES"/>
        </w:rPr>
        <w:t>constitui</w:t>
      </w:r>
      <w:r w:rsidR="00CA39B2" w:rsidRPr="003A1174">
        <w:rPr>
          <w:rFonts w:ascii="Garamond" w:eastAsia="Times New Roman" w:hAnsi="Garamond" w:cs="Arial"/>
          <w:color w:val="auto"/>
          <w:sz w:val="24"/>
          <w:szCs w:val="24"/>
          <w:lang w:val="pt-PT" w:eastAsia="es-ES"/>
        </w:rPr>
        <w:t xml:space="preserve"> </w:t>
      </w:r>
      <w:r w:rsidR="00C635E5" w:rsidRPr="003A1174">
        <w:rPr>
          <w:rFonts w:ascii="Garamond" w:eastAsia="Times New Roman" w:hAnsi="Garamond" w:cs="Arial"/>
          <w:color w:val="auto"/>
          <w:sz w:val="24"/>
          <w:szCs w:val="24"/>
          <w:lang w:val="pt-PT" w:eastAsia="es-ES"/>
        </w:rPr>
        <w:t xml:space="preserve">o </w:t>
      </w:r>
      <w:r w:rsidR="00253B1D" w:rsidRPr="003A1174">
        <w:rPr>
          <w:rFonts w:ascii="Garamond" w:eastAsia="Times New Roman" w:hAnsi="Garamond" w:cs="Arial"/>
          <w:color w:val="auto"/>
          <w:sz w:val="24"/>
          <w:szCs w:val="24"/>
          <w:lang w:val="pt-PT" w:eastAsia="es-ES"/>
        </w:rPr>
        <w:t>quadro</w:t>
      </w:r>
      <w:r w:rsidR="00CA39B2" w:rsidRPr="003A1174">
        <w:rPr>
          <w:rFonts w:ascii="Garamond" w:eastAsia="Times New Roman" w:hAnsi="Garamond" w:cs="Arial"/>
          <w:color w:val="auto"/>
          <w:sz w:val="24"/>
          <w:szCs w:val="24"/>
          <w:lang w:val="pt-PT" w:eastAsia="es-ES"/>
        </w:rPr>
        <w:t xml:space="preserve"> orientador </w:t>
      </w:r>
      <w:r w:rsidR="00497503" w:rsidRPr="003A1174">
        <w:rPr>
          <w:rFonts w:ascii="Garamond" w:eastAsia="Times New Roman" w:hAnsi="Garamond" w:cs="Arial"/>
          <w:color w:val="auto"/>
          <w:sz w:val="24"/>
          <w:szCs w:val="24"/>
          <w:lang w:val="pt-PT" w:eastAsia="es-ES"/>
        </w:rPr>
        <w:t>das</w:t>
      </w:r>
      <w:r w:rsidR="00CA39B2" w:rsidRPr="003A1174">
        <w:rPr>
          <w:rFonts w:ascii="Garamond" w:eastAsia="Times New Roman" w:hAnsi="Garamond" w:cs="Arial"/>
          <w:color w:val="auto"/>
          <w:sz w:val="24"/>
          <w:szCs w:val="24"/>
          <w:lang w:val="pt-PT" w:eastAsia="es-ES"/>
        </w:rPr>
        <w:t xml:space="preserve"> políticas de género, </w:t>
      </w:r>
      <w:r w:rsidR="000672E8" w:rsidRPr="003A1174">
        <w:rPr>
          <w:rFonts w:ascii="Garamond" w:eastAsia="Times New Roman" w:hAnsi="Garamond" w:cs="Arial"/>
          <w:color w:val="auto"/>
          <w:sz w:val="24"/>
          <w:szCs w:val="24"/>
          <w:lang w:val="pt-PT" w:eastAsia="es-ES"/>
        </w:rPr>
        <w:t>e</w:t>
      </w:r>
      <w:r w:rsidR="00CA39B2" w:rsidRPr="003A1174">
        <w:rPr>
          <w:rFonts w:ascii="Garamond" w:eastAsia="Times New Roman" w:hAnsi="Garamond" w:cs="Arial"/>
          <w:color w:val="auto"/>
          <w:sz w:val="24"/>
          <w:szCs w:val="24"/>
          <w:lang w:val="pt-PT" w:eastAsia="es-ES"/>
        </w:rPr>
        <w:t xml:space="preserve"> que </w:t>
      </w:r>
      <w:r w:rsidR="00C635E5" w:rsidRPr="003A1174">
        <w:rPr>
          <w:rFonts w:ascii="Garamond" w:eastAsia="Times New Roman" w:hAnsi="Garamond" w:cs="Arial"/>
          <w:color w:val="auto"/>
          <w:sz w:val="24"/>
          <w:szCs w:val="24"/>
          <w:lang w:val="pt-PT" w:eastAsia="es-ES"/>
        </w:rPr>
        <w:t xml:space="preserve">continua a </w:t>
      </w:r>
      <w:r w:rsidR="00CA39B2" w:rsidRPr="003A1174">
        <w:rPr>
          <w:rFonts w:ascii="Garamond" w:eastAsia="Times New Roman" w:hAnsi="Garamond" w:cs="Arial"/>
          <w:color w:val="auto"/>
          <w:sz w:val="24"/>
          <w:szCs w:val="24"/>
          <w:lang w:val="pt-PT" w:eastAsia="es-ES"/>
        </w:rPr>
        <w:t>insisti</w:t>
      </w:r>
      <w:r w:rsidR="00C635E5" w:rsidRPr="003A1174">
        <w:rPr>
          <w:rFonts w:ascii="Garamond" w:eastAsia="Times New Roman" w:hAnsi="Garamond" w:cs="Arial"/>
          <w:color w:val="auto"/>
          <w:sz w:val="24"/>
          <w:szCs w:val="24"/>
          <w:lang w:val="pt-PT" w:eastAsia="es-ES"/>
        </w:rPr>
        <w:t xml:space="preserve">r </w:t>
      </w:r>
      <w:r w:rsidR="00B362DF">
        <w:rPr>
          <w:rFonts w:ascii="Garamond" w:eastAsia="Times New Roman" w:hAnsi="Garamond" w:cs="Arial"/>
          <w:color w:val="auto"/>
          <w:sz w:val="24"/>
          <w:szCs w:val="24"/>
          <w:lang w:val="pt-PT" w:eastAsia="es-ES"/>
        </w:rPr>
        <w:t xml:space="preserve">no sentido de aumentar </w:t>
      </w:r>
      <w:r w:rsidR="00E85E59" w:rsidRPr="003A1174">
        <w:rPr>
          <w:rFonts w:ascii="Garamond" w:eastAsia="Times New Roman" w:hAnsi="Garamond" w:cs="Arial"/>
          <w:color w:val="auto"/>
          <w:sz w:val="24"/>
          <w:szCs w:val="24"/>
          <w:lang w:val="pt-PT" w:eastAsia="es-ES"/>
        </w:rPr>
        <w:t>o</w:t>
      </w:r>
      <w:r w:rsidR="00CA39B2" w:rsidRPr="003A1174">
        <w:rPr>
          <w:rFonts w:ascii="Garamond" w:eastAsia="Times New Roman" w:hAnsi="Garamond" w:cs="Arial"/>
          <w:color w:val="auto"/>
          <w:sz w:val="24"/>
          <w:szCs w:val="24"/>
          <w:lang w:val="pt-PT" w:eastAsia="es-ES"/>
        </w:rPr>
        <w:t xml:space="preserve"> </w:t>
      </w:r>
      <w:r w:rsidR="00946348" w:rsidRPr="003A1174">
        <w:rPr>
          <w:rFonts w:ascii="Garamond" w:eastAsia="Times New Roman" w:hAnsi="Garamond" w:cs="Arial"/>
          <w:color w:val="auto"/>
          <w:sz w:val="24"/>
          <w:szCs w:val="24"/>
          <w:lang w:val="pt-PT" w:eastAsia="es-ES"/>
        </w:rPr>
        <w:t>orçamento</w:t>
      </w:r>
      <w:r w:rsidR="00CA39B2" w:rsidRPr="003A1174">
        <w:rPr>
          <w:rFonts w:ascii="Garamond" w:eastAsia="Times New Roman" w:hAnsi="Garamond" w:cs="Arial"/>
          <w:color w:val="auto"/>
          <w:sz w:val="24"/>
          <w:szCs w:val="24"/>
          <w:lang w:val="pt-PT" w:eastAsia="es-ES"/>
        </w:rPr>
        <w:t xml:space="preserve"> </w:t>
      </w:r>
      <w:r w:rsidR="00C635E5" w:rsidRPr="003A1174">
        <w:rPr>
          <w:rFonts w:ascii="Garamond" w:eastAsia="Times New Roman" w:hAnsi="Garamond" w:cs="Arial"/>
          <w:color w:val="auto"/>
          <w:sz w:val="24"/>
          <w:szCs w:val="24"/>
          <w:lang w:val="pt-PT" w:eastAsia="es-ES"/>
        </w:rPr>
        <w:t xml:space="preserve">para </w:t>
      </w:r>
      <w:r w:rsidR="00863197" w:rsidRPr="003A1174">
        <w:rPr>
          <w:rFonts w:ascii="Garamond" w:eastAsia="Times New Roman" w:hAnsi="Garamond" w:cs="Arial"/>
          <w:color w:val="auto"/>
          <w:sz w:val="24"/>
          <w:szCs w:val="24"/>
          <w:lang w:val="pt-PT" w:eastAsia="es-ES"/>
        </w:rPr>
        <w:t>efeito</w:t>
      </w:r>
      <w:r w:rsidR="00CA39B2" w:rsidRPr="003A1174">
        <w:rPr>
          <w:rFonts w:ascii="Garamond" w:eastAsia="Times New Roman" w:hAnsi="Garamond" w:cs="Arial"/>
          <w:color w:val="auto"/>
          <w:sz w:val="24"/>
          <w:szCs w:val="24"/>
          <w:lang w:val="pt-PT" w:eastAsia="es-ES"/>
        </w:rPr>
        <w:t xml:space="preserve">s de </w:t>
      </w:r>
      <w:r w:rsidR="00964875" w:rsidRPr="003A1174">
        <w:rPr>
          <w:rFonts w:ascii="Garamond" w:eastAsia="Times New Roman" w:hAnsi="Garamond" w:cs="Arial"/>
          <w:color w:val="auto"/>
          <w:sz w:val="24"/>
          <w:szCs w:val="24"/>
          <w:lang w:val="pt-PT" w:eastAsia="es-ES"/>
        </w:rPr>
        <w:t>melhor</w:t>
      </w:r>
      <w:r w:rsidR="00C635E5" w:rsidRPr="003A1174">
        <w:rPr>
          <w:rFonts w:ascii="Garamond" w:eastAsia="Times New Roman" w:hAnsi="Garamond" w:cs="Arial"/>
          <w:color w:val="auto"/>
          <w:sz w:val="24"/>
          <w:szCs w:val="24"/>
          <w:lang w:val="pt-PT" w:eastAsia="es-ES"/>
        </w:rPr>
        <w:t xml:space="preserve">ia na </w:t>
      </w:r>
      <w:r w:rsidR="008278C4" w:rsidRPr="003A1174">
        <w:rPr>
          <w:rFonts w:ascii="Garamond" w:eastAsia="Times New Roman" w:hAnsi="Garamond" w:cs="Arial"/>
          <w:color w:val="auto"/>
          <w:sz w:val="24"/>
          <w:szCs w:val="24"/>
          <w:lang w:val="pt-PT" w:eastAsia="es-ES"/>
        </w:rPr>
        <w:t>qualidade</w:t>
      </w:r>
      <w:r w:rsidR="00CA39B2" w:rsidRPr="003A1174">
        <w:rPr>
          <w:rFonts w:ascii="Garamond" w:eastAsia="Times New Roman" w:hAnsi="Garamond" w:cs="Arial"/>
          <w:color w:val="auto"/>
          <w:sz w:val="24"/>
          <w:szCs w:val="24"/>
          <w:lang w:val="pt-PT" w:eastAsia="es-ES"/>
        </w:rPr>
        <w:t xml:space="preserve"> </w:t>
      </w:r>
      <w:r w:rsidR="000672E8" w:rsidRPr="003A1174">
        <w:rPr>
          <w:rFonts w:ascii="Garamond" w:eastAsia="Times New Roman" w:hAnsi="Garamond" w:cs="Arial"/>
          <w:color w:val="auto"/>
          <w:sz w:val="24"/>
          <w:szCs w:val="24"/>
          <w:lang w:val="pt-PT" w:eastAsia="es-ES"/>
        </w:rPr>
        <w:t>e</w:t>
      </w:r>
      <w:r w:rsidR="00CA39B2" w:rsidRPr="003A1174">
        <w:rPr>
          <w:rFonts w:ascii="Garamond" w:eastAsia="Times New Roman" w:hAnsi="Garamond" w:cs="Arial"/>
          <w:color w:val="auto"/>
          <w:sz w:val="24"/>
          <w:szCs w:val="24"/>
          <w:lang w:val="pt-PT" w:eastAsia="es-ES"/>
        </w:rPr>
        <w:t xml:space="preserve"> </w:t>
      </w:r>
      <w:r w:rsidR="00454353" w:rsidRPr="003A1174">
        <w:rPr>
          <w:rFonts w:ascii="Garamond" w:eastAsia="Times New Roman" w:hAnsi="Garamond" w:cs="Arial"/>
          <w:color w:val="auto"/>
          <w:sz w:val="24"/>
          <w:szCs w:val="24"/>
          <w:lang w:val="pt-PT" w:eastAsia="es-ES"/>
        </w:rPr>
        <w:t>eficácia</w:t>
      </w:r>
      <w:r w:rsidR="00CA39B2" w:rsidRPr="003A1174">
        <w:rPr>
          <w:rFonts w:ascii="Garamond" w:eastAsia="Times New Roman" w:hAnsi="Garamond" w:cs="Arial"/>
          <w:color w:val="auto"/>
          <w:sz w:val="24"/>
          <w:szCs w:val="24"/>
          <w:lang w:val="pt-PT" w:eastAsia="es-ES"/>
        </w:rPr>
        <w:t xml:space="preserve"> </w:t>
      </w:r>
      <w:r w:rsidR="00E85E59" w:rsidRPr="003A1174">
        <w:rPr>
          <w:rFonts w:ascii="Garamond" w:eastAsia="Times New Roman" w:hAnsi="Garamond" w:cs="Arial"/>
          <w:color w:val="auto"/>
          <w:sz w:val="24"/>
          <w:szCs w:val="24"/>
          <w:lang w:val="pt-PT" w:eastAsia="es-ES"/>
        </w:rPr>
        <w:t>do</w:t>
      </w:r>
      <w:r w:rsidR="00CA39B2" w:rsidRPr="003A1174">
        <w:rPr>
          <w:rFonts w:ascii="Garamond" w:eastAsia="Times New Roman" w:hAnsi="Garamond" w:cs="Arial"/>
          <w:color w:val="auto"/>
          <w:sz w:val="24"/>
          <w:szCs w:val="24"/>
          <w:lang w:val="pt-PT" w:eastAsia="es-ES"/>
        </w:rPr>
        <w:t xml:space="preserve"> </w:t>
      </w:r>
      <w:r w:rsidR="00886D6A" w:rsidRPr="003A1174">
        <w:rPr>
          <w:rFonts w:ascii="Garamond" w:eastAsia="Times New Roman" w:hAnsi="Garamond" w:cs="Arial"/>
          <w:color w:val="auto"/>
          <w:sz w:val="24"/>
          <w:szCs w:val="24"/>
          <w:lang w:val="pt-PT" w:eastAsia="es-ES"/>
        </w:rPr>
        <w:t>acesso</w:t>
      </w:r>
      <w:r w:rsidR="00CA39B2" w:rsidRPr="003A1174">
        <w:rPr>
          <w:rFonts w:ascii="Garamond" w:eastAsia="Times New Roman" w:hAnsi="Garamond" w:cs="Arial"/>
          <w:color w:val="auto"/>
          <w:sz w:val="24"/>
          <w:szCs w:val="24"/>
          <w:lang w:val="pt-PT" w:eastAsia="es-ES"/>
        </w:rPr>
        <w:t xml:space="preserve"> </w:t>
      </w:r>
      <w:r w:rsidR="00BB2B00" w:rsidRPr="003A1174">
        <w:rPr>
          <w:rFonts w:ascii="Garamond" w:eastAsia="Times New Roman" w:hAnsi="Garamond" w:cs="Arial"/>
          <w:color w:val="auto"/>
          <w:sz w:val="24"/>
          <w:szCs w:val="24"/>
          <w:lang w:val="pt-PT" w:eastAsia="es-ES"/>
        </w:rPr>
        <w:t>à</w:t>
      </w:r>
      <w:r w:rsidR="00CA39B2" w:rsidRPr="003A1174">
        <w:rPr>
          <w:rFonts w:ascii="Garamond" w:eastAsia="Times New Roman" w:hAnsi="Garamond" w:cs="Arial"/>
          <w:color w:val="auto"/>
          <w:sz w:val="24"/>
          <w:szCs w:val="24"/>
          <w:lang w:val="pt-PT" w:eastAsia="es-ES"/>
        </w:rPr>
        <w:t xml:space="preserve"> </w:t>
      </w:r>
      <w:r w:rsidR="00FC1F7F" w:rsidRPr="003A1174">
        <w:rPr>
          <w:rFonts w:ascii="Garamond" w:eastAsia="Times New Roman" w:hAnsi="Garamond" w:cs="Arial"/>
          <w:color w:val="auto"/>
          <w:sz w:val="24"/>
          <w:szCs w:val="24"/>
          <w:lang w:val="pt-PT" w:eastAsia="es-ES"/>
        </w:rPr>
        <w:t>justiça</w:t>
      </w:r>
      <w:r w:rsidR="00CA39B2" w:rsidRPr="003A1174">
        <w:rPr>
          <w:rFonts w:ascii="Garamond" w:eastAsia="Times New Roman" w:hAnsi="Garamond" w:cs="Arial"/>
          <w:color w:val="auto"/>
          <w:sz w:val="24"/>
          <w:szCs w:val="24"/>
          <w:lang w:val="pt-PT" w:eastAsia="es-ES"/>
        </w:rPr>
        <w:t xml:space="preserve"> </w:t>
      </w:r>
      <w:r w:rsidR="00497503" w:rsidRPr="003A1174">
        <w:rPr>
          <w:rFonts w:ascii="Garamond" w:eastAsia="Times New Roman" w:hAnsi="Garamond" w:cs="Arial"/>
          <w:color w:val="auto"/>
          <w:sz w:val="24"/>
          <w:szCs w:val="24"/>
          <w:lang w:val="pt-PT" w:eastAsia="es-ES"/>
        </w:rPr>
        <w:t>das</w:t>
      </w:r>
      <w:r w:rsidR="00CA39B2" w:rsidRPr="003A1174">
        <w:rPr>
          <w:rFonts w:ascii="Garamond" w:eastAsia="Times New Roman" w:hAnsi="Garamond" w:cs="Arial"/>
          <w:color w:val="auto"/>
          <w:sz w:val="24"/>
          <w:szCs w:val="24"/>
          <w:lang w:val="pt-PT" w:eastAsia="es-ES"/>
        </w:rPr>
        <w:t xml:space="preserve"> </w:t>
      </w:r>
      <w:r w:rsidR="00054EE0" w:rsidRPr="003A1174">
        <w:rPr>
          <w:rFonts w:ascii="Garamond" w:eastAsia="Times New Roman" w:hAnsi="Garamond" w:cs="Arial"/>
          <w:color w:val="auto"/>
          <w:sz w:val="24"/>
          <w:szCs w:val="24"/>
          <w:lang w:val="pt-PT" w:eastAsia="es-ES"/>
        </w:rPr>
        <w:t>mulheres</w:t>
      </w:r>
      <w:r w:rsidR="00CA39B2" w:rsidRPr="003A1174">
        <w:rPr>
          <w:rFonts w:ascii="Garamond" w:eastAsia="Times New Roman" w:hAnsi="Garamond" w:cs="Arial"/>
          <w:color w:val="auto"/>
          <w:sz w:val="24"/>
          <w:szCs w:val="24"/>
          <w:lang w:val="pt-PT" w:eastAsia="es-ES"/>
        </w:rPr>
        <w:t xml:space="preserve"> </w:t>
      </w:r>
      <w:r w:rsidR="003F012B" w:rsidRPr="003A1174">
        <w:rPr>
          <w:rFonts w:ascii="Garamond" w:eastAsia="Times New Roman" w:hAnsi="Garamond" w:cs="Arial"/>
          <w:color w:val="auto"/>
          <w:sz w:val="24"/>
          <w:szCs w:val="24"/>
          <w:lang w:val="pt-PT" w:eastAsia="es-ES"/>
        </w:rPr>
        <w:t>vítima</w:t>
      </w:r>
      <w:r w:rsidR="00CA39B2" w:rsidRPr="003A1174">
        <w:rPr>
          <w:rFonts w:ascii="Garamond" w:eastAsia="Times New Roman" w:hAnsi="Garamond" w:cs="Arial"/>
          <w:color w:val="auto"/>
          <w:sz w:val="24"/>
          <w:szCs w:val="24"/>
          <w:lang w:val="pt-PT" w:eastAsia="es-ES"/>
        </w:rPr>
        <w:t xml:space="preserve">s de </w:t>
      </w:r>
      <w:r w:rsidR="000350B1" w:rsidRPr="003A1174">
        <w:rPr>
          <w:rFonts w:ascii="Garamond" w:eastAsia="Times New Roman" w:hAnsi="Garamond" w:cs="Arial"/>
          <w:color w:val="auto"/>
          <w:sz w:val="24"/>
          <w:szCs w:val="24"/>
          <w:lang w:val="pt-PT" w:eastAsia="es-ES"/>
        </w:rPr>
        <w:t>violência</w:t>
      </w:r>
      <w:r w:rsidR="00CA39B2" w:rsidRPr="003A1174">
        <w:rPr>
          <w:rFonts w:ascii="Garamond" w:eastAsia="Times New Roman" w:hAnsi="Garamond" w:cs="Arial"/>
          <w:color w:val="auto"/>
          <w:sz w:val="24"/>
          <w:szCs w:val="24"/>
          <w:lang w:val="pt-PT" w:eastAsia="es-ES"/>
        </w:rPr>
        <w:t>.</w:t>
      </w:r>
    </w:p>
    <w:p w:rsidR="00AB405A" w:rsidRPr="003A1174" w:rsidRDefault="00C30647" w:rsidP="008719D4">
      <w:pPr>
        <w:pStyle w:val="Ttulo3"/>
        <w:spacing w:line="240" w:lineRule="auto"/>
        <w:rPr>
          <w:rFonts w:ascii="Garamond" w:hAnsi="Garamond"/>
          <w:sz w:val="24"/>
          <w:szCs w:val="24"/>
        </w:rPr>
      </w:pPr>
      <w:bookmarkStart w:id="79" w:name="_Toc421529766"/>
      <w:r w:rsidRPr="003A1174">
        <w:rPr>
          <w:rFonts w:ascii="Garamond" w:hAnsi="Garamond"/>
          <w:sz w:val="24"/>
          <w:szCs w:val="24"/>
        </w:rPr>
        <w:t>Peru</w:t>
      </w:r>
      <w:bookmarkEnd w:id="79"/>
    </w:p>
    <w:p w:rsidR="00AB405A" w:rsidRPr="003A1174" w:rsidRDefault="008A760B" w:rsidP="008719D4">
      <w:pPr>
        <w:spacing w:before="240" w:after="0" w:line="240" w:lineRule="auto"/>
        <w:jc w:val="both"/>
        <w:rPr>
          <w:rFonts w:ascii="Garamond" w:hAnsi="Garamond" w:cs="Arial"/>
          <w:sz w:val="24"/>
          <w:szCs w:val="24"/>
        </w:rPr>
      </w:pPr>
      <w:r w:rsidRPr="005071D8">
        <w:rPr>
          <w:rFonts w:ascii="Garamond" w:hAnsi="Garamond" w:cs="Arial"/>
          <w:sz w:val="24"/>
          <w:szCs w:val="24"/>
        </w:rPr>
        <w:t>No Perú, c</w:t>
      </w:r>
      <w:r w:rsidR="00AB405A" w:rsidRPr="005071D8">
        <w:rPr>
          <w:rFonts w:ascii="Garamond" w:hAnsi="Garamond" w:cs="Arial"/>
          <w:sz w:val="24"/>
          <w:szCs w:val="24"/>
        </w:rPr>
        <w:t>omo se ref</w:t>
      </w:r>
      <w:r w:rsidR="00C635E5" w:rsidRPr="005071D8">
        <w:rPr>
          <w:rFonts w:ascii="Garamond" w:hAnsi="Garamond" w:cs="Arial"/>
          <w:sz w:val="24"/>
          <w:szCs w:val="24"/>
        </w:rPr>
        <w:t xml:space="preserve">eriu no </w:t>
      </w:r>
      <w:r w:rsidR="009E3E55" w:rsidRPr="005071D8">
        <w:rPr>
          <w:rFonts w:ascii="Garamond" w:hAnsi="Garamond" w:cs="Arial"/>
          <w:sz w:val="24"/>
          <w:szCs w:val="24"/>
        </w:rPr>
        <w:t>Relatório</w:t>
      </w:r>
      <w:r w:rsidR="00AB405A" w:rsidRPr="005071D8">
        <w:rPr>
          <w:rFonts w:ascii="Garamond" w:hAnsi="Garamond" w:cs="Arial"/>
          <w:sz w:val="24"/>
          <w:szCs w:val="24"/>
        </w:rPr>
        <w:t xml:space="preserve"> de </w:t>
      </w:r>
      <w:r w:rsidR="00AB405A" w:rsidRPr="005071D8">
        <w:rPr>
          <w:rFonts w:ascii="Garamond" w:hAnsi="Garamond" w:cs="Arial"/>
          <w:i/>
          <w:sz w:val="24"/>
          <w:szCs w:val="24"/>
        </w:rPr>
        <w:t>Adjuntía</w:t>
      </w:r>
      <w:r w:rsidR="00AB405A" w:rsidRPr="005071D8">
        <w:rPr>
          <w:rFonts w:ascii="Garamond" w:hAnsi="Garamond" w:cs="Arial"/>
          <w:sz w:val="24"/>
          <w:szCs w:val="24"/>
        </w:rPr>
        <w:t xml:space="preserve"> N</w:t>
      </w:r>
      <w:r w:rsidRPr="005071D8">
        <w:rPr>
          <w:rFonts w:ascii="Garamond" w:hAnsi="Garamond" w:cs="Arial"/>
          <w:sz w:val="24"/>
          <w:szCs w:val="24"/>
        </w:rPr>
        <w:t>.</w:t>
      </w:r>
      <w:r w:rsidR="00AB405A" w:rsidRPr="005071D8">
        <w:rPr>
          <w:rFonts w:ascii="Garamond" w:hAnsi="Garamond" w:cs="Arial"/>
          <w:sz w:val="24"/>
          <w:szCs w:val="24"/>
        </w:rPr>
        <w:t xml:space="preserve">° 003-2013-DP/ADM, </w:t>
      </w:r>
      <w:r w:rsidRPr="005071D8">
        <w:rPr>
          <w:rFonts w:ascii="Garamond" w:hAnsi="Garamond" w:cs="Arial"/>
          <w:sz w:val="24"/>
          <w:szCs w:val="24"/>
        </w:rPr>
        <w:t xml:space="preserve">o </w:t>
      </w:r>
      <w:r w:rsidR="00A060D9" w:rsidRPr="005071D8">
        <w:rPr>
          <w:rFonts w:ascii="Garamond" w:hAnsi="Garamond" w:cs="Arial"/>
          <w:sz w:val="24"/>
          <w:szCs w:val="24"/>
        </w:rPr>
        <w:t>b</w:t>
      </w:r>
      <w:r w:rsidR="00AB405A" w:rsidRPr="005071D8">
        <w:rPr>
          <w:rFonts w:ascii="Garamond" w:hAnsi="Garamond" w:cs="Arial"/>
          <w:sz w:val="24"/>
          <w:szCs w:val="24"/>
        </w:rPr>
        <w:t>alan</w:t>
      </w:r>
      <w:r w:rsidR="00C635E5" w:rsidRPr="005071D8">
        <w:rPr>
          <w:rFonts w:ascii="Garamond" w:hAnsi="Garamond" w:cs="Arial"/>
          <w:sz w:val="24"/>
          <w:szCs w:val="24"/>
        </w:rPr>
        <w:t>ço a</w:t>
      </w:r>
      <w:r w:rsidR="00AB405A" w:rsidRPr="005071D8">
        <w:rPr>
          <w:rFonts w:ascii="Garamond" w:hAnsi="Garamond" w:cs="Arial"/>
          <w:sz w:val="24"/>
          <w:szCs w:val="24"/>
        </w:rPr>
        <w:t>presentado</w:t>
      </w:r>
      <w:r w:rsidR="005071D8">
        <w:rPr>
          <w:rFonts w:ascii="Garamond" w:hAnsi="Garamond" w:cs="Arial"/>
          <w:sz w:val="24"/>
          <w:szCs w:val="24"/>
        </w:rPr>
        <w:t>,</w:t>
      </w:r>
      <w:r w:rsidR="00AB405A" w:rsidRPr="005071D8">
        <w:rPr>
          <w:rFonts w:ascii="Garamond" w:hAnsi="Garamond" w:cs="Arial"/>
          <w:sz w:val="24"/>
          <w:szCs w:val="24"/>
        </w:rPr>
        <w:t xml:space="preserve"> e</w:t>
      </w:r>
      <w:r w:rsidR="00C635E5" w:rsidRPr="005071D8">
        <w:rPr>
          <w:rFonts w:ascii="Garamond" w:hAnsi="Garamond" w:cs="Arial"/>
          <w:sz w:val="24"/>
          <w:szCs w:val="24"/>
        </w:rPr>
        <w:t xml:space="preserve">m </w:t>
      </w:r>
      <w:r w:rsidR="00AB405A" w:rsidRPr="005071D8">
        <w:rPr>
          <w:rFonts w:ascii="Garamond" w:hAnsi="Garamond" w:cs="Arial"/>
          <w:sz w:val="24"/>
          <w:szCs w:val="24"/>
        </w:rPr>
        <w:t>2013</w:t>
      </w:r>
      <w:r w:rsidR="005071D8">
        <w:rPr>
          <w:rFonts w:ascii="Garamond" w:hAnsi="Garamond" w:cs="Arial"/>
          <w:sz w:val="24"/>
          <w:szCs w:val="24"/>
        </w:rPr>
        <w:t>,</w:t>
      </w:r>
      <w:r w:rsidR="00AB405A" w:rsidRPr="005071D8">
        <w:rPr>
          <w:rFonts w:ascii="Garamond" w:hAnsi="Garamond" w:cs="Arial"/>
          <w:sz w:val="24"/>
          <w:szCs w:val="24"/>
        </w:rPr>
        <w:t xml:space="preserve"> </w:t>
      </w:r>
      <w:r w:rsidR="00275092" w:rsidRPr="005071D8">
        <w:rPr>
          <w:rFonts w:ascii="Garamond" w:hAnsi="Garamond" w:cs="Arial"/>
          <w:sz w:val="24"/>
          <w:szCs w:val="24"/>
        </w:rPr>
        <w:t>pela</w:t>
      </w:r>
      <w:r w:rsidR="00AB405A" w:rsidRPr="005071D8">
        <w:rPr>
          <w:rFonts w:ascii="Garamond" w:hAnsi="Garamond" w:cs="Arial"/>
          <w:sz w:val="24"/>
          <w:szCs w:val="24"/>
        </w:rPr>
        <w:t xml:space="preserve"> </w:t>
      </w:r>
      <w:r w:rsidR="00C04CA4" w:rsidRPr="005071D8">
        <w:rPr>
          <w:rFonts w:ascii="Garamond" w:hAnsi="Garamond" w:cs="Arial"/>
          <w:sz w:val="24"/>
          <w:szCs w:val="24"/>
        </w:rPr>
        <w:t>Provedoria de Justiça</w:t>
      </w:r>
      <w:r w:rsidR="00AB405A" w:rsidRPr="005071D8">
        <w:rPr>
          <w:rFonts w:ascii="Garamond" w:hAnsi="Garamond" w:cs="Arial"/>
          <w:sz w:val="24"/>
          <w:szCs w:val="24"/>
        </w:rPr>
        <w:t xml:space="preserve"> sobre </w:t>
      </w:r>
      <w:r w:rsidR="00C635E5" w:rsidRPr="005071D8">
        <w:rPr>
          <w:rFonts w:ascii="Garamond" w:hAnsi="Garamond" w:cs="Arial"/>
          <w:sz w:val="24"/>
          <w:szCs w:val="24"/>
        </w:rPr>
        <w:t xml:space="preserve">o </w:t>
      </w:r>
      <w:r w:rsidR="00D96FD0" w:rsidRPr="005071D8">
        <w:rPr>
          <w:rFonts w:ascii="Garamond" w:hAnsi="Garamond" w:cs="Arial"/>
          <w:sz w:val="24"/>
          <w:szCs w:val="24"/>
        </w:rPr>
        <w:t>Cumprimento</w:t>
      </w:r>
      <w:r w:rsidR="00AB405A" w:rsidRPr="005071D8">
        <w:rPr>
          <w:rFonts w:ascii="Garamond" w:hAnsi="Garamond" w:cs="Arial"/>
          <w:sz w:val="24"/>
          <w:szCs w:val="24"/>
        </w:rPr>
        <w:t xml:space="preserve"> </w:t>
      </w:r>
      <w:r w:rsidR="00E85E59" w:rsidRPr="005071D8">
        <w:rPr>
          <w:rFonts w:ascii="Garamond" w:hAnsi="Garamond" w:cs="Arial"/>
          <w:sz w:val="24"/>
          <w:szCs w:val="24"/>
        </w:rPr>
        <w:t>do</w:t>
      </w:r>
      <w:r w:rsidR="00AB405A" w:rsidRPr="005071D8">
        <w:rPr>
          <w:rFonts w:ascii="Garamond" w:hAnsi="Garamond" w:cs="Arial"/>
          <w:sz w:val="24"/>
          <w:szCs w:val="24"/>
        </w:rPr>
        <w:t xml:space="preserve"> </w:t>
      </w:r>
      <w:r w:rsidRPr="005071D8">
        <w:rPr>
          <w:rFonts w:ascii="Garamond" w:hAnsi="Garamond" w:cs="Arial"/>
          <w:sz w:val="24"/>
          <w:szCs w:val="24"/>
        </w:rPr>
        <w:t>«</w:t>
      </w:r>
      <w:r w:rsidR="00462B11" w:rsidRPr="005071D8">
        <w:rPr>
          <w:rFonts w:ascii="Garamond" w:hAnsi="Garamond" w:cs="Arial"/>
          <w:sz w:val="24"/>
          <w:szCs w:val="24"/>
        </w:rPr>
        <w:t>Plano</w:t>
      </w:r>
      <w:r w:rsidR="00AB405A" w:rsidRPr="005071D8">
        <w:rPr>
          <w:rFonts w:ascii="Garamond" w:hAnsi="Garamond" w:cs="Arial"/>
          <w:sz w:val="24"/>
          <w:szCs w:val="24"/>
        </w:rPr>
        <w:t xml:space="preserve"> Nacional </w:t>
      </w:r>
      <w:r w:rsidR="00BB2B00" w:rsidRPr="005071D8">
        <w:rPr>
          <w:rFonts w:ascii="Garamond" w:hAnsi="Garamond" w:cs="Arial"/>
          <w:sz w:val="24"/>
          <w:szCs w:val="24"/>
        </w:rPr>
        <w:t>contra a</w:t>
      </w:r>
      <w:r w:rsidR="00AB405A" w:rsidRPr="005071D8">
        <w:rPr>
          <w:rFonts w:ascii="Garamond" w:hAnsi="Garamond" w:cs="Arial"/>
          <w:sz w:val="24"/>
          <w:szCs w:val="24"/>
        </w:rPr>
        <w:t xml:space="preserve"> </w:t>
      </w:r>
      <w:r w:rsidR="000350B1" w:rsidRPr="005071D8">
        <w:rPr>
          <w:rFonts w:ascii="Garamond" w:hAnsi="Garamond" w:cs="Arial"/>
          <w:sz w:val="24"/>
          <w:szCs w:val="24"/>
        </w:rPr>
        <w:t>Violência</w:t>
      </w:r>
      <w:r w:rsidR="00AB405A" w:rsidRPr="005071D8">
        <w:rPr>
          <w:rFonts w:ascii="Garamond" w:hAnsi="Garamond" w:cs="Arial"/>
          <w:sz w:val="24"/>
          <w:szCs w:val="24"/>
        </w:rPr>
        <w:t xml:space="preserve"> </w:t>
      </w:r>
      <w:r w:rsidR="00067AA4" w:rsidRPr="005071D8">
        <w:rPr>
          <w:rFonts w:ascii="Garamond" w:hAnsi="Garamond" w:cs="Arial"/>
          <w:sz w:val="24"/>
          <w:szCs w:val="24"/>
        </w:rPr>
        <w:t>para com a Mulher</w:t>
      </w:r>
      <w:r w:rsidR="00AB405A" w:rsidRPr="005071D8">
        <w:rPr>
          <w:rFonts w:ascii="Garamond" w:hAnsi="Garamond" w:cs="Arial"/>
          <w:sz w:val="24"/>
          <w:szCs w:val="24"/>
        </w:rPr>
        <w:t xml:space="preserve"> 2009-2015</w:t>
      </w:r>
      <w:r w:rsidRPr="005071D8">
        <w:rPr>
          <w:rFonts w:ascii="Garamond" w:hAnsi="Garamond" w:cs="Arial"/>
          <w:sz w:val="24"/>
          <w:szCs w:val="24"/>
        </w:rPr>
        <w:t>»</w:t>
      </w:r>
      <w:r w:rsidR="00AB405A" w:rsidRPr="005071D8">
        <w:rPr>
          <w:rFonts w:ascii="Garamond" w:hAnsi="Garamond" w:cs="Arial"/>
          <w:sz w:val="24"/>
          <w:szCs w:val="24"/>
        </w:rPr>
        <w:t xml:space="preserve">, </w:t>
      </w:r>
      <w:r w:rsidRPr="005071D8">
        <w:rPr>
          <w:rFonts w:ascii="Garamond" w:hAnsi="Garamond" w:cs="Arial"/>
          <w:sz w:val="24"/>
          <w:szCs w:val="24"/>
        </w:rPr>
        <w:t xml:space="preserve">revela que </w:t>
      </w:r>
      <w:r w:rsidR="00AB405A" w:rsidRPr="005071D8">
        <w:rPr>
          <w:rFonts w:ascii="Garamond" w:hAnsi="Garamond" w:cs="Arial"/>
          <w:sz w:val="24"/>
          <w:szCs w:val="24"/>
        </w:rPr>
        <w:t>gran</w:t>
      </w:r>
      <w:r w:rsidR="00C635E5" w:rsidRPr="005071D8">
        <w:rPr>
          <w:rFonts w:ascii="Garamond" w:hAnsi="Garamond" w:cs="Arial"/>
          <w:sz w:val="24"/>
          <w:szCs w:val="24"/>
        </w:rPr>
        <w:t>de</w:t>
      </w:r>
      <w:r w:rsidR="00AB405A" w:rsidRPr="005071D8">
        <w:rPr>
          <w:rFonts w:ascii="Garamond" w:hAnsi="Garamond" w:cs="Arial"/>
          <w:sz w:val="24"/>
          <w:szCs w:val="24"/>
        </w:rPr>
        <w:t xml:space="preserve"> parte </w:t>
      </w:r>
      <w:r w:rsidR="00497503" w:rsidRPr="005071D8">
        <w:rPr>
          <w:rFonts w:ascii="Garamond" w:hAnsi="Garamond" w:cs="Arial"/>
          <w:sz w:val="24"/>
          <w:szCs w:val="24"/>
        </w:rPr>
        <w:t>dos</w:t>
      </w:r>
      <w:r w:rsidR="00AB405A" w:rsidRPr="005071D8">
        <w:rPr>
          <w:rFonts w:ascii="Garamond" w:hAnsi="Garamond" w:cs="Arial"/>
          <w:sz w:val="24"/>
          <w:szCs w:val="24"/>
        </w:rPr>
        <w:t xml:space="preserve"> </w:t>
      </w:r>
      <w:r w:rsidR="00BE4EB8" w:rsidRPr="005071D8">
        <w:rPr>
          <w:rFonts w:ascii="Garamond" w:hAnsi="Garamond" w:cs="Arial"/>
          <w:sz w:val="24"/>
          <w:szCs w:val="24"/>
        </w:rPr>
        <w:t>setores</w:t>
      </w:r>
      <w:r w:rsidR="00AB405A" w:rsidRPr="005071D8">
        <w:rPr>
          <w:rFonts w:ascii="Garamond" w:hAnsi="Garamond" w:cs="Arial"/>
          <w:sz w:val="24"/>
          <w:szCs w:val="24"/>
        </w:rPr>
        <w:t xml:space="preserve"> </w:t>
      </w:r>
      <w:r w:rsidR="00E85E59" w:rsidRPr="005071D8">
        <w:rPr>
          <w:rFonts w:ascii="Garamond" w:hAnsi="Garamond" w:cs="Arial"/>
          <w:sz w:val="24"/>
          <w:szCs w:val="24"/>
        </w:rPr>
        <w:t>do</w:t>
      </w:r>
      <w:r w:rsidR="00AB405A" w:rsidRPr="005071D8">
        <w:rPr>
          <w:rFonts w:ascii="Garamond" w:hAnsi="Garamond" w:cs="Arial"/>
          <w:sz w:val="24"/>
          <w:szCs w:val="24"/>
        </w:rPr>
        <w:t xml:space="preserve"> Estado n</w:t>
      </w:r>
      <w:r w:rsidR="00C635E5" w:rsidRPr="005071D8">
        <w:rPr>
          <w:rFonts w:ascii="Garamond" w:hAnsi="Garamond" w:cs="Arial"/>
          <w:sz w:val="24"/>
          <w:szCs w:val="24"/>
        </w:rPr>
        <w:t>ã</w:t>
      </w:r>
      <w:r w:rsidR="00AB405A" w:rsidRPr="005071D8">
        <w:rPr>
          <w:rFonts w:ascii="Garamond" w:hAnsi="Garamond" w:cs="Arial"/>
          <w:sz w:val="24"/>
          <w:szCs w:val="24"/>
        </w:rPr>
        <w:t xml:space="preserve">o </w:t>
      </w:r>
      <w:r w:rsidR="00C635E5" w:rsidRPr="005071D8">
        <w:rPr>
          <w:rFonts w:ascii="Garamond" w:hAnsi="Garamond" w:cs="Arial"/>
          <w:sz w:val="24"/>
          <w:szCs w:val="24"/>
        </w:rPr>
        <w:t xml:space="preserve">atribuem </w:t>
      </w:r>
      <w:r w:rsidRPr="005071D8">
        <w:rPr>
          <w:rFonts w:ascii="Garamond" w:hAnsi="Garamond" w:cs="Arial"/>
          <w:sz w:val="24"/>
          <w:szCs w:val="24"/>
        </w:rPr>
        <w:t xml:space="preserve">qualquer </w:t>
      </w:r>
      <w:r w:rsidR="00946348" w:rsidRPr="005071D8">
        <w:rPr>
          <w:rFonts w:ascii="Garamond" w:hAnsi="Garamond" w:cs="Arial"/>
          <w:sz w:val="24"/>
          <w:szCs w:val="24"/>
        </w:rPr>
        <w:t>orçamento</w:t>
      </w:r>
      <w:r w:rsidR="00C635E5" w:rsidRPr="005071D8">
        <w:rPr>
          <w:rFonts w:ascii="Garamond" w:hAnsi="Garamond" w:cs="Arial"/>
          <w:sz w:val="24"/>
          <w:szCs w:val="24"/>
        </w:rPr>
        <w:t xml:space="preserve"> ao tema da</w:t>
      </w:r>
      <w:r w:rsidR="00AB405A" w:rsidRPr="005071D8">
        <w:rPr>
          <w:rFonts w:ascii="Garamond" w:hAnsi="Garamond" w:cs="Arial"/>
          <w:sz w:val="24"/>
          <w:szCs w:val="24"/>
        </w:rPr>
        <w:t xml:space="preserve"> </w:t>
      </w:r>
      <w:r w:rsidR="002C7510" w:rsidRPr="005071D8">
        <w:rPr>
          <w:rFonts w:ascii="Garamond" w:hAnsi="Garamond" w:cs="Arial"/>
          <w:sz w:val="24"/>
          <w:szCs w:val="24"/>
        </w:rPr>
        <w:t>defesa</w:t>
      </w:r>
      <w:r w:rsidR="00AB405A" w:rsidRPr="005071D8">
        <w:rPr>
          <w:rFonts w:ascii="Garamond" w:hAnsi="Garamond" w:cs="Arial"/>
          <w:sz w:val="24"/>
          <w:szCs w:val="24"/>
        </w:rPr>
        <w:t xml:space="preserve"> </w:t>
      </w:r>
      <w:r w:rsidR="000672E8" w:rsidRPr="005071D8">
        <w:rPr>
          <w:rFonts w:ascii="Garamond" w:hAnsi="Garamond" w:cs="Arial"/>
          <w:sz w:val="24"/>
          <w:szCs w:val="24"/>
        </w:rPr>
        <w:t>e</w:t>
      </w:r>
      <w:r w:rsidR="00AB405A" w:rsidRPr="005071D8">
        <w:rPr>
          <w:rFonts w:ascii="Garamond" w:hAnsi="Garamond" w:cs="Arial"/>
          <w:sz w:val="24"/>
          <w:szCs w:val="24"/>
        </w:rPr>
        <w:t xml:space="preserve"> </w:t>
      </w:r>
      <w:r w:rsidR="002F5CD1" w:rsidRPr="005071D8">
        <w:rPr>
          <w:rFonts w:ascii="Garamond" w:hAnsi="Garamond" w:cs="Arial"/>
          <w:sz w:val="24"/>
          <w:szCs w:val="24"/>
        </w:rPr>
        <w:t>promoção</w:t>
      </w:r>
      <w:r w:rsidR="00AB405A" w:rsidRPr="005071D8">
        <w:rPr>
          <w:rFonts w:ascii="Garamond" w:hAnsi="Garamond" w:cs="Arial"/>
          <w:sz w:val="24"/>
          <w:szCs w:val="24"/>
        </w:rPr>
        <w:t xml:space="preserve"> </w:t>
      </w:r>
      <w:r w:rsidR="00E85E59" w:rsidRPr="005071D8">
        <w:rPr>
          <w:rFonts w:ascii="Garamond" w:hAnsi="Garamond" w:cs="Arial"/>
          <w:sz w:val="24"/>
          <w:szCs w:val="24"/>
        </w:rPr>
        <w:t>do</w:t>
      </w:r>
      <w:r w:rsidR="00AB405A" w:rsidRPr="005071D8">
        <w:rPr>
          <w:rFonts w:ascii="Garamond" w:hAnsi="Garamond" w:cs="Arial"/>
          <w:sz w:val="24"/>
          <w:szCs w:val="24"/>
        </w:rPr>
        <w:t xml:space="preserve"> </w:t>
      </w:r>
      <w:r w:rsidR="00886D6A" w:rsidRPr="005071D8">
        <w:rPr>
          <w:rFonts w:ascii="Garamond" w:hAnsi="Garamond" w:cs="Arial"/>
          <w:sz w:val="24"/>
          <w:szCs w:val="24"/>
        </w:rPr>
        <w:t>direito</w:t>
      </w:r>
      <w:r w:rsidR="00AB405A" w:rsidRPr="005071D8">
        <w:rPr>
          <w:rFonts w:ascii="Garamond" w:hAnsi="Garamond" w:cs="Arial"/>
          <w:sz w:val="24"/>
          <w:szCs w:val="24"/>
        </w:rPr>
        <w:t xml:space="preserve"> </w:t>
      </w:r>
      <w:r w:rsidR="00497503" w:rsidRPr="005071D8">
        <w:rPr>
          <w:rFonts w:ascii="Garamond" w:hAnsi="Garamond" w:cs="Arial"/>
          <w:sz w:val="24"/>
          <w:szCs w:val="24"/>
        </w:rPr>
        <w:t>das</w:t>
      </w:r>
      <w:r w:rsidR="00AB405A" w:rsidRPr="005071D8">
        <w:rPr>
          <w:rFonts w:ascii="Garamond" w:hAnsi="Garamond" w:cs="Arial"/>
          <w:sz w:val="24"/>
          <w:szCs w:val="24"/>
        </w:rPr>
        <w:t xml:space="preserve"> </w:t>
      </w:r>
      <w:r w:rsidR="00054EE0" w:rsidRPr="005071D8">
        <w:rPr>
          <w:rFonts w:ascii="Garamond" w:hAnsi="Garamond" w:cs="Arial"/>
          <w:sz w:val="24"/>
          <w:szCs w:val="24"/>
        </w:rPr>
        <w:t>mulheres</w:t>
      </w:r>
      <w:r w:rsidR="00AB405A" w:rsidRPr="005071D8">
        <w:rPr>
          <w:rFonts w:ascii="Garamond" w:hAnsi="Garamond" w:cs="Arial"/>
          <w:sz w:val="24"/>
          <w:szCs w:val="24"/>
        </w:rPr>
        <w:t xml:space="preserve"> a u</w:t>
      </w:r>
      <w:r w:rsidRPr="005071D8">
        <w:rPr>
          <w:rFonts w:ascii="Garamond" w:hAnsi="Garamond" w:cs="Arial"/>
          <w:sz w:val="24"/>
          <w:szCs w:val="24"/>
        </w:rPr>
        <w:t>m</w:t>
      </w:r>
      <w:r w:rsidR="00AB405A" w:rsidRPr="005071D8">
        <w:rPr>
          <w:rFonts w:ascii="Garamond" w:hAnsi="Garamond" w:cs="Arial"/>
          <w:sz w:val="24"/>
          <w:szCs w:val="24"/>
        </w:rPr>
        <w:t xml:space="preserve">a vida </w:t>
      </w:r>
      <w:r w:rsidR="00AF192F" w:rsidRPr="005071D8">
        <w:rPr>
          <w:rFonts w:ascii="Garamond" w:hAnsi="Garamond" w:cs="Arial"/>
          <w:sz w:val="24"/>
          <w:szCs w:val="24"/>
        </w:rPr>
        <w:t>livre</w:t>
      </w:r>
      <w:r w:rsidR="00AB405A" w:rsidRPr="005071D8">
        <w:rPr>
          <w:rFonts w:ascii="Garamond" w:hAnsi="Garamond" w:cs="Arial"/>
          <w:sz w:val="24"/>
          <w:szCs w:val="24"/>
        </w:rPr>
        <w:t xml:space="preserve"> de </w:t>
      </w:r>
      <w:r w:rsidR="000350B1" w:rsidRPr="005071D8">
        <w:rPr>
          <w:rFonts w:ascii="Garamond" w:hAnsi="Garamond" w:cs="Arial"/>
          <w:sz w:val="24"/>
          <w:szCs w:val="24"/>
        </w:rPr>
        <w:t>violência</w:t>
      </w:r>
      <w:r w:rsidR="00AB405A" w:rsidRPr="005071D8">
        <w:rPr>
          <w:rFonts w:ascii="Garamond" w:hAnsi="Garamond" w:cs="Arial"/>
          <w:sz w:val="24"/>
          <w:szCs w:val="24"/>
        </w:rPr>
        <w:t xml:space="preserve">; </w:t>
      </w:r>
      <w:r w:rsidR="000672E8" w:rsidRPr="005071D8">
        <w:rPr>
          <w:rFonts w:ascii="Garamond" w:hAnsi="Garamond" w:cs="Arial"/>
          <w:sz w:val="24"/>
          <w:szCs w:val="24"/>
        </w:rPr>
        <w:t>e</w:t>
      </w:r>
      <w:r w:rsidR="00AB405A" w:rsidRPr="005071D8">
        <w:rPr>
          <w:rFonts w:ascii="Garamond" w:hAnsi="Garamond" w:cs="Arial"/>
          <w:sz w:val="24"/>
          <w:szCs w:val="24"/>
        </w:rPr>
        <w:t xml:space="preserve"> aquel</w:t>
      </w:r>
      <w:r w:rsidR="00C635E5" w:rsidRPr="005071D8">
        <w:rPr>
          <w:rFonts w:ascii="Garamond" w:hAnsi="Garamond" w:cs="Arial"/>
          <w:sz w:val="24"/>
          <w:szCs w:val="24"/>
        </w:rPr>
        <w:t>e</w:t>
      </w:r>
      <w:r w:rsidR="00AB405A" w:rsidRPr="005071D8">
        <w:rPr>
          <w:rFonts w:ascii="Garamond" w:hAnsi="Garamond" w:cs="Arial"/>
          <w:sz w:val="24"/>
          <w:szCs w:val="24"/>
        </w:rPr>
        <w:t xml:space="preserve">s que </w:t>
      </w:r>
      <w:r w:rsidR="00C635E5" w:rsidRPr="005071D8">
        <w:rPr>
          <w:rFonts w:ascii="Garamond" w:hAnsi="Garamond" w:cs="Arial"/>
          <w:sz w:val="24"/>
          <w:szCs w:val="24"/>
        </w:rPr>
        <w:t xml:space="preserve">lhe destinam alguma quantia, fazem-no com </w:t>
      </w:r>
      <w:r w:rsidR="00AB405A" w:rsidRPr="005071D8">
        <w:rPr>
          <w:rFonts w:ascii="Garamond" w:hAnsi="Garamond" w:cs="Arial"/>
          <w:sz w:val="24"/>
          <w:szCs w:val="24"/>
        </w:rPr>
        <w:t>recursos que</w:t>
      </w:r>
      <w:r w:rsidR="00C635E5" w:rsidRPr="005071D8">
        <w:rPr>
          <w:rFonts w:ascii="Garamond" w:hAnsi="Garamond" w:cs="Arial"/>
          <w:sz w:val="24"/>
          <w:szCs w:val="24"/>
        </w:rPr>
        <w:t>,</w:t>
      </w:r>
      <w:r w:rsidR="00AB405A" w:rsidRPr="005071D8">
        <w:rPr>
          <w:rFonts w:ascii="Garamond" w:hAnsi="Garamond" w:cs="Arial"/>
          <w:sz w:val="24"/>
          <w:szCs w:val="24"/>
        </w:rPr>
        <w:t xml:space="preserve"> lamenta</w:t>
      </w:r>
      <w:r w:rsidR="00C635E5" w:rsidRPr="005071D8">
        <w:rPr>
          <w:rFonts w:ascii="Garamond" w:hAnsi="Garamond" w:cs="Arial"/>
          <w:sz w:val="24"/>
          <w:szCs w:val="24"/>
        </w:rPr>
        <w:t xml:space="preserve">velmente, são </w:t>
      </w:r>
      <w:r w:rsidR="00AB405A" w:rsidRPr="005071D8">
        <w:rPr>
          <w:rFonts w:ascii="Garamond" w:hAnsi="Garamond" w:cs="Arial"/>
          <w:sz w:val="24"/>
          <w:szCs w:val="24"/>
        </w:rPr>
        <w:t xml:space="preserve">insuficientes para </w:t>
      </w:r>
      <w:r w:rsidR="00D75A07" w:rsidRPr="005071D8">
        <w:rPr>
          <w:rFonts w:ascii="Garamond" w:hAnsi="Garamond" w:cs="Arial"/>
          <w:sz w:val="24"/>
          <w:szCs w:val="24"/>
        </w:rPr>
        <w:t>desenvolver</w:t>
      </w:r>
      <w:r w:rsidR="00C635E5" w:rsidRPr="005071D8">
        <w:rPr>
          <w:rFonts w:ascii="Garamond" w:hAnsi="Garamond" w:cs="Arial"/>
          <w:sz w:val="24"/>
          <w:szCs w:val="24"/>
        </w:rPr>
        <w:t xml:space="preserve"> </w:t>
      </w:r>
      <w:r w:rsidR="00AB405A" w:rsidRPr="005071D8">
        <w:rPr>
          <w:rFonts w:ascii="Garamond" w:hAnsi="Garamond" w:cs="Arial"/>
          <w:sz w:val="24"/>
          <w:szCs w:val="24"/>
        </w:rPr>
        <w:t xml:space="preserve">as </w:t>
      </w:r>
      <w:r w:rsidR="00374785" w:rsidRPr="005071D8">
        <w:rPr>
          <w:rFonts w:ascii="Garamond" w:hAnsi="Garamond" w:cs="Arial"/>
          <w:sz w:val="24"/>
          <w:szCs w:val="24"/>
        </w:rPr>
        <w:t>atividades</w:t>
      </w:r>
      <w:r w:rsidR="00AB405A" w:rsidRPr="003A1174">
        <w:rPr>
          <w:rFonts w:ascii="Garamond" w:hAnsi="Garamond" w:cs="Arial"/>
          <w:sz w:val="24"/>
          <w:szCs w:val="24"/>
        </w:rPr>
        <w:t xml:space="preserve"> previstas para </w:t>
      </w:r>
      <w:r w:rsidR="00C635E5" w:rsidRPr="003A1174">
        <w:rPr>
          <w:rFonts w:ascii="Garamond" w:hAnsi="Garamond" w:cs="Arial"/>
          <w:sz w:val="24"/>
          <w:szCs w:val="24"/>
        </w:rPr>
        <w:t xml:space="preserve">o </w:t>
      </w:r>
      <w:r w:rsidR="003E1D8A" w:rsidRPr="003A1174">
        <w:rPr>
          <w:rFonts w:ascii="Garamond" w:hAnsi="Garamond" w:cs="Arial"/>
          <w:sz w:val="24"/>
          <w:szCs w:val="24"/>
        </w:rPr>
        <w:t>correspondente</w:t>
      </w:r>
      <w:r w:rsidR="00AB405A" w:rsidRPr="003A1174">
        <w:rPr>
          <w:rFonts w:ascii="Garamond" w:hAnsi="Garamond" w:cs="Arial"/>
          <w:sz w:val="24"/>
          <w:szCs w:val="24"/>
        </w:rPr>
        <w:t xml:space="preserve"> </w:t>
      </w:r>
      <w:r w:rsidR="00F96DD1" w:rsidRPr="003A1174">
        <w:rPr>
          <w:rFonts w:ascii="Garamond" w:hAnsi="Garamond" w:cs="Arial"/>
          <w:sz w:val="24"/>
          <w:szCs w:val="24"/>
        </w:rPr>
        <w:t>setor</w:t>
      </w:r>
      <w:r w:rsidR="00AB405A" w:rsidRPr="003A1174">
        <w:rPr>
          <w:rFonts w:ascii="Garamond" w:hAnsi="Garamond" w:cs="Arial"/>
          <w:sz w:val="24"/>
          <w:szCs w:val="24"/>
        </w:rPr>
        <w:t>, consi</w:t>
      </w:r>
      <w:r w:rsidR="00C635E5" w:rsidRPr="003A1174">
        <w:rPr>
          <w:rFonts w:ascii="Garamond" w:hAnsi="Garamond" w:cs="Arial"/>
          <w:sz w:val="24"/>
          <w:szCs w:val="24"/>
        </w:rPr>
        <w:t xml:space="preserve">deradas no </w:t>
      </w:r>
      <w:r w:rsidR="00462B11" w:rsidRPr="003A1174">
        <w:rPr>
          <w:rFonts w:ascii="Garamond" w:hAnsi="Garamond" w:cs="Arial"/>
          <w:sz w:val="24"/>
          <w:szCs w:val="24"/>
        </w:rPr>
        <w:t>Plano</w:t>
      </w:r>
      <w:r w:rsidR="00AB405A" w:rsidRPr="003A1174">
        <w:rPr>
          <w:rFonts w:ascii="Garamond" w:hAnsi="Garamond" w:cs="Arial"/>
          <w:sz w:val="24"/>
          <w:szCs w:val="24"/>
        </w:rPr>
        <w:t xml:space="preserve"> Nacional </w:t>
      </w:r>
      <w:r w:rsidR="00BB2B00" w:rsidRPr="003A1174">
        <w:rPr>
          <w:rFonts w:ascii="Garamond" w:hAnsi="Garamond" w:cs="Arial"/>
          <w:sz w:val="24"/>
          <w:szCs w:val="24"/>
        </w:rPr>
        <w:t>contra a</w:t>
      </w:r>
      <w:r w:rsidR="00AB405A" w:rsidRPr="003A1174">
        <w:rPr>
          <w:rFonts w:ascii="Garamond" w:hAnsi="Garamond" w:cs="Arial"/>
          <w:sz w:val="24"/>
          <w:szCs w:val="24"/>
        </w:rPr>
        <w:t xml:space="preserve"> </w:t>
      </w:r>
      <w:r w:rsidR="000350B1" w:rsidRPr="003A1174">
        <w:rPr>
          <w:rFonts w:ascii="Garamond" w:hAnsi="Garamond" w:cs="Arial"/>
          <w:sz w:val="24"/>
          <w:szCs w:val="24"/>
        </w:rPr>
        <w:t>Violência</w:t>
      </w:r>
      <w:r w:rsidR="00AB405A" w:rsidRPr="003A1174">
        <w:rPr>
          <w:rFonts w:ascii="Garamond" w:hAnsi="Garamond" w:cs="Arial"/>
          <w:sz w:val="24"/>
          <w:szCs w:val="24"/>
        </w:rPr>
        <w:t xml:space="preserve"> </w:t>
      </w:r>
      <w:r w:rsidR="00067AA4" w:rsidRPr="003A1174">
        <w:rPr>
          <w:rFonts w:ascii="Garamond" w:hAnsi="Garamond" w:cs="Arial"/>
          <w:sz w:val="24"/>
          <w:szCs w:val="24"/>
        </w:rPr>
        <w:t>para com a Mulher</w:t>
      </w:r>
      <w:r w:rsidR="00C635E5" w:rsidRPr="003A1174">
        <w:rPr>
          <w:rFonts w:ascii="Garamond" w:hAnsi="Garamond" w:cs="Arial"/>
          <w:sz w:val="24"/>
          <w:szCs w:val="24"/>
        </w:rPr>
        <w:t xml:space="preserve"> </w:t>
      </w:r>
      <w:r w:rsidR="00AB405A" w:rsidRPr="003A1174">
        <w:rPr>
          <w:rFonts w:ascii="Garamond" w:hAnsi="Garamond" w:cs="Arial"/>
          <w:sz w:val="24"/>
          <w:szCs w:val="24"/>
        </w:rPr>
        <w:t>2009-2015.</w:t>
      </w:r>
    </w:p>
    <w:p w:rsidR="00AB405A" w:rsidRPr="003A1174" w:rsidRDefault="009F0311"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Vale a pena mencionar</w:t>
      </w:r>
      <w:r w:rsidR="00AB405A" w:rsidRPr="003A1174">
        <w:rPr>
          <w:rFonts w:ascii="Garamond" w:hAnsi="Garamond" w:cs="Arial"/>
          <w:sz w:val="24"/>
          <w:szCs w:val="24"/>
          <w:lang w:val="pt-PT"/>
        </w:rPr>
        <w:t xml:space="preserve"> que</w:t>
      </w:r>
      <w:r w:rsidR="005071D8">
        <w:rPr>
          <w:rFonts w:ascii="Garamond" w:hAnsi="Garamond" w:cs="Arial"/>
          <w:sz w:val="24"/>
          <w:szCs w:val="24"/>
          <w:lang w:val="pt-PT"/>
        </w:rPr>
        <w:t>,</w:t>
      </w:r>
      <w:r w:rsidR="00AB405A" w:rsidRPr="003A1174">
        <w:rPr>
          <w:rFonts w:ascii="Garamond" w:hAnsi="Garamond" w:cs="Arial"/>
          <w:sz w:val="24"/>
          <w:szCs w:val="24"/>
          <w:lang w:val="pt-PT"/>
        </w:rPr>
        <w:t xml:space="preserve"> e</w:t>
      </w:r>
      <w:r w:rsidR="00C635E5" w:rsidRPr="003A1174">
        <w:rPr>
          <w:rFonts w:ascii="Garamond" w:hAnsi="Garamond" w:cs="Arial"/>
          <w:sz w:val="24"/>
          <w:szCs w:val="24"/>
          <w:lang w:val="pt-PT"/>
        </w:rPr>
        <w:t>m</w:t>
      </w:r>
      <w:r w:rsidR="00AB405A" w:rsidRPr="003A1174">
        <w:rPr>
          <w:rFonts w:ascii="Garamond" w:hAnsi="Garamond" w:cs="Arial"/>
          <w:sz w:val="24"/>
          <w:szCs w:val="24"/>
          <w:lang w:val="pt-PT"/>
        </w:rPr>
        <w:t xml:space="preserve"> </w:t>
      </w:r>
      <w:r w:rsidR="00AB6522" w:rsidRPr="003A1174">
        <w:rPr>
          <w:rFonts w:ascii="Garamond" w:hAnsi="Garamond" w:cs="Arial"/>
          <w:sz w:val="24"/>
          <w:szCs w:val="24"/>
          <w:lang w:val="pt-PT"/>
        </w:rPr>
        <w:t>resposta</w:t>
      </w:r>
      <w:r w:rsidR="00AB405A"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AB405A" w:rsidRPr="003A1174">
        <w:rPr>
          <w:rFonts w:ascii="Garamond" w:hAnsi="Garamond" w:cs="Arial"/>
          <w:sz w:val="24"/>
          <w:szCs w:val="24"/>
          <w:lang w:val="pt-PT"/>
        </w:rPr>
        <w:t xml:space="preserve">s </w:t>
      </w:r>
      <w:r w:rsidR="008E7A2A" w:rsidRPr="003A1174">
        <w:rPr>
          <w:rFonts w:ascii="Garamond" w:hAnsi="Garamond" w:cs="Arial"/>
          <w:sz w:val="24"/>
          <w:szCs w:val="24"/>
          <w:lang w:val="pt-PT"/>
        </w:rPr>
        <w:t>recomendações</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apresentadas no referido </w:t>
      </w:r>
      <w:r w:rsidR="009E3E55" w:rsidRPr="003A1174">
        <w:rPr>
          <w:rFonts w:ascii="Garamond" w:hAnsi="Garamond" w:cs="Arial"/>
          <w:sz w:val="24"/>
          <w:szCs w:val="24"/>
          <w:lang w:val="pt-PT"/>
        </w:rPr>
        <w:t>relatório</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o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AB405A" w:rsidRPr="003A1174">
        <w:rPr>
          <w:rFonts w:ascii="Garamond" w:hAnsi="Garamond" w:cs="Arial"/>
          <w:sz w:val="24"/>
          <w:szCs w:val="24"/>
          <w:lang w:val="pt-PT"/>
        </w:rPr>
        <w:t xml:space="preserve"> Interior, </w:t>
      </w:r>
      <w:r w:rsidR="005071D8">
        <w:rPr>
          <w:rFonts w:ascii="Garamond" w:hAnsi="Garamond" w:cs="Arial"/>
          <w:sz w:val="24"/>
          <w:szCs w:val="24"/>
          <w:lang w:val="pt-PT"/>
        </w:rPr>
        <w:t xml:space="preserve">através do </w:t>
      </w:r>
      <w:r w:rsidR="00282B4D" w:rsidRPr="003A1174">
        <w:rPr>
          <w:rFonts w:ascii="Garamond" w:hAnsi="Garamond" w:cs="Arial"/>
          <w:sz w:val="24"/>
          <w:szCs w:val="24"/>
          <w:lang w:val="pt-PT"/>
        </w:rPr>
        <w:t>ofício</w:t>
      </w:r>
      <w:r w:rsidR="00AB405A" w:rsidRPr="003A1174">
        <w:rPr>
          <w:rFonts w:ascii="Garamond" w:hAnsi="Garamond" w:cs="Arial"/>
          <w:sz w:val="24"/>
          <w:szCs w:val="24"/>
          <w:lang w:val="pt-PT"/>
        </w:rPr>
        <w:t xml:space="preserve"> N</w:t>
      </w:r>
      <w:r w:rsidR="005071D8">
        <w:rPr>
          <w:rFonts w:ascii="Garamond" w:hAnsi="Garamond" w:cs="Arial"/>
          <w:sz w:val="24"/>
          <w:szCs w:val="24"/>
          <w:lang w:val="pt-PT"/>
        </w:rPr>
        <w:t>.</w:t>
      </w:r>
      <w:r w:rsidR="00AB405A" w:rsidRPr="003A1174">
        <w:rPr>
          <w:rFonts w:ascii="Garamond" w:hAnsi="Garamond" w:cs="Arial"/>
          <w:sz w:val="24"/>
          <w:szCs w:val="24"/>
          <w:lang w:val="pt-PT"/>
        </w:rPr>
        <w:t>º 000228-2014/IN/VOI</w:t>
      </w:r>
      <w:r w:rsidR="005071D8">
        <w:rPr>
          <w:rFonts w:ascii="Garamond" w:hAnsi="Garamond" w:cs="Arial"/>
          <w:sz w:val="24"/>
          <w:szCs w:val="24"/>
          <w:lang w:val="pt-PT"/>
        </w:rPr>
        <w:t>,</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com </w:t>
      </w:r>
      <w:r w:rsidR="0074243F" w:rsidRPr="003A1174">
        <w:rPr>
          <w:rFonts w:ascii="Garamond" w:hAnsi="Garamond" w:cs="Arial"/>
          <w:sz w:val="24"/>
          <w:szCs w:val="24"/>
          <w:lang w:val="pt-PT"/>
        </w:rPr>
        <w:t>data</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de </w:t>
      </w:r>
      <w:r w:rsidR="00AB405A" w:rsidRPr="003A1174">
        <w:rPr>
          <w:rFonts w:ascii="Garamond" w:hAnsi="Garamond" w:cs="Arial"/>
          <w:sz w:val="24"/>
          <w:szCs w:val="24"/>
          <w:lang w:val="pt-PT"/>
        </w:rPr>
        <w:t xml:space="preserve">20 de </w:t>
      </w:r>
      <w:r w:rsidR="00077461" w:rsidRPr="003A1174">
        <w:rPr>
          <w:rFonts w:ascii="Garamond" w:hAnsi="Garamond" w:cs="Arial"/>
          <w:sz w:val="24"/>
          <w:szCs w:val="24"/>
          <w:lang w:val="pt-PT"/>
        </w:rPr>
        <w:t>junho</w:t>
      </w:r>
      <w:r w:rsidR="00AB405A" w:rsidRPr="003A1174">
        <w:rPr>
          <w:rFonts w:ascii="Garamond" w:hAnsi="Garamond" w:cs="Arial"/>
          <w:sz w:val="24"/>
          <w:szCs w:val="24"/>
          <w:lang w:val="pt-PT"/>
        </w:rPr>
        <w:t xml:space="preserve"> de 2014</w:t>
      </w:r>
      <w:r w:rsidR="00A060D9" w:rsidRPr="003A1174">
        <w:rPr>
          <w:rFonts w:ascii="Garamond" w:hAnsi="Garamond" w:cs="Arial"/>
          <w:sz w:val="24"/>
          <w:szCs w:val="24"/>
          <w:lang w:val="pt-PT"/>
        </w:rPr>
        <w:t>,</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dá </w:t>
      </w:r>
      <w:r w:rsidR="003E6403" w:rsidRPr="003A1174">
        <w:rPr>
          <w:rFonts w:ascii="Garamond" w:hAnsi="Garamond" w:cs="Arial"/>
          <w:sz w:val="24"/>
          <w:szCs w:val="24"/>
          <w:lang w:val="pt-PT"/>
        </w:rPr>
        <w:t>conhecimento</w:t>
      </w:r>
      <w:r w:rsidR="00C635E5" w:rsidRPr="003A1174">
        <w:rPr>
          <w:rFonts w:ascii="Garamond" w:hAnsi="Garamond" w:cs="Arial"/>
          <w:sz w:val="24"/>
          <w:szCs w:val="24"/>
          <w:lang w:val="pt-PT"/>
        </w:rPr>
        <w:t xml:space="preserve"> à </w:t>
      </w:r>
      <w:r w:rsidR="00C04CA4" w:rsidRPr="003A1174">
        <w:rPr>
          <w:rFonts w:ascii="Garamond" w:hAnsi="Garamond" w:cs="Arial"/>
          <w:sz w:val="24"/>
          <w:szCs w:val="24"/>
          <w:lang w:val="pt-PT"/>
        </w:rPr>
        <w:t>Provedoria de Justiça</w:t>
      </w:r>
      <w:r w:rsidR="00AB405A" w:rsidRPr="003A1174">
        <w:rPr>
          <w:rFonts w:ascii="Garamond" w:hAnsi="Garamond" w:cs="Arial"/>
          <w:sz w:val="24"/>
          <w:szCs w:val="24"/>
          <w:lang w:val="pt-PT"/>
        </w:rPr>
        <w:t xml:space="preserve"> que </w:t>
      </w:r>
      <w:r w:rsidR="00C635E5" w:rsidRPr="003A1174">
        <w:rPr>
          <w:rFonts w:ascii="Garamond" w:hAnsi="Garamond" w:cs="Arial"/>
          <w:sz w:val="24"/>
          <w:szCs w:val="24"/>
          <w:lang w:val="pt-PT"/>
        </w:rPr>
        <w:t xml:space="preserve">o </w:t>
      </w:r>
      <w:r w:rsidR="00946348" w:rsidRPr="003A1174">
        <w:rPr>
          <w:rFonts w:ascii="Garamond" w:hAnsi="Garamond" w:cs="Arial"/>
          <w:sz w:val="24"/>
          <w:szCs w:val="24"/>
          <w:lang w:val="pt-PT"/>
        </w:rPr>
        <w:t>orçamento</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atribuído p</w:t>
      </w:r>
      <w:r w:rsidR="00AB405A" w:rsidRPr="003A1174">
        <w:rPr>
          <w:rFonts w:ascii="Garamond" w:hAnsi="Garamond" w:cs="Arial"/>
          <w:sz w:val="24"/>
          <w:szCs w:val="24"/>
          <w:lang w:val="pt-PT"/>
        </w:rPr>
        <w:t xml:space="preserve">ara </w:t>
      </w:r>
      <w:r w:rsidR="00D96FD0" w:rsidRPr="003A1174">
        <w:rPr>
          <w:rFonts w:ascii="Garamond" w:hAnsi="Garamond" w:cs="Arial"/>
          <w:sz w:val="24"/>
          <w:szCs w:val="24"/>
          <w:lang w:val="pt-PT"/>
        </w:rPr>
        <w:t>cumprimento</w:t>
      </w:r>
      <w:r w:rsidR="00AB405A"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AB405A" w:rsidRPr="003A1174">
        <w:rPr>
          <w:rFonts w:ascii="Garamond" w:hAnsi="Garamond" w:cs="Arial"/>
          <w:sz w:val="24"/>
          <w:szCs w:val="24"/>
          <w:lang w:val="pt-PT"/>
        </w:rPr>
        <w:t xml:space="preserve"> </w:t>
      </w:r>
      <w:r w:rsidR="00462B11" w:rsidRPr="003A1174">
        <w:rPr>
          <w:rFonts w:ascii="Garamond" w:hAnsi="Garamond" w:cs="Arial"/>
          <w:sz w:val="24"/>
          <w:szCs w:val="24"/>
          <w:lang w:val="pt-PT"/>
        </w:rPr>
        <w:t>Plano</w:t>
      </w:r>
      <w:r w:rsidR="00AB405A" w:rsidRPr="003A1174">
        <w:rPr>
          <w:rFonts w:ascii="Garamond" w:hAnsi="Garamond" w:cs="Arial"/>
          <w:sz w:val="24"/>
          <w:szCs w:val="24"/>
          <w:lang w:val="pt-PT"/>
        </w:rPr>
        <w:t xml:space="preserve"> Nacional </w:t>
      </w:r>
      <w:r w:rsidR="00BB2B00" w:rsidRPr="003A1174">
        <w:rPr>
          <w:rFonts w:ascii="Garamond" w:hAnsi="Garamond" w:cs="Arial"/>
          <w:sz w:val="24"/>
          <w:szCs w:val="24"/>
          <w:lang w:val="pt-PT"/>
        </w:rPr>
        <w:t>contra a</w:t>
      </w:r>
      <w:r w:rsidR="00AB405A"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00AB405A" w:rsidRPr="003A1174">
        <w:rPr>
          <w:rFonts w:ascii="Garamond" w:hAnsi="Garamond" w:cs="Arial"/>
          <w:sz w:val="24"/>
          <w:szCs w:val="24"/>
          <w:lang w:val="pt-PT"/>
        </w:rPr>
        <w:t xml:space="preserve"> </w:t>
      </w:r>
      <w:r w:rsidR="00067AA4" w:rsidRPr="003A1174">
        <w:rPr>
          <w:rFonts w:ascii="Garamond" w:hAnsi="Garamond" w:cs="Arial"/>
          <w:sz w:val="24"/>
          <w:szCs w:val="24"/>
          <w:lang w:val="pt-PT"/>
        </w:rPr>
        <w:t>para com a Mulher</w:t>
      </w:r>
      <w:r w:rsidR="00AB405A" w:rsidRPr="003A1174">
        <w:rPr>
          <w:rFonts w:ascii="Garamond" w:hAnsi="Garamond" w:cs="Arial"/>
          <w:sz w:val="24"/>
          <w:szCs w:val="24"/>
          <w:lang w:val="pt-PT"/>
        </w:rPr>
        <w:t xml:space="preserve"> 2009-2015, destinado</w:t>
      </w:r>
      <w:r w:rsidR="005071D8">
        <w:rPr>
          <w:rFonts w:ascii="Garamond" w:hAnsi="Garamond" w:cs="Arial"/>
          <w:sz w:val="24"/>
          <w:szCs w:val="24"/>
          <w:lang w:val="pt-PT"/>
        </w:rPr>
        <w:t>,</w:t>
      </w:r>
      <w:r w:rsidR="00AB405A" w:rsidRPr="003A1174">
        <w:rPr>
          <w:rFonts w:ascii="Garamond" w:hAnsi="Garamond" w:cs="Arial"/>
          <w:sz w:val="24"/>
          <w:szCs w:val="24"/>
          <w:lang w:val="pt-PT"/>
        </w:rPr>
        <w:t xml:space="preserve"> </w:t>
      </w:r>
      <w:r w:rsidR="009B133A" w:rsidRPr="003A1174">
        <w:rPr>
          <w:rFonts w:ascii="Garamond" w:hAnsi="Garamond" w:cs="Arial"/>
          <w:sz w:val="24"/>
          <w:szCs w:val="24"/>
          <w:lang w:val="pt-PT"/>
        </w:rPr>
        <w:t>especificamente</w:t>
      </w:r>
      <w:r w:rsidR="005071D8">
        <w:rPr>
          <w:rFonts w:ascii="Garamond" w:hAnsi="Garamond" w:cs="Arial"/>
          <w:sz w:val="24"/>
          <w:szCs w:val="24"/>
          <w:lang w:val="pt-PT"/>
        </w:rPr>
        <w:t>,</w:t>
      </w:r>
      <w:r w:rsidR="00A060D9" w:rsidRPr="003A1174">
        <w:rPr>
          <w:rFonts w:ascii="Garamond" w:hAnsi="Garamond" w:cs="Arial"/>
          <w:sz w:val="24"/>
          <w:szCs w:val="24"/>
          <w:lang w:val="pt-PT"/>
        </w:rPr>
        <w:t xml:space="preserve"> </w:t>
      </w:r>
      <w:r w:rsidR="00AB405A" w:rsidRPr="003A1174">
        <w:rPr>
          <w:rFonts w:ascii="Garamond" w:hAnsi="Garamond" w:cs="Arial"/>
          <w:sz w:val="24"/>
          <w:szCs w:val="24"/>
          <w:lang w:val="pt-PT"/>
        </w:rPr>
        <w:t xml:space="preserve">para 2014 </w:t>
      </w:r>
      <w:r w:rsidR="00A060D9" w:rsidRPr="003A1174">
        <w:rPr>
          <w:rFonts w:ascii="Garamond" w:hAnsi="Garamond" w:cs="Arial"/>
          <w:sz w:val="24"/>
          <w:szCs w:val="24"/>
          <w:lang w:val="pt-PT"/>
        </w:rPr>
        <w:t>ascende a</w:t>
      </w:r>
      <w:r w:rsidR="00AB405A" w:rsidRPr="003A1174">
        <w:rPr>
          <w:rFonts w:ascii="Garamond" w:hAnsi="Garamond" w:cs="Arial"/>
          <w:sz w:val="24"/>
          <w:szCs w:val="24"/>
          <w:lang w:val="pt-PT"/>
        </w:rPr>
        <w:t xml:space="preserve"> $ 309,3334 </w:t>
      </w:r>
      <w:r w:rsidR="005D38DC" w:rsidRPr="003A1174">
        <w:rPr>
          <w:rFonts w:ascii="Garamond" w:hAnsi="Garamond" w:cs="Arial"/>
          <w:sz w:val="24"/>
          <w:szCs w:val="24"/>
          <w:lang w:val="pt-PT"/>
        </w:rPr>
        <w:t>Novo</w:t>
      </w:r>
      <w:r w:rsidR="00AB405A" w:rsidRPr="003A1174">
        <w:rPr>
          <w:rFonts w:ascii="Garamond" w:hAnsi="Garamond" w:cs="Arial"/>
          <w:sz w:val="24"/>
          <w:szCs w:val="24"/>
          <w:lang w:val="pt-PT"/>
        </w:rPr>
        <w:t xml:space="preserve">s </w:t>
      </w:r>
      <w:r w:rsidR="00A060D9" w:rsidRPr="003A1174">
        <w:rPr>
          <w:rFonts w:ascii="Garamond" w:hAnsi="Garamond" w:cs="Arial"/>
          <w:i/>
          <w:sz w:val="24"/>
          <w:szCs w:val="24"/>
          <w:lang w:val="pt-PT"/>
        </w:rPr>
        <w:t>S</w:t>
      </w:r>
      <w:r w:rsidR="00AB405A" w:rsidRPr="003A1174">
        <w:rPr>
          <w:rFonts w:ascii="Garamond" w:hAnsi="Garamond" w:cs="Arial"/>
          <w:i/>
          <w:sz w:val="24"/>
          <w:szCs w:val="24"/>
          <w:lang w:val="pt-PT"/>
        </w:rPr>
        <w:t>oles</w:t>
      </w:r>
      <w:r w:rsidR="00C635E5" w:rsidRPr="003A1174">
        <w:rPr>
          <w:rFonts w:ascii="Garamond" w:hAnsi="Garamond" w:cs="Arial"/>
          <w:sz w:val="24"/>
          <w:szCs w:val="24"/>
          <w:lang w:val="pt-PT"/>
        </w:rPr>
        <w:t xml:space="preserve">, </w:t>
      </w:r>
      <w:r w:rsidR="00AB405A" w:rsidRPr="003A1174">
        <w:rPr>
          <w:rFonts w:ascii="Garamond" w:hAnsi="Garamond" w:cs="Arial"/>
          <w:sz w:val="24"/>
          <w:szCs w:val="24"/>
          <w:lang w:val="pt-PT"/>
        </w:rPr>
        <w:t xml:space="preserve">o </w:t>
      </w:r>
      <w:r w:rsidR="00C635E5" w:rsidRPr="003A1174">
        <w:rPr>
          <w:rFonts w:ascii="Garamond" w:hAnsi="Garamond" w:cs="Arial"/>
          <w:sz w:val="24"/>
          <w:szCs w:val="24"/>
          <w:lang w:val="pt-PT"/>
        </w:rPr>
        <w:t xml:space="preserve">que </w:t>
      </w:r>
      <w:r w:rsidR="00EE7406" w:rsidRPr="003A1174">
        <w:rPr>
          <w:rFonts w:ascii="Garamond" w:hAnsi="Garamond" w:cs="Arial"/>
          <w:sz w:val="24"/>
          <w:szCs w:val="24"/>
          <w:lang w:val="pt-PT"/>
        </w:rPr>
        <w:t>supõe</w:t>
      </w:r>
      <w:r w:rsidR="00AB405A" w:rsidRPr="003A1174">
        <w:rPr>
          <w:rFonts w:ascii="Garamond" w:hAnsi="Garamond" w:cs="Arial"/>
          <w:sz w:val="24"/>
          <w:szCs w:val="24"/>
          <w:lang w:val="pt-PT"/>
        </w:rPr>
        <w:t xml:space="preserve"> u</w:t>
      </w:r>
      <w:r w:rsidR="00C635E5" w:rsidRPr="003A1174">
        <w:rPr>
          <w:rFonts w:ascii="Garamond" w:hAnsi="Garamond" w:cs="Arial"/>
          <w:sz w:val="24"/>
          <w:szCs w:val="24"/>
          <w:lang w:val="pt-PT"/>
        </w:rPr>
        <w:t xml:space="preserve">m aumento de </w:t>
      </w:r>
      <w:r w:rsidR="00AB405A" w:rsidRPr="003A1174">
        <w:rPr>
          <w:rFonts w:ascii="Garamond" w:hAnsi="Garamond" w:cs="Arial"/>
          <w:sz w:val="24"/>
          <w:szCs w:val="24"/>
          <w:lang w:val="pt-PT"/>
        </w:rPr>
        <w:t>15%</w:t>
      </w:r>
      <w:r w:rsidR="005071D8">
        <w:rPr>
          <w:rFonts w:ascii="Garamond" w:hAnsi="Garamond" w:cs="Arial"/>
          <w:sz w:val="24"/>
          <w:szCs w:val="24"/>
          <w:lang w:val="pt-PT"/>
        </w:rPr>
        <w:t>,</w:t>
      </w:r>
      <w:r w:rsidR="00AB405A" w:rsidRPr="003A1174">
        <w:rPr>
          <w:rFonts w:ascii="Garamond" w:hAnsi="Garamond" w:cs="Arial"/>
          <w:sz w:val="24"/>
          <w:szCs w:val="24"/>
          <w:lang w:val="pt-PT"/>
        </w:rPr>
        <w:t xml:space="preserve"> </w:t>
      </w:r>
      <w:r w:rsidR="001F2F8B" w:rsidRPr="003A1174">
        <w:rPr>
          <w:rFonts w:ascii="Garamond" w:hAnsi="Garamond" w:cs="Arial"/>
          <w:sz w:val="24"/>
          <w:szCs w:val="24"/>
          <w:lang w:val="pt-PT"/>
        </w:rPr>
        <w:t>re</w:t>
      </w:r>
      <w:r w:rsidR="00C635E5" w:rsidRPr="003A1174">
        <w:rPr>
          <w:rFonts w:ascii="Garamond" w:hAnsi="Garamond" w:cs="Arial"/>
          <w:sz w:val="24"/>
          <w:szCs w:val="24"/>
          <w:lang w:val="pt-PT"/>
        </w:rPr>
        <w:t>lativamente ao de</w:t>
      </w:r>
      <w:r w:rsidR="00AB405A" w:rsidRPr="003A1174">
        <w:rPr>
          <w:rFonts w:ascii="Garamond" w:hAnsi="Garamond" w:cs="Arial"/>
          <w:sz w:val="24"/>
          <w:szCs w:val="24"/>
          <w:lang w:val="pt-PT"/>
        </w:rPr>
        <w:t xml:space="preserve"> 2013</w:t>
      </w:r>
      <w:r w:rsidR="005071D8">
        <w:rPr>
          <w:rFonts w:ascii="Garamond" w:hAnsi="Garamond" w:cs="Arial"/>
          <w:sz w:val="24"/>
          <w:szCs w:val="24"/>
          <w:lang w:val="pt-PT"/>
        </w:rPr>
        <w:t>,</w:t>
      </w:r>
      <w:r w:rsidR="00AB405A" w:rsidRPr="003A1174">
        <w:rPr>
          <w:rFonts w:ascii="Garamond" w:hAnsi="Garamond" w:cs="Arial"/>
          <w:sz w:val="24"/>
          <w:szCs w:val="24"/>
          <w:lang w:val="pt-PT"/>
        </w:rPr>
        <w:t xml:space="preserve"> e</w:t>
      </w:r>
      <w:r w:rsidR="00C635E5" w:rsidRPr="003A1174">
        <w:rPr>
          <w:rFonts w:ascii="Garamond" w:hAnsi="Garamond" w:cs="Arial"/>
          <w:sz w:val="24"/>
          <w:szCs w:val="24"/>
          <w:lang w:val="pt-PT"/>
        </w:rPr>
        <w:t>m</w:t>
      </w:r>
      <w:r w:rsidR="00AB405A" w:rsidRPr="003A1174">
        <w:rPr>
          <w:rFonts w:ascii="Garamond" w:hAnsi="Garamond" w:cs="Arial"/>
          <w:sz w:val="24"/>
          <w:szCs w:val="24"/>
          <w:lang w:val="pt-PT"/>
        </w:rPr>
        <w:t xml:space="preserve"> que se </w:t>
      </w:r>
      <w:r w:rsidR="005071D8">
        <w:rPr>
          <w:rFonts w:ascii="Garamond" w:hAnsi="Garamond" w:cs="Arial"/>
          <w:sz w:val="24"/>
          <w:szCs w:val="24"/>
          <w:lang w:val="pt-PT"/>
        </w:rPr>
        <w:t xml:space="preserve">atribuiu </w:t>
      </w:r>
      <w:r w:rsidR="00C635E5" w:rsidRPr="003A1174">
        <w:rPr>
          <w:rFonts w:ascii="Garamond" w:hAnsi="Garamond" w:cs="Arial"/>
          <w:sz w:val="24"/>
          <w:szCs w:val="24"/>
          <w:lang w:val="pt-PT"/>
        </w:rPr>
        <w:t xml:space="preserve">um </w:t>
      </w:r>
      <w:r w:rsidR="00AB405A" w:rsidRPr="003A1174">
        <w:rPr>
          <w:rFonts w:ascii="Garamond" w:hAnsi="Garamond" w:cs="Arial"/>
          <w:sz w:val="24"/>
          <w:szCs w:val="24"/>
          <w:lang w:val="pt-PT"/>
        </w:rPr>
        <w:t>mont</w:t>
      </w:r>
      <w:r w:rsidR="00C635E5" w:rsidRPr="003A1174">
        <w:rPr>
          <w:rFonts w:ascii="Garamond" w:hAnsi="Garamond" w:cs="Arial"/>
          <w:sz w:val="24"/>
          <w:szCs w:val="24"/>
          <w:lang w:val="pt-PT"/>
        </w:rPr>
        <w:t xml:space="preserve">ante </w:t>
      </w:r>
      <w:r w:rsidR="00AB405A" w:rsidRPr="003A1174">
        <w:rPr>
          <w:rFonts w:ascii="Garamond" w:hAnsi="Garamond" w:cs="Arial"/>
          <w:sz w:val="24"/>
          <w:szCs w:val="24"/>
          <w:lang w:val="pt-PT"/>
        </w:rPr>
        <w:t xml:space="preserve">de $ 269,000 </w:t>
      </w:r>
      <w:r w:rsidR="005D38DC" w:rsidRPr="003A1174">
        <w:rPr>
          <w:rFonts w:ascii="Garamond" w:hAnsi="Garamond" w:cs="Arial"/>
          <w:sz w:val="24"/>
          <w:szCs w:val="24"/>
          <w:lang w:val="pt-PT"/>
        </w:rPr>
        <w:t>novo</w:t>
      </w:r>
      <w:r w:rsidR="00C635E5" w:rsidRPr="003A1174">
        <w:rPr>
          <w:rFonts w:ascii="Garamond" w:hAnsi="Garamond" w:cs="Arial"/>
          <w:sz w:val="24"/>
          <w:szCs w:val="24"/>
          <w:lang w:val="pt-PT"/>
        </w:rPr>
        <w:t>s</w:t>
      </w:r>
      <w:r w:rsidR="00AB405A" w:rsidRPr="003A1174">
        <w:rPr>
          <w:rFonts w:ascii="Garamond" w:hAnsi="Garamond" w:cs="Arial"/>
          <w:sz w:val="24"/>
          <w:szCs w:val="24"/>
          <w:lang w:val="pt-PT"/>
        </w:rPr>
        <w:t xml:space="preserve"> </w:t>
      </w:r>
      <w:r w:rsidR="00AB405A" w:rsidRPr="003A1174">
        <w:rPr>
          <w:rFonts w:ascii="Garamond" w:hAnsi="Garamond" w:cs="Arial"/>
          <w:i/>
          <w:sz w:val="24"/>
          <w:szCs w:val="24"/>
          <w:lang w:val="pt-PT"/>
        </w:rPr>
        <w:t>soles</w:t>
      </w:r>
      <w:r w:rsidR="00AB405A" w:rsidRPr="003A1174">
        <w:rPr>
          <w:rFonts w:ascii="Garamond" w:hAnsi="Garamond" w:cs="Arial"/>
          <w:sz w:val="24"/>
          <w:szCs w:val="24"/>
          <w:lang w:val="pt-PT"/>
        </w:rPr>
        <w:t>.</w:t>
      </w:r>
    </w:p>
    <w:p w:rsidR="00AB405A" w:rsidRPr="003A1174" w:rsidRDefault="00AB405A"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Por s</w:t>
      </w:r>
      <w:r w:rsidR="00C635E5" w:rsidRPr="003A1174">
        <w:rPr>
          <w:rFonts w:ascii="Garamond" w:hAnsi="Garamond" w:cs="Arial"/>
          <w:sz w:val="24"/>
          <w:szCs w:val="24"/>
          <w:lang w:val="pt-PT"/>
        </w:rPr>
        <w:t>e</w:t>
      </w:r>
      <w:r w:rsidRPr="003A1174">
        <w:rPr>
          <w:rFonts w:ascii="Garamond" w:hAnsi="Garamond" w:cs="Arial"/>
          <w:sz w:val="24"/>
          <w:szCs w:val="24"/>
          <w:lang w:val="pt-PT"/>
        </w:rPr>
        <w:t xml:space="preserve">u </w:t>
      </w:r>
      <w:r w:rsidR="00C635E5" w:rsidRPr="003A1174">
        <w:rPr>
          <w:rFonts w:ascii="Garamond" w:hAnsi="Garamond" w:cs="Arial"/>
          <w:sz w:val="24"/>
          <w:szCs w:val="24"/>
          <w:lang w:val="pt-PT"/>
        </w:rPr>
        <w:t>lado</w:t>
      </w:r>
      <w:r w:rsidRPr="003A1174">
        <w:rPr>
          <w:rFonts w:ascii="Garamond" w:hAnsi="Garamond" w:cs="Arial"/>
          <w:sz w:val="24"/>
          <w:szCs w:val="24"/>
          <w:lang w:val="pt-PT"/>
        </w:rPr>
        <w:t xml:space="preserve">, de </w:t>
      </w:r>
      <w:r w:rsidR="003F012B" w:rsidRPr="003A1174">
        <w:rPr>
          <w:rFonts w:ascii="Garamond" w:hAnsi="Garamond" w:cs="Arial"/>
          <w:sz w:val="24"/>
          <w:szCs w:val="24"/>
          <w:lang w:val="pt-PT"/>
        </w:rPr>
        <w:t>acordo</w:t>
      </w:r>
      <w:r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com </w:t>
      </w:r>
      <w:r w:rsidRPr="003A1174">
        <w:rPr>
          <w:rFonts w:ascii="Garamond" w:hAnsi="Garamond" w:cs="Arial"/>
          <w:sz w:val="24"/>
          <w:szCs w:val="24"/>
          <w:lang w:val="pt-PT"/>
        </w:rPr>
        <w:t xml:space="preserve">a </w:t>
      </w:r>
      <w:r w:rsidR="0017447A" w:rsidRPr="003A1174">
        <w:rPr>
          <w:rFonts w:ascii="Garamond" w:hAnsi="Garamond" w:cs="Arial"/>
          <w:sz w:val="24"/>
          <w:szCs w:val="24"/>
          <w:lang w:val="pt-PT"/>
        </w:rPr>
        <w:t>informação</w:t>
      </w:r>
      <w:r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colocada na sua </w:t>
      </w:r>
      <w:r w:rsidRPr="003A1174">
        <w:rPr>
          <w:rFonts w:ascii="Garamond" w:hAnsi="Garamond" w:cs="Arial"/>
          <w:sz w:val="24"/>
          <w:szCs w:val="24"/>
          <w:lang w:val="pt-PT"/>
        </w:rPr>
        <w:t xml:space="preserve">página </w:t>
      </w:r>
      <w:r w:rsidRPr="003A1174">
        <w:rPr>
          <w:rFonts w:ascii="Garamond" w:hAnsi="Garamond" w:cs="Arial"/>
          <w:i/>
          <w:sz w:val="24"/>
          <w:szCs w:val="24"/>
          <w:lang w:val="pt-PT"/>
        </w:rPr>
        <w:t>web</w:t>
      </w:r>
      <w:r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o montante atribuído ao </w:t>
      </w:r>
      <w:r w:rsidR="008F414A" w:rsidRPr="003A1174">
        <w:rPr>
          <w:rFonts w:ascii="Garamond" w:hAnsi="Garamond" w:cs="Arial"/>
          <w:sz w:val="24"/>
          <w:szCs w:val="24"/>
          <w:lang w:val="pt-PT"/>
        </w:rPr>
        <w:t xml:space="preserve">Programa Nacional </w:t>
      </w:r>
      <w:r w:rsidR="00BB2B00" w:rsidRPr="003A1174">
        <w:rPr>
          <w:rFonts w:ascii="Garamond" w:hAnsi="Garamond" w:cs="Arial"/>
          <w:sz w:val="24"/>
          <w:szCs w:val="24"/>
          <w:lang w:val="pt-PT"/>
        </w:rPr>
        <w:t>Contra a</w:t>
      </w:r>
      <w:r w:rsidR="008F414A"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008F414A" w:rsidRPr="003A1174">
        <w:rPr>
          <w:rFonts w:ascii="Garamond" w:hAnsi="Garamond" w:cs="Arial"/>
          <w:sz w:val="24"/>
          <w:szCs w:val="24"/>
          <w:lang w:val="pt-PT"/>
        </w:rPr>
        <w:t xml:space="preserve"> Familiar </w:t>
      </w:r>
      <w:r w:rsidR="000672E8" w:rsidRPr="003A1174">
        <w:rPr>
          <w:rFonts w:ascii="Garamond" w:hAnsi="Garamond" w:cs="Arial"/>
          <w:sz w:val="24"/>
          <w:szCs w:val="24"/>
          <w:lang w:val="pt-PT"/>
        </w:rPr>
        <w:t>e</w:t>
      </w:r>
      <w:r w:rsidR="008F414A" w:rsidRPr="003A1174">
        <w:rPr>
          <w:rFonts w:ascii="Garamond" w:hAnsi="Garamond" w:cs="Arial"/>
          <w:sz w:val="24"/>
          <w:szCs w:val="24"/>
          <w:lang w:val="pt-PT"/>
        </w:rPr>
        <w:t xml:space="preserve"> Sexual (PNCVFS)</w:t>
      </w:r>
      <w:r w:rsidR="00E95D78">
        <w:rPr>
          <w:rFonts w:ascii="Garamond" w:hAnsi="Garamond" w:cs="Arial"/>
          <w:sz w:val="24"/>
          <w:szCs w:val="24"/>
          <w:lang w:val="pt-PT"/>
        </w:rPr>
        <w:t>,</w:t>
      </w:r>
      <w:r w:rsidR="00C635E5" w:rsidRPr="003A1174">
        <w:rPr>
          <w:rFonts w:ascii="Garamond" w:hAnsi="Garamond" w:cs="Arial"/>
          <w:sz w:val="24"/>
          <w:szCs w:val="24"/>
          <w:lang w:val="pt-PT"/>
        </w:rPr>
        <w:t xml:space="preserve"> </w:t>
      </w:r>
      <w:r w:rsidR="005C2020" w:rsidRPr="003A1174">
        <w:rPr>
          <w:rFonts w:ascii="Garamond" w:hAnsi="Garamond" w:cs="Arial"/>
          <w:sz w:val="24"/>
          <w:szCs w:val="24"/>
          <w:lang w:val="pt-PT"/>
        </w:rPr>
        <w:t>pelo</w:t>
      </w:r>
      <w:r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C635E5" w:rsidRPr="003A1174">
        <w:rPr>
          <w:rFonts w:ascii="Garamond" w:hAnsi="Garamond" w:cs="Arial"/>
          <w:sz w:val="24"/>
          <w:szCs w:val="24"/>
          <w:lang w:val="pt-PT"/>
        </w:rPr>
        <w:t xml:space="preserve"> d</w:t>
      </w:r>
      <w:r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91213A" w:rsidRPr="003A1174">
        <w:rPr>
          <w:rFonts w:ascii="Garamond" w:hAnsi="Garamond" w:cs="Arial"/>
          <w:sz w:val="24"/>
          <w:szCs w:val="24"/>
          <w:lang w:val="pt-PT"/>
        </w:rPr>
        <w:t>Populações</w:t>
      </w:r>
      <w:r w:rsidRPr="003A1174">
        <w:rPr>
          <w:rFonts w:ascii="Garamond" w:hAnsi="Garamond" w:cs="Arial"/>
          <w:sz w:val="24"/>
          <w:szCs w:val="24"/>
          <w:lang w:val="pt-PT"/>
        </w:rPr>
        <w:t xml:space="preserve"> </w:t>
      </w:r>
      <w:r w:rsidR="003F012B" w:rsidRPr="003A1174">
        <w:rPr>
          <w:rFonts w:ascii="Garamond" w:hAnsi="Garamond" w:cs="Arial"/>
          <w:sz w:val="24"/>
          <w:szCs w:val="24"/>
          <w:lang w:val="pt-PT"/>
        </w:rPr>
        <w:t>Vulneráveis</w:t>
      </w:r>
      <w:r w:rsidRPr="003A1174">
        <w:rPr>
          <w:rFonts w:ascii="Garamond" w:hAnsi="Garamond" w:cs="Arial"/>
          <w:sz w:val="24"/>
          <w:szCs w:val="24"/>
          <w:lang w:val="pt-PT"/>
        </w:rPr>
        <w:t xml:space="preserve"> para 2014</w:t>
      </w:r>
      <w:r w:rsidR="00E95D78">
        <w:rPr>
          <w:rFonts w:ascii="Garamond" w:hAnsi="Garamond" w:cs="Arial"/>
          <w:sz w:val="24"/>
          <w:szCs w:val="24"/>
          <w:lang w:val="pt-PT"/>
        </w:rPr>
        <w:t>,</w:t>
      </w:r>
      <w:r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é </w:t>
      </w:r>
      <w:r w:rsidRPr="003A1174">
        <w:rPr>
          <w:rFonts w:ascii="Garamond" w:hAnsi="Garamond" w:cs="Arial"/>
          <w:sz w:val="24"/>
          <w:szCs w:val="24"/>
          <w:lang w:val="pt-PT"/>
        </w:rPr>
        <w:t>de $ 78</w:t>
      </w:r>
      <w:r w:rsidR="00E95D78">
        <w:rPr>
          <w:rFonts w:ascii="Garamond" w:hAnsi="Garamond" w:cs="Arial"/>
          <w:sz w:val="24"/>
          <w:szCs w:val="24"/>
          <w:lang w:val="pt-PT"/>
        </w:rPr>
        <w:t xml:space="preserve"> </w:t>
      </w:r>
      <w:r w:rsidRPr="003A1174">
        <w:rPr>
          <w:rFonts w:ascii="Garamond" w:hAnsi="Garamond" w:cs="Arial"/>
          <w:sz w:val="24"/>
          <w:szCs w:val="24"/>
          <w:lang w:val="pt-PT"/>
        </w:rPr>
        <w:t xml:space="preserve">300,000 </w:t>
      </w:r>
      <w:r w:rsidR="003F012B" w:rsidRPr="003A1174">
        <w:rPr>
          <w:rFonts w:ascii="Garamond" w:hAnsi="Garamond" w:cs="Arial"/>
          <w:sz w:val="24"/>
          <w:szCs w:val="24"/>
          <w:lang w:val="pt-PT"/>
        </w:rPr>
        <w:t>milhões</w:t>
      </w:r>
      <w:r w:rsidRPr="003A1174">
        <w:rPr>
          <w:rFonts w:ascii="Garamond" w:hAnsi="Garamond" w:cs="Arial"/>
          <w:sz w:val="24"/>
          <w:szCs w:val="24"/>
          <w:lang w:val="pt-PT"/>
        </w:rPr>
        <w:t xml:space="preserve"> de </w:t>
      </w:r>
      <w:r w:rsidR="005D38DC" w:rsidRPr="003A1174">
        <w:rPr>
          <w:rFonts w:ascii="Garamond" w:hAnsi="Garamond" w:cs="Arial"/>
          <w:sz w:val="24"/>
          <w:szCs w:val="24"/>
          <w:lang w:val="pt-PT"/>
        </w:rPr>
        <w:t>novo</w:t>
      </w:r>
      <w:r w:rsidRPr="003A1174">
        <w:rPr>
          <w:rFonts w:ascii="Garamond" w:hAnsi="Garamond" w:cs="Arial"/>
          <w:sz w:val="24"/>
          <w:szCs w:val="24"/>
          <w:lang w:val="pt-PT"/>
        </w:rPr>
        <w:t xml:space="preserve">s </w:t>
      </w:r>
      <w:r w:rsidRPr="003A1174">
        <w:rPr>
          <w:rFonts w:ascii="Garamond" w:hAnsi="Garamond" w:cs="Arial"/>
          <w:i/>
          <w:sz w:val="24"/>
          <w:szCs w:val="24"/>
          <w:lang w:val="pt-PT"/>
        </w:rPr>
        <w:t>soles</w:t>
      </w:r>
      <w:r w:rsidR="008F414A" w:rsidRPr="003A1174">
        <w:rPr>
          <w:rFonts w:ascii="Garamond" w:hAnsi="Garamond" w:cs="Arial"/>
          <w:sz w:val="24"/>
          <w:szCs w:val="24"/>
          <w:lang w:val="pt-PT"/>
        </w:rPr>
        <w:t>,</w:t>
      </w:r>
      <w:r w:rsidRPr="003A1174">
        <w:rPr>
          <w:rStyle w:val="Refdenotaalpie"/>
          <w:rFonts w:ascii="Garamond" w:hAnsi="Garamond" w:cs="Arial"/>
          <w:sz w:val="24"/>
          <w:szCs w:val="24"/>
          <w:lang w:val="es-ES"/>
        </w:rPr>
        <w:footnoteReference w:id="149"/>
      </w:r>
      <w:r w:rsidR="00C635E5" w:rsidRPr="003A1174">
        <w:rPr>
          <w:rFonts w:ascii="Garamond" w:hAnsi="Garamond" w:cs="Arial"/>
          <w:sz w:val="24"/>
          <w:szCs w:val="24"/>
          <w:lang w:val="pt-PT"/>
        </w:rPr>
        <w:t xml:space="preserve"> </w:t>
      </w:r>
      <w:r w:rsidRPr="003A1174">
        <w:rPr>
          <w:rFonts w:ascii="Garamond" w:hAnsi="Garamond" w:cs="Arial"/>
          <w:sz w:val="24"/>
          <w:szCs w:val="24"/>
          <w:lang w:val="pt-PT"/>
        </w:rPr>
        <w:t xml:space="preserve">o </w:t>
      </w:r>
      <w:r w:rsidR="00C635E5" w:rsidRPr="003A1174">
        <w:rPr>
          <w:rFonts w:ascii="Garamond" w:hAnsi="Garamond" w:cs="Arial"/>
          <w:sz w:val="24"/>
          <w:szCs w:val="24"/>
          <w:lang w:val="pt-PT"/>
        </w:rPr>
        <w:t xml:space="preserve">que também </w:t>
      </w:r>
      <w:r w:rsidR="00E95D78">
        <w:rPr>
          <w:rFonts w:ascii="Garamond" w:hAnsi="Garamond" w:cs="Arial"/>
          <w:sz w:val="24"/>
          <w:szCs w:val="24"/>
          <w:lang w:val="pt-PT"/>
        </w:rPr>
        <w:t xml:space="preserve">traduz </w:t>
      </w:r>
      <w:r w:rsidR="00C635E5" w:rsidRPr="003A1174">
        <w:rPr>
          <w:rFonts w:ascii="Garamond" w:hAnsi="Garamond" w:cs="Arial"/>
          <w:sz w:val="24"/>
          <w:szCs w:val="24"/>
          <w:lang w:val="pt-PT"/>
        </w:rPr>
        <w:t>um aumento</w:t>
      </w:r>
      <w:r w:rsidR="00E95D78">
        <w:rPr>
          <w:rFonts w:ascii="Garamond" w:hAnsi="Garamond" w:cs="Arial"/>
          <w:sz w:val="24"/>
          <w:szCs w:val="24"/>
          <w:lang w:val="pt-PT"/>
        </w:rPr>
        <w:t>,</w:t>
      </w:r>
      <w:r w:rsidR="00C635E5" w:rsidRPr="003A1174">
        <w:rPr>
          <w:rFonts w:ascii="Garamond" w:hAnsi="Garamond" w:cs="Arial"/>
          <w:sz w:val="24"/>
          <w:szCs w:val="24"/>
          <w:lang w:val="pt-PT"/>
        </w:rPr>
        <w:t xml:space="preserve"> relativamente ao </w:t>
      </w:r>
      <w:r w:rsidR="002C7510" w:rsidRPr="003A1174">
        <w:rPr>
          <w:rFonts w:ascii="Garamond" w:hAnsi="Garamond" w:cs="Arial"/>
          <w:sz w:val="24"/>
          <w:szCs w:val="24"/>
          <w:lang w:val="pt-PT"/>
        </w:rPr>
        <w:t>ano</w:t>
      </w:r>
      <w:r w:rsidRPr="003A1174">
        <w:rPr>
          <w:rFonts w:ascii="Garamond" w:hAnsi="Garamond" w:cs="Arial"/>
          <w:sz w:val="24"/>
          <w:szCs w:val="24"/>
          <w:lang w:val="pt-PT"/>
        </w:rPr>
        <w:t xml:space="preserve"> anterior.</w:t>
      </w:r>
    </w:p>
    <w:p w:rsidR="00AB405A" w:rsidRPr="003A1174" w:rsidRDefault="008F414A" w:rsidP="008719D4">
      <w:pPr>
        <w:pStyle w:val="ListParagraph1"/>
        <w:tabs>
          <w:tab w:val="left" w:pos="708"/>
        </w:tabs>
        <w:suppressAutoHyphens/>
        <w:spacing w:before="240" w:line="240" w:lineRule="auto"/>
        <w:ind w:left="0"/>
        <w:jc w:val="both"/>
        <w:rPr>
          <w:rFonts w:ascii="Garamond" w:hAnsi="Garamond" w:cs="Arial"/>
          <w:sz w:val="24"/>
          <w:szCs w:val="24"/>
          <w:lang w:val="pt-PT"/>
        </w:rPr>
      </w:pPr>
      <w:r w:rsidRPr="003A1174">
        <w:rPr>
          <w:rFonts w:ascii="Garamond" w:hAnsi="Garamond" w:cs="Arial"/>
          <w:sz w:val="24"/>
          <w:szCs w:val="24"/>
          <w:lang w:val="pt-PT"/>
        </w:rPr>
        <w:t>F</w:t>
      </w:r>
      <w:r w:rsidR="00AB405A" w:rsidRPr="003A1174">
        <w:rPr>
          <w:rFonts w:ascii="Garamond" w:hAnsi="Garamond" w:cs="Arial"/>
          <w:sz w:val="24"/>
          <w:szCs w:val="24"/>
          <w:lang w:val="pt-PT"/>
        </w:rPr>
        <w:t>inalmente</w:t>
      </w:r>
      <w:r w:rsidR="00E95D78">
        <w:rPr>
          <w:rFonts w:ascii="Garamond" w:hAnsi="Garamond" w:cs="Arial"/>
          <w:sz w:val="24"/>
          <w:szCs w:val="24"/>
          <w:lang w:val="pt-PT"/>
        </w:rPr>
        <w:t>,</w:t>
      </w:r>
      <w:r w:rsidR="00AB405A" w:rsidRPr="003A1174">
        <w:rPr>
          <w:rFonts w:ascii="Garamond" w:hAnsi="Garamond" w:cs="Arial"/>
          <w:sz w:val="24"/>
          <w:szCs w:val="24"/>
          <w:lang w:val="pt-PT"/>
        </w:rPr>
        <w:t xml:space="preserve"> </w:t>
      </w:r>
      <w:r w:rsidR="009F0311" w:rsidRPr="003A1174">
        <w:rPr>
          <w:rFonts w:ascii="Garamond" w:hAnsi="Garamond" w:cs="Arial"/>
          <w:sz w:val="24"/>
          <w:szCs w:val="24"/>
          <w:lang w:val="pt-PT"/>
        </w:rPr>
        <w:t xml:space="preserve">vale a pena </w:t>
      </w:r>
      <w:r w:rsidR="00016E47">
        <w:rPr>
          <w:rFonts w:ascii="Garamond" w:hAnsi="Garamond" w:cs="Arial"/>
          <w:sz w:val="24"/>
          <w:szCs w:val="24"/>
          <w:lang w:val="pt-PT"/>
        </w:rPr>
        <w:t xml:space="preserve">referir </w:t>
      </w:r>
      <w:r w:rsidR="00C635E5" w:rsidRPr="003A1174">
        <w:rPr>
          <w:rFonts w:ascii="Garamond" w:hAnsi="Garamond" w:cs="Arial"/>
          <w:sz w:val="24"/>
          <w:szCs w:val="24"/>
          <w:lang w:val="pt-PT"/>
        </w:rPr>
        <w:t xml:space="preserve">que a </w:t>
      </w:r>
      <w:r w:rsidR="00C635E5" w:rsidRPr="003A1174">
        <w:rPr>
          <w:rFonts w:ascii="Garamond" w:hAnsi="Garamond" w:cs="Arial"/>
          <w:i/>
          <w:sz w:val="24"/>
          <w:szCs w:val="24"/>
          <w:lang w:val="pt-PT"/>
        </w:rPr>
        <w:t>Adjuntía</w:t>
      </w:r>
      <w:r w:rsidR="00C635E5" w:rsidRPr="003A1174">
        <w:rPr>
          <w:rFonts w:ascii="Garamond" w:hAnsi="Garamond" w:cs="Arial"/>
          <w:sz w:val="24"/>
          <w:szCs w:val="24"/>
          <w:lang w:val="pt-PT"/>
        </w:rPr>
        <w:t xml:space="preserve"> d</w:t>
      </w:r>
      <w:r w:rsidR="00AB405A"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C635E5" w:rsidRPr="003A1174">
        <w:rPr>
          <w:rFonts w:ascii="Garamond" w:hAnsi="Garamond" w:cs="Arial"/>
          <w:sz w:val="24"/>
          <w:szCs w:val="24"/>
          <w:lang w:val="pt-PT"/>
        </w:rPr>
        <w:t xml:space="preserve"> d</w:t>
      </w:r>
      <w:r w:rsidR="00AB405A" w:rsidRPr="003A1174">
        <w:rPr>
          <w:rFonts w:ascii="Garamond" w:hAnsi="Garamond" w:cs="Arial"/>
          <w:sz w:val="24"/>
          <w:szCs w:val="24"/>
          <w:lang w:val="pt-PT"/>
        </w:rPr>
        <w:t xml:space="preserve">a </w:t>
      </w:r>
      <w:r w:rsidR="00C04CA4" w:rsidRPr="003A1174">
        <w:rPr>
          <w:rFonts w:ascii="Garamond" w:hAnsi="Garamond" w:cs="Arial"/>
          <w:sz w:val="24"/>
          <w:szCs w:val="24"/>
          <w:lang w:val="pt-PT"/>
        </w:rPr>
        <w:t>Provedoria de Justiça</w:t>
      </w:r>
      <w:r w:rsidR="00AB405A" w:rsidRPr="003A1174">
        <w:rPr>
          <w:rFonts w:ascii="Garamond" w:hAnsi="Garamond" w:cs="Arial"/>
          <w:sz w:val="24"/>
          <w:szCs w:val="24"/>
          <w:lang w:val="pt-PT"/>
        </w:rPr>
        <w:t>,</w:t>
      </w:r>
      <w:r w:rsidR="00E95D78" w:rsidRPr="00E95D78">
        <w:rPr>
          <w:rFonts w:ascii="Garamond" w:hAnsi="Garamond" w:cs="Arial"/>
          <w:sz w:val="24"/>
          <w:szCs w:val="24"/>
          <w:lang w:val="pt-PT"/>
        </w:rPr>
        <w:t xml:space="preserve"> </w:t>
      </w:r>
      <w:r w:rsidR="00E95D78" w:rsidRPr="003A1174">
        <w:rPr>
          <w:rFonts w:ascii="Garamond" w:hAnsi="Garamond" w:cs="Arial"/>
          <w:sz w:val="24"/>
          <w:szCs w:val="24"/>
          <w:lang w:val="pt-PT"/>
        </w:rPr>
        <w:t>emitiu ofícios</w:t>
      </w:r>
      <w:r w:rsidR="00E95D78">
        <w:rPr>
          <w:rFonts w:ascii="Garamond" w:hAnsi="Garamond" w:cs="Arial"/>
          <w:sz w:val="24"/>
          <w:szCs w:val="24"/>
          <w:lang w:val="pt-PT"/>
        </w:rPr>
        <w:t>,</w:t>
      </w:r>
      <w:r w:rsidR="00E95D78" w:rsidRPr="003A1174">
        <w:rPr>
          <w:rFonts w:ascii="Garamond" w:hAnsi="Garamond" w:cs="Arial"/>
          <w:sz w:val="24"/>
          <w:szCs w:val="24"/>
          <w:lang w:val="pt-PT"/>
        </w:rPr>
        <w:t xml:space="preserve"> com data de </w:t>
      </w:r>
      <w:proofErr w:type="gramStart"/>
      <w:r w:rsidR="00E95D78" w:rsidRPr="003A1174">
        <w:rPr>
          <w:rFonts w:ascii="Garamond" w:hAnsi="Garamond" w:cs="Arial"/>
          <w:sz w:val="24"/>
          <w:szCs w:val="24"/>
          <w:lang w:val="pt-PT"/>
        </w:rPr>
        <w:t>6</w:t>
      </w:r>
      <w:proofErr w:type="gramEnd"/>
      <w:r w:rsidR="00E95D78" w:rsidRPr="003A1174">
        <w:rPr>
          <w:rFonts w:ascii="Garamond" w:hAnsi="Garamond" w:cs="Arial"/>
          <w:sz w:val="24"/>
          <w:szCs w:val="24"/>
          <w:lang w:val="pt-PT"/>
        </w:rPr>
        <w:t xml:space="preserve"> de agosto de 2014</w:t>
      </w:r>
      <w:r w:rsidR="00E95D78">
        <w:rPr>
          <w:rFonts w:ascii="Garamond" w:hAnsi="Garamond" w:cs="Arial"/>
          <w:sz w:val="24"/>
          <w:szCs w:val="24"/>
          <w:lang w:val="pt-PT"/>
        </w:rPr>
        <w:t xml:space="preserve">, </w:t>
      </w:r>
      <w:r w:rsidR="00E95D78" w:rsidRPr="003A1174">
        <w:rPr>
          <w:rFonts w:ascii="Garamond" w:hAnsi="Garamond" w:cs="Arial"/>
          <w:sz w:val="24"/>
          <w:szCs w:val="24"/>
          <w:lang w:val="pt-PT"/>
        </w:rPr>
        <w:t>aos setores envolvidos</w:t>
      </w:r>
      <w:r w:rsidR="00E95D78">
        <w:rPr>
          <w:rFonts w:ascii="Garamond" w:hAnsi="Garamond" w:cs="Arial"/>
          <w:sz w:val="24"/>
          <w:szCs w:val="24"/>
          <w:lang w:val="pt-PT"/>
        </w:rPr>
        <w:t>,</w:t>
      </w:r>
      <w:r w:rsidR="00E95D78" w:rsidRPr="003A1174">
        <w:rPr>
          <w:rFonts w:ascii="Garamond" w:hAnsi="Garamond" w:cs="Arial"/>
          <w:sz w:val="24"/>
          <w:szCs w:val="24"/>
          <w:lang w:val="pt-PT"/>
        </w:rPr>
        <w:t xml:space="preserve"> </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solicita</w:t>
      </w:r>
      <w:r w:rsidR="00C635E5" w:rsidRPr="003A1174">
        <w:rPr>
          <w:rFonts w:ascii="Garamond" w:hAnsi="Garamond" w:cs="Arial"/>
          <w:sz w:val="24"/>
          <w:szCs w:val="24"/>
          <w:lang w:val="pt-PT"/>
        </w:rPr>
        <w:t xml:space="preserve">r </w:t>
      </w:r>
      <w:r w:rsidR="0017447A" w:rsidRPr="003A1174">
        <w:rPr>
          <w:rFonts w:ascii="Garamond" w:hAnsi="Garamond" w:cs="Arial"/>
          <w:sz w:val="24"/>
          <w:szCs w:val="24"/>
          <w:lang w:val="pt-PT"/>
        </w:rPr>
        <w:t>informação</w:t>
      </w:r>
      <w:r w:rsidR="00AB405A" w:rsidRPr="003A1174">
        <w:rPr>
          <w:rFonts w:ascii="Garamond" w:hAnsi="Garamond" w:cs="Arial"/>
          <w:sz w:val="24"/>
          <w:szCs w:val="24"/>
          <w:lang w:val="pt-PT"/>
        </w:rPr>
        <w:t xml:space="preserve"> sobre </w:t>
      </w:r>
      <w:r w:rsidR="00C635E5" w:rsidRPr="003A1174">
        <w:rPr>
          <w:rFonts w:ascii="Garamond" w:hAnsi="Garamond" w:cs="Arial"/>
          <w:sz w:val="24"/>
          <w:szCs w:val="24"/>
          <w:lang w:val="pt-PT"/>
        </w:rPr>
        <w:t xml:space="preserve">o montante orçamental </w:t>
      </w:r>
      <w:r w:rsidR="00AB405A" w:rsidRPr="003A1174">
        <w:rPr>
          <w:rFonts w:ascii="Garamond" w:hAnsi="Garamond" w:cs="Arial"/>
          <w:sz w:val="24"/>
          <w:szCs w:val="24"/>
          <w:lang w:val="pt-PT"/>
        </w:rPr>
        <w:t>para 2014</w:t>
      </w:r>
      <w:r w:rsidR="00E95D78">
        <w:rPr>
          <w:rFonts w:ascii="Garamond" w:hAnsi="Garamond" w:cs="Arial"/>
          <w:sz w:val="24"/>
          <w:szCs w:val="24"/>
          <w:lang w:val="pt-PT"/>
        </w:rPr>
        <w:t>,</w:t>
      </w:r>
      <w:r w:rsidR="00AB405A" w:rsidRPr="003A1174">
        <w:rPr>
          <w:rFonts w:ascii="Garamond" w:hAnsi="Garamond" w:cs="Arial"/>
          <w:sz w:val="24"/>
          <w:szCs w:val="24"/>
          <w:lang w:val="pt-PT"/>
        </w:rPr>
        <w:t xml:space="preserve"> </w:t>
      </w:r>
      <w:r w:rsidR="00C635E5" w:rsidRPr="003A1174">
        <w:rPr>
          <w:rFonts w:ascii="Garamond" w:hAnsi="Garamond" w:cs="Arial"/>
          <w:sz w:val="24"/>
          <w:szCs w:val="24"/>
          <w:lang w:val="pt-PT"/>
        </w:rPr>
        <w:t xml:space="preserve">no que diz respeito ao </w:t>
      </w:r>
      <w:r w:rsidR="00D96FD0" w:rsidRPr="003A1174">
        <w:rPr>
          <w:rFonts w:ascii="Garamond" w:hAnsi="Garamond" w:cs="Arial"/>
          <w:sz w:val="24"/>
          <w:szCs w:val="24"/>
          <w:lang w:val="pt-PT"/>
        </w:rPr>
        <w:t>cumprimento</w:t>
      </w:r>
      <w:r w:rsidR="00AB405A"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AB405A" w:rsidRPr="003A1174">
        <w:rPr>
          <w:rFonts w:ascii="Garamond" w:hAnsi="Garamond" w:cs="Arial"/>
          <w:sz w:val="24"/>
          <w:szCs w:val="24"/>
          <w:lang w:val="pt-PT"/>
        </w:rPr>
        <w:t xml:space="preserve"> </w:t>
      </w:r>
      <w:r w:rsidR="00462B11" w:rsidRPr="003A1174">
        <w:rPr>
          <w:rFonts w:ascii="Garamond" w:hAnsi="Garamond" w:cs="Arial"/>
          <w:sz w:val="24"/>
          <w:szCs w:val="24"/>
          <w:lang w:val="pt-PT"/>
        </w:rPr>
        <w:t>Plano</w:t>
      </w:r>
      <w:r w:rsidR="00AB405A" w:rsidRPr="003A1174">
        <w:rPr>
          <w:rFonts w:ascii="Garamond" w:hAnsi="Garamond" w:cs="Arial"/>
          <w:sz w:val="24"/>
          <w:szCs w:val="24"/>
          <w:lang w:val="pt-PT"/>
        </w:rPr>
        <w:t xml:space="preserve"> Nacional </w:t>
      </w:r>
      <w:r w:rsidR="00BB2B00" w:rsidRPr="003A1174">
        <w:rPr>
          <w:rFonts w:ascii="Garamond" w:hAnsi="Garamond" w:cs="Arial"/>
          <w:sz w:val="24"/>
          <w:szCs w:val="24"/>
          <w:lang w:val="pt-PT"/>
        </w:rPr>
        <w:t>contra a</w:t>
      </w:r>
      <w:r w:rsidR="00AB405A" w:rsidRPr="003A1174">
        <w:rPr>
          <w:rFonts w:ascii="Garamond" w:hAnsi="Garamond" w:cs="Arial"/>
          <w:sz w:val="24"/>
          <w:szCs w:val="24"/>
          <w:lang w:val="pt-PT"/>
        </w:rPr>
        <w:t xml:space="preserve"> </w:t>
      </w:r>
      <w:r w:rsidR="000350B1" w:rsidRPr="003A1174">
        <w:rPr>
          <w:rFonts w:ascii="Garamond" w:hAnsi="Garamond" w:cs="Arial"/>
          <w:sz w:val="24"/>
          <w:szCs w:val="24"/>
          <w:lang w:val="pt-PT"/>
        </w:rPr>
        <w:t>Violência</w:t>
      </w:r>
      <w:r w:rsidR="00AB405A" w:rsidRPr="003A1174">
        <w:rPr>
          <w:rFonts w:ascii="Garamond" w:hAnsi="Garamond" w:cs="Arial"/>
          <w:sz w:val="24"/>
          <w:szCs w:val="24"/>
          <w:lang w:val="pt-PT"/>
        </w:rPr>
        <w:t xml:space="preserve"> </w:t>
      </w:r>
      <w:r w:rsidR="00067AA4" w:rsidRPr="003A1174">
        <w:rPr>
          <w:rFonts w:ascii="Garamond" w:hAnsi="Garamond" w:cs="Arial"/>
          <w:sz w:val="24"/>
          <w:szCs w:val="24"/>
          <w:lang w:val="pt-PT"/>
        </w:rPr>
        <w:t>para com a Mulher</w:t>
      </w:r>
      <w:r w:rsidR="00AB405A" w:rsidRPr="003A1174">
        <w:rPr>
          <w:rFonts w:ascii="Garamond" w:hAnsi="Garamond" w:cs="Arial"/>
          <w:sz w:val="24"/>
          <w:szCs w:val="24"/>
          <w:lang w:val="pt-PT"/>
        </w:rPr>
        <w:t xml:space="preserve"> 2009-2015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w:t>
      </w:r>
      <w:r w:rsidR="00802ACC" w:rsidRPr="003A1174">
        <w:rPr>
          <w:rFonts w:ascii="Garamond" w:hAnsi="Garamond" w:cs="Arial"/>
          <w:sz w:val="24"/>
          <w:szCs w:val="24"/>
          <w:lang w:val="pt-PT"/>
        </w:rPr>
        <w:t>Economia</w:t>
      </w:r>
      <w:r w:rsidR="00AB405A"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635E5" w:rsidRPr="003A1174">
        <w:rPr>
          <w:rFonts w:ascii="Garamond" w:hAnsi="Garamond" w:cs="Arial"/>
          <w:sz w:val="24"/>
          <w:szCs w:val="24"/>
          <w:lang w:val="pt-PT"/>
        </w:rPr>
        <w:t xml:space="preserve"> Finanç</w:t>
      </w:r>
      <w:r w:rsidR="00AB405A" w:rsidRPr="003A1174">
        <w:rPr>
          <w:rFonts w:ascii="Garamond" w:hAnsi="Garamond" w:cs="Arial"/>
          <w:sz w:val="24"/>
          <w:szCs w:val="24"/>
          <w:lang w:val="pt-PT"/>
        </w:rPr>
        <w:t xml:space="preserve">as,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w:t>
      </w:r>
      <w:r w:rsidR="002C7510" w:rsidRPr="003A1174">
        <w:rPr>
          <w:rFonts w:ascii="Garamond" w:hAnsi="Garamond" w:cs="Arial"/>
          <w:sz w:val="24"/>
          <w:szCs w:val="24"/>
          <w:lang w:val="pt-PT"/>
        </w:rPr>
        <w:t>Defesa</w:t>
      </w:r>
      <w:r w:rsidR="00AB405A"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w:t>
      </w:r>
      <w:r w:rsidR="00802ACC" w:rsidRPr="003A1174">
        <w:rPr>
          <w:rFonts w:ascii="Garamond" w:hAnsi="Garamond" w:cs="Arial"/>
          <w:sz w:val="24"/>
          <w:szCs w:val="24"/>
          <w:lang w:val="pt-PT"/>
        </w:rPr>
        <w:t>Educação</w:t>
      </w:r>
      <w:r w:rsidR="00AB405A"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w:t>
      </w:r>
      <w:r w:rsidR="007C63D0" w:rsidRPr="003A1174">
        <w:rPr>
          <w:rFonts w:ascii="Garamond" w:hAnsi="Garamond" w:cs="Arial"/>
          <w:sz w:val="24"/>
          <w:szCs w:val="24"/>
          <w:lang w:val="pt-PT"/>
        </w:rPr>
        <w:t>Saúde</w:t>
      </w:r>
      <w:r w:rsidR="00AB405A"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C635E5" w:rsidRPr="003A1174">
        <w:rPr>
          <w:rFonts w:ascii="Garamond" w:hAnsi="Garamond" w:cs="Arial"/>
          <w:sz w:val="24"/>
          <w:szCs w:val="24"/>
          <w:lang w:val="pt-PT"/>
        </w:rPr>
        <w:t xml:space="preserve"> do</w:t>
      </w:r>
      <w:r w:rsidR="00AB405A" w:rsidRPr="003A1174">
        <w:rPr>
          <w:rFonts w:ascii="Garamond" w:hAnsi="Garamond" w:cs="Arial"/>
          <w:sz w:val="24"/>
          <w:szCs w:val="24"/>
          <w:lang w:val="pt-PT"/>
        </w:rPr>
        <w:t xml:space="preserve"> </w:t>
      </w:r>
      <w:r w:rsidR="0017447A" w:rsidRPr="003A1174">
        <w:rPr>
          <w:rFonts w:ascii="Garamond" w:hAnsi="Garamond" w:cs="Arial"/>
          <w:sz w:val="24"/>
          <w:szCs w:val="24"/>
          <w:lang w:val="pt-PT"/>
        </w:rPr>
        <w:t>Trabalho</w:t>
      </w:r>
      <w:r w:rsidR="00AB405A"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AB405A" w:rsidRPr="003A1174">
        <w:rPr>
          <w:rFonts w:ascii="Garamond" w:hAnsi="Garamond" w:cs="Arial"/>
          <w:sz w:val="24"/>
          <w:szCs w:val="24"/>
          <w:lang w:val="pt-PT"/>
        </w:rPr>
        <w:t xml:space="preserve"> </w:t>
      </w:r>
      <w:r w:rsidR="002F5CD1" w:rsidRPr="003A1174">
        <w:rPr>
          <w:rFonts w:ascii="Garamond" w:hAnsi="Garamond" w:cs="Arial"/>
          <w:sz w:val="24"/>
          <w:szCs w:val="24"/>
          <w:lang w:val="pt-PT"/>
        </w:rPr>
        <w:t>Promoção</w:t>
      </w:r>
      <w:r w:rsidR="00AB405A"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AB405A" w:rsidRPr="003A1174">
        <w:rPr>
          <w:rFonts w:ascii="Garamond" w:hAnsi="Garamond" w:cs="Arial"/>
          <w:sz w:val="24"/>
          <w:szCs w:val="24"/>
          <w:lang w:val="pt-PT"/>
        </w:rPr>
        <w:t xml:space="preserve"> </w:t>
      </w:r>
      <w:r w:rsidR="00046E19" w:rsidRPr="003A1174">
        <w:rPr>
          <w:rFonts w:ascii="Garamond" w:hAnsi="Garamond" w:cs="Arial"/>
          <w:sz w:val="24"/>
          <w:szCs w:val="24"/>
          <w:lang w:val="pt-PT"/>
        </w:rPr>
        <w:t>Emprego</w:t>
      </w:r>
      <w:r w:rsidR="00AB405A"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AB405A" w:rsidRPr="003A1174">
        <w:rPr>
          <w:rFonts w:ascii="Garamond" w:hAnsi="Garamond" w:cs="Arial"/>
          <w:sz w:val="24"/>
          <w:szCs w:val="24"/>
          <w:lang w:val="pt-PT"/>
        </w:rPr>
        <w:t xml:space="preserve"> </w:t>
      </w:r>
      <w:r w:rsidR="00D77C19" w:rsidRPr="003A1174">
        <w:rPr>
          <w:rFonts w:ascii="Garamond" w:hAnsi="Garamond" w:cs="Arial"/>
          <w:sz w:val="24"/>
          <w:szCs w:val="24"/>
          <w:lang w:val="pt-PT"/>
        </w:rPr>
        <w:t>Ministério</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a</w:t>
      </w:r>
      <w:r w:rsidR="00AB405A" w:rsidRPr="003A1174">
        <w:rPr>
          <w:rFonts w:ascii="Garamond" w:hAnsi="Garamond" w:cs="Arial"/>
          <w:sz w:val="24"/>
          <w:szCs w:val="24"/>
          <w:lang w:val="pt-PT"/>
        </w:rPr>
        <w:t xml:space="preserve"> </w:t>
      </w:r>
      <w:r w:rsidR="00FC1F7F" w:rsidRPr="003A1174">
        <w:rPr>
          <w:rFonts w:ascii="Garamond" w:hAnsi="Garamond" w:cs="Arial"/>
          <w:sz w:val="24"/>
          <w:szCs w:val="24"/>
          <w:lang w:val="pt-PT"/>
        </w:rPr>
        <w:t>Justiça</w:t>
      </w:r>
      <w:r w:rsidR="00AB405A" w:rsidRPr="003A1174">
        <w:rPr>
          <w:rFonts w:ascii="Garamond" w:hAnsi="Garamond" w:cs="Arial"/>
          <w:sz w:val="24"/>
          <w:szCs w:val="24"/>
          <w:lang w:val="pt-PT"/>
        </w:rPr>
        <w:t xml:space="preserve"> d</w:t>
      </w:r>
      <w:r w:rsidR="00C635E5" w:rsidRPr="003A1174">
        <w:rPr>
          <w:rFonts w:ascii="Garamond" w:hAnsi="Garamond" w:cs="Arial"/>
          <w:sz w:val="24"/>
          <w:szCs w:val="24"/>
          <w:lang w:val="pt-PT"/>
        </w:rPr>
        <w:t>os</w:t>
      </w:r>
      <w:r w:rsidR="00AB405A"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00AB405A" w:rsidRPr="003A1174">
        <w:rPr>
          <w:rFonts w:ascii="Garamond" w:hAnsi="Garamond" w:cs="Arial"/>
          <w:sz w:val="24"/>
          <w:szCs w:val="24"/>
          <w:lang w:val="pt-PT"/>
        </w:rPr>
        <w:t xml:space="preserve">s Humanos). </w:t>
      </w:r>
      <w:r w:rsidR="00E95D78">
        <w:rPr>
          <w:rFonts w:ascii="Garamond" w:hAnsi="Garamond" w:cs="Arial"/>
          <w:sz w:val="24"/>
          <w:szCs w:val="24"/>
          <w:lang w:val="pt-PT"/>
        </w:rPr>
        <w:t xml:space="preserve">Aguardam-se as </w:t>
      </w:r>
      <w:r w:rsidR="00C635E5" w:rsidRPr="003A1174">
        <w:rPr>
          <w:rFonts w:ascii="Garamond" w:hAnsi="Garamond" w:cs="Arial"/>
          <w:sz w:val="24"/>
          <w:szCs w:val="24"/>
          <w:lang w:val="pt-PT"/>
        </w:rPr>
        <w:t>respetivas</w:t>
      </w:r>
      <w:r w:rsidR="00E95D78">
        <w:rPr>
          <w:rFonts w:ascii="Garamond" w:hAnsi="Garamond" w:cs="Arial"/>
          <w:sz w:val="24"/>
          <w:szCs w:val="24"/>
          <w:lang w:val="pt-PT"/>
        </w:rPr>
        <w:t xml:space="preserve"> respostas</w:t>
      </w:r>
      <w:r w:rsidR="00AB405A" w:rsidRPr="003A1174">
        <w:rPr>
          <w:rFonts w:ascii="Garamond" w:hAnsi="Garamond" w:cs="Arial"/>
          <w:sz w:val="24"/>
          <w:szCs w:val="24"/>
          <w:lang w:val="pt-PT"/>
        </w:rPr>
        <w:t>.</w:t>
      </w:r>
    </w:p>
    <w:p w:rsidR="00AB405A" w:rsidRPr="003A1174" w:rsidRDefault="0017447A" w:rsidP="008719D4">
      <w:pPr>
        <w:pStyle w:val="Ttulo3"/>
        <w:spacing w:line="240" w:lineRule="auto"/>
        <w:rPr>
          <w:rFonts w:ascii="Garamond" w:hAnsi="Garamond"/>
          <w:sz w:val="24"/>
          <w:szCs w:val="24"/>
        </w:rPr>
      </w:pPr>
      <w:bookmarkStart w:id="80" w:name="_Toc421529767"/>
      <w:r w:rsidRPr="003A1174">
        <w:rPr>
          <w:rFonts w:ascii="Garamond" w:hAnsi="Garamond"/>
          <w:sz w:val="24"/>
          <w:szCs w:val="24"/>
        </w:rPr>
        <w:t>Porto</w:t>
      </w:r>
      <w:r w:rsidR="00CF5971" w:rsidRPr="003A1174">
        <w:rPr>
          <w:rFonts w:ascii="Garamond" w:hAnsi="Garamond"/>
          <w:sz w:val="24"/>
          <w:szCs w:val="24"/>
        </w:rPr>
        <w:t xml:space="preserve"> Rico</w:t>
      </w:r>
      <w:bookmarkEnd w:id="80"/>
    </w:p>
    <w:p w:rsidR="00AB405A" w:rsidRPr="003A1174" w:rsidRDefault="00016E47" w:rsidP="008719D4">
      <w:pPr>
        <w:spacing w:before="240" w:after="0" w:line="240" w:lineRule="auto"/>
        <w:jc w:val="both"/>
        <w:rPr>
          <w:rFonts w:ascii="Garamond" w:hAnsi="Garamond" w:cs="Arial"/>
          <w:sz w:val="24"/>
          <w:szCs w:val="24"/>
        </w:rPr>
      </w:pPr>
      <w:r>
        <w:rPr>
          <w:rFonts w:ascii="Garamond" w:hAnsi="Garamond" w:cs="Arial"/>
          <w:sz w:val="24"/>
          <w:szCs w:val="24"/>
        </w:rPr>
        <w:t>No Porto Rico, a</w:t>
      </w:r>
      <w:r w:rsidR="00C635E5" w:rsidRPr="003A1174">
        <w:rPr>
          <w:rFonts w:ascii="Garamond" w:hAnsi="Garamond" w:cs="Arial"/>
          <w:sz w:val="24"/>
          <w:szCs w:val="24"/>
        </w:rPr>
        <w:t xml:space="preserve"> </w:t>
      </w:r>
      <w:r w:rsidR="00D15AFF" w:rsidRPr="003A1174">
        <w:rPr>
          <w:rFonts w:ascii="Garamond" w:hAnsi="Garamond" w:cs="Arial"/>
          <w:sz w:val="24"/>
          <w:szCs w:val="24"/>
        </w:rPr>
        <w:t>Lei</w:t>
      </w:r>
      <w:r w:rsidR="00C635E5" w:rsidRPr="003A1174">
        <w:rPr>
          <w:rFonts w:ascii="Garamond" w:hAnsi="Garamond" w:cs="Arial"/>
          <w:sz w:val="24"/>
          <w:szCs w:val="24"/>
        </w:rPr>
        <w:t xml:space="preserve"> Especial de Su</w:t>
      </w:r>
      <w:r w:rsidR="00AB405A" w:rsidRPr="003A1174">
        <w:rPr>
          <w:rFonts w:ascii="Garamond" w:hAnsi="Garamond" w:cs="Arial"/>
          <w:sz w:val="24"/>
          <w:szCs w:val="24"/>
        </w:rPr>
        <w:t>sten</w:t>
      </w:r>
      <w:r w:rsidR="00C635E5" w:rsidRPr="003A1174">
        <w:rPr>
          <w:rFonts w:ascii="Garamond" w:hAnsi="Garamond" w:cs="Arial"/>
          <w:sz w:val="24"/>
          <w:szCs w:val="24"/>
        </w:rPr>
        <w:t xml:space="preserve">tabilidade </w:t>
      </w:r>
      <w:r w:rsidR="00AB405A" w:rsidRPr="003A1174">
        <w:rPr>
          <w:rFonts w:ascii="Garamond" w:hAnsi="Garamond" w:cs="Arial"/>
          <w:sz w:val="24"/>
          <w:szCs w:val="24"/>
        </w:rPr>
        <w:t xml:space="preserve">Fiscal </w:t>
      </w:r>
      <w:r w:rsidR="000672E8" w:rsidRPr="003A1174">
        <w:rPr>
          <w:rFonts w:ascii="Garamond" w:hAnsi="Garamond" w:cs="Arial"/>
          <w:sz w:val="24"/>
          <w:szCs w:val="24"/>
        </w:rPr>
        <w:t>e</w:t>
      </w:r>
      <w:r w:rsidR="00AB405A" w:rsidRPr="003A1174">
        <w:rPr>
          <w:rFonts w:ascii="Garamond" w:hAnsi="Garamond" w:cs="Arial"/>
          <w:sz w:val="24"/>
          <w:szCs w:val="24"/>
        </w:rPr>
        <w:t xml:space="preserve"> Operacional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6506C6" w:rsidRPr="003A1174">
        <w:rPr>
          <w:rFonts w:ascii="Garamond" w:hAnsi="Garamond" w:cs="Arial"/>
          <w:sz w:val="24"/>
          <w:szCs w:val="24"/>
        </w:rPr>
        <w:t>Governo</w:t>
      </w:r>
      <w:r w:rsidR="00AB405A" w:rsidRPr="003A1174">
        <w:rPr>
          <w:rFonts w:ascii="Garamond" w:hAnsi="Garamond" w:cs="Arial"/>
          <w:sz w:val="24"/>
          <w:szCs w:val="24"/>
        </w:rPr>
        <w:t xml:space="preserve"> </w:t>
      </w:r>
      <w:r w:rsidR="00E85E59" w:rsidRPr="003A1174">
        <w:rPr>
          <w:rFonts w:ascii="Garamond" w:hAnsi="Garamond" w:cs="Arial"/>
          <w:sz w:val="24"/>
          <w:szCs w:val="24"/>
        </w:rPr>
        <w:t>do</w:t>
      </w:r>
      <w:r w:rsidR="00AB405A" w:rsidRPr="003A1174">
        <w:rPr>
          <w:rFonts w:ascii="Garamond" w:hAnsi="Garamond" w:cs="Arial"/>
          <w:sz w:val="24"/>
          <w:szCs w:val="24"/>
        </w:rPr>
        <w:t xml:space="preserve"> Estado </w:t>
      </w:r>
      <w:r w:rsidR="00AF192F" w:rsidRPr="003A1174">
        <w:rPr>
          <w:rFonts w:ascii="Garamond" w:hAnsi="Garamond" w:cs="Arial"/>
          <w:sz w:val="24"/>
          <w:szCs w:val="24"/>
        </w:rPr>
        <w:t>Livre</w:t>
      </w:r>
      <w:r w:rsidR="00AB405A" w:rsidRPr="003A1174">
        <w:rPr>
          <w:rFonts w:ascii="Garamond" w:hAnsi="Garamond" w:cs="Arial"/>
          <w:sz w:val="24"/>
          <w:szCs w:val="24"/>
        </w:rPr>
        <w:t xml:space="preserve"> </w:t>
      </w:r>
      <w:r w:rsidR="00800D59" w:rsidRPr="003A1174">
        <w:rPr>
          <w:rFonts w:ascii="Garamond" w:hAnsi="Garamond" w:cs="Arial"/>
          <w:sz w:val="24"/>
          <w:szCs w:val="24"/>
        </w:rPr>
        <w:t>Associado</w:t>
      </w:r>
      <w:r w:rsidR="00AB405A" w:rsidRPr="003A1174">
        <w:rPr>
          <w:rFonts w:ascii="Garamond" w:hAnsi="Garamond" w:cs="Arial"/>
          <w:sz w:val="24"/>
          <w:szCs w:val="24"/>
        </w:rPr>
        <w:t xml:space="preserve"> de </w:t>
      </w:r>
      <w:r w:rsidR="0017447A" w:rsidRPr="003A1174">
        <w:rPr>
          <w:rFonts w:ascii="Garamond" w:hAnsi="Garamond" w:cs="Arial"/>
          <w:sz w:val="24"/>
          <w:szCs w:val="24"/>
        </w:rPr>
        <w:t>Porto</w:t>
      </w:r>
      <w:r w:rsidR="00AB405A" w:rsidRPr="003A1174">
        <w:rPr>
          <w:rFonts w:ascii="Garamond" w:hAnsi="Garamond" w:cs="Arial"/>
          <w:sz w:val="24"/>
          <w:szCs w:val="24"/>
        </w:rPr>
        <w:t xml:space="preserve"> Rico, </w:t>
      </w:r>
      <w:r w:rsidR="00D15AFF" w:rsidRPr="003A1174">
        <w:rPr>
          <w:rFonts w:ascii="Garamond" w:hAnsi="Garamond" w:cs="Arial"/>
          <w:sz w:val="24"/>
          <w:szCs w:val="24"/>
        </w:rPr>
        <w:t>Lei</w:t>
      </w:r>
      <w:r w:rsidR="00AB405A" w:rsidRPr="003A1174">
        <w:rPr>
          <w:rFonts w:ascii="Garamond" w:hAnsi="Garamond" w:cs="Arial"/>
          <w:sz w:val="24"/>
          <w:szCs w:val="24"/>
        </w:rPr>
        <w:t xml:space="preserve"> N</w:t>
      </w:r>
      <w:r>
        <w:rPr>
          <w:rFonts w:ascii="Garamond" w:hAnsi="Garamond" w:cs="Arial"/>
          <w:sz w:val="24"/>
          <w:szCs w:val="24"/>
        </w:rPr>
        <w:t>.</w:t>
      </w:r>
      <w:r w:rsidR="008F414A" w:rsidRPr="003A1174">
        <w:rPr>
          <w:rFonts w:ascii="Garamond" w:hAnsi="Garamond" w:cs="Arial"/>
          <w:sz w:val="24"/>
          <w:szCs w:val="24"/>
        </w:rPr>
        <w:t>°</w:t>
      </w:r>
      <w:r w:rsidR="00AB405A" w:rsidRPr="003A1174">
        <w:rPr>
          <w:rFonts w:ascii="Garamond" w:hAnsi="Garamond" w:cs="Arial"/>
          <w:sz w:val="24"/>
          <w:szCs w:val="24"/>
        </w:rPr>
        <w:t xml:space="preserve"> 66</w:t>
      </w:r>
      <w:r>
        <w:rPr>
          <w:rFonts w:ascii="Garamond" w:hAnsi="Garamond" w:cs="Arial"/>
          <w:sz w:val="24"/>
          <w:szCs w:val="24"/>
        </w:rPr>
        <w:t>,</w:t>
      </w:r>
      <w:r w:rsidR="00AB405A" w:rsidRPr="003A1174">
        <w:rPr>
          <w:rFonts w:ascii="Garamond" w:hAnsi="Garamond" w:cs="Arial"/>
          <w:sz w:val="24"/>
          <w:szCs w:val="24"/>
        </w:rPr>
        <w:t xml:space="preserve"> de</w:t>
      </w:r>
      <w:r w:rsidR="008F414A" w:rsidRPr="003A1174">
        <w:rPr>
          <w:rFonts w:ascii="Garamond" w:hAnsi="Garamond" w:cs="Arial"/>
          <w:sz w:val="24"/>
          <w:szCs w:val="24"/>
        </w:rPr>
        <w:t xml:space="preserve"> </w:t>
      </w:r>
      <w:r w:rsidR="00AB405A" w:rsidRPr="003A1174">
        <w:rPr>
          <w:rFonts w:ascii="Garamond" w:hAnsi="Garamond" w:cs="Arial"/>
          <w:sz w:val="24"/>
          <w:szCs w:val="24"/>
        </w:rPr>
        <w:t xml:space="preserve">17 de </w:t>
      </w:r>
      <w:r w:rsidR="00077461" w:rsidRPr="003A1174">
        <w:rPr>
          <w:rFonts w:ascii="Garamond" w:hAnsi="Garamond" w:cs="Arial"/>
          <w:sz w:val="24"/>
          <w:szCs w:val="24"/>
        </w:rPr>
        <w:t>junho</w:t>
      </w:r>
      <w:r w:rsidR="00AB405A" w:rsidRPr="003A1174">
        <w:rPr>
          <w:rFonts w:ascii="Garamond" w:hAnsi="Garamond" w:cs="Arial"/>
          <w:sz w:val="24"/>
          <w:szCs w:val="24"/>
        </w:rPr>
        <w:t xml:space="preserve"> de 2014, </w:t>
      </w:r>
      <w:r>
        <w:rPr>
          <w:rFonts w:ascii="Garamond" w:hAnsi="Garamond" w:cs="Arial"/>
          <w:sz w:val="24"/>
          <w:szCs w:val="24"/>
        </w:rPr>
        <w:t>«</w:t>
      </w:r>
      <w:r w:rsidR="00D15AFF" w:rsidRPr="003A1174">
        <w:rPr>
          <w:rFonts w:ascii="Garamond" w:hAnsi="Garamond" w:cs="Arial"/>
          <w:sz w:val="24"/>
          <w:szCs w:val="24"/>
        </w:rPr>
        <w:t>Lei</w:t>
      </w:r>
      <w:r w:rsidR="00AB405A" w:rsidRPr="003A1174">
        <w:rPr>
          <w:rFonts w:ascii="Garamond" w:hAnsi="Garamond" w:cs="Arial"/>
          <w:sz w:val="24"/>
          <w:szCs w:val="24"/>
        </w:rPr>
        <w:t xml:space="preserve"> Especial de S</w:t>
      </w:r>
      <w:r w:rsidR="00C635E5" w:rsidRPr="003A1174">
        <w:rPr>
          <w:rFonts w:ascii="Garamond" w:hAnsi="Garamond" w:cs="Arial"/>
          <w:sz w:val="24"/>
          <w:szCs w:val="24"/>
        </w:rPr>
        <w:t xml:space="preserve">ustentabilidade </w:t>
      </w:r>
      <w:r w:rsidR="00AB405A" w:rsidRPr="003A1174">
        <w:rPr>
          <w:rFonts w:ascii="Garamond" w:hAnsi="Garamond" w:cs="Arial"/>
          <w:sz w:val="24"/>
          <w:szCs w:val="24"/>
        </w:rPr>
        <w:t xml:space="preserve">Fiscal </w:t>
      </w:r>
      <w:r w:rsidR="000672E8" w:rsidRPr="003A1174">
        <w:rPr>
          <w:rFonts w:ascii="Garamond" w:hAnsi="Garamond" w:cs="Arial"/>
          <w:sz w:val="24"/>
          <w:szCs w:val="24"/>
        </w:rPr>
        <w:t>e</w:t>
      </w:r>
      <w:r w:rsidR="00AB405A" w:rsidRPr="003A1174">
        <w:rPr>
          <w:rFonts w:ascii="Garamond" w:hAnsi="Garamond" w:cs="Arial"/>
          <w:sz w:val="24"/>
          <w:szCs w:val="24"/>
        </w:rPr>
        <w:t xml:space="preserve"> Operacional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6506C6" w:rsidRPr="003A1174">
        <w:rPr>
          <w:rFonts w:ascii="Garamond" w:hAnsi="Garamond" w:cs="Arial"/>
          <w:sz w:val="24"/>
          <w:szCs w:val="24"/>
        </w:rPr>
        <w:t>Governo</w:t>
      </w:r>
      <w:r w:rsidR="00AB405A" w:rsidRPr="003A1174">
        <w:rPr>
          <w:rFonts w:ascii="Garamond" w:hAnsi="Garamond" w:cs="Arial"/>
          <w:sz w:val="24"/>
          <w:szCs w:val="24"/>
        </w:rPr>
        <w:t xml:space="preserve"> </w:t>
      </w:r>
      <w:r w:rsidR="00E85E59" w:rsidRPr="003A1174">
        <w:rPr>
          <w:rFonts w:ascii="Garamond" w:hAnsi="Garamond" w:cs="Arial"/>
          <w:sz w:val="24"/>
          <w:szCs w:val="24"/>
        </w:rPr>
        <w:t>do</w:t>
      </w:r>
      <w:r w:rsidR="00AB405A" w:rsidRPr="003A1174">
        <w:rPr>
          <w:rFonts w:ascii="Garamond" w:hAnsi="Garamond" w:cs="Arial"/>
          <w:sz w:val="24"/>
          <w:szCs w:val="24"/>
        </w:rPr>
        <w:t xml:space="preserve"> Estado </w:t>
      </w:r>
      <w:r w:rsidR="00AF192F" w:rsidRPr="003A1174">
        <w:rPr>
          <w:rFonts w:ascii="Garamond" w:hAnsi="Garamond" w:cs="Arial"/>
          <w:sz w:val="24"/>
          <w:szCs w:val="24"/>
        </w:rPr>
        <w:t>Livre</w:t>
      </w:r>
      <w:r w:rsidR="00AB405A" w:rsidRPr="003A1174">
        <w:rPr>
          <w:rFonts w:ascii="Garamond" w:hAnsi="Garamond" w:cs="Arial"/>
          <w:sz w:val="24"/>
          <w:szCs w:val="24"/>
        </w:rPr>
        <w:t xml:space="preserve"> </w:t>
      </w:r>
      <w:r w:rsidR="00800D59" w:rsidRPr="003A1174">
        <w:rPr>
          <w:rFonts w:ascii="Garamond" w:hAnsi="Garamond" w:cs="Arial"/>
          <w:sz w:val="24"/>
          <w:szCs w:val="24"/>
        </w:rPr>
        <w:t>Associado</w:t>
      </w:r>
      <w:r w:rsidR="00AB405A" w:rsidRPr="003A1174">
        <w:rPr>
          <w:rFonts w:ascii="Garamond" w:hAnsi="Garamond" w:cs="Arial"/>
          <w:sz w:val="24"/>
          <w:szCs w:val="24"/>
        </w:rPr>
        <w:t xml:space="preserve"> de </w:t>
      </w:r>
      <w:r w:rsidR="0017447A" w:rsidRPr="003A1174">
        <w:rPr>
          <w:rFonts w:ascii="Garamond" w:hAnsi="Garamond" w:cs="Arial"/>
          <w:sz w:val="24"/>
          <w:szCs w:val="24"/>
        </w:rPr>
        <w:t>Porto</w:t>
      </w:r>
      <w:r w:rsidR="00AB405A" w:rsidRPr="003A1174">
        <w:rPr>
          <w:rFonts w:ascii="Garamond" w:hAnsi="Garamond" w:cs="Arial"/>
          <w:sz w:val="24"/>
          <w:szCs w:val="24"/>
        </w:rPr>
        <w:t xml:space="preserve"> Rico</w:t>
      </w:r>
      <w:r>
        <w:rPr>
          <w:rFonts w:ascii="Garamond" w:hAnsi="Garamond" w:cs="Arial"/>
          <w:sz w:val="24"/>
          <w:szCs w:val="24"/>
        </w:rPr>
        <w:t>»</w:t>
      </w:r>
      <w:r w:rsidR="00AB405A" w:rsidRPr="003A1174">
        <w:rPr>
          <w:rFonts w:ascii="Garamond" w:hAnsi="Garamond" w:cs="Arial"/>
          <w:sz w:val="24"/>
          <w:szCs w:val="24"/>
        </w:rPr>
        <w:t xml:space="preserve">, </w:t>
      </w:r>
      <w:r w:rsidR="006B29BF" w:rsidRPr="003A1174">
        <w:rPr>
          <w:rFonts w:ascii="Garamond" w:hAnsi="Garamond" w:cs="Arial"/>
          <w:sz w:val="24"/>
          <w:szCs w:val="24"/>
        </w:rPr>
        <w:t>estabeleceu</w:t>
      </w:r>
      <w:r w:rsidR="00C635E5" w:rsidRPr="003A1174">
        <w:rPr>
          <w:rFonts w:ascii="Garamond" w:hAnsi="Garamond" w:cs="Arial"/>
          <w:sz w:val="24"/>
          <w:szCs w:val="24"/>
        </w:rPr>
        <w:t xml:space="preserve"> a di</w:t>
      </w:r>
      <w:r w:rsidR="00AB405A" w:rsidRPr="003A1174">
        <w:rPr>
          <w:rFonts w:ascii="Garamond" w:hAnsi="Garamond" w:cs="Arial"/>
          <w:sz w:val="24"/>
          <w:szCs w:val="24"/>
        </w:rPr>
        <w:t>minu</w:t>
      </w:r>
      <w:r w:rsidR="00C635E5" w:rsidRPr="003A1174">
        <w:rPr>
          <w:rFonts w:ascii="Garamond" w:hAnsi="Garamond" w:cs="Arial"/>
          <w:sz w:val="24"/>
          <w:szCs w:val="24"/>
        </w:rPr>
        <w:t xml:space="preserve">ição </w:t>
      </w:r>
      <w:r w:rsidR="00E85E59" w:rsidRPr="003A1174">
        <w:rPr>
          <w:rFonts w:ascii="Garamond" w:hAnsi="Garamond" w:cs="Arial"/>
          <w:sz w:val="24"/>
          <w:szCs w:val="24"/>
        </w:rPr>
        <w:t>do</w:t>
      </w:r>
      <w:r w:rsidR="00AB405A" w:rsidRPr="003A1174">
        <w:rPr>
          <w:rFonts w:ascii="Garamond" w:hAnsi="Garamond" w:cs="Arial"/>
          <w:sz w:val="24"/>
          <w:szCs w:val="24"/>
        </w:rPr>
        <w:t xml:space="preserve"> </w:t>
      </w:r>
      <w:r w:rsidR="00946348" w:rsidRPr="003A1174">
        <w:rPr>
          <w:rFonts w:ascii="Garamond" w:hAnsi="Garamond" w:cs="Arial"/>
          <w:sz w:val="24"/>
          <w:szCs w:val="24"/>
        </w:rPr>
        <w:t>orçamento</w:t>
      </w:r>
      <w:r w:rsidR="00AB405A" w:rsidRPr="003A1174">
        <w:rPr>
          <w:rFonts w:ascii="Garamond" w:hAnsi="Garamond" w:cs="Arial"/>
          <w:sz w:val="24"/>
          <w:szCs w:val="24"/>
        </w:rPr>
        <w:t xml:space="preserve"> </w:t>
      </w:r>
      <w:r w:rsidR="00077461" w:rsidRPr="003A1174">
        <w:rPr>
          <w:rFonts w:ascii="Garamond" w:hAnsi="Garamond" w:cs="Arial"/>
          <w:sz w:val="24"/>
          <w:szCs w:val="24"/>
        </w:rPr>
        <w:t>geral</w:t>
      </w:r>
      <w:r w:rsidR="00C635E5" w:rsidRPr="003A1174">
        <w:rPr>
          <w:rFonts w:ascii="Garamond" w:hAnsi="Garamond" w:cs="Arial"/>
          <w:sz w:val="24"/>
          <w:szCs w:val="24"/>
        </w:rPr>
        <w:t xml:space="preserve"> para todas </w:t>
      </w:r>
      <w:r w:rsidR="00AB405A" w:rsidRPr="003A1174">
        <w:rPr>
          <w:rFonts w:ascii="Garamond" w:hAnsi="Garamond" w:cs="Arial"/>
          <w:sz w:val="24"/>
          <w:szCs w:val="24"/>
        </w:rPr>
        <w:t xml:space="preserve">as </w:t>
      </w:r>
      <w:r w:rsidR="00EC2E68" w:rsidRPr="003A1174">
        <w:rPr>
          <w:rFonts w:ascii="Garamond" w:hAnsi="Garamond" w:cs="Arial"/>
          <w:sz w:val="24"/>
          <w:szCs w:val="24"/>
        </w:rPr>
        <w:t>agência</w:t>
      </w:r>
      <w:r w:rsidR="00AB405A" w:rsidRPr="003A1174">
        <w:rPr>
          <w:rFonts w:ascii="Garamond" w:hAnsi="Garamond" w:cs="Arial"/>
          <w:sz w:val="24"/>
          <w:szCs w:val="24"/>
        </w:rPr>
        <w:t>s.</w:t>
      </w:r>
    </w:p>
    <w:p w:rsidR="00AB405A" w:rsidRPr="003A1174" w:rsidRDefault="00AB405A" w:rsidP="008719D4">
      <w:pPr>
        <w:spacing w:before="240" w:line="240" w:lineRule="auto"/>
        <w:jc w:val="both"/>
        <w:rPr>
          <w:rFonts w:ascii="Garamond" w:hAnsi="Garamond" w:cs="Arial"/>
          <w:sz w:val="24"/>
          <w:szCs w:val="24"/>
        </w:rPr>
      </w:pPr>
      <w:r w:rsidRPr="003A1174">
        <w:rPr>
          <w:rFonts w:ascii="Garamond" w:hAnsi="Garamond" w:cs="Arial"/>
          <w:sz w:val="24"/>
          <w:szCs w:val="24"/>
        </w:rPr>
        <w:lastRenderedPageBreak/>
        <w:t>Aque</w:t>
      </w:r>
      <w:r w:rsidR="00C635E5" w:rsidRPr="003A1174">
        <w:rPr>
          <w:rFonts w:ascii="Garamond" w:hAnsi="Garamond" w:cs="Arial"/>
          <w:sz w:val="24"/>
          <w:szCs w:val="24"/>
        </w:rPr>
        <w:t>le</w:t>
      </w:r>
      <w:r w:rsidRPr="003A1174">
        <w:rPr>
          <w:rFonts w:ascii="Garamond" w:hAnsi="Garamond" w:cs="Arial"/>
          <w:sz w:val="24"/>
          <w:szCs w:val="24"/>
        </w:rPr>
        <w:t xml:space="preserve">s </w:t>
      </w:r>
      <w:r w:rsidR="00E560D8" w:rsidRPr="003A1174">
        <w:rPr>
          <w:rFonts w:ascii="Garamond" w:hAnsi="Garamond" w:cs="Arial"/>
          <w:sz w:val="24"/>
          <w:szCs w:val="24"/>
        </w:rPr>
        <w:t>fundo</w:t>
      </w:r>
      <w:r w:rsidRPr="003A1174">
        <w:rPr>
          <w:rFonts w:ascii="Garamond" w:hAnsi="Garamond" w:cs="Arial"/>
          <w:sz w:val="24"/>
          <w:szCs w:val="24"/>
        </w:rPr>
        <w:t>s</w:t>
      </w:r>
      <w:r w:rsidR="00653CCF">
        <w:rPr>
          <w:rFonts w:ascii="Garamond" w:hAnsi="Garamond" w:cs="Arial"/>
          <w:sz w:val="24"/>
          <w:szCs w:val="24"/>
        </w:rPr>
        <w:t>,</w:t>
      </w:r>
      <w:r w:rsidRPr="003A1174">
        <w:rPr>
          <w:rFonts w:ascii="Garamond" w:hAnsi="Garamond" w:cs="Arial"/>
          <w:sz w:val="24"/>
          <w:szCs w:val="24"/>
        </w:rPr>
        <w:t xml:space="preserve"> provenientes </w:t>
      </w:r>
      <w:r w:rsidR="00497503" w:rsidRPr="003A1174">
        <w:rPr>
          <w:rFonts w:ascii="Garamond" w:hAnsi="Garamond" w:cs="Arial"/>
          <w:sz w:val="24"/>
          <w:szCs w:val="24"/>
        </w:rPr>
        <w:t>dos</w:t>
      </w:r>
      <w:r w:rsidRPr="003A1174">
        <w:rPr>
          <w:rFonts w:ascii="Garamond" w:hAnsi="Garamond" w:cs="Arial"/>
          <w:sz w:val="24"/>
          <w:szCs w:val="24"/>
        </w:rPr>
        <w:t xml:space="preserve"> programas </w:t>
      </w:r>
      <w:r w:rsidR="00497503" w:rsidRPr="003A1174">
        <w:rPr>
          <w:rFonts w:ascii="Garamond" w:hAnsi="Garamond" w:cs="Arial"/>
          <w:sz w:val="24"/>
          <w:szCs w:val="24"/>
        </w:rPr>
        <w:t>dos</w:t>
      </w:r>
      <w:r w:rsidRPr="003A1174">
        <w:rPr>
          <w:rFonts w:ascii="Garamond" w:hAnsi="Garamond" w:cs="Arial"/>
          <w:sz w:val="24"/>
          <w:szCs w:val="24"/>
        </w:rPr>
        <w:t xml:space="preserve"> Estados Unidos de América, </w:t>
      </w:r>
      <w:r w:rsidR="00C635E5" w:rsidRPr="003A1174">
        <w:rPr>
          <w:rFonts w:ascii="Garamond" w:hAnsi="Garamond" w:cs="Arial"/>
          <w:sz w:val="24"/>
          <w:szCs w:val="24"/>
        </w:rPr>
        <w:t>refletiram um aumento, em</w:t>
      </w:r>
      <w:r w:rsidRPr="003A1174">
        <w:rPr>
          <w:rFonts w:ascii="Garamond" w:hAnsi="Garamond" w:cs="Arial"/>
          <w:sz w:val="24"/>
          <w:szCs w:val="24"/>
        </w:rPr>
        <w:t xml:space="preserve"> </w:t>
      </w:r>
      <w:r w:rsidR="00E95547" w:rsidRPr="003A1174">
        <w:rPr>
          <w:rFonts w:ascii="Garamond" w:hAnsi="Garamond" w:cs="Arial"/>
          <w:sz w:val="24"/>
          <w:szCs w:val="24"/>
        </w:rPr>
        <w:t>comparação</w:t>
      </w:r>
      <w:r w:rsidRPr="003A1174">
        <w:rPr>
          <w:rFonts w:ascii="Garamond" w:hAnsi="Garamond" w:cs="Arial"/>
          <w:sz w:val="24"/>
          <w:szCs w:val="24"/>
        </w:rPr>
        <w:t xml:space="preserve"> </w:t>
      </w:r>
      <w:r w:rsidR="008F414A" w:rsidRPr="003A1174">
        <w:rPr>
          <w:rFonts w:ascii="Garamond" w:hAnsi="Garamond" w:cs="Arial"/>
          <w:sz w:val="24"/>
          <w:szCs w:val="24"/>
        </w:rPr>
        <w:t>co</w:t>
      </w:r>
      <w:r w:rsidR="00C635E5" w:rsidRPr="003A1174">
        <w:rPr>
          <w:rFonts w:ascii="Garamond" w:hAnsi="Garamond" w:cs="Arial"/>
          <w:sz w:val="24"/>
          <w:szCs w:val="24"/>
        </w:rPr>
        <w:t>m</w:t>
      </w:r>
      <w:r w:rsidR="008F414A" w:rsidRPr="003A1174">
        <w:rPr>
          <w:rFonts w:ascii="Garamond" w:hAnsi="Garamond" w:cs="Arial"/>
          <w:sz w:val="24"/>
          <w:szCs w:val="24"/>
        </w:rPr>
        <w:t xml:space="preserve"> </w:t>
      </w:r>
      <w:r w:rsidR="002C7510" w:rsidRPr="003A1174">
        <w:rPr>
          <w:rFonts w:ascii="Garamond" w:hAnsi="Garamond" w:cs="Arial"/>
          <w:sz w:val="24"/>
          <w:szCs w:val="24"/>
        </w:rPr>
        <w:t>ano</w:t>
      </w:r>
      <w:r w:rsidRPr="003A1174">
        <w:rPr>
          <w:rFonts w:ascii="Garamond" w:hAnsi="Garamond" w:cs="Arial"/>
          <w:sz w:val="24"/>
          <w:szCs w:val="24"/>
        </w:rPr>
        <w:t xml:space="preserve">s anteriores. </w:t>
      </w:r>
      <w:r w:rsidR="00C635E5" w:rsidRPr="003A1174">
        <w:rPr>
          <w:rFonts w:ascii="Garamond" w:hAnsi="Garamond" w:cs="Arial"/>
          <w:sz w:val="24"/>
          <w:szCs w:val="24"/>
        </w:rPr>
        <w:t xml:space="preserve">Para </w:t>
      </w:r>
      <w:r w:rsidRPr="003A1174">
        <w:rPr>
          <w:rFonts w:ascii="Garamond" w:hAnsi="Garamond" w:cs="Arial"/>
          <w:sz w:val="24"/>
          <w:szCs w:val="24"/>
        </w:rPr>
        <w:t xml:space="preserve">os últimos </w:t>
      </w:r>
      <w:r w:rsidR="00C635E5" w:rsidRPr="003A1174">
        <w:rPr>
          <w:rFonts w:ascii="Garamond" w:hAnsi="Garamond" w:cs="Arial"/>
          <w:sz w:val="24"/>
          <w:szCs w:val="24"/>
        </w:rPr>
        <w:t>meses, principalmente</w:t>
      </w:r>
      <w:r w:rsidR="00653CCF">
        <w:rPr>
          <w:rFonts w:ascii="Garamond" w:hAnsi="Garamond" w:cs="Arial"/>
          <w:sz w:val="24"/>
          <w:szCs w:val="24"/>
        </w:rPr>
        <w:t>,</w:t>
      </w:r>
      <w:r w:rsidRPr="003A1174">
        <w:rPr>
          <w:rFonts w:ascii="Garamond" w:hAnsi="Garamond" w:cs="Arial"/>
          <w:sz w:val="24"/>
          <w:szCs w:val="24"/>
        </w:rPr>
        <w:t xml:space="preserve"> </w:t>
      </w:r>
      <w:r w:rsidR="009A0033" w:rsidRPr="003A1174">
        <w:rPr>
          <w:rFonts w:ascii="Garamond" w:hAnsi="Garamond" w:cs="Arial"/>
          <w:sz w:val="24"/>
          <w:szCs w:val="24"/>
        </w:rPr>
        <w:t>devido</w:t>
      </w:r>
      <w:r w:rsidR="008F414A" w:rsidRPr="003A1174">
        <w:rPr>
          <w:rFonts w:ascii="Garamond" w:hAnsi="Garamond" w:cs="Arial"/>
          <w:sz w:val="24"/>
          <w:szCs w:val="24"/>
        </w:rPr>
        <w:t xml:space="preserve"> </w:t>
      </w:r>
      <w:r w:rsidR="00BB2B00" w:rsidRPr="003A1174">
        <w:rPr>
          <w:rFonts w:ascii="Garamond" w:hAnsi="Garamond" w:cs="Arial"/>
          <w:sz w:val="24"/>
          <w:szCs w:val="24"/>
        </w:rPr>
        <w:t>à</w:t>
      </w:r>
      <w:r w:rsidRPr="003A1174">
        <w:rPr>
          <w:rFonts w:ascii="Garamond" w:hAnsi="Garamond" w:cs="Arial"/>
          <w:sz w:val="24"/>
          <w:szCs w:val="24"/>
        </w:rPr>
        <w:t xml:space="preserve"> difícil </w:t>
      </w:r>
      <w:r w:rsidR="0017447A" w:rsidRPr="003A1174">
        <w:rPr>
          <w:rFonts w:ascii="Garamond" w:hAnsi="Garamond" w:cs="Arial"/>
          <w:sz w:val="24"/>
          <w:szCs w:val="24"/>
        </w:rPr>
        <w:t>situação</w:t>
      </w:r>
      <w:r w:rsidR="00C635E5" w:rsidRPr="003A1174">
        <w:rPr>
          <w:rFonts w:ascii="Garamond" w:hAnsi="Garamond" w:cs="Arial"/>
          <w:sz w:val="24"/>
          <w:szCs w:val="24"/>
        </w:rPr>
        <w:t xml:space="preserve"> económica mundial, </w:t>
      </w:r>
      <w:r w:rsidRPr="003A1174">
        <w:rPr>
          <w:rFonts w:ascii="Garamond" w:hAnsi="Garamond" w:cs="Arial"/>
          <w:sz w:val="24"/>
          <w:szCs w:val="24"/>
        </w:rPr>
        <w:t xml:space="preserve">os </w:t>
      </w:r>
      <w:r w:rsidR="00E560D8" w:rsidRPr="003A1174">
        <w:rPr>
          <w:rFonts w:ascii="Garamond" w:hAnsi="Garamond" w:cs="Arial"/>
          <w:sz w:val="24"/>
          <w:szCs w:val="24"/>
        </w:rPr>
        <w:t>fundo</w:t>
      </w:r>
      <w:r w:rsidRPr="003A1174">
        <w:rPr>
          <w:rFonts w:ascii="Garamond" w:hAnsi="Garamond" w:cs="Arial"/>
          <w:sz w:val="24"/>
          <w:szCs w:val="24"/>
        </w:rPr>
        <w:t xml:space="preserve">s de </w:t>
      </w:r>
      <w:r w:rsidR="0017447A" w:rsidRPr="003A1174">
        <w:rPr>
          <w:rFonts w:ascii="Garamond" w:hAnsi="Garamond" w:cs="Arial"/>
          <w:sz w:val="24"/>
          <w:szCs w:val="24"/>
        </w:rPr>
        <w:t>Porto</w:t>
      </w:r>
      <w:r w:rsidRPr="003A1174">
        <w:rPr>
          <w:rFonts w:ascii="Garamond" w:hAnsi="Garamond" w:cs="Arial"/>
          <w:sz w:val="24"/>
          <w:szCs w:val="24"/>
        </w:rPr>
        <w:t xml:space="preserve"> Rico</w:t>
      </w:r>
      <w:r w:rsidR="00653CCF">
        <w:rPr>
          <w:rFonts w:ascii="Garamond" w:hAnsi="Garamond" w:cs="Arial"/>
          <w:sz w:val="24"/>
          <w:szCs w:val="24"/>
        </w:rPr>
        <w:t>,</w:t>
      </w:r>
      <w:r w:rsidRPr="003A1174">
        <w:rPr>
          <w:rFonts w:ascii="Garamond" w:hAnsi="Garamond" w:cs="Arial"/>
          <w:sz w:val="24"/>
          <w:szCs w:val="24"/>
        </w:rPr>
        <w:t xml:space="preserve"> para </w:t>
      </w:r>
      <w:r w:rsidR="00C635E5" w:rsidRPr="003A1174">
        <w:rPr>
          <w:rFonts w:ascii="Garamond" w:hAnsi="Garamond" w:cs="Arial"/>
          <w:sz w:val="24"/>
          <w:szCs w:val="24"/>
        </w:rPr>
        <w:t xml:space="preserve">o </w:t>
      </w:r>
      <w:r w:rsidRPr="003A1174">
        <w:rPr>
          <w:rFonts w:ascii="Garamond" w:hAnsi="Garamond" w:cs="Arial"/>
          <w:sz w:val="24"/>
          <w:szCs w:val="24"/>
        </w:rPr>
        <w:t>per</w:t>
      </w:r>
      <w:r w:rsidR="008F414A" w:rsidRPr="003A1174">
        <w:rPr>
          <w:rFonts w:ascii="Garamond" w:hAnsi="Garamond" w:cs="Arial"/>
          <w:sz w:val="24"/>
          <w:szCs w:val="24"/>
        </w:rPr>
        <w:t>í</w:t>
      </w:r>
      <w:r w:rsidRPr="003A1174">
        <w:rPr>
          <w:rFonts w:ascii="Garamond" w:hAnsi="Garamond" w:cs="Arial"/>
          <w:sz w:val="24"/>
          <w:szCs w:val="24"/>
        </w:rPr>
        <w:t xml:space="preserve">odo referido </w:t>
      </w:r>
      <w:r w:rsidR="00C635E5" w:rsidRPr="003A1174">
        <w:rPr>
          <w:rFonts w:ascii="Garamond" w:hAnsi="Garamond" w:cs="Arial"/>
          <w:sz w:val="24"/>
          <w:szCs w:val="24"/>
        </w:rPr>
        <w:t>neste documento</w:t>
      </w:r>
      <w:r w:rsidR="00653CCF">
        <w:rPr>
          <w:rFonts w:ascii="Garamond" w:hAnsi="Garamond" w:cs="Arial"/>
          <w:sz w:val="24"/>
          <w:szCs w:val="24"/>
        </w:rPr>
        <w:t>,</w:t>
      </w:r>
      <w:r w:rsidR="00C635E5" w:rsidRPr="003A1174">
        <w:rPr>
          <w:rFonts w:ascii="Garamond" w:hAnsi="Garamond" w:cs="Arial"/>
          <w:sz w:val="24"/>
          <w:szCs w:val="24"/>
        </w:rPr>
        <w:t xml:space="preserve"> para </w:t>
      </w:r>
      <w:r w:rsidRPr="003A1174">
        <w:rPr>
          <w:rFonts w:ascii="Garamond" w:hAnsi="Garamond" w:cs="Arial"/>
          <w:sz w:val="24"/>
          <w:szCs w:val="24"/>
        </w:rPr>
        <w:t>os programas aqu</w:t>
      </w:r>
      <w:r w:rsidR="00C635E5" w:rsidRPr="003A1174">
        <w:rPr>
          <w:rFonts w:ascii="Garamond" w:hAnsi="Garamond" w:cs="Arial"/>
          <w:sz w:val="24"/>
          <w:szCs w:val="24"/>
        </w:rPr>
        <w:t>i</w:t>
      </w:r>
      <w:r w:rsidRPr="003A1174">
        <w:rPr>
          <w:rFonts w:ascii="Garamond" w:hAnsi="Garamond" w:cs="Arial"/>
          <w:sz w:val="24"/>
          <w:szCs w:val="24"/>
        </w:rPr>
        <w:t xml:space="preserve"> discutidos,</w:t>
      </w:r>
      <w:r w:rsidR="008F414A" w:rsidRPr="003A1174">
        <w:rPr>
          <w:rFonts w:ascii="Garamond" w:hAnsi="Garamond" w:cs="Arial"/>
          <w:sz w:val="24"/>
          <w:szCs w:val="24"/>
        </w:rPr>
        <w:t xml:space="preserve"> </w:t>
      </w:r>
      <w:r w:rsidR="00C635E5" w:rsidRPr="003A1174">
        <w:rPr>
          <w:rFonts w:ascii="Garamond" w:hAnsi="Garamond" w:cs="Arial"/>
          <w:sz w:val="24"/>
          <w:szCs w:val="24"/>
        </w:rPr>
        <w:t xml:space="preserve">sofreram uma </w:t>
      </w:r>
      <w:r w:rsidR="00BD1AB1" w:rsidRPr="003A1174">
        <w:rPr>
          <w:rFonts w:ascii="Garamond" w:hAnsi="Garamond" w:cs="Arial"/>
          <w:sz w:val="24"/>
          <w:szCs w:val="24"/>
        </w:rPr>
        <w:t>diminuição na sua distribuição</w:t>
      </w:r>
      <w:r w:rsidRPr="003A1174">
        <w:rPr>
          <w:rFonts w:ascii="Garamond" w:hAnsi="Garamond" w:cs="Arial"/>
          <w:sz w:val="24"/>
          <w:szCs w:val="24"/>
        </w:rPr>
        <w:t xml:space="preserve"> final.</w:t>
      </w:r>
      <w:r w:rsidR="00BD1AB1" w:rsidRPr="003A1174">
        <w:rPr>
          <w:rFonts w:ascii="Garamond" w:eastAsia="Times New Roman" w:hAnsi="Garamond" w:cs="Arial"/>
          <w:sz w:val="24"/>
          <w:szCs w:val="24"/>
        </w:rPr>
        <w:t xml:space="preserve"> O </w:t>
      </w:r>
      <w:r w:rsidR="00946348" w:rsidRPr="003A1174">
        <w:rPr>
          <w:rFonts w:ascii="Garamond" w:hAnsi="Garamond" w:cs="Arial"/>
          <w:color w:val="000000"/>
          <w:sz w:val="24"/>
          <w:szCs w:val="24"/>
        </w:rPr>
        <w:t>orçamento</w:t>
      </w:r>
      <w:r w:rsidR="00BD1AB1" w:rsidRPr="003A1174">
        <w:rPr>
          <w:rFonts w:ascii="Garamond" w:hAnsi="Garamond" w:cs="Arial"/>
          <w:color w:val="000000"/>
          <w:sz w:val="24"/>
          <w:szCs w:val="24"/>
        </w:rPr>
        <w:t xml:space="preserve"> consolidado para o</w:t>
      </w:r>
      <w:r w:rsidRPr="003A1174">
        <w:rPr>
          <w:rFonts w:ascii="Garamond" w:hAnsi="Garamond" w:cs="Arial"/>
          <w:color w:val="000000"/>
          <w:sz w:val="24"/>
          <w:szCs w:val="24"/>
        </w:rPr>
        <w:t xml:space="preserve"> </w:t>
      </w:r>
      <w:r w:rsidR="00C246B4" w:rsidRPr="003A1174">
        <w:rPr>
          <w:rFonts w:ascii="Garamond" w:hAnsi="Garamond" w:cs="Arial"/>
          <w:color w:val="000000"/>
          <w:sz w:val="24"/>
          <w:szCs w:val="24"/>
        </w:rPr>
        <w:t>Gabinete</w:t>
      </w:r>
      <w:r w:rsidRPr="003A1174">
        <w:rPr>
          <w:rFonts w:ascii="Garamond" w:hAnsi="Garamond" w:cs="Arial"/>
          <w:color w:val="000000"/>
          <w:sz w:val="24"/>
          <w:szCs w:val="24"/>
        </w:rPr>
        <w:t xml:space="preserve"> da Procuradora </w:t>
      </w:r>
      <w:r w:rsidR="00497503" w:rsidRPr="003A1174">
        <w:rPr>
          <w:rFonts w:ascii="Garamond" w:hAnsi="Garamond" w:cs="Arial"/>
          <w:color w:val="000000"/>
          <w:sz w:val="24"/>
          <w:szCs w:val="24"/>
        </w:rPr>
        <w:t>das</w:t>
      </w:r>
      <w:r w:rsidRPr="003A1174">
        <w:rPr>
          <w:rFonts w:ascii="Garamond" w:hAnsi="Garamond" w:cs="Arial"/>
          <w:color w:val="000000"/>
          <w:sz w:val="24"/>
          <w:szCs w:val="24"/>
        </w:rPr>
        <w:t xml:space="preserve"> </w:t>
      </w:r>
      <w:r w:rsidR="00054EE0" w:rsidRPr="003A1174">
        <w:rPr>
          <w:rFonts w:ascii="Garamond" w:hAnsi="Garamond" w:cs="Arial"/>
          <w:color w:val="000000"/>
          <w:sz w:val="24"/>
          <w:szCs w:val="24"/>
        </w:rPr>
        <w:t>Mulheres</w:t>
      </w:r>
      <w:r w:rsidR="00653CCF">
        <w:rPr>
          <w:rFonts w:ascii="Garamond" w:hAnsi="Garamond" w:cs="Arial"/>
          <w:color w:val="000000"/>
          <w:sz w:val="24"/>
          <w:szCs w:val="24"/>
        </w:rPr>
        <w:t>,</w:t>
      </w:r>
      <w:r w:rsidRPr="003A1174">
        <w:rPr>
          <w:rFonts w:ascii="Garamond" w:hAnsi="Garamond" w:cs="Arial"/>
          <w:color w:val="000000"/>
          <w:sz w:val="24"/>
          <w:szCs w:val="24"/>
        </w:rPr>
        <w:t xml:space="preserve"> para </w:t>
      </w:r>
      <w:r w:rsidR="00BD1AB1" w:rsidRPr="003A1174">
        <w:rPr>
          <w:rFonts w:ascii="Garamond" w:hAnsi="Garamond" w:cs="Arial"/>
          <w:color w:val="000000"/>
          <w:sz w:val="24"/>
          <w:szCs w:val="24"/>
        </w:rPr>
        <w:t xml:space="preserve">o </w:t>
      </w:r>
      <w:r w:rsidR="002C7510" w:rsidRPr="003A1174">
        <w:rPr>
          <w:rFonts w:ascii="Garamond" w:hAnsi="Garamond" w:cs="Arial"/>
          <w:color w:val="000000"/>
          <w:sz w:val="24"/>
          <w:szCs w:val="24"/>
        </w:rPr>
        <w:t>ano</w:t>
      </w:r>
      <w:r w:rsidR="00BD1AB1" w:rsidRPr="003A1174">
        <w:rPr>
          <w:rFonts w:ascii="Garamond" w:hAnsi="Garamond" w:cs="Arial"/>
          <w:color w:val="000000"/>
          <w:sz w:val="24"/>
          <w:szCs w:val="24"/>
        </w:rPr>
        <w:t xml:space="preserve"> fiscal 2013-2014</w:t>
      </w:r>
      <w:r w:rsidR="00653CCF">
        <w:rPr>
          <w:rFonts w:ascii="Garamond" w:hAnsi="Garamond" w:cs="Arial"/>
          <w:color w:val="000000"/>
          <w:sz w:val="24"/>
          <w:szCs w:val="24"/>
        </w:rPr>
        <w:t>,</w:t>
      </w:r>
      <w:r w:rsidR="00BD1AB1" w:rsidRPr="003A1174">
        <w:rPr>
          <w:rFonts w:ascii="Garamond" w:hAnsi="Garamond" w:cs="Arial"/>
          <w:color w:val="000000"/>
          <w:sz w:val="24"/>
          <w:szCs w:val="24"/>
        </w:rPr>
        <w:t xml:space="preserve"> ascende a US$8055,000, </w:t>
      </w:r>
      <w:r w:rsidRPr="003A1174">
        <w:rPr>
          <w:rFonts w:ascii="Garamond" w:hAnsi="Garamond" w:cs="Arial"/>
          <w:color w:val="000000"/>
          <w:sz w:val="24"/>
          <w:szCs w:val="24"/>
        </w:rPr>
        <w:t xml:space="preserve">os </w:t>
      </w:r>
      <w:r w:rsidR="00B936A7" w:rsidRPr="003A1174">
        <w:rPr>
          <w:rFonts w:ascii="Garamond" w:hAnsi="Garamond" w:cs="Arial"/>
          <w:color w:val="000000"/>
          <w:sz w:val="24"/>
          <w:szCs w:val="24"/>
        </w:rPr>
        <w:t>quais</w:t>
      </w:r>
      <w:r w:rsidRPr="003A1174">
        <w:rPr>
          <w:rFonts w:ascii="Garamond" w:hAnsi="Garamond" w:cs="Arial"/>
          <w:color w:val="000000"/>
          <w:sz w:val="24"/>
          <w:szCs w:val="24"/>
        </w:rPr>
        <w:t xml:space="preserve"> </w:t>
      </w:r>
      <w:r w:rsidR="00462B11" w:rsidRPr="003A1174">
        <w:rPr>
          <w:rFonts w:ascii="Garamond" w:hAnsi="Garamond" w:cs="Arial"/>
          <w:color w:val="000000"/>
          <w:sz w:val="24"/>
          <w:szCs w:val="24"/>
        </w:rPr>
        <w:t>incluem</w:t>
      </w:r>
      <w:r w:rsidRPr="003A1174">
        <w:rPr>
          <w:rFonts w:ascii="Garamond" w:hAnsi="Garamond" w:cs="Arial"/>
          <w:color w:val="000000"/>
          <w:sz w:val="24"/>
          <w:szCs w:val="24"/>
        </w:rPr>
        <w:t xml:space="preserve"> $2952,000 provenientes </w:t>
      </w:r>
      <w:r w:rsidR="00E85E59" w:rsidRPr="003A1174">
        <w:rPr>
          <w:rFonts w:ascii="Garamond" w:hAnsi="Garamond" w:cs="Arial"/>
          <w:color w:val="000000"/>
          <w:sz w:val="24"/>
          <w:szCs w:val="24"/>
        </w:rPr>
        <w:t>do</w:t>
      </w:r>
      <w:r w:rsidRPr="003A1174">
        <w:rPr>
          <w:rFonts w:ascii="Garamond" w:hAnsi="Garamond" w:cs="Arial"/>
          <w:color w:val="000000"/>
          <w:sz w:val="24"/>
          <w:szCs w:val="24"/>
        </w:rPr>
        <w:t xml:space="preserve"> </w:t>
      </w:r>
      <w:r w:rsidR="00946348" w:rsidRPr="003A1174">
        <w:rPr>
          <w:rFonts w:ascii="Garamond" w:hAnsi="Garamond" w:cs="Arial"/>
          <w:color w:val="000000"/>
          <w:sz w:val="24"/>
          <w:szCs w:val="24"/>
        </w:rPr>
        <w:t>Orçamento</w:t>
      </w:r>
      <w:r w:rsidRPr="003A1174">
        <w:rPr>
          <w:rFonts w:ascii="Garamond" w:hAnsi="Garamond" w:cs="Arial"/>
          <w:color w:val="000000"/>
          <w:sz w:val="24"/>
          <w:szCs w:val="24"/>
        </w:rPr>
        <w:t xml:space="preserve"> </w:t>
      </w:r>
      <w:r w:rsidR="00077461" w:rsidRPr="003A1174">
        <w:rPr>
          <w:rFonts w:ascii="Garamond" w:hAnsi="Garamond" w:cs="Arial"/>
          <w:color w:val="000000"/>
          <w:sz w:val="24"/>
          <w:szCs w:val="24"/>
        </w:rPr>
        <w:t>Geral</w:t>
      </w:r>
      <w:r w:rsidRPr="003A1174">
        <w:rPr>
          <w:rFonts w:ascii="Garamond" w:hAnsi="Garamond" w:cs="Arial"/>
          <w:color w:val="000000"/>
          <w:sz w:val="24"/>
          <w:szCs w:val="24"/>
        </w:rPr>
        <w:t xml:space="preserve">, $1600,000 de </w:t>
      </w:r>
      <w:r w:rsidR="00BD1AB1" w:rsidRPr="003A1174">
        <w:rPr>
          <w:rFonts w:ascii="Garamond" w:hAnsi="Garamond" w:cs="Arial"/>
          <w:color w:val="000000"/>
          <w:sz w:val="24"/>
          <w:szCs w:val="24"/>
        </w:rPr>
        <w:t xml:space="preserve">Atribuições </w:t>
      </w:r>
      <w:r w:rsidR="00201889" w:rsidRPr="003A1174">
        <w:rPr>
          <w:rFonts w:ascii="Garamond" w:hAnsi="Garamond" w:cs="Arial"/>
          <w:color w:val="000000"/>
          <w:sz w:val="24"/>
          <w:szCs w:val="24"/>
        </w:rPr>
        <w:t>Especiais</w:t>
      </w:r>
      <w:r w:rsidRPr="003A1174">
        <w:rPr>
          <w:rFonts w:ascii="Garamond" w:hAnsi="Garamond" w:cs="Arial"/>
          <w:color w:val="000000"/>
          <w:sz w:val="24"/>
          <w:szCs w:val="24"/>
        </w:rPr>
        <w:t xml:space="preserve">, $2003,000 de </w:t>
      </w:r>
      <w:r w:rsidR="00E560D8" w:rsidRPr="003A1174">
        <w:rPr>
          <w:rFonts w:ascii="Garamond" w:hAnsi="Garamond" w:cs="Arial"/>
          <w:color w:val="000000"/>
          <w:sz w:val="24"/>
          <w:szCs w:val="24"/>
        </w:rPr>
        <w:t>Fundo</w:t>
      </w:r>
      <w:r w:rsidRPr="003A1174">
        <w:rPr>
          <w:rFonts w:ascii="Garamond" w:hAnsi="Garamond" w:cs="Arial"/>
          <w:color w:val="000000"/>
          <w:sz w:val="24"/>
          <w:szCs w:val="24"/>
        </w:rPr>
        <w:t xml:space="preserve">s </w:t>
      </w:r>
      <w:r w:rsidR="00FC5E28" w:rsidRPr="003A1174">
        <w:rPr>
          <w:rFonts w:ascii="Garamond" w:hAnsi="Garamond" w:cs="Arial"/>
          <w:color w:val="000000"/>
          <w:sz w:val="24"/>
          <w:szCs w:val="24"/>
        </w:rPr>
        <w:t>Federais</w:t>
      </w:r>
      <w:r w:rsidRPr="003A1174">
        <w:rPr>
          <w:rFonts w:ascii="Garamond" w:hAnsi="Garamond" w:cs="Arial"/>
          <w:color w:val="000000"/>
          <w:sz w:val="24"/>
          <w:szCs w:val="24"/>
        </w:rPr>
        <w:t xml:space="preserve"> </w:t>
      </w:r>
      <w:r w:rsidR="00497503" w:rsidRPr="003A1174">
        <w:rPr>
          <w:rFonts w:ascii="Garamond" w:hAnsi="Garamond" w:cs="Arial"/>
          <w:color w:val="000000"/>
          <w:sz w:val="24"/>
          <w:szCs w:val="24"/>
        </w:rPr>
        <w:t>dos</w:t>
      </w:r>
      <w:r w:rsidRPr="003A1174">
        <w:rPr>
          <w:rFonts w:ascii="Garamond" w:hAnsi="Garamond" w:cs="Arial"/>
          <w:color w:val="000000"/>
          <w:sz w:val="24"/>
          <w:szCs w:val="24"/>
        </w:rPr>
        <w:t xml:space="preserve"> Estados Unidos de América </w:t>
      </w:r>
      <w:r w:rsidR="000672E8" w:rsidRPr="003A1174">
        <w:rPr>
          <w:rFonts w:ascii="Garamond" w:hAnsi="Garamond" w:cs="Arial"/>
          <w:color w:val="000000"/>
          <w:sz w:val="24"/>
          <w:szCs w:val="24"/>
        </w:rPr>
        <w:t>e</w:t>
      </w:r>
      <w:r w:rsidRPr="003A1174">
        <w:rPr>
          <w:rFonts w:ascii="Garamond" w:hAnsi="Garamond" w:cs="Arial"/>
          <w:color w:val="000000"/>
          <w:sz w:val="24"/>
          <w:szCs w:val="24"/>
        </w:rPr>
        <w:t xml:space="preserve"> $1500,000 de </w:t>
      </w:r>
      <w:r w:rsidR="001F2F8B" w:rsidRPr="003A1174">
        <w:rPr>
          <w:rFonts w:ascii="Garamond" w:hAnsi="Garamond" w:cs="Arial"/>
          <w:color w:val="000000"/>
          <w:sz w:val="24"/>
          <w:szCs w:val="24"/>
        </w:rPr>
        <w:t>Outro</w:t>
      </w:r>
      <w:r w:rsidRPr="003A1174">
        <w:rPr>
          <w:rFonts w:ascii="Garamond" w:hAnsi="Garamond" w:cs="Arial"/>
          <w:color w:val="000000"/>
          <w:sz w:val="24"/>
          <w:szCs w:val="24"/>
        </w:rPr>
        <w:t xml:space="preserve">s </w:t>
      </w:r>
      <w:r w:rsidR="00D37CF3" w:rsidRPr="003A1174">
        <w:rPr>
          <w:rFonts w:ascii="Garamond" w:hAnsi="Garamond" w:cs="Arial"/>
          <w:color w:val="000000"/>
          <w:sz w:val="24"/>
          <w:szCs w:val="24"/>
        </w:rPr>
        <w:t>Ingressos</w:t>
      </w:r>
      <w:r w:rsidRPr="003A1174">
        <w:rPr>
          <w:rFonts w:ascii="Garamond" w:hAnsi="Garamond" w:cs="Arial"/>
          <w:color w:val="000000"/>
          <w:sz w:val="24"/>
          <w:szCs w:val="24"/>
        </w:rPr>
        <w:t>.</w:t>
      </w:r>
      <w:r w:rsidRPr="003A1174">
        <w:rPr>
          <w:rFonts w:ascii="Garamond" w:hAnsi="Garamond" w:cs="Arial"/>
          <w:sz w:val="24"/>
          <w:szCs w:val="24"/>
        </w:rPr>
        <w:t xml:space="preserve"> </w:t>
      </w:r>
      <w:r w:rsidRPr="003A1174">
        <w:rPr>
          <w:rFonts w:ascii="Garamond" w:hAnsi="Garamond" w:cs="Arial"/>
          <w:color w:val="000000"/>
          <w:sz w:val="24"/>
          <w:szCs w:val="24"/>
        </w:rPr>
        <w:t>E</w:t>
      </w:r>
      <w:r w:rsidR="00BD1AB1" w:rsidRPr="003A1174">
        <w:rPr>
          <w:rFonts w:ascii="Garamond" w:hAnsi="Garamond" w:cs="Arial"/>
          <w:color w:val="000000"/>
          <w:sz w:val="24"/>
          <w:szCs w:val="24"/>
        </w:rPr>
        <w:t>m</w:t>
      </w:r>
      <w:r w:rsidRPr="003A1174">
        <w:rPr>
          <w:rFonts w:ascii="Garamond" w:hAnsi="Garamond" w:cs="Arial"/>
          <w:color w:val="000000"/>
          <w:sz w:val="24"/>
          <w:szCs w:val="24"/>
        </w:rPr>
        <w:t xml:space="preserve"> </w:t>
      </w:r>
      <w:r w:rsidR="00152A44" w:rsidRPr="003A1174">
        <w:rPr>
          <w:rFonts w:ascii="Garamond" w:hAnsi="Garamond" w:cs="Arial"/>
          <w:color w:val="000000"/>
          <w:sz w:val="24"/>
          <w:szCs w:val="24"/>
        </w:rPr>
        <w:t>relação</w:t>
      </w:r>
      <w:r w:rsidRPr="003A1174">
        <w:rPr>
          <w:rFonts w:ascii="Garamond" w:hAnsi="Garamond" w:cs="Arial"/>
          <w:color w:val="000000"/>
          <w:sz w:val="24"/>
          <w:szCs w:val="24"/>
        </w:rPr>
        <w:t xml:space="preserve"> </w:t>
      </w:r>
      <w:r w:rsidR="00BD1AB1" w:rsidRPr="003A1174">
        <w:rPr>
          <w:rFonts w:ascii="Garamond" w:hAnsi="Garamond" w:cs="Arial"/>
          <w:color w:val="000000"/>
          <w:sz w:val="24"/>
          <w:szCs w:val="24"/>
        </w:rPr>
        <w:t xml:space="preserve">às Atribuições </w:t>
      </w:r>
      <w:r w:rsidR="00201889" w:rsidRPr="003A1174">
        <w:rPr>
          <w:rFonts w:ascii="Garamond" w:hAnsi="Garamond" w:cs="Arial"/>
          <w:color w:val="000000"/>
          <w:sz w:val="24"/>
          <w:szCs w:val="24"/>
        </w:rPr>
        <w:t>Especiais</w:t>
      </w:r>
      <w:r w:rsidRPr="003A1174">
        <w:rPr>
          <w:rFonts w:ascii="Garamond" w:hAnsi="Garamond" w:cs="Arial"/>
          <w:color w:val="000000"/>
          <w:sz w:val="24"/>
          <w:szCs w:val="24"/>
        </w:rPr>
        <w:t xml:space="preserve">, </w:t>
      </w:r>
      <w:r w:rsidR="00462B11" w:rsidRPr="003A1174">
        <w:rPr>
          <w:rFonts w:ascii="Garamond" w:hAnsi="Garamond" w:cs="Arial"/>
          <w:color w:val="000000"/>
          <w:sz w:val="24"/>
          <w:szCs w:val="24"/>
        </w:rPr>
        <w:t>incluem</w:t>
      </w:r>
      <w:r w:rsidR="00BD1AB1" w:rsidRPr="003A1174">
        <w:rPr>
          <w:rFonts w:ascii="Garamond" w:hAnsi="Garamond" w:cs="Arial"/>
          <w:color w:val="000000"/>
          <w:sz w:val="24"/>
          <w:szCs w:val="24"/>
        </w:rPr>
        <w:t>-se</w:t>
      </w:r>
      <w:r w:rsidRPr="003A1174">
        <w:rPr>
          <w:rFonts w:ascii="Garamond" w:hAnsi="Garamond" w:cs="Arial"/>
          <w:color w:val="000000"/>
          <w:sz w:val="24"/>
          <w:szCs w:val="24"/>
        </w:rPr>
        <w:t xml:space="preserve"> $1600,000 para c</w:t>
      </w:r>
      <w:r w:rsidR="00BD1AB1" w:rsidRPr="003A1174">
        <w:rPr>
          <w:rFonts w:ascii="Garamond" w:hAnsi="Garamond" w:cs="Arial"/>
          <w:color w:val="000000"/>
          <w:sz w:val="24"/>
          <w:szCs w:val="24"/>
        </w:rPr>
        <w:t>o</w:t>
      </w:r>
      <w:r w:rsidRPr="003A1174">
        <w:rPr>
          <w:rFonts w:ascii="Garamond" w:hAnsi="Garamond" w:cs="Arial"/>
          <w:color w:val="000000"/>
          <w:sz w:val="24"/>
          <w:szCs w:val="24"/>
        </w:rPr>
        <w:t>brir gastos relacionados co</w:t>
      </w:r>
      <w:r w:rsidR="00BD1AB1" w:rsidRPr="003A1174">
        <w:rPr>
          <w:rFonts w:ascii="Garamond" w:hAnsi="Garamond" w:cs="Arial"/>
          <w:color w:val="000000"/>
          <w:sz w:val="24"/>
          <w:szCs w:val="24"/>
        </w:rPr>
        <w:t xml:space="preserve">m </w:t>
      </w:r>
      <w:r w:rsidRPr="003A1174">
        <w:rPr>
          <w:rFonts w:ascii="Garamond" w:hAnsi="Garamond" w:cs="Arial"/>
          <w:color w:val="000000"/>
          <w:sz w:val="24"/>
          <w:szCs w:val="24"/>
        </w:rPr>
        <w:t>as di</w:t>
      </w:r>
      <w:r w:rsidR="00BD1AB1" w:rsidRPr="003A1174">
        <w:rPr>
          <w:rFonts w:ascii="Garamond" w:hAnsi="Garamond" w:cs="Arial"/>
          <w:color w:val="000000"/>
          <w:sz w:val="24"/>
          <w:szCs w:val="24"/>
        </w:rPr>
        <w:t xml:space="preserve">ferentes </w:t>
      </w:r>
      <w:r w:rsidR="00A56F43" w:rsidRPr="003A1174">
        <w:rPr>
          <w:rFonts w:ascii="Garamond" w:hAnsi="Garamond" w:cs="Arial"/>
          <w:color w:val="000000"/>
          <w:sz w:val="24"/>
          <w:szCs w:val="24"/>
        </w:rPr>
        <w:t>estratégia</w:t>
      </w:r>
      <w:r w:rsidRPr="003A1174">
        <w:rPr>
          <w:rFonts w:ascii="Garamond" w:hAnsi="Garamond" w:cs="Arial"/>
          <w:color w:val="000000"/>
          <w:sz w:val="24"/>
          <w:szCs w:val="24"/>
        </w:rPr>
        <w:t>s que se implemente</w:t>
      </w:r>
      <w:r w:rsidR="00BD1AB1" w:rsidRPr="003A1174">
        <w:rPr>
          <w:rFonts w:ascii="Garamond" w:hAnsi="Garamond" w:cs="Arial"/>
          <w:color w:val="000000"/>
          <w:sz w:val="24"/>
          <w:szCs w:val="24"/>
        </w:rPr>
        <w:t>m</w:t>
      </w:r>
      <w:r w:rsidRPr="003A1174">
        <w:rPr>
          <w:rFonts w:ascii="Garamond" w:hAnsi="Garamond" w:cs="Arial"/>
          <w:color w:val="000000"/>
          <w:sz w:val="24"/>
          <w:szCs w:val="24"/>
        </w:rPr>
        <w:t xml:space="preserve"> para </w:t>
      </w:r>
      <w:r w:rsidR="00791197" w:rsidRPr="003A1174">
        <w:rPr>
          <w:rFonts w:ascii="Garamond" w:hAnsi="Garamond" w:cs="Arial"/>
          <w:color w:val="000000"/>
          <w:sz w:val="24"/>
          <w:szCs w:val="24"/>
        </w:rPr>
        <w:t>oferecer</w:t>
      </w:r>
      <w:r w:rsidRPr="003A1174">
        <w:rPr>
          <w:rFonts w:ascii="Garamond" w:hAnsi="Garamond" w:cs="Arial"/>
          <w:color w:val="000000"/>
          <w:sz w:val="24"/>
          <w:szCs w:val="24"/>
        </w:rPr>
        <w:t xml:space="preserve"> </w:t>
      </w:r>
      <w:r w:rsidR="00B531F2" w:rsidRPr="003A1174">
        <w:rPr>
          <w:rFonts w:ascii="Garamond" w:hAnsi="Garamond" w:cs="Arial"/>
          <w:color w:val="000000"/>
          <w:sz w:val="24"/>
          <w:szCs w:val="24"/>
        </w:rPr>
        <w:t>serviço</w:t>
      </w:r>
      <w:r w:rsidRPr="003A1174">
        <w:rPr>
          <w:rFonts w:ascii="Garamond" w:hAnsi="Garamond" w:cs="Arial"/>
          <w:color w:val="000000"/>
          <w:sz w:val="24"/>
          <w:szCs w:val="24"/>
        </w:rPr>
        <w:t xml:space="preserve">s </w:t>
      </w:r>
      <w:r w:rsidR="000672E8" w:rsidRPr="003A1174">
        <w:rPr>
          <w:rFonts w:ascii="Garamond" w:hAnsi="Garamond" w:cs="Arial"/>
          <w:color w:val="000000"/>
          <w:sz w:val="24"/>
          <w:szCs w:val="24"/>
        </w:rPr>
        <w:t>e</w:t>
      </w:r>
      <w:r w:rsidRPr="003A1174">
        <w:rPr>
          <w:rFonts w:ascii="Garamond" w:hAnsi="Garamond" w:cs="Arial"/>
          <w:color w:val="000000"/>
          <w:sz w:val="24"/>
          <w:szCs w:val="24"/>
        </w:rPr>
        <w:t xml:space="preserve"> programas sobre </w:t>
      </w:r>
      <w:r w:rsidR="007578C6" w:rsidRPr="003A1174">
        <w:rPr>
          <w:rFonts w:ascii="Garamond" w:hAnsi="Garamond" w:cs="Arial"/>
          <w:color w:val="000000"/>
          <w:sz w:val="24"/>
          <w:szCs w:val="24"/>
        </w:rPr>
        <w:t>prevenção</w:t>
      </w:r>
      <w:r w:rsidRPr="003A1174">
        <w:rPr>
          <w:rFonts w:ascii="Garamond" w:hAnsi="Garamond" w:cs="Arial"/>
          <w:color w:val="000000"/>
          <w:sz w:val="24"/>
          <w:szCs w:val="24"/>
        </w:rPr>
        <w:t xml:space="preserve"> de discrim</w:t>
      </w:r>
      <w:r w:rsidR="00BD1AB1" w:rsidRPr="003A1174">
        <w:rPr>
          <w:rFonts w:ascii="Garamond" w:hAnsi="Garamond" w:cs="Arial"/>
          <w:color w:val="000000"/>
          <w:sz w:val="24"/>
          <w:szCs w:val="24"/>
        </w:rPr>
        <w:t xml:space="preserve">inação </w:t>
      </w:r>
      <w:r w:rsidR="000672E8" w:rsidRPr="003A1174">
        <w:rPr>
          <w:rFonts w:ascii="Garamond" w:hAnsi="Garamond" w:cs="Arial"/>
          <w:color w:val="000000"/>
          <w:sz w:val="24"/>
          <w:szCs w:val="24"/>
        </w:rPr>
        <w:t>e</w:t>
      </w:r>
      <w:r w:rsidRPr="003A1174">
        <w:rPr>
          <w:rFonts w:ascii="Garamond" w:hAnsi="Garamond" w:cs="Arial"/>
          <w:color w:val="000000"/>
          <w:sz w:val="24"/>
          <w:szCs w:val="24"/>
        </w:rPr>
        <w:t xml:space="preserve"> </w:t>
      </w:r>
      <w:r w:rsidR="000350B1" w:rsidRPr="003A1174">
        <w:rPr>
          <w:rFonts w:ascii="Garamond" w:hAnsi="Garamond" w:cs="Arial"/>
          <w:color w:val="000000"/>
          <w:sz w:val="24"/>
          <w:szCs w:val="24"/>
        </w:rPr>
        <w:t>violência</w:t>
      </w:r>
      <w:r w:rsidRPr="003A1174">
        <w:rPr>
          <w:rFonts w:ascii="Garamond" w:hAnsi="Garamond" w:cs="Arial"/>
          <w:color w:val="000000"/>
          <w:sz w:val="24"/>
          <w:szCs w:val="24"/>
        </w:rPr>
        <w:t xml:space="preserve"> doméstica </w:t>
      </w:r>
      <w:r w:rsidR="00BB2B00" w:rsidRPr="003A1174">
        <w:rPr>
          <w:rFonts w:ascii="Garamond" w:hAnsi="Garamond" w:cs="Arial"/>
          <w:color w:val="000000"/>
          <w:sz w:val="24"/>
          <w:szCs w:val="24"/>
        </w:rPr>
        <w:t>contra a</w:t>
      </w:r>
      <w:r w:rsidRPr="003A1174">
        <w:rPr>
          <w:rFonts w:ascii="Garamond" w:hAnsi="Garamond" w:cs="Arial"/>
          <w:color w:val="000000"/>
          <w:sz w:val="24"/>
          <w:szCs w:val="24"/>
        </w:rPr>
        <w:t xml:space="preserve"> </w:t>
      </w:r>
      <w:r w:rsidR="00AF192F" w:rsidRPr="003A1174">
        <w:rPr>
          <w:rFonts w:ascii="Garamond" w:hAnsi="Garamond" w:cs="Arial"/>
          <w:color w:val="000000"/>
          <w:sz w:val="24"/>
          <w:szCs w:val="24"/>
        </w:rPr>
        <w:t>mulher</w:t>
      </w:r>
      <w:r w:rsidRPr="003A1174">
        <w:rPr>
          <w:rFonts w:ascii="Garamond" w:hAnsi="Garamond" w:cs="Arial"/>
          <w:color w:val="000000"/>
          <w:sz w:val="24"/>
          <w:szCs w:val="24"/>
        </w:rPr>
        <w:t>.</w:t>
      </w:r>
      <w:r w:rsidRPr="003A1174">
        <w:rPr>
          <w:rFonts w:ascii="Garamond" w:hAnsi="Garamond" w:cs="Arial"/>
          <w:sz w:val="24"/>
          <w:szCs w:val="24"/>
        </w:rPr>
        <w:t xml:space="preserve"> </w:t>
      </w:r>
      <w:r w:rsidR="00BD1AB1" w:rsidRPr="003A1174">
        <w:rPr>
          <w:rFonts w:ascii="Garamond" w:hAnsi="Garamond" w:cs="Arial"/>
          <w:color w:val="000000"/>
          <w:sz w:val="24"/>
          <w:szCs w:val="24"/>
        </w:rPr>
        <w:t xml:space="preserve">Entre </w:t>
      </w:r>
      <w:r w:rsidRPr="003A1174">
        <w:rPr>
          <w:rFonts w:ascii="Garamond" w:hAnsi="Garamond" w:cs="Arial"/>
          <w:color w:val="000000"/>
          <w:sz w:val="24"/>
          <w:szCs w:val="24"/>
        </w:rPr>
        <w:t xml:space="preserve">os programas </w:t>
      </w:r>
      <w:r w:rsidR="00FC5E28" w:rsidRPr="003A1174">
        <w:rPr>
          <w:rFonts w:ascii="Garamond" w:hAnsi="Garamond" w:cs="Arial"/>
          <w:color w:val="000000"/>
          <w:sz w:val="24"/>
          <w:szCs w:val="24"/>
        </w:rPr>
        <w:t>federais</w:t>
      </w:r>
      <w:r w:rsidRPr="003A1174">
        <w:rPr>
          <w:rFonts w:ascii="Garamond" w:hAnsi="Garamond" w:cs="Arial"/>
          <w:color w:val="000000"/>
          <w:sz w:val="24"/>
          <w:szCs w:val="24"/>
        </w:rPr>
        <w:t xml:space="preserve"> que </w:t>
      </w:r>
      <w:r w:rsidR="00653CCF">
        <w:rPr>
          <w:rFonts w:ascii="Garamond" w:hAnsi="Garamond" w:cs="Arial"/>
          <w:color w:val="000000"/>
          <w:sz w:val="24"/>
          <w:szCs w:val="24"/>
        </w:rPr>
        <w:t xml:space="preserve">participam com </w:t>
      </w:r>
      <w:r w:rsidR="00FC1F7F" w:rsidRPr="003A1174">
        <w:rPr>
          <w:rFonts w:ascii="Garamond" w:hAnsi="Garamond" w:cs="Arial"/>
          <w:color w:val="000000"/>
          <w:sz w:val="24"/>
          <w:szCs w:val="24"/>
        </w:rPr>
        <w:t>maiores</w:t>
      </w:r>
      <w:r w:rsidRPr="003A1174">
        <w:rPr>
          <w:rFonts w:ascii="Garamond" w:hAnsi="Garamond" w:cs="Arial"/>
          <w:color w:val="000000"/>
          <w:sz w:val="24"/>
          <w:szCs w:val="24"/>
        </w:rPr>
        <w:t xml:space="preserve"> </w:t>
      </w:r>
      <w:r w:rsidR="00BD1AB1" w:rsidRPr="003A1174">
        <w:rPr>
          <w:rFonts w:ascii="Garamond" w:hAnsi="Garamond" w:cs="Arial"/>
          <w:color w:val="000000"/>
          <w:sz w:val="24"/>
          <w:szCs w:val="24"/>
        </w:rPr>
        <w:t>contribuições</w:t>
      </w:r>
      <w:r w:rsidR="00653CCF">
        <w:rPr>
          <w:rFonts w:ascii="Garamond" w:hAnsi="Garamond" w:cs="Arial"/>
          <w:color w:val="000000"/>
          <w:sz w:val="24"/>
          <w:szCs w:val="24"/>
        </w:rPr>
        <w:t>,</w:t>
      </w:r>
      <w:r w:rsidR="00BD1AB1" w:rsidRPr="003A1174">
        <w:rPr>
          <w:rFonts w:ascii="Garamond" w:hAnsi="Garamond" w:cs="Arial"/>
          <w:color w:val="000000"/>
          <w:sz w:val="24"/>
          <w:szCs w:val="24"/>
        </w:rPr>
        <w:t xml:space="preserve"> </w:t>
      </w:r>
      <w:r w:rsidR="00462B11" w:rsidRPr="003A1174">
        <w:rPr>
          <w:rFonts w:ascii="Garamond" w:hAnsi="Garamond" w:cs="Arial"/>
          <w:color w:val="000000"/>
          <w:sz w:val="24"/>
          <w:szCs w:val="24"/>
        </w:rPr>
        <w:t>incluem</w:t>
      </w:r>
      <w:r w:rsidR="00BD1AB1" w:rsidRPr="003A1174">
        <w:rPr>
          <w:rFonts w:ascii="Garamond" w:hAnsi="Garamond" w:cs="Arial"/>
          <w:color w:val="000000"/>
          <w:sz w:val="24"/>
          <w:szCs w:val="24"/>
        </w:rPr>
        <w:t>-se</w:t>
      </w:r>
      <w:r w:rsidRPr="003A1174">
        <w:rPr>
          <w:rFonts w:ascii="Garamond" w:hAnsi="Garamond" w:cs="Arial"/>
          <w:color w:val="000000"/>
          <w:sz w:val="24"/>
          <w:szCs w:val="24"/>
        </w:rPr>
        <w:t xml:space="preserve">: </w:t>
      </w:r>
      <w:r w:rsidRPr="00653CCF">
        <w:rPr>
          <w:rFonts w:ascii="Garamond" w:hAnsi="Garamond" w:cs="Arial"/>
          <w:i/>
          <w:color w:val="000000"/>
          <w:sz w:val="24"/>
          <w:szCs w:val="24"/>
        </w:rPr>
        <w:t>Crime Vic</w:t>
      </w:r>
      <w:r w:rsidR="00BD1AB1" w:rsidRPr="00653CCF">
        <w:rPr>
          <w:rFonts w:ascii="Garamond" w:hAnsi="Garamond" w:cs="Arial"/>
          <w:i/>
          <w:color w:val="000000"/>
          <w:sz w:val="24"/>
          <w:szCs w:val="24"/>
        </w:rPr>
        <w:t>tim Assistance, Sexual Assault e</w:t>
      </w:r>
      <w:r w:rsidRPr="00653CCF">
        <w:rPr>
          <w:rFonts w:ascii="Garamond" w:hAnsi="Garamond" w:cs="Arial"/>
          <w:i/>
          <w:color w:val="000000"/>
          <w:sz w:val="24"/>
          <w:szCs w:val="24"/>
        </w:rPr>
        <w:t xml:space="preserve"> Violence Against Women Formula Grants</w:t>
      </w:r>
      <w:r w:rsidR="00142B26" w:rsidRPr="003A1174">
        <w:rPr>
          <w:rFonts w:ascii="Garamond" w:hAnsi="Garamond" w:cs="Arial"/>
          <w:color w:val="000000"/>
          <w:sz w:val="24"/>
          <w:szCs w:val="24"/>
        </w:rPr>
        <w:t>.</w:t>
      </w:r>
    </w:p>
    <w:p w:rsidR="00CA39B2" w:rsidRPr="003A1174" w:rsidRDefault="00C30647" w:rsidP="008719D4">
      <w:pPr>
        <w:pStyle w:val="Ttulo3"/>
        <w:spacing w:line="240" w:lineRule="auto"/>
        <w:rPr>
          <w:rFonts w:ascii="Garamond" w:hAnsi="Garamond"/>
          <w:sz w:val="24"/>
          <w:szCs w:val="24"/>
        </w:rPr>
      </w:pPr>
      <w:bookmarkStart w:id="81" w:name="_Toc421529768"/>
      <w:r w:rsidRPr="003A1174">
        <w:rPr>
          <w:rFonts w:ascii="Garamond" w:hAnsi="Garamond"/>
          <w:sz w:val="24"/>
          <w:szCs w:val="24"/>
        </w:rPr>
        <w:t>Uruguai</w:t>
      </w:r>
      <w:bookmarkEnd w:id="81"/>
    </w:p>
    <w:p w:rsidR="00CF06D0" w:rsidRDefault="00653CCF" w:rsidP="00247D67">
      <w:pPr>
        <w:spacing w:line="240" w:lineRule="auto"/>
        <w:jc w:val="both"/>
        <w:rPr>
          <w:rFonts w:ascii="Garamond" w:hAnsi="Garamond" w:cs="Arial"/>
          <w:sz w:val="24"/>
          <w:szCs w:val="24"/>
        </w:rPr>
      </w:pPr>
      <w:r>
        <w:rPr>
          <w:rFonts w:ascii="Garamond" w:hAnsi="Garamond" w:cs="Arial"/>
          <w:sz w:val="24"/>
          <w:szCs w:val="24"/>
        </w:rPr>
        <w:t>O Uruguai, relativamente a este tipo de informação</w:t>
      </w:r>
      <w:r w:rsidR="00247D67">
        <w:rPr>
          <w:rFonts w:ascii="Garamond" w:hAnsi="Garamond" w:cs="Arial"/>
          <w:sz w:val="24"/>
          <w:szCs w:val="24"/>
        </w:rPr>
        <w:t>,</w:t>
      </w:r>
      <w:r w:rsidR="00CA39B2" w:rsidRPr="003A1174">
        <w:rPr>
          <w:rFonts w:ascii="Garamond" w:hAnsi="Garamond" w:cs="Arial"/>
          <w:sz w:val="24"/>
          <w:szCs w:val="24"/>
        </w:rPr>
        <w:t xml:space="preserve"> </w:t>
      </w:r>
      <w:r w:rsidR="00C516C5" w:rsidRPr="003A1174">
        <w:rPr>
          <w:rFonts w:ascii="Garamond" w:hAnsi="Garamond" w:cs="Arial"/>
          <w:sz w:val="24"/>
          <w:szCs w:val="24"/>
        </w:rPr>
        <w:t>s</w:t>
      </w:r>
      <w:r w:rsidR="00BD1AB1" w:rsidRPr="003A1174">
        <w:rPr>
          <w:rFonts w:ascii="Garamond" w:hAnsi="Garamond" w:cs="Arial"/>
          <w:sz w:val="24"/>
          <w:szCs w:val="24"/>
        </w:rPr>
        <w:t xml:space="preserve">ó refere o </w:t>
      </w:r>
      <w:r w:rsidR="00946348" w:rsidRPr="003A1174">
        <w:rPr>
          <w:rFonts w:ascii="Garamond" w:hAnsi="Garamond" w:cs="Arial"/>
          <w:sz w:val="24"/>
          <w:szCs w:val="24"/>
        </w:rPr>
        <w:t>orçamento</w:t>
      </w:r>
      <w:r w:rsidR="00BD1AB1" w:rsidRPr="003A1174">
        <w:rPr>
          <w:rFonts w:ascii="Garamond" w:hAnsi="Garamond" w:cs="Arial"/>
          <w:sz w:val="24"/>
          <w:szCs w:val="24"/>
        </w:rPr>
        <w:t xml:space="preserve"> destinado </w:t>
      </w:r>
      <w:r w:rsidR="00CA39B2" w:rsidRPr="003A1174">
        <w:rPr>
          <w:rFonts w:ascii="Garamond" w:hAnsi="Garamond" w:cs="Arial"/>
          <w:sz w:val="24"/>
          <w:szCs w:val="24"/>
        </w:rPr>
        <w:t xml:space="preserve">a </w:t>
      </w:r>
      <w:r w:rsidR="00CD707D" w:rsidRPr="003A1174">
        <w:rPr>
          <w:rFonts w:ascii="Garamond" w:hAnsi="Garamond" w:cs="Arial"/>
          <w:sz w:val="24"/>
          <w:szCs w:val="24"/>
        </w:rPr>
        <w:t>alguma</w:t>
      </w:r>
      <w:r w:rsidR="00CA39B2" w:rsidRPr="003A1174">
        <w:rPr>
          <w:rFonts w:ascii="Garamond" w:hAnsi="Garamond" w:cs="Arial"/>
          <w:sz w:val="24"/>
          <w:szCs w:val="24"/>
        </w:rPr>
        <w:t xml:space="preserve">s </w:t>
      </w:r>
      <w:r w:rsidR="00497503" w:rsidRPr="003A1174">
        <w:rPr>
          <w:rFonts w:ascii="Garamond" w:hAnsi="Garamond" w:cs="Arial"/>
          <w:sz w:val="24"/>
          <w:szCs w:val="24"/>
        </w:rPr>
        <w:t>das</w:t>
      </w:r>
      <w:r w:rsidR="00CA39B2" w:rsidRPr="003A1174">
        <w:rPr>
          <w:rFonts w:ascii="Garamond" w:hAnsi="Garamond" w:cs="Arial"/>
          <w:sz w:val="24"/>
          <w:szCs w:val="24"/>
        </w:rPr>
        <w:t xml:space="preserve"> </w:t>
      </w:r>
      <w:r w:rsidR="002C7510" w:rsidRPr="003A1174">
        <w:rPr>
          <w:rFonts w:ascii="Garamond" w:hAnsi="Garamond" w:cs="Arial"/>
          <w:sz w:val="24"/>
          <w:szCs w:val="24"/>
        </w:rPr>
        <w:t>ações</w:t>
      </w:r>
      <w:r w:rsidR="00CA39B2" w:rsidRPr="003A1174">
        <w:rPr>
          <w:rFonts w:ascii="Garamond" w:hAnsi="Garamond" w:cs="Arial"/>
          <w:sz w:val="24"/>
          <w:szCs w:val="24"/>
        </w:rPr>
        <w:t xml:space="preserve"> des</w:t>
      </w:r>
      <w:r w:rsidR="00BD1AB1" w:rsidRPr="003A1174">
        <w:rPr>
          <w:rFonts w:ascii="Garamond" w:hAnsi="Garamond" w:cs="Arial"/>
          <w:sz w:val="24"/>
          <w:szCs w:val="24"/>
        </w:rPr>
        <w:t>envolvidas</w:t>
      </w:r>
      <w:r w:rsidR="00CA39B2" w:rsidRPr="003A1174">
        <w:rPr>
          <w:rFonts w:ascii="Garamond" w:hAnsi="Garamond" w:cs="Arial"/>
          <w:sz w:val="24"/>
          <w:szCs w:val="24"/>
        </w:rPr>
        <w:t xml:space="preserve">, </w:t>
      </w:r>
      <w:r w:rsidR="00247D67">
        <w:rPr>
          <w:rFonts w:ascii="Garamond" w:hAnsi="Garamond" w:cs="Arial"/>
          <w:sz w:val="24"/>
          <w:szCs w:val="24"/>
        </w:rPr>
        <w:t>a saber:</w:t>
      </w:r>
      <w:r w:rsidR="00CF06D0">
        <w:rPr>
          <w:rFonts w:ascii="Garamond" w:hAnsi="Garamond" w:cs="Arial"/>
          <w:sz w:val="24"/>
          <w:szCs w:val="24"/>
        </w:rPr>
        <w:t xml:space="preserve"> </w:t>
      </w:r>
    </w:p>
    <w:p w:rsidR="00CA39B2" w:rsidRPr="003A1174" w:rsidRDefault="00BE29F7" w:rsidP="00247D67">
      <w:pPr>
        <w:spacing w:line="240" w:lineRule="auto"/>
        <w:jc w:val="both"/>
        <w:rPr>
          <w:rFonts w:ascii="Garamond" w:hAnsi="Garamond" w:cs="Arial"/>
          <w:sz w:val="24"/>
          <w:szCs w:val="24"/>
        </w:rPr>
      </w:pPr>
      <w:r w:rsidRPr="003A1174">
        <w:rPr>
          <w:rFonts w:ascii="Garamond" w:hAnsi="Garamond" w:cs="Arial"/>
          <w:sz w:val="24"/>
          <w:szCs w:val="24"/>
        </w:rPr>
        <w:t xml:space="preserve">Contratação </w:t>
      </w:r>
      <w:r w:rsidR="00CA39B2" w:rsidRPr="003A1174">
        <w:rPr>
          <w:rFonts w:ascii="Garamond" w:hAnsi="Garamond" w:cs="Arial"/>
          <w:sz w:val="24"/>
          <w:szCs w:val="24"/>
        </w:rPr>
        <w:t xml:space="preserve">anual </w:t>
      </w:r>
      <w:r w:rsidR="00E85E59" w:rsidRPr="003A1174">
        <w:rPr>
          <w:rFonts w:ascii="Garamond" w:hAnsi="Garamond" w:cs="Arial"/>
          <w:sz w:val="24"/>
          <w:szCs w:val="24"/>
        </w:rPr>
        <w:t>do</w:t>
      </w:r>
      <w:r w:rsidR="00CA39B2" w:rsidRPr="003A1174">
        <w:rPr>
          <w:rFonts w:ascii="Garamond" w:hAnsi="Garamond" w:cs="Arial"/>
          <w:sz w:val="24"/>
          <w:szCs w:val="24"/>
        </w:rPr>
        <w:t xml:space="preserve"> sistema de </w:t>
      </w:r>
      <w:r w:rsidR="00E150E9" w:rsidRPr="003A1174">
        <w:rPr>
          <w:rFonts w:ascii="Garamond" w:hAnsi="Garamond" w:cs="Arial"/>
          <w:sz w:val="24"/>
          <w:szCs w:val="24"/>
        </w:rPr>
        <w:t>verificação</w:t>
      </w:r>
      <w:r w:rsidR="00CA39B2" w:rsidRPr="003A1174">
        <w:rPr>
          <w:rFonts w:ascii="Garamond" w:hAnsi="Garamond" w:cs="Arial"/>
          <w:sz w:val="24"/>
          <w:szCs w:val="24"/>
        </w:rPr>
        <w:t xml:space="preserve"> de </w:t>
      </w:r>
      <w:r w:rsidR="00A523BE" w:rsidRPr="003A1174">
        <w:rPr>
          <w:rFonts w:ascii="Garamond" w:hAnsi="Garamond" w:cs="Arial"/>
          <w:sz w:val="24"/>
          <w:szCs w:val="24"/>
        </w:rPr>
        <w:t>presença</w:t>
      </w:r>
      <w:r w:rsidR="00CA39B2"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9859FC" w:rsidRPr="003A1174">
        <w:rPr>
          <w:rFonts w:ascii="Garamond" w:hAnsi="Garamond" w:cs="Arial"/>
          <w:sz w:val="24"/>
          <w:szCs w:val="24"/>
        </w:rPr>
        <w:t>localização</w:t>
      </w:r>
      <w:r w:rsidR="00CA39B2" w:rsidRPr="003A1174">
        <w:rPr>
          <w:rFonts w:ascii="Garamond" w:hAnsi="Garamond" w:cs="Arial"/>
          <w:sz w:val="24"/>
          <w:szCs w:val="24"/>
        </w:rPr>
        <w:t xml:space="preserve"> </w:t>
      </w:r>
      <w:r w:rsidR="00FC46AF" w:rsidRPr="003A1174">
        <w:rPr>
          <w:rFonts w:ascii="Garamond" w:hAnsi="Garamond" w:cs="Arial"/>
          <w:sz w:val="24"/>
          <w:szCs w:val="24"/>
        </w:rPr>
        <w:t xml:space="preserve">concebido </w:t>
      </w:r>
      <w:r w:rsidR="00CA39B2" w:rsidRPr="003A1174">
        <w:rPr>
          <w:rFonts w:ascii="Garamond" w:hAnsi="Garamond" w:cs="Arial"/>
          <w:sz w:val="24"/>
          <w:szCs w:val="24"/>
        </w:rPr>
        <w:t xml:space="preserve">para monitorizar </w:t>
      </w:r>
      <w:r w:rsidR="006C760C" w:rsidRPr="003A1174">
        <w:rPr>
          <w:rFonts w:ascii="Garamond" w:hAnsi="Garamond" w:cs="Arial"/>
          <w:sz w:val="24"/>
          <w:szCs w:val="24"/>
        </w:rPr>
        <w:t>pessoas</w:t>
      </w:r>
      <w:r w:rsidR="00CA39B2" w:rsidRPr="003A1174">
        <w:rPr>
          <w:rFonts w:ascii="Garamond" w:hAnsi="Garamond" w:cs="Arial"/>
          <w:sz w:val="24"/>
          <w:szCs w:val="24"/>
        </w:rPr>
        <w:t xml:space="preserve">, </w:t>
      </w:r>
      <w:r w:rsidR="002D1021" w:rsidRPr="003A1174">
        <w:rPr>
          <w:rFonts w:ascii="Garamond" w:hAnsi="Garamond" w:cs="Arial"/>
          <w:sz w:val="24"/>
          <w:szCs w:val="24"/>
        </w:rPr>
        <w:t>agressor</w:t>
      </w:r>
      <w:r w:rsidR="00CA39B2" w:rsidRPr="003A1174">
        <w:rPr>
          <w:rFonts w:ascii="Garamond" w:hAnsi="Garamond" w:cs="Arial"/>
          <w:sz w:val="24"/>
          <w:szCs w:val="24"/>
        </w:rPr>
        <w:t xml:space="preserve">es </w:t>
      </w:r>
      <w:r w:rsidR="000672E8" w:rsidRPr="003A1174">
        <w:rPr>
          <w:rFonts w:ascii="Garamond" w:hAnsi="Garamond" w:cs="Arial"/>
          <w:sz w:val="24"/>
          <w:szCs w:val="24"/>
        </w:rPr>
        <w:t>e</w:t>
      </w:r>
      <w:r w:rsidR="00CA39B2" w:rsidRPr="003A1174">
        <w:rPr>
          <w:rFonts w:ascii="Garamond" w:hAnsi="Garamond" w:cs="Arial"/>
          <w:sz w:val="24"/>
          <w:szCs w:val="24"/>
        </w:rPr>
        <w:t xml:space="preserve"> </w:t>
      </w:r>
      <w:r w:rsidR="003F012B" w:rsidRPr="003A1174">
        <w:rPr>
          <w:rFonts w:ascii="Garamond" w:hAnsi="Garamond" w:cs="Arial"/>
          <w:sz w:val="24"/>
          <w:szCs w:val="24"/>
        </w:rPr>
        <w:t>vítima</w:t>
      </w:r>
      <w:r w:rsidR="00CA39B2" w:rsidRPr="003A1174">
        <w:rPr>
          <w:rFonts w:ascii="Garamond" w:hAnsi="Garamond" w:cs="Arial"/>
          <w:sz w:val="24"/>
          <w:szCs w:val="24"/>
        </w:rPr>
        <w:t xml:space="preserve">s, tanto </w:t>
      </w:r>
      <w:r w:rsidR="00FC46AF" w:rsidRPr="003A1174">
        <w:rPr>
          <w:rFonts w:ascii="Garamond" w:hAnsi="Garamond" w:cs="Arial"/>
          <w:sz w:val="24"/>
          <w:szCs w:val="24"/>
        </w:rPr>
        <w:t xml:space="preserve">no que toca a </w:t>
      </w:r>
      <w:r w:rsidR="00CA39B2" w:rsidRPr="003A1174">
        <w:rPr>
          <w:rFonts w:ascii="Garamond" w:hAnsi="Garamond" w:cs="Arial"/>
          <w:sz w:val="24"/>
          <w:szCs w:val="24"/>
        </w:rPr>
        <w:t>dispositivos</w:t>
      </w:r>
      <w:r w:rsidR="00247D67">
        <w:rPr>
          <w:rFonts w:ascii="Garamond" w:hAnsi="Garamond" w:cs="Arial"/>
          <w:sz w:val="24"/>
          <w:szCs w:val="24"/>
        </w:rPr>
        <w:t>,</w:t>
      </w:r>
      <w:r w:rsidR="00CA39B2" w:rsidRPr="003A1174">
        <w:rPr>
          <w:rFonts w:ascii="Garamond" w:hAnsi="Garamond" w:cs="Arial"/>
          <w:sz w:val="24"/>
          <w:szCs w:val="24"/>
        </w:rPr>
        <w:t xml:space="preserve"> como </w:t>
      </w:r>
      <w:r w:rsidR="00BB2B00" w:rsidRPr="003A1174">
        <w:rPr>
          <w:rFonts w:ascii="Garamond" w:hAnsi="Garamond" w:cs="Arial"/>
          <w:sz w:val="24"/>
          <w:szCs w:val="24"/>
        </w:rPr>
        <w:t>à</w:t>
      </w:r>
      <w:r w:rsidR="00CA39B2" w:rsidRPr="003A1174">
        <w:rPr>
          <w:rFonts w:ascii="Garamond" w:hAnsi="Garamond" w:cs="Arial"/>
          <w:sz w:val="24"/>
          <w:szCs w:val="24"/>
        </w:rPr>
        <w:t xml:space="preserve"> </w:t>
      </w:r>
      <w:r w:rsidR="006F7276" w:rsidRPr="003A1174">
        <w:rPr>
          <w:rFonts w:ascii="Garamond" w:hAnsi="Garamond" w:cs="Arial"/>
          <w:sz w:val="24"/>
          <w:szCs w:val="24"/>
        </w:rPr>
        <w:t>infraestrutura</w:t>
      </w:r>
      <w:r w:rsidR="00CA39B2" w:rsidRPr="003A1174">
        <w:rPr>
          <w:rFonts w:ascii="Garamond" w:hAnsi="Garamond" w:cs="Arial"/>
          <w:sz w:val="24"/>
          <w:szCs w:val="24"/>
        </w:rPr>
        <w:t xml:space="preserve"> e</w:t>
      </w:r>
      <w:r w:rsidR="00FC46AF" w:rsidRPr="003A1174">
        <w:rPr>
          <w:rFonts w:ascii="Garamond" w:hAnsi="Garamond" w:cs="Arial"/>
          <w:sz w:val="24"/>
          <w:szCs w:val="24"/>
        </w:rPr>
        <w:t>m</w:t>
      </w:r>
      <w:r w:rsidR="00CA39B2" w:rsidRPr="003A1174">
        <w:rPr>
          <w:rFonts w:ascii="Garamond" w:hAnsi="Garamond" w:cs="Arial"/>
          <w:sz w:val="24"/>
          <w:szCs w:val="24"/>
        </w:rPr>
        <w:t xml:space="preserve"> </w:t>
      </w:r>
      <w:r w:rsidR="00EF645F" w:rsidRPr="003A1174">
        <w:rPr>
          <w:rFonts w:ascii="Garamond" w:hAnsi="Garamond" w:cs="Arial"/>
          <w:sz w:val="24"/>
          <w:szCs w:val="24"/>
        </w:rPr>
        <w:t>matéria</w:t>
      </w:r>
      <w:r w:rsidR="00CA39B2" w:rsidRPr="003A1174">
        <w:rPr>
          <w:rFonts w:ascii="Garamond" w:hAnsi="Garamond" w:cs="Arial"/>
          <w:sz w:val="24"/>
          <w:szCs w:val="24"/>
        </w:rPr>
        <w:t xml:space="preserve"> de </w:t>
      </w:r>
      <w:r w:rsidR="000350B1" w:rsidRPr="003A1174">
        <w:rPr>
          <w:rFonts w:ascii="Garamond" w:hAnsi="Garamond" w:cs="Arial"/>
          <w:sz w:val="24"/>
          <w:szCs w:val="24"/>
        </w:rPr>
        <w:t>violência</w:t>
      </w:r>
      <w:r w:rsidR="00CA39B2" w:rsidRPr="003A1174">
        <w:rPr>
          <w:rFonts w:ascii="Garamond" w:hAnsi="Garamond" w:cs="Arial"/>
          <w:sz w:val="24"/>
          <w:szCs w:val="24"/>
        </w:rPr>
        <w:t xml:space="preserve"> doméstica (</w:t>
      </w:r>
      <w:r w:rsidR="00CA39B2" w:rsidRPr="003A1174">
        <w:rPr>
          <w:rFonts w:ascii="Garamond" w:hAnsi="Garamond" w:cs="Arial"/>
          <w:i/>
          <w:sz w:val="24"/>
          <w:szCs w:val="24"/>
        </w:rPr>
        <w:t>tobilleras</w:t>
      </w:r>
      <w:r w:rsidR="00CA39B2" w:rsidRPr="003A1174">
        <w:rPr>
          <w:rFonts w:ascii="Garamond" w:hAnsi="Garamond" w:cs="Arial"/>
          <w:sz w:val="24"/>
          <w:szCs w:val="24"/>
        </w:rPr>
        <w:t xml:space="preserve"> ele</w:t>
      </w:r>
      <w:r w:rsidR="00FC46AF" w:rsidRPr="003A1174">
        <w:rPr>
          <w:rFonts w:ascii="Garamond" w:hAnsi="Garamond" w:cs="Arial"/>
          <w:sz w:val="24"/>
          <w:szCs w:val="24"/>
        </w:rPr>
        <w:t xml:space="preserve">trónicas); atribuiu-se ao </w:t>
      </w:r>
      <w:r w:rsidR="008F414A" w:rsidRPr="003A1174">
        <w:rPr>
          <w:rFonts w:ascii="Garamond" w:hAnsi="Garamond" w:cs="Arial"/>
          <w:sz w:val="24"/>
          <w:szCs w:val="24"/>
        </w:rPr>
        <w:t xml:space="preserve">programa </w:t>
      </w:r>
      <w:r w:rsidR="00CA39B2" w:rsidRPr="003A1174">
        <w:rPr>
          <w:rFonts w:ascii="Garamond" w:hAnsi="Garamond" w:cs="Arial"/>
          <w:sz w:val="24"/>
          <w:szCs w:val="24"/>
        </w:rPr>
        <w:t>$ 7</w:t>
      </w:r>
      <w:r w:rsidR="00247D67">
        <w:rPr>
          <w:rFonts w:ascii="Garamond" w:hAnsi="Garamond" w:cs="Arial"/>
          <w:sz w:val="24"/>
          <w:szCs w:val="24"/>
        </w:rPr>
        <w:t xml:space="preserve"> </w:t>
      </w:r>
      <w:r w:rsidR="00CA39B2" w:rsidRPr="003A1174">
        <w:rPr>
          <w:rFonts w:ascii="Garamond" w:hAnsi="Garamond" w:cs="Arial"/>
          <w:sz w:val="24"/>
          <w:szCs w:val="24"/>
        </w:rPr>
        <w:t>000</w:t>
      </w:r>
      <w:r w:rsidR="00247D67">
        <w:rPr>
          <w:rFonts w:ascii="Garamond" w:hAnsi="Garamond" w:cs="Arial"/>
          <w:sz w:val="24"/>
          <w:szCs w:val="24"/>
        </w:rPr>
        <w:t xml:space="preserve"> </w:t>
      </w:r>
      <w:r w:rsidR="00FC46AF" w:rsidRPr="003A1174">
        <w:rPr>
          <w:rFonts w:ascii="Garamond" w:hAnsi="Garamond" w:cs="Arial"/>
          <w:sz w:val="24"/>
          <w:szCs w:val="24"/>
        </w:rPr>
        <w:t>000 pesos</w:t>
      </w:r>
      <w:r w:rsidR="00CA39B2" w:rsidRPr="003A1174">
        <w:rPr>
          <w:rFonts w:ascii="Garamond" w:hAnsi="Garamond" w:cs="Arial"/>
          <w:sz w:val="24"/>
          <w:szCs w:val="24"/>
        </w:rPr>
        <w:t xml:space="preserve"> </w:t>
      </w:r>
      <w:r w:rsidR="00C30647" w:rsidRPr="003A1174">
        <w:rPr>
          <w:rFonts w:ascii="Garamond" w:hAnsi="Garamond" w:cs="Arial"/>
          <w:sz w:val="24"/>
          <w:szCs w:val="24"/>
        </w:rPr>
        <w:t>uruguai</w:t>
      </w:r>
      <w:r w:rsidR="00CA39B2" w:rsidRPr="003A1174">
        <w:rPr>
          <w:rFonts w:ascii="Garamond" w:hAnsi="Garamond" w:cs="Arial"/>
          <w:sz w:val="24"/>
          <w:szCs w:val="24"/>
        </w:rPr>
        <w:t>os</w:t>
      </w:r>
    </w:p>
    <w:p w:rsidR="00CA39B2" w:rsidRPr="003A1174" w:rsidRDefault="00CA39B2" w:rsidP="008719D4">
      <w:pPr>
        <w:pStyle w:val="Prrafodelista"/>
        <w:numPr>
          <w:ilvl w:val="0"/>
          <w:numId w:val="43"/>
        </w:numPr>
        <w:autoSpaceDE w:val="0"/>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Sistema de </w:t>
      </w:r>
      <w:r w:rsidR="00E150E9" w:rsidRPr="003A1174">
        <w:rPr>
          <w:rFonts w:ascii="Garamond" w:hAnsi="Garamond" w:cs="Arial"/>
          <w:color w:val="auto"/>
          <w:sz w:val="24"/>
          <w:szCs w:val="24"/>
          <w:lang w:val="pt-PT"/>
        </w:rPr>
        <w:t>verificação</w:t>
      </w:r>
      <w:r w:rsidRPr="003A1174">
        <w:rPr>
          <w:rFonts w:ascii="Garamond" w:hAnsi="Garamond" w:cs="Arial"/>
          <w:color w:val="auto"/>
          <w:sz w:val="24"/>
          <w:szCs w:val="24"/>
          <w:lang w:val="pt-PT"/>
        </w:rPr>
        <w:t xml:space="preserve"> de </w:t>
      </w:r>
      <w:r w:rsidR="00A523BE" w:rsidRPr="003A1174">
        <w:rPr>
          <w:rFonts w:ascii="Garamond" w:hAnsi="Garamond" w:cs="Arial"/>
          <w:color w:val="auto"/>
          <w:sz w:val="24"/>
          <w:szCs w:val="24"/>
          <w:lang w:val="pt-PT"/>
        </w:rPr>
        <w:t>presença</w:t>
      </w:r>
      <w:r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localização</w:t>
      </w:r>
      <w:r w:rsidR="00247D67">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FC46AF" w:rsidRPr="003A1174">
        <w:rPr>
          <w:rFonts w:ascii="Garamond" w:hAnsi="Garamond" w:cs="Arial"/>
          <w:color w:val="auto"/>
          <w:sz w:val="24"/>
          <w:szCs w:val="24"/>
          <w:lang w:val="pt-PT"/>
        </w:rPr>
        <w:t xml:space="preserve">concebido </w:t>
      </w:r>
      <w:r w:rsidRPr="003A1174">
        <w:rPr>
          <w:rFonts w:ascii="Garamond" w:hAnsi="Garamond" w:cs="Arial"/>
          <w:color w:val="auto"/>
          <w:sz w:val="24"/>
          <w:szCs w:val="24"/>
          <w:lang w:val="pt-PT"/>
        </w:rPr>
        <w:t xml:space="preserve">para monitorizar </w:t>
      </w:r>
      <w:r w:rsidR="006C760C" w:rsidRPr="003A1174">
        <w:rPr>
          <w:rFonts w:ascii="Garamond" w:hAnsi="Garamond" w:cs="Arial"/>
          <w:color w:val="auto"/>
          <w:sz w:val="24"/>
          <w:szCs w:val="24"/>
          <w:lang w:val="pt-PT"/>
        </w:rPr>
        <w:t>pessoas</w:t>
      </w:r>
      <w:r w:rsidRPr="003A1174">
        <w:rPr>
          <w:rFonts w:ascii="Garamond" w:hAnsi="Garamond" w:cs="Arial"/>
          <w:color w:val="auto"/>
          <w:sz w:val="24"/>
          <w:szCs w:val="24"/>
          <w:lang w:val="pt-PT"/>
        </w:rPr>
        <w:t xml:space="preserve">, </w:t>
      </w:r>
      <w:r w:rsidR="002D1021" w:rsidRPr="003A1174">
        <w:rPr>
          <w:rFonts w:ascii="Garamond" w:hAnsi="Garamond" w:cs="Arial"/>
          <w:color w:val="auto"/>
          <w:sz w:val="24"/>
          <w:szCs w:val="24"/>
          <w:lang w:val="pt-PT"/>
        </w:rPr>
        <w:t>agressor</w:t>
      </w:r>
      <w:r w:rsidRPr="003A1174">
        <w:rPr>
          <w:rFonts w:ascii="Garamond" w:hAnsi="Garamond" w:cs="Arial"/>
          <w:color w:val="auto"/>
          <w:sz w:val="24"/>
          <w:szCs w:val="24"/>
          <w:lang w:val="pt-PT"/>
        </w:rPr>
        <w:t xml:space="preserve">es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Pr="003A1174">
        <w:rPr>
          <w:rFonts w:ascii="Garamond" w:hAnsi="Garamond" w:cs="Arial"/>
          <w:color w:val="auto"/>
          <w:sz w:val="24"/>
          <w:szCs w:val="24"/>
          <w:lang w:val="pt-PT"/>
        </w:rPr>
        <w:t xml:space="preserve">s, tanto </w:t>
      </w:r>
      <w:r w:rsidR="00FC46AF" w:rsidRPr="003A1174">
        <w:rPr>
          <w:rFonts w:ascii="Garamond" w:hAnsi="Garamond" w:cs="Arial"/>
          <w:color w:val="auto"/>
          <w:sz w:val="24"/>
          <w:szCs w:val="24"/>
          <w:lang w:val="pt-PT"/>
        </w:rPr>
        <w:t>no que toca a</w:t>
      </w:r>
      <w:r w:rsidRPr="003A1174">
        <w:rPr>
          <w:rFonts w:ascii="Garamond" w:hAnsi="Garamond" w:cs="Arial"/>
          <w:color w:val="auto"/>
          <w:sz w:val="24"/>
          <w:szCs w:val="24"/>
          <w:lang w:val="pt-PT"/>
        </w:rPr>
        <w:t xml:space="preserve"> dispositivos como </w:t>
      </w:r>
      <w:r w:rsidR="00BB2B00" w:rsidRPr="003A1174">
        <w:rPr>
          <w:rFonts w:ascii="Garamond" w:hAnsi="Garamond" w:cs="Arial"/>
          <w:color w:val="auto"/>
          <w:sz w:val="24"/>
          <w:szCs w:val="24"/>
          <w:lang w:val="pt-PT"/>
        </w:rPr>
        <w:t>à</w:t>
      </w:r>
      <w:r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infraestrutura</w:t>
      </w:r>
      <w:r w:rsidRPr="003A1174">
        <w:rPr>
          <w:rFonts w:ascii="Garamond" w:hAnsi="Garamond" w:cs="Arial"/>
          <w:color w:val="auto"/>
          <w:sz w:val="24"/>
          <w:szCs w:val="24"/>
          <w:lang w:val="pt-PT"/>
        </w:rPr>
        <w:t xml:space="preserve"> </w:t>
      </w:r>
      <w:r w:rsidR="00D37CF3" w:rsidRPr="003A1174">
        <w:rPr>
          <w:rFonts w:ascii="Garamond" w:hAnsi="Garamond" w:cs="Arial"/>
          <w:color w:val="auto"/>
          <w:sz w:val="24"/>
          <w:szCs w:val="24"/>
          <w:lang w:val="pt-PT"/>
        </w:rPr>
        <w:t>em</w:t>
      </w:r>
      <w:r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Pr="003A1174">
        <w:rPr>
          <w:rFonts w:ascii="Garamond" w:hAnsi="Garamond" w:cs="Arial"/>
          <w:color w:val="auto"/>
          <w:sz w:val="24"/>
          <w:szCs w:val="24"/>
          <w:lang w:val="pt-PT"/>
        </w:rPr>
        <w:t xml:space="preserve"> doméstica (</w:t>
      </w:r>
      <w:r w:rsidRPr="003A1174">
        <w:rPr>
          <w:rFonts w:ascii="Garamond" w:hAnsi="Garamond" w:cs="Arial"/>
          <w:i/>
          <w:color w:val="auto"/>
          <w:sz w:val="24"/>
          <w:szCs w:val="24"/>
          <w:lang w:val="pt-PT"/>
        </w:rPr>
        <w:t>tobilleras</w:t>
      </w:r>
      <w:r w:rsidRPr="003A1174">
        <w:rPr>
          <w:rFonts w:ascii="Garamond" w:hAnsi="Garamond" w:cs="Arial"/>
          <w:color w:val="auto"/>
          <w:sz w:val="24"/>
          <w:szCs w:val="24"/>
          <w:lang w:val="pt-PT"/>
        </w:rPr>
        <w:t xml:space="preserve"> </w:t>
      </w:r>
      <w:r w:rsidR="00D37CF3" w:rsidRPr="003A1174">
        <w:rPr>
          <w:rFonts w:ascii="Garamond" w:hAnsi="Garamond" w:cs="Arial"/>
          <w:color w:val="auto"/>
          <w:sz w:val="24"/>
          <w:szCs w:val="24"/>
          <w:lang w:val="pt-PT"/>
        </w:rPr>
        <w:t>eletrónicas</w:t>
      </w:r>
      <w:r w:rsidRPr="003A1174">
        <w:rPr>
          <w:rFonts w:ascii="Garamond" w:hAnsi="Garamond" w:cs="Arial"/>
          <w:color w:val="auto"/>
          <w:sz w:val="24"/>
          <w:szCs w:val="24"/>
          <w:lang w:val="pt-PT"/>
        </w:rPr>
        <w:t>), espec</w:t>
      </w:r>
      <w:r w:rsidR="00FC46AF" w:rsidRPr="003A1174">
        <w:rPr>
          <w:rFonts w:ascii="Garamond" w:hAnsi="Garamond" w:cs="Arial"/>
          <w:color w:val="auto"/>
          <w:sz w:val="24"/>
          <w:szCs w:val="24"/>
          <w:lang w:val="pt-PT"/>
        </w:rPr>
        <w:t>i</w:t>
      </w:r>
      <w:r w:rsidRPr="003A1174">
        <w:rPr>
          <w:rFonts w:ascii="Garamond" w:hAnsi="Garamond" w:cs="Arial"/>
          <w:color w:val="auto"/>
          <w:sz w:val="24"/>
          <w:szCs w:val="24"/>
          <w:lang w:val="pt-PT"/>
        </w:rPr>
        <w:t>fic</w:t>
      </w:r>
      <w:r w:rsidR="00FC46AF" w:rsidRPr="003A1174">
        <w:rPr>
          <w:rFonts w:ascii="Garamond" w:hAnsi="Garamond" w:cs="Arial"/>
          <w:color w:val="auto"/>
          <w:sz w:val="24"/>
          <w:szCs w:val="24"/>
          <w:lang w:val="pt-PT"/>
        </w:rPr>
        <w:t>amente</w:t>
      </w:r>
      <w:r w:rsidR="00247D67">
        <w:rPr>
          <w:rFonts w:ascii="Garamond" w:hAnsi="Garamond" w:cs="Arial"/>
          <w:color w:val="auto"/>
          <w:sz w:val="24"/>
          <w:szCs w:val="24"/>
          <w:lang w:val="pt-PT"/>
        </w:rPr>
        <w:t>,</w:t>
      </w:r>
      <w:r w:rsidR="00FC46AF" w:rsidRPr="003A1174">
        <w:rPr>
          <w:rFonts w:ascii="Garamond" w:hAnsi="Garamond" w:cs="Arial"/>
          <w:color w:val="auto"/>
          <w:sz w:val="24"/>
          <w:szCs w:val="24"/>
          <w:lang w:val="pt-PT"/>
        </w:rPr>
        <w:t xml:space="preserve"> em relação ao </w:t>
      </w:r>
      <w:r w:rsidRPr="003A1174">
        <w:rPr>
          <w:rFonts w:ascii="Garamond" w:hAnsi="Garamond" w:cs="Arial"/>
          <w:i/>
          <w:color w:val="auto"/>
          <w:sz w:val="24"/>
          <w:szCs w:val="24"/>
          <w:lang w:val="pt-PT"/>
        </w:rPr>
        <w:t>software</w:t>
      </w:r>
      <w:r w:rsidRPr="003A1174">
        <w:rPr>
          <w:rFonts w:ascii="Garamond" w:hAnsi="Garamond" w:cs="Arial"/>
          <w:color w:val="auto"/>
          <w:sz w:val="24"/>
          <w:szCs w:val="24"/>
          <w:lang w:val="pt-PT"/>
        </w:rPr>
        <w:t xml:space="preserve">, </w:t>
      </w:r>
      <w:r w:rsidR="006F7276" w:rsidRPr="003A1174">
        <w:rPr>
          <w:rFonts w:ascii="Garamond" w:hAnsi="Garamond" w:cs="Arial"/>
          <w:color w:val="auto"/>
          <w:sz w:val="24"/>
          <w:szCs w:val="24"/>
          <w:lang w:val="pt-PT"/>
        </w:rPr>
        <w:t>infraestrutura</w:t>
      </w:r>
      <w:r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1B7D0B">
        <w:rPr>
          <w:rFonts w:ascii="Garamond" w:hAnsi="Garamond" w:cs="Arial"/>
          <w:color w:val="auto"/>
          <w:sz w:val="24"/>
          <w:szCs w:val="24"/>
          <w:lang w:val="pt-PT"/>
        </w:rPr>
        <w:t xml:space="preserve"> formação</w:t>
      </w:r>
      <w:r w:rsidRPr="003A1174">
        <w:rPr>
          <w:rFonts w:ascii="Garamond" w:hAnsi="Garamond" w:cs="Arial"/>
          <w:color w:val="auto"/>
          <w:sz w:val="24"/>
          <w:szCs w:val="24"/>
          <w:lang w:val="pt-PT"/>
        </w:rPr>
        <w:t xml:space="preserve">; </w:t>
      </w:r>
      <w:r w:rsidR="00FC46AF" w:rsidRPr="003A1174">
        <w:rPr>
          <w:rFonts w:ascii="Garamond" w:hAnsi="Garamond" w:cs="Arial"/>
          <w:color w:val="auto"/>
          <w:sz w:val="24"/>
          <w:szCs w:val="24"/>
          <w:lang w:val="pt-PT"/>
        </w:rPr>
        <w:t xml:space="preserve">atribuiu-se </w:t>
      </w:r>
      <w:r w:rsidRPr="003A1174">
        <w:rPr>
          <w:rFonts w:ascii="Garamond" w:hAnsi="Garamond" w:cs="Arial"/>
          <w:color w:val="auto"/>
          <w:sz w:val="24"/>
          <w:szCs w:val="24"/>
          <w:lang w:val="pt-PT"/>
        </w:rPr>
        <w:t>$ 12</w:t>
      </w:r>
      <w:r w:rsidR="001B7D0B">
        <w:rPr>
          <w:rFonts w:ascii="Garamond" w:hAnsi="Garamond" w:cs="Arial"/>
          <w:color w:val="auto"/>
          <w:sz w:val="24"/>
          <w:szCs w:val="24"/>
          <w:lang w:val="pt-PT"/>
        </w:rPr>
        <w:t xml:space="preserve"> </w:t>
      </w:r>
      <w:r w:rsidRPr="003A1174">
        <w:rPr>
          <w:rFonts w:ascii="Garamond" w:hAnsi="Garamond" w:cs="Arial"/>
          <w:color w:val="auto"/>
          <w:sz w:val="24"/>
          <w:szCs w:val="24"/>
          <w:lang w:val="pt-PT"/>
        </w:rPr>
        <w:t>680</w:t>
      </w:r>
      <w:r w:rsidR="001B7D0B">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400 pesos </w:t>
      </w:r>
      <w:r w:rsidR="00C30647" w:rsidRPr="003A1174">
        <w:rPr>
          <w:rFonts w:ascii="Garamond" w:hAnsi="Garamond" w:cs="Arial"/>
          <w:color w:val="auto"/>
          <w:sz w:val="24"/>
          <w:szCs w:val="24"/>
          <w:lang w:val="pt-PT"/>
        </w:rPr>
        <w:t>uruguai</w:t>
      </w:r>
      <w:r w:rsidRPr="003A1174">
        <w:rPr>
          <w:rFonts w:ascii="Garamond" w:hAnsi="Garamond" w:cs="Arial"/>
          <w:color w:val="auto"/>
          <w:sz w:val="24"/>
          <w:szCs w:val="24"/>
          <w:lang w:val="pt-PT"/>
        </w:rPr>
        <w:t>os.</w:t>
      </w:r>
    </w:p>
    <w:p w:rsidR="00CA39B2" w:rsidRPr="003A1174" w:rsidRDefault="00BE29F7" w:rsidP="008719D4">
      <w:pPr>
        <w:pStyle w:val="Prrafodelista"/>
        <w:numPr>
          <w:ilvl w:val="0"/>
          <w:numId w:val="43"/>
        </w:numPr>
        <w:autoSpaceDE w:val="0"/>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Contratação </w:t>
      </w:r>
      <w:r w:rsidR="00CA39B2" w:rsidRPr="003A1174">
        <w:rPr>
          <w:rFonts w:ascii="Garamond" w:hAnsi="Garamond" w:cs="Arial"/>
          <w:color w:val="auto"/>
          <w:sz w:val="24"/>
          <w:szCs w:val="24"/>
          <w:lang w:val="pt-PT"/>
        </w:rPr>
        <w:t xml:space="preserve">anual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sistema de </w:t>
      </w:r>
      <w:r w:rsidR="00E150E9" w:rsidRPr="003A1174">
        <w:rPr>
          <w:rFonts w:ascii="Garamond" w:hAnsi="Garamond" w:cs="Arial"/>
          <w:color w:val="auto"/>
          <w:sz w:val="24"/>
          <w:szCs w:val="24"/>
          <w:lang w:val="pt-PT"/>
        </w:rPr>
        <w:t>verificação</w:t>
      </w:r>
      <w:r w:rsidR="00CA39B2" w:rsidRPr="003A1174">
        <w:rPr>
          <w:rFonts w:ascii="Garamond" w:hAnsi="Garamond" w:cs="Arial"/>
          <w:color w:val="auto"/>
          <w:sz w:val="24"/>
          <w:szCs w:val="24"/>
          <w:lang w:val="pt-PT"/>
        </w:rPr>
        <w:t xml:space="preserve"> de </w:t>
      </w:r>
      <w:r w:rsidR="00A523BE" w:rsidRPr="003A1174">
        <w:rPr>
          <w:rFonts w:ascii="Garamond" w:hAnsi="Garamond" w:cs="Arial"/>
          <w:color w:val="auto"/>
          <w:sz w:val="24"/>
          <w:szCs w:val="24"/>
          <w:lang w:val="pt-PT"/>
        </w:rPr>
        <w:t>presença</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localização</w:t>
      </w:r>
      <w:r w:rsidR="00247D67">
        <w:rPr>
          <w:rFonts w:ascii="Garamond" w:hAnsi="Garamond" w:cs="Arial"/>
          <w:color w:val="auto"/>
          <w:sz w:val="24"/>
          <w:szCs w:val="24"/>
          <w:lang w:val="pt-PT"/>
        </w:rPr>
        <w:t>,</w:t>
      </w:r>
      <w:r w:rsidR="00591A56" w:rsidRPr="003A1174">
        <w:rPr>
          <w:rFonts w:ascii="Garamond" w:hAnsi="Garamond" w:cs="Arial"/>
          <w:color w:val="auto"/>
          <w:sz w:val="24"/>
          <w:szCs w:val="24"/>
          <w:lang w:val="pt-PT"/>
        </w:rPr>
        <w:t xml:space="preserve"> concebido </w:t>
      </w:r>
      <w:r w:rsidR="00CA39B2" w:rsidRPr="003A1174">
        <w:rPr>
          <w:rFonts w:ascii="Garamond" w:hAnsi="Garamond" w:cs="Arial"/>
          <w:color w:val="auto"/>
          <w:sz w:val="24"/>
          <w:szCs w:val="24"/>
          <w:lang w:val="pt-PT"/>
        </w:rPr>
        <w:t xml:space="preserve">para monitorizar </w:t>
      </w:r>
      <w:r w:rsidR="006C760C" w:rsidRPr="003A1174">
        <w:rPr>
          <w:rFonts w:ascii="Garamond" w:hAnsi="Garamond" w:cs="Arial"/>
          <w:color w:val="auto"/>
          <w:sz w:val="24"/>
          <w:szCs w:val="24"/>
          <w:lang w:val="pt-PT"/>
        </w:rPr>
        <w:t>pessoas</w:t>
      </w:r>
      <w:r w:rsidR="00CA39B2" w:rsidRPr="003A1174">
        <w:rPr>
          <w:rFonts w:ascii="Garamond" w:hAnsi="Garamond" w:cs="Arial"/>
          <w:color w:val="auto"/>
          <w:sz w:val="24"/>
          <w:szCs w:val="24"/>
          <w:lang w:val="pt-PT"/>
        </w:rPr>
        <w:t xml:space="preserve">, tanto </w:t>
      </w:r>
      <w:r w:rsidR="00497503" w:rsidRPr="003A1174">
        <w:rPr>
          <w:rFonts w:ascii="Garamond" w:hAnsi="Garamond" w:cs="Arial"/>
          <w:color w:val="auto"/>
          <w:sz w:val="24"/>
          <w:szCs w:val="24"/>
          <w:lang w:val="pt-PT"/>
        </w:rPr>
        <w:t>dos</w:t>
      </w:r>
      <w:r w:rsidR="00CA39B2" w:rsidRPr="003A1174">
        <w:rPr>
          <w:rFonts w:ascii="Garamond" w:hAnsi="Garamond" w:cs="Arial"/>
          <w:color w:val="auto"/>
          <w:sz w:val="24"/>
          <w:szCs w:val="24"/>
          <w:lang w:val="pt-PT"/>
        </w:rPr>
        <w:t xml:space="preserve"> dispositivos como</w:t>
      </w:r>
      <w:r w:rsidR="008F414A" w:rsidRPr="003A1174">
        <w:rPr>
          <w:rFonts w:ascii="Garamond" w:hAnsi="Garamond" w:cs="Arial"/>
          <w:color w:val="auto"/>
          <w:sz w:val="24"/>
          <w:szCs w:val="24"/>
          <w:lang w:val="pt-PT"/>
        </w:rPr>
        <w:t xml:space="preserve"> d</w:t>
      </w:r>
      <w:r w:rsidR="00CA39B2" w:rsidRPr="003A1174">
        <w:rPr>
          <w:rFonts w:ascii="Garamond" w:hAnsi="Garamond" w:cs="Arial"/>
          <w:color w:val="auto"/>
          <w:sz w:val="24"/>
          <w:szCs w:val="24"/>
          <w:lang w:val="pt-PT"/>
        </w:rPr>
        <w:t xml:space="preserve">a </w:t>
      </w:r>
      <w:r w:rsidR="006F7276" w:rsidRPr="003A1174">
        <w:rPr>
          <w:rFonts w:ascii="Garamond" w:hAnsi="Garamond" w:cs="Arial"/>
          <w:color w:val="auto"/>
          <w:sz w:val="24"/>
          <w:szCs w:val="24"/>
          <w:lang w:val="pt-PT"/>
        </w:rPr>
        <w:t>infraestrutura</w:t>
      </w:r>
      <w:r w:rsidR="00CA39B2" w:rsidRPr="003A1174">
        <w:rPr>
          <w:rFonts w:ascii="Garamond" w:hAnsi="Garamond" w:cs="Arial"/>
          <w:color w:val="auto"/>
          <w:sz w:val="24"/>
          <w:szCs w:val="24"/>
          <w:lang w:val="pt-PT"/>
        </w:rPr>
        <w:t xml:space="preserve"> para </w:t>
      </w:r>
      <w:r w:rsidR="002D1021" w:rsidRPr="003A1174">
        <w:rPr>
          <w:rFonts w:ascii="Garamond" w:hAnsi="Garamond" w:cs="Arial"/>
          <w:color w:val="auto"/>
          <w:sz w:val="24"/>
          <w:szCs w:val="24"/>
          <w:lang w:val="pt-PT"/>
        </w:rPr>
        <w:t>agressor</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CA39B2"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CA39B2"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 (</w:t>
      </w:r>
      <w:r w:rsidR="00CA39B2" w:rsidRPr="003A1174">
        <w:rPr>
          <w:rFonts w:ascii="Garamond" w:hAnsi="Garamond" w:cs="Arial"/>
          <w:i/>
          <w:color w:val="auto"/>
          <w:sz w:val="24"/>
          <w:szCs w:val="24"/>
          <w:lang w:val="pt-PT"/>
        </w:rPr>
        <w:t>tobilleras</w:t>
      </w:r>
      <w:r w:rsidR="00CA39B2" w:rsidRPr="003A1174">
        <w:rPr>
          <w:rFonts w:ascii="Garamond" w:hAnsi="Garamond" w:cs="Arial"/>
          <w:color w:val="auto"/>
          <w:sz w:val="24"/>
          <w:szCs w:val="24"/>
          <w:lang w:val="pt-PT"/>
        </w:rPr>
        <w:t xml:space="preserve"> </w:t>
      </w:r>
      <w:r w:rsidR="00D37CF3" w:rsidRPr="003A1174">
        <w:rPr>
          <w:rFonts w:ascii="Garamond" w:hAnsi="Garamond" w:cs="Arial"/>
          <w:color w:val="auto"/>
          <w:sz w:val="24"/>
          <w:szCs w:val="24"/>
          <w:lang w:val="pt-PT"/>
        </w:rPr>
        <w:t>eletrónicas</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atribuiu-se </w:t>
      </w:r>
      <w:r w:rsidR="00CA39B2" w:rsidRPr="003A1174">
        <w:rPr>
          <w:rFonts w:ascii="Garamond" w:hAnsi="Garamond" w:cs="Arial"/>
          <w:color w:val="auto"/>
          <w:sz w:val="24"/>
          <w:szCs w:val="24"/>
          <w:lang w:val="pt-PT"/>
        </w:rPr>
        <w:t>$6</w:t>
      </w:r>
      <w:r w:rsidR="00247D67">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897</w:t>
      </w:r>
      <w:r w:rsidR="00247D67">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876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os</w:t>
      </w:r>
    </w:p>
    <w:p w:rsidR="00CA39B2" w:rsidRPr="003A1174" w:rsidRDefault="008278C4" w:rsidP="008719D4">
      <w:pPr>
        <w:pStyle w:val="Prrafodelista"/>
        <w:numPr>
          <w:ilvl w:val="0"/>
          <w:numId w:val="43"/>
        </w:numPr>
        <w:autoSpaceDE w:val="0"/>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Pessoal</w:t>
      </w:r>
      <w:r w:rsidR="00CA39B2" w:rsidRPr="003A1174">
        <w:rPr>
          <w:rFonts w:ascii="Garamond" w:hAnsi="Garamond" w:cs="Arial"/>
          <w:color w:val="auto"/>
          <w:sz w:val="24"/>
          <w:szCs w:val="24"/>
          <w:lang w:val="pt-PT"/>
        </w:rPr>
        <w:t xml:space="preserve"> d</w:t>
      </w:r>
      <w:r w:rsidR="00BE29F7" w:rsidRPr="003A1174">
        <w:rPr>
          <w:rFonts w:ascii="Garamond" w:hAnsi="Garamond" w:cs="Arial"/>
          <w:color w:val="auto"/>
          <w:sz w:val="24"/>
          <w:szCs w:val="24"/>
          <w:lang w:val="pt-PT"/>
        </w:rPr>
        <w:t xml:space="preserve">a </w:t>
      </w:r>
      <w:r w:rsidR="00CA39B2" w:rsidRPr="003A1174">
        <w:rPr>
          <w:rFonts w:ascii="Garamond" w:hAnsi="Garamond" w:cs="Arial"/>
          <w:color w:val="auto"/>
          <w:sz w:val="24"/>
          <w:szCs w:val="24"/>
          <w:lang w:val="pt-PT"/>
        </w:rPr>
        <w:t xml:space="preserve">Área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de Género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Centro de Comando Unificado; </w:t>
      </w:r>
      <w:r w:rsidR="00BE29F7" w:rsidRPr="003A1174">
        <w:rPr>
          <w:rFonts w:ascii="Garamond" w:hAnsi="Garamond" w:cs="Arial"/>
          <w:color w:val="auto"/>
          <w:sz w:val="24"/>
          <w:szCs w:val="24"/>
          <w:lang w:val="pt-PT"/>
        </w:rPr>
        <w:t xml:space="preserve">atribuiu-se </w:t>
      </w:r>
      <w:r w:rsidR="00AA75B0"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672</w:t>
      </w:r>
      <w:r w:rsidR="00247D67">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444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 xml:space="preserve">os. </w:t>
      </w:r>
    </w:p>
    <w:p w:rsidR="00CA39B2" w:rsidRPr="003A1174" w:rsidRDefault="00374785" w:rsidP="008719D4">
      <w:pPr>
        <w:pStyle w:val="Prrafodelista"/>
        <w:numPr>
          <w:ilvl w:val="0"/>
          <w:numId w:val="43"/>
        </w:numPr>
        <w:autoSpaceDE w:val="0"/>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Atividade</w:t>
      </w:r>
      <w:r w:rsidR="00CA39B2" w:rsidRPr="003A1174">
        <w:rPr>
          <w:rFonts w:ascii="Garamond" w:hAnsi="Garamond" w:cs="Arial"/>
          <w:color w:val="auto"/>
          <w:sz w:val="24"/>
          <w:szCs w:val="24"/>
          <w:lang w:val="pt-PT"/>
        </w:rPr>
        <w:t xml:space="preserve"> </w:t>
      </w:r>
      <w:r w:rsidR="00247D67">
        <w:rPr>
          <w:rFonts w:ascii="Garamond" w:hAnsi="Garamond" w:cs="Arial"/>
          <w:color w:val="auto"/>
          <w:sz w:val="24"/>
          <w:szCs w:val="24"/>
          <w:lang w:val="pt-PT"/>
        </w:rPr>
        <w:t xml:space="preserve">dirigida a facultar </w:t>
      </w:r>
      <w:r w:rsidR="0017447A" w:rsidRPr="003A1174">
        <w:rPr>
          <w:rFonts w:ascii="Garamond" w:hAnsi="Garamond" w:cs="Arial"/>
          <w:color w:val="auto"/>
          <w:sz w:val="24"/>
          <w:szCs w:val="24"/>
          <w:lang w:val="pt-PT"/>
        </w:rPr>
        <w:t>informação</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037805">
        <w:rPr>
          <w:rFonts w:ascii="Garamond" w:hAnsi="Garamond" w:cs="Arial"/>
          <w:color w:val="auto"/>
          <w:sz w:val="24"/>
          <w:szCs w:val="24"/>
          <w:lang w:val="pt-PT"/>
        </w:rPr>
        <w:t xml:space="preserve">a </w:t>
      </w:r>
      <w:r w:rsidR="002F5CD1" w:rsidRPr="003A1174">
        <w:rPr>
          <w:rFonts w:ascii="Garamond" w:hAnsi="Garamond" w:cs="Arial"/>
          <w:color w:val="auto"/>
          <w:sz w:val="24"/>
          <w:szCs w:val="24"/>
          <w:lang w:val="pt-PT"/>
        </w:rPr>
        <w:t>estabelecer</w:t>
      </w:r>
      <w:r w:rsidR="00BE29F7"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os </w:t>
      </w:r>
      <w:r w:rsidR="003F012B" w:rsidRPr="003A1174">
        <w:rPr>
          <w:rFonts w:ascii="Garamond" w:hAnsi="Garamond" w:cs="Arial"/>
          <w:color w:val="auto"/>
          <w:sz w:val="24"/>
          <w:szCs w:val="24"/>
          <w:lang w:val="pt-PT"/>
        </w:rPr>
        <w:t>acordo</w:t>
      </w:r>
      <w:r w:rsidR="00CA39B2" w:rsidRPr="003A1174">
        <w:rPr>
          <w:rFonts w:ascii="Garamond" w:hAnsi="Garamond" w:cs="Arial"/>
          <w:color w:val="auto"/>
          <w:sz w:val="24"/>
          <w:szCs w:val="24"/>
          <w:lang w:val="pt-PT"/>
        </w:rPr>
        <w:t xml:space="preserv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CB5DB2" w:rsidRPr="003A1174">
        <w:rPr>
          <w:rFonts w:ascii="Garamond" w:hAnsi="Garamond" w:cs="Arial"/>
          <w:color w:val="auto"/>
          <w:sz w:val="24"/>
          <w:szCs w:val="24"/>
          <w:lang w:val="pt-PT"/>
        </w:rPr>
        <w:t>critério</w:t>
      </w:r>
      <w:r w:rsidR="00CA39B2" w:rsidRPr="003A1174">
        <w:rPr>
          <w:rFonts w:ascii="Garamond" w:hAnsi="Garamond" w:cs="Arial"/>
          <w:color w:val="auto"/>
          <w:sz w:val="24"/>
          <w:szCs w:val="24"/>
          <w:lang w:val="pt-PT"/>
        </w:rPr>
        <w:t>s co</w:t>
      </w:r>
      <w:r w:rsidR="00BE29F7" w:rsidRPr="003A1174">
        <w:rPr>
          <w:rFonts w:ascii="Garamond" w:hAnsi="Garamond" w:cs="Arial"/>
          <w:color w:val="auto"/>
          <w:sz w:val="24"/>
          <w:szCs w:val="24"/>
          <w:lang w:val="pt-PT"/>
        </w:rPr>
        <w:t xml:space="preserve">m o </w:t>
      </w:r>
      <w:r w:rsidR="00CA39B2" w:rsidRPr="003A1174">
        <w:rPr>
          <w:rFonts w:ascii="Garamond" w:hAnsi="Garamond" w:cs="Arial"/>
          <w:color w:val="auto"/>
          <w:sz w:val="24"/>
          <w:szCs w:val="24"/>
          <w:lang w:val="pt-PT"/>
        </w:rPr>
        <w:t>Poder Judicial (</w:t>
      </w:r>
      <w:r w:rsidR="002470B1" w:rsidRPr="003A1174">
        <w:rPr>
          <w:rFonts w:ascii="Garamond" w:hAnsi="Garamond" w:cs="Arial"/>
          <w:color w:val="auto"/>
          <w:sz w:val="24"/>
          <w:szCs w:val="24"/>
          <w:lang w:val="pt-PT"/>
        </w:rPr>
        <w:t>Tribunais</w:t>
      </w:r>
      <w:r w:rsidR="00CA39B2" w:rsidRPr="003A1174">
        <w:rPr>
          <w:rFonts w:ascii="Garamond" w:hAnsi="Garamond" w:cs="Arial"/>
          <w:color w:val="auto"/>
          <w:sz w:val="24"/>
          <w:szCs w:val="24"/>
          <w:lang w:val="pt-PT"/>
        </w:rPr>
        <w:t xml:space="preserve"> </w:t>
      </w:r>
      <w:r w:rsidR="009A0CC2" w:rsidRPr="003A1174">
        <w:rPr>
          <w:rFonts w:ascii="Garamond" w:hAnsi="Garamond" w:cs="Arial"/>
          <w:color w:val="auto"/>
          <w:sz w:val="24"/>
          <w:szCs w:val="24"/>
          <w:lang w:val="pt-PT"/>
        </w:rPr>
        <w:t>Penais</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de </w:t>
      </w:r>
      <w:r w:rsidR="006C7AF1" w:rsidRPr="003A1174">
        <w:rPr>
          <w:rFonts w:ascii="Garamond" w:hAnsi="Garamond" w:cs="Arial"/>
          <w:color w:val="auto"/>
          <w:sz w:val="24"/>
          <w:szCs w:val="24"/>
          <w:lang w:val="pt-PT"/>
        </w:rPr>
        <w:t>Família</w:t>
      </w:r>
      <w:r w:rsidR="00CA39B2" w:rsidRPr="003A1174">
        <w:rPr>
          <w:rFonts w:ascii="Garamond" w:hAnsi="Garamond" w:cs="Arial"/>
          <w:color w:val="auto"/>
          <w:sz w:val="24"/>
          <w:szCs w:val="24"/>
          <w:lang w:val="pt-PT"/>
        </w:rPr>
        <w:t xml:space="preserve">, </w:t>
      </w:r>
      <w:r w:rsidR="00DC5DA7" w:rsidRPr="003A1174">
        <w:rPr>
          <w:rFonts w:ascii="Garamond" w:hAnsi="Garamond" w:cs="Arial"/>
          <w:color w:val="auto"/>
          <w:sz w:val="24"/>
          <w:szCs w:val="24"/>
          <w:lang w:val="pt-PT"/>
        </w:rPr>
        <w:t>Provedorias</w:t>
      </w:r>
      <w:r w:rsidR="00CA39B2"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Equipa</w:t>
      </w:r>
      <w:r w:rsidR="00BE29F7" w:rsidRPr="003A1174">
        <w:rPr>
          <w:rFonts w:ascii="Garamond" w:hAnsi="Garamond" w:cs="Arial"/>
          <w:color w:val="auto"/>
          <w:sz w:val="24"/>
          <w:szCs w:val="24"/>
          <w:lang w:val="pt-PT"/>
        </w:rPr>
        <w:t>s Técnica</w:t>
      </w:r>
      <w:r w:rsidR="00CA39B2" w:rsidRPr="003A1174">
        <w:rPr>
          <w:rFonts w:ascii="Garamond" w:hAnsi="Garamond" w:cs="Arial"/>
          <w:color w:val="auto"/>
          <w:sz w:val="24"/>
          <w:szCs w:val="24"/>
          <w:lang w:val="pt-PT"/>
        </w:rPr>
        <w:t>s), autoridades d</w:t>
      </w:r>
      <w:r w:rsidR="00BE29F7" w:rsidRPr="003A1174">
        <w:rPr>
          <w:rFonts w:ascii="Garamond" w:hAnsi="Garamond" w:cs="Arial"/>
          <w:color w:val="auto"/>
          <w:sz w:val="24"/>
          <w:szCs w:val="24"/>
          <w:lang w:val="pt-PT"/>
        </w:rPr>
        <w:t xml:space="preserve">a </w:t>
      </w:r>
      <w:r w:rsidR="00CF42A3" w:rsidRPr="003A1174">
        <w:rPr>
          <w:rFonts w:ascii="Garamond" w:hAnsi="Garamond" w:cs="Arial"/>
          <w:color w:val="auto"/>
          <w:sz w:val="24"/>
          <w:szCs w:val="24"/>
          <w:lang w:val="pt-PT"/>
        </w:rPr>
        <w:t>Polícia</w:t>
      </w:r>
      <w:r w:rsidR="00CA39B2" w:rsidRPr="003A1174">
        <w:rPr>
          <w:rFonts w:ascii="Garamond" w:hAnsi="Garamond" w:cs="Arial"/>
          <w:color w:val="auto"/>
          <w:sz w:val="24"/>
          <w:szCs w:val="24"/>
          <w:lang w:val="pt-PT"/>
        </w:rPr>
        <w:t xml:space="preserve"> de Montevideo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Centro de Comando Unificado, </w:t>
      </w:r>
      <w:r w:rsidR="00BE29F7" w:rsidRPr="003A1174">
        <w:rPr>
          <w:rFonts w:ascii="Garamond" w:hAnsi="Garamond" w:cs="Arial"/>
          <w:color w:val="auto"/>
          <w:sz w:val="24"/>
          <w:szCs w:val="24"/>
          <w:lang w:val="pt-PT"/>
        </w:rPr>
        <w:t xml:space="preserve">chefes e </w:t>
      </w:r>
      <w:r w:rsidR="00976FB8" w:rsidRPr="003A1174">
        <w:rPr>
          <w:rFonts w:ascii="Garamond" w:hAnsi="Garamond" w:cs="Arial"/>
          <w:color w:val="auto"/>
          <w:sz w:val="24"/>
          <w:szCs w:val="24"/>
          <w:lang w:val="pt-PT"/>
        </w:rPr>
        <w:t>encarregado</w:t>
      </w:r>
      <w:r w:rsidR="00CA39B2"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das</w:t>
      </w:r>
      <w:r w:rsidR="00CA39B2" w:rsidRPr="003A1174">
        <w:rPr>
          <w:rFonts w:ascii="Garamond" w:hAnsi="Garamond" w:cs="Arial"/>
          <w:color w:val="auto"/>
          <w:sz w:val="24"/>
          <w:szCs w:val="24"/>
          <w:lang w:val="pt-PT"/>
        </w:rPr>
        <w:t xml:space="preserve"> Sec</w:t>
      </w:r>
      <w:r w:rsidR="00BE29F7" w:rsidRPr="003A1174">
        <w:rPr>
          <w:rFonts w:ascii="Garamond" w:hAnsi="Garamond" w:cs="Arial"/>
          <w:color w:val="auto"/>
          <w:sz w:val="24"/>
          <w:szCs w:val="24"/>
          <w:lang w:val="pt-PT"/>
        </w:rPr>
        <w:t xml:space="preserve">ções </w:t>
      </w:r>
      <w:r w:rsidR="00CA39B2" w:rsidRPr="003A1174">
        <w:rPr>
          <w:rFonts w:ascii="Garamond" w:hAnsi="Garamond" w:cs="Arial"/>
          <w:color w:val="auto"/>
          <w:sz w:val="24"/>
          <w:szCs w:val="24"/>
          <w:lang w:val="pt-PT"/>
        </w:rPr>
        <w:t xml:space="preserve">de Montevideo; </w:t>
      </w:r>
      <w:r w:rsidR="00BE29F7" w:rsidRPr="003A1174">
        <w:rPr>
          <w:rFonts w:ascii="Garamond" w:hAnsi="Garamond" w:cs="Arial"/>
          <w:color w:val="auto"/>
          <w:sz w:val="24"/>
          <w:szCs w:val="24"/>
          <w:lang w:val="pt-PT"/>
        </w:rPr>
        <w:t>atribuiu-</w:t>
      </w:r>
      <w:r w:rsidR="00CA39B2" w:rsidRPr="003A1174">
        <w:rPr>
          <w:rFonts w:ascii="Garamond" w:hAnsi="Garamond" w:cs="Arial"/>
          <w:color w:val="auto"/>
          <w:sz w:val="24"/>
          <w:szCs w:val="24"/>
          <w:lang w:val="pt-PT"/>
        </w:rPr>
        <w:t>se $ 66</w:t>
      </w:r>
      <w:r w:rsidR="00247D67">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840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os.</w:t>
      </w:r>
    </w:p>
    <w:p w:rsidR="00CA39B2" w:rsidRPr="003A1174" w:rsidRDefault="00BE29F7" w:rsidP="008719D4">
      <w:pPr>
        <w:pStyle w:val="Prrafodelista"/>
        <w:numPr>
          <w:ilvl w:val="0"/>
          <w:numId w:val="43"/>
        </w:numPr>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No </w:t>
      </w:r>
      <w:r w:rsidR="00253B1D" w:rsidRPr="003A1174">
        <w:rPr>
          <w:rFonts w:ascii="Garamond" w:hAnsi="Garamond" w:cs="Arial"/>
          <w:color w:val="auto"/>
          <w:sz w:val="24"/>
          <w:szCs w:val="24"/>
          <w:lang w:val="pt-PT"/>
        </w:rPr>
        <w:t>quadro</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Programa Integral de </w:t>
      </w:r>
      <w:r w:rsidR="001C2738" w:rsidRPr="003A1174">
        <w:rPr>
          <w:rFonts w:ascii="Garamond" w:hAnsi="Garamond" w:cs="Arial"/>
          <w:color w:val="auto"/>
          <w:sz w:val="24"/>
          <w:szCs w:val="24"/>
          <w:lang w:val="pt-PT"/>
        </w:rPr>
        <w:t>Luta</w:t>
      </w:r>
      <w:r w:rsidR="00CA39B2"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contra a</w:t>
      </w:r>
      <w:r w:rsidR="00CA39B2"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de Género</w:t>
      </w:r>
      <w:r w:rsidR="00AA75B0"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o</w:t>
      </w:r>
      <w:r w:rsidR="00CA39B2" w:rsidRPr="003A1174">
        <w:rPr>
          <w:rFonts w:ascii="Garamond" w:hAnsi="Garamond" w:cs="Arial"/>
          <w:color w:val="auto"/>
          <w:sz w:val="24"/>
          <w:szCs w:val="24"/>
          <w:lang w:val="pt-PT"/>
        </w:rPr>
        <w:t xml:space="preserve"> Poder Judicial </w:t>
      </w:r>
      <w:r w:rsidRPr="003A1174">
        <w:rPr>
          <w:rFonts w:ascii="Garamond" w:hAnsi="Garamond" w:cs="Arial"/>
          <w:color w:val="auto"/>
          <w:sz w:val="24"/>
          <w:szCs w:val="24"/>
          <w:lang w:val="pt-PT"/>
        </w:rPr>
        <w:t>despendeu</w:t>
      </w:r>
      <w:r w:rsidR="00CA39B2" w:rsidRPr="003A1174">
        <w:rPr>
          <w:rFonts w:ascii="Garamond" w:hAnsi="Garamond" w:cs="Arial"/>
          <w:color w:val="auto"/>
          <w:sz w:val="24"/>
          <w:szCs w:val="24"/>
          <w:lang w:val="pt-PT"/>
        </w:rPr>
        <w:t xml:space="preserve"> $ 1500.000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 xml:space="preserve">os de </w:t>
      </w:r>
      <w:r w:rsidR="00E560D8" w:rsidRPr="003A1174">
        <w:rPr>
          <w:rFonts w:ascii="Garamond" w:hAnsi="Garamond" w:cs="Arial"/>
          <w:color w:val="auto"/>
          <w:sz w:val="24"/>
          <w:szCs w:val="24"/>
          <w:lang w:val="pt-PT"/>
        </w:rPr>
        <w:t>fundo</w:t>
      </w:r>
      <w:r w:rsidR="00CA39B2" w:rsidRPr="003A1174">
        <w:rPr>
          <w:rFonts w:ascii="Garamond" w:hAnsi="Garamond" w:cs="Arial"/>
          <w:color w:val="auto"/>
          <w:sz w:val="24"/>
          <w:szCs w:val="24"/>
          <w:lang w:val="pt-PT"/>
        </w:rPr>
        <w:t xml:space="preserve">s da AECID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$ 700</w:t>
      </w:r>
      <w:r w:rsidR="00903FAD">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000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 xml:space="preserve">os de </w:t>
      </w:r>
      <w:r w:rsidR="00E560D8" w:rsidRPr="003A1174">
        <w:rPr>
          <w:rFonts w:ascii="Garamond" w:hAnsi="Garamond" w:cs="Arial"/>
          <w:color w:val="auto"/>
          <w:sz w:val="24"/>
          <w:szCs w:val="24"/>
          <w:lang w:val="pt-PT"/>
        </w:rPr>
        <w:t>fundo</w:t>
      </w:r>
      <w:r w:rsidR="00CA39B2" w:rsidRPr="003A1174">
        <w:rPr>
          <w:rFonts w:ascii="Garamond" w:hAnsi="Garamond" w:cs="Arial"/>
          <w:color w:val="auto"/>
          <w:sz w:val="24"/>
          <w:szCs w:val="24"/>
          <w:lang w:val="pt-PT"/>
        </w:rPr>
        <w:t xml:space="preserve">s </w:t>
      </w:r>
      <w:r w:rsidRPr="003A1174">
        <w:rPr>
          <w:rFonts w:ascii="Garamond" w:hAnsi="Garamond" w:cs="Arial"/>
          <w:color w:val="auto"/>
          <w:sz w:val="24"/>
          <w:szCs w:val="24"/>
          <w:lang w:val="pt-PT"/>
        </w:rPr>
        <w:t xml:space="preserve">orçamentais </w:t>
      </w:r>
      <w:r w:rsidR="00C30647" w:rsidRPr="003A1174">
        <w:rPr>
          <w:rFonts w:ascii="Garamond" w:hAnsi="Garamond" w:cs="Arial"/>
          <w:color w:val="auto"/>
          <w:sz w:val="24"/>
          <w:szCs w:val="24"/>
          <w:lang w:val="pt-PT"/>
        </w:rPr>
        <w:t>próprio</w:t>
      </w:r>
      <w:r w:rsidRPr="003A1174">
        <w:rPr>
          <w:rFonts w:ascii="Garamond" w:hAnsi="Garamond" w:cs="Arial"/>
          <w:color w:val="auto"/>
          <w:sz w:val="24"/>
          <w:szCs w:val="24"/>
          <w:lang w:val="pt-PT"/>
        </w:rPr>
        <w:t xml:space="preserve">s, para </w:t>
      </w:r>
      <w:r w:rsidR="00CA39B2" w:rsidRPr="003A1174">
        <w:rPr>
          <w:rFonts w:ascii="Garamond" w:hAnsi="Garamond" w:cs="Arial"/>
          <w:color w:val="auto"/>
          <w:sz w:val="24"/>
          <w:szCs w:val="24"/>
          <w:lang w:val="pt-PT"/>
        </w:rPr>
        <w:t xml:space="preserve">a </w:t>
      </w:r>
      <w:r w:rsidR="00454353" w:rsidRPr="003A1174">
        <w:rPr>
          <w:rFonts w:ascii="Garamond" w:hAnsi="Garamond" w:cs="Arial"/>
          <w:color w:val="auto"/>
          <w:sz w:val="24"/>
          <w:szCs w:val="24"/>
          <w:lang w:val="pt-PT"/>
        </w:rPr>
        <w:t>formação</w:t>
      </w:r>
      <w:r w:rsidR="00CA39B2" w:rsidRPr="003A1174">
        <w:rPr>
          <w:rFonts w:ascii="Garamond" w:hAnsi="Garamond" w:cs="Arial"/>
          <w:color w:val="auto"/>
          <w:sz w:val="24"/>
          <w:szCs w:val="24"/>
          <w:lang w:val="pt-PT"/>
        </w:rPr>
        <w:t xml:space="preserve"> de operadores </w:t>
      </w:r>
      <w:r w:rsidR="00903FAD">
        <w:rPr>
          <w:rFonts w:ascii="Garamond" w:hAnsi="Garamond" w:cs="Arial"/>
          <w:color w:val="auto"/>
          <w:sz w:val="24"/>
          <w:szCs w:val="24"/>
          <w:lang w:val="pt-PT"/>
        </w:rPr>
        <w:t xml:space="preserve">nas áreas </w:t>
      </w:r>
      <w:r w:rsidR="001F2F8B" w:rsidRPr="003A1174">
        <w:rPr>
          <w:rFonts w:ascii="Garamond" w:hAnsi="Garamond" w:cs="Arial"/>
          <w:color w:val="auto"/>
          <w:sz w:val="24"/>
          <w:szCs w:val="24"/>
          <w:lang w:val="pt-PT"/>
        </w:rPr>
        <w:t>jurisdicional</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administrativ</w:t>
      </w:r>
      <w:r w:rsidR="00903FAD">
        <w:rPr>
          <w:rFonts w:ascii="Garamond" w:hAnsi="Garamond" w:cs="Arial"/>
          <w:color w:val="auto"/>
          <w:sz w:val="24"/>
          <w:szCs w:val="24"/>
          <w:lang w:val="pt-PT"/>
        </w:rPr>
        <w:t>a</w:t>
      </w:r>
      <w:r w:rsidR="00CA39B2" w:rsidRPr="003A1174">
        <w:rPr>
          <w:rFonts w:ascii="Garamond" w:hAnsi="Garamond" w:cs="Arial"/>
          <w:color w:val="auto"/>
          <w:sz w:val="24"/>
          <w:szCs w:val="24"/>
          <w:lang w:val="pt-PT"/>
        </w:rPr>
        <w:t xml:space="preserve">. </w:t>
      </w:r>
    </w:p>
    <w:p w:rsidR="00CA39B2" w:rsidRPr="003A1174" w:rsidRDefault="00BE29F7" w:rsidP="008719D4">
      <w:pPr>
        <w:pStyle w:val="Prrafodelista"/>
        <w:numPr>
          <w:ilvl w:val="0"/>
          <w:numId w:val="43"/>
        </w:numPr>
        <w:spacing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Na </w:t>
      </w:r>
      <w:r w:rsidR="00CA39B2" w:rsidRPr="003A1174">
        <w:rPr>
          <w:rFonts w:ascii="Garamond" w:hAnsi="Garamond" w:cs="Arial"/>
          <w:color w:val="auto"/>
          <w:sz w:val="24"/>
          <w:szCs w:val="24"/>
          <w:lang w:val="pt-PT"/>
        </w:rPr>
        <w:t xml:space="preserve">área da </w:t>
      </w:r>
      <w:r w:rsidR="007C63D0" w:rsidRPr="003A1174">
        <w:rPr>
          <w:rFonts w:ascii="Garamond" w:hAnsi="Garamond" w:cs="Arial"/>
          <w:color w:val="auto"/>
          <w:sz w:val="24"/>
          <w:szCs w:val="24"/>
          <w:lang w:val="pt-PT"/>
        </w:rPr>
        <w:t>Saúde</w:t>
      </w:r>
      <w:r w:rsidR="00CA39B2" w:rsidRPr="003A1174">
        <w:rPr>
          <w:rFonts w:ascii="Garamond" w:hAnsi="Garamond" w:cs="Arial"/>
          <w:color w:val="auto"/>
          <w:sz w:val="24"/>
          <w:szCs w:val="24"/>
          <w:lang w:val="pt-PT"/>
        </w:rPr>
        <w:t>, co</w:t>
      </w:r>
      <w:r w:rsidRPr="003A1174">
        <w:rPr>
          <w:rFonts w:ascii="Garamond" w:hAnsi="Garamond" w:cs="Arial"/>
          <w:color w:val="auto"/>
          <w:sz w:val="24"/>
          <w:szCs w:val="24"/>
          <w:lang w:val="pt-PT"/>
        </w:rPr>
        <w:t xml:space="preserve">m </w:t>
      </w:r>
      <w:r w:rsidR="00CA39B2" w:rsidRPr="003A1174">
        <w:rPr>
          <w:rFonts w:ascii="Garamond" w:hAnsi="Garamond" w:cs="Arial"/>
          <w:color w:val="auto"/>
          <w:sz w:val="24"/>
          <w:szCs w:val="24"/>
          <w:lang w:val="pt-PT"/>
        </w:rPr>
        <w:t xml:space="preserve">a </w:t>
      </w:r>
      <w:r w:rsidR="005C051C" w:rsidRPr="003A1174">
        <w:rPr>
          <w:rFonts w:ascii="Garamond" w:hAnsi="Garamond" w:cs="Arial"/>
          <w:color w:val="auto"/>
          <w:sz w:val="24"/>
          <w:szCs w:val="24"/>
          <w:lang w:val="pt-PT"/>
        </w:rPr>
        <w:t>incorporação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da Meta</w:t>
      </w:r>
      <w:r w:rsidR="00CA39B2" w:rsidRPr="003A1174">
        <w:rPr>
          <w:rFonts w:ascii="Garamond" w:hAnsi="Garamond" w:cs="Arial"/>
          <w:color w:val="auto"/>
          <w:sz w:val="24"/>
          <w:szCs w:val="24"/>
          <w:lang w:val="pt-PT"/>
        </w:rPr>
        <w:t xml:space="preserve"> </w:t>
      </w:r>
      <w:r w:rsidR="00D37CF3" w:rsidRPr="003A1174">
        <w:rPr>
          <w:rFonts w:ascii="Garamond" w:hAnsi="Garamond" w:cs="Arial"/>
          <w:color w:val="auto"/>
          <w:sz w:val="24"/>
          <w:szCs w:val="24"/>
          <w:lang w:val="pt-PT"/>
        </w:rPr>
        <w:t>Assistencial</w:t>
      </w:r>
      <w:r w:rsidR="00CA39B2"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CA39B2" w:rsidRPr="003A1174">
        <w:rPr>
          <w:rFonts w:ascii="Garamond" w:hAnsi="Garamond" w:cs="Arial"/>
          <w:color w:val="auto"/>
          <w:sz w:val="24"/>
          <w:szCs w:val="24"/>
          <w:lang w:val="pt-PT"/>
        </w:rPr>
        <w:t xml:space="preserve"> Sistema Nacional Integrado de </w:t>
      </w:r>
      <w:r w:rsidR="007C63D0" w:rsidRPr="003A1174">
        <w:rPr>
          <w:rFonts w:ascii="Garamond" w:hAnsi="Garamond" w:cs="Arial"/>
          <w:color w:val="auto"/>
          <w:sz w:val="24"/>
          <w:szCs w:val="24"/>
          <w:lang w:val="pt-PT"/>
        </w:rPr>
        <w:t>Saúde</w:t>
      </w:r>
      <w:r w:rsidR="00CA39B2" w:rsidRPr="003A1174">
        <w:rPr>
          <w:rFonts w:ascii="Garamond" w:hAnsi="Garamond" w:cs="Arial"/>
          <w:color w:val="auto"/>
          <w:sz w:val="24"/>
          <w:szCs w:val="24"/>
          <w:lang w:val="pt-PT"/>
        </w:rPr>
        <w:t xml:space="preserve"> que </w:t>
      </w:r>
      <w:r w:rsidRPr="003A1174">
        <w:rPr>
          <w:rFonts w:ascii="Garamond" w:hAnsi="Garamond" w:cs="Arial"/>
          <w:color w:val="auto"/>
          <w:sz w:val="24"/>
          <w:szCs w:val="24"/>
          <w:lang w:val="pt-PT"/>
        </w:rPr>
        <w:t>protege crianças</w:t>
      </w:r>
      <w:r w:rsidR="00CA39B2" w:rsidRPr="003A1174">
        <w:rPr>
          <w:rFonts w:ascii="Garamond" w:hAnsi="Garamond" w:cs="Arial"/>
          <w:color w:val="auto"/>
          <w:sz w:val="24"/>
          <w:szCs w:val="24"/>
          <w:lang w:val="pt-PT"/>
        </w:rPr>
        <w:t xml:space="preserve">, adolescentes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054EE0" w:rsidRPr="003A1174">
        <w:rPr>
          <w:rFonts w:ascii="Garamond" w:hAnsi="Garamond" w:cs="Arial"/>
          <w:color w:val="auto"/>
          <w:sz w:val="24"/>
          <w:szCs w:val="24"/>
          <w:lang w:val="pt-PT"/>
        </w:rPr>
        <w:t>mulheres</w:t>
      </w:r>
      <w:r w:rsidR="00CA39B2" w:rsidRPr="003A1174">
        <w:rPr>
          <w:rFonts w:ascii="Garamond" w:hAnsi="Garamond" w:cs="Arial"/>
          <w:color w:val="auto"/>
          <w:sz w:val="24"/>
          <w:szCs w:val="24"/>
          <w:lang w:val="pt-PT"/>
        </w:rPr>
        <w:t>, existe u</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item</w:t>
      </w:r>
      <w:r w:rsidR="00CA39B2" w:rsidRPr="003A1174">
        <w:rPr>
          <w:rFonts w:ascii="Garamond" w:hAnsi="Garamond" w:cs="Arial"/>
          <w:color w:val="auto"/>
          <w:sz w:val="24"/>
          <w:szCs w:val="24"/>
          <w:lang w:val="pt-PT"/>
        </w:rPr>
        <w:t xml:space="preserve"> vinculado </w:t>
      </w:r>
      <w:r w:rsidR="00BB2B00" w:rsidRPr="003A1174">
        <w:rPr>
          <w:rFonts w:ascii="Garamond" w:hAnsi="Garamond" w:cs="Arial"/>
          <w:color w:val="auto"/>
          <w:sz w:val="24"/>
          <w:szCs w:val="24"/>
          <w:lang w:val="pt-PT"/>
        </w:rPr>
        <w:t>à</w:t>
      </w:r>
      <w:r w:rsidR="00CA39B2" w:rsidRPr="003A1174">
        <w:rPr>
          <w:rFonts w:ascii="Garamond" w:hAnsi="Garamond" w:cs="Arial"/>
          <w:color w:val="auto"/>
          <w:sz w:val="24"/>
          <w:szCs w:val="24"/>
          <w:lang w:val="pt-PT"/>
        </w:rPr>
        <w:t xml:space="preserve"> pesquisa e</w:t>
      </w:r>
      <w:r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 para </w:t>
      </w:r>
      <w:r w:rsidRPr="003A1174">
        <w:rPr>
          <w:rFonts w:ascii="Garamond" w:hAnsi="Garamond" w:cs="Arial"/>
          <w:color w:val="auto"/>
          <w:sz w:val="24"/>
          <w:szCs w:val="24"/>
          <w:lang w:val="pt-PT"/>
        </w:rPr>
        <w:t xml:space="preserve">o qual no </w:t>
      </w:r>
      <w:r w:rsidR="002C7510" w:rsidRPr="003A1174">
        <w:rPr>
          <w:rFonts w:ascii="Garamond" w:hAnsi="Garamond" w:cs="Arial"/>
          <w:color w:val="auto"/>
          <w:sz w:val="24"/>
          <w:szCs w:val="24"/>
          <w:lang w:val="pt-PT"/>
        </w:rPr>
        <w:t>ano</w:t>
      </w:r>
      <w:r w:rsidR="00CA39B2" w:rsidRPr="003A1174">
        <w:rPr>
          <w:rFonts w:ascii="Garamond" w:hAnsi="Garamond" w:cs="Arial"/>
          <w:color w:val="auto"/>
          <w:sz w:val="24"/>
          <w:szCs w:val="24"/>
          <w:lang w:val="pt-PT"/>
        </w:rPr>
        <w:t xml:space="preserve"> 2012</w:t>
      </w:r>
      <w:r w:rsidR="00903FAD">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se </w:t>
      </w:r>
      <w:r w:rsidRPr="003A1174">
        <w:rPr>
          <w:rFonts w:ascii="Garamond" w:hAnsi="Garamond" w:cs="Arial"/>
          <w:color w:val="auto"/>
          <w:sz w:val="24"/>
          <w:szCs w:val="24"/>
          <w:lang w:val="pt-PT"/>
        </w:rPr>
        <w:t>investiu um</w:t>
      </w:r>
      <w:r w:rsidR="00CA39B2" w:rsidRPr="003A1174">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lastRenderedPageBreak/>
        <w:t>total de $ 135</w:t>
      </w:r>
      <w:r w:rsidR="00903FAD">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795</w:t>
      </w:r>
      <w:r w:rsidR="00903FAD">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393 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 xml:space="preserve">os </w:t>
      </w:r>
      <w:r w:rsidR="000672E8" w:rsidRPr="003A1174">
        <w:rPr>
          <w:rFonts w:ascii="Garamond" w:hAnsi="Garamond" w:cs="Arial"/>
          <w:color w:val="auto"/>
          <w:sz w:val="24"/>
          <w:szCs w:val="24"/>
          <w:lang w:val="pt-PT"/>
        </w:rPr>
        <w:t>e</w:t>
      </w:r>
      <w:r w:rsidR="00903FAD">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e</w:t>
      </w:r>
      <w:r w:rsidRPr="003A1174">
        <w:rPr>
          <w:rFonts w:ascii="Garamond" w:hAnsi="Garamond" w:cs="Arial"/>
          <w:color w:val="auto"/>
          <w:sz w:val="24"/>
          <w:szCs w:val="24"/>
          <w:lang w:val="pt-PT"/>
        </w:rPr>
        <w:t xml:space="preserve">m </w:t>
      </w:r>
      <w:r w:rsidR="00CA39B2" w:rsidRPr="003A1174">
        <w:rPr>
          <w:rFonts w:ascii="Garamond" w:hAnsi="Garamond" w:cs="Arial"/>
          <w:color w:val="auto"/>
          <w:sz w:val="24"/>
          <w:szCs w:val="24"/>
          <w:lang w:val="pt-PT"/>
        </w:rPr>
        <w:t xml:space="preserve">2013, </w:t>
      </w:r>
      <w:r w:rsidR="005C2020" w:rsidRPr="003A1174">
        <w:rPr>
          <w:rFonts w:ascii="Garamond" w:hAnsi="Garamond" w:cs="Arial"/>
          <w:color w:val="auto"/>
          <w:sz w:val="24"/>
          <w:szCs w:val="24"/>
          <w:lang w:val="pt-PT"/>
        </w:rPr>
        <w:t>pelo</w:t>
      </w:r>
      <w:r w:rsidR="00CA39B2" w:rsidRPr="003A1174">
        <w:rPr>
          <w:rFonts w:ascii="Garamond" w:hAnsi="Garamond" w:cs="Arial"/>
          <w:color w:val="auto"/>
          <w:sz w:val="24"/>
          <w:szCs w:val="24"/>
          <w:lang w:val="pt-PT"/>
        </w:rPr>
        <w:t xml:space="preserve"> </w:t>
      </w:r>
      <w:r w:rsidR="00023AD6" w:rsidRPr="003A1174">
        <w:rPr>
          <w:rFonts w:ascii="Garamond" w:hAnsi="Garamond" w:cs="Arial"/>
          <w:color w:val="auto"/>
          <w:sz w:val="24"/>
          <w:szCs w:val="24"/>
          <w:lang w:val="pt-PT"/>
        </w:rPr>
        <w:t>mesmo</w:t>
      </w:r>
      <w:r w:rsidR="00CA39B2" w:rsidRPr="003A1174">
        <w:rPr>
          <w:rFonts w:ascii="Garamond" w:hAnsi="Garamond" w:cs="Arial"/>
          <w:color w:val="auto"/>
          <w:sz w:val="24"/>
          <w:szCs w:val="24"/>
          <w:lang w:val="pt-PT"/>
        </w:rPr>
        <w:t xml:space="preserve"> </w:t>
      </w:r>
      <w:r w:rsidR="00AF192F" w:rsidRPr="003A1174">
        <w:rPr>
          <w:rFonts w:ascii="Garamond" w:hAnsi="Garamond" w:cs="Arial"/>
          <w:color w:val="auto"/>
          <w:sz w:val="24"/>
          <w:szCs w:val="24"/>
          <w:lang w:val="pt-PT"/>
        </w:rPr>
        <w:t>conceito</w:t>
      </w:r>
      <w:r w:rsidR="00AA75B0" w:rsidRPr="003A1174">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$186</w:t>
      </w:r>
      <w:r w:rsidR="00903FAD">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907</w:t>
      </w:r>
      <w:r w:rsidR="00903FAD">
        <w:rPr>
          <w:rFonts w:ascii="Garamond" w:hAnsi="Garamond" w:cs="Arial"/>
          <w:color w:val="auto"/>
          <w:sz w:val="24"/>
          <w:szCs w:val="24"/>
          <w:lang w:val="pt-PT"/>
        </w:rPr>
        <w:t xml:space="preserve"> </w:t>
      </w:r>
      <w:r w:rsidR="00CA39B2" w:rsidRPr="003A1174">
        <w:rPr>
          <w:rFonts w:ascii="Garamond" w:hAnsi="Garamond" w:cs="Arial"/>
          <w:color w:val="auto"/>
          <w:sz w:val="24"/>
          <w:szCs w:val="24"/>
          <w:lang w:val="pt-PT"/>
        </w:rPr>
        <w:t xml:space="preserve">578 </w:t>
      </w:r>
      <w:r w:rsidR="00AA75B0" w:rsidRPr="003A1174">
        <w:rPr>
          <w:rFonts w:ascii="Garamond" w:hAnsi="Garamond" w:cs="Arial"/>
          <w:color w:val="auto"/>
          <w:sz w:val="24"/>
          <w:szCs w:val="24"/>
          <w:lang w:val="pt-PT"/>
        </w:rPr>
        <w:t xml:space="preserve">de </w:t>
      </w:r>
      <w:r w:rsidR="00CA39B2" w:rsidRPr="003A1174">
        <w:rPr>
          <w:rFonts w:ascii="Garamond" w:hAnsi="Garamond" w:cs="Arial"/>
          <w:color w:val="auto"/>
          <w:sz w:val="24"/>
          <w:szCs w:val="24"/>
          <w:lang w:val="pt-PT"/>
        </w:rPr>
        <w:t xml:space="preserve">pesos </w:t>
      </w:r>
      <w:r w:rsidR="00C30647" w:rsidRPr="003A1174">
        <w:rPr>
          <w:rFonts w:ascii="Garamond" w:hAnsi="Garamond" w:cs="Arial"/>
          <w:color w:val="auto"/>
          <w:sz w:val="24"/>
          <w:szCs w:val="24"/>
          <w:lang w:val="pt-PT"/>
        </w:rPr>
        <w:t>uruguai</w:t>
      </w:r>
      <w:r w:rsidR="00CA39B2" w:rsidRPr="003A1174">
        <w:rPr>
          <w:rFonts w:ascii="Garamond" w:hAnsi="Garamond" w:cs="Arial"/>
          <w:color w:val="auto"/>
          <w:sz w:val="24"/>
          <w:szCs w:val="24"/>
          <w:lang w:val="pt-PT"/>
        </w:rPr>
        <w:t>os.</w:t>
      </w:r>
    </w:p>
    <w:p w:rsidR="00CA39B2" w:rsidRPr="003A1174" w:rsidRDefault="00CE5FBE" w:rsidP="008719D4">
      <w:pPr>
        <w:spacing w:line="240" w:lineRule="auto"/>
        <w:jc w:val="both"/>
        <w:rPr>
          <w:rFonts w:ascii="Garamond" w:eastAsia="Arial" w:hAnsi="Garamond" w:cs="Arial"/>
          <w:sz w:val="24"/>
          <w:szCs w:val="24"/>
        </w:rPr>
      </w:pPr>
      <w:r>
        <w:rPr>
          <w:rFonts w:ascii="Garamond" w:hAnsi="Garamond" w:cs="Arial"/>
          <w:sz w:val="24"/>
          <w:szCs w:val="24"/>
        </w:rPr>
        <w:t>Cabe aqui esclarecer que</w:t>
      </w:r>
      <w:r w:rsidR="007B2A85">
        <w:rPr>
          <w:rFonts w:ascii="Garamond" w:hAnsi="Garamond" w:cs="Arial"/>
          <w:sz w:val="24"/>
          <w:szCs w:val="24"/>
        </w:rPr>
        <w:t>,</w:t>
      </w:r>
      <w:r>
        <w:rPr>
          <w:rFonts w:ascii="Garamond" w:hAnsi="Garamond" w:cs="Arial"/>
          <w:sz w:val="24"/>
          <w:szCs w:val="24"/>
        </w:rPr>
        <w:t xml:space="preserve"> estes montantes</w:t>
      </w:r>
      <w:r w:rsidR="007B2A85">
        <w:rPr>
          <w:rFonts w:ascii="Garamond" w:hAnsi="Garamond" w:cs="Arial"/>
          <w:sz w:val="24"/>
          <w:szCs w:val="24"/>
        </w:rPr>
        <w:t>,</w:t>
      </w:r>
      <w:r>
        <w:rPr>
          <w:rFonts w:ascii="Garamond" w:hAnsi="Garamond" w:cs="Arial"/>
          <w:sz w:val="24"/>
          <w:szCs w:val="24"/>
        </w:rPr>
        <w:t xml:space="preserve"> não devem ser considerados </w:t>
      </w:r>
      <w:r w:rsidR="000864ED" w:rsidRPr="003A1174">
        <w:rPr>
          <w:rFonts w:ascii="Garamond" w:hAnsi="Garamond" w:cs="Arial"/>
          <w:sz w:val="24"/>
          <w:szCs w:val="24"/>
        </w:rPr>
        <w:t xml:space="preserve">como o </w:t>
      </w:r>
      <w:r w:rsidR="00946348" w:rsidRPr="003A1174">
        <w:rPr>
          <w:rFonts w:ascii="Garamond" w:hAnsi="Garamond" w:cs="Arial"/>
          <w:sz w:val="24"/>
          <w:szCs w:val="24"/>
        </w:rPr>
        <w:t>orçamento</w:t>
      </w:r>
      <w:r w:rsidR="00CA39B2" w:rsidRPr="003A1174">
        <w:rPr>
          <w:rFonts w:ascii="Garamond" w:hAnsi="Garamond" w:cs="Arial"/>
          <w:sz w:val="24"/>
          <w:szCs w:val="24"/>
        </w:rPr>
        <w:t xml:space="preserve"> de u</w:t>
      </w:r>
      <w:r w:rsidR="000864ED" w:rsidRPr="003A1174">
        <w:rPr>
          <w:rFonts w:ascii="Garamond" w:hAnsi="Garamond" w:cs="Arial"/>
          <w:sz w:val="24"/>
          <w:szCs w:val="24"/>
        </w:rPr>
        <w:t>m</w:t>
      </w:r>
      <w:r w:rsidR="00CA39B2" w:rsidRPr="003A1174">
        <w:rPr>
          <w:rFonts w:ascii="Garamond" w:hAnsi="Garamond" w:cs="Arial"/>
          <w:sz w:val="24"/>
          <w:szCs w:val="24"/>
        </w:rPr>
        <w:t xml:space="preserve"> programa de </w:t>
      </w:r>
      <w:r w:rsidR="000864ED" w:rsidRPr="003A1174">
        <w:rPr>
          <w:rFonts w:ascii="Garamond" w:hAnsi="Garamond" w:cs="Arial"/>
          <w:sz w:val="24"/>
          <w:szCs w:val="24"/>
        </w:rPr>
        <w:t>prestações</w:t>
      </w:r>
      <w:r w:rsidR="00CA39B2" w:rsidRPr="003A1174">
        <w:rPr>
          <w:rFonts w:ascii="Garamond" w:hAnsi="Garamond" w:cs="Arial"/>
          <w:sz w:val="24"/>
          <w:szCs w:val="24"/>
        </w:rPr>
        <w:t xml:space="preserve"> </w:t>
      </w:r>
      <w:r w:rsidR="003F012B" w:rsidRPr="003A1174">
        <w:rPr>
          <w:rFonts w:ascii="Garamond" w:hAnsi="Garamond" w:cs="Arial"/>
          <w:sz w:val="24"/>
          <w:szCs w:val="24"/>
        </w:rPr>
        <w:t>sociais</w:t>
      </w:r>
      <w:r w:rsidR="00CA39B2" w:rsidRPr="003A1174">
        <w:rPr>
          <w:rFonts w:ascii="Garamond" w:hAnsi="Garamond" w:cs="Arial"/>
          <w:sz w:val="24"/>
          <w:szCs w:val="24"/>
        </w:rPr>
        <w:t xml:space="preserve">. </w:t>
      </w:r>
    </w:p>
    <w:p w:rsidR="00CA39B2" w:rsidRPr="003A1174" w:rsidRDefault="00CF5971" w:rsidP="008719D4">
      <w:pPr>
        <w:pStyle w:val="Ttulo3"/>
        <w:spacing w:line="240" w:lineRule="auto"/>
        <w:rPr>
          <w:rFonts w:ascii="Garamond" w:hAnsi="Garamond"/>
          <w:sz w:val="24"/>
          <w:szCs w:val="24"/>
        </w:rPr>
      </w:pPr>
      <w:bookmarkStart w:id="82" w:name="_Toc421529769"/>
      <w:r w:rsidRPr="003A1174">
        <w:rPr>
          <w:rFonts w:ascii="Garamond" w:hAnsi="Garamond"/>
          <w:sz w:val="24"/>
          <w:szCs w:val="24"/>
        </w:rPr>
        <w:t>Venezuela</w:t>
      </w:r>
      <w:bookmarkEnd w:id="82"/>
    </w:p>
    <w:p w:rsidR="00CA39B2" w:rsidRPr="003A1174" w:rsidRDefault="00C7697D" w:rsidP="008719D4">
      <w:pPr>
        <w:autoSpaceDE w:val="0"/>
        <w:autoSpaceDN w:val="0"/>
        <w:adjustRightInd w:val="0"/>
        <w:spacing w:before="240" w:after="0" w:line="240" w:lineRule="auto"/>
        <w:jc w:val="both"/>
        <w:rPr>
          <w:rFonts w:ascii="Garamond" w:hAnsi="Garamond" w:cs="Arial"/>
          <w:sz w:val="24"/>
          <w:szCs w:val="24"/>
        </w:rPr>
      </w:pPr>
      <w:r w:rsidRPr="003A1174">
        <w:rPr>
          <w:rFonts w:ascii="Garamond" w:hAnsi="Garamond" w:cs="Arial"/>
          <w:sz w:val="24"/>
          <w:szCs w:val="24"/>
        </w:rPr>
        <w:t xml:space="preserve">O </w:t>
      </w:r>
      <w:r w:rsidR="00CA39B2" w:rsidRPr="003A1174">
        <w:rPr>
          <w:rFonts w:ascii="Garamond" w:hAnsi="Garamond" w:cs="Arial"/>
          <w:sz w:val="24"/>
          <w:szCs w:val="24"/>
        </w:rPr>
        <w:t xml:space="preserve">Estado </w:t>
      </w:r>
      <w:r w:rsidR="005A5191" w:rsidRPr="003A1174">
        <w:rPr>
          <w:rFonts w:ascii="Garamond" w:hAnsi="Garamond" w:cs="Arial"/>
          <w:sz w:val="24"/>
          <w:szCs w:val="24"/>
        </w:rPr>
        <w:t>venezuelano</w:t>
      </w:r>
      <w:proofErr w:type="gramStart"/>
      <w:r w:rsidR="00CA39B2" w:rsidRPr="003A1174">
        <w:rPr>
          <w:rFonts w:ascii="Garamond" w:hAnsi="Garamond" w:cs="Arial"/>
          <w:sz w:val="24"/>
          <w:szCs w:val="24"/>
        </w:rPr>
        <w:t xml:space="preserve">, </w:t>
      </w:r>
      <w:r w:rsidR="00CF06D0">
        <w:rPr>
          <w:rFonts w:ascii="Garamond" w:hAnsi="Garamond" w:cs="Arial"/>
          <w:sz w:val="24"/>
          <w:szCs w:val="24"/>
        </w:rPr>
        <w:t>informa</w:t>
      </w:r>
      <w:proofErr w:type="gramEnd"/>
      <w:r w:rsidR="00CF06D0">
        <w:rPr>
          <w:rFonts w:ascii="Garamond" w:hAnsi="Garamond" w:cs="Arial"/>
          <w:sz w:val="24"/>
          <w:szCs w:val="24"/>
        </w:rPr>
        <w:t xml:space="preserve"> que</w:t>
      </w:r>
      <w:r w:rsidR="00CA39B2" w:rsidRPr="003A1174">
        <w:rPr>
          <w:rFonts w:ascii="Garamond" w:hAnsi="Garamond" w:cs="Arial"/>
          <w:sz w:val="24"/>
          <w:szCs w:val="24"/>
        </w:rPr>
        <w:t xml:space="preserve"> parte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946348" w:rsidRPr="003A1174">
        <w:rPr>
          <w:rFonts w:ascii="Garamond" w:hAnsi="Garamond" w:cs="Arial"/>
          <w:sz w:val="24"/>
          <w:szCs w:val="24"/>
        </w:rPr>
        <w:t>orçamento</w:t>
      </w:r>
      <w:r w:rsidR="00CA39B2" w:rsidRPr="003A1174">
        <w:rPr>
          <w:rFonts w:ascii="Garamond" w:hAnsi="Garamond" w:cs="Arial"/>
          <w:sz w:val="24"/>
          <w:szCs w:val="24"/>
        </w:rPr>
        <w:t xml:space="preserve"> nacional</w:t>
      </w:r>
      <w:r w:rsidR="00CF06D0">
        <w:rPr>
          <w:rFonts w:ascii="Garamond" w:hAnsi="Garamond" w:cs="Arial"/>
          <w:sz w:val="24"/>
          <w:szCs w:val="24"/>
        </w:rPr>
        <w:t xml:space="preserve"> é destinado</w:t>
      </w:r>
      <w:r w:rsidR="00CA39B2" w:rsidRPr="003A1174">
        <w:rPr>
          <w:rFonts w:ascii="Garamond" w:hAnsi="Garamond" w:cs="Arial"/>
          <w:sz w:val="24"/>
          <w:szCs w:val="24"/>
        </w:rPr>
        <w:t xml:space="preserve"> </w:t>
      </w:r>
      <w:r w:rsidR="00CF06D0">
        <w:rPr>
          <w:rFonts w:ascii="Garamond" w:hAnsi="Garamond" w:cs="Arial"/>
          <w:sz w:val="24"/>
          <w:szCs w:val="24"/>
        </w:rPr>
        <w:t xml:space="preserve">ao </w:t>
      </w:r>
      <w:r w:rsidR="009B133A" w:rsidRPr="003A1174">
        <w:rPr>
          <w:rFonts w:ascii="Garamond" w:hAnsi="Garamond" w:cs="Arial"/>
          <w:sz w:val="24"/>
          <w:szCs w:val="24"/>
        </w:rPr>
        <w:t>desenvolvimento</w:t>
      </w:r>
      <w:r w:rsidR="00CA39B2" w:rsidRPr="003A1174">
        <w:rPr>
          <w:rFonts w:ascii="Garamond" w:hAnsi="Garamond" w:cs="Arial"/>
          <w:sz w:val="24"/>
          <w:szCs w:val="24"/>
        </w:rPr>
        <w:t xml:space="preserve"> de políticas </w:t>
      </w:r>
      <w:r w:rsidR="00CF06D0">
        <w:rPr>
          <w:rFonts w:ascii="Garamond" w:hAnsi="Garamond" w:cs="Arial"/>
          <w:sz w:val="24"/>
          <w:szCs w:val="24"/>
        </w:rPr>
        <w:t xml:space="preserve">relacionadas com a </w:t>
      </w:r>
      <w:r w:rsidR="00AF192F" w:rsidRPr="003A1174">
        <w:rPr>
          <w:rFonts w:ascii="Garamond" w:hAnsi="Garamond" w:cs="Arial"/>
          <w:sz w:val="24"/>
          <w:szCs w:val="24"/>
        </w:rPr>
        <w:t>mulher</w:t>
      </w:r>
      <w:r w:rsidR="00CA39B2" w:rsidRPr="003A1174">
        <w:rPr>
          <w:rFonts w:ascii="Garamond" w:hAnsi="Garamond" w:cs="Arial"/>
          <w:sz w:val="24"/>
          <w:szCs w:val="24"/>
        </w:rPr>
        <w:t xml:space="preserve"> e </w:t>
      </w:r>
      <w:r w:rsidR="002C7510" w:rsidRPr="003A1174">
        <w:rPr>
          <w:rFonts w:ascii="Garamond" w:hAnsi="Garamond" w:cs="Arial"/>
          <w:sz w:val="24"/>
          <w:szCs w:val="24"/>
        </w:rPr>
        <w:t>igualdade</w:t>
      </w:r>
      <w:r w:rsidR="00CA39B2" w:rsidRPr="003A1174">
        <w:rPr>
          <w:rFonts w:ascii="Garamond" w:hAnsi="Garamond" w:cs="Arial"/>
          <w:sz w:val="24"/>
          <w:szCs w:val="24"/>
        </w:rPr>
        <w:t xml:space="preserve"> de género. Para </w:t>
      </w:r>
      <w:r w:rsidRPr="003A1174">
        <w:rPr>
          <w:rFonts w:ascii="Garamond" w:hAnsi="Garamond" w:cs="Arial"/>
          <w:sz w:val="24"/>
          <w:szCs w:val="24"/>
        </w:rPr>
        <w:t>o</w:t>
      </w:r>
      <w:r w:rsidR="00CA39B2" w:rsidRPr="003A1174">
        <w:rPr>
          <w:rFonts w:ascii="Garamond" w:hAnsi="Garamond" w:cs="Arial"/>
          <w:sz w:val="24"/>
          <w:szCs w:val="24"/>
        </w:rPr>
        <w:t xml:space="preserve"> </w:t>
      </w:r>
      <w:r w:rsidR="002C7510" w:rsidRPr="003A1174">
        <w:rPr>
          <w:rFonts w:ascii="Garamond" w:hAnsi="Garamond" w:cs="Arial"/>
          <w:sz w:val="24"/>
          <w:szCs w:val="24"/>
        </w:rPr>
        <w:t>ano</w:t>
      </w:r>
      <w:r w:rsidR="00CA39B2" w:rsidRPr="003A1174">
        <w:rPr>
          <w:rFonts w:ascii="Garamond" w:hAnsi="Garamond" w:cs="Arial"/>
          <w:sz w:val="24"/>
          <w:szCs w:val="24"/>
        </w:rPr>
        <w:t xml:space="preserve"> </w:t>
      </w:r>
      <w:r w:rsidRPr="003A1174">
        <w:rPr>
          <w:rFonts w:ascii="Garamond" w:hAnsi="Garamond" w:cs="Arial"/>
          <w:sz w:val="24"/>
          <w:szCs w:val="24"/>
        </w:rPr>
        <w:t xml:space="preserve">de </w:t>
      </w:r>
      <w:r w:rsidR="00CA39B2" w:rsidRPr="003A1174">
        <w:rPr>
          <w:rFonts w:ascii="Garamond" w:hAnsi="Garamond" w:cs="Arial"/>
          <w:sz w:val="24"/>
          <w:szCs w:val="24"/>
        </w:rPr>
        <w:t xml:space="preserve">2014 </w:t>
      </w:r>
      <w:r w:rsidR="007B2A85">
        <w:rPr>
          <w:rFonts w:ascii="Garamond" w:hAnsi="Garamond" w:cs="Arial"/>
          <w:sz w:val="24"/>
          <w:szCs w:val="24"/>
        </w:rPr>
        <w:t xml:space="preserve">foi </w:t>
      </w:r>
      <w:r w:rsidRPr="003A1174">
        <w:rPr>
          <w:rFonts w:ascii="Garamond" w:hAnsi="Garamond" w:cs="Arial"/>
          <w:sz w:val="24"/>
          <w:szCs w:val="24"/>
        </w:rPr>
        <w:t>atribu</w:t>
      </w:r>
      <w:r w:rsidR="007B2A85">
        <w:rPr>
          <w:rFonts w:ascii="Garamond" w:hAnsi="Garamond" w:cs="Arial"/>
          <w:sz w:val="24"/>
          <w:szCs w:val="24"/>
        </w:rPr>
        <w:t>ído</w:t>
      </w:r>
      <w:r w:rsidRPr="003A1174">
        <w:rPr>
          <w:rFonts w:ascii="Garamond" w:hAnsi="Garamond" w:cs="Arial"/>
          <w:sz w:val="24"/>
          <w:szCs w:val="24"/>
        </w:rPr>
        <w:t xml:space="preserve"> um </w:t>
      </w:r>
      <w:r w:rsidR="00946348" w:rsidRPr="003A1174">
        <w:rPr>
          <w:rFonts w:ascii="Garamond" w:hAnsi="Garamond" w:cs="Arial"/>
          <w:sz w:val="24"/>
          <w:szCs w:val="24"/>
        </w:rPr>
        <w:t>orçamento</w:t>
      </w:r>
      <w:r w:rsidR="00CA39B2" w:rsidRPr="003A1174">
        <w:rPr>
          <w:rFonts w:ascii="Garamond" w:hAnsi="Garamond" w:cs="Arial"/>
          <w:sz w:val="24"/>
          <w:szCs w:val="24"/>
        </w:rPr>
        <w:t xml:space="preserve"> de 600</w:t>
      </w:r>
      <w:r w:rsidR="00CF06D0">
        <w:rPr>
          <w:rFonts w:ascii="Garamond" w:hAnsi="Garamond" w:cs="Arial"/>
          <w:sz w:val="24"/>
          <w:szCs w:val="24"/>
        </w:rPr>
        <w:t xml:space="preserve"> </w:t>
      </w:r>
      <w:r w:rsidR="00CA39B2" w:rsidRPr="003A1174">
        <w:rPr>
          <w:rFonts w:ascii="Garamond" w:hAnsi="Garamond" w:cs="Arial"/>
          <w:sz w:val="24"/>
          <w:szCs w:val="24"/>
        </w:rPr>
        <w:t>000</w:t>
      </w:r>
      <w:r w:rsidR="00CF06D0">
        <w:rPr>
          <w:rFonts w:ascii="Garamond" w:hAnsi="Garamond" w:cs="Arial"/>
          <w:sz w:val="24"/>
          <w:szCs w:val="24"/>
        </w:rPr>
        <w:t xml:space="preserve"> </w:t>
      </w:r>
      <w:r w:rsidR="00CA39B2" w:rsidRPr="003A1174">
        <w:rPr>
          <w:rFonts w:ascii="Garamond" w:hAnsi="Garamond" w:cs="Arial"/>
          <w:sz w:val="24"/>
          <w:szCs w:val="24"/>
        </w:rPr>
        <w:t xml:space="preserve">000 de dólares </w:t>
      </w:r>
      <w:r w:rsidR="000864ED" w:rsidRPr="003A1174">
        <w:rPr>
          <w:rFonts w:ascii="Garamond" w:hAnsi="Garamond" w:cs="Arial"/>
          <w:sz w:val="24"/>
          <w:szCs w:val="24"/>
        </w:rPr>
        <w:t>norte-americanos</w:t>
      </w:r>
      <w:r w:rsidRPr="003A1174">
        <w:rPr>
          <w:rFonts w:ascii="Garamond" w:hAnsi="Garamond" w:cs="Arial"/>
          <w:sz w:val="24"/>
          <w:szCs w:val="24"/>
        </w:rPr>
        <w:t>, a</w:t>
      </w:r>
      <w:r w:rsidR="00CA39B2" w:rsidRPr="003A1174">
        <w:rPr>
          <w:rFonts w:ascii="Garamond" w:hAnsi="Garamond" w:cs="Arial"/>
          <w:sz w:val="24"/>
          <w:szCs w:val="24"/>
        </w:rPr>
        <w:t xml:space="preserve">proximadamente, </w:t>
      </w:r>
      <w:r w:rsidR="007B2A85">
        <w:rPr>
          <w:rFonts w:ascii="Garamond" w:hAnsi="Garamond" w:cs="Arial"/>
          <w:sz w:val="24"/>
          <w:szCs w:val="24"/>
        </w:rPr>
        <w:t>o triplo</w:t>
      </w:r>
      <w:r w:rsidR="00CF06D0">
        <w:rPr>
          <w:rFonts w:ascii="Garamond" w:hAnsi="Garamond" w:cs="Arial"/>
          <w:sz w:val="24"/>
          <w:szCs w:val="24"/>
        </w:rPr>
        <w:t>,</w:t>
      </w:r>
      <w:r w:rsidRPr="003A1174">
        <w:rPr>
          <w:rFonts w:ascii="Garamond" w:hAnsi="Garamond" w:cs="Arial"/>
          <w:sz w:val="24"/>
          <w:szCs w:val="24"/>
        </w:rPr>
        <w:t xml:space="preserve"> </w:t>
      </w:r>
      <w:r w:rsidR="007B2A85">
        <w:rPr>
          <w:rFonts w:ascii="Garamond" w:hAnsi="Garamond" w:cs="Arial"/>
          <w:sz w:val="24"/>
          <w:szCs w:val="24"/>
        </w:rPr>
        <w:t>d</w:t>
      </w:r>
      <w:r w:rsidR="00CF06D0">
        <w:rPr>
          <w:rFonts w:ascii="Garamond" w:hAnsi="Garamond" w:cs="Arial"/>
          <w:sz w:val="24"/>
          <w:szCs w:val="24"/>
        </w:rPr>
        <w:t xml:space="preserve">o montante </w:t>
      </w:r>
      <w:r w:rsidR="007B2A85">
        <w:rPr>
          <w:rFonts w:ascii="Garamond" w:hAnsi="Garamond" w:cs="Arial"/>
          <w:sz w:val="24"/>
          <w:szCs w:val="24"/>
        </w:rPr>
        <w:t xml:space="preserve">de </w:t>
      </w:r>
      <w:r w:rsidR="00CA39B2" w:rsidRPr="003A1174">
        <w:rPr>
          <w:rFonts w:ascii="Garamond" w:hAnsi="Garamond" w:cs="Arial"/>
          <w:sz w:val="24"/>
          <w:szCs w:val="24"/>
        </w:rPr>
        <w:t xml:space="preserve">2010. Adicionalmente, para </w:t>
      </w:r>
      <w:r w:rsidRPr="003A1174">
        <w:rPr>
          <w:rFonts w:ascii="Garamond" w:hAnsi="Garamond" w:cs="Arial"/>
          <w:sz w:val="24"/>
          <w:szCs w:val="24"/>
        </w:rPr>
        <w:t>o Instituto Nacional d</w:t>
      </w:r>
      <w:r w:rsidR="00CA39B2" w:rsidRPr="003A1174">
        <w:rPr>
          <w:rFonts w:ascii="Garamond" w:hAnsi="Garamond" w:cs="Arial"/>
          <w:sz w:val="24"/>
          <w:szCs w:val="24"/>
        </w:rPr>
        <w:t xml:space="preserve">a </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275092" w:rsidRPr="003A1174">
        <w:rPr>
          <w:rFonts w:ascii="Garamond" w:hAnsi="Garamond" w:cs="Arial"/>
          <w:sz w:val="24"/>
          <w:szCs w:val="24"/>
        </w:rPr>
        <w:t>INAMUJER</w:t>
      </w:r>
      <w:r w:rsidR="00CA39B2" w:rsidRPr="003A1174">
        <w:rPr>
          <w:rFonts w:ascii="Garamond" w:hAnsi="Garamond" w:cs="Arial"/>
          <w:sz w:val="24"/>
          <w:szCs w:val="24"/>
        </w:rPr>
        <w:t>)</w:t>
      </w:r>
      <w:r w:rsidR="00AA75B0" w:rsidRPr="003A1174">
        <w:rPr>
          <w:rFonts w:ascii="Garamond" w:hAnsi="Garamond" w:cs="Arial"/>
          <w:sz w:val="24"/>
          <w:szCs w:val="24"/>
        </w:rPr>
        <w:t xml:space="preserve"> </w:t>
      </w:r>
      <w:r w:rsidRPr="003A1174">
        <w:rPr>
          <w:rFonts w:ascii="Garamond" w:hAnsi="Garamond" w:cs="Arial"/>
          <w:sz w:val="24"/>
          <w:szCs w:val="24"/>
        </w:rPr>
        <w:t xml:space="preserve">a atribuição </w:t>
      </w:r>
      <w:r w:rsidR="007B2A85">
        <w:rPr>
          <w:rFonts w:ascii="Garamond" w:hAnsi="Garamond" w:cs="Arial"/>
          <w:sz w:val="24"/>
          <w:szCs w:val="24"/>
        </w:rPr>
        <w:t xml:space="preserve">foi </w:t>
      </w:r>
      <w:r w:rsidRPr="003A1174">
        <w:rPr>
          <w:rFonts w:ascii="Garamond" w:hAnsi="Garamond" w:cs="Arial"/>
          <w:sz w:val="24"/>
          <w:szCs w:val="24"/>
        </w:rPr>
        <w:t xml:space="preserve">de, </w:t>
      </w:r>
      <w:r w:rsidR="00CA39B2" w:rsidRPr="003A1174">
        <w:rPr>
          <w:rFonts w:ascii="Garamond" w:hAnsi="Garamond" w:cs="Arial"/>
          <w:sz w:val="24"/>
          <w:szCs w:val="24"/>
        </w:rPr>
        <w:t>aproximad</w:t>
      </w:r>
      <w:r w:rsidRPr="003A1174">
        <w:rPr>
          <w:rFonts w:ascii="Garamond" w:hAnsi="Garamond" w:cs="Arial"/>
          <w:sz w:val="24"/>
          <w:szCs w:val="24"/>
        </w:rPr>
        <w:t xml:space="preserve">amente, </w:t>
      </w:r>
      <w:r w:rsidR="00CA39B2" w:rsidRPr="003A1174">
        <w:rPr>
          <w:rFonts w:ascii="Garamond" w:hAnsi="Garamond" w:cs="Arial"/>
          <w:sz w:val="24"/>
          <w:szCs w:val="24"/>
        </w:rPr>
        <w:t>39</w:t>
      </w:r>
      <w:r w:rsidR="007B2A85">
        <w:rPr>
          <w:rFonts w:ascii="Garamond" w:hAnsi="Garamond" w:cs="Arial"/>
          <w:sz w:val="24"/>
          <w:szCs w:val="24"/>
        </w:rPr>
        <w:t xml:space="preserve"> </w:t>
      </w:r>
      <w:r w:rsidR="00CA39B2" w:rsidRPr="003A1174">
        <w:rPr>
          <w:rFonts w:ascii="Garamond" w:hAnsi="Garamond" w:cs="Arial"/>
          <w:sz w:val="24"/>
          <w:szCs w:val="24"/>
        </w:rPr>
        <w:t>000</w:t>
      </w:r>
      <w:r w:rsidR="007B2A85">
        <w:rPr>
          <w:rFonts w:ascii="Garamond" w:hAnsi="Garamond" w:cs="Arial"/>
          <w:sz w:val="24"/>
          <w:szCs w:val="24"/>
        </w:rPr>
        <w:t xml:space="preserve"> </w:t>
      </w:r>
      <w:r w:rsidR="00CA39B2" w:rsidRPr="003A1174">
        <w:rPr>
          <w:rFonts w:ascii="Garamond" w:hAnsi="Garamond" w:cs="Arial"/>
          <w:sz w:val="24"/>
          <w:szCs w:val="24"/>
        </w:rPr>
        <w:t xml:space="preserve">000 de dólares </w:t>
      </w:r>
      <w:r w:rsidR="000864ED" w:rsidRPr="003A1174">
        <w:rPr>
          <w:rFonts w:ascii="Garamond" w:hAnsi="Garamond" w:cs="Arial"/>
          <w:sz w:val="24"/>
          <w:szCs w:val="24"/>
        </w:rPr>
        <w:t>norte-americanos</w:t>
      </w:r>
      <w:r w:rsidR="00880020">
        <w:rPr>
          <w:rFonts w:ascii="Garamond" w:hAnsi="Garamond" w:cs="Arial"/>
          <w:sz w:val="24"/>
          <w:szCs w:val="24"/>
        </w:rPr>
        <w:t>,</w:t>
      </w:r>
      <w:r w:rsidR="007B2A85">
        <w:rPr>
          <w:rFonts w:ascii="Garamond" w:hAnsi="Garamond" w:cs="Arial"/>
          <w:sz w:val="24"/>
          <w:szCs w:val="24"/>
        </w:rPr>
        <w:t xml:space="preserve"> para</w:t>
      </w:r>
      <w:r w:rsidR="00CA39B2" w:rsidRPr="003A1174">
        <w:rPr>
          <w:rFonts w:ascii="Garamond" w:hAnsi="Garamond" w:cs="Arial"/>
          <w:sz w:val="24"/>
          <w:szCs w:val="24"/>
        </w:rPr>
        <w:t xml:space="preserve"> </w:t>
      </w:r>
      <w:r w:rsidRPr="003A1174">
        <w:rPr>
          <w:rFonts w:ascii="Garamond" w:hAnsi="Garamond" w:cs="Arial"/>
          <w:sz w:val="24"/>
          <w:szCs w:val="24"/>
        </w:rPr>
        <w:t xml:space="preserve">o </w:t>
      </w:r>
      <w:r w:rsidR="00CA39B2" w:rsidRPr="003A1174">
        <w:rPr>
          <w:rFonts w:ascii="Garamond" w:hAnsi="Garamond" w:cs="Arial"/>
          <w:sz w:val="24"/>
          <w:szCs w:val="24"/>
        </w:rPr>
        <w:t>Ban</w:t>
      </w:r>
      <w:r w:rsidR="00AF192F" w:rsidRPr="003A1174">
        <w:rPr>
          <w:rFonts w:ascii="Garamond" w:hAnsi="Garamond" w:cs="Arial"/>
          <w:sz w:val="24"/>
          <w:szCs w:val="24"/>
        </w:rPr>
        <w:t>Mulher</w:t>
      </w:r>
      <w:r w:rsidR="00CA39B2" w:rsidRPr="003A1174">
        <w:rPr>
          <w:rFonts w:ascii="Garamond" w:hAnsi="Garamond" w:cs="Arial"/>
          <w:sz w:val="24"/>
          <w:szCs w:val="24"/>
        </w:rPr>
        <w:t xml:space="preserve"> </w:t>
      </w:r>
      <w:r w:rsidR="007B2A85">
        <w:rPr>
          <w:rFonts w:ascii="Garamond" w:hAnsi="Garamond" w:cs="Arial"/>
          <w:sz w:val="24"/>
          <w:szCs w:val="24"/>
        </w:rPr>
        <w:t xml:space="preserve">foi de </w:t>
      </w:r>
      <w:r w:rsidRPr="003A1174">
        <w:rPr>
          <w:rFonts w:ascii="Garamond" w:hAnsi="Garamond" w:cs="Arial"/>
          <w:sz w:val="24"/>
          <w:szCs w:val="24"/>
        </w:rPr>
        <w:t xml:space="preserve">cerca de </w:t>
      </w:r>
      <w:r w:rsidR="00CA39B2" w:rsidRPr="003A1174">
        <w:rPr>
          <w:rFonts w:ascii="Garamond" w:hAnsi="Garamond" w:cs="Arial"/>
          <w:sz w:val="24"/>
          <w:szCs w:val="24"/>
        </w:rPr>
        <w:t>13</w:t>
      </w:r>
      <w:r w:rsidR="007B2A85">
        <w:rPr>
          <w:rFonts w:ascii="Garamond" w:hAnsi="Garamond" w:cs="Arial"/>
          <w:sz w:val="24"/>
          <w:szCs w:val="24"/>
        </w:rPr>
        <w:t xml:space="preserve"> </w:t>
      </w:r>
      <w:r w:rsidR="00CA39B2" w:rsidRPr="003A1174">
        <w:rPr>
          <w:rFonts w:ascii="Garamond" w:hAnsi="Garamond" w:cs="Arial"/>
          <w:sz w:val="24"/>
          <w:szCs w:val="24"/>
        </w:rPr>
        <w:t>000</w:t>
      </w:r>
      <w:r w:rsidR="007B2A85">
        <w:rPr>
          <w:rFonts w:ascii="Garamond" w:hAnsi="Garamond" w:cs="Arial"/>
          <w:sz w:val="24"/>
          <w:szCs w:val="24"/>
        </w:rPr>
        <w:t xml:space="preserve"> </w:t>
      </w:r>
      <w:r w:rsidR="00CA39B2" w:rsidRPr="003A1174">
        <w:rPr>
          <w:rFonts w:ascii="Garamond" w:hAnsi="Garamond" w:cs="Arial"/>
          <w:sz w:val="24"/>
          <w:szCs w:val="24"/>
        </w:rPr>
        <w:t xml:space="preserve">000 de dólares </w:t>
      </w:r>
      <w:r w:rsidR="000864ED" w:rsidRPr="003A1174">
        <w:rPr>
          <w:rFonts w:ascii="Garamond" w:hAnsi="Garamond" w:cs="Arial"/>
          <w:sz w:val="24"/>
          <w:szCs w:val="24"/>
        </w:rPr>
        <w:t>norte-americanos</w:t>
      </w:r>
      <w:r w:rsidRPr="003A1174">
        <w:rPr>
          <w:rFonts w:ascii="Garamond" w:hAnsi="Garamond" w:cs="Arial"/>
          <w:sz w:val="24"/>
          <w:szCs w:val="24"/>
        </w:rPr>
        <w:t xml:space="preserve"> </w:t>
      </w:r>
      <w:r w:rsidR="000672E8" w:rsidRPr="003A1174">
        <w:rPr>
          <w:rFonts w:ascii="Garamond" w:hAnsi="Garamond" w:cs="Arial"/>
          <w:sz w:val="24"/>
          <w:szCs w:val="24"/>
        </w:rPr>
        <w:t>e</w:t>
      </w:r>
      <w:r w:rsidR="00CA39B2" w:rsidRPr="003A1174">
        <w:rPr>
          <w:rFonts w:ascii="Garamond" w:hAnsi="Garamond" w:cs="Arial"/>
          <w:sz w:val="24"/>
          <w:szCs w:val="24"/>
        </w:rPr>
        <w:t xml:space="preserve"> para M</w:t>
      </w:r>
      <w:r w:rsidR="00BE29F7" w:rsidRPr="003A1174">
        <w:rPr>
          <w:rFonts w:ascii="Garamond" w:hAnsi="Garamond" w:cs="Arial"/>
          <w:sz w:val="24"/>
          <w:szCs w:val="24"/>
        </w:rPr>
        <w:t xml:space="preserve">ães </w:t>
      </w:r>
      <w:r w:rsidR="00E85E59" w:rsidRPr="003A1174">
        <w:rPr>
          <w:rFonts w:ascii="Garamond" w:hAnsi="Garamond" w:cs="Arial"/>
          <w:sz w:val="24"/>
          <w:szCs w:val="24"/>
        </w:rPr>
        <w:t>do</w:t>
      </w:r>
      <w:r w:rsidR="00CA39B2" w:rsidRPr="003A1174">
        <w:rPr>
          <w:rFonts w:ascii="Garamond" w:hAnsi="Garamond" w:cs="Arial"/>
          <w:sz w:val="24"/>
          <w:szCs w:val="24"/>
        </w:rPr>
        <w:t xml:space="preserve"> </w:t>
      </w:r>
      <w:r w:rsidR="003A391A" w:rsidRPr="003A1174">
        <w:rPr>
          <w:rFonts w:ascii="Garamond" w:hAnsi="Garamond" w:cs="Arial"/>
          <w:sz w:val="24"/>
          <w:szCs w:val="24"/>
        </w:rPr>
        <w:t>Bairro</w:t>
      </w:r>
      <w:r w:rsidR="00CA39B2" w:rsidRPr="003A1174">
        <w:rPr>
          <w:rFonts w:ascii="Garamond" w:hAnsi="Garamond" w:cs="Arial"/>
          <w:sz w:val="24"/>
          <w:szCs w:val="24"/>
        </w:rPr>
        <w:t xml:space="preserve"> 53</w:t>
      </w:r>
      <w:r w:rsidR="007B2A85">
        <w:rPr>
          <w:rFonts w:ascii="Garamond" w:hAnsi="Garamond" w:cs="Arial"/>
          <w:sz w:val="24"/>
          <w:szCs w:val="24"/>
        </w:rPr>
        <w:t xml:space="preserve"> </w:t>
      </w:r>
      <w:r w:rsidR="00CA39B2" w:rsidRPr="003A1174">
        <w:rPr>
          <w:rFonts w:ascii="Garamond" w:hAnsi="Garamond" w:cs="Arial"/>
          <w:sz w:val="24"/>
          <w:szCs w:val="24"/>
        </w:rPr>
        <w:t>000</w:t>
      </w:r>
      <w:r w:rsidR="007B2A85">
        <w:rPr>
          <w:rFonts w:ascii="Garamond" w:hAnsi="Garamond" w:cs="Arial"/>
          <w:sz w:val="24"/>
          <w:szCs w:val="24"/>
        </w:rPr>
        <w:t xml:space="preserve"> </w:t>
      </w:r>
      <w:r w:rsidR="00CA39B2" w:rsidRPr="003A1174">
        <w:rPr>
          <w:rFonts w:ascii="Garamond" w:hAnsi="Garamond" w:cs="Arial"/>
          <w:sz w:val="24"/>
          <w:szCs w:val="24"/>
        </w:rPr>
        <w:t xml:space="preserve">000 de dólares </w:t>
      </w:r>
      <w:r w:rsidR="000864ED" w:rsidRPr="003A1174">
        <w:rPr>
          <w:rFonts w:ascii="Garamond" w:hAnsi="Garamond" w:cs="Arial"/>
          <w:sz w:val="24"/>
          <w:szCs w:val="24"/>
        </w:rPr>
        <w:t>norte-americanos</w:t>
      </w:r>
      <w:r w:rsidR="00CA39B2" w:rsidRPr="003A1174">
        <w:rPr>
          <w:rFonts w:ascii="Garamond" w:hAnsi="Garamond" w:cs="Arial"/>
          <w:sz w:val="24"/>
          <w:szCs w:val="24"/>
        </w:rPr>
        <w:t>.</w:t>
      </w:r>
      <w:r w:rsidR="00CA39B2" w:rsidRPr="003A1174">
        <w:rPr>
          <w:rStyle w:val="Refdenotaalpie"/>
          <w:rFonts w:ascii="Garamond" w:hAnsi="Garamond" w:cs="Arial"/>
          <w:sz w:val="24"/>
          <w:szCs w:val="24"/>
        </w:rPr>
        <w:footnoteReference w:id="150"/>
      </w:r>
    </w:p>
    <w:p w:rsidR="00CA39B2" w:rsidRPr="003A1174" w:rsidRDefault="00CF5971" w:rsidP="008719D4">
      <w:pPr>
        <w:pStyle w:val="Ttulo1"/>
        <w:numPr>
          <w:ilvl w:val="0"/>
          <w:numId w:val="54"/>
        </w:numPr>
        <w:rPr>
          <w:rFonts w:ascii="Garamond" w:hAnsi="Garamond"/>
          <w:szCs w:val="24"/>
        </w:rPr>
      </w:pPr>
      <w:r w:rsidRPr="003A1174">
        <w:rPr>
          <w:rFonts w:ascii="Garamond" w:hAnsi="Garamond"/>
          <w:szCs w:val="24"/>
          <w:lang w:val="pt-PT"/>
        </w:rPr>
        <w:br w:type="column"/>
      </w:r>
      <w:bookmarkStart w:id="83" w:name="_Toc421529770"/>
      <w:r w:rsidR="00DC5DA7" w:rsidRPr="003A1174">
        <w:rPr>
          <w:rFonts w:ascii="Garamond" w:hAnsi="Garamond"/>
          <w:szCs w:val="24"/>
        </w:rPr>
        <w:lastRenderedPageBreak/>
        <w:t>CONCLUSÕES</w:t>
      </w:r>
      <w:bookmarkEnd w:id="83"/>
      <w:r w:rsidR="00CA39B2" w:rsidRPr="003A1174">
        <w:rPr>
          <w:rFonts w:ascii="Garamond" w:hAnsi="Garamond"/>
          <w:szCs w:val="24"/>
        </w:rPr>
        <w:t xml:space="preserve"> </w:t>
      </w:r>
    </w:p>
    <w:p w:rsidR="00CF5971" w:rsidRPr="003A1174" w:rsidRDefault="00BE29F7" w:rsidP="00BE29F7">
      <w:pPr>
        <w:pStyle w:val="Prrafodelista"/>
        <w:numPr>
          <w:ilvl w:val="0"/>
          <w:numId w:val="44"/>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Sem prejuízo do</w:t>
      </w:r>
      <w:r w:rsidR="00497503" w:rsidRPr="003A1174">
        <w:rPr>
          <w:rFonts w:ascii="Garamond" w:hAnsi="Garamond" w:cs="Arial"/>
          <w:sz w:val="24"/>
          <w:szCs w:val="24"/>
          <w:lang w:val="pt-PT"/>
        </w:rPr>
        <w:t>s</w:t>
      </w:r>
      <w:r w:rsidR="006417A5" w:rsidRPr="003A1174">
        <w:rPr>
          <w:rFonts w:ascii="Garamond" w:hAnsi="Garamond" w:cs="Arial"/>
          <w:sz w:val="24"/>
          <w:szCs w:val="24"/>
          <w:lang w:val="pt-PT"/>
        </w:rPr>
        <w:t xml:space="preserve"> </w:t>
      </w:r>
      <w:r w:rsidR="00FC1F7F" w:rsidRPr="003A1174">
        <w:rPr>
          <w:rFonts w:ascii="Garamond" w:hAnsi="Garamond" w:cs="Arial"/>
          <w:sz w:val="24"/>
          <w:szCs w:val="24"/>
          <w:lang w:val="pt-PT"/>
        </w:rPr>
        <w:t>avanços</w:t>
      </w:r>
      <w:r w:rsidR="006417A5" w:rsidRPr="003A1174">
        <w:rPr>
          <w:rFonts w:ascii="Garamond" w:hAnsi="Garamond" w:cs="Arial"/>
          <w:sz w:val="24"/>
          <w:szCs w:val="24"/>
          <w:lang w:val="pt-PT"/>
        </w:rPr>
        <w:t xml:space="preserve"> </w:t>
      </w:r>
      <w:r w:rsidRPr="003A1174">
        <w:rPr>
          <w:rFonts w:ascii="Garamond" w:hAnsi="Garamond" w:cs="Arial"/>
          <w:sz w:val="24"/>
          <w:szCs w:val="24"/>
          <w:lang w:val="pt-PT"/>
        </w:rPr>
        <w:t xml:space="preserve">conseguidos, </w:t>
      </w:r>
      <w:r w:rsidR="006417A5" w:rsidRPr="003A1174">
        <w:rPr>
          <w:rFonts w:ascii="Garamond" w:hAnsi="Garamond" w:cs="Arial"/>
          <w:sz w:val="24"/>
          <w:szCs w:val="24"/>
          <w:lang w:val="pt-PT"/>
        </w:rPr>
        <w:t xml:space="preserve">as </w:t>
      </w:r>
      <w:r w:rsidRPr="003A1174">
        <w:rPr>
          <w:rFonts w:ascii="Garamond" w:hAnsi="Garamond" w:cs="Arial"/>
          <w:sz w:val="24"/>
          <w:szCs w:val="24"/>
          <w:lang w:val="pt-PT"/>
        </w:rPr>
        <w:t xml:space="preserve">fragilidades, </w:t>
      </w:r>
      <w:r w:rsidR="005D38DC" w:rsidRPr="003A1174">
        <w:rPr>
          <w:rFonts w:ascii="Garamond" w:hAnsi="Garamond" w:cs="Arial"/>
          <w:sz w:val="24"/>
          <w:szCs w:val="24"/>
          <w:lang w:val="pt-PT"/>
        </w:rPr>
        <w:t>limitações</w:t>
      </w:r>
      <w:r w:rsidR="006417A5"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6417A5" w:rsidRPr="003A1174">
        <w:rPr>
          <w:rFonts w:ascii="Garamond" w:hAnsi="Garamond" w:cs="Arial"/>
          <w:sz w:val="24"/>
          <w:szCs w:val="24"/>
          <w:lang w:val="pt-PT"/>
        </w:rPr>
        <w:t xml:space="preserve"> omis</w:t>
      </w:r>
      <w:r w:rsidRPr="003A1174">
        <w:rPr>
          <w:rFonts w:ascii="Garamond" w:hAnsi="Garamond" w:cs="Arial"/>
          <w:sz w:val="24"/>
          <w:szCs w:val="24"/>
          <w:lang w:val="pt-PT"/>
        </w:rPr>
        <w:t>sões q</w:t>
      </w:r>
      <w:r w:rsidR="006417A5" w:rsidRPr="003A1174">
        <w:rPr>
          <w:rFonts w:ascii="Garamond" w:hAnsi="Garamond" w:cs="Arial"/>
          <w:sz w:val="24"/>
          <w:szCs w:val="24"/>
          <w:lang w:val="pt-PT"/>
        </w:rPr>
        <w:t xml:space="preserve">ue </w:t>
      </w:r>
      <w:r w:rsidR="006464A9">
        <w:rPr>
          <w:rFonts w:ascii="Garamond" w:hAnsi="Garamond" w:cs="Arial"/>
          <w:sz w:val="24"/>
          <w:szCs w:val="24"/>
          <w:lang w:val="pt-PT"/>
        </w:rPr>
        <w:t xml:space="preserve">revelam </w:t>
      </w:r>
      <w:r w:rsidRPr="003A1174">
        <w:rPr>
          <w:rFonts w:ascii="Garamond" w:hAnsi="Garamond" w:cs="Arial"/>
          <w:sz w:val="24"/>
          <w:szCs w:val="24"/>
          <w:lang w:val="pt-PT"/>
        </w:rPr>
        <w:t>as ações dos diferentes</w:t>
      </w:r>
      <w:r w:rsidR="00AA75B0" w:rsidRPr="003A1174">
        <w:rPr>
          <w:rFonts w:ascii="Garamond" w:hAnsi="Garamond" w:cs="Arial"/>
          <w:sz w:val="24"/>
          <w:szCs w:val="24"/>
          <w:lang w:val="pt-PT"/>
        </w:rPr>
        <w:t xml:space="preserve"> </w:t>
      </w:r>
      <w:r w:rsidR="006417A5" w:rsidRPr="003A1174">
        <w:rPr>
          <w:rFonts w:ascii="Garamond" w:hAnsi="Garamond" w:cs="Arial"/>
          <w:sz w:val="24"/>
          <w:szCs w:val="24"/>
          <w:lang w:val="pt-PT"/>
        </w:rPr>
        <w:t>Estados</w:t>
      </w:r>
      <w:r w:rsidR="006464A9">
        <w:rPr>
          <w:rFonts w:ascii="Garamond" w:hAnsi="Garamond" w:cs="Arial"/>
          <w:sz w:val="24"/>
          <w:szCs w:val="24"/>
          <w:lang w:val="pt-PT"/>
        </w:rPr>
        <w:t>,</w:t>
      </w:r>
      <w:r w:rsidR="006417A5" w:rsidRPr="003A1174">
        <w:rPr>
          <w:rFonts w:ascii="Garamond" w:hAnsi="Garamond" w:cs="Arial"/>
          <w:sz w:val="24"/>
          <w:szCs w:val="24"/>
          <w:lang w:val="pt-PT"/>
        </w:rPr>
        <w:t xml:space="preserve"> </w:t>
      </w:r>
      <w:r w:rsidRPr="003A1174">
        <w:rPr>
          <w:rFonts w:ascii="Garamond" w:hAnsi="Garamond" w:cs="Arial"/>
          <w:sz w:val="24"/>
          <w:szCs w:val="24"/>
          <w:lang w:val="pt-PT"/>
        </w:rPr>
        <w:t xml:space="preserve">tornam evidente </w:t>
      </w:r>
      <w:r w:rsidR="006417A5" w:rsidRPr="003A1174">
        <w:rPr>
          <w:rFonts w:ascii="Garamond" w:hAnsi="Garamond" w:cs="Arial"/>
          <w:sz w:val="24"/>
          <w:szCs w:val="24"/>
          <w:lang w:val="pt-PT"/>
        </w:rPr>
        <w:t xml:space="preserve">que se </w:t>
      </w:r>
      <w:r w:rsidR="00F520D6" w:rsidRPr="003A1174">
        <w:rPr>
          <w:rFonts w:ascii="Garamond" w:hAnsi="Garamond" w:cs="Arial"/>
          <w:sz w:val="24"/>
          <w:szCs w:val="24"/>
          <w:lang w:val="pt-PT"/>
        </w:rPr>
        <w:t>encontram</w:t>
      </w:r>
      <w:r w:rsidR="006417A5" w:rsidRPr="003A1174">
        <w:rPr>
          <w:rFonts w:ascii="Garamond" w:hAnsi="Garamond" w:cs="Arial"/>
          <w:sz w:val="24"/>
          <w:szCs w:val="24"/>
          <w:lang w:val="pt-PT"/>
        </w:rPr>
        <w:t xml:space="preserve"> bastante l</w:t>
      </w:r>
      <w:r w:rsidRPr="003A1174">
        <w:rPr>
          <w:rFonts w:ascii="Garamond" w:hAnsi="Garamond" w:cs="Arial"/>
          <w:sz w:val="24"/>
          <w:szCs w:val="24"/>
          <w:lang w:val="pt-PT"/>
        </w:rPr>
        <w:t xml:space="preserve">onge </w:t>
      </w:r>
      <w:r w:rsidR="006417A5" w:rsidRPr="003A1174">
        <w:rPr>
          <w:rFonts w:ascii="Garamond" w:hAnsi="Garamond" w:cs="Arial"/>
          <w:sz w:val="24"/>
          <w:szCs w:val="24"/>
          <w:lang w:val="pt-PT"/>
        </w:rPr>
        <w:t xml:space="preserve">de </w:t>
      </w:r>
      <w:r w:rsidRPr="003A1174">
        <w:rPr>
          <w:rFonts w:ascii="Garamond" w:hAnsi="Garamond" w:cs="Arial"/>
          <w:sz w:val="24"/>
          <w:szCs w:val="24"/>
          <w:lang w:val="pt-PT"/>
        </w:rPr>
        <w:t>superar a</w:t>
      </w:r>
      <w:r w:rsidR="006417A5" w:rsidRPr="003A1174">
        <w:rPr>
          <w:rFonts w:ascii="Garamond" w:hAnsi="Garamond" w:cs="Arial"/>
          <w:sz w:val="24"/>
          <w:szCs w:val="24"/>
          <w:lang w:val="pt-PT"/>
        </w:rPr>
        <w:t xml:space="preserve"> des</w:t>
      </w:r>
      <w:r w:rsidR="002C7510" w:rsidRPr="003A1174">
        <w:rPr>
          <w:rFonts w:ascii="Garamond" w:hAnsi="Garamond" w:cs="Arial"/>
          <w:sz w:val="24"/>
          <w:szCs w:val="24"/>
          <w:lang w:val="pt-PT"/>
        </w:rPr>
        <w:t>igualdade</w:t>
      </w:r>
      <w:r w:rsidR="006417A5"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6417A5" w:rsidRPr="003A1174">
        <w:rPr>
          <w:rFonts w:ascii="Garamond" w:hAnsi="Garamond" w:cs="Arial"/>
          <w:sz w:val="24"/>
          <w:szCs w:val="24"/>
          <w:lang w:val="pt-PT"/>
        </w:rPr>
        <w:t xml:space="preserve"> </w:t>
      </w:r>
      <w:r w:rsidR="0017447A" w:rsidRPr="003A1174">
        <w:rPr>
          <w:rFonts w:ascii="Garamond" w:hAnsi="Garamond" w:cs="Arial"/>
          <w:sz w:val="24"/>
          <w:szCs w:val="24"/>
          <w:lang w:val="pt-PT"/>
        </w:rPr>
        <w:t>discriminação</w:t>
      </w:r>
      <w:r w:rsidR="006417A5" w:rsidRPr="003A1174">
        <w:rPr>
          <w:rFonts w:ascii="Garamond" w:hAnsi="Garamond" w:cs="Arial"/>
          <w:sz w:val="24"/>
          <w:szCs w:val="24"/>
          <w:lang w:val="pt-PT"/>
        </w:rPr>
        <w:t xml:space="preserve"> </w:t>
      </w:r>
      <w:r w:rsidRPr="003A1174">
        <w:rPr>
          <w:rFonts w:ascii="Garamond" w:hAnsi="Garamond" w:cs="Arial"/>
          <w:sz w:val="24"/>
          <w:szCs w:val="24"/>
          <w:lang w:val="pt-PT"/>
        </w:rPr>
        <w:t xml:space="preserve">subjacentes ao </w:t>
      </w:r>
      <w:r w:rsidR="006417A5" w:rsidRPr="003A1174">
        <w:rPr>
          <w:rFonts w:ascii="Garamond" w:hAnsi="Garamond" w:cs="Arial"/>
          <w:sz w:val="24"/>
          <w:szCs w:val="24"/>
          <w:lang w:val="pt-PT"/>
        </w:rPr>
        <w:t>graví</w:t>
      </w:r>
      <w:r w:rsidRPr="003A1174">
        <w:rPr>
          <w:rFonts w:ascii="Garamond" w:hAnsi="Garamond" w:cs="Arial"/>
          <w:sz w:val="24"/>
          <w:szCs w:val="24"/>
          <w:lang w:val="pt-PT"/>
        </w:rPr>
        <w:t>s</w:t>
      </w:r>
      <w:r w:rsidR="006417A5" w:rsidRPr="003A1174">
        <w:rPr>
          <w:rFonts w:ascii="Garamond" w:hAnsi="Garamond" w:cs="Arial"/>
          <w:sz w:val="24"/>
          <w:szCs w:val="24"/>
          <w:lang w:val="pt-PT"/>
        </w:rPr>
        <w:t xml:space="preserve">simo problema da </w:t>
      </w:r>
      <w:r w:rsidR="000350B1" w:rsidRPr="003A1174">
        <w:rPr>
          <w:rFonts w:ascii="Garamond" w:hAnsi="Garamond" w:cs="Arial"/>
          <w:sz w:val="24"/>
          <w:szCs w:val="24"/>
          <w:lang w:val="pt-PT"/>
        </w:rPr>
        <w:t>violência</w:t>
      </w:r>
      <w:r w:rsidR="006417A5" w:rsidRPr="003A1174">
        <w:rPr>
          <w:rFonts w:ascii="Garamond" w:hAnsi="Garamond" w:cs="Arial"/>
          <w:sz w:val="24"/>
          <w:szCs w:val="24"/>
          <w:lang w:val="pt-PT"/>
        </w:rPr>
        <w:t xml:space="preserve"> </w:t>
      </w:r>
      <w:r w:rsidR="00BB2B00" w:rsidRPr="003A1174">
        <w:rPr>
          <w:rFonts w:ascii="Garamond" w:hAnsi="Garamond" w:cs="Arial"/>
          <w:sz w:val="24"/>
          <w:szCs w:val="24"/>
          <w:lang w:val="pt-PT"/>
        </w:rPr>
        <w:t>contra a</w:t>
      </w:r>
      <w:r w:rsidR="006417A5" w:rsidRPr="003A1174">
        <w:rPr>
          <w:rFonts w:ascii="Garamond" w:hAnsi="Garamond" w:cs="Arial"/>
          <w:sz w:val="24"/>
          <w:szCs w:val="24"/>
          <w:lang w:val="pt-PT"/>
        </w:rPr>
        <w:t xml:space="preserve">s </w:t>
      </w:r>
      <w:r w:rsidR="00054EE0" w:rsidRPr="003A1174">
        <w:rPr>
          <w:rFonts w:ascii="Garamond" w:hAnsi="Garamond" w:cs="Arial"/>
          <w:sz w:val="24"/>
          <w:szCs w:val="24"/>
          <w:lang w:val="pt-PT"/>
        </w:rPr>
        <w:t>mulheres</w:t>
      </w:r>
      <w:r w:rsidR="006417A5" w:rsidRPr="003A1174">
        <w:rPr>
          <w:rFonts w:ascii="Garamond" w:hAnsi="Garamond" w:cs="Arial"/>
          <w:sz w:val="24"/>
          <w:szCs w:val="24"/>
          <w:lang w:val="pt-PT"/>
        </w:rPr>
        <w:t xml:space="preserve">, </w:t>
      </w:r>
      <w:r w:rsidRPr="003A1174">
        <w:rPr>
          <w:rFonts w:ascii="Garamond" w:hAnsi="Garamond" w:cs="Arial"/>
          <w:sz w:val="24"/>
          <w:szCs w:val="24"/>
          <w:lang w:val="pt-PT"/>
        </w:rPr>
        <w:t xml:space="preserve">referido </w:t>
      </w:r>
      <w:r w:rsidR="006464A9">
        <w:rPr>
          <w:rFonts w:ascii="Garamond" w:hAnsi="Garamond" w:cs="Arial"/>
          <w:sz w:val="24"/>
          <w:szCs w:val="24"/>
          <w:lang w:val="pt-PT"/>
        </w:rPr>
        <w:t xml:space="preserve">na </w:t>
      </w:r>
      <w:r w:rsidR="00C965B4" w:rsidRPr="003A1174">
        <w:rPr>
          <w:rFonts w:ascii="Garamond" w:hAnsi="Garamond" w:cs="Arial"/>
          <w:sz w:val="24"/>
          <w:szCs w:val="24"/>
          <w:lang w:val="pt-PT"/>
        </w:rPr>
        <w:t>Recomendação</w:t>
      </w:r>
      <w:r w:rsidR="006417A5"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6417A5" w:rsidRPr="003A1174">
        <w:rPr>
          <w:rFonts w:ascii="Garamond" w:hAnsi="Garamond" w:cs="Arial"/>
          <w:sz w:val="24"/>
          <w:szCs w:val="24"/>
          <w:lang w:val="pt-PT"/>
        </w:rPr>
        <w:t xml:space="preserve"> N</w:t>
      </w:r>
      <w:r w:rsidR="006464A9">
        <w:rPr>
          <w:rFonts w:ascii="Garamond" w:hAnsi="Garamond" w:cs="Arial"/>
          <w:sz w:val="24"/>
          <w:szCs w:val="24"/>
          <w:lang w:val="pt-PT"/>
        </w:rPr>
        <w:t>.</w:t>
      </w:r>
      <w:r w:rsidR="00AA75B0" w:rsidRPr="003A1174">
        <w:rPr>
          <w:rFonts w:ascii="Garamond" w:hAnsi="Garamond" w:cs="Arial"/>
          <w:sz w:val="24"/>
          <w:szCs w:val="24"/>
          <w:lang w:val="pt-PT"/>
        </w:rPr>
        <w:t>°</w:t>
      </w:r>
      <w:r w:rsidR="006417A5" w:rsidRPr="003A1174">
        <w:rPr>
          <w:rFonts w:ascii="Garamond" w:hAnsi="Garamond" w:cs="Arial"/>
          <w:sz w:val="24"/>
          <w:szCs w:val="24"/>
          <w:lang w:val="pt-PT"/>
        </w:rPr>
        <w:t xml:space="preserve"> 19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Comité para </w:t>
      </w:r>
      <w:r w:rsidR="006417A5" w:rsidRPr="003A1174">
        <w:rPr>
          <w:rFonts w:ascii="Garamond" w:hAnsi="Garamond" w:cs="Arial"/>
          <w:sz w:val="24"/>
          <w:szCs w:val="24"/>
          <w:lang w:val="pt-PT"/>
        </w:rPr>
        <w:t xml:space="preserve">a </w:t>
      </w:r>
      <w:r w:rsidR="008E7A2A" w:rsidRPr="003A1174">
        <w:rPr>
          <w:rFonts w:ascii="Garamond" w:hAnsi="Garamond" w:cs="Arial"/>
          <w:sz w:val="24"/>
          <w:szCs w:val="24"/>
          <w:lang w:val="pt-PT"/>
        </w:rPr>
        <w:t>Eliminação</w:t>
      </w:r>
      <w:r w:rsidR="006417A5" w:rsidRPr="003A1174">
        <w:rPr>
          <w:rFonts w:ascii="Garamond" w:hAnsi="Garamond" w:cs="Arial"/>
          <w:sz w:val="24"/>
          <w:szCs w:val="24"/>
          <w:lang w:val="pt-PT"/>
        </w:rPr>
        <w:t xml:space="preserve"> da </w:t>
      </w:r>
      <w:r w:rsidR="0017447A" w:rsidRPr="003A1174">
        <w:rPr>
          <w:rFonts w:ascii="Garamond" w:hAnsi="Garamond" w:cs="Arial"/>
          <w:sz w:val="24"/>
          <w:szCs w:val="24"/>
          <w:lang w:val="pt-PT"/>
        </w:rPr>
        <w:t>Discriminação</w:t>
      </w:r>
      <w:r w:rsidR="006417A5" w:rsidRPr="003A1174">
        <w:rPr>
          <w:rFonts w:ascii="Garamond" w:hAnsi="Garamond" w:cs="Arial"/>
          <w:sz w:val="24"/>
          <w:szCs w:val="24"/>
          <w:lang w:val="pt-PT"/>
        </w:rPr>
        <w:t xml:space="preserve"> </w:t>
      </w:r>
      <w:r w:rsidR="006464A9">
        <w:rPr>
          <w:rFonts w:ascii="Garamond" w:hAnsi="Garamond" w:cs="Arial"/>
          <w:sz w:val="24"/>
          <w:szCs w:val="24"/>
          <w:lang w:val="pt-PT"/>
        </w:rPr>
        <w:t>C</w:t>
      </w:r>
      <w:r w:rsidR="00BB2B00" w:rsidRPr="003A1174">
        <w:rPr>
          <w:rFonts w:ascii="Garamond" w:hAnsi="Garamond" w:cs="Arial"/>
          <w:sz w:val="24"/>
          <w:szCs w:val="24"/>
          <w:lang w:val="pt-PT"/>
        </w:rPr>
        <w:t>ontra a</w:t>
      </w:r>
      <w:r w:rsidR="006417A5"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006417A5" w:rsidRPr="003A1174">
        <w:rPr>
          <w:rFonts w:ascii="Garamond" w:hAnsi="Garamond" w:cs="Arial"/>
          <w:sz w:val="24"/>
          <w:szCs w:val="24"/>
          <w:lang w:val="pt-PT"/>
        </w:rPr>
        <w:t>.</w:t>
      </w:r>
      <w:r w:rsidR="006417A5" w:rsidRPr="003A1174">
        <w:rPr>
          <w:rStyle w:val="Refdenotaalpie"/>
          <w:rFonts w:ascii="Garamond" w:hAnsi="Garamond" w:cs="Arial"/>
          <w:sz w:val="24"/>
          <w:szCs w:val="24"/>
        </w:rPr>
        <w:footnoteReference w:id="151"/>
      </w:r>
    </w:p>
    <w:p w:rsidR="006417A5" w:rsidRPr="003A1174" w:rsidRDefault="006417A5" w:rsidP="008719D4">
      <w:pPr>
        <w:pStyle w:val="Prrafodelista"/>
        <w:spacing w:before="240" w:line="240" w:lineRule="auto"/>
        <w:jc w:val="both"/>
        <w:rPr>
          <w:rFonts w:ascii="Garamond" w:hAnsi="Garamond" w:cs="Arial"/>
          <w:sz w:val="24"/>
          <w:szCs w:val="24"/>
          <w:lang w:val="pt-PT"/>
        </w:rPr>
      </w:pPr>
      <w:r w:rsidRPr="003A1174">
        <w:rPr>
          <w:rFonts w:ascii="Garamond" w:hAnsi="Garamond" w:cs="Arial"/>
          <w:sz w:val="24"/>
          <w:szCs w:val="24"/>
          <w:lang w:val="pt-PT"/>
        </w:rPr>
        <w:t>Co</w:t>
      </w:r>
      <w:r w:rsidR="00BE29F7" w:rsidRPr="003A1174">
        <w:rPr>
          <w:rFonts w:ascii="Garamond" w:hAnsi="Garamond" w:cs="Arial"/>
          <w:sz w:val="24"/>
          <w:szCs w:val="24"/>
          <w:lang w:val="pt-PT"/>
        </w:rPr>
        <w:t>m</w:t>
      </w:r>
      <w:r w:rsidRPr="003A1174">
        <w:rPr>
          <w:rFonts w:ascii="Garamond" w:hAnsi="Garamond" w:cs="Arial"/>
          <w:sz w:val="24"/>
          <w:szCs w:val="24"/>
          <w:lang w:val="pt-PT"/>
        </w:rPr>
        <w:t xml:space="preserve"> tanta o</w:t>
      </w:r>
      <w:r w:rsidR="00BE29F7" w:rsidRPr="003A1174">
        <w:rPr>
          <w:rFonts w:ascii="Garamond" w:hAnsi="Garamond" w:cs="Arial"/>
          <w:sz w:val="24"/>
          <w:szCs w:val="24"/>
          <w:lang w:val="pt-PT"/>
        </w:rPr>
        <w:t>u</w:t>
      </w:r>
      <w:r w:rsidRPr="003A1174">
        <w:rPr>
          <w:rFonts w:ascii="Garamond" w:hAnsi="Garamond" w:cs="Arial"/>
          <w:sz w:val="24"/>
          <w:szCs w:val="24"/>
          <w:lang w:val="pt-PT"/>
        </w:rPr>
        <w:t xml:space="preserve"> </w:t>
      </w:r>
      <w:r w:rsidR="00863197" w:rsidRPr="003A1174">
        <w:rPr>
          <w:rFonts w:ascii="Garamond" w:hAnsi="Garamond" w:cs="Arial"/>
          <w:sz w:val="24"/>
          <w:szCs w:val="24"/>
          <w:lang w:val="pt-PT"/>
        </w:rPr>
        <w:t>maior</w:t>
      </w:r>
      <w:r w:rsidR="00BE29F7" w:rsidRPr="003A1174">
        <w:rPr>
          <w:rFonts w:ascii="Garamond" w:hAnsi="Garamond" w:cs="Arial"/>
          <w:sz w:val="24"/>
          <w:szCs w:val="24"/>
          <w:lang w:val="pt-PT"/>
        </w:rPr>
        <w:t xml:space="preserve"> evidê</w:t>
      </w:r>
      <w:r w:rsidRPr="003A1174">
        <w:rPr>
          <w:rFonts w:ascii="Garamond" w:hAnsi="Garamond" w:cs="Arial"/>
          <w:sz w:val="24"/>
          <w:szCs w:val="24"/>
          <w:lang w:val="pt-PT"/>
        </w:rPr>
        <w:t>ncia</w:t>
      </w:r>
      <w:r w:rsidR="00AA75B0" w:rsidRPr="003A1174">
        <w:rPr>
          <w:rFonts w:ascii="Garamond" w:hAnsi="Garamond" w:cs="Arial"/>
          <w:sz w:val="24"/>
          <w:szCs w:val="24"/>
          <w:lang w:val="pt-PT"/>
        </w:rPr>
        <w:t>,</w:t>
      </w:r>
      <w:r w:rsidRPr="003A1174">
        <w:rPr>
          <w:rFonts w:ascii="Garamond" w:hAnsi="Garamond" w:cs="Arial"/>
          <w:sz w:val="24"/>
          <w:szCs w:val="24"/>
          <w:lang w:val="pt-PT"/>
        </w:rPr>
        <w:t xml:space="preserve"> tam</w:t>
      </w:r>
      <w:r w:rsidR="00BE29F7" w:rsidRPr="003A1174">
        <w:rPr>
          <w:rFonts w:ascii="Garamond" w:hAnsi="Garamond" w:cs="Arial"/>
          <w:sz w:val="24"/>
          <w:szCs w:val="24"/>
          <w:lang w:val="pt-PT"/>
        </w:rPr>
        <w:t xml:space="preserve">bém não se </w:t>
      </w:r>
      <w:r w:rsidRPr="003A1174">
        <w:rPr>
          <w:rFonts w:ascii="Garamond" w:hAnsi="Garamond" w:cs="Arial"/>
          <w:sz w:val="24"/>
          <w:szCs w:val="24"/>
          <w:lang w:val="pt-PT"/>
        </w:rPr>
        <w:t>super</w:t>
      </w:r>
      <w:r w:rsidR="00BE29F7" w:rsidRPr="003A1174">
        <w:rPr>
          <w:rFonts w:ascii="Garamond" w:hAnsi="Garamond" w:cs="Arial"/>
          <w:sz w:val="24"/>
          <w:szCs w:val="24"/>
          <w:lang w:val="pt-PT"/>
        </w:rPr>
        <w:t xml:space="preserve">ou </w:t>
      </w:r>
      <w:r w:rsidRPr="003A1174">
        <w:rPr>
          <w:rFonts w:ascii="Garamond" w:hAnsi="Garamond" w:cs="Arial"/>
          <w:sz w:val="24"/>
          <w:szCs w:val="24"/>
          <w:lang w:val="pt-PT"/>
        </w:rPr>
        <w:t xml:space="preserve">a </w:t>
      </w:r>
      <w:r w:rsidR="00C30647" w:rsidRPr="003A1174">
        <w:rPr>
          <w:rFonts w:ascii="Garamond" w:hAnsi="Garamond" w:cs="Arial"/>
          <w:sz w:val="24"/>
          <w:szCs w:val="24"/>
          <w:lang w:val="pt-PT"/>
        </w:rPr>
        <w:t>persistência</w:t>
      </w:r>
      <w:r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BE29F7" w:rsidRPr="003A1174">
        <w:rPr>
          <w:rFonts w:ascii="Garamond" w:hAnsi="Garamond" w:cs="Arial"/>
          <w:sz w:val="24"/>
          <w:szCs w:val="24"/>
          <w:lang w:val="pt-PT"/>
        </w:rPr>
        <w:t xml:space="preserve"> fenómeno d</w:t>
      </w:r>
      <w:r w:rsidRPr="003A1174">
        <w:rPr>
          <w:rFonts w:ascii="Garamond" w:hAnsi="Garamond" w:cs="Arial"/>
          <w:sz w:val="24"/>
          <w:szCs w:val="24"/>
          <w:lang w:val="pt-PT"/>
        </w:rPr>
        <w:t xml:space="preserve">a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intrafamiliar que </w:t>
      </w:r>
      <w:r w:rsidR="001B02AD" w:rsidRPr="003A1174">
        <w:rPr>
          <w:rFonts w:ascii="Garamond" w:hAnsi="Garamond" w:cs="Arial"/>
          <w:sz w:val="24"/>
          <w:szCs w:val="24"/>
          <w:lang w:val="pt-PT"/>
        </w:rPr>
        <w:t>afeta</w:t>
      </w:r>
      <w:r w:rsidRPr="003A1174">
        <w:rPr>
          <w:rFonts w:ascii="Garamond" w:hAnsi="Garamond" w:cs="Arial"/>
          <w:sz w:val="24"/>
          <w:szCs w:val="24"/>
          <w:lang w:val="pt-PT"/>
        </w:rPr>
        <w:t xml:space="preserve"> numerosas </w:t>
      </w:r>
      <w:r w:rsidR="00054EE0" w:rsidRPr="003A1174">
        <w:rPr>
          <w:rFonts w:ascii="Garamond" w:hAnsi="Garamond" w:cs="Arial"/>
          <w:sz w:val="24"/>
          <w:szCs w:val="24"/>
          <w:lang w:val="pt-PT"/>
        </w:rPr>
        <w:t>mulheres</w:t>
      </w:r>
      <w:r w:rsidRPr="003A1174">
        <w:rPr>
          <w:rFonts w:ascii="Garamond" w:hAnsi="Garamond" w:cs="Arial"/>
          <w:sz w:val="24"/>
          <w:szCs w:val="24"/>
          <w:lang w:val="pt-PT"/>
        </w:rPr>
        <w:t xml:space="preserve">, </w:t>
      </w:r>
      <w:r w:rsidR="006464A9">
        <w:rPr>
          <w:rFonts w:ascii="Garamond" w:hAnsi="Garamond" w:cs="Arial"/>
          <w:sz w:val="24"/>
          <w:szCs w:val="24"/>
          <w:lang w:val="pt-PT"/>
        </w:rPr>
        <w:t>realçado,</w:t>
      </w:r>
      <w:r w:rsidR="00BE29F7" w:rsidRPr="003A1174">
        <w:rPr>
          <w:rFonts w:ascii="Garamond" w:hAnsi="Garamond" w:cs="Arial"/>
          <w:sz w:val="24"/>
          <w:szCs w:val="24"/>
          <w:lang w:val="pt-PT"/>
        </w:rPr>
        <w:t xml:space="preserve"> também</w:t>
      </w:r>
      <w:r w:rsidR="006464A9">
        <w:rPr>
          <w:rFonts w:ascii="Garamond" w:hAnsi="Garamond" w:cs="Arial"/>
          <w:sz w:val="24"/>
          <w:szCs w:val="24"/>
          <w:lang w:val="pt-PT"/>
        </w:rPr>
        <w:t>,</w:t>
      </w:r>
      <w:r w:rsidR="00BE29F7" w:rsidRPr="003A1174">
        <w:rPr>
          <w:rFonts w:ascii="Garamond" w:hAnsi="Garamond" w:cs="Arial"/>
          <w:sz w:val="24"/>
          <w:szCs w:val="24"/>
          <w:lang w:val="pt-PT"/>
        </w:rPr>
        <w:t xml:space="preserve"> </w:t>
      </w:r>
      <w:r w:rsidR="00275092" w:rsidRPr="003A1174">
        <w:rPr>
          <w:rFonts w:ascii="Garamond" w:hAnsi="Garamond" w:cs="Arial"/>
          <w:sz w:val="24"/>
          <w:szCs w:val="24"/>
          <w:lang w:val="pt-PT"/>
        </w:rPr>
        <w:t>pela</w:t>
      </w:r>
      <w:r w:rsidRPr="003A1174">
        <w:rPr>
          <w:rFonts w:ascii="Garamond" w:hAnsi="Garamond" w:cs="Arial"/>
          <w:sz w:val="24"/>
          <w:szCs w:val="24"/>
          <w:lang w:val="pt-PT"/>
        </w:rPr>
        <w:t xml:space="preserve"> </w:t>
      </w:r>
      <w:r w:rsidR="006464A9">
        <w:rPr>
          <w:rFonts w:ascii="Garamond" w:hAnsi="Garamond" w:cs="Arial"/>
          <w:sz w:val="24"/>
          <w:szCs w:val="24"/>
          <w:lang w:val="pt-PT"/>
        </w:rPr>
        <w:t xml:space="preserve">referida </w:t>
      </w:r>
      <w:r w:rsidR="00C965B4" w:rsidRPr="003A1174">
        <w:rPr>
          <w:rFonts w:ascii="Garamond" w:hAnsi="Garamond" w:cs="Arial"/>
          <w:sz w:val="24"/>
          <w:szCs w:val="24"/>
          <w:lang w:val="pt-PT"/>
        </w:rPr>
        <w:t>Recomendação</w:t>
      </w:r>
      <w:r w:rsidR="00AA75B0" w:rsidRPr="003A1174">
        <w:rPr>
          <w:rFonts w:ascii="Garamond" w:hAnsi="Garamond" w:cs="Arial"/>
          <w:sz w:val="24"/>
          <w:szCs w:val="24"/>
          <w:lang w:val="pt-PT"/>
        </w:rPr>
        <w:t>,</w:t>
      </w:r>
      <w:r w:rsidRPr="003A1174">
        <w:rPr>
          <w:rFonts w:ascii="Garamond" w:hAnsi="Garamond" w:cs="Arial"/>
          <w:sz w:val="24"/>
          <w:szCs w:val="24"/>
          <w:lang w:val="pt-PT"/>
        </w:rPr>
        <w:t xml:space="preserve"> como </w:t>
      </w:r>
      <w:r w:rsidR="006F13E7" w:rsidRPr="003A1174">
        <w:rPr>
          <w:rFonts w:ascii="Garamond" w:hAnsi="Garamond" w:cs="Arial"/>
          <w:sz w:val="24"/>
          <w:szCs w:val="24"/>
          <w:lang w:val="pt-PT"/>
        </w:rPr>
        <w:t>o fazem</w:t>
      </w:r>
      <w:r w:rsidR="006464A9">
        <w:rPr>
          <w:rFonts w:ascii="Garamond" w:hAnsi="Garamond" w:cs="Arial"/>
          <w:sz w:val="24"/>
          <w:szCs w:val="24"/>
          <w:lang w:val="pt-PT"/>
        </w:rPr>
        <w:t>,</w:t>
      </w:r>
      <w:r w:rsidR="006F13E7" w:rsidRPr="003A1174">
        <w:rPr>
          <w:rFonts w:ascii="Garamond" w:hAnsi="Garamond" w:cs="Arial"/>
          <w:sz w:val="24"/>
          <w:szCs w:val="24"/>
          <w:lang w:val="pt-PT"/>
        </w:rPr>
        <w:t xml:space="preserve"> </w:t>
      </w:r>
      <w:r w:rsidR="006464A9">
        <w:rPr>
          <w:rFonts w:ascii="Garamond" w:hAnsi="Garamond" w:cs="Arial"/>
          <w:sz w:val="24"/>
          <w:szCs w:val="24"/>
          <w:lang w:val="pt-PT"/>
        </w:rPr>
        <w:t xml:space="preserve">de igual forma, </w:t>
      </w:r>
      <w:r w:rsidRPr="003A1174">
        <w:rPr>
          <w:rFonts w:ascii="Garamond" w:hAnsi="Garamond" w:cs="Arial"/>
          <w:sz w:val="24"/>
          <w:szCs w:val="24"/>
          <w:lang w:val="pt-PT"/>
        </w:rPr>
        <w:t xml:space="preserve">os </w:t>
      </w:r>
      <w:r w:rsidR="00383B3F" w:rsidRPr="003A1174">
        <w:rPr>
          <w:rFonts w:ascii="Garamond" w:hAnsi="Garamond" w:cs="Arial"/>
          <w:sz w:val="24"/>
          <w:szCs w:val="24"/>
          <w:lang w:val="pt-PT"/>
        </w:rPr>
        <w:t>Art</w:t>
      </w:r>
      <w:r w:rsidR="00AA75B0" w:rsidRPr="003A1174">
        <w:rPr>
          <w:rFonts w:ascii="Garamond" w:hAnsi="Garamond" w:cs="Arial"/>
          <w:sz w:val="24"/>
          <w:szCs w:val="24"/>
          <w:lang w:val="pt-PT"/>
        </w:rPr>
        <w:t>s</w:t>
      </w:r>
      <w:r w:rsidR="00383B3F" w:rsidRPr="003A1174">
        <w:rPr>
          <w:rFonts w:ascii="Garamond" w:hAnsi="Garamond" w:cs="Arial"/>
          <w:sz w:val="24"/>
          <w:szCs w:val="24"/>
          <w:lang w:val="pt-PT"/>
        </w:rPr>
        <w:t>.</w:t>
      </w:r>
      <w:r w:rsidRPr="003A1174">
        <w:rPr>
          <w:rFonts w:ascii="Garamond" w:hAnsi="Garamond" w:cs="Arial"/>
          <w:sz w:val="24"/>
          <w:szCs w:val="24"/>
          <w:lang w:val="pt-PT"/>
        </w:rPr>
        <w:t xml:space="preserve"> </w:t>
      </w:r>
      <w:proofErr w:type="gramStart"/>
      <w:r w:rsidRPr="003A1174">
        <w:rPr>
          <w:rFonts w:ascii="Garamond" w:hAnsi="Garamond" w:cs="Arial"/>
          <w:sz w:val="24"/>
          <w:szCs w:val="24"/>
          <w:lang w:val="pt-PT"/>
        </w:rPr>
        <w:t>1</w:t>
      </w:r>
      <w:proofErr w:type="gramEnd"/>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2</w:t>
      </w:r>
      <w:r w:rsidR="006464A9">
        <w:rPr>
          <w:rFonts w:ascii="Garamond" w:hAnsi="Garamond" w:cs="Arial"/>
          <w:sz w:val="24"/>
          <w:szCs w:val="24"/>
          <w:lang w:val="pt-PT"/>
        </w:rPr>
        <w:t xml:space="preserve">, alínea </w:t>
      </w:r>
      <w:r w:rsidRPr="003A1174">
        <w:rPr>
          <w:rFonts w:ascii="Garamond" w:hAnsi="Garamond" w:cs="Arial"/>
          <w:sz w:val="24"/>
          <w:szCs w:val="24"/>
          <w:lang w:val="pt-PT"/>
        </w:rPr>
        <w:t>a</w:t>
      </w:r>
      <w:r w:rsidR="006464A9">
        <w:rPr>
          <w:rFonts w:ascii="Garamond" w:hAnsi="Garamond" w:cs="Arial"/>
          <w:sz w:val="24"/>
          <w:szCs w:val="24"/>
          <w:lang w:val="pt-PT"/>
        </w:rPr>
        <w:t>)</w:t>
      </w:r>
      <w:r w:rsidRPr="003A1174">
        <w:rPr>
          <w:rFonts w:ascii="Garamond" w:hAnsi="Garamond" w:cs="Arial"/>
          <w:sz w:val="24"/>
          <w:szCs w:val="24"/>
          <w:lang w:val="pt-PT"/>
        </w:rPr>
        <w:t xml:space="preserve"> da </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de Belém do Pará</w:t>
      </w:r>
      <w:r w:rsidR="00A25D69"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6F13E7" w:rsidRPr="003A1174">
        <w:rPr>
          <w:rFonts w:ascii="Garamond" w:hAnsi="Garamond" w:cs="Arial"/>
          <w:sz w:val="24"/>
          <w:szCs w:val="24"/>
          <w:lang w:val="pt-PT"/>
        </w:rPr>
        <w:t xml:space="preserve">, obviamente, </w:t>
      </w:r>
      <w:r w:rsidR="00A25D69" w:rsidRPr="003A1174">
        <w:rPr>
          <w:rFonts w:ascii="Garamond" w:hAnsi="Garamond" w:cs="Arial"/>
          <w:sz w:val="24"/>
          <w:szCs w:val="24"/>
          <w:lang w:val="pt-PT"/>
        </w:rPr>
        <w:t xml:space="preserve">a </w:t>
      </w:r>
      <w:r w:rsidR="002C7510" w:rsidRPr="003A1174">
        <w:rPr>
          <w:rFonts w:ascii="Garamond" w:hAnsi="Garamond" w:cs="Arial"/>
          <w:sz w:val="24"/>
          <w:szCs w:val="24"/>
          <w:lang w:val="pt-PT"/>
        </w:rPr>
        <w:t>Rede</w:t>
      </w:r>
      <w:r w:rsidR="00A25D69" w:rsidRPr="003A1174">
        <w:rPr>
          <w:rFonts w:ascii="Garamond" w:hAnsi="Garamond" w:cs="Arial"/>
          <w:sz w:val="24"/>
          <w:szCs w:val="24"/>
          <w:lang w:val="pt-PT"/>
        </w:rPr>
        <w:t xml:space="preserve"> de </w:t>
      </w:r>
      <w:r w:rsidR="00DC5DA7" w:rsidRPr="003A1174">
        <w:rPr>
          <w:rFonts w:ascii="Garamond" w:hAnsi="Garamond" w:cs="Arial"/>
          <w:sz w:val="24"/>
          <w:szCs w:val="24"/>
          <w:lang w:val="pt-PT"/>
        </w:rPr>
        <w:t>Provedorias</w:t>
      </w:r>
      <w:r w:rsidR="00A25D69" w:rsidRPr="003A1174">
        <w:rPr>
          <w:rFonts w:ascii="Garamond" w:hAnsi="Garamond" w:cs="Arial"/>
          <w:sz w:val="24"/>
          <w:szCs w:val="24"/>
          <w:lang w:val="pt-PT"/>
        </w:rPr>
        <w:t xml:space="preserve"> de </w:t>
      </w:r>
      <w:r w:rsidR="00054EE0" w:rsidRPr="003A1174">
        <w:rPr>
          <w:rFonts w:ascii="Garamond" w:hAnsi="Garamond" w:cs="Arial"/>
          <w:sz w:val="24"/>
          <w:szCs w:val="24"/>
          <w:lang w:val="pt-PT"/>
        </w:rPr>
        <w:t>Mulheres</w:t>
      </w:r>
      <w:r w:rsidR="006F13E7" w:rsidRPr="003A1174">
        <w:rPr>
          <w:rFonts w:ascii="Garamond" w:hAnsi="Garamond" w:cs="Arial"/>
          <w:sz w:val="24"/>
          <w:szCs w:val="24"/>
          <w:lang w:val="pt-PT"/>
        </w:rPr>
        <w:t xml:space="preserve"> d</w:t>
      </w:r>
      <w:r w:rsidR="00A25D69" w:rsidRPr="003A1174">
        <w:rPr>
          <w:rFonts w:ascii="Garamond" w:hAnsi="Garamond" w:cs="Arial"/>
          <w:sz w:val="24"/>
          <w:szCs w:val="24"/>
          <w:lang w:val="pt-PT"/>
        </w:rPr>
        <w:t xml:space="preserve">a </w:t>
      </w:r>
      <w:r w:rsidR="00C30647" w:rsidRPr="003A1174">
        <w:rPr>
          <w:rFonts w:ascii="Garamond" w:hAnsi="Garamond" w:cs="Arial"/>
          <w:sz w:val="24"/>
          <w:szCs w:val="24"/>
          <w:lang w:val="pt-PT"/>
        </w:rPr>
        <w:t>Federação</w:t>
      </w:r>
      <w:r w:rsidR="00A25D69" w:rsidRPr="003A1174">
        <w:rPr>
          <w:rFonts w:ascii="Garamond" w:hAnsi="Garamond" w:cs="Arial"/>
          <w:sz w:val="24"/>
          <w:szCs w:val="24"/>
          <w:lang w:val="pt-PT"/>
        </w:rPr>
        <w:t xml:space="preserve"> Iberoamericana de Ombudsman.</w:t>
      </w:r>
      <w:r w:rsidR="00A25D69" w:rsidRPr="003A1174">
        <w:rPr>
          <w:rStyle w:val="Refdenotaalpie"/>
          <w:rFonts w:ascii="Garamond" w:hAnsi="Garamond" w:cs="Arial"/>
          <w:sz w:val="24"/>
          <w:szCs w:val="24"/>
        </w:rPr>
        <w:footnoteReference w:id="152"/>
      </w:r>
      <w:r w:rsidR="00A25D69" w:rsidRPr="003A1174">
        <w:rPr>
          <w:rFonts w:ascii="Garamond" w:hAnsi="Garamond" w:cs="Arial"/>
          <w:sz w:val="24"/>
          <w:szCs w:val="24"/>
          <w:lang w:val="pt-PT"/>
        </w:rPr>
        <w:t xml:space="preserve"> </w:t>
      </w:r>
    </w:p>
    <w:p w:rsidR="00CF5971" w:rsidRPr="003A1174" w:rsidRDefault="006F13E7" w:rsidP="006F13E7">
      <w:pPr>
        <w:pStyle w:val="Prrafodelista"/>
        <w:numPr>
          <w:ilvl w:val="0"/>
          <w:numId w:val="44"/>
        </w:numPr>
        <w:spacing w:before="240" w:line="240" w:lineRule="auto"/>
        <w:jc w:val="both"/>
        <w:rPr>
          <w:rFonts w:ascii="Garamond" w:hAnsi="Garamond" w:cs="Arial"/>
          <w:sz w:val="24"/>
          <w:szCs w:val="24"/>
          <w:lang w:val="pt-PT"/>
        </w:rPr>
      </w:pPr>
      <w:r w:rsidRPr="00A30F0E">
        <w:rPr>
          <w:rFonts w:ascii="Garamond" w:hAnsi="Garamond" w:cs="Arial"/>
          <w:sz w:val="24"/>
          <w:szCs w:val="24"/>
          <w:lang w:val="pt-PT"/>
        </w:rPr>
        <w:t xml:space="preserve">É </w:t>
      </w:r>
      <w:r w:rsidR="00A25D69" w:rsidRPr="00A30F0E">
        <w:rPr>
          <w:rFonts w:ascii="Garamond" w:hAnsi="Garamond" w:cs="Arial"/>
          <w:sz w:val="24"/>
          <w:szCs w:val="24"/>
          <w:lang w:val="pt-PT"/>
        </w:rPr>
        <w:t>consistente co</w:t>
      </w:r>
      <w:r w:rsidRPr="00A30F0E">
        <w:rPr>
          <w:rFonts w:ascii="Garamond" w:hAnsi="Garamond" w:cs="Arial"/>
          <w:sz w:val="24"/>
          <w:szCs w:val="24"/>
          <w:lang w:val="pt-PT"/>
        </w:rPr>
        <w:t xml:space="preserve">m o que </w:t>
      </w:r>
      <w:r w:rsidR="00A30F0E" w:rsidRPr="00A30F0E">
        <w:rPr>
          <w:rFonts w:ascii="Garamond" w:hAnsi="Garamond" w:cs="Arial"/>
          <w:sz w:val="24"/>
          <w:szCs w:val="24"/>
          <w:lang w:val="pt-PT"/>
        </w:rPr>
        <w:t xml:space="preserve">atrás </w:t>
      </w:r>
      <w:r w:rsidRPr="00A30F0E">
        <w:rPr>
          <w:rFonts w:ascii="Garamond" w:hAnsi="Garamond" w:cs="Arial"/>
          <w:sz w:val="24"/>
          <w:szCs w:val="24"/>
          <w:lang w:val="pt-PT"/>
        </w:rPr>
        <w:t xml:space="preserve">se </w:t>
      </w:r>
      <w:proofErr w:type="gramStart"/>
      <w:r w:rsidR="00A30F0E" w:rsidRPr="00A30F0E">
        <w:rPr>
          <w:rFonts w:ascii="Garamond" w:hAnsi="Garamond" w:cs="Arial"/>
          <w:sz w:val="24"/>
          <w:szCs w:val="24"/>
          <w:lang w:val="pt-PT"/>
        </w:rPr>
        <w:t>afirmou,</w:t>
      </w:r>
      <w:proofErr w:type="gramEnd"/>
      <w:r w:rsidR="00A30F0E" w:rsidRPr="00A30F0E">
        <w:rPr>
          <w:rFonts w:ascii="Garamond" w:hAnsi="Garamond" w:cs="Arial"/>
          <w:sz w:val="24"/>
          <w:szCs w:val="24"/>
          <w:lang w:val="pt-PT"/>
        </w:rPr>
        <w:t xml:space="preserve"> </w:t>
      </w:r>
      <w:r w:rsidRPr="00A30F0E">
        <w:rPr>
          <w:rFonts w:ascii="Garamond" w:hAnsi="Garamond" w:cs="Arial"/>
          <w:sz w:val="24"/>
          <w:szCs w:val="24"/>
          <w:lang w:val="pt-PT"/>
        </w:rPr>
        <w:t>o</w:t>
      </w:r>
      <w:r w:rsidR="00A25D69" w:rsidRPr="00A30F0E">
        <w:rPr>
          <w:rFonts w:ascii="Garamond" w:hAnsi="Garamond" w:cs="Arial"/>
          <w:sz w:val="24"/>
          <w:szCs w:val="24"/>
          <w:lang w:val="pt-PT"/>
        </w:rPr>
        <w:t xml:space="preserve"> </w:t>
      </w:r>
      <w:r w:rsidR="001647F2" w:rsidRPr="00A30F0E">
        <w:rPr>
          <w:rFonts w:ascii="Garamond" w:hAnsi="Garamond" w:cs="Arial"/>
          <w:sz w:val="24"/>
          <w:szCs w:val="24"/>
          <w:lang w:val="pt-PT"/>
        </w:rPr>
        <w:t>facto</w:t>
      </w:r>
      <w:r w:rsidR="00AA75B0" w:rsidRPr="00A30F0E">
        <w:rPr>
          <w:rFonts w:ascii="Garamond" w:hAnsi="Garamond" w:cs="Arial"/>
          <w:sz w:val="24"/>
          <w:szCs w:val="24"/>
          <w:lang w:val="pt-PT"/>
        </w:rPr>
        <w:t xml:space="preserve"> de </w:t>
      </w:r>
      <w:r w:rsidR="00A25D69" w:rsidRPr="00A30F0E">
        <w:rPr>
          <w:rFonts w:ascii="Garamond" w:hAnsi="Garamond" w:cs="Arial"/>
          <w:sz w:val="24"/>
          <w:szCs w:val="24"/>
          <w:lang w:val="pt-PT"/>
        </w:rPr>
        <w:t xml:space="preserve">que, como </w:t>
      </w:r>
      <w:r w:rsidR="00F520D6" w:rsidRPr="00A30F0E">
        <w:rPr>
          <w:rFonts w:ascii="Garamond" w:hAnsi="Garamond" w:cs="Arial"/>
          <w:sz w:val="24"/>
          <w:szCs w:val="24"/>
          <w:lang w:val="pt-PT"/>
        </w:rPr>
        <w:t>tendência</w:t>
      </w:r>
      <w:r w:rsidR="00A25D69" w:rsidRPr="00A30F0E">
        <w:rPr>
          <w:rFonts w:ascii="Garamond" w:hAnsi="Garamond" w:cs="Arial"/>
          <w:sz w:val="24"/>
          <w:szCs w:val="24"/>
          <w:lang w:val="pt-PT"/>
        </w:rPr>
        <w:t xml:space="preserve"> significativa </w:t>
      </w:r>
      <w:r w:rsidR="000672E8" w:rsidRPr="00A30F0E">
        <w:rPr>
          <w:rFonts w:ascii="Garamond" w:hAnsi="Garamond" w:cs="Arial"/>
          <w:sz w:val="24"/>
          <w:szCs w:val="24"/>
          <w:lang w:val="pt-PT"/>
        </w:rPr>
        <w:t>e</w:t>
      </w:r>
      <w:r w:rsidR="00A30F0E" w:rsidRPr="00A30F0E">
        <w:rPr>
          <w:rFonts w:ascii="Garamond" w:hAnsi="Garamond" w:cs="Arial"/>
          <w:sz w:val="24"/>
          <w:szCs w:val="24"/>
          <w:lang w:val="pt-PT"/>
        </w:rPr>
        <w:t>,</w:t>
      </w:r>
      <w:r w:rsidR="00A25D69" w:rsidRPr="00A30F0E">
        <w:rPr>
          <w:rFonts w:ascii="Garamond" w:hAnsi="Garamond" w:cs="Arial"/>
          <w:sz w:val="24"/>
          <w:szCs w:val="24"/>
          <w:lang w:val="pt-PT"/>
        </w:rPr>
        <w:t xml:space="preserve"> lamenta</w:t>
      </w:r>
      <w:r w:rsidRPr="00A30F0E">
        <w:rPr>
          <w:rFonts w:ascii="Garamond" w:hAnsi="Garamond" w:cs="Arial"/>
          <w:sz w:val="24"/>
          <w:szCs w:val="24"/>
          <w:lang w:val="pt-PT"/>
        </w:rPr>
        <w:t>velmente dominante</w:t>
      </w:r>
      <w:r w:rsidR="00AA75B0" w:rsidRPr="00A30F0E">
        <w:rPr>
          <w:rFonts w:ascii="Garamond" w:hAnsi="Garamond" w:cs="Arial"/>
          <w:sz w:val="24"/>
          <w:szCs w:val="24"/>
          <w:lang w:val="pt-PT"/>
        </w:rPr>
        <w:t>,</w:t>
      </w:r>
      <w:r w:rsidRPr="00A30F0E">
        <w:rPr>
          <w:rFonts w:ascii="Garamond" w:hAnsi="Garamond" w:cs="Arial"/>
          <w:sz w:val="24"/>
          <w:szCs w:val="24"/>
          <w:lang w:val="pt-PT"/>
        </w:rPr>
        <w:t xml:space="preserve"> </w:t>
      </w:r>
      <w:r w:rsidR="00A25D69" w:rsidRPr="00A30F0E">
        <w:rPr>
          <w:rFonts w:ascii="Garamond" w:hAnsi="Garamond" w:cs="Arial"/>
          <w:sz w:val="24"/>
          <w:szCs w:val="24"/>
          <w:lang w:val="pt-PT"/>
        </w:rPr>
        <w:t xml:space="preserve">os Estados </w:t>
      </w:r>
      <w:r w:rsidR="00496EC9" w:rsidRPr="00A30F0E">
        <w:rPr>
          <w:rFonts w:ascii="Garamond" w:hAnsi="Garamond" w:cs="Arial"/>
          <w:sz w:val="24"/>
          <w:szCs w:val="24"/>
          <w:lang w:val="pt-PT"/>
        </w:rPr>
        <w:t>n</w:t>
      </w:r>
      <w:r w:rsidRPr="00A30F0E">
        <w:rPr>
          <w:rFonts w:ascii="Garamond" w:hAnsi="Garamond" w:cs="Arial"/>
          <w:sz w:val="24"/>
          <w:szCs w:val="24"/>
          <w:lang w:val="pt-PT"/>
        </w:rPr>
        <w:t>ã</w:t>
      </w:r>
      <w:r w:rsidR="00496EC9" w:rsidRPr="00A30F0E">
        <w:rPr>
          <w:rFonts w:ascii="Garamond" w:hAnsi="Garamond" w:cs="Arial"/>
          <w:sz w:val="24"/>
          <w:szCs w:val="24"/>
          <w:lang w:val="pt-PT"/>
        </w:rPr>
        <w:t xml:space="preserve">o </w:t>
      </w:r>
      <w:r w:rsidRPr="00A30F0E">
        <w:rPr>
          <w:rFonts w:ascii="Garamond" w:hAnsi="Garamond" w:cs="Arial"/>
          <w:sz w:val="24"/>
          <w:szCs w:val="24"/>
          <w:lang w:val="pt-PT"/>
        </w:rPr>
        <w:t xml:space="preserve">conseguem </w:t>
      </w:r>
      <w:r w:rsidR="00A862C2" w:rsidRPr="00A30F0E">
        <w:rPr>
          <w:rFonts w:ascii="Garamond" w:hAnsi="Garamond" w:cs="Arial"/>
          <w:sz w:val="24"/>
          <w:szCs w:val="24"/>
          <w:lang w:val="pt-PT"/>
        </w:rPr>
        <w:t>alcançar</w:t>
      </w:r>
      <w:r w:rsidR="00496EC9" w:rsidRPr="00A30F0E">
        <w:rPr>
          <w:rFonts w:ascii="Garamond" w:hAnsi="Garamond" w:cs="Arial"/>
          <w:sz w:val="24"/>
          <w:szCs w:val="24"/>
          <w:lang w:val="pt-PT"/>
        </w:rPr>
        <w:t xml:space="preserve"> </w:t>
      </w:r>
      <w:r w:rsidRPr="00A30F0E">
        <w:rPr>
          <w:rFonts w:ascii="Garamond" w:hAnsi="Garamond" w:cs="Arial"/>
          <w:sz w:val="24"/>
          <w:szCs w:val="24"/>
          <w:lang w:val="pt-PT"/>
        </w:rPr>
        <w:t xml:space="preserve">o </w:t>
      </w:r>
      <w:r w:rsidRPr="00A30F0E">
        <w:rPr>
          <w:rFonts w:ascii="Garamond" w:hAnsi="Garamond" w:cs="Arial"/>
          <w:i/>
          <w:sz w:val="24"/>
          <w:szCs w:val="24"/>
          <w:lang w:val="pt-PT"/>
        </w:rPr>
        <w:t>sta</w:t>
      </w:r>
      <w:r w:rsidR="00496EC9" w:rsidRPr="00A30F0E">
        <w:rPr>
          <w:rFonts w:ascii="Garamond" w:hAnsi="Garamond" w:cs="Arial"/>
          <w:i/>
          <w:sz w:val="24"/>
          <w:szCs w:val="24"/>
          <w:lang w:val="pt-PT"/>
        </w:rPr>
        <w:t>ndar</w:t>
      </w:r>
      <w:r w:rsidRPr="00A30F0E">
        <w:rPr>
          <w:rFonts w:ascii="Garamond" w:hAnsi="Garamond" w:cs="Arial"/>
          <w:i/>
          <w:sz w:val="24"/>
          <w:szCs w:val="24"/>
          <w:lang w:val="pt-PT"/>
        </w:rPr>
        <w:t>d</w:t>
      </w:r>
      <w:r w:rsidR="00496EC9" w:rsidRPr="00A30F0E">
        <w:rPr>
          <w:rFonts w:ascii="Garamond" w:hAnsi="Garamond" w:cs="Arial"/>
          <w:sz w:val="24"/>
          <w:szCs w:val="24"/>
          <w:lang w:val="pt-PT"/>
        </w:rPr>
        <w:t xml:space="preserve"> de </w:t>
      </w:r>
      <w:r w:rsidR="00CF4C35" w:rsidRPr="00A30F0E">
        <w:rPr>
          <w:rFonts w:ascii="Garamond" w:hAnsi="Garamond" w:cs="Arial"/>
          <w:sz w:val="24"/>
          <w:szCs w:val="24"/>
          <w:lang w:val="pt-PT"/>
        </w:rPr>
        <w:t>Diligência Devida</w:t>
      </w:r>
      <w:r w:rsidR="00496EC9" w:rsidRPr="00A30F0E">
        <w:rPr>
          <w:rFonts w:ascii="Garamond" w:hAnsi="Garamond" w:cs="Arial"/>
          <w:sz w:val="24"/>
          <w:szCs w:val="24"/>
          <w:lang w:val="pt-PT"/>
        </w:rPr>
        <w:t xml:space="preserve"> que se </w:t>
      </w:r>
      <w:r w:rsidRPr="00A30F0E">
        <w:rPr>
          <w:rFonts w:ascii="Garamond" w:hAnsi="Garamond" w:cs="Arial"/>
          <w:sz w:val="24"/>
          <w:szCs w:val="24"/>
          <w:lang w:val="pt-PT"/>
        </w:rPr>
        <w:t xml:space="preserve">considera </w:t>
      </w:r>
      <w:r w:rsidR="00496EC9" w:rsidRPr="00A30F0E">
        <w:rPr>
          <w:rFonts w:ascii="Garamond" w:hAnsi="Garamond" w:cs="Arial"/>
          <w:sz w:val="24"/>
          <w:szCs w:val="24"/>
          <w:lang w:val="pt-PT"/>
        </w:rPr>
        <w:t xml:space="preserve">como </w:t>
      </w:r>
      <w:r w:rsidR="00AF192F" w:rsidRPr="00A30F0E">
        <w:rPr>
          <w:rFonts w:ascii="Garamond" w:hAnsi="Garamond" w:cs="Arial"/>
          <w:sz w:val="24"/>
          <w:szCs w:val="24"/>
          <w:lang w:val="pt-PT"/>
        </w:rPr>
        <w:t>dever</w:t>
      </w:r>
      <w:r w:rsidR="00496EC9" w:rsidRPr="00A30F0E">
        <w:rPr>
          <w:rFonts w:ascii="Garamond" w:hAnsi="Garamond" w:cs="Arial"/>
          <w:sz w:val="24"/>
          <w:szCs w:val="24"/>
          <w:lang w:val="pt-PT"/>
        </w:rPr>
        <w:t xml:space="preserve"> </w:t>
      </w:r>
      <w:r w:rsidR="000672E8" w:rsidRPr="00A30F0E">
        <w:rPr>
          <w:rFonts w:ascii="Garamond" w:hAnsi="Garamond" w:cs="Arial"/>
          <w:sz w:val="24"/>
          <w:szCs w:val="24"/>
          <w:lang w:val="pt-PT"/>
        </w:rPr>
        <w:t>e</w:t>
      </w:r>
      <w:r w:rsidR="00496EC9" w:rsidRPr="00A30F0E">
        <w:rPr>
          <w:rFonts w:ascii="Garamond" w:hAnsi="Garamond" w:cs="Arial"/>
          <w:sz w:val="24"/>
          <w:szCs w:val="24"/>
          <w:lang w:val="pt-PT"/>
        </w:rPr>
        <w:t xml:space="preserve"> </w:t>
      </w:r>
      <w:r w:rsidR="00AF192F" w:rsidRPr="00A30F0E">
        <w:rPr>
          <w:rFonts w:ascii="Garamond" w:hAnsi="Garamond" w:cs="Arial"/>
          <w:sz w:val="24"/>
          <w:szCs w:val="24"/>
          <w:lang w:val="pt-PT"/>
        </w:rPr>
        <w:t>obrigação</w:t>
      </w:r>
      <w:r w:rsidR="00496EC9" w:rsidRPr="00A30F0E">
        <w:rPr>
          <w:rFonts w:ascii="Garamond" w:hAnsi="Garamond" w:cs="Arial"/>
          <w:sz w:val="24"/>
          <w:szCs w:val="24"/>
          <w:lang w:val="pt-PT"/>
        </w:rPr>
        <w:t xml:space="preserve"> principal </w:t>
      </w:r>
      <w:r w:rsidR="003A391A" w:rsidRPr="00A30F0E">
        <w:rPr>
          <w:rFonts w:ascii="Garamond" w:hAnsi="Garamond" w:cs="Arial"/>
          <w:sz w:val="24"/>
          <w:szCs w:val="24"/>
          <w:lang w:val="pt-PT"/>
        </w:rPr>
        <w:t>nos</w:t>
      </w:r>
      <w:r w:rsidR="00496EC9" w:rsidRPr="00A30F0E">
        <w:rPr>
          <w:rFonts w:ascii="Garamond" w:hAnsi="Garamond" w:cs="Arial"/>
          <w:sz w:val="24"/>
          <w:szCs w:val="24"/>
          <w:lang w:val="pt-PT"/>
        </w:rPr>
        <w:t xml:space="preserve"> </w:t>
      </w:r>
      <w:r w:rsidR="00383B3F" w:rsidRPr="00A30F0E">
        <w:rPr>
          <w:rFonts w:ascii="Garamond" w:hAnsi="Garamond" w:cs="Arial"/>
          <w:sz w:val="24"/>
          <w:szCs w:val="24"/>
          <w:lang w:val="pt-PT"/>
        </w:rPr>
        <w:t>Art</w:t>
      </w:r>
      <w:r w:rsidR="00AA75B0" w:rsidRPr="00A30F0E">
        <w:rPr>
          <w:rFonts w:ascii="Garamond" w:hAnsi="Garamond" w:cs="Arial"/>
          <w:sz w:val="24"/>
          <w:szCs w:val="24"/>
          <w:lang w:val="pt-PT"/>
        </w:rPr>
        <w:t>s</w:t>
      </w:r>
      <w:r w:rsidR="00383B3F" w:rsidRPr="00A30F0E">
        <w:rPr>
          <w:rFonts w:ascii="Garamond" w:hAnsi="Garamond" w:cs="Arial"/>
          <w:sz w:val="24"/>
          <w:szCs w:val="24"/>
          <w:lang w:val="pt-PT"/>
        </w:rPr>
        <w:t>.</w:t>
      </w:r>
      <w:r w:rsidR="00496EC9" w:rsidRPr="00A30F0E">
        <w:rPr>
          <w:rFonts w:ascii="Garamond" w:hAnsi="Garamond" w:cs="Arial"/>
          <w:sz w:val="24"/>
          <w:szCs w:val="24"/>
          <w:lang w:val="pt-PT"/>
        </w:rPr>
        <w:t xml:space="preserve"> 1</w:t>
      </w:r>
      <w:r w:rsidR="00027DC7" w:rsidRPr="00A30F0E">
        <w:rPr>
          <w:rFonts w:ascii="Garamond" w:hAnsi="Garamond" w:cs="Arial"/>
          <w:sz w:val="24"/>
          <w:szCs w:val="24"/>
          <w:lang w:val="pt-PT"/>
        </w:rPr>
        <w:t xml:space="preserve">, n.º </w:t>
      </w:r>
      <w:r w:rsidR="00496EC9" w:rsidRPr="00A30F0E">
        <w:rPr>
          <w:rFonts w:ascii="Garamond" w:hAnsi="Garamond" w:cs="Arial"/>
          <w:sz w:val="24"/>
          <w:szCs w:val="24"/>
          <w:lang w:val="pt-PT"/>
        </w:rPr>
        <w:t xml:space="preserve">1 </w:t>
      </w:r>
      <w:r w:rsidR="000672E8" w:rsidRPr="00A30F0E">
        <w:rPr>
          <w:rFonts w:ascii="Garamond" w:hAnsi="Garamond" w:cs="Arial"/>
          <w:sz w:val="24"/>
          <w:szCs w:val="24"/>
          <w:lang w:val="pt-PT"/>
        </w:rPr>
        <w:t>e</w:t>
      </w:r>
      <w:r w:rsidRPr="00A30F0E">
        <w:rPr>
          <w:rFonts w:ascii="Garamond" w:hAnsi="Garamond" w:cs="Arial"/>
          <w:sz w:val="24"/>
          <w:szCs w:val="24"/>
          <w:lang w:val="pt-PT"/>
        </w:rPr>
        <w:t xml:space="preserve"> 2 d</w:t>
      </w:r>
      <w:r w:rsidR="00496EC9" w:rsidRPr="00A30F0E">
        <w:rPr>
          <w:rFonts w:ascii="Garamond" w:hAnsi="Garamond" w:cs="Arial"/>
          <w:sz w:val="24"/>
          <w:szCs w:val="24"/>
          <w:lang w:val="pt-PT"/>
        </w:rPr>
        <w:t xml:space="preserve">a </w:t>
      </w:r>
      <w:r w:rsidR="00B14AA6" w:rsidRPr="00A30F0E">
        <w:rPr>
          <w:rFonts w:ascii="Garamond" w:hAnsi="Garamond" w:cs="Arial"/>
          <w:sz w:val="24"/>
          <w:szCs w:val="24"/>
          <w:lang w:val="pt-PT"/>
        </w:rPr>
        <w:t>Convenção</w:t>
      </w:r>
      <w:r w:rsidR="00496EC9" w:rsidRPr="003A1174">
        <w:rPr>
          <w:rFonts w:ascii="Garamond" w:hAnsi="Garamond" w:cs="Arial"/>
          <w:sz w:val="24"/>
          <w:szCs w:val="24"/>
          <w:lang w:val="pt-PT"/>
        </w:rPr>
        <w:t xml:space="preserve"> Americana sobre </w:t>
      </w:r>
      <w:r w:rsidR="00886D6A" w:rsidRPr="003A1174">
        <w:rPr>
          <w:rFonts w:ascii="Garamond" w:hAnsi="Garamond" w:cs="Arial"/>
          <w:sz w:val="24"/>
          <w:szCs w:val="24"/>
          <w:lang w:val="pt-PT"/>
        </w:rPr>
        <w:t>Direito</w:t>
      </w:r>
      <w:r w:rsidR="00496EC9" w:rsidRPr="003A1174">
        <w:rPr>
          <w:rFonts w:ascii="Garamond" w:hAnsi="Garamond" w:cs="Arial"/>
          <w:sz w:val="24"/>
          <w:szCs w:val="24"/>
          <w:lang w:val="pt-PT"/>
        </w:rPr>
        <w:t>s Humanos.</w:t>
      </w:r>
      <w:r w:rsidR="00496EC9" w:rsidRPr="003A1174">
        <w:rPr>
          <w:rStyle w:val="Refdenotaalpie"/>
          <w:rFonts w:ascii="Garamond" w:hAnsi="Garamond" w:cs="Arial"/>
          <w:sz w:val="24"/>
          <w:szCs w:val="24"/>
        </w:rPr>
        <w:footnoteReference w:id="153"/>
      </w:r>
    </w:p>
    <w:p w:rsidR="00496EC9" w:rsidRPr="003A1174" w:rsidRDefault="006F13E7" w:rsidP="008719D4">
      <w:pPr>
        <w:pStyle w:val="Prrafodelista"/>
        <w:spacing w:before="240" w:line="240" w:lineRule="auto"/>
        <w:jc w:val="both"/>
        <w:rPr>
          <w:rFonts w:ascii="Garamond" w:hAnsi="Garamond" w:cs="Arial"/>
          <w:sz w:val="24"/>
          <w:szCs w:val="24"/>
          <w:lang w:val="pt-PT"/>
        </w:rPr>
      </w:pPr>
      <w:r w:rsidRPr="00BA33CF">
        <w:rPr>
          <w:rFonts w:ascii="Garamond" w:hAnsi="Garamond" w:cs="Arial"/>
          <w:sz w:val="24"/>
          <w:szCs w:val="24"/>
          <w:lang w:val="pt-PT"/>
        </w:rPr>
        <w:t xml:space="preserve">Com </w:t>
      </w:r>
      <w:r w:rsidR="00863197" w:rsidRPr="00BA33CF">
        <w:rPr>
          <w:rFonts w:ascii="Garamond" w:hAnsi="Garamond" w:cs="Arial"/>
          <w:sz w:val="24"/>
          <w:szCs w:val="24"/>
          <w:lang w:val="pt-PT"/>
        </w:rPr>
        <w:t>efeito</w:t>
      </w:r>
      <w:r w:rsidR="00496EC9" w:rsidRPr="00BA33CF">
        <w:rPr>
          <w:rFonts w:ascii="Garamond" w:hAnsi="Garamond" w:cs="Arial"/>
          <w:sz w:val="24"/>
          <w:szCs w:val="24"/>
          <w:lang w:val="pt-PT"/>
        </w:rPr>
        <w:t xml:space="preserve">, salvo </w:t>
      </w:r>
      <w:r w:rsidR="005010E0" w:rsidRPr="00BA33CF">
        <w:rPr>
          <w:rFonts w:ascii="Garamond" w:hAnsi="Garamond" w:cs="Arial"/>
          <w:sz w:val="24"/>
          <w:szCs w:val="24"/>
          <w:lang w:val="pt-PT"/>
        </w:rPr>
        <w:t xml:space="preserve">em </w:t>
      </w:r>
      <w:r w:rsidR="00496EC9" w:rsidRPr="00BA33CF">
        <w:rPr>
          <w:rFonts w:ascii="Garamond" w:hAnsi="Garamond" w:cs="Arial"/>
          <w:sz w:val="24"/>
          <w:szCs w:val="24"/>
          <w:lang w:val="pt-PT"/>
        </w:rPr>
        <w:t xml:space="preserve">casos </w:t>
      </w:r>
      <w:r w:rsidR="000672E8" w:rsidRPr="00BA33CF">
        <w:rPr>
          <w:rFonts w:ascii="Garamond" w:hAnsi="Garamond" w:cs="Arial"/>
          <w:sz w:val="24"/>
          <w:szCs w:val="24"/>
          <w:lang w:val="pt-PT"/>
        </w:rPr>
        <w:t>e</w:t>
      </w:r>
      <w:r w:rsidR="00496EC9" w:rsidRPr="00BA33CF">
        <w:rPr>
          <w:rFonts w:ascii="Garamond" w:hAnsi="Garamond" w:cs="Arial"/>
          <w:sz w:val="24"/>
          <w:szCs w:val="24"/>
          <w:lang w:val="pt-PT"/>
        </w:rPr>
        <w:t xml:space="preserve"> </w:t>
      </w:r>
      <w:r w:rsidR="007342D9" w:rsidRPr="00BA33CF">
        <w:rPr>
          <w:rFonts w:ascii="Garamond" w:hAnsi="Garamond" w:cs="Arial"/>
          <w:sz w:val="24"/>
          <w:szCs w:val="24"/>
          <w:lang w:val="pt-PT"/>
        </w:rPr>
        <w:t>situações</w:t>
      </w:r>
      <w:r w:rsidR="00496EC9" w:rsidRPr="00BA33CF">
        <w:rPr>
          <w:rFonts w:ascii="Garamond" w:hAnsi="Garamond" w:cs="Arial"/>
          <w:sz w:val="24"/>
          <w:szCs w:val="24"/>
          <w:lang w:val="pt-PT"/>
        </w:rPr>
        <w:t xml:space="preserve"> exce</w:t>
      </w:r>
      <w:r w:rsidRPr="00BA33CF">
        <w:rPr>
          <w:rFonts w:ascii="Garamond" w:hAnsi="Garamond" w:cs="Arial"/>
          <w:sz w:val="24"/>
          <w:szCs w:val="24"/>
          <w:lang w:val="pt-PT"/>
        </w:rPr>
        <w:t xml:space="preserve">cionais, </w:t>
      </w:r>
      <w:r w:rsidR="005010E0" w:rsidRPr="00BA33CF">
        <w:rPr>
          <w:rFonts w:ascii="Garamond" w:hAnsi="Garamond" w:cs="Arial"/>
          <w:sz w:val="24"/>
          <w:szCs w:val="24"/>
          <w:lang w:val="pt-PT"/>
        </w:rPr>
        <w:t xml:space="preserve">a prevenção </w:t>
      </w:r>
      <w:r w:rsidRPr="00BA33CF">
        <w:rPr>
          <w:rFonts w:ascii="Garamond" w:hAnsi="Garamond" w:cs="Arial"/>
          <w:sz w:val="24"/>
          <w:szCs w:val="24"/>
          <w:lang w:val="pt-PT"/>
        </w:rPr>
        <w:t xml:space="preserve">dos </w:t>
      </w:r>
      <w:r w:rsidR="00496EC9" w:rsidRPr="00BA33CF">
        <w:rPr>
          <w:rFonts w:ascii="Garamond" w:hAnsi="Garamond" w:cs="Arial"/>
          <w:sz w:val="24"/>
          <w:szCs w:val="24"/>
          <w:lang w:val="pt-PT"/>
        </w:rPr>
        <w:t xml:space="preserve">fenómenos de </w:t>
      </w:r>
      <w:r w:rsidR="000350B1" w:rsidRPr="00BA33CF">
        <w:rPr>
          <w:rFonts w:ascii="Garamond" w:hAnsi="Garamond" w:cs="Arial"/>
          <w:sz w:val="24"/>
          <w:szCs w:val="24"/>
          <w:lang w:val="pt-PT"/>
        </w:rPr>
        <w:t>violência</w:t>
      </w:r>
      <w:r w:rsidRPr="00BA33CF">
        <w:rPr>
          <w:rFonts w:ascii="Garamond" w:hAnsi="Garamond" w:cs="Arial"/>
          <w:sz w:val="24"/>
          <w:szCs w:val="24"/>
          <w:lang w:val="pt-PT"/>
        </w:rPr>
        <w:t xml:space="preserve"> mencionados</w:t>
      </w:r>
      <w:r w:rsidR="005010E0" w:rsidRPr="00BA33CF">
        <w:rPr>
          <w:rFonts w:ascii="Garamond" w:hAnsi="Garamond" w:cs="Arial"/>
          <w:sz w:val="24"/>
          <w:szCs w:val="24"/>
          <w:lang w:val="pt-PT"/>
        </w:rPr>
        <w:t>, não é cumprida</w:t>
      </w:r>
      <w:r w:rsidR="00496EC9" w:rsidRPr="00BA33CF">
        <w:rPr>
          <w:rFonts w:ascii="Garamond" w:hAnsi="Garamond" w:cs="Arial"/>
          <w:sz w:val="24"/>
          <w:szCs w:val="24"/>
          <w:lang w:val="pt-PT"/>
        </w:rPr>
        <w:t xml:space="preserve"> </w:t>
      </w:r>
      <w:r w:rsidR="000672E8" w:rsidRPr="00BA33CF">
        <w:rPr>
          <w:rFonts w:ascii="Garamond" w:hAnsi="Garamond" w:cs="Arial"/>
          <w:sz w:val="24"/>
          <w:szCs w:val="24"/>
          <w:lang w:val="pt-PT"/>
        </w:rPr>
        <w:t>e</w:t>
      </w:r>
      <w:r w:rsidRPr="00BA33CF">
        <w:rPr>
          <w:rFonts w:ascii="Garamond" w:hAnsi="Garamond" w:cs="Arial"/>
          <w:sz w:val="24"/>
          <w:szCs w:val="24"/>
          <w:lang w:val="pt-PT"/>
        </w:rPr>
        <w:t xml:space="preserve">, quando estes surgem, </w:t>
      </w:r>
      <w:r w:rsidR="00574173" w:rsidRPr="00BA33CF">
        <w:rPr>
          <w:rFonts w:ascii="Garamond" w:hAnsi="Garamond" w:cs="Arial"/>
          <w:sz w:val="24"/>
          <w:szCs w:val="24"/>
          <w:lang w:val="pt-PT"/>
        </w:rPr>
        <w:t>a investigação e punição dos responsáveis</w:t>
      </w:r>
      <w:r w:rsidR="00316875" w:rsidRPr="00BA33CF">
        <w:rPr>
          <w:rFonts w:ascii="Garamond" w:hAnsi="Garamond" w:cs="Arial"/>
          <w:sz w:val="24"/>
          <w:szCs w:val="24"/>
          <w:lang w:val="pt-PT"/>
        </w:rPr>
        <w:t>,</w:t>
      </w:r>
      <w:r w:rsidR="00574173" w:rsidRPr="00BA33CF">
        <w:rPr>
          <w:rFonts w:ascii="Garamond" w:hAnsi="Garamond" w:cs="Arial"/>
          <w:sz w:val="24"/>
          <w:szCs w:val="24"/>
          <w:lang w:val="pt-PT"/>
        </w:rPr>
        <w:t xml:space="preserve"> </w:t>
      </w:r>
      <w:r w:rsidRPr="00BA33CF">
        <w:rPr>
          <w:rFonts w:ascii="Garamond" w:hAnsi="Garamond" w:cs="Arial"/>
          <w:sz w:val="24"/>
          <w:szCs w:val="24"/>
          <w:lang w:val="pt-PT"/>
        </w:rPr>
        <w:t>também não se tem</w:t>
      </w:r>
      <w:r w:rsidRPr="003A1174">
        <w:rPr>
          <w:rFonts w:ascii="Garamond" w:hAnsi="Garamond" w:cs="Arial"/>
          <w:sz w:val="24"/>
          <w:szCs w:val="24"/>
          <w:lang w:val="pt-PT"/>
        </w:rPr>
        <w:t xml:space="preserve"> </w:t>
      </w:r>
      <w:r w:rsidR="00641ECD">
        <w:rPr>
          <w:rFonts w:ascii="Garamond" w:hAnsi="Garamond" w:cs="Arial"/>
          <w:sz w:val="24"/>
          <w:szCs w:val="24"/>
          <w:lang w:val="pt-PT"/>
        </w:rPr>
        <w:t>aplicado</w:t>
      </w:r>
      <w:r w:rsidR="005010E0">
        <w:rPr>
          <w:rFonts w:ascii="Garamond" w:hAnsi="Garamond" w:cs="Arial"/>
          <w:sz w:val="24"/>
          <w:szCs w:val="24"/>
          <w:lang w:val="pt-PT"/>
        </w:rPr>
        <w:t>,</w:t>
      </w:r>
      <w:r w:rsidRPr="003A1174">
        <w:rPr>
          <w:rFonts w:ascii="Garamond" w:hAnsi="Garamond" w:cs="Arial"/>
          <w:sz w:val="24"/>
          <w:szCs w:val="24"/>
          <w:lang w:val="pt-PT"/>
        </w:rPr>
        <w:t xml:space="preserve"> </w:t>
      </w:r>
      <w:r w:rsidR="00BA33CF">
        <w:rPr>
          <w:rFonts w:ascii="Garamond" w:hAnsi="Garamond" w:cs="Arial"/>
          <w:sz w:val="24"/>
          <w:szCs w:val="24"/>
          <w:lang w:val="pt-PT"/>
        </w:rPr>
        <w:t>como devia</w:t>
      </w:r>
      <w:r w:rsidR="005010E0">
        <w:rPr>
          <w:rFonts w:ascii="Garamond" w:hAnsi="Garamond" w:cs="Arial"/>
          <w:sz w:val="24"/>
          <w:szCs w:val="24"/>
          <w:lang w:val="pt-PT"/>
        </w:rPr>
        <w:t>,</w:t>
      </w:r>
      <w:r w:rsidR="00496EC9" w:rsidRPr="003A1174">
        <w:rPr>
          <w:rFonts w:ascii="Garamond" w:hAnsi="Garamond" w:cs="Arial"/>
          <w:sz w:val="24"/>
          <w:szCs w:val="24"/>
          <w:lang w:val="pt-PT"/>
        </w:rPr>
        <w:t xml:space="preserve"> </w:t>
      </w:r>
      <w:r w:rsidRPr="003A1174">
        <w:rPr>
          <w:rFonts w:ascii="Garamond" w:hAnsi="Garamond" w:cs="Arial"/>
          <w:sz w:val="24"/>
          <w:szCs w:val="24"/>
          <w:lang w:val="pt-PT"/>
        </w:rPr>
        <w:t xml:space="preserve">nem, </w:t>
      </w:r>
      <w:r w:rsidR="00641ECD">
        <w:rPr>
          <w:rFonts w:ascii="Garamond" w:hAnsi="Garamond" w:cs="Arial"/>
          <w:sz w:val="24"/>
          <w:szCs w:val="24"/>
          <w:lang w:val="pt-PT"/>
        </w:rPr>
        <w:t xml:space="preserve">tampouco, </w:t>
      </w:r>
      <w:r w:rsidRPr="003A1174">
        <w:rPr>
          <w:rFonts w:ascii="Garamond" w:hAnsi="Garamond" w:cs="Arial"/>
          <w:sz w:val="24"/>
          <w:szCs w:val="24"/>
          <w:lang w:val="pt-PT"/>
        </w:rPr>
        <w:t>c</w:t>
      </w:r>
      <w:r w:rsidR="00496EC9" w:rsidRPr="003A1174">
        <w:rPr>
          <w:rFonts w:ascii="Garamond" w:hAnsi="Garamond" w:cs="Arial"/>
          <w:sz w:val="24"/>
          <w:szCs w:val="24"/>
          <w:lang w:val="pt-PT"/>
        </w:rPr>
        <w:t xml:space="preserve">omo </w:t>
      </w:r>
      <w:r w:rsidRPr="003A1174">
        <w:rPr>
          <w:rFonts w:ascii="Garamond" w:hAnsi="Garamond" w:cs="Arial"/>
          <w:sz w:val="24"/>
          <w:szCs w:val="24"/>
          <w:lang w:val="pt-PT"/>
        </w:rPr>
        <w:t>é ó</w:t>
      </w:r>
      <w:r w:rsidR="00496EC9" w:rsidRPr="003A1174">
        <w:rPr>
          <w:rFonts w:ascii="Garamond" w:hAnsi="Garamond" w:cs="Arial"/>
          <w:sz w:val="24"/>
          <w:szCs w:val="24"/>
          <w:lang w:val="pt-PT"/>
        </w:rPr>
        <w:t xml:space="preserve">bvio, </w:t>
      </w:r>
      <w:r w:rsidR="00641ECD">
        <w:rPr>
          <w:rFonts w:ascii="Garamond" w:hAnsi="Garamond" w:cs="Arial"/>
          <w:sz w:val="24"/>
          <w:szCs w:val="24"/>
          <w:lang w:val="pt-PT"/>
        </w:rPr>
        <w:t xml:space="preserve">se atribui </w:t>
      </w:r>
      <w:r w:rsidRPr="003A1174">
        <w:rPr>
          <w:rFonts w:ascii="Garamond" w:hAnsi="Garamond" w:cs="Arial"/>
          <w:color w:val="auto"/>
          <w:sz w:val="24"/>
          <w:szCs w:val="24"/>
          <w:lang w:val="pt-PT"/>
        </w:rPr>
        <w:t xml:space="preserve">a </w:t>
      </w:r>
      <w:r w:rsidR="00AE3F78" w:rsidRPr="003A1174">
        <w:rPr>
          <w:rFonts w:ascii="Garamond" w:hAnsi="Garamond" w:cs="Arial"/>
          <w:color w:val="auto"/>
          <w:sz w:val="24"/>
          <w:szCs w:val="24"/>
          <w:lang w:val="pt-PT"/>
        </w:rPr>
        <w:t>compensação</w:t>
      </w:r>
      <w:r w:rsidR="00BA33CF">
        <w:rPr>
          <w:rFonts w:ascii="Garamond" w:hAnsi="Garamond" w:cs="Arial"/>
          <w:color w:val="auto"/>
          <w:sz w:val="24"/>
          <w:szCs w:val="24"/>
          <w:lang w:val="pt-PT"/>
        </w:rPr>
        <w:t xml:space="preserve"> </w:t>
      </w:r>
      <w:r w:rsidR="00BA33CF" w:rsidRPr="00BA33CF">
        <w:rPr>
          <w:rFonts w:ascii="Garamond" w:hAnsi="Garamond" w:cs="Arial"/>
          <w:color w:val="auto"/>
          <w:sz w:val="24"/>
          <w:szCs w:val="24"/>
          <w:lang w:val="pt-PT"/>
        </w:rPr>
        <w:t>devida</w:t>
      </w:r>
      <w:r w:rsidR="007727E9" w:rsidRPr="003A1174">
        <w:rPr>
          <w:rFonts w:ascii="Garamond" w:hAnsi="Garamond" w:cs="Arial"/>
          <w:color w:val="auto"/>
          <w:sz w:val="24"/>
          <w:szCs w:val="24"/>
          <w:lang w:val="pt-PT"/>
        </w:rPr>
        <w:t xml:space="preserve"> </w:t>
      </w:r>
      <w:r w:rsidR="00BB2B00" w:rsidRPr="003A1174">
        <w:rPr>
          <w:rFonts w:ascii="Garamond" w:hAnsi="Garamond" w:cs="Arial"/>
          <w:sz w:val="24"/>
          <w:szCs w:val="24"/>
          <w:lang w:val="pt-PT"/>
        </w:rPr>
        <w:t>à</w:t>
      </w:r>
      <w:r w:rsidR="007727E9" w:rsidRPr="003A1174">
        <w:rPr>
          <w:rFonts w:ascii="Garamond" w:hAnsi="Garamond" w:cs="Arial"/>
          <w:sz w:val="24"/>
          <w:szCs w:val="24"/>
          <w:lang w:val="pt-PT"/>
        </w:rPr>
        <w:t xml:space="preserve">s </w:t>
      </w:r>
      <w:r w:rsidR="00054EE0" w:rsidRPr="003A1174">
        <w:rPr>
          <w:rFonts w:ascii="Garamond" w:hAnsi="Garamond" w:cs="Arial"/>
          <w:sz w:val="24"/>
          <w:szCs w:val="24"/>
          <w:lang w:val="pt-PT"/>
        </w:rPr>
        <w:t>mulheres</w:t>
      </w:r>
      <w:r w:rsidR="007727E9" w:rsidRPr="003A1174">
        <w:rPr>
          <w:rFonts w:ascii="Garamond" w:hAnsi="Garamond" w:cs="Arial"/>
          <w:sz w:val="24"/>
          <w:szCs w:val="24"/>
          <w:lang w:val="pt-PT"/>
        </w:rPr>
        <w:t xml:space="preserve"> </w:t>
      </w:r>
      <w:r w:rsidR="003F012B" w:rsidRPr="003A1174">
        <w:rPr>
          <w:rFonts w:ascii="Garamond" w:hAnsi="Garamond" w:cs="Arial"/>
          <w:sz w:val="24"/>
          <w:szCs w:val="24"/>
          <w:lang w:val="pt-PT"/>
        </w:rPr>
        <w:t>vítima</w:t>
      </w:r>
      <w:r w:rsidR="007727E9" w:rsidRPr="003A1174">
        <w:rPr>
          <w:rFonts w:ascii="Garamond" w:hAnsi="Garamond" w:cs="Arial"/>
          <w:sz w:val="24"/>
          <w:szCs w:val="24"/>
          <w:lang w:val="pt-PT"/>
        </w:rPr>
        <w:t xml:space="preserve">s. </w:t>
      </w:r>
      <w:r w:rsidR="00D37CF3" w:rsidRPr="003A1174">
        <w:rPr>
          <w:rFonts w:ascii="Garamond" w:hAnsi="Garamond" w:cs="Arial"/>
          <w:sz w:val="24"/>
          <w:szCs w:val="24"/>
          <w:lang w:val="pt-PT"/>
        </w:rPr>
        <w:t>Mesmo quando a informação</w:t>
      </w:r>
      <w:r w:rsidR="00641ECD">
        <w:rPr>
          <w:rFonts w:ascii="Garamond" w:hAnsi="Garamond" w:cs="Arial"/>
          <w:sz w:val="24"/>
          <w:szCs w:val="24"/>
          <w:lang w:val="pt-PT"/>
        </w:rPr>
        <w:t>,</w:t>
      </w:r>
      <w:r w:rsidR="00D37CF3" w:rsidRPr="003A1174">
        <w:rPr>
          <w:rFonts w:ascii="Garamond" w:hAnsi="Garamond" w:cs="Arial"/>
          <w:sz w:val="24"/>
          <w:szCs w:val="24"/>
          <w:lang w:val="pt-PT"/>
        </w:rPr>
        <w:t xml:space="preserve"> previamente reunida</w:t>
      </w:r>
      <w:r w:rsidR="00641ECD">
        <w:rPr>
          <w:rFonts w:ascii="Garamond" w:hAnsi="Garamond" w:cs="Arial"/>
          <w:sz w:val="24"/>
          <w:szCs w:val="24"/>
          <w:lang w:val="pt-PT"/>
        </w:rPr>
        <w:t>,</w:t>
      </w:r>
      <w:r w:rsidR="00D37CF3" w:rsidRPr="003A1174">
        <w:rPr>
          <w:rFonts w:ascii="Garamond" w:hAnsi="Garamond" w:cs="Arial"/>
          <w:sz w:val="24"/>
          <w:szCs w:val="24"/>
          <w:lang w:val="pt-PT"/>
        </w:rPr>
        <w:t xml:space="preserve"> dá conta de algumas modificações e </w:t>
      </w:r>
      <w:r w:rsidR="00DB2452">
        <w:rPr>
          <w:rFonts w:ascii="Garamond" w:hAnsi="Garamond" w:cs="Arial"/>
          <w:sz w:val="24"/>
          <w:szCs w:val="24"/>
          <w:lang w:val="pt-PT"/>
        </w:rPr>
        <w:t xml:space="preserve">revisões </w:t>
      </w:r>
      <w:r w:rsidR="00D37CF3" w:rsidRPr="003A1174">
        <w:rPr>
          <w:rFonts w:ascii="Garamond" w:hAnsi="Garamond" w:cs="Arial"/>
          <w:sz w:val="24"/>
          <w:szCs w:val="24"/>
          <w:lang w:val="pt-PT"/>
        </w:rPr>
        <w:t>normativas que parecem focar</w:t>
      </w:r>
      <w:r w:rsidR="00BA33CF">
        <w:rPr>
          <w:rFonts w:ascii="Garamond" w:hAnsi="Garamond" w:cs="Arial"/>
          <w:sz w:val="24"/>
          <w:szCs w:val="24"/>
          <w:lang w:val="pt-PT"/>
        </w:rPr>
        <w:t>,</w:t>
      </w:r>
      <w:r w:rsidR="00D37CF3" w:rsidRPr="003A1174">
        <w:rPr>
          <w:rFonts w:ascii="Garamond" w:hAnsi="Garamond" w:cs="Arial"/>
          <w:sz w:val="24"/>
          <w:szCs w:val="24"/>
          <w:lang w:val="pt-PT"/>
        </w:rPr>
        <w:t xml:space="preserve"> de forma mais adequada</w:t>
      </w:r>
      <w:r w:rsidR="00BA33CF">
        <w:rPr>
          <w:rFonts w:ascii="Garamond" w:hAnsi="Garamond" w:cs="Arial"/>
          <w:sz w:val="24"/>
          <w:szCs w:val="24"/>
          <w:lang w:val="pt-PT"/>
        </w:rPr>
        <w:t>,</w:t>
      </w:r>
      <w:r w:rsidR="00D37CF3" w:rsidRPr="003A1174">
        <w:rPr>
          <w:rFonts w:ascii="Garamond" w:hAnsi="Garamond" w:cs="Arial"/>
          <w:sz w:val="24"/>
          <w:szCs w:val="24"/>
          <w:lang w:val="pt-PT"/>
        </w:rPr>
        <w:t xml:space="preserve"> os problemas reais de violência e as dificuldades para a sua eliminação </w:t>
      </w:r>
      <w:r w:rsidR="00641ECD">
        <w:rPr>
          <w:rFonts w:ascii="Garamond" w:hAnsi="Garamond" w:cs="Arial"/>
          <w:sz w:val="24"/>
          <w:szCs w:val="24"/>
          <w:lang w:val="pt-PT"/>
        </w:rPr>
        <w:t>-</w:t>
      </w:r>
      <w:r w:rsidR="00D37CF3" w:rsidRPr="003A1174">
        <w:rPr>
          <w:rFonts w:ascii="Garamond" w:hAnsi="Garamond" w:cs="Arial"/>
          <w:sz w:val="24"/>
          <w:szCs w:val="24"/>
          <w:lang w:val="pt-PT"/>
        </w:rPr>
        <w:t xml:space="preserve"> o que louvamos, com certeza </w:t>
      </w:r>
      <w:r w:rsidR="00641ECD">
        <w:rPr>
          <w:rFonts w:ascii="Garamond" w:hAnsi="Garamond" w:cs="Arial"/>
          <w:sz w:val="24"/>
          <w:szCs w:val="24"/>
          <w:lang w:val="pt-PT"/>
        </w:rPr>
        <w:t>-</w:t>
      </w:r>
      <w:r w:rsidR="00D37CF3" w:rsidRPr="003A1174">
        <w:rPr>
          <w:rFonts w:ascii="Garamond" w:hAnsi="Garamond" w:cs="Arial"/>
          <w:sz w:val="24"/>
          <w:szCs w:val="24"/>
          <w:lang w:val="pt-PT"/>
        </w:rPr>
        <w:t xml:space="preserve"> não é esta uma realidade generalizada e </w:t>
      </w:r>
      <w:r w:rsidR="00641ECD">
        <w:rPr>
          <w:rFonts w:ascii="Garamond" w:hAnsi="Garamond" w:cs="Arial"/>
          <w:sz w:val="24"/>
          <w:szCs w:val="24"/>
          <w:lang w:val="pt-PT"/>
        </w:rPr>
        <w:t>de</w:t>
      </w:r>
      <w:r w:rsidR="00D37CF3" w:rsidRPr="003A1174">
        <w:rPr>
          <w:rFonts w:ascii="Garamond" w:hAnsi="Garamond" w:cs="Arial"/>
          <w:sz w:val="24"/>
          <w:szCs w:val="24"/>
          <w:lang w:val="pt-PT"/>
        </w:rPr>
        <w:t>mo</w:t>
      </w:r>
      <w:r w:rsidR="00641ECD">
        <w:rPr>
          <w:rFonts w:ascii="Garamond" w:hAnsi="Garamond" w:cs="Arial"/>
          <w:sz w:val="24"/>
          <w:szCs w:val="24"/>
          <w:lang w:val="pt-PT"/>
        </w:rPr>
        <w:t>n</w:t>
      </w:r>
      <w:r w:rsidR="00D37CF3" w:rsidRPr="003A1174">
        <w:rPr>
          <w:rFonts w:ascii="Garamond" w:hAnsi="Garamond" w:cs="Arial"/>
          <w:sz w:val="24"/>
          <w:szCs w:val="24"/>
          <w:lang w:val="pt-PT"/>
        </w:rPr>
        <w:t>stra a falta de adoção</w:t>
      </w:r>
      <w:r w:rsidR="00641ECD">
        <w:rPr>
          <w:rFonts w:ascii="Garamond" w:hAnsi="Garamond" w:cs="Arial"/>
          <w:sz w:val="24"/>
          <w:szCs w:val="24"/>
          <w:lang w:val="pt-PT"/>
        </w:rPr>
        <w:t>,</w:t>
      </w:r>
      <w:r w:rsidR="00D37CF3" w:rsidRPr="003A1174">
        <w:rPr>
          <w:rFonts w:ascii="Garamond" w:hAnsi="Garamond" w:cs="Arial"/>
          <w:sz w:val="24"/>
          <w:szCs w:val="24"/>
          <w:lang w:val="pt-PT"/>
        </w:rPr>
        <w:t xml:space="preserve"> por muitos Estados</w:t>
      </w:r>
      <w:r w:rsidR="00641ECD">
        <w:rPr>
          <w:rFonts w:ascii="Garamond" w:hAnsi="Garamond" w:cs="Arial"/>
          <w:sz w:val="24"/>
          <w:szCs w:val="24"/>
          <w:lang w:val="pt-PT"/>
        </w:rPr>
        <w:t>,</w:t>
      </w:r>
      <w:r w:rsidR="00D37CF3" w:rsidRPr="003A1174">
        <w:rPr>
          <w:rFonts w:ascii="Garamond" w:hAnsi="Garamond" w:cs="Arial"/>
          <w:sz w:val="24"/>
          <w:szCs w:val="24"/>
          <w:lang w:val="pt-PT"/>
        </w:rPr>
        <w:t xml:space="preserve"> das medidas legislativas e de outro </w:t>
      </w:r>
      <w:r w:rsidR="00641ECD">
        <w:rPr>
          <w:rFonts w:ascii="Garamond" w:hAnsi="Garamond" w:cs="Arial"/>
          <w:sz w:val="24"/>
          <w:szCs w:val="24"/>
          <w:lang w:val="pt-PT"/>
        </w:rPr>
        <w:t>teor</w:t>
      </w:r>
      <w:r w:rsidR="00BA33CF">
        <w:rPr>
          <w:rFonts w:ascii="Garamond" w:hAnsi="Garamond" w:cs="Arial"/>
          <w:sz w:val="24"/>
          <w:szCs w:val="24"/>
          <w:lang w:val="pt-PT"/>
        </w:rPr>
        <w:t>,</w:t>
      </w:r>
      <w:r w:rsidR="00641ECD">
        <w:rPr>
          <w:rFonts w:ascii="Garamond" w:hAnsi="Garamond" w:cs="Arial"/>
          <w:sz w:val="24"/>
          <w:szCs w:val="24"/>
          <w:lang w:val="pt-PT"/>
        </w:rPr>
        <w:t xml:space="preserve"> </w:t>
      </w:r>
      <w:r w:rsidR="00D37CF3" w:rsidRPr="003A1174">
        <w:rPr>
          <w:rFonts w:ascii="Garamond" w:hAnsi="Garamond" w:cs="Arial"/>
          <w:sz w:val="24"/>
          <w:szCs w:val="24"/>
          <w:lang w:val="pt-PT"/>
        </w:rPr>
        <w:t xml:space="preserve">que exigem </w:t>
      </w:r>
      <w:r w:rsidR="00BA33CF">
        <w:rPr>
          <w:rFonts w:ascii="Garamond" w:hAnsi="Garamond" w:cs="Arial"/>
          <w:sz w:val="24"/>
          <w:szCs w:val="24"/>
          <w:lang w:val="pt-PT"/>
        </w:rPr>
        <w:t>a aplicação do preceituado no</w:t>
      </w:r>
      <w:r w:rsidR="00D37CF3" w:rsidRPr="003A1174">
        <w:rPr>
          <w:rFonts w:ascii="Garamond" w:hAnsi="Garamond" w:cs="Arial"/>
          <w:sz w:val="24"/>
          <w:szCs w:val="24"/>
          <w:lang w:val="pt-PT"/>
        </w:rPr>
        <w:t xml:space="preserve"> Art. </w:t>
      </w:r>
      <w:r w:rsidRPr="003A1174">
        <w:rPr>
          <w:rFonts w:ascii="Garamond" w:hAnsi="Garamond" w:cs="Arial"/>
          <w:sz w:val="24"/>
          <w:szCs w:val="24"/>
          <w:lang w:val="pt-PT"/>
        </w:rPr>
        <w:t>2 d</w:t>
      </w:r>
      <w:r w:rsidR="007727E9" w:rsidRPr="003A1174">
        <w:rPr>
          <w:rFonts w:ascii="Garamond" w:hAnsi="Garamond" w:cs="Arial"/>
          <w:sz w:val="24"/>
          <w:szCs w:val="24"/>
          <w:lang w:val="pt-PT"/>
        </w:rPr>
        <w:t>a CADH</w:t>
      </w:r>
      <w:r w:rsidR="00BA33CF">
        <w:rPr>
          <w:rFonts w:ascii="Garamond" w:hAnsi="Garamond" w:cs="Arial"/>
          <w:sz w:val="24"/>
          <w:szCs w:val="24"/>
          <w:lang w:val="pt-PT"/>
        </w:rPr>
        <w:t>,</w:t>
      </w:r>
      <w:r w:rsidR="007727E9" w:rsidRPr="003A1174">
        <w:rPr>
          <w:rFonts w:ascii="Garamond" w:hAnsi="Garamond" w:cs="Arial"/>
          <w:sz w:val="24"/>
          <w:szCs w:val="24"/>
          <w:lang w:val="pt-PT"/>
        </w:rPr>
        <w:t xml:space="preserve"> para dar </w:t>
      </w:r>
      <w:r w:rsidR="0091213A" w:rsidRPr="003A1174">
        <w:rPr>
          <w:rFonts w:ascii="Garamond" w:hAnsi="Garamond" w:cs="Arial"/>
          <w:sz w:val="24"/>
          <w:szCs w:val="24"/>
          <w:lang w:val="pt-PT"/>
        </w:rPr>
        <w:t>efetividade</w:t>
      </w:r>
      <w:r w:rsidR="007727E9" w:rsidRPr="003A1174">
        <w:rPr>
          <w:rFonts w:ascii="Garamond" w:hAnsi="Garamond" w:cs="Arial"/>
          <w:sz w:val="24"/>
          <w:szCs w:val="24"/>
          <w:lang w:val="pt-PT"/>
        </w:rPr>
        <w:t xml:space="preserve"> aos </w:t>
      </w:r>
      <w:r w:rsidR="00886D6A" w:rsidRPr="003A1174">
        <w:rPr>
          <w:rFonts w:ascii="Garamond" w:hAnsi="Garamond" w:cs="Arial"/>
          <w:sz w:val="24"/>
          <w:szCs w:val="24"/>
          <w:lang w:val="pt-PT"/>
        </w:rPr>
        <w:t>direito</w:t>
      </w:r>
      <w:r w:rsidR="007727E9" w:rsidRPr="003A1174">
        <w:rPr>
          <w:rFonts w:ascii="Garamond" w:hAnsi="Garamond" w:cs="Arial"/>
          <w:sz w:val="24"/>
          <w:szCs w:val="24"/>
          <w:lang w:val="pt-PT"/>
        </w:rPr>
        <w:t xml:space="preserve">s </w:t>
      </w:r>
      <w:r w:rsidR="000672E8" w:rsidRPr="003A1174">
        <w:rPr>
          <w:rFonts w:ascii="Garamond" w:hAnsi="Garamond" w:cs="Arial"/>
          <w:sz w:val="24"/>
          <w:szCs w:val="24"/>
          <w:lang w:val="pt-PT"/>
        </w:rPr>
        <w:t>e</w:t>
      </w:r>
      <w:r w:rsidR="007727E9" w:rsidRPr="003A1174">
        <w:rPr>
          <w:rFonts w:ascii="Garamond" w:hAnsi="Garamond" w:cs="Arial"/>
          <w:sz w:val="24"/>
          <w:szCs w:val="24"/>
          <w:lang w:val="pt-PT"/>
        </w:rPr>
        <w:t xml:space="preserve"> </w:t>
      </w:r>
      <w:r w:rsidR="006506C6" w:rsidRPr="003A1174">
        <w:rPr>
          <w:rFonts w:ascii="Garamond" w:hAnsi="Garamond" w:cs="Arial"/>
          <w:sz w:val="24"/>
          <w:szCs w:val="24"/>
          <w:lang w:val="pt-PT"/>
        </w:rPr>
        <w:t>liberdades</w:t>
      </w:r>
      <w:r w:rsidR="007727E9"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7727E9" w:rsidRPr="003A1174">
        <w:rPr>
          <w:rFonts w:ascii="Garamond" w:hAnsi="Garamond" w:cs="Arial"/>
          <w:sz w:val="24"/>
          <w:szCs w:val="24"/>
          <w:lang w:val="pt-PT"/>
        </w:rPr>
        <w:t xml:space="preserve"> </w:t>
      </w:r>
      <w:r w:rsidR="00054EE0" w:rsidRPr="003A1174">
        <w:rPr>
          <w:rFonts w:ascii="Garamond" w:hAnsi="Garamond" w:cs="Arial"/>
          <w:sz w:val="24"/>
          <w:szCs w:val="24"/>
          <w:lang w:val="pt-PT"/>
        </w:rPr>
        <w:t>mulheres</w:t>
      </w:r>
      <w:r w:rsidR="007727E9" w:rsidRPr="003A1174">
        <w:rPr>
          <w:rFonts w:ascii="Garamond" w:hAnsi="Garamond" w:cs="Arial"/>
          <w:sz w:val="24"/>
          <w:szCs w:val="24"/>
          <w:lang w:val="pt-PT"/>
        </w:rPr>
        <w:t>.</w:t>
      </w:r>
    </w:p>
    <w:p w:rsidR="007727E9" w:rsidRPr="00F80808" w:rsidRDefault="00BC0FD1" w:rsidP="006F13E7">
      <w:pPr>
        <w:pStyle w:val="Prrafodelista"/>
        <w:numPr>
          <w:ilvl w:val="0"/>
          <w:numId w:val="44"/>
        </w:numPr>
        <w:spacing w:before="240" w:line="240" w:lineRule="auto"/>
        <w:jc w:val="both"/>
        <w:rPr>
          <w:rFonts w:ascii="Garamond" w:hAnsi="Garamond" w:cs="Arial"/>
          <w:sz w:val="24"/>
          <w:szCs w:val="24"/>
          <w:lang w:val="pt-PT"/>
        </w:rPr>
      </w:pPr>
      <w:proofErr w:type="gramStart"/>
      <w:r>
        <w:rPr>
          <w:rFonts w:ascii="Garamond" w:hAnsi="Garamond" w:cs="Arial"/>
          <w:sz w:val="24"/>
          <w:szCs w:val="24"/>
          <w:lang w:val="pt-PT"/>
        </w:rPr>
        <w:t xml:space="preserve">O fosso </w:t>
      </w:r>
      <w:r w:rsidR="00E119CA" w:rsidRPr="00F80808">
        <w:rPr>
          <w:rFonts w:ascii="Garamond" w:hAnsi="Garamond" w:cs="Arial"/>
          <w:sz w:val="24"/>
          <w:szCs w:val="24"/>
          <w:lang w:val="pt-PT"/>
        </w:rPr>
        <w:t xml:space="preserve">que existe </w:t>
      </w:r>
      <w:r w:rsidR="006F13E7" w:rsidRPr="00F80808">
        <w:rPr>
          <w:rFonts w:ascii="Garamond" w:hAnsi="Garamond" w:cs="Arial"/>
          <w:sz w:val="24"/>
          <w:szCs w:val="24"/>
          <w:lang w:val="pt-PT"/>
        </w:rPr>
        <w:t xml:space="preserve">entre </w:t>
      </w:r>
      <w:r w:rsidR="007727E9" w:rsidRPr="00F80808">
        <w:rPr>
          <w:rFonts w:ascii="Garamond" w:hAnsi="Garamond" w:cs="Arial"/>
          <w:sz w:val="24"/>
          <w:szCs w:val="24"/>
          <w:lang w:val="pt-PT"/>
        </w:rPr>
        <w:t xml:space="preserve">a </w:t>
      </w:r>
      <w:r w:rsidR="002C7510" w:rsidRPr="00F80808">
        <w:rPr>
          <w:rFonts w:ascii="Garamond" w:hAnsi="Garamond" w:cs="Arial"/>
          <w:sz w:val="24"/>
          <w:szCs w:val="24"/>
          <w:lang w:val="pt-PT"/>
        </w:rPr>
        <w:t>realidade</w:t>
      </w:r>
      <w:r w:rsidR="007727E9" w:rsidRPr="00F80808">
        <w:rPr>
          <w:rFonts w:ascii="Garamond" w:hAnsi="Garamond" w:cs="Arial"/>
          <w:sz w:val="24"/>
          <w:szCs w:val="24"/>
          <w:lang w:val="pt-PT"/>
        </w:rPr>
        <w:t xml:space="preserve"> </w:t>
      </w:r>
      <w:r w:rsidR="00FB09CA" w:rsidRPr="00F80808">
        <w:rPr>
          <w:rFonts w:ascii="Garamond" w:hAnsi="Garamond" w:cs="Arial"/>
          <w:sz w:val="24"/>
          <w:szCs w:val="24"/>
          <w:lang w:val="pt-PT"/>
        </w:rPr>
        <w:t>atual</w:t>
      </w:r>
      <w:r w:rsidR="007727E9" w:rsidRPr="00F80808">
        <w:rPr>
          <w:rFonts w:ascii="Garamond" w:hAnsi="Garamond" w:cs="Arial"/>
          <w:sz w:val="24"/>
          <w:szCs w:val="24"/>
          <w:lang w:val="pt-PT"/>
        </w:rPr>
        <w:t xml:space="preserve"> </w:t>
      </w:r>
      <w:r w:rsidR="000672E8" w:rsidRPr="00F80808">
        <w:rPr>
          <w:rFonts w:ascii="Garamond" w:hAnsi="Garamond" w:cs="Arial"/>
          <w:sz w:val="24"/>
          <w:szCs w:val="24"/>
          <w:lang w:val="pt-PT"/>
        </w:rPr>
        <w:t>e</w:t>
      </w:r>
      <w:r w:rsidR="007727E9" w:rsidRPr="00F80808">
        <w:rPr>
          <w:rFonts w:ascii="Garamond" w:hAnsi="Garamond" w:cs="Arial"/>
          <w:sz w:val="24"/>
          <w:szCs w:val="24"/>
          <w:lang w:val="pt-PT"/>
        </w:rPr>
        <w:t xml:space="preserve"> </w:t>
      </w:r>
      <w:r w:rsidR="006F13E7" w:rsidRPr="00F80808">
        <w:rPr>
          <w:rFonts w:ascii="Garamond" w:hAnsi="Garamond" w:cs="Arial"/>
          <w:sz w:val="24"/>
          <w:szCs w:val="24"/>
          <w:lang w:val="pt-PT"/>
        </w:rPr>
        <w:t xml:space="preserve">o </w:t>
      </w:r>
      <w:r w:rsidR="00D96FD0" w:rsidRPr="00F80808">
        <w:rPr>
          <w:rFonts w:ascii="Garamond" w:hAnsi="Garamond" w:cs="Arial"/>
          <w:sz w:val="24"/>
          <w:szCs w:val="24"/>
          <w:lang w:val="pt-PT"/>
        </w:rPr>
        <w:t>cumprimento</w:t>
      </w:r>
      <w:r w:rsidR="007727E9" w:rsidRPr="00F80808">
        <w:rPr>
          <w:rFonts w:ascii="Garamond" w:hAnsi="Garamond" w:cs="Arial"/>
          <w:sz w:val="24"/>
          <w:szCs w:val="24"/>
          <w:lang w:val="pt-PT"/>
        </w:rPr>
        <w:t xml:space="preserve"> </w:t>
      </w:r>
      <w:r w:rsidR="00E85E59" w:rsidRPr="00F80808">
        <w:rPr>
          <w:rFonts w:ascii="Garamond" w:hAnsi="Garamond" w:cs="Arial"/>
          <w:sz w:val="24"/>
          <w:szCs w:val="24"/>
          <w:lang w:val="pt-PT"/>
        </w:rPr>
        <w:t>d</w:t>
      </w:r>
      <w:r>
        <w:rPr>
          <w:rFonts w:ascii="Garamond" w:hAnsi="Garamond" w:cs="Arial"/>
          <w:sz w:val="24"/>
          <w:szCs w:val="24"/>
          <w:lang w:val="pt-PT"/>
        </w:rPr>
        <w:t>a</w:t>
      </w:r>
      <w:r w:rsidR="006F13E7" w:rsidRPr="00F80808">
        <w:rPr>
          <w:rFonts w:ascii="Garamond" w:hAnsi="Garamond" w:cs="Arial"/>
          <w:sz w:val="24"/>
          <w:szCs w:val="24"/>
          <w:lang w:val="pt-PT"/>
        </w:rPr>
        <w:t xml:space="preserve"> </w:t>
      </w:r>
      <w:r w:rsidRPr="009D378E">
        <w:rPr>
          <w:rFonts w:ascii="Garamond" w:hAnsi="Garamond" w:cs="Arial"/>
          <w:sz w:val="24"/>
          <w:szCs w:val="24"/>
          <w:lang w:val="pt-PT"/>
        </w:rPr>
        <w:t>norma</w:t>
      </w:r>
      <w:r w:rsidR="009D378E" w:rsidRPr="009D378E">
        <w:rPr>
          <w:rFonts w:ascii="Garamond" w:hAnsi="Garamond" w:cs="Arial"/>
          <w:sz w:val="24"/>
          <w:szCs w:val="24"/>
          <w:lang w:val="pt-PT"/>
        </w:rPr>
        <w:t xml:space="preserve">, em </w:t>
      </w:r>
      <w:r w:rsidR="009D378E">
        <w:rPr>
          <w:rFonts w:ascii="Garamond" w:hAnsi="Garamond" w:cs="Arial"/>
          <w:sz w:val="24"/>
          <w:szCs w:val="24"/>
          <w:lang w:val="pt-PT"/>
        </w:rPr>
        <w:t>particular</w:t>
      </w:r>
      <w:r w:rsidR="009D378E" w:rsidRPr="009D378E">
        <w:rPr>
          <w:rFonts w:ascii="Garamond" w:hAnsi="Garamond" w:cs="Arial"/>
          <w:sz w:val="24"/>
          <w:szCs w:val="24"/>
          <w:lang w:val="pt-PT"/>
        </w:rPr>
        <w:t>, a</w:t>
      </w:r>
      <w:r w:rsidR="007727E9" w:rsidRPr="00F80808">
        <w:rPr>
          <w:rFonts w:ascii="Garamond" w:hAnsi="Garamond" w:cs="Arial"/>
          <w:sz w:val="24"/>
          <w:szCs w:val="24"/>
          <w:lang w:val="pt-PT"/>
        </w:rPr>
        <w:t xml:space="preserve"> </w:t>
      </w:r>
      <w:r w:rsidR="00AF192F" w:rsidRPr="00F80808">
        <w:rPr>
          <w:rFonts w:ascii="Garamond" w:hAnsi="Garamond" w:cs="Arial"/>
          <w:sz w:val="24"/>
          <w:szCs w:val="24"/>
          <w:lang w:val="pt-PT"/>
        </w:rPr>
        <w:t>obrigação</w:t>
      </w:r>
      <w:r w:rsidR="007727E9" w:rsidRPr="00F80808">
        <w:rPr>
          <w:rFonts w:ascii="Garamond" w:hAnsi="Garamond" w:cs="Arial"/>
          <w:sz w:val="24"/>
          <w:szCs w:val="24"/>
          <w:lang w:val="pt-PT"/>
        </w:rPr>
        <w:t xml:space="preserve"> </w:t>
      </w:r>
      <w:r w:rsidR="00077461" w:rsidRPr="00F80808">
        <w:rPr>
          <w:rFonts w:ascii="Garamond" w:hAnsi="Garamond" w:cs="Arial"/>
          <w:sz w:val="24"/>
          <w:szCs w:val="24"/>
          <w:lang w:val="pt-PT"/>
        </w:rPr>
        <w:t>geral</w:t>
      </w:r>
      <w:r w:rsidR="007727E9" w:rsidRPr="00F80808">
        <w:rPr>
          <w:rFonts w:ascii="Garamond" w:hAnsi="Garamond" w:cs="Arial"/>
          <w:sz w:val="24"/>
          <w:szCs w:val="24"/>
          <w:lang w:val="pt-PT"/>
        </w:rPr>
        <w:t xml:space="preserve"> d</w:t>
      </w:r>
      <w:r w:rsidR="009D378E">
        <w:rPr>
          <w:rFonts w:ascii="Garamond" w:hAnsi="Garamond" w:cs="Arial"/>
          <w:sz w:val="24"/>
          <w:szCs w:val="24"/>
          <w:lang w:val="pt-PT"/>
        </w:rPr>
        <w:t>a</w:t>
      </w:r>
      <w:r w:rsidR="007727E9" w:rsidRPr="00F80808">
        <w:rPr>
          <w:rFonts w:ascii="Garamond" w:hAnsi="Garamond" w:cs="Arial"/>
          <w:sz w:val="24"/>
          <w:szCs w:val="24"/>
          <w:lang w:val="pt-PT"/>
        </w:rPr>
        <w:t xml:space="preserve"> </w:t>
      </w:r>
      <w:r w:rsidR="00CF4C35" w:rsidRPr="00F80808">
        <w:rPr>
          <w:rFonts w:ascii="Garamond" w:hAnsi="Garamond" w:cs="Arial"/>
          <w:sz w:val="24"/>
          <w:szCs w:val="24"/>
          <w:lang w:val="pt-PT"/>
        </w:rPr>
        <w:t>Diligência Devida</w:t>
      </w:r>
      <w:r w:rsidR="00167D93" w:rsidRPr="00F80808">
        <w:rPr>
          <w:rFonts w:ascii="Garamond" w:hAnsi="Garamond" w:cs="Arial"/>
          <w:sz w:val="24"/>
          <w:szCs w:val="24"/>
          <w:lang w:val="pt-PT"/>
        </w:rPr>
        <w:t>,</w:t>
      </w:r>
      <w:r w:rsidR="007727E9" w:rsidRPr="00F80808">
        <w:rPr>
          <w:rFonts w:ascii="Garamond" w:hAnsi="Garamond" w:cs="Arial"/>
          <w:sz w:val="24"/>
          <w:szCs w:val="24"/>
          <w:lang w:val="pt-PT"/>
        </w:rPr>
        <w:t xml:space="preserve"> </w:t>
      </w:r>
      <w:r w:rsidR="00DD0A41">
        <w:rPr>
          <w:rFonts w:ascii="Garamond" w:hAnsi="Garamond" w:cs="Arial"/>
          <w:sz w:val="24"/>
          <w:szCs w:val="24"/>
          <w:lang w:val="pt-PT"/>
        </w:rPr>
        <w:t xml:space="preserve">revela </w:t>
      </w:r>
      <w:r w:rsidR="006F13E7" w:rsidRPr="00F80808">
        <w:rPr>
          <w:rFonts w:ascii="Garamond" w:hAnsi="Garamond" w:cs="Arial"/>
          <w:sz w:val="24"/>
          <w:szCs w:val="24"/>
          <w:lang w:val="pt-PT"/>
        </w:rPr>
        <w:t>o</w:t>
      </w:r>
      <w:r w:rsidR="00AD7894" w:rsidRPr="00F80808">
        <w:rPr>
          <w:rFonts w:ascii="Garamond" w:hAnsi="Garamond" w:cs="Arial"/>
          <w:sz w:val="24"/>
          <w:szCs w:val="24"/>
          <w:lang w:val="pt-PT"/>
        </w:rPr>
        <w:t xml:space="preserve"> </w:t>
      </w:r>
      <w:r w:rsidR="009741DE">
        <w:rPr>
          <w:rFonts w:ascii="Garamond" w:hAnsi="Garamond" w:cs="Arial"/>
          <w:sz w:val="24"/>
          <w:szCs w:val="24"/>
          <w:lang w:val="pt-PT"/>
        </w:rPr>
        <w:t xml:space="preserve">insuficiente </w:t>
      </w:r>
      <w:r w:rsidR="00D96FD0" w:rsidRPr="00F80808">
        <w:rPr>
          <w:rFonts w:ascii="Garamond" w:hAnsi="Garamond" w:cs="Arial"/>
          <w:sz w:val="24"/>
          <w:szCs w:val="24"/>
          <w:lang w:val="pt-PT"/>
        </w:rPr>
        <w:t>cumprimento</w:t>
      </w:r>
      <w:r w:rsidR="00AD7894" w:rsidRPr="00F80808">
        <w:rPr>
          <w:rFonts w:ascii="Garamond" w:hAnsi="Garamond" w:cs="Arial"/>
          <w:sz w:val="24"/>
          <w:szCs w:val="24"/>
          <w:lang w:val="pt-PT"/>
        </w:rPr>
        <w:t xml:space="preserve"> </w:t>
      </w:r>
      <w:r w:rsidR="006F13E7" w:rsidRPr="00F80808">
        <w:rPr>
          <w:rFonts w:ascii="Garamond" w:hAnsi="Garamond" w:cs="Arial"/>
          <w:sz w:val="24"/>
          <w:szCs w:val="24"/>
          <w:lang w:val="pt-PT"/>
        </w:rPr>
        <w:t>e até, em alguns casos, a evidente t</w:t>
      </w:r>
      <w:r w:rsidR="007578C6" w:rsidRPr="00F80808">
        <w:rPr>
          <w:rFonts w:ascii="Garamond" w:hAnsi="Garamond" w:cs="Arial"/>
          <w:sz w:val="24"/>
          <w:szCs w:val="24"/>
          <w:lang w:val="pt-PT"/>
        </w:rPr>
        <w:t>ra</w:t>
      </w:r>
      <w:r w:rsidR="006F13E7" w:rsidRPr="00F80808">
        <w:rPr>
          <w:rFonts w:ascii="Garamond" w:hAnsi="Garamond" w:cs="Arial"/>
          <w:sz w:val="24"/>
          <w:szCs w:val="24"/>
          <w:lang w:val="pt-PT"/>
        </w:rPr>
        <w:t>n</w:t>
      </w:r>
      <w:r w:rsidR="007578C6" w:rsidRPr="00F80808">
        <w:rPr>
          <w:rFonts w:ascii="Garamond" w:hAnsi="Garamond" w:cs="Arial"/>
          <w:sz w:val="24"/>
          <w:szCs w:val="24"/>
          <w:lang w:val="pt-PT"/>
        </w:rPr>
        <w:t>sgressão</w:t>
      </w:r>
      <w:r w:rsidR="007727E9" w:rsidRPr="00F80808">
        <w:rPr>
          <w:rFonts w:ascii="Garamond" w:hAnsi="Garamond" w:cs="Arial"/>
          <w:sz w:val="24"/>
          <w:szCs w:val="24"/>
          <w:lang w:val="pt-PT"/>
        </w:rPr>
        <w:t xml:space="preserve"> </w:t>
      </w:r>
      <w:r w:rsidR="00AD7894" w:rsidRPr="00F80808">
        <w:rPr>
          <w:rFonts w:ascii="Garamond" w:hAnsi="Garamond" w:cs="Arial"/>
          <w:sz w:val="24"/>
          <w:szCs w:val="24"/>
          <w:lang w:val="pt-PT"/>
        </w:rPr>
        <w:t>a</w:t>
      </w:r>
      <w:r w:rsidR="006F13E7" w:rsidRPr="00F80808">
        <w:rPr>
          <w:rFonts w:ascii="Garamond" w:hAnsi="Garamond" w:cs="Arial"/>
          <w:sz w:val="24"/>
          <w:szCs w:val="24"/>
          <w:lang w:val="pt-PT"/>
        </w:rPr>
        <w:t>o</w:t>
      </w:r>
      <w:r w:rsidR="00DD0A41">
        <w:rPr>
          <w:rFonts w:ascii="Garamond" w:hAnsi="Garamond" w:cs="Arial"/>
          <w:sz w:val="24"/>
          <w:szCs w:val="24"/>
          <w:lang w:val="pt-PT"/>
        </w:rPr>
        <w:t xml:space="preserve"> disposto no</w:t>
      </w:r>
      <w:r w:rsidR="00AD7894" w:rsidRPr="00F80808">
        <w:rPr>
          <w:rFonts w:ascii="Garamond" w:hAnsi="Garamond" w:cs="Arial"/>
          <w:sz w:val="24"/>
          <w:szCs w:val="24"/>
          <w:lang w:val="pt-PT"/>
        </w:rPr>
        <w:t xml:space="preserve"> </w:t>
      </w:r>
      <w:r w:rsidR="00383B3F" w:rsidRPr="00F80808">
        <w:rPr>
          <w:rFonts w:ascii="Garamond" w:hAnsi="Garamond" w:cs="Arial"/>
          <w:sz w:val="24"/>
          <w:szCs w:val="24"/>
          <w:lang w:val="pt-PT"/>
        </w:rPr>
        <w:t>Art.</w:t>
      </w:r>
      <w:r w:rsidR="006F13E7" w:rsidRPr="00F80808">
        <w:rPr>
          <w:rFonts w:ascii="Garamond" w:hAnsi="Garamond" w:cs="Arial"/>
          <w:sz w:val="24"/>
          <w:szCs w:val="24"/>
          <w:lang w:val="pt-PT"/>
        </w:rPr>
        <w:t xml:space="preserve"> 7</w:t>
      </w:r>
      <w:r w:rsidR="00F80808">
        <w:rPr>
          <w:rFonts w:ascii="Garamond" w:hAnsi="Garamond" w:cs="Arial"/>
          <w:sz w:val="24"/>
          <w:szCs w:val="24"/>
          <w:lang w:val="pt-PT"/>
        </w:rPr>
        <w:t xml:space="preserve">, Alínea </w:t>
      </w:r>
      <w:r w:rsidR="006F13E7" w:rsidRPr="00F80808">
        <w:rPr>
          <w:rFonts w:ascii="Garamond" w:hAnsi="Garamond" w:cs="Arial"/>
          <w:sz w:val="24"/>
          <w:szCs w:val="24"/>
          <w:lang w:val="pt-PT"/>
        </w:rPr>
        <w:t>b</w:t>
      </w:r>
      <w:r w:rsidR="00F80808">
        <w:rPr>
          <w:rFonts w:ascii="Garamond" w:hAnsi="Garamond" w:cs="Arial"/>
          <w:sz w:val="24"/>
          <w:szCs w:val="24"/>
          <w:lang w:val="pt-PT"/>
        </w:rPr>
        <w:t>)</w:t>
      </w:r>
      <w:proofErr w:type="gramEnd"/>
      <w:r w:rsidR="006F13E7" w:rsidRPr="00F80808">
        <w:rPr>
          <w:rFonts w:ascii="Garamond" w:hAnsi="Garamond" w:cs="Arial"/>
          <w:sz w:val="24"/>
          <w:szCs w:val="24"/>
          <w:lang w:val="pt-PT"/>
        </w:rPr>
        <w:t xml:space="preserve"> d</w:t>
      </w:r>
      <w:r w:rsidR="00AD7894" w:rsidRPr="00F80808">
        <w:rPr>
          <w:rFonts w:ascii="Garamond" w:hAnsi="Garamond" w:cs="Arial"/>
          <w:sz w:val="24"/>
          <w:szCs w:val="24"/>
          <w:lang w:val="pt-PT"/>
        </w:rPr>
        <w:t xml:space="preserve">a </w:t>
      </w:r>
      <w:r w:rsidR="00B14AA6" w:rsidRPr="00F80808">
        <w:rPr>
          <w:rFonts w:ascii="Garamond" w:hAnsi="Garamond" w:cs="Arial"/>
          <w:sz w:val="24"/>
          <w:szCs w:val="24"/>
          <w:lang w:val="pt-PT"/>
        </w:rPr>
        <w:t>Convenção</w:t>
      </w:r>
      <w:r w:rsidR="00AD7894" w:rsidRPr="00F80808">
        <w:rPr>
          <w:rFonts w:ascii="Garamond" w:hAnsi="Garamond" w:cs="Arial"/>
          <w:sz w:val="24"/>
          <w:szCs w:val="24"/>
          <w:lang w:val="pt-PT"/>
        </w:rPr>
        <w:t xml:space="preserve"> de Belém do Pará</w:t>
      </w:r>
      <w:r w:rsidR="00E119CA" w:rsidRPr="00F80808">
        <w:rPr>
          <w:rFonts w:ascii="Garamond" w:hAnsi="Garamond" w:cs="Arial"/>
          <w:sz w:val="24"/>
          <w:szCs w:val="24"/>
          <w:lang w:val="pt-PT"/>
        </w:rPr>
        <w:t>,</w:t>
      </w:r>
      <w:r w:rsidR="00AD7894" w:rsidRPr="00F80808">
        <w:rPr>
          <w:rFonts w:ascii="Garamond" w:hAnsi="Garamond" w:cs="Arial"/>
          <w:sz w:val="24"/>
          <w:szCs w:val="24"/>
          <w:lang w:val="pt-PT"/>
        </w:rPr>
        <w:t xml:space="preserve"> cu</w:t>
      </w:r>
      <w:r w:rsidR="006F13E7" w:rsidRPr="00F80808">
        <w:rPr>
          <w:rFonts w:ascii="Garamond" w:hAnsi="Garamond" w:cs="Arial"/>
          <w:sz w:val="24"/>
          <w:szCs w:val="24"/>
          <w:lang w:val="pt-PT"/>
        </w:rPr>
        <w:t>j</w:t>
      </w:r>
      <w:r w:rsidR="00AD7894" w:rsidRPr="00F80808">
        <w:rPr>
          <w:rFonts w:ascii="Garamond" w:hAnsi="Garamond" w:cs="Arial"/>
          <w:sz w:val="24"/>
          <w:szCs w:val="24"/>
          <w:lang w:val="pt-PT"/>
        </w:rPr>
        <w:t>o teo</w:t>
      </w:r>
      <w:r w:rsidR="00167D93" w:rsidRPr="00F80808">
        <w:rPr>
          <w:rFonts w:ascii="Garamond" w:hAnsi="Garamond" w:cs="Arial"/>
          <w:sz w:val="24"/>
          <w:szCs w:val="24"/>
          <w:lang w:val="pt-PT"/>
        </w:rPr>
        <w:t>r</w:t>
      </w:r>
      <w:r w:rsidR="00F80808">
        <w:rPr>
          <w:rFonts w:ascii="Garamond" w:hAnsi="Garamond" w:cs="Arial"/>
          <w:sz w:val="24"/>
          <w:szCs w:val="24"/>
          <w:lang w:val="pt-PT"/>
        </w:rPr>
        <w:t>,</w:t>
      </w:r>
      <w:r w:rsidR="00167D93" w:rsidRPr="00F80808">
        <w:rPr>
          <w:rFonts w:ascii="Garamond" w:hAnsi="Garamond" w:cs="Arial"/>
          <w:sz w:val="24"/>
          <w:szCs w:val="24"/>
          <w:lang w:val="pt-PT"/>
        </w:rPr>
        <w:t xml:space="preserve"> </w:t>
      </w:r>
      <w:r w:rsidR="00DD0A41">
        <w:rPr>
          <w:rFonts w:ascii="Garamond" w:hAnsi="Garamond" w:cs="Arial"/>
          <w:sz w:val="24"/>
          <w:szCs w:val="24"/>
          <w:lang w:val="pt-PT"/>
        </w:rPr>
        <w:t xml:space="preserve">dispõe, </w:t>
      </w:r>
      <w:r w:rsidR="00167D93" w:rsidRPr="00F80808">
        <w:rPr>
          <w:rFonts w:ascii="Garamond" w:hAnsi="Garamond" w:cs="Arial"/>
          <w:sz w:val="24"/>
          <w:szCs w:val="24"/>
          <w:lang w:val="pt-PT"/>
        </w:rPr>
        <w:t>literalmente</w:t>
      </w:r>
      <w:r w:rsidR="00DD0A41">
        <w:rPr>
          <w:rFonts w:ascii="Garamond" w:hAnsi="Garamond" w:cs="Arial"/>
          <w:sz w:val="24"/>
          <w:szCs w:val="24"/>
          <w:lang w:val="pt-PT"/>
        </w:rPr>
        <w:t>,</w:t>
      </w:r>
      <w:r w:rsidR="00167D93" w:rsidRPr="00F80808">
        <w:rPr>
          <w:rFonts w:ascii="Garamond" w:hAnsi="Garamond" w:cs="Arial"/>
          <w:sz w:val="24"/>
          <w:szCs w:val="24"/>
          <w:lang w:val="pt-PT"/>
        </w:rPr>
        <w:t xml:space="preserve"> </w:t>
      </w:r>
      <w:r w:rsidR="006F13E7" w:rsidRPr="00F80808">
        <w:rPr>
          <w:rFonts w:ascii="Garamond" w:hAnsi="Garamond" w:cs="Arial"/>
          <w:sz w:val="24"/>
          <w:szCs w:val="24"/>
          <w:lang w:val="pt-PT"/>
        </w:rPr>
        <w:t xml:space="preserve">que </w:t>
      </w:r>
      <w:r w:rsidR="00167D93" w:rsidRPr="00F80808">
        <w:rPr>
          <w:rFonts w:ascii="Garamond" w:hAnsi="Garamond" w:cs="Arial"/>
          <w:sz w:val="24"/>
          <w:szCs w:val="24"/>
          <w:lang w:val="pt-PT"/>
        </w:rPr>
        <w:t>os E</w:t>
      </w:r>
      <w:r w:rsidR="00AD7894" w:rsidRPr="00F80808">
        <w:rPr>
          <w:rFonts w:ascii="Garamond" w:hAnsi="Garamond" w:cs="Arial"/>
          <w:sz w:val="24"/>
          <w:szCs w:val="24"/>
          <w:lang w:val="pt-PT"/>
        </w:rPr>
        <w:t xml:space="preserve">stados </w:t>
      </w:r>
      <w:r w:rsidR="00D4575C" w:rsidRPr="00F80808">
        <w:rPr>
          <w:rFonts w:ascii="Garamond" w:hAnsi="Garamond" w:cs="Arial"/>
          <w:sz w:val="24"/>
          <w:szCs w:val="24"/>
          <w:lang w:val="pt-PT"/>
        </w:rPr>
        <w:t>têm</w:t>
      </w:r>
      <w:r w:rsidR="00167D93" w:rsidRPr="00F80808">
        <w:rPr>
          <w:rFonts w:ascii="Garamond" w:hAnsi="Garamond" w:cs="Arial"/>
          <w:sz w:val="24"/>
          <w:szCs w:val="24"/>
          <w:lang w:val="pt-PT"/>
        </w:rPr>
        <w:t xml:space="preserve"> </w:t>
      </w:r>
      <w:r w:rsidR="00F80808">
        <w:rPr>
          <w:rFonts w:ascii="Garamond" w:hAnsi="Garamond" w:cs="Arial"/>
          <w:sz w:val="24"/>
          <w:szCs w:val="24"/>
          <w:lang w:val="pt-PT"/>
        </w:rPr>
        <w:t>de «</w:t>
      </w:r>
      <w:r w:rsidR="00E119CA" w:rsidRPr="00F80808">
        <w:rPr>
          <w:rFonts w:ascii="Garamond" w:hAnsi="Garamond" w:cs="Arial"/>
          <w:sz w:val="24"/>
          <w:szCs w:val="24"/>
          <w:lang w:val="pt-PT"/>
        </w:rPr>
        <w:t xml:space="preserve">(…) </w:t>
      </w:r>
      <w:r w:rsidR="00167D93" w:rsidRPr="00F80808">
        <w:rPr>
          <w:rFonts w:ascii="Garamond" w:hAnsi="Garamond" w:cs="Arial"/>
          <w:sz w:val="24"/>
          <w:szCs w:val="24"/>
          <w:lang w:val="pt-PT"/>
        </w:rPr>
        <w:t>a</w:t>
      </w:r>
      <w:r w:rsidR="006F13E7" w:rsidRPr="00F80808">
        <w:rPr>
          <w:rFonts w:ascii="Garamond" w:hAnsi="Garamond" w:cs="Arial"/>
          <w:sz w:val="24"/>
          <w:szCs w:val="24"/>
          <w:lang w:val="pt-PT"/>
        </w:rPr>
        <w:t xml:space="preserve">gir com </w:t>
      </w:r>
      <w:r w:rsidR="00167D93" w:rsidRPr="00F80808">
        <w:rPr>
          <w:rFonts w:ascii="Garamond" w:hAnsi="Garamond" w:cs="Arial"/>
          <w:sz w:val="24"/>
          <w:szCs w:val="24"/>
          <w:lang w:val="pt-PT"/>
        </w:rPr>
        <w:t xml:space="preserve">a </w:t>
      </w:r>
      <w:r w:rsidR="00CF4C35" w:rsidRPr="00F80808">
        <w:rPr>
          <w:rFonts w:ascii="Garamond" w:hAnsi="Garamond" w:cs="Arial"/>
          <w:sz w:val="24"/>
          <w:szCs w:val="24"/>
          <w:lang w:val="pt-PT"/>
        </w:rPr>
        <w:t>Diligência Devida</w:t>
      </w:r>
      <w:r w:rsidR="00167D93" w:rsidRPr="00F80808">
        <w:rPr>
          <w:rFonts w:ascii="Garamond" w:hAnsi="Garamond" w:cs="Arial"/>
          <w:sz w:val="24"/>
          <w:szCs w:val="24"/>
          <w:lang w:val="pt-PT"/>
        </w:rPr>
        <w:t xml:space="preserve"> para prevenir, investigar </w:t>
      </w:r>
      <w:r w:rsidR="000672E8" w:rsidRPr="00F80808">
        <w:rPr>
          <w:rFonts w:ascii="Garamond" w:hAnsi="Garamond" w:cs="Arial"/>
          <w:sz w:val="24"/>
          <w:szCs w:val="24"/>
          <w:lang w:val="pt-PT"/>
        </w:rPr>
        <w:t>e</w:t>
      </w:r>
      <w:r w:rsidR="006F13E7" w:rsidRPr="00F80808">
        <w:rPr>
          <w:rFonts w:ascii="Garamond" w:hAnsi="Garamond" w:cs="Arial"/>
          <w:sz w:val="24"/>
          <w:szCs w:val="24"/>
          <w:lang w:val="pt-PT"/>
        </w:rPr>
        <w:t xml:space="preserve"> </w:t>
      </w:r>
      <w:r w:rsidR="003F493C" w:rsidRPr="00F80808">
        <w:rPr>
          <w:rFonts w:ascii="Garamond" w:hAnsi="Garamond" w:cs="Arial"/>
          <w:sz w:val="24"/>
          <w:szCs w:val="24"/>
          <w:lang w:val="pt-PT"/>
        </w:rPr>
        <w:t>punir</w:t>
      </w:r>
      <w:r w:rsidR="006F13E7" w:rsidRPr="00F80808">
        <w:rPr>
          <w:rFonts w:ascii="Garamond" w:hAnsi="Garamond" w:cs="Arial"/>
          <w:sz w:val="24"/>
          <w:szCs w:val="24"/>
          <w:lang w:val="pt-PT"/>
        </w:rPr>
        <w:t xml:space="preserve"> </w:t>
      </w:r>
      <w:r w:rsidR="00167D93" w:rsidRPr="00F80808">
        <w:rPr>
          <w:rFonts w:ascii="Garamond" w:hAnsi="Garamond" w:cs="Arial"/>
          <w:sz w:val="24"/>
          <w:szCs w:val="24"/>
          <w:lang w:val="pt-PT"/>
        </w:rPr>
        <w:t xml:space="preserve">a </w:t>
      </w:r>
      <w:r w:rsidR="000350B1" w:rsidRPr="00F80808">
        <w:rPr>
          <w:rFonts w:ascii="Garamond" w:hAnsi="Garamond" w:cs="Arial"/>
          <w:sz w:val="24"/>
          <w:szCs w:val="24"/>
          <w:lang w:val="pt-PT"/>
        </w:rPr>
        <w:t>violência</w:t>
      </w:r>
      <w:r w:rsidR="00167D93" w:rsidRPr="00F80808">
        <w:rPr>
          <w:rFonts w:ascii="Garamond" w:hAnsi="Garamond" w:cs="Arial"/>
          <w:sz w:val="24"/>
          <w:szCs w:val="24"/>
          <w:lang w:val="pt-PT"/>
        </w:rPr>
        <w:t xml:space="preserve"> </w:t>
      </w:r>
      <w:r w:rsidR="00BB2B00" w:rsidRPr="00F80808">
        <w:rPr>
          <w:rFonts w:ascii="Garamond" w:hAnsi="Garamond" w:cs="Arial"/>
          <w:sz w:val="24"/>
          <w:szCs w:val="24"/>
          <w:lang w:val="pt-PT"/>
        </w:rPr>
        <w:t>contra a</w:t>
      </w:r>
      <w:r w:rsidR="00167D93" w:rsidRPr="00F80808">
        <w:rPr>
          <w:rFonts w:ascii="Garamond" w:hAnsi="Garamond" w:cs="Arial"/>
          <w:sz w:val="24"/>
          <w:szCs w:val="24"/>
          <w:lang w:val="pt-PT"/>
        </w:rPr>
        <w:t xml:space="preserve"> </w:t>
      </w:r>
      <w:r w:rsidR="00AF192F" w:rsidRPr="00F80808">
        <w:rPr>
          <w:rFonts w:ascii="Garamond" w:hAnsi="Garamond" w:cs="Arial"/>
          <w:sz w:val="24"/>
          <w:szCs w:val="24"/>
          <w:lang w:val="pt-PT"/>
        </w:rPr>
        <w:t>mulher</w:t>
      </w:r>
      <w:r w:rsidR="00167D93" w:rsidRPr="00F80808">
        <w:rPr>
          <w:rFonts w:ascii="Garamond" w:hAnsi="Garamond" w:cs="Arial"/>
          <w:sz w:val="24"/>
          <w:szCs w:val="24"/>
          <w:lang w:val="pt-PT"/>
        </w:rPr>
        <w:t>.</w:t>
      </w:r>
      <w:r w:rsidR="00F80808">
        <w:rPr>
          <w:rFonts w:ascii="Garamond" w:hAnsi="Garamond" w:cs="Arial"/>
          <w:sz w:val="24"/>
          <w:szCs w:val="24"/>
          <w:lang w:val="pt-PT"/>
        </w:rPr>
        <w:t>»</w:t>
      </w:r>
      <w:r w:rsidR="00167D93" w:rsidRPr="00F80808">
        <w:rPr>
          <w:rStyle w:val="Refdenotaalpie"/>
          <w:rFonts w:ascii="Garamond" w:hAnsi="Garamond" w:cs="Arial"/>
          <w:sz w:val="24"/>
          <w:szCs w:val="24"/>
        </w:rPr>
        <w:footnoteReference w:id="154"/>
      </w:r>
    </w:p>
    <w:p w:rsidR="00CF5971" w:rsidRPr="003A1174" w:rsidRDefault="006F13E7" w:rsidP="008719D4">
      <w:pPr>
        <w:pStyle w:val="Prrafodelista"/>
        <w:numPr>
          <w:ilvl w:val="0"/>
          <w:numId w:val="44"/>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 xml:space="preserve">No </w:t>
      </w:r>
      <w:r w:rsidR="00253B1D" w:rsidRPr="003A1174">
        <w:rPr>
          <w:rFonts w:ascii="Garamond" w:hAnsi="Garamond" w:cs="Arial"/>
          <w:sz w:val="24"/>
          <w:szCs w:val="24"/>
          <w:lang w:val="pt-PT"/>
        </w:rPr>
        <w:t>quadro</w:t>
      </w:r>
      <w:r w:rsidR="00167D93" w:rsidRPr="003A1174">
        <w:rPr>
          <w:rFonts w:ascii="Garamond" w:hAnsi="Garamond" w:cs="Arial"/>
          <w:sz w:val="24"/>
          <w:szCs w:val="24"/>
          <w:lang w:val="pt-PT"/>
        </w:rPr>
        <w:t xml:space="preserve"> da </w:t>
      </w:r>
      <w:r w:rsidR="00AF192F" w:rsidRPr="003A1174">
        <w:rPr>
          <w:rFonts w:ascii="Garamond" w:hAnsi="Garamond" w:cs="Arial"/>
          <w:sz w:val="24"/>
          <w:szCs w:val="24"/>
          <w:lang w:val="pt-PT"/>
        </w:rPr>
        <w:t>obrigação</w:t>
      </w:r>
      <w:r w:rsidR="00167D93"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Pr="003A1174">
        <w:rPr>
          <w:rFonts w:ascii="Garamond" w:hAnsi="Garamond" w:cs="Arial"/>
          <w:sz w:val="24"/>
          <w:szCs w:val="24"/>
          <w:lang w:val="pt-PT"/>
        </w:rPr>
        <w:t xml:space="preserve"> de </w:t>
      </w:r>
      <w:r w:rsidR="00CF4C35" w:rsidRPr="003A1174">
        <w:rPr>
          <w:rFonts w:ascii="Garamond" w:hAnsi="Garamond" w:cs="Arial"/>
          <w:sz w:val="24"/>
          <w:szCs w:val="24"/>
          <w:lang w:val="pt-PT"/>
        </w:rPr>
        <w:t>Diligência Devida</w:t>
      </w:r>
      <w:r w:rsidR="007A082D">
        <w:rPr>
          <w:rFonts w:ascii="Garamond" w:hAnsi="Garamond" w:cs="Arial"/>
          <w:sz w:val="24"/>
          <w:szCs w:val="24"/>
          <w:lang w:val="pt-PT"/>
        </w:rPr>
        <w:t xml:space="preserve">, privilegia-se </w:t>
      </w:r>
      <w:r w:rsidRPr="003A1174">
        <w:rPr>
          <w:rFonts w:ascii="Garamond" w:hAnsi="Garamond" w:cs="Arial"/>
          <w:sz w:val="24"/>
          <w:szCs w:val="24"/>
          <w:lang w:val="pt-PT"/>
        </w:rPr>
        <w:t xml:space="preserve">o </w:t>
      </w:r>
      <w:r w:rsidR="00886D6A" w:rsidRPr="003A1174">
        <w:rPr>
          <w:rFonts w:ascii="Garamond" w:hAnsi="Garamond" w:cs="Arial"/>
          <w:sz w:val="24"/>
          <w:szCs w:val="24"/>
          <w:lang w:val="pt-PT"/>
        </w:rPr>
        <w:t>direito</w:t>
      </w:r>
      <w:r w:rsidR="00167D93" w:rsidRPr="003A1174">
        <w:rPr>
          <w:rFonts w:ascii="Garamond" w:hAnsi="Garamond" w:cs="Arial"/>
          <w:sz w:val="24"/>
          <w:szCs w:val="24"/>
          <w:lang w:val="pt-PT"/>
        </w:rPr>
        <w:t xml:space="preserve"> humano de </w:t>
      </w:r>
      <w:r w:rsidR="00886D6A" w:rsidRPr="003A1174">
        <w:rPr>
          <w:rFonts w:ascii="Garamond" w:hAnsi="Garamond" w:cs="Arial"/>
          <w:sz w:val="24"/>
          <w:szCs w:val="24"/>
          <w:lang w:val="pt-PT"/>
        </w:rPr>
        <w:t>Acesso</w:t>
      </w:r>
      <w:r w:rsidR="00167D93"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167D93" w:rsidRPr="003A1174">
        <w:rPr>
          <w:rFonts w:ascii="Garamond" w:hAnsi="Garamond" w:cs="Arial"/>
          <w:sz w:val="24"/>
          <w:szCs w:val="24"/>
          <w:lang w:val="pt-PT"/>
        </w:rPr>
        <w:t xml:space="preserve"> </w:t>
      </w:r>
      <w:r w:rsidR="00FC1F7F" w:rsidRPr="003A1174">
        <w:rPr>
          <w:rFonts w:ascii="Garamond" w:hAnsi="Garamond" w:cs="Arial"/>
          <w:sz w:val="24"/>
          <w:szCs w:val="24"/>
          <w:lang w:val="pt-PT"/>
        </w:rPr>
        <w:t>Justiça</w:t>
      </w:r>
      <w:r w:rsidRPr="003A1174">
        <w:rPr>
          <w:rFonts w:ascii="Garamond" w:hAnsi="Garamond" w:cs="Arial"/>
          <w:sz w:val="24"/>
          <w:szCs w:val="24"/>
          <w:lang w:val="pt-PT"/>
        </w:rPr>
        <w:t>,</w:t>
      </w:r>
      <w:r w:rsidR="007A082D">
        <w:rPr>
          <w:rFonts w:ascii="Garamond" w:hAnsi="Garamond" w:cs="Arial"/>
          <w:sz w:val="24"/>
          <w:szCs w:val="24"/>
          <w:lang w:val="pt-PT"/>
        </w:rPr>
        <w:t xml:space="preserve"> contudo,</w:t>
      </w:r>
      <w:r w:rsidRPr="003A1174">
        <w:rPr>
          <w:rFonts w:ascii="Garamond" w:hAnsi="Garamond" w:cs="Arial"/>
          <w:sz w:val="24"/>
          <w:szCs w:val="24"/>
          <w:lang w:val="pt-PT"/>
        </w:rPr>
        <w:t xml:space="preserve"> </w:t>
      </w:r>
      <w:r w:rsidR="00167D93" w:rsidRPr="003A1174">
        <w:rPr>
          <w:rFonts w:ascii="Garamond" w:hAnsi="Garamond" w:cs="Arial"/>
          <w:sz w:val="24"/>
          <w:szCs w:val="24"/>
          <w:lang w:val="pt-PT"/>
        </w:rPr>
        <w:t xml:space="preserve">a </w:t>
      </w:r>
      <w:r w:rsidR="0017447A" w:rsidRPr="003A1174">
        <w:rPr>
          <w:rFonts w:ascii="Garamond" w:hAnsi="Garamond" w:cs="Arial"/>
          <w:sz w:val="24"/>
          <w:szCs w:val="24"/>
          <w:lang w:val="pt-PT"/>
        </w:rPr>
        <w:t>informação</w:t>
      </w:r>
      <w:r w:rsidR="00167D93" w:rsidRPr="003A1174">
        <w:rPr>
          <w:rFonts w:ascii="Garamond" w:hAnsi="Garamond" w:cs="Arial"/>
          <w:sz w:val="24"/>
          <w:szCs w:val="24"/>
          <w:lang w:val="pt-PT"/>
        </w:rPr>
        <w:t xml:space="preserve"> re</w:t>
      </w:r>
      <w:r w:rsidRPr="003A1174">
        <w:rPr>
          <w:rFonts w:ascii="Garamond" w:hAnsi="Garamond" w:cs="Arial"/>
          <w:sz w:val="24"/>
          <w:szCs w:val="24"/>
          <w:lang w:val="pt-PT"/>
        </w:rPr>
        <w:t xml:space="preserve">colhida </w:t>
      </w:r>
      <w:r w:rsidR="007A082D">
        <w:rPr>
          <w:rFonts w:ascii="Garamond" w:hAnsi="Garamond" w:cs="Arial"/>
          <w:sz w:val="24"/>
          <w:szCs w:val="24"/>
          <w:lang w:val="pt-PT"/>
        </w:rPr>
        <w:t xml:space="preserve">revela enormes </w:t>
      </w:r>
      <w:r w:rsidRPr="003A1174">
        <w:rPr>
          <w:rFonts w:ascii="Garamond" w:hAnsi="Garamond" w:cs="Arial"/>
          <w:sz w:val="24"/>
          <w:szCs w:val="24"/>
          <w:lang w:val="pt-PT"/>
        </w:rPr>
        <w:t xml:space="preserve">deficiências na </w:t>
      </w:r>
      <w:r w:rsidR="00167D93" w:rsidRPr="003A1174">
        <w:rPr>
          <w:rFonts w:ascii="Garamond" w:hAnsi="Garamond" w:cs="Arial"/>
          <w:sz w:val="24"/>
          <w:szCs w:val="24"/>
          <w:lang w:val="pt-PT"/>
        </w:rPr>
        <w:t>concre</w:t>
      </w:r>
      <w:r w:rsidRPr="003A1174">
        <w:rPr>
          <w:rFonts w:ascii="Garamond" w:hAnsi="Garamond" w:cs="Arial"/>
          <w:sz w:val="24"/>
          <w:szCs w:val="24"/>
          <w:lang w:val="pt-PT"/>
        </w:rPr>
        <w:t xml:space="preserve">tização </w:t>
      </w:r>
      <w:r w:rsidR="00167D93" w:rsidRPr="003A1174">
        <w:rPr>
          <w:rFonts w:ascii="Garamond" w:hAnsi="Garamond" w:cs="Arial"/>
          <w:sz w:val="24"/>
          <w:szCs w:val="24"/>
          <w:lang w:val="pt-PT"/>
        </w:rPr>
        <w:t xml:space="preserve">de tal </w:t>
      </w:r>
      <w:r w:rsidR="00886D6A" w:rsidRPr="003A1174">
        <w:rPr>
          <w:rFonts w:ascii="Garamond" w:hAnsi="Garamond" w:cs="Arial"/>
          <w:sz w:val="24"/>
          <w:szCs w:val="24"/>
          <w:lang w:val="pt-PT"/>
        </w:rPr>
        <w:t>direito</w:t>
      </w:r>
      <w:r w:rsidR="00167D93" w:rsidRPr="003A1174">
        <w:rPr>
          <w:rFonts w:ascii="Garamond" w:hAnsi="Garamond" w:cs="Arial"/>
          <w:sz w:val="24"/>
          <w:szCs w:val="24"/>
          <w:lang w:val="pt-PT"/>
        </w:rPr>
        <w:t xml:space="preserve">. </w:t>
      </w:r>
      <w:r w:rsidRPr="003A1174">
        <w:rPr>
          <w:rFonts w:ascii="Garamond" w:hAnsi="Garamond" w:cs="Arial"/>
          <w:sz w:val="24"/>
          <w:szCs w:val="24"/>
          <w:lang w:val="pt-PT"/>
        </w:rPr>
        <w:t xml:space="preserve">Com </w:t>
      </w:r>
      <w:r w:rsidR="00863197" w:rsidRPr="003A1174">
        <w:rPr>
          <w:rFonts w:ascii="Garamond" w:hAnsi="Garamond" w:cs="Arial"/>
          <w:sz w:val="24"/>
          <w:szCs w:val="24"/>
          <w:lang w:val="pt-PT"/>
        </w:rPr>
        <w:t>efeito</w:t>
      </w:r>
      <w:r w:rsidR="0065302D" w:rsidRPr="003A1174">
        <w:rPr>
          <w:rFonts w:ascii="Garamond" w:hAnsi="Garamond" w:cs="Arial"/>
          <w:sz w:val="24"/>
          <w:szCs w:val="24"/>
          <w:lang w:val="pt-PT"/>
        </w:rPr>
        <w:t>, n</w:t>
      </w:r>
      <w:r w:rsidRPr="003A1174">
        <w:rPr>
          <w:rFonts w:ascii="Garamond" w:hAnsi="Garamond" w:cs="Arial"/>
          <w:sz w:val="24"/>
          <w:szCs w:val="24"/>
          <w:lang w:val="pt-PT"/>
        </w:rPr>
        <w:t>ã</w:t>
      </w:r>
      <w:r w:rsidR="0065302D" w:rsidRPr="003A1174">
        <w:rPr>
          <w:rFonts w:ascii="Garamond" w:hAnsi="Garamond" w:cs="Arial"/>
          <w:sz w:val="24"/>
          <w:szCs w:val="24"/>
          <w:lang w:val="pt-PT"/>
        </w:rPr>
        <w:t xml:space="preserve">o se </w:t>
      </w:r>
      <w:r w:rsidR="00214B4A">
        <w:rPr>
          <w:rFonts w:ascii="Garamond" w:hAnsi="Garamond" w:cs="Arial"/>
          <w:sz w:val="24"/>
          <w:szCs w:val="24"/>
          <w:lang w:val="pt-PT"/>
        </w:rPr>
        <w:t xml:space="preserve">constata </w:t>
      </w:r>
      <w:r w:rsidRPr="003A1174">
        <w:rPr>
          <w:rFonts w:ascii="Garamond" w:hAnsi="Garamond" w:cs="Arial"/>
          <w:sz w:val="24"/>
          <w:szCs w:val="24"/>
          <w:lang w:val="pt-PT"/>
        </w:rPr>
        <w:t>que exista um</w:t>
      </w:r>
      <w:r w:rsidR="0065302D" w:rsidRPr="003A1174">
        <w:rPr>
          <w:rFonts w:ascii="Garamond" w:hAnsi="Garamond" w:cs="Arial"/>
          <w:sz w:val="24"/>
          <w:szCs w:val="24"/>
          <w:lang w:val="pt-PT"/>
        </w:rPr>
        <w:t xml:space="preserve">a </w:t>
      </w:r>
      <w:r w:rsidR="00D84A9F" w:rsidRPr="003A1174">
        <w:rPr>
          <w:rFonts w:ascii="Garamond" w:hAnsi="Garamond" w:cs="Arial"/>
          <w:sz w:val="24"/>
          <w:szCs w:val="24"/>
          <w:lang w:val="pt-PT"/>
        </w:rPr>
        <w:t>efetiva</w:t>
      </w:r>
      <w:r w:rsidR="0065302D"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65302D" w:rsidRPr="003A1174">
        <w:rPr>
          <w:rFonts w:ascii="Garamond" w:hAnsi="Garamond" w:cs="Arial"/>
          <w:sz w:val="24"/>
          <w:szCs w:val="24"/>
          <w:lang w:val="pt-PT"/>
        </w:rPr>
        <w:t xml:space="preserve"> generalizada </w:t>
      </w:r>
      <w:r w:rsidR="008843FD" w:rsidRPr="003A1174">
        <w:rPr>
          <w:rFonts w:ascii="Garamond" w:hAnsi="Garamond" w:cs="Arial"/>
          <w:sz w:val="24"/>
          <w:szCs w:val="24"/>
          <w:lang w:val="pt-PT"/>
        </w:rPr>
        <w:t>possibilidade</w:t>
      </w:r>
      <w:r w:rsidR="0065302D" w:rsidRPr="003A1174">
        <w:rPr>
          <w:rFonts w:ascii="Garamond" w:hAnsi="Garamond" w:cs="Arial"/>
          <w:sz w:val="24"/>
          <w:szCs w:val="24"/>
          <w:lang w:val="pt-PT"/>
        </w:rPr>
        <w:t xml:space="preserve"> </w:t>
      </w:r>
      <w:r w:rsidRPr="003A1174">
        <w:rPr>
          <w:rFonts w:ascii="Garamond" w:hAnsi="Garamond" w:cs="Arial"/>
          <w:sz w:val="24"/>
          <w:szCs w:val="24"/>
          <w:lang w:val="pt-PT"/>
        </w:rPr>
        <w:t xml:space="preserve">para </w:t>
      </w:r>
      <w:r w:rsidR="0065302D"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65302D" w:rsidRPr="003A1174">
        <w:rPr>
          <w:rFonts w:ascii="Garamond" w:hAnsi="Garamond" w:cs="Arial"/>
          <w:sz w:val="24"/>
          <w:szCs w:val="24"/>
          <w:lang w:val="pt-PT"/>
        </w:rPr>
        <w:t xml:space="preserve"> </w:t>
      </w:r>
      <w:r w:rsidR="003F012B" w:rsidRPr="003A1174">
        <w:rPr>
          <w:rFonts w:ascii="Garamond" w:hAnsi="Garamond" w:cs="Arial"/>
          <w:sz w:val="24"/>
          <w:szCs w:val="24"/>
          <w:lang w:val="pt-PT"/>
        </w:rPr>
        <w:t>vítima</w:t>
      </w:r>
      <w:r w:rsidR="0065302D" w:rsidRPr="003A1174">
        <w:rPr>
          <w:rFonts w:ascii="Garamond" w:hAnsi="Garamond" w:cs="Arial"/>
          <w:sz w:val="24"/>
          <w:szCs w:val="24"/>
          <w:lang w:val="pt-PT"/>
        </w:rPr>
        <w:t xml:space="preserve">s de </w:t>
      </w:r>
      <w:r w:rsidR="000350B1" w:rsidRPr="003A1174">
        <w:rPr>
          <w:rFonts w:ascii="Garamond" w:hAnsi="Garamond" w:cs="Arial"/>
          <w:sz w:val="24"/>
          <w:szCs w:val="24"/>
          <w:lang w:val="pt-PT"/>
        </w:rPr>
        <w:t>violência</w:t>
      </w:r>
      <w:r w:rsidR="0065302D" w:rsidRPr="003A1174">
        <w:rPr>
          <w:rFonts w:ascii="Garamond" w:hAnsi="Garamond" w:cs="Arial"/>
          <w:sz w:val="24"/>
          <w:szCs w:val="24"/>
          <w:lang w:val="pt-PT"/>
        </w:rPr>
        <w:t xml:space="preserve"> intrafamiliar </w:t>
      </w:r>
      <w:r w:rsidR="00E119CA" w:rsidRPr="003A1174">
        <w:rPr>
          <w:rFonts w:ascii="Garamond" w:hAnsi="Garamond" w:cs="Arial"/>
          <w:sz w:val="24"/>
          <w:szCs w:val="24"/>
          <w:lang w:val="pt-PT"/>
        </w:rPr>
        <w:t>de</w:t>
      </w:r>
      <w:r w:rsidR="0065302D" w:rsidRPr="003A1174">
        <w:rPr>
          <w:rFonts w:ascii="Garamond" w:hAnsi="Garamond" w:cs="Arial"/>
          <w:sz w:val="24"/>
          <w:szCs w:val="24"/>
          <w:lang w:val="pt-PT"/>
        </w:rPr>
        <w:t xml:space="preserve"> </w:t>
      </w:r>
      <w:r w:rsidR="007A082D">
        <w:rPr>
          <w:rFonts w:ascii="Garamond" w:hAnsi="Garamond" w:cs="Arial"/>
          <w:sz w:val="24"/>
          <w:szCs w:val="24"/>
          <w:lang w:val="pt-PT"/>
        </w:rPr>
        <w:t>«</w:t>
      </w:r>
      <w:r w:rsidR="00142B26" w:rsidRPr="003A1174">
        <w:rPr>
          <w:rFonts w:ascii="Garamond" w:hAnsi="Garamond" w:cs="Arial"/>
          <w:sz w:val="24"/>
          <w:szCs w:val="24"/>
          <w:lang w:val="pt-PT"/>
        </w:rPr>
        <w:t>(</w:t>
      </w:r>
      <w:r w:rsidR="00E119CA" w:rsidRPr="003A1174">
        <w:rPr>
          <w:rFonts w:ascii="Garamond" w:hAnsi="Garamond" w:cs="Arial"/>
          <w:sz w:val="24"/>
          <w:szCs w:val="24"/>
          <w:lang w:val="pt-PT"/>
        </w:rPr>
        <w:t xml:space="preserve">…) </w:t>
      </w:r>
      <w:r w:rsidR="0065302D" w:rsidRPr="003A1174">
        <w:rPr>
          <w:rFonts w:ascii="Garamond" w:hAnsi="Garamond" w:cs="Arial"/>
          <w:sz w:val="24"/>
          <w:szCs w:val="24"/>
          <w:lang w:val="pt-PT"/>
        </w:rPr>
        <w:t>exigir</w:t>
      </w:r>
      <w:r w:rsidRPr="003A1174">
        <w:rPr>
          <w:rFonts w:ascii="Garamond" w:hAnsi="Garamond" w:cs="Arial"/>
          <w:sz w:val="24"/>
          <w:szCs w:val="24"/>
          <w:lang w:val="pt-PT"/>
        </w:rPr>
        <w:t>em</w:t>
      </w:r>
      <w:r w:rsidR="0065302D"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65302D" w:rsidRPr="003A1174">
        <w:rPr>
          <w:rFonts w:ascii="Garamond" w:hAnsi="Garamond" w:cs="Arial"/>
          <w:sz w:val="24"/>
          <w:szCs w:val="24"/>
          <w:lang w:val="pt-PT"/>
        </w:rPr>
        <w:t xml:space="preserve"> obte</w:t>
      </w:r>
      <w:r w:rsidRPr="003A1174">
        <w:rPr>
          <w:rFonts w:ascii="Garamond" w:hAnsi="Garamond" w:cs="Arial"/>
          <w:sz w:val="24"/>
          <w:szCs w:val="24"/>
          <w:lang w:val="pt-PT"/>
        </w:rPr>
        <w:t xml:space="preserve">rem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Estado</w:t>
      </w:r>
      <w:r w:rsidR="007A082D">
        <w:rPr>
          <w:rFonts w:ascii="Garamond" w:hAnsi="Garamond" w:cs="Arial"/>
          <w:sz w:val="24"/>
          <w:szCs w:val="24"/>
          <w:lang w:val="pt-PT"/>
        </w:rPr>
        <w:t>,</w:t>
      </w:r>
      <w:r w:rsidRPr="003A1174">
        <w:rPr>
          <w:rFonts w:ascii="Garamond" w:hAnsi="Garamond" w:cs="Arial"/>
          <w:sz w:val="24"/>
          <w:szCs w:val="24"/>
          <w:lang w:val="pt-PT"/>
        </w:rPr>
        <w:t xml:space="preserve"> com rapidez e </w:t>
      </w:r>
      <w:proofErr w:type="gramStart"/>
      <w:r w:rsidRPr="003A1174">
        <w:rPr>
          <w:rFonts w:ascii="Garamond" w:hAnsi="Garamond" w:cs="Arial"/>
          <w:sz w:val="24"/>
          <w:szCs w:val="24"/>
          <w:lang w:val="pt-PT"/>
        </w:rPr>
        <w:t xml:space="preserve">sob </w:t>
      </w:r>
      <w:r w:rsidR="003F012B" w:rsidRPr="003A1174">
        <w:rPr>
          <w:rFonts w:ascii="Garamond" w:hAnsi="Garamond" w:cs="Arial"/>
          <w:sz w:val="24"/>
          <w:szCs w:val="24"/>
          <w:lang w:val="pt-PT"/>
        </w:rPr>
        <w:t>procedimentos</w:t>
      </w:r>
      <w:proofErr w:type="gramEnd"/>
      <w:r w:rsidR="0065302D" w:rsidRPr="003A1174">
        <w:rPr>
          <w:rFonts w:ascii="Garamond" w:hAnsi="Garamond" w:cs="Arial"/>
          <w:sz w:val="24"/>
          <w:szCs w:val="24"/>
          <w:lang w:val="pt-PT"/>
        </w:rPr>
        <w:t xml:space="preserve"> </w:t>
      </w:r>
      <w:r w:rsidR="007578C6" w:rsidRPr="003A1174">
        <w:rPr>
          <w:rFonts w:ascii="Garamond" w:hAnsi="Garamond" w:cs="Arial"/>
          <w:sz w:val="24"/>
          <w:szCs w:val="24"/>
          <w:lang w:val="pt-PT"/>
        </w:rPr>
        <w:t>razoáveis</w:t>
      </w:r>
      <w:r w:rsidRPr="003A1174">
        <w:rPr>
          <w:rFonts w:ascii="Garamond" w:hAnsi="Garamond" w:cs="Arial"/>
          <w:sz w:val="24"/>
          <w:szCs w:val="24"/>
          <w:lang w:val="pt-PT"/>
        </w:rPr>
        <w:t xml:space="preserve">, </w:t>
      </w:r>
      <w:r w:rsidR="0065302D" w:rsidRPr="003A1174">
        <w:rPr>
          <w:rFonts w:ascii="Garamond" w:hAnsi="Garamond" w:cs="Arial"/>
          <w:sz w:val="24"/>
          <w:szCs w:val="24"/>
          <w:lang w:val="pt-PT"/>
        </w:rPr>
        <w:t xml:space="preserve">as </w:t>
      </w:r>
      <w:r w:rsidR="000864ED" w:rsidRPr="003A1174">
        <w:rPr>
          <w:rFonts w:ascii="Garamond" w:hAnsi="Garamond" w:cs="Arial"/>
          <w:sz w:val="24"/>
          <w:szCs w:val="24"/>
          <w:lang w:val="pt-PT"/>
        </w:rPr>
        <w:t>prestações</w:t>
      </w:r>
      <w:r w:rsidR="0065302D" w:rsidRPr="003A1174">
        <w:rPr>
          <w:rFonts w:ascii="Garamond" w:hAnsi="Garamond" w:cs="Arial"/>
          <w:sz w:val="24"/>
          <w:szCs w:val="24"/>
          <w:lang w:val="pt-PT"/>
        </w:rPr>
        <w:t xml:space="preserve"> </w:t>
      </w:r>
      <w:r w:rsidR="007578C6" w:rsidRPr="003A1174">
        <w:rPr>
          <w:rFonts w:ascii="Garamond" w:hAnsi="Garamond" w:cs="Arial"/>
          <w:sz w:val="24"/>
          <w:szCs w:val="24"/>
          <w:lang w:val="pt-PT"/>
        </w:rPr>
        <w:t>necessária</w:t>
      </w:r>
      <w:r w:rsidR="0065302D" w:rsidRPr="003A1174">
        <w:rPr>
          <w:rFonts w:ascii="Garamond" w:hAnsi="Garamond" w:cs="Arial"/>
          <w:sz w:val="24"/>
          <w:szCs w:val="24"/>
          <w:lang w:val="pt-PT"/>
        </w:rPr>
        <w:t xml:space="preserve">s para </w:t>
      </w:r>
      <w:r w:rsidRPr="003A1174">
        <w:rPr>
          <w:rFonts w:ascii="Garamond" w:hAnsi="Garamond" w:cs="Arial"/>
          <w:sz w:val="24"/>
          <w:szCs w:val="24"/>
          <w:lang w:val="pt-PT"/>
        </w:rPr>
        <w:t xml:space="preserve">conseguirem o </w:t>
      </w:r>
      <w:r w:rsidR="008843FD" w:rsidRPr="003A1174">
        <w:rPr>
          <w:rFonts w:ascii="Garamond" w:hAnsi="Garamond" w:cs="Arial"/>
          <w:sz w:val="24"/>
          <w:szCs w:val="24"/>
          <w:lang w:val="pt-PT"/>
        </w:rPr>
        <w:t>respeito</w:t>
      </w:r>
      <w:r w:rsidR="0065302D"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886D6A" w:rsidRPr="003A1174">
        <w:rPr>
          <w:rFonts w:ascii="Garamond" w:hAnsi="Garamond" w:cs="Arial"/>
          <w:sz w:val="24"/>
          <w:szCs w:val="24"/>
          <w:lang w:val="pt-PT"/>
        </w:rPr>
        <w:t>proteção</w:t>
      </w:r>
      <w:r w:rsidR="0065302D" w:rsidRPr="003A1174">
        <w:rPr>
          <w:rFonts w:ascii="Garamond" w:hAnsi="Garamond" w:cs="Arial"/>
          <w:sz w:val="24"/>
          <w:szCs w:val="24"/>
          <w:lang w:val="pt-PT"/>
        </w:rPr>
        <w:t xml:space="preserve"> eficaz</w:t>
      </w:r>
      <w:r w:rsidRPr="003A1174">
        <w:rPr>
          <w:rFonts w:ascii="Garamond" w:hAnsi="Garamond" w:cs="Arial"/>
          <w:sz w:val="24"/>
          <w:szCs w:val="24"/>
          <w:lang w:val="pt-PT"/>
        </w:rPr>
        <w:t>es</w:t>
      </w:r>
      <w:r w:rsidR="0065302D" w:rsidRPr="003A1174">
        <w:rPr>
          <w:rFonts w:ascii="Garamond" w:hAnsi="Garamond" w:cs="Arial"/>
          <w:sz w:val="24"/>
          <w:szCs w:val="24"/>
          <w:lang w:val="pt-PT"/>
        </w:rPr>
        <w:t xml:space="preserve"> d</w:t>
      </w:r>
      <w:r w:rsidRPr="003A1174">
        <w:rPr>
          <w:rFonts w:ascii="Garamond" w:hAnsi="Garamond" w:cs="Arial"/>
          <w:sz w:val="24"/>
          <w:szCs w:val="24"/>
          <w:lang w:val="pt-PT"/>
        </w:rPr>
        <w:t>os se</w:t>
      </w:r>
      <w:r w:rsidR="0065302D" w:rsidRPr="003A1174">
        <w:rPr>
          <w:rFonts w:ascii="Garamond" w:hAnsi="Garamond" w:cs="Arial"/>
          <w:sz w:val="24"/>
          <w:szCs w:val="24"/>
          <w:lang w:val="pt-PT"/>
        </w:rPr>
        <w:t xml:space="preserve">us </w:t>
      </w:r>
      <w:r w:rsidR="00886D6A" w:rsidRPr="003A1174">
        <w:rPr>
          <w:rFonts w:ascii="Garamond" w:hAnsi="Garamond" w:cs="Arial"/>
          <w:sz w:val="24"/>
          <w:szCs w:val="24"/>
          <w:lang w:val="pt-PT"/>
        </w:rPr>
        <w:t>direito</w:t>
      </w:r>
      <w:r w:rsidR="0065302D" w:rsidRPr="003A1174">
        <w:rPr>
          <w:rFonts w:ascii="Garamond" w:hAnsi="Garamond" w:cs="Arial"/>
          <w:sz w:val="24"/>
          <w:szCs w:val="24"/>
          <w:lang w:val="pt-PT"/>
        </w:rPr>
        <w:t>s, inclui</w:t>
      </w:r>
      <w:r w:rsidR="00B65E16" w:rsidRPr="003A1174">
        <w:rPr>
          <w:rFonts w:ascii="Garamond" w:hAnsi="Garamond" w:cs="Arial"/>
          <w:sz w:val="24"/>
          <w:szCs w:val="24"/>
          <w:lang w:val="pt-PT"/>
        </w:rPr>
        <w:t xml:space="preserve">ndo, de acordo com cada caso, </w:t>
      </w:r>
      <w:r w:rsidR="0065302D" w:rsidRPr="003A1174">
        <w:rPr>
          <w:rFonts w:ascii="Garamond" w:hAnsi="Garamond" w:cs="Arial"/>
          <w:sz w:val="24"/>
          <w:szCs w:val="24"/>
          <w:lang w:val="pt-PT"/>
        </w:rPr>
        <w:t xml:space="preserve">as </w:t>
      </w:r>
      <w:r w:rsidR="0065302D" w:rsidRPr="003A1174">
        <w:rPr>
          <w:rFonts w:ascii="Garamond" w:hAnsi="Garamond" w:cs="Arial"/>
          <w:color w:val="auto"/>
          <w:sz w:val="24"/>
          <w:szCs w:val="24"/>
          <w:lang w:val="pt-PT"/>
        </w:rPr>
        <w:t xml:space="preserve">medidas de </w:t>
      </w:r>
      <w:r w:rsidR="00AE3F78" w:rsidRPr="003A1174">
        <w:rPr>
          <w:rFonts w:ascii="Garamond" w:hAnsi="Garamond" w:cs="Arial"/>
          <w:color w:val="auto"/>
          <w:sz w:val="24"/>
          <w:szCs w:val="24"/>
          <w:lang w:val="pt-PT"/>
        </w:rPr>
        <w:t>compensação</w:t>
      </w:r>
      <w:r w:rsidR="0065302D" w:rsidRPr="003A1174">
        <w:rPr>
          <w:rFonts w:ascii="Garamond" w:hAnsi="Garamond" w:cs="Arial"/>
          <w:color w:val="auto"/>
          <w:sz w:val="24"/>
          <w:szCs w:val="24"/>
          <w:lang w:val="pt-PT"/>
        </w:rPr>
        <w:t xml:space="preserve"> </w:t>
      </w:r>
      <w:r w:rsidR="00976FB8" w:rsidRPr="003A1174">
        <w:rPr>
          <w:rFonts w:ascii="Garamond" w:hAnsi="Garamond" w:cs="Arial"/>
          <w:color w:val="auto"/>
          <w:sz w:val="24"/>
          <w:szCs w:val="24"/>
          <w:lang w:val="pt-PT"/>
        </w:rPr>
        <w:t>apropriad</w:t>
      </w:r>
      <w:r w:rsidR="0065302D" w:rsidRPr="003A1174">
        <w:rPr>
          <w:rFonts w:ascii="Garamond" w:hAnsi="Garamond" w:cs="Arial"/>
          <w:color w:val="auto"/>
          <w:sz w:val="24"/>
          <w:szCs w:val="24"/>
          <w:lang w:val="pt-PT"/>
        </w:rPr>
        <w:t>as</w:t>
      </w:r>
      <w:r w:rsidR="007A082D">
        <w:rPr>
          <w:rFonts w:ascii="Garamond" w:hAnsi="Garamond" w:cs="Arial"/>
          <w:color w:val="auto"/>
          <w:sz w:val="24"/>
          <w:szCs w:val="24"/>
          <w:lang w:val="pt-PT"/>
        </w:rPr>
        <w:t>»</w:t>
      </w:r>
      <w:r w:rsidR="0065302D" w:rsidRPr="003A1174">
        <w:rPr>
          <w:rFonts w:ascii="Garamond" w:hAnsi="Garamond" w:cs="Arial"/>
          <w:sz w:val="24"/>
          <w:szCs w:val="24"/>
          <w:lang w:val="pt-PT"/>
        </w:rPr>
        <w:t>.</w:t>
      </w:r>
    </w:p>
    <w:p w:rsidR="0065302D" w:rsidRPr="003A1174" w:rsidRDefault="00B65E16" w:rsidP="008719D4">
      <w:pPr>
        <w:pStyle w:val="Prrafodelista"/>
        <w:spacing w:before="240" w:line="240" w:lineRule="auto"/>
        <w:jc w:val="both"/>
        <w:rPr>
          <w:rFonts w:ascii="Garamond" w:hAnsi="Garamond" w:cs="Arial"/>
          <w:sz w:val="24"/>
          <w:szCs w:val="24"/>
          <w:lang w:val="pt-PT"/>
        </w:rPr>
      </w:pPr>
      <w:r w:rsidRPr="003A1174">
        <w:rPr>
          <w:rFonts w:ascii="Garamond" w:hAnsi="Garamond" w:cs="Arial"/>
          <w:sz w:val="24"/>
          <w:szCs w:val="24"/>
          <w:lang w:val="pt-PT"/>
        </w:rPr>
        <w:lastRenderedPageBreak/>
        <w:t>As falhas são</w:t>
      </w:r>
      <w:r w:rsidR="00214B4A">
        <w:rPr>
          <w:rFonts w:ascii="Garamond" w:hAnsi="Garamond" w:cs="Arial"/>
          <w:sz w:val="24"/>
          <w:szCs w:val="24"/>
          <w:lang w:val="pt-PT"/>
        </w:rPr>
        <w:t>,</w:t>
      </w:r>
      <w:r w:rsidRPr="003A1174">
        <w:rPr>
          <w:rFonts w:ascii="Garamond" w:hAnsi="Garamond" w:cs="Arial"/>
          <w:sz w:val="24"/>
          <w:szCs w:val="24"/>
          <w:lang w:val="pt-PT"/>
        </w:rPr>
        <w:t xml:space="preserve"> </w:t>
      </w:r>
      <w:r w:rsidR="0065302D" w:rsidRPr="003A1174">
        <w:rPr>
          <w:rFonts w:ascii="Garamond" w:hAnsi="Garamond" w:cs="Arial"/>
          <w:sz w:val="24"/>
          <w:szCs w:val="24"/>
          <w:lang w:val="pt-PT"/>
        </w:rPr>
        <w:t>ostensi</w:t>
      </w:r>
      <w:r w:rsidRPr="003A1174">
        <w:rPr>
          <w:rFonts w:ascii="Garamond" w:hAnsi="Garamond" w:cs="Arial"/>
          <w:sz w:val="24"/>
          <w:szCs w:val="24"/>
          <w:lang w:val="pt-PT"/>
        </w:rPr>
        <w:t>va</w:t>
      </w:r>
      <w:r w:rsidR="0065302D" w:rsidRPr="003A1174">
        <w:rPr>
          <w:rFonts w:ascii="Garamond" w:hAnsi="Garamond" w:cs="Arial"/>
          <w:sz w:val="24"/>
          <w:szCs w:val="24"/>
          <w:lang w:val="pt-PT"/>
        </w:rPr>
        <w:t>mente graves</w:t>
      </w:r>
      <w:r w:rsidR="00E119CA" w:rsidRPr="003A1174">
        <w:rPr>
          <w:rFonts w:ascii="Garamond" w:hAnsi="Garamond" w:cs="Arial"/>
          <w:sz w:val="24"/>
          <w:szCs w:val="24"/>
          <w:lang w:val="pt-PT"/>
        </w:rPr>
        <w:t>,</w:t>
      </w:r>
      <w:r w:rsidR="0065302D" w:rsidRPr="003A1174">
        <w:rPr>
          <w:rFonts w:ascii="Garamond" w:hAnsi="Garamond" w:cs="Arial"/>
          <w:sz w:val="24"/>
          <w:szCs w:val="24"/>
          <w:lang w:val="pt-PT"/>
        </w:rPr>
        <w:t xml:space="preserve"> inclus</w:t>
      </w:r>
      <w:r w:rsidRPr="003A1174">
        <w:rPr>
          <w:rFonts w:ascii="Garamond" w:hAnsi="Garamond" w:cs="Arial"/>
          <w:sz w:val="24"/>
          <w:szCs w:val="24"/>
          <w:lang w:val="pt-PT"/>
        </w:rPr>
        <w:t xml:space="preserve">ivamente do </w:t>
      </w:r>
      <w:r w:rsidR="00B5431B" w:rsidRPr="003A1174">
        <w:rPr>
          <w:rFonts w:ascii="Garamond" w:hAnsi="Garamond" w:cs="Arial"/>
          <w:sz w:val="24"/>
          <w:szCs w:val="24"/>
          <w:lang w:val="pt-PT"/>
        </w:rPr>
        <w:t>ponto</w:t>
      </w:r>
      <w:r w:rsidR="0065302D" w:rsidRPr="003A1174">
        <w:rPr>
          <w:rFonts w:ascii="Garamond" w:hAnsi="Garamond" w:cs="Arial"/>
          <w:sz w:val="24"/>
          <w:szCs w:val="24"/>
          <w:lang w:val="pt-PT"/>
        </w:rPr>
        <w:t xml:space="preserve"> de vista jurídico, t</w:t>
      </w:r>
      <w:r w:rsidRPr="003A1174">
        <w:rPr>
          <w:rFonts w:ascii="Garamond" w:hAnsi="Garamond" w:cs="Arial"/>
          <w:sz w:val="24"/>
          <w:szCs w:val="24"/>
          <w:lang w:val="pt-PT"/>
        </w:rPr>
        <w:t>endo em co</w:t>
      </w:r>
      <w:r w:rsidR="0065302D" w:rsidRPr="003A1174">
        <w:rPr>
          <w:rFonts w:ascii="Garamond" w:hAnsi="Garamond" w:cs="Arial"/>
          <w:sz w:val="24"/>
          <w:szCs w:val="24"/>
          <w:lang w:val="pt-PT"/>
        </w:rPr>
        <w:t>nta que</w:t>
      </w:r>
      <w:r w:rsidRPr="003A1174">
        <w:rPr>
          <w:rFonts w:ascii="Garamond" w:hAnsi="Garamond" w:cs="Arial"/>
          <w:sz w:val="24"/>
          <w:szCs w:val="24"/>
          <w:lang w:val="pt-PT"/>
        </w:rPr>
        <w:t>,</w:t>
      </w:r>
      <w:r w:rsidR="0065302D" w:rsidRPr="003A1174">
        <w:rPr>
          <w:rFonts w:ascii="Garamond" w:hAnsi="Garamond" w:cs="Arial"/>
          <w:sz w:val="24"/>
          <w:szCs w:val="24"/>
          <w:lang w:val="pt-PT"/>
        </w:rPr>
        <w:t xml:space="preserve"> conforme </w:t>
      </w:r>
      <w:r w:rsidR="00661ADB" w:rsidRPr="003A1174">
        <w:rPr>
          <w:rFonts w:ascii="Garamond" w:hAnsi="Garamond" w:cs="Arial"/>
          <w:sz w:val="24"/>
          <w:szCs w:val="24"/>
          <w:lang w:val="pt-PT"/>
        </w:rPr>
        <w:t>estabelec</w:t>
      </w:r>
      <w:r w:rsidRPr="003A1174">
        <w:rPr>
          <w:rFonts w:ascii="Garamond" w:hAnsi="Garamond" w:cs="Arial"/>
          <w:sz w:val="24"/>
          <w:szCs w:val="24"/>
          <w:lang w:val="pt-PT"/>
        </w:rPr>
        <w:t>eu</w:t>
      </w:r>
      <w:r w:rsidR="00312546">
        <w:rPr>
          <w:rFonts w:ascii="Garamond" w:hAnsi="Garamond" w:cs="Arial"/>
          <w:sz w:val="24"/>
          <w:szCs w:val="24"/>
          <w:lang w:val="pt-PT"/>
        </w:rPr>
        <w:t xml:space="preserve"> o Tribunal</w:t>
      </w:r>
      <w:r w:rsidR="002A7FDD" w:rsidRPr="003A1174">
        <w:rPr>
          <w:rFonts w:ascii="Garamond" w:hAnsi="Garamond" w:cs="Arial"/>
          <w:sz w:val="24"/>
          <w:szCs w:val="24"/>
          <w:lang w:val="pt-PT"/>
        </w:rPr>
        <w:t xml:space="preserve"> </w:t>
      </w:r>
      <w:r w:rsidR="0065302D" w:rsidRPr="003A1174">
        <w:rPr>
          <w:rFonts w:ascii="Garamond" w:hAnsi="Garamond" w:cs="Arial"/>
          <w:sz w:val="24"/>
          <w:szCs w:val="24"/>
          <w:lang w:val="pt-PT"/>
        </w:rPr>
        <w:t>Interamerican</w:t>
      </w:r>
      <w:r w:rsidR="00312546">
        <w:rPr>
          <w:rFonts w:ascii="Garamond" w:hAnsi="Garamond" w:cs="Arial"/>
          <w:sz w:val="24"/>
          <w:szCs w:val="24"/>
          <w:lang w:val="pt-PT"/>
        </w:rPr>
        <w:t>o</w:t>
      </w:r>
      <w:r w:rsidRPr="003A1174">
        <w:rPr>
          <w:rFonts w:ascii="Garamond" w:hAnsi="Garamond" w:cs="Arial"/>
          <w:sz w:val="24"/>
          <w:szCs w:val="24"/>
          <w:lang w:val="pt-PT"/>
        </w:rPr>
        <w:t xml:space="preserve">, o </w:t>
      </w:r>
      <w:r w:rsidR="00886D6A" w:rsidRPr="003A1174">
        <w:rPr>
          <w:rFonts w:ascii="Garamond" w:hAnsi="Garamond" w:cs="Arial"/>
          <w:sz w:val="24"/>
          <w:szCs w:val="24"/>
          <w:lang w:val="pt-PT"/>
        </w:rPr>
        <w:t>direito</w:t>
      </w:r>
      <w:r w:rsidR="0065302D" w:rsidRPr="003A1174">
        <w:rPr>
          <w:rFonts w:ascii="Garamond" w:hAnsi="Garamond" w:cs="Arial"/>
          <w:sz w:val="24"/>
          <w:szCs w:val="24"/>
          <w:lang w:val="pt-PT"/>
        </w:rPr>
        <w:t xml:space="preserve"> humano de </w:t>
      </w:r>
      <w:r w:rsidR="00886D6A" w:rsidRPr="003A1174">
        <w:rPr>
          <w:rFonts w:ascii="Garamond" w:hAnsi="Garamond" w:cs="Arial"/>
          <w:sz w:val="24"/>
          <w:szCs w:val="24"/>
          <w:lang w:val="pt-PT"/>
        </w:rPr>
        <w:t>Acesso</w:t>
      </w:r>
      <w:r w:rsidR="0065302D"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65302D" w:rsidRPr="003A1174">
        <w:rPr>
          <w:rFonts w:ascii="Garamond" w:hAnsi="Garamond" w:cs="Arial"/>
          <w:sz w:val="24"/>
          <w:szCs w:val="24"/>
          <w:lang w:val="pt-PT"/>
        </w:rPr>
        <w:t xml:space="preserve"> </w:t>
      </w:r>
      <w:r w:rsidR="00FC1F7F" w:rsidRPr="003A1174">
        <w:rPr>
          <w:rFonts w:ascii="Garamond" w:hAnsi="Garamond" w:cs="Arial"/>
          <w:sz w:val="24"/>
          <w:szCs w:val="24"/>
          <w:lang w:val="pt-PT"/>
        </w:rPr>
        <w:t>Justiça</w:t>
      </w:r>
      <w:r w:rsidR="0065302D" w:rsidRPr="003A1174">
        <w:rPr>
          <w:rFonts w:ascii="Garamond" w:hAnsi="Garamond" w:cs="Arial"/>
          <w:sz w:val="24"/>
          <w:szCs w:val="24"/>
          <w:lang w:val="pt-PT"/>
        </w:rPr>
        <w:t xml:space="preserve"> </w:t>
      </w:r>
      <w:r w:rsidR="007A2492" w:rsidRPr="003A1174">
        <w:rPr>
          <w:rFonts w:ascii="Garamond" w:hAnsi="Garamond" w:cs="Arial"/>
          <w:sz w:val="24"/>
          <w:szCs w:val="24"/>
          <w:lang w:val="pt-PT"/>
        </w:rPr>
        <w:t>tem</w:t>
      </w:r>
      <w:r w:rsidR="0065302D" w:rsidRPr="003A1174">
        <w:rPr>
          <w:rFonts w:ascii="Garamond" w:hAnsi="Garamond" w:cs="Arial"/>
          <w:sz w:val="24"/>
          <w:szCs w:val="24"/>
          <w:lang w:val="pt-PT"/>
        </w:rPr>
        <w:t xml:space="preserve"> </w:t>
      </w:r>
      <w:r w:rsidRPr="003A1174">
        <w:rPr>
          <w:rFonts w:ascii="Garamond" w:hAnsi="Garamond" w:cs="Arial"/>
          <w:sz w:val="24"/>
          <w:szCs w:val="24"/>
          <w:lang w:val="pt-PT"/>
        </w:rPr>
        <w:t xml:space="preserve">o </w:t>
      </w:r>
      <w:r w:rsidR="00120915" w:rsidRPr="003A1174">
        <w:rPr>
          <w:rFonts w:ascii="Garamond" w:hAnsi="Garamond" w:cs="Arial"/>
          <w:sz w:val="24"/>
          <w:szCs w:val="24"/>
          <w:lang w:val="pt-PT"/>
        </w:rPr>
        <w:t>caráter</w:t>
      </w:r>
      <w:r w:rsidR="0065302D" w:rsidRPr="003A1174">
        <w:rPr>
          <w:rFonts w:ascii="Garamond" w:hAnsi="Garamond" w:cs="Arial"/>
          <w:sz w:val="24"/>
          <w:szCs w:val="24"/>
          <w:lang w:val="pt-PT"/>
        </w:rPr>
        <w:t xml:space="preserve"> de </w:t>
      </w:r>
      <w:r w:rsidR="00214B4A">
        <w:rPr>
          <w:rFonts w:ascii="Garamond" w:hAnsi="Garamond" w:cs="Arial"/>
          <w:sz w:val="24"/>
          <w:szCs w:val="24"/>
          <w:lang w:val="pt-PT"/>
        </w:rPr>
        <w:t>«</w:t>
      </w:r>
      <w:r w:rsidRPr="003A1174">
        <w:rPr>
          <w:rFonts w:ascii="Garamond" w:hAnsi="Garamond" w:cs="Arial"/>
          <w:sz w:val="24"/>
          <w:szCs w:val="24"/>
          <w:lang w:val="pt-PT"/>
        </w:rPr>
        <w:t xml:space="preserve">lei </w:t>
      </w:r>
      <w:r w:rsidR="0065302D" w:rsidRPr="003A1174">
        <w:rPr>
          <w:rFonts w:ascii="Garamond" w:hAnsi="Garamond" w:cs="Arial"/>
          <w:sz w:val="24"/>
          <w:szCs w:val="24"/>
          <w:lang w:val="pt-PT"/>
        </w:rPr>
        <w:t>imperativa</w:t>
      </w:r>
      <w:r w:rsidR="00214B4A">
        <w:rPr>
          <w:rFonts w:ascii="Garamond" w:hAnsi="Garamond" w:cs="Arial"/>
          <w:sz w:val="24"/>
          <w:szCs w:val="24"/>
          <w:lang w:val="pt-PT"/>
        </w:rPr>
        <w:t>»</w:t>
      </w:r>
      <w:r w:rsidR="0065302D" w:rsidRPr="003A1174">
        <w:rPr>
          <w:rFonts w:ascii="Garamond" w:hAnsi="Garamond" w:cs="Arial"/>
          <w:sz w:val="24"/>
          <w:szCs w:val="24"/>
          <w:lang w:val="pt-PT"/>
        </w:rPr>
        <w:t xml:space="preserve"> de </w:t>
      </w:r>
      <w:r w:rsidR="00886D6A" w:rsidRPr="003A1174">
        <w:rPr>
          <w:rFonts w:ascii="Garamond" w:hAnsi="Garamond" w:cs="Arial"/>
          <w:sz w:val="24"/>
          <w:szCs w:val="24"/>
          <w:lang w:val="pt-PT"/>
        </w:rPr>
        <w:t>Direito</w:t>
      </w:r>
      <w:r w:rsidR="0065302D" w:rsidRPr="003A1174">
        <w:rPr>
          <w:rFonts w:ascii="Garamond" w:hAnsi="Garamond" w:cs="Arial"/>
          <w:sz w:val="24"/>
          <w:szCs w:val="24"/>
          <w:lang w:val="pt-PT"/>
        </w:rPr>
        <w:t xml:space="preserve"> Internacional (</w:t>
      </w:r>
      <w:r w:rsidR="0065302D" w:rsidRPr="003A1174">
        <w:rPr>
          <w:rFonts w:ascii="Garamond" w:hAnsi="Garamond" w:cs="Arial"/>
          <w:i/>
          <w:sz w:val="24"/>
          <w:szCs w:val="24"/>
          <w:lang w:val="pt-PT"/>
        </w:rPr>
        <w:t>ius cogens</w:t>
      </w:r>
      <w:r w:rsidR="0065302D" w:rsidRPr="003A1174">
        <w:rPr>
          <w:rFonts w:ascii="Garamond" w:hAnsi="Garamond" w:cs="Arial"/>
          <w:sz w:val="24"/>
          <w:szCs w:val="24"/>
          <w:lang w:val="pt-PT"/>
        </w:rPr>
        <w:t xml:space="preserve">), </w:t>
      </w:r>
      <w:r w:rsidR="00214B4A">
        <w:rPr>
          <w:rFonts w:ascii="Garamond" w:hAnsi="Garamond" w:cs="Arial"/>
          <w:sz w:val="24"/>
          <w:szCs w:val="24"/>
          <w:lang w:val="pt-PT"/>
        </w:rPr>
        <w:t xml:space="preserve">e </w:t>
      </w:r>
      <w:r w:rsidRPr="003A1174">
        <w:rPr>
          <w:rFonts w:ascii="Garamond" w:hAnsi="Garamond" w:cs="Arial"/>
          <w:sz w:val="24"/>
          <w:szCs w:val="24"/>
          <w:lang w:val="pt-PT"/>
        </w:rPr>
        <w:t xml:space="preserve">a </w:t>
      </w:r>
      <w:r w:rsidR="0065302D" w:rsidRPr="003A1174">
        <w:rPr>
          <w:rFonts w:ascii="Garamond" w:hAnsi="Garamond" w:cs="Arial"/>
          <w:sz w:val="24"/>
          <w:szCs w:val="24"/>
          <w:lang w:val="pt-PT"/>
        </w:rPr>
        <w:t>su</w:t>
      </w:r>
      <w:r w:rsidRPr="003A1174">
        <w:rPr>
          <w:rFonts w:ascii="Garamond" w:hAnsi="Garamond" w:cs="Arial"/>
          <w:sz w:val="24"/>
          <w:szCs w:val="24"/>
          <w:lang w:val="pt-PT"/>
        </w:rPr>
        <w:t>a</w:t>
      </w:r>
      <w:r w:rsidR="0065302D" w:rsidRPr="003A1174">
        <w:rPr>
          <w:rFonts w:ascii="Garamond" w:hAnsi="Garamond" w:cs="Arial"/>
          <w:sz w:val="24"/>
          <w:szCs w:val="24"/>
          <w:lang w:val="pt-PT"/>
        </w:rPr>
        <w:t xml:space="preserve"> infr</w:t>
      </w:r>
      <w:r w:rsidR="00077461" w:rsidRPr="003A1174">
        <w:rPr>
          <w:rFonts w:ascii="Garamond" w:hAnsi="Garamond" w:cs="Arial"/>
          <w:sz w:val="24"/>
          <w:szCs w:val="24"/>
          <w:lang w:val="pt-PT"/>
        </w:rPr>
        <w:t>ação</w:t>
      </w:r>
      <w:r w:rsidRPr="003A1174">
        <w:rPr>
          <w:rFonts w:ascii="Garamond" w:hAnsi="Garamond" w:cs="Arial"/>
          <w:sz w:val="24"/>
          <w:szCs w:val="24"/>
          <w:lang w:val="pt-PT"/>
        </w:rPr>
        <w:t xml:space="preserve"> </w:t>
      </w:r>
      <w:r w:rsidR="00A4423E">
        <w:rPr>
          <w:rFonts w:ascii="Garamond" w:hAnsi="Garamond" w:cs="Arial"/>
          <w:sz w:val="24"/>
          <w:szCs w:val="24"/>
          <w:lang w:val="pt-PT"/>
        </w:rPr>
        <w:t>pressupõe</w:t>
      </w:r>
      <w:r w:rsidRPr="003A1174">
        <w:rPr>
          <w:rFonts w:ascii="Garamond" w:hAnsi="Garamond" w:cs="Arial"/>
          <w:sz w:val="24"/>
          <w:szCs w:val="24"/>
          <w:lang w:val="pt-PT"/>
        </w:rPr>
        <w:t xml:space="preserve"> uma </w:t>
      </w:r>
      <w:r w:rsidR="00067AA4" w:rsidRPr="003A1174">
        <w:rPr>
          <w:rFonts w:ascii="Garamond" w:hAnsi="Garamond" w:cs="Arial"/>
          <w:sz w:val="24"/>
          <w:szCs w:val="24"/>
          <w:lang w:val="pt-PT"/>
        </w:rPr>
        <w:t>muito</w:t>
      </w:r>
      <w:r w:rsidR="0065302D" w:rsidRPr="003A1174">
        <w:rPr>
          <w:rFonts w:ascii="Garamond" w:hAnsi="Garamond" w:cs="Arial"/>
          <w:sz w:val="24"/>
          <w:szCs w:val="24"/>
          <w:lang w:val="pt-PT"/>
        </w:rPr>
        <w:t xml:space="preserve"> </w:t>
      </w:r>
      <w:r w:rsidR="004E3A1A" w:rsidRPr="003A1174">
        <w:rPr>
          <w:rFonts w:ascii="Garamond" w:hAnsi="Garamond" w:cs="Arial"/>
          <w:sz w:val="24"/>
          <w:szCs w:val="24"/>
          <w:lang w:val="pt-PT"/>
        </w:rPr>
        <w:t>séria</w:t>
      </w:r>
      <w:r w:rsidR="0065302D" w:rsidRPr="003A1174">
        <w:rPr>
          <w:rFonts w:ascii="Garamond" w:hAnsi="Garamond" w:cs="Arial"/>
          <w:sz w:val="24"/>
          <w:szCs w:val="24"/>
          <w:lang w:val="pt-PT"/>
        </w:rPr>
        <w:t xml:space="preserve"> </w:t>
      </w:r>
      <w:r w:rsidR="006D0543" w:rsidRPr="003A1174">
        <w:rPr>
          <w:rFonts w:ascii="Garamond" w:hAnsi="Garamond" w:cs="Arial"/>
          <w:sz w:val="24"/>
          <w:szCs w:val="24"/>
          <w:lang w:val="pt-PT"/>
        </w:rPr>
        <w:t>responsabilidade</w:t>
      </w:r>
      <w:r w:rsidR="0065302D" w:rsidRPr="003A1174">
        <w:rPr>
          <w:rFonts w:ascii="Garamond" w:hAnsi="Garamond" w:cs="Arial"/>
          <w:sz w:val="24"/>
          <w:szCs w:val="24"/>
          <w:lang w:val="pt-PT"/>
        </w:rPr>
        <w:t xml:space="preserve"> </w:t>
      </w:r>
      <w:r w:rsidRPr="003A1174">
        <w:rPr>
          <w:rFonts w:ascii="Garamond" w:hAnsi="Garamond" w:cs="Arial"/>
          <w:sz w:val="24"/>
          <w:szCs w:val="24"/>
          <w:lang w:val="pt-PT"/>
        </w:rPr>
        <w:t xml:space="preserve">por </w:t>
      </w:r>
      <w:r w:rsidR="0065302D" w:rsidRPr="003A1174">
        <w:rPr>
          <w:rFonts w:ascii="Garamond" w:hAnsi="Garamond" w:cs="Arial"/>
          <w:sz w:val="24"/>
          <w:szCs w:val="24"/>
          <w:lang w:val="pt-PT"/>
        </w:rPr>
        <w:t xml:space="preserve">parte </w:t>
      </w:r>
      <w:r w:rsidR="00497503" w:rsidRPr="003A1174">
        <w:rPr>
          <w:rFonts w:ascii="Garamond" w:hAnsi="Garamond" w:cs="Arial"/>
          <w:sz w:val="24"/>
          <w:szCs w:val="24"/>
          <w:lang w:val="pt-PT"/>
        </w:rPr>
        <w:t>dos</w:t>
      </w:r>
      <w:r w:rsidR="0065302D" w:rsidRPr="003A1174">
        <w:rPr>
          <w:rFonts w:ascii="Garamond" w:hAnsi="Garamond" w:cs="Arial"/>
          <w:sz w:val="24"/>
          <w:szCs w:val="24"/>
          <w:lang w:val="pt-PT"/>
        </w:rPr>
        <w:t xml:space="preserve"> Estados </w:t>
      </w:r>
      <w:r w:rsidR="007407BD" w:rsidRPr="003A1174">
        <w:rPr>
          <w:rFonts w:ascii="Garamond" w:hAnsi="Garamond" w:cs="Arial"/>
          <w:sz w:val="24"/>
          <w:szCs w:val="24"/>
          <w:lang w:val="pt-PT"/>
        </w:rPr>
        <w:t>respetivos</w:t>
      </w:r>
      <w:r w:rsidR="0065302D" w:rsidRPr="003A1174">
        <w:rPr>
          <w:rFonts w:ascii="Garamond" w:hAnsi="Garamond" w:cs="Arial"/>
          <w:sz w:val="24"/>
          <w:szCs w:val="24"/>
          <w:lang w:val="pt-PT"/>
        </w:rPr>
        <w:t>.</w:t>
      </w:r>
      <w:r w:rsidR="0065302D" w:rsidRPr="003A1174">
        <w:rPr>
          <w:rStyle w:val="Refdenotaalpie"/>
          <w:rFonts w:ascii="Garamond" w:hAnsi="Garamond" w:cs="Arial"/>
          <w:sz w:val="24"/>
          <w:szCs w:val="24"/>
        </w:rPr>
        <w:footnoteReference w:id="155"/>
      </w:r>
      <w:r w:rsidR="0065302D" w:rsidRPr="003A1174">
        <w:rPr>
          <w:rFonts w:ascii="Garamond" w:hAnsi="Garamond" w:cs="Arial"/>
          <w:sz w:val="24"/>
          <w:szCs w:val="24"/>
          <w:lang w:val="pt-PT"/>
        </w:rPr>
        <w:t xml:space="preserve"> </w:t>
      </w:r>
    </w:p>
    <w:p w:rsidR="00CF5971" w:rsidRPr="003A1174" w:rsidRDefault="00B65E16" w:rsidP="008719D4">
      <w:pPr>
        <w:pStyle w:val="Prrafodelista"/>
        <w:numPr>
          <w:ilvl w:val="0"/>
          <w:numId w:val="44"/>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Atend</w:t>
      </w:r>
      <w:r w:rsidR="0093609C" w:rsidRPr="003A1174">
        <w:rPr>
          <w:rFonts w:ascii="Garamond" w:hAnsi="Garamond" w:cs="Arial"/>
          <w:sz w:val="24"/>
          <w:szCs w:val="24"/>
          <w:lang w:val="pt-PT"/>
        </w:rPr>
        <w:t>endo a que</w:t>
      </w:r>
      <w:r w:rsidR="00AB1B3D">
        <w:rPr>
          <w:rFonts w:ascii="Garamond" w:hAnsi="Garamond" w:cs="Arial"/>
          <w:sz w:val="24"/>
          <w:szCs w:val="24"/>
          <w:lang w:val="pt-PT"/>
        </w:rPr>
        <w:t>,</w:t>
      </w:r>
      <w:r w:rsidR="0093609C" w:rsidRPr="003A1174">
        <w:rPr>
          <w:rFonts w:ascii="Garamond" w:hAnsi="Garamond" w:cs="Arial"/>
          <w:sz w:val="24"/>
          <w:szCs w:val="24"/>
          <w:lang w:val="pt-PT"/>
        </w:rPr>
        <w:t xml:space="preserve"> </w:t>
      </w:r>
      <w:r w:rsidRPr="003A1174">
        <w:rPr>
          <w:rFonts w:ascii="Garamond" w:hAnsi="Garamond" w:cs="Arial"/>
          <w:sz w:val="24"/>
          <w:szCs w:val="24"/>
          <w:lang w:val="pt-PT"/>
        </w:rPr>
        <w:t xml:space="preserve">por motivo </w:t>
      </w:r>
      <w:r w:rsidR="00E85E59" w:rsidRPr="003A1174">
        <w:rPr>
          <w:rFonts w:ascii="Garamond" w:hAnsi="Garamond" w:cs="Arial"/>
          <w:sz w:val="24"/>
          <w:szCs w:val="24"/>
          <w:lang w:val="pt-PT"/>
        </w:rPr>
        <w:t>do</w:t>
      </w:r>
      <w:r w:rsidR="0093609C" w:rsidRPr="003A1174">
        <w:rPr>
          <w:rFonts w:ascii="Garamond" w:hAnsi="Garamond" w:cs="Arial"/>
          <w:sz w:val="24"/>
          <w:szCs w:val="24"/>
          <w:lang w:val="pt-PT"/>
        </w:rPr>
        <w:t xml:space="preserve"> </w:t>
      </w:r>
      <w:r w:rsidR="00253B1D" w:rsidRPr="003A1174">
        <w:rPr>
          <w:rFonts w:ascii="Garamond" w:hAnsi="Garamond" w:cs="Arial"/>
          <w:sz w:val="24"/>
          <w:szCs w:val="24"/>
          <w:lang w:val="pt-PT"/>
        </w:rPr>
        <w:t>Controlo</w:t>
      </w:r>
      <w:r w:rsidR="0093609C" w:rsidRPr="003A1174">
        <w:rPr>
          <w:rFonts w:ascii="Garamond" w:hAnsi="Garamond" w:cs="Arial"/>
          <w:sz w:val="24"/>
          <w:szCs w:val="24"/>
          <w:lang w:val="pt-PT"/>
        </w:rPr>
        <w:t xml:space="preserve"> de Convencionalidad</w:t>
      </w:r>
      <w:r w:rsidRPr="003A1174">
        <w:rPr>
          <w:rFonts w:ascii="Garamond" w:hAnsi="Garamond" w:cs="Arial"/>
          <w:sz w:val="24"/>
          <w:szCs w:val="24"/>
          <w:lang w:val="pt-PT"/>
        </w:rPr>
        <w:t>e</w:t>
      </w:r>
      <w:r w:rsidR="00AB1B3D">
        <w:rPr>
          <w:rFonts w:ascii="Garamond" w:hAnsi="Garamond" w:cs="Arial"/>
          <w:sz w:val="24"/>
          <w:szCs w:val="24"/>
          <w:lang w:val="pt-PT"/>
        </w:rPr>
        <w:t>,</w:t>
      </w:r>
      <w:r w:rsidRPr="003A1174">
        <w:rPr>
          <w:rFonts w:ascii="Garamond" w:hAnsi="Garamond" w:cs="Arial"/>
          <w:sz w:val="24"/>
          <w:szCs w:val="24"/>
          <w:lang w:val="pt-PT"/>
        </w:rPr>
        <w:t xml:space="preserve"> </w:t>
      </w:r>
      <w:r w:rsidR="0093609C" w:rsidRPr="003A1174">
        <w:rPr>
          <w:rFonts w:ascii="Garamond" w:hAnsi="Garamond" w:cs="Arial"/>
          <w:sz w:val="24"/>
          <w:szCs w:val="24"/>
          <w:lang w:val="pt-PT"/>
        </w:rPr>
        <w:t xml:space="preserve">os Estados </w:t>
      </w:r>
      <w:r w:rsidR="00D4575C" w:rsidRPr="003A1174">
        <w:rPr>
          <w:rFonts w:ascii="Garamond" w:hAnsi="Garamond" w:cs="Arial"/>
          <w:sz w:val="24"/>
          <w:szCs w:val="24"/>
          <w:lang w:val="pt-PT"/>
        </w:rPr>
        <w:t>têm</w:t>
      </w:r>
      <w:r w:rsidRPr="003A1174">
        <w:rPr>
          <w:rFonts w:ascii="Garamond" w:hAnsi="Garamond" w:cs="Arial"/>
          <w:sz w:val="24"/>
          <w:szCs w:val="24"/>
          <w:lang w:val="pt-PT"/>
        </w:rPr>
        <w:t xml:space="preserve"> </w:t>
      </w:r>
      <w:r w:rsidR="0093609C" w:rsidRPr="003A1174">
        <w:rPr>
          <w:rFonts w:ascii="Garamond" w:hAnsi="Garamond" w:cs="Arial"/>
          <w:sz w:val="24"/>
          <w:szCs w:val="24"/>
          <w:lang w:val="pt-PT"/>
        </w:rPr>
        <w:t xml:space="preserve">a </w:t>
      </w:r>
      <w:r w:rsidR="00AF192F" w:rsidRPr="003A1174">
        <w:rPr>
          <w:rFonts w:ascii="Garamond" w:hAnsi="Garamond" w:cs="Arial"/>
          <w:sz w:val="24"/>
          <w:szCs w:val="24"/>
          <w:lang w:val="pt-PT"/>
        </w:rPr>
        <w:t>obrigação</w:t>
      </w:r>
      <w:r w:rsidR="00232E98">
        <w:rPr>
          <w:rFonts w:ascii="Garamond" w:hAnsi="Garamond" w:cs="Arial"/>
          <w:sz w:val="24"/>
          <w:szCs w:val="24"/>
          <w:lang w:val="pt-PT"/>
        </w:rPr>
        <w:t>, inequívoca,</w:t>
      </w:r>
      <w:r w:rsidR="0093609C" w:rsidRPr="003A1174">
        <w:rPr>
          <w:rFonts w:ascii="Garamond" w:hAnsi="Garamond" w:cs="Arial"/>
          <w:sz w:val="24"/>
          <w:szCs w:val="24"/>
          <w:lang w:val="pt-PT"/>
        </w:rPr>
        <w:t xml:space="preserve"> de </w:t>
      </w:r>
      <w:r w:rsidR="00306B73" w:rsidRPr="003A1174">
        <w:rPr>
          <w:rFonts w:ascii="Garamond" w:hAnsi="Garamond" w:cs="Arial"/>
          <w:sz w:val="24"/>
          <w:szCs w:val="24"/>
          <w:lang w:val="pt-PT"/>
        </w:rPr>
        <w:t>cumprir</w:t>
      </w:r>
      <w:r w:rsidR="0093609C" w:rsidRPr="003A1174">
        <w:rPr>
          <w:rFonts w:ascii="Garamond" w:hAnsi="Garamond" w:cs="Arial"/>
          <w:sz w:val="24"/>
          <w:szCs w:val="24"/>
          <w:lang w:val="pt-PT"/>
        </w:rPr>
        <w:t xml:space="preserve"> co</w:t>
      </w:r>
      <w:r w:rsidRPr="003A1174">
        <w:rPr>
          <w:rFonts w:ascii="Garamond" w:hAnsi="Garamond" w:cs="Arial"/>
          <w:sz w:val="24"/>
          <w:szCs w:val="24"/>
          <w:lang w:val="pt-PT"/>
        </w:rPr>
        <w:t>m o estipulado pel</w:t>
      </w:r>
      <w:r w:rsidR="00497503" w:rsidRPr="003A1174">
        <w:rPr>
          <w:rFonts w:ascii="Garamond" w:hAnsi="Garamond" w:cs="Arial"/>
          <w:sz w:val="24"/>
          <w:szCs w:val="24"/>
          <w:lang w:val="pt-PT"/>
        </w:rPr>
        <w:t>os</w:t>
      </w:r>
      <w:r w:rsidR="0093609C" w:rsidRPr="003A1174">
        <w:rPr>
          <w:rFonts w:ascii="Garamond" w:hAnsi="Garamond" w:cs="Arial"/>
          <w:sz w:val="24"/>
          <w:szCs w:val="24"/>
          <w:lang w:val="pt-PT"/>
        </w:rPr>
        <w:t xml:space="preserve"> TIDHs </w:t>
      </w:r>
      <w:r w:rsidR="00AB1B3D">
        <w:rPr>
          <w:rFonts w:ascii="Garamond" w:hAnsi="Garamond" w:cs="Arial"/>
          <w:sz w:val="24"/>
          <w:szCs w:val="24"/>
          <w:lang w:val="pt-PT"/>
        </w:rPr>
        <w:t xml:space="preserve">de </w:t>
      </w:r>
      <w:r w:rsidR="0093609C" w:rsidRPr="003A1174">
        <w:rPr>
          <w:rFonts w:ascii="Garamond" w:hAnsi="Garamond" w:cs="Arial"/>
          <w:sz w:val="24"/>
          <w:szCs w:val="24"/>
          <w:lang w:val="pt-PT"/>
        </w:rPr>
        <w:t xml:space="preserve">que </w:t>
      </w:r>
      <w:r w:rsidR="00D75A07" w:rsidRPr="003A1174">
        <w:rPr>
          <w:rFonts w:ascii="Garamond" w:hAnsi="Garamond" w:cs="Arial"/>
          <w:sz w:val="24"/>
          <w:szCs w:val="24"/>
          <w:lang w:val="pt-PT"/>
        </w:rPr>
        <w:t>são</w:t>
      </w:r>
      <w:r w:rsidR="0093609C" w:rsidRPr="003A1174">
        <w:rPr>
          <w:rFonts w:ascii="Garamond" w:hAnsi="Garamond" w:cs="Arial"/>
          <w:sz w:val="24"/>
          <w:szCs w:val="24"/>
          <w:lang w:val="pt-PT"/>
        </w:rPr>
        <w:t xml:space="preserve"> partes, </w:t>
      </w:r>
      <w:r w:rsidR="000672E8" w:rsidRPr="003A1174">
        <w:rPr>
          <w:rFonts w:ascii="Garamond" w:hAnsi="Garamond" w:cs="Arial"/>
          <w:sz w:val="24"/>
          <w:szCs w:val="24"/>
          <w:lang w:val="pt-PT"/>
        </w:rPr>
        <w:t>e</w:t>
      </w:r>
      <w:r w:rsidR="0093609C" w:rsidRPr="003A1174">
        <w:rPr>
          <w:rFonts w:ascii="Garamond" w:hAnsi="Garamond" w:cs="Arial"/>
          <w:sz w:val="24"/>
          <w:szCs w:val="24"/>
          <w:lang w:val="pt-PT"/>
        </w:rPr>
        <w:t xml:space="preserve"> </w:t>
      </w:r>
      <w:r w:rsidRPr="003A1174">
        <w:rPr>
          <w:rFonts w:ascii="Garamond" w:hAnsi="Garamond" w:cs="Arial"/>
          <w:sz w:val="24"/>
          <w:szCs w:val="24"/>
          <w:lang w:val="pt-PT"/>
        </w:rPr>
        <w:t>também</w:t>
      </w:r>
      <w:r w:rsidR="00232E98">
        <w:rPr>
          <w:rFonts w:ascii="Garamond" w:hAnsi="Garamond" w:cs="Arial"/>
          <w:sz w:val="24"/>
          <w:szCs w:val="24"/>
          <w:lang w:val="pt-PT"/>
        </w:rPr>
        <w:t>,</w:t>
      </w:r>
      <w:r w:rsidRPr="003A1174">
        <w:rPr>
          <w:rFonts w:ascii="Garamond" w:hAnsi="Garamond" w:cs="Arial"/>
          <w:sz w:val="24"/>
          <w:szCs w:val="24"/>
          <w:lang w:val="pt-PT"/>
        </w:rPr>
        <w:t xml:space="preserve"> com os procedimentos d</w:t>
      </w:r>
      <w:r w:rsidR="00312546">
        <w:rPr>
          <w:rFonts w:ascii="Garamond" w:hAnsi="Garamond" w:cs="Arial"/>
          <w:sz w:val="24"/>
          <w:szCs w:val="24"/>
          <w:lang w:val="pt-PT"/>
        </w:rPr>
        <w:t>o</w:t>
      </w:r>
      <w:r w:rsidR="0093609C" w:rsidRPr="003A1174">
        <w:rPr>
          <w:rFonts w:ascii="Garamond" w:hAnsi="Garamond" w:cs="Arial"/>
          <w:sz w:val="24"/>
          <w:szCs w:val="24"/>
          <w:lang w:val="pt-PT"/>
        </w:rPr>
        <w:t xml:space="preserve"> </w:t>
      </w:r>
      <w:r w:rsidR="00312546">
        <w:rPr>
          <w:rFonts w:ascii="Garamond" w:hAnsi="Garamond" w:cs="Arial"/>
          <w:sz w:val="24"/>
          <w:szCs w:val="24"/>
          <w:lang w:val="pt-PT"/>
        </w:rPr>
        <w:t>Tribunal</w:t>
      </w:r>
      <w:r w:rsidR="002A7FDD" w:rsidRPr="003A1174">
        <w:rPr>
          <w:rFonts w:ascii="Garamond" w:hAnsi="Garamond" w:cs="Arial"/>
          <w:sz w:val="24"/>
          <w:szCs w:val="24"/>
          <w:lang w:val="pt-PT"/>
        </w:rPr>
        <w:t xml:space="preserve"> </w:t>
      </w:r>
      <w:r w:rsidR="0093609C" w:rsidRPr="003A1174">
        <w:rPr>
          <w:rFonts w:ascii="Garamond" w:hAnsi="Garamond" w:cs="Arial"/>
          <w:sz w:val="24"/>
          <w:szCs w:val="24"/>
          <w:lang w:val="pt-PT"/>
        </w:rPr>
        <w:t>Interamerican</w:t>
      </w:r>
      <w:r w:rsidR="00312546">
        <w:rPr>
          <w:rFonts w:ascii="Garamond" w:hAnsi="Garamond" w:cs="Arial"/>
          <w:sz w:val="24"/>
          <w:szCs w:val="24"/>
          <w:lang w:val="pt-PT"/>
        </w:rPr>
        <w:t>o</w:t>
      </w:r>
      <w:r w:rsidR="0093609C" w:rsidRPr="003A1174">
        <w:rPr>
          <w:rFonts w:ascii="Garamond" w:hAnsi="Garamond" w:cs="Arial"/>
          <w:sz w:val="24"/>
          <w:szCs w:val="24"/>
          <w:lang w:val="pt-PT"/>
        </w:rPr>
        <w:t xml:space="preserve"> de </w:t>
      </w:r>
      <w:r w:rsidR="00886D6A" w:rsidRPr="003A1174">
        <w:rPr>
          <w:rFonts w:ascii="Garamond" w:hAnsi="Garamond" w:cs="Arial"/>
          <w:sz w:val="24"/>
          <w:szCs w:val="24"/>
          <w:lang w:val="pt-PT"/>
        </w:rPr>
        <w:t>Direito</w:t>
      </w:r>
      <w:r w:rsidR="0093609C" w:rsidRPr="003A1174">
        <w:rPr>
          <w:rFonts w:ascii="Garamond" w:hAnsi="Garamond" w:cs="Arial"/>
          <w:sz w:val="24"/>
          <w:szCs w:val="24"/>
          <w:lang w:val="pt-PT"/>
        </w:rPr>
        <w:t xml:space="preserve">s Humanos acerca </w:t>
      </w:r>
      <w:r w:rsidR="00497503" w:rsidRPr="003A1174">
        <w:rPr>
          <w:rFonts w:ascii="Garamond" w:hAnsi="Garamond" w:cs="Arial"/>
          <w:sz w:val="24"/>
          <w:szCs w:val="24"/>
          <w:lang w:val="pt-PT"/>
        </w:rPr>
        <w:t>dos</w:t>
      </w:r>
      <w:r w:rsidR="0093609C" w:rsidRPr="003A1174">
        <w:rPr>
          <w:rFonts w:ascii="Garamond" w:hAnsi="Garamond" w:cs="Arial"/>
          <w:sz w:val="24"/>
          <w:szCs w:val="24"/>
          <w:lang w:val="pt-PT"/>
        </w:rPr>
        <w:t xml:space="preserve"> </w:t>
      </w:r>
      <w:r w:rsidR="00023AD6" w:rsidRPr="003A1174">
        <w:rPr>
          <w:rFonts w:ascii="Garamond" w:hAnsi="Garamond" w:cs="Arial"/>
          <w:sz w:val="24"/>
          <w:szCs w:val="24"/>
          <w:lang w:val="pt-PT"/>
        </w:rPr>
        <w:t>mesmo</w:t>
      </w:r>
      <w:r w:rsidR="0093609C" w:rsidRPr="003A1174">
        <w:rPr>
          <w:rFonts w:ascii="Garamond" w:hAnsi="Garamond" w:cs="Arial"/>
          <w:sz w:val="24"/>
          <w:szCs w:val="24"/>
          <w:lang w:val="pt-PT"/>
        </w:rPr>
        <w:t xml:space="preserve">s, </w:t>
      </w:r>
      <w:r w:rsidRPr="003A1174">
        <w:rPr>
          <w:rFonts w:ascii="Garamond" w:hAnsi="Garamond" w:cs="Arial"/>
          <w:sz w:val="24"/>
          <w:szCs w:val="24"/>
          <w:lang w:val="pt-PT"/>
        </w:rPr>
        <w:t xml:space="preserve">é óbvio, </w:t>
      </w:r>
      <w:r w:rsidR="0093609C" w:rsidRPr="003A1174">
        <w:rPr>
          <w:rFonts w:ascii="Garamond" w:hAnsi="Garamond" w:cs="Arial"/>
          <w:sz w:val="24"/>
          <w:szCs w:val="24"/>
          <w:lang w:val="pt-PT"/>
        </w:rPr>
        <w:t>por t</w:t>
      </w:r>
      <w:r w:rsidRPr="003A1174">
        <w:rPr>
          <w:rFonts w:ascii="Garamond" w:hAnsi="Garamond" w:cs="Arial"/>
          <w:sz w:val="24"/>
          <w:szCs w:val="24"/>
          <w:lang w:val="pt-PT"/>
        </w:rPr>
        <w:t xml:space="preserve">udo o que foi dito anteriormente, </w:t>
      </w:r>
      <w:r w:rsidR="0093609C" w:rsidRPr="003A1174">
        <w:rPr>
          <w:rFonts w:ascii="Garamond" w:hAnsi="Garamond" w:cs="Arial"/>
          <w:sz w:val="24"/>
          <w:szCs w:val="24"/>
          <w:lang w:val="pt-PT"/>
        </w:rPr>
        <w:t xml:space="preserve">que </w:t>
      </w:r>
      <w:r w:rsidR="00B5431B" w:rsidRPr="003A1174">
        <w:rPr>
          <w:rFonts w:ascii="Garamond" w:hAnsi="Garamond" w:cs="Arial"/>
          <w:sz w:val="24"/>
          <w:szCs w:val="24"/>
          <w:lang w:val="pt-PT"/>
        </w:rPr>
        <w:t>existem</w:t>
      </w:r>
      <w:r w:rsidR="0093609C" w:rsidRPr="003A1174">
        <w:rPr>
          <w:rFonts w:ascii="Garamond" w:hAnsi="Garamond" w:cs="Arial"/>
          <w:sz w:val="24"/>
          <w:szCs w:val="24"/>
          <w:lang w:val="pt-PT"/>
        </w:rPr>
        <w:t xml:space="preserve"> claros in</w:t>
      </w:r>
      <w:r w:rsidR="00D96FD0" w:rsidRPr="003A1174">
        <w:rPr>
          <w:rFonts w:ascii="Garamond" w:hAnsi="Garamond" w:cs="Arial"/>
          <w:sz w:val="24"/>
          <w:szCs w:val="24"/>
          <w:lang w:val="pt-PT"/>
        </w:rPr>
        <w:t>cumprimento</w:t>
      </w:r>
      <w:r w:rsidR="0093609C" w:rsidRPr="003A1174">
        <w:rPr>
          <w:rFonts w:ascii="Garamond" w:hAnsi="Garamond" w:cs="Arial"/>
          <w:sz w:val="24"/>
          <w:szCs w:val="24"/>
          <w:lang w:val="pt-PT"/>
        </w:rPr>
        <w:t>s a</w:t>
      </w:r>
      <w:r w:rsidRPr="003A1174">
        <w:rPr>
          <w:rFonts w:ascii="Garamond" w:hAnsi="Garamond" w:cs="Arial"/>
          <w:sz w:val="24"/>
          <w:szCs w:val="24"/>
          <w:lang w:val="pt-PT"/>
        </w:rPr>
        <w:t xml:space="preserve"> esse </w:t>
      </w:r>
      <w:r w:rsidR="001F2F8B" w:rsidRPr="003A1174">
        <w:rPr>
          <w:rFonts w:ascii="Garamond" w:hAnsi="Garamond" w:cs="Arial"/>
          <w:sz w:val="24"/>
          <w:szCs w:val="24"/>
          <w:lang w:val="pt-PT"/>
        </w:rPr>
        <w:t>respeito</w:t>
      </w:r>
      <w:r w:rsidR="0093609C" w:rsidRPr="003A1174">
        <w:rPr>
          <w:rFonts w:ascii="Garamond" w:hAnsi="Garamond" w:cs="Arial"/>
          <w:sz w:val="24"/>
          <w:szCs w:val="24"/>
          <w:lang w:val="pt-PT"/>
        </w:rPr>
        <w:t>.</w:t>
      </w:r>
    </w:p>
    <w:p w:rsidR="00CF5971" w:rsidRPr="003A1174" w:rsidRDefault="00B65E16" w:rsidP="008719D4">
      <w:pPr>
        <w:pStyle w:val="Prrafodelista"/>
        <w:spacing w:before="240" w:line="240" w:lineRule="auto"/>
        <w:jc w:val="both"/>
        <w:rPr>
          <w:rFonts w:ascii="Garamond" w:hAnsi="Garamond" w:cs="Arial"/>
          <w:sz w:val="24"/>
          <w:szCs w:val="24"/>
          <w:lang w:val="pt-PT"/>
        </w:rPr>
      </w:pPr>
      <w:r w:rsidRPr="003A1174">
        <w:rPr>
          <w:rFonts w:ascii="Garamond" w:hAnsi="Garamond" w:cs="Arial"/>
          <w:sz w:val="24"/>
          <w:szCs w:val="24"/>
          <w:lang w:val="pt-PT"/>
        </w:rPr>
        <w:t>I</w:t>
      </w:r>
      <w:r w:rsidR="00CF5971" w:rsidRPr="003A1174">
        <w:rPr>
          <w:rFonts w:ascii="Garamond" w:hAnsi="Garamond" w:cs="Arial"/>
          <w:sz w:val="24"/>
          <w:szCs w:val="24"/>
          <w:lang w:val="pt-PT"/>
        </w:rPr>
        <w:t xml:space="preserve">sto </w:t>
      </w:r>
      <w:r w:rsidRPr="003A1174">
        <w:rPr>
          <w:rFonts w:ascii="Garamond" w:hAnsi="Garamond" w:cs="Arial"/>
          <w:sz w:val="24"/>
          <w:szCs w:val="24"/>
          <w:lang w:val="pt-PT"/>
        </w:rPr>
        <w:t>é</w:t>
      </w:r>
      <w:r w:rsidR="00E119CA" w:rsidRPr="003A1174">
        <w:rPr>
          <w:rFonts w:ascii="Garamond" w:hAnsi="Garamond" w:cs="Arial"/>
          <w:sz w:val="24"/>
          <w:szCs w:val="24"/>
          <w:lang w:val="pt-PT"/>
        </w:rPr>
        <w:t>,</w:t>
      </w:r>
      <w:r w:rsidR="00CF5971" w:rsidRPr="003A1174">
        <w:rPr>
          <w:rFonts w:ascii="Garamond" w:hAnsi="Garamond" w:cs="Arial"/>
          <w:sz w:val="24"/>
          <w:szCs w:val="24"/>
          <w:lang w:val="pt-PT"/>
        </w:rPr>
        <w:t xml:space="preserve"> como </w:t>
      </w:r>
      <w:r w:rsidRPr="003A1174">
        <w:rPr>
          <w:rFonts w:ascii="Garamond" w:hAnsi="Garamond" w:cs="Arial"/>
          <w:sz w:val="24"/>
          <w:szCs w:val="24"/>
          <w:lang w:val="pt-PT"/>
        </w:rPr>
        <w:t>é</w:t>
      </w:r>
      <w:r w:rsidR="00232E98">
        <w:rPr>
          <w:rFonts w:ascii="Garamond" w:hAnsi="Garamond" w:cs="Arial"/>
          <w:sz w:val="24"/>
          <w:szCs w:val="24"/>
          <w:lang w:val="pt-PT"/>
        </w:rPr>
        <w:t xml:space="preserve"> evidente</w:t>
      </w:r>
      <w:r w:rsidR="00CF5971" w:rsidRPr="003A1174">
        <w:rPr>
          <w:rFonts w:ascii="Garamond" w:hAnsi="Garamond" w:cs="Arial"/>
          <w:sz w:val="24"/>
          <w:szCs w:val="24"/>
          <w:lang w:val="pt-PT"/>
        </w:rPr>
        <w:t>, atribu</w:t>
      </w:r>
      <w:r w:rsidRPr="003A1174">
        <w:rPr>
          <w:rFonts w:ascii="Garamond" w:hAnsi="Garamond" w:cs="Arial"/>
          <w:sz w:val="24"/>
          <w:szCs w:val="24"/>
          <w:lang w:val="pt-PT"/>
        </w:rPr>
        <w:t xml:space="preserve">ível </w:t>
      </w:r>
      <w:r w:rsidR="00CF5971" w:rsidRPr="003A1174">
        <w:rPr>
          <w:rFonts w:ascii="Garamond" w:hAnsi="Garamond" w:cs="Arial"/>
          <w:sz w:val="24"/>
          <w:szCs w:val="24"/>
          <w:lang w:val="pt-PT"/>
        </w:rPr>
        <w:t>aos apar</w:t>
      </w:r>
      <w:r w:rsidRPr="003A1174">
        <w:rPr>
          <w:rFonts w:ascii="Garamond" w:hAnsi="Garamond" w:cs="Arial"/>
          <w:sz w:val="24"/>
          <w:szCs w:val="24"/>
          <w:lang w:val="pt-PT"/>
        </w:rPr>
        <w:t xml:space="preserve">elhos </w:t>
      </w:r>
      <w:r w:rsidR="00CF5971" w:rsidRPr="003A1174">
        <w:rPr>
          <w:rFonts w:ascii="Garamond" w:hAnsi="Garamond" w:cs="Arial"/>
          <w:sz w:val="24"/>
          <w:szCs w:val="24"/>
          <w:lang w:val="pt-PT"/>
        </w:rPr>
        <w:t xml:space="preserve">de </w:t>
      </w:r>
      <w:r w:rsidR="00FC1F7F" w:rsidRPr="003A1174">
        <w:rPr>
          <w:rFonts w:ascii="Garamond" w:hAnsi="Garamond" w:cs="Arial"/>
          <w:sz w:val="24"/>
          <w:szCs w:val="24"/>
          <w:lang w:val="pt-PT"/>
        </w:rPr>
        <w:t>justiça</w:t>
      </w:r>
      <w:r w:rsidR="00232E98">
        <w:rPr>
          <w:rFonts w:ascii="Garamond" w:hAnsi="Garamond" w:cs="Arial"/>
          <w:sz w:val="24"/>
          <w:szCs w:val="24"/>
          <w:lang w:val="pt-PT"/>
        </w:rPr>
        <w:t>,</w:t>
      </w:r>
      <w:r w:rsidR="00CF5971" w:rsidRPr="003A1174">
        <w:rPr>
          <w:rFonts w:ascii="Garamond" w:hAnsi="Garamond" w:cs="Arial"/>
          <w:sz w:val="24"/>
          <w:szCs w:val="24"/>
          <w:lang w:val="pt-PT"/>
        </w:rPr>
        <w:t xml:space="preserve"> </w:t>
      </w:r>
      <w:r w:rsidR="0074243F" w:rsidRPr="003A1174">
        <w:rPr>
          <w:rFonts w:ascii="Garamond" w:hAnsi="Garamond" w:cs="Arial"/>
          <w:sz w:val="24"/>
          <w:szCs w:val="24"/>
          <w:lang w:val="pt-PT"/>
        </w:rPr>
        <w:t>mas</w:t>
      </w:r>
      <w:r w:rsidR="00CF5971" w:rsidRPr="003A1174">
        <w:rPr>
          <w:rFonts w:ascii="Garamond" w:hAnsi="Garamond" w:cs="Arial"/>
          <w:sz w:val="24"/>
          <w:szCs w:val="24"/>
          <w:lang w:val="pt-PT"/>
        </w:rPr>
        <w:t xml:space="preserve"> </w:t>
      </w:r>
      <w:r w:rsidR="000350B1" w:rsidRPr="003A1174">
        <w:rPr>
          <w:rFonts w:ascii="Garamond" w:hAnsi="Garamond" w:cs="Arial"/>
          <w:sz w:val="24"/>
          <w:szCs w:val="24"/>
          <w:lang w:val="pt-PT"/>
        </w:rPr>
        <w:t>também</w:t>
      </w:r>
      <w:r w:rsidR="00CF5971" w:rsidRPr="003A1174">
        <w:rPr>
          <w:rFonts w:ascii="Garamond" w:hAnsi="Garamond" w:cs="Arial"/>
          <w:sz w:val="24"/>
          <w:szCs w:val="24"/>
          <w:lang w:val="pt-PT"/>
        </w:rPr>
        <w:t xml:space="preserve"> </w:t>
      </w:r>
      <w:r w:rsidR="00232E98">
        <w:rPr>
          <w:rFonts w:ascii="Garamond" w:hAnsi="Garamond" w:cs="Arial"/>
          <w:sz w:val="24"/>
          <w:szCs w:val="24"/>
          <w:lang w:val="pt-PT"/>
        </w:rPr>
        <w:t>-</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F5971" w:rsidRPr="003A1174">
        <w:rPr>
          <w:rFonts w:ascii="Garamond" w:hAnsi="Garamond" w:cs="Arial"/>
          <w:sz w:val="24"/>
          <w:szCs w:val="24"/>
          <w:lang w:val="pt-PT"/>
        </w:rPr>
        <w:t xml:space="preserve"> </w:t>
      </w:r>
      <w:r w:rsidRPr="003A1174">
        <w:rPr>
          <w:rFonts w:ascii="Garamond" w:hAnsi="Garamond" w:cs="Arial"/>
          <w:sz w:val="24"/>
          <w:szCs w:val="24"/>
          <w:lang w:val="pt-PT"/>
        </w:rPr>
        <w:t xml:space="preserve">é muito </w:t>
      </w:r>
      <w:r w:rsidR="00CF5971" w:rsidRPr="003A1174">
        <w:rPr>
          <w:rFonts w:ascii="Garamond" w:hAnsi="Garamond" w:cs="Arial"/>
          <w:sz w:val="24"/>
          <w:szCs w:val="24"/>
          <w:lang w:val="pt-PT"/>
        </w:rPr>
        <w:t xml:space="preserve">importante </w:t>
      </w:r>
      <w:r w:rsidRPr="003A1174">
        <w:rPr>
          <w:rFonts w:ascii="Garamond" w:hAnsi="Garamond" w:cs="Arial"/>
          <w:sz w:val="24"/>
          <w:szCs w:val="24"/>
          <w:lang w:val="pt-PT"/>
        </w:rPr>
        <w:t xml:space="preserve">destacá-lo </w:t>
      </w:r>
      <w:r w:rsidR="00232E98">
        <w:rPr>
          <w:rFonts w:ascii="Garamond" w:hAnsi="Garamond" w:cs="Arial"/>
          <w:sz w:val="24"/>
          <w:szCs w:val="24"/>
          <w:lang w:val="pt-PT"/>
        </w:rPr>
        <w:t>-</w:t>
      </w:r>
      <w:r w:rsidR="00CF5971" w:rsidRPr="003A1174">
        <w:rPr>
          <w:rFonts w:ascii="Garamond" w:hAnsi="Garamond" w:cs="Arial"/>
          <w:sz w:val="24"/>
          <w:szCs w:val="24"/>
          <w:lang w:val="pt-PT"/>
        </w:rPr>
        <w:t xml:space="preserve"> a</w:t>
      </w:r>
      <w:r w:rsidRPr="003A1174">
        <w:rPr>
          <w:rFonts w:ascii="Garamond" w:hAnsi="Garamond" w:cs="Arial"/>
          <w:sz w:val="24"/>
          <w:szCs w:val="24"/>
          <w:lang w:val="pt-PT"/>
        </w:rPr>
        <w:t xml:space="preserve">o </w:t>
      </w:r>
      <w:r w:rsidR="00CF5971" w:rsidRPr="003A1174">
        <w:rPr>
          <w:rFonts w:ascii="Garamond" w:hAnsi="Garamond" w:cs="Arial"/>
          <w:sz w:val="24"/>
          <w:szCs w:val="24"/>
          <w:lang w:val="pt-PT"/>
        </w:rPr>
        <w:t xml:space="preserve">conjunto </w:t>
      </w:r>
      <w:r w:rsidR="00497503" w:rsidRPr="003A1174">
        <w:rPr>
          <w:rFonts w:ascii="Garamond" w:hAnsi="Garamond" w:cs="Arial"/>
          <w:sz w:val="24"/>
          <w:szCs w:val="24"/>
          <w:lang w:val="pt-PT"/>
        </w:rPr>
        <w:t>das</w:t>
      </w:r>
      <w:r w:rsidR="00CF5971" w:rsidRPr="003A1174">
        <w:rPr>
          <w:rFonts w:ascii="Garamond" w:hAnsi="Garamond" w:cs="Arial"/>
          <w:sz w:val="24"/>
          <w:szCs w:val="24"/>
          <w:lang w:val="pt-PT"/>
        </w:rPr>
        <w:t xml:space="preserve"> autoridades </w:t>
      </w:r>
      <w:r w:rsidR="00C86C58" w:rsidRPr="003A1174">
        <w:rPr>
          <w:rFonts w:ascii="Garamond" w:hAnsi="Garamond" w:cs="Arial"/>
          <w:sz w:val="24"/>
          <w:szCs w:val="24"/>
          <w:lang w:val="pt-PT"/>
        </w:rPr>
        <w:t>estatais</w:t>
      </w:r>
      <w:r w:rsidR="00CF5971" w:rsidRPr="003A1174">
        <w:rPr>
          <w:rFonts w:ascii="Garamond" w:hAnsi="Garamond" w:cs="Arial"/>
          <w:sz w:val="24"/>
          <w:szCs w:val="24"/>
          <w:lang w:val="pt-PT"/>
        </w:rPr>
        <w:t xml:space="preserve"> relacionadas</w:t>
      </w:r>
      <w:r w:rsidR="00232E98">
        <w:rPr>
          <w:rFonts w:ascii="Garamond" w:hAnsi="Garamond" w:cs="Arial"/>
          <w:sz w:val="24"/>
          <w:szCs w:val="24"/>
          <w:lang w:val="pt-PT"/>
        </w:rPr>
        <w:t>,</w:t>
      </w:r>
      <w:r w:rsidR="00CF5971" w:rsidRPr="003A1174">
        <w:rPr>
          <w:rFonts w:ascii="Garamond" w:hAnsi="Garamond" w:cs="Arial"/>
          <w:sz w:val="24"/>
          <w:szCs w:val="24"/>
          <w:lang w:val="pt-PT"/>
        </w:rPr>
        <w:t xml:space="preserve"> de u</w:t>
      </w:r>
      <w:r w:rsidRPr="003A1174">
        <w:rPr>
          <w:rFonts w:ascii="Garamond" w:hAnsi="Garamond" w:cs="Arial"/>
          <w:sz w:val="24"/>
          <w:szCs w:val="24"/>
          <w:lang w:val="pt-PT"/>
        </w:rPr>
        <w:t>m</w:t>
      </w:r>
      <w:r w:rsidR="00CF5971" w:rsidRPr="003A1174">
        <w:rPr>
          <w:rFonts w:ascii="Garamond" w:hAnsi="Garamond" w:cs="Arial"/>
          <w:sz w:val="24"/>
          <w:szCs w:val="24"/>
          <w:lang w:val="pt-PT"/>
        </w:rPr>
        <w:t xml:space="preserve"> modo</w:t>
      </w:r>
      <w:r w:rsidR="00232E98">
        <w:rPr>
          <w:rFonts w:ascii="Garamond" w:hAnsi="Garamond" w:cs="Arial"/>
          <w:sz w:val="24"/>
          <w:szCs w:val="24"/>
          <w:lang w:val="pt-PT"/>
        </w:rPr>
        <w:t>,</w:t>
      </w:r>
      <w:r w:rsidR="00CF5971" w:rsidRPr="003A1174">
        <w:rPr>
          <w:rFonts w:ascii="Garamond" w:hAnsi="Garamond" w:cs="Arial"/>
          <w:sz w:val="24"/>
          <w:szCs w:val="24"/>
          <w:lang w:val="pt-PT"/>
        </w:rPr>
        <w:t xml:space="preserve"> </w:t>
      </w:r>
      <w:r w:rsidRPr="003A1174">
        <w:rPr>
          <w:rFonts w:ascii="Garamond" w:hAnsi="Garamond" w:cs="Arial"/>
          <w:sz w:val="24"/>
          <w:szCs w:val="24"/>
          <w:lang w:val="pt-PT"/>
        </w:rPr>
        <w:t>o</w:t>
      </w:r>
      <w:r w:rsidR="00CF5971" w:rsidRPr="003A1174">
        <w:rPr>
          <w:rFonts w:ascii="Garamond" w:hAnsi="Garamond" w:cs="Arial"/>
          <w:sz w:val="24"/>
          <w:szCs w:val="24"/>
          <w:lang w:val="pt-PT"/>
        </w:rPr>
        <w:t xml:space="preserve">u </w:t>
      </w:r>
      <w:r w:rsidRPr="003A1174">
        <w:rPr>
          <w:rFonts w:ascii="Garamond" w:hAnsi="Garamond" w:cs="Arial"/>
          <w:sz w:val="24"/>
          <w:szCs w:val="24"/>
          <w:lang w:val="pt-PT"/>
        </w:rPr>
        <w:t xml:space="preserve">de </w:t>
      </w:r>
      <w:r w:rsidR="001F2F8B" w:rsidRPr="003A1174">
        <w:rPr>
          <w:rFonts w:ascii="Garamond" w:hAnsi="Garamond" w:cs="Arial"/>
          <w:sz w:val="24"/>
          <w:szCs w:val="24"/>
          <w:lang w:val="pt-PT"/>
        </w:rPr>
        <w:t>outro</w:t>
      </w:r>
      <w:r w:rsidR="00232E98">
        <w:rPr>
          <w:rFonts w:ascii="Garamond" w:hAnsi="Garamond" w:cs="Arial"/>
          <w:sz w:val="24"/>
          <w:szCs w:val="24"/>
          <w:lang w:val="pt-PT"/>
        </w:rPr>
        <w:t>,</w:t>
      </w:r>
      <w:r w:rsidR="00CF5971" w:rsidRPr="003A1174">
        <w:rPr>
          <w:rFonts w:ascii="Garamond" w:hAnsi="Garamond" w:cs="Arial"/>
          <w:sz w:val="24"/>
          <w:szCs w:val="24"/>
          <w:lang w:val="pt-PT"/>
        </w:rPr>
        <w:t xml:space="preserve"> co</w:t>
      </w:r>
      <w:r w:rsidRPr="003A1174">
        <w:rPr>
          <w:rFonts w:ascii="Garamond" w:hAnsi="Garamond" w:cs="Arial"/>
          <w:sz w:val="24"/>
          <w:szCs w:val="24"/>
          <w:lang w:val="pt-PT"/>
        </w:rPr>
        <w:t xml:space="preserve">m </w:t>
      </w:r>
      <w:r w:rsidR="00CF5971" w:rsidRPr="003A1174">
        <w:rPr>
          <w:rFonts w:ascii="Garamond" w:hAnsi="Garamond" w:cs="Arial"/>
          <w:sz w:val="24"/>
          <w:szCs w:val="24"/>
          <w:lang w:val="pt-PT"/>
        </w:rPr>
        <w:t xml:space="preserve">a </w:t>
      </w:r>
      <w:r w:rsidR="007578C6" w:rsidRPr="003A1174">
        <w:rPr>
          <w:rFonts w:ascii="Garamond" w:hAnsi="Garamond" w:cs="Arial"/>
          <w:sz w:val="24"/>
          <w:szCs w:val="24"/>
          <w:lang w:val="pt-PT"/>
        </w:rPr>
        <w:t>prevenção</w:t>
      </w:r>
      <w:r w:rsidR="00CF5971" w:rsidRPr="003A1174">
        <w:rPr>
          <w:rFonts w:ascii="Garamond" w:hAnsi="Garamond" w:cs="Arial"/>
          <w:sz w:val="24"/>
          <w:szCs w:val="24"/>
          <w:lang w:val="pt-PT"/>
        </w:rPr>
        <w:t xml:space="preserve">, </w:t>
      </w:r>
      <w:r w:rsidR="00FC4727" w:rsidRPr="003A1174">
        <w:rPr>
          <w:rFonts w:ascii="Garamond" w:hAnsi="Garamond" w:cs="Arial"/>
          <w:sz w:val="24"/>
          <w:szCs w:val="24"/>
          <w:lang w:val="pt-PT"/>
        </w:rPr>
        <w:t>punição</w:t>
      </w:r>
      <w:r w:rsidR="00CF5971"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F5971" w:rsidRPr="003A1174">
        <w:rPr>
          <w:rFonts w:ascii="Garamond" w:hAnsi="Garamond" w:cs="Arial"/>
          <w:sz w:val="24"/>
          <w:szCs w:val="24"/>
          <w:lang w:val="pt-PT"/>
        </w:rPr>
        <w:t xml:space="preserve"> </w:t>
      </w:r>
      <w:r w:rsidR="00C30647" w:rsidRPr="003A1174">
        <w:rPr>
          <w:rFonts w:ascii="Garamond" w:hAnsi="Garamond" w:cs="Arial"/>
          <w:sz w:val="24"/>
          <w:szCs w:val="24"/>
          <w:lang w:val="pt-PT"/>
        </w:rPr>
        <w:t>erradicação</w:t>
      </w:r>
      <w:r w:rsidR="00CF5971" w:rsidRPr="003A1174">
        <w:rPr>
          <w:rFonts w:ascii="Garamond" w:hAnsi="Garamond" w:cs="Arial"/>
          <w:sz w:val="24"/>
          <w:szCs w:val="24"/>
          <w:lang w:val="pt-PT" w:eastAsia="ja-JP"/>
        </w:rPr>
        <w:t xml:space="preserve"> da </w:t>
      </w:r>
      <w:r w:rsidR="000350B1" w:rsidRPr="003A1174">
        <w:rPr>
          <w:rFonts w:ascii="Garamond" w:hAnsi="Garamond" w:cs="Arial"/>
          <w:sz w:val="24"/>
          <w:szCs w:val="24"/>
          <w:lang w:val="pt-PT" w:eastAsia="ja-JP"/>
        </w:rPr>
        <w:t>violência</w:t>
      </w:r>
      <w:r w:rsidR="00CF5971" w:rsidRPr="003A1174">
        <w:rPr>
          <w:rFonts w:ascii="Garamond" w:hAnsi="Garamond" w:cs="Arial"/>
          <w:sz w:val="24"/>
          <w:szCs w:val="24"/>
          <w:lang w:val="pt-PT" w:eastAsia="ja-JP"/>
        </w:rPr>
        <w:t xml:space="preserve"> </w:t>
      </w:r>
      <w:r w:rsidR="00BB2B00" w:rsidRPr="003A1174">
        <w:rPr>
          <w:rFonts w:ascii="Garamond" w:hAnsi="Garamond" w:cs="Arial"/>
          <w:sz w:val="24"/>
          <w:szCs w:val="24"/>
          <w:lang w:val="pt-PT" w:eastAsia="ja-JP"/>
        </w:rPr>
        <w:t>contra a</w:t>
      </w:r>
      <w:r w:rsidR="00CF5971" w:rsidRPr="003A1174">
        <w:rPr>
          <w:rFonts w:ascii="Garamond" w:hAnsi="Garamond" w:cs="Arial"/>
          <w:sz w:val="24"/>
          <w:szCs w:val="24"/>
          <w:lang w:val="pt-PT" w:eastAsia="ja-JP"/>
        </w:rPr>
        <w:t xml:space="preserve">s </w:t>
      </w:r>
      <w:r w:rsidR="00054EE0" w:rsidRPr="003A1174">
        <w:rPr>
          <w:rFonts w:ascii="Garamond" w:hAnsi="Garamond" w:cs="Arial"/>
          <w:sz w:val="24"/>
          <w:szCs w:val="24"/>
          <w:lang w:val="pt-PT" w:eastAsia="ja-JP"/>
        </w:rPr>
        <w:t>mulheres</w:t>
      </w:r>
      <w:r w:rsidR="00CF5971" w:rsidRPr="003A1174">
        <w:rPr>
          <w:rFonts w:ascii="Garamond" w:hAnsi="Garamond" w:cs="Arial"/>
          <w:sz w:val="24"/>
          <w:szCs w:val="24"/>
          <w:lang w:val="pt-PT" w:eastAsia="ja-JP"/>
        </w:rPr>
        <w:t xml:space="preserve">. </w:t>
      </w:r>
      <w:r w:rsidR="000464C8" w:rsidRPr="003A1174">
        <w:rPr>
          <w:rFonts w:ascii="Garamond" w:hAnsi="Garamond" w:cs="Arial"/>
          <w:sz w:val="24"/>
          <w:szCs w:val="24"/>
          <w:lang w:val="pt-PT" w:eastAsia="ja-JP"/>
        </w:rPr>
        <w:t>Assim</w:t>
      </w:r>
      <w:r w:rsidR="00CF5971" w:rsidRPr="003A1174">
        <w:rPr>
          <w:rFonts w:ascii="Garamond" w:hAnsi="Garamond" w:cs="Arial"/>
          <w:sz w:val="24"/>
          <w:szCs w:val="24"/>
          <w:lang w:val="pt-PT" w:eastAsia="ja-JP"/>
        </w:rPr>
        <w:t xml:space="preserve"> o </w:t>
      </w:r>
      <w:r w:rsidR="00232E98">
        <w:rPr>
          <w:rFonts w:ascii="Garamond" w:hAnsi="Garamond" w:cs="Arial"/>
          <w:sz w:val="24"/>
          <w:szCs w:val="24"/>
          <w:lang w:val="pt-PT" w:eastAsia="ja-JP"/>
        </w:rPr>
        <w:t>demonstra,</w:t>
      </w:r>
      <w:r w:rsidR="00CF5971" w:rsidRPr="003A1174">
        <w:rPr>
          <w:rFonts w:ascii="Garamond" w:hAnsi="Garamond" w:cs="Arial"/>
          <w:sz w:val="24"/>
          <w:szCs w:val="24"/>
          <w:lang w:val="pt-PT" w:eastAsia="ja-JP"/>
        </w:rPr>
        <w:t xml:space="preserve"> co</w:t>
      </w:r>
      <w:r w:rsidRPr="003A1174">
        <w:rPr>
          <w:rFonts w:ascii="Garamond" w:hAnsi="Garamond" w:cs="Arial"/>
          <w:sz w:val="24"/>
          <w:szCs w:val="24"/>
          <w:lang w:val="pt-PT" w:eastAsia="ja-JP"/>
        </w:rPr>
        <w:t>m</w:t>
      </w:r>
      <w:r w:rsidR="00CF5971" w:rsidRPr="003A1174">
        <w:rPr>
          <w:rFonts w:ascii="Garamond" w:hAnsi="Garamond" w:cs="Arial"/>
          <w:sz w:val="24"/>
          <w:szCs w:val="24"/>
          <w:lang w:val="pt-PT" w:eastAsia="ja-JP"/>
        </w:rPr>
        <w:t xml:space="preserve"> elo</w:t>
      </w:r>
      <w:r w:rsidRPr="003A1174">
        <w:rPr>
          <w:rFonts w:ascii="Garamond" w:hAnsi="Garamond" w:cs="Arial"/>
          <w:sz w:val="24"/>
          <w:szCs w:val="24"/>
          <w:lang w:val="pt-PT" w:eastAsia="ja-JP"/>
        </w:rPr>
        <w:t>quente contundê</w:t>
      </w:r>
      <w:r w:rsidR="00CF5971" w:rsidRPr="003A1174">
        <w:rPr>
          <w:rFonts w:ascii="Garamond" w:hAnsi="Garamond" w:cs="Arial"/>
          <w:sz w:val="24"/>
          <w:szCs w:val="24"/>
          <w:lang w:val="pt-PT" w:eastAsia="ja-JP"/>
        </w:rPr>
        <w:t>ncia</w:t>
      </w:r>
      <w:r w:rsidR="00232E98">
        <w:rPr>
          <w:rFonts w:ascii="Garamond" w:hAnsi="Garamond" w:cs="Arial"/>
          <w:sz w:val="24"/>
          <w:szCs w:val="24"/>
          <w:lang w:val="pt-PT" w:eastAsia="ja-JP"/>
        </w:rPr>
        <w:t>,</w:t>
      </w:r>
      <w:r w:rsidR="00CF5971" w:rsidRPr="003A1174">
        <w:rPr>
          <w:rFonts w:ascii="Garamond" w:hAnsi="Garamond" w:cs="Arial"/>
          <w:sz w:val="24"/>
          <w:szCs w:val="24"/>
          <w:lang w:val="pt-PT" w:eastAsia="ja-JP"/>
        </w:rPr>
        <w:t xml:space="preserve"> </w:t>
      </w:r>
      <w:r w:rsidRPr="003A1174">
        <w:rPr>
          <w:rFonts w:ascii="Garamond" w:hAnsi="Garamond" w:cs="Arial"/>
          <w:sz w:val="24"/>
          <w:szCs w:val="24"/>
          <w:lang w:val="pt-PT" w:eastAsia="ja-JP"/>
        </w:rPr>
        <w:t>a sentença d</w:t>
      </w:r>
      <w:r w:rsidR="00312546">
        <w:rPr>
          <w:rFonts w:ascii="Garamond" w:hAnsi="Garamond" w:cs="Arial"/>
          <w:sz w:val="24"/>
          <w:szCs w:val="24"/>
          <w:lang w:val="pt-PT" w:eastAsia="ja-JP"/>
        </w:rPr>
        <w:t>o</w:t>
      </w:r>
      <w:r w:rsidR="002A7FDD" w:rsidRPr="003A1174">
        <w:rPr>
          <w:rFonts w:ascii="Garamond" w:hAnsi="Garamond" w:cs="Arial"/>
          <w:sz w:val="24"/>
          <w:szCs w:val="24"/>
          <w:lang w:val="pt-PT" w:eastAsia="ja-JP"/>
        </w:rPr>
        <w:t xml:space="preserve"> </w:t>
      </w:r>
      <w:r w:rsidR="00312546">
        <w:rPr>
          <w:rFonts w:ascii="Garamond" w:hAnsi="Garamond" w:cs="Arial"/>
          <w:sz w:val="24"/>
          <w:szCs w:val="24"/>
          <w:lang w:val="pt-PT" w:eastAsia="ja-JP"/>
        </w:rPr>
        <w:t xml:space="preserve">Tribunal </w:t>
      </w:r>
      <w:r w:rsidR="00CF5971" w:rsidRPr="003A1174">
        <w:rPr>
          <w:rFonts w:ascii="Garamond" w:hAnsi="Garamond" w:cs="Arial"/>
          <w:sz w:val="24"/>
          <w:szCs w:val="24"/>
          <w:lang w:val="pt-PT" w:eastAsia="ja-JP"/>
        </w:rPr>
        <w:t>Interamerican</w:t>
      </w:r>
      <w:r w:rsidR="00312546">
        <w:rPr>
          <w:rFonts w:ascii="Garamond" w:hAnsi="Garamond" w:cs="Arial"/>
          <w:sz w:val="24"/>
          <w:szCs w:val="24"/>
          <w:lang w:val="pt-PT" w:eastAsia="ja-JP"/>
        </w:rPr>
        <w:t>o</w:t>
      </w:r>
      <w:r w:rsidR="00CF5971" w:rsidRPr="003A1174">
        <w:rPr>
          <w:rFonts w:ascii="Garamond" w:hAnsi="Garamond" w:cs="Arial"/>
          <w:sz w:val="24"/>
          <w:szCs w:val="24"/>
          <w:lang w:val="pt-PT" w:eastAsia="ja-JP"/>
        </w:rPr>
        <w:t xml:space="preserve"> </w:t>
      </w:r>
      <w:r w:rsidRPr="003A1174">
        <w:rPr>
          <w:rFonts w:ascii="Garamond" w:hAnsi="Garamond" w:cs="Arial"/>
          <w:sz w:val="24"/>
          <w:szCs w:val="24"/>
          <w:lang w:val="pt-PT" w:eastAsia="ja-JP"/>
        </w:rPr>
        <w:t xml:space="preserve">no </w:t>
      </w:r>
      <w:r w:rsidR="00CF5971" w:rsidRPr="003A1174">
        <w:rPr>
          <w:rFonts w:ascii="Garamond" w:hAnsi="Garamond" w:cs="Arial"/>
          <w:sz w:val="24"/>
          <w:szCs w:val="24"/>
          <w:lang w:val="pt-PT" w:eastAsia="ja-JP"/>
        </w:rPr>
        <w:t xml:space="preserve">caso de Juan Gelman contra </w:t>
      </w:r>
      <w:r w:rsidRPr="003A1174">
        <w:rPr>
          <w:rFonts w:ascii="Garamond" w:hAnsi="Garamond" w:cs="Arial"/>
          <w:sz w:val="24"/>
          <w:szCs w:val="24"/>
          <w:lang w:val="pt-PT" w:eastAsia="ja-JP"/>
        </w:rPr>
        <w:t xml:space="preserve">o </w:t>
      </w:r>
      <w:r w:rsidR="00C30647" w:rsidRPr="003A1174">
        <w:rPr>
          <w:rFonts w:ascii="Garamond" w:hAnsi="Garamond" w:cs="Arial"/>
          <w:sz w:val="24"/>
          <w:szCs w:val="24"/>
          <w:lang w:val="pt-PT" w:eastAsia="ja-JP"/>
        </w:rPr>
        <w:t>Uruguai</w:t>
      </w:r>
      <w:r w:rsidRPr="003A1174">
        <w:rPr>
          <w:rFonts w:ascii="Garamond" w:hAnsi="Garamond" w:cs="Arial"/>
          <w:sz w:val="24"/>
          <w:szCs w:val="24"/>
          <w:lang w:val="pt-PT" w:eastAsia="ja-JP"/>
        </w:rPr>
        <w:t xml:space="preserve">, </w:t>
      </w:r>
      <w:r w:rsidR="00232E98">
        <w:rPr>
          <w:rFonts w:ascii="Garamond" w:hAnsi="Garamond" w:cs="Arial"/>
          <w:sz w:val="24"/>
          <w:szCs w:val="24"/>
          <w:lang w:val="pt-PT" w:eastAsia="ja-JP"/>
        </w:rPr>
        <w:t xml:space="preserve">em que </w:t>
      </w:r>
      <w:r w:rsidRPr="003A1174">
        <w:rPr>
          <w:rFonts w:ascii="Garamond" w:hAnsi="Garamond" w:cs="Arial"/>
          <w:sz w:val="24"/>
          <w:szCs w:val="24"/>
          <w:lang w:val="pt-PT" w:eastAsia="ja-JP"/>
        </w:rPr>
        <w:t xml:space="preserve">se </w:t>
      </w:r>
      <w:r w:rsidR="00232E98">
        <w:rPr>
          <w:rFonts w:ascii="Garamond" w:hAnsi="Garamond" w:cs="Arial"/>
          <w:sz w:val="24"/>
          <w:szCs w:val="24"/>
          <w:lang w:val="pt-PT" w:eastAsia="ja-JP"/>
        </w:rPr>
        <w:t xml:space="preserve">refere </w:t>
      </w:r>
      <w:r w:rsidR="00CF5971" w:rsidRPr="003A1174">
        <w:rPr>
          <w:rFonts w:ascii="Garamond" w:hAnsi="Garamond" w:cs="Arial"/>
          <w:sz w:val="24"/>
          <w:szCs w:val="24"/>
          <w:lang w:val="pt-PT" w:eastAsia="ja-JP"/>
        </w:rPr>
        <w:t xml:space="preserve">que </w:t>
      </w:r>
      <w:r w:rsidRPr="003A1174">
        <w:rPr>
          <w:rFonts w:ascii="Garamond" w:hAnsi="Garamond" w:cs="Arial"/>
          <w:sz w:val="24"/>
          <w:szCs w:val="24"/>
          <w:lang w:val="pt-PT" w:eastAsia="ja-JP"/>
        </w:rPr>
        <w:t xml:space="preserve">o </w:t>
      </w:r>
      <w:r w:rsidR="00253B1D" w:rsidRPr="003A1174">
        <w:rPr>
          <w:rFonts w:ascii="Garamond" w:hAnsi="Garamond" w:cs="Arial"/>
          <w:sz w:val="24"/>
          <w:szCs w:val="24"/>
          <w:lang w:val="pt-PT" w:eastAsia="ja-JP"/>
        </w:rPr>
        <w:t>Controlo</w:t>
      </w:r>
      <w:r w:rsidR="00CF5971" w:rsidRPr="003A1174">
        <w:rPr>
          <w:rFonts w:ascii="Garamond" w:hAnsi="Garamond" w:cs="Arial"/>
          <w:sz w:val="24"/>
          <w:szCs w:val="24"/>
          <w:lang w:val="pt-PT" w:eastAsia="ja-JP"/>
        </w:rPr>
        <w:t xml:space="preserve"> de Convencionalidad</w:t>
      </w:r>
      <w:r w:rsidRPr="003A1174">
        <w:rPr>
          <w:rFonts w:ascii="Garamond" w:hAnsi="Garamond" w:cs="Arial"/>
          <w:sz w:val="24"/>
          <w:szCs w:val="24"/>
          <w:lang w:val="pt-PT" w:eastAsia="ja-JP"/>
        </w:rPr>
        <w:t>e</w:t>
      </w:r>
      <w:r w:rsidR="00CF5971" w:rsidRPr="003A1174">
        <w:rPr>
          <w:rFonts w:ascii="Garamond" w:hAnsi="Garamond" w:cs="Arial"/>
          <w:sz w:val="24"/>
          <w:szCs w:val="24"/>
          <w:lang w:val="pt-PT" w:eastAsia="ja-JP"/>
        </w:rPr>
        <w:t xml:space="preserve"> </w:t>
      </w:r>
      <w:r w:rsidRPr="003A1174">
        <w:rPr>
          <w:rFonts w:ascii="Garamond" w:hAnsi="Garamond" w:cs="Arial"/>
          <w:sz w:val="24"/>
          <w:szCs w:val="24"/>
          <w:lang w:val="pt-PT" w:eastAsia="ja-JP"/>
        </w:rPr>
        <w:t xml:space="preserve">diz respeito </w:t>
      </w:r>
      <w:r w:rsidR="00E119CA" w:rsidRPr="003A1174">
        <w:rPr>
          <w:rFonts w:ascii="Garamond" w:hAnsi="Garamond" w:cs="Arial"/>
          <w:sz w:val="24"/>
          <w:szCs w:val="24"/>
          <w:lang w:val="pt-PT" w:eastAsia="ja-JP"/>
        </w:rPr>
        <w:t xml:space="preserve">e </w:t>
      </w:r>
      <w:r w:rsidRPr="003A1174">
        <w:rPr>
          <w:rFonts w:ascii="Garamond" w:hAnsi="Garamond" w:cs="Arial"/>
          <w:sz w:val="24"/>
          <w:szCs w:val="24"/>
          <w:lang w:val="pt-PT" w:eastAsia="ja-JP"/>
        </w:rPr>
        <w:t>envolve</w:t>
      </w:r>
      <w:r w:rsidR="00CF5971" w:rsidRPr="003A1174">
        <w:rPr>
          <w:rFonts w:ascii="Garamond" w:hAnsi="Garamond" w:cs="Arial"/>
          <w:sz w:val="24"/>
          <w:szCs w:val="24"/>
          <w:lang w:val="pt-PT" w:eastAsia="ja-JP"/>
        </w:rPr>
        <w:t xml:space="preserve"> </w:t>
      </w:r>
      <w:r w:rsidR="00232E98">
        <w:rPr>
          <w:rFonts w:ascii="Garamond" w:hAnsi="Garamond" w:cs="Arial"/>
          <w:sz w:val="24"/>
          <w:szCs w:val="24"/>
          <w:lang w:val="pt-PT" w:eastAsia="ja-JP"/>
        </w:rPr>
        <w:t>«</w:t>
      </w:r>
      <w:r w:rsidR="00E119CA" w:rsidRPr="003A1174">
        <w:rPr>
          <w:rFonts w:ascii="Garamond" w:hAnsi="Garamond" w:cs="Arial"/>
          <w:sz w:val="24"/>
          <w:szCs w:val="24"/>
          <w:lang w:val="pt-PT" w:eastAsia="ja-JP"/>
        </w:rPr>
        <w:t>(</w:t>
      </w:r>
      <w:proofErr w:type="gramStart"/>
      <w:r w:rsidR="00E119CA" w:rsidRPr="003A1174">
        <w:rPr>
          <w:rFonts w:ascii="Garamond" w:hAnsi="Garamond" w:cs="Arial"/>
          <w:sz w:val="24"/>
          <w:szCs w:val="24"/>
          <w:lang w:val="pt-PT" w:eastAsia="ja-JP"/>
        </w:rPr>
        <w:t>..</w:t>
      </w:r>
      <w:proofErr w:type="gramEnd"/>
      <w:r w:rsidR="00E119CA" w:rsidRPr="003A1174">
        <w:rPr>
          <w:rFonts w:ascii="Garamond" w:hAnsi="Garamond" w:cs="Arial"/>
          <w:sz w:val="24"/>
          <w:szCs w:val="24"/>
          <w:lang w:val="pt-PT" w:eastAsia="ja-JP"/>
        </w:rPr>
        <w:t xml:space="preserve">) </w:t>
      </w:r>
      <w:r w:rsidR="007342D9" w:rsidRPr="003A1174">
        <w:rPr>
          <w:rFonts w:ascii="Garamond" w:hAnsi="Garamond" w:cs="Arial"/>
          <w:sz w:val="24"/>
          <w:szCs w:val="24"/>
          <w:lang w:val="pt-PT" w:eastAsia="ja-JP"/>
        </w:rPr>
        <w:t>qualquer</w:t>
      </w:r>
      <w:r w:rsidR="00CF5971" w:rsidRPr="003A1174">
        <w:rPr>
          <w:rFonts w:ascii="Garamond" w:hAnsi="Garamond" w:cs="Arial"/>
          <w:sz w:val="24"/>
          <w:szCs w:val="24"/>
          <w:lang w:val="pt-PT" w:eastAsia="ja-JP"/>
        </w:rPr>
        <w:t xml:space="preserve"> </w:t>
      </w:r>
      <w:r w:rsidR="002F62B0" w:rsidRPr="003A1174">
        <w:rPr>
          <w:rFonts w:ascii="Garamond" w:hAnsi="Garamond" w:cs="Arial"/>
          <w:sz w:val="24"/>
          <w:szCs w:val="24"/>
          <w:lang w:val="pt-PT" w:eastAsia="ja-JP"/>
        </w:rPr>
        <w:t>autoridade</w:t>
      </w:r>
      <w:r w:rsidR="00CF5971" w:rsidRPr="003A1174">
        <w:rPr>
          <w:rFonts w:ascii="Garamond" w:hAnsi="Garamond" w:cs="Arial"/>
          <w:sz w:val="24"/>
          <w:szCs w:val="24"/>
          <w:lang w:val="pt-PT" w:eastAsia="ja-JP"/>
        </w:rPr>
        <w:t xml:space="preserve"> pública, </w:t>
      </w:r>
      <w:r w:rsidR="000672E8" w:rsidRPr="003A1174">
        <w:rPr>
          <w:rFonts w:ascii="Garamond" w:hAnsi="Garamond" w:cs="Arial"/>
          <w:sz w:val="24"/>
          <w:szCs w:val="24"/>
          <w:lang w:val="pt-PT" w:eastAsia="ja-JP"/>
        </w:rPr>
        <w:t>e</w:t>
      </w:r>
      <w:r w:rsidR="00CF5971" w:rsidRPr="003A1174">
        <w:rPr>
          <w:rFonts w:ascii="Garamond" w:hAnsi="Garamond" w:cs="Arial"/>
          <w:sz w:val="24"/>
          <w:szCs w:val="24"/>
          <w:lang w:val="pt-PT" w:eastAsia="ja-JP"/>
        </w:rPr>
        <w:t xml:space="preserve"> n</w:t>
      </w:r>
      <w:r w:rsidRPr="003A1174">
        <w:rPr>
          <w:rFonts w:ascii="Garamond" w:hAnsi="Garamond" w:cs="Arial"/>
          <w:sz w:val="24"/>
          <w:szCs w:val="24"/>
          <w:lang w:val="pt-PT" w:eastAsia="ja-JP"/>
        </w:rPr>
        <w:t>ã</w:t>
      </w:r>
      <w:r w:rsidR="00CF5971" w:rsidRPr="003A1174">
        <w:rPr>
          <w:rFonts w:ascii="Garamond" w:hAnsi="Garamond" w:cs="Arial"/>
          <w:sz w:val="24"/>
          <w:szCs w:val="24"/>
          <w:lang w:val="pt-PT" w:eastAsia="ja-JP"/>
        </w:rPr>
        <w:t xml:space="preserve">o </w:t>
      </w:r>
      <w:r w:rsidRPr="003A1174">
        <w:rPr>
          <w:rFonts w:ascii="Garamond" w:hAnsi="Garamond" w:cs="Arial"/>
          <w:sz w:val="24"/>
          <w:szCs w:val="24"/>
          <w:lang w:val="pt-PT" w:eastAsia="ja-JP"/>
        </w:rPr>
        <w:t xml:space="preserve">apenas o </w:t>
      </w:r>
      <w:r w:rsidR="00CF5971" w:rsidRPr="003A1174">
        <w:rPr>
          <w:rFonts w:ascii="Garamond" w:hAnsi="Garamond" w:cs="Arial"/>
          <w:sz w:val="24"/>
          <w:szCs w:val="24"/>
          <w:lang w:val="pt-PT" w:eastAsia="ja-JP"/>
        </w:rPr>
        <w:t>Poder Judicial (sic).</w:t>
      </w:r>
      <w:r w:rsidR="00232E98">
        <w:rPr>
          <w:rFonts w:ascii="Garamond" w:hAnsi="Garamond" w:cs="Arial"/>
          <w:sz w:val="24"/>
          <w:szCs w:val="24"/>
          <w:lang w:val="pt-PT" w:eastAsia="ja-JP"/>
        </w:rPr>
        <w:t>»</w:t>
      </w:r>
      <w:r w:rsidR="00CF5971" w:rsidRPr="003A1174">
        <w:rPr>
          <w:rStyle w:val="Refdenotaalpie"/>
          <w:rFonts w:ascii="Garamond" w:hAnsi="Garamond" w:cs="Arial"/>
          <w:sz w:val="24"/>
          <w:szCs w:val="24"/>
          <w:lang w:eastAsia="ja-JP"/>
        </w:rPr>
        <w:footnoteReference w:id="156"/>
      </w:r>
    </w:p>
    <w:p w:rsidR="00CF5971" w:rsidRPr="003A1174" w:rsidRDefault="00B65E16" w:rsidP="00850D21">
      <w:pPr>
        <w:pStyle w:val="Prrafodelista"/>
        <w:numPr>
          <w:ilvl w:val="0"/>
          <w:numId w:val="44"/>
        </w:numPr>
        <w:spacing w:before="240" w:line="240" w:lineRule="auto"/>
        <w:jc w:val="both"/>
        <w:rPr>
          <w:rFonts w:ascii="Garamond" w:hAnsi="Garamond" w:cs="Arial"/>
          <w:sz w:val="24"/>
          <w:szCs w:val="24"/>
          <w:lang w:val="pt-PT"/>
        </w:rPr>
      </w:pPr>
      <w:r w:rsidRPr="003A1174">
        <w:rPr>
          <w:rFonts w:ascii="Garamond" w:eastAsia="Palatino Linotype" w:hAnsi="Garamond" w:cs="Arial"/>
          <w:sz w:val="24"/>
          <w:szCs w:val="24"/>
          <w:lang w:val="pt-PT"/>
        </w:rPr>
        <w:t xml:space="preserve">A </w:t>
      </w:r>
      <w:r w:rsidR="0017447A" w:rsidRPr="003A1174">
        <w:rPr>
          <w:rFonts w:ascii="Garamond" w:eastAsia="Palatino Linotype" w:hAnsi="Garamond" w:cs="Arial"/>
          <w:sz w:val="24"/>
          <w:szCs w:val="24"/>
          <w:lang w:val="pt-PT"/>
        </w:rPr>
        <w:t>informação</w:t>
      </w:r>
      <w:r w:rsidR="00CA39B2" w:rsidRPr="003A1174">
        <w:rPr>
          <w:rFonts w:ascii="Garamond" w:eastAsia="Palatino Linotype" w:hAnsi="Garamond" w:cs="Arial"/>
          <w:sz w:val="24"/>
          <w:szCs w:val="24"/>
          <w:lang w:val="pt-PT"/>
        </w:rPr>
        <w:t xml:space="preserve"> </w:t>
      </w:r>
      <w:r w:rsidR="00232E98">
        <w:rPr>
          <w:rFonts w:ascii="Garamond" w:eastAsia="Palatino Linotype" w:hAnsi="Garamond" w:cs="Arial"/>
          <w:sz w:val="24"/>
          <w:szCs w:val="24"/>
          <w:lang w:val="pt-PT"/>
        </w:rPr>
        <w:t>dispon</w:t>
      </w:r>
      <w:r w:rsidR="00325437">
        <w:rPr>
          <w:rFonts w:ascii="Garamond" w:eastAsia="Palatino Linotype" w:hAnsi="Garamond" w:cs="Arial"/>
          <w:sz w:val="24"/>
          <w:szCs w:val="24"/>
          <w:lang w:val="pt-PT"/>
        </w:rPr>
        <w:t>i</w:t>
      </w:r>
      <w:r w:rsidR="00232E98">
        <w:rPr>
          <w:rFonts w:ascii="Garamond" w:eastAsia="Palatino Linotype" w:hAnsi="Garamond" w:cs="Arial"/>
          <w:sz w:val="24"/>
          <w:szCs w:val="24"/>
          <w:lang w:val="pt-PT"/>
        </w:rPr>
        <w:t xml:space="preserve">bilizada </w:t>
      </w:r>
      <w:r w:rsidR="00275092" w:rsidRPr="003A1174">
        <w:rPr>
          <w:rFonts w:ascii="Garamond" w:eastAsia="Palatino Linotype" w:hAnsi="Garamond" w:cs="Arial"/>
          <w:sz w:val="24"/>
          <w:szCs w:val="24"/>
          <w:lang w:val="pt-PT"/>
        </w:rPr>
        <w:t>pela</w:t>
      </w:r>
      <w:r w:rsidR="00CA39B2" w:rsidRPr="003A1174">
        <w:rPr>
          <w:rFonts w:ascii="Garamond" w:eastAsia="Palatino Linotype" w:hAnsi="Garamond" w:cs="Arial"/>
          <w:sz w:val="24"/>
          <w:szCs w:val="24"/>
          <w:lang w:val="pt-PT"/>
        </w:rPr>
        <w:t xml:space="preserve">s </w:t>
      </w:r>
      <w:r w:rsidR="00DC5DA7" w:rsidRPr="003A1174">
        <w:rPr>
          <w:rFonts w:ascii="Garamond" w:eastAsia="Palatino Linotype" w:hAnsi="Garamond" w:cs="Arial"/>
          <w:sz w:val="24"/>
          <w:szCs w:val="24"/>
          <w:lang w:val="pt-PT"/>
        </w:rPr>
        <w:t>Provedorias</w:t>
      </w:r>
      <w:r w:rsidR="00CA39B2" w:rsidRPr="003A1174">
        <w:rPr>
          <w:rFonts w:ascii="Garamond" w:eastAsia="Palatino Linotype" w:hAnsi="Garamond" w:cs="Arial"/>
          <w:sz w:val="24"/>
          <w:szCs w:val="24"/>
          <w:lang w:val="pt-PT"/>
        </w:rPr>
        <w:t xml:space="preserve"> </w:t>
      </w:r>
      <w:r w:rsidR="00DC5DA7" w:rsidRPr="003A1174">
        <w:rPr>
          <w:rFonts w:ascii="Garamond" w:eastAsia="Palatino Linotype" w:hAnsi="Garamond" w:cs="Arial"/>
          <w:sz w:val="24"/>
          <w:szCs w:val="24"/>
          <w:lang w:val="pt-PT"/>
        </w:rPr>
        <w:t>de Justiça</w:t>
      </w:r>
      <w:r w:rsidR="00CA39B2" w:rsidRPr="003A1174">
        <w:rPr>
          <w:rFonts w:ascii="Garamond" w:eastAsia="Palatino Linotype" w:hAnsi="Garamond" w:cs="Arial"/>
          <w:sz w:val="24"/>
          <w:szCs w:val="24"/>
          <w:lang w:val="pt-PT"/>
        </w:rPr>
        <w:t xml:space="preserve"> d</w:t>
      </w:r>
      <w:r w:rsidRPr="003A1174">
        <w:rPr>
          <w:rFonts w:ascii="Garamond" w:eastAsia="Palatino Linotype" w:hAnsi="Garamond" w:cs="Arial"/>
          <w:sz w:val="24"/>
          <w:szCs w:val="24"/>
          <w:lang w:val="pt-PT"/>
        </w:rPr>
        <w:t>emonstra que</w:t>
      </w:r>
      <w:r w:rsidR="00325437">
        <w:rPr>
          <w:rFonts w:ascii="Garamond" w:eastAsia="Palatino Linotype" w:hAnsi="Garamond" w:cs="Arial"/>
          <w:sz w:val="24"/>
          <w:szCs w:val="24"/>
          <w:lang w:val="pt-PT"/>
        </w:rPr>
        <w:t>,</w:t>
      </w:r>
      <w:r w:rsidRPr="003A1174">
        <w:rPr>
          <w:rFonts w:ascii="Garamond" w:eastAsia="Palatino Linotype" w:hAnsi="Garamond" w:cs="Arial"/>
          <w:sz w:val="24"/>
          <w:szCs w:val="24"/>
          <w:lang w:val="pt-PT"/>
        </w:rPr>
        <w:t xml:space="preserve"> </w:t>
      </w:r>
      <w:r w:rsidR="00CA39B2" w:rsidRPr="003A1174">
        <w:rPr>
          <w:rFonts w:ascii="Garamond" w:eastAsia="Palatino Linotype" w:hAnsi="Garamond" w:cs="Arial"/>
          <w:sz w:val="24"/>
          <w:szCs w:val="24"/>
          <w:lang w:val="pt-PT"/>
        </w:rPr>
        <w:t xml:space="preserve">as </w:t>
      </w:r>
      <w:r w:rsidR="002F5CD1" w:rsidRPr="003A1174">
        <w:rPr>
          <w:rFonts w:ascii="Garamond" w:eastAsia="Palatino Linotype" w:hAnsi="Garamond" w:cs="Arial"/>
          <w:sz w:val="24"/>
          <w:szCs w:val="24"/>
          <w:lang w:val="pt-PT"/>
        </w:rPr>
        <w:t>principais</w:t>
      </w:r>
      <w:r w:rsidR="00CA39B2" w:rsidRPr="003A1174">
        <w:rPr>
          <w:rFonts w:ascii="Garamond" w:eastAsia="Palatino Linotype" w:hAnsi="Garamond" w:cs="Arial"/>
          <w:sz w:val="24"/>
          <w:szCs w:val="24"/>
          <w:lang w:val="pt-PT"/>
        </w:rPr>
        <w:t xml:space="preserve"> </w:t>
      </w:r>
      <w:r w:rsidR="00C30647" w:rsidRPr="003A1174">
        <w:rPr>
          <w:rFonts w:ascii="Garamond" w:eastAsia="Palatino Linotype" w:hAnsi="Garamond" w:cs="Arial"/>
          <w:sz w:val="24"/>
          <w:szCs w:val="24"/>
          <w:lang w:val="pt-PT"/>
        </w:rPr>
        <w:t>dificuldade</w:t>
      </w:r>
      <w:r w:rsidR="00CA39B2" w:rsidRPr="003A1174">
        <w:rPr>
          <w:rFonts w:ascii="Garamond" w:eastAsia="Palatino Linotype" w:hAnsi="Garamond" w:cs="Arial"/>
          <w:sz w:val="24"/>
          <w:szCs w:val="24"/>
          <w:lang w:val="pt-PT"/>
        </w:rPr>
        <w:t xml:space="preserve">s que as </w:t>
      </w:r>
      <w:r w:rsidR="00054EE0" w:rsidRPr="003A1174">
        <w:rPr>
          <w:rFonts w:ascii="Garamond" w:eastAsia="Palatino Linotype" w:hAnsi="Garamond" w:cs="Arial"/>
          <w:sz w:val="24"/>
          <w:szCs w:val="24"/>
          <w:lang w:val="pt-PT"/>
        </w:rPr>
        <w:t>mulheres</w:t>
      </w:r>
      <w:r w:rsidR="00CA39B2" w:rsidRPr="003A1174">
        <w:rPr>
          <w:rFonts w:ascii="Garamond" w:eastAsia="Palatino Linotype" w:hAnsi="Garamond" w:cs="Arial"/>
          <w:sz w:val="24"/>
          <w:szCs w:val="24"/>
          <w:lang w:val="pt-PT"/>
        </w:rPr>
        <w:t xml:space="preserve"> </w:t>
      </w:r>
      <w:r w:rsidR="003F012B" w:rsidRPr="003A1174">
        <w:rPr>
          <w:rFonts w:ascii="Garamond" w:eastAsia="Palatino Linotype" w:hAnsi="Garamond" w:cs="Arial"/>
          <w:sz w:val="24"/>
          <w:szCs w:val="24"/>
          <w:lang w:val="pt-PT"/>
        </w:rPr>
        <w:t>vítima</w:t>
      </w:r>
      <w:r w:rsidR="00CA39B2" w:rsidRPr="003A1174">
        <w:rPr>
          <w:rFonts w:ascii="Garamond" w:eastAsia="Palatino Linotype" w:hAnsi="Garamond" w:cs="Arial"/>
          <w:sz w:val="24"/>
          <w:szCs w:val="24"/>
          <w:lang w:val="pt-PT"/>
        </w:rPr>
        <w:t xml:space="preserve">s de </w:t>
      </w:r>
      <w:r w:rsidR="000350B1" w:rsidRPr="003A1174">
        <w:rPr>
          <w:rFonts w:ascii="Garamond" w:eastAsia="Palatino Linotype" w:hAnsi="Garamond" w:cs="Arial"/>
          <w:sz w:val="24"/>
          <w:szCs w:val="24"/>
          <w:lang w:val="pt-PT"/>
        </w:rPr>
        <w:t>violência</w:t>
      </w:r>
      <w:r w:rsidR="00CA39B2" w:rsidRPr="003A1174">
        <w:rPr>
          <w:rFonts w:ascii="Garamond" w:eastAsia="Palatino Linotype" w:hAnsi="Garamond" w:cs="Arial"/>
          <w:sz w:val="24"/>
          <w:szCs w:val="24"/>
          <w:lang w:val="pt-PT"/>
        </w:rPr>
        <w:t xml:space="preserve"> intrafamiliar</w:t>
      </w:r>
      <w:r w:rsidR="00850D21" w:rsidRPr="003A1174">
        <w:rPr>
          <w:rFonts w:ascii="Garamond" w:eastAsia="Palatino Linotype" w:hAnsi="Garamond" w:cs="Arial"/>
          <w:sz w:val="24"/>
          <w:szCs w:val="24"/>
          <w:lang w:val="pt-PT"/>
        </w:rPr>
        <w:t xml:space="preserve"> enfrentam</w:t>
      </w:r>
      <w:r w:rsidR="00CA39B2" w:rsidRPr="003A1174">
        <w:rPr>
          <w:rFonts w:ascii="Garamond" w:eastAsia="Palatino Linotype" w:hAnsi="Garamond" w:cs="Arial"/>
          <w:sz w:val="24"/>
          <w:szCs w:val="24"/>
          <w:lang w:val="pt-PT"/>
        </w:rPr>
        <w:t>, co</w:t>
      </w:r>
      <w:r w:rsidRPr="003A1174">
        <w:rPr>
          <w:rFonts w:ascii="Garamond" w:eastAsia="Palatino Linotype" w:hAnsi="Garamond" w:cs="Arial"/>
          <w:sz w:val="24"/>
          <w:szCs w:val="24"/>
          <w:lang w:val="pt-PT"/>
        </w:rPr>
        <w:t xml:space="preserve">m </w:t>
      </w:r>
      <w:r w:rsidR="00F95978" w:rsidRPr="003A1174">
        <w:rPr>
          <w:rFonts w:ascii="Garamond" w:eastAsia="Palatino Linotype" w:hAnsi="Garamond" w:cs="Arial"/>
          <w:sz w:val="24"/>
          <w:szCs w:val="24"/>
          <w:lang w:val="pt-PT"/>
        </w:rPr>
        <w:t xml:space="preserve">indicativa </w:t>
      </w:r>
      <w:r w:rsidR="00190B59" w:rsidRPr="003A1174">
        <w:rPr>
          <w:rFonts w:ascii="Garamond" w:eastAsia="Palatino Linotype" w:hAnsi="Garamond" w:cs="Arial"/>
          <w:sz w:val="24"/>
          <w:szCs w:val="24"/>
          <w:lang w:val="pt-PT"/>
        </w:rPr>
        <w:t>frequência</w:t>
      </w:r>
      <w:r w:rsidRPr="003A1174">
        <w:rPr>
          <w:rFonts w:ascii="Garamond" w:eastAsia="Palatino Linotype" w:hAnsi="Garamond" w:cs="Arial"/>
          <w:sz w:val="24"/>
          <w:szCs w:val="24"/>
          <w:lang w:val="pt-PT"/>
        </w:rPr>
        <w:t>,</w:t>
      </w:r>
      <w:r w:rsidR="00CA39B2" w:rsidRPr="003A1174">
        <w:rPr>
          <w:rFonts w:ascii="Garamond" w:eastAsia="Palatino Linotype" w:hAnsi="Garamond" w:cs="Arial"/>
          <w:sz w:val="24"/>
          <w:szCs w:val="24"/>
          <w:lang w:val="pt-PT"/>
        </w:rPr>
        <w:t xml:space="preserve"> </w:t>
      </w:r>
      <w:r w:rsidR="00870B0E" w:rsidRPr="003A1174">
        <w:rPr>
          <w:rFonts w:ascii="Garamond" w:eastAsia="Palatino Linotype" w:hAnsi="Garamond" w:cs="Arial"/>
          <w:sz w:val="24"/>
          <w:szCs w:val="24"/>
          <w:lang w:val="pt-PT"/>
        </w:rPr>
        <w:t xml:space="preserve">provêm, </w:t>
      </w:r>
      <w:r w:rsidRPr="003A1174">
        <w:rPr>
          <w:rFonts w:ascii="Garamond" w:eastAsia="Palatino Linotype" w:hAnsi="Garamond" w:cs="Arial"/>
          <w:sz w:val="24"/>
          <w:szCs w:val="24"/>
          <w:lang w:val="pt-PT"/>
        </w:rPr>
        <w:t>s</w:t>
      </w:r>
      <w:r w:rsidR="001F2F8B" w:rsidRPr="003A1174">
        <w:rPr>
          <w:rFonts w:ascii="Garamond" w:eastAsia="Palatino Linotype" w:hAnsi="Garamond" w:cs="Arial"/>
          <w:sz w:val="24"/>
          <w:szCs w:val="24"/>
          <w:lang w:val="pt-PT"/>
        </w:rPr>
        <w:t>ubstancial</w:t>
      </w:r>
      <w:r w:rsidRPr="003A1174">
        <w:rPr>
          <w:rFonts w:ascii="Garamond" w:eastAsia="Palatino Linotype" w:hAnsi="Garamond" w:cs="Arial"/>
          <w:sz w:val="24"/>
          <w:szCs w:val="24"/>
          <w:lang w:val="pt-PT"/>
        </w:rPr>
        <w:t xml:space="preserve">mente, </w:t>
      </w:r>
      <w:r w:rsidR="00870B0E" w:rsidRPr="003A1174">
        <w:rPr>
          <w:rFonts w:ascii="Garamond" w:eastAsia="Palatino Linotype" w:hAnsi="Garamond" w:cs="Arial"/>
          <w:sz w:val="24"/>
          <w:szCs w:val="24"/>
          <w:lang w:val="pt-PT"/>
        </w:rPr>
        <w:t xml:space="preserve">de </w:t>
      </w:r>
      <w:r w:rsidR="00067AA4" w:rsidRPr="003A1174">
        <w:rPr>
          <w:rFonts w:ascii="Garamond" w:eastAsia="Palatino Linotype" w:hAnsi="Garamond" w:cs="Arial"/>
          <w:sz w:val="24"/>
          <w:szCs w:val="24"/>
          <w:lang w:val="pt-PT"/>
        </w:rPr>
        <w:t>estereótipo</w:t>
      </w:r>
      <w:r w:rsidR="00CA39B2" w:rsidRPr="003A1174">
        <w:rPr>
          <w:rFonts w:ascii="Garamond" w:eastAsia="Palatino Linotype" w:hAnsi="Garamond" w:cs="Arial"/>
          <w:sz w:val="24"/>
          <w:szCs w:val="24"/>
          <w:lang w:val="pt-PT"/>
        </w:rPr>
        <w:t xml:space="preserve">s social </w:t>
      </w:r>
      <w:r w:rsidR="000672E8" w:rsidRPr="003A1174">
        <w:rPr>
          <w:rFonts w:ascii="Garamond" w:eastAsia="Palatino Linotype" w:hAnsi="Garamond" w:cs="Arial"/>
          <w:sz w:val="24"/>
          <w:szCs w:val="24"/>
          <w:lang w:val="pt-PT"/>
        </w:rPr>
        <w:t>e</w:t>
      </w:r>
      <w:r w:rsidR="00CA39B2" w:rsidRPr="003A1174">
        <w:rPr>
          <w:rFonts w:ascii="Garamond" w:eastAsia="Palatino Linotype" w:hAnsi="Garamond" w:cs="Arial"/>
          <w:sz w:val="24"/>
          <w:szCs w:val="24"/>
          <w:lang w:val="pt-PT"/>
        </w:rPr>
        <w:t xml:space="preserve"> culturalmente </w:t>
      </w:r>
      <w:r w:rsidR="00067AA4" w:rsidRPr="003A1174">
        <w:rPr>
          <w:rFonts w:ascii="Garamond" w:eastAsia="Palatino Linotype" w:hAnsi="Garamond" w:cs="Arial"/>
          <w:sz w:val="24"/>
          <w:szCs w:val="24"/>
          <w:lang w:val="pt-PT"/>
        </w:rPr>
        <w:t>enraizados</w:t>
      </w:r>
      <w:r w:rsidR="00CA39B2" w:rsidRPr="003A1174">
        <w:rPr>
          <w:rFonts w:ascii="Garamond" w:eastAsia="Palatino Linotype" w:hAnsi="Garamond" w:cs="Arial"/>
          <w:sz w:val="24"/>
          <w:szCs w:val="24"/>
          <w:lang w:val="pt-PT"/>
        </w:rPr>
        <w:t xml:space="preserve"> </w:t>
      </w:r>
      <w:r w:rsidR="00870B0E" w:rsidRPr="003A1174">
        <w:rPr>
          <w:rFonts w:ascii="Garamond" w:eastAsia="Palatino Linotype" w:hAnsi="Garamond" w:cs="Arial"/>
          <w:sz w:val="24"/>
          <w:szCs w:val="24"/>
          <w:lang w:val="pt-PT"/>
        </w:rPr>
        <w:t>n</w:t>
      </w:r>
      <w:r w:rsidR="00CA39B2" w:rsidRPr="003A1174">
        <w:rPr>
          <w:rFonts w:ascii="Garamond" w:eastAsia="Palatino Linotype" w:hAnsi="Garamond" w:cs="Arial"/>
          <w:sz w:val="24"/>
          <w:szCs w:val="24"/>
          <w:lang w:val="pt-PT"/>
        </w:rPr>
        <w:t xml:space="preserve">a </w:t>
      </w:r>
      <w:r w:rsidR="002C7510" w:rsidRPr="003A1174">
        <w:rPr>
          <w:rFonts w:ascii="Garamond" w:eastAsia="Palatino Linotype" w:hAnsi="Garamond" w:cs="Arial"/>
          <w:sz w:val="24"/>
          <w:szCs w:val="24"/>
          <w:lang w:val="pt-PT"/>
        </w:rPr>
        <w:t>sociedade</w:t>
      </w:r>
      <w:r w:rsidR="00CA39B2" w:rsidRPr="003A1174">
        <w:rPr>
          <w:rFonts w:ascii="Garamond" w:eastAsia="Palatino Linotype" w:hAnsi="Garamond" w:cs="Arial"/>
          <w:sz w:val="24"/>
          <w:szCs w:val="24"/>
          <w:lang w:val="pt-PT"/>
        </w:rPr>
        <w:t xml:space="preserve">, </w:t>
      </w:r>
      <w:r w:rsidR="000672E8" w:rsidRPr="003A1174">
        <w:rPr>
          <w:rFonts w:ascii="Garamond" w:eastAsia="Palatino Linotype" w:hAnsi="Garamond" w:cs="Arial"/>
          <w:sz w:val="24"/>
          <w:szCs w:val="24"/>
          <w:lang w:val="pt-PT"/>
        </w:rPr>
        <w:t>e</w:t>
      </w:r>
      <w:r w:rsidR="00870B0E" w:rsidRPr="003A1174">
        <w:rPr>
          <w:rFonts w:ascii="Garamond" w:eastAsia="Palatino Linotype" w:hAnsi="Garamond" w:cs="Arial"/>
          <w:sz w:val="24"/>
          <w:szCs w:val="24"/>
          <w:lang w:val="pt-PT"/>
        </w:rPr>
        <w:t>,</w:t>
      </w:r>
      <w:r w:rsidR="00CA39B2" w:rsidRPr="003A1174">
        <w:rPr>
          <w:rFonts w:ascii="Garamond" w:eastAsia="Palatino Linotype" w:hAnsi="Garamond" w:cs="Arial"/>
          <w:sz w:val="24"/>
          <w:szCs w:val="24"/>
          <w:lang w:val="pt-PT"/>
        </w:rPr>
        <w:t xml:space="preserve"> </w:t>
      </w:r>
      <w:r w:rsidR="00E119CA" w:rsidRPr="003A1174">
        <w:rPr>
          <w:rFonts w:ascii="Garamond" w:eastAsia="Palatino Linotype" w:hAnsi="Garamond" w:cs="Arial"/>
          <w:sz w:val="24"/>
          <w:szCs w:val="24"/>
          <w:lang w:val="pt-PT"/>
        </w:rPr>
        <w:t>por</w:t>
      </w:r>
      <w:r w:rsidR="00CA39B2" w:rsidRPr="003A1174">
        <w:rPr>
          <w:rFonts w:ascii="Garamond" w:eastAsia="Palatino Linotype" w:hAnsi="Garamond" w:cs="Arial"/>
          <w:sz w:val="24"/>
          <w:szCs w:val="24"/>
          <w:lang w:val="pt-PT"/>
        </w:rPr>
        <w:t xml:space="preserve"> </w:t>
      </w:r>
      <w:r w:rsidR="006F7276" w:rsidRPr="003A1174">
        <w:rPr>
          <w:rFonts w:ascii="Garamond" w:eastAsia="Palatino Linotype" w:hAnsi="Garamond" w:cs="Arial"/>
          <w:sz w:val="24"/>
          <w:szCs w:val="24"/>
          <w:lang w:val="pt-PT"/>
        </w:rPr>
        <w:t>conseguinte</w:t>
      </w:r>
      <w:r w:rsidR="00870B0E" w:rsidRPr="003A1174">
        <w:rPr>
          <w:rFonts w:ascii="Garamond" w:eastAsia="Palatino Linotype" w:hAnsi="Garamond" w:cs="Arial"/>
          <w:sz w:val="24"/>
          <w:szCs w:val="24"/>
          <w:lang w:val="pt-PT"/>
        </w:rPr>
        <w:t>,</w:t>
      </w:r>
      <w:r w:rsidR="00CA39B2" w:rsidRPr="003A1174">
        <w:rPr>
          <w:rFonts w:ascii="Garamond" w:eastAsia="Palatino Linotype" w:hAnsi="Garamond" w:cs="Arial"/>
          <w:sz w:val="24"/>
          <w:szCs w:val="24"/>
          <w:lang w:val="pt-PT"/>
        </w:rPr>
        <w:t xml:space="preserve"> </w:t>
      </w:r>
      <w:r w:rsidR="003A391A" w:rsidRPr="003A1174">
        <w:rPr>
          <w:rFonts w:ascii="Garamond" w:eastAsia="Palatino Linotype" w:hAnsi="Garamond" w:cs="Arial"/>
          <w:sz w:val="24"/>
          <w:szCs w:val="24"/>
          <w:lang w:val="pt-PT"/>
        </w:rPr>
        <w:t>nos</w:t>
      </w:r>
      <w:r w:rsidR="00CA39B2" w:rsidRPr="003A1174">
        <w:rPr>
          <w:rFonts w:ascii="Garamond" w:eastAsia="Palatino Linotype" w:hAnsi="Garamond" w:cs="Arial"/>
          <w:sz w:val="24"/>
          <w:szCs w:val="24"/>
          <w:lang w:val="pt-PT"/>
        </w:rPr>
        <w:t xml:space="preserve"> operadores de </w:t>
      </w:r>
      <w:r w:rsidR="00FC1F7F" w:rsidRPr="003A1174">
        <w:rPr>
          <w:rFonts w:ascii="Garamond" w:eastAsia="Palatino Linotype" w:hAnsi="Garamond" w:cs="Arial"/>
          <w:sz w:val="24"/>
          <w:szCs w:val="24"/>
          <w:lang w:val="pt-PT"/>
        </w:rPr>
        <w:t>justiça</w:t>
      </w:r>
      <w:r w:rsidR="00CA39B2" w:rsidRPr="003A1174">
        <w:rPr>
          <w:rFonts w:ascii="Garamond" w:eastAsia="Palatino Linotype" w:hAnsi="Garamond" w:cs="Arial"/>
          <w:sz w:val="24"/>
          <w:szCs w:val="24"/>
          <w:lang w:val="pt-PT"/>
        </w:rPr>
        <w:t xml:space="preserve"> que, de modo consciente o</w:t>
      </w:r>
      <w:r w:rsidR="00870B0E" w:rsidRPr="003A1174">
        <w:rPr>
          <w:rFonts w:ascii="Garamond" w:eastAsia="Palatino Linotype" w:hAnsi="Garamond" w:cs="Arial"/>
          <w:sz w:val="24"/>
          <w:szCs w:val="24"/>
          <w:lang w:val="pt-PT"/>
        </w:rPr>
        <w:t>u</w:t>
      </w:r>
      <w:r w:rsidR="00CA39B2" w:rsidRPr="003A1174">
        <w:rPr>
          <w:rFonts w:ascii="Garamond" w:eastAsia="Palatino Linotype" w:hAnsi="Garamond" w:cs="Arial"/>
          <w:sz w:val="24"/>
          <w:szCs w:val="24"/>
          <w:lang w:val="pt-PT"/>
        </w:rPr>
        <w:t xml:space="preserve"> inconsciente, </w:t>
      </w:r>
      <w:r w:rsidR="00870B0E" w:rsidRPr="003A1174">
        <w:rPr>
          <w:rFonts w:ascii="Garamond" w:eastAsia="Palatino Linotype" w:hAnsi="Garamond" w:cs="Arial"/>
          <w:sz w:val="24"/>
          <w:szCs w:val="24"/>
          <w:lang w:val="pt-PT"/>
        </w:rPr>
        <w:t xml:space="preserve">criam margens </w:t>
      </w:r>
      <w:r w:rsidR="00CA39B2" w:rsidRPr="003A1174">
        <w:rPr>
          <w:rFonts w:ascii="Garamond" w:eastAsia="Palatino Linotype" w:hAnsi="Garamond" w:cs="Arial"/>
          <w:sz w:val="24"/>
          <w:szCs w:val="24"/>
          <w:lang w:val="pt-PT"/>
        </w:rPr>
        <w:t xml:space="preserve">de </w:t>
      </w:r>
      <w:r w:rsidR="001657C4" w:rsidRPr="003A1174">
        <w:rPr>
          <w:rFonts w:ascii="Garamond" w:eastAsia="Palatino Linotype" w:hAnsi="Garamond" w:cs="Arial"/>
          <w:sz w:val="24"/>
          <w:szCs w:val="24"/>
          <w:lang w:val="pt-PT"/>
        </w:rPr>
        <w:t>tolerância</w:t>
      </w:r>
      <w:r w:rsidR="00CA39B2" w:rsidRPr="003A1174">
        <w:rPr>
          <w:rFonts w:ascii="Garamond" w:eastAsia="Palatino Linotype" w:hAnsi="Garamond" w:cs="Arial"/>
          <w:sz w:val="24"/>
          <w:szCs w:val="24"/>
          <w:lang w:val="pt-PT"/>
        </w:rPr>
        <w:t xml:space="preserve"> </w:t>
      </w:r>
      <w:r w:rsidR="00870B0E" w:rsidRPr="003A1174">
        <w:rPr>
          <w:rFonts w:ascii="Garamond" w:eastAsia="Palatino Linotype" w:hAnsi="Garamond" w:cs="Arial"/>
          <w:sz w:val="24"/>
          <w:szCs w:val="24"/>
          <w:lang w:val="pt-PT"/>
        </w:rPr>
        <w:t xml:space="preserve">inaceitável </w:t>
      </w:r>
      <w:r w:rsidR="00CA39B2" w:rsidRPr="003A1174">
        <w:rPr>
          <w:rFonts w:ascii="Garamond" w:eastAsia="Palatino Linotype" w:hAnsi="Garamond" w:cs="Arial"/>
          <w:sz w:val="24"/>
          <w:szCs w:val="24"/>
          <w:lang w:val="pt-PT"/>
        </w:rPr>
        <w:t xml:space="preserve">que </w:t>
      </w:r>
      <w:r w:rsidR="00287EAE" w:rsidRPr="003A1174">
        <w:rPr>
          <w:rFonts w:ascii="Garamond" w:eastAsia="Palatino Linotype" w:hAnsi="Garamond" w:cs="Arial"/>
          <w:sz w:val="24"/>
          <w:szCs w:val="24"/>
          <w:lang w:val="pt-PT"/>
        </w:rPr>
        <w:t>ge</w:t>
      </w:r>
      <w:r w:rsidR="00870B0E" w:rsidRPr="003A1174">
        <w:rPr>
          <w:rFonts w:ascii="Garamond" w:eastAsia="Palatino Linotype" w:hAnsi="Garamond" w:cs="Arial"/>
          <w:sz w:val="24"/>
          <w:szCs w:val="24"/>
          <w:lang w:val="pt-PT"/>
        </w:rPr>
        <w:t xml:space="preserve">ram </w:t>
      </w:r>
      <w:r w:rsidR="00850D21" w:rsidRPr="003A1174">
        <w:rPr>
          <w:rFonts w:ascii="Garamond" w:eastAsia="Palatino Linotype" w:hAnsi="Garamond" w:cs="Arial"/>
          <w:sz w:val="24"/>
          <w:szCs w:val="24"/>
          <w:lang w:val="pt-PT"/>
        </w:rPr>
        <w:t xml:space="preserve">diversas </w:t>
      </w:r>
      <w:r w:rsidR="00325437">
        <w:rPr>
          <w:rFonts w:ascii="Garamond" w:eastAsia="Palatino Linotype" w:hAnsi="Garamond" w:cs="Arial"/>
          <w:sz w:val="24"/>
          <w:szCs w:val="24"/>
          <w:lang w:val="pt-PT"/>
        </w:rPr>
        <w:t xml:space="preserve">situações </w:t>
      </w:r>
      <w:r w:rsidR="00CA39B2" w:rsidRPr="003A1174">
        <w:rPr>
          <w:rFonts w:ascii="Garamond" w:eastAsia="Palatino Linotype" w:hAnsi="Garamond" w:cs="Arial"/>
          <w:sz w:val="24"/>
          <w:szCs w:val="24"/>
          <w:lang w:val="pt-PT"/>
        </w:rPr>
        <w:t xml:space="preserve">de </w:t>
      </w:r>
      <w:r w:rsidR="00276DCA" w:rsidRPr="003A1174">
        <w:rPr>
          <w:rFonts w:ascii="Garamond" w:eastAsia="Palatino Linotype" w:hAnsi="Garamond" w:cs="Arial"/>
          <w:sz w:val="24"/>
          <w:szCs w:val="24"/>
          <w:lang w:val="pt-PT"/>
        </w:rPr>
        <w:t>impunidade</w:t>
      </w:r>
      <w:r w:rsidR="00CA39B2" w:rsidRPr="003A1174">
        <w:rPr>
          <w:rFonts w:ascii="Garamond" w:eastAsia="Palatino Linotype" w:hAnsi="Garamond" w:cs="Arial"/>
          <w:sz w:val="24"/>
          <w:szCs w:val="24"/>
          <w:lang w:val="pt-PT"/>
        </w:rPr>
        <w:t xml:space="preserve">. </w:t>
      </w:r>
      <w:r w:rsidR="00325437">
        <w:rPr>
          <w:rFonts w:ascii="Garamond" w:eastAsia="Palatino Linotype" w:hAnsi="Garamond" w:cs="Arial"/>
          <w:sz w:val="24"/>
          <w:szCs w:val="24"/>
          <w:lang w:val="pt-PT"/>
        </w:rPr>
        <w:t>Esta situação reveste-se</w:t>
      </w:r>
      <w:r w:rsidR="00870B0E" w:rsidRPr="003A1174">
        <w:rPr>
          <w:rFonts w:ascii="Garamond" w:eastAsia="Palatino Linotype" w:hAnsi="Garamond" w:cs="Arial"/>
          <w:sz w:val="24"/>
          <w:szCs w:val="24"/>
          <w:lang w:val="pt-PT"/>
        </w:rPr>
        <w:t xml:space="preserve"> </w:t>
      </w:r>
      <w:r w:rsidR="00325437">
        <w:rPr>
          <w:rFonts w:ascii="Garamond" w:eastAsia="Palatino Linotype" w:hAnsi="Garamond" w:cs="Arial"/>
          <w:sz w:val="24"/>
          <w:szCs w:val="24"/>
          <w:lang w:val="pt-PT"/>
        </w:rPr>
        <w:t xml:space="preserve">de </w:t>
      </w:r>
      <w:r w:rsidR="00870B0E" w:rsidRPr="003A1174">
        <w:rPr>
          <w:rFonts w:ascii="Garamond" w:eastAsia="Palatino Linotype" w:hAnsi="Garamond" w:cs="Arial"/>
          <w:sz w:val="24"/>
          <w:szCs w:val="24"/>
          <w:lang w:val="pt-PT"/>
        </w:rPr>
        <w:t>um</w:t>
      </w:r>
      <w:r w:rsidR="00CA39B2" w:rsidRPr="003A1174">
        <w:rPr>
          <w:rFonts w:ascii="Garamond" w:eastAsia="Palatino Linotype" w:hAnsi="Garamond" w:cs="Arial"/>
          <w:sz w:val="24"/>
          <w:szCs w:val="24"/>
          <w:lang w:val="pt-PT"/>
        </w:rPr>
        <w:t xml:space="preserve">a especial </w:t>
      </w:r>
      <w:r w:rsidR="00983C71" w:rsidRPr="003A1174">
        <w:rPr>
          <w:rFonts w:ascii="Garamond" w:eastAsia="Palatino Linotype" w:hAnsi="Garamond" w:cs="Arial"/>
          <w:sz w:val="24"/>
          <w:szCs w:val="24"/>
          <w:lang w:val="pt-PT"/>
        </w:rPr>
        <w:t>gravidade</w:t>
      </w:r>
      <w:r w:rsidR="00CA39B2" w:rsidRPr="003A1174">
        <w:rPr>
          <w:rFonts w:ascii="Garamond" w:eastAsia="Palatino Linotype" w:hAnsi="Garamond" w:cs="Arial"/>
          <w:sz w:val="24"/>
          <w:szCs w:val="24"/>
          <w:lang w:val="pt-PT"/>
        </w:rPr>
        <w:t>, dad</w:t>
      </w:r>
      <w:r w:rsidR="00287EAE" w:rsidRPr="003A1174">
        <w:rPr>
          <w:rFonts w:ascii="Garamond" w:eastAsia="Palatino Linotype" w:hAnsi="Garamond" w:cs="Arial"/>
          <w:sz w:val="24"/>
          <w:szCs w:val="24"/>
          <w:lang w:val="pt-PT"/>
        </w:rPr>
        <w:t>o</w:t>
      </w:r>
      <w:r w:rsidR="00CA39B2" w:rsidRPr="003A1174">
        <w:rPr>
          <w:rFonts w:ascii="Garamond" w:eastAsia="Palatino Linotype" w:hAnsi="Garamond" w:cs="Arial"/>
          <w:sz w:val="24"/>
          <w:szCs w:val="24"/>
          <w:lang w:val="pt-PT"/>
        </w:rPr>
        <w:t xml:space="preserve"> </w:t>
      </w:r>
      <w:r w:rsidR="00870B0E" w:rsidRPr="003A1174">
        <w:rPr>
          <w:rFonts w:ascii="Garamond" w:eastAsia="Palatino Linotype" w:hAnsi="Garamond" w:cs="Arial"/>
          <w:sz w:val="24"/>
          <w:szCs w:val="24"/>
          <w:lang w:val="pt-PT"/>
        </w:rPr>
        <w:t xml:space="preserve">o </w:t>
      </w:r>
      <w:r w:rsidR="00CA39B2" w:rsidRPr="003A1174">
        <w:rPr>
          <w:rFonts w:ascii="Garamond" w:eastAsia="Palatino Linotype" w:hAnsi="Garamond" w:cs="Arial"/>
          <w:sz w:val="24"/>
          <w:szCs w:val="24"/>
          <w:lang w:val="pt-PT"/>
        </w:rPr>
        <w:t>pro</w:t>
      </w:r>
      <w:r w:rsidR="00870B0E" w:rsidRPr="003A1174">
        <w:rPr>
          <w:rFonts w:ascii="Garamond" w:eastAsia="Palatino Linotype" w:hAnsi="Garamond" w:cs="Arial"/>
          <w:sz w:val="24"/>
          <w:szCs w:val="24"/>
          <w:lang w:val="pt-PT"/>
        </w:rPr>
        <w:t>e</w:t>
      </w:r>
      <w:r w:rsidR="00CA39B2" w:rsidRPr="003A1174">
        <w:rPr>
          <w:rFonts w:ascii="Garamond" w:eastAsia="Palatino Linotype" w:hAnsi="Garamond" w:cs="Arial"/>
          <w:sz w:val="24"/>
          <w:szCs w:val="24"/>
          <w:lang w:val="pt-PT"/>
        </w:rPr>
        <w:t xml:space="preserve">minente papel que </w:t>
      </w:r>
      <w:r w:rsidR="00870B0E" w:rsidRPr="003A1174">
        <w:rPr>
          <w:rFonts w:ascii="Garamond" w:eastAsia="Palatino Linotype" w:hAnsi="Garamond" w:cs="Arial"/>
          <w:sz w:val="24"/>
          <w:szCs w:val="24"/>
          <w:lang w:val="pt-PT"/>
        </w:rPr>
        <w:t xml:space="preserve">os sistemas de justiça </w:t>
      </w:r>
      <w:r w:rsidR="00A862C2" w:rsidRPr="003A1174">
        <w:rPr>
          <w:rFonts w:ascii="Garamond" w:eastAsia="Palatino Linotype" w:hAnsi="Garamond" w:cs="Arial"/>
          <w:sz w:val="24"/>
          <w:szCs w:val="24"/>
          <w:lang w:val="pt-PT"/>
        </w:rPr>
        <w:t>deve</w:t>
      </w:r>
      <w:r w:rsidR="00870B0E" w:rsidRPr="003A1174">
        <w:rPr>
          <w:rFonts w:ascii="Garamond" w:eastAsia="Palatino Linotype" w:hAnsi="Garamond" w:cs="Arial"/>
          <w:sz w:val="24"/>
          <w:szCs w:val="24"/>
          <w:lang w:val="pt-PT"/>
        </w:rPr>
        <w:t xml:space="preserve">m </w:t>
      </w:r>
      <w:r w:rsidR="00CA39B2" w:rsidRPr="003A1174">
        <w:rPr>
          <w:rFonts w:ascii="Garamond" w:eastAsia="Palatino Linotype" w:hAnsi="Garamond" w:cs="Arial"/>
          <w:sz w:val="24"/>
          <w:szCs w:val="24"/>
          <w:lang w:val="pt-PT"/>
        </w:rPr>
        <w:t>dese</w:t>
      </w:r>
      <w:r w:rsidR="00870B0E" w:rsidRPr="003A1174">
        <w:rPr>
          <w:rFonts w:ascii="Garamond" w:eastAsia="Palatino Linotype" w:hAnsi="Garamond" w:cs="Arial"/>
          <w:sz w:val="24"/>
          <w:szCs w:val="24"/>
          <w:lang w:val="pt-PT"/>
        </w:rPr>
        <w:t>mpenhar</w:t>
      </w:r>
      <w:r w:rsidR="00287EAE" w:rsidRPr="003A1174">
        <w:rPr>
          <w:rFonts w:ascii="Garamond" w:eastAsia="Palatino Linotype" w:hAnsi="Garamond" w:cs="Arial"/>
          <w:sz w:val="24"/>
          <w:szCs w:val="24"/>
          <w:lang w:val="pt-PT"/>
        </w:rPr>
        <w:t>;</w:t>
      </w:r>
      <w:r w:rsidR="00F95978" w:rsidRPr="003A1174">
        <w:rPr>
          <w:rFonts w:ascii="Garamond" w:eastAsia="Palatino Linotype" w:hAnsi="Garamond" w:cs="Arial"/>
          <w:sz w:val="24"/>
          <w:szCs w:val="24"/>
          <w:lang w:val="pt-PT"/>
        </w:rPr>
        <w:t xml:space="preserve"> </w:t>
      </w:r>
      <w:r w:rsidR="0074243F" w:rsidRPr="003A1174">
        <w:rPr>
          <w:rFonts w:ascii="Garamond" w:eastAsia="Palatino Linotype" w:hAnsi="Garamond" w:cs="Arial"/>
          <w:sz w:val="24"/>
          <w:szCs w:val="24"/>
          <w:lang w:val="pt-PT"/>
        </w:rPr>
        <w:t>mas</w:t>
      </w:r>
      <w:r w:rsidR="00325437">
        <w:rPr>
          <w:rFonts w:ascii="Garamond" w:eastAsia="Palatino Linotype" w:hAnsi="Garamond" w:cs="Arial"/>
          <w:sz w:val="24"/>
          <w:szCs w:val="24"/>
          <w:lang w:val="pt-PT"/>
        </w:rPr>
        <w:t>,</w:t>
      </w:r>
      <w:r w:rsidR="00F95978" w:rsidRPr="003A1174">
        <w:rPr>
          <w:rFonts w:ascii="Garamond" w:eastAsia="Palatino Linotype" w:hAnsi="Garamond" w:cs="Arial"/>
          <w:sz w:val="24"/>
          <w:szCs w:val="24"/>
          <w:lang w:val="pt-PT"/>
        </w:rPr>
        <w:t xml:space="preserve"> como ante</w:t>
      </w:r>
      <w:r w:rsidR="00325437">
        <w:rPr>
          <w:rFonts w:ascii="Garamond" w:eastAsia="Palatino Linotype" w:hAnsi="Garamond" w:cs="Arial"/>
          <w:sz w:val="24"/>
          <w:szCs w:val="24"/>
          <w:lang w:val="pt-PT"/>
        </w:rPr>
        <w:t>riormente</w:t>
      </w:r>
      <w:r w:rsidR="00F95978" w:rsidRPr="003A1174">
        <w:rPr>
          <w:rFonts w:ascii="Garamond" w:eastAsia="Palatino Linotype" w:hAnsi="Garamond" w:cs="Arial"/>
          <w:sz w:val="24"/>
          <w:szCs w:val="24"/>
          <w:lang w:val="pt-PT"/>
        </w:rPr>
        <w:t xml:space="preserve"> se </w:t>
      </w:r>
      <w:r w:rsidR="00870B0E" w:rsidRPr="003A1174">
        <w:rPr>
          <w:rFonts w:ascii="Garamond" w:eastAsia="Palatino Linotype" w:hAnsi="Garamond" w:cs="Arial"/>
          <w:sz w:val="24"/>
          <w:szCs w:val="24"/>
          <w:lang w:val="pt-PT"/>
        </w:rPr>
        <w:t>referiu</w:t>
      </w:r>
      <w:r w:rsidR="00287EAE" w:rsidRPr="003A1174">
        <w:rPr>
          <w:rFonts w:ascii="Garamond" w:eastAsia="Palatino Linotype" w:hAnsi="Garamond" w:cs="Arial"/>
          <w:sz w:val="24"/>
          <w:szCs w:val="24"/>
          <w:lang w:val="pt-PT"/>
        </w:rPr>
        <w:t>,</w:t>
      </w:r>
      <w:r w:rsidR="00F95978" w:rsidRPr="003A1174">
        <w:rPr>
          <w:rFonts w:ascii="Garamond" w:eastAsia="Palatino Linotype" w:hAnsi="Garamond" w:cs="Arial"/>
          <w:sz w:val="24"/>
          <w:szCs w:val="24"/>
          <w:lang w:val="pt-PT"/>
        </w:rPr>
        <w:t xml:space="preserve"> n</w:t>
      </w:r>
      <w:r w:rsidR="00850D21" w:rsidRPr="003A1174">
        <w:rPr>
          <w:rFonts w:ascii="Garamond" w:eastAsia="Palatino Linotype" w:hAnsi="Garamond" w:cs="Arial"/>
          <w:sz w:val="24"/>
          <w:szCs w:val="24"/>
          <w:lang w:val="pt-PT"/>
        </w:rPr>
        <w:t>ã</w:t>
      </w:r>
      <w:r w:rsidR="00F95978" w:rsidRPr="003A1174">
        <w:rPr>
          <w:rFonts w:ascii="Garamond" w:eastAsia="Palatino Linotype" w:hAnsi="Garamond" w:cs="Arial"/>
          <w:sz w:val="24"/>
          <w:szCs w:val="24"/>
          <w:lang w:val="pt-PT"/>
        </w:rPr>
        <w:t xml:space="preserve">o </w:t>
      </w:r>
      <w:r w:rsidR="007A2492" w:rsidRPr="003A1174">
        <w:rPr>
          <w:rFonts w:ascii="Garamond" w:eastAsia="Palatino Linotype" w:hAnsi="Garamond" w:cs="Arial"/>
          <w:sz w:val="24"/>
          <w:szCs w:val="24"/>
          <w:lang w:val="pt-PT"/>
        </w:rPr>
        <w:t>tem</w:t>
      </w:r>
      <w:r w:rsidR="00287EAE" w:rsidRPr="003A1174">
        <w:rPr>
          <w:rFonts w:ascii="Garamond" w:eastAsia="Palatino Linotype" w:hAnsi="Garamond" w:cs="Arial"/>
          <w:sz w:val="24"/>
          <w:szCs w:val="24"/>
          <w:lang w:val="pt-PT"/>
        </w:rPr>
        <w:t xml:space="preserve"> </w:t>
      </w:r>
      <w:r w:rsidR="00F95978" w:rsidRPr="003A1174">
        <w:rPr>
          <w:rFonts w:ascii="Garamond" w:eastAsia="Palatino Linotype" w:hAnsi="Garamond" w:cs="Arial"/>
          <w:sz w:val="24"/>
          <w:szCs w:val="24"/>
          <w:lang w:val="pt-PT"/>
        </w:rPr>
        <w:t>meno</w:t>
      </w:r>
      <w:r w:rsidR="00325437">
        <w:rPr>
          <w:rFonts w:ascii="Garamond" w:eastAsia="Palatino Linotype" w:hAnsi="Garamond" w:cs="Arial"/>
          <w:sz w:val="24"/>
          <w:szCs w:val="24"/>
          <w:lang w:val="pt-PT"/>
        </w:rPr>
        <w:t>s</w:t>
      </w:r>
      <w:r w:rsidR="00F95978" w:rsidRPr="003A1174">
        <w:rPr>
          <w:rFonts w:ascii="Garamond" w:eastAsia="Palatino Linotype" w:hAnsi="Garamond" w:cs="Arial"/>
          <w:sz w:val="24"/>
          <w:szCs w:val="24"/>
          <w:lang w:val="pt-PT"/>
        </w:rPr>
        <w:t xml:space="preserve"> </w:t>
      </w:r>
      <w:r w:rsidR="00983C71" w:rsidRPr="003A1174">
        <w:rPr>
          <w:rFonts w:ascii="Garamond" w:eastAsia="Palatino Linotype" w:hAnsi="Garamond" w:cs="Arial"/>
          <w:sz w:val="24"/>
          <w:szCs w:val="24"/>
          <w:lang w:val="pt-PT"/>
        </w:rPr>
        <w:t>gravidade</w:t>
      </w:r>
      <w:r w:rsidR="00F95978" w:rsidRPr="003A1174">
        <w:rPr>
          <w:rFonts w:ascii="Garamond" w:eastAsia="Palatino Linotype" w:hAnsi="Garamond" w:cs="Arial"/>
          <w:sz w:val="24"/>
          <w:szCs w:val="24"/>
          <w:lang w:val="pt-PT"/>
        </w:rPr>
        <w:t xml:space="preserve"> </w:t>
      </w:r>
      <w:r w:rsidR="00850D21" w:rsidRPr="003A1174">
        <w:rPr>
          <w:rFonts w:ascii="Garamond" w:eastAsia="Palatino Linotype" w:hAnsi="Garamond" w:cs="Arial"/>
          <w:sz w:val="24"/>
          <w:szCs w:val="24"/>
          <w:lang w:val="pt-PT"/>
        </w:rPr>
        <w:t>d</w:t>
      </w:r>
      <w:r w:rsidR="0002369B">
        <w:rPr>
          <w:rFonts w:ascii="Garamond" w:eastAsia="Palatino Linotype" w:hAnsi="Garamond" w:cs="Arial"/>
          <w:sz w:val="24"/>
          <w:szCs w:val="24"/>
          <w:lang w:val="pt-PT"/>
        </w:rPr>
        <w:t>o</w:t>
      </w:r>
      <w:r w:rsidR="00850D21" w:rsidRPr="003A1174">
        <w:rPr>
          <w:rFonts w:ascii="Garamond" w:eastAsia="Palatino Linotype" w:hAnsi="Garamond" w:cs="Arial"/>
          <w:sz w:val="24"/>
          <w:szCs w:val="24"/>
          <w:lang w:val="pt-PT"/>
        </w:rPr>
        <w:t xml:space="preserve"> </w:t>
      </w:r>
      <w:r w:rsidR="00F95978" w:rsidRPr="003A1174">
        <w:rPr>
          <w:rFonts w:ascii="Garamond" w:eastAsia="Palatino Linotype" w:hAnsi="Garamond" w:cs="Arial"/>
          <w:sz w:val="24"/>
          <w:szCs w:val="24"/>
          <w:lang w:val="pt-PT"/>
        </w:rPr>
        <w:t>que</w:t>
      </w:r>
      <w:r w:rsidR="0002369B">
        <w:rPr>
          <w:rFonts w:ascii="Garamond" w:eastAsia="Palatino Linotype" w:hAnsi="Garamond" w:cs="Arial"/>
          <w:sz w:val="24"/>
          <w:szCs w:val="24"/>
          <w:lang w:val="pt-PT"/>
        </w:rPr>
        <w:t xml:space="preserve"> aquela que se verifica n</w:t>
      </w:r>
      <w:r w:rsidR="00850D21" w:rsidRPr="003A1174">
        <w:rPr>
          <w:rFonts w:ascii="Garamond" w:eastAsia="Palatino Linotype" w:hAnsi="Garamond" w:cs="Arial"/>
          <w:sz w:val="24"/>
          <w:szCs w:val="24"/>
          <w:lang w:val="pt-PT"/>
        </w:rPr>
        <w:t xml:space="preserve">o </w:t>
      </w:r>
      <w:r w:rsidR="00F95978" w:rsidRPr="003A1174">
        <w:rPr>
          <w:rFonts w:ascii="Garamond" w:eastAsia="Palatino Linotype" w:hAnsi="Garamond" w:cs="Arial"/>
          <w:sz w:val="24"/>
          <w:szCs w:val="24"/>
          <w:lang w:val="pt-PT"/>
        </w:rPr>
        <w:t xml:space="preserve">conjunto </w:t>
      </w:r>
      <w:r w:rsidR="00E85E59" w:rsidRPr="003A1174">
        <w:rPr>
          <w:rFonts w:ascii="Garamond" w:eastAsia="Palatino Linotype" w:hAnsi="Garamond" w:cs="Arial"/>
          <w:sz w:val="24"/>
          <w:szCs w:val="24"/>
          <w:lang w:val="pt-PT"/>
        </w:rPr>
        <w:t>do</w:t>
      </w:r>
      <w:r w:rsidR="00F95978" w:rsidRPr="003A1174">
        <w:rPr>
          <w:rFonts w:ascii="Garamond" w:eastAsia="Palatino Linotype" w:hAnsi="Garamond" w:cs="Arial"/>
          <w:sz w:val="24"/>
          <w:szCs w:val="24"/>
          <w:lang w:val="pt-PT"/>
        </w:rPr>
        <w:t xml:space="preserve"> apar</w:t>
      </w:r>
      <w:r w:rsidR="00850D21" w:rsidRPr="003A1174">
        <w:rPr>
          <w:rFonts w:ascii="Garamond" w:eastAsia="Palatino Linotype" w:hAnsi="Garamond" w:cs="Arial"/>
          <w:sz w:val="24"/>
          <w:szCs w:val="24"/>
          <w:lang w:val="pt-PT"/>
        </w:rPr>
        <w:t xml:space="preserve">elho </w:t>
      </w:r>
      <w:r w:rsidR="00F95978" w:rsidRPr="003A1174">
        <w:rPr>
          <w:rFonts w:ascii="Garamond" w:eastAsia="Palatino Linotype" w:hAnsi="Garamond" w:cs="Arial"/>
          <w:sz w:val="24"/>
          <w:szCs w:val="24"/>
          <w:lang w:val="pt-PT"/>
        </w:rPr>
        <w:t>estatal</w:t>
      </w:r>
      <w:r w:rsidR="0002369B">
        <w:rPr>
          <w:rFonts w:ascii="Garamond" w:eastAsia="Palatino Linotype" w:hAnsi="Garamond" w:cs="Arial"/>
          <w:sz w:val="24"/>
          <w:szCs w:val="24"/>
          <w:lang w:val="pt-PT"/>
        </w:rPr>
        <w:t>,</w:t>
      </w:r>
      <w:r w:rsidR="00F95978" w:rsidRPr="003A1174">
        <w:rPr>
          <w:rFonts w:ascii="Garamond" w:eastAsia="Palatino Linotype" w:hAnsi="Garamond" w:cs="Arial"/>
          <w:sz w:val="24"/>
          <w:szCs w:val="24"/>
          <w:lang w:val="pt-PT"/>
        </w:rPr>
        <w:t xml:space="preserve"> </w:t>
      </w:r>
      <w:r w:rsidR="0002369B">
        <w:rPr>
          <w:rFonts w:ascii="Garamond" w:eastAsia="Palatino Linotype" w:hAnsi="Garamond" w:cs="Arial"/>
          <w:sz w:val="24"/>
          <w:szCs w:val="24"/>
          <w:lang w:val="pt-PT"/>
        </w:rPr>
        <w:t xml:space="preserve">que </w:t>
      </w:r>
      <w:r w:rsidR="00F95978" w:rsidRPr="003A1174">
        <w:rPr>
          <w:rFonts w:ascii="Garamond" w:eastAsia="Palatino Linotype" w:hAnsi="Garamond" w:cs="Arial"/>
          <w:sz w:val="24"/>
          <w:szCs w:val="24"/>
          <w:lang w:val="pt-PT"/>
        </w:rPr>
        <w:t>n</w:t>
      </w:r>
      <w:r w:rsidR="00850D21" w:rsidRPr="003A1174">
        <w:rPr>
          <w:rFonts w:ascii="Garamond" w:eastAsia="Palatino Linotype" w:hAnsi="Garamond" w:cs="Arial"/>
          <w:sz w:val="24"/>
          <w:szCs w:val="24"/>
          <w:lang w:val="pt-PT"/>
        </w:rPr>
        <w:t>ã</w:t>
      </w:r>
      <w:r w:rsidR="00F95978" w:rsidRPr="003A1174">
        <w:rPr>
          <w:rFonts w:ascii="Garamond" w:eastAsia="Palatino Linotype" w:hAnsi="Garamond" w:cs="Arial"/>
          <w:sz w:val="24"/>
          <w:szCs w:val="24"/>
          <w:lang w:val="pt-PT"/>
        </w:rPr>
        <w:t xml:space="preserve">o </w:t>
      </w:r>
      <w:r w:rsidR="00850D21" w:rsidRPr="003A1174">
        <w:rPr>
          <w:rFonts w:ascii="Garamond" w:eastAsia="Palatino Linotype" w:hAnsi="Garamond" w:cs="Arial"/>
          <w:sz w:val="24"/>
          <w:szCs w:val="24"/>
          <w:lang w:val="pt-PT"/>
        </w:rPr>
        <w:t>atu</w:t>
      </w:r>
      <w:r w:rsidR="00325437">
        <w:rPr>
          <w:rFonts w:ascii="Garamond" w:eastAsia="Palatino Linotype" w:hAnsi="Garamond" w:cs="Arial"/>
          <w:sz w:val="24"/>
          <w:szCs w:val="24"/>
          <w:lang w:val="pt-PT"/>
        </w:rPr>
        <w:t>a,</w:t>
      </w:r>
      <w:r w:rsidR="00850D21" w:rsidRPr="003A1174">
        <w:rPr>
          <w:rFonts w:ascii="Garamond" w:eastAsia="Palatino Linotype" w:hAnsi="Garamond" w:cs="Arial"/>
          <w:sz w:val="24"/>
          <w:szCs w:val="24"/>
          <w:lang w:val="pt-PT"/>
        </w:rPr>
        <w:t xml:space="preserve"> </w:t>
      </w:r>
      <w:r w:rsidR="00D37CF3" w:rsidRPr="003A1174">
        <w:rPr>
          <w:rFonts w:ascii="Garamond" w:eastAsia="Palatino Linotype" w:hAnsi="Garamond" w:cs="Arial"/>
          <w:sz w:val="24"/>
          <w:szCs w:val="24"/>
          <w:lang w:val="pt-PT"/>
        </w:rPr>
        <w:t>ativa</w:t>
      </w:r>
      <w:r w:rsidR="004B26E4" w:rsidRPr="003A1174">
        <w:rPr>
          <w:rFonts w:ascii="Garamond" w:eastAsia="Palatino Linotype" w:hAnsi="Garamond" w:cs="Arial"/>
          <w:sz w:val="24"/>
          <w:szCs w:val="24"/>
          <w:lang w:val="pt-PT"/>
        </w:rPr>
        <w:t xml:space="preserve"> </w:t>
      </w:r>
      <w:r w:rsidR="000672E8" w:rsidRPr="003A1174">
        <w:rPr>
          <w:rFonts w:ascii="Garamond" w:eastAsia="Palatino Linotype" w:hAnsi="Garamond" w:cs="Arial"/>
          <w:sz w:val="24"/>
          <w:szCs w:val="24"/>
          <w:lang w:val="pt-PT"/>
        </w:rPr>
        <w:t>e</w:t>
      </w:r>
      <w:r w:rsidR="004B26E4" w:rsidRPr="003A1174">
        <w:rPr>
          <w:rFonts w:ascii="Garamond" w:eastAsia="Palatino Linotype" w:hAnsi="Garamond" w:cs="Arial"/>
          <w:sz w:val="24"/>
          <w:szCs w:val="24"/>
          <w:lang w:val="pt-PT"/>
        </w:rPr>
        <w:t xml:space="preserve"> relevante</w:t>
      </w:r>
      <w:r w:rsidR="00F95978" w:rsidRPr="003A1174">
        <w:rPr>
          <w:rFonts w:ascii="Garamond" w:eastAsia="Palatino Linotype" w:hAnsi="Garamond" w:cs="Arial"/>
          <w:sz w:val="24"/>
          <w:szCs w:val="24"/>
          <w:lang w:val="pt-PT"/>
        </w:rPr>
        <w:t>mente</w:t>
      </w:r>
      <w:r w:rsidR="004B26E4" w:rsidRPr="003A1174">
        <w:rPr>
          <w:rFonts w:ascii="Garamond" w:eastAsia="Palatino Linotype" w:hAnsi="Garamond" w:cs="Arial"/>
          <w:sz w:val="24"/>
          <w:szCs w:val="24"/>
          <w:lang w:val="pt-PT"/>
        </w:rPr>
        <w:t>,</w:t>
      </w:r>
      <w:r w:rsidR="00F95978" w:rsidRPr="003A1174">
        <w:rPr>
          <w:rFonts w:ascii="Garamond" w:eastAsia="Palatino Linotype" w:hAnsi="Garamond" w:cs="Arial"/>
          <w:sz w:val="24"/>
          <w:szCs w:val="24"/>
          <w:lang w:val="pt-PT"/>
        </w:rPr>
        <w:t xml:space="preserve"> e</w:t>
      </w:r>
      <w:r w:rsidR="00850D21" w:rsidRPr="003A1174">
        <w:rPr>
          <w:rFonts w:ascii="Garamond" w:eastAsia="Palatino Linotype" w:hAnsi="Garamond" w:cs="Arial"/>
          <w:sz w:val="24"/>
          <w:szCs w:val="24"/>
          <w:lang w:val="pt-PT"/>
        </w:rPr>
        <w:t xml:space="preserve">m </w:t>
      </w:r>
      <w:r w:rsidR="00F95978" w:rsidRPr="003A1174">
        <w:rPr>
          <w:rFonts w:ascii="Garamond" w:eastAsia="Palatino Linotype" w:hAnsi="Garamond" w:cs="Arial"/>
          <w:sz w:val="24"/>
          <w:szCs w:val="24"/>
          <w:lang w:val="pt-PT"/>
        </w:rPr>
        <w:t>conformidad</w:t>
      </w:r>
      <w:r w:rsidR="00850D21" w:rsidRPr="003A1174">
        <w:rPr>
          <w:rFonts w:ascii="Garamond" w:eastAsia="Palatino Linotype" w:hAnsi="Garamond" w:cs="Arial"/>
          <w:sz w:val="24"/>
          <w:szCs w:val="24"/>
          <w:lang w:val="pt-PT"/>
        </w:rPr>
        <w:t>e</w:t>
      </w:r>
      <w:r w:rsidR="00F95978" w:rsidRPr="003A1174">
        <w:rPr>
          <w:rFonts w:ascii="Garamond" w:eastAsia="Palatino Linotype" w:hAnsi="Garamond" w:cs="Arial"/>
          <w:sz w:val="24"/>
          <w:szCs w:val="24"/>
          <w:lang w:val="pt-PT"/>
        </w:rPr>
        <w:t xml:space="preserve"> co</w:t>
      </w:r>
      <w:r w:rsidR="00850D21" w:rsidRPr="003A1174">
        <w:rPr>
          <w:rFonts w:ascii="Garamond" w:eastAsia="Palatino Linotype" w:hAnsi="Garamond" w:cs="Arial"/>
          <w:sz w:val="24"/>
          <w:szCs w:val="24"/>
          <w:lang w:val="pt-PT"/>
        </w:rPr>
        <w:t>m os objetivos d</w:t>
      </w:r>
      <w:r w:rsidR="00F95978" w:rsidRPr="003A1174">
        <w:rPr>
          <w:rFonts w:ascii="Garamond" w:eastAsia="Palatino Linotype" w:hAnsi="Garamond" w:cs="Arial"/>
          <w:sz w:val="24"/>
          <w:szCs w:val="24"/>
          <w:lang w:val="pt-PT"/>
        </w:rPr>
        <w:t xml:space="preserve">a </w:t>
      </w:r>
      <w:r w:rsidR="007578C6" w:rsidRPr="003A1174">
        <w:rPr>
          <w:rFonts w:ascii="Garamond" w:eastAsia="Palatino Linotype" w:hAnsi="Garamond" w:cs="Arial"/>
          <w:sz w:val="24"/>
          <w:szCs w:val="24"/>
          <w:lang w:val="pt-PT"/>
        </w:rPr>
        <w:t>prevenção</w:t>
      </w:r>
      <w:r w:rsidR="00F95978" w:rsidRPr="003A1174">
        <w:rPr>
          <w:rFonts w:ascii="Garamond" w:eastAsia="Palatino Linotype" w:hAnsi="Garamond" w:cs="Arial"/>
          <w:sz w:val="24"/>
          <w:szCs w:val="24"/>
          <w:lang w:val="pt-PT"/>
        </w:rPr>
        <w:t xml:space="preserve">, </w:t>
      </w:r>
      <w:r w:rsidR="00FC4727" w:rsidRPr="003A1174">
        <w:rPr>
          <w:rFonts w:ascii="Garamond" w:eastAsia="Palatino Linotype" w:hAnsi="Garamond" w:cs="Arial"/>
          <w:sz w:val="24"/>
          <w:szCs w:val="24"/>
          <w:lang w:val="pt-PT"/>
        </w:rPr>
        <w:t>punição</w:t>
      </w:r>
      <w:r w:rsidR="00F95978" w:rsidRPr="003A1174">
        <w:rPr>
          <w:rFonts w:ascii="Garamond" w:eastAsia="Palatino Linotype" w:hAnsi="Garamond" w:cs="Arial"/>
          <w:sz w:val="24"/>
          <w:szCs w:val="24"/>
          <w:lang w:val="pt-PT"/>
        </w:rPr>
        <w:t xml:space="preserve"> </w:t>
      </w:r>
      <w:r w:rsidR="000672E8" w:rsidRPr="003A1174">
        <w:rPr>
          <w:rFonts w:ascii="Garamond" w:eastAsia="Palatino Linotype" w:hAnsi="Garamond" w:cs="Arial"/>
          <w:sz w:val="24"/>
          <w:szCs w:val="24"/>
          <w:lang w:val="pt-PT"/>
        </w:rPr>
        <w:t>e</w:t>
      </w:r>
      <w:r w:rsidR="00F95978" w:rsidRPr="003A1174">
        <w:rPr>
          <w:rFonts w:ascii="Garamond" w:eastAsia="Palatino Linotype" w:hAnsi="Garamond" w:cs="Arial"/>
          <w:sz w:val="24"/>
          <w:szCs w:val="24"/>
          <w:lang w:val="pt-PT"/>
        </w:rPr>
        <w:t xml:space="preserve"> </w:t>
      </w:r>
      <w:r w:rsidR="00C30647" w:rsidRPr="003A1174">
        <w:rPr>
          <w:rFonts w:ascii="Garamond" w:eastAsia="Palatino Linotype" w:hAnsi="Garamond" w:cs="Arial"/>
          <w:sz w:val="24"/>
          <w:szCs w:val="24"/>
          <w:lang w:val="pt-PT"/>
        </w:rPr>
        <w:t>erradicação</w:t>
      </w:r>
      <w:r w:rsidR="00850D21" w:rsidRPr="003A1174">
        <w:rPr>
          <w:rFonts w:ascii="Garamond" w:eastAsia="Palatino Linotype" w:hAnsi="Garamond" w:cs="Arial"/>
          <w:sz w:val="24"/>
          <w:szCs w:val="24"/>
          <w:lang w:val="pt-PT"/>
        </w:rPr>
        <w:t xml:space="preserve"> d</w:t>
      </w:r>
      <w:r w:rsidR="00F95978" w:rsidRPr="003A1174">
        <w:rPr>
          <w:rFonts w:ascii="Garamond" w:eastAsia="Palatino Linotype" w:hAnsi="Garamond" w:cs="Arial"/>
          <w:sz w:val="24"/>
          <w:szCs w:val="24"/>
          <w:lang w:val="pt-PT"/>
        </w:rPr>
        <w:t xml:space="preserve">a </w:t>
      </w:r>
      <w:r w:rsidR="000350B1" w:rsidRPr="003A1174">
        <w:rPr>
          <w:rFonts w:ascii="Garamond" w:eastAsia="Palatino Linotype" w:hAnsi="Garamond" w:cs="Arial"/>
          <w:sz w:val="24"/>
          <w:szCs w:val="24"/>
          <w:lang w:val="pt-PT"/>
        </w:rPr>
        <w:t>violência</w:t>
      </w:r>
      <w:r w:rsidR="00F95978" w:rsidRPr="003A1174">
        <w:rPr>
          <w:rFonts w:ascii="Garamond" w:eastAsia="Palatino Linotype" w:hAnsi="Garamond" w:cs="Arial"/>
          <w:sz w:val="24"/>
          <w:szCs w:val="24"/>
          <w:lang w:val="pt-PT"/>
        </w:rPr>
        <w:t xml:space="preserve"> </w:t>
      </w:r>
      <w:r w:rsidR="00BB2B00" w:rsidRPr="003A1174">
        <w:rPr>
          <w:rFonts w:ascii="Garamond" w:eastAsia="Palatino Linotype" w:hAnsi="Garamond" w:cs="Arial"/>
          <w:sz w:val="24"/>
          <w:szCs w:val="24"/>
          <w:lang w:val="pt-PT"/>
        </w:rPr>
        <w:t>contra a</w:t>
      </w:r>
      <w:r w:rsidR="00F95978" w:rsidRPr="003A1174">
        <w:rPr>
          <w:rFonts w:ascii="Garamond" w:eastAsia="Palatino Linotype" w:hAnsi="Garamond" w:cs="Arial"/>
          <w:sz w:val="24"/>
          <w:szCs w:val="24"/>
          <w:lang w:val="pt-PT"/>
        </w:rPr>
        <w:t xml:space="preserve">s </w:t>
      </w:r>
      <w:r w:rsidR="00054EE0" w:rsidRPr="003A1174">
        <w:rPr>
          <w:rFonts w:ascii="Garamond" w:eastAsia="Palatino Linotype" w:hAnsi="Garamond" w:cs="Arial"/>
          <w:sz w:val="24"/>
          <w:szCs w:val="24"/>
          <w:lang w:val="pt-PT"/>
        </w:rPr>
        <w:t>mulheres</w:t>
      </w:r>
      <w:r w:rsidR="00F95978" w:rsidRPr="003A1174">
        <w:rPr>
          <w:rFonts w:ascii="Garamond" w:eastAsia="Palatino Linotype" w:hAnsi="Garamond" w:cs="Arial"/>
          <w:sz w:val="24"/>
          <w:szCs w:val="24"/>
          <w:lang w:val="pt-PT"/>
        </w:rPr>
        <w:t>.</w:t>
      </w:r>
    </w:p>
    <w:p w:rsidR="00CF5971" w:rsidRPr="003A1174" w:rsidRDefault="00850D21" w:rsidP="00850D21">
      <w:pPr>
        <w:pStyle w:val="Prrafodelista"/>
        <w:numPr>
          <w:ilvl w:val="0"/>
          <w:numId w:val="44"/>
        </w:numPr>
        <w:spacing w:before="240" w:line="240" w:lineRule="auto"/>
        <w:jc w:val="both"/>
        <w:rPr>
          <w:rFonts w:ascii="Garamond" w:hAnsi="Garamond" w:cs="Arial"/>
          <w:sz w:val="24"/>
          <w:szCs w:val="24"/>
          <w:lang w:val="pt-PT"/>
        </w:rPr>
      </w:pPr>
      <w:r w:rsidRPr="003A1174">
        <w:rPr>
          <w:rFonts w:ascii="Garamond" w:hAnsi="Garamond" w:cs="Arial"/>
          <w:sz w:val="24"/>
          <w:szCs w:val="24"/>
          <w:lang w:val="pt-PT"/>
        </w:rPr>
        <w:t xml:space="preserve">Relativamente ao </w:t>
      </w:r>
      <w:r w:rsidR="0002369B">
        <w:rPr>
          <w:rFonts w:ascii="Garamond" w:hAnsi="Garamond" w:cs="Arial"/>
          <w:sz w:val="24"/>
          <w:szCs w:val="24"/>
          <w:lang w:val="pt-PT"/>
        </w:rPr>
        <w:t xml:space="preserve">atrás </w:t>
      </w:r>
      <w:r w:rsidRPr="003A1174">
        <w:rPr>
          <w:rFonts w:ascii="Garamond" w:hAnsi="Garamond" w:cs="Arial"/>
          <w:sz w:val="24"/>
          <w:szCs w:val="24"/>
          <w:lang w:val="pt-PT"/>
        </w:rPr>
        <w:t xml:space="preserve">referido, é </w:t>
      </w:r>
      <w:r w:rsidR="00287EAE" w:rsidRPr="003A1174">
        <w:rPr>
          <w:rFonts w:ascii="Garamond" w:hAnsi="Garamond" w:cs="Arial"/>
          <w:sz w:val="24"/>
          <w:szCs w:val="24"/>
          <w:lang w:val="pt-PT"/>
        </w:rPr>
        <w:t>oportuno</w:t>
      </w:r>
      <w:r w:rsidRPr="003A1174">
        <w:rPr>
          <w:rFonts w:ascii="Garamond" w:hAnsi="Garamond" w:cs="Arial"/>
          <w:sz w:val="24"/>
          <w:szCs w:val="24"/>
          <w:lang w:val="pt-PT"/>
        </w:rPr>
        <w:t xml:space="preserve"> recordar</w:t>
      </w:r>
      <w:r w:rsidR="0002369B">
        <w:rPr>
          <w:rFonts w:ascii="Garamond" w:hAnsi="Garamond" w:cs="Arial"/>
          <w:sz w:val="24"/>
          <w:szCs w:val="24"/>
          <w:lang w:val="pt-PT"/>
        </w:rPr>
        <w:t>,</w:t>
      </w:r>
      <w:r w:rsidRPr="003A1174">
        <w:rPr>
          <w:rFonts w:ascii="Garamond" w:hAnsi="Garamond" w:cs="Arial"/>
          <w:sz w:val="24"/>
          <w:szCs w:val="24"/>
          <w:lang w:val="pt-PT"/>
        </w:rPr>
        <w:t xml:space="preserve"> que </w:t>
      </w:r>
      <w:r w:rsidR="004B26E4" w:rsidRPr="003A1174">
        <w:rPr>
          <w:rFonts w:ascii="Garamond" w:hAnsi="Garamond" w:cs="Arial"/>
          <w:sz w:val="24"/>
          <w:szCs w:val="24"/>
          <w:lang w:val="pt-PT"/>
        </w:rPr>
        <w:t xml:space="preserve">a </w:t>
      </w:r>
      <w:r w:rsidR="0017447A" w:rsidRPr="003A1174">
        <w:rPr>
          <w:rFonts w:ascii="Garamond" w:hAnsi="Garamond" w:cs="Arial"/>
          <w:sz w:val="24"/>
          <w:szCs w:val="24"/>
          <w:lang w:val="pt-PT"/>
        </w:rPr>
        <w:t>informação</w:t>
      </w:r>
      <w:r w:rsidR="004B26E4" w:rsidRPr="003A1174">
        <w:rPr>
          <w:rFonts w:ascii="Garamond" w:hAnsi="Garamond" w:cs="Arial"/>
          <w:sz w:val="24"/>
          <w:szCs w:val="24"/>
          <w:lang w:val="pt-PT"/>
        </w:rPr>
        <w:t xml:space="preserve"> </w:t>
      </w:r>
      <w:r w:rsidRPr="003A1174">
        <w:rPr>
          <w:rFonts w:ascii="Garamond" w:hAnsi="Garamond" w:cs="Arial"/>
          <w:sz w:val="24"/>
          <w:szCs w:val="24"/>
          <w:lang w:val="pt-PT"/>
        </w:rPr>
        <w:t xml:space="preserve">recolhida </w:t>
      </w:r>
      <w:r w:rsidR="0002369B">
        <w:rPr>
          <w:rFonts w:ascii="Garamond" w:hAnsi="Garamond" w:cs="Arial"/>
          <w:sz w:val="24"/>
          <w:szCs w:val="24"/>
          <w:lang w:val="pt-PT"/>
        </w:rPr>
        <w:t xml:space="preserve">demonstra </w:t>
      </w:r>
      <w:r w:rsidRPr="003A1174">
        <w:rPr>
          <w:rFonts w:ascii="Garamond" w:hAnsi="Garamond" w:cs="Arial"/>
          <w:sz w:val="24"/>
          <w:szCs w:val="24"/>
          <w:lang w:val="pt-PT"/>
        </w:rPr>
        <w:t xml:space="preserve">a </w:t>
      </w:r>
      <w:r w:rsidR="00CA39B2" w:rsidRPr="003A1174">
        <w:rPr>
          <w:rFonts w:ascii="Garamond" w:hAnsi="Garamond" w:cs="Arial"/>
          <w:sz w:val="24"/>
          <w:szCs w:val="24"/>
          <w:lang w:val="pt-PT"/>
        </w:rPr>
        <w:t>debilidad</w:t>
      </w:r>
      <w:r w:rsidRPr="003A1174">
        <w:rPr>
          <w:rFonts w:ascii="Garamond" w:hAnsi="Garamond" w:cs="Arial"/>
          <w:sz w:val="24"/>
          <w:szCs w:val="24"/>
          <w:lang w:val="pt-PT"/>
        </w:rPr>
        <w:t>e</w:t>
      </w:r>
      <w:r w:rsidR="00CA39B2"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CA39B2" w:rsidRPr="003A1174">
        <w:rPr>
          <w:rFonts w:ascii="Garamond" w:hAnsi="Garamond" w:cs="Arial"/>
          <w:sz w:val="24"/>
          <w:szCs w:val="24"/>
          <w:lang w:val="pt-PT"/>
        </w:rPr>
        <w:t xml:space="preserve"> </w:t>
      </w:r>
      <w:r w:rsidR="00B80F99" w:rsidRPr="003A1174">
        <w:rPr>
          <w:rFonts w:ascii="Garamond" w:hAnsi="Garamond" w:cs="Arial"/>
          <w:sz w:val="24"/>
          <w:szCs w:val="24"/>
          <w:lang w:val="pt-PT"/>
        </w:rPr>
        <w:t>investigações</w:t>
      </w:r>
      <w:r w:rsidR="0002369B">
        <w:rPr>
          <w:rFonts w:ascii="Garamond" w:hAnsi="Garamond" w:cs="Arial"/>
          <w:sz w:val="24"/>
          <w:szCs w:val="24"/>
          <w:lang w:val="pt-PT"/>
        </w:rPr>
        <w:t>,</w:t>
      </w:r>
      <w:r w:rsidR="00CA39B2" w:rsidRPr="003A1174">
        <w:rPr>
          <w:rFonts w:ascii="Garamond" w:hAnsi="Garamond" w:cs="Arial"/>
          <w:sz w:val="24"/>
          <w:szCs w:val="24"/>
          <w:lang w:val="pt-PT"/>
        </w:rPr>
        <w:t xml:space="preserve"> e</w:t>
      </w:r>
      <w:r w:rsidRPr="003A1174">
        <w:rPr>
          <w:rFonts w:ascii="Garamond" w:hAnsi="Garamond" w:cs="Arial"/>
          <w:sz w:val="24"/>
          <w:szCs w:val="24"/>
          <w:lang w:val="pt-PT"/>
        </w:rPr>
        <w:t>m</w:t>
      </w:r>
      <w:r w:rsidR="00CA39B2" w:rsidRPr="003A1174">
        <w:rPr>
          <w:rFonts w:ascii="Garamond" w:hAnsi="Garamond" w:cs="Arial"/>
          <w:sz w:val="24"/>
          <w:szCs w:val="24"/>
          <w:lang w:val="pt-PT"/>
        </w:rPr>
        <w:t xml:space="preserve"> </w:t>
      </w:r>
      <w:r w:rsidR="00EF645F" w:rsidRPr="003A1174">
        <w:rPr>
          <w:rFonts w:ascii="Garamond" w:hAnsi="Garamond" w:cs="Arial"/>
          <w:sz w:val="24"/>
          <w:szCs w:val="24"/>
          <w:lang w:val="pt-PT"/>
        </w:rPr>
        <w:t>matéria</w:t>
      </w:r>
      <w:r w:rsidR="00CA39B2" w:rsidRPr="003A1174">
        <w:rPr>
          <w:rFonts w:ascii="Garamond" w:hAnsi="Garamond" w:cs="Arial"/>
          <w:sz w:val="24"/>
          <w:szCs w:val="24"/>
          <w:lang w:val="pt-PT"/>
        </w:rPr>
        <w:t xml:space="preserve"> de </w:t>
      </w:r>
      <w:r w:rsidR="000350B1" w:rsidRPr="003A1174">
        <w:rPr>
          <w:rFonts w:ascii="Garamond" w:hAnsi="Garamond" w:cs="Arial"/>
          <w:sz w:val="24"/>
          <w:szCs w:val="24"/>
          <w:lang w:val="pt-PT"/>
        </w:rPr>
        <w:t>violência</w:t>
      </w:r>
      <w:r w:rsidR="00CA39B2" w:rsidRPr="003A1174">
        <w:rPr>
          <w:rFonts w:ascii="Garamond" w:hAnsi="Garamond" w:cs="Arial"/>
          <w:sz w:val="24"/>
          <w:szCs w:val="24"/>
          <w:lang w:val="pt-PT"/>
        </w:rPr>
        <w:t xml:space="preserve"> </w:t>
      </w:r>
      <w:r w:rsidR="00BB2B00" w:rsidRPr="003A1174">
        <w:rPr>
          <w:rFonts w:ascii="Garamond" w:hAnsi="Garamond" w:cs="Arial"/>
          <w:sz w:val="24"/>
          <w:szCs w:val="24"/>
          <w:lang w:val="pt-PT"/>
        </w:rPr>
        <w:t>contra a</w:t>
      </w:r>
      <w:r w:rsidR="00CA39B2"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Pr="003A1174">
        <w:rPr>
          <w:rFonts w:ascii="Garamond" w:hAnsi="Garamond" w:cs="Arial"/>
          <w:sz w:val="24"/>
          <w:szCs w:val="24"/>
          <w:lang w:val="pt-PT"/>
        </w:rPr>
        <w:t>, a insuficiê</w:t>
      </w:r>
      <w:r w:rsidR="00CA39B2" w:rsidRPr="003A1174">
        <w:rPr>
          <w:rFonts w:ascii="Garamond" w:hAnsi="Garamond" w:cs="Arial"/>
          <w:sz w:val="24"/>
          <w:szCs w:val="24"/>
          <w:lang w:val="pt-PT"/>
        </w:rPr>
        <w:t xml:space="preserve">ncia </w:t>
      </w:r>
      <w:r w:rsidR="00497503" w:rsidRPr="003A1174">
        <w:rPr>
          <w:rFonts w:ascii="Garamond" w:hAnsi="Garamond" w:cs="Arial"/>
          <w:sz w:val="24"/>
          <w:szCs w:val="24"/>
          <w:lang w:val="pt-PT"/>
        </w:rPr>
        <w:t>das</w:t>
      </w:r>
      <w:r w:rsidR="00CA39B2" w:rsidRPr="003A1174">
        <w:rPr>
          <w:rFonts w:ascii="Garamond" w:hAnsi="Garamond" w:cs="Arial"/>
          <w:sz w:val="24"/>
          <w:szCs w:val="24"/>
          <w:lang w:val="pt-PT"/>
        </w:rPr>
        <w:t xml:space="preserve"> medidas de </w:t>
      </w:r>
      <w:r w:rsidR="00886D6A" w:rsidRPr="003A1174">
        <w:rPr>
          <w:rFonts w:ascii="Garamond" w:hAnsi="Garamond" w:cs="Arial"/>
          <w:sz w:val="24"/>
          <w:szCs w:val="24"/>
          <w:lang w:val="pt-PT"/>
        </w:rPr>
        <w:t>proteção</w:t>
      </w:r>
      <w:r w:rsidRPr="003A1174">
        <w:rPr>
          <w:rFonts w:ascii="Garamond" w:hAnsi="Garamond" w:cs="Arial"/>
          <w:sz w:val="24"/>
          <w:szCs w:val="24"/>
          <w:lang w:val="pt-PT"/>
        </w:rPr>
        <w:t xml:space="preserve">, </w:t>
      </w:r>
      <w:r w:rsidR="00CA39B2" w:rsidRPr="003A1174">
        <w:rPr>
          <w:rFonts w:ascii="Garamond" w:hAnsi="Garamond" w:cs="Arial"/>
          <w:sz w:val="24"/>
          <w:szCs w:val="24"/>
          <w:lang w:val="pt-PT"/>
        </w:rPr>
        <w:t>a esca</w:t>
      </w:r>
      <w:r w:rsidRPr="003A1174">
        <w:rPr>
          <w:rFonts w:ascii="Garamond" w:hAnsi="Garamond" w:cs="Arial"/>
          <w:sz w:val="24"/>
          <w:szCs w:val="24"/>
          <w:lang w:val="pt-PT"/>
        </w:rPr>
        <w:t>s</w:t>
      </w:r>
      <w:r w:rsidR="00CA39B2" w:rsidRPr="003A1174">
        <w:rPr>
          <w:rFonts w:ascii="Garamond" w:hAnsi="Garamond" w:cs="Arial"/>
          <w:sz w:val="24"/>
          <w:szCs w:val="24"/>
          <w:lang w:val="pt-PT"/>
        </w:rPr>
        <w:t xml:space="preserve">sez de </w:t>
      </w:r>
      <w:r w:rsidR="003E1D8A" w:rsidRPr="003A1174">
        <w:rPr>
          <w:rFonts w:ascii="Garamond" w:hAnsi="Garamond" w:cs="Arial"/>
          <w:sz w:val="24"/>
          <w:szCs w:val="24"/>
          <w:lang w:val="pt-PT"/>
        </w:rPr>
        <w:t>sanções</w:t>
      </w:r>
      <w:r w:rsidR="00CA39B2"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A39B2" w:rsidRPr="003A1174">
        <w:rPr>
          <w:rFonts w:ascii="Garamond" w:hAnsi="Garamond" w:cs="Arial"/>
          <w:sz w:val="24"/>
          <w:szCs w:val="24"/>
          <w:lang w:val="pt-PT"/>
        </w:rPr>
        <w:t xml:space="preserve"> repara</w:t>
      </w:r>
      <w:r w:rsidRPr="003A1174">
        <w:rPr>
          <w:rFonts w:ascii="Garamond" w:hAnsi="Garamond" w:cs="Arial"/>
          <w:sz w:val="24"/>
          <w:szCs w:val="24"/>
          <w:lang w:val="pt-PT"/>
        </w:rPr>
        <w:t xml:space="preserve">ções </w:t>
      </w:r>
      <w:r w:rsidR="00501083" w:rsidRPr="003A1174">
        <w:rPr>
          <w:rFonts w:ascii="Garamond" w:hAnsi="Garamond" w:cs="Arial"/>
          <w:sz w:val="24"/>
          <w:szCs w:val="24"/>
          <w:lang w:val="pt-PT"/>
        </w:rPr>
        <w:t>adequada</w:t>
      </w:r>
      <w:r w:rsidR="00CA39B2" w:rsidRPr="003A1174">
        <w:rPr>
          <w:rFonts w:ascii="Garamond" w:hAnsi="Garamond" w:cs="Arial"/>
          <w:sz w:val="24"/>
          <w:szCs w:val="24"/>
          <w:lang w:val="pt-PT"/>
        </w:rPr>
        <w:t>s</w:t>
      </w:r>
      <w:r w:rsidR="004B26E4" w:rsidRPr="003A1174">
        <w:rPr>
          <w:rFonts w:ascii="Garamond" w:hAnsi="Garamond" w:cs="Arial"/>
          <w:sz w:val="24"/>
          <w:szCs w:val="24"/>
          <w:lang w:val="pt-PT"/>
        </w:rPr>
        <w:t xml:space="preserve">; </w:t>
      </w:r>
      <w:r w:rsidR="00276AFE">
        <w:rPr>
          <w:rFonts w:ascii="Garamond" w:hAnsi="Garamond" w:cs="Arial"/>
          <w:sz w:val="24"/>
          <w:szCs w:val="24"/>
          <w:lang w:val="pt-PT"/>
        </w:rPr>
        <w:t>a tudo isto</w:t>
      </w:r>
      <w:r w:rsidRPr="003A1174">
        <w:rPr>
          <w:rFonts w:ascii="Garamond" w:hAnsi="Garamond" w:cs="Arial"/>
          <w:sz w:val="24"/>
          <w:szCs w:val="24"/>
          <w:lang w:val="pt-PT"/>
        </w:rPr>
        <w:t xml:space="preserve"> acresce o </w:t>
      </w:r>
      <w:r w:rsidR="001647F2" w:rsidRPr="003A1174">
        <w:rPr>
          <w:rFonts w:ascii="Garamond" w:eastAsia="Palatino Linotype" w:hAnsi="Garamond" w:cs="Arial"/>
          <w:sz w:val="24"/>
          <w:szCs w:val="24"/>
          <w:lang w:val="pt-PT"/>
        </w:rPr>
        <w:t>facto</w:t>
      </w:r>
      <w:r w:rsidR="00287EAE" w:rsidRPr="003A1174">
        <w:rPr>
          <w:rFonts w:ascii="Garamond" w:eastAsia="Palatino Linotype" w:hAnsi="Garamond" w:cs="Arial"/>
          <w:sz w:val="24"/>
          <w:szCs w:val="24"/>
          <w:lang w:val="pt-PT"/>
        </w:rPr>
        <w:t xml:space="preserve"> de </w:t>
      </w:r>
      <w:r w:rsidR="007C5A79" w:rsidRPr="003A1174">
        <w:rPr>
          <w:rFonts w:ascii="Garamond" w:eastAsia="Palatino Linotype" w:hAnsi="Garamond" w:cs="Arial"/>
          <w:sz w:val="24"/>
          <w:szCs w:val="24"/>
          <w:lang w:val="pt-PT"/>
        </w:rPr>
        <w:t>que</w:t>
      </w:r>
      <w:r w:rsidR="00287EAE" w:rsidRPr="003A1174">
        <w:rPr>
          <w:rFonts w:ascii="Garamond" w:eastAsia="Palatino Linotype" w:hAnsi="Garamond" w:cs="Arial"/>
          <w:sz w:val="24"/>
          <w:szCs w:val="24"/>
          <w:lang w:val="pt-PT"/>
        </w:rPr>
        <w:t>,</w:t>
      </w:r>
      <w:r w:rsidRPr="003A1174">
        <w:rPr>
          <w:rFonts w:ascii="Garamond" w:eastAsia="Palatino Linotype" w:hAnsi="Garamond" w:cs="Arial"/>
          <w:sz w:val="24"/>
          <w:szCs w:val="24"/>
          <w:lang w:val="pt-PT"/>
        </w:rPr>
        <w:t xml:space="preserve"> </w:t>
      </w:r>
      <w:r w:rsidR="00077461" w:rsidRPr="003A1174">
        <w:rPr>
          <w:rFonts w:ascii="Garamond" w:eastAsia="Palatino Linotype" w:hAnsi="Garamond" w:cs="Arial"/>
          <w:sz w:val="24"/>
          <w:szCs w:val="24"/>
          <w:lang w:val="pt-PT"/>
        </w:rPr>
        <w:t>geral</w:t>
      </w:r>
      <w:r w:rsidRPr="003A1174">
        <w:rPr>
          <w:rFonts w:ascii="Garamond" w:eastAsia="Palatino Linotype" w:hAnsi="Garamond" w:cs="Arial"/>
          <w:sz w:val="24"/>
          <w:szCs w:val="24"/>
          <w:lang w:val="pt-PT"/>
        </w:rPr>
        <w:t>mente</w:t>
      </w:r>
      <w:r w:rsidR="00287EAE" w:rsidRPr="003A1174">
        <w:rPr>
          <w:rFonts w:ascii="Garamond" w:eastAsia="Palatino Linotype" w:hAnsi="Garamond" w:cs="Arial"/>
          <w:sz w:val="24"/>
          <w:szCs w:val="24"/>
          <w:lang w:val="pt-PT"/>
        </w:rPr>
        <w:t>,</w:t>
      </w:r>
      <w:r w:rsidR="007C5A79" w:rsidRPr="003A1174">
        <w:rPr>
          <w:rFonts w:ascii="Garamond" w:eastAsia="Palatino Linotype" w:hAnsi="Garamond" w:cs="Arial"/>
          <w:sz w:val="24"/>
          <w:szCs w:val="24"/>
          <w:lang w:val="pt-PT"/>
        </w:rPr>
        <w:t xml:space="preserve"> </w:t>
      </w:r>
      <w:r w:rsidRPr="003A1174">
        <w:rPr>
          <w:rFonts w:ascii="Garamond" w:eastAsia="Palatino Linotype" w:hAnsi="Garamond" w:cs="Arial"/>
          <w:sz w:val="24"/>
          <w:szCs w:val="24"/>
          <w:lang w:val="pt-PT"/>
        </w:rPr>
        <w:t xml:space="preserve">o </w:t>
      </w:r>
      <w:r w:rsidR="00CA39B2" w:rsidRPr="003A1174">
        <w:rPr>
          <w:rFonts w:ascii="Garamond" w:eastAsia="Arial" w:hAnsi="Garamond" w:cs="Arial"/>
          <w:sz w:val="24"/>
          <w:szCs w:val="24"/>
          <w:lang w:val="pt-PT"/>
        </w:rPr>
        <w:t xml:space="preserve">número de casas </w:t>
      </w:r>
      <w:r w:rsidRPr="003A1174">
        <w:rPr>
          <w:rFonts w:ascii="Garamond" w:eastAsia="Arial" w:hAnsi="Garamond" w:cs="Arial"/>
          <w:sz w:val="24"/>
          <w:szCs w:val="24"/>
          <w:lang w:val="pt-PT"/>
        </w:rPr>
        <w:t xml:space="preserve">de </w:t>
      </w:r>
      <w:r w:rsidR="00B936A7" w:rsidRPr="003A1174">
        <w:rPr>
          <w:rFonts w:ascii="Garamond" w:eastAsia="Arial" w:hAnsi="Garamond" w:cs="Arial"/>
          <w:sz w:val="24"/>
          <w:szCs w:val="24"/>
          <w:lang w:val="pt-PT"/>
        </w:rPr>
        <w:t>abrigo</w:t>
      </w:r>
      <w:r w:rsidR="00CA39B2" w:rsidRPr="003A1174">
        <w:rPr>
          <w:rFonts w:ascii="Garamond" w:eastAsia="Arial" w:hAnsi="Garamond" w:cs="Arial"/>
          <w:sz w:val="24"/>
          <w:szCs w:val="24"/>
          <w:lang w:val="pt-PT"/>
        </w:rPr>
        <w:t xml:space="preserve"> n</w:t>
      </w:r>
      <w:r w:rsidRPr="003A1174">
        <w:rPr>
          <w:rFonts w:ascii="Garamond" w:eastAsia="Arial" w:hAnsi="Garamond" w:cs="Arial"/>
          <w:sz w:val="24"/>
          <w:szCs w:val="24"/>
          <w:lang w:val="pt-PT"/>
        </w:rPr>
        <w:t>ã</w:t>
      </w:r>
      <w:r w:rsidR="00CA39B2" w:rsidRPr="003A1174">
        <w:rPr>
          <w:rFonts w:ascii="Garamond" w:eastAsia="Arial" w:hAnsi="Garamond" w:cs="Arial"/>
          <w:sz w:val="24"/>
          <w:szCs w:val="24"/>
          <w:lang w:val="pt-PT"/>
        </w:rPr>
        <w:t xml:space="preserve">o </w:t>
      </w:r>
      <w:r w:rsidR="00276AFE">
        <w:rPr>
          <w:rFonts w:ascii="Garamond" w:eastAsia="Arial" w:hAnsi="Garamond" w:cs="Arial"/>
          <w:sz w:val="24"/>
          <w:szCs w:val="24"/>
          <w:lang w:val="pt-PT"/>
        </w:rPr>
        <w:t xml:space="preserve">é </w:t>
      </w:r>
      <w:r w:rsidRPr="003A1174">
        <w:rPr>
          <w:rFonts w:ascii="Garamond" w:eastAsia="Arial" w:hAnsi="Garamond" w:cs="Arial"/>
          <w:sz w:val="24"/>
          <w:szCs w:val="24"/>
          <w:lang w:val="pt-PT"/>
        </w:rPr>
        <w:t xml:space="preserve">suficiente, </w:t>
      </w:r>
      <w:r w:rsidR="00CA39B2" w:rsidRPr="003A1174">
        <w:rPr>
          <w:rFonts w:ascii="Garamond" w:eastAsia="Arial" w:hAnsi="Garamond" w:cs="Arial"/>
          <w:sz w:val="24"/>
          <w:szCs w:val="24"/>
          <w:lang w:val="pt-PT"/>
        </w:rPr>
        <w:t xml:space="preserve">o que </w:t>
      </w:r>
      <w:r w:rsidRPr="003A1174">
        <w:rPr>
          <w:rFonts w:ascii="Garamond" w:eastAsia="Arial" w:hAnsi="Garamond" w:cs="Arial"/>
          <w:sz w:val="24"/>
          <w:szCs w:val="24"/>
          <w:lang w:val="pt-PT"/>
        </w:rPr>
        <w:t>debilita</w:t>
      </w:r>
      <w:r w:rsidR="00276AFE">
        <w:rPr>
          <w:rFonts w:ascii="Garamond" w:eastAsia="Arial" w:hAnsi="Garamond" w:cs="Arial"/>
          <w:sz w:val="24"/>
          <w:szCs w:val="24"/>
          <w:lang w:val="pt-PT"/>
        </w:rPr>
        <w:t>,</w:t>
      </w:r>
      <w:r w:rsidRPr="003A1174">
        <w:rPr>
          <w:rFonts w:ascii="Garamond" w:eastAsia="Arial" w:hAnsi="Garamond" w:cs="Arial"/>
          <w:sz w:val="24"/>
          <w:szCs w:val="24"/>
          <w:lang w:val="pt-PT"/>
        </w:rPr>
        <w:t xml:space="preserve"> ainda </w:t>
      </w:r>
      <w:r w:rsidR="00BA21ED" w:rsidRPr="003A1174">
        <w:rPr>
          <w:rFonts w:ascii="Garamond" w:eastAsia="Arial" w:hAnsi="Garamond" w:cs="Arial"/>
          <w:sz w:val="24"/>
          <w:szCs w:val="24"/>
          <w:lang w:val="pt-PT"/>
        </w:rPr>
        <w:t>mais</w:t>
      </w:r>
      <w:r w:rsidR="00276AFE">
        <w:rPr>
          <w:rFonts w:ascii="Garamond" w:eastAsia="Arial" w:hAnsi="Garamond" w:cs="Arial"/>
          <w:sz w:val="24"/>
          <w:szCs w:val="24"/>
          <w:lang w:val="pt-PT"/>
        </w:rPr>
        <w:t>,</w:t>
      </w:r>
      <w:r w:rsidR="007C5A79" w:rsidRPr="003A1174">
        <w:rPr>
          <w:rFonts w:ascii="Garamond" w:eastAsia="Arial" w:hAnsi="Garamond" w:cs="Arial"/>
          <w:sz w:val="24"/>
          <w:szCs w:val="24"/>
          <w:lang w:val="pt-PT"/>
        </w:rPr>
        <w:t xml:space="preserve"> </w:t>
      </w:r>
      <w:r w:rsidR="00CA39B2" w:rsidRPr="003A1174">
        <w:rPr>
          <w:rFonts w:ascii="Garamond" w:eastAsia="Arial" w:hAnsi="Garamond" w:cs="Arial"/>
          <w:sz w:val="24"/>
          <w:szCs w:val="24"/>
          <w:lang w:val="pt-PT"/>
        </w:rPr>
        <w:t xml:space="preserve">a </w:t>
      </w:r>
      <w:r w:rsidR="006C760C" w:rsidRPr="003A1174">
        <w:rPr>
          <w:rFonts w:ascii="Garamond" w:eastAsia="Arial" w:hAnsi="Garamond" w:cs="Arial"/>
          <w:sz w:val="24"/>
          <w:szCs w:val="24"/>
          <w:lang w:val="pt-PT"/>
        </w:rPr>
        <w:t>implementação</w:t>
      </w:r>
      <w:r w:rsidR="007C5A79" w:rsidRPr="003A1174">
        <w:rPr>
          <w:rFonts w:ascii="Garamond" w:eastAsia="Arial" w:hAnsi="Garamond" w:cs="Arial"/>
          <w:sz w:val="24"/>
          <w:szCs w:val="24"/>
          <w:lang w:val="pt-PT"/>
        </w:rPr>
        <w:t xml:space="preserve"> </w:t>
      </w:r>
      <w:r w:rsidR="00D84A9F" w:rsidRPr="003A1174">
        <w:rPr>
          <w:rFonts w:ascii="Garamond" w:eastAsia="Arial" w:hAnsi="Garamond" w:cs="Arial"/>
          <w:sz w:val="24"/>
          <w:szCs w:val="24"/>
          <w:lang w:val="pt-PT"/>
        </w:rPr>
        <w:t>efetiva</w:t>
      </w:r>
      <w:r w:rsidR="007C5A79" w:rsidRPr="003A1174">
        <w:rPr>
          <w:rFonts w:ascii="Garamond" w:eastAsia="Arial" w:hAnsi="Garamond" w:cs="Arial"/>
          <w:sz w:val="24"/>
          <w:szCs w:val="24"/>
          <w:lang w:val="pt-PT"/>
        </w:rPr>
        <w:t xml:space="preserve"> </w:t>
      </w:r>
      <w:r w:rsidR="00497503" w:rsidRPr="003A1174">
        <w:rPr>
          <w:rFonts w:ascii="Garamond" w:eastAsia="Arial" w:hAnsi="Garamond" w:cs="Arial"/>
          <w:sz w:val="24"/>
          <w:szCs w:val="24"/>
          <w:lang w:val="pt-PT"/>
        </w:rPr>
        <w:t>das</w:t>
      </w:r>
      <w:r w:rsidR="00CA39B2" w:rsidRPr="003A1174">
        <w:rPr>
          <w:rFonts w:ascii="Garamond" w:eastAsia="Arial" w:hAnsi="Garamond" w:cs="Arial"/>
          <w:sz w:val="24"/>
          <w:szCs w:val="24"/>
          <w:lang w:val="pt-PT"/>
        </w:rPr>
        <w:t xml:space="preserve"> medidas de </w:t>
      </w:r>
      <w:r w:rsidR="00886D6A" w:rsidRPr="003A1174">
        <w:rPr>
          <w:rFonts w:ascii="Garamond" w:eastAsia="Arial" w:hAnsi="Garamond" w:cs="Arial"/>
          <w:sz w:val="24"/>
          <w:szCs w:val="24"/>
          <w:lang w:val="pt-PT"/>
        </w:rPr>
        <w:t>proteção</w:t>
      </w:r>
      <w:r w:rsidR="00CA39B2" w:rsidRPr="003A1174">
        <w:rPr>
          <w:rFonts w:ascii="Garamond" w:eastAsia="Arial" w:hAnsi="Garamond" w:cs="Arial"/>
          <w:sz w:val="24"/>
          <w:szCs w:val="24"/>
          <w:lang w:val="pt-PT"/>
        </w:rPr>
        <w:t xml:space="preserve"> </w:t>
      </w:r>
      <w:r w:rsidR="000672E8" w:rsidRPr="003A1174">
        <w:rPr>
          <w:rFonts w:ascii="Garamond" w:eastAsia="Arial" w:hAnsi="Garamond" w:cs="Arial"/>
          <w:sz w:val="24"/>
          <w:szCs w:val="24"/>
          <w:lang w:val="pt-PT"/>
        </w:rPr>
        <w:t>e</w:t>
      </w:r>
      <w:r w:rsidRPr="003A1174">
        <w:rPr>
          <w:rFonts w:ascii="Garamond" w:eastAsia="Arial" w:hAnsi="Garamond" w:cs="Arial"/>
          <w:sz w:val="24"/>
          <w:szCs w:val="24"/>
          <w:lang w:val="pt-PT"/>
        </w:rPr>
        <w:t xml:space="preserve"> </w:t>
      </w:r>
      <w:r w:rsidR="00CA39B2" w:rsidRPr="003A1174">
        <w:rPr>
          <w:rFonts w:ascii="Garamond" w:eastAsia="Arial" w:hAnsi="Garamond" w:cs="Arial"/>
          <w:sz w:val="24"/>
          <w:szCs w:val="24"/>
          <w:lang w:val="pt-PT"/>
        </w:rPr>
        <w:t xml:space="preserve">a </w:t>
      </w:r>
      <w:r w:rsidR="00CF4C35" w:rsidRPr="003A1174">
        <w:rPr>
          <w:rFonts w:ascii="Garamond" w:eastAsia="Arial" w:hAnsi="Garamond" w:cs="Arial"/>
          <w:sz w:val="24"/>
          <w:szCs w:val="24"/>
          <w:lang w:val="pt-PT"/>
        </w:rPr>
        <w:t>reabilitação</w:t>
      </w:r>
      <w:r w:rsidR="00CA39B2" w:rsidRPr="003A1174">
        <w:rPr>
          <w:rFonts w:ascii="Garamond" w:eastAsia="Arial" w:hAnsi="Garamond" w:cs="Arial"/>
          <w:sz w:val="24"/>
          <w:szCs w:val="24"/>
          <w:lang w:val="pt-PT"/>
        </w:rPr>
        <w:t xml:space="preserve"> que as </w:t>
      </w:r>
      <w:r w:rsidR="00054EE0" w:rsidRPr="003A1174">
        <w:rPr>
          <w:rFonts w:ascii="Garamond" w:eastAsia="Arial" w:hAnsi="Garamond" w:cs="Arial"/>
          <w:sz w:val="24"/>
          <w:szCs w:val="24"/>
          <w:lang w:val="pt-PT"/>
        </w:rPr>
        <w:t>mulheres</w:t>
      </w:r>
      <w:r w:rsidR="00CA39B2" w:rsidRPr="003A1174">
        <w:rPr>
          <w:rFonts w:ascii="Garamond" w:eastAsia="Arial" w:hAnsi="Garamond" w:cs="Arial"/>
          <w:sz w:val="24"/>
          <w:szCs w:val="24"/>
          <w:lang w:val="pt-PT"/>
        </w:rPr>
        <w:t xml:space="preserve"> </w:t>
      </w:r>
      <w:r w:rsidR="003F012B" w:rsidRPr="003A1174">
        <w:rPr>
          <w:rFonts w:ascii="Garamond" w:eastAsia="Arial" w:hAnsi="Garamond" w:cs="Arial"/>
          <w:sz w:val="24"/>
          <w:szCs w:val="24"/>
          <w:lang w:val="pt-PT"/>
        </w:rPr>
        <w:t>vítima</w:t>
      </w:r>
      <w:r w:rsidR="00CA39B2" w:rsidRPr="003A1174">
        <w:rPr>
          <w:rFonts w:ascii="Garamond" w:eastAsia="Arial" w:hAnsi="Garamond" w:cs="Arial"/>
          <w:sz w:val="24"/>
          <w:szCs w:val="24"/>
          <w:lang w:val="pt-PT"/>
        </w:rPr>
        <w:t xml:space="preserve">s de </w:t>
      </w:r>
      <w:r w:rsidR="000350B1" w:rsidRPr="003A1174">
        <w:rPr>
          <w:rFonts w:ascii="Garamond" w:eastAsia="Arial" w:hAnsi="Garamond" w:cs="Arial"/>
          <w:sz w:val="24"/>
          <w:szCs w:val="24"/>
          <w:lang w:val="pt-PT"/>
        </w:rPr>
        <w:t>violência</w:t>
      </w:r>
      <w:r w:rsidRPr="003A1174">
        <w:rPr>
          <w:rFonts w:ascii="Garamond" w:eastAsia="Arial" w:hAnsi="Garamond" w:cs="Arial"/>
          <w:sz w:val="24"/>
          <w:szCs w:val="24"/>
          <w:lang w:val="pt-PT"/>
        </w:rPr>
        <w:t>,</w:t>
      </w:r>
      <w:r w:rsidR="00CA39B2" w:rsidRPr="003A1174">
        <w:rPr>
          <w:rFonts w:ascii="Garamond" w:eastAsia="Arial" w:hAnsi="Garamond" w:cs="Arial"/>
          <w:sz w:val="24"/>
          <w:szCs w:val="24"/>
          <w:lang w:val="pt-PT"/>
        </w:rPr>
        <w:t xml:space="preserve"> que se atreve</w:t>
      </w:r>
      <w:r w:rsidRPr="003A1174">
        <w:rPr>
          <w:rFonts w:ascii="Garamond" w:eastAsia="Arial" w:hAnsi="Garamond" w:cs="Arial"/>
          <w:sz w:val="24"/>
          <w:szCs w:val="24"/>
          <w:lang w:val="pt-PT"/>
        </w:rPr>
        <w:t>m</w:t>
      </w:r>
      <w:r w:rsidR="00CA39B2" w:rsidRPr="003A1174">
        <w:rPr>
          <w:rFonts w:ascii="Garamond" w:eastAsia="Arial" w:hAnsi="Garamond" w:cs="Arial"/>
          <w:sz w:val="24"/>
          <w:szCs w:val="24"/>
          <w:lang w:val="pt-PT"/>
        </w:rPr>
        <w:t xml:space="preserve"> a denunciar</w:t>
      </w:r>
      <w:r w:rsidRPr="003A1174">
        <w:rPr>
          <w:rFonts w:ascii="Garamond" w:eastAsia="Arial" w:hAnsi="Garamond" w:cs="Arial"/>
          <w:sz w:val="24"/>
          <w:szCs w:val="24"/>
          <w:lang w:val="pt-PT"/>
        </w:rPr>
        <w:t>, necessitam</w:t>
      </w:r>
      <w:r w:rsidR="00CA39B2" w:rsidRPr="003A1174">
        <w:rPr>
          <w:rFonts w:ascii="Garamond" w:eastAsia="Arial" w:hAnsi="Garamond" w:cs="Arial"/>
          <w:sz w:val="24"/>
          <w:szCs w:val="24"/>
          <w:lang w:val="pt-PT"/>
        </w:rPr>
        <w:t xml:space="preserve">. </w:t>
      </w:r>
    </w:p>
    <w:p w:rsidR="00CF5971" w:rsidRPr="003A1174" w:rsidRDefault="00276AFE" w:rsidP="008719D4">
      <w:pPr>
        <w:pStyle w:val="Prrafodelista"/>
        <w:numPr>
          <w:ilvl w:val="0"/>
          <w:numId w:val="44"/>
        </w:numPr>
        <w:spacing w:before="240" w:line="240" w:lineRule="auto"/>
        <w:jc w:val="both"/>
        <w:rPr>
          <w:rFonts w:ascii="Garamond" w:hAnsi="Garamond" w:cs="Arial"/>
          <w:sz w:val="24"/>
          <w:szCs w:val="24"/>
          <w:lang w:val="pt-PT"/>
        </w:rPr>
      </w:pPr>
      <w:r>
        <w:rPr>
          <w:rFonts w:ascii="Garamond" w:eastAsia="Arial" w:hAnsi="Garamond" w:cs="Arial"/>
          <w:sz w:val="24"/>
          <w:szCs w:val="24"/>
          <w:lang w:val="pt-PT"/>
        </w:rPr>
        <w:t>Da mesma forma</w:t>
      </w:r>
      <w:r w:rsidR="00C7697D" w:rsidRPr="003A1174">
        <w:rPr>
          <w:rFonts w:ascii="Garamond" w:eastAsia="Arial" w:hAnsi="Garamond" w:cs="Arial"/>
          <w:sz w:val="24"/>
          <w:szCs w:val="24"/>
          <w:lang w:val="pt-PT"/>
        </w:rPr>
        <w:t xml:space="preserve">, </w:t>
      </w:r>
      <w:r w:rsidR="0036205B">
        <w:rPr>
          <w:rFonts w:ascii="Garamond" w:eastAsia="Arial" w:hAnsi="Garamond" w:cs="Arial"/>
          <w:sz w:val="24"/>
          <w:szCs w:val="24"/>
          <w:lang w:val="pt-PT"/>
        </w:rPr>
        <w:t xml:space="preserve">no seguimento </w:t>
      </w:r>
      <w:r w:rsidR="00C7697D" w:rsidRPr="003A1174">
        <w:rPr>
          <w:rFonts w:ascii="Garamond" w:eastAsia="Arial" w:hAnsi="Garamond" w:cs="Arial"/>
          <w:sz w:val="24"/>
          <w:szCs w:val="24"/>
          <w:lang w:val="pt-PT"/>
        </w:rPr>
        <w:t xml:space="preserve">do que se vem </w:t>
      </w:r>
      <w:r w:rsidR="00850D21" w:rsidRPr="003A1174">
        <w:rPr>
          <w:rFonts w:ascii="Garamond" w:eastAsia="Arial" w:hAnsi="Garamond" w:cs="Arial"/>
          <w:sz w:val="24"/>
          <w:szCs w:val="24"/>
          <w:lang w:val="pt-PT"/>
        </w:rPr>
        <w:t xml:space="preserve">a </w:t>
      </w:r>
      <w:r w:rsidR="00C7697D" w:rsidRPr="003A1174">
        <w:rPr>
          <w:rFonts w:ascii="Garamond" w:eastAsia="Arial" w:hAnsi="Garamond" w:cs="Arial"/>
          <w:sz w:val="24"/>
          <w:szCs w:val="24"/>
          <w:lang w:val="pt-PT"/>
        </w:rPr>
        <w:t>apresenta</w:t>
      </w:r>
      <w:r w:rsidR="00850D21" w:rsidRPr="003A1174">
        <w:rPr>
          <w:rFonts w:ascii="Garamond" w:eastAsia="Arial" w:hAnsi="Garamond" w:cs="Arial"/>
          <w:sz w:val="24"/>
          <w:szCs w:val="24"/>
          <w:lang w:val="pt-PT"/>
        </w:rPr>
        <w:t>r</w:t>
      </w:r>
      <w:r w:rsidR="00C7697D" w:rsidRPr="003A1174">
        <w:rPr>
          <w:rFonts w:ascii="Garamond" w:eastAsia="Arial" w:hAnsi="Garamond" w:cs="Arial"/>
          <w:sz w:val="24"/>
          <w:szCs w:val="24"/>
          <w:lang w:val="pt-PT"/>
        </w:rPr>
        <w:t>, uma</w:t>
      </w:r>
      <w:r w:rsidR="004B26E4" w:rsidRPr="003A1174">
        <w:rPr>
          <w:rFonts w:ascii="Garamond" w:eastAsia="Arial" w:hAnsi="Garamond" w:cs="Arial"/>
          <w:sz w:val="24"/>
          <w:szCs w:val="24"/>
          <w:lang w:val="pt-PT"/>
        </w:rPr>
        <w:t xml:space="preserve"> </w:t>
      </w:r>
      <w:r w:rsidR="00141BA9" w:rsidRPr="003A1174">
        <w:rPr>
          <w:rFonts w:ascii="Garamond" w:eastAsia="Arial" w:hAnsi="Garamond" w:cs="Arial"/>
          <w:sz w:val="24"/>
          <w:szCs w:val="24"/>
          <w:lang w:val="pt-PT"/>
        </w:rPr>
        <w:t>boa</w:t>
      </w:r>
      <w:r w:rsidR="004B26E4" w:rsidRPr="003A1174">
        <w:rPr>
          <w:rFonts w:ascii="Garamond" w:eastAsia="Arial" w:hAnsi="Garamond" w:cs="Arial"/>
          <w:sz w:val="24"/>
          <w:szCs w:val="24"/>
          <w:lang w:val="pt-PT"/>
        </w:rPr>
        <w:t xml:space="preserve"> </w:t>
      </w:r>
      <w:r w:rsidR="00BD6A0C" w:rsidRPr="003A1174">
        <w:rPr>
          <w:rFonts w:ascii="Garamond" w:eastAsia="Arial" w:hAnsi="Garamond" w:cs="Arial"/>
          <w:sz w:val="24"/>
          <w:szCs w:val="24"/>
          <w:lang w:val="pt-PT"/>
        </w:rPr>
        <w:t>quantidade</w:t>
      </w:r>
      <w:r w:rsidR="004B26E4" w:rsidRPr="003A1174">
        <w:rPr>
          <w:rFonts w:ascii="Garamond" w:eastAsia="Arial" w:hAnsi="Garamond" w:cs="Arial"/>
          <w:sz w:val="24"/>
          <w:szCs w:val="24"/>
          <w:lang w:val="pt-PT"/>
        </w:rPr>
        <w:t xml:space="preserve"> </w:t>
      </w:r>
      <w:r w:rsidR="00C7697D" w:rsidRPr="003A1174">
        <w:rPr>
          <w:rFonts w:ascii="Garamond" w:eastAsia="Arial" w:hAnsi="Garamond" w:cs="Arial"/>
          <w:sz w:val="24"/>
          <w:szCs w:val="24"/>
          <w:lang w:val="pt-PT"/>
        </w:rPr>
        <w:t xml:space="preserve">das informações </w:t>
      </w:r>
      <w:r w:rsidR="00497503" w:rsidRPr="003A1174">
        <w:rPr>
          <w:rFonts w:ascii="Garamond" w:eastAsia="Arial" w:hAnsi="Garamond" w:cs="Arial"/>
          <w:sz w:val="24"/>
          <w:szCs w:val="24"/>
          <w:lang w:val="pt-PT"/>
        </w:rPr>
        <w:t>das</w:t>
      </w:r>
      <w:r w:rsidR="004B26E4" w:rsidRPr="003A1174">
        <w:rPr>
          <w:rFonts w:ascii="Garamond" w:eastAsia="Arial" w:hAnsi="Garamond" w:cs="Arial"/>
          <w:sz w:val="24"/>
          <w:szCs w:val="24"/>
          <w:lang w:val="pt-PT"/>
        </w:rPr>
        <w:t xml:space="preserve"> </w:t>
      </w:r>
      <w:r w:rsidR="00DC5DA7" w:rsidRPr="003A1174">
        <w:rPr>
          <w:rFonts w:ascii="Garamond" w:eastAsia="Arial" w:hAnsi="Garamond" w:cs="Arial"/>
          <w:sz w:val="24"/>
          <w:szCs w:val="24"/>
          <w:lang w:val="pt-PT"/>
        </w:rPr>
        <w:t>Provedorias</w:t>
      </w:r>
      <w:r w:rsidR="004B26E4" w:rsidRPr="003A1174">
        <w:rPr>
          <w:rFonts w:ascii="Garamond" w:eastAsia="Arial" w:hAnsi="Garamond" w:cs="Arial"/>
          <w:sz w:val="24"/>
          <w:szCs w:val="24"/>
          <w:lang w:val="pt-PT"/>
        </w:rPr>
        <w:t xml:space="preserve"> </w:t>
      </w:r>
      <w:r w:rsidR="00DC5DA7" w:rsidRPr="003A1174">
        <w:rPr>
          <w:rFonts w:ascii="Garamond" w:eastAsia="Arial" w:hAnsi="Garamond" w:cs="Arial"/>
          <w:sz w:val="24"/>
          <w:szCs w:val="24"/>
          <w:lang w:val="pt-PT"/>
        </w:rPr>
        <w:t>de Justiça</w:t>
      </w:r>
      <w:r w:rsidR="004B26E4" w:rsidRPr="003A1174">
        <w:rPr>
          <w:rFonts w:ascii="Garamond" w:eastAsia="Arial" w:hAnsi="Garamond" w:cs="Arial"/>
          <w:sz w:val="24"/>
          <w:szCs w:val="24"/>
          <w:lang w:val="pt-PT"/>
        </w:rPr>
        <w:t xml:space="preserve"> m</w:t>
      </w:r>
      <w:r w:rsidR="00C7697D" w:rsidRPr="003A1174">
        <w:rPr>
          <w:rFonts w:ascii="Garamond" w:eastAsia="Arial" w:hAnsi="Garamond" w:cs="Arial"/>
          <w:sz w:val="24"/>
          <w:szCs w:val="24"/>
          <w:lang w:val="pt-PT"/>
        </w:rPr>
        <w:t xml:space="preserve">ostram </w:t>
      </w:r>
      <w:r w:rsidR="004B26E4" w:rsidRPr="003A1174">
        <w:rPr>
          <w:rFonts w:ascii="Garamond" w:eastAsia="Arial" w:hAnsi="Garamond" w:cs="Arial"/>
          <w:sz w:val="24"/>
          <w:szCs w:val="24"/>
          <w:lang w:val="pt-PT"/>
        </w:rPr>
        <w:t xml:space="preserve">a </w:t>
      </w:r>
      <w:r w:rsidR="005D38DC" w:rsidRPr="003A1174">
        <w:rPr>
          <w:rFonts w:ascii="Garamond" w:eastAsia="Arial" w:hAnsi="Garamond" w:cs="Arial"/>
          <w:sz w:val="24"/>
          <w:szCs w:val="24"/>
          <w:lang w:val="pt-PT"/>
        </w:rPr>
        <w:t>importância</w:t>
      </w:r>
      <w:r w:rsidR="004B26E4" w:rsidRPr="003A1174">
        <w:rPr>
          <w:rFonts w:ascii="Garamond" w:eastAsia="Arial" w:hAnsi="Garamond" w:cs="Arial"/>
          <w:sz w:val="24"/>
          <w:szCs w:val="24"/>
          <w:lang w:val="pt-PT"/>
        </w:rPr>
        <w:t xml:space="preserve"> </w:t>
      </w:r>
      <w:r w:rsidR="004B26E4" w:rsidRPr="003A1174">
        <w:rPr>
          <w:rFonts w:ascii="Garamond" w:hAnsi="Garamond" w:cs="Arial"/>
          <w:sz w:val="24"/>
          <w:szCs w:val="24"/>
          <w:lang w:val="pt-PT"/>
        </w:rPr>
        <w:t>de</w:t>
      </w:r>
      <w:r w:rsidR="007C5A79" w:rsidRPr="003A1174">
        <w:rPr>
          <w:rFonts w:ascii="Garamond" w:hAnsi="Garamond" w:cs="Arial"/>
          <w:sz w:val="24"/>
          <w:szCs w:val="24"/>
          <w:lang w:val="pt-PT"/>
        </w:rPr>
        <w:t xml:space="preserve"> </w:t>
      </w:r>
      <w:r w:rsidR="00C7697D" w:rsidRPr="003A1174">
        <w:rPr>
          <w:rFonts w:ascii="Garamond" w:hAnsi="Garamond" w:cs="Arial"/>
          <w:sz w:val="24"/>
          <w:szCs w:val="24"/>
          <w:lang w:val="pt-PT"/>
        </w:rPr>
        <w:t>a</w:t>
      </w:r>
      <w:r w:rsidR="007C5A79" w:rsidRPr="003A1174">
        <w:rPr>
          <w:rFonts w:ascii="Garamond" w:hAnsi="Garamond" w:cs="Arial"/>
          <w:sz w:val="24"/>
          <w:szCs w:val="24"/>
          <w:lang w:val="pt-PT"/>
        </w:rPr>
        <w:t xml:space="preserve">profundar </w:t>
      </w:r>
      <w:r w:rsidR="000672E8" w:rsidRPr="003A1174">
        <w:rPr>
          <w:rFonts w:ascii="Garamond" w:hAnsi="Garamond" w:cs="Arial"/>
          <w:sz w:val="24"/>
          <w:szCs w:val="24"/>
          <w:lang w:val="pt-PT"/>
        </w:rPr>
        <w:t>e</w:t>
      </w:r>
      <w:r w:rsidR="007C5A79" w:rsidRPr="003A1174">
        <w:rPr>
          <w:rFonts w:ascii="Garamond" w:hAnsi="Garamond" w:cs="Arial"/>
          <w:sz w:val="24"/>
          <w:szCs w:val="24"/>
          <w:lang w:val="pt-PT"/>
        </w:rPr>
        <w:t xml:space="preserve"> potenciar </w:t>
      </w:r>
      <w:r w:rsidR="00CA39B2" w:rsidRPr="003A1174">
        <w:rPr>
          <w:rFonts w:ascii="Garamond" w:hAnsi="Garamond" w:cs="Arial"/>
          <w:sz w:val="24"/>
          <w:szCs w:val="24"/>
          <w:lang w:val="pt-PT"/>
        </w:rPr>
        <w:t xml:space="preserve">a </w:t>
      </w:r>
      <w:r w:rsidR="001B7D0B">
        <w:rPr>
          <w:rFonts w:ascii="Garamond" w:hAnsi="Garamond" w:cs="Arial"/>
          <w:sz w:val="24"/>
          <w:szCs w:val="24"/>
          <w:lang w:val="pt-PT"/>
        </w:rPr>
        <w:t xml:space="preserve">formação </w:t>
      </w:r>
      <w:r w:rsidR="00497503" w:rsidRPr="003A1174">
        <w:rPr>
          <w:rFonts w:ascii="Garamond" w:hAnsi="Garamond" w:cs="Arial"/>
          <w:sz w:val="24"/>
          <w:szCs w:val="24"/>
          <w:lang w:val="pt-PT"/>
        </w:rPr>
        <w:t>dos</w:t>
      </w:r>
      <w:r w:rsidR="00F16159" w:rsidRPr="003A1174">
        <w:rPr>
          <w:rFonts w:ascii="Garamond" w:hAnsi="Garamond" w:cs="Arial"/>
          <w:sz w:val="24"/>
          <w:szCs w:val="24"/>
          <w:lang w:val="pt-PT"/>
        </w:rPr>
        <w:t xml:space="preserve"> operadores </w:t>
      </w:r>
      <w:r w:rsidR="00497503" w:rsidRPr="003A1174">
        <w:rPr>
          <w:rFonts w:ascii="Garamond" w:hAnsi="Garamond" w:cs="Arial"/>
          <w:sz w:val="24"/>
          <w:szCs w:val="24"/>
          <w:lang w:val="pt-PT"/>
        </w:rPr>
        <w:t>dos</w:t>
      </w:r>
      <w:r w:rsidR="004B26E4" w:rsidRPr="003A1174">
        <w:rPr>
          <w:rFonts w:ascii="Garamond" w:hAnsi="Garamond" w:cs="Arial"/>
          <w:sz w:val="24"/>
          <w:szCs w:val="24"/>
          <w:lang w:val="pt-PT"/>
        </w:rPr>
        <w:t xml:space="preserve"> sistemas de</w:t>
      </w:r>
      <w:r w:rsidR="00CA39B2" w:rsidRPr="003A1174">
        <w:rPr>
          <w:rFonts w:ascii="Garamond" w:hAnsi="Garamond" w:cs="Arial"/>
          <w:sz w:val="24"/>
          <w:szCs w:val="24"/>
          <w:lang w:val="pt-PT"/>
        </w:rPr>
        <w:t xml:space="preserve"> </w:t>
      </w:r>
      <w:r w:rsidR="00FB09CA" w:rsidRPr="003A1174">
        <w:rPr>
          <w:rFonts w:ascii="Garamond" w:hAnsi="Garamond" w:cs="Arial"/>
          <w:sz w:val="24"/>
          <w:szCs w:val="24"/>
          <w:lang w:val="pt-PT"/>
        </w:rPr>
        <w:t>administração</w:t>
      </w:r>
      <w:r w:rsidR="00CA39B2" w:rsidRPr="003A1174">
        <w:rPr>
          <w:rFonts w:ascii="Garamond" w:hAnsi="Garamond" w:cs="Arial"/>
          <w:sz w:val="24"/>
          <w:szCs w:val="24"/>
          <w:lang w:val="pt-PT"/>
        </w:rPr>
        <w:t xml:space="preserve"> de </w:t>
      </w:r>
      <w:r w:rsidR="00FC1F7F" w:rsidRPr="003A1174">
        <w:rPr>
          <w:rFonts w:ascii="Garamond" w:hAnsi="Garamond" w:cs="Arial"/>
          <w:sz w:val="24"/>
          <w:szCs w:val="24"/>
          <w:lang w:val="pt-PT"/>
        </w:rPr>
        <w:t>justiça</w:t>
      </w:r>
      <w:r w:rsidR="004B26E4"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7697D" w:rsidRPr="003A1174">
        <w:rPr>
          <w:rFonts w:ascii="Garamond" w:hAnsi="Garamond" w:cs="Arial"/>
          <w:sz w:val="24"/>
          <w:szCs w:val="24"/>
          <w:lang w:val="pt-PT"/>
        </w:rPr>
        <w:t>, c</w:t>
      </w:r>
      <w:r w:rsidR="004B26E4" w:rsidRPr="003A1174">
        <w:rPr>
          <w:rFonts w:ascii="Garamond" w:hAnsi="Garamond" w:cs="Arial"/>
          <w:sz w:val="24"/>
          <w:szCs w:val="24"/>
          <w:lang w:val="pt-PT"/>
        </w:rPr>
        <w:t>ertamente</w:t>
      </w:r>
      <w:r w:rsidR="00C7697D" w:rsidRPr="003A1174">
        <w:rPr>
          <w:rFonts w:ascii="Garamond" w:hAnsi="Garamond" w:cs="Arial"/>
          <w:sz w:val="24"/>
          <w:szCs w:val="24"/>
          <w:lang w:val="pt-PT"/>
        </w:rPr>
        <w:t>,</w:t>
      </w:r>
      <w:r w:rsidR="004B26E4" w:rsidRPr="003A1174">
        <w:rPr>
          <w:rFonts w:ascii="Garamond" w:hAnsi="Garamond" w:cs="Arial"/>
          <w:sz w:val="24"/>
          <w:szCs w:val="24"/>
          <w:lang w:val="pt-PT"/>
        </w:rPr>
        <w:t xml:space="preserve"> de </w:t>
      </w:r>
      <w:r w:rsidR="001F2F8B" w:rsidRPr="003A1174">
        <w:rPr>
          <w:rFonts w:ascii="Garamond" w:hAnsi="Garamond" w:cs="Arial"/>
          <w:sz w:val="24"/>
          <w:szCs w:val="24"/>
          <w:lang w:val="pt-PT"/>
        </w:rPr>
        <w:t>outro</w:t>
      </w:r>
      <w:r w:rsidR="004B26E4" w:rsidRPr="003A1174">
        <w:rPr>
          <w:rFonts w:ascii="Garamond" w:hAnsi="Garamond" w:cs="Arial"/>
          <w:sz w:val="24"/>
          <w:szCs w:val="24"/>
          <w:lang w:val="pt-PT"/>
        </w:rPr>
        <w:t>s</w:t>
      </w:r>
      <w:r w:rsidR="00CA39B2" w:rsidRPr="003A1174">
        <w:rPr>
          <w:rFonts w:ascii="Garamond" w:hAnsi="Garamond" w:cs="Arial"/>
          <w:sz w:val="24"/>
          <w:szCs w:val="24"/>
          <w:lang w:val="pt-PT"/>
        </w:rPr>
        <w:t xml:space="preserve"> </w:t>
      </w:r>
      <w:r w:rsidR="003E6403" w:rsidRPr="003A1174">
        <w:rPr>
          <w:rFonts w:ascii="Garamond" w:hAnsi="Garamond" w:cs="Arial"/>
          <w:sz w:val="24"/>
          <w:szCs w:val="24"/>
          <w:lang w:val="pt-PT"/>
        </w:rPr>
        <w:t>funcionári</w:t>
      </w:r>
      <w:r w:rsidR="004B26E4" w:rsidRPr="003A1174">
        <w:rPr>
          <w:rFonts w:ascii="Garamond" w:hAnsi="Garamond" w:cs="Arial"/>
          <w:sz w:val="24"/>
          <w:szCs w:val="24"/>
          <w:lang w:val="pt-PT"/>
        </w:rPr>
        <w:t xml:space="preserve">os </w:t>
      </w:r>
      <w:r w:rsidR="000672E8" w:rsidRPr="003A1174">
        <w:rPr>
          <w:rFonts w:ascii="Garamond" w:hAnsi="Garamond" w:cs="Arial"/>
          <w:sz w:val="24"/>
          <w:szCs w:val="24"/>
          <w:lang w:val="pt-PT"/>
        </w:rPr>
        <w:t>e</w:t>
      </w:r>
      <w:r w:rsidR="004B26E4" w:rsidRPr="003A1174">
        <w:rPr>
          <w:rFonts w:ascii="Garamond" w:hAnsi="Garamond" w:cs="Arial"/>
          <w:sz w:val="24"/>
          <w:szCs w:val="24"/>
          <w:lang w:val="pt-PT"/>
        </w:rPr>
        <w:t xml:space="preserve"> servidores públicos </w:t>
      </w:r>
      <w:r w:rsidR="00C86C58" w:rsidRPr="003A1174">
        <w:rPr>
          <w:rFonts w:ascii="Garamond" w:hAnsi="Garamond" w:cs="Arial"/>
          <w:sz w:val="24"/>
          <w:szCs w:val="24"/>
          <w:lang w:val="pt-PT"/>
        </w:rPr>
        <w:t>estatais</w:t>
      </w:r>
      <w:r w:rsidR="004B26E4" w:rsidRPr="003A1174">
        <w:rPr>
          <w:rFonts w:ascii="Garamond" w:hAnsi="Garamond" w:cs="Arial"/>
          <w:sz w:val="24"/>
          <w:szCs w:val="24"/>
          <w:lang w:val="pt-PT"/>
        </w:rPr>
        <w:t xml:space="preserve"> </w:t>
      </w:r>
      <w:r w:rsidR="00CA39B2" w:rsidRPr="003A1174">
        <w:rPr>
          <w:rFonts w:ascii="Garamond" w:hAnsi="Garamond" w:cs="Arial"/>
          <w:sz w:val="24"/>
          <w:szCs w:val="24"/>
          <w:lang w:val="pt-PT"/>
        </w:rPr>
        <w:t>e</w:t>
      </w:r>
      <w:r w:rsidR="00C7697D" w:rsidRPr="003A1174">
        <w:rPr>
          <w:rFonts w:ascii="Garamond" w:hAnsi="Garamond" w:cs="Arial"/>
          <w:sz w:val="24"/>
          <w:szCs w:val="24"/>
          <w:lang w:val="pt-PT"/>
        </w:rPr>
        <w:t>m</w:t>
      </w:r>
      <w:r w:rsidR="00CA39B2" w:rsidRPr="003A1174">
        <w:rPr>
          <w:rFonts w:ascii="Garamond" w:hAnsi="Garamond" w:cs="Arial"/>
          <w:sz w:val="24"/>
          <w:szCs w:val="24"/>
          <w:lang w:val="pt-PT"/>
        </w:rPr>
        <w:t xml:space="preserve"> </w:t>
      </w:r>
      <w:r w:rsidR="00EF645F" w:rsidRPr="003A1174">
        <w:rPr>
          <w:rFonts w:ascii="Garamond" w:hAnsi="Garamond" w:cs="Arial"/>
          <w:sz w:val="24"/>
          <w:szCs w:val="24"/>
          <w:lang w:val="pt-PT"/>
        </w:rPr>
        <w:t>matéria</w:t>
      </w:r>
      <w:r w:rsidR="00CA39B2" w:rsidRPr="003A1174">
        <w:rPr>
          <w:rFonts w:ascii="Garamond" w:hAnsi="Garamond" w:cs="Arial"/>
          <w:sz w:val="24"/>
          <w:szCs w:val="24"/>
          <w:lang w:val="pt-PT"/>
        </w:rPr>
        <w:t xml:space="preserve"> de </w:t>
      </w:r>
      <w:r w:rsidR="000350B1" w:rsidRPr="003A1174">
        <w:rPr>
          <w:rFonts w:ascii="Garamond" w:hAnsi="Garamond" w:cs="Arial"/>
          <w:sz w:val="24"/>
          <w:szCs w:val="24"/>
          <w:lang w:val="pt-PT"/>
        </w:rPr>
        <w:t>violência</w:t>
      </w:r>
      <w:r w:rsidR="00CA39B2" w:rsidRPr="003A1174">
        <w:rPr>
          <w:rFonts w:ascii="Garamond" w:hAnsi="Garamond" w:cs="Arial"/>
          <w:sz w:val="24"/>
          <w:szCs w:val="24"/>
          <w:lang w:val="pt-PT"/>
        </w:rPr>
        <w:t xml:space="preserve"> familiar </w:t>
      </w:r>
      <w:r w:rsidR="00BB2B00" w:rsidRPr="003A1174">
        <w:rPr>
          <w:rFonts w:ascii="Garamond" w:hAnsi="Garamond" w:cs="Arial"/>
          <w:sz w:val="24"/>
          <w:szCs w:val="24"/>
          <w:lang w:val="pt-PT"/>
        </w:rPr>
        <w:t>contra a</w:t>
      </w:r>
      <w:r w:rsidR="00CA39B2" w:rsidRPr="003A1174">
        <w:rPr>
          <w:rFonts w:ascii="Garamond" w:hAnsi="Garamond" w:cs="Arial"/>
          <w:sz w:val="24"/>
          <w:szCs w:val="24"/>
          <w:lang w:val="pt-PT"/>
        </w:rPr>
        <w:t xml:space="preserve">s </w:t>
      </w:r>
      <w:r w:rsidR="00054EE0" w:rsidRPr="003A1174">
        <w:rPr>
          <w:rFonts w:ascii="Garamond" w:hAnsi="Garamond" w:cs="Arial"/>
          <w:sz w:val="24"/>
          <w:szCs w:val="24"/>
          <w:lang w:val="pt-PT"/>
        </w:rPr>
        <w:t>mulheres</w:t>
      </w:r>
      <w:r w:rsidR="00287EAE" w:rsidRPr="003A1174">
        <w:rPr>
          <w:rFonts w:ascii="Garamond" w:hAnsi="Garamond" w:cs="Arial"/>
          <w:sz w:val="24"/>
          <w:szCs w:val="24"/>
          <w:lang w:val="pt-PT"/>
        </w:rPr>
        <w:t>.</w:t>
      </w:r>
      <w:r w:rsidR="00F16159" w:rsidRPr="003A1174">
        <w:rPr>
          <w:rFonts w:ascii="Garamond" w:hAnsi="Garamond" w:cs="Arial"/>
          <w:sz w:val="24"/>
          <w:szCs w:val="24"/>
          <w:lang w:val="pt-PT"/>
        </w:rPr>
        <w:t xml:space="preserve"> </w:t>
      </w:r>
      <w:r w:rsidR="00C7697D" w:rsidRPr="003A1174">
        <w:rPr>
          <w:rFonts w:ascii="Garamond" w:hAnsi="Garamond" w:cs="Arial"/>
          <w:sz w:val="24"/>
          <w:szCs w:val="24"/>
          <w:lang w:val="pt-PT"/>
        </w:rPr>
        <w:t>De</w:t>
      </w:r>
      <w:r w:rsidR="00A862C2" w:rsidRPr="003A1174">
        <w:rPr>
          <w:rFonts w:ascii="Garamond" w:hAnsi="Garamond" w:cs="Arial"/>
          <w:sz w:val="24"/>
          <w:szCs w:val="24"/>
          <w:lang w:val="pt-PT"/>
        </w:rPr>
        <w:t>ve</w:t>
      </w:r>
      <w:r w:rsidR="00C7697D" w:rsidRPr="003A1174">
        <w:rPr>
          <w:rFonts w:ascii="Garamond" w:hAnsi="Garamond" w:cs="Arial"/>
          <w:sz w:val="24"/>
          <w:szCs w:val="24"/>
          <w:lang w:val="pt-PT"/>
        </w:rPr>
        <w:t>-se</w:t>
      </w:r>
      <w:r w:rsidR="00287EAE" w:rsidRPr="003A1174">
        <w:rPr>
          <w:rFonts w:ascii="Garamond" w:hAnsi="Garamond" w:cs="Arial"/>
          <w:sz w:val="24"/>
          <w:szCs w:val="24"/>
          <w:lang w:val="pt-PT"/>
        </w:rPr>
        <w:t xml:space="preserve"> </w:t>
      </w:r>
      <w:r w:rsidR="0060781E">
        <w:rPr>
          <w:rFonts w:ascii="Garamond" w:hAnsi="Garamond" w:cs="Arial"/>
          <w:sz w:val="24"/>
          <w:szCs w:val="24"/>
          <w:lang w:val="pt-PT"/>
        </w:rPr>
        <w:t>destacar</w:t>
      </w:r>
      <w:r w:rsidR="00287EAE" w:rsidRPr="003A1174">
        <w:rPr>
          <w:rFonts w:ascii="Garamond" w:hAnsi="Garamond" w:cs="Arial"/>
          <w:sz w:val="24"/>
          <w:szCs w:val="24"/>
          <w:lang w:val="pt-PT"/>
        </w:rPr>
        <w:t xml:space="preserve">, </w:t>
      </w:r>
      <w:r w:rsidR="00F16159" w:rsidRPr="003A1174">
        <w:rPr>
          <w:rFonts w:ascii="Garamond" w:hAnsi="Garamond" w:cs="Arial"/>
          <w:sz w:val="24"/>
          <w:szCs w:val="24"/>
          <w:lang w:val="pt-PT"/>
        </w:rPr>
        <w:t xml:space="preserve">entre </w:t>
      </w:r>
      <w:r w:rsidR="001F2F8B" w:rsidRPr="003A1174">
        <w:rPr>
          <w:rFonts w:ascii="Garamond" w:hAnsi="Garamond" w:cs="Arial"/>
          <w:sz w:val="24"/>
          <w:szCs w:val="24"/>
          <w:lang w:val="pt-PT"/>
        </w:rPr>
        <w:t>outro</w:t>
      </w:r>
      <w:r w:rsidR="00F16159" w:rsidRPr="003A1174">
        <w:rPr>
          <w:rFonts w:ascii="Garamond" w:hAnsi="Garamond" w:cs="Arial"/>
          <w:sz w:val="24"/>
          <w:szCs w:val="24"/>
          <w:lang w:val="pt-PT"/>
        </w:rPr>
        <w:t>s</w:t>
      </w:r>
      <w:r w:rsidR="00287EAE" w:rsidRPr="003A1174">
        <w:rPr>
          <w:rFonts w:ascii="Garamond" w:hAnsi="Garamond" w:cs="Arial"/>
          <w:sz w:val="24"/>
          <w:szCs w:val="24"/>
          <w:lang w:val="pt-PT"/>
        </w:rPr>
        <w:t>,</w:t>
      </w:r>
      <w:r w:rsidR="00C7697D" w:rsidRPr="003A1174">
        <w:rPr>
          <w:rFonts w:ascii="Garamond" w:hAnsi="Garamond" w:cs="Arial"/>
          <w:sz w:val="24"/>
          <w:szCs w:val="24"/>
          <w:lang w:val="pt-PT"/>
        </w:rPr>
        <w:t xml:space="preserve"> </w:t>
      </w:r>
      <w:r w:rsidR="00F16159" w:rsidRPr="003A1174">
        <w:rPr>
          <w:rFonts w:ascii="Garamond" w:hAnsi="Garamond" w:cs="Arial"/>
          <w:sz w:val="24"/>
          <w:szCs w:val="24"/>
          <w:lang w:val="pt-PT"/>
        </w:rPr>
        <w:t xml:space="preserve">os temas de </w:t>
      </w:r>
      <w:r w:rsidR="00CF4C35" w:rsidRPr="003A1174">
        <w:rPr>
          <w:rFonts w:ascii="Garamond" w:hAnsi="Garamond" w:cs="Arial"/>
          <w:sz w:val="24"/>
          <w:szCs w:val="24"/>
          <w:lang w:val="pt-PT"/>
        </w:rPr>
        <w:t>Diligência Devida</w:t>
      </w:r>
      <w:r w:rsidR="00C7697D" w:rsidRPr="003A1174">
        <w:rPr>
          <w:rFonts w:ascii="Garamond" w:hAnsi="Garamond" w:cs="Arial"/>
          <w:sz w:val="24"/>
          <w:szCs w:val="24"/>
          <w:lang w:val="pt-PT"/>
        </w:rPr>
        <w:t xml:space="preserve">, </w:t>
      </w:r>
      <w:r w:rsidR="00F16159" w:rsidRPr="003A1174">
        <w:rPr>
          <w:rFonts w:ascii="Garamond" w:hAnsi="Garamond" w:cs="Arial"/>
          <w:sz w:val="24"/>
          <w:szCs w:val="24"/>
          <w:lang w:val="pt-PT"/>
        </w:rPr>
        <w:t xml:space="preserve">a </w:t>
      </w:r>
      <w:r w:rsidR="006506C6" w:rsidRPr="003A1174">
        <w:rPr>
          <w:rFonts w:ascii="Garamond" w:hAnsi="Garamond" w:cs="Arial"/>
          <w:sz w:val="24"/>
          <w:szCs w:val="24"/>
          <w:lang w:val="pt-PT"/>
        </w:rPr>
        <w:t>necessidade</w:t>
      </w:r>
      <w:r w:rsidR="00F16159" w:rsidRPr="003A1174">
        <w:rPr>
          <w:rFonts w:ascii="Garamond" w:hAnsi="Garamond" w:cs="Arial"/>
          <w:sz w:val="24"/>
          <w:szCs w:val="24"/>
          <w:lang w:val="pt-PT"/>
        </w:rPr>
        <w:t xml:space="preserve"> de concret</w:t>
      </w:r>
      <w:r w:rsidR="00C7697D" w:rsidRPr="003A1174">
        <w:rPr>
          <w:rFonts w:ascii="Garamond" w:hAnsi="Garamond" w:cs="Arial"/>
          <w:sz w:val="24"/>
          <w:szCs w:val="24"/>
          <w:lang w:val="pt-PT"/>
        </w:rPr>
        <w:t>iz</w:t>
      </w:r>
      <w:r w:rsidR="00F16159" w:rsidRPr="003A1174">
        <w:rPr>
          <w:rFonts w:ascii="Garamond" w:hAnsi="Garamond" w:cs="Arial"/>
          <w:sz w:val="24"/>
          <w:szCs w:val="24"/>
          <w:lang w:val="pt-PT"/>
        </w:rPr>
        <w:t xml:space="preserve">ar </w:t>
      </w:r>
      <w:r w:rsidR="00C7697D" w:rsidRPr="003A1174">
        <w:rPr>
          <w:rFonts w:ascii="Garamond" w:hAnsi="Garamond" w:cs="Arial"/>
          <w:sz w:val="24"/>
          <w:szCs w:val="24"/>
          <w:lang w:val="pt-PT"/>
        </w:rPr>
        <w:t xml:space="preserve">o </w:t>
      </w:r>
      <w:r w:rsidR="00886D6A" w:rsidRPr="003A1174">
        <w:rPr>
          <w:rFonts w:ascii="Garamond" w:hAnsi="Garamond" w:cs="Arial"/>
          <w:sz w:val="24"/>
          <w:szCs w:val="24"/>
          <w:lang w:val="pt-PT"/>
        </w:rPr>
        <w:t>acesso</w:t>
      </w:r>
      <w:r w:rsidR="00F16159"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F16159" w:rsidRPr="003A1174">
        <w:rPr>
          <w:rFonts w:ascii="Garamond" w:hAnsi="Garamond" w:cs="Arial"/>
          <w:sz w:val="24"/>
          <w:szCs w:val="24"/>
          <w:lang w:val="pt-PT"/>
        </w:rPr>
        <w:t xml:space="preserve"> </w:t>
      </w:r>
      <w:r w:rsidR="00FC1F7F" w:rsidRPr="003A1174">
        <w:rPr>
          <w:rFonts w:ascii="Garamond" w:hAnsi="Garamond" w:cs="Arial"/>
          <w:sz w:val="24"/>
          <w:szCs w:val="24"/>
          <w:lang w:val="pt-PT"/>
        </w:rPr>
        <w:t>justiça</w:t>
      </w:r>
      <w:r w:rsidR="00F16159"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C7697D" w:rsidRPr="003A1174">
        <w:rPr>
          <w:rFonts w:ascii="Garamond" w:hAnsi="Garamond" w:cs="Arial"/>
          <w:sz w:val="24"/>
          <w:szCs w:val="24"/>
          <w:lang w:val="pt-PT"/>
        </w:rPr>
        <w:t xml:space="preserve"> </w:t>
      </w:r>
      <w:r w:rsidR="00F16159" w:rsidRPr="003A1174">
        <w:rPr>
          <w:rFonts w:ascii="Garamond" w:hAnsi="Garamond" w:cs="Arial"/>
          <w:sz w:val="24"/>
          <w:szCs w:val="24"/>
          <w:lang w:val="pt-PT"/>
        </w:rPr>
        <w:t xml:space="preserve">as </w:t>
      </w:r>
      <w:r w:rsidR="00C7697D" w:rsidRPr="003A1174">
        <w:rPr>
          <w:rFonts w:ascii="Garamond" w:hAnsi="Garamond" w:cs="Arial"/>
          <w:sz w:val="24"/>
          <w:szCs w:val="24"/>
          <w:lang w:val="pt-PT"/>
        </w:rPr>
        <w:t>consequências</w:t>
      </w:r>
      <w:r w:rsidR="00F16159"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F16159" w:rsidRPr="003A1174">
        <w:rPr>
          <w:rFonts w:ascii="Garamond" w:hAnsi="Garamond" w:cs="Arial"/>
          <w:sz w:val="24"/>
          <w:szCs w:val="24"/>
          <w:lang w:val="pt-PT"/>
        </w:rPr>
        <w:t xml:space="preserve"> </w:t>
      </w:r>
      <w:r w:rsidR="002F62B0" w:rsidRPr="003A1174">
        <w:rPr>
          <w:rFonts w:ascii="Garamond" w:hAnsi="Garamond" w:cs="Arial"/>
          <w:sz w:val="24"/>
          <w:szCs w:val="24"/>
          <w:lang w:val="pt-PT"/>
        </w:rPr>
        <w:t>obrigações</w:t>
      </w:r>
      <w:r w:rsidR="00F16159"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F16159" w:rsidRPr="003A1174">
        <w:rPr>
          <w:rFonts w:ascii="Garamond" w:hAnsi="Garamond" w:cs="Arial"/>
          <w:sz w:val="24"/>
          <w:szCs w:val="24"/>
          <w:lang w:val="pt-PT"/>
        </w:rPr>
        <w:t xml:space="preserve"> </w:t>
      </w:r>
      <w:r w:rsidR="00253B1D" w:rsidRPr="003A1174">
        <w:rPr>
          <w:rFonts w:ascii="Garamond" w:hAnsi="Garamond" w:cs="Arial"/>
          <w:sz w:val="24"/>
          <w:szCs w:val="24"/>
          <w:lang w:val="pt-PT"/>
        </w:rPr>
        <w:t>controlo</w:t>
      </w:r>
      <w:r w:rsidR="00F16159" w:rsidRPr="003A1174">
        <w:rPr>
          <w:rFonts w:ascii="Garamond" w:hAnsi="Garamond" w:cs="Arial"/>
          <w:sz w:val="24"/>
          <w:szCs w:val="24"/>
          <w:lang w:val="pt-PT"/>
        </w:rPr>
        <w:t xml:space="preserve"> de convencionalidad</w:t>
      </w:r>
      <w:r w:rsidR="00C7697D" w:rsidRPr="003A1174">
        <w:rPr>
          <w:rFonts w:ascii="Garamond" w:hAnsi="Garamond" w:cs="Arial"/>
          <w:sz w:val="24"/>
          <w:szCs w:val="24"/>
          <w:lang w:val="pt-PT"/>
        </w:rPr>
        <w:t>e</w:t>
      </w:r>
      <w:r w:rsidR="00F16159" w:rsidRPr="003A1174">
        <w:rPr>
          <w:rFonts w:ascii="Garamond" w:hAnsi="Garamond" w:cs="Arial"/>
          <w:sz w:val="24"/>
          <w:szCs w:val="24"/>
          <w:lang w:val="pt-PT"/>
        </w:rPr>
        <w:t xml:space="preserve">. </w:t>
      </w:r>
    </w:p>
    <w:p w:rsidR="00CF5971" w:rsidRPr="003A1174" w:rsidRDefault="0060781E" w:rsidP="008719D4">
      <w:pPr>
        <w:pStyle w:val="Prrafodelista"/>
        <w:numPr>
          <w:ilvl w:val="0"/>
          <w:numId w:val="44"/>
        </w:numPr>
        <w:spacing w:before="240" w:line="240" w:lineRule="auto"/>
        <w:jc w:val="both"/>
        <w:rPr>
          <w:rFonts w:ascii="Garamond" w:hAnsi="Garamond" w:cs="Arial"/>
          <w:sz w:val="24"/>
          <w:szCs w:val="24"/>
          <w:lang w:val="pt-PT"/>
        </w:rPr>
      </w:pPr>
      <w:r>
        <w:rPr>
          <w:rFonts w:ascii="Garamond" w:hAnsi="Garamond" w:cs="Arial"/>
          <w:sz w:val="24"/>
          <w:szCs w:val="24"/>
          <w:lang w:val="pt-PT"/>
        </w:rPr>
        <w:lastRenderedPageBreak/>
        <w:t>Torna-se necessário</w:t>
      </w:r>
      <w:r w:rsidR="00C7697D" w:rsidRPr="003A1174">
        <w:rPr>
          <w:rFonts w:ascii="Garamond" w:hAnsi="Garamond" w:cs="Arial"/>
          <w:sz w:val="24"/>
          <w:szCs w:val="24"/>
          <w:lang w:val="pt-PT"/>
        </w:rPr>
        <w:t>,</w:t>
      </w:r>
      <w:r w:rsidR="004B26E4" w:rsidRPr="003A1174">
        <w:rPr>
          <w:rFonts w:ascii="Garamond" w:hAnsi="Garamond" w:cs="Arial"/>
          <w:sz w:val="24"/>
          <w:szCs w:val="24"/>
          <w:lang w:val="pt-PT"/>
        </w:rPr>
        <w:t xml:space="preserve"> igualmente</w:t>
      </w:r>
      <w:r w:rsidR="00C7697D" w:rsidRPr="003A1174">
        <w:rPr>
          <w:rFonts w:ascii="Garamond" w:hAnsi="Garamond" w:cs="Arial"/>
          <w:sz w:val="24"/>
          <w:szCs w:val="24"/>
          <w:lang w:val="pt-PT"/>
        </w:rPr>
        <w:t xml:space="preserve">, que </w:t>
      </w:r>
      <w:r w:rsidR="004B26E4" w:rsidRPr="003A1174">
        <w:rPr>
          <w:rFonts w:ascii="Garamond" w:hAnsi="Garamond" w:cs="Arial"/>
          <w:sz w:val="24"/>
          <w:szCs w:val="24"/>
          <w:lang w:val="pt-PT"/>
        </w:rPr>
        <w:t xml:space="preserve">os </w:t>
      </w:r>
      <w:r w:rsidR="00F16159" w:rsidRPr="003A1174">
        <w:rPr>
          <w:rFonts w:ascii="Garamond" w:hAnsi="Garamond" w:cs="Arial"/>
          <w:sz w:val="24"/>
          <w:szCs w:val="24"/>
          <w:lang w:val="pt-PT"/>
        </w:rPr>
        <w:t xml:space="preserve">Estados </w:t>
      </w:r>
      <w:r w:rsidR="00C7697D" w:rsidRPr="003A1174">
        <w:rPr>
          <w:rFonts w:ascii="Garamond" w:hAnsi="Garamond" w:cs="Arial"/>
          <w:sz w:val="24"/>
          <w:szCs w:val="24"/>
          <w:lang w:val="pt-PT"/>
        </w:rPr>
        <w:t xml:space="preserve">disponham de </w:t>
      </w:r>
      <w:r w:rsidR="00CA39B2" w:rsidRPr="003A1174">
        <w:rPr>
          <w:rFonts w:ascii="Garamond" w:eastAsia="Arial Unicode MS" w:hAnsi="Garamond" w:cs="Arial"/>
          <w:sz w:val="24"/>
          <w:szCs w:val="24"/>
          <w:lang w:val="pt-PT"/>
        </w:rPr>
        <w:t xml:space="preserve">bases de </w:t>
      </w:r>
      <w:r w:rsidR="00EE7406" w:rsidRPr="003A1174">
        <w:rPr>
          <w:rFonts w:ascii="Garamond" w:eastAsia="Arial Unicode MS" w:hAnsi="Garamond" w:cs="Arial"/>
          <w:sz w:val="24"/>
          <w:szCs w:val="24"/>
          <w:lang w:val="pt-PT"/>
        </w:rPr>
        <w:t>dado</w:t>
      </w:r>
      <w:r w:rsidR="00CA39B2" w:rsidRPr="003A1174">
        <w:rPr>
          <w:rFonts w:ascii="Garamond" w:eastAsia="Arial Unicode MS" w:hAnsi="Garamond" w:cs="Arial"/>
          <w:sz w:val="24"/>
          <w:szCs w:val="24"/>
          <w:lang w:val="pt-PT"/>
        </w:rPr>
        <w:t xml:space="preserve">s unificadas </w:t>
      </w:r>
      <w:r w:rsidR="000672E8" w:rsidRPr="003A1174">
        <w:rPr>
          <w:rFonts w:ascii="Garamond" w:eastAsia="Arial Unicode MS" w:hAnsi="Garamond" w:cs="Arial"/>
          <w:sz w:val="24"/>
          <w:szCs w:val="24"/>
          <w:lang w:val="pt-PT"/>
        </w:rPr>
        <w:t>e</w:t>
      </w:r>
      <w:r w:rsidR="00CA39B2" w:rsidRPr="003A1174">
        <w:rPr>
          <w:rFonts w:ascii="Garamond" w:eastAsia="Arial Unicode MS" w:hAnsi="Garamond" w:cs="Arial"/>
          <w:sz w:val="24"/>
          <w:szCs w:val="24"/>
          <w:lang w:val="pt-PT"/>
        </w:rPr>
        <w:t xml:space="preserve"> </w:t>
      </w:r>
      <w:r w:rsidR="00077461" w:rsidRPr="003A1174">
        <w:rPr>
          <w:rFonts w:ascii="Garamond" w:eastAsia="Arial Unicode MS" w:hAnsi="Garamond" w:cs="Arial"/>
          <w:sz w:val="24"/>
          <w:szCs w:val="24"/>
          <w:lang w:val="pt-PT"/>
        </w:rPr>
        <w:t>registo</w:t>
      </w:r>
      <w:r w:rsidR="00CA39B2" w:rsidRPr="003A1174">
        <w:rPr>
          <w:rFonts w:ascii="Garamond" w:eastAsia="Arial Unicode MS" w:hAnsi="Garamond" w:cs="Arial"/>
          <w:sz w:val="24"/>
          <w:szCs w:val="24"/>
          <w:lang w:val="pt-PT"/>
        </w:rPr>
        <w:t xml:space="preserve">s </w:t>
      </w:r>
      <w:r>
        <w:rPr>
          <w:rFonts w:ascii="Garamond" w:eastAsia="Arial Unicode MS" w:hAnsi="Garamond" w:cs="Arial"/>
          <w:sz w:val="24"/>
          <w:szCs w:val="24"/>
          <w:lang w:val="pt-PT"/>
        </w:rPr>
        <w:t xml:space="preserve">a nível </w:t>
      </w:r>
      <w:r w:rsidR="00CA39B2" w:rsidRPr="003A1174">
        <w:rPr>
          <w:rFonts w:ascii="Garamond" w:eastAsia="Arial Unicode MS" w:hAnsi="Garamond" w:cs="Arial"/>
          <w:sz w:val="24"/>
          <w:szCs w:val="24"/>
          <w:lang w:val="pt-PT"/>
        </w:rPr>
        <w:t>nacional co</w:t>
      </w:r>
      <w:r w:rsidR="00C7697D" w:rsidRPr="003A1174">
        <w:rPr>
          <w:rFonts w:ascii="Garamond" w:eastAsia="Arial Unicode MS" w:hAnsi="Garamond" w:cs="Arial"/>
          <w:sz w:val="24"/>
          <w:szCs w:val="24"/>
          <w:lang w:val="pt-PT"/>
        </w:rPr>
        <w:t>m</w:t>
      </w:r>
      <w:r w:rsidR="00CA39B2" w:rsidRPr="003A1174">
        <w:rPr>
          <w:rFonts w:ascii="Garamond" w:eastAsia="Arial Unicode MS" w:hAnsi="Garamond" w:cs="Arial"/>
          <w:sz w:val="24"/>
          <w:szCs w:val="24"/>
          <w:lang w:val="pt-PT"/>
        </w:rPr>
        <w:t xml:space="preserve"> indicadores sobre </w:t>
      </w:r>
      <w:r w:rsidR="00850D21" w:rsidRPr="003A1174">
        <w:rPr>
          <w:rFonts w:ascii="Garamond" w:eastAsia="Arial Unicode MS" w:hAnsi="Garamond" w:cs="Arial"/>
          <w:sz w:val="24"/>
          <w:szCs w:val="24"/>
          <w:lang w:val="pt-PT"/>
        </w:rPr>
        <w:t xml:space="preserve">o </w:t>
      </w:r>
      <w:r w:rsidR="00886D6A" w:rsidRPr="003A1174">
        <w:rPr>
          <w:rFonts w:ascii="Garamond" w:eastAsia="Arial Unicode MS" w:hAnsi="Garamond" w:cs="Arial"/>
          <w:sz w:val="24"/>
          <w:szCs w:val="24"/>
          <w:lang w:val="pt-PT"/>
        </w:rPr>
        <w:t>acesso</w:t>
      </w:r>
      <w:r w:rsidR="00CA39B2" w:rsidRPr="003A1174">
        <w:rPr>
          <w:rFonts w:ascii="Garamond" w:eastAsia="Arial Unicode MS" w:hAnsi="Garamond" w:cs="Arial"/>
          <w:sz w:val="24"/>
          <w:szCs w:val="24"/>
          <w:lang w:val="pt-PT"/>
        </w:rPr>
        <w:t xml:space="preserve"> de </w:t>
      </w:r>
      <w:r w:rsidR="00054EE0" w:rsidRPr="003A1174">
        <w:rPr>
          <w:rFonts w:ascii="Garamond" w:eastAsia="Arial Unicode MS" w:hAnsi="Garamond" w:cs="Arial"/>
          <w:sz w:val="24"/>
          <w:szCs w:val="24"/>
          <w:lang w:val="pt-PT"/>
        </w:rPr>
        <w:t>mulheres</w:t>
      </w:r>
      <w:r w:rsidR="00CA39B2" w:rsidRPr="003A1174">
        <w:rPr>
          <w:rFonts w:ascii="Garamond" w:eastAsia="Arial Unicode MS" w:hAnsi="Garamond" w:cs="Arial"/>
          <w:sz w:val="24"/>
          <w:szCs w:val="24"/>
          <w:lang w:val="pt-PT"/>
        </w:rPr>
        <w:t xml:space="preserve"> </w:t>
      </w:r>
      <w:r w:rsidR="003F012B" w:rsidRPr="003A1174">
        <w:rPr>
          <w:rFonts w:ascii="Garamond" w:eastAsia="Arial Unicode MS" w:hAnsi="Garamond" w:cs="Arial"/>
          <w:sz w:val="24"/>
          <w:szCs w:val="24"/>
          <w:lang w:val="pt-PT"/>
        </w:rPr>
        <w:t>vítima</w:t>
      </w:r>
      <w:r w:rsidR="00CA39B2" w:rsidRPr="003A1174">
        <w:rPr>
          <w:rFonts w:ascii="Garamond" w:eastAsia="Arial Unicode MS" w:hAnsi="Garamond" w:cs="Arial"/>
          <w:sz w:val="24"/>
          <w:szCs w:val="24"/>
          <w:lang w:val="pt-PT"/>
        </w:rPr>
        <w:t xml:space="preserve">s de </w:t>
      </w:r>
      <w:r w:rsidR="000350B1" w:rsidRPr="003A1174">
        <w:rPr>
          <w:rFonts w:ascii="Garamond" w:eastAsia="Arial Unicode MS" w:hAnsi="Garamond" w:cs="Arial"/>
          <w:sz w:val="24"/>
          <w:szCs w:val="24"/>
          <w:lang w:val="pt-PT"/>
        </w:rPr>
        <w:t>violência</w:t>
      </w:r>
      <w:r>
        <w:rPr>
          <w:rFonts w:ascii="Garamond" w:eastAsia="Arial Unicode MS" w:hAnsi="Garamond" w:cs="Arial"/>
          <w:sz w:val="24"/>
          <w:szCs w:val="24"/>
          <w:lang w:val="pt-PT"/>
        </w:rPr>
        <w:t>,</w:t>
      </w:r>
      <w:r w:rsidR="00CA39B2" w:rsidRPr="003A1174">
        <w:rPr>
          <w:rFonts w:ascii="Garamond" w:eastAsia="Arial Unicode MS" w:hAnsi="Garamond" w:cs="Arial"/>
          <w:sz w:val="24"/>
          <w:szCs w:val="24"/>
          <w:lang w:val="pt-PT"/>
        </w:rPr>
        <w:t xml:space="preserve"> </w:t>
      </w:r>
      <w:r w:rsidR="007C63D0" w:rsidRPr="003A1174">
        <w:rPr>
          <w:rFonts w:ascii="Garamond" w:eastAsia="Arial Unicode MS" w:hAnsi="Garamond" w:cs="Arial"/>
          <w:sz w:val="24"/>
          <w:szCs w:val="24"/>
          <w:lang w:val="pt-PT"/>
        </w:rPr>
        <w:t>baseada</w:t>
      </w:r>
      <w:r w:rsidR="00CA39B2" w:rsidRPr="003A1174">
        <w:rPr>
          <w:rFonts w:ascii="Garamond" w:eastAsia="Arial Unicode MS" w:hAnsi="Garamond" w:cs="Arial"/>
          <w:sz w:val="24"/>
          <w:szCs w:val="24"/>
          <w:lang w:val="pt-PT"/>
        </w:rPr>
        <w:t xml:space="preserve"> e</w:t>
      </w:r>
      <w:r w:rsidR="00C7697D" w:rsidRPr="003A1174">
        <w:rPr>
          <w:rFonts w:ascii="Garamond" w:eastAsia="Arial Unicode MS" w:hAnsi="Garamond" w:cs="Arial"/>
          <w:sz w:val="24"/>
          <w:szCs w:val="24"/>
          <w:lang w:val="pt-PT"/>
        </w:rPr>
        <w:t>m</w:t>
      </w:r>
      <w:r w:rsidR="00CA39B2" w:rsidRPr="003A1174">
        <w:rPr>
          <w:rFonts w:ascii="Garamond" w:eastAsia="Arial Unicode MS" w:hAnsi="Garamond" w:cs="Arial"/>
          <w:sz w:val="24"/>
          <w:szCs w:val="24"/>
          <w:lang w:val="pt-PT"/>
        </w:rPr>
        <w:t xml:space="preserve"> género</w:t>
      </w:r>
      <w:r>
        <w:rPr>
          <w:rFonts w:ascii="Garamond" w:eastAsia="Arial Unicode MS" w:hAnsi="Garamond" w:cs="Arial"/>
          <w:sz w:val="24"/>
          <w:szCs w:val="24"/>
          <w:lang w:val="pt-PT"/>
        </w:rPr>
        <w:t>,</w:t>
      </w:r>
      <w:r w:rsidR="00CE3D2D" w:rsidRPr="003A1174">
        <w:rPr>
          <w:rFonts w:ascii="Garamond" w:eastAsia="Arial Unicode MS" w:hAnsi="Garamond" w:cs="Arial"/>
          <w:sz w:val="24"/>
          <w:szCs w:val="24"/>
          <w:lang w:val="pt-PT"/>
        </w:rPr>
        <w:t xml:space="preserve"> </w:t>
      </w:r>
      <w:r>
        <w:rPr>
          <w:rFonts w:ascii="Garamond" w:eastAsia="Arial Unicode MS" w:hAnsi="Garamond" w:cs="Arial"/>
          <w:sz w:val="24"/>
          <w:szCs w:val="24"/>
          <w:lang w:val="pt-PT"/>
        </w:rPr>
        <w:t xml:space="preserve">e as disponibilizem </w:t>
      </w:r>
      <w:r w:rsidR="00C7697D" w:rsidRPr="003A1174">
        <w:rPr>
          <w:rFonts w:ascii="Garamond" w:eastAsia="Arial Unicode MS" w:hAnsi="Garamond" w:cs="Arial"/>
          <w:sz w:val="24"/>
          <w:szCs w:val="24"/>
          <w:lang w:val="pt-PT"/>
        </w:rPr>
        <w:t>a</w:t>
      </w:r>
      <w:r w:rsidR="00F16159" w:rsidRPr="003A1174">
        <w:rPr>
          <w:rFonts w:ascii="Garamond" w:eastAsia="Arial Unicode MS" w:hAnsi="Garamond" w:cs="Arial"/>
          <w:sz w:val="24"/>
          <w:szCs w:val="24"/>
          <w:lang w:val="pt-PT"/>
        </w:rPr>
        <w:t xml:space="preserve">os </w:t>
      </w:r>
      <w:r w:rsidR="00B531F2" w:rsidRPr="003A1174">
        <w:rPr>
          <w:rFonts w:ascii="Garamond" w:eastAsia="Arial Unicode MS" w:hAnsi="Garamond" w:cs="Arial"/>
          <w:sz w:val="24"/>
          <w:szCs w:val="24"/>
          <w:lang w:val="pt-PT"/>
        </w:rPr>
        <w:t>serviço</w:t>
      </w:r>
      <w:r w:rsidR="00F16159" w:rsidRPr="003A1174">
        <w:rPr>
          <w:rFonts w:ascii="Garamond" w:eastAsia="Arial Unicode MS" w:hAnsi="Garamond" w:cs="Arial"/>
          <w:sz w:val="24"/>
          <w:szCs w:val="24"/>
          <w:lang w:val="pt-PT"/>
        </w:rPr>
        <w:t xml:space="preserve">s de </w:t>
      </w:r>
      <w:r w:rsidR="007C63D0" w:rsidRPr="003A1174">
        <w:rPr>
          <w:rFonts w:ascii="Garamond" w:eastAsia="Arial Unicode MS" w:hAnsi="Garamond" w:cs="Arial"/>
          <w:sz w:val="24"/>
          <w:szCs w:val="24"/>
          <w:lang w:val="pt-PT"/>
        </w:rPr>
        <w:t>saúde</w:t>
      </w:r>
      <w:r w:rsidR="00F16159" w:rsidRPr="003A1174">
        <w:rPr>
          <w:rFonts w:ascii="Garamond" w:eastAsia="Arial Unicode MS" w:hAnsi="Garamond" w:cs="Arial"/>
          <w:sz w:val="24"/>
          <w:szCs w:val="24"/>
          <w:lang w:val="pt-PT"/>
        </w:rPr>
        <w:t xml:space="preserve"> </w:t>
      </w:r>
      <w:r w:rsidR="000672E8" w:rsidRPr="003A1174">
        <w:rPr>
          <w:rFonts w:ascii="Garamond" w:eastAsia="Arial Unicode MS" w:hAnsi="Garamond" w:cs="Arial"/>
          <w:sz w:val="24"/>
          <w:szCs w:val="24"/>
          <w:lang w:val="pt-PT"/>
        </w:rPr>
        <w:t>e</w:t>
      </w:r>
      <w:r w:rsidR="00C7697D" w:rsidRPr="003A1174">
        <w:rPr>
          <w:rFonts w:ascii="Garamond" w:eastAsia="Arial Unicode MS" w:hAnsi="Garamond" w:cs="Arial"/>
          <w:sz w:val="24"/>
          <w:szCs w:val="24"/>
          <w:lang w:val="pt-PT"/>
        </w:rPr>
        <w:t xml:space="preserve">, obviamente, </w:t>
      </w:r>
      <w:r w:rsidR="00BB2B00" w:rsidRPr="003A1174">
        <w:rPr>
          <w:rFonts w:ascii="Garamond" w:eastAsia="Arial Unicode MS" w:hAnsi="Garamond" w:cs="Arial"/>
          <w:sz w:val="24"/>
          <w:szCs w:val="24"/>
          <w:lang w:val="pt-PT"/>
        </w:rPr>
        <w:t>à</w:t>
      </w:r>
      <w:r w:rsidR="00CE3D2D" w:rsidRPr="003A1174">
        <w:rPr>
          <w:rFonts w:ascii="Garamond" w:eastAsia="Arial Unicode MS" w:hAnsi="Garamond" w:cs="Arial"/>
          <w:sz w:val="24"/>
          <w:szCs w:val="24"/>
          <w:lang w:val="pt-PT"/>
        </w:rPr>
        <w:t xml:space="preserve">s entidades </w:t>
      </w:r>
      <w:r w:rsidR="00E85E59" w:rsidRPr="003A1174">
        <w:rPr>
          <w:rFonts w:ascii="Garamond" w:eastAsia="Arial Unicode MS" w:hAnsi="Garamond" w:cs="Arial"/>
          <w:sz w:val="24"/>
          <w:szCs w:val="24"/>
          <w:lang w:val="pt-PT"/>
        </w:rPr>
        <w:t>do</w:t>
      </w:r>
      <w:r w:rsidR="002D5CE8" w:rsidRPr="003A1174">
        <w:rPr>
          <w:rFonts w:ascii="Garamond" w:eastAsia="Arial Unicode MS" w:hAnsi="Garamond" w:cs="Arial"/>
          <w:sz w:val="24"/>
          <w:szCs w:val="24"/>
          <w:lang w:val="pt-PT"/>
        </w:rPr>
        <w:t xml:space="preserve"> sistema de</w:t>
      </w:r>
      <w:r w:rsidR="00CA39B2" w:rsidRPr="003A1174">
        <w:rPr>
          <w:rFonts w:ascii="Garamond" w:eastAsia="Arial Unicode MS" w:hAnsi="Garamond" w:cs="Arial"/>
          <w:sz w:val="24"/>
          <w:szCs w:val="24"/>
          <w:lang w:val="pt-PT"/>
        </w:rPr>
        <w:t xml:space="preserve"> </w:t>
      </w:r>
      <w:r w:rsidR="00FC1F7F" w:rsidRPr="003A1174">
        <w:rPr>
          <w:rFonts w:ascii="Garamond" w:eastAsia="Arial Unicode MS" w:hAnsi="Garamond" w:cs="Arial"/>
          <w:sz w:val="24"/>
          <w:szCs w:val="24"/>
          <w:lang w:val="pt-PT"/>
        </w:rPr>
        <w:t>justiça</w:t>
      </w:r>
      <w:r w:rsidR="00CA39B2"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Isto facilitará a</w:t>
      </w:r>
      <w:r w:rsidR="00F16159" w:rsidRPr="003A1174">
        <w:rPr>
          <w:rFonts w:ascii="Garamond" w:eastAsia="Arial Unicode MS" w:hAnsi="Garamond" w:cs="Arial"/>
          <w:sz w:val="24"/>
          <w:szCs w:val="24"/>
          <w:lang w:val="pt-PT"/>
        </w:rPr>
        <w:t>os apar</w:t>
      </w:r>
      <w:r w:rsidR="00C7697D" w:rsidRPr="003A1174">
        <w:rPr>
          <w:rFonts w:ascii="Garamond" w:eastAsia="Arial Unicode MS" w:hAnsi="Garamond" w:cs="Arial"/>
          <w:sz w:val="24"/>
          <w:szCs w:val="24"/>
          <w:lang w:val="pt-PT"/>
        </w:rPr>
        <w:t xml:space="preserve">elhos </w:t>
      </w:r>
      <w:r w:rsidR="00DC5DA7" w:rsidRPr="003A1174">
        <w:rPr>
          <w:rFonts w:ascii="Garamond" w:eastAsia="Arial Unicode MS" w:hAnsi="Garamond" w:cs="Arial"/>
          <w:sz w:val="24"/>
          <w:szCs w:val="24"/>
          <w:lang w:val="pt-PT"/>
        </w:rPr>
        <w:t>jurisdicionais</w:t>
      </w:r>
      <w:r w:rsidR="00C7697D" w:rsidRPr="003A1174">
        <w:rPr>
          <w:rFonts w:ascii="Garamond" w:eastAsia="Arial Unicode MS" w:hAnsi="Garamond" w:cs="Arial"/>
          <w:sz w:val="24"/>
          <w:szCs w:val="24"/>
          <w:lang w:val="pt-PT"/>
        </w:rPr>
        <w:t xml:space="preserve"> a a</w:t>
      </w:r>
      <w:r w:rsidR="00CA39B2" w:rsidRPr="003A1174">
        <w:rPr>
          <w:rFonts w:ascii="Garamond" w:eastAsia="Arial Unicode MS" w:hAnsi="Garamond" w:cs="Arial"/>
          <w:sz w:val="24"/>
          <w:szCs w:val="24"/>
          <w:lang w:val="pt-PT"/>
        </w:rPr>
        <w:t>b</w:t>
      </w:r>
      <w:r w:rsidR="00374785" w:rsidRPr="003A1174">
        <w:rPr>
          <w:rFonts w:ascii="Garamond" w:eastAsia="Arial Unicode MS" w:hAnsi="Garamond" w:cs="Arial"/>
          <w:sz w:val="24"/>
          <w:szCs w:val="24"/>
          <w:lang w:val="pt-PT"/>
        </w:rPr>
        <w:t>ord</w:t>
      </w:r>
      <w:r w:rsidR="00C7697D" w:rsidRPr="003A1174">
        <w:rPr>
          <w:rFonts w:ascii="Garamond" w:eastAsia="Arial Unicode MS" w:hAnsi="Garamond" w:cs="Arial"/>
          <w:sz w:val="24"/>
          <w:szCs w:val="24"/>
          <w:lang w:val="pt-PT"/>
        </w:rPr>
        <w:t>agem</w:t>
      </w:r>
      <w:r>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w:t>
      </w:r>
      <w:r w:rsidR="00CA39B2" w:rsidRPr="003A1174">
        <w:rPr>
          <w:rFonts w:ascii="Garamond" w:eastAsia="Arial Unicode MS" w:hAnsi="Garamond" w:cs="Arial"/>
          <w:sz w:val="24"/>
          <w:szCs w:val="24"/>
          <w:lang w:val="pt-PT"/>
        </w:rPr>
        <w:t xml:space="preserve">de </w:t>
      </w:r>
      <w:r w:rsidR="00C7697D" w:rsidRPr="003A1174">
        <w:rPr>
          <w:rFonts w:ascii="Garamond" w:eastAsia="Arial Unicode MS" w:hAnsi="Garamond" w:cs="Arial"/>
          <w:sz w:val="24"/>
          <w:szCs w:val="24"/>
          <w:lang w:val="pt-PT"/>
        </w:rPr>
        <w:t xml:space="preserve">forma </w:t>
      </w:r>
      <w:r w:rsidR="00BA21ED" w:rsidRPr="003A1174">
        <w:rPr>
          <w:rFonts w:ascii="Garamond" w:eastAsia="Arial Unicode MS" w:hAnsi="Garamond" w:cs="Arial"/>
          <w:sz w:val="24"/>
          <w:szCs w:val="24"/>
          <w:lang w:val="pt-PT"/>
        </w:rPr>
        <w:t>mais</w:t>
      </w:r>
      <w:r w:rsidR="00CA39B2" w:rsidRPr="003A1174">
        <w:rPr>
          <w:rFonts w:ascii="Garamond" w:eastAsia="Arial Unicode MS" w:hAnsi="Garamond" w:cs="Arial"/>
          <w:sz w:val="24"/>
          <w:szCs w:val="24"/>
          <w:lang w:val="pt-PT"/>
        </w:rPr>
        <w:t xml:space="preserve"> </w:t>
      </w:r>
      <w:r w:rsidR="00F16159" w:rsidRPr="003A1174">
        <w:rPr>
          <w:rFonts w:ascii="Garamond" w:eastAsia="Arial Unicode MS" w:hAnsi="Garamond" w:cs="Arial"/>
          <w:sz w:val="24"/>
          <w:szCs w:val="24"/>
          <w:lang w:val="pt-PT"/>
        </w:rPr>
        <w:t xml:space="preserve">informada e </w:t>
      </w:r>
      <w:r w:rsidR="00C7697D" w:rsidRPr="003A1174">
        <w:rPr>
          <w:rFonts w:ascii="Garamond" w:eastAsia="Arial Unicode MS" w:hAnsi="Garamond" w:cs="Arial"/>
          <w:sz w:val="24"/>
          <w:szCs w:val="24"/>
          <w:lang w:val="pt-PT"/>
        </w:rPr>
        <w:t>integral</w:t>
      </w:r>
      <w:r>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w:t>
      </w:r>
      <w:r>
        <w:rPr>
          <w:rFonts w:ascii="Garamond" w:eastAsia="Arial Unicode MS" w:hAnsi="Garamond" w:cs="Arial"/>
          <w:sz w:val="24"/>
          <w:szCs w:val="24"/>
          <w:lang w:val="pt-PT"/>
        </w:rPr>
        <w:t>a</w:t>
      </w:r>
      <w:r w:rsidR="00850D21" w:rsidRPr="003A1174">
        <w:rPr>
          <w:rFonts w:ascii="Garamond" w:eastAsia="Arial Unicode MS" w:hAnsi="Garamond" w:cs="Arial"/>
          <w:sz w:val="24"/>
          <w:szCs w:val="24"/>
          <w:lang w:val="pt-PT"/>
        </w:rPr>
        <w:t>os casos denunciados</w:t>
      </w:r>
      <w:r w:rsidR="00CA39B2" w:rsidRPr="003A1174">
        <w:rPr>
          <w:rFonts w:ascii="Garamond" w:eastAsia="Arial Unicode MS" w:hAnsi="Garamond" w:cs="Arial"/>
          <w:sz w:val="24"/>
          <w:szCs w:val="24"/>
          <w:lang w:val="pt-PT"/>
        </w:rPr>
        <w:t xml:space="preserve"> </w:t>
      </w:r>
      <w:r w:rsidR="000672E8" w:rsidRPr="003A1174">
        <w:rPr>
          <w:rFonts w:ascii="Garamond" w:eastAsia="Arial Unicode MS" w:hAnsi="Garamond" w:cs="Arial"/>
          <w:sz w:val="24"/>
          <w:szCs w:val="24"/>
          <w:lang w:val="pt-PT"/>
        </w:rPr>
        <w:t>e</w:t>
      </w:r>
      <w:r w:rsidR="002D5CE8" w:rsidRPr="003A1174">
        <w:rPr>
          <w:rFonts w:ascii="Garamond" w:eastAsia="Arial Unicode MS" w:hAnsi="Garamond" w:cs="Arial"/>
          <w:sz w:val="24"/>
          <w:szCs w:val="24"/>
          <w:lang w:val="pt-PT"/>
        </w:rPr>
        <w:t xml:space="preserve"> </w:t>
      </w:r>
      <w:r>
        <w:rPr>
          <w:rFonts w:ascii="Garamond" w:eastAsia="Arial Unicode MS" w:hAnsi="Garamond" w:cs="Arial"/>
          <w:sz w:val="24"/>
          <w:szCs w:val="24"/>
          <w:lang w:val="pt-PT"/>
        </w:rPr>
        <w:t xml:space="preserve">aumentará a </w:t>
      </w:r>
      <w:r w:rsidR="00C7697D" w:rsidRPr="003A1174">
        <w:rPr>
          <w:rFonts w:ascii="Garamond" w:eastAsia="Arial Unicode MS" w:hAnsi="Garamond" w:cs="Arial"/>
          <w:sz w:val="24"/>
          <w:szCs w:val="24"/>
          <w:lang w:val="pt-PT"/>
        </w:rPr>
        <w:t>capacidade</w:t>
      </w:r>
      <w:r w:rsidR="002D5CE8" w:rsidRPr="003A1174">
        <w:rPr>
          <w:rFonts w:ascii="Garamond" w:eastAsia="Arial Unicode MS" w:hAnsi="Garamond" w:cs="Arial"/>
          <w:sz w:val="24"/>
          <w:szCs w:val="24"/>
          <w:lang w:val="pt-PT"/>
        </w:rPr>
        <w:t xml:space="preserve"> </w:t>
      </w:r>
      <w:r>
        <w:rPr>
          <w:rFonts w:ascii="Garamond" w:eastAsia="Arial Unicode MS" w:hAnsi="Garamond" w:cs="Arial"/>
          <w:sz w:val="24"/>
          <w:szCs w:val="24"/>
          <w:lang w:val="pt-PT"/>
        </w:rPr>
        <w:t xml:space="preserve">de </w:t>
      </w:r>
      <w:r w:rsidR="009024A0" w:rsidRPr="003A1174">
        <w:rPr>
          <w:rFonts w:ascii="Garamond" w:eastAsia="Arial Unicode MS" w:hAnsi="Garamond" w:cs="Arial"/>
          <w:sz w:val="24"/>
          <w:szCs w:val="24"/>
          <w:lang w:val="pt-PT"/>
        </w:rPr>
        <w:t>proporcionar</w:t>
      </w:r>
      <w:r>
        <w:rPr>
          <w:rFonts w:ascii="Garamond" w:eastAsia="Arial Unicode MS" w:hAnsi="Garamond" w:cs="Arial"/>
          <w:sz w:val="24"/>
          <w:szCs w:val="24"/>
          <w:lang w:val="pt-PT"/>
        </w:rPr>
        <w:t>em</w:t>
      </w:r>
      <w:r w:rsidR="00CA39B2"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um</w:t>
      </w:r>
      <w:r w:rsidR="00F16159" w:rsidRPr="003A1174">
        <w:rPr>
          <w:rFonts w:ascii="Garamond" w:eastAsia="Arial Unicode MS" w:hAnsi="Garamond" w:cs="Arial"/>
          <w:sz w:val="24"/>
          <w:szCs w:val="24"/>
          <w:lang w:val="pt-PT"/>
        </w:rPr>
        <w:t xml:space="preserve">a </w:t>
      </w:r>
      <w:r w:rsidR="00886D6A" w:rsidRPr="003A1174">
        <w:rPr>
          <w:rFonts w:ascii="Garamond" w:eastAsia="Arial Unicode MS" w:hAnsi="Garamond" w:cs="Arial"/>
          <w:sz w:val="24"/>
          <w:szCs w:val="24"/>
          <w:lang w:val="pt-PT"/>
        </w:rPr>
        <w:t>proteção</w:t>
      </w:r>
      <w:r>
        <w:rPr>
          <w:rFonts w:ascii="Garamond" w:eastAsia="Arial Unicode MS" w:hAnsi="Garamond" w:cs="Arial"/>
          <w:sz w:val="24"/>
          <w:szCs w:val="24"/>
          <w:lang w:val="pt-PT"/>
        </w:rPr>
        <w:t xml:space="preserve"> mais adequada,</w:t>
      </w:r>
      <w:r w:rsidR="00CA39B2" w:rsidRPr="003A1174">
        <w:rPr>
          <w:rFonts w:ascii="Garamond" w:eastAsia="Arial Unicode MS" w:hAnsi="Garamond" w:cs="Arial"/>
          <w:sz w:val="24"/>
          <w:szCs w:val="24"/>
          <w:lang w:val="pt-PT"/>
        </w:rPr>
        <w:t xml:space="preserve"> </w:t>
      </w:r>
      <w:r w:rsidR="00BB2B00" w:rsidRPr="003A1174">
        <w:rPr>
          <w:rFonts w:ascii="Garamond" w:eastAsia="Arial Unicode MS" w:hAnsi="Garamond" w:cs="Arial"/>
          <w:sz w:val="24"/>
          <w:szCs w:val="24"/>
          <w:lang w:val="pt-PT"/>
        </w:rPr>
        <w:t>à</w:t>
      </w:r>
      <w:r w:rsidR="00CA39B2" w:rsidRPr="003A1174">
        <w:rPr>
          <w:rFonts w:ascii="Garamond" w:eastAsia="Arial Unicode MS" w:hAnsi="Garamond" w:cs="Arial"/>
          <w:sz w:val="24"/>
          <w:szCs w:val="24"/>
          <w:lang w:val="pt-PT"/>
        </w:rPr>
        <w:t xml:space="preserve">s </w:t>
      </w:r>
      <w:r w:rsidR="003F012B" w:rsidRPr="003A1174">
        <w:rPr>
          <w:rFonts w:ascii="Garamond" w:eastAsia="Arial Unicode MS" w:hAnsi="Garamond" w:cs="Arial"/>
          <w:sz w:val="24"/>
          <w:szCs w:val="24"/>
          <w:lang w:val="pt-PT"/>
        </w:rPr>
        <w:t>vítima</w:t>
      </w:r>
      <w:r w:rsidR="00CA39B2" w:rsidRPr="003A1174">
        <w:rPr>
          <w:rFonts w:ascii="Garamond" w:eastAsia="Arial Unicode MS" w:hAnsi="Garamond" w:cs="Arial"/>
          <w:sz w:val="24"/>
          <w:szCs w:val="24"/>
          <w:lang w:val="pt-PT"/>
        </w:rPr>
        <w:t>s</w:t>
      </w:r>
      <w:r>
        <w:rPr>
          <w:rFonts w:ascii="Garamond" w:eastAsia="Arial Unicode MS" w:hAnsi="Garamond" w:cs="Arial"/>
          <w:sz w:val="24"/>
          <w:szCs w:val="24"/>
          <w:lang w:val="pt-PT"/>
        </w:rPr>
        <w:t>,</w:t>
      </w:r>
      <w:r w:rsidR="00CA39B2" w:rsidRPr="003A1174">
        <w:rPr>
          <w:rFonts w:ascii="Garamond" w:eastAsia="Arial Unicode MS" w:hAnsi="Garamond" w:cs="Arial"/>
          <w:sz w:val="24"/>
          <w:szCs w:val="24"/>
          <w:lang w:val="pt-PT"/>
        </w:rPr>
        <w:t xml:space="preserve"> a</w:t>
      </w:r>
      <w:r w:rsidR="00C7697D" w:rsidRPr="003A1174">
        <w:rPr>
          <w:rFonts w:ascii="Garamond" w:eastAsia="Arial Unicode MS" w:hAnsi="Garamond" w:cs="Arial"/>
          <w:sz w:val="24"/>
          <w:szCs w:val="24"/>
          <w:lang w:val="pt-PT"/>
        </w:rPr>
        <w:t xml:space="preserve">lém </w:t>
      </w:r>
      <w:r w:rsidR="00F16159" w:rsidRPr="003A1174">
        <w:rPr>
          <w:rFonts w:ascii="Garamond" w:eastAsia="Arial Unicode MS" w:hAnsi="Garamond" w:cs="Arial"/>
          <w:sz w:val="24"/>
          <w:szCs w:val="24"/>
          <w:lang w:val="pt-PT"/>
        </w:rPr>
        <w:t xml:space="preserve">de </w:t>
      </w:r>
      <w:r w:rsidR="00CE3D2D" w:rsidRPr="003A1174">
        <w:rPr>
          <w:rFonts w:ascii="Garamond" w:eastAsia="Arial Unicode MS" w:hAnsi="Garamond" w:cs="Arial"/>
          <w:sz w:val="24"/>
          <w:szCs w:val="24"/>
          <w:lang w:val="pt-PT"/>
        </w:rPr>
        <w:t xml:space="preserve">permitir </w:t>
      </w:r>
      <w:r w:rsidR="00C7697D" w:rsidRPr="003A1174">
        <w:rPr>
          <w:rFonts w:ascii="Garamond" w:eastAsia="Arial Unicode MS" w:hAnsi="Garamond" w:cs="Arial"/>
          <w:sz w:val="24"/>
          <w:szCs w:val="24"/>
          <w:lang w:val="pt-PT"/>
        </w:rPr>
        <w:t xml:space="preserve">que se disponha de um </w:t>
      </w:r>
      <w:r w:rsidR="00CA39B2" w:rsidRPr="003A1174">
        <w:rPr>
          <w:rFonts w:ascii="Garamond" w:eastAsia="Arial Unicode MS" w:hAnsi="Garamond" w:cs="Arial"/>
          <w:sz w:val="24"/>
          <w:szCs w:val="24"/>
          <w:lang w:val="pt-PT"/>
        </w:rPr>
        <w:t xml:space="preserve">panorama claro </w:t>
      </w:r>
      <w:r w:rsidR="000672E8" w:rsidRPr="003A1174">
        <w:rPr>
          <w:rFonts w:ascii="Garamond" w:eastAsia="Arial Unicode MS" w:hAnsi="Garamond" w:cs="Arial"/>
          <w:sz w:val="24"/>
          <w:szCs w:val="24"/>
          <w:lang w:val="pt-PT"/>
        </w:rPr>
        <w:t>e</w:t>
      </w:r>
      <w:r w:rsidR="00CA39B2" w:rsidRPr="003A1174">
        <w:rPr>
          <w:rFonts w:ascii="Garamond" w:eastAsia="Arial Unicode MS" w:hAnsi="Garamond" w:cs="Arial"/>
          <w:sz w:val="24"/>
          <w:szCs w:val="24"/>
          <w:lang w:val="pt-PT"/>
        </w:rPr>
        <w:t xml:space="preserve"> </w:t>
      </w:r>
      <w:r w:rsidR="00FB09CA" w:rsidRPr="003A1174">
        <w:rPr>
          <w:rFonts w:ascii="Garamond" w:eastAsia="Arial Unicode MS" w:hAnsi="Garamond" w:cs="Arial"/>
          <w:sz w:val="24"/>
          <w:szCs w:val="24"/>
          <w:lang w:val="pt-PT"/>
        </w:rPr>
        <w:t>atual</w:t>
      </w:r>
      <w:r w:rsidR="00C7697D" w:rsidRPr="003A1174">
        <w:rPr>
          <w:rFonts w:ascii="Garamond" w:eastAsia="Arial Unicode MS" w:hAnsi="Garamond" w:cs="Arial"/>
          <w:sz w:val="24"/>
          <w:szCs w:val="24"/>
          <w:lang w:val="pt-PT"/>
        </w:rPr>
        <w:t>izado sobre a problemática</w:t>
      </w:r>
      <w:r>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a fim</w:t>
      </w:r>
      <w:r w:rsidR="00CA39B2" w:rsidRPr="003A1174">
        <w:rPr>
          <w:rFonts w:ascii="Garamond" w:eastAsia="Arial Unicode MS" w:hAnsi="Garamond" w:cs="Arial"/>
          <w:sz w:val="24"/>
          <w:szCs w:val="24"/>
          <w:lang w:val="pt-PT"/>
        </w:rPr>
        <w:t xml:space="preserve"> de </w:t>
      </w:r>
      <w:r>
        <w:rPr>
          <w:rFonts w:ascii="Garamond" w:eastAsia="Arial Unicode MS" w:hAnsi="Garamond" w:cs="Arial"/>
          <w:sz w:val="24"/>
          <w:szCs w:val="24"/>
          <w:lang w:val="pt-PT"/>
        </w:rPr>
        <w:t xml:space="preserve">se </w:t>
      </w:r>
      <w:r w:rsidR="00CA39B2" w:rsidRPr="003A1174">
        <w:rPr>
          <w:rFonts w:ascii="Garamond" w:eastAsia="Arial Unicode MS" w:hAnsi="Garamond" w:cs="Arial"/>
          <w:sz w:val="24"/>
          <w:szCs w:val="24"/>
          <w:lang w:val="pt-PT"/>
        </w:rPr>
        <w:t xml:space="preserve">poder </w:t>
      </w:r>
      <w:r w:rsidR="00C7697D" w:rsidRPr="003A1174">
        <w:rPr>
          <w:rFonts w:ascii="Garamond" w:eastAsia="Arial Unicode MS" w:hAnsi="Garamond" w:cs="Arial"/>
          <w:sz w:val="24"/>
          <w:szCs w:val="24"/>
          <w:lang w:val="pt-PT"/>
        </w:rPr>
        <w:t xml:space="preserve">apresentar </w:t>
      </w:r>
      <w:r w:rsidR="00CA39B2" w:rsidRPr="003A1174">
        <w:rPr>
          <w:rFonts w:ascii="Garamond" w:eastAsia="Arial Unicode MS" w:hAnsi="Garamond" w:cs="Arial"/>
          <w:sz w:val="24"/>
          <w:szCs w:val="24"/>
          <w:lang w:val="pt-PT"/>
        </w:rPr>
        <w:t>e implementar políticas públicas</w:t>
      </w:r>
      <w:r>
        <w:rPr>
          <w:rFonts w:ascii="Garamond" w:eastAsia="Arial Unicode MS" w:hAnsi="Garamond" w:cs="Arial"/>
          <w:sz w:val="24"/>
          <w:szCs w:val="24"/>
          <w:lang w:val="pt-PT"/>
        </w:rPr>
        <w:t>,</w:t>
      </w:r>
      <w:r w:rsidR="00CA39B2" w:rsidRPr="003A1174">
        <w:rPr>
          <w:rFonts w:ascii="Garamond" w:eastAsia="Arial Unicode MS" w:hAnsi="Garamond" w:cs="Arial"/>
          <w:sz w:val="24"/>
          <w:szCs w:val="24"/>
          <w:lang w:val="pt-PT"/>
        </w:rPr>
        <w:t xml:space="preserve"> realmente </w:t>
      </w:r>
      <w:r w:rsidR="00D84A9F" w:rsidRPr="003A1174">
        <w:rPr>
          <w:rFonts w:ascii="Garamond" w:eastAsia="Arial Unicode MS" w:hAnsi="Garamond" w:cs="Arial"/>
          <w:sz w:val="24"/>
          <w:szCs w:val="24"/>
          <w:lang w:val="pt-PT"/>
        </w:rPr>
        <w:t>efetiva</w:t>
      </w:r>
      <w:r w:rsidR="00CA39B2" w:rsidRPr="003A1174">
        <w:rPr>
          <w:rFonts w:ascii="Garamond" w:eastAsia="Arial Unicode MS" w:hAnsi="Garamond" w:cs="Arial"/>
          <w:sz w:val="24"/>
          <w:szCs w:val="24"/>
          <w:lang w:val="pt-PT"/>
        </w:rPr>
        <w:t>s.</w:t>
      </w:r>
    </w:p>
    <w:p w:rsidR="00CF5971" w:rsidRPr="003A1174" w:rsidRDefault="00C7697D" w:rsidP="008719D4">
      <w:pPr>
        <w:pStyle w:val="Prrafodelista"/>
        <w:numPr>
          <w:ilvl w:val="0"/>
          <w:numId w:val="44"/>
        </w:numPr>
        <w:spacing w:before="240" w:line="240" w:lineRule="auto"/>
        <w:ind w:hanging="578"/>
        <w:jc w:val="both"/>
        <w:rPr>
          <w:rFonts w:ascii="Garamond" w:hAnsi="Garamond" w:cs="Arial"/>
          <w:sz w:val="24"/>
          <w:szCs w:val="24"/>
          <w:lang w:val="pt-PT"/>
        </w:rPr>
      </w:pPr>
      <w:r w:rsidRPr="003A1174">
        <w:rPr>
          <w:rFonts w:ascii="Garamond" w:eastAsia="Arial Unicode MS" w:hAnsi="Garamond" w:cs="Arial"/>
          <w:sz w:val="24"/>
          <w:szCs w:val="24"/>
          <w:lang w:val="pt-PT"/>
        </w:rPr>
        <w:t xml:space="preserve">Salientamos </w:t>
      </w:r>
      <w:r w:rsidR="00CE3D2D" w:rsidRPr="003A1174">
        <w:rPr>
          <w:rFonts w:ascii="Garamond" w:eastAsia="Arial Unicode MS" w:hAnsi="Garamond" w:cs="Arial"/>
          <w:sz w:val="24"/>
          <w:szCs w:val="24"/>
          <w:lang w:val="pt-PT"/>
        </w:rPr>
        <w:t>que</w:t>
      </w:r>
      <w:r w:rsidR="00B54C58">
        <w:rPr>
          <w:rFonts w:ascii="Garamond" w:eastAsia="Arial Unicode MS" w:hAnsi="Garamond" w:cs="Arial"/>
          <w:sz w:val="24"/>
          <w:szCs w:val="24"/>
          <w:lang w:val="pt-PT"/>
        </w:rPr>
        <w:t>,</w:t>
      </w:r>
      <w:r w:rsidR="00CE3D2D" w:rsidRPr="003A1174">
        <w:rPr>
          <w:rFonts w:ascii="Garamond" w:eastAsia="Arial Unicode MS" w:hAnsi="Garamond" w:cs="Arial"/>
          <w:sz w:val="24"/>
          <w:szCs w:val="24"/>
          <w:lang w:val="pt-PT"/>
        </w:rPr>
        <w:t xml:space="preserve"> </w:t>
      </w:r>
      <w:r w:rsidRPr="003A1174">
        <w:rPr>
          <w:rFonts w:ascii="Garamond" w:eastAsia="Arial Unicode MS" w:hAnsi="Garamond" w:cs="Arial"/>
          <w:sz w:val="24"/>
          <w:szCs w:val="24"/>
          <w:lang w:val="pt-PT"/>
        </w:rPr>
        <w:t xml:space="preserve">de acordo com o que se depreende da </w:t>
      </w:r>
      <w:r w:rsidR="0017447A" w:rsidRPr="003A1174">
        <w:rPr>
          <w:rFonts w:ascii="Garamond" w:eastAsia="Arial Unicode MS" w:hAnsi="Garamond" w:cs="Arial"/>
          <w:sz w:val="24"/>
          <w:szCs w:val="24"/>
          <w:lang w:val="pt-PT"/>
        </w:rPr>
        <w:t>informação</w:t>
      </w:r>
      <w:r w:rsidR="00CE3D2D" w:rsidRPr="003A1174">
        <w:rPr>
          <w:rFonts w:ascii="Garamond" w:eastAsia="Arial Unicode MS" w:hAnsi="Garamond" w:cs="Arial"/>
          <w:sz w:val="24"/>
          <w:szCs w:val="24"/>
          <w:lang w:val="pt-PT"/>
        </w:rPr>
        <w:t xml:space="preserve"> rec</w:t>
      </w:r>
      <w:r w:rsidRPr="003A1174">
        <w:rPr>
          <w:rFonts w:ascii="Garamond" w:eastAsia="Arial Unicode MS" w:hAnsi="Garamond" w:cs="Arial"/>
          <w:sz w:val="24"/>
          <w:szCs w:val="24"/>
          <w:lang w:val="pt-PT"/>
        </w:rPr>
        <w:t>olhida, s</w:t>
      </w:r>
      <w:r w:rsidR="002D5CE8" w:rsidRPr="003A1174">
        <w:rPr>
          <w:rFonts w:ascii="Garamond" w:eastAsia="Arial Unicode MS" w:hAnsi="Garamond" w:cs="Arial"/>
          <w:sz w:val="24"/>
          <w:szCs w:val="24"/>
          <w:lang w:val="pt-PT"/>
        </w:rPr>
        <w:t>alvo casos exce</w:t>
      </w:r>
      <w:r w:rsidRPr="003A1174">
        <w:rPr>
          <w:rFonts w:ascii="Garamond" w:eastAsia="Arial Unicode MS" w:hAnsi="Garamond" w:cs="Arial"/>
          <w:sz w:val="24"/>
          <w:szCs w:val="24"/>
          <w:lang w:val="pt-PT"/>
        </w:rPr>
        <w:t xml:space="preserve">cionais, </w:t>
      </w:r>
      <w:r w:rsidR="002D5CE8" w:rsidRPr="003A1174">
        <w:rPr>
          <w:rFonts w:ascii="Garamond" w:eastAsia="Arial Unicode MS" w:hAnsi="Garamond" w:cs="Arial"/>
          <w:sz w:val="24"/>
          <w:szCs w:val="24"/>
          <w:lang w:val="pt-PT"/>
        </w:rPr>
        <w:t xml:space="preserve">os </w:t>
      </w:r>
      <w:r w:rsidR="00CE3D2D" w:rsidRPr="003A1174">
        <w:rPr>
          <w:rFonts w:ascii="Garamond" w:eastAsia="Arial Unicode MS" w:hAnsi="Garamond" w:cs="Arial"/>
          <w:sz w:val="24"/>
          <w:szCs w:val="24"/>
          <w:lang w:val="pt-PT"/>
        </w:rPr>
        <w:t>Estado</w:t>
      </w:r>
      <w:r w:rsidR="002D5CE8" w:rsidRPr="003A1174">
        <w:rPr>
          <w:rFonts w:ascii="Garamond" w:eastAsia="Arial Unicode MS" w:hAnsi="Garamond" w:cs="Arial"/>
          <w:sz w:val="24"/>
          <w:szCs w:val="24"/>
          <w:lang w:val="pt-PT"/>
        </w:rPr>
        <w:t xml:space="preserve">s </w:t>
      </w:r>
      <w:r w:rsidR="00CA39B2" w:rsidRPr="003A1174">
        <w:rPr>
          <w:rFonts w:ascii="Garamond" w:eastAsia="Arial Unicode MS" w:hAnsi="Garamond" w:cs="Arial"/>
          <w:sz w:val="24"/>
          <w:szCs w:val="24"/>
          <w:lang w:val="pt-PT"/>
        </w:rPr>
        <w:t>carece</w:t>
      </w:r>
      <w:r w:rsidRPr="003A1174">
        <w:rPr>
          <w:rFonts w:ascii="Garamond" w:eastAsia="Arial Unicode MS" w:hAnsi="Garamond" w:cs="Arial"/>
          <w:sz w:val="24"/>
          <w:szCs w:val="24"/>
          <w:lang w:val="pt-PT"/>
        </w:rPr>
        <w:t>m de um</w:t>
      </w:r>
      <w:r w:rsidR="00CA39B2" w:rsidRPr="003A1174">
        <w:rPr>
          <w:rFonts w:ascii="Garamond" w:eastAsia="Arial Unicode MS" w:hAnsi="Garamond" w:cs="Arial"/>
          <w:sz w:val="24"/>
          <w:szCs w:val="24"/>
          <w:lang w:val="pt-PT"/>
        </w:rPr>
        <w:t xml:space="preserve">a </w:t>
      </w:r>
      <w:r w:rsidR="00800D59" w:rsidRPr="003A1174">
        <w:rPr>
          <w:rFonts w:ascii="Garamond" w:eastAsia="Arial Unicode MS" w:hAnsi="Garamond" w:cs="Arial"/>
          <w:sz w:val="24"/>
          <w:szCs w:val="24"/>
          <w:lang w:val="pt-PT"/>
        </w:rPr>
        <w:t>sistematização</w:t>
      </w:r>
      <w:r w:rsidR="00CA39B2" w:rsidRPr="003A1174">
        <w:rPr>
          <w:rFonts w:ascii="Garamond" w:eastAsia="Arial Unicode MS" w:hAnsi="Garamond" w:cs="Arial"/>
          <w:sz w:val="24"/>
          <w:szCs w:val="24"/>
          <w:lang w:val="pt-PT"/>
        </w:rPr>
        <w:t xml:space="preserve"> de </w:t>
      </w:r>
      <w:r w:rsidR="00175015" w:rsidRPr="003A1174">
        <w:rPr>
          <w:rFonts w:ascii="Garamond" w:eastAsia="Arial Unicode MS" w:hAnsi="Garamond" w:cs="Arial"/>
          <w:sz w:val="24"/>
          <w:szCs w:val="24"/>
          <w:lang w:val="pt-PT"/>
        </w:rPr>
        <w:t>resoluções</w:t>
      </w:r>
      <w:r w:rsidR="00CA39B2" w:rsidRPr="003A1174">
        <w:rPr>
          <w:rFonts w:ascii="Garamond" w:eastAsia="Arial Unicode MS" w:hAnsi="Garamond" w:cs="Arial"/>
          <w:sz w:val="24"/>
          <w:szCs w:val="24"/>
          <w:lang w:val="pt-PT"/>
        </w:rPr>
        <w:t xml:space="preserve"> </w:t>
      </w:r>
      <w:r w:rsidR="002D1021" w:rsidRPr="003A1174">
        <w:rPr>
          <w:rFonts w:ascii="Garamond" w:eastAsia="Arial Unicode MS" w:hAnsi="Garamond" w:cs="Arial"/>
          <w:sz w:val="24"/>
          <w:szCs w:val="24"/>
          <w:lang w:val="pt-PT"/>
        </w:rPr>
        <w:t>judiciais</w:t>
      </w:r>
      <w:r w:rsidR="00CA39B2" w:rsidRPr="003A1174">
        <w:rPr>
          <w:rFonts w:ascii="Garamond" w:eastAsia="Arial Unicode MS" w:hAnsi="Garamond" w:cs="Arial"/>
          <w:sz w:val="24"/>
          <w:szCs w:val="24"/>
          <w:lang w:val="pt-PT"/>
        </w:rPr>
        <w:t xml:space="preserve"> </w:t>
      </w:r>
      <w:r w:rsidR="000672E8" w:rsidRPr="003A1174">
        <w:rPr>
          <w:rFonts w:ascii="Garamond" w:eastAsia="Arial Unicode MS" w:hAnsi="Garamond" w:cs="Arial"/>
          <w:sz w:val="24"/>
          <w:szCs w:val="24"/>
          <w:lang w:val="pt-PT"/>
        </w:rPr>
        <w:t>e</w:t>
      </w:r>
      <w:r w:rsidR="00CA39B2" w:rsidRPr="003A1174">
        <w:rPr>
          <w:rFonts w:ascii="Garamond" w:eastAsia="Arial Unicode MS" w:hAnsi="Garamond" w:cs="Arial"/>
          <w:sz w:val="24"/>
          <w:szCs w:val="24"/>
          <w:lang w:val="pt-PT"/>
        </w:rPr>
        <w:t xml:space="preserve"> de </w:t>
      </w:r>
      <w:r w:rsidR="00175015" w:rsidRPr="003A1174">
        <w:rPr>
          <w:rFonts w:ascii="Garamond" w:eastAsia="Arial Unicode MS" w:hAnsi="Garamond" w:cs="Arial"/>
          <w:sz w:val="24"/>
          <w:szCs w:val="24"/>
          <w:lang w:val="pt-PT"/>
        </w:rPr>
        <w:t>Observatório</w:t>
      </w:r>
      <w:r w:rsidR="00CA39B2" w:rsidRPr="003A1174">
        <w:rPr>
          <w:rFonts w:ascii="Garamond" w:eastAsia="Arial Unicode MS" w:hAnsi="Garamond" w:cs="Arial"/>
          <w:sz w:val="24"/>
          <w:szCs w:val="24"/>
          <w:lang w:val="pt-PT"/>
        </w:rPr>
        <w:t>s</w:t>
      </w:r>
      <w:r w:rsidR="0069393F">
        <w:rPr>
          <w:rFonts w:ascii="Garamond" w:eastAsia="Arial Unicode MS" w:hAnsi="Garamond" w:cs="Arial"/>
          <w:sz w:val="24"/>
          <w:szCs w:val="24"/>
          <w:lang w:val="pt-PT"/>
        </w:rPr>
        <w:t>, a funcionar junto</w:t>
      </w:r>
      <w:r w:rsidR="002D5CE8" w:rsidRPr="003A1174">
        <w:rPr>
          <w:rFonts w:ascii="Garamond" w:eastAsia="Arial Unicode MS" w:hAnsi="Garamond" w:cs="Arial"/>
          <w:sz w:val="24"/>
          <w:szCs w:val="24"/>
          <w:lang w:val="pt-PT"/>
        </w:rPr>
        <w:t xml:space="preserve"> </w:t>
      </w:r>
      <w:r w:rsidR="00497503" w:rsidRPr="003A1174">
        <w:rPr>
          <w:rFonts w:ascii="Garamond" w:eastAsia="Arial Unicode MS" w:hAnsi="Garamond" w:cs="Arial"/>
          <w:sz w:val="24"/>
          <w:szCs w:val="24"/>
          <w:lang w:val="pt-PT"/>
        </w:rPr>
        <w:t>dos</w:t>
      </w:r>
      <w:r w:rsidR="002D5CE8" w:rsidRPr="003A1174">
        <w:rPr>
          <w:rFonts w:ascii="Garamond" w:eastAsia="Arial Unicode MS" w:hAnsi="Garamond" w:cs="Arial"/>
          <w:sz w:val="24"/>
          <w:szCs w:val="24"/>
          <w:lang w:val="pt-PT"/>
        </w:rPr>
        <w:t xml:space="preserve"> </w:t>
      </w:r>
      <w:r w:rsidRPr="003A1174">
        <w:rPr>
          <w:rFonts w:ascii="Garamond" w:eastAsia="Arial Unicode MS" w:hAnsi="Garamond" w:cs="Arial"/>
          <w:sz w:val="24"/>
          <w:szCs w:val="24"/>
          <w:lang w:val="pt-PT"/>
        </w:rPr>
        <w:t xml:space="preserve">aparelhos </w:t>
      </w:r>
      <w:r w:rsidR="002D5CE8" w:rsidRPr="003A1174">
        <w:rPr>
          <w:rFonts w:ascii="Garamond" w:eastAsia="Arial Unicode MS" w:hAnsi="Garamond" w:cs="Arial"/>
          <w:sz w:val="24"/>
          <w:szCs w:val="24"/>
          <w:lang w:val="pt-PT"/>
        </w:rPr>
        <w:t xml:space="preserve">de </w:t>
      </w:r>
      <w:r w:rsidR="00FC1F7F" w:rsidRPr="003A1174">
        <w:rPr>
          <w:rFonts w:ascii="Garamond" w:eastAsia="Arial Unicode MS" w:hAnsi="Garamond" w:cs="Arial"/>
          <w:sz w:val="24"/>
          <w:szCs w:val="24"/>
          <w:lang w:val="pt-PT"/>
        </w:rPr>
        <w:t>justiça</w:t>
      </w:r>
      <w:r w:rsidR="0069393F">
        <w:rPr>
          <w:rFonts w:ascii="Garamond" w:eastAsia="Arial Unicode MS" w:hAnsi="Garamond" w:cs="Arial"/>
          <w:sz w:val="24"/>
          <w:szCs w:val="24"/>
          <w:lang w:val="pt-PT"/>
        </w:rPr>
        <w:t xml:space="preserve"> para verificação</w:t>
      </w:r>
      <w:r w:rsidR="00CE3D2D" w:rsidRPr="003A1174">
        <w:rPr>
          <w:rFonts w:ascii="Garamond" w:eastAsia="Arial Unicode MS" w:hAnsi="Garamond" w:cs="Arial"/>
          <w:sz w:val="24"/>
          <w:szCs w:val="24"/>
          <w:lang w:val="pt-PT"/>
        </w:rPr>
        <w:t xml:space="preserve"> </w:t>
      </w:r>
      <w:r w:rsidRPr="003A1174">
        <w:rPr>
          <w:rFonts w:ascii="Garamond" w:eastAsia="Arial Unicode MS" w:hAnsi="Garamond" w:cs="Arial"/>
          <w:sz w:val="24"/>
          <w:szCs w:val="24"/>
          <w:lang w:val="pt-PT"/>
        </w:rPr>
        <w:t xml:space="preserve">do </w:t>
      </w:r>
      <w:r w:rsidR="001C2738" w:rsidRPr="003A1174">
        <w:rPr>
          <w:rFonts w:ascii="Garamond" w:eastAsia="Arial Unicode MS" w:hAnsi="Garamond" w:cs="Arial"/>
          <w:sz w:val="24"/>
          <w:szCs w:val="24"/>
          <w:lang w:val="pt-PT"/>
        </w:rPr>
        <w:t>tratamento</w:t>
      </w:r>
      <w:r w:rsidR="00CE3D2D" w:rsidRPr="003A1174">
        <w:rPr>
          <w:rFonts w:ascii="Garamond" w:eastAsia="Arial Unicode MS" w:hAnsi="Garamond" w:cs="Arial"/>
          <w:sz w:val="24"/>
          <w:szCs w:val="24"/>
          <w:lang w:val="pt-PT"/>
        </w:rPr>
        <w:t xml:space="preserve"> </w:t>
      </w:r>
      <w:r w:rsidR="00287EAE" w:rsidRPr="003A1174">
        <w:rPr>
          <w:rFonts w:ascii="Garamond" w:eastAsia="Arial Unicode MS" w:hAnsi="Garamond" w:cs="Arial"/>
          <w:sz w:val="24"/>
          <w:szCs w:val="24"/>
          <w:lang w:val="pt-PT"/>
        </w:rPr>
        <w:t xml:space="preserve">que </w:t>
      </w:r>
      <w:r w:rsidR="0069393F">
        <w:rPr>
          <w:rFonts w:ascii="Garamond" w:eastAsia="Arial Unicode MS" w:hAnsi="Garamond" w:cs="Arial"/>
          <w:sz w:val="24"/>
          <w:szCs w:val="24"/>
          <w:lang w:val="pt-PT"/>
        </w:rPr>
        <w:t xml:space="preserve">dão </w:t>
      </w:r>
      <w:r w:rsidRPr="003A1174">
        <w:rPr>
          <w:rFonts w:ascii="Garamond" w:eastAsia="Arial Unicode MS" w:hAnsi="Garamond" w:cs="Arial"/>
          <w:sz w:val="24"/>
          <w:szCs w:val="24"/>
          <w:lang w:val="pt-PT"/>
        </w:rPr>
        <w:t xml:space="preserve">ao </w:t>
      </w:r>
      <w:r w:rsidR="00CE3D2D" w:rsidRPr="003A1174">
        <w:rPr>
          <w:rFonts w:ascii="Garamond" w:eastAsia="Arial Unicode MS" w:hAnsi="Garamond" w:cs="Arial"/>
          <w:sz w:val="24"/>
          <w:szCs w:val="24"/>
          <w:lang w:val="pt-PT"/>
        </w:rPr>
        <w:t>fenómeno d</w:t>
      </w:r>
      <w:r w:rsidR="002D5CE8" w:rsidRPr="003A1174">
        <w:rPr>
          <w:rFonts w:ascii="Garamond" w:eastAsia="Arial Unicode MS" w:hAnsi="Garamond" w:cs="Arial"/>
          <w:sz w:val="24"/>
          <w:szCs w:val="24"/>
          <w:lang w:val="pt-PT"/>
        </w:rPr>
        <w:t xml:space="preserve">a </w:t>
      </w:r>
      <w:r w:rsidR="000350B1" w:rsidRPr="003A1174">
        <w:rPr>
          <w:rFonts w:ascii="Garamond" w:eastAsia="Arial Unicode MS" w:hAnsi="Garamond" w:cs="Arial"/>
          <w:sz w:val="24"/>
          <w:szCs w:val="24"/>
          <w:lang w:val="pt-PT"/>
        </w:rPr>
        <w:t>violência</w:t>
      </w:r>
      <w:r w:rsidR="002D5CE8" w:rsidRPr="003A1174">
        <w:rPr>
          <w:rFonts w:ascii="Garamond" w:eastAsia="Arial Unicode MS" w:hAnsi="Garamond" w:cs="Arial"/>
          <w:sz w:val="24"/>
          <w:szCs w:val="24"/>
          <w:lang w:val="pt-PT"/>
        </w:rPr>
        <w:t xml:space="preserve"> </w:t>
      </w:r>
      <w:r w:rsidR="00BB2B00" w:rsidRPr="003A1174">
        <w:rPr>
          <w:rFonts w:ascii="Garamond" w:eastAsia="Arial Unicode MS" w:hAnsi="Garamond" w:cs="Arial"/>
          <w:sz w:val="24"/>
          <w:szCs w:val="24"/>
          <w:lang w:val="pt-PT"/>
        </w:rPr>
        <w:t>contra a</w:t>
      </w:r>
      <w:r w:rsidR="00CE3D2D" w:rsidRPr="003A1174">
        <w:rPr>
          <w:rFonts w:ascii="Garamond" w:eastAsia="Arial Unicode MS" w:hAnsi="Garamond" w:cs="Arial"/>
          <w:sz w:val="24"/>
          <w:szCs w:val="24"/>
          <w:lang w:val="pt-PT"/>
        </w:rPr>
        <w:t>s</w:t>
      </w:r>
      <w:r w:rsidR="002D5CE8" w:rsidRPr="003A1174">
        <w:rPr>
          <w:rFonts w:ascii="Garamond" w:eastAsia="Arial Unicode MS" w:hAnsi="Garamond" w:cs="Arial"/>
          <w:sz w:val="24"/>
          <w:szCs w:val="24"/>
          <w:lang w:val="pt-PT"/>
        </w:rPr>
        <w:t xml:space="preserve"> </w:t>
      </w:r>
      <w:r w:rsidR="00054EE0" w:rsidRPr="003A1174">
        <w:rPr>
          <w:rFonts w:ascii="Garamond" w:eastAsia="Arial Unicode MS" w:hAnsi="Garamond" w:cs="Arial"/>
          <w:sz w:val="24"/>
          <w:szCs w:val="24"/>
          <w:lang w:val="pt-PT"/>
        </w:rPr>
        <w:t>mulheres</w:t>
      </w:r>
      <w:r w:rsidR="002D5CE8" w:rsidRPr="003A1174">
        <w:rPr>
          <w:rFonts w:ascii="Garamond" w:eastAsia="Arial Unicode MS" w:hAnsi="Garamond" w:cs="Arial"/>
          <w:sz w:val="24"/>
          <w:szCs w:val="24"/>
          <w:lang w:val="pt-PT"/>
        </w:rPr>
        <w:t xml:space="preserve">, </w:t>
      </w:r>
      <w:r w:rsidR="0017447A" w:rsidRPr="003A1174">
        <w:rPr>
          <w:rFonts w:ascii="Garamond" w:eastAsia="Arial Unicode MS" w:hAnsi="Garamond" w:cs="Arial"/>
          <w:sz w:val="24"/>
          <w:szCs w:val="24"/>
          <w:lang w:val="pt-PT"/>
        </w:rPr>
        <w:t>situação</w:t>
      </w:r>
      <w:r w:rsidR="00CE3D2D" w:rsidRPr="003A1174">
        <w:rPr>
          <w:rFonts w:ascii="Garamond" w:eastAsia="Arial Unicode MS" w:hAnsi="Garamond" w:cs="Arial"/>
          <w:sz w:val="24"/>
          <w:szCs w:val="24"/>
          <w:lang w:val="pt-PT"/>
        </w:rPr>
        <w:t xml:space="preserve"> </w:t>
      </w:r>
      <w:r w:rsidR="002D5CE8" w:rsidRPr="003A1174">
        <w:rPr>
          <w:rFonts w:ascii="Garamond" w:eastAsia="Arial Unicode MS" w:hAnsi="Garamond" w:cs="Arial"/>
          <w:sz w:val="24"/>
          <w:szCs w:val="24"/>
          <w:lang w:val="pt-PT"/>
        </w:rPr>
        <w:t xml:space="preserve">que </w:t>
      </w:r>
      <w:r w:rsidR="00A862C2" w:rsidRPr="003A1174">
        <w:rPr>
          <w:rFonts w:ascii="Garamond" w:eastAsia="Arial Unicode MS" w:hAnsi="Garamond" w:cs="Arial"/>
          <w:sz w:val="24"/>
          <w:szCs w:val="24"/>
          <w:lang w:val="pt-PT"/>
        </w:rPr>
        <w:t>deve</w:t>
      </w:r>
      <w:r w:rsidR="002D5CE8" w:rsidRPr="003A1174">
        <w:rPr>
          <w:rFonts w:ascii="Garamond" w:eastAsia="Arial Unicode MS" w:hAnsi="Garamond" w:cs="Arial"/>
          <w:sz w:val="24"/>
          <w:szCs w:val="24"/>
          <w:lang w:val="pt-PT"/>
        </w:rPr>
        <w:t xml:space="preserve"> ser </w:t>
      </w:r>
      <w:r w:rsidRPr="003A1174">
        <w:rPr>
          <w:rFonts w:ascii="Garamond" w:eastAsia="Arial Unicode MS" w:hAnsi="Garamond" w:cs="Arial"/>
          <w:sz w:val="24"/>
          <w:szCs w:val="24"/>
          <w:lang w:val="pt-PT"/>
        </w:rPr>
        <w:t xml:space="preserve">rápida e </w:t>
      </w:r>
      <w:r w:rsidR="002D5CE8" w:rsidRPr="003A1174">
        <w:rPr>
          <w:rFonts w:ascii="Garamond" w:eastAsia="Arial Unicode MS" w:hAnsi="Garamond" w:cs="Arial"/>
          <w:sz w:val="24"/>
          <w:szCs w:val="24"/>
          <w:lang w:val="pt-PT"/>
        </w:rPr>
        <w:t>decididamente superada</w:t>
      </w:r>
      <w:r w:rsidR="00CA39B2" w:rsidRPr="003A1174">
        <w:rPr>
          <w:rFonts w:ascii="Garamond" w:eastAsia="Arial Unicode MS" w:hAnsi="Garamond" w:cs="Arial"/>
          <w:sz w:val="24"/>
          <w:szCs w:val="24"/>
          <w:lang w:val="pt-PT"/>
        </w:rPr>
        <w:t>.</w:t>
      </w:r>
    </w:p>
    <w:p w:rsidR="00CF5971" w:rsidRPr="003A1174" w:rsidRDefault="004240EC" w:rsidP="00C7697D">
      <w:pPr>
        <w:pStyle w:val="Prrafodelista"/>
        <w:numPr>
          <w:ilvl w:val="0"/>
          <w:numId w:val="44"/>
        </w:numPr>
        <w:spacing w:before="240" w:line="240" w:lineRule="auto"/>
        <w:ind w:hanging="578"/>
        <w:jc w:val="both"/>
        <w:rPr>
          <w:rFonts w:ascii="Garamond" w:hAnsi="Garamond" w:cs="Arial"/>
          <w:sz w:val="24"/>
          <w:szCs w:val="24"/>
          <w:lang w:val="pt-PT"/>
        </w:rPr>
      </w:pPr>
      <w:r>
        <w:rPr>
          <w:rFonts w:ascii="Garamond" w:eastAsia="Arial Unicode MS" w:hAnsi="Garamond" w:cs="Arial"/>
          <w:sz w:val="24"/>
          <w:szCs w:val="24"/>
          <w:lang w:val="pt-PT"/>
        </w:rPr>
        <w:t>Cabe chamar a atenção para</w:t>
      </w:r>
      <w:r w:rsidR="00CE3D2D"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 xml:space="preserve">o </w:t>
      </w:r>
      <w:r w:rsidR="001647F2" w:rsidRPr="003A1174">
        <w:rPr>
          <w:rFonts w:ascii="Garamond" w:eastAsia="Arial Unicode MS" w:hAnsi="Garamond" w:cs="Arial"/>
          <w:sz w:val="24"/>
          <w:szCs w:val="24"/>
          <w:lang w:val="pt-PT"/>
        </w:rPr>
        <w:t>facto</w:t>
      </w:r>
      <w:r w:rsidR="00287EAE" w:rsidRPr="003A1174">
        <w:rPr>
          <w:rFonts w:ascii="Garamond" w:eastAsia="Arial Unicode MS" w:hAnsi="Garamond" w:cs="Arial"/>
          <w:sz w:val="24"/>
          <w:szCs w:val="24"/>
          <w:lang w:val="pt-PT"/>
        </w:rPr>
        <w:t xml:space="preserve"> de </w:t>
      </w:r>
      <w:r w:rsidR="00C7697D" w:rsidRPr="003A1174">
        <w:rPr>
          <w:rFonts w:ascii="Garamond" w:eastAsia="Arial Unicode MS" w:hAnsi="Garamond" w:cs="Arial"/>
          <w:sz w:val="24"/>
          <w:szCs w:val="24"/>
          <w:lang w:val="pt-PT"/>
        </w:rPr>
        <w:t>que</w:t>
      </w:r>
      <w:r>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w:t>
      </w:r>
      <w:r w:rsidR="00CE3D2D" w:rsidRPr="003A1174">
        <w:rPr>
          <w:rFonts w:ascii="Garamond" w:eastAsia="Arial Unicode MS" w:hAnsi="Garamond" w:cs="Arial"/>
          <w:sz w:val="24"/>
          <w:szCs w:val="24"/>
          <w:lang w:val="pt-PT"/>
        </w:rPr>
        <w:t xml:space="preserve">a </w:t>
      </w:r>
      <w:r w:rsidR="00CA39B2" w:rsidRPr="003A1174">
        <w:rPr>
          <w:rFonts w:ascii="Garamond" w:eastAsia="Arial Unicode MS" w:hAnsi="Garamond" w:cs="Arial"/>
          <w:sz w:val="24"/>
          <w:szCs w:val="24"/>
          <w:lang w:val="pt-PT"/>
        </w:rPr>
        <w:t>a</w:t>
      </w:r>
      <w:r w:rsidR="00C7697D" w:rsidRPr="003A1174">
        <w:rPr>
          <w:rFonts w:ascii="Garamond" w:eastAsia="Arial Unicode MS" w:hAnsi="Garamond" w:cs="Arial"/>
          <w:sz w:val="24"/>
          <w:szCs w:val="24"/>
          <w:lang w:val="pt-PT"/>
        </w:rPr>
        <w:t xml:space="preserve">tribuição </w:t>
      </w:r>
      <w:r w:rsidR="00CA39B2" w:rsidRPr="003A1174">
        <w:rPr>
          <w:rFonts w:ascii="Garamond" w:eastAsia="Arial Unicode MS" w:hAnsi="Garamond" w:cs="Arial"/>
          <w:sz w:val="24"/>
          <w:szCs w:val="24"/>
          <w:lang w:val="pt-PT"/>
        </w:rPr>
        <w:t>de recursos</w:t>
      </w:r>
      <w:r w:rsidR="00C7697D" w:rsidRPr="003A1174">
        <w:rPr>
          <w:rFonts w:ascii="Garamond" w:eastAsia="Arial Unicode MS" w:hAnsi="Garamond" w:cs="Arial"/>
          <w:sz w:val="24"/>
          <w:szCs w:val="24"/>
          <w:lang w:val="pt-PT"/>
        </w:rPr>
        <w:t xml:space="preserve"> orçamentais</w:t>
      </w:r>
      <w:r>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é um indicador fundamental d</w:t>
      </w:r>
      <w:r w:rsidR="00CA39B2" w:rsidRPr="003A1174">
        <w:rPr>
          <w:rFonts w:ascii="Garamond" w:eastAsia="Arial Unicode MS" w:hAnsi="Garamond" w:cs="Arial"/>
          <w:sz w:val="24"/>
          <w:szCs w:val="24"/>
          <w:lang w:val="pt-PT"/>
        </w:rPr>
        <w:t xml:space="preserve">a </w:t>
      </w:r>
      <w:r w:rsidR="002A59E7" w:rsidRPr="003A1174">
        <w:rPr>
          <w:rFonts w:ascii="Garamond" w:eastAsia="Arial Unicode MS" w:hAnsi="Garamond" w:cs="Arial"/>
          <w:sz w:val="24"/>
          <w:szCs w:val="24"/>
          <w:lang w:val="pt-PT"/>
        </w:rPr>
        <w:t>vontade</w:t>
      </w:r>
      <w:r w:rsidR="00CA39B2" w:rsidRPr="003A1174">
        <w:rPr>
          <w:rFonts w:ascii="Garamond" w:eastAsia="Arial Unicode MS" w:hAnsi="Garamond" w:cs="Arial"/>
          <w:sz w:val="24"/>
          <w:szCs w:val="24"/>
          <w:lang w:val="pt-PT"/>
        </w:rPr>
        <w:t xml:space="preserve"> política </w:t>
      </w:r>
      <w:r w:rsidR="00E85E59" w:rsidRPr="003A1174">
        <w:rPr>
          <w:rFonts w:ascii="Garamond" w:eastAsia="Arial Unicode MS" w:hAnsi="Garamond" w:cs="Arial"/>
          <w:sz w:val="24"/>
          <w:szCs w:val="24"/>
          <w:lang w:val="pt-PT"/>
        </w:rPr>
        <w:t>do</w:t>
      </w:r>
      <w:r w:rsidR="00CA39B2" w:rsidRPr="003A1174">
        <w:rPr>
          <w:rFonts w:ascii="Garamond" w:eastAsia="Arial Unicode MS" w:hAnsi="Garamond" w:cs="Arial"/>
          <w:sz w:val="24"/>
          <w:szCs w:val="24"/>
          <w:lang w:val="pt-PT"/>
        </w:rPr>
        <w:t xml:space="preserve"> Estado para </w:t>
      </w:r>
      <w:r>
        <w:rPr>
          <w:rFonts w:ascii="Garamond" w:eastAsia="Arial Unicode MS" w:hAnsi="Garamond" w:cs="Arial"/>
          <w:sz w:val="24"/>
          <w:szCs w:val="24"/>
          <w:lang w:val="pt-PT"/>
        </w:rPr>
        <w:t xml:space="preserve">combater </w:t>
      </w:r>
      <w:r w:rsidR="00CA39B2" w:rsidRPr="003A1174">
        <w:rPr>
          <w:rFonts w:ascii="Garamond" w:eastAsia="Arial Unicode MS" w:hAnsi="Garamond" w:cs="Arial"/>
          <w:sz w:val="24"/>
          <w:szCs w:val="24"/>
          <w:lang w:val="pt-PT"/>
        </w:rPr>
        <w:t xml:space="preserve">a </w:t>
      </w:r>
      <w:r w:rsidR="0017447A" w:rsidRPr="003A1174">
        <w:rPr>
          <w:rFonts w:ascii="Garamond" w:eastAsia="Arial Unicode MS" w:hAnsi="Garamond" w:cs="Arial"/>
          <w:sz w:val="24"/>
          <w:szCs w:val="24"/>
          <w:lang w:val="pt-PT"/>
        </w:rPr>
        <w:t>discriminação</w:t>
      </w:r>
      <w:r w:rsidR="00CA39B2" w:rsidRPr="003A1174">
        <w:rPr>
          <w:rFonts w:ascii="Garamond" w:eastAsia="Arial Unicode MS" w:hAnsi="Garamond" w:cs="Arial"/>
          <w:sz w:val="24"/>
          <w:szCs w:val="24"/>
          <w:lang w:val="pt-PT"/>
        </w:rPr>
        <w:t xml:space="preserve"> </w:t>
      </w:r>
      <w:r w:rsidR="000672E8" w:rsidRPr="003A1174">
        <w:rPr>
          <w:rFonts w:ascii="Garamond" w:eastAsia="Arial Unicode MS" w:hAnsi="Garamond" w:cs="Arial"/>
          <w:sz w:val="24"/>
          <w:szCs w:val="24"/>
          <w:lang w:val="pt-PT"/>
        </w:rPr>
        <w:t>e</w:t>
      </w:r>
      <w:r w:rsidR="00CA39B2" w:rsidRPr="003A1174">
        <w:rPr>
          <w:rFonts w:ascii="Garamond" w:eastAsia="Arial Unicode MS" w:hAnsi="Garamond" w:cs="Arial"/>
          <w:sz w:val="24"/>
          <w:szCs w:val="24"/>
          <w:lang w:val="pt-PT"/>
        </w:rPr>
        <w:t xml:space="preserve"> </w:t>
      </w:r>
      <w:r w:rsidR="000350B1" w:rsidRPr="003A1174">
        <w:rPr>
          <w:rFonts w:ascii="Garamond" w:eastAsia="Arial Unicode MS" w:hAnsi="Garamond" w:cs="Arial"/>
          <w:sz w:val="24"/>
          <w:szCs w:val="24"/>
          <w:lang w:val="pt-PT"/>
        </w:rPr>
        <w:t>violência</w:t>
      </w:r>
      <w:r w:rsidR="00CA39B2" w:rsidRPr="003A1174">
        <w:rPr>
          <w:rFonts w:ascii="Garamond" w:eastAsia="Arial Unicode MS" w:hAnsi="Garamond" w:cs="Arial"/>
          <w:sz w:val="24"/>
          <w:szCs w:val="24"/>
          <w:lang w:val="pt-PT"/>
        </w:rPr>
        <w:t xml:space="preserve"> </w:t>
      </w:r>
      <w:r w:rsidR="00BB2B00" w:rsidRPr="003A1174">
        <w:rPr>
          <w:rFonts w:ascii="Garamond" w:eastAsia="Arial Unicode MS" w:hAnsi="Garamond" w:cs="Arial"/>
          <w:sz w:val="24"/>
          <w:szCs w:val="24"/>
          <w:lang w:val="pt-PT"/>
        </w:rPr>
        <w:t>contra a</w:t>
      </w:r>
      <w:r w:rsidR="00CA39B2" w:rsidRPr="003A1174">
        <w:rPr>
          <w:rFonts w:ascii="Garamond" w:eastAsia="Arial Unicode MS" w:hAnsi="Garamond" w:cs="Arial"/>
          <w:sz w:val="24"/>
          <w:szCs w:val="24"/>
          <w:lang w:val="pt-PT"/>
        </w:rPr>
        <w:t xml:space="preserve">s </w:t>
      </w:r>
      <w:r w:rsidR="00054EE0" w:rsidRPr="003A1174">
        <w:rPr>
          <w:rFonts w:ascii="Garamond" w:eastAsia="Arial Unicode MS" w:hAnsi="Garamond" w:cs="Arial"/>
          <w:sz w:val="24"/>
          <w:szCs w:val="24"/>
          <w:lang w:val="pt-PT"/>
        </w:rPr>
        <w:t>mulheres</w:t>
      </w:r>
      <w:r w:rsidR="00CA39B2" w:rsidRPr="003A1174">
        <w:rPr>
          <w:rFonts w:ascii="Garamond" w:eastAsia="Arial Unicode MS" w:hAnsi="Garamond" w:cs="Arial"/>
          <w:sz w:val="24"/>
          <w:szCs w:val="24"/>
          <w:lang w:val="pt-PT"/>
        </w:rPr>
        <w:t xml:space="preserve">, </w:t>
      </w:r>
      <w:r w:rsidR="00120915" w:rsidRPr="003A1174">
        <w:rPr>
          <w:rFonts w:ascii="Garamond" w:eastAsia="Arial Unicode MS" w:hAnsi="Garamond" w:cs="Arial"/>
          <w:sz w:val="24"/>
          <w:szCs w:val="24"/>
          <w:lang w:val="pt-PT"/>
        </w:rPr>
        <w:t>pois</w:t>
      </w:r>
      <w:r w:rsidR="00CD18F9">
        <w:rPr>
          <w:rFonts w:ascii="Garamond" w:eastAsia="Arial Unicode MS" w:hAnsi="Garamond" w:cs="Arial"/>
          <w:sz w:val="24"/>
          <w:szCs w:val="24"/>
          <w:lang w:val="pt-PT"/>
        </w:rPr>
        <w:t xml:space="preserve"> trata-se de</w:t>
      </w:r>
      <w:r w:rsidR="00CA39B2"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 xml:space="preserve">uma forma </w:t>
      </w:r>
      <w:r w:rsidR="00287EAE" w:rsidRPr="003A1174">
        <w:rPr>
          <w:rFonts w:ascii="Garamond" w:eastAsia="Arial Unicode MS" w:hAnsi="Garamond" w:cs="Arial"/>
          <w:sz w:val="24"/>
          <w:szCs w:val="24"/>
          <w:lang w:val="pt-PT"/>
        </w:rPr>
        <w:t>de</w:t>
      </w:r>
      <w:r w:rsidR="00CA39B2" w:rsidRPr="003A1174">
        <w:rPr>
          <w:rFonts w:ascii="Garamond" w:eastAsia="Arial Unicode MS" w:hAnsi="Garamond" w:cs="Arial"/>
          <w:sz w:val="24"/>
          <w:szCs w:val="24"/>
          <w:lang w:val="pt-PT"/>
        </w:rPr>
        <w:t xml:space="preserve"> determina</w:t>
      </w:r>
      <w:r w:rsidR="00287EAE" w:rsidRPr="003A1174">
        <w:rPr>
          <w:rFonts w:ascii="Garamond" w:eastAsia="Arial Unicode MS" w:hAnsi="Garamond" w:cs="Arial"/>
          <w:sz w:val="24"/>
          <w:szCs w:val="24"/>
          <w:lang w:val="pt-PT"/>
        </w:rPr>
        <w:t>r</w:t>
      </w:r>
      <w:r w:rsidR="00C7697D" w:rsidRPr="003A1174">
        <w:rPr>
          <w:rFonts w:ascii="Garamond" w:eastAsia="Arial Unicode MS" w:hAnsi="Garamond" w:cs="Arial"/>
          <w:sz w:val="24"/>
          <w:szCs w:val="24"/>
          <w:lang w:val="pt-PT"/>
        </w:rPr>
        <w:t xml:space="preserve"> </w:t>
      </w:r>
      <w:r w:rsidR="00CA39B2" w:rsidRPr="003A1174">
        <w:rPr>
          <w:rFonts w:ascii="Garamond" w:eastAsia="Arial Unicode MS" w:hAnsi="Garamond" w:cs="Arial"/>
          <w:sz w:val="24"/>
          <w:szCs w:val="24"/>
          <w:lang w:val="pt-PT"/>
        </w:rPr>
        <w:t xml:space="preserve">as prioridades </w:t>
      </w:r>
      <w:r w:rsidR="00497503" w:rsidRPr="003A1174">
        <w:rPr>
          <w:rFonts w:ascii="Garamond" w:eastAsia="Arial Unicode MS" w:hAnsi="Garamond" w:cs="Arial"/>
          <w:sz w:val="24"/>
          <w:szCs w:val="24"/>
          <w:lang w:val="pt-PT"/>
        </w:rPr>
        <w:t>dos</w:t>
      </w:r>
      <w:r w:rsidR="00CA39B2" w:rsidRPr="003A1174">
        <w:rPr>
          <w:rFonts w:ascii="Garamond" w:eastAsia="Arial Unicode MS" w:hAnsi="Garamond" w:cs="Arial"/>
          <w:sz w:val="24"/>
          <w:szCs w:val="24"/>
          <w:lang w:val="pt-PT"/>
        </w:rPr>
        <w:t xml:space="preserve"> Estados </w:t>
      </w:r>
      <w:r w:rsidR="00C7697D" w:rsidRPr="003A1174">
        <w:rPr>
          <w:rFonts w:ascii="Garamond" w:eastAsia="Arial Unicode MS" w:hAnsi="Garamond" w:cs="Arial"/>
          <w:sz w:val="24"/>
          <w:szCs w:val="24"/>
          <w:lang w:val="pt-PT"/>
        </w:rPr>
        <w:t>n</w:t>
      </w:r>
      <w:r w:rsidR="00CA39B2" w:rsidRPr="003A1174">
        <w:rPr>
          <w:rFonts w:ascii="Garamond" w:eastAsia="Arial Unicode MS" w:hAnsi="Garamond" w:cs="Arial"/>
          <w:sz w:val="24"/>
          <w:szCs w:val="24"/>
          <w:lang w:val="pt-PT"/>
        </w:rPr>
        <w:t xml:space="preserve">a </w:t>
      </w:r>
      <w:r w:rsidR="006C760C" w:rsidRPr="003A1174">
        <w:rPr>
          <w:rFonts w:ascii="Garamond" w:eastAsia="Arial Unicode MS" w:hAnsi="Garamond" w:cs="Arial"/>
          <w:sz w:val="24"/>
          <w:szCs w:val="24"/>
          <w:lang w:val="pt-PT"/>
        </w:rPr>
        <w:t>implementação</w:t>
      </w:r>
      <w:r w:rsidR="00CA39B2" w:rsidRPr="003A1174">
        <w:rPr>
          <w:rFonts w:ascii="Garamond" w:eastAsia="Arial Unicode MS" w:hAnsi="Garamond" w:cs="Arial"/>
          <w:sz w:val="24"/>
          <w:szCs w:val="24"/>
          <w:lang w:val="pt-PT"/>
        </w:rPr>
        <w:t xml:space="preserve"> de políticas públicas. </w:t>
      </w:r>
      <w:r w:rsidR="00C7697D" w:rsidRPr="003A1174">
        <w:rPr>
          <w:rFonts w:ascii="Garamond" w:eastAsia="Arial Unicode MS" w:hAnsi="Garamond" w:cs="Arial"/>
          <w:sz w:val="24"/>
          <w:szCs w:val="24"/>
          <w:lang w:val="pt-PT"/>
        </w:rPr>
        <w:t>N</w:t>
      </w:r>
      <w:r w:rsidR="00CA39B2" w:rsidRPr="003A1174">
        <w:rPr>
          <w:rFonts w:ascii="Garamond" w:eastAsia="Arial Unicode MS" w:hAnsi="Garamond" w:cs="Arial"/>
          <w:sz w:val="24"/>
          <w:szCs w:val="24"/>
          <w:lang w:val="pt-PT"/>
        </w:rPr>
        <w:t>este sentido</w:t>
      </w:r>
      <w:r w:rsidR="00287EAE" w:rsidRPr="003A1174">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w:t>
      </w:r>
      <w:r w:rsidR="00CD18F9">
        <w:rPr>
          <w:rFonts w:ascii="Garamond" w:eastAsia="Arial Unicode MS" w:hAnsi="Garamond" w:cs="Arial"/>
          <w:sz w:val="24"/>
          <w:szCs w:val="24"/>
          <w:lang w:val="pt-PT"/>
        </w:rPr>
        <w:t xml:space="preserve">é ainda </w:t>
      </w:r>
      <w:r w:rsidR="00C7697D" w:rsidRPr="003A1174">
        <w:rPr>
          <w:rFonts w:ascii="Garamond" w:eastAsia="Arial Unicode MS" w:hAnsi="Garamond" w:cs="Arial"/>
          <w:sz w:val="24"/>
          <w:szCs w:val="24"/>
          <w:lang w:val="pt-PT"/>
        </w:rPr>
        <w:t>preocupa</w:t>
      </w:r>
      <w:r w:rsidR="00CD18F9">
        <w:rPr>
          <w:rFonts w:ascii="Garamond" w:eastAsia="Arial Unicode MS" w:hAnsi="Garamond" w:cs="Arial"/>
          <w:sz w:val="24"/>
          <w:szCs w:val="24"/>
          <w:lang w:val="pt-PT"/>
        </w:rPr>
        <w:t>nte</w:t>
      </w:r>
      <w:r w:rsidR="00C7697D" w:rsidRPr="003A1174">
        <w:rPr>
          <w:rFonts w:ascii="Garamond" w:eastAsia="Arial Unicode MS" w:hAnsi="Garamond" w:cs="Arial"/>
          <w:sz w:val="24"/>
          <w:szCs w:val="24"/>
          <w:lang w:val="pt-PT"/>
        </w:rPr>
        <w:t xml:space="preserve"> </w:t>
      </w:r>
      <w:r w:rsidR="00CA39B2" w:rsidRPr="003A1174">
        <w:rPr>
          <w:rFonts w:ascii="Garamond" w:eastAsia="Arial Unicode MS" w:hAnsi="Garamond" w:cs="Arial"/>
          <w:sz w:val="24"/>
          <w:szCs w:val="24"/>
          <w:lang w:val="pt-PT"/>
        </w:rPr>
        <w:t>a insuficiente a</w:t>
      </w:r>
      <w:r w:rsidR="00C7697D" w:rsidRPr="003A1174">
        <w:rPr>
          <w:rFonts w:ascii="Garamond" w:eastAsia="Arial Unicode MS" w:hAnsi="Garamond" w:cs="Arial"/>
          <w:sz w:val="24"/>
          <w:szCs w:val="24"/>
          <w:lang w:val="pt-PT"/>
        </w:rPr>
        <w:t xml:space="preserve">tribuição de </w:t>
      </w:r>
      <w:r w:rsidR="00CD18F9">
        <w:rPr>
          <w:rFonts w:ascii="Garamond" w:eastAsia="Arial Unicode MS" w:hAnsi="Garamond" w:cs="Arial"/>
          <w:sz w:val="24"/>
          <w:szCs w:val="24"/>
          <w:lang w:val="pt-PT"/>
        </w:rPr>
        <w:t xml:space="preserve">verbas </w:t>
      </w:r>
      <w:r w:rsidR="00CA39B2" w:rsidRPr="003A1174">
        <w:rPr>
          <w:rFonts w:ascii="Garamond" w:eastAsia="Arial Unicode MS" w:hAnsi="Garamond" w:cs="Arial"/>
          <w:sz w:val="24"/>
          <w:szCs w:val="24"/>
          <w:lang w:val="pt-PT"/>
        </w:rPr>
        <w:t>destinad</w:t>
      </w:r>
      <w:r w:rsidR="00CD18F9">
        <w:rPr>
          <w:rFonts w:ascii="Garamond" w:eastAsia="Arial Unicode MS" w:hAnsi="Garamond" w:cs="Arial"/>
          <w:sz w:val="24"/>
          <w:szCs w:val="24"/>
          <w:lang w:val="pt-PT"/>
        </w:rPr>
        <w:t>as</w:t>
      </w:r>
      <w:r w:rsidR="00CA39B2"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 xml:space="preserve">ao </w:t>
      </w:r>
      <w:r w:rsidR="009B133A" w:rsidRPr="003A1174">
        <w:rPr>
          <w:rFonts w:ascii="Garamond" w:eastAsia="Arial Unicode MS" w:hAnsi="Garamond" w:cs="Arial"/>
          <w:sz w:val="24"/>
          <w:szCs w:val="24"/>
          <w:lang w:val="pt-PT"/>
        </w:rPr>
        <w:t>desenvolvimento</w:t>
      </w:r>
      <w:r w:rsidR="00CA39B2" w:rsidRPr="003A1174">
        <w:rPr>
          <w:rFonts w:ascii="Garamond" w:eastAsia="Arial Unicode MS" w:hAnsi="Garamond" w:cs="Arial"/>
          <w:sz w:val="24"/>
          <w:szCs w:val="24"/>
          <w:lang w:val="pt-PT"/>
        </w:rPr>
        <w:t xml:space="preserve"> </w:t>
      </w:r>
      <w:r w:rsidR="00497503" w:rsidRPr="003A1174">
        <w:rPr>
          <w:rFonts w:ascii="Garamond" w:eastAsia="Arial Unicode MS" w:hAnsi="Garamond" w:cs="Arial"/>
          <w:sz w:val="24"/>
          <w:szCs w:val="24"/>
          <w:lang w:val="pt-PT"/>
        </w:rPr>
        <w:t>das</w:t>
      </w:r>
      <w:r w:rsidR="00CA39B2" w:rsidRPr="003A1174">
        <w:rPr>
          <w:rFonts w:ascii="Garamond" w:eastAsia="Arial Unicode MS" w:hAnsi="Garamond" w:cs="Arial"/>
          <w:sz w:val="24"/>
          <w:szCs w:val="24"/>
          <w:lang w:val="pt-PT"/>
        </w:rPr>
        <w:t xml:space="preserve"> </w:t>
      </w:r>
      <w:r w:rsidR="00374785" w:rsidRPr="003A1174">
        <w:rPr>
          <w:rFonts w:ascii="Garamond" w:eastAsia="Arial Unicode MS" w:hAnsi="Garamond" w:cs="Arial"/>
          <w:sz w:val="24"/>
          <w:szCs w:val="24"/>
          <w:lang w:val="pt-PT"/>
        </w:rPr>
        <w:t>atividades</w:t>
      </w:r>
      <w:r w:rsidR="00CA39B2" w:rsidRPr="003A1174">
        <w:rPr>
          <w:rFonts w:ascii="Garamond" w:eastAsia="Arial Unicode MS" w:hAnsi="Garamond" w:cs="Arial"/>
          <w:sz w:val="24"/>
          <w:szCs w:val="24"/>
          <w:lang w:val="pt-PT"/>
        </w:rPr>
        <w:t xml:space="preserve"> previstas </w:t>
      </w:r>
      <w:r w:rsidR="00C7697D" w:rsidRPr="003A1174">
        <w:rPr>
          <w:rFonts w:ascii="Garamond" w:eastAsia="Arial Unicode MS" w:hAnsi="Garamond" w:cs="Arial"/>
          <w:sz w:val="24"/>
          <w:szCs w:val="24"/>
          <w:lang w:val="pt-PT"/>
        </w:rPr>
        <w:t>n</w:t>
      </w:r>
      <w:r w:rsidR="00CA39B2" w:rsidRPr="003A1174">
        <w:rPr>
          <w:rFonts w:ascii="Garamond" w:eastAsia="Arial Unicode MS" w:hAnsi="Garamond" w:cs="Arial"/>
          <w:sz w:val="24"/>
          <w:szCs w:val="24"/>
          <w:lang w:val="pt-PT"/>
        </w:rPr>
        <w:t xml:space="preserve">a </w:t>
      </w:r>
      <w:r w:rsidR="001C2738" w:rsidRPr="003A1174">
        <w:rPr>
          <w:rFonts w:ascii="Garamond" w:eastAsia="Arial Unicode MS" w:hAnsi="Garamond" w:cs="Arial"/>
          <w:sz w:val="24"/>
          <w:szCs w:val="24"/>
          <w:lang w:val="pt-PT"/>
        </w:rPr>
        <w:t>luta</w:t>
      </w:r>
      <w:r w:rsidR="00CA39B2" w:rsidRPr="003A1174">
        <w:rPr>
          <w:rFonts w:ascii="Garamond" w:eastAsia="Arial Unicode MS" w:hAnsi="Garamond" w:cs="Arial"/>
          <w:sz w:val="24"/>
          <w:szCs w:val="24"/>
          <w:lang w:val="pt-PT"/>
        </w:rPr>
        <w:t xml:space="preserve"> </w:t>
      </w:r>
      <w:r w:rsidR="00BB2B00" w:rsidRPr="003A1174">
        <w:rPr>
          <w:rFonts w:ascii="Garamond" w:eastAsia="Arial Unicode MS" w:hAnsi="Garamond" w:cs="Arial"/>
          <w:sz w:val="24"/>
          <w:szCs w:val="24"/>
          <w:lang w:val="pt-PT"/>
        </w:rPr>
        <w:t>contra a</w:t>
      </w:r>
      <w:r w:rsidR="00CA39B2" w:rsidRPr="003A1174">
        <w:rPr>
          <w:rFonts w:ascii="Garamond" w:eastAsia="Arial Unicode MS" w:hAnsi="Garamond" w:cs="Arial"/>
          <w:sz w:val="24"/>
          <w:szCs w:val="24"/>
          <w:lang w:val="pt-PT"/>
        </w:rPr>
        <w:t xml:space="preserve"> </w:t>
      </w:r>
      <w:r w:rsidR="000350B1" w:rsidRPr="003A1174">
        <w:rPr>
          <w:rFonts w:ascii="Garamond" w:eastAsia="Arial Unicode MS" w:hAnsi="Garamond" w:cs="Arial"/>
          <w:sz w:val="24"/>
          <w:szCs w:val="24"/>
          <w:lang w:val="pt-PT"/>
        </w:rPr>
        <w:t>violência</w:t>
      </w:r>
      <w:r w:rsidR="00CA39B2" w:rsidRPr="003A1174">
        <w:rPr>
          <w:rFonts w:ascii="Garamond" w:eastAsia="Arial Unicode MS" w:hAnsi="Garamond" w:cs="Arial"/>
          <w:sz w:val="24"/>
          <w:szCs w:val="24"/>
          <w:lang w:val="pt-PT"/>
        </w:rPr>
        <w:t xml:space="preserve"> familiar </w:t>
      </w:r>
      <w:r w:rsidR="00C7697D" w:rsidRPr="003A1174">
        <w:rPr>
          <w:rFonts w:ascii="Garamond" w:eastAsia="Arial Unicode MS" w:hAnsi="Garamond" w:cs="Arial"/>
          <w:sz w:val="24"/>
          <w:szCs w:val="24"/>
          <w:lang w:val="pt-PT"/>
        </w:rPr>
        <w:t xml:space="preserve">e </w:t>
      </w:r>
      <w:r w:rsidR="00BB2B00" w:rsidRPr="003A1174">
        <w:rPr>
          <w:rFonts w:ascii="Garamond" w:eastAsia="Arial Unicode MS" w:hAnsi="Garamond" w:cs="Arial"/>
          <w:sz w:val="24"/>
          <w:szCs w:val="24"/>
          <w:lang w:val="pt-PT"/>
        </w:rPr>
        <w:t>contra a</w:t>
      </w:r>
      <w:r w:rsidR="00CA39B2" w:rsidRPr="003A1174">
        <w:rPr>
          <w:rFonts w:ascii="Garamond" w:eastAsia="Arial Unicode MS" w:hAnsi="Garamond" w:cs="Arial"/>
          <w:sz w:val="24"/>
          <w:szCs w:val="24"/>
          <w:lang w:val="pt-PT"/>
        </w:rPr>
        <w:t xml:space="preserve">s </w:t>
      </w:r>
      <w:r w:rsidR="00054EE0" w:rsidRPr="003A1174">
        <w:rPr>
          <w:rFonts w:ascii="Garamond" w:eastAsia="Arial Unicode MS" w:hAnsi="Garamond" w:cs="Arial"/>
          <w:sz w:val="24"/>
          <w:szCs w:val="24"/>
          <w:lang w:val="pt-PT"/>
        </w:rPr>
        <w:t>mulheres</w:t>
      </w:r>
      <w:r w:rsidR="00CA39B2" w:rsidRPr="003A1174">
        <w:rPr>
          <w:rFonts w:ascii="Garamond" w:eastAsia="Arial Unicode MS" w:hAnsi="Garamond" w:cs="Arial"/>
          <w:sz w:val="24"/>
          <w:szCs w:val="24"/>
          <w:lang w:val="pt-PT"/>
        </w:rPr>
        <w:t xml:space="preserve">. </w:t>
      </w:r>
    </w:p>
    <w:p w:rsidR="00CF5971" w:rsidRPr="003A1174" w:rsidRDefault="00CE3D2D" w:rsidP="00C7697D">
      <w:pPr>
        <w:pStyle w:val="Prrafodelista"/>
        <w:numPr>
          <w:ilvl w:val="0"/>
          <w:numId w:val="44"/>
        </w:numPr>
        <w:spacing w:before="240" w:line="240" w:lineRule="auto"/>
        <w:ind w:hanging="578"/>
        <w:jc w:val="both"/>
        <w:rPr>
          <w:rFonts w:ascii="Garamond" w:hAnsi="Garamond" w:cs="Arial"/>
          <w:sz w:val="24"/>
          <w:szCs w:val="24"/>
          <w:lang w:val="pt-PT"/>
        </w:rPr>
      </w:pPr>
      <w:r w:rsidRPr="003A1174">
        <w:rPr>
          <w:rFonts w:ascii="Garamond" w:eastAsia="Arial Unicode MS" w:hAnsi="Garamond" w:cs="Arial"/>
          <w:sz w:val="24"/>
          <w:szCs w:val="24"/>
          <w:lang w:val="pt-PT"/>
        </w:rPr>
        <w:t xml:space="preserve">Dada </w:t>
      </w:r>
      <w:r w:rsidR="002D5CE8" w:rsidRPr="003A1174">
        <w:rPr>
          <w:rFonts w:ascii="Garamond" w:eastAsia="Arial Unicode MS" w:hAnsi="Garamond" w:cs="Arial"/>
          <w:sz w:val="24"/>
          <w:szCs w:val="24"/>
          <w:lang w:val="pt-PT"/>
        </w:rPr>
        <w:t xml:space="preserve">a </w:t>
      </w:r>
      <w:r w:rsidR="00C6493E" w:rsidRPr="003A1174">
        <w:rPr>
          <w:rFonts w:ascii="Garamond" w:eastAsia="Arial Unicode MS" w:hAnsi="Garamond" w:cs="Arial"/>
          <w:sz w:val="24"/>
          <w:szCs w:val="24"/>
          <w:lang w:val="pt-PT"/>
        </w:rPr>
        <w:t>natureza</w:t>
      </w:r>
      <w:r w:rsidR="002D5CE8"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complexa da problemática d</w:t>
      </w:r>
      <w:r w:rsidR="002D5CE8" w:rsidRPr="003A1174">
        <w:rPr>
          <w:rFonts w:ascii="Garamond" w:eastAsia="Arial Unicode MS" w:hAnsi="Garamond" w:cs="Arial"/>
          <w:sz w:val="24"/>
          <w:szCs w:val="24"/>
          <w:lang w:val="pt-PT"/>
        </w:rPr>
        <w:t xml:space="preserve">a </w:t>
      </w:r>
      <w:r w:rsidR="000350B1" w:rsidRPr="003A1174">
        <w:rPr>
          <w:rFonts w:ascii="Garamond" w:eastAsia="Arial Unicode MS" w:hAnsi="Garamond" w:cs="Arial"/>
          <w:sz w:val="24"/>
          <w:szCs w:val="24"/>
          <w:lang w:val="pt-PT"/>
        </w:rPr>
        <w:t>violência</w:t>
      </w:r>
      <w:r w:rsidR="002D5CE8" w:rsidRPr="003A1174">
        <w:rPr>
          <w:rFonts w:ascii="Garamond" w:eastAsia="Arial Unicode MS" w:hAnsi="Garamond" w:cs="Arial"/>
          <w:sz w:val="24"/>
          <w:szCs w:val="24"/>
          <w:lang w:val="pt-PT"/>
        </w:rPr>
        <w:t xml:space="preserve"> intrafamiliar </w:t>
      </w:r>
      <w:r w:rsidR="000672E8" w:rsidRPr="003A1174">
        <w:rPr>
          <w:rFonts w:ascii="Garamond" w:eastAsia="Arial Unicode MS" w:hAnsi="Garamond" w:cs="Arial"/>
          <w:sz w:val="24"/>
          <w:szCs w:val="24"/>
          <w:lang w:val="pt-PT"/>
        </w:rPr>
        <w:t>e</w:t>
      </w:r>
      <w:r w:rsidR="00C7697D" w:rsidRPr="003A1174">
        <w:rPr>
          <w:rFonts w:ascii="Garamond" w:eastAsia="Arial Unicode MS" w:hAnsi="Garamond" w:cs="Arial"/>
          <w:sz w:val="24"/>
          <w:szCs w:val="24"/>
          <w:lang w:val="pt-PT"/>
        </w:rPr>
        <w:t xml:space="preserve"> d</w:t>
      </w:r>
      <w:r w:rsidR="002D5CE8" w:rsidRPr="003A1174">
        <w:rPr>
          <w:rFonts w:ascii="Garamond" w:eastAsia="Arial Unicode MS" w:hAnsi="Garamond" w:cs="Arial"/>
          <w:sz w:val="24"/>
          <w:szCs w:val="24"/>
          <w:lang w:val="pt-PT"/>
        </w:rPr>
        <w:t xml:space="preserve">a </w:t>
      </w:r>
      <w:r w:rsidR="000350B1" w:rsidRPr="003A1174">
        <w:rPr>
          <w:rFonts w:ascii="Garamond" w:eastAsia="Arial Unicode MS" w:hAnsi="Garamond" w:cs="Arial"/>
          <w:sz w:val="24"/>
          <w:szCs w:val="24"/>
          <w:lang w:val="pt-PT"/>
        </w:rPr>
        <w:t>violência</w:t>
      </w:r>
      <w:r w:rsidR="002D5CE8" w:rsidRPr="003A1174">
        <w:rPr>
          <w:rFonts w:ascii="Garamond" w:eastAsia="Arial Unicode MS" w:hAnsi="Garamond" w:cs="Arial"/>
          <w:sz w:val="24"/>
          <w:szCs w:val="24"/>
          <w:lang w:val="pt-PT"/>
        </w:rPr>
        <w:t xml:space="preserve"> </w:t>
      </w:r>
      <w:r w:rsidR="00BB2B00" w:rsidRPr="003A1174">
        <w:rPr>
          <w:rFonts w:ascii="Garamond" w:eastAsia="Arial Unicode MS" w:hAnsi="Garamond" w:cs="Arial"/>
          <w:sz w:val="24"/>
          <w:szCs w:val="24"/>
          <w:lang w:val="pt-PT"/>
        </w:rPr>
        <w:t>contra a</w:t>
      </w:r>
      <w:r w:rsidR="002D5CE8" w:rsidRPr="003A1174">
        <w:rPr>
          <w:rFonts w:ascii="Garamond" w:eastAsia="Arial Unicode MS" w:hAnsi="Garamond" w:cs="Arial"/>
          <w:sz w:val="24"/>
          <w:szCs w:val="24"/>
          <w:lang w:val="pt-PT"/>
        </w:rPr>
        <w:t xml:space="preserve"> </w:t>
      </w:r>
      <w:r w:rsidR="00AF192F" w:rsidRPr="003A1174">
        <w:rPr>
          <w:rFonts w:ascii="Garamond" w:eastAsia="Arial Unicode MS" w:hAnsi="Garamond" w:cs="Arial"/>
          <w:sz w:val="24"/>
          <w:szCs w:val="24"/>
          <w:lang w:val="pt-PT"/>
        </w:rPr>
        <w:t>mulher</w:t>
      </w:r>
      <w:r w:rsidR="002D5CE8" w:rsidRPr="003A1174">
        <w:rPr>
          <w:rFonts w:ascii="Garamond" w:eastAsia="Arial Unicode MS" w:hAnsi="Garamond" w:cs="Arial"/>
          <w:sz w:val="24"/>
          <w:szCs w:val="24"/>
          <w:lang w:val="pt-PT"/>
        </w:rPr>
        <w:t xml:space="preserve"> e</w:t>
      </w:r>
      <w:r w:rsidR="00C7697D" w:rsidRPr="003A1174">
        <w:rPr>
          <w:rFonts w:ascii="Garamond" w:eastAsia="Arial Unicode MS" w:hAnsi="Garamond" w:cs="Arial"/>
          <w:sz w:val="24"/>
          <w:szCs w:val="24"/>
          <w:lang w:val="pt-PT"/>
        </w:rPr>
        <w:t>m</w:t>
      </w:r>
      <w:r w:rsidR="002D5CE8" w:rsidRPr="003A1174">
        <w:rPr>
          <w:rFonts w:ascii="Garamond" w:eastAsia="Arial Unicode MS" w:hAnsi="Garamond" w:cs="Arial"/>
          <w:sz w:val="24"/>
          <w:szCs w:val="24"/>
          <w:lang w:val="pt-PT"/>
        </w:rPr>
        <w:t xml:space="preserve"> </w:t>
      </w:r>
      <w:r w:rsidR="00077461" w:rsidRPr="003A1174">
        <w:rPr>
          <w:rFonts w:ascii="Garamond" w:eastAsia="Arial Unicode MS" w:hAnsi="Garamond" w:cs="Arial"/>
          <w:sz w:val="24"/>
          <w:szCs w:val="24"/>
          <w:lang w:val="pt-PT"/>
        </w:rPr>
        <w:t>geral</w:t>
      </w:r>
      <w:r w:rsidR="00C7697D" w:rsidRPr="003A1174">
        <w:rPr>
          <w:rFonts w:ascii="Garamond" w:eastAsia="Arial Unicode MS" w:hAnsi="Garamond" w:cs="Arial"/>
          <w:sz w:val="24"/>
          <w:szCs w:val="24"/>
          <w:lang w:val="pt-PT"/>
        </w:rPr>
        <w:t xml:space="preserve">, </w:t>
      </w:r>
      <w:r w:rsidR="002D5CE8" w:rsidRPr="003A1174">
        <w:rPr>
          <w:rFonts w:ascii="Garamond" w:eastAsia="Arial Unicode MS" w:hAnsi="Garamond" w:cs="Arial"/>
          <w:sz w:val="24"/>
          <w:szCs w:val="24"/>
          <w:lang w:val="pt-PT"/>
        </w:rPr>
        <w:t xml:space="preserve">a </w:t>
      </w:r>
      <w:r w:rsidR="0017447A" w:rsidRPr="003A1174">
        <w:rPr>
          <w:rFonts w:ascii="Garamond" w:eastAsia="Arial Unicode MS" w:hAnsi="Garamond" w:cs="Arial"/>
          <w:sz w:val="24"/>
          <w:szCs w:val="24"/>
          <w:lang w:val="pt-PT"/>
        </w:rPr>
        <w:t>informação</w:t>
      </w:r>
      <w:r w:rsidR="002D5CE8" w:rsidRPr="003A1174">
        <w:rPr>
          <w:rFonts w:ascii="Garamond" w:eastAsia="Arial Unicode MS" w:hAnsi="Garamond" w:cs="Arial"/>
          <w:sz w:val="24"/>
          <w:szCs w:val="24"/>
          <w:lang w:val="pt-PT"/>
        </w:rPr>
        <w:t xml:space="preserve"> rec</w:t>
      </w:r>
      <w:r w:rsidR="00C7697D" w:rsidRPr="003A1174">
        <w:rPr>
          <w:rFonts w:ascii="Garamond" w:eastAsia="Arial Unicode MS" w:hAnsi="Garamond" w:cs="Arial"/>
          <w:sz w:val="24"/>
          <w:szCs w:val="24"/>
          <w:lang w:val="pt-PT"/>
        </w:rPr>
        <w:t>olhida</w:t>
      </w:r>
      <w:r w:rsidR="00CD18F9">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w:t>
      </w:r>
      <w:r w:rsidR="002D5CE8" w:rsidRPr="003A1174">
        <w:rPr>
          <w:rFonts w:ascii="Garamond" w:eastAsia="Arial Unicode MS" w:hAnsi="Garamond" w:cs="Arial"/>
          <w:sz w:val="24"/>
          <w:szCs w:val="24"/>
          <w:lang w:val="pt-PT"/>
        </w:rPr>
        <w:t xml:space="preserve">permite concluir que a </w:t>
      </w:r>
      <w:r w:rsidR="00976FB8" w:rsidRPr="003A1174">
        <w:rPr>
          <w:rFonts w:ascii="Garamond" w:eastAsia="Arial Unicode MS" w:hAnsi="Garamond" w:cs="Arial"/>
          <w:sz w:val="24"/>
          <w:szCs w:val="24"/>
          <w:lang w:val="pt-PT"/>
        </w:rPr>
        <w:t>intervenção</w:t>
      </w:r>
      <w:r w:rsidR="00CA39B2" w:rsidRPr="003A1174">
        <w:rPr>
          <w:rFonts w:ascii="Garamond" w:eastAsia="Arial Unicode MS" w:hAnsi="Garamond" w:cs="Arial"/>
          <w:sz w:val="24"/>
          <w:szCs w:val="24"/>
          <w:lang w:val="pt-PT"/>
        </w:rPr>
        <w:t xml:space="preserve"> estatal</w:t>
      </w:r>
      <w:r w:rsidRPr="003A1174">
        <w:rPr>
          <w:rFonts w:ascii="Garamond" w:eastAsia="Arial Unicode MS" w:hAnsi="Garamond" w:cs="Arial"/>
          <w:sz w:val="24"/>
          <w:szCs w:val="24"/>
          <w:lang w:val="pt-PT"/>
        </w:rPr>
        <w:t xml:space="preserve"> </w:t>
      </w:r>
      <w:r w:rsidR="00CD18F9">
        <w:rPr>
          <w:rFonts w:ascii="Garamond" w:eastAsia="Arial Unicode MS" w:hAnsi="Garamond" w:cs="Arial"/>
          <w:sz w:val="24"/>
          <w:szCs w:val="24"/>
          <w:lang w:val="pt-PT"/>
        </w:rPr>
        <w:t>-</w:t>
      </w:r>
      <w:r w:rsidR="00C7697D" w:rsidRPr="003A1174">
        <w:rPr>
          <w:rFonts w:ascii="Garamond" w:eastAsia="Arial Unicode MS" w:hAnsi="Garamond" w:cs="Arial"/>
          <w:sz w:val="24"/>
          <w:szCs w:val="24"/>
          <w:lang w:val="pt-PT"/>
        </w:rPr>
        <w:t xml:space="preserve"> fazendo uso da </w:t>
      </w:r>
      <w:r w:rsidR="00CF4C35" w:rsidRPr="003A1174">
        <w:rPr>
          <w:rFonts w:ascii="Garamond" w:eastAsia="Arial Unicode MS" w:hAnsi="Garamond" w:cs="Arial"/>
          <w:sz w:val="24"/>
          <w:szCs w:val="24"/>
          <w:lang w:val="pt-PT"/>
        </w:rPr>
        <w:t>Diligência Devida</w:t>
      </w:r>
      <w:r w:rsidR="00C7697D" w:rsidRPr="003A1174">
        <w:rPr>
          <w:rFonts w:ascii="Garamond" w:eastAsia="Arial Unicode MS" w:hAnsi="Garamond" w:cs="Arial"/>
          <w:sz w:val="24"/>
          <w:szCs w:val="24"/>
          <w:lang w:val="pt-PT"/>
        </w:rPr>
        <w:t xml:space="preserve"> </w:t>
      </w:r>
      <w:r w:rsidR="00CD18F9">
        <w:rPr>
          <w:rFonts w:ascii="Garamond" w:eastAsia="Arial Unicode MS" w:hAnsi="Garamond" w:cs="Arial"/>
          <w:sz w:val="24"/>
          <w:szCs w:val="24"/>
          <w:lang w:val="pt-PT"/>
        </w:rPr>
        <w:t>-</w:t>
      </w:r>
      <w:r w:rsidR="002D5CE8" w:rsidRPr="003A1174">
        <w:rPr>
          <w:rFonts w:ascii="Garamond" w:eastAsia="Arial Unicode MS" w:hAnsi="Garamond" w:cs="Arial"/>
          <w:sz w:val="24"/>
          <w:szCs w:val="24"/>
          <w:lang w:val="pt-PT"/>
        </w:rPr>
        <w:t xml:space="preserve"> </w:t>
      </w:r>
      <w:r w:rsidR="00A862C2" w:rsidRPr="003A1174">
        <w:rPr>
          <w:rFonts w:ascii="Garamond" w:eastAsia="Arial Unicode MS" w:hAnsi="Garamond" w:cs="Arial"/>
          <w:sz w:val="24"/>
          <w:szCs w:val="24"/>
          <w:lang w:val="pt-PT"/>
        </w:rPr>
        <w:t>deve</w:t>
      </w:r>
      <w:r w:rsidR="00CA39B2" w:rsidRPr="003A1174">
        <w:rPr>
          <w:rFonts w:ascii="Garamond" w:eastAsia="Arial Unicode MS" w:hAnsi="Garamond" w:cs="Arial"/>
          <w:sz w:val="24"/>
          <w:szCs w:val="24"/>
          <w:lang w:val="pt-PT"/>
        </w:rPr>
        <w:t xml:space="preserve"> </w:t>
      </w:r>
      <w:r w:rsidR="002D5CE8" w:rsidRPr="003A1174">
        <w:rPr>
          <w:rFonts w:ascii="Garamond" w:eastAsia="Arial Unicode MS" w:hAnsi="Garamond" w:cs="Arial"/>
          <w:sz w:val="24"/>
          <w:szCs w:val="24"/>
          <w:lang w:val="pt-PT"/>
        </w:rPr>
        <w:t>orientar</w:t>
      </w:r>
      <w:r w:rsidR="00C7697D" w:rsidRPr="003A1174">
        <w:rPr>
          <w:rFonts w:ascii="Garamond" w:eastAsia="Arial Unicode MS" w:hAnsi="Garamond" w:cs="Arial"/>
          <w:sz w:val="24"/>
          <w:szCs w:val="24"/>
          <w:lang w:val="pt-PT"/>
        </w:rPr>
        <w:t>-</w:t>
      </w:r>
      <w:r w:rsidR="002D5CE8" w:rsidRPr="003A1174">
        <w:rPr>
          <w:rFonts w:ascii="Garamond" w:eastAsia="Arial Unicode MS" w:hAnsi="Garamond" w:cs="Arial"/>
          <w:sz w:val="24"/>
          <w:szCs w:val="24"/>
          <w:lang w:val="pt-PT"/>
        </w:rPr>
        <w:t>se</w:t>
      </w:r>
      <w:r w:rsidR="00C7697D" w:rsidRPr="003A1174">
        <w:rPr>
          <w:rFonts w:ascii="Garamond" w:eastAsia="Arial Unicode MS" w:hAnsi="Garamond" w:cs="Arial"/>
          <w:sz w:val="24"/>
          <w:szCs w:val="24"/>
          <w:lang w:val="pt-PT"/>
        </w:rPr>
        <w:t>,</w:t>
      </w:r>
      <w:r w:rsidR="002D5CE8" w:rsidRPr="003A1174">
        <w:rPr>
          <w:rFonts w:ascii="Garamond" w:eastAsia="Arial Unicode MS" w:hAnsi="Garamond" w:cs="Arial"/>
          <w:sz w:val="24"/>
          <w:szCs w:val="24"/>
          <w:lang w:val="pt-PT"/>
        </w:rPr>
        <w:t xml:space="preserve"> clara </w:t>
      </w:r>
      <w:r w:rsidR="000672E8" w:rsidRPr="003A1174">
        <w:rPr>
          <w:rFonts w:ascii="Garamond" w:eastAsia="Arial Unicode MS" w:hAnsi="Garamond" w:cs="Arial"/>
          <w:sz w:val="24"/>
          <w:szCs w:val="24"/>
          <w:lang w:val="pt-PT"/>
        </w:rPr>
        <w:t>e</w:t>
      </w:r>
      <w:r w:rsidR="002D5CE8"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 xml:space="preserve">rapidamente, na </w:t>
      </w:r>
      <w:r w:rsidR="00EB2F44" w:rsidRPr="003A1174">
        <w:rPr>
          <w:rFonts w:ascii="Garamond" w:eastAsia="Arial Unicode MS" w:hAnsi="Garamond" w:cs="Arial"/>
          <w:sz w:val="24"/>
          <w:szCs w:val="24"/>
          <w:lang w:val="pt-PT"/>
        </w:rPr>
        <w:t>adoção</w:t>
      </w:r>
      <w:r w:rsidR="00CA39B2" w:rsidRPr="003A1174">
        <w:rPr>
          <w:rFonts w:ascii="Garamond" w:eastAsia="Arial Unicode MS" w:hAnsi="Garamond" w:cs="Arial"/>
          <w:sz w:val="24"/>
          <w:szCs w:val="24"/>
          <w:lang w:val="pt-PT"/>
        </w:rPr>
        <w:t xml:space="preserve"> e </w:t>
      </w:r>
      <w:r w:rsidR="006C760C" w:rsidRPr="003A1174">
        <w:rPr>
          <w:rFonts w:ascii="Garamond" w:eastAsia="Arial Unicode MS" w:hAnsi="Garamond" w:cs="Arial"/>
          <w:sz w:val="24"/>
          <w:szCs w:val="24"/>
          <w:lang w:val="pt-PT"/>
        </w:rPr>
        <w:t>implementação</w:t>
      </w:r>
      <w:r w:rsidR="00CA39B2" w:rsidRPr="003A1174">
        <w:rPr>
          <w:rFonts w:ascii="Garamond" w:eastAsia="Arial Unicode MS" w:hAnsi="Garamond" w:cs="Arial"/>
          <w:sz w:val="24"/>
          <w:szCs w:val="24"/>
          <w:lang w:val="pt-PT"/>
        </w:rPr>
        <w:t xml:space="preserve"> de políticas públicas inter</w:t>
      </w:r>
      <w:r w:rsidR="00C04CA4" w:rsidRPr="003A1174">
        <w:rPr>
          <w:rFonts w:ascii="Garamond" w:eastAsia="Arial Unicode MS" w:hAnsi="Garamond" w:cs="Arial"/>
          <w:sz w:val="24"/>
          <w:szCs w:val="24"/>
          <w:lang w:val="pt-PT"/>
        </w:rPr>
        <w:t>institucionais</w:t>
      </w:r>
      <w:r w:rsidR="00CA39B2" w:rsidRPr="003A1174">
        <w:rPr>
          <w:rFonts w:ascii="Garamond" w:eastAsia="Arial Unicode MS" w:hAnsi="Garamond" w:cs="Arial"/>
          <w:sz w:val="24"/>
          <w:szCs w:val="24"/>
          <w:lang w:val="pt-PT"/>
        </w:rPr>
        <w:t xml:space="preserve"> e inter</w:t>
      </w:r>
      <w:r w:rsidR="001A53AD" w:rsidRPr="003A1174">
        <w:rPr>
          <w:rFonts w:ascii="Garamond" w:eastAsia="Arial Unicode MS" w:hAnsi="Garamond" w:cs="Arial"/>
          <w:sz w:val="24"/>
          <w:szCs w:val="24"/>
          <w:lang w:val="pt-PT"/>
        </w:rPr>
        <w:t>disciplinares</w:t>
      </w:r>
      <w:r w:rsidR="00CA39B2" w:rsidRPr="003A1174">
        <w:rPr>
          <w:rFonts w:ascii="Garamond" w:eastAsia="Arial Unicode MS" w:hAnsi="Garamond" w:cs="Arial"/>
          <w:sz w:val="24"/>
          <w:szCs w:val="24"/>
          <w:lang w:val="pt-PT"/>
        </w:rPr>
        <w:t xml:space="preserve"> que </w:t>
      </w:r>
      <w:r w:rsidR="00D75A07" w:rsidRPr="003A1174">
        <w:rPr>
          <w:rFonts w:ascii="Garamond" w:eastAsia="Arial Unicode MS" w:hAnsi="Garamond" w:cs="Arial"/>
          <w:sz w:val="24"/>
          <w:szCs w:val="24"/>
          <w:lang w:val="pt-PT"/>
        </w:rPr>
        <w:t>contribuam</w:t>
      </w:r>
      <w:r w:rsidR="00CD18F9">
        <w:rPr>
          <w:rFonts w:ascii="Garamond" w:eastAsia="Arial Unicode MS" w:hAnsi="Garamond" w:cs="Arial"/>
          <w:sz w:val="24"/>
          <w:szCs w:val="24"/>
          <w:lang w:val="pt-PT"/>
        </w:rPr>
        <w:t>,</w:t>
      </w:r>
      <w:r w:rsidR="00CA39B2" w:rsidRPr="003A1174">
        <w:rPr>
          <w:rFonts w:ascii="Garamond" w:eastAsia="Arial Unicode MS" w:hAnsi="Garamond" w:cs="Arial"/>
          <w:sz w:val="24"/>
          <w:szCs w:val="24"/>
          <w:lang w:val="pt-PT"/>
        </w:rPr>
        <w:t xml:space="preserve"> </w:t>
      </w:r>
      <w:r w:rsidR="00D84A9F" w:rsidRPr="003A1174">
        <w:rPr>
          <w:rFonts w:ascii="Garamond" w:eastAsia="Arial Unicode MS" w:hAnsi="Garamond" w:cs="Arial"/>
          <w:sz w:val="24"/>
          <w:szCs w:val="24"/>
          <w:lang w:val="pt-PT"/>
        </w:rPr>
        <w:t>efetiva</w:t>
      </w:r>
      <w:r w:rsidR="00CA39B2" w:rsidRPr="003A1174">
        <w:rPr>
          <w:rFonts w:ascii="Garamond" w:eastAsia="Arial Unicode MS" w:hAnsi="Garamond" w:cs="Arial"/>
          <w:sz w:val="24"/>
          <w:szCs w:val="24"/>
          <w:lang w:val="pt-PT"/>
        </w:rPr>
        <w:t>mente</w:t>
      </w:r>
      <w:r w:rsidR="00CD18F9">
        <w:rPr>
          <w:rFonts w:ascii="Garamond" w:eastAsia="Arial Unicode MS" w:hAnsi="Garamond" w:cs="Arial"/>
          <w:sz w:val="24"/>
          <w:szCs w:val="24"/>
          <w:lang w:val="pt-PT"/>
        </w:rPr>
        <w:t>,</w:t>
      </w:r>
      <w:r w:rsidR="00CA39B2" w:rsidRPr="003A1174">
        <w:rPr>
          <w:rFonts w:ascii="Garamond" w:eastAsia="Arial Unicode MS" w:hAnsi="Garamond" w:cs="Arial"/>
          <w:sz w:val="24"/>
          <w:szCs w:val="24"/>
          <w:lang w:val="pt-PT"/>
        </w:rPr>
        <w:t xml:space="preserve"> </w:t>
      </w:r>
      <w:r w:rsidR="00C7697D" w:rsidRPr="003A1174">
        <w:rPr>
          <w:rFonts w:ascii="Garamond" w:eastAsia="Arial Unicode MS" w:hAnsi="Garamond" w:cs="Arial"/>
          <w:sz w:val="24"/>
          <w:szCs w:val="24"/>
          <w:lang w:val="pt-PT"/>
        </w:rPr>
        <w:t xml:space="preserve">para </w:t>
      </w:r>
      <w:r w:rsidR="00CA39B2" w:rsidRPr="003A1174">
        <w:rPr>
          <w:rFonts w:ascii="Garamond" w:eastAsia="Arial Unicode MS" w:hAnsi="Garamond" w:cs="Arial"/>
          <w:sz w:val="24"/>
          <w:szCs w:val="24"/>
          <w:lang w:val="pt-PT"/>
        </w:rPr>
        <w:t xml:space="preserve">a </w:t>
      </w:r>
      <w:r w:rsidR="00D37CF3" w:rsidRPr="003A1174">
        <w:rPr>
          <w:rFonts w:ascii="Garamond" w:eastAsia="Arial Unicode MS" w:hAnsi="Garamond" w:cs="Arial"/>
          <w:sz w:val="24"/>
          <w:szCs w:val="24"/>
          <w:lang w:val="pt-PT"/>
        </w:rPr>
        <w:t>progressiva</w:t>
      </w:r>
      <w:r w:rsidR="00CA39B2" w:rsidRPr="003A1174">
        <w:rPr>
          <w:rFonts w:ascii="Garamond" w:eastAsia="Arial Unicode MS" w:hAnsi="Garamond" w:cs="Arial"/>
          <w:sz w:val="24"/>
          <w:szCs w:val="24"/>
          <w:lang w:val="pt-PT"/>
        </w:rPr>
        <w:t xml:space="preserve"> </w:t>
      </w:r>
      <w:r w:rsidR="00C30647" w:rsidRPr="003A1174">
        <w:rPr>
          <w:rFonts w:ascii="Garamond" w:eastAsia="Arial Unicode MS" w:hAnsi="Garamond" w:cs="Arial"/>
          <w:sz w:val="24"/>
          <w:szCs w:val="24"/>
          <w:lang w:val="pt-PT"/>
        </w:rPr>
        <w:t>erradicação</w:t>
      </w:r>
      <w:r w:rsidR="00CA39B2" w:rsidRPr="003A1174">
        <w:rPr>
          <w:rFonts w:ascii="Garamond" w:eastAsia="Arial Unicode MS" w:hAnsi="Garamond" w:cs="Arial"/>
          <w:sz w:val="24"/>
          <w:szCs w:val="24"/>
          <w:lang w:val="pt-PT"/>
        </w:rPr>
        <w:t xml:space="preserve"> </w:t>
      </w:r>
      <w:r w:rsidR="00E85E59" w:rsidRPr="003A1174">
        <w:rPr>
          <w:rFonts w:ascii="Garamond" w:eastAsia="Arial Unicode MS" w:hAnsi="Garamond" w:cs="Arial"/>
          <w:sz w:val="24"/>
          <w:szCs w:val="24"/>
          <w:lang w:val="pt-PT"/>
        </w:rPr>
        <w:t>do</w:t>
      </w:r>
      <w:r w:rsidR="00CA39B2" w:rsidRPr="003A1174">
        <w:rPr>
          <w:rFonts w:ascii="Garamond" w:eastAsia="Arial Unicode MS" w:hAnsi="Garamond" w:cs="Arial"/>
          <w:sz w:val="24"/>
          <w:szCs w:val="24"/>
          <w:lang w:val="pt-PT"/>
        </w:rPr>
        <w:t xml:space="preserve"> flagelo que </w:t>
      </w:r>
      <w:r w:rsidR="00FB09CA" w:rsidRPr="003A1174">
        <w:rPr>
          <w:rFonts w:ascii="Garamond" w:eastAsia="Arial Unicode MS" w:hAnsi="Garamond" w:cs="Arial"/>
          <w:sz w:val="24"/>
          <w:szCs w:val="24"/>
          <w:lang w:val="pt-PT"/>
        </w:rPr>
        <w:t>constitui</w:t>
      </w:r>
      <w:r w:rsidR="00C7697D" w:rsidRPr="003A1174">
        <w:rPr>
          <w:rFonts w:ascii="Garamond" w:eastAsia="Arial Unicode MS" w:hAnsi="Garamond" w:cs="Arial"/>
          <w:sz w:val="24"/>
          <w:szCs w:val="24"/>
          <w:lang w:val="pt-PT"/>
        </w:rPr>
        <w:t xml:space="preserve"> </w:t>
      </w:r>
      <w:r w:rsidR="00CA39B2" w:rsidRPr="003A1174">
        <w:rPr>
          <w:rFonts w:ascii="Garamond" w:eastAsia="Arial Unicode MS" w:hAnsi="Garamond" w:cs="Arial"/>
          <w:sz w:val="24"/>
          <w:szCs w:val="24"/>
          <w:lang w:val="pt-PT"/>
        </w:rPr>
        <w:t xml:space="preserve">a </w:t>
      </w:r>
      <w:r w:rsidR="000350B1" w:rsidRPr="003A1174">
        <w:rPr>
          <w:rFonts w:ascii="Garamond" w:eastAsia="Arial Unicode MS" w:hAnsi="Garamond" w:cs="Arial"/>
          <w:sz w:val="24"/>
          <w:szCs w:val="24"/>
          <w:lang w:val="pt-PT"/>
        </w:rPr>
        <w:t>violência</w:t>
      </w:r>
      <w:r w:rsidR="00CA39B2" w:rsidRPr="003A1174">
        <w:rPr>
          <w:rFonts w:ascii="Garamond" w:eastAsia="Arial Unicode MS" w:hAnsi="Garamond" w:cs="Arial"/>
          <w:sz w:val="24"/>
          <w:szCs w:val="24"/>
          <w:lang w:val="pt-PT"/>
        </w:rPr>
        <w:t xml:space="preserve"> de género. </w:t>
      </w:r>
    </w:p>
    <w:p w:rsidR="00AE66E4" w:rsidRPr="00496247" w:rsidRDefault="00CE3D2D" w:rsidP="00C751FC">
      <w:pPr>
        <w:pStyle w:val="Prrafodelista"/>
        <w:numPr>
          <w:ilvl w:val="0"/>
          <w:numId w:val="44"/>
        </w:numPr>
        <w:spacing w:before="240" w:line="240" w:lineRule="auto"/>
        <w:ind w:hanging="578"/>
        <w:jc w:val="both"/>
        <w:rPr>
          <w:rFonts w:ascii="Garamond" w:hAnsi="Garamond" w:cs="Arial"/>
          <w:sz w:val="24"/>
          <w:szCs w:val="24"/>
          <w:lang w:val="pt-PT"/>
        </w:rPr>
      </w:pPr>
      <w:r w:rsidRPr="00496247">
        <w:rPr>
          <w:rFonts w:ascii="Garamond" w:eastAsia="Arial Unicode MS" w:hAnsi="Garamond" w:cs="Arial"/>
          <w:sz w:val="24"/>
          <w:szCs w:val="24"/>
          <w:lang w:val="pt-PT"/>
        </w:rPr>
        <w:t xml:space="preserve">Finalmente, </w:t>
      </w:r>
      <w:r w:rsidR="00C751FC" w:rsidRPr="00496247">
        <w:rPr>
          <w:rFonts w:ascii="Garamond" w:eastAsia="Arial Unicode MS" w:hAnsi="Garamond" w:cs="Arial"/>
          <w:sz w:val="24"/>
          <w:szCs w:val="24"/>
          <w:lang w:val="pt-PT"/>
        </w:rPr>
        <w:t xml:space="preserve">no que diz respeito a </w:t>
      </w:r>
      <w:r w:rsidR="00661ADB" w:rsidRPr="00496247">
        <w:rPr>
          <w:rFonts w:ascii="Garamond" w:hAnsi="Garamond" w:cs="Arial"/>
          <w:i/>
          <w:sz w:val="24"/>
          <w:szCs w:val="24"/>
          <w:lang w:val="pt-PT"/>
        </w:rPr>
        <w:t>boas</w:t>
      </w:r>
      <w:r w:rsidR="00AE66E4" w:rsidRPr="00496247">
        <w:rPr>
          <w:rFonts w:ascii="Garamond" w:hAnsi="Garamond" w:cs="Arial"/>
          <w:i/>
          <w:sz w:val="24"/>
          <w:szCs w:val="24"/>
          <w:lang w:val="pt-PT"/>
        </w:rPr>
        <w:t xml:space="preserve"> </w:t>
      </w:r>
      <w:r w:rsidR="00661ADB" w:rsidRPr="00496247">
        <w:rPr>
          <w:rFonts w:ascii="Garamond" w:hAnsi="Garamond" w:cs="Arial"/>
          <w:i/>
          <w:sz w:val="24"/>
          <w:szCs w:val="24"/>
          <w:lang w:val="pt-PT"/>
        </w:rPr>
        <w:t>prática</w:t>
      </w:r>
      <w:r w:rsidR="00AE66E4" w:rsidRPr="00496247">
        <w:rPr>
          <w:rFonts w:ascii="Garamond" w:hAnsi="Garamond" w:cs="Arial"/>
          <w:i/>
          <w:sz w:val="24"/>
          <w:szCs w:val="24"/>
          <w:lang w:val="pt-PT"/>
        </w:rPr>
        <w:t>s</w:t>
      </w:r>
      <w:r w:rsidR="00287EAE" w:rsidRPr="00496247">
        <w:rPr>
          <w:rFonts w:ascii="Garamond" w:hAnsi="Garamond" w:cs="Arial"/>
          <w:i/>
          <w:sz w:val="24"/>
          <w:szCs w:val="24"/>
          <w:lang w:val="pt-PT"/>
        </w:rPr>
        <w:t>,</w:t>
      </w:r>
      <w:r w:rsidR="00AE66E4" w:rsidRPr="00496247">
        <w:rPr>
          <w:rFonts w:ascii="Garamond" w:hAnsi="Garamond" w:cs="Arial"/>
          <w:sz w:val="24"/>
          <w:szCs w:val="24"/>
          <w:lang w:val="pt-PT"/>
        </w:rPr>
        <w:t xml:space="preserve"> </w:t>
      </w:r>
      <w:r w:rsidR="00C751FC" w:rsidRPr="00496247">
        <w:rPr>
          <w:rFonts w:ascii="Garamond" w:hAnsi="Garamond" w:cs="Arial"/>
          <w:sz w:val="24"/>
          <w:szCs w:val="24"/>
          <w:lang w:val="pt-PT"/>
        </w:rPr>
        <w:t>cr</w:t>
      </w:r>
      <w:r w:rsidR="001E4EBD" w:rsidRPr="00496247">
        <w:rPr>
          <w:rFonts w:ascii="Garamond" w:hAnsi="Garamond" w:cs="Arial"/>
          <w:sz w:val="24"/>
          <w:szCs w:val="24"/>
          <w:lang w:val="pt-PT"/>
        </w:rPr>
        <w:t xml:space="preserve">emos que </w:t>
      </w:r>
      <w:r w:rsidR="00C751FC" w:rsidRPr="00496247">
        <w:rPr>
          <w:rFonts w:ascii="Garamond" w:hAnsi="Garamond" w:cs="Arial"/>
          <w:sz w:val="24"/>
          <w:szCs w:val="24"/>
          <w:lang w:val="pt-PT"/>
        </w:rPr>
        <w:t xml:space="preserve">uma </w:t>
      </w:r>
      <w:r w:rsidR="00141BA9" w:rsidRPr="00496247">
        <w:rPr>
          <w:rFonts w:ascii="Garamond" w:hAnsi="Garamond" w:cs="Arial"/>
          <w:sz w:val="24"/>
          <w:szCs w:val="24"/>
          <w:lang w:val="pt-PT"/>
        </w:rPr>
        <w:t>boa</w:t>
      </w:r>
      <w:r w:rsidR="00E31FAE" w:rsidRPr="00496247">
        <w:rPr>
          <w:rFonts w:ascii="Garamond" w:hAnsi="Garamond" w:cs="Arial"/>
          <w:sz w:val="24"/>
          <w:szCs w:val="24"/>
          <w:lang w:val="pt-PT"/>
        </w:rPr>
        <w:t xml:space="preserve"> parte</w:t>
      </w:r>
      <w:r w:rsidR="001E4EBD" w:rsidRPr="00496247">
        <w:rPr>
          <w:rFonts w:ascii="Garamond" w:hAnsi="Garamond" w:cs="Arial"/>
          <w:sz w:val="24"/>
          <w:szCs w:val="24"/>
          <w:lang w:val="pt-PT"/>
        </w:rPr>
        <w:t xml:space="preserve"> d</w:t>
      </w:r>
      <w:r w:rsidR="00C751FC" w:rsidRPr="00496247">
        <w:rPr>
          <w:rFonts w:ascii="Garamond" w:hAnsi="Garamond" w:cs="Arial"/>
          <w:sz w:val="24"/>
          <w:szCs w:val="24"/>
          <w:lang w:val="pt-PT"/>
        </w:rPr>
        <w:t>e</w:t>
      </w:r>
      <w:r w:rsidR="001E4EBD" w:rsidRPr="00496247">
        <w:rPr>
          <w:rFonts w:ascii="Garamond" w:hAnsi="Garamond" w:cs="Arial"/>
          <w:sz w:val="24"/>
          <w:szCs w:val="24"/>
          <w:lang w:val="pt-PT"/>
        </w:rPr>
        <w:t xml:space="preserve">las </w:t>
      </w:r>
      <w:r w:rsidR="007407BD" w:rsidRPr="00496247">
        <w:rPr>
          <w:rFonts w:ascii="Garamond" w:hAnsi="Garamond" w:cs="Arial"/>
          <w:sz w:val="24"/>
          <w:szCs w:val="24"/>
          <w:lang w:val="pt-PT"/>
        </w:rPr>
        <w:t>podem</w:t>
      </w:r>
      <w:r w:rsidR="001E4EBD" w:rsidRPr="00496247">
        <w:rPr>
          <w:rFonts w:ascii="Garamond" w:hAnsi="Garamond" w:cs="Arial"/>
          <w:sz w:val="24"/>
          <w:szCs w:val="24"/>
          <w:lang w:val="pt-PT"/>
        </w:rPr>
        <w:t xml:space="preserve"> </w:t>
      </w:r>
      <w:r w:rsidR="00D37CF3" w:rsidRPr="00496247">
        <w:rPr>
          <w:rFonts w:ascii="Garamond" w:hAnsi="Garamond" w:cs="Arial"/>
          <w:sz w:val="24"/>
          <w:szCs w:val="24"/>
          <w:lang w:val="pt-PT"/>
        </w:rPr>
        <w:t>depreender-se</w:t>
      </w:r>
      <w:r w:rsidR="001E4EBD" w:rsidRPr="00496247">
        <w:rPr>
          <w:rFonts w:ascii="Garamond" w:hAnsi="Garamond" w:cs="Arial"/>
          <w:sz w:val="24"/>
          <w:szCs w:val="24"/>
          <w:lang w:val="pt-PT"/>
        </w:rPr>
        <w:t xml:space="preserve"> da </w:t>
      </w:r>
      <w:r w:rsidR="00233514" w:rsidRPr="00496247">
        <w:rPr>
          <w:rFonts w:ascii="Garamond" w:hAnsi="Garamond" w:cs="Arial"/>
          <w:sz w:val="24"/>
          <w:szCs w:val="24"/>
          <w:lang w:val="pt-PT"/>
        </w:rPr>
        <w:t>maioria</w:t>
      </w:r>
      <w:r w:rsidR="001E4EBD" w:rsidRPr="00496247">
        <w:rPr>
          <w:rFonts w:ascii="Garamond" w:hAnsi="Garamond" w:cs="Arial"/>
          <w:sz w:val="24"/>
          <w:szCs w:val="24"/>
          <w:lang w:val="pt-PT"/>
        </w:rPr>
        <w:t xml:space="preserve"> </w:t>
      </w:r>
      <w:r w:rsidR="00497503" w:rsidRPr="00496247">
        <w:rPr>
          <w:rFonts w:ascii="Garamond" w:hAnsi="Garamond" w:cs="Arial"/>
          <w:sz w:val="24"/>
          <w:szCs w:val="24"/>
          <w:lang w:val="pt-PT"/>
        </w:rPr>
        <w:t>das</w:t>
      </w:r>
      <w:r w:rsidR="001E4EBD" w:rsidRPr="00496247">
        <w:rPr>
          <w:rFonts w:ascii="Garamond" w:hAnsi="Garamond" w:cs="Arial"/>
          <w:sz w:val="24"/>
          <w:szCs w:val="24"/>
          <w:lang w:val="pt-PT"/>
        </w:rPr>
        <w:t xml:space="preserve"> </w:t>
      </w:r>
      <w:r w:rsidR="00DC5DA7" w:rsidRPr="00496247">
        <w:rPr>
          <w:rFonts w:ascii="Garamond" w:hAnsi="Garamond" w:cs="Arial"/>
          <w:sz w:val="24"/>
          <w:szCs w:val="24"/>
          <w:lang w:val="pt-PT"/>
        </w:rPr>
        <w:t>conclusões</w:t>
      </w:r>
      <w:r w:rsidR="001E4EBD" w:rsidRPr="00496247">
        <w:rPr>
          <w:rFonts w:ascii="Garamond" w:hAnsi="Garamond" w:cs="Arial"/>
          <w:sz w:val="24"/>
          <w:szCs w:val="24"/>
          <w:lang w:val="pt-PT"/>
        </w:rPr>
        <w:t xml:space="preserve"> anteriores</w:t>
      </w:r>
      <w:r w:rsidR="00E31FAE" w:rsidRPr="00496247">
        <w:rPr>
          <w:rFonts w:ascii="Garamond" w:hAnsi="Garamond" w:cs="Arial"/>
          <w:sz w:val="24"/>
          <w:szCs w:val="24"/>
          <w:lang w:val="pt-PT"/>
        </w:rPr>
        <w:t>. S</w:t>
      </w:r>
      <w:r w:rsidR="00C751FC" w:rsidRPr="00496247">
        <w:rPr>
          <w:rFonts w:ascii="Garamond" w:hAnsi="Garamond" w:cs="Arial"/>
          <w:sz w:val="24"/>
          <w:szCs w:val="24"/>
          <w:lang w:val="pt-PT"/>
        </w:rPr>
        <w:t xml:space="preserve">em prejuízo do </w:t>
      </w:r>
      <w:r w:rsidR="00CD18F9" w:rsidRPr="00496247">
        <w:rPr>
          <w:rFonts w:ascii="Garamond" w:hAnsi="Garamond" w:cs="Arial"/>
          <w:sz w:val="24"/>
          <w:szCs w:val="24"/>
          <w:lang w:val="pt-PT"/>
        </w:rPr>
        <w:t>que atrás se</w:t>
      </w:r>
      <w:r w:rsidR="00B5294C" w:rsidRPr="00496247">
        <w:rPr>
          <w:rFonts w:ascii="Garamond" w:hAnsi="Garamond" w:cs="Arial"/>
          <w:sz w:val="24"/>
          <w:szCs w:val="24"/>
          <w:lang w:val="pt-PT"/>
        </w:rPr>
        <w:t xml:space="preserve"> concluiu</w:t>
      </w:r>
      <w:r w:rsidR="00C751FC" w:rsidRPr="00496247">
        <w:rPr>
          <w:rFonts w:ascii="Garamond" w:hAnsi="Garamond" w:cs="Arial"/>
          <w:sz w:val="24"/>
          <w:szCs w:val="24"/>
          <w:lang w:val="pt-PT"/>
        </w:rPr>
        <w:t xml:space="preserve">, </w:t>
      </w:r>
      <w:r w:rsidR="00496247" w:rsidRPr="00496247">
        <w:rPr>
          <w:rFonts w:ascii="Garamond" w:hAnsi="Garamond" w:cs="Arial"/>
          <w:sz w:val="24"/>
          <w:szCs w:val="24"/>
          <w:lang w:val="pt-PT"/>
        </w:rPr>
        <w:t xml:space="preserve">à laia </w:t>
      </w:r>
      <w:r w:rsidR="001E4EBD" w:rsidRPr="00496247">
        <w:rPr>
          <w:rFonts w:ascii="Garamond" w:hAnsi="Garamond" w:cs="Arial"/>
          <w:sz w:val="24"/>
          <w:szCs w:val="24"/>
          <w:lang w:val="pt-PT"/>
        </w:rPr>
        <w:t>de complemento</w:t>
      </w:r>
      <w:r w:rsidR="00E31FAE" w:rsidRPr="00496247">
        <w:rPr>
          <w:rFonts w:ascii="Garamond" w:hAnsi="Garamond" w:cs="Arial"/>
          <w:sz w:val="24"/>
          <w:szCs w:val="24"/>
          <w:lang w:val="pt-PT"/>
        </w:rPr>
        <w:t xml:space="preserve"> </w:t>
      </w:r>
      <w:r w:rsidR="000672E8" w:rsidRPr="00496247">
        <w:rPr>
          <w:rFonts w:ascii="Garamond" w:hAnsi="Garamond" w:cs="Arial"/>
          <w:sz w:val="24"/>
          <w:szCs w:val="24"/>
          <w:lang w:val="pt-PT"/>
        </w:rPr>
        <w:t>e</w:t>
      </w:r>
      <w:r w:rsidR="00E31FAE" w:rsidRPr="00496247">
        <w:rPr>
          <w:rFonts w:ascii="Garamond" w:hAnsi="Garamond" w:cs="Arial"/>
          <w:sz w:val="24"/>
          <w:szCs w:val="24"/>
          <w:lang w:val="pt-PT"/>
        </w:rPr>
        <w:t xml:space="preserve"> </w:t>
      </w:r>
      <w:r w:rsidR="00306B73" w:rsidRPr="00496247">
        <w:rPr>
          <w:rFonts w:ascii="Garamond" w:hAnsi="Garamond" w:cs="Arial"/>
          <w:sz w:val="24"/>
          <w:szCs w:val="24"/>
          <w:lang w:val="pt-PT"/>
        </w:rPr>
        <w:t>sempre</w:t>
      </w:r>
      <w:r w:rsidR="001E4EBD" w:rsidRPr="00496247">
        <w:rPr>
          <w:rFonts w:ascii="Garamond" w:hAnsi="Garamond" w:cs="Arial"/>
          <w:sz w:val="24"/>
          <w:szCs w:val="24"/>
          <w:lang w:val="pt-PT"/>
        </w:rPr>
        <w:t xml:space="preserve"> indu</w:t>
      </w:r>
      <w:r w:rsidR="00C751FC" w:rsidRPr="00496247">
        <w:rPr>
          <w:rFonts w:ascii="Garamond" w:hAnsi="Garamond" w:cs="Arial"/>
          <w:sz w:val="24"/>
          <w:szCs w:val="24"/>
          <w:lang w:val="pt-PT"/>
        </w:rPr>
        <w:t>z</w:t>
      </w:r>
      <w:r w:rsidR="001E4EBD" w:rsidRPr="00496247">
        <w:rPr>
          <w:rFonts w:ascii="Garamond" w:hAnsi="Garamond" w:cs="Arial"/>
          <w:sz w:val="24"/>
          <w:szCs w:val="24"/>
          <w:lang w:val="pt-PT"/>
        </w:rPr>
        <w:t>idos p</w:t>
      </w:r>
      <w:r w:rsidR="00C751FC" w:rsidRPr="00496247">
        <w:rPr>
          <w:rFonts w:ascii="Garamond" w:hAnsi="Garamond" w:cs="Arial"/>
          <w:sz w:val="24"/>
          <w:szCs w:val="24"/>
          <w:lang w:val="pt-PT"/>
        </w:rPr>
        <w:t>ela</w:t>
      </w:r>
      <w:r w:rsidR="00C7697D" w:rsidRPr="00496247">
        <w:rPr>
          <w:rFonts w:ascii="Garamond" w:hAnsi="Garamond" w:cs="Arial"/>
          <w:sz w:val="24"/>
          <w:szCs w:val="24"/>
          <w:lang w:val="pt-PT"/>
        </w:rPr>
        <w:t xml:space="preserve"> colaboração obtida, </w:t>
      </w:r>
      <w:r w:rsidR="00E31FAE" w:rsidRPr="00496247">
        <w:rPr>
          <w:rFonts w:ascii="Garamond" w:hAnsi="Garamond" w:cs="Arial"/>
          <w:sz w:val="24"/>
          <w:szCs w:val="24"/>
          <w:lang w:val="pt-PT"/>
        </w:rPr>
        <w:t>sugeri</w:t>
      </w:r>
      <w:r w:rsidR="00C7697D" w:rsidRPr="00496247">
        <w:rPr>
          <w:rFonts w:ascii="Garamond" w:hAnsi="Garamond" w:cs="Arial"/>
          <w:sz w:val="24"/>
          <w:szCs w:val="24"/>
          <w:lang w:val="pt-PT"/>
        </w:rPr>
        <w:t xml:space="preserve">mos </w:t>
      </w:r>
      <w:r w:rsidR="00AE66E4" w:rsidRPr="00496247">
        <w:rPr>
          <w:rFonts w:ascii="Garamond" w:hAnsi="Garamond" w:cs="Arial"/>
          <w:sz w:val="24"/>
          <w:szCs w:val="24"/>
          <w:lang w:val="pt-PT"/>
        </w:rPr>
        <w:t xml:space="preserve">as </w:t>
      </w:r>
      <w:r w:rsidR="006F7276" w:rsidRPr="00496247">
        <w:rPr>
          <w:rFonts w:ascii="Garamond" w:hAnsi="Garamond" w:cs="Arial"/>
          <w:sz w:val="24"/>
          <w:szCs w:val="24"/>
          <w:lang w:val="pt-PT"/>
        </w:rPr>
        <w:t>seguintes</w:t>
      </w:r>
      <w:r w:rsidR="00AE66E4" w:rsidRPr="00496247">
        <w:rPr>
          <w:rFonts w:ascii="Garamond" w:hAnsi="Garamond" w:cs="Arial"/>
          <w:sz w:val="24"/>
          <w:szCs w:val="24"/>
          <w:lang w:val="pt-PT"/>
        </w:rPr>
        <w:t>:</w:t>
      </w:r>
    </w:p>
    <w:p w:rsidR="009C17E0" w:rsidRPr="003A1174" w:rsidRDefault="00C30647" w:rsidP="00C751FC">
      <w:pPr>
        <w:pStyle w:val="Predeterminado"/>
        <w:numPr>
          <w:ilvl w:val="0"/>
          <w:numId w:val="45"/>
        </w:numPr>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Avançar</w:t>
      </w:r>
      <w:r w:rsidR="001E4EBD" w:rsidRPr="003A1174">
        <w:rPr>
          <w:rFonts w:ascii="Garamond" w:hAnsi="Garamond" w:cs="Arial"/>
          <w:color w:val="auto"/>
          <w:sz w:val="24"/>
          <w:szCs w:val="24"/>
          <w:lang w:val="pt-PT"/>
        </w:rPr>
        <w:t xml:space="preserve"> </w:t>
      </w:r>
      <w:r w:rsidR="00B5294C">
        <w:rPr>
          <w:rFonts w:ascii="Garamond" w:hAnsi="Garamond" w:cs="Arial"/>
          <w:color w:val="auto"/>
          <w:sz w:val="24"/>
          <w:szCs w:val="24"/>
          <w:lang w:val="pt-PT"/>
        </w:rPr>
        <w:t xml:space="preserve">na análise </w:t>
      </w:r>
      <w:r w:rsidR="00C751FC" w:rsidRPr="003A1174">
        <w:rPr>
          <w:rFonts w:ascii="Garamond" w:hAnsi="Garamond" w:cs="Arial"/>
          <w:color w:val="auto"/>
          <w:sz w:val="24"/>
          <w:szCs w:val="24"/>
          <w:lang w:val="pt-PT"/>
        </w:rPr>
        <w:t xml:space="preserve">sobre </w:t>
      </w:r>
      <w:r w:rsidR="001E4EBD" w:rsidRPr="003A1174">
        <w:rPr>
          <w:rFonts w:ascii="Garamond" w:hAnsi="Garamond" w:cs="Arial"/>
          <w:color w:val="auto"/>
          <w:sz w:val="24"/>
          <w:szCs w:val="24"/>
          <w:lang w:val="pt-PT"/>
        </w:rPr>
        <w:t>as la</w:t>
      </w:r>
      <w:r w:rsidR="00C751FC" w:rsidRPr="003A1174">
        <w:rPr>
          <w:rFonts w:ascii="Garamond" w:hAnsi="Garamond" w:cs="Arial"/>
          <w:color w:val="auto"/>
          <w:sz w:val="24"/>
          <w:szCs w:val="24"/>
          <w:lang w:val="pt-PT"/>
        </w:rPr>
        <w:t>c</w:t>
      </w:r>
      <w:r w:rsidR="001E4EBD" w:rsidRPr="003A1174">
        <w:rPr>
          <w:rFonts w:ascii="Garamond" w:hAnsi="Garamond" w:cs="Arial"/>
          <w:color w:val="auto"/>
          <w:sz w:val="24"/>
          <w:szCs w:val="24"/>
          <w:lang w:val="pt-PT"/>
        </w:rPr>
        <w:t xml:space="preserve">unas </w:t>
      </w:r>
      <w:r w:rsidR="00C751FC" w:rsidRPr="003A1174">
        <w:rPr>
          <w:rFonts w:ascii="Garamond" w:hAnsi="Garamond" w:cs="Arial"/>
          <w:color w:val="auto"/>
          <w:sz w:val="24"/>
          <w:szCs w:val="24"/>
          <w:lang w:val="pt-PT"/>
        </w:rPr>
        <w:t xml:space="preserve">legais e </w:t>
      </w:r>
      <w:r w:rsidR="001E4EBD" w:rsidRPr="003A1174">
        <w:rPr>
          <w:rFonts w:ascii="Garamond" w:hAnsi="Garamond" w:cs="Arial"/>
          <w:color w:val="auto"/>
          <w:sz w:val="24"/>
          <w:szCs w:val="24"/>
          <w:lang w:val="pt-PT"/>
        </w:rPr>
        <w:t>defi</w:t>
      </w:r>
      <w:r w:rsidR="00A86B7C" w:rsidRPr="003A1174">
        <w:rPr>
          <w:rFonts w:ascii="Garamond" w:hAnsi="Garamond" w:cs="Arial"/>
          <w:color w:val="auto"/>
          <w:sz w:val="24"/>
          <w:szCs w:val="24"/>
          <w:lang w:val="pt-PT"/>
        </w:rPr>
        <w:t>ciências</w:t>
      </w:r>
      <w:r w:rsidR="001E4EBD" w:rsidRPr="003A1174">
        <w:rPr>
          <w:rFonts w:ascii="Garamond" w:hAnsi="Garamond" w:cs="Arial"/>
          <w:color w:val="auto"/>
          <w:sz w:val="24"/>
          <w:szCs w:val="24"/>
          <w:lang w:val="pt-PT"/>
        </w:rPr>
        <w:t xml:space="preserve"> </w:t>
      </w:r>
      <w:r w:rsidR="00850D21" w:rsidRPr="003A1174">
        <w:rPr>
          <w:rFonts w:ascii="Garamond" w:hAnsi="Garamond" w:cs="Arial"/>
          <w:color w:val="auto"/>
          <w:sz w:val="24"/>
          <w:szCs w:val="24"/>
          <w:lang w:val="pt-PT"/>
        </w:rPr>
        <w:t>n</w:t>
      </w:r>
      <w:r w:rsidR="00497503" w:rsidRPr="003A1174">
        <w:rPr>
          <w:rFonts w:ascii="Garamond" w:hAnsi="Garamond" w:cs="Arial"/>
          <w:color w:val="auto"/>
          <w:sz w:val="24"/>
          <w:szCs w:val="24"/>
          <w:lang w:val="pt-PT"/>
        </w:rPr>
        <w:t>as</w:t>
      </w:r>
      <w:r w:rsidR="001E4EBD" w:rsidRPr="003A1174">
        <w:rPr>
          <w:rFonts w:ascii="Garamond" w:hAnsi="Garamond" w:cs="Arial"/>
          <w:color w:val="auto"/>
          <w:sz w:val="24"/>
          <w:szCs w:val="24"/>
          <w:lang w:val="pt-PT"/>
        </w:rPr>
        <w:t xml:space="preserve"> </w:t>
      </w:r>
      <w:r w:rsidR="005D38DC" w:rsidRPr="003A1174">
        <w:rPr>
          <w:rFonts w:ascii="Garamond" w:hAnsi="Garamond" w:cs="Arial"/>
          <w:color w:val="auto"/>
          <w:sz w:val="24"/>
          <w:szCs w:val="24"/>
          <w:lang w:val="pt-PT"/>
        </w:rPr>
        <w:t>decisões</w:t>
      </w:r>
      <w:r w:rsidR="001E4EBD" w:rsidRPr="003A1174">
        <w:rPr>
          <w:rFonts w:ascii="Garamond" w:hAnsi="Garamond" w:cs="Arial"/>
          <w:color w:val="auto"/>
          <w:sz w:val="24"/>
          <w:szCs w:val="24"/>
          <w:lang w:val="pt-PT"/>
        </w:rPr>
        <w:t xml:space="preserve"> </w:t>
      </w:r>
      <w:r w:rsidR="00DC5DA7" w:rsidRPr="003A1174">
        <w:rPr>
          <w:rFonts w:ascii="Garamond" w:hAnsi="Garamond" w:cs="Arial"/>
          <w:color w:val="auto"/>
          <w:sz w:val="24"/>
          <w:szCs w:val="24"/>
          <w:lang w:val="pt-PT"/>
        </w:rPr>
        <w:t>jurisdicionais</w:t>
      </w:r>
      <w:r w:rsidR="00B5294C">
        <w:rPr>
          <w:rFonts w:ascii="Garamond" w:hAnsi="Garamond" w:cs="Arial"/>
          <w:color w:val="auto"/>
          <w:sz w:val="24"/>
          <w:szCs w:val="24"/>
          <w:lang w:val="pt-PT"/>
        </w:rPr>
        <w:t>,</w:t>
      </w:r>
      <w:r w:rsidR="001E4EBD" w:rsidRPr="003A1174">
        <w:rPr>
          <w:rFonts w:ascii="Garamond" w:hAnsi="Garamond" w:cs="Arial"/>
          <w:color w:val="auto"/>
          <w:sz w:val="24"/>
          <w:szCs w:val="24"/>
          <w:lang w:val="pt-PT"/>
        </w:rPr>
        <w:t xml:space="preserve"> e</w:t>
      </w:r>
      <w:r w:rsidR="00C751FC" w:rsidRPr="003A1174">
        <w:rPr>
          <w:rFonts w:ascii="Garamond" w:hAnsi="Garamond" w:cs="Arial"/>
          <w:color w:val="auto"/>
          <w:sz w:val="24"/>
          <w:szCs w:val="24"/>
          <w:lang w:val="pt-PT"/>
        </w:rPr>
        <w:t>m</w:t>
      </w:r>
      <w:r w:rsidR="001E4EBD"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1E4EBD"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1E4EBD" w:rsidRPr="003A1174">
        <w:rPr>
          <w:rFonts w:ascii="Garamond" w:hAnsi="Garamond" w:cs="Arial"/>
          <w:color w:val="auto"/>
          <w:sz w:val="24"/>
          <w:szCs w:val="24"/>
          <w:lang w:val="pt-PT"/>
        </w:rPr>
        <w:t xml:space="preserve"> intrafamiliar </w:t>
      </w:r>
      <w:r w:rsidR="000672E8" w:rsidRPr="003A1174">
        <w:rPr>
          <w:rFonts w:ascii="Garamond" w:hAnsi="Garamond" w:cs="Arial"/>
          <w:color w:val="auto"/>
          <w:sz w:val="24"/>
          <w:szCs w:val="24"/>
          <w:lang w:val="pt-PT"/>
        </w:rPr>
        <w:t>e</w:t>
      </w:r>
      <w:r w:rsidR="001E4EBD" w:rsidRPr="003A1174">
        <w:rPr>
          <w:rFonts w:ascii="Garamond" w:hAnsi="Garamond" w:cs="Arial"/>
          <w:color w:val="auto"/>
          <w:sz w:val="24"/>
          <w:szCs w:val="24"/>
          <w:lang w:val="pt-PT"/>
        </w:rPr>
        <w:t xml:space="preserve"> </w:t>
      </w:r>
      <w:r w:rsidR="000350B1" w:rsidRPr="003A1174">
        <w:rPr>
          <w:rFonts w:ascii="Garamond" w:hAnsi="Garamond" w:cs="Arial"/>
          <w:color w:val="auto"/>
          <w:sz w:val="24"/>
          <w:szCs w:val="24"/>
          <w:lang w:val="pt-PT"/>
        </w:rPr>
        <w:t>violência</w:t>
      </w:r>
      <w:r w:rsidR="001E4EBD" w:rsidRPr="003A1174">
        <w:rPr>
          <w:rFonts w:ascii="Garamond" w:hAnsi="Garamond" w:cs="Arial"/>
          <w:color w:val="auto"/>
          <w:sz w:val="24"/>
          <w:szCs w:val="24"/>
          <w:lang w:val="pt-PT"/>
        </w:rPr>
        <w:t xml:space="preserve"> </w:t>
      </w:r>
      <w:r w:rsidR="00BB2B00" w:rsidRPr="003A1174">
        <w:rPr>
          <w:rFonts w:ascii="Garamond" w:hAnsi="Garamond" w:cs="Arial"/>
          <w:color w:val="auto"/>
          <w:sz w:val="24"/>
          <w:szCs w:val="24"/>
          <w:lang w:val="pt-PT"/>
        </w:rPr>
        <w:t>contra a</w:t>
      </w:r>
      <w:r w:rsidR="001E4EBD" w:rsidRPr="003A1174">
        <w:rPr>
          <w:rFonts w:ascii="Garamond" w:hAnsi="Garamond" w:cs="Arial"/>
          <w:color w:val="auto"/>
          <w:sz w:val="24"/>
          <w:szCs w:val="24"/>
          <w:lang w:val="pt-PT"/>
        </w:rPr>
        <w:t xml:space="preserve">s </w:t>
      </w:r>
      <w:r w:rsidR="00054EE0" w:rsidRPr="003A1174">
        <w:rPr>
          <w:rFonts w:ascii="Garamond" w:hAnsi="Garamond" w:cs="Arial"/>
          <w:color w:val="auto"/>
          <w:sz w:val="24"/>
          <w:szCs w:val="24"/>
          <w:lang w:val="pt-PT"/>
        </w:rPr>
        <w:t>mulheres</w:t>
      </w:r>
      <w:r w:rsidR="00C751FC" w:rsidRPr="003A1174">
        <w:rPr>
          <w:rFonts w:ascii="Garamond" w:hAnsi="Garamond" w:cs="Arial"/>
          <w:color w:val="auto"/>
          <w:sz w:val="24"/>
          <w:szCs w:val="24"/>
          <w:lang w:val="pt-PT"/>
        </w:rPr>
        <w:t xml:space="preserve"> em</w:t>
      </w:r>
      <w:r w:rsidR="001E4EBD" w:rsidRPr="003A1174">
        <w:rPr>
          <w:rFonts w:ascii="Garamond" w:hAnsi="Garamond" w:cs="Arial"/>
          <w:color w:val="auto"/>
          <w:sz w:val="24"/>
          <w:szCs w:val="24"/>
          <w:lang w:val="pt-PT"/>
        </w:rPr>
        <w:t xml:space="preserve"> </w:t>
      </w:r>
      <w:r w:rsidR="00077461" w:rsidRPr="003A1174">
        <w:rPr>
          <w:rFonts w:ascii="Garamond" w:hAnsi="Garamond" w:cs="Arial"/>
          <w:color w:val="auto"/>
          <w:sz w:val="24"/>
          <w:szCs w:val="24"/>
          <w:lang w:val="pt-PT"/>
        </w:rPr>
        <w:t>geral</w:t>
      </w:r>
      <w:r w:rsidR="001E4EBD" w:rsidRPr="003A1174">
        <w:rPr>
          <w:rFonts w:ascii="Garamond" w:hAnsi="Garamond" w:cs="Arial"/>
          <w:color w:val="auto"/>
          <w:sz w:val="24"/>
          <w:szCs w:val="24"/>
          <w:lang w:val="pt-PT"/>
        </w:rPr>
        <w:t xml:space="preserve">, </w:t>
      </w:r>
      <w:r w:rsidR="00B5294C">
        <w:rPr>
          <w:rFonts w:ascii="Garamond" w:hAnsi="Garamond" w:cs="Arial"/>
          <w:color w:val="auto"/>
          <w:sz w:val="24"/>
          <w:szCs w:val="24"/>
          <w:lang w:val="pt-PT"/>
        </w:rPr>
        <w:t xml:space="preserve">através de </w:t>
      </w:r>
      <w:r w:rsidR="001E4EBD" w:rsidRPr="003A1174">
        <w:rPr>
          <w:rFonts w:ascii="Garamond" w:hAnsi="Garamond" w:cs="Arial"/>
          <w:color w:val="auto"/>
          <w:sz w:val="24"/>
          <w:szCs w:val="24"/>
          <w:lang w:val="pt-PT"/>
        </w:rPr>
        <w:t xml:space="preserve">grupos de </w:t>
      </w:r>
      <w:r w:rsidR="0017447A" w:rsidRPr="003A1174">
        <w:rPr>
          <w:rFonts w:ascii="Garamond" w:hAnsi="Garamond" w:cs="Arial"/>
          <w:color w:val="auto"/>
          <w:sz w:val="24"/>
          <w:szCs w:val="24"/>
          <w:lang w:val="pt-PT"/>
        </w:rPr>
        <w:t>trabalho</w:t>
      </w:r>
      <w:r w:rsidR="001E4EBD" w:rsidRPr="003A1174">
        <w:rPr>
          <w:rFonts w:ascii="Garamond" w:hAnsi="Garamond" w:cs="Arial"/>
          <w:color w:val="auto"/>
          <w:sz w:val="24"/>
          <w:szCs w:val="24"/>
          <w:lang w:val="pt-PT"/>
        </w:rPr>
        <w:t xml:space="preserve"> que </w:t>
      </w:r>
      <w:r w:rsidR="00B5294C">
        <w:rPr>
          <w:rFonts w:ascii="Garamond" w:hAnsi="Garamond" w:cs="Arial"/>
          <w:color w:val="auto"/>
          <w:sz w:val="24"/>
          <w:szCs w:val="24"/>
          <w:lang w:val="pt-PT"/>
        </w:rPr>
        <w:t xml:space="preserve">reúnam </w:t>
      </w:r>
      <w:r w:rsidR="001E4EBD" w:rsidRPr="003A1174">
        <w:rPr>
          <w:rFonts w:ascii="Garamond" w:hAnsi="Garamond" w:cs="Arial"/>
          <w:color w:val="auto"/>
          <w:sz w:val="24"/>
          <w:szCs w:val="24"/>
          <w:lang w:val="pt-PT"/>
        </w:rPr>
        <w:t xml:space="preserve">especialistas </w:t>
      </w:r>
      <w:r w:rsidR="00C86C58" w:rsidRPr="003A1174">
        <w:rPr>
          <w:rFonts w:ascii="Garamond" w:hAnsi="Garamond" w:cs="Arial"/>
          <w:color w:val="auto"/>
          <w:sz w:val="24"/>
          <w:szCs w:val="24"/>
          <w:lang w:val="pt-PT"/>
        </w:rPr>
        <w:t>estatais</w:t>
      </w:r>
      <w:r w:rsidR="001E4EBD" w:rsidRPr="003A1174">
        <w:rPr>
          <w:rFonts w:ascii="Garamond" w:hAnsi="Garamond" w:cs="Arial"/>
          <w:color w:val="auto"/>
          <w:sz w:val="24"/>
          <w:szCs w:val="24"/>
          <w:lang w:val="pt-PT"/>
        </w:rPr>
        <w:t xml:space="preserve">, especialistas da </w:t>
      </w:r>
      <w:r w:rsidR="002C7510" w:rsidRPr="003A1174">
        <w:rPr>
          <w:rFonts w:ascii="Garamond" w:hAnsi="Garamond" w:cs="Arial"/>
          <w:color w:val="auto"/>
          <w:sz w:val="24"/>
          <w:szCs w:val="24"/>
          <w:lang w:val="pt-PT"/>
        </w:rPr>
        <w:t>sociedade</w:t>
      </w:r>
      <w:r w:rsidR="001E4EBD" w:rsidRPr="003A1174">
        <w:rPr>
          <w:rFonts w:ascii="Garamond" w:hAnsi="Garamond" w:cs="Arial"/>
          <w:color w:val="auto"/>
          <w:sz w:val="24"/>
          <w:szCs w:val="24"/>
          <w:lang w:val="pt-PT"/>
        </w:rPr>
        <w:t xml:space="preserve"> civil</w:t>
      </w:r>
      <w:r w:rsidR="009C17E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r</w:t>
      </w:r>
      <w:r w:rsidR="009C17E0" w:rsidRPr="003A1174">
        <w:rPr>
          <w:rFonts w:ascii="Garamond" w:hAnsi="Garamond" w:cs="Arial"/>
          <w:color w:val="auto"/>
          <w:sz w:val="24"/>
          <w:szCs w:val="24"/>
          <w:lang w:val="pt-PT"/>
        </w:rPr>
        <w:t xml:space="preserve">epresentantes </w:t>
      </w:r>
      <w:r w:rsidR="00497503" w:rsidRPr="003A1174">
        <w:rPr>
          <w:rFonts w:ascii="Garamond" w:hAnsi="Garamond" w:cs="Arial"/>
          <w:color w:val="auto"/>
          <w:sz w:val="24"/>
          <w:szCs w:val="24"/>
          <w:lang w:val="pt-PT"/>
        </w:rPr>
        <w:t>dos</w:t>
      </w:r>
      <w:r w:rsidR="009C17E0" w:rsidRPr="003A1174">
        <w:rPr>
          <w:rFonts w:ascii="Garamond" w:hAnsi="Garamond" w:cs="Arial"/>
          <w:color w:val="auto"/>
          <w:sz w:val="24"/>
          <w:szCs w:val="24"/>
          <w:lang w:val="pt-PT"/>
        </w:rPr>
        <w:t xml:space="preserve"> denominados </w:t>
      </w:r>
      <w:r w:rsidR="00682C71" w:rsidRPr="003A1174">
        <w:rPr>
          <w:rFonts w:ascii="Garamond" w:hAnsi="Garamond" w:cs="Arial"/>
          <w:color w:val="auto"/>
          <w:sz w:val="24"/>
          <w:szCs w:val="24"/>
          <w:lang w:val="pt-PT"/>
        </w:rPr>
        <w:t>meios</w:t>
      </w:r>
      <w:r w:rsidR="009C17E0" w:rsidRPr="003A1174">
        <w:rPr>
          <w:rFonts w:ascii="Garamond" w:hAnsi="Garamond" w:cs="Arial"/>
          <w:color w:val="auto"/>
          <w:sz w:val="24"/>
          <w:szCs w:val="24"/>
          <w:lang w:val="pt-PT"/>
        </w:rPr>
        <w:t xml:space="preserve"> de </w:t>
      </w:r>
      <w:r w:rsidR="00C01806" w:rsidRPr="003A1174">
        <w:rPr>
          <w:rFonts w:ascii="Garamond" w:hAnsi="Garamond" w:cs="Arial"/>
          <w:color w:val="auto"/>
          <w:sz w:val="24"/>
          <w:szCs w:val="24"/>
          <w:lang w:val="pt-PT"/>
        </w:rPr>
        <w:t>comunicação</w:t>
      </w:r>
      <w:r w:rsidR="001E4EBD"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1E4EBD" w:rsidRPr="003A1174">
        <w:rPr>
          <w:rFonts w:ascii="Garamond" w:hAnsi="Garamond" w:cs="Arial"/>
          <w:color w:val="auto"/>
          <w:sz w:val="24"/>
          <w:szCs w:val="24"/>
          <w:lang w:val="pt-PT"/>
        </w:rPr>
        <w:t xml:space="preserve"> representantes de </w:t>
      </w:r>
      <w:r w:rsidR="002470B1" w:rsidRPr="003A1174">
        <w:rPr>
          <w:rFonts w:ascii="Garamond" w:hAnsi="Garamond" w:cs="Arial"/>
          <w:color w:val="auto"/>
          <w:sz w:val="24"/>
          <w:szCs w:val="24"/>
          <w:lang w:val="pt-PT"/>
        </w:rPr>
        <w:t>organizações</w:t>
      </w:r>
      <w:r w:rsidR="001E4EBD" w:rsidRPr="003A1174">
        <w:rPr>
          <w:rFonts w:ascii="Garamond" w:hAnsi="Garamond" w:cs="Arial"/>
          <w:color w:val="auto"/>
          <w:sz w:val="24"/>
          <w:szCs w:val="24"/>
          <w:lang w:val="pt-PT"/>
        </w:rPr>
        <w:t xml:space="preserve"> de </w:t>
      </w:r>
      <w:r w:rsidR="00054EE0" w:rsidRPr="003A1174">
        <w:rPr>
          <w:rFonts w:ascii="Garamond" w:hAnsi="Garamond" w:cs="Arial"/>
          <w:color w:val="auto"/>
          <w:sz w:val="24"/>
          <w:szCs w:val="24"/>
          <w:lang w:val="pt-PT"/>
        </w:rPr>
        <w:t>mulheres</w:t>
      </w:r>
      <w:r w:rsidR="001E4EBD" w:rsidRPr="003A1174">
        <w:rPr>
          <w:rFonts w:ascii="Garamond" w:hAnsi="Garamond" w:cs="Arial"/>
          <w:color w:val="auto"/>
          <w:sz w:val="24"/>
          <w:szCs w:val="24"/>
          <w:lang w:val="pt-PT"/>
        </w:rPr>
        <w:t>.</w:t>
      </w:r>
      <w:r w:rsidR="009C17E0"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A</w:t>
      </w:r>
      <w:r w:rsidR="009C17E0" w:rsidRPr="003A1174">
        <w:rPr>
          <w:rFonts w:ascii="Garamond" w:hAnsi="Garamond" w:cs="Arial"/>
          <w:color w:val="auto"/>
          <w:sz w:val="24"/>
          <w:szCs w:val="24"/>
          <w:lang w:val="pt-PT"/>
        </w:rPr>
        <w:t xml:space="preserve">s </w:t>
      </w:r>
      <w:r w:rsidR="00DC5DA7" w:rsidRPr="003A1174">
        <w:rPr>
          <w:rFonts w:ascii="Garamond" w:hAnsi="Garamond" w:cs="Arial"/>
          <w:color w:val="auto"/>
          <w:sz w:val="24"/>
          <w:szCs w:val="24"/>
          <w:lang w:val="pt-PT"/>
        </w:rPr>
        <w:t>conclusões</w:t>
      </w:r>
      <w:r w:rsidR="009C17E0" w:rsidRPr="003A1174">
        <w:rPr>
          <w:rFonts w:ascii="Garamond" w:hAnsi="Garamond" w:cs="Arial"/>
          <w:color w:val="auto"/>
          <w:sz w:val="24"/>
          <w:szCs w:val="24"/>
          <w:lang w:val="pt-PT"/>
        </w:rPr>
        <w:t xml:space="preserve"> de </w:t>
      </w:r>
      <w:r w:rsidR="00A41573" w:rsidRPr="003A1174">
        <w:rPr>
          <w:rFonts w:ascii="Garamond" w:hAnsi="Garamond" w:cs="Arial"/>
          <w:color w:val="auto"/>
          <w:sz w:val="24"/>
          <w:szCs w:val="24"/>
          <w:lang w:val="pt-PT"/>
        </w:rPr>
        <w:t>tais</w:t>
      </w:r>
      <w:r w:rsidR="009C17E0" w:rsidRPr="003A1174">
        <w:rPr>
          <w:rFonts w:ascii="Garamond" w:hAnsi="Garamond" w:cs="Arial"/>
          <w:color w:val="auto"/>
          <w:sz w:val="24"/>
          <w:szCs w:val="24"/>
          <w:lang w:val="pt-PT"/>
        </w:rPr>
        <w:t xml:space="preserve"> grupos </w:t>
      </w:r>
      <w:r w:rsidR="00AF192F" w:rsidRPr="003A1174">
        <w:rPr>
          <w:rFonts w:ascii="Garamond" w:hAnsi="Garamond" w:cs="Arial"/>
          <w:color w:val="auto"/>
          <w:sz w:val="24"/>
          <w:szCs w:val="24"/>
          <w:lang w:val="pt-PT"/>
        </w:rPr>
        <w:t>dev</w:t>
      </w:r>
      <w:r w:rsidR="00850D21" w:rsidRPr="003A1174">
        <w:rPr>
          <w:rFonts w:ascii="Garamond" w:hAnsi="Garamond" w:cs="Arial"/>
          <w:color w:val="auto"/>
          <w:sz w:val="24"/>
          <w:szCs w:val="24"/>
          <w:lang w:val="pt-PT"/>
        </w:rPr>
        <w:t xml:space="preserve">em </w:t>
      </w:r>
      <w:r w:rsidR="00C751FC" w:rsidRPr="003A1174">
        <w:rPr>
          <w:rFonts w:ascii="Garamond" w:hAnsi="Garamond" w:cs="Arial"/>
          <w:color w:val="auto"/>
          <w:sz w:val="24"/>
          <w:szCs w:val="24"/>
          <w:lang w:val="pt-PT"/>
        </w:rPr>
        <w:t>ser de</w:t>
      </w:r>
      <w:r w:rsidR="00C751FC" w:rsidRPr="003A1174">
        <w:rPr>
          <w:rFonts w:ascii="Garamond" w:hAnsi="Garamond"/>
          <w:sz w:val="24"/>
          <w:szCs w:val="24"/>
          <w:lang w:val="pt-PT"/>
        </w:rPr>
        <w:t xml:space="preserve"> </w:t>
      </w:r>
      <w:r w:rsidR="00C751FC" w:rsidRPr="003A1174">
        <w:rPr>
          <w:rFonts w:ascii="Garamond" w:hAnsi="Garamond" w:cs="Arial"/>
          <w:color w:val="auto"/>
          <w:sz w:val="24"/>
          <w:szCs w:val="24"/>
          <w:lang w:val="pt-PT"/>
        </w:rPr>
        <w:t>difusão pública</w:t>
      </w:r>
      <w:r w:rsidR="009C17E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C17E0" w:rsidRPr="003A1174">
        <w:rPr>
          <w:rFonts w:ascii="Garamond" w:hAnsi="Garamond" w:cs="Arial"/>
          <w:color w:val="auto"/>
          <w:sz w:val="24"/>
          <w:szCs w:val="24"/>
          <w:lang w:val="pt-PT"/>
        </w:rPr>
        <w:t xml:space="preserve"> </w:t>
      </w:r>
      <w:r w:rsidR="00722D08" w:rsidRPr="003A1174">
        <w:rPr>
          <w:rFonts w:ascii="Garamond" w:hAnsi="Garamond" w:cs="Arial"/>
          <w:color w:val="auto"/>
          <w:sz w:val="24"/>
          <w:szCs w:val="24"/>
          <w:lang w:val="pt-PT"/>
        </w:rPr>
        <w:t>ser</w:t>
      </w:r>
      <w:r w:rsidR="00496247">
        <w:rPr>
          <w:rFonts w:ascii="Garamond" w:hAnsi="Garamond" w:cs="Arial"/>
          <w:color w:val="auto"/>
          <w:sz w:val="24"/>
          <w:szCs w:val="24"/>
          <w:lang w:val="pt-PT"/>
        </w:rPr>
        <w:t>em</w:t>
      </w:r>
      <w:r w:rsidR="00722D08" w:rsidRPr="003A1174">
        <w:rPr>
          <w:rFonts w:ascii="Garamond" w:hAnsi="Garamond" w:cs="Arial"/>
          <w:color w:val="auto"/>
          <w:sz w:val="24"/>
          <w:szCs w:val="24"/>
          <w:lang w:val="pt-PT"/>
        </w:rPr>
        <w:t xml:space="preserve"> comunicadas</w:t>
      </w:r>
      <w:r w:rsidR="00B5294C">
        <w:rPr>
          <w:rFonts w:ascii="Garamond" w:hAnsi="Garamond" w:cs="Arial"/>
          <w:color w:val="auto"/>
          <w:sz w:val="24"/>
          <w:szCs w:val="24"/>
          <w:lang w:val="pt-PT"/>
        </w:rPr>
        <w:t>,</w:t>
      </w:r>
      <w:r w:rsidR="009C17E0" w:rsidRPr="003A1174">
        <w:rPr>
          <w:rFonts w:ascii="Garamond" w:hAnsi="Garamond" w:cs="Arial"/>
          <w:color w:val="auto"/>
          <w:sz w:val="24"/>
          <w:szCs w:val="24"/>
          <w:lang w:val="pt-PT"/>
        </w:rPr>
        <w:t xml:space="preserve"> oficialmente</w:t>
      </w:r>
      <w:r w:rsidR="00B5294C">
        <w:rPr>
          <w:rFonts w:ascii="Garamond" w:hAnsi="Garamond" w:cs="Arial"/>
          <w:color w:val="auto"/>
          <w:sz w:val="24"/>
          <w:szCs w:val="24"/>
          <w:lang w:val="pt-PT"/>
        </w:rPr>
        <w:t>,</w:t>
      </w:r>
      <w:r w:rsidR="009C17E0" w:rsidRPr="003A1174">
        <w:rPr>
          <w:rFonts w:ascii="Garamond" w:hAnsi="Garamond" w:cs="Arial"/>
          <w:color w:val="auto"/>
          <w:sz w:val="24"/>
          <w:szCs w:val="24"/>
          <w:lang w:val="pt-PT"/>
        </w:rPr>
        <w:t xml:space="preserve"> tanto </w:t>
      </w:r>
      <w:r w:rsidR="00BB2B00" w:rsidRPr="003A1174">
        <w:rPr>
          <w:rFonts w:ascii="Garamond" w:hAnsi="Garamond" w:cs="Arial"/>
          <w:color w:val="auto"/>
          <w:sz w:val="24"/>
          <w:szCs w:val="24"/>
          <w:lang w:val="pt-PT"/>
        </w:rPr>
        <w:t>à</w:t>
      </w:r>
      <w:r w:rsidR="009C17E0" w:rsidRPr="003A1174">
        <w:rPr>
          <w:rFonts w:ascii="Garamond" w:hAnsi="Garamond" w:cs="Arial"/>
          <w:color w:val="auto"/>
          <w:sz w:val="24"/>
          <w:szCs w:val="24"/>
          <w:lang w:val="pt-PT"/>
        </w:rPr>
        <w:t xml:space="preserve">s altas </w:t>
      </w:r>
      <w:r w:rsidR="00FB09CA" w:rsidRPr="003A1174">
        <w:rPr>
          <w:rFonts w:ascii="Garamond" w:hAnsi="Garamond" w:cs="Arial"/>
          <w:color w:val="auto"/>
          <w:sz w:val="24"/>
          <w:szCs w:val="24"/>
          <w:lang w:val="pt-PT"/>
        </w:rPr>
        <w:t>instância</w:t>
      </w:r>
      <w:r w:rsidR="009C17E0" w:rsidRPr="003A1174">
        <w:rPr>
          <w:rFonts w:ascii="Garamond" w:hAnsi="Garamond" w:cs="Arial"/>
          <w:color w:val="auto"/>
          <w:sz w:val="24"/>
          <w:szCs w:val="24"/>
          <w:lang w:val="pt-PT"/>
        </w:rPr>
        <w:t xml:space="preserve">s </w:t>
      </w:r>
      <w:r w:rsidR="00497503" w:rsidRPr="003A1174">
        <w:rPr>
          <w:rFonts w:ascii="Garamond" w:hAnsi="Garamond" w:cs="Arial"/>
          <w:color w:val="auto"/>
          <w:sz w:val="24"/>
          <w:szCs w:val="24"/>
          <w:lang w:val="pt-PT"/>
        </w:rPr>
        <w:t>dos</w:t>
      </w:r>
      <w:r w:rsidR="009C17E0" w:rsidRPr="003A1174">
        <w:rPr>
          <w:rFonts w:ascii="Garamond" w:hAnsi="Garamond" w:cs="Arial"/>
          <w:color w:val="auto"/>
          <w:sz w:val="24"/>
          <w:szCs w:val="24"/>
          <w:lang w:val="pt-PT"/>
        </w:rPr>
        <w:t xml:space="preserve"> sistemas de </w:t>
      </w:r>
      <w:r w:rsidR="00FC1F7F" w:rsidRPr="003A1174">
        <w:rPr>
          <w:rFonts w:ascii="Garamond" w:hAnsi="Garamond" w:cs="Arial"/>
          <w:color w:val="auto"/>
          <w:sz w:val="24"/>
          <w:szCs w:val="24"/>
          <w:lang w:val="pt-PT"/>
        </w:rPr>
        <w:t>justiça</w:t>
      </w:r>
      <w:r w:rsidR="009C17E0" w:rsidRPr="003A1174">
        <w:rPr>
          <w:rFonts w:ascii="Garamond" w:hAnsi="Garamond" w:cs="Arial"/>
          <w:color w:val="auto"/>
          <w:sz w:val="24"/>
          <w:szCs w:val="24"/>
          <w:lang w:val="pt-PT"/>
        </w:rPr>
        <w:t xml:space="preserve">, como aos </w:t>
      </w:r>
      <w:r w:rsidR="003F012B" w:rsidRPr="003A1174">
        <w:rPr>
          <w:rFonts w:ascii="Garamond" w:hAnsi="Garamond" w:cs="Arial"/>
          <w:color w:val="auto"/>
          <w:sz w:val="24"/>
          <w:szCs w:val="24"/>
          <w:lang w:val="pt-PT"/>
        </w:rPr>
        <w:t>órgão</w:t>
      </w:r>
      <w:r w:rsidR="009C17E0" w:rsidRPr="003A1174">
        <w:rPr>
          <w:rFonts w:ascii="Garamond" w:hAnsi="Garamond" w:cs="Arial"/>
          <w:color w:val="auto"/>
          <w:sz w:val="24"/>
          <w:szCs w:val="24"/>
          <w:lang w:val="pt-PT"/>
        </w:rPr>
        <w:t xml:space="preserve">s </w:t>
      </w:r>
      <w:r w:rsidR="00E85E59" w:rsidRPr="003A1174">
        <w:rPr>
          <w:rFonts w:ascii="Garamond" w:hAnsi="Garamond" w:cs="Arial"/>
          <w:color w:val="auto"/>
          <w:sz w:val="24"/>
          <w:szCs w:val="24"/>
          <w:lang w:val="pt-PT"/>
        </w:rPr>
        <w:t>do</w:t>
      </w:r>
      <w:r w:rsidR="009C17E0" w:rsidRPr="003A1174">
        <w:rPr>
          <w:rFonts w:ascii="Garamond" w:hAnsi="Garamond" w:cs="Arial"/>
          <w:color w:val="auto"/>
          <w:sz w:val="24"/>
          <w:szCs w:val="24"/>
          <w:lang w:val="pt-PT"/>
        </w:rPr>
        <w:t xml:space="preserve"> Legislativo </w:t>
      </w:r>
      <w:r w:rsidR="000672E8" w:rsidRPr="003A1174">
        <w:rPr>
          <w:rFonts w:ascii="Garamond" w:hAnsi="Garamond" w:cs="Arial"/>
          <w:color w:val="auto"/>
          <w:sz w:val="24"/>
          <w:szCs w:val="24"/>
          <w:lang w:val="pt-PT"/>
        </w:rPr>
        <w:t>e</w:t>
      </w:r>
      <w:r w:rsidR="009C17E0" w:rsidRPr="003A1174">
        <w:rPr>
          <w:rFonts w:ascii="Garamond" w:hAnsi="Garamond" w:cs="Arial"/>
          <w:color w:val="auto"/>
          <w:sz w:val="24"/>
          <w:szCs w:val="24"/>
          <w:lang w:val="pt-PT"/>
        </w:rPr>
        <w:t xml:space="preserve"> </w:t>
      </w:r>
      <w:r w:rsidR="00F83BA2" w:rsidRPr="003A1174">
        <w:rPr>
          <w:rFonts w:ascii="Garamond" w:hAnsi="Garamond" w:cs="Arial"/>
          <w:color w:val="auto"/>
          <w:sz w:val="24"/>
          <w:szCs w:val="24"/>
          <w:lang w:val="pt-PT"/>
        </w:rPr>
        <w:t>Executivo</w:t>
      </w:r>
      <w:r w:rsidR="009C17E0" w:rsidRPr="003A1174">
        <w:rPr>
          <w:rFonts w:ascii="Garamond" w:hAnsi="Garamond" w:cs="Arial"/>
          <w:color w:val="auto"/>
          <w:sz w:val="24"/>
          <w:szCs w:val="24"/>
          <w:lang w:val="pt-PT"/>
        </w:rPr>
        <w:t>.</w:t>
      </w:r>
    </w:p>
    <w:p w:rsidR="00CF5971" w:rsidRPr="00831786" w:rsidRDefault="00496247" w:rsidP="008719D4">
      <w:pPr>
        <w:pStyle w:val="Predeterminado"/>
        <w:numPr>
          <w:ilvl w:val="0"/>
          <w:numId w:val="45"/>
        </w:numPr>
        <w:spacing w:before="240" w:line="240" w:lineRule="auto"/>
        <w:jc w:val="both"/>
        <w:rPr>
          <w:rFonts w:ascii="Garamond" w:hAnsi="Garamond" w:cs="Arial"/>
          <w:color w:val="auto"/>
          <w:sz w:val="24"/>
          <w:szCs w:val="24"/>
          <w:lang w:val="pt-PT" w:eastAsia="ja-JP"/>
        </w:rPr>
      </w:pPr>
      <w:r w:rsidRPr="00831786">
        <w:rPr>
          <w:rFonts w:ascii="Garamond" w:hAnsi="Garamond" w:cs="Arial"/>
          <w:color w:val="auto"/>
          <w:sz w:val="24"/>
          <w:szCs w:val="24"/>
          <w:lang w:val="pt-PT"/>
        </w:rPr>
        <w:t>Investir</w:t>
      </w:r>
      <w:r w:rsidR="00C751FC" w:rsidRPr="00831786">
        <w:rPr>
          <w:rFonts w:ascii="Garamond" w:hAnsi="Garamond" w:cs="Arial"/>
          <w:color w:val="auto"/>
          <w:sz w:val="24"/>
          <w:szCs w:val="24"/>
          <w:lang w:val="pt-PT"/>
        </w:rPr>
        <w:t xml:space="preserve"> </w:t>
      </w:r>
      <w:r w:rsidR="00850D21" w:rsidRPr="00831786">
        <w:rPr>
          <w:rFonts w:ascii="Garamond" w:hAnsi="Garamond" w:cs="Arial"/>
          <w:color w:val="auto"/>
          <w:sz w:val="24"/>
          <w:szCs w:val="24"/>
          <w:lang w:val="pt-PT"/>
        </w:rPr>
        <w:t>numa</w:t>
      </w:r>
      <w:r w:rsidR="009C17E0" w:rsidRPr="00831786">
        <w:rPr>
          <w:rFonts w:ascii="Garamond" w:hAnsi="Garamond" w:cs="Arial"/>
          <w:color w:val="auto"/>
          <w:sz w:val="24"/>
          <w:szCs w:val="24"/>
          <w:lang w:val="pt-PT"/>
        </w:rPr>
        <w:t xml:space="preserve"> </w:t>
      </w:r>
      <w:r w:rsidR="00800D59" w:rsidRPr="00831786">
        <w:rPr>
          <w:rFonts w:ascii="Garamond" w:hAnsi="Garamond" w:cs="Arial"/>
          <w:color w:val="auto"/>
          <w:sz w:val="24"/>
          <w:szCs w:val="24"/>
          <w:lang w:val="pt-PT"/>
        </w:rPr>
        <w:t>sistematização</w:t>
      </w:r>
      <w:r w:rsidR="009C17E0" w:rsidRPr="00831786">
        <w:rPr>
          <w:rFonts w:ascii="Garamond" w:hAnsi="Garamond" w:cs="Arial"/>
          <w:color w:val="auto"/>
          <w:sz w:val="24"/>
          <w:szCs w:val="24"/>
          <w:lang w:val="pt-PT" w:eastAsia="ja-JP"/>
        </w:rPr>
        <w:t xml:space="preserve"> </w:t>
      </w:r>
      <w:r w:rsidR="00497503" w:rsidRPr="00831786">
        <w:rPr>
          <w:rFonts w:ascii="Garamond" w:hAnsi="Garamond" w:cs="Arial"/>
          <w:color w:val="auto"/>
          <w:sz w:val="24"/>
          <w:szCs w:val="24"/>
          <w:lang w:val="pt-PT" w:eastAsia="ja-JP"/>
        </w:rPr>
        <w:t>d</w:t>
      </w:r>
      <w:r w:rsidR="00C751FC" w:rsidRPr="00831786">
        <w:rPr>
          <w:rFonts w:ascii="Garamond" w:hAnsi="Garamond" w:cs="Arial"/>
          <w:color w:val="auto"/>
          <w:sz w:val="24"/>
          <w:szCs w:val="24"/>
          <w:lang w:val="pt-PT" w:eastAsia="ja-JP"/>
        </w:rPr>
        <w:t xml:space="preserve">os regulamentos mais </w:t>
      </w:r>
      <w:r w:rsidR="009C17E0" w:rsidRPr="00831786">
        <w:rPr>
          <w:rFonts w:ascii="Garamond" w:hAnsi="Garamond" w:cs="Arial"/>
          <w:color w:val="auto"/>
          <w:sz w:val="24"/>
          <w:szCs w:val="24"/>
          <w:lang w:val="pt-PT" w:eastAsia="ja-JP"/>
        </w:rPr>
        <w:t>avan</w:t>
      </w:r>
      <w:r w:rsidR="00C751FC" w:rsidRPr="00831786">
        <w:rPr>
          <w:rFonts w:ascii="Garamond" w:hAnsi="Garamond" w:cs="Arial"/>
          <w:color w:val="auto"/>
          <w:sz w:val="24"/>
          <w:szCs w:val="24"/>
          <w:lang w:val="pt-PT" w:eastAsia="ja-JP"/>
        </w:rPr>
        <w:t>çado</w:t>
      </w:r>
      <w:r w:rsidR="009C17E0" w:rsidRPr="00831786">
        <w:rPr>
          <w:rFonts w:ascii="Garamond" w:hAnsi="Garamond" w:cs="Arial"/>
          <w:color w:val="auto"/>
          <w:sz w:val="24"/>
          <w:szCs w:val="24"/>
          <w:lang w:val="pt-PT" w:eastAsia="ja-JP"/>
        </w:rPr>
        <w:t>s de diversos países</w:t>
      </w:r>
      <w:r w:rsidRPr="00831786">
        <w:rPr>
          <w:rFonts w:ascii="Garamond" w:hAnsi="Garamond" w:cs="Arial"/>
          <w:color w:val="auto"/>
          <w:sz w:val="24"/>
          <w:szCs w:val="24"/>
          <w:lang w:val="pt-PT" w:eastAsia="ja-JP"/>
        </w:rPr>
        <w:t>,</w:t>
      </w:r>
      <w:r w:rsidR="009C17E0" w:rsidRPr="00831786">
        <w:rPr>
          <w:rFonts w:ascii="Garamond" w:hAnsi="Garamond" w:cs="Arial"/>
          <w:color w:val="auto"/>
          <w:sz w:val="24"/>
          <w:szCs w:val="24"/>
          <w:lang w:val="pt-PT" w:eastAsia="ja-JP"/>
        </w:rPr>
        <w:t xml:space="preserve"> e</w:t>
      </w:r>
      <w:r w:rsidR="00C751FC" w:rsidRPr="00831786">
        <w:rPr>
          <w:rFonts w:ascii="Garamond" w:hAnsi="Garamond" w:cs="Arial"/>
          <w:color w:val="auto"/>
          <w:sz w:val="24"/>
          <w:szCs w:val="24"/>
          <w:lang w:val="pt-PT" w:eastAsia="ja-JP"/>
        </w:rPr>
        <w:t>m</w:t>
      </w:r>
      <w:r w:rsidR="009C17E0" w:rsidRPr="00831786">
        <w:rPr>
          <w:rFonts w:ascii="Garamond" w:hAnsi="Garamond" w:cs="Arial"/>
          <w:color w:val="auto"/>
          <w:sz w:val="24"/>
          <w:szCs w:val="24"/>
          <w:lang w:val="pt-PT" w:eastAsia="ja-JP"/>
        </w:rPr>
        <w:t xml:space="preserve"> </w:t>
      </w:r>
      <w:r w:rsidR="00EF645F" w:rsidRPr="00831786">
        <w:rPr>
          <w:rFonts w:ascii="Garamond" w:hAnsi="Garamond" w:cs="Arial"/>
          <w:color w:val="auto"/>
          <w:sz w:val="24"/>
          <w:szCs w:val="24"/>
          <w:lang w:val="pt-PT" w:eastAsia="ja-JP"/>
        </w:rPr>
        <w:t>matéria</w:t>
      </w:r>
      <w:r w:rsidR="009C17E0" w:rsidRPr="00831786">
        <w:rPr>
          <w:rFonts w:ascii="Garamond" w:hAnsi="Garamond" w:cs="Arial"/>
          <w:color w:val="auto"/>
          <w:sz w:val="24"/>
          <w:szCs w:val="24"/>
          <w:lang w:val="pt-PT" w:eastAsia="ja-JP"/>
        </w:rPr>
        <w:t xml:space="preserve"> de Medidas Cautelares </w:t>
      </w:r>
      <w:r w:rsidR="000672E8" w:rsidRPr="00831786">
        <w:rPr>
          <w:rFonts w:ascii="Garamond" w:hAnsi="Garamond" w:cs="Arial"/>
          <w:color w:val="auto"/>
          <w:sz w:val="24"/>
          <w:szCs w:val="24"/>
          <w:lang w:val="pt-PT" w:eastAsia="ja-JP"/>
        </w:rPr>
        <w:t>e</w:t>
      </w:r>
      <w:r w:rsidR="009C17E0" w:rsidRPr="00831786">
        <w:rPr>
          <w:rFonts w:ascii="Garamond" w:hAnsi="Garamond" w:cs="Arial"/>
          <w:color w:val="auto"/>
          <w:sz w:val="24"/>
          <w:szCs w:val="24"/>
          <w:lang w:val="pt-PT" w:eastAsia="ja-JP"/>
        </w:rPr>
        <w:t xml:space="preserve"> </w:t>
      </w:r>
      <w:r w:rsidR="00976FB8" w:rsidRPr="00831786">
        <w:rPr>
          <w:rFonts w:ascii="Garamond" w:hAnsi="Garamond" w:cs="Arial"/>
          <w:color w:val="auto"/>
          <w:sz w:val="24"/>
          <w:szCs w:val="24"/>
          <w:lang w:val="pt-PT" w:eastAsia="ja-JP"/>
        </w:rPr>
        <w:t>Ordens</w:t>
      </w:r>
      <w:r w:rsidR="009C17E0" w:rsidRPr="00831786">
        <w:rPr>
          <w:rFonts w:ascii="Garamond" w:hAnsi="Garamond" w:cs="Arial"/>
          <w:color w:val="auto"/>
          <w:sz w:val="24"/>
          <w:szCs w:val="24"/>
          <w:lang w:val="pt-PT" w:eastAsia="ja-JP"/>
        </w:rPr>
        <w:t xml:space="preserve"> de </w:t>
      </w:r>
      <w:r w:rsidR="00886D6A" w:rsidRPr="00831786">
        <w:rPr>
          <w:rFonts w:ascii="Garamond" w:hAnsi="Garamond" w:cs="Arial"/>
          <w:color w:val="auto"/>
          <w:sz w:val="24"/>
          <w:szCs w:val="24"/>
          <w:lang w:val="pt-PT" w:eastAsia="ja-JP"/>
        </w:rPr>
        <w:t>Proteção</w:t>
      </w:r>
      <w:r w:rsidR="009C17E0" w:rsidRPr="00831786">
        <w:rPr>
          <w:rFonts w:ascii="Garamond" w:hAnsi="Garamond" w:cs="Arial"/>
          <w:color w:val="auto"/>
          <w:sz w:val="24"/>
          <w:szCs w:val="24"/>
          <w:lang w:val="pt-PT" w:eastAsia="ja-JP"/>
        </w:rPr>
        <w:t xml:space="preserve"> a favor de </w:t>
      </w:r>
      <w:r w:rsidR="00054EE0" w:rsidRPr="00831786">
        <w:rPr>
          <w:rFonts w:ascii="Garamond" w:hAnsi="Garamond" w:cs="Arial"/>
          <w:color w:val="auto"/>
          <w:sz w:val="24"/>
          <w:szCs w:val="24"/>
          <w:lang w:val="pt-PT" w:eastAsia="ja-JP"/>
        </w:rPr>
        <w:t>mulheres</w:t>
      </w:r>
      <w:r w:rsidR="009C17E0" w:rsidRPr="00831786">
        <w:rPr>
          <w:rFonts w:ascii="Garamond" w:hAnsi="Garamond" w:cs="Arial"/>
          <w:color w:val="auto"/>
          <w:sz w:val="24"/>
          <w:szCs w:val="24"/>
          <w:lang w:val="pt-PT" w:eastAsia="ja-JP"/>
        </w:rPr>
        <w:t xml:space="preserve"> </w:t>
      </w:r>
      <w:r w:rsidR="003F012B" w:rsidRPr="00831786">
        <w:rPr>
          <w:rFonts w:ascii="Garamond" w:hAnsi="Garamond" w:cs="Arial"/>
          <w:color w:val="auto"/>
          <w:sz w:val="24"/>
          <w:szCs w:val="24"/>
          <w:lang w:val="pt-PT" w:eastAsia="ja-JP"/>
        </w:rPr>
        <w:t>vítima</w:t>
      </w:r>
      <w:r w:rsidR="009C17E0" w:rsidRPr="00831786">
        <w:rPr>
          <w:rFonts w:ascii="Garamond" w:hAnsi="Garamond" w:cs="Arial"/>
          <w:color w:val="auto"/>
          <w:sz w:val="24"/>
          <w:szCs w:val="24"/>
          <w:lang w:val="pt-PT" w:eastAsia="ja-JP"/>
        </w:rPr>
        <w:t xml:space="preserve">s de </w:t>
      </w:r>
      <w:r w:rsidR="000350B1" w:rsidRPr="00831786">
        <w:rPr>
          <w:rFonts w:ascii="Garamond" w:hAnsi="Garamond" w:cs="Arial"/>
          <w:color w:val="auto"/>
          <w:sz w:val="24"/>
          <w:szCs w:val="24"/>
          <w:lang w:val="pt-PT" w:eastAsia="ja-JP"/>
        </w:rPr>
        <w:t>violência</w:t>
      </w:r>
      <w:r w:rsidR="009C17E0" w:rsidRPr="00831786">
        <w:rPr>
          <w:rFonts w:ascii="Garamond" w:hAnsi="Garamond" w:cs="Arial"/>
          <w:color w:val="auto"/>
          <w:sz w:val="24"/>
          <w:szCs w:val="24"/>
          <w:lang w:val="pt-PT" w:eastAsia="ja-JP"/>
        </w:rPr>
        <w:t xml:space="preserve">. Tal </w:t>
      </w:r>
      <w:r w:rsidRPr="00831786">
        <w:rPr>
          <w:rFonts w:ascii="Garamond" w:hAnsi="Garamond" w:cs="Arial"/>
          <w:color w:val="auto"/>
          <w:sz w:val="24"/>
          <w:szCs w:val="24"/>
          <w:lang w:val="pt-PT" w:eastAsia="ja-JP"/>
        </w:rPr>
        <w:t xml:space="preserve">medida </w:t>
      </w:r>
      <w:r w:rsidR="009C17E0" w:rsidRPr="00831786">
        <w:rPr>
          <w:rFonts w:ascii="Garamond" w:hAnsi="Garamond" w:cs="Arial"/>
          <w:color w:val="auto"/>
          <w:sz w:val="24"/>
          <w:szCs w:val="24"/>
          <w:lang w:val="pt-PT" w:eastAsia="ja-JP"/>
        </w:rPr>
        <w:t>pod</w:t>
      </w:r>
      <w:r w:rsidRPr="00831786">
        <w:rPr>
          <w:rFonts w:ascii="Garamond" w:hAnsi="Garamond" w:cs="Arial"/>
          <w:color w:val="auto"/>
          <w:sz w:val="24"/>
          <w:szCs w:val="24"/>
          <w:lang w:val="pt-PT" w:eastAsia="ja-JP"/>
        </w:rPr>
        <w:t>eria</w:t>
      </w:r>
      <w:r w:rsidR="00C751FC" w:rsidRPr="00831786">
        <w:rPr>
          <w:rFonts w:ascii="Garamond" w:hAnsi="Garamond" w:cs="Arial"/>
          <w:color w:val="auto"/>
          <w:sz w:val="24"/>
          <w:szCs w:val="24"/>
          <w:lang w:val="pt-PT" w:eastAsia="ja-JP"/>
        </w:rPr>
        <w:t xml:space="preserve"> </w:t>
      </w:r>
      <w:r w:rsidR="009C17E0" w:rsidRPr="00831786">
        <w:rPr>
          <w:rFonts w:ascii="Garamond" w:hAnsi="Garamond" w:cs="Arial"/>
          <w:color w:val="auto"/>
          <w:sz w:val="24"/>
          <w:szCs w:val="24"/>
          <w:lang w:val="pt-PT" w:eastAsia="ja-JP"/>
        </w:rPr>
        <w:t xml:space="preserve">ser </w:t>
      </w:r>
      <w:r w:rsidR="00D75A07" w:rsidRPr="00831786">
        <w:rPr>
          <w:rFonts w:ascii="Garamond" w:hAnsi="Garamond" w:cs="Arial"/>
          <w:color w:val="auto"/>
          <w:sz w:val="24"/>
          <w:szCs w:val="24"/>
          <w:lang w:val="pt-PT" w:eastAsia="ja-JP"/>
        </w:rPr>
        <w:t>coordenad</w:t>
      </w:r>
      <w:r w:rsidRPr="00831786">
        <w:rPr>
          <w:rFonts w:ascii="Garamond" w:hAnsi="Garamond" w:cs="Arial"/>
          <w:color w:val="auto"/>
          <w:sz w:val="24"/>
          <w:szCs w:val="24"/>
          <w:lang w:val="pt-PT" w:eastAsia="ja-JP"/>
        </w:rPr>
        <w:t>a</w:t>
      </w:r>
      <w:r w:rsidR="009C17E0" w:rsidRPr="00831786">
        <w:rPr>
          <w:rFonts w:ascii="Garamond" w:hAnsi="Garamond" w:cs="Arial"/>
          <w:color w:val="auto"/>
          <w:sz w:val="24"/>
          <w:szCs w:val="24"/>
          <w:lang w:val="pt-PT" w:eastAsia="ja-JP"/>
        </w:rPr>
        <w:t xml:space="preserve"> e implementad</w:t>
      </w:r>
      <w:r w:rsidRPr="00831786">
        <w:rPr>
          <w:rFonts w:ascii="Garamond" w:hAnsi="Garamond" w:cs="Arial"/>
          <w:color w:val="auto"/>
          <w:sz w:val="24"/>
          <w:szCs w:val="24"/>
          <w:lang w:val="pt-PT" w:eastAsia="ja-JP"/>
        </w:rPr>
        <w:t>a</w:t>
      </w:r>
      <w:r w:rsidR="009C17E0" w:rsidRPr="00831786">
        <w:rPr>
          <w:rFonts w:ascii="Garamond" w:hAnsi="Garamond" w:cs="Arial"/>
          <w:color w:val="auto"/>
          <w:sz w:val="24"/>
          <w:szCs w:val="24"/>
          <w:lang w:val="pt-PT" w:eastAsia="ja-JP"/>
        </w:rPr>
        <w:t xml:space="preserve"> </w:t>
      </w:r>
      <w:r w:rsidR="00275092" w:rsidRPr="00831786">
        <w:rPr>
          <w:rFonts w:ascii="Garamond" w:hAnsi="Garamond" w:cs="Arial"/>
          <w:color w:val="auto"/>
          <w:sz w:val="24"/>
          <w:szCs w:val="24"/>
          <w:lang w:val="pt-PT" w:eastAsia="ja-JP"/>
        </w:rPr>
        <w:t>pela</w:t>
      </w:r>
      <w:r w:rsidR="009C17E0" w:rsidRPr="00831786">
        <w:rPr>
          <w:rFonts w:ascii="Garamond" w:hAnsi="Garamond" w:cs="Arial"/>
          <w:color w:val="auto"/>
          <w:sz w:val="24"/>
          <w:szCs w:val="24"/>
          <w:lang w:val="pt-PT" w:eastAsia="ja-JP"/>
        </w:rPr>
        <w:t xml:space="preserve">s </w:t>
      </w:r>
      <w:r w:rsidR="00DC5DA7" w:rsidRPr="00831786">
        <w:rPr>
          <w:rFonts w:ascii="Garamond" w:hAnsi="Garamond" w:cs="Arial"/>
          <w:color w:val="auto"/>
          <w:sz w:val="24"/>
          <w:szCs w:val="24"/>
          <w:lang w:val="pt-PT" w:eastAsia="ja-JP"/>
        </w:rPr>
        <w:t>Provedorias</w:t>
      </w:r>
      <w:r w:rsidR="009C17E0" w:rsidRPr="00831786">
        <w:rPr>
          <w:rFonts w:ascii="Garamond" w:hAnsi="Garamond" w:cs="Arial"/>
          <w:color w:val="auto"/>
          <w:sz w:val="24"/>
          <w:szCs w:val="24"/>
          <w:lang w:val="pt-PT" w:eastAsia="ja-JP"/>
        </w:rPr>
        <w:t xml:space="preserve"> </w:t>
      </w:r>
      <w:r w:rsidR="00DC5DA7" w:rsidRPr="00831786">
        <w:rPr>
          <w:rFonts w:ascii="Garamond" w:hAnsi="Garamond" w:cs="Arial"/>
          <w:color w:val="auto"/>
          <w:sz w:val="24"/>
          <w:szCs w:val="24"/>
          <w:lang w:val="pt-PT" w:eastAsia="ja-JP"/>
        </w:rPr>
        <w:t>de Justiça</w:t>
      </w:r>
      <w:r w:rsidR="009C17E0" w:rsidRPr="00831786">
        <w:rPr>
          <w:rFonts w:ascii="Garamond" w:hAnsi="Garamond" w:cs="Arial"/>
          <w:color w:val="auto"/>
          <w:sz w:val="24"/>
          <w:szCs w:val="24"/>
          <w:lang w:val="pt-PT" w:eastAsia="ja-JP"/>
        </w:rPr>
        <w:t xml:space="preserve">. </w:t>
      </w:r>
    </w:p>
    <w:p w:rsidR="009C17E0" w:rsidRPr="003A1174" w:rsidRDefault="00831786" w:rsidP="008719D4">
      <w:pPr>
        <w:pStyle w:val="Predeterminado"/>
        <w:numPr>
          <w:ilvl w:val="0"/>
          <w:numId w:val="45"/>
        </w:numPr>
        <w:spacing w:before="240" w:line="240" w:lineRule="auto"/>
        <w:jc w:val="both"/>
        <w:rPr>
          <w:rFonts w:ascii="Garamond" w:hAnsi="Garamond" w:cs="Arial"/>
          <w:color w:val="auto"/>
          <w:sz w:val="24"/>
          <w:szCs w:val="24"/>
          <w:lang w:val="pt-PT" w:eastAsia="ja-JP"/>
        </w:rPr>
      </w:pPr>
      <w:r>
        <w:rPr>
          <w:rFonts w:ascii="Garamond" w:hAnsi="Garamond" w:cs="Arial"/>
          <w:color w:val="auto"/>
          <w:sz w:val="24"/>
          <w:szCs w:val="24"/>
          <w:lang w:val="pt-PT" w:eastAsia="ja-JP"/>
        </w:rPr>
        <w:lastRenderedPageBreak/>
        <w:t xml:space="preserve">Estudar </w:t>
      </w:r>
      <w:r w:rsidR="009C17E0" w:rsidRPr="003A1174">
        <w:rPr>
          <w:rFonts w:ascii="Garamond" w:hAnsi="Garamond" w:cs="Arial"/>
          <w:color w:val="auto"/>
          <w:sz w:val="24"/>
          <w:szCs w:val="24"/>
          <w:lang w:val="pt-PT" w:eastAsia="ja-JP"/>
        </w:rPr>
        <w:t xml:space="preserve">as </w:t>
      </w:r>
      <w:r w:rsidR="0017447A" w:rsidRPr="003A1174">
        <w:rPr>
          <w:rFonts w:ascii="Garamond" w:hAnsi="Garamond" w:cs="Arial"/>
          <w:color w:val="auto"/>
          <w:sz w:val="24"/>
          <w:szCs w:val="24"/>
          <w:lang w:val="pt-PT" w:eastAsia="ja-JP"/>
        </w:rPr>
        <w:t>experiência</w:t>
      </w:r>
      <w:r w:rsidR="009C17E0" w:rsidRPr="003A1174">
        <w:rPr>
          <w:rFonts w:ascii="Garamond" w:hAnsi="Garamond" w:cs="Arial"/>
          <w:color w:val="auto"/>
          <w:sz w:val="24"/>
          <w:szCs w:val="24"/>
          <w:lang w:val="pt-PT" w:eastAsia="ja-JP"/>
        </w:rPr>
        <w:t xml:space="preserve">s </w:t>
      </w:r>
      <w:r w:rsidR="007A339E">
        <w:rPr>
          <w:rFonts w:ascii="Garamond" w:hAnsi="Garamond" w:cs="Arial"/>
          <w:color w:val="auto"/>
          <w:sz w:val="24"/>
          <w:szCs w:val="24"/>
          <w:lang w:val="pt-PT" w:eastAsia="ja-JP"/>
        </w:rPr>
        <w:t xml:space="preserve">dos </w:t>
      </w:r>
      <w:r w:rsidR="009C17E0" w:rsidRPr="003A1174">
        <w:rPr>
          <w:rFonts w:ascii="Garamond" w:hAnsi="Garamond" w:cs="Arial"/>
          <w:color w:val="auto"/>
          <w:sz w:val="24"/>
          <w:szCs w:val="24"/>
          <w:lang w:val="pt-PT" w:eastAsia="ja-JP"/>
        </w:rPr>
        <w:t xml:space="preserve">Centros de </w:t>
      </w:r>
      <w:r w:rsidR="00886D6A" w:rsidRPr="003A1174">
        <w:rPr>
          <w:rFonts w:ascii="Garamond" w:hAnsi="Garamond" w:cs="Arial"/>
          <w:color w:val="auto"/>
          <w:sz w:val="24"/>
          <w:szCs w:val="24"/>
          <w:lang w:val="pt-PT" w:eastAsia="ja-JP"/>
        </w:rPr>
        <w:t>Acesso</w:t>
      </w:r>
      <w:r w:rsidR="009C17E0" w:rsidRPr="003A1174">
        <w:rPr>
          <w:rFonts w:ascii="Garamond" w:hAnsi="Garamond" w:cs="Arial"/>
          <w:color w:val="auto"/>
          <w:sz w:val="24"/>
          <w:szCs w:val="24"/>
          <w:lang w:val="pt-PT" w:eastAsia="ja-JP"/>
        </w:rPr>
        <w:t xml:space="preserve"> </w:t>
      </w:r>
      <w:r w:rsidR="00BB2B00" w:rsidRPr="003A1174">
        <w:rPr>
          <w:rFonts w:ascii="Garamond" w:hAnsi="Garamond" w:cs="Arial"/>
          <w:color w:val="auto"/>
          <w:sz w:val="24"/>
          <w:szCs w:val="24"/>
          <w:lang w:val="pt-PT" w:eastAsia="ja-JP"/>
        </w:rPr>
        <w:t>à</w:t>
      </w:r>
      <w:r w:rsidR="009C17E0" w:rsidRPr="003A1174">
        <w:rPr>
          <w:rFonts w:ascii="Garamond" w:hAnsi="Garamond" w:cs="Arial"/>
          <w:color w:val="auto"/>
          <w:sz w:val="24"/>
          <w:szCs w:val="24"/>
          <w:lang w:val="pt-PT" w:eastAsia="ja-JP"/>
        </w:rPr>
        <w:t xml:space="preserve"> </w:t>
      </w:r>
      <w:r w:rsidR="00FC1F7F" w:rsidRPr="003A1174">
        <w:rPr>
          <w:rFonts w:ascii="Garamond" w:hAnsi="Garamond" w:cs="Arial"/>
          <w:color w:val="auto"/>
          <w:sz w:val="24"/>
          <w:szCs w:val="24"/>
          <w:lang w:val="pt-PT" w:eastAsia="ja-JP"/>
        </w:rPr>
        <w:t>Justiça</w:t>
      </w:r>
      <w:r w:rsidR="00E31FAE" w:rsidRPr="003A1174">
        <w:rPr>
          <w:rFonts w:ascii="Garamond" w:hAnsi="Garamond" w:cs="Arial"/>
          <w:color w:val="auto"/>
          <w:sz w:val="24"/>
          <w:szCs w:val="24"/>
          <w:lang w:val="pt-PT" w:eastAsia="ja-JP"/>
        </w:rPr>
        <w:t xml:space="preserve"> </w:t>
      </w:r>
      <w:r w:rsidR="009C17E0" w:rsidRPr="003A1174">
        <w:rPr>
          <w:rFonts w:ascii="Garamond" w:hAnsi="Garamond" w:cs="Arial"/>
          <w:color w:val="auto"/>
          <w:sz w:val="24"/>
          <w:szCs w:val="24"/>
          <w:lang w:val="pt-PT" w:eastAsia="ja-JP"/>
        </w:rPr>
        <w:t xml:space="preserve">para </w:t>
      </w:r>
      <w:r w:rsidR="00054EE0" w:rsidRPr="003A1174">
        <w:rPr>
          <w:rFonts w:ascii="Garamond" w:hAnsi="Garamond" w:cs="Arial"/>
          <w:color w:val="auto"/>
          <w:sz w:val="24"/>
          <w:szCs w:val="24"/>
          <w:lang w:val="pt-PT" w:eastAsia="ja-JP"/>
        </w:rPr>
        <w:t>Mulheres</w:t>
      </w:r>
      <w:r w:rsidR="009C17E0" w:rsidRPr="003A1174">
        <w:rPr>
          <w:rFonts w:ascii="Garamond" w:hAnsi="Garamond" w:cs="Arial"/>
          <w:color w:val="auto"/>
          <w:sz w:val="24"/>
          <w:szCs w:val="24"/>
          <w:lang w:val="pt-PT" w:eastAsia="ja-JP"/>
        </w:rPr>
        <w:t>, que proporciona</w:t>
      </w:r>
      <w:r w:rsidR="00C751FC" w:rsidRPr="003A1174">
        <w:rPr>
          <w:rFonts w:ascii="Garamond" w:hAnsi="Garamond" w:cs="Arial"/>
          <w:color w:val="auto"/>
          <w:sz w:val="24"/>
          <w:szCs w:val="24"/>
          <w:lang w:val="pt-PT" w:eastAsia="ja-JP"/>
        </w:rPr>
        <w:t>m</w:t>
      </w:r>
      <w:r w:rsidR="009C17E0" w:rsidRPr="003A1174">
        <w:rPr>
          <w:rFonts w:ascii="Garamond" w:hAnsi="Garamond" w:cs="Arial"/>
          <w:color w:val="auto"/>
          <w:sz w:val="24"/>
          <w:szCs w:val="24"/>
          <w:lang w:val="pt-PT" w:eastAsia="ja-JP"/>
        </w:rPr>
        <w:t xml:space="preserve"> </w:t>
      </w:r>
      <w:r>
        <w:rPr>
          <w:rFonts w:ascii="Garamond" w:hAnsi="Garamond" w:cs="Arial"/>
          <w:color w:val="auto"/>
          <w:sz w:val="24"/>
          <w:szCs w:val="24"/>
          <w:lang w:val="pt-PT"/>
        </w:rPr>
        <w:t xml:space="preserve">apoio </w:t>
      </w:r>
      <w:r w:rsidR="009C17E0" w:rsidRPr="003A1174">
        <w:rPr>
          <w:rFonts w:ascii="Garamond" w:hAnsi="Garamond" w:cs="Arial"/>
          <w:color w:val="auto"/>
          <w:sz w:val="24"/>
          <w:szCs w:val="24"/>
          <w:lang w:val="pt-PT"/>
        </w:rPr>
        <w:t>jurídic</w:t>
      </w:r>
      <w:r w:rsidR="007A339E">
        <w:rPr>
          <w:rFonts w:ascii="Garamond" w:hAnsi="Garamond" w:cs="Arial"/>
          <w:color w:val="auto"/>
          <w:sz w:val="24"/>
          <w:szCs w:val="24"/>
          <w:lang w:val="pt-PT"/>
        </w:rPr>
        <w:t>o</w:t>
      </w:r>
      <w:r w:rsidR="009C17E0" w:rsidRPr="003A1174">
        <w:rPr>
          <w:rFonts w:ascii="Garamond" w:hAnsi="Garamond" w:cs="Arial"/>
          <w:color w:val="auto"/>
          <w:sz w:val="24"/>
          <w:szCs w:val="24"/>
          <w:lang w:val="pt-PT"/>
        </w:rPr>
        <w:t>, psicológic</w:t>
      </w:r>
      <w:r w:rsidR="007A339E">
        <w:rPr>
          <w:rFonts w:ascii="Garamond" w:hAnsi="Garamond" w:cs="Arial"/>
          <w:color w:val="auto"/>
          <w:sz w:val="24"/>
          <w:szCs w:val="24"/>
          <w:lang w:val="pt-PT"/>
        </w:rPr>
        <w:t>o</w:t>
      </w:r>
      <w:r w:rsidR="009C17E0" w:rsidRPr="003A1174">
        <w:rPr>
          <w:rFonts w:ascii="Garamond" w:hAnsi="Garamond" w:cs="Arial"/>
          <w:color w:val="auto"/>
          <w:sz w:val="24"/>
          <w:szCs w:val="24"/>
          <w:lang w:val="pt-PT"/>
        </w:rPr>
        <w:t>, médic</w:t>
      </w:r>
      <w:r w:rsidR="007A339E">
        <w:rPr>
          <w:rFonts w:ascii="Garamond" w:hAnsi="Garamond" w:cs="Arial"/>
          <w:color w:val="auto"/>
          <w:sz w:val="24"/>
          <w:szCs w:val="24"/>
          <w:lang w:val="pt-PT"/>
        </w:rPr>
        <w:t>o</w:t>
      </w:r>
      <w:r w:rsidR="009C17E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C17E0" w:rsidRPr="003A1174">
        <w:rPr>
          <w:rFonts w:ascii="Garamond" w:hAnsi="Garamond" w:cs="Arial"/>
          <w:color w:val="auto"/>
          <w:sz w:val="24"/>
          <w:szCs w:val="24"/>
          <w:lang w:val="pt-PT"/>
        </w:rPr>
        <w:t xml:space="preserve"> </w:t>
      </w:r>
      <w:r w:rsidR="00D44677" w:rsidRPr="003A1174">
        <w:rPr>
          <w:rFonts w:ascii="Garamond" w:hAnsi="Garamond" w:cs="Arial"/>
          <w:color w:val="auto"/>
          <w:sz w:val="24"/>
          <w:szCs w:val="24"/>
          <w:lang w:val="pt-PT"/>
        </w:rPr>
        <w:t>abrigo</w:t>
      </w:r>
      <w:r w:rsidR="00C751FC" w:rsidRPr="003A1174">
        <w:rPr>
          <w:rFonts w:ascii="Garamond" w:hAnsi="Garamond" w:cs="Arial"/>
          <w:color w:val="auto"/>
          <w:sz w:val="24"/>
          <w:szCs w:val="24"/>
          <w:lang w:val="pt-PT"/>
        </w:rPr>
        <w:t xml:space="preserve"> para </w:t>
      </w:r>
      <w:r w:rsidR="009C17E0" w:rsidRPr="003A1174">
        <w:rPr>
          <w:rFonts w:ascii="Garamond" w:hAnsi="Garamond" w:cs="Arial"/>
          <w:color w:val="auto"/>
          <w:sz w:val="24"/>
          <w:szCs w:val="24"/>
          <w:lang w:val="pt-PT"/>
        </w:rPr>
        <w:t xml:space="preserve">a </w:t>
      </w:r>
      <w:r w:rsidR="003F012B" w:rsidRPr="003A1174">
        <w:rPr>
          <w:rFonts w:ascii="Garamond" w:hAnsi="Garamond" w:cs="Arial"/>
          <w:color w:val="auto"/>
          <w:sz w:val="24"/>
          <w:szCs w:val="24"/>
          <w:lang w:val="pt-PT"/>
        </w:rPr>
        <w:t>vítima</w:t>
      </w:r>
      <w:r w:rsidR="009C17E0"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C17E0" w:rsidRPr="003A1174">
        <w:rPr>
          <w:rFonts w:ascii="Garamond" w:hAnsi="Garamond" w:cs="Arial"/>
          <w:color w:val="auto"/>
          <w:sz w:val="24"/>
          <w:szCs w:val="24"/>
          <w:lang w:val="pt-PT"/>
        </w:rPr>
        <w:t xml:space="preserve"> </w:t>
      </w:r>
      <w:r>
        <w:rPr>
          <w:rFonts w:ascii="Garamond" w:hAnsi="Garamond" w:cs="Arial"/>
          <w:color w:val="auto"/>
          <w:sz w:val="24"/>
          <w:szCs w:val="24"/>
          <w:lang w:val="pt-PT"/>
        </w:rPr>
        <w:t xml:space="preserve">seus </w:t>
      </w:r>
      <w:r w:rsidR="007A2492" w:rsidRPr="003A1174">
        <w:rPr>
          <w:rFonts w:ascii="Garamond" w:hAnsi="Garamond" w:cs="Arial"/>
          <w:color w:val="auto"/>
          <w:sz w:val="24"/>
          <w:szCs w:val="24"/>
          <w:lang w:val="pt-PT"/>
        </w:rPr>
        <w:t>filho</w:t>
      </w:r>
      <w:r w:rsidR="009C17E0" w:rsidRPr="003A1174">
        <w:rPr>
          <w:rFonts w:ascii="Garamond" w:hAnsi="Garamond" w:cs="Arial"/>
          <w:color w:val="auto"/>
          <w:sz w:val="24"/>
          <w:szCs w:val="24"/>
          <w:lang w:val="pt-PT"/>
        </w:rPr>
        <w:t>s</w:t>
      </w:r>
      <w:r>
        <w:rPr>
          <w:rFonts w:ascii="Garamond" w:hAnsi="Garamond" w:cs="Arial"/>
          <w:color w:val="auto"/>
          <w:sz w:val="24"/>
          <w:szCs w:val="24"/>
          <w:lang w:val="pt-PT"/>
        </w:rPr>
        <w:t>, caso seja</w:t>
      </w:r>
      <w:r w:rsidR="00C751FC" w:rsidRPr="003A1174">
        <w:rPr>
          <w:rFonts w:ascii="Garamond" w:hAnsi="Garamond" w:cs="Arial"/>
          <w:color w:val="auto"/>
          <w:sz w:val="24"/>
          <w:szCs w:val="24"/>
          <w:lang w:val="pt-PT"/>
        </w:rPr>
        <w:t xml:space="preserve"> necessário, </w:t>
      </w:r>
      <w:r w:rsidR="000672E8" w:rsidRPr="003A1174">
        <w:rPr>
          <w:rFonts w:ascii="Garamond" w:hAnsi="Garamond" w:cs="Arial"/>
          <w:color w:val="auto"/>
          <w:sz w:val="24"/>
          <w:szCs w:val="24"/>
          <w:lang w:val="pt-PT"/>
        </w:rPr>
        <w:t>e</w:t>
      </w:r>
      <w:r w:rsidR="00E31FAE" w:rsidRPr="003A1174">
        <w:rPr>
          <w:rFonts w:ascii="Garamond" w:hAnsi="Garamond" w:cs="Arial"/>
          <w:color w:val="auto"/>
          <w:sz w:val="24"/>
          <w:szCs w:val="24"/>
          <w:lang w:val="pt-PT"/>
        </w:rPr>
        <w:t xml:space="preserve"> que permit</w:t>
      </w:r>
      <w:r w:rsidR="007A339E">
        <w:rPr>
          <w:rFonts w:ascii="Garamond" w:hAnsi="Garamond" w:cs="Arial"/>
          <w:color w:val="auto"/>
          <w:sz w:val="24"/>
          <w:szCs w:val="24"/>
          <w:lang w:val="pt-PT"/>
        </w:rPr>
        <w:t>e</w:t>
      </w:r>
      <w:r w:rsidR="00C751FC" w:rsidRPr="003A1174">
        <w:rPr>
          <w:rFonts w:ascii="Garamond" w:hAnsi="Garamond" w:cs="Arial"/>
          <w:color w:val="auto"/>
          <w:sz w:val="24"/>
          <w:szCs w:val="24"/>
          <w:lang w:val="pt-PT"/>
        </w:rPr>
        <w:t xml:space="preserve">m </w:t>
      </w:r>
      <w:r w:rsidR="00E31FAE" w:rsidRPr="003A1174">
        <w:rPr>
          <w:rFonts w:ascii="Garamond" w:hAnsi="Garamond" w:cs="Arial"/>
          <w:color w:val="auto"/>
          <w:sz w:val="24"/>
          <w:szCs w:val="24"/>
          <w:lang w:val="pt-PT"/>
        </w:rPr>
        <w:t>que</w:t>
      </w:r>
      <w:r w:rsidR="00C751FC" w:rsidRPr="003A1174">
        <w:rPr>
          <w:rFonts w:ascii="Garamond" w:hAnsi="Garamond" w:cs="Arial"/>
          <w:color w:val="auto"/>
          <w:sz w:val="24"/>
          <w:szCs w:val="24"/>
          <w:lang w:val="pt-PT"/>
        </w:rPr>
        <w:t xml:space="preserve"> </w:t>
      </w:r>
      <w:r w:rsidR="009C17E0" w:rsidRPr="003A1174">
        <w:rPr>
          <w:rFonts w:ascii="Garamond" w:hAnsi="Garamond" w:cs="Arial"/>
          <w:color w:val="auto"/>
          <w:sz w:val="24"/>
          <w:szCs w:val="24"/>
          <w:lang w:val="pt-PT"/>
        </w:rPr>
        <w:t xml:space="preserve">as </w:t>
      </w:r>
      <w:r w:rsidR="00054EE0" w:rsidRPr="003A1174">
        <w:rPr>
          <w:rFonts w:ascii="Garamond" w:hAnsi="Garamond" w:cs="Arial"/>
          <w:color w:val="auto"/>
          <w:sz w:val="24"/>
          <w:szCs w:val="24"/>
          <w:lang w:val="pt-PT"/>
        </w:rPr>
        <w:t>mulheres</w:t>
      </w:r>
      <w:r w:rsidR="009C17E0"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9C17E0" w:rsidRPr="003A1174">
        <w:rPr>
          <w:rFonts w:ascii="Garamond" w:hAnsi="Garamond" w:cs="Arial"/>
          <w:color w:val="auto"/>
          <w:sz w:val="24"/>
          <w:szCs w:val="24"/>
          <w:lang w:val="pt-PT"/>
        </w:rPr>
        <w:t>s</w:t>
      </w:r>
      <w:r w:rsidR="00E31FAE"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se o considerarem </w:t>
      </w:r>
      <w:r w:rsidR="00C30647" w:rsidRPr="003A1174">
        <w:rPr>
          <w:rFonts w:ascii="Garamond" w:hAnsi="Garamond" w:cs="Arial"/>
          <w:color w:val="auto"/>
          <w:sz w:val="24"/>
          <w:szCs w:val="24"/>
          <w:lang w:val="pt-PT"/>
        </w:rPr>
        <w:t>necessário</w:t>
      </w:r>
      <w:r w:rsidR="00E31FAE"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a</w:t>
      </w:r>
      <w:r w:rsidR="009C17E0" w:rsidRPr="003A1174">
        <w:rPr>
          <w:rFonts w:ascii="Garamond" w:hAnsi="Garamond" w:cs="Arial"/>
          <w:color w:val="auto"/>
          <w:sz w:val="24"/>
          <w:szCs w:val="24"/>
          <w:lang w:val="pt-PT"/>
        </w:rPr>
        <w:t>present</w:t>
      </w:r>
      <w:r w:rsidR="00E31FAE" w:rsidRPr="003A1174">
        <w:rPr>
          <w:rFonts w:ascii="Garamond" w:hAnsi="Garamond" w:cs="Arial"/>
          <w:color w:val="auto"/>
          <w:sz w:val="24"/>
          <w:szCs w:val="24"/>
          <w:lang w:val="pt-PT"/>
        </w:rPr>
        <w:t>e</w:t>
      </w:r>
      <w:r w:rsidR="00C751FC" w:rsidRPr="003A1174">
        <w:rPr>
          <w:rFonts w:ascii="Garamond" w:hAnsi="Garamond" w:cs="Arial"/>
          <w:color w:val="auto"/>
          <w:sz w:val="24"/>
          <w:szCs w:val="24"/>
          <w:lang w:val="pt-PT"/>
        </w:rPr>
        <w:t xml:space="preserve">m as suas </w:t>
      </w:r>
      <w:r w:rsidR="008651AF" w:rsidRPr="003A1174">
        <w:rPr>
          <w:rFonts w:ascii="Garamond" w:hAnsi="Garamond" w:cs="Arial"/>
          <w:color w:val="auto"/>
          <w:sz w:val="24"/>
          <w:szCs w:val="24"/>
          <w:lang w:val="pt-PT"/>
        </w:rPr>
        <w:t>denúncia</w:t>
      </w:r>
      <w:r w:rsidR="009C17E0" w:rsidRPr="003A1174">
        <w:rPr>
          <w:rFonts w:ascii="Garamond" w:hAnsi="Garamond" w:cs="Arial"/>
          <w:color w:val="auto"/>
          <w:sz w:val="24"/>
          <w:szCs w:val="24"/>
          <w:lang w:val="pt-PT"/>
        </w:rPr>
        <w:t xml:space="preserve">s </w:t>
      </w:r>
      <w:r w:rsidR="009A0CC2" w:rsidRPr="003A1174">
        <w:rPr>
          <w:rFonts w:ascii="Garamond" w:hAnsi="Garamond" w:cs="Arial"/>
          <w:color w:val="auto"/>
          <w:sz w:val="24"/>
          <w:szCs w:val="24"/>
          <w:lang w:val="pt-PT"/>
        </w:rPr>
        <w:t>penais</w:t>
      </w:r>
      <w:r w:rsidR="009C17E0" w:rsidRPr="003A1174">
        <w:rPr>
          <w:rFonts w:ascii="Garamond" w:hAnsi="Garamond" w:cs="Arial"/>
          <w:color w:val="auto"/>
          <w:sz w:val="24"/>
          <w:szCs w:val="24"/>
          <w:lang w:val="pt-PT"/>
        </w:rPr>
        <w:t>.</w:t>
      </w:r>
      <w:r w:rsidR="00E31FAE"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Com </w:t>
      </w:r>
      <w:r w:rsidR="00E31FAE" w:rsidRPr="003A1174">
        <w:rPr>
          <w:rFonts w:ascii="Garamond" w:hAnsi="Garamond" w:cs="Arial"/>
          <w:color w:val="auto"/>
          <w:sz w:val="24"/>
          <w:szCs w:val="24"/>
          <w:lang w:val="pt-PT"/>
        </w:rPr>
        <w:t xml:space="preserve">base </w:t>
      </w:r>
      <w:r w:rsidR="00C751FC" w:rsidRPr="003A1174">
        <w:rPr>
          <w:rFonts w:ascii="Garamond" w:hAnsi="Garamond" w:cs="Arial"/>
          <w:color w:val="auto"/>
          <w:sz w:val="24"/>
          <w:szCs w:val="24"/>
          <w:lang w:val="pt-PT"/>
        </w:rPr>
        <w:t>no referido</w:t>
      </w:r>
      <w:r w:rsidR="007A339E">
        <w:rPr>
          <w:rFonts w:ascii="Garamond" w:hAnsi="Garamond" w:cs="Arial"/>
          <w:color w:val="auto"/>
          <w:sz w:val="24"/>
          <w:szCs w:val="24"/>
          <w:lang w:val="pt-PT"/>
        </w:rPr>
        <w:t xml:space="preserve"> </w:t>
      </w:r>
      <w:r>
        <w:rPr>
          <w:rFonts w:ascii="Garamond" w:hAnsi="Garamond" w:cs="Arial"/>
          <w:color w:val="auto"/>
          <w:sz w:val="24"/>
          <w:szCs w:val="24"/>
          <w:lang w:val="pt-PT"/>
        </w:rPr>
        <w:t>estudo</w:t>
      </w:r>
      <w:r w:rsidR="00E31FAE" w:rsidRPr="003A1174">
        <w:rPr>
          <w:rFonts w:ascii="Garamond" w:hAnsi="Garamond" w:cs="Arial"/>
          <w:color w:val="auto"/>
          <w:sz w:val="24"/>
          <w:szCs w:val="24"/>
          <w:lang w:val="pt-PT"/>
        </w:rPr>
        <w:t xml:space="preserve">, formular </w:t>
      </w:r>
      <w:r w:rsidR="005D38DC" w:rsidRPr="003A1174">
        <w:rPr>
          <w:rFonts w:ascii="Garamond" w:hAnsi="Garamond" w:cs="Arial"/>
          <w:color w:val="auto"/>
          <w:sz w:val="24"/>
          <w:szCs w:val="24"/>
          <w:lang w:val="pt-PT"/>
        </w:rPr>
        <w:t>propostas</w:t>
      </w:r>
      <w:r w:rsidR="00E31FAE" w:rsidRPr="003A1174">
        <w:rPr>
          <w:rFonts w:ascii="Garamond" w:hAnsi="Garamond" w:cs="Arial"/>
          <w:color w:val="auto"/>
          <w:sz w:val="24"/>
          <w:szCs w:val="24"/>
          <w:lang w:val="pt-PT"/>
        </w:rPr>
        <w:t xml:space="preserve"> específicas para u</w:t>
      </w:r>
      <w:r w:rsidR="00C751FC" w:rsidRPr="003A1174">
        <w:rPr>
          <w:rFonts w:ascii="Garamond" w:hAnsi="Garamond" w:cs="Arial"/>
          <w:color w:val="auto"/>
          <w:sz w:val="24"/>
          <w:szCs w:val="24"/>
          <w:lang w:val="pt-PT"/>
        </w:rPr>
        <w:t>m</w:t>
      </w:r>
      <w:r w:rsidR="00E31FAE" w:rsidRPr="003A1174">
        <w:rPr>
          <w:rFonts w:ascii="Garamond" w:hAnsi="Garamond" w:cs="Arial"/>
          <w:color w:val="auto"/>
          <w:sz w:val="24"/>
          <w:szCs w:val="24"/>
          <w:lang w:val="pt-PT"/>
        </w:rPr>
        <w:t xml:space="preserve">a </w:t>
      </w:r>
      <w:r w:rsidR="006C760C" w:rsidRPr="003A1174">
        <w:rPr>
          <w:rFonts w:ascii="Garamond" w:hAnsi="Garamond" w:cs="Arial"/>
          <w:color w:val="auto"/>
          <w:sz w:val="24"/>
          <w:szCs w:val="24"/>
          <w:lang w:val="pt-PT"/>
        </w:rPr>
        <w:t>implementação</w:t>
      </w:r>
      <w:r w:rsidR="00C751FC" w:rsidRPr="003A1174">
        <w:rPr>
          <w:rFonts w:ascii="Garamond" w:hAnsi="Garamond" w:cs="Arial"/>
          <w:color w:val="auto"/>
          <w:sz w:val="24"/>
          <w:szCs w:val="24"/>
          <w:lang w:val="pt-PT"/>
        </w:rPr>
        <w:t xml:space="preserve"> rápida</w:t>
      </w:r>
      <w:r w:rsidR="00722D08" w:rsidRPr="003A1174">
        <w:rPr>
          <w:rFonts w:ascii="Garamond" w:hAnsi="Garamond" w:cs="Arial"/>
          <w:color w:val="auto"/>
          <w:sz w:val="24"/>
          <w:szCs w:val="24"/>
          <w:lang w:val="pt-PT"/>
        </w:rPr>
        <w:t xml:space="preserve"> de </w:t>
      </w:r>
      <w:r w:rsidR="002A59E7" w:rsidRPr="003A1174">
        <w:rPr>
          <w:rFonts w:ascii="Garamond" w:hAnsi="Garamond" w:cs="Arial"/>
          <w:color w:val="auto"/>
          <w:sz w:val="24"/>
          <w:szCs w:val="24"/>
          <w:lang w:val="pt-PT"/>
        </w:rPr>
        <w:t>nova</w:t>
      </w:r>
      <w:r w:rsidR="00722D08" w:rsidRPr="003A1174">
        <w:rPr>
          <w:rFonts w:ascii="Garamond" w:hAnsi="Garamond" w:cs="Arial"/>
          <w:color w:val="auto"/>
          <w:sz w:val="24"/>
          <w:szCs w:val="24"/>
          <w:lang w:val="pt-PT"/>
        </w:rPr>
        <w:t xml:space="preserve">s </w:t>
      </w:r>
      <w:r w:rsidR="0017447A" w:rsidRPr="003A1174">
        <w:rPr>
          <w:rFonts w:ascii="Garamond" w:hAnsi="Garamond" w:cs="Arial"/>
          <w:color w:val="auto"/>
          <w:sz w:val="24"/>
          <w:szCs w:val="24"/>
          <w:lang w:val="pt-PT"/>
        </w:rPr>
        <w:t>experiência</w:t>
      </w:r>
      <w:r w:rsidR="00722D08" w:rsidRPr="003A1174">
        <w:rPr>
          <w:rFonts w:ascii="Garamond" w:hAnsi="Garamond" w:cs="Arial"/>
          <w:color w:val="auto"/>
          <w:sz w:val="24"/>
          <w:szCs w:val="24"/>
          <w:lang w:val="pt-PT"/>
        </w:rPr>
        <w:t>s.</w:t>
      </w:r>
    </w:p>
    <w:p w:rsidR="00CA39B2" w:rsidRPr="003A1174" w:rsidRDefault="00E31FAE" w:rsidP="008719D4">
      <w:pPr>
        <w:pStyle w:val="Predeterminado"/>
        <w:numPr>
          <w:ilvl w:val="0"/>
          <w:numId w:val="45"/>
        </w:numPr>
        <w:snapToGrid w:val="0"/>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Refle</w:t>
      </w:r>
      <w:r w:rsidR="00C751FC" w:rsidRPr="003A1174">
        <w:rPr>
          <w:rFonts w:ascii="Garamond" w:hAnsi="Garamond" w:cs="Arial"/>
          <w:color w:val="auto"/>
          <w:sz w:val="24"/>
          <w:szCs w:val="24"/>
          <w:lang w:val="pt-PT"/>
        </w:rPr>
        <w:t xml:space="preserve">tir </w:t>
      </w:r>
      <w:r w:rsidR="00831786">
        <w:rPr>
          <w:rFonts w:ascii="Garamond" w:hAnsi="Garamond" w:cs="Arial"/>
          <w:color w:val="auto"/>
          <w:sz w:val="24"/>
          <w:szCs w:val="24"/>
          <w:lang w:val="pt-PT"/>
        </w:rPr>
        <w:t>sobre -</w:t>
      </w:r>
      <w:r w:rsidR="00C751FC"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neste caso </w:t>
      </w:r>
      <w:r w:rsidRPr="003A1174">
        <w:rPr>
          <w:rFonts w:ascii="Garamond" w:hAnsi="Garamond" w:cs="Arial"/>
          <w:color w:val="auto"/>
          <w:sz w:val="24"/>
          <w:szCs w:val="24"/>
          <w:lang w:val="pt-PT"/>
        </w:rPr>
        <w:t xml:space="preserve">levar a </w:t>
      </w:r>
      <w:r w:rsidR="007A339E">
        <w:rPr>
          <w:rFonts w:ascii="Garamond" w:hAnsi="Garamond" w:cs="Arial"/>
          <w:color w:val="auto"/>
          <w:sz w:val="24"/>
          <w:szCs w:val="24"/>
          <w:lang w:val="pt-PT"/>
        </w:rPr>
        <w:t xml:space="preserve">cabo </w:t>
      </w:r>
      <w:r w:rsidR="00831786">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a utilização </w:t>
      </w:r>
      <w:r w:rsidRPr="003A1174">
        <w:rPr>
          <w:rFonts w:ascii="Garamond" w:hAnsi="Garamond" w:cs="Arial"/>
          <w:color w:val="auto"/>
          <w:sz w:val="24"/>
          <w:szCs w:val="24"/>
          <w:lang w:val="pt-PT"/>
        </w:rPr>
        <w:t xml:space="preserve">de </w:t>
      </w:r>
      <w:r w:rsidR="00496247">
        <w:rPr>
          <w:rFonts w:ascii="Garamond" w:hAnsi="Garamond" w:cs="Arial"/>
          <w:color w:val="auto"/>
          <w:sz w:val="24"/>
          <w:szCs w:val="24"/>
          <w:lang w:val="pt-PT"/>
        </w:rPr>
        <w:t>«</w:t>
      </w:r>
      <w:r w:rsidRPr="003A1174">
        <w:rPr>
          <w:rFonts w:ascii="Garamond" w:hAnsi="Garamond" w:cs="Arial"/>
          <w:i/>
          <w:color w:val="auto"/>
          <w:sz w:val="24"/>
          <w:szCs w:val="24"/>
          <w:lang w:val="pt-PT"/>
        </w:rPr>
        <w:t>Tobilleras</w:t>
      </w:r>
      <w:r w:rsidR="00496247">
        <w:rPr>
          <w:rFonts w:ascii="Garamond" w:hAnsi="Garamond" w:cs="Arial"/>
          <w:i/>
          <w:color w:val="auto"/>
          <w:sz w:val="24"/>
          <w:szCs w:val="24"/>
          <w:lang w:val="pt-PT"/>
        </w:rPr>
        <w:t>»</w:t>
      </w:r>
      <w:r w:rsidRPr="003A1174">
        <w:rPr>
          <w:rFonts w:ascii="Garamond" w:hAnsi="Garamond" w:cs="Arial"/>
          <w:color w:val="auto"/>
          <w:sz w:val="24"/>
          <w:szCs w:val="24"/>
          <w:lang w:val="pt-PT"/>
        </w:rPr>
        <w:t xml:space="preserve"> como </w:t>
      </w:r>
      <w:r w:rsidR="009859FC" w:rsidRPr="003A1174">
        <w:rPr>
          <w:rFonts w:ascii="Garamond" w:hAnsi="Garamond" w:cs="Arial"/>
          <w:color w:val="auto"/>
          <w:sz w:val="24"/>
          <w:szCs w:val="24"/>
          <w:lang w:val="pt-PT"/>
        </w:rPr>
        <w:t>tecnologia</w:t>
      </w:r>
      <w:r w:rsidR="00CA39B2" w:rsidRPr="003A1174">
        <w:rPr>
          <w:rFonts w:ascii="Garamond" w:hAnsi="Garamond" w:cs="Arial"/>
          <w:color w:val="auto"/>
          <w:sz w:val="24"/>
          <w:szCs w:val="24"/>
          <w:lang w:val="pt-PT"/>
        </w:rPr>
        <w:t xml:space="preserve"> de </w:t>
      </w:r>
      <w:r w:rsidR="00E150E9" w:rsidRPr="003A1174">
        <w:rPr>
          <w:rFonts w:ascii="Garamond" w:hAnsi="Garamond" w:cs="Arial"/>
          <w:color w:val="auto"/>
          <w:sz w:val="24"/>
          <w:szCs w:val="24"/>
          <w:lang w:val="pt-PT"/>
        </w:rPr>
        <w:t>verificação</w:t>
      </w:r>
      <w:r w:rsidR="00CA39B2" w:rsidRPr="003A1174">
        <w:rPr>
          <w:rFonts w:ascii="Garamond" w:hAnsi="Garamond" w:cs="Arial"/>
          <w:color w:val="auto"/>
          <w:sz w:val="24"/>
          <w:szCs w:val="24"/>
          <w:lang w:val="pt-PT"/>
        </w:rPr>
        <w:t xml:space="preserve"> de </w:t>
      </w:r>
      <w:r w:rsidR="00A523BE" w:rsidRPr="003A1174">
        <w:rPr>
          <w:rFonts w:ascii="Garamond" w:hAnsi="Garamond" w:cs="Arial"/>
          <w:color w:val="auto"/>
          <w:sz w:val="24"/>
          <w:szCs w:val="24"/>
          <w:lang w:val="pt-PT"/>
        </w:rPr>
        <w:t>presença</w:t>
      </w:r>
      <w:r w:rsidR="00CA39B2"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A39B2" w:rsidRPr="003A1174">
        <w:rPr>
          <w:rFonts w:ascii="Garamond" w:hAnsi="Garamond" w:cs="Arial"/>
          <w:color w:val="auto"/>
          <w:sz w:val="24"/>
          <w:szCs w:val="24"/>
          <w:lang w:val="pt-PT"/>
        </w:rPr>
        <w:t xml:space="preserve"> </w:t>
      </w:r>
      <w:r w:rsidR="009859FC" w:rsidRPr="003A1174">
        <w:rPr>
          <w:rFonts w:ascii="Garamond" w:hAnsi="Garamond" w:cs="Arial"/>
          <w:color w:val="auto"/>
          <w:sz w:val="24"/>
          <w:szCs w:val="24"/>
          <w:lang w:val="pt-PT"/>
        </w:rPr>
        <w:t>localização</w:t>
      </w:r>
      <w:r w:rsidR="00831786">
        <w:rPr>
          <w:rFonts w:ascii="Garamond" w:hAnsi="Garamond" w:cs="Arial"/>
          <w:color w:val="auto"/>
          <w:sz w:val="24"/>
          <w:szCs w:val="24"/>
          <w:lang w:val="pt-PT"/>
        </w:rPr>
        <w:t>,</w:t>
      </w:r>
      <w:r w:rsidR="00CA39B2"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concebidas </w:t>
      </w:r>
      <w:r w:rsidR="00CA39B2" w:rsidRPr="003A1174">
        <w:rPr>
          <w:rFonts w:ascii="Garamond" w:hAnsi="Garamond" w:cs="Arial"/>
          <w:color w:val="auto"/>
          <w:sz w:val="24"/>
          <w:szCs w:val="24"/>
          <w:lang w:val="pt-PT"/>
        </w:rPr>
        <w:t xml:space="preserve">para </w:t>
      </w:r>
      <w:r w:rsidR="00C751FC" w:rsidRPr="003A1174">
        <w:rPr>
          <w:rFonts w:ascii="Garamond" w:hAnsi="Garamond" w:cs="Arial"/>
          <w:color w:val="auto"/>
          <w:sz w:val="24"/>
          <w:szCs w:val="24"/>
          <w:lang w:val="pt-PT"/>
        </w:rPr>
        <w:t xml:space="preserve">a </w:t>
      </w:r>
      <w:r w:rsidR="00632851" w:rsidRPr="003A1174">
        <w:rPr>
          <w:rFonts w:ascii="Garamond" w:hAnsi="Garamond" w:cs="Arial"/>
          <w:color w:val="auto"/>
          <w:sz w:val="24"/>
          <w:szCs w:val="24"/>
          <w:lang w:val="pt-PT"/>
        </w:rPr>
        <w:t>monotorização</w:t>
      </w:r>
      <w:r w:rsidR="00CA39B2" w:rsidRPr="003A1174">
        <w:rPr>
          <w:rFonts w:ascii="Garamond" w:hAnsi="Garamond" w:cs="Arial"/>
          <w:color w:val="auto"/>
          <w:sz w:val="24"/>
          <w:szCs w:val="24"/>
          <w:lang w:val="pt-PT"/>
        </w:rPr>
        <w:t xml:space="preserve"> </w:t>
      </w:r>
      <w:r w:rsidRPr="003A1174">
        <w:rPr>
          <w:rFonts w:ascii="Garamond" w:hAnsi="Garamond" w:cs="Arial"/>
          <w:color w:val="auto"/>
          <w:sz w:val="24"/>
          <w:szCs w:val="24"/>
          <w:lang w:val="pt-PT"/>
        </w:rPr>
        <w:t xml:space="preserve">policial </w:t>
      </w:r>
      <w:r w:rsidR="00CA39B2" w:rsidRPr="003A1174">
        <w:rPr>
          <w:rFonts w:ascii="Garamond" w:hAnsi="Garamond" w:cs="Arial"/>
          <w:color w:val="auto"/>
          <w:sz w:val="24"/>
          <w:szCs w:val="24"/>
          <w:lang w:val="pt-PT"/>
        </w:rPr>
        <w:t xml:space="preserve">de </w:t>
      </w:r>
      <w:r w:rsidR="006C760C" w:rsidRPr="003A1174">
        <w:rPr>
          <w:rFonts w:ascii="Garamond" w:hAnsi="Garamond" w:cs="Arial"/>
          <w:color w:val="auto"/>
          <w:sz w:val="24"/>
          <w:szCs w:val="24"/>
          <w:lang w:val="pt-PT"/>
        </w:rPr>
        <w:t>pessoas</w:t>
      </w:r>
      <w:r w:rsidR="00CA39B2" w:rsidRPr="003A1174">
        <w:rPr>
          <w:rFonts w:ascii="Garamond" w:hAnsi="Garamond" w:cs="Arial"/>
          <w:color w:val="auto"/>
          <w:sz w:val="24"/>
          <w:szCs w:val="24"/>
          <w:lang w:val="pt-PT"/>
        </w:rPr>
        <w:t xml:space="preserve"> co</w:t>
      </w:r>
      <w:r w:rsidR="00C751FC" w:rsidRPr="003A1174">
        <w:rPr>
          <w:rFonts w:ascii="Garamond" w:hAnsi="Garamond" w:cs="Arial"/>
          <w:color w:val="auto"/>
          <w:sz w:val="24"/>
          <w:szCs w:val="24"/>
          <w:lang w:val="pt-PT"/>
        </w:rPr>
        <w:t xml:space="preserve">m </w:t>
      </w:r>
      <w:r w:rsidR="00CA39B2" w:rsidRPr="003A1174">
        <w:rPr>
          <w:rFonts w:ascii="Garamond" w:hAnsi="Garamond" w:cs="Arial"/>
          <w:color w:val="auto"/>
          <w:sz w:val="24"/>
          <w:szCs w:val="24"/>
          <w:lang w:val="pt-PT"/>
        </w:rPr>
        <w:t xml:space="preserve">alto </w:t>
      </w:r>
      <w:r w:rsidR="008651AF" w:rsidRPr="003A1174">
        <w:rPr>
          <w:rFonts w:ascii="Garamond" w:hAnsi="Garamond" w:cs="Arial"/>
          <w:color w:val="auto"/>
          <w:sz w:val="24"/>
          <w:szCs w:val="24"/>
          <w:lang w:val="pt-PT"/>
        </w:rPr>
        <w:t>risco</w:t>
      </w:r>
      <w:r w:rsidR="00CA39B2" w:rsidRPr="003A1174">
        <w:rPr>
          <w:rFonts w:ascii="Garamond" w:hAnsi="Garamond" w:cs="Arial"/>
          <w:color w:val="auto"/>
          <w:sz w:val="24"/>
          <w:szCs w:val="24"/>
          <w:lang w:val="pt-PT"/>
        </w:rPr>
        <w:t xml:space="preserve"> e</w:t>
      </w:r>
      <w:r w:rsidR="00C751FC" w:rsidRPr="003A1174">
        <w:rPr>
          <w:rFonts w:ascii="Garamond" w:hAnsi="Garamond" w:cs="Arial"/>
          <w:color w:val="auto"/>
          <w:sz w:val="24"/>
          <w:szCs w:val="24"/>
          <w:lang w:val="pt-PT"/>
        </w:rPr>
        <w:t>m</w:t>
      </w:r>
      <w:r w:rsidR="00CA39B2" w:rsidRPr="003A1174">
        <w:rPr>
          <w:rFonts w:ascii="Garamond" w:hAnsi="Garamond" w:cs="Arial"/>
          <w:color w:val="auto"/>
          <w:sz w:val="24"/>
          <w:szCs w:val="24"/>
          <w:lang w:val="pt-PT"/>
        </w:rPr>
        <w:t xml:space="preserve"> </w:t>
      </w:r>
      <w:r w:rsidR="00EF645F" w:rsidRPr="003A1174">
        <w:rPr>
          <w:rFonts w:ascii="Garamond" w:hAnsi="Garamond" w:cs="Arial"/>
          <w:color w:val="auto"/>
          <w:sz w:val="24"/>
          <w:szCs w:val="24"/>
          <w:lang w:val="pt-PT"/>
        </w:rPr>
        <w:t>matéria</w:t>
      </w:r>
      <w:r w:rsidR="00CA39B2"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CA39B2" w:rsidRPr="003A1174">
        <w:rPr>
          <w:rFonts w:ascii="Garamond" w:hAnsi="Garamond" w:cs="Arial"/>
          <w:color w:val="auto"/>
          <w:sz w:val="24"/>
          <w:szCs w:val="24"/>
          <w:lang w:val="pt-PT"/>
        </w:rPr>
        <w:t xml:space="preserve"> doméstica. </w:t>
      </w:r>
    </w:p>
    <w:p w:rsidR="00E31FAE" w:rsidRPr="003A1174" w:rsidRDefault="00722D08" w:rsidP="00C751FC">
      <w:pPr>
        <w:pStyle w:val="Predeterminado"/>
        <w:numPr>
          <w:ilvl w:val="0"/>
          <w:numId w:val="45"/>
        </w:numPr>
        <w:snapToGrid w:val="0"/>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De </w:t>
      </w:r>
      <w:r w:rsidR="00976E48" w:rsidRPr="003A1174">
        <w:rPr>
          <w:rFonts w:ascii="Garamond" w:hAnsi="Garamond" w:cs="Arial"/>
          <w:color w:val="auto"/>
          <w:sz w:val="24"/>
          <w:szCs w:val="24"/>
          <w:lang w:val="pt-PT"/>
        </w:rPr>
        <w:t xml:space="preserve">forma </w:t>
      </w:r>
      <w:r w:rsidRPr="003A1174">
        <w:rPr>
          <w:rFonts w:ascii="Garamond" w:hAnsi="Garamond" w:cs="Arial"/>
          <w:color w:val="auto"/>
          <w:sz w:val="24"/>
          <w:szCs w:val="24"/>
          <w:lang w:val="pt-PT"/>
        </w:rPr>
        <w:t>s</w:t>
      </w:r>
      <w:r w:rsidR="00E31FAE" w:rsidRPr="003A1174">
        <w:rPr>
          <w:rFonts w:ascii="Garamond" w:hAnsi="Garamond" w:cs="Arial"/>
          <w:color w:val="auto"/>
          <w:sz w:val="24"/>
          <w:szCs w:val="24"/>
          <w:lang w:val="pt-PT"/>
        </w:rPr>
        <w:t>imilar</w:t>
      </w:r>
      <w:r w:rsidRPr="003A1174">
        <w:rPr>
          <w:rFonts w:ascii="Garamond" w:hAnsi="Garamond" w:cs="Arial"/>
          <w:color w:val="auto"/>
          <w:sz w:val="24"/>
          <w:szCs w:val="24"/>
          <w:lang w:val="pt-PT"/>
        </w:rPr>
        <w:t>,</w:t>
      </w:r>
      <w:r w:rsidR="00E31FAE" w:rsidRPr="003A1174">
        <w:rPr>
          <w:rFonts w:ascii="Garamond" w:hAnsi="Garamond" w:cs="Arial"/>
          <w:color w:val="auto"/>
          <w:sz w:val="24"/>
          <w:szCs w:val="24"/>
          <w:lang w:val="pt-PT"/>
        </w:rPr>
        <w:t xml:space="preserve"> </w:t>
      </w:r>
      <w:r w:rsidR="00831786">
        <w:rPr>
          <w:rFonts w:ascii="Garamond" w:hAnsi="Garamond" w:cs="Arial"/>
          <w:color w:val="auto"/>
          <w:sz w:val="24"/>
          <w:szCs w:val="24"/>
          <w:lang w:val="pt-PT"/>
        </w:rPr>
        <w:t xml:space="preserve">estudar </w:t>
      </w:r>
      <w:r w:rsidR="00BA5217" w:rsidRPr="003A1174">
        <w:rPr>
          <w:rFonts w:ascii="Garamond" w:hAnsi="Garamond" w:cs="Arial"/>
          <w:color w:val="auto"/>
          <w:sz w:val="24"/>
          <w:szCs w:val="24"/>
          <w:lang w:val="pt-PT"/>
        </w:rPr>
        <w:t xml:space="preserve">a </w:t>
      </w:r>
      <w:r w:rsidR="008843FD" w:rsidRPr="003A1174">
        <w:rPr>
          <w:rFonts w:ascii="Garamond" w:hAnsi="Garamond" w:cs="Arial"/>
          <w:color w:val="auto"/>
          <w:sz w:val="24"/>
          <w:szCs w:val="24"/>
          <w:lang w:val="pt-PT"/>
        </w:rPr>
        <w:t>possibilidade</w:t>
      </w:r>
      <w:r w:rsidR="00BA5217" w:rsidRPr="003A1174">
        <w:rPr>
          <w:rFonts w:ascii="Garamond" w:hAnsi="Garamond" w:cs="Arial"/>
          <w:color w:val="auto"/>
          <w:sz w:val="24"/>
          <w:szCs w:val="24"/>
          <w:lang w:val="pt-PT"/>
        </w:rPr>
        <w:t xml:space="preserve"> d</w:t>
      </w:r>
      <w:r w:rsidR="00C751FC" w:rsidRPr="003A1174">
        <w:rPr>
          <w:rFonts w:ascii="Garamond" w:hAnsi="Garamond" w:cs="Arial"/>
          <w:color w:val="auto"/>
          <w:sz w:val="24"/>
          <w:szCs w:val="24"/>
          <w:lang w:val="pt-PT"/>
        </w:rPr>
        <w:t xml:space="preserve">a rápida </w:t>
      </w:r>
      <w:r w:rsidR="006C760C" w:rsidRPr="003A1174">
        <w:rPr>
          <w:rFonts w:ascii="Garamond" w:hAnsi="Garamond" w:cs="Arial"/>
          <w:color w:val="auto"/>
          <w:sz w:val="24"/>
          <w:szCs w:val="24"/>
          <w:lang w:val="pt-PT"/>
        </w:rPr>
        <w:t>implementação</w:t>
      </w:r>
      <w:r w:rsidR="00BA5217" w:rsidRPr="003A1174">
        <w:rPr>
          <w:rFonts w:ascii="Garamond" w:hAnsi="Garamond" w:cs="Arial"/>
          <w:color w:val="auto"/>
          <w:sz w:val="24"/>
          <w:szCs w:val="24"/>
          <w:lang w:val="pt-PT"/>
        </w:rPr>
        <w:t xml:space="preserve"> de </w:t>
      </w:r>
      <w:r w:rsidR="00E31FAE" w:rsidRPr="003A1174">
        <w:rPr>
          <w:rFonts w:ascii="Garamond" w:hAnsi="Garamond" w:cs="Arial"/>
          <w:color w:val="auto"/>
          <w:sz w:val="24"/>
          <w:szCs w:val="24"/>
          <w:lang w:val="pt-PT"/>
        </w:rPr>
        <w:t>u</w:t>
      </w:r>
      <w:r w:rsidR="00C751FC" w:rsidRPr="003A1174">
        <w:rPr>
          <w:rFonts w:ascii="Garamond" w:hAnsi="Garamond" w:cs="Arial"/>
          <w:color w:val="auto"/>
          <w:sz w:val="24"/>
          <w:szCs w:val="24"/>
          <w:lang w:val="pt-PT"/>
        </w:rPr>
        <w:t>m</w:t>
      </w:r>
      <w:r w:rsidR="00E31FAE" w:rsidRPr="003A1174">
        <w:rPr>
          <w:rFonts w:ascii="Garamond" w:hAnsi="Garamond" w:cs="Arial"/>
          <w:color w:val="auto"/>
          <w:sz w:val="24"/>
          <w:szCs w:val="24"/>
          <w:lang w:val="pt-PT"/>
        </w:rPr>
        <w:t xml:space="preserve"> sistema de bot</w:t>
      </w:r>
      <w:r w:rsidR="00C751FC" w:rsidRPr="003A1174">
        <w:rPr>
          <w:rFonts w:ascii="Garamond" w:hAnsi="Garamond" w:cs="Arial"/>
          <w:color w:val="auto"/>
          <w:sz w:val="24"/>
          <w:szCs w:val="24"/>
          <w:lang w:val="pt-PT"/>
        </w:rPr>
        <w:t>ões antipâ</w:t>
      </w:r>
      <w:r w:rsidR="00E31FAE" w:rsidRPr="003A1174">
        <w:rPr>
          <w:rFonts w:ascii="Garamond" w:hAnsi="Garamond" w:cs="Arial"/>
          <w:color w:val="auto"/>
          <w:sz w:val="24"/>
          <w:szCs w:val="24"/>
          <w:lang w:val="pt-PT"/>
        </w:rPr>
        <w:t xml:space="preserve">nico para </w:t>
      </w:r>
      <w:r w:rsidR="00054EE0" w:rsidRPr="003A1174">
        <w:rPr>
          <w:rFonts w:ascii="Garamond" w:hAnsi="Garamond" w:cs="Arial"/>
          <w:color w:val="auto"/>
          <w:sz w:val="24"/>
          <w:szCs w:val="24"/>
          <w:lang w:val="pt-PT"/>
        </w:rPr>
        <w:t>mulheres</w:t>
      </w:r>
      <w:r w:rsidR="00E31FAE" w:rsidRPr="003A1174">
        <w:rPr>
          <w:rFonts w:ascii="Garamond" w:hAnsi="Garamond" w:cs="Arial"/>
          <w:color w:val="auto"/>
          <w:sz w:val="24"/>
          <w:szCs w:val="24"/>
          <w:lang w:val="pt-PT"/>
        </w:rPr>
        <w:t xml:space="preserve"> </w:t>
      </w:r>
      <w:r w:rsidR="003F012B" w:rsidRPr="003A1174">
        <w:rPr>
          <w:rFonts w:ascii="Garamond" w:hAnsi="Garamond" w:cs="Arial"/>
          <w:color w:val="auto"/>
          <w:sz w:val="24"/>
          <w:szCs w:val="24"/>
          <w:lang w:val="pt-PT"/>
        </w:rPr>
        <w:t>vítima</w:t>
      </w:r>
      <w:r w:rsidR="00E31FAE" w:rsidRPr="003A1174">
        <w:rPr>
          <w:rFonts w:ascii="Garamond" w:hAnsi="Garamond" w:cs="Arial"/>
          <w:color w:val="auto"/>
          <w:sz w:val="24"/>
          <w:szCs w:val="24"/>
          <w:lang w:val="pt-PT"/>
        </w:rPr>
        <w:t xml:space="preserve">s de </w:t>
      </w:r>
      <w:r w:rsidR="000350B1" w:rsidRPr="003A1174">
        <w:rPr>
          <w:rFonts w:ascii="Garamond" w:hAnsi="Garamond" w:cs="Arial"/>
          <w:color w:val="auto"/>
          <w:sz w:val="24"/>
          <w:szCs w:val="24"/>
          <w:lang w:val="pt-PT"/>
        </w:rPr>
        <w:t>violência</w:t>
      </w:r>
      <w:r w:rsidR="00E31FAE" w:rsidRPr="003A1174">
        <w:rPr>
          <w:rFonts w:ascii="Garamond" w:hAnsi="Garamond" w:cs="Arial"/>
          <w:color w:val="auto"/>
          <w:sz w:val="24"/>
          <w:szCs w:val="24"/>
          <w:lang w:val="pt-PT"/>
        </w:rPr>
        <w:t xml:space="preserve"> doméstica </w:t>
      </w:r>
      <w:r w:rsidR="00C751FC" w:rsidRPr="003A1174">
        <w:rPr>
          <w:rFonts w:ascii="Garamond" w:hAnsi="Garamond" w:cs="Arial"/>
          <w:color w:val="auto"/>
          <w:sz w:val="24"/>
          <w:szCs w:val="24"/>
          <w:lang w:val="pt-PT"/>
        </w:rPr>
        <w:t>que permita um</w:t>
      </w:r>
      <w:r w:rsidR="00BA5217" w:rsidRPr="003A1174">
        <w:rPr>
          <w:rFonts w:ascii="Garamond" w:hAnsi="Garamond" w:cs="Arial"/>
          <w:color w:val="auto"/>
          <w:sz w:val="24"/>
          <w:szCs w:val="24"/>
          <w:lang w:val="pt-PT"/>
        </w:rPr>
        <w:t>a</w:t>
      </w:r>
      <w:r w:rsidR="00E31FAE" w:rsidRPr="003A1174">
        <w:rPr>
          <w:rFonts w:ascii="Garamond" w:hAnsi="Garamond" w:cs="Arial"/>
          <w:color w:val="auto"/>
          <w:sz w:val="24"/>
          <w:szCs w:val="24"/>
          <w:lang w:val="pt-PT"/>
        </w:rPr>
        <w:t xml:space="preserve"> </w:t>
      </w:r>
      <w:r w:rsidR="00496247">
        <w:rPr>
          <w:rFonts w:ascii="Garamond" w:hAnsi="Garamond" w:cs="Arial"/>
          <w:color w:val="auto"/>
          <w:sz w:val="24"/>
          <w:szCs w:val="24"/>
          <w:lang w:val="pt-PT"/>
        </w:rPr>
        <w:t>«</w:t>
      </w:r>
      <w:r w:rsidR="007A339E" w:rsidRPr="003A1174">
        <w:rPr>
          <w:rFonts w:ascii="Garamond" w:hAnsi="Garamond" w:cs="Arial"/>
          <w:color w:val="auto"/>
          <w:sz w:val="24"/>
          <w:szCs w:val="24"/>
          <w:lang w:val="pt-PT"/>
        </w:rPr>
        <w:t>georreferenciação</w:t>
      </w:r>
      <w:r w:rsidR="00496247">
        <w:rPr>
          <w:rFonts w:ascii="Garamond" w:hAnsi="Garamond" w:cs="Arial"/>
          <w:color w:val="auto"/>
          <w:sz w:val="24"/>
          <w:szCs w:val="24"/>
          <w:lang w:val="pt-PT"/>
        </w:rPr>
        <w:t>»</w:t>
      </w:r>
      <w:r w:rsidR="00E31FAE"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BA5217" w:rsidRPr="003A1174">
        <w:rPr>
          <w:rFonts w:ascii="Garamond" w:hAnsi="Garamond" w:cs="Arial"/>
          <w:color w:val="auto"/>
          <w:sz w:val="24"/>
          <w:szCs w:val="24"/>
          <w:lang w:val="pt-PT"/>
        </w:rPr>
        <w:t xml:space="preserve"> lugar e</w:t>
      </w:r>
      <w:r w:rsidR="00C751FC" w:rsidRPr="003A1174">
        <w:rPr>
          <w:rFonts w:ascii="Garamond" w:hAnsi="Garamond" w:cs="Arial"/>
          <w:color w:val="auto"/>
          <w:sz w:val="24"/>
          <w:szCs w:val="24"/>
          <w:lang w:val="pt-PT"/>
        </w:rPr>
        <w:t>m</w:t>
      </w:r>
      <w:r w:rsidR="00BA5217" w:rsidRPr="003A1174">
        <w:rPr>
          <w:rFonts w:ascii="Garamond" w:hAnsi="Garamond" w:cs="Arial"/>
          <w:color w:val="auto"/>
          <w:sz w:val="24"/>
          <w:szCs w:val="24"/>
          <w:lang w:val="pt-PT"/>
        </w:rPr>
        <w:t xml:space="preserve"> que se </w:t>
      </w:r>
      <w:r w:rsidR="006D4D0B" w:rsidRPr="003A1174">
        <w:rPr>
          <w:rFonts w:ascii="Garamond" w:hAnsi="Garamond" w:cs="Arial"/>
          <w:color w:val="auto"/>
          <w:sz w:val="24"/>
          <w:szCs w:val="24"/>
          <w:lang w:val="pt-PT"/>
        </w:rPr>
        <w:t>encontr</w:t>
      </w:r>
      <w:r w:rsidR="00C751FC" w:rsidRPr="003A1174">
        <w:rPr>
          <w:rFonts w:ascii="Garamond" w:hAnsi="Garamond" w:cs="Arial"/>
          <w:color w:val="auto"/>
          <w:sz w:val="24"/>
          <w:szCs w:val="24"/>
          <w:lang w:val="pt-PT"/>
        </w:rPr>
        <w:t>a</w:t>
      </w:r>
      <w:r w:rsidR="007A339E">
        <w:rPr>
          <w:rFonts w:ascii="Garamond" w:hAnsi="Garamond" w:cs="Arial"/>
          <w:color w:val="auto"/>
          <w:sz w:val="24"/>
          <w:szCs w:val="24"/>
          <w:lang w:val="pt-PT"/>
        </w:rPr>
        <w:t>,</w:t>
      </w:r>
      <w:r w:rsidR="00C751FC" w:rsidRPr="003A1174">
        <w:rPr>
          <w:rFonts w:ascii="Garamond" w:hAnsi="Garamond" w:cs="Arial"/>
          <w:color w:val="auto"/>
          <w:sz w:val="24"/>
          <w:szCs w:val="24"/>
          <w:lang w:val="pt-PT"/>
        </w:rPr>
        <w:t xml:space="preserve"> </w:t>
      </w:r>
      <w:r w:rsidR="00831786">
        <w:rPr>
          <w:rFonts w:ascii="Garamond" w:hAnsi="Garamond" w:cs="Arial"/>
          <w:color w:val="auto"/>
          <w:sz w:val="24"/>
          <w:szCs w:val="24"/>
          <w:lang w:val="pt-PT"/>
        </w:rPr>
        <w:t xml:space="preserve">numa </w:t>
      </w:r>
      <w:r w:rsidR="0017447A" w:rsidRPr="003A1174">
        <w:rPr>
          <w:rFonts w:ascii="Garamond" w:hAnsi="Garamond" w:cs="Arial"/>
          <w:color w:val="auto"/>
          <w:sz w:val="24"/>
          <w:szCs w:val="24"/>
          <w:lang w:val="pt-PT"/>
        </w:rPr>
        <w:t>situação</w:t>
      </w:r>
      <w:r w:rsidR="00E31FAE"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E31FAE" w:rsidRPr="003A1174">
        <w:rPr>
          <w:rFonts w:ascii="Garamond" w:hAnsi="Garamond" w:cs="Arial"/>
          <w:color w:val="auto"/>
          <w:sz w:val="24"/>
          <w:szCs w:val="24"/>
          <w:lang w:val="pt-PT"/>
        </w:rPr>
        <w:t xml:space="preserve"> o</w:t>
      </w:r>
      <w:r w:rsidR="00C751FC" w:rsidRPr="003A1174">
        <w:rPr>
          <w:rFonts w:ascii="Garamond" w:hAnsi="Garamond" w:cs="Arial"/>
          <w:color w:val="auto"/>
          <w:sz w:val="24"/>
          <w:szCs w:val="24"/>
          <w:lang w:val="pt-PT"/>
        </w:rPr>
        <w:t>u</w:t>
      </w:r>
      <w:r w:rsidR="00E31FAE" w:rsidRPr="003A1174">
        <w:rPr>
          <w:rFonts w:ascii="Garamond" w:hAnsi="Garamond" w:cs="Arial"/>
          <w:color w:val="auto"/>
          <w:sz w:val="24"/>
          <w:szCs w:val="24"/>
          <w:lang w:val="pt-PT"/>
        </w:rPr>
        <w:t xml:space="preserve"> de </w:t>
      </w:r>
      <w:r w:rsidR="001B02AD" w:rsidRPr="003A1174">
        <w:rPr>
          <w:rFonts w:ascii="Garamond" w:hAnsi="Garamond" w:cs="Arial"/>
          <w:color w:val="auto"/>
          <w:sz w:val="24"/>
          <w:szCs w:val="24"/>
          <w:lang w:val="pt-PT"/>
        </w:rPr>
        <w:t>ameaça</w:t>
      </w:r>
      <w:r w:rsidR="00E31FAE" w:rsidRPr="003A1174">
        <w:rPr>
          <w:rFonts w:ascii="Garamond" w:hAnsi="Garamond" w:cs="Arial"/>
          <w:color w:val="auto"/>
          <w:sz w:val="24"/>
          <w:szCs w:val="24"/>
          <w:lang w:val="pt-PT"/>
        </w:rPr>
        <w:t>s, a partir d</w:t>
      </w:r>
      <w:r w:rsidR="00C751FC" w:rsidRPr="003A1174">
        <w:rPr>
          <w:rFonts w:ascii="Garamond" w:hAnsi="Garamond" w:cs="Arial"/>
          <w:color w:val="auto"/>
          <w:sz w:val="24"/>
          <w:szCs w:val="24"/>
          <w:lang w:val="pt-PT"/>
        </w:rPr>
        <w:t>o qual</w:t>
      </w:r>
      <w:r w:rsidR="00831786">
        <w:rPr>
          <w:rFonts w:ascii="Garamond" w:hAnsi="Garamond" w:cs="Arial"/>
          <w:color w:val="auto"/>
          <w:sz w:val="24"/>
          <w:szCs w:val="24"/>
          <w:lang w:val="pt-PT"/>
        </w:rPr>
        <w:t>,</w:t>
      </w:r>
      <w:r w:rsidR="00C751FC" w:rsidRPr="003A1174">
        <w:rPr>
          <w:rFonts w:ascii="Garamond" w:hAnsi="Garamond" w:cs="Arial"/>
          <w:color w:val="auto"/>
          <w:sz w:val="24"/>
          <w:szCs w:val="24"/>
          <w:lang w:val="pt-PT"/>
        </w:rPr>
        <w:t xml:space="preserve"> </w:t>
      </w:r>
      <w:r w:rsidR="00E31FAE" w:rsidRPr="003A1174">
        <w:rPr>
          <w:rFonts w:ascii="Garamond" w:hAnsi="Garamond" w:cs="Arial"/>
          <w:color w:val="auto"/>
          <w:sz w:val="24"/>
          <w:szCs w:val="24"/>
          <w:lang w:val="pt-PT"/>
        </w:rPr>
        <w:t xml:space="preserve">se </w:t>
      </w:r>
      <w:r w:rsidRPr="003A1174">
        <w:rPr>
          <w:rFonts w:ascii="Garamond" w:hAnsi="Garamond" w:cs="Arial"/>
          <w:color w:val="auto"/>
          <w:sz w:val="24"/>
          <w:szCs w:val="24"/>
          <w:lang w:val="pt-PT"/>
        </w:rPr>
        <w:t>p</w:t>
      </w:r>
      <w:r w:rsidR="00C751FC" w:rsidRPr="003A1174">
        <w:rPr>
          <w:rFonts w:ascii="Garamond" w:hAnsi="Garamond" w:cs="Arial"/>
          <w:color w:val="auto"/>
          <w:sz w:val="24"/>
          <w:szCs w:val="24"/>
          <w:lang w:val="pt-PT"/>
        </w:rPr>
        <w:t xml:space="preserve">ossa </w:t>
      </w:r>
      <w:r w:rsidR="00831786">
        <w:rPr>
          <w:rFonts w:ascii="Garamond" w:hAnsi="Garamond" w:cs="Arial"/>
          <w:color w:val="auto"/>
          <w:sz w:val="24"/>
          <w:szCs w:val="24"/>
          <w:lang w:val="pt-PT"/>
        </w:rPr>
        <w:t xml:space="preserve">fazer </w:t>
      </w:r>
      <w:r w:rsidR="00C751FC" w:rsidRPr="003A1174">
        <w:rPr>
          <w:rFonts w:ascii="Garamond" w:hAnsi="Garamond" w:cs="Arial"/>
          <w:color w:val="auto"/>
          <w:sz w:val="24"/>
          <w:szCs w:val="24"/>
          <w:lang w:val="pt-PT"/>
        </w:rPr>
        <w:t>uma</w:t>
      </w:r>
      <w:r w:rsidR="00E31FAE" w:rsidRPr="003A1174">
        <w:rPr>
          <w:rFonts w:ascii="Garamond" w:hAnsi="Garamond" w:cs="Arial"/>
          <w:color w:val="auto"/>
          <w:sz w:val="24"/>
          <w:szCs w:val="24"/>
          <w:lang w:val="pt-PT"/>
        </w:rPr>
        <w:t xml:space="preserve"> </w:t>
      </w:r>
      <w:r w:rsidR="00165A80" w:rsidRPr="003A1174">
        <w:rPr>
          <w:rFonts w:ascii="Garamond" w:hAnsi="Garamond" w:cs="Arial"/>
          <w:color w:val="auto"/>
          <w:sz w:val="24"/>
          <w:szCs w:val="24"/>
          <w:lang w:val="pt-PT"/>
        </w:rPr>
        <w:t>gravação</w:t>
      </w:r>
      <w:r w:rsidR="00E31FAE" w:rsidRPr="003A1174">
        <w:rPr>
          <w:rFonts w:ascii="Garamond" w:hAnsi="Garamond" w:cs="Arial"/>
          <w:color w:val="auto"/>
          <w:sz w:val="24"/>
          <w:szCs w:val="24"/>
          <w:lang w:val="pt-PT"/>
        </w:rPr>
        <w:t xml:space="preserve"> </w:t>
      </w:r>
      <w:r w:rsidR="00831786">
        <w:rPr>
          <w:rFonts w:ascii="Garamond" w:hAnsi="Garamond" w:cs="Arial"/>
          <w:color w:val="auto"/>
          <w:sz w:val="24"/>
          <w:szCs w:val="24"/>
          <w:lang w:val="pt-PT"/>
        </w:rPr>
        <w:t xml:space="preserve">para </w:t>
      </w:r>
      <w:r w:rsidR="00E31FAE" w:rsidRPr="003A1174">
        <w:rPr>
          <w:rFonts w:ascii="Garamond" w:hAnsi="Garamond" w:cs="Arial"/>
          <w:color w:val="auto"/>
          <w:sz w:val="24"/>
          <w:szCs w:val="24"/>
          <w:lang w:val="pt-PT"/>
        </w:rPr>
        <w:t>ser utilizada</w:t>
      </w:r>
      <w:r w:rsidR="00C751FC" w:rsidRPr="003A1174">
        <w:rPr>
          <w:rFonts w:ascii="Garamond" w:hAnsi="Garamond" w:cs="Arial"/>
          <w:color w:val="auto"/>
          <w:sz w:val="24"/>
          <w:szCs w:val="24"/>
          <w:lang w:val="pt-PT"/>
        </w:rPr>
        <w:t xml:space="preserve">, depois, </w:t>
      </w:r>
      <w:r w:rsidR="00E31FAE" w:rsidRPr="003A1174">
        <w:rPr>
          <w:rFonts w:ascii="Garamond" w:hAnsi="Garamond" w:cs="Arial"/>
          <w:color w:val="auto"/>
          <w:sz w:val="24"/>
          <w:szCs w:val="24"/>
          <w:lang w:val="pt-PT"/>
        </w:rPr>
        <w:t xml:space="preserve">como </w:t>
      </w:r>
      <w:r w:rsidR="002B6C5B" w:rsidRPr="003A1174">
        <w:rPr>
          <w:rFonts w:ascii="Garamond" w:hAnsi="Garamond" w:cs="Arial"/>
          <w:color w:val="auto"/>
          <w:sz w:val="24"/>
          <w:szCs w:val="24"/>
          <w:lang w:val="pt-PT"/>
        </w:rPr>
        <w:t>prova</w:t>
      </w:r>
      <w:r w:rsidR="00E31FAE" w:rsidRPr="003A1174">
        <w:rPr>
          <w:rFonts w:ascii="Garamond" w:hAnsi="Garamond" w:cs="Arial"/>
          <w:color w:val="auto"/>
          <w:sz w:val="24"/>
          <w:szCs w:val="24"/>
          <w:lang w:val="pt-PT"/>
        </w:rPr>
        <w:t xml:space="preserve"> </w:t>
      </w:r>
      <w:r w:rsidR="00E85E59" w:rsidRPr="003A1174">
        <w:rPr>
          <w:rFonts w:ascii="Garamond" w:hAnsi="Garamond" w:cs="Arial"/>
          <w:color w:val="auto"/>
          <w:sz w:val="24"/>
          <w:szCs w:val="24"/>
          <w:lang w:val="pt-PT"/>
        </w:rPr>
        <w:t>do</w:t>
      </w:r>
      <w:r w:rsidR="00E31FAE" w:rsidRPr="003A1174">
        <w:rPr>
          <w:rFonts w:ascii="Garamond" w:hAnsi="Garamond" w:cs="Arial"/>
          <w:color w:val="auto"/>
          <w:sz w:val="24"/>
          <w:szCs w:val="24"/>
          <w:lang w:val="pt-PT"/>
        </w:rPr>
        <w:t xml:space="preserve"> </w:t>
      </w:r>
      <w:r w:rsidR="001647F2" w:rsidRPr="003A1174">
        <w:rPr>
          <w:rFonts w:ascii="Garamond" w:hAnsi="Garamond" w:cs="Arial"/>
          <w:color w:val="auto"/>
          <w:sz w:val="24"/>
          <w:szCs w:val="24"/>
          <w:lang w:val="pt-PT"/>
        </w:rPr>
        <w:t>facto</w:t>
      </w:r>
      <w:r w:rsidR="00E31FAE"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 xml:space="preserve">perante os aparelhos </w:t>
      </w:r>
      <w:r w:rsidR="00BA5217" w:rsidRPr="003A1174">
        <w:rPr>
          <w:rFonts w:ascii="Garamond" w:hAnsi="Garamond" w:cs="Arial"/>
          <w:color w:val="auto"/>
          <w:sz w:val="24"/>
          <w:szCs w:val="24"/>
          <w:lang w:val="pt-PT"/>
        </w:rPr>
        <w:t xml:space="preserve">de </w:t>
      </w:r>
      <w:r w:rsidR="00FC1F7F" w:rsidRPr="003A1174">
        <w:rPr>
          <w:rFonts w:ascii="Garamond" w:hAnsi="Garamond" w:cs="Arial"/>
          <w:color w:val="auto"/>
          <w:sz w:val="24"/>
          <w:szCs w:val="24"/>
          <w:lang w:val="pt-PT"/>
        </w:rPr>
        <w:t>Justiça</w:t>
      </w:r>
      <w:r w:rsidR="00BA5217" w:rsidRPr="003A1174">
        <w:rPr>
          <w:rFonts w:ascii="Garamond" w:hAnsi="Garamond" w:cs="Arial"/>
          <w:color w:val="auto"/>
          <w:sz w:val="24"/>
          <w:szCs w:val="24"/>
          <w:lang w:val="pt-PT"/>
        </w:rPr>
        <w:t>.</w:t>
      </w:r>
    </w:p>
    <w:p w:rsidR="00BA5217" w:rsidRPr="003A1174" w:rsidRDefault="00BA5217" w:rsidP="00C751FC">
      <w:pPr>
        <w:pStyle w:val="Predeterminado"/>
        <w:numPr>
          <w:ilvl w:val="0"/>
          <w:numId w:val="45"/>
        </w:numPr>
        <w:snapToGrid w:val="0"/>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Considerar, </w:t>
      </w:r>
      <w:r w:rsidR="00C751FC" w:rsidRPr="003A1174">
        <w:rPr>
          <w:rFonts w:ascii="Garamond" w:hAnsi="Garamond" w:cs="Arial"/>
          <w:color w:val="auto"/>
          <w:sz w:val="24"/>
          <w:szCs w:val="24"/>
          <w:lang w:val="pt-PT"/>
        </w:rPr>
        <w:t xml:space="preserve">com </w:t>
      </w:r>
      <w:r w:rsidRPr="003A1174">
        <w:rPr>
          <w:rFonts w:ascii="Garamond" w:hAnsi="Garamond" w:cs="Arial"/>
          <w:color w:val="auto"/>
          <w:sz w:val="24"/>
          <w:szCs w:val="24"/>
          <w:lang w:val="pt-PT"/>
        </w:rPr>
        <w:t xml:space="preserve">base </w:t>
      </w:r>
      <w:r w:rsidR="00C751FC" w:rsidRPr="003A1174">
        <w:rPr>
          <w:rFonts w:ascii="Garamond" w:hAnsi="Garamond" w:cs="Arial"/>
          <w:color w:val="auto"/>
          <w:sz w:val="24"/>
          <w:szCs w:val="24"/>
          <w:lang w:val="pt-PT"/>
        </w:rPr>
        <w:t>na</w:t>
      </w:r>
      <w:r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situação</w:t>
      </w:r>
      <w:r w:rsidRPr="003A1174">
        <w:rPr>
          <w:rFonts w:ascii="Garamond" w:hAnsi="Garamond" w:cs="Arial"/>
          <w:color w:val="auto"/>
          <w:sz w:val="24"/>
          <w:szCs w:val="24"/>
          <w:lang w:val="pt-PT"/>
        </w:rPr>
        <w:t xml:space="preserve"> de</w:t>
      </w:r>
      <w:r w:rsidR="00976E48" w:rsidRPr="003A1174">
        <w:rPr>
          <w:rFonts w:ascii="Garamond" w:hAnsi="Garamond" w:cs="Arial"/>
          <w:color w:val="auto"/>
          <w:sz w:val="24"/>
          <w:szCs w:val="24"/>
          <w:lang w:val="pt-PT"/>
        </w:rPr>
        <w:t xml:space="preserve"> cada país, </w:t>
      </w:r>
      <w:r w:rsidRPr="003A1174">
        <w:rPr>
          <w:rFonts w:ascii="Garamond" w:hAnsi="Garamond" w:cs="Arial"/>
          <w:color w:val="auto"/>
          <w:sz w:val="24"/>
          <w:szCs w:val="24"/>
          <w:lang w:val="pt-PT"/>
        </w:rPr>
        <w:t xml:space="preserve">áreas de Políticas de Género </w:t>
      </w:r>
      <w:r w:rsidR="00CD707D" w:rsidRPr="003A1174">
        <w:rPr>
          <w:rFonts w:ascii="Garamond" w:hAnsi="Garamond" w:cs="Arial"/>
          <w:color w:val="auto"/>
          <w:sz w:val="24"/>
          <w:szCs w:val="24"/>
          <w:lang w:val="pt-PT"/>
        </w:rPr>
        <w:t>n</w:t>
      </w:r>
      <w:r w:rsidRPr="003A1174">
        <w:rPr>
          <w:rFonts w:ascii="Garamond" w:hAnsi="Garamond" w:cs="Arial"/>
          <w:color w:val="auto"/>
          <w:sz w:val="24"/>
          <w:szCs w:val="24"/>
          <w:lang w:val="pt-PT"/>
        </w:rPr>
        <w:t xml:space="preserve">os </w:t>
      </w:r>
      <w:r w:rsidR="00D77C19" w:rsidRPr="003A1174">
        <w:rPr>
          <w:rFonts w:ascii="Garamond" w:hAnsi="Garamond" w:cs="Arial"/>
          <w:color w:val="auto"/>
          <w:sz w:val="24"/>
          <w:szCs w:val="24"/>
          <w:lang w:val="pt-PT"/>
        </w:rPr>
        <w:t>Ministério</w:t>
      </w:r>
      <w:r w:rsidRPr="003A1174">
        <w:rPr>
          <w:rFonts w:ascii="Garamond" w:hAnsi="Garamond" w:cs="Arial"/>
          <w:color w:val="auto"/>
          <w:sz w:val="24"/>
          <w:szCs w:val="24"/>
          <w:lang w:val="pt-PT"/>
        </w:rPr>
        <w:t>s d</w:t>
      </w:r>
      <w:r w:rsidR="00CD707D" w:rsidRPr="003A1174">
        <w:rPr>
          <w:rFonts w:ascii="Garamond" w:hAnsi="Garamond" w:cs="Arial"/>
          <w:color w:val="auto"/>
          <w:sz w:val="24"/>
          <w:szCs w:val="24"/>
          <w:lang w:val="pt-PT"/>
        </w:rPr>
        <w:t>o</w:t>
      </w:r>
      <w:r w:rsidRPr="003A1174">
        <w:rPr>
          <w:rFonts w:ascii="Garamond" w:hAnsi="Garamond" w:cs="Arial"/>
          <w:color w:val="auto"/>
          <w:sz w:val="24"/>
          <w:szCs w:val="24"/>
          <w:lang w:val="pt-PT"/>
        </w:rPr>
        <w:t xml:space="preserve"> Interior o</w:t>
      </w:r>
      <w:r w:rsidR="00CD707D" w:rsidRPr="003A1174">
        <w:rPr>
          <w:rFonts w:ascii="Garamond" w:hAnsi="Garamond" w:cs="Arial"/>
          <w:color w:val="auto"/>
          <w:sz w:val="24"/>
          <w:szCs w:val="24"/>
          <w:lang w:val="pt-PT"/>
        </w:rPr>
        <w:t>u</w:t>
      </w:r>
      <w:r w:rsidRPr="003A1174">
        <w:rPr>
          <w:rFonts w:ascii="Garamond" w:hAnsi="Garamond" w:cs="Arial"/>
          <w:color w:val="auto"/>
          <w:sz w:val="24"/>
          <w:szCs w:val="24"/>
          <w:lang w:val="pt-PT"/>
        </w:rPr>
        <w:t xml:space="preserve"> d</w:t>
      </w:r>
      <w:r w:rsidR="00831786">
        <w:rPr>
          <w:rFonts w:ascii="Garamond" w:hAnsi="Garamond" w:cs="Arial"/>
          <w:color w:val="auto"/>
          <w:sz w:val="24"/>
          <w:szCs w:val="24"/>
          <w:lang w:val="pt-PT"/>
        </w:rPr>
        <w:t>o</w:t>
      </w:r>
      <w:r w:rsidRPr="003A1174">
        <w:rPr>
          <w:rFonts w:ascii="Garamond" w:hAnsi="Garamond" w:cs="Arial"/>
          <w:color w:val="auto"/>
          <w:sz w:val="24"/>
          <w:szCs w:val="24"/>
          <w:lang w:val="pt-PT"/>
        </w:rPr>
        <w:t xml:space="preserve"> </w:t>
      </w:r>
      <w:r w:rsidR="006506C6" w:rsidRPr="003A1174">
        <w:rPr>
          <w:rFonts w:ascii="Garamond" w:hAnsi="Garamond" w:cs="Arial"/>
          <w:color w:val="auto"/>
          <w:sz w:val="24"/>
          <w:szCs w:val="24"/>
          <w:lang w:val="pt-PT"/>
        </w:rPr>
        <w:t>Governo</w:t>
      </w:r>
      <w:r w:rsidRPr="003A1174">
        <w:rPr>
          <w:rFonts w:ascii="Garamond" w:hAnsi="Garamond" w:cs="Arial"/>
          <w:color w:val="auto"/>
          <w:sz w:val="24"/>
          <w:szCs w:val="24"/>
          <w:lang w:val="pt-PT"/>
        </w:rPr>
        <w:t xml:space="preserve"> co</w:t>
      </w:r>
      <w:r w:rsidR="00CD707D" w:rsidRPr="003A1174">
        <w:rPr>
          <w:rFonts w:ascii="Garamond" w:hAnsi="Garamond" w:cs="Arial"/>
          <w:color w:val="auto"/>
          <w:sz w:val="24"/>
          <w:szCs w:val="24"/>
          <w:lang w:val="pt-PT"/>
        </w:rPr>
        <w:t>m o</w:t>
      </w:r>
      <w:r w:rsidRPr="003A1174">
        <w:rPr>
          <w:rFonts w:ascii="Garamond" w:hAnsi="Garamond" w:cs="Arial"/>
          <w:color w:val="auto"/>
          <w:sz w:val="24"/>
          <w:szCs w:val="24"/>
          <w:lang w:val="pt-PT"/>
        </w:rPr>
        <w:t xml:space="preserve"> objet</w:t>
      </w:r>
      <w:r w:rsidR="00CD707D" w:rsidRPr="003A1174">
        <w:rPr>
          <w:rFonts w:ascii="Garamond" w:hAnsi="Garamond" w:cs="Arial"/>
          <w:color w:val="auto"/>
          <w:sz w:val="24"/>
          <w:szCs w:val="24"/>
          <w:lang w:val="pt-PT"/>
        </w:rPr>
        <w:t>iv</w:t>
      </w:r>
      <w:r w:rsidRPr="003A1174">
        <w:rPr>
          <w:rFonts w:ascii="Garamond" w:hAnsi="Garamond" w:cs="Arial"/>
          <w:color w:val="auto"/>
          <w:sz w:val="24"/>
          <w:szCs w:val="24"/>
          <w:lang w:val="pt-PT"/>
        </w:rPr>
        <w:t>o de gera</w:t>
      </w:r>
      <w:r w:rsidR="00722D08" w:rsidRPr="003A1174">
        <w:rPr>
          <w:rFonts w:ascii="Garamond" w:hAnsi="Garamond" w:cs="Arial"/>
          <w:color w:val="auto"/>
          <w:sz w:val="24"/>
          <w:szCs w:val="24"/>
          <w:lang w:val="pt-PT"/>
        </w:rPr>
        <w:t>r</w:t>
      </w:r>
      <w:r w:rsidRPr="003A1174">
        <w:rPr>
          <w:rFonts w:ascii="Garamond" w:hAnsi="Garamond" w:cs="Arial"/>
          <w:color w:val="auto"/>
          <w:sz w:val="24"/>
          <w:szCs w:val="24"/>
          <w:lang w:val="pt-PT"/>
        </w:rPr>
        <w:t xml:space="preserve"> políticas públicas</w:t>
      </w:r>
      <w:r w:rsidR="00831786">
        <w:rPr>
          <w:rFonts w:ascii="Garamond" w:hAnsi="Garamond" w:cs="Arial"/>
          <w:color w:val="auto"/>
          <w:sz w:val="24"/>
          <w:szCs w:val="24"/>
          <w:lang w:val="pt-PT"/>
        </w:rPr>
        <w:t>,</w:t>
      </w:r>
      <w:r w:rsidRPr="003A1174">
        <w:rPr>
          <w:rFonts w:ascii="Garamond" w:hAnsi="Garamond" w:cs="Arial"/>
          <w:color w:val="auto"/>
          <w:sz w:val="24"/>
          <w:szCs w:val="24"/>
          <w:lang w:val="pt-PT"/>
        </w:rPr>
        <w:t xml:space="preserve"> </w:t>
      </w:r>
      <w:r w:rsidR="00CD707D" w:rsidRPr="003A1174">
        <w:rPr>
          <w:rFonts w:ascii="Garamond" w:hAnsi="Garamond" w:cs="Arial"/>
          <w:color w:val="auto"/>
          <w:sz w:val="24"/>
          <w:szCs w:val="24"/>
          <w:lang w:val="pt-PT"/>
        </w:rPr>
        <w:t>nos seus r</w:t>
      </w:r>
      <w:r w:rsidR="007407BD" w:rsidRPr="003A1174">
        <w:rPr>
          <w:rFonts w:ascii="Garamond" w:hAnsi="Garamond" w:cs="Arial"/>
          <w:color w:val="auto"/>
          <w:sz w:val="24"/>
          <w:szCs w:val="24"/>
          <w:lang w:val="pt-PT"/>
        </w:rPr>
        <w:t>espetivos</w:t>
      </w:r>
      <w:r w:rsidRPr="003A1174">
        <w:rPr>
          <w:rFonts w:ascii="Garamond" w:hAnsi="Garamond" w:cs="Arial"/>
          <w:color w:val="auto"/>
          <w:sz w:val="24"/>
          <w:szCs w:val="24"/>
          <w:lang w:val="pt-PT"/>
        </w:rPr>
        <w:t xml:space="preserve"> </w:t>
      </w:r>
      <w:r w:rsidR="00BE4EB8" w:rsidRPr="003A1174">
        <w:rPr>
          <w:rFonts w:ascii="Garamond" w:hAnsi="Garamond" w:cs="Arial"/>
          <w:color w:val="auto"/>
          <w:sz w:val="24"/>
          <w:szCs w:val="24"/>
          <w:lang w:val="pt-PT"/>
        </w:rPr>
        <w:t>setores</w:t>
      </w:r>
      <w:r w:rsidRPr="003A1174">
        <w:rPr>
          <w:rFonts w:ascii="Garamond" w:hAnsi="Garamond" w:cs="Arial"/>
          <w:color w:val="auto"/>
          <w:sz w:val="24"/>
          <w:szCs w:val="24"/>
          <w:lang w:val="pt-PT"/>
        </w:rPr>
        <w:t xml:space="preserve"> de </w:t>
      </w:r>
      <w:r w:rsidR="00C86C58" w:rsidRPr="003A1174">
        <w:rPr>
          <w:rFonts w:ascii="Garamond" w:hAnsi="Garamond" w:cs="Arial"/>
          <w:color w:val="auto"/>
          <w:sz w:val="24"/>
          <w:szCs w:val="24"/>
          <w:lang w:val="pt-PT"/>
        </w:rPr>
        <w:t>competência</w:t>
      </w:r>
      <w:r w:rsidRPr="003A1174">
        <w:rPr>
          <w:rFonts w:ascii="Garamond" w:hAnsi="Garamond" w:cs="Arial"/>
          <w:color w:val="auto"/>
          <w:sz w:val="24"/>
          <w:szCs w:val="24"/>
          <w:lang w:val="pt-PT"/>
        </w:rPr>
        <w:t>, e</w:t>
      </w:r>
      <w:r w:rsidR="00C751FC"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2470B1" w:rsidRPr="003A1174">
        <w:rPr>
          <w:rFonts w:ascii="Garamond" w:hAnsi="Garamond" w:cs="Arial"/>
          <w:color w:val="auto"/>
          <w:sz w:val="24"/>
          <w:szCs w:val="24"/>
          <w:lang w:val="pt-PT"/>
        </w:rPr>
        <w:t>coordenação</w:t>
      </w:r>
      <w:r w:rsidRPr="003A1174">
        <w:rPr>
          <w:rFonts w:ascii="Garamond" w:hAnsi="Garamond" w:cs="Arial"/>
          <w:color w:val="auto"/>
          <w:sz w:val="24"/>
          <w:szCs w:val="24"/>
          <w:lang w:val="pt-PT"/>
        </w:rPr>
        <w:t xml:space="preserve"> co</w:t>
      </w:r>
      <w:r w:rsidR="00C751FC" w:rsidRPr="003A1174">
        <w:rPr>
          <w:rFonts w:ascii="Garamond" w:hAnsi="Garamond" w:cs="Arial"/>
          <w:color w:val="auto"/>
          <w:sz w:val="24"/>
          <w:szCs w:val="24"/>
          <w:lang w:val="pt-PT"/>
        </w:rPr>
        <w:t>m</w:t>
      </w:r>
      <w:r w:rsidRPr="003A1174">
        <w:rPr>
          <w:rFonts w:ascii="Garamond" w:hAnsi="Garamond" w:cs="Arial"/>
          <w:color w:val="auto"/>
          <w:sz w:val="24"/>
          <w:szCs w:val="24"/>
          <w:lang w:val="pt-PT"/>
        </w:rPr>
        <w:t xml:space="preserve"> </w:t>
      </w:r>
      <w:r w:rsidR="006C760C" w:rsidRPr="003A1174">
        <w:rPr>
          <w:rFonts w:ascii="Garamond" w:hAnsi="Garamond" w:cs="Arial"/>
          <w:color w:val="auto"/>
          <w:sz w:val="24"/>
          <w:szCs w:val="24"/>
          <w:lang w:val="pt-PT"/>
        </w:rPr>
        <w:t>pessoas</w:t>
      </w:r>
      <w:r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C751FC" w:rsidRPr="003A1174">
        <w:rPr>
          <w:rFonts w:ascii="Garamond" w:hAnsi="Garamond" w:cs="Arial"/>
          <w:color w:val="auto"/>
          <w:sz w:val="24"/>
          <w:szCs w:val="24"/>
          <w:lang w:val="pt-PT"/>
        </w:rPr>
        <w:t xml:space="preserve"> entidades d</w:t>
      </w:r>
      <w:r w:rsidRPr="003A1174">
        <w:rPr>
          <w:rFonts w:ascii="Garamond" w:hAnsi="Garamond" w:cs="Arial"/>
          <w:color w:val="auto"/>
          <w:sz w:val="24"/>
          <w:szCs w:val="24"/>
          <w:lang w:val="pt-PT"/>
        </w:rPr>
        <w:t xml:space="preserve">a </w:t>
      </w:r>
      <w:r w:rsidR="002C7510" w:rsidRPr="003A1174">
        <w:rPr>
          <w:rFonts w:ascii="Garamond" w:hAnsi="Garamond" w:cs="Arial"/>
          <w:color w:val="auto"/>
          <w:sz w:val="24"/>
          <w:szCs w:val="24"/>
          <w:lang w:val="pt-PT"/>
        </w:rPr>
        <w:t>sociedade</w:t>
      </w:r>
      <w:r w:rsidRPr="003A1174">
        <w:rPr>
          <w:rFonts w:ascii="Garamond" w:hAnsi="Garamond" w:cs="Arial"/>
          <w:color w:val="auto"/>
          <w:sz w:val="24"/>
          <w:szCs w:val="24"/>
          <w:lang w:val="pt-PT"/>
        </w:rPr>
        <w:t xml:space="preserve"> civil, </w:t>
      </w:r>
      <w:r w:rsidR="00152A44" w:rsidRPr="003A1174">
        <w:rPr>
          <w:rFonts w:ascii="Garamond" w:hAnsi="Garamond" w:cs="Arial"/>
          <w:color w:val="auto"/>
          <w:sz w:val="24"/>
          <w:szCs w:val="24"/>
          <w:lang w:val="pt-PT"/>
        </w:rPr>
        <w:t>inclui</w:t>
      </w:r>
      <w:r w:rsidRPr="003A1174">
        <w:rPr>
          <w:rFonts w:ascii="Garamond" w:hAnsi="Garamond" w:cs="Arial"/>
          <w:color w:val="auto"/>
          <w:sz w:val="24"/>
          <w:szCs w:val="24"/>
          <w:lang w:val="pt-PT"/>
        </w:rPr>
        <w:t xml:space="preserve">ndo as </w:t>
      </w:r>
      <w:r w:rsidR="002470B1" w:rsidRPr="003A1174">
        <w:rPr>
          <w:rFonts w:ascii="Garamond" w:hAnsi="Garamond" w:cs="Arial"/>
          <w:color w:val="auto"/>
          <w:sz w:val="24"/>
          <w:szCs w:val="24"/>
          <w:lang w:val="pt-PT"/>
        </w:rPr>
        <w:t>organizações</w:t>
      </w:r>
      <w:r w:rsidRPr="003A1174">
        <w:rPr>
          <w:rFonts w:ascii="Garamond" w:hAnsi="Garamond" w:cs="Arial"/>
          <w:color w:val="auto"/>
          <w:sz w:val="24"/>
          <w:szCs w:val="24"/>
          <w:lang w:val="pt-PT"/>
        </w:rPr>
        <w:t xml:space="preserve"> de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w:t>
      </w:r>
    </w:p>
    <w:p w:rsidR="00BB35C1" w:rsidRPr="003A1174" w:rsidRDefault="00BA5217" w:rsidP="00496247">
      <w:pPr>
        <w:pStyle w:val="Predeterminado"/>
        <w:numPr>
          <w:ilvl w:val="0"/>
          <w:numId w:val="45"/>
        </w:numPr>
        <w:tabs>
          <w:tab w:val="clear" w:pos="708"/>
        </w:tabs>
        <w:snapToGrid w:val="0"/>
        <w:spacing w:before="24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Promover </w:t>
      </w:r>
      <w:r w:rsidR="0015627F" w:rsidRPr="003A1174">
        <w:rPr>
          <w:rFonts w:ascii="Garamond" w:hAnsi="Garamond" w:cs="Arial"/>
          <w:color w:val="auto"/>
          <w:sz w:val="24"/>
          <w:szCs w:val="24"/>
          <w:lang w:val="pt-PT"/>
        </w:rPr>
        <w:t xml:space="preserve">a </w:t>
      </w:r>
      <w:r w:rsidR="00831786">
        <w:rPr>
          <w:rFonts w:ascii="Garamond" w:hAnsi="Garamond" w:cs="Arial"/>
          <w:color w:val="auto"/>
          <w:sz w:val="24"/>
          <w:szCs w:val="24"/>
          <w:lang w:val="pt-PT"/>
        </w:rPr>
        <w:t xml:space="preserve">divulgação </w:t>
      </w:r>
      <w:r w:rsidR="0015627F" w:rsidRPr="003A1174">
        <w:rPr>
          <w:rFonts w:ascii="Garamond" w:hAnsi="Garamond" w:cs="Arial"/>
          <w:color w:val="auto"/>
          <w:sz w:val="24"/>
          <w:szCs w:val="24"/>
          <w:lang w:val="pt-PT"/>
        </w:rPr>
        <w:t>de Acord</w:t>
      </w:r>
      <w:r w:rsidR="00831786">
        <w:rPr>
          <w:rFonts w:ascii="Garamond" w:hAnsi="Garamond" w:cs="Arial"/>
          <w:color w:val="auto"/>
          <w:sz w:val="24"/>
          <w:szCs w:val="24"/>
          <w:lang w:val="pt-PT"/>
        </w:rPr>
        <w:t>os</w:t>
      </w:r>
      <w:r w:rsidR="0015627F" w:rsidRPr="003A1174">
        <w:rPr>
          <w:rFonts w:ascii="Garamond" w:hAnsi="Garamond" w:cs="Arial"/>
          <w:color w:val="auto"/>
          <w:sz w:val="24"/>
          <w:szCs w:val="24"/>
          <w:lang w:val="pt-PT"/>
        </w:rPr>
        <w:t xml:space="preserve"> o</w:t>
      </w:r>
      <w:r w:rsidR="00C751FC" w:rsidRPr="003A1174">
        <w:rPr>
          <w:rFonts w:ascii="Garamond" w:hAnsi="Garamond" w:cs="Arial"/>
          <w:color w:val="auto"/>
          <w:sz w:val="24"/>
          <w:szCs w:val="24"/>
          <w:lang w:val="pt-PT"/>
        </w:rPr>
        <w:t>u</w:t>
      </w:r>
      <w:r w:rsidR="0015627F" w:rsidRPr="003A1174">
        <w:rPr>
          <w:rFonts w:ascii="Garamond" w:hAnsi="Garamond" w:cs="Arial"/>
          <w:color w:val="auto"/>
          <w:sz w:val="24"/>
          <w:szCs w:val="24"/>
          <w:lang w:val="pt-PT"/>
        </w:rPr>
        <w:t xml:space="preserve"> Dire</w:t>
      </w:r>
      <w:r w:rsidR="00C751FC" w:rsidRPr="003A1174">
        <w:rPr>
          <w:rFonts w:ascii="Garamond" w:hAnsi="Garamond" w:cs="Arial"/>
          <w:color w:val="auto"/>
          <w:sz w:val="24"/>
          <w:szCs w:val="24"/>
          <w:lang w:val="pt-PT"/>
        </w:rPr>
        <w:t xml:space="preserve">trizes </w:t>
      </w:r>
      <w:r w:rsidR="00497503" w:rsidRPr="003A1174">
        <w:rPr>
          <w:rFonts w:ascii="Garamond" w:hAnsi="Garamond" w:cs="Arial"/>
          <w:color w:val="auto"/>
          <w:sz w:val="24"/>
          <w:szCs w:val="24"/>
          <w:lang w:val="pt-PT"/>
        </w:rPr>
        <w:t>d</w:t>
      </w:r>
      <w:r w:rsidR="00312546">
        <w:rPr>
          <w:rFonts w:ascii="Garamond" w:hAnsi="Garamond" w:cs="Arial"/>
          <w:color w:val="auto"/>
          <w:sz w:val="24"/>
          <w:szCs w:val="24"/>
          <w:lang w:val="pt-PT"/>
        </w:rPr>
        <w:t>o</w:t>
      </w:r>
      <w:r w:rsidR="00497503" w:rsidRPr="003A1174">
        <w:rPr>
          <w:rFonts w:ascii="Garamond" w:hAnsi="Garamond" w:cs="Arial"/>
          <w:color w:val="auto"/>
          <w:sz w:val="24"/>
          <w:szCs w:val="24"/>
          <w:lang w:val="pt-PT"/>
        </w:rPr>
        <w:t>s</w:t>
      </w:r>
      <w:r w:rsidR="0015627F" w:rsidRPr="003A1174">
        <w:rPr>
          <w:rFonts w:ascii="Garamond" w:hAnsi="Garamond" w:cs="Arial"/>
          <w:color w:val="auto"/>
          <w:sz w:val="24"/>
          <w:szCs w:val="24"/>
          <w:lang w:val="pt-PT"/>
        </w:rPr>
        <w:t xml:space="preserve"> </w:t>
      </w:r>
      <w:r w:rsidR="00312546">
        <w:rPr>
          <w:rFonts w:ascii="Garamond" w:hAnsi="Garamond" w:cs="Arial"/>
          <w:color w:val="auto"/>
          <w:sz w:val="24"/>
          <w:szCs w:val="24"/>
          <w:lang w:val="pt-PT"/>
        </w:rPr>
        <w:t xml:space="preserve">Supremos Tribunais </w:t>
      </w:r>
      <w:r w:rsidR="0015627F" w:rsidRPr="003A1174">
        <w:rPr>
          <w:rFonts w:ascii="Garamond" w:hAnsi="Garamond" w:cs="Arial"/>
          <w:color w:val="auto"/>
          <w:sz w:val="24"/>
          <w:szCs w:val="24"/>
          <w:lang w:val="pt-PT"/>
        </w:rPr>
        <w:t xml:space="preserve">de </w:t>
      </w:r>
      <w:r w:rsidR="00FC1F7F" w:rsidRPr="003A1174">
        <w:rPr>
          <w:rFonts w:ascii="Garamond" w:hAnsi="Garamond" w:cs="Arial"/>
          <w:color w:val="auto"/>
          <w:sz w:val="24"/>
          <w:szCs w:val="24"/>
          <w:lang w:val="pt-PT"/>
        </w:rPr>
        <w:t>Justiça</w:t>
      </w:r>
      <w:r w:rsidR="0015627F" w:rsidRPr="003A1174">
        <w:rPr>
          <w:rFonts w:ascii="Garamond" w:hAnsi="Garamond" w:cs="Arial"/>
          <w:color w:val="auto"/>
          <w:sz w:val="24"/>
          <w:szCs w:val="24"/>
          <w:lang w:val="pt-PT"/>
        </w:rPr>
        <w:t xml:space="preserve">, para </w:t>
      </w:r>
      <w:r w:rsidR="00A8355D">
        <w:rPr>
          <w:rFonts w:ascii="Garamond" w:hAnsi="Garamond" w:cs="Arial"/>
          <w:color w:val="auto"/>
          <w:sz w:val="24"/>
          <w:szCs w:val="24"/>
          <w:lang w:val="pt-PT"/>
        </w:rPr>
        <w:t>que sejam aplicados</w:t>
      </w:r>
      <w:r w:rsidR="0015627F" w:rsidRPr="003A1174">
        <w:rPr>
          <w:rFonts w:ascii="Garamond" w:hAnsi="Garamond" w:cs="Arial"/>
          <w:color w:val="auto"/>
          <w:sz w:val="24"/>
          <w:szCs w:val="24"/>
          <w:lang w:val="pt-PT"/>
        </w:rPr>
        <w:t xml:space="preserve"> </w:t>
      </w:r>
      <w:r w:rsidR="00722D08" w:rsidRPr="003A1174">
        <w:rPr>
          <w:rFonts w:ascii="Garamond" w:hAnsi="Garamond" w:cs="Arial"/>
          <w:color w:val="auto"/>
          <w:sz w:val="24"/>
          <w:szCs w:val="24"/>
          <w:lang w:val="pt-PT"/>
        </w:rPr>
        <w:t>por</w:t>
      </w:r>
      <w:r w:rsidR="00C751FC" w:rsidRPr="003A1174">
        <w:rPr>
          <w:rFonts w:ascii="Garamond" w:hAnsi="Garamond" w:cs="Arial"/>
          <w:color w:val="auto"/>
          <w:sz w:val="24"/>
          <w:szCs w:val="24"/>
          <w:lang w:val="pt-PT"/>
        </w:rPr>
        <w:t xml:space="preserve"> todas </w:t>
      </w:r>
      <w:r w:rsidR="0015627F" w:rsidRPr="003A1174">
        <w:rPr>
          <w:rFonts w:ascii="Garamond" w:hAnsi="Garamond" w:cs="Arial"/>
          <w:color w:val="auto"/>
          <w:sz w:val="24"/>
          <w:szCs w:val="24"/>
          <w:lang w:val="pt-PT"/>
        </w:rPr>
        <w:t xml:space="preserve">as </w:t>
      </w:r>
      <w:r w:rsidR="00FB09CA" w:rsidRPr="003A1174">
        <w:rPr>
          <w:rFonts w:ascii="Garamond" w:hAnsi="Garamond" w:cs="Arial"/>
          <w:color w:val="auto"/>
          <w:sz w:val="24"/>
          <w:szCs w:val="24"/>
          <w:lang w:val="pt-PT"/>
        </w:rPr>
        <w:t>instância</w:t>
      </w:r>
      <w:r w:rsidR="0015627F" w:rsidRPr="003A1174">
        <w:rPr>
          <w:rFonts w:ascii="Garamond" w:hAnsi="Garamond" w:cs="Arial"/>
          <w:color w:val="auto"/>
          <w:sz w:val="24"/>
          <w:szCs w:val="24"/>
          <w:lang w:val="pt-PT"/>
        </w:rPr>
        <w:t>s</w:t>
      </w:r>
      <w:r w:rsidR="00A8355D">
        <w:rPr>
          <w:rFonts w:ascii="Garamond" w:hAnsi="Garamond" w:cs="Arial"/>
          <w:color w:val="auto"/>
          <w:sz w:val="24"/>
          <w:szCs w:val="24"/>
          <w:lang w:val="pt-PT"/>
        </w:rPr>
        <w:t>,</w:t>
      </w:r>
      <w:r w:rsidR="0015627F"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hierarquicamente</w:t>
      </w:r>
      <w:r w:rsidR="0015627F" w:rsidRPr="003A1174">
        <w:rPr>
          <w:rFonts w:ascii="Garamond" w:hAnsi="Garamond" w:cs="Arial"/>
          <w:color w:val="auto"/>
          <w:sz w:val="24"/>
          <w:szCs w:val="24"/>
          <w:lang w:val="pt-PT"/>
        </w:rPr>
        <w:t xml:space="preserve"> inferiores, destinad</w:t>
      </w:r>
      <w:r w:rsidR="00A8355D">
        <w:rPr>
          <w:rFonts w:ascii="Garamond" w:hAnsi="Garamond" w:cs="Arial"/>
          <w:color w:val="auto"/>
          <w:sz w:val="24"/>
          <w:szCs w:val="24"/>
          <w:lang w:val="pt-PT"/>
        </w:rPr>
        <w:t>o</w:t>
      </w:r>
      <w:r w:rsidR="0015627F" w:rsidRPr="003A1174">
        <w:rPr>
          <w:rFonts w:ascii="Garamond" w:hAnsi="Garamond" w:cs="Arial"/>
          <w:color w:val="auto"/>
          <w:sz w:val="24"/>
          <w:szCs w:val="24"/>
          <w:lang w:val="pt-PT"/>
        </w:rPr>
        <w:t xml:space="preserve">s </w:t>
      </w:r>
      <w:r w:rsidR="00BB2B00" w:rsidRPr="003A1174">
        <w:rPr>
          <w:rFonts w:ascii="Garamond" w:hAnsi="Garamond" w:cs="Arial"/>
          <w:color w:val="auto"/>
          <w:sz w:val="24"/>
          <w:szCs w:val="24"/>
          <w:lang w:val="pt-PT"/>
        </w:rPr>
        <w:t>à</w:t>
      </w:r>
      <w:r w:rsidR="0015627F" w:rsidRPr="003A1174">
        <w:rPr>
          <w:rFonts w:ascii="Garamond" w:hAnsi="Garamond" w:cs="Arial"/>
          <w:color w:val="auto"/>
          <w:sz w:val="24"/>
          <w:szCs w:val="24"/>
          <w:lang w:val="pt-PT"/>
        </w:rPr>
        <w:t xml:space="preserve"> </w:t>
      </w:r>
      <w:r w:rsidR="00C30647" w:rsidRPr="003A1174">
        <w:rPr>
          <w:rFonts w:ascii="Garamond" w:hAnsi="Garamond" w:cs="Arial"/>
          <w:color w:val="auto"/>
          <w:sz w:val="24"/>
          <w:szCs w:val="24"/>
          <w:lang w:val="pt-PT"/>
        </w:rPr>
        <w:t>erradicação</w:t>
      </w:r>
      <w:r w:rsidR="0015627F" w:rsidRPr="003A1174">
        <w:rPr>
          <w:rFonts w:ascii="Garamond" w:hAnsi="Garamond" w:cs="Arial"/>
          <w:color w:val="auto"/>
          <w:sz w:val="24"/>
          <w:szCs w:val="24"/>
          <w:lang w:val="pt-PT"/>
        </w:rPr>
        <w:t xml:space="preserve"> de </w:t>
      </w:r>
      <w:r w:rsidR="00661ADB" w:rsidRPr="003A1174">
        <w:rPr>
          <w:rFonts w:ascii="Garamond" w:hAnsi="Garamond" w:cs="Arial"/>
          <w:color w:val="auto"/>
          <w:sz w:val="24"/>
          <w:szCs w:val="24"/>
          <w:lang w:val="pt-PT"/>
        </w:rPr>
        <w:t>prática</w:t>
      </w:r>
      <w:r w:rsidR="0015627F" w:rsidRPr="003A1174">
        <w:rPr>
          <w:rFonts w:ascii="Garamond" w:hAnsi="Garamond" w:cs="Arial"/>
          <w:color w:val="auto"/>
          <w:sz w:val="24"/>
          <w:szCs w:val="24"/>
          <w:lang w:val="pt-PT"/>
        </w:rPr>
        <w:t xml:space="preserve">s </w:t>
      </w:r>
      <w:r w:rsidR="00DC5DA7" w:rsidRPr="003A1174">
        <w:rPr>
          <w:rFonts w:ascii="Garamond" w:hAnsi="Garamond" w:cs="Arial"/>
          <w:color w:val="auto"/>
          <w:sz w:val="24"/>
          <w:szCs w:val="24"/>
          <w:lang w:val="pt-PT"/>
        </w:rPr>
        <w:t>jurisdicionais</w:t>
      </w:r>
      <w:r w:rsidR="0015627F" w:rsidRPr="003A1174">
        <w:rPr>
          <w:rFonts w:ascii="Garamond" w:hAnsi="Garamond" w:cs="Arial"/>
          <w:color w:val="auto"/>
          <w:sz w:val="24"/>
          <w:szCs w:val="24"/>
          <w:lang w:val="pt-PT"/>
        </w:rPr>
        <w:t xml:space="preserve"> nocivas</w:t>
      </w:r>
      <w:r w:rsidR="00976E48" w:rsidRPr="003A1174">
        <w:rPr>
          <w:rFonts w:ascii="Garamond" w:hAnsi="Garamond" w:cs="Arial"/>
          <w:color w:val="auto"/>
          <w:sz w:val="24"/>
          <w:szCs w:val="24"/>
          <w:lang w:val="pt-PT"/>
        </w:rPr>
        <w:t>,</w:t>
      </w:r>
      <w:r w:rsidR="0015627F" w:rsidRPr="003A1174">
        <w:rPr>
          <w:rFonts w:ascii="Garamond" w:hAnsi="Garamond" w:cs="Arial"/>
          <w:color w:val="auto"/>
          <w:sz w:val="24"/>
          <w:szCs w:val="24"/>
          <w:lang w:val="pt-PT"/>
        </w:rPr>
        <w:t xml:space="preserve"> </w:t>
      </w:r>
      <w:r w:rsidR="00A41573" w:rsidRPr="003A1174">
        <w:rPr>
          <w:rFonts w:ascii="Garamond" w:hAnsi="Garamond" w:cs="Arial"/>
          <w:color w:val="auto"/>
          <w:sz w:val="24"/>
          <w:szCs w:val="24"/>
          <w:lang w:val="pt-PT"/>
        </w:rPr>
        <w:t>tais</w:t>
      </w:r>
      <w:r w:rsidR="00C751FC" w:rsidRPr="003A1174">
        <w:rPr>
          <w:rFonts w:ascii="Garamond" w:hAnsi="Garamond" w:cs="Arial"/>
          <w:color w:val="auto"/>
          <w:sz w:val="24"/>
          <w:szCs w:val="24"/>
          <w:lang w:val="pt-PT"/>
        </w:rPr>
        <w:t xml:space="preserve"> como</w:t>
      </w:r>
      <w:r w:rsidR="00A8355D">
        <w:rPr>
          <w:rFonts w:ascii="Garamond" w:hAnsi="Garamond" w:cs="Arial"/>
          <w:color w:val="auto"/>
          <w:sz w:val="24"/>
          <w:szCs w:val="24"/>
          <w:lang w:val="pt-PT"/>
        </w:rPr>
        <w:t>,</w:t>
      </w:r>
      <w:r w:rsidR="00C751FC" w:rsidRPr="003A1174">
        <w:rPr>
          <w:rFonts w:ascii="Garamond" w:hAnsi="Garamond" w:cs="Arial"/>
          <w:color w:val="auto"/>
          <w:sz w:val="24"/>
          <w:szCs w:val="24"/>
          <w:lang w:val="pt-PT"/>
        </w:rPr>
        <w:t xml:space="preserve"> </w:t>
      </w:r>
      <w:r w:rsidR="0015627F" w:rsidRPr="003A1174">
        <w:rPr>
          <w:rFonts w:ascii="Garamond" w:hAnsi="Garamond" w:cs="Arial"/>
          <w:color w:val="auto"/>
          <w:sz w:val="24"/>
          <w:szCs w:val="24"/>
          <w:lang w:val="pt-PT"/>
        </w:rPr>
        <w:t>a confronta</w:t>
      </w:r>
      <w:r w:rsidR="00C751FC" w:rsidRPr="003A1174">
        <w:rPr>
          <w:rFonts w:ascii="Garamond" w:hAnsi="Garamond" w:cs="Arial"/>
          <w:color w:val="auto"/>
          <w:sz w:val="24"/>
          <w:szCs w:val="24"/>
          <w:lang w:val="pt-PT"/>
        </w:rPr>
        <w:t xml:space="preserve">ção ou </w:t>
      </w:r>
      <w:r w:rsidR="00A8355D">
        <w:rPr>
          <w:rFonts w:ascii="Garamond" w:hAnsi="Garamond" w:cs="Arial"/>
          <w:color w:val="auto"/>
          <w:sz w:val="24"/>
          <w:szCs w:val="24"/>
          <w:lang w:val="pt-PT"/>
        </w:rPr>
        <w:t>convocação</w:t>
      </w:r>
      <w:r w:rsidR="0015627F" w:rsidRPr="003A1174">
        <w:rPr>
          <w:rFonts w:ascii="Garamond" w:hAnsi="Garamond" w:cs="Arial"/>
          <w:color w:val="auto"/>
          <w:sz w:val="24"/>
          <w:szCs w:val="24"/>
          <w:lang w:val="pt-PT"/>
        </w:rPr>
        <w:t xml:space="preserve"> conjunt</w:t>
      </w:r>
      <w:r w:rsidR="00A8355D">
        <w:rPr>
          <w:rFonts w:ascii="Garamond" w:hAnsi="Garamond" w:cs="Arial"/>
          <w:color w:val="auto"/>
          <w:sz w:val="24"/>
          <w:szCs w:val="24"/>
          <w:lang w:val="pt-PT"/>
        </w:rPr>
        <w:t>a</w:t>
      </w:r>
      <w:r w:rsidR="0015627F" w:rsidRPr="003A1174">
        <w:rPr>
          <w:rFonts w:ascii="Garamond" w:hAnsi="Garamond" w:cs="Arial"/>
          <w:color w:val="auto"/>
          <w:sz w:val="24"/>
          <w:szCs w:val="24"/>
          <w:lang w:val="pt-PT"/>
        </w:rPr>
        <w:t xml:space="preserve"> de </w:t>
      </w:r>
      <w:r w:rsidR="003F012B" w:rsidRPr="003A1174">
        <w:rPr>
          <w:rFonts w:ascii="Garamond" w:hAnsi="Garamond" w:cs="Arial"/>
          <w:color w:val="auto"/>
          <w:sz w:val="24"/>
          <w:szCs w:val="24"/>
          <w:lang w:val="pt-PT"/>
        </w:rPr>
        <w:t>vítima</w:t>
      </w:r>
      <w:r w:rsidR="0015627F" w:rsidRPr="003A1174">
        <w:rPr>
          <w:rFonts w:ascii="Garamond" w:hAnsi="Garamond" w:cs="Arial"/>
          <w:color w:val="auto"/>
          <w:sz w:val="24"/>
          <w:szCs w:val="24"/>
          <w:lang w:val="pt-PT"/>
        </w:rPr>
        <w:t xml:space="preserve">s </w:t>
      </w:r>
      <w:r w:rsidR="000672E8" w:rsidRPr="003A1174">
        <w:rPr>
          <w:rFonts w:ascii="Garamond" w:hAnsi="Garamond" w:cs="Arial"/>
          <w:color w:val="auto"/>
          <w:sz w:val="24"/>
          <w:szCs w:val="24"/>
          <w:lang w:val="pt-PT"/>
        </w:rPr>
        <w:t>e</w:t>
      </w:r>
      <w:r w:rsidR="0015627F" w:rsidRPr="003A1174">
        <w:rPr>
          <w:rFonts w:ascii="Garamond" w:hAnsi="Garamond" w:cs="Arial"/>
          <w:color w:val="auto"/>
          <w:sz w:val="24"/>
          <w:szCs w:val="24"/>
          <w:lang w:val="pt-PT"/>
        </w:rPr>
        <w:t xml:space="preserve"> </w:t>
      </w:r>
      <w:r w:rsidR="00C751FC" w:rsidRPr="003A1174">
        <w:rPr>
          <w:rFonts w:ascii="Garamond" w:hAnsi="Garamond" w:cs="Arial"/>
          <w:color w:val="auto"/>
          <w:sz w:val="24"/>
          <w:szCs w:val="24"/>
          <w:lang w:val="pt-PT"/>
        </w:rPr>
        <w:t>agressores</w:t>
      </w:r>
      <w:r w:rsidR="0015627F" w:rsidRPr="003A1174">
        <w:rPr>
          <w:rFonts w:ascii="Garamond" w:hAnsi="Garamond" w:cs="Arial"/>
          <w:color w:val="auto"/>
          <w:sz w:val="24"/>
          <w:szCs w:val="24"/>
          <w:lang w:val="pt-PT"/>
        </w:rPr>
        <w:t xml:space="preserve">; </w:t>
      </w:r>
      <w:r w:rsidR="00976E48" w:rsidRPr="003A1174">
        <w:rPr>
          <w:rFonts w:ascii="Garamond" w:hAnsi="Garamond" w:cs="Arial"/>
          <w:color w:val="auto"/>
          <w:sz w:val="24"/>
          <w:szCs w:val="24"/>
          <w:lang w:val="pt-PT"/>
        </w:rPr>
        <w:t xml:space="preserve">o proferimento </w:t>
      </w:r>
      <w:r w:rsidR="0015627F" w:rsidRPr="003A1174">
        <w:rPr>
          <w:rFonts w:ascii="Garamond" w:hAnsi="Garamond" w:cs="Arial"/>
          <w:color w:val="auto"/>
          <w:sz w:val="24"/>
          <w:szCs w:val="24"/>
          <w:lang w:val="pt-PT"/>
        </w:rPr>
        <w:t xml:space="preserve">de </w:t>
      </w:r>
      <w:r w:rsidR="007A339E">
        <w:rPr>
          <w:rFonts w:ascii="Garamond" w:hAnsi="Garamond" w:cs="Arial"/>
          <w:color w:val="auto"/>
          <w:sz w:val="24"/>
          <w:szCs w:val="24"/>
          <w:lang w:val="pt-PT"/>
        </w:rPr>
        <w:t xml:space="preserve">sentenças </w:t>
      </w:r>
      <w:r w:rsidR="00976E48" w:rsidRPr="003A1174">
        <w:rPr>
          <w:rFonts w:ascii="Garamond" w:hAnsi="Garamond" w:cs="Arial"/>
          <w:color w:val="auto"/>
          <w:sz w:val="24"/>
          <w:szCs w:val="24"/>
          <w:lang w:val="pt-PT"/>
        </w:rPr>
        <w:t>genérica</w:t>
      </w:r>
      <w:r w:rsidR="0015627F" w:rsidRPr="003A1174">
        <w:rPr>
          <w:rFonts w:ascii="Garamond" w:hAnsi="Garamond" w:cs="Arial"/>
          <w:color w:val="auto"/>
          <w:sz w:val="24"/>
          <w:szCs w:val="24"/>
          <w:lang w:val="pt-PT"/>
        </w:rPr>
        <w:t>s o</w:t>
      </w:r>
      <w:r w:rsidR="00976E48" w:rsidRPr="003A1174">
        <w:rPr>
          <w:rFonts w:ascii="Garamond" w:hAnsi="Garamond" w:cs="Arial"/>
          <w:color w:val="auto"/>
          <w:sz w:val="24"/>
          <w:szCs w:val="24"/>
          <w:lang w:val="pt-PT"/>
        </w:rPr>
        <w:t>u ambígua</w:t>
      </w:r>
      <w:r w:rsidR="0015627F" w:rsidRPr="003A1174">
        <w:rPr>
          <w:rFonts w:ascii="Garamond" w:hAnsi="Garamond" w:cs="Arial"/>
          <w:color w:val="auto"/>
          <w:sz w:val="24"/>
          <w:szCs w:val="24"/>
          <w:lang w:val="pt-PT"/>
        </w:rPr>
        <w:t xml:space="preserve">s; </w:t>
      </w:r>
      <w:r w:rsidR="000672E8" w:rsidRPr="003A1174">
        <w:rPr>
          <w:rFonts w:ascii="Garamond" w:hAnsi="Garamond" w:cs="Arial"/>
          <w:color w:val="auto"/>
          <w:sz w:val="24"/>
          <w:szCs w:val="24"/>
          <w:lang w:val="pt-PT"/>
        </w:rPr>
        <w:t>e</w:t>
      </w:r>
      <w:r w:rsidR="00976E48" w:rsidRPr="003A1174">
        <w:rPr>
          <w:rFonts w:ascii="Garamond" w:hAnsi="Garamond" w:cs="Arial"/>
          <w:color w:val="auto"/>
          <w:sz w:val="24"/>
          <w:szCs w:val="24"/>
          <w:lang w:val="pt-PT"/>
        </w:rPr>
        <w:t xml:space="preserve">, também, </w:t>
      </w:r>
      <w:r w:rsidR="0015627F" w:rsidRPr="003A1174">
        <w:rPr>
          <w:rFonts w:ascii="Garamond" w:hAnsi="Garamond" w:cs="Arial"/>
          <w:color w:val="auto"/>
          <w:sz w:val="24"/>
          <w:szCs w:val="24"/>
          <w:lang w:val="pt-PT"/>
        </w:rPr>
        <w:t xml:space="preserve">a </w:t>
      </w:r>
      <w:r w:rsidR="00C30647" w:rsidRPr="003A1174">
        <w:rPr>
          <w:rFonts w:ascii="Garamond" w:hAnsi="Garamond" w:cs="Arial"/>
          <w:color w:val="auto"/>
          <w:sz w:val="24"/>
          <w:szCs w:val="24"/>
          <w:lang w:val="pt-PT"/>
        </w:rPr>
        <w:t>realização</w:t>
      </w:r>
      <w:r w:rsidR="00976E48" w:rsidRPr="003A1174">
        <w:rPr>
          <w:rFonts w:ascii="Garamond" w:hAnsi="Garamond" w:cs="Arial"/>
          <w:color w:val="auto"/>
          <w:sz w:val="24"/>
          <w:szCs w:val="24"/>
          <w:lang w:val="pt-PT"/>
        </w:rPr>
        <w:t xml:space="preserve"> de diligê</w:t>
      </w:r>
      <w:r w:rsidR="0015627F" w:rsidRPr="003A1174">
        <w:rPr>
          <w:rFonts w:ascii="Garamond" w:hAnsi="Garamond" w:cs="Arial"/>
          <w:color w:val="auto"/>
          <w:sz w:val="24"/>
          <w:szCs w:val="24"/>
          <w:lang w:val="pt-PT"/>
        </w:rPr>
        <w:t xml:space="preserve">ncias de </w:t>
      </w:r>
      <w:r w:rsidR="00FC1F7F" w:rsidRPr="003A1174">
        <w:rPr>
          <w:rFonts w:ascii="Garamond" w:hAnsi="Garamond" w:cs="Arial"/>
          <w:color w:val="auto"/>
          <w:sz w:val="24"/>
          <w:szCs w:val="24"/>
          <w:lang w:val="pt-PT"/>
        </w:rPr>
        <w:t>supervisão</w:t>
      </w:r>
      <w:r w:rsidR="0015627F" w:rsidRPr="003A1174">
        <w:rPr>
          <w:rFonts w:ascii="Garamond" w:hAnsi="Garamond" w:cs="Arial"/>
          <w:color w:val="auto"/>
          <w:sz w:val="24"/>
          <w:szCs w:val="24"/>
          <w:lang w:val="pt-PT"/>
        </w:rPr>
        <w:t xml:space="preserve"> sobre </w:t>
      </w:r>
      <w:r w:rsidR="00976E48" w:rsidRPr="003A1174">
        <w:rPr>
          <w:rFonts w:ascii="Garamond" w:hAnsi="Garamond" w:cs="Arial"/>
          <w:color w:val="auto"/>
          <w:sz w:val="24"/>
          <w:szCs w:val="24"/>
          <w:lang w:val="pt-PT"/>
        </w:rPr>
        <w:t xml:space="preserve">o </w:t>
      </w:r>
      <w:r w:rsidR="00D96FD0" w:rsidRPr="003A1174">
        <w:rPr>
          <w:rFonts w:ascii="Garamond" w:hAnsi="Garamond" w:cs="Arial"/>
          <w:color w:val="auto"/>
          <w:sz w:val="24"/>
          <w:szCs w:val="24"/>
          <w:lang w:val="pt-PT"/>
        </w:rPr>
        <w:t>cumprimento</w:t>
      </w:r>
      <w:r w:rsidR="0015627F" w:rsidRPr="003A1174">
        <w:rPr>
          <w:rFonts w:ascii="Garamond" w:hAnsi="Garamond" w:cs="Arial"/>
          <w:color w:val="auto"/>
          <w:sz w:val="24"/>
          <w:szCs w:val="24"/>
          <w:lang w:val="pt-PT"/>
        </w:rPr>
        <w:t xml:space="preserve"> </w:t>
      </w:r>
      <w:r w:rsidR="00802ACC" w:rsidRPr="003A1174">
        <w:rPr>
          <w:rFonts w:ascii="Garamond" w:hAnsi="Garamond" w:cs="Arial"/>
          <w:color w:val="auto"/>
          <w:sz w:val="24"/>
          <w:szCs w:val="24"/>
          <w:lang w:val="pt-PT"/>
        </w:rPr>
        <w:t>efetivo</w:t>
      </w:r>
      <w:r w:rsidR="0015627F"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das</w:t>
      </w:r>
      <w:r w:rsidR="0015627F" w:rsidRPr="003A1174">
        <w:rPr>
          <w:rFonts w:ascii="Garamond" w:hAnsi="Garamond" w:cs="Arial"/>
          <w:color w:val="auto"/>
          <w:sz w:val="24"/>
          <w:szCs w:val="24"/>
          <w:lang w:val="pt-PT"/>
        </w:rPr>
        <w:t xml:space="preserve"> Medidas Cautelares</w:t>
      </w:r>
      <w:r w:rsidR="00A8355D">
        <w:rPr>
          <w:rFonts w:ascii="Garamond" w:hAnsi="Garamond" w:cs="Arial"/>
          <w:color w:val="auto"/>
          <w:sz w:val="24"/>
          <w:szCs w:val="24"/>
          <w:lang w:val="pt-PT"/>
        </w:rPr>
        <w:t>,</w:t>
      </w:r>
      <w:r w:rsidR="0015627F" w:rsidRPr="003A1174">
        <w:rPr>
          <w:rFonts w:ascii="Garamond" w:hAnsi="Garamond" w:cs="Arial"/>
          <w:color w:val="auto"/>
          <w:sz w:val="24"/>
          <w:szCs w:val="24"/>
          <w:lang w:val="pt-PT"/>
        </w:rPr>
        <w:t xml:space="preserve"> Ordens de </w:t>
      </w:r>
      <w:r w:rsidR="00886D6A" w:rsidRPr="003A1174">
        <w:rPr>
          <w:rFonts w:ascii="Garamond" w:hAnsi="Garamond" w:cs="Arial"/>
          <w:color w:val="auto"/>
          <w:sz w:val="24"/>
          <w:szCs w:val="24"/>
          <w:lang w:val="pt-PT"/>
        </w:rPr>
        <w:t>Proteção</w:t>
      </w:r>
      <w:r w:rsidR="00CD707D" w:rsidRPr="003A1174">
        <w:rPr>
          <w:rFonts w:ascii="Garamond" w:hAnsi="Garamond" w:cs="Arial"/>
          <w:color w:val="auto"/>
          <w:sz w:val="24"/>
          <w:szCs w:val="24"/>
          <w:lang w:val="pt-PT"/>
        </w:rPr>
        <w:t xml:space="preserve"> e</w:t>
      </w:r>
      <w:r w:rsidR="0015627F" w:rsidRPr="003A1174">
        <w:rPr>
          <w:rFonts w:ascii="Garamond" w:hAnsi="Garamond" w:cs="Arial"/>
          <w:color w:val="auto"/>
          <w:sz w:val="24"/>
          <w:szCs w:val="24"/>
          <w:lang w:val="pt-PT"/>
        </w:rPr>
        <w:t xml:space="preserve"> </w:t>
      </w:r>
      <w:r w:rsidR="0017447A" w:rsidRPr="003A1174">
        <w:rPr>
          <w:rFonts w:ascii="Garamond" w:hAnsi="Garamond" w:cs="Arial"/>
          <w:color w:val="auto"/>
          <w:sz w:val="24"/>
          <w:szCs w:val="24"/>
          <w:lang w:val="pt-PT"/>
        </w:rPr>
        <w:t>outras</w:t>
      </w:r>
      <w:r w:rsidR="0015627F" w:rsidRPr="003A1174">
        <w:rPr>
          <w:rFonts w:ascii="Garamond" w:hAnsi="Garamond" w:cs="Arial"/>
          <w:color w:val="auto"/>
          <w:sz w:val="24"/>
          <w:szCs w:val="24"/>
          <w:lang w:val="pt-PT"/>
        </w:rPr>
        <w:t xml:space="preserve"> similares</w:t>
      </w:r>
      <w:r w:rsidR="00722D08" w:rsidRPr="003A1174">
        <w:rPr>
          <w:rFonts w:ascii="Garamond" w:hAnsi="Garamond" w:cs="Arial"/>
          <w:color w:val="auto"/>
          <w:sz w:val="24"/>
          <w:szCs w:val="24"/>
          <w:lang w:val="pt-PT"/>
        </w:rPr>
        <w:t>.</w:t>
      </w:r>
      <w:r w:rsidR="0015627F" w:rsidRPr="003A1174">
        <w:rPr>
          <w:rFonts w:ascii="Garamond" w:hAnsi="Garamond" w:cs="Arial"/>
          <w:color w:val="auto"/>
          <w:sz w:val="24"/>
          <w:szCs w:val="24"/>
          <w:lang w:val="pt-PT"/>
        </w:rPr>
        <w:t xml:space="preserve"> </w:t>
      </w:r>
      <w:r w:rsidR="00A8355D">
        <w:rPr>
          <w:rFonts w:ascii="Garamond" w:hAnsi="Garamond" w:cs="Arial"/>
          <w:color w:val="auto"/>
          <w:sz w:val="24"/>
          <w:szCs w:val="24"/>
          <w:lang w:val="pt-PT"/>
        </w:rPr>
        <w:t>É necessário que se profiram</w:t>
      </w:r>
      <w:r w:rsidR="00976E48" w:rsidRPr="003A1174">
        <w:rPr>
          <w:rFonts w:ascii="Garamond" w:hAnsi="Garamond" w:cs="Arial"/>
          <w:color w:val="auto"/>
          <w:sz w:val="24"/>
          <w:szCs w:val="24"/>
          <w:lang w:val="pt-PT"/>
        </w:rPr>
        <w:t xml:space="preserve"> </w:t>
      </w:r>
      <w:r w:rsidR="00A8355D">
        <w:rPr>
          <w:rFonts w:ascii="Garamond" w:hAnsi="Garamond" w:cs="Arial"/>
          <w:color w:val="auto"/>
          <w:sz w:val="24"/>
          <w:szCs w:val="24"/>
          <w:lang w:val="pt-PT"/>
        </w:rPr>
        <w:t xml:space="preserve">decisões </w:t>
      </w:r>
      <w:r w:rsidR="00DC5DA7" w:rsidRPr="003A1174">
        <w:rPr>
          <w:rFonts w:ascii="Garamond" w:hAnsi="Garamond" w:cs="Arial"/>
          <w:color w:val="auto"/>
          <w:sz w:val="24"/>
          <w:szCs w:val="24"/>
          <w:lang w:val="pt-PT"/>
        </w:rPr>
        <w:t>jurisdicionais</w:t>
      </w:r>
      <w:r w:rsidR="00A8355D">
        <w:rPr>
          <w:rFonts w:ascii="Garamond" w:hAnsi="Garamond" w:cs="Arial"/>
          <w:color w:val="auto"/>
          <w:sz w:val="24"/>
          <w:szCs w:val="24"/>
          <w:lang w:val="pt-PT"/>
        </w:rPr>
        <w:t>,</w:t>
      </w:r>
      <w:r w:rsidR="00BB35C1" w:rsidRPr="003A1174">
        <w:rPr>
          <w:rFonts w:ascii="Garamond" w:hAnsi="Garamond" w:cs="Arial"/>
          <w:color w:val="auto"/>
          <w:sz w:val="24"/>
          <w:szCs w:val="24"/>
          <w:lang w:val="pt-PT"/>
        </w:rPr>
        <w:t xml:space="preserve"> </w:t>
      </w:r>
      <w:r w:rsidR="00501083" w:rsidRPr="003A1174">
        <w:rPr>
          <w:rFonts w:ascii="Garamond" w:hAnsi="Garamond" w:cs="Arial"/>
          <w:color w:val="auto"/>
          <w:sz w:val="24"/>
          <w:szCs w:val="24"/>
          <w:lang w:val="pt-PT"/>
        </w:rPr>
        <w:t>integrais</w:t>
      </w:r>
      <w:r w:rsidR="00BB35C1"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BB35C1" w:rsidRPr="003A1174">
        <w:rPr>
          <w:rFonts w:ascii="Garamond" w:hAnsi="Garamond" w:cs="Arial"/>
          <w:color w:val="auto"/>
          <w:sz w:val="24"/>
          <w:szCs w:val="24"/>
          <w:lang w:val="pt-PT"/>
        </w:rPr>
        <w:t xml:space="preserve"> </w:t>
      </w:r>
      <w:r w:rsidR="00976E48" w:rsidRPr="003A1174">
        <w:rPr>
          <w:rFonts w:ascii="Garamond" w:hAnsi="Garamond" w:cs="Arial"/>
          <w:color w:val="auto"/>
          <w:sz w:val="24"/>
          <w:szCs w:val="24"/>
          <w:lang w:val="pt-PT"/>
        </w:rPr>
        <w:t>rápidas</w:t>
      </w:r>
      <w:r w:rsidR="00A8355D">
        <w:rPr>
          <w:rFonts w:ascii="Garamond" w:hAnsi="Garamond" w:cs="Arial"/>
          <w:color w:val="auto"/>
          <w:sz w:val="24"/>
          <w:szCs w:val="24"/>
          <w:lang w:val="pt-PT"/>
        </w:rPr>
        <w:t>,</w:t>
      </w:r>
      <w:r w:rsidR="00976E48" w:rsidRPr="003A1174">
        <w:rPr>
          <w:rFonts w:ascii="Garamond" w:hAnsi="Garamond" w:cs="Arial"/>
          <w:color w:val="auto"/>
          <w:sz w:val="24"/>
          <w:szCs w:val="24"/>
          <w:lang w:val="pt-PT"/>
        </w:rPr>
        <w:t xml:space="preserve"> per</w:t>
      </w:r>
      <w:r w:rsidR="00BB35C1" w:rsidRPr="003A1174">
        <w:rPr>
          <w:rFonts w:ascii="Garamond" w:hAnsi="Garamond" w:cs="Arial"/>
          <w:color w:val="auto"/>
          <w:sz w:val="24"/>
          <w:szCs w:val="24"/>
          <w:lang w:val="pt-PT"/>
        </w:rPr>
        <w:t xml:space="preserve">ante </w:t>
      </w:r>
      <w:r w:rsidR="007342D9" w:rsidRPr="003A1174">
        <w:rPr>
          <w:rFonts w:ascii="Garamond" w:hAnsi="Garamond" w:cs="Arial"/>
          <w:color w:val="auto"/>
          <w:sz w:val="24"/>
          <w:szCs w:val="24"/>
          <w:lang w:val="pt-PT"/>
        </w:rPr>
        <w:t>situações</w:t>
      </w:r>
      <w:r w:rsidR="00BB35C1" w:rsidRPr="003A1174">
        <w:rPr>
          <w:rFonts w:ascii="Garamond" w:hAnsi="Garamond" w:cs="Arial"/>
          <w:color w:val="auto"/>
          <w:sz w:val="24"/>
          <w:szCs w:val="24"/>
          <w:lang w:val="pt-PT"/>
        </w:rPr>
        <w:t xml:space="preserve"> de </w:t>
      </w:r>
      <w:r w:rsidR="000350B1" w:rsidRPr="003A1174">
        <w:rPr>
          <w:rFonts w:ascii="Garamond" w:hAnsi="Garamond" w:cs="Arial"/>
          <w:color w:val="auto"/>
          <w:sz w:val="24"/>
          <w:szCs w:val="24"/>
          <w:lang w:val="pt-PT"/>
        </w:rPr>
        <w:t>violência</w:t>
      </w:r>
      <w:r w:rsidR="00BB35C1" w:rsidRPr="003A1174">
        <w:rPr>
          <w:rFonts w:ascii="Garamond" w:hAnsi="Garamond" w:cs="Arial"/>
          <w:color w:val="auto"/>
          <w:sz w:val="24"/>
          <w:szCs w:val="24"/>
          <w:lang w:val="pt-PT"/>
        </w:rPr>
        <w:t xml:space="preserve"> </w:t>
      </w:r>
      <w:r w:rsidR="00976E48" w:rsidRPr="003A1174">
        <w:rPr>
          <w:rFonts w:ascii="Garamond" w:hAnsi="Garamond" w:cs="Arial"/>
          <w:color w:val="auto"/>
          <w:sz w:val="24"/>
          <w:szCs w:val="24"/>
          <w:lang w:val="pt-PT"/>
        </w:rPr>
        <w:t xml:space="preserve">para com as </w:t>
      </w:r>
      <w:r w:rsidR="00054EE0" w:rsidRPr="003A1174">
        <w:rPr>
          <w:rFonts w:ascii="Garamond" w:hAnsi="Garamond" w:cs="Arial"/>
          <w:color w:val="auto"/>
          <w:sz w:val="24"/>
          <w:szCs w:val="24"/>
          <w:lang w:val="pt-PT"/>
        </w:rPr>
        <w:t>mulheres</w:t>
      </w:r>
      <w:r w:rsidR="00BB35C1" w:rsidRPr="003A1174">
        <w:rPr>
          <w:rFonts w:ascii="Garamond" w:hAnsi="Garamond" w:cs="Arial"/>
          <w:color w:val="auto"/>
          <w:sz w:val="24"/>
          <w:szCs w:val="24"/>
          <w:lang w:val="pt-PT"/>
        </w:rPr>
        <w:t xml:space="preserve">, </w:t>
      </w:r>
      <w:r w:rsidR="00964875" w:rsidRPr="003A1174">
        <w:rPr>
          <w:rFonts w:ascii="Garamond" w:hAnsi="Garamond" w:cs="Arial"/>
          <w:color w:val="auto"/>
          <w:sz w:val="24"/>
          <w:szCs w:val="24"/>
          <w:lang w:val="pt-PT"/>
        </w:rPr>
        <w:t>crianças</w:t>
      </w:r>
      <w:r w:rsidR="00BB35C1"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BB35C1" w:rsidRPr="003A1174">
        <w:rPr>
          <w:rFonts w:ascii="Garamond" w:hAnsi="Garamond" w:cs="Arial"/>
          <w:color w:val="auto"/>
          <w:sz w:val="24"/>
          <w:szCs w:val="24"/>
          <w:lang w:val="pt-PT"/>
        </w:rPr>
        <w:t xml:space="preserve"> adolescentes, </w:t>
      </w:r>
      <w:r w:rsidR="00A8355D">
        <w:rPr>
          <w:rFonts w:ascii="Garamond" w:hAnsi="Garamond" w:cs="Arial"/>
          <w:color w:val="auto"/>
          <w:sz w:val="24"/>
          <w:szCs w:val="24"/>
          <w:lang w:val="pt-PT"/>
        </w:rPr>
        <w:t xml:space="preserve">bem como </w:t>
      </w:r>
      <w:r w:rsidR="00976E48" w:rsidRPr="003A1174">
        <w:rPr>
          <w:rFonts w:ascii="Garamond" w:hAnsi="Garamond" w:cs="Arial"/>
          <w:color w:val="auto"/>
          <w:sz w:val="24"/>
          <w:szCs w:val="24"/>
          <w:lang w:val="pt-PT"/>
        </w:rPr>
        <w:t xml:space="preserve">o </w:t>
      </w:r>
      <w:r w:rsidR="00AF192F" w:rsidRPr="003A1174">
        <w:rPr>
          <w:rFonts w:ascii="Garamond" w:hAnsi="Garamond" w:cs="Arial"/>
          <w:color w:val="auto"/>
          <w:sz w:val="24"/>
          <w:szCs w:val="24"/>
          <w:lang w:val="pt-PT"/>
        </w:rPr>
        <w:t>dever</w:t>
      </w:r>
      <w:r w:rsidR="00BB35C1" w:rsidRPr="003A1174">
        <w:rPr>
          <w:rFonts w:ascii="Garamond" w:hAnsi="Garamond" w:cs="Arial"/>
          <w:color w:val="auto"/>
          <w:sz w:val="24"/>
          <w:szCs w:val="24"/>
          <w:lang w:val="pt-PT"/>
        </w:rPr>
        <w:t xml:space="preserve"> de comunicar </w:t>
      </w:r>
      <w:r w:rsidR="007C63D0" w:rsidRPr="003A1174">
        <w:rPr>
          <w:rFonts w:ascii="Garamond" w:hAnsi="Garamond" w:cs="Arial"/>
          <w:color w:val="auto"/>
          <w:sz w:val="24"/>
          <w:szCs w:val="24"/>
          <w:lang w:val="pt-PT"/>
        </w:rPr>
        <w:t>comportamento</w:t>
      </w:r>
      <w:r w:rsidR="00BB35C1" w:rsidRPr="003A1174">
        <w:rPr>
          <w:rFonts w:ascii="Garamond" w:hAnsi="Garamond" w:cs="Arial"/>
          <w:color w:val="auto"/>
          <w:sz w:val="24"/>
          <w:szCs w:val="24"/>
          <w:lang w:val="pt-PT"/>
        </w:rPr>
        <w:t>s</w:t>
      </w:r>
      <w:r w:rsidR="00A8355D">
        <w:rPr>
          <w:rFonts w:ascii="Garamond" w:hAnsi="Garamond" w:cs="Arial"/>
          <w:color w:val="auto"/>
          <w:sz w:val="24"/>
          <w:szCs w:val="24"/>
          <w:lang w:val="pt-PT"/>
        </w:rPr>
        <w:t>,</w:t>
      </w:r>
      <w:r w:rsidR="00BB35C1" w:rsidRPr="003A1174">
        <w:rPr>
          <w:rFonts w:ascii="Garamond" w:hAnsi="Garamond" w:cs="Arial"/>
          <w:color w:val="auto"/>
          <w:sz w:val="24"/>
          <w:szCs w:val="24"/>
          <w:lang w:val="pt-PT"/>
        </w:rPr>
        <w:t xml:space="preserve"> </w:t>
      </w:r>
      <w:r w:rsidR="00976E48" w:rsidRPr="003A1174">
        <w:rPr>
          <w:rFonts w:ascii="Garamond" w:hAnsi="Garamond" w:cs="Arial"/>
          <w:color w:val="auto"/>
          <w:sz w:val="24"/>
          <w:szCs w:val="24"/>
          <w:lang w:val="pt-PT"/>
        </w:rPr>
        <w:t xml:space="preserve">aparentemente </w:t>
      </w:r>
      <w:r w:rsidR="00312546" w:rsidRPr="003A1174">
        <w:rPr>
          <w:rFonts w:ascii="Garamond" w:hAnsi="Garamond" w:cs="Arial"/>
          <w:color w:val="auto"/>
          <w:sz w:val="24"/>
          <w:szCs w:val="24"/>
          <w:lang w:val="pt-PT"/>
        </w:rPr>
        <w:t>delativos</w:t>
      </w:r>
      <w:r w:rsidR="00976E48"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976E48" w:rsidRPr="003A1174">
        <w:rPr>
          <w:rFonts w:ascii="Garamond" w:hAnsi="Garamond" w:cs="Arial"/>
          <w:color w:val="auto"/>
          <w:sz w:val="24"/>
          <w:szCs w:val="24"/>
          <w:lang w:val="pt-PT"/>
        </w:rPr>
        <w:t>, c</w:t>
      </w:r>
      <w:r w:rsidR="00BB35C1" w:rsidRPr="003A1174">
        <w:rPr>
          <w:rFonts w:ascii="Garamond" w:hAnsi="Garamond" w:cs="Arial"/>
          <w:color w:val="auto"/>
          <w:sz w:val="24"/>
          <w:szCs w:val="24"/>
          <w:lang w:val="pt-PT"/>
        </w:rPr>
        <w:t xml:space="preserve">ertamente, </w:t>
      </w:r>
      <w:r w:rsidR="007A339E">
        <w:rPr>
          <w:rFonts w:ascii="Garamond" w:hAnsi="Garamond" w:cs="Arial"/>
          <w:color w:val="auto"/>
          <w:sz w:val="24"/>
          <w:szCs w:val="24"/>
          <w:lang w:val="pt-PT"/>
        </w:rPr>
        <w:t xml:space="preserve">a obrigatoriedade </w:t>
      </w:r>
      <w:r w:rsidR="00BB35C1" w:rsidRPr="003A1174">
        <w:rPr>
          <w:rFonts w:ascii="Garamond" w:hAnsi="Garamond" w:cs="Arial"/>
          <w:color w:val="auto"/>
          <w:sz w:val="24"/>
          <w:szCs w:val="24"/>
          <w:lang w:val="pt-PT"/>
        </w:rPr>
        <w:t xml:space="preserve">de </w:t>
      </w:r>
      <w:r w:rsidR="00A8355D">
        <w:rPr>
          <w:rFonts w:ascii="Garamond" w:hAnsi="Garamond" w:cs="Arial"/>
          <w:color w:val="auto"/>
          <w:sz w:val="24"/>
          <w:szCs w:val="24"/>
          <w:lang w:val="pt-PT"/>
        </w:rPr>
        <w:t xml:space="preserve">ter </w:t>
      </w:r>
      <w:r w:rsidR="007A339E">
        <w:rPr>
          <w:rFonts w:ascii="Garamond" w:hAnsi="Garamond" w:cs="Arial"/>
          <w:color w:val="auto"/>
          <w:sz w:val="24"/>
          <w:szCs w:val="24"/>
          <w:lang w:val="pt-PT"/>
        </w:rPr>
        <w:t xml:space="preserve">em consideração, </w:t>
      </w:r>
      <w:r w:rsidR="00BB35C1" w:rsidRPr="003A1174">
        <w:rPr>
          <w:rFonts w:ascii="Garamond" w:hAnsi="Garamond" w:cs="Arial"/>
          <w:color w:val="auto"/>
          <w:sz w:val="24"/>
          <w:szCs w:val="24"/>
          <w:lang w:val="pt-PT"/>
        </w:rPr>
        <w:t>e</w:t>
      </w:r>
      <w:r w:rsidR="00976E48" w:rsidRPr="003A1174">
        <w:rPr>
          <w:rFonts w:ascii="Garamond" w:hAnsi="Garamond" w:cs="Arial"/>
          <w:color w:val="auto"/>
          <w:sz w:val="24"/>
          <w:szCs w:val="24"/>
          <w:lang w:val="pt-PT"/>
        </w:rPr>
        <w:t>m tu</w:t>
      </w:r>
      <w:r w:rsidR="00BB35C1" w:rsidRPr="003A1174">
        <w:rPr>
          <w:rFonts w:ascii="Garamond" w:hAnsi="Garamond" w:cs="Arial"/>
          <w:color w:val="auto"/>
          <w:sz w:val="24"/>
          <w:szCs w:val="24"/>
          <w:lang w:val="pt-PT"/>
        </w:rPr>
        <w:t xml:space="preserve">do o </w:t>
      </w:r>
      <w:r w:rsidR="00976E48" w:rsidRPr="003A1174">
        <w:rPr>
          <w:rFonts w:ascii="Garamond" w:hAnsi="Garamond" w:cs="Arial"/>
          <w:color w:val="auto"/>
          <w:sz w:val="24"/>
          <w:szCs w:val="24"/>
          <w:lang w:val="pt-PT"/>
        </w:rPr>
        <w:t xml:space="preserve">que for </w:t>
      </w:r>
      <w:r w:rsidR="00BB35C1" w:rsidRPr="003A1174">
        <w:rPr>
          <w:rFonts w:ascii="Garamond" w:hAnsi="Garamond" w:cs="Arial"/>
          <w:color w:val="auto"/>
          <w:sz w:val="24"/>
          <w:szCs w:val="24"/>
          <w:lang w:val="pt-PT"/>
        </w:rPr>
        <w:t>perti</w:t>
      </w:r>
      <w:r w:rsidR="00976E48" w:rsidRPr="003A1174">
        <w:rPr>
          <w:rFonts w:ascii="Garamond" w:hAnsi="Garamond" w:cs="Arial"/>
          <w:color w:val="auto"/>
          <w:sz w:val="24"/>
          <w:szCs w:val="24"/>
          <w:lang w:val="pt-PT"/>
        </w:rPr>
        <w:t>nente</w:t>
      </w:r>
      <w:r w:rsidR="00A8355D">
        <w:rPr>
          <w:rFonts w:ascii="Garamond" w:hAnsi="Garamond" w:cs="Arial"/>
          <w:color w:val="auto"/>
          <w:sz w:val="24"/>
          <w:szCs w:val="24"/>
          <w:lang w:val="pt-PT"/>
        </w:rPr>
        <w:t>,</w:t>
      </w:r>
      <w:r w:rsidR="00976E48" w:rsidRPr="003A1174">
        <w:rPr>
          <w:rFonts w:ascii="Garamond" w:hAnsi="Garamond" w:cs="Arial"/>
          <w:color w:val="auto"/>
          <w:sz w:val="24"/>
          <w:szCs w:val="24"/>
          <w:lang w:val="pt-PT"/>
        </w:rPr>
        <w:t xml:space="preserve"> </w:t>
      </w:r>
      <w:r w:rsidR="00BB35C1" w:rsidRPr="003A1174">
        <w:rPr>
          <w:rFonts w:ascii="Garamond" w:hAnsi="Garamond" w:cs="Arial"/>
          <w:color w:val="auto"/>
          <w:sz w:val="24"/>
          <w:szCs w:val="24"/>
          <w:lang w:val="pt-PT"/>
        </w:rPr>
        <w:t xml:space="preserve">a </w:t>
      </w:r>
      <w:r w:rsidR="00B14AA6" w:rsidRPr="003A1174">
        <w:rPr>
          <w:rFonts w:ascii="Garamond" w:hAnsi="Garamond" w:cs="Arial"/>
          <w:color w:val="auto"/>
          <w:sz w:val="24"/>
          <w:szCs w:val="24"/>
          <w:lang w:val="pt-PT"/>
        </w:rPr>
        <w:t>aplicação</w:t>
      </w:r>
      <w:r w:rsidR="00BB35C1" w:rsidRPr="003A1174">
        <w:rPr>
          <w:rFonts w:ascii="Garamond" w:hAnsi="Garamond" w:cs="Arial"/>
          <w:color w:val="auto"/>
          <w:sz w:val="24"/>
          <w:szCs w:val="24"/>
          <w:lang w:val="pt-PT"/>
        </w:rPr>
        <w:t xml:space="preserve"> </w:t>
      </w:r>
      <w:r w:rsidR="00497503" w:rsidRPr="003A1174">
        <w:rPr>
          <w:rFonts w:ascii="Garamond" w:hAnsi="Garamond" w:cs="Arial"/>
          <w:color w:val="auto"/>
          <w:sz w:val="24"/>
          <w:szCs w:val="24"/>
          <w:lang w:val="pt-PT"/>
        </w:rPr>
        <w:t>dos</w:t>
      </w:r>
      <w:r w:rsidR="00BB35C1" w:rsidRPr="003A1174">
        <w:rPr>
          <w:rFonts w:ascii="Garamond" w:hAnsi="Garamond" w:cs="Arial"/>
          <w:color w:val="auto"/>
          <w:sz w:val="24"/>
          <w:szCs w:val="24"/>
          <w:lang w:val="pt-PT"/>
        </w:rPr>
        <w:t xml:space="preserve"> instrumentos </w:t>
      </w:r>
      <w:r w:rsidR="00EF645F" w:rsidRPr="003A1174">
        <w:rPr>
          <w:rFonts w:ascii="Garamond" w:hAnsi="Garamond" w:cs="Arial"/>
          <w:color w:val="auto"/>
          <w:sz w:val="24"/>
          <w:szCs w:val="24"/>
          <w:lang w:val="pt-PT"/>
        </w:rPr>
        <w:t>internacionais</w:t>
      </w:r>
      <w:r w:rsidR="00BB35C1" w:rsidRPr="003A1174">
        <w:rPr>
          <w:rFonts w:ascii="Garamond" w:hAnsi="Garamond" w:cs="Arial"/>
          <w:color w:val="auto"/>
          <w:sz w:val="24"/>
          <w:szCs w:val="24"/>
          <w:lang w:val="pt-PT"/>
        </w:rPr>
        <w:t xml:space="preserve"> de </w:t>
      </w:r>
      <w:r w:rsidR="00886D6A" w:rsidRPr="003A1174">
        <w:rPr>
          <w:rFonts w:ascii="Garamond" w:hAnsi="Garamond" w:cs="Arial"/>
          <w:color w:val="auto"/>
          <w:sz w:val="24"/>
          <w:szCs w:val="24"/>
          <w:lang w:val="pt-PT"/>
        </w:rPr>
        <w:t>direito</w:t>
      </w:r>
      <w:r w:rsidR="00BB35C1" w:rsidRPr="003A1174">
        <w:rPr>
          <w:rFonts w:ascii="Garamond" w:hAnsi="Garamond" w:cs="Arial"/>
          <w:color w:val="auto"/>
          <w:sz w:val="24"/>
          <w:szCs w:val="24"/>
          <w:lang w:val="pt-PT"/>
        </w:rPr>
        <w:t>s humanos</w:t>
      </w:r>
      <w:r w:rsidR="007A339E">
        <w:rPr>
          <w:rFonts w:ascii="Garamond" w:hAnsi="Garamond" w:cs="Arial"/>
          <w:color w:val="auto"/>
          <w:sz w:val="24"/>
          <w:szCs w:val="24"/>
          <w:lang w:val="pt-PT"/>
        </w:rPr>
        <w:t>,</w:t>
      </w:r>
      <w:r w:rsidR="00BB35C1" w:rsidRPr="003A1174">
        <w:rPr>
          <w:rFonts w:ascii="Garamond" w:hAnsi="Garamond" w:cs="Arial"/>
          <w:color w:val="auto"/>
          <w:sz w:val="24"/>
          <w:szCs w:val="24"/>
          <w:lang w:val="pt-PT"/>
        </w:rPr>
        <w:t xml:space="preserve"> ratificados </w:t>
      </w:r>
      <w:r w:rsidR="005C2020" w:rsidRPr="003A1174">
        <w:rPr>
          <w:rFonts w:ascii="Garamond" w:hAnsi="Garamond" w:cs="Arial"/>
          <w:color w:val="auto"/>
          <w:sz w:val="24"/>
          <w:szCs w:val="24"/>
          <w:lang w:val="pt-PT"/>
        </w:rPr>
        <w:t>pelo</w:t>
      </w:r>
      <w:r w:rsidR="00BB35C1" w:rsidRPr="003A1174">
        <w:rPr>
          <w:rFonts w:ascii="Garamond" w:hAnsi="Garamond" w:cs="Arial"/>
          <w:color w:val="auto"/>
          <w:sz w:val="24"/>
          <w:szCs w:val="24"/>
          <w:lang w:val="pt-PT"/>
        </w:rPr>
        <w:t xml:space="preserve"> Estado, </w:t>
      </w:r>
      <w:r w:rsidR="000464C8" w:rsidRPr="003A1174">
        <w:rPr>
          <w:rFonts w:ascii="Garamond" w:hAnsi="Garamond" w:cs="Arial"/>
          <w:color w:val="auto"/>
          <w:sz w:val="24"/>
          <w:szCs w:val="24"/>
          <w:lang w:val="pt-PT"/>
        </w:rPr>
        <w:t>assim</w:t>
      </w:r>
      <w:r w:rsidR="00BB35C1" w:rsidRPr="003A1174">
        <w:rPr>
          <w:rFonts w:ascii="Garamond" w:hAnsi="Garamond" w:cs="Arial"/>
          <w:color w:val="auto"/>
          <w:sz w:val="24"/>
          <w:szCs w:val="24"/>
          <w:lang w:val="pt-PT"/>
        </w:rPr>
        <w:t xml:space="preserve"> como</w:t>
      </w:r>
      <w:r w:rsidR="00A8355D">
        <w:rPr>
          <w:rFonts w:ascii="Garamond" w:hAnsi="Garamond" w:cs="Arial"/>
          <w:color w:val="auto"/>
          <w:sz w:val="24"/>
          <w:szCs w:val="24"/>
          <w:lang w:val="pt-PT"/>
        </w:rPr>
        <w:t>,</w:t>
      </w:r>
      <w:r w:rsidR="00BB35C1" w:rsidRPr="003A1174">
        <w:rPr>
          <w:rFonts w:ascii="Garamond" w:hAnsi="Garamond" w:cs="Arial"/>
          <w:color w:val="auto"/>
          <w:sz w:val="24"/>
          <w:szCs w:val="24"/>
          <w:lang w:val="pt-PT"/>
        </w:rPr>
        <w:t xml:space="preserve"> </w:t>
      </w:r>
      <w:r w:rsidR="00A8355D">
        <w:rPr>
          <w:rFonts w:ascii="Garamond" w:hAnsi="Garamond" w:cs="Arial"/>
          <w:color w:val="auto"/>
          <w:sz w:val="24"/>
          <w:szCs w:val="24"/>
          <w:lang w:val="pt-PT"/>
        </w:rPr>
        <w:t xml:space="preserve">o acompanhamento </w:t>
      </w:r>
      <w:r w:rsidR="00BB35C1" w:rsidRPr="003A1174">
        <w:rPr>
          <w:rFonts w:ascii="Garamond" w:hAnsi="Garamond" w:cs="Arial"/>
          <w:color w:val="auto"/>
          <w:sz w:val="24"/>
          <w:szCs w:val="24"/>
          <w:lang w:val="pt-PT"/>
        </w:rPr>
        <w:t>d</w:t>
      </w:r>
      <w:r w:rsidR="00976E48" w:rsidRPr="003A1174">
        <w:rPr>
          <w:rFonts w:ascii="Garamond" w:hAnsi="Garamond" w:cs="Arial"/>
          <w:color w:val="auto"/>
          <w:sz w:val="24"/>
          <w:szCs w:val="24"/>
          <w:lang w:val="pt-PT"/>
        </w:rPr>
        <w:t>a</w:t>
      </w:r>
      <w:r w:rsidR="00BB35C1" w:rsidRPr="003A1174">
        <w:rPr>
          <w:rFonts w:ascii="Garamond" w:hAnsi="Garamond" w:cs="Arial"/>
          <w:color w:val="auto"/>
          <w:sz w:val="24"/>
          <w:szCs w:val="24"/>
          <w:lang w:val="pt-PT"/>
        </w:rPr>
        <w:t xml:space="preserve">s </w:t>
      </w:r>
      <w:r w:rsidR="002E7FD5" w:rsidRPr="003A1174">
        <w:rPr>
          <w:rFonts w:ascii="Garamond" w:hAnsi="Garamond" w:cs="Arial"/>
          <w:color w:val="auto"/>
          <w:sz w:val="24"/>
          <w:szCs w:val="24"/>
          <w:lang w:val="pt-PT"/>
        </w:rPr>
        <w:t>pronúncias</w:t>
      </w:r>
      <w:r w:rsidR="00976E48" w:rsidRPr="003A1174">
        <w:rPr>
          <w:rFonts w:ascii="Garamond" w:hAnsi="Garamond" w:cs="Arial"/>
          <w:color w:val="auto"/>
          <w:sz w:val="24"/>
          <w:szCs w:val="24"/>
          <w:lang w:val="pt-PT"/>
        </w:rPr>
        <w:t xml:space="preserve"> d</w:t>
      </w:r>
      <w:r w:rsidR="00312546">
        <w:rPr>
          <w:rFonts w:ascii="Garamond" w:hAnsi="Garamond" w:cs="Arial"/>
          <w:color w:val="auto"/>
          <w:sz w:val="24"/>
          <w:szCs w:val="24"/>
          <w:lang w:val="pt-PT"/>
        </w:rPr>
        <w:t>o</w:t>
      </w:r>
      <w:r w:rsidR="007A339E">
        <w:rPr>
          <w:rFonts w:ascii="Garamond" w:hAnsi="Garamond" w:cs="Arial"/>
          <w:color w:val="auto"/>
          <w:sz w:val="24"/>
          <w:szCs w:val="24"/>
          <w:lang w:val="pt-PT"/>
        </w:rPr>
        <w:t xml:space="preserve"> </w:t>
      </w:r>
      <w:r w:rsidR="00312546">
        <w:rPr>
          <w:rFonts w:ascii="Garamond" w:hAnsi="Garamond" w:cs="Arial"/>
          <w:color w:val="auto"/>
          <w:sz w:val="24"/>
          <w:szCs w:val="24"/>
          <w:lang w:val="pt-PT"/>
        </w:rPr>
        <w:t>Tribunal</w:t>
      </w:r>
      <w:r w:rsidR="002A7FDD" w:rsidRPr="003A1174">
        <w:rPr>
          <w:rFonts w:ascii="Garamond" w:hAnsi="Garamond" w:cs="Arial"/>
          <w:color w:val="auto"/>
          <w:sz w:val="24"/>
          <w:szCs w:val="24"/>
          <w:lang w:val="pt-PT"/>
        </w:rPr>
        <w:t xml:space="preserve"> </w:t>
      </w:r>
      <w:r w:rsidR="00BB35C1" w:rsidRPr="003A1174">
        <w:rPr>
          <w:rFonts w:ascii="Garamond" w:hAnsi="Garamond" w:cs="Arial"/>
          <w:color w:val="auto"/>
          <w:sz w:val="24"/>
          <w:szCs w:val="24"/>
          <w:lang w:val="pt-PT"/>
        </w:rPr>
        <w:t>Interamerican</w:t>
      </w:r>
      <w:r w:rsidR="00312546">
        <w:rPr>
          <w:rFonts w:ascii="Garamond" w:hAnsi="Garamond" w:cs="Arial"/>
          <w:color w:val="auto"/>
          <w:sz w:val="24"/>
          <w:szCs w:val="24"/>
          <w:lang w:val="pt-PT"/>
        </w:rPr>
        <w:t>o</w:t>
      </w:r>
      <w:r w:rsidR="00BB35C1" w:rsidRPr="003A1174">
        <w:rPr>
          <w:rFonts w:ascii="Garamond" w:hAnsi="Garamond" w:cs="Arial"/>
          <w:color w:val="auto"/>
          <w:sz w:val="24"/>
          <w:szCs w:val="24"/>
          <w:lang w:val="pt-PT"/>
        </w:rPr>
        <w:t xml:space="preserve"> </w:t>
      </w:r>
      <w:r w:rsidR="00142B26" w:rsidRPr="003A1174">
        <w:rPr>
          <w:rFonts w:ascii="Garamond" w:hAnsi="Garamond" w:cs="Arial"/>
          <w:color w:val="auto"/>
          <w:sz w:val="24"/>
          <w:szCs w:val="24"/>
          <w:lang w:val="pt-PT"/>
        </w:rPr>
        <w:t xml:space="preserve">para </w:t>
      </w:r>
      <w:r w:rsidR="00976E48" w:rsidRPr="003A1174">
        <w:rPr>
          <w:rFonts w:ascii="Garamond" w:hAnsi="Garamond" w:cs="Arial"/>
          <w:color w:val="auto"/>
          <w:sz w:val="24"/>
          <w:szCs w:val="24"/>
          <w:lang w:val="pt-PT"/>
        </w:rPr>
        <w:t xml:space="preserve">o </w:t>
      </w:r>
      <w:r w:rsidR="00253B1D" w:rsidRPr="003A1174">
        <w:rPr>
          <w:rFonts w:ascii="Garamond" w:hAnsi="Garamond" w:cs="Arial"/>
          <w:color w:val="auto"/>
          <w:sz w:val="24"/>
          <w:szCs w:val="24"/>
          <w:lang w:val="pt-PT"/>
        </w:rPr>
        <w:t>Controlo</w:t>
      </w:r>
      <w:r w:rsidR="00BB35C1" w:rsidRPr="003A1174">
        <w:rPr>
          <w:rFonts w:ascii="Garamond" w:hAnsi="Garamond" w:cs="Arial"/>
          <w:color w:val="auto"/>
          <w:sz w:val="24"/>
          <w:szCs w:val="24"/>
          <w:lang w:val="pt-PT"/>
        </w:rPr>
        <w:t xml:space="preserve"> de Convencionalidad</w:t>
      </w:r>
      <w:r w:rsidR="00976E48" w:rsidRPr="003A1174">
        <w:rPr>
          <w:rFonts w:ascii="Garamond" w:hAnsi="Garamond" w:cs="Arial"/>
          <w:color w:val="auto"/>
          <w:sz w:val="24"/>
          <w:szCs w:val="24"/>
          <w:lang w:val="pt-PT"/>
        </w:rPr>
        <w:t>e</w:t>
      </w:r>
      <w:r w:rsidR="00BB35C1" w:rsidRPr="003A1174">
        <w:rPr>
          <w:rFonts w:ascii="Garamond" w:hAnsi="Garamond" w:cs="Arial"/>
          <w:color w:val="auto"/>
          <w:sz w:val="24"/>
          <w:szCs w:val="24"/>
          <w:lang w:val="pt-PT"/>
        </w:rPr>
        <w:t>.</w:t>
      </w:r>
    </w:p>
    <w:p w:rsidR="00BB35C1" w:rsidRPr="00576AE5" w:rsidRDefault="00DE09AC" w:rsidP="008719D4">
      <w:pPr>
        <w:pStyle w:val="Predeterminado"/>
        <w:numPr>
          <w:ilvl w:val="0"/>
          <w:numId w:val="45"/>
        </w:numPr>
        <w:snapToGrid w:val="0"/>
        <w:spacing w:before="240" w:line="240" w:lineRule="auto"/>
        <w:ind w:hanging="578"/>
        <w:jc w:val="both"/>
        <w:rPr>
          <w:rFonts w:ascii="Garamond" w:hAnsi="Garamond" w:cs="Arial"/>
          <w:color w:val="auto"/>
          <w:sz w:val="24"/>
          <w:szCs w:val="24"/>
          <w:lang w:val="pt-PT"/>
        </w:rPr>
      </w:pPr>
      <w:r w:rsidRPr="00576AE5">
        <w:rPr>
          <w:rFonts w:ascii="Garamond" w:hAnsi="Garamond" w:cs="Arial"/>
          <w:color w:val="auto"/>
          <w:sz w:val="24"/>
          <w:szCs w:val="24"/>
          <w:lang w:val="pt-PT"/>
        </w:rPr>
        <w:t>A</w:t>
      </w:r>
      <w:r w:rsidR="002D1021" w:rsidRPr="00576AE5">
        <w:rPr>
          <w:rFonts w:ascii="Garamond" w:hAnsi="Garamond" w:cs="Arial"/>
          <w:color w:val="auto"/>
          <w:sz w:val="24"/>
          <w:szCs w:val="24"/>
          <w:lang w:val="pt-PT"/>
        </w:rPr>
        <w:t>ssegurar</w:t>
      </w:r>
      <w:r w:rsidRPr="00576AE5">
        <w:rPr>
          <w:rFonts w:ascii="Garamond" w:hAnsi="Garamond" w:cs="Arial"/>
          <w:color w:val="auto"/>
          <w:sz w:val="24"/>
          <w:szCs w:val="24"/>
          <w:lang w:val="pt-PT"/>
        </w:rPr>
        <w:t>, previamente,</w:t>
      </w:r>
      <w:r w:rsidR="00BB35C1" w:rsidRPr="00576AE5">
        <w:rPr>
          <w:rFonts w:ascii="Garamond" w:hAnsi="Garamond" w:cs="Arial"/>
          <w:color w:val="auto"/>
          <w:sz w:val="24"/>
          <w:szCs w:val="24"/>
          <w:lang w:val="pt-PT"/>
        </w:rPr>
        <w:t xml:space="preserve"> </w:t>
      </w:r>
      <w:r w:rsidR="002D1021" w:rsidRPr="00576AE5">
        <w:rPr>
          <w:rFonts w:ascii="Garamond" w:hAnsi="Garamond" w:cs="Arial"/>
          <w:color w:val="auto"/>
          <w:sz w:val="24"/>
          <w:szCs w:val="24"/>
          <w:lang w:val="pt-PT"/>
        </w:rPr>
        <w:t>processo</w:t>
      </w:r>
      <w:r w:rsidR="00BB35C1" w:rsidRPr="00576AE5">
        <w:rPr>
          <w:rFonts w:ascii="Garamond" w:hAnsi="Garamond" w:cs="Arial"/>
          <w:color w:val="auto"/>
          <w:sz w:val="24"/>
          <w:szCs w:val="24"/>
          <w:lang w:val="pt-PT"/>
        </w:rPr>
        <w:t xml:space="preserve">s de </w:t>
      </w:r>
      <w:r w:rsidR="00D37CF3" w:rsidRPr="00576AE5">
        <w:rPr>
          <w:rFonts w:ascii="Garamond" w:hAnsi="Garamond" w:cs="Arial"/>
          <w:color w:val="auto"/>
          <w:sz w:val="24"/>
          <w:szCs w:val="24"/>
          <w:lang w:val="pt-PT"/>
        </w:rPr>
        <w:t>seleção</w:t>
      </w:r>
      <w:r w:rsidR="00BB35C1" w:rsidRPr="00576AE5">
        <w:rPr>
          <w:rFonts w:ascii="Garamond" w:hAnsi="Garamond" w:cs="Arial"/>
          <w:color w:val="auto"/>
          <w:sz w:val="24"/>
          <w:szCs w:val="24"/>
          <w:lang w:val="pt-PT"/>
        </w:rPr>
        <w:t xml:space="preserve"> </w:t>
      </w:r>
      <w:r w:rsidRPr="00576AE5">
        <w:rPr>
          <w:rFonts w:ascii="Garamond" w:hAnsi="Garamond" w:cs="Arial"/>
          <w:color w:val="auto"/>
          <w:sz w:val="24"/>
          <w:szCs w:val="24"/>
          <w:lang w:val="pt-PT"/>
        </w:rPr>
        <w:t xml:space="preserve">de pessoal </w:t>
      </w:r>
      <w:r w:rsidR="00576AE5" w:rsidRPr="00576AE5">
        <w:rPr>
          <w:rFonts w:ascii="Garamond" w:hAnsi="Garamond" w:cs="Arial"/>
          <w:color w:val="auto"/>
          <w:sz w:val="24"/>
          <w:szCs w:val="24"/>
          <w:lang w:val="pt-PT"/>
        </w:rPr>
        <w:t xml:space="preserve">qualificado </w:t>
      </w:r>
      <w:r w:rsidR="000672E8" w:rsidRPr="00576AE5">
        <w:rPr>
          <w:rFonts w:ascii="Garamond" w:hAnsi="Garamond" w:cs="Arial"/>
          <w:color w:val="auto"/>
          <w:sz w:val="24"/>
          <w:szCs w:val="24"/>
          <w:lang w:val="pt-PT"/>
        </w:rPr>
        <w:t>e</w:t>
      </w:r>
      <w:r w:rsidR="00976E48" w:rsidRPr="00576AE5">
        <w:rPr>
          <w:rFonts w:ascii="Garamond" w:hAnsi="Garamond" w:cs="Arial"/>
          <w:color w:val="auto"/>
          <w:sz w:val="24"/>
          <w:szCs w:val="24"/>
          <w:lang w:val="pt-PT"/>
        </w:rPr>
        <w:t xml:space="preserve"> </w:t>
      </w:r>
      <w:r w:rsidR="004E5BBD" w:rsidRPr="00576AE5">
        <w:rPr>
          <w:rFonts w:ascii="Garamond" w:hAnsi="Garamond" w:cs="Arial"/>
          <w:color w:val="auto"/>
          <w:sz w:val="24"/>
          <w:szCs w:val="24"/>
          <w:lang w:val="pt-PT"/>
        </w:rPr>
        <w:t xml:space="preserve">verificar a </w:t>
      </w:r>
      <w:r w:rsidR="007578C6" w:rsidRPr="00576AE5">
        <w:rPr>
          <w:rFonts w:ascii="Garamond" w:hAnsi="Garamond" w:cs="Arial"/>
          <w:color w:val="auto"/>
          <w:sz w:val="24"/>
          <w:szCs w:val="24"/>
          <w:lang w:val="pt-PT"/>
        </w:rPr>
        <w:t>existência</w:t>
      </w:r>
      <w:r w:rsidR="00976E48" w:rsidRPr="00576AE5">
        <w:rPr>
          <w:rFonts w:ascii="Garamond" w:hAnsi="Garamond" w:cs="Arial"/>
          <w:color w:val="auto"/>
          <w:sz w:val="24"/>
          <w:szCs w:val="24"/>
          <w:lang w:val="pt-PT"/>
        </w:rPr>
        <w:t xml:space="preserve"> de recursos</w:t>
      </w:r>
      <w:r w:rsidRPr="00576AE5">
        <w:rPr>
          <w:rFonts w:ascii="Garamond" w:hAnsi="Garamond" w:cs="Arial"/>
          <w:color w:val="auto"/>
          <w:sz w:val="24"/>
          <w:szCs w:val="24"/>
          <w:lang w:val="pt-PT"/>
        </w:rPr>
        <w:t xml:space="preserve"> adequados</w:t>
      </w:r>
      <w:r w:rsidR="00976E48" w:rsidRPr="00576AE5">
        <w:rPr>
          <w:rFonts w:ascii="Garamond" w:hAnsi="Garamond" w:cs="Arial"/>
          <w:color w:val="auto"/>
          <w:sz w:val="24"/>
          <w:szCs w:val="24"/>
          <w:lang w:val="pt-PT"/>
        </w:rPr>
        <w:t xml:space="preserve">, </w:t>
      </w:r>
      <w:r w:rsidRPr="00576AE5">
        <w:rPr>
          <w:rFonts w:ascii="Garamond" w:hAnsi="Garamond" w:cs="Arial"/>
          <w:color w:val="auto"/>
          <w:sz w:val="24"/>
          <w:szCs w:val="24"/>
          <w:lang w:val="pt-PT"/>
        </w:rPr>
        <w:t>e a sua contratação</w:t>
      </w:r>
      <w:r w:rsidR="00BB35C1" w:rsidRPr="00576AE5">
        <w:rPr>
          <w:rFonts w:ascii="Garamond" w:hAnsi="Garamond" w:cs="Arial"/>
          <w:color w:val="auto"/>
          <w:sz w:val="24"/>
          <w:szCs w:val="24"/>
          <w:lang w:val="pt-PT"/>
        </w:rPr>
        <w:t xml:space="preserve"> </w:t>
      </w:r>
      <w:r w:rsidR="00976E48" w:rsidRPr="00576AE5">
        <w:rPr>
          <w:rFonts w:ascii="Garamond" w:hAnsi="Garamond" w:cs="Arial"/>
          <w:color w:val="auto"/>
          <w:sz w:val="24"/>
          <w:szCs w:val="24"/>
          <w:lang w:val="pt-PT"/>
        </w:rPr>
        <w:t>n</w:t>
      </w:r>
      <w:r w:rsidR="00BB35C1" w:rsidRPr="00576AE5">
        <w:rPr>
          <w:rFonts w:ascii="Garamond" w:hAnsi="Garamond" w:cs="Arial"/>
          <w:color w:val="auto"/>
          <w:sz w:val="24"/>
          <w:szCs w:val="24"/>
          <w:lang w:val="pt-PT"/>
        </w:rPr>
        <w:t xml:space="preserve">as </w:t>
      </w:r>
      <w:r w:rsidR="00DC5DA7" w:rsidRPr="00576AE5">
        <w:rPr>
          <w:rFonts w:ascii="Garamond" w:hAnsi="Garamond" w:cs="Arial"/>
          <w:color w:val="auto"/>
          <w:sz w:val="24"/>
          <w:szCs w:val="24"/>
          <w:lang w:val="pt-PT"/>
        </w:rPr>
        <w:t>Provedorias</w:t>
      </w:r>
      <w:r w:rsidR="00BB35C1" w:rsidRPr="00576AE5">
        <w:rPr>
          <w:rFonts w:ascii="Garamond" w:hAnsi="Garamond" w:cs="Arial"/>
          <w:color w:val="auto"/>
          <w:sz w:val="24"/>
          <w:szCs w:val="24"/>
          <w:lang w:val="pt-PT"/>
        </w:rPr>
        <w:t xml:space="preserve"> </w:t>
      </w:r>
      <w:r w:rsidR="000672E8" w:rsidRPr="00576AE5">
        <w:rPr>
          <w:rFonts w:ascii="Garamond" w:hAnsi="Garamond" w:cs="Arial"/>
          <w:color w:val="auto"/>
          <w:sz w:val="24"/>
          <w:szCs w:val="24"/>
          <w:lang w:val="pt-PT"/>
        </w:rPr>
        <w:t>e</w:t>
      </w:r>
      <w:r w:rsidR="00BB35C1" w:rsidRPr="00576AE5">
        <w:rPr>
          <w:rFonts w:ascii="Garamond" w:hAnsi="Garamond" w:cs="Arial"/>
          <w:color w:val="auto"/>
          <w:sz w:val="24"/>
          <w:szCs w:val="24"/>
          <w:lang w:val="pt-PT"/>
        </w:rPr>
        <w:t xml:space="preserve"> </w:t>
      </w:r>
      <w:r w:rsidR="00976E48" w:rsidRPr="00576AE5">
        <w:rPr>
          <w:rFonts w:ascii="Garamond" w:hAnsi="Garamond" w:cs="Arial"/>
          <w:color w:val="auto"/>
          <w:sz w:val="24"/>
          <w:szCs w:val="24"/>
          <w:lang w:val="pt-PT"/>
        </w:rPr>
        <w:t>noutra</w:t>
      </w:r>
      <w:r w:rsidR="00BB35C1" w:rsidRPr="00576AE5">
        <w:rPr>
          <w:rFonts w:ascii="Garamond" w:hAnsi="Garamond" w:cs="Arial"/>
          <w:color w:val="auto"/>
          <w:sz w:val="24"/>
          <w:szCs w:val="24"/>
          <w:lang w:val="pt-PT"/>
        </w:rPr>
        <w:t>s ent</w:t>
      </w:r>
      <w:r w:rsidR="00976E48" w:rsidRPr="00576AE5">
        <w:rPr>
          <w:rFonts w:ascii="Garamond" w:hAnsi="Garamond" w:cs="Arial"/>
          <w:color w:val="auto"/>
          <w:sz w:val="24"/>
          <w:szCs w:val="24"/>
          <w:lang w:val="pt-PT"/>
        </w:rPr>
        <w:t>idad</w:t>
      </w:r>
      <w:r w:rsidR="00BB35C1" w:rsidRPr="00576AE5">
        <w:rPr>
          <w:rFonts w:ascii="Garamond" w:hAnsi="Garamond" w:cs="Arial"/>
          <w:color w:val="auto"/>
          <w:sz w:val="24"/>
          <w:szCs w:val="24"/>
          <w:lang w:val="pt-PT"/>
        </w:rPr>
        <w:t xml:space="preserve">es </w:t>
      </w:r>
      <w:r w:rsidR="00C86C58" w:rsidRPr="00576AE5">
        <w:rPr>
          <w:rFonts w:ascii="Garamond" w:hAnsi="Garamond" w:cs="Arial"/>
          <w:color w:val="auto"/>
          <w:sz w:val="24"/>
          <w:szCs w:val="24"/>
          <w:lang w:val="pt-PT"/>
        </w:rPr>
        <w:t>estatais</w:t>
      </w:r>
      <w:r w:rsidRPr="00576AE5">
        <w:rPr>
          <w:rFonts w:ascii="Garamond" w:hAnsi="Garamond" w:cs="Arial"/>
          <w:color w:val="auto"/>
          <w:sz w:val="24"/>
          <w:szCs w:val="24"/>
          <w:lang w:val="pt-PT"/>
        </w:rPr>
        <w:t>,</w:t>
      </w:r>
      <w:r w:rsidR="00976E48" w:rsidRPr="00576AE5">
        <w:rPr>
          <w:rFonts w:ascii="Garamond" w:hAnsi="Garamond" w:cs="Arial"/>
          <w:color w:val="auto"/>
          <w:sz w:val="24"/>
          <w:szCs w:val="24"/>
          <w:lang w:val="pt-PT"/>
        </w:rPr>
        <w:t xml:space="preserve"> </w:t>
      </w:r>
      <w:r w:rsidR="004E5BBD" w:rsidRPr="00576AE5">
        <w:rPr>
          <w:rFonts w:ascii="Garamond" w:hAnsi="Garamond" w:cs="Arial"/>
          <w:color w:val="auto"/>
          <w:sz w:val="24"/>
          <w:szCs w:val="24"/>
          <w:lang w:val="pt-PT"/>
        </w:rPr>
        <w:t xml:space="preserve">envolvidas na </w:t>
      </w:r>
      <w:r w:rsidR="001C2738" w:rsidRPr="00576AE5">
        <w:rPr>
          <w:rFonts w:ascii="Garamond" w:hAnsi="Garamond" w:cs="Arial"/>
          <w:color w:val="auto"/>
          <w:sz w:val="24"/>
          <w:szCs w:val="24"/>
          <w:lang w:val="pt-PT"/>
        </w:rPr>
        <w:t>luta</w:t>
      </w:r>
      <w:r w:rsidR="00BB35C1" w:rsidRPr="00576AE5">
        <w:rPr>
          <w:rFonts w:ascii="Garamond" w:hAnsi="Garamond" w:cs="Arial"/>
          <w:color w:val="auto"/>
          <w:sz w:val="24"/>
          <w:szCs w:val="24"/>
          <w:lang w:val="pt-PT"/>
        </w:rPr>
        <w:t xml:space="preserve"> </w:t>
      </w:r>
      <w:r w:rsidR="004E5BBD" w:rsidRPr="00576AE5">
        <w:rPr>
          <w:rFonts w:ascii="Garamond" w:hAnsi="Garamond" w:cs="Arial"/>
          <w:color w:val="auto"/>
          <w:sz w:val="24"/>
          <w:szCs w:val="24"/>
          <w:lang w:val="pt-PT"/>
        </w:rPr>
        <w:t xml:space="preserve">contra </w:t>
      </w:r>
      <w:r w:rsidR="00BB35C1" w:rsidRPr="00576AE5">
        <w:rPr>
          <w:rFonts w:ascii="Garamond" w:hAnsi="Garamond" w:cs="Arial"/>
          <w:color w:val="auto"/>
          <w:sz w:val="24"/>
          <w:szCs w:val="24"/>
          <w:lang w:val="pt-PT"/>
        </w:rPr>
        <w:t xml:space="preserve">a </w:t>
      </w:r>
      <w:r w:rsidR="000350B1" w:rsidRPr="00576AE5">
        <w:rPr>
          <w:rFonts w:ascii="Garamond" w:hAnsi="Garamond" w:cs="Arial"/>
          <w:color w:val="auto"/>
          <w:sz w:val="24"/>
          <w:szCs w:val="24"/>
          <w:lang w:val="pt-PT"/>
        </w:rPr>
        <w:t>violência</w:t>
      </w:r>
      <w:r w:rsidR="00BB35C1" w:rsidRPr="00576AE5">
        <w:rPr>
          <w:rFonts w:ascii="Garamond" w:hAnsi="Garamond" w:cs="Arial"/>
          <w:color w:val="auto"/>
          <w:sz w:val="24"/>
          <w:szCs w:val="24"/>
          <w:lang w:val="pt-PT"/>
        </w:rPr>
        <w:t xml:space="preserve"> </w:t>
      </w:r>
      <w:r w:rsidR="004E5BBD" w:rsidRPr="00576AE5">
        <w:rPr>
          <w:rFonts w:ascii="Garamond" w:hAnsi="Garamond" w:cs="Arial"/>
          <w:color w:val="auto"/>
          <w:sz w:val="24"/>
          <w:szCs w:val="24"/>
          <w:lang w:val="pt-PT"/>
        </w:rPr>
        <w:t xml:space="preserve">a </w:t>
      </w:r>
      <w:r w:rsidR="00054EE0" w:rsidRPr="00576AE5">
        <w:rPr>
          <w:rFonts w:ascii="Garamond" w:hAnsi="Garamond" w:cs="Arial"/>
          <w:color w:val="auto"/>
          <w:sz w:val="24"/>
          <w:szCs w:val="24"/>
          <w:lang w:val="pt-PT"/>
        </w:rPr>
        <w:t>mulheres</w:t>
      </w:r>
      <w:r w:rsidR="00BB35C1" w:rsidRPr="00576AE5">
        <w:rPr>
          <w:rFonts w:ascii="Garamond" w:hAnsi="Garamond" w:cs="Arial"/>
          <w:color w:val="auto"/>
          <w:sz w:val="24"/>
          <w:szCs w:val="24"/>
          <w:lang w:val="pt-PT"/>
        </w:rPr>
        <w:t xml:space="preserve">, </w:t>
      </w:r>
      <w:r w:rsidR="004E5BBD" w:rsidRPr="00576AE5">
        <w:rPr>
          <w:rFonts w:ascii="Garamond" w:hAnsi="Garamond" w:cs="Arial"/>
          <w:color w:val="auto"/>
          <w:sz w:val="24"/>
          <w:szCs w:val="24"/>
          <w:lang w:val="pt-PT"/>
        </w:rPr>
        <w:t xml:space="preserve">de pessoas da sociedade civil com creditação e experiência </w:t>
      </w:r>
      <w:r w:rsidR="00976E48" w:rsidRPr="00576AE5">
        <w:rPr>
          <w:rFonts w:ascii="Garamond" w:hAnsi="Garamond" w:cs="Arial"/>
          <w:color w:val="auto"/>
          <w:sz w:val="24"/>
          <w:szCs w:val="24"/>
          <w:lang w:val="pt-PT"/>
        </w:rPr>
        <w:t>n</w:t>
      </w:r>
      <w:r w:rsidR="00BB35C1" w:rsidRPr="00576AE5">
        <w:rPr>
          <w:rFonts w:ascii="Garamond" w:hAnsi="Garamond" w:cs="Arial"/>
          <w:color w:val="auto"/>
          <w:sz w:val="24"/>
          <w:szCs w:val="24"/>
          <w:lang w:val="pt-PT"/>
        </w:rPr>
        <w:t xml:space="preserve">a </w:t>
      </w:r>
      <w:r w:rsidR="00EF645F" w:rsidRPr="00576AE5">
        <w:rPr>
          <w:rFonts w:ascii="Garamond" w:hAnsi="Garamond" w:cs="Arial"/>
          <w:color w:val="auto"/>
          <w:sz w:val="24"/>
          <w:szCs w:val="24"/>
          <w:lang w:val="pt-PT"/>
        </w:rPr>
        <w:t>matéria</w:t>
      </w:r>
      <w:r w:rsidR="00BB35C1" w:rsidRPr="00576AE5">
        <w:rPr>
          <w:rFonts w:ascii="Garamond" w:hAnsi="Garamond" w:cs="Arial"/>
          <w:color w:val="auto"/>
          <w:sz w:val="24"/>
          <w:szCs w:val="24"/>
          <w:lang w:val="pt-PT"/>
        </w:rPr>
        <w:t>.</w:t>
      </w:r>
    </w:p>
    <w:p w:rsidR="004C140F" w:rsidRPr="002B00E5" w:rsidRDefault="00142B26" w:rsidP="00325EB2">
      <w:pPr>
        <w:pStyle w:val="Predeterminado"/>
        <w:spacing w:before="240" w:line="240" w:lineRule="auto"/>
        <w:jc w:val="both"/>
        <w:rPr>
          <w:rFonts w:ascii="Garamond" w:hAnsi="Garamond" w:cs="Arial"/>
          <w:b/>
          <w:color w:val="548DD4" w:themeColor="text2" w:themeTint="99"/>
          <w:sz w:val="24"/>
          <w:szCs w:val="24"/>
          <w:lang w:val="pt-PT"/>
        </w:rPr>
      </w:pPr>
      <w:r w:rsidRPr="003A1174">
        <w:rPr>
          <w:rFonts w:ascii="Garamond" w:hAnsi="Garamond" w:cs="Arial"/>
          <w:color w:val="auto"/>
          <w:sz w:val="24"/>
          <w:szCs w:val="24"/>
          <w:lang w:val="pt-PT"/>
        </w:rPr>
        <w:br w:type="column"/>
      </w:r>
      <w:bookmarkStart w:id="84" w:name="_Toc414017583"/>
      <w:r w:rsidR="004C140F" w:rsidRPr="002B00E5">
        <w:rPr>
          <w:rFonts w:ascii="Garamond" w:hAnsi="Garamond" w:cs="Arial"/>
          <w:b/>
          <w:color w:val="548DD4" w:themeColor="text2" w:themeTint="99"/>
          <w:sz w:val="24"/>
          <w:szCs w:val="24"/>
          <w:lang w:val="pt-PT"/>
        </w:rPr>
        <w:lastRenderedPageBreak/>
        <w:t>ANEXO I</w:t>
      </w:r>
      <w:bookmarkEnd w:id="84"/>
      <w:r w:rsidR="004C140F" w:rsidRPr="002B00E5">
        <w:rPr>
          <w:rFonts w:ascii="Garamond" w:hAnsi="Garamond" w:cs="Arial"/>
          <w:b/>
          <w:color w:val="548DD4" w:themeColor="text2" w:themeTint="99"/>
          <w:sz w:val="24"/>
          <w:szCs w:val="24"/>
          <w:lang w:val="pt-PT"/>
        </w:rPr>
        <w:t xml:space="preserve">: </w:t>
      </w:r>
    </w:p>
    <w:p w:rsidR="004C140F" w:rsidRPr="002B00E5" w:rsidRDefault="009E3E55" w:rsidP="008719D4">
      <w:pPr>
        <w:pStyle w:val="Ttulo1"/>
        <w:jc w:val="both"/>
        <w:rPr>
          <w:rFonts w:ascii="Garamond" w:hAnsi="Garamond"/>
          <w:color w:val="548DD4" w:themeColor="text2" w:themeTint="99"/>
          <w:szCs w:val="24"/>
          <w:lang w:val="pt-PT"/>
        </w:rPr>
      </w:pPr>
      <w:bookmarkStart w:id="85" w:name="_Toc421529771"/>
      <w:r w:rsidRPr="002B00E5">
        <w:rPr>
          <w:rFonts w:ascii="Garamond" w:hAnsi="Garamond"/>
          <w:color w:val="548DD4" w:themeColor="text2" w:themeTint="99"/>
          <w:szCs w:val="24"/>
          <w:lang w:val="pt-PT"/>
        </w:rPr>
        <w:t>RELATÓRIO</w:t>
      </w:r>
      <w:r w:rsidR="00CD707D" w:rsidRPr="002B00E5">
        <w:rPr>
          <w:rFonts w:ascii="Garamond" w:hAnsi="Garamond"/>
          <w:color w:val="548DD4" w:themeColor="text2" w:themeTint="99"/>
          <w:szCs w:val="24"/>
          <w:lang w:val="pt-PT"/>
        </w:rPr>
        <w:t xml:space="preserve"> D</w:t>
      </w:r>
      <w:r w:rsidR="004C140F" w:rsidRPr="002B00E5">
        <w:rPr>
          <w:rFonts w:ascii="Garamond" w:hAnsi="Garamond"/>
          <w:color w:val="548DD4" w:themeColor="text2" w:themeTint="99"/>
          <w:szCs w:val="24"/>
          <w:lang w:val="pt-PT"/>
        </w:rPr>
        <w:t xml:space="preserve">A </w:t>
      </w:r>
      <w:r w:rsidR="0096583F" w:rsidRPr="002B00E5">
        <w:rPr>
          <w:rFonts w:ascii="Garamond" w:hAnsi="Garamond"/>
          <w:color w:val="548DD4" w:themeColor="text2" w:themeTint="99"/>
          <w:szCs w:val="24"/>
          <w:lang w:val="pt-PT"/>
        </w:rPr>
        <w:t>PROCURADORIA</w:t>
      </w:r>
      <w:r w:rsidR="00CD707D" w:rsidRPr="002B00E5">
        <w:rPr>
          <w:rFonts w:ascii="Garamond" w:hAnsi="Garamond"/>
          <w:color w:val="548DD4" w:themeColor="text2" w:themeTint="99"/>
          <w:szCs w:val="24"/>
          <w:lang w:val="pt-PT"/>
        </w:rPr>
        <w:t xml:space="preserve"> FEDERAL D</w:t>
      </w:r>
      <w:r w:rsidR="004C140F" w:rsidRPr="002B00E5">
        <w:rPr>
          <w:rFonts w:ascii="Garamond" w:hAnsi="Garamond"/>
          <w:color w:val="548DD4" w:themeColor="text2" w:themeTint="99"/>
          <w:szCs w:val="24"/>
          <w:lang w:val="pt-PT"/>
        </w:rPr>
        <w:t xml:space="preserve">OS </w:t>
      </w:r>
      <w:r w:rsidR="00886D6A" w:rsidRPr="002B00E5">
        <w:rPr>
          <w:rFonts w:ascii="Garamond" w:hAnsi="Garamond"/>
          <w:color w:val="548DD4" w:themeColor="text2" w:themeTint="99"/>
          <w:szCs w:val="24"/>
          <w:lang w:val="pt-PT"/>
        </w:rPr>
        <w:t>DIREITO</w:t>
      </w:r>
      <w:r w:rsidR="004C140F" w:rsidRPr="002B00E5">
        <w:rPr>
          <w:rFonts w:ascii="Garamond" w:hAnsi="Garamond"/>
          <w:color w:val="548DD4" w:themeColor="text2" w:themeTint="99"/>
          <w:szCs w:val="24"/>
          <w:lang w:val="pt-PT"/>
        </w:rPr>
        <w:t>S D</w:t>
      </w:r>
      <w:r w:rsidR="00CD707D" w:rsidRPr="002B00E5">
        <w:rPr>
          <w:rFonts w:ascii="Garamond" w:hAnsi="Garamond"/>
          <w:color w:val="548DD4" w:themeColor="text2" w:themeTint="99"/>
          <w:szCs w:val="24"/>
          <w:lang w:val="pt-PT"/>
        </w:rPr>
        <w:t>O CI</w:t>
      </w:r>
      <w:r w:rsidR="004C140F" w:rsidRPr="002B00E5">
        <w:rPr>
          <w:rFonts w:ascii="Garamond" w:hAnsi="Garamond"/>
          <w:color w:val="548DD4" w:themeColor="text2" w:themeTint="99"/>
          <w:szCs w:val="24"/>
          <w:lang w:val="pt-PT"/>
        </w:rPr>
        <w:t>DAD</w:t>
      </w:r>
      <w:r w:rsidR="00CD707D" w:rsidRPr="002B00E5">
        <w:rPr>
          <w:rFonts w:ascii="Garamond" w:hAnsi="Garamond"/>
          <w:color w:val="548DD4" w:themeColor="text2" w:themeTint="99"/>
          <w:szCs w:val="24"/>
          <w:lang w:val="pt-PT"/>
        </w:rPr>
        <w:t xml:space="preserve">ÃO </w:t>
      </w:r>
      <w:r w:rsidR="004C140F" w:rsidRPr="002B00E5">
        <w:rPr>
          <w:rFonts w:ascii="Garamond" w:hAnsi="Garamond"/>
          <w:color w:val="548DD4" w:themeColor="text2" w:themeTint="99"/>
          <w:szCs w:val="24"/>
          <w:lang w:val="pt-PT"/>
        </w:rPr>
        <w:t>D</w:t>
      </w:r>
      <w:r w:rsidR="00CD707D" w:rsidRPr="002B00E5">
        <w:rPr>
          <w:rFonts w:ascii="Garamond" w:hAnsi="Garamond"/>
          <w:color w:val="548DD4" w:themeColor="text2" w:themeTint="99"/>
          <w:szCs w:val="24"/>
          <w:lang w:val="pt-PT"/>
        </w:rPr>
        <w:t xml:space="preserve">O </w:t>
      </w:r>
      <w:r w:rsidR="004C140F" w:rsidRPr="002B00E5">
        <w:rPr>
          <w:rFonts w:ascii="Garamond" w:hAnsi="Garamond"/>
          <w:color w:val="548DD4" w:themeColor="text2" w:themeTint="99"/>
          <w:szCs w:val="24"/>
          <w:lang w:val="pt-PT"/>
        </w:rPr>
        <w:t>BRASIL</w:t>
      </w:r>
      <w:bookmarkEnd w:id="85"/>
    </w:p>
    <w:p w:rsidR="004C140F" w:rsidRPr="003A1174" w:rsidRDefault="004C140F" w:rsidP="008719D4">
      <w:pPr>
        <w:autoSpaceDE w:val="0"/>
        <w:autoSpaceDN w:val="0"/>
        <w:adjustRightInd w:val="0"/>
        <w:spacing w:after="0" w:line="240" w:lineRule="auto"/>
        <w:jc w:val="both"/>
        <w:rPr>
          <w:rFonts w:ascii="Garamond" w:hAnsi="Garamond" w:cs="Arial"/>
          <w:bCs/>
          <w:sz w:val="24"/>
          <w:szCs w:val="24"/>
        </w:rPr>
      </w:pPr>
    </w:p>
    <w:p w:rsidR="004C140F" w:rsidRPr="00C7575A" w:rsidRDefault="00CD707D" w:rsidP="008719D4">
      <w:pPr>
        <w:autoSpaceDE w:val="0"/>
        <w:autoSpaceDN w:val="0"/>
        <w:adjustRightInd w:val="0"/>
        <w:spacing w:after="0" w:line="240" w:lineRule="auto"/>
        <w:jc w:val="both"/>
        <w:rPr>
          <w:rFonts w:ascii="Garamond" w:hAnsi="Garamond" w:cs="Arial"/>
          <w:b/>
          <w:bCs/>
          <w:sz w:val="24"/>
          <w:szCs w:val="24"/>
        </w:rPr>
      </w:pPr>
      <w:r w:rsidRPr="00C7575A">
        <w:rPr>
          <w:rFonts w:ascii="Garamond" w:hAnsi="Garamond" w:cs="Arial"/>
          <w:b/>
          <w:bCs/>
          <w:sz w:val="24"/>
          <w:szCs w:val="24"/>
        </w:rPr>
        <w:t>1.</w:t>
      </w:r>
      <w:r w:rsidR="007D183F" w:rsidRPr="00C7575A">
        <w:rPr>
          <w:rFonts w:ascii="Garamond" w:hAnsi="Garamond" w:cs="Arial"/>
          <w:b/>
          <w:bCs/>
          <w:sz w:val="24"/>
          <w:szCs w:val="24"/>
        </w:rPr>
        <w:t xml:space="preserve"> </w:t>
      </w:r>
      <w:r w:rsidR="004C140F" w:rsidRPr="00C7575A">
        <w:rPr>
          <w:rFonts w:ascii="Garamond" w:hAnsi="Garamond" w:cs="Arial"/>
          <w:b/>
          <w:bCs/>
          <w:sz w:val="24"/>
          <w:szCs w:val="24"/>
        </w:rPr>
        <w:t>H</w:t>
      </w:r>
      <w:r w:rsidRPr="00C7575A">
        <w:rPr>
          <w:rFonts w:ascii="Garamond" w:hAnsi="Garamond" w:cs="Arial"/>
          <w:b/>
          <w:bCs/>
          <w:sz w:val="24"/>
          <w:szCs w:val="24"/>
        </w:rPr>
        <w:t>ouve alguma</w:t>
      </w:r>
      <w:r w:rsidR="004C140F" w:rsidRPr="00C7575A">
        <w:rPr>
          <w:rFonts w:ascii="Garamond" w:hAnsi="Garamond" w:cs="Arial"/>
          <w:b/>
          <w:bCs/>
          <w:sz w:val="24"/>
          <w:szCs w:val="24"/>
        </w:rPr>
        <w:t xml:space="preserve"> norma legal (</w:t>
      </w:r>
      <w:r w:rsidR="00D37CF3" w:rsidRPr="00C7575A">
        <w:rPr>
          <w:rFonts w:ascii="Garamond" w:hAnsi="Garamond" w:cs="Arial"/>
          <w:b/>
          <w:bCs/>
          <w:sz w:val="24"/>
          <w:szCs w:val="24"/>
        </w:rPr>
        <w:t>processual</w:t>
      </w:r>
      <w:r w:rsidR="004C140F" w:rsidRPr="00C7575A">
        <w:rPr>
          <w:rFonts w:ascii="Garamond" w:hAnsi="Garamond" w:cs="Arial"/>
          <w:b/>
          <w:bCs/>
          <w:sz w:val="24"/>
          <w:szCs w:val="24"/>
        </w:rPr>
        <w:t xml:space="preserve"> o</w:t>
      </w:r>
      <w:r w:rsidRPr="00C7575A">
        <w:rPr>
          <w:rFonts w:ascii="Garamond" w:hAnsi="Garamond" w:cs="Arial"/>
          <w:b/>
          <w:bCs/>
          <w:sz w:val="24"/>
          <w:szCs w:val="24"/>
        </w:rPr>
        <w:t>u de fu</w:t>
      </w:r>
      <w:r w:rsidR="004C140F" w:rsidRPr="00C7575A">
        <w:rPr>
          <w:rFonts w:ascii="Garamond" w:hAnsi="Garamond" w:cs="Arial"/>
          <w:b/>
          <w:bCs/>
          <w:sz w:val="24"/>
          <w:szCs w:val="24"/>
        </w:rPr>
        <w:t xml:space="preserve">ndo) que </w:t>
      </w:r>
      <w:r w:rsidRPr="00C7575A">
        <w:rPr>
          <w:rFonts w:ascii="Garamond" w:hAnsi="Garamond" w:cs="Arial"/>
          <w:b/>
          <w:bCs/>
          <w:sz w:val="24"/>
          <w:szCs w:val="24"/>
        </w:rPr>
        <w:t xml:space="preserve">tenha </w:t>
      </w:r>
      <w:r w:rsidR="004C140F" w:rsidRPr="00C7575A">
        <w:rPr>
          <w:rFonts w:ascii="Garamond" w:hAnsi="Garamond" w:cs="Arial"/>
          <w:b/>
          <w:bCs/>
          <w:sz w:val="24"/>
          <w:szCs w:val="24"/>
        </w:rPr>
        <w:t xml:space="preserve">sido </w:t>
      </w:r>
      <w:r w:rsidRPr="00C7575A">
        <w:rPr>
          <w:rFonts w:ascii="Garamond" w:hAnsi="Garamond" w:cs="Arial"/>
          <w:b/>
          <w:bCs/>
          <w:sz w:val="24"/>
          <w:szCs w:val="24"/>
        </w:rPr>
        <w:t>aprovad</w:t>
      </w:r>
      <w:r w:rsidR="004C140F" w:rsidRPr="00C7575A">
        <w:rPr>
          <w:rFonts w:ascii="Garamond" w:hAnsi="Garamond" w:cs="Arial"/>
          <w:b/>
          <w:bCs/>
          <w:sz w:val="24"/>
          <w:szCs w:val="24"/>
        </w:rPr>
        <w:t>a, modificada o</w:t>
      </w:r>
      <w:r w:rsidRPr="00C7575A">
        <w:rPr>
          <w:rFonts w:ascii="Garamond" w:hAnsi="Garamond" w:cs="Arial"/>
          <w:b/>
          <w:bCs/>
          <w:sz w:val="24"/>
          <w:szCs w:val="24"/>
        </w:rPr>
        <w:t>u</w:t>
      </w:r>
      <w:r w:rsidR="004C140F" w:rsidRPr="00C7575A">
        <w:rPr>
          <w:rFonts w:ascii="Garamond" w:hAnsi="Garamond" w:cs="Arial"/>
          <w:b/>
          <w:bCs/>
          <w:sz w:val="24"/>
          <w:szCs w:val="24"/>
        </w:rPr>
        <w:t xml:space="preserve"> que </w:t>
      </w:r>
      <w:r w:rsidRPr="00C7575A">
        <w:rPr>
          <w:rFonts w:ascii="Garamond" w:hAnsi="Garamond" w:cs="Arial"/>
          <w:b/>
          <w:bCs/>
          <w:sz w:val="24"/>
          <w:szCs w:val="24"/>
        </w:rPr>
        <w:t xml:space="preserve">tenha </w:t>
      </w:r>
      <w:r w:rsidR="004C140F" w:rsidRPr="00C7575A">
        <w:rPr>
          <w:rFonts w:ascii="Garamond" w:hAnsi="Garamond" w:cs="Arial"/>
          <w:b/>
          <w:bCs/>
          <w:sz w:val="24"/>
          <w:szCs w:val="24"/>
        </w:rPr>
        <w:t>entrado e</w:t>
      </w:r>
      <w:r w:rsidRPr="00C7575A">
        <w:rPr>
          <w:rFonts w:ascii="Garamond" w:hAnsi="Garamond" w:cs="Arial"/>
          <w:b/>
          <w:bCs/>
          <w:sz w:val="24"/>
          <w:szCs w:val="24"/>
        </w:rPr>
        <w:t>m vig</w:t>
      </w:r>
      <w:r w:rsidR="00976E48" w:rsidRPr="00C7575A">
        <w:rPr>
          <w:rFonts w:ascii="Garamond" w:hAnsi="Garamond" w:cs="Arial"/>
          <w:b/>
          <w:bCs/>
          <w:sz w:val="24"/>
          <w:szCs w:val="24"/>
        </w:rPr>
        <w:t xml:space="preserve">or </w:t>
      </w:r>
      <w:r w:rsidRPr="00C7575A">
        <w:rPr>
          <w:rFonts w:ascii="Garamond" w:hAnsi="Garamond" w:cs="Arial"/>
          <w:b/>
          <w:bCs/>
          <w:sz w:val="24"/>
          <w:szCs w:val="24"/>
        </w:rPr>
        <w:t>em</w:t>
      </w:r>
      <w:r w:rsidR="004C140F" w:rsidRPr="00C7575A">
        <w:rPr>
          <w:rFonts w:ascii="Garamond" w:hAnsi="Garamond" w:cs="Arial"/>
          <w:b/>
          <w:bCs/>
          <w:sz w:val="24"/>
          <w:szCs w:val="24"/>
        </w:rPr>
        <w:t xml:space="preserve"> </w:t>
      </w:r>
      <w:r w:rsidR="00EF645F" w:rsidRPr="00C7575A">
        <w:rPr>
          <w:rFonts w:ascii="Garamond" w:hAnsi="Garamond" w:cs="Arial"/>
          <w:b/>
          <w:bCs/>
          <w:sz w:val="24"/>
          <w:szCs w:val="24"/>
        </w:rPr>
        <w:t>matéria</w:t>
      </w:r>
      <w:r w:rsidR="004C140F" w:rsidRPr="00C7575A">
        <w:rPr>
          <w:rFonts w:ascii="Garamond" w:hAnsi="Garamond" w:cs="Arial"/>
          <w:b/>
          <w:bCs/>
          <w:sz w:val="24"/>
          <w:szCs w:val="24"/>
        </w:rPr>
        <w:t xml:space="preserve"> de </w:t>
      </w:r>
      <w:r w:rsidR="000350B1" w:rsidRPr="00C7575A">
        <w:rPr>
          <w:rFonts w:ascii="Garamond" w:hAnsi="Garamond" w:cs="Arial"/>
          <w:b/>
          <w:bCs/>
          <w:sz w:val="24"/>
          <w:szCs w:val="24"/>
        </w:rPr>
        <w:t>violência</w:t>
      </w:r>
      <w:r w:rsidRPr="00C7575A">
        <w:rPr>
          <w:rFonts w:ascii="Garamond" w:hAnsi="Garamond" w:cs="Arial"/>
          <w:b/>
          <w:bCs/>
          <w:sz w:val="24"/>
          <w:szCs w:val="24"/>
        </w:rPr>
        <w:t xml:space="preserve"> contra </w:t>
      </w:r>
      <w:r w:rsidR="004C140F" w:rsidRPr="00C7575A">
        <w:rPr>
          <w:rFonts w:ascii="Garamond" w:hAnsi="Garamond" w:cs="Arial"/>
          <w:b/>
          <w:bCs/>
          <w:sz w:val="24"/>
          <w:szCs w:val="24"/>
        </w:rPr>
        <w:t xml:space="preserve">a </w:t>
      </w:r>
      <w:r w:rsidR="00AF192F" w:rsidRPr="00C7575A">
        <w:rPr>
          <w:rFonts w:ascii="Garamond" w:hAnsi="Garamond" w:cs="Arial"/>
          <w:b/>
          <w:bCs/>
          <w:sz w:val="24"/>
          <w:szCs w:val="24"/>
        </w:rPr>
        <w:t>mulher</w:t>
      </w:r>
      <w:r w:rsidRPr="00C7575A">
        <w:rPr>
          <w:rFonts w:ascii="Garamond" w:hAnsi="Garamond" w:cs="Arial"/>
          <w:b/>
          <w:bCs/>
          <w:sz w:val="24"/>
          <w:szCs w:val="24"/>
        </w:rPr>
        <w:t xml:space="preserve"> e</w:t>
      </w:r>
      <w:r w:rsidR="004C140F" w:rsidRPr="00C7575A">
        <w:rPr>
          <w:rFonts w:ascii="Garamond" w:hAnsi="Garamond" w:cs="Arial"/>
          <w:b/>
          <w:bCs/>
          <w:sz w:val="24"/>
          <w:szCs w:val="24"/>
        </w:rPr>
        <w:t xml:space="preserve"> </w:t>
      </w:r>
      <w:r w:rsidR="00886D6A" w:rsidRPr="00C7575A">
        <w:rPr>
          <w:rFonts w:ascii="Garamond" w:hAnsi="Garamond" w:cs="Arial"/>
          <w:b/>
          <w:bCs/>
          <w:sz w:val="24"/>
          <w:szCs w:val="24"/>
        </w:rPr>
        <w:t>acesso</w:t>
      </w:r>
      <w:r w:rsidR="004C140F" w:rsidRPr="00C7575A">
        <w:rPr>
          <w:rFonts w:ascii="Garamond" w:hAnsi="Garamond" w:cs="Arial"/>
          <w:b/>
          <w:bCs/>
          <w:sz w:val="24"/>
          <w:szCs w:val="24"/>
        </w:rPr>
        <w:t xml:space="preserve"> </w:t>
      </w:r>
      <w:r w:rsidRPr="00C7575A">
        <w:rPr>
          <w:rFonts w:ascii="Garamond" w:hAnsi="Garamond" w:cs="Arial"/>
          <w:b/>
          <w:bCs/>
          <w:sz w:val="24"/>
          <w:szCs w:val="24"/>
        </w:rPr>
        <w:t xml:space="preserve">à </w:t>
      </w:r>
      <w:r w:rsidR="00FC1F7F" w:rsidRPr="00C7575A">
        <w:rPr>
          <w:rFonts w:ascii="Garamond" w:hAnsi="Garamond" w:cs="Arial"/>
          <w:b/>
          <w:bCs/>
          <w:sz w:val="24"/>
          <w:szCs w:val="24"/>
        </w:rPr>
        <w:t>justiça</w:t>
      </w:r>
      <w:r w:rsidR="004C140F" w:rsidRPr="00C7575A">
        <w:rPr>
          <w:rFonts w:ascii="Garamond" w:hAnsi="Garamond" w:cs="Arial"/>
          <w:b/>
          <w:bCs/>
          <w:sz w:val="24"/>
          <w:szCs w:val="24"/>
        </w:rPr>
        <w:t xml:space="preserve">? (tratados, </w:t>
      </w:r>
      <w:r w:rsidR="00D15AFF" w:rsidRPr="00C7575A">
        <w:rPr>
          <w:rFonts w:ascii="Garamond" w:hAnsi="Garamond" w:cs="Arial"/>
          <w:b/>
          <w:bCs/>
          <w:sz w:val="24"/>
          <w:szCs w:val="24"/>
        </w:rPr>
        <w:t>lei</w:t>
      </w:r>
      <w:r w:rsidR="004C140F" w:rsidRPr="00C7575A">
        <w:rPr>
          <w:rFonts w:ascii="Garamond" w:hAnsi="Garamond" w:cs="Arial"/>
          <w:b/>
          <w:bCs/>
          <w:sz w:val="24"/>
          <w:szCs w:val="24"/>
        </w:rPr>
        <w:t xml:space="preserve">s, </w:t>
      </w:r>
      <w:r w:rsidRPr="00C7575A">
        <w:rPr>
          <w:rFonts w:ascii="Garamond" w:hAnsi="Garamond" w:cs="Arial"/>
          <w:b/>
          <w:bCs/>
          <w:sz w:val="24"/>
          <w:szCs w:val="24"/>
        </w:rPr>
        <w:t>plano</w:t>
      </w:r>
      <w:r w:rsidR="004C140F" w:rsidRPr="00C7575A">
        <w:rPr>
          <w:rFonts w:ascii="Garamond" w:hAnsi="Garamond" w:cs="Arial"/>
          <w:b/>
          <w:bCs/>
          <w:sz w:val="24"/>
          <w:szCs w:val="24"/>
        </w:rPr>
        <w:t xml:space="preserve">s, </w:t>
      </w:r>
      <w:r w:rsidRPr="00C7575A">
        <w:rPr>
          <w:rFonts w:ascii="Garamond" w:hAnsi="Garamond" w:cs="Arial"/>
          <w:b/>
          <w:bCs/>
          <w:sz w:val="24"/>
          <w:szCs w:val="24"/>
        </w:rPr>
        <w:t>regulamento</w:t>
      </w:r>
      <w:r w:rsidR="004C140F" w:rsidRPr="00C7575A">
        <w:rPr>
          <w:rFonts w:ascii="Garamond" w:hAnsi="Garamond" w:cs="Arial"/>
          <w:b/>
          <w:bCs/>
          <w:sz w:val="24"/>
          <w:szCs w:val="24"/>
        </w:rPr>
        <w:t xml:space="preserve">s, </w:t>
      </w:r>
      <w:r w:rsidR="00D37CF3" w:rsidRPr="00C7575A">
        <w:rPr>
          <w:rFonts w:ascii="Garamond" w:hAnsi="Garamond" w:cs="Arial"/>
          <w:b/>
          <w:bCs/>
          <w:sz w:val="24"/>
          <w:szCs w:val="24"/>
        </w:rPr>
        <w:t>etc.</w:t>
      </w:r>
      <w:r w:rsidR="004C140F" w:rsidRPr="00C7575A">
        <w:rPr>
          <w:rFonts w:ascii="Garamond" w:hAnsi="Garamond" w:cs="Arial"/>
          <w:b/>
          <w:bCs/>
          <w:sz w:val="24"/>
          <w:szCs w:val="24"/>
        </w:rPr>
        <w:t>)</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Foi aprovada uma Emenda à Constituição (EC n</w:t>
      </w:r>
      <w:r w:rsidR="004E5BBD">
        <w:rPr>
          <w:rFonts w:ascii="Garamond" w:hAnsi="Garamond" w:cs="Arial"/>
          <w:sz w:val="24"/>
          <w:szCs w:val="24"/>
          <w:lang w:val="pt-BR"/>
        </w:rPr>
        <w:t>.</w:t>
      </w:r>
      <w:r w:rsidRPr="003A1174">
        <w:rPr>
          <w:rFonts w:ascii="Garamond" w:hAnsi="Garamond" w:cs="Arial"/>
          <w:sz w:val="24"/>
          <w:szCs w:val="24"/>
          <w:lang w:val="pt-BR"/>
        </w:rPr>
        <w:t>º 80/2014)</w:t>
      </w:r>
      <w:r w:rsidR="00187AE8">
        <w:rPr>
          <w:rFonts w:ascii="Garamond" w:hAnsi="Garamond" w:cs="Arial"/>
          <w:sz w:val="24"/>
          <w:szCs w:val="24"/>
          <w:lang w:val="pt-BR"/>
        </w:rPr>
        <w:t xml:space="preserve"> (11),</w:t>
      </w:r>
      <w:r w:rsidRPr="00C7575A">
        <w:rPr>
          <w:rFonts w:ascii="Garamond" w:hAnsi="Garamond" w:cs="Arial"/>
          <w:sz w:val="24"/>
          <w:szCs w:val="24"/>
          <w:lang w:val="pt-BR"/>
        </w:rPr>
        <w:t xml:space="preserve"> que amplia </w:t>
      </w:r>
      <w:r w:rsidR="004E5BBD" w:rsidRPr="00C7575A">
        <w:rPr>
          <w:rFonts w:ascii="Garamond" w:hAnsi="Garamond" w:cs="Arial"/>
          <w:sz w:val="24"/>
          <w:szCs w:val="24"/>
          <w:lang w:val="pt-BR"/>
        </w:rPr>
        <w:t xml:space="preserve">o número </w:t>
      </w:r>
      <w:r w:rsidRPr="00C7575A">
        <w:rPr>
          <w:rFonts w:ascii="Garamond" w:hAnsi="Garamond" w:cs="Arial"/>
          <w:sz w:val="24"/>
          <w:szCs w:val="24"/>
          <w:lang w:val="pt-BR"/>
        </w:rPr>
        <w:t xml:space="preserve">de </w:t>
      </w:r>
      <w:r w:rsidR="00DC5DA7" w:rsidRPr="00C7575A">
        <w:rPr>
          <w:rFonts w:ascii="Garamond" w:hAnsi="Garamond" w:cs="Arial"/>
          <w:sz w:val="24"/>
          <w:szCs w:val="24"/>
          <w:lang w:val="pt-BR"/>
        </w:rPr>
        <w:t>Provedorias</w:t>
      </w:r>
      <w:r w:rsidRPr="00C7575A">
        <w:rPr>
          <w:rFonts w:ascii="Garamond" w:hAnsi="Garamond" w:cs="Arial"/>
          <w:sz w:val="24"/>
          <w:szCs w:val="24"/>
          <w:lang w:val="pt-BR"/>
        </w:rPr>
        <w:t xml:space="preserve"> Públicas</w:t>
      </w:r>
      <w:r w:rsidR="004E5BBD" w:rsidRPr="00C7575A">
        <w:rPr>
          <w:rFonts w:ascii="Garamond" w:hAnsi="Garamond" w:cs="Arial"/>
          <w:sz w:val="24"/>
          <w:szCs w:val="24"/>
          <w:lang w:val="pt-BR"/>
        </w:rPr>
        <w:t>,</w:t>
      </w:r>
      <w:r w:rsidRPr="00C7575A">
        <w:rPr>
          <w:rFonts w:ascii="Garamond" w:hAnsi="Garamond" w:cs="Arial"/>
          <w:sz w:val="24"/>
          <w:szCs w:val="24"/>
          <w:lang w:val="pt-BR"/>
        </w:rPr>
        <w:t xml:space="preserve"> em todas as unidades da federação, </w:t>
      </w:r>
      <w:r w:rsidR="00976E48" w:rsidRPr="00C7575A">
        <w:rPr>
          <w:rFonts w:ascii="Garamond" w:hAnsi="Garamond" w:cs="Arial"/>
          <w:sz w:val="24"/>
          <w:szCs w:val="24"/>
          <w:lang w:val="pt-BR"/>
        </w:rPr>
        <w:t xml:space="preserve">num </w:t>
      </w:r>
      <w:r w:rsidRPr="00C7575A">
        <w:rPr>
          <w:rFonts w:ascii="Garamond" w:hAnsi="Garamond" w:cs="Arial"/>
          <w:sz w:val="24"/>
          <w:szCs w:val="24"/>
          <w:lang w:val="pt-BR"/>
        </w:rPr>
        <w:t>prazo de</w:t>
      </w:r>
      <w:r w:rsidR="00CD707D" w:rsidRPr="00C7575A">
        <w:rPr>
          <w:rFonts w:ascii="Garamond" w:hAnsi="Garamond" w:cs="Arial"/>
          <w:sz w:val="24"/>
          <w:szCs w:val="24"/>
          <w:lang w:val="pt-BR"/>
        </w:rPr>
        <w:t xml:space="preserve"> </w:t>
      </w:r>
      <w:r w:rsidR="00C57D23" w:rsidRPr="00C7575A">
        <w:rPr>
          <w:rFonts w:ascii="Garamond" w:hAnsi="Garamond" w:cs="Arial"/>
          <w:sz w:val="24"/>
          <w:szCs w:val="24"/>
          <w:lang w:val="pt-BR"/>
        </w:rPr>
        <w:t xml:space="preserve">8 </w:t>
      </w:r>
      <w:r w:rsidRPr="00C7575A">
        <w:rPr>
          <w:rFonts w:ascii="Garamond" w:hAnsi="Garamond" w:cs="Arial"/>
          <w:sz w:val="24"/>
          <w:szCs w:val="24"/>
          <w:lang w:val="pt-BR"/>
        </w:rPr>
        <w:t>anos. Embora não se trate de uma norma direcionada</w:t>
      </w:r>
      <w:r w:rsidR="004E5BBD" w:rsidRPr="00C7575A">
        <w:rPr>
          <w:rFonts w:ascii="Garamond" w:hAnsi="Garamond" w:cs="Arial"/>
          <w:sz w:val="24"/>
          <w:szCs w:val="24"/>
          <w:lang w:val="pt-BR"/>
        </w:rPr>
        <w:t>,</w:t>
      </w:r>
      <w:r w:rsidRPr="00C7575A">
        <w:rPr>
          <w:rFonts w:ascii="Garamond" w:hAnsi="Garamond" w:cs="Arial"/>
          <w:sz w:val="24"/>
          <w:szCs w:val="24"/>
          <w:lang w:val="pt-BR"/>
        </w:rPr>
        <w:t xml:space="preserve"> estritamente às mulheres, torna </w:t>
      </w:r>
      <w:r w:rsidR="004E5BBD" w:rsidRPr="00C7575A">
        <w:rPr>
          <w:rFonts w:ascii="Garamond" w:hAnsi="Garamond" w:cs="Arial"/>
          <w:sz w:val="24"/>
          <w:szCs w:val="24"/>
          <w:lang w:val="pt-BR"/>
        </w:rPr>
        <w:t xml:space="preserve">mais fácil o seu </w:t>
      </w:r>
      <w:r w:rsidRPr="00C7575A">
        <w:rPr>
          <w:rFonts w:ascii="Garamond" w:hAnsi="Garamond" w:cs="Arial"/>
          <w:sz w:val="24"/>
          <w:szCs w:val="24"/>
          <w:lang w:val="pt-BR"/>
        </w:rPr>
        <w:t>acesso à justiça. Dada a relevância da temática, estão em tramitação, no Congresso Nacional, as seguintes propostas: PLS 262/2013 – objetiv</w:t>
      </w:r>
      <w:r w:rsidR="00C57D23" w:rsidRPr="00C7575A">
        <w:rPr>
          <w:rFonts w:ascii="Garamond" w:hAnsi="Garamond" w:cs="Arial"/>
          <w:sz w:val="24"/>
          <w:szCs w:val="24"/>
          <w:lang w:val="pt-BR"/>
        </w:rPr>
        <w:t>o</w:t>
      </w:r>
      <w:r w:rsidR="004E5BBD" w:rsidRPr="00C7575A">
        <w:rPr>
          <w:rFonts w:ascii="Garamond" w:hAnsi="Garamond" w:cs="Arial"/>
          <w:sz w:val="24"/>
          <w:szCs w:val="24"/>
          <w:lang w:val="pt-BR"/>
        </w:rPr>
        <w:t>:</w:t>
      </w:r>
      <w:r w:rsidRPr="00C7575A">
        <w:rPr>
          <w:rFonts w:ascii="Garamond" w:hAnsi="Garamond" w:cs="Arial"/>
          <w:sz w:val="24"/>
          <w:szCs w:val="24"/>
          <w:lang w:val="pt-BR"/>
        </w:rPr>
        <w:t xml:space="preserve"> tipificar o </w:t>
      </w:r>
      <w:r w:rsidR="002B1E45" w:rsidRPr="00C7575A">
        <w:rPr>
          <w:rFonts w:ascii="Garamond" w:hAnsi="Garamond" w:cs="Arial"/>
          <w:sz w:val="24"/>
          <w:szCs w:val="24"/>
          <w:lang w:val="pt-BR"/>
        </w:rPr>
        <w:t>femicídio</w:t>
      </w:r>
      <w:r w:rsidR="00C57D23" w:rsidRPr="00C7575A">
        <w:rPr>
          <w:rFonts w:ascii="Garamond" w:hAnsi="Garamond" w:cs="Arial"/>
          <w:sz w:val="24"/>
          <w:szCs w:val="24"/>
          <w:lang w:val="pt-BR"/>
        </w:rPr>
        <w:t>.</w:t>
      </w:r>
      <w:r w:rsidR="00187AE8">
        <w:rPr>
          <w:rFonts w:ascii="Garamond" w:hAnsi="Garamond" w:cs="Arial"/>
          <w:sz w:val="24"/>
          <w:szCs w:val="24"/>
          <w:lang w:val="pt-BR"/>
        </w:rPr>
        <w:t>(</w:t>
      </w:r>
      <w:r w:rsidRPr="00C7575A">
        <w:rPr>
          <w:rFonts w:ascii="Garamond" w:hAnsi="Garamond" w:cs="Arial"/>
          <w:sz w:val="20"/>
          <w:szCs w:val="20"/>
          <w:lang w:val="pt-BR"/>
        </w:rPr>
        <w:t>12</w:t>
      </w:r>
      <w:r w:rsidR="00187AE8">
        <w:rPr>
          <w:rFonts w:ascii="Garamond" w:hAnsi="Garamond" w:cs="Arial"/>
          <w:sz w:val="20"/>
          <w:szCs w:val="20"/>
          <w:lang w:val="pt-BR"/>
        </w:rPr>
        <w:t>)</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187AE8"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11</w:t>
      </w:r>
      <w:r>
        <w:rPr>
          <w:rFonts w:ascii="Garamond" w:hAnsi="Garamond" w:cs="Arial"/>
          <w:sz w:val="20"/>
          <w:szCs w:val="20"/>
          <w:lang w:val="pt-BR"/>
        </w:rPr>
        <w:t>)</w:t>
      </w:r>
      <w:r w:rsidR="004C140F" w:rsidRPr="00C7575A">
        <w:rPr>
          <w:rFonts w:ascii="Garamond" w:hAnsi="Garamond" w:cs="Arial"/>
          <w:sz w:val="20"/>
          <w:szCs w:val="20"/>
          <w:lang w:val="pt-BR"/>
        </w:rPr>
        <w:t xml:space="preserve"> http://www.planalto.gov.br/ccivil_03/constituicao/Emendas/Emc/emc80.htm</w:t>
      </w:r>
    </w:p>
    <w:p w:rsidR="004C140F" w:rsidRPr="00C7575A" w:rsidRDefault="00187AE8"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12</w:t>
      </w:r>
      <w:r>
        <w:rPr>
          <w:rFonts w:ascii="Garamond" w:hAnsi="Garamond" w:cs="Arial"/>
          <w:sz w:val="20"/>
          <w:szCs w:val="20"/>
          <w:lang w:val="pt-BR"/>
        </w:rPr>
        <w:t>)</w:t>
      </w:r>
      <w:r w:rsidR="004C140F" w:rsidRPr="00C7575A">
        <w:rPr>
          <w:rFonts w:ascii="Garamond" w:hAnsi="Garamond" w:cs="Arial"/>
          <w:sz w:val="20"/>
          <w:szCs w:val="20"/>
          <w:lang w:val="pt-BR"/>
        </w:rPr>
        <w:t xml:space="preserve"> http://www.senado.gov.br/atividade/</w:t>
      </w:r>
      <w:r w:rsidR="00EF645F" w:rsidRPr="00C7575A">
        <w:rPr>
          <w:rFonts w:ascii="Garamond" w:hAnsi="Garamond" w:cs="Arial"/>
          <w:sz w:val="20"/>
          <w:szCs w:val="20"/>
          <w:lang w:val="pt-BR"/>
        </w:rPr>
        <w:t>matéria</w:t>
      </w:r>
      <w:r w:rsidR="004C140F" w:rsidRPr="00C7575A">
        <w:rPr>
          <w:rFonts w:ascii="Garamond" w:hAnsi="Garamond" w:cs="Arial"/>
          <w:sz w:val="20"/>
          <w:szCs w:val="20"/>
          <w:lang w:val="pt-BR"/>
        </w:rPr>
        <w:t>/detalhes.asp?p_cod_mate=113728</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PL 6013/13 </w:t>
      </w:r>
      <w:r w:rsidR="007A3F9D" w:rsidRPr="00C7575A">
        <w:rPr>
          <w:rFonts w:ascii="Garamond" w:hAnsi="Garamond" w:cs="Arial"/>
          <w:sz w:val="24"/>
          <w:szCs w:val="24"/>
          <w:lang w:val="pt-BR"/>
        </w:rPr>
        <w:t>-</w:t>
      </w:r>
      <w:r w:rsidRPr="00C7575A">
        <w:rPr>
          <w:rFonts w:ascii="Garamond" w:hAnsi="Garamond" w:cs="Arial"/>
          <w:sz w:val="24"/>
          <w:szCs w:val="24"/>
          <w:lang w:val="pt-BR"/>
        </w:rPr>
        <w:t xml:space="preserve"> estabelece que a prestação do serviço de atendimento </w:t>
      </w:r>
      <w:r w:rsidR="002B1E45" w:rsidRPr="00C7575A">
        <w:rPr>
          <w:rFonts w:ascii="Garamond" w:hAnsi="Garamond" w:cs="Arial"/>
          <w:sz w:val="24"/>
          <w:szCs w:val="24"/>
          <w:lang w:val="pt-BR"/>
        </w:rPr>
        <w:t>telefónico</w:t>
      </w:r>
      <w:r w:rsidRPr="00C7575A">
        <w:rPr>
          <w:rFonts w:ascii="Garamond" w:hAnsi="Garamond" w:cs="Arial"/>
          <w:sz w:val="24"/>
          <w:szCs w:val="24"/>
          <w:lang w:val="pt-BR"/>
        </w:rPr>
        <w:t xml:space="preserve"> da Central de denúncias de violência contra as mulheres (</w:t>
      </w:r>
      <w:r w:rsidR="002B1E45" w:rsidRPr="00C7575A">
        <w:rPr>
          <w:rFonts w:ascii="Garamond" w:hAnsi="Garamond" w:cs="Arial"/>
          <w:sz w:val="24"/>
          <w:szCs w:val="24"/>
          <w:lang w:val="pt-BR"/>
        </w:rPr>
        <w:t xml:space="preserve">Marque </w:t>
      </w:r>
      <w:r w:rsidRPr="00C7575A">
        <w:rPr>
          <w:rFonts w:ascii="Garamond" w:hAnsi="Garamond" w:cs="Arial"/>
          <w:sz w:val="24"/>
          <w:szCs w:val="24"/>
          <w:lang w:val="pt-BR"/>
        </w:rPr>
        <w:t>180) deve ser executad</w:t>
      </w:r>
      <w:r w:rsidR="002B1E45" w:rsidRPr="00C7575A">
        <w:rPr>
          <w:rFonts w:ascii="Garamond" w:hAnsi="Garamond" w:cs="Arial"/>
          <w:sz w:val="24"/>
          <w:szCs w:val="24"/>
          <w:lang w:val="pt-BR"/>
        </w:rPr>
        <w:t>a</w:t>
      </w:r>
      <w:r w:rsidRPr="00C7575A">
        <w:rPr>
          <w:rFonts w:ascii="Garamond" w:hAnsi="Garamond" w:cs="Arial"/>
          <w:sz w:val="24"/>
          <w:szCs w:val="24"/>
          <w:lang w:val="pt-BR"/>
        </w:rPr>
        <w:t xml:space="preserve"> pela Secretaria de Política para as Mulheres da Presidência da República SPM/PR (PL 6013/13)</w:t>
      </w:r>
      <w:r w:rsidR="007A3F9D" w:rsidRPr="00C7575A">
        <w:rPr>
          <w:rFonts w:ascii="Garamond" w:hAnsi="Garamond" w:cs="Arial"/>
          <w:sz w:val="24"/>
          <w:szCs w:val="24"/>
          <w:lang w:val="pt-BR"/>
        </w:rPr>
        <w:t>.</w:t>
      </w:r>
      <w:r w:rsidR="006D4F4D">
        <w:rPr>
          <w:rFonts w:ascii="Garamond" w:hAnsi="Garamond" w:cs="Arial"/>
          <w:sz w:val="24"/>
          <w:szCs w:val="24"/>
          <w:lang w:val="pt-BR"/>
        </w:rPr>
        <w:t>(</w:t>
      </w:r>
      <w:r w:rsidRPr="006D4F4D">
        <w:rPr>
          <w:rFonts w:ascii="Garamond" w:hAnsi="Garamond" w:cs="Arial"/>
          <w:sz w:val="20"/>
          <w:szCs w:val="20"/>
          <w:lang w:val="pt-BR"/>
        </w:rPr>
        <w:t>13</w:t>
      </w:r>
      <w:r w:rsidR="006D4F4D" w:rsidRPr="006D4F4D">
        <w:rPr>
          <w:rFonts w:ascii="Garamond" w:hAnsi="Garamond" w:cs="Arial"/>
          <w:sz w:val="20"/>
          <w:szCs w:val="20"/>
          <w:lang w:val="pt-BR"/>
        </w:rPr>
        <w:t>)</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A re</w:t>
      </w:r>
      <w:r w:rsidR="002B1E45" w:rsidRPr="00C7575A">
        <w:rPr>
          <w:rFonts w:ascii="Garamond" w:hAnsi="Garamond" w:cs="Arial"/>
          <w:sz w:val="24"/>
          <w:szCs w:val="24"/>
          <w:lang w:val="pt-BR"/>
        </w:rPr>
        <w:t>levância da informação, publicit</w:t>
      </w:r>
      <w:r w:rsidRPr="00C7575A">
        <w:rPr>
          <w:rFonts w:ascii="Garamond" w:hAnsi="Garamond" w:cs="Arial"/>
          <w:sz w:val="24"/>
          <w:szCs w:val="24"/>
          <w:lang w:val="pt-BR"/>
        </w:rPr>
        <w:t>ando o número de telefone, é tão importante que o Tribunal Superior Eleitoral autorizou, muito recentemente (17/07/2014), a publicidade de cinco propagandas do governo, mesmo em período eleitoral, por se tratar de matéria de utilidade pública</w:t>
      </w:r>
      <w:r w:rsidR="007A3F9D" w:rsidRPr="00C7575A">
        <w:rPr>
          <w:rFonts w:ascii="Garamond" w:hAnsi="Garamond" w:cs="Arial"/>
          <w:sz w:val="24"/>
          <w:szCs w:val="24"/>
          <w:lang w:val="pt-BR"/>
        </w:rPr>
        <w:t>.</w:t>
      </w:r>
      <w:r w:rsidR="006D4F4D">
        <w:rPr>
          <w:rFonts w:ascii="Garamond" w:hAnsi="Garamond" w:cs="Arial"/>
          <w:sz w:val="24"/>
          <w:szCs w:val="24"/>
          <w:lang w:val="pt-BR"/>
        </w:rPr>
        <w:t>(</w:t>
      </w:r>
      <w:r w:rsidRPr="006D4F4D">
        <w:rPr>
          <w:rFonts w:ascii="Garamond" w:hAnsi="Garamond" w:cs="Arial"/>
          <w:sz w:val="20"/>
          <w:szCs w:val="20"/>
          <w:lang w:val="pt-BR"/>
        </w:rPr>
        <w:t>14</w:t>
      </w:r>
      <w:r w:rsidR="006D4F4D" w:rsidRPr="006D4F4D">
        <w:rPr>
          <w:rFonts w:ascii="Garamond" w:hAnsi="Garamond" w:cs="Arial"/>
          <w:sz w:val="20"/>
          <w:szCs w:val="20"/>
          <w:lang w:val="pt-BR"/>
        </w:rPr>
        <w:t>)</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PL 6292/2013 - inclui a violência contra a mulher entre os crimes de tortura</w:t>
      </w:r>
      <w:r w:rsidR="007A3F9D" w:rsidRPr="00C7575A">
        <w:rPr>
          <w:rFonts w:ascii="Garamond" w:hAnsi="Garamond" w:cs="Arial"/>
          <w:sz w:val="24"/>
          <w:szCs w:val="24"/>
          <w:lang w:val="pt-BR"/>
        </w:rPr>
        <w:t>.</w:t>
      </w:r>
      <w:r w:rsidR="006D4F4D" w:rsidRPr="006D4F4D">
        <w:rPr>
          <w:rFonts w:ascii="Garamond" w:hAnsi="Garamond" w:cs="Arial"/>
          <w:sz w:val="20"/>
          <w:szCs w:val="20"/>
          <w:lang w:val="pt-BR"/>
        </w:rPr>
        <w:t>(</w:t>
      </w:r>
      <w:r w:rsidRPr="006D4F4D">
        <w:rPr>
          <w:rFonts w:ascii="Garamond" w:hAnsi="Garamond" w:cs="Arial"/>
          <w:sz w:val="20"/>
          <w:szCs w:val="20"/>
          <w:lang w:val="pt-BR"/>
        </w:rPr>
        <w:t>15</w:t>
      </w:r>
      <w:r w:rsidR="006D4F4D" w:rsidRPr="006D4F4D">
        <w:rPr>
          <w:rFonts w:ascii="Garamond" w:hAnsi="Garamond" w:cs="Arial"/>
          <w:sz w:val="20"/>
          <w:szCs w:val="20"/>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PL 443/2011 - garante à mulher vítima de violência doméstica o recebimento</w:t>
      </w:r>
      <w:r w:rsidRPr="003A1174">
        <w:rPr>
          <w:rFonts w:ascii="Garamond" w:hAnsi="Garamond" w:cs="Arial"/>
          <w:sz w:val="24"/>
          <w:szCs w:val="24"/>
          <w:lang w:val="pt-BR"/>
        </w:rPr>
        <w:t xml:space="preserve"> de benefício eventual e define o termo </w:t>
      </w:r>
      <w:r w:rsidR="007A3F9D">
        <w:rPr>
          <w:rFonts w:ascii="Garamond" w:hAnsi="Garamond" w:cs="Arial"/>
          <w:sz w:val="24"/>
          <w:szCs w:val="24"/>
          <w:lang w:val="pt-BR"/>
        </w:rPr>
        <w:t>«</w:t>
      </w:r>
      <w:r w:rsidRPr="003A1174">
        <w:rPr>
          <w:rFonts w:ascii="Garamond" w:hAnsi="Garamond" w:cs="Arial"/>
          <w:sz w:val="24"/>
          <w:szCs w:val="24"/>
          <w:lang w:val="pt-BR"/>
        </w:rPr>
        <w:t>situação de vulnerabilidade temporária</w:t>
      </w:r>
      <w:r w:rsidR="007A3F9D">
        <w:rPr>
          <w:rFonts w:ascii="Garamond" w:hAnsi="Garamond" w:cs="Arial"/>
          <w:sz w:val="24"/>
          <w:szCs w:val="24"/>
          <w:lang w:val="pt-BR"/>
        </w:rPr>
        <w:t>»</w:t>
      </w:r>
      <w:r w:rsidRPr="003A1174">
        <w:rPr>
          <w:rFonts w:ascii="Garamond" w:hAnsi="Garamond" w:cs="Arial"/>
          <w:sz w:val="24"/>
          <w:szCs w:val="24"/>
          <w:lang w:val="pt-BR"/>
        </w:rPr>
        <w:t xml:space="preserve"> (altera as Leis 11</w:t>
      </w:r>
      <w:r w:rsidR="007A3F9D">
        <w:rPr>
          <w:rFonts w:ascii="Garamond" w:hAnsi="Garamond" w:cs="Arial"/>
          <w:sz w:val="24"/>
          <w:szCs w:val="24"/>
          <w:lang w:val="pt-BR"/>
        </w:rPr>
        <w:t xml:space="preserve"> </w:t>
      </w:r>
      <w:r w:rsidRPr="003A1174">
        <w:rPr>
          <w:rFonts w:ascii="Garamond" w:hAnsi="Garamond" w:cs="Arial"/>
          <w:sz w:val="24"/>
          <w:szCs w:val="24"/>
          <w:lang w:val="pt-BR"/>
        </w:rPr>
        <w:t>340/96 e 8742/93)</w:t>
      </w:r>
      <w:r w:rsidR="006D4F4D">
        <w:rPr>
          <w:rFonts w:ascii="Garamond" w:hAnsi="Garamond" w:cs="Arial"/>
          <w:sz w:val="24"/>
          <w:szCs w:val="24"/>
          <w:lang w:val="pt-BR"/>
        </w:rPr>
        <w:t>.(</w:t>
      </w:r>
      <w:r w:rsidRPr="006D4F4D">
        <w:rPr>
          <w:rFonts w:ascii="Garamond" w:hAnsi="Garamond" w:cs="Arial"/>
          <w:sz w:val="20"/>
          <w:szCs w:val="20"/>
          <w:lang w:val="pt-BR"/>
        </w:rPr>
        <w:t>16</w:t>
      </w:r>
      <w:r w:rsidR="006D4F4D" w:rsidRPr="006D4F4D">
        <w:rPr>
          <w:rFonts w:ascii="Garamond" w:hAnsi="Garamond" w:cs="Arial"/>
          <w:sz w:val="20"/>
          <w:szCs w:val="20"/>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2B1E45">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lang w:val="pt-BR"/>
        </w:rPr>
        <w:t xml:space="preserve">2. </w:t>
      </w:r>
      <w:r w:rsidR="002B1E45" w:rsidRPr="00C7575A">
        <w:rPr>
          <w:rFonts w:ascii="Garamond" w:hAnsi="Garamond" w:cs="Arial"/>
          <w:b/>
          <w:bCs/>
          <w:sz w:val="24"/>
          <w:szCs w:val="24"/>
          <w:lang w:val="pt-BR"/>
        </w:rPr>
        <w:t xml:space="preserve">Conseguiu-se, </w:t>
      </w:r>
      <w:r w:rsidRPr="00C7575A">
        <w:rPr>
          <w:rFonts w:ascii="Garamond" w:hAnsi="Garamond" w:cs="Arial"/>
          <w:b/>
          <w:bCs/>
          <w:sz w:val="24"/>
          <w:szCs w:val="24"/>
          <w:lang w:val="pt-BR"/>
        </w:rPr>
        <w:t>durante este período</w:t>
      </w:r>
      <w:r w:rsidR="002B1E45" w:rsidRPr="00C7575A">
        <w:rPr>
          <w:rFonts w:ascii="Garamond" w:hAnsi="Garamond" w:cs="Arial"/>
          <w:b/>
          <w:bCs/>
          <w:sz w:val="24"/>
          <w:szCs w:val="24"/>
          <w:lang w:val="pt-BR"/>
        </w:rPr>
        <w:t xml:space="preserve">, </w:t>
      </w:r>
      <w:r w:rsidRPr="00C7575A">
        <w:rPr>
          <w:rFonts w:ascii="Garamond" w:hAnsi="Garamond" w:cs="Arial"/>
          <w:b/>
          <w:bCs/>
          <w:sz w:val="24"/>
          <w:szCs w:val="24"/>
          <w:lang w:val="pt-BR"/>
        </w:rPr>
        <w:t>implementar</w:t>
      </w:r>
      <w:r w:rsidR="002B1E45" w:rsidRPr="00C7575A">
        <w:rPr>
          <w:rFonts w:ascii="Garamond" w:hAnsi="Garamond" w:cs="Arial"/>
          <w:b/>
          <w:bCs/>
          <w:sz w:val="24"/>
          <w:szCs w:val="24"/>
          <w:lang w:val="pt-BR"/>
        </w:rPr>
        <w:t xml:space="preserve"> o </w:t>
      </w:r>
      <w:r w:rsidR="00D96FD0" w:rsidRPr="00C7575A">
        <w:rPr>
          <w:rFonts w:ascii="Garamond" w:hAnsi="Garamond" w:cs="Arial"/>
          <w:b/>
          <w:bCs/>
          <w:sz w:val="24"/>
          <w:szCs w:val="24"/>
          <w:lang w:val="pt-BR"/>
        </w:rPr>
        <w:t>cumprimento</w:t>
      </w:r>
      <w:r w:rsidRPr="00C7575A">
        <w:rPr>
          <w:rFonts w:ascii="Garamond" w:hAnsi="Garamond" w:cs="Arial"/>
          <w:b/>
          <w:bCs/>
          <w:sz w:val="24"/>
          <w:szCs w:val="24"/>
          <w:lang w:val="pt-BR"/>
        </w:rPr>
        <w:t xml:space="preserve"> </w:t>
      </w:r>
      <w:r w:rsidR="00497503" w:rsidRPr="00C7575A">
        <w:rPr>
          <w:rFonts w:ascii="Garamond" w:hAnsi="Garamond" w:cs="Arial"/>
          <w:b/>
          <w:bCs/>
          <w:sz w:val="24"/>
          <w:szCs w:val="24"/>
          <w:lang w:val="pt-BR"/>
        </w:rPr>
        <w:t>das</w:t>
      </w:r>
      <w:r w:rsidR="002B1E45" w:rsidRPr="00C7575A">
        <w:rPr>
          <w:rFonts w:ascii="Garamond" w:hAnsi="Garamond" w:cs="Arial"/>
          <w:b/>
          <w:bCs/>
          <w:sz w:val="24"/>
          <w:szCs w:val="24"/>
          <w:lang w:val="pt-BR"/>
        </w:rPr>
        <w:t xml:space="preserve"> </w:t>
      </w:r>
      <w:r w:rsidRPr="00C7575A">
        <w:rPr>
          <w:rFonts w:ascii="Garamond" w:hAnsi="Garamond" w:cs="Arial"/>
          <w:b/>
          <w:bCs/>
          <w:sz w:val="24"/>
          <w:szCs w:val="24"/>
          <w:lang w:val="pt-BR"/>
        </w:rPr>
        <w:t xml:space="preserve">normas que </w:t>
      </w:r>
      <w:r w:rsidR="002B1E45" w:rsidRPr="00C7575A">
        <w:rPr>
          <w:rFonts w:ascii="Garamond" w:hAnsi="Garamond" w:cs="Arial"/>
          <w:b/>
          <w:bCs/>
          <w:sz w:val="24"/>
          <w:szCs w:val="24"/>
          <w:lang w:val="pt-BR"/>
        </w:rPr>
        <w:t xml:space="preserve">se emitiram </w:t>
      </w:r>
      <w:r w:rsidRPr="00C7575A">
        <w:rPr>
          <w:rFonts w:ascii="Garamond" w:hAnsi="Garamond" w:cs="Arial"/>
          <w:b/>
          <w:bCs/>
          <w:sz w:val="24"/>
          <w:szCs w:val="24"/>
          <w:lang w:val="pt-BR"/>
        </w:rPr>
        <w:t xml:space="preserve">sobre </w:t>
      </w:r>
      <w:r w:rsidR="002B1E45" w:rsidRPr="00C7575A">
        <w:rPr>
          <w:rFonts w:ascii="Garamond" w:hAnsi="Garamond" w:cs="Arial"/>
          <w:b/>
          <w:bCs/>
          <w:sz w:val="24"/>
          <w:szCs w:val="24"/>
          <w:lang w:val="pt-BR"/>
        </w:rPr>
        <w:t xml:space="preserve">o </w:t>
      </w:r>
      <w:r w:rsidRPr="00C7575A">
        <w:rPr>
          <w:rFonts w:ascii="Garamond" w:hAnsi="Garamond" w:cs="Arial"/>
          <w:b/>
          <w:bCs/>
          <w:sz w:val="24"/>
          <w:szCs w:val="24"/>
          <w:lang w:val="pt-BR"/>
        </w:rPr>
        <w:t xml:space="preserve">tema para proteger </w:t>
      </w:r>
      <w:r w:rsidR="002B1E45" w:rsidRPr="00C7575A">
        <w:rPr>
          <w:rFonts w:ascii="Garamond" w:hAnsi="Garamond" w:cs="Arial"/>
          <w:b/>
          <w:bCs/>
          <w:sz w:val="24"/>
          <w:szCs w:val="24"/>
          <w:lang w:val="pt-BR"/>
        </w:rPr>
        <w:t xml:space="preserve">o </w:t>
      </w:r>
      <w:r w:rsidR="00886D6A" w:rsidRPr="00C7575A">
        <w:rPr>
          <w:rFonts w:ascii="Garamond" w:hAnsi="Garamond" w:cs="Arial"/>
          <w:b/>
          <w:bCs/>
          <w:sz w:val="24"/>
          <w:szCs w:val="24"/>
          <w:lang w:val="pt-BR"/>
        </w:rPr>
        <w:t>acesso</w:t>
      </w:r>
      <w:r w:rsidRPr="00C7575A">
        <w:rPr>
          <w:rFonts w:ascii="Garamond" w:hAnsi="Garamond" w:cs="Arial"/>
          <w:b/>
          <w:bCs/>
          <w:sz w:val="24"/>
          <w:szCs w:val="24"/>
          <w:lang w:val="pt-BR"/>
        </w:rPr>
        <w:t xml:space="preserve"> </w:t>
      </w:r>
      <w:r w:rsidR="00BB2B00" w:rsidRPr="00C7575A">
        <w:rPr>
          <w:rFonts w:ascii="Garamond" w:hAnsi="Garamond" w:cs="Arial"/>
          <w:b/>
          <w:bCs/>
          <w:sz w:val="24"/>
          <w:szCs w:val="24"/>
          <w:lang w:val="pt-BR"/>
        </w:rPr>
        <w:t>à</w:t>
      </w:r>
      <w:r w:rsidRPr="00C7575A">
        <w:rPr>
          <w:rFonts w:ascii="Garamond" w:hAnsi="Garamond" w:cs="Arial"/>
          <w:b/>
          <w:bCs/>
          <w:sz w:val="24"/>
          <w:szCs w:val="24"/>
          <w:lang w:val="pt-BR"/>
        </w:rPr>
        <w:t xml:space="preserve"> </w:t>
      </w:r>
      <w:r w:rsidR="00FC1F7F" w:rsidRPr="00C7575A">
        <w:rPr>
          <w:rFonts w:ascii="Garamond" w:hAnsi="Garamond" w:cs="Arial"/>
          <w:b/>
          <w:bCs/>
          <w:sz w:val="24"/>
          <w:szCs w:val="24"/>
          <w:lang w:val="pt-BR"/>
        </w:rPr>
        <w:t>justiça</w:t>
      </w:r>
      <w:r w:rsidRPr="00C7575A">
        <w:rPr>
          <w:rFonts w:ascii="Garamond" w:hAnsi="Garamond" w:cs="Arial"/>
          <w:b/>
          <w:bCs/>
          <w:sz w:val="24"/>
          <w:szCs w:val="24"/>
          <w:lang w:val="pt-BR"/>
        </w:rPr>
        <w:t xml:space="preserve"> </w:t>
      </w:r>
      <w:r w:rsidR="00497503" w:rsidRPr="00C7575A">
        <w:rPr>
          <w:rFonts w:ascii="Garamond" w:hAnsi="Garamond" w:cs="Arial"/>
          <w:b/>
          <w:bCs/>
          <w:sz w:val="24"/>
          <w:szCs w:val="24"/>
          <w:lang w:val="pt-BR"/>
        </w:rPr>
        <w:t>das</w:t>
      </w:r>
      <w:r w:rsidRPr="00C7575A">
        <w:rPr>
          <w:rFonts w:ascii="Garamond" w:hAnsi="Garamond" w:cs="Arial"/>
          <w:b/>
          <w:bCs/>
          <w:sz w:val="24"/>
          <w:szCs w:val="24"/>
          <w:lang w:val="pt-BR"/>
        </w:rPr>
        <w:t xml:space="preserve"> </w:t>
      </w:r>
      <w:r w:rsidR="00054EE0" w:rsidRPr="00C7575A">
        <w:rPr>
          <w:rFonts w:ascii="Garamond" w:hAnsi="Garamond" w:cs="Arial"/>
          <w:b/>
          <w:bCs/>
          <w:sz w:val="24"/>
          <w:szCs w:val="24"/>
          <w:lang w:val="pt-BR"/>
        </w:rPr>
        <w:t>mulheres</w:t>
      </w:r>
      <w:r w:rsidRPr="00C7575A">
        <w:rPr>
          <w:rFonts w:ascii="Garamond" w:hAnsi="Garamond" w:cs="Arial"/>
          <w:b/>
          <w:bCs/>
          <w:sz w:val="24"/>
          <w:szCs w:val="24"/>
          <w:lang w:val="pt-BR"/>
        </w:rPr>
        <w:t xml:space="preserve"> </w:t>
      </w:r>
      <w:r w:rsidR="003F012B" w:rsidRPr="00C7575A">
        <w:rPr>
          <w:rFonts w:ascii="Garamond" w:hAnsi="Garamond" w:cs="Arial"/>
          <w:b/>
          <w:bCs/>
          <w:sz w:val="24"/>
          <w:szCs w:val="24"/>
          <w:lang w:val="pt-BR"/>
        </w:rPr>
        <w:t>vítima</w:t>
      </w:r>
      <w:r w:rsidRPr="00C7575A">
        <w:rPr>
          <w:rFonts w:ascii="Garamond" w:hAnsi="Garamond" w:cs="Arial"/>
          <w:b/>
          <w:bCs/>
          <w:sz w:val="24"/>
          <w:szCs w:val="24"/>
          <w:lang w:val="pt-BR"/>
        </w:rPr>
        <w:t xml:space="preserve">s de </w:t>
      </w:r>
      <w:r w:rsidR="000350B1" w:rsidRPr="00C7575A">
        <w:rPr>
          <w:rFonts w:ascii="Garamond" w:hAnsi="Garamond" w:cs="Arial"/>
          <w:b/>
          <w:bCs/>
          <w:sz w:val="24"/>
          <w:szCs w:val="24"/>
          <w:lang w:val="pt-BR"/>
        </w:rPr>
        <w:t>violência</w:t>
      </w:r>
      <w:r w:rsidRPr="00C7575A">
        <w:rPr>
          <w:rFonts w:ascii="Garamond" w:hAnsi="Garamond" w:cs="Arial"/>
          <w:b/>
          <w:bCs/>
          <w:sz w:val="24"/>
          <w:szCs w:val="24"/>
          <w:lang w:val="pt-BR"/>
        </w:rPr>
        <w:t>, o</w:t>
      </w:r>
      <w:r w:rsidR="002B1E45" w:rsidRPr="00C7575A">
        <w:rPr>
          <w:rFonts w:ascii="Garamond" w:hAnsi="Garamond" w:cs="Arial"/>
          <w:b/>
          <w:bCs/>
          <w:sz w:val="24"/>
          <w:szCs w:val="24"/>
          <w:lang w:val="pt-BR"/>
        </w:rPr>
        <w:t>u</w:t>
      </w:r>
      <w:r w:rsidRPr="00C7575A">
        <w:rPr>
          <w:rFonts w:ascii="Garamond" w:hAnsi="Garamond" w:cs="Arial"/>
          <w:b/>
          <w:bCs/>
          <w:sz w:val="24"/>
          <w:szCs w:val="24"/>
          <w:lang w:val="pt-BR"/>
        </w:rPr>
        <w:t xml:space="preserve"> </w:t>
      </w:r>
      <w:r w:rsidR="002B1E45" w:rsidRPr="00C7575A">
        <w:rPr>
          <w:rFonts w:ascii="Garamond" w:hAnsi="Garamond" w:cs="Arial"/>
          <w:b/>
          <w:bCs/>
          <w:sz w:val="24"/>
          <w:szCs w:val="24"/>
          <w:lang w:val="pt-BR"/>
        </w:rPr>
        <w:t xml:space="preserve">apenas se </w:t>
      </w:r>
      <w:r w:rsidRPr="00C7575A">
        <w:rPr>
          <w:rFonts w:ascii="Garamond" w:hAnsi="Garamond" w:cs="Arial"/>
          <w:b/>
          <w:bCs/>
          <w:sz w:val="24"/>
          <w:szCs w:val="24"/>
          <w:lang w:val="pt-BR"/>
        </w:rPr>
        <w:t>trata</w:t>
      </w:r>
      <w:r w:rsidR="002B1E45" w:rsidRPr="00C7575A">
        <w:rPr>
          <w:rFonts w:ascii="Garamond" w:hAnsi="Garamond" w:cs="Arial"/>
          <w:b/>
          <w:bCs/>
          <w:sz w:val="24"/>
          <w:szCs w:val="24"/>
          <w:lang w:val="pt-BR"/>
        </w:rPr>
        <w:t>m</w:t>
      </w:r>
      <w:r w:rsidRPr="00C7575A">
        <w:rPr>
          <w:rFonts w:ascii="Garamond" w:hAnsi="Garamond" w:cs="Arial"/>
          <w:b/>
          <w:bCs/>
          <w:sz w:val="24"/>
          <w:szCs w:val="24"/>
          <w:lang w:val="pt-BR"/>
        </w:rPr>
        <w:t xml:space="preserve"> de disposi</w:t>
      </w:r>
      <w:r w:rsidR="002B1E45" w:rsidRPr="00C7575A">
        <w:rPr>
          <w:rFonts w:ascii="Garamond" w:hAnsi="Garamond" w:cs="Arial"/>
          <w:b/>
          <w:bCs/>
          <w:sz w:val="24"/>
          <w:szCs w:val="24"/>
          <w:lang w:val="pt-BR"/>
        </w:rPr>
        <w:t xml:space="preserve">ções </w:t>
      </w:r>
      <w:r w:rsidRPr="00C7575A">
        <w:rPr>
          <w:rFonts w:ascii="Garamond" w:hAnsi="Garamond" w:cs="Arial"/>
          <w:b/>
          <w:bCs/>
          <w:sz w:val="24"/>
          <w:szCs w:val="24"/>
          <w:lang w:val="pt-BR"/>
        </w:rPr>
        <w:t>que</w:t>
      </w:r>
      <w:r w:rsidR="002B1E45" w:rsidRPr="00C7575A">
        <w:rPr>
          <w:rFonts w:ascii="Garamond" w:hAnsi="Garamond" w:cs="Arial"/>
          <w:b/>
          <w:bCs/>
          <w:sz w:val="24"/>
          <w:szCs w:val="24"/>
          <w:lang w:val="pt-BR"/>
        </w:rPr>
        <w:t>,</w:t>
      </w:r>
      <w:r w:rsidRPr="00C7575A">
        <w:rPr>
          <w:rFonts w:ascii="Garamond" w:hAnsi="Garamond" w:cs="Arial"/>
          <w:b/>
          <w:bCs/>
          <w:sz w:val="24"/>
          <w:szCs w:val="24"/>
          <w:lang w:val="pt-BR"/>
        </w:rPr>
        <w:t xml:space="preserve"> lamenta</w:t>
      </w:r>
      <w:r w:rsidR="002B1E45" w:rsidRPr="00C7575A">
        <w:rPr>
          <w:rFonts w:ascii="Garamond" w:hAnsi="Garamond" w:cs="Arial"/>
          <w:b/>
          <w:bCs/>
          <w:sz w:val="24"/>
          <w:szCs w:val="24"/>
          <w:lang w:val="pt-BR"/>
        </w:rPr>
        <w:t>vel</w:t>
      </w:r>
      <w:r w:rsidRPr="00C7575A">
        <w:rPr>
          <w:rFonts w:ascii="Garamond" w:hAnsi="Garamond" w:cs="Arial"/>
          <w:b/>
          <w:bCs/>
          <w:sz w:val="24"/>
          <w:szCs w:val="24"/>
          <w:lang w:val="pt-BR"/>
        </w:rPr>
        <w:t>mente</w:t>
      </w:r>
      <w:r w:rsidR="002B1E45" w:rsidRPr="00C7575A">
        <w:rPr>
          <w:rFonts w:ascii="Garamond" w:hAnsi="Garamond" w:cs="Arial"/>
          <w:b/>
          <w:bCs/>
          <w:sz w:val="24"/>
          <w:szCs w:val="24"/>
          <w:lang w:val="pt-BR"/>
        </w:rPr>
        <w:t>,</w:t>
      </w:r>
      <w:r w:rsidRPr="00C7575A">
        <w:rPr>
          <w:rFonts w:ascii="Garamond" w:hAnsi="Garamond" w:cs="Arial"/>
          <w:b/>
          <w:bCs/>
          <w:sz w:val="24"/>
          <w:szCs w:val="24"/>
          <w:lang w:val="pt-BR"/>
        </w:rPr>
        <w:t xml:space="preserve"> a</w:t>
      </w:r>
      <w:r w:rsidR="002B1E45" w:rsidRPr="00C7575A">
        <w:rPr>
          <w:rFonts w:ascii="Garamond" w:hAnsi="Garamond" w:cs="Arial"/>
          <w:b/>
          <w:bCs/>
          <w:sz w:val="24"/>
          <w:szCs w:val="24"/>
          <w:lang w:val="pt-BR"/>
        </w:rPr>
        <w:t xml:space="preserve">inda não </w:t>
      </w:r>
      <w:r w:rsidRPr="00C7575A">
        <w:rPr>
          <w:rFonts w:ascii="Garamond" w:hAnsi="Garamond" w:cs="Arial"/>
          <w:b/>
          <w:bCs/>
          <w:sz w:val="24"/>
          <w:szCs w:val="24"/>
          <w:lang w:val="pt-BR"/>
        </w:rPr>
        <w:t>se cump</w:t>
      </w:r>
      <w:r w:rsidR="002B1E45" w:rsidRPr="00C7575A">
        <w:rPr>
          <w:rFonts w:ascii="Garamond" w:hAnsi="Garamond" w:cs="Arial"/>
          <w:b/>
          <w:bCs/>
          <w:sz w:val="24"/>
          <w:szCs w:val="24"/>
          <w:lang w:val="pt-BR"/>
        </w:rPr>
        <w:t>rem</w:t>
      </w:r>
      <w:r w:rsidRPr="00C7575A">
        <w:rPr>
          <w:rFonts w:ascii="Garamond" w:hAnsi="Garamond" w:cs="Arial"/>
          <w:b/>
          <w:bCs/>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Há ações e iniciativas que indicam a adoção de medidas, no período, que representam o cumprimento de normas referentes à matéria. Não tivemos acesso a avaliações acerca da efetividade e eficácia destas ações.</w:t>
      </w:r>
    </w:p>
    <w:p w:rsidR="004C140F" w:rsidRPr="003A1174" w:rsidRDefault="00600E20"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Têm sido realizada</w:t>
      </w:r>
      <w:r w:rsidR="004C140F" w:rsidRPr="00C7575A">
        <w:rPr>
          <w:rFonts w:ascii="Garamond" w:hAnsi="Garamond" w:cs="Arial"/>
          <w:sz w:val="24"/>
          <w:szCs w:val="24"/>
          <w:lang w:val="pt-BR"/>
        </w:rPr>
        <w:t xml:space="preserve">s </w:t>
      </w:r>
      <w:r w:rsidRPr="00C7575A">
        <w:rPr>
          <w:rFonts w:ascii="Garamond" w:hAnsi="Garamond" w:cs="Arial"/>
          <w:sz w:val="24"/>
          <w:szCs w:val="24"/>
          <w:lang w:val="pt-BR"/>
        </w:rPr>
        <w:t xml:space="preserve">campanhas </w:t>
      </w:r>
      <w:r w:rsidR="004C140F" w:rsidRPr="00C7575A">
        <w:rPr>
          <w:rFonts w:ascii="Garamond" w:hAnsi="Garamond" w:cs="Arial"/>
          <w:sz w:val="24"/>
          <w:szCs w:val="24"/>
          <w:lang w:val="pt-BR"/>
        </w:rPr>
        <w:t xml:space="preserve">pelas Defensorias Públicas e pelo Poder </w:t>
      </w:r>
      <w:r w:rsidR="00513D98" w:rsidRPr="00C7575A">
        <w:rPr>
          <w:rFonts w:ascii="Garamond" w:hAnsi="Garamond" w:cs="Arial"/>
          <w:sz w:val="24"/>
          <w:szCs w:val="24"/>
          <w:lang w:val="pt-BR"/>
        </w:rPr>
        <w:t>Judicial</w:t>
      </w:r>
      <w:r w:rsidR="004C140F" w:rsidRPr="00C7575A">
        <w:rPr>
          <w:rFonts w:ascii="Garamond" w:hAnsi="Garamond" w:cs="Arial"/>
          <w:sz w:val="24"/>
          <w:szCs w:val="24"/>
          <w:lang w:val="pt-BR"/>
        </w:rPr>
        <w:t xml:space="preserve"> para atender mulheres em situação de violência, como se pode verificar nos </w:t>
      </w:r>
      <w:r w:rsidR="007A3F9D" w:rsidRPr="00C7575A">
        <w:rPr>
          <w:rFonts w:ascii="Garamond" w:hAnsi="Garamond" w:cs="Arial"/>
          <w:sz w:val="24"/>
          <w:szCs w:val="24"/>
          <w:lang w:val="pt-BR"/>
        </w:rPr>
        <w:t>E</w:t>
      </w:r>
      <w:r w:rsidR="004C140F" w:rsidRPr="00C7575A">
        <w:rPr>
          <w:rFonts w:ascii="Garamond" w:hAnsi="Garamond" w:cs="Arial"/>
          <w:sz w:val="24"/>
          <w:szCs w:val="24"/>
          <w:lang w:val="pt-BR"/>
        </w:rPr>
        <w:t>stados do Paraná</w:t>
      </w:r>
      <w:r w:rsidR="007A3F9D" w:rsidRPr="00C7575A">
        <w:rPr>
          <w:rFonts w:ascii="Garamond" w:hAnsi="Garamond" w:cs="Arial"/>
          <w:sz w:val="24"/>
          <w:szCs w:val="24"/>
          <w:lang w:val="pt-BR"/>
        </w:rPr>
        <w:t>,</w:t>
      </w:r>
      <w:r w:rsidR="006D4F4D">
        <w:rPr>
          <w:rFonts w:ascii="Garamond" w:hAnsi="Garamond" w:cs="Arial"/>
          <w:sz w:val="24"/>
          <w:szCs w:val="24"/>
          <w:lang w:val="pt-BR"/>
        </w:rPr>
        <w:t>(</w:t>
      </w:r>
      <w:r w:rsidR="004C140F" w:rsidRPr="006D4F4D">
        <w:rPr>
          <w:rFonts w:ascii="Garamond" w:hAnsi="Garamond" w:cs="Arial"/>
          <w:sz w:val="20"/>
          <w:szCs w:val="20"/>
          <w:lang w:val="pt-BR"/>
        </w:rPr>
        <w:t>17</w:t>
      </w:r>
      <w:r w:rsidR="006D4F4D">
        <w:rPr>
          <w:rFonts w:ascii="Garamond" w:hAnsi="Garamond" w:cs="Arial"/>
          <w:sz w:val="24"/>
          <w:szCs w:val="24"/>
          <w:lang w:val="pt-BR"/>
        </w:rPr>
        <w:t>)</w:t>
      </w:r>
      <w:r w:rsidR="004C140F" w:rsidRPr="00C7575A">
        <w:rPr>
          <w:rFonts w:ascii="Garamond" w:hAnsi="Garamond" w:cs="Arial"/>
          <w:sz w:val="24"/>
          <w:szCs w:val="24"/>
          <w:lang w:val="pt-BR"/>
        </w:rPr>
        <w:t xml:space="preserve"> Rondônia</w:t>
      </w:r>
      <w:r w:rsidR="007A3F9D" w:rsidRPr="00C7575A">
        <w:rPr>
          <w:rFonts w:ascii="Garamond" w:hAnsi="Garamond" w:cs="Arial"/>
          <w:sz w:val="24"/>
          <w:szCs w:val="24"/>
          <w:lang w:val="pt-BR"/>
        </w:rPr>
        <w:t>,</w:t>
      </w:r>
      <w:r w:rsidR="006D4F4D">
        <w:rPr>
          <w:rFonts w:ascii="Garamond" w:hAnsi="Garamond" w:cs="Arial"/>
          <w:sz w:val="24"/>
          <w:szCs w:val="24"/>
          <w:lang w:val="pt-BR"/>
        </w:rPr>
        <w:t>(</w:t>
      </w:r>
      <w:r w:rsidR="004C140F" w:rsidRPr="006D4F4D">
        <w:rPr>
          <w:rFonts w:ascii="Garamond" w:hAnsi="Garamond" w:cs="Arial"/>
          <w:sz w:val="20"/>
          <w:szCs w:val="20"/>
          <w:lang w:val="pt-BR"/>
        </w:rPr>
        <w:t>18</w:t>
      </w:r>
      <w:r w:rsidR="006D4F4D">
        <w:rPr>
          <w:rFonts w:ascii="Garamond" w:hAnsi="Garamond" w:cs="Arial"/>
          <w:sz w:val="24"/>
          <w:szCs w:val="24"/>
          <w:lang w:val="pt-BR"/>
        </w:rPr>
        <w:t>)</w:t>
      </w:r>
      <w:r w:rsidR="004C140F" w:rsidRPr="00C7575A">
        <w:rPr>
          <w:rFonts w:ascii="Garamond" w:hAnsi="Garamond" w:cs="Arial"/>
          <w:sz w:val="24"/>
          <w:szCs w:val="24"/>
          <w:lang w:val="pt-BR"/>
        </w:rPr>
        <w:t>, Acre</w:t>
      </w:r>
      <w:r w:rsidR="007A3F9D" w:rsidRPr="00C7575A">
        <w:rPr>
          <w:rFonts w:ascii="Garamond" w:hAnsi="Garamond" w:cs="Arial"/>
          <w:sz w:val="24"/>
          <w:szCs w:val="24"/>
          <w:lang w:val="pt-BR"/>
        </w:rPr>
        <w:t>,</w:t>
      </w:r>
      <w:r w:rsidR="006D4F4D">
        <w:rPr>
          <w:rFonts w:ascii="Garamond" w:hAnsi="Garamond" w:cs="Arial"/>
          <w:sz w:val="24"/>
          <w:szCs w:val="24"/>
          <w:lang w:val="pt-BR"/>
        </w:rPr>
        <w:t>(</w:t>
      </w:r>
      <w:r w:rsidR="004C140F" w:rsidRPr="006D4F4D">
        <w:rPr>
          <w:rFonts w:ascii="Garamond" w:hAnsi="Garamond" w:cs="Arial"/>
          <w:sz w:val="20"/>
          <w:szCs w:val="20"/>
          <w:lang w:val="pt-BR"/>
        </w:rPr>
        <w:t>19</w:t>
      </w:r>
      <w:r w:rsidR="006D4F4D">
        <w:rPr>
          <w:rFonts w:ascii="Garamond" w:hAnsi="Garamond" w:cs="Arial"/>
          <w:sz w:val="24"/>
          <w:szCs w:val="24"/>
          <w:lang w:val="pt-BR"/>
        </w:rPr>
        <w:t>)</w:t>
      </w:r>
      <w:r w:rsidR="004C140F" w:rsidRPr="00C7575A">
        <w:rPr>
          <w:rFonts w:ascii="Garamond" w:hAnsi="Garamond" w:cs="Arial"/>
          <w:sz w:val="24"/>
          <w:szCs w:val="24"/>
          <w:lang w:val="pt-BR"/>
        </w:rPr>
        <w:t xml:space="preserve"> e Amazonas</w:t>
      </w:r>
      <w:r w:rsidR="007A3F9D" w:rsidRPr="00C7575A">
        <w:rPr>
          <w:rFonts w:ascii="Garamond" w:hAnsi="Garamond" w:cs="Arial"/>
          <w:sz w:val="24"/>
          <w:szCs w:val="24"/>
          <w:lang w:val="pt-BR"/>
        </w:rPr>
        <w:t>.</w:t>
      </w:r>
      <w:r w:rsidR="006D4F4D">
        <w:rPr>
          <w:rFonts w:ascii="Garamond" w:hAnsi="Garamond" w:cs="Arial"/>
          <w:sz w:val="24"/>
          <w:szCs w:val="24"/>
          <w:lang w:val="pt-BR"/>
        </w:rPr>
        <w:t>(</w:t>
      </w:r>
      <w:r w:rsidR="004C140F" w:rsidRPr="006D4F4D">
        <w:rPr>
          <w:rFonts w:ascii="Garamond" w:hAnsi="Garamond" w:cs="Arial"/>
          <w:sz w:val="20"/>
          <w:szCs w:val="20"/>
          <w:lang w:val="pt-BR"/>
        </w:rPr>
        <w:t>20</w:t>
      </w:r>
      <w:r w:rsidR="006D4F4D" w:rsidRPr="006D4F4D">
        <w:rPr>
          <w:rFonts w:ascii="Garamond" w:hAnsi="Garamond" w:cs="Arial"/>
          <w:sz w:val="20"/>
          <w:szCs w:val="20"/>
          <w:lang w:val="pt-BR"/>
        </w:rPr>
        <w:t>)</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p>
    <w:p w:rsidR="004C140F" w:rsidRPr="00C7575A" w:rsidRDefault="006D4F4D"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13</w:t>
      </w:r>
      <w:r>
        <w:rPr>
          <w:rFonts w:ascii="Garamond" w:hAnsi="Garamond" w:cs="Arial"/>
          <w:sz w:val="20"/>
          <w:szCs w:val="20"/>
          <w:lang w:val="pt-BR"/>
        </w:rPr>
        <w:t>)</w:t>
      </w:r>
      <w:r w:rsidR="004C140F" w:rsidRPr="00C7575A">
        <w:rPr>
          <w:rFonts w:ascii="Garamond" w:hAnsi="Garamond" w:cs="Arial"/>
          <w:sz w:val="20"/>
          <w:szCs w:val="20"/>
          <w:lang w:val="pt-BR"/>
        </w:rPr>
        <w:t xml:space="preserve"> http://www.camara.gov.br/proposicoesWeb/fichadetramitacao?idProposicao=585627</w:t>
      </w:r>
    </w:p>
    <w:p w:rsidR="004C140F" w:rsidRPr="00C7575A" w:rsidRDefault="006D4F4D"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14</w:t>
      </w:r>
      <w:r>
        <w:rPr>
          <w:rFonts w:ascii="Garamond" w:hAnsi="Garamond" w:cs="Arial"/>
          <w:sz w:val="20"/>
          <w:szCs w:val="20"/>
          <w:lang w:val="pt-BR"/>
        </w:rPr>
        <w:t>)</w:t>
      </w:r>
      <w:r w:rsidR="004C140F" w:rsidRPr="00C7575A">
        <w:rPr>
          <w:rFonts w:ascii="Garamond" w:hAnsi="Garamond" w:cs="Arial"/>
          <w:sz w:val="20"/>
          <w:szCs w:val="20"/>
          <w:lang w:val="pt-BR"/>
        </w:rPr>
        <w:t xml:space="preserve"> http://www.tse.jus.br/noticias-tse/2014/Julho/presidente-do-tse-autoriza-veiculacao-de-5-propagandas-institucionais</w:t>
      </w:r>
    </w:p>
    <w:p w:rsidR="004C140F" w:rsidRPr="00C7575A" w:rsidRDefault="006D4F4D"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15</w:t>
      </w:r>
      <w:r>
        <w:rPr>
          <w:rFonts w:ascii="Garamond" w:hAnsi="Garamond" w:cs="Arial"/>
          <w:sz w:val="20"/>
          <w:szCs w:val="20"/>
          <w:lang w:val="pt-BR"/>
        </w:rPr>
        <w:t>)</w:t>
      </w:r>
      <w:r w:rsidR="004C140F" w:rsidRPr="00C7575A">
        <w:rPr>
          <w:rFonts w:ascii="Garamond" w:hAnsi="Garamond" w:cs="Arial"/>
          <w:sz w:val="20"/>
          <w:szCs w:val="20"/>
          <w:lang w:val="pt-BR"/>
        </w:rPr>
        <w:t xml:space="preserve"> http://www.camara.gov.br/proposicoesWeb/fichadetramitacao?idProposicao=590974</w:t>
      </w:r>
    </w:p>
    <w:p w:rsidR="004C140F" w:rsidRPr="00C7575A" w:rsidRDefault="006D4F4D"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16</w:t>
      </w:r>
      <w:r>
        <w:rPr>
          <w:rFonts w:ascii="Garamond" w:hAnsi="Garamond" w:cs="Arial"/>
          <w:sz w:val="20"/>
          <w:szCs w:val="20"/>
          <w:lang w:val="pt-BR"/>
        </w:rPr>
        <w:t xml:space="preserve">) </w:t>
      </w:r>
      <w:r w:rsidR="004C140F" w:rsidRPr="00C7575A">
        <w:rPr>
          <w:rFonts w:ascii="Garamond" w:hAnsi="Garamond" w:cs="Arial"/>
          <w:sz w:val="20"/>
          <w:szCs w:val="20"/>
          <w:lang w:val="pt-BR"/>
        </w:rPr>
        <w:t>http://www.senado.gov.br/atividade/</w:t>
      </w:r>
      <w:r w:rsidR="00EF645F" w:rsidRPr="00C7575A">
        <w:rPr>
          <w:rFonts w:ascii="Garamond" w:hAnsi="Garamond" w:cs="Arial"/>
          <w:sz w:val="20"/>
          <w:szCs w:val="20"/>
          <w:lang w:val="pt-BR"/>
        </w:rPr>
        <w:t>matéria</w:t>
      </w:r>
      <w:r w:rsidR="004C140F" w:rsidRPr="00C7575A">
        <w:rPr>
          <w:rFonts w:ascii="Garamond" w:hAnsi="Garamond" w:cs="Arial"/>
          <w:sz w:val="20"/>
          <w:szCs w:val="20"/>
          <w:lang w:val="pt-BR"/>
        </w:rPr>
        <w:t>/detalhes.asp?</w:t>
      </w:r>
    </w:p>
    <w:p w:rsidR="004C140F" w:rsidRPr="007B3401" w:rsidRDefault="004C140F" w:rsidP="008719D4">
      <w:pPr>
        <w:autoSpaceDE w:val="0"/>
        <w:autoSpaceDN w:val="0"/>
        <w:adjustRightInd w:val="0"/>
        <w:spacing w:after="0" w:line="240" w:lineRule="auto"/>
        <w:jc w:val="both"/>
        <w:rPr>
          <w:rFonts w:ascii="Garamond" w:hAnsi="Garamond" w:cs="Arial"/>
          <w:sz w:val="20"/>
          <w:szCs w:val="20"/>
          <w:lang w:val="pt-BR"/>
        </w:rPr>
      </w:pPr>
      <w:r w:rsidRPr="007B3401">
        <w:rPr>
          <w:rFonts w:ascii="Garamond" w:hAnsi="Garamond" w:cs="Arial"/>
          <w:sz w:val="20"/>
          <w:szCs w:val="20"/>
          <w:lang w:val="pt-BR"/>
        </w:rPr>
        <w:t>p_cod_mate=101353&amp;p_sort=DESC&amp;p_sort2=A&amp;p_a=0&amp;cmd=sort</w:t>
      </w:r>
    </w:p>
    <w:p w:rsidR="004C140F" w:rsidRPr="007B3401" w:rsidRDefault="006D4F4D" w:rsidP="008719D4">
      <w:pPr>
        <w:autoSpaceDE w:val="0"/>
        <w:autoSpaceDN w:val="0"/>
        <w:adjustRightInd w:val="0"/>
        <w:spacing w:after="0" w:line="240" w:lineRule="auto"/>
        <w:jc w:val="both"/>
        <w:rPr>
          <w:rFonts w:ascii="Garamond" w:hAnsi="Garamond" w:cs="Arial"/>
          <w:sz w:val="20"/>
          <w:szCs w:val="20"/>
          <w:lang w:val="pt-BR"/>
        </w:rPr>
      </w:pPr>
      <w:r w:rsidRPr="007B3401">
        <w:rPr>
          <w:rFonts w:ascii="Garamond" w:hAnsi="Garamond" w:cs="Arial"/>
          <w:sz w:val="20"/>
          <w:szCs w:val="20"/>
          <w:lang w:val="pt-BR"/>
        </w:rPr>
        <w:lastRenderedPageBreak/>
        <w:t>(</w:t>
      </w:r>
      <w:r w:rsidR="004C140F" w:rsidRPr="007B3401">
        <w:rPr>
          <w:rFonts w:ascii="Garamond" w:hAnsi="Garamond" w:cs="Arial"/>
          <w:sz w:val="20"/>
          <w:szCs w:val="20"/>
          <w:lang w:val="pt-BR"/>
        </w:rPr>
        <w:t>17</w:t>
      </w:r>
      <w:r w:rsidRPr="007B3401">
        <w:rPr>
          <w:rFonts w:ascii="Garamond" w:hAnsi="Garamond" w:cs="Arial"/>
          <w:sz w:val="20"/>
          <w:szCs w:val="20"/>
          <w:lang w:val="pt-BR"/>
        </w:rPr>
        <w:t>)</w:t>
      </w:r>
      <w:r w:rsidR="004C140F" w:rsidRPr="007B3401">
        <w:rPr>
          <w:rFonts w:ascii="Garamond" w:hAnsi="Garamond" w:cs="Arial"/>
          <w:sz w:val="20"/>
          <w:szCs w:val="20"/>
          <w:lang w:val="pt-BR"/>
        </w:rPr>
        <w:t>http://www.defensoriapublica.pr.gov.br/modules/noticias/article.php?storyid=178</w:t>
      </w:r>
    </w:p>
    <w:p w:rsidR="004C140F" w:rsidRPr="007B3401" w:rsidRDefault="006D4F4D" w:rsidP="008719D4">
      <w:pPr>
        <w:autoSpaceDE w:val="0"/>
        <w:autoSpaceDN w:val="0"/>
        <w:adjustRightInd w:val="0"/>
        <w:spacing w:after="0" w:line="240" w:lineRule="auto"/>
        <w:jc w:val="both"/>
        <w:rPr>
          <w:rFonts w:ascii="Garamond" w:hAnsi="Garamond" w:cs="Arial"/>
          <w:sz w:val="20"/>
          <w:szCs w:val="20"/>
          <w:lang w:val="pt-BR"/>
        </w:rPr>
      </w:pPr>
      <w:r w:rsidRPr="007B3401">
        <w:rPr>
          <w:rFonts w:ascii="Garamond" w:hAnsi="Garamond" w:cs="Arial"/>
          <w:sz w:val="20"/>
          <w:szCs w:val="20"/>
          <w:lang w:val="pt-BR"/>
        </w:rPr>
        <w:t>(</w:t>
      </w:r>
      <w:r w:rsidR="004C140F" w:rsidRPr="007B3401">
        <w:rPr>
          <w:rFonts w:ascii="Garamond" w:hAnsi="Garamond" w:cs="Arial"/>
          <w:sz w:val="20"/>
          <w:szCs w:val="20"/>
          <w:lang w:val="pt-BR"/>
        </w:rPr>
        <w:t>18</w:t>
      </w:r>
      <w:r w:rsidRPr="007B3401">
        <w:rPr>
          <w:rFonts w:ascii="Garamond" w:hAnsi="Garamond" w:cs="Arial"/>
          <w:sz w:val="20"/>
          <w:szCs w:val="20"/>
          <w:lang w:val="pt-BR"/>
        </w:rPr>
        <w:t>)</w:t>
      </w:r>
      <w:r w:rsidR="004C140F" w:rsidRPr="007B3401">
        <w:rPr>
          <w:rFonts w:ascii="Garamond" w:hAnsi="Garamond" w:cs="Arial"/>
          <w:sz w:val="20"/>
          <w:szCs w:val="20"/>
          <w:lang w:val="pt-BR"/>
        </w:rPr>
        <w:t>http://www.defensoria.ro.gov.br/site/index.php/component/content/article/1-ultimas-noticias/605-dpe-participa-de-</w:t>
      </w:r>
    </w:p>
    <w:p w:rsidR="004C140F" w:rsidRPr="007B3401" w:rsidRDefault="006D4F4D" w:rsidP="008719D4">
      <w:pPr>
        <w:autoSpaceDE w:val="0"/>
        <w:autoSpaceDN w:val="0"/>
        <w:adjustRightInd w:val="0"/>
        <w:spacing w:after="0" w:line="240" w:lineRule="auto"/>
        <w:jc w:val="both"/>
        <w:rPr>
          <w:rFonts w:ascii="Garamond" w:hAnsi="Garamond" w:cs="Arial"/>
          <w:sz w:val="20"/>
          <w:szCs w:val="20"/>
          <w:lang w:val="pt-BR"/>
        </w:rPr>
      </w:pPr>
      <w:r w:rsidRPr="007B3401">
        <w:rPr>
          <w:rFonts w:ascii="Garamond" w:hAnsi="Garamond" w:cs="Arial"/>
          <w:sz w:val="20"/>
          <w:szCs w:val="20"/>
          <w:lang w:val="pt-BR"/>
        </w:rPr>
        <w:t>(</w:t>
      </w:r>
      <w:r w:rsidR="004C140F" w:rsidRPr="007B3401">
        <w:rPr>
          <w:rFonts w:ascii="Garamond" w:hAnsi="Garamond" w:cs="Arial"/>
          <w:sz w:val="20"/>
          <w:szCs w:val="20"/>
          <w:lang w:val="pt-BR"/>
        </w:rPr>
        <w:t>19</w:t>
      </w:r>
      <w:r w:rsidRPr="007B3401">
        <w:rPr>
          <w:rFonts w:ascii="Garamond" w:hAnsi="Garamond" w:cs="Arial"/>
          <w:sz w:val="20"/>
          <w:szCs w:val="20"/>
          <w:lang w:val="pt-BR"/>
        </w:rPr>
        <w:t>)</w:t>
      </w:r>
      <w:r w:rsidR="004C140F" w:rsidRPr="007B3401">
        <w:rPr>
          <w:rFonts w:ascii="Garamond" w:hAnsi="Garamond" w:cs="Arial"/>
          <w:sz w:val="20"/>
          <w:szCs w:val="20"/>
          <w:lang w:val="pt-BR"/>
        </w:rPr>
        <w:t>http://www.ac24horas.com/2014/05/27/vara-de-</w:t>
      </w:r>
      <w:r w:rsidR="000350B1" w:rsidRPr="007B3401">
        <w:rPr>
          <w:rFonts w:ascii="Garamond" w:hAnsi="Garamond" w:cs="Arial"/>
          <w:sz w:val="20"/>
          <w:szCs w:val="20"/>
          <w:lang w:val="pt-BR"/>
        </w:rPr>
        <w:t>violência</w:t>
      </w:r>
      <w:r w:rsidR="004C140F" w:rsidRPr="007B3401">
        <w:rPr>
          <w:rFonts w:ascii="Garamond" w:hAnsi="Garamond" w:cs="Arial"/>
          <w:sz w:val="20"/>
          <w:szCs w:val="20"/>
          <w:lang w:val="pt-BR"/>
        </w:rPr>
        <w:t>-domestica-e-familiar-contra-a-mulher-realiza-mutirao-de-</w:t>
      </w:r>
    </w:p>
    <w:p w:rsidR="004C140F" w:rsidRPr="007B3401" w:rsidRDefault="006D4F4D" w:rsidP="008719D4">
      <w:pPr>
        <w:autoSpaceDE w:val="0"/>
        <w:autoSpaceDN w:val="0"/>
        <w:adjustRightInd w:val="0"/>
        <w:spacing w:after="0" w:line="240" w:lineRule="auto"/>
        <w:jc w:val="both"/>
        <w:rPr>
          <w:rFonts w:ascii="Garamond" w:hAnsi="Garamond" w:cs="Arial"/>
          <w:sz w:val="20"/>
          <w:szCs w:val="20"/>
          <w:lang w:val="pt-BR"/>
        </w:rPr>
      </w:pPr>
      <w:r w:rsidRPr="007B3401">
        <w:rPr>
          <w:rFonts w:ascii="Garamond" w:hAnsi="Garamond" w:cs="Arial"/>
          <w:sz w:val="20"/>
          <w:szCs w:val="20"/>
          <w:lang w:val="pt-BR"/>
        </w:rPr>
        <w:t>(</w:t>
      </w:r>
      <w:r w:rsidR="004C140F" w:rsidRPr="007B3401">
        <w:rPr>
          <w:rFonts w:ascii="Garamond" w:hAnsi="Garamond" w:cs="Arial"/>
          <w:sz w:val="20"/>
          <w:szCs w:val="20"/>
          <w:lang w:val="pt-BR"/>
        </w:rPr>
        <w:t>20</w:t>
      </w:r>
      <w:r w:rsidRPr="007B3401">
        <w:rPr>
          <w:rFonts w:ascii="Garamond" w:hAnsi="Garamond" w:cs="Arial"/>
          <w:sz w:val="20"/>
          <w:szCs w:val="20"/>
          <w:lang w:val="pt-BR"/>
        </w:rPr>
        <w:t>)</w:t>
      </w:r>
      <w:r w:rsidR="004C140F" w:rsidRPr="007B3401">
        <w:rPr>
          <w:rFonts w:ascii="Garamond" w:hAnsi="Garamond" w:cs="Arial"/>
          <w:sz w:val="20"/>
          <w:szCs w:val="20"/>
          <w:lang w:val="pt-BR"/>
        </w:rPr>
        <w:t>http://g1.globo.com/am/amazonas/noticia/2014/03/mutirao-vai-analisar-16-mil-processos-de-</w:t>
      </w:r>
      <w:r w:rsidR="000350B1" w:rsidRPr="007B3401">
        <w:rPr>
          <w:rFonts w:ascii="Garamond" w:hAnsi="Garamond" w:cs="Arial"/>
          <w:sz w:val="20"/>
          <w:szCs w:val="20"/>
          <w:lang w:val="pt-BR"/>
        </w:rPr>
        <w:t>violência</w:t>
      </w:r>
      <w:r w:rsidR="004C140F" w:rsidRPr="007B3401">
        <w:rPr>
          <w:rFonts w:ascii="Garamond" w:hAnsi="Garamond" w:cs="Arial"/>
          <w:sz w:val="20"/>
          <w:szCs w:val="20"/>
          <w:lang w:val="pt-BR"/>
        </w:rPr>
        <w:t>-contra-mulherno-</w:t>
      </w:r>
    </w:p>
    <w:p w:rsidR="004C140F" w:rsidRPr="00C7575A" w:rsidRDefault="004C140F" w:rsidP="008719D4">
      <w:pPr>
        <w:autoSpaceDE w:val="0"/>
        <w:autoSpaceDN w:val="0"/>
        <w:adjustRightInd w:val="0"/>
        <w:spacing w:after="0" w:line="240" w:lineRule="auto"/>
        <w:jc w:val="both"/>
        <w:rPr>
          <w:rFonts w:ascii="Garamond" w:hAnsi="Garamond" w:cs="Arial"/>
          <w:sz w:val="20"/>
          <w:szCs w:val="20"/>
          <w:lang w:val="pt-BR"/>
        </w:rPr>
      </w:pPr>
      <w:r w:rsidRPr="00C7575A">
        <w:rPr>
          <w:rFonts w:ascii="Garamond" w:hAnsi="Garamond" w:cs="Arial"/>
          <w:sz w:val="20"/>
          <w:szCs w:val="20"/>
          <w:lang w:val="pt-BR"/>
        </w:rPr>
        <w:t>am.html 41</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A EC 80/2014, relativa à maior estruturação e ampliação das Defensorias Públicas no país, prevê oito (8) anos para sua completa implementação.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O governo federal, </w:t>
      </w:r>
      <w:r w:rsidR="003A0091" w:rsidRPr="00C7575A">
        <w:rPr>
          <w:rFonts w:ascii="Garamond" w:hAnsi="Garamond" w:cs="Arial"/>
          <w:sz w:val="24"/>
          <w:szCs w:val="24"/>
          <w:lang w:val="pt-BR"/>
        </w:rPr>
        <w:t xml:space="preserve">através </w:t>
      </w:r>
      <w:r w:rsidRPr="00C7575A">
        <w:rPr>
          <w:rFonts w:ascii="Garamond" w:hAnsi="Garamond" w:cs="Arial"/>
          <w:sz w:val="24"/>
          <w:szCs w:val="24"/>
          <w:lang w:val="pt-BR"/>
        </w:rPr>
        <w:t xml:space="preserve">da Secretaria de Políticas para as Mulheres (SPM/PR), publicou </w:t>
      </w:r>
      <w:r w:rsidR="003A0091" w:rsidRPr="00C7575A">
        <w:rPr>
          <w:rFonts w:ascii="Garamond" w:hAnsi="Garamond" w:cs="Arial"/>
          <w:sz w:val="24"/>
          <w:szCs w:val="24"/>
          <w:lang w:val="pt-BR"/>
        </w:rPr>
        <w:t xml:space="preserve">um </w:t>
      </w:r>
      <w:r w:rsidRPr="00C7575A">
        <w:rPr>
          <w:rFonts w:ascii="Garamond" w:hAnsi="Garamond" w:cs="Arial"/>
          <w:sz w:val="24"/>
          <w:szCs w:val="24"/>
          <w:lang w:val="pt-BR"/>
        </w:rPr>
        <w:t>edital de seleção de propostas que auxiliem o desempenho das funções institucionais da Secretaria, de acordo com as diretrizes do Plano Nacional de Políticas para as Mulheres (PNPM 2013-2015) – Decreto n</w:t>
      </w:r>
      <w:r w:rsidR="003A0091" w:rsidRPr="00C7575A">
        <w:rPr>
          <w:rFonts w:ascii="Garamond" w:hAnsi="Garamond" w:cs="Arial"/>
          <w:sz w:val="24"/>
          <w:szCs w:val="24"/>
          <w:lang w:val="pt-BR"/>
        </w:rPr>
        <w:t>.</w:t>
      </w:r>
      <w:r w:rsidRPr="00C7575A">
        <w:rPr>
          <w:rFonts w:ascii="Garamond" w:hAnsi="Garamond" w:cs="Arial"/>
          <w:sz w:val="24"/>
          <w:szCs w:val="24"/>
          <w:lang w:val="pt-BR"/>
        </w:rPr>
        <w:t>º 7959, de 13/03/2013</w:t>
      </w:r>
      <w:r w:rsidR="003A0091" w:rsidRPr="006D4F4D">
        <w:rPr>
          <w:rFonts w:ascii="Garamond" w:hAnsi="Garamond" w:cs="Arial"/>
          <w:sz w:val="20"/>
          <w:szCs w:val="20"/>
          <w:lang w:val="pt-BR"/>
        </w:rPr>
        <w:t>.</w:t>
      </w:r>
      <w:r w:rsidR="006D4F4D" w:rsidRPr="006D4F4D">
        <w:rPr>
          <w:rFonts w:ascii="Garamond" w:hAnsi="Garamond" w:cs="Arial"/>
          <w:sz w:val="20"/>
          <w:szCs w:val="20"/>
          <w:lang w:val="pt-BR"/>
        </w:rPr>
        <w:t>(</w:t>
      </w:r>
      <w:r w:rsidRPr="006D4F4D">
        <w:rPr>
          <w:rFonts w:ascii="Garamond" w:hAnsi="Garamond" w:cs="Arial"/>
          <w:sz w:val="20"/>
          <w:szCs w:val="20"/>
          <w:lang w:val="pt-BR"/>
        </w:rPr>
        <w:t>21</w:t>
      </w:r>
      <w:r w:rsidR="006D4F4D" w:rsidRPr="006D4F4D">
        <w:rPr>
          <w:rFonts w:ascii="Garamond" w:hAnsi="Garamond" w:cs="Arial"/>
          <w:sz w:val="20"/>
          <w:szCs w:val="20"/>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Foi iniciada a implementação do Projeto </w:t>
      </w:r>
      <w:r w:rsidR="003A0091">
        <w:rPr>
          <w:rFonts w:ascii="Garamond" w:hAnsi="Garamond" w:cs="Arial"/>
          <w:sz w:val="24"/>
          <w:szCs w:val="24"/>
          <w:lang w:val="pt-BR"/>
        </w:rPr>
        <w:t>«</w:t>
      </w:r>
      <w:r w:rsidRPr="003A1174">
        <w:rPr>
          <w:rFonts w:ascii="Garamond" w:hAnsi="Garamond" w:cs="Arial"/>
          <w:sz w:val="24"/>
          <w:szCs w:val="24"/>
          <w:lang w:val="pt-BR"/>
        </w:rPr>
        <w:t>Casa da Mulher Brasileira</w:t>
      </w:r>
      <w:r w:rsidR="003A0091">
        <w:rPr>
          <w:rFonts w:ascii="Garamond" w:hAnsi="Garamond" w:cs="Arial"/>
          <w:sz w:val="24"/>
          <w:szCs w:val="24"/>
          <w:lang w:val="pt-BR"/>
        </w:rPr>
        <w:t>»</w:t>
      </w:r>
      <w:r w:rsidRPr="003A1174">
        <w:rPr>
          <w:rFonts w:ascii="Garamond" w:hAnsi="Garamond" w:cs="Arial"/>
          <w:sz w:val="24"/>
          <w:szCs w:val="24"/>
          <w:lang w:val="pt-BR"/>
        </w:rPr>
        <w:t xml:space="preserve">, que consiste </w:t>
      </w:r>
      <w:r w:rsidR="00600E20" w:rsidRPr="003A1174">
        <w:rPr>
          <w:rFonts w:ascii="Garamond" w:hAnsi="Garamond" w:cs="Arial"/>
          <w:sz w:val="24"/>
          <w:szCs w:val="24"/>
          <w:lang w:val="pt-BR"/>
        </w:rPr>
        <w:t xml:space="preserve">num </w:t>
      </w:r>
      <w:r w:rsidRPr="003A1174">
        <w:rPr>
          <w:rFonts w:ascii="Garamond" w:hAnsi="Garamond" w:cs="Arial"/>
          <w:sz w:val="24"/>
          <w:szCs w:val="24"/>
          <w:lang w:val="pt-BR"/>
        </w:rPr>
        <w:t xml:space="preserve">eixo do Programa </w:t>
      </w:r>
      <w:r w:rsidR="003A0091">
        <w:rPr>
          <w:rFonts w:ascii="Garamond" w:hAnsi="Garamond" w:cs="Arial"/>
          <w:sz w:val="24"/>
          <w:szCs w:val="24"/>
          <w:lang w:val="pt-BR"/>
        </w:rPr>
        <w:t>«</w:t>
      </w:r>
      <w:r w:rsidRPr="003A1174">
        <w:rPr>
          <w:rFonts w:ascii="Garamond" w:hAnsi="Garamond" w:cs="Arial"/>
          <w:sz w:val="24"/>
          <w:szCs w:val="24"/>
          <w:lang w:val="pt-BR"/>
        </w:rPr>
        <w:t>Mulher, Viver sem Violência</w:t>
      </w:r>
      <w:r w:rsidR="003A0091">
        <w:rPr>
          <w:rFonts w:ascii="Garamond" w:hAnsi="Garamond" w:cs="Arial"/>
          <w:sz w:val="24"/>
          <w:szCs w:val="24"/>
          <w:lang w:val="pt-BR"/>
        </w:rPr>
        <w:t>»</w:t>
      </w:r>
      <w:r w:rsidRPr="003A1174">
        <w:rPr>
          <w:rFonts w:ascii="Garamond" w:hAnsi="Garamond" w:cs="Arial"/>
          <w:sz w:val="24"/>
          <w:szCs w:val="24"/>
          <w:lang w:val="pt-BR"/>
        </w:rPr>
        <w:t>, da SPM/PR, lançado em 13/03/2013.</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Vinte e sete (27) casas serão construídas (em cada capital e no DF) com recursos do governo federal; a administração e a coordenação incumbirão aos governos locais. A Casa atenderá demandas de todo o Estado, e</w:t>
      </w:r>
      <w:r w:rsidR="003A0091">
        <w:rPr>
          <w:rFonts w:ascii="Garamond" w:hAnsi="Garamond" w:cs="Arial"/>
          <w:sz w:val="24"/>
          <w:szCs w:val="24"/>
          <w:lang w:val="pt-BR"/>
        </w:rPr>
        <w:t xml:space="preserve"> o</w:t>
      </w:r>
      <w:r w:rsidRPr="003A1174">
        <w:rPr>
          <w:rFonts w:ascii="Garamond" w:hAnsi="Garamond" w:cs="Arial"/>
          <w:sz w:val="24"/>
          <w:szCs w:val="24"/>
          <w:lang w:val="pt-BR"/>
        </w:rPr>
        <w:t xml:space="preserve"> espaço reunirá serviços da Rede de Atendimento às Mulheres em situação de Violência, tais como delegacias especializadas de atendimento à mulher (DEAM), juizados e varas</w:t>
      </w:r>
      <w:r w:rsidR="00600E20" w:rsidRPr="003A1174">
        <w:rPr>
          <w:rFonts w:ascii="Garamond" w:hAnsi="Garamond" w:cs="Arial"/>
          <w:sz w:val="24"/>
          <w:szCs w:val="24"/>
          <w:lang w:val="pt-BR"/>
        </w:rPr>
        <w:t>, defensoria, promotoria, equipa</w:t>
      </w:r>
      <w:r w:rsidRPr="003A1174">
        <w:rPr>
          <w:rFonts w:ascii="Garamond" w:hAnsi="Garamond" w:cs="Arial"/>
          <w:sz w:val="24"/>
          <w:szCs w:val="24"/>
          <w:lang w:val="pt-BR"/>
        </w:rPr>
        <w:t xml:space="preserve"> psicossocial e de orientação para a inclusão das mulheres no mercado de trabalho. A estrutura também terá brinquedoteca e espaço de </w:t>
      </w:r>
      <w:r w:rsidR="0091113A" w:rsidRPr="003A1174">
        <w:rPr>
          <w:rFonts w:ascii="Garamond" w:hAnsi="Garamond" w:cs="Arial"/>
          <w:sz w:val="24"/>
          <w:szCs w:val="24"/>
          <w:lang w:val="pt-BR"/>
        </w:rPr>
        <w:t>convivência</w:t>
      </w:r>
      <w:r w:rsidRPr="003A1174">
        <w:rPr>
          <w:rFonts w:ascii="Garamond" w:hAnsi="Garamond" w:cs="Arial"/>
          <w:sz w:val="24"/>
          <w:szCs w:val="24"/>
          <w:lang w:val="pt-BR"/>
        </w:rPr>
        <w:t xml:space="preserve"> para as mulheres.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Em várias capitais o processo já teve início:</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-Campo Grande (MS): as obras começaram em junho; a inauguração está prevista para </w:t>
      </w:r>
      <w:r w:rsidRPr="00C7575A">
        <w:rPr>
          <w:rFonts w:ascii="Garamond" w:hAnsi="Garamond" w:cs="Arial"/>
          <w:sz w:val="24"/>
          <w:szCs w:val="24"/>
          <w:lang w:val="pt-BR"/>
        </w:rPr>
        <w:t>novembro</w:t>
      </w:r>
      <w:r w:rsidR="006D4F4D">
        <w:rPr>
          <w:rFonts w:ascii="Garamond" w:hAnsi="Garamond" w:cs="Arial"/>
          <w:sz w:val="24"/>
          <w:szCs w:val="24"/>
          <w:lang w:val="pt-BR"/>
        </w:rPr>
        <w:t>.(</w:t>
      </w:r>
      <w:r w:rsidRPr="006D4F4D">
        <w:rPr>
          <w:rFonts w:ascii="Garamond" w:hAnsi="Garamond" w:cs="Arial"/>
          <w:sz w:val="20"/>
          <w:szCs w:val="20"/>
          <w:lang w:val="pt-BR"/>
        </w:rPr>
        <w:t>22</w:t>
      </w:r>
      <w:r w:rsidR="006D4F4D" w:rsidRPr="006D4F4D">
        <w:rPr>
          <w:rFonts w:ascii="Garamond" w:hAnsi="Garamond" w:cs="Arial"/>
          <w:sz w:val="20"/>
          <w:szCs w:val="20"/>
          <w:lang w:val="pt-BR"/>
        </w:rPr>
        <w:t>)</w:t>
      </w:r>
      <w:r w:rsidRPr="00C7575A">
        <w:rPr>
          <w:rFonts w:ascii="Garamond" w:hAnsi="Garamond" w:cs="Arial"/>
          <w:sz w:val="24"/>
          <w:szCs w:val="24"/>
          <w:lang w:val="pt-BR"/>
        </w:rPr>
        <w:t>;</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-São Paulo (SP)</w:t>
      </w:r>
      <w:r w:rsidR="006D4F4D">
        <w:rPr>
          <w:rFonts w:ascii="Garamond" w:hAnsi="Garamond" w:cs="Arial"/>
          <w:sz w:val="24"/>
          <w:szCs w:val="24"/>
          <w:lang w:val="pt-BR"/>
        </w:rPr>
        <w:t>(</w:t>
      </w:r>
      <w:r w:rsidRPr="006D4F4D">
        <w:rPr>
          <w:rFonts w:ascii="Garamond" w:hAnsi="Garamond" w:cs="Arial"/>
          <w:sz w:val="20"/>
          <w:szCs w:val="20"/>
          <w:lang w:val="pt-BR"/>
        </w:rPr>
        <w:t>23</w:t>
      </w:r>
      <w:r w:rsidR="006D4F4D" w:rsidRPr="006D4F4D">
        <w:rPr>
          <w:rFonts w:ascii="Garamond" w:hAnsi="Garamond" w:cs="Arial"/>
          <w:sz w:val="20"/>
          <w:szCs w:val="20"/>
          <w:lang w:val="pt-BR"/>
        </w:rPr>
        <w:t>)</w:t>
      </w:r>
      <w:r w:rsidRPr="00C7575A">
        <w:rPr>
          <w:rFonts w:ascii="Garamond" w:hAnsi="Garamond" w:cs="Arial"/>
          <w:sz w:val="24"/>
          <w:szCs w:val="24"/>
          <w:lang w:val="pt-BR"/>
        </w:rPr>
        <w:t>: em 02/07 foi publicado o edital de licitação, no Diário Oficial da</w:t>
      </w:r>
      <w:r w:rsidR="00600E20" w:rsidRPr="00C7575A">
        <w:rPr>
          <w:rFonts w:ascii="Garamond" w:hAnsi="Garamond" w:cs="Arial"/>
          <w:sz w:val="24"/>
          <w:szCs w:val="24"/>
          <w:lang w:val="pt-BR"/>
        </w:rPr>
        <w:t xml:space="preserve"> </w:t>
      </w:r>
      <w:r w:rsidRPr="00C7575A">
        <w:rPr>
          <w:rFonts w:ascii="Garamond" w:hAnsi="Garamond" w:cs="Arial"/>
          <w:sz w:val="24"/>
          <w:szCs w:val="24"/>
          <w:lang w:val="pt-BR"/>
        </w:rPr>
        <w:t>União, para contratar a empresa que será responsável pela obra;</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-Brasília (DF)</w:t>
      </w:r>
      <w:r w:rsidR="006D4F4D">
        <w:rPr>
          <w:rFonts w:ascii="Garamond" w:hAnsi="Garamond" w:cs="Arial"/>
          <w:sz w:val="24"/>
          <w:szCs w:val="24"/>
          <w:lang w:val="pt-BR"/>
        </w:rPr>
        <w:t>(</w:t>
      </w:r>
      <w:r w:rsidRPr="006D4F4D">
        <w:rPr>
          <w:rFonts w:ascii="Garamond" w:hAnsi="Garamond" w:cs="Arial"/>
          <w:sz w:val="20"/>
          <w:szCs w:val="20"/>
          <w:lang w:val="pt-BR"/>
        </w:rPr>
        <w:t>24</w:t>
      </w:r>
      <w:r w:rsidR="006D4F4D" w:rsidRPr="006D4F4D">
        <w:rPr>
          <w:rFonts w:ascii="Garamond" w:hAnsi="Garamond" w:cs="Arial"/>
          <w:sz w:val="20"/>
          <w:szCs w:val="20"/>
          <w:lang w:val="pt-BR"/>
        </w:rPr>
        <w:t>)</w:t>
      </w:r>
      <w:r w:rsidRPr="00C7575A">
        <w:rPr>
          <w:rFonts w:ascii="Garamond" w:hAnsi="Garamond" w:cs="Arial"/>
          <w:sz w:val="24"/>
          <w:szCs w:val="24"/>
          <w:lang w:val="pt-BR"/>
        </w:rPr>
        <w:t>: as obras começaram em junho;</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-Palmas (TO)</w:t>
      </w:r>
      <w:r w:rsidR="006D4F4D">
        <w:rPr>
          <w:rFonts w:ascii="Garamond" w:hAnsi="Garamond" w:cs="Arial"/>
          <w:sz w:val="24"/>
          <w:szCs w:val="24"/>
          <w:lang w:val="pt-BR"/>
        </w:rPr>
        <w:t>(</w:t>
      </w:r>
      <w:r w:rsidRPr="006D4F4D">
        <w:rPr>
          <w:rFonts w:ascii="Garamond" w:hAnsi="Garamond" w:cs="Arial"/>
          <w:sz w:val="20"/>
          <w:szCs w:val="20"/>
          <w:lang w:val="pt-BR"/>
        </w:rPr>
        <w:t>25</w:t>
      </w:r>
      <w:r w:rsidR="006D4F4D">
        <w:rPr>
          <w:rFonts w:ascii="Garamond" w:hAnsi="Garamond" w:cs="Arial"/>
          <w:sz w:val="24"/>
          <w:szCs w:val="24"/>
          <w:lang w:val="pt-BR"/>
        </w:rPr>
        <w:t>)</w:t>
      </w:r>
      <w:r w:rsidRPr="00C7575A">
        <w:rPr>
          <w:rFonts w:ascii="Garamond" w:hAnsi="Garamond" w:cs="Arial"/>
          <w:sz w:val="24"/>
          <w:szCs w:val="24"/>
          <w:lang w:val="pt-BR"/>
        </w:rPr>
        <w:t>: lei municipal doando terreno para a construção foi aprovada dia 02/07</w:t>
      </w:r>
      <w:r w:rsidR="00600E20" w:rsidRPr="00C7575A">
        <w:rPr>
          <w:rFonts w:ascii="Garamond" w:hAnsi="Garamond" w:cs="Arial"/>
          <w:sz w:val="24"/>
          <w:szCs w:val="24"/>
          <w:lang w:val="pt-BR"/>
        </w:rPr>
        <w:t>;</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-Porto Alegre (RS)</w:t>
      </w:r>
      <w:r w:rsidR="006D4F4D">
        <w:rPr>
          <w:rFonts w:ascii="Garamond" w:hAnsi="Garamond" w:cs="Arial"/>
          <w:sz w:val="24"/>
          <w:szCs w:val="24"/>
          <w:lang w:val="pt-BR"/>
        </w:rPr>
        <w:t>(</w:t>
      </w:r>
      <w:r w:rsidRPr="006D4F4D">
        <w:rPr>
          <w:rFonts w:ascii="Garamond" w:hAnsi="Garamond" w:cs="Arial"/>
          <w:sz w:val="20"/>
          <w:szCs w:val="20"/>
          <w:lang w:val="pt-BR"/>
        </w:rPr>
        <w:t>26</w:t>
      </w:r>
      <w:r w:rsidR="006D4F4D">
        <w:rPr>
          <w:rFonts w:ascii="Garamond" w:hAnsi="Garamond" w:cs="Arial"/>
          <w:sz w:val="24"/>
          <w:szCs w:val="24"/>
          <w:lang w:val="pt-BR"/>
        </w:rPr>
        <w:t>)</w:t>
      </w:r>
      <w:r w:rsidRPr="00C7575A">
        <w:rPr>
          <w:rFonts w:ascii="Garamond" w:hAnsi="Garamond" w:cs="Arial"/>
          <w:sz w:val="24"/>
          <w:szCs w:val="24"/>
          <w:lang w:val="pt-BR"/>
        </w:rPr>
        <w:t xml:space="preserve">: em fevereiro foi assinado </w:t>
      </w:r>
      <w:r w:rsidR="00600E20" w:rsidRPr="00C7575A">
        <w:rPr>
          <w:rFonts w:ascii="Garamond" w:hAnsi="Garamond" w:cs="Arial"/>
          <w:sz w:val="24"/>
          <w:szCs w:val="24"/>
          <w:lang w:val="pt-BR"/>
        </w:rPr>
        <w:t xml:space="preserve">o </w:t>
      </w:r>
      <w:r w:rsidRPr="00C7575A">
        <w:rPr>
          <w:rFonts w:ascii="Garamond" w:hAnsi="Garamond" w:cs="Arial"/>
          <w:sz w:val="24"/>
          <w:szCs w:val="24"/>
          <w:lang w:val="pt-BR"/>
        </w:rPr>
        <w:t xml:space="preserve">termo de doação do terreno, em que </w:t>
      </w:r>
    </w:p>
    <w:p w:rsidR="003A0091" w:rsidRPr="00C7575A" w:rsidRDefault="003A0091" w:rsidP="00600E20">
      <w:pPr>
        <w:autoSpaceDE w:val="0"/>
        <w:autoSpaceDN w:val="0"/>
        <w:adjustRightInd w:val="0"/>
        <w:spacing w:after="0" w:line="240" w:lineRule="auto"/>
        <w:jc w:val="both"/>
        <w:rPr>
          <w:rFonts w:ascii="Garamond" w:hAnsi="Garamond" w:cs="Arial"/>
          <w:sz w:val="24"/>
          <w:szCs w:val="24"/>
          <w:lang w:val="pt-BR"/>
        </w:rPr>
      </w:pP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21</w:t>
      </w:r>
      <w:r>
        <w:rPr>
          <w:rFonts w:ascii="Garamond" w:hAnsi="Garamond" w:cs="Arial"/>
          <w:sz w:val="20"/>
          <w:szCs w:val="20"/>
          <w:lang w:val="pt-BR"/>
        </w:rPr>
        <w:t>)</w:t>
      </w:r>
      <w:r w:rsidR="004C140F" w:rsidRPr="00C7575A">
        <w:rPr>
          <w:rFonts w:ascii="Garamond" w:hAnsi="Garamond" w:cs="Arial"/>
          <w:sz w:val="20"/>
          <w:szCs w:val="20"/>
          <w:lang w:val="pt-BR"/>
        </w:rPr>
        <w:t>http://www.mulheres.gov.br/Editais/editais-2014/edital-2014-24-01.pdf</w:t>
      </w: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22</w:t>
      </w:r>
      <w:r>
        <w:rPr>
          <w:rFonts w:ascii="Garamond" w:hAnsi="Garamond" w:cs="Arial"/>
          <w:sz w:val="20"/>
          <w:szCs w:val="20"/>
          <w:lang w:val="pt-BR"/>
        </w:rPr>
        <w:t>)</w:t>
      </w:r>
      <w:r w:rsidR="004C140F" w:rsidRPr="00C7575A">
        <w:rPr>
          <w:rFonts w:ascii="Garamond" w:hAnsi="Garamond" w:cs="Arial"/>
          <w:sz w:val="20"/>
          <w:szCs w:val="20"/>
          <w:lang w:val="pt-BR"/>
        </w:rPr>
        <w:t>ht tp://mspontocom.com.br/site/campo-grande-inicia-construcao-da-casa-da-mulher-brasileira/</w:t>
      </w: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23</w:t>
      </w:r>
      <w:r>
        <w:rPr>
          <w:rFonts w:ascii="Garamond" w:hAnsi="Garamond" w:cs="Arial"/>
          <w:sz w:val="20"/>
          <w:szCs w:val="20"/>
          <w:lang w:val="pt-BR"/>
        </w:rPr>
        <w:t>)</w:t>
      </w:r>
      <w:r w:rsidR="004C140F" w:rsidRPr="00C7575A">
        <w:rPr>
          <w:rFonts w:ascii="Garamond" w:hAnsi="Garamond" w:cs="Arial"/>
          <w:sz w:val="20"/>
          <w:szCs w:val="20"/>
          <w:lang w:val="pt-BR"/>
        </w:rPr>
        <w:t>http://www.spm.gov.br/noticias/ultimas_noticias/2014/07/02-07-2013-aberta-licitacao-para-construcao-da-casa-damulher-</w:t>
      </w:r>
    </w:p>
    <w:p w:rsidR="004C140F" w:rsidRPr="00C7575A" w:rsidRDefault="004C140F" w:rsidP="00600E20">
      <w:pPr>
        <w:autoSpaceDE w:val="0"/>
        <w:autoSpaceDN w:val="0"/>
        <w:adjustRightInd w:val="0"/>
        <w:spacing w:after="0" w:line="240" w:lineRule="auto"/>
        <w:jc w:val="both"/>
        <w:rPr>
          <w:rFonts w:ascii="Garamond" w:hAnsi="Garamond" w:cs="Arial"/>
          <w:sz w:val="20"/>
          <w:szCs w:val="20"/>
          <w:lang w:val="pt-BR"/>
        </w:rPr>
      </w:pPr>
      <w:r w:rsidRPr="00C7575A">
        <w:rPr>
          <w:rFonts w:ascii="Garamond" w:hAnsi="Garamond" w:cs="Arial"/>
          <w:sz w:val="20"/>
          <w:szCs w:val="20"/>
          <w:lang w:val="pt-BR"/>
        </w:rPr>
        <w:t>brasileira-em-sao-paulo</w:t>
      </w: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24</w:t>
      </w:r>
      <w:r>
        <w:rPr>
          <w:rFonts w:ascii="Garamond" w:hAnsi="Garamond" w:cs="Arial"/>
          <w:sz w:val="20"/>
          <w:szCs w:val="20"/>
          <w:lang w:val="pt-BR"/>
        </w:rPr>
        <w:t>)</w:t>
      </w:r>
      <w:r w:rsidR="004C140F" w:rsidRPr="00C7575A">
        <w:rPr>
          <w:rFonts w:ascii="Garamond" w:hAnsi="Garamond" w:cs="Arial"/>
          <w:sz w:val="20"/>
          <w:szCs w:val="20"/>
          <w:lang w:val="pt-BR"/>
        </w:rPr>
        <w:t>https://www.google.com.br/webhp?sourceid=chrome-instant&amp;ion=1&amp;espv=2&amp;ie=UTF-</w:t>
      </w:r>
    </w:p>
    <w:p w:rsidR="004C140F" w:rsidRPr="00C7575A" w:rsidRDefault="004C140F" w:rsidP="00600E20">
      <w:pPr>
        <w:autoSpaceDE w:val="0"/>
        <w:autoSpaceDN w:val="0"/>
        <w:adjustRightInd w:val="0"/>
        <w:spacing w:after="0" w:line="240" w:lineRule="auto"/>
        <w:jc w:val="both"/>
        <w:rPr>
          <w:rFonts w:ascii="Garamond" w:hAnsi="Garamond" w:cs="Arial"/>
          <w:sz w:val="20"/>
          <w:szCs w:val="20"/>
          <w:lang w:val="pt-BR"/>
        </w:rPr>
      </w:pPr>
      <w:r w:rsidRPr="00C7575A">
        <w:rPr>
          <w:rFonts w:ascii="Garamond" w:hAnsi="Garamond" w:cs="Arial"/>
          <w:sz w:val="20"/>
          <w:szCs w:val="20"/>
          <w:lang w:val="pt-BR"/>
        </w:rPr>
        <w:t>8#q=casa+da+mulher+brasileira+DF</w:t>
      </w: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25</w:t>
      </w:r>
      <w:r>
        <w:rPr>
          <w:rFonts w:ascii="Garamond" w:hAnsi="Garamond" w:cs="Arial"/>
          <w:sz w:val="20"/>
          <w:szCs w:val="20"/>
          <w:lang w:val="pt-BR"/>
        </w:rPr>
        <w:t>)</w:t>
      </w:r>
      <w:r w:rsidR="004C140F" w:rsidRPr="00C7575A">
        <w:rPr>
          <w:rFonts w:ascii="Garamond" w:hAnsi="Garamond" w:cs="Arial"/>
          <w:sz w:val="20"/>
          <w:szCs w:val="20"/>
          <w:lang w:val="pt-BR"/>
        </w:rPr>
        <w:t>http://portal.palmas.to.gov.br/blog_noticias/construcao/</w:t>
      </w:r>
    </w:p>
    <w:p w:rsidR="004C140F" w:rsidRPr="00C7575A" w:rsidRDefault="006D4F4D" w:rsidP="00600E20">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26</w:t>
      </w:r>
      <w:r>
        <w:rPr>
          <w:rFonts w:ascii="Garamond" w:hAnsi="Garamond" w:cs="Arial"/>
          <w:sz w:val="20"/>
          <w:szCs w:val="20"/>
          <w:lang w:val="pt-BR"/>
        </w:rPr>
        <w:t>)</w:t>
      </w:r>
      <w:r w:rsidR="004C140F" w:rsidRPr="00C7575A">
        <w:rPr>
          <w:rFonts w:ascii="Garamond" w:hAnsi="Garamond" w:cs="Arial"/>
          <w:sz w:val="20"/>
          <w:szCs w:val="20"/>
          <w:lang w:val="pt-BR"/>
        </w:rPr>
        <w:t>http://www.rs.gov.br/conteudo/191015/governo-assina-cessao-de-terreno-para-instalacao-da-casa-da-mulherbrasileira-</w:t>
      </w:r>
    </w:p>
    <w:p w:rsidR="004C140F" w:rsidRPr="00C7575A" w:rsidRDefault="004C140F" w:rsidP="00600E20">
      <w:pPr>
        <w:autoSpaceDE w:val="0"/>
        <w:autoSpaceDN w:val="0"/>
        <w:adjustRightInd w:val="0"/>
        <w:spacing w:after="0" w:line="240" w:lineRule="auto"/>
        <w:jc w:val="both"/>
        <w:rPr>
          <w:rFonts w:ascii="Garamond" w:hAnsi="Garamond" w:cs="Arial"/>
          <w:sz w:val="20"/>
          <w:szCs w:val="20"/>
          <w:lang w:val="pt-BR"/>
        </w:rPr>
      </w:pPr>
      <w:r w:rsidRPr="00C7575A">
        <w:rPr>
          <w:rFonts w:ascii="Garamond" w:hAnsi="Garamond" w:cs="Arial"/>
          <w:sz w:val="20"/>
          <w:szCs w:val="20"/>
          <w:lang w:val="pt-BR"/>
        </w:rPr>
        <w:t>no-bairro-rubem-berta/termosbusca=*</w:t>
      </w:r>
    </w:p>
    <w:p w:rsidR="002B00E5" w:rsidRPr="00C7575A" w:rsidRDefault="002B00E5"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600E20"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O </w:t>
      </w:r>
      <w:r w:rsidR="004C140F" w:rsidRPr="00C7575A">
        <w:rPr>
          <w:rFonts w:ascii="Garamond" w:hAnsi="Garamond" w:cs="Arial"/>
          <w:sz w:val="24"/>
          <w:szCs w:val="24"/>
          <w:lang w:val="pt-BR"/>
        </w:rPr>
        <w:t>Estado cede</w:t>
      </w:r>
      <w:r w:rsidRPr="00C7575A">
        <w:rPr>
          <w:rFonts w:ascii="Garamond" w:hAnsi="Garamond" w:cs="Arial"/>
          <w:sz w:val="24"/>
          <w:szCs w:val="24"/>
          <w:lang w:val="pt-BR"/>
        </w:rPr>
        <w:t>-o</w:t>
      </w:r>
      <w:r w:rsidR="004C140F" w:rsidRPr="00C7575A">
        <w:rPr>
          <w:rFonts w:ascii="Garamond" w:hAnsi="Garamond" w:cs="Arial"/>
          <w:sz w:val="24"/>
          <w:szCs w:val="24"/>
          <w:lang w:val="pt-BR"/>
        </w:rPr>
        <w:t xml:space="preserve"> à União;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w:t>
      </w:r>
      <w:r w:rsidR="00272E6A" w:rsidRPr="00C7575A">
        <w:rPr>
          <w:rFonts w:ascii="Garamond" w:hAnsi="Garamond" w:cs="Arial"/>
          <w:sz w:val="24"/>
          <w:szCs w:val="24"/>
          <w:lang w:val="pt-BR"/>
        </w:rPr>
        <w:t xml:space="preserve"> </w:t>
      </w:r>
      <w:r w:rsidRPr="00C7575A">
        <w:rPr>
          <w:rFonts w:ascii="Garamond" w:hAnsi="Garamond" w:cs="Arial"/>
          <w:sz w:val="24"/>
          <w:szCs w:val="24"/>
          <w:lang w:val="pt-BR"/>
        </w:rPr>
        <w:t>Salvador (BA)</w:t>
      </w:r>
      <w:r w:rsidR="00B41317">
        <w:rPr>
          <w:rFonts w:ascii="Garamond" w:hAnsi="Garamond" w:cs="Arial"/>
          <w:sz w:val="24"/>
          <w:szCs w:val="24"/>
          <w:lang w:val="pt-BR"/>
        </w:rPr>
        <w:t>(</w:t>
      </w:r>
      <w:r w:rsidRPr="00B41317">
        <w:rPr>
          <w:rFonts w:ascii="Garamond" w:hAnsi="Garamond" w:cs="Arial"/>
          <w:sz w:val="20"/>
          <w:szCs w:val="20"/>
          <w:lang w:val="pt-BR"/>
        </w:rPr>
        <w:t>27</w:t>
      </w:r>
      <w:r w:rsidR="00B41317">
        <w:rPr>
          <w:rFonts w:ascii="Garamond" w:hAnsi="Garamond" w:cs="Arial"/>
          <w:sz w:val="24"/>
          <w:szCs w:val="24"/>
          <w:lang w:val="pt-BR"/>
        </w:rPr>
        <w:t>)</w:t>
      </w:r>
      <w:r w:rsidRPr="00C7575A">
        <w:rPr>
          <w:rFonts w:ascii="Garamond" w:hAnsi="Garamond" w:cs="Arial"/>
          <w:sz w:val="24"/>
          <w:szCs w:val="24"/>
          <w:lang w:val="pt-BR"/>
        </w:rPr>
        <w:t>:</w:t>
      </w:r>
      <w:r w:rsidRPr="003A1174">
        <w:rPr>
          <w:rFonts w:ascii="Garamond" w:hAnsi="Garamond" w:cs="Arial"/>
          <w:sz w:val="24"/>
          <w:szCs w:val="24"/>
          <w:lang w:val="pt-BR"/>
        </w:rPr>
        <w:t xml:space="preserve"> publicado edital de licitação para construção da Casa em julho;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No que diz respeito a produção periódica de dados e diagnósticos para subsidiar a elaboração de políticas públicas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 raça e contribuir para as avaliações das políticas em curso, </w:t>
      </w:r>
      <w:r w:rsidR="00272E6A">
        <w:rPr>
          <w:rFonts w:ascii="Garamond" w:hAnsi="Garamond" w:cs="Arial"/>
          <w:sz w:val="24"/>
          <w:szCs w:val="24"/>
          <w:lang w:val="pt-BR"/>
        </w:rPr>
        <w:t xml:space="preserve">é </w:t>
      </w:r>
      <w:r w:rsidRPr="003A1174">
        <w:rPr>
          <w:rFonts w:ascii="Garamond" w:hAnsi="Garamond" w:cs="Arial"/>
          <w:sz w:val="24"/>
          <w:szCs w:val="24"/>
          <w:lang w:val="pt-BR"/>
        </w:rPr>
        <w:t xml:space="preserve">importante informar, também, que foi publicado, em novembro de 2013, nova edição do RASEAM, o Relatório Anual Socioeconômico da </w:t>
      </w:r>
      <w:r w:rsidRPr="00C7575A">
        <w:rPr>
          <w:rFonts w:ascii="Garamond" w:hAnsi="Garamond" w:cs="Arial"/>
          <w:sz w:val="24"/>
          <w:szCs w:val="24"/>
          <w:lang w:val="pt-BR"/>
        </w:rPr>
        <w:t>Mulher.</w:t>
      </w:r>
      <w:r w:rsidR="00B41317">
        <w:rPr>
          <w:rFonts w:ascii="Garamond" w:hAnsi="Garamond" w:cs="Arial"/>
          <w:sz w:val="24"/>
          <w:szCs w:val="24"/>
          <w:lang w:val="pt-BR"/>
        </w:rPr>
        <w:t>(</w:t>
      </w:r>
      <w:r w:rsidRPr="00B41317">
        <w:rPr>
          <w:rFonts w:ascii="Garamond" w:hAnsi="Garamond" w:cs="Arial"/>
          <w:sz w:val="20"/>
          <w:szCs w:val="20"/>
          <w:lang w:val="pt-BR"/>
        </w:rPr>
        <w:t>28</w:t>
      </w:r>
      <w:r w:rsidR="00B41317">
        <w:rPr>
          <w:rFonts w:ascii="Garamond" w:hAnsi="Garamond" w:cs="Arial"/>
          <w:sz w:val="24"/>
          <w:szCs w:val="24"/>
          <w:lang w:val="pt-BR"/>
        </w:rPr>
        <w:t>)</w:t>
      </w:r>
    </w:p>
    <w:p w:rsidR="00895A22" w:rsidRDefault="00272E6A" w:rsidP="008719D4">
      <w:pPr>
        <w:autoSpaceDE w:val="0"/>
        <w:autoSpaceDN w:val="0"/>
        <w:adjustRightInd w:val="0"/>
        <w:spacing w:after="0" w:line="240" w:lineRule="auto"/>
        <w:jc w:val="both"/>
        <w:rPr>
          <w:rFonts w:ascii="Garamond" w:hAnsi="Garamond" w:cs="Arial"/>
          <w:sz w:val="24"/>
          <w:szCs w:val="24"/>
          <w:lang w:val="pt-BR"/>
        </w:rPr>
      </w:pPr>
      <w:r>
        <w:rPr>
          <w:rFonts w:ascii="Garamond" w:hAnsi="Garamond" w:cs="Arial"/>
          <w:sz w:val="24"/>
          <w:szCs w:val="24"/>
          <w:lang w:val="pt-BR"/>
        </w:rPr>
        <w:lastRenderedPageBreak/>
        <w:t xml:space="preserve">De acordo com a </w:t>
      </w:r>
      <w:r w:rsidR="00600E20" w:rsidRPr="003A1174">
        <w:rPr>
          <w:rFonts w:ascii="Garamond" w:hAnsi="Garamond" w:cs="Arial"/>
          <w:sz w:val="24"/>
          <w:szCs w:val="24"/>
          <w:lang w:val="pt-BR"/>
        </w:rPr>
        <w:t xml:space="preserve">sua apresentação, </w:t>
      </w:r>
      <w:r w:rsidR="004C140F" w:rsidRPr="003A1174">
        <w:rPr>
          <w:rFonts w:ascii="Garamond" w:hAnsi="Garamond" w:cs="Arial"/>
          <w:sz w:val="24"/>
          <w:szCs w:val="24"/>
          <w:lang w:val="pt-BR"/>
        </w:rPr>
        <w:t>trata-se de um relatório que é fruto do Projeto de Lei 2155/1999 de autoria da deputada federal Luiza Erundina. A Lei n</w:t>
      </w:r>
      <w:r>
        <w:rPr>
          <w:rFonts w:ascii="Garamond" w:hAnsi="Garamond" w:cs="Arial"/>
          <w:sz w:val="24"/>
          <w:szCs w:val="24"/>
          <w:lang w:val="pt-BR"/>
        </w:rPr>
        <w:t>.</w:t>
      </w:r>
      <w:r w:rsidR="004C140F" w:rsidRPr="003A1174">
        <w:rPr>
          <w:rFonts w:ascii="Garamond" w:hAnsi="Garamond" w:cs="Arial"/>
          <w:sz w:val="24"/>
          <w:szCs w:val="24"/>
          <w:lang w:val="pt-BR"/>
        </w:rPr>
        <w:t>º 12</w:t>
      </w:r>
      <w:r>
        <w:rPr>
          <w:rFonts w:ascii="Garamond" w:hAnsi="Garamond" w:cs="Arial"/>
          <w:sz w:val="24"/>
          <w:szCs w:val="24"/>
          <w:lang w:val="pt-BR"/>
        </w:rPr>
        <w:t xml:space="preserve"> </w:t>
      </w:r>
      <w:r w:rsidR="004C140F" w:rsidRPr="003A1174">
        <w:rPr>
          <w:rFonts w:ascii="Garamond" w:hAnsi="Garamond" w:cs="Arial"/>
          <w:sz w:val="24"/>
          <w:szCs w:val="24"/>
          <w:lang w:val="pt-BR"/>
        </w:rPr>
        <w:t xml:space="preserve">227/2010 (disponível no Anexo A do RASEAM) </w:t>
      </w:r>
    </w:p>
    <w:p w:rsidR="00895A22" w:rsidRDefault="00895A22" w:rsidP="008719D4">
      <w:pPr>
        <w:autoSpaceDE w:val="0"/>
        <w:autoSpaceDN w:val="0"/>
        <w:adjustRightInd w:val="0"/>
        <w:spacing w:after="0" w:line="240" w:lineRule="auto"/>
        <w:jc w:val="both"/>
        <w:rPr>
          <w:rFonts w:ascii="Garamond" w:hAnsi="Garamond" w:cs="Arial"/>
          <w:sz w:val="24"/>
          <w:szCs w:val="24"/>
          <w:lang w:val="pt-BR"/>
        </w:rPr>
      </w:pPr>
    </w:p>
    <w:p w:rsidR="004C140F" w:rsidRPr="00895A22" w:rsidRDefault="00272E6A" w:rsidP="00895A22">
      <w:pPr>
        <w:autoSpaceDE w:val="0"/>
        <w:autoSpaceDN w:val="0"/>
        <w:adjustRightInd w:val="0"/>
        <w:spacing w:after="0" w:line="240" w:lineRule="auto"/>
        <w:ind w:left="567"/>
        <w:jc w:val="both"/>
        <w:rPr>
          <w:rFonts w:ascii="Garamond" w:hAnsi="Garamond" w:cs="Arial"/>
          <w:lang w:val="pt-BR"/>
        </w:rPr>
      </w:pPr>
      <w:r w:rsidRPr="00895A22">
        <w:rPr>
          <w:rFonts w:ascii="Garamond" w:hAnsi="Garamond" w:cs="Arial"/>
          <w:lang w:val="pt-BR"/>
        </w:rPr>
        <w:t>«</w:t>
      </w:r>
      <w:r w:rsidR="004C140F" w:rsidRPr="00895A22">
        <w:rPr>
          <w:rFonts w:ascii="Garamond" w:hAnsi="Garamond" w:cs="Arial"/>
          <w:lang w:val="pt-BR"/>
        </w:rPr>
        <w:t xml:space="preserve">determina a elaboração de um relatório anual para tratar da situação </w:t>
      </w:r>
      <w:r w:rsidR="00600E20" w:rsidRPr="00895A22">
        <w:rPr>
          <w:rFonts w:ascii="Garamond" w:hAnsi="Garamond" w:cs="Arial"/>
          <w:lang w:val="pt-BR"/>
        </w:rPr>
        <w:t>socioeconómica</w:t>
      </w:r>
      <w:r w:rsidR="004C140F" w:rsidRPr="00895A22">
        <w:rPr>
          <w:rFonts w:ascii="Garamond" w:hAnsi="Garamond" w:cs="Arial"/>
          <w:lang w:val="pt-BR"/>
        </w:rPr>
        <w:t xml:space="preserve"> das mulheres brasileiras. Assim, o objetivo deste relatório é oferecer </w:t>
      </w:r>
      <w:r w:rsidRPr="00895A22">
        <w:rPr>
          <w:rFonts w:ascii="Garamond" w:hAnsi="Garamond" w:cs="Arial"/>
          <w:lang w:val="pt-BR"/>
        </w:rPr>
        <w:t>”</w:t>
      </w:r>
      <w:r w:rsidR="004C140F" w:rsidRPr="00895A22">
        <w:rPr>
          <w:rFonts w:ascii="Garamond" w:hAnsi="Garamond" w:cs="Arial"/>
          <w:lang w:val="pt-BR"/>
        </w:rPr>
        <w:t>uma visão global da temática mulher no país</w:t>
      </w:r>
      <w:r w:rsidRPr="00895A22">
        <w:rPr>
          <w:rFonts w:ascii="Garamond" w:hAnsi="Garamond" w:cs="Arial"/>
          <w:lang w:val="pt-BR"/>
        </w:rPr>
        <w:t>”</w:t>
      </w:r>
      <w:r w:rsidR="004C140F" w:rsidRPr="00895A22">
        <w:rPr>
          <w:rFonts w:ascii="Garamond" w:hAnsi="Garamond" w:cs="Arial"/>
          <w:lang w:val="pt-BR"/>
        </w:rPr>
        <w:t xml:space="preserve">, permitindo que as políticas públicas sejam avaliadas e que a </w:t>
      </w:r>
      <w:r w:rsidR="00D37CF3" w:rsidRPr="00895A22">
        <w:rPr>
          <w:rFonts w:ascii="Garamond" w:hAnsi="Garamond" w:cs="Arial"/>
          <w:lang w:val="pt-BR"/>
        </w:rPr>
        <w:t>sociedade</w:t>
      </w:r>
      <w:r w:rsidR="004C140F" w:rsidRPr="00895A22">
        <w:rPr>
          <w:rFonts w:ascii="Garamond" w:hAnsi="Garamond" w:cs="Arial"/>
          <w:lang w:val="pt-BR"/>
        </w:rPr>
        <w:t xml:space="preserve"> conheça as informações produzidas pelos diferentes órgãos da administração pública.</w:t>
      </w:r>
      <w:r w:rsidRPr="00895A22">
        <w:rPr>
          <w:rFonts w:ascii="Garamond" w:hAnsi="Garamond" w:cs="Arial"/>
          <w:lang w:val="pt-BR"/>
        </w:rPr>
        <w:t>»</w:t>
      </w:r>
      <w:r w:rsidR="004C140F" w:rsidRPr="00895A22">
        <w:rPr>
          <w:rFonts w:ascii="Garamond" w:hAnsi="Garamond" w:cs="Arial"/>
          <w:lang w:val="pt-BR"/>
        </w:rPr>
        <w:t xml:space="preserve"> </w:t>
      </w:r>
    </w:p>
    <w:p w:rsidR="00895A22" w:rsidRPr="003A1174" w:rsidRDefault="00895A22"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Iniciativa da Secretaria de Políticas para as Mulheres da Presidência da República, o RASEAM traz um diagnóstico sobre a situação </w:t>
      </w:r>
      <w:r w:rsidR="00600E20" w:rsidRPr="003A1174">
        <w:rPr>
          <w:rFonts w:ascii="Garamond" w:hAnsi="Garamond" w:cs="Arial"/>
          <w:sz w:val="24"/>
          <w:szCs w:val="24"/>
          <w:lang w:val="pt-BR"/>
        </w:rPr>
        <w:t>socioeconómica</w:t>
      </w:r>
      <w:r w:rsidRPr="003A1174">
        <w:rPr>
          <w:rFonts w:ascii="Garamond" w:hAnsi="Garamond" w:cs="Arial"/>
          <w:sz w:val="24"/>
          <w:szCs w:val="24"/>
          <w:lang w:val="pt-BR"/>
        </w:rPr>
        <w:t xml:space="preserve"> da mulher em todas as regiões do Brasil.</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Além de sistematizar dados e informações sobre a situação da mulher, o RASEAM é uma publicação que permite mais transparência nas ações do governo federal.</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Indicadores em relação à autonomia </w:t>
      </w:r>
      <w:r w:rsidR="00600E20" w:rsidRPr="003A1174">
        <w:rPr>
          <w:rFonts w:ascii="Garamond" w:hAnsi="Garamond" w:cs="Arial"/>
          <w:sz w:val="24"/>
          <w:szCs w:val="24"/>
          <w:lang w:val="pt-BR"/>
        </w:rPr>
        <w:t>económica</w:t>
      </w:r>
      <w:r w:rsidRPr="003A1174">
        <w:rPr>
          <w:rFonts w:ascii="Garamond" w:hAnsi="Garamond" w:cs="Arial"/>
          <w:sz w:val="24"/>
          <w:szCs w:val="24"/>
          <w:lang w:val="pt-BR"/>
        </w:rPr>
        <w:t xml:space="preserve"> e </w:t>
      </w:r>
      <w:r w:rsidR="00D37CF3" w:rsidRPr="003A1174">
        <w:rPr>
          <w:rFonts w:ascii="Garamond" w:hAnsi="Garamond" w:cs="Arial"/>
          <w:sz w:val="24"/>
          <w:szCs w:val="24"/>
          <w:lang w:val="pt-BR"/>
        </w:rPr>
        <w:t>igualdade</w:t>
      </w:r>
      <w:r w:rsidRPr="003A1174">
        <w:rPr>
          <w:rFonts w:ascii="Garamond" w:hAnsi="Garamond" w:cs="Arial"/>
          <w:sz w:val="24"/>
          <w:szCs w:val="24"/>
          <w:lang w:val="pt-BR"/>
        </w:rPr>
        <w:t xml:space="preserve"> no mundo do trabalho, saúde integral, direitos sexuais e reprodutivos, educação, </w:t>
      </w:r>
      <w:r w:rsidR="00576AE5">
        <w:rPr>
          <w:rFonts w:ascii="Garamond" w:hAnsi="Garamond" w:cs="Arial"/>
          <w:sz w:val="24"/>
          <w:szCs w:val="24"/>
          <w:lang w:val="pt-BR"/>
        </w:rPr>
        <w:t xml:space="preserve">confronto </w:t>
      </w:r>
      <w:r w:rsidRPr="003A1174">
        <w:rPr>
          <w:rFonts w:ascii="Garamond" w:hAnsi="Garamond" w:cs="Arial"/>
          <w:sz w:val="24"/>
          <w:szCs w:val="24"/>
          <w:lang w:val="pt-BR"/>
        </w:rPr>
        <w:t xml:space="preserve">à violência, mulheres em espaços de poder e decisão, comunicação, </w:t>
      </w:r>
      <w:r w:rsidR="00600E20" w:rsidRPr="003A1174">
        <w:rPr>
          <w:rFonts w:ascii="Garamond" w:hAnsi="Garamond" w:cs="Arial"/>
          <w:sz w:val="24"/>
          <w:szCs w:val="24"/>
          <w:lang w:val="pt-BR"/>
        </w:rPr>
        <w:t>desporto</w:t>
      </w:r>
      <w:r w:rsidRPr="003A1174">
        <w:rPr>
          <w:rFonts w:ascii="Garamond" w:hAnsi="Garamond" w:cs="Arial"/>
          <w:sz w:val="24"/>
          <w:szCs w:val="24"/>
          <w:lang w:val="pt-BR"/>
        </w:rPr>
        <w:t xml:space="preserve"> e cultura com recorte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estão à disposição de pesquisador</w:t>
      </w:r>
      <w:r w:rsidR="00272E6A">
        <w:rPr>
          <w:rFonts w:ascii="Garamond" w:hAnsi="Garamond" w:cs="Arial"/>
          <w:sz w:val="24"/>
          <w:szCs w:val="24"/>
          <w:lang w:val="pt-BR"/>
        </w:rPr>
        <w:t>e</w:t>
      </w:r>
      <w:r w:rsidRPr="003A1174">
        <w:rPr>
          <w:rFonts w:ascii="Garamond" w:hAnsi="Garamond" w:cs="Arial"/>
          <w:sz w:val="24"/>
          <w:szCs w:val="24"/>
          <w:lang w:val="pt-BR"/>
        </w:rPr>
        <w:t>s e formulador</w:t>
      </w:r>
      <w:r w:rsidR="00272E6A">
        <w:rPr>
          <w:rFonts w:ascii="Garamond" w:hAnsi="Garamond" w:cs="Arial"/>
          <w:sz w:val="24"/>
          <w:szCs w:val="24"/>
          <w:lang w:val="pt-BR"/>
        </w:rPr>
        <w:t>e</w:t>
      </w:r>
      <w:r w:rsidRPr="003A1174">
        <w:rPr>
          <w:rFonts w:ascii="Garamond" w:hAnsi="Garamond" w:cs="Arial"/>
          <w:sz w:val="24"/>
          <w:szCs w:val="24"/>
          <w:lang w:val="pt-BR"/>
        </w:rPr>
        <w:t xml:space="preserve">s de políticas públicas. O monitoramento sistemático das informações tem por finalidade ampliar a prestação de contas das ações direcionadas às mulheres e acompanhar o aprimoramento das políticas de </w:t>
      </w:r>
      <w:r w:rsidR="00600E20" w:rsidRPr="003A1174">
        <w:rPr>
          <w:rFonts w:ascii="Garamond" w:hAnsi="Garamond" w:cs="Arial"/>
          <w:sz w:val="24"/>
          <w:szCs w:val="24"/>
          <w:lang w:val="pt-BR"/>
        </w:rPr>
        <w:t>género</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No capítulo destinado à violência, por exemplo,</w:t>
      </w:r>
      <w:r w:rsidR="00272E6A">
        <w:rPr>
          <w:rFonts w:ascii="Garamond" w:hAnsi="Garamond" w:cs="Arial"/>
          <w:sz w:val="24"/>
          <w:szCs w:val="24"/>
          <w:lang w:val="pt-BR"/>
        </w:rPr>
        <w:t xml:space="preserve"> na </w:t>
      </w:r>
      <w:r w:rsidRPr="003A1174">
        <w:rPr>
          <w:rFonts w:ascii="Garamond" w:hAnsi="Garamond" w:cs="Arial"/>
          <w:sz w:val="24"/>
          <w:szCs w:val="24"/>
          <w:lang w:val="pt-BR"/>
        </w:rPr>
        <w:t>pesquisa de 2013</w:t>
      </w:r>
      <w:r w:rsidR="00272E6A">
        <w:rPr>
          <w:rFonts w:ascii="Garamond" w:hAnsi="Garamond" w:cs="Arial"/>
          <w:sz w:val="24"/>
          <w:szCs w:val="24"/>
          <w:lang w:val="pt-BR"/>
        </w:rPr>
        <w:t>,</w:t>
      </w:r>
      <w:r w:rsidRPr="003A1174">
        <w:rPr>
          <w:rFonts w:ascii="Garamond" w:hAnsi="Garamond" w:cs="Arial"/>
          <w:sz w:val="24"/>
          <w:szCs w:val="24"/>
          <w:lang w:val="pt-BR"/>
        </w:rPr>
        <w:t xml:space="preserve"> realizada pelo Data Senado</w:t>
      </w:r>
      <w:r w:rsidR="00272E6A">
        <w:rPr>
          <w:rFonts w:ascii="Garamond" w:hAnsi="Garamond" w:cs="Arial"/>
          <w:sz w:val="24"/>
          <w:szCs w:val="24"/>
          <w:lang w:val="pt-BR"/>
        </w:rPr>
        <w:t>,</w:t>
      </w:r>
      <w:r w:rsidRPr="003A1174">
        <w:rPr>
          <w:rFonts w:ascii="Garamond" w:hAnsi="Garamond" w:cs="Arial"/>
          <w:sz w:val="24"/>
          <w:szCs w:val="24"/>
          <w:lang w:val="pt-BR"/>
        </w:rPr>
        <w:t xml:space="preserve"> identificou</w:t>
      </w:r>
      <w:r w:rsidR="00600E20" w:rsidRPr="003A1174">
        <w:rPr>
          <w:rFonts w:ascii="Garamond" w:hAnsi="Garamond" w:cs="Arial"/>
          <w:sz w:val="24"/>
          <w:szCs w:val="24"/>
          <w:lang w:val="pt-BR"/>
        </w:rPr>
        <w:t>-se</w:t>
      </w:r>
      <w:r w:rsidRPr="003A1174">
        <w:rPr>
          <w:rFonts w:ascii="Garamond" w:hAnsi="Garamond" w:cs="Arial"/>
          <w:sz w:val="24"/>
          <w:szCs w:val="24"/>
          <w:lang w:val="pt-BR"/>
        </w:rPr>
        <w:t xml:space="preserve"> que 13,5 milhões de mulheres já sofreram algum tipo de agressão.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2B00E5" w:rsidRDefault="00B41317"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2B00E5">
        <w:rPr>
          <w:rFonts w:ascii="Garamond" w:hAnsi="Garamond" w:cs="Arial"/>
          <w:sz w:val="20"/>
          <w:szCs w:val="20"/>
          <w:lang w:val="pt-BR"/>
        </w:rPr>
        <w:t>27</w:t>
      </w:r>
      <w:r>
        <w:rPr>
          <w:rFonts w:ascii="Garamond" w:hAnsi="Garamond" w:cs="Arial"/>
          <w:sz w:val="20"/>
          <w:szCs w:val="20"/>
          <w:lang w:val="pt-BR"/>
        </w:rPr>
        <w:t>)</w:t>
      </w:r>
      <w:r w:rsidR="004C140F" w:rsidRPr="002B00E5">
        <w:rPr>
          <w:rFonts w:ascii="Garamond" w:hAnsi="Garamond" w:cs="Arial"/>
          <w:sz w:val="20"/>
          <w:szCs w:val="20"/>
          <w:lang w:val="pt-BR"/>
        </w:rPr>
        <w:t xml:space="preserve"> http://www.secom.ba.gov.br/2014/07/120078/Publicado-edital-de-licitacao-para-construcao-da-Casa-da-Mulher-</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Brasileira-de-Salvador.html/mobile=0</w:t>
      </w:r>
    </w:p>
    <w:p w:rsidR="004C140F" w:rsidRPr="002B00E5" w:rsidRDefault="00B41317"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2B00E5">
        <w:rPr>
          <w:rFonts w:ascii="Garamond" w:hAnsi="Garamond" w:cs="Arial"/>
          <w:sz w:val="20"/>
          <w:szCs w:val="20"/>
          <w:lang w:val="pt-BR"/>
        </w:rPr>
        <w:t>28</w:t>
      </w:r>
      <w:r>
        <w:rPr>
          <w:rFonts w:ascii="Garamond" w:hAnsi="Garamond" w:cs="Arial"/>
          <w:sz w:val="20"/>
          <w:szCs w:val="20"/>
          <w:lang w:val="pt-BR"/>
        </w:rPr>
        <w:t>)</w:t>
      </w:r>
      <w:r w:rsidR="004C140F" w:rsidRPr="002B00E5">
        <w:rPr>
          <w:rFonts w:ascii="Garamond" w:hAnsi="Garamond" w:cs="Arial"/>
          <w:sz w:val="20"/>
          <w:szCs w:val="20"/>
          <w:lang w:val="pt-BR"/>
        </w:rPr>
        <w:t xml:space="preserve"> BRASIL. PRESIDÊNCIA DA REPÚBLICA. SECRETARIA DE POLÍTICAS PARA AS MULHERES. Relatório Anual</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Socioeconômico da Mulher (RASEAM) 2013. Brasília: Secretaria de Políticas para as Mulheres, 2013. 170</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p.http://dspacesnj.c3sl.ufpr.br/xmlui/handle/11322/126?show=full</w:t>
      </w:r>
    </w:p>
    <w:p w:rsidR="004C140F" w:rsidRPr="002B00E5" w:rsidRDefault="00B41317"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2B00E5">
        <w:rPr>
          <w:rFonts w:ascii="Garamond" w:hAnsi="Garamond" w:cs="Arial"/>
          <w:sz w:val="20"/>
          <w:szCs w:val="20"/>
          <w:lang w:val="pt-BR"/>
        </w:rPr>
        <w:t>29</w:t>
      </w:r>
      <w:r>
        <w:rPr>
          <w:rFonts w:ascii="Garamond" w:hAnsi="Garamond" w:cs="Arial"/>
          <w:sz w:val="20"/>
          <w:szCs w:val="20"/>
          <w:lang w:val="pt-BR"/>
        </w:rPr>
        <w:t>)</w:t>
      </w:r>
      <w:r w:rsidR="004C140F" w:rsidRPr="002B00E5">
        <w:rPr>
          <w:rFonts w:ascii="Garamond" w:hAnsi="Garamond" w:cs="Arial"/>
          <w:sz w:val="20"/>
          <w:szCs w:val="20"/>
          <w:lang w:val="pt-BR"/>
        </w:rPr>
        <w:t xml:space="preserve"> http://dspacesnj.c3sl.ufpr.br/xmlui/handle/11322/126?show=full – Descrição. Acesso em 28.07.2014.</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272E6A" w:rsidP="008719D4">
      <w:pPr>
        <w:autoSpaceDE w:val="0"/>
        <w:autoSpaceDN w:val="0"/>
        <w:adjustRightInd w:val="0"/>
        <w:spacing w:after="0" w:line="240" w:lineRule="auto"/>
        <w:jc w:val="both"/>
        <w:rPr>
          <w:rFonts w:ascii="Garamond" w:hAnsi="Garamond" w:cs="Arial"/>
          <w:sz w:val="24"/>
          <w:szCs w:val="24"/>
          <w:lang w:val="pt-BR"/>
        </w:rPr>
      </w:pPr>
      <w:r>
        <w:rPr>
          <w:rFonts w:ascii="Garamond" w:hAnsi="Garamond" w:cs="Arial"/>
          <w:sz w:val="24"/>
          <w:szCs w:val="24"/>
          <w:lang w:val="pt-BR"/>
        </w:rPr>
        <w:t>A a</w:t>
      </w:r>
      <w:r w:rsidR="00600E20" w:rsidRPr="003A1174">
        <w:rPr>
          <w:rFonts w:ascii="Garamond" w:hAnsi="Garamond" w:cs="Arial"/>
          <w:sz w:val="24"/>
          <w:szCs w:val="24"/>
          <w:lang w:val="pt-BR"/>
        </w:rPr>
        <w:t>nálise feita a</w:t>
      </w:r>
      <w:r w:rsidR="004C140F" w:rsidRPr="003A1174">
        <w:rPr>
          <w:rFonts w:ascii="Garamond" w:hAnsi="Garamond" w:cs="Arial"/>
          <w:sz w:val="24"/>
          <w:szCs w:val="24"/>
          <w:lang w:val="pt-BR"/>
        </w:rPr>
        <w:t xml:space="preserve">o relatório aponta </w:t>
      </w:r>
      <w:r w:rsidR="00576AE5">
        <w:rPr>
          <w:rFonts w:ascii="Garamond" w:hAnsi="Garamond" w:cs="Arial"/>
          <w:sz w:val="24"/>
          <w:szCs w:val="24"/>
          <w:lang w:val="pt-BR"/>
        </w:rPr>
        <w:t xml:space="preserve">no sentido de </w:t>
      </w:r>
      <w:r w:rsidR="004C140F" w:rsidRPr="003A1174">
        <w:rPr>
          <w:rFonts w:ascii="Garamond" w:hAnsi="Garamond" w:cs="Arial"/>
          <w:sz w:val="24"/>
          <w:szCs w:val="24"/>
          <w:lang w:val="pt-BR"/>
        </w:rPr>
        <w:t>que</w:t>
      </w:r>
      <w:r w:rsidR="00B41317">
        <w:rPr>
          <w:rFonts w:ascii="Garamond" w:hAnsi="Garamond" w:cs="Arial"/>
          <w:sz w:val="24"/>
          <w:szCs w:val="24"/>
          <w:lang w:val="pt-BR"/>
        </w:rPr>
        <w:t>,</w:t>
      </w:r>
      <w:r w:rsidR="004C140F" w:rsidRPr="003A1174">
        <w:rPr>
          <w:rFonts w:ascii="Garamond" w:hAnsi="Garamond" w:cs="Arial"/>
          <w:sz w:val="24"/>
          <w:szCs w:val="24"/>
          <w:lang w:val="pt-BR"/>
        </w:rPr>
        <w:t xml:space="preserve"> o </w:t>
      </w:r>
      <w:r w:rsidR="00576AE5" w:rsidRPr="00B41317">
        <w:rPr>
          <w:rFonts w:ascii="Garamond" w:hAnsi="Garamond" w:cs="Arial"/>
          <w:sz w:val="24"/>
          <w:szCs w:val="24"/>
          <w:lang w:val="pt-BR"/>
        </w:rPr>
        <w:t xml:space="preserve">confronto </w:t>
      </w:r>
      <w:r w:rsidR="004C140F" w:rsidRPr="00B41317">
        <w:rPr>
          <w:rFonts w:ascii="Garamond" w:hAnsi="Garamond" w:cs="Arial"/>
          <w:sz w:val="24"/>
          <w:szCs w:val="24"/>
          <w:lang w:val="pt-BR"/>
        </w:rPr>
        <w:t>à violência</w:t>
      </w:r>
      <w:r w:rsidR="004C140F" w:rsidRPr="003A1174">
        <w:rPr>
          <w:rFonts w:ascii="Garamond" w:hAnsi="Garamond" w:cs="Arial"/>
          <w:sz w:val="24"/>
          <w:szCs w:val="24"/>
          <w:lang w:val="pt-BR"/>
        </w:rPr>
        <w:t xml:space="preserve"> contra as mulheres</w:t>
      </w:r>
      <w:r w:rsidR="00B41317">
        <w:rPr>
          <w:rFonts w:ascii="Garamond" w:hAnsi="Garamond" w:cs="Arial"/>
          <w:sz w:val="24"/>
          <w:szCs w:val="24"/>
          <w:lang w:val="pt-BR"/>
        </w:rPr>
        <w:t>,</w:t>
      </w:r>
      <w:r w:rsidR="004C140F" w:rsidRPr="003A1174">
        <w:rPr>
          <w:rFonts w:ascii="Garamond" w:hAnsi="Garamond" w:cs="Arial"/>
          <w:sz w:val="24"/>
          <w:szCs w:val="24"/>
          <w:lang w:val="pt-BR"/>
        </w:rPr>
        <w:t xml:space="preserve"> requer a ação conjunta dos diversos setores envolvidos </w:t>
      </w:r>
      <w:r w:rsidR="00600E20" w:rsidRPr="003A1174">
        <w:rPr>
          <w:rFonts w:ascii="Garamond" w:hAnsi="Garamond" w:cs="Arial"/>
          <w:sz w:val="24"/>
          <w:szCs w:val="24"/>
          <w:lang w:val="pt-BR"/>
        </w:rPr>
        <w:t>n</w:t>
      </w:r>
      <w:r w:rsidR="004C140F" w:rsidRPr="003A1174">
        <w:rPr>
          <w:rFonts w:ascii="Garamond" w:hAnsi="Garamond" w:cs="Arial"/>
          <w:sz w:val="24"/>
          <w:szCs w:val="24"/>
          <w:lang w:val="pt-BR"/>
        </w:rPr>
        <w:t>a questão,</w:t>
      </w:r>
      <w:r w:rsidR="00895A22">
        <w:rPr>
          <w:rFonts w:ascii="Garamond" w:hAnsi="Garamond" w:cs="Arial"/>
          <w:sz w:val="24"/>
          <w:szCs w:val="24"/>
          <w:lang w:val="pt-BR"/>
        </w:rPr>
        <w:t xml:space="preserve"> tais como os setores da</w:t>
      </w:r>
      <w:r w:rsidR="004C140F" w:rsidRPr="003A1174">
        <w:rPr>
          <w:rFonts w:ascii="Garamond" w:hAnsi="Garamond" w:cs="Arial"/>
          <w:sz w:val="24"/>
          <w:szCs w:val="24"/>
          <w:lang w:val="pt-BR"/>
        </w:rPr>
        <w:t xml:space="preserve"> saúde, segurança pública, justiça, educação, trabalho, habitação, assistência social, entre outros. Dados do Poder </w:t>
      </w:r>
      <w:r w:rsidR="00513D98" w:rsidRPr="003A1174">
        <w:rPr>
          <w:rFonts w:ascii="Garamond" w:hAnsi="Garamond" w:cs="Arial"/>
          <w:sz w:val="24"/>
          <w:szCs w:val="24"/>
          <w:lang w:val="pt-BR"/>
        </w:rPr>
        <w:t>Judicial</w:t>
      </w:r>
      <w:r w:rsidR="004C140F" w:rsidRPr="003A1174">
        <w:rPr>
          <w:rFonts w:ascii="Garamond" w:hAnsi="Garamond" w:cs="Arial"/>
          <w:sz w:val="24"/>
          <w:szCs w:val="24"/>
          <w:lang w:val="pt-BR"/>
        </w:rPr>
        <w:t xml:space="preserve"> indicam um aumento da taxa de homicídios nos últimos anos. Entre 1990 e 2000 foram assassinadas 4,3 mulheres para cada grupo de 100 mil. Em 2010, essa taxa foi de 4,6 mortes, segundo informações do Conselho Nacional de Justiça (CNJ).</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 A despeito dos avanços ocorridos nos últimos anos, o RASEAM </w:t>
      </w:r>
      <w:r w:rsidR="00895A22">
        <w:rPr>
          <w:rFonts w:ascii="Garamond" w:hAnsi="Garamond" w:cs="Arial"/>
          <w:sz w:val="24"/>
          <w:szCs w:val="24"/>
          <w:lang w:val="pt-BR"/>
        </w:rPr>
        <w:t xml:space="preserve">revela </w:t>
      </w:r>
      <w:r w:rsidRPr="003A1174">
        <w:rPr>
          <w:rFonts w:ascii="Garamond" w:hAnsi="Garamond" w:cs="Arial"/>
          <w:sz w:val="24"/>
          <w:szCs w:val="24"/>
          <w:lang w:val="pt-BR"/>
        </w:rPr>
        <w:t xml:space="preserve">que há um longo caminho para o Brasil superar as </w:t>
      </w:r>
      <w:r w:rsidR="00D37CF3" w:rsidRPr="003A1174">
        <w:rPr>
          <w:rFonts w:ascii="Garamond" w:hAnsi="Garamond" w:cs="Arial"/>
          <w:sz w:val="24"/>
          <w:szCs w:val="24"/>
          <w:lang w:val="pt-BR"/>
        </w:rPr>
        <w:t>desigualdades</w:t>
      </w:r>
      <w:r w:rsidRPr="003A1174">
        <w:rPr>
          <w:rFonts w:ascii="Garamond" w:hAnsi="Garamond" w:cs="Arial"/>
          <w:sz w:val="24"/>
          <w:szCs w:val="24"/>
          <w:lang w:val="pt-BR"/>
        </w:rPr>
        <w:t xml:space="preserve"> de </w:t>
      </w:r>
      <w:r w:rsidR="00600E20" w:rsidRPr="003A1174">
        <w:rPr>
          <w:rFonts w:ascii="Garamond" w:hAnsi="Garamond" w:cs="Arial"/>
          <w:sz w:val="24"/>
          <w:szCs w:val="24"/>
          <w:lang w:val="pt-BR"/>
        </w:rPr>
        <w:t>género</w:t>
      </w:r>
      <w:r w:rsidRPr="003A1174">
        <w:rPr>
          <w:rFonts w:ascii="Garamond" w:hAnsi="Garamond" w:cs="Arial"/>
          <w:sz w:val="24"/>
          <w:szCs w:val="24"/>
          <w:lang w:val="pt-BR"/>
        </w:rPr>
        <w:t>, raça e regionais.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 Para elaboração do RASEAM, foi criado um Grupo de Trabalho integrado por representantes da SPM, do Conselho Nacional dos Direitos da Mulher (CNDM), Instituto de Pesquisa </w:t>
      </w:r>
      <w:r w:rsidR="00600E20" w:rsidRPr="003A1174">
        <w:rPr>
          <w:rFonts w:ascii="Garamond" w:hAnsi="Garamond" w:cs="Arial"/>
          <w:sz w:val="24"/>
          <w:szCs w:val="24"/>
          <w:lang w:val="pt-BR"/>
        </w:rPr>
        <w:t>Económica</w:t>
      </w:r>
      <w:r w:rsidRPr="003A1174">
        <w:rPr>
          <w:rFonts w:ascii="Garamond" w:hAnsi="Garamond" w:cs="Arial"/>
          <w:sz w:val="24"/>
          <w:szCs w:val="24"/>
          <w:lang w:val="pt-BR"/>
        </w:rPr>
        <w:t xml:space="preserve"> Aplicada (Ipea) e Instituto Brasileiro de Geografia e Estatística (IBGE). Participam também, como convidados permanentes, integrantes do Departamento Intersindical de Estatística e Estudos </w:t>
      </w:r>
      <w:r w:rsidR="00600E20" w:rsidRPr="003A1174">
        <w:rPr>
          <w:rFonts w:ascii="Garamond" w:hAnsi="Garamond" w:cs="Arial"/>
          <w:sz w:val="24"/>
          <w:szCs w:val="24"/>
          <w:lang w:val="pt-BR"/>
        </w:rPr>
        <w:t>Socioeconómicos</w:t>
      </w:r>
      <w:r w:rsidRPr="003A1174">
        <w:rPr>
          <w:rFonts w:ascii="Garamond" w:hAnsi="Garamond" w:cs="Arial"/>
          <w:sz w:val="24"/>
          <w:szCs w:val="24"/>
          <w:lang w:val="pt-BR"/>
        </w:rPr>
        <w:t xml:space="preserve"> (Dieese), da Organização Internacional do Trabalho (OIT) e da ONU Mulheres</w:t>
      </w:r>
      <w:r w:rsidR="00600E20"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No capítulo 6 deste Relatório, que versa sobre </w:t>
      </w:r>
      <w:r w:rsidR="00895A22">
        <w:rPr>
          <w:rFonts w:ascii="Garamond" w:hAnsi="Garamond" w:cs="Arial"/>
          <w:sz w:val="24"/>
          <w:szCs w:val="24"/>
          <w:lang w:val="pt-BR"/>
        </w:rPr>
        <w:t xml:space="preserve">«Confronto </w:t>
      </w:r>
      <w:r w:rsidRPr="003A1174">
        <w:rPr>
          <w:rFonts w:ascii="Garamond" w:hAnsi="Garamond" w:cs="Arial"/>
          <w:sz w:val="24"/>
          <w:szCs w:val="24"/>
          <w:lang w:val="pt-BR"/>
        </w:rPr>
        <w:t>à Violência contra a mulher</w:t>
      </w:r>
      <w:r w:rsidR="00895A22">
        <w:rPr>
          <w:rFonts w:ascii="Garamond" w:hAnsi="Garamond" w:cs="Arial"/>
          <w:sz w:val="24"/>
          <w:szCs w:val="24"/>
          <w:lang w:val="pt-BR"/>
        </w:rPr>
        <w:t>»</w:t>
      </w:r>
      <w:r w:rsidRPr="003A1174">
        <w:rPr>
          <w:rFonts w:ascii="Garamond" w:hAnsi="Garamond" w:cs="Arial"/>
          <w:sz w:val="24"/>
          <w:szCs w:val="24"/>
          <w:lang w:val="pt-BR"/>
        </w:rPr>
        <w:t xml:space="preserve">, há uma análise </w:t>
      </w:r>
      <w:r w:rsidR="00895A22">
        <w:rPr>
          <w:rFonts w:ascii="Garamond" w:hAnsi="Garamond" w:cs="Arial"/>
          <w:sz w:val="24"/>
          <w:szCs w:val="24"/>
          <w:lang w:val="pt-BR"/>
        </w:rPr>
        <w:t>«</w:t>
      </w:r>
      <w:r w:rsidRPr="003A1174">
        <w:rPr>
          <w:rFonts w:ascii="Garamond" w:hAnsi="Garamond" w:cs="Arial"/>
          <w:sz w:val="24"/>
          <w:szCs w:val="24"/>
          <w:lang w:val="pt-BR"/>
        </w:rPr>
        <w:t>dos dados disponíveis sobre violência contra as mulheres, oriundos da Central de Atendimento à Mulher</w:t>
      </w:r>
      <w:r w:rsidR="00600E20" w:rsidRPr="003A1174">
        <w:rPr>
          <w:rFonts w:ascii="Garamond" w:hAnsi="Garamond" w:cs="Arial"/>
          <w:sz w:val="24"/>
          <w:szCs w:val="24"/>
          <w:lang w:val="pt-BR"/>
        </w:rPr>
        <w:t xml:space="preserve"> </w:t>
      </w:r>
      <w:r w:rsidRPr="003A1174">
        <w:rPr>
          <w:rFonts w:ascii="Garamond" w:hAnsi="Garamond" w:cs="Arial"/>
          <w:sz w:val="24"/>
          <w:szCs w:val="24"/>
          <w:lang w:val="pt-BR"/>
        </w:rPr>
        <w:t>–</w:t>
      </w:r>
      <w:r w:rsidR="00600E20" w:rsidRPr="003A1174">
        <w:rPr>
          <w:rFonts w:ascii="Garamond" w:hAnsi="Garamond" w:cs="Arial"/>
          <w:sz w:val="24"/>
          <w:szCs w:val="24"/>
          <w:lang w:val="pt-BR"/>
        </w:rPr>
        <w:t xml:space="preserve"> </w:t>
      </w:r>
      <w:r w:rsidRPr="003A1174">
        <w:rPr>
          <w:rFonts w:ascii="Garamond" w:hAnsi="Garamond" w:cs="Arial"/>
          <w:sz w:val="24"/>
          <w:szCs w:val="24"/>
          <w:lang w:val="pt-BR"/>
        </w:rPr>
        <w:t xml:space="preserve">Ligue 180, do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xml:space="preserve"> e do Ministério da Saúde</w:t>
      </w:r>
      <w:r w:rsidR="00895A22">
        <w:rPr>
          <w:rFonts w:ascii="Garamond" w:hAnsi="Garamond" w:cs="Arial"/>
          <w:sz w:val="24"/>
          <w:szCs w:val="24"/>
          <w:lang w:val="pt-BR"/>
        </w:rPr>
        <w:t>»</w:t>
      </w:r>
      <w:r w:rsidRPr="003A1174">
        <w:rPr>
          <w:rFonts w:ascii="Garamond" w:hAnsi="Garamond" w:cs="Arial"/>
          <w:sz w:val="24"/>
          <w:szCs w:val="24"/>
          <w:lang w:val="pt-BR"/>
        </w:rPr>
        <w:t xml:space="preserve">. Também </w:t>
      </w:r>
      <w:r w:rsidRPr="003A1174">
        <w:rPr>
          <w:rFonts w:ascii="Garamond" w:hAnsi="Garamond" w:cs="Arial"/>
          <w:sz w:val="24"/>
          <w:szCs w:val="24"/>
          <w:lang w:val="pt-BR"/>
        </w:rPr>
        <w:lastRenderedPageBreak/>
        <w:t xml:space="preserve">constam informações a respeito das mulheres em situação de prisão e uma </w:t>
      </w:r>
      <w:r w:rsidR="00D37CF3" w:rsidRPr="003A1174">
        <w:rPr>
          <w:rFonts w:ascii="Garamond" w:hAnsi="Garamond" w:cs="Arial"/>
          <w:sz w:val="24"/>
          <w:szCs w:val="24"/>
          <w:lang w:val="pt-BR"/>
        </w:rPr>
        <w:t>perspectiva</w:t>
      </w:r>
      <w:r w:rsidRPr="003A1174">
        <w:rPr>
          <w:rFonts w:ascii="Garamond" w:hAnsi="Garamond" w:cs="Arial"/>
          <w:sz w:val="24"/>
          <w:szCs w:val="24"/>
          <w:lang w:val="pt-BR"/>
        </w:rPr>
        <w:t xml:space="preserve"> da implementação de serviços exclusivos para mulheres vítimas de violência no âmbito do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bem como da oferta de serviços de atendimento a mulheres em situação de violência (as Delegacias Especializadas de Atendimento à Mulher, as Casas-Abrigo e os Centros de Referência).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Assim, o RASEAM </w:t>
      </w:r>
      <w:r w:rsidR="00704303">
        <w:rPr>
          <w:rFonts w:ascii="Garamond" w:hAnsi="Garamond" w:cs="Arial"/>
          <w:sz w:val="24"/>
          <w:szCs w:val="24"/>
          <w:lang w:val="pt-BR"/>
        </w:rPr>
        <w:t xml:space="preserve">oferece </w:t>
      </w:r>
      <w:r w:rsidRPr="003A1174">
        <w:rPr>
          <w:rFonts w:ascii="Garamond" w:hAnsi="Garamond" w:cs="Arial"/>
          <w:sz w:val="24"/>
          <w:szCs w:val="24"/>
          <w:lang w:val="pt-BR"/>
        </w:rPr>
        <w:t>uma análise das informações sobre os serviços exclusivos para as mulheres em situação de violência. Os dados nos quais esta análise se baseia são anteriores</w:t>
      </w:r>
      <w:r w:rsidR="00704303">
        <w:rPr>
          <w:rFonts w:ascii="Garamond" w:hAnsi="Garamond" w:cs="Arial"/>
          <w:sz w:val="24"/>
          <w:szCs w:val="24"/>
          <w:lang w:val="pt-BR"/>
        </w:rPr>
        <w:t>,</w:t>
      </w:r>
      <w:r w:rsidRPr="003A1174">
        <w:rPr>
          <w:rFonts w:ascii="Garamond" w:hAnsi="Garamond" w:cs="Arial"/>
          <w:sz w:val="24"/>
          <w:szCs w:val="24"/>
          <w:lang w:val="pt-BR"/>
        </w:rPr>
        <w:t xml:space="preserve"> mas é importante trazê-la aqui, uma vez que foi publicada no período </w:t>
      </w:r>
      <w:r w:rsidR="00704303">
        <w:rPr>
          <w:rFonts w:ascii="Garamond" w:hAnsi="Garamond" w:cs="Arial"/>
          <w:sz w:val="24"/>
          <w:szCs w:val="24"/>
          <w:lang w:val="pt-BR"/>
        </w:rPr>
        <w:t xml:space="preserve">em </w:t>
      </w:r>
      <w:r w:rsidRPr="003A1174">
        <w:rPr>
          <w:rFonts w:ascii="Garamond" w:hAnsi="Garamond" w:cs="Arial"/>
          <w:sz w:val="24"/>
          <w:szCs w:val="24"/>
          <w:lang w:val="pt-BR"/>
        </w:rPr>
        <w:t xml:space="preserve">que </w:t>
      </w:r>
      <w:r w:rsidR="00600E20" w:rsidRPr="003A1174">
        <w:rPr>
          <w:rFonts w:ascii="Garamond" w:hAnsi="Garamond" w:cs="Arial"/>
          <w:sz w:val="24"/>
          <w:szCs w:val="24"/>
          <w:lang w:val="pt-BR"/>
        </w:rPr>
        <w:t xml:space="preserve">nos </w:t>
      </w:r>
      <w:r w:rsidRPr="003A1174">
        <w:rPr>
          <w:rFonts w:ascii="Garamond" w:hAnsi="Garamond" w:cs="Arial"/>
          <w:sz w:val="24"/>
          <w:szCs w:val="24"/>
          <w:lang w:val="pt-BR"/>
        </w:rPr>
        <w:t>estamos</w:t>
      </w:r>
      <w:r w:rsidR="00600E20" w:rsidRPr="003A1174">
        <w:rPr>
          <w:rFonts w:ascii="Garamond" w:hAnsi="Garamond" w:cs="Arial"/>
          <w:sz w:val="24"/>
          <w:szCs w:val="24"/>
          <w:lang w:val="pt-BR"/>
        </w:rPr>
        <w:t xml:space="preserve"> a</w:t>
      </w:r>
      <w:r w:rsidRPr="003A1174">
        <w:rPr>
          <w:rFonts w:ascii="Garamond" w:hAnsi="Garamond" w:cs="Arial"/>
          <w:sz w:val="24"/>
          <w:szCs w:val="24"/>
          <w:lang w:val="pt-BR"/>
        </w:rPr>
        <w:t xml:space="preserve"> foca</w:t>
      </w:r>
      <w:r w:rsidR="00600E20" w:rsidRPr="003A1174">
        <w:rPr>
          <w:rFonts w:ascii="Garamond" w:hAnsi="Garamond" w:cs="Arial"/>
          <w:sz w:val="24"/>
          <w:szCs w:val="24"/>
          <w:lang w:val="pt-BR"/>
        </w:rPr>
        <w:t xml:space="preserve">r </w:t>
      </w:r>
      <w:r w:rsidRPr="003A1174">
        <w:rPr>
          <w:rFonts w:ascii="Garamond" w:hAnsi="Garamond" w:cs="Arial"/>
          <w:sz w:val="24"/>
          <w:szCs w:val="24"/>
          <w:lang w:val="pt-BR"/>
        </w:rPr>
        <w:t xml:space="preserve">e ela não constou do </w:t>
      </w:r>
      <w:r w:rsidR="009E3E55" w:rsidRPr="003A1174">
        <w:rPr>
          <w:rFonts w:ascii="Garamond" w:hAnsi="Garamond" w:cs="Arial"/>
          <w:sz w:val="24"/>
          <w:szCs w:val="24"/>
          <w:lang w:val="pt-BR"/>
        </w:rPr>
        <w:t>relatório</w:t>
      </w:r>
      <w:r w:rsidRPr="003A1174">
        <w:rPr>
          <w:rFonts w:ascii="Garamond" w:hAnsi="Garamond" w:cs="Arial"/>
          <w:sz w:val="24"/>
          <w:szCs w:val="24"/>
          <w:lang w:val="pt-BR"/>
        </w:rPr>
        <w:t xml:space="preserve"> anteriormente enviado pela PFDC.</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Na </w:t>
      </w:r>
      <w:r w:rsidR="00D37CF3" w:rsidRPr="003A1174">
        <w:rPr>
          <w:rFonts w:ascii="Garamond" w:hAnsi="Garamond" w:cs="Arial"/>
          <w:sz w:val="24"/>
          <w:szCs w:val="24"/>
          <w:lang w:val="pt-BR"/>
        </w:rPr>
        <w:t>perspectiva</w:t>
      </w:r>
      <w:r w:rsidRPr="003A1174">
        <w:rPr>
          <w:rFonts w:ascii="Garamond" w:hAnsi="Garamond" w:cs="Arial"/>
          <w:sz w:val="24"/>
          <w:szCs w:val="24"/>
          <w:lang w:val="pt-BR"/>
        </w:rPr>
        <w:t xml:space="preserve"> da análise apresentada no RASEAM-2013 </w:t>
      </w:r>
      <w:r w:rsidR="00704303">
        <w:rPr>
          <w:rFonts w:ascii="Garamond" w:hAnsi="Garamond" w:cs="Arial"/>
          <w:sz w:val="24"/>
          <w:szCs w:val="24"/>
          <w:lang w:val="pt-BR"/>
        </w:rPr>
        <w:t>«</w:t>
      </w:r>
      <w:r w:rsidRPr="003A1174">
        <w:rPr>
          <w:rFonts w:ascii="Garamond" w:hAnsi="Garamond" w:cs="Arial"/>
          <w:sz w:val="24"/>
          <w:szCs w:val="24"/>
          <w:lang w:val="pt-BR"/>
        </w:rPr>
        <w:t>Desde a implementação da Lei 11</w:t>
      </w:r>
      <w:r w:rsidR="00704303">
        <w:rPr>
          <w:rFonts w:ascii="Garamond" w:hAnsi="Garamond" w:cs="Arial"/>
          <w:sz w:val="24"/>
          <w:szCs w:val="24"/>
          <w:lang w:val="pt-BR"/>
        </w:rPr>
        <w:t xml:space="preserve"> </w:t>
      </w:r>
      <w:r w:rsidRPr="003A1174">
        <w:rPr>
          <w:rFonts w:ascii="Garamond" w:hAnsi="Garamond" w:cs="Arial"/>
          <w:sz w:val="24"/>
          <w:szCs w:val="24"/>
          <w:lang w:val="pt-BR"/>
        </w:rPr>
        <w:t>340/2006, há um processo de ampliação dos serviços voltados para o</w:t>
      </w:r>
      <w:r w:rsidR="00600E20" w:rsidRPr="003A1174">
        <w:rPr>
          <w:rFonts w:ascii="Garamond" w:hAnsi="Garamond" w:cs="Arial"/>
          <w:sz w:val="24"/>
          <w:szCs w:val="24"/>
          <w:lang w:val="pt-BR"/>
        </w:rPr>
        <w:t xml:space="preserve"> </w:t>
      </w:r>
      <w:r w:rsidRPr="003A1174">
        <w:rPr>
          <w:rFonts w:ascii="Garamond" w:hAnsi="Garamond" w:cs="Arial"/>
          <w:sz w:val="24"/>
          <w:szCs w:val="24"/>
          <w:lang w:val="pt-BR"/>
        </w:rPr>
        <w:t>atendimento das mulheres vítimas de violência</w:t>
      </w:r>
      <w:r w:rsidR="00704303">
        <w:rPr>
          <w:rFonts w:ascii="Garamond" w:hAnsi="Garamond" w:cs="Arial"/>
          <w:sz w:val="24"/>
          <w:szCs w:val="24"/>
          <w:lang w:val="pt-BR"/>
        </w:rPr>
        <w:t>»</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Segundo os dados da Pesquisa de Informações Básicas Estaduais (IBGE/ESTADIC, 2012), entre 2006 e 2012, foram criados 66 juizados exclusivos, isto é, especializados – os Juizados de Violência Doméstica e Familiar contra a Mulher. Estão distribuídos em </w:t>
      </w:r>
      <w:r w:rsidR="00704303">
        <w:rPr>
          <w:rFonts w:ascii="Garamond" w:hAnsi="Garamond" w:cs="Arial"/>
          <w:sz w:val="24"/>
          <w:szCs w:val="24"/>
          <w:lang w:val="pt-BR"/>
        </w:rPr>
        <w:t>,</w:t>
      </w:r>
      <w:r w:rsidRPr="003A1174">
        <w:rPr>
          <w:rFonts w:ascii="Garamond" w:hAnsi="Garamond" w:cs="Arial"/>
          <w:sz w:val="24"/>
          <w:szCs w:val="24"/>
          <w:lang w:val="pt-BR"/>
        </w:rPr>
        <w:t>aproximadamente</w:t>
      </w:r>
      <w:r w:rsidR="00704303">
        <w:rPr>
          <w:rFonts w:ascii="Garamond" w:hAnsi="Garamond" w:cs="Arial"/>
          <w:sz w:val="24"/>
          <w:szCs w:val="24"/>
          <w:lang w:val="pt-BR"/>
        </w:rPr>
        <w:t>,</w:t>
      </w:r>
      <w:r w:rsidRPr="003A1174">
        <w:rPr>
          <w:rFonts w:ascii="Garamond" w:hAnsi="Garamond" w:cs="Arial"/>
          <w:sz w:val="24"/>
          <w:szCs w:val="24"/>
          <w:lang w:val="pt-BR"/>
        </w:rPr>
        <w:t xml:space="preserve"> 81% dos estados da Federação – Acre, Sergipe, Minas Gerais, Paraná e Mato Grosso do Sul não possuem essa estrutura – e têm como </w:t>
      </w:r>
      <w:r w:rsidR="00C86C58" w:rsidRPr="003A1174">
        <w:rPr>
          <w:rFonts w:ascii="Garamond" w:hAnsi="Garamond" w:cs="Arial"/>
          <w:sz w:val="24"/>
          <w:szCs w:val="24"/>
          <w:lang w:val="pt-BR"/>
        </w:rPr>
        <w:t>competência</w:t>
      </w:r>
      <w:r w:rsidRPr="003A1174">
        <w:rPr>
          <w:rFonts w:ascii="Garamond" w:hAnsi="Garamond" w:cs="Arial"/>
          <w:sz w:val="24"/>
          <w:szCs w:val="24"/>
          <w:lang w:val="pt-BR"/>
        </w:rPr>
        <w:t xml:space="preserve"> julgar e aplicar as medidas cabíveis aos processos de violência contra as mulheres, tanto os baseados na Lei Maria da Penha, quanto em outros procedimentos</w:t>
      </w:r>
      <w:r w:rsidR="00704303">
        <w:rPr>
          <w:rFonts w:ascii="Garamond" w:hAnsi="Garamond" w:cs="Arial"/>
          <w:sz w:val="24"/>
          <w:szCs w:val="24"/>
          <w:lang w:val="pt-BR"/>
        </w:rPr>
        <w:t>,</w:t>
      </w:r>
      <w:r w:rsidRPr="003A1174">
        <w:rPr>
          <w:rFonts w:ascii="Garamond" w:hAnsi="Garamond" w:cs="Arial"/>
          <w:sz w:val="24"/>
          <w:szCs w:val="24"/>
          <w:lang w:val="pt-BR"/>
        </w:rPr>
        <w:t xml:space="preserve"> não diretamente previstos pela Lei 11</w:t>
      </w:r>
      <w:r w:rsidR="00704303">
        <w:rPr>
          <w:rFonts w:ascii="Garamond" w:hAnsi="Garamond" w:cs="Arial"/>
          <w:sz w:val="24"/>
          <w:szCs w:val="24"/>
          <w:lang w:val="pt-BR"/>
        </w:rPr>
        <w:t xml:space="preserve"> </w:t>
      </w:r>
      <w:r w:rsidRPr="003A1174">
        <w:rPr>
          <w:rFonts w:ascii="Garamond" w:hAnsi="Garamond" w:cs="Arial"/>
          <w:sz w:val="24"/>
          <w:szCs w:val="24"/>
          <w:lang w:val="pt-BR"/>
        </w:rPr>
        <w:t>340/2006.30</w:t>
      </w:r>
      <w:r w:rsidR="00704303">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Outro importante serviço são as Delegacias Especializadas de Atendimento à Mulher (DEAM). As DEAM fazem parte das polícias civis estaduais, e realizam ações de prevenção, apura</w:t>
      </w:r>
      <w:r w:rsidR="00704303">
        <w:rPr>
          <w:rFonts w:ascii="Garamond" w:hAnsi="Garamond" w:cs="Arial"/>
          <w:sz w:val="24"/>
          <w:szCs w:val="24"/>
          <w:lang w:val="pt-BR"/>
        </w:rPr>
        <w:t>mento</w:t>
      </w:r>
      <w:r w:rsidRPr="003A1174">
        <w:rPr>
          <w:rFonts w:ascii="Garamond" w:hAnsi="Garamond" w:cs="Arial"/>
          <w:sz w:val="24"/>
          <w:szCs w:val="24"/>
          <w:lang w:val="pt-BR"/>
        </w:rPr>
        <w:t xml:space="preserve">, investigação e enquadramento legal. Entre as diversas ações realizadas pelas delegacias, estão o </w:t>
      </w:r>
      <w:r w:rsidR="00077461" w:rsidRPr="003A1174">
        <w:rPr>
          <w:rFonts w:ascii="Garamond" w:hAnsi="Garamond" w:cs="Arial"/>
          <w:sz w:val="24"/>
          <w:szCs w:val="24"/>
          <w:lang w:val="pt-BR"/>
        </w:rPr>
        <w:t>registo</w:t>
      </w:r>
      <w:r w:rsidRPr="003A1174">
        <w:rPr>
          <w:rFonts w:ascii="Garamond" w:hAnsi="Garamond" w:cs="Arial"/>
          <w:sz w:val="24"/>
          <w:szCs w:val="24"/>
          <w:lang w:val="pt-BR"/>
        </w:rPr>
        <w:t xml:space="preserve"> de Boletim de Ocorrência, a instauração do inquérito e a solicitação à/ao juíza/juiz das medidas protetivas de urgência nos casos de violência doméstica contra as mulheres. </w:t>
      </w:r>
      <w:r w:rsidR="00704303">
        <w:rPr>
          <w:rFonts w:ascii="Garamond" w:hAnsi="Garamond" w:cs="Arial"/>
          <w:sz w:val="24"/>
          <w:szCs w:val="24"/>
          <w:lang w:val="pt-BR"/>
        </w:rPr>
        <w:t>No entanto</w:t>
      </w:r>
      <w:r w:rsidRPr="003A1174">
        <w:rPr>
          <w:rFonts w:ascii="Garamond" w:hAnsi="Garamond" w:cs="Arial"/>
          <w:sz w:val="24"/>
          <w:szCs w:val="24"/>
          <w:lang w:val="pt-BR"/>
        </w:rPr>
        <w:t>, a cobertura das delegacias ainda é insuficiente, tendo em vista o tamanho do país e da população de mulheres. A Tabela 6.12 apresenta o número de delegacias por Grande Região. A Região Nordeste está em situação de maior desigualdade: embora tenha quase 28% da população de mulheres do país, dispõe de somente 17% das DEAM. A Região Sudeste, por sua vez, tem 42% das mulheres do país e quase 50% das DEAM.</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 Tabela 6.12 indica ainda o número de Núcleos Especializados para Mulheres em Defensorias Públicas. Os núcleos especializados têm como objetivo coordenar a atuação da instituição em áreas de grande relevância. Os núcleos </w:t>
      </w:r>
      <w:r w:rsidR="00704303">
        <w:rPr>
          <w:rFonts w:ascii="Garamond" w:hAnsi="Garamond" w:cs="Arial"/>
          <w:sz w:val="24"/>
          <w:szCs w:val="24"/>
          <w:lang w:val="pt-BR"/>
        </w:rPr>
        <w:t xml:space="preserve">vocacionados </w:t>
      </w:r>
      <w:r w:rsidRPr="003A1174">
        <w:rPr>
          <w:rFonts w:ascii="Garamond" w:hAnsi="Garamond" w:cs="Arial"/>
          <w:sz w:val="24"/>
          <w:szCs w:val="24"/>
          <w:lang w:val="pt-BR"/>
        </w:rPr>
        <w:t xml:space="preserve">para os direitos das mulheres atuam no combate às violações de direitos das mulheres, com destaque para a Lei Maria da Penha, fornecendo atendimento jurídico gratuito e promovendo também ações coletivas e incidência em políticas públicas. Tais núcleos 30 RASEAM, pp. 114 - 117. </w:t>
      </w:r>
      <w:r w:rsidR="00704303">
        <w:rPr>
          <w:rFonts w:ascii="Garamond" w:hAnsi="Garamond" w:cs="Arial"/>
          <w:sz w:val="24"/>
          <w:szCs w:val="24"/>
          <w:lang w:val="pt-BR"/>
        </w:rPr>
        <w:t>«</w:t>
      </w:r>
      <w:r w:rsidRPr="003A1174">
        <w:rPr>
          <w:rFonts w:ascii="Garamond" w:hAnsi="Garamond" w:cs="Arial"/>
          <w:sz w:val="24"/>
          <w:szCs w:val="24"/>
          <w:lang w:val="pt-BR"/>
        </w:rPr>
        <w:t>Estas varas e juizados, no período entre 2006 e 2011, receberam mais de 677 mil procedimentos entre inquéritos, ações penais e medidas protetivas – três mecanismos de proteção das mulheres vítimas de violência</w:t>
      </w:r>
      <w:r w:rsidR="00600E20" w:rsidRPr="003A1174">
        <w:rPr>
          <w:rFonts w:ascii="Garamond" w:hAnsi="Garamond" w:cs="Arial"/>
          <w:sz w:val="24"/>
          <w:szCs w:val="24"/>
          <w:lang w:val="pt-BR"/>
        </w:rPr>
        <w:t>,</w:t>
      </w:r>
      <w:r w:rsidRPr="003A1174">
        <w:rPr>
          <w:rFonts w:ascii="Garamond" w:hAnsi="Garamond" w:cs="Arial"/>
          <w:sz w:val="24"/>
          <w:szCs w:val="24"/>
          <w:lang w:val="pt-BR"/>
        </w:rPr>
        <w:t xml:space="preserve"> previstos pela Lei 11</w:t>
      </w:r>
      <w:r w:rsidR="00704303">
        <w:rPr>
          <w:rFonts w:ascii="Garamond" w:hAnsi="Garamond" w:cs="Arial"/>
          <w:sz w:val="24"/>
          <w:szCs w:val="24"/>
          <w:lang w:val="pt-BR"/>
        </w:rPr>
        <w:t xml:space="preserve"> </w:t>
      </w:r>
      <w:r w:rsidRPr="003A1174">
        <w:rPr>
          <w:rFonts w:ascii="Garamond" w:hAnsi="Garamond" w:cs="Arial"/>
          <w:sz w:val="24"/>
          <w:szCs w:val="24"/>
          <w:lang w:val="pt-BR"/>
        </w:rPr>
        <w:t>340/2006. Em termos regionais, há uma distribuição equilibrada quanto ao número de varas especializadas por região. A Região Sul é a que possui menos varas, uma para cada estado. Entre os procedimentos, a Região Sudeste é a que apresenta o maior número de demandas, com 261 mil procedimentos. A Região Norte é a que apresenta o menor número de procedimentos, com aproximadamente 76 mil. O número de procedimentos apresentados indica que</w:t>
      </w:r>
      <w:r w:rsidR="00704303">
        <w:rPr>
          <w:rFonts w:ascii="Garamond" w:hAnsi="Garamond" w:cs="Arial"/>
          <w:sz w:val="24"/>
          <w:szCs w:val="24"/>
          <w:lang w:val="pt-BR"/>
        </w:rPr>
        <w:t>,</w:t>
      </w:r>
      <w:r w:rsidRPr="003A1174">
        <w:rPr>
          <w:rFonts w:ascii="Garamond" w:hAnsi="Garamond" w:cs="Arial"/>
          <w:sz w:val="24"/>
          <w:szCs w:val="24"/>
          <w:lang w:val="pt-BR"/>
        </w:rPr>
        <w:t xml:space="preserve"> grande parte das mulheres em situação de violência</w:t>
      </w:r>
      <w:r w:rsidR="00704303">
        <w:rPr>
          <w:rFonts w:ascii="Garamond" w:hAnsi="Garamond" w:cs="Arial"/>
          <w:sz w:val="24"/>
          <w:szCs w:val="24"/>
          <w:lang w:val="pt-BR"/>
        </w:rPr>
        <w:t>,</w:t>
      </w:r>
      <w:r w:rsidRPr="003A1174">
        <w:rPr>
          <w:rFonts w:ascii="Garamond" w:hAnsi="Garamond" w:cs="Arial"/>
          <w:sz w:val="24"/>
          <w:szCs w:val="24"/>
          <w:lang w:val="pt-BR"/>
        </w:rPr>
        <w:t xml:space="preserve"> tem procurado 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xml:space="preserve"> para conseguir a garantia de seus direitos. </w:t>
      </w:r>
      <w:r w:rsidR="00704303">
        <w:rPr>
          <w:rFonts w:ascii="Garamond" w:hAnsi="Garamond" w:cs="Arial"/>
          <w:sz w:val="24"/>
          <w:szCs w:val="24"/>
          <w:lang w:val="pt-BR"/>
        </w:rPr>
        <w:t>Através</w:t>
      </w:r>
      <w:r w:rsidRPr="003A1174">
        <w:rPr>
          <w:rFonts w:ascii="Garamond" w:hAnsi="Garamond" w:cs="Arial"/>
          <w:sz w:val="24"/>
          <w:szCs w:val="24"/>
          <w:lang w:val="pt-BR"/>
        </w:rPr>
        <w:t xml:space="preserve"> da análise dos julgamentos, tanto em termos de existência de julgamento dos processos iniciados</w:t>
      </w:r>
      <w:r w:rsidR="00704303">
        <w:rPr>
          <w:rFonts w:ascii="Garamond" w:hAnsi="Garamond" w:cs="Arial"/>
          <w:sz w:val="24"/>
          <w:szCs w:val="24"/>
          <w:lang w:val="pt-BR"/>
        </w:rPr>
        <w:t>,</w:t>
      </w:r>
      <w:r w:rsidRPr="003A1174">
        <w:rPr>
          <w:rFonts w:ascii="Garamond" w:hAnsi="Garamond" w:cs="Arial"/>
          <w:sz w:val="24"/>
          <w:szCs w:val="24"/>
          <w:lang w:val="pt-BR"/>
        </w:rPr>
        <w:t xml:space="preserve"> quanto ao cumprimento de prazos para evitar a prescrição de penas contra os acusados e a sua impunidade por decurso de prazo, é possível observar a efetividade da aplicação da Lei Maria da Penha e a prática de violência institucional contra as mulheres na condução dos processos </w:t>
      </w:r>
      <w:r w:rsidRPr="003A1174">
        <w:rPr>
          <w:rFonts w:ascii="Garamond" w:hAnsi="Garamond" w:cs="Arial"/>
          <w:sz w:val="24"/>
          <w:szCs w:val="24"/>
          <w:lang w:val="pt-BR"/>
        </w:rPr>
        <w:lastRenderedPageBreak/>
        <w:t xml:space="preserve">pelo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No Brasil, 57% dos processos iniciados nas varas especializadas em violência doméstica foram julgados.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Esta percentagem representa um total de 43% de mulheres agredidas que ainda não foram atendidas pelo sistema </w:t>
      </w:r>
      <w:r w:rsidR="00513D98" w:rsidRPr="003A1174">
        <w:rPr>
          <w:rFonts w:ascii="Garamond" w:hAnsi="Garamond" w:cs="Arial"/>
          <w:sz w:val="24"/>
          <w:szCs w:val="24"/>
          <w:lang w:val="pt-BR"/>
        </w:rPr>
        <w:t>judicial</w:t>
      </w:r>
      <w:r w:rsidRPr="003A1174">
        <w:rPr>
          <w:rFonts w:ascii="Garamond" w:hAnsi="Garamond" w:cs="Arial"/>
          <w:sz w:val="24"/>
          <w:szCs w:val="24"/>
          <w:lang w:val="pt-BR"/>
        </w:rPr>
        <w:t xml:space="preserve">. </w:t>
      </w:r>
      <w:r w:rsidR="00513D98" w:rsidRPr="003A1174">
        <w:rPr>
          <w:rFonts w:ascii="Garamond" w:hAnsi="Garamond" w:cs="Arial"/>
          <w:sz w:val="24"/>
          <w:szCs w:val="24"/>
          <w:lang w:val="pt-BR"/>
        </w:rPr>
        <w:t xml:space="preserve">A </w:t>
      </w:r>
      <w:r w:rsidRPr="003A1174">
        <w:rPr>
          <w:rFonts w:ascii="Garamond" w:hAnsi="Garamond" w:cs="Arial"/>
          <w:sz w:val="24"/>
          <w:szCs w:val="24"/>
          <w:lang w:val="pt-BR"/>
        </w:rPr>
        <w:t>percent</w:t>
      </w:r>
      <w:r w:rsidR="00513D98" w:rsidRPr="003A1174">
        <w:rPr>
          <w:rFonts w:ascii="Garamond" w:hAnsi="Garamond" w:cs="Arial"/>
          <w:sz w:val="24"/>
          <w:szCs w:val="24"/>
          <w:lang w:val="pt-BR"/>
        </w:rPr>
        <w:t xml:space="preserve">agem </w:t>
      </w:r>
      <w:r w:rsidRPr="003A1174">
        <w:rPr>
          <w:rFonts w:ascii="Garamond" w:hAnsi="Garamond" w:cs="Arial"/>
          <w:sz w:val="24"/>
          <w:szCs w:val="24"/>
          <w:lang w:val="pt-BR"/>
        </w:rPr>
        <w:t xml:space="preserve">de casos julgados tem elevada variação entre os estados. Os estados do Amapá e </w:t>
      </w:r>
      <w:r w:rsidR="00513D98" w:rsidRPr="003A1174">
        <w:rPr>
          <w:rFonts w:ascii="Garamond" w:hAnsi="Garamond" w:cs="Arial"/>
          <w:sz w:val="24"/>
          <w:szCs w:val="24"/>
          <w:lang w:val="pt-BR"/>
        </w:rPr>
        <w:t>do Distrito Federal apresentam a</w:t>
      </w:r>
      <w:r w:rsidRPr="003A1174">
        <w:rPr>
          <w:rFonts w:ascii="Garamond" w:hAnsi="Garamond" w:cs="Arial"/>
          <w:sz w:val="24"/>
          <w:szCs w:val="24"/>
          <w:lang w:val="pt-BR"/>
        </w:rPr>
        <w:t xml:space="preserve"> maior percent</w:t>
      </w:r>
      <w:r w:rsidR="00513D98" w:rsidRPr="003A1174">
        <w:rPr>
          <w:rFonts w:ascii="Garamond" w:hAnsi="Garamond" w:cs="Arial"/>
          <w:sz w:val="24"/>
          <w:szCs w:val="24"/>
          <w:lang w:val="pt-BR"/>
        </w:rPr>
        <w:t xml:space="preserve">agem </w:t>
      </w:r>
      <w:r w:rsidRPr="003A1174">
        <w:rPr>
          <w:rFonts w:ascii="Garamond" w:hAnsi="Garamond" w:cs="Arial"/>
          <w:sz w:val="24"/>
          <w:szCs w:val="24"/>
          <w:lang w:val="pt-BR"/>
        </w:rPr>
        <w:t>de processos julgados (85%) seguido dos estados de Tocantins e Goiás, com um</w:t>
      </w:r>
      <w:r w:rsidR="00513D98" w:rsidRPr="003A1174">
        <w:rPr>
          <w:rFonts w:ascii="Garamond" w:hAnsi="Garamond" w:cs="Arial"/>
          <w:sz w:val="24"/>
          <w:szCs w:val="24"/>
          <w:lang w:val="pt-BR"/>
        </w:rPr>
        <w:t>a</w:t>
      </w:r>
      <w:r w:rsidRPr="003A1174">
        <w:rPr>
          <w:rFonts w:ascii="Garamond" w:hAnsi="Garamond" w:cs="Arial"/>
          <w:sz w:val="24"/>
          <w:szCs w:val="24"/>
          <w:lang w:val="pt-BR"/>
        </w:rPr>
        <w:t xml:space="preserve"> percent</w:t>
      </w:r>
      <w:r w:rsidR="00513D98" w:rsidRPr="003A1174">
        <w:rPr>
          <w:rFonts w:ascii="Garamond" w:hAnsi="Garamond" w:cs="Arial"/>
          <w:sz w:val="24"/>
          <w:szCs w:val="24"/>
          <w:lang w:val="pt-BR"/>
        </w:rPr>
        <w:t xml:space="preserve">agem </w:t>
      </w:r>
      <w:r w:rsidRPr="003A1174">
        <w:rPr>
          <w:rFonts w:ascii="Garamond" w:hAnsi="Garamond" w:cs="Arial"/>
          <w:sz w:val="24"/>
          <w:szCs w:val="24"/>
          <w:lang w:val="pt-BR"/>
        </w:rPr>
        <w:t xml:space="preserve">de 31% e 38%, </w:t>
      </w:r>
      <w:r w:rsidR="00C86C58" w:rsidRPr="003A1174">
        <w:rPr>
          <w:rFonts w:ascii="Garamond" w:hAnsi="Garamond" w:cs="Arial"/>
          <w:sz w:val="24"/>
          <w:szCs w:val="24"/>
          <w:lang w:val="pt-BR"/>
        </w:rPr>
        <w:t>respetivamente</w:t>
      </w:r>
      <w:r w:rsidRPr="003A1174">
        <w:rPr>
          <w:rFonts w:ascii="Garamond" w:hAnsi="Garamond" w:cs="Arial"/>
          <w:sz w:val="24"/>
          <w:szCs w:val="24"/>
          <w:lang w:val="pt-BR"/>
        </w:rPr>
        <w:t>. As Regiões Sul e Sudeste são as regiões que apresentam os maiores contrastes intrarregionais. Enquanto o Rio Grande do Sul e o Rio de Janeiro julgaram 75% dos casos iniciados, Santa Catarina, São Paulo, Bahia e Alagoas têm menos de 20% do total de casos iniciados julgados. (Conselho Nacional de Justiça, 2013)</w:t>
      </w:r>
      <w:r w:rsidRPr="00B41317">
        <w:rPr>
          <w:rFonts w:ascii="Garamond" w:hAnsi="Garamond" w:cs="Arial"/>
          <w:sz w:val="24"/>
          <w:szCs w:val="24"/>
          <w:lang w:val="pt-BR"/>
        </w:rPr>
        <w:t>.</w:t>
      </w:r>
      <w:r w:rsidR="00704303" w:rsidRPr="00B41317">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513D98"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S</w:t>
      </w:r>
      <w:r w:rsidR="004C140F" w:rsidRPr="003A1174">
        <w:rPr>
          <w:rFonts w:ascii="Garamond" w:hAnsi="Garamond" w:cs="Arial"/>
          <w:sz w:val="24"/>
          <w:szCs w:val="24"/>
          <w:lang w:val="pt-BR"/>
        </w:rPr>
        <w:t>ão ainda mais escassos que as DEAM: a Região Sul conta com apenas um núcleo.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lang w:val="pt-BR"/>
        </w:rPr>
        <w:t xml:space="preserve">3. </w:t>
      </w:r>
      <w:r w:rsidR="00513D98" w:rsidRPr="00C7575A">
        <w:rPr>
          <w:rFonts w:ascii="Garamond" w:hAnsi="Garamond" w:cs="Arial"/>
          <w:b/>
          <w:bCs/>
          <w:sz w:val="24"/>
          <w:szCs w:val="24"/>
          <w:lang w:val="pt-BR"/>
        </w:rPr>
        <w:t xml:space="preserve">Avançou-se, ou não, em </w:t>
      </w:r>
      <w:r w:rsidR="00EF645F" w:rsidRPr="00C7575A">
        <w:rPr>
          <w:rFonts w:ascii="Garamond" w:hAnsi="Garamond" w:cs="Arial"/>
          <w:b/>
          <w:bCs/>
          <w:sz w:val="24"/>
          <w:szCs w:val="24"/>
          <w:lang w:val="pt-BR"/>
        </w:rPr>
        <w:t>matéria</w:t>
      </w:r>
      <w:r w:rsidRPr="00C7575A">
        <w:rPr>
          <w:rFonts w:ascii="Garamond" w:hAnsi="Garamond" w:cs="Arial"/>
          <w:b/>
          <w:bCs/>
          <w:sz w:val="24"/>
          <w:szCs w:val="24"/>
          <w:lang w:val="pt-BR"/>
        </w:rPr>
        <w:t xml:space="preserve"> de </w:t>
      </w:r>
      <w:r w:rsidR="001B7D0B" w:rsidRPr="00C7575A">
        <w:rPr>
          <w:rFonts w:ascii="Garamond" w:hAnsi="Garamond" w:cs="Arial"/>
          <w:b/>
          <w:bCs/>
          <w:sz w:val="24"/>
          <w:szCs w:val="24"/>
          <w:lang w:val="pt-BR"/>
        </w:rPr>
        <w:t>formação</w:t>
      </w:r>
      <w:r w:rsidRPr="00C7575A">
        <w:rPr>
          <w:rFonts w:ascii="Garamond" w:hAnsi="Garamond" w:cs="Arial"/>
          <w:b/>
          <w:bCs/>
          <w:sz w:val="24"/>
          <w:szCs w:val="24"/>
          <w:lang w:val="pt-BR"/>
        </w:rPr>
        <w:t>/</w:t>
      </w:r>
      <w:r w:rsidR="00976FB8" w:rsidRPr="00C7575A">
        <w:rPr>
          <w:rFonts w:ascii="Garamond" w:hAnsi="Garamond" w:cs="Arial"/>
          <w:b/>
          <w:bCs/>
          <w:sz w:val="24"/>
          <w:szCs w:val="24"/>
          <w:lang w:val="pt-BR"/>
        </w:rPr>
        <w:t>sensibilização</w:t>
      </w:r>
      <w:r w:rsidRPr="00C7575A">
        <w:rPr>
          <w:rFonts w:ascii="Garamond" w:hAnsi="Garamond" w:cs="Arial"/>
          <w:b/>
          <w:bCs/>
          <w:sz w:val="24"/>
          <w:szCs w:val="24"/>
          <w:lang w:val="pt-BR"/>
        </w:rPr>
        <w:t xml:space="preserve"> </w:t>
      </w:r>
      <w:r w:rsidR="00513D98" w:rsidRPr="00C7575A">
        <w:rPr>
          <w:rFonts w:ascii="Garamond" w:hAnsi="Garamond" w:cs="Arial"/>
          <w:b/>
          <w:bCs/>
          <w:sz w:val="24"/>
          <w:szCs w:val="24"/>
          <w:lang w:val="pt-BR"/>
        </w:rPr>
        <w:t>d</w:t>
      </w:r>
      <w:r w:rsidRPr="00C7575A">
        <w:rPr>
          <w:rFonts w:ascii="Garamond" w:hAnsi="Garamond" w:cs="Arial"/>
          <w:b/>
          <w:bCs/>
          <w:sz w:val="24"/>
          <w:szCs w:val="24"/>
          <w:lang w:val="pt-BR"/>
        </w:rPr>
        <w:t xml:space="preserve">os operadores </w:t>
      </w:r>
      <w:r w:rsidR="00E85E59" w:rsidRPr="00C7575A">
        <w:rPr>
          <w:rFonts w:ascii="Garamond" w:hAnsi="Garamond" w:cs="Arial"/>
          <w:b/>
          <w:bCs/>
          <w:sz w:val="24"/>
          <w:szCs w:val="24"/>
          <w:lang w:val="pt-BR"/>
        </w:rPr>
        <w:t>do</w:t>
      </w:r>
      <w:r w:rsidRPr="00C7575A">
        <w:rPr>
          <w:rFonts w:ascii="Garamond" w:hAnsi="Garamond" w:cs="Arial"/>
          <w:b/>
          <w:bCs/>
          <w:sz w:val="24"/>
          <w:szCs w:val="24"/>
          <w:lang w:val="pt-BR"/>
        </w:rPr>
        <w:t xml:space="preserve"> sistema </w:t>
      </w:r>
      <w:r w:rsidR="000D7B87" w:rsidRPr="00C7575A">
        <w:rPr>
          <w:rFonts w:ascii="Garamond" w:hAnsi="Garamond" w:cs="Arial"/>
          <w:b/>
          <w:bCs/>
          <w:sz w:val="24"/>
          <w:szCs w:val="24"/>
          <w:lang w:val="pt-BR"/>
        </w:rPr>
        <w:t xml:space="preserve">judicial </w:t>
      </w:r>
      <w:r w:rsidRPr="00C7575A">
        <w:rPr>
          <w:rFonts w:ascii="Garamond" w:hAnsi="Garamond" w:cs="Arial"/>
          <w:b/>
          <w:bCs/>
          <w:sz w:val="24"/>
          <w:szCs w:val="24"/>
          <w:lang w:val="pt-BR"/>
        </w:rPr>
        <w:t>(</w:t>
      </w:r>
      <w:r w:rsidR="00CF42A3" w:rsidRPr="00C7575A">
        <w:rPr>
          <w:rFonts w:ascii="Garamond" w:hAnsi="Garamond" w:cs="Arial"/>
          <w:b/>
          <w:bCs/>
          <w:sz w:val="24"/>
          <w:szCs w:val="24"/>
          <w:lang w:val="pt-BR"/>
        </w:rPr>
        <w:t>polícia</w:t>
      </w:r>
      <w:r w:rsidRPr="00C7575A">
        <w:rPr>
          <w:rFonts w:ascii="Garamond" w:hAnsi="Garamond" w:cs="Arial"/>
          <w:b/>
          <w:bCs/>
          <w:sz w:val="24"/>
          <w:szCs w:val="24"/>
          <w:lang w:val="pt-BR"/>
        </w:rPr>
        <w:t xml:space="preserve">, poder judicial, </w:t>
      </w:r>
      <w:r w:rsidR="009F0311" w:rsidRPr="00C7575A">
        <w:rPr>
          <w:rFonts w:ascii="Garamond" w:hAnsi="Garamond" w:cs="Arial"/>
          <w:b/>
          <w:bCs/>
          <w:sz w:val="24"/>
          <w:szCs w:val="24"/>
          <w:lang w:val="pt-BR"/>
        </w:rPr>
        <w:t>Procuradoria</w:t>
      </w:r>
      <w:r w:rsidRPr="00C7575A">
        <w:rPr>
          <w:rFonts w:ascii="Garamond" w:hAnsi="Garamond" w:cs="Arial"/>
          <w:b/>
          <w:bCs/>
          <w:sz w:val="24"/>
          <w:szCs w:val="24"/>
          <w:lang w:val="pt-BR"/>
        </w:rPr>
        <w:t xml:space="preserve"> </w:t>
      </w:r>
      <w:r w:rsidR="00586850" w:rsidRPr="00C7575A">
        <w:rPr>
          <w:rFonts w:ascii="Garamond" w:hAnsi="Garamond" w:cs="Arial"/>
          <w:b/>
          <w:bCs/>
          <w:sz w:val="24"/>
          <w:szCs w:val="24"/>
          <w:lang w:val="pt-BR"/>
        </w:rPr>
        <w:t>etc.</w:t>
      </w:r>
      <w:r w:rsidRPr="00C7575A">
        <w:rPr>
          <w:rFonts w:ascii="Garamond" w:hAnsi="Garamond" w:cs="Arial"/>
          <w:b/>
          <w:bCs/>
          <w:sz w:val="24"/>
          <w:szCs w:val="24"/>
          <w:lang w:val="pt-BR"/>
        </w:rPr>
        <w:t>) e</w:t>
      </w:r>
      <w:r w:rsidR="00513D98" w:rsidRPr="00C7575A">
        <w:rPr>
          <w:rFonts w:ascii="Garamond" w:hAnsi="Garamond" w:cs="Arial"/>
          <w:b/>
          <w:bCs/>
          <w:sz w:val="24"/>
          <w:szCs w:val="24"/>
          <w:lang w:val="pt-BR"/>
        </w:rPr>
        <w:t>m</w:t>
      </w:r>
      <w:r w:rsidRPr="00C7575A">
        <w:rPr>
          <w:rFonts w:ascii="Garamond" w:hAnsi="Garamond" w:cs="Arial"/>
          <w:b/>
          <w:bCs/>
          <w:sz w:val="24"/>
          <w:szCs w:val="24"/>
          <w:lang w:val="pt-BR"/>
        </w:rPr>
        <w:t xml:space="preserve"> temas de </w:t>
      </w:r>
      <w:r w:rsidR="00886D6A" w:rsidRPr="00C7575A">
        <w:rPr>
          <w:rFonts w:ascii="Garamond" w:hAnsi="Garamond" w:cs="Arial"/>
          <w:b/>
          <w:bCs/>
          <w:sz w:val="24"/>
          <w:szCs w:val="24"/>
          <w:lang w:val="pt-BR"/>
        </w:rPr>
        <w:t>acesso</w:t>
      </w:r>
      <w:r w:rsidRPr="00C7575A">
        <w:rPr>
          <w:rFonts w:ascii="Garamond" w:hAnsi="Garamond" w:cs="Arial"/>
          <w:b/>
          <w:bCs/>
          <w:sz w:val="24"/>
          <w:szCs w:val="24"/>
          <w:lang w:val="pt-BR"/>
        </w:rPr>
        <w:t xml:space="preserve"> </w:t>
      </w:r>
      <w:r w:rsidR="00BB2B00" w:rsidRPr="00C7575A">
        <w:rPr>
          <w:rFonts w:ascii="Garamond" w:hAnsi="Garamond" w:cs="Arial"/>
          <w:b/>
          <w:bCs/>
          <w:sz w:val="24"/>
          <w:szCs w:val="24"/>
          <w:lang w:val="pt-BR"/>
        </w:rPr>
        <w:t>à</w:t>
      </w:r>
      <w:r w:rsidRPr="00C7575A">
        <w:rPr>
          <w:rFonts w:ascii="Garamond" w:hAnsi="Garamond" w:cs="Arial"/>
          <w:b/>
          <w:bCs/>
          <w:sz w:val="24"/>
          <w:szCs w:val="24"/>
          <w:lang w:val="pt-BR"/>
        </w:rPr>
        <w:t xml:space="preserve"> </w:t>
      </w:r>
      <w:r w:rsidR="00FC1F7F" w:rsidRPr="00C7575A">
        <w:rPr>
          <w:rFonts w:ascii="Garamond" w:hAnsi="Garamond" w:cs="Arial"/>
          <w:b/>
          <w:bCs/>
          <w:sz w:val="24"/>
          <w:szCs w:val="24"/>
          <w:lang w:val="pt-BR"/>
        </w:rPr>
        <w:t>justiça</w:t>
      </w:r>
      <w:r w:rsidRPr="00C7575A">
        <w:rPr>
          <w:rFonts w:ascii="Garamond" w:hAnsi="Garamond" w:cs="Arial"/>
          <w:b/>
          <w:bCs/>
          <w:sz w:val="24"/>
          <w:szCs w:val="24"/>
          <w:lang w:val="pt-BR"/>
        </w:rPr>
        <w:t xml:space="preserve"> de </w:t>
      </w:r>
      <w:r w:rsidR="00054EE0" w:rsidRPr="00C7575A">
        <w:rPr>
          <w:rFonts w:ascii="Garamond" w:hAnsi="Garamond" w:cs="Arial"/>
          <w:b/>
          <w:bCs/>
          <w:sz w:val="24"/>
          <w:szCs w:val="24"/>
          <w:lang w:val="pt-BR"/>
        </w:rPr>
        <w:t>mulheres</w:t>
      </w:r>
      <w:r w:rsidRPr="00C7575A">
        <w:rPr>
          <w:rFonts w:ascii="Garamond" w:hAnsi="Garamond" w:cs="Arial"/>
          <w:b/>
          <w:bCs/>
          <w:sz w:val="24"/>
          <w:szCs w:val="24"/>
          <w:lang w:val="pt-BR"/>
        </w:rPr>
        <w:t xml:space="preserve"> </w:t>
      </w:r>
      <w:r w:rsidR="003F012B" w:rsidRPr="00C7575A">
        <w:rPr>
          <w:rFonts w:ascii="Garamond" w:hAnsi="Garamond" w:cs="Arial"/>
          <w:b/>
          <w:bCs/>
          <w:sz w:val="24"/>
          <w:szCs w:val="24"/>
          <w:lang w:val="pt-BR"/>
        </w:rPr>
        <w:t>vítima</w:t>
      </w:r>
      <w:r w:rsidRPr="00C7575A">
        <w:rPr>
          <w:rFonts w:ascii="Garamond" w:hAnsi="Garamond" w:cs="Arial"/>
          <w:b/>
          <w:bCs/>
          <w:sz w:val="24"/>
          <w:szCs w:val="24"/>
          <w:lang w:val="pt-BR"/>
        </w:rPr>
        <w:t xml:space="preserve">s de </w:t>
      </w:r>
      <w:r w:rsidR="000350B1" w:rsidRPr="00C7575A">
        <w:rPr>
          <w:rFonts w:ascii="Garamond" w:hAnsi="Garamond" w:cs="Arial"/>
          <w:b/>
          <w:bCs/>
          <w:sz w:val="24"/>
          <w:szCs w:val="24"/>
          <w:lang w:val="pt-BR"/>
        </w:rPr>
        <w:t>violência</w:t>
      </w:r>
      <w:r w:rsidRPr="00C7575A">
        <w:rPr>
          <w:rFonts w:ascii="Garamond" w:hAnsi="Garamond" w:cs="Arial"/>
          <w:b/>
          <w:bCs/>
          <w:sz w:val="24"/>
          <w:szCs w:val="24"/>
          <w:lang w:val="pt-BR"/>
        </w:rPr>
        <w:t xml:space="preserve"> de género?</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Têm sido realizados Congressos e Seminários, coordenados por instituições como </w:t>
      </w:r>
      <w:r w:rsidR="00513D98" w:rsidRPr="003A1174">
        <w:rPr>
          <w:rFonts w:ascii="Garamond" w:hAnsi="Garamond" w:cs="Arial"/>
          <w:sz w:val="24"/>
          <w:szCs w:val="24"/>
          <w:lang w:val="pt-BR"/>
        </w:rPr>
        <w:t xml:space="preserve">o </w:t>
      </w:r>
      <w:r w:rsidRPr="003A1174">
        <w:rPr>
          <w:rFonts w:ascii="Garamond" w:hAnsi="Garamond" w:cs="Arial"/>
          <w:sz w:val="24"/>
          <w:szCs w:val="24"/>
          <w:lang w:val="pt-BR"/>
        </w:rPr>
        <w:t xml:space="preserve">Ministério Público,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Defensorias Públicas e SPM/PR. A título exemplificativo, citam-se dois exemplos: - Defensoria Pública do Paraná - I Seminário Mulheres em Ação – Violência Doméstica: Desafios e Dilemas</w:t>
      </w:r>
      <w:r w:rsidR="00982F4E" w:rsidRPr="00C7575A">
        <w:rPr>
          <w:rFonts w:ascii="Garamond" w:hAnsi="Garamond" w:cs="Arial"/>
          <w:sz w:val="24"/>
          <w:szCs w:val="24"/>
          <w:lang w:val="pt-BR"/>
        </w:rPr>
        <w:t>.</w:t>
      </w:r>
      <w:r w:rsidR="00513D98" w:rsidRPr="00C7575A">
        <w:rPr>
          <w:rFonts w:ascii="Garamond" w:hAnsi="Garamond" w:cs="Arial"/>
          <w:sz w:val="24"/>
          <w:szCs w:val="24"/>
          <w:lang w:val="pt-BR"/>
        </w:rPr>
        <w:t xml:space="preserve"> </w:t>
      </w:r>
      <w:r w:rsidRPr="00C7575A">
        <w:rPr>
          <w:rFonts w:ascii="Garamond" w:hAnsi="Garamond" w:cs="Arial"/>
          <w:sz w:val="24"/>
          <w:szCs w:val="24"/>
          <w:lang w:val="pt-BR"/>
        </w:rPr>
        <w:t>31</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Também deve ser considerado como contribuição relevante, neste sentido, o</w:t>
      </w:r>
      <w:r w:rsidR="00513D98" w:rsidRPr="003A1174">
        <w:rPr>
          <w:rFonts w:ascii="Garamond" w:hAnsi="Garamond" w:cs="Arial"/>
          <w:sz w:val="24"/>
          <w:szCs w:val="24"/>
          <w:lang w:val="pt-BR"/>
        </w:rPr>
        <w:t xml:space="preserve"> </w:t>
      </w:r>
      <w:r w:rsidRPr="003A1174">
        <w:rPr>
          <w:rFonts w:ascii="Garamond" w:hAnsi="Garamond" w:cs="Arial"/>
          <w:sz w:val="24"/>
          <w:szCs w:val="24"/>
          <w:lang w:val="pt-BR"/>
        </w:rPr>
        <w:t>desenvolvimento de atividades de intercâmbio no âmbito da cooperação euro</w:t>
      </w:r>
      <w:r w:rsidR="00D37CF3" w:rsidRPr="003A1174">
        <w:rPr>
          <w:rFonts w:ascii="Garamond" w:hAnsi="Garamond" w:cs="Arial"/>
          <w:sz w:val="24"/>
          <w:szCs w:val="24"/>
        </w:rPr>
        <w:t>iberoamericana</w:t>
      </w:r>
      <w:r w:rsidRPr="003A1174">
        <w:rPr>
          <w:rFonts w:ascii="Garamond" w:hAnsi="Garamond" w:cs="Arial"/>
          <w:sz w:val="24"/>
          <w:szCs w:val="24"/>
          <w:lang w:val="pt-BR"/>
        </w:rPr>
        <w:t xml:space="preserve"> e, neste âmbito, a previsão de cursos de formação para membros do Ministério Público brasileiro e polícias para 2014. Trata-se da Ação sobre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do Programa de Cooperação Internacional EUR</w:t>
      </w:r>
      <w:r w:rsidRPr="002B00E5">
        <w:rPr>
          <w:rFonts w:ascii="Garamond" w:hAnsi="Garamond" w:cs="Arial"/>
          <w:sz w:val="24"/>
          <w:szCs w:val="24"/>
          <w:lang w:val="pt-BR"/>
        </w:rPr>
        <w:t>OsociA</w:t>
      </w:r>
      <w:r w:rsidRPr="003A1174">
        <w:rPr>
          <w:rFonts w:ascii="Garamond" w:hAnsi="Garamond" w:cs="Arial"/>
          <w:sz w:val="24"/>
          <w:szCs w:val="24"/>
          <w:lang w:val="pt-BR"/>
        </w:rPr>
        <w:t xml:space="preserve">L, que será mencionada no quesito 11, </w:t>
      </w:r>
      <w:r w:rsidR="00513D98" w:rsidRPr="003A1174">
        <w:rPr>
          <w:rFonts w:ascii="Garamond" w:hAnsi="Garamond" w:cs="Arial"/>
          <w:sz w:val="24"/>
          <w:szCs w:val="24"/>
          <w:lang w:val="pt-BR"/>
        </w:rPr>
        <w:t xml:space="preserve">mais </w:t>
      </w:r>
      <w:r w:rsidRPr="003A1174">
        <w:rPr>
          <w:rFonts w:ascii="Garamond" w:hAnsi="Garamond" w:cs="Arial"/>
          <w:sz w:val="24"/>
          <w:szCs w:val="24"/>
          <w:lang w:val="pt-BR"/>
        </w:rPr>
        <w:t>adiante.</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lang w:val="pt-BR"/>
        </w:rPr>
        <w:t xml:space="preserve">4. Existe </w:t>
      </w:r>
      <w:r w:rsidR="0017447A" w:rsidRPr="00C7575A">
        <w:rPr>
          <w:rFonts w:ascii="Garamond" w:hAnsi="Garamond" w:cs="Arial"/>
          <w:b/>
          <w:bCs/>
          <w:sz w:val="24"/>
          <w:szCs w:val="24"/>
          <w:lang w:val="pt-BR"/>
        </w:rPr>
        <w:t>informação</w:t>
      </w:r>
      <w:r w:rsidRPr="00C7575A">
        <w:rPr>
          <w:rFonts w:ascii="Garamond" w:hAnsi="Garamond" w:cs="Arial"/>
          <w:b/>
          <w:bCs/>
          <w:sz w:val="24"/>
          <w:szCs w:val="24"/>
          <w:lang w:val="pt-BR"/>
        </w:rPr>
        <w:t xml:space="preserve"> sobre </w:t>
      </w:r>
      <w:r w:rsidR="00CD707D" w:rsidRPr="00C7575A">
        <w:rPr>
          <w:rFonts w:ascii="Garamond" w:hAnsi="Garamond" w:cs="Arial"/>
          <w:b/>
          <w:bCs/>
          <w:sz w:val="24"/>
          <w:szCs w:val="24"/>
          <w:lang w:val="pt-BR"/>
        </w:rPr>
        <w:t>emissão</w:t>
      </w:r>
      <w:r w:rsidRPr="00C7575A">
        <w:rPr>
          <w:rFonts w:ascii="Garamond" w:hAnsi="Garamond" w:cs="Arial"/>
          <w:b/>
          <w:bCs/>
          <w:sz w:val="24"/>
          <w:szCs w:val="24"/>
          <w:lang w:val="pt-BR"/>
        </w:rPr>
        <w:t xml:space="preserve"> de </w:t>
      </w:r>
      <w:r w:rsidR="00FC1F7F" w:rsidRPr="00C7575A">
        <w:rPr>
          <w:rFonts w:ascii="Garamond" w:hAnsi="Garamond" w:cs="Arial"/>
          <w:b/>
          <w:bCs/>
          <w:sz w:val="24"/>
          <w:szCs w:val="24"/>
          <w:lang w:val="pt-BR"/>
        </w:rPr>
        <w:t>sentença</w:t>
      </w:r>
      <w:r w:rsidRPr="00C7575A">
        <w:rPr>
          <w:rFonts w:ascii="Garamond" w:hAnsi="Garamond" w:cs="Arial"/>
          <w:b/>
          <w:bCs/>
          <w:sz w:val="24"/>
          <w:szCs w:val="24"/>
          <w:lang w:val="pt-BR"/>
        </w:rPr>
        <w:t>s emblemáticas e</w:t>
      </w:r>
      <w:r w:rsidR="00513D98" w:rsidRPr="00C7575A">
        <w:rPr>
          <w:rFonts w:ascii="Garamond" w:hAnsi="Garamond" w:cs="Arial"/>
          <w:b/>
          <w:bCs/>
          <w:sz w:val="24"/>
          <w:szCs w:val="24"/>
          <w:lang w:val="pt-BR"/>
        </w:rPr>
        <w:t>m</w:t>
      </w:r>
      <w:r w:rsidRPr="00C7575A">
        <w:rPr>
          <w:rFonts w:ascii="Garamond" w:hAnsi="Garamond" w:cs="Arial"/>
          <w:b/>
          <w:bCs/>
          <w:sz w:val="24"/>
          <w:szCs w:val="24"/>
          <w:lang w:val="pt-BR"/>
        </w:rPr>
        <w:t xml:space="preserve"> </w:t>
      </w:r>
      <w:r w:rsidR="00EF645F" w:rsidRPr="00C7575A">
        <w:rPr>
          <w:rFonts w:ascii="Garamond" w:hAnsi="Garamond" w:cs="Arial"/>
          <w:b/>
          <w:bCs/>
          <w:sz w:val="24"/>
          <w:szCs w:val="24"/>
          <w:lang w:val="pt-BR"/>
        </w:rPr>
        <w:t>matéria</w:t>
      </w:r>
      <w:r w:rsidRPr="00C7575A">
        <w:rPr>
          <w:rFonts w:ascii="Garamond" w:hAnsi="Garamond" w:cs="Arial"/>
          <w:b/>
          <w:bCs/>
          <w:sz w:val="24"/>
          <w:szCs w:val="24"/>
          <w:lang w:val="pt-BR"/>
        </w:rPr>
        <w:t xml:space="preserve"> de </w:t>
      </w:r>
      <w:r w:rsidR="000350B1" w:rsidRPr="00C7575A">
        <w:rPr>
          <w:rFonts w:ascii="Garamond" w:hAnsi="Garamond" w:cs="Arial"/>
          <w:b/>
          <w:bCs/>
          <w:sz w:val="24"/>
          <w:szCs w:val="24"/>
          <w:lang w:val="pt-BR"/>
        </w:rPr>
        <w:t>violência</w:t>
      </w:r>
      <w:r w:rsidRPr="00C7575A">
        <w:rPr>
          <w:rFonts w:ascii="Garamond" w:hAnsi="Garamond" w:cs="Arial"/>
          <w:b/>
          <w:bCs/>
          <w:sz w:val="24"/>
          <w:szCs w:val="24"/>
          <w:lang w:val="pt-BR"/>
        </w:rPr>
        <w:t xml:space="preserve"> </w:t>
      </w:r>
      <w:r w:rsidR="00BB2B00" w:rsidRPr="00C7575A">
        <w:rPr>
          <w:rFonts w:ascii="Garamond" w:hAnsi="Garamond" w:cs="Arial"/>
          <w:b/>
          <w:bCs/>
          <w:sz w:val="24"/>
          <w:szCs w:val="24"/>
          <w:lang w:val="pt-BR"/>
        </w:rPr>
        <w:t>contra a</w:t>
      </w:r>
      <w:r w:rsidRPr="00C7575A">
        <w:rPr>
          <w:rFonts w:ascii="Garamond" w:hAnsi="Garamond" w:cs="Arial"/>
          <w:b/>
          <w:bCs/>
          <w:sz w:val="24"/>
          <w:szCs w:val="24"/>
          <w:lang w:val="pt-BR"/>
        </w:rPr>
        <w:t xml:space="preserve"> </w:t>
      </w:r>
      <w:r w:rsidR="00AF192F" w:rsidRPr="00C7575A">
        <w:rPr>
          <w:rFonts w:ascii="Garamond" w:hAnsi="Garamond" w:cs="Arial"/>
          <w:b/>
          <w:bCs/>
          <w:sz w:val="24"/>
          <w:szCs w:val="24"/>
          <w:lang w:val="pt-BR"/>
        </w:rPr>
        <w:t>mulher</w:t>
      </w:r>
      <w:r w:rsidR="00513D98" w:rsidRPr="00C7575A">
        <w:rPr>
          <w:rFonts w:ascii="Garamond" w:hAnsi="Garamond" w:cs="Arial"/>
          <w:b/>
          <w:bCs/>
          <w:sz w:val="24"/>
          <w:szCs w:val="24"/>
          <w:lang w:val="pt-BR"/>
        </w:rPr>
        <w:t xml:space="preserve"> (</w:t>
      </w:r>
      <w:r w:rsidRPr="00C7575A">
        <w:rPr>
          <w:rFonts w:ascii="Garamond" w:hAnsi="Garamond" w:cs="Arial"/>
          <w:b/>
          <w:bCs/>
          <w:sz w:val="24"/>
          <w:szCs w:val="24"/>
          <w:lang w:val="pt-BR"/>
        </w:rPr>
        <w:t xml:space="preserve">que </w:t>
      </w:r>
      <w:r w:rsidR="00513D98" w:rsidRPr="00C7575A">
        <w:rPr>
          <w:rFonts w:ascii="Garamond" w:hAnsi="Garamond" w:cs="Arial"/>
          <w:b/>
          <w:bCs/>
          <w:sz w:val="24"/>
          <w:szCs w:val="24"/>
          <w:lang w:val="pt-BR"/>
        </w:rPr>
        <w:t xml:space="preserve">tenham como referência leis </w:t>
      </w:r>
      <w:r w:rsidRPr="00C7575A">
        <w:rPr>
          <w:rFonts w:ascii="Garamond" w:hAnsi="Garamond" w:cs="Arial"/>
          <w:b/>
          <w:bCs/>
          <w:sz w:val="24"/>
          <w:szCs w:val="24"/>
          <w:lang w:val="pt-BR"/>
        </w:rPr>
        <w:t>internaciona</w:t>
      </w:r>
      <w:r w:rsidR="00513D98" w:rsidRPr="00C7575A">
        <w:rPr>
          <w:rFonts w:ascii="Garamond" w:hAnsi="Garamond" w:cs="Arial"/>
          <w:b/>
          <w:bCs/>
          <w:sz w:val="24"/>
          <w:szCs w:val="24"/>
          <w:lang w:val="pt-BR"/>
        </w:rPr>
        <w:t>is</w:t>
      </w:r>
      <w:r w:rsidRPr="00C7575A">
        <w:rPr>
          <w:rFonts w:ascii="Garamond" w:hAnsi="Garamond" w:cs="Arial"/>
          <w:b/>
          <w:bCs/>
          <w:sz w:val="24"/>
          <w:szCs w:val="24"/>
          <w:lang w:val="pt-BR"/>
        </w:rPr>
        <w:t>, pron</w:t>
      </w:r>
      <w:r w:rsidR="00513D98" w:rsidRPr="00C7575A">
        <w:rPr>
          <w:rFonts w:ascii="Garamond" w:hAnsi="Garamond" w:cs="Arial"/>
          <w:b/>
          <w:bCs/>
          <w:sz w:val="24"/>
          <w:szCs w:val="24"/>
          <w:lang w:val="pt-BR"/>
        </w:rPr>
        <w:t xml:space="preserve">úncias </w:t>
      </w:r>
      <w:r w:rsidRPr="00C7575A">
        <w:rPr>
          <w:rFonts w:ascii="Garamond" w:hAnsi="Garamond" w:cs="Arial"/>
          <w:b/>
          <w:bCs/>
          <w:sz w:val="24"/>
          <w:szCs w:val="24"/>
          <w:lang w:val="pt-BR"/>
        </w:rPr>
        <w:t xml:space="preserve">de </w:t>
      </w:r>
      <w:r w:rsidR="00FB09CA" w:rsidRPr="00C7575A">
        <w:rPr>
          <w:rFonts w:ascii="Garamond" w:hAnsi="Garamond" w:cs="Arial"/>
          <w:b/>
          <w:bCs/>
          <w:sz w:val="24"/>
          <w:szCs w:val="24"/>
          <w:lang w:val="pt-BR"/>
        </w:rPr>
        <w:t>instância</w:t>
      </w:r>
      <w:r w:rsidRPr="00C7575A">
        <w:rPr>
          <w:rFonts w:ascii="Garamond" w:hAnsi="Garamond" w:cs="Arial"/>
          <w:b/>
          <w:bCs/>
          <w:sz w:val="24"/>
          <w:szCs w:val="24"/>
          <w:lang w:val="pt-BR"/>
        </w:rPr>
        <w:t xml:space="preserve">s </w:t>
      </w:r>
      <w:r w:rsidR="00EF645F" w:rsidRPr="00C7575A">
        <w:rPr>
          <w:rFonts w:ascii="Garamond" w:hAnsi="Garamond" w:cs="Arial"/>
          <w:b/>
          <w:bCs/>
          <w:sz w:val="24"/>
          <w:szCs w:val="24"/>
          <w:lang w:val="pt-BR"/>
        </w:rPr>
        <w:t>internacionais</w:t>
      </w:r>
      <w:r w:rsidRPr="00C7575A">
        <w:rPr>
          <w:rFonts w:ascii="Garamond" w:hAnsi="Garamond" w:cs="Arial"/>
          <w:b/>
          <w:bCs/>
          <w:sz w:val="24"/>
          <w:szCs w:val="24"/>
          <w:lang w:val="pt-BR"/>
        </w:rPr>
        <w:t xml:space="preserve">, que </w:t>
      </w:r>
      <w:r w:rsidR="00513D98" w:rsidRPr="00C7575A">
        <w:rPr>
          <w:rFonts w:ascii="Garamond" w:hAnsi="Garamond" w:cs="Arial"/>
          <w:b/>
          <w:bCs/>
          <w:sz w:val="24"/>
          <w:szCs w:val="24"/>
          <w:lang w:val="pt-BR"/>
        </w:rPr>
        <w:t xml:space="preserve">tenham </w:t>
      </w:r>
      <w:r w:rsidRPr="00C7575A">
        <w:rPr>
          <w:rFonts w:ascii="Garamond" w:hAnsi="Garamond" w:cs="Arial"/>
          <w:b/>
          <w:bCs/>
          <w:sz w:val="24"/>
          <w:szCs w:val="24"/>
          <w:lang w:val="pt-BR"/>
        </w:rPr>
        <w:t xml:space="preserve">estabelecido </w:t>
      </w:r>
      <w:r w:rsidR="003E1D8A" w:rsidRPr="00C7575A">
        <w:rPr>
          <w:rFonts w:ascii="Garamond" w:hAnsi="Garamond" w:cs="Arial"/>
          <w:b/>
          <w:bCs/>
          <w:sz w:val="24"/>
          <w:szCs w:val="24"/>
          <w:lang w:val="pt-BR"/>
        </w:rPr>
        <w:t>sanções</w:t>
      </w:r>
      <w:r w:rsidRPr="00C7575A">
        <w:rPr>
          <w:rFonts w:ascii="Garamond" w:hAnsi="Garamond" w:cs="Arial"/>
          <w:b/>
          <w:bCs/>
          <w:sz w:val="24"/>
          <w:szCs w:val="24"/>
          <w:lang w:val="pt-BR"/>
        </w:rPr>
        <w:t xml:space="preserve"> </w:t>
      </w:r>
      <w:r w:rsidR="00501083" w:rsidRPr="00C7575A">
        <w:rPr>
          <w:rFonts w:ascii="Garamond" w:hAnsi="Garamond" w:cs="Arial"/>
          <w:b/>
          <w:bCs/>
          <w:sz w:val="24"/>
          <w:szCs w:val="24"/>
          <w:lang w:val="pt-BR"/>
        </w:rPr>
        <w:t>adequada</w:t>
      </w:r>
      <w:r w:rsidRPr="00C7575A">
        <w:rPr>
          <w:rFonts w:ascii="Garamond" w:hAnsi="Garamond" w:cs="Arial"/>
          <w:b/>
          <w:bCs/>
          <w:sz w:val="24"/>
          <w:szCs w:val="24"/>
          <w:lang w:val="pt-BR"/>
        </w:rPr>
        <w:t xml:space="preserve">s </w:t>
      </w:r>
      <w:r w:rsidR="000672E8" w:rsidRPr="00C7575A">
        <w:rPr>
          <w:rFonts w:ascii="Garamond" w:hAnsi="Garamond" w:cs="Arial"/>
          <w:b/>
          <w:bCs/>
          <w:sz w:val="24"/>
          <w:szCs w:val="24"/>
          <w:lang w:val="pt-BR"/>
        </w:rPr>
        <w:t>e</w:t>
      </w:r>
      <w:r w:rsidR="00513D98" w:rsidRPr="00C7575A">
        <w:rPr>
          <w:rFonts w:ascii="Garamond" w:hAnsi="Garamond" w:cs="Arial"/>
          <w:b/>
          <w:bCs/>
          <w:sz w:val="24"/>
          <w:szCs w:val="24"/>
          <w:lang w:val="pt-BR"/>
        </w:rPr>
        <w:t xml:space="preserve"> proporcionai</w:t>
      </w:r>
      <w:r w:rsidRPr="00C7575A">
        <w:rPr>
          <w:rFonts w:ascii="Garamond" w:hAnsi="Garamond" w:cs="Arial"/>
          <w:b/>
          <w:bCs/>
          <w:sz w:val="24"/>
          <w:szCs w:val="24"/>
          <w:lang w:val="pt-BR"/>
        </w:rPr>
        <w:t>s</w:t>
      </w:r>
      <w:r w:rsidR="00513D98" w:rsidRPr="00C7575A">
        <w:rPr>
          <w:rFonts w:ascii="Garamond" w:hAnsi="Garamond" w:cs="Arial"/>
          <w:b/>
          <w:bCs/>
          <w:sz w:val="24"/>
          <w:szCs w:val="24"/>
          <w:lang w:val="pt-BR"/>
        </w:rPr>
        <w:t>,</w:t>
      </w:r>
      <w:r w:rsidRPr="00C7575A">
        <w:rPr>
          <w:rFonts w:ascii="Garamond" w:hAnsi="Garamond" w:cs="Arial"/>
          <w:b/>
          <w:bCs/>
          <w:sz w:val="24"/>
          <w:szCs w:val="24"/>
          <w:lang w:val="pt-BR"/>
        </w:rPr>
        <w:t xml:space="preserve"> </w:t>
      </w:r>
      <w:r w:rsidR="00586850" w:rsidRPr="00C7575A">
        <w:rPr>
          <w:rFonts w:ascii="Garamond" w:hAnsi="Garamond" w:cs="Arial"/>
          <w:b/>
          <w:bCs/>
          <w:sz w:val="24"/>
          <w:szCs w:val="24"/>
          <w:lang w:val="pt-BR"/>
        </w:rPr>
        <w:t>etc.</w:t>
      </w:r>
      <w:r w:rsidRPr="00C7575A">
        <w:rPr>
          <w:rFonts w:ascii="Garamond" w:hAnsi="Garamond" w:cs="Arial"/>
          <w:b/>
          <w:bCs/>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513D98" w:rsidP="00513D98">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Regist</w:t>
      </w:r>
      <w:r w:rsidR="004C140F" w:rsidRPr="003A1174">
        <w:rPr>
          <w:rFonts w:ascii="Garamond" w:hAnsi="Garamond" w:cs="Arial"/>
          <w:sz w:val="24"/>
          <w:szCs w:val="24"/>
          <w:lang w:val="pt-BR"/>
        </w:rPr>
        <w:t>amos decisões judiciais emblemáticas, nas quais foram firmados</w:t>
      </w:r>
      <w:r w:rsidRPr="003A1174">
        <w:rPr>
          <w:rFonts w:ascii="Garamond" w:hAnsi="Garamond" w:cs="Arial"/>
          <w:sz w:val="24"/>
          <w:szCs w:val="24"/>
          <w:lang w:val="pt-BR"/>
        </w:rPr>
        <w:t xml:space="preserve"> </w:t>
      </w:r>
      <w:r w:rsidR="004C140F" w:rsidRPr="003A1174">
        <w:rPr>
          <w:rFonts w:ascii="Garamond" w:hAnsi="Garamond" w:cs="Arial"/>
          <w:sz w:val="24"/>
          <w:szCs w:val="24"/>
          <w:lang w:val="pt-BR"/>
        </w:rPr>
        <w:t>entendimentos e/ou estabelecidas sanções adequadas e proporcionais que</w:t>
      </w:r>
      <w:r w:rsidRPr="003A1174">
        <w:rPr>
          <w:rFonts w:ascii="Garamond" w:hAnsi="Garamond" w:cs="Arial"/>
          <w:sz w:val="24"/>
          <w:szCs w:val="24"/>
          <w:lang w:val="pt-BR"/>
        </w:rPr>
        <w:t xml:space="preserve"> </w:t>
      </w:r>
      <w:r w:rsidR="004C140F" w:rsidRPr="003A1174">
        <w:rPr>
          <w:rFonts w:ascii="Garamond" w:hAnsi="Garamond" w:cs="Arial"/>
          <w:sz w:val="24"/>
          <w:szCs w:val="24"/>
          <w:lang w:val="pt-BR"/>
        </w:rPr>
        <w:t>configuram importantes precedentes judiciais em benefício dos direitos da mulher em situação de violência doméstica e familiar:</w:t>
      </w:r>
    </w:p>
    <w:p w:rsidR="004C140F" w:rsidRPr="003A1174" w:rsidRDefault="004C140F" w:rsidP="00513D98">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1- O Supremo Tribunal Federal reforçou o rigor da lei ao julgar a ação direta de inconstitucionalidade</w:t>
      </w:r>
      <w:r w:rsidR="000E2CBA">
        <w:rPr>
          <w:rFonts w:ascii="Garamond" w:hAnsi="Garamond" w:cs="Arial"/>
          <w:sz w:val="24"/>
          <w:szCs w:val="24"/>
          <w:lang w:val="pt-BR"/>
        </w:rPr>
        <w:t xml:space="preserve"> 4424. Por maioria de votos, os juízes</w:t>
      </w:r>
      <w:r w:rsidRPr="003A1174">
        <w:rPr>
          <w:rFonts w:ascii="Garamond" w:hAnsi="Garamond" w:cs="Arial"/>
          <w:sz w:val="24"/>
          <w:szCs w:val="24"/>
          <w:lang w:val="pt-BR"/>
        </w:rPr>
        <w:t xml:space="preserve"> decidiram que o Ministério Público poderá dar início à ação penal pública</w:t>
      </w:r>
      <w:r w:rsidR="00982F4E">
        <w:rPr>
          <w:rFonts w:ascii="Garamond" w:hAnsi="Garamond" w:cs="Arial"/>
          <w:sz w:val="24"/>
          <w:szCs w:val="24"/>
          <w:lang w:val="pt-BR"/>
        </w:rPr>
        <w:t>,</w:t>
      </w:r>
      <w:r w:rsidRPr="003A1174">
        <w:rPr>
          <w:rFonts w:ascii="Garamond" w:hAnsi="Garamond" w:cs="Arial"/>
          <w:sz w:val="24"/>
          <w:szCs w:val="24"/>
          <w:lang w:val="pt-BR"/>
        </w:rPr>
        <w:t xml:space="preserve"> mesmo sem representação (denúncia) da vítima. A retratação em juízo põe fim à ação penal, na hipótese de crime de ação penal que exija a representação da vítima. Nos casos em que tiver</w:t>
      </w:r>
      <w:r w:rsidR="00513D98" w:rsidRPr="003A1174">
        <w:rPr>
          <w:rFonts w:ascii="Garamond" w:hAnsi="Garamond" w:cs="Arial"/>
          <w:sz w:val="24"/>
          <w:szCs w:val="24"/>
          <w:lang w:val="pt-BR"/>
        </w:rPr>
        <w:t>em</w:t>
      </w:r>
      <w:r w:rsidRPr="003A1174">
        <w:rPr>
          <w:rFonts w:ascii="Garamond" w:hAnsi="Garamond" w:cs="Arial"/>
          <w:sz w:val="24"/>
          <w:szCs w:val="24"/>
          <w:lang w:val="pt-BR"/>
        </w:rPr>
        <w:t xml:space="preserve"> ocorrido agressões físicas contra a mulher, considerando a natureza de ação penal pública incondicionada, conforme entendimento do STF, não haverá a possibilidade de</w:t>
      </w:r>
      <w:r w:rsidR="00513D98" w:rsidRPr="003A1174">
        <w:rPr>
          <w:rFonts w:ascii="Garamond" w:hAnsi="Garamond" w:cs="Arial"/>
          <w:sz w:val="24"/>
          <w:szCs w:val="24"/>
          <w:lang w:val="pt-BR"/>
        </w:rPr>
        <w:t xml:space="preserve"> renúncia.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B41317" w:rsidP="008719D4">
      <w:pPr>
        <w:autoSpaceDE w:val="0"/>
        <w:autoSpaceDN w:val="0"/>
        <w:adjustRightInd w:val="0"/>
        <w:spacing w:after="0" w:line="240" w:lineRule="auto"/>
        <w:jc w:val="both"/>
        <w:rPr>
          <w:rFonts w:ascii="Garamond" w:hAnsi="Garamond" w:cs="Arial"/>
          <w:sz w:val="20"/>
          <w:szCs w:val="20"/>
          <w:lang w:val="pt-BR"/>
        </w:rPr>
      </w:pPr>
      <w:r>
        <w:rPr>
          <w:rFonts w:ascii="Garamond" w:hAnsi="Garamond" w:cs="Arial"/>
          <w:sz w:val="20"/>
          <w:szCs w:val="20"/>
          <w:lang w:val="pt-BR"/>
        </w:rPr>
        <w:t>(</w:t>
      </w:r>
      <w:r w:rsidR="004C140F" w:rsidRPr="00C7575A">
        <w:rPr>
          <w:rFonts w:ascii="Garamond" w:hAnsi="Garamond" w:cs="Arial"/>
          <w:sz w:val="20"/>
          <w:szCs w:val="20"/>
          <w:lang w:val="pt-BR"/>
        </w:rPr>
        <w:t>31</w:t>
      </w:r>
      <w:r>
        <w:rPr>
          <w:rFonts w:ascii="Garamond" w:hAnsi="Garamond" w:cs="Arial"/>
          <w:sz w:val="20"/>
          <w:szCs w:val="20"/>
          <w:lang w:val="pt-BR"/>
        </w:rPr>
        <w:t>)</w:t>
      </w:r>
      <w:r w:rsidR="004C140F" w:rsidRPr="00C7575A">
        <w:rPr>
          <w:rFonts w:ascii="Garamond" w:hAnsi="Garamond" w:cs="Arial"/>
          <w:sz w:val="20"/>
          <w:szCs w:val="20"/>
          <w:lang w:val="pt-BR"/>
        </w:rPr>
        <w:t>http://www.compromissoeatitude.org.br/defensoria-publica-do-parana-realiza-i-seminario-mulheres-em-acao</w:t>
      </w:r>
      <w:r w:rsidR="000350B1" w:rsidRPr="00C7575A">
        <w:rPr>
          <w:rFonts w:ascii="Garamond" w:hAnsi="Garamond" w:cs="Arial"/>
          <w:sz w:val="20"/>
          <w:szCs w:val="20"/>
          <w:lang w:val="pt-BR"/>
        </w:rPr>
        <w:t>violência</w:t>
      </w:r>
      <w:r w:rsidR="004C140F" w:rsidRPr="00C7575A">
        <w:rPr>
          <w:rFonts w:ascii="Garamond" w:hAnsi="Garamond" w:cs="Arial"/>
          <w:sz w:val="20"/>
          <w:szCs w:val="20"/>
          <w:lang w:val="pt-BR"/>
        </w:rPr>
        <w:t>-</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C7575A">
        <w:rPr>
          <w:rFonts w:ascii="Garamond" w:hAnsi="Garamond" w:cs="Arial"/>
          <w:sz w:val="20"/>
          <w:szCs w:val="20"/>
          <w:lang w:val="pt-BR"/>
        </w:rPr>
        <w:t>domesticadesafios-e-dilemas-pr-07032014/</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lastRenderedPageBreak/>
        <w:t>Isto porque o Supremo Tribunal Federal, no julgamento da referida ADI 4424/DF, modificou entendimento majoritário do STJ, reconhecendo a natureza incondicionada da ação penal (não cabe renúncia) em caso de crime de lesão</w:t>
      </w:r>
      <w:r w:rsidR="00513D98" w:rsidRPr="003A1174">
        <w:rPr>
          <w:rFonts w:ascii="Garamond" w:hAnsi="Garamond" w:cs="Arial"/>
          <w:sz w:val="24"/>
          <w:szCs w:val="24"/>
          <w:lang w:val="pt-BR"/>
        </w:rPr>
        <w:t xml:space="preserve"> </w:t>
      </w:r>
      <w:r w:rsidRPr="003A1174">
        <w:rPr>
          <w:rFonts w:ascii="Garamond" w:hAnsi="Garamond" w:cs="Arial"/>
          <w:sz w:val="24"/>
          <w:szCs w:val="24"/>
          <w:lang w:val="pt-BR"/>
        </w:rPr>
        <w:t>corporal, praticado mediante violência doméstica e familiar contra a mulher, não importando em que extensão.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Durante o julgamento</w:t>
      </w:r>
      <w:r w:rsidR="00982F4E">
        <w:rPr>
          <w:rFonts w:ascii="Garamond" w:hAnsi="Garamond" w:cs="Arial"/>
          <w:sz w:val="24"/>
          <w:szCs w:val="24"/>
          <w:lang w:val="pt-BR"/>
        </w:rPr>
        <w:t>,</w:t>
      </w:r>
      <w:r w:rsidRPr="003A1174">
        <w:rPr>
          <w:rFonts w:ascii="Garamond" w:hAnsi="Garamond" w:cs="Arial"/>
          <w:sz w:val="24"/>
          <w:szCs w:val="24"/>
          <w:lang w:val="pt-BR"/>
        </w:rPr>
        <w:t xml:space="preserve"> o então procurador-geral da República, Roberto Gurgel, explicou que</w:t>
      </w:r>
      <w:r w:rsidR="00982F4E">
        <w:rPr>
          <w:rFonts w:ascii="Garamond" w:hAnsi="Garamond" w:cs="Arial"/>
          <w:sz w:val="24"/>
          <w:szCs w:val="24"/>
          <w:lang w:val="pt-BR"/>
        </w:rPr>
        <w:t>,</w:t>
      </w:r>
      <w:r w:rsidRPr="003A1174">
        <w:rPr>
          <w:rFonts w:ascii="Garamond" w:hAnsi="Garamond" w:cs="Arial"/>
          <w:sz w:val="24"/>
          <w:szCs w:val="24"/>
          <w:lang w:val="pt-BR"/>
        </w:rPr>
        <w:t xml:space="preserve"> a interpretação dada por alguns juízes</w:t>
      </w:r>
      <w:r w:rsidR="00982F4E">
        <w:rPr>
          <w:rFonts w:ascii="Garamond" w:hAnsi="Garamond" w:cs="Arial"/>
          <w:sz w:val="24"/>
          <w:szCs w:val="24"/>
          <w:lang w:val="pt-BR"/>
        </w:rPr>
        <w:t>,</w:t>
      </w:r>
      <w:r w:rsidRPr="003A1174">
        <w:rPr>
          <w:rFonts w:ascii="Garamond" w:hAnsi="Garamond" w:cs="Arial"/>
          <w:sz w:val="24"/>
          <w:szCs w:val="24"/>
          <w:lang w:val="pt-BR"/>
        </w:rPr>
        <w:t xml:space="preserve"> que faz a ação penal depender de representação da vítima</w:t>
      </w:r>
      <w:r w:rsidR="00982F4E">
        <w:rPr>
          <w:rFonts w:ascii="Garamond" w:hAnsi="Garamond" w:cs="Arial"/>
          <w:sz w:val="24"/>
          <w:szCs w:val="24"/>
          <w:lang w:val="pt-BR"/>
        </w:rPr>
        <w:t>,</w:t>
      </w:r>
      <w:r w:rsidRPr="003A1174">
        <w:rPr>
          <w:rFonts w:ascii="Garamond" w:hAnsi="Garamond" w:cs="Arial"/>
          <w:sz w:val="24"/>
          <w:szCs w:val="24"/>
          <w:lang w:val="pt-BR"/>
        </w:rPr>
        <w:t xml:space="preserve"> viola o princípio constitucional da dignidade da pessoa humana e </w:t>
      </w:r>
      <w:r w:rsidR="00513D98" w:rsidRPr="003A1174">
        <w:rPr>
          <w:rFonts w:ascii="Garamond" w:hAnsi="Garamond" w:cs="Arial"/>
          <w:sz w:val="24"/>
          <w:szCs w:val="24"/>
          <w:lang w:val="pt-BR"/>
        </w:rPr>
        <w:t>d</w:t>
      </w:r>
      <w:r w:rsidRPr="003A1174">
        <w:rPr>
          <w:rFonts w:ascii="Garamond" w:hAnsi="Garamond" w:cs="Arial"/>
          <w:sz w:val="24"/>
          <w:szCs w:val="24"/>
          <w:lang w:val="pt-BR"/>
        </w:rPr>
        <w:t>os direitos fundamentais de igualdade.</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2. No recurso especial n.</w:t>
      </w:r>
      <w:r w:rsidR="00D90272">
        <w:rPr>
          <w:rFonts w:ascii="Garamond" w:hAnsi="Garamond" w:cs="Arial"/>
          <w:sz w:val="24"/>
          <w:szCs w:val="24"/>
          <w:lang w:val="pt-BR"/>
        </w:rPr>
        <w:t>º</w:t>
      </w:r>
      <w:r w:rsidRPr="003A1174">
        <w:rPr>
          <w:rFonts w:ascii="Garamond" w:hAnsi="Garamond" w:cs="Arial"/>
          <w:sz w:val="24"/>
          <w:szCs w:val="24"/>
          <w:lang w:val="pt-BR"/>
        </w:rPr>
        <w:t xml:space="preserve"> 1</w:t>
      </w:r>
      <w:r w:rsidR="00982F4E">
        <w:rPr>
          <w:rFonts w:ascii="Garamond" w:hAnsi="Garamond" w:cs="Arial"/>
          <w:sz w:val="24"/>
          <w:szCs w:val="24"/>
          <w:lang w:val="pt-BR"/>
        </w:rPr>
        <w:t xml:space="preserve"> </w:t>
      </w:r>
      <w:r w:rsidRPr="003A1174">
        <w:rPr>
          <w:rFonts w:ascii="Garamond" w:hAnsi="Garamond" w:cs="Arial"/>
          <w:sz w:val="24"/>
          <w:szCs w:val="24"/>
          <w:lang w:val="pt-BR"/>
        </w:rPr>
        <w:t>416</w:t>
      </w:r>
      <w:r w:rsidR="00982F4E">
        <w:rPr>
          <w:rFonts w:ascii="Garamond" w:hAnsi="Garamond" w:cs="Arial"/>
          <w:sz w:val="24"/>
          <w:szCs w:val="24"/>
          <w:lang w:val="pt-BR"/>
        </w:rPr>
        <w:t xml:space="preserve"> </w:t>
      </w:r>
      <w:r w:rsidRPr="003A1174">
        <w:rPr>
          <w:rFonts w:ascii="Garamond" w:hAnsi="Garamond" w:cs="Arial"/>
          <w:sz w:val="24"/>
          <w:szCs w:val="24"/>
          <w:lang w:val="pt-BR"/>
        </w:rPr>
        <w:t>580-RJ (2013/0370910-1), provido</w:t>
      </w:r>
      <w:r w:rsidR="00D90272">
        <w:rPr>
          <w:rFonts w:ascii="Garamond" w:hAnsi="Garamond" w:cs="Arial"/>
          <w:sz w:val="24"/>
          <w:szCs w:val="24"/>
          <w:lang w:val="pt-BR"/>
        </w:rPr>
        <w:t>,</w:t>
      </w:r>
      <w:r w:rsidRPr="003A1174">
        <w:rPr>
          <w:rFonts w:ascii="Garamond" w:hAnsi="Garamond" w:cs="Arial"/>
          <w:sz w:val="24"/>
          <w:szCs w:val="24"/>
          <w:lang w:val="pt-BR"/>
        </w:rPr>
        <w:t xml:space="preserve"> por unanimidade</w:t>
      </w:r>
      <w:r w:rsidR="00D90272">
        <w:rPr>
          <w:rFonts w:ascii="Garamond" w:hAnsi="Garamond" w:cs="Arial"/>
          <w:sz w:val="24"/>
          <w:szCs w:val="24"/>
          <w:lang w:val="pt-BR"/>
        </w:rPr>
        <w:t>,</w:t>
      </w:r>
      <w:r w:rsidRPr="003A1174">
        <w:rPr>
          <w:rFonts w:ascii="Garamond" w:hAnsi="Garamond" w:cs="Arial"/>
          <w:sz w:val="24"/>
          <w:szCs w:val="24"/>
          <w:lang w:val="pt-BR"/>
        </w:rPr>
        <w:t xml:space="preserve"> para fazer incidir a Lei Maria da Penha </w:t>
      </w:r>
      <w:r w:rsidR="00513D98" w:rsidRPr="003A1174">
        <w:rPr>
          <w:rFonts w:ascii="Garamond" w:hAnsi="Garamond" w:cs="Arial"/>
          <w:sz w:val="24"/>
          <w:szCs w:val="24"/>
          <w:lang w:val="pt-BR"/>
        </w:rPr>
        <w:t xml:space="preserve">num </w:t>
      </w:r>
      <w:r w:rsidRPr="003A1174">
        <w:rPr>
          <w:rFonts w:ascii="Garamond" w:hAnsi="Garamond" w:cs="Arial"/>
          <w:sz w:val="24"/>
          <w:szCs w:val="24"/>
          <w:lang w:val="pt-BR"/>
        </w:rPr>
        <w:t xml:space="preserve">caso concreto, o Superior Tribunal de Justiça, </w:t>
      </w:r>
      <w:r w:rsidR="00513D98" w:rsidRPr="003A1174">
        <w:rPr>
          <w:rFonts w:ascii="Garamond" w:hAnsi="Garamond" w:cs="Arial"/>
          <w:sz w:val="24"/>
          <w:szCs w:val="24"/>
          <w:lang w:val="pt-BR"/>
        </w:rPr>
        <w:t>ao abrigo d</w:t>
      </w:r>
      <w:r w:rsidRPr="003A1174">
        <w:rPr>
          <w:rFonts w:ascii="Garamond" w:hAnsi="Garamond" w:cs="Arial"/>
          <w:sz w:val="24"/>
          <w:szCs w:val="24"/>
          <w:lang w:val="pt-BR"/>
        </w:rPr>
        <w:t xml:space="preserve">a tese recursal do MP/RJ e </w:t>
      </w:r>
      <w:r w:rsidR="00513D98" w:rsidRPr="003A1174">
        <w:rPr>
          <w:rFonts w:ascii="Garamond" w:hAnsi="Garamond" w:cs="Arial"/>
          <w:sz w:val="24"/>
          <w:szCs w:val="24"/>
          <w:lang w:val="pt-BR"/>
        </w:rPr>
        <w:t>d</w:t>
      </w:r>
      <w:r w:rsidRPr="003A1174">
        <w:rPr>
          <w:rFonts w:ascii="Garamond" w:hAnsi="Garamond" w:cs="Arial"/>
          <w:sz w:val="24"/>
          <w:szCs w:val="24"/>
          <w:lang w:val="pt-BR"/>
        </w:rPr>
        <w:t>o parecer da PGR, decidiu que (…) a situação de vulnerabilidade e fragilidade da mulher, envolvida em relacionamento íntimo de afeto, nas circunstâncias descritas pela lei de regência, revela</w:t>
      </w:r>
      <w:r w:rsidR="00513D98" w:rsidRPr="003A1174">
        <w:rPr>
          <w:rFonts w:ascii="Garamond" w:hAnsi="Garamond" w:cs="Arial"/>
          <w:sz w:val="24"/>
          <w:szCs w:val="24"/>
          <w:lang w:val="pt-BR"/>
        </w:rPr>
        <w:t>-se</w:t>
      </w:r>
      <w:r w:rsidRPr="003A1174">
        <w:rPr>
          <w:rFonts w:ascii="Garamond" w:hAnsi="Garamond" w:cs="Arial"/>
          <w:sz w:val="24"/>
          <w:szCs w:val="24"/>
          <w:lang w:val="pt-BR"/>
        </w:rPr>
        <w:t xml:space="preserve"> </w:t>
      </w:r>
      <w:r w:rsidRPr="003A1174">
        <w:rPr>
          <w:rFonts w:ascii="Garamond" w:hAnsi="Garamond" w:cs="Arial"/>
          <w:i/>
          <w:iCs/>
          <w:sz w:val="24"/>
          <w:szCs w:val="24"/>
          <w:lang w:val="pt-BR"/>
        </w:rPr>
        <w:t>ipso facto</w:t>
      </w:r>
      <w:r w:rsidRPr="003A1174">
        <w:rPr>
          <w:rFonts w:ascii="Garamond" w:hAnsi="Garamond" w:cs="Arial"/>
          <w:sz w:val="24"/>
          <w:szCs w:val="24"/>
          <w:lang w:val="pt-BR"/>
        </w:rPr>
        <w:t xml:space="preserve">. Com efeito, a presunção de hipossuficiência da mulher, a implicar a necessidade do Estado oferecer proteção especial para reequilibrar a desproporcionalidade existente, constitui-se </w:t>
      </w:r>
      <w:r w:rsidR="00513D98" w:rsidRPr="003A1174">
        <w:rPr>
          <w:rFonts w:ascii="Garamond" w:hAnsi="Garamond" w:cs="Arial"/>
          <w:sz w:val="24"/>
          <w:szCs w:val="24"/>
          <w:lang w:val="pt-BR"/>
        </w:rPr>
        <w:t xml:space="preserve">num </w:t>
      </w:r>
      <w:r w:rsidRPr="003A1174">
        <w:rPr>
          <w:rFonts w:ascii="Garamond" w:hAnsi="Garamond" w:cs="Arial"/>
          <w:sz w:val="24"/>
          <w:szCs w:val="24"/>
          <w:lang w:val="pt-BR"/>
        </w:rPr>
        <w:t xml:space="preserve">pressuposto de validade da própria lei. Vale </w:t>
      </w:r>
      <w:r w:rsidR="00513D98" w:rsidRPr="003A1174">
        <w:rPr>
          <w:rFonts w:ascii="Garamond" w:hAnsi="Garamond" w:cs="Arial"/>
          <w:sz w:val="24"/>
          <w:szCs w:val="24"/>
          <w:lang w:val="pt-BR"/>
        </w:rPr>
        <w:t xml:space="preserve">a pena </w:t>
      </w:r>
      <w:r w:rsidRPr="003A1174">
        <w:rPr>
          <w:rFonts w:ascii="Garamond" w:hAnsi="Garamond" w:cs="Arial"/>
          <w:sz w:val="24"/>
          <w:szCs w:val="24"/>
          <w:lang w:val="pt-BR"/>
        </w:rPr>
        <w:t xml:space="preserve">ressaltar que, em nenhum momento, o legislador condicionou esse tratamento diferenciado à demonstração dessa presunção, que, aliás, é </w:t>
      </w:r>
      <w:r w:rsidR="0014724F" w:rsidRPr="003A1174">
        <w:rPr>
          <w:rFonts w:ascii="Garamond" w:hAnsi="Garamond" w:cs="Arial"/>
          <w:sz w:val="24"/>
          <w:szCs w:val="24"/>
          <w:lang w:val="pt-BR"/>
        </w:rPr>
        <w:t>inata</w:t>
      </w:r>
      <w:r w:rsidRPr="003A1174">
        <w:rPr>
          <w:rFonts w:ascii="Garamond" w:hAnsi="Garamond" w:cs="Arial"/>
          <w:sz w:val="24"/>
          <w:szCs w:val="24"/>
          <w:lang w:val="pt-BR"/>
        </w:rPr>
        <w:t xml:space="preserve"> à condição da mulher na sociedade </w:t>
      </w:r>
      <w:r w:rsidR="00513D98" w:rsidRPr="003A1174">
        <w:rPr>
          <w:rFonts w:ascii="Garamond" w:hAnsi="Garamond" w:cs="Arial"/>
          <w:sz w:val="24"/>
          <w:szCs w:val="24"/>
          <w:lang w:val="pt-BR"/>
        </w:rPr>
        <w:t>atual</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3. Decisão emblemática</w:t>
      </w:r>
      <w:r w:rsidR="00D90272">
        <w:rPr>
          <w:rFonts w:ascii="Garamond" w:hAnsi="Garamond" w:cs="Arial"/>
          <w:sz w:val="24"/>
          <w:szCs w:val="24"/>
          <w:lang w:val="pt-BR"/>
        </w:rPr>
        <w:t>,</w:t>
      </w:r>
      <w:r w:rsidRPr="003A1174">
        <w:rPr>
          <w:rFonts w:ascii="Garamond" w:hAnsi="Garamond" w:cs="Arial"/>
          <w:sz w:val="24"/>
          <w:szCs w:val="24"/>
          <w:lang w:val="pt-BR"/>
        </w:rPr>
        <w:t xml:space="preserve"> proferida pela 14</w:t>
      </w:r>
      <w:r w:rsidR="00D90272">
        <w:rPr>
          <w:rFonts w:ascii="Garamond" w:hAnsi="Garamond" w:cs="Arial"/>
          <w:sz w:val="24"/>
          <w:szCs w:val="24"/>
          <w:lang w:val="pt-BR"/>
        </w:rPr>
        <w:t>.</w:t>
      </w:r>
      <w:r w:rsidRPr="003A1174">
        <w:rPr>
          <w:rFonts w:ascii="Garamond" w:hAnsi="Garamond" w:cs="Arial"/>
          <w:sz w:val="24"/>
          <w:szCs w:val="24"/>
          <w:lang w:val="pt-BR"/>
        </w:rPr>
        <w:t>ª Vara Criminal de Belo Horizonte</w:t>
      </w:r>
      <w:r w:rsidR="00D90272">
        <w:rPr>
          <w:rFonts w:ascii="Garamond" w:hAnsi="Garamond" w:cs="Arial"/>
          <w:sz w:val="24"/>
          <w:szCs w:val="24"/>
          <w:lang w:val="pt-BR"/>
        </w:rPr>
        <w:t>,</w:t>
      </w:r>
      <w:r w:rsidRPr="003A1174">
        <w:rPr>
          <w:rFonts w:ascii="Garamond" w:hAnsi="Garamond" w:cs="Arial"/>
          <w:sz w:val="24"/>
          <w:szCs w:val="24"/>
          <w:lang w:val="pt-BR"/>
        </w:rPr>
        <w:t xml:space="preserve"> determinou ao INSS o pagamento benefício para </w:t>
      </w:r>
      <w:r w:rsidR="0014724F" w:rsidRPr="003A1174">
        <w:rPr>
          <w:rFonts w:ascii="Garamond" w:hAnsi="Garamond" w:cs="Arial"/>
          <w:sz w:val="24"/>
          <w:szCs w:val="24"/>
          <w:lang w:val="pt-BR"/>
        </w:rPr>
        <w:t xml:space="preserve">uma </w:t>
      </w:r>
      <w:r w:rsidRPr="003A1174">
        <w:rPr>
          <w:rFonts w:ascii="Garamond" w:hAnsi="Garamond" w:cs="Arial"/>
          <w:sz w:val="24"/>
          <w:szCs w:val="24"/>
          <w:lang w:val="pt-BR"/>
        </w:rPr>
        <w:t xml:space="preserve">mulher agredida pelo marido, que precisou </w:t>
      </w:r>
      <w:r w:rsidR="0014724F" w:rsidRPr="003A1174">
        <w:rPr>
          <w:rFonts w:ascii="Garamond" w:hAnsi="Garamond" w:cs="Arial"/>
          <w:sz w:val="24"/>
          <w:szCs w:val="24"/>
          <w:lang w:val="pt-BR"/>
        </w:rPr>
        <w:t xml:space="preserve">de </w:t>
      </w:r>
      <w:r w:rsidRPr="003A1174">
        <w:rPr>
          <w:rFonts w:ascii="Garamond" w:hAnsi="Garamond" w:cs="Arial"/>
          <w:sz w:val="24"/>
          <w:szCs w:val="24"/>
          <w:lang w:val="pt-BR"/>
        </w:rPr>
        <w:t>se afastar do trabalho em razão da aplicação de medidas protetivas que a encaminh</w:t>
      </w:r>
      <w:r w:rsidR="0014724F" w:rsidRPr="003A1174">
        <w:rPr>
          <w:rFonts w:ascii="Garamond" w:hAnsi="Garamond" w:cs="Arial"/>
          <w:sz w:val="24"/>
          <w:szCs w:val="24"/>
          <w:lang w:val="pt-BR"/>
        </w:rPr>
        <w:t xml:space="preserve">aram </w:t>
      </w:r>
      <w:r w:rsidRPr="003A1174">
        <w:rPr>
          <w:rFonts w:ascii="Garamond" w:hAnsi="Garamond" w:cs="Arial"/>
          <w:sz w:val="24"/>
          <w:szCs w:val="24"/>
          <w:lang w:val="pt-BR"/>
        </w:rPr>
        <w:t>para um abrigo.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No caso concreto, a mulher</w:t>
      </w:r>
      <w:r w:rsidR="00D90272">
        <w:rPr>
          <w:rFonts w:ascii="Garamond" w:hAnsi="Garamond" w:cs="Arial"/>
          <w:sz w:val="24"/>
          <w:szCs w:val="24"/>
          <w:lang w:val="pt-BR"/>
        </w:rPr>
        <w:t>,</w:t>
      </w:r>
      <w:r w:rsidRPr="003A1174">
        <w:rPr>
          <w:rFonts w:ascii="Garamond" w:hAnsi="Garamond" w:cs="Arial"/>
          <w:sz w:val="24"/>
          <w:szCs w:val="24"/>
          <w:lang w:val="pt-BR"/>
        </w:rPr>
        <w:t xml:space="preserve"> em situação de violência familiar</w:t>
      </w:r>
      <w:r w:rsidR="00D90272">
        <w:rPr>
          <w:rFonts w:ascii="Garamond" w:hAnsi="Garamond" w:cs="Arial"/>
          <w:sz w:val="24"/>
          <w:szCs w:val="24"/>
          <w:lang w:val="pt-BR"/>
        </w:rPr>
        <w:t>,</w:t>
      </w:r>
      <w:r w:rsidRPr="003A1174">
        <w:rPr>
          <w:rFonts w:ascii="Garamond" w:hAnsi="Garamond" w:cs="Arial"/>
          <w:sz w:val="24"/>
          <w:szCs w:val="24"/>
          <w:lang w:val="pt-BR"/>
        </w:rPr>
        <w:t xml:space="preserve"> ganhou na Justiça o direito </w:t>
      </w:r>
      <w:r w:rsidR="0014724F" w:rsidRPr="003A1174">
        <w:rPr>
          <w:rFonts w:ascii="Garamond" w:hAnsi="Garamond" w:cs="Arial"/>
          <w:sz w:val="24"/>
          <w:szCs w:val="24"/>
          <w:lang w:val="pt-BR"/>
        </w:rPr>
        <w:t xml:space="preserve">a </w:t>
      </w:r>
      <w:r w:rsidRPr="003A1174">
        <w:rPr>
          <w:rFonts w:ascii="Garamond" w:hAnsi="Garamond" w:cs="Arial"/>
          <w:sz w:val="24"/>
          <w:szCs w:val="24"/>
          <w:lang w:val="pt-BR"/>
        </w:rPr>
        <w:t xml:space="preserve">receber salário pelo período de três meses do Instituto Nacional de </w:t>
      </w:r>
      <w:r w:rsidR="00D15AFF" w:rsidRPr="003A1174">
        <w:rPr>
          <w:rFonts w:ascii="Garamond" w:hAnsi="Garamond" w:cs="Arial"/>
          <w:sz w:val="24"/>
          <w:szCs w:val="24"/>
          <w:lang w:val="pt-BR"/>
        </w:rPr>
        <w:t>Segurança</w:t>
      </w:r>
      <w:r w:rsidRPr="003A1174">
        <w:rPr>
          <w:rFonts w:ascii="Garamond" w:hAnsi="Garamond" w:cs="Arial"/>
          <w:sz w:val="24"/>
          <w:szCs w:val="24"/>
          <w:lang w:val="pt-BR"/>
        </w:rPr>
        <w:t xml:space="preserve"> Social (INSS), com possibilidade de prorrogação por mais seis meses.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As decisões acima pontuadas constituem im</w:t>
      </w:r>
      <w:r w:rsidR="0014724F" w:rsidRPr="003A1174">
        <w:rPr>
          <w:rFonts w:ascii="Garamond" w:hAnsi="Garamond" w:cs="Arial"/>
          <w:sz w:val="24"/>
          <w:szCs w:val="24"/>
          <w:lang w:val="pt-BR"/>
        </w:rPr>
        <w:t>portantes precedentes do magisté</w:t>
      </w:r>
      <w:r w:rsidRPr="003A1174">
        <w:rPr>
          <w:rFonts w:ascii="Garamond" w:hAnsi="Garamond" w:cs="Arial"/>
          <w:sz w:val="24"/>
          <w:szCs w:val="24"/>
          <w:lang w:val="pt-BR"/>
        </w:rPr>
        <w:t xml:space="preserve">rio jurisprudencial </w:t>
      </w:r>
      <w:r w:rsidR="00D90272">
        <w:rPr>
          <w:rFonts w:ascii="Garamond" w:hAnsi="Garamond" w:cs="Arial"/>
          <w:sz w:val="24"/>
          <w:szCs w:val="24"/>
          <w:lang w:val="pt-BR"/>
        </w:rPr>
        <w:t xml:space="preserve">na </w:t>
      </w:r>
      <w:r w:rsidR="0014724F" w:rsidRPr="003A1174">
        <w:rPr>
          <w:rFonts w:ascii="Garamond" w:hAnsi="Garamond" w:cs="Arial"/>
          <w:sz w:val="24"/>
          <w:szCs w:val="24"/>
          <w:lang w:val="pt-BR"/>
        </w:rPr>
        <w:t xml:space="preserve">procura </w:t>
      </w:r>
      <w:r w:rsidR="00D90272">
        <w:rPr>
          <w:rFonts w:ascii="Garamond" w:hAnsi="Garamond" w:cs="Arial"/>
          <w:sz w:val="24"/>
          <w:szCs w:val="24"/>
          <w:lang w:val="pt-BR"/>
        </w:rPr>
        <w:t>d</w:t>
      </w:r>
      <w:r w:rsidR="0014724F" w:rsidRPr="003A1174">
        <w:rPr>
          <w:rFonts w:ascii="Garamond" w:hAnsi="Garamond" w:cs="Arial"/>
          <w:sz w:val="24"/>
          <w:szCs w:val="24"/>
          <w:lang w:val="pt-BR"/>
        </w:rPr>
        <w:t xml:space="preserve">a </w:t>
      </w:r>
      <w:r w:rsidRPr="003A1174">
        <w:rPr>
          <w:rFonts w:ascii="Garamond" w:hAnsi="Garamond" w:cs="Arial"/>
          <w:sz w:val="24"/>
          <w:szCs w:val="24"/>
          <w:lang w:val="pt-BR"/>
        </w:rPr>
        <w:t>efetivação da Lei Maria da Penha, que alcança todas as mulheres, independentemente</w:t>
      </w:r>
      <w:r w:rsidR="00D90272">
        <w:rPr>
          <w:rFonts w:ascii="Garamond" w:hAnsi="Garamond" w:cs="Arial"/>
          <w:sz w:val="24"/>
          <w:szCs w:val="24"/>
          <w:lang w:val="pt-BR"/>
        </w:rPr>
        <w:t>,</w:t>
      </w:r>
      <w:r w:rsidRPr="003A1174">
        <w:rPr>
          <w:rFonts w:ascii="Garamond" w:hAnsi="Garamond" w:cs="Arial"/>
          <w:sz w:val="24"/>
          <w:szCs w:val="24"/>
          <w:lang w:val="pt-BR"/>
        </w:rPr>
        <w:t xml:space="preserve"> de classe, raça, etnia, orientação sexual, renda, cultura, nível educacional, religião e idade. Demonstram o compromisso do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xml:space="preserve"> com o </w:t>
      </w:r>
      <w:r w:rsidR="00D90272">
        <w:rPr>
          <w:rFonts w:ascii="Garamond" w:hAnsi="Garamond" w:cs="Arial"/>
          <w:sz w:val="24"/>
          <w:szCs w:val="24"/>
          <w:lang w:val="pt-BR"/>
        </w:rPr>
        <w:t xml:space="preserve">confronto </w:t>
      </w:r>
      <w:r w:rsidRPr="003A1174">
        <w:rPr>
          <w:rFonts w:ascii="Garamond" w:hAnsi="Garamond" w:cs="Arial"/>
          <w:sz w:val="24"/>
          <w:szCs w:val="24"/>
          <w:lang w:val="pt-BR"/>
        </w:rPr>
        <w:t>à violência contra a mulher no contexto familiar.</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b/>
          <w:bCs/>
          <w:sz w:val="24"/>
          <w:szCs w:val="24"/>
        </w:rPr>
      </w:pPr>
      <w:r w:rsidRPr="00C7575A">
        <w:rPr>
          <w:rFonts w:ascii="Garamond" w:hAnsi="Garamond" w:cs="Arial"/>
          <w:b/>
          <w:sz w:val="24"/>
          <w:szCs w:val="24"/>
        </w:rPr>
        <w:t xml:space="preserve">5. </w:t>
      </w:r>
      <w:r w:rsidR="00F96DD1" w:rsidRPr="00C7575A">
        <w:rPr>
          <w:rFonts w:ascii="Garamond" w:hAnsi="Garamond" w:cs="Arial"/>
          <w:b/>
          <w:bCs/>
          <w:sz w:val="24"/>
          <w:szCs w:val="24"/>
        </w:rPr>
        <w:t>Há</w:t>
      </w:r>
      <w:r w:rsidRPr="00C7575A">
        <w:rPr>
          <w:rFonts w:ascii="Garamond" w:hAnsi="Garamond" w:cs="Arial"/>
          <w:b/>
          <w:bCs/>
          <w:sz w:val="24"/>
          <w:szCs w:val="24"/>
        </w:rPr>
        <w:t xml:space="preserve"> </w:t>
      </w:r>
      <w:r w:rsidR="009859FC" w:rsidRPr="00C7575A">
        <w:rPr>
          <w:rFonts w:ascii="Garamond" w:hAnsi="Garamond" w:cs="Arial"/>
          <w:b/>
          <w:bCs/>
          <w:sz w:val="24"/>
          <w:szCs w:val="24"/>
        </w:rPr>
        <w:t>melhoria</w:t>
      </w:r>
      <w:r w:rsidRPr="00C7575A">
        <w:rPr>
          <w:rFonts w:ascii="Garamond" w:hAnsi="Garamond" w:cs="Arial"/>
          <w:b/>
          <w:bCs/>
          <w:sz w:val="24"/>
          <w:szCs w:val="24"/>
        </w:rPr>
        <w:t>s e</w:t>
      </w:r>
      <w:r w:rsidR="0014724F" w:rsidRPr="00C7575A">
        <w:rPr>
          <w:rFonts w:ascii="Garamond" w:hAnsi="Garamond" w:cs="Arial"/>
          <w:b/>
          <w:bCs/>
          <w:sz w:val="24"/>
          <w:szCs w:val="24"/>
        </w:rPr>
        <w:t>m</w:t>
      </w:r>
      <w:r w:rsidRPr="00C7575A">
        <w:rPr>
          <w:rFonts w:ascii="Garamond" w:hAnsi="Garamond" w:cs="Arial"/>
          <w:b/>
          <w:bCs/>
          <w:sz w:val="24"/>
          <w:szCs w:val="24"/>
        </w:rPr>
        <w:t xml:space="preserve"> </w:t>
      </w:r>
      <w:r w:rsidR="00EF645F" w:rsidRPr="00C7575A">
        <w:rPr>
          <w:rFonts w:ascii="Garamond" w:hAnsi="Garamond" w:cs="Arial"/>
          <w:b/>
          <w:bCs/>
          <w:sz w:val="24"/>
          <w:szCs w:val="24"/>
        </w:rPr>
        <w:t>matéria</w:t>
      </w:r>
      <w:r w:rsidRPr="00C7575A">
        <w:rPr>
          <w:rFonts w:ascii="Garamond" w:hAnsi="Garamond" w:cs="Arial"/>
          <w:b/>
          <w:bCs/>
          <w:sz w:val="24"/>
          <w:szCs w:val="24"/>
        </w:rPr>
        <w:t xml:space="preserve"> de </w:t>
      </w:r>
      <w:r w:rsidR="00813D2E" w:rsidRPr="00C7575A">
        <w:rPr>
          <w:rFonts w:ascii="Garamond" w:hAnsi="Garamond" w:cs="Arial"/>
          <w:b/>
          <w:bCs/>
          <w:sz w:val="24"/>
          <w:szCs w:val="24"/>
        </w:rPr>
        <w:t xml:space="preserve">avaliação </w:t>
      </w:r>
      <w:r w:rsidR="00E85E59" w:rsidRPr="00C7575A">
        <w:rPr>
          <w:rFonts w:ascii="Garamond" w:hAnsi="Garamond" w:cs="Arial"/>
          <w:b/>
          <w:bCs/>
          <w:sz w:val="24"/>
          <w:szCs w:val="24"/>
        </w:rPr>
        <w:t>do</w:t>
      </w:r>
      <w:r w:rsidRPr="00C7575A">
        <w:rPr>
          <w:rFonts w:ascii="Garamond" w:hAnsi="Garamond" w:cs="Arial"/>
          <w:b/>
          <w:bCs/>
          <w:sz w:val="24"/>
          <w:szCs w:val="24"/>
        </w:rPr>
        <w:t xml:space="preserve"> d</w:t>
      </w:r>
      <w:r w:rsidR="002C7510" w:rsidRPr="00C7575A">
        <w:rPr>
          <w:rFonts w:ascii="Garamond" w:hAnsi="Garamond" w:cs="Arial"/>
          <w:b/>
          <w:bCs/>
          <w:sz w:val="24"/>
          <w:szCs w:val="24"/>
        </w:rPr>
        <w:t>ano</w:t>
      </w:r>
      <w:r w:rsidRPr="00C7575A">
        <w:rPr>
          <w:rFonts w:ascii="Garamond" w:hAnsi="Garamond" w:cs="Arial"/>
          <w:b/>
          <w:bCs/>
          <w:sz w:val="24"/>
          <w:szCs w:val="24"/>
        </w:rPr>
        <w:t xml:space="preserve"> psicológico?</w:t>
      </w:r>
    </w:p>
    <w:p w:rsidR="004C140F" w:rsidRPr="003A1174" w:rsidRDefault="004C140F" w:rsidP="008719D4">
      <w:pPr>
        <w:autoSpaceDE w:val="0"/>
        <w:autoSpaceDN w:val="0"/>
        <w:adjustRightInd w:val="0"/>
        <w:spacing w:after="0" w:line="240" w:lineRule="auto"/>
        <w:jc w:val="both"/>
        <w:rPr>
          <w:rFonts w:ascii="Garamond" w:hAnsi="Garamond" w:cs="Arial"/>
          <w:sz w:val="24"/>
          <w:szCs w:val="24"/>
        </w:rPr>
      </w:pPr>
    </w:p>
    <w:p w:rsidR="004C140F" w:rsidRPr="00B41317" w:rsidRDefault="004C140F" w:rsidP="008719D4">
      <w:pPr>
        <w:autoSpaceDE w:val="0"/>
        <w:autoSpaceDN w:val="0"/>
        <w:adjustRightInd w:val="0"/>
        <w:spacing w:after="0" w:line="240" w:lineRule="auto"/>
        <w:jc w:val="both"/>
        <w:rPr>
          <w:rFonts w:ascii="Garamond" w:hAnsi="Garamond" w:cs="Arial"/>
          <w:sz w:val="24"/>
          <w:szCs w:val="24"/>
          <w:lang w:val="pt-BR"/>
        </w:rPr>
      </w:pPr>
      <w:r w:rsidRPr="00B41317">
        <w:rPr>
          <w:rFonts w:ascii="Garamond" w:hAnsi="Garamond" w:cs="Arial"/>
          <w:sz w:val="24"/>
          <w:szCs w:val="24"/>
          <w:lang w:val="pt-BR"/>
        </w:rPr>
        <w:t>Não podemos afirmar com segurança</w:t>
      </w:r>
      <w:r w:rsidR="008F5192" w:rsidRPr="00B41317">
        <w:rPr>
          <w:rFonts w:ascii="Garamond" w:hAnsi="Garamond" w:cs="Arial"/>
          <w:sz w:val="24"/>
          <w:szCs w:val="24"/>
          <w:lang w:val="pt-BR"/>
        </w:rPr>
        <w:t>,</w:t>
      </w:r>
      <w:r w:rsidRPr="00B41317">
        <w:rPr>
          <w:rFonts w:ascii="Garamond" w:hAnsi="Garamond" w:cs="Arial"/>
          <w:sz w:val="24"/>
          <w:szCs w:val="24"/>
          <w:lang w:val="pt-BR"/>
        </w:rPr>
        <w:t xml:space="preserve"> se houve ou não</w:t>
      </w:r>
      <w:r w:rsidR="008F5192" w:rsidRPr="00B41317">
        <w:rPr>
          <w:rFonts w:ascii="Garamond" w:hAnsi="Garamond" w:cs="Arial"/>
          <w:sz w:val="24"/>
          <w:szCs w:val="24"/>
          <w:lang w:val="pt-BR"/>
        </w:rPr>
        <w:t>,</w:t>
      </w:r>
      <w:r w:rsidRPr="00B41317">
        <w:rPr>
          <w:rFonts w:ascii="Garamond" w:hAnsi="Garamond" w:cs="Arial"/>
          <w:sz w:val="24"/>
          <w:szCs w:val="24"/>
          <w:lang w:val="pt-BR"/>
        </w:rPr>
        <w:t xml:space="preserve"> melhorias na </w:t>
      </w:r>
      <w:r w:rsidR="00813D2E" w:rsidRPr="00B41317">
        <w:rPr>
          <w:rFonts w:ascii="Garamond" w:hAnsi="Garamond" w:cs="Arial"/>
          <w:sz w:val="24"/>
          <w:szCs w:val="24"/>
          <w:lang w:val="pt-BR"/>
        </w:rPr>
        <w:t xml:space="preserve">avaliação </w:t>
      </w:r>
      <w:r w:rsidRPr="00B41317">
        <w:rPr>
          <w:rFonts w:ascii="Garamond" w:hAnsi="Garamond" w:cs="Arial"/>
          <w:sz w:val="24"/>
          <w:szCs w:val="24"/>
          <w:lang w:val="pt-BR"/>
        </w:rPr>
        <w:t>de danos psicológicos no período de novembro de 2013 a julho de 2014. Não obstante, o último RASEAM traz dados desagregados</w:t>
      </w:r>
      <w:r w:rsidR="008F5192" w:rsidRPr="00B41317">
        <w:rPr>
          <w:rFonts w:ascii="Garamond" w:hAnsi="Garamond" w:cs="Arial"/>
          <w:sz w:val="24"/>
          <w:szCs w:val="24"/>
          <w:lang w:val="pt-BR"/>
        </w:rPr>
        <w:t>,</w:t>
      </w:r>
      <w:r w:rsidRPr="00B41317">
        <w:rPr>
          <w:rFonts w:ascii="Garamond" w:hAnsi="Garamond" w:cs="Arial"/>
          <w:sz w:val="24"/>
          <w:szCs w:val="24"/>
          <w:lang w:val="pt-BR"/>
        </w:rPr>
        <w:t xml:space="preserve"> por tipo de violência</w:t>
      </w:r>
      <w:r w:rsidR="008F5192" w:rsidRPr="00B41317">
        <w:rPr>
          <w:rFonts w:ascii="Garamond" w:hAnsi="Garamond" w:cs="Arial"/>
          <w:sz w:val="24"/>
          <w:szCs w:val="24"/>
          <w:lang w:val="pt-BR"/>
        </w:rPr>
        <w:t>,</w:t>
      </w:r>
      <w:r w:rsidRPr="00B41317">
        <w:rPr>
          <w:rFonts w:ascii="Garamond" w:hAnsi="Garamond" w:cs="Arial"/>
          <w:sz w:val="24"/>
          <w:szCs w:val="24"/>
          <w:lang w:val="pt-BR"/>
        </w:rPr>
        <w:t xml:space="preserve"> oriundos da Central de Atendimento à Mulher–Ligue 180 e, embora esta análise se baseie em dados de 2012, ela foi elaborada e publicada no período a que nos referimos, por isto cabe reprodu</w:t>
      </w:r>
      <w:r w:rsidR="0014724F" w:rsidRPr="00B41317">
        <w:rPr>
          <w:rFonts w:ascii="Garamond" w:hAnsi="Garamond" w:cs="Arial"/>
          <w:sz w:val="24"/>
          <w:szCs w:val="24"/>
          <w:lang w:val="pt-BR"/>
        </w:rPr>
        <w:t>z</w:t>
      </w:r>
      <w:r w:rsidRPr="00B41317">
        <w:rPr>
          <w:rFonts w:ascii="Garamond" w:hAnsi="Garamond" w:cs="Arial"/>
          <w:sz w:val="24"/>
          <w:szCs w:val="24"/>
          <w:lang w:val="pt-BR"/>
        </w:rPr>
        <w:t xml:space="preserve">ir as análises do relatório referentes aos tipos de violência, em especial à </w:t>
      </w:r>
      <w:r w:rsidR="000350B1" w:rsidRPr="00B41317">
        <w:rPr>
          <w:rFonts w:ascii="Garamond" w:hAnsi="Garamond" w:cs="Arial"/>
          <w:sz w:val="24"/>
          <w:szCs w:val="24"/>
          <w:lang w:val="pt-BR"/>
        </w:rPr>
        <w:t>violência</w:t>
      </w:r>
      <w:r w:rsidRPr="00B41317">
        <w:rPr>
          <w:rFonts w:ascii="Garamond" w:hAnsi="Garamond" w:cs="Arial"/>
          <w:sz w:val="24"/>
          <w:szCs w:val="24"/>
          <w:lang w:val="pt-BR"/>
        </w:rPr>
        <w:t xml:space="preserve"> psicológica:</w:t>
      </w:r>
    </w:p>
    <w:p w:rsidR="004C140F" w:rsidRPr="00B41317"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B41317" w:rsidRDefault="007A3F9D" w:rsidP="00B41317">
      <w:pPr>
        <w:autoSpaceDE w:val="0"/>
        <w:autoSpaceDN w:val="0"/>
        <w:adjustRightInd w:val="0"/>
        <w:spacing w:after="0" w:line="240" w:lineRule="auto"/>
        <w:ind w:left="567"/>
        <w:jc w:val="both"/>
        <w:rPr>
          <w:rFonts w:ascii="Garamond" w:hAnsi="Garamond" w:cs="Arial"/>
          <w:sz w:val="24"/>
          <w:szCs w:val="24"/>
          <w:lang w:val="pt-BR"/>
        </w:rPr>
      </w:pPr>
      <w:r w:rsidRPr="00B41317">
        <w:rPr>
          <w:rFonts w:ascii="Garamond" w:hAnsi="Garamond" w:cs="Arial"/>
          <w:sz w:val="24"/>
          <w:szCs w:val="24"/>
          <w:lang w:val="pt-BR"/>
        </w:rPr>
        <w:t>«</w:t>
      </w:r>
      <w:r w:rsidR="004C140F" w:rsidRPr="00B41317">
        <w:rPr>
          <w:rFonts w:ascii="Garamond" w:hAnsi="Garamond" w:cs="Arial"/>
          <w:sz w:val="24"/>
          <w:szCs w:val="24"/>
          <w:lang w:val="pt-BR"/>
        </w:rPr>
        <w:t xml:space="preserve"> (...) em 2012, a Central realizou 732 mil atendimentos, o que representa uma média de 2000 </w:t>
      </w:r>
      <w:r w:rsidR="00077461" w:rsidRPr="00B41317">
        <w:rPr>
          <w:rFonts w:ascii="Garamond" w:hAnsi="Garamond" w:cs="Arial"/>
          <w:sz w:val="24"/>
          <w:szCs w:val="24"/>
          <w:lang w:val="pt-BR"/>
        </w:rPr>
        <w:t>registo</w:t>
      </w:r>
      <w:r w:rsidR="004C140F" w:rsidRPr="00B41317">
        <w:rPr>
          <w:rFonts w:ascii="Garamond" w:hAnsi="Garamond" w:cs="Arial"/>
          <w:sz w:val="24"/>
          <w:szCs w:val="24"/>
          <w:lang w:val="pt-BR"/>
        </w:rPr>
        <w:t xml:space="preserve">s por dia. Desse universo, 88 mil </w:t>
      </w:r>
      <w:r w:rsidR="00077461" w:rsidRPr="00B41317">
        <w:rPr>
          <w:rFonts w:ascii="Garamond" w:hAnsi="Garamond" w:cs="Arial"/>
          <w:sz w:val="24"/>
          <w:szCs w:val="24"/>
          <w:lang w:val="pt-BR"/>
        </w:rPr>
        <w:t>registo</w:t>
      </w:r>
      <w:r w:rsidR="004C140F" w:rsidRPr="00B41317">
        <w:rPr>
          <w:rFonts w:ascii="Garamond" w:hAnsi="Garamond" w:cs="Arial"/>
          <w:sz w:val="24"/>
          <w:szCs w:val="24"/>
          <w:lang w:val="pt-BR"/>
        </w:rPr>
        <w:t xml:space="preserve">s referem-se a casos de algum tipo de violência, como mostra a Tabela 6.1. Os </w:t>
      </w:r>
      <w:r w:rsidR="00077461" w:rsidRPr="00B41317">
        <w:rPr>
          <w:rFonts w:ascii="Garamond" w:hAnsi="Garamond" w:cs="Arial"/>
          <w:sz w:val="24"/>
          <w:szCs w:val="24"/>
          <w:lang w:val="pt-BR"/>
        </w:rPr>
        <w:t>registo</w:t>
      </w:r>
      <w:r w:rsidR="004C140F" w:rsidRPr="00B41317">
        <w:rPr>
          <w:rFonts w:ascii="Garamond" w:hAnsi="Garamond" w:cs="Arial"/>
          <w:sz w:val="24"/>
          <w:szCs w:val="24"/>
          <w:lang w:val="pt-BR"/>
        </w:rPr>
        <w:t>s foram desagregados por tipo de violência. É importante</w:t>
      </w:r>
      <w:r w:rsidR="004C140F" w:rsidRPr="003A1174">
        <w:rPr>
          <w:rFonts w:ascii="Garamond" w:hAnsi="Garamond" w:cs="Arial"/>
          <w:sz w:val="24"/>
          <w:szCs w:val="24"/>
          <w:lang w:val="pt-BR"/>
        </w:rPr>
        <w:t xml:space="preserve"> ressaltar que uma ligação à Central pode gerar mais de um </w:t>
      </w:r>
      <w:r w:rsidR="00077461" w:rsidRPr="003A1174">
        <w:rPr>
          <w:rFonts w:ascii="Garamond" w:hAnsi="Garamond" w:cs="Arial"/>
          <w:sz w:val="24"/>
          <w:szCs w:val="24"/>
          <w:lang w:val="pt-BR"/>
        </w:rPr>
        <w:t>registo</w:t>
      </w:r>
      <w:r w:rsidR="004C140F" w:rsidRPr="003A1174">
        <w:rPr>
          <w:rFonts w:ascii="Garamond" w:hAnsi="Garamond" w:cs="Arial"/>
          <w:sz w:val="24"/>
          <w:szCs w:val="24"/>
          <w:lang w:val="pt-BR"/>
        </w:rPr>
        <w:t xml:space="preserve"> de violência, </w:t>
      </w:r>
      <w:r w:rsidR="0014724F" w:rsidRPr="003A1174">
        <w:rPr>
          <w:rFonts w:ascii="Garamond" w:hAnsi="Garamond" w:cs="Arial"/>
          <w:sz w:val="24"/>
          <w:szCs w:val="24"/>
          <w:lang w:val="pt-BR"/>
        </w:rPr>
        <w:t>dependendo</w:t>
      </w:r>
      <w:r w:rsidR="004C140F" w:rsidRPr="003A1174">
        <w:rPr>
          <w:rFonts w:ascii="Garamond" w:hAnsi="Garamond" w:cs="Arial"/>
          <w:sz w:val="24"/>
          <w:szCs w:val="24"/>
          <w:lang w:val="pt-BR"/>
        </w:rPr>
        <w:t xml:space="preserve"> do relato da demandante. Assim, uma ligação referente a uma agressão física pode também ter gerado </w:t>
      </w:r>
      <w:r w:rsidR="00077461" w:rsidRPr="003A1174">
        <w:rPr>
          <w:rFonts w:ascii="Garamond" w:hAnsi="Garamond" w:cs="Arial"/>
          <w:sz w:val="24"/>
          <w:szCs w:val="24"/>
          <w:lang w:val="pt-BR"/>
        </w:rPr>
        <w:t>registo</w:t>
      </w:r>
      <w:r w:rsidR="004C140F" w:rsidRPr="003A1174">
        <w:rPr>
          <w:rFonts w:ascii="Garamond" w:hAnsi="Garamond" w:cs="Arial"/>
          <w:sz w:val="24"/>
          <w:szCs w:val="24"/>
          <w:lang w:val="pt-BR"/>
        </w:rPr>
        <w:t xml:space="preserve">s de violência psicológica, violência moral e cárcere privado, por exemplo. Os dados da Central de Atendimento à Mulher </w:t>
      </w:r>
      <w:r w:rsidR="004C140F" w:rsidRPr="003A1174">
        <w:rPr>
          <w:rFonts w:ascii="Garamond" w:hAnsi="Garamond" w:cs="Arial"/>
          <w:sz w:val="24"/>
          <w:szCs w:val="24"/>
          <w:lang w:val="pt-BR"/>
        </w:rPr>
        <w:lastRenderedPageBreak/>
        <w:t xml:space="preserve">revelam a violência contra as mulheres como um </w:t>
      </w:r>
      <w:r w:rsidR="0014724F" w:rsidRPr="003A1174">
        <w:rPr>
          <w:rFonts w:ascii="Garamond" w:hAnsi="Garamond" w:cs="Arial"/>
          <w:sz w:val="24"/>
          <w:szCs w:val="24"/>
          <w:lang w:val="pt-BR"/>
        </w:rPr>
        <w:t>fenómeno</w:t>
      </w:r>
      <w:r w:rsidR="004C140F" w:rsidRPr="003A1174">
        <w:rPr>
          <w:rFonts w:ascii="Garamond" w:hAnsi="Garamond" w:cs="Arial"/>
          <w:sz w:val="24"/>
          <w:szCs w:val="24"/>
          <w:lang w:val="pt-BR"/>
        </w:rPr>
        <w:t xml:space="preserve"> amplamente disseminado, cuja complexidade tem uma dimensão</w:t>
      </w:r>
      <w:r w:rsidR="0014724F" w:rsidRPr="003A1174">
        <w:rPr>
          <w:rFonts w:ascii="Garamond" w:hAnsi="Garamond" w:cs="Arial"/>
          <w:sz w:val="24"/>
          <w:szCs w:val="24"/>
          <w:lang w:val="pt-BR"/>
        </w:rPr>
        <w:t xml:space="preserve"> </w:t>
      </w:r>
      <w:r w:rsidR="004C140F" w:rsidRPr="003A1174">
        <w:rPr>
          <w:rFonts w:ascii="Garamond" w:hAnsi="Garamond" w:cs="Arial"/>
          <w:sz w:val="24"/>
          <w:szCs w:val="24"/>
          <w:lang w:val="pt-BR"/>
        </w:rPr>
        <w:t xml:space="preserve">assustadora: foram 243 </w:t>
      </w:r>
      <w:r w:rsidR="00077461" w:rsidRPr="003A1174">
        <w:rPr>
          <w:rFonts w:ascii="Garamond" w:hAnsi="Garamond" w:cs="Arial"/>
          <w:sz w:val="24"/>
          <w:szCs w:val="24"/>
          <w:lang w:val="pt-BR"/>
        </w:rPr>
        <w:t>registo</w:t>
      </w:r>
      <w:r w:rsidR="004C140F" w:rsidRPr="003A1174">
        <w:rPr>
          <w:rFonts w:ascii="Garamond" w:hAnsi="Garamond" w:cs="Arial"/>
          <w:sz w:val="24"/>
          <w:szCs w:val="24"/>
          <w:lang w:val="pt-BR"/>
        </w:rPr>
        <w:t xml:space="preserve">s de algum tipo de violência por dia, no ano de 2012. É interessante notar que os números relativos à violência física são maiores que os demais tipos de violência, correspondendo a 57% do </w:t>
      </w:r>
      <w:r w:rsidR="004C140F" w:rsidRPr="00B41317">
        <w:rPr>
          <w:rFonts w:ascii="Garamond" w:hAnsi="Garamond" w:cs="Arial"/>
          <w:sz w:val="24"/>
          <w:szCs w:val="24"/>
          <w:lang w:val="pt-BR"/>
        </w:rPr>
        <w:t xml:space="preserve">total de </w:t>
      </w:r>
      <w:r w:rsidR="00077461" w:rsidRPr="00B41317">
        <w:rPr>
          <w:rFonts w:ascii="Garamond" w:hAnsi="Garamond" w:cs="Arial"/>
          <w:sz w:val="24"/>
          <w:szCs w:val="24"/>
          <w:lang w:val="pt-BR"/>
        </w:rPr>
        <w:t>registo</w:t>
      </w:r>
      <w:r w:rsidR="004C140F" w:rsidRPr="00B41317">
        <w:rPr>
          <w:rFonts w:ascii="Garamond" w:hAnsi="Garamond" w:cs="Arial"/>
          <w:sz w:val="24"/>
          <w:szCs w:val="24"/>
          <w:lang w:val="pt-BR"/>
        </w:rPr>
        <w:t>s.</w:t>
      </w:r>
    </w:p>
    <w:p w:rsidR="004C140F" w:rsidRPr="00B41317" w:rsidRDefault="004C140F" w:rsidP="00B41317">
      <w:pPr>
        <w:autoSpaceDE w:val="0"/>
        <w:autoSpaceDN w:val="0"/>
        <w:adjustRightInd w:val="0"/>
        <w:spacing w:after="0" w:line="240" w:lineRule="auto"/>
        <w:ind w:left="567"/>
        <w:jc w:val="both"/>
        <w:rPr>
          <w:rFonts w:ascii="Garamond" w:hAnsi="Garamond" w:cs="Arial"/>
          <w:lang w:val="pt-BR"/>
        </w:rPr>
      </w:pPr>
      <w:r w:rsidRPr="00B41317">
        <w:rPr>
          <w:rFonts w:ascii="Garamond" w:hAnsi="Garamond" w:cs="Arial"/>
          <w:lang w:val="pt-BR"/>
        </w:rPr>
        <w:t xml:space="preserve">Apesar do menor número de </w:t>
      </w:r>
      <w:r w:rsidR="00077461" w:rsidRPr="00B41317">
        <w:rPr>
          <w:rFonts w:ascii="Garamond" w:hAnsi="Garamond" w:cs="Arial"/>
          <w:lang w:val="pt-BR"/>
        </w:rPr>
        <w:t>registo</w:t>
      </w:r>
      <w:r w:rsidRPr="00B41317">
        <w:rPr>
          <w:rFonts w:ascii="Garamond" w:hAnsi="Garamond" w:cs="Arial"/>
          <w:lang w:val="pt-BR"/>
        </w:rPr>
        <w:t>s de violência psicológica e moral, presume</w:t>
      </w:r>
      <w:r w:rsidR="0014724F" w:rsidRPr="00B41317">
        <w:rPr>
          <w:rFonts w:ascii="Garamond" w:hAnsi="Garamond" w:cs="Arial"/>
          <w:lang w:val="pt-BR"/>
        </w:rPr>
        <w:t>-</w:t>
      </w:r>
      <w:r w:rsidRPr="00B41317">
        <w:rPr>
          <w:rFonts w:ascii="Garamond" w:hAnsi="Garamond" w:cs="Arial"/>
          <w:lang w:val="pt-BR"/>
        </w:rPr>
        <w:t>se que, na prática, sejam maiores, dado que essas formas de violência são difíceis de serem caraterizadas</w:t>
      </w:r>
      <w:r w:rsidR="008F5192" w:rsidRPr="00B41317">
        <w:rPr>
          <w:rFonts w:ascii="Garamond" w:hAnsi="Garamond" w:cs="Arial"/>
          <w:lang w:val="pt-BR"/>
        </w:rPr>
        <w:t>»</w:t>
      </w:r>
      <w:r w:rsidRPr="00B41317">
        <w:rPr>
          <w:rFonts w:ascii="Garamond" w:hAnsi="Garamond" w:cs="Arial"/>
          <w:lang w:val="pt-BR"/>
        </w:rPr>
        <w:t>. (RASEAM, p. 107)</w:t>
      </w:r>
    </w:p>
    <w:p w:rsidR="004C140F" w:rsidRPr="00B41317" w:rsidRDefault="004C140F" w:rsidP="00B41317">
      <w:pPr>
        <w:autoSpaceDE w:val="0"/>
        <w:autoSpaceDN w:val="0"/>
        <w:adjustRightInd w:val="0"/>
        <w:spacing w:after="0" w:line="240" w:lineRule="auto"/>
        <w:ind w:left="567"/>
        <w:jc w:val="both"/>
        <w:rPr>
          <w:rFonts w:ascii="Garamond" w:hAnsi="Garamond" w:cs="Arial"/>
          <w:lang w:val="pt-BR"/>
        </w:rPr>
      </w:pPr>
      <w:r w:rsidRPr="00B41317">
        <w:rPr>
          <w:rFonts w:ascii="Garamond" w:hAnsi="Garamond" w:cs="Arial"/>
          <w:lang w:val="pt-BR"/>
        </w:rPr>
        <w:t xml:space="preserve">A violência psicológica corresponde, neste cômputo, a 27,6% dos </w:t>
      </w:r>
      <w:r w:rsidR="00077461" w:rsidRPr="00B41317">
        <w:rPr>
          <w:rFonts w:ascii="Garamond" w:hAnsi="Garamond" w:cs="Arial"/>
          <w:lang w:val="pt-BR"/>
        </w:rPr>
        <w:t>registo</w:t>
      </w:r>
      <w:r w:rsidRPr="00B41317">
        <w:rPr>
          <w:rFonts w:ascii="Garamond" w:hAnsi="Garamond" w:cs="Arial"/>
          <w:lang w:val="pt-BR"/>
        </w:rPr>
        <w:t>s de 2012, segund</w:t>
      </w:r>
      <w:r w:rsidR="0014724F" w:rsidRPr="00B41317">
        <w:rPr>
          <w:rFonts w:ascii="Garamond" w:hAnsi="Garamond" w:cs="Arial"/>
          <w:lang w:val="pt-BR"/>
        </w:rPr>
        <w:t>a</w:t>
      </w:r>
      <w:r w:rsidRPr="00B41317">
        <w:rPr>
          <w:rFonts w:ascii="Garamond" w:hAnsi="Garamond" w:cs="Arial"/>
          <w:lang w:val="pt-BR"/>
        </w:rPr>
        <w:t xml:space="preserve"> maior percent</w:t>
      </w:r>
      <w:r w:rsidR="0014724F" w:rsidRPr="00B41317">
        <w:rPr>
          <w:rFonts w:ascii="Garamond" w:hAnsi="Garamond" w:cs="Arial"/>
          <w:lang w:val="pt-BR"/>
        </w:rPr>
        <w:t>agem</w:t>
      </w:r>
      <w:r w:rsidRPr="00B41317">
        <w:rPr>
          <w:rFonts w:ascii="Garamond" w:hAnsi="Garamond" w:cs="Arial"/>
          <w:lang w:val="pt-BR"/>
        </w:rPr>
        <w:t>, seguid</w:t>
      </w:r>
      <w:r w:rsidR="0014724F" w:rsidRPr="00B41317">
        <w:rPr>
          <w:rFonts w:ascii="Garamond" w:hAnsi="Garamond" w:cs="Arial"/>
          <w:lang w:val="pt-BR"/>
        </w:rPr>
        <w:t xml:space="preserve">a da </w:t>
      </w:r>
      <w:r w:rsidRPr="00B41317">
        <w:rPr>
          <w:rFonts w:ascii="Garamond" w:hAnsi="Garamond" w:cs="Arial"/>
          <w:lang w:val="pt-BR"/>
        </w:rPr>
        <w:t>violência moral, 11,7%. (Tabela 6.1, RASEAM p. 107).</w:t>
      </w:r>
    </w:p>
    <w:p w:rsidR="004C140F" w:rsidRPr="00B41317" w:rsidRDefault="004C140F" w:rsidP="00B41317">
      <w:pPr>
        <w:autoSpaceDE w:val="0"/>
        <w:autoSpaceDN w:val="0"/>
        <w:adjustRightInd w:val="0"/>
        <w:spacing w:after="0" w:line="240" w:lineRule="auto"/>
        <w:ind w:left="567"/>
        <w:jc w:val="both"/>
        <w:rPr>
          <w:rFonts w:ascii="Garamond" w:hAnsi="Garamond" w:cs="Arial"/>
        </w:rPr>
      </w:pPr>
      <w:r w:rsidRPr="00B41317">
        <w:rPr>
          <w:rFonts w:ascii="Garamond" w:hAnsi="Garamond" w:cs="Arial"/>
          <w:lang w:val="pt-BR"/>
        </w:rPr>
        <w:t xml:space="preserve">A análise dos </w:t>
      </w:r>
      <w:r w:rsidR="00077461" w:rsidRPr="00B41317">
        <w:rPr>
          <w:rFonts w:ascii="Garamond" w:hAnsi="Garamond" w:cs="Arial"/>
          <w:lang w:val="pt-BR"/>
        </w:rPr>
        <w:t>registo</w:t>
      </w:r>
      <w:r w:rsidRPr="00B41317">
        <w:rPr>
          <w:rFonts w:ascii="Garamond" w:hAnsi="Garamond" w:cs="Arial"/>
          <w:lang w:val="pt-BR"/>
        </w:rPr>
        <w:t xml:space="preserve">s de violência </w:t>
      </w:r>
      <w:r w:rsidR="0014724F" w:rsidRPr="00B41317">
        <w:rPr>
          <w:rFonts w:ascii="Garamond" w:hAnsi="Garamond" w:cs="Arial"/>
          <w:lang w:val="pt-BR"/>
        </w:rPr>
        <w:t>psicológica</w:t>
      </w:r>
      <w:r w:rsidR="008F5192" w:rsidRPr="00B41317">
        <w:rPr>
          <w:rFonts w:ascii="Garamond" w:hAnsi="Garamond" w:cs="Arial"/>
          <w:lang w:val="pt-BR"/>
        </w:rPr>
        <w:t>,</w:t>
      </w:r>
      <w:r w:rsidR="0014724F" w:rsidRPr="00B41317">
        <w:rPr>
          <w:rFonts w:ascii="Garamond" w:hAnsi="Garamond" w:cs="Arial"/>
          <w:lang w:val="pt-BR"/>
        </w:rPr>
        <w:t xml:space="preserve"> segundo o tipo</w:t>
      </w:r>
      <w:r w:rsidR="008F5192" w:rsidRPr="00B41317">
        <w:rPr>
          <w:rFonts w:ascii="Garamond" w:hAnsi="Garamond" w:cs="Arial"/>
          <w:lang w:val="pt-BR"/>
        </w:rPr>
        <w:t>,</w:t>
      </w:r>
      <w:r w:rsidR="0014724F" w:rsidRPr="00B41317">
        <w:rPr>
          <w:rFonts w:ascii="Garamond" w:hAnsi="Garamond" w:cs="Arial"/>
          <w:lang w:val="pt-BR"/>
        </w:rPr>
        <w:t xml:space="preserve"> evidê</w:t>
      </w:r>
      <w:r w:rsidRPr="00B41317">
        <w:rPr>
          <w:rFonts w:ascii="Garamond" w:hAnsi="Garamond" w:cs="Arial"/>
          <w:lang w:val="pt-BR"/>
        </w:rPr>
        <w:t xml:space="preserve">ncia uma clara predominância de ameaças (47,5%) e de danos emocionais, além da diminuição da autoestima (42,3%). As perseguições somam 5% do total dos </w:t>
      </w:r>
      <w:r w:rsidR="00077461" w:rsidRPr="00B41317">
        <w:rPr>
          <w:rFonts w:ascii="Garamond" w:hAnsi="Garamond" w:cs="Arial"/>
          <w:lang w:val="pt-BR"/>
        </w:rPr>
        <w:t>registo</w:t>
      </w:r>
      <w:r w:rsidRPr="00B41317">
        <w:rPr>
          <w:rFonts w:ascii="Garamond" w:hAnsi="Garamond" w:cs="Arial"/>
          <w:lang w:val="pt-BR"/>
        </w:rPr>
        <w:t xml:space="preserve">s de </w:t>
      </w:r>
      <w:r w:rsidR="000350B1" w:rsidRPr="00B41317">
        <w:rPr>
          <w:rFonts w:ascii="Garamond" w:hAnsi="Garamond" w:cs="Arial"/>
          <w:lang w:val="pt-BR"/>
        </w:rPr>
        <w:t>violência</w:t>
      </w:r>
      <w:r w:rsidRPr="00B41317">
        <w:rPr>
          <w:rFonts w:ascii="Garamond" w:hAnsi="Garamond" w:cs="Arial"/>
          <w:lang w:val="pt-BR"/>
        </w:rPr>
        <w:t xml:space="preserve"> psicológica, o patamar mais estruturado e organizado da prática desse tipo de violência. O assédio moral, como modalidade de violência psicológica, foi</w:t>
      </w:r>
      <w:r w:rsidR="008F5192" w:rsidRPr="00B41317">
        <w:rPr>
          <w:rFonts w:ascii="Garamond" w:hAnsi="Garamond" w:cs="Arial"/>
          <w:lang w:val="pt-BR"/>
        </w:rPr>
        <w:t>,</w:t>
      </w:r>
      <w:r w:rsidRPr="00B41317">
        <w:rPr>
          <w:rFonts w:ascii="Garamond" w:hAnsi="Garamond" w:cs="Arial"/>
          <w:lang w:val="pt-BR"/>
        </w:rPr>
        <w:t xml:space="preserve"> relativamente</w:t>
      </w:r>
      <w:r w:rsidR="008F5192" w:rsidRPr="00B41317">
        <w:rPr>
          <w:rFonts w:ascii="Garamond" w:hAnsi="Garamond" w:cs="Arial"/>
          <w:lang w:val="pt-BR"/>
        </w:rPr>
        <w:t>,</w:t>
      </w:r>
      <w:r w:rsidRPr="00B41317">
        <w:rPr>
          <w:rFonts w:ascii="Garamond" w:hAnsi="Garamond" w:cs="Arial"/>
          <w:lang w:val="pt-BR"/>
        </w:rPr>
        <w:t xml:space="preserve"> pouco mencionado nos </w:t>
      </w:r>
      <w:r w:rsidR="00077461" w:rsidRPr="00B41317">
        <w:rPr>
          <w:rFonts w:ascii="Garamond" w:hAnsi="Garamond" w:cs="Arial"/>
          <w:lang w:val="pt-BR"/>
        </w:rPr>
        <w:t>registo</w:t>
      </w:r>
      <w:r w:rsidRPr="00B41317">
        <w:rPr>
          <w:rFonts w:ascii="Garamond" w:hAnsi="Garamond" w:cs="Arial"/>
          <w:lang w:val="pt-BR"/>
        </w:rPr>
        <w:t>s da Central. Uma possível explicação para essa baixa notificação é o fa</w:t>
      </w:r>
      <w:r w:rsidR="0014724F" w:rsidRPr="00B41317">
        <w:rPr>
          <w:rFonts w:ascii="Garamond" w:hAnsi="Garamond" w:cs="Arial"/>
          <w:lang w:val="pt-BR"/>
        </w:rPr>
        <w:t>c</w:t>
      </w:r>
      <w:r w:rsidRPr="00B41317">
        <w:rPr>
          <w:rFonts w:ascii="Garamond" w:hAnsi="Garamond" w:cs="Arial"/>
          <w:lang w:val="pt-BR"/>
        </w:rPr>
        <w:t>to de que muitos casos de assédio moral são classificados como pedido de informações pelas a</w:t>
      </w:r>
      <w:r w:rsidR="0014724F" w:rsidRPr="00B41317">
        <w:rPr>
          <w:rFonts w:ascii="Garamond" w:hAnsi="Garamond" w:cs="Arial"/>
          <w:lang w:val="pt-BR"/>
        </w:rPr>
        <w:t xml:space="preserve">ssistentes </w:t>
      </w:r>
      <w:r w:rsidRPr="00B41317">
        <w:rPr>
          <w:rFonts w:ascii="Garamond" w:hAnsi="Garamond" w:cs="Arial"/>
          <w:lang w:val="pt-BR"/>
        </w:rPr>
        <w:t xml:space="preserve">da Central, o que dificulta dimensionar mais precisamente o </w:t>
      </w:r>
      <w:r w:rsidR="0014724F" w:rsidRPr="00B41317">
        <w:rPr>
          <w:rFonts w:ascii="Garamond" w:hAnsi="Garamond" w:cs="Arial"/>
          <w:lang w:val="pt-BR"/>
        </w:rPr>
        <w:t>fenómeno</w:t>
      </w:r>
      <w:r w:rsidRPr="00B41317">
        <w:rPr>
          <w:rFonts w:ascii="Garamond" w:hAnsi="Garamond" w:cs="Arial"/>
          <w:lang w:val="pt-BR"/>
        </w:rPr>
        <w:t>.</w:t>
      </w:r>
      <w:r w:rsidR="00B41317" w:rsidRPr="00B41317">
        <w:rPr>
          <w:rFonts w:ascii="Garamond" w:hAnsi="Garamond" w:cs="Arial"/>
          <w:lang w:val="pt-BR"/>
        </w:rPr>
        <w:t>»</w:t>
      </w:r>
      <w:r w:rsidRPr="00B41317">
        <w:rPr>
          <w:rFonts w:ascii="Garamond" w:hAnsi="Garamond" w:cs="Arial"/>
          <w:lang w:val="pt-BR"/>
        </w:rPr>
        <w:t xml:space="preserve"> </w:t>
      </w:r>
      <w:r w:rsidRPr="00B41317">
        <w:rPr>
          <w:rFonts w:ascii="Garamond" w:hAnsi="Garamond" w:cs="Arial"/>
        </w:rPr>
        <w:t>(RASEAM, p. 108)</w:t>
      </w:r>
    </w:p>
    <w:p w:rsidR="004C140F" w:rsidRPr="003A1174" w:rsidRDefault="004C140F" w:rsidP="008719D4">
      <w:pPr>
        <w:autoSpaceDE w:val="0"/>
        <w:autoSpaceDN w:val="0"/>
        <w:adjustRightInd w:val="0"/>
        <w:spacing w:after="0" w:line="240" w:lineRule="auto"/>
        <w:jc w:val="both"/>
        <w:rPr>
          <w:rFonts w:ascii="Garamond" w:hAnsi="Garamond" w:cs="Arial"/>
          <w:sz w:val="24"/>
          <w:szCs w:val="24"/>
        </w:rPr>
      </w:pPr>
    </w:p>
    <w:p w:rsidR="004C140F" w:rsidRPr="00C7575A" w:rsidRDefault="004C140F" w:rsidP="00C7575A">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rPr>
        <w:t xml:space="preserve">6. </w:t>
      </w:r>
      <w:r w:rsidR="0014724F" w:rsidRPr="00C7575A">
        <w:rPr>
          <w:rFonts w:ascii="Garamond" w:hAnsi="Garamond" w:cs="Arial"/>
          <w:b/>
          <w:bCs/>
          <w:sz w:val="24"/>
          <w:szCs w:val="24"/>
        </w:rPr>
        <w:t xml:space="preserve">Melhorou-se no </w:t>
      </w:r>
      <w:r w:rsidR="002D1021" w:rsidRPr="00C7575A">
        <w:rPr>
          <w:rFonts w:ascii="Garamond" w:hAnsi="Garamond" w:cs="Arial"/>
          <w:b/>
          <w:bCs/>
          <w:sz w:val="24"/>
          <w:szCs w:val="24"/>
        </w:rPr>
        <w:t>estabelecimento</w:t>
      </w:r>
      <w:r w:rsidRPr="00C7575A">
        <w:rPr>
          <w:rFonts w:ascii="Garamond" w:hAnsi="Garamond" w:cs="Arial"/>
          <w:b/>
          <w:bCs/>
          <w:sz w:val="24"/>
          <w:szCs w:val="24"/>
        </w:rPr>
        <w:t xml:space="preserve"> </w:t>
      </w:r>
      <w:r w:rsidR="000672E8" w:rsidRPr="00C7575A">
        <w:rPr>
          <w:rFonts w:ascii="Garamond" w:hAnsi="Garamond" w:cs="Arial"/>
          <w:b/>
          <w:bCs/>
          <w:sz w:val="24"/>
          <w:szCs w:val="24"/>
        </w:rPr>
        <w:t>e</w:t>
      </w:r>
      <w:r w:rsidRPr="00C7575A">
        <w:rPr>
          <w:rFonts w:ascii="Garamond" w:hAnsi="Garamond" w:cs="Arial"/>
          <w:b/>
          <w:bCs/>
          <w:sz w:val="24"/>
          <w:szCs w:val="24"/>
        </w:rPr>
        <w:t xml:space="preserve"> </w:t>
      </w:r>
      <w:r w:rsidR="0091213A" w:rsidRPr="00C7575A">
        <w:rPr>
          <w:rFonts w:ascii="Garamond" w:hAnsi="Garamond" w:cs="Arial"/>
          <w:b/>
          <w:bCs/>
          <w:sz w:val="24"/>
          <w:szCs w:val="24"/>
        </w:rPr>
        <w:t>efetividade</w:t>
      </w:r>
      <w:r w:rsidRPr="00C7575A">
        <w:rPr>
          <w:rFonts w:ascii="Garamond" w:hAnsi="Garamond" w:cs="Arial"/>
          <w:b/>
          <w:bCs/>
          <w:sz w:val="24"/>
          <w:szCs w:val="24"/>
        </w:rPr>
        <w:t xml:space="preserve"> </w:t>
      </w:r>
      <w:r w:rsidR="00497503" w:rsidRPr="00C7575A">
        <w:rPr>
          <w:rFonts w:ascii="Garamond" w:hAnsi="Garamond" w:cs="Arial"/>
          <w:b/>
          <w:bCs/>
          <w:sz w:val="24"/>
          <w:szCs w:val="24"/>
        </w:rPr>
        <w:t>das</w:t>
      </w:r>
      <w:r w:rsidRPr="00C7575A">
        <w:rPr>
          <w:rFonts w:ascii="Garamond" w:hAnsi="Garamond" w:cs="Arial"/>
          <w:b/>
          <w:bCs/>
          <w:sz w:val="24"/>
          <w:szCs w:val="24"/>
        </w:rPr>
        <w:t xml:space="preserve"> medidas de</w:t>
      </w:r>
      <w:r w:rsidR="0014724F" w:rsidRPr="00C7575A">
        <w:rPr>
          <w:rFonts w:ascii="Garamond" w:hAnsi="Garamond" w:cs="Arial"/>
          <w:b/>
          <w:bCs/>
          <w:sz w:val="24"/>
          <w:szCs w:val="24"/>
        </w:rPr>
        <w:t xml:space="preserve"> </w:t>
      </w:r>
      <w:r w:rsidR="00886D6A" w:rsidRPr="00C7575A">
        <w:rPr>
          <w:rFonts w:ascii="Garamond" w:hAnsi="Garamond" w:cs="Arial"/>
          <w:b/>
          <w:bCs/>
          <w:sz w:val="24"/>
          <w:szCs w:val="24"/>
          <w:lang w:val="pt-BR"/>
        </w:rPr>
        <w:t>proteção</w:t>
      </w:r>
      <w:r w:rsidRPr="00C7575A">
        <w:rPr>
          <w:rFonts w:ascii="Garamond" w:hAnsi="Garamond" w:cs="Arial"/>
          <w:b/>
          <w:bCs/>
          <w:sz w:val="24"/>
          <w:szCs w:val="24"/>
          <w:lang w:val="pt-BR"/>
        </w:rPr>
        <w:t>/</w:t>
      </w:r>
      <w:r w:rsidR="00CF4C35" w:rsidRPr="00C7575A">
        <w:rPr>
          <w:rFonts w:ascii="Garamond" w:hAnsi="Garamond" w:cs="Arial"/>
          <w:b/>
          <w:bCs/>
          <w:sz w:val="24"/>
          <w:szCs w:val="24"/>
          <w:lang w:val="pt-BR"/>
        </w:rPr>
        <w:t>reabilitação</w:t>
      </w:r>
      <w:r w:rsidRPr="00C7575A">
        <w:rPr>
          <w:rFonts w:ascii="Garamond" w:hAnsi="Garamond" w:cs="Arial"/>
          <w:b/>
          <w:bCs/>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Não tivemos acesso a avaliações amplas e atualizadas neste sentido, no período considerado. Conforme informações apresentadas</w:t>
      </w:r>
      <w:r w:rsidR="008F5192">
        <w:rPr>
          <w:rFonts w:ascii="Garamond" w:hAnsi="Garamond" w:cs="Arial"/>
          <w:sz w:val="24"/>
          <w:szCs w:val="24"/>
          <w:lang w:val="pt-BR"/>
        </w:rPr>
        <w:t>,</w:t>
      </w:r>
      <w:r w:rsidRPr="003A1174">
        <w:rPr>
          <w:rFonts w:ascii="Garamond" w:hAnsi="Garamond" w:cs="Arial"/>
          <w:sz w:val="24"/>
          <w:szCs w:val="24"/>
          <w:lang w:val="pt-BR"/>
        </w:rPr>
        <w:t xml:space="preserve"> para a pergunta número 2, têm sido produzidos</w:t>
      </w:r>
      <w:r w:rsidR="008F5192">
        <w:rPr>
          <w:rFonts w:ascii="Garamond" w:hAnsi="Garamond" w:cs="Arial"/>
          <w:sz w:val="24"/>
          <w:szCs w:val="24"/>
          <w:lang w:val="pt-BR"/>
        </w:rPr>
        <w:t>,</w:t>
      </w:r>
      <w:r w:rsidRPr="003A1174">
        <w:rPr>
          <w:rFonts w:ascii="Garamond" w:hAnsi="Garamond" w:cs="Arial"/>
          <w:sz w:val="24"/>
          <w:szCs w:val="24"/>
          <w:lang w:val="pt-BR"/>
        </w:rPr>
        <w:t xml:space="preserve"> periodicamente</w:t>
      </w:r>
      <w:r w:rsidR="008F5192">
        <w:rPr>
          <w:rFonts w:ascii="Garamond" w:hAnsi="Garamond" w:cs="Arial"/>
          <w:sz w:val="24"/>
          <w:szCs w:val="24"/>
          <w:lang w:val="pt-BR"/>
        </w:rPr>
        <w:t>,</w:t>
      </w:r>
      <w:r w:rsidRPr="003A1174">
        <w:rPr>
          <w:rFonts w:ascii="Garamond" w:hAnsi="Garamond" w:cs="Arial"/>
          <w:sz w:val="24"/>
          <w:szCs w:val="24"/>
          <w:lang w:val="pt-BR"/>
        </w:rPr>
        <w:t xml:space="preserve"> relatórios com dados e diagnósticos importantes para as avaliações (RASEAM).</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b/>
          <w:bCs/>
          <w:sz w:val="24"/>
          <w:szCs w:val="24"/>
        </w:rPr>
      </w:pPr>
      <w:r w:rsidRPr="00C7575A">
        <w:rPr>
          <w:rFonts w:ascii="Garamond" w:hAnsi="Garamond" w:cs="Arial"/>
          <w:b/>
          <w:bCs/>
          <w:sz w:val="24"/>
          <w:szCs w:val="24"/>
          <w:lang w:val="pt-BR"/>
        </w:rPr>
        <w:t xml:space="preserve">7. </w:t>
      </w:r>
      <w:r w:rsidR="0014724F" w:rsidRPr="00C7575A">
        <w:rPr>
          <w:rFonts w:ascii="Garamond" w:hAnsi="Garamond" w:cs="Arial"/>
          <w:b/>
          <w:bCs/>
          <w:sz w:val="24"/>
          <w:szCs w:val="24"/>
          <w:lang w:val="pt-BR"/>
        </w:rPr>
        <w:t xml:space="preserve">Houve </w:t>
      </w:r>
      <w:r w:rsidR="009859FC" w:rsidRPr="00C7575A">
        <w:rPr>
          <w:rFonts w:ascii="Garamond" w:hAnsi="Garamond" w:cs="Arial"/>
          <w:b/>
          <w:bCs/>
          <w:sz w:val="24"/>
          <w:szCs w:val="24"/>
          <w:lang w:val="pt-BR"/>
        </w:rPr>
        <w:t>melhoria</w:t>
      </w:r>
      <w:r w:rsidRPr="00C7575A">
        <w:rPr>
          <w:rFonts w:ascii="Garamond" w:hAnsi="Garamond" w:cs="Arial"/>
          <w:b/>
          <w:bCs/>
          <w:sz w:val="24"/>
          <w:szCs w:val="24"/>
          <w:lang w:val="pt-BR"/>
        </w:rPr>
        <w:t xml:space="preserve">s </w:t>
      </w:r>
      <w:r w:rsidR="0014724F" w:rsidRPr="00C7575A">
        <w:rPr>
          <w:rFonts w:ascii="Garamond" w:hAnsi="Garamond" w:cs="Arial"/>
          <w:b/>
          <w:bCs/>
          <w:sz w:val="24"/>
          <w:szCs w:val="24"/>
          <w:lang w:val="pt-BR"/>
        </w:rPr>
        <w:t xml:space="preserve">no </w:t>
      </w:r>
      <w:r w:rsidRPr="00C7575A">
        <w:rPr>
          <w:rFonts w:ascii="Garamond" w:hAnsi="Garamond" w:cs="Arial"/>
          <w:b/>
          <w:bCs/>
          <w:sz w:val="24"/>
          <w:szCs w:val="24"/>
          <w:lang w:val="pt-BR"/>
        </w:rPr>
        <w:t>número o</w:t>
      </w:r>
      <w:r w:rsidR="0014724F" w:rsidRPr="00C7575A">
        <w:rPr>
          <w:rFonts w:ascii="Garamond" w:hAnsi="Garamond" w:cs="Arial"/>
          <w:b/>
          <w:bCs/>
          <w:sz w:val="24"/>
          <w:szCs w:val="24"/>
          <w:lang w:val="pt-BR"/>
        </w:rPr>
        <w:t>u</w:t>
      </w:r>
      <w:r w:rsidRPr="00C7575A">
        <w:rPr>
          <w:rFonts w:ascii="Garamond" w:hAnsi="Garamond" w:cs="Arial"/>
          <w:b/>
          <w:bCs/>
          <w:sz w:val="24"/>
          <w:szCs w:val="24"/>
          <w:lang w:val="pt-BR"/>
        </w:rPr>
        <w:t xml:space="preserve"> </w:t>
      </w:r>
      <w:r w:rsidR="008278C4" w:rsidRPr="00C7575A">
        <w:rPr>
          <w:rFonts w:ascii="Garamond" w:hAnsi="Garamond" w:cs="Arial"/>
          <w:b/>
          <w:bCs/>
          <w:sz w:val="24"/>
          <w:szCs w:val="24"/>
          <w:lang w:val="pt-BR"/>
        </w:rPr>
        <w:t>qualidade</w:t>
      </w:r>
      <w:r w:rsidRPr="00C7575A">
        <w:rPr>
          <w:rFonts w:ascii="Garamond" w:hAnsi="Garamond" w:cs="Arial"/>
          <w:b/>
          <w:bCs/>
          <w:sz w:val="24"/>
          <w:szCs w:val="24"/>
          <w:lang w:val="pt-BR"/>
        </w:rPr>
        <w:t xml:space="preserve"> de casas de </w:t>
      </w:r>
      <w:r w:rsidR="00B936A7" w:rsidRPr="00C7575A">
        <w:rPr>
          <w:rFonts w:ascii="Garamond" w:hAnsi="Garamond" w:cs="Arial"/>
          <w:b/>
          <w:bCs/>
          <w:sz w:val="24"/>
          <w:szCs w:val="24"/>
          <w:lang w:val="pt-BR"/>
        </w:rPr>
        <w:t>abrigo</w:t>
      </w:r>
      <w:r w:rsidRPr="00C7575A">
        <w:rPr>
          <w:rFonts w:ascii="Garamond" w:hAnsi="Garamond" w:cs="Arial"/>
          <w:b/>
          <w:bCs/>
          <w:sz w:val="24"/>
          <w:szCs w:val="24"/>
          <w:lang w:val="pt-BR"/>
        </w:rPr>
        <w:t xml:space="preserve"> </w:t>
      </w:r>
      <w:r w:rsidR="00141BA9" w:rsidRPr="00C7575A">
        <w:rPr>
          <w:rFonts w:ascii="Garamond" w:hAnsi="Garamond" w:cs="Arial"/>
          <w:b/>
          <w:bCs/>
          <w:sz w:val="24"/>
          <w:szCs w:val="24"/>
          <w:lang w:val="pt-BR"/>
        </w:rPr>
        <w:t>temporário</w:t>
      </w:r>
      <w:r w:rsidR="0014724F" w:rsidRPr="00C7575A">
        <w:rPr>
          <w:rFonts w:ascii="Garamond" w:hAnsi="Garamond" w:cs="Arial"/>
          <w:b/>
          <w:bCs/>
          <w:sz w:val="24"/>
          <w:szCs w:val="24"/>
          <w:lang w:val="pt-BR"/>
        </w:rPr>
        <w:t xml:space="preserve"> </w:t>
      </w:r>
      <w:r w:rsidRPr="00C7575A">
        <w:rPr>
          <w:rFonts w:ascii="Garamond" w:hAnsi="Garamond" w:cs="Arial"/>
          <w:b/>
          <w:bCs/>
          <w:sz w:val="24"/>
          <w:szCs w:val="24"/>
        </w:rPr>
        <w:t xml:space="preserve">para </w:t>
      </w:r>
      <w:r w:rsidR="00054EE0" w:rsidRPr="00C7575A">
        <w:rPr>
          <w:rFonts w:ascii="Garamond" w:hAnsi="Garamond" w:cs="Arial"/>
          <w:b/>
          <w:bCs/>
          <w:sz w:val="24"/>
          <w:szCs w:val="24"/>
        </w:rPr>
        <w:t>mulheres</w:t>
      </w:r>
      <w:r w:rsidRPr="00C7575A">
        <w:rPr>
          <w:rFonts w:ascii="Garamond" w:hAnsi="Garamond" w:cs="Arial"/>
          <w:b/>
          <w:bCs/>
          <w:sz w:val="24"/>
          <w:szCs w:val="24"/>
        </w:rPr>
        <w:t xml:space="preserve"> </w:t>
      </w:r>
      <w:r w:rsidR="003F012B" w:rsidRPr="00C7575A">
        <w:rPr>
          <w:rFonts w:ascii="Garamond" w:hAnsi="Garamond" w:cs="Arial"/>
          <w:b/>
          <w:bCs/>
          <w:sz w:val="24"/>
          <w:szCs w:val="24"/>
        </w:rPr>
        <w:t>vítima</w:t>
      </w:r>
      <w:r w:rsidRPr="00C7575A">
        <w:rPr>
          <w:rFonts w:ascii="Garamond" w:hAnsi="Garamond" w:cs="Arial"/>
          <w:b/>
          <w:bCs/>
          <w:sz w:val="24"/>
          <w:szCs w:val="24"/>
        </w:rPr>
        <w:t xml:space="preserve">s de </w:t>
      </w:r>
      <w:r w:rsidR="000350B1" w:rsidRPr="00C7575A">
        <w:rPr>
          <w:rFonts w:ascii="Garamond" w:hAnsi="Garamond" w:cs="Arial"/>
          <w:b/>
          <w:bCs/>
          <w:sz w:val="24"/>
          <w:szCs w:val="24"/>
        </w:rPr>
        <w:t>violência</w:t>
      </w:r>
      <w:r w:rsidRPr="00C7575A">
        <w:rPr>
          <w:rFonts w:ascii="Garamond" w:hAnsi="Garamond" w:cs="Arial"/>
          <w:b/>
          <w:bCs/>
          <w:sz w:val="24"/>
          <w:szCs w:val="24"/>
        </w:rPr>
        <w:t xml:space="preserve"> </w:t>
      </w:r>
      <w:r w:rsidR="000672E8" w:rsidRPr="00C7575A">
        <w:rPr>
          <w:rFonts w:ascii="Garamond" w:hAnsi="Garamond" w:cs="Arial"/>
          <w:b/>
          <w:bCs/>
          <w:sz w:val="24"/>
          <w:szCs w:val="24"/>
        </w:rPr>
        <w:t>e</w:t>
      </w:r>
      <w:r w:rsidRPr="00C7575A">
        <w:rPr>
          <w:rFonts w:ascii="Garamond" w:hAnsi="Garamond" w:cs="Arial"/>
          <w:b/>
          <w:bCs/>
          <w:sz w:val="24"/>
          <w:szCs w:val="24"/>
        </w:rPr>
        <w:t>/o</w:t>
      </w:r>
      <w:r w:rsidR="0014724F" w:rsidRPr="00C7575A">
        <w:rPr>
          <w:rFonts w:ascii="Garamond" w:hAnsi="Garamond" w:cs="Arial"/>
          <w:b/>
          <w:bCs/>
          <w:sz w:val="24"/>
          <w:szCs w:val="24"/>
        </w:rPr>
        <w:t>u</w:t>
      </w:r>
      <w:r w:rsidRPr="00C7575A">
        <w:rPr>
          <w:rFonts w:ascii="Garamond" w:hAnsi="Garamond" w:cs="Arial"/>
          <w:b/>
          <w:bCs/>
          <w:sz w:val="24"/>
          <w:szCs w:val="24"/>
        </w:rPr>
        <w:t xml:space="preserve"> d</w:t>
      </w:r>
      <w:r w:rsidR="0014724F" w:rsidRPr="00C7575A">
        <w:rPr>
          <w:rFonts w:ascii="Garamond" w:hAnsi="Garamond" w:cs="Arial"/>
          <w:b/>
          <w:bCs/>
          <w:sz w:val="24"/>
          <w:szCs w:val="24"/>
        </w:rPr>
        <w:t xml:space="preserve">os seus </w:t>
      </w:r>
      <w:r w:rsidR="007A2492" w:rsidRPr="00C7575A">
        <w:rPr>
          <w:rFonts w:ascii="Garamond" w:hAnsi="Garamond" w:cs="Arial"/>
          <w:b/>
          <w:bCs/>
          <w:sz w:val="24"/>
          <w:szCs w:val="24"/>
        </w:rPr>
        <w:t>filho</w:t>
      </w:r>
      <w:r w:rsidRPr="00C7575A">
        <w:rPr>
          <w:rFonts w:ascii="Garamond" w:hAnsi="Garamond" w:cs="Arial"/>
          <w:b/>
          <w:bCs/>
          <w:sz w:val="24"/>
          <w:szCs w:val="24"/>
        </w:rPr>
        <w:t>s?</w:t>
      </w:r>
    </w:p>
    <w:p w:rsidR="004C140F" w:rsidRPr="003A1174" w:rsidRDefault="004C140F" w:rsidP="008719D4">
      <w:pPr>
        <w:autoSpaceDE w:val="0"/>
        <w:autoSpaceDN w:val="0"/>
        <w:adjustRightInd w:val="0"/>
        <w:spacing w:after="0" w:line="240" w:lineRule="auto"/>
        <w:jc w:val="both"/>
        <w:rPr>
          <w:rFonts w:ascii="Garamond" w:hAnsi="Garamond" w:cs="Arial"/>
          <w:sz w:val="24"/>
          <w:szCs w:val="24"/>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 implementação do Projeto Casa da Mulher Brasileira representa </w:t>
      </w:r>
      <w:r w:rsidR="0014724F" w:rsidRPr="003A1174">
        <w:rPr>
          <w:rFonts w:ascii="Garamond" w:hAnsi="Garamond" w:cs="Arial"/>
          <w:sz w:val="24"/>
          <w:szCs w:val="24"/>
          <w:lang w:val="pt-BR"/>
        </w:rPr>
        <w:t xml:space="preserve">um </w:t>
      </w:r>
      <w:r w:rsidRPr="003A1174">
        <w:rPr>
          <w:rFonts w:ascii="Garamond" w:hAnsi="Garamond" w:cs="Arial"/>
          <w:sz w:val="24"/>
          <w:szCs w:val="24"/>
          <w:lang w:val="pt-BR"/>
        </w:rPr>
        <w:t>avanço no</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 xml:space="preserve">atendimento multidisciplinar e na oferta de uma maior quantidade de casas. Não conhecemos, até </w:t>
      </w:r>
      <w:r w:rsidR="008F5192">
        <w:rPr>
          <w:rFonts w:ascii="Garamond" w:hAnsi="Garamond" w:cs="Arial"/>
          <w:sz w:val="24"/>
          <w:szCs w:val="24"/>
          <w:lang w:val="pt-BR"/>
        </w:rPr>
        <w:t>a</w:t>
      </w:r>
      <w:r w:rsidRPr="003A1174">
        <w:rPr>
          <w:rFonts w:ascii="Garamond" w:hAnsi="Garamond" w:cs="Arial"/>
          <w:sz w:val="24"/>
          <w:szCs w:val="24"/>
          <w:lang w:val="pt-BR"/>
        </w:rPr>
        <w:t>o momento, análises acerca do funcionamento efetivo das novas casas.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 respeito destes serviços, retomamos o RASEAM para anotar a análise referente aos serviços de abrig</w:t>
      </w:r>
      <w:r w:rsidR="0014724F" w:rsidRPr="003A1174">
        <w:rPr>
          <w:rFonts w:ascii="Garamond" w:hAnsi="Garamond" w:cs="Arial"/>
          <w:sz w:val="24"/>
          <w:szCs w:val="24"/>
          <w:lang w:val="pt-BR"/>
        </w:rPr>
        <w:t>o</w:t>
      </w:r>
      <w:r w:rsidRPr="003A1174">
        <w:rPr>
          <w:rFonts w:ascii="Garamond" w:hAnsi="Garamond" w:cs="Arial"/>
          <w:sz w:val="24"/>
          <w:szCs w:val="24"/>
          <w:lang w:val="pt-BR"/>
        </w:rPr>
        <w:t xml:space="preserve">. Conforme explicamos anteriormente, este Relatório analisa dados já considerados no </w:t>
      </w:r>
      <w:r w:rsidR="0014724F" w:rsidRPr="003A1174">
        <w:rPr>
          <w:rFonts w:ascii="Garamond" w:hAnsi="Garamond" w:cs="Arial"/>
          <w:sz w:val="24"/>
          <w:szCs w:val="24"/>
          <w:lang w:val="pt-BR"/>
        </w:rPr>
        <w:t xml:space="preserve">relatório </w:t>
      </w:r>
      <w:r w:rsidRPr="003A1174">
        <w:rPr>
          <w:rFonts w:ascii="Garamond" w:hAnsi="Garamond" w:cs="Arial"/>
          <w:sz w:val="24"/>
          <w:szCs w:val="24"/>
          <w:lang w:val="pt-BR"/>
        </w:rPr>
        <w:t xml:space="preserve">da PFDC, mas a análise foi publicada </w:t>
      </w:r>
      <w:r w:rsidR="008F5192">
        <w:rPr>
          <w:rFonts w:ascii="Garamond" w:hAnsi="Garamond" w:cs="Arial"/>
          <w:sz w:val="24"/>
          <w:szCs w:val="24"/>
          <w:lang w:val="pt-BR"/>
        </w:rPr>
        <w:t>depois</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Por fim, cabe destacar</w:t>
      </w:r>
      <w:r w:rsidR="008F5192">
        <w:rPr>
          <w:rFonts w:ascii="Garamond" w:hAnsi="Garamond" w:cs="Arial"/>
          <w:sz w:val="24"/>
          <w:szCs w:val="24"/>
          <w:lang w:val="pt-BR"/>
        </w:rPr>
        <w:t xml:space="preserve">, </w:t>
      </w:r>
      <w:r w:rsidRPr="003A1174">
        <w:rPr>
          <w:rFonts w:ascii="Garamond" w:hAnsi="Garamond" w:cs="Arial"/>
          <w:sz w:val="24"/>
          <w:szCs w:val="24"/>
          <w:lang w:val="pt-BR"/>
        </w:rPr>
        <w:t>que ainda são poucas as unidades da federação que oferecem serviços de abrig</w:t>
      </w:r>
      <w:r w:rsidR="0014724F" w:rsidRPr="003A1174">
        <w:rPr>
          <w:rFonts w:ascii="Garamond" w:hAnsi="Garamond" w:cs="Arial"/>
          <w:sz w:val="24"/>
          <w:szCs w:val="24"/>
          <w:lang w:val="pt-BR"/>
        </w:rPr>
        <w:t>o</w:t>
      </w:r>
      <w:r w:rsidRPr="003A1174">
        <w:rPr>
          <w:rFonts w:ascii="Garamond" w:hAnsi="Garamond" w:cs="Arial"/>
          <w:sz w:val="24"/>
          <w:szCs w:val="24"/>
          <w:lang w:val="pt-BR"/>
        </w:rPr>
        <w:t xml:space="preserve"> e Centros de Referência exclusivos para atendimento a mulheres em situação de violência. Estes serviços, que compõem a Rede de </w:t>
      </w:r>
      <w:r w:rsidR="008F5192">
        <w:rPr>
          <w:rFonts w:ascii="Garamond" w:hAnsi="Garamond" w:cs="Arial"/>
          <w:sz w:val="24"/>
          <w:szCs w:val="24"/>
          <w:lang w:val="pt-BR"/>
        </w:rPr>
        <w:t xml:space="preserve">Confronto </w:t>
      </w:r>
      <w:r w:rsidRPr="003A1174">
        <w:rPr>
          <w:rFonts w:ascii="Garamond" w:hAnsi="Garamond" w:cs="Arial"/>
          <w:sz w:val="24"/>
          <w:szCs w:val="24"/>
          <w:lang w:val="pt-BR"/>
        </w:rPr>
        <w:t xml:space="preserve">à Violência contra a Mulher, são fundamentais para resguardar a integridade física de mulheres em situação de violência e fornecer </w:t>
      </w:r>
      <w:r w:rsidR="008F5192">
        <w:rPr>
          <w:rFonts w:ascii="Garamond" w:hAnsi="Garamond" w:cs="Arial"/>
          <w:sz w:val="24"/>
          <w:szCs w:val="24"/>
          <w:lang w:val="pt-BR"/>
        </w:rPr>
        <w:t xml:space="preserve">o </w:t>
      </w:r>
      <w:r w:rsidRPr="003A1174">
        <w:rPr>
          <w:rFonts w:ascii="Garamond" w:hAnsi="Garamond" w:cs="Arial"/>
          <w:sz w:val="24"/>
          <w:szCs w:val="24"/>
          <w:lang w:val="pt-BR"/>
        </w:rPr>
        <w:t>acesso a informações e serviços. Enquanto 15 unidades da federação (55% do total) oferecem serviços de abrigo, somente 12 (44%) mantêm Centros de Referência (IBGE/ESTADIC, 2012). (RASEAM, p. 117)</w:t>
      </w:r>
      <w:r w:rsidR="0014724F"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lang w:val="pt-BR"/>
        </w:rPr>
        <w:t xml:space="preserve">8. </w:t>
      </w:r>
      <w:r w:rsidR="0014724F" w:rsidRPr="00C7575A">
        <w:rPr>
          <w:rFonts w:ascii="Garamond" w:hAnsi="Garamond" w:cs="Arial"/>
          <w:b/>
          <w:bCs/>
          <w:sz w:val="24"/>
          <w:szCs w:val="24"/>
          <w:lang w:val="pt-BR"/>
        </w:rPr>
        <w:t xml:space="preserve">Assinou-se </w:t>
      </w:r>
      <w:r w:rsidR="007A2492" w:rsidRPr="00C7575A">
        <w:rPr>
          <w:rFonts w:ascii="Garamond" w:hAnsi="Garamond" w:cs="Arial"/>
          <w:b/>
          <w:bCs/>
          <w:sz w:val="24"/>
          <w:szCs w:val="24"/>
          <w:lang w:val="pt-BR"/>
        </w:rPr>
        <w:t>algum</w:t>
      </w:r>
      <w:r w:rsidRPr="00C7575A">
        <w:rPr>
          <w:rFonts w:ascii="Garamond" w:hAnsi="Garamond" w:cs="Arial"/>
          <w:b/>
          <w:bCs/>
          <w:sz w:val="24"/>
          <w:szCs w:val="24"/>
          <w:lang w:val="pt-BR"/>
        </w:rPr>
        <w:t xml:space="preserve"> </w:t>
      </w:r>
      <w:r w:rsidR="0014724F" w:rsidRPr="00C7575A">
        <w:rPr>
          <w:rFonts w:ascii="Garamond" w:hAnsi="Garamond" w:cs="Arial"/>
          <w:b/>
          <w:bCs/>
          <w:sz w:val="24"/>
          <w:szCs w:val="24"/>
          <w:lang w:val="pt-BR"/>
        </w:rPr>
        <w:t xml:space="preserve">acordo </w:t>
      </w:r>
      <w:r w:rsidRPr="00C7575A">
        <w:rPr>
          <w:rFonts w:ascii="Garamond" w:hAnsi="Garamond" w:cs="Arial"/>
          <w:b/>
          <w:bCs/>
          <w:sz w:val="24"/>
          <w:szCs w:val="24"/>
          <w:lang w:val="pt-BR"/>
        </w:rPr>
        <w:t xml:space="preserve">de </w:t>
      </w:r>
      <w:r w:rsidR="00C30647" w:rsidRPr="00C7575A">
        <w:rPr>
          <w:rFonts w:ascii="Garamond" w:hAnsi="Garamond" w:cs="Arial"/>
          <w:b/>
          <w:bCs/>
          <w:sz w:val="24"/>
          <w:szCs w:val="24"/>
          <w:lang w:val="pt-BR"/>
        </w:rPr>
        <w:t>cooperação</w:t>
      </w:r>
      <w:r w:rsidRPr="00C7575A">
        <w:rPr>
          <w:rFonts w:ascii="Garamond" w:hAnsi="Garamond" w:cs="Arial"/>
          <w:b/>
          <w:bCs/>
          <w:sz w:val="24"/>
          <w:szCs w:val="24"/>
          <w:lang w:val="pt-BR"/>
        </w:rPr>
        <w:t xml:space="preserve"> interinstitucional que </w:t>
      </w:r>
      <w:r w:rsidR="0014724F" w:rsidRPr="00C7575A">
        <w:rPr>
          <w:rFonts w:ascii="Garamond" w:hAnsi="Garamond" w:cs="Arial"/>
          <w:b/>
          <w:bCs/>
          <w:sz w:val="24"/>
          <w:szCs w:val="24"/>
          <w:lang w:val="pt-BR"/>
        </w:rPr>
        <w:t xml:space="preserve">procure </w:t>
      </w:r>
      <w:r w:rsidRPr="00C7575A">
        <w:rPr>
          <w:rFonts w:ascii="Garamond" w:hAnsi="Garamond" w:cs="Arial"/>
          <w:b/>
          <w:bCs/>
          <w:sz w:val="24"/>
          <w:szCs w:val="24"/>
          <w:lang w:val="pt-BR"/>
        </w:rPr>
        <w:t>contribuir</w:t>
      </w:r>
      <w:r w:rsidR="0014724F" w:rsidRPr="00C7575A">
        <w:rPr>
          <w:rFonts w:ascii="Garamond" w:hAnsi="Garamond" w:cs="Arial"/>
          <w:b/>
          <w:bCs/>
          <w:sz w:val="24"/>
          <w:szCs w:val="24"/>
          <w:lang w:val="pt-BR"/>
        </w:rPr>
        <w:t xml:space="preserve"> para </w:t>
      </w:r>
      <w:r w:rsidRPr="00C7575A">
        <w:rPr>
          <w:rFonts w:ascii="Garamond" w:hAnsi="Garamond" w:cs="Arial"/>
          <w:b/>
          <w:bCs/>
          <w:sz w:val="24"/>
          <w:szCs w:val="24"/>
          <w:lang w:val="pt-BR"/>
        </w:rPr>
        <w:t xml:space="preserve">a </w:t>
      </w:r>
      <w:r w:rsidR="00454353" w:rsidRPr="00C7575A">
        <w:rPr>
          <w:rFonts w:ascii="Garamond" w:hAnsi="Garamond" w:cs="Arial"/>
          <w:b/>
          <w:bCs/>
          <w:sz w:val="24"/>
          <w:szCs w:val="24"/>
          <w:lang w:val="pt-BR"/>
        </w:rPr>
        <w:t>solução</w:t>
      </w:r>
      <w:r w:rsidR="0014724F" w:rsidRPr="00C7575A">
        <w:rPr>
          <w:rFonts w:ascii="Garamond" w:hAnsi="Garamond" w:cs="Arial"/>
          <w:b/>
          <w:bCs/>
          <w:sz w:val="24"/>
          <w:szCs w:val="24"/>
          <w:lang w:val="pt-BR"/>
        </w:rPr>
        <w:t xml:space="preserve"> d</w:t>
      </w:r>
      <w:r w:rsidRPr="00C7575A">
        <w:rPr>
          <w:rFonts w:ascii="Garamond" w:hAnsi="Garamond" w:cs="Arial"/>
          <w:b/>
          <w:bCs/>
          <w:sz w:val="24"/>
          <w:szCs w:val="24"/>
          <w:lang w:val="pt-BR"/>
        </w:rPr>
        <w:t xml:space="preserve">a problemática </w:t>
      </w:r>
      <w:r w:rsidR="00E85E59" w:rsidRPr="00C7575A">
        <w:rPr>
          <w:rFonts w:ascii="Garamond" w:hAnsi="Garamond" w:cs="Arial"/>
          <w:b/>
          <w:bCs/>
          <w:sz w:val="24"/>
          <w:szCs w:val="24"/>
          <w:lang w:val="pt-BR"/>
        </w:rPr>
        <w:t>do</w:t>
      </w:r>
      <w:r w:rsidRPr="00C7575A">
        <w:rPr>
          <w:rFonts w:ascii="Garamond" w:hAnsi="Garamond" w:cs="Arial"/>
          <w:b/>
          <w:bCs/>
          <w:sz w:val="24"/>
          <w:szCs w:val="24"/>
          <w:lang w:val="pt-BR"/>
        </w:rPr>
        <w:t xml:space="preserve"> </w:t>
      </w:r>
      <w:r w:rsidR="00886D6A" w:rsidRPr="00C7575A">
        <w:rPr>
          <w:rFonts w:ascii="Garamond" w:hAnsi="Garamond" w:cs="Arial"/>
          <w:b/>
          <w:bCs/>
          <w:sz w:val="24"/>
          <w:szCs w:val="24"/>
          <w:lang w:val="pt-BR"/>
        </w:rPr>
        <w:t>acesso</w:t>
      </w:r>
      <w:r w:rsidRPr="00C7575A">
        <w:rPr>
          <w:rFonts w:ascii="Garamond" w:hAnsi="Garamond" w:cs="Arial"/>
          <w:b/>
          <w:bCs/>
          <w:sz w:val="24"/>
          <w:szCs w:val="24"/>
          <w:lang w:val="pt-BR"/>
        </w:rPr>
        <w:t xml:space="preserve"> </w:t>
      </w:r>
      <w:r w:rsidR="00BB2B00" w:rsidRPr="00C7575A">
        <w:rPr>
          <w:rFonts w:ascii="Garamond" w:hAnsi="Garamond" w:cs="Arial"/>
          <w:b/>
          <w:bCs/>
          <w:sz w:val="24"/>
          <w:szCs w:val="24"/>
          <w:lang w:val="pt-BR"/>
        </w:rPr>
        <w:t>à</w:t>
      </w:r>
      <w:r w:rsidRPr="00C7575A">
        <w:rPr>
          <w:rFonts w:ascii="Garamond" w:hAnsi="Garamond" w:cs="Arial"/>
          <w:b/>
          <w:bCs/>
          <w:sz w:val="24"/>
          <w:szCs w:val="24"/>
          <w:lang w:val="pt-BR"/>
        </w:rPr>
        <w:t xml:space="preserve"> </w:t>
      </w:r>
      <w:r w:rsidR="00FC1F7F" w:rsidRPr="00C7575A">
        <w:rPr>
          <w:rFonts w:ascii="Garamond" w:hAnsi="Garamond" w:cs="Arial"/>
          <w:b/>
          <w:bCs/>
          <w:sz w:val="24"/>
          <w:szCs w:val="24"/>
          <w:lang w:val="pt-BR"/>
        </w:rPr>
        <w:t>justiça</w:t>
      </w:r>
      <w:r w:rsidRPr="00C7575A">
        <w:rPr>
          <w:rFonts w:ascii="Garamond" w:hAnsi="Garamond" w:cs="Arial"/>
          <w:b/>
          <w:bCs/>
          <w:sz w:val="24"/>
          <w:szCs w:val="24"/>
          <w:lang w:val="pt-BR"/>
        </w:rPr>
        <w:t xml:space="preserve"> de </w:t>
      </w:r>
      <w:r w:rsidR="00054EE0" w:rsidRPr="00C7575A">
        <w:rPr>
          <w:rFonts w:ascii="Garamond" w:hAnsi="Garamond" w:cs="Arial"/>
          <w:b/>
          <w:bCs/>
          <w:sz w:val="24"/>
          <w:szCs w:val="24"/>
          <w:lang w:val="pt-BR"/>
        </w:rPr>
        <w:t>mulheres</w:t>
      </w:r>
      <w:r w:rsidRPr="00C7575A">
        <w:rPr>
          <w:rFonts w:ascii="Garamond" w:hAnsi="Garamond" w:cs="Arial"/>
          <w:b/>
          <w:bCs/>
          <w:sz w:val="24"/>
          <w:szCs w:val="24"/>
          <w:lang w:val="pt-BR"/>
        </w:rPr>
        <w:t xml:space="preserve"> </w:t>
      </w:r>
      <w:r w:rsidR="003F012B" w:rsidRPr="00C7575A">
        <w:rPr>
          <w:rFonts w:ascii="Garamond" w:hAnsi="Garamond" w:cs="Arial"/>
          <w:b/>
          <w:bCs/>
          <w:sz w:val="24"/>
          <w:szCs w:val="24"/>
          <w:lang w:val="pt-BR"/>
        </w:rPr>
        <w:t>vítima</w:t>
      </w:r>
      <w:r w:rsidRPr="00C7575A">
        <w:rPr>
          <w:rFonts w:ascii="Garamond" w:hAnsi="Garamond" w:cs="Arial"/>
          <w:b/>
          <w:bCs/>
          <w:sz w:val="24"/>
          <w:szCs w:val="24"/>
          <w:lang w:val="pt-BR"/>
        </w:rPr>
        <w:t xml:space="preserve">s de </w:t>
      </w:r>
      <w:r w:rsidR="000350B1" w:rsidRPr="00C7575A">
        <w:rPr>
          <w:rFonts w:ascii="Garamond" w:hAnsi="Garamond" w:cs="Arial"/>
          <w:b/>
          <w:bCs/>
          <w:sz w:val="24"/>
          <w:szCs w:val="24"/>
          <w:lang w:val="pt-BR"/>
        </w:rPr>
        <w:t>violência</w:t>
      </w:r>
      <w:r w:rsidRPr="00C7575A">
        <w:rPr>
          <w:rFonts w:ascii="Garamond" w:hAnsi="Garamond" w:cs="Arial"/>
          <w:b/>
          <w:bCs/>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 Campanha </w:t>
      </w:r>
      <w:r w:rsidR="008F5192">
        <w:rPr>
          <w:rFonts w:ascii="Garamond" w:hAnsi="Garamond" w:cs="Arial"/>
          <w:sz w:val="24"/>
          <w:szCs w:val="24"/>
          <w:lang w:val="pt-BR"/>
        </w:rPr>
        <w:t>«</w:t>
      </w:r>
      <w:r w:rsidRPr="003A1174">
        <w:rPr>
          <w:rFonts w:ascii="Garamond" w:hAnsi="Garamond" w:cs="Arial"/>
          <w:sz w:val="24"/>
          <w:szCs w:val="24"/>
          <w:lang w:val="pt-BR"/>
        </w:rPr>
        <w:t>Compromisso e Atitude pela Lei Maria da Penha – a Lei é mais forte</w:t>
      </w:r>
      <w:r w:rsidR="008F5192">
        <w:rPr>
          <w:rFonts w:ascii="Garamond" w:hAnsi="Garamond" w:cs="Arial"/>
          <w:sz w:val="24"/>
          <w:szCs w:val="24"/>
          <w:lang w:val="pt-BR"/>
        </w:rPr>
        <w:t>»</w:t>
      </w:r>
      <w:r w:rsidRPr="003A1174">
        <w:rPr>
          <w:rFonts w:ascii="Garamond" w:hAnsi="Garamond" w:cs="Arial"/>
          <w:sz w:val="24"/>
          <w:szCs w:val="24"/>
          <w:lang w:val="pt-BR"/>
        </w:rPr>
        <w:t xml:space="preserve">, coordenada pela SPM/PR, é resultado da cooperação entre o Governo Federal, por meio da </w:t>
      </w:r>
      <w:r w:rsidRPr="003A1174">
        <w:rPr>
          <w:rFonts w:ascii="Garamond" w:hAnsi="Garamond" w:cs="Arial"/>
          <w:sz w:val="24"/>
          <w:szCs w:val="24"/>
          <w:lang w:val="pt-BR"/>
        </w:rPr>
        <w:lastRenderedPageBreak/>
        <w:t xml:space="preserve">Secretaria de Políticas para as Mulheres e do Ministério da Justiça, o Conselho Nacional de Justiça, o Poder </w:t>
      </w:r>
      <w:r w:rsidR="00513D98" w:rsidRPr="003A1174">
        <w:rPr>
          <w:rFonts w:ascii="Garamond" w:hAnsi="Garamond" w:cs="Arial"/>
          <w:sz w:val="24"/>
          <w:szCs w:val="24"/>
          <w:lang w:val="pt-BR"/>
        </w:rPr>
        <w:t>Judicial</w:t>
      </w:r>
      <w:r w:rsidRPr="003A1174">
        <w:rPr>
          <w:rFonts w:ascii="Garamond" w:hAnsi="Garamond" w:cs="Arial"/>
          <w:sz w:val="24"/>
          <w:szCs w:val="24"/>
          <w:lang w:val="pt-BR"/>
        </w:rPr>
        <w:t>, o Ministério Público e a Defensoria Pública</w:t>
      </w:r>
      <w:r w:rsidR="008F5192">
        <w:rPr>
          <w:rFonts w:ascii="Garamond" w:hAnsi="Garamond" w:cs="Arial"/>
          <w:sz w:val="24"/>
          <w:szCs w:val="24"/>
          <w:lang w:val="pt-BR"/>
        </w:rPr>
        <w:t>.</w:t>
      </w:r>
      <w:r w:rsidRPr="00C7575A">
        <w:rPr>
          <w:rFonts w:ascii="Garamond" w:hAnsi="Garamond" w:cs="Arial"/>
          <w:sz w:val="24"/>
          <w:szCs w:val="24"/>
          <w:lang w:val="pt-BR"/>
        </w:rPr>
        <w:t>32</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Há instituições </w:t>
      </w:r>
      <w:r w:rsidR="0014724F" w:rsidRPr="00C7575A">
        <w:rPr>
          <w:rFonts w:ascii="Garamond" w:hAnsi="Garamond" w:cs="Arial"/>
          <w:sz w:val="24"/>
          <w:szCs w:val="24"/>
          <w:lang w:val="pt-BR"/>
        </w:rPr>
        <w:t xml:space="preserve">a </w:t>
      </w:r>
      <w:r w:rsidRPr="00C7575A">
        <w:rPr>
          <w:rFonts w:ascii="Garamond" w:hAnsi="Garamond" w:cs="Arial"/>
          <w:sz w:val="24"/>
          <w:szCs w:val="24"/>
          <w:lang w:val="pt-BR"/>
        </w:rPr>
        <w:t>aderi</w:t>
      </w:r>
      <w:r w:rsidR="0014724F" w:rsidRPr="00C7575A">
        <w:rPr>
          <w:rFonts w:ascii="Garamond" w:hAnsi="Garamond" w:cs="Arial"/>
          <w:sz w:val="24"/>
          <w:szCs w:val="24"/>
          <w:lang w:val="pt-BR"/>
        </w:rPr>
        <w:t xml:space="preserve">r </w:t>
      </w:r>
      <w:r w:rsidRPr="00C7575A">
        <w:rPr>
          <w:rFonts w:ascii="Garamond" w:hAnsi="Garamond" w:cs="Arial"/>
          <w:sz w:val="24"/>
          <w:szCs w:val="24"/>
          <w:lang w:val="pt-BR"/>
        </w:rPr>
        <w:t>a essa Campanha (</w:t>
      </w:r>
      <w:r w:rsidR="002B00E5" w:rsidRPr="00C7575A">
        <w:rPr>
          <w:rFonts w:ascii="Garamond" w:hAnsi="Garamond" w:cs="Arial"/>
          <w:sz w:val="24"/>
          <w:szCs w:val="24"/>
          <w:lang w:val="pt-BR"/>
        </w:rPr>
        <w:t>«</w:t>
      </w:r>
      <w:r w:rsidRPr="00C7575A">
        <w:rPr>
          <w:rFonts w:ascii="Garamond" w:hAnsi="Garamond" w:cs="Arial"/>
          <w:sz w:val="24"/>
          <w:szCs w:val="24"/>
          <w:lang w:val="pt-BR"/>
        </w:rPr>
        <w:t>Compromisso e Atitude pela Lei Maria da Penha – a Lei é mais forte</w:t>
      </w:r>
      <w:r w:rsidR="002B00E5" w:rsidRPr="00C7575A">
        <w:rPr>
          <w:rFonts w:ascii="Garamond" w:hAnsi="Garamond" w:cs="Arial"/>
          <w:sz w:val="24"/>
          <w:szCs w:val="24"/>
          <w:lang w:val="pt-BR"/>
        </w:rPr>
        <w:t>»</w:t>
      </w:r>
      <w:r w:rsidRPr="00C7575A">
        <w:rPr>
          <w:rFonts w:ascii="Garamond" w:hAnsi="Garamond" w:cs="Arial"/>
          <w:sz w:val="24"/>
          <w:szCs w:val="24"/>
          <w:lang w:val="pt-BR"/>
        </w:rPr>
        <w:t xml:space="preserve">) ou à intitulada </w:t>
      </w:r>
      <w:r w:rsidR="002B00E5" w:rsidRPr="00C7575A">
        <w:rPr>
          <w:rFonts w:ascii="Garamond" w:hAnsi="Garamond" w:cs="Arial"/>
          <w:sz w:val="24"/>
          <w:szCs w:val="24"/>
          <w:lang w:val="pt-BR"/>
        </w:rPr>
        <w:t>«</w:t>
      </w:r>
      <w:r w:rsidRPr="00C7575A">
        <w:rPr>
          <w:rFonts w:ascii="Garamond" w:hAnsi="Garamond" w:cs="Arial"/>
          <w:sz w:val="24"/>
          <w:szCs w:val="24"/>
          <w:lang w:val="pt-BR"/>
        </w:rPr>
        <w:t>Violência contra a Mulher – Eu ligo</w:t>
      </w:r>
      <w:r w:rsidR="002B00E5" w:rsidRPr="00C7575A">
        <w:rPr>
          <w:rFonts w:ascii="Garamond" w:hAnsi="Garamond" w:cs="Arial"/>
          <w:sz w:val="24"/>
          <w:szCs w:val="24"/>
          <w:lang w:val="pt-BR"/>
        </w:rPr>
        <w:t>»</w:t>
      </w:r>
      <w:r w:rsidRPr="00C7575A">
        <w:rPr>
          <w:rFonts w:ascii="Garamond" w:hAnsi="Garamond" w:cs="Arial"/>
          <w:sz w:val="24"/>
          <w:szCs w:val="24"/>
          <w:lang w:val="pt-BR"/>
        </w:rPr>
        <w:t>, como o Conselho Federal da Ordem dos Advogados do Brasil (CFOAB)</w:t>
      </w:r>
      <w:r w:rsidR="002B00E5" w:rsidRPr="00C7575A">
        <w:rPr>
          <w:rFonts w:ascii="Garamond" w:hAnsi="Garamond" w:cs="Arial"/>
          <w:sz w:val="24"/>
          <w:szCs w:val="24"/>
          <w:lang w:val="pt-BR"/>
        </w:rPr>
        <w:t>,</w:t>
      </w:r>
      <w:r w:rsidRPr="00C7575A">
        <w:rPr>
          <w:rFonts w:ascii="Garamond" w:hAnsi="Garamond" w:cs="Arial"/>
          <w:sz w:val="24"/>
          <w:szCs w:val="24"/>
          <w:lang w:val="pt-BR"/>
        </w:rPr>
        <w:t>33, Senado Federal</w:t>
      </w:r>
      <w:r w:rsidR="002B00E5" w:rsidRPr="00C7575A">
        <w:rPr>
          <w:rFonts w:ascii="Garamond" w:hAnsi="Garamond" w:cs="Arial"/>
          <w:sz w:val="24"/>
          <w:szCs w:val="24"/>
          <w:lang w:val="pt-BR"/>
        </w:rPr>
        <w:t>,</w:t>
      </w:r>
      <w:r w:rsidRPr="00C7575A">
        <w:rPr>
          <w:rFonts w:ascii="Garamond" w:hAnsi="Garamond" w:cs="Arial"/>
          <w:sz w:val="24"/>
          <w:szCs w:val="24"/>
          <w:lang w:val="pt-BR"/>
        </w:rPr>
        <w:t>34, Câmara Municipal do Rio de Janeiro</w:t>
      </w:r>
      <w:r w:rsidR="002B00E5" w:rsidRPr="00C7575A">
        <w:rPr>
          <w:rFonts w:ascii="Garamond" w:hAnsi="Garamond" w:cs="Arial"/>
          <w:sz w:val="24"/>
          <w:szCs w:val="24"/>
          <w:lang w:val="pt-BR"/>
        </w:rPr>
        <w:t xml:space="preserve">, </w:t>
      </w:r>
      <w:r w:rsidRPr="00C7575A">
        <w:rPr>
          <w:rFonts w:ascii="Garamond" w:hAnsi="Garamond" w:cs="Arial"/>
          <w:sz w:val="24"/>
          <w:szCs w:val="24"/>
          <w:lang w:val="pt-BR"/>
        </w:rPr>
        <w:t>35, Associação de Magistrados Brasileiros (AMB)</w:t>
      </w:r>
      <w:r w:rsidR="008F5192" w:rsidRPr="00C7575A">
        <w:rPr>
          <w:rFonts w:ascii="Garamond" w:hAnsi="Garamond" w:cs="Arial"/>
          <w:sz w:val="24"/>
          <w:szCs w:val="24"/>
          <w:lang w:val="pt-BR"/>
        </w:rPr>
        <w:t>.</w:t>
      </w:r>
      <w:r w:rsidRPr="00C7575A">
        <w:rPr>
          <w:rFonts w:ascii="Garamond" w:hAnsi="Garamond" w:cs="Arial"/>
          <w:sz w:val="24"/>
          <w:szCs w:val="24"/>
          <w:lang w:val="pt-BR"/>
        </w:rPr>
        <w:t xml:space="preserve">36 </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A ação sobre violência de </w:t>
      </w:r>
      <w:r w:rsidR="00600E20" w:rsidRPr="00C7575A">
        <w:rPr>
          <w:rFonts w:ascii="Garamond" w:hAnsi="Garamond" w:cs="Arial"/>
          <w:sz w:val="24"/>
          <w:szCs w:val="24"/>
          <w:lang w:val="pt-BR"/>
        </w:rPr>
        <w:t>género</w:t>
      </w:r>
      <w:r w:rsidRPr="00C7575A">
        <w:rPr>
          <w:rFonts w:ascii="Garamond" w:hAnsi="Garamond" w:cs="Arial"/>
          <w:sz w:val="24"/>
          <w:szCs w:val="24"/>
          <w:lang w:val="pt-BR"/>
        </w:rPr>
        <w:t xml:space="preserve"> do Programa EUROsociAL tem</w:t>
      </w:r>
      <w:r w:rsidR="002B00E5" w:rsidRPr="00C7575A">
        <w:rPr>
          <w:rFonts w:ascii="Garamond" w:hAnsi="Garamond" w:cs="Arial"/>
          <w:sz w:val="24"/>
          <w:szCs w:val="24"/>
          <w:lang w:val="pt-BR"/>
        </w:rPr>
        <w:t>,</w:t>
      </w:r>
      <w:r w:rsidRPr="00C7575A">
        <w:rPr>
          <w:rFonts w:ascii="Garamond" w:hAnsi="Garamond" w:cs="Arial"/>
          <w:sz w:val="24"/>
          <w:szCs w:val="24"/>
          <w:lang w:val="pt-BR"/>
        </w:rPr>
        <w:t xml:space="preserve"> entre </w:t>
      </w:r>
      <w:r w:rsidR="0014724F" w:rsidRPr="00C7575A">
        <w:rPr>
          <w:rFonts w:ascii="Garamond" w:hAnsi="Garamond" w:cs="Arial"/>
          <w:sz w:val="24"/>
          <w:szCs w:val="24"/>
          <w:lang w:val="pt-BR"/>
        </w:rPr>
        <w:t xml:space="preserve">os </w:t>
      </w:r>
      <w:r w:rsidR="002B00E5" w:rsidRPr="00C7575A">
        <w:rPr>
          <w:rFonts w:ascii="Garamond" w:hAnsi="Garamond" w:cs="Arial"/>
          <w:sz w:val="24"/>
          <w:szCs w:val="24"/>
          <w:lang w:val="pt-BR"/>
        </w:rPr>
        <w:t xml:space="preserve">seus </w:t>
      </w:r>
      <w:r w:rsidRPr="00C7575A">
        <w:rPr>
          <w:rFonts w:ascii="Garamond" w:hAnsi="Garamond" w:cs="Arial"/>
          <w:sz w:val="24"/>
          <w:szCs w:val="24"/>
          <w:lang w:val="pt-BR"/>
        </w:rPr>
        <w:t>objetivos</w:t>
      </w:r>
      <w:r w:rsidR="002B00E5" w:rsidRPr="00C7575A">
        <w:rPr>
          <w:rFonts w:ascii="Garamond" w:hAnsi="Garamond" w:cs="Arial"/>
          <w:sz w:val="24"/>
          <w:szCs w:val="24"/>
          <w:lang w:val="pt-BR"/>
        </w:rPr>
        <w:t>,</w:t>
      </w:r>
      <w:r w:rsidRPr="00C7575A">
        <w:rPr>
          <w:rFonts w:ascii="Garamond" w:hAnsi="Garamond" w:cs="Arial"/>
          <w:sz w:val="24"/>
          <w:szCs w:val="24"/>
          <w:lang w:val="pt-BR"/>
        </w:rPr>
        <w:t xml:space="preserve"> promover a</w:t>
      </w:r>
      <w:r w:rsidR="0014724F" w:rsidRPr="00C7575A">
        <w:rPr>
          <w:rFonts w:ascii="Garamond" w:hAnsi="Garamond" w:cs="Arial"/>
          <w:sz w:val="24"/>
          <w:szCs w:val="24"/>
          <w:lang w:val="pt-BR"/>
        </w:rPr>
        <w:t xml:space="preserve"> colaboração interinstitucional, </w:t>
      </w:r>
      <w:r w:rsidRPr="00C7575A">
        <w:rPr>
          <w:rFonts w:ascii="Garamond" w:hAnsi="Garamond" w:cs="Arial"/>
          <w:sz w:val="24"/>
          <w:szCs w:val="24"/>
          <w:lang w:val="pt-BR"/>
        </w:rPr>
        <w:t xml:space="preserve">atividades </w:t>
      </w:r>
      <w:r w:rsidR="002B00E5" w:rsidRPr="00C7575A">
        <w:rPr>
          <w:rFonts w:ascii="Garamond" w:hAnsi="Garamond" w:cs="Arial"/>
          <w:sz w:val="24"/>
          <w:szCs w:val="24"/>
          <w:lang w:val="pt-BR"/>
        </w:rPr>
        <w:t xml:space="preserve">que já </w:t>
      </w:r>
      <w:r w:rsidRPr="00C7575A">
        <w:rPr>
          <w:rFonts w:ascii="Garamond" w:hAnsi="Garamond" w:cs="Arial"/>
          <w:sz w:val="24"/>
          <w:szCs w:val="24"/>
          <w:lang w:val="pt-BR"/>
        </w:rPr>
        <w:t>já foram desenvolvidas (ver resposta à pergunta n</w:t>
      </w:r>
      <w:r w:rsidR="002B00E5" w:rsidRPr="00C7575A">
        <w:rPr>
          <w:rFonts w:ascii="Garamond" w:hAnsi="Garamond" w:cs="Arial"/>
          <w:sz w:val="24"/>
          <w:szCs w:val="24"/>
          <w:lang w:val="pt-BR"/>
        </w:rPr>
        <w:t>.</w:t>
      </w:r>
      <w:r w:rsidRPr="00C7575A">
        <w:rPr>
          <w:rFonts w:ascii="Garamond" w:hAnsi="Garamond" w:cs="Arial"/>
          <w:sz w:val="24"/>
          <w:szCs w:val="24"/>
          <w:lang w:val="pt-BR"/>
        </w:rPr>
        <w:t>º 11).</w:t>
      </w:r>
    </w:p>
    <w:p w:rsidR="004C140F" w:rsidRPr="00C7575A"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CD707D" w:rsidP="008719D4">
      <w:pPr>
        <w:autoSpaceDE w:val="0"/>
        <w:autoSpaceDN w:val="0"/>
        <w:adjustRightInd w:val="0"/>
        <w:spacing w:after="0" w:line="240" w:lineRule="auto"/>
        <w:jc w:val="both"/>
        <w:rPr>
          <w:rFonts w:ascii="Garamond" w:hAnsi="Garamond" w:cs="Arial"/>
          <w:b/>
          <w:bCs/>
          <w:sz w:val="24"/>
          <w:szCs w:val="24"/>
          <w:lang w:val="pt-BR"/>
        </w:rPr>
      </w:pPr>
      <w:r w:rsidRPr="00C7575A">
        <w:rPr>
          <w:rFonts w:ascii="Garamond" w:hAnsi="Garamond" w:cs="Arial"/>
          <w:b/>
          <w:bCs/>
          <w:sz w:val="24"/>
          <w:szCs w:val="24"/>
        </w:rPr>
        <w:t xml:space="preserve">9. </w:t>
      </w:r>
      <w:r w:rsidR="004C140F" w:rsidRPr="00C7575A">
        <w:rPr>
          <w:rFonts w:ascii="Garamond" w:hAnsi="Garamond" w:cs="Arial"/>
          <w:b/>
          <w:bCs/>
          <w:sz w:val="24"/>
          <w:szCs w:val="24"/>
        </w:rPr>
        <w:t>H</w:t>
      </w:r>
      <w:r w:rsidRPr="00C7575A">
        <w:rPr>
          <w:rFonts w:ascii="Garamond" w:hAnsi="Garamond" w:cs="Arial"/>
          <w:b/>
          <w:bCs/>
          <w:sz w:val="24"/>
          <w:szCs w:val="24"/>
        </w:rPr>
        <w:t xml:space="preserve">ouve ou não </w:t>
      </w:r>
      <w:r w:rsidR="00FC1F7F" w:rsidRPr="00C7575A">
        <w:rPr>
          <w:rFonts w:ascii="Garamond" w:hAnsi="Garamond" w:cs="Arial"/>
          <w:b/>
          <w:bCs/>
          <w:sz w:val="24"/>
          <w:szCs w:val="24"/>
        </w:rPr>
        <w:t>avanços</w:t>
      </w:r>
      <w:r w:rsidR="004C140F" w:rsidRPr="00C7575A">
        <w:rPr>
          <w:rFonts w:ascii="Garamond" w:hAnsi="Garamond" w:cs="Arial"/>
          <w:b/>
          <w:bCs/>
          <w:sz w:val="24"/>
          <w:szCs w:val="24"/>
        </w:rPr>
        <w:t xml:space="preserve"> e</w:t>
      </w:r>
      <w:r w:rsidRPr="00C7575A">
        <w:rPr>
          <w:rFonts w:ascii="Garamond" w:hAnsi="Garamond" w:cs="Arial"/>
          <w:b/>
          <w:bCs/>
          <w:sz w:val="24"/>
          <w:szCs w:val="24"/>
        </w:rPr>
        <w:t>m</w:t>
      </w:r>
      <w:r w:rsidR="004C140F" w:rsidRPr="00C7575A">
        <w:rPr>
          <w:rFonts w:ascii="Garamond" w:hAnsi="Garamond" w:cs="Arial"/>
          <w:b/>
          <w:bCs/>
          <w:sz w:val="24"/>
          <w:szCs w:val="24"/>
        </w:rPr>
        <w:t xml:space="preserve"> </w:t>
      </w:r>
      <w:r w:rsidR="00EF645F" w:rsidRPr="00C7575A">
        <w:rPr>
          <w:rFonts w:ascii="Garamond" w:hAnsi="Garamond" w:cs="Arial"/>
          <w:b/>
          <w:bCs/>
          <w:sz w:val="24"/>
          <w:szCs w:val="24"/>
        </w:rPr>
        <w:t>matéria</w:t>
      </w:r>
      <w:r w:rsidR="004C140F" w:rsidRPr="00C7575A">
        <w:rPr>
          <w:rFonts w:ascii="Garamond" w:hAnsi="Garamond" w:cs="Arial"/>
          <w:b/>
          <w:bCs/>
          <w:sz w:val="24"/>
          <w:szCs w:val="24"/>
        </w:rPr>
        <w:t xml:space="preserve"> de </w:t>
      </w:r>
      <w:r w:rsidR="00077461" w:rsidRPr="00C7575A">
        <w:rPr>
          <w:rFonts w:ascii="Garamond" w:hAnsi="Garamond" w:cs="Arial"/>
          <w:b/>
          <w:bCs/>
          <w:sz w:val="24"/>
          <w:szCs w:val="24"/>
        </w:rPr>
        <w:t>registo</w:t>
      </w:r>
      <w:r w:rsidR="004C140F" w:rsidRPr="00C7575A">
        <w:rPr>
          <w:rFonts w:ascii="Garamond" w:hAnsi="Garamond" w:cs="Arial"/>
          <w:b/>
          <w:bCs/>
          <w:sz w:val="24"/>
          <w:szCs w:val="24"/>
        </w:rPr>
        <w:t xml:space="preserve"> de </w:t>
      </w:r>
      <w:r w:rsidR="0017447A" w:rsidRPr="00C7575A">
        <w:rPr>
          <w:rFonts w:ascii="Garamond" w:hAnsi="Garamond" w:cs="Arial"/>
          <w:b/>
          <w:bCs/>
          <w:sz w:val="24"/>
          <w:szCs w:val="24"/>
        </w:rPr>
        <w:t>informação</w:t>
      </w:r>
      <w:r w:rsidR="004C140F" w:rsidRPr="00C7575A">
        <w:rPr>
          <w:rFonts w:ascii="Garamond" w:hAnsi="Garamond" w:cs="Arial"/>
          <w:b/>
          <w:bCs/>
          <w:sz w:val="24"/>
          <w:szCs w:val="24"/>
        </w:rPr>
        <w:t xml:space="preserve"> sobre</w:t>
      </w:r>
      <w:r w:rsidRPr="00C7575A">
        <w:rPr>
          <w:rFonts w:ascii="Garamond" w:hAnsi="Garamond" w:cs="Arial"/>
          <w:b/>
          <w:bCs/>
          <w:sz w:val="24"/>
          <w:szCs w:val="24"/>
        </w:rPr>
        <w:t xml:space="preserve"> </w:t>
      </w:r>
      <w:r w:rsidR="00054EE0" w:rsidRPr="00C7575A">
        <w:rPr>
          <w:rFonts w:ascii="Garamond" w:hAnsi="Garamond" w:cs="Arial"/>
          <w:b/>
          <w:bCs/>
          <w:sz w:val="24"/>
          <w:szCs w:val="24"/>
          <w:lang w:val="pt-BR"/>
        </w:rPr>
        <w:t>mulheres</w:t>
      </w:r>
      <w:r w:rsidR="004C140F" w:rsidRPr="00C7575A">
        <w:rPr>
          <w:rFonts w:ascii="Garamond" w:hAnsi="Garamond" w:cs="Arial"/>
          <w:b/>
          <w:bCs/>
          <w:sz w:val="24"/>
          <w:szCs w:val="24"/>
          <w:lang w:val="pt-BR"/>
        </w:rPr>
        <w:t xml:space="preserve"> </w:t>
      </w:r>
      <w:r w:rsidR="003F012B" w:rsidRPr="00C7575A">
        <w:rPr>
          <w:rFonts w:ascii="Garamond" w:hAnsi="Garamond" w:cs="Arial"/>
          <w:b/>
          <w:bCs/>
          <w:sz w:val="24"/>
          <w:szCs w:val="24"/>
          <w:lang w:val="pt-BR"/>
        </w:rPr>
        <w:t>vítima</w:t>
      </w:r>
      <w:r w:rsidR="004C140F" w:rsidRPr="00C7575A">
        <w:rPr>
          <w:rFonts w:ascii="Garamond" w:hAnsi="Garamond" w:cs="Arial"/>
          <w:b/>
          <w:bCs/>
          <w:sz w:val="24"/>
          <w:szCs w:val="24"/>
          <w:lang w:val="pt-BR"/>
        </w:rPr>
        <w:t xml:space="preserve">s de </w:t>
      </w:r>
      <w:r w:rsidR="000350B1" w:rsidRPr="00C7575A">
        <w:rPr>
          <w:rFonts w:ascii="Garamond" w:hAnsi="Garamond" w:cs="Arial"/>
          <w:b/>
          <w:bCs/>
          <w:sz w:val="24"/>
          <w:szCs w:val="24"/>
          <w:lang w:val="pt-BR"/>
        </w:rPr>
        <w:t>violência</w:t>
      </w:r>
      <w:r w:rsidR="004C140F" w:rsidRPr="00C7575A">
        <w:rPr>
          <w:rFonts w:ascii="Garamond" w:hAnsi="Garamond" w:cs="Arial"/>
          <w:b/>
          <w:bCs/>
          <w:sz w:val="24"/>
          <w:szCs w:val="24"/>
          <w:lang w:val="pt-BR"/>
        </w:rPr>
        <w:t>?</w:t>
      </w:r>
    </w:p>
    <w:p w:rsidR="004C140F" w:rsidRPr="00C7575A" w:rsidRDefault="004C140F" w:rsidP="008719D4">
      <w:pPr>
        <w:autoSpaceDE w:val="0"/>
        <w:autoSpaceDN w:val="0"/>
        <w:adjustRightInd w:val="0"/>
        <w:spacing w:after="0" w:line="240" w:lineRule="auto"/>
        <w:jc w:val="both"/>
        <w:rPr>
          <w:rFonts w:ascii="Garamond" w:hAnsi="Garamond" w:cs="Arial"/>
          <w:bCs/>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C7575A">
        <w:rPr>
          <w:rFonts w:ascii="Garamond" w:hAnsi="Garamond" w:cs="Arial"/>
          <w:sz w:val="24"/>
          <w:szCs w:val="24"/>
          <w:lang w:val="pt-BR"/>
        </w:rPr>
        <w:t xml:space="preserve">Ainda que persistam deficiências nos </w:t>
      </w:r>
      <w:r w:rsidR="00077461" w:rsidRPr="00C7575A">
        <w:rPr>
          <w:rFonts w:ascii="Garamond" w:hAnsi="Garamond" w:cs="Arial"/>
          <w:sz w:val="24"/>
          <w:szCs w:val="24"/>
          <w:lang w:val="pt-BR"/>
        </w:rPr>
        <w:t>registo</w:t>
      </w:r>
      <w:r w:rsidRPr="00C7575A">
        <w:rPr>
          <w:rFonts w:ascii="Garamond" w:hAnsi="Garamond" w:cs="Arial"/>
          <w:sz w:val="24"/>
          <w:szCs w:val="24"/>
          <w:lang w:val="pt-BR"/>
        </w:rPr>
        <w:t xml:space="preserve">s, houve recente transformação do </w:t>
      </w:r>
      <w:r w:rsidR="002B00E5" w:rsidRPr="00C7575A">
        <w:rPr>
          <w:rFonts w:ascii="Garamond" w:hAnsi="Garamond" w:cs="Arial"/>
          <w:sz w:val="24"/>
          <w:szCs w:val="24"/>
          <w:lang w:val="pt-BR"/>
        </w:rPr>
        <w:t>«</w:t>
      </w:r>
      <w:r w:rsidRPr="00C7575A">
        <w:rPr>
          <w:rFonts w:ascii="Garamond" w:hAnsi="Garamond" w:cs="Arial"/>
          <w:sz w:val="24"/>
          <w:szCs w:val="24"/>
          <w:lang w:val="pt-BR"/>
        </w:rPr>
        <w:t>Ligue 180</w:t>
      </w:r>
      <w:r w:rsidR="002B00E5" w:rsidRPr="00C7575A">
        <w:rPr>
          <w:rFonts w:ascii="Garamond" w:hAnsi="Garamond" w:cs="Arial"/>
          <w:sz w:val="24"/>
          <w:szCs w:val="24"/>
          <w:lang w:val="pt-BR"/>
        </w:rPr>
        <w:t>»</w:t>
      </w:r>
      <w:r w:rsidRPr="00C7575A">
        <w:rPr>
          <w:rFonts w:ascii="Garamond" w:hAnsi="Garamond" w:cs="Arial"/>
          <w:sz w:val="24"/>
          <w:szCs w:val="24"/>
          <w:lang w:val="pt-BR"/>
        </w:rPr>
        <w:t xml:space="preserve"> para </w:t>
      </w:r>
      <w:r w:rsidR="002B00E5" w:rsidRPr="00C7575A">
        <w:rPr>
          <w:rFonts w:ascii="Garamond" w:hAnsi="Garamond" w:cs="Arial"/>
          <w:sz w:val="24"/>
          <w:szCs w:val="24"/>
          <w:lang w:val="pt-BR"/>
        </w:rPr>
        <w:t>«</w:t>
      </w:r>
      <w:r w:rsidR="0014724F" w:rsidRPr="00C7575A">
        <w:rPr>
          <w:rFonts w:ascii="Garamond" w:hAnsi="Garamond" w:cs="Arial"/>
          <w:sz w:val="24"/>
          <w:szCs w:val="24"/>
          <w:lang w:val="pt-BR"/>
        </w:rPr>
        <w:t xml:space="preserve">Marque </w:t>
      </w:r>
      <w:r w:rsidRPr="00C7575A">
        <w:rPr>
          <w:rFonts w:ascii="Garamond" w:hAnsi="Garamond" w:cs="Arial"/>
          <w:sz w:val="24"/>
          <w:szCs w:val="24"/>
          <w:lang w:val="pt-BR"/>
        </w:rPr>
        <w:t>denúncia</w:t>
      </w:r>
      <w:r w:rsidR="002B00E5" w:rsidRPr="00C7575A">
        <w:rPr>
          <w:rFonts w:ascii="Garamond" w:hAnsi="Garamond" w:cs="Arial"/>
          <w:sz w:val="24"/>
          <w:szCs w:val="24"/>
          <w:lang w:val="pt-BR"/>
        </w:rPr>
        <w:t>»</w:t>
      </w:r>
      <w:r w:rsidRPr="00C7575A">
        <w:rPr>
          <w:rFonts w:ascii="Garamond" w:hAnsi="Garamond" w:cs="Arial"/>
          <w:sz w:val="24"/>
          <w:szCs w:val="24"/>
          <w:lang w:val="pt-BR"/>
        </w:rPr>
        <w:t xml:space="preserve">, </w:t>
      </w:r>
      <w:r w:rsidR="0014724F" w:rsidRPr="00C7575A">
        <w:rPr>
          <w:rFonts w:ascii="Garamond" w:hAnsi="Garamond" w:cs="Arial"/>
          <w:sz w:val="24"/>
          <w:szCs w:val="24"/>
          <w:lang w:val="pt-BR"/>
        </w:rPr>
        <w:t xml:space="preserve">tentando </w:t>
      </w:r>
      <w:r w:rsidRPr="00C7575A">
        <w:rPr>
          <w:rFonts w:ascii="Garamond" w:hAnsi="Garamond" w:cs="Arial"/>
          <w:sz w:val="24"/>
          <w:szCs w:val="24"/>
          <w:lang w:val="pt-BR"/>
        </w:rPr>
        <w:t xml:space="preserve">facilitar </w:t>
      </w:r>
      <w:r w:rsidR="00077461" w:rsidRPr="00C7575A">
        <w:rPr>
          <w:rFonts w:ascii="Garamond" w:hAnsi="Garamond" w:cs="Arial"/>
          <w:sz w:val="24"/>
          <w:szCs w:val="24"/>
          <w:lang w:val="pt-BR"/>
        </w:rPr>
        <w:t>registo</w:t>
      </w:r>
      <w:r w:rsidRPr="00C7575A">
        <w:rPr>
          <w:rFonts w:ascii="Garamond" w:hAnsi="Garamond" w:cs="Arial"/>
          <w:sz w:val="24"/>
          <w:szCs w:val="24"/>
          <w:lang w:val="pt-BR"/>
        </w:rPr>
        <w:t>s de casos concretos de violência, com a previsão de encaminhamento direto dos casos à Segurança Pública e à Justiça, entre outras providências</w:t>
      </w:r>
      <w:r w:rsidR="002B00E5" w:rsidRPr="00C7575A">
        <w:rPr>
          <w:rFonts w:ascii="Garamond" w:hAnsi="Garamond" w:cs="Arial"/>
          <w:sz w:val="24"/>
          <w:szCs w:val="24"/>
          <w:lang w:val="pt-BR"/>
        </w:rPr>
        <w:t>.</w:t>
      </w:r>
      <w:r w:rsidRPr="00C7575A">
        <w:rPr>
          <w:rFonts w:ascii="Garamond" w:hAnsi="Garamond" w:cs="Arial"/>
          <w:sz w:val="24"/>
          <w:szCs w:val="24"/>
          <w:lang w:val="pt-BR"/>
        </w:rPr>
        <w:t>37</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2B00E5" w:rsidRDefault="004C140F" w:rsidP="008719D4">
      <w:pPr>
        <w:autoSpaceDE w:val="0"/>
        <w:autoSpaceDN w:val="0"/>
        <w:adjustRightInd w:val="0"/>
        <w:spacing w:after="0" w:line="240" w:lineRule="auto"/>
        <w:jc w:val="both"/>
        <w:rPr>
          <w:rFonts w:ascii="Garamond" w:hAnsi="Garamond" w:cs="Arial"/>
          <w:sz w:val="20"/>
          <w:szCs w:val="20"/>
        </w:rPr>
      </w:pPr>
      <w:r w:rsidRPr="002B00E5">
        <w:rPr>
          <w:rFonts w:ascii="Garamond" w:hAnsi="Garamond" w:cs="Arial"/>
          <w:sz w:val="20"/>
          <w:szCs w:val="20"/>
        </w:rPr>
        <w:t>32http://www.cnj.jus.br/programas-de-a-a-z/pj-lei-maria-da-penha/campanha-ompromisso-e-atitude</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rPr>
        <w:t>33 http://www.spm.gov.br/noticias/ultimas_noticias/2014/06/02-06-2013-conselho-federal-da-oab-adere-a-campanhacompromisso-</w:t>
      </w:r>
      <w:r w:rsidRPr="002B00E5">
        <w:rPr>
          <w:rFonts w:ascii="Garamond" w:hAnsi="Garamond" w:cs="Arial"/>
          <w:sz w:val="20"/>
          <w:szCs w:val="20"/>
          <w:lang w:val="pt-BR"/>
        </w:rPr>
        <w:t>e-atitude-pela-lei-maria-da-penha</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34http://www.spm.gov.br/noticias/ultimas_noticias/2014/06/04-06-senado-adere-a-campanha-</w:t>
      </w:r>
      <w:r w:rsidR="000350B1" w:rsidRPr="002B00E5">
        <w:rPr>
          <w:rFonts w:ascii="Garamond" w:hAnsi="Garamond" w:cs="Arial"/>
          <w:sz w:val="20"/>
          <w:szCs w:val="20"/>
          <w:lang w:val="pt-BR"/>
        </w:rPr>
        <w:t>violência</w:t>
      </w:r>
      <w:r w:rsidRPr="002B00E5">
        <w:rPr>
          <w:rFonts w:ascii="Garamond" w:hAnsi="Garamond" w:cs="Arial"/>
          <w:sz w:val="20"/>
          <w:szCs w:val="20"/>
          <w:lang w:val="pt-BR"/>
        </w:rPr>
        <w:t>-contra-asmulheres-2013-eu-ligo</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35http://www.spm.gov.br/noticias/ultimas_noticias/2014/06/11-06-camara-municipal-do-rio-de-janeiro-adere-acampanha-</w:t>
      </w:r>
      <w:r w:rsidR="000350B1" w:rsidRPr="002B00E5">
        <w:rPr>
          <w:rFonts w:ascii="Garamond" w:hAnsi="Garamond" w:cs="Arial"/>
          <w:sz w:val="20"/>
          <w:szCs w:val="20"/>
          <w:lang w:val="pt-BR"/>
        </w:rPr>
        <w:t>violência</w:t>
      </w:r>
      <w:r w:rsidRPr="002B00E5">
        <w:rPr>
          <w:rFonts w:ascii="Garamond" w:hAnsi="Garamond" w:cs="Arial"/>
          <w:sz w:val="20"/>
          <w:szCs w:val="20"/>
          <w:lang w:val="pt-BR"/>
        </w:rPr>
        <w:t>-contra-as-mulheres-2013-eu-ligo</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36http://www.spm.gov.br/noticias/ultimas_noticias/2014/02/14-02-2013-associacao-dos-magistrados-brasileirosampliara-parceria-com-a-spm</w:t>
      </w:r>
    </w:p>
    <w:p w:rsidR="004C140F" w:rsidRPr="002B00E5" w:rsidRDefault="004C140F" w:rsidP="008719D4">
      <w:pPr>
        <w:autoSpaceDE w:val="0"/>
        <w:autoSpaceDN w:val="0"/>
        <w:adjustRightInd w:val="0"/>
        <w:spacing w:after="0" w:line="240" w:lineRule="auto"/>
        <w:jc w:val="both"/>
        <w:rPr>
          <w:rFonts w:ascii="Garamond" w:hAnsi="Garamond" w:cs="Arial"/>
          <w:sz w:val="20"/>
          <w:szCs w:val="20"/>
          <w:lang w:val="pt-BR"/>
        </w:rPr>
      </w:pPr>
      <w:r w:rsidRPr="002B00E5">
        <w:rPr>
          <w:rFonts w:ascii="Garamond" w:hAnsi="Garamond" w:cs="Arial"/>
          <w:sz w:val="20"/>
          <w:szCs w:val="20"/>
          <w:lang w:val="pt-BR"/>
        </w:rPr>
        <w:t>37 http://www.compromissoeatitude.org.br/ligue-180-agora-e-disque-balanco-anual-mostra-que-subiu-para-70-percentual-de-</w:t>
      </w:r>
      <w:r w:rsidR="008278C4" w:rsidRPr="002B00E5">
        <w:rPr>
          <w:rFonts w:ascii="Garamond" w:hAnsi="Garamond" w:cs="Arial"/>
          <w:sz w:val="20"/>
          <w:szCs w:val="20"/>
          <w:lang w:val="pt-BR"/>
        </w:rPr>
        <w:t>município</w:t>
      </w:r>
      <w:r w:rsidRPr="002B00E5">
        <w:rPr>
          <w:rFonts w:ascii="Garamond" w:hAnsi="Garamond" w:cs="Arial"/>
          <w:sz w:val="20"/>
          <w:szCs w:val="20"/>
          <w:lang w:val="pt-BR"/>
        </w:rPr>
        <w:t>s-atendidos-spm-pr-24042014/</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C7575A" w:rsidRDefault="0014724F" w:rsidP="008719D4">
      <w:pPr>
        <w:autoSpaceDE w:val="0"/>
        <w:autoSpaceDN w:val="0"/>
        <w:adjustRightInd w:val="0"/>
        <w:spacing w:after="0" w:line="240" w:lineRule="auto"/>
        <w:jc w:val="both"/>
        <w:rPr>
          <w:rFonts w:ascii="Garamond" w:hAnsi="Garamond" w:cs="Arial"/>
          <w:b/>
          <w:bCs/>
          <w:sz w:val="24"/>
          <w:szCs w:val="24"/>
        </w:rPr>
      </w:pPr>
      <w:r w:rsidRPr="00C7575A">
        <w:rPr>
          <w:rFonts w:ascii="Garamond" w:hAnsi="Garamond" w:cs="Arial"/>
          <w:b/>
          <w:bCs/>
          <w:sz w:val="24"/>
          <w:szCs w:val="24"/>
        </w:rPr>
        <w:t xml:space="preserve">10. Houve aumento ou diminuição no orçamento do Estado para o </w:t>
      </w:r>
      <w:r w:rsidR="002D1021" w:rsidRPr="00C7575A">
        <w:rPr>
          <w:rFonts w:ascii="Garamond" w:hAnsi="Garamond" w:cs="Arial"/>
          <w:b/>
          <w:bCs/>
          <w:sz w:val="24"/>
          <w:szCs w:val="24"/>
        </w:rPr>
        <w:t>estabelecimento</w:t>
      </w:r>
      <w:r w:rsidR="004C140F" w:rsidRPr="00C7575A">
        <w:rPr>
          <w:rFonts w:ascii="Garamond" w:hAnsi="Garamond" w:cs="Arial"/>
          <w:b/>
          <w:bCs/>
          <w:sz w:val="24"/>
          <w:szCs w:val="24"/>
        </w:rPr>
        <w:t xml:space="preserve"> de políticas públicas que </w:t>
      </w:r>
      <w:r w:rsidR="00D75A07" w:rsidRPr="00C7575A">
        <w:rPr>
          <w:rFonts w:ascii="Garamond" w:hAnsi="Garamond" w:cs="Arial"/>
          <w:b/>
          <w:bCs/>
          <w:sz w:val="24"/>
          <w:szCs w:val="24"/>
        </w:rPr>
        <w:t>contribuam</w:t>
      </w:r>
      <w:r w:rsidR="004C140F" w:rsidRPr="00C7575A">
        <w:rPr>
          <w:rFonts w:ascii="Garamond" w:hAnsi="Garamond" w:cs="Arial"/>
          <w:b/>
          <w:bCs/>
          <w:sz w:val="24"/>
          <w:szCs w:val="24"/>
        </w:rPr>
        <w:t xml:space="preserve"> </w:t>
      </w:r>
      <w:r w:rsidRPr="00C7575A">
        <w:rPr>
          <w:rFonts w:ascii="Garamond" w:hAnsi="Garamond" w:cs="Arial"/>
          <w:b/>
          <w:bCs/>
          <w:sz w:val="24"/>
          <w:szCs w:val="24"/>
        </w:rPr>
        <w:t>par</w:t>
      </w:r>
      <w:r w:rsidR="004C140F" w:rsidRPr="00C7575A">
        <w:rPr>
          <w:rFonts w:ascii="Garamond" w:hAnsi="Garamond" w:cs="Arial"/>
          <w:b/>
          <w:bCs/>
          <w:sz w:val="24"/>
          <w:szCs w:val="24"/>
        </w:rPr>
        <w:t xml:space="preserve">a </w:t>
      </w:r>
      <w:r w:rsidR="00AF192F" w:rsidRPr="00C7575A">
        <w:rPr>
          <w:rFonts w:ascii="Garamond" w:hAnsi="Garamond" w:cs="Arial"/>
          <w:b/>
          <w:bCs/>
          <w:sz w:val="24"/>
          <w:szCs w:val="24"/>
        </w:rPr>
        <w:t>garantir</w:t>
      </w:r>
      <w:r w:rsidR="004C140F" w:rsidRPr="00C7575A">
        <w:rPr>
          <w:rFonts w:ascii="Garamond" w:hAnsi="Garamond" w:cs="Arial"/>
          <w:b/>
          <w:bCs/>
          <w:sz w:val="24"/>
          <w:szCs w:val="24"/>
        </w:rPr>
        <w:t xml:space="preserve"> </w:t>
      </w:r>
      <w:r w:rsidRPr="00C7575A">
        <w:rPr>
          <w:rFonts w:ascii="Garamond" w:hAnsi="Garamond" w:cs="Arial"/>
          <w:b/>
          <w:bCs/>
          <w:sz w:val="24"/>
          <w:szCs w:val="24"/>
        </w:rPr>
        <w:t xml:space="preserve">o </w:t>
      </w:r>
      <w:r w:rsidR="00886D6A" w:rsidRPr="00C7575A">
        <w:rPr>
          <w:rFonts w:ascii="Garamond" w:hAnsi="Garamond" w:cs="Arial"/>
          <w:b/>
          <w:bCs/>
          <w:sz w:val="24"/>
          <w:szCs w:val="24"/>
        </w:rPr>
        <w:t>acesso</w:t>
      </w:r>
      <w:r w:rsidR="004C140F" w:rsidRPr="00C7575A">
        <w:rPr>
          <w:rFonts w:ascii="Garamond" w:hAnsi="Garamond" w:cs="Arial"/>
          <w:b/>
          <w:bCs/>
          <w:sz w:val="24"/>
          <w:szCs w:val="24"/>
        </w:rPr>
        <w:t xml:space="preserve"> </w:t>
      </w:r>
      <w:r w:rsidR="00BB2B00" w:rsidRPr="00C7575A">
        <w:rPr>
          <w:rFonts w:ascii="Garamond" w:hAnsi="Garamond" w:cs="Arial"/>
          <w:b/>
          <w:bCs/>
          <w:sz w:val="24"/>
          <w:szCs w:val="24"/>
        </w:rPr>
        <w:t>à</w:t>
      </w:r>
      <w:r w:rsidR="004C140F" w:rsidRPr="00C7575A">
        <w:rPr>
          <w:rFonts w:ascii="Garamond" w:hAnsi="Garamond" w:cs="Arial"/>
          <w:b/>
          <w:bCs/>
          <w:sz w:val="24"/>
          <w:szCs w:val="24"/>
        </w:rPr>
        <w:t xml:space="preserve"> </w:t>
      </w:r>
      <w:r w:rsidR="00FC1F7F" w:rsidRPr="00C7575A">
        <w:rPr>
          <w:rFonts w:ascii="Garamond" w:hAnsi="Garamond" w:cs="Arial"/>
          <w:b/>
          <w:bCs/>
          <w:sz w:val="24"/>
          <w:szCs w:val="24"/>
        </w:rPr>
        <w:t>justiça</w:t>
      </w:r>
      <w:r w:rsidR="004C140F" w:rsidRPr="00C7575A">
        <w:rPr>
          <w:rFonts w:ascii="Garamond" w:hAnsi="Garamond" w:cs="Arial"/>
          <w:b/>
          <w:bCs/>
          <w:sz w:val="24"/>
          <w:szCs w:val="24"/>
        </w:rPr>
        <w:t xml:space="preserve"> </w:t>
      </w:r>
      <w:r w:rsidR="00497503" w:rsidRPr="00C7575A">
        <w:rPr>
          <w:rFonts w:ascii="Garamond" w:hAnsi="Garamond" w:cs="Arial"/>
          <w:b/>
          <w:bCs/>
          <w:sz w:val="24"/>
          <w:szCs w:val="24"/>
        </w:rPr>
        <w:t>das</w:t>
      </w:r>
      <w:r w:rsidR="004C140F" w:rsidRPr="00C7575A">
        <w:rPr>
          <w:rFonts w:ascii="Garamond" w:hAnsi="Garamond" w:cs="Arial"/>
          <w:b/>
          <w:bCs/>
          <w:sz w:val="24"/>
          <w:szCs w:val="24"/>
        </w:rPr>
        <w:t xml:space="preserve"> </w:t>
      </w:r>
      <w:r w:rsidR="00054EE0" w:rsidRPr="00C7575A">
        <w:rPr>
          <w:rFonts w:ascii="Garamond" w:hAnsi="Garamond" w:cs="Arial"/>
          <w:b/>
          <w:bCs/>
          <w:sz w:val="24"/>
          <w:szCs w:val="24"/>
        </w:rPr>
        <w:t>mulheres</w:t>
      </w:r>
      <w:r w:rsidR="004C140F" w:rsidRPr="00C7575A">
        <w:rPr>
          <w:rFonts w:ascii="Garamond" w:hAnsi="Garamond" w:cs="Arial"/>
          <w:b/>
          <w:bCs/>
          <w:sz w:val="24"/>
          <w:szCs w:val="24"/>
        </w:rPr>
        <w:t xml:space="preserve"> </w:t>
      </w:r>
      <w:r w:rsidR="003F012B" w:rsidRPr="00C7575A">
        <w:rPr>
          <w:rFonts w:ascii="Garamond" w:hAnsi="Garamond" w:cs="Arial"/>
          <w:b/>
          <w:bCs/>
          <w:sz w:val="24"/>
          <w:szCs w:val="24"/>
        </w:rPr>
        <w:t>vítima</w:t>
      </w:r>
      <w:r w:rsidR="004C140F" w:rsidRPr="00C7575A">
        <w:rPr>
          <w:rFonts w:ascii="Garamond" w:hAnsi="Garamond" w:cs="Arial"/>
          <w:b/>
          <w:bCs/>
          <w:sz w:val="24"/>
          <w:szCs w:val="24"/>
        </w:rPr>
        <w:t xml:space="preserve">s de </w:t>
      </w:r>
      <w:r w:rsidR="000350B1" w:rsidRPr="00C7575A">
        <w:rPr>
          <w:rFonts w:ascii="Garamond" w:hAnsi="Garamond" w:cs="Arial"/>
          <w:b/>
          <w:bCs/>
          <w:sz w:val="24"/>
          <w:szCs w:val="24"/>
        </w:rPr>
        <w:t>violência</w:t>
      </w:r>
      <w:r w:rsidR="004C140F" w:rsidRPr="00C7575A">
        <w:rPr>
          <w:rFonts w:ascii="Garamond" w:hAnsi="Garamond" w:cs="Arial"/>
          <w:b/>
          <w:bCs/>
          <w:sz w:val="24"/>
          <w:szCs w:val="24"/>
        </w:rPr>
        <w:t>?</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Não foi possível obter informações com segurança e atualidade de dados, até </w:t>
      </w:r>
      <w:r w:rsidR="00C7575A">
        <w:rPr>
          <w:rFonts w:ascii="Garamond" w:hAnsi="Garamond" w:cs="Arial"/>
          <w:sz w:val="24"/>
          <w:szCs w:val="24"/>
          <w:lang w:val="pt-BR"/>
        </w:rPr>
        <w:t>a</w:t>
      </w:r>
      <w:r w:rsidRPr="003A1174">
        <w:rPr>
          <w:rFonts w:ascii="Garamond" w:hAnsi="Garamond" w:cs="Arial"/>
          <w:sz w:val="24"/>
          <w:szCs w:val="24"/>
          <w:lang w:val="pt-BR"/>
        </w:rPr>
        <w:t>o momento, sobre avaliações a respeito d</w:t>
      </w:r>
      <w:r w:rsidR="0014724F" w:rsidRPr="003A1174">
        <w:rPr>
          <w:rFonts w:ascii="Garamond" w:hAnsi="Garamond" w:cs="Arial"/>
          <w:sz w:val="24"/>
          <w:szCs w:val="24"/>
          <w:lang w:val="pt-BR"/>
        </w:rPr>
        <w:t>o</w:t>
      </w:r>
      <w:r w:rsidRPr="003A1174">
        <w:rPr>
          <w:rFonts w:ascii="Garamond" w:hAnsi="Garamond" w:cs="Arial"/>
          <w:sz w:val="24"/>
          <w:szCs w:val="24"/>
          <w:lang w:val="pt-BR"/>
        </w:rPr>
        <w:t xml:space="preserve"> aumento ou diminuição de orçamentos, no período em </w:t>
      </w:r>
      <w:r w:rsidR="00586850" w:rsidRPr="003A1174">
        <w:rPr>
          <w:rFonts w:ascii="Garamond" w:hAnsi="Garamond" w:cs="Arial"/>
          <w:sz w:val="24"/>
          <w:szCs w:val="24"/>
          <w:lang w:val="pt-BR"/>
        </w:rPr>
        <w:t>questão</w:t>
      </w:r>
      <w:r w:rsidRPr="003A1174">
        <w:rPr>
          <w:rFonts w:ascii="Garamond" w:hAnsi="Garamond" w:cs="Arial"/>
          <w:sz w:val="24"/>
          <w:szCs w:val="24"/>
          <w:lang w:val="pt-BR"/>
        </w:rPr>
        <w:t xml:space="preserve">. </w:t>
      </w:r>
      <w:r w:rsidR="0014724F" w:rsidRPr="003A1174">
        <w:rPr>
          <w:rFonts w:ascii="Garamond" w:hAnsi="Garamond" w:cs="Arial"/>
          <w:sz w:val="24"/>
          <w:szCs w:val="24"/>
          <w:lang w:val="pt-BR"/>
        </w:rPr>
        <w:t xml:space="preserve">Assim que forem </w:t>
      </w:r>
      <w:r w:rsidRPr="003A1174">
        <w:rPr>
          <w:rFonts w:ascii="Garamond" w:hAnsi="Garamond" w:cs="Arial"/>
          <w:sz w:val="24"/>
          <w:szCs w:val="24"/>
          <w:lang w:val="pt-BR"/>
        </w:rPr>
        <w:t>obtidas, serão enviadas.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183749" w:rsidRDefault="004C140F" w:rsidP="008719D4">
      <w:pPr>
        <w:autoSpaceDE w:val="0"/>
        <w:autoSpaceDN w:val="0"/>
        <w:adjustRightInd w:val="0"/>
        <w:spacing w:after="0" w:line="240" w:lineRule="auto"/>
        <w:jc w:val="both"/>
        <w:rPr>
          <w:rFonts w:ascii="Garamond" w:hAnsi="Garamond" w:cs="Arial"/>
          <w:b/>
          <w:bCs/>
          <w:sz w:val="24"/>
          <w:szCs w:val="24"/>
        </w:rPr>
      </w:pPr>
      <w:r w:rsidRPr="00183749">
        <w:rPr>
          <w:rFonts w:ascii="Garamond" w:hAnsi="Garamond" w:cs="Arial"/>
          <w:b/>
          <w:bCs/>
          <w:sz w:val="24"/>
          <w:szCs w:val="24"/>
          <w:lang w:val="pt-BR"/>
        </w:rPr>
        <w:t xml:space="preserve">11. </w:t>
      </w:r>
      <w:r w:rsidR="001F2F8B" w:rsidRPr="00183749">
        <w:rPr>
          <w:rFonts w:ascii="Garamond" w:hAnsi="Garamond" w:cs="Arial"/>
          <w:b/>
          <w:bCs/>
          <w:sz w:val="24"/>
          <w:szCs w:val="24"/>
          <w:lang w:val="pt-BR"/>
        </w:rPr>
        <w:t>Re</w:t>
      </w:r>
      <w:r w:rsidR="0014724F" w:rsidRPr="00183749">
        <w:rPr>
          <w:rFonts w:ascii="Garamond" w:hAnsi="Garamond" w:cs="Arial"/>
          <w:b/>
          <w:bCs/>
          <w:sz w:val="24"/>
          <w:szCs w:val="24"/>
          <w:lang w:val="pt-BR"/>
        </w:rPr>
        <w:t xml:space="preserve">lativamente </w:t>
      </w:r>
      <w:r w:rsidR="00BB2B00" w:rsidRPr="00183749">
        <w:rPr>
          <w:rFonts w:ascii="Garamond" w:hAnsi="Garamond" w:cs="Arial"/>
          <w:b/>
          <w:bCs/>
          <w:sz w:val="24"/>
          <w:szCs w:val="24"/>
          <w:lang w:val="pt-BR"/>
        </w:rPr>
        <w:t>à</w:t>
      </w:r>
      <w:r w:rsidRPr="00183749">
        <w:rPr>
          <w:rFonts w:ascii="Garamond" w:hAnsi="Garamond" w:cs="Arial"/>
          <w:b/>
          <w:bCs/>
          <w:sz w:val="24"/>
          <w:szCs w:val="24"/>
          <w:lang w:val="pt-BR"/>
        </w:rPr>
        <w:t xml:space="preserve"> </w:t>
      </w:r>
      <w:r w:rsidR="009859FC" w:rsidRPr="00183749">
        <w:rPr>
          <w:rFonts w:ascii="Garamond" w:hAnsi="Garamond" w:cs="Arial"/>
          <w:b/>
          <w:bCs/>
          <w:sz w:val="24"/>
          <w:szCs w:val="24"/>
          <w:lang w:val="pt-BR"/>
        </w:rPr>
        <w:t>atuação</w:t>
      </w:r>
      <w:r w:rsidRPr="00183749">
        <w:rPr>
          <w:rFonts w:ascii="Garamond" w:hAnsi="Garamond" w:cs="Arial"/>
          <w:b/>
          <w:bCs/>
          <w:sz w:val="24"/>
          <w:szCs w:val="24"/>
          <w:lang w:val="pt-BR"/>
        </w:rPr>
        <w:t xml:space="preserve"> da </w:t>
      </w:r>
      <w:r w:rsidR="00C04CA4" w:rsidRPr="00183749">
        <w:rPr>
          <w:rFonts w:ascii="Garamond" w:hAnsi="Garamond" w:cs="Arial"/>
          <w:b/>
          <w:bCs/>
          <w:sz w:val="24"/>
          <w:szCs w:val="24"/>
          <w:lang w:val="pt-BR"/>
        </w:rPr>
        <w:t>Provedoria de Justiça</w:t>
      </w:r>
      <w:r w:rsidRPr="00183749">
        <w:rPr>
          <w:rFonts w:ascii="Garamond" w:hAnsi="Garamond" w:cs="Arial"/>
          <w:b/>
          <w:bCs/>
          <w:sz w:val="24"/>
          <w:szCs w:val="24"/>
          <w:lang w:val="pt-BR"/>
        </w:rPr>
        <w:t xml:space="preserve">: a) </w:t>
      </w:r>
      <w:r w:rsidR="0014724F" w:rsidRPr="00183749">
        <w:rPr>
          <w:rFonts w:ascii="Garamond" w:hAnsi="Garamond" w:cs="Arial"/>
          <w:b/>
          <w:bCs/>
          <w:sz w:val="24"/>
          <w:szCs w:val="24"/>
          <w:lang w:val="pt-BR"/>
        </w:rPr>
        <w:t>E</w:t>
      </w:r>
      <w:r w:rsidRPr="00183749">
        <w:rPr>
          <w:rFonts w:ascii="Garamond" w:hAnsi="Garamond" w:cs="Arial"/>
          <w:b/>
          <w:bCs/>
          <w:sz w:val="24"/>
          <w:szCs w:val="24"/>
          <w:lang w:val="pt-BR"/>
        </w:rPr>
        <w:t>labor</w:t>
      </w:r>
      <w:r w:rsidR="0014724F" w:rsidRPr="00183749">
        <w:rPr>
          <w:rFonts w:ascii="Garamond" w:hAnsi="Garamond" w:cs="Arial"/>
          <w:b/>
          <w:bCs/>
          <w:sz w:val="24"/>
          <w:szCs w:val="24"/>
          <w:lang w:val="pt-BR"/>
        </w:rPr>
        <w:t xml:space="preserve">ou-se </w:t>
      </w:r>
      <w:r w:rsidR="007A2492" w:rsidRPr="00183749">
        <w:rPr>
          <w:rFonts w:ascii="Garamond" w:hAnsi="Garamond" w:cs="Arial"/>
          <w:b/>
          <w:bCs/>
          <w:sz w:val="24"/>
          <w:szCs w:val="24"/>
          <w:lang w:val="pt-BR"/>
        </w:rPr>
        <w:t>algum</w:t>
      </w:r>
      <w:r w:rsidRPr="00183749">
        <w:rPr>
          <w:rFonts w:ascii="Garamond" w:hAnsi="Garamond" w:cs="Arial"/>
          <w:b/>
          <w:bCs/>
          <w:sz w:val="24"/>
          <w:szCs w:val="24"/>
          <w:lang w:val="pt-BR"/>
        </w:rPr>
        <w:t xml:space="preserve"> </w:t>
      </w:r>
      <w:r w:rsidR="009E3E55" w:rsidRPr="00183749">
        <w:rPr>
          <w:rFonts w:ascii="Garamond" w:hAnsi="Garamond" w:cs="Arial"/>
          <w:b/>
          <w:bCs/>
          <w:sz w:val="24"/>
          <w:szCs w:val="24"/>
          <w:lang w:val="pt-BR"/>
        </w:rPr>
        <w:t>relatório</w:t>
      </w:r>
      <w:r w:rsidRPr="00183749">
        <w:rPr>
          <w:rFonts w:ascii="Garamond" w:hAnsi="Garamond" w:cs="Arial"/>
          <w:b/>
          <w:bCs/>
          <w:sz w:val="24"/>
          <w:szCs w:val="24"/>
          <w:lang w:val="pt-BR"/>
        </w:rPr>
        <w:t>, documento o</w:t>
      </w:r>
      <w:r w:rsidR="0014724F" w:rsidRPr="00183749">
        <w:rPr>
          <w:rFonts w:ascii="Garamond" w:hAnsi="Garamond" w:cs="Arial"/>
          <w:b/>
          <w:bCs/>
          <w:sz w:val="24"/>
          <w:szCs w:val="24"/>
          <w:lang w:val="pt-BR"/>
        </w:rPr>
        <w:t xml:space="preserve">u pronúncia </w:t>
      </w:r>
      <w:r w:rsidRPr="00183749">
        <w:rPr>
          <w:rFonts w:ascii="Garamond" w:hAnsi="Garamond" w:cs="Arial"/>
          <w:b/>
          <w:bCs/>
          <w:sz w:val="24"/>
          <w:szCs w:val="24"/>
          <w:lang w:val="pt-BR"/>
        </w:rPr>
        <w:t xml:space="preserve">sobre </w:t>
      </w:r>
      <w:r w:rsidR="0014724F" w:rsidRPr="00183749">
        <w:rPr>
          <w:rFonts w:ascii="Garamond" w:hAnsi="Garamond" w:cs="Arial"/>
          <w:b/>
          <w:bCs/>
          <w:sz w:val="24"/>
          <w:szCs w:val="24"/>
          <w:lang w:val="pt-BR"/>
        </w:rPr>
        <w:t xml:space="preserve">o </w:t>
      </w:r>
      <w:r w:rsidRPr="00183749">
        <w:rPr>
          <w:rFonts w:ascii="Garamond" w:hAnsi="Garamond" w:cs="Arial"/>
          <w:b/>
          <w:bCs/>
          <w:sz w:val="24"/>
          <w:szCs w:val="24"/>
          <w:lang w:val="pt-BR"/>
        </w:rPr>
        <w:t xml:space="preserve">tema?; b) </w:t>
      </w:r>
      <w:r w:rsidR="0014724F" w:rsidRPr="00183749">
        <w:rPr>
          <w:rFonts w:ascii="Garamond" w:hAnsi="Garamond" w:cs="Arial"/>
          <w:b/>
          <w:bCs/>
          <w:sz w:val="24"/>
          <w:szCs w:val="24"/>
          <w:lang w:val="pt-BR"/>
        </w:rPr>
        <w:t>Houve n</w:t>
      </w:r>
      <w:r w:rsidRPr="00183749">
        <w:rPr>
          <w:rFonts w:ascii="Garamond" w:hAnsi="Garamond" w:cs="Arial"/>
          <w:b/>
          <w:bCs/>
          <w:sz w:val="24"/>
          <w:szCs w:val="24"/>
          <w:lang w:val="pt-BR"/>
        </w:rPr>
        <w:t xml:space="preserve">este período </w:t>
      </w:r>
      <w:r w:rsidR="006C760C" w:rsidRPr="00183749">
        <w:rPr>
          <w:rFonts w:ascii="Garamond" w:hAnsi="Garamond" w:cs="Arial"/>
          <w:b/>
          <w:bCs/>
          <w:sz w:val="24"/>
          <w:szCs w:val="24"/>
          <w:lang w:val="pt-BR"/>
        </w:rPr>
        <w:t>implementação</w:t>
      </w:r>
      <w:r w:rsidRPr="00183749">
        <w:rPr>
          <w:rFonts w:ascii="Garamond" w:hAnsi="Garamond" w:cs="Arial"/>
          <w:b/>
          <w:bCs/>
          <w:sz w:val="24"/>
          <w:szCs w:val="24"/>
          <w:lang w:val="pt-BR"/>
        </w:rPr>
        <w:t xml:space="preserve"> de </w:t>
      </w:r>
      <w:r w:rsidR="00661ADB" w:rsidRPr="00183749">
        <w:rPr>
          <w:rFonts w:ascii="Garamond" w:hAnsi="Garamond" w:cs="Arial"/>
          <w:b/>
          <w:bCs/>
          <w:sz w:val="24"/>
          <w:szCs w:val="24"/>
          <w:lang w:val="pt-BR"/>
        </w:rPr>
        <w:t>boas</w:t>
      </w:r>
      <w:r w:rsidRPr="00183749">
        <w:rPr>
          <w:rFonts w:ascii="Garamond" w:hAnsi="Garamond" w:cs="Arial"/>
          <w:b/>
          <w:bCs/>
          <w:sz w:val="24"/>
          <w:szCs w:val="24"/>
          <w:lang w:val="pt-BR"/>
        </w:rPr>
        <w:t xml:space="preserve"> </w:t>
      </w:r>
      <w:r w:rsidR="00661ADB" w:rsidRPr="00183749">
        <w:rPr>
          <w:rFonts w:ascii="Garamond" w:hAnsi="Garamond" w:cs="Arial"/>
          <w:b/>
          <w:bCs/>
          <w:sz w:val="24"/>
          <w:szCs w:val="24"/>
          <w:lang w:val="pt-BR"/>
        </w:rPr>
        <w:t>prática</w:t>
      </w:r>
      <w:r w:rsidRPr="00183749">
        <w:rPr>
          <w:rFonts w:ascii="Garamond" w:hAnsi="Garamond" w:cs="Arial"/>
          <w:b/>
          <w:bCs/>
          <w:sz w:val="24"/>
          <w:szCs w:val="24"/>
          <w:lang w:val="pt-BR"/>
        </w:rPr>
        <w:t>s defens</w:t>
      </w:r>
      <w:r w:rsidR="0014724F" w:rsidRPr="00183749">
        <w:rPr>
          <w:rFonts w:ascii="Garamond" w:hAnsi="Garamond" w:cs="Arial"/>
          <w:b/>
          <w:bCs/>
          <w:sz w:val="24"/>
          <w:szCs w:val="24"/>
          <w:lang w:val="pt-BR"/>
        </w:rPr>
        <w:t>órias n</w:t>
      </w:r>
      <w:r w:rsidRPr="00183749">
        <w:rPr>
          <w:rFonts w:ascii="Garamond" w:hAnsi="Garamond" w:cs="Arial"/>
          <w:b/>
          <w:bCs/>
          <w:sz w:val="24"/>
          <w:szCs w:val="24"/>
          <w:lang w:val="pt-BR"/>
        </w:rPr>
        <w:t xml:space="preserve">esta </w:t>
      </w:r>
      <w:r w:rsidR="00EF645F" w:rsidRPr="00183749">
        <w:rPr>
          <w:rFonts w:ascii="Garamond" w:hAnsi="Garamond" w:cs="Arial"/>
          <w:b/>
          <w:bCs/>
          <w:sz w:val="24"/>
          <w:szCs w:val="24"/>
          <w:lang w:val="pt-BR"/>
        </w:rPr>
        <w:t>matéria</w:t>
      </w:r>
      <w:r w:rsidRPr="00183749">
        <w:rPr>
          <w:rFonts w:ascii="Garamond" w:hAnsi="Garamond" w:cs="Arial"/>
          <w:b/>
          <w:bCs/>
          <w:sz w:val="24"/>
          <w:szCs w:val="24"/>
          <w:lang w:val="pt-BR"/>
        </w:rPr>
        <w:t xml:space="preserve">? </w:t>
      </w:r>
      <w:r w:rsidRPr="00183749">
        <w:rPr>
          <w:rFonts w:ascii="Garamond" w:hAnsi="Garamond" w:cs="Arial"/>
          <w:b/>
          <w:bCs/>
          <w:sz w:val="24"/>
          <w:szCs w:val="24"/>
        </w:rPr>
        <w:t>(</w:t>
      </w:r>
      <w:r w:rsidR="002F5CD1" w:rsidRPr="00183749">
        <w:rPr>
          <w:rFonts w:ascii="Garamond" w:hAnsi="Garamond" w:cs="Arial"/>
          <w:b/>
          <w:bCs/>
          <w:sz w:val="24"/>
          <w:szCs w:val="24"/>
        </w:rPr>
        <w:t>exemplo</w:t>
      </w:r>
      <w:r w:rsidRPr="00183749">
        <w:rPr>
          <w:rFonts w:ascii="Garamond" w:hAnsi="Garamond" w:cs="Arial"/>
          <w:b/>
          <w:bCs/>
          <w:sz w:val="24"/>
          <w:szCs w:val="24"/>
        </w:rPr>
        <w:t>s).</w:t>
      </w:r>
    </w:p>
    <w:p w:rsidR="004C140F" w:rsidRPr="003A1174" w:rsidRDefault="004C140F" w:rsidP="008719D4">
      <w:pPr>
        <w:autoSpaceDE w:val="0"/>
        <w:autoSpaceDN w:val="0"/>
        <w:adjustRightInd w:val="0"/>
        <w:spacing w:after="0" w:line="240" w:lineRule="auto"/>
        <w:jc w:val="both"/>
        <w:rPr>
          <w:rFonts w:ascii="Garamond" w:hAnsi="Garamond" w:cs="Arial"/>
          <w:bCs/>
          <w:sz w:val="24"/>
          <w:szCs w:val="24"/>
        </w:rPr>
      </w:pPr>
    </w:p>
    <w:p w:rsidR="004C140F" w:rsidRPr="00183749" w:rsidRDefault="004C140F" w:rsidP="008719D4">
      <w:pPr>
        <w:autoSpaceDE w:val="0"/>
        <w:autoSpaceDN w:val="0"/>
        <w:adjustRightInd w:val="0"/>
        <w:spacing w:after="0" w:line="240" w:lineRule="auto"/>
        <w:jc w:val="both"/>
        <w:rPr>
          <w:rFonts w:ascii="Garamond" w:hAnsi="Garamond" w:cs="Arial"/>
          <w:b/>
          <w:i/>
          <w:sz w:val="24"/>
          <w:szCs w:val="24"/>
        </w:rPr>
      </w:pPr>
      <w:r w:rsidRPr="00183749">
        <w:rPr>
          <w:rFonts w:ascii="Garamond" w:hAnsi="Garamond" w:cs="Arial"/>
          <w:b/>
          <w:i/>
          <w:sz w:val="24"/>
          <w:szCs w:val="24"/>
        </w:rPr>
        <w:t xml:space="preserve">1- </w:t>
      </w:r>
      <w:r w:rsidR="009E3E55" w:rsidRPr="00183749">
        <w:rPr>
          <w:rFonts w:ascii="Garamond" w:hAnsi="Garamond" w:cs="Arial"/>
          <w:b/>
          <w:i/>
          <w:sz w:val="24"/>
          <w:szCs w:val="24"/>
        </w:rPr>
        <w:t>Relatório</w:t>
      </w:r>
      <w:r w:rsidRPr="00183749">
        <w:rPr>
          <w:rFonts w:ascii="Garamond" w:hAnsi="Garamond" w:cs="Arial"/>
          <w:b/>
          <w:i/>
          <w:sz w:val="24"/>
          <w:szCs w:val="24"/>
        </w:rPr>
        <w:t>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 PFDC apresentou </w:t>
      </w:r>
      <w:r w:rsidR="00C7575A">
        <w:rPr>
          <w:rFonts w:ascii="Garamond" w:hAnsi="Garamond" w:cs="Arial"/>
          <w:sz w:val="24"/>
          <w:szCs w:val="24"/>
          <w:lang w:val="pt-BR"/>
        </w:rPr>
        <w:t xml:space="preserve">um </w:t>
      </w:r>
      <w:r w:rsidR="009E3E55" w:rsidRPr="003A1174">
        <w:rPr>
          <w:rFonts w:ascii="Garamond" w:hAnsi="Garamond" w:cs="Arial"/>
          <w:sz w:val="24"/>
          <w:szCs w:val="24"/>
          <w:lang w:val="pt-BR"/>
        </w:rPr>
        <w:t>relatório</w:t>
      </w:r>
      <w:r w:rsidRPr="003A1174">
        <w:rPr>
          <w:rFonts w:ascii="Garamond" w:hAnsi="Garamond" w:cs="Arial"/>
          <w:sz w:val="24"/>
          <w:szCs w:val="24"/>
          <w:lang w:val="pt-BR"/>
        </w:rPr>
        <w:t xml:space="preserve"> no II Encontro Anual do Programa - </w:t>
      </w:r>
      <w:r w:rsidR="00C7575A">
        <w:rPr>
          <w:rFonts w:ascii="Garamond" w:hAnsi="Garamond" w:cs="Arial"/>
          <w:sz w:val="24"/>
          <w:szCs w:val="24"/>
          <w:lang w:val="pt-BR"/>
        </w:rPr>
        <w:t>«</w:t>
      </w:r>
      <w:r w:rsidRPr="003A1174">
        <w:rPr>
          <w:rFonts w:ascii="Garamond" w:hAnsi="Garamond" w:cs="Arial"/>
          <w:sz w:val="24"/>
          <w:szCs w:val="24"/>
          <w:lang w:val="pt-BR"/>
        </w:rPr>
        <w:t xml:space="preserve">Políticas públicas integrais para a erradicação da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o papel do setor justiça</w:t>
      </w:r>
      <w:r w:rsidR="00C7575A">
        <w:rPr>
          <w:rFonts w:ascii="Garamond" w:hAnsi="Garamond" w:cs="Arial"/>
          <w:sz w:val="24"/>
          <w:szCs w:val="24"/>
          <w:lang w:val="pt-BR"/>
        </w:rPr>
        <w:t>»</w:t>
      </w:r>
      <w:r w:rsidRPr="003A1174">
        <w:rPr>
          <w:rFonts w:ascii="Garamond" w:hAnsi="Garamond" w:cs="Arial"/>
          <w:sz w:val="24"/>
          <w:szCs w:val="24"/>
          <w:lang w:val="pt-BR"/>
        </w:rPr>
        <w:t xml:space="preserve">, em Antígua, Guatemala (7 a 10 de </w:t>
      </w:r>
      <w:r w:rsidR="00C7575A">
        <w:rPr>
          <w:rFonts w:ascii="Garamond" w:hAnsi="Garamond" w:cs="Arial"/>
          <w:sz w:val="24"/>
          <w:szCs w:val="24"/>
          <w:lang w:val="pt-BR"/>
        </w:rPr>
        <w:t>j</w:t>
      </w:r>
      <w:r w:rsidRPr="003A1174">
        <w:rPr>
          <w:rFonts w:ascii="Garamond" w:hAnsi="Garamond" w:cs="Arial"/>
          <w:sz w:val="24"/>
          <w:szCs w:val="24"/>
          <w:lang w:val="pt-BR"/>
        </w:rPr>
        <w:t xml:space="preserve">ulho, 2014), que será em breve disponibilizado </w:t>
      </w:r>
      <w:r w:rsidR="0014724F" w:rsidRPr="003A1174">
        <w:rPr>
          <w:rFonts w:ascii="Garamond" w:hAnsi="Garamond" w:cs="Arial"/>
          <w:sz w:val="24"/>
          <w:szCs w:val="24"/>
          <w:lang w:val="pt-BR"/>
        </w:rPr>
        <w:t>na sua página</w:t>
      </w:r>
      <w:r w:rsidR="0014724F" w:rsidRPr="003A1174">
        <w:rPr>
          <w:rFonts w:ascii="Garamond" w:hAnsi="Garamond" w:cs="Arial"/>
          <w:sz w:val="24"/>
          <w:szCs w:val="24"/>
        </w:rPr>
        <w:t xml:space="preserve"> eletró</w:t>
      </w:r>
      <w:r w:rsidRPr="003A1174">
        <w:rPr>
          <w:rFonts w:ascii="Garamond" w:hAnsi="Garamond" w:cs="Arial"/>
          <w:sz w:val="24"/>
          <w:szCs w:val="24"/>
        </w:rPr>
        <w:t>nica</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w:t>
      </w:r>
      <w:r w:rsidRPr="003A1174">
        <w:rPr>
          <w:rFonts w:ascii="Garamond" w:hAnsi="Garamond" w:cs="Arial"/>
          <w:sz w:val="24"/>
          <w:szCs w:val="24"/>
        </w:rPr>
        <w:t xml:space="preserve"> PFDC</w:t>
      </w:r>
      <w:r w:rsidRPr="003A1174">
        <w:rPr>
          <w:rFonts w:ascii="Garamond" w:hAnsi="Garamond" w:cs="Arial"/>
          <w:sz w:val="24"/>
          <w:szCs w:val="24"/>
          <w:lang w:val="pt-BR"/>
        </w:rPr>
        <w:t xml:space="preserve"> tem participado, ao lado de representantes de Ministérios Públicos Esta</w:t>
      </w:r>
      <w:r w:rsidR="0014724F" w:rsidRPr="003A1174">
        <w:rPr>
          <w:rFonts w:ascii="Garamond" w:hAnsi="Garamond" w:cs="Arial"/>
          <w:sz w:val="24"/>
          <w:szCs w:val="24"/>
          <w:lang w:val="pt-BR"/>
        </w:rPr>
        <w:t>t</w:t>
      </w:r>
      <w:r w:rsidRPr="003A1174">
        <w:rPr>
          <w:rFonts w:ascii="Garamond" w:hAnsi="Garamond" w:cs="Arial"/>
          <w:sz w:val="24"/>
          <w:szCs w:val="24"/>
          <w:lang w:val="pt-BR"/>
        </w:rPr>
        <w:t xml:space="preserve">ais que compõem a COPEVID38, da Secretaria de Políticas para as Mulheres e do Ministério da </w:t>
      </w:r>
      <w:r w:rsidRPr="003A1174">
        <w:rPr>
          <w:rFonts w:ascii="Garamond" w:hAnsi="Garamond" w:cs="Arial"/>
          <w:sz w:val="24"/>
          <w:szCs w:val="24"/>
          <w:lang w:val="pt-BR"/>
        </w:rPr>
        <w:lastRenderedPageBreak/>
        <w:t>Justiça em uma das ações da Cooperação Internacional do Programa</w:t>
      </w:r>
      <w:r w:rsidRPr="003A1174">
        <w:rPr>
          <w:rFonts w:ascii="Garamond" w:hAnsi="Garamond" w:cs="Arial"/>
          <w:sz w:val="24"/>
          <w:szCs w:val="24"/>
        </w:rPr>
        <w:t xml:space="preserve"> EUROsociAL</w:t>
      </w:r>
      <w:r w:rsidRPr="003A1174">
        <w:rPr>
          <w:rFonts w:ascii="Garamond" w:hAnsi="Garamond" w:cs="Arial"/>
          <w:sz w:val="24"/>
          <w:szCs w:val="24"/>
          <w:lang w:val="pt-BR"/>
        </w:rPr>
        <w:t xml:space="preserve"> II, a ação sobre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Trata-se de um programa de cooperação internacional </w:t>
      </w:r>
      <w:r w:rsidR="0014724F" w:rsidRPr="003A1174">
        <w:rPr>
          <w:rFonts w:ascii="Garamond" w:hAnsi="Garamond" w:cs="Arial"/>
          <w:sz w:val="24"/>
          <w:szCs w:val="24"/>
          <w:lang w:val="pt-BR"/>
        </w:rPr>
        <w:t xml:space="preserve">no </w:t>
      </w:r>
      <w:r w:rsidRPr="003A1174">
        <w:rPr>
          <w:rFonts w:ascii="Garamond" w:hAnsi="Garamond" w:cs="Arial"/>
          <w:sz w:val="24"/>
          <w:szCs w:val="24"/>
          <w:lang w:val="pt-BR"/>
        </w:rPr>
        <w:t xml:space="preserve">qual participam o Ministério Público Federal, </w:t>
      </w:r>
      <w:r w:rsidR="00C7575A">
        <w:rPr>
          <w:rFonts w:ascii="Garamond" w:hAnsi="Garamond" w:cs="Arial"/>
          <w:sz w:val="24"/>
          <w:szCs w:val="24"/>
          <w:lang w:val="pt-BR"/>
        </w:rPr>
        <w:t xml:space="preserve">através </w:t>
      </w:r>
      <w:r w:rsidRPr="003A1174">
        <w:rPr>
          <w:rFonts w:ascii="Garamond" w:hAnsi="Garamond" w:cs="Arial"/>
          <w:sz w:val="24"/>
          <w:szCs w:val="24"/>
          <w:lang w:val="pt-BR"/>
        </w:rPr>
        <w:t xml:space="preserve">da Associação Iberoamericana de Ministérios Públicos (AIAMP) e o Ministério da Justiça </w:t>
      </w:r>
      <w:r w:rsidR="00C7575A">
        <w:rPr>
          <w:rFonts w:ascii="Garamond" w:hAnsi="Garamond" w:cs="Arial"/>
          <w:sz w:val="24"/>
          <w:szCs w:val="24"/>
          <w:lang w:val="pt-BR"/>
        </w:rPr>
        <w:t xml:space="preserve">através </w:t>
      </w:r>
      <w:r w:rsidRPr="003A1174">
        <w:rPr>
          <w:rFonts w:ascii="Garamond" w:hAnsi="Garamond" w:cs="Arial"/>
          <w:sz w:val="24"/>
          <w:szCs w:val="24"/>
          <w:lang w:val="pt-BR"/>
        </w:rPr>
        <w:t>da Conferência de Ministros de Justiça dos Países Iberoamericanos (COMJIB).</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No âmbito desta ação do Programa</w:t>
      </w:r>
      <w:r w:rsidRPr="003A1174">
        <w:rPr>
          <w:rFonts w:ascii="Garamond" w:hAnsi="Garamond" w:cs="Arial"/>
          <w:sz w:val="24"/>
          <w:szCs w:val="24"/>
        </w:rPr>
        <w:t xml:space="preserve"> EUROsociAL</w:t>
      </w:r>
      <w:r w:rsidRPr="003A1174">
        <w:rPr>
          <w:rFonts w:ascii="Garamond" w:hAnsi="Garamond" w:cs="Arial"/>
          <w:sz w:val="24"/>
          <w:szCs w:val="24"/>
          <w:lang w:val="pt-BR"/>
        </w:rPr>
        <w:t xml:space="preserve"> foram propostos, </w:t>
      </w:r>
      <w:r w:rsidR="00C7575A">
        <w:rPr>
          <w:rFonts w:ascii="Garamond" w:hAnsi="Garamond" w:cs="Arial"/>
          <w:sz w:val="24"/>
          <w:szCs w:val="24"/>
          <w:lang w:val="pt-BR"/>
        </w:rPr>
        <w:t xml:space="preserve">e </w:t>
      </w:r>
      <w:r w:rsidRPr="003A1174">
        <w:rPr>
          <w:rFonts w:ascii="Garamond" w:hAnsi="Garamond" w:cs="Arial"/>
          <w:sz w:val="24"/>
          <w:szCs w:val="24"/>
          <w:lang w:val="pt-BR"/>
        </w:rPr>
        <w:t xml:space="preserve">aprovados e estão em fase de adaptação o Protocolo Regional para Investigação com </w:t>
      </w:r>
      <w:r w:rsidR="00D96FD0" w:rsidRPr="003A1174">
        <w:rPr>
          <w:rFonts w:ascii="Garamond" w:hAnsi="Garamond" w:cs="Arial"/>
          <w:sz w:val="24"/>
          <w:szCs w:val="24"/>
        </w:rPr>
        <w:t>Perspetiva</w:t>
      </w:r>
      <w:r w:rsidRPr="003A1174">
        <w:rPr>
          <w:rFonts w:ascii="Garamond" w:hAnsi="Garamond" w:cs="Arial"/>
          <w:sz w:val="24"/>
          <w:szCs w:val="24"/>
          <w:lang w:val="pt-BR"/>
        </w:rPr>
        <w:t xml:space="preserve">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dos Crimes de Violência contra as Mulheres cometidos no Âmbito Intrafamiliar e o Protocolo Regional de Atenção Integral às Vítimas de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Estão em pauta</w:t>
      </w:r>
      <w:r w:rsidR="00C7575A">
        <w:rPr>
          <w:rFonts w:ascii="Garamond" w:hAnsi="Garamond" w:cs="Arial"/>
          <w:sz w:val="24"/>
          <w:szCs w:val="24"/>
          <w:lang w:val="pt-BR"/>
        </w:rPr>
        <w:t>,</w:t>
      </w:r>
      <w:r w:rsidRPr="003A1174">
        <w:rPr>
          <w:rFonts w:ascii="Garamond" w:hAnsi="Garamond" w:cs="Arial"/>
          <w:sz w:val="24"/>
          <w:szCs w:val="24"/>
          <w:lang w:val="pt-BR"/>
        </w:rPr>
        <w:t xml:space="preserve"> também</w:t>
      </w:r>
      <w:r w:rsidR="00C7575A">
        <w:rPr>
          <w:rFonts w:ascii="Garamond" w:hAnsi="Garamond" w:cs="Arial"/>
          <w:sz w:val="24"/>
          <w:szCs w:val="24"/>
          <w:lang w:val="pt-BR"/>
        </w:rPr>
        <w:t>,</w:t>
      </w:r>
      <w:r w:rsidRPr="003A1174">
        <w:rPr>
          <w:rFonts w:ascii="Garamond" w:hAnsi="Garamond" w:cs="Arial"/>
          <w:sz w:val="24"/>
          <w:szCs w:val="24"/>
          <w:lang w:val="pt-BR"/>
        </w:rPr>
        <w:t xml:space="preserve"> a coordenação interinstitucional</w:t>
      </w:r>
      <w:r w:rsidR="00C7575A">
        <w:rPr>
          <w:rFonts w:ascii="Garamond" w:hAnsi="Garamond" w:cs="Arial"/>
          <w:sz w:val="24"/>
          <w:szCs w:val="24"/>
          <w:lang w:val="pt-BR"/>
        </w:rPr>
        <w:t>,</w:t>
      </w:r>
      <w:r w:rsidRPr="003A1174">
        <w:rPr>
          <w:rFonts w:ascii="Garamond" w:hAnsi="Garamond" w:cs="Arial"/>
          <w:sz w:val="24"/>
          <w:szCs w:val="24"/>
          <w:lang w:val="pt-BR"/>
        </w:rPr>
        <w:t xml:space="preserve"> em matéria de violência de </w:t>
      </w:r>
      <w:r w:rsidR="00600E20" w:rsidRPr="003A1174">
        <w:rPr>
          <w:rFonts w:ascii="Garamond" w:hAnsi="Garamond" w:cs="Arial"/>
          <w:sz w:val="24"/>
          <w:szCs w:val="24"/>
          <w:lang w:val="pt-BR"/>
        </w:rPr>
        <w:t>género</w:t>
      </w:r>
      <w:r w:rsidR="00C7575A">
        <w:rPr>
          <w:rFonts w:ascii="Garamond" w:hAnsi="Garamond" w:cs="Arial"/>
          <w:sz w:val="24"/>
          <w:szCs w:val="24"/>
          <w:lang w:val="pt-BR"/>
        </w:rPr>
        <w:t>,</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 xml:space="preserve">e o programa </w:t>
      </w:r>
      <w:r w:rsidR="0014724F" w:rsidRPr="003A1174">
        <w:rPr>
          <w:rFonts w:ascii="Garamond" w:hAnsi="Garamond" w:cs="Arial"/>
          <w:sz w:val="24"/>
          <w:szCs w:val="24"/>
          <w:lang w:val="pt-BR"/>
        </w:rPr>
        <w:t xml:space="preserve">irá </w:t>
      </w:r>
      <w:r w:rsidRPr="003A1174">
        <w:rPr>
          <w:rFonts w:ascii="Garamond" w:hAnsi="Garamond" w:cs="Arial"/>
          <w:sz w:val="24"/>
          <w:szCs w:val="24"/>
          <w:lang w:val="pt-BR"/>
        </w:rPr>
        <w:t>oferecer atividades formativas para as instituições envolvidas</w:t>
      </w:r>
      <w:r w:rsidR="0014724F" w:rsidRPr="003A1174">
        <w:rPr>
          <w:rFonts w:ascii="Garamond" w:hAnsi="Garamond" w:cs="Arial"/>
          <w:sz w:val="24"/>
          <w:szCs w:val="24"/>
          <w:lang w:val="pt-BR"/>
        </w:rPr>
        <w:t>,</w:t>
      </w:r>
      <w:r w:rsidRPr="003A1174">
        <w:rPr>
          <w:rFonts w:ascii="Garamond" w:hAnsi="Garamond" w:cs="Arial"/>
          <w:sz w:val="24"/>
          <w:szCs w:val="24"/>
          <w:lang w:val="pt-BR"/>
        </w:rPr>
        <w:t xml:space="preserve"> ainda</w:t>
      </w:r>
      <w:r w:rsidR="00C7575A">
        <w:rPr>
          <w:rFonts w:ascii="Garamond" w:hAnsi="Garamond" w:cs="Arial"/>
          <w:sz w:val="24"/>
          <w:szCs w:val="24"/>
          <w:lang w:val="pt-BR"/>
        </w:rPr>
        <w:t>, apenas,</w:t>
      </w:r>
      <w:r w:rsidRPr="003A1174">
        <w:rPr>
          <w:rFonts w:ascii="Garamond" w:hAnsi="Garamond" w:cs="Arial"/>
          <w:sz w:val="24"/>
          <w:szCs w:val="24"/>
          <w:lang w:val="pt-BR"/>
        </w:rPr>
        <w:t xml:space="preserve"> 38</w:t>
      </w:r>
      <w:r w:rsidR="00C7575A">
        <w:rPr>
          <w:rFonts w:ascii="Garamond" w:hAnsi="Garamond" w:cs="Arial"/>
          <w:sz w:val="24"/>
          <w:szCs w:val="24"/>
          <w:lang w:val="pt-BR"/>
        </w:rPr>
        <w:t>,</w:t>
      </w:r>
      <w:r w:rsidRPr="003A1174">
        <w:rPr>
          <w:rFonts w:ascii="Garamond" w:hAnsi="Garamond" w:cs="Arial"/>
          <w:sz w:val="24"/>
          <w:szCs w:val="24"/>
          <w:lang w:val="pt-BR"/>
        </w:rPr>
        <w:t xml:space="preserve"> Conselho de Procuradores Gerais de Justiça, Grupo Nacional de Direitos Humanos, Comissão Permanente sobre</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Violência Do</w:t>
      </w:r>
      <w:r w:rsidR="0014724F" w:rsidRPr="003A1174">
        <w:rPr>
          <w:rFonts w:ascii="Garamond" w:hAnsi="Garamond" w:cs="Arial"/>
          <w:sz w:val="24"/>
          <w:szCs w:val="24"/>
          <w:lang w:val="pt-BR"/>
        </w:rPr>
        <w:t>méstica contra a Mulher,</w:t>
      </w:r>
      <w:r w:rsidRPr="003A1174">
        <w:rPr>
          <w:rFonts w:ascii="Garamond" w:hAnsi="Garamond" w:cs="Arial"/>
          <w:sz w:val="24"/>
          <w:szCs w:val="24"/>
          <w:lang w:val="pt-BR"/>
        </w:rPr>
        <w:t xml:space="preserve"> em 2014. O II Encontro Anual do Programa - </w:t>
      </w:r>
      <w:r w:rsidR="00C7575A">
        <w:rPr>
          <w:rFonts w:ascii="Garamond" w:hAnsi="Garamond" w:cs="Arial"/>
          <w:sz w:val="24"/>
          <w:szCs w:val="24"/>
          <w:lang w:val="pt-BR"/>
        </w:rPr>
        <w:t>«</w:t>
      </w:r>
      <w:r w:rsidRPr="003A1174">
        <w:rPr>
          <w:rFonts w:ascii="Garamond" w:hAnsi="Garamond" w:cs="Arial"/>
          <w:sz w:val="24"/>
          <w:szCs w:val="24"/>
          <w:lang w:val="pt-BR"/>
        </w:rPr>
        <w:t>Políticas públicas integrais para a erradicação da</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 xml:space="preserve">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o papel do setor justiça</w:t>
      </w:r>
      <w:r w:rsidR="00C7575A">
        <w:rPr>
          <w:rFonts w:ascii="Garamond" w:hAnsi="Garamond" w:cs="Arial"/>
          <w:sz w:val="24"/>
          <w:szCs w:val="24"/>
          <w:lang w:val="pt-BR"/>
        </w:rPr>
        <w:t>»</w:t>
      </w:r>
      <w:r w:rsidRPr="003A1174">
        <w:rPr>
          <w:rFonts w:ascii="Garamond" w:hAnsi="Garamond" w:cs="Arial"/>
          <w:sz w:val="24"/>
          <w:szCs w:val="24"/>
          <w:lang w:val="pt-BR"/>
        </w:rPr>
        <w:t xml:space="preserve">, tratou do papel de instituições dos sistemas </w:t>
      </w:r>
      <w:r w:rsidR="000D7B87">
        <w:rPr>
          <w:rFonts w:ascii="Garamond" w:hAnsi="Garamond" w:cs="Arial"/>
          <w:sz w:val="24"/>
          <w:szCs w:val="24"/>
          <w:lang w:val="pt-BR"/>
        </w:rPr>
        <w:t xml:space="preserve">judiciais </w:t>
      </w:r>
      <w:r w:rsidRPr="003A1174">
        <w:rPr>
          <w:rFonts w:ascii="Garamond" w:hAnsi="Garamond" w:cs="Arial"/>
          <w:sz w:val="24"/>
          <w:szCs w:val="24"/>
          <w:lang w:val="pt-BR"/>
        </w:rPr>
        <w:t xml:space="preserve">nas políticas públicas integrais de erradicação da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para, entre outros objetivos, </w:t>
      </w:r>
      <w:r w:rsidR="00DB2A03">
        <w:rPr>
          <w:rFonts w:ascii="Garamond" w:hAnsi="Garamond" w:cs="Arial"/>
          <w:sz w:val="24"/>
          <w:szCs w:val="24"/>
          <w:lang w:val="pt-BR"/>
        </w:rPr>
        <w:t>«</w:t>
      </w:r>
      <w:r w:rsidRPr="003A1174">
        <w:rPr>
          <w:rFonts w:ascii="Garamond" w:hAnsi="Garamond" w:cs="Arial"/>
          <w:sz w:val="24"/>
          <w:szCs w:val="24"/>
          <w:lang w:val="pt-BR"/>
        </w:rPr>
        <w:t>analisar a participação do setor</w:t>
      </w:r>
      <w:r w:rsidR="0014724F" w:rsidRPr="003A1174">
        <w:rPr>
          <w:rFonts w:ascii="Garamond" w:hAnsi="Garamond" w:cs="Arial"/>
          <w:sz w:val="24"/>
          <w:szCs w:val="24"/>
          <w:lang w:val="pt-BR"/>
        </w:rPr>
        <w:t xml:space="preserve"> justiça nos processos de plane</w:t>
      </w:r>
      <w:r w:rsidRPr="003A1174">
        <w:rPr>
          <w:rFonts w:ascii="Garamond" w:hAnsi="Garamond" w:cs="Arial"/>
          <w:sz w:val="24"/>
          <w:szCs w:val="24"/>
          <w:lang w:val="pt-BR"/>
        </w:rPr>
        <w:t xml:space="preserve">amento e implementação das políticas contra 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na América Latina</w:t>
      </w:r>
      <w:r w:rsidR="00DB2A03">
        <w:rPr>
          <w:rFonts w:ascii="Garamond" w:hAnsi="Garamond" w:cs="Arial"/>
          <w:sz w:val="24"/>
          <w:szCs w:val="24"/>
          <w:lang w:val="pt-BR"/>
        </w:rPr>
        <w:t>»</w:t>
      </w:r>
      <w:r w:rsidRPr="003A1174">
        <w:rPr>
          <w:rFonts w:ascii="Garamond" w:hAnsi="Garamond" w:cs="Arial"/>
          <w:sz w:val="24"/>
          <w:szCs w:val="24"/>
          <w:lang w:val="pt-BR"/>
        </w:rPr>
        <w:t xml:space="preserve"> e </w:t>
      </w:r>
      <w:r w:rsidR="00DB2A03">
        <w:rPr>
          <w:rFonts w:ascii="Garamond" w:hAnsi="Garamond" w:cs="Arial"/>
          <w:sz w:val="24"/>
          <w:szCs w:val="24"/>
          <w:lang w:val="pt-BR"/>
        </w:rPr>
        <w:t>«</w:t>
      </w:r>
      <w:r w:rsidRPr="003A1174">
        <w:rPr>
          <w:rFonts w:ascii="Garamond" w:hAnsi="Garamond" w:cs="Arial"/>
          <w:sz w:val="24"/>
          <w:szCs w:val="24"/>
          <w:lang w:val="pt-BR"/>
        </w:rPr>
        <w:t>refletir, conjuntamente</w:t>
      </w:r>
      <w:r w:rsidR="00DB2A03">
        <w:rPr>
          <w:rFonts w:ascii="Garamond" w:hAnsi="Garamond" w:cs="Arial"/>
          <w:sz w:val="24"/>
          <w:szCs w:val="24"/>
          <w:lang w:val="pt-BR"/>
        </w:rPr>
        <w:t>,</w:t>
      </w:r>
      <w:r w:rsidRPr="003A1174">
        <w:rPr>
          <w:rFonts w:ascii="Garamond" w:hAnsi="Garamond" w:cs="Arial"/>
          <w:sz w:val="24"/>
          <w:szCs w:val="24"/>
          <w:lang w:val="pt-BR"/>
        </w:rPr>
        <w:t xml:space="preserve"> </w:t>
      </w:r>
      <w:r w:rsidR="0014724F" w:rsidRPr="003A1174">
        <w:rPr>
          <w:rFonts w:ascii="Garamond" w:hAnsi="Garamond" w:cs="Arial"/>
          <w:sz w:val="24"/>
          <w:szCs w:val="24"/>
          <w:lang w:val="pt-BR"/>
        </w:rPr>
        <w:t xml:space="preserve">em </w:t>
      </w:r>
      <w:r w:rsidRPr="003A1174">
        <w:rPr>
          <w:rFonts w:ascii="Garamond" w:hAnsi="Garamond" w:cs="Arial"/>
          <w:sz w:val="24"/>
          <w:szCs w:val="24"/>
          <w:lang w:val="pt-BR"/>
        </w:rPr>
        <w:t>métodos e estratégias para a integração da</w:t>
      </w:r>
      <w:r w:rsidRPr="003A1174">
        <w:rPr>
          <w:rFonts w:ascii="Garamond" w:hAnsi="Garamond" w:cs="Arial"/>
          <w:sz w:val="24"/>
          <w:szCs w:val="24"/>
        </w:rPr>
        <w:t xml:space="preserve"> </w:t>
      </w:r>
      <w:r w:rsidR="00D96FD0" w:rsidRPr="003A1174">
        <w:rPr>
          <w:rFonts w:ascii="Garamond" w:hAnsi="Garamond" w:cs="Arial"/>
          <w:sz w:val="24"/>
          <w:szCs w:val="24"/>
        </w:rPr>
        <w:t>perspetiva</w:t>
      </w:r>
      <w:r w:rsidRPr="003A1174">
        <w:rPr>
          <w:rFonts w:ascii="Garamond" w:hAnsi="Garamond" w:cs="Arial"/>
          <w:sz w:val="24"/>
          <w:szCs w:val="24"/>
          <w:lang w:val="pt-BR"/>
        </w:rPr>
        <w:t xml:space="preserve"> de género nos diversos instrumentos de política pública, de um modo geral e nas ações do programa EUROsociAL, especialmente</w:t>
      </w:r>
      <w:r w:rsidR="00DB2A03">
        <w:rPr>
          <w:rFonts w:ascii="Garamond" w:hAnsi="Garamond" w:cs="Arial"/>
          <w:sz w:val="24"/>
          <w:szCs w:val="24"/>
          <w:lang w:val="pt-BR"/>
        </w:rPr>
        <w:t>,</w:t>
      </w:r>
      <w:r w:rsidRPr="003A1174">
        <w:rPr>
          <w:rFonts w:ascii="Garamond" w:hAnsi="Garamond" w:cs="Arial"/>
          <w:sz w:val="24"/>
          <w:szCs w:val="24"/>
          <w:lang w:val="pt-BR"/>
        </w:rPr>
        <w:t xml:space="preserve"> na área da justiça e segurança</w:t>
      </w:r>
      <w:r w:rsidR="00DB2A03">
        <w:rPr>
          <w:rFonts w:ascii="Garamond" w:hAnsi="Garamond" w:cs="Arial"/>
          <w:sz w:val="24"/>
          <w:szCs w:val="24"/>
          <w:lang w:val="pt-BR"/>
        </w:rPr>
        <w:t>»</w:t>
      </w:r>
      <w:r w:rsidRPr="003A1174">
        <w:rPr>
          <w:rFonts w:ascii="Garamond" w:hAnsi="Garamond" w:cs="Arial"/>
          <w:sz w:val="24"/>
          <w:szCs w:val="24"/>
          <w:lang w:val="pt-BR"/>
        </w:rPr>
        <w:t>. Participaram instituições que são parte na Ação de Violência de</w:t>
      </w:r>
      <w:r w:rsidR="0014724F" w:rsidRPr="003A1174">
        <w:rPr>
          <w:rFonts w:ascii="Garamond" w:hAnsi="Garamond" w:cs="Arial"/>
          <w:sz w:val="24"/>
          <w:szCs w:val="24"/>
          <w:lang w:val="pt-BR"/>
        </w:rPr>
        <w:t xml:space="preserv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 dos blocos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do EUROsociAL II: Ministérios Públicos, Polícias, Mecanismos de Igualdade</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ent</w:t>
      </w:r>
      <w:r w:rsidR="0014724F" w:rsidRPr="003A1174">
        <w:rPr>
          <w:rFonts w:ascii="Garamond" w:hAnsi="Garamond" w:cs="Arial"/>
          <w:sz w:val="24"/>
          <w:szCs w:val="24"/>
          <w:lang w:val="pt-BR"/>
        </w:rPr>
        <w:t xml:space="preserve">idades responsáveis pelas </w:t>
      </w:r>
      <w:r w:rsidRPr="003A1174">
        <w:rPr>
          <w:rFonts w:ascii="Garamond" w:hAnsi="Garamond" w:cs="Arial"/>
          <w:sz w:val="24"/>
          <w:szCs w:val="24"/>
          <w:lang w:val="pt-BR"/>
        </w:rPr>
        <w:t xml:space="preserve">políticas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 Ministérios de Justiça do Brasil, Paraguai, Equador, Costa Rica, Nicarágua e Panamá.</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DB2A03" w:rsidRDefault="004C140F" w:rsidP="008719D4">
      <w:pPr>
        <w:autoSpaceDE w:val="0"/>
        <w:autoSpaceDN w:val="0"/>
        <w:adjustRightInd w:val="0"/>
        <w:spacing w:after="0" w:line="240" w:lineRule="auto"/>
        <w:jc w:val="both"/>
        <w:rPr>
          <w:rFonts w:ascii="Garamond" w:hAnsi="Garamond" w:cs="Arial"/>
          <w:b/>
          <w:sz w:val="24"/>
          <w:szCs w:val="24"/>
          <w:lang w:val="pt-BR"/>
        </w:rPr>
      </w:pPr>
      <w:r w:rsidRPr="00DB2A03">
        <w:rPr>
          <w:rFonts w:ascii="Garamond" w:hAnsi="Garamond" w:cs="Arial"/>
          <w:b/>
          <w:sz w:val="24"/>
          <w:szCs w:val="24"/>
          <w:lang w:val="pt-BR"/>
        </w:rPr>
        <w:t xml:space="preserve">2- </w:t>
      </w:r>
      <w:r w:rsidRPr="00183749">
        <w:rPr>
          <w:rFonts w:ascii="Garamond" w:hAnsi="Garamond" w:cs="Arial"/>
          <w:b/>
          <w:i/>
          <w:sz w:val="24"/>
          <w:szCs w:val="24"/>
          <w:lang w:val="pt-BR"/>
        </w:rPr>
        <w:t>Boas práticas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No tema em questão, cabe destacar a seguinte iniciativa recente: o</w:t>
      </w:r>
      <w:r w:rsidRPr="003A1174">
        <w:rPr>
          <w:rFonts w:ascii="Garamond" w:hAnsi="Garamond" w:cs="Arial"/>
          <w:sz w:val="24"/>
          <w:szCs w:val="24"/>
        </w:rPr>
        <w:t xml:space="preserve"> PFDC</w:t>
      </w:r>
      <w:r w:rsidRPr="003A1174">
        <w:rPr>
          <w:rFonts w:ascii="Garamond" w:hAnsi="Garamond" w:cs="Arial"/>
          <w:sz w:val="24"/>
          <w:szCs w:val="24"/>
          <w:lang w:val="pt-BR"/>
        </w:rPr>
        <w:t xml:space="preserve"> expediu Ofício-Circular dirigido aos procuradores e procuradoras dos Direitos do Cidadão</w:t>
      </w:r>
      <w:r w:rsidR="00DB2A03">
        <w:rPr>
          <w:rFonts w:ascii="Garamond" w:hAnsi="Garamond" w:cs="Arial"/>
          <w:sz w:val="24"/>
          <w:szCs w:val="24"/>
          <w:lang w:val="pt-BR"/>
        </w:rPr>
        <w:t>,</w:t>
      </w:r>
      <w:r w:rsidRPr="003A1174">
        <w:rPr>
          <w:rFonts w:ascii="Garamond" w:hAnsi="Garamond" w:cs="Arial"/>
          <w:sz w:val="24"/>
          <w:szCs w:val="24"/>
          <w:lang w:val="pt-BR"/>
        </w:rPr>
        <w:t xml:space="preserve"> </w:t>
      </w:r>
      <w:r w:rsidR="00DB2A03">
        <w:rPr>
          <w:rFonts w:ascii="Garamond" w:hAnsi="Garamond" w:cs="Arial"/>
          <w:sz w:val="24"/>
          <w:szCs w:val="24"/>
          <w:lang w:val="pt-BR"/>
        </w:rPr>
        <w:t xml:space="preserve">solicitando </w:t>
      </w:r>
      <w:r w:rsidRPr="003A1174">
        <w:rPr>
          <w:rFonts w:ascii="Garamond" w:hAnsi="Garamond" w:cs="Arial"/>
          <w:sz w:val="24"/>
          <w:szCs w:val="24"/>
          <w:lang w:val="pt-BR"/>
        </w:rPr>
        <w:t>colaboração</w:t>
      </w:r>
      <w:r w:rsidR="00DB2A03">
        <w:rPr>
          <w:rFonts w:ascii="Garamond" w:hAnsi="Garamond" w:cs="Arial"/>
          <w:sz w:val="24"/>
          <w:szCs w:val="24"/>
          <w:lang w:val="pt-BR"/>
        </w:rPr>
        <w:t>,</w:t>
      </w:r>
      <w:r w:rsidRPr="003A1174">
        <w:rPr>
          <w:rFonts w:ascii="Garamond" w:hAnsi="Garamond" w:cs="Arial"/>
          <w:sz w:val="24"/>
          <w:szCs w:val="24"/>
          <w:lang w:val="pt-BR"/>
        </w:rPr>
        <w:t xml:space="preserve"> n</w:t>
      </w:r>
      <w:r w:rsidR="0014724F" w:rsidRPr="003A1174">
        <w:rPr>
          <w:rFonts w:ascii="Garamond" w:hAnsi="Garamond" w:cs="Arial"/>
          <w:sz w:val="24"/>
          <w:szCs w:val="24"/>
          <w:lang w:val="pt-BR"/>
        </w:rPr>
        <w:t>o sentido de verificarem</w:t>
      </w:r>
      <w:r w:rsidR="00DB2A03">
        <w:rPr>
          <w:rFonts w:ascii="Garamond" w:hAnsi="Garamond" w:cs="Arial"/>
          <w:sz w:val="24"/>
          <w:szCs w:val="24"/>
          <w:lang w:val="pt-BR"/>
        </w:rPr>
        <w:t>,</w:t>
      </w:r>
      <w:r w:rsidR="0014724F" w:rsidRPr="003A1174">
        <w:rPr>
          <w:rFonts w:ascii="Garamond" w:hAnsi="Garamond" w:cs="Arial"/>
          <w:sz w:val="24"/>
          <w:szCs w:val="24"/>
          <w:lang w:val="pt-BR"/>
        </w:rPr>
        <w:t xml:space="preserve"> junto d</w:t>
      </w:r>
      <w:r w:rsidRPr="003A1174">
        <w:rPr>
          <w:rFonts w:ascii="Garamond" w:hAnsi="Garamond" w:cs="Arial"/>
          <w:sz w:val="24"/>
          <w:szCs w:val="24"/>
          <w:lang w:val="pt-BR"/>
        </w:rPr>
        <w:t>os órgãos esta</w:t>
      </w:r>
      <w:r w:rsidR="0014724F" w:rsidRPr="003A1174">
        <w:rPr>
          <w:rFonts w:ascii="Garamond" w:hAnsi="Garamond" w:cs="Arial"/>
          <w:sz w:val="24"/>
          <w:szCs w:val="24"/>
          <w:lang w:val="pt-BR"/>
        </w:rPr>
        <w:t>t</w:t>
      </w:r>
      <w:r w:rsidRPr="003A1174">
        <w:rPr>
          <w:rFonts w:ascii="Garamond" w:hAnsi="Garamond" w:cs="Arial"/>
          <w:sz w:val="24"/>
          <w:szCs w:val="24"/>
          <w:lang w:val="pt-BR"/>
        </w:rPr>
        <w:t xml:space="preserve">ais e municipais de saúde: a) o efetivo funcionamento dos Centros de Referência de Saúde para as vítimas de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b) a existência de formação específica dos prestadores de cuidados de saúde para aprenderem a reconhecer as mulheres que são vítimas de violência e a reagir de forma adequada; c) a existência nos centros de saúde de ferramentas para catalogar e </w:t>
      </w:r>
      <w:r w:rsidRPr="003A1174">
        <w:rPr>
          <w:rFonts w:ascii="Garamond" w:hAnsi="Garamond" w:cs="Arial"/>
          <w:sz w:val="24"/>
          <w:szCs w:val="24"/>
        </w:rPr>
        <w:t>detetar</w:t>
      </w:r>
      <w:r w:rsidRPr="003A1174">
        <w:rPr>
          <w:rFonts w:ascii="Garamond" w:hAnsi="Garamond" w:cs="Arial"/>
          <w:sz w:val="24"/>
          <w:szCs w:val="24"/>
          <w:lang w:val="pt-BR"/>
        </w:rPr>
        <w:t xml:space="preserve"> os sinais deste tipo de violência; d) o efetivo cumprimento da </w:t>
      </w:r>
      <w:r w:rsidR="00DB2A03">
        <w:rPr>
          <w:rFonts w:ascii="Garamond" w:hAnsi="Garamond" w:cs="Arial"/>
          <w:sz w:val="24"/>
          <w:szCs w:val="24"/>
          <w:lang w:val="pt-BR"/>
        </w:rPr>
        <w:t>L</w:t>
      </w:r>
      <w:r w:rsidRPr="003A1174">
        <w:rPr>
          <w:rFonts w:ascii="Garamond" w:hAnsi="Garamond" w:cs="Arial"/>
          <w:sz w:val="24"/>
          <w:szCs w:val="24"/>
          <w:lang w:val="pt-BR"/>
        </w:rPr>
        <w:t>ei 10</w:t>
      </w:r>
      <w:r w:rsidR="00DB2A03">
        <w:rPr>
          <w:rFonts w:ascii="Garamond" w:hAnsi="Garamond" w:cs="Arial"/>
          <w:sz w:val="24"/>
          <w:szCs w:val="24"/>
          <w:lang w:val="pt-BR"/>
        </w:rPr>
        <w:t xml:space="preserve"> </w:t>
      </w:r>
      <w:r w:rsidRPr="003A1174">
        <w:rPr>
          <w:rFonts w:ascii="Garamond" w:hAnsi="Garamond" w:cs="Arial"/>
          <w:sz w:val="24"/>
          <w:szCs w:val="24"/>
          <w:lang w:val="pt-BR"/>
        </w:rPr>
        <w:t>778/2003 pelos profissionais de saúde da rede pública.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Justificaram esta medida, em síntese, as seguintes considerações: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O instrumento legal de tutela da mulher vítima de violência doméstica, a Lei Maria da Penha, estabelece, por um lado, a rede de </w:t>
      </w:r>
      <w:r w:rsidR="00DB2A03">
        <w:rPr>
          <w:rFonts w:ascii="Garamond" w:hAnsi="Garamond" w:cs="Arial"/>
          <w:sz w:val="24"/>
          <w:szCs w:val="24"/>
          <w:lang w:val="pt-BR"/>
        </w:rPr>
        <w:t xml:space="preserve">confronto </w:t>
      </w:r>
      <w:r w:rsidRPr="003A1174">
        <w:rPr>
          <w:rFonts w:ascii="Garamond" w:hAnsi="Garamond" w:cs="Arial"/>
          <w:sz w:val="24"/>
          <w:szCs w:val="24"/>
          <w:lang w:val="pt-BR"/>
        </w:rPr>
        <w:t xml:space="preserve">ao crime praticado contra a mulher no ambiente familiar e motivado por questões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 por outro lado, a rede de assistê</w:t>
      </w:r>
      <w:r w:rsidR="0014724F" w:rsidRPr="003A1174">
        <w:rPr>
          <w:rFonts w:ascii="Garamond" w:hAnsi="Garamond" w:cs="Arial"/>
          <w:sz w:val="24"/>
          <w:szCs w:val="24"/>
          <w:lang w:val="pt-BR"/>
        </w:rPr>
        <w:t xml:space="preserve">ncia multidisciplinar, </w:t>
      </w:r>
      <w:r w:rsidR="00183749">
        <w:rPr>
          <w:rFonts w:ascii="Garamond" w:hAnsi="Garamond" w:cs="Arial"/>
          <w:sz w:val="24"/>
          <w:szCs w:val="24"/>
          <w:lang w:val="pt-BR"/>
        </w:rPr>
        <w:t xml:space="preserve">vocacionada </w:t>
      </w:r>
      <w:r w:rsidR="0014724F" w:rsidRPr="003A1174">
        <w:rPr>
          <w:rFonts w:ascii="Garamond" w:hAnsi="Garamond" w:cs="Arial"/>
          <w:sz w:val="24"/>
          <w:szCs w:val="24"/>
          <w:lang w:val="pt-BR"/>
        </w:rPr>
        <w:t xml:space="preserve">para </w:t>
      </w:r>
      <w:r w:rsidRPr="003A1174">
        <w:rPr>
          <w:rFonts w:ascii="Garamond" w:hAnsi="Garamond" w:cs="Arial"/>
          <w:sz w:val="24"/>
          <w:szCs w:val="24"/>
          <w:lang w:val="pt-BR"/>
        </w:rPr>
        <w:t xml:space="preserve">o atendimento integral da mulher em busca de seu encorajamento, de seu tratamento e de sua </w:t>
      </w:r>
      <w:r w:rsidR="00CF4C35" w:rsidRPr="003A1174">
        <w:rPr>
          <w:rFonts w:ascii="Garamond" w:hAnsi="Garamond" w:cs="Arial"/>
          <w:sz w:val="24"/>
          <w:szCs w:val="24"/>
          <w:lang w:val="pt-BR"/>
        </w:rPr>
        <w:t>reabilitação</w:t>
      </w:r>
      <w:r w:rsidRPr="003A1174">
        <w:rPr>
          <w:rFonts w:ascii="Garamond" w:hAnsi="Garamond" w:cs="Arial"/>
          <w:sz w:val="24"/>
          <w:szCs w:val="24"/>
          <w:lang w:val="pt-BR"/>
        </w:rPr>
        <w:t>. A atuação da PFDC (e dos PDCs) tem espaço na rede de assistência, colaborando: a) na verificação da atuação do Poder Público</w:t>
      </w:r>
      <w:r w:rsidR="00183749">
        <w:rPr>
          <w:rFonts w:ascii="Garamond" w:hAnsi="Garamond" w:cs="Arial"/>
          <w:sz w:val="24"/>
          <w:szCs w:val="24"/>
          <w:lang w:val="pt-BR"/>
        </w:rPr>
        <w:t>,</w:t>
      </w:r>
      <w:r w:rsidRPr="003A1174">
        <w:rPr>
          <w:rFonts w:ascii="Garamond" w:hAnsi="Garamond" w:cs="Arial"/>
          <w:sz w:val="24"/>
          <w:szCs w:val="24"/>
          <w:lang w:val="pt-BR"/>
        </w:rPr>
        <w:t xml:space="preserve"> no planeamento e efetiva implementação de políticas públicas de assistência multidisciplinar das mulheres vítimas da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b) no estabelecimento de mecanismos de informação dos direitos da mulher em situação de violência, como, por exemplo, a realização de audiências públicas </w:t>
      </w:r>
      <w:r w:rsidR="000071E6">
        <w:rPr>
          <w:rFonts w:ascii="Garamond" w:hAnsi="Garamond" w:cs="Arial"/>
          <w:sz w:val="24"/>
          <w:szCs w:val="24"/>
          <w:lang w:val="pt-BR"/>
        </w:rPr>
        <w:t xml:space="preserve">vocacionadas </w:t>
      </w:r>
      <w:r w:rsidR="0014724F" w:rsidRPr="003A1174">
        <w:rPr>
          <w:rFonts w:ascii="Garamond" w:hAnsi="Garamond" w:cs="Arial"/>
          <w:sz w:val="24"/>
          <w:szCs w:val="24"/>
          <w:lang w:val="pt-BR"/>
        </w:rPr>
        <w:t xml:space="preserve">para a </w:t>
      </w:r>
      <w:r w:rsidRPr="003A1174">
        <w:rPr>
          <w:rFonts w:ascii="Garamond" w:hAnsi="Garamond" w:cs="Arial"/>
          <w:sz w:val="24"/>
          <w:szCs w:val="24"/>
          <w:lang w:val="pt-BR"/>
        </w:rPr>
        <w:t>informação e conscien</w:t>
      </w:r>
      <w:r w:rsidR="0014724F" w:rsidRPr="003A1174">
        <w:rPr>
          <w:rFonts w:ascii="Garamond" w:hAnsi="Garamond" w:cs="Arial"/>
          <w:sz w:val="24"/>
          <w:szCs w:val="24"/>
          <w:lang w:val="pt-BR"/>
        </w:rPr>
        <w:t>ciali</w:t>
      </w:r>
      <w:r w:rsidRPr="003A1174">
        <w:rPr>
          <w:rFonts w:ascii="Garamond" w:hAnsi="Garamond" w:cs="Arial"/>
          <w:sz w:val="24"/>
          <w:szCs w:val="24"/>
          <w:lang w:val="pt-BR"/>
        </w:rPr>
        <w:t>zação da sociedade, a criação e divulgação de cartilhas, a organização e divulgação de dados disponíveis.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lastRenderedPageBreak/>
        <w:t>Sobre as redes de assistência e</w:t>
      </w:r>
      <w:r w:rsidR="000071E6">
        <w:rPr>
          <w:rFonts w:ascii="Garamond" w:hAnsi="Garamond" w:cs="Arial"/>
          <w:sz w:val="24"/>
          <w:szCs w:val="24"/>
          <w:lang w:val="pt-BR"/>
        </w:rPr>
        <w:t xml:space="preserve"> confronto</w:t>
      </w:r>
      <w:r w:rsidRPr="003A1174">
        <w:rPr>
          <w:rFonts w:ascii="Garamond" w:hAnsi="Garamond" w:cs="Arial"/>
          <w:sz w:val="24"/>
          <w:szCs w:val="24"/>
          <w:lang w:val="pt-BR"/>
        </w:rPr>
        <w:t>, de acordo com a Secretaria de</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 xml:space="preserve">Políticas para as Mulheres, da Presidência da República (SPM/PR), existiam no Brasil, em 2013, </w:t>
      </w:r>
      <w:r w:rsidR="0014724F" w:rsidRPr="003A1174">
        <w:rPr>
          <w:rFonts w:ascii="Garamond" w:hAnsi="Garamond" w:cs="Arial"/>
          <w:sz w:val="24"/>
          <w:szCs w:val="24"/>
          <w:lang w:val="pt-BR"/>
        </w:rPr>
        <w:t xml:space="preserve">cerca </w:t>
      </w:r>
      <w:r w:rsidRPr="003A1174">
        <w:rPr>
          <w:rFonts w:ascii="Garamond" w:hAnsi="Garamond" w:cs="Arial"/>
          <w:sz w:val="24"/>
          <w:szCs w:val="24"/>
          <w:lang w:val="pt-BR"/>
        </w:rPr>
        <w:t xml:space="preserve">de 1200 serviços especializados: 93 juizados, 29 promotorias, defensorias públicas, mais de 400 delegacias de polícia, 220 centros de </w:t>
      </w:r>
      <w:r w:rsidR="000071E6">
        <w:rPr>
          <w:rFonts w:ascii="Garamond" w:hAnsi="Garamond" w:cs="Arial"/>
          <w:sz w:val="24"/>
          <w:szCs w:val="24"/>
          <w:lang w:val="pt-BR"/>
        </w:rPr>
        <w:t xml:space="preserve">apoio </w:t>
      </w:r>
      <w:r w:rsidRPr="003A1174">
        <w:rPr>
          <w:rFonts w:ascii="Garamond" w:hAnsi="Garamond" w:cs="Arial"/>
          <w:sz w:val="24"/>
          <w:szCs w:val="24"/>
          <w:lang w:val="pt-BR"/>
        </w:rPr>
        <w:t>social e 72 casas de acolhimento. Quanto à saúde, de acordo com a SPM/PR</w:t>
      </w:r>
      <w:r w:rsidR="000071E6">
        <w:rPr>
          <w:rFonts w:ascii="Garamond" w:hAnsi="Garamond" w:cs="Arial"/>
          <w:sz w:val="24"/>
          <w:szCs w:val="24"/>
          <w:lang w:val="pt-BR"/>
        </w:rPr>
        <w:t>,</w:t>
      </w:r>
      <w:r w:rsidRPr="003A1174">
        <w:rPr>
          <w:rFonts w:ascii="Garamond" w:hAnsi="Garamond" w:cs="Arial"/>
          <w:sz w:val="24"/>
          <w:szCs w:val="24"/>
          <w:lang w:val="pt-BR"/>
        </w:rPr>
        <w:t xml:space="preserve"> havia mais de 240 serviços de saúde especializados no referido período.</w:t>
      </w:r>
      <w:r w:rsidR="0014724F" w:rsidRPr="003A1174">
        <w:rPr>
          <w:rFonts w:ascii="Garamond" w:hAnsi="Garamond" w:cs="Arial"/>
          <w:sz w:val="24"/>
          <w:szCs w:val="24"/>
          <w:lang w:val="pt-BR"/>
        </w:rPr>
        <w:t xml:space="preserve"> </w:t>
      </w:r>
      <w:r w:rsidRPr="003A1174">
        <w:rPr>
          <w:rFonts w:ascii="Garamond" w:hAnsi="Garamond" w:cs="Arial"/>
          <w:sz w:val="24"/>
          <w:szCs w:val="24"/>
          <w:lang w:val="pt-BR"/>
        </w:rPr>
        <w:t>39</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A assistência multidisciplinar abrange a área da saúde, </w:t>
      </w:r>
      <w:r w:rsidR="000B3464" w:rsidRPr="003A1174">
        <w:rPr>
          <w:rFonts w:ascii="Garamond" w:hAnsi="Garamond" w:cs="Arial"/>
          <w:sz w:val="24"/>
          <w:szCs w:val="24"/>
          <w:lang w:val="pt-BR"/>
        </w:rPr>
        <w:t>designadamente</w:t>
      </w:r>
      <w:r w:rsidR="000071E6">
        <w:rPr>
          <w:rFonts w:ascii="Garamond" w:hAnsi="Garamond" w:cs="Arial"/>
          <w:sz w:val="24"/>
          <w:szCs w:val="24"/>
          <w:lang w:val="pt-BR"/>
        </w:rPr>
        <w:t>,</w:t>
      </w:r>
      <w:r w:rsidRPr="003A1174">
        <w:rPr>
          <w:rFonts w:ascii="Garamond" w:hAnsi="Garamond" w:cs="Arial"/>
          <w:sz w:val="24"/>
          <w:szCs w:val="24"/>
          <w:lang w:val="pt-BR"/>
        </w:rPr>
        <w:t xml:space="preserve"> porque 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intrafamiliar gera graves repercussões na saúde da mulher, o que deve ser encarado como uma questão primordial de saúde pública.</w:t>
      </w:r>
    </w:p>
    <w:p w:rsidR="004C140F" w:rsidRPr="003A1174" w:rsidRDefault="00586850"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Igualmente</w:t>
      </w:r>
      <w:r w:rsidR="004C140F" w:rsidRPr="003A1174">
        <w:rPr>
          <w:rFonts w:ascii="Garamond" w:hAnsi="Garamond" w:cs="Arial"/>
          <w:sz w:val="24"/>
          <w:szCs w:val="24"/>
          <w:lang w:val="pt-BR"/>
        </w:rPr>
        <w:t>, a Lei 10</w:t>
      </w:r>
      <w:r w:rsidR="000071E6">
        <w:rPr>
          <w:rFonts w:ascii="Garamond" w:hAnsi="Garamond" w:cs="Arial"/>
          <w:sz w:val="24"/>
          <w:szCs w:val="24"/>
          <w:lang w:val="pt-BR"/>
        </w:rPr>
        <w:t xml:space="preserve"> </w:t>
      </w:r>
      <w:r w:rsidR="004C140F" w:rsidRPr="003A1174">
        <w:rPr>
          <w:rFonts w:ascii="Garamond" w:hAnsi="Garamond" w:cs="Arial"/>
          <w:sz w:val="24"/>
          <w:szCs w:val="24"/>
          <w:lang w:val="pt-BR"/>
        </w:rPr>
        <w:t xml:space="preserve">778, de 24 de novembro de 2003, estabelece a notificação compulsória, no território nacional, dos casos de violência contra as mulheres que forem atendidas em serviços de saúde públicos ou privados, entendendo por </w:t>
      </w:r>
      <w:r w:rsidR="000350B1" w:rsidRPr="003A1174">
        <w:rPr>
          <w:rFonts w:ascii="Garamond" w:hAnsi="Garamond" w:cs="Arial"/>
          <w:sz w:val="24"/>
          <w:szCs w:val="24"/>
          <w:lang w:val="pt-BR"/>
        </w:rPr>
        <w:t>violência</w:t>
      </w:r>
      <w:r w:rsidR="004C140F" w:rsidRPr="003A1174">
        <w:rPr>
          <w:rFonts w:ascii="Garamond" w:hAnsi="Garamond" w:cs="Arial"/>
          <w:sz w:val="24"/>
          <w:szCs w:val="24"/>
          <w:lang w:val="pt-BR"/>
        </w:rPr>
        <w:t xml:space="preserve"> contra a mulher </w:t>
      </w:r>
      <w:r w:rsidR="000071E6">
        <w:rPr>
          <w:rFonts w:ascii="Garamond" w:hAnsi="Garamond" w:cs="Arial"/>
          <w:sz w:val="24"/>
          <w:szCs w:val="24"/>
          <w:lang w:val="pt-BR"/>
        </w:rPr>
        <w:t>«</w:t>
      </w:r>
      <w:r w:rsidR="004C140F" w:rsidRPr="003A1174">
        <w:rPr>
          <w:rFonts w:ascii="Garamond" w:hAnsi="Garamond" w:cs="Arial"/>
          <w:sz w:val="24"/>
          <w:szCs w:val="24"/>
          <w:lang w:val="pt-BR"/>
        </w:rPr>
        <w:t xml:space="preserve">qualquer ação ou conduta, baseada no </w:t>
      </w:r>
      <w:r w:rsidR="00600E20" w:rsidRPr="003A1174">
        <w:rPr>
          <w:rFonts w:ascii="Garamond" w:hAnsi="Garamond" w:cs="Arial"/>
          <w:sz w:val="24"/>
          <w:szCs w:val="24"/>
          <w:lang w:val="pt-BR"/>
        </w:rPr>
        <w:t>género</w:t>
      </w:r>
      <w:r w:rsidR="004C140F" w:rsidRPr="003A1174">
        <w:rPr>
          <w:rFonts w:ascii="Garamond" w:hAnsi="Garamond" w:cs="Arial"/>
          <w:sz w:val="24"/>
          <w:szCs w:val="24"/>
          <w:lang w:val="pt-BR"/>
        </w:rPr>
        <w:t>, inclusive</w:t>
      </w:r>
      <w:r w:rsidR="000071E6">
        <w:rPr>
          <w:rFonts w:ascii="Garamond" w:hAnsi="Garamond" w:cs="Arial"/>
          <w:sz w:val="24"/>
          <w:szCs w:val="24"/>
          <w:lang w:val="pt-BR"/>
        </w:rPr>
        <w:t>,</w:t>
      </w:r>
      <w:r w:rsidR="004C140F" w:rsidRPr="003A1174">
        <w:rPr>
          <w:rFonts w:ascii="Garamond" w:hAnsi="Garamond" w:cs="Arial"/>
          <w:sz w:val="24"/>
          <w:szCs w:val="24"/>
          <w:lang w:val="pt-BR"/>
        </w:rPr>
        <w:t xml:space="preserve"> decorrente de discriminação ou desigualdade étnica, que cause morte, dano ou sofrimento físico, sexual ou psicológico à mulher, tanto no âmbito público quanto no privado</w:t>
      </w:r>
      <w:r w:rsidR="000071E6">
        <w:rPr>
          <w:rFonts w:ascii="Garamond" w:hAnsi="Garamond" w:cs="Arial"/>
          <w:sz w:val="24"/>
          <w:szCs w:val="24"/>
          <w:lang w:val="pt-BR"/>
        </w:rPr>
        <w:t>»</w:t>
      </w:r>
      <w:r w:rsidR="004C140F" w:rsidRPr="003A1174">
        <w:rPr>
          <w:rFonts w:ascii="Garamond" w:hAnsi="Garamond" w:cs="Arial"/>
          <w:sz w:val="24"/>
          <w:szCs w:val="24"/>
          <w:lang w:val="pt-BR"/>
        </w:rPr>
        <w:t xml:space="preserve"> (art. 1º, § 1</w:t>
      </w:r>
      <w:r w:rsidR="00FA42C9">
        <w:rPr>
          <w:rFonts w:ascii="Garamond" w:hAnsi="Garamond" w:cs="Arial"/>
          <w:sz w:val="24"/>
          <w:szCs w:val="24"/>
          <w:lang w:val="pt-BR"/>
        </w:rPr>
        <w:t>.</w:t>
      </w:r>
      <w:r w:rsidR="004C140F" w:rsidRPr="003A1174">
        <w:rPr>
          <w:rFonts w:ascii="Garamond" w:hAnsi="Garamond" w:cs="Arial"/>
          <w:sz w:val="24"/>
          <w:szCs w:val="24"/>
          <w:lang w:val="pt-BR"/>
        </w:rPr>
        <w:t>º).</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O Protocolo Regional de Atenção Integral às Vítimas de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modelo normativo de caráter regional sobre o procedimento e serviços de atenção às vítimas de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 elaborado no âmbito da atuação, em parceria, no âmbito do Programa de Cooperação EUROsociAL-</w:t>
      </w:r>
      <w:r w:rsidRPr="003A1174">
        <w:rPr>
          <w:rFonts w:ascii="Garamond" w:hAnsi="Garamond" w:cs="Arial"/>
          <w:i/>
          <w:iCs/>
          <w:sz w:val="24"/>
          <w:szCs w:val="24"/>
          <w:lang w:val="pt-BR"/>
        </w:rPr>
        <w:t>Programa para La Cohesión Social en América Latina</w:t>
      </w:r>
      <w:r w:rsidRPr="003A1174">
        <w:rPr>
          <w:rFonts w:ascii="Garamond" w:hAnsi="Garamond" w:cs="Arial"/>
          <w:sz w:val="24"/>
          <w:szCs w:val="24"/>
          <w:lang w:val="pt-BR"/>
        </w:rPr>
        <w:t>, COMJIB e AIAMP, acima referido, ressalta o importante papel dos serviços sanitários na detecção, prevenção,</w:t>
      </w:r>
      <w:r w:rsidRPr="003A1174">
        <w:rPr>
          <w:rFonts w:ascii="Garamond" w:hAnsi="Garamond" w:cs="Arial"/>
          <w:sz w:val="24"/>
          <w:szCs w:val="24"/>
        </w:rPr>
        <w:t xml:space="preserve"> </w:t>
      </w:r>
      <w:r w:rsidR="00A04525" w:rsidRPr="003A1174">
        <w:rPr>
          <w:rFonts w:ascii="Garamond" w:hAnsi="Garamond" w:cs="Arial"/>
          <w:sz w:val="24"/>
          <w:szCs w:val="24"/>
        </w:rPr>
        <w:t>perspetiva</w:t>
      </w:r>
      <w:r w:rsidRPr="003A1174">
        <w:rPr>
          <w:rFonts w:ascii="Garamond" w:hAnsi="Garamond" w:cs="Arial"/>
          <w:sz w:val="24"/>
          <w:szCs w:val="24"/>
          <w:lang w:val="pt-BR"/>
        </w:rPr>
        <w:t xml:space="preserve"> e </w:t>
      </w:r>
      <w:r w:rsidR="00FA42C9">
        <w:rPr>
          <w:rFonts w:ascii="Garamond" w:hAnsi="Garamond" w:cs="Arial"/>
          <w:sz w:val="24"/>
          <w:szCs w:val="24"/>
          <w:lang w:val="pt-BR"/>
        </w:rPr>
        <w:t xml:space="preserve">tratamento </w:t>
      </w:r>
      <w:r w:rsidRPr="003A1174">
        <w:rPr>
          <w:rFonts w:ascii="Garamond" w:hAnsi="Garamond" w:cs="Arial"/>
          <w:sz w:val="24"/>
          <w:szCs w:val="24"/>
          <w:lang w:val="pt-BR"/>
        </w:rPr>
        <w:t xml:space="preserve">da violência de </w:t>
      </w:r>
      <w:r w:rsidR="00600E20" w:rsidRPr="003A1174">
        <w:rPr>
          <w:rFonts w:ascii="Garamond" w:hAnsi="Garamond" w:cs="Arial"/>
          <w:sz w:val="24"/>
          <w:szCs w:val="24"/>
          <w:lang w:val="pt-BR"/>
        </w:rPr>
        <w:t>género</w:t>
      </w:r>
      <w:r w:rsidRPr="003A1174">
        <w:rPr>
          <w:rFonts w:ascii="Garamond" w:hAnsi="Garamond" w:cs="Arial"/>
          <w:sz w:val="24"/>
          <w:szCs w:val="24"/>
          <w:lang w:val="pt-BR"/>
        </w:rPr>
        <w:t>.</w:t>
      </w:r>
    </w:p>
    <w:p w:rsidR="000B3464" w:rsidRPr="003A1174" w:rsidRDefault="000B3464"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EA79DE" w:rsidP="008719D4">
      <w:pPr>
        <w:autoSpaceDE w:val="0"/>
        <w:autoSpaceDN w:val="0"/>
        <w:adjustRightInd w:val="0"/>
        <w:spacing w:after="0" w:line="240" w:lineRule="auto"/>
        <w:jc w:val="both"/>
        <w:rPr>
          <w:rFonts w:ascii="Garamond" w:hAnsi="Garamond" w:cs="Arial"/>
          <w:sz w:val="24"/>
          <w:szCs w:val="24"/>
          <w:lang w:val="pt-BR"/>
        </w:rPr>
      </w:pPr>
      <w:r>
        <w:rPr>
          <w:rFonts w:ascii="Garamond" w:hAnsi="Garamond" w:cs="Arial"/>
          <w:sz w:val="20"/>
          <w:szCs w:val="20"/>
          <w:lang w:val="pt-BR"/>
        </w:rPr>
        <w:t>(</w:t>
      </w:r>
      <w:r w:rsidR="004C140F" w:rsidRPr="00FA42C9">
        <w:rPr>
          <w:rFonts w:ascii="Garamond" w:hAnsi="Garamond" w:cs="Arial"/>
          <w:sz w:val="20"/>
          <w:szCs w:val="20"/>
          <w:lang w:val="pt-BR"/>
        </w:rPr>
        <w:t>39</w:t>
      </w:r>
      <w:r>
        <w:rPr>
          <w:rFonts w:ascii="Garamond" w:hAnsi="Garamond" w:cs="Arial"/>
          <w:sz w:val="20"/>
          <w:szCs w:val="20"/>
          <w:lang w:val="pt-BR"/>
        </w:rPr>
        <w:t>)</w:t>
      </w:r>
      <w:r w:rsidR="004C140F" w:rsidRPr="00FA42C9">
        <w:rPr>
          <w:rFonts w:ascii="Garamond" w:hAnsi="Garamond" w:cs="Arial"/>
          <w:sz w:val="20"/>
          <w:szCs w:val="20"/>
          <w:lang w:val="pt-BR"/>
        </w:rPr>
        <w:t xml:space="preserve"> </w:t>
      </w:r>
      <w:hyperlink r:id="rId25" w:history="1">
        <w:r w:rsidR="004C140F" w:rsidRPr="00FA42C9">
          <w:rPr>
            <w:rStyle w:val="Hipervnculo"/>
            <w:rFonts w:ascii="Garamond" w:hAnsi="Garamond" w:cs="Arial"/>
            <w:color w:val="auto"/>
            <w:sz w:val="20"/>
            <w:szCs w:val="20"/>
            <w:lang w:val="pt-BR"/>
          </w:rPr>
          <w:t>https://sistema3.planalto.gov.br//spmu/atendimento/atendimento_mulher.php?uf=TD</w:t>
        </w:r>
      </w:hyperlink>
      <w:r w:rsidR="004C140F" w:rsidRPr="00FA42C9">
        <w:rPr>
          <w:rFonts w:ascii="Garamond" w:hAnsi="Garamond" w:cs="Arial"/>
          <w:sz w:val="20"/>
          <w:szCs w:val="20"/>
          <w:lang w:val="pt-BR"/>
        </w:rPr>
        <w:t xml:space="preserve"> 53</w:t>
      </w:r>
    </w:p>
    <w:p w:rsidR="00FA42C9" w:rsidRDefault="00FA42C9" w:rsidP="00FA42C9">
      <w:pPr>
        <w:autoSpaceDE w:val="0"/>
        <w:autoSpaceDN w:val="0"/>
        <w:adjustRightInd w:val="0"/>
        <w:spacing w:after="0" w:line="240" w:lineRule="auto"/>
        <w:jc w:val="both"/>
        <w:rPr>
          <w:rFonts w:ascii="Garamond" w:hAnsi="Garamond" w:cs="Arial"/>
          <w:sz w:val="24"/>
          <w:szCs w:val="24"/>
          <w:lang w:val="pt-BR"/>
        </w:rPr>
      </w:pPr>
    </w:p>
    <w:p w:rsidR="00FA42C9" w:rsidRPr="00FA42C9" w:rsidRDefault="00FA42C9" w:rsidP="00FA42C9">
      <w:pPr>
        <w:autoSpaceDE w:val="0"/>
        <w:autoSpaceDN w:val="0"/>
        <w:adjustRightInd w:val="0"/>
        <w:spacing w:after="0" w:line="240" w:lineRule="auto"/>
        <w:jc w:val="both"/>
        <w:rPr>
          <w:rFonts w:ascii="Garamond" w:hAnsi="Garamond" w:cs="Arial"/>
          <w:b/>
          <w:i/>
          <w:sz w:val="24"/>
          <w:szCs w:val="24"/>
          <w:lang w:val="pt-BR"/>
        </w:rPr>
      </w:pPr>
      <w:r w:rsidRPr="00FA42C9">
        <w:rPr>
          <w:rFonts w:ascii="Garamond" w:hAnsi="Garamond" w:cs="Arial"/>
          <w:b/>
          <w:i/>
          <w:sz w:val="24"/>
          <w:szCs w:val="24"/>
          <w:lang w:val="pt-BR"/>
        </w:rPr>
        <w:t>Informações complementares</w:t>
      </w:r>
    </w:p>
    <w:p w:rsidR="00FA42C9" w:rsidRPr="003A1174" w:rsidRDefault="00FA42C9"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0B3464"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Por fim, entendemos importante registar as conclusões da pesquisa </w:t>
      </w:r>
      <w:r w:rsidR="00FA42C9">
        <w:rPr>
          <w:rFonts w:ascii="Garamond" w:hAnsi="Garamond" w:cs="Arial"/>
          <w:sz w:val="24"/>
          <w:szCs w:val="24"/>
          <w:lang w:val="pt-BR"/>
        </w:rPr>
        <w:t>«</w:t>
      </w:r>
      <w:r w:rsidRPr="003A1174">
        <w:rPr>
          <w:rFonts w:ascii="Garamond" w:hAnsi="Garamond" w:cs="Arial"/>
          <w:sz w:val="24"/>
          <w:szCs w:val="24"/>
          <w:lang w:val="pt-BR"/>
        </w:rPr>
        <w:t xml:space="preserve">Violência Contra </w:t>
      </w:r>
      <w:r w:rsidR="004C140F" w:rsidRPr="003A1174">
        <w:rPr>
          <w:rFonts w:ascii="Garamond" w:hAnsi="Garamond" w:cs="Arial"/>
          <w:sz w:val="24"/>
          <w:szCs w:val="24"/>
          <w:lang w:val="pt-BR"/>
        </w:rPr>
        <w:t>a Mulher e Acesso à Justiça</w:t>
      </w:r>
      <w:r w:rsidR="00FA42C9">
        <w:rPr>
          <w:rFonts w:ascii="Garamond" w:hAnsi="Garamond" w:cs="Arial"/>
          <w:sz w:val="24"/>
          <w:szCs w:val="24"/>
          <w:lang w:val="pt-BR"/>
        </w:rPr>
        <w:t>»</w:t>
      </w:r>
      <w:r w:rsidR="004C140F" w:rsidRPr="003A1174">
        <w:rPr>
          <w:rFonts w:ascii="Garamond" w:hAnsi="Garamond" w:cs="Arial"/>
          <w:sz w:val="24"/>
          <w:szCs w:val="24"/>
          <w:lang w:val="pt-BR"/>
        </w:rPr>
        <w:t xml:space="preserve">, realizada pela CEPIA – organização não governamental, sem fins lucrativos, </w:t>
      </w:r>
      <w:r w:rsidR="00FA42C9">
        <w:rPr>
          <w:rFonts w:ascii="Garamond" w:hAnsi="Garamond" w:cs="Arial"/>
          <w:sz w:val="24"/>
          <w:szCs w:val="24"/>
          <w:lang w:val="pt-BR"/>
        </w:rPr>
        <w:t xml:space="preserve">vocacionada </w:t>
      </w:r>
      <w:r w:rsidR="004C140F" w:rsidRPr="003A1174">
        <w:rPr>
          <w:rFonts w:ascii="Garamond" w:hAnsi="Garamond" w:cs="Arial"/>
          <w:sz w:val="24"/>
          <w:szCs w:val="24"/>
          <w:lang w:val="pt-BR"/>
        </w:rPr>
        <w:t>para a execução de projetos que contribuam para a ampliação e efetivação dos direitos humanos e o fortalecimento da cidadania</w:t>
      </w:r>
      <w:r w:rsidR="00FA42C9">
        <w:rPr>
          <w:rFonts w:ascii="Garamond" w:hAnsi="Garamond" w:cs="Arial"/>
          <w:sz w:val="24"/>
          <w:szCs w:val="24"/>
          <w:lang w:val="pt-BR"/>
        </w:rPr>
        <w:t>,</w:t>
      </w:r>
      <w:r w:rsidR="004C140F" w:rsidRPr="003A1174">
        <w:rPr>
          <w:rFonts w:ascii="Garamond" w:hAnsi="Garamond" w:cs="Arial"/>
          <w:sz w:val="24"/>
          <w:szCs w:val="24"/>
          <w:lang w:val="pt-BR"/>
        </w:rPr>
        <w:t xml:space="preserve"> especialmente</w:t>
      </w:r>
      <w:r w:rsidR="00FA42C9">
        <w:rPr>
          <w:rFonts w:ascii="Garamond" w:hAnsi="Garamond" w:cs="Arial"/>
          <w:sz w:val="24"/>
          <w:szCs w:val="24"/>
          <w:lang w:val="pt-BR"/>
        </w:rPr>
        <w:t>,</w:t>
      </w:r>
      <w:r w:rsidR="004C140F" w:rsidRPr="003A1174">
        <w:rPr>
          <w:rFonts w:ascii="Garamond" w:hAnsi="Garamond" w:cs="Arial"/>
          <w:sz w:val="24"/>
          <w:szCs w:val="24"/>
          <w:lang w:val="pt-BR"/>
        </w:rPr>
        <w:t xml:space="preserve"> dos grupos vulneráveis – com o objetivo </w:t>
      </w:r>
      <w:r w:rsidRPr="003A1174">
        <w:rPr>
          <w:rFonts w:ascii="Garamond" w:hAnsi="Garamond" w:cs="Arial"/>
          <w:sz w:val="24"/>
          <w:szCs w:val="24"/>
          <w:lang w:val="pt-BR"/>
        </w:rPr>
        <w:t xml:space="preserve">de </w:t>
      </w:r>
      <w:r w:rsidR="004C140F" w:rsidRPr="003A1174">
        <w:rPr>
          <w:rFonts w:ascii="Garamond" w:hAnsi="Garamond" w:cs="Arial"/>
          <w:sz w:val="24"/>
          <w:szCs w:val="24"/>
          <w:lang w:val="pt-BR"/>
        </w:rPr>
        <w:t>analisar a efetividade da aplicação da Lei 11</w:t>
      </w:r>
      <w:r w:rsidR="00FA42C9">
        <w:rPr>
          <w:rFonts w:ascii="Garamond" w:hAnsi="Garamond" w:cs="Arial"/>
          <w:sz w:val="24"/>
          <w:szCs w:val="24"/>
          <w:lang w:val="pt-BR"/>
        </w:rPr>
        <w:t xml:space="preserve"> </w:t>
      </w:r>
      <w:r w:rsidR="004C140F" w:rsidRPr="003A1174">
        <w:rPr>
          <w:rFonts w:ascii="Garamond" w:hAnsi="Garamond" w:cs="Arial"/>
          <w:sz w:val="24"/>
          <w:szCs w:val="24"/>
          <w:lang w:val="pt-BR"/>
        </w:rPr>
        <w:t xml:space="preserve">340/2006 (Lei Maria da Penha). Foi realizada pelo grupo </w:t>
      </w:r>
      <w:r w:rsidRPr="003A1174">
        <w:rPr>
          <w:rFonts w:ascii="Garamond" w:hAnsi="Garamond" w:cs="Arial"/>
          <w:sz w:val="24"/>
          <w:szCs w:val="24"/>
          <w:lang w:val="pt-BR"/>
        </w:rPr>
        <w:t xml:space="preserve">de </w:t>
      </w:r>
      <w:r w:rsidR="004C140F" w:rsidRPr="003A1174">
        <w:rPr>
          <w:rFonts w:ascii="Garamond" w:hAnsi="Garamond" w:cs="Arial"/>
          <w:sz w:val="24"/>
          <w:szCs w:val="24"/>
          <w:lang w:val="pt-BR"/>
        </w:rPr>
        <w:t>pesquisa empírica</w:t>
      </w:r>
      <w:r w:rsidR="009A0A27">
        <w:rPr>
          <w:rFonts w:ascii="Garamond" w:hAnsi="Garamond" w:cs="Arial"/>
          <w:sz w:val="24"/>
          <w:szCs w:val="24"/>
          <w:lang w:val="pt-BR"/>
        </w:rPr>
        <w:t>,</w:t>
      </w:r>
      <w:r w:rsidR="004C140F" w:rsidRPr="003A1174">
        <w:rPr>
          <w:rFonts w:ascii="Garamond" w:hAnsi="Garamond" w:cs="Arial"/>
          <w:sz w:val="24"/>
          <w:szCs w:val="24"/>
          <w:lang w:val="pt-BR"/>
        </w:rPr>
        <w:t xml:space="preserve"> com foco incidente sobre as instituições de segurança pública e justiça e a forma como seus operadores </w:t>
      </w:r>
      <w:r w:rsidR="009A0A27">
        <w:rPr>
          <w:rFonts w:ascii="Garamond" w:hAnsi="Garamond" w:cs="Arial"/>
          <w:sz w:val="24"/>
          <w:szCs w:val="24"/>
          <w:lang w:val="pt-BR"/>
        </w:rPr>
        <w:t xml:space="preserve">interpretam </w:t>
      </w:r>
      <w:r w:rsidR="004C140F" w:rsidRPr="003A1174">
        <w:rPr>
          <w:rFonts w:ascii="Garamond" w:hAnsi="Garamond" w:cs="Arial"/>
          <w:sz w:val="24"/>
          <w:szCs w:val="24"/>
          <w:lang w:val="pt-BR"/>
        </w:rPr>
        <w:t>a Lei 11</w:t>
      </w:r>
      <w:r w:rsidR="00FA42C9">
        <w:rPr>
          <w:rFonts w:ascii="Garamond" w:hAnsi="Garamond" w:cs="Arial"/>
          <w:sz w:val="24"/>
          <w:szCs w:val="24"/>
          <w:lang w:val="pt-BR"/>
        </w:rPr>
        <w:t xml:space="preserve"> </w:t>
      </w:r>
      <w:r w:rsidR="004C140F" w:rsidRPr="003A1174">
        <w:rPr>
          <w:rFonts w:ascii="Garamond" w:hAnsi="Garamond" w:cs="Arial"/>
          <w:sz w:val="24"/>
          <w:szCs w:val="24"/>
          <w:lang w:val="pt-BR"/>
        </w:rPr>
        <w:t>340/2006 e sua aplicação na rotina das delegacias e juizados. Foram analisadas realidades em cinco capitais: Porto</w:t>
      </w:r>
      <w:r w:rsidRPr="003A1174">
        <w:rPr>
          <w:rFonts w:ascii="Garamond" w:hAnsi="Garamond" w:cs="Arial"/>
          <w:sz w:val="24"/>
          <w:szCs w:val="24"/>
          <w:lang w:val="pt-BR"/>
        </w:rPr>
        <w:t xml:space="preserve"> </w:t>
      </w:r>
      <w:r w:rsidR="004C140F" w:rsidRPr="003A1174">
        <w:rPr>
          <w:rFonts w:ascii="Garamond" w:hAnsi="Garamond" w:cs="Arial"/>
          <w:sz w:val="24"/>
          <w:szCs w:val="24"/>
          <w:lang w:val="pt-BR"/>
        </w:rPr>
        <w:t>Alegre (RS), Recife (PE), Rio de Janeiro (RJ), Salvador (BA) e São Paulo (SP). Eis as concl</w:t>
      </w:r>
      <w:r w:rsidRPr="003A1174">
        <w:rPr>
          <w:rFonts w:ascii="Garamond" w:hAnsi="Garamond" w:cs="Arial"/>
          <w:sz w:val="24"/>
          <w:szCs w:val="24"/>
          <w:lang w:val="pt-BR"/>
        </w:rPr>
        <w:t>usões alcançadas que respondem à</w:t>
      </w:r>
      <w:r w:rsidR="004C140F" w:rsidRPr="003A1174">
        <w:rPr>
          <w:rFonts w:ascii="Garamond" w:hAnsi="Garamond" w:cs="Arial"/>
          <w:sz w:val="24"/>
          <w:szCs w:val="24"/>
          <w:lang w:val="pt-BR"/>
        </w:rPr>
        <w:t>s quest</w:t>
      </w:r>
      <w:r w:rsidRPr="003A1174">
        <w:rPr>
          <w:rFonts w:ascii="Garamond" w:hAnsi="Garamond" w:cs="Arial"/>
          <w:sz w:val="24"/>
          <w:szCs w:val="24"/>
          <w:lang w:val="pt-BR"/>
        </w:rPr>
        <w:t xml:space="preserve">ões </w:t>
      </w:r>
      <w:r w:rsidR="004C140F" w:rsidRPr="003A1174">
        <w:rPr>
          <w:rFonts w:ascii="Garamond" w:hAnsi="Garamond" w:cs="Arial"/>
          <w:sz w:val="24"/>
          <w:szCs w:val="24"/>
          <w:lang w:val="pt-BR"/>
        </w:rPr>
        <w:t>apresentados pela FIO, especialmente nos itens 2,</w:t>
      </w:r>
      <w:r w:rsidR="009A0A27">
        <w:rPr>
          <w:rFonts w:ascii="Garamond" w:hAnsi="Garamond" w:cs="Arial"/>
          <w:sz w:val="24"/>
          <w:szCs w:val="24"/>
          <w:lang w:val="pt-BR"/>
        </w:rPr>
        <w:t xml:space="preserve"> </w:t>
      </w:r>
      <w:r w:rsidR="004C140F" w:rsidRPr="003A1174">
        <w:rPr>
          <w:rFonts w:ascii="Garamond" w:hAnsi="Garamond" w:cs="Arial"/>
          <w:sz w:val="24"/>
          <w:szCs w:val="24"/>
          <w:lang w:val="pt-BR"/>
        </w:rPr>
        <w:t>3,</w:t>
      </w:r>
      <w:r w:rsidR="009A0A27">
        <w:rPr>
          <w:rFonts w:ascii="Garamond" w:hAnsi="Garamond" w:cs="Arial"/>
          <w:sz w:val="24"/>
          <w:szCs w:val="24"/>
          <w:lang w:val="pt-BR"/>
        </w:rPr>
        <w:t xml:space="preserve"> </w:t>
      </w:r>
      <w:r w:rsidR="004C140F" w:rsidRPr="003A1174">
        <w:rPr>
          <w:rFonts w:ascii="Garamond" w:hAnsi="Garamond" w:cs="Arial"/>
          <w:sz w:val="24"/>
          <w:szCs w:val="24"/>
          <w:lang w:val="pt-BR"/>
        </w:rPr>
        <w:t>4 e 9:</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1. A criação de órgãos especializados para promover a transversalização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nas políticas públicas e institucionais e </w:t>
      </w:r>
      <w:r w:rsidR="009A0A27">
        <w:rPr>
          <w:rFonts w:ascii="Garamond" w:hAnsi="Garamond" w:cs="Arial"/>
          <w:sz w:val="24"/>
          <w:szCs w:val="24"/>
          <w:lang w:val="pt-BR"/>
        </w:rPr>
        <w:t xml:space="preserve">a </w:t>
      </w:r>
      <w:r w:rsidRPr="003A1174">
        <w:rPr>
          <w:rFonts w:ascii="Garamond" w:hAnsi="Garamond" w:cs="Arial"/>
          <w:sz w:val="24"/>
          <w:szCs w:val="24"/>
          <w:lang w:val="pt-BR"/>
        </w:rPr>
        <w:t xml:space="preserve">implementação da Lei Maria da Penha não </w:t>
      </w:r>
      <w:r w:rsidR="000B3464" w:rsidRPr="003A1174">
        <w:rPr>
          <w:rFonts w:ascii="Garamond" w:hAnsi="Garamond" w:cs="Arial"/>
          <w:sz w:val="24"/>
          <w:szCs w:val="24"/>
          <w:lang w:val="pt-BR"/>
        </w:rPr>
        <w:t xml:space="preserve">se </w:t>
      </w:r>
      <w:r w:rsidRPr="003A1174">
        <w:rPr>
          <w:rFonts w:ascii="Garamond" w:hAnsi="Garamond" w:cs="Arial"/>
          <w:sz w:val="24"/>
          <w:szCs w:val="24"/>
          <w:lang w:val="pt-BR"/>
        </w:rPr>
        <w:t xml:space="preserve">tem mostrado suficiente para garantir que sua contribuição seja efetiva para modificar os contextos institucionais e promover a aplicação integral da </w:t>
      </w:r>
      <w:r w:rsidR="009A0A27">
        <w:rPr>
          <w:rFonts w:ascii="Garamond" w:hAnsi="Garamond" w:cs="Arial"/>
          <w:sz w:val="24"/>
          <w:szCs w:val="24"/>
          <w:lang w:val="pt-BR"/>
        </w:rPr>
        <w:t>l</w:t>
      </w:r>
      <w:r w:rsidRPr="003A1174">
        <w:rPr>
          <w:rFonts w:ascii="Garamond" w:hAnsi="Garamond" w:cs="Arial"/>
          <w:sz w:val="24"/>
          <w:szCs w:val="24"/>
          <w:lang w:val="pt-BR"/>
        </w:rPr>
        <w:t>ei. A falta de estrutura administrativa, financeira e de recursos humanos são reveladores d</w:t>
      </w:r>
      <w:r w:rsidR="009A0A27">
        <w:rPr>
          <w:rFonts w:ascii="Garamond" w:hAnsi="Garamond" w:cs="Arial"/>
          <w:sz w:val="24"/>
          <w:szCs w:val="24"/>
          <w:lang w:val="pt-BR"/>
        </w:rPr>
        <w:t>a</w:t>
      </w:r>
      <w:r w:rsidRPr="003A1174">
        <w:rPr>
          <w:rFonts w:ascii="Garamond" w:hAnsi="Garamond" w:cs="Arial"/>
          <w:sz w:val="24"/>
          <w:szCs w:val="24"/>
          <w:lang w:val="pt-BR"/>
        </w:rPr>
        <w:t xml:space="preserve"> sua baixa institucionalidade, mas as limitações de natureza política, de coordenação e gestão das atividades e projetos</w:t>
      </w:r>
      <w:r w:rsidR="009A0A27">
        <w:rPr>
          <w:rFonts w:ascii="Garamond" w:hAnsi="Garamond" w:cs="Arial"/>
          <w:sz w:val="24"/>
          <w:szCs w:val="24"/>
          <w:lang w:val="pt-BR"/>
        </w:rPr>
        <w:t>,</w:t>
      </w:r>
      <w:r w:rsidRPr="003A1174">
        <w:rPr>
          <w:rFonts w:ascii="Garamond" w:hAnsi="Garamond" w:cs="Arial"/>
          <w:sz w:val="24"/>
          <w:szCs w:val="24"/>
          <w:lang w:val="pt-BR"/>
        </w:rPr>
        <w:t xml:space="preserve"> que devem desempenhar, é o maior problema que esses órgãos enfrentam para alavancar </w:t>
      </w:r>
      <w:r w:rsidR="009A0A27">
        <w:rPr>
          <w:rFonts w:ascii="Garamond" w:hAnsi="Garamond" w:cs="Arial"/>
          <w:sz w:val="24"/>
          <w:szCs w:val="24"/>
          <w:lang w:val="pt-BR"/>
        </w:rPr>
        <w:t xml:space="preserve">a </w:t>
      </w:r>
      <w:r w:rsidRPr="003A1174">
        <w:rPr>
          <w:rFonts w:ascii="Garamond" w:hAnsi="Garamond" w:cs="Arial"/>
          <w:sz w:val="24"/>
          <w:szCs w:val="24"/>
          <w:lang w:val="pt-BR"/>
        </w:rPr>
        <w:t>sua atuação, decorrentes da estrutura tradicional das instituições e da leitura tradicional do Direito que orienta as práticas dos profissionais.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lastRenderedPageBreak/>
        <w:t>2. Identificou-se</w:t>
      </w:r>
      <w:r w:rsidR="009A0A27">
        <w:rPr>
          <w:rFonts w:ascii="Garamond" w:hAnsi="Garamond" w:cs="Arial"/>
          <w:sz w:val="24"/>
          <w:szCs w:val="24"/>
          <w:lang w:val="pt-BR"/>
        </w:rPr>
        <w:t>,</w:t>
      </w:r>
      <w:r w:rsidRPr="003A1174">
        <w:rPr>
          <w:rFonts w:ascii="Garamond" w:hAnsi="Garamond" w:cs="Arial"/>
          <w:sz w:val="24"/>
          <w:szCs w:val="24"/>
          <w:lang w:val="pt-BR"/>
        </w:rPr>
        <w:t xml:space="preserve"> também</w:t>
      </w:r>
      <w:r w:rsidR="009A0A27">
        <w:rPr>
          <w:rFonts w:ascii="Garamond" w:hAnsi="Garamond" w:cs="Arial"/>
          <w:sz w:val="24"/>
          <w:szCs w:val="24"/>
          <w:lang w:val="pt-BR"/>
        </w:rPr>
        <w:t>,</w:t>
      </w:r>
      <w:r w:rsidRPr="003A1174">
        <w:rPr>
          <w:rFonts w:ascii="Garamond" w:hAnsi="Garamond" w:cs="Arial"/>
          <w:sz w:val="24"/>
          <w:szCs w:val="24"/>
          <w:lang w:val="pt-BR"/>
        </w:rPr>
        <w:t xml:space="preserve"> que a atuação desses setores</w:t>
      </w:r>
      <w:r w:rsidR="009A0A27">
        <w:rPr>
          <w:rFonts w:ascii="Garamond" w:hAnsi="Garamond" w:cs="Arial"/>
          <w:sz w:val="24"/>
          <w:szCs w:val="24"/>
          <w:lang w:val="pt-BR"/>
        </w:rPr>
        <w:t>,</w:t>
      </w:r>
      <w:r w:rsidRPr="003A1174">
        <w:rPr>
          <w:rFonts w:ascii="Garamond" w:hAnsi="Garamond" w:cs="Arial"/>
          <w:sz w:val="24"/>
          <w:szCs w:val="24"/>
          <w:lang w:val="pt-BR"/>
        </w:rPr>
        <w:t xml:space="preserve"> ainda se </w:t>
      </w:r>
      <w:r w:rsidR="009A0A27">
        <w:rPr>
          <w:rFonts w:ascii="Garamond" w:hAnsi="Garamond" w:cs="Arial"/>
          <w:sz w:val="24"/>
          <w:szCs w:val="24"/>
          <w:lang w:val="pt-BR"/>
        </w:rPr>
        <w:t>faz</w:t>
      </w:r>
      <w:r w:rsidRPr="003A1174">
        <w:rPr>
          <w:rFonts w:ascii="Garamond" w:hAnsi="Garamond" w:cs="Arial"/>
          <w:sz w:val="24"/>
          <w:szCs w:val="24"/>
          <w:lang w:val="pt-BR"/>
        </w:rPr>
        <w:t xml:space="preserve"> numa lógica muito segmentada, não</w:t>
      </w:r>
      <w:r w:rsidRPr="003A1174">
        <w:rPr>
          <w:rFonts w:ascii="Garamond" w:hAnsi="Garamond" w:cs="Arial"/>
          <w:sz w:val="24"/>
          <w:szCs w:val="24"/>
        </w:rPr>
        <w:t xml:space="preserve"> intersetorial</w:t>
      </w:r>
      <w:r w:rsidR="009A0A27">
        <w:rPr>
          <w:rFonts w:ascii="Garamond" w:hAnsi="Garamond" w:cs="Arial"/>
          <w:sz w:val="24"/>
          <w:szCs w:val="24"/>
        </w:rPr>
        <w:t>,</w:t>
      </w:r>
      <w:r w:rsidRPr="003A1174">
        <w:rPr>
          <w:rFonts w:ascii="Garamond" w:hAnsi="Garamond" w:cs="Arial"/>
          <w:sz w:val="24"/>
          <w:szCs w:val="24"/>
          <w:lang w:val="pt-BR"/>
        </w:rPr>
        <w:t xml:space="preserve"> com poucas parcerias e atividades colaborativas entre os profissionais e os setores.</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3. </w:t>
      </w:r>
      <w:r w:rsidRPr="003A1174">
        <w:rPr>
          <w:rFonts w:ascii="Garamond" w:hAnsi="Garamond" w:cs="Arial"/>
          <w:sz w:val="24"/>
          <w:szCs w:val="24"/>
        </w:rPr>
        <w:t>Há uma distância</w:t>
      </w:r>
      <w:r w:rsidR="009A0A27">
        <w:rPr>
          <w:rFonts w:ascii="Garamond" w:hAnsi="Garamond" w:cs="Arial"/>
          <w:sz w:val="24"/>
          <w:szCs w:val="24"/>
        </w:rPr>
        <w:t xml:space="preserve">, </w:t>
      </w:r>
      <w:r w:rsidRPr="003A1174">
        <w:rPr>
          <w:rFonts w:ascii="Garamond" w:hAnsi="Garamond" w:cs="Arial"/>
          <w:sz w:val="24"/>
          <w:szCs w:val="24"/>
        </w:rPr>
        <w:t>relativamente grande</w:t>
      </w:r>
      <w:r w:rsidR="009A0A27">
        <w:rPr>
          <w:rFonts w:ascii="Garamond" w:hAnsi="Garamond" w:cs="Arial"/>
          <w:sz w:val="24"/>
          <w:szCs w:val="24"/>
        </w:rPr>
        <w:t>,</w:t>
      </w:r>
      <w:r w:rsidRPr="003A1174">
        <w:rPr>
          <w:rFonts w:ascii="Garamond" w:hAnsi="Garamond" w:cs="Arial"/>
          <w:sz w:val="24"/>
          <w:szCs w:val="24"/>
        </w:rPr>
        <w:t xml:space="preserve"> entre os órgãos que </w:t>
      </w:r>
      <w:r w:rsidR="009A0A27">
        <w:rPr>
          <w:rFonts w:ascii="Garamond" w:hAnsi="Garamond" w:cs="Arial"/>
          <w:sz w:val="24"/>
          <w:szCs w:val="24"/>
        </w:rPr>
        <w:t xml:space="preserve">conceberam </w:t>
      </w:r>
      <w:r w:rsidRPr="003A1174">
        <w:rPr>
          <w:rFonts w:ascii="Garamond" w:hAnsi="Garamond" w:cs="Arial"/>
          <w:sz w:val="24"/>
          <w:szCs w:val="24"/>
        </w:rPr>
        <w:t>a</w:t>
      </w:r>
      <w:r w:rsidR="000B3464" w:rsidRPr="003A1174">
        <w:rPr>
          <w:rFonts w:ascii="Garamond" w:hAnsi="Garamond" w:cs="Arial"/>
          <w:sz w:val="24"/>
          <w:szCs w:val="24"/>
        </w:rPr>
        <w:t xml:space="preserve"> </w:t>
      </w:r>
      <w:r w:rsidRPr="003A1174">
        <w:rPr>
          <w:rFonts w:ascii="Garamond" w:hAnsi="Garamond" w:cs="Arial"/>
          <w:sz w:val="24"/>
          <w:szCs w:val="24"/>
        </w:rPr>
        <w:t xml:space="preserve">implementação da </w:t>
      </w:r>
      <w:r w:rsidR="009A0A27">
        <w:rPr>
          <w:rFonts w:ascii="Garamond" w:hAnsi="Garamond" w:cs="Arial"/>
          <w:sz w:val="24"/>
          <w:szCs w:val="24"/>
        </w:rPr>
        <w:t>l</w:t>
      </w:r>
      <w:r w:rsidRPr="003A1174">
        <w:rPr>
          <w:rFonts w:ascii="Garamond" w:hAnsi="Garamond" w:cs="Arial"/>
          <w:sz w:val="24"/>
          <w:szCs w:val="24"/>
        </w:rPr>
        <w:t xml:space="preserve">ei e aqueles </w:t>
      </w:r>
      <w:r w:rsidR="009A0A27">
        <w:rPr>
          <w:rFonts w:ascii="Garamond" w:hAnsi="Garamond" w:cs="Arial"/>
          <w:sz w:val="24"/>
          <w:szCs w:val="24"/>
        </w:rPr>
        <w:t xml:space="preserve">que a </w:t>
      </w:r>
      <w:r w:rsidRPr="003A1174">
        <w:rPr>
          <w:rFonts w:ascii="Garamond" w:hAnsi="Garamond" w:cs="Arial"/>
          <w:sz w:val="24"/>
          <w:szCs w:val="24"/>
        </w:rPr>
        <w:t>execu</w:t>
      </w:r>
      <w:r w:rsidR="009A0A27">
        <w:rPr>
          <w:rFonts w:ascii="Garamond" w:hAnsi="Garamond" w:cs="Arial"/>
          <w:sz w:val="24"/>
          <w:szCs w:val="24"/>
        </w:rPr>
        <w:t>tam</w:t>
      </w:r>
      <w:r w:rsidRPr="003A1174">
        <w:rPr>
          <w:rFonts w:ascii="Garamond" w:hAnsi="Garamond" w:cs="Arial"/>
          <w:sz w:val="24"/>
          <w:szCs w:val="24"/>
        </w:rPr>
        <w:t xml:space="preserve"> e aplica</w:t>
      </w:r>
      <w:r w:rsidR="009A0A27">
        <w:rPr>
          <w:rFonts w:ascii="Garamond" w:hAnsi="Garamond" w:cs="Arial"/>
          <w:sz w:val="24"/>
          <w:szCs w:val="24"/>
        </w:rPr>
        <w:t>m.</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Essa distância reflete</w:t>
      </w:r>
      <w:r w:rsidR="000B3464" w:rsidRPr="003A1174">
        <w:rPr>
          <w:rFonts w:ascii="Garamond" w:hAnsi="Garamond" w:cs="Arial"/>
          <w:sz w:val="24"/>
          <w:szCs w:val="24"/>
          <w:lang w:val="pt-BR"/>
        </w:rPr>
        <w:t>-se</w:t>
      </w:r>
      <w:r w:rsidRPr="003A1174">
        <w:rPr>
          <w:rFonts w:ascii="Garamond" w:hAnsi="Garamond" w:cs="Arial"/>
          <w:sz w:val="24"/>
          <w:szCs w:val="24"/>
          <w:lang w:val="pt-BR"/>
        </w:rPr>
        <w:t xml:space="preserve"> nos discursos dos profissionais e nos diferentes</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 xml:space="preserve">entendimentos sobre a lei, a violência doméstica e familiar e sobre as respostas que podem (devem) ser oferecidas </w:t>
      </w:r>
      <w:r w:rsidR="000B3464" w:rsidRPr="003A1174">
        <w:rPr>
          <w:rFonts w:ascii="Garamond" w:hAnsi="Garamond" w:cs="Arial"/>
          <w:sz w:val="24"/>
          <w:szCs w:val="24"/>
          <w:lang w:val="pt-BR"/>
        </w:rPr>
        <w:t>à</w:t>
      </w:r>
      <w:r w:rsidRPr="003A1174">
        <w:rPr>
          <w:rFonts w:ascii="Garamond" w:hAnsi="Garamond" w:cs="Arial"/>
          <w:sz w:val="24"/>
          <w:szCs w:val="24"/>
          <w:lang w:val="pt-BR"/>
        </w:rPr>
        <w:t xml:space="preserve">s mulheres. </w:t>
      </w:r>
      <w:r w:rsidRPr="003A1174">
        <w:rPr>
          <w:rFonts w:ascii="Garamond" w:hAnsi="Garamond" w:cs="Arial"/>
          <w:sz w:val="24"/>
          <w:szCs w:val="24"/>
        </w:rPr>
        <w:t>Com preocupação</w:t>
      </w:r>
      <w:r w:rsidR="000B3464" w:rsidRPr="003A1174">
        <w:rPr>
          <w:rFonts w:ascii="Garamond" w:hAnsi="Garamond" w:cs="Arial"/>
          <w:sz w:val="24"/>
          <w:szCs w:val="24"/>
        </w:rPr>
        <w:t xml:space="preserve">, </w:t>
      </w:r>
      <w:r w:rsidRPr="003A1174">
        <w:rPr>
          <w:rFonts w:ascii="Garamond" w:hAnsi="Garamond" w:cs="Arial"/>
          <w:sz w:val="24"/>
          <w:szCs w:val="24"/>
        </w:rPr>
        <w:t>observou</w:t>
      </w:r>
      <w:r w:rsidR="000B3464" w:rsidRPr="003A1174">
        <w:rPr>
          <w:rFonts w:ascii="Garamond" w:hAnsi="Garamond" w:cs="Arial"/>
          <w:sz w:val="24"/>
          <w:szCs w:val="24"/>
        </w:rPr>
        <w:t>-se</w:t>
      </w:r>
      <w:r w:rsidRPr="003A1174">
        <w:rPr>
          <w:rFonts w:ascii="Garamond" w:hAnsi="Garamond" w:cs="Arial"/>
          <w:sz w:val="24"/>
          <w:szCs w:val="24"/>
        </w:rPr>
        <w:t xml:space="preserve"> que</w:t>
      </w:r>
      <w:r w:rsidR="009A0A27">
        <w:rPr>
          <w:rFonts w:ascii="Garamond" w:hAnsi="Garamond" w:cs="Arial"/>
          <w:sz w:val="24"/>
          <w:szCs w:val="24"/>
        </w:rPr>
        <w:t>,</w:t>
      </w:r>
      <w:r w:rsidRPr="003A1174">
        <w:rPr>
          <w:rFonts w:ascii="Garamond" w:hAnsi="Garamond" w:cs="Arial"/>
          <w:sz w:val="24"/>
          <w:szCs w:val="24"/>
        </w:rPr>
        <w:t xml:space="preserve"> uma </w:t>
      </w:r>
      <w:r w:rsidR="00A04525" w:rsidRPr="003A1174">
        <w:rPr>
          <w:rFonts w:ascii="Garamond" w:hAnsi="Garamond" w:cs="Arial"/>
          <w:sz w:val="24"/>
          <w:szCs w:val="24"/>
        </w:rPr>
        <w:t>perspetiva</w:t>
      </w:r>
      <w:r w:rsidRPr="003A1174">
        <w:rPr>
          <w:rFonts w:ascii="Garamond" w:hAnsi="Garamond" w:cs="Arial"/>
          <w:sz w:val="24"/>
          <w:szCs w:val="24"/>
        </w:rPr>
        <w:t xml:space="preserve"> de </w:t>
      </w:r>
      <w:r w:rsidR="00600E20" w:rsidRPr="003A1174">
        <w:rPr>
          <w:rFonts w:ascii="Garamond" w:hAnsi="Garamond" w:cs="Arial"/>
          <w:sz w:val="24"/>
          <w:szCs w:val="24"/>
        </w:rPr>
        <w:t>género</w:t>
      </w:r>
      <w:r w:rsidRPr="003A1174">
        <w:rPr>
          <w:rFonts w:ascii="Garamond" w:hAnsi="Garamond" w:cs="Arial"/>
          <w:sz w:val="24"/>
          <w:szCs w:val="24"/>
        </w:rPr>
        <w:t xml:space="preserve"> e a especialização do atendimento</w:t>
      </w:r>
      <w:r w:rsidR="009A0A27">
        <w:rPr>
          <w:rFonts w:ascii="Garamond" w:hAnsi="Garamond" w:cs="Arial"/>
          <w:sz w:val="24"/>
          <w:szCs w:val="24"/>
        </w:rPr>
        <w:t>,</w:t>
      </w:r>
      <w:r w:rsidRPr="003A1174">
        <w:rPr>
          <w:rFonts w:ascii="Garamond" w:hAnsi="Garamond" w:cs="Arial"/>
          <w:sz w:val="24"/>
          <w:szCs w:val="24"/>
        </w:rPr>
        <w:t xml:space="preserve"> está seriamente </w:t>
      </w:r>
      <w:proofErr w:type="gramStart"/>
      <w:r w:rsidRPr="003A1174">
        <w:rPr>
          <w:rFonts w:ascii="Garamond" w:hAnsi="Garamond" w:cs="Arial"/>
          <w:sz w:val="24"/>
          <w:szCs w:val="24"/>
        </w:rPr>
        <w:t>comprometida</w:t>
      </w:r>
      <w:proofErr w:type="gramEnd"/>
      <w:r w:rsidRPr="003A1174">
        <w:rPr>
          <w:rFonts w:ascii="Garamond" w:hAnsi="Garamond" w:cs="Arial"/>
          <w:sz w:val="24"/>
          <w:szCs w:val="24"/>
        </w:rPr>
        <w:t xml:space="preserve"> e </w:t>
      </w:r>
      <w:r w:rsidR="009A0A27">
        <w:rPr>
          <w:rFonts w:ascii="Garamond" w:hAnsi="Garamond" w:cs="Arial"/>
          <w:sz w:val="24"/>
          <w:szCs w:val="24"/>
        </w:rPr>
        <w:t xml:space="preserve">a </w:t>
      </w:r>
      <w:r w:rsidRPr="003A1174">
        <w:rPr>
          <w:rFonts w:ascii="Garamond" w:hAnsi="Garamond" w:cs="Arial"/>
          <w:sz w:val="24"/>
          <w:szCs w:val="24"/>
        </w:rPr>
        <w:t xml:space="preserve">Violência Contra a Mulher e </w:t>
      </w:r>
      <w:r w:rsidR="009A0A27">
        <w:rPr>
          <w:rFonts w:ascii="Garamond" w:hAnsi="Garamond" w:cs="Arial"/>
          <w:sz w:val="24"/>
          <w:szCs w:val="24"/>
        </w:rPr>
        <w:t xml:space="preserve">o </w:t>
      </w:r>
      <w:r w:rsidRPr="003A1174">
        <w:rPr>
          <w:rFonts w:ascii="Garamond" w:hAnsi="Garamond" w:cs="Arial"/>
          <w:sz w:val="24"/>
          <w:szCs w:val="24"/>
        </w:rPr>
        <w:t>Acesso à Justiça ameaçada</w:t>
      </w:r>
      <w:r w:rsidR="009A0A27">
        <w:rPr>
          <w:rFonts w:ascii="Garamond" w:hAnsi="Garamond" w:cs="Arial"/>
          <w:sz w:val="24"/>
          <w:szCs w:val="24"/>
        </w:rPr>
        <w:t>,</w:t>
      </w:r>
      <w:r w:rsidRPr="003A1174">
        <w:rPr>
          <w:rFonts w:ascii="Garamond" w:hAnsi="Garamond" w:cs="Arial"/>
          <w:sz w:val="24"/>
          <w:szCs w:val="24"/>
        </w:rPr>
        <w:t xml:space="preserve"> em detrimento da proteção às garantias de liberdade de atuação dos profissionais, sobretudo entre os magistrados.</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4. </w:t>
      </w:r>
      <w:r w:rsidR="000B3464" w:rsidRPr="003A1174">
        <w:rPr>
          <w:rFonts w:ascii="Garamond" w:hAnsi="Garamond" w:cs="Arial"/>
          <w:sz w:val="24"/>
          <w:szCs w:val="24"/>
          <w:lang w:val="pt-BR"/>
        </w:rPr>
        <w:t>A criação e instalação de serviços especializados são</w:t>
      </w:r>
      <w:r w:rsidRPr="003A1174">
        <w:rPr>
          <w:rFonts w:ascii="Garamond" w:hAnsi="Garamond" w:cs="Arial"/>
          <w:sz w:val="24"/>
          <w:szCs w:val="24"/>
          <w:lang w:val="pt-BR"/>
        </w:rPr>
        <w:t xml:space="preserve"> importante</w:t>
      </w:r>
      <w:r w:rsidR="000B3464" w:rsidRPr="003A1174">
        <w:rPr>
          <w:rFonts w:ascii="Garamond" w:hAnsi="Garamond" w:cs="Arial"/>
          <w:sz w:val="24"/>
          <w:szCs w:val="24"/>
          <w:lang w:val="pt-BR"/>
        </w:rPr>
        <w:t>s</w:t>
      </w:r>
      <w:r w:rsidRPr="003A1174">
        <w:rPr>
          <w:rFonts w:ascii="Garamond" w:hAnsi="Garamond" w:cs="Arial"/>
          <w:sz w:val="24"/>
          <w:szCs w:val="24"/>
          <w:lang w:val="pt-BR"/>
        </w:rPr>
        <w:t xml:space="preserve"> para aplicação adequada da Lei Maria da Penha, embora a própria legislação incentive que sua aplicação e o acesso das mulheres à justiça deve estar </w:t>
      </w:r>
      <w:r w:rsidR="000B3464" w:rsidRPr="003A1174">
        <w:rPr>
          <w:rFonts w:ascii="Garamond" w:hAnsi="Garamond" w:cs="Arial"/>
          <w:sz w:val="24"/>
          <w:szCs w:val="24"/>
          <w:lang w:val="pt-BR"/>
        </w:rPr>
        <w:t>assegurado em todos os serviços</w:t>
      </w:r>
      <w:r w:rsidRPr="003A1174">
        <w:rPr>
          <w:rFonts w:ascii="Garamond" w:hAnsi="Garamond" w:cs="Arial"/>
          <w:sz w:val="24"/>
          <w:szCs w:val="24"/>
          <w:lang w:val="pt-BR"/>
        </w:rPr>
        <w:t xml:space="preserve">. Estruturas adaptadas de forma parcial, com composição e tamanhos inadequados, com grande </w:t>
      </w:r>
      <w:r w:rsidR="007E1E71">
        <w:rPr>
          <w:rFonts w:ascii="Garamond" w:hAnsi="Garamond" w:cs="Arial"/>
          <w:sz w:val="24"/>
          <w:szCs w:val="24"/>
          <w:lang w:val="pt-BR"/>
        </w:rPr>
        <w:t xml:space="preserve">impreparação </w:t>
      </w:r>
      <w:r w:rsidRPr="003A1174">
        <w:rPr>
          <w:rFonts w:ascii="Garamond" w:hAnsi="Garamond" w:cs="Arial"/>
          <w:sz w:val="24"/>
          <w:szCs w:val="24"/>
          <w:lang w:val="pt-BR"/>
        </w:rPr>
        <w:t>dos profissionais que assumem as funções</w:t>
      </w:r>
      <w:r w:rsidR="000B3464" w:rsidRPr="003A1174">
        <w:rPr>
          <w:rFonts w:ascii="Garamond" w:hAnsi="Garamond" w:cs="Arial"/>
          <w:sz w:val="24"/>
          <w:szCs w:val="24"/>
          <w:lang w:val="pt-BR"/>
        </w:rPr>
        <w:t>,</w:t>
      </w:r>
      <w:r w:rsidRPr="003A1174">
        <w:rPr>
          <w:rFonts w:ascii="Garamond" w:hAnsi="Garamond" w:cs="Arial"/>
          <w:sz w:val="24"/>
          <w:szCs w:val="24"/>
          <w:lang w:val="pt-BR"/>
        </w:rPr>
        <w:t xml:space="preserve"> são alguns dos problemas que ameaçam a especialização desejada e uma melhor aplicação da lei. A inadequação dessas estruturas foi observada nas cinco capitais</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analisadas, mas afeta</w:t>
      </w:r>
      <w:r w:rsidR="007E1E71">
        <w:rPr>
          <w:rFonts w:ascii="Garamond" w:hAnsi="Garamond" w:cs="Arial"/>
          <w:sz w:val="24"/>
          <w:szCs w:val="24"/>
          <w:lang w:val="pt-BR"/>
        </w:rPr>
        <w:t>,</w:t>
      </w:r>
      <w:r w:rsidRPr="003A1174">
        <w:rPr>
          <w:rFonts w:ascii="Garamond" w:hAnsi="Garamond" w:cs="Arial"/>
          <w:sz w:val="24"/>
          <w:szCs w:val="24"/>
          <w:lang w:val="pt-BR"/>
        </w:rPr>
        <w:t xml:space="preserve"> especialmente</w:t>
      </w:r>
      <w:r w:rsidR="007E1E71">
        <w:rPr>
          <w:rFonts w:ascii="Garamond" w:hAnsi="Garamond" w:cs="Arial"/>
          <w:sz w:val="24"/>
          <w:szCs w:val="24"/>
          <w:lang w:val="pt-BR"/>
        </w:rPr>
        <w:t>,</w:t>
      </w:r>
      <w:r w:rsidRPr="003A1174">
        <w:rPr>
          <w:rFonts w:ascii="Garamond" w:hAnsi="Garamond" w:cs="Arial"/>
          <w:sz w:val="24"/>
          <w:szCs w:val="24"/>
          <w:lang w:val="pt-BR"/>
        </w:rPr>
        <w:t xml:space="preserve"> os Juizados/Varas que estão sobrecarregados</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de processos e com reduzidos quadros profissionais, inclusive</w:t>
      </w:r>
      <w:r w:rsidR="007E1E71">
        <w:rPr>
          <w:rFonts w:ascii="Garamond" w:hAnsi="Garamond" w:cs="Arial"/>
          <w:sz w:val="24"/>
          <w:szCs w:val="24"/>
          <w:lang w:val="pt-BR"/>
        </w:rPr>
        <w:t>,</w:t>
      </w:r>
      <w:r w:rsidRPr="003A1174">
        <w:rPr>
          <w:rFonts w:ascii="Garamond" w:hAnsi="Garamond" w:cs="Arial"/>
          <w:sz w:val="24"/>
          <w:szCs w:val="24"/>
          <w:lang w:val="pt-BR"/>
        </w:rPr>
        <w:t xml:space="preserve"> nas funções cartoriais e oficiais de justiça.</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5. A existência de normas conflit</w:t>
      </w:r>
      <w:r w:rsidR="007E1E71">
        <w:rPr>
          <w:rFonts w:ascii="Garamond" w:hAnsi="Garamond" w:cs="Arial"/>
          <w:sz w:val="24"/>
          <w:szCs w:val="24"/>
          <w:lang w:val="pt-BR"/>
        </w:rPr>
        <w:t>u</w:t>
      </w:r>
      <w:r w:rsidRPr="003A1174">
        <w:rPr>
          <w:rFonts w:ascii="Garamond" w:hAnsi="Garamond" w:cs="Arial"/>
          <w:sz w:val="24"/>
          <w:szCs w:val="24"/>
          <w:lang w:val="pt-BR"/>
        </w:rPr>
        <w:t>antes com a Lei Maria da Penha tem feito com que esta lei seja aplicada de forma parcial, criando segmentações e diferenças entre as mulheres que podem</w:t>
      </w:r>
      <w:r w:rsidR="007E1E71">
        <w:rPr>
          <w:rFonts w:ascii="Garamond" w:hAnsi="Garamond" w:cs="Arial"/>
          <w:sz w:val="24"/>
          <w:szCs w:val="24"/>
          <w:lang w:val="pt-BR"/>
        </w:rPr>
        <w:t>,</w:t>
      </w:r>
      <w:r w:rsidRPr="003A1174">
        <w:rPr>
          <w:rFonts w:ascii="Garamond" w:hAnsi="Garamond" w:cs="Arial"/>
          <w:sz w:val="24"/>
          <w:szCs w:val="24"/>
          <w:lang w:val="pt-BR"/>
        </w:rPr>
        <w:t xml:space="preserve"> ou não</w:t>
      </w:r>
      <w:r w:rsidR="007E1E71">
        <w:rPr>
          <w:rFonts w:ascii="Garamond" w:hAnsi="Garamond" w:cs="Arial"/>
          <w:sz w:val="24"/>
          <w:szCs w:val="24"/>
          <w:lang w:val="pt-BR"/>
        </w:rPr>
        <w:t>,</w:t>
      </w:r>
      <w:r w:rsidRPr="003A1174">
        <w:rPr>
          <w:rFonts w:ascii="Garamond" w:hAnsi="Garamond" w:cs="Arial"/>
          <w:sz w:val="24"/>
          <w:szCs w:val="24"/>
          <w:lang w:val="pt-BR"/>
        </w:rPr>
        <w:t xml:space="preserve"> receber a proteção prevista na lei. As Defensorias Públicas são o</w:t>
      </w:r>
      <w:r w:rsidR="007E1E71">
        <w:rPr>
          <w:rFonts w:ascii="Garamond" w:hAnsi="Garamond" w:cs="Arial"/>
          <w:sz w:val="24"/>
          <w:szCs w:val="24"/>
          <w:lang w:val="pt-BR"/>
        </w:rPr>
        <w:t>s</w:t>
      </w:r>
      <w:r w:rsidRPr="003A1174">
        <w:rPr>
          <w:rFonts w:ascii="Garamond" w:hAnsi="Garamond" w:cs="Arial"/>
          <w:sz w:val="24"/>
          <w:szCs w:val="24"/>
          <w:lang w:val="pt-BR"/>
        </w:rPr>
        <w:t xml:space="preserve"> órgão</w:t>
      </w:r>
      <w:r w:rsidR="007E1E71">
        <w:rPr>
          <w:rFonts w:ascii="Garamond" w:hAnsi="Garamond" w:cs="Arial"/>
          <w:sz w:val="24"/>
          <w:szCs w:val="24"/>
          <w:lang w:val="pt-BR"/>
        </w:rPr>
        <w:t>s</w:t>
      </w:r>
      <w:r w:rsidRPr="003A1174">
        <w:rPr>
          <w:rFonts w:ascii="Garamond" w:hAnsi="Garamond" w:cs="Arial"/>
          <w:sz w:val="24"/>
          <w:szCs w:val="24"/>
          <w:lang w:val="pt-BR"/>
        </w:rPr>
        <w:t xml:space="preserve"> com maior limitação</w:t>
      </w:r>
      <w:r w:rsidR="007E1E71">
        <w:rPr>
          <w:rFonts w:ascii="Garamond" w:hAnsi="Garamond" w:cs="Arial"/>
          <w:sz w:val="24"/>
          <w:szCs w:val="24"/>
          <w:lang w:val="pt-BR"/>
        </w:rPr>
        <w:t>,</w:t>
      </w:r>
      <w:r w:rsidRPr="003A1174">
        <w:rPr>
          <w:rFonts w:ascii="Garamond" w:hAnsi="Garamond" w:cs="Arial"/>
          <w:sz w:val="24"/>
          <w:szCs w:val="24"/>
          <w:lang w:val="pt-BR"/>
        </w:rPr>
        <w:t xml:space="preserve"> nesse atendimento, tanto pelo critério de renda</w:t>
      </w:r>
      <w:r w:rsidR="007E1E71">
        <w:rPr>
          <w:rFonts w:ascii="Garamond" w:hAnsi="Garamond" w:cs="Arial"/>
          <w:sz w:val="24"/>
          <w:szCs w:val="24"/>
          <w:lang w:val="pt-BR"/>
        </w:rPr>
        <w:t>,</w:t>
      </w:r>
      <w:r w:rsidRPr="003A1174">
        <w:rPr>
          <w:rFonts w:ascii="Garamond" w:hAnsi="Garamond" w:cs="Arial"/>
          <w:sz w:val="24"/>
          <w:szCs w:val="24"/>
          <w:lang w:val="pt-BR"/>
        </w:rPr>
        <w:t xml:space="preserve"> quanto pela insuficiência de profissionais que faze</w:t>
      </w:r>
      <w:r w:rsidR="007E1E71">
        <w:rPr>
          <w:rFonts w:ascii="Garamond" w:hAnsi="Garamond" w:cs="Arial"/>
          <w:sz w:val="24"/>
          <w:szCs w:val="24"/>
          <w:lang w:val="pt-BR"/>
        </w:rPr>
        <w:t>m</w:t>
      </w:r>
      <w:r w:rsidRPr="003A1174">
        <w:rPr>
          <w:rFonts w:ascii="Garamond" w:hAnsi="Garamond" w:cs="Arial"/>
          <w:sz w:val="24"/>
          <w:szCs w:val="24"/>
          <w:lang w:val="pt-BR"/>
        </w:rPr>
        <w:t xml:space="preserve"> o acompanhamento das mulheres </w:t>
      </w:r>
      <w:r w:rsidR="007E1E71">
        <w:rPr>
          <w:rFonts w:ascii="Garamond" w:hAnsi="Garamond" w:cs="Arial"/>
          <w:sz w:val="24"/>
          <w:szCs w:val="24"/>
          <w:lang w:val="pt-BR"/>
        </w:rPr>
        <w:t xml:space="preserve">de acordo com o </w:t>
      </w:r>
      <w:r w:rsidRPr="003A1174">
        <w:rPr>
          <w:rFonts w:ascii="Garamond" w:hAnsi="Garamond" w:cs="Arial"/>
          <w:sz w:val="24"/>
          <w:szCs w:val="24"/>
          <w:lang w:val="pt-BR"/>
        </w:rPr>
        <w:t xml:space="preserve">determinado </w:t>
      </w:r>
      <w:r w:rsidR="007E1E71">
        <w:rPr>
          <w:rFonts w:ascii="Garamond" w:hAnsi="Garamond" w:cs="Arial"/>
          <w:sz w:val="24"/>
          <w:szCs w:val="24"/>
          <w:lang w:val="pt-BR"/>
        </w:rPr>
        <w:t xml:space="preserve">na </w:t>
      </w:r>
      <w:r w:rsidRPr="003A1174">
        <w:rPr>
          <w:rFonts w:ascii="Garamond" w:hAnsi="Garamond" w:cs="Arial"/>
          <w:sz w:val="24"/>
          <w:szCs w:val="24"/>
          <w:lang w:val="pt-BR"/>
        </w:rPr>
        <w:t>lei. Essa dificuldade é reveladora da incompreensão sobre a violência</w:t>
      </w:r>
      <w:r w:rsidR="007E1E71">
        <w:rPr>
          <w:rFonts w:ascii="Garamond" w:hAnsi="Garamond" w:cs="Arial"/>
          <w:sz w:val="24"/>
          <w:szCs w:val="24"/>
          <w:lang w:val="pt-BR"/>
        </w:rPr>
        <w:t>,</w:t>
      </w:r>
      <w:r w:rsidRPr="003A1174">
        <w:rPr>
          <w:rFonts w:ascii="Garamond" w:hAnsi="Garamond" w:cs="Arial"/>
          <w:sz w:val="24"/>
          <w:szCs w:val="24"/>
          <w:lang w:val="pt-BR"/>
        </w:rPr>
        <w:t xml:space="preserve"> baseada em </w:t>
      </w:r>
      <w:r w:rsidR="00600E20" w:rsidRPr="003A1174">
        <w:rPr>
          <w:rFonts w:ascii="Garamond" w:hAnsi="Garamond" w:cs="Arial"/>
          <w:sz w:val="24"/>
          <w:szCs w:val="24"/>
          <w:lang w:val="pt-BR"/>
        </w:rPr>
        <w:t>género</w:t>
      </w:r>
      <w:r w:rsidR="007E1E71">
        <w:rPr>
          <w:rFonts w:ascii="Garamond" w:hAnsi="Garamond" w:cs="Arial"/>
          <w:sz w:val="24"/>
          <w:szCs w:val="24"/>
          <w:lang w:val="pt-BR"/>
        </w:rPr>
        <w:t>,</w:t>
      </w:r>
      <w:r w:rsidRPr="003A1174">
        <w:rPr>
          <w:rFonts w:ascii="Garamond" w:hAnsi="Garamond" w:cs="Arial"/>
          <w:sz w:val="24"/>
          <w:szCs w:val="24"/>
          <w:lang w:val="pt-BR"/>
        </w:rPr>
        <w:t xml:space="preserve"> e o propósito do legislador</w:t>
      </w:r>
      <w:r w:rsidR="006133E7">
        <w:rPr>
          <w:rFonts w:ascii="Garamond" w:hAnsi="Garamond" w:cs="Arial"/>
          <w:sz w:val="24"/>
          <w:szCs w:val="24"/>
          <w:lang w:val="pt-BR"/>
        </w:rPr>
        <w:t>,</w:t>
      </w:r>
      <w:r w:rsidRPr="003A1174">
        <w:rPr>
          <w:rFonts w:ascii="Garamond" w:hAnsi="Garamond" w:cs="Arial"/>
          <w:sz w:val="24"/>
          <w:szCs w:val="24"/>
          <w:lang w:val="pt-BR"/>
        </w:rPr>
        <w:t xml:space="preserve"> ao</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incluir essa recomendação</w:t>
      </w:r>
      <w:r w:rsidR="006133E7">
        <w:rPr>
          <w:rFonts w:ascii="Garamond" w:hAnsi="Garamond" w:cs="Arial"/>
          <w:sz w:val="24"/>
          <w:szCs w:val="24"/>
          <w:lang w:val="pt-BR"/>
        </w:rPr>
        <w:t>,</w:t>
      </w:r>
      <w:r w:rsidRPr="003A1174">
        <w:rPr>
          <w:rFonts w:ascii="Garamond" w:hAnsi="Garamond" w:cs="Arial"/>
          <w:sz w:val="24"/>
          <w:szCs w:val="24"/>
          <w:lang w:val="pt-BR"/>
        </w:rPr>
        <w:t xml:space="preserve"> que tem como finalidade garantir que a vítima tenha acesso à informação e receba orientação sobre seus direitos.</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6. A falta de protocolos para o atendimento e o encaminhamento são também obstáculos que foram identificados nessa pesquisa e confirmam os resultados de estudos anteriores. Sem protocolos, os atendimentos não são orientados por regras institucionais que devem ser aplicadas por todos os profissionais de acordo com as situações que se apresent</w:t>
      </w:r>
      <w:r w:rsidR="000B3464" w:rsidRPr="003A1174">
        <w:rPr>
          <w:rFonts w:ascii="Garamond" w:hAnsi="Garamond" w:cs="Arial"/>
          <w:sz w:val="24"/>
          <w:szCs w:val="24"/>
          <w:lang w:val="pt-BR"/>
        </w:rPr>
        <w:t>ar</w:t>
      </w:r>
      <w:r w:rsidRPr="003A1174">
        <w:rPr>
          <w:rFonts w:ascii="Garamond" w:hAnsi="Garamond" w:cs="Arial"/>
          <w:sz w:val="24"/>
          <w:szCs w:val="24"/>
          <w:lang w:val="pt-BR"/>
        </w:rPr>
        <w:t xml:space="preserve">em. Na prática, esses atendimentos e encaminhamentos ocorrem de acordo com o </w:t>
      </w:r>
      <w:r w:rsidR="006133E7">
        <w:rPr>
          <w:rFonts w:ascii="Garamond" w:hAnsi="Garamond" w:cs="Arial"/>
          <w:sz w:val="24"/>
          <w:szCs w:val="24"/>
          <w:lang w:val="pt-BR"/>
        </w:rPr>
        <w:t>«</w:t>
      </w:r>
      <w:r w:rsidRPr="003A1174">
        <w:rPr>
          <w:rFonts w:ascii="Garamond" w:hAnsi="Garamond" w:cs="Arial"/>
          <w:sz w:val="24"/>
          <w:szCs w:val="24"/>
          <w:lang w:val="pt-BR"/>
        </w:rPr>
        <w:t>perfil</w:t>
      </w:r>
      <w:r w:rsidR="006133E7">
        <w:rPr>
          <w:rFonts w:ascii="Garamond" w:hAnsi="Garamond" w:cs="Arial"/>
          <w:sz w:val="24"/>
          <w:szCs w:val="24"/>
          <w:lang w:val="pt-BR"/>
        </w:rPr>
        <w:t>»</w:t>
      </w:r>
      <w:r w:rsidRPr="003A1174">
        <w:rPr>
          <w:rFonts w:ascii="Garamond" w:hAnsi="Garamond" w:cs="Arial"/>
          <w:sz w:val="24"/>
          <w:szCs w:val="24"/>
          <w:lang w:val="pt-BR"/>
        </w:rPr>
        <w:t xml:space="preserve"> do profissional (da delegada titular, do juiz, etc., e de ca</w:t>
      </w:r>
      <w:r w:rsidR="000B3464" w:rsidRPr="003A1174">
        <w:rPr>
          <w:rFonts w:ascii="Garamond" w:hAnsi="Garamond" w:cs="Arial"/>
          <w:sz w:val="24"/>
          <w:szCs w:val="24"/>
          <w:lang w:val="pt-BR"/>
        </w:rPr>
        <w:t>da um dos membros de suas equipa</w:t>
      </w:r>
      <w:r w:rsidRPr="003A1174">
        <w:rPr>
          <w:rFonts w:ascii="Garamond" w:hAnsi="Garamond" w:cs="Arial"/>
          <w:sz w:val="24"/>
          <w:szCs w:val="24"/>
          <w:lang w:val="pt-BR"/>
        </w:rPr>
        <w:t>s), fazendo com que o acesso das mulheres aos seus direitos seja condicionado por um</w:t>
      </w:r>
      <w:r w:rsidR="000B3464" w:rsidRPr="003A1174">
        <w:rPr>
          <w:rFonts w:ascii="Garamond" w:hAnsi="Garamond" w:cs="Arial"/>
          <w:sz w:val="24"/>
          <w:szCs w:val="24"/>
          <w:lang w:val="pt-BR"/>
        </w:rPr>
        <w:t>a</w:t>
      </w:r>
      <w:r w:rsidRPr="003A1174">
        <w:rPr>
          <w:rFonts w:ascii="Garamond" w:hAnsi="Garamond" w:cs="Arial"/>
          <w:sz w:val="24"/>
          <w:szCs w:val="24"/>
          <w:lang w:val="pt-BR"/>
        </w:rPr>
        <w:t xml:space="preserve"> maior ou menor sensibilidade do profissional e conhecimento sobre a gravidade do problema da violência baseada em</w:t>
      </w:r>
      <w:r w:rsidR="000B3464" w:rsidRPr="003A1174">
        <w:rPr>
          <w:rFonts w:ascii="Garamond" w:hAnsi="Garamond" w:cs="Arial"/>
          <w:sz w:val="24"/>
          <w:szCs w:val="24"/>
          <w:lang w:val="pt-BR"/>
        </w:rPr>
        <w:t xml:space="preserve"> </w:t>
      </w:r>
      <w:r w:rsidR="00600E20" w:rsidRPr="003A1174">
        <w:rPr>
          <w:rFonts w:ascii="Garamond" w:hAnsi="Garamond" w:cs="Arial"/>
          <w:sz w:val="24"/>
          <w:szCs w:val="24"/>
          <w:lang w:val="pt-BR"/>
        </w:rPr>
        <w:t>género</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7. A qualificação dos profissionais que trabalham com mulheres em situação de violência é condição para o bom atendimento que irão oferecer. É também um dos critérios para definir a especialização dos serviços. Não se trata</w:t>
      </w:r>
      <w:r w:rsidR="006133E7">
        <w:rPr>
          <w:rFonts w:ascii="Garamond" w:hAnsi="Garamond" w:cs="Arial"/>
          <w:sz w:val="24"/>
          <w:szCs w:val="24"/>
          <w:lang w:val="pt-BR"/>
        </w:rPr>
        <w:t>,</w:t>
      </w:r>
      <w:r w:rsidRPr="003A1174">
        <w:rPr>
          <w:rFonts w:ascii="Garamond" w:hAnsi="Garamond" w:cs="Arial"/>
          <w:sz w:val="24"/>
          <w:szCs w:val="24"/>
          <w:lang w:val="pt-BR"/>
        </w:rPr>
        <w:t xml:space="preserve"> apenas</w:t>
      </w:r>
      <w:r w:rsidR="006133E7">
        <w:rPr>
          <w:rFonts w:ascii="Garamond" w:hAnsi="Garamond" w:cs="Arial"/>
          <w:sz w:val="24"/>
          <w:szCs w:val="24"/>
          <w:lang w:val="pt-BR"/>
        </w:rPr>
        <w:t>,</w:t>
      </w:r>
      <w:r w:rsidRPr="003A1174">
        <w:rPr>
          <w:rFonts w:ascii="Garamond" w:hAnsi="Garamond" w:cs="Arial"/>
          <w:sz w:val="24"/>
          <w:szCs w:val="24"/>
          <w:lang w:val="pt-BR"/>
        </w:rPr>
        <w:t xml:space="preserve"> de ter bom domínio sobre os procedimentos administrativos, ou das técnicas de atendimento ao público, mas é</w:t>
      </w:r>
      <w:r w:rsidR="0019225F">
        <w:rPr>
          <w:rFonts w:ascii="Garamond" w:hAnsi="Garamond" w:cs="Arial"/>
          <w:sz w:val="24"/>
          <w:szCs w:val="24"/>
          <w:lang w:val="pt-BR"/>
        </w:rPr>
        <w:t>,</w:t>
      </w:r>
      <w:r w:rsidRPr="003A1174">
        <w:rPr>
          <w:rFonts w:ascii="Garamond" w:hAnsi="Garamond" w:cs="Arial"/>
          <w:sz w:val="24"/>
          <w:szCs w:val="24"/>
          <w:lang w:val="pt-BR"/>
        </w:rPr>
        <w:t xml:space="preserve"> também</w:t>
      </w:r>
      <w:r w:rsidR="0019225F">
        <w:rPr>
          <w:rFonts w:ascii="Garamond" w:hAnsi="Garamond" w:cs="Arial"/>
          <w:sz w:val="24"/>
          <w:szCs w:val="24"/>
          <w:lang w:val="pt-BR"/>
        </w:rPr>
        <w:t>, necessário</w:t>
      </w:r>
      <w:r w:rsidRPr="003A1174">
        <w:rPr>
          <w:rFonts w:ascii="Garamond" w:hAnsi="Garamond" w:cs="Arial"/>
          <w:sz w:val="24"/>
          <w:szCs w:val="24"/>
          <w:lang w:val="pt-BR"/>
        </w:rPr>
        <w:t xml:space="preserve"> conhecer e compreender as especificidades da </w:t>
      </w:r>
      <w:r w:rsidR="000350B1" w:rsidRPr="003A1174">
        <w:rPr>
          <w:rFonts w:ascii="Garamond" w:hAnsi="Garamond" w:cs="Arial"/>
          <w:sz w:val="24"/>
          <w:szCs w:val="24"/>
          <w:lang w:val="pt-BR"/>
        </w:rPr>
        <w:t>violência</w:t>
      </w:r>
      <w:r w:rsidRPr="003A1174">
        <w:rPr>
          <w:rFonts w:ascii="Garamond" w:hAnsi="Garamond" w:cs="Arial"/>
          <w:sz w:val="24"/>
          <w:szCs w:val="24"/>
          <w:lang w:val="pt-BR"/>
        </w:rPr>
        <w:t xml:space="preserve"> baseada em </w:t>
      </w:r>
      <w:r w:rsidR="00600E20" w:rsidRPr="003A1174">
        <w:rPr>
          <w:rFonts w:ascii="Garamond" w:hAnsi="Garamond" w:cs="Arial"/>
          <w:sz w:val="24"/>
          <w:szCs w:val="24"/>
          <w:lang w:val="pt-BR"/>
        </w:rPr>
        <w:t>género</w:t>
      </w:r>
      <w:r w:rsidRPr="003A1174">
        <w:rPr>
          <w:rFonts w:ascii="Garamond" w:hAnsi="Garamond" w:cs="Arial"/>
          <w:sz w:val="24"/>
          <w:szCs w:val="24"/>
          <w:lang w:val="pt-BR"/>
        </w:rPr>
        <w:t>, em particular</w:t>
      </w:r>
      <w:r w:rsidR="0019225F">
        <w:rPr>
          <w:rFonts w:ascii="Garamond" w:hAnsi="Garamond" w:cs="Arial"/>
          <w:sz w:val="24"/>
          <w:szCs w:val="24"/>
          <w:lang w:val="pt-BR"/>
        </w:rPr>
        <w:t>,</w:t>
      </w:r>
      <w:r w:rsidRPr="003A1174">
        <w:rPr>
          <w:rFonts w:ascii="Garamond" w:hAnsi="Garamond" w:cs="Arial"/>
          <w:sz w:val="24"/>
          <w:szCs w:val="24"/>
          <w:lang w:val="pt-BR"/>
        </w:rPr>
        <w:t xml:space="preserve"> a violência nas relações afetivas, com toda a dor, medo e incerteza que acompanha as mulheres </w:t>
      </w:r>
      <w:r w:rsidRPr="003A1174">
        <w:rPr>
          <w:rFonts w:ascii="Garamond" w:hAnsi="Garamond" w:cs="Arial"/>
          <w:sz w:val="24"/>
          <w:szCs w:val="24"/>
          <w:lang w:val="pt-BR"/>
        </w:rPr>
        <w:lastRenderedPageBreak/>
        <w:t>no momento da denúncia</w:t>
      </w:r>
      <w:r w:rsidR="0019225F">
        <w:rPr>
          <w:rFonts w:ascii="Garamond" w:hAnsi="Garamond" w:cs="Arial"/>
          <w:sz w:val="24"/>
          <w:szCs w:val="24"/>
          <w:lang w:val="pt-BR"/>
        </w:rPr>
        <w:t>,</w:t>
      </w:r>
      <w:r w:rsidRPr="003A1174">
        <w:rPr>
          <w:rFonts w:ascii="Garamond" w:hAnsi="Garamond" w:cs="Arial"/>
          <w:sz w:val="24"/>
          <w:szCs w:val="24"/>
          <w:lang w:val="pt-BR"/>
        </w:rPr>
        <w:t xml:space="preserve"> ou quando</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 xml:space="preserve">decidem </w:t>
      </w:r>
      <w:r w:rsidR="000B3464" w:rsidRPr="003A1174">
        <w:rPr>
          <w:rFonts w:ascii="Garamond" w:hAnsi="Garamond" w:cs="Arial"/>
          <w:sz w:val="24"/>
          <w:szCs w:val="24"/>
          <w:lang w:val="pt-BR"/>
        </w:rPr>
        <w:t xml:space="preserve">procurar </w:t>
      </w:r>
      <w:r w:rsidRPr="003A1174">
        <w:rPr>
          <w:rFonts w:ascii="Garamond" w:hAnsi="Garamond" w:cs="Arial"/>
          <w:sz w:val="24"/>
          <w:szCs w:val="24"/>
          <w:lang w:val="pt-BR"/>
        </w:rPr>
        <w:t xml:space="preserve">ajuda institucional para </w:t>
      </w:r>
      <w:r w:rsidR="000B3464" w:rsidRPr="003A1174">
        <w:rPr>
          <w:rFonts w:ascii="Garamond" w:hAnsi="Garamond" w:cs="Arial"/>
          <w:sz w:val="24"/>
          <w:szCs w:val="24"/>
          <w:lang w:val="pt-BR"/>
        </w:rPr>
        <w:t xml:space="preserve">acabar com </w:t>
      </w:r>
      <w:r w:rsidRPr="003A1174">
        <w:rPr>
          <w:rFonts w:ascii="Garamond" w:hAnsi="Garamond" w:cs="Arial"/>
          <w:sz w:val="24"/>
          <w:szCs w:val="24"/>
          <w:lang w:val="pt-BR"/>
        </w:rPr>
        <w:t>o relacionamento</w:t>
      </w:r>
      <w:r w:rsidR="000B3464" w:rsidRPr="003A1174">
        <w:rPr>
          <w:rFonts w:ascii="Garamond" w:hAnsi="Garamond" w:cs="Arial"/>
          <w:sz w:val="24"/>
          <w:szCs w:val="24"/>
          <w:lang w:val="pt-BR"/>
        </w:rPr>
        <w:t xml:space="preserve"> violento</w:t>
      </w:r>
      <w:r w:rsidR="00034081" w:rsidRPr="003A1174">
        <w:rPr>
          <w:rFonts w:ascii="Garamond" w:hAnsi="Garamond" w:cs="Arial"/>
          <w:sz w:val="24"/>
          <w:szCs w:val="24"/>
          <w:lang w:val="pt-BR"/>
        </w:rPr>
        <w:t xml:space="preserve">. </w:t>
      </w:r>
      <w:r w:rsidRPr="003A1174">
        <w:rPr>
          <w:rFonts w:ascii="Garamond" w:hAnsi="Garamond" w:cs="Arial"/>
          <w:sz w:val="24"/>
          <w:szCs w:val="24"/>
          <w:lang w:val="pt-BR"/>
        </w:rPr>
        <w:t xml:space="preserve">Compreender essas </w:t>
      </w:r>
      <w:r w:rsidR="008843FD" w:rsidRPr="003A1174">
        <w:rPr>
          <w:rFonts w:ascii="Garamond" w:hAnsi="Garamond" w:cs="Arial"/>
          <w:sz w:val="24"/>
          <w:szCs w:val="24"/>
          <w:lang w:val="pt-BR"/>
        </w:rPr>
        <w:t>caraterística</w:t>
      </w:r>
      <w:r w:rsidRPr="003A1174">
        <w:rPr>
          <w:rFonts w:ascii="Garamond" w:hAnsi="Garamond" w:cs="Arial"/>
          <w:sz w:val="24"/>
          <w:szCs w:val="24"/>
          <w:lang w:val="pt-BR"/>
        </w:rPr>
        <w:t xml:space="preserve">s permite ajudar as mulheres a superar os obstáculos que </w:t>
      </w:r>
      <w:r w:rsidR="000B3464" w:rsidRPr="003A1174">
        <w:rPr>
          <w:rFonts w:ascii="Garamond" w:hAnsi="Garamond" w:cs="Arial"/>
          <w:sz w:val="24"/>
          <w:szCs w:val="24"/>
          <w:lang w:val="pt-BR"/>
        </w:rPr>
        <w:t>precisam enfrentar</w:t>
      </w:r>
      <w:r w:rsidRPr="003A1174">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 falta de especialização dos profissionais é um obstáculo ao acesso das mulheres à justiça e pode ocorrer e repetir</w:t>
      </w:r>
      <w:r w:rsidR="000B3464" w:rsidRPr="003A1174">
        <w:rPr>
          <w:rFonts w:ascii="Garamond" w:hAnsi="Garamond" w:cs="Arial"/>
          <w:sz w:val="24"/>
          <w:szCs w:val="24"/>
          <w:lang w:val="pt-BR"/>
        </w:rPr>
        <w:t>-se</w:t>
      </w:r>
      <w:r w:rsidRPr="003A1174">
        <w:rPr>
          <w:rFonts w:ascii="Garamond" w:hAnsi="Garamond" w:cs="Arial"/>
          <w:sz w:val="24"/>
          <w:szCs w:val="24"/>
          <w:lang w:val="pt-BR"/>
        </w:rPr>
        <w:t xml:space="preserve"> em diferentes momentos do atendimento – desde o primeiro balcão</w:t>
      </w:r>
      <w:r w:rsidR="0019225F">
        <w:rPr>
          <w:rFonts w:ascii="Garamond" w:hAnsi="Garamond" w:cs="Arial"/>
          <w:sz w:val="24"/>
          <w:szCs w:val="24"/>
          <w:lang w:val="pt-BR"/>
        </w:rPr>
        <w:t>,</w:t>
      </w:r>
      <w:r w:rsidRPr="003A1174">
        <w:rPr>
          <w:rFonts w:ascii="Garamond" w:hAnsi="Garamond" w:cs="Arial"/>
          <w:sz w:val="24"/>
          <w:szCs w:val="24"/>
          <w:lang w:val="pt-BR"/>
        </w:rPr>
        <w:t xml:space="preserve"> onde a mulher solicita informações</w:t>
      </w:r>
      <w:r w:rsidR="0019225F">
        <w:rPr>
          <w:rFonts w:ascii="Garamond" w:hAnsi="Garamond" w:cs="Arial"/>
          <w:sz w:val="24"/>
          <w:szCs w:val="24"/>
          <w:lang w:val="pt-BR"/>
        </w:rPr>
        <w:t>,</w:t>
      </w:r>
      <w:r w:rsidRPr="003A1174">
        <w:rPr>
          <w:rFonts w:ascii="Garamond" w:hAnsi="Garamond" w:cs="Arial"/>
          <w:sz w:val="24"/>
          <w:szCs w:val="24"/>
          <w:lang w:val="pt-BR"/>
        </w:rPr>
        <w:t xml:space="preserve"> até </w:t>
      </w:r>
      <w:r w:rsidR="0019225F">
        <w:rPr>
          <w:rFonts w:ascii="Garamond" w:hAnsi="Garamond" w:cs="Arial"/>
          <w:sz w:val="24"/>
          <w:szCs w:val="24"/>
          <w:lang w:val="pt-BR"/>
        </w:rPr>
        <w:t xml:space="preserve">à </w:t>
      </w:r>
      <w:r w:rsidRPr="003A1174">
        <w:rPr>
          <w:rFonts w:ascii="Garamond" w:hAnsi="Garamond" w:cs="Arial"/>
          <w:sz w:val="24"/>
          <w:szCs w:val="24"/>
          <w:lang w:val="pt-BR"/>
        </w:rPr>
        <w:t>decisão judicial.</w:t>
      </w:r>
      <w:r w:rsidR="00034081" w:rsidRPr="003A1174">
        <w:rPr>
          <w:rFonts w:ascii="Garamond" w:hAnsi="Garamond" w:cs="Arial"/>
          <w:sz w:val="24"/>
          <w:szCs w:val="24"/>
          <w:lang w:val="pt-BR"/>
        </w:rPr>
        <w:t xml:space="preserve"> (Violência Contra a Mulher e Acesso à Justiça).</w:t>
      </w:r>
    </w:p>
    <w:p w:rsidR="00034081" w:rsidRPr="003A1174" w:rsidRDefault="00034081"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8. São vários os desafios para alcançar essa especialização e convertê-la em</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 xml:space="preserve">atendimento digno e de qualidade. A maior parte dos cursos de formação não incorpora o tema da violência baseada em </w:t>
      </w:r>
      <w:r w:rsidR="00600E20" w:rsidRPr="003A1174">
        <w:rPr>
          <w:rFonts w:ascii="Garamond" w:hAnsi="Garamond" w:cs="Arial"/>
          <w:sz w:val="24"/>
          <w:szCs w:val="24"/>
          <w:lang w:val="pt-BR"/>
        </w:rPr>
        <w:t>género</w:t>
      </w:r>
      <w:r w:rsidR="000B3464" w:rsidRPr="003A1174">
        <w:rPr>
          <w:rFonts w:ascii="Garamond" w:hAnsi="Garamond" w:cs="Arial"/>
          <w:sz w:val="24"/>
          <w:szCs w:val="24"/>
          <w:lang w:val="pt-BR"/>
        </w:rPr>
        <w:t xml:space="preserve"> n</w:t>
      </w:r>
      <w:r w:rsidRPr="003A1174">
        <w:rPr>
          <w:rFonts w:ascii="Garamond" w:hAnsi="Garamond" w:cs="Arial"/>
          <w:sz w:val="24"/>
          <w:szCs w:val="24"/>
          <w:lang w:val="pt-BR"/>
        </w:rPr>
        <w:t>os seus currículos (nem os temas transversais), os cursos de especialização não parecem ser atraentes</w:t>
      </w:r>
      <w:r w:rsidR="0019225F">
        <w:rPr>
          <w:rFonts w:ascii="Garamond" w:hAnsi="Garamond" w:cs="Arial"/>
          <w:sz w:val="24"/>
          <w:szCs w:val="24"/>
          <w:lang w:val="pt-BR"/>
        </w:rPr>
        <w:t>,</w:t>
      </w:r>
      <w:r w:rsidRPr="003A1174">
        <w:rPr>
          <w:rFonts w:ascii="Garamond" w:hAnsi="Garamond" w:cs="Arial"/>
          <w:sz w:val="24"/>
          <w:szCs w:val="24"/>
          <w:lang w:val="pt-BR"/>
        </w:rPr>
        <w:t xml:space="preserve"> o suficiente</w:t>
      </w:r>
      <w:r w:rsidR="0019225F">
        <w:rPr>
          <w:rFonts w:ascii="Garamond" w:hAnsi="Garamond" w:cs="Arial"/>
          <w:sz w:val="24"/>
          <w:szCs w:val="24"/>
          <w:lang w:val="pt-BR"/>
        </w:rPr>
        <w:t>,</w:t>
      </w:r>
      <w:r w:rsidRPr="003A1174">
        <w:rPr>
          <w:rFonts w:ascii="Garamond" w:hAnsi="Garamond" w:cs="Arial"/>
          <w:sz w:val="24"/>
          <w:szCs w:val="24"/>
          <w:lang w:val="pt-BR"/>
        </w:rPr>
        <w:t xml:space="preserve"> nem aproximam a teoria da prática do atendimento e </w:t>
      </w:r>
      <w:r w:rsidR="0019225F">
        <w:rPr>
          <w:rFonts w:ascii="Garamond" w:hAnsi="Garamond" w:cs="Arial"/>
          <w:sz w:val="24"/>
          <w:szCs w:val="24"/>
          <w:lang w:val="pt-BR"/>
        </w:rPr>
        <w:t>e os cursos</w:t>
      </w:r>
      <w:r w:rsidRPr="003A1174">
        <w:rPr>
          <w:rFonts w:ascii="Garamond" w:hAnsi="Garamond" w:cs="Arial"/>
          <w:sz w:val="24"/>
          <w:szCs w:val="24"/>
          <w:lang w:val="pt-BR"/>
        </w:rPr>
        <w:t xml:space="preserve"> de </w:t>
      </w:r>
      <w:r w:rsidR="001B7D0B">
        <w:rPr>
          <w:rFonts w:ascii="Garamond" w:hAnsi="Garamond" w:cs="Arial"/>
          <w:sz w:val="24"/>
          <w:szCs w:val="24"/>
          <w:lang w:val="pt-BR"/>
        </w:rPr>
        <w:t xml:space="preserve">formação </w:t>
      </w:r>
      <w:r w:rsidRPr="003A1174">
        <w:rPr>
          <w:rFonts w:ascii="Garamond" w:hAnsi="Garamond" w:cs="Arial"/>
          <w:sz w:val="24"/>
          <w:szCs w:val="24"/>
          <w:lang w:val="pt-BR"/>
        </w:rPr>
        <w:t>são suficientes</w:t>
      </w:r>
      <w:r w:rsidR="0019225F">
        <w:rPr>
          <w:rFonts w:ascii="Garamond" w:hAnsi="Garamond" w:cs="Arial"/>
          <w:sz w:val="24"/>
          <w:szCs w:val="24"/>
          <w:lang w:val="pt-BR"/>
        </w:rPr>
        <w:t>,</w:t>
      </w:r>
      <w:r w:rsidRPr="003A1174">
        <w:rPr>
          <w:rFonts w:ascii="Garamond" w:hAnsi="Garamond" w:cs="Arial"/>
          <w:sz w:val="24"/>
          <w:szCs w:val="24"/>
          <w:lang w:val="pt-BR"/>
        </w:rPr>
        <w:t xml:space="preserve"> apenas</w:t>
      </w:r>
      <w:r w:rsidR="0019225F">
        <w:rPr>
          <w:rFonts w:ascii="Garamond" w:hAnsi="Garamond" w:cs="Arial"/>
          <w:sz w:val="24"/>
          <w:szCs w:val="24"/>
          <w:lang w:val="pt-BR"/>
        </w:rPr>
        <w:t>,</w:t>
      </w:r>
      <w:r w:rsidRPr="003A1174">
        <w:rPr>
          <w:rFonts w:ascii="Garamond" w:hAnsi="Garamond" w:cs="Arial"/>
          <w:sz w:val="24"/>
          <w:szCs w:val="24"/>
          <w:lang w:val="pt-BR"/>
        </w:rPr>
        <w:t xml:space="preserve"> para iniciar algumas reflexões, mas raramente</w:t>
      </w:r>
      <w:r w:rsidR="0019225F">
        <w:rPr>
          <w:rFonts w:ascii="Garamond" w:hAnsi="Garamond" w:cs="Arial"/>
          <w:sz w:val="24"/>
          <w:szCs w:val="24"/>
          <w:lang w:val="pt-BR"/>
        </w:rPr>
        <w:t>,</w:t>
      </w:r>
      <w:r w:rsidRPr="003A1174">
        <w:rPr>
          <w:rFonts w:ascii="Garamond" w:hAnsi="Garamond" w:cs="Arial"/>
          <w:sz w:val="24"/>
          <w:szCs w:val="24"/>
          <w:lang w:val="pt-BR"/>
        </w:rPr>
        <w:t xml:space="preserve"> mudam valores e comportamentos que reforçam a desigualdade de </w:t>
      </w:r>
      <w:r w:rsidR="00600E20" w:rsidRPr="003A1174">
        <w:rPr>
          <w:rFonts w:ascii="Garamond" w:hAnsi="Garamond" w:cs="Arial"/>
          <w:sz w:val="24"/>
          <w:szCs w:val="24"/>
          <w:lang w:val="pt-BR"/>
        </w:rPr>
        <w:t>género</w:t>
      </w:r>
      <w:r w:rsidRPr="003A1174">
        <w:rPr>
          <w:rFonts w:ascii="Garamond" w:hAnsi="Garamond" w:cs="Arial"/>
          <w:sz w:val="24"/>
          <w:szCs w:val="24"/>
          <w:lang w:val="pt-BR"/>
        </w:rPr>
        <w:t xml:space="preserve">, e continuam a ser </w:t>
      </w:r>
      <w:r w:rsidR="0019225F">
        <w:rPr>
          <w:rFonts w:ascii="Garamond" w:hAnsi="Garamond" w:cs="Arial"/>
          <w:sz w:val="24"/>
          <w:szCs w:val="24"/>
          <w:lang w:val="pt-BR"/>
        </w:rPr>
        <w:t xml:space="preserve">observados </w:t>
      </w:r>
      <w:r w:rsidRPr="003A1174">
        <w:rPr>
          <w:rFonts w:ascii="Garamond" w:hAnsi="Garamond" w:cs="Arial"/>
          <w:sz w:val="24"/>
          <w:szCs w:val="24"/>
          <w:lang w:val="pt-BR"/>
        </w:rPr>
        <w:t>nos atendimentos.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Por outro lado, as instituições não valorizam o conhecimento d</w:t>
      </w:r>
      <w:r w:rsidR="0019225F">
        <w:rPr>
          <w:rFonts w:ascii="Garamond" w:hAnsi="Garamond" w:cs="Arial"/>
          <w:sz w:val="24"/>
          <w:szCs w:val="24"/>
          <w:lang w:val="pt-BR"/>
        </w:rPr>
        <w:t>os</w:t>
      </w:r>
      <w:r w:rsidRPr="003A1174">
        <w:rPr>
          <w:rFonts w:ascii="Garamond" w:hAnsi="Garamond" w:cs="Arial"/>
          <w:sz w:val="24"/>
          <w:szCs w:val="24"/>
          <w:lang w:val="pt-BR"/>
        </w:rPr>
        <w:t xml:space="preserve"> seus profissionais n</w:t>
      </w:r>
      <w:r w:rsidR="000B3464" w:rsidRPr="003A1174">
        <w:rPr>
          <w:rFonts w:ascii="Garamond" w:hAnsi="Garamond" w:cs="Arial"/>
          <w:sz w:val="24"/>
          <w:szCs w:val="24"/>
          <w:lang w:val="pt-BR"/>
        </w:rPr>
        <w:t>o momento de formar as equipa</w:t>
      </w:r>
      <w:r w:rsidRPr="003A1174">
        <w:rPr>
          <w:rFonts w:ascii="Garamond" w:hAnsi="Garamond" w:cs="Arial"/>
          <w:sz w:val="24"/>
          <w:szCs w:val="24"/>
          <w:lang w:val="pt-BR"/>
        </w:rPr>
        <w:t>s, desconsiderando</w:t>
      </w:r>
      <w:r w:rsidR="0019225F">
        <w:rPr>
          <w:rFonts w:ascii="Garamond" w:hAnsi="Garamond" w:cs="Arial"/>
          <w:sz w:val="24"/>
          <w:szCs w:val="24"/>
          <w:lang w:val="pt-BR"/>
        </w:rPr>
        <w:t>,</w:t>
      </w:r>
      <w:r w:rsidRPr="003A1174">
        <w:rPr>
          <w:rFonts w:ascii="Garamond" w:hAnsi="Garamond" w:cs="Arial"/>
          <w:sz w:val="24"/>
          <w:szCs w:val="24"/>
          <w:lang w:val="pt-BR"/>
        </w:rPr>
        <w:t xml:space="preserve"> também</w:t>
      </w:r>
      <w:r w:rsidR="0019225F">
        <w:rPr>
          <w:rFonts w:ascii="Garamond" w:hAnsi="Garamond" w:cs="Arial"/>
          <w:sz w:val="24"/>
          <w:szCs w:val="24"/>
          <w:lang w:val="pt-BR"/>
        </w:rPr>
        <w:t>,</w:t>
      </w:r>
      <w:r w:rsidRPr="003A1174">
        <w:rPr>
          <w:rFonts w:ascii="Garamond" w:hAnsi="Garamond" w:cs="Arial"/>
          <w:sz w:val="24"/>
          <w:szCs w:val="24"/>
          <w:lang w:val="pt-BR"/>
        </w:rPr>
        <w:t xml:space="preserve"> o significado da especialização do atendimento que </w:t>
      </w:r>
      <w:r w:rsidR="000B3464" w:rsidRPr="003A1174">
        <w:rPr>
          <w:rFonts w:ascii="Garamond" w:hAnsi="Garamond" w:cs="Arial"/>
          <w:sz w:val="24"/>
          <w:szCs w:val="24"/>
          <w:lang w:val="pt-BR"/>
        </w:rPr>
        <w:t xml:space="preserve">se </w:t>
      </w:r>
      <w:r w:rsidRPr="003A1174">
        <w:rPr>
          <w:rFonts w:ascii="Garamond" w:hAnsi="Garamond" w:cs="Arial"/>
          <w:sz w:val="24"/>
          <w:szCs w:val="24"/>
          <w:lang w:val="pt-BR"/>
        </w:rPr>
        <w:t>parece resumir à constituição de um espaço isolado dos demais.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9. As medidas </w:t>
      </w:r>
      <w:r w:rsidR="00034081" w:rsidRPr="003A1174">
        <w:rPr>
          <w:rFonts w:ascii="Garamond" w:hAnsi="Garamond" w:cs="Arial"/>
          <w:sz w:val="24"/>
          <w:szCs w:val="24"/>
          <w:lang w:val="pt-BR"/>
        </w:rPr>
        <w:t xml:space="preserve">de </w:t>
      </w:r>
      <w:r w:rsidRPr="003A1174">
        <w:rPr>
          <w:rFonts w:ascii="Garamond" w:hAnsi="Garamond" w:cs="Arial"/>
          <w:sz w:val="24"/>
          <w:szCs w:val="24"/>
          <w:lang w:val="pt-BR"/>
        </w:rPr>
        <w:t>prote</w:t>
      </w:r>
      <w:r w:rsidR="00034081" w:rsidRPr="003A1174">
        <w:rPr>
          <w:rFonts w:ascii="Garamond" w:hAnsi="Garamond" w:cs="Arial"/>
          <w:sz w:val="24"/>
          <w:szCs w:val="24"/>
          <w:lang w:val="pt-BR"/>
        </w:rPr>
        <w:t xml:space="preserve">ção </w:t>
      </w:r>
      <w:r w:rsidRPr="003A1174">
        <w:rPr>
          <w:rFonts w:ascii="Garamond" w:hAnsi="Garamond" w:cs="Arial"/>
          <w:sz w:val="24"/>
          <w:szCs w:val="24"/>
          <w:lang w:val="pt-BR"/>
        </w:rPr>
        <w:t xml:space="preserve">são reconhecidas como o </w:t>
      </w:r>
      <w:r w:rsidR="005D38DC" w:rsidRPr="003A1174">
        <w:rPr>
          <w:rFonts w:ascii="Garamond" w:hAnsi="Garamond" w:cs="Arial"/>
          <w:sz w:val="24"/>
          <w:szCs w:val="24"/>
          <w:lang w:val="pt-BR"/>
        </w:rPr>
        <w:t>aspeto</w:t>
      </w:r>
      <w:r w:rsidR="0019225F">
        <w:rPr>
          <w:rFonts w:ascii="Garamond" w:hAnsi="Garamond" w:cs="Arial"/>
          <w:sz w:val="24"/>
          <w:szCs w:val="24"/>
          <w:lang w:val="pt-BR"/>
        </w:rPr>
        <w:t>,</w:t>
      </w:r>
      <w:r w:rsidRPr="003A1174">
        <w:rPr>
          <w:rFonts w:ascii="Garamond" w:hAnsi="Garamond" w:cs="Arial"/>
          <w:sz w:val="24"/>
          <w:szCs w:val="24"/>
          <w:lang w:val="pt-BR"/>
        </w:rPr>
        <w:t xml:space="preserve"> mais inovador</w:t>
      </w:r>
      <w:r w:rsidR="0019225F">
        <w:rPr>
          <w:rFonts w:ascii="Garamond" w:hAnsi="Garamond" w:cs="Arial"/>
          <w:sz w:val="24"/>
          <w:szCs w:val="24"/>
          <w:lang w:val="pt-BR"/>
        </w:rPr>
        <w:t>,</w:t>
      </w:r>
      <w:r w:rsidRPr="003A1174">
        <w:rPr>
          <w:rFonts w:ascii="Garamond" w:hAnsi="Garamond" w:cs="Arial"/>
          <w:sz w:val="24"/>
          <w:szCs w:val="24"/>
          <w:lang w:val="pt-BR"/>
        </w:rPr>
        <w:t xml:space="preserve"> da Lei Maria da Penha. Contudo, </w:t>
      </w:r>
      <w:r w:rsidR="0019225F">
        <w:rPr>
          <w:rFonts w:ascii="Garamond" w:hAnsi="Garamond" w:cs="Arial"/>
          <w:sz w:val="24"/>
          <w:szCs w:val="24"/>
          <w:lang w:val="pt-BR"/>
        </w:rPr>
        <w:t xml:space="preserve">a </w:t>
      </w:r>
      <w:r w:rsidRPr="003A1174">
        <w:rPr>
          <w:rFonts w:ascii="Garamond" w:hAnsi="Garamond" w:cs="Arial"/>
          <w:sz w:val="24"/>
          <w:szCs w:val="24"/>
          <w:lang w:val="pt-BR"/>
        </w:rPr>
        <w:t xml:space="preserve">sua aplicação eficaz </w:t>
      </w:r>
      <w:r w:rsidR="0019225F">
        <w:rPr>
          <w:rFonts w:ascii="Garamond" w:hAnsi="Garamond" w:cs="Arial"/>
          <w:sz w:val="24"/>
          <w:szCs w:val="24"/>
          <w:lang w:val="pt-BR"/>
        </w:rPr>
        <w:t xml:space="preserve">exige </w:t>
      </w:r>
      <w:r w:rsidRPr="003A1174">
        <w:rPr>
          <w:rFonts w:ascii="Garamond" w:hAnsi="Garamond" w:cs="Arial"/>
          <w:sz w:val="24"/>
          <w:szCs w:val="24"/>
          <w:lang w:val="pt-BR"/>
        </w:rPr>
        <w:t xml:space="preserve">mais </w:t>
      </w:r>
      <w:r w:rsidR="0019225F">
        <w:rPr>
          <w:rFonts w:ascii="Garamond" w:hAnsi="Garamond" w:cs="Arial"/>
          <w:sz w:val="24"/>
          <w:szCs w:val="24"/>
          <w:lang w:val="pt-BR"/>
        </w:rPr>
        <w:t xml:space="preserve">do </w:t>
      </w:r>
      <w:r w:rsidRPr="003A1174">
        <w:rPr>
          <w:rFonts w:ascii="Garamond" w:hAnsi="Garamond" w:cs="Arial"/>
          <w:sz w:val="24"/>
          <w:szCs w:val="24"/>
          <w:lang w:val="pt-BR"/>
        </w:rPr>
        <w:t>que o deferimento pelos juízes. Serviços de apoio e preparados para intervir</w:t>
      </w:r>
      <w:r w:rsidR="000B3464" w:rsidRPr="003A1174">
        <w:rPr>
          <w:rFonts w:ascii="Garamond" w:hAnsi="Garamond" w:cs="Arial"/>
          <w:sz w:val="24"/>
          <w:szCs w:val="24"/>
          <w:lang w:val="pt-BR"/>
        </w:rPr>
        <w:t>em</w:t>
      </w:r>
      <w:r w:rsidRPr="003A1174">
        <w:rPr>
          <w:rFonts w:ascii="Garamond" w:hAnsi="Garamond" w:cs="Arial"/>
          <w:sz w:val="24"/>
          <w:szCs w:val="24"/>
          <w:lang w:val="pt-BR"/>
        </w:rPr>
        <w:t xml:space="preserve"> de forma rápida</w:t>
      </w:r>
      <w:r w:rsidR="0019225F">
        <w:rPr>
          <w:rFonts w:ascii="Garamond" w:hAnsi="Garamond" w:cs="Arial"/>
          <w:sz w:val="24"/>
          <w:szCs w:val="24"/>
          <w:lang w:val="pt-BR"/>
        </w:rPr>
        <w:t>,</w:t>
      </w:r>
      <w:r w:rsidRPr="003A1174">
        <w:rPr>
          <w:rFonts w:ascii="Garamond" w:hAnsi="Garamond" w:cs="Arial"/>
          <w:sz w:val="24"/>
          <w:szCs w:val="24"/>
          <w:lang w:val="pt-BR"/>
        </w:rPr>
        <w:t xml:space="preserve"> em caso de </w:t>
      </w:r>
      <w:r w:rsidR="000B3464" w:rsidRPr="003A1174">
        <w:rPr>
          <w:rFonts w:ascii="Garamond" w:hAnsi="Garamond" w:cs="Arial"/>
          <w:sz w:val="24"/>
          <w:szCs w:val="24"/>
          <w:lang w:val="pt-BR"/>
        </w:rPr>
        <w:t>in</w:t>
      </w:r>
      <w:r w:rsidRPr="003A1174">
        <w:rPr>
          <w:rFonts w:ascii="Garamond" w:hAnsi="Garamond" w:cs="Arial"/>
          <w:sz w:val="24"/>
          <w:szCs w:val="24"/>
          <w:lang w:val="pt-BR"/>
        </w:rPr>
        <w:t>cumprimento</w:t>
      </w:r>
      <w:r w:rsidR="0019225F">
        <w:rPr>
          <w:rFonts w:ascii="Garamond" w:hAnsi="Garamond" w:cs="Arial"/>
          <w:sz w:val="24"/>
          <w:szCs w:val="24"/>
          <w:lang w:val="pt-BR"/>
        </w:rPr>
        <w:t>,</w:t>
      </w:r>
      <w:r w:rsidRPr="003A1174">
        <w:rPr>
          <w:rFonts w:ascii="Garamond" w:hAnsi="Garamond" w:cs="Arial"/>
          <w:sz w:val="24"/>
          <w:szCs w:val="24"/>
          <w:lang w:val="pt-BR"/>
        </w:rPr>
        <w:t xml:space="preserve"> são fundamentais, especialmente</w:t>
      </w:r>
      <w:r w:rsidR="0019225F">
        <w:rPr>
          <w:rFonts w:ascii="Garamond" w:hAnsi="Garamond" w:cs="Arial"/>
          <w:sz w:val="24"/>
          <w:szCs w:val="24"/>
          <w:lang w:val="pt-BR"/>
        </w:rPr>
        <w:t>,</w:t>
      </w:r>
      <w:r w:rsidRPr="003A1174">
        <w:rPr>
          <w:rFonts w:ascii="Garamond" w:hAnsi="Garamond" w:cs="Arial"/>
          <w:sz w:val="24"/>
          <w:szCs w:val="24"/>
          <w:lang w:val="pt-BR"/>
        </w:rPr>
        <w:t xml:space="preserve"> quando determinam o afastamento do agressor do lar e proíbem todas as formas de conta</w:t>
      </w:r>
      <w:r w:rsidR="000B3464" w:rsidRPr="003A1174">
        <w:rPr>
          <w:rFonts w:ascii="Garamond" w:hAnsi="Garamond" w:cs="Arial"/>
          <w:sz w:val="24"/>
          <w:szCs w:val="24"/>
          <w:lang w:val="pt-BR"/>
        </w:rPr>
        <w:t>c</w:t>
      </w:r>
      <w:r w:rsidRPr="003A1174">
        <w:rPr>
          <w:rFonts w:ascii="Garamond" w:hAnsi="Garamond" w:cs="Arial"/>
          <w:sz w:val="24"/>
          <w:szCs w:val="24"/>
          <w:lang w:val="pt-BR"/>
        </w:rPr>
        <w:t>to com a vítima.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No Brasil, essa resposta imediata é dada pela polícia militar, mas pouco se sabe sobre </w:t>
      </w:r>
      <w:r w:rsidR="000B3464" w:rsidRPr="003A1174">
        <w:rPr>
          <w:rFonts w:ascii="Garamond" w:hAnsi="Garamond" w:cs="Arial"/>
          <w:sz w:val="24"/>
          <w:szCs w:val="24"/>
          <w:lang w:val="pt-BR"/>
        </w:rPr>
        <w:t>a</w:t>
      </w:r>
      <w:r w:rsidRPr="003A1174">
        <w:rPr>
          <w:rFonts w:ascii="Garamond" w:hAnsi="Garamond" w:cs="Arial"/>
          <w:sz w:val="24"/>
          <w:szCs w:val="24"/>
          <w:lang w:val="pt-BR"/>
        </w:rPr>
        <w:t xml:space="preserve"> prepar</w:t>
      </w:r>
      <w:r w:rsidR="000B3464" w:rsidRPr="003A1174">
        <w:rPr>
          <w:rFonts w:ascii="Garamond" w:hAnsi="Garamond" w:cs="Arial"/>
          <w:sz w:val="24"/>
          <w:szCs w:val="24"/>
          <w:lang w:val="pt-BR"/>
        </w:rPr>
        <w:t xml:space="preserve">ação </w:t>
      </w:r>
      <w:r w:rsidRPr="003A1174">
        <w:rPr>
          <w:rFonts w:ascii="Garamond" w:hAnsi="Garamond" w:cs="Arial"/>
          <w:sz w:val="24"/>
          <w:szCs w:val="24"/>
          <w:lang w:val="pt-BR"/>
        </w:rPr>
        <w:t>dessa corporação para interv</w:t>
      </w:r>
      <w:r w:rsidR="0019225F">
        <w:rPr>
          <w:rFonts w:ascii="Garamond" w:hAnsi="Garamond" w:cs="Arial"/>
          <w:sz w:val="24"/>
          <w:szCs w:val="24"/>
          <w:lang w:val="pt-BR"/>
        </w:rPr>
        <w:t>ir</w:t>
      </w:r>
      <w:r w:rsidRPr="003A1174">
        <w:rPr>
          <w:rFonts w:ascii="Garamond" w:hAnsi="Garamond" w:cs="Arial"/>
          <w:sz w:val="24"/>
          <w:szCs w:val="24"/>
          <w:lang w:val="pt-BR"/>
        </w:rPr>
        <w:t>. A única experiência documentada nessa pesquisa ocorre em Porto Alegre, com a Patrulha Maria da Penha, mas ainda é um projeto novo e não há como avaliar seus resultados.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10. Nas cinco capitais</w:t>
      </w:r>
      <w:r w:rsidR="0019225F">
        <w:rPr>
          <w:rFonts w:ascii="Garamond" w:hAnsi="Garamond" w:cs="Arial"/>
          <w:sz w:val="24"/>
          <w:szCs w:val="24"/>
          <w:lang w:val="pt-BR"/>
        </w:rPr>
        <w:t>,</w:t>
      </w:r>
      <w:r w:rsidRPr="003A1174">
        <w:rPr>
          <w:rFonts w:ascii="Garamond" w:hAnsi="Garamond" w:cs="Arial"/>
          <w:sz w:val="24"/>
          <w:szCs w:val="24"/>
          <w:lang w:val="pt-BR"/>
        </w:rPr>
        <w:t xml:space="preserve"> as respostas judiciais têm</w:t>
      </w:r>
      <w:r w:rsidR="000B3464" w:rsidRPr="003A1174">
        <w:rPr>
          <w:rFonts w:ascii="Garamond" w:hAnsi="Garamond" w:cs="Arial"/>
          <w:sz w:val="24"/>
          <w:szCs w:val="24"/>
          <w:lang w:val="pt-BR"/>
        </w:rPr>
        <w:t>-</w:t>
      </w:r>
      <w:r w:rsidRPr="003A1174">
        <w:rPr>
          <w:rFonts w:ascii="Garamond" w:hAnsi="Garamond" w:cs="Arial"/>
          <w:sz w:val="24"/>
          <w:szCs w:val="24"/>
          <w:lang w:val="pt-BR"/>
        </w:rPr>
        <w:t xml:space="preserve">se limitado ao deferimento das medidas </w:t>
      </w:r>
      <w:r w:rsidR="000B3464" w:rsidRPr="003A1174">
        <w:rPr>
          <w:rFonts w:ascii="Garamond" w:hAnsi="Garamond" w:cs="Arial"/>
          <w:sz w:val="24"/>
          <w:szCs w:val="24"/>
          <w:lang w:val="pt-BR"/>
        </w:rPr>
        <w:t xml:space="preserve">de </w:t>
      </w:r>
      <w:r w:rsidRPr="003A1174">
        <w:rPr>
          <w:rFonts w:ascii="Garamond" w:hAnsi="Garamond" w:cs="Arial"/>
          <w:sz w:val="24"/>
          <w:szCs w:val="24"/>
          <w:lang w:val="pt-BR"/>
        </w:rPr>
        <w:t>prote</w:t>
      </w:r>
      <w:r w:rsidR="000B3464" w:rsidRPr="003A1174">
        <w:rPr>
          <w:rFonts w:ascii="Garamond" w:hAnsi="Garamond" w:cs="Arial"/>
          <w:sz w:val="24"/>
          <w:szCs w:val="24"/>
          <w:lang w:val="pt-BR"/>
        </w:rPr>
        <w:t>ção</w:t>
      </w:r>
      <w:r w:rsidRPr="003A1174">
        <w:rPr>
          <w:rFonts w:ascii="Garamond" w:hAnsi="Garamond" w:cs="Arial"/>
          <w:sz w:val="24"/>
          <w:szCs w:val="24"/>
          <w:lang w:val="pt-BR"/>
        </w:rPr>
        <w:t xml:space="preserve">, enquanto os processos criminais prescrevem sem decisão. </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Essa situação é reveladora da perceção dos operadores do direito sobre a </w:t>
      </w:r>
      <w:r w:rsidR="000350B1" w:rsidRPr="003A1174">
        <w:rPr>
          <w:rFonts w:ascii="Garamond" w:hAnsi="Garamond" w:cs="Arial"/>
          <w:sz w:val="24"/>
          <w:szCs w:val="24"/>
          <w:lang w:val="pt-BR"/>
        </w:rPr>
        <w:t>violência</w:t>
      </w:r>
      <w:r w:rsidRPr="003A1174">
        <w:rPr>
          <w:rFonts w:ascii="Garamond" w:hAnsi="Garamond" w:cs="Arial"/>
          <w:sz w:val="24"/>
          <w:szCs w:val="24"/>
          <w:lang w:val="pt-BR"/>
        </w:rPr>
        <w:t xml:space="preserve"> doméstica e familiar. As medidas </w:t>
      </w:r>
      <w:r w:rsidR="000B3464" w:rsidRPr="003A1174">
        <w:rPr>
          <w:rFonts w:ascii="Garamond" w:hAnsi="Garamond" w:cs="Arial"/>
          <w:sz w:val="24"/>
          <w:szCs w:val="24"/>
          <w:lang w:val="pt-BR"/>
        </w:rPr>
        <w:t xml:space="preserve">de </w:t>
      </w:r>
      <w:r w:rsidRPr="003A1174">
        <w:rPr>
          <w:rFonts w:ascii="Garamond" w:hAnsi="Garamond" w:cs="Arial"/>
          <w:sz w:val="24"/>
          <w:szCs w:val="24"/>
          <w:lang w:val="pt-BR"/>
        </w:rPr>
        <w:t>prote</w:t>
      </w:r>
      <w:r w:rsidR="000B3464" w:rsidRPr="003A1174">
        <w:rPr>
          <w:rFonts w:ascii="Garamond" w:hAnsi="Garamond" w:cs="Arial"/>
          <w:sz w:val="24"/>
          <w:szCs w:val="24"/>
          <w:lang w:val="pt-BR"/>
        </w:rPr>
        <w:t xml:space="preserve">ção </w:t>
      </w:r>
      <w:r w:rsidRPr="003A1174">
        <w:rPr>
          <w:rFonts w:ascii="Garamond" w:hAnsi="Garamond" w:cs="Arial"/>
          <w:sz w:val="24"/>
          <w:szCs w:val="24"/>
          <w:lang w:val="pt-BR"/>
        </w:rPr>
        <w:t xml:space="preserve">são consideradas mais adequadas porque afastam o agressor da residência e são uma resposta mais rápida para as mulheres, mas </w:t>
      </w:r>
      <w:r w:rsidR="000B3464" w:rsidRPr="003A1174">
        <w:rPr>
          <w:rFonts w:ascii="Garamond" w:hAnsi="Garamond" w:cs="Arial"/>
          <w:sz w:val="24"/>
          <w:szCs w:val="24"/>
          <w:lang w:val="pt-BR"/>
        </w:rPr>
        <w:t xml:space="preserve">a </w:t>
      </w:r>
      <w:r w:rsidRPr="003A1174">
        <w:rPr>
          <w:rFonts w:ascii="Garamond" w:hAnsi="Garamond" w:cs="Arial"/>
          <w:sz w:val="24"/>
          <w:szCs w:val="24"/>
          <w:lang w:val="pt-BR"/>
        </w:rPr>
        <w:t>sua aplicação</w:t>
      </w:r>
      <w:r w:rsidR="008435D1">
        <w:rPr>
          <w:rFonts w:ascii="Garamond" w:hAnsi="Garamond" w:cs="Arial"/>
          <w:sz w:val="24"/>
          <w:szCs w:val="24"/>
          <w:lang w:val="pt-BR"/>
        </w:rPr>
        <w:t>,</w:t>
      </w:r>
      <w:r w:rsidRPr="003A1174">
        <w:rPr>
          <w:rFonts w:ascii="Garamond" w:hAnsi="Garamond" w:cs="Arial"/>
          <w:sz w:val="24"/>
          <w:szCs w:val="24"/>
          <w:lang w:val="pt-BR"/>
        </w:rPr>
        <w:t xml:space="preserve"> de forma isolada</w:t>
      </w:r>
      <w:r w:rsidR="008435D1">
        <w:rPr>
          <w:rFonts w:ascii="Garamond" w:hAnsi="Garamond" w:cs="Arial"/>
          <w:sz w:val="24"/>
          <w:szCs w:val="24"/>
          <w:lang w:val="pt-BR"/>
        </w:rPr>
        <w:t>,</w:t>
      </w:r>
      <w:r w:rsidRPr="003A1174">
        <w:rPr>
          <w:rFonts w:ascii="Garamond" w:hAnsi="Garamond" w:cs="Arial"/>
          <w:sz w:val="24"/>
          <w:szCs w:val="24"/>
          <w:lang w:val="pt-BR"/>
        </w:rPr>
        <w:t xml:space="preserve"> não representa proteção para as mulheres</w:t>
      </w:r>
      <w:r w:rsidR="008435D1">
        <w:rPr>
          <w:rFonts w:ascii="Garamond" w:hAnsi="Garamond" w:cs="Arial"/>
          <w:sz w:val="24"/>
          <w:szCs w:val="24"/>
          <w:lang w:val="pt-BR"/>
        </w:rPr>
        <w:t>,</w:t>
      </w:r>
      <w:r w:rsidRPr="003A1174">
        <w:rPr>
          <w:rFonts w:ascii="Garamond" w:hAnsi="Garamond" w:cs="Arial"/>
          <w:sz w:val="24"/>
          <w:szCs w:val="24"/>
          <w:lang w:val="pt-BR"/>
        </w:rPr>
        <w:t xml:space="preserve"> nem promove </w:t>
      </w:r>
      <w:r w:rsidR="000B3464" w:rsidRPr="003A1174">
        <w:rPr>
          <w:rFonts w:ascii="Garamond" w:hAnsi="Garamond" w:cs="Arial"/>
          <w:sz w:val="24"/>
          <w:szCs w:val="24"/>
          <w:lang w:val="pt-BR"/>
        </w:rPr>
        <w:t xml:space="preserve">o </w:t>
      </w:r>
      <w:r w:rsidRPr="003A1174">
        <w:rPr>
          <w:rFonts w:ascii="Garamond" w:hAnsi="Garamond" w:cs="Arial"/>
          <w:sz w:val="24"/>
          <w:szCs w:val="24"/>
          <w:lang w:val="pt-BR"/>
        </w:rPr>
        <w:t>seu acesso à justiça ou a direitos, benefícios ou outros serviços previstos na Lei Maria da Penha.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0B346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11. O inquérito policial figura entre as causas conhecidas de morosidade no</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 xml:space="preserve">encaminhamento das ações penais. Desenvolver estratégias para dar celeridade a esse procedimento é condição para que a Lei Maria da Penha produza efeitos eficazes </w:t>
      </w:r>
      <w:r w:rsidR="008435D1">
        <w:rPr>
          <w:rFonts w:ascii="Garamond" w:hAnsi="Garamond" w:cs="Arial"/>
          <w:sz w:val="24"/>
          <w:szCs w:val="24"/>
          <w:lang w:val="pt-BR"/>
        </w:rPr>
        <w:t>n</w:t>
      </w:r>
      <w:r w:rsidRPr="003A1174">
        <w:rPr>
          <w:rFonts w:ascii="Garamond" w:hAnsi="Garamond" w:cs="Arial"/>
          <w:sz w:val="24"/>
          <w:szCs w:val="24"/>
          <w:lang w:val="pt-BR"/>
        </w:rPr>
        <w:t>a responsabilização penal dos agressores. Estratégias para facilitar</w:t>
      </w:r>
      <w:r w:rsidR="000B3464" w:rsidRPr="003A1174">
        <w:rPr>
          <w:rFonts w:ascii="Garamond" w:hAnsi="Garamond" w:cs="Arial"/>
          <w:sz w:val="24"/>
          <w:szCs w:val="24"/>
          <w:lang w:val="pt-BR"/>
        </w:rPr>
        <w:t>em</w:t>
      </w:r>
      <w:r w:rsidRPr="003A1174">
        <w:rPr>
          <w:rFonts w:ascii="Garamond" w:hAnsi="Garamond" w:cs="Arial"/>
          <w:sz w:val="24"/>
          <w:szCs w:val="24"/>
          <w:lang w:val="pt-BR"/>
        </w:rPr>
        <w:t xml:space="preserve"> a realização de perícias, incluindo</w:t>
      </w:r>
      <w:r w:rsidR="008435D1">
        <w:rPr>
          <w:rFonts w:ascii="Garamond" w:hAnsi="Garamond" w:cs="Arial"/>
          <w:sz w:val="24"/>
          <w:szCs w:val="24"/>
          <w:lang w:val="pt-BR"/>
        </w:rPr>
        <w:t>,</w:t>
      </w:r>
      <w:r w:rsidRPr="003A1174">
        <w:rPr>
          <w:rFonts w:ascii="Garamond" w:hAnsi="Garamond" w:cs="Arial"/>
          <w:sz w:val="24"/>
          <w:szCs w:val="24"/>
          <w:lang w:val="pt-BR"/>
        </w:rPr>
        <w:t xml:space="preserve"> a conscien</w:t>
      </w:r>
      <w:r w:rsidR="000B3464" w:rsidRPr="003A1174">
        <w:rPr>
          <w:rFonts w:ascii="Garamond" w:hAnsi="Garamond" w:cs="Arial"/>
          <w:sz w:val="24"/>
          <w:szCs w:val="24"/>
          <w:lang w:val="pt-BR"/>
        </w:rPr>
        <w:t>cial</w:t>
      </w:r>
      <w:r w:rsidRPr="003A1174">
        <w:rPr>
          <w:rFonts w:ascii="Garamond" w:hAnsi="Garamond" w:cs="Arial"/>
          <w:sz w:val="24"/>
          <w:szCs w:val="24"/>
          <w:lang w:val="pt-BR"/>
        </w:rPr>
        <w:t>i</w:t>
      </w:r>
      <w:r w:rsidR="000B3464" w:rsidRPr="003A1174">
        <w:rPr>
          <w:rFonts w:ascii="Garamond" w:hAnsi="Garamond" w:cs="Arial"/>
          <w:sz w:val="24"/>
          <w:szCs w:val="24"/>
          <w:lang w:val="pt-BR"/>
        </w:rPr>
        <w:t>zação das mulheres a respeito da</w:t>
      </w:r>
      <w:r w:rsidRPr="003A1174">
        <w:rPr>
          <w:rFonts w:ascii="Garamond" w:hAnsi="Garamond" w:cs="Arial"/>
          <w:sz w:val="24"/>
          <w:szCs w:val="24"/>
          <w:lang w:val="pt-BR"/>
        </w:rPr>
        <w:t xml:space="preserve"> sua necessidade, melhorar a quali</w:t>
      </w:r>
      <w:r w:rsidR="000B3464" w:rsidRPr="003A1174">
        <w:rPr>
          <w:rFonts w:ascii="Garamond" w:hAnsi="Garamond" w:cs="Arial"/>
          <w:sz w:val="24"/>
          <w:szCs w:val="24"/>
          <w:lang w:val="pt-BR"/>
        </w:rPr>
        <w:t>dade dos relatos que são regist</w:t>
      </w:r>
      <w:r w:rsidRPr="003A1174">
        <w:rPr>
          <w:rFonts w:ascii="Garamond" w:hAnsi="Garamond" w:cs="Arial"/>
          <w:sz w:val="24"/>
          <w:szCs w:val="24"/>
          <w:lang w:val="pt-BR"/>
        </w:rPr>
        <w:t xml:space="preserve">ados e enviados </w:t>
      </w:r>
      <w:r w:rsidR="000B3464" w:rsidRPr="003A1174">
        <w:rPr>
          <w:rFonts w:ascii="Garamond" w:hAnsi="Garamond" w:cs="Arial"/>
          <w:sz w:val="24"/>
          <w:szCs w:val="24"/>
          <w:lang w:val="pt-BR"/>
        </w:rPr>
        <w:t xml:space="preserve">para o </w:t>
      </w:r>
      <w:r w:rsidR="00513D98" w:rsidRPr="003A1174">
        <w:rPr>
          <w:rFonts w:ascii="Garamond" w:hAnsi="Garamond" w:cs="Arial"/>
          <w:sz w:val="24"/>
          <w:szCs w:val="24"/>
          <w:lang w:val="pt-BR"/>
        </w:rPr>
        <w:t>judicial</w:t>
      </w:r>
      <w:r w:rsidRPr="003A1174">
        <w:rPr>
          <w:rFonts w:ascii="Garamond" w:hAnsi="Garamond" w:cs="Arial"/>
          <w:sz w:val="24"/>
          <w:szCs w:val="24"/>
          <w:lang w:val="pt-BR"/>
        </w:rPr>
        <w:t xml:space="preserve">, são duas medidas urgentes para que esse procedimento não se mantenha como obstáculo </w:t>
      </w:r>
      <w:r w:rsidR="008435D1">
        <w:rPr>
          <w:rFonts w:ascii="Garamond" w:hAnsi="Garamond" w:cs="Arial"/>
          <w:sz w:val="24"/>
          <w:szCs w:val="24"/>
          <w:lang w:val="pt-BR"/>
        </w:rPr>
        <w:t xml:space="preserve">à </w:t>
      </w:r>
      <w:r w:rsidRPr="003A1174">
        <w:rPr>
          <w:rFonts w:ascii="Garamond" w:hAnsi="Garamond" w:cs="Arial"/>
          <w:sz w:val="24"/>
          <w:szCs w:val="24"/>
          <w:lang w:val="pt-BR"/>
        </w:rPr>
        <w:t>aplicação da lei. O</w:t>
      </w:r>
      <w:r w:rsidR="000B3464" w:rsidRPr="003A1174">
        <w:rPr>
          <w:rFonts w:ascii="Garamond" w:hAnsi="Garamond" w:cs="Arial"/>
          <w:sz w:val="24"/>
          <w:szCs w:val="24"/>
          <w:lang w:val="pt-BR"/>
        </w:rPr>
        <w:t xml:space="preserve"> </w:t>
      </w:r>
      <w:r w:rsidRPr="003A1174">
        <w:rPr>
          <w:rFonts w:ascii="Garamond" w:hAnsi="Garamond" w:cs="Arial"/>
          <w:sz w:val="24"/>
          <w:szCs w:val="24"/>
          <w:lang w:val="pt-BR"/>
        </w:rPr>
        <w:t xml:space="preserve">desenvolvimento de protocolos é fundamental, sendo importante conhecer as opiniões dos operadores do direito a respeito das medidas e estratégias que podem ser adotadas </w:t>
      </w:r>
      <w:r w:rsidR="00034081" w:rsidRPr="003A1174">
        <w:rPr>
          <w:rFonts w:ascii="Garamond" w:hAnsi="Garamond" w:cs="Arial"/>
          <w:sz w:val="24"/>
          <w:szCs w:val="24"/>
          <w:lang w:val="pt-BR"/>
        </w:rPr>
        <w:t xml:space="preserve">para </w:t>
      </w:r>
      <w:r w:rsidRPr="003A1174">
        <w:rPr>
          <w:rFonts w:ascii="Garamond" w:hAnsi="Garamond" w:cs="Arial"/>
          <w:sz w:val="24"/>
          <w:szCs w:val="24"/>
          <w:lang w:val="pt-BR"/>
        </w:rPr>
        <w:t>esse fim, bem como</w:t>
      </w:r>
      <w:r w:rsidR="008435D1">
        <w:rPr>
          <w:rFonts w:ascii="Garamond" w:hAnsi="Garamond" w:cs="Arial"/>
          <w:sz w:val="24"/>
          <w:szCs w:val="24"/>
          <w:lang w:val="pt-BR"/>
        </w:rPr>
        <w:t>,</w:t>
      </w:r>
      <w:r w:rsidRPr="003A1174">
        <w:rPr>
          <w:rFonts w:ascii="Garamond" w:hAnsi="Garamond" w:cs="Arial"/>
          <w:sz w:val="24"/>
          <w:szCs w:val="24"/>
          <w:lang w:val="pt-BR"/>
        </w:rPr>
        <w:t xml:space="preserve"> </w:t>
      </w:r>
      <w:r w:rsidR="00034081" w:rsidRPr="003A1174">
        <w:rPr>
          <w:rFonts w:ascii="Garamond" w:hAnsi="Garamond" w:cs="Arial"/>
          <w:sz w:val="24"/>
          <w:szCs w:val="24"/>
          <w:lang w:val="pt-BR"/>
        </w:rPr>
        <w:t xml:space="preserve">a </w:t>
      </w:r>
      <w:r w:rsidRPr="003A1174">
        <w:rPr>
          <w:rFonts w:ascii="Garamond" w:hAnsi="Garamond" w:cs="Arial"/>
          <w:sz w:val="24"/>
          <w:szCs w:val="24"/>
          <w:lang w:val="pt-BR"/>
        </w:rPr>
        <w:t xml:space="preserve">sua disponibilidade de </w:t>
      </w:r>
      <w:r w:rsidR="00034081" w:rsidRPr="003A1174">
        <w:rPr>
          <w:rFonts w:ascii="Garamond" w:hAnsi="Garamond" w:cs="Arial"/>
          <w:sz w:val="24"/>
          <w:szCs w:val="24"/>
          <w:lang w:val="pt-BR"/>
        </w:rPr>
        <w:t>envolvimento</w:t>
      </w:r>
      <w:r w:rsidRPr="003A1174">
        <w:rPr>
          <w:rFonts w:ascii="Garamond" w:hAnsi="Garamond" w:cs="Arial"/>
          <w:sz w:val="24"/>
          <w:szCs w:val="24"/>
          <w:lang w:val="pt-BR"/>
        </w:rPr>
        <w:t xml:space="preserve"> nesse processo de mudança.</w:t>
      </w:r>
      <w:r w:rsidR="000B3464" w:rsidRPr="003A1174">
        <w:rPr>
          <w:rFonts w:ascii="Garamond" w:hAnsi="Garamond" w:cs="Arial"/>
          <w:sz w:val="24"/>
          <w:szCs w:val="24"/>
          <w:lang w:val="pt-BR"/>
        </w:rPr>
        <w:t xml:space="preserve"> (Violência Contra a Mulher e Acesso à Justiça)</w:t>
      </w:r>
      <w:r w:rsidR="008435D1">
        <w:rPr>
          <w:rFonts w:ascii="Garamond" w:hAnsi="Garamond" w:cs="Arial"/>
          <w:sz w:val="24"/>
          <w:szCs w:val="24"/>
          <w:lang w:val="pt-BR"/>
        </w:rPr>
        <w:t>.</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lastRenderedPageBreak/>
        <w:t>12. O reconhecimento da violência contra as mulheres</w:t>
      </w:r>
      <w:r w:rsidR="008435D1">
        <w:rPr>
          <w:rFonts w:ascii="Garamond" w:hAnsi="Garamond" w:cs="Arial"/>
          <w:sz w:val="24"/>
          <w:szCs w:val="24"/>
          <w:lang w:val="pt-BR"/>
        </w:rPr>
        <w:t>,</w:t>
      </w:r>
      <w:r w:rsidRPr="003A1174">
        <w:rPr>
          <w:rFonts w:ascii="Garamond" w:hAnsi="Garamond" w:cs="Arial"/>
          <w:sz w:val="24"/>
          <w:szCs w:val="24"/>
          <w:lang w:val="pt-BR"/>
        </w:rPr>
        <w:t xml:space="preserve"> como crime passível de </w:t>
      </w:r>
      <w:r w:rsidR="00077461" w:rsidRPr="003A1174">
        <w:rPr>
          <w:rFonts w:ascii="Garamond" w:hAnsi="Garamond" w:cs="Arial"/>
          <w:sz w:val="24"/>
          <w:szCs w:val="24"/>
          <w:lang w:val="pt-BR"/>
        </w:rPr>
        <w:t>registo</w:t>
      </w:r>
      <w:r w:rsidRPr="003A1174">
        <w:rPr>
          <w:rFonts w:ascii="Garamond" w:hAnsi="Garamond" w:cs="Arial"/>
          <w:sz w:val="24"/>
          <w:szCs w:val="24"/>
          <w:lang w:val="pt-BR"/>
        </w:rPr>
        <w:t xml:space="preserve"> policial</w:t>
      </w:r>
      <w:r w:rsidR="008435D1">
        <w:rPr>
          <w:rFonts w:ascii="Garamond" w:hAnsi="Garamond" w:cs="Arial"/>
          <w:sz w:val="24"/>
          <w:szCs w:val="24"/>
          <w:lang w:val="pt-BR"/>
        </w:rPr>
        <w:t>,</w:t>
      </w:r>
      <w:r w:rsidRPr="003A1174">
        <w:rPr>
          <w:rFonts w:ascii="Garamond" w:hAnsi="Garamond" w:cs="Arial"/>
          <w:sz w:val="24"/>
          <w:szCs w:val="24"/>
          <w:lang w:val="pt-BR"/>
        </w:rPr>
        <w:t xml:space="preserve"> ainda é um obstáculo. A decisão do STF sobre a lesão corporal como ação pública incondicionada pôs fim a uma longa discussão que ameaçava a lei e </w:t>
      </w:r>
      <w:r w:rsidR="00034081" w:rsidRPr="003A1174">
        <w:rPr>
          <w:rFonts w:ascii="Garamond" w:hAnsi="Garamond" w:cs="Arial"/>
          <w:sz w:val="24"/>
          <w:szCs w:val="24"/>
          <w:lang w:val="pt-BR"/>
        </w:rPr>
        <w:t xml:space="preserve">os </w:t>
      </w:r>
      <w:r w:rsidRPr="003A1174">
        <w:rPr>
          <w:rFonts w:ascii="Garamond" w:hAnsi="Garamond" w:cs="Arial"/>
          <w:sz w:val="24"/>
          <w:szCs w:val="24"/>
          <w:lang w:val="pt-BR"/>
        </w:rPr>
        <w:t xml:space="preserve">seus propósitos. Apesar da decisão, o tema não é pacífico entre os operadores do direito e conhecer </w:t>
      </w:r>
      <w:r w:rsidR="00034081" w:rsidRPr="003A1174">
        <w:rPr>
          <w:rFonts w:ascii="Garamond" w:hAnsi="Garamond" w:cs="Arial"/>
          <w:sz w:val="24"/>
          <w:szCs w:val="24"/>
          <w:lang w:val="pt-BR"/>
        </w:rPr>
        <w:t xml:space="preserve">as </w:t>
      </w:r>
      <w:r w:rsidRPr="003A1174">
        <w:rPr>
          <w:rFonts w:ascii="Garamond" w:hAnsi="Garamond" w:cs="Arial"/>
          <w:sz w:val="24"/>
          <w:szCs w:val="24"/>
          <w:lang w:val="pt-BR"/>
        </w:rPr>
        <w:t>suas opiniões ajudou a conhecer</w:t>
      </w:r>
      <w:r w:rsidR="008435D1">
        <w:rPr>
          <w:rFonts w:ascii="Garamond" w:hAnsi="Garamond" w:cs="Arial"/>
          <w:sz w:val="24"/>
          <w:szCs w:val="24"/>
          <w:lang w:val="pt-BR"/>
        </w:rPr>
        <w:t>,</w:t>
      </w:r>
      <w:r w:rsidRPr="003A1174">
        <w:rPr>
          <w:rFonts w:ascii="Garamond" w:hAnsi="Garamond" w:cs="Arial"/>
          <w:sz w:val="24"/>
          <w:szCs w:val="24"/>
          <w:lang w:val="pt-BR"/>
        </w:rPr>
        <w:t xml:space="preserve"> também</w:t>
      </w:r>
      <w:r w:rsidR="008435D1">
        <w:rPr>
          <w:rFonts w:ascii="Garamond" w:hAnsi="Garamond" w:cs="Arial"/>
          <w:sz w:val="24"/>
          <w:szCs w:val="24"/>
          <w:lang w:val="pt-BR"/>
        </w:rPr>
        <w:t>,</w:t>
      </w:r>
      <w:r w:rsidRPr="003A1174">
        <w:rPr>
          <w:rFonts w:ascii="Garamond" w:hAnsi="Garamond" w:cs="Arial"/>
          <w:sz w:val="24"/>
          <w:szCs w:val="24"/>
          <w:lang w:val="pt-BR"/>
        </w:rPr>
        <w:t xml:space="preserve"> as estratégias que ainda adotam para que as ocorrências não sejam </w:t>
      </w:r>
      <w:r w:rsidR="00023AD6" w:rsidRPr="003A1174">
        <w:rPr>
          <w:rFonts w:ascii="Garamond" w:hAnsi="Garamond" w:cs="Arial"/>
          <w:sz w:val="24"/>
          <w:szCs w:val="24"/>
          <w:lang w:val="pt-BR"/>
        </w:rPr>
        <w:t>registada</w:t>
      </w:r>
      <w:r w:rsidRPr="003A1174">
        <w:rPr>
          <w:rFonts w:ascii="Garamond" w:hAnsi="Garamond" w:cs="Arial"/>
          <w:sz w:val="24"/>
          <w:szCs w:val="24"/>
          <w:lang w:val="pt-BR"/>
        </w:rPr>
        <w:t>s ou levadas adiante.</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13. O acesso à informação sobre direitos e sobre outros serviços que podem ser</w:t>
      </w:r>
      <w:r w:rsidR="008435D1">
        <w:rPr>
          <w:rFonts w:ascii="Garamond" w:hAnsi="Garamond" w:cs="Arial"/>
          <w:sz w:val="24"/>
          <w:szCs w:val="24"/>
          <w:lang w:val="pt-BR"/>
        </w:rPr>
        <w:t xml:space="preserve">, igualmente, </w:t>
      </w:r>
      <w:r w:rsidRPr="003A1174">
        <w:rPr>
          <w:rFonts w:ascii="Garamond" w:hAnsi="Garamond" w:cs="Arial"/>
          <w:sz w:val="24"/>
          <w:szCs w:val="24"/>
          <w:lang w:val="pt-BR"/>
        </w:rPr>
        <w:t>acionados</w:t>
      </w:r>
      <w:r w:rsidR="008435D1">
        <w:rPr>
          <w:rFonts w:ascii="Garamond" w:hAnsi="Garamond" w:cs="Arial"/>
          <w:sz w:val="24"/>
          <w:szCs w:val="24"/>
          <w:lang w:val="pt-BR"/>
        </w:rPr>
        <w:t>,</w:t>
      </w:r>
      <w:r w:rsidRPr="003A1174">
        <w:rPr>
          <w:rFonts w:ascii="Garamond" w:hAnsi="Garamond" w:cs="Arial"/>
          <w:sz w:val="24"/>
          <w:szCs w:val="24"/>
          <w:lang w:val="pt-BR"/>
        </w:rPr>
        <w:t xml:space="preserve"> também </w:t>
      </w:r>
      <w:r w:rsidR="008435D1">
        <w:rPr>
          <w:rFonts w:ascii="Garamond" w:hAnsi="Garamond" w:cs="Arial"/>
          <w:sz w:val="24"/>
          <w:szCs w:val="24"/>
          <w:lang w:val="pt-BR"/>
        </w:rPr>
        <w:t>faz</w:t>
      </w:r>
      <w:r w:rsidR="00DF1881">
        <w:rPr>
          <w:rFonts w:ascii="Garamond" w:hAnsi="Garamond" w:cs="Arial"/>
          <w:sz w:val="24"/>
          <w:szCs w:val="24"/>
          <w:lang w:val="pt-BR"/>
        </w:rPr>
        <w:t>em</w:t>
      </w:r>
      <w:r w:rsidR="008435D1">
        <w:rPr>
          <w:rFonts w:ascii="Garamond" w:hAnsi="Garamond" w:cs="Arial"/>
          <w:sz w:val="24"/>
          <w:szCs w:val="24"/>
          <w:lang w:val="pt-BR"/>
        </w:rPr>
        <w:t xml:space="preserve"> parte d</w:t>
      </w:r>
      <w:r w:rsidRPr="003A1174">
        <w:rPr>
          <w:rFonts w:ascii="Garamond" w:hAnsi="Garamond" w:cs="Arial"/>
          <w:sz w:val="24"/>
          <w:szCs w:val="24"/>
          <w:lang w:val="pt-BR"/>
        </w:rPr>
        <w:t>os obstáculos ao acesso a direitos e justiça, uma vez que as mulheres sabem da existência da lei, mas não compreendem o alcance das medidas que estão ali propostas e muitas vezes não sabem como acioná-las.</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14. A articulação das redes de </w:t>
      </w:r>
      <w:r w:rsidR="00DF1881">
        <w:rPr>
          <w:rFonts w:ascii="Garamond" w:hAnsi="Garamond" w:cs="Arial"/>
          <w:sz w:val="24"/>
          <w:szCs w:val="24"/>
          <w:lang w:val="pt-BR"/>
        </w:rPr>
        <w:t xml:space="preserve">apoio </w:t>
      </w:r>
      <w:r w:rsidRPr="003A1174">
        <w:rPr>
          <w:rFonts w:ascii="Garamond" w:hAnsi="Garamond" w:cs="Arial"/>
          <w:sz w:val="24"/>
          <w:szCs w:val="24"/>
          <w:lang w:val="pt-BR"/>
        </w:rPr>
        <w:t>tem figurado como um desafio para a aplicação da LMP e a participação dos setores de segurança e justiça</w:t>
      </w:r>
      <w:r w:rsidR="00DF1881">
        <w:rPr>
          <w:rFonts w:ascii="Garamond" w:hAnsi="Garamond" w:cs="Arial"/>
          <w:sz w:val="24"/>
          <w:szCs w:val="24"/>
          <w:lang w:val="pt-BR"/>
        </w:rPr>
        <w:t>,</w:t>
      </w:r>
      <w:r w:rsidRPr="003A1174">
        <w:rPr>
          <w:rFonts w:ascii="Garamond" w:hAnsi="Garamond" w:cs="Arial"/>
          <w:sz w:val="24"/>
          <w:szCs w:val="24"/>
          <w:lang w:val="pt-BR"/>
        </w:rPr>
        <w:t xml:space="preserve"> frequentemente</w:t>
      </w:r>
      <w:r w:rsidR="00DF1881">
        <w:rPr>
          <w:rFonts w:ascii="Garamond" w:hAnsi="Garamond" w:cs="Arial"/>
          <w:sz w:val="24"/>
          <w:szCs w:val="24"/>
          <w:lang w:val="pt-BR"/>
        </w:rPr>
        <w:t>,</w:t>
      </w:r>
      <w:r w:rsidRPr="003A1174">
        <w:rPr>
          <w:rFonts w:ascii="Garamond" w:hAnsi="Garamond" w:cs="Arial"/>
          <w:sz w:val="24"/>
          <w:szCs w:val="24"/>
          <w:lang w:val="pt-BR"/>
        </w:rPr>
        <w:t xml:space="preserve"> é apontada como problemática, sobretudo com relação aos juízes que resistem em aderir às discussões e trabalhar de forma colaborativa.”</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A título de conclusão.</w:t>
      </w: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p>
    <w:p w:rsidR="004C140F" w:rsidRPr="003A1174" w:rsidRDefault="004C140F" w:rsidP="008719D4">
      <w:pPr>
        <w:autoSpaceDE w:val="0"/>
        <w:autoSpaceDN w:val="0"/>
        <w:adjustRightInd w:val="0"/>
        <w:spacing w:after="0" w:line="240" w:lineRule="auto"/>
        <w:jc w:val="both"/>
        <w:rPr>
          <w:rFonts w:ascii="Garamond" w:hAnsi="Garamond" w:cs="Arial"/>
          <w:sz w:val="24"/>
          <w:szCs w:val="24"/>
          <w:lang w:val="pt-BR"/>
        </w:rPr>
      </w:pPr>
      <w:r w:rsidRPr="003A1174">
        <w:rPr>
          <w:rFonts w:ascii="Garamond" w:hAnsi="Garamond" w:cs="Arial"/>
          <w:sz w:val="24"/>
          <w:szCs w:val="24"/>
          <w:lang w:val="pt-BR"/>
        </w:rPr>
        <w:t xml:space="preserve">Reiteramos que as informações prestadas não esgotam todas as fontes de consulta, igualmente legítimas, mantendo-se a equipe da PFDC à disposição para prestar </w:t>
      </w:r>
      <w:r w:rsidR="00DF1881">
        <w:rPr>
          <w:rFonts w:ascii="Garamond" w:hAnsi="Garamond" w:cs="Arial"/>
          <w:sz w:val="24"/>
          <w:szCs w:val="24"/>
          <w:lang w:val="pt-BR"/>
        </w:rPr>
        <w:t xml:space="preserve">os </w:t>
      </w:r>
      <w:r w:rsidRPr="003A1174">
        <w:rPr>
          <w:rFonts w:ascii="Garamond" w:hAnsi="Garamond" w:cs="Arial"/>
          <w:sz w:val="24"/>
          <w:szCs w:val="24"/>
          <w:lang w:val="pt-BR"/>
        </w:rPr>
        <w:t xml:space="preserve">esclarecimentos que </w:t>
      </w:r>
      <w:r w:rsidR="00CB6E18" w:rsidRPr="003A1174">
        <w:rPr>
          <w:rFonts w:ascii="Garamond" w:hAnsi="Garamond" w:cs="Arial"/>
          <w:sz w:val="24"/>
          <w:szCs w:val="24"/>
          <w:lang w:val="pt-BR"/>
        </w:rPr>
        <w:t xml:space="preserve">sejam </w:t>
      </w:r>
      <w:r w:rsidRPr="003A1174">
        <w:rPr>
          <w:rFonts w:ascii="Garamond" w:hAnsi="Garamond" w:cs="Arial"/>
          <w:sz w:val="24"/>
          <w:szCs w:val="24"/>
          <w:lang w:val="pt-BR"/>
        </w:rPr>
        <w:t>necessários, bem como</w:t>
      </w:r>
      <w:r w:rsidR="00DF1881">
        <w:rPr>
          <w:rFonts w:ascii="Garamond" w:hAnsi="Garamond" w:cs="Arial"/>
          <w:sz w:val="24"/>
          <w:szCs w:val="24"/>
          <w:lang w:val="pt-BR"/>
        </w:rPr>
        <w:t>,</w:t>
      </w:r>
      <w:r w:rsidRPr="003A1174">
        <w:rPr>
          <w:rFonts w:ascii="Garamond" w:hAnsi="Garamond" w:cs="Arial"/>
          <w:sz w:val="24"/>
          <w:szCs w:val="24"/>
          <w:lang w:val="pt-BR"/>
        </w:rPr>
        <w:t xml:space="preserve"> para avançar nas pesquisas e na </w:t>
      </w:r>
      <w:r w:rsidR="00DF1881">
        <w:rPr>
          <w:rFonts w:ascii="Garamond" w:hAnsi="Garamond" w:cs="Arial"/>
          <w:sz w:val="24"/>
          <w:szCs w:val="24"/>
          <w:lang w:val="pt-BR"/>
        </w:rPr>
        <w:t xml:space="preserve">compilação </w:t>
      </w:r>
      <w:r w:rsidRPr="003A1174">
        <w:rPr>
          <w:rFonts w:ascii="Garamond" w:hAnsi="Garamond" w:cs="Arial"/>
          <w:sz w:val="24"/>
          <w:szCs w:val="24"/>
          <w:lang w:val="pt-BR"/>
        </w:rPr>
        <w:t xml:space="preserve">de dados, </w:t>
      </w:r>
      <w:r w:rsidR="00CB6E18" w:rsidRPr="003A1174">
        <w:rPr>
          <w:rFonts w:ascii="Garamond" w:hAnsi="Garamond" w:cs="Arial"/>
          <w:sz w:val="24"/>
          <w:szCs w:val="24"/>
          <w:lang w:val="pt-BR"/>
        </w:rPr>
        <w:t xml:space="preserve">como </w:t>
      </w:r>
      <w:r w:rsidRPr="003A1174">
        <w:rPr>
          <w:rFonts w:ascii="Garamond" w:hAnsi="Garamond" w:cs="Arial"/>
          <w:sz w:val="24"/>
          <w:szCs w:val="24"/>
          <w:lang w:val="pt-BR"/>
        </w:rPr>
        <w:t>complement</w:t>
      </w:r>
      <w:r w:rsidR="00CB6E18" w:rsidRPr="003A1174">
        <w:rPr>
          <w:rFonts w:ascii="Garamond" w:hAnsi="Garamond" w:cs="Arial"/>
          <w:sz w:val="24"/>
          <w:szCs w:val="24"/>
          <w:lang w:val="pt-BR"/>
        </w:rPr>
        <w:t xml:space="preserve">o </w:t>
      </w:r>
      <w:r w:rsidRPr="003A1174">
        <w:rPr>
          <w:rFonts w:ascii="Garamond" w:hAnsi="Garamond" w:cs="Arial"/>
          <w:sz w:val="24"/>
          <w:szCs w:val="24"/>
          <w:lang w:val="pt-BR"/>
        </w:rPr>
        <w:t xml:space="preserve">às informações apresentadas, </w:t>
      </w:r>
      <w:r w:rsidR="00CB6E18" w:rsidRPr="003A1174">
        <w:rPr>
          <w:rFonts w:ascii="Garamond" w:hAnsi="Garamond" w:cs="Arial"/>
          <w:sz w:val="24"/>
          <w:szCs w:val="24"/>
          <w:lang w:val="pt-BR"/>
        </w:rPr>
        <w:t>relativamente</w:t>
      </w:r>
      <w:r w:rsidR="00DF1881">
        <w:rPr>
          <w:rFonts w:ascii="Garamond" w:hAnsi="Garamond" w:cs="Arial"/>
          <w:sz w:val="24"/>
          <w:szCs w:val="24"/>
          <w:lang w:val="pt-BR"/>
        </w:rPr>
        <w:t>,</w:t>
      </w:r>
      <w:r w:rsidR="00CB6E18" w:rsidRPr="003A1174">
        <w:rPr>
          <w:rFonts w:ascii="Garamond" w:hAnsi="Garamond" w:cs="Arial"/>
          <w:sz w:val="24"/>
          <w:szCs w:val="24"/>
          <w:lang w:val="pt-BR"/>
        </w:rPr>
        <w:t xml:space="preserve"> </w:t>
      </w:r>
      <w:r w:rsidRPr="003A1174">
        <w:rPr>
          <w:rFonts w:ascii="Garamond" w:hAnsi="Garamond" w:cs="Arial"/>
          <w:sz w:val="24"/>
          <w:szCs w:val="24"/>
          <w:lang w:val="pt-BR"/>
        </w:rPr>
        <w:t xml:space="preserve">às </w:t>
      </w:r>
      <w:r w:rsidR="00DE6DF6" w:rsidRPr="003A1174">
        <w:rPr>
          <w:rFonts w:ascii="Garamond" w:hAnsi="Garamond" w:cs="Arial"/>
          <w:sz w:val="24"/>
          <w:szCs w:val="24"/>
          <w:lang w:val="pt-BR"/>
        </w:rPr>
        <w:t>respetiva</w:t>
      </w:r>
      <w:r w:rsidRPr="003A1174">
        <w:rPr>
          <w:rFonts w:ascii="Garamond" w:hAnsi="Garamond" w:cs="Arial"/>
          <w:sz w:val="24"/>
          <w:szCs w:val="24"/>
          <w:lang w:val="pt-BR"/>
        </w:rPr>
        <w:t>s fontes de consulta. Neste sentido, esta equip</w:t>
      </w:r>
      <w:r w:rsidR="00CB6E18" w:rsidRPr="003A1174">
        <w:rPr>
          <w:rFonts w:ascii="Garamond" w:hAnsi="Garamond" w:cs="Arial"/>
          <w:sz w:val="24"/>
          <w:szCs w:val="24"/>
          <w:lang w:val="pt-BR"/>
        </w:rPr>
        <w:t>a</w:t>
      </w:r>
      <w:r w:rsidRPr="003A1174">
        <w:rPr>
          <w:rFonts w:ascii="Garamond" w:hAnsi="Garamond" w:cs="Arial"/>
          <w:sz w:val="24"/>
          <w:szCs w:val="24"/>
          <w:lang w:val="pt-BR"/>
        </w:rPr>
        <w:t xml:space="preserve"> está </w:t>
      </w:r>
      <w:r w:rsidR="00CB6E18" w:rsidRPr="003A1174">
        <w:rPr>
          <w:rFonts w:ascii="Garamond" w:hAnsi="Garamond" w:cs="Arial"/>
          <w:sz w:val="24"/>
          <w:szCs w:val="24"/>
          <w:lang w:val="pt-BR"/>
        </w:rPr>
        <w:t xml:space="preserve">a </w:t>
      </w:r>
      <w:r w:rsidRPr="003A1174">
        <w:rPr>
          <w:rFonts w:ascii="Garamond" w:hAnsi="Garamond" w:cs="Arial"/>
          <w:sz w:val="24"/>
          <w:szCs w:val="24"/>
          <w:lang w:val="pt-BR"/>
        </w:rPr>
        <w:t>elabora</w:t>
      </w:r>
      <w:r w:rsidR="00CB6E18" w:rsidRPr="003A1174">
        <w:rPr>
          <w:rFonts w:ascii="Garamond" w:hAnsi="Garamond" w:cs="Arial"/>
          <w:sz w:val="24"/>
          <w:szCs w:val="24"/>
          <w:lang w:val="pt-BR"/>
        </w:rPr>
        <w:t xml:space="preserve">r </w:t>
      </w:r>
      <w:r w:rsidRPr="003A1174">
        <w:rPr>
          <w:rFonts w:ascii="Garamond" w:hAnsi="Garamond" w:cs="Arial"/>
          <w:sz w:val="24"/>
          <w:szCs w:val="24"/>
          <w:lang w:val="pt-BR"/>
        </w:rPr>
        <w:t>uma proposta de trabalho para uma contínua e sistemática interlocução com órgãos governamentais, organismos internacionais</w:t>
      </w:r>
      <w:r w:rsidR="00DF1881">
        <w:rPr>
          <w:rFonts w:ascii="Garamond" w:hAnsi="Garamond" w:cs="Arial"/>
          <w:sz w:val="24"/>
          <w:szCs w:val="24"/>
          <w:lang w:val="pt-BR"/>
        </w:rPr>
        <w:t>,</w:t>
      </w:r>
      <w:r w:rsidRPr="003A1174">
        <w:rPr>
          <w:rFonts w:ascii="Garamond" w:hAnsi="Garamond" w:cs="Arial"/>
          <w:sz w:val="24"/>
          <w:szCs w:val="24"/>
          <w:lang w:val="pt-BR"/>
        </w:rPr>
        <w:t xml:space="preserve"> organizações não governamentais e centros de pesquisa que permita </w:t>
      </w:r>
      <w:r w:rsidR="00DF1881">
        <w:rPr>
          <w:rFonts w:ascii="Garamond" w:hAnsi="Garamond" w:cs="Arial"/>
          <w:sz w:val="24"/>
          <w:szCs w:val="24"/>
          <w:lang w:val="pt-BR"/>
        </w:rPr>
        <w:t xml:space="preserve">o </w:t>
      </w:r>
      <w:r w:rsidRPr="003A1174">
        <w:rPr>
          <w:rFonts w:ascii="Garamond" w:hAnsi="Garamond" w:cs="Arial"/>
          <w:sz w:val="24"/>
          <w:szCs w:val="24"/>
          <w:lang w:val="pt-BR"/>
        </w:rPr>
        <w:t xml:space="preserve">conhecimento mais regular e atualizado dos estudos, pesquisas e avaliações sobre as políticas públicas </w:t>
      </w:r>
      <w:r w:rsidR="00CB6E18" w:rsidRPr="003A1174">
        <w:rPr>
          <w:rFonts w:ascii="Garamond" w:hAnsi="Garamond" w:cs="Arial"/>
          <w:sz w:val="24"/>
          <w:szCs w:val="24"/>
          <w:lang w:val="pt-BR"/>
        </w:rPr>
        <w:t>objeto de discussão</w:t>
      </w:r>
      <w:r w:rsidRPr="003A1174">
        <w:rPr>
          <w:rFonts w:ascii="Garamond" w:hAnsi="Garamond" w:cs="Arial"/>
          <w:sz w:val="24"/>
          <w:szCs w:val="24"/>
          <w:lang w:val="pt-BR"/>
        </w:rPr>
        <w:t>.</w:t>
      </w:r>
    </w:p>
    <w:p w:rsidR="004C140F" w:rsidRDefault="004C140F" w:rsidP="008719D4">
      <w:pPr>
        <w:pStyle w:val="Ttulo1"/>
        <w:spacing w:before="0" w:beforeAutospacing="0" w:after="0" w:afterAutospacing="0"/>
        <w:jc w:val="both"/>
        <w:rPr>
          <w:rFonts w:ascii="Garamond" w:hAnsi="Garamond"/>
          <w:szCs w:val="24"/>
          <w:lang w:val="pt-BR"/>
        </w:rPr>
      </w:pPr>
    </w:p>
    <w:p w:rsidR="00DF1881" w:rsidRDefault="00DF1881" w:rsidP="008719D4">
      <w:pPr>
        <w:pStyle w:val="Ttulo1"/>
        <w:spacing w:before="0" w:beforeAutospacing="0" w:after="0" w:afterAutospacing="0"/>
        <w:jc w:val="both"/>
        <w:rPr>
          <w:rFonts w:ascii="Garamond" w:hAnsi="Garamond"/>
          <w:szCs w:val="24"/>
          <w:lang w:val="pt-BR"/>
        </w:rPr>
      </w:pPr>
    </w:p>
    <w:p w:rsidR="00DF1881" w:rsidRPr="00D8285F" w:rsidRDefault="00DF1881" w:rsidP="00DF1881">
      <w:pPr>
        <w:pStyle w:val="Predeterminado"/>
        <w:spacing w:before="240" w:line="240" w:lineRule="auto"/>
        <w:jc w:val="both"/>
        <w:rPr>
          <w:rFonts w:ascii="Garamond" w:hAnsi="Garamond" w:cs="Arial"/>
          <w:b/>
          <w:color w:val="548DD4" w:themeColor="text2" w:themeTint="99"/>
          <w:sz w:val="24"/>
          <w:szCs w:val="24"/>
          <w:lang w:val="pt-PT"/>
        </w:rPr>
      </w:pPr>
      <w:r w:rsidRPr="00D8285F">
        <w:rPr>
          <w:rFonts w:ascii="Garamond" w:hAnsi="Garamond" w:cs="Arial"/>
          <w:b/>
          <w:color w:val="548DD4" w:themeColor="text2" w:themeTint="99"/>
          <w:sz w:val="24"/>
          <w:szCs w:val="24"/>
          <w:lang w:val="pt-PT"/>
        </w:rPr>
        <w:t xml:space="preserve">ANEXO II: </w:t>
      </w:r>
    </w:p>
    <w:p w:rsidR="00DF1881" w:rsidRPr="00D8285F" w:rsidRDefault="00D8285F" w:rsidP="008719D4">
      <w:pPr>
        <w:pStyle w:val="Ttulo1"/>
        <w:spacing w:before="0" w:beforeAutospacing="0" w:after="0" w:afterAutospacing="0"/>
        <w:jc w:val="both"/>
        <w:rPr>
          <w:rFonts w:ascii="Garamond" w:hAnsi="Garamond"/>
          <w:color w:val="548DD4" w:themeColor="text2" w:themeTint="99"/>
          <w:szCs w:val="24"/>
          <w:lang w:val="pt-PT"/>
        </w:rPr>
      </w:pPr>
      <w:r w:rsidRPr="00D8285F">
        <w:rPr>
          <w:rFonts w:ascii="Garamond" w:hAnsi="Garamond"/>
          <w:color w:val="548DD4" w:themeColor="text2" w:themeTint="99"/>
          <w:szCs w:val="24"/>
          <w:lang w:val="pt-PT"/>
        </w:rPr>
        <w:t>INSTRUMENTOS INTERNACIONAIS DE PROTEÇÃO DA MULHER</w:t>
      </w:r>
    </w:p>
    <w:p w:rsidR="004C140F" w:rsidRPr="003A1174" w:rsidRDefault="004C140F" w:rsidP="008719D4">
      <w:pPr>
        <w:spacing w:after="0" w:line="240" w:lineRule="auto"/>
        <w:jc w:val="center"/>
        <w:rPr>
          <w:rFonts w:ascii="Garamond" w:hAnsi="Garamond" w:cs="Arial"/>
          <w:b/>
          <w:sz w:val="24"/>
          <w:szCs w:val="24"/>
        </w:rPr>
      </w:pPr>
    </w:p>
    <w:p w:rsidR="004C140F" w:rsidRPr="003A1174" w:rsidRDefault="00B14AA6" w:rsidP="008719D4">
      <w:pPr>
        <w:pStyle w:val="Prrafodelista"/>
        <w:numPr>
          <w:ilvl w:val="0"/>
          <w:numId w:val="17"/>
        </w:numPr>
        <w:spacing w:after="0" w:line="240" w:lineRule="auto"/>
        <w:ind w:left="714" w:hanging="357"/>
        <w:jc w:val="both"/>
        <w:rPr>
          <w:rFonts w:ascii="Garamond" w:hAnsi="Garamond" w:cs="Arial"/>
          <w:color w:val="auto"/>
          <w:sz w:val="24"/>
          <w:szCs w:val="24"/>
          <w:lang w:val="pt-PT"/>
        </w:rPr>
      </w:pPr>
      <w:r w:rsidRPr="003A1174">
        <w:rPr>
          <w:rFonts w:ascii="Garamond" w:hAnsi="Garamond" w:cs="Arial"/>
          <w:color w:val="auto"/>
          <w:sz w:val="24"/>
          <w:szCs w:val="24"/>
          <w:lang w:val="pt-PT"/>
        </w:rPr>
        <w:t>Convenção</w:t>
      </w:r>
      <w:r w:rsidR="004C140F" w:rsidRPr="003A1174">
        <w:rPr>
          <w:rFonts w:ascii="Garamond" w:hAnsi="Garamond" w:cs="Arial"/>
          <w:color w:val="auto"/>
          <w:sz w:val="24"/>
          <w:szCs w:val="24"/>
          <w:lang w:val="pt-PT"/>
        </w:rPr>
        <w:t xml:space="preserve"> Internacional Relativa </w:t>
      </w:r>
      <w:r w:rsidR="00BB2B00" w:rsidRPr="003A1174">
        <w:rPr>
          <w:rFonts w:ascii="Garamond" w:hAnsi="Garamond" w:cs="Arial"/>
          <w:color w:val="auto"/>
          <w:sz w:val="24"/>
          <w:szCs w:val="24"/>
          <w:lang w:val="pt-PT"/>
        </w:rPr>
        <w:t>à</w:t>
      </w:r>
      <w:r w:rsidR="004C140F" w:rsidRPr="003A1174">
        <w:rPr>
          <w:rFonts w:ascii="Garamond" w:hAnsi="Garamond" w:cs="Arial"/>
          <w:color w:val="auto"/>
          <w:sz w:val="24"/>
          <w:szCs w:val="24"/>
          <w:lang w:val="pt-PT"/>
        </w:rPr>
        <w:t xml:space="preserve"> </w:t>
      </w:r>
      <w:r w:rsidR="00077461" w:rsidRPr="003A1174">
        <w:rPr>
          <w:rFonts w:ascii="Garamond" w:hAnsi="Garamond" w:cs="Arial"/>
          <w:color w:val="auto"/>
          <w:sz w:val="24"/>
          <w:szCs w:val="24"/>
          <w:lang w:val="pt-PT"/>
        </w:rPr>
        <w:t>Repressão</w:t>
      </w:r>
      <w:r w:rsidR="004C140F" w:rsidRPr="003A1174">
        <w:rPr>
          <w:rFonts w:ascii="Garamond" w:hAnsi="Garamond" w:cs="Arial"/>
          <w:color w:val="auto"/>
          <w:sz w:val="24"/>
          <w:szCs w:val="24"/>
          <w:lang w:val="pt-PT"/>
        </w:rPr>
        <w:t xml:space="preserve"> de Tr</w:t>
      </w:r>
      <w:r w:rsidR="00CB6E18" w:rsidRPr="003A1174">
        <w:rPr>
          <w:rFonts w:ascii="Garamond" w:hAnsi="Garamond" w:cs="Arial"/>
          <w:color w:val="auto"/>
          <w:sz w:val="24"/>
          <w:szCs w:val="24"/>
          <w:lang w:val="pt-PT"/>
        </w:rPr>
        <w:t xml:space="preserve">áfico </w:t>
      </w:r>
      <w:r w:rsidR="004C140F" w:rsidRPr="003A1174">
        <w:rPr>
          <w:rFonts w:ascii="Garamond" w:hAnsi="Garamond" w:cs="Arial"/>
          <w:color w:val="auto"/>
          <w:sz w:val="24"/>
          <w:szCs w:val="24"/>
          <w:lang w:val="pt-PT"/>
        </w:rPr>
        <w:t xml:space="preserve">de </w:t>
      </w:r>
      <w:r w:rsidR="00054EE0" w:rsidRPr="003A1174">
        <w:rPr>
          <w:rFonts w:ascii="Garamond" w:hAnsi="Garamond" w:cs="Arial"/>
          <w:color w:val="auto"/>
          <w:sz w:val="24"/>
          <w:szCs w:val="24"/>
          <w:lang w:val="pt-PT"/>
        </w:rPr>
        <w:t>Mulheres</w:t>
      </w:r>
      <w:r w:rsidR="004C140F"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Maiores</w:t>
      </w:r>
      <w:r w:rsidR="004C140F" w:rsidRPr="003A1174">
        <w:rPr>
          <w:rFonts w:ascii="Garamond" w:hAnsi="Garamond" w:cs="Arial"/>
          <w:color w:val="auto"/>
          <w:sz w:val="24"/>
          <w:szCs w:val="24"/>
          <w:lang w:val="pt-PT"/>
        </w:rPr>
        <w:t xml:space="preserve"> de </w:t>
      </w:r>
      <w:r w:rsidR="007342D9" w:rsidRPr="003A1174">
        <w:rPr>
          <w:rFonts w:ascii="Garamond" w:hAnsi="Garamond" w:cs="Arial"/>
          <w:color w:val="auto"/>
          <w:sz w:val="24"/>
          <w:szCs w:val="24"/>
          <w:lang w:val="pt-PT"/>
        </w:rPr>
        <w:t>Idade</w:t>
      </w:r>
      <w:r w:rsidR="004C140F" w:rsidRPr="003A1174">
        <w:rPr>
          <w:rFonts w:ascii="Garamond" w:hAnsi="Garamond" w:cs="Arial"/>
          <w:color w:val="auto"/>
          <w:sz w:val="24"/>
          <w:szCs w:val="24"/>
          <w:lang w:val="pt-PT"/>
        </w:rPr>
        <w:t xml:space="preserve"> (1933)</w:t>
      </w:r>
      <w:r w:rsidR="00D8285F">
        <w:rPr>
          <w:rFonts w:ascii="Garamond" w:hAnsi="Garamond" w:cs="Arial"/>
          <w:color w:val="auto"/>
          <w:sz w:val="24"/>
          <w:szCs w:val="24"/>
          <w:lang w:val="pt-PT"/>
        </w:rPr>
        <w:t>.</w:t>
      </w:r>
    </w:p>
    <w:p w:rsidR="004C140F" w:rsidRPr="003A1174" w:rsidRDefault="004C140F" w:rsidP="008719D4">
      <w:pPr>
        <w:pStyle w:val="Prrafodelista"/>
        <w:spacing w:after="0" w:line="240" w:lineRule="auto"/>
        <w:jc w:val="both"/>
        <w:rPr>
          <w:rFonts w:ascii="Garamond" w:hAnsi="Garamond" w:cs="Arial"/>
          <w:color w:val="auto"/>
          <w:sz w:val="24"/>
          <w:szCs w:val="24"/>
          <w:lang w:val="pt-PT"/>
        </w:rPr>
      </w:pPr>
    </w:p>
    <w:p w:rsidR="004C140F" w:rsidRPr="003A1174" w:rsidRDefault="00B14AA6" w:rsidP="008719D4">
      <w:pPr>
        <w:pStyle w:val="Prrafodelista"/>
        <w:numPr>
          <w:ilvl w:val="0"/>
          <w:numId w:val="17"/>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Convenção</w:t>
      </w:r>
      <w:r w:rsidR="00CB6E18" w:rsidRPr="003A1174">
        <w:rPr>
          <w:rFonts w:ascii="Garamond" w:hAnsi="Garamond" w:cs="Arial"/>
          <w:color w:val="auto"/>
          <w:sz w:val="24"/>
          <w:szCs w:val="24"/>
          <w:lang w:val="pt-PT"/>
        </w:rPr>
        <w:t xml:space="preserve"> sobre </w:t>
      </w:r>
      <w:r w:rsidR="004C140F" w:rsidRPr="003A1174">
        <w:rPr>
          <w:rFonts w:ascii="Garamond" w:hAnsi="Garamond" w:cs="Arial"/>
          <w:color w:val="auto"/>
          <w:sz w:val="24"/>
          <w:szCs w:val="24"/>
          <w:lang w:val="pt-PT"/>
        </w:rPr>
        <w:t xml:space="preserve">a </w:t>
      </w:r>
      <w:r w:rsidR="00077461" w:rsidRPr="003A1174">
        <w:rPr>
          <w:rFonts w:ascii="Garamond" w:hAnsi="Garamond" w:cs="Arial"/>
          <w:color w:val="auto"/>
          <w:sz w:val="24"/>
          <w:szCs w:val="24"/>
          <w:lang w:val="pt-PT"/>
        </w:rPr>
        <w:t>Nacionalidade d</w:t>
      </w:r>
      <w:r w:rsidR="004C140F" w:rsidRPr="003A1174">
        <w:rPr>
          <w:rFonts w:ascii="Garamond" w:hAnsi="Garamond" w:cs="Arial"/>
          <w:color w:val="auto"/>
          <w:sz w:val="24"/>
          <w:szCs w:val="24"/>
          <w:lang w:val="pt-PT"/>
        </w:rPr>
        <w:t xml:space="preserve">a </w:t>
      </w:r>
      <w:r w:rsidR="00AF192F" w:rsidRPr="003A1174">
        <w:rPr>
          <w:rFonts w:ascii="Garamond" w:hAnsi="Garamond" w:cs="Arial"/>
          <w:color w:val="auto"/>
          <w:sz w:val="24"/>
          <w:szCs w:val="24"/>
          <w:lang w:val="pt-PT"/>
        </w:rPr>
        <w:t>Mulher</w:t>
      </w:r>
      <w:r w:rsidR="004C140F" w:rsidRPr="003A1174">
        <w:rPr>
          <w:rFonts w:ascii="Garamond" w:hAnsi="Garamond" w:cs="Arial"/>
          <w:color w:val="auto"/>
          <w:sz w:val="24"/>
          <w:szCs w:val="24"/>
          <w:lang w:val="pt-PT"/>
        </w:rPr>
        <w:t xml:space="preserve"> (1933)</w:t>
      </w:r>
      <w:r w:rsidR="00D8285F">
        <w:rPr>
          <w:rFonts w:ascii="Garamond" w:hAnsi="Garamond" w:cs="Arial"/>
          <w:color w:val="auto"/>
          <w:sz w:val="24"/>
          <w:szCs w:val="24"/>
          <w:lang w:val="pt-PT"/>
        </w:rPr>
        <w:t>.</w:t>
      </w:r>
      <w:r w:rsidR="004C140F" w:rsidRPr="003A1174">
        <w:rPr>
          <w:rFonts w:ascii="Garamond" w:hAnsi="Garamond" w:cs="Arial"/>
          <w:color w:val="auto"/>
          <w:sz w:val="24"/>
          <w:szCs w:val="24"/>
          <w:lang w:val="pt-PT"/>
        </w:rPr>
        <w:t xml:space="preserve"> </w:t>
      </w:r>
    </w:p>
    <w:p w:rsidR="004C140F" w:rsidRPr="003A1174" w:rsidRDefault="004C140F" w:rsidP="008719D4">
      <w:pPr>
        <w:pStyle w:val="Prrafodelista"/>
        <w:spacing w:after="0" w:line="240" w:lineRule="auto"/>
        <w:jc w:val="both"/>
        <w:rPr>
          <w:rFonts w:ascii="Garamond" w:hAnsi="Garamond" w:cs="Arial"/>
          <w:color w:val="auto"/>
          <w:sz w:val="24"/>
          <w:szCs w:val="24"/>
          <w:lang w:val="pt-PT"/>
        </w:rPr>
      </w:pPr>
    </w:p>
    <w:p w:rsidR="004C140F" w:rsidRPr="003A1174" w:rsidRDefault="004C140F" w:rsidP="008719D4">
      <w:pPr>
        <w:pStyle w:val="Prrafodelista"/>
        <w:numPr>
          <w:ilvl w:val="0"/>
          <w:numId w:val="17"/>
        </w:numPr>
        <w:spacing w:after="0" w:line="240" w:lineRule="auto"/>
        <w:jc w:val="both"/>
        <w:rPr>
          <w:rFonts w:ascii="Garamond" w:hAnsi="Garamond" w:cs="Arial"/>
          <w:color w:val="auto"/>
          <w:sz w:val="24"/>
          <w:szCs w:val="24"/>
          <w:lang w:val="pt-PT"/>
        </w:rPr>
      </w:pPr>
      <w:r w:rsidRPr="003A1174">
        <w:rPr>
          <w:rFonts w:ascii="Garamond" w:hAnsi="Garamond" w:cs="Arial"/>
          <w:color w:val="auto"/>
          <w:sz w:val="24"/>
          <w:szCs w:val="24"/>
          <w:lang w:val="pt-PT"/>
        </w:rPr>
        <w:t xml:space="preserve">Protocolo que Modifica </w:t>
      </w:r>
      <w:r w:rsidR="00CB6E18" w:rsidRPr="003A1174">
        <w:rPr>
          <w:rFonts w:ascii="Garamond" w:hAnsi="Garamond" w:cs="Arial"/>
          <w:color w:val="auto"/>
          <w:sz w:val="24"/>
          <w:szCs w:val="24"/>
          <w:lang w:val="pt-PT"/>
        </w:rPr>
        <w:t xml:space="preserve">o </w:t>
      </w:r>
      <w:r w:rsidR="00144B9F" w:rsidRPr="003A1174">
        <w:rPr>
          <w:rFonts w:ascii="Garamond" w:hAnsi="Garamond" w:cs="Arial"/>
          <w:color w:val="auto"/>
          <w:sz w:val="24"/>
          <w:szCs w:val="24"/>
          <w:lang w:val="pt-PT"/>
        </w:rPr>
        <w:t>Convenção</w:t>
      </w:r>
      <w:r w:rsidR="005E1D59"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a </w:t>
      </w:r>
      <w:r w:rsidR="00077461" w:rsidRPr="003A1174">
        <w:rPr>
          <w:rFonts w:ascii="Garamond" w:hAnsi="Garamond" w:cs="Arial"/>
          <w:color w:val="auto"/>
          <w:sz w:val="24"/>
          <w:szCs w:val="24"/>
          <w:lang w:val="pt-PT"/>
        </w:rPr>
        <w:t>Repressão</w:t>
      </w:r>
      <w:r w:rsidRPr="003A1174">
        <w:rPr>
          <w:rFonts w:ascii="Garamond" w:hAnsi="Garamond" w:cs="Arial"/>
          <w:color w:val="auto"/>
          <w:sz w:val="24"/>
          <w:szCs w:val="24"/>
          <w:lang w:val="pt-PT"/>
        </w:rPr>
        <w:t xml:space="preserve"> d</w:t>
      </w:r>
      <w:r w:rsidR="00A53253" w:rsidRPr="003A1174">
        <w:rPr>
          <w:rFonts w:ascii="Garamond" w:hAnsi="Garamond" w:cs="Arial"/>
          <w:color w:val="auto"/>
          <w:sz w:val="24"/>
          <w:szCs w:val="24"/>
          <w:lang w:val="pt-PT"/>
        </w:rPr>
        <w:t xml:space="preserve">o </w:t>
      </w:r>
      <w:r w:rsidRPr="003A1174">
        <w:rPr>
          <w:rFonts w:ascii="Garamond" w:hAnsi="Garamond" w:cs="Arial"/>
          <w:color w:val="auto"/>
          <w:sz w:val="24"/>
          <w:szCs w:val="24"/>
          <w:lang w:val="pt-PT"/>
        </w:rPr>
        <w:t>Tr</w:t>
      </w:r>
      <w:r w:rsidR="00A53253" w:rsidRPr="003A1174">
        <w:rPr>
          <w:rFonts w:ascii="Garamond" w:hAnsi="Garamond" w:cs="Arial"/>
          <w:color w:val="auto"/>
          <w:sz w:val="24"/>
          <w:szCs w:val="24"/>
          <w:lang w:val="pt-PT"/>
        </w:rPr>
        <w:t xml:space="preserve">áfico </w:t>
      </w:r>
      <w:r w:rsidRPr="003A1174">
        <w:rPr>
          <w:rFonts w:ascii="Garamond" w:hAnsi="Garamond" w:cs="Arial"/>
          <w:color w:val="auto"/>
          <w:sz w:val="24"/>
          <w:szCs w:val="24"/>
          <w:lang w:val="pt-PT"/>
        </w:rPr>
        <w:t xml:space="preserve">de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0672E8" w:rsidRPr="003A1174">
        <w:rPr>
          <w:rFonts w:ascii="Garamond" w:hAnsi="Garamond" w:cs="Arial"/>
          <w:color w:val="auto"/>
          <w:sz w:val="24"/>
          <w:szCs w:val="24"/>
          <w:lang w:val="pt-PT"/>
        </w:rPr>
        <w:t>e</w:t>
      </w:r>
      <w:r w:rsidR="00A53253" w:rsidRPr="003A1174">
        <w:rPr>
          <w:rFonts w:ascii="Garamond" w:hAnsi="Garamond" w:cs="Arial"/>
          <w:color w:val="auto"/>
          <w:sz w:val="24"/>
          <w:szCs w:val="24"/>
          <w:lang w:val="pt-PT"/>
        </w:rPr>
        <w:t xml:space="preserve"> Menores, de</w:t>
      </w:r>
      <w:r w:rsidRPr="003A1174">
        <w:rPr>
          <w:rFonts w:ascii="Garamond" w:hAnsi="Garamond" w:cs="Arial"/>
          <w:color w:val="auto"/>
          <w:sz w:val="24"/>
          <w:szCs w:val="24"/>
          <w:lang w:val="pt-PT"/>
        </w:rPr>
        <w:t xml:space="preserve"> 30 de </w:t>
      </w:r>
      <w:r w:rsidR="00077461" w:rsidRPr="003A1174">
        <w:rPr>
          <w:rFonts w:ascii="Garamond" w:hAnsi="Garamond" w:cs="Arial"/>
          <w:color w:val="auto"/>
          <w:sz w:val="24"/>
          <w:szCs w:val="24"/>
          <w:lang w:val="pt-PT"/>
        </w:rPr>
        <w:t>setembro</w:t>
      </w:r>
      <w:r w:rsidRPr="003A1174">
        <w:rPr>
          <w:rFonts w:ascii="Garamond" w:hAnsi="Garamond" w:cs="Arial"/>
          <w:color w:val="auto"/>
          <w:sz w:val="24"/>
          <w:szCs w:val="24"/>
          <w:lang w:val="pt-PT"/>
        </w:rPr>
        <w:t xml:space="preserve"> de 1921 </w:t>
      </w:r>
      <w:r w:rsidR="000672E8" w:rsidRPr="003A1174">
        <w:rPr>
          <w:rFonts w:ascii="Garamond" w:hAnsi="Garamond" w:cs="Arial"/>
          <w:color w:val="auto"/>
          <w:sz w:val="24"/>
          <w:szCs w:val="24"/>
          <w:lang w:val="pt-PT"/>
        </w:rPr>
        <w:t>e</w:t>
      </w:r>
      <w:r w:rsidRPr="003A1174">
        <w:rPr>
          <w:rFonts w:ascii="Garamond" w:hAnsi="Garamond" w:cs="Arial"/>
          <w:color w:val="auto"/>
          <w:sz w:val="24"/>
          <w:szCs w:val="24"/>
          <w:lang w:val="pt-PT"/>
        </w:rPr>
        <w:t xml:space="preserve"> </w:t>
      </w:r>
      <w:r w:rsidR="00A53253" w:rsidRPr="003A1174">
        <w:rPr>
          <w:rFonts w:ascii="Garamond" w:hAnsi="Garamond" w:cs="Arial"/>
          <w:color w:val="auto"/>
          <w:sz w:val="24"/>
          <w:szCs w:val="24"/>
          <w:lang w:val="pt-PT"/>
        </w:rPr>
        <w:t xml:space="preserve">o </w:t>
      </w:r>
      <w:r w:rsidR="00144B9F" w:rsidRPr="003A1174">
        <w:rPr>
          <w:rFonts w:ascii="Garamond" w:hAnsi="Garamond" w:cs="Arial"/>
          <w:color w:val="auto"/>
          <w:sz w:val="24"/>
          <w:szCs w:val="24"/>
          <w:lang w:val="pt-PT"/>
        </w:rPr>
        <w:t>Convenção</w:t>
      </w:r>
      <w:r w:rsidR="00A53253" w:rsidRPr="003A1174">
        <w:rPr>
          <w:rFonts w:ascii="Garamond" w:hAnsi="Garamond" w:cs="Arial"/>
          <w:color w:val="auto"/>
          <w:sz w:val="24"/>
          <w:szCs w:val="24"/>
          <w:lang w:val="pt-PT"/>
        </w:rPr>
        <w:t xml:space="preserve"> para </w:t>
      </w:r>
      <w:r w:rsidRPr="003A1174">
        <w:rPr>
          <w:rFonts w:ascii="Garamond" w:hAnsi="Garamond" w:cs="Arial"/>
          <w:color w:val="auto"/>
          <w:sz w:val="24"/>
          <w:szCs w:val="24"/>
          <w:lang w:val="pt-PT"/>
        </w:rPr>
        <w:t xml:space="preserve">a </w:t>
      </w:r>
      <w:r w:rsidR="00077461" w:rsidRPr="003A1174">
        <w:rPr>
          <w:rFonts w:ascii="Garamond" w:hAnsi="Garamond" w:cs="Arial"/>
          <w:color w:val="auto"/>
          <w:sz w:val="24"/>
          <w:szCs w:val="24"/>
          <w:lang w:val="pt-PT"/>
        </w:rPr>
        <w:t>repressão</w:t>
      </w:r>
      <w:r w:rsidRPr="003A1174">
        <w:rPr>
          <w:rFonts w:ascii="Garamond" w:hAnsi="Garamond" w:cs="Arial"/>
          <w:color w:val="auto"/>
          <w:sz w:val="24"/>
          <w:szCs w:val="24"/>
          <w:lang w:val="pt-PT"/>
        </w:rPr>
        <w:t xml:space="preserve"> d</w:t>
      </w:r>
      <w:r w:rsidR="00A53253" w:rsidRPr="003A1174">
        <w:rPr>
          <w:rFonts w:ascii="Garamond" w:hAnsi="Garamond" w:cs="Arial"/>
          <w:color w:val="auto"/>
          <w:sz w:val="24"/>
          <w:szCs w:val="24"/>
          <w:lang w:val="pt-PT"/>
        </w:rPr>
        <w:t xml:space="preserve">o tráfico </w:t>
      </w:r>
      <w:r w:rsidRPr="003A1174">
        <w:rPr>
          <w:rFonts w:ascii="Garamond" w:hAnsi="Garamond" w:cs="Arial"/>
          <w:color w:val="auto"/>
          <w:sz w:val="24"/>
          <w:szCs w:val="24"/>
          <w:lang w:val="pt-PT"/>
        </w:rPr>
        <w:t xml:space="preserve">de </w:t>
      </w:r>
      <w:r w:rsidR="00054EE0" w:rsidRPr="003A1174">
        <w:rPr>
          <w:rFonts w:ascii="Garamond" w:hAnsi="Garamond" w:cs="Arial"/>
          <w:color w:val="auto"/>
          <w:sz w:val="24"/>
          <w:szCs w:val="24"/>
          <w:lang w:val="pt-PT"/>
        </w:rPr>
        <w:t>mulheres</w:t>
      </w:r>
      <w:r w:rsidRPr="003A1174">
        <w:rPr>
          <w:rFonts w:ascii="Garamond" w:hAnsi="Garamond" w:cs="Arial"/>
          <w:color w:val="auto"/>
          <w:sz w:val="24"/>
          <w:szCs w:val="24"/>
          <w:lang w:val="pt-PT"/>
        </w:rPr>
        <w:t xml:space="preserve"> </w:t>
      </w:r>
      <w:r w:rsidR="00FC1F7F" w:rsidRPr="003A1174">
        <w:rPr>
          <w:rFonts w:ascii="Garamond" w:hAnsi="Garamond" w:cs="Arial"/>
          <w:color w:val="auto"/>
          <w:sz w:val="24"/>
          <w:szCs w:val="24"/>
          <w:lang w:val="pt-PT"/>
        </w:rPr>
        <w:t>maiores</w:t>
      </w:r>
      <w:r w:rsidRPr="003A1174">
        <w:rPr>
          <w:rFonts w:ascii="Garamond" w:hAnsi="Garamond" w:cs="Arial"/>
          <w:color w:val="auto"/>
          <w:sz w:val="24"/>
          <w:szCs w:val="24"/>
          <w:lang w:val="pt-PT"/>
        </w:rPr>
        <w:t xml:space="preserve"> de </w:t>
      </w:r>
      <w:r w:rsidR="007342D9" w:rsidRPr="003A1174">
        <w:rPr>
          <w:rFonts w:ascii="Garamond" w:hAnsi="Garamond" w:cs="Arial"/>
          <w:color w:val="auto"/>
          <w:sz w:val="24"/>
          <w:szCs w:val="24"/>
          <w:lang w:val="pt-PT"/>
        </w:rPr>
        <w:t>idade</w:t>
      </w:r>
      <w:r w:rsidRPr="003A1174">
        <w:rPr>
          <w:rFonts w:ascii="Garamond" w:hAnsi="Garamond" w:cs="Arial"/>
          <w:color w:val="auto"/>
          <w:sz w:val="24"/>
          <w:szCs w:val="24"/>
          <w:lang w:val="pt-PT"/>
        </w:rPr>
        <w:t xml:space="preserve">, </w:t>
      </w:r>
      <w:r w:rsidR="007D183F" w:rsidRPr="003A1174">
        <w:rPr>
          <w:rFonts w:ascii="Garamond" w:hAnsi="Garamond" w:cs="Arial"/>
          <w:color w:val="auto"/>
          <w:sz w:val="24"/>
          <w:szCs w:val="24"/>
          <w:lang w:val="pt-PT"/>
        </w:rPr>
        <w:t>concluído</w:t>
      </w:r>
      <w:r w:rsidRPr="003A1174">
        <w:rPr>
          <w:rFonts w:ascii="Garamond" w:hAnsi="Garamond" w:cs="Arial"/>
          <w:color w:val="auto"/>
          <w:sz w:val="24"/>
          <w:szCs w:val="24"/>
          <w:lang w:val="pt-PT"/>
        </w:rPr>
        <w:t xml:space="preserve"> </w:t>
      </w:r>
      <w:r w:rsidR="00A53253" w:rsidRPr="003A1174">
        <w:rPr>
          <w:rFonts w:ascii="Garamond" w:hAnsi="Garamond" w:cs="Arial"/>
          <w:color w:val="auto"/>
          <w:sz w:val="24"/>
          <w:szCs w:val="24"/>
          <w:lang w:val="pt-PT"/>
        </w:rPr>
        <w:t xml:space="preserve">na </w:t>
      </w:r>
      <w:r w:rsidR="00524936" w:rsidRPr="003A1174">
        <w:rPr>
          <w:rFonts w:ascii="Garamond" w:hAnsi="Garamond" w:cs="Arial"/>
          <w:color w:val="auto"/>
          <w:sz w:val="24"/>
          <w:szCs w:val="24"/>
          <w:lang w:val="pt-PT"/>
        </w:rPr>
        <w:t>mesma</w:t>
      </w:r>
      <w:r w:rsidRPr="003A1174">
        <w:rPr>
          <w:rFonts w:ascii="Garamond" w:hAnsi="Garamond" w:cs="Arial"/>
          <w:color w:val="auto"/>
          <w:sz w:val="24"/>
          <w:szCs w:val="24"/>
          <w:lang w:val="pt-PT"/>
        </w:rPr>
        <w:t xml:space="preserve"> </w:t>
      </w:r>
      <w:r w:rsidR="00C90370" w:rsidRPr="003A1174">
        <w:rPr>
          <w:rFonts w:ascii="Garamond" w:hAnsi="Garamond" w:cs="Arial"/>
          <w:color w:val="auto"/>
          <w:sz w:val="24"/>
          <w:szCs w:val="24"/>
          <w:lang w:val="pt-PT"/>
        </w:rPr>
        <w:t>cidade</w:t>
      </w:r>
      <w:r w:rsidRPr="003A1174">
        <w:rPr>
          <w:rFonts w:ascii="Garamond" w:hAnsi="Garamond" w:cs="Arial"/>
          <w:color w:val="auto"/>
          <w:sz w:val="24"/>
          <w:szCs w:val="24"/>
          <w:lang w:val="pt-PT"/>
        </w:rPr>
        <w:t xml:space="preserve"> </w:t>
      </w:r>
      <w:r w:rsidR="00A53253" w:rsidRPr="003A1174">
        <w:rPr>
          <w:rFonts w:ascii="Garamond" w:hAnsi="Garamond" w:cs="Arial"/>
          <w:color w:val="auto"/>
          <w:sz w:val="24"/>
          <w:szCs w:val="24"/>
          <w:lang w:val="pt-PT"/>
        </w:rPr>
        <w:t xml:space="preserve">a </w:t>
      </w:r>
      <w:r w:rsidRPr="003A1174">
        <w:rPr>
          <w:rFonts w:ascii="Garamond" w:hAnsi="Garamond" w:cs="Arial"/>
          <w:color w:val="auto"/>
          <w:sz w:val="24"/>
          <w:szCs w:val="24"/>
          <w:lang w:val="pt-PT"/>
        </w:rPr>
        <w:t xml:space="preserve">11 de </w:t>
      </w:r>
      <w:r w:rsidR="00374785" w:rsidRPr="003A1174">
        <w:rPr>
          <w:rFonts w:ascii="Garamond" w:hAnsi="Garamond" w:cs="Arial"/>
          <w:color w:val="auto"/>
          <w:sz w:val="24"/>
          <w:szCs w:val="24"/>
          <w:lang w:val="pt-PT"/>
        </w:rPr>
        <w:t>outubro</w:t>
      </w:r>
      <w:r w:rsidRPr="003A1174">
        <w:rPr>
          <w:rFonts w:ascii="Garamond" w:hAnsi="Garamond" w:cs="Arial"/>
          <w:color w:val="auto"/>
          <w:sz w:val="24"/>
          <w:szCs w:val="24"/>
          <w:lang w:val="pt-PT"/>
        </w:rPr>
        <w:t xml:space="preserve"> de 1933 (</w:t>
      </w:r>
      <w:r w:rsidR="009E3E55" w:rsidRPr="003A1174">
        <w:rPr>
          <w:rFonts w:ascii="Garamond" w:hAnsi="Garamond" w:cs="Arial"/>
          <w:color w:val="auto"/>
          <w:sz w:val="24"/>
          <w:szCs w:val="24"/>
          <w:lang w:val="pt-PT"/>
        </w:rPr>
        <w:t>Novembro</w:t>
      </w:r>
      <w:r w:rsidRPr="003A1174">
        <w:rPr>
          <w:rFonts w:ascii="Garamond" w:hAnsi="Garamond" w:cs="Arial"/>
          <w:color w:val="auto"/>
          <w:sz w:val="24"/>
          <w:szCs w:val="24"/>
          <w:lang w:val="pt-PT"/>
        </w:rPr>
        <w:t xml:space="preserve"> de 1947)</w:t>
      </w:r>
      <w:r w:rsidR="00D8285F">
        <w:rPr>
          <w:rFonts w:ascii="Garamond" w:hAnsi="Garamond" w:cs="Arial"/>
          <w:color w:val="auto"/>
          <w:sz w:val="24"/>
          <w:szCs w:val="24"/>
          <w:lang w:val="pt-PT"/>
        </w:rPr>
        <w:t>.</w:t>
      </w:r>
    </w:p>
    <w:p w:rsidR="004C140F" w:rsidRPr="003A1174" w:rsidRDefault="004C140F" w:rsidP="008719D4">
      <w:pPr>
        <w:pStyle w:val="Prrafodelista"/>
        <w:spacing w:after="0" w:line="240" w:lineRule="auto"/>
        <w:jc w:val="both"/>
        <w:rPr>
          <w:rFonts w:ascii="Garamond" w:hAnsi="Garamond" w:cs="Arial"/>
          <w:color w:val="auto"/>
          <w:sz w:val="24"/>
          <w:szCs w:val="24"/>
          <w:lang w:val="pt-PT"/>
        </w:rPr>
      </w:pPr>
    </w:p>
    <w:p w:rsidR="004C140F" w:rsidRPr="003A1174" w:rsidRDefault="00144B9F" w:rsidP="008719D4">
      <w:pPr>
        <w:pStyle w:val="Prrafodelista"/>
        <w:numPr>
          <w:ilvl w:val="0"/>
          <w:numId w:val="17"/>
        </w:numPr>
        <w:spacing w:line="240" w:lineRule="auto"/>
        <w:rPr>
          <w:rFonts w:ascii="Garamond" w:hAnsi="Garamond" w:cs="Arial"/>
          <w:sz w:val="24"/>
          <w:szCs w:val="24"/>
          <w:lang w:val="pt-PT"/>
        </w:rPr>
      </w:pPr>
      <w:r w:rsidRPr="003A1174">
        <w:rPr>
          <w:rFonts w:ascii="Garamond" w:hAnsi="Garamond" w:cs="Arial"/>
          <w:sz w:val="24"/>
          <w:szCs w:val="24"/>
          <w:lang w:val="pt-PT"/>
        </w:rPr>
        <w:t>Convenção</w:t>
      </w:r>
      <w:r w:rsidR="00A53253" w:rsidRPr="003A1174">
        <w:rPr>
          <w:rFonts w:ascii="Garamond" w:hAnsi="Garamond" w:cs="Arial"/>
          <w:sz w:val="24"/>
          <w:szCs w:val="24"/>
          <w:lang w:val="pt-PT"/>
        </w:rPr>
        <w:t xml:space="preserve"> para </w:t>
      </w:r>
      <w:r w:rsidR="004C140F" w:rsidRPr="003A1174">
        <w:rPr>
          <w:rFonts w:ascii="Garamond" w:hAnsi="Garamond" w:cs="Arial"/>
          <w:sz w:val="24"/>
          <w:szCs w:val="24"/>
          <w:lang w:val="pt-PT"/>
        </w:rPr>
        <w:t xml:space="preserve">a </w:t>
      </w:r>
      <w:r w:rsidR="00077461" w:rsidRPr="003A1174">
        <w:rPr>
          <w:rFonts w:ascii="Garamond" w:hAnsi="Garamond" w:cs="Arial"/>
          <w:sz w:val="24"/>
          <w:szCs w:val="24"/>
          <w:lang w:val="pt-PT"/>
        </w:rPr>
        <w:t>Repressão</w:t>
      </w:r>
      <w:r w:rsidR="004C140F" w:rsidRPr="003A1174">
        <w:rPr>
          <w:rFonts w:ascii="Garamond" w:hAnsi="Garamond" w:cs="Arial"/>
          <w:sz w:val="24"/>
          <w:szCs w:val="24"/>
          <w:lang w:val="pt-PT"/>
        </w:rPr>
        <w:t xml:space="preserve"> d</w:t>
      </w:r>
      <w:r w:rsidR="00A53253" w:rsidRPr="003A1174">
        <w:rPr>
          <w:rFonts w:ascii="Garamond" w:hAnsi="Garamond" w:cs="Arial"/>
          <w:sz w:val="24"/>
          <w:szCs w:val="24"/>
          <w:lang w:val="pt-PT"/>
        </w:rPr>
        <w:t xml:space="preserve">o </w:t>
      </w:r>
      <w:r w:rsidR="004C140F" w:rsidRPr="003A1174">
        <w:rPr>
          <w:rFonts w:ascii="Garamond" w:hAnsi="Garamond" w:cs="Arial"/>
          <w:sz w:val="24"/>
          <w:szCs w:val="24"/>
          <w:lang w:val="pt-PT"/>
        </w:rPr>
        <w:t>Tr</w:t>
      </w:r>
      <w:r w:rsidR="00A53253" w:rsidRPr="003A1174">
        <w:rPr>
          <w:rFonts w:ascii="Garamond" w:hAnsi="Garamond" w:cs="Arial"/>
          <w:sz w:val="24"/>
          <w:szCs w:val="24"/>
          <w:lang w:val="pt-PT"/>
        </w:rPr>
        <w:t xml:space="preserve">áfico </w:t>
      </w:r>
      <w:r w:rsidR="004C140F" w:rsidRPr="003A1174">
        <w:rPr>
          <w:rFonts w:ascii="Garamond" w:hAnsi="Garamond" w:cs="Arial"/>
          <w:sz w:val="24"/>
          <w:szCs w:val="24"/>
          <w:lang w:val="pt-PT"/>
        </w:rPr>
        <w:t xml:space="preserve">de </w:t>
      </w:r>
      <w:r w:rsidR="00054EE0" w:rsidRPr="003A1174">
        <w:rPr>
          <w:rFonts w:ascii="Garamond" w:hAnsi="Garamond" w:cs="Arial"/>
          <w:sz w:val="24"/>
          <w:szCs w:val="24"/>
          <w:lang w:val="pt-PT"/>
        </w:rPr>
        <w:t>Mulheres</w:t>
      </w:r>
      <w:r w:rsidR="004C140F" w:rsidRPr="003A1174">
        <w:rPr>
          <w:rFonts w:ascii="Garamond" w:hAnsi="Garamond" w:cs="Arial"/>
          <w:sz w:val="24"/>
          <w:szCs w:val="24"/>
          <w:lang w:val="pt-PT"/>
        </w:rPr>
        <w:t xml:space="preserve"> </w:t>
      </w:r>
      <w:r w:rsidR="00FC1F7F" w:rsidRPr="003A1174">
        <w:rPr>
          <w:rFonts w:ascii="Garamond" w:hAnsi="Garamond" w:cs="Arial"/>
          <w:sz w:val="24"/>
          <w:szCs w:val="24"/>
          <w:lang w:val="pt-PT"/>
        </w:rPr>
        <w:t>Maiores</w:t>
      </w:r>
      <w:r w:rsidR="004C140F" w:rsidRPr="003A1174">
        <w:rPr>
          <w:rFonts w:ascii="Garamond" w:hAnsi="Garamond" w:cs="Arial"/>
          <w:sz w:val="24"/>
          <w:szCs w:val="24"/>
          <w:lang w:val="pt-PT"/>
        </w:rPr>
        <w:t xml:space="preserve"> de </w:t>
      </w:r>
      <w:r w:rsidR="007342D9" w:rsidRPr="003A1174">
        <w:rPr>
          <w:rFonts w:ascii="Garamond" w:hAnsi="Garamond" w:cs="Arial"/>
          <w:sz w:val="24"/>
          <w:szCs w:val="24"/>
          <w:lang w:val="pt-PT"/>
        </w:rPr>
        <w:t>Idade</w:t>
      </w:r>
      <w:r w:rsidR="004C140F" w:rsidRPr="003A1174">
        <w:rPr>
          <w:rFonts w:ascii="Garamond" w:hAnsi="Garamond" w:cs="Arial"/>
          <w:sz w:val="24"/>
          <w:szCs w:val="24"/>
          <w:lang w:val="pt-PT"/>
        </w:rPr>
        <w:t xml:space="preserve">, de 11 de </w:t>
      </w:r>
      <w:r w:rsidR="00374785" w:rsidRPr="003A1174">
        <w:rPr>
          <w:rFonts w:ascii="Garamond" w:hAnsi="Garamond" w:cs="Arial"/>
          <w:sz w:val="24"/>
          <w:szCs w:val="24"/>
          <w:lang w:val="pt-PT"/>
        </w:rPr>
        <w:t>outubro</w:t>
      </w:r>
      <w:r w:rsidR="004C140F" w:rsidRPr="003A1174">
        <w:rPr>
          <w:rFonts w:ascii="Garamond" w:hAnsi="Garamond" w:cs="Arial"/>
          <w:sz w:val="24"/>
          <w:szCs w:val="24"/>
          <w:lang w:val="pt-PT"/>
        </w:rPr>
        <w:t xml:space="preserve"> de 1933 (1947)</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B14AA6" w:rsidP="008719D4">
      <w:pPr>
        <w:pStyle w:val="Prrafodelista"/>
        <w:numPr>
          <w:ilvl w:val="0"/>
          <w:numId w:val="17"/>
        </w:numPr>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Interamericana sobre Conces</w:t>
      </w:r>
      <w:r w:rsidR="00A53253" w:rsidRPr="003A1174">
        <w:rPr>
          <w:rFonts w:ascii="Garamond" w:hAnsi="Garamond" w:cs="Arial"/>
          <w:sz w:val="24"/>
          <w:szCs w:val="24"/>
          <w:lang w:val="pt-PT"/>
        </w:rPr>
        <w:t>são</w:t>
      </w:r>
      <w:r w:rsidR="004C140F"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4C140F"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004C140F" w:rsidRPr="003A1174">
        <w:rPr>
          <w:rFonts w:ascii="Garamond" w:hAnsi="Garamond" w:cs="Arial"/>
          <w:sz w:val="24"/>
          <w:szCs w:val="24"/>
          <w:lang w:val="pt-PT"/>
        </w:rPr>
        <w:t xml:space="preserve">s </w:t>
      </w:r>
      <w:r w:rsidR="00745303" w:rsidRPr="003A1174">
        <w:rPr>
          <w:rFonts w:ascii="Garamond" w:hAnsi="Garamond" w:cs="Arial"/>
          <w:sz w:val="24"/>
          <w:szCs w:val="24"/>
          <w:lang w:val="pt-PT"/>
        </w:rPr>
        <w:t>Civis</w:t>
      </w:r>
      <w:r w:rsidR="004C140F" w:rsidRPr="003A1174">
        <w:rPr>
          <w:rFonts w:ascii="Garamond" w:hAnsi="Garamond" w:cs="Arial"/>
          <w:sz w:val="24"/>
          <w:szCs w:val="24"/>
          <w:lang w:val="pt-PT"/>
        </w:rPr>
        <w:t xml:space="preserve"> </w:t>
      </w:r>
      <w:r w:rsidR="00BB2B00" w:rsidRPr="003A1174">
        <w:rPr>
          <w:rFonts w:ascii="Garamond" w:hAnsi="Garamond" w:cs="Arial"/>
          <w:sz w:val="24"/>
          <w:szCs w:val="24"/>
          <w:lang w:val="pt-PT"/>
        </w:rPr>
        <w:t>à</w:t>
      </w:r>
      <w:r w:rsidR="004C140F"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xml:space="preserve"> (1948)</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pStyle w:val="Prrafodelista"/>
        <w:spacing w:after="0" w:line="240" w:lineRule="auto"/>
        <w:rPr>
          <w:rFonts w:ascii="Garamond" w:hAnsi="Garamond" w:cs="Arial"/>
          <w:sz w:val="24"/>
          <w:szCs w:val="24"/>
          <w:lang w:val="pt-PT"/>
        </w:rPr>
      </w:pPr>
    </w:p>
    <w:p w:rsidR="004C140F" w:rsidRPr="003A1174" w:rsidRDefault="00EB2F44"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w:t>
      </w:r>
      <w:r w:rsidR="003F493C" w:rsidRPr="003A1174">
        <w:rPr>
          <w:rFonts w:ascii="Garamond" w:hAnsi="Garamond" w:cs="Arial"/>
          <w:sz w:val="24"/>
          <w:szCs w:val="24"/>
          <w:lang w:val="pt-PT"/>
        </w:rPr>
        <w:t xml:space="preserve">enção </w:t>
      </w:r>
      <w:r w:rsidR="00A53253" w:rsidRPr="003A1174">
        <w:rPr>
          <w:rFonts w:ascii="Garamond" w:hAnsi="Garamond" w:cs="Arial"/>
          <w:sz w:val="24"/>
          <w:szCs w:val="24"/>
          <w:lang w:val="pt-PT"/>
        </w:rPr>
        <w:t xml:space="preserve">para </w:t>
      </w:r>
      <w:r w:rsidR="004C140F" w:rsidRPr="003A1174">
        <w:rPr>
          <w:rFonts w:ascii="Garamond" w:hAnsi="Garamond" w:cs="Arial"/>
          <w:sz w:val="24"/>
          <w:szCs w:val="24"/>
          <w:lang w:val="pt-PT"/>
        </w:rPr>
        <w:t xml:space="preserve">a </w:t>
      </w:r>
      <w:r w:rsidR="003F493C" w:rsidRPr="003A1174">
        <w:rPr>
          <w:rFonts w:ascii="Garamond" w:hAnsi="Garamond" w:cs="Arial"/>
          <w:sz w:val="24"/>
          <w:szCs w:val="24"/>
          <w:lang w:val="pt-PT"/>
        </w:rPr>
        <w:t>Supre</w:t>
      </w:r>
      <w:r w:rsidR="00077461" w:rsidRPr="003A1174">
        <w:rPr>
          <w:rFonts w:ascii="Garamond" w:hAnsi="Garamond" w:cs="Arial"/>
          <w:sz w:val="24"/>
          <w:szCs w:val="24"/>
          <w:lang w:val="pt-PT"/>
        </w:rPr>
        <w:t>ssão</w:t>
      </w:r>
      <w:r w:rsidR="004C140F" w:rsidRPr="003A1174">
        <w:rPr>
          <w:rFonts w:ascii="Garamond" w:hAnsi="Garamond" w:cs="Arial"/>
          <w:sz w:val="24"/>
          <w:szCs w:val="24"/>
          <w:lang w:val="pt-PT"/>
        </w:rPr>
        <w:t xml:space="preserve"> d</w:t>
      </w:r>
      <w:r w:rsidR="00A53253" w:rsidRPr="003A1174">
        <w:rPr>
          <w:rFonts w:ascii="Garamond" w:hAnsi="Garamond" w:cs="Arial"/>
          <w:sz w:val="24"/>
          <w:szCs w:val="24"/>
          <w:lang w:val="pt-PT"/>
        </w:rPr>
        <w:t xml:space="preserve">o </w:t>
      </w:r>
      <w:r w:rsidR="004C140F" w:rsidRPr="003A1174">
        <w:rPr>
          <w:rFonts w:ascii="Garamond" w:hAnsi="Garamond" w:cs="Arial"/>
          <w:sz w:val="24"/>
          <w:szCs w:val="24"/>
          <w:lang w:val="pt-PT"/>
        </w:rPr>
        <w:t>Tr</w:t>
      </w:r>
      <w:r w:rsidR="00A53253" w:rsidRPr="003A1174">
        <w:rPr>
          <w:rFonts w:ascii="Garamond" w:hAnsi="Garamond" w:cs="Arial"/>
          <w:sz w:val="24"/>
          <w:szCs w:val="24"/>
          <w:lang w:val="pt-PT"/>
        </w:rPr>
        <w:t xml:space="preserve">áfico </w:t>
      </w:r>
      <w:r w:rsidR="004C140F" w:rsidRPr="003A1174">
        <w:rPr>
          <w:rFonts w:ascii="Garamond" w:hAnsi="Garamond" w:cs="Arial"/>
          <w:sz w:val="24"/>
          <w:szCs w:val="24"/>
          <w:lang w:val="pt-PT"/>
        </w:rPr>
        <w:t xml:space="preserve">de </w:t>
      </w:r>
      <w:r w:rsidR="006C760C" w:rsidRPr="003A1174">
        <w:rPr>
          <w:rFonts w:ascii="Garamond" w:hAnsi="Garamond" w:cs="Arial"/>
          <w:sz w:val="24"/>
          <w:szCs w:val="24"/>
          <w:lang w:val="pt-PT"/>
        </w:rPr>
        <w:t>Pessoas</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da </w:t>
      </w:r>
      <w:r w:rsidR="0096583F" w:rsidRPr="003A1174">
        <w:rPr>
          <w:rFonts w:ascii="Garamond" w:hAnsi="Garamond" w:cs="Arial"/>
          <w:sz w:val="24"/>
          <w:szCs w:val="24"/>
          <w:lang w:val="pt-PT"/>
        </w:rPr>
        <w:t>Exploração</w:t>
      </w:r>
      <w:r w:rsidR="004C140F" w:rsidRPr="003A1174">
        <w:rPr>
          <w:rFonts w:ascii="Garamond" w:hAnsi="Garamond" w:cs="Arial"/>
          <w:sz w:val="24"/>
          <w:szCs w:val="24"/>
          <w:lang w:val="pt-PT"/>
        </w:rPr>
        <w:t xml:space="preserve"> da Prostitu</w:t>
      </w:r>
      <w:r w:rsidR="00A53253" w:rsidRPr="003A1174">
        <w:rPr>
          <w:rFonts w:ascii="Garamond" w:hAnsi="Garamond" w:cs="Arial"/>
          <w:sz w:val="24"/>
          <w:szCs w:val="24"/>
          <w:lang w:val="pt-PT"/>
        </w:rPr>
        <w:t>i</w:t>
      </w:r>
      <w:r w:rsidR="00C751FC" w:rsidRPr="003A1174">
        <w:rPr>
          <w:rFonts w:ascii="Garamond" w:hAnsi="Garamond" w:cs="Arial"/>
          <w:sz w:val="24"/>
          <w:szCs w:val="24"/>
          <w:lang w:val="pt-PT"/>
        </w:rPr>
        <w:t>ção</w:t>
      </w:r>
      <w:r w:rsidR="004C140F" w:rsidRPr="003A1174">
        <w:rPr>
          <w:rFonts w:ascii="Garamond" w:hAnsi="Garamond" w:cs="Arial"/>
          <w:sz w:val="24"/>
          <w:szCs w:val="24"/>
          <w:lang w:val="pt-PT"/>
        </w:rPr>
        <w:t xml:space="preserve"> </w:t>
      </w:r>
      <w:r w:rsidR="003F493C" w:rsidRPr="003A1174">
        <w:rPr>
          <w:rFonts w:ascii="Garamond" w:hAnsi="Garamond" w:cs="Arial"/>
          <w:sz w:val="24"/>
          <w:szCs w:val="24"/>
          <w:lang w:val="pt-PT"/>
        </w:rPr>
        <w:t xml:space="preserve">de </w:t>
      </w:r>
      <w:r w:rsidR="00D8285F" w:rsidRPr="003A1174">
        <w:rPr>
          <w:rFonts w:ascii="Garamond" w:hAnsi="Garamond" w:cs="Arial"/>
          <w:sz w:val="24"/>
          <w:szCs w:val="24"/>
          <w:lang w:val="pt-PT"/>
        </w:rPr>
        <w:t>Outrem</w:t>
      </w:r>
      <w:r w:rsidR="004C140F" w:rsidRPr="003A1174">
        <w:rPr>
          <w:rFonts w:ascii="Garamond" w:hAnsi="Garamond" w:cs="Arial"/>
          <w:sz w:val="24"/>
          <w:szCs w:val="24"/>
          <w:lang w:val="pt-PT"/>
        </w:rPr>
        <w:t xml:space="preserve"> (1950)</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spacing w:after="0" w:line="240" w:lineRule="auto"/>
        <w:jc w:val="both"/>
        <w:rPr>
          <w:rFonts w:ascii="Garamond" w:hAnsi="Garamond" w:cs="Arial"/>
          <w:sz w:val="24"/>
          <w:szCs w:val="24"/>
        </w:rPr>
      </w:pPr>
    </w:p>
    <w:p w:rsidR="004C140F" w:rsidRPr="003A1174" w:rsidRDefault="00B14AA6"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Convenção</w:t>
      </w:r>
      <w:r w:rsidR="003F493C" w:rsidRPr="003A1174">
        <w:rPr>
          <w:rFonts w:ascii="Garamond" w:hAnsi="Garamond" w:cs="Arial"/>
          <w:sz w:val="24"/>
          <w:szCs w:val="24"/>
          <w:lang w:val="pt-PT"/>
        </w:rPr>
        <w:t xml:space="preserve"> sobre </w:t>
      </w:r>
      <w:r w:rsidR="004C140F" w:rsidRPr="003A1174">
        <w:rPr>
          <w:rFonts w:ascii="Garamond" w:hAnsi="Garamond" w:cs="Arial"/>
          <w:sz w:val="24"/>
          <w:szCs w:val="24"/>
          <w:lang w:val="pt-PT"/>
        </w:rPr>
        <w:t xml:space="preserve">os </w:t>
      </w:r>
      <w:r w:rsidR="00886D6A" w:rsidRPr="003A1174">
        <w:rPr>
          <w:rFonts w:ascii="Garamond" w:hAnsi="Garamond" w:cs="Arial"/>
          <w:sz w:val="24"/>
          <w:szCs w:val="24"/>
          <w:lang w:val="pt-PT"/>
        </w:rPr>
        <w:t>Direito</w:t>
      </w:r>
      <w:r w:rsidR="003F493C" w:rsidRPr="003A1174">
        <w:rPr>
          <w:rFonts w:ascii="Garamond" w:hAnsi="Garamond" w:cs="Arial"/>
          <w:sz w:val="24"/>
          <w:szCs w:val="24"/>
          <w:lang w:val="pt-PT"/>
        </w:rPr>
        <w:t>s Políticos d</w:t>
      </w:r>
      <w:r w:rsidR="004C140F"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xml:space="preserve"> (1952)</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spacing w:after="0" w:line="240" w:lineRule="auto"/>
        <w:jc w:val="both"/>
        <w:rPr>
          <w:rFonts w:ascii="Garamond" w:hAnsi="Garamond" w:cs="Arial"/>
          <w:sz w:val="24"/>
          <w:szCs w:val="24"/>
        </w:rPr>
      </w:pPr>
    </w:p>
    <w:p w:rsidR="004C140F" w:rsidRPr="003A1174" w:rsidRDefault="00B14AA6"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Convenção</w:t>
      </w:r>
      <w:r w:rsidR="003F493C" w:rsidRPr="003A1174">
        <w:rPr>
          <w:rFonts w:ascii="Garamond" w:hAnsi="Garamond" w:cs="Arial"/>
          <w:sz w:val="24"/>
          <w:szCs w:val="24"/>
          <w:lang w:val="pt-PT"/>
        </w:rPr>
        <w:t xml:space="preserve"> sobre </w:t>
      </w:r>
      <w:r w:rsidR="004C140F" w:rsidRPr="003A1174">
        <w:rPr>
          <w:rFonts w:ascii="Garamond" w:hAnsi="Garamond" w:cs="Arial"/>
          <w:sz w:val="24"/>
          <w:szCs w:val="24"/>
          <w:lang w:val="pt-PT"/>
        </w:rPr>
        <w:t xml:space="preserve">a </w:t>
      </w:r>
      <w:r w:rsidR="00077461" w:rsidRPr="003A1174">
        <w:rPr>
          <w:rFonts w:ascii="Garamond" w:hAnsi="Garamond" w:cs="Arial"/>
          <w:sz w:val="24"/>
          <w:szCs w:val="24"/>
          <w:lang w:val="pt-PT"/>
        </w:rPr>
        <w:t>Nacionalidade</w:t>
      </w:r>
      <w:r w:rsidR="004C140F" w:rsidRPr="003A1174">
        <w:rPr>
          <w:rFonts w:ascii="Garamond" w:hAnsi="Garamond" w:cs="Arial"/>
          <w:sz w:val="24"/>
          <w:szCs w:val="24"/>
          <w:lang w:val="pt-PT"/>
        </w:rPr>
        <w:t xml:space="preserve"> da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xml:space="preserve"> Casada (1957)</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spacing w:after="0" w:line="240" w:lineRule="auto"/>
        <w:jc w:val="both"/>
        <w:rPr>
          <w:rFonts w:ascii="Garamond" w:hAnsi="Garamond" w:cs="Arial"/>
          <w:sz w:val="24"/>
          <w:szCs w:val="24"/>
        </w:rPr>
      </w:pPr>
    </w:p>
    <w:p w:rsidR="004C140F" w:rsidRPr="003A1174" w:rsidRDefault="00B14AA6"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sobre </w:t>
      </w:r>
      <w:r w:rsidR="003F493C" w:rsidRPr="003A1174">
        <w:rPr>
          <w:rFonts w:ascii="Garamond" w:hAnsi="Garamond" w:cs="Arial"/>
          <w:sz w:val="24"/>
          <w:szCs w:val="24"/>
          <w:lang w:val="pt-PT"/>
        </w:rPr>
        <w:t>o Consentim</w:t>
      </w:r>
      <w:r w:rsidR="004C140F" w:rsidRPr="003A1174">
        <w:rPr>
          <w:rFonts w:ascii="Garamond" w:hAnsi="Garamond" w:cs="Arial"/>
          <w:sz w:val="24"/>
          <w:szCs w:val="24"/>
          <w:lang w:val="pt-PT"/>
        </w:rPr>
        <w:t xml:space="preserve">ento para </w:t>
      </w:r>
      <w:r w:rsidR="003F493C" w:rsidRPr="003A1174">
        <w:rPr>
          <w:rFonts w:ascii="Garamond" w:hAnsi="Garamond" w:cs="Arial"/>
          <w:sz w:val="24"/>
          <w:szCs w:val="24"/>
          <w:lang w:val="pt-PT"/>
        </w:rPr>
        <w:t xml:space="preserve">o Casamento, </w:t>
      </w:r>
      <w:r w:rsidR="004C140F" w:rsidRPr="003A1174">
        <w:rPr>
          <w:rFonts w:ascii="Garamond" w:hAnsi="Garamond" w:cs="Arial"/>
          <w:sz w:val="24"/>
          <w:szCs w:val="24"/>
          <w:lang w:val="pt-PT"/>
        </w:rPr>
        <w:t xml:space="preserve">a </w:t>
      </w:r>
      <w:r w:rsidR="007342D9" w:rsidRPr="003A1174">
        <w:rPr>
          <w:rFonts w:ascii="Garamond" w:hAnsi="Garamond" w:cs="Arial"/>
          <w:sz w:val="24"/>
          <w:szCs w:val="24"/>
          <w:lang w:val="pt-PT"/>
        </w:rPr>
        <w:t>Idade</w:t>
      </w:r>
      <w:r w:rsidR="004C140F" w:rsidRPr="003A1174">
        <w:rPr>
          <w:rFonts w:ascii="Garamond" w:hAnsi="Garamond" w:cs="Arial"/>
          <w:sz w:val="24"/>
          <w:szCs w:val="24"/>
          <w:lang w:val="pt-PT"/>
        </w:rPr>
        <w:t xml:space="preserve"> Mínima para </w:t>
      </w:r>
      <w:r w:rsidR="003F493C" w:rsidRPr="003A1174">
        <w:rPr>
          <w:rFonts w:ascii="Garamond" w:hAnsi="Garamond" w:cs="Arial"/>
          <w:sz w:val="24"/>
          <w:szCs w:val="24"/>
          <w:lang w:val="pt-PT"/>
        </w:rPr>
        <w:t xml:space="preserve">Casamento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w:t>
      </w:r>
      <w:r w:rsidR="003F493C" w:rsidRPr="003A1174">
        <w:rPr>
          <w:rFonts w:ascii="Garamond" w:hAnsi="Garamond" w:cs="Arial"/>
          <w:sz w:val="24"/>
          <w:szCs w:val="24"/>
          <w:lang w:val="pt-PT"/>
        </w:rPr>
        <w:t xml:space="preserve">o </w:t>
      </w:r>
      <w:r w:rsidR="00077461" w:rsidRPr="003A1174">
        <w:rPr>
          <w:rFonts w:ascii="Garamond" w:hAnsi="Garamond" w:cs="Arial"/>
          <w:sz w:val="24"/>
          <w:szCs w:val="24"/>
          <w:lang w:val="pt-PT"/>
        </w:rPr>
        <w:t>Registo</w:t>
      </w:r>
      <w:r w:rsidR="004C140F"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3F493C" w:rsidRPr="003A1174">
        <w:rPr>
          <w:rFonts w:ascii="Garamond" w:hAnsi="Garamond" w:cs="Arial"/>
          <w:sz w:val="24"/>
          <w:szCs w:val="24"/>
          <w:lang w:val="pt-PT"/>
        </w:rPr>
        <w:t xml:space="preserve"> Casamentos</w:t>
      </w:r>
      <w:r w:rsidR="004C140F" w:rsidRPr="003A1174">
        <w:rPr>
          <w:rFonts w:ascii="Garamond" w:hAnsi="Garamond" w:cs="Arial"/>
          <w:sz w:val="24"/>
          <w:szCs w:val="24"/>
          <w:lang w:val="pt-PT"/>
        </w:rPr>
        <w:t xml:space="preserve"> (1962)</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spacing w:after="0" w:line="240" w:lineRule="auto"/>
        <w:rPr>
          <w:rFonts w:ascii="Garamond" w:hAnsi="Garamond" w:cs="Arial"/>
          <w:iCs/>
          <w:sz w:val="24"/>
          <w:szCs w:val="24"/>
          <w:shd w:val="clear" w:color="auto" w:fill="FFFFFF"/>
        </w:rPr>
      </w:pPr>
    </w:p>
    <w:p w:rsidR="004C140F" w:rsidRPr="003A1174" w:rsidRDefault="00C3064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iCs/>
          <w:sz w:val="24"/>
          <w:szCs w:val="24"/>
          <w:shd w:val="clear" w:color="auto" w:fill="FFFFFF"/>
          <w:lang w:val="pt-PT"/>
        </w:rPr>
        <w:t>Declaração</w:t>
      </w:r>
      <w:r w:rsidR="003F493C" w:rsidRPr="003A1174">
        <w:rPr>
          <w:rFonts w:ascii="Garamond" w:hAnsi="Garamond" w:cs="Arial"/>
          <w:iCs/>
          <w:sz w:val="24"/>
          <w:szCs w:val="24"/>
          <w:shd w:val="clear" w:color="auto" w:fill="FFFFFF"/>
          <w:lang w:val="pt-PT"/>
        </w:rPr>
        <w:t xml:space="preserve"> sobre </w:t>
      </w:r>
      <w:r w:rsidR="009E3E55" w:rsidRPr="003A1174">
        <w:rPr>
          <w:rFonts w:ascii="Garamond" w:hAnsi="Garamond" w:cs="Arial"/>
          <w:iCs/>
          <w:sz w:val="24"/>
          <w:szCs w:val="24"/>
          <w:shd w:val="clear" w:color="auto" w:fill="FFFFFF"/>
          <w:lang w:val="pt-PT"/>
        </w:rPr>
        <w:t xml:space="preserve">a </w:t>
      </w:r>
      <w:r w:rsidR="008E7A2A" w:rsidRPr="003A1174">
        <w:rPr>
          <w:rFonts w:ascii="Garamond" w:hAnsi="Garamond" w:cs="Arial"/>
          <w:iCs/>
          <w:sz w:val="24"/>
          <w:szCs w:val="24"/>
          <w:shd w:val="clear" w:color="auto" w:fill="FFFFFF"/>
          <w:lang w:val="pt-PT"/>
        </w:rPr>
        <w:t>Eliminação</w:t>
      </w:r>
      <w:r w:rsidR="009E3E55" w:rsidRPr="003A1174">
        <w:rPr>
          <w:rFonts w:ascii="Garamond" w:hAnsi="Garamond" w:cs="Arial"/>
          <w:iCs/>
          <w:sz w:val="24"/>
          <w:szCs w:val="24"/>
          <w:shd w:val="clear" w:color="auto" w:fill="FFFFFF"/>
          <w:lang w:val="pt-PT"/>
        </w:rPr>
        <w:t xml:space="preserve"> d</w:t>
      </w:r>
      <w:r w:rsidR="004C140F" w:rsidRPr="003A1174">
        <w:rPr>
          <w:rFonts w:ascii="Garamond" w:hAnsi="Garamond" w:cs="Arial"/>
          <w:iCs/>
          <w:sz w:val="24"/>
          <w:szCs w:val="24"/>
          <w:shd w:val="clear" w:color="auto" w:fill="FFFFFF"/>
          <w:lang w:val="pt-PT"/>
        </w:rPr>
        <w:t xml:space="preserve">a </w:t>
      </w:r>
      <w:r w:rsidR="0017447A" w:rsidRPr="003A1174">
        <w:rPr>
          <w:rFonts w:ascii="Garamond" w:hAnsi="Garamond" w:cs="Arial"/>
          <w:iCs/>
          <w:sz w:val="24"/>
          <w:szCs w:val="24"/>
          <w:shd w:val="clear" w:color="auto" w:fill="FFFFFF"/>
          <w:lang w:val="pt-PT"/>
        </w:rPr>
        <w:t>Discriminação</w:t>
      </w:r>
      <w:r w:rsidR="009E3E55" w:rsidRPr="003A1174">
        <w:rPr>
          <w:rFonts w:ascii="Garamond" w:hAnsi="Garamond" w:cs="Arial"/>
          <w:iCs/>
          <w:sz w:val="24"/>
          <w:szCs w:val="24"/>
          <w:shd w:val="clear" w:color="auto" w:fill="FFFFFF"/>
          <w:lang w:val="pt-PT"/>
        </w:rPr>
        <w:t xml:space="preserve"> contra </w:t>
      </w:r>
      <w:r w:rsidR="004C140F" w:rsidRPr="003A1174">
        <w:rPr>
          <w:rFonts w:ascii="Garamond" w:hAnsi="Garamond" w:cs="Arial"/>
          <w:iCs/>
          <w:sz w:val="24"/>
          <w:szCs w:val="24"/>
          <w:shd w:val="clear" w:color="auto" w:fill="FFFFFF"/>
          <w:lang w:val="pt-PT"/>
        </w:rPr>
        <w:t xml:space="preserve">a </w:t>
      </w:r>
      <w:r w:rsidR="00AF192F" w:rsidRPr="003A1174">
        <w:rPr>
          <w:rFonts w:ascii="Garamond" w:hAnsi="Garamond" w:cs="Arial"/>
          <w:iCs/>
          <w:sz w:val="24"/>
          <w:szCs w:val="24"/>
          <w:shd w:val="clear" w:color="auto" w:fill="FFFFFF"/>
          <w:lang w:val="pt-PT"/>
        </w:rPr>
        <w:t>Mulher</w:t>
      </w:r>
      <w:r w:rsidR="004C140F" w:rsidRPr="003A1174">
        <w:rPr>
          <w:rFonts w:ascii="Garamond" w:hAnsi="Garamond" w:cs="Arial"/>
          <w:iCs/>
          <w:sz w:val="24"/>
          <w:szCs w:val="24"/>
          <w:shd w:val="clear" w:color="auto" w:fill="FFFFFF"/>
          <w:lang w:val="pt-PT"/>
        </w:rPr>
        <w:t>,</w:t>
      </w:r>
      <w:r w:rsidR="004C140F" w:rsidRPr="003A1174">
        <w:rPr>
          <w:rFonts w:ascii="Garamond" w:hAnsi="Garamond" w:cs="Arial"/>
          <w:sz w:val="24"/>
          <w:szCs w:val="24"/>
          <w:shd w:val="clear" w:color="auto" w:fill="FFFFFF"/>
          <w:lang w:val="pt-PT"/>
        </w:rPr>
        <w:t xml:space="preserve"> 7 de </w:t>
      </w:r>
      <w:r w:rsidR="009E3E55" w:rsidRPr="003A1174">
        <w:rPr>
          <w:rFonts w:ascii="Garamond" w:hAnsi="Garamond" w:cs="Arial"/>
          <w:sz w:val="24"/>
          <w:szCs w:val="24"/>
          <w:shd w:val="clear" w:color="auto" w:fill="FFFFFF"/>
          <w:lang w:val="pt-PT"/>
        </w:rPr>
        <w:t>novembro</w:t>
      </w:r>
      <w:r w:rsidR="004C140F" w:rsidRPr="003A1174">
        <w:rPr>
          <w:rFonts w:ascii="Garamond" w:hAnsi="Garamond" w:cs="Arial"/>
          <w:sz w:val="24"/>
          <w:szCs w:val="24"/>
          <w:shd w:val="clear" w:color="auto" w:fill="FFFFFF"/>
          <w:lang w:val="pt-PT"/>
        </w:rPr>
        <w:t xml:space="preserve"> de 1967.</w:t>
      </w:r>
    </w:p>
    <w:p w:rsidR="004C140F" w:rsidRPr="003A1174" w:rsidRDefault="00B14AA6" w:rsidP="008719D4">
      <w:pPr>
        <w:pStyle w:val="Prrafodelista"/>
        <w:numPr>
          <w:ilvl w:val="0"/>
          <w:numId w:val="17"/>
        </w:numPr>
        <w:spacing w:line="240" w:lineRule="auto"/>
        <w:jc w:val="both"/>
        <w:rPr>
          <w:rFonts w:ascii="Garamond" w:hAnsi="Garamond" w:cs="Arial"/>
          <w:sz w:val="24"/>
          <w:szCs w:val="24"/>
          <w:shd w:val="clear" w:color="auto" w:fill="FFFFFF"/>
        </w:rPr>
      </w:pPr>
      <w:r w:rsidRPr="003A1174">
        <w:rPr>
          <w:rFonts w:ascii="Garamond" w:hAnsi="Garamond" w:cs="Arial"/>
          <w:sz w:val="24"/>
          <w:szCs w:val="24"/>
        </w:rPr>
        <w:t>Convenção</w:t>
      </w:r>
      <w:r w:rsidR="004C140F" w:rsidRPr="003A1174">
        <w:rPr>
          <w:rFonts w:ascii="Garamond" w:hAnsi="Garamond" w:cs="Arial"/>
          <w:sz w:val="24"/>
          <w:szCs w:val="24"/>
        </w:rPr>
        <w:t xml:space="preserve"> Americana de </w:t>
      </w:r>
      <w:r w:rsidR="00886D6A" w:rsidRPr="003A1174">
        <w:rPr>
          <w:rFonts w:ascii="Garamond" w:hAnsi="Garamond" w:cs="Arial"/>
          <w:sz w:val="24"/>
          <w:szCs w:val="24"/>
        </w:rPr>
        <w:t>Direito</w:t>
      </w:r>
      <w:r w:rsidR="004C140F" w:rsidRPr="003A1174">
        <w:rPr>
          <w:rFonts w:ascii="Garamond" w:hAnsi="Garamond" w:cs="Arial"/>
          <w:sz w:val="24"/>
          <w:szCs w:val="24"/>
        </w:rPr>
        <w:t xml:space="preserve">s Humanos, </w:t>
      </w:r>
      <w:r w:rsidR="00D8285F">
        <w:rPr>
          <w:rFonts w:ascii="Garamond" w:hAnsi="Garamond" w:cs="Arial"/>
          <w:sz w:val="24"/>
          <w:szCs w:val="24"/>
        </w:rPr>
        <w:t>«</w:t>
      </w:r>
      <w:r w:rsidR="004C140F" w:rsidRPr="003A1174">
        <w:rPr>
          <w:rFonts w:ascii="Garamond" w:hAnsi="Garamond" w:cs="Arial"/>
          <w:sz w:val="24"/>
          <w:szCs w:val="24"/>
        </w:rPr>
        <w:t>Pacto de San</w:t>
      </w:r>
      <w:r w:rsidR="009E3E55" w:rsidRPr="003A1174">
        <w:rPr>
          <w:rFonts w:ascii="Garamond" w:hAnsi="Garamond" w:cs="Arial"/>
          <w:sz w:val="24"/>
          <w:szCs w:val="24"/>
        </w:rPr>
        <w:t xml:space="preserve"> José da</w:t>
      </w:r>
      <w:r w:rsidR="004C140F" w:rsidRPr="003A1174">
        <w:rPr>
          <w:rFonts w:ascii="Garamond" w:hAnsi="Garamond" w:cs="Arial"/>
          <w:sz w:val="24"/>
          <w:szCs w:val="24"/>
        </w:rPr>
        <w:t xml:space="preserve"> Costa Rica</w:t>
      </w:r>
      <w:r w:rsidR="00D8285F">
        <w:rPr>
          <w:rFonts w:ascii="Garamond" w:hAnsi="Garamond" w:cs="Arial"/>
          <w:sz w:val="24"/>
          <w:szCs w:val="24"/>
        </w:rPr>
        <w:t>»</w:t>
      </w:r>
      <w:r w:rsidR="004C140F" w:rsidRPr="003A1174">
        <w:rPr>
          <w:rFonts w:ascii="Garamond" w:hAnsi="Garamond" w:cs="Arial"/>
          <w:sz w:val="24"/>
          <w:szCs w:val="24"/>
        </w:rPr>
        <w:t xml:space="preserve">, </w:t>
      </w:r>
      <w:r w:rsidR="004C140F" w:rsidRPr="003A1174">
        <w:rPr>
          <w:rFonts w:ascii="Garamond" w:hAnsi="Garamond" w:cs="Arial"/>
          <w:sz w:val="24"/>
          <w:szCs w:val="24"/>
          <w:shd w:val="clear" w:color="auto" w:fill="FFFFFF"/>
        </w:rPr>
        <w:t xml:space="preserve">22 de </w:t>
      </w:r>
      <w:r w:rsidR="009E3E55" w:rsidRPr="003A1174">
        <w:rPr>
          <w:rFonts w:ascii="Garamond" w:hAnsi="Garamond" w:cs="Arial"/>
          <w:sz w:val="24"/>
          <w:szCs w:val="24"/>
          <w:shd w:val="clear" w:color="auto" w:fill="FFFFFF"/>
        </w:rPr>
        <w:t>novembro</w:t>
      </w:r>
      <w:r w:rsidR="004C140F" w:rsidRPr="003A1174">
        <w:rPr>
          <w:rFonts w:ascii="Garamond" w:hAnsi="Garamond" w:cs="Arial"/>
          <w:sz w:val="24"/>
          <w:szCs w:val="24"/>
          <w:shd w:val="clear" w:color="auto" w:fill="FFFFFF"/>
        </w:rPr>
        <w:t xml:space="preserve"> de 1969.</w:t>
      </w:r>
    </w:p>
    <w:p w:rsidR="004C140F" w:rsidRPr="003A1174" w:rsidRDefault="00BC2C17" w:rsidP="008719D4">
      <w:pPr>
        <w:pStyle w:val="Prrafodelista"/>
        <w:numPr>
          <w:ilvl w:val="0"/>
          <w:numId w:val="17"/>
        </w:numPr>
        <w:spacing w:after="0" w:line="240" w:lineRule="auto"/>
        <w:jc w:val="both"/>
        <w:rPr>
          <w:rFonts w:ascii="Garamond" w:hAnsi="Garamond" w:cs="Arial"/>
          <w:sz w:val="24"/>
          <w:szCs w:val="24"/>
          <w:lang w:val="pt-PT"/>
        </w:rPr>
      </w:pPr>
      <w:hyperlink r:id="rId26" w:tgtFrame="top" w:history="1">
        <w:r w:rsidR="00C30647" w:rsidRPr="003A1174">
          <w:rPr>
            <w:rStyle w:val="Hipervnculo"/>
            <w:rFonts w:ascii="Garamond" w:hAnsi="Garamond" w:cs="Arial"/>
            <w:color w:val="auto"/>
            <w:sz w:val="24"/>
            <w:szCs w:val="24"/>
            <w:u w:val="none"/>
            <w:lang w:val="pt-PT"/>
          </w:rPr>
          <w:t>Declaração</w:t>
        </w:r>
        <w:r w:rsidR="009E3E55" w:rsidRPr="003A1174">
          <w:rPr>
            <w:rStyle w:val="Hipervnculo"/>
            <w:rFonts w:ascii="Garamond" w:hAnsi="Garamond" w:cs="Arial"/>
            <w:color w:val="auto"/>
            <w:sz w:val="24"/>
            <w:szCs w:val="24"/>
            <w:u w:val="none"/>
            <w:lang w:val="pt-PT"/>
          </w:rPr>
          <w:t xml:space="preserve"> sobre </w:t>
        </w:r>
        <w:r w:rsidR="004C140F" w:rsidRPr="003A1174">
          <w:rPr>
            <w:rStyle w:val="Hipervnculo"/>
            <w:rFonts w:ascii="Garamond" w:hAnsi="Garamond" w:cs="Arial"/>
            <w:color w:val="auto"/>
            <w:sz w:val="24"/>
            <w:szCs w:val="24"/>
            <w:u w:val="none"/>
            <w:lang w:val="pt-PT"/>
          </w:rPr>
          <w:t xml:space="preserve">a </w:t>
        </w:r>
        <w:r w:rsidR="00886D6A" w:rsidRPr="003A1174">
          <w:rPr>
            <w:rStyle w:val="Hipervnculo"/>
            <w:rFonts w:ascii="Garamond" w:hAnsi="Garamond" w:cs="Arial"/>
            <w:color w:val="auto"/>
            <w:sz w:val="24"/>
            <w:szCs w:val="24"/>
            <w:u w:val="none"/>
            <w:lang w:val="pt-PT"/>
          </w:rPr>
          <w:t>proteção</w:t>
        </w:r>
        <w:r w:rsidR="009E3E55" w:rsidRPr="003A1174">
          <w:rPr>
            <w:rStyle w:val="Hipervnculo"/>
            <w:rFonts w:ascii="Garamond" w:hAnsi="Garamond" w:cs="Arial"/>
            <w:color w:val="auto"/>
            <w:sz w:val="24"/>
            <w:szCs w:val="24"/>
            <w:u w:val="none"/>
            <w:lang w:val="pt-PT"/>
          </w:rPr>
          <w:t xml:space="preserve"> d</w:t>
        </w:r>
        <w:r w:rsidR="004C140F" w:rsidRPr="003A1174">
          <w:rPr>
            <w:rStyle w:val="Hipervnculo"/>
            <w:rFonts w:ascii="Garamond" w:hAnsi="Garamond" w:cs="Arial"/>
            <w:color w:val="auto"/>
            <w:sz w:val="24"/>
            <w:szCs w:val="24"/>
            <w:u w:val="none"/>
            <w:lang w:val="pt-PT"/>
          </w:rPr>
          <w:t xml:space="preserve">a </w:t>
        </w:r>
        <w:r w:rsidR="00AF192F" w:rsidRPr="003A1174">
          <w:rPr>
            <w:rStyle w:val="Hipervnculo"/>
            <w:rFonts w:ascii="Garamond" w:hAnsi="Garamond" w:cs="Arial"/>
            <w:color w:val="auto"/>
            <w:sz w:val="24"/>
            <w:szCs w:val="24"/>
            <w:u w:val="none"/>
            <w:lang w:val="pt-PT"/>
          </w:rPr>
          <w:t>mulher</w:t>
        </w:r>
        <w:r w:rsidR="004C140F" w:rsidRPr="003A1174">
          <w:rPr>
            <w:rStyle w:val="Hipervnculo"/>
            <w:rFonts w:ascii="Garamond" w:hAnsi="Garamond" w:cs="Arial"/>
            <w:color w:val="auto"/>
            <w:sz w:val="24"/>
            <w:szCs w:val="24"/>
            <w:u w:val="none"/>
            <w:lang w:val="pt-PT"/>
          </w:rPr>
          <w:t xml:space="preserve"> </w:t>
        </w:r>
        <w:r w:rsidR="009E3E55" w:rsidRPr="003A1174">
          <w:rPr>
            <w:rStyle w:val="Hipervnculo"/>
            <w:rFonts w:ascii="Garamond" w:hAnsi="Garamond" w:cs="Arial"/>
            <w:color w:val="auto"/>
            <w:sz w:val="24"/>
            <w:szCs w:val="24"/>
            <w:u w:val="none"/>
            <w:lang w:val="pt-PT"/>
          </w:rPr>
          <w:t xml:space="preserve">e da criança em </w:t>
        </w:r>
        <w:r w:rsidR="004C140F" w:rsidRPr="003A1174">
          <w:rPr>
            <w:rStyle w:val="Hipervnculo"/>
            <w:rFonts w:ascii="Garamond" w:hAnsi="Garamond" w:cs="Arial"/>
            <w:color w:val="auto"/>
            <w:sz w:val="24"/>
            <w:szCs w:val="24"/>
            <w:u w:val="none"/>
            <w:lang w:val="pt-PT"/>
          </w:rPr>
          <w:t xml:space="preserve">estados de </w:t>
        </w:r>
        <w:r w:rsidR="009E3E55" w:rsidRPr="003A1174">
          <w:rPr>
            <w:rStyle w:val="Hipervnculo"/>
            <w:rFonts w:ascii="Garamond" w:hAnsi="Garamond" w:cs="Arial"/>
            <w:color w:val="auto"/>
            <w:sz w:val="24"/>
            <w:szCs w:val="24"/>
            <w:u w:val="none"/>
            <w:lang w:val="pt-PT"/>
          </w:rPr>
          <w:t>emergência</w:t>
        </w:r>
        <w:r w:rsidR="004C140F" w:rsidRPr="003A1174">
          <w:rPr>
            <w:rStyle w:val="Hipervnculo"/>
            <w:rFonts w:ascii="Garamond" w:hAnsi="Garamond" w:cs="Arial"/>
            <w:color w:val="auto"/>
            <w:sz w:val="24"/>
            <w:szCs w:val="24"/>
            <w:u w:val="none"/>
            <w:lang w:val="pt-PT"/>
          </w:rPr>
          <w:t xml:space="preserve"> o</w:t>
        </w:r>
        <w:r w:rsidR="009E3E55" w:rsidRPr="003A1174">
          <w:rPr>
            <w:rStyle w:val="Hipervnculo"/>
            <w:rFonts w:ascii="Garamond" w:hAnsi="Garamond" w:cs="Arial"/>
            <w:color w:val="auto"/>
            <w:sz w:val="24"/>
            <w:szCs w:val="24"/>
            <w:u w:val="none"/>
            <w:lang w:val="pt-PT"/>
          </w:rPr>
          <w:t>u de confli</w:t>
        </w:r>
        <w:r w:rsidR="004C140F" w:rsidRPr="003A1174">
          <w:rPr>
            <w:rStyle w:val="Hipervnculo"/>
            <w:rFonts w:ascii="Garamond" w:hAnsi="Garamond" w:cs="Arial"/>
            <w:color w:val="auto"/>
            <w:sz w:val="24"/>
            <w:szCs w:val="24"/>
            <w:u w:val="none"/>
            <w:lang w:val="pt-PT"/>
          </w:rPr>
          <w:t>to armado</w:t>
        </w:r>
      </w:hyperlink>
      <w:r w:rsidR="004C140F" w:rsidRPr="003A1174">
        <w:rPr>
          <w:rFonts w:ascii="Garamond" w:hAnsi="Garamond" w:cs="Arial"/>
          <w:sz w:val="24"/>
          <w:szCs w:val="24"/>
          <w:lang w:val="pt-PT"/>
        </w:rPr>
        <w:t xml:space="preserve"> (</w:t>
      </w:r>
      <w:r w:rsidR="00C30647" w:rsidRPr="003A1174">
        <w:rPr>
          <w:rFonts w:ascii="Garamond" w:hAnsi="Garamond" w:cs="Arial"/>
          <w:sz w:val="24"/>
          <w:szCs w:val="24"/>
          <w:lang w:val="pt-PT"/>
        </w:rPr>
        <w:t>Assembleia</w:t>
      </w:r>
      <w:r w:rsidR="004C140F"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4C140F" w:rsidRPr="003A1174">
        <w:rPr>
          <w:rFonts w:ascii="Garamond" w:hAnsi="Garamond" w:cs="Arial"/>
          <w:sz w:val="24"/>
          <w:szCs w:val="24"/>
          <w:lang w:val="pt-PT"/>
        </w:rPr>
        <w:t xml:space="preserve">, </w:t>
      </w:r>
      <w:r w:rsidR="003F012B" w:rsidRPr="003A1174">
        <w:rPr>
          <w:rFonts w:ascii="Garamond" w:hAnsi="Garamond" w:cs="Arial"/>
          <w:sz w:val="24"/>
          <w:szCs w:val="24"/>
          <w:lang w:val="pt-PT"/>
        </w:rPr>
        <w:t>Resolução</w:t>
      </w:r>
      <w:r w:rsidR="004C140F" w:rsidRPr="003A1174">
        <w:rPr>
          <w:rFonts w:ascii="Garamond" w:hAnsi="Garamond" w:cs="Arial"/>
          <w:sz w:val="24"/>
          <w:szCs w:val="24"/>
          <w:lang w:val="pt-PT"/>
        </w:rPr>
        <w:t xml:space="preserve"> 3318, </w:t>
      </w:r>
      <w:r w:rsidR="004C140F" w:rsidRPr="00D8285F">
        <w:rPr>
          <w:rFonts w:ascii="Garamond" w:hAnsi="Garamond" w:cs="Arial"/>
          <w:sz w:val="20"/>
          <w:szCs w:val="20"/>
          <w:lang w:val="pt-PT"/>
        </w:rPr>
        <w:t>XXIX</w:t>
      </w:r>
      <w:r w:rsidR="004C140F" w:rsidRPr="003A1174">
        <w:rPr>
          <w:rFonts w:ascii="Garamond" w:hAnsi="Garamond" w:cs="Arial"/>
          <w:sz w:val="24"/>
          <w:szCs w:val="24"/>
          <w:lang w:val="pt-PT"/>
        </w:rPr>
        <w:t>, 14dic74)</w:t>
      </w:r>
      <w:r w:rsidR="00313291">
        <w:rPr>
          <w:rFonts w:ascii="Garamond" w:hAnsi="Garamond" w:cs="Arial"/>
          <w:sz w:val="24"/>
          <w:szCs w:val="24"/>
          <w:lang w:val="pt-PT"/>
        </w:rPr>
        <w:t>.</w:t>
      </w:r>
    </w:p>
    <w:p w:rsidR="004C140F" w:rsidRPr="003A1174" w:rsidRDefault="004C140F" w:rsidP="008719D4">
      <w:pPr>
        <w:spacing w:after="0" w:line="240" w:lineRule="auto"/>
        <w:jc w:val="both"/>
        <w:rPr>
          <w:rFonts w:ascii="Garamond" w:hAnsi="Garamond" w:cs="Arial"/>
          <w:sz w:val="24"/>
          <w:szCs w:val="24"/>
        </w:rPr>
      </w:pPr>
    </w:p>
    <w:p w:rsidR="004C140F" w:rsidRPr="003A1174" w:rsidRDefault="008E7A2A"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Recomendações</w:t>
      </w:r>
      <w:r w:rsidR="004C140F" w:rsidRPr="003A1174">
        <w:rPr>
          <w:rFonts w:ascii="Garamond" w:hAnsi="Garamond" w:cs="Arial"/>
          <w:sz w:val="24"/>
          <w:szCs w:val="24"/>
          <w:lang w:val="pt-PT"/>
        </w:rPr>
        <w:t xml:space="preserve"> </w:t>
      </w:r>
      <w:r w:rsidR="009E3E55" w:rsidRPr="003A1174">
        <w:rPr>
          <w:rFonts w:ascii="Garamond" w:hAnsi="Garamond" w:cs="Arial"/>
          <w:sz w:val="24"/>
          <w:szCs w:val="24"/>
          <w:lang w:val="pt-PT"/>
        </w:rPr>
        <w:t>Gerais</w:t>
      </w:r>
      <w:r w:rsidR="004C140F" w:rsidRPr="003A1174">
        <w:rPr>
          <w:rFonts w:ascii="Garamond" w:hAnsi="Garamond" w:cs="Arial"/>
          <w:sz w:val="24"/>
          <w:szCs w:val="24"/>
          <w:lang w:val="pt-PT"/>
        </w:rPr>
        <w:t xml:space="preserve"> </w:t>
      </w:r>
      <w:r w:rsidR="009E3E55" w:rsidRPr="003A1174">
        <w:rPr>
          <w:rFonts w:ascii="Garamond" w:hAnsi="Garamond" w:cs="Arial"/>
          <w:sz w:val="24"/>
          <w:szCs w:val="24"/>
          <w:lang w:val="pt-PT"/>
        </w:rPr>
        <w:t>adotada</w:t>
      </w:r>
      <w:r w:rsidR="004C140F" w:rsidRPr="003A1174">
        <w:rPr>
          <w:rFonts w:ascii="Garamond" w:hAnsi="Garamond" w:cs="Arial"/>
          <w:sz w:val="24"/>
          <w:szCs w:val="24"/>
          <w:lang w:val="pt-PT"/>
        </w:rPr>
        <w:t>s pel</w:t>
      </w:r>
      <w:r w:rsidR="009E3E55" w:rsidRPr="003A1174">
        <w:rPr>
          <w:rFonts w:ascii="Garamond" w:hAnsi="Garamond" w:cs="Arial"/>
          <w:sz w:val="24"/>
          <w:szCs w:val="24"/>
          <w:lang w:val="pt-PT"/>
        </w:rPr>
        <w:t xml:space="preserve">o Comité para </w:t>
      </w:r>
      <w:r w:rsidR="004C140F" w:rsidRPr="003A1174">
        <w:rPr>
          <w:rFonts w:ascii="Garamond" w:hAnsi="Garamond" w:cs="Arial"/>
          <w:sz w:val="24"/>
          <w:szCs w:val="24"/>
          <w:lang w:val="pt-PT"/>
        </w:rPr>
        <w:t xml:space="preserve">a </w:t>
      </w:r>
      <w:r w:rsidRPr="003A1174">
        <w:rPr>
          <w:rFonts w:ascii="Garamond" w:hAnsi="Garamond" w:cs="Arial"/>
          <w:sz w:val="24"/>
          <w:szCs w:val="24"/>
          <w:lang w:val="pt-PT"/>
        </w:rPr>
        <w:t>Eliminação</w:t>
      </w:r>
      <w:r w:rsidR="004C140F" w:rsidRPr="003A1174">
        <w:rPr>
          <w:rFonts w:ascii="Garamond" w:hAnsi="Garamond" w:cs="Arial"/>
          <w:sz w:val="24"/>
          <w:szCs w:val="24"/>
          <w:lang w:val="pt-PT"/>
        </w:rPr>
        <w:t xml:space="preserve"> da </w:t>
      </w:r>
      <w:r w:rsidR="0017447A" w:rsidRPr="003A1174">
        <w:rPr>
          <w:rFonts w:ascii="Garamond" w:hAnsi="Garamond" w:cs="Arial"/>
          <w:sz w:val="24"/>
          <w:szCs w:val="24"/>
          <w:lang w:val="pt-PT"/>
        </w:rPr>
        <w:t>Discriminação</w:t>
      </w:r>
      <w:r w:rsidR="009E3E55" w:rsidRPr="003A1174">
        <w:rPr>
          <w:rFonts w:ascii="Garamond" w:hAnsi="Garamond" w:cs="Arial"/>
          <w:sz w:val="24"/>
          <w:szCs w:val="24"/>
          <w:lang w:val="pt-PT"/>
        </w:rPr>
        <w:t xml:space="preserve"> contra </w:t>
      </w:r>
      <w:r w:rsidR="004C140F"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D8285F">
        <w:rPr>
          <w:rFonts w:ascii="Garamond" w:hAnsi="Garamond" w:cs="Arial"/>
          <w:sz w:val="24"/>
          <w:szCs w:val="24"/>
          <w:lang w:val="pt-PT"/>
        </w:rPr>
        <w:t>,</w:t>
      </w:r>
      <w:r w:rsidR="004C140F" w:rsidRPr="003A1174">
        <w:rPr>
          <w:rFonts w:ascii="Garamond" w:hAnsi="Garamond" w:cs="Arial"/>
          <w:sz w:val="24"/>
          <w:szCs w:val="24"/>
          <w:lang w:val="pt-PT"/>
        </w:rPr>
        <w:t xml:space="preserve"> desde 1986 </w:t>
      </w:r>
      <w:r w:rsidR="009E3E55" w:rsidRPr="003A1174">
        <w:rPr>
          <w:rFonts w:ascii="Garamond" w:hAnsi="Garamond" w:cs="Arial"/>
          <w:sz w:val="24"/>
          <w:szCs w:val="24"/>
          <w:lang w:val="pt-PT"/>
        </w:rPr>
        <w:t xml:space="preserve">até </w:t>
      </w:r>
      <w:r w:rsidR="004C140F" w:rsidRPr="003A1174">
        <w:rPr>
          <w:rFonts w:ascii="Garamond" w:hAnsi="Garamond" w:cs="Arial"/>
          <w:sz w:val="24"/>
          <w:szCs w:val="24"/>
          <w:lang w:val="pt-PT"/>
        </w:rPr>
        <w:t xml:space="preserve">2010, </w:t>
      </w:r>
      <w:r w:rsidR="009E3E55" w:rsidRPr="003A1174">
        <w:rPr>
          <w:rFonts w:ascii="Garamond" w:hAnsi="Garamond" w:cs="Arial"/>
          <w:sz w:val="24"/>
          <w:szCs w:val="24"/>
          <w:lang w:val="pt-PT"/>
        </w:rPr>
        <w:t xml:space="preserve">o </w:t>
      </w:r>
      <w:r w:rsidR="004C140F" w:rsidRPr="003A1174">
        <w:rPr>
          <w:rFonts w:ascii="Garamond" w:hAnsi="Garamond" w:cs="Arial"/>
          <w:sz w:val="24"/>
          <w:szCs w:val="24"/>
          <w:shd w:val="clear" w:color="auto" w:fill="FFFFFF"/>
          <w:lang w:val="pt-PT"/>
        </w:rPr>
        <w:t>Comité ado</w:t>
      </w:r>
      <w:r w:rsidR="009E3E55" w:rsidRPr="003A1174">
        <w:rPr>
          <w:rFonts w:ascii="Garamond" w:hAnsi="Garamond" w:cs="Arial"/>
          <w:sz w:val="24"/>
          <w:szCs w:val="24"/>
          <w:shd w:val="clear" w:color="auto" w:fill="FFFFFF"/>
          <w:lang w:val="pt-PT"/>
        </w:rPr>
        <w:t>tou um</w:t>
      </w:r>
      <w:r w:rsidR="004C140F" w:rsidRPr="003A1174">
        <w:rPr>
          <w:rFonts w:ascii="Garamond" w:hAnsi="Garamond" w:cs="Arial"/>
          <w:sz w:val="24"/>
          <w:szCs w:val="24"/>
          <w:shd w:val="clear" w:color="auto" w:fill="FFFFFF"/>
          <w:lang w:val="pt-PT"/>
        </w:rPr>
        <w:t xml:space="preserve"> total de 27 </w:t>
      </w:r>
      <w:r w:rsidRPr="003A1174">
        <w:rPr>
          <w:rFonts w:ascii="Garamond" w:hAnsi="Garamond" w:cs="Arial"/>
          <w:sz w:val="24"/>
          <w:szCs w:val="24"/>
          <w:shd w:val="clear" w:color="auto" w:fill="FFFFFF"/>
          <w:lang w:val="pt-PT"/>
        </w:rPr>
        <w:t>recomendações</w:t>
      </w:r>
      <w:r w:rsidR="004C140F" w:rsidRPr="003A1174">
        <w:rPr>
          <w:rFonts w:ascii="Garamond" w:hAnsi="Garamond" w:cs="Arial"/>
          <w:sz w:val="24"/>
          <w:szCs w:val="24"/>
          <w:shd w:val="clear" w:color="auto" w:fill="FFFFFF"/>
          <w:lang w:val="pt-PT"/>
        </w:rPr>
        <w:t xml:space="preserve"> </w:t>
      </w:r>
      <w:r w:rsidR="009E3E55" w:rsidRPr="003A1174">
        <w:rPr>
          <w:rFonts w:ascii="Garamond" w:hAnsi="Garamond" w:cs="Arial"/>
          <w:sz w:val="24"/>
          <w:szCs w:val="24"/>
          <w:shd w:val="clear" w:color="auto" w:fill="FFFFFF"/>
          <w:lang w:val="pt-PT"/>
        </w:rPr>
        <w:t>gerais</w:t>
      </w:r>
      <w:r w:rsidR="004C140F" w:rsidRPr="003A1174">
        <w:rPr>
          <w:rFonts w:ascii="Garamond" w:hAnsi="Garamond" w:cs="Arial"/>
          <w:sz w:val="24"/>
          <w:szCs w:val="24"/>
          <w:shd w:val="clear" w:color="auto" w:fill="FFFFFF"/>
          <w:lang w:val="pt-PT"/>
        </w:rPr>
        <w:t>. Existe u</w:t>
      </w:r>
      <w:r w:rsidRPr="003A1174">
        <w:rPr>
          <w:rFonts w:ascii="Garamond" w:hAnsi="Garamond" w:cs="Arial"/>
          <w:sz w:val="24"/>
          <w:szCs w:val="24"/>
          <w:shd w:val="clear" w:color="auto" w:fill="FFFFFF"/>
          <w:lang w:val="pt-PT"/>
        </w:rPr>
        <w:t>m</w:t>
      </w:r>
      <w:r w:rsidR="004C140F" w:rsidRPr="003A1174">
        <w:rPr>
          <w:rFonts w:ascii="Garamond" w:hAnsi="Garamond" w:cs="Arial"/>
          <w:sz w:val="24"/>
          <w:szCs w:val="24"/>
          <w:shd w:val="clear" w:color="auto" w:fill="FFFFFF"/>
          <w:lang w:val="pt-PT"/>
        </w:rPr>
        <w:t xml:space="preserve"> </w:t>
      </w:r>
      <w:r w:rsidR="00C30647" w:rsidRPr="003A1174">
        <w:rPr>
          <w:rFonts w:ascii="Garamond" w:hAnsi="Garamond" w:cs="Arial"/>
          <w:sz w:val="24"/>
          <w:szCs w:val="24"/>
          <w:lang w:val="pt-PT"/>
        </w:rPr>
        <w:t>Projeto</w:t>
      </w:r>
      <w:r w:rsidR="004C140F" w:rsidRPr="003A1174">
        <w:rPr>
          <w:rFonts w:ascii="Garamond" w:hAnsi="Garamond" w:cs="Arial"/>
          <w:sz w:val="24"/>
          <w:szCs w:val="24"/>
          <w:lang w:val="pt-PT"/>
        </w:rPr>
        <w:t xml:space="preserve"> de </w:t>
      </w:r>
      <w:r w:rsidR="00C965B4" w:rsidRPr="003A1174">
        <w:rPr>
          <w:rFonts w:ascii="Garamond" w:hAnsi="Garamond" w:cs="Arial"/>
          <w:sz w:val="24"/>
          <w:szCs w:val="24"/>
          <w:lang w:val="pt-PT"/>
        </w:rPr>
        <w:t>Recomendação</w:t>
      </w:r>
      <w:r w:rsidR="004C140F"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4C140F" w:rsidRPr="003A1174">
        <w:rPr>
          <w:rFonts w:ascii="Garamond" w:hAnsi="Garamond" w:cs="Arial"/>
          <w:sz w:val="24"/>
          <w:szCs w:val="24"/>
          <w:lang w:val="pt-PT"/>
        </w:rPr>
        <w:t xml:space="preserve"> N</w:t>
      </w:r>
      <w:r w:rsidR="00D8285F">
        <w:rPr>
          <w:rFonts w:ascii="Garamond" w:hAnsi="Garamond" w:cs="Arial"/>
          <w:sz w:val="24"/>
          <w:szCs w:val="24"/>
          <w:lang w:val="pt-PT"/>
        </w:rPr>
        <w:t>.</w:t>
      </w:r>
      <w:r w:rsidR="004C140F" w:rsidRPr="003A1174">
        <w:rPr>
          <w:rFonts w:ascii="Garamond" w:hAnsi="Garamond" w:cs="Arial"/>
          <w:sz w:val="24"/>
          <w:szCs w:val="24"/>
          <w:lang w:val="pt-PT"/>
        </w:rPr>
        <w:t>º 28 relativa a</w:t>
      </w:r>
      <w:r w:rsidRPr="003A1174">
        <w:rPr>
          <w:rFonts w:ascii="Garamond" w:hAnsi="Garamond" w:cs="Arial"/>
          <w:sz w:val="24"/>
          <w:szCs w:val="24"/>
          <w:lang w:val="pt-PT"/>
        </w:rPr>
        <w:t>o</w:t>
      </w:r>
      <w:r w:rsidR="003F493C" w:rsidRPr="003A1174">
        <w:rPr>
          <w:rFonts w:ascii="Garamond" w:hAnsi="Garamond" w:cs="Arial"/>
          <w:sz w:val="24"/>
          <w:szCs w:val="24"/>
          <w:lang w:val="pt-PT"/>
        </w:rPr>
        <w:t xml:space="preserve"> artig</w:t>
      </w:r>
      <w:r w:rsidRPr="003A1174">
        <w:rPr>
          <w:rFonts w:ascii="Garamond" w:hAnsi="Garamond" w:cs="Arial"/>
          <w:sz w:val="24"/>
          <w:szCs w:val="24"/>
          <w:lang w:val="pt-PT"/>
        </w:rPr>
        <w:t xml:space="preserve">o 2 da </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sobre </w:t>
      </w:r>
      <w:r w:rsidR="004C140F" w:rsidRPr="003A1174">
        <w:rPr>
          <w:rFonts w:ascii="Garamond" w:hAnsi="Garamond" w:cs="Arial"/>
          <w:sz w:val="24"/>
          <w:szCs w:val="24"/>
          <w:lang w:val="pt-PT"/>
        </w:rPr>
        <w:t xml:space="preserve">a </w:t>
      </w:r>
      <w:r w:rsidRPr="003A1174">
        <w:rPr>
          <w:rFonts w:ascii="Garamond" w:hAnsi="Garamond" w:cs="Arial"/>
          <w:sz w:val="24"/>
          <w:szCs w:val="24"/>
          <w:lang w:val="pt-PT"/>
        </w:rPr>
        <w:t xml:space="preserve">eliminação de todas </w:t>
      </w:r>
      <w:r w:rsidR="004C140F" w:rsidRPr="003A1174">
        <w:rPr>
          <w:rFonts w:ascii="Garamond" w:hAnsi="Garamond" w:cs="Arial"/>
          <w:sz w:val="24"/>
          <w:szCs w:val="24"/>
          <w:lang w:val="pt-PT"/>
        </w:rPr>
        <w:t xml:space="preserve">as formas de </w:t>
      </w:r>
      <w:r w:rsidR="0017447A" w:rsidRPr="003A1174">
        <w:rPr>
          <w:rFonts w:ascii="Garamond" w:hAnsi="Garamond" w:cs="Arial"/>
          <w:sz w:val="24"/>
          <w:szCs w:val="24"/>
          <w:lang w:val="pt-PT"/>
        </w:rPr>
        <w:t>discriminação</w:t>
      </w:r>
      <w:r w:rsidRPr="003A1174">
        <w:rPr>
          <w:rFonts w:ascii="Garamond" w:hAnsi="Garamond" w:cs="Arial"/>
          <w:sz w:val="24"/>
          <w:szCs w:val="24"/>
          <w:lang w:val="pt-PT"/>
        </w:rPr>
        <w:t xml:space="preserve"> contra </w:t>
      </w:r>
      <w:r w:rsidR="004C140F"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xml:space="preserve"> (2010)</w:t>
      </w:r>
      <w:r w:rsidR="00313291">
        <w:rPr>
          <w:rFonts w:ascii="Garamond" w:hAnsi="Garamond" w:cs="Arial"/>
          <w:sz w:val="24"/>
          <w:szCs w:val="24"/>
          <w:lang w:val="pt-PT"/>
        </w:rPr>
        <w:t>.</w:t>
      </w:r>
    </w:p>
    <w:p w:rsidR="004C140F" w:rsidRPr="00D8285F" w:rsidRDefault="00B14AA6" w:rsidP="008719D4">
      <w:pPr>
        <w:pStyle w:val="Prrafodelista"/>
        <w:numPr>
          <w:ilvl w:val="0"/>
          <w:numId w:val="17"/>
        </w:numPr>
        <w:spacing w:line="240" w:lineRule="auto"/>
        <w:jc w:val="both"/>
        <w:rPr>
          <w:rFonts w:ascii="Garamond" w:hAnsi="Garamond" w:cs="Arial"/>
          <w:sz w:val="24"/>
          <w:szCs w:val="24"/>
          <w:lang w:val="pt-PT"/>
        </w:rPr>
      </w:pPr>
      <w:r w:rsidRPr="00D8285F">
        <w:rPr>
          <w:rFonts w:ascii="Garamond" w:hAnsi="Garamond" w:cs="Arial"/>
          <w:iCs/>
          <w:sz w:val="24"/>
          <w:szCs w:val="24"/>
          <w:lang w:val="pt-PT"/>
        </w:rPr>
        <w:t>Convenção</w:t>
      </w:r>
      <w:r w:rsidR="008E7A2A" w:rsidRPr="00D8285F">
        <w:rPr>
          <w:rFonts w:ascii="Garamond" w:hAnsi="Garamond" w:cs="Arial"/>
          <w:iCs/>
          <w:sz w:val="24"/>
          <w:szCs w:val="24"/>
          <w:lang w:val="pt-PT"/>
        </w:rPr>
        <w:t xml:space="preserve"> sobre </w:t>
      </w:r>
      <w:r w:rsidR="004C140F" w:rsidRPr="00D8285F">
        <w:rPr>
          <w:rFonts w:ascii="Garamond" w:hAnsi="Garamond" w:cs="Arial"/>
          <w:iCs/>
          <w:sz w:val="24"/>
          <w:szCs w:val="24"/>
          <w:lang w:val="pt-PT"/>
        </w:rPr>
        <w:t xml:space="preserve">a </w:t>
      </w:r>
      <w:r w:rsidR="008E7A2A" w:rsidRPr="00D8285F">
        <w:rPr>
          <w:rFonts w:ascii="Garamond" w:hAnsi="Garamond" w:cs="Arial"/>
          <w:iCs/>
          <w:sz w:val="24"/>
          <w:szCs w:val="24"/>
          <w:lang w:val="pt-PT"/>
        </w:rPr>
        <w:t xml:space="preserve">Eliminação de Todas </w:t>
      </w:r>
      <w:r w:rsidR="004C140F" w:rsidRPr="00D8285F">
        <w:rPr>
          <w:rFonts w:ascii="Garamond" w:hAnsi="Garamond" w:cs="Arial"/>
          <w:iCs/>
          <w:sz w:val="24"/>
          <w:szCs w:val="24"/>
          <w:lang w:val="pt-PT"/>
        </w:rPr>
        <w:t xml:space="preserve">as Formas de </w:t>
      </w:r>
      <w:r w:rsidR="0017447A" w:rsidRPr="00D8285F">
        <w:rPr>
          <w:rFonts w:ascii="Garamond" w:hAnsi="Garamond" w:cs="Arial"/>
          <w:iCs/>
          <w:sz w:val="24"/>
          <w:szCs w:val="24"/>
          <w:lang w:val="pt-PT"/>
        </w:rPr>
        <w:t>Discriminação</w:t>
      </w:r>
      <w:r w:rsidR="008E7A2A" w:rsidRPr="00D8285F">
        <w:rPr>
          <w:rFonts w:ascii="Garamond" w:hAnsi="Garamond" w:cs="Arial"/>
          <w:iCs/>
          <w:sz w:val="24"/>
          <w:szCs w:val="24"/>
          <w:lang w:val="pt-PT"/>
        </w:rPr>
        <w:t xml:space="preserve"> contra </w:t>
      </w:r>
      <w:r w:rsidR="004C140F" w:rsidRPr="00D8285F">
        <w:rPr>
          <w:rFonts w:ascii="Garamond" w:hAnsi="Garamond" w:cs="Arial"/>
          <w:iCs/>
          <w:sz w:val="24"/>
          <w:szCs w:val="24"/>
          <w:lang w:val="pt-PT"/>
        </w:rPr>
        <w:t xml:space="preserve">a </w:t>
      </w:r>
      <w:r w:rsidR="00AF192F" w:rsidRPr="00D8285F">
        <w:rPr>
          <w:rFonts w:ascii="Garamond" w:hAnsi="Garamond" w:cs="Arial"/>
          <w:iCs/>
          <w:sz w:val="24"/>
          <w:szCs w:val="24"/>
          <w:lang w:val="pt-PT"/>
        </w:rPr>
        <w:t>Mulher</w:t>
      </w:r>
      <w:r w:rsidR="004C140F" w:rsidRPr="00D8285F">
        <w:rPr>
          <w:rFonts w:ascii="Garamond" w:hAnsi="Garamond" w:cs="Arial"/>
          <w:iCs/>
          <w:sz w:val="24"/>
          <w:szCs w:val="24"/>
          <w:lang w:val="pt-PT"/>
        </w:rPr>
        <w:t xml:space="preserve"> CEDAW (</w:t>
      </w:r>
      <w:r w:rsidR="00C30647" w:rsidRPr="00D8285F">
        <w:rPr>
          <w:rFonts w:ascii="Garamond" w:hAnsi="Garamond" w:cs="Arial"/>
          <w:iCs/>
          <w:sz w:val="24"/>
          <w:szCs w:val="24"/>
          <w:lang w:val="pt-PT"/>
        </w:rPr>
        <w:t>Assembleia</w:t>
      </w:r>
      <w:r w:rsidR="004C140F" w:rsidRPr="00D8285F">
        <w:rPr>
          <w:rFonts w:ascii="Garamond" w:hAnsi="Garamond" w:cs="Arial"/>
          <w:iCs/>
          <w:sz w:val="24"/>
          <w:szCs w:val="24"/>
          <w:lang w:val="pt-PT"/>
        </w:rPr>
        <w:t xml:space="preserve"> </w:t>
      </w:r>
      <w:r w:rsidR="00077461" w:rsidRPr="00D8285F">
        <w:rPr>
          <w:rFonts w:ascii="Garamond" w:hAnsi="Garamond" w:cs="Arial"/>
          <w:iCs/>
          <w:sz w:val="24"/>
          <w:szCs w:val="24"/>
          <w:lang w:val="pt-PT"/>
        </w:rPr>
        <w:t>Geral</w:t>
      </w:r>
      <w:r w:rsidR="004C140F" w:rsidRPr="00D8285F">
        <w:rPr>
          <w:rFonts w:ascii="Garamond" w:hAnsi="Garamond" w:cs="Arial"/>
          <w:iCs/>
          <w:sz w:val="24"/>
          <w:szCs w:val="24"/>
          <w:lang w:val="pt-PT"/>
        </w:rPr>
        <w:t xml:space="preserve">, </w:t>
      </w:r>
      <w:r w:rsidR="003F012B" w:rsidRPr="00D8285F">
        <w:rPr>
          <w:rFonts w:ascii="Garamond" w:hAnsi="Garamond" w:cs="Arial"/>
          <w:iCs/>
          <w:sz w:val="24"/>
          <w:szCs w:val="24"/>
          <w:lang w:val="pt-PT"/>
        </w:rPr>
        <w:t>Resolução</w:t>
      </w:r>
      <w:r w:rsidR="004C140F" w:rsidRPr="00D8285F">
        <w:rPr>
          <w:rFonts w:ascii="Garamond" w:hAnsi="Garamond" w:cs="Arial"/>
          <w:iCs/>
          <w:sz w:val="24"/>
          <w:szCs w:val="24"/>
          <w:lang w:val="pt-PT"/>
        </w:rPr>
        <w:t xml:space="preserve"> 34/180, 18dic79</w:t>
      </w:r>
      <w:r w:rsidR="00313291">
        <w:rPr>
          <w:rFonts w:ascii="Garamond" w:hAnsi="Garamond" w:cs="Arial"/>
          <w:iCs/>
          <w:sz w:val="24"/>
          <w:szCs w:val="24"/>
          <w:lang w:val="pt-PT"/>
        </w:rPr>
        <w:t>.</w:t>
      </w:r>
    </w:p>
    <w:p w:rsidR="004C140F" w:rsidRPr="003A1174" w:rsidRDefault="00B14AA6"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Convenção</w:t>
      </w:r>
      <w:r w:rsidR="008E7A2A" w:rsidRPr="003A1174">
        <w:rPr>
          <w:rFonts w:ascii="Garamond" w:hAnsi="Garamond" w:cs="Arial"/>
          <w:sz w:val="24"/>
          <w:szCs w:val="24"/>
          <w:lang w:val="pt-PT"/>
        </w:rPr>
        <w:t xml:space="preserve"> Internacional sobre </w:t>
      </w:r>
      <w:r w:rsidR="004C140F" w:rsidRPr="003A1174">
        <w:rPr>
          <w:rFonts w:ascii="Garamond" w:hAnsi="Garamond" w:cs="Arial"/>
          <w:sz w:val="24"/>
          <w:szCs w:val="24"/>
          <w:lang w:val="pt-PT"/>
        </w:rPr>
        <w:t xml:space="preserve">a </w:t>
      </w:r>
      <w:r w:rsidR="00886D6A" w:rsidRPr="003A1174">
        <w:rPr>
          <w:rFonts w:ascii="Garamond" w:hAnsi="Garamond" w:cs="Arial"/>
          <w:sz w:val="24"/>
          <w:szCs w:val="24"/>
          <w:lang w:val="pt-PT"/>
        </w:rPr>
        <w:t>Proteção</w:t>
      </w:r>
      <w:r w:rsidR="008E7A2A" w:rsidRPr="003A1174">
        <w:rPr>
          <w:rFonts w:ascii="Garamond" w:hAnsi="Garamond" w:cs="Arial"/>
          <w:sz w:val="24"/>
          <w:szCs w:val="24"/>
          <w:lang w:val="pt-PT"/>
        </w:rPr>
        <w:t xml:space="preserve"> d</w:t>
      </w:r>
      <w:r w:rsidR="004C140F" w:rsidRPr="003A1174">
        <w:rPr>
          <w:rFonts w:ascii="Garamond" w:hAnsi="Garamond" w:cs="Arial"/>
          <w:sz w:val="24"/>
          <w:szCs w:val="24"/>
          <w:lang w:val="pt-PT"/>
        </w:rPr>
        <w:t xml:space="preserve">os </w:t>
      </w:r>
      <w:r w:rsidR="00886D6A" w:rsidRPr="003A1174">
        <w:rPr>
          <w:rFonts w:ascii="Garamond" w:hAnsi="Garamond" w:cs="Arial"/>
          <w:sz w:val="24"/>
          <w:szCs w:val="24"/>
          <w:lang w:val="pt-PT"/>
        </w:rPr>
        <w:t>Direito</w:t>
      </w:r>
      <w:r w:rsidR="008E7A2A" w:rsidRPr="003A1174">
        <w:rPr>
          <w:rFonts w:ascii="Garamond" w:hAnsi="Garamond" w:cs="Arial"/>
          <w:sz w:val="24"/>
          <w:szCs w:val="24"/>
          <w:lang w:val="pt-PT"/>
        </w:rPr>
        <w:t xml:space="preserve">s de Todos </w:t>
      </w:r>
      <w:r w:rsidR="004C140F" w:rsidRPr="003A1174">
        <w:rPr>
          <w:rFonts w:ascii="Garamond" w:hAnsi="Garamond" w:cs="Arial"/>
          <w:sz w:val="24"/>
          <w:szCs w:val="24"/>
          <w:lang w:val="pt-PT"/>
        </w:rPr>
        <w:t xml:space="preserve">os </w:t>
      </w:r>
      <w:r w:rsidR="008E7A2A" w:rsidRPr="003A1174">
        <w:rPr>
          <w:rFonts w:ascii="Garamond" w:hAnsi="Garamond" w:cs="Arial"/>
          <w:sz w:val="24"/>
          <w:szCs w:val="24"/>
          <w:lang w:val="pt-PT"/>
        </w:rPr>
        <w:t>Trabalhadores</w:t>
      </w:r>
      <w:r w:rsidR="004C140F" w:rsidRPr="003A1174">
        <w:rPr>
          <w:rFonts w:ascii="Garamond" w:hAnsi="Garamond" w:cs="Arial"/>
          <w:sz w:val="24"/>
          <w:szCs w:val="24"/>
          <w:lang w:val="pt-PT"/>
        </w:rPr>
        <w:t xml:space="preserve"> </w:t>
      </w:r>
      <w:r w:rsidR="008E7A2A" w:rsidRPr="003A1174">
        <w:rPr>
          <w:rFonts w:ascii="Garamond" w:hAnsi="Garamond" w:cs="Arial"/>
          <w:sz w:val="24"/>
          <w:szCs w:val="24"/>
          <w:lang w:val="pt-PT"/>
        </w:rPr>
        <w:t>Migratórios</w:t>
      </w:r>
      <w:r w:rsidR="004C140F" w:rsidRPr="003A1174">
        <w:rPr>
          <w:rFonts w:ascii="Garamond" w:hAnsi="Garamond" w:cs="Arial"/>
          <w:sz w:val="24"/>
          <w:szCs w:val="24"/>
          <w:lang w:val="pt-PT"/>
        </w:rPr>
        <w:t xml:space="preserve"> </w:t>
      </w:r>
      <w:r w:rsidR="008E7A2A" w:rsidRPr="003A1174">
        <w:rPr>
          <w:rFonts w:ascii="Garamond" w:hAnsi="Garamond" w:cs="Arial"/>
          <w:sz w:val="24"/>
          <w:szCs w:val="24"/>
          <w:lang w:val="pt-PT"/>
        </w:rPr>
        <w:t xml:space="preserve">e dos seus </w:t>
      </w:r>
      <w:r w:rsidR="004C140F" w:rsidRPr="003A1174">
        <w:rPr>
          <w:rFonts w:ascii="Garamond" w:hAnsi="Garamond" w:cs="Arial"/>
          <w:sz w:val="24"/>
          <w:szCs w:val="24"/>
          <w:lang w:val="pt-PT"/>
        </w:rPr>
        <w:t>Familiares (1990)</w:t>
      </w:r>
      <w:r w:rsidR="00313291">
        <w:rPr>
          <w:rFonts w:ascii="Garamond" w:hAnsi="Garamond" w:cs="Arial"/>
          <w:sz w:val="24"/>
          <w:szCs w:val="24"/>
          <w:lang w:val="pt-PT"/>
        </w:rPr>
        <w:t>.</w:t>
      </w:r>
    </w:p>
    <w:p w:rsidR="004C140F" w:rsidRPr="003A1174" w:rsidRDefault="004C140F" w:rsidP="008719D4">
      <w:pPr>
        <w:spacing w:after="0" w:line="240" w:lineRule="auto"/>
        <w:jc w:val="both"/>
        <w:rPr>
          <w:rFonts w:ascii="Garamond" w:hAnsi="Garamond" w:cs="Arial"/>
          <w:sz w:val="24"/>
          <w:szCs w:val="24"/>
        </w:rPr>
      </w:pPr>
    </w:p>
    <w:p w:rsidR="004C140F" w:rsidRPr="003A1174" w:rsidRDefault="00BC2C17" w:rsidP="008719D4">
      <w:pPr>
        <w:pStyle w:val="Prrafodelista"/>
        <w:numPr>
          <w:ilvl w:val="0"/>
          <w:numId w:val="17"/>
        </w:numPr>
        <w:spacing w:line="240" w:lineRule="auto"/>
        <w:jc w:val="both"/>
        <w:rPr>
          <w:rFonts w:ascii="Garamond" w:hAnsi="Garamond" w:cs="Arial"/>
          <w:sz w:val="24"/>
          <w:szCs w:val="24"/>
          <w:lang w:val="pt-PT"/>
        </w:rPr>
      </w:pPr>
      <w:hyperlink r:id="rId27" w:tgtFrame="top" w:history="1">
        <w:r w:rsidR="00C30647" w:rsidRPr="003A1174">
          <w:rPr>
            <w:rStyle w:val="Hipervnculo"/>
            <w:rFonts w:ascii="Garamond" w:hAnsi="Garamond" w:cs="Arial"/>
            <w:color w:val="auto"/>
            <w:sz w:val="24"/>
            <w:szCs w:val="24"/>
            <w:u w:val="none"/>
            <w:lang w:val="pt-PT"/>
          </w:rPr>
          <w:t>Declaração</w:t>
        </w:r>
        <w:r w:rsidR="00077461" w:rsidRPr="003A1174">
          <w:rPr>
            <w:rStyle w:val="Hipervnculo"/>
            <w:rFonts w:ascii="Garamond" w:hAnsi="Garamond" w:cs="Arial"/>
            <w:color w:val="auto"/>
            <w:sz w:val="24"/>
            <w:szCs w:val="24"/>
            <w:u w:val="none"/>
            <w:lang w:val="pt-PT"/>
          </w:rPr>
          <w:t xml:space="preserve"> sobre a </w:t>
        </w:r>
        <w:r w:rsidR="008E7A2A" w:rsidRPr="003A1174">
          <w:rPr>
            <w:rStyle w:val="Hipervnculo"/>
            <w:rFonts w:ascii="Garamond" w:hAnsi="Garamond" w:cs="Arial"/>
            <w:color w:val="auto"/>
            <w:sz w:val="24"/>
            <w:szCs w:val="24"/>
            <w:u w:val="none"/>
            <w:lang w:val="pt-PT"/>
          </w:rPr>
          <w:t>eliminação</w:t>
        </w:r>
        <w:r w:rsidR="00077461" w:rsidRPr="003A1174">
          <w:rPr>
            <w:rStyle w:val="Hipervnculo"/>
            <w:rFonts w:ascii="Garamond" w:hAnsi="Garamond" w:cs="Arial"/>
            <w:color w:val="auto"/>
            <w:sz w:val="24"/>
            <w:szCs w:val="24"/>
            <w:u w:val="none"/>
            <w:lang w:val="pt-PT"/>
          </w:rPr>
          <w:t xml:space="preserve"> d</w:t>
        </w:r>
        <w:r w:rsidR="004C140F" w:rsidRPr="003A1174">
          <w:rPr>
            <w:rStyle w:val="Hipervnculo"/>
            <w:rFonts w:ascii="Garamond" w:hAnsi="Garamond" w:cs="Arial"/>
            <w:color w:val="auto"/>
            <w:sz w:val="24"/>
            <w:szCs w:val="24"/>
            <w:u w:val="none"/>
            <w:lang w:val="pt-PT"/>
          </w:rPr>
          <w:t xml:space="preserve">a </w:t>
        </w:r>
        <w:r w:rsidR="000350B1" w:rsidRPr="003A1174">
          <w:rPr>
            <w:rStyle w:val="Hipervnculo"/>
            <w:rFonts w:ascii="Garamond" w:hAnsi="Garamond" w:cs="Arial"/>
            <w:color w:val="auto"/>
            <w:sz w:val="24"/>
            <w:szCs w:val="24"/>
            <w:u w:val="none"/>
            <w:lang w:val="pt-PT"/>
          </w:rPr>
          <w:t>violência</w:t>
        </w:r>
        <w:r w:rsidR="00077461" w:rsidRPr="003A1174">
          <w:rPr>
            <w:rStyle w:val="Hipervnculo"/>
            <w:rFonts w:ascii="Garamond" w:hAnsi="Garamond" w:cs="Arial"/>
            <w:color w:val="auto"/>
            <w:sz w:val="24"/>
            <w:szCs w:val="24"/>
            <w:u w:val="none"/>
            <w:lang w:val="pt-PT"/>
          </w:rPr>
          <w:t xml:space="preserve"> contra </w:t>
        </w:r>
        <w:r w:rsidR="004C140F" w:rsidRPr="003A1174">
          <w:rPr>
            <w:rStyle w:val="Hipervnculo"/>
            <w:rFonts w:ascii="Garamond" w:hAnsi="Garamond" w:cs="Arial"/>
            <w:color w:val="auto"/>
            <w:sz w:val="24"/>
            <w:szCs w:val="24"/>
            <w:u w:val="none"/>
            <w:lang w:val="pt-PT"/>
          </w:rPr>
          <w:t xml:space="preserve">a </w:t>
        </w:r>
        <w:r w:rsidR="00AF192F" w:rsidRPr="003A1174">
          <w:rPr>
            <w:rStyle w:val="Hipervnculo"/>
            <w:rFonts w:ascii="Garamond" w:hAnsi="Garamond" w:cs="Arial"/>
            <w:color w:val="auto"/>
            <w:sz w:val="24"/>
            <w:szCs w:val="24"/>
            <w:u w:val="none"/>
            <w:lang w:val="pt-PT"/>
          </w:rPr>
          <w:t>mulher</w:t>
        </w:r>
      </w:hyperlink>
      <w:r w:rsidR="004C140F" w:rsidRPr="003A1174">
        <w:rPr>
          <w:rFonts w:ascii="Garamond" w:hAnsi="Garamond" w:cs="Arial"/>
          <w:sz w:val="24"/>
          <w:szCs w:val="24"/>
          <w:lang w:val="pt-PT"/>
        </w:rPr>
        <w:t xml:space="preserve"> (</w:t>
      </w:r>
      <w:r w:rsidR="00C30647" w:rsidRPr="003A1174">
        <w:rPr>
          <w:rFonts w:ascii="Garamond" w:hAnsi="Garamond" w:cs="Arial"/>
          <w:sz w:val="24"/>
          <w:szCs w:val="24"/>
          <w:lang w:val="pt-PT"/>
        </w:rPr>
        <w:t>Assembleia</w:t>
      </w:r>
      <w:r w:rsidR="004C140F"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4C140F" w:rsidRPr="003A1174">
        <w:rPr>
          <w:rFonts w:ascii="Garamond" w:hAnsi="Garamond" w:cs="Arial"/>
          <w:sz w:val="24"/>
          <w:szCs w:val="24"/>
          <w:lang w:val="pt-PT"/>
        </w:rPr>
        <w:t xml:space="preserve">, </w:t>
      </w:r>
      <w:r w:rsidR="003F012B" w:rsidRPr="003A1174">
        <w:rPr>
          <w:rFonts w:ascii="Garamond" w:hAnsi="Garamond" w:cs="Arial"/>
          <w:sz w:val="24"/>
          <w:szCs w:val="24"/>
          <w:lang w:val="pt-PT"/>
        </w:rPr>
        <w:t>Resolução</w:t>
      </w:r>
      <w:r w:rsidR="004C140F" w:rsidRPr="003A1174">
        <w:rPr>
          <w:rFonts w:ascii="Garamond" w:hAnsi="Garamond" w:cs="Arial"/>
          <w:sz w:val="24"/>
          <w:szCs w:val="24"/>
          <w:lang w:val="pt-PT"/>
        </w:rPr>
        <w:t xml:space="preserve"> 48/104, 20dic93)</w:t>
      </w:r>
      <w:r w:rsidR="00313291">
        <w:rPr>
          <w:rFonts w:ascii="Garamond" w:hAnsi="Garamond" w:cs="Arial"/>
          <w:sz w:val="24"/>
          <w:szCs w:val="24"/>
          <w:lang w:val="pt-PT"/>
        </w:rPr>
        <w:t>.</w:t>
      </w:r>
    </w:p>
    <w:p w:rsidR="004C140F" w:rsidRPr="00D8285F" w:rsidRDefault="00B14AA6" w:rsidP="008719D4">
      <w:pPr>
        <w:pStyle w:val="Prrafodelista"/>
        <w:numPr>
          <w:ilvl w:val="0"/>
          <w:numId w:val="17"/>
        </w:numPr>
        <w:spacing w:line="240" w:lineRule="auto"/>
        <w:jc w:val="both"/>
        <w:rPr>
          <w:rFonts w:ascii="Garamond" w:hAnsi="Garamond" w:cs="Arial"/>
          <w:sz w:val="24"/>
          <w:szCs w:val="24"/>
          <w:lang w:val="pt-PT"/>
        </w:rPr>
      </w:pPr>
      <w:r w:rsidRPr="00D8285F">
        <w:rPr>
          <w:rFonts w:ascii="Garamond" w:hAnsi="Garamond" w:cs="Arial"/>
          <w:iCs/>
          <w:sz w:val="24"/>
          <w:szCs w:val="24"/>
          <w:lang w:val="pt-PT"/>
        </w:rPr>
        <w:t>Convenção</w:t>
      </w:r>
      <w:r w:rsidR="004C140F" w:rsidRPr="00D8285F">
        <w:rPr>
          <w:rFonts w:ascii="Garamond" w:hAnsi="Garamond" w:cs="Arial"/>
          <w:iCs/>
          <w:sz w:val="24"/>
          <w:szCs w:val="24"/>
          <w:lang w:val="pt-PT"/>
        </w:rPr>
        <w:t xml:space="preserve"> Interamer</w:t>
      </w:r>
      <w:r w:rsidR="00077461" w:rsidRPr="00D8285F">
        <w:rPr>
          <w:rFonts w:ascii="Garamond" w:hAnsi="Garamond" w:cs="Arial"/>
          <w:iCs/>
          <w:sz w:val="24"/>
          <w:szCs w:val="24"/>
          <w:lang w:val="pt-PT"/>
        </w:rPr>
        <w:t xml:space="preserve">icana para </w:t>
      </w:r>
      <w:r w:rsidR="003F493C" w:rsidRPr="00D8285F">
        <w:rPr>
          <w:rFonts w:ascii="Garamond" w:hAnsi="Garamond" w:cs="Arial"/>
          <w:iCs/>
          <w:sz w:val="24"/>
          <w:szCs w:val="24"/>
          <w:lang w:val="pt-PT"/>
        </w:rPr>
        <w:t>Prevenir, Punir e Erradicar</w:t>
      </w:r>
      <w:r w:rsidR="00077461" w:rsidRPr="00D8285F">
        <w:rPr>
          <w:rFonts w:ascii="Garamond" w:hAnsi="Garamond" w:cs="Arial"/>
          <w:iCs/>
          <w:sz w:val="24"/>
          <w:szCs w:val="24"/>
          <w:lang w:val="pt-PT"/>
        </w:rPr>
        <w:t xml:space="preserve"> </w:t>
      </w:r>
      <w:r w:rsidR="004C140F" w:rsidRPr="00D8285F">
        <w:rPr>
          <w:rFonts w:ascii="Garamond" w:hAnsi="Garamond" w:cs="Arial"/>
          <w:iCs/>
          <w:sz w:val="24"/>
          <w:szCs w:val="24"/>
          <w:lang w:val="pt-PT"/>
        </w:rPr>
        <w:t xml:space="preserve">a </w:t>
      </w:r>
      <w:r w:rsidR="000350B1" w:rsidRPr="00D8285F">
        <w:rPr>
          <w:rFonts w:ascii="Garamond" w:hAnsi="Garamond" w:cs="Arial"/>
          <w:iCs/>
          <w:sz w:val="24"/>
          <w:szCs w:val="24"/>
          <w:lang w:val="pt-PT"/>
        </w:rPr>
        <w:t>Violência</w:t>
      </w:r>
      <w:r w:rsidR="00077461" w:rsidRPr="00D8285F">
        <w:rPr>
          <w:rFonts w:ascii="Garamond" w:hAnsi="Garamond" w:cs="Arial"/>
          <w:iCs/>
          <w:sz w:val="24"/>
          <w:szCs w:val="24"/>
          <w:lang w:val="pt-PT"/>
        </w:rPr>
        <w:t xml:space="preserve"> contra </w:t>
      </w:r>
      <w:r w:rsidR="004C140F" w:rsidRPr="00D8285F">
        <w:rPr>
          <w:rFonts w:ascii="Garamond" w:hAnsi="Garamond" w:cs="Arial"/>
          <w:iCs/>
          <w:sz w:val="24"/>
          <w:szCs w:val="24"/>
          <w:lang w:val="pt-PT"/>
        </w:rPr>
        <w:t xml:space="preserve">a </w:t>
      </w:r>
      <w:r w:rsidR="00AF192F" w:rsidRPr="00D8285F">
        <w:rPr>
          <w:rFonts w:ascii="Garamond" w:hAnsi="Garamond" w:cs="Arial"/>
          <w:iCs/>
          <w:sz w:val="24"/>
          <w:szCs w:val="24"/>
          <w:lang w:val="pt-PT"/>
        </w:rPr>
        <w:t>Mulher</w:t>
      </w:r>
      <w:r w:rsidR="00D8285F">
        <w:rPr>
          <w:rFonts w:ascii="Garamond" w:hAnsi="Garamond" w:cs="Arial"/>
          <w:iCs/>
          <w:sz w:val="24"/>
          <w:szCs w:val="24"/>
          <w:lang w:val="pt-PT"/>
        </w:rPr>
        <w:t>,</w:t>
      </w:r>
      <w:r w:rsidR="004C140F" w:rsidRPr="00D8285F">
        <w:rPr>
          <w:rFonts w:ascii="Garamond" w:hAnsi="Garamond" w:cs="Arial"/>
          <w:iCs/>
          <w:sz w:val="24"/>
          <w:szCs w:val="24"/>
          <w:lang w:val="pt-PT"/>
        </w:rPr>
        <w:t xml:space="preserve"> </w:t>
      </w:r>
      <w:r w:rsidRPr="00D8285F">
        <w:rPr>
          <w:rFonts w:ascii="Garamond" w:hAnsi="Garamond" w:cs="Arial"/>
          <w:iCs/>
          <w:sz w:val="24"/>
          <w:szCs w:val="24"/>
          <w:lang w:val="pt-PT"/>
        </w:rPr>
        <w:t>Convenção</w:t>
      </w:r>
      <w:r w:rsidR="004C140F" w:rsidRPr="00D8285F">
        <w:rPr>
          <w:rFonts w:ascii="Garamond" w:hAnsi="Garamond" w:cs="Arial"/>
          <w:iCs/>
          <w:sz w:val="24"/>
          <w:szCs w:val="24"/>
          <w:lang w:val="pt-PT"/>
        </w:rPr>
        <w:t xml:space="preserve"> de Belém do Pará</w:t>
      </w:r>
      <w:r w:rsidR="003F493C" w:rsidRPr="00D8285F">
        <w:rPr>
          <w:rFonts w:ascii="Garamond" w:hAnsi="Garamond" w:cs="Arial"/>
          <w:iCs/>
          <w:sz w:val="24"/>
          <w:szCs w:val="24"/>
          <w:lang w:val="pt-PT"/>
        </w:rPr>
        <w:t>,</w:t>
      </w:r>
      <w:r w:rsidR="004C140F" w:rsidRPr="00D8285F">
        <w:rPr>
          <w:rFonts w:ascii="Garamond" w:hAnsi="Garamond" w:cs="Arial"/>
          <w:iCs/>
          <w:sz w:val="24"/>
          <w:szCs w:val="24"/>
          <w:lang w:val="pt-PT"/>
        </w:rPr>
        <w:t xml:space="preserve"> de 9 de </w:t>
      </w:r>
      <w:r w:rsidR="00077461" w:rsidRPr="00D8285F">
        <w:rPr>
          <w:rFonts w:ascii="Garamond" w:hAnsi="Garamond" w:cs="Arial"/>
          <w:iCs/>
          <w:sz w:val="24"/>
          <w:szCs w:val="24"/>
          <w:lang w:val="pt-PT"/>
        </w:rPr>
        <w:t>junho</w:t>
      </w:r>
      <w:r w:rsidR="004C140F" w:rsidRPr="00D8285F">
        <w:rPr>
          <w:rFonts w:ascii="Garamond" w:hAnsi="Garamond" w:cs="Arial"/>
          <w:iCs/>
          <w:sz w:val="24"/>
          <w:szCs w:val="24"/>
          <w:lang w:val="pt-PT"/>
        </w:rPr>
        <w:t xml:space="preserve"> de 1994. </w:t>
      </w:r>
    </w:p>
    <w:p w:rsidR="004C140F" w:rsidRPr="003A1174" w:rsidRDefault="00077461"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shd w:val="clear" w:color="auto" w:fill="FFFFFF"/>
          <w:lang w:val="pt-PT"/>
        </w:rPr>
        <w:t>Q</w:t>
      </w:r>
      <w:r w:rsidR="004C140F" w:rsidRPr="003A1174">
        <w:rPr>
          <w:rFonts w:ascii="Garamond" w:hAnsi="Garamond" w:cs="Arial"/>
          <w:sz w:val="24"/>
          <w:szCs w:val="24"/>
          <w:shd w:val="clear" w:color="auto" w:fill="FFFFFF"/>
          <w:lang w:val="pt-PT"/>
        </w:rPr>
        <w:t xml:space="preserve">uarta </w:t>
      </w:r>
      <w:r w:rsidRPr="003A1174">
        <w:rPr>
          <w:rFonts w:ascii="Garamond" w:hAnsi="Garamond" w:cs="Arial"/>
          <w:sz w:val="24"/>
          <w:szCs w:val="24"/>
          <w:shd w:val="clear" w:color="auto" w:fill="FFFFFF"/>
          <w:lang w:val="pt-PT"/>
        </w:rPr>
        <w:t>Conferência</w:t>
      </w:r>
      <w:r w:rsidR="004C140F" w:rsidRPr="003A1174">
        <w:rPr>
          <w:rFonts w:ascii="Garamond" w:hAnsi="Garamond" w:cs="Arial"/>
          <w:sz w:val="24"/>
          <w:szCs w:val="24"/>
          <w:shd w:val="clear" w:color="auto" w:fill="FFFFFF"/>
          <w:lang w:val="pt-PT"/>
        </w:rPr>
        <w:t xml:space="preserve"> Mundial sob</w:t>
      </w:r>
      <w:r w:rsidRPr="003A1174">
        <w:rPr>
          <w:rFonts w:ascii="Garamond" w:hAnsi="Garamond" w:cs="Arial"/>
          <w:sz w:val="24"/>
          <w:szCs w:val="24"/>
          <w:shd w:val="clear" w:color="auto" w:fill="FFFFFF"/>
          <w:lang w:val="pt-PT"/>
        </w:rPr>
        <w:t xml:space="preserve">re </w:t>
      </w:r>
      <w:r w:rsidR="004C140F" w:rsidRPr="003A1174">
        <w:rPr>
          <w:rFonts w:ascii="Garamond" w:hAnsi="Garamond" w:cs="Arial"/>
          <w:sz w:val="24"/>
          <w:szCs w:val="24"/>
          <w:shd w:val="clear" w:color="auto" w:fill="FFFFFF"/>
          <w:lang w:val="pt-PT"/>
        </w:rPr>
        <w:t xml:space="preserve">a </w:t>
      </w:r>
      <w:r w:rsidR="00AF192F" w:rsidRPr="003A1174">
        <w:rPr>
          <w:rFonts w:ascii="Garamond" w:hAnsi="Garamond" w:cs="Arial"/>
          <w:sz w:val="24"/>
          <w:szCs w:val="24"/>
          <w:shd w:val="clear" w:color="auto" w:fill="FFFFFF"/>
          <w:lang w:val="pt-PT"/>
        </w:rPr>
        <w:t>Mulher</w:t>
      </w:r>
      <w:r w:rsidR="004C140F" w:rsidRPr="003A1174">
        <w:rPr>
          <w:rFonts w:ascii="Garamond" w:hAnsi="Garamond" w:cs="Arial"/>
          <w:sz w:val="24"/>
          <w:szCs w:val="24"/>
          <w:shd w:val="clear" w:color="auto" w:fill="FFFFFF"/>
          <w:lang w:val="pt-PT"/>
        </w:rPr>
        <w:t>, celebrada e</w:t>
      </w:r>
      <w:r w:rsidRPr="003A1174">
        <w:rPr>
          <w:rFonts w:ascii="Garamond" w:hAnsi="Garamond" w:cs="Arial"/>
          <w:sz w:val="24"/>
          <w:szCs w:val="24"/>
          <w:shd w:val="clear" w:color="auto" w:fill="FFFFFF"/>
          <w:lang w:val="pt-PT"/>
        </w:rPr>
        <w:t>m</w:t>
      </w:r>
      <w:r w:rsidR="004C140F" w:rsidRPr="003A1174">
        <w:rPr>
          <w:rFonts w:ascii="Garamond" w:hAnsi="Garamond" w:cs="Arial"/>
          <w:sz w:val="24"/>
          <w:szCs w:val="24"/>
          <w:shd w:val="clear" w:color="auto" w:fill="FFFFFF"/>
          <w:lang w:val="pt-PT"/>
        </w:rPr>
        <w:t xml:space="preserve"> Beijing e</w:t>
      </w:r>
      <w:r w:rsidRPr="003A1174">
        <w:rPr>
          <w:rFonts w:ascii="Garamond" w:hAnsi="Garamond" w:cs="Arial"/>
          <w:sz w:val="24"/>
          <w:szCs w:val="24"/>
          <w:shd w:val="clear" w:color="auto" w:fill="FFFFFF"/>
          <w:lang w:val="pt-PT"/>
        </w:rPr>
        <w:t>m</w:t>
      </w:r>
      <w:r w:rsidR="004C140F" w:rsidRPr="003A1174">
        <w:rPr>
          <w:rFonts w:ascii="Garamond" w:hAnsi="Garamond" w:cs="Arial"/>
          <w:sz w:val="24"/>
          <w:szCs w:val="24"/>
          <w:shd w:val="clear" w:color="auto" w:fill="FFFFFF"/>
          <w:lang w:val="pt-PT"/>
        </w:rPr>
        <w:t xml:space="preserve"> 1995.</w:t>
      </w:r>
    </w:p>
    <w:p w:rsidR="004C140F" w:rsidRPr="003A1174" w:rsidRDefault="00C3064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Declaração</w:t>
      </w:r>
      <w:r w:rsidR="00077461" w:rsidRPr="003A1174">
        <w:rPr>
          <w:rFonts w:ascii="Garamond" w:hAnsi="Garamond" w:cs="Arial"/>
          <w:sz w:val="24"/>
          <w:szCs w:val="24"/>
          <w:lang w:val="pt-PT"/>
        </w:rPr>
        <w:t xml:space="preserve"> e</w:t>
      </w:r>
      <w:r w:rsidR="004C140F" w:rsidRPr="003A1174">
        <w:rPr>
          <w:rFonts w:ascii="Garamond" w:hAnsi="Garamond" w:cs="Arial"/>
          <w:sz w:val="24"/>
          <w:szCs w:val="24"/>
          <w:lang w:val="pt-PT"/>
        </w:rPr>
        <w:t xml:space="preserve"> Plataforma de </w:t>
      </w:r>
      <w:r w:rsidR="00077461" w:rsidRPr="003A1174">
        <w:rPr>
          <w:rFonts w:ascii="Garamond" w:hAnsi="Garamond" w:cs="Arial"/>
          <w:sz w:val="24"/>
          <w:szCs w:val="24"/>
          <w:lang w:val="pt-PT"/>
        </w:rPr>
        <w:t>Ação de Beijing d</w:t>
      </w:r>
      <w:r w:rsidR="004C140F" w:rsidRPr="003A1174">
        <w:rPr>
          <w:rFonts w:ascii="Garamond" w:hAnsi="Garamond" w:cs="Arial"/>
          <w:sz w:val="24"/>
          <w:szCs w:val="24"/>
          <w:lang w:val="pt-PT"/>
        </w:rPr>
        <w:t xml:space="preserve">a </w:t>
      </w:r>
      <w:r w:rsidR="00077461" w:rsidRPr="003A1174">
        <w:rPr>
          <w:rFonts w:ascii="Garamond" w:hAnsi="Garamond" w:cs="Arial"/>
          <w:sz w:val="24"/>
          <w:szCs w:val="24"/>
          <w:lang w:val="pt-PT"/>
        </w:rPr>
        <w:t>Quarta</w:t>
      </w:r>
      <w:r w:rsidR="004C140F" w:rsidRPr="003A1174">
        <w:rPr>
          <w:rFonts w:ascii="Garamond" w:hAnsi="Garamond" w:cs="Arial"/>
          <w:sz w:val="24"/>
          <w:szCs w:val="24"/>
          <w:lang w:val="pt-PT"/>
        </w:rPr>
        <w:t xml:space="preserve"> </w:t>
      </w:r>
      <w:r w:rsidR="00077461" w:rsidRPr="003A1174">
        <w:rPr>
          <w:rFonts w:ascii="Garamond" w:hAnsi="Garamond" w:cs="Arial"/>
          <w:sz w:val="24"/>
          <w:szCs w:val="24"/>
          <w:lang w:val="pt-PT"/>
        </w:rPr>
        <w:t xml:space="preserve">Conferência Mundial sobre </w:t>
      </w:r>
      <w:r w:rsidR="004C140F"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Reunida e</w:t>
      </w:r>
      <w:r w:rsidR="00077461" w:rsidRPr="003A1174">
        <w:rPr>
          <w:rFonts w:ascii="Garamond" w:hAnsi="Garamond" w:cs="Arial"/>
          <w:sz w:val="24"/>
          <w:szCs w:val="24"/>
          <w:lang w:val="pt-PT"/>
        </w:rPr>
        <w:t>m Beijing</w:t>
      </w:r>
      <w:r w:rsidR="00D8285F">
        <w:rPr>
          <w:rFonts w:ascii="Garamond" w:hAnsi="Garamond" w:cs="Arial"/>
          <w:sz w:val="24"/>
          <w:szCs w:val="24"/>
          <w:lang w:val="pt-PT"/>
        </w:rPr>
        <w:t>,</w:t>
      </w:r>
      <w:r w:rsidR="00077461" w:rsidRPr="003A1174">
        <w:rPr>
          <w:rFonts w:ascii="Garamond" w:hAnsi="Garamond" w:cs="Arial"/>
          <w:sz w:val="24"/>
          <w:szCs w:val="24"/>
          <w:lang w:val="pt-PT"/>
        </w:rPr>
        <w:t xml:space="preserve"> de 4 a</w:t>
      </w:r>
      <w:r w:rsidR="004C140F" w:rsidRPr="003A1174">
        <w:rPr>
          <w:rFonts w:ascii="Garamond" w:hAnsi="Garamond" w:cs="Arial"/>
          <w:sz w:val="24"/>
          <w:szCs w:val="24"/>
          <w:lang w:val="pt-PT"/>
        </w:rPr>
        <w:t xml:space="preserve"> 15 de </w:t>
      </w:r>
      <w:r w:rsidR="00077461" w:rsidRPr="003A1174">
        <w:rPr>
          <w:rFonts w:ascii="Garamond" w:hAnsi="Garamond" w:cs="Arial"/>
          <w:sz w:val="24"/>
          <w:szCs w:val="24"/>
          <w:lang w:val="pt-PT"/>
        </w:rPr>
        <w:t>setembro</w:t>
      </w:r>
      <w:r w:rsidR="004C140F" w:rsidRPr="003A1174">
        <w:rPr>
          <w:rFonts w:ascii="Garamond" w:hAnsi="Garamond" w:cs="Arial"/>
          <w:sz w:val="24"/>
          <w:szCs w:val="24"/>
          <w:lang w:val="pt-PT"/>
        </w:rPr>
        <w:t xml:space="preserve"> de 1995.</w:t>
      </w:r>
    </w:p>
    <w:p w:rsidR="004C140F" w:rsidRPr="003A1174" w:rsidRDefault="00C3064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Declaração</w:t>
      </w:r>
      <w:r w:rsidR="00077461" w:rsidRPr="003A1174">
        <w:rPr>
          <w:rFonts w:ascii="Garamond" w:hAnsi="Garamond" w:cs="Arial"/>
          <w:sz w:val="24"/>
          <w:szCs w:val="24"/>
          <w:lang w:val="pt-PT"/>
        </w:rPr>
        <w:t xml:space="preserve"> e</w:t>
      </w:r>
      <w:r w:rsidR="004C140F" w:rsidRPr="003A1174">
        <w:rPr>
          <w:rFonts w:ascii="Garamond" w:hAnsi="Garamond" w:cs="Arial"/>
          <w:sz w:val="24"/>
          <w:szCs w:val="24"/>
          <w:lang w:val="pt-PT"/>
        </w:rPr>
        <w:t xml:space="preserve"> Programa de </w:t>
      </w:r>
      <w:r w:rsidR="00077461" w:rsidRPr="003A1174">
        <w:rPr>
          <w:rFonts w:ascii="Garamond" w:hAnsi="Garamond" w:cs="Arial"/>
          <w:sz w:val="24"/>
          <w:szCs w:val="24"/>
          <w:lang w:val="pt-PT"/>
        </w:rPr>
        <w:t>Ação</w:t>
      </w:r>
      <w:r w:rsidR="004C140F" w:rsidRPr="003A1174">
        <w:rPr>
          <w:rFonts w:ascii="Garamond" w:hAnsi="Garamond" w:cs="Arial"/>
          <w:sz w:val="24"/>
          <w:szCs w:val="24"/>
          <w:lang w:val="pt-PT"/>
        </w:rPr>
        <w:t xml:space="preserve"> de Viena, </w:t>
      </w:r>
      <w:r w:rsidR="00EB2F44" w:rsidRPr="003A1174">
        <w:rPr>
          <w:rFonts w:ascii="Garamond" w:hAnsi="Garamond" w:cs="Arial"/>
          <w:sz w:val="24"/>
          <w:szCs w:val="24"/>
          <w:lang w:val="pt-PT"/>
        </w:rPr>
        <w:t>adoção</w:t>
      </w:r>
      <w:r w:rsidR="004C140F" w:rsidRPr="003A1174">
        <w:rPr>
          <w:rFonts w:ascii="Garamond" w:hAnsi="Garamond" w:cs="Arial"/>
          <w:sz w:val="24"/>
          <w:szCs w:val="24"/>
          <w:lang w:val="pt-PT"/>
        </w:rPr>
        <w:t xml:space="preserve"> </w:t>
      </w:r>
      <w:r w:rsidR="00D65CFD" w:rsidRPr="003A1174">
        <w:rPr>
          <w:rFonts w:ascii="Garamond" w:hAnsi="Garamond" w:cs="Arial"/>
          <w:sz w:val="24"/>
          <w:szCs w:val="24"/>
          <w:lang w:val="pt-PT"/>
        </w:rPr>
        <w:t>n</w:t>
      </w:r>
      <w:r w:rsidR="004C140F" w:rsidRPr="003A1174">
        <w:rPr>
          <w:rFonts w:ascii="Garamond" w:hAnsi="Garamond" w:cs="Arial"/>
          <w:sz w:val="24"/>
          <w:szCs w:val="24"/>
          <w:lang w:val="pt-PT"/>
        </w:rPr>
        <w:t xml:space="preserve">a </w:t>
      </w:r>
      <w:r w:rsidR="00077461" w:rsidRPr="003A1174">
        <w:rPr>
          <w:rFonts w:ascii="Garamond" w:hAnsi="Garamond" w:cs="Arial"/>
          <w:sz w:val="24"/>
          <w:szCs w:val="24"/>
          <w:lang w:val="pt-PT"/>
        </w:rPr>
        <w:t>Conferência</w:t>
      </w:r>
      <w:r w:rsidR="004C140F" w:rsidRPr="003A1174">
        <w:rPr>
          <w:rFonts w:ascii="Garamond" w:hAnsi="Garamond" w:cs="Arial"/>
          <w:sz w:val="24"/>
          <w:szCs w:val="24"/>
          <w:lang w:val="pt-PT"/>
        </w:rPr>
        <w:t xml:space="preserve"> Mundial de </w:t>
      </w:r>
      <w:r w:rsidR="00886D6A" w:rsidRPr="003A1174">
        <w:rPr>
          <w:rFonts w:ascii="Garamond" w:hAnsi="Garamond" w:cs="Arial"/>
          <w:sz w:val="24"/>
          <w:szCs w:val="24"/>
          <w:lang w:val="pt-PT"/>
        </w:rPr>
        <w:t>Direito</w:t>
      </w:r>
      <w:r w:rsidR="004C140F" w:rsidRPr="003A1174">
        <w:rPr>
          <w:rFonts w:ascii="Garamond" w:hAnsi="Garamond" w:cs="Arial"/>
          <w:sz w:val="24"/>
          <w:szCs w:val="24"/>
          <w:lang w:val="pt-PT"/>
        </w:rPr>
        <w:t xml:space="preserve">s Humanos. Viena, </w:t>
      </w:r>
      <w:r w:rsidR="00313291" w:rsidRPr="003A1174">
        <w:rPr>
          <w:rFonts w:ascii="Garamond" w:hAnsi="Garamond" w:cs="Arial"/>
          <w:sz w:val="24"/>
          <w:szCs w:val="24"/>
          <w:lang w:val="pt-PT"/>
        </w:rPr>
        <w:t>Áustria</w:t>
      </w:r>
      <w:r w:rsidR="004C140F" w:rsidRPr="003A1174">
        <w:rPr>
          <w:rFonts w:ascii="Garamond" w:hAnsi="Garamond" w:cs="Arial"/>
          <w:sz w:val="24"/>
          <w:szCs w:val="24"/>
          <w:lang w:val="pt-PT"/>
        </w:rPr>
        <w:t xml:space="preserve">, 25 de </w:t>
      </w:r>
      <w:r w:rsidR="00077461" w:rsidRPr="003A1174">
        <w:rPr>
          <w:rFonts w:ascii="Garamond" w:hAnsi="Garamond" w:cs="Arial"/>
          <w:sz w:val="24"/>
          <w:szCs w:val="24"/>
          <w:lang w:val="pt-PT"/>
        </w:rPr>
        <w:t>junho</w:t>
      </w:r>
      <w:r w:rsidR="004C140F" w:rsidRPr="003A1174">
        <w:rPr>
          <w:rFonts w:ascii="Garamond" w:hAnsi="Garamond" w:cs="Arial"/>
          <w:sz w:val="24"/>
          <w:szCs w:val="24"/>
          <w:lang w:val="pt-PT"/>
        </w:rPr>
        <w:t xml:space="preserve"> de 1993.</w:t>
      </w:r>
    </w:p>
    <w:p w:rsidR="004C140F" w:rsidRPr="003A1174" w:rsidRDefault="009E3E55" w:rsidP="003F493C">
      <w:pPr>
        <w:pStyle w:val="Prrafodelista"/>
        <w:numPr>
          <w:ilvl w:val="0"/>
          <w:numId w:val="17"/>
        </w:numPr>
        <w:spacing w:after="0" w:line="240" w:lineRule="auto"/>
        <w:jc w:val="both"/>
        <w:rPr>
          <w:rFonts w:ascii="Garamond" w:hAnsi="Garamond" w:cs="Arial"/>
          <w:color w:val="auto"/>
          <w:sz w:val="24"/>
          <w:szCs w:val="24"/>
          <w:lang w:val="pt-PT"/>
        </w:rPr>
      </w:pPr>
      <w:r w:rsidRPr="003A1174">
        <w:rPr>
          <w:rFonts w:ascii="Garamond" w:hAnsi="Garamond" w:cs="Arial"/>
          <w:sz w:val="24"/>
          <w:szCs w:val="24"/>
          <w:lang w:val="pt-PT"/>
        </w:rPr>
        <w:t>Relatório d</w:t>
      </w:r>
      <w:r w:rsidR="004C140F" w:rsidRPr="003A1174">
        <w:rPr>
          <w:rFonts w:ascii="Garamond" w:hAnsi="Garamond" w:cs="Arial"/>
          <w:sz w:val="24"/>
          <w:szCs w:val="24"/>
          <w:lang w:val="pt-PT"/>
        </w:rPr>
        <w:t xml:space="preserve">a </w:t>
      </w:r>
      <w:r w:rsidR="00077461" w:rsidRPr="003A1174">
        <w:rPr>
          <w:rFonts w:ascii="Garamond" w:hAnsi="Garamond" w:cs="Arial"/>
          <w:sz w:val="24"/>
          <w:szCs w:val="24"/>
          <w:lang w:val="pt-PT"/>
        </w:rPr>
        <w:t>Conferência</w:t>
      </w:r>
      <w:r w:rsidR="004C140F" w:rsidRPr="003A1174">
        <w:rPr>
          <w:rFonts w:ascii="Garamond" w:hAnsi="Garamond" w:cs="Arial"/>
          <w:sz w:val="24"/>
          <w:szCs w:val="24"/>
          <w:lang w:val="pt-PT"/>
        </w:rPr>
        <w:t xml:space="preserve"> Internacio</w:t>
      </w:r>
      <w:r w:rsidR="003F493C" w:rsidRPr="003A1174">
        <w:rPr>
          <w:rFonts w:ascii="Garamond" w:hAnsi="Garamond" w:cs="Arial"/>
          <w:sz w:val="24"/>
          <w:szCs w:val="24"/>
          <w:lang w:val="pt-PT"/>
        </w:rPr>
        <w:t xml:space="preserve">nal sobre </w:t>
      </w:r>
      <w:r w:rsidR="007A2492" w:rsidRPr="003A1174">
        <w:rPr>
          <w:rFonts w:ascii="Garamond" w:hAnsi="Garamond" w:cs="Arial"/>
          <w:sz w:val="24"/>
          <w:szCs w:val="24"/>
          <w:lang w:val="pt-PT"/>
        </w:rPr>
        <w:t>População</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w:t>
      </w:r>
      <w:r w:rsidR="009B133A" w:rsidRPr="003A1174">
        <w:rPr>
          <w:rFonts w:ascii="Garamond" w:hAnsi="Garamond" w:cs="Arial"/>
          <w:sz w:val="24"/>
          <w:szCs w:val="24"/>
          <w:lang w:val="pt-PT"/>
        </w:rPr>
        <w:t>Desenvolvimento</w:t>
      </w:r>
      <w:r w:rsidR="003F493C" w:rsidRPr="003A1174">
        <w:rPr>
          <w:rFonts w:ascii="Garamond" w:hAnsi="Garamond" w:cs="Arial"/>
          <w:sz w:val="24"/>
          <w:szCs w:val="24"/>
          <w:lang w:val="pt-PT"/>
        </w:rPr>
        <w:t xml:space="preserve">, </w:t>
      </w:r>
      <w:r w:rsidR="004C140F" w:rsidRPr="003A1174">
        <w:rPr>
          <w:rFonts w:ascii="Garamond" w:hAnsi="Garamond" w:cs="Arial"/>
          <w:sz w:val="24"/>
          <w:szCs w:val="24"/>
          <w:lang w:val="pt-PT"/>
        </w:rPr>
        <w:t xml:space="preserve">Cairo, 5 a 13 de </w:t>
      </w:r>
      <w:r w:rsidR="00077461" w:rsidRPr="003A1174">
        <w:rPr>
          <w:rFonts w:ascii="Garamond" w:hAnsi="Garamond" w:cs="Arial"/>
          <w:sz w:val="24"/>
          <w:szCs w:val="24"/>
          <w:lang w:val="pt-PT"/>
        </w:rPr>
        <w:t>setembro</w:t>
      </w:r>
      <w:r w:rsidR="004C140F" w:rsidRPr="003A1174">
        <w:rPr>
          <w:rFonts w:ascii="Garamond" w:hAnsi="Garamond" w:cs="Arial"/>
          <w:sz w:val="24"/>
          <w:szCs w:val="24"/>
          <w:lang w:val="pt-PT"/>
        </w:rPr>
        <w:t xml:space="preserve"> de 1994</w:t>
      </w:r>
      <w:r w:rsidR="004C140F" w:rsidRPr="003A1174">
        <w:rPr>
          <w:rStyle w:val="apple-converted-space"/>
          <w:rFonts w:ascii="Garamond" w:hAnsi="Garamond" w:cs="Arial"/>
          <w:color w:val="auto"/>
          <w:sz w:val="24"/>
          <w:szCs w:val="24"/>
          <w:lang w:val="pt-PT"/>
        </w:rPr>
        <w:t>.</w:t>
      </w:r>
    </w:p>
    <w:p w:rsidR="004C140F" w:rsidRPr="003A1174" w:rsidRDefault="004C140F" w:rsidP="008719D4">
      <w:pPr>
        <w:pStyle w:val="Prrafodelista"/>
        <w:spacing w:after="0" w:line="240" w:lineRule="auto"/>
        <w:rPr>
          <w:rFonts w:ascii="Garamond" w:hAnsi="Garamond" w:cs="Arial"/>
          <w:sz w:val="24"/>
          <w:szCs w:val="24"/>
          <w:lang w:val="pt-PT"/>
        </w:rPr>
      </w:pPr>
    </w:p>
    <w:p w:rsidR="004C140F" w:rsidRPr="003A1174" w:rsidRDefault="004C140F" w:rsidP="003F493C">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lastRenderedPageBreak/>
        <w:t xml:space="preserve">Programa de </w:t>
      </w:r>
      <w:r w:rsidR="00077461" w:rsidRPr="003A1174">
        <w:rPr>
          <w:rFonts w:ascii="Garamond" w:hAnsi="Garamond" w:cs="Arial"/>
          <w:sz w:val="24"/>
          <w:szCs w:val="24"/>
          <w:lang w:val="pt-PT"/>
        </w:rPr>
        <w:t>Ação</w:t>
      </w:r>
      <w:r w:rsidR="009E3E55" w:rsidRPr="003A1174">
        <w:rPr>
          <w:rFonts w:ascii="Garamond" w:hAnsi="Garamond" w:cs="Arial"/>
          <w:sz w:val="24"/>
          <w:szCs w:val="24"/>
          <w:lang w:val="pt-PT"/>
        </w:rPr>
        <w:t xml:space="preserve"> Regional para </w:t>
      </w:r>
      <w:r w:rsidRPr="003A1174">
        <w:rPr>
          <w:rFonts w:ascii="Garamond" w:hAnsi="Garamond" w:cs="Arial"/>
          <w:sz w:val="24"/>
          <w:szCs w:val="24"/>
          <w:lang w:val="pt-PT"/>
        </w:rPr>
        <w:t xml:space="preserve">as </w:t>
      </w:r>
      <w:r w:rsidR="00054EE0" w:rsidRPr="003A1174">
        <w:rPr>
          <w:rFonts w:ascii="Garamond" w:hAnsi="Garamond" w:cs="Arial"/>
          <w:sz w:val="24"/>
          <w:szCs w:val="24"/>
          <w:lang w:val="pt-PT"/>
        </w:rPr>
        <w:t>Mulheres</w:t>
      </w:r>
      <w:r w:rsidR="009E3E55" w:rsidRPr="003A1174">
        <w:rPr>
          <w:rFonts w:ascii="Garamond" w:hAnsi="Garamond" w:cs="Arial"/>
          <w:sz w:val="24"/>
          <w:szCs w:val="24"/>
          <w:lang w:val="pt-PT"/>
        </w:rPr>
        <w:t xml:space="preserve"> da</w:t>
      </w:r>
      <w:r w:rsidRPr="003A1174">
        <w:rPr>
          <w:rFonts w:ascii="Garamond" w:hAnsi="Garamond" w:cs="Arial"/>
          <w:sz w:val="24"/>
          <w:szCs w:val="24"/>
          <w:lang w:val="pt-PT"/>
        </w:rPr>
        <w:t xml:space="preserve"> América Latina </w:t>
      </w:r>
      <w:r w:rsidR="009E3E55" w:rsidRPr="003A1174">
        <w:rPr>
          <w:rFonts w:ascii="Garamond" w:hAnsi="Garamond" w:cs="Arial"/>
          <w:sz w:val="24"/>
          <w:szCs w:val="24"/>
          <w:lang w:val="pt-PT"/>
        </w:rPr>
        <w:t xml:space="preserve">e do </w:t>
      </w:r>
      <w:r w:rsidRPr="003A1174">
        <w:rPr>
          <w:rFonts w:ascii="Garamond" w:hAnsi="Garamond" w:cs="Arial"/>
          <w:sz w:val="24"/>
          <w:szCs w:val="24"/>
          <w:lang w:val="pt-PT"/>
        </w:rPr>
        <w:t xml:space="preserve">Caribe, 1995-2001. CEPAL. </w:t>
      </w:r>
    </w:p>
    <w:p w:rsidR="004C140F" w:rsidRPr="003A1174" w:rsidRDefault="009E3E55" w:rsidP="008719D4">
      <w:pPr>
        <w:pStyle w:val="Prrafodelista"/>
        <w:numPr>
          <w:ilvl w:val="0"/>
          <w:numId w:val="17"/>
        </w:numPr>
        <w:spacing w:line="240" w:lineRule="auto"/>
        <w:rPr>
          <w:rFonts w:ascii="Garamond" w:hAnsi="Garamond" w:cs="Arial"/>
          <w:sz w:val="24"/>
          <w:szCs w:val="24"/>
          <w:lang w:val="pt-PT"/>
        </w:rPr>
      </w:pPr>
      <w:r w:rsidRPr="003A1174">
        <w:rPr>
          <w:rFonts w:ascii="Garamond" w:hAnsi="Garamond" w:cs="Arial"/>
          <w:sz w:val="24"/>
          <w:szCs w:val="24"/>
          <w:lang w:val="pt-PT"/>
        </w:rPr>
        <w:t>Estatuto de Roma, ado</w:t>
      </w:r>
      <w:r w:rsidR="004C140F" w:rsidRPr="003A1174">
        <w:rPr>
          <w:rFonts w:ascii="Garamond" w:hAnsi="Garamond" w:cs="Arial"/>
          <w:sz w:val="24"/>
          <w:szCs w:val="24"/>
          <w:lang w:val="pt-PT"/>
        </w:rPr>
        <w:t xml:space="preserve">tado </w:t>
      </w:r>
      <w:r w:rsidRPr="003A1174">
        <w:rPr>
          <w:rFonts w:ascii="Garamond" w:hAnsi="Garamond" w:cs="Arial"/>
          <w:sz w:val="24"/>
          <w:szCs w:val="24"/>
          <w:lang w:val="pt-PT"/>
        </w:rPr>
        <w:t xml:space="preserve">a </w:t>
      </w:r>
      <w:r w:rsidR="004C140F" w:rsidRPr="003A1174">
        <w:rPr>
          <w:rFonts w:ascii="Garamond" w:hAnsi="Garamond" w:cs="Arial"/>
          <w:sz w:val="24"/>
          <w:szCs w:val="24"/>
          <w:lang w:val="pt-PT"/>
        </w:rPr>
        <w:t xml:space="preserve">7 de </w:t>
      </w:r>
      <w:r w:rsidRPr="003A1174">
        <w:rPr>
          <w:rFonts w:ascii="Garamond" w:hAnsi="Garamond" w:cs="Arial"/>
          <w:sz w:val="24"/>
          <w:szCs w:val="24"/>
          <w:lang w:val="pt-PT"/>
        </w:rPr>
        <w:t>julho</w:t>
      </w:r>
      <w:r w:rsidR="004C140F" w:rsidRPr="003A1174">
        <w:rPr>
          <w:rFonts w:ascii="Garamond" w:hAnsi="Garamond" w:cs="Arial"/>
          <w:sz w:val="24"/>
          <w:szCs w:val="24"/>
          <w:lang w:val="pt-PT"/>
        </w:rPr>
        <w:t xml:space="preserve"> de 1998.</w:t>
      </w:r>
    </w:p>
    <w:p w:rsidR="004C140F" w:rsidRPr="00D8285F" w:rsidRDefault="009E3E55" w:rsidP="008719D4">
      <w:pPr>
        <w:pStyle w:val="Prrafodelista"/>
        <w:numPr>
          <w:ilvl w:val="0"/>
          <w:numId w:val="17"/>
        </w:numPr>
        <w:shd w:val="clear" w:color="auto" w:fill="FFFFFF"/>
        <w:tabs>
          <w:tab w:val="left" w:pos="4678"/>
          <w:tab w:val="left" w:pos="5103"/>
        </w:tabs>
        <w:spacing w:line="240" w:lineRule="auto"/>
        <w:jc w:val="both"/>
        <w:rPr>
          <w:rFonts w:ascii="Garamond" w:hAnsi="Garamond" w:cs="Arial"/>
          <w:color w:val="303030"/>
          <w:sz w:val="24"/>
          <w:szCs w:val="24"/>
          <w:lang w:val="pt-PT"/>
        </w:rPr>
      </w:pPr>
      <w:r w:rsidRPr="00D8285F">
        <w:rPr>
          <w:rFonts w:ascii="Garamond" w:hAnsi="Garamond" w:cs="Arial"/>
          <w:iCs/>
          <w:sz w:val="24"/>
          <w:szCs w:val="24"/>
          <w:shd w:val="clear" w:color="auto" w:fill="FFFFFF"/>
          <w:lang w:val="pt-PT"/>
        </w:rPr>
        <w:t xml:space="preserve">Protocolo </w:t>
      </w:r>
      <w:r w:rsidR="000456B2" w:rsidRPr="00D8285F">
        <w:rPr>
          <w:rFonts w:ascii="Garamond" w:hAnsi="Garamond" w:cs="Arial"/>
          <w:iCs/>
          <w:sz w:val="24"/>
          <w:szCs w:val="24"/>
          <w:shd w:val="clear" w:color="auto" w:fill="FFFFFF"/>
          <w:lang w:val="pt-PT"/>
        </w:rPr>
        <w:t>Opcional</w:t>
      </w:r>
      <w:r w:rsidRPr="00D8285F">
        <w:rPr>
          <w:rFonts w:ascii="Garamond" w:hAnsi="Garamond" w:cs="Arial"/>
          <w:iCs/>
          <w:sz w:val="24"/>
          <w:szCs w:val="24"/>
          <w:shd w:val="clear" w:color="auto" w:fill="FFFFFF"/>
          <w:lang w:val="pt-PT"/>
        </w:rPr>
        <w:t xml:space="preserve"> d</w:t>
      </w:r>
      <w:r w:rsidR="004C140F" w:rsidRPr="00D8285F">
        <w:rPr>
          <w:rFonts w:ascii="Garamond" w:hAnsi="Garamond" w:cs="Arial"/>
          <w:iCs/>
          <w:sz w:val="24"/>
          <w:szCs w:val="24"/>
          <w:shd w:val="clear" w:color="auto" w:fill="FFFFFF"/>
          <w:lang w:val="pt-PT"/>
        </w:rPr>
        <w:t xml:space="preserve">a </w:t>
      </w:r>
      <w:r w:rsidR="00B14AA6" w:rsidRPr="00D8285F">
        <w:rPr>
          <w:rFonts w:ascii="Garamond" w:hAnsi="Garamond" w:cs="Arial"/>
          <w:iCs/>
          <w:sz w:val="24"/>
          <w:szCs w:val="24"/>
          <w:shd w:val="clear" w:color="auto" w:fill="FFFFFF"/>
          <w:lang w:val="pt-PT"/>
        </w:rPr>
        <w:t>Convenção</w:t>
      </w:r>
      <w:r w:rsidR="003F493C" w:rsidRPr="00D8285F">
        <w:rPr>
          <w:rFonts w:ascii="Garamond" w:hAnsi="Garamond" w:cs="Arial"/>
          <w:iCs/>
          <w:sz w:val="24"/>
          <w:szCs w:val="24"/>
          <w:shd w:val="clear" w:color="auto" w:fill="FFFFFF"/>
          <w:lang w:val="pt-PT"/>
        </w:rPr>
        <w:t xml:space="preserve"> sobre </w:t>
      </w:r>
      <w:r w:rsidR="004C140F" w:rsidRPr="00D8285F">
        <w:rPr>
          <w:rFonts w:ascii="Garamond" w:hAnsi="Garamond" w:cs="Arial"/>
          <w:iCs/>
          <w:sz w:val="24"/>
          <w:szCs w:val="24"/>
          <w:shd w:val="clear" w:color="auto" w:fill="FFFFFF"/>
          <w:lang w:val="pt-PT"/>
        </w:rPr>
        <w:t xml:space="preserve">a </w:t>
      </w:r>
      <w:r w:rsidR="008E7A2A" w:rsidRPr="00D8285F">
        <w:rPr>
          <w:rFonts w:ascii="Garamond" w:hAnsi="Garamond" w:cs="Arial"/>
          <w:iCs/>
          <w:sz w:val="24"/>
          <w:szCs w:val="24"/>
          <w:shd w:val="clear" w:color="auto" w:fill="FFFFFF"/>
          <w:lang w:val="pt-PT"/>
        </w:rPr>
        <w:t>eliminação</w:t>
      </w:r>
      <w:r w:rsidR="003F493C" w:rsidRPr="00D8285F">
        <w:rPr>
          <w:rFonts w:ascii="Garamond" w:hAnsi="Garamond" w:cs="Arial"/>
          <w:iCs/>
          <w:sz w:val="24"/>
          <w:szCs w:val="24"/>
          <w:shd w:val="clear" w:color="auto" w:fill="FFFFFF"/>
          <w:lang w:val="pt-PT"/>
        </w:rPr>
        <w:t xml:space="preserve"> de todas </w:t>
      </w:r>
      <w:r w:rsidR="004C140F" w:rsidRPr="00D8285F">
        <w:rPr>
          <w:rFonts w:ascii="Garamond" w:hAnsi="Garamond" w:cs="Arial"/>
          <w:iCs/>
          <w:sz w:val="24"/>
          <w:szCs w:val="24"/>
          <w:shd w:val="clear" w:color="auto" w:fill="FFFFFF"/>
          <w:lang w:val="pt-PT"/>
        </w:rPr>
        <w:t xml:space="preserve">as formas de </w:t>
      </w:r>
      <w:r w:rsidR="0017447A" w:rsidRPr="00D8285F">
        <w:rPr>
          <w:rFonts w:ascii="Garamond" w:hAnsi="Garamond" w:cs="Arial"/>
          <w:iCs/>
          <w:sz w:val="24"/>
          <w:szCs w:val="24"/>
          <w:shd w:val="clear" w:color="auto" w:fill="FFFFFF"/>
          <w:lang w:val="pt-PT"/>
        </w:rPr>
        <w:t>discriminação</w:t>
      </w:r>
      <w:r w:rsidR="004C140F" w:rsidRPr="00D8285F">
        <w:rPr>
          <w:rFonts w:ascii="Garamond" w:hAnsi="Garamond" w:cs="Arial"/>
          <w:iCs/>
          <w:sz w:val="24"/>
          <w:szCs w:val="24"/>
          <w:shd w:val="clear" w:color="auto" w:fill="FFFFFF"/>
          <w:lang w:val="pt-PT"/>
        </w:rPr>
        <w:t xml:space="preserve"> </w:t>
      </w:r>
      <w:r w:rsidR="00BB2B00" w:rsidRPr="00D8285F">
        <w:rPr>
          <w:rFonts w:ascii="Garamond" w:hAnsi="Garamond" w:cs="Arial"/>
          <w:iCs/>
          <w:sz w:val="24"/>
          <w:szCs w:val="24"/>
          <w:shd w:val="clear" w:color="auto" w:fill="FFFFFF"/>
          <w:lang w:val="pt-PT"/>
        </w:rPr>
        <w:t>contra a</w:t>
      </w:r>
      <w:r w:rsidR="004C140F" w:rsidRPr="00D8285F">
        <w:rPr>
          <w:rFonts w:ascii="Garamond" w:hAnsi="Garamond" w:cs="Arial"/>
          <w:iCs/>
          <w:sz w:val="24"/>
          <w:szCs w:val="24"/>
          <w:shd w:val="clear" w:color="auto" w:fill="FFFFFF"/>
          <w:lang w:val="pt-PT"/>
        </w:rPr>
        <w:t xml:space="preserve"> </w:t>
      </w:r>
      <w:r w:rsidR="00AF192F" w:rsidRPr="00D8285F">
        <w:rPr>
          <w:rFonts w:ascii="Garamond" w:hAnsi="Garamond" w:cs="Arial"/>
          <w:iCs/>
          <w:sz w:val="24"/>
          <w:szCs w:val="24"/>
          <w:shd w:val="clear" w:color="auto" w:fill="FFFFFF"/>
          <w:lang w:val="pt-PT"/>
        </w:rPr>
        <w:t>mulher</w:t>
      </w:r>
      <w:r w:rsidR="004C140F" w:rsidRPr="00D8285F">
        <w:rPr>
          <w:rFonts w:ascii="Garamond" w:hAnsi="Garamond" w:cs="Arial"/>
          <w:iCs/>
          <w:sz w:val="24"/>
          <w:szCs w:val="24"/>
          <w:shd w:val="clear" w:color="auto" w:fill="FFFFFF"/>
          <w:lang w:val="pt-PT"/>
        </w:rPr>
        <w:t xml:space="preserve">  (</w:t>
      </w:r>
      <w:r w:rsidR="00C30647" w:rsidRPr="00D8285F">
        <w:rPr>
          <w:rFonts w:ascii="Garamond" w:hAnsi="Garamond" w:cs="Arial"/>
          <w:iCs/>
          <w:sz w:val="24"/>
          <w:szCs w:val="24"/>
          <w:shd w:val="clear" w:color="auto" w:fill="FFFFFF"/>
          <w:lang w:val="pt-PT"/>
        </w:rPr>
        <w:t>Assembleia</w:t>
      </w:r>
      <w:r w:rsidR="004C140F" w:rsidRPr="00D8285F">
        <w:rPr>
          <w:rFonts w:ascii="Garamond" w:hAnsi="Garamond" w:cs="Arial"/>
          <w:iCs/>
          <w:sz w:val="24"/>
          <w:szCs w:val="24"/>
          <w:shd w:val="clear" w:color="auto" w:fill="FFFFFF"/>
          <w:lang w:val="pt-PT"/>
        </w:rPr>
        <w:t xml:space="preserve"> </w:t>
      </w:r>
      <w:r w:rsidR="00077461" w:rsidRPr="00D8285F">
        <w:rPr>
          <w:rFonts w:ascii="Garamond" w:hAnsi="Garamond" w:cs="Arial"/>
          <w:iCs/>
          <w:sz w:val="24"/>
          <w:szCs w:val="24"/>
          <w:shd w:val="clear" w:color="auto" w:fill="FFFFFF"/>
          <w:lang w:val="pt-PT"/>
        </w:rPr>
        <w:t>Geral</w:t>
      </w:r>
      <w:r w:rsidR="004C140F" w:rsidRPr="00D8285F">
        <w:rPr>
          <w:rFonts w:ascii="Garamond" w:hAnsi="Garamond" w:cs="Arial"/>
          <w:iCs/>
          <w:sz w:val="24"/>
          <w:szCs w:val="24"/>
          <w:shd w:val="clear" w:color="auto" w:fill="FFFFFF"/>
          <w:lang w:val="pt-PT"/>
        </w:rPr>
        <w:t xml:space="preserve">, </w:t>
      </w:r>
      <w:r w:rsidR="003F493C" w:rsidRPr="00D8285F">
        <w:rPr>
          <w:rFonts w:ascii="Garamond" w:hAnsi="Garamond" w:cs="Arial"/>
          <w:iCs/>
          <w:sz w:val="24"/>
          <w:szCs w:val="24"/>
          <w:shd w:val="clear" w:color="auto" w:fill="FFFFFF"/>
          <w:lang w:val="pt-PT"/>
        </w:rPr>
        <w:t xml:space="preserve">Resolução </w:t>
      </w:r>
      <w:r w:rsidR="003F493C" w:rsidRPr="00D8285F">
        <w:rPr>
          <w:rFonts w:ascii="Garamond" w:hAnsi="Garamond" w:cs="Arial"/>
          <w:color w:val="303030"/>
          <w:sz w:val="24"/>
          <w:szCs w:val="24"/>
          <w:lang w:val="pt-PT"/>
        </w:rPr>
        <w:t>A</w:t>
      </w:r>
      <w:r w:rsidR="004C140F" w:rsidRPr="00D8285F">
        <w:rPr>
          <w:rFonts w:ascii="Garamond" w:hAnsi="Garamond" w:cs="Arial"/>
          <w:color w:val="303030"/>
          <w:sz w:val="24"/>
          <w:szCs w:val="24"/>
          <w:lang w:val="pt-PT"/>
        </w:rPr>
        <w:t>/54/4</w:t>
      </w:r>
      <w:r w:rsidR="00D8285F">
        <w:rPr>
          <w:rFonts w:ascii="Garamond" w:hAnsi="Garamond" w:cs="Arial"/>
          <w:color w:val="303030"/>
          <w:sz w:val="24"/>
          <w:szCs w:val="24"/>
          <w:lang w:val="pt-PT"/>
        </w:rPr>
        <w:t>,</w:t>
      </w:r>
      <w:r w:rsidR="004C140F" w:rsidRPr="00D8285F">
        <w:rPr>
          <w:rFonts w:ascii="Garamond" w:hAnsi="Garamond" w:cs="Arial"/>
          <w:color w:val="303030"/>
          <w:sz w:val="24"/>
          <w:szCs w:val="24"/>
          <w:lang w:val="pt-PT"/>
        </w:rPr>
        <w:t xml:space="preserve"> de 6 de </w:t>
      </w:r>
      <w:r w:rsidR="00374785" w:rsidRPr="00D8285F">
        <w:rPr>
          <w:rFonts w:ascii="Garamond" w:hAnsi="Garamond" w:cs="Arial"/>
          <w:color w:val="303030"/>
          <w:sz w:val="24"/>
          <w:szCs w:val="24"/>
          <w:lang w:val="pt-PT"/>
        </w:rPr>
        <w:t>outubro</w:t>
      </w:r>
      <w:r w:rsidR="004C140F" w:rsidRPr="00D8285F">
        <w:rPr>
          <w:rFonts w:ascii="Garamond" w:hAnsi="Garamond" w:cs="Arial"/>
          <w:color w:val="303030"/>
          <w:sz w:val="24"/>
          <w:szCs w:val="24"/>
          <w:lang w:val="pt-PT"/>
        </w:rPr>
        <w:t xml:space="preserve"> de 1999.</w:t>
      </w:r>
    </w:p>
    <w:p w:rsidR="004C140F" w:rsidRPr="003A1174" w:rsidRDefault="00144B9F" w:rsidP="00313291">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Programa Interamericano sobre </w:t>
      </w:r>
      <w:r w:rsidR="004C140F" w:rsidRPr="003A1174">
        <w:rPr>
          <w:rFonts w:ascii="Garamond" w:hAnsi="Garamond" w:cs="Arial"/>
          <w:sz w:val="24"/>
          <w:szCs w:val="24"/>
          <w:lang w:val="pt-PT"/>
        </w:rPr>
        <w:t xml:space="preserve">a </w:t>
      </w:r>
      <w:r w:rsidR="002F5CD1" w:rsidRPr="003A1174">
        <w:rPr>
          <w:rFonts w:ascii="Garamond" w:hAnsi="Garamond" w:cs="Arial"/>
          <w:sz w:val="24"/>
          <w:szCs w:val="24"/>
          <w:lang w:val="pt-PT"/>
        </w:rPr>
        <w:t>Promoção</w:t>
      </w:r>
      <w:r w:rsidR="004C140F" w:rsidRPr="003A1174">
        <w:rPr>
          <w:rFonts w:ascii="Garamond" w:hAnsi="Garamond" w:cs="Arial"/>
          <w:sz w:val="24"/>
          <w:szCs w:val="24"/>
          <w:lang w:val="pt-PT"/>
        </w:rPr>
        <w:t xml:space="preserve"> </w:t>
      </w:r>
      <w:r w:rsidR="00497503" w:rsidRPr="003A1174">
        <w:rPr>
          <w:rFonts w:ascii="Garamond" w:hAnsi="Garamond" w:cs="Arial"/>
          <w:sz w:val="24"/>
          <w:szCs w:val="24"/>
          <w:lang w:val="pt-PT"/>
        </w:rPr>
        <w:t>dos</w:t>
      </w:r>
      <w:r w:rsidR="004C140F" w:rsidRPr="003A1174">
        <w:rPr>
          <w:rFonts w:ascii="Garamond" w:hAnsi="Garamond" w:cs="Arial"/>
          <w:sz w:val="24"/>
          <w:szCs w:val="24"/>
          <w:lang w:val="pt-PT"/>
        </w:rPr>
        <w:t xml:space="preserve"> </w:t>
      </w:r>
      <w:r w:rsidR="00886D6A" w:rsidRPr="003A1174">
        <w:rPr>
          <w:rFonts w:ascii="Garamond" w:hAnsi="Garamond" w:cs="Arial"/>
          <w:sz w:val="24"/>
          <w:szCs w:val="24"/>
          <w:lang w:val="pt-PT"/>
        </w:rPr>
        <w:t>Direito</w:t>
      </w:r>
      <w:r w:rsidRPr="003A1174">
        <w:rPr>
          <w:rFonts w:ascii="Garamond" w:hAnsi="Garamond" w:cs="Arial"/>
          <w:sz w:val="24"/>
          <w:szCs w:val="24"/>
          <w:lang w:val="pt-PT"/>
        </w:rPr>
        <w:t>s Humanos d</w:t>
      </w:r>
      <w:r w:rsidR="004C140F"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4C140F" w:rsidRPr="003A1174">
        <w:rPr>
          <w:rFonts w:ascii="Garamond" w:hAnsi="Garamond" w:cs="Arial"/>
          <w:sz w:val="24"/>
          <w:szCs w:val="24"/>
          <w:lang w:val="pt-PT"/>
        </w:rPr>
        <w:t xml:space="preserve">a </w:t>
      </w:r>
      <w:r w:rsidR="00C01806" w:rsidRPr="003A1174">
        <w:rPr>
          <w:rFonts w:ascii="Garamond" w:hAnsi="Garamond" w:cs="Arial"/>
          <w:sz w:val="24"/>
          <w:szCs w:val="24"/>
          <w:lang w:val="pt-PT"/>
        </w:rPr>
        <w:t>Equidade</w:t>
      </w:r>
      <w:r w:rsidR="004C140F" w:rsidRPr="003A1174">
        <w:rPr>
          <w:rFonts w:ascii="Garamond" w:hAnsi="Garamond" w:cs="Arial"/>
          <w:sz w:val="24"/>
          <w:szCs w:val="24"/>
          <w:lang w:val="pt-PT"/>
        </w:rPr>
        <w:t xml:space="preserve"> e </w:t>
      </w:r>
      <w:r w:rsidR="002C7510" w:rsidRPr="003A1174">
        <w:rPr>
          <w:rFonts w:ascii="Garamond" w:hAnsi="Garamond" w:cs="Arial"/>
          <w:sz w:val="24"/>
          <w:szCs w:val="24"/>
          <w:lang w:val="pt-PT"/>
        </w:rPr>
        <w:t>Igualdade</w:t>
      </w:r>
      <w:r w:rsidR="004C140F" w:rsidRPr="003A1174">
        <w:rPr>
          <w:rFonts w:ascii="Garamond" w:hAnsi="Garamond" w:cs="Arial"/>
          <w:sz w:val="24"/>
          <w:szCs w:val="24"/>
          <w:lang w:val="pt-PT"/>
        </w:rPr>
        <w:t xml:space="preserve"> de Género (CIM/RES. 209/98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AG/RES. 1625 (XXIX-O/99)</w:t>
      </w:r>
      <w:r w:rsidR="00D8285F">
        <w:rPr>
          <w:rFonts w:ascii="Garamond" w:hAnsi="Garamond" w:cs="Arial"/>
          <w:sz w:val="24"/>
          <w:szCs w:val="24"/>
          <w:lang w:val="pt-PT"/>
        </w:rPr>
        <w:t>.</w:t>
      </w:r>
    </w:p>
    <w:p w:rsidR="004C140F" w:rsidRPr="003A1174" w:rsidRDefault="00C01806" w:rsidP="008719D4">
      <w:pPr>
        <w:pStyle w:val="Prrafodelista"/>
        <w:numPr>
          <w:ilvl w:val="0"/>
          <w:numId w:val="17"/>
        </w:numPr>
        <w:spacing w:line="240" w:lineRule="auto"/>
        <w:jc w:val="both"/>
        <w:rPr>
          <w:rFonts w:ascii="Garamond" w:hAnsi="Garamond" w:cs="Arial"/>
          <w:sz w:val="24"/>
          <w:szCs w:val="24"/>
          <w:shd w:val="clear" w:color="auto" w:fill="FFFFFF"/>
          <w:lang w:val="pt-PT"/>
        </w:rPr>
      </w:pPr>
      <w:r w:rsidRPr="003A1174">
        <w:rPr>
          <w:rFonts w:ascii="Garamond" w:hAnsi="Garamond" w:cs="Arial"/>
          <w:sz w:val="24"/>
          <w:szCs w:val="24"/>
          <w:lang w:val="pt-PT"/>
        </w:rPr>
        <w:t>Formulário</w:t>
      </w:r>
      <w:r w:rsidR="004C140F" w:rsidRPr="003A1174">
        <w:rPr>
          <w:rFonts w:ascii="Garamond" w:hAnsi="Garamond" w:cs="Arial"/>
          <w:sz w:val="24"/>
          <w:szCs w:val="24"/>
          <w:lang w:val="pt-PT"/>
        </w:rPr>
        <w:t xml:space="preserve"> modelo para </w:t>
      </w:r>
      <w:r w:rsidR="00144B9F" w:rsidRPr="003A1174">
        <w:rPr>
          <w:rFonts w:ascii="Garamond" w:hAnsi="Garamond" w:cs="Arial"/>
          <w:sz w:val="24"/>
          <w:szCs w:val="24"/>
          <w:lang w:val="pt-PT"/>
        </w:rPr>
        <w:t>apresentar um</w:t>
      </w:r>
      <w:r w:rsidR="004C140F" w:rsidRPr="003A1174">
        <w:rPr>
          <w:rFonts w:ascii="Garamond" w:hAnsi="Garamond" w:cs="Arial"/>
          <w:sz w:val="24"/>
          <w:szCs w:val="24"/>
          <w:lang w:val="pt-PT"/>
        </w:rPr>
        <w:t xml:space="preserve">a </w:t>
      </w:r>
      <w:r w:rsidRPr="003A1174">
        <w:rPr>
          <w:rFonts w:ascii="Garamond" w:hAnsi="Garamond" w:cs="Arial"/>
          <w:sz w:val="24"/>
          <w:szCs w:val="24"/>
          <w:lang w:val="pt-PT"/>
        </w:rPr>
        <w:t>comunicação</w:t>
      </w:r>
      <w:r w:rsidR="004C140F" w:rsidRPr="003A1174">
        <w:rPr>
          <w:rFonts w:ascii="Garamond" w:hAnsi="Garamond" w:cs="Arial"/>
          <w:sz w:val="24"/>
          <w:szCs w:val="24"/>
          <w:lang w:val="pt-PT"/>
        </w:rPr>
        <w:t xml:space="preserve"> a</w:t>
      </w:r>
      <w:r w:rsidR="00144B9F" w:rsidRPr="003A1174">
        <w:rPr>
          <w:rFonts w:ascii="Garamond" w:hAnsi="Garamond" w:cs="Arial"/>
          <w:sz w:val="24"/>
          <w:szCs w:val="24"/>
          <w:lang w:val="pt-PT"/>
        </w:rPr>
        <w:t>o</w:t>
      </w:r>
      <w:r w:rsidR="004C140F" w:rsidRPr="003A1174">
        <w:rPr>
          <w:rFonts w:ascii="Garamond" w:hAnsi="Garamond" w:cs="Arial"/>
          <w:sz w:val="24"/>
          <w:szCs w:val="24"/>
          <w:lang w:val="pt-PT"/>
        </w:rPr>
        <w:t xml:space="preserve"> Comité da CEDAW </w:t>
      </w:r>
      <w:r w:rsidR="00144B9F" w:rsidRPr="003A1174">
        <w:rPr>
          <w:rFonts w:ascii="Garamond" w:hAnsi="Garamond" w:cs="Arial"/>
          <w:sz w:val="24"/>
          <w:szCs w:val="24"/>
          <w:lang w:val="pt-PT"/>
        </w:rPr>
        <w:t xml:space="preserve">ao abrigo do Protocolo </w:t>
      </w:r>
      <w:r w:rsidR="000456B2" w:rsidRPr="003A1174">
        <w:rPr>
          <w:rFonts w:ascii="Garamond" w:hAnsi="Garamond" w:cs="Arial"/>
          <w:sz w:val="24"/>
          <w:szCs w:val="24"/>
          <w:lang w:val="pt-PT"/>
        </w:rPr>
        <w:t>Opcional</w:t>
      </w:r>
      <w:r w:rsidR="00144B9F" w:rsidRPr="003A1174">
        <w:rPr>
          <w:rFonts w:ascii="Garamond" w:hAnsi="Garamond" w:cs="Arial"/>
          <w:sz w:val="24"/>
          <w:szCs w:val="24"/>
          <w:lang w:val="pt-PT"/>
        </w:rPr>
        <w:t xml:space="preserve"> d</w:t>
      </w:r>
      <w:r w:rsidR="004C140F" w:rsidRPr="003A1174">
        <w:rPr>
          <w:rFonts w:ascii="Garamond" w:hAnsi="Garamond" w:cs="Arial"/>
          <w:sz w:val="24"/>
          <w:szCs w:val="24"/>
          <w:lang w:val="pt-PT"/>
        </w:rPr>
        <w:t xml:space="preserve">a </w:t>
      </w:r>
      <w:r w:rsidR="00B14AA6" w:rsidRPr="003A1174">
        <w:rPr>
          <w:rFonts w:ascii="Garamond" w:hAnsi="Garamond" w:cs="Arial"/>
          <w:sz w:val="24"/>
          <w:szCs w:val="24"/>
          <w:lang w:val="pt-PT"/>
        </w:rPr>
        <w:t>Convenção</w:t>
      </w:r>
      <w:r w:rsidR="00144B9F" w:rsidRPr="003A1174">
        <w:rPr>
          <w:rFonts w:ascii="Garamond" w:hAnsi="Garamond" w:cs="Arial"/>
          <w:sz w:val="24"/>
          <w:szCs w:val="24"/>
          <w:lang w:val="pt-PT"/>
        </w:rPr>
        <w:t xml:space="preserve"> sobre </w:t>
      </w:r>
      <w:r w:rsidR="004C140F" w:rsidRPr="003A1174">
        <w:rPr>
          <w:rFonts w:ascii="Garamond" w:hAnsi="Garamond" w:cs="Arial"/>
          <w:sz w:val="24"/>
          <w:szCs w:val="24"/>
          <w:lang w:val="pt-PT"/>
        </w:rPr>
        <w:t xml:space="preserve">a </w:t>
      </w:r>
      <w:r w:rsidR="008E7A2A" w:rsidRPr="003A1174">
        <w:rPr>
          <w:rFonts w:ascii="Garamond" w:hAnsi="Garamond" w:cs="Arial"/>
          <w:sz w:val="24"/>
          <w:szCs w:val="24"/>
          <w:lang w:val="pt-PT"/>
        </w:rPr>
        <w:t>eliminação</w:t>
      </w:r>
      <w:r w:rsidR="00144B9F" w:rsidRPr="003A1174">
        <w:rPr>
          <w:rFonts w:ascii="Garamond" w:hAnsi="Garamond" w:cs="Arial"/>
          <w:sz w:val="24"/>
          <w:szCs w:val="24"/>
          <w:lang w:val="pt-PT"/>
        </w:rPr>
        <w:t xml:space="preserve"> de todas </w:t>
      </w:r>
      <w:r w:rsidR="004C140F" w:rsidRPr="003A1174">
        <w:rPr>
          <w:rFonts w:ascii="Garamond" w:hAnsi="Garamond" w:cs="Arial"/>
          <w:sz w:val="24"/>
          <w:szCs w:val="24"/>
          <w:lang w:val="pt-PT"/>
        </w:rPr>
        <w:t xml:space="preserve">as formas de </w:t>
      </w:r>
      <w:r w:rsidR="0017447A" w:rsidRPr="003A1174">
        <w:rPr>
          <w:rFonts w:ascii="Garamond" w:hAnsi="Garamond" w:cs="Arial"/>
          <w:sz w:val="24"/>
          <w:szCs w:val="24"/>
          <w:lang w:val="pt-PT"/>
        </w:rPr>
        <w:t>discriminação</w:t>
      </w:r>
      <w:r w:rsidR="004C140F" w:rsidRPr="003A1174">
        <w:rPr>
          <w:rFonts w:ascii="Garamond" w:hAnsi="Garamond" w:cs="Arial"/>
          <w:sz w:val="24"/>
          <w:szCs w:val="24"/>
          <w:lang w:val="pt-PT"/>
        </w:rPr>
        <w:t xml:space="preserve"> </w:t>
      </w:r>
      <w:r w:rsidR="00BB2B00" w:rsidRPr="003A1174">
        <w:rPr>
          <w:rFonts w:ascii="Garamond" w:hAnsi="Garamond" w:cs="Arial"/>
          <w:sz w:val="24"/>
          <w:szCs w:val="24"/>
          <w:lang w:val="pt-PT"/>
        </w:rPr>
        <w:t>contra a</w:t>
      </w:r>
      <w:r w:rsidR="004C140F"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004C140F" w:rsidRPr="003A1174">
        <w:rPr>
          <w:rFonts w:ascii="Garamond" w:hAnsi="Garamond" w:cs="Arial"/>
          <w:sz w:val="24"/>
          <w:szCs w:val="24"/>
          <w:lang w:val="pt-PT"/>
        </w:rPr>
        <w:t>.</w:t>
      </w:r>
    </w:p>
    <w:p w:rsidR="004C140F" w:rsidRPr="003A1174" w:rsidRDefault="00C3064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Declaração</w:t>
      </w:r>
      <w:r w:rsidR="004C140F" w:rsidRPr="003A1174">
        <w:rPr>
          <w:rFonts w:ascii="Garamond" w:hAnsi="Garamond" w:cs="Arial"/>
          <w:sz w:val="24"/>
          <w:szCs w:val="24"/>
          <w:lang w:val="pt-PT"/>
        </w:rPr>
        <w:t xml:space="preserve"> d</w:t>
      </w:r>
      <w:r w:rsidR="008E7A2A" w:rsidRPr="003A1174">
        <w:rPr>
          <w:rFonts w:ascii="Garamond" w:hAnsi="Garamond" w:cs="Arial"/>
          <w:sz w:val="24"/>
          <w:szCs w:val="24"/>
          <w:lang w:val="pt-PT"/>
        </w:rPr>
        <w:t>o</w:t>
      </w:r>
      <w:r w:rsidR="00144B9F" w:rsidRPr="003A1174">
        <w:rPr>
          <w:rFonts w:ascii="Garamond" w:hAnsi="Garamond" w:cs="Arial"/>
          <w:sz w:val="24"/>
          <w:szCs w:val="24"/>
          <w:lang w:val="pt-PT"/>
        </w:rPr>
        <w:t xml:space="preserve"> Milé</w:t>
      </w:r>
      <w:r w:rsidR="004C140F" w:rsidRPr="003A1174">
        <w:rPr>
          <w:rFonts w:ascii="Garamond" w:hAnsi="Garamond" w:cs="Arial"/>
          <w:sz w:val="24"/>
          <w:szCs w:val="24"/>
          <w:lang w:val="pt-PT"/>
        </w:rPr>
        <w:t>nio (</w:t>
      </w:r>
      <w:r w:rsidRPr="003A1174">
        <w:rPr>
          <w:rFonts w:ascii="Garamond" w:hAnsi="Garamond" w:cs="Arial"/>
          <w:sz w:val="24"/>
          <w:szCs w:val="24"/>
          <w:shd w:val="clear" w:color="auto" w:fill="FFFFFF"/>
          <w:lang w:val="pt-PT"/>
        </w:rPr>
        <w:t>Assembleia</w:t>
      </w:r>
      <w:r w:rsidR="004C140F" w:rsidRPr="003A1174">
        <w:rPr>
          <w:rFonts w:ascii="Garamond" w:hAnsi="Garamond" w:cs="Arial"/>
          <w:sz w:val="24"/>
          <w:szCs w:val="24"/>
          <w:shd w:val="clear" w:color="auto" w:fill="FFFFFF"/>
          <w:lang w:val="pt-PT"/>
        </w:rPr>
        <w:t xml:space="preserve"> </w:t>
      </w:r>
      <w:r w:rsidR="00077461" w:rsidRPr="003A1174">
        <w:rPr>
          <w:rFonts w:ascii="Garamond" w:hAnsi="Garamond" w:cs="Arial"/>
          <w:sz w:val="24"/>
          <w:szCs w:val="24"/>
          <w:shd w:val="clear" w:color="auto" w:fill="FFFFFF"/>
          <w:lang w:val="pt-PT"/>
        </w:rPr>
        <w:t>Geral</w:t>
      </w:r>
      <w:r w:rsidR="004C140F" w:rsidRPr="003A1174">
        <w:rPr>
          <w:rFonts w:ascii="Garamond" w:hAnsi="Garamond" w:cs="Arial"/>
          <w:sz w:val="24"/>
          <w:szCs w:val="24"/>
          <w:shd w:val="clear" w:color="auto" w:fill="FFFFFF"/>
          <w:lang w:val="pt-PT"/>
        </w:rPr>
        <w:t>, A/RES/55/2, 13sep00)</w:t>
      </w:r>
      <w:r w:rsidR="00D8285F">
        <w:rPr>
          <w:rFonts w:ascii="Garamond" w:hAnsi="Garamond" w:cs="Arial"/>
          <w:sz w:val="24"/>
          <w:szCs w:val="24"/>
          <w:shd w:val="clear" w:color="auto" w:fill="FFFFFF"/>
          <w:lang w:val="pt-PT"/>
        </w:rPr>
        <w:t>.</w:t>
      </w:r>
    </w:p>
    <w:p w:rsidR="004C140F" w:rsidRPr="003A1174" w:rsidRDefault="004C140F"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Objetivos de </w:t>
      </w:r>
      <w:r w:rsidR="009B133A" w:rsidRPr="003A1174">
        <w:rPr>
          <w:rFonts w:ascii="Garamond" w:hAnsi="Garamond" w:cs="Arial"/>
          <w:sz w:val="24"/>
          <w:szCs w:val="24"/>
          <w:lang w:val="pt-PT"/>
        </w:rPr>
        <w:t>Desenvolvimento</w:t>
      </w:r>
      <w:r w:rsidR="00144B9F" w:rsidRPr="003A1174">
        <w:rPr>
          <w:rFonts w:ascii="Garamond" w:hAnsi="Garamond" w:cs="Arial"/>
          <w:sz w:val="24"/>
          <w:szCs w:val="24"/>
          <w:lang w:val="pt-PT"/>
        </w:rPr>
        <w:t xml:space="preserve"> d</w:t>
      </w:r>
      <w:r w:rsidRPr="003A1174">
        <w:rPr>
          <w:rFonts w:ascii="Garamond" w:hAnsi="Garamond" w:cs="Arial"/>
          <w:sz w:val="24"/>
          <w:szCs w:val="24"/>
          <w:lang w:val="pt-PT"/>
        </w:rPr>
        <w:t xml:space="preserve">a ONU para </w:t>
      </w:r>
      <w:r w:rsidR="00144B9F" w:rsidRPr="003A1174">
        <w:rPr>
          <w:rFonts w:ascii="Garamond" w:hAnsi="Garamond" w:cs="Arial"/>
          <w:sz w:val="24"/>
          <w:szCs w:val="24"/>
          <w:lang w:val="pt-PT"/>
        </w:rPr>
        <w:t>o Milé</w:t>
      </w:r>
      <w:r w:rsidRPr="003A1174">
        <w:rPr>
          <w:rFonts w:ascii="Garamond" w:hAnsi="Garamond" w:cs="Arial"/>
          <w:sz w:val="24"/>
          <w:szCs w:val="24"/>
          <w:lang w:val="pt-PT"/>
        </w:rPr>
        <w:t>nio (ODM)</w:t>
      </w:r>
      <w:r w:rsidRPr="003A1174">
        <w:rPr>
          <w:rFonts w:ascii="Garamond" w:hAnsi="Garamond" w:cs="Arial"/>
          <w:sz w:val="24"/>
          <w:szCs w:val="24"/>
          <w:shd w:val="clear" w:color="auto" w:fill="FFFFFF"/>
          <w:lang w:val="pt-PT"/>
        </w:rPr>
        <w:t xml:space="preserve"> </w:t>
      </w:r>
      <w:r w:rsidR="00D75A07" w:rsidRPr="003A1174">
        <w:rPr>
          <w:rFonts w:ascii="Garamond" w:hAnsi="Garamond" w:cs="Arial"/>
          <w:sz w:val="24"/>
          <w:szCs w:val="24"/>
          <w:shd w:val="clear" w:color="auto" w:fill="FFFFFF"/>
          <w:lang w:val="pt-PT"/>
        </w:rPr>
        <w:t>são</w:t>
      </w:r>
      <w:r w:rsidRPr="003A1174">
        <w:rPr>
          <w:rFonts w:ascii="Garamond" w:hAnsi="Garamond" w:cs="Arial"/>
          <w:sz w:val="24"/>
          <w:szCs w:val="24"/>
          <w:shd w:val="clear" w:color="auto" w:fill="FFFFFF"/>
          <w:lang w:val="pt-PT"/>
        </w:rPr>
        <w:t xml:space="preserve"> o</w:t>
      </w:r>
      <w:r w:rsidR="00144B9F" w:rsidRPr="003A1174">
        <w:rPr>
          <w:rFonts w:ascii="Garamond" w:hAnsi="Garamond" w:cs="Arial"/>
          <w:sz w:val="24"/>
          <w:szCs w:val="24"/>
          <w:shd w:val="clear" w:color="auto" w:fill="FFFFFF"/>
          <w:lang w:val="pt-PT"/>
        </w:rPr>
        <w:t>it</w:t>
      </w:r>
      <w:r w:rsidRPr="003A1174">
        <w:rPr>
          <w:rFonts w:ascii="Garamond" w:hAnsi="Garamond" w:cs="Arial"/>
          <w:sz w:val="24"/>
          <w:szCs w:val="24"/>
          <w:shd w:val="clear" w:color="auto" w:fill="FFFFFF"/>
          <w:lang w:val="pt-PT"/>
        </w:rPr>
        <w:t>o propósitos de</w:t>
      </w:r>
      <w:r w:rsidRPr="003A1174">
        <w:rPr>
          <w:rStyle w:val="apple-converted-space"/>
          <w:rFonts w:ascii="Garamond" w:hAnsi="Garamond" w:cs="Arial"/>
          <w:color w:val="auto"/>
          <w:sz w:val="24"/>
          <w:szCs w:val="24"/>
          <w:shd w:val="clear" w:color="auto" w:fill="FFFFFF"/>
          <w:lang w:val="pt-PT"/>
        </w:rPr>
        <w:t> </w:t>
      </w:r>
      <w:hyperlink r:id="rId28" w:tooltip="Desarrollo humano" w:history="1">
        <w:r w:rsidR="009B133A" w:rsidRPr="003A1174">
          <w:rPr>
            <w:rStyle w:val="Hipervnculo"/>
            <w:rFonts w:ascii="Garamond" w:hAnsi="Garamond" w:cs="Arial"/>
            <w:color w:val="auto"/>
            <w:sz w:val="24"/>
            <w:szCs w:val="24"/>
            <w:u w:val="none"/>
            <w:shd w:val="clear" w:color="auto" w:fill="FFFFFF"/>
            <w:lang w:val="pt-PT"/>
          </w:rPr>
          <w:t>desenvolvimento</w:t>
        </w:r>
        <w:r w:rsidRPr="003A1174">
          <w:rPr>
            <w:rStyle w:val="Hipervnculo"/>
            <w:rFonts w:ascii="Garamond" w:hAnsi="Garamond" w:cs="Arial"/>
            <w:color w:val="auto"/>
            <w:sz w:val="24"/>
            <w:szCs w:val="24"/>
            <w:u w:val="none"/>
            <w:shd w:val="clear" w:color="auto" w:fill="FFFFFF"/>
            <w:lang w:val="pt-PT"/>
          </w:rPr>
          <w:t xml:space="preserve"> humano</w:t>
        </w:r>
      </w:hyperlink>
      <w:r w:rsidRPr="003A1174">
        <w:rPr>
          <w:rStyle w:val="apple-converted-space"/>
          <w:rFonts w:ascii="Garamond" w:hAnsi="Garamond" w:cs="Arial"/>
          <w:color w:val="auto"/>
          <w:sz w:val="24"/>
          <w:szCs w:val="24"/>
          <w:shd w:val="clear" w:color="auto" w:fill="FFFFFF"/>
          <w:lang w:val="pt-PT"/>
        </w:rPr>
        <w:t> </w:t>
      </w:r>
      <w:r w:rsidR="00144B9F" w:rsidRPr="003A1174">
        <w:rPr>
          <w:rFonts w:ascii="Garamond" w:hAnsi="Garamond" w:cs="Arial"/>
          <w:sz w:val="24"/>
          <w:szCs w:val="24"/>
          <w:shd w:val="clear" w:color="auto" w:fill="FFFFFF"/>
          <w:lang w:val="pt-PT"/>
        </w:rPr>
        <w:t>fix</w:t>
      </w:r>
      <w:r w:rsidRPr="003A1174">
        <w:rPr>
          <w:rFonts w:ascii="Garamond" w:hAnsi="Garamond" w:cs="Arial"/>
          <w:sz w:val="24"/>
          <w:szCs w:val="24"/>
          <w:shd w:val="clear" w:color="auto" w:fill="FFFFFF"/>
          <w:lang w:val="pt-PT"/>
        </w:rPr>
        <w:t xml:space="preserve">ados </w:t>
      </w:r>
      <w:r w:rsidR="00144B9F" w:rsidRPr="003A1174">
        <w:rPr>
          <w:rFonts w:ascii="Garamond" w:hAnsi="Garamond" w:cs="Arial"/>
          <w:sz w:val="24"/>
          <w:szCs w:val="24"/>
          <w:shd w:val="clear" w:color="auto" w:fill="FFFFFF"/>
          <w:lang w:val="pt-PT"/>
        </w:rPr>
        <w:t xml:space="preserve">no ano </w:t>
      </w:r>
      <w:hyperlink r:id="rId29" w:tooltip="2000" w:history="1">
        <w:r w:rsidRPr="003A1174">
          <w:rPr>
            <w:rStyle w:val="Hipervnculo"/>
            <w:rFonts w:ascii="Garamond" w:hAnsi="Garamond" w:cs="Arial"/>
            <w:color w:val="auto"/>
            <w:sz w:val="24"/>
            <w:szCs w:val="24"/>
            <w:u w:val="none"/>
            <w:shd w:val="clear" w:color="auto" w:fill="FFFFFF"/>
            <w:lang w:val="pt-PT"/>
          </w:rPr>
          <w:t>2000</w:t>
        </w:r>
      </w:hyperlink>
      <w:r w:rsidR="00144B9F" w:rsidRPr="003A1174">
        <w:rPr>
          <w:rFonts w:ascii="Garamond" w:hAnsi="Garamond" w:cs="Arial"/>
          <w:sz w:val="24"/>
          <w:szCs w:val="24"/>
          <w:shd w:val="clear" w:color="auto" w:fill="FFFFFF"/>
          <w:lang w:val="pt-PT"/>
        </w:rPr>
        <w:t xml:space="preserve">, que </w:t>
      </w:r>
      <w:r w:rsidRPr="003A1174">
        <w:rPr>
          <w:rFonts w:ascii="Garamond" w:hAnsi="Garamond" w:cs="Arial"/>
          <w:sz w:val="24"/>
          <w:szCs w:val="24"/>
          <w:shd w:val="clear" w:color="auto" w:fill="FFFFFF"/>
          <w:lang w:val="pt-PT"/>
        </w:rPr>
        <w:t>os</w:t>
      </w:r>
      <w:r w:rsidRPr="003A1174">
        <w:rPr>
          <w:rStyle w:val="apple-converted-space"/>
          <w:rFonts w:ascii="Garamond" w:hAnsi="Garamond" w:cs="Arial"/>
          <w:color w:val="auto"/>
          <w:sz w:val="24"/>
          <w:szCs w:val="24"/>
          <w:shd w:val="clear" w:color="auto" w:fill="FFFFFF"/>
          <w:lang w:val="pt-PT"/>
        </w:rPr>
        <w:t> </w:t>
      </w:r>
      <w:hyperlink r:id="rId30" w:tooltip="Anexo:Estados miembros de las Naciones Unidas" w:history="1">
        <w:r w:rsidRPr="003A1174">
          <w:rPr>
            <w:rStyle w:val="Hipervnculo"/>
            <w:rFonts w:ascii="Garamond" w:hAnsi="Garamond" w:cs="Arial"/>
            <w:color w:val="auto"/>
            <w:sz w:val="24"/>
            <w:szCs w:val="24"/>
            <w:u w:val="none"/>
            <w:shd w:val="clear" w:color="auto" w:fill="FFFFFF"/>
            <w:lang w:val="pt-PT"/>
          </w:rPr>
          <w:t>189</w:t>
        </w:r>
      </w:hyperlink>
      <w:r w:rsidRPr="003A1174">
        <w:rPr>
          <w:rStyle w:val="apple-converted-space"/>
          <w:rFonts w:ascii="Garamond" w:hAnsi="Garamond" w:cs="Arial"/>
          <w:color w:val="auto"/>
          <w:sz w:val="24"/>
          <w:szCs w:val="24"/>
          <w:shd w:val="clear" w:color="auto" w:fill="FFFFFF"/>
          <w:lang w:val="pt-PT"/>
        </w:rPr>
        <w:t> </w:t>
      </w:r>
      <w:r w:rsidRPr="003A1174">
        <w:rPr>
          <w:rFonts w:ascii="Garamond" w:hAnsi="Garamond" w:cs="Arial"/>
          <w:sz w:val="24"/>
          <w:szCs w:val="24"/>
          <w:shd w:val="clear" w:color="auto" w:fill="FFFFFF"/>
          <w:lang w:val="pt-PT"/>
        </w:rPr>
        <w:t xml:space="preserve">países </w:t>
      </w:r>
      <w:r w:rsidR="00C30647" w:rsidRPr="003A1174">
        <w:rPr>
          <w:rFonts w:ascii="Garamond" w:hAnsi="Garamond" w:cs="Arial"/>
          <w:sz w:val="24"/>
          <w:szCs w:val="24"/>
          <w:shd w:val="clear" w:color="auto" w:fill="FFFFFF"/>
          <w:lang w:val="pt-PT"/>
        </w:rPr>
        <w:t>membro</w:t>
      </w:r>
      <w:r w:rsidRPr="003A1174">
        <w:rPr>
          <w:rFonts w:ascii="Garamond" w:hAnsi="Garamond" w:cs="Arial"/>
          <w:sz w:val="24"/>
          <w:szCs w:val="24"/>
          <w:shd w:val="clear" w:color="auto" w:fill="FFFFFF"/>
          <w:lang w:val="pt-PT"/>
        </w:rPr>
        <w:t xml:space="preserve">s </w:t>
      </w:r>
      <w:r w:rsidR="00497503" w:rsidRPr="003A1174">
        <w:rPr>
          <w:rFonts w:ascii="Garamond" w:hAnsi="Garamond" w:cs="Arial"/>
          <w:sz w:val="24"/>
          <w:szCs w:val="24"/>
          <w:shd w:val="clear" w:color="auto" w:fill="FFFFFF"/>
          <w:lang w:val="pt-PT"/>
        </w:rPr>
        <w:t>das</w:t>
      </w:r>
      <w:r w:rsidRPr="003A1174">
        <w:rPr>
          <w:rStyle w:val="apple-converted-space"/>
          <w:rFonts w:ascii="Garamond" w:hAnsi="Garamond" w:cs="Arial"/>
          <w:color w:val="auto"/>
          <w:sz w:val="24"/>
          <w:szCs w:val="24"/>
          <w:shd w:val="clear" w:color="auto" w:fill="FFFFFF"/>
          <w:lang w:val="pt-PT"/>
        </w:rPr>
        <w:t> </w:t>
      </w:r>
      <w:hyperlink r:id="rId31" w:tooltip="Organización de las Naciones Unidas" w:history="1">
        <w:r w:rsidR="003F012B" w:rsidRPr="003A1174">
          <w:rPr>
            <w:rStyle w:val="Hipervnculo"/>
            <w:rFonts w:ascii="Garamond" w:hAnsi="Garamond" w:cs="Arial"/>
            <w:color w:val="auto"/>
            <w:sz w:val="24"/>
            <w:szCs w:val="24"/>
            <w:u w:val="none"/>
            <w:shd w:val="clear" w:color="auto" w:fill="FFFFFF"/>
            <w:lang w:val="pt-PT"/>
          </w:rPr>
          <w:t>Nações</w:t>
        </w:r>
        <w:r w:rsidRPr="003A1174">
          <w:rPr>
            <w:rStyle w:val="Hipervnculo"/>
            <w:rFonts w:ascii="Garamond" w:hAnsi="Garamond" w:cs="Arial"/>
            <w:color w:val="auto"/>
            <w:sz w:val="24"/>
            <w:szCs w:val="24"/>
            <w:u w:val="none"/>
            <w:shd w:val="clear" w:color="auto" w:fill="FFFFFF"/>
            <w:lang w:val="pt-PT"/>
          </w:rPr>
          <w:t xml:space="preserve"> Unidas</w:t>
        </w:r>
      </w:hyperlink>
      <w:r w:rsidRPr="003A1174">
        <w:rPr>
          <w:rStyle w:val="apple-converted-space"/>
          <w:rFonts w:ascii="Garamond" w:hAnsi="Garamond" w:cs="Arial"/>
          <w:color w:val="auto"/>
          <w:sz w:val="24"/>
          <w:szCs w:val="24"/>
          <w:shd w:val="clear" w:color="auto" w:fill="FFFFFF"/>
          <w:lang w:val="pt-PT"/>
        </w:rPr>
        <w:t> </w:t>
      </w:r>
      <w:r w:rsidRPr="003A1174">
        <w:rPr>
          <w:rFonts w:ascii="Garamond" w:hAnsi="Garamond" w:cs="Arial"/>
          <w:sz w:val="24"/>
          <w:szCs w:val="24"/>
          <w:shd w:val="clear" w:color="auto" w:fill="FFFFFF"/>
          <w:lang w:val="pt-PT"/>
        </w:rPr>
        <w:t>acordar</w:t>
      </w:r>
      <w:r w:rsidR="00144B9F" w:rsidRPr="003A1174">
        <w:rPr>
          <w:rFonts w:ascii="Garamond" w:hAnsi="Garamond" w:cs="Arial"/>
          <w:sz w:val="24"/>
          <w:szCs w:val="24"/>
          <w:shd w:val="clear" w:color="auto" w:fill="FFFFFF"/>
          <w:lang w:val="pt-PT"/>
        </w:rPr>
        <w:t xml:space="preserve">am </w:t>
      </w:r>
      <w:r w:rsidRPr="003A1174">
        <w:rPr>
          <w:rFonts w:ascii="Garamond" w:hAnsi="Garamond" w:cs="Arial"/>
          <w:sz w:val="24"/>
          <w:szCs w:val="24"/>
          <w:shd w:val="clear" w:color="auto" w:fill="FFFFFF"/>
          <w:lang w:val="pt-PT"/>
        </w:rPr>
        <w:t xml:space="preserve">conseguir para </w:t>
      </w:r>
      <w:r w:rsidR="00144B9F" w:rsidRPr="003A1174">
        <w:rPr>
          <w:rFonts w:ascii="Garamond" w:hAnsi="Garamond" w:cs="Arial"/>
          <w:sz w:val="24"/>
          <w:szCs w:val="24"/>
          <w:shd w:val="clear" w:color="auto" w:fill="FFFFFF"/>
          <w:lang w:val="pt-PT"/>
        </w:rPr>
        <w:t xml:space="preserve">o </w:t>
      </w:r>
      <w:r w:rsidR="002C7510" w:rsidRPr="003A1174">
        <w:rPr>
          <w:rFonts w:ascii="Garamond" w:hAnsi="Garamond" w:cs="Arial"/>
          <w:sz w:val="24"/>
          <w:szCs w:val="24"/>
          <w:shd w:val="clear" w:color="auto" w:fill="FFFFFF"/>
          <w:lang w:val="pt-PT"/>
        </w:rPr>
        <w:t>ano</w:t>
      </w:r>
      <w:r w:rsidRPr="003A1174">
        <w:rPr>
          <w:rStyle w:val="apple-converted-space"/>
          <w:rFonts w:ascii="Garamond" w:hAnsi="Garamond" w:cs="Arial"/>
          <w:color w:val="auto"/>
          <w:sz w:val="24"/>
          <w:szCs w:val="24"/>
          <w:shd w:val="clear" w:color="auto" w:fill="FFFFFF"/>
          <w:lang w:val="pt-PT"/>
        </w:rPr>
        <w:t> </w:t>
      </w:r>
      <w:hyperlink r:id="rId32" w:tooltip="2015" w:history="1">
        <w:r w:rsidRPr="003A1174">
          <w:rPr>
            <w:rStyle w:val="Hipervnculo"/>
            <w:rFonts w:ascii="Garamond" w:hAnsi="Garamond" w:cs="Arial"/>
            <w:color w:val="auto"/>
            <w:sz w:val="24"/>
            <w:szCs w:val="24"/>
            <w:u w:val="none"/>
            <w:shd w:val="clear" w:color="auto" w:fill="FFFFFF"/>
            <w:lang w:val="pt-PT"/>
          </w:rPr>
          <w:t>2015</w:t>
        </w:r>
      </w:hyperlink>
      <w:r w:rsidR="00D8285F">
        <w:rPr>
          <w:rStyle w:val="Hipervnculo"/>
          <w:rFonts w:ascii="Garamond" w:hAnsi="Garamond" w:cs="Arial"/>
          <w:color w:val="auto"/>
          <w:sz w:val="24"/>
          <w:szCs w:val="24"/>
          <w:u w:val="none"/>
          <w:shd w:val="clear" w:color="auto" w:fill="FFFFFF"/>
          <w:lang w:val="pt-PT"/>
        </w:rPr>
        <w:t>.</w:t>
      </w:r>
    </w:p>
    <w:p w:rsidR="004C140F" w:rsidRPr="003A1174" w:rsidRDefault="002A59E7"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Nova</w:t>
      </w:r>
      <w:r w:rsidR="00144B9F" w:rsidRPr="003A1174">
        <w:rPr>
          <w:rFonts w:ascii="Garamond" w:hAnsi="Garamond" w:cs="Arial"/>
          <w:sz w:val="24"/>
          <w:szCs w:val="24"/>
          <w:lang w:val="pt-PT"/>
        </w:rPr>
        <w:t xml:space="preserve">s medidas e iniciativas para </w:t>
      </w:r>
      <w:r w:rsidR="004C140F" w:rsidRPr="003A1174">
        <w:rPr>
          <w:rFonts w:ascii="Garamond" w:hAnsi="Garamond" w:cs="Arial"/>
          <w:sz w:val="24"/>
          <w:szCs w:val="24"/>
          <w:lang w:val="pt-PT"/>
        </w:rPr>
        <w:t xml:space="preserve">a </w:t>
      </w:r>
      <w:r w:rsidR="00B14AA6" w:rsidRPr="003A1174">
        <w:rPr>
          <w:rFonts w:ascii="Garamond" w:hAnsi="Garamond" w:cs="Arial"/>
          <w:sz w:val="24"/>
          <w:szCs w:val="24"/>
          <w:lang w:val="pt-PT"/>
        </w:rPr>
        <w:t>aplicação</w:t>
      </w:r>
      <w:r w:rsidR="004C140F" w:rsidRPr="003A1174">
        <w:rPr>
          <w:rFonts w:ascii="Garamond" w:hAnsi="Garamond" w:cs="Arial"/>
          <w:sz w:val="24"/>
          <w:szCs w:val="24"/>
          <w:lang w:val="pt-PT"/>
        </w:rPr>
        <w:t xml:space="preserve"> da </w:t>
      </w:r>
      <w:r w:rsidR="00C30647" w:rsidRPr="003A1174">
        <w:rPr>
          <w:rFonts w:ascii="Garamond" w:hAnsi="Garamond" w:cs="Arial"/>
          <w:sz w:val="24"/>
          <w:szCs w:val="24"/>
          <w:lang w:val="pt-PT"/>
        </w:rPr>
        <w:t>Declaração</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Plataforma de </w:t>
      </w:r>
      <w:r w:rsidR="00077461" w:rsidRPr="003A1174">
        <w:rPr>
          <w:rFonts w:ascii="Garamond" w:hAnsi="Garamond" w:cs="Arial"/>
          <w:sz w:val="24"/>
          <w:szCs w:val="24"/>
          <w:lang w:val="pt-PT"/>
        </w:rPr>
        <w:t>Ação</w:t>
      </w:r>
      <w:r w:rsidR="004C140F" w:rsidRPr="003A1174">
        <w:rPr>
          <w:rFonts w:ascii="Garamond" w:hAnsi="Garamond" w:cs="Arial"/>
          <w:sz w:val="24"/>
          <w:szCs w:val="24"/>
          <w:lang w:val="pt-PT"/>
        </w:rPr>
        <w:t xml:space="preserve"> de Beijing (</w:t>
      </w:r>
      <w:r w:rsidR="009E3E55" w:rsidRPr="003A1174">
        <w:rPr>
          <w:rFonts w:ascii="Garamond" w:hAnsi="Garamond" w:cs="Arial"/>
          <w:sz w:val="24"/>
          <w:szCs w:val="24"/>
          <w:lang w:val="pt-PT"/>
        </w:rPr>
        <w:t>Relatório</w:t>
      </w:r>
      <w:r w:rsidR="004C140F"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4C140F" w:rsidRPr="003A1174">
        <w:rPr>
          <w:rFonts w:ascii="Garamond" w:hAnsi="Garamond" w:cs="Arial"/>
          <w:sz w:val="24"/>
          <w:szCs w:val="24"/>
          <w:lang w:val="pt-PT"/>
        </w:rPr>
        <w:t xml:space="preserve"> Comité Especial </w:t>
      </w:r>
      <w:r w:rsidR="00175015" w:rsidRPr="003A1174">
        <w:rPr>
          <w:rFonts w:ascii="Garamond" w:hAnsi="Garamond" w:cs="Arial"/>
          <w:sz w:val="24"/>
          <w:szCs w:val="24"/>
          <w:lang w:val="pt-PT"/>
        </w:rPr>
        <w:t>Plenário</w:t>
      </w:r>
      <w:r w:rsidR="004C140F"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4C140F" w:rsidRPr="003A1174">
        <w:rPr>
          <w:rFonts w:ascii="Garamond" w:hAnsi="Garamond" w:cs="Arial"/>
          <w:sz w:val="24"/>
          <w:szCs w:val="24"/>
          <w:lang w:val="pt-PT"/>
        </w:rPr>
        <w:t xml:space="preserve"> vigésimo terce</w:t>
      </w:r>
      <w:r w:rsidR="00144B9F" w:rsidRPr="003A1174">
        <w:rPr>
          <w:rFonts w:ascii="Garamond" w:hAnsi="Garamond" w:cs="Arial"/>
          <w:sz w:val="24"/>
          <w:szCs w:val="24"/>
          <w:lang w:val="pt-PT"/>
        </w:rPr>
        <w:t>i</w:t>
      </w:r>
      <w:r w:rsidR="004C140F" w:rsidRPr="003A1174">
        <w:rPr>
          <w:rFonts w:ascii="Garamond" w:hAnsi="Garamond" w:cs="Arial"/>
          <w:sz w:val="24"/>
          <w:szCs w:val="24"/>
          <w:lang w:val="pt-PT"/>
        </w:rPr>
        <w:t>r</w:t>
      </w:r>
      <w:r w:rsidR="00144B9F" w:rsidRPr="003A1174">
        <w:rPr>
          <w:rFonts w:ascii="Garamond" w:hAnsi="Garamond" w:cs="Arial"/>
          <w:sz w:val="24"/>
          <w:szCs w:val="24"/>
          <w:lang w:val="pt-PT"/>
        </w:rPr>
        <w:t>o</w:t>
      </w:r>
      <w:r w:rsidR="004C140F" w:rsidRPr="003A1174">
        <w:rPr>
          <w:rFonts w:ascii="Garamond" w:hAnsi="Garamond" w:cs="Arial"/>
          <w:sz w:val="24"/>
          <w:szCs w:val="24"/>
          <w:lang w:val="pt-PT"/>
        </w:rPr>
        <w:t xml:space="preserve"> </w:t>
      </w:r>
      <w:r w:rsidR="00144B9F" w:rsidRPr="003A1174">
        <w:rPr>
          <w:rFonts w:ascii="Garamond" w:hAnsi="Garamond" w:cs="Arial"/>
          <w:sz w:val="24"/>
          <w:szCs w:val="24"/>
          <w:lang w:val="pt-PT"/>
        </w:rPr>
        <w:t>período</w:t>
      </w:r>
      <w:r w:rsidR="004C140F" w:rsidRPr="003A1174">
        <w:rPr>
          <w:rFonts w:ascii="Garamond" w:hAnsi="Garamond" w:cs="Arial"/>
          <w:sz w:val="24"/>
          <w:szCs w:val="24"/>
          <w:lang w:val="pt-PT"/>
        </w:rPr>
        <w:t xml:space="preserve"> </w:t>
      </w:r>
      <w:r w:rsidR="00144B9F" w:rsidRPr="003A1174">
        <w:rPr>
          <w:rFonts w:ascii="Garamond" w:hAnsi="Garamond" w:cs="Arial"/>
          <w:sz w:val="24"/>
          <w:szCs w:val="24"/>
          <w:lang w:val="pt-PT"/>
        </w:rPr>
        <w:t>extraordinário</w:t>
      </w:r>
      <w:r w:rsidR="004C140F" w:rsidRPr="003A1174">
        <w:rPr>
          <w:rFonts w:ascii="Garamond" w:hAnsi="Garamond" w:cs="Arial"/>
          <w:sz w:val="24"/>
          <w:szCs w:val="24"/>
          <w:lang w:val="pt-PT"/>
        </w:rPr>
        <w:t xml:space="preserve"> de </w:t>
      </w:r>
      <w:r w:rsidR="00AF6765" w:rsidRPr="003A1174">
        <w:rPr>
          <w:rFonts w:ascii="Garamond" w:hAnsi="Garamond" w:cs="Arial"/>
          <w:sz w:val="24"/>
          <w:szCs w:val="24"/>
          <w:lang w:val="pt-PT"/>
        </w:rPr>
        <w:t>sessões</w:t>
      </w:r>
      <w:r w:rsidR="00144B9F" w:rsidRPr="003A1174">
        <w:rPr>
          <w:rFonts w:ascii="Garamond" w:hAnsi="Garamond" w:cs="Arial"/>
          <w:sz w:val="24"/>
          <w:szCs w:val="24"/>
          <w:lang w:val="pt-PT"/>
        </w:rPr>
        <w:t xml:space="preserve"> d</w:t>
      </w:r>
      <w:r w:rsidR="004C140F" w:rsidRPr="003A1174">
        <w:rPr>
          <w:rFonts w:ascii="Garamond" w:hAnsi="Garamond" w:cs="Arial"/>
          <w:sz w:val="24"/>
          <w:szCs w:val="24"/>
          <w:lang w:val="pt-PT"/>
        </w:rPr>
        <w:t xml:space="preserve">a </w:t>
      </w:r>
      <w:r w:rsidR="00C30647" w:rsidRPr="003A1174">
        <w:rPr>
          <w:rFonts w:ascii="Garamond" w:hAnsi="Garamond" w:cs="Arial"/>
          <w:sz w:val="24"/>
          <w:szCs w:val="24"/>
          <w:lang w:val="pt-PT"/>
        </w:rPr>
        <w:t>Assembleia</w:t>
      </w:r>
      <w:r w:rsidR="004C140F" w:rsidRPr="003A1174">
        <w:rPr>
          <w:rFonts w:ascii="Garamond" w:hAnsi="Garamond" w:cs="Arial"/>
          <w:sz w:val="24"/>
          <w:szCs w:val="24"/>
          <w:lang w:val="pt-PT"/>
        </w:rPr>
        <w:t xml:space="preserve"> </w:t>
      </w:r>
      <w:r w:rsidR="00077461" w:rsidRPr="003A1174">
        <w:rPr>
          <w:rFonts w:ascii="Garamond" w:hAnsi="Garamond" w:cs="Arial"/>
          <w:sz w:val="24"/>
          <w:szCs w:val="24"/>
          <w:lang w:val="pt-PT"/>
        </w:rPr>
        <w:t>Geral</w:t>
      </w:r>
      <w:r w:rsidR="004C140F" w:rsidRPr="003A1174">
        <w:rPr>
          <w:rFonts w:ascii="Garamond" w:hAnsi="Garamond" w:cs="Arial"/>
          <w:sz w:val="24"/>
          <w:szCs w:val="24"/>
          <w:lang w:val="pt-PT"/>
        </w:rPr>
        <w:t xml:space="preserve"> </w:t>
      </w:r>
      <w:r w:rsidR="00E85E59" w:rsidRPr="003A1174">
        <w:rPr>
          <w:rFonts w:ascii="Garamond" w:hAnsi="Garamond" w:cs="Arial"/>
          <w:sz w:val="24"/>
          <w:szCs w:val="24"/>
          <w:lang w:val="pt-PT"/>
        </w:rPr>
        <w:t>do</w:t>
      </w:r>
      <w:r w:rsidR="004C140F" w:rsidRPr="003A1174">
        <w:rPr>
          <w:rFonts w:ascii="Garamond" w:hAnsi="Garamond" w:cs="Arial"/>
          <w:sz w:val="24"/>
          <w:szCs w:val="24"/>
          <w:lang w:val="pt-PT"/>
        </w:rPr>
        <w:t xml:space="preserve"> </w:t>
      </w:r>
      <w:r w:rsidR="002C7510" w:rsidRPr="003A1174">
        <w:rPr>
          <w:rFonts w:ascii="Garamond" w:hAnsi="Garamond" w:cs="Arial"/>
          <w:sz w:val="24"/>
          <w:szCs w:val="24"/>
          <w:lang w:val="pt-PT"/>
        </w:rPr>
        <w:t>ano</w:t>
      </w:r>
      <w:r w:rsidR="004C140F" w:rsidRPr="003A1174">
        <w:rPr>
          <w:rFonts w:ascii="Garamond" w:hAnsi="Garamond" w:cs="Arial"/>
          <w:sz w:val="24"/>
          <w:szCs w:val="24"/>
          <w:lang w:val="pt-PT"/>
        </w:rPr>
        <w:t xml:space="preserve"> 2000)</w:t>
      </w:r>
      <w:r w:rsidR="00D8285F">
        <w:rPr>
          <w:rFonts w:ascii="Garamond" w:hAnsi="Garamond" w:cs="Arial"/>
          <w:sz w:val="24"/>
          <w:szCs w:val="24"/>
          <w:lang w:val="pt-PT"/>
        </w:rPr>
        <w:t>.</w:t>
      </w:r>
    </w:p>
    <w:p w:rsidR="004C140F" w:rsidRPr="003A1174" w:rsidRDefault="00B14AA6" w:rsidP="008719D4">
      <w:pPr>
        <w:pStyle w:val="Prrafodelista"/>
        <w:numPr>
          <w:ilvl w:val="0"/>
          <w:numId w:val="17"/>
        </w:numPr>
        <w:spacing w:after="0" w:line="240" w:lineRule="auto"/>
        <w:jc w:val="both"/>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004C140F" w:rsidRPr="003A1174">
        <w:rPr>
          <w:rFonts w:ascii="Garamond" w:hAnsi="Garamond" w:cs="Arial"/>
          <w:sz w:val="24"/>
          <w:szCs w:val="24"/>
          <w:lang w:val="pt-PT"/>
        </w:rPr>
        <w:t xml:space="preserve"> </w:t>
      </w:r>
      <w:r w:rsidR="003F012B" w:rsidRPr="003A1174">
        <w:rPr>
          <w:rFonts w:ascii="Garamond" w:hAnsi="Garamond" w:cs="Arial"/>
          <w:sz w:val="24"/>
          <w:szCs w:val="24"/>
          <w:lang w:val="pt-PT"/>
        </w:rPr>
        <w:t>Nações</w:t>
      </w:r>
      <w:r w:rsidR="004C140F" w:rsidRPr="003A1174">
        <w:rPr>
          <w:rFonts w:ascii="Garamond" w:hAnsi="Garamond" w:cs="Arial"/>
          <w:sz w:val="24"/>
          <w:szCs w:val="24"/>
          <w:lang w:val="pt-PT"/>
        </w:rPr>
        <w:t xml:space="preserve"> Unidas </w:t>
      </w:r>
      <w:r w:rsidR="00BB2B00" w:rsidRPr="003A1174">
        <w:rPr>
          <w:rFonts w:ascii="Garamond" w:hAnsi="Garamond" w:cs="Arial"/>
          <w:sz w:val="24"/>
          <w:szCs w:val="24"/>
          <w:lang w:val="pt-PT"/>
        </w:rPr>
        <w:t>contra a</w:t>
      </w:r>
      <w:r w:rsidR="00144B9F" w:rsidRPr="003A1174">
        <w:rPr>
          <w:rFonts w:ascii="Garamond" w:hAnsi="Garamond" w:cs="Arial"/>
          <w:sz w:val="24"/>
          <w:szCs w:val="24"/>
          <w:lang w:val="pt-PT"/>
        </w:rPr>
        <w:t xml:space="preserve"> Criminalidade</w:t>
      </w:r>
      <w:r w:rsidR="004C140F" w:rsidRPr="003A1174">
        <w:rPr>
          <w:rFonts w:ascii="Garamond" w:hAnsi="Garamond" w:cs="Arial"/>
          <w:sz w:val="24"/>
          <w:szCs w:val="24"/>
          <w:lang w:val="pt-PT"/>
        </w:rPr>
        <w:t xml:space="preserve"> Organizada Transnacional (2000)</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4C140F" w:rsidP="008719D4">
      <w:pPr>
        <w:spacing w:after="0" w:line="240" w:lineRule="auto"/>
        <w:jc w:val="both"/>
        <w:rPr>
          <w:rFonts w:ascii="Garamond" w:hAnsi="Garamond" w:cs="Arial"/>
          <w:sz w:val="24"/>
          <w:szCs w:val="24"/>
        </w:rPr>
      </w:pPr>
    </w:p>
    <w:p w:rsidR="004C140F" w:rsidRPr="003A1174" w:rsidRDefault="004C140F"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Protocolo para Prevenir, Reprimir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3F493C" w:rsidRPr="003A1174">
        <w:rPr>
          <w:rFonts w:ascii="Garamond" w:hAnsi="Garamond" w:cs="Arial"/>
          <w:sz w:val="24"/>
          <w:szCs w:val="24"/>
          <w:lang w:val="pt-PT"/>
        </w:rPr>
        <w:t>Punir</w:t>
      </w:r>
      <w:r w:rsidRPr="003A1174">
        <w:rPr>
          <w:rFonts w:ascii="Garamond" w:hAnsi="Garamond" w:cs="Arial"/>
          <w:sz w:val="24"/>
          <w:szCs w:val="24"/>
          <w:lang w:val="pt-PT"/>
        </w:rPr>
        <w:t xml:space="preserve"> </w:t>
      </w:r>
      <w:r w:rsidR="00144B9F" w:rsidRPr="003A1174">
        <w:rPr>
          <w:rFonts w:ascii="Garamond" w:hAnsi="Garamond" w:cs="Arial"/>
          <w:sz w:val="24"/>
          <w:szCs w:val="24"/>
          <w:lang w:val="pt-PT"/>
        </w:rPr>
        <w:t xml:space="preserve">o </w:t>
      </w:r>
      <w:r w:rsidRPr="003A1174">
        <w:rPr>
          <w:rFonts w:ascii="Garamond" w:hAnsi="Garamond" w:cs="Arial"/>
          <w:sz w:val="24"/>
          <w:szCs w:val="24"/>
          <w:lang w:val="pt-PT"/>
        </w:rPr>
        <w:t>Tr</w:t>
      </w:r>
      <w:r w:rsidR="00144B9F" w:rsidRPr="003A1174">
        <w:rPr>
          <w:rFonts w:ascii="Garamond" w:hAnsi="Garamond" w:cs="Arial"/>
          <w:sz w:val="24"/>
          <w:szCs w:val="24"/>
          <w:lang w:val="pt-PT"/>
        </w:rPr>
        <w:t xml:space="preserve">áfico </w:t>
      </w:r>
      <w:r w:rsidRPr="003A1174">
        <w:rPr>
          <w:rFonts w:ascii="Garamond" w:hAnsi="Garamond" w:cs="Arial"/>
          <w:sz w:val="24"/>
          <w:szCs w:val="24"/>
          <w:lang w:val="pt-PT"/>
        </w:rPr>
        <w:t xml:space="preserve">de </w:t>
      </w:r>
      <w:r w:rsidR="006C760C" w:rsidRPr="003A1174">
        <w:rPr>
          <w:rFonts w:ascii="Garamond" w:hAnsi="Garamond" w:cs="Arial"/>
          <w:sz w:val="24"/>
          <w:szCs w:val="24"/>
          <w:lang w:val="pt-PT"/>
        </w:rPr>
        <w:t>Pessoas</w:t>
      </w:r>
      <w:r w:rsidRPr="003A1174">
        <w:rPr>
          <w:rFonts w:ascii="Garamond" w:hAnsi="Garamond" w:cs="Arial"/>
          <w:sz w:val="24"/>
          <w:szCs w:val="24"/>
          <w:lang w:val="pt-PT"/>
        </w:rPr>
        <w:t xml:space="preserve">, Especialmente </w:t>
      </w:r>
      <w:r w:rsidR="00054EE0" w:rsidRPr="003A1174">
        <w:rPr>
          <w:rFonts w:ascii="Garamond" w:hAnsi="Garamond" w:cs="Arial"/>
          <w:sz w:val="24"/>
          <w:szCs w:val="24"/>
          <w:lang w:val="pt-PT"/>
        </w:rPr>
        <w:t>Mulheres</w:t>
      </w:r>
      <w:r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144B9F" w:rsidRPr="003A1174">
        <w:rPr>
          <w:rFonts w:ascii="Garamond" w:hAnsi="Garamond" w:cs="Arial"/>
          <w:sz w:val="24"/>
          <w:szCs w:val="24"/>
          <w:lang w:val="pt-PT"/>
        </w:rPr>
        <w:t xml:space="preserve">Crianças, que Complementa </w:t>
      </w:r>
      <w:r w:rsidRPr="003A1174">
        <w:rPr>
          <w:rFonts w:ascii="Garamond" w:hAnsi="Garamond" w:cs="Arial"/>
          <w:sz w:val="24"/>
          <w:szCs w:val="24"/>
          <w:lang w:val="pt-PT"/>
        </w:rPr>
        <w:t xml:space="preserve">a </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w:t>
      </w:r>
      <w:r w:rsidR="00497503" w:rsidRPr="003A1174">
        <w:rPr>
          <w:rFonts w:ascii="Garamond" w:hAnsi="Garamond" w:cs="Arial"/>
          <w:sz w:val="24"/>
          <w:szCs w:val="24"/>
          <w:lang w:val="pt-PT"/>
        </w:rPr>
        <w:t>das</w:t>
      </w:r>
      <w:r w:rsidRPr="003A1174">
        <w:rPr>
          <w:rFonts w:ascii="Garamond" w:hAnsi="Garamond" w:cs="Arial"/>
          <w:sz w:val="24"/>
          <w:szCs w:val="24"/>
          <w:lang w:val="pt-PT"/>
        </w:rPr>
        <w:t xml:space="preserve"> </w:t>
      </w:r>
      <w:r w:rsidR="003F012B" w:rsidRPr="003A1174">
        <w:rPr>
          <w:rFonts w:ascii="Garamond" w:hAnsi="Garamond" w:cs="Arial"/>
          <w:sz w:val="24"/>
          <w:szCs w:val="24"/>
          <w:lang w:val="pt-PT"/>
        </w:rPr>
        <w:t>Nações</w:t>
      </w:r>
      <w:r w:rsidRPr="003A1174">
        <w:rPr>
          <w:rFonts w:ascii="Garamond" w:hAnsi="Garamond" w:cs="Arial"/>
          <w:sz w:val="24"/>
          <w:szCs w:val="24"/>
          <w:lang w:val="pt-PT"/>
        </w:rPr>
        <w:t xml:space="preserve"> Unidas </w:t>
      </w:r>
      <w:r w:rsidR="00BB2B00" w:rsidRPr="003A1174">
        <w:rPr>
          <w:rFonts w:ascii="Garamond" w:hAnsi="Garamond" w:cs="Arial"/>
          <w:sz w:val="24"/>
          <w:szCs w:val="24"/>
          <w:lang w:val="pt-PT"/>
        </w:rPr>
        <w:t>contra a</w:t>
      </w:r>
      <w:r w:rsidRPr="003A1174">
        <w:rPr>
          <w:rFonts w:ascii="Garamond" w:hAnsi="Garamond" w:cs="Arial"/>
          <w:sz w:val="24"/>
          <w:szCs w:val="24"/>
          <w:lang w:val="pt-PT"/>
        </w:rPr>
        <w:t xml:space="preserve"> </w:t>
      </w:r>
      <w:r w:rsidR="00144B9F" w:rsidRPr="003A1174">
        <w:rPr>
          <w:rFonts w:ascii="Garamond" w:hAnsi="Garamond" w:cs="Arial"/>
          <w:sz w:val="24"/>
          <w:szCs w:val="24"/>
          <w:lang w:val="pt-PT"/>
        </w:rPr>
        <w:t xml:space="preserve">Criminalidade </w:t>
      </w:r>
      <w:r w:rsidRPr="003A1174">
        <w:rPr>
          <w:rFonts w:ascii="Garamond" w:hAnsi="Garamond" w:cs="Arial"/>
          <w:sz w:val="24"/>
          <w:szCs w:val="24"/>
          <w:lang w:val="pt-PT"/>
        </w:rPr>
        <w:t>Organizada Transnacional (2001)</w:t>
      </w:r>
      <w:r w:rsidR="00D8285F">
        <w:rPr>
          <w:rFonts w:ascii="Garamond" w:hAnsi="Garamond" w:cs="Arial"/>
          <w:sz w:val="24"/>
          <w:szCs w:val="24"/>
          <w:lang w:val="pt-PT"/>
        </w:rPr>
        <w:t>.</w:t>
      </w:r>
    </w:p>
    <w:p w:rsidR="004C140F" w:rsidRPr="003A1174" w:rsidRDefault="004C140F" w:rsidP="008719D4">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Estatuto </w:t>
      </w:r>
      <w:r w:rsidR="00E85E59" w:rsidRPr="003A1174">
        <w:rPr>
          <w:rFonts w:ascii="Garamond" w:hAnsi="Garamond" w:cs="Arial"/>
          <w:sz w:val="24"/>
          <w:szCs w:val="24"/>
          <w:lang w:val="pt-PT"/>
        </w:rPr>
        <w:t>do</w:t>
      </w:r>
      <w:r w:rsidRPr="003A1174">
        <w:rPr>
          <w:rFonts w:ascii="Garamond" w:hAnsi="Garamond" w:cs="Arial"/>
          <w:sz w:val="24"/>
          <w:szCs w:val="24"/>
          <w:lang w:val="pt-PT"/>
        </w:rPr>
        <w:t xml:space="preserve"> mecanismo de </w:t>
      </w:r>
      <w:r w:rsidR="00C01806" w:rsidRPr="003A1174">
        <w:rPr>
          <w:rFonts w:ascii="Garamond" w:hAnsi="Garamond" w:cs="Arial"/>
          <w:sz w:val="24"/>
          <w:szCs w:val="24"/>
          <w:lang w:val="pt-PT"/>
        </w:rPr>
        <w:t>seguimento</w:t>
      </w:r>
      <w:r w:rsidR="00144B9F" w:rsidRPr="003A1174">
        <w:rPr>
          <w:rFonts w:ascii="Garamond" w:hAnsi="Garamond" w:cs="Arial"/>
          <w:sz w:val="24"/>
          <w:szCs w:val="24"/>
          <w:lang w:val="pt-PT"/>
        </w:rPr>
        <w:t xml:space="preserve"> d</w:t>
      </w:r>
      <w:r w:rsidRPr="003A1174">
        <w:rPr>
          <w:rFonts w:ascii="Garamond" w:hAnsi="Garamond" w:cs="Arial"/>
          <w:sz w:val="24"/>
          <w:szCs w:val="24"/>
          <w:lang w:val="pt-PT"/>
        </w:rPr>
        <w:t xml:space="preserve">a </w:t>
      </w:r>
      <w:r w:rsidR="006C760C" w:rsidRPr="003A1174">
        <w:rPr>
          <w:rFonts w:ascii="Garamond" w:hAnsi="Garamond" w:cs="Arial"/>
          <w:sz w:val="24"/>
          <w:szCs w:val="24"/>
          <w:lang w:val="pt-PT"/>
        </w:rPr>
        <w:t>implementação</w:t>
      </w:r>
      <w:r w:rsidR="00144B9F" w:rsidRPr="003A1174">
        <w:rPr>
          <w:rFonts w:ascii="Garamond" w:hAnsi="Garamond" w:cs="Arial"/>
          <w:sz w:val="24"/>
          <w:szCs w:val="24"/>
          <w:lang w:val="pt-PT"/>
        </w:rPr>
        <w:t xml:space="preserve"> d</w:t>
      </w:r>
      <w:r w:rsidRPr="003A1174">
        <w:rPr>
          <w:rFonts w:ascii="Garamond" w:hAnsi="Garamond" w:cs="Arial"/>
          <w:sz w:val="24"/>
          <w:szCs w:val="24"/>
          <w:lang w:val="pt-PT"/>
        </w:rPr>
        <w:t xml:space="preserve">a </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Interamericana para </w:t>
      </w:r>
      <w:r w:rsidR="003F493C" w:rsidRPr="003A1174">
        <w:rPr>
          <w:rFonts w:ascii="Garamond" w:hAnsi="Garamond" w:cs="Arial"/>
          <w:sz w:val="24"/>
          <w:szCs w:val="24"/>
          <w:lang w:val="pt-PT"/>
        </w:rPr>
        <w:t>Prevenir, Punir e Erradicar</w:t>
      </w:r>
      <w:r w:rsidR="00144B9F" w:rsidRPr="003A1174">
        <w:rPr>
          <w:rFonts w:ascii="Garamond" w:hAnsi="Garamond" w:cs="Arial"/>
          <w:sz w:val="24"/>
          <w:szCs w:val="24"/>
          <w:lang w:val="pt-PT"/>
        </w:rPr>
        <w:t xml:space="preserve"> </w:t>
      </w:r>
      <w:r w:rsidRPr="003A1174">
        <w:rPr>
          <w:rFonts w:ascii="Garamond" w:hAnsi="Garamond" w:cs="Arial"/>
          <w:sz w:val="24"/>
          <w:szCs w:val="24"/>
          <w:lang w:val="pt-PT"/>
        </w:rPr>
        <w:t xml:space="preserve">a </w:t>
      </w:r>
      <w:r w:rsidR="000350B1" w:rsidRPr="003A1174">
        <w:rPr>
          <w:rFonts w:ascii="Garamond" w:hAnsi="Garamond" w:cs="Arial"/>
          <w:sz w:val="24"/>
          <w:szCs w:val="24"/>
          <w:lang w:val="pt-PT"/>
        </w:rPr>
        <w:t>Violência</w:t>
      </w:r>
      <w:r w:rsidRPr="003A1174">
        <w:rPr>
          <w:rFonts w:ascii="Garamond" w:hAnsi="Garamond" w:cs="Arial"/>
          <w:sz w:val="24"/>
          <w:szCs w:val="24"/>
          <w:lang w:val="pt-PT"/>
        </w:rPr>
        <w:t xml:space="preserve"> </w:t>
      </w:r>
      <w:r w:rsidR="00BB2B00" w:rsidRPr="003A1174">
        <w:rPr>
          <w:rFonts w:ascii="Garamond" w:hAnsi="Garamond" w:cs="Arial"/>
          <w:sz w:val="24"/>
          <w:szCs w:val="24"/>
          <w:lang w:val="pt-PT"/>
        </w:rPr>
        <w:t>contra a</w:t>
      </w:r>
      <w:r w:rsidRPr="003A1174">
        <w:rPr>
          <w:rFonts w:ascii="Garamond" w:hAnsi="Garamond" w:cs="Arial"/>
          <w:sz w:val="24"/>
          <w:szCs w:val="24"/>
          <w:lang w:val="pt-PT"/>
        </w:rPr>
        <w:t xml:space="preserve"> </w:t>
      </w:r>
      <w:r w:rsidR="00AF192F" w:rsidRPr="003A1174">
        <w:rPr>
          <w:rFonts w:ascii="Garamond" w:hAnsi="Garamond" w:cs="Arial"/>
          <w:sz w:val="24"/>
          <w:szCs w:val="24"/>
          <w:lang w:val="pt-PT"/>
        </w:rPr>
        <w:t>Mulher</w:t>
      </w:r>
      <w:r w:rsidRPr="003A1174">
        <w:rPr>
          <w:rFonts w:ascii="Garamond" w:hAnsi="Garamond" w:cs="Arial"/>
          <w:sz w:val="24"/>
          <w:szCs w:val="24"/>
          <w:lang w:val="pt-PT"/>
        </w:rPr>
        <w:t xml:space="preserve"> </w:t>
      </w:r>
      <w:r w:rsidR="00D8285F">
        <w:rPr>
          <w:rFonts w:ascii="Garamond" w:hAnsi="Garamond" w:cs="Arial"/>
          <w:sz w:val="24"/>
          <w:szCs w:val="24"/>
          <w:lang w:val="pt-PT"/>
        </w:rPr>
        <w:t>«</w:t>
      </w:r>
      <w:r w:rsidR="00B14AA6" w:rsidRPr="003A1174">
        <w:rPr>
          <w:rFonts w:ascii="Garamond" w:hAnsi="Garamond" w:cs="Arial"/>
          <w:sz w:val="24"/>
          <w:szCs w:val="24"/>
          <w:lang w:val="pt-PT"/>
        </w:rPr>
        <w:t>Convenção</w:t>
      </w:r>
      <w:r w:rsidRPr="003A1174">
        <w:rPr>
          <w:rFonts w:ascii="Garamond" w:hAnsi="Garamond" w:cs="Arial"/>
          <w:sz w:val="24"/>
          <w:szCs w:val="24"/>
          <w:lang w:val="pt-PT"/>
        </w:rPr>
        <w:t xml:space="preserve"> de Belém do Pará</w:t>
      </w:r>
      <w:r w:rsidR="00D8285F">
        <w:rPr>
          <w:rFonts w:ascii="Garamond" w:hAnsi="Garamond" w:cs="Arial"/>
          <w:sz w:val="24"/>
          <w:szCs w:val="24"/>
          <w:lang w:val="pt-PT"/>
        </w:rPr>
        <w:t>»</w:t>
      </w:r>
      <w:r w:rsidRPr="003A1174">
        <w:rPr>
          <w:rFonts w:ascii="Garamond" w:hAnsi="Garamond" w:cs="Arial"/>
          <w:sz w:val="24"/>
          <w:szCs w:val="24"/>
          <w:lang w:val="pt-PT"/>
        </w:rPr>
        <w:t xml:space="preserve"> (MESECVI) de 26 de </w:t>
      </w:r>
      <w:r w:rsidR="00374785" w:rsidRPr="003A1174">
        <w:rPr>
          <w:rFonts w:ascii="Garamond" w:hAnsi="Garamond" w:cs="Arial"/>
          <w:sz w:val="24"/>
          <w:szCs w:val="24"/>
          <w:lang w:val="pt-PT"/>
        </w:rPr>
        <w:t>outubro</w:t>
      </w:r>
      <w:r w:rsidRPr="003A1174">
        <w:rPr>
          <w:rFonts w:ascii="Garamond" w:hAnsi="Garamond" w:cs="Arial"/>
          <w:sz w:val="24"/>
          <w:szCs w:val="24"/>
          <w:lang w:val="pt-PT"/>
        </w:rPr>
        <w:t xml:space="preserve"> de 2004.</w:t>
      </w:r>
    </w:p>
    <w:p w:rsidR="004C140F" w:rsidRPr="003A1174" w:rsidRDefault="004C140F" w:rsidP="00144B9F">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Consenso </w:t>
      </w:r>
      <w:r w:rsidR="00946348" w:rsidRPr="003A1174">
        <w:rPr>
          <w:rFonts w:ascii="Garamond" w:hAnsi="Garamond" w:cs="Arial"/>
          <w:sz w:val="24"/>
          <w:szCs w:val="24"/>
          <w:lang w:val="pt-PT"/>
        </w:rPr>
        <w:t>do México</w:t>
      </w:r>
      <w:r w:rsidRPr="003A1174">
        <w:rPr>
          <w:rFonts w:ascii="Garamond" w:hAnsi="Garamond" w:cs="Arial"/>
          <w:sz w:val="24"/>
          <w:szCs w:val="24"/>
          <w:lang w:val="pt-PT"/>
        </w:rPr>
        <w:t xml:space="preserve">. Nona </w:t>
      </w:r>
      <w:r w:rsidR="00077461" w:rsidRPr="003A1174">
        <w:rPr>
          <w:rFonts w:ascii="Garamond" w:hAnsi="Garamond" w:cs="Arial"/>
          <w:sz w:val="24"/>
          <w:szCs w:val="24"/>
          <w:lang w:val="pt-PT"/>
        </w:rPr>
        <w:t>Conferência</w:t>
      </w:r>
      <w:r w:rsidR="00144B9F" w:rsidRPr="003A1174">
        <w:rPr>
          <w:rFonts w:ascii="Garamond" w:hAnsi="Garamond" w:cs="Arial"/>
          <w:sz w:val="24"/>
          <w:szCs w:val="24"/>
          <w:lang w:val="pt-PT"/>
        </w:rPr>
        <w:t xml:space="preserve"> Regional sobre </w:t>
      </w:r>
      <w:r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00144B9F" w:rsidRPr="003A1174">
        <w:rPr>
          <w:rFonts w:ascii="Garamond" w:hAnsi="Garamond" w:cs="Arial"/>
          <w:sz w:val="24"/>
          <w:szCs w:val="24"/>
          <w:lang w:val="pt-PT"/>
        </w:rPr>
        <w:t xml:space="preserve"> da</w:t>
      </w:r>
      <w:r w:rsidRPr="003A1174">
        <w:rPr>
          <w:rFonts w:ascii="Garamond" w:hAnsi="Garamond" w:cs="Arial"/>
          <w:sz w:val="24"/>
          <w:szCs w:val="24"/>
          <w:lang w:val="pt-PT"/>
        </w:rPr>
        <w:t xml:space="preserve"> América Latina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144B9F" w:rsidRPr="003A1174">
        <w:rPr>
          <w:rFonts w:ascii="Garamond" w:hAnsi="Garamond" w:cs="Arial"/>
          <w:sz w:val="24"/>
          <w:szCs w:val="24"/>
          <w:lang w:val="pt-PT"/>
        </w:rPr>
        <w:t xml:space="preserve">do </w:t>
      </w:r>
      <w:r w:rsidRPr="003A1174">
        <w:rPr>
          <w:rFonts w:ascii="Garamond" w:hAnsi="Garamond" w:cs="Arial"/>
          <w:sz w:val="24"/>
          <w:szCs w:val="24"/>
          <w:lang w:val="pt-PT"/>
        </w:rPr>
        <w:t xml:space="preserve">Caribe. CEPAL (10 a 12 de </w:t>
      </w:r>
      <w:r w:rsidR="00077461" w:rsidRPr="003A1174">
        <w:rPr>
          <w:rFonts w:ascii="Garamond" w:hAnsi="Garamond" w:cs="Arial"/>
          <w:sz w:val="24"/>
          <w:szCs w:val="24"/>
          <w:lang w:val="pt-PT"/>
        </w:rPr>
        <w:t>junho</w:t>
      </w:r>
      <w:r w:rsidRPr="003A1174">
        <w:rPr>
          <w:rFonts w:ascii="Garamond" w:hAnsi="Garamond" w:cs="Arial"/>
          <w:sz w:val="24"/>
          <w:szCs w:val="24"/>
          <w:lang w:val="pt-PT"/>
        </w:rPr>
        <w:t xml:space="preserve"> de 2004).</w:t>
      </w:r>
    </w:p>
    <w:p w:rsidR="004C140F" w:rsidRPr="003A1174" w:rsidRDefault="004C140F" w:rsidP="00144B9F">
      <w:pPr>
        <w:pStyle w:val="Prrafodelista"/>
        <w:numPr>
          <w:ilvl w:val="0"/>
          <w:numId w:val="17"/>
        </w:numPr>
        <w:spacing w:line="240" w:lineRule="auto"/>
        <w:jc w:val="both"/>
        <w:rPr>
          <w:rFonts w:ascii="Garamond" w:hAnsi="Garamond" w:cs="Arial"/>
          <w:sz w:val="24"/>
          <w:szCs w:val="24"/>
          <w:lang w:val="pt-PT"/>
        </w:rPr>
      </w:pPr>
      <w:r w:rsidRPr="003A1174">
        <w:rPr>
          <w:rFonts w:ascii="Garamond" w:hAnsi="Garamond" w:cs="Arial"/>
          <w:sz w:val="24"/>
          <w:szCs w:val="24"/>
          <w:lang w:val="pt-PT"/>
        </w:rPr>
        <w:t xml:space="preserve">Consenso de Quito. Décima </w:t>
      </w:r>
      <w:r w:rsidR="00077461" w:rsidRPr="003A1174">
        <w:rPr>
          <w:rFonts w:ascii="Garamond" w:hAnsi="Garamond" w:cs="Arial"/>
          <w:sz w:val="24"/>
          <w:szCs w:val="24"/>
          <w:lang w:val="pt-PT"/>
        </w:rPr>
        <w:t>Conferência</w:t>
      </w:r>
      <w:r w:rsidR="00144B9F" w:rsidRPr="003A1174">
        <w:rPr>
          <w:rFonts w:ascii="Garamond" w:hAnsi="Garamond" w:cs="Arial"/>
          <w:sz w:val="24"/>
          <w:szCs w:val="24"/>
          <w:lang w:val="pt-PT"/>
        </w:rPr>
        <w:t xml:space="preserve"> Regional sobre </w:t>
      </w:r>
      <w:r w:rsidRPr="003A1174">
        <w:rPr>
          <w:rFonts w:ascii="Garamond" w:hAnsi="Garamond" w:cs="Arial"/>
          <w:sz w:val="24"/>
          <w:szCs w:val="24"/>
          <w:lang w:val="pt-PT"/>
        </w:rPr>
        <w:t xml:space="preserve">a </w:t>
      </w:r>
      <w:r w:rsidR="00AF192F" w:rsidRPr="003A1174">
        <w:rPr>
          <w:rFonts w:ascii="Garamond" w:hAnsi="Garamond" w:cs="Arial"/>
          <w:sz w:val="24"/>
          <w:szCs w:val="24"/>
          <w:lang w:val="pt-PT"/>
        </w:rPr>
        <w:t>Mulher</w:t>
      </w:r>
      <w:r w:rsidRPr="003A1174">
        <w:rPr>
          <w:rFonts w:ascii="Garamond" w:hAnsi="Garamond" w:cs="Arial"/>
          <w:sz w:val="24"/>
          <w:szCs w:val="24"/>
          <w:lang w:val="pt-PT"/>
        </w:rPr>
        <w:t xml:space="preserve"> d</w:t>
      </w:r>
      <w:r w:rsidR="00144B9F" w:rsidRPr="003A1174">
        <w:rPr>
          <w:rFonts w:ascii="Garamond" w:hAnsi="Garamond" w:cs="Arial"/>
          <w:sz w:val="24"/>
          <w:szCs w:val="24"/>
          <w:lang w:val="pt-PT"/>
        </w:rPr>
        <w:t>a</w:t>
      </w:r>
      <w:r w:rsidRPr="003A1174">
        <w:rPr>
          <w:rFonts w:ascii="Garamond" w:hAnsi="Garamond" w:cs="Arial"/>
          <w:sz w:val="24"/>
          <w:szCs w:val="24"/>
          <w:lang w:val="pt-PT"/>
        </w:rPr>
        <w:t xml:space="preserve"> América Latina </w:t>
      </w:r>
      <w:r w:rsidR="000672E8" w:rsidRPr="003A1174">
        <w:rPr>
          <w:rFonts w:ascii="Garamond" w:hAnsi="Garamond" w:cs="Arial"/>
          <w:sz w:val="24"/>
          <w:szCs w:val="24"/>
          <w:lang w:val="pt-PT"/>
        </w:rPr>
        <w:t>e</w:t>
      </w:r>
      <w:r w:rsidRPr="003A1174">
        <w:rPr>
          <w:rFonts w:ascii="Garamond" w:hAnsi="Garamond" w:cs="Arial"/>
          <w:sz w:val="24"/>
          <w:szCs w:val="24"/>
          <w:lang w:val="pt-PT"/>
        </w:rPr>
        <w:t xml:space="preserve"> </w:t>
      </w:r>
      <w:r w:rsidR="00144B9F" w:rsidRPr="003A1174">
        <w:rPr>
          <w:rFonts w:ascii="Garamond" w:hAnsi="Garamond" w:cs="Arial"/>
          <w:sz w:val="24"/>
          <w:szCs w:val="24"/>
          <w:lang w:val="pt-PT"/>
        </w:rPr>
        <w:t xml:space="preserve">do </w:t>
      </w:r>
      <w:r w:rsidRPr="003A1174">
        <w:rPr>
          <w:rFonts w:ascii="Garamond" w:hAnsi="Garamond" w:cs="Arial"/>
          <w:sz w:val="24"/>
          <w:szCs w:val="24"/>
          <w:lang w:val="pt-PT"/>
        </w:rPr>
        <w:t xml:space="preserve">Caribe. </w:t>
      </w:r>
      <w:r w:rsidR="00144B9F" w:rsidRPr="003A1174">
        <w:rPr>
          <w:rFonts w:ascii="Garamond" w:hAnsi="Garamond" w:cs="Arial"/>
          <w:sz w:val="24"/>
          <w:szCs w:val="24"/>
          <w:lang w:val="pt-PT"/>
        </w:rPr>
        <w:t>CEPAL (6</w:t>
      </w:r>
      <w:r w:rsidRPr="003A1174">
        <w:rPr>
          <w:rFonts w:ascii="Garamond" w:hAnsi="Garamond" w:cs="Arial"/>
          <w:sz w:val="24"/>
          <w:szCs w:val="24"/>
          <w:lang w:val="pt-PT"/>
        </w:rPr>
        <w:t xml:space="preserve"> a 9 de agosto de 2007)</w:t>
      </w:r>
      <w:r w:rsidR="00D8285F">
        <w:rPr>
          <w:rFonts w:ascii="Garamond" w:hAnsi="Garamond" w:cs="Arial"/>
          <w:sz w:val="24"/>
          <w:szCs w:val="24"/>
          <w:lang w:val="pt-PT"/>
        </w:rPr>
        <w:t>.</w:t>
      </w:r>
    </w:p>
    <w:p w:rsidR="004C140F" w:rsidRPr="003A1174" w:rsidRDefault="004C140F" w:rsidP="008719D4">
      <w:pPr>
        <w:pStyle w:val="Prrafodelista"/>
        <w:numPr>
          <w:ilvl w:val="0"/>
          <w:numId w:val="17"/>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Instrumentos relacionados co</w:t>
      </w:r>
      <w:r w:rsidR="008E7A2A" w:rsidRPr="003A1174">
        <w:rPr>
          <w:rFonts w:ascii="Garamond" w:hAnsi="Garamond" w:cs="Arial"/>
          <w:sz w:val="24"/>
          <w:szCs w:val="24"/>
          <w:lang w:val="pt-PT"/>
        </w:rPr>
        <w:t xml:space="preserve">m </w:t>
      </w:r>
      <w:r w:rsidRPr="003A1174">
        <w:rPr>
          <w:rFonts w:ascii="Garamond" w:hAnsi="Garamond" w:cs="Arial"/>
          <w:sz w:val="24"/>
          <w:szCs w:val="24"/>
          <w:lang w:val="pt-PT"/>
        </w:rPr>
        <w:t xml:space="preserve">a </w:t>
      </w:r>
      <w:r w:rsidR="008E7A2A" w:rsidRPr="003A1174">
        <w:rPr>
          <w:rFonts w:ascii="Garamond" w:hAnsi="Garamond" w:cs="Arial"/>
          <w:sz w:val="24"/>
          <w:szCs w:val="24"/>
          <w:lang w:val="pt-PT"/>
        </w:rPr>
        <w:t>Organização</w:t>
      </w:r>
      <w:r w:rsidRPr="003A1174">
        <w:rPr>
          <w:rFonts w:ascii="Garamond" w:hAnsi="Garamond" w:cs="Arial"/>
          <w:sz w:val="24"/>
          <w:szCs w:val="24"/>
          <w:lang w:val="pt-PT"/>
        </w:rPr>
        <w:t xml:space="preserve"> Internacional d</w:t>
      </w:r>
      <w:r w:rsidR="008E7A2A" w:rsidRPr="003A1174">
        <w:rPr>
          <w:rFonts w:ascii="Garamond" w:hAnsi="Garamond" w:cs="Arial"/>
          <w:sz w:val="24"/>
          <w:szCs w:val="24"/>
          <w:lang w:val="pt-PT"/>
        </w:rPr>
        <w:t>o</w:t>
      </w:r>
      <w:r w:rsidRPr="003A1174">
        <w:rPr>
          <w:rFonts w:ascii="Garamond" w:hAnsi="Garamond" w:cs="Arial"/>
          <w:sz w:val="24"/>
          <w:szCs w:val="24"/>
          <w:lang w:val="pt-PT"/>
        </w:rPr>
        <w:t xml:space="preserve"> </w:t>
      </w:r>
      <w:r w:rsidR="0017447A" w:rsidRPr="003A1174">
        <w:rPr>
          <w:rFonts w:ascii="Garamond" w:hAnsi="Garamond" w:cs="Arial"/>
          <w:sz w:val="24"/>
          <w:szCs w:val="24"/>
          <w:lang w:val="pt-PT"/>
        </w:rPr>
        <w:t>Trabalho</w:t>
      </w:r>
      <w:r w:rsidRPr="003A1174">
        <w:rPr>
          <w:rFonts w:ascii="Garamond" w:hAnsi="Garamond" w:cs="Arial"/>
          <w:sz w:val="24"/>
          <w:szCs w:val="24"/>
          <w:lang w:val="pt-PT"/>
        </w:rPr>
        <w:t xml:space="preserve"> (OIT) </w:t>
      </w:r>
    </w:p>
    <w:p w:rsidR="00144B9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Convenções:</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89 (revis</w:t>
      </w:r>
      <w:r w:rsidRPr="003A1174">
        <w:rPr>
          <w:rFonts w:ascii="Garamond" w:hAnsi="Garamond" w:cs="Arial"/>
          <w:sz w:val="24"/>
          <w:szCs w:val="24"/>
          <w:lang w:val="pt-PT"/>
        </w:rPr>
        <w:t>ta</w:t>
      </w:r>
      <w:r w:rsidR="004C140F" w:rsidRPr="003A1174">
        <w:rPr>
          <w:rFonts w:ascii="Garamond" w:hAnsi="Garamond" w:cs="Arial"/>
          <w:sz w:val="24"/>
          <w:szCs w:val="24"/>
          <w:lang w:val="pt-PT"/>
        </w:rPr>
        <w:t>) sobre</w:t>
      </w:r>
      <w:r w:rsidR="008E7A2A" w:rsidRPr="003A1174">
        <w:rPr>
          <w:rFonts w:ascii="Garamond" w:hAnsi="Garamond" w:cs="Arial"/>
          <w:sz w:val="24"/>
          <w:szCs w:val="24"/>
          <w:lang w:val="pt-PT"/>
        </w:rPr>
        <w:t xml:space="preserve"> o</w:t>
      </w:r>
      <w:r w:rsidR="004C140F" w:rsidRPr="003A1174">
        <w:rPr>
          <w:rFonts w:ascii="Garamond" w:hAnsi="Garamond" w:cs="Arial"/>
          <w:sz w:val="24"/>
          <w:szCs w:val="24"/>
          <w:lang w:val="pt-PT"/>
        </w:rPr>
        <w:t xml:space="preserve"> </w:t>
      </w:r>
      <w:r w:rsidR="0017447A" w:rsidRPr="003A1174">
        <w:rPr>
          <w:rFonts w:ascii="Garamond" w:hAnsi="Garamond" w:cs="Arial"/>
          <w:sz w:val="24"/>
          <w:szCs w:val="24"/>
          <w:lang w:val="pt-PT"/>
        </w:rPr>
        <w:t>Trabalho</w:t>
      </w:r>
      <w:r w:rsidR="004C140F" w:rsidRPr="003A1174">
        <w:rPr>
          <w:rFonts w:ascii="Garamond" w:hAnsi="Garamond" w:cs="Arial"/>
          <w:sz w:val="24"/>
          <w:szCs w:val="24"/>
          <w:lang w:val="pt-PT"/>
        </w:rPr>
        <w:t xml:space="preserve"> Noturno (</w:t>
      </w:r>
      <w:r w:rsidR="00054EE0" w:rsidRPr="003A1174">
        <w:rPr>
          <w:rFonts w:ascii="Garamond" w:hAnsi="Garamond" w:cs="Arial"/>
          <w:sz w:val="24"/>
          <w:szCs w:val="24"/>
          <w:lang w:val="pt-PT"/>
        </w:rPr>
        <w:t>Mulheres</w:t>
      </w:r>
      <w:r w:rsidR="004C140F" w:rsidRPr="003A1174">
        <w:rPr>
          <w:rFonts w:ascii="Garamond" w:hAnsi="Garamond" w:cs="Arial"/>
          <w:sz w:val="24"/>
          <w:szCs w:val="24"/>
          <w:lang w:val="pt-PT"/>
        </w:rPr>
        <w:t>) (1948)</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100 sobre Igualdad</w:t>
      </w:r>
      <w:r w:rsidR="008E7A2A" w:rsidRPr="003A1174">
        <w:rPr>
          <w:rFonts w:ascii="Garamond" w:hAnsi="Garamond" w:cs="Arial"/>
          <w:sz w:val="24"/>
          <w:szCs w:val="24"/>
          <w:lang w:val="pt-PT"/>
        </w:rPr>
        <w:t>e</w:t>
      </w:r>
      <w:r w:rsidR="004C140F" w:rsidRPr="003A1174">
        <w:rPr>
          <w:rFonts w:ascii="Garamond" w:hAnsi="Garamond" w:cs="Arial"/>
          <w:sz w:val="24"/>
          <w:szCs w:val="24"/>
          <w:lang w:val="pt-PT"/>
        </w:rPr>
        <w:t xml:space="preserve"> de </w:t>
      </w:r>
      <w:r w:rsidR="008E7A2A" w:rsidRPr="003A1174">
        <w:rPr>
          <w:rFonts w:ascii="Garamond" w:hAnsi="Garamond" w:cs="Arial"/>
          <w:sz w:val="24"/>
          <w:szCs w:val="24"/>
          <w:lang w:val="pt-PT"/>
        </w:rPr>
        <w:t>Remuneração</w:t>
      </w:r>
      <w:r w:rsidR="004C140F" w:rsidRPr="003A1174">
        <w:rPr>
          <w:rFonts w:ascii="Garamond" w:hAnsi="Garamond" w:cs="Arial"/>
          <w:sz w:val="24"/>
          <w:szCs w:val="24"/>
          <w:lang w:val="pt-PT"/>
        </w:rPr>
        <w:t xml:space="preserve"> (1951)</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 xml:space="preserve">Convenção 111 sobre </w:t>
      </w:r>
      <w:r w:rsidR="004C140F" w:rsidRPr="003A1174">
        <w:rPr>
          <w:rFonts w:ascii="Garamond" w:hAnsi="Garamond" w:cs="Arial"/>
          <w:sz w:val="24"/>
          <w:szCs w:val="24"/>
          <w:lang w:val="pt-PT"/>
        </w:rPr>
        <w:t xml:space="preserve">a </w:t>
      </w:r>
      <w:r w:rsidR="0017447A" w:rsidRPr="003A1174">
        <w:rPr>
          <w:rFonts w:ascii="Garamond" w:hAnsi="Garamond" w:cs="Arial"/>
          <w:sz w:val="24"/>
          <w:szCs w:val="24"/>
          <w:lang w:val="pt-PT"/>
        </w:rPr>
        <w:t>Discriminação</w:t>
      </w:r>
      <w:r w:rsidR="004C140F" w:rsidRPr="003A1174">
        <w:rPr>
          <w:rFonts w:ascii="Garamond" w:hAnsi="Garamond" w:cs="Arial"/>
          <w:sz w:val="24"/>
          <w:szCs w:val="24"/>
          <w:lang w:val="pt-PT"/>
        </w:rPr>
        <w:t xml:space="preserve"> (</w:t>
      </w:r>
      <w:r w:rsidR="00046E19" w:rsidRPr="003A1174">
        <w:rPr>
          <w:rFonts w:ascii="Garamond" w:hAnsi="Garamond" w:cs="Arial"/>
          <w:sz w:val="24"/>
          <w:szCs w:val="24"/>
          <w:lang w:val="pt-PT"/>
        </w:rPr>
        <w:t>emprego</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ocupa</w:t>
      </w:r>
      <w:r w:rsidR="00C751FC" w:rsidRPr="003A1174">
        <w:rPr>
          <w:rFonts w:ascii="Garamond" w:hAnsi="Garamond" w:cs="Arial"/>
          <w:sz w:val="24"/>
          <w:szCs w:val="24"/>
          <w:lang w:val="pt-PT"/>
        </w:rPr>
        <w:t>ção</w:t>
      </w:r>
      <w:r w:rsidR="004C140F" w:rsidRPr="003A1174">
        <w:rPr>
          <w:rFonts w:ascii="Garamond" w:hAnsi="Garamond" w:cs="Arial"/>
          <w:sz w:val="24"/>
          <w:szCs w:val="24"/>
          <w:lang w:val="pt-PT"/>
        </w:rPr>
        <w:t>) (1960)</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144B9F">
      <w:pPr>
        <w:pStyle w:val="Prrafodelista"/>
        <w:numPr>
          <w:ilvl w:val="0"/>
          <w:numId w:val="55"/>
        </w:numPr>
        <w:tabs>
          <w:tab w:val="left" w:pos="2765"/>
        </w:tabs>
        <w:spacing w:after="0" w:line="240" w:lineRule="auto"/>
        <w:jc w:val="both"/>
        <w:rPr>
          <w:rFonts w:ascii="Garamond" w:hAnsi="Garamond" w:cs="Arial"/>
          <w:sz w:val="24"/>
          <w:szCs w:val="24"/>
          <w:lang w:val="pt-PT"/>
        </w:rPr>
      </w:pPr>
      <w:r w:rsidRPr="003A1174">
        <w:rPr>
          <w:rFonts w:ascii="Garamond" w:hAnsi="Garamond" w:cs="Arial"/>
          <w:sz w:val="24"/>
          <w:szCs w:val="24"/>
          <w:lang w:val="pt-PT"/>
        </w:rPr>
        <w:t xml:space="preserve">Convenção 156 sobre </w:t>
      </w:r>
      <w:r w:rsidR="004C140F" w:rsidRPr="003A1174">
        <w:rPr>
          <w:rFonts w:ascii="Garamond" w:hAnsi="Garamond" w:cs="Arial"/>
          <w:sz w:val="24"/>
          <w:szCs w:val="24"/>
          <w:lang w:val="pt-PT"/>
        </w:rPr>
        <w:t xml:space="preserve">os </w:t>
      </w:r>
      <w:r w:rsidR="008E7A2A" w:rsidRPr="003A1174">
        <w:rPr>
          <w:rFonts w:ascii="Garamond" w:hAnsi="Garamond" w:cs="Arial"/>
          <w:sz w:val="24"/>
          <w:szCs w:val="24"/>
          <w:lang w:val="pt-PT"/>
        </w:rPr>
        <w:t>Trabalhadores</w:t>
      </w:r>
      <w:r w:rsidR="004C140F" w:rsidRPr="003A1174">
        <w:rPr>
          <w:rFonts w:ascii="Garamond" w:hAnsi="Garamond" w:cs="Arial"/>
          <w:sz w:val="24"/>
          <w:szCs w:val="24"/>
          <w:lang w:val="pt-PT"/>
        </w:rPr>
        <w:t xml:space="preserve"> co</w:t>
      </w:r>
      <w:r w:rsidRPr="003A1174">
        <w:rPr>
          <w:rFonts w:ascii="Garamond" w:hAnsi="Garamond" w:cs="Arial"/>
          <w:sz w:val="24"/>
          <w:szCs w:val="24"/>
          <w:lang w:val="pt-PT"/>
        </w:rPr>
        <w:t>m</w:t>
      </w:r>
      <w:r w:rsidR="004C140F" w:rsidRPr="003A1174">
        <w:rPr>
          <w:rFonts w:ascii="Garamond" w:hAnsi="Garamond" w:cs="Arial"/>
          <w:sz w:val="24"/>
          <w:szCs w:val="24"/>
          <w:lang w:val="pt-PT"/>
        </w:rPr>
        <w:t xml:space="preserve"> Responsabilidades Familiares (1981)</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lastRenderedPageBreak/>
        <w:t>Convenção</w:t>
      </w:r>
      <w:r w:rsidR="004C140F" w:rsidRPr="003A1174">
        <w:rPr>
          <w:rFonts w:ascii="Garamond" w:hAnsi="Garamond" w:cs="Arial"/>
          <w:sz w:val="24"/>
          <w:szCs w:val="24"/>
          <w:lang w:val="pt-PT"/>
        </w:rPr>
        <w:t xml:space="preserve"> 169 sobre P</w:t>
      </w:r>
      <w:r w:rsidRPr="003A1174">
        <w:rPr>
          <w:rFonts w:ascii="Garamond" w:hAnsi="Garamond" w:cs="Arial"/>
          <w:sz w:val="24"/>
          <w:szCs w:val="24"/>
          <w:lang w:val="pt-PT"/>
        </w:rPr>
        <w:t>ov</w:t>
      </w:r>
      <w:r w:rsidR="004C140F" w:rsidRPr="003A1174">
        <w:rPr>
          <w:rFonts w:ascii="Garamond" w:hAnsi="Garamond" w:cs="Arial"/>
          <w:sz w:val="24"/>
          <w:szCs w:val="24"/>
          <w:lang w:val="pt-PT"/>
        </w:rPr>
        <w:t xml:space="preserve">os Indígenas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Triba</w:t>
      </w:r>
      <w:r w:rsidRPr="003A1174">
        <w:rPr>
          <w:rFonts w:ascii="Garamond" w:hAnsi="Garamond" w:cs="Arial"/>
          <w:sz w:val="24"/>
          <w:szCs w:val="24"/>
          <w:lang w:val="pt-PT"/>
        </w:rPr>
        <w:t>i</w:t>
      </w:r>
      <w:r w:rsidR="004C140F" w:rsidRPr="003A1174">
        <w:rPr>
          <w:rFonts w:ascii="Garamond" w:hAnsi="Garamond" w:cs="Arial"/>
          <w:sz w:val="24"/>
          <w:szCs w:val="24"/>
          <w:lang w:val="pt-PT"/>
        </w:rPr>
        <w:t>s (1989)</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171 sobre </w:t>
      </w:r>
      <w:r w:rsidR="00D04392" w:rsidRPr="003A1174">
        <w:rPr>
          <w:rFonts w:ascii="Garamond" w:hAnsi="Garamond" w:cs="Arial"/>
          <w:sz w:val="24"/>
          <w:szCs w:val="24"/>
          <w:lang w:val="pt-PT"/>
        </w:rPr>
        <w:t>o</w:t>
      </w:r>
      <w:r w:rsidR="004C140F" w:rsidRPr="003A1174">
        <w:rPr>
          <w:rFonts w:ascii="Garamond" w:hAnsi="Garamond" w:cs="Arial"/>
          <w:sz w:val="24"/>
          <w:szCs w:val="24"/>
          <w:lang w:val="pt-PT"/>
        </w:rPr>
        <w:t xml:space="preserve"> </w:t>
      </w:r>
      <w:r w:rsidR="0017447A" w:rsidRPr="003A1174">
        <w:rPr>
          <w:rFonts w:ascii="Garamond" w:hAnsi="Garamond" w:cs="Arial"/>
          <w:sz w:val="24"/>
          <w:szCs w:val="24"/>
          <w:lang w:val="pt-PT"/>
        </w:rPr>
        <w:t>Trabalho</w:t>
      </w:r>
      <w:r w:rsidR="004C140F" w:rsidRPr="003A1174">
        <w:rPr>
          <w:rFonts w:ascii="Garamond" w:hAnsi="Garamond" w:cs="Arial"/>
          <w:sz w:val="24"/>
          <w:szCs w:val="24"/>
          <w:lang w:val="pt-PT"/>
        </w:rPr>
        <w:t xml:space="preserve"> Noturno (1990)</w:t>
      </w:r>
      <w:r w:rsidR="00D8285F">
        <w:rPr>
          <w:rFonts w:ascii="Garamond" w:hAnsi="Garamond" w:cs="Arial"/>
          <w:sz w:val="24"/>
          <w:szCs w:val="24"/>
          <w:lang w:val="pt-PT"/>
        </w:rPr>
        <w:t>.</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175 sobre </w:t>
      </w:r>
      <w:r w:rsidR="00D04392" w:rsidRPr="003A1174">
        <w:rPr>
          <w:rFonts w:ascii="Garamond" w:hAnsi="Garamond" w:cs="Arial"/>
          <w:sz w:val="24"/>
          <w:szCs w:val="24"/>
          <w:lang w:val="pt-PT"/>
        </w:rPr>
        <w:t xml:space="preserve">o </w:t>
      </w:r>
      <w:r w:rsidR="0017447A" w:rsidRPr="003A1174">
        <w:rPr>
          <w:rFonts w:ascii="Garamond" w:hAnsi="Garamond" w:cs="Arial"/>
          <w:sz w:val="24"/>
          <w:szCs w:val="24"/>
          <w:lang w:val="pt-PT"/>
        </w:rPr>
        <w:t>Trabalho</w:t>
      </w:r>
      <w:r w:rsidR="004C140F" w:rsidRPr="003A1174">
        <w:rPr>
          <w:rFonts w:ascii="Garamond" w:hAnsi="Garamond" w:cs="Arial"/>
          <w:sz w:val="24"/>
          <w:szCs w:val="24"/>
          <w:lang w:val="pt-PT"/>
        </w:rPr>
        <w:t xml:space="preserve"> a </w:t>
      </w:r>
      <w:r w:rsidR="003F012B" w:rsidRPr="003A1174">
        <w:rPr>
          <w:rFonts w:ascii="Garamond" w:hAnsi="Garamond" w:cs="Arial"/>
          <w:sz w:val="24"/>
          <w:szCs w:val="24"/>
          <w:lang w:val="pt-PT"/>
        </w:rPr>
        <w:t>Tempo</w:t>
      </w:r>
      <w:r w:rsidR="004C140F" w:rsidRPr="003A1174">
        <w:rPr>
          <w:rFonts w:ascii="Garamond" w:hAnsi="Garamond" w:cs="Arial"/>
          <w:sz w:val="24"/>
          <w:szCs w:val="24"/>
          <w:lang w:val="pt-PT"/>
        </w:rPr>
        <w:t xml:space="preserve"> Parcial (1994)</w:t>
      </w:r>
      <w:r w:rsidR="00D8285F">
        <w:rPr>
          <w:rFonts w:ascii="Garamond" w:hAnsi="Garamond" w:cs="Arial"/>
          <w:sz w:val="24"/>
          <w:szCs w:val="24"/>
          <w:lang w:val="pt-PT"/>
        </w:rPr>
        <w:t>.</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4C140F" w:rsidRPr="003A1174">
        <w:rPr>
          <w:rFonts w:ascii="Garamond" w:hAnsi="Garamond" w:cs="Arial"/>
          <w:sz w:val="24"/>
          <w:szCs w:val="24"/>
          <w:lang w:val="pt-PT"/>
        </w:rPr>
        <w:t xml:space="preserve"> 176 sobre </w:t>
      </w:r>
      <w:r w:rsidR="00D15AFF" w:rsidRPr="003A1174">
        <w:rPr>
          <w:rFonts w:ascii="Garamond" w:hAnsi="Garamond" w:cs="Arial"/>
          <w:sz w:val="24"/>
          <w:szCs w:val="24"/>
          <w:lang w:val="pt-PT"/>
        </w:rPr>
        <w:t>Segurança</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4C140F" w:rsidRPr="003A1174">
        <w:rPr>
          <w:rFonts w:ascii="Garamond" w:hAnsi="Garamond" w:cs="Arial"/>
          <w:sz w:val="24"/>
          <w:szCs w:val="24"/>
          <w:lang w:val="pt-PT"/>
        </w:rPr>
        <w:t xml:space="preserve"> </w:t>
      </w:r>
      <w:r w:rsidR="007C63D0" w:rsidRPr="003A1174">
        <w:rPr>
          <w:rFonts w:ascii="Garamond" w:hAnsi="Garamond" w:cs="Arial"/>
          <w:sz w:val="24"/>
          <w:szCs w:val="24"/>
          <w:lang w:val="pt-PT"/>
        </w:rPr>
        <w:t>Saúde</w:t>
      </w:r>
      <w:r w:rsidR="004C140F" w:rsidRPr="003A1174">
        <w:rPr>
          <w:rFonts w:ascii="Garamond" w:hAnsi="Garamond" w:cs="Arial"/>
          <w:sz w:val="24"/>
          <w:szCs w:val="24"/>
          <w:lang w:val="pt-PT"/>
        </w:rPr>
        <w:t xml:space="preserve"> </w:t>
      </w:r>
      <w:r w:rsidR="00D04392" w:rsidRPr="003A1174">
        <w:rPr>
          <w:rFonts w:ascii="Garamond" w:hAnsi="Garamond" w:cs="Arial"/>
          <w:sz w:val="24"/>
          <w:szCs w:val="24"/>
          <w:lang w:val="pt-PT"/>
        </w:rPr>
        <w:t>n</w:t>
      </w:r>
      <w:r w:rsidR="004C140F" w:rsidRPr="003A1174">
        <w:rPr>
          <w:rFonts w:ascii="Garamond" w:hAnsi="Garamond" w:cs="Arial"/>
          <w:sz w:val="24"/>
          <w:szCs w:val="24"/>
          <w:lang w:val="pt-PT"/>
        </w:rPr>
        <w:t>as Minas (1995)</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D04392" w:rsidRPr="003A1174">
        <w:rPr>
          <w:rFonts w:ascii="Garamond" w:hAnsi="Garamond" w:cs="Arial"/>
          <w:sz w:val="24"/>
          <w:szCs w:val="24"/>
          <w:lang w:val="pt-PT"/>
        </w:rPr>
        <w:t xml:space="preserve"> 182 sobre </w:t>
      </w:r>
      <w:r w:rsidR="004C140F" w:rsidRPr="003A1174">
        <w:rPr>
          <w:rFonts w:ascii="Garamond" w:hAnsi="Garamond" w:cs="Arial"/>
          <w:sz w:val="24"/>
          <w:szCs w:val="24"/>
          <w:lang w:val="pt-PT"/>
        </w:rPr>
        <w:t xml:space="preserve">as </w:t>
      </w:r>
      <w:r w:rsidR="00D04392" w:rsidRPr="003A1174">
        <w:rPr>
          <w:rFonts w:ascii="Garamond" w:hAnsi="Garamond" w:cs="Arial"/>
          <w:sz w:val="24"/>
          <w:szCs w:val="24"/>
          <w:lang w:val="pt-PT"/>
        </w:rPr>
        <w:t>Pi</w:t>
      </w:r>
      <w:r w:rsidR="004C140F" w:rsidRPr="003A1174">
        <w:rPr>
          <w:rFonts w:ascii="Garamond" w:hAnsi="Garamond" w:cs="Arial"/>
          <w:sz w:val="24"/>
          <w:szCs w:val="24"/>
          <w:lang w:val="pt-PT"/>
        </w:rPr>
        <w:t xml:space="preserve">ores Formas de </w:t>
      </w:r>
      <w:r w:rsidR="0017447A" w:rsidRPr="003A1174">
        <w:rPr>
          <w:rFonts w:ascii="Garamond" w:hAnsi="Garamond" w:cs="Arial"/>
          <w:sz w:val="24"/>
          <w:szCs w:val="24"/>
          <w:lang w:val="pt-PT"/>
        </w:rPr>
        <w:t>Trabalho</w:t>
      </w:r>
      <w:r w:rsidR="004C140F" w:rsidRPr="003A1174">
        <w:rPr>
          <w:rFonts w:ascii="Garamond" w:hAnsi="Garamond" w:cs="Arial"/>
          <w:sz w:val="24"/>
          <w:szCs w:val="24"/>
          <w:lang w:val="pt-PT"/>
        </w:rPr>
        <w:t xml:space="preserve"> Infantil (1999)</w:t>
      </w:r>
      <w:r w:rsidR="00D8285F">
        <w:rPr>
          <w:rFonts w:ascii="Garamond" w:hAnsi="Garamond" w:cs="Arial"/>
          <w:sz w:val="24"/>
          <w:szCs w:val="24"/>
          <w:lang w:val="pt-PT"/>
        </w:rPr>
        <w:t>.</w:t>
      </w:r>
    </w:p>
    <w:p w:rsidR="004C140F" w:rsidRPr="003A1174" w:rsidRDefault="00144B9F" w:rsidP="008719D4">
      <w:pPr>
        <w:pStyle w:val="Prrafodelista"/>
        <w:numPr>
          <w:ilvl w:val="0"/>
          <w:numId w:val="55"/>
        </w:numPr>
        <w:tabs>
          <w:tab w:val="left" w:pos="2765"/>
        </w:tabs>
        <w:spacing w:after="0" w:line="240" w:lineRule="auto"/>
        <w:rPr>
          <w:rFonts w:ascii="Garamond" w:hAnsi="Garamond" w:cs="Arial"/>
          <w:sz w:val="24"/>
          <w:szCs w:val="24"/>
          <w:lang w:val="pt-PT"/>
        </w:rPr>
      </w:pPr>
      <w:r w:rsidRPr="003A1174">
        <w:rPr>
          <w:rFonts w:ascii="Garamond" w:hAnsi="Garamond" w:cs="Arial"/>
          <w:sz w:val="24"/>
          <w:szCs w:val="24"/>
          <w:lang w:val="pt-PT"/>
        </w:rPr>
        <w:t>Convenção</w:t>
      </w:r>
      <w:r w:rsidR="00D04392" w:rsidRPr="003A1174">
        <w:rPr>
          <w:rFonts w:ascii="Garamond" w:hAnsi="Garamond" w:cs="Arial"/>
          <w:sz w:val="24"/>
          <w:szCs w:val="24"/>
          <w:lang w:val="pt-PT"/>
        </w:rPr>
        <w:t xml:space="preserve"> 183 sobre </w:t>
      </w:r>
      <w:r w:rsidR="004C140F" w:rsidRPr="003A1174">
        <w:rPr>
          <w:rFonts w:ascii="Garamond" w:hAnsi="Garamond" w:cs="Arial"/>
          <w:sz w:val="24"/>
          <w:szCs w:val="24"/>
          <w:lang w:val="pt-PT"/>
        </w:rPr>
        <w:t xml:space="preserve">a </w:t>
      </w:r>
      <w:r w:rsidR="00886D6A" w:rsidRPr="003A1174">
        <w:rPr>
          <w:rFonts w:ascii="Garamond" w:hAnsi="Garamond" w:cs="Arial"/>
          <w:sz w:val="24"/>
          <w:szCs w:val="24"/>
          <w:lang w:val="pt-PT"/>
        </w:rPr>
        <w:t>Proteção</w:t>
      </w:r>
      <w:r w:rsidR="004C140F" w:rsidRPr="003A1174">
        <w:rPr>
          <w:rFonts w:ascii="Garamond" w:hAnsi="Garamond" w:cs="Arial"/>
          <w:sz w:val="24"/>
          <w:szCs w:val="24"/>
          <w:lang w:val="pt-PT"/>
        </w:rPr>
        <w:t xml:space="preserve"> da </w:t>
      </w:r>
      <w:r w:rsidR="00462B11" w:rsidRPr="003A1174">
        <w:rPr>
          <w:rFonts w:ascii="Garamond" w:hAnsi="Garamond" w:cs="Arial"/>
          <w:sz w:val="24"/>
          <w:szCs w:val="24"/>
          <w:lang w:val="pt-PT"/>
        </w:rPr>
        <w:t>Maternidade</w:t>
      </w:r>
      <w:r w:rsidR="004C140F" w:rsidRPr="003A1174">
        <w:rPr>
          <w:rFonts w:ascii="Garamond" w:hAnsi="Garamond" w:cs="Arial"/>
          <w:sz w:val="24"/>
          <w:szCs w:val="24"/>
          <w:lang w:val="pt-PT"/>
        </w:rPr>
        <w:t xml:space="preserve"> (2000)</w:t>
      </w:r>
      <w:r w:rsidR="00D8285F">
        <w:rPr>
          <w:rFonts w:ascii="Garamond" w:hAnsi="Garamond" w:cs="Arial"/>
          <w:sz w:val="24"/>
          <w:szCs w:val="24"/>
          <w:lang w:val="pt-PT"/>
        </w:rPr>
        <w:t>.</w:t>
      </w:r>
      <w:r w:rsidR="004C140F" w:rsidRPr="003A1174">
        <w:rPr>
          <w:rFonts w:ascii="Garamond" w:hAnsi="Garamond" w:cs="Arial"/>
          <w:sz w:val="24"/>
          <w:szCs w:val="24"/>
          <w:lang w:val="pt-PT"/>
        </w:rPr>
        <w:t xml:space="preserve"> </w:t>
      </w:r>
    </w:p>
    <w:p w:rsidR="004C140F" w:rsidRPr="003A1174" w:rsidRDefault="00144B9F" w:rsidP="008719D4">
      <w:pPr>
        <w:pStyle w:val="Prrafodelista"/>
        <w:numPr>
          <w:ilvl w:val="0"/>
          <w:numId w:val="55"/>
        </w:numPr>
        <w:tabs>
          <w:tab w:val="left" w:pos="2765"/>
        </w:tabs>
        <w:spacing w:after="0" w:line="240" w:lineRule="auto"/>
        <w:rPr>
          <w:rStyle w:val="apple-converted-space"/>
          <w:rFonts w:ascii="Garamond" w:hAnsi="Garamond" w:cs="Arial"/>
          <w:sz w:val="24"/>
          <w:szCs w:val="24"/>
          <w:lang w:val="pt-PT"/>
        </w:rPr>
      </w:pPr>
      <w:r w:rsidRPr="003A1174">
        <w:rPr>
          <w:rFonts w:ascii="Garamond" w:hAnsi="Garamond" w:cs="Arial"/>
          <w:sz w:val="24"/>
          <w:szCs w:val="24"/>
          <w:lang w:val="pt-PT"/>
        </w:rPr>
        <w:t>Convenção</w:t>
      </w:r>
      <w:r w:rsidR="00D04392" w:rsidRPr="003A1174">
        <w:rPr>
          <w:rFonts w:ascii="Garamond" w:hAnsi="Garamond" w:cs="Arial"/>
          <w:sz w:val="24"/>
          <w:szCs w:val="24"/>
          <w:lang w:val="pt-PT"/>
        </w:rPr>
        <w:t xml:space="preserve"> 184 sobre </w:t>
      </w:r>
      <w:r w:rsidR="004C140F" w:rsidRPr="003A1174">
        <w:rPr>
          <w:rFonts w:ascii="Garamond" w:hAnsi="Garamond" w:cs="Arial"/>
          <w:sz w:val="24"/>
          <w:szCs w:val="24"/>
          <w:lang w:val="pt-PT"/>
        </w:rPr>
        <w:t xml:space="preserve">a </w:t>
      </w:r>
      <w:r w:rsidR="00D15AFF" w:rsidRPr="003A1174">
        <w:rPr>
          <w:rFonts w:ascii="Garamond" w:hAnsi="Garamond" w:cs="Arial"/>
          <w:sz w:val="24"/>
          <w:szCs w:val="24"/>
          <w:lang w:val="pt-PT"/>
        </w:rPr>
        <w:t>Segurança</w:t>
      </w:r>
      <w:r w:rsidR="004C140F" w:rsidRPr="003A1174">
        <w:rPr>
          <w:rFonts w:ascii="Garamond" w:hAnsi="Garamond" w:cs="Arial"/>
          <w:sz w:val="24"/>
          <w:szCs w:val="24"/>
          <w:lang w:val="pt-PT"/>
        </w:rPr>
        <w:t xml:space="preserve"> </w:t>
      </w:r>
      <w:r w:rsidR="000672E8" w:rsidRPr="003A1174">
        <w:rPr>
          <w:rFonts w:ascii="Garamond" w:hAnsi="Garamond" w:cs="Arial"/>
          <w:sz w:val="24"/>
          <w:szCs w:val="24"/>
          <w:lang w:val="pt-PT"/>
        </w:rPr>
        <w:t>e</w:t>
      </w:r>
      <w:r w:rsidR="00D04392" w:rsidRPr="003A1174">
        <w:rPr>
          <w:rFonts w:ascii="Garamond" w:hAnsi="Garamond" w:cs="Arial"/>
          <w:sz w:val="24"/>
          <w:szCs w:val="24"/>
          <w:lang w:val="pt-PT"/>
        </w:rPr>
        <w:t xml:space="preserve"> </w:t>
      </w:r>
      <w:r w:rsidR="004C140F" w:rsidRPr="003A1174">
        <w:rPr>
          <w:rFonts w:ascii="Garamond" w:hAnsi="Garamond" w:cs="Arial"/>
          <w:sz w:val="24"/>
          <w:szCs w:val="24"/>
          <w:lang w:val="pt-PT"/>
        </w:rPr>
        <w:t xml:space="preserve">a </w:t>
      </w:r>
      <w:r w:rsidR="007C63D0" w:rsidRPr="003A1174">
        <w:rPr>
          <w:rFonts w:ascii="Garamond" w:hAnsi="Garamond" w:cs="Arial"/>
          <w:sz w:val="24"/>
          <w:szCs w:val="24"/>
          <w:lang w:val="pt-PT"/>
        </w:rPr>
        <w:t>Saúde</w:t>
      </w:r>
      <w:r w:rsidR="004C140F" w:rsidRPr="003A1174">
        <w:rPr>
          <w:rFonts w:ascii="Garamond" w:hAnsi="Garamond" w:cs="Arial"/>
          <w:sz w:val="24"/>
          <w:szCs w:val="24"/>
          <w:lang w:val="pt-PT"/>
        </w:rPr>
        <w:t xml:space="preserve"> </w:t>
      </w:r>
      <w:r w:rsidR="00D04392" w:rsidRPr="003A1174">
        <w:rPr>
          <w:rFonts w:ascii="Garamond" w:hAnsi="Garamond" w:cs="Arial"/>
          <w:sz w:val="24"/>
          <w:szCs w:val="24"/>
          <w:lang w:val="pt-PT"/>
        </w:rPr>
        <w:t>n</w:t>
      </w:r>
      <w:r w:rsidR="004C140F" w:rsidRPr="003A1174">
        <w:rPr>
          <w:rFonts w:ascii="Garamond" w:hAnsi="Garamond" w:cs="Arial"/>
          <w:sz w:val="24"/>
          <w:szCs w:val="24"/>
          <w:lang w:val="pt-PT"/>
        </w:rPr>
        <w:t>a Agricultura (2001)</w:t>
      </w:r>
      <w:r w:rsidR="00D8285F">
        <w:rPr>
          <w:rFonts w:ascii="Garamond" w:hAnsi="Garamond" w:cs="Arial"/>
          <w:sz w:val="24"/>
          <w:szCs w:val="24"/>
          <w:lang w:val="pt-PT"/>
        </w:rPr>
        <w:t>.</w:t>
      </w:r>
    </w:p>
    <w:p w:rsidR="004C140F" w:rsidRPr="003A1174" w:rsidRDefault="004C140F" w:rsidP="008719D4">
      <w:pPr>
        <w:spacing w:line="240" w:lineRule="auto"/>
        <w:rPr>
          <w:rFonts w:ascii="Garamond" w:hAnsi="Garamond"/>
          <w:sz w:val="24"/>
          <w:szCs w:val="24"/>
        </w:rPr>
      </w:pPr>
    </w:p>
    <w:p w:rsidR="004C140F" w:rsidRPr="003A1174" w:rsidRDefault="004C140F" w:rsidP="008719D4">
      <w:pPr>
        <w:pStyle w:val="Ttulo1"/>
        <w:spacing w:after="0" w:afterAutospacing="0"/>
        <w:rPr>
          <w:rFonts w:ascii="Garamond" w:hAnsi="Garamond"/>
          <w:szCs w:val="24"/>
          <w:lang w:val="pt-PT"/>
        </w:rPr>
      </w:pPr>
    </w:p>
    <w:sectPr w:rsidR="004C140F" w:rsidRPr="003A1174" w:rsidSect="001C5ABB">
      <w:footerReference w:type="default" r:id="rId3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17" w:rsidRDefault="00BC2C17" w:rsidP="00CA39B2">
      <w:pPr>
        <w:spacing w:after="0" w:line="240" w:lineRule="auto"/>
      </w:pPr>
      <w:r>
        <w:separator/>
      </w:r>
    </w:p>
  </w:endnote>
  <w:endnote w:type="continuationSeparator" w:id="0">
    <w:p w:rsidR="00BC2C17" w:rsidRDefault="00BC2C17" w:rsidP="00C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ntro 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5860"/>
      <w:docPartObj>
        <w:docPartGallery w:val="Page Numbers (Bottom of Page)"/>
        <w:docPartUnique/>
      </w:docPartObj>
    </w:sdtPr>
    <w:sdtEndPr/>
    <w:sdtContent>
      <w:p w:rsidR="007B3401" w:rsidRDefault="007B3401">
        <w:pPr>
          <w:pStyle w:val="Piedepgina"/>
          <w:jc w:val="right"/>
        </w:pPr>
        <w:r>
          <w:fldChar w:fldCharType="begin"/>
        </w:r>
        <w:r>
          <w:instrText>PAGE   \* MERGEFORMAT</w:instrText>
        </w:r>
        <w:r>
          <w:fldChar w:fldCharType="separate"/>
        </w:r>
        <w:r w:rsidR="006D2542" w:rsidRPr="006D2542">
          <w:rPr>
            <w:noProof/>
            <w:lang w:val="es-ES"/>
          </w:rPr>
          <w:t>2</w:t>
        </w:r>
        <w:r>
          <w:rPr>
            <w:noProof/>
            <w:lang w:val="es-ES"/>
          </w:rPr>
          <w:fldChar w:fldCharType="end"/>
        </w:r>
      </w:p>
    </w:sdtContent>
  </w:sdt>
  <w:p w:rsidR="007B3401" w:rsidRDefault="007B3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17" w:rsidRDefault="00BC2C17" w:rsidP="00CA39B2">
      <w:pPr>
        <w:spacing w:after="0" w:line="240" w:lineRule="auto"/>
      </w:pPr>
      <w:r>
        <w:separator/>
      </w:r>
    </w:p>
  </w:footnote>
  <w:footnote w:type="continuationSeparator" w:id="0">
    <w:p w:rsidR="00BC2C17" w:rsidRDefault="00BC2C17" w:rsidP="00CA39B2">
      <w:pPr>
        <w:spacing w:after="0" w:line="240" w:lineRule="auto"/>
      </w:pPr>
      <w:r>
        <w:continuationSeparator/>
      </w:r>
    </w:p>
  </w:footnote>
  <w:footnote w:id="1">
    <w:p w:rsidR="007B3401" w:rsidRPr="008F2153" w:rsidRDefault="007B3401" w:rsidP="00281928">
      <w:pPr>
        <w:pStyle w:val="Textoindependiente3"/>
        <w:spacing w:line="240" w:lineRule="auto"/>
        <w:ind w:left="709" w:hanging="709"/>
        <w:jc w:val="both"/>
        <w:rPr>
          <w:rFonts w:ascii="Garamond" w:hAnsi="Garamond" w:cs="Arial"/>
          <w:sz w:val="20"/>
          <w:szCs w:val="20"/>
        </w:rPr>
      </w:pPr>
      <w:r w:rsidRPr="00D1697B">
        <w:rPr>
          <w:rStyle w:val="Refdenotaalpie"/>
          <w:rFonts w:ascii="Book Antiqua" w:hAnsi="Book Antiqua"/>
          <w:b/>
          <w:sz w:val="24"/>
          <w:szCs w:val="24"/>
        </w:rPr>
        <w:footnoteRef/>
      </w:r>
      <w:r w:rsidRPr="006C760C">
        <w:t xml:space="preserve"> </w:t>
      </w:r>
      <w:r w:rsidRPr="006C760C">
        <w:tab/>
      </w:r>
      <w:r w:rsidRPr="008F2153">
        <w:rPr>
          <w:rFonts w:ascii="Garamond" w:hAnsi="Garamond" w:cs="Arial"/>
          <w:sz w:val="20"/>
          <w:szCs w:val="20"/>
        </w:rPr>
        <w:t xml:space="preserve">O esquema temático apresentado para efeitos da sistematização tentou, também, avaliar a implementação das políticas públicas a favor da mulher, em cada país que nos proporcionou a referida informação. </w:t>
      </w:r>
    </w:p>
    <w:p w:rsidR="007B3401" w:rsidRPr="006C760C" w:rsidRDefault="007B3401" w:rsidP="00165CB5">
      <w:pPr>
        <w:pStyle w:val="Textoindependiente3"/>
        <w:ind w:left="709" w:hanging="709"/>
        <w:jc w:val="both"/>
        <w:rPr>
          <w:rFonts w:ascii="Book Antiqua" w:hAnsi="Book Antiqua"/>
          <w:b/>
          <w:bCs/>
          <w:sz w:val="20"/>
        </w:rPr>
      </w:pPr>
    </w:p>
  </w:footnote>
  <w:footnote w:id="2">
    <w:p w:rsidR="007B3401" w:rsidRPr="008F2153" w:rsidRDefault="007B3401" w:rsidP="00FC7031">
      <w:pPr>
        <w:pStyle w:val="Textoindependiente3"/>
        <w:spacing w:after="0" w:line="240" w:lineRule="auto"/>
        <w:ind w:left="709" w:hanging="709"/>
        <w:jc w:val="both"/>
        <w:rPr>
          <w:rFonts w:ascii="Garamond" w:hAnsi="Garamond"/>
          <w:b/>
          <w:bCs/>
          <w:sz w:val="20"/>
          <w:szCs w:val="20"/>
        </w:rPr>
      </w:pPr>
      <w:r w:rsidRPr="00395DA4">
        <w:rPr>
          <w:rStyle w:val="Refdenotaalpie"/>
          <w:rFonts w:ascii="Book Antiqua" w:hAnsi="Book Antiqua"/>
          <w:b/>
          <w:sz w:val="20"/>
          <w:szCs w:val="20"/>
        </w:rPr>
        <w:footnoteRef/>
      </w:r>
      <w:r w:rsidRPr="00395DA4">
        <w:rPr>
          <w:sz w:val="20"/>
          <w:szCs w:val="20"/>
        </w:rPr>
        <w:t xml:space="preserve"> </w:t>
      </w:r>
      <w:r w:rsidRPr="00CB5DB2">
        <w:tab/>
      </w:r>
      <w:r w:rsidRPr="008F2153">
        <w:rPr>
          <w:rFonts w:ascii="Garamond" w:hAnsi="Garamond" w:cs="Arial"/>
          <w:sz w:val="20"/>
          <w:szCs w:val="20"/>
        </w:rPr>
        <w:t xml:space="preserve">Daqui em diante utilizaremos indistintamente, como equivalentes, as expressões </w:t>
      </w:r>
      <w:r>
        <w:rPr>
          <w:rFonts w:ascii="Garamond" w:hAnsi="Garamond" w:cs="Arial"/>
          <w:sz w:val="20"/>
          <w:szCs w:val="20"/>
        </w:rPr>
        <w:t>«</w:t>
      </w:r>
      <w:r w:rsidRPr="008F2153">
        <w:rPr>
          <w:rFonts w:ascii="Garamond" w:hAnsi="Garamond" w:cs="Arial"/>
          <w:sz w:val="20"/>
          <w:szCs w:val="20"/>
        </w:rPr>
        <w:t>direitos humanos</w:t>
      </w:r>
      <w:r>
        <w:rPr>
          <w:rFonts w:ascii="Garamond" w:hAnsi="Garamond" w:cs="Arial"/>
          <w:sz w:val="20"/>
          <w:szCs w:val="20"/>
        </w:rPr>
        <w:t>»</w:t>
      </w:r>
      <w:r w:rsidRPr="008F2153">
        <w:rPr>
          <w:rFonts w:ascii="Garamond" w:hAnsi="Garamond" w:cs="Arial"/>
          <w:sz w:val="20"/>
          <w:szCs w:val="20"/>
        </w:rPr>
        <w:t xml:space="preserve"> e </w:t>
      </w:r>
      <w:r>
        <w:rPr>
          <w:rFonts w:ascii="Garamond" w:hAnsi="Garamond" w:cs="Arial"/>
          <w:sz w:val="20"/>
          <w:szCs w:val="20"/>
        </w:rPr>
        <w:t>«</w:t>
      </w:r>
      <w:r w:rsidRPr="008F2153">
        <w:rPr>
          <w:rFonts w:ascii="Garamond" w:hAnsi="Garamond" w:cs="Arial"/>
          <w:sz w:val="20"/>
          <w:szCs w:val="20"/>
        </w:rPr>
        <w:t>direitos fundamentais</w:t>
      </w:r>
      <w:r>
        <w:rPr>
          <w:rFonts w:ascii="Garamond" w:hAnsi="Garamond" w:cs="Arial"/>
          <w:sz w:val="20"/>
          <w:szCs w:val="20"/>
        </w:rPr>
        <w:t>»</w:t>
      </w:r>
      <w:r w:rsidRPr="008F2153">
        <w:rPr>
          <w:rFonts w:ascii="Garamond" w:hAnsi="Garamond" w:cs="Arial"/>
          <w:sz w:val="20"/>
          <w:szCs w:val="20"/>
        </w:rPr>
        <w:t>, no sentido em que ambas se referem àqueles direitos que se consideram cruciais para as pessoas humanas.</w:t>
      </w:r>
    </w:p>
  </w:footnote>
  <w:footnote w:id="3">
    <w:p w:rsidR="007B3401" w:rsidRPr="008F2153" w:rsidRDefault="007B3401" w:rsidP="00FC7031">
      <w:pPr>
        <w:pStyle w:val="Textoindependiente3"/>
        <w:spacing w:after="0" w:line="240" w:lineRule="auto"/>
        <w:ind w:left="709" w:hanging="709"/>
        <w:jc w:val="both"/>
        <w:rPr>
          <w:rFonts w:ascii="Garamond" w:hAnsi="Garamond" w:cs="Arial"/>
          <w:bCs/>
          <w:sz w:val="20"/>
          <w:szCs w:val="20"/>
          <w:lang w:val="en-US"/>
        </w:rPr>
      </w:pPr>
      <w:r w:rsidRPr="008F2153">
        <w:rPr>
          <w:rStyle w:val="Refdenotaalpie"/>
          <w:rFonts w:ascii="Garamond" w:hAnsi="Garamond"/>
          <w:b/>
          <w:sz w:val="20"/>
          <w:szCs w:val="20"/>
        </w:rPr>
        <w:footnoteRef/>
      </w:r>
      <w:r w:rsidRPr="008F2153">
        <w:rPr>
          <w:rFonts w:ascii="Garamond" w:hAnsi="Garamond"/>
          <w:sz w:val="20"/>
          <w:szCs w:val="20"/>
        </w:rPr>
        <w:t xml:space="preserve"> </w:t>
      </w:r>
      <w:r w:rsidRPr="008F2153">
        <w:rPr>
          <w:rFonts w:ascii="Garamond" w:hAnsi="Garamond"/>
          <w:sz w:val="20"/>
          <w:szCs w:val="20"/>
        </w:rPr>
        <w:tab/>
      </w:r>
      <w:r w:rsidRPr="008F2153">
        <w:rPr>
          <w:rFonts w:ascii="Garamond" w:hAnsi="Garamond" w:cs="Arial"/>
          <w:i/>
          <w:sz w:val="20"/>
          <w:szCs w:val="20"/>
        </w:rPr>
        <w:t>Cfr.</w:t>
      </w:r>
      <w:r w:rsidRPr="008F2153">
        <w:rPr>
          <w:rFonts w:ascii="Garamond" w:hAnsi="Garamond" w:cs="Arial"/>
          <w:sz w:val="20"/>
          <w:szCs w:val="20"/>
        </w:rPr>
        <w:t xml:space="preserve"> </w:t>
      </w:r>
      <w:r>
        <w:rPr>
          <w:rFonts w:ascii="Garamond" w:hAnsi="Garamond" w:cs="Arial"/>
          <w:sz w:val="20"/>
          <w:szCs w:val="20"/>
        </w:rPr>
        <w:t>Tribunal</w:t>
      </w:r>
      <w:r w:rsidRPr="008F2153">
        <w:rPr>
          <w:rFonts w:ascii="Garamond" w:hAnsi="Garamond" w:cs="Arial"/>
          <w:sz w:val="20"/>
          <w:szCs w:val="20"/>
        </w:rPr>
        <w:t xml:space="preserve"> Interamerican</w:t>
      </w:r>
      <w:r>
        <w:rPr>
          <w:rFonts w:ascii="Garamond" w:hAnsi="Garamond" w:cs="Arial"/>
          <w:sz w:val="20"/>
          <w:szCs w:val="20"/>
        </w:rPr>
        <w:t>o</w:t>
      </w:r>
      <w:r w:rsidRPr="008F2153">
        <w:rPr>
          <w:rFonts w:ascii="Garamond" w:hAnsi="Garamond" w:cs="Arial"/>
          <w:sz w:val="20"/>
          <w:szCs w:val="20"/>
        </w:rPr>
        <w:t xml:space="preserve"> de Direitos Humanos: Opinião Consultiva OC-2/82, de 24 de setembro de 1982; </w:t>
      </w:r>
      <w:r>
        <w:rPr>
          <w:rFonts w:ascii="Garamond" w:hAnsi="Garamond" w:cs="Arial"/>
          <w:i/>
          <w:sz w:val="20"/>
          <w:szCs w:val="20"/>
        </w:rPr>
        <w:t>«</w:t>
      </w:r>
      <w:r w:rsidRPr="008F2153">
        <w:rPr>
          <w:rFonts w:ascii="Garamond" w:hAnsi="Garamond" w:cs="Arial"/>
          <w:i/>
          <w:sz w:val="20"/>
          <w:szCs w:val="20"/>
        </w:rPr>
        <w:t>O efeito das Reservas sobre a entrada em vigência da Convenção Americana sobre Direitos Humanos</w:t>
      </w:r>
      <w:r>
        <w:rPr>
          <w:rFonts w:ascii="Garamond" w:hAnsi="Garamond" w:cs="Arial"/>
          <w:i/>
          <w:sz w:val="20"/>
          <w:szCs w:val="20"/>
        </w:rPr>
        <w:t>»</w:t>
      </w:r>
      <w:r w:rsidRPr="008F2153">
        <w:rPr>
          <w:rFonts w:ascii="Garamond" w:hAnsi="Garamond" w:cs="Arial"/>
          <w:i/>
          <w:sz w:val="20"/>
          <w:szCs w:val="20"/>
        </w:rPr>
        <w:t>. Arts. 74 e 75</w:t>
      </w:r>
      <w:r w:rsidRPr="008F2153">
        <w:rPr>
          <w:rFonts w:ascii="Garamond" w:hAnsi="Garamond" w:cs="Arial"/>
          <w:sz w:val="20"/>
          <w:szCs w:val="20"/>
        </w:rPr>
        <w:t xml:space="preserve">; parág. 29 e 30.  </w:t>
      </w:r>
      <w:hyperlink r:id="rId1" w:history="1">
        <w:r w:rsidRPr="008F2153">
          <w:rPr>
            <w:rStyle w:val="Hipervnculo"/>
            <w:rFonts w:ascii="Garamond" w:hAnsi="Garamond" w:cs="Arial"/>
            <w:sz w:val="20"/>
            <w:szCs w:val="20"/>
          </w:rPr>
          <w:t>http://www.corteidh.or.cr/docs/opiniones/seriea_02_esp.pdf</w:t>
        </w:r>
      </w:hyperlink>
      <w:r w:rsidRPr="008F2153">
        <w:rPr>
          <w:rFonts w:ascii="Garamond" w:hAnsi="Garamond" w:cs="Arial"/>
          <w:sz w:val="20"/>
          <w:szCs w:val="20"/>
        </w:rPr>
        <w:t xml:space="preserve">. A CtIDH utiliza como exemplo o pronunciamento da Comissão Europeia no caso </w:t>
      </w:r>
      <w:r>
        <w:rPr>
          <w:rFonts w:ascii="Garamond" w:eastAsia="Calibri" w:hAnsi="Garamond" w:cs="Arial"/>
          <w:i/>
          <w:sz w:val="20"/>
          <w:szCs w:val="20"/>
        </w:rPr>
        <w:t>«</w:t>
      </w:r>
      <w:r w:rsidRPr="008F2153">
        <w:rPr>
          <w:rFonts w:ascii="Garamond" w:eastAsia="Calibri" w:hAnsi="Garamond" w:cs="Arial"/>
          <w:i/>
          <w:sz w:val="20"/>
          <w:szCs w:val="20"/>
        </w:rPr>
        <w:t xml:space="preserve">Austria </w:t>
      </w:r>
      <w:r w:rsidRPr="008F2153">
        <w:rPr>
          <w:rFonts w:ascii="Garamond" w:eastAsia="Calibri" w:hAnsi="Garamond" w:cs="Arial"/>
          <w:sz w:val="20"/>
          <w:szCs w:val="20"/>
        </w:rPr>
        <w:t>vs.</w:t>
      </w:r>
      <w:r w:rsidRPr="008F2153">
        <w:rPr>
          <w:rFonts w:ascii="Garamond" w:eastAsia="Calibri" w:hAnsi="Garamond" w:cs="Arial"/>
          <w:i/>
          <w:sz w:val="20"/>
          <w:szCs w:val="20"/>
        </w:rPr>
        <w:t xml:space="preserve"> Italy</w:t>
      </w:r>
      <w:r>
        <w:rPr>
          <w:rFonts w:ascii="Garamond" w:eastAsia="Calibri" w:hAnsi="Garamond" w:cs="Arial"/>
          <w:i/>
          <w:sz w:val="20"/>
          <w:szCs w:val="20"/>
        </w:rPr>
        <w:t>»</w:t>
      </w:r>
      <w:r w:rsidRPr="008F2153">
        <w:rPr>
          <w:rFonts w:ascii="Garamond" w:eastAsia="Calibri" w:hAnsi="Garamond" w:cs="Arial"/>
          <w:sz w:val="20"/>
          <w:szCs w:val="20"/>
        </w:rPr>
        <w:t>; Aplicação N</w:t>
      </w:r>
      <w:r>
        <w:rPr>
          <w:rFonts w:ascii="Garamond" w:eastAsia="Calibri" w:hAnsi="Garamond" w:cs="Arial"/>
          <w:sz w:val="20"/>
          <w:szCs w:val="20"/>
        </w:rPr>
        <w:t>.</w:t>
      </w:r>
      <w:r w:rsidRPr="008F2153">
        <w:rPr>
          <w:rFonts w:ascii="Garamond" w:eastAsia="Calibri" w:hAnsi="Garamond" w:cs="Arial"/>
          <w:sz w:val="20"/>
          <w:szCs w:val="20"/>
        </w:rPr>
        <w:t xml:space="preserve">° 788/60; em </w:t>
      </w:r>
      <w:r w:rsidRPr="008F2153">
        <w:rPr>
          <w:rFonts w:ascii="Garamond" w:eastAsia="Calibri" w:hAnsi="Garamond" w:cs="Arial"/>
          <w:i/>
          <w:sz w:val="20"/>
          <w:szCs w:val="20"/>
        </w:rPr>
        <w:t>European Yearbook of Human Rights;</w:t>
      </w:r>
      <w:r w:rsidRPr="008F2153">
        <w:rPr>
          <w:rFonts w:ascii="Garamond" w:eastAsia="Calibri" w:hAnsi="Garamond" w:cs="Arial"/>
          <w:sz w:val="20"/>
          <w:szCs w:val="20"/>
        </w:rPr>
        <w:t xml:space="preserve"> 1961; vol. 4; p. 140. </w:t>
      </w:r>
      <w:proofErr w:type="gramStart"/>
      <w:r w:rsidRPr="008F2153">
        <w:rPr>
          <w:rFonts w:ascii="Garamond" w:eastAsia="Calibri" w:hAnsi="Garamond" w:cs="Arial"/>
          <w:sz w:val="20"/>
          <w:szCs w:val="20"/>
          <w:lang w:val="en-US"/>
        </w:rPr>
        <w:t xml:space="preserve">E, relativamente </w:t>
      </w:r>
      <w:r>
        <w:rPr>
          <w:rFonts w:ascii="Garamond" w:eastAsia="Calibri" w:hAnsi="Garamond" w:cs="Arial"/>
          <w:sz w:val="20"/>
          <w:szCs w:val="20"/>
          <w:lang w:val="en-US"/>
        </w:rPr>
        <w:t>ao</w:t>
      </w:r>
      <w:r w:rsidRPr="008F2153">
        <w:rPr>
          <w:rFonts w:ascii="Garamond" w:eastAsia="Calibri" w:hAnsi="Garamond" w:cs="Arial"/>
          <w:sz w:val="20"/>
          <w:szCs w:val="20"/>
          <w:lang w:val="en-US"/>
        </w:rPr>
        <w:t xml:space="preserve"> </w:t>
      </w:r>
      <w:r>
        <w:rPr>
          <w:rFonts w:ascii="Garamond" w:eastAsia="Calibri" w:hAnsi="Garamond" w:cs="Arial"/>
          <w:sz w:val="20"/>
          <w:szCs w:val="20"/>
          <w:lang w:val="en-US"/>
        </w:rPr>
        <w:t>Tribunal</w:t>
      </w:r>
      <w:r w:rsidRPr="008F2153">
        <w:rPr>
          <w:rFonts w:ascii="Garamond" w:eastAsia="Calibri" w:hAnsi="Garamond" w:cs="Arial"/>
          <w:sz w:val="20"/>
          <w:szCs w:val="20"/>
          <w:lang w:val="en-US"/>
        </w:rPr>
        <w:t xml:space="preserve"> Internacional de Justiça, remete</w:t>
      </w:r>
      <w:r>
        <w:rPr>
          <w:rFonts w:ascii="Garamond" w:eastAsia="Calibri" w:hAnsi="Garamond" w:cs="Arial"/>
          <w:sz w:val="20"/>
          <w:szCs w:val="20"/>
          <w:lang w:val="en-US"/>
        </w:rPr>
        <w:t>para o</w:t>
      </w:r>
      <w:r w:rsidRPr="008F2153">
        <w:rPr>
          <w:rFonts w:ascii="Garamond" w:eastAsia="Calibri" w:hAnsi="Garamond" w:cs="Arial"/>
          <w:sz w:val="20"/>
          <w:szCs w:val="20"/>
          <w:lang w:val="en-US"/>
        </w:rPr>
        <w:t xml:space="preserve"> seu </w:t>
      </w:r>
      <w:r>
        <w:rPr>
          <w:rFonts w:ascii="Garamond" w:eastAsia="Calibri" w:hAnsi="Garamond" w:cs="Arial"/>
          <w:sz w:val="20"/>
          <w:szCs w:val="20"/>
          <w:lang w:val="en-US"/>
        </w:rPr>
        <w:t>«</w:t>
      </w:r>
      <w:r w:rsidRPr="008F2153">
        <w:rPr>
          <w:rFonts w:ascii="Garamond" w:eastAsia="Calibri" w:hAnsi="Garamond" w:cs="Arial"/>
          <w:i/>
          <w:sz w:val="20"/>
          <w:szCs w:val="20"/>
          <w:lang w:val="en-US"/>
        </w:rPr>
        <w:t>Advisory Opinion on Reservations to the Convention on the Prevention and Punishment of the Crime of Genocide</w:t>
      </w:r>
      <w:r>
        <w:rPr>
          <w:rFonts w:ascii="Garamond" w:eastAsia="Calibri" w:hAnsi="Garamond" w:cs="Arial"/>
          <w:i/>
          <w:sz w:val="20"/>
          <w:szCs w:val="20"/>
          <w:lang w:val="en-US"/>
        </w:rPr>
        <w:t>»</w:t>
      </w:r>
      <w:r w:rsidRPr="008F2153">
        <w:rPr>
          <w:rFonts w:ascii="Garamond" w:eastAsia="Calibri" w:hAnsi="Garamond" w:cs="Arial"/>
          <w:i/>
          <w:sz w:val="20"/>
          <w:szCs w:val="20"/>
          <w:lang w:val="en-US"/>
        </w:rPr>
        <w:t>;</w:t>
      </w:r>
      <w:r>
        <w:rPr>
          <w:rFonts w:ascii="Garamond" w:eastAsia="Calibri" w:hAnsi="Garamond" w:cs="Arial"/>
          <w:i/>
          <w:sz w:val="20"/>
          <w:szCs w:val="20"/>
          <w:lang w:val="en-US"/>
        </w:rPr>
        <w:t xml:space="preserve"> </w:t>
      </w:r>
      <w:r w:rsidRPr="008F2153">
        <w:rPr>
          <w:rFonts w:ascii="Garamond" w:eastAsia="Calibri" w:hAnsi="Garamond" w:cs="Arial"/>
          <w:sz w:val="20"/>
          <w:szCs w:val="20"/>
          <w:lang w:val="en-US"/>
        </w:rPr>
        <w:t>195; I.C.J. 15.</w:t>
      </w:r>
      <w:proofErr w:type="gramEnd"/>
    </w:p>
  </w:footnote>
  <w:footnote w:id="4">
    <w:p w:rsidR="007B3401" w:rsidRPr="008F2153" w:rsidRDefault="007B3401" w:rsidP="00B615DA">
      <w:pPr>
        <w:pStyle w:val="Textoindependiente3"/>
        <w:spacing w:after="0" w:line="240" w:lineRule="auto"/>
        <w:ind w:left="709" w:hanging="709"/>
        <w:jc w:val="both"/>
        <w:rPr>
          <w:rFonts w:ascii="Garamond" w:hAnsi="Garamond"/>
          <w:b/>
          <w:bCs/>
          <w:sz w:val="20"/>
          <w:szCs w:val="20"/>
        </w:rPr>
      </w:pPr>
      <w:r w:rsidRPr="00D1697B">
        <w:rPr>
          <w:rStyle w:val="Refdenotaalpie"/>
          <w:rFonts w:ascii="Book Antiqua" w:hAnsi="Book Antiqua"/>
          <w:b/>
          <w:sz w:val="24"/>
          <w:szCs w:val="24"/>
        </w:rPr>
        <w:footnoteRef/>
      </w:r>
      <w:r w:rsidRPr="00EB2F44">
        <w:t xml:space="preserve"> </w:t>
      </w:r>
      <w:r w:rsidRPr="00EB2F44">
        <w:tab/>
      </w:r>
      <w:r w:rsidRPr="008F2153">
        <w:rPr>
          <w:rFonts w:ascii="Garamond" w:hAnsi="Garamond" w:cs="Arial"/>
          <w:sz w:val="20"/>
          <w:szCs w:val="20"/>
        </w:rPr>
        <w:t>Tal pretensão é insustentável em relação aos Tratados Internacionais em geral (e deduz-se que com maior razão e contundência no caso dos TIDHs). Neste sentido, advir</w:t>
      </w:r>
      <w:r w:rsidRPr="008F2153">
        <w:rPr>
          <w:rFonts w:ascii="Garamond" w:hAnsi="Garamond" w:cs="Arial"/>
          <w:sz w:val="20"/>
          <w:szCs w:val="20"/>
          <w:lang w:eastAsia="ja-JP"/>
        </w:rPr>
        <w:t xml:space="preserve">ta-se que há mais de noventa anos já </w:t>
      </w:r>
      <w:r>
        <w:rPr>
          <w:rFonts w:ascii="Garamond" w:hAnsi="Garamond" w:cs="Arial"/>
          <w:sz w:val="20"/>
          <w:szCs w:val="20"/>
          <w:lang w:eastAsia="ja-JP"/>
        </w:rPr>
        <w:t xml:space="preserve">o Tribunal </w:t>
      </w:r>
      <w:r w:rsidRPr="008F2153">
        <w:rPr>
          <w:rFonts w:ascii="Garamond" w:hAnsi="Garamond" w:cs="Arial"/>
          <w:sz w:val="20"/>
          <w:szCs w:val="20"/>
          <w:lang w:eastAsia="ja-JP"/>
        </w:rPr>
        <w:t xml:space="preserve">Permanente de Justiça Internacional </w:t>
      </w:r>
      <w:r>
        <w:rPr>
          <w:rFonts w:ascii="Garamond" w:hAnsi="Garamond" w:cs="Arial"/>
          <w:sz w:val="20"/>
          <w:szCs w:val="20"/>
          <w:lang w:eastAsia="ja-JP"/>
        </w:rPr>
        <w:t>-</w:t>
      </w:r>
      <w:r w:rsidRPr="008F2153">
        <w:rPr>
          <w:rFonts w:ascii="Garamond" w:hAnsi="Garamond" w:cs="Arial"/>
          <w:sz w:val="20"/>
          <w:szCs w:val="20"/>
          <w:lang w:eastAsia="ja-JP"/>
        </w:rPr>
        <w:t xml:space="preserve"> antecessora d</w:t>
      </w:r>
      <w:r>
        <w:rPr>
          <w:rFonts w:ascii="Garamond" w:hAnsi="Garamond" w:cs="Arial"/>
          <w:sz w:val="20"/>
          <w:szCs w:val="20"/>
          <w:lang w:eastAsia="ja-JP"/>
        </w:rPr>
        <w:t>o Tribunal</w:t>
      </w:r>
      <w:r w:rsidRPr="008F2153">
        <w:rPr>
          <w:rFonts w:ascii="Garamond" w:hAnsi="Garamond" w:cs="Arial"/>
          <w:sz w:val="20"/>
          <w:szCs w:val="20"/>
          <w:lang w:eastAsia="ja-JP"/>
        </w:rPr>
        <w:t xml:space="preserve"> Internacional de Justiça das Nações Unidas </w:t>
      </w:r>
      <w:r>
        <w:rPr>
          <w:rFonts w:ascii="Garamond" w:hAnsi="Garamond" w:cs="Arial"/>
          <w:sz w:val="20"/>
          <w:szCs w:val="20"/>
          <w:lang w:eastAsia="ja-JP"/>
        </w:rPr>
        <w:t>-</w:t>
      </w:r>
      <w:r w:rsidRPr="008F2153">
        <w:rPr>
          <w:rFonts w:ascii="Garamond" w:hAnsi="Garamond" w:cs="Arial"/>
          <w:sz w:val="20"/>
          <w:szCs w:val="20"/>
          <w:lang w:eastAsia="ja-JP"/>
        </w:rPr>
        <w:t xml:space="preserve"> pontualizava: </w:t>
      </w:r>
      <w:r w:rsidRPr="00505600">
        <w:rPr>
          <w:rFonts w:ascii="Garamond" w:hAnsi="Garamond" w:cs="Arial"/>
          <w:sz w:val="20"/>
          <w:szCs w:val="20"/>
        </w:rPr>
        <w:t xml:space="preserve">«O Tribunal nega-se a ver na conclusão de um Tratado qualquer, pelo qual um Estado se compromete a fazer ou não fazer alguma coisa, um abandono da sua soberania. Sem dúvida toda a convenção que engendra uma obrigação deste género estabelece uma restrição ao exercício de direitos soberanos do Estado, no sentido de que imprime uma direção determinada ao referido exercício. Mas </w:t>
      </w:r>
      <w:r w:rsidRPr="00505600">
        <w:rPr>
          <w:rFonts w:ascii="Garamond" w:hAnsi="Garamond" w:cs="Arial"/>
          <w:b/>
          <w:sz w:val="20"/>
          <w:szCs w:val="20"/>
        </w:rPr>
        <w:t>a faculdade de contrair compromissos internacionais é precisamente um atributo da soberania do Estado</w:t>
      </w:r>
      <w:r w:rsidRPr="00505600">
        <w:rPr>
          <w:rFonts w:ascii="Garamond" w:hAnsi="Garamond" w:cs="Arial"/>
          <w:sz w:val="20"/>
          <w:szCs w:val="20"/>
        </w:rPr>
        <w:t>.» (O</w:t>
      </w:r>
      <w:r w:rsidRPr="008F2153">
        <w:rPr>
          <w:rFonts w:ascii="Garamond" w:hAnsi="Garamond" w:cs="Arial"/>
          <w:sz w:val="20"/>
          <w:szCs w:val="20"/>
        </w:rPr>
        <w:t xml:space="preserve"> que está a negrito é nosso). </w:t>
      </w:r>
      <w:r w:rsidRPr="008F2153">
        <w:rPr>
          <w:rFonts w:ascii="Garamond" w:hAnsi="Garamond" w:cs="Arial"/>
          <w:i/>
          <w:sz w:val="20"/>
          <w:szCs w:val="20"/>
        </w:rPr>
        <w:t>Cfr.</w:t>
      </w:r>
      <w:r w:rsidRPr="008F2153">
        <w:rPr>
          <w:rFonts w:ascii="Garamond" w:hAnsi="Garamond" w:cs="Arial"/>
          <w:sz w:val="20"/>
          <w:szCs w:val="20"/>
        </w:rPr>
        <w:t xml:space="preserve"> </w:t>
      </w:r>
      <w:r>
        <w:rPr>
          <w:rFonts w:ascii="Garamond" w:hAnsi="Garamond" w:cs="Arial"/>
          <w:sz w:val="20"/>
          <w:szCs w:val="20"/>
        </w:rPr>
        <w:t>Tribunal</w:t>
      </w:r>
      <w:r w:rsidRPr="008F2153">
        <w:rPr>
          <w:rFonts w:ascii="Garamond" w:hAnsi="Garamond" w:cs="Arial"/>
          <w:sz w:val="20"/>
          <w:szCs w:val="20"/>
        </w:rPr>
        <w:t xml:space="preserve"> Permanente de Justiça Internacional: </w:t>
      </w:r>
      <w:r>
        <w:rPr>
          <w:rFonts w:ascii="Garamond" w:hAnsi="Garamond" w:cs="Arial"/>
          <w:sz w:val="20"/>
          <w:szCs w:val="20"/>
        </w:rPr>
        <w:t>«</w:t>
      </w:r>
      <w:r w:rsidRPr="008F2153">
        <w:rPr>
          <w:rFonts w:ascii="Garamond" w:hAnsi="Garamond" w:cs="Arial"/>
          <w:i/>
          <w:iCs/>
          <w:sz w:val="20"/>
          <w:szCs w:val="20"/>
        </w:rPr>
        <w:t>Caso del Vapor ‘Wimbledon’</w:t>
      </w:r>
      <w:r w:rsidRPr="008F2153">
        <w:rPr>
          <w:rFonts w:ascii="Garamond" w:hAnsi="Garamond" w:cs="Arial"/>
          <w:i/>
          <w:sz w:val="20"/>
          <w:szCs w:val="20"/>
        </w:rPr>
        <w:t>. Sentença de 23 de junho de 1923</w:t>
      </w:r>
      <w:r>
        <w:rPr>
          <w:rFonts w:ascii="Garamond" w:hAnsi="Garamond" w:cs="Arial"/>
          <w:i/>
          <w:sz w:val="20"/>
          <w:szCs w:val="20"/>
        </w:rPr>
        <w:t>»</w:t>
      </w:r>
      <w:r w:rsidRPr="008F2153">
        <w:rPr>
          <w:rFonts w:ascii="Garamond" w:hAnsi="Garamond" w:cs="Arial"/>
          <w:sz w:val="20"/>
          <w:szCs w:val="20"/>
        </w:rPr>
        <w:t>; Série A, N</w:t>
      </w:r>
      <w:r>
        <w:rPr>
          <w:rFonts w:ascii="Garamond" w:hAnsi="Garamond" w:cs="Arial"/>
          <w:sz w:val="20"/>
          <w:szCs w:val="20"/>
        </w:rPr>
        <w:t>.</w:t>
      </w:r>
      <w:r w:rsidRPr="008F2153">
        <w:rPr>
          <w:rFonts w:ascii="Garamond" w:hAnsi="Garamond" w:cs="Arial"/>
          <w:sz w:val="20"/>
          <w:szCs w:val="20"/>
        </w:rPr>
        <w:t xml:space="preserve">º 1; p. 23. Acessível através de </w:t>
      </w:r>
      <w:hyperlink r:id="rId2" w:history="1">
        <w:r w:rsidRPr="008F2153">
          <w:rPr>
            <w:rStyle w:val="Hipervnculo"/>
            <w:rFonts w:ascii="Garamond" w:hAnsi="Garamond" w:cs="Arial"/>
            <w:sz w:val="20"/>
            <w:szCs w:val="20"/>
          </w:rPr>
          <w:t>http://www.dipublico.com.ar/11864/wimbledon-1923-corte-permanente-de-justicia-internacional-ser-a-no-1/</w:t>
        </w:r>
      </w:hyperlink>
      <w:r w:rsidRPr="008F2153">
        <w:rPr>
          <w:rFonts w:ascii="Garamond" w:hAnsi="Garamond" w:cs="Arial"/>
          <w:sz w:val="20"/>
          <w:szCs w:val="20"/>
        </w:rPr>
        <w:t>.</w:t>
      </w:r>
    </w:p>
  </w:footnote>
  <w:footnote w:id="5">
    <w:p w:rsidR="007B3401" w:rsidRPr="008F2153" w:rsidRDefault="007B3401" w:rsidP="004F6F69">
      <w:pPr>
        <w:pStyle w:val="Textoindependiente3"/>
        <w:spacing w:after="0"/>
        <w:ind w:left="709" w:hanging="709"/>
        <w:jc w:val="both"/>
        <w:rPr>
          <w:rFonts w:ascii="Garamond" w:hAnsi="Garamond" w:cs="Arial"/>
          <w:sz w:val="20"/>
          <w:szCs w:val="20"/>
        </w:rPr>
      </w:pPr>
      <w:r w:rsidRPr="00D1697B">
        <w:rPr>
          <w:rStyle w:val="Refdenotaalpie"/>
          <w:rFonts w:ascii="Book Antiqua" w:hAnsi="Book Antiqua"/>
          <w:b/>
          <w:sz w:val="24"/>
          <w:szCs w:val="24"/>
        </w:rPr>
        <w:footnoteRef/>
      </w:r>
      <w:r w:rsidRPr="00C965B4">
        <w:t xml:space="preserve"> </w:t>
      </w:r>
      <w:r w:rsidRPr="00C965B4">
        <w:tab/>
      </w:r>
      <w:r w:rsidRPr="008F2153">
        <w:rPr>
          <w:rFonts w:ascii="Garamond" w:hAnsi="Garamond" w:cs="Arial"/>
          <w:sz w:val="20"/>
          <w:szCs w:val="20"/>
          <w:shd w:val="clear" w:color="auto" w:fill="FFFFFF"/>
        </w:rPr>
        <w:t xml:space="preserve">Os tratados, pactos e convénios são de natureza vinculante; enquanto as declarações e resoluções internações não </w:t>
      </w:r>
      <w:r w:rsidRPr="008F2153">
        <w:rPr>
          <w:rFonts w:ascii="Garamond" w:hAnsi="Garamond" w:cs="Arial"/>
          <w:sz w:val="20"/>
          <w:szCs w:val="20"/>
        </w:rPr>
        <w:t>constituem instrumentos juridicamente obrigatórios para os Estados. Estes últimos têm principalmente um caráter político e moralmente obrigatório para os mesmos, baseado no princípio da boa-fé que rege o Direito Internacional.</w:t>
      </w:r>
    </w:p>
  </w:footnote>
  <w:footnote w:id="6">
    <w:p w:rsidR="007B3401" w:rsidRPr="008F2153" w:rsidRDefault="007B3401" w:rsidP="003F4889">
      <w:pPr>
        <w:pStyle w:val="Textoindependiente3"/>
        <w:spacing w:after="0"/>
        <w:ind w:left="709" w:hanging="709"/>
        <w:rPr>
          <w:rFonts w:ascii="Garamond" w:hAnsi="Garamond" w:cs="Arial"/>
          <w:color w:val="FF0000"/>
          <w:sz w:val="20"/>
          <w:szCs w:val="20"/>
        </w:rPr>
      </w:pPr>
      <w:r w:rsidRPr="00D1697B">
        <w:rPr>
          <w:rStyle w:val="Refdenotaalpie"/>
          <w:rFonts w:ascii="Book Antiqua" w:hAnsi="Book Antiqua"/>
          <w:b/>
          <w:sz w:val="24"/>
          <w:szCs w:val="24"/>
        </w:rPr>
        <w:footnoteRef/>
      </w:r>
      <w:r w:rsidRPr="008069E0">
        <w:t xml:space="preserve"> </w:t>
      </w:r>
      <w:r w:rsidRPr="008069E0">
        <w:tab/>
      </w:r>
      <w:r w:rsidRPr="008F2153">
        <w:rPr>
          <w:rFonts w:ascii="Garamond" w:hAnsi="Garamond" w:cs="Arial"/>
          <w:sz w:val="20"/>
          <w:szCs w:val="20"/>
        </w:rPr>
        <w:t>Foi adotada a 18 de dez</w:t>
      </w:r>
      <w:r>
        <w:rPr>
          <w:rFonts w:ascii="Garamond" w:hAnsi="Garamond" w:cs="Arial"/>
          <w:sz w:val="20"/>
          <w:szCs w:val="20"/>
        </w:rPr>
        <w:t>embro</w:t>
      </w:r>
      <w:r w:rsidRPr="008F2153">
        <w:rPr>
          <w:rFonts w:ascii="Garamond" w:hAnsi="Garamond" w:cs="Arial"/>
          <w:sz w:val="20"/>
          <w:szCs w:val="20"/>
        </w:rPr>
        <w:t xml:space="preserve"> de 1979 e entrou em vigor como TIDH a 3 de set</w:t>
      </w:r>
      <w:r>
        <w:rPr>
          <w:rFonts w:ascii="Garamond" w:hAnsi="Garamond" w:cs="Arial"/>
          <w:sz w:val="20"/>
          <w:szCs w:val="20"/>
        </w:rPr>
        <w:t>embro</w:t>
      </w:r>
      <w:r w:rsidRPr="008F2153">
        <w:rPr>
          <w:rFonts w:ascii="Garamond" w:hAnsi="Garamond" w:cs="Arial"/>
          <w:sz w:val="20"/>
          <w:szCs w:val="20"/>
        </w:rPr>
        <w:t xml:space="preserve"> de 1981, conforme o estabelecido no seu Art. 27.1. Desde ent</w:t>
      </w:r>
      <w:r>
        <w:rPr>
          <w:rFonts w:ascii="Garamond" w:hAnsi="Garamond" w:cs="Arial"/>
          <w:sz w:val="20"/>
          <w:szCs w:val="20"/>
        </w:rPr>
        <w:t>ão</w:t>
      </w:r>
      <w:r w:rsidRPr="008F2153">
        <w:rPr>
          <w:rFonts w:ascii="Garamond" w:hAnsi="Garamond" w:cs="Arial"/>
          <w:sz w:val="20"/>
          <w:szCs w:val="20"/>
        </w:rPr>
        <w:t xml:space="preserve"> conseguiu 188 ratificações em todo o mundo, como se pode ver em pormenor através de </w:t>
      </w:r>
      <w:hyperlink r:id="rId3" w:history="1">
        <w:r w:rsidRPr="008F2153">
          <w:rPr>
            <w:rStyle w:val="Hipervnculo"/>
            <w:rFonts w:ascii="Garamond" w:hAnsi="Garamond" w:cs="Arial"/>
            <w:sz w:val="20"/>
            <w:szCs w:val="20"/>
          </w:rPr>
          <w:t>https://treaties.un.org/Pages/ViewDetails.aspx?src=TREATY&amp;mtdsg_no=IV-8&amp;chapter=4&amp;lang=en</w:t>
        </w:r>
      </w:hyperlink>
      <w:r w:rsidRPr="008F2153">
        <w:rPr>
          <w:rStyle w:val="Hipervnculo"/>
          <w:rFonts w:ascii="Garamond" w:hAnsi="Garamond" w:cs="Arial"/>
          <w:b/>
          <w:color w:val="auto"/>
          <w:sz w:val="20"/>
          <w:szCs w:val="20"/>
          <w:u w:val="none"/>
        </w:rPr>
        <w:t xml:space="preserve">. </w:t>
      </w:r>
      <w:r w:rsidRPr="008F2153">
        <w:rPr>
          <w:rStyle w:val="Hipervnculo"/>
          <w:rFonts w:ascii="Garamond" w:hAnsi="Garamond" w:cs="Arial"/>
          <w:color w:val="auto"/>
          <w:sz w:val="20"/>
          <w:szCs w:val="20"/>
          <w:u w:val="none"/>
        </w:rPr>
        <w:t xml:space="preserve">Data da consulta: </w:t>
      </w:r>
      <w:r w:rsidRPr="008F2153">
        <w:rPr>
          <w:rFonts w:ascii="Garamond" w:hAnsi="Garamond" w:cs="Arial"/>
          <w:sz w:val="20"/>
          <w:szCs w:val="20"/>
        </w:rPr>
        <w:t>20/11/2014.</w:t>
      </w:r>
    </w:p>
  </w:footnote>
  <w:footnote w:id="7">
    <w:p w:rsidR="007B3401" w:rsidRPr="008F2153" w:rsidRDefault="007B3401" w:rsidP="008B2886">
      <w:pPr>
        <w:pStyle w:val="Textoindependiente3"/>
        <w:spacing w:after="0"/>
        <w:ind w:left="709" w:hanging="709"/>
        <w:jc w:val="both"/>
        <w:rPr>
          <w:rFonts w:ascii="Garamond" w:hAnsi="Garamond" w:cs="Arial"/>
          <w:sz w:val="20"/>
          <w:szCs w:val="20"/>
        </w:rPr>
      </w:pPr>
      <w:r w:rsidRPr="008F2153">
        <w:rPr>
          <w:rStyle w:val="Refdenotaalpie"/>
          <w:rFonts w:ascii="Garamond" w:hAnsi="Garamond"/>
          <w:b/>
          <w:sz w:val="20"/>
          <w:szCs w:val="20"/>
        </w:rPr>
        <w:footnoteRef/>
      </w:r>
      <w:r w:rsidRPr="008F2153">
        <w:rPr>
          <w:rFonts w:ascii="Garamond" w:hAnsi="Garamond"/>
          <w:sz w:val="20"/>
          <w:szCs w:val="20"/>
        </w:rPr>
        <w:t xml:space="preserve"> </w:t>
      </w:r>
      <w:r w:rsidRPr="008F2153">
        <w:rPr>
          <w:rFonts w:ascii="Garamond" w:hAnsi="Garamond"/>
          <w:sz w:val="20"/>
          <w:szCs w:val="20"/>
        </w:rPr>
        <w:tab/>
      </w:r>
      <w:r w:rsidRPr="008F2153">
        <w:rPr>
          <w:rFonts w:ascii="Garamond" w:hAnsi="Garamond" w:cs="Arial"/>
          <w:sz w:val="20"/>
          <w:szCs w:val="20"/>
        </w:rPr>
        <w:t xml:space="preserve">Ver em </w:t>
      </w:r>
      <w:r w:rsidRPr="008F2153">
        <w:rPr>
          <w:rFonts w:ascii="Garamond" w:hAnsi="Garamond" w:cs="Arial"/>
          <w:bCs/>
          <w:sz w:val="20"/>
          <w:szCs w:val="20"/>
        </w:rPr>
        <w:t>U.N. Doc. HRI\GEN\1\Rev.1 at 84 (1994). Acessível inform</w:t>
      </w:r>
      <w:r>
        <w:rPr>
          <w:rFonts w:ascii="Garamond" w:hAnsi="Garamond" w:cs="Arial"/>
          <w:bCs/>
          <w:sz w:val="20"/>
          <w:szCs w:val="20"/>
        </w:rPr>
        <w:t>a</w:t>
      </w:r>
      <w:r w:rsidRPr="008F2153">
        <w:rPr>
          <w:rFonts w:ascii="Garamond" w:hAnsi="Garamond" w:cs="Arial"/>
          <w:bCs/>
          <w:sz w:val="20"/>
          <w:szCs w:val="20"/>
        </w:rPr>
        <w:t>ticamente através de</w:t>
      </w:r>
      <w:r w:rsidRPr="008F2153">
        <w:rPr>
          <w:rFonts w:ascii="Garamond" w:hAnsi="Garamond" w:cs="Arial"/>
          <w:sz w:val="20"/>
          <w:szCs w:val="20"/>
        </w:rPr>
        <w:t xml:space="preserve"> </w:t>
      </w:r>
      <w:hyperlink r:id="rId4" w:history="1">
        <w:r w:rsidRPr="008F2153">
          <w:rPr>
            <w:rStyle w:val="Hipervnculo"/>
            <w:rFonts w:ascii="Garamond" w:hAnsi="Garamond" w:cs="Arial"/>
            <w:sz w:val="20"/>
            <w:szCs w:val="20"/>
          </w:rPr>
          <w:t>http://www1.umn.edu/humanrts/gencomm/Sgeneral19.htm</w:t>
        </w:r>
      </w:hyperlink>
      <w:r w:rsidRPr="008F2153">
        <w:rPr>
          <w:rFonts w:ascii="Garamond" w:hAnsi="Garamond" w:cs="Arial"/>
          <w:bCs/>
          <w:sz w:val="20"/>
          <w:szCs w:val="20"/>
        </w:rPr>
        <w:t xml:space="preserve">. </w:t>
      </w:r>
      <w:r w:rsidRPr="008F2153">
        <w:rPr>
          <w:rStyle w:val="Hipervnculo"/>
          <w:rFonts w:ascii="Garamond" w:hAnsi="Garamond" w:cs="Arial"/>
          <w:color w:val="auto"/>
          <w:sz w:val="20"/>
          <w:szCs w:val="20"/>
          <w:u w:val="none"/>
        </w:rPr>
        <w:t xml:space="preserve">Data da consulta: </w:t>
      </w:r>
      <w:r w:rsidRPr="008F2153">
        <w:rPr>
          <w:rFonts w:ascii="Garamond" w:hAnsi="Garamond" w:cs="Arial"/>
          <w:bCs/>
          <w:sz w:val="20"/>
          <w:szCs w:val="20"/>
        </w:rPr>
        <w:t>20/9/2014.</w:t>
      </w:r>
    </w:p>
  </w:footnote>
  <w:footnote w:id="8">
    <w:p w:rsidR="007B3401" w:rsidRPr="008F2153" w:rsidRDefault="007B3401" w:rsidP="004A0BF9">
      <w:pPr>
        <w:pStyle w:val="Textoindependiente3"/>
        <w:spacing w:after="0"/>
        <w:ind w:left="709" w:hanging="709"/>
        <w:jc w:val="both"/>
        <w:rPr>
          <w:rFonts w:ascii="Garamond" w:hAnsi="Garamond" w:cs="Arial"/>
          <w:sz w:val="20"/>
          <w:szCs w:val="20"/>
        </w:rPr>
      </w:pPr>
      <w:r w:rsidRPr="00D1697B">
        <w:rPr>
          <w:rStyle w:val="Refdenotaalpie"/>
          <w:rFonts w:ascii="Book Antiqua" w:hAnsi="Book Antiqua"/>
          <w:b/>
          <w:sz w:val="24"/>
          <w:szCs w:val="24"/>
        </w:rPr>
        <w:footnoteRef/>
      </w:r>
      <w:r w:rsidRPr="00835CD1">
        <w:t xml:space="preserve"> </w:t>
      </w:r>
      <w:r w:rsidRPr="00835CD1">
        <w:tab/>
      </w:r>
      <w:r w:rsidRPr="008F2153">
        <w:rPr>
          <w:rFonts w:ascii="Garamond" w:hAnsi="Garamond" w:cs="Arial"/>
          <w:i/>
          <w:sz w:val="20"/>
          <w:szCs w:val="20"/>
        </w:rPr>
        <w:t>Ibíd</w:t>
      </w:r>
      <w:r w:rsidRPr="008F2153">
        <w:rPr>
          <w:rFonts w:ascii="Garamond" w:hAnsi="Garamond" w:cs="Arial"/>
          <w:sz w:val="20"/>
          <w:szCs w:val="20"/>
        </w:rPr>
        <w:t xml:space="preserve">., parágs. </w:t>
      </w:r>
      <w:proofErr w:type="gramStart"/>
      <w:r w:rsidRPr="008F2153">
        <w:rPr>
          <w:rFonts w:ascii="Garamond" w:hAnsi="Garamond" w:cs="Arial"/>
          <w:sz w:val="20"/>
          <w:szCs w:val="20"/>
        </w:rPr>
        <w:t>1</w:t>
      </w:r>
      <w:proofErr w:type="gramEnd"/>
      <w:r w:rsidRPr="008F2153">
        <w:rPr>
          <w:rFonts w:ascii="Garamond" w:hAnsi="Garamond" w:cs="Arial"/>
          <w:sz w:val="20"/>
          <w:szCs w:val="20"/>
        </w:rPr>
        <w:t xml:space="preserve"> e 6. </w:t>
      </w:r>
    </w:p>
  </w:footnote>
  <w:footnote w:id="9">
    <w:p w:rsidR="007B3401" w:rsidRPr="008F2153" w:rsidRDefault="007B3401" w:rsidP="004A0BF9">
      <w:pPr>
        <w:pStyle w:val="Textoindependiente3"/>
        <w:spacing w:after="0"/>
        <w:ind w:left="709" w:hanging="709"/>
        <w:jc w:val="both"/>
        <w:rPr>
          <w:rFonts w:ascii="Garamond" w:hAnsi="Garamond" w:cs="Arial"/>
          <w:sz w:val="20"/>
          <w:szCs w:val="20"/>
        </w:rPr>
      </w:pPr>
      <w:r w:rsidRPr="008F2153">
        <w:rPr>
          <w:rStyle w:val="Refdenotaalpie"/>
          <w:rFonts w:ascii="Garamond" w:hAnsi="Garamond"/>
          <w:b/>
          <w:sz w:val="20"/>
          <w:szCs w:val="20"/>
        </w:rPr>
        <w:footnoteRef/>
      </w:r>
      <w:r w:rsidRPr="008F2153">
        <w:rPr>
          <w:rFonts w:ascii="Garamond" w:hAnsi="Garamond"/>
          <w:sz w:val="20"/>
          <w:szCs w:val="20"/>
        </w:rPr>
        <w:t xml:space="preserve"> </w:t>
      </w:r>
      <w:r w:rsidRPr="008F2153">
        <w:rPr>
          <w:rFonts w:ascii="Garamond" w:hAnsi="Garamond"/>
          <w:sz w:val="20"/>
          <w:szCs w:val="20"/>
        </w:rPr>
        <w:tab/>
      </w:r>
      <w:r w:rsidRPr="008F2153">
        <w:rPr>
          <w:rFonts w:ascii="Garamond" w:hAnsi="Garamond" w:cs="Arial"/>
          <w:i/>
          <w:sz w:val="20"/>
          <w:szCs w:val="20"/>
        </w:rPr>
        <w:t>Ibíd</w:t>
      </w:r>
      <w:r w:rsidRPr="008F2153">
        <w:rPr>
          <w:rFonts w:ascii="Garamond" w:hAnsi="Garamond" w:cs="Arial"/>
          <w:sz w:val="20"/>
          <w:szCs w:val="20"/>
        </w:rPr>
        <w:t xml:space="preserve">., parág. 7. </w:t>
      </w:r>
    </w:p>
  </w:footnote>
  <w:footnote w:id="10">
    <w:p w:rsidR="007B3401" w:rsidRPr="008F2153" w:rsidRDefault="007B3401" w:rsidP="000A1F2E">
      <w:pPr>
        <w:pStyle w:val="Textoindependiente3"/>
        <w:spacing w:after="0"/>
        <w:ind w:left="709" w:hanging="709"/>
        <w:jc w:val="both"/>
        <w:rPr>
          <w:rFonts w:ascii="Garamond" w:hAnsi="Garamond" w:cs="Arial"/>
          <w:sz w:val="20"/>
          <w:szCs w:val="20"/>
        </w:rPr>
      </w:pPr>
      <w:r w:rsidRPr="008F2153">
        <w:rPr>
          <w:rStyle w:val="Refdenotaalpie"/>
          <w:rFonts w:ascii="Garamond" w:hAnsi="Garamond"/>
          <w:b/>
          <w:sz w:val="20"/>
          <w:szCs w:val="20"/>
        </w:rPr>
        <w:footnoteRef/>
      </w:r>
      <w:r w:rsidRPr="008F2153">
        <w:rPr>
          <w:rFonts w:ascii="Garamond" w:hAnsi="Garamond"/>
          <w:sz w:val="20"/>
          <w:szCs w:val="20"/>
        </w:rPr>
        <w:t xml:space="preserve"> </w:t>
      </w:r>
      <w:r w:rsidRPr="008F2153">
        <w:rPr>
          <w:rFonts w:ascii="Garamond" w:hAnsi="Garamond"/>
          <w:sz w:val="20"/>
          <w:szCs w:val="20"/>
        </w:rPr>
        <w:tab/>
      </w:r>
      <w:r w:rsidRPr="008F2153">
        <w:rPr>
          <w:rFonts w:ascii="Garamond" w:hAnsi="Garamond" w:cs="Arial"/>
          <w:sz w:val="20"/>
          <w:szCs w:val="20"/>
        </w:rPr>
        <w:t>Este instrumento alcançou ratificações da totalidade dos Estados</w:t>
      </w:r>
      <w:r>
        <w:rPr>
          <w:rFonts w:ascii="Garamond" w:hAnsi="Garamond" w:cs="Arial"/>
          <w:sz w:val="20"/>
          <w:szCs w:val="20"/>
        </w:rPr>
        <w:t>-M</w:t>
      </w:r>
      <w:r w:rsidRPr="008F2153">
        <w:rPr>
          <w:rFonts w:ascii="Garamond" w:hAnsi="Garamond" w:cs="Arial"/>
          <w:sz w:val="20"/>
          <w:szCs w:val="20"/>
        </w:rPr>
        <w:t xml:space="preserve">embros ativos da Organização dos Estados Americanos, como se pode constatar em </w:t>
      </w:r>
      <w:hyperlink r:id="rId5" w:history="1">
        <w:r w:rsidRPr="008F2153">
          <w:rPr>
            <w:rStyle w:val="Hipervnculo"/>
            <w:rFonts w:ascii="Garamond" w:hAnsi="Garamond" w:cs="Arial"/>
            <w:sz w:val="20"/>
            <w:szCs w:val="20"/>
          </w:rPr>
          <w:t>http://www.oas.org/juridico/spanish/firmas/a-61.html</w:t>
        </w:r>
      </w:hyperlink>
      <w:r w:rsidRPr="008F2153">
        <w:rPr>
          <w:rFonts w:ascii="Garamond" w:hAnsi="Garamond" w:cs="Arial"/>
          <w:sz w:val="20"/>
          <w:szCs w:val="20"/>
        </w:rPr>
        <w:t>. Data de consulta: 20/</w:t>
      </w:r>
      <w:r>
        <w:rPr>
          <w:rFonts w:ascii="Garamond" w:hAnsi="Garamond" w:cs="Arial"/>
          <w:sz w:val="20"/>
          <w:szCs w:val="20"/>
        </w:rPr>
        <w:t>0</w:t>
      </w:r>
      <w:r w:rsidRPr="008F2153">
        <w:rPr>
          <w:rFonts w:ascii="Garamond" w:hAnsi="Garamond" w:cs="Arial"/>
          <w:sz w:val="20"/>
          <w:szCs w:val="20"/>
        </w:rPr>
        <w:t xml:space="preserve">9/2014. Daqui em diante, designaremos este instrumento com a denominação abreviada </w:t>
      </w:r>
      <w:r>
        <w:rPr>
          <w:rFonts w:ascii="Garamond" w:hAnsi="Garamond" w:cs="Arial"/>
          <w:sz w:val="20"/>
          <w:szCs w:val="20"/>
        </w:rPr>
        <w:t>-</w:t>
      </w:r>
      <w:r w:rsidRPr="008F2153">
        <w:rPr>
          <w:rFonts w:ascii="Garamond" w:hAnsi="Garamond" w:cs="Arial"/>
          <w:sz w:val="20"/>
          <w:szCs w:val="20"/>
        </w:rPr>
        <w:t xml:space="preserve"> parte também da sua denominação oficial </w:t>
      </w:r>
      <w:r>
        <w:rPr>
          <w:rFonts w:ascii="Garamond" w:hAnsi="Garamond" w:cs="Arial"/>
          <w:sz w:val="20"/>
          <w:szCs w:val="20"/>
        </w:rPr>
        <w:t>-</w:t>
      </w:r>
      <w:r w:rsidRPr="008F2153">
        <w:rPr>
          <w:rFonts w:ascii="Garamond" w:hAnsi="Garamond" w:cs="Arial"/>
          <w:sz w:val="20"/>
          <w:szCs w:val="20"/>
        </w:rPr>
        <w:t xml:space="preserve"> de </w:t>
      </w:r>
      <w:r>
        <w:rPr>
          <w:rFonts w:ascii="Garamond" w:hAnsi="Garamond" w:cs="Arial"/>
          <w:sz w:val="20"/>
          <w:szCs w:val="20"/>
        </w:rPr>
        <w:t>«</w:t>
      </w:r>
      <w:r w:rsidRPr="008F2153">
        <w:rPr>
          <w:rFonts w:ascii="Garamond" w:hAnsi="Garamond" w:cs="Arial"/>
          <w:sz w:val="20"/>
          <w:szCs w:val="20"/>
        </w:rPr>
        <w:t>Convenção de Belém do Pará</w:t>
      </w:r>
      <w:r>
        <w:rPr>
          <w:rFonts w:ascii="Garamond" w:hAnsi="Garamond" w:cs="Arial"/>
          <w:sz w:val="20"/>
          <w:szCs w:val="20"/>
        </w:rPr>
        <w:t>»</w:t>
      </w:r>
      <w:r w:rsidRPr="008F2153">
        <w:rPr>
          <w:rFonts w:ascii="Garamond" w:hAnsi="Garamond" w:cs="Arial"/>
          <w:sz w:val="20"/>
          <w:szCs w:val="20"/>
        </w:rPr>
        <w:t>.</w:t>
      </w:r>
    </w:p>
  </w:footnote>
  <w:footnote w:id="11">
    <w:p w:rsidR="007B3401" w:rsidRPr="008F2153" w:rsidRDefault="007B3401" w:rsidP="000A1F2E">
      <w:pPr>
        <w:pStyle w:val="Textoindependiente3"/>
        <w:spacing w:after="0"/>
        <w:ind w:left="709" w:hanging="709"/>
        <w:jc w:val="both"/>
        <w:rPr>
          <w:rFonts w:ascii="Garamond" w:hAnsi="Garamond" w:cs="Arial"/>
          <w:sz w:val="20"/>
          <w:szCs w:val="20"/>
        </w:rPr>
      </w:pPr>
      <w:r w:rsidRPr="008F2153">
        <w:rPr>
          <w:rStyle w:val="Refdenotaalpie"/>
          <w:rFonts w:ascii="Garamond" w:hAnsi="Garamond"/>
          <w:b/>
          <w:sz w:val="20"/>
          <w:szCs w:val="20"/>
        </w:rPr>
        <w:footnoteRef/>
      </w:r>
      <w:r w:rsidRPr="008F2153">
        <w:rPr>
          <w:rFonts w:ascii="Garamond" w:hAnsi="Garamond"/>
          <w:sz w:val="20"/>
          <w:szCs w:val="20"/>
        </w:rPr>
        <w:t xml:space="preserve"> </w:t>
      </w:r>
      <w:r w:rsidRPr="008F2153">
        <w:rPr>
          <w:rFonts w:ascii="Garamond" w:hAnsi="Garamond"/>
          <w:sz w:val="20"/>
          <w:szCs w:val="20"/>
        </w:rPr>
        <w:tab/>
      </w:r>
      <w:r w:rsidRPr="008F2153">
        <w:rPr>
          <w:rFonts w:ascii="Garamond" w:hAnsi="Garamond" w:cs="Arial"/>
          <w:i/>
          <w:sz w:val="20"/>
          <w:szCs w:val="20"/>
        </w:rPr>
        <w:t>Ibíd</w:t>
      </w:r>
      <w:r w:rsidRPr="008F2153">
        <w:rPr>
          <w:rFonts w:ascii="Garamond" w:hAnsi="Garamond" w:cs="Arial"/>
          <w:sz w:val="20"/>
          <w:szCs w:val="20"/>
        </w:rPr>
        <w:t>., parág. 23.</w:t>
      </w:r>
    </w:p>
  </w:footnote>
  <w:footnote w:id="12">
    <w:p w:rsidR="007B3401" w:rsidRPr="00190B59" w:rsidRDefault="007B3401" w:rsidP="009940EF">
      <w:pPr>
        <w:pStyle w:val="Textoindependiente3"/>
        <w:spacing w:after="0"/>
        <w:ind w:left="709" w:hanging="709"/>
        <w:jc w:val="both"/>
        <w:rPr>
          <w:rFonts w:ascii="Arial" w:hAnsi="Arial" w:cs="Arial"/>
          <w:sz w:val="18"/>
          <w:szCs w:val="18"/>
        </w:rPr>
      </w:pPr>
      <w:r w:rsidRPr="00D1697B">
        <w:rPr>
          <w:rStyle w:val="Refdenotaalpie"/>
          <w:rFonts w:ascii="Book Antiqua" w:hAnsi="Book Antiqua"/>
          <w:b/>
          <w:sz w:val="24"/>
          <w:szCs w:val="24"/>
        </w:rPr>
        <w:footnoteRef/>
      </w:r>
      <w:r w:rsidRPr="00190B59">
        <w:t xml:space="preserve"> </w:t>
      </w:r>
      <w:r w:rsidRPr="00190B59">
        <w:tab/>
      </w:r>
      <w:r w:rsidRPr="0044479C">
        <w:rPr>
          <w:rFonts w:ascii="Garamond" w:hAnsi="Garamond" w:cs="Arial"/>
          <w:i/>
          <w:sz w:val="20"/>
          <w:szCs w:val="20"/>
        </w:rPr>
        <w:t>Cfr</w:t>
      </w:r>
      <w:r w:rsidRPr="0044479C">
        <w:rPr>
          <w:rFonts w:ascii="Garamond" w:hAnsi="Garamond" w:cs="Arial"/>
          <w:sz w:val="20"/>
          <w:szCs w:val="20"/>
        </w:rPr>
        <w:t xml:space="preserve">. </w:t>
      </w:r>
      <w:r w:rsidRPr="0044479C">
        <w:rPr>
          <w:rFonts w:ascii="Garamond" w:eastAsia="Times New Roman" w:hAnsi="Garamond" w:cs="Arial"/>
          <w:color w:val="000000"/>
          <w:sz w:val="20"/>
          <w:szCs w:val="20"/>
        </w:rPr>
        <w:t xml:space="preserve">Comité Coordenador da Rede de Provedorias de Mulheres da Federação Iberoamericana de Ombudsman: </w:t>
      </w:r>
      <w:r w:rsidRPr="0044479C">
        <w:rPr>
          <w:rFonts w:ascii="Garamond" w:eastAsia="Times New Roman" w:hAnsi="Garamond" w:cs="Arial"/>
          <w:i/>
          <w:color w:val="000000"/>
          <w:sz w:val="20"/>
          <w:szCs w:val="20"/>
        </w:rPr>
        <w:t>«A Violência de Género»</w:t>
      </w:r>
      <w:r w:rsidRPr="0044479C">
        <w:rPr>
          <w:rFonts w:ascii="Garamond" w:eastAsia="Times New Roman" w:hAnsi="Garamond" w:cs="Arial"/>
          <w:color w:val="000000"/>
          <w:sz w:val="20"/>
          <w:szCs w:val="20"/>
        </w:rPr>
        <w:t>. Ed. Provedoria de Justiça da Cidade Autónoma de Buenos Aires; Buenos Aires; 2010; p. 4.</w:t>
      </w:r>
    </w:p>
  </w:footnote>
  <w:footnote w:id="13">
    <w:p w:rsidR="007B3401" w:rsidRPr="008F2153" w:rsidRDefault="007B3401" w:rsidP="00736E71">
      <w:pPr>
        <w:pStyle w:val="Textoindependiente3"/>
        <w:spacing w:after="0" w:line="240" w:lineRule="auto"/>
        <w:ind w:left="709" w:hanging="709"/>
        <w:jc w:val="both"/>
        <w:rPr>
          <w:rFonts w:ascii="Garamond" w:hAnsi="Garamond" w:cs="Arial"/>
          <w:sz w:val="20"/>
          <w:szCs w:val="20"/>
        </w:rPr>
      </w:pPr>
      <w:r w:rsidRPr="007317EB">
        <w:rPr>
          <w:rStyle w:val="Refdenotaalpie"/>
          <w:rFonts w:ascii="Book Antiqua" w:hAnsi="Book Antiqua"/>
          <w:sz w:val="20"/>
          <w:szCs w:val="20"/>
        </w:rPr>
        <w:footnoteRef/>
      </w:r>
      <w:r w:rsidRPr="007B3401">
        <w:rPr>
          <w:sz w:val="20"/>
          <w:szCs w:val="20"/>
          <w:lang w:val="es-ES"/>
        </w:rPr>
        <w:t xml:space="preserve"> </w:t>
      </w:r>
      <w:r w:rsidRPr="007B3401">
        <w:rPr>
          <w:lang w:val="es-ES"/>
        </w:rPr>
        <w:tab/>
      </w:r>
      <w:r w:rsidRPr="007B3401">
        <w:rPr>
          <w:rStyle w:val="Textoennegrita"/>
          <w:rFonts w:ascii="Garamond" w:hAnsi="Garamond" w:cs="Arial"/>
          <w:b w:val="0"/>
          <w:color w:val="000000"/>
          <w:sz w:val="20"/>
          <w:szCs w:val="20"/>
          <w:lang w:val="es-ES"/>
        </w:rPr>
        <w:t xml:space="preserve">Tribunal IDH. Caso Velásquez Rodríguez </w:t>
      </w:r>
      <w:r w:rsidRPr="007B3401">
        <w:rPr>
          <w:rStyle w:val="Textoennegrita"/>
          <w:rFonts w:ascii="Garamond" w:hAnsi="Garamond" w:cs="Arial"/>
          <w:b w:val="0"/>
          <w:i/>
          <w:color w:val="000000"/>
          <w:sz w:val="20"/>
          <w:szCs w:val="20"/>
          <w:lang w:val="es-ES"/>
        </w:rPr>
        <w:t>vs.</w:t>
      </w:r>
      <w:r w:rsidRPr="007B3401">
        <w:rPr>
          <w:rStyle w:val="Textoennegrita"/>
          <w:rFonts w:ascii="Garamond" w:hAnsi="Garamond" w:cs="Arial"/>
          <w:b w:val="0"/>
          <w:color w:val="000000"/>
          <w:sz w:val="20"/>
          <w:szCs w:val="20"/>
          <w:lang w:val="es-ES"/>
        </w:rPr>
        <w:t xml:space="preserve"> Honduras. </w:t>
      </w:r>
      <w:r w:rsidRPr="008F2153">
        <w:rPr>
          <w:rStyle w:val="Textoennegrita"/>
          <w:rFonts w:ascii="Garamond" w:hAnsi="Garamond" w:cs="Arial"/>
          <w:b w:val="0"/>
          <w:sz w:val="20"/>
          <w:szCs w:val="20"/>
        </w:rPr>
        <w:t xml:space="preserve">Fundo. Sentença </w:t>
      </w:r>
      <w:r w:rsidRPr="008F2153">
        <w:rPr>
          <w:rStyle w:val="Textoennegrita"/>
          <w:rFonts w:ascii="Garamond" w:hAnsi="Garamond" w:cs="Arial"/>
          <w:b w:val="0"/>
          <w:color w:val="000000"/>
          <w:sz w:val="20"/>
          <w:szCs w:val="20"/>
        </w:rPr>
        <w:t>de 29 de julho de 1988. Série C N</w:t>
      </w:r>
      <w:r>
        <w:rPr>
          <w:rStyle w:val="Textoennegrita"/>
          <w:rFonts w:ascii="Garamond" w:hAnsi="Garamond" w:cs="Arial"/>
          <w:b w:val="0"/>
          <w:color w:val="000000"/>
          <w:sz w:val="20"/>
          <w:szCs w:val="20"/>
        </w:rPr>
        <w:t>.</w:t>
      </w:r>
      <w:r w:rsidRPr="008F2153">
        <w:rPr>
          <w:rStyle w:val="Textoennegrita"/>
          <w:rFonts w:ascii="Garamond" w:hAnsi="Garamond" w:cs="Arial"/>
          <w:b w:val="0"/>
          <w:color w:val="000000"/>
          <w:sz w:val="20"/>
          <w:szCs w:val="20"/>
        </w:rPr>
        <w:t>° 4, parágrafo 172.</w:t>
      </w:r>
    </w:p>
  </w:footnote>
  <w:footnote w:id="14">
    <w:p w:rsidR="007B3401" w:rsidRPr="008F2153" w:rsidRDefault="007B3401" w:rsidP="000239B3">
      <w:pPr>
        <w:pStyle w:val="Textoindependiente3"/>
        <w:spacing w:after="0" w:line="240" w:lineRule="auto"/>
        <w:ind w:left="709" w:hanging="709"/>
        <w:jc w:val="both"/>
        <w:rPr>
          <w:rFonts w:ascii="Garamond" w:hAnsi="Garamond" w:cs="Arial"/>
          <w:sz w:val="20"/>
          <w:szCs w:val="20"/>
        </w:rPr>
      </w:pPr>
      <w:r w:rsidRPr="007317EB">
        <w:rPr>
          <w:rStyle w:val="Refdenotaalpie"/>
          <w:rFonts w:ascii="Book Antiqua" w:hAnsi="Book Antiqua"/>
          <w:sz w:val="20"/>
          <w:szCs w:val="20"/>
        </w:rPr>
        <w:footnoteRef/>
      </w:r>
      <w:r w:rsidRPr="007317EB">
        <w:rPr>
          <w:sz w:val="20"/>
          <w:szCs w:val="20"/>
        </w:rPr>
        <w:t xml:space="preserve"> </w:t>
      </w:r>
      <w:r w:rsidRPr="007317EB">
        <w:rPr>
          <w:sz w:val="20"/>
          <w:szCs w:val="20"/>
        </w:rPr>
        <w:tab/>
      </w:r>
      <w:r w:rsidRPr="008F2153">
        <w:rPr>
          <w:rFonts w:ascii="Garamond" w:hAnsi="Garamond" w:cs="Arial"/>
          <w:sz w:val="20"/>
          <w:szCs w:val="20"/>
        </w:rPr>
        <w:t xml:space="preserve">O texto literal de ambos os números é o seguinte: </w:t>
      </w:r>
    </w:p>
    <w:p w:rsidR="007B3401" w:rsidRPr="006A4C44" w:rsidRDefault="007B3401" w:rsidP="000239B3">
      <w:pPr>
        <w:pStyle w:val="Textoindependiente3"/>
        <w:spacing w:after="0" w:line="240" w:lineRule="auto"/>
        <w:ind w:left="709" w:hanging="1"/>
        <w:jc w:val="both"/>
        <w:rPr>
          <w:rFonts w:ascii="Garamond" w:hAnsi="Garamond" w:cs="Arial"/>
          <w:sz w:val="20"/>
          <w:szCs w:val="20"/>
        </w:rPr>
      </w:pPr>
      <w:r w:rsidRPr="0000579E">
        <w:rPr>
          <w:rFonts w:ascii="Garamond" w:hAnsi="Garamond" w:cs="Arial"/>
          <w:sz w:val="20"/>
          <w:szCs w:val="20"/>
        </w:rPr>
        <w:t>«</w:t>
      </w:r>
      <w:r w:rsidRPr="0000579E">
        <w:rPr>
          <w:rFonts w:ascii="Garamond" w:hAnsi="Garamond" w:cs="Arial"/>
          <w:bCs/>
          <w:sz w:val="20"/>
          <w:szCs w:val="20"/>
          <w:u w:val="single"/>
        </w:rPr>
        <w:t>Art</w:t>
      </w:r>
      <w:r w:rsidRPr="006A4C44">
        <w:rPr>
          <w:rFonts w:ascii="Garamond" w:hAnsi="Garamond" w:cs="Arial"/>
          <w:bCs/>
          <w:sz w:val="20"/>
          <w:szCs w:val="20"/>
          <w:u w:val="single"/>
        </w:rPr>
        <w:t>. 1</w:t>
      </w:r>
      <w:r w:rsidRPr="006A4C44">
        <w:rPr>
          <w:rFonts w:ascii="Garamond" w:hAnsi="Garamond" w:cs="Arial"/>
          <w:bCs/>
          <w:sz w:val="20"/>
          <w:szCs w:val="20"/>
        </w:rPr>
        <w:t>. </w:t>
      </w:r>
      <w:r>
        <w:rPr>
          <w:rFonts w:ascii="Garamond" w:hAnsi="Garamond" w:cs="Arial"/>
          <w:bCs/>
          <w:sz w:val="20"/>
          <w:szCs w:val="20"/>
        </w:rPr>
        <w:t xml:space="preserve"> </w:t>
      </w:r>
      <w:r w:rsidRPr="006A4C44">
        <w:rPr>
          <w:rFonts w:ascii="Garamond" w:hAnsi="Garamond" w:cs="Arial"/>
          <w:bCs/>
          <w:sz w:val="20"/>
          <w:szCs w:val="20"/>
        </w:rPr>
        <w:t xml:space="preserve">Obrigação de Respeitar os Direitos </w:t>
      </w:r>
      <w:r w:rsidRPr="006A4C44">
        <w:rPr>
          <w:rFonts w:ascii="Garamond" w:hAnsi="Garamond" w:cs="Arial"/>
          <w:sz w:val="20"/>
          <w:szCs w:val="20"/>
        </w:rPr>
        <w:t>1. Os Estados</w:t>
      </w:r>
      <w:r>
        <w:rPr>
          <w:rFonts w:ascii="Garamond" w:hAnsi="Garamond" w:cs="Arial"/>
          <w:sz w:val="20"/>
          <w:szCs w:val="20"/>
        </w:rPr>
        <w:t>-</w:t>
      </w:r>
      <w:r w:rsidRPr="006A4C44">
        <w:rPr>
          <w:rFonts w:ascii="Garamond" w:hAnsi="Garamond" w:cs="Arial"/>
          <w:sz w:val="20"/>
          <w:szCs w:val="20"/>
        </w:rPr>
        <w:t xml:space="preserve">Membros desta Convenção comprometem-se a respeitar os direitos e liberdades nela reconhecidos e a garantir o seu livre e pleno exercício as todas as pessoas que estejam sujeitas à sua jurisdição, sem discriminação alguma por motivos de raça, cor, sexo, língua, religião, opiniões políticas ou de qualquer outra índole, origem nacional ou social, posição económica, nascimento ou qualquer outra condição </w:t>
      </w:r>
      <w:r w:rsidRPr="0000579E">
        <w:rPr>
          <w:rFonts w:ascii="Garamond" w:hAnsi="Garamond" w:cs="Arial"/>
          <w:sz w:val="20"/>
          <w:szCs w:val="20"/>
        </w:rPr>
        <w:t>social. (</w:t>
      </w:r>
      <w:proofErr w:type="gramStart"/>
      <w:r w:rsidRPr="0000579E">
        <w:rPr>
          <w:rFonts w:ascii="Garamond" w:hAnsi="Garamond" w:cs="Arial"/>
          <w:sz w:val="20"/>
          <w:szCs w:val="20"/>
        </w:rPr>
        <w:t>....</w:t>
      </w:r>
      <w:proofErr w:type="gramEnd"/>
      <w:r w:rsidRPr="0000579E">
        <w:rPr>
          <w:rFonts w:ascii="Garamond" w:hAnsi="Garamond" w:cs="Arial"/>
          <w:sz w:val="20"/>
          <w:szCs w:val="20"/>
        </w:rPr>
        <w:t>)».</w:t>
      </w:r>
    </w:p>
    <w:p w:rsidR="007B3401" w:rsidRPr="006A4C44" w:rsidRDefault="007B3401" w:rsidP="000239B3">
      <w:pPr>
        <w:pStyle w:val="Textoindependiente3"/>
        <w:spacing w:after="0" w:line="240" w:lineRule="auto"/>
        <w:ind w:left="709" w:hanging="1"/>
        <w:jc w:val="both"/>
        <w:rPr>
          <w:rFonts w:ascii="Garamond" w:hAnsi="Garamond" w:cs="Arial"/>
          <w:bCs/>
          <w:sz w:val="20"/>
          <w:szCs w:val="20"/>
        </w:rPr>
      </w:pPr>
      <w:r>
        <w:rPr>
          <w:rFonts w:ascii="Garamond" w:hAnsi="Garamond" w:cs="Arial"/>
          <w:bCs/>
          <w:sz w:val="20"/>
          <w:szCs w:val="20"/>
          <w:u w:val="single"/>
        </w:rPr>
        <w:t>«</w:t>
      </w:r>
      <w:r w:rsidRPr="006A4C44">
        <w:rPr>
          <w:rFonts w:ascii="Garamond" w:hAnsi="Garamond" w:cs="Arial"/>
          <w:bCs/>
          <w:sz w:val="20"/>
          <w:szCs w:val="20"/>
          <w:u w:val="single"/>
        </w:rPr>
        <w:t>Art. 2.</w:t>
      </w:r>
      <w:r w:rsidRPr="006A4C44">
        <w:rPr>
          <w:rFonts w:ascii="Garamond" w:hAnsi="Garamond" w:cs="Arial"/>
          <w:bCs/>
          <w:sz w:val="20"/>
          <w:szCs w:val="20"/>
        </w:rPr>
        <w:t xml:space="preserve"> Dever de Adotar Dispos</w:t>
      </w:r>
      <w:r>
        <w:rPr>
          <w:rFonts w:ascii="Garamond" w:hAnsi="Garamond" w:cs="Arial"/>
          <w:bCs/>
          <w:sz w:val="20"/>
          <w:szCs w:val="20"/>
        </w:rPr>
        <w:t>i</w:t>
      </w:r>
      <w:r w:rsidRPr="006A4C44">
        <w:rPr>
          <w:rFonts w:ascii="Garamond" w:hAnsi="Garamond" w:cs="Arial"/>
          <w:bCs/>
          <w:sz w:val="20"/>
          <w:szCs w:val="20"/>
        </w:rPr>
        <w:t xml:space="preserve">ções de Direito Interno </w:t>
      </w:r>
    </w:p>
    <w:p w:rsidR="007B3401" w:rsidRPr="006A4C44" w:rsidRDefault="007B3401" w:rsidP="00D944A1">
      <w:pPr>
        <w:pStyle w:val="Textoindependiente3"/>
        <w:spacing w:after="0" w:line="240" w:lineRule="auto"/>
        <w:ind w:left="709" w:hanging="1"/>
        <w:jc w:val="both"/>
        <w:rPr>
          <w:rFonts w:ascii="Garamond" w:hAnsi="Garamond" w:cs="Arial"/>
          <w:sz w:val="20"/>
          <w:szCs w:val="20"/>
        </w:rPr>
      </w:pPr>
      <w:r w:rsidRPr="006A4C44">
        <w:rPr>
          <w:rFonts w:ascii="Garamond" w:hAnsi="Garamond" w:cs="Arial"/>
          <w:sz w:val="20"/>
          <w:szCs w:val="20"/>
        </w:rPr>
        <w:t>Se o exercício dos direitos e liberdades mencionados no Art. 1 não estiver já garantido pelas disposições legislativas ou de outro caráter, os Estados</w:t>
      </w:r>
      <w:r>
        <w:rPr>
          <w:rFonts w:ascii="Garamond" w:hAnsi="Garamond" w:cs="Arial"/>
          <w:sz w:val="20"/>
          <w:szCs w:val="20"/>
        </w:rPr>
        <w:t>-</w:t>
      </w:r>
      <w:r w:rsidRPr="006A4C44">
        <w:rPr>
          <w:rFonts w:ascii="Garamond" w:hAnsi="Garamond" w:cs="Arial"/>
          <w:sz w:val="20"/>
          <w:szCs w:val="20"/>
        </w:rPr>
        <w:t xml:space="preserve">Membros comprometem-se a adotar, por força dos seus procedimentos constitucionais e das disposições desta Convenção, as medidas legislativas ou de outro caráter que forem </w:t>
      </w:r>
      <w:proofErr w:type="gramStart"/>
      <w:r w:rsidRPr="006A4C44">
        <w:rPr>
          <w:rFonts w:ascii="Garamond" w:hAnsi="Garamond" w:cs="Arial"/>
          <w:sz w:val="20"/>
          <w:szCs w:val="20"/>
        </w:rPr>
        <w:t>necessárias para tornar efetivos tais direitos</w:t>
      </w:r>
      <w:proofErr w:type="gramEnd"/>
      <w:r w:rsidRPr="006A4C44">
        <w:rPr>
          <w:rFonts w:ascii="Garamond" w:hAnsi="Garamond" w:cs="Arial"/>
          <w:sz w:val="20"/>
          <w:szCs w:val="20"/>
        </w:rPr>
        <w:t xml:space="preserve"> e liberdades.</w:t>
      </w:r>
      <w:r>
        <w:rPr>
          <w:rFonts w:ascii="Garamond" w:hAnsi="Garamond" w:cs="Arial"/>
          <w:sz w:val="20"/>
          <w:szCs w:val="20"/>
        </w:rPr>
        <w:t>»</w:t>
      </w:r>
      <w:r w:rsidRPr="006A4C44">
        <w:rPr>
          <w:rFonts w:ascii="Garamond" w:hAnsi="Garamond" w:cs="Arial"/>
          <w:sz w:val="20"/>
          <w:szCs w:val="20"/>
        </w:rPr>
        <w:t xml:space="preserve"> </w:t>
      </w:r>
    </w:p>
  </w:footnote>
  <w:footnote w:id="15">
    <w:p w:rsidR="007B3401" w:rsidRPr="008F2153" w:rsidRDefault="007B3401" w:rsidP="00D944A1">
      <w:pPr>
        <w:pStyle w:val="Textoindependiente3"/>
        <w:spacing w:after="0" w:line="240" w:lineRule="auto"/>
        <w:ind w:left="709" w:hanging="709"/>
        <w:jc w:val="both"/>
        <w:rPr>
          <w:rFonts w:ascii="Garamond" w:hAnsi="Garamond" w:cs="Arial"/>
          <w:sz w:val="20"/>
          <w:szCs w:val="20"/>
          <w:lang w:val="es-ES"/>
        </w:rPr>
      </w:pPr>
      <w:r w:rsidRPr="008F2153">
        <w:rPr>
          <w:rStyle w:val="Refdenotaalpie"/>
          <w:rFonts w:ascii="Garamond" w:hAnsi="Garamond"/>
          <w:b/>
          <w:sz w:val="20"/>
          <w:szCs w:val="20"/>
        </w:rPr>
        <w:footnoteRef/>
      </w:r>
      <w:r w:rsidRPr="007B3401">
        <w:rPr>
          <w:rFonts w:ascii="Garamond" w:hAnsi="Garamond"/>
          <w:sz w:val="20"/>
          <w:szCs w:val="20"/>
          <w:lang w:val="fr-FR"/>
        </w:rPr>
        <w:t xml:space="preserve"> </w:t>
      </w:r>
      <w:r w:rsidRPr="007B3401">
        <w:rPr>
          <w:rFonts w:ascii="Garamond" w:hAnsi="Garamond"/>
          <w:sz w:val="20"/>
          <w:szCs w:val="20"/>
          <w:lang w:val="fr-FR"/>
        </w:rPr>
        <w:tab/>
      </w:r>
      <w:r w:rsidRPr="008F2153">
        <w:rPr>
          <w:rFonts w:ascii="Garamond" w:hAnsi="Garamond" w:cs="Arial"/>
          <w:i/>
          <w:sz w:val="20"/>
          <w:szCs w:val="20"/>
          <w:lang w:val="fr-FR"/>
        </w:rPr>
        <w:t>Cfr.,</w:t>
      </w:r>
      <w:r w:rsidRPr="008F2153">
        <w:rPr>
          <w:rFonts w:ascii="Garamond" w:hAnsi="Garamond" w:cs="Arial"/>
          <w:sz w:val="20"/>
          <w:szCs w:val="20"/>
          <w:lang w:val="fr-FR"/>
        </w:rPr>
        <w:t xml:space="preserve"> por exemplo, o </w:t>
      </w:r>
      <w:r>
        <w:rPr>
          <w:rFonts w:ascii="Garamond" w:hAnsi="Garamond" w:cs="Arial"/>
          <w:i/>
          <w:iCs/>
          <w:sz w:val="20"/>
          <w:szCs w:val="20"/>
          <w:lang w:val="fr-FR"/>
        </w:rPr>
        <w:t>«</w:t>
      </w:r>
      <w:r w:rsidRPr="008F2153">
        <w:rPr>
          <w:rFonts w:ascii="Garamond" w:hAnsi="Garamond" w:cs="Arial"/>
          <w:i/>
          <w:iCs/>
          <w:sz w:val="20"/>
          <w:szCs w:val="20"/>
          <w:lang w:val="fr-FR"/>
        </w:rPr>
        <w:t>Dictionnaire alphabétique et analogique de la Langue Française</w:t>
      </w:r>
      <w:r>
        <w:rPr>
          <w:rFonts w:ascii="Garamond" w:hAnsi="Garamond" w:cs="Arial"/>
          <w:i/>
          <w:iCs/>
          <w:sz w:val="20"/>
          <w:szCs w:val="20"/>
          <w:lang w:val="fr-FR"/>
        </w:rPr>
        <w:t>»</w:t>
      </w:r>
      <w:r w:rsidRPr="008F2153">
        <w:rPr>
          <w:rFonts w:ascii="Garamond" w:hAnsi="Garamond" w:cs="Arial"/>
          <w:i/>
          <w:iCs/>
          <w:sz w:val="20"/>
          <w:szCs w:val="20"/>
          <w:lang w:val="fr-FR"/>
        </w:rPr>
        <w:t xml:space="preserve"> </w:t>
      </w:r>
      <w:r w:rsidRPr="008F2153">
        <w:rPr>
          <w:rFonts w:ascii="Garamond" w:hAnsi="Garamond" w:cs="Arial"/>
          <w:iCs/>
          <w:sz w:val="20"/>
          <w:szCs w:val="20"/>
          <w:lang w:val="fr-FR"/>
        </w:rPr>
        <w:t>e o</w:t>
      </w:r>
      <w:r w:rsidRPr="008F2153">
        <w:rPr>
          <w:rFonts w:ascii="Garamond" w:hAnsi="Garamond" w:cs="Arial"/>
          <w:i/>
          <w:iCs/>
          <w:sz w:val="20"/>
          <w:szCs w:val="20"/>
          <w:lang w:val="fr-FR"/>
        </w:rPr>
        <w:t xml:space="preserve"> </w:t>
      </w:r>
      <w:r>
        <w:rPr>
          <w:rFonts w:ascii="Garamond" w:hAnsi="Garamond" w:cs="Arial"/>
          <w:i/>
          <w:iCs/>
          <w:sz w:val="20"/>
          <w:szCs w:val="20"/>
          <w:lang w:val="fr-FR"/>
        </w:rPr>
        <w:t>«</w:t>
      </w:r>
      <w:r w:rsidRPr="008F2153">
        <w:rPr>
          <w:rFonts w:ascii="Garamond" w:hAnsi="Garamond" w:cs="Arial"/>
          <w:i/>
          <w:iCs/>
          <w:sz w:val="20"/>
          <w:szCs w:val="20"/>
          <w:lang w:val="fr-FR"/>
        </w:rPr>
        <w:t>Dictionnaire de Synonymes</w:t>
      </w:r>
      <w:r>
        <w:rPr>
          <w:rFonts w:ascii="Garamond" w:hAnsi="Garamond" w:cs="Arial"/>
          <w:i/>
          <w:iCs/>
          <w:sz w:val="20"/>
          <w:szCs w:val="20"/>
          <w:lang w:val="fr-FR"/>
        </w:rPr>
        <w:t>»</w:t>
      </w:r>
      <w:r w:rsidRPr="008F2153">
        <w:rPr>
          <w:rFonts w:ascii="Garamond" w:hAnsi="Garamond" w:cs="Arial"/>
          <w:sz w:val="20"/>
          <w:szCs w:val="20"/>
          <w:lang w:val="fr-FR"/>
        </w:rPr>
        <w:t xml:space="preserve">; Ed. </w:t>
      </w:r>
      <w:r w:rsidRPr="007B3401">
        <w:rPr>
          <w:rFonts w:ascii="Garamond" w:hAnsi="Garamond" w:cs="Arial"/>
          <w:sz w:val="20"/>
          <w:szCs w:val="20"/>
        </w:rPr>
        <w:t>Le Robert; Paris; 1986</w:t>
      </w:r>
      <w:proofErr w:type="gramStart"/>
      <w:r w:rsidRPr="007B3401">
        <w:rPr>
          <w:rFonts w:ascii="Garamond" w:hAnsi="Garamond" w:cs="Arial"/>
          <w:sz w:val="20"/>
          <w:szCs w:val="20"/>
        </w:rPr>
        <w:t xml:space="preserve">  </w:t>
      </w:r>
      <w:proofErr w:type="gramEnd"/>
      <w:r w:rsidRPr="007B3401">
        <w:rPr>
          <w:rFonts w:ascii="Garamond" w:hAnsi="Garamond" w:cs="Arial"/>
          <w:sz w:val="20"/>
          <w:szCs w:val="20"/>
        </w:rPr>
        <w:t xml:space="preserve">(p. 542, 1293 e 2118) e 1979 (p. 160 e 467) respetivamente. Também, Euridicautom, acessível através de </w:t>
      </w:r>
      <w:hyperlink r:id="rId6" w:history="1">
        <w:r w:rsidRPr="007B3401">
          <w:rPr>
            <w:rStyle w:val="Hipervnculo"/>
            <w:rFonts w:ascii="Garamond" w:hAnsi="Garamond" w:cs="Arial"/>
            <w:iCs/>
            <w:sz w:val="20"/>
            <w:szCs w:val="20"/>
          </w:rPr>
          <w:t>http://europa.eu.int/eurodicautom/Controller</w:t>
        </w:r>
      </w:hyperlink>
      <w:r w:rsidRPr="007B3401">
        <w:rPr>
          <w:rStyle w:val="Hipervnculo"/>
          <w:rFonts w:ascii="Garamond" w:hAnsi="Garamond" w:cs="Arial"/>
          <w:iCs/>
          <w:sz w:val="20"/>
          <w:szCs w:val="20"/>
        </w:rPr>
        <w:t xml:space="preserve">. </w:t>
      </w:r>
      <w:r w:rsidRPr="007B3401">
        <w:rPr>
          <w:rFonts w:ascii="Garamond" w:hAnsi="Garamond" w:cs="Arial"/>
          <w:iCs/>
          <w:sz w:val="20"/>
          <w:szCs w:val="20"/>
        </w:rPr>
        <w:t>Ver também a versão em francês do Manual de Julgamentos Justos da Amnistia Internacional: «</w:t>
      </w:r>
      <w:r w:rsidRPr="007B3401">
        <w:rPr>
          <w:rFonts w:ascii="Garamond" w:hAnsi="Garamond" w:cs="Arial"/>
          <w:i/>
          <w:iCs/>
          <w:sz w:val="20"/>
          <w:szCs w:val="20"/>
          <w:shd w:val="clear" w:color="auto" w:fill="FFFFFF"/>
        </w:rPr>
        <w:t>Pour des Procès Équitables»</w:t>
      </w:r>
      <w:r w:rsidRPr="007B3401">
        <w:rPr>
          <w:rFonts w:ascii="Garamond" w:hAnsi="Garamond" w:cs="Arial"/>
          <w:sz w:val="20"/>
          <w:szCs w:val="20"/>
          <w:shd w:val="clear" w:color="auto" w:fill="FFFFFF"/>
        </w:rPr>
        <w:t xml:space="preserve">. </w:t>
      </w:r>
      <w:r w:rsidRPr="008F2153">
        <w:rPr>
          <w:rFonts w:ascii="Garamond" w:hAnsi="Garamond" w:cs="Arial"/>
          <w:sz w:val="20"/>
          <w:szCs w:val="20"/>
          <w:shd w:val="clear" w:color="auto" w:fill="FFFFFF"/>
          <w:lang w:val="es-ES"/>
        </w:rPr>
        <w:t>Amnesty International editions; London; 2014; p. 99, 100 e 202.</w:t>
      </w:r>
    </w:p>
  </w:footnote>
  <w:footnote w:id="16">
    <w:p w:rsidR="007B3401" w:rsidRPr="006D2542" w:rsidRDefault="007B3401" w:rsidP="0062671F">
      <w:pPr>
        <w:pStyle w:val="Textoindependiente3"/>
        <w:spacing w:after="0" w:line="240" w:lineRule="auto"/>
        <w:ind w:left="709" w:hanging="709"/>
        <w:jc w:val="both"/>
        <w:rPr>
          <w:rFonts w:ascii="Garamond" w:hAnsi="Garamond" w:cs="Arial"/>
          <w:sz w:val="20"/>
          <w:szCs w:val="20"/>
          <w:lang w:val="es-PE"/>
        </w:rPr>
      </w:pPr>
      <w:r w:rsidRPr="008F2153">
        <w:rPr>
          <w:rStyle w:val="Refdenotaalpie"/>
          <w:rFonts w:ascii="Garamond" w:hAnsi="Garamond"/>
          <w:b/>
          <w:sz w:val="20"/>
          <w:szCs w:val="20"/>
        </w:rPr>
        <w:footnoteRef/>
      </w:r>
      <w:r w:rsidRPr="008F2153">
        <w:rPr>
          <w:rFonts w:ascii="Garamond" w:hAnsi="Garamond"/>
          <w:sz w:val="20"/>
          <w:szCs w:val="20"/>
          <w:lang w:val="es-ES"/>
        </w:rPr>
        <w:t xml:space="preserve"> </w:t>
      </w:r>
      <w:r w:rsidRPr="008F2153">
        <w:rPr>
          <w:rFonts w:ascii="Garamond" w:hAnsi="Garamond"/>
          <w:sz w:val="20"/>
          <w:szCs w:val="20"/>
          <w:lang w:val="es-ES"/>
        </w:rPr>
        <w:tab/>
      </w:r>
      <w:r w:rsidRPr="008F2153">
        <w:rPr>
          <w:rFonts w:ascii="Garamond" w:hAnsi="Garamond" w:cs="Arial"/>
          <w:i/>
          <w:sz w:val="20"/>
          <w:szCs w:val="20"/>
          <w:lang w:val="es-ES_tradnl"/>
        </w:rPr>
        <w:t>Cfr.</w:t>
      </w:r>
      <w:r w:rsidRPr="008F2153">
        <w:rPr>
          <w:rFonts w:ascii="Garamond" w:hAnsi="Garamond" w:cs="Arial"/>
          <w:sz w:val="20"/>
          <w:szCs w:val="20"/>
          <w:lang w:val="es-ES_tradnl"/>
        </w:rPr>
        <w:t xml:space="preserve"> </w:t>
      </w:r>
      <w:r>
        <w:rPr>
          <w:rFonts w:ascii="Garamond" w:hAnsi="Garamond" w:cs="Arial"/>
          <w:i/>
          <w:iCs/>
          <w:sz w:val="20"/>
          <w:szCs w:val="20"/>
          <w:lang w:val="es-ES_tradnl"/>
        </w:rPr>
        <w:t>«</w:t>
      </w:r>
      <w:r w:rsidRPr="008F2153">
        <w:rPr>
          <w:rFonts w:ascii="Garamond" w:hAnsi="Garamond" w:cs="Arial"/>
          <w:i/>
          <w:iCs/>
          <w:sz w:val="20"/>
          <w:szCs w:val="20"/>
          <w:lang w:val="es-ES_tradnl"/>
        </w:rPr>
        <w:t>Gran Diccionario español /portugués, portugués/español</w:t>
      </w:r>
      <w:r>
        <w:rPr>
          <w:rFonts w:ascii="Garamond" w:hAnsi="Garamond" w:cs="Arial"/>
          <w:i/>
          <w:iCs/>
          <w:sz w:val="20"/>
          <w:szCs w:val="20"/>
          <w:lang w:val="es-ES_tradnl"/>
        </w:rPr>
        <w:t>»</w:t>
      </w:r>
      <w:r w:rsidRPr="008F2153">
        <w:rPr>
          <w:rFonts w:ascii="Garamond" w:hAnsi="Garamond" w:cs="Arial"/>
          <w:sz w:val="20"/>
          <w:szCs w:val="20"/>
          <w:lang w:val="es-ES_tradnl"/>
        </w:rPr>
        <w:t xml:space="preserve">. </w:t>
      </w:r>
      <w:r w:rsidRPr="006D2542">
        <w:rPr>
          <w:rFonts w:ascii="Garamond" w:hAnsi="Garamond" w:cs="Arial"/>
          <w:sz w:val="20"/>
          <w:szCs w:val="20"/>
          <w:lang w:val="es-PE"/>
        </w:rPr>
        <w:t>Ed. Espasa Calpe S.A.. Madrid 2001, p. 843 e 846.</w:t>
      </w:r>
    </w:p>
  </w:footnote>
  <w:footnote w:id="17">
    <w:p w:rsidR="007B3401" w:rsidRPr="008F2153" w:rsidRDefault="007B3401" w:rsidP="0062671F">
      <w:pPr>
        <w:pStyle w:val="Textoindependiente3"/>
        <w:spacing w:after="0" w:line="240" w:lineRule="auto"/>
        <w:ind w:left="709" w:hanging="709"/>
        <w:jc w:val="both"/>
        <w:rPr>
          <w:rFonts w:ascii="Garamond" w:hAnsi="Garamond" w:cs="Arial"/>
          <w:sz w:val="20"/>
          <w:szCs w:val="20"/>
          <w:lang w:val="es-ES"/>
        </w:rPr>
      </w:pPr>
      <w:r w:rsidRPr="008F2153">
        <w:rPr>
          <w:rStyle w:val="Refdenotaalpie"/>
          <w:rFonts w:ascii="Garamond" w:hAnsi="Garamond"/>
          <w:b/>
          <w:sz w:val="20"/>
          <w:szCs w:val="20"/>
        </w:rPr>
        <w:footnoteRef/>
      </w:r>
      <w:r w:rsidRPr="006D2542">
        <w:rPr>
          <w:rFonts w:ascii="Garamond" w:hAnsi="Garamond"/>
          <w:sz w:val="20"/>
          <w:szCs w:val="20"/>
          <w:lang w:val="es-PE"/>
        </w:rPr>
        <w:t xml:space="preserve"> </w:t>
      </w:r>
      <w:r w:rsidRPr="006D2542">
        <w:rPr>
          <w:rFonts w:ascii="Garamond" w:hAnsi="Garamond"/>
          <w:sz w:val="20"/>
          <w:szCs w:val="20"/>
          <w:lang w:val="es-PE"/>
        </w:rPr>
        <w:tab/>
      </w:r>
      <w:r w:rsidRPr="006D2542">
        <w:rPr>
          <w:rFonts w:ascii="Garamond" w:hAnsi="Garamond" w:cs="Times New Roman"/>
          <w:i/>
          <w:sz w:val="20"/>
          <w:szCs w:val="20"/>
          <w:lang w:val="es-PE"/>
        </w:rPr>
        <w:t>Cfr.</w:t>
      </w:r>
      <w:proofErr w:type="gramStart"/>
      <w:r w:rsidRPr="006D2542">
        <w:rPr>
          <w:rFonts w:ascii="Garamond" w:hAnsi="Garamond" w:cs="Times New Roman"/>
          <w:i/>
          <w:sz w:val="20"/>
          <w:szCs w:val="20"/>
          <w:lang w:val="es-PE"/>
        </w:rPr>
        <w:t>,</w:t>
      </w:r>
      <w:r w:rsidRPr="006D2542">
        <w:rPr>
          <w:rFonts w:ascii="Garamond" w:hAnsi="Garamond" w:cs="Times New Roman"/>
          <w:sz w:val="20"/>
          <w:szCs w:val="20"/>
          <w:lang w:val="es-PE"/>
        </w:rPr>
        <w:t>por</w:t>
      </w:r>
      <w:proofErr w:type="gramEnd"/>
      <w:r w:rsidRPr="006D2542">
        <w:rPr>
          <w:rFonts w:ascii="Garamond" w:hAnsi="Garamond" w:cs="Times New Roman"/>
          <w:sz w:val="20"/>
          <w:szCs w:val="20"/>
          <w:lang w:val="es-PE"/>
        </w:rPr>
        <w:t xml:space="preserve"> exemplo, o </w:t>
      </w:r>
      <w:r w:rsidRPr="006D2542">
        <w:rPr>
          <w:rFonts w:ascii="Garamond" w:hAnsi="Garamond" w:cs="Times New Roman"/>
          <w:i/>
          <w:iCs/>
          <w:sz w:val="20"/>
          <w:szCs w:val="20"/>
          <w:lang w:val="es-PE"/>
        </w:rPr>
        <w:t>«Chambers 21</w:t>
      </w:r>
      <w:r w:rsidRPr="006D2542">
        <w:rPr>
          <w:rFonts w:ascii="Garamond" w:hAnsi="Garamond" w:cs="Times New Roman"/>
          <w:i/>
          <w:iCs/>
          <w:sz w:val="20"/>
          <w:szCs w:val="20"/>
          <w:vertAlign w:val="superscript"/>
          <w:lang w:val="es-PE"/>
        </w:rPr>
        <w:t>s</w:t>
      </w:r>
      <w:r w:rsidRPr="006D2542">
        <w:rPr>
          <w:rFonts w:ascii="Garamond" w:hAnsi="Garamond" w:cs="Times New Roman"/>
          <w:i/>
          <w:iCs/>
          <w:sz w:val="20"/>
          <w:szCs w:val="20"/>
          <w:lang w:val="es-PE"/>
        </w:rPr>
        <w:t xml:space="preserve">. </w:t>
      </w:r>
      <w:proofErr w:type="gramStart"/>
      <w:r w:rsidRPr="008F2153">
        <w:rPr>
          <w:rFonts w:ascii="Garamond" w:hAnsi="Garamond" w:cs="Times New Roman"/>
          <w:i/>
          <w:iCs/>
          <w:sz w:val="20"/>
          <w:szCs w:val="20"/>
          <w:lang w:val="en-US"/>
        </w:rPr>
        <w:t>Century Dictionary</w:t>
      </w:r>
      <w:r>
        <w:rPr>
          <w:rFonts w:ascii="Garamond" w:hAnsi="Garamond" w:cs="Times New Roman"/>
          <w:i/>
          <w:iCs/>
          <w:sz w:val="20"/>
          <w:szCs w:val="20"/>
          <w:lang w:val="en-US"/>
        </w:rPr>
        <w:t>»</w:t>
      </w:r>
      <w:r w:rsidRPr="008F2153">
        <w:rPr>
          <w:rFonts w:ascii="Garamond" w:hAnsi="Garamond" w:cs="Times New Roman"/>
          <w:i/>
          <w:iCs/>
          <w:sz w:val="20"/>
          <w:szCs w:val="20"/>
          <w:lang w:val="en-US"/>
        </w:rPr>
        <w:t>;</w:t>
      </w:r>
      <w:r w:rsidRPr="008F2153">
        <w:rPr>
          <w:rFonts w:ascii="Garamond" w:hAnsi="Garamond" w:cs="Times New Roman"/>
          <w:sz w:val="20"/>
          <w:szCs w:val="20"/>
          <w:lang w:val="en-US"/>
        </w:rPr>
        <w:t xml:space="preserve"> ed. Chambers Harrap Publishers Ltd. </w:t>
      </w:r>
      <w:r w:rsidRPr="002A0E23">
        <w:rPr>
          <w:rFonts w:ascii="Garamond" w:hAnsi="Garamond" w:cs="Times New Roman"/>
          <w:sz w:val="20"/>
          <w:szCs w:val="20"/>
          <w:lang w:val="en-US"/>
        </w:rPr>
        <w:t>Edimburgh 1999 (reimpresso em 2002), pp. 374, 406 e 407.</w:t>
      </w:r>
      <w:proofErr w:type="gramEnd"/>
      <w:r w:rsidRPr="002A0E23">
        <w:rPr>
          <w:rFonts w:ascii="Garamond" w:hAnsi="Garamond" w:cs="Times New Roman"/>
          <w:sz w:val="20"/>
          <w:szCs w:val="20"/>
          <w:lang w:val="en-US"/>
        </w:rPr>
        <w:t xml:space="preserve"> </w:t>
      </w:r>
      <w:r w:rsidRPr="00505600">
        <w:rPr>
          <w:rFonts w:ascii="Garamond" w:hAnsi="Garamond" w:cs="Times New Roman"/>
          <w:sz w:val="20"/>
          <w:szCs w:val="20"/>
          <w:lang w:val="en-US"/>
        </w:rPr>
        <w:t xml:space="preserve">E igualmente </w:t>
      </w:r>
      <w:r w:rsidRPr="00505600">
        <w:rPr>
          <w:rFonts w:ascii="Garamond" w:hAnsi="Garamond" w:cs="Times New Roman"/>
          <w:i/>
          <w:iCs/>
          <w:sz w:val="20"/>
          <w:szCs w:val="20"/>
          <w:lang w:val="en-US"/>
        </w:rPr>
        <w:t>«Oxford Advanced Learner’s Dictionary</w:t>
      </w:r>
      <w:proofErr w:type="gramStart"/>
      <w:r w:rsidRPr="00505600">
        <w:rPr>
          <w:rFonts w:ascii="Garamond" w:hAnsi="Garamond" w:cs="Times New Roman"/>
          <w:i/>
          <w:iCs/>
          <w:sz w:val="20"/>
          <w:szCs w:val="20"/>
          <w:lang w:val="en-US"/>
        </w:rPr>
        <w:t>.»</w:t>
      </w:r>
      <w:proofErr w:type="gramEnd"/>
      <w:r>
        <w:rPr>
          <w:rFonts w:ascii="Garamond" w:hAnsi="Garamond" w:cs="Times New Roman"/>
          <w:i/>
          <w:iCs/>
          <w:sz w:val="20"/>
          <w:szCs w:val="20"/>
          <w:lang w:val="en-US"/>
        </w:rPr>
        <w:t xml:space="preserve"> </w:t>
      </w:r>
      <w:proofErr w:type="gramStart"/>
      <w:r w:rsidRPr="00505600">
        <w:rPr>
          <w:rFonts w:ascii="Garamond" w:hAnsi="Garamond" w:cs="Times New Roman"/>
          <w:sz w:val="20"/>
          <w:szCs w:val="20"/>
          <w:lang w:val="en-US"/>
        </w:rPr>
        <w:t>Ed. Oxford University Press.</w:t>
      </w:r>
      <w:proofErr w:type="gramEnd"/>
      <w:r w:rsidRPr="00505600">
        <w:rPr>
          <w:rFonts w:ascii="Garamond" w:hAnsi="Garamond" w:cs="Times New Roman"/>
          <w:sz w:val="20"/>
          <w:szCs w:val="20"/>
          <w:lang w:val="en-US"/>
        </w:rPr>
        <w:t xml:space="preserve"> </w:t>
      </w:r>
      <w:r w:rsidRPr="008F2153">
        <w:rPr>
          <w:rFonts w:ascii="Garamond" w:hAnsi="Garamond" w:cs="Times New Roman"/>
          <w:sz w:val="20"/>
          <w:szCs w:val="20"/>
          <w:lang w:val="es-ES"/>
        </w:rPr>
        <w:t>Oxford 2002, pp. 350 e 390.</w:t>
      </w:r>
    </w:p>
  </w:footnote>
  <w:footnote w:id="18">
    <w:p w:rsidR="007B3401" w:rsidRPr="008F2153" w:rsidRDefault="007B3401" w:rsidP="0062671F">
      <w:pPr>
        <w:pStyle w:val="Textoindependiente3"/>
        <w:spacing w:after="0" w:line="240" w:lineRule="auto"/>
        <w:ind w:left="709" w:hanging="709"/>
        <w:jc w:val="both"/>
        <w:rPr>
          <w:rFonts w:ascii="Garamond" w:hAnsi="Garamond" w:cs="Arial"/>
          <w:sz w:val="20"/>
          <w:szCs w:val="20"/>
          <w:lang w:val="es-ES"/>
        </w:rPr>
      </w:pPr>
      <w:r w:rsidRPr="008F2153">
        <w:rPr>
          <w:rStyle w:val="Refdenotaalpie"/>
          <w:rFonts w:ascii="Garamond" w:hAnsi="Garamond"/>
          <w:b/>
          <w:sz w:val="20"/>
          <w:szCs w:val="20"/>
        </w:rPr>
        <w:footnoteRef/>
      </w:r>
      <w:r w:rsidRPr="008F2153">
        <w:rPr>
          <w:rFonts w:ascii="Garamond" w:hAnsi="Garamond"/>
          <w:sz w:val="20"/>
          <w:szCs w:val="20"/>
          <w:lang w:val="es-ES"/>
        </w:rPr>
        <w:t xml:space="preserve"> </w:t>
      </w:r>
      <w:r w:rsidRPr="008F2153">
        <w:rPr>
          <w:rFonts w:ascii="Garamond" w:hAnsi="Garamond"/>
          <w:sz w:val="20"/>
          <w:szCs w:val="20"/>
          <w:lang w:val="es-ES"/>
        </w:rPr>
        <w:tab/>
      </w:r>
      <w:r w:rsidRPr="008F2153">
        <w:rPr>
          <w:rFonts w:ascii="Garamond" w:hAnsi="Garamond" w:cs="Times New Roman"/>
          <w:i/>
          <w:sz w:val="20"/>
          <w:szCs w:val="20"/>
          <w:lang w:val="es-ES_tradnl"/>
        </w:rPr>
        <w:t>Cfr.</w:t>
      </w:r>
      <w:r w:rsidRPr="008F2153">
        <w:rPr>
          <w:rFonts w:ascii="Garamond" w:hAnsi="Garamond" w:cs="Times New Roman"/>
          <w:sz w:val="20"/>
          <w:szCs w:val="20"/>
          <w:lang w:val="es-ES_tradnl"/>
        </w:rPr>
        <w:t xml:space="preserve"> Real Academia Española: </w:t>
      </w:r>
      <w:r>
        <w:rPr>
          <w:rFonts w:ascii="Garamond" w:hAnsi="Garamond" w:cs="Times New Roman"/>
          <w:i/>
          <w:iCs/>
          <w:sz w:val="20"/>
          <w:szCs w:val="20"/>
          <w:lang w:val="es-ES_tradnl"/>
        </w:rPr>
        <w:t>«</w:t>
      </w:r>
      <w:r w:rsidRPr="008F2153">
        <w:rPr>
          <w:rFonts w:ascii="Garamond" w:hAnsi="Garamond" w:cs="Times New Roman"/>
          <w:i/>
          <w:iCs/>
          <w:sz w:val="20"/>
          <w:szCs w:val="20"/>
          <w:lang w:val="es-ES_tradnl"/>
        </w:rPr>
        <w:t>Diccionario de la Lengua Española</w:t>
      </w:r>
      <w:r>
        <w:rPr>
          <w:rFonts w:ascii="Garamond" w:hAnsi="Garamond" w:cs="Times New Roman"/>
          <w:i/>
          <w:iCs/>
          <w:sz w:val="20"/>
          <w:szCs w:val="20"/>
          <w:lang w:val="es-ES_tradnl"/>
        </w:rPr>
        <w:t>»</w:t>
      </w:r>
      <w:r w:rsidRPr="008F2153">
        <w:rPr>
          <w:rFonts w:ascii="Garamond" w:hAnsi="Garamond" w:cs="Times New Roman"/>
          <w:i/>
          <w:iCs/>
          <w:sz w:val="20"/>
          <w:szCs w:val="20"/>
          <w:lang w:val="es-ES_tradnl"/>
        </w:rPr>
        <w:t xml:space="preserve">, </w:t>
      </w:r>
      <w:r w:rsidRPr="008F2153">
        <w:rPr>
          <w:rFonts w:ascii="Garamond" w:hAnsi="Garamond" w:cs="Times New Roman"/>
          <w:sz w:val="20"/>
          <w:szCs w:val="20"/>
          <w:lang w:val="es-ES_tradnl"/>
        </w:rPr>
        <w:t>Tomo I.  Vigésimo segunda edición  por Espasa Calpe S.A. Madrid 2001, pp. 729 e 824.</w:t>
      </w:r>
    </w:p>
    <w:p w:rsidR="007B3401" w:rsidRPr="008F2153" w:rsidRDefault="007B3401" w:rsidP="0062671F">
      <w:pPr>
        <w:pStyle w:val="Textoindependiente3"/>
        <w:spacing w:after="0" w:line="240" w:lineRule="auto"/>
        <w:ind w:left="709" w:hanging="709"/>
        <w:jc w:val="both"/>
        <w:rPr>
          <w:rFonts w:ascii="Garamond" w:hAnsi="Garamond" w:cs="Arial"/>
          <w:sz w:val="20"/>
          <w:szCs w:val="20"/>
          <w:lang w:val="es-ES"/>
        </w:rPr>
      </w:pPr>
    </w:p>
  </w:footnote>
  <w:footnote w:id="19">
    <w:p w:rsidR="007B3401" w:rsidRPr="008F2153" w:rsidRDefault="007B3401" w:rsidP="004759C9">
      <w:pPr>
        <w:pStyle w:val="Textoindependiente3"/>
        <w:spacing w:after="0" w:line="240" w:lineRule="auto"/>
        <w:ind w:left="709" w:hanging="709"/>
        <w:jc w:val="both"/>
        <w:rPr>
          <w:rFonts w:ascii="Garamond" w:hAnsi="Garamond" w:cs="Arial"/>
          <w:sz w:val="20"/>
          <w:szCs w:val="20"/>
        </w:rPr>
      </w:pPr>
      <w:r w:rsidRPr="00D76C04">
        <w:rPr>
          <w:rStyle w:val="Refdenotaalpie"/>
          <w:rFonts w:ascii="Book Antiqua" w:hAnsi="Book Antiqua"/>
          <w:sz w:val="20"/>
          <w:szCs w:val="20"/>
        </w:rPr>
        <w:footnoteRef/>
      </w:r>
      <w:r w:rsidRPr="00D76C04">
        <w:rPr>
          <w:sz w:val="20"/>
          <w:szCs w:val="20"/>
          <w:lang w:val="es-ES"/>
        </w:rPr>
        <w:t xml:space="preserve"> </w:t>
      </w:r>
      <w:r w:rsidRPr="00835CD1">
        <w:rPr>
          <w:lang w:val="es-ES"/>
        </w:rPr>
        <w:tab/>
      </w:r>
      <w:r w:rsidRPr="008F2153">
        <w:rPr>
          <w:rFonts w:ascii="Garamond" w:hAnsi="Garamond"/>
          <w:sz w:val="20"/>
          <w:szCs w:val="20"/>
          <w:lang w:val="es-ES"/>
        </w:rPr>
        <w:t xml:space="preserve">LOZANO CONTRERAS, José Fernando: </w:t>
      </w:r>
      <w:r>
        <w:rPr>
          <w:rFonts w:ascii="Garamond" w:hAnsi="Garamond"/>
          <w:i/>
          <w:sz w:val="20"/>
          <w:szCs w:val="20"/>
          <w:lang w:val="es-ES"/>
        </w:rPr>
        <w:t>«</w:t>
      </w:r>
      <w:r w:rsidRPr="008F2153">
        <w:rPr>
          <w:rFonts w:ascii="Garamond" w:hAnsi="Garamond"/>
          <w:i/>
          <w:sz w:val="20"/>
          <w:szCs w:val="20"/>
          <w:lang w:val="es-ES"/>
        </w:rPr>
        <w:t>La noción de Debida Diligencia en el Direito Internacional Público</w:t>
      </w:r>
      <w:r>
        <w:rPr>
          <w:rFonts w:ascii="Garamond" w:hAnsi="Garamond"/>
          <w:i/>
          <w:sz w:val="20"/>
          <w:szCs w:val="20"/>
          <w:lang w:val="es-ES"/>
        </w:rPr>
        <w:t>»</w:t>
      </w:r>
      <w:r w:rsidRPr="008F2153">
        <w:rPr>
          <w:rFonts w:ascii="Garamond" w:hAnsi="Garamond"/>
          <w:i/>
          <w:sz w:val="20"/>
          <w:szCs w:val="20"/>
          <w:lang w:val="es-ES"/>
        </w:rPr>
        <w:t xml:space="preserve">. </w:t>
      </w:r>
      <w:r w:rsidRPr="008F2153">
        <w:rPr>
          <w:rFonts w:ascii="Garamond" w:hAnsi="Garamond"/>
          <w:sz w:val="20"/>
          <w:szCs w:val="20"/>
          <w:lang w:val="es-ES"/>
        </w:rPr>
        <w:t xml:space="preserve"> </w:t>
      </w:r>
      <w:r w:rsidRPr="008F2153">
        <w:rPr>
          <w:rFonts w:ascii="Garamond" w:hAnsi="Garamond"/>
          <w:sz w:val="20"/>
          <w:szCs w:val="20"/>
        </w:rPr>
        <w:t>Ed. Universidad de Alicante, 2007, p. 308.</w:t>
      </w:r>
    </w:p>
  </w:footnote>
  <w:footnote w:id="20">
    <w:p w:rsidR="007B3401" w:rsidRPr="008F2153" w:rsidRDefault="007B3401" w:rsidP="00182E1F">
      <w:pPr>
        <w:pStyle w:val="Textonotapie"/>
        <w:spacing w:line="240" w:lineRule="auto"/>
        <w:jc w:val="both"/>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Fora do Sistema Interamericano existem preceitos análogos, como por exemplo o Pacto Internacional de Direitos Civis e Políticos, cujo Art. 2</w:t>
      </w:r>
      <w:r>
        <w:rPr>
          <w:rFonts w:ascii="Garamond" w:hAnsi="Garamond"/>
          <w:lang w:val="pt-PT"/>
        </w:rPr>
        <w:t xml:space="preserve">, n.º </w:t>
      </w:r>
      <w:r w:rsidRPr="008F2153">
        <w:rPr>
          <w:rFonts w:ascii="Garamond" w:hAnsi="Garamond"/>
          <w:lang w:val="pt-PT"/>
        </w:rPr>
        <w:t>3 assinala:</w:t>
      </w:r>
    </w:p>
    <w:p w:rsidR="007B3401" w:rsidRPr="008F2153" w:rsidRDefault="007B3401" w:rsidP="00505600">
      <w:pPr>
        <w:pStyle w:val="Textonotapie"/>
        <w:spacing w:line="240" w:lineRule="auto"/>
        <w:ind w:left="284"/>
        <w:jc w:val="both"/>
        <w:rPr>
          <w:rFonts w:ascii="Garamond" w:hAnsi="Garamond"/>
          <w:lang w:val="pt-PT"/>
        </w:rPr>
      </w:pPr>
      <w:proofErr w:type="gramStart"/>
      <w:r>
        <w:rPr>
          <w:rFonts w:ascii="Garamond" w:hAnsi="Garamond"/>
          <w:lang w:val="pt-PT"/>
        </w:rPr>
        <w:t>«</w:t>
      </w:r>
      <w:r w:rsidRPr="008F2153">
        <w:rPr>
          <w:rFonts w:ascii="Garamond" w:hAnsi="Garamond"/>
          <w:lang w:val="pt-PT"/>
        </w:rPr>
        <w:t>Cada um dos Estados</w:t>
      </w:r>
      <w:r>
        <w:rPr>
          <w:rFonts w:ascii="Garamond" w:hAnsi="Garamond"/>
          <w:lang w:val="pt-PT"/>
        </w:rPr>
        <w:t>-M</w:t>
      </w:r>
      <w:r w:rsidRPr="008F2153">
        <w:rPr>
          <w:rFonts w:ascii="Garamond" w:hAnsi="Garamond"/>
          <w:lang w:val="pt-PT"/>
        </w:rPr>
        <w:t xml:space="preserve">embros no presente Pacto compromete-se a garantir que: </w:t>
      </w:r>
    </w:p>
    <w:p w:rsidR="007B3401" w:rsidRPr="008F2153" w:rsidRDefault="007B3401" w:rsidP="00505600">
      <w:pPr>
        <w:spacing w:after="0" w:line="240" w:lineRule="auto"/>
        <w:ind w:left="284"/>
        <w:jc w:val="both"/>
        <w:rPr>
          <w:rFonts w:ascii="Garamond" w:eastAsia="Times New Roman" w:hAnsi="Garamond" w:cs="Times New Roman"/>
          <w:sz w:val="20"/>
          <w:szCs w:val="20"/>
        </w:rPr>
      </w:pPr>
      <w:proofErr w:type="gramEnd"/>
      <w:r w:rsidRPr="008F2153">
        <w:rPr>
          <w:rFonts w:ascii="Garamond" w:eastAsia="Times New Roman" w:hAnsi="Garamond" w:cs="Times New Roman"/>
          <w:sz w:val="20"/>
          <w:szCs w:val="20"/>
        </w:rPr>
        <w:t xml:space="preserve">a) Todas as pessoas cujos direitos ou liberdades reconhecidos no presente Pacto tenham sido violados poderão interpor um </w:t>
      </w:r>
      <w:r w:rsidRPr="008F2153">
        <w:rPr>
          <w:rFonts w:ascii="Garamond" w:eastAsia="Times New Roman" w:hAnsi="Garamond" w:cs="Times New Roman"/>
          <w:i/>
          <w:sz w:val="20"/>
          <w:szCs w:val="20"/>
        </w:rPr>
        <w:t>recurso efetivo</w:t>
      </w:r>
      <w:r w:rsidRPr="008F2153">
        <w:rPr>
          <w:rFonts w:ascii="Garamond" w:eastAsia="Times New Roman" w:hAnsi="Garamond" w:cs="Times New Roman"/>
          <w:sz w:val="20"/>
          <w:szCs w:val="20"/>
        </w:rPr>
        <w:t xml:space="preserve">, mesmo quando tal violação tiver sido cometida por pessoas que agiam no exercício das suas funções oficiais. </w:t>
      </w:r>
    </w:p>
    <w:p w:rsidR="007B3401" w:rsidRPr="008F2153" w:rsidRDefault="007B3401" w:rsidP="00505600">
      <w:pPr>
        <w:spacing w:after="0" w:line="240" w:lineRule="auto"/>
        <w:ind w:left="284"/>
        <w:jc w:val="both"/>
        <w:rPr>
          <w:rFonts w:ascii="Garamond" w:eastAsia="Times New Roman" w:hAnsi="Garamond" w:cs="Times New Roman"/>
          <w:sz w:val="20"/>
          <w:szCs w:val="20"/>
        </w:rPr>
      </w:pPr>
      <w:r w:rsidRPr="008F2153">
        <w:rPr>
          <w:rFonts w:ascii="Garamond" w:eastAsia="Times New Roman" w:hAnsi="Garamond" w:cs="Times New Roman"/>
          <w:sz w:val="20"/>
          <w:szCs w:val="20"/>
        </w:rPr>
        <w:t xml:space="preserve">b) A autoridade competente, judicial, administrativa ou legislativa, ou qualquer outra autoridade competente prevista no sistema legal do Estado, decidirá sobre os direitos de todas as pessoas que interponham tal recurso, e desenvolverá as possibilidades de recurso judicial. </w:t>
      </w:r>
    </w:p>
    <w:p w:rsidR="007B3401" w:rsidRPr="008F2153" w:rsidRDefault="007B3401" w:rsidP="00505600">
      <w:pPr>
        <w:spacing w:after="0" w:line="240" w:lineRule="auto"/>
        <w:ind w:left="284"/>
        <w:jc w:val="both"/>
        <w:rPr>
          <w:rFonts w:ascii="Garamond" w:eastAsia="Times New Roman" w:hAnsi="Garamond" w:cs="Times New Roman"/>
          <w:sz w:val="20"/>
          <w:szCs w:val="20"/>
        </w:rPr>
      </w:pPr>
      <w:r w:rsidRPr="008F2153">
        <w:rPr>
          <w:rFonts w:ascii="Garamond" w:eastAsia="Times New Roman" w:hAnsi="Garamond" w:cs="Times New Roman"/>
          <w:sz w:val="20"/>
          <w:szCs w:val="20"/>
        </w:rPr>
        <w:t>c) As autoridades competentes cumprirão toda a decisão em que se tenha estimado procedente o recurso.</w:t>
      </w:r>
      <w:r>
        <w:rPr>
          <w:rFonts w:ascii="Garamond" w:eastAsia="Times New Roman" w:hAnsi="Garamond" w:cs="Times New Roman"/>
          <w:sz w:val="20"/>
          <w:szCs w:val="20"/>
        </w:rPr>
        <w:t>»</w:t>
      </w:r>
      <w:r w:rsidRPr="008F2153">
        <w:rPr>
          <w:rFonts w:ascii="Garamond" w:eastAsia="Times New Roman" w:hAnsi="Garamond" w:cs="Times New Roman"/>
          <w:sz w:val="20"/>
          <w:szCs w:val="20"/>
        </w:rPr>
        <w:t xml:space="preserve"> (As aspas são nossas).</w:t>
      </w:r>
    </w:p>
    <w:p w:rsidR="007B3401" w:rsidRPr="008F2153" w:rsidRDefault="007B3401" w:rsidP="00182E1F">
      <w:pPr>
        <w:pStyle w:val="Textonotapie"/>
        <w:spacing w:line="240" w:lineRule="auto"/>
        <w:jc w:val="both"/>
        <w:rPr>
          <w:rFonts w:ascii="Garamond" w:hAnsi="Garamond"/>
          <w:lang w:val="pt-PT"/>
        </w:rPr>
      </w:pPr>
    </w:p>
    <w:p w:rsidR="007B3401" w:rsidRPr="008F2153" w:rsidRDefault="007B3401" w:rsidP="00182E1F">
      <w:pPr>
        <w:pStyle w:val="Textonotapie"/>
        <w:spacing w:line="240" w:lineRule="auto"/>
        <w:jc w:val="both"/>
        <w:rPr>
          <w:rFonts w:ascii="Garamond" w:hAnsi="Garamond"/>
          <w:lang w:val="pt-PT"/>
        </w:rPr>
      </w:pPr>
    </w:p>
  </w:footnote>
  <w:footnote w:id="21">
    <w:p w:rsidR="007B3401" w:rsidRPr="008F2153" w:rsidRDefault="007B3401" w:rsidP="00182E1F">
      <w:pPr>
        <w:autoSpaceDE w:val="0"/>
        <w:autoSpaceDN w:val="0"/>
        <w:adjustRightInd w:val="0"/>
        <w:spacing w:after="0" w:line="240" w:lineRule="auto"/>
        <w:contextualSpacing/>
        <w:jc w:val="both"/>
        <w:rPr>
          <w:rFonts w:ascii="Garamond" w:hAnsi="Garamond"/>
          <w:sz w:val="20"/>
          <w:szCs w:val="20"/>
        </w:rPr>
      </w:pPr>
      <w:r w:rsidRPr="008F2153">
        <w:rPr>
          <w:rStyle w:val="Refdenotaalpie"/>
          <w:rFonts w:ascii="Garamond" w:hAnsi="Garamond"/>
          <w:sz w:val="20"/>
          <w:szCs w:val="20"/>
        </w:rPr>
        <w:footnoteRef/>
      </w:r>
      <w:r w:rsidRPr="008F2153">
        <w:rPr>
          <w:rFonts w:ascii="Garamond" w:hAnsi="Garamond"/>
          <w:sz w:val="20"/>
          <w:szCs w:val="20"/>
        </w:rPr>
        <w:t xml:space="preserve"> Podem-se referir, a título de exemplo, </w:t>
      </w:r>
      <w:r w:rsidRPr="008F2153">
        <w:rPr>
          <w:rFonts w:ascii="Garamond" w:hAnsi="Garamond" w:cs="Arial"/>
          <w:sz w:val="20"/>
          <w:szCs w:val="20"/>
        </w:rPr>
        <w:t xml:space="preserve">os Arts. </w:t>
      </w:r>
      <w:proofErr w:type="gramStart"/>
      <w:r w:rsidRPr="008F2153">
        <w:rPr>
          <w:rFonts w:ascii="Garamond" w:hAnsi="Garamond" w:cs="Arial"/>
          <w:sz w:val="20"/>
          <w:szCs w:val="20"/>
        </w:rPr>
        <w:t>8</w:t>
      </w:r>
      <w:proofErr w:type="gramEnd"/>
      <w:r w:rsidRPr="008F2153">
        <w:rPr>
          <w:rFonts w:ascii="Garamond" w:hAnsi="Garamond" w:cs="Arial"/>
          <w:sz w:val="20"/>
          <w:szCs w:val="20"/>
        </w:rPr>
        <w:t xml:space="preserve"> e 10 da Declaração Universal dos Direitos Humanos; o Art. 14</w:t>
      </w:r>
      <w:r>
        <w:rPr>
          <w:rFonts w:ascii="Garamond" w:hAnsi="Garamond" w:cs="Arial"/>
          <w:sz w:val="20"/>
          <w:szCs w:val="20"/>
        </w:rPr>
        <w:t xml:space="preserve">, n.º 1, </w:t>
      </w:r>
      <w:r w:rsidRPr="008F2153">
        <w:rPr>
          <w:rFonts w:ascii="Garamond" w:hAnsi="Garamond" w:cs="Arial"/>
          <w:sz w:val="20"/>
          <w:szCs w:val="20"/>
        </w:rPr>
        <w:t xml:space="preserve">do Pacto Internacional de Direitos Civis e Políticos, e o Art. </w:t>
      </w:r>
      <w:r w:rsidRPr="000C4382">
        <w:rPr>
          <w:rFonts w:ascii="Garamond" w:hAnsi="Garamond" w:cs="Arial"/>
          <w:sz w:val="18"/>
          <w:szCs w:val="18"/>
        </w:rPr>
        <w:t>XVIII</w:t>
      </w:r>
      <w:r w:rsidRPr="008F2153">
        <w:rPr>
          <w:rFonts w:ascii="Garamond" w:hAnsi="Garamond" w:cs="Arial"/>
          <w:sz w:val="20"/>
          <w:szCs w:val="20"/>
        </w:rPr>
        <w:t xml:space="preserve"> da Declaração Americana de Direitos e Deveres do Homem.</w:t>
      </w:r>
    </w:p>
  </w:footnote>
  <w:footnote w:id="22">
    <w:p w:rsidR="007B3401" w:rsidRPr="008F2153" w:rsidRDefault="007B3401" w:rsidP="00AE31AC">
      <w:pPr>
        <w:pStyle w:val="Textonotapie"/>
        <w:jc w:val="both"/>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Sem descartar a possibilidade de que se possa frustrar o objetivo de conseguir os resultados legítimos relativos ao respeito eficaz e ao cumprimento dos direitos em sede administrativa, pode tentar-se remediar isso pela via jurisdiccional, por exemplo</w:t>
      </w:r>
      <w:r>
        <w:rPr>
          <w:rFonts w:ascii="Garamond" w:hAnsi="Garamond"/>
          <w:lang w:val="pt-PT"/>
        </w:rPr>
        <w:t>,</w:t>
      </w:r>
      <w:r w:rsidRPr="008F2153">
        <w:rPr>
          <w:rFonts w:ascii="Garamond" w:hAnsi="Garamond"/>
          <w:lang w:val="pt-PT"/>
        </w:rPr>
        <w:t xml:space="preserve"> através dos denominados processos contencioso-administrativos, que permitem submeter a avaliação ou reexame judicial daquilo que foi decidido inicialmente pelas entidades administrativas.</w:t>
      </w:r>
    </w:p>
  </w:footnote>
  <w:footnote w:id="23">
    <w:p w:rsidR="007B3401" w:rsidRPr="008F2153" w:rsidRDefault="007B3401" w:rsidP="00055E2D">
      <w:pPr>
        <w:pStyle w:val="Textonotapie"/>
        <w:jc w:val="both"/>
        <w:rPr>
          <w:rFonts w:ascii="Garamond" w:hAnsi="Garamond"/>
          <w:lang w:val="pt-PT"/>
        </w:rPr>
      </w:pPr>
      <w:r w:rsidRPr="00FF6962">
        <w:rPr>
          <w:rStyle w:val="Refdenotaalpie"/>
          <w:rFonts w:ascii="Bookman Old Style" w:hAnsi="Bookman Old Style"/>
          <w:i/>
        </w:rPr>
        <w:footnoteRef/>
      </w:r>
      <w:r w:rsidRPr="004B20E5">
        <w:rPr>
          <w:rFonts w:ascii="Bookman Old Style" w:hAnsi="Bookman Old Style"/>
          <w:i/>
          <w:lang w:val="pt-PT"/>
        </w:rPr>
        <w:t xml:space="preserve"> </w:t>
      </w:r>
      <w:r w:rsidRPr="008F2153">
        <w:rPr>
          <w:rFonts w:ascii="Garamond" w:hAnsi="Garamond"/>
          <w:i/>
          <w:lang w:val="pt-PT"/>
        </w:rPr>
        <w:t xml:space="preserve">Cfr. </w:t>
      </w:r>
      <w:r>
        <w:rPr>
          <w:rFonts w:ascii="Garamond" w:eastAsia="Calibri" w:hAnsi="Garamond" w:cs="Times New Roman"/>
          <w:i/>
          <w:lang w:val="pt-PT"/>
        </w:rPr>
        <w:t>«</w:t>
      </w:r>
      <w:r w:rsidRPr="008F2153">
        <w:rPr>
          <w:rFonts w:ascii="Garamond" w:eastAsia="Calibri" w:hAnsi="Garamond" w:cs="Times New Roman"/>
          <w:i/>
          <w:lang w:val="pt-PT"/>
        </w:rPr>
        <w:t xml:space="preserve">Caso Goiburú e outros </w:t>
      </w:r>
      <w:r w:rsidRPr="008F2153">
        <w:rPr>
          <w:rFonts w:ascii="Garamond" w:eastAsia="Calibri" w:hAnsi="Garamond" w:cs="Times New Roman"/>
          <w:lang w:val="pt-PT"/>
        </w:rPr>
        <w:t>vs.</w:t>
      </w:r>
      <w:r w:rsidRPr="008F2153">
        <w:rPr>
          <w:rFonts w:ascii="Garamond" w:eastAsia="Calibri" w:hAnsi="Garamond" w:cs="Times New Roman"/>
          <w:i/>
          <w:lang w:val="pt-PT"/>
        </w:rPr>
        <w:t xml:space="preserve"> Paraguae.</w:t>
      </w:r>
      <w:r w:rsidRPr="008F2153">
        <w:rPr>
          <w:rFonts w:ascii="Garamond" w:hAnsi="Garamond"/>
          <w:i/>
          <w:lang w:val="pt-PT"/>
        </w:rPr>
        <w:t xml:space="preserve"> </w:t>
      </w:r>
      <w:r w:rsidRPr="008F2153">
        <w:rPr>
          <w:rFonts w:ascii="Garamond" w:eastAsia="Calibri" w:hAnsi="Garamond" w:cs="Times New Roman"/>
          <w:i/>
          <w:lang w:val="pt-PT"/>
        </w:rPr>
        <w:t>Sentença de 22 de septiembre de 2006</w:t>
      </w:r>
      <w:r w:rsidRPr="008F2153">
        <w:rPr>
          <w:rFonts w:ascii="Garamond" w:hAnsi="Garamond"/>
          <w:i/>
          <w:lang w:val="pt-PT"/>
        </w:rPr>
        <w:t xml:space="preserve"> </w:t>
      </w:r>
      <w:r w:rsidRPr="008F2153">
        <w:rPr>
          <w:rFonts w:ascii="Garamond" w:eastAsia="Calibri" w:hAnsi="Garamond" w:cs="Times New Roman"/>
          <w:i/>
          <w:lang w:val="pt-PT"/>
        </w:rPr>
        <w:t>(</w:t>
      </w:r>
      <w:proofErr w:type="gramStart"/>
      <w:r w:rsidRPr="008F2153">
        <w:rPr>
          <w:rFonts w:ascii="Garamond" w:eastAsia="Calibri" w:hAnsi="Garamond" w:cs="Times New Roman"/>
          <w:i/>
          <w:lang w:val="pt-PT"/>
        </w:rPr>
        <w:t>Fundo, Compensações e Custos</w:t>
      </w:r>
      <w:proofErr w:type="gramEnd"/>
      <w:r w:rsidRPr="008F2153">
        <w:rPr>
          <w:rFonts w:ascii="Garamond" w:eastAsia="Calibri" w:hAnsi="Garamond" w:cs="Times New Roman"/>
          <w:i/>
          <w:lang w:val="pt-PT"/>
        </w:rPr>
        <w:t>).</w:t>
      </w:r>
      <w:r>
        <w:rPr>
          <w:rFonts w:ascii="Garamond" w:eastAsia="Calibri" w:hAnsi="Garamond" w:cs="Times New Roman"/>
          <w:i/>
          <w:lang w:val="pt-PT"/>
        </w:rPr>
        <w:t>»</w:t>
      </w:r>
      <w:r w:rsidRPr="008F2153">
        <w:rPr>
          <w:rFonts w:ascii="Garamond" w:eastAsia="Calibri" w:hAnsi="Garamond" w:cs="Times New Roman"/>
          <w:i/>
          <w:lang w:val="pt-PT"/>
        </w:rPr>
        <w:t xml:space="preserve"> </w:t>
      </w:r>
      <w:r w:rsidRPr="008F2153">
        <w:rPr>
          <w:rFonts w:ascii="Garamond" w:hAnsi="Garamond"/>
          <w:lang w:val="pt-PT"/>
        </w:rPr>
        <w:t xml:space="preserve">Acessível através de  </w:t>
      </w:r>
      <w:hyperlink r:id="rId7" w:history="1">
        <w:r w:rsidRPr="008F2153">
          <w:rPr>
            <w:rStyle w:val="Hipervnculo"/>
            <w:rFonts w:ascii="Garamond" w:hAnsi="Garamond"/>
            <w:lang w:val="pt-PT"/>
          </w:rPr>
          <w:t>http://www.corteidh.or.cr/docs/casos/articulos/seriec_153_esp.pdf</w:t>
        </w:r>
      </w:hyperlink>
    </w:p>
  </w:footnote>
  <w:footnote w:id="24">
    <w:p w:rsidR="007B3401" w:rsidRPr="008F2153" w:rsidRDefault="007B3401" w:rsidP="00055E2D">
      <w:pPr>
        <w:pStyle w:val="Textonotapie"/>
        <w:jc w:val="both"/>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Advirta-se que a já mencionada Convenção de Viena sobre o Direito dos Tratados,</w:t>
      </w:r>
      <w:r>
        <w:rPr>
          <w:rFonts w:ascii="Garamond" w:hAnsi="Garamond"/>
          <w:lang w:val="pt-PT"/>
        </w:rPr>
        <w:t xml:space="preserve"> determina:</w:t>
      </w:r>
    </w:p>
    <w:p w:rsidR="007B3401" w:rsidRPr="007C4866" w:rsidRDefault="007B3401" w:rsidP="007C4866">
      <w:pPr>
        <w:pStyle w:val="Default"/>
        <w:ind w:left="284"/>
        <w:jc w:val="both"/>
        <w:rPr>
          <w:rFonts w:ascii="Garamond" w:hAnsi="Garamond"/>
          <w:sz w:val="20"/>
          <w:szCs w:val="20"/>
          <w:lang w:val="pt-PT"/>
        </w:rPr>
      </w:pPr>
      <w:r w:rsidRPr="007C4866">
        <w:rPr>
          <w:rFonts w:ascii="Garamond" w:hAnsi="Garamond"/>
          <w:bCs/>
          <w:sz w:val="20"/>
          <w:szCs w:val="20"/>
          <w:lang w:val="pt-PT"/>
        </w:rPr>
        <w:t xml:space="preserve">«Art. </w:t>
      </w:r>
      <w:proofErr w:type="gramStart"/>
      <w:r w:rsidRPr="007C4866">
        <w:rPr>
          <w:rFonts w:ascii="Garamond" w:hAnsi="Garamond"/>
          <w:bCs/>
          <w:sz w:val="20"/>
          <w:szCs w:val="20"/>
          <w:lang w:val="pt-PT"/>
        </w:rPr>
        <w:t>53.</w:t>
      </w:r>
      <w:proofErr w:type="gramEnd"/>
      <w:r w:rsidRPr="007C4866">
        <w:rPr>
          <w:rFonts w:ascii="Garamond" w:hAnsi="Garamond"/>
          <w:bCs/>
          <w:sz w:val="20"/>
          <w:szCs w:val="20"/>
          <w:lang w:val="pt-PT"/>
        </w:rPr>
        <w:t>- Tratados que estão em oposição a uma norma imperativa de direito internacional geral (</w:t>
      </w:r>
      <w:r w:rsidRPr="007C4866">
        <w:rPr>
          <w:rFonts w:ascii="Garamond" w:hAnsi="Garamond"/>
          <w:bCs/>
          <w:i/>
          <w:sz w:val="20"/>
          <w:szCs w:val="20"/>
          <w:lang w:val="pt-PT"/>
        </w:rPr>
        <w:t>ius cogens</w:t>
      </w:r>
      <w:r w:rsidRPr="007C4866">
        <w:rPr>
          <w:rFonts w:ascii="Garamond" w:hAnsi="Garamond"/>
          <w:bCs/>
          <w:sz w:val="20"/>
          <w:szCs w:val="20"/>
          <w:lang w:val="pt-PT"/>
        </w:rPr>
        <w:t xml:space="preserve">)… É </w:t>
      </w:r>
      <w:r w:rsidRPr="007C4866">
        <w:rPr>
          <w:rFonts w:ascii="Garamond" w:hAnsi="Garamond"/>
          <w:sz w:val="20"/>
          <w:szCs w:val="20"/>
          <w:lang w:val="pt-PT"/>
        </w:rPr>
        <w:t>nulo todo o tratado que, no momento da sua celebração, esteja em oposição a uma norma imperativa de direito internacional geral. Para o efeito da presente Convenção, uma norma imperativa de direito internacional geral é uma norma aceite e reconhecida pela comunidade internacional de Estados no seu conjunto como norma que não admite acordo em contrário e que só pode ser modificada por uma norma ulterior de direito internacional geral que tiver o mesmo caráter.»</w:t>
      </w:r>
    </w:p>
    <w:p w:rsidR="007B3401" w:rsidRPr="008F2153" w:rsidRDefault="007B3401" w:rsidP="00055E2D">
      <w:pPr>
        <w:pStyle w:val="Textonotapie"/>
        <w:jc w:val="both"/>
        <w:rPr>
          <w:rFonts w:ascii="Garamond" w:hAnsi="Garamond"/>
          <w:lang w:val="pt-PT"/>
        </w:rPr>
      </w:pPr>
      <w:r w:rsidRPr="008F2153">
        <w:rPr>
          <w:rFonts w:ascii="Garamond" w:hAnsi="Garamond" w:cs="Arial"/>
          <w:lang w:val="pt-PT"/>
        </w:rPr>
        <w:t>Convém acrescentar que apesar de não existir nenhum catálogo oficial de normas imperativas (</w:t>
      </w:r>
      <w:r w:rsidRPr="008F2153">
        <w:rPr>
          <w:rFonts w:ascii="Garamond" w:hAnsi="Garamond" w:cs="Arial"/>
          <w:i/>
          <w:lang w:val="pt-PT"/>
        </w:rPr>
        <w:t>ius</w:t>
      </w:r>
      <w:r w:rsidRPr="008F2153">
        <w:rPr>
          <w:rFonts w:ascii="Garamond" w:hAnsi="Garamond" w:cs="Arial"/>
          <w:lang w:val="pt-PT"/>
        </w:rPr>
        <w:t xml:space="preserve"> </w:t>
      </w:r>
      <w:r w:rsidRPr="008F2153">
        <w:rPr>
          <w:rFonts w:ascii="Garamond" w:hAnsi="Garamond" w:cs="Arial"/>
          <w:i/>
          <w:lang w:val="pt-PT"/>
        </w:rPr>
        <w:t>cogens</w:t>
      </w:r>
      <w:r w:rsidRPr="008F2153">
        <w:rPr>
          <w:rFonts w:ascii="Garamond" w:hAnsi="Garamond" w:cs="Arial"/>
          <w:lang w:val="pt-PT"/>
        </w:rPr>
        <w:t xml:space="preserve">), considera-se que o são, entre outras, a proibição do uso da força, a proibição do genocídio, a proibição do racismo e do </w:t>
      </w:r>
      <w:r w:rsidRPr="008F2153">
        <w:rPr>
          <w:rFonts w:ascii="Garamond" w:hAnsi="Garamond" w:cs="Arial"/>
          <w:i/>
          <w:lang w:val="pt-PT"/>
        </w:rPr>
        <w:t>apartheid,</w:t>
      </w:r>
      <w:r w:rsidRPr="008F2153">
        <w:rPr>
          <w:rFonts w:ascii="Garamond" w:hAnsi="Garamond" w:cs="Arial"/>
          <w:lang w:val="pt-PT"/>
        </w:rPr>
        <w:t xml:space="preserve"> o direito de autodeterminação dos povos, a proibição da tortura, como agora – conforme o proferido pel</w:t>
      </w:r>
      <w:r>
        <w:rPr>
          <w:rFonts w:ascii="Garamond" w:hAnsi="Garamond" w:cs="Arial"/>
          <w:lang w:val="pt-PT"/>
        </w:rPr>
        <w:t>o</w:t>
      </w:r>
      <w:r w:rsidRPr="008F2153">
        <w:rPr>
          <w:rFonts w:ascii="Garamond" w:hAnsi="Garamond" w:cs="Arial"/>
          <w:lang w:val="pt-PT"/>
        </w:rPr>
        <w:t xml:space="preserve"> </w:t>
      </w:r>
      <w:r>
        <w:rPr>
          <w:rFonts w:ascii="Garamond" w:hAnsi="Garamond" w:cs="Arial"/>
          <w:lang w:val="pt-PT"/>
        </w:rPr>
        <w:t xml:space="preserve">Tribunal </w:t>
      </w:r>
      <w:r w:rsidRPr="008F2153">
        <w:rPr>
          <w:rFonts w:ascii="Garamond" w:hAnsi="Garamond" w:cs="Arial"/>
          <w:lang w:val="pt-PT"/>
        </w:rPr>
        <w:t>Interamerican</w:t>
      </w:r>
      <w:r>
        <w:rPr>
          <w:rFonts w:ascii="Garamond" w:hAnsi="Garamond" w:cs="Arial"/>
          <w:lang w:val="pt-PT"/>
        </w:rPr>
        <w:t>o</w:t>
      </w:r>
      <w:r w:rsidRPr="008F2153">
        <w:rPr>
          <w:rFonts w:ascii="Garamond" w:hAnsi="Garamond" w:cs="Arial"/>
          <w:lang w:val="pt-PT"/>
        </w:rPr>
        <w:t xml:space="preserve"> – o direito de Acesso à Justiça.</w:t>
      </w:r>
    </w:p>
  </w:footnote>
  <w:footnote w:id="25">
    <w:p w:rsidR="007B3401" w:rsidRDefault="007B3401" w:rsidP="004F1BD4">
      <w:pPr>
        <w:pStyle w:val="Textonotapie"/>
        <w:jc w:val="both"/>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w:t>
      </w:r>
      <w:r w:rsidRPr="008F2153">
        <w:rPr>
          <w:rFonts w:ascii="Garamond" w:hAnsi="Garamond"/>
          <w:color w:val="auto"/>
          <w:lang w:val="pt-PT"/>
        </w:rPr>
        <w:t xml:space="preserve">Ver o terceiro parágrafo o seu </w:t>
      </w:r>
      <w:r w:rsidRPr="008F2153">
        <w:rPr>
          <w:rFonts w:ascii="Garamond" w:hAnsi="Garamond"/>
          <w:i/>
          <w:color w:val="auto"/>
          <w:lang w:val="pt-PT"/>
        </w:rPr>
        <w:t>voto razonado</w:t>
      </w:r>
      <w:r w:rsidRPr="008F2153">
        <w:rPr>
          <w:rFonts w:ascii="Garamond" w:hAnsi="Garamond"/>
          <w:color w:val="auto"/>
          <w:lang w:val="pt-PT"/>
        </w:rPr>
        <w:t xml:space="preserve"> relativamente à decisão d</w:t>
      </w:r>
      <w:r>
        <w:rPr>
          <w:rFonts w:ascii="Garamond" w:hAnsi="Garamond"/>
          <w:color w:val="auto"/>
          <w:lang w:val="pt-PT"/>
        </w:rPr>
        <w:t>o</w:t>
      </w:r>
      <w:r w:rsidRPr="008F2153">
        <w:rPr>
          <w:rFonts w:ascii="Garamond" w:hAnsi="Garamond"/>
          <w:color w:val="auto"/>
          <w:lang w:val="pt-PT"/>
        </w:rPr>
        <w:t xml:space="preserve"> </w:t>
      </w:r>
      <w:r>
        <w:rPr>
          <w:rFonts w:ascii="Garamond" w:hAnsi="Garamond"/>
          <w:color w:val="auto"/>
          <w:lang w:val="pt-PT"/>
        </w:rPr>
        <w:t>Tribunal</w:t>
      </w:r>
      <w:r w:rsidRPr="008F2153">
        <w:rPr>
          <w:rFonts w:ascii="Garamond" w:hAnsi="Garamond"/>
          <w:color w:val="auto"/>
          <w:lang w:val="pt-PT"/>
        </w:rPr>
        <w:t xml:space="preserve"> Interamerican</w:t>
      </w:r>
      <w:r>
        <w:rPr>
          <w:rFonts w:ascii="Garamond" w:hAnsi="Garamond"/>
          <w:color w:val="auto"/>
          <w:lang w:val="pt-PT"/>
        </w:rPr>
        <w:t>o</w:t>
      </w:r>
      <w:r w:rsidRPr="008F2153">
        <w:rPr>
          <w:rFonts w:ascii="Garamond" w:hAnsi="Garamond"/>
          <w:color w:val="auto"/>
          <w:lang w:val="pt-PT"/>
        </w:rPr>
        <w:t xml:space="preserve"> de Direitos Humanos no caso </w:t>
      </w:r>
      <w:r>
        <w:rPr>
          <w:rFonts w:ascii="Garamond" w:hAnsi="Garamond"/>
          <w:i/>
          <w:lang w:val="pt-PT"/>
        </w:rPr>
        <w:t>«</w:t>
      </w:r>
      <w:r w:rsidRPr="008F2153">
        <w:rPr>
          <w:rFonts w:ascii="Garamond" w:hAnsi="Garamond"/>
          <w:i/>
          <w:lang w:val="pt-PT"/>
        </w:rPr>
        <w:t>Instituto de Reeducação do Menor vs. Paraguai (Exceções Preliminares, Fundo, Compensações e Custos</w:t>
      </w:r>
      <w:r>
        <w:rPr>
          <w:rFonts w:ascii="Garamond" w:hAnsi="Garamond"/>
          <w:i/>
          <w:lang w:val="pt-PT"/>
        </w:rPr>
        <w:t>»</w:t>
      </w:r>
      <w:r w:rsidRPr="008F2153">
        <w:rPr>
          <w:rFonts w:ascii="Garamond" w:hAnsi="Garamond"/>
          <w:lang w:val="pt-PT"/>
        </w:rPr>
        <w:t xml:space="preserve">, proferida a 2 de setembro de 2004. Acessível através de &lt; </w:t>
      </w:r>
    </w:p>
    <w:p w:rsidR="007B3401" w:rsidRPr="008F2153" w:rsidRDefault="007B3401" w:rsidP="004F1BD4">
      <w:pPr>
        <w:pStyle w:val="Textonotapie"/>
        <w:jc w:val="both"/>
        <w:rPr>
          <w:rFonts w:ascii="Garamond" w:hAnsi="Garamond"/>
          <w:lang w:val="pt-PT"/>
        </w:rPr>
      </w:pPr>
      <w:r w:rsidRPr="008F2153">
        <w:rPr>
          <w:rFonts w:ascii="Garamond" w:hAnsi="Garamond"/>
          <w:lang w:val="pt-PT"/>
        </w:rPr>
        <w:t>http://www.corteidh.or.cr/docs/casos/articulos/seriec_112_esp.pdf&gt;</w:t>
      </w:r>
    </w:p>
  </w:footnote>
  <w:footnote w:id="26">
    <w:p w:rsidR="007B3401" w:rsidRPr="008F2153" w:rsidRDefault="007B3401" w:rsidP="00A132B3">
      <w:pPr>
        <w:pStyle w:val="Textonotapie"/>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w:t>
      </w:r>
      <w:r w:rsidRPr="008F2153">
        <w:rPr>
          <w:rFonts w:ascii="Garamond" w:hAnsi="Garamond"/>
          <w:i/>
          <w:lang w:val="pt-PT"/>
        </w:rPr>
        <w:t>Op. cit</w:t>
      </w:r>
      <w:r w:rsidRPr="008F2153">
        <w:rPr>
          <w:rFonts w:ascii="Garamond" w:hAnsi="Garamond"/>
          <w:lang w:val="pt-PT"/>
        </w:rPr>
        <w:t>., parágrafo 28.</w:t>
      </w:r>
    </w:p>
  </w:footnote>
  <w:footnote w:id="27">
    <w:p w:rsidR="007B3401" w:rsidRPr="007C4866" w:rsidRDefault="007B3401" w:rsidP="00B279CD">
      <w:pPr>
        <w:pStyle w:val="Textonotapie"/>
        <w:jc w:val="both"/>
        <w:rPr>
          <w:rFonts w:ascii="Bookman Old Style" w:hAnsi="Bookman Old Style"/>
          <w:lang w:val="pt-PT"/>
        </w:rPr>
      </w:pPr>
      <w:r w:rsidRPr="008F2153">
        <w:rPr>
          <w:rStyle w:val="Refdenotaalpie"/>
          <w:rFonts w:ascii="Garamond" w:hAnsi="Garamond"/>
        </w:rPr>
        <w:footnoteRef/>
      </w:r>
      <w:r w:rsidRPr="008F2153">
        <w:rPr>
          <w:rFonts w:ascii="Garamond" w:hAnsi="Garamond"/>
          <w:lang w:val="pt-PT"/>
        </w:rPr>
        <w:t xml:space="preserve"> Não pensamos que seja de mais recordar neste ponto que a Declaração Universal dos Direitos Humanos, no terceiro parágrafo do seu </w:t>
      </w:r>
      <w:r w:rsidRPr="008F2153">
        <w:rPr>
          <w:rFonts w:ascii="Garamond" w:hAnsi="Garamond"/>
          <w:color w:val="auto"/>
          <w:lang w:val="pt-PT"/>
        </w:rPr>
        <w:t xml:space="preserve">preâmbulo, em jeito de advertência, </w:t>
      </w:r>
      <w:r w:rsidRPr="008F2153">
        <w:rPr>
          <w:rFonts w:ascii="Garamond" w:hAnsi="Garamond"/>
          <w:lang w:val="pt-PT"/>
        </w:rPr>
        <w:t xml:space="preserve">considera </w:t>
      </w:r>
      <w:r w:rsidRPr="007C4866">
        <w:rPr>
          <w:rFonts w:ascii="Garamond" w:hAnsi="Garamond"/>
          <w:lang w:val="pt-PT"/>
        </w:rPr>
        <w:t>«…essencial que os direitos humanos sejam protegidos por um regime de Direito, a fim de que o homem não se veja compelido ao supremo recurso da rebelião contra a tirania e a opressão»</w:t>
      </w:r>
      <w:r w:rsidRPr="007C4866">
        <w:rPr>
          <w:rFonts w:ascii="Bookman Old Style" w:hAnsi="Bookman Old Style"/>
          <w:lang w:val="pt-PT"/>
        </w:rPr>
        <w:t xml:space="preserve">. </w:t>
      </w:r>
    </w:p>
  </w:footnote>
  <w:footnote w:id="28">
    <w:p w:rsidR="007B3401" w:rsidRPr="008F2153" w:rsidRDefault="007B3401" w:rsidP="00B279CD">
      <w:pPr>
        <w:pStyle w:val="Textonotapie"/>
        <w:jc w:val="both"/>
        <w:rPr>
          <w:rFonts w:ascii="Garamond" w:hAnsi="Garamond"/>
          <w:lang w:val="pt-PT"/>
        </w:rPr>
      </w:pPr>
      <w:r w:rsidRPr="008F2153">
        <w:rPr>
          <w:rStyle w:val="Refdenotaalpie"/>
          <w:rFonts w:ascii="Garamond" w:hAnsi="Garamond"/>
        </w:rPr>
        <w:footnoteRef/>
      </w:r>
      <w:r w:rsidRPr="008F2153">
        <w:rPr>
          <w:rFonts w:ascii="Garamond" w:hAnsi="Garamond"/>
          <w:lang w:val="pt-PT"/>
        </w:rPr>
        <w:t xml:space="preserve"> Ver o sexagésimo primeiro parágrafo do Voto de Cançado Trindade na relação da sentença d</w:t>
      </w:r>
      <w:r>
        <w:rPr>
          <w:rFonts w:ascii="Garamond" w:hAnsi="Garamond"/>
          <w:lang w:val="pt-PT"/>
        </w:rPr>
        <w:t>o Tribunal</w:t>
      </w:r>
      <w:proofErr w:type="gramStart"/>
      <w:r>
        <w:rPr>
          <w:rFonts w:ascii="Garamond" w:hAnsi="Garamond"/>
          <w:lang w:val="pt-PT"/>
        </w:rPr>
        <w:t xml:space="preserve"> </w:t>
      </w:r>
      <w:r w:rsidRPr="008F2153">
        <w:rPr>
          <w:rFonts w:ascii="Garamond" w:hAnsi="Garamond"/>
          <w:lang w:val="pt-PT"/>
        </w:rPr>
        <w:t xml:space="preserve"> </w:t>
      </w:r>
      <w:proofErr w:type="gramEnd"/>
      <w:r w:rsidRPr="008F2153">
        <w:rPr>
          <w:rFonts w:ascii="Garamond" w:hAnsi="Garamond"/>
          <w:lang w:val="pt-PT"/>
        </w:rPr>
        <w:t>Interamerican</w:t>
      </w:r>
      <w:r>
        <w:rPr>
          <w:rFonts w:ascii="Garamond" w:hAnsi="Garamond"/>
          <w:lang w:val="pt-PT"/>
        </w:rPr>
        <w:t>o</w:t>
      </w:r>
      <w:r w:rsidRPr="008F2153">
        <w:rPr>
          <w:rFonts w:ascii="Garamond" w:hAnsi="Garamond"/>
          <w:lang w:val="pt-PT"/>
        </w:rPr>
        <w:t xml:space="preserve"> de Direitos Humanos proferido no caso do </w:t>
      </w:r>
      <w:r>
        <w:rPr>
          <w:rFonts w:ascii="Garamond" w:hAnsi="Garamond"/>
          <w:i/>
          <w:lang w:val="pt-PT"/>
        </w:rPr>
        <w:t>«</w:t>
      </w:r>
      <w:r w:rsidRPr="008F2153">
        <w:rPr>
          <w:rFonts w:ascii="Garamond" w:hAnsi="Garamond"/>
          <w:i/>
          <w:lang w:val="pt-PT"/>
        </w:rPr>
        <w:t>Masacre de</w:t>
      </w:r>
      <w:r w:rsidRPr="00361EB9">
        <w:rPr>
          <w:rFonts w:ascii="Bookman Old Style" w:hAnsi="Bookman Old Style"/>
          <w:i/>
          <w:lang w:val="pt-PT"/>
        </w:rPr>
        <w:t xml:space="preserve"> </w:t>
      </w:r>
      <w:r w:rsidRPr="008F2153">
        <w:rPr>
          <w:rFonts w:ascii="Garamond" w:hAnsi="Garamond"/>
          <w:i/>
          <w:lang w:val="pt-PT"/>
        </w:rPr>
        <w:t xml:space="preserve">Pueblo Bello </w:t>
      </w:r>
      <w:r w:rsidRPr="008F2153">
        <w:rPr>
          <w:rFonts w:ascii="Garamond" w:hAnsi="Garamond"/>
          <w:lang w:val="pt-PT"/>
        </w:rPr>
        <w:t>vs.</w:t>
      </w:r>
      <w:r w:rsidRPr="008F2153">
        <w:rPr>
          <w:rFonts w:ascii="Garamond" w:hAnsi="Garamond"/>
          <w:i/>
          <w:lang w:val="pt-PT"/>
        </w:rPr>
        <w:t xml:space="preserve"> Colômbia.</w:t>
      </w:r>
      <w:r w:rsidRPr="00361EB9">
        <w:rPr>
          <w:rFonts w:ascii="Bookman Old Style" w:hAnsi="Bookman Old Style"/>
          <w:i/>
          <w:lang w:val="pt-PT"/>
        </w:rPr>
        <w:t xml:space="preserve"> Sentença de </w:t>
      </w:r>
      <w:r w:rsidRPr="008F2153">
        <w:rPr>
          <w:rFonts w:ascii="Garamond" w:hAnsi="Garamond"/>
          <w:i/>
          <w:lang w:val="pt-PT"/>
        </w:rPr>
        <w:t>31 de janeiro de 2006.</w:t>
      </w:r>
      <w:r>
        <w:rPr>
          <w:rFonts w:ascii="Garamond" w:hAnsi="Garamond"/>
          <w:i/>
          <w:lang w:val="pt-PT"/>
        </w:rPr>
        <w:t>»</w:t>
      </w:r>
      <w:r w:rsidRPr="008F2153">
        <w:rPr>
          <w:rFonts w:ascii="Garamond" w:hAnsi="Garamond"/>
          <w:lang w:val="pt-PT"/>
        </w:rPr>
        <w:t xml:space="preserve"> Acessível</w:t>
      </w:r>
      <w:r w:rsidRPr="008F2153">
        <w:rPr>
          <w:rFonts w:ascii="Garamond" w:eastAsia="Times New Roman" w:hAnsi="Garamond" w:cs="Arial"/>
          <w:lang w:val="pt-PT"/>
        </w:rPr>
        <w:t xml:space="preserve"> através de </w:t>
      </w:r>
      <w:hyperlink r:id="rId8" w:history="1">
        <w:r w:rsidRPr="008F2153">
          <w:rPr>
            <w:rStyle w:val="Hipervnculo"/>
            <w:rFonts w:ascii="Garamond" w:eastAsia="Times New Roman" w:hAnsi="Garamond" w:cs="Arial"/>
            <w:lang w:val="pt-PT"/>
          </w:rPr>
          <w:t>http://www.corteidh.or.cr/docs/casos/articulos/seriec_140_esp.pdf</w:t>
        </w:r>
      </w:hyperlink>
      <w:r w:rsidRPr="008F2153">
        <w:rPr>
          <w:rFonts w:ascii="Garamond" w:eastAsia="Times New Roman" w:hAnsi="Garamond" w:cs="Arial"/>
          <w:lang w:val="pt-PT"/>
        </w:rPr>
        <w:t xml:space="preserve">&gt; </w:t>
      </w:r>
      <w:r w:rsidRPr="008F2153">
        <w:rPr>
          <w:rFonts w:ascii="Garamond" w:hAnsi="Garamond"/>
          <w:lang w:val="pt-PT"/>
        </w:rPr>
        <w:t xml:space="preserve"> </w:t>
      </w:r>
    </w:p>
  </w:footnote>
  <w:footnote w:id="29">
    <w:p w:rsidR="007B3401" w:rsidRPr="007B3401" w:rsidRDefault="007B3401" w:rsidP="002A7FDD">
      <w:pPr>
        <w:pStyle w:val="Textonotapie"/>
        <w:jc w:val="both"/>
        <w:rPr>
          <w:rFonts w:ascii="Garamond" w:hAnsi="Garamond"/>
          <w:color w:val="auto"/>
          <w:lang w:val="es-ES"/>
        </w:rPr>
      </w:pPr>
      <w:r w:rsidRPr="008F2153">
        <w:rPr>
          <w:rStyle w:val="Refdenotaalpie"/>
          <w:rFonts w:ascii="Garamond" w:hAnsi="Garamond"/>
        </w:rPr>
        <w:footnoteRef/>
      </w:r>
      <w:r w:rsidRPr="008F2153">
        <w:rPr>
          <w:rFonts w:ascii="Garamond" w:hAnsi="Garamond"/>
        </w:rPr>
        <w:t xml:space="preserve"> </w:t>
      </w:r>
      <w:r w:rsidRPr="008F2153">
        <w:rPr>
          <w:rFonts w:ascii="Garamond" w:hAnsi="Garamond"/>
          <w:i/>
          <w:color w:val="auto"/>
        </w:rPr>
        <w:t>Cfr.</w:t>
      </w:r>
      <w:r w:rsidRPr="008F2153">
        <w:rPr>
          <w:rFonts w:ascii="Garamond" w:hAnsi="Garamond"/>
          <w:color w:val="auto"/>
        </w:rPr>
        <w:t xml:space="preserve"> </w:t>
      </w:r>
      <w:r w:rsidRPr="008F2153">
        <w:rPr>
          <w:rFonts w:ascii="Garamond" w:hAnsi="Garamond" w:cs="Times New Roman"/>
          <w:color w:val="auto"/>
        </w:rPr>
        <w:t xml:space="preserve">TORO,  Mauricio: </w:t>
      </w:r>
      <w:r>
        <w:rPr>
          <w:rFonts w:ascii="Garamond" w:hAnsi="Garamond" w:cs="Times New Roman"/>
          <w:color w:val="auto"/>
        </w:rPr>
        <w:t>«</w:t>
      </w:r>
      <w:r w:rsidRPr="008F2153">
        <w:rPr>
          <w:rFonts w:ascii="Garamond" w:hAnsi="Garamond" w:cs="Times New Roman"/>
          <w:i/>
          <w:color w:val="auto"/>
        </w:rPr>
        <w:t>El Principio de Subsidiariedad en el Direito Internacional de los Direitos Humanos con especial referência al Sistema Interamericano</w:t>
      </w:r>
      <w:r>
        <w:rPr>
          <w:rFonts w:ascii="Garamond" w:hAnsi="Garamond" w:cs="Times New Roman"/>
          <w:i/>
          <w:color w:val="auto"/>
        </w:rPr>
        <w:t>»</w:t>
      </w:r>
      <w:r w:rsidRPr="008F2153">
        <w:rPr>
          <w:rFonts w:ascii="Garamond" w:hAnsi="Garamond" w:cs="Times New Roman"/>
          <w:i/>
          <w:color w:val="auto"/>
        </w:rPr>
        <w:t xml:space="preserve"> </w:t>
      </w:r>
      <w:r w:rsidRPr="007B3401">
        <w:rPr>
          <w:rFonts w:ascii="Garamond" w:hAnsi="Garamond" w:cs="Times New Roman"/>
          <w:color w:val="auto"/>
          <w:lang w:val="es-ES"/>
        </w:rPr>
        <w:t>S./f. Acessível através de &lt;</w:t>
      </w:r>
      <w:hyperlink r:id="rId9" w:history="1">
        <w:r w:rsidRPr="007B3401">
          <w:rPr>
            <w:rStyle w:val="Hipervnculo"/>
            <w:rFonts w:ascii="Garamond" w:hAnsi="Garamond" w:cs="Times New Roman"/>
            <w:color w:val="auto"/>
            <w:lang w:val="es-ES"/>
          </w:rPr>
          <w:t>http://biblio.juridicas.unam.mx/libros/5/2496/7.pdf</w:t>
        </w:r>
      </w:hyperlink>
      <w:r w:rsidRPr="007B3401">
        <w:rPr>
          <w:rFonts w:ascii="Garamond" w:hAnsi="Garamond" w:cs="Times New Roman"/>
          <w:color w:val="auto"/>
          <w:lang w:val="es-ES"/>
        </w:rPr>
        <w:t xml:space="preserve">  &gt;</w:t>
      </w:r>
    </w:p>
  </w:footnote>
  <w:footnote w:id="30">
    <w:p w:rsidR="007B3401" w:rsidRPr="00745303" w:rsidRDefault="007B3401" w:rsidP="002A7FDD">
      <w:pPr>
        <w:pStyle w:val="Textonotapie"/>
        <w:jc w:val="both"/>
        <w:rPr>
          <w:rFonts w:ascii="Bookman Old Style" w:hAnsi="Bookman Old Style"/>
          <w:lang w:val="pt-PT"/>
        </w:rPr>
      </w:pPr>
      <w:r w:rsidRPr="008F2153">
        <w:rPr>
          <w:rStyle w:val="Refdenotaalpie"/>
          <w:rFonts w:ascii="Garamond" w:hAnsi="Garamond"/>
          <w:color w:val="auto"/>
        </w:rPr>
        <w:footnoteRef/>
      </w:r>
      <w:r w:rsidRPr="008F2153">
        <w:rPr>
          <w:rFonts w:ascii="Garamond" w:hAnsi="Garamond"/>
          <w:color w:val="auto"/>
          <w:lang w:val="es-ES"/>
        </w:rPr>
        <w:t xml:space="preserve"> Ver a esse respeito IBÁÑEZ </w:t>
      </w:r>
      <w:r w:rsidRPr="008F2153">
        <w:rPr>
          <w:rFonts w:ascii="Garamond" w:hAnsi="Garamond"/>
          <w:lang w:val="es-ES"/>
        </w:rPr>
        <w:t xml:space="preserve">RIVAS, Juana: </w:t>
      </w:r>
      <w:r w:rsidRPr="00030F56">
        <w:rPr>
          <w:rFonts w:ascii="Garamond" w:hAnsi="Garamond"/>
          <w:lang w:val="es-ES"/>
        </w:rPr>
        <w:t xml:space="preserve">«Control de Convencionalidad: </w:t>
      </w:r>
      <w:r w:rsidRPr="00030F56">
        <w:rPr>
          <w:rFonts w:ascii="Garamond" w:hAnsi="Garamond" w:cs="Times New Roman"/>
          <w:lang w:val="es-ES"/>
        </w:rPr>
        <w:t>Precisiones para su aplicación desde la jurisprudencia de la Corte Interamericana de Direitos Humanos.»</w:t>
      </w:r>
      <w:r w:rsidRPr="008F2153">
        <w:rPr>
          <w:rFonts w:ascii="Garamond" w:hAnsi="Garamond" w:cs="Times New Roman"/>
          <w:lang w:val="es-ES"/>
        </w:rPr>
        <w:t xml:space="preserve"> </w:t>
      </w:r>
      <w:r w:rsidRPr="008F2153">
        <w:rPr>
          <w:rFonts w:ascii="Garamond" w:hAnsi="Garamond" w:cs="Times New Roman"/>
          <w:lang w:val="pt-PT"/>
        </w:rPr>
        <w:t xml:space="preserve">Em </w:t>
      </w:r>
      <w:r w:rsidRPr="008F2153">
        <w:rPr>
          <w:rFonts w:ascii="Garamond" w:hAnsi="Garamond" w:cs="Times New Roman"/>
          <w:i/>
          <w:lang w:val="pt-PT"/>
        </w:rPr>
        <w:t>Anuário de Direitos Humanos</w:t>
      </w:r>
      <w:r w:rsidRPr="008F2153">
        <w:rPr>
          <w:rFonts w:ascii="Garamond" w:hAnsi="Garamond" w:cs="Times New Roman"/>
          <w:lang w:val="pt-PT"/>
        </w:rPr>
        <w:t xml:space="preserve"> N</w:t>
      </w:r>
      <w:r>
        <w:rPr>
          <w:rFonts w:ascii="Garamond" w:hAnsi="Garamond" w:cs="Times New Roman"/>
          <w:lang w:val="pt-PT"/>
        </w:rPr>
        <w:t>.</w:t>
      </w:r>
      <w:r w:rsidRPr="008F2153">
        <w:rPr>
          <w:rFonts w:ascii="Garamond" w:hAnsi="Garamond" w:cs="Times New Roman"/>
          <w:lang w:val="pt-PT"/>
        </w:rPr>
        <w:t>° 8; ed. Centro de Direitos Humanos da Faculdade de Direito da Universidade do Chile. Santiago, pp. 103 a 113. Também disponível em: &lt;</w:t>
      </w:r>
      <w:hyperlink r:id="rId10" w:history="1">
        <w:r w:rsidRPr="008F2153">
          <w:rPr>
            <w:rStyle w:val="Hipervnculo"/>
            <w:rFonts w:ascii="Garamond" w:hAnsi="Garamond" w:cs="Times New Roman"/>
            <w:lang w:val="pt-PT"/>
          </w:rPr>
          <w:t>http://www.anuariocdh.uchile.cl/index.php/ADH/article/viewFile/20555/21725</w:t>
        </w:r>
      </w:hyperlink>
      <w:proofErr w:type="gramStart"/>
      <w:r w:rsidRPr="008F2153">
        <w:rPr>
          <w:rFonts w:ascii="Garamond" w:hAnsi="Garamond" w:cs="Times New Roman"/>
          <w:lang w:val="pt-PT"/>
        </w:rPr>
        <w:t>&gt;</w:t>
      </w:r>
      <w:proofErr w:type="gramEnd"/>
      <w:r w:rsidRPr="00745303">
        <w:rPr>
          <w:rFonts w:ascii="Bookman Old Style" w:hAnsi="Bookman Old Style" w:cs="Times New Roman"/>
          <w:lang w:val="pt-PT"/>
        </w:rPr>
        <w:t xml:space="preserve">      </w:t>
      </w:r>
    </w:p>
  </w:footnote>
  <w:footnote w:id="31">
    <w:p w:rsidR="007B3401" w:rsidRPr="00D94B66" w:rsidRDefault="007B3401" w:rsidP="00B279CD">
      <w:pPr>
        <w:pStyle w:val="Textonotapie"/>
        <w:jc w:val="both"/>
        <w:rPr>
          <w:rFonts w:ascii="Garamond" w:hAnsi="Garamond" w:cs="Times New Roman"/>
          <w:rtl/>
        </w:rPr>
      </w:pPr>
      <w:r w:rsidRPr="00D94B66">
        <w:rPr>
          <w:rStyle w:val="Refdenotaalpie"/>
          <w:rFonts w:ascii="Garamond" w:hAnsi="Garamond" w:cs="Times New Roman"/>
        </w:rPr>
        <w:footnoteRef/>
      </w:r>
      <w:r w:rsidRPr="00D94B66">
        <w:rPr>
          <w:rFonts w:ascii="Garamond" w:hAnsi="Garamond" w:cs="Times New Roman"/>
          <w:lang w:val="pt-PT"/>
        </w:rPr>
        <w:t>O Título ou Secção referido contém a enumeração de direitos fundamentais do instrumento.</w:t>
      </w:r>
    </w:p>
  </w:footnote>
  <w:footnote w:id="32">
    <w:p w:rsidR="007B3401" w:rsidRPr="00D94B66" w:rsidRDefault="007B3401" w:rsidP="00B279CD">
      <w:pPr>
        <w:pStyle w:val="Textonotapie"/>
        <w:jc w:val="both"/>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Op. cit</w:t>
      </w:r>
      <w:r w:rsidRPr="00D94B66">
        <w:rPr>
          <w:rFonts w:ascii="Garamond" w:hAnsi="Garamond" w:cs="Times New Roman"/>
          <w:lang w:val="pt-PT"/>
        </w:rPr>
        <w:t xml:space="preserve">., pp. 104 e 105. A autora faz referência ao texto de Carrillo Salcedo intitulado </w:t>
      </w:r>
      <w:r>
        <w:rPr>
          <w:rFonts w:ascii="Garamond" w:hAnsi="Garamond" w:cs="Times New Roman"/>
          <w:i/>
          <w:lang w:val="pt-PT"/>
        </w:rPr>
        <w:t>«</w:t>
      </w:r>
      <w:r w:rsidRPr="00D94B66">
        <w:rPr>
          <w:rFonts w:ascii="Garamond" w:hAnsi="Garamond" w:cs="Times New Roman"/>
          <w:i/>
          <w:lang w:val="pt-PT"/>
        </w:rPr>
        <w:t>Art. 1</w:t>
      </w:r>
      <w:r>
        <w:rPr>
          <w:rFonts w:ascii="Garamond" w:hAnsi="Garamond" w:cs="Times New Roman"/>
          <w:i/>
          <w:lang w:val="pt-PT"/>
        </w:rPr>
        <w:t>»</w:t>
      </w:r>
      <w:r w:rsidRPr="00D94B66">
        <w:rPr>
          <w:rFonts w:ascii="Garamond" w:hAnsi="Garamond" w:cs="Times New Roman"/>
          <w:lang w:val="pt-PT"/>
        </w:rPr>
        <w:t xml:space="preserve">, conteúdo, de acordo com o que refere também a autora, em </w:t>
      </w:r>
      <w:r w:rsidRPr="00D94B66">
        <w:rPr>
          <w:rFonts w:ascii="Garamond" w:hAnsi="Garamond" w:cs="Times New Roman"/>
          <w:i/>
          <w:iCs/>
          <w:lang w:val="pt-PT"/>
        </w:rPr>
        <w:t>La Convention</w:t>
      </w:r>
      <w:r w:rsidRPr="00D94B66">
        <w:rPr>
          <w:rFonts w:ascii="Garamond" w:hAnsi="Garamond" w:cs="Times New Roman"/>
          <w:iCs/>
          <w:lang w:val="pt-PT"/>
        </w:rPr>
        <w:t xml:space="preserve"> </w:t>
      </w:r>
      <w:r w:rsidRPr="00D94B66">
        <w:rPr>
          <w:rFonts w:ascii="Garamond" w:hAnsi="Garamond" w:cs="Times New Roman"/>
          <w:i/>
          <w:iCs/>
          <w:lang w:val="pt-PT"/>
        </w:rPr>
        <w:t xml:space="preserve">Européenne des Droits de </w:t>
      </w:r>
      <w:proofErr w:type="gramStart"/>
      <w:r w:rsidRPr="00D94B66">
        <w:rPr>
          <w:rFonts w:ascii="Garamond" w:hAnsi="Garamond" w:cs="Times New Roman"/>
          <w:i/>
          <w:iCs/>
          <w:lang w:val="pt-PT"/>
        </w:rPr>
        <w:t>l’Homme</w:t>
      </w:r>
      <w:proofErr w:type="gramEnd"/>
      <w:r w:rsidRPr="00D94B66">
        <w:rPr>
          <w:rFonts w:ascii="Garamond" w:hAnsi="Garamond" w:cs="Times New Roman"/>
          <w:i/>
          <w:iCs/>
          <w:lang w:val="pt-PT"/>
        </w:rPr>
        <w:t>. Commentaire article par article</w:t>
      </w:r>
      <w:r w:rsidRPr="00D94B66">
        <w:rPr>
          <w:rFonts w:ascii="Garamond" w:hAnsi="Garamond" w:cs="Times New Roman"/>
          <w:lang w:val="pt-PT"/>
        </w:rPr>
        <w:t xml:space="preserve">. Ed. Económica. Paris 1995. </w:t>
      </w:r>
      <w:proofErr w:type="gramStart"/>
      <w:r w:rsidRPr="00D94B66">
        <w:rPr>
          <w:rFonts w:ascii="Garamond" w:hAnsi="Garamond" w:cs="Times New Roman"/>
          <w:lang w:val="pt-PT"/>
        </w:rPr>
        <w:t>pp.</w:t>
      </w:r>
      <w:proofErr w:type="gramEnd"/>
      <w:r w:rsidRPr="00D94B66">
        <w:rPr>
          <w:rFonts w:ascii="Garamond" w:hAnsi="Garamond" w:cs="Times New Roman"/>
          <w:lang w:val="pt-PT"/>
        </w:rPr>
        <w:t xml:space="preserve"> 135 a 141.</w:t>
      </w:r>
    </w:p>
  </w:footnote>
  <w:footnote w:id="33">
    <w:p w:rsidR="007B3401" w:rsidRPr="00D94B66" w:rsidRDefault="007B3401" w:rsidP="00ED5333">
      <w:pPr>
        <w:pStyle w:val="Textonotapie"/>
        <w:jc w:val="both"/>
        <w:rPr>
          <w:rFonts w:ascii="Garamond" w:hAnsi="Garamond" w:cs="Arial"/>
          <w:lang w:val="pt-PT"/>
        </w:rPr>
      </w:pPr>
      <w:r w:rsidRPr="00642077">
        <w:rPr>
          <w:rStyle w:val="Refdenotaalpie"/>
          <w:rFonts w:ascii="Bookman Old Style" w:hAnsi="Bookman Old Style"/>
        </w:rPr>
        <w:footnoteRef/>
      </w:r>
      <w:r w:rsidRPr="00403404">
        <w:rPr>
          <w:rFonts w:ascii="Bookman Old Style" w:hAnsi="Bookman Old Style"/>
          <w:lang w:val="pt-PT"/>
        </w:rPr>
        <w:t xml:space="preserve"> </w:t>
      </w:r>
      <w:r>
        <w:rPr>
          <w:rStyle w:val="Textoennegrita"/>
          <w:rFonts w:ascii="Garamond" w:hAnsi="Garamond" w:cs="Arial"/>
          <w:b w:val="0"/>
          <w:color w:val="000000"/>
          <w:lang w:val="pt-PT"/>
        </w:rPr>
        <w:t xml:space="preserve">Tribunal </w:t>
      </w:r>
      <w:r w:rsidRPr="00D94B66">
        <w:rPr>
          <w:rStyle w:val="Textoennegrita"/>
          <w:rFonts w:ascii="Garamond" w:hAnsi="Garamond" w:cs="Arial"/>
          <w:b w:val="0"/>
          <w:color w:val="000000"/>
          <w:lang w:val="pt-PT"/>
        </w:rPr>
        <w:t>IDH</w:t>
      </w:r>
      <w:r w:rsidRPr="00D94B66">
        <w:rPr>
          <w:rFonts w:ascii="Garamond" w:hAnsi="Garamond" w:cs="Times New Roman"/>
          <w:lang w:val="pt-PT"/>
        </w:rPr>
        <w:t xml:space="preserve">: </w:t>
      </w:r>
      <w:proofErr w:type="gramStart"/>
      <w:r>
        <w:rPr>
          <w:rFonts w:ascii="Garamond" w:hAnsi="Garamond" w:cs="Times New Roman"/>
          <w:lang w:val="pt-PT"/>
        </w:rPr>
        <w:t>«</w:t>
      </w:r>
      <w:r w:rsidRPr="00D94B66">
        <w:rPr>
          <w:rFonts w:ascii="Garamond" w:hAnsi="Garamond" w:cs="Times New Roman"/>
          <w:i/>
          <w:iCs/>
          <w:lang w:val="pt-PT"/>
        </w:rPr>
        <w:t xml:space="preserve">Caso Almonacid Arellano e outros </w:t>
      </w:r>
      <w:r w:rsidRPr="00D94B66">
        <w:rPr>
          <w:rFonts w:ascii="Garamond" w:hAnsi="Garamond" w:cs="Times New Roman"/>
          <w:iCs/>
          <w:lang w:val="pt-PT"/>
        </w:rPr>
        <w:t>vs.</w:t>
      </w:r>
      <w:r w:rsidRPr="00D94B66">
        <w:rPr>
          <w:rFonts w:ascii="Garamond" w:hAnsi="Garamond" w:cs="Times New Roman"/>
          <w:i/>
          <w:iCs/>
          <w:lang w:val="pt-PT"/>
        </w:rPr>
        <w:t xml:space="preserve"> Chile</w:t>
      </w:r>
      <w:r w:rsidRPr="00D94B66">
        <w:rPr>
          <w:rFonts w:ascii="Garamond" w:hAnsi="Garamond" w:cs="Times New Roman"/>
          <w:iCs/>
          <w:lang w:val="pt-PT"/>
        </w:rPr>
        <w:t>,</w:t>
      </w:r>
      <w:r w:rsidRPr="00D94B66">
        <w:rPr>
          <w:rFonts w:ascii="Garamond" w:hAnsi="Garamond" w:cs="Times New Roman"/>
          <w:i/>
          <w:iCs/>
          <w:lang w:val="pt-PT"/>
        </w:rPr>
        <w:t xml:space="preserve"> </w:t>
      </w:r>
      <w:r w:rsidRPr="00D94B66">
        <w:rPr>
          <w:rFonts w:ascii="Garamond" w:hAnsi="Garamond" w:cs="Times New Roman"/>
          <w:i/>
          <w:lang w:val="pt-PT"/>
        </w:rPr>
        <w:t>exceções preliminares, fundo, compensações e custos.</w:t>
      </w:r>
      <w:proofErr w:type="gramEnd"/>
      <w:r w:rsidRPr="00D94B66">
        <w:rPr>
          <w:rFonts w:ascii="Garamond" w:hAnsi="Garamond" w:cs="Times New Roman"/>
          <w:i/>
          <w:lang w:val="pt-PT"/>
        </w:rPr>
        <w:t xml:space="preserve"> Sentença de 26 de setembro de 2006.</w:t>
      </w:r>
      <w:r>
        <w:rPr>
          <w:rFonts w:ascii="Garamond" w:hAnsi="Garamond" w:cs="Times New Roman"/>
          <w:i/>
          <w:lang w:val="pt-PT"/>
        </w:rPr>
        <w:t>»</w:t>
      </w:r>
      <w:r w:rsidRPr="00D94B66">
        <w:rPr>
          <w:rFonts w:ascii="Garamond" w:hAnsi="Garamond" w:cs="Times New Roman"/>
          <w:lang w:val="pt-PT"/>
        </w:rPr>
        <w:t xml:space="preserve"> Acessível através de &lt;</w:t>
      </w:r>
      <w:hyperlink r:id="rId11" w:history="1">
        <w:r w:rsidRPr="00D94B66">
          <w:rPr>
            <w:rStyle w:val="Hipervnculo"/>
            <w:rFonts w:ascii="Garamond" w:hAnsi="Garamond" w:cs="Times New Roman"/>
            <w:lang w:val="pt-PT"/>
          </w:rPr>
          <w:t>http://www.corteidh.or.cr/docs/casos/articulos/seriec_154_esp.pdf</w:t>
        </w:r>
      </w:hyperlink>
      <w:r w:rsidRPr="00D94B66">
        <w:rPr>
          <w:rFonts w:ascii="Garamond" w:hAnsi="Garamond" w:cs="Times New Roman"/>
          <w:lang w:val="pt-PT"/>
        </w:rPr>
        <w:t>&gt;</w:t>
      </w:r>
    </w:p>
  </w:footnote>
  <w:footnote w:id="34">
    <w:p w:rsidR="007B3401" w:rsidRPr="00D94B66" w:rsidRDefault="007B3401" w:rsidP="00ED5333">
      <w:pPr>
        <w:pStyle w:val="Textonotapie"/>
        <w:jc w:val="both"/>
        <w:rPr>
          <w:rFonts w:ascii="Garamond" w:hAnsi="Garamond"/>
          <w:lang w:val="pt-PT"/>
        </w:rPr>
      </w:pPr>
      <w:r w:rsidRPr="00D94B66">
        <w:rPr>
          <w:rStyle w:val="Refdenotaalpie"/>
          <w:rFonts w:ascii="Garamond" w:hAnsi="Garamond" w:cs="Times New Roman"/>
          <w:i/>
        </w:rPr>
        <w:footnoteRef/>
      </w:r>
      <w:r w:rsidRPr="00D94B66">
        <w:rPr>
          <w:rFonts w:ascii="Garamond" w:hAnsi="Garamond" w:cs="Times New Roman"/>
          <w:i/>
          <w:lang w:val="pt-PT"/>
        </w:rPr>
        <w:t xml:space="preserve"> Ibíd.</w:t>
      </w:r>
      <w:r w:rsidRPr="00D94B66">
        <w:rPr>
          <w:rFonts w:ascii="Garamond" w:hAnsi="Garamond" w:cs="Times New Roman"/>
          <w:lang w:val="pt-PT"/>
        </w:rPr>
        <w:t xml:space="preserve">, parág. 124. </w:t>
      </w:r>
    </w:p>
  </w:footnote>
  <w:footnote w:id="35">
    <w:p w:rsidR="007B3401" w:rsidRPr="00D94B66" w:rsidRDefault="007B3401" w:rsidP="00ED5333">
      <w:pPr>
        <w:autoSpaceDE w:val="0"/>
        <w:autoSpaceDN w:val="0"/>
        <w:adjustRightInd w:val="0"/>
        <w:spacing w:after="0" w:line="240" w:lineRule="auto"/>
        <w:jc w:val="both"/>
        <w:rPr>
          <w:rFonts w:ascii="Garamond" w:hAnsi="Garamond" w:cs="Times New Roman"/>
          <w:sz w:val="20"/>
          <w:szCs w:val="20"/>
        </w:rPr>
      </w:pPr>
      <w:r w:rsidRPr="00D94B66">
        <w:rPr>
          <w:rStyle w:val="Refdenotaalpie"/>
          <w:rFonts w:ascii="Garamond" w:hAnsi="Garamond" w:cs="Times New Roman"/>
          <w:sz w:val="20"/>
          <w:szCs w:val="20"/>
        </w:rPr>
        <w:footnoteRef/>
      </w:r>
      <w:r w:rsidRPr="00D94B66">
        <w:rPr>
          <w:rFonts w:ascii="Garamond" w:hAnsi="Garamond" w:cs="Times New Roman"/>
          <w:sz w:val="20"/>
          <w:szCs w:val="20"/>
        </w:rPr>
        <w:t xml:space="preserve"> </w:t>
      </w:r>
      <w:r>
        <w:rPr>
          <w:rStyle w:val="Textoennegrita"/>
          <w:rFonts w:ascii="Garamond" w:hAnsi="Garamond" w:cs="Arial"/>
          <w:b w:val="0"/>
          <w:color w:val="000000"/>
          <w:sz w:val="20"/>
          <w:szCs w:val="20"/>
        </w:rPr>
        <w:t xml:space="preserve">Tribunal </w:t>
      </w:r>
      <w:r w:rsidRPr="00D94B66">
        <w:rPr>
          <w:rStyle w:val="Textoennegrita"/>
          <w:rFonts w:ascii="Garamond" w:hAnsi="Garamond" w:cs="Arial"/>
          <w:b w:val="0"/>
          <w:color w:val="000000"/>
          <w:sz w:val="20"/>
          <w:szCs w:val="20"/>
        </w:rPr>
        <w:t>IDH</w:t>
      </w:r>
      <w:r w:rsidRPr="00D94B66">
        <w:rPr>
          <w:rFonts w:ascii="Garamond" w:hAnsi="Garamond" w:cs="Times New Roman"/>
          <w:i/>
          <w:sz w:val="20"/>
          <w:szCs w:val="20"/>
        </w:rPr>
        <w:t xml:space="preserve">: </w:t>
      </w:r>
      <w:proofErr w:type="gramStart"/>
      <w:r>
        <w:rPr>
          <w:rFonts w:ascii="Garamond" w:hAnsi="Garamond" w:cs="Times New Roman"/>
          <w:sz w:val="20"/>
          <w:szCs w:val="20"/>
        </w:rPr>
        <w:t>«</w:t>
      </w:r>
      <w:r w:rsidRPr="00D94B66">
        <w:rPr>
          <w:rFonts w:ascii="Garamond" w:hAnsi="Garamond" w:cs="Times New Roman"/>
          <w:i/>
          <w:iCs/>
          <w:sz w:val="20"/>
          <w:szCs w:val="20"/>
        </w:rPr>
        <w:t xml:space="preserve">Caso Trabalhadores Despedidos do Congresso (Aguado Alfaro e outros) </w:t>
      </w:r>
      <w:r w:rsidRPr="00D94B66">
        <w:rPr>
          <w:rFonts w:ascii="Garamond" w:hAnsi="Garamond" w:cs="Times New Roman"/>
          <w:iCs/>
          <w:sz w:val="20"/>
          <w:szCs w:val="20"/>
        </w:rPr>
        <w:t>vs.</w:t>
      </w:r>
      <w:r w:rsidRPr="00D94B66">
        <w:rPr>
          <w:rFonts w:ascii="Garamond" w:hAnsi="Garamond" w:cs="Times New Roman"/>
          <w:i/>
          <w:iCs/>
          <w:sz w:val="20"/>
          <w:szCs w:val="20"/>
        </w:rPr>
        <w:t xml:space="preserve"> Peru</w:t>
      </w:r>
      <w:r w:rsidRPr="00D94B66">
        <w:rPr>
          <w:rFonts w:ascii="Garamond" w:hAnsi="Garamond" w:cs="Times New Roman"/>
          <w:sz w:val="20"/>
          <w:szCs w:val="20"/>
        </w:rPr>
        <w:t xml:space="preserve">, </w:t>
      </w:r>
      <w:r w:rsidRPr="00D94B66">
        <w:rPr>
          <w:rFonts w:ascii="Garamond" w:hAnsi="Garamond" w:cs="Times New Roman"/>
          <w:i/>
          <w:sz w:val="20"/>
          <w:szCs w:val="20"/>
        </w:rPr>
        <w:t>exceções preliminares, fundo, compensações e custos.</w:t>
      </w:r>
      <w:proofErr w:type="gramEnd"/>
      <w:r w:rsidRPr="00D94B66">
        <w:rPr>
          <w:rFonts w:ascii="Garamond" w:hAnsi="Garamond" w:cs="Times New Roman"/>
          <w:i/>
          <w:sz w:val="20"/>
          <w:szCs w:val="20"/>
        </w:rPr>
        <w:t xml:space="preserve"> </w:t>
      </w:r>
      <w:proofErr w:type="gramStart"/>
      <w:r w:rsidRPr="00D94B66">
        <w:rPr>
          <w:rFonts w:ascii="Garamond" w:hAnsi="Garamond" w:cs="Times New Roman"/>
          <w:i/>
          <w:sz w:val="20"/>
          <w:szCs w:val="20"/>
        </w:rPr>
        <w:t>Sentença de 24 de Novembro de 2006.</w:t>
      </w:r>
      <w:r>
        <w:rPr>
          <w:rFonts w:ascii="Garamond" w:hAnsi="Garamond" w:cs="Times New Roman"/>
          <w:i/>
          <w:sz w:val="20"/>
          <w:szCs w:val="20"/>
        </w:rPr>
        <w:t>»</w:t>
      </w:r>
      <w:proofErr w:type="gramEnd"/>
      <w:r w:rsidRPr="00D94B66">
        <w:rPr>
          <w:rFonts w:ascii="Garamond" w:hAnsi="Garamond" w:cs="Times New Roman"/>
          <w:i/>
          <w:sz w:val="20"/>
          <w:szCs w:val="20"/>
        </w:rPr>
        <w:t xml:space="preserve"> </w:t>
      </w:r>
      <w:r w:rsidRPr="00D94B66">
        <w:rPr>
          <w:rFonts w:ascii="Garamond" w:hAnsi="Garamond" w:cs="Times New Roman"/>
          <w:sz w:val="20"/>
          <w:szCs w:val="20"/>
        </w:rPr>
        <w:t>Acessível através de &lt;</w:t>
      </w:r>
      <w:r w:rsidRPr="00D94B66">
        <w:rPr>
          <w:rFonts w:ascii="Garamond" w:hAnsi="Garamond"/>
          <w:sz w:val="20"/>
          <w:szCs w:val="20"/>
        </w:rPr>
        <w:t xml:space="preserve"> </w:t>
      </w:r>
      <w:hyperlink r:id="rId12" w:history="1">
        <w:r w:rsidRPr="00D94B66">
          <w:rPr>
            <w:rStyle w:val="Hipervnculo"/>
            <w:rFonts w:ascii="Garamond" w:hAnsi="Garamond" w:cs="Times New Roman"/>
            <w:sz w:val="20"/>
            <w:szCs w:val="20"/>
          </w:rPr>
          <w:t>http://www.corteidh.or.cr/docs/casos/articulos/seriec_174_esp.pdf</w:t>
        </w:r>
      </w:hyperlink>
      <w:r w:rsidRPr="00D94B66">
        <w:rPr>
          <w:rFonts w:ascii="Garamond" w:hAnsi="Garamond" w:cs="Times New Roman"/>
          <w:sz w:val="20"/>
          <w:szCs w:val="20"/>
        </w:rPr>
        <w:t xml:space="preserve"> &gt;.  </w:t>
      </w:r>
    </w:p>
  </w:footnote>
  <w:footnote w:id="36">
    <w:p w:rsidR="007B3401" w:rsidRPr="007B3401" w:rsidRDefault="007B3401" w:rsidP="00ED5333">
      <w:pPr>
        <w:pStyle w:val="Textonotapie"/>
        <w:jc w:val="both"/>
        <w:rPr>
          <w:rFonts w:ascii="Garamond" w:hAnsi="Garamond"/>
          <w:lang w:val="pt-PT"/>
        </w:rPr>
      </w:pPr>
      <w:r w:rsidRPr="00D94B66">
        <w:rPr>
          <w:rStyle w:val="Refdenotaalpie"/>
          <w:rFonts w:ascii="Garamond" w:hAnsi="Garamond"/>
        </w:rPr>
        <w:footnoteRef/>
      </w:r>
      <w:r w:rsidRPr="007B3401">
        <w:rPr>
          <w:rFonts w:ascii="Garamond" w:hAnsi="Garamond"/>
          <w:lang w:val="pt-PT"/>
        </w:rPr>
        <w:t xml:space="preserve"> </w:t>
      </w:r>
      <w:r w:rsidRPr="007B3401">
        <w:rPr>
          <w:rFonts w:ascii="Garamond" w:hAnsi="Garamond"/>
          <w:i/>
          <w:lang w:val="pt-PT"/>
        </w:rPr>
        <w:t xml:space="preserve">Op. cit.; </w:t>
      </w:r>
      <w:r w:rsidRPr="007B3401">
        <w:rPr>
          <w:rFonts w:ascii="Garamond" w:hAnsi="Garamond"/>
          <w:lang w:val="pt-PT"/>
        </w:rPr>
        <w:t>p.107.</w:t>
      </w:r>
    </w:p>
  </w:footnote>
  <w:footnote w:id="37">
    <w:p w:rsidR="007B3401" w:rsidRPr="00D94B66" w:rsidRDefault="007B3401" w:rsidP="00657E37">
      <w:pPr>
        <w:autoSpaceDE w:val="0"/>
        <w:autoSpaceDN w:val="0"/>
        <w:adjustRightInd w:val="0"/>
        <w:spacing w:after="0"/>
        <w:jc w:val="both"/>
        <w:rPr>
          <w:rFonts w:ascii="Garamond" w:hAnsi="Garamond" w:cs="Times New Roman"/>
          <w:sz w:val="20"/>
          <w:szCs w:val="20"/>
        </w:rPr>
      </w:pPr>
      <w:r w:rsidRPr="009409D8">
        <w:rPr>
          <w:rStyle w:val="Refdenotaalpie"/>
          <w:rFonts w:ascii="Bookman Old Style" w:hAnsi="Bookman Old Style" w:cs="Times New Roman"/>
        </w:rPr>
        <w:footnoteRef/>
      </w:r>
      <w:r w:rsidRPr="007B3401">
        <w:rPr>
          <w:rFonts w:ascii="Bookman Old Style" w:hAnsi="Bookman Old Style" w:cs="Times New Roman"/>
        </w:rPr>
        <w:t xml:space="preserve"> </w:t>
      </w:r>
      <w:r w:rsidRPr="007B3401">
        <w:rPr>
          <w:rStyle w:val="Textoennegrita"/>
          <w:rFonts w:ascii="Garamond" w:hAnsi="Garamond" w:cs="Arial"/>
          <w:b w:val="0"/>
          <w:color w:val="000000"/>
          <w:sz w:val="20"/>
          <w:szCs w:val="20"/>
        </w:rPr>
        <w:t>Corte IDH.</w:t>
      </w:r>
      <w:r w:rsidRPr="007B3401">
        <w:rPr>
          <w:rFonts w:ascii="Garamond" w:hAnsi="Garamond" w:cs="Times New Roman"/>
          <w:i/>
          <w:sz w:val="20"/>
          <w:szCs w:val="20"/>
        </w:rPr>
        <w:t xml:space="preserve"> Op. cit</w:t>
      </w:r>
      <w:r w:rsidRPr="007B3401">
        <w:rPr>
          <w:rFonts w:ascii="Garamond" w:hAnsi="Garamond" w:cs="Times New Roman"/>
          <w:sz w:val="20"/>
          <w:szCs w:val="20"/>
        </w:rPr>
        <w:t xml:space="preserve">., parág. </w:t>
      </w:r>
      <w:r w:rsidRPr="00D94B66">
        <w:rPr>
          <w:rFonts w:ascii="Garamond" w:hAnsi="Garamond" w:cs="Times New Roman"/>
          <w:sz w:val="20"/>
          <w:szCs w:val="20"/>
        </w:rPr>
        <w:t>128 e 129.  Referem integramente esses parágrafos:</w:t>
      </w:r>
    </w:p>
    <w:p w:rsidR="007B3401" w:rsidRPr="00D94B66" w:rsidRDefault="007B3401" w:rsidP="008131B9">
      <w:pPr>
        <w:spacing w:line="240" w:lineRule="auto"/>
        <w:ind w:left="708"/>
        <w:jc w:val="both"/>
        <w:rPr>
          <w:rFonts w:ascii="Garamond" w:eastAsia="Calibri" w:hAnsi="Garamond" w:cs="Times New Roman"/>
          <w:sz w:val="20"/>
          <w:szCs w:val="20"/>
        </w:rPr>
      </w:pPr>
      <w:r>
        <w:rPr>
          <w:rFonts w:ascii="Garamond" w:eastAsia="Calibri" w:hAnsi="Garamond" w:cs="Times New Roman"/>
          <w:sz w:val="20"/>
          <w:szCs w:val="20"/>
        </w:rPr>
        <w:t>«</w:t>
      </w:r>
      <w:r w:rsidRPr="00D94B66">
        <w:rPr>
          <w:rFonts w:ascii="Garamond" w:eastAsia="Calibri" w:hAnsi="Garamond" w:cs="Times New Roman"/>
          <w:sz w:val="20"/>
          <w:szCs w:val="20"/>
        </w:rPr>
        <w:t>128.</w:t>
      </w:r>
      <w:r w:rsidRPr="00D94B66">
        <w:rPr>
          <w:rFonts w:ascii="Garamond" w:eastAsia="Calibri" w:hAnsi="Garamond" w:cs="Times New Roman"/>
          <w:sz w:val="20"/>
          <w:szCs w:val="20"/>
        </w:rPr>
        <w:tab/>
        <w:t xml:space="preserve">Quando um Estado ratificou um tratado internacional como a Convenção Americana, os seus juízes também estão sujeitos a ela, o que os obriga a velar </w:t>
      </w:r>
      <w:r w:rsidRPr="00D94B66">
        <w:rPr>
          <w:rFonts w:ascii="Garamond" w:eastAsia="Calibri" w:hAnsi="Garamond" w:cs="Times New Roman"/>
          <w:b/>
          <w:sz w:val="20"/>
          <w:szCs w:val="20"/>
        </w:rPr>
        <w:t xml:space="preserve">para que o efeito útil da Convenção não se veja diminuído ou anulado pela aplicação </w:t>
      </w:r>
      <w:r w:rsidRPr="00D94B66">
        <w:rPr>
          <w:rFonts w:ascii="Garamond" w:eastAsia="Calibri" w:hAnsi="Garamond" w:cs="Times New Roman"/>
          <w:sz w:val="20"/>
          <w:szCs w:val="20"/>
        </w:rPr>
        <w:t xml:space="preserve">de leis contrárias às suas disposições, objeto e fim. Por outras palavras, </w:t>
      </w:r>
      <w:r w:rsidRPr="00D94B66">
        <w:rPr>
          <w:rFonts w:ascii="Garamond" w:eastAsia="Calibri" w:hAnsi="Garamond" w:cs="Times New Roman"/>
          <w:b/>
          <w:sz w:val="20"/>
          <w:szCs w:val="20"/>
        </w:rPr>
        <w:t xml:space="preserve">os órgãos do Poder Judicial devem exercer não só </w:t>
      </w:r>
      <w:proofErr w:type="gramStart"/>
      <w:r w:rsidRPr="00D94B66">
        <w:rPr>
          <w:rFonts w:ascii="Garamond" w:eastAsia="Calibri" w:hAnsi="Garamond" w:cs="Times New Roman"/>
          <w:b/>
          <w:sz w:val="20"/>
          <w:szCs w:val="20"/>
        </w:rPr>
        <w:t>um controlo</w:t>
      </w:r>
      <w:proofErr w:type="gramEnd"/>
      <w:r w:rsidRPr="00D94B66">
        <w:rPr>
          <w:rFonts w:ascii="Garamond" w:eastAsia="Calibri" w:hAnsi="Garamond" w:cs="Times New Roman"/>
          <w:b/>
          <w:sz w:val="20"/>
          <w:szCs w:val="20"/>
        </w:rPr>
        <w:t xml:space="preserve"> de constitucionalidade, mas também </w:t>
      </w:r>
      <w:r>
        <w:rPr>
          <w:rFonts w:ascii="Garamond" w:eastAsia="Calibri" w:hAnsi="Garamond" w:cs="Times New Roman"/>
          <w:b/>
          <w:sz w:val="20"/>
          <w:szCs w:val="20"/>
        </w:rPr>
        <w:t>«</w:t>
      </w:r>
      <w:r w:rsidRPr="00D94B66">
        <w:rPr>
          <w:rFonts w:ascii="Garamond" w:eastAsia="Calibri" w:hAnsi="Garamond" w:cs="Times New Roman"/>
          <w:b/>
          <w:sz w:val="20"/>
          <w:szCs w:val="20"/>
        </w:rPr>
        <w:t>de convencionalidade</w:t>
      </w:r>
      <w:r>
        <w:rPr>
          <w:rFonts w:ascii="Garamond" w:eastAsia="Calibri" w:hAnsi="Garamond" w:cs="Times New Roman"/>
          <w:b/>
          <w:sz w:val="20"/>
          <w:szCs w:val="20"/>
        </w:rPr>
        <w:t>»</w:t>
      </w:r>
      <w:r w:rsidRPr="00D94B66">
        <w:rPr>
          <w:rStyle w:val="Refdenotaalpie"/>
          <w:rFonts w:ascii="Garamond" w:eastAsia="Calibri" w:hAnsi="Garamond" w:cs="Times New Roman"/>
          <w:sz w:val="20"/>
          <w:szCs w:val="20"/>
          <w:lang w:val="es-ES_tradnl"/>
        </w:rPr>
        <w:footnoteRef/>
      </w:r>
      <w:r w:rsidRPr="00D94B66">
        <w:rPr>
          <w:rFonts w:ascii="Garamond" w:eastAsia="Calibri" w:hAnsi="Garamond" w:cs="Times New Roman"/>
          <w:sz w:val="20"/>
          <w:szCs w:val="20"/>
        </w:rPr>
        <w:t xml:space="preserve"> </w:t>
      </w:r>
      <w:r w:rsidRPr="00D94B66">
        <w:rPr>
          <w:rFonts w:ascii="Garamond" w:eastAsia="Calibri" w:hAnsi="Garamond" w:cs="Times New Roman"/>
          <w:b/>
          <w:i/>
          <w:sz w:val="20"/>
          <w:szCs w:val="20"/>
        </w:rPr>
        <w:t xml:space="preserve">ex officio </w:t>
      </w:r>
      <w:r w:rsidRPr="00D94B66">
        <w:rPr>
          <w:rFonts w:ascii="Garamond" w:eastAsia="Calibri" w:hAnsi="Garamond" w:cs="Times New Roman"/>
          <w:b/>
          <w:sz w:val="20"/>
          <w:szCs w:val="20"/>
        </w:rPr>
        <w:t>entre as normas internas e a Convenção Americana, evidentemente no quadro das suas respetivas competências e dos</w:t>
      </w:r>
      <w:r w:rsidRPr="00D94B66">
        <w:rPr>
          <w:rFonts w:ascii="Garamond" w:hAnsi="Garamond"/>
          <w:sz w:val="20"/>
          <w:szCs w:val="20"/>
        </w:rPr>
        <w:t xml:space="preserve"> </w:t>
      </w:r>
      <w:r w:rsidRPr="00D94B66">
        <w:rPr>
          <w:rFonts w:ascii="Garamond" w:eastAsia="Calibri" w:hAnsi="Garamond" w:cs="Times New Roman"/>
          <w:b/>
          <w:sz w:val="20"/>
          <w:szCs w:val="20"/>
        </w:rPr>
        <w:t>correspondentes regulamentos processuais</w:t>
      </w:r>
      <w:r w:rsidRPr="00D94B66">
        <w:rPr>
          <w:rFonts w:ascii="Garamond" w:eastAsia="Calibri" w:hAnsi="Garamond" w:cs="Times New Roman"/>
          <w:sz w:val="20"/>
          <w:szCs w:val="20"/>
        </w:rPr>
        <w:t>. Esta função não deve ser limitada exclusivamente pelas manifestações ou atos dos acionantes em cada caso concreto, embora isso não implique que esse controlo se deva exercer sempre, sem considerar outros pressupostos formais e materiais de admissibilidade e procedência desse tipo de ações.</w:t>
      </w:r>
    </w:p>
    <w:p w:rsidR="007B3401" w:rsidRPr="00D94B66" w:rsidRDefault="007B3401" w:rsidP="008131B9">
      <w:pPr>
        <w:spacing w:line="240" w:lineRule="auto"/>
        <w:ind w:left="708"/>
        <w:jc w:val="both"/>
        <w:rPr>
          <w:rFonts w:ascii="Garamond" w:hAnsi="Garamond"/>
          <w:sz w:val="20"/>
          <w:szCs w:val="20"/>
        </w:rPr>
      </w:pPr>
      <w:r w:rsidRPr="00D94B66">
        <w:rPr>
          <w:rFonts w:ascii="Garamond" w:eastAsia="Calibri" w:hAnsi="Garamond" w:cs="Times New Roman"/>
          <w:sz w:val="20"/>
          <w:szCs w:val="20"/>
        </w:rPr>
        <w:t>129.</w:t>
      </w:r>
      <w:r w:rsidRPr="00D94B66">
        <w:rPr>
          <w:rFonts w:ascii="Garamond" w:eastAsia="Calibri" w:hAnsi="Garamond" w:cs="Times New Roman"/>
          <w:sz w:val="20"/>
          <w:szCs w:val="20"/>
        </w:rPr>
        <w:tab/>
      </w:r>
      <w:r>
        <w:rPr>
          <w:rFonts w:ascii="Garamond" w:eastAsia="Calibri" w:hAnsi="Garamond" w:cs="Times New Roman"/>
          <w:sz w:val="20"/>
          <w:szCs w:val="20"/>
        </w:rPr>
        <w:t>Em conclusão, o</w:t>
      </w:r>
      <w:r w:rsidRPr="00D94B66">
        <w:rPr>
          <w:rFonts w:ascii="Garamond" w:eastAsia="Calibri" w:hAnsi="Garamond" w:cs="Times New Roman"/>
          <w:sz w:val="20"/>
          <w:szCs w:val="20"/>
        </w:rPr>
        <w:t xml:space="preserve"> </w:t>
      </w:r>
      <w:r>
        <w:rPr>
          <w:rFonts w:ascii="Garamond" w:eastAsia="Calibri" w:hAnsi="Garamond" w:cs="Times New Roman"/>
          <w:sz w:val="20"/>
          <w:szCs w:val="20"/>
        </w:rPr>
        <w:t>tribunal</w:t>
      </w:r>
      <w:r w:rsidRPr="00D94B66">
        <w:rPr>
          <w:rFonts w:ascii="Garamond" w:eastAsia="Calibri" w:hAnsi="Garamond" w:cs="Times New Roman"/>
          <w:sz w:val="20"/>
          <w:szCs w:val="20"/>
        </w:rPr>
        <w:t xml:space="preserve"> observa que este caso se passou num contexto de impedimentos normativos e práticos para assegurar um acesso real à justiça e numa situação generalizada de ausência de garantias e ineficácia das instituições judiciais para enfrentar factos como os do presente caso.</w:t>
      </w:r>
      <w:r w:rsidRPr="00D94B66">
        <w:rPr>
          <w:rFonts w:ascii="Garamond" w:eastAsia="Calibri" w:hAnsi="Garamond" w:cs="Times New Roman"/>
          <w:b/>
          <w:sz w:val="20"/>
          <w:szCs w:val="20"/>
        </w:rPr>
        <w:t xml:space="preserve"> </w:t>
      </w:r>
      <w:r w:rsidRPr="00D94B66">
        <w:rPr>
          <w:rFonts w:ascii="Garamond" w:eastAsia="Calibri" w:hAnsi="Garamond" w:cs="Times New Roman"/>
          <w:sz w:val="20"/>
          <w:szCs w:val="20"/>
        </w:rPr>
        <w:t>Nesse contexto, e em particular no clima de insegurança jurídica proporcionad</w:t>
      </w:r>
      <w:r>
        <w:rPr>
          <w:rFonts w:ascii="Garamond" w:eastAsia="Calibri" w:hAnsi="Garamond" w:cs="Times New Roman"/>
          <w:sz w:val="20"/>
          <w:szCs w:val="20"/>
        </w:rPr>
        <w:t>a</w:t>
      </w:r>
      <w:r w:rsidRPr="00D94B66">
        <w:rPr>
          <w:rFonts w:ascii="Garamond" w:eastAsia="Calibri" w:hAnsi="Garamond" w:cs="Times New Roman"/>
          <w:sz w:val="20"/>
          <w:szCs w:val="20"/>
        </w:rPr>
        <w:t xml:space="preserve"> pelas normas que limitavam a impugnação relativa ao procedimento de avaliação e eventual cessação das supostas vítimas, é claro que estas não tinham a certeza acerca da via a que deviam ou podiam recorrer para reclamarem os direitos que se consideraram violados, fosse administrativa, contenci</w:t>
      </w:r>
      <w:r w:rsidRPr="00D94B66">
        <w:rPr>
          <w:rFonts w:ascii="Garamond" w:hAnsi="Garamond" w:cs="Times New Roman"/>
          <w:sz w:val="20"/>
          <w:szCs w:val="20"/>
        </w:rPr>
        <w:t>oso administrativ</w:t>
      </w:r>
      <w:r>
        <w:rPr>
          <w:rFonts w:ascii="Garamond" w:hAnsi="Garamond" w:cs="Times New Roman"/>
          <w:sz w:val="20"/>
          <w:szCs w:val="20"/>
        </w:rPr>
        <w:t>o</w:t>
      </w:r>
      <w:r w:rsidRPr="00D94B66">
        <w:rPr>
          <w:rFonts w:ascii="Garamond" w:hAnsi="Garamond" w:cs="Times New Roman"/>
          <w:sz w:val="20"/>
          <w:szCs w:val="20"/>
        </w:rPr>
        <w:t xml:space="preserve"> ou de proteção</w:t>
      </w:r>
      <w:r w:rsidRPr="00030F56">
        <w:rPr>
          <w:rFonts w:ascii="Garamond" w:hAnsi="Garamond" w:cs="Times New Roman"/>
          <w:sz w:val="20"/>
          <w:szCs w:val="20"/>
        </w:rPr>
        <w:t>.» (</w:t>
      </w:r>
      <w:r w:rsidRPr="00D94B66">
        <w:rPr>
          <w:rFonts w:ascii="Garamond" w:hAnsi="Garamond" w:cs="Times New Roman"/>
          <w:sz w:val="20"/>
          <w:szCs w:val="20"/>
        </w:rPr>
        <w:t>O texto a negrito é nosso).</w:t>
      </w:r>
    </w:p>
  </w:footnote>
  <w:footnote w:id="38">
    <w:p w:rsidR="007B3401" w:rsidRPr="00D94B66" w:rsidRDefault="007B3401" w:rsidP="00DA22F3">
      <w:pPr>
        <w:autoSpaceDE w:val="0"/>
        <w:autoSpaceDN w:val="0"/>
        <w:adjustRightInd w:val="0"/>
        <w:spacing w:after="0"/>
        <w:jc w:val="both"/>
        <w:rPr>
          <w:rFonts w:ascii="Garamond" w:hAnsi="Garamond" w:cs="Times New Roman"/>
          <w:sz w:val="20"/>
          <w:szCs w:val="20"/>
        </w:rPr>
      </w:pPr>
      <w:r w:rsidRPr="00466666">
        <w:rPr>
          <w:rStyle w:val="Refdenotaalpie"/>
          <w:rFonts w:ascii="Bookman Old Style" w:hAnsi="Bookman Old Style" w:cs="Times New Roman"/>
          <w:sz w:val="20"/>
          <w:szCs w:val="20"/>
        </w:rPr>
        <w:footnoteRef/>
      </w:r>
      <w:r w:rsidRPr="0074243F">
        <w:rPr>
          <w:rFonts w:ascii="Bookman Old Style" w:hAnsi="Bookman Old Style" w:cs="Times New Roman"/>
          <w:sz w:val="20"/>
          <w:szCs w:val="20"/>
        </w:rPr>
        <w:t xml:space="preserve"> </w:t>
      </w:r>
      <w:r w:rsidRPr="00D94B66">
        <w:rPr>
          <w:rStyle w:val="Textoennegrita"/>
          <w:rFonts w:ascii="Garamond" w:hAnsi="Garamond" w:cs="Arial"/>
          <w:b w:val="0"/>
          <w:color w:val="000000"/>
          <w:sz w:val="20"/>
          <w:szCs w:val="20"/>
        </w:rPr>
        <w:t xml:space="preserve">Corte IDH. </w:t>
      </w:r>
      <w:proofErr w:type="gramStart"/>
      <w:r>
        <w:rPr>
          <w:rFonts w:ascii="Garamond" w:hAnsi="Garamond" w:cs="Times New Roman"/>
          <w:sz w:val="20"/>
          <w:szCs w:val="20"/>
        </w:rPr>
        <w:t>«</w:t>
      </w:r>
      <w:r w:rsidRPr="00D94B66">
        <w:rPr>
          <w:rFonts w:ascii="Garamond" w:hAnsi="Garamond" w:cs="Times New Roman"/>
          <w:i/>
          <w:iCs/>
          <w:sz w:val="20"/>
          <w:szCs w:val="20"/>
        </w:rPr>
        <w:t xml:space="preserve">Caso La Cantuta </w:t>
      </w:r>
      <w:r w:rsidRPr="00D94B66">
        <w:rPr>
          <w:rFonts w:ascii="Garamond" w:hAnsi="Garamond" w:cs="Times New Roman"/>
          <w:iCs/>
          <w:sz w:val="20"/>
          <w:szCs w:val="20"/>
        </w:rPr>
        <w:t>vs.</w:t>
      </w:r>
      <w:r w:rsidRPr="00D94B66">
        <w:rPr>
          <w:rFonts w:ascii="Garamond" w:hAnsi="Garamond" w:cs="Times New Roman"/>
          <w:i/>
          <w:iCs/>
          <w:sz w:val="20"/>
          <w:szCs w:val="20"/>
        </w:rPr>
        <w:t xml:space="preserve"> Peru</w:t>
      </w:r>
      <w:r w:rsidRPr="00D94B66">
        <w:rPr>
          <w:rFonts w:ascii="Garamond" w:hAnsi="Garamond" w:cs="Times New Roman"/>
          <w:iCs/>
          <w:sz w:val="20"/>
          <w:szCs w:val="20"/>
        </w:rPr>
        <w:t>,</w:t>
      </w:r>
      <w:r w:rsidRPr="00D94B66">
        <w:rPr>
          <w:rFonts w:ascii="Garamond" w:hAnsi="Garamond" w:cs="Times New Roman"/>
          <w:i/>
          <w:iCs/>
          <w:sz w:val="20"/>
          <w:szCs w:val="20"/>
        </w:rPr>
        <w:t xml:space="preserve"> fundo</w:t>
      </w:r>
      <w:r w:rsidRPr="00D94B66">
        <w:rPr>
          <w:rFonts w:ascii="Garamond" w:hAnsi="Garamond" w:cs="Times New Roman"/>
          <w:i/>
          <w:sz w:val="20"/>
          <w:szCs w:val="20"/>
        </w:rPr>
        <w:t>, compensações e custos.</w:t>
      </w:r>
      <w:proofErr w:type="gramEnd"/>
      <w:r w:rsidRPr="00D94B66">
        <w:rPr>
          <w:rFonts w:ascii="Garamond" w:hAnsi="Garamond" w:cs="Times New Roman"/>
          <w:i/>
          <w:sz w:val="20"/>
          <w:szCs w:val="20"/>
        </w:rPr>
        <w:t xml:space="preserve"> </w:t>
      </w:r>
      <w:proofErr w:type="gramStart"/>
      <w:r w:rsidRPr="00D94B66">
        <w:rPr>
          <w:rFonts w:ascii="Garamond" w:hAnsi="Garamond" w:cs="Times New Roman"/>
          <w:i/>
          <w:sz w:val="20"/>
          <w:szCs w:val="20"/>
        </w:rPr>
        <w:t>Sentença de 29 de novembro de 2006.</w:t>
      </w:r>
      <w:r>
        <w:rPr>
          <w:rFonts w:ascii="Garamond" w:hAnsi="Garamond" w:cs="Times New Roman"/>
          <w:i/>
          <w:sz w:val="20"/>
          <w:szCs w:val="20"/>
        </w:rPr>
        <w:t>»</w:t>
      </w:r>
      <w:proofErr w:type="gramEnd"/>
      <w:r w:rsidRPr="00D94B66">
        <w:rPr>
          <w:rFonts w:ascii="Garamond" w:hAnsi="Garamond" w:cs="Times New Roman"/>
          <w:sz w:val="20"/>
          <w:szCs w:val="20"/>
        </w:rPr>
        <w:t xml:space="preserve"> Acessível através de &lt;</w:t>
      </w:r>
      <w:r w:rsidRPr="00D94B66">
        <w:rPr>
          <w:rFonts w:ascii="Garamond" w:hAnsi="Garamond"/>
          <w:sz w:val="20"/>
          <w:szCs w:val="20"/>
        </w:rPr>
        <w:t xml:space="preserve"> </w:t>
      </w:r>
      <w:hyperlink r:id="rId13" w:history="1">
        <w:r w:rsidRPr="00D94B66">
          <w:rPr>
            <w:rStyle w:val="Hipervnculo"/>
            <w:rFonts w:ascii="Garamond" w:hAnsi="Garamond" w:cs="Times New Roman"/>
            <w:sz w:val="20"/>
            <w:szCs w:val="20"/>
          </w:rPr>
          <w:t>http://www.corteidh.or.cr/docs/casos/articulos/seriec_162_esp.pdf</w:t>
        </w:r>
      </w:hyperlink>
      <w:r w:rsidRPr="00D94B66">
        <w:rPr>
          <w:rFonts w:ascii="Garamond" w:hAnsi="Garamond" w:cs="Times New Roman"/>
          <w:sz w:val="20"/>
          <w:szCs w:val="20"/>
        </w:rPr>
        <w:t xml:space="preserve"> &gt;</w:t>
      </w:r>
    </w:p>
  </w:footnote>
  <w:footnote w:id="39">
    <w:p w:rsidR="007B3401" w:rsidRPr="007B3401" w:rsidRDefault="007B3401" w:rsidP="00A132B3">
      <w:pPr>
        <w:pStyle w:val="Textonotapie"/>
        <w:rPr>
          <w:rFonts w:ascii="Garamond" w:hAnsi="Garamond" w:cs="Times New Roman"/>
          <w:lang w:val="fr-FR"/>
        </w:rPr>
      </w:pPr>
      <w:r w:rsidRPr="00D94B66">
        <w:rPr>
          <w:rStyle w:val="Refdenotaalpie"/>
          <w:rFonts w:ascii="Garamond" w:hAnsi="Garamond" w:cs="Times New Roman"/>
        </w:rPr>
        <w:footnoteRef/>
      </w:r>
      <w:r w:rsidRPr="007B3401">
        <w:rPr>
          <w:rFonts w:ascii="Garamond" w:hAnsi="Garamond" w:cs="Times New Roman"/>
          <w:lang w:val="fr-FR"/>
        </w:rPr>
        <w:t xml:space="preserve"> </w:t>
      </w:r>
      <w:r w:rsidRPr="007B3401">
        <w:rPr>
          <w:rFonts w:ascii="Garamond" w:hAnsi="Garamond" w:cs="Times New Roman"/>
          <w:i/>
          <w:lang w:val="fr-FR"/>
        </w:rPr>
        <w:t xml:space="preserve">Op. </w:t>
      </w:r>
      <w:proofErr w:type="gramStart"/>
      <w:r w:rsidRPr="007B3401">
        <w:rPr>
          <w:rFonts w:ascii="Garamond" w:hAnsi="Garamond" w:cs="Times New Roman"/>
          <w:i/>
          <w:lang w:val="fr-FR"/>
        </w:rPr>
        <w:t>cit.,</w:t>
      </w:r>
      <w:proofErr w:type="gramEnd"/>
      <w:r w:rsidRPr="007B3401">
        <w:rPr>
          <w:rFonts w:ascii="Garamond" w:hAnsi="Garamond" w:cs="Times New Roman"/>
          <w:lang w:val="fr-FR"/>
        </w:rPr>
        <w:t xml:space="preserve"> parág. 152 a 169</w:t>
      </w:r>
      <w:r w:rsidRPr="007B3401">
        <w:rPr>
          <w:rFonts w:ascii="Garamond" w:hAnsi="Garamond" w:cs="Times New Roman"/>
          <w:i/>
          <w:lang w:val="fr-FR"/>
        </w:rPr>
        <w:t>, et passim.</w:t>
      </w:r>
    </w:p>
  </w:footnote>
  <w:footnote w:id="40">
    <w:p w:rsidR="007B3401" w:rsidRPr="00D94B66" w:rsidRDefault="007B3401" w:rsidP="007C4866">
      <w:pPr>
        <w:pStyle w:val="Textonotapie"/>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Ibíd.</w:t>
      </w:r>
      <w:r w:rsidRPr="00D94B66">
        <w:rPr>
          <w:rFonts w:ascii="Garamond" w:hAnsi="Garamond" w:cs="Times New Roman"/>
          <w:lang w:val="pt-PT"/>
        </w:rPr>
        <w:t xml:space="preserve">, parág. </w:t>
      </w:r>
      <w:proofErr w:type="gramStart"/>
      <w:r w:rsidRPr="00D94B66">
        <w:rPr>
          <w:rFonts w:ascii="Garamond" w:hAnsi="Garamond" w:cs="Times New Roman"/>
          <w:lang w:val="pt-PT"/>
        </w:rPr>
        <w:t>7</w:t>
      </w:r>
      <w:proofErr w:type="gramEnd"/>
      <w:r w:rsidRPr="00D94B66">
        <w:rPr>
          <w:rFonts w:ascii="Garamond" w:hAnsi="Garamond" w:cs="Times New Roman"/>
          <w:lang w:val="pt-PT"/>
        </w:rPr>
        <w:t xml:space="preserve"> do voto do juiz García Ramírez. </w:t>
      </w:r>
    </w:p>
  </w:footnote>
  <w:footnote w:id="41">
    <w:p w:rsidR="007B3401" w:rsidRPr="00D94B66" w:rsidRDefault="007B3401" w:rsidP="00A132B3">
      <w:pPr>
        <w:pStyle w:val="Textonotapie"/>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Ibíd.</w:t>
      </w:r>
      <w:r w:rsidRPr="00D94B66">
        <w:rPr>
          <w:rFonts w:ascii="Garamond" w:hAnsi="Garamond" w:cs="Times New Roman"/>
          <w:lang w:val="pt-PT"/>
        </w:rPr>
        <w:t>, parág. 8. O destacado é nosso.</w:t>
      </w:r>
    </w:p>
  </w:footnote>
  <w:footnote w:id="42">
    <w:p w:rsidR="007B3401" w:rsidRPr="00D94B66" w:rsidRDefault="007B3401" w:rsidP="00DA22F3">
      <w:pPr>
        <w:autoSpaceDE w:val="0"/>
        <w:autoSpaceDN w:val="0"/>
        <w:adjustRightInd w:val="0"/>
        <w:spacing w:after="0"/>
        <w:jc w:val="both"/>
        <w:rPr>
          <w:rFonts w:ascii="Garamond" w:hAnsi="Garamond"/>
          <w:sz w:val="20"/>
          <w:szCs w:val="20"/>
        </w:rPr>
      </w:pPr>
      <w:r w:rsidRPr="00D94B66">
        <w:rPr>
          <w:rStyle w:val="Refdenotaalpie"/>
          <w:rFonts w:ascii="Garamond" w:hAnsi="Garamond" w:cs="Times New Roman"/>
          <w:sz w:val="20"/>
          <w:szCs w:val="20"/>
        </w:rPr>
        <w:footnoteRef/>
      </w:r>
      <w:r w:rsidRPr="00D94B66">
        <w:rPr>
          <w:rFonts w:ascii="Garamond" w:hAnsi="Garamond" w:cs="Times New Roman"/>
          <w:sz w:val="20"/>
          <w:szCs w:val="20"/>
        </w:rPr>
        <w:t xml:space="preserve"> </w:t>
      </w:r>
      <w:r w:rsidRPr="00D94B66">
        <w:rPr>
          <w:rStyle w:val="Textoennegrita"/>
          <w:rFonts w:ascii="Garamond" w:hAnsi="Garamond" w:cs="Arial"/>
          <w:b w:val="0"/>
          <w:color w:val="000000"/>
          <w:sz w:val="20"/>
          <w:szCs w:val="20"/>
        </w:rPr>
        <w:t xml:space="preserve">Corte IDH. </w:t>
      </w:r>
      <w:proofErr w:type="gramStart"/>
      <w:r>
        <w:rPr>
          <w:rFonts w:ascii="Garamond" w:hAnsi="Garamond" w:cs="Times New Roman"/>
          <w:sz w:val="20"/>
          <w:szCs w:val="20"/>
        </w:rPr>
        <w:t>«</w:t>
      </w:r>
      <w:r w:rsidRPr="00D94B66">
        <w:rPr>
          <w:rFonts w:ascii="Garamond" w:hAnsi="Garamond" w:cs="Times New Roman"/>
          <w:i/>
          <w:sz w:val="20"/>
          <w:szCs w:val="20"/>
        </w:rPr>
        <w:t xml:space="preserve">Caso Cabrera García e Montiel Flores </w:t>
      </w:r>
      <w:r w:rsidRPr="00D94B66">
        <w:rPr>
          <w:rFonts w:ascii="Garamond" w:hAnsi="Garamond" w:cs="Times New Roman"/>
          <w:sz w:val="20"/>
          <w:szCs w:val="20"/>
        </w:rPr>
        <w:t>vs.</w:t>
      </w:r>
      <w:r w:rsidRPr="00D94B66">
        <w:rPr>
          <w:rFonts w:ascii="Garamond" w:hAnsi="Garamond" w:cs="Times New Roman"/>
          <w:i/>
          <w:sz w:val="20"/>
          <w:szCs w:val="20"/>
        </w:rPr>
        <w:t xml:space="preserve"> México, exceção preliminar, fundo, compensações e custos.</w:t>
      </w:r>
      <w:proofErr w:type="gramEnd"/>
      <w:r w:rsidRPr="00D94B66">
        <w:rPr>
          <w:rFonts w:ascii="Garamond" w:hAnsi="Garamond" w:cs="Times New Roman"/>
          <w:i/>
          <w:sz w:val="20"/>
          <w:szCs w:val="20"/>
        </w:rPr>
        <w:t xml:space="preserve"> Sentença de 26 de novembro de 2010.</w:t>
      </w:r>
      <w:r>
        <w:rPr>
          <w:rFonts w:ascii="Garamond" w:hAnsi="Garamond" w:cs="Times New Roman"/>
          <w:i/>
          <w:sz w:val="20"/>
          <w:szCs w:val="20"/>
        </w:rPr>
        <w:t>»</w:t>
      </w:r>
      <w:r w:rsidRPr="00D94B66">
        <w:rPr>
          <w:rFonts w:ascii="Garamond" w:hAnsi="Garamond" w:cs="Times New Roman"/>
          <w:i/>
          <w:sz w:val="20"/>
          <w:szCs w:val="20"/>
        </w:rPr>
        <w:t xml:space="preserve"> </w:t>
      </w:r>
      <w:r w:rsidRPr="00D94B66">
        <w:rPr>
          <w:rFonts w:ascii="Garamond" w:hAnsi="Garamond" w:cs="Times New Roman"/>
          <w:sz w:val="20"/>
          <w:szCs w:val="20"/>
        </w:rPr>
        <w:t xml:space="preserve">Acessível através de </w:t>
      </w:r>
      <w:hyperlink r:id="rId14" w:history="1">
        <w:r w:rsidRPr="00D94B66">
          <w:rPr>
            <w:rStyle w:val="Hipervnculo"/>
            <w:rFonts w:ascii="Garamond" w:hAnsi="Garamond" w:cs="Times New Roman"/>
            <w:sz w:val="20"/>
            <w:szCs w:val="20"/>
          </w:rPr>
          <w:t>http://www.corteidh.or.cr/docs/casos/articulos/seriec_220_esp.pdf</w:t>
        </w:r>
      </w:hyperlink>
      <w:r w:rsidRPr="00D94B66">
        <w:rPr>
          <w:rFonts w:ascii="Garamond" w:hAnsi="Garamond" w:cs="Times New Roman"/>
          <w:sz w:val="20"/>
          <w:szCs w:val="20"/>
        </w:rPr>
        <w:t xml:space="preserve"> </w:t>
      </w:r>
    </w:p>
  </w:footnote>
  <w:footnote w:id="43">
    <w:p w:rsidR="007B3401" w:rsidRPr="00D94B66" w:rsidRDefault="007B3401" w:rsidP="00F3310A">
      <w:pPr>
        <w:pStyle w:val="Textonotapie"/>
        <w:jc w:val="both"/>
        <w:rPr>
          <w:rFonts w:ascii="Garamond" w:hAnsi="Garamond" w:cs="Times New Roman"/>
          <w:lang w:val="pt-PT"/>
        </w:rPr>
      </w:pPr>
      <w:r w:rsidRPr="009409D8">
        <w:rPr>
          <w:rStyle w:val="Refdenotaalpie"/>
          <w:rFonts w:ascii="Bookman Old Style" w:hAnsi="Bookman Old Style"/>
        </w:rPr>
        <w:footnoteRef/>
      </w:r>
      <w:r w:rsidRPr="000A35BE">
        <w:rPr>
          <w:rFonts w:ascii="Bookman Old Style" w:hAnsi="Bookman Old Style"/>
          <w:lang w:val="pt-PT"/>
        </w:rPr>
        <w:t xml:space="preserve"> </w:t>
      </w:r>
      <w:r w:rsidRPr="00D94B66">
        <w:rPr>
          <w:rFonts w:ascii="Garamond" w:hAnsi="Garamond" w:cs="Times New Roman"/>
          <w:lang w:val="pt-PT"/>
        </w:rPr>
        <w:t xml:space="preserve">Conforme a compilação da própria </w:t>
      </w:r>
      <w:r w:rsidRPr="00D94B66">
        <w:rPr>
          <w:rFonts w:ascii="Garamond" w:hAnsi="Garamond"/>
          <w:lang w:val="pt-PT"/>
        </w:rPr>
        <w:t>Corte</w:t>
      </w:r>
      <w:r w:rsidRPr="00D94B66">
        <w:rPr>
          <w:rFonts w:ascii="Garamond" w:hAnsi="Garamond" w:cs="Times New Roman"/>
          <w:lang w:val="pt-PT"/>
        </w:rPr>
        <w:t xml:space="preserve"> Interamericana de Direitos Humanos, podem mencionar-se, entre outros. </w:t>
      </w:r>
      <w:proofErr w:type="gramStart"/>
      <w:r w:rsidRPr="00D94B66">
        <w:rPr>
          <w:rFonts w:ascii="Garamond" w:hAnsi="Garamond" w:cs="Times New Roman"/>
          <w:lang w:val="pt-PT"/>
        </w:rPr>
        <w:t>a</w:t>
      </w:r>
      <w:proofErr w:type="gramEnd"/>
      <w:r w:rsidRPr="00D94B66">
        <w:rPr>
          <w:rFonts w:ascii="Garamond" w:hAnsi="Garamond" w:cs="Times New Roman"/>
          <w:lang w:val="pt-PT"/>
        </w:rPr>
        <w:t>:</w:t>
      </w:r>
    </w:p>
    <w:p w:rsidR="007B3401" w:rsidRPr="007B3401" w:rsidRDefault="007B3401" w:rsidP="00F3310A">
      <w:pPr>
        <w:pStyle w:val="Textonotapie"/>
        <w:jc w:val="both"/>
        <w:rPr>
          <w:rFonts w:ascii="Garamond" w:hAnsi="Garamond" w:cs="Times New Roman"/>
          <w:lang w:val="pt-PT"/>
        </w:rPr>
      </w:pPr>
      <w:r>
        <w:rPr>
          <w:rFonts w:ascii="Garamond" w:hAnsi="Garamond" w:cs="Times New Roman"/>
          <w:i/>
          <w:lang w:val="pt-PT"/>
        </w:rPr>
        <w:t>«</w:t>
      </w:r>
      <w:r w:rsidRPr="00D94B66">
        <w:rPr>
          <w:rFonts w:ascii="Garamond" w:hAnsi="Garamond" w:cs="Times New Roman"/>
          <w:i/>
          <w:lang w:val="pt-PT"/>
        </w:rPr>
        <w:t xml:space="preserve">Caso Boyce e outros </w:t>
      </w:r>
      <w:r w:rsidRPr="00D94B66">
        <w:rPr>
          <w:rFonts w:ascii="Garamond" w:hAnsi="Garamond" w:cs="Times New Roman"/>
          <w:lang w:val="pt-PT"/>
        </w:rPr>
        <w:t>vs.</w:t>
      </w:r>
      <w:r w:rsidRPr="00D94B66">
        <w:rPr>
          <w:rFonts w:ascii="Garamond" w:hAnsi="Garamond" w:cs="Times New Roman"/>
          <w:i/>
          <w:lang w:val="pt-PT"/>
        </w:rPr>
        <w:t xml:space="preserve"> Barbados</w:t>
      </w:r>
      <w:r>
        <w:rPr>
          <w:rFonts w:ascii="Garamond" w:hAnsi="Garamond" w:cs="Times New Roman"/>
          <w:i/>
          <w:lang w:val="pt-PT"/>
        </w:rPr>
        <w:t>»</w:t>
      </w:r>
      <w:r w:rsidRPr="00D94B66">
        <w:rPr>
          <w:rFonts w:ascii="Garamond" w:hAnsi="Garamond" w:cs="Times New Roman"/>
          <w:lang w:val="pt-PT"/>
        </w:rPr>
        <w:t xml:space="preserve">, exceção preliminar, </w:t>
      </w:r>
      <w:r w:rsidRPr="007B3401">
        <w:rPr>
          <w:rFonts w:ascii="Garamond" w:hAnsi="Garamond" w:cs="Times New Roman"/>
          <w:lang w:val="pt-PT"/>
        </w:rPr>
        <w:t>fundo, mérito, compensações e custos. Sentença de 20 de novembro de 2007. Série C No. 169; parág. 79.</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Heliodoro Portugal </w:t>
      </w:r>
      <w:r w:rsidRPr="007B3401">
        <w:rPr>
          <w:rFonts w:ascii="Garamond" w:hAnsi="Garamond" w:cs="Times New Roman"/>
          <w:lang w:val="pt-PT"/>
        </w:rPr>
        <w:t>vs.</w:t>
      </w:r>
      <w:r w:rsidRPr="007B3401">
        <w:rPr>
          <w:rFonts w:ascii="Garamond" w:hAnsi="Garamond" w:cs="Times New Roman"/>
          <w:i/>
          <w:lang w:val="pt-PT"/>
        </w:rPr>
        <w:t xml:space="preserve"> Panamá»</w:t>
      </w:r>
      <w:r w:rsidRPr="007B3401">
        <w:rPr>
          <w:rFonts w:ascii="Garamond" w:hAnsi="Garamond" w:cs="Times New Roman"/>
          <w:lang w:val="pt-PT"/>
        </w:rPr>
        <w:t>, exceções preliminares, fundo, mérito, compensações e custos. Sentença de 12 de agosto de 2008. Série C No. 186; parág. 180.</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Rosendo Padilla Pacheco </w:t>
      </w:r>
      <w:r w:rsidRPr="007B3401">
        <w:rPr>
          <w:rFonts w:ascii="Garamond" w:hAnsi="Garamond" w:cs="Times New Roman"/>
          <w:lang w:val="pt-PT"/>
        </w:rPr>
        <w:t>vs.</w:t>
      </w:r>
      <w:r w:rsidRPr="007B3401">
        <w:rPr>
          <w:rFonts w:ascii="Garamond" w:hAnsi="Garamond" w:cs="Times New Roman"/>
          <w:i/>
          <w:lang w:val="pt-PT"/>
        </w:rPr>
        <w:t xml:space="preserve"> Estados Unidos Mexicanos»</w:t>
      </w:r>
      <w:r w:rsidRPr="007B3401">
        <w:rPr>
          <w:rFonts w:ascii="Garamond" w:hAnsi="Garamond" w:cs="Times New Roman"/>
          <w:lang w:val="pt-PT"/>
        </w:rPr>
        <w:t>, exceções preliminares, fundo, mérito, compensações e custos. Sentença de exceções preliminares, fundo, compensações e custos. Sentença de 23 de novembro de 2009. Série C No. 209; parág. 339.</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Manuel Cepeda Vargas </w:t>
      </w:r>
      <w:r w:rsidRPr="007B3401">
        <w:rPr>
          <w:rFonts w:ascii="Garamond" w:hAnsi="Garamond" w:cs="Times New Roman"/>
          <w:lang w:val="pt-PT"/>
        </w:rPr>
        <w:t>vs.</w:t>
      </w:r>
      <w:r w:rsidRPr="007B3401">
        <w:rPr>
          <w:rFonts w:ascii="Garamond" w:hAnsi="Garamond" w:cs="Times New Roman"/>
          <w:i/>
          <w:lang w:val="pt-PT"/>
        </w:rPr>
        <w:t xml:space="preserve"> Colômbia»</w:t>
      </w:r>
      <w:r w:rsidRPr="007B3401">
        <w:rPr>
          <w:rFonts w:ascii="Garamond" w:hAnsi="Garamond" w:cs="Times New Roman"/>
          <w:lang w:val="pt-PT"/>
        </w:rPr>
        <w:t xml:space="preserve">, exceções preliminares, fundo mérito, e compensações. Sentença de 26 de maio de 2010. Série C No. 213; parág. 208 onde se faz referência à doutrina jurisprudencial do Controlo </w:t>
      </w:r>
      <w:r w:rsidRPr="007B3401">
        <w:rPr>
          <w:rFonts w:ascii="Garamond" w:hAnsi="Garamond" w:cs="Times New Roman"/>
          <w:color w:val="auto"/>
          <w:lang w:val="pt-PT"/>
        </w:rPr>
        <w:t xml:space="preserve">de Convencionalidade </w:t>
      </w:r>
      <w:r w:rsidRPr="007B3401">
        <w:rPr>
          <w:rFonts w:ascii="Garamond" w:hAnsi="Garamond" w:cs="Times New Roman"/>
          <w:lang w:val="pt-PT"/>
        </w:rPr>
        <w:t>(</w:t>
      </w:r>
      <w:r w:rsidRPr="007B3401">
        <w:rPr>
          <w:rFonts w:ascii="Garamond" w:hAnsi="Garamond" w:cs="Times New Roman"/>
          <w:i/>
          <w:lang w:val="pt-PT"/>
        </w:rPr>
        <w:t>cfr.</w:t>
      </w:r>
      <w:r w:rsidRPr="007B3401">
        <w:rPr>
          <w:rFonts w:ascii="Garamond" w:hAnsi="Garamond" w:cs="Times New Roman"/>
          <w:lang w:val="pt-PT"/>
        </w:rPr>
        <w:t xml:space="preserve"> a nota de rodapé 307).</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Comunidade Indígena Xákmok Kásek </w:t>
      </w:r>
      <w:r w:rsidRPr="007B3401">
        <w:rPr>
          <w:rFonts w:ascii="Garamond" w:hAnsi="Garamond" w:cs="Times New Roman"/>
          <w:lang w:val="pt-PT"/>
        </w:rPr>
        <w:t>vs.</w:t>
      </w:r>
      <w:r w:rsidRPr="007B3401">
        <w:rPr>
          <w:rFonts w:ascii="Garamond" w:hAnsi="Garamond" w:cs="Times New Roman"/>
          <w:i/>
          <w:lang w:val="pt-PT"/>
        </w:rPr>
        <w:t xml:space="preserve"> Paraguae»</w:t>
      </w:r>
      <w:r w:rsidRPr="007B3401">
        <w:rPr>
          <w:rFonts w:ascii="Garamond" w:hAnsi="Garamond" w:cs="Times New Roman"/>
          <w:lang w:val="pt-PT"/>
        </w:rPr>
        <w:t>, fundo, mérito e compensações e custos. Sentença de 24 de agosto de 2010. Série C No. 214; parág. 311.</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Fernández Ortega e outros </w:t>
      </w:r>
      <w:r w:rsidRPr="007B3401">
        <w:rPr>
          <w:rFonts w:ascii="Garamond" w:hAnsi="Garamond" w:cs="Times New Roman"/>
          <w:lang w:val="pt-PT"/>
        </w:rPr>
        <w:t>vs.</w:t>
      </w:r>
      <w:r w:rsidRPr="007B3401">
        <w:rPr>
          <w:rFonts w:ascii="Garamond" w:hAnsi="Garamond" w:cs="Times New Roman"/>
          <w:i/>
          <w:lang w:val="pt-PT"/>
        </w:rPr>
        <w:t xml:space="preserve"> México»</w:t>
      </w:r>
      <w:r w:rsidRPr="007B3401">
        <w:rPr>
          <w:rFonts w:ascii="Garamond" w:hAnsi="Garamond" w:cs="Times New Roman"/>
          <w:lang w:val="pt-PT"/>
        </w:rPr>
        <w:t>, exceção preliminar, fundo, mérito e compensações e custos. Sentença de 30 de agosto de 2010. Série C No. 215; parág. 234.</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Rosendo Cantú e outra </w:t>
      </w:r>
      <w:r w:rsidRPr="007B3401">
        <w:rPr>
          <w:rFonts w:ascii="Garamond" w:hAnsi="Garamond" w:cs="Times New Roman"/>
          <w:lang w:val="pt-PT"/>
        </w:rPr>
        <w:t>vs.</w:t>
      </w:r>
      <w:r w:rsidRPr="007B3401">
        <w:rPr>
          <w:rFonts w:ascii="Garamond" w:hAnsi="Garamond" w:cs="Times New Roman"/>
          <w:i/>
          <w:lang w:val="pt-PT"/>
        </w:rPr>
        <w:t xml:space="preserve"> México»</w:t>
      </w:r>
      <w:r w:rsidRPr="007B3401">
        <w:rPr>
          <w:rFonts w:ascii="Garamond" w:hAnsi="Garamond" w:cs="Times New Roman"/>
          <w:lang w:val="pt-PT"/>
        </w:rPr>
        <w:t>, exceção preliminar, fundo, mérito e compensações e custos. Sentença de 31 de agosto de 2010. Série C No. 216; parág. 219.</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 xml:space="preserve">«Caso Ibsen Cárdenas e Ibsen Peña </w:t>
      </w:r>
      <w:r w:rsidRPr="007B3401">
        <w:rPr>
          <w:rFonts w:ascii="Garamond" w:hAnsi="Garamond" w:cs="Times New Roman"/>
          <w:lang w:val="pt-PT"/>
        </w:rPr>
        <w:t>vs.</w:t>
      </w:r>
      <w:r w:rsidRPr="007B3401">
        <w:rPr>
          <w:rFonts w:ascii="Garamond" w:hAnsi="Garamond" w:cs="Times New Roman"/>
          <w:i/>
          <w:lang w:val="pt-PT"/>
        </w:rPr>
        <w:t xml:space="preserve"> Bolívia»</w:t>
      </w:r>
      <w:r w:rsidRPr="007B3401">
        <w:rPr>
          <w:rFonts w:ascii="Garamond" w:hAnsi="Garamond" w:cs="Times New Roman"/>
          <w:lang w:val="pt-PT"/>
        </w:rPr>
        <w:t>, fundo, mérito, compensações e custos. Sentença de 1 de setembro de 2010. Série C No. 217; parág. 202.</w:t>
      </w:r>
    </w:p>
    <w:p w:rsidR="007B3401" w:rsidRPr="007B3401" w:rsidRDefault="007B3401" w:rsidP="00F3310A">
      <w:pPr>
        <w:pStyle w:val="Textonotapie"/>
        <w:jc w:val="both"/>
        <w:rPr>
          <w:rFonts w:ascii="Garamond" w:hAnsi="Garamond" w:cs="Times New Roman"/>
          <w:lang w:val="pt-PT"/>
        </w:rPr>
      </w:pPr>
      <w:r w:rsidRPr="007B3401">
        <w:rPr>
          <w:rFonts w:ascii="Garamond" w:hAnsi="Garamond" w:cs="Times New Roman"/>
          <w:i/>
          <w:lang w:val="pt-PT"/>
        </w:rPr>
        <w:t>«Caso Vélez Loor vs. Panamá»</w:t>
      </w:r>
      <w:r w:rsidRPr="007B3401">
        <w:rPr>
          <w:rFonts w:ascii="Garamond" w:hAnsi="Garamond" w:cs="Times New Roman"/>
          <w:lang w:val="pt-PT"/>
        </w:rPr>
        <w:t>, exceções preliminares, fundo, compensações e custos. Sentença de 23 de novembro de 2010. Série C No. 218; parág. 287.</w:t>
      </w:r>
    </w:p>
    <w:p w:rsidR="007B3401" w:rsidRPr="00D94B66" w:rsidRDefault="007B3401" w:rsidP="00F3310A">
      <w:pPr>
        <w:pStyle w:val="Textonotapie"/>
        <w:jc w:val="both"/>
        <w:rPr>
          <w:rFonts w:ascii="Garamond" w:hAnsi="Garamond"/>
          <w:lang w:val="pt-PT"/>
        </w:rPr>
      </w:pPr>
      <w:r w:rsidRPr="007B3401">
        <w:rPr>
          <w:rFonts w:ascii="Garamond" w:hAnsi="Garamond" w:cs="Times New Roman"/>
          <w:i/>
          <w:lang w:val="pt-PT"/>
        </w:rPr>
        <w:t>«Caso Gomes Lund e outros (Guerrilha do Araguaia) vs. Brasil»</w:t>
      </w:r>
      <w:r w:rsidRPr="007B3401">
        <w:rPr>
          <w:rFonts w:ascii="Garamond" w:hAnsi="Garamond" w:cs="Times New Roman"/>
          <w:lang w:val="pt-PT"/>
        </w:rPr>
        <w:t>, exceções preliminares, fundo, mérito e compensações e custos. Sentença de 24 de novembro de 2010. Série C, N.º 219; parág. 106.</w:t>
      </w:r>
    </w:p>
  </w:footnote>
  <w:footnote w:id="44">
    <w:p w:rsidR="007B3401" w:rsidRPr="00D94B66" w:rsidRDefault="007B3401" w:rsidP="00F3310A">
      <w:pPr>
        <w:pStyle w:val="Textonotapie"/>
        <w:jc w:val="both"/>
        <w:rPr>
          <w:rFonts w:ascii="Garamond" w:hAnsi="Garamond" w:cs="Times New Roman"/>
          <w:lang w:val="pt-PT"/>
        </w:rPr>
      </w:pPr>
      <w:r w:rsidRPr="00D94B66">
        <w:rPr>
          <w:rFonts w:ascii="Garamond" w:hAnsi="Garamond" w:cs="Times New Roman"/>
          <w:vertAlign w:val="superscript"/>
          <w:lang w:val="pt-PT"/>
        </w:rPr>
        <w:t>44</w:t>
      </w:r>
      <w:r w:rsidRPr="00D94B66">
        <w:rPr>
          <w:rFonts w:ascii="Garamond" w:hAnsi="Garamond" w:cs="Times New Roman"/>
          <w:lang w:val="pt-PT"/>
        </w:rPr>
        <w:t xml:space="preserve">Referimo-nos a Eduardo Ferrer Mac-Gregor Poisot, no seu </w:t>
      </w:r>
      <w:r w:rsidRPr="00D94B66">
        <w:rPr>
          <w:rFonts w:ascii="Garamond" w:hAnsi="Garamond" w:cs="Times New Roman"/>
          <w:i/>
          <w:color w:val="auto"/>
          <w:lang w:val="pt-PT"/>
        </w:rPr>
        <w:t>voto razonado</w:t>
      </w:r>
      <w:r w:rsidRPr="00D94B66">
        <w:rPr>
          <w:rFonts w:ascii="Garamond" w:hAnsi="Garamond" w:cs="Times New Roman"/>
          <w:color w:val="auto"/>
          <w:lang w:val="pt-PT"/>
        </w:rPr>
        <w:t xml:space="preserve"> </w:t>
      </w:r>
      <w:r w:rsidRPr="00D94B66">
        <w:rPr>
          <w:rFonts w:ascii="Garamond" w:hAnsi="Garamond" w:cs="Times New Roman"/>
          <w:lang w:val="pt-PT"/>
        </w:rPr>
        <w:t xml:space="preserve">incluído na supracitada sentença no Caso Cabrera García e Montiel Flores </w:t>
      </w:r>
      <w:r w:rsidRPr="00D94B66">
        <w:rPr>
          <w:rFonts w:ascii="Garamond" w:hAnsi="Garamond" w:cs="Times New Roman"/>
          <w:i/>
          <w:lang w:val="pt-PT"/>
        </w:rPr>
        <w:t>vs.</w:t>
      </w:r>
      <w:r w:rsidRPr="00D94B66">
        <w:rPr>
          <w:rFonts w:ascii="Garamond" w:hAnsi="Garamond" w:cs="Times New Roman"/>
          <w:lang w:val="pt-PT"/>
        </w:rPr>
        <w:t xml:space="preserve"> México, </w:t>
      </w:r>
      <w:r w:rsidRPr="00D94B66">
        <w:rPr>
          <w:rFonts w:ascii="Garamond" w:hAnsi="Garamond" w:cs="Times New Roman"/>
          <w:i/>
          <w:lang w:val="pt-PT"/>
        </w:rPr>
        <w:t>de 26 de novembro de 2010.</w:t>
      </w:r>
    </w:p>
  </w:footnote>
  <w:footnote w:id="45">
    <w:p w:rsidR="007B3401" w:rsidRPr="00D94B66" w:rsidRDefault="007B3401" w:rsidP="00F3310A">
      <w:pPr>
        <w:pStyle w:val="Textonotapie"/>
        <w:jc w:val="both"/>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Cfr.</w:t>
      </w:r>
      <w:r w:rsidRPr="00D94B66">
        <w:rPr>
          <w:rFonts w:ascii="Garamond" w:hAnsi="Garamond" w:cs="Times New Roman"/>
          <w:lang w:val="pt-PT"/>
        </w:rPr>
        <w:t xml:space="preserve"> os parágafos 22 e 23 do </w:t>
      </w:r>
      <w:r w:rsidRPr="00D94B66">
        <w:rPr>
          <w:rFonts w:ascii="Garamond" w:hAnsi="Garamond" w:cs="Times New Roman"/>
          <w:i/>
          <w:color w:val="auto"/>
          <w:lang w:val="pt-PT"/>
        </w:rPr>
        <w:t>voto razonado</w:t>
      </w:r>
      <w:r w:rsidRPr="00D94B66">
        <w:rPr>
          <w:rFonts w:ascii="Garamond" w:hAnsi="Garamond" w:cs="Times New Roman"/>
          <w:color w:val="auto"/>
          <w:lang w:val="pt-PT"/>
        </w:rPr>
        <w:t xml:space="preserve"> </w:t>
      </w:r>
      <w:r w:rsidRPr="00D94B66">
        <w:rPr>
          <w:rFonts w:ascii="Garamond" w:hAnsi="Garamond" w:cs="Times New Roman"/>
          <w:lang w:val="pt-PT"/>
        </w:rPr>
        <w:t>de Mac-Gregor Poisot ao qual nos temos vindo a referir.</w:t>
      </w:r>
    </w:p>
  </w:footnote>
  <w:footnote w:id="46">
    <w:p w:rsidR="007B3401" w:rsidRPr="00D94B66" w:rsidRDefault="007B3401" w:rsidP="00A132B3">
      <w:pPr>
        <w:pStyle w:val="Textonotapie"/>
        <w:rPr>
          <w:rFonts w:ascii="Garamond" w:hAnsi="Garamond" w:cs="Times New Roman"/>
        </w:rPr>
      </w:pPr>
      <w:r w:rsidRPr="00D94B66">
        <w:rPr>
          <w:rStyle w:val="Refdenotaalpie"/>
          <w:rFonts w:ascii="Garamond" w:hAnsi="Garamond" w:cs="Times New Roman"/>
        </w:rPr>
        <w:footnoteRef/>
      </w:r>
      <w:r w:rsidRPr="00D94B66">
        <w:rPr>
          <w:rFonts w:ascii="Garamond" w:hAnsi="Garamond" w:cs="Times New Roman"/>
          <w:lang w:val="es-ES"/>
        </w:rPr>
        <w:t xml:space="preserve"> </w:t>
      </w:r>
      <w:r w:rsidRPr="00D94B66">
        <w:rPr>
          <w:rFonts w:ascii="Garamond" w:hAnsi="Garamond" w:cs="Times New Roman"/>
          <w:i/>
          <w:lang w:val="es-ES"/>
        </w:rPr>
        <w:t>Ibíd</w:t>
      </w:r>
      <w:r w:rsidRPr="00D94B66">
        <w:rPr>
          <w:rFonts w:ascii="Garamond" w:hAnsi="Garamond" w:cs="Times New Roman"/>
          <w:lang w:val="es-ES"/>
        </w:rPr>
        <w:t xml:space="preserve">., parág. </w:t>
      </w:r>
      <w:r w:rsidRPr="00D94B66">
        <w:rPr>
          <w:rFonts w:ascii="Garamond" w:hAnsi="Garamond" w:cs="Times New Roman"/>
        </w:rPr>
        <w:t>49.</w:t>
      </w:r>
    </w:p>
  </w:footnote>
  <w:footnote w:id="47">
    <w:p w:rsidR="007B3401" w:rsidRPr="00D94B66" w:rsidRDefault="007B3401" w:rsidP="00A132B3">
      <w:pPr>
        <w:pStyle w:val="Textonotapie"/>
        <w:rPr>
          <w:rFonts w:ascii="Garamond" w:hAnsi="Garamond" w:cs="Times New Roman"/>
        </w:rPr>
      </w:pPr>
      <w:r w:rsidRPr="00D94B66">
        <w:rPr>
          <w:rStyle w:val="Refdenotaalpie"/>
          <w:rFonts w:ascii="Garamond" w:hAnsi="Garamond" w:cs="Times New Roman"/>
        </w:rPr>
        <w:footnoteRef/>
      </w:r>
      <w:r w:rsidRPr="00D94B66">
        <w:rPr>
          <w:rFonts w:ascii="Garamond" w:hAnsi="Garamond" w:cs="Times New Roman"/>
        </w:rPr>
        <w:t xml:space="preserve"> </w:t>
      </w:r>
      <w:r w:rsidRPr="00D94B66">
        <w:rPr>
          <w:rFonts w:ascii="Garamond" w:hAnsi="Garamond" w:cs="Times New Roman"/>
          <w:i/>
        </w:rPr>
        <w:t>Ibíd.,</w:t>
      </w:r>
      <w:r w:rsidRPr="00D94B66">
        <w:rPr>
          <w:rFonts w:ascii="Garamond" w:hAnsi="Garamond" w:cs="Times New Roman"/>
        </w:rPr>
        <w:t xml:space="preserve"> parág. 50.</w:t>
      </w:r>
    </w:p>
  </w:footnote>
  <w:footnote w:id="48">
    <w:p w:rsidR="007B3401" w:rsidRPr="00D94B66" w:rsidRDefault="007B3401" w:rsidP="00A132B3">
      <w:pPr>
        <w:pStyle w:val="Textonotapie"/>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rPr>
        <w:t xml:space="preserve"> </w:t>
      </w:r>
      <w:r w:rsidRPr="00D94B66">
        <w:rPr>
          <w:rFonts w:ascii="Garamond" w:hAnsi="Garamond" w:cs="Times New Roman"/>
          <w:i/>
        </w:rPr>
        <w:t>Ibíd.</w:t>
      </w:r>
      <w:r w:rsidRPr="00D94B66">
        <w:rPr>
          <w:rFonts w:ascii="Garamond" w:hAnsi="Garamond" w:cs="Times New Roman"/>
        </w:rPr>
        <w:t xml:space="preserve">, parág. </w:t>
      </w:r>
      <w:r w:rsidRPr="00D94B66">
        <w:rPr>
          <w:rFonts w:ascii="Garamond" w:hAnsi="Garamond" w:cs="Times New Roman"/>
          <w:lang w:val="pt-PT"/>
        </w:rPr>
        <w:t>52.</w:t>
      </w:r>
    </w:p>
  </w:footnote>
  <w:footnote w:id="49">
    <w:p w:rsidR="007B3401" w:rsidRPr="00D94B66" w:rsidRDefault="007B3401" w:rsidP="00A132B3">
      <w:pPr>
        <w:pStyle w:val="Textonotapie"/>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Ibíd.</w:t>
      </w:r>
      <w:r w:rsidRPr="00D94B66">
        <w:rPr>
          <w:rFonts w:ascii="Garamond" w:hAnsi="Garamond" w:cs="Times New Roman"/>
          <w:lang w:val="pt-PT"/>
        </w:rPr>
        <w:t>, parág. 63. O itálico é do autor.</w:t>
      </w:r>
    </w:p>
  </w:footnote>
  <w:footnote w:id="50">
    <w:p w:rsidR="007B3401" w:rsidRPr="00D94B66" w:rsidRDefault="007B3401" w:rsidP="00DA22F3">
      <w:pPr>
        <w:autoSpaceDE w:val="0"/>
        <w:autoSpaceDN w:val="0"/>
        <w:adjustRightInd w:val="0"/>
        <w:spacing w:after="0"/>
        <w:jc w:val="both"/>
        <w:rPr>
          <w:rFonts w:ascii="Garamond" w:hAnsi="Garamond" w:cs="Times New Roman"/>
          <w:sz w:val="20"/>
          <w:szCs w:val="20"/>
        </w:rPr>
      </w:pPr>
      <w:r w:rsidRPr="00D94B66">
        <w:rPr>
          <w:rStyle w:val="Refdenotaalpie"/>
          <w:rFonts w:ascii="Garamond" w:hAnsi="Garamond" w:cs="Times New Roman"/>
          <w:sz w:val="20"/>
          <w:szCs w:val="20"/>
        </w:rPr>
        <w:footnoteRef/>
      </w:r>
      <w:r w:rsidRPr="00D94B66">
        <w:rPr>
          <w:rFonts w:ascii="Garamond" w:hAnsi="Garamond" w:cs="Times New Roman"/>
          <w:sz w:val="20"/>
          <w:szCs w:val="20"/>
        </w:rPr>
        <w:t xml:space="preserve"> </w:t>
      </w:r>
      <w:r>
        <w:rPr>
          <w:rStyle w:val="Textoennegrita"/>
          <w:rFonts w:ascii="Garamond" w:hAnsi="Garamond" w:cs="Arial"/>
          <w:b w:val="0"/>
          <w:color w:val="000000"/>
          <w:sz w:val="20"/>
          <w:szCs w:val="20"/>
        </w:rPr>
        <w:t>Tribunal</w:t>
      </w:r>
      <w:r w:rsidRPr="00D94B66">
        <w:rPr>
          <w:rStyle w:val="Textoennegrita"/>
          <w:rFonts w:ascii="Garamond" w:hAnsi="Garamond" w:cs="Arial"/>
          <w:b w:val="0"/>
          <w:color w:val="000000"/>
          <w:sz w:val="20"/>
          <w:szCs w:val="20"/>
        </w:rPr>
        <w:t xml:space="preserve"> IDH.</w:t>
      </w:r>
      <w:r w:rsidRPr="00D94B66" w:rsidDel="00DA22F3">
        <w:rPr>
          <w:rFonts w:ascii="Garamond" w:hAnsi="Garamond" w:cs="Times New Roman"/>
          <w:sz w:val="20"/>
          <w:szCs w:val="20"/>
        </w:rPr>
        <w:t xml:space="preserve"> </w:t>
      </w:r>
      <w:r>
        <w:rPr>
          <w:rFonts w:ascii="Garamond" w:hAnsi="Garamond" w:cs="Times New Roman"/>
          <w:sz w:val="20"/>
          <w:szCs w:val="20"/>
        </w:rPr>
        <w:t>«</w:t>
      </w:r>
      <w:r w:rsidRPr="00D94B66">
        <w:rPr>
          <w:rFonts w:ascii="Garamond" w:hAnsi="Garamond" w:cs="Times New Roman"/>
          <w:i/>
          <w:sz w:val="20"/>
          <w:szCs w:val="20"/>
        </w:rPr>
        <w:t xml:space="preserve">Caso Gelman </w:t>
      </w:r>
      <w:r w:rsidRPr="00D94B66">
        <w:rPr>
          <w:rFonts w:ascii="Garamond" w:hAnsi="Garamond" w:cs="Times New Roman"/>
          <w:sz w:val="20"/>
          <w:szCs w:val="20"/>
        </w:rPr>
        <w:t>vs.</w:t>
      </w:r>
      <w:r w:rsidRPr="00D94B66">
        <w:rPr>
          <w:rFonts w:ascii="Garamond" w:hAnsi="Garamond" w:cs="Times New Roman"/>
          <w:i/>
          <w:sz w:val="20"/>
          <w:szCs w:val="20"/>
        </w:rPr>
        <w:t xml:space="preserve"> Uruguai</w:t>
      </w:r>
      <w:r>
        <w:rPr>
          <w:rFonts w:ascii="Garamond" w:hAnsi="Garamond" w:cs="Times New Roman"/>
          <w:i/>
          <w:sz w:val="20"/>
          <w:szCs w:val="20"/>
        </w:rPr>
        <w:t>»</w:t>
      </w:r>
      <w:r w:rsidRPr="00D94B66">
        <w:rPr>
          <w:rFonts w:ascii="Garamond" w:hAnsi="Garamond" w:cs="Times New Roman"/>
          <w:i/>
          <w:sz w:val="20"/>
          <w:szCs w:val="20"/>
        </w:rPr>
        <w:t>, fundo e compensações. Sentença de 24 de febrero de 2011.</w:t>
      </w:r>
      <w:r w:rsidRPr="00D94B66">
        <w:rPr>
          <w:rFonts w:ascii="Garamond" w:hAnsi="Garamond" w:cs="Times New Roman"/>
          <w:sz w:val="20"/>
          <w:szCs w:val="20"/>
        </w:rPr>
        <w:t xml:space="preserve"> Acessível através de &lt;</w:t>
      </w:r>
      <w:r w:rsidRPr="00D94B66">
        <w:rPr>
          <w:rFonts w:ascii="Garamond" w:hAnsi="Garamond"/>
          <w:sz w:val="20"/>
          <w:szCs w:val="20"/>
        </w:rPr>
        <w:t xml:space="preserve"> </w:t>
      </w:r>
      <w:hyperlink r:id="rId15" w:history="1">
        <w:r w:rsidRPr="00D94B66">
          <w:rPr>
            <w:rStyle w:val="Hipervnculo"/>
            <w:rFonts w:ascii="Garamond" w:hAnsi="Garamond" w:cs="Times New Roman"/>
            <w:sz w:val="20"/>
            <w:szCs w:val="20"/>
          </w:rPr>
          <w:t>http://www.corteidh.or.cr/docs/casos/articulos/seriec_221_esp1.pdf</w:t>
        </w:r>
      </w:hyperlink>
      <w:r w:rsidRPr="00D94B66">
        <w:rPr>
          <w:rFonts w:ascii="Garamond" w:hAnsi="Garamond" w:cs="Times New Roman"/>
          <w:sz w:val="20"/>
          <w:szCs w:val="20"/>
        </w:rPr>
        <w:t xml:space="preserve">&gt;  </w:t>
      </w:r>
    </w:p>
  </w:footnote>
  <w:footnote w:id="51">
    <w:p w:rsidR="007B3401" w:rsidRPr="00D94B66" w:rsidRDefault="007B3401" w:rsidP="00A54B5A">
      <w:pPr>
        <w:pStyle w:val="Textonotapie"/>
        <w:jc w:val="both"/>
        <w:rPr>
          <w:rFonts w:ascii="Garamond" w:hAnsi="Garamond" w:cs="Times New Roman"/>
          <w:lang w:val="pt-PT"/>
        </w:rPr>
      </w:pPr>
      <w:r w:rsidRPr="00D94B66">
        <w:rPr>
          <w:rStyle w:val="Refdenotaalpie"/>
          <w:rFonts w:ascii="Garamond" w:hAnsi="Garamond" w:cs="Times New Roman"/>
        </w:rPr>
        <w:footnoteRef/>
      </w:r>
      <w:r w:rsidRPr="00D94B66">
        <w:rPr>
          <w:rFonts w:ascii="Garamond" w:hAnsi="Garamond" w:cs="Times New Roman"/>
          <w:lang w:val="pt-PT"/>
        </w:rPr>
        <w:t xml:space="preserve"> </w:t>
      </w:r>
      <w:r w:rsidRPr="00D94B66">
        <w:rPr>
          <w:rFonts w:ascii="Garamond" w:hAnsi="Garamond" w:cs="Times New Roman"/>
          <w:i/>
          <w:lang w:val="pt-PT"/>
        </w:rPr>
        <w:t>Ibíd.,</w:t>
      </w:r>
      <w:r w:rsidRPr="00D94B66">
        <w:rPr>
          <w:rFonts w:ascii="Garamond" w:hAnsi="Garamond" w:cs="Times New Roman"/>
          <w:lang w:val="pt-PT"/>
        </w:rPr>
        <w:t xml:space="preserve"> o parág. 193</w:t>
      </w:r>
      <w:r>
        <w:rPr>
          <w:rFonts w:ascii="Garamond" w:hAnsi="Garamond" w:cs="Times New Roman"/>
          <w:lang w:val="pt-PT"/>
        </w:rPr>
        <w:t>,</w:t>
      </w:r>
      <w:r w:rsidRPr="00D94B66">
        <w:rPr>
          <w:rFonts w:ascii="Garamond" w:hAnsi="Garamond" w:cs="Times New Roman"/>
          <w:lang w:val="pt-PT"/>
        </w:rPr>
        <w:t xml:space="preserve"> da sentença em referência</w:t>
      </w:r>
      <w:r>
        <w:rPr>
          <w:rFonts w:ascii="Garamond" w:hAnsi="Garamond" w:cs="Times New Roman"/>
          <w:lang w:val="pt-PT"/>
        </w:rPr>
        <w:t>,</w:t>
      </w:r>
      <w:r w:rsidRPr="00D94B66">
        <w:rPr>
          <w:rFonts w:ascii="Garamond" w:hAnsi="Garamond" w:cs="Times New Roman"/>
          <w:lang w:val="pt-PT"/>
        </w:rPr>
        <w:t xml:space="preserve"> diz textualmente:</w:t>
      </w:r>
    </w:p>
    <w:p w:rsidR="007B3401" w:rsidRPr="00D94B66" w:rsidRDefault="007B3401" w:rsidP="00A54B5A">
      <w:pPr>
        <w:pStyle w:val="Textonotapie"/>
        <w:ind w:left="708"/>
        <w:jc w:val="both"/>
        <w:rPr>
          <w:rFonts w:ascii="Garamond" w:hAnsi="Garamond" w:cs="Times New Roman"/>
          <w:lang w:val="pt-PT"/>
        </w:rPr>
      </w:pPr>
      <w:r>
        <w:rPr>
          <w:rFonts w:ascii="Garamond" w:hAnsi="Garamond" w:cs="Times New Roman"/>
          <w:lang w:val="pt-PT"/>
        </w:rPr>
        <w:t>«</w:t>
      </w:r>
      <w:r w:rsidRPr="00D94B66">
        <w:rPr>
          <w:rFonts w:ascii="Garamond" w:hAnsi="Garamond" w:cs="Times New Roman"/>
          <w:lang w:val="pt-PT"/>
        </w:rPr>
        <w:t xml:space="preserve">Quando um </w:t>
      </w:r>
      <w:r w:rsidRPr="00D94B66">
        <w:rPr>
          <w:rFonts w:ascii="Garamond" w:hAnsi="Garamond" w:cs="Times New Roman"/>
          <w:b/>
          <w:lang w:val="pt-PT"/>
        </w:rPr>
        <w:t>Estado</w:t>
      </w:r>
      <w:r w:rsidRPr="00D94B66">
        <w:rPr>
          <w:rFonts w:ascii="Garamond" w:hAnsi="Garamond" w:cs="Times New Roman"/>
          <w:lang w:val="pt-PT"/>
        </w:rPr>
        <w:t xml:space="preserve"> é </w:t>
      </w:r>
      <w:r>
        <w:rPr>
          <w:rFonts w:ascii="Garamond" w:hAnsi="Garamond" w:cs="Times New Roman"/>
          <w:lang w:val="pt-PT"/>
        </w:rPr>
        <w:t>m</w:t>
      </w:r>
      <w:r w:rsidRPr="00D94B66">
        <w:rPr>
          <w:rFonts w:ascii="Garamond" w:hAnsi="Garamond" w:cs="Times New Roman"/>
          <w:lang w:val="pt-PT"/>
        </w:rPr>
        <w:t xml:space="preserve">embro de um tratado internacional como a Convenção Americana, </w:t>
      </w:r>
      <w:r w:rsidRPr="00D94B66">
        <w:rPr>
          <w:rFonts w:ascii="Garamond" w:hAnsi="Garamond" w:cs="Times New Roman"/>
          <w:b/>
          <w:lang w:val="pt-PT"/>
        </w:rPr>
        <w:t>todos os seus órgãos, incluindo os seus juízes</w:t>
      </w:r>
      <w:r w:rsidRPr="00D94B66">
        <w:rPr>
          <w:rFonts w:ascii="Garamond" w:hAnsi="Garamond" w:cs="Times New Roman"/>
          <w:lang w:val="pt-PT"/>
        </w:rPr>
        <w:t xml:space="preserve">, estão sujeitos a ela, o que os obriga a velar para que os efeitos das disposições da Convenção não se vejam diminuídos pela aplicação de normas contrárias ao seu objetivo e fim, (...) e nesta tarefa, </w:t>
      </w:r>
      <w:r w:rsidRPr="00D94B66">
        <w:rPr>
          <w:rFonts w:ascii="Garamond" w:hAnsi="Garamond" w:cs="Times New Roman"/>
          <w:b/>
          <w:lang w:val="pt-PT"/>
        </w:rPr>
        <w:t xml:space="preserve">devem ter em conta não apenas o tratado, mas também a interpretação que </w:t>
      </w:r>
      <w:r>
        <w:rPr>
          <w:rFonts w:ascii="Garamond" w:hAnsi="Garamond" w:cs="Times New Roman"/>
          <w:b/>
          <w:lang w:val="pt-PT"/>
        </w:rPr>
        <w:t>o</w:t>
      </w:r>
      <w:r w:rsidRPr="00D94B66">
        <w:rPr>
          <w:rFonts w:ascii="Garamond" w:hAnsi="Garamond" w:cs="Times New Roman"/>
          <w:b/>
          <w:lang w:val="pt-PT"/>
        </w:rPr>
        <w:t xml:space="preserve"> </w:t>
      </w:r>
      <w:r>
        <w:rPr>
          <w:rFonts w:ascii="Garamond" w:hAnsi="Garamond" w:cs="Times New Roman"/>
          <w:b/>
          <w:lang w:val="pt-PT"/>
        </w:rPr>
        <w:t>Tribunal</w:t>
      </w:r>
      <w:r w:rsidRPr="00D94B66">
        <w:rPr>
          <w:rFonts w:ascii="Garamond" w:hAnsi="Garamond" w:cs="Times New Roman"/>
          <w:b/>
          <w:lang w:val="pt-PT"/>
        </w:rPr>
        <w:t xml:space="preserve"> Interamerican</w:t>
      </w:r>
      <w:r>
        <w:rPr>
          <w:rFonts w:ascii="Garamond" w:hAnsi="Garamond" w:cs="Times New Roman"/>
          <w:b/>
          <w:lang w:val="pt-PT"/>
        </w:rPr>
        <w:t>o</w:t>
      </w:r>
      <w:r w:rsidRPr="00D94B66">
        <w:rPr>
          <w:rFonts w:ascii="Garamond" w:hAnsi="Garamond" w:cs="Times New Roman"/>
          <w:b/>
          <w:lang w:val="pt-PT"/>
        </w:rPr>
        <w:t xml:space="preserve"> fez do mesmo</w:t>
      </w:r>
      <w:r w:rsidRPr="00D94B66">
        <w:rPr>
          <w:rFonts w:ascii="Garamond" w:hAnsi="Garamond" w:cs="Times New Roman"/>
          <w:lang w:val="pt-PT"/>
        </w:rPr>
        <w:t>, intérprete última da Convenção Americana</w:t>
      </w:r>
      <w:r>
        <w:rPr>
          <w:rFonts w:ascii="Garamond" w:hAnsi="Garamond" w:cs="Times New Roman"/>
          <w:lang w:val="pt-PT"/>
        </w:rPr>
        <w:t>»</w:t>
      </w:r>
      <w:r w:rsidRPr="00D94B66">
        <w:rPr>
          <w:rFonts w:ascii="Garamond" w:hAnsi="Garamond" w:cs="Times New Roman"/>
          <w:lang w:val="pt-PT"/>
        </w:rPr>
        <w:t>. (O texto a negrito é nosso).</w:t>
      </w:r>
    </w:p>
  </w:footnote>
  <w:footnote w:id="52">
    <w:p w:rsidR="007B3401" w:rsidRPr="00D94B66" w:rsidRDefault="007B3401" w:rsidP="002720C5">
      <w:pPr>
        <w:autoSpaceDE w:val="0"/>
        <w:autoSpaceDN w:val="0"/>
        <w:adjustRightInd w:val="0"/>
        <w:spacing w:after="0" w:line="240" w:lineRule="auto"/>
        <w:rPr>
          <w:rFonts w:ascii="Garamond" w:hAnsi="Garamond" w:cs="Times New Roman"/>
          <w:sz w:val="20"/>
          <w:szCs w:val="20"/>
        </w:rPr>
      </w:pPr>
      <w:r w:rsidRPr="00D94B66">
        <w:rPr>
          <w:rStyle w:val="Refdenotaalpie"/>
          <w:rFonts w:ascii="Garamond" w:hAnsi="Garamond" w:cs="Times New Roman"/>
          <w:sz w:val="20"/>
          <w:szCs w:val="20"/>
        </w:rPr>
        <w:footnoteRef/>
      </w:r>
      <w:r w:rsidRPr="00D94B66">
        <w:rPr>
          <w:rFonts w:ascii="Garamond" w:hAnsi="Garamond" w:cs="Times New Roman"/>
          <w:sz w:val="20"/>
          <w:szCs w:val="20"/>
        </w:rPr>
        <w:t xml:space="preserve"> </w:t>
      </w:r>
      <w:r w:rsidRPr="00D94B66">
        <w:rPr>
          <w:rFonts w:ascii="Garamond" w:hAnsi="Garamond" w:cs="Times New Roman"/>
          <w:i/>
          <w:sz w:val="20"/>
          <w:szCs w:val="20"/>
        </w:rPr>
        <w:t>Op. cit.</w:t>
      </w:r>
      <w:r w:rsidRPr="00D94B66">
        <w:rPr>
          <w:rFonts w:ascii="Garamond" w:hAnsi="Garamond" w:cs="Times New Roman"/>
          <w:sz w:val="20"/>
          <w:szCs w:val="20"/>
        </w:rPr>
        <w:t xml:space="preserve">, parág. 239. É significativo que a 27 de outubro de 2011, oito meses depois da sentença emitida que estamos a comentar, o Parlamento uruguaio deixou sem efeito a referida Lei de amnistia. </w:t>
      </w:r>
    </w:p>
    <w:p w:rsidR="007B3401" w:rsidRPr="00D94B66" w:rsidRDefault="007B3401" w:rsidP="002720C5">
      <w:pPr>
        <w:autoSpaceDE w:val="0"/>
        <w:autoSpaceDN w:val="0"/>
        <w:adjustRightInd w:val="0"/>
        <w:spacing w:after="0" w:line="240" w:lineRule="auto"/>
        <w:jc w:val="both"/>
        <w:rPr>
          <w:rFonts w:ascii="Garamond" w:hAnsi="Garamond"/>
        </w:rPr>
      </w:pPr>
      <w:r w:rsidRPr="00D94B66">
        <w:rPr>
          <w:rFonts w:ascii="Garamond" w:hAnsi="Garamond" w:cs="Times New Roman"/>
          <w:sz w:val="20"/>
          <w:szCs w:val="20"/>
        </w:rPr>
        <w:t xml:space="preserve">O dito parág. 239 da sentença </w:t>
      </w:r>
      <w:proofErr w:type="gramStart"/>
      <w:r w:rsidRPr="00D94B66">
        <w:rPr>
          <w:rFonts w:ascii="Garamond" w:hAnsi="Garamond" w:cs="Times New Roman"/>
          <w:sz w:val="20"/>
          <w:szCs w:val="20"/>
        </w:rPr>
        <w:t>diz</w:t>
      </w:r>
      <w:proofErr w:type="gramEnd"/>
      <w:r w:rsidRPr="00D94B66">
        <w:rPr>
          <w:rFonts w:ascii="Garamond" w:hAnsi="Garamond" w:cs="Times New Roman"/>
          <w:sz w:val="20"/>
          <w:szCs w:val="20"/>
        </w:rPr>
        <w:t>:</w:t>
      </w:r>
    </w:p>
    <w:p w:rsidR="007B3401" w:rsidRPr="00D94B66" w:rsidRDefault="007B3401" w:rsidP="002720C5">
      <w:pPr>
        <w:autoSpaceDE w:val="0"/>
        <w:autoSpaceDN w:val="0"/>
        <w:adjustRightInd w:val="0"/>
        <w:spacing w:before="240" w:after="0" w:line="240" w:lineRule="auto"/>
        <w:ind w:left="142"/>
        <w:jc w:val="both"/>
        <w:rPr>
          <w:rFonts w:ascii="Garamond" w:hAnsi="Garamond"/>
        </w:rPr>
      </w:pPr>
      <w:r>
        <w:rPr>
          <w:rFonts w:ascii="Garamond" w:hAnsi="Garamond" w:cs="Times New Roman"/>
          <w:sz w:val="20"/>
          <w:szCs w:val="20"/>
        </w:rPr>
        <w:t>«</w:t>
      </w:r>
      <w:r w:rsidRPr="00D94B66">
        <w:rPr>
          <w:rFonts w:ascii="Garamond" w:hAnsi="Garamond" w:cs="Times New Roman"/>
          <w:sz w:val="20"/>
          <w:szCs w:val="20"/>
        </w:rPr>
        <w:t xml:space="preserve">239. A simples existência de um regime democrático </w:t>
      </w:r>
      <w:r w:rsidRPr="00D94B66">
        <w:rPr>
          <w:rFonts w:ascii="Garamond" w:hAnsi="Garamond" w:cs="Times New Roman"/>
          <w:b/>
          <w:sz w:val="20"/>
          <w:szCs w:val="20"/>
        </w:rPr>
        <w:t xml:space="preserve">não garante, </w:t>
      </w:r>
      <w:r w:rsidRPr="00D94B66">
        <w:rPr>
          <w:rFonts w:ascii="Garamond" w:hAnsi="Garamond" w:cs="Times New Roman"/>
          <w:b/>
          <w:i/>
          <w:iCs/>
          <w:sz w:val="20"/>
          <w:szCs w:val="20"/>
        </w:rPr>
        <w:t>per se</w:t>
      </w:r>
      <w:r w:rsidRPr="00D94B66">
        <w:rPr>
          <w:rFonts w:ascii="Garamond" w:hAnsi="Garamond" w:cs="Times New Roman"/>
          <w:b/>
          <w:sz w:val="20"/>
          <w:szCs w:val="20"/>
        </w:rPr>
        <w:t>, o permanente respeito do Direito Internacional, incluindo o Direito Internacional dos Direitos Humanos</w:t>
      </w:r>
      <w:r w:rsidRPr="00D94B66">
        <w:rPr>
          <w:rFonts w:ascii="Garamond" w:hAnsi="Garamond" w:cs="Times New Roman"/>
          <w:sz w:val="20"/>
          <w:szCs w:val="20"/>
        </w:rPr>
        <w:t>, o que foi assim considerado inclusivamente pela própria Carta Democrática Interamericana. A</w:t>
      </w:r>
      <w:r w:rsidRPr="00D94B66">
        <w:rPr>
          <w:rFonts w:ascii="Garamond" w:hAnsi="Garamond" w:cs="Times New Roman"/>
          <w:b/>
          <w:sz w:val="20"/>
          <w:szCs w:val="20"/>
        </w:rPr>
        <w:t xml:space="preserve"> legitimação democrática</w:t>
      </w:r>
      <w:r w:rsidRPr="00D94B66">
        <w:rPr>
          <w:rFonts w:ascii="Garamond" w:hAnsi="Garamond" w:cs="Times New Roman"/>
          <w:sz w:val="20"/>
          <w:szCs w:val="20"/>
        </w:rPr>
        <w:t xml:space="preserve"> de determinados factos ou atos </w:t>
      </w:r>
      <w:r w:rsidRPr="00D94B66">
        <w:rPr>
          <w:rFonts w:ascii="Garamond" w:hAnsi="Garamond" w:cs="Times New Roman"/>
          <w:b/>
          <w:sz w:val="20"/>
          <w:szCs w:val="20"/>
        </w:rPr>
        <w:t>numa sociedade é limitada pelas normas e obrigações internacionais de proteção dos direitos humanos</w:t>
      </w:r>
      <w:r w:rsidRPr="00D94B66">
        <w:rPr>
          <w:rFonts w:ascii="Garamond" w:hAnsi="Garamond" w:cs="Times New Roman"/>
          <w:sz w:val="20"/>
          <w:szCs w:val="20"/>
        </w:rPr>
        <w:t xml:space="preserve"> reconhecidos em tratados como a Convenção Americana, de modo que a existência de </w:t>
      </w:r>
      <w:r w:rsidRPr="00D94B66">
        <w:rPr>
          <w:rFonts w:ascii="Garamond" w:hAnsi="Garamond" w:cs="Times New Roman"/>
          <w:b/>
          <w:sz w:val="20"/>
          <w:szCs w:val="20"/>
        </w:rPr>
        <w:t>um verdadeiro regime democrático é determinada pelas suas caraterísticas tanto formais como substanciais</w:t>
      </w:r>
      <w:r w:rsidRPr="00D94B66">
        <w:rPr>
          <w:rFonts w:ascii="Garamond" w:hAnsi="Garamond" w:cs="Times New Roman"/>
          <w:sz w:val="20"/>
          <w:szCs w:val="20"/>
        </w:rPr>
        <w:t xml:space="preserve">, pelo que, </w:t>
      </w:r>
      <w:r w:rsidRPr="00D94B66">
        <w:rPr>
          <w:rFonts w:ascii="Garamond" w:hAnsi="Garamond" w:cs="Times New Roman"/>
          <w:b/>
          <w:sz w:val="20"/>
          <w:szCs w:val="20"/>
        </w:rPr>
        <w:t xml:space="preserve">particularmente em casos de graves violações às normas do Direito Internacional dos Direitos, a proteção dos direitos humanos constitui um limite intransponível à regra de maiorias, ou seja, à esfera do </w:t>
      </w:r>
      <w:r>
        <w:rPr>
          <w:rFonts w:ascii="Garamond" w:hAnsi="Garamond" w:cs="Times New Roman"/>
          <w:b/>
          <w:sz w:val="20"/>
          <w:szCs w:val="20"/>
        </w:rPr>
        <w:t>”</w:t>
      </w:r>
      <w:r w:rsidRPr="00D94B66">
        <w:rPr>
          <w:rFonts w:ascii="Garamond" w:hAnsi="Garamond" w:cs="Times New Roman"/>
          <w:b/>
          <w:sz w:val="20"/>
          <w:szCs w:val="20"/>
        </w:rPr>
        <w:t>suscetível de ser decidido</w:t>
      </w:r>
      <w:r>
        <w:rPr>
          <w:rFonts w:ascii="Garamond" w:hAnsi="Garamond" w:cs="Times New Roman"/>
          <w:b/>
          <w:sz w:val="20"/>
          <w:szCs w:val="20"/>
        </w:rPr>
        <w:t>”</w:t>
      </w:r>
      <w:r w:rsidRPr="00D94B66">
        <w:rPr>
          <w:rFonts w:ascii="Garamond" w:hAnsi="Garamond" w:cs="Times New Roman"/>
          <w:b/>
          <w:sz w:val="20"/>
          <w:szCs w:val="20"/>
        </w:rPr>
        <w:t xml:space="preserve"> por parte das maiorias em instâncias democráticas, onde também deve primar um </w:t>
      </w:r>
      <w:r>
        <w:rPr>
          <w:rFonts w:ascii="Garamond" w:hAnsi="Garamond" w:cs="Times New Roman"/>
          <w:b/>
          <w:sz w:val="20"/>
          <w:szCs w:val="20"/>
        </w:rPr>
        <w:t>”</w:t>
      </w:r>
      <w:r w:rsidRPr="00D94B66">
        <w:rPr>
          <w:rFonts w:ascii="Garamond" w:hAnsi="Garamond" w:cs="Times New Roman"/>
          <w:b/>
          <w:sz w:val="20"/>
          <w:szCs w:val="20"/>
        </w:rPr>
        <w:t>controlo de convencionalidade</w:t>
      </w:r>
      <w:r>
        <w:rPr>
          <w:rFonts w:ascii="Garamond" w:hAnsi="Garamond" w:cs="Times New Roman"/>
          <w:b/>
          <w:sz w:val="20"/>
          <w:szCs w:val="20"/>
        </w:rPr>
        <w:t>”</w:t>
      </w:r>
      <w:r w:rsidRPr="00D94B66">
        <w:rPr>
          <w:rFonts w:ascii="Garamond" w:hAnsi="Garamond" w:cs="Times New Roman"/>
          <w:sz w:val="20"/>
          <w:szCs w:val="20"/>
        </w:rPr>
        <w:t xml:space="preserve"> (…), que é função e tarefa </w:t>
      </w:r>
      <w:r w:rsidRPr="00D94B66">
        <w:rPr>
          <w:rFonts w:ascii="Garamond" w:hAnsi="Garamond" w:cs="Times New Roman"/>
          <w:b/>
          <w:sz w:val="20"/>
          <w:szCs w:val="20"/>
          <w:u w:val="single"/>
        </w:rPr>
        <w:t>de qualquer autoridade pública e não só do Poder Judicial</w:t>
      </w:r>
      <w:r w:rsidRPr="00D94B66">
        <w:rPr>
          <w:rFonts w:ascii="Garamond" w:hAnsi="Garamond" w:cs="Times New Roman"/>
          <w:sz w:val="20"/>
          <w:szCs w:val="20"/>
        </w:rPr>
        <w:t>. (</w:t>
      </w:r>
      <w:proofErr w:type="gramStart"/>
      <w:r w:rsidRPr="00D94B66">
        <w:rPr>
          <w:rFonts w:ascii="Garamond" w:hAnsi="Garamond" w:cs="Times New Roman"/>
          <w:sz w:val="20"/>
          <w:szCs w:val="20"/>
        </w:rPr>
        <w:t>....</w:t>
      </w:r>
      <w:proofErr w:type="gramEnd"/>
      <w:r w:rsidRPr="00D94B66">
        <w:rPr>
          <w:rFonts w:ascii="Garamond" w:hAnsi="Garamond" w:cs="Times New Roman"/>
          <w:sz w:val="20"/>
          <w:szCs w:val="20"/>
        </w:rPr>
        <w:t>).</w:t>
      </w:r>
      <w:r>
        <w:rPr>
          <w:rFonts w:ascii="Garamond" w:hAnsi="Garamond" w:cs="Times New Roman"/>
          <w:sz w:val="20"/>
          <w:szCs w:val="20"/>
        </w:rPr>
        <w:t>»</w:t>
      </w:r>
      <w:r w:rsidRPr="00D94B66">
        <w:rPr>
          <w:rFonts w:ascii="Garamond" w:hAnsi="Garamond" w:cs="Times New Roman"/>
          <w:sz w:val="20"/>
          <w:szCs w:val="20"/>
        </w:rPr>
        <w:t xml:space="preserve">  (Os negritos e sublinhados são nossos). </w:t>
      </w:r>
    </w:p>
  </w:footnote>
  <w:footnote w:id="53">
    <w:p w:rsidR="007B3401" w:rsidRPr="00D94B66" w:rsidRDefault="007B3401" w:rsidP="00F83B41">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No que se refere apenas às Sentenças d</w:t>
      </w:r>
      <w:r>
        <w:rPr>
          <w:rFonts w:ascii="Garamond" w:hAnsi="Garamond"/>
          <w:lang w:val="pt-PT"/>
        </w:rPr>
        <w:t>o</w:t>
      </w:r>
      <w:r w:rsidRPr="00D94B66">
        <w:rPr>
          <w:rFonts w:ascii="Garamond" w:hAnsi="Garamond"/>
          <w:lang w:val="pt-PT"/>
        </w:rPr>
        <w:t xml:space="preserve"> </w:t>
      </w:r>
      <w:r>
        <w:rPr>
          <w:rFonts w:ascii="Garamond" w:hAnsi="Garamond"/>
          <w:lang w:val="pt-PT"/>
        </w:rPr>
        <w:t>Tribunal</w:t>
      </w:r>
      <w:r w:rsidRPr="00D94B66">
        <w:rPr>
          <w:rFonts w:ascii="Garamond" w:hAnsi="Garamond"/>
          <w:lang w:val="pt-PT"/>
        </w:rPr>
        <w:t xml:space="preserve"> Interamerican</w:t>
      </w:r>
      <w:r>
        <w:rPr>
          <w:rFonts w:ascii="Garamond" w:hAnsi="Garamond"/>
          <w:lang w:val="pt-PT"/>
        </w:rPr>
        <w:t>o,</w:t>
      </w:r>
      <w:r w:rsidRPr="00D94B66">
        <w:rPr>
          <w:rFonts w:ascii="Garamond" w:hAnsi="Garamond"/>
          <w:lang w:val="pt-PT"/>
        </w:rPr>
        <w:t xml:space="preserve"> relativamente à violência contra as mulheres, veja-se, por exemplo, os</w:t>
      </w:r>
      <w:proofErr w:type="gramStart"/>
      <w:r w:rsidRPr="00D94B66">
        <w:rPr>
          <w:rFonts w:ascii="Garamond" w:hAnsi="Garamond"/>
          <w:lang w:val="pt-PT"/>
        </w:rPr>
        <w:t xml:space="preserve"> </w:t>
      </w:r>
      <w:r>
        <w:rPr>
          <w:rFonts w:ascii="Garamond" w:hAnsi="Garamond"/>
          <w:lang w:val="pt-PT"/>
        </w:rPr>
        <w:t xml:space="preserve"> </w:t>
      </w:r>
      <w:proofErr w:type="gramEnd"/>
      <w:r>
        <w:rPr>
          <w:rFonts w:ascii="Garamond" w:hAnsi="Garamond"/>
          <w:lang w:val="pt-PT"/>
        </w:rPr>
        <w:t xml:space="preserve">objetivos </w:t>
      </w:r>
      <w:r w:rsidRPr="00D94B66">
        <w:rPr>
          <w:rFonts w:ascii="Garamond" w:hAnsi="Garamond"/>
          <w:lang w:val="pt-PT"/>
        </w:rPr>
        <w:t xml:space="preserve">dos fundamentos jurídicos gerais </w:t>
      </w:r>
      <w:r>
        <w:rPr>
          <w:rFonts w:ascii="Garamond" w:hAnsi="Garamond"/>
          <w:lang w:val="pt-PT"/>
        </w:rPr>
        <w:t>-</w:t>
      </w:r>
      <w:r w:rsidRPr="00D94B66">
        <w:rPr>
          <w:rFonts w:ascii="Garamond" w:hAnsi="Garamond"/>
          <w:lang w:val="pt-PT"/>
        </w:rPr>
        <w:t xml:space="preserve"> e portanto de seguimento obrigatório </w:t>
      </w:r>
      <w:r>
        <w:rPr>
          <w:rFonts w:ascii="Garamond" w:hAnsi="Garamond"/>
          <w:lang w:val="pt-PT"/>
        </w:rPr>
        <w:t>-</w:t>
      </w:r>
      <w:r w:rsidRPr="00D94B66">
        <w:rPr>
          <w:rFonts w:ascii="Garamond" w:hAnsi="Garamond"/>
          <w:lang w:val="pt-PT"/>
        </w:rPr>
        <w:t xml:space="preserve"> contidos em:</w:t>
      </w:r>
    </w:p>
    <w:p w:rsidR="007B3401" w:rsidRPr="00D94B66" w:rsidRDefault="007B3401" w:rsidP="00CF0E55">
      <w:pPr>
        <w:pStyle w:val="Textonotapie"/>
        <w:numPr>
          <w:ilvl w:val="0"/>
          <w:numId w:val="12"/>
        </w:numPr>
        <w:tabs>
          <w:tab w:val="clear" w:pos="708"/>
        </w:tabs>
        <w:suppressAutoHyphens w:val="0"/>
        <w:spacing w:line="240" w:lineRule="auto"/>
        <w:jc w:val="both"/>
        <w:rPr>
          <w:rStyle w:val="Textoennegrita"/>
          <w:rFonts w:ascii="Garamond" w:hAnsi="Garamond"/>
          <w:b w:val="0"/>
          <w:bCs w:val="0"/>
          <w:lang w:val="pt-PT"/>
        </w:rPr>
      </w:pPr>
      <w:r w:rsidRPr="00D94B66">
        <w:rPr>
          <w:rStyle w:val="Textoennegrita"/>
          <w:rFonts w:ascii="Garamond" w:hAnsi="Garamond"/>
          <w:b w:val="0"/>
          <w:i/>
          <w:color w:val="000000"/>
          <w:lang w:val="pt-PT"/>
        </w:rPr>
        <w:t>Caso González e outras (</w:t>
      </w:r>
      <w:r>
        <w:rPr>
          <w:rStyle w:val="Textoennegrita"/>
          <w:rFonts w:ascii="Garamond" w:hAnsi="Garamond"/>
          <w:b w:val="0"/>
          <w:i/>
          <w:color w:val="000000"/>
          <w:lang w:val="pt-PT"/>
        </w:rPr>
        <w:t>«</w:t>
      </w:r>
      <w:r w:rsidRPr="00D94B66">
        <w:rPr>
          <w:rStyle w:val="Textoennegrita"/>
          <w:rFonts w:ascii="Garamond" w:hAnsi="Garamond"/>
          <w:b w:val="0"/>
          <w:i/>
          <w:color w:val="000000"/>
          <w:lang w:val="pt-PT"/>
        </w:rPr>
        <w:t>Campo Algodonero</w:t>
      </w:r>
      <w:r>
        <w:rPr>
          <w:rStyle w:val="Textoennegrita"/>
          <w:rFonts w:ascii="Garamond" w:hAnsi="Garamond"/>
          <w:b w:val="0"/>
          <w:i/>
          <w:color w:val="000000"/>
          <w:lang w:val="pt-PT"/>
        </w:rPr>
        <w:t>»</w:t>
      </w:r>
      <w:r w:rsidRPr="00D94B66">
        <w:rPr>
          <w:rStyle w:val="Textoennegrita"/>
          <w:rFonts w:ascii="Garamond" w:hAnsi="Garamond"/>
          <w:b w:val="0"/>
          <w:i/>
          <w:color w:val="000000"/>
          <w:lang w:val="pt-PT"/>
        </w:rPr>
        <w:t xml:space="preserve">) </w:t>
      </w:r>
      <w:r w:rsidRPr="00D94B66">
        <w:rPr>
          <w:rStyle w:val="Textoennegrita"/>
          <w:rFonts w:ascii="Garamond" w:hAnsi="Garamond"/>
          <w:b w:val="0"/>
          <w:color w:val="000000"/>
          <w:lang w:val="pt-PT"/>
        </w:rPr>
        <w:t>vs.</w:t>
      </w:r>
      <w:r w:rsidRPr="00D94B66">
        <w:rPr>
          <w:rStyle w:val="Textoennegrita"/>
          <w:rFonts w:ascii="Garamond" w:hAnsi="Garamond"/>
          <w:b w:val="0"/>
          <w:i/>
          <w:color w:val="000000"/>
          <w:lang w:val="pt-PT"/>
        </w:rPr>
        <w:t xml:space="preserve"> México. Exceção Preliminar, Fundo, Compensações e Custos. Sentença de 16 de novembro de 2009</w:t>
      </w:r>
      <w:r w:rsidRPr="00D94B66">
        <w:rPr>
          <w:rStyle w:val="Textoennegrita"/>
          <w:rFonts w:ascii="Garamond" w:hAnsi="Garamond"/>
          <w:b w:val="0"/>
          <w:color w:val="000000"/>
          <w:lang w:val="pt-PT"/>
        </w:rPr>
        <w:t>. Série C N</w:t>
      </w:r>
      <w:r>
        <w:rPr>
          <w:rStyle w:val="Textoennegrita"/>
          <w:rFonts w:ascii="Garamond" w:hAnsi="Garamond"/>
          <w:b w:val="0"/>
          <w:color w:val="000000"/>
          <w:lang w:val="pt-PT"/>
        </w:rPr>
        <w:t>.</w:t>
      </w:r>
      <w:r w:rsidRPr="00D94B66">
        <w:rPr>
          <w:rStyle w:val="Textoennegrita"/>
          <w:rFonts w:ascii="Garamond" w:hAnsi="Garamond"/>
          <w:b w:val="0"/>
          <w:color w:val="000000"/>
          <w:lang w:val="pt-PT"/>
        </w:rPr>
        <w:t>° 205. Acessível através de &lt;http://www.corteidh.or.cr/docs/casos/articulos/seriec_205_esp.pdf&gt;</w:t>
      </w:r>
    </w:p>
    <w:p w:rsidR="007B3401" w:rsidRPr="00D94B66" w:rsidRDefault="007B3401" w:rsidP="007775CE">
      <w:pPr>
        <w:pStyle w:val="Textonotapie"/>
        <w:numPr>
          <w:ilvl w:val="0"/>
          <w:numId w:val="12"/>
        </w:numPr>
        <w:tabs>
          <w:tab w:val="clear" w:pos="708"/>
        </w:tabs>
        <w:suppressAutoHyphens w:val="0"/>
        <w:spacing w:line="240" w:lineRule="auto"/>
        <w:rPr>
          <w:rFonts w:ascii="Garamond" w:hAnsi="Garamond"/>
          <w:b/>
          <w:lang w:val="pt-PT"/>
        </w:rPr>
      </w:pPr>
      <w:r w:rsidRPr="00D94B66">
        <w:rPr>
          <w:rStyle w:val="Textoennegrita"/>
          <w:rFonts w:ascii="Garamond" w:hAnsi="Garamond"/>
          <w:b w:val="0"/>
          <w:i/>
          <w:color w:val="000000"/>
          <w:lang w:val="pt-PT"/>
        </w:rPr>
        <w:t xml:space="preserve">Caso de Penal Miguel Castro Castro </w:t>
      </w:r>
      <w:r w:rsidRPr="00D94B66">
        <w:rPr>
          <w:rStyle w:val="Textoennegrita"/>
          <w:rFonts w:ascii="Garamond" w:hAnsi="Garamond"/>
          <w:b w:val="0"/>
          <w:color w:val="000000"/>
          <w:lang w:val="pt-PT"/>
        </w:rPr>
        <w:t>vs.</w:t>
      </w:r>
      <w:r w:rsidRPr="00D94B66">
        <w:rPr>
          <w:rStyle w:val="Textoennegrita"/>
          <w:rFonts w:ascii="Garamond" w:hAnsi="Garamond"/>
          <w:b w:val="0"/>
          <w:i/>
          <w:color w:val="000000"/>
          <w:lang w:val="pt-PT"/>
        </w:rPr>
        <w:t xml:space="preserve"> Peru. Fundo, Compensações e Custos. Sentença de 25 de novembro de 2006. </w:t>
      </w:r>
      <w:r w:rsidRPr="00D94B66">
        <w:rPr>
          <w:rStyle w:val="Textoennegrita"/>
          <w:rFonts w:ascii="Garamond" w:hAnsi="Garamond"/>
          <w:b w:val="0"/>
          <w:color w:val="000000"/>
          <w:lang w:val="pt-PT"/>
        </w:rPr>
        <w:t>Série C N</w:t>
      </w:r>
      <w:r>
        <w:rPr>
          <w:rStyle w:val="Textoennegrita"/>
          <w:rFonts w:ascii="Garamond" w:hAnsi="Garamond"/>
          <w:b w:val="0"/>
          <w:color w:val="000000"/>
          <w:lang w:val="pt-PT"/>
        </w:rPr>
        <w:t>.</w:t>
      </w:r>
      <w:r w:rsidRPr="00D94B66">
        <w:rPr>
          <w:rStyle w:val="Textoennegrita"/>
          <w:rFonts w:ascii="Garamond" w:hAnsi="Garamond"/>
          <w:b w:val="0"/>
          <w:color w:val="000000"/>
          <w:lang w:val="pt-PT"/>
        </w:rPr>
        <w:t>° 160. Acessível através de &lt;http://www.corteidh.or.cr/docs/casos/articulos/seriec_160_esp.pdf&gt;</w:t>
      </w:r>
      <w:r w:rsidRPr="00D94B66">
        <w:rPr>
          <w:rFonts w:ascii="Garamond" w:hAnsi="Garamond"/>
          <w:b/>
          <w:lang w:val="pt-PT"/>
        </w:rPr>
        <w:t xml:space="preserve"> </w:t>
      </w:r>
    </w:p>
    <w:p w:rsidR="007B3401" w:rsidRPr="00232204" w:rsidRDefault="007B3401" w:rsidP="007C2577">
      <w:pPr>
        <w:pStyle w:val="Textonotapie"/>
        <w:numPr>
          <w:ilvl w:val="0"/>
          <w:numId w:val="12"/>
        </w:numPr>
        <w:tabs>
          <w:tab w:val="clear" w:pos="708"/>
        </w:tabs>
        <w:suppressAutoHyphens w:val="0"/>
        <w:spacing w:line="240" w:lineRule="auto"/>
        <w:jc w:val="both"/>
        <w:rPr>
          <w:rStyle w:val="Textoennegrita"/>
          <w:rFonts w:ascii="Garamond" w:hAnsi="Garamond"/>
          <w:bCs w:val="0"/>
          <w:lang w:val="pt-PT"/>
        </w:rPr>
      </w:pPr>
      <w:r w:rsidRPr="007B3401">
        <w:rPr>
          <w:rStyle w:val="Textoennegrita"/>
          <w:rFonts w:ascii="Garamond" w:hAnsi="Garamond"/>
          <w:b w:val="0"/>
          <w:i/>
          <w:color w:val="000000"/>
          <w:lang w:val="en-US"/>
        </w:rPr>
        <w:t xml:space="preserve">Caso Myrna Mack Chang </w:t>
      </w:r>
      <w:r w:rsidRPr="007B3401">
        <w:rPr>
          <w:rStyle w:val="Textoennegrita"/>
          <w:rFonts w:ascii="Garamond" w:hAnsi="Garamond"/>
          <w:b w:val="0"/>
          <w:color w:val="000000"/>
          <w:lang w:val="en-US"/>
        </w:rPr>
        <w:t>vs. Guatemala</w:t>
      </w:r>
      <w:r w:rsidRPr="007B3401">
        <w:rPr>
          <w:rStyle w:val="Textoennegrita"/>
          <w:rFonts w:ascii="Garamond" w:hAnsi="Garamond"/>
          <w:b w:val="0"/>
          <w:i/>
          <w:color w:val="000000"/>
          <w:lang w:val="en-US"/>
        </w:rPr>
        <w:t xml:space="preserve">. </w:t>
      </w:r>
      <w:r w:rsidRPr="00D94B66">
        <w:rPr>
          <w:rStyle w:val="Textoennegrita"/>
          <w:rFonts w:ascii="Garamond" w:hAnsi="Garamond"/>
          <w:b w:val="0"/>
          <w:i/>
          <w:color w:val="000000"/>
          <w:lang w:val="pt-PT"/>
        </w:rPr>
        <w:t xml:space="preserve">Fundo, Compensações e Custos. Sentença de 25 de novembro de 2003. </w:t>
      </w:r>
      <w:r w:rsidRPr="00D94B66">
        <w:rPr>
          <w:rStyle w:val="Textoennegrita"/>
          <w:rFonts w:ascii="Garamond" w:hAnsi="Garamond"/>
          <w:b w:val="0"/>
          <w:color w:val="000000"/>
          <w:lang w:val="pt-PT"/>
        </w:rPr>
        <w:t>Série C N</w:t>
      </w:r>
      <w:r>
        <w:rPr>
          <w:rStyle w:val="Textoennegrita"/>
          <w:rFonts w:ascii="Garamond" w:hAnsi="Garamond"/>
          <w:b w:val="0"/>
          <w:color w:val="000000"/>
          <w:lang w:val="pt-PT"/>
        </w:rPr>
        <w:t>.</w:t>
      </w:r>
      <w:r w:rsidRPr="00D94B66">
        <w:rPr>
          <w:rStyle w:val="Textoennegrita"/>
          <w:rFonts w:ascii="Garamond" w:hAnsi="Garamond"/>
          <w:b w:val="0"/>
          <w:color w:val="000000"/>
          <w:lang w:val="pt-PT"/>
        </w:rPr>
        <w:t xml:space="preserve">° 101. Acessível através de </w:t>
      </w:r>
    </w:p>
    <w:p w:rsidR="007B3401" w:rsidRPr="00D94B66" w:rsidRDefault="007B3401" w:rsidP="007C2577">
      <w:pPr>
        <w:pStyle w:val="Textonotapie"/>
        <w:numPr>
          <w:ilvl w:val="0"/>
          <w:numId w:val="12"/>
        </w:numPr>
        <w:tabs>
          <w:tab w:val="clear" w:pos="708"/>
        </w:tabs>
        <w:suppressAutoHyphens w:val="0"/>
        <w:spacing w:line="240" w:lineRule="auto"/>
        <w:jc w:val="both"/>
        <w:rPr>
          <w:rFonts w:ascii="Garamond" w:hAnsi="Garamond"/>
          <w:b/>
          <w:lang w:val="pt-PT"/>
        </w:rPr>
      </w:pPr>
      <w:r w:rsidRPr="00D94B66">
        <w:rPr>
          <w:rStyle w:val="Textoennegrita"/>
          <w:rFonts w:ascii="Garamond" w:hAnsi="Garamond"/>
          <w:b w:val="0"/>
          <w:color w:val="000000"/>
          <w:lang w:val="pt-PT"/>
        </w:rPr>
        <w:t>&lt;http://www.corteidh.or.cr/docs/casos/articulos/seriec_101_esp.pdf&gt;</w:t>
      </w:r>
    </w:p>
  </w:footnote>
  <w:footnote w:id="54">
    <w:p w:rsidR="007B3401" w:rsidRPr="00D94B66" w:rsidRDefault="007B3401" w:rsidP="008612FC">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Daqui em diante a fonte é a Provedoria de Justiça da Cidade Autónoma de Buenos Aires (CABA), 2014.</w:t>
      </w:r>
    </w:p>
  </w:footnote>
  <w:footnote w:id="55">
    <w:p w:rsidR="007B3401" w:rsidRPr="00D94B66" w:rsidRDefault="007B3401" w:rsidP="008612FC">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rPr>
        <w:t xml:space="preserve"> Veja-se, além disso, por exemplo, a  CIOLLI, María Laura e María N. Rodríguez PONCE DE LEÓN: </w:t>
      </w:r>
      <w:r>
        <w:rPr>
          <w:rFonts w:ascii="Garamond" w:hAnsi="Garamond"/>
          <w:i/>
        </w:rPr>
        <w:t>«</w:t>
      </w:r>
      <w:r w:rsidRPr="00D94B66">
        <w:rPr>
          <w:rFonts w:ascii="Garamond" w:hAnsi="Garamond"/>
          <w:i/>
        </w:rPr>
        <w:t>Procede la suspensión del Juicio a Prueba en los casos de Violência de Género?</w:t>
      </w:r>
      <w:r>
        <w:rPr>
          <w:rFonts w:ascii="Garamond" w:hAnsi="Garamond"/>
          <w:i/>
        </w:rPr>
        <w:t>»</w:t>
      </w:r>
      <w:r w:rsidRPr="00D94B66">
        <w:rPr>
          <w:rFonts w:ascii="Garamond" w:hAnsi="Garamond"/>
        </w:rPr>
        <w:t xml:space="preserve">. </w:t>
      </w:r>
      <w:r w:rsidRPr="00D94B66">
        <w:rPr>
          <w:rFonts w:ascii="Garamond" w:hAnsi="Garamond"/>
          <w:lang w:val="pt-PT"/>
        </w:rPr>
        <w:t xml:space="preserve">Acessível através de </w:t>
      </w:r>
      <w:hyperlink r:id="rId16" w:history="1">
        <w:r w:rsidRPr="00D94B66">
          <w:rPr>
            <w:rStyle w:val="Hipervnculo"/>
            <w:rFonts w:ascii="Garamond" w:hAnsi="Garamond"/>
            <w:lang w:val="pt-PT"/>
          </w:rPr>
          <w:t>https://hlt.gov.ar/comisioncodigopenal/ponencias/MariaLaura.pdf</w:t>
        </w:r>
      </w:hyperlink>
      <w:r w:rsidRPr="00D94B66">
        <w:rPr>
          <w:rStyle w:val="Hipervnculo"/>
          <w:rFonts w:ascii="Garamond" w:hAnsi="Garamond"/>
          <w:lang w:val="pt-PT"/>
        </w:rPr>
        <w:t>.</w:t>
      </w:r>
      <w:r w:rsidRPr="00D94B66">
        <w:rPr>
          <w:rFonts w:ascii="Garamond" w:hAnsi="Garamond"/>
          <w:lang w:val="pt-PT"/>
        </w:rPr>
        <w:t xml:space="preserve"> Pode-se ver também </w:t>
      </w:r>
      <w:r w:rsidRPr="00D94B66">
        <w:rPr>
          <w:rFonts w:ascii="Garamond" w:hAnsi="Garamond"/>
          <w:i/>
          <w:lang w:val="pt-PT"/>
        </w:rPr>
        <w:t>Di</w:t>
      </w:r>
      <w:r>
        <w:rPr>
          <w:rFonts w:ascii="Garamond" w:hAnsi="Garamond"/>
          <w:i/>
          <w:lang w:val="pt-PT"/>
        </w:rPr>
        <w:t>á</w:t>
      </w:r>
      <w:r w:rsidRPr="00D94B66">
        <w:rPr>
          <w:rFonts w:ascii="Garamond" w:hAnsi="Garamond"/>
          <w:i/>
          <w:lang w:val="pt-PT"/>
        </w:rPr>
        <w:t>rio Judicial</w:t>
      </w:r>
      <w:r w:rsidRPr="00D94B66">
        <w:rPr>
          <w:rFonts w:ascii="Garamond" w:hAnsi="Garamond"/>
          <w:lang w:val="pt-PT"/>
        </w:rPr>
        <w:t xml:space="preserve"> (edição de 2/9/2014): </w:t>
      </w:r>
      <w:r>
        <w:rPr>
          <w:rFonts w:ascii="Garamond" w:hAnsi="Garamond"/>
          <w:i/>
          <w:lang w:val="pt-PT"/>
        </w:rPr>
        <w:t>«</w:t>
      </w:r>
      <w:r w:rsidRPr="00D94B66">
        <w:rPr>
          <w:rFonts w:ascii="Garamond" w:hAnsi="Garamond"/>
          <w:i/>
          <w:lang w:val="pt-PT"/>
        </w:rPr>
        <w:t>¿Se acaba la “probation” para los casos de violência de género?</w:t>
      </w:r>
      <w:r>
        <w:rPr>
          <w:rFonts w:ascii="Garamond" w:hAnsi="Garamond"/>
          <w:i/>
          <w:lang w:val="pt-PT"/>
        </w:rPr>
        <w:t>»</w:t>
      </w:r>
      <w:r w:rsidRPr="00D94B66">
        <w:rPr>
          <w:rFonts w:ascii="Garamond" w:hAnsi="Garamond"/>
          <w:lang w:val="pt-PT"/>
        </w:rPr>
        <w:t>. Acessível através de &lt;http://www.diariojudicial.com/noticias/Se-acaba-la-probation-para-los-casos-de-violencia-de-genero-20120910-0005.html&gt;</w:t>
      </w:r>
    </w:p>
    <w:p w:rsidR="007B3401" w:rsidRPr="00D94B66" w:rsidRDefault="007B3401" w:rsidP="007C2577">
      <w:pPr>
        <w:pStyle w:val="Textonotapie"/>
        <w:jc w:val="both"/>
        <w:rPr>
          <w:rFonts w:ascii="Garamond" w:hAnsi="Garamond"/>
          <w:lang w:val="pt-PT"/>
        </w:rPr>
      </w:pPr>
    </w:p>
    <w:p w:rsidR="007B3401" w:rsidRPr="00DE6DF6" w:rsidRDefault="007B3401" w:rsidP="00CA39B2">
      <w:pPr>
        <w:pStyle w:val="Textonotapie"/>
        <w:rPr>
          <w:lang w:val="pt-PT"/>
        </w:rPr>
      </w:pPr>
    </w:p>
    <w:p w:rsidR="007B3401" w:rsidRPr="00DE6DF6" w:rsidRDefault="007B3401" w:rsidP="00CA39B2">
      <w:pPr>
        <w:pStyle w:val="Textonotapie"/>
        <w:rPr>
          <w:lang w:val="pt-PT"/>
        </w:rPr>
      </w:pPr>
    </w:p>
  </w:footnote>
  <w:footnote w:id="56">
    <w:p w:rsidR="007B3401" w:rsidRPr="00D94B66" w:rsidRDefault="007B3401" w:rsidP="00C553E2">
      <w:pPr>
        <w:pStyle w:val="Textoindependiente3"/>
        <w:spacing w:line="240" w:lineRule="auto"/>
        <w:ind w:left="709" w:hanging="709"/>
        <w:jc w:val="both"/>
        <w:rPr>
          <w:rFonts w:ascii="Garamond" w:hAnsi="Garamond" w:cs="Arial"/>
          <w:b/>
          <w:bCs/>
          <w:sz w:val="20"/>
          <w:szCs w:val="20"/>
        </w:rPr>
      </w:pPr>
      <w:r w:rsidRPr="00210BF6">
        <w:rPr>
          <w:rStyle w:val="Refdenotaalpie"/>
          <w:rFonts w:ascii="Arial" w:hAnsi="Arial" w:cs="Arial"/>
          <w:b/>
          <w:sz w:val="20"/>
          <w:szCs w:val="20"/>
        </w:rPr>
        <w:footnoteRef/>
      </w:r>
      <w:r w:rsidRPr="00C553E2">
        <w:rPr>
          <w:rFonts w:ascii="Arial" w:hAnsi="Arial" w:cs="Arial"/>
          <w:sz w:val="20"/>
          <w:szCs w:val="20"/>
        </w:rPr>
        <w:t xml:space="preserve"> </w:t>
      </w:r>
      <w:r w:rsidRPr="00C553E2">
        <w:rPr>
          <w:rFonts w:ascii="Arial" w:hAnsi="Arial" w:cs="Arial"/>
          <w:sz w:val="20"/>
          <w:szCs w:val="20"/>
        </w:rPr>
        <w:tab/>
      </w:r>
      <w:r w:rsidRPr="00D94B66">
        <w:rPr>
          <w:rStyle w:val="cuerpotexto"/>
          <w:rFonts w:ascii="Garamond" w:hAnsi="Garamond" w:cs="Arial"/>
          <w:color w:val="333333"/>
          <w:sz w:val="20"/>
          <w:szCs w:val="20"/>
          <w:shd w:val="clear" w:color="auto" w:fill="FFFFFF"/>
        </w:rPr>
        <w:t xml:space="preserve">O </w:t>
      </w:r>
      <w:r w:rsidRPr="00D94B66">
        <w:rPr>
          <w:rStyle w:val="cuerpotexto"/>
          <w:rFonts w:ascii="Garamond" w:hAnsi="Garamond" w:cs="Arial"/>
          <w:sz w:val="20"/>
          <w:szCs w:val="20"/>
          <w:shd w:val="clear" w:color="auto" w:fill="FFFFFF"/>
        </w:rPr>
        <w:t>Conse</w:t>
      </w:r>
      <w:r>
        <w:rPr>
          <w:rStyle w:val="cuerpotexto"/>
          <w:rFonts w:ascii="Garamond" w:hAnsi="Garamond" w:cs="Arial"/>
          <w:sz w:val="20"/>
          <w:szCs w:val="20"/>
          <w:shd w:val="clear" w:color="auto" w:fill="FFFFFF"/>
        </w:rPr>
        <w:t>lho</w:t>
      </w:r>
      <w:r w:rsidRPr="00D94B66">
        <w:rPr>
          <w:rStyle w:val="cuerpotexto"/>
          <w:rFonts w:ascii="Garamond" w:hAnsi="Garamond" w:cs="Arial"/>
          <w:sz w:val="20"/>
          <w:szCs w:val="20"/>
          <w:shd w:val="clear" w:color="auto" w:fill="FFFFFF"/>
        </w:rPr>
        <w:t xml:space="preserve"> Nacional das Mulheres é o organismo governamental de escala nacional (</w:t>
      </w:r>
      <w:r w:rsidRPr="00D94B66">
        <w:rPr>
          <w:rFonts w:ascii="Garamond" w:hAnsi="Garamond" w:cs="Arial"/>
          <w:sz w:val="20"/>
          <w:szCs w:val="20"/>
        </w:rPr>
        <w:t>Decreto Nacional 1426/92)</w:t>
      </w:r>
      <w:r>
        <w:rPr>
          <w:rFonts w:ascii="Garamond" w:hAnsi="Garamond" w:cs="Arial"/>
          <w:sz w:val="20"/>
          <w:szCs w:val="20"/>
        </w:rPr>
        <w:t>,</w:t>
      </w:r>
      <w:r w:rsidRPr="00D94B66">
        <w:rPr>
          <w:rStyle w:val="cuerpotexto"/>
          <w:rFonts w:ascii="Garamond" w:hAnsi="Garamond" w:cs="Arial"/>
          <w:sz w:val="20"/>
          <w:szCs w:val="20"/>
          <w:shd w:val="clear" w:color="auto" w:fill="FFFFFF"/>
        </w:rPr>
        <w:t xml:space="preserve"> responsável pelas políticas públicas de igualdade de oportunidades e tratamento entre homens e mulheres, que tem como </w:t>
      </w:r>
      <w:r>
        <w:rPr>
          <w:rStyle w:val="cuerpotexto"/>
          <w:rFonts w:ascii="Garamond" w:hAnsi="Garamond" w:cs="Arial"/>
          <w:sz w:val="20"/>
          <w:szCs w:val="20"/>
          <w:shd w:val="clear" w:color="auto" w:fill="FFFFFF"/>
        </w:rPr>
        <w:t xml:space="preserve">objetivo </w:t>
      </w:r>
      <w:r w:rsidRPr="00D94B66">
        <w:rPr>
          <w:rStyle w:val="cuerpotexto"/>
          <w:rFonts w:ascii="Garamond" w:hAnsi="Garamond" w:cs="Arial"/>
          <w:sz w:val="20"/>
          <w:szCs w:val="20"/>
          <w:shd w:val="clear" w:color="auto" w:fill="FFFFFF"/>
        </w:rPr>
        <w:t>fundamental p</w:t>
      </w:r>
      <w:r w:rsidRPr="00D94B66">
        <w:rPr>
          <w:rStyle w:val="cuerpotextoresaltado"/>
          <w:rFonts w:ascii="Garamond" w:hAnsi="Garamond" w:cs="Arial"/>
          <w:bCs/>
          <w:sz w:val="20"/>
          <w:szCs w:val="20"/>
          <w:shd w:val="clear" w:color="auto" w:fill="FFFFFF"/>
        </w:rPr>
        <w:t xml:space="preserve">romover </w:t>
      </w:r>
      <w:r w:rsidRPr="00D94B66">
        <w:rPr>
          <w:rFonts w:ascii="Garamond" w:hAnsi="Garamond" w:cs="Arial"/>
          <w:sz w:val="20"/>
          <w:szCs w:val="20"/>
          <w:shd w:val="clear" w:color="auto" w:fill="FFFFFF"/>
        </w:rPr>
        <w:t>um novo modelo de contrato social baseado na plena e igualitária participação das mulheres na vida social,</w:t>
      </w:r>
      <w:r>
        <w:rPr>
          <w:rFonts w:cs="Arial"/>
          <w:sz w:val="20"/>
          <w:szCs w:val="20"/>
          <w:shd w:val="clear" w:color="auto" w:fill="FFFFFF"/>
        </w:rPr>
        <w:t xml:space="preserve"> </w:t>
      </w:r>
      <w:r w:rsidRPr="00D94B66">
        <w:rPr>
          <w:rFonts w:ascii="Garamond" w:hAnsi="Garamond" w:cs="Arial"/>
          <w:sz w:val="20"/>
          <w:szCs w:val="20"/>
          <w:shd w:val="clear" w:color="auto" w:fill="FFFFFF"/>
        </w:rPr>
        <w:t>política, económica e cultural do</w:t>
      </w:r>
      <w:r w:rsidRPr="00C553E2">
        <w:rPr>
          <w:rFonts w:cs="Arial"/>
          <w:sz w:val="20"/>
          <w:szCs w:val="20"/>
          <w:shd w:val="clear" w:color="auto" w:fill="FFFFFF"/>
        </w:rPr>
        <w:t xml:space="preserve"> </w:t>
      </w:r>
      <w:r w:rsidRPr="00D94B66">
        <w:rPr>
          <w:rFonts w:ascii="Garamond" w:hAnsi="Garamond" w:cs="Arial"/>
          <w:sz w:val="20"/>
          <w:szCs w:val="20"/>
          <w:shd w:val="clear" w:color="auto" w:fill="FFFFFF"/>
        </w:rPr>
        <w:t xml:space="preserve">país. As suas áreas de intervenção são: </w:t>
      </w:r>
      <w:r w:rsidRPr="00D94B66">
        <w:rPr>
          <w:rFonts w:ascii="Garamond" w:hAnsi="Garamond" w:cs="Arial"/>
          <w:bCs/>
          <w:sz w:val="20"/>
          <w:szCs w:val="20"/>
          <w:shd w:val="clear" w:color="auto" w:fill="FFFFFF"/>
        </w:rPr>
        <w:t xml:space="preserve">Saúde integral da mulher; </w:t>
      </w:r>
      <w:r w:rsidRPr="00D94B66">
        <w:rPr>
          <w:rStyle w:val="titulosintesis"/>
          <w:rFonts w:ascii="Garamond" w:hAnsi="Garamond" w:cs="Arial"/>
          <w:bCs/>
          <w:sz w:val="20"/>
          <w:szCs w:val="20"/>
          <w:shd w:val="clear" w:color="auto" w:fill="FFFFFF"/>
        </w:rPr>
        <w:t xml:space="preserve">Violência de Género; </w:t>
      </w:r>
      <w:r w:rsidRPr="00D94B66">
        <w:rPr>
          <w:rFonts w:ascii="Garamond" w:hAnsi="Garamond" w:cs="Arial"/>
          <w:bCs/>
          <w:sz w:val="20"/>
          <w:szCs w:val="20"/>
          <w:shd w:val="clear" w:color="auto" w:fill="FFFFFF"/>
        </w:rPr>
        <w:t>Mulher, Trabalho e Emprego; Mulher, géneros e comunicação; e Mulher e a política.</w:t>
      </w:r>
    </w:p>
  </w:footnote>
  <w:footnote w:id="57">
    <w:p w:rsidR="007B3401" w:rsidRPr="00D94B66" w:rsidRDefault="007B3401" w:rsidP="00210BF6">
      <w:pPr>
        <w:pStyle w:val="Textonotapie"/>
        <w:ind w:left="708" w:hanging="708"/>
        <w:jc w:val="both"/>
        <w:rPr>
          <w:rFonts w:ascii="Garamond" w:hAnsi="Garamond" w:cs="Arial"/>
          <w:lang w:val="pt-PT"/>
        </w:rPr>
      </w:pPr>
      <w:r w:rsidRPr="00D94B66">
        <w:rPr>
          <w:rStyle w:val="Refdenotaalpie"/>
          <w:rFonts w:ascii="Garamond" w:hAnsi="Garamond" w:cs="Arial"/>
          <w:b/>
        </w:rPr>
        <w:footnoteRef/>
      </w:r>
      <w:r w:rsidRPr="00D94B66">
        <w:rPr>
          <w:rFonts w:ascii="Garamond" w:hAnsi="Garamond" w:cs="Arial"/>
          <w:b/>
          <w:lang w:val="pt-PT"/>
        </w:rPr>
        <w:t xml:space="preserve"> </w:t>
      </w:r>
      <w:r w:rsidRPr="00D94B66">
        <w:rPr>
          <w:rFonts w:ascii="Garamond" w:hAnsi="Garamond" w:cs="Arial"/>
          <w:lang w:val="pt-PT"/>
        </w:rPr>
        <w:tab/>
      </w:r>
      <w:r>
        <w:rPr>
          <w:rFonts w:ascii="Garamond" w:hAnsi="Garamond" w:cs="Arial"/>
          <w:lang w:val="pt-PT"/>
        </w:rPr>
        <w:t>Doravante</w:t>
      </w:r>
      <w:r w:rsidRPr="00D94B66">
        <w:rPr>
          <w:rFonts w:ascii="Garamond" w:hAnsi="Garamond" w:cs="Arial"/>
          <w:lang w:val="pt-PT"/>
        </w:rPr>
        <w:t xml:space="preserve"> a fonte a este respeito é a Provedoria de Justiça do Estado Plurinacional de Bolívia, 2014.</w:t>
      </w:r>
    </w:p>
    <w:p w:rsidR="007B3401" w:rsidRPr="00C553E2" w:rsidRDefault="007B3401" w:rsidP="00046CE9">
      <w:pPr>
        <w:pStyle w:val="Textonotapie"/>
        <w:rPr>
          <w:rFonts w:ascii="Arial" w:hAnsi="Arial" w:cs="Arial"/>
          <w:lang w:val="pt-PT"/>
        </w:rPr>
      </w:pPr>
    </w:p>
  </w:footnote>
  <w:footnote w:id="58">
    <w:p w:rsidR="007B3401" w:rsidRPr="00D94B66" w:rsidRDefault="007B3401" w:rsidP="003F74FA">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Doravante, </w:t>
      </w:r>
      <w:r w:rsidRPr="00D94B66">
        <w:rPr>
          <w:rFonts w:ascii="Garamond" w:hAnsi="Garamond"/>
          <w:lang w:val="pt-PT"/>
        </w:rPr>
        <w:t xml:space="preserve">salvo indicação em contrário, a fonte é a Provedoria de Justiça da Colômbia. </w:t>
      </w:r>
      <w:r>
        <w:rPr>
          <w:rFonts w:ascii="Garamond" w:hAnsi="Garamond"/>
          <w:i/>
          <w:lang w:val="pt-PT"/>
        </w:rPr>
        <w:t>«</w:t>
      </w:r>
      <w:r w:rsidRPr="00D94B66">
        <w:rPr>
          <w:rFonts w:ascii="Garamond" w:hAnsi="Garamond"/>
          <w:i/>
          <w:lang w:val="pt-PT"/>
        </w:rPr>
        <w:t>Implementação na Colômbia da Declaração Diligência Devida e Violência contra as Mulheres: na direção de um acesso real à Justiça</w:t>
      </w:r>
      <w:r>
        <w:rPr>
          <w:rFonts w:ascii="Garamond" w:hAnsi="Garamond"/>
          <w:i/>
          <w:lang w:val="pt-PT"/>
        </w:rPr>
        <w:t>»</w:t>
      </w:r>
      <w:r w:rsidRPr="00D94B66">
        <w:rPr>
          <w:rFonts w:ascii="Garamond" w:hAnsi="Garamond"/>
          <w:i/>
          <w:lang w:val="pt-PT"/>
        </w:rPr>
        <w:t>,</w:t>
      </w:r>
      <w:r w:rsidRPr="00D94B66">
        <w:rPr>
          <w:rFonts w:ascii="Garamond" w:hAnsi="Garamond"/>
          <w:lang w:val="pt-PT"/>
        </w:rPr>
        <w:t xml:space="preserve"> Bogotá, 2014.</w:t>
      </w:r>
    </w:p>
  </w:footnote>
  <w:footnote w:id="59">
    <w:p w:rsidR="007B3401" w:rsidRPr="00D94B66" w:rsidRDefault="007B3401" w:rsidP="00EC682B">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Ver em &lt;</w:t>
      </w:r>
      <w:hyperlink r:id="rId17" w:history="1">
        <w:r w:rsidRPr="00D94B66">
          <w:rPr>
            <w:rStyle w:val="Hipervnculo"/>
            <w:rFonts w:ascii="Garamond" w:hAnsi="Garamond"/>
            <w:lang w:val="pt-PT"/>
          </w:rPr>
          <w:t>http://www.equidadmujer.gov.co/Documents/Ley-1719-18-junio-2014.pdf</w:t>
        </w:r>
      </w:hyperlink>
      <w:r w:rsidRPr="00D94B66">
        <w:rPr>
          <w:rFonts w:ascii="Garamond" w:hAnsi="Garamond"/>
          <w:lang w:val="pt-PT"/>
        </w:rPr>
        <w:t>&gt;</w:t>
      </w:r>
    </w:p>
  </w:footnote>
  <w:footnote w:id="60">
    <w:p w:rsidR="007B3401" w:rsidRPr="00D94B66" w:rsidRDefault="007B3401" w:rsidP="00D85220">
      <w:pPr>
        <w:pStyle w:val="Default"/>
        <w:jc w:val="both"/>
        <w:rPr>
          <w:rFonts w:ascii="Garamond" w:hAnsi="Garamond"/>
          <w:sz w:val="20"/>
          <w:szCs w:val="20"/>
          <w:lang w:val="pt-PT"/>
        </w:rPr>
      </w:pPr>
      <w:r w:rsidRPr="00D94B66">
        <w:rPr>
          <w:rStyle w:val="Refdenotaalpie"/>
          <w:rFonts w:ascii="Garamond" w:hAnsi="Garamond"/>
          <w:sz w:val="20"/>
          <w:szCs w:val="20"/>
        </w:rPr>
        <w:footnoteRef/>
      </w:r>
      <w:r w:rsidRPr="00D94B66">
        <w:rPr>
          <w:rFonts w:ascii="Garamond" w:hAnsi="Garamond"/>
          <w:sz w:val="20"/>
          <w:szCs w:val="20"/>
          <w:lang w:val="pt-PT"/>
        </w:rPr>
        <w:t xml:space="preserve"> Ver em &lt;</w:t>
      </w:r>
      <w:hyperlink r:id="rId18" w:history="1">
        <w:r w:rsidRPr="00D94B66">
          <w:rPr>
            <w:rStyle w:val="Hipervnculo"/>
            <w:rFonts w:ascii="Garamond" w:eastAsia="SimSun" w:hAnsi="Garamond"/>
            <w:sz w:val="20"/>
            <w:szCs w:val="20"/>
            <w:lang w:val="pt-PT"/>
          </w:rPr>
          <w:t>http://www.minsalud.gov.co/Normatividad_Nuevo/Decreto%201033%20%20de%202014.pdf</w:t>
        </w:r>
      </w:hyperlink>
      <w:r w:rsidRPr="00D94B66">
        <w:rPr>
          <w:rFonts w:ascii="Garamond" w:hAnsi="Garamond"/>
          <w:sz w:val="20"/>
          <w:szCs w:val="20"/>
          <w:lang w:val="pt-PT"/>
        </w:rPr>
        <w:t xml:space="preserve">&gt;, entre outros o </w:t>
      </w:r>
      <w:r w:rsidRPr="00AB16D4">
        <w:rPr>
          <w:rFonts w:ascii="Garamond" w:hAnsi="Garamond"/>
          <w:i/>
          <w:sz w:val="20"/>
          <w:szCs w:val="20"/>
          <w:lang w:val="pt-PT"/>
        </w:rPr>
        <w:t>item</w:t>
      </w:r>
      <w:r w:rsidRPr="00D94B66">
        <w:rPr>
          <w:rFonts w:ascii="Garamond" w:hAnsi="Garamond"/>
          <w:sz w:val="20"/>
          <w:szCs w:val="20"/>
          <w:lang w:val="pt-PT"/>
        </w:rPr>
        <w:t xml:space="preserve"> 1.5.1</w:t>
      </w:r>
      <w:r>
        <w:rPr>
          <w:rFonts w:ascii="Garamond" w:hAnsi="Garamond"/>
          <w:sz w:val="20"/>
          <w:szCs w:val="20"/>
          <w:lang w:val="pt-PT"/>
        </w:rPr>
        <w:t>.</w:t>
      </w:r>
      <w:r w:rsidRPr="00D94B66">
        <w:rPr>
          <w:rFonts w:ascii="Garamond" w:hAnsi="Garamond"/>
          <w:sz w:val="20"/>
          <w:szCs w:val="20"/>
          <w:lang w:val="pt-PT"/>
        </w:rPr>
        <w:t xml:space="preserve"> </w:t>
      </w:r>
      <w:proofErr w:type="gramStart"/>
      <w:r w:rsidRPr="00D94B66">
        <w:rPr>
          <w:rFonts w:ascii="Garamond" w:hAnsi="Garamond"/>
          <w:sz w:val="20"/>
          <w:szCs w:val="20"/>
          <w:lang w:val="pt-PT"/>
        </w:rPr>
        <w:t>do</w:t>
      </w:r>
      <w:proofErr w:type="gramEnd"/>
      <w:r w:rsidRPr="00D94B66">
        <w:rPr>
          <w:rFonts w:ascii="Garamond" w:hAnsi="Garamond"/>
          <w:sz w:val="20"/>
          <w:szCs w:val="20"/>
          <w:lang w:val="pt-PT"/>
        </w:rPr>
        <w:t xml:space="preserve"> Anexo Técnico correspondente (</w:t>
      </w:r>
      <w:r>
        <w:rPr>
          <w:rFonts w:ascii="Garamond" w:hAnsi="Garamond"/>
          <w:sz w:val="20"/>
          <w:szCs w:val="20"/>
          <w:lang w:val="pt-PT"/>
        </w:rPr>
        <w:t>«</w:t>
      </w:r>
      <w:r w:rsidRPr="00D94B66">
        <w:rPr>
          <w:rFonts w:ascii="Garamond" w:hAnsi="Garamond"/>
          <w:sz w:val="20"/>
          <w:szCs w:val="20"/>
          <w:lang w:val="pt-PT"/>
        </w:rPr>
        <w:t xml:space="preserve">A </w:t>
      </w:r>
      <w:r w:rsidRPr="00D94B66">
        <w:rPr>
          <w:rFonts w:ascii="Garamond" w:eastAsia="MS Mincho" w:hAnsi="Garamond" w:cs="Arial"/>
          <w:color w:val="auto"/>
          <w:sz w:val="20"/>
          <w:szCs w:val="20"/>
          <w:lang w:val="pt-PT"/>
        </w:rPr>
        <w:t>dignidade, a intimidade e a privacidade no desenvolvimento da atenção, assim como durante os processos administrativos e judiciais que se realizarem de acordo com a Lei</w:t>
      </w:r>
      <w:r>
        <w:rPr>
          <w:rFonts w:ascii="Garamond" w:eastAsia="MS Mincho" w:hAnsi="Garamond" w:cs="Arial"/>
          <w:color w:val="auto"/>
          <w:sz w:val="20"/>
          <w:szCs w:val="20"/>
          <w:lang w:val="pt-PT"/>
        </w:rPr>
        <w:t>»</w:t>
      </w:r>
      <w:r w:rsidRPr="00D94B66">
        <w:rPr>
          <w:rFonts w:ascii="Garamond" w:hAnsi="Garamond"/>
          <w:sz w:val="20"/>
          <w:szCs w:val="20"/>
          <w:lang w:val="pt-PT"/>
        </w:rPr>
        <w:t>).</w:t>
      </w:r>
    </w:p>
  </w:footnote>
  <w:footnote w:id="61">
    <w:p w:rsidR="007B3401" w:rsidRPr="00D94B66" w:rsidRDefault="007B3401" w:rsidP="00D85220">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 Doravante, </w:t>
      </w:r>
      <w:r w:rsidRPr="00D94B66">
        <w:rPr>
          <w:rFonts w:ascii="Garamond" w:hAnsi="Garamond"/>
          <w:lang w:val="pt-PT"/>
        </w:rPr>
        <w:t>salvo indicação em contrário, a fonte é a Provedoria de Justiça dos Habitantes da Costa Rica, San José, 2014.</w:t>
      </w:r>
    </w:p>
  </w:footnote>
  <w:footnote w:id="62">
    <w:p w:rsidR="007B3401" w:rsidRPr="00D94B66" w:rsidRDefault="007B3401" w:rsidP="00EC682B">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sidRPr="00D94B66">
        <w:rPr>
          <w:rFonts w:ascii="Garamond" w:hAnsi="Garamond" w:cs="Arial"/>
          <w:lang w:val="pt-PT"/>
        </w:rPr>
        <w:t xml:space="preserve">Sentença do caso Artavia, Murillo e outros </w:t>
      </w:r>
      <w:r w:rsidRPr="00D94B66">
        <w:rPr>
          <w:rFonts w:ascii="Garamond" w:hAnsi="Garamond" w:cs="Arial"/>
          <w:i/>
          <w:lang w:val="pt-PT"/>
        </w:rPr>
        <w:t>vs</w:t>
      </w:r>
      <w:r w:rsidRPr="00D94B66">
        <w:rPr>
          <w:rFonts w:ascii="Garamond" w:hAnsi="Garamond" w:cs="Arial"/>
          <w:lang w:val="pt-PT"/>
        </w:rPr>
        <w:t xml:space="preserve"> Costa Rica</w:t>
      </w:r>
      <w:r>
        <w:rPr>
          <w:rFonts w:ascii="Garamond" w:hAnsi="Garamond" w:cs="Arial"/>
          <w:lang w:val="pt-PT"/>
        </w:rPr>
        <w:t>,</w:t>
      </w:r>
      <w:r w:rsidRPr="00D94B66">
        <w:rPr>
          <w:rFonts w:ascii="Garamond" w:hAnsi="Garamond" w:cs="Arial"/>
          <w:lang w:val="pt-PT"/>
        </w:rPr>
        <w:t xml:space="preserve"> de 28 de novembro de 2012.</w:t>
      </w:r>
    </w:p>
  </w:footnote>
  <w:footnote w:id="63">
    <w:p w:rsidR="007B3401" w:rsidRPr="00D94B66" w:rsidRDefault="007B3401" w:rsidP="00214498">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Lei N</w:t>
      </w:r>
      <w:r>
        <w:rPr>
          <w:rFonts w:ascii="Garamond" w:hAnsi="Garamond"/>
          <w:lang w:val="pt-PT"/>
        </w:rPr>
        <w:t>.</w:t>
      </w:r>
      <w:r w:rsidRPr="00D94B66">
        <w:rPr>
          <w:rFonts w:ascii="Garamond" w:hAnsi="Garamond"/>
          <w:lang w:val="pt-PT"/>
        </w:rPr>
        <w:t>° 8688</w:t>
      </w:r>
      <w:r>
        <w:rPr>
          <w:rFonts w:ascii="Garamond" w:hAnsi="Garamond"/>
          <w:lang w:val="pt-PT"/>
        </w:rPr>
        <w:t>,</w:t>
      </w:r>
      <w:r w:rsidRPr="00D94B66">
        <w:rPr>
          <w:rFonts w:ascii="Garamond" w:hAnsi="Garamond"/>
          <w:lang w:val="pt-PT"/>
        </w:rPr>
        <w:t xml:space="preserve"> denominada Lei de criação do Sistema Nacional para </w:t>
      </w:r>
      <w:r>
        <w:rPr>
          <w:rFonts w:ascii="Garamond" w:hAnsi="Garamond"/>
          <w:lang w:val="pt-PT"/>
        </w:rPr>
        <w:t xml:space="preserve">o tratamento </w:t>
      </w:r>
      <w:r w:rsidRPr="00D94B66">
        <w:rPr>
          <w:rFonts w:ascii="Garamond" w:hAnsi="Garamond"/>
          <w:lang w:val="pt-PT"/>
        </w:rPr>
        <w:t>e prevenção da Violência contra as mulheres e a violência intrafamiliar.</w:t>
      </w:r>
    </w:p>
  </w:footnote>
  <w:footnote w:id="64">
    <w:p w:rsidR="007B3401" w:rsidRPr="00D94B66" w:rsidRDefault="007B3401" w:rsidP="00C564AF">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Doravante, </w:t>
      </w:r>
      <w:r w:rsidRPr="00D94B66">
        <w:rPr>
          <w:rFonts w:ascii="Garamond" w:hAnsi="Garamond"/>
          <w:lang w:val="pt-PT"/>
        </w:rPr>
        <w:t>salvo indicação em contrário, a fonte é a Procuradoria para a Defesa dos Direitos Humanos de El Salvador, San Salvador, 2014.</w:t>
      </w:r>
    </w:p>
  </w:footnote>
  <w:footnote w:id="65">
    <w:p w:rsidR="007B3401" w:rsidRPr="00D94B66" w:rsidRDefault="007B3401" w:rsidP="007A6A6C">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Vigente desde dezembro 1996.</w:t>
      </w:r>
    </w:p>
  </w:footnote>
  <w:footnote w:id="66">
    <w:p w:rsidR="007B3401" w:rsidRPr="00D94B66" w:rsidRDefault="007B3401" w:rsidP="007A6A6C">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Promulgada a 17 de março de 2011.</w:t>
      </w:r>
    </w:p>
  </w:footnote>
  <w:footnote w:id="67">
    <w:p w:rsidR="007B3401" w:rsidRPr="00D94B66" w:rsidRDefault="007B3401" w:rsidP="007A6A6C">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Vigente desde 1 de janeiro de 2012</w:t>
      </w:r>
      <w:r>
        <w:rPr>
          <w:rFonts w:ascii="Garamond" w:hAnsi="Garamond"/>
          <w:lang w:val="pt-PT"/>
        </w:rPr>
        <w:t>.</w:t>
      </w:r>
    </w:p>
  </w:footnote>
  <w:footnote w:id="68">
    <w:p w:rsidR="007B3401" w:rsidRPr="00D94B66" w:rsidRDefault="007B3401" w:rsidP="00B936A7">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Até </w:t>
      </w:r>
      <w:r>
        <w:rPr>
          <w:rFonts w:ascii="Garamond" w:hAnsi="Garamond"/>
          <w:lang w:val="pt-PT"/>
        </w:rPr>
        <w:t xml:space="preserve">à presente </w:t>
      </w:r>
      <w:r w:rsidRPr="00D94B66">
        <w:rPr>
          <w:rFonts w:ascii="Garamond" w:hAnsi="Garamond"/>
          <w:lang w:val="pt-PT"/>
        </w:rPr>
        <w:t>data, dispõem de Unidades de Atenção Especializada a Mulheres Vítimas de Violência</w:t>
      </w:r>
      <w:r>
        <w:rPr>
          <w:rFonts w:ascii="Garamond" w:hAnsi="Garamond"/>
          <w:lang w:val="pt-PT"/>
        </w:rPr>
        <w:t xml:space="preserve"> as seguintes instituições</w:t>
      </w:r>
      <w:r w:rsidRPr="00D94B66">
        <w:rPr>
          <w:rFonts w:ascii="Garamond" w:hAnsi="Garamond"/>
          <w:lang w:val="pt-PT"/>
        </w:rPr>
        <w:t>: Procuradoria-Geral da República, Ministério Público da República, Pol</w:t>
      </w:r>
      <w:r>
        <w:rPr>
          <w:rFonts w:ascii="Garamond" w:hAnsi="Garamond"/>
          <w:lang w:val="pt-PT"/>
        </w:rPr>
        <w:t>í</w:t>
      </w:r>
      <w:r w:rsidRPr="00D94B66">
        <w:rPr>
          <w:rFonts w:ascii="Garamond" w:hAnsi="Garamond"/>
          <w:lang w:val="pt-PT"/>
        </w:rPr>
        <w:t>c</w:t>
      </w:r>
      <w:r>
        <w:rPr>
          <w:rFonts w:ascii="Garamond" w:hAnsi="Garamond"/>
          <w:lang w:val="pt-PT"/>
        </w:rPr>
        <w:t>i</w:t>
      </w:r>
      <w:r w:rsidRPr="00D94B66">
        <w:rPr>
          <w:rFonts w:ascii="Garamond" w:hAnsi="Garamond"/>
          <w:lang w:val="pt-PT"/>
        </w:rPr>
        <w:t>a Nacional Civil, Órgão Judicial e Procuradoria para a Defesa dos Direitos Humanos.</w:t>
      </w:r>
    </w:p>
  </w:footnote>
  <w:footnote w:id="69">
    <w:p w:rsidR="007B3401" w:rsidRPr="00D94B66" w:rsidRDefault="007B3401" w:rsidP="00B936A7">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 Doravante, </w:t>
      </w:r>
      <w:r w:rsidRPr="00D94B66">
        <w:rPr>
          <w:rFonts w:ascii="Garamond" w:hAnsi="Garamond"/>
          <w:lang w:val="pt-PT"/>
        </w:rPr>
        <w:t xml:space="preserve">a fonte é a </w:t>
      </w:r>
      <w:r w:rsidRPr="007B3401">
        <w:rPr>
          <w:rFonts w:ascii="Garamond" w:hAnsi="Garamond"/>
          <w:lang w:val="pt-PT"/>
        </w:rPr>
        <w:t>Sindicatura</w:t>
      </w:r>
      <w:r w:rsidRPr="00D94B66">
        <w:rPr>
          <w:rFonts w:ascii="Garamond" w:hAnsi="Garamond"/>
          <w:lang w:val="pt-PT"/>
        </w:rPr>
        <w:t xml:space="preserve"> de Greuges da Comunidade Valenciana. </w:t>
      </w:r>
      <w:r>
        <w:rPr>
          <w:rFonts w:ascii="Garamond" w:hAnsi="Garamond"/>
          <w:i/>
          <w:lang w:val="pt-PT"/>
        </w:rPr>
        <w:t>«</w:t>
      </w:r>
      <w:r w:rsidRPr="00D94B66">
        <w:rPr>
          <w:rFonts w:ascii="Garamond" w:hAnsi="Garamond"/>
          <w:i/>
          <w:lang w:val="pt-PT"/>
        </w:rPr>
        <w:t>Acesso à Justiça das</w:t>
      </w:r>
      <w:r w:rsidRPr="00D94B66">
        <w:rPr>
          <w:rFonts w:ascii="Garamond" w:hAnsi="Garamond"/>
          <w:lang w:val="pt-PT"/>
        </w:rPr>
        <w:t xml:space="preserve"> </w:t>
      </w:r>
      <w:r w:rsidRPr="00D94B66">
        <w:rPr>
          <w:rFonts w:ascii="Garamond" w:hAnsi="Garamond"/>
          <w:i/>
          <w:lang w:val="pt-PT"/>
        </w:rPr>
        <w:t>Mulheres Vítimas de Viol</w:t>
      </w:r>
      <w:r>
        <w:rPr>
          <w:rFonts w:ascii="Garamond" w:hAnsi="Garamond"/>
          <w:i/>
          <w:lang w:val="pt-PT"/>
        </w:rPr>
        <w:t>ê</w:t>
      </w:r>
      <w:r w:rsidRPr="00D94B66">
        <w:rPr>
          <w:rFonts w:ascii="Garamond" w:hAnsi="Garamond"/>
          <w:i/>
          <w:lang w:val="pt-PT"/>
        </w:rPr>
        <w:t>ncia de Género</w:t>
      </w:r>
      <w:r>
        <w:rPr>
          <w:rFonts w:ascii="Garamond" w:hAnsi="Garamond"/>
          <w:i/>
          <w:lang w:val="pt-PT"/>
        </w:rPr>
        <w:t>»</w:t>
      </w:r>
      <w:r w:rsidRPr="00D94B66">
        <w:rPr>
          <w:rFonts w:ascii="Garamond" w:hAnsi="Garamond"/>
          <w:lang w:val="pt-PT"/>
        </w:rPr>
        <w:t>. Mec., Valência</w:t>
      </w:r>
      <w:r>
        <w:rPr>
          <w:rFonts w:ascii="Garamond" w:hAnsi="Garamond"/>
          <w:lang w:val="pt-PT"/>
        </w:rPr>
        <w:t>,</w:t>
      </w:r>
      <w:r w:rsidRPr="00D94B66">
        <w:rPr>
          <w:rFonts w:ascii="Garamond" w:hAnsi="Garamond"/>
          <w:lang w:val="pt-PT"/>
        </w:rPr>
        <w:t xml:space="preserve"> 2014.</w:t>
      </w:r>
    </w:p>
  </w:footnote>
  <w:footnote w:id="70">
    <w:p w:rsidR="007B3401" w:rsidRPr="00D94B66" w:rsidRDefault="007B3401" w:rsidP="00FE7652">
      <w:pPr>
        <w:pStyle w:val="Textonotapie"/>
        <w:jc w:val="both"/>
        <w:rPr>
          <w:rFonts w:ascii="Garamond" w:hAnsi="Garamond" w:cs="Arial"/>
          <w:color w:val="auto"/>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cs="Arial"/>
          <w:lang w:val="pt-PT"/>
        </w:rPr>
        <w:t>Doravante,</w:t>
      </w:r>
      <w:r w:rsidRPr="00D94B66">
        <w:rPr>
          <w:rFonts w:ascii="Garamond" w:hAnsi="Garamond" w:cs="Arial"/>
          <w:lang w:val="pt-PT"/>
        </w:rPr>
        <w:t xml:space="preserve"> salvo indicação em contrário, a fonte é a Comissão Nacional de Direitos Humanos das Honduras, </w:t>
      </w:r>
      <w:r w:rsidRPr="00D94B66">
        <w:rPr>
          <w:rFonts w:ascii="Garamond" w:hAnsi="Garamond" w:cs="Arial"/>
          <w:color w:val="auto"/>
          <w:lang w:val="pt-PT"/>
        </w:rPr>
        <w:t>T</w:t>
      </w:r>
      <w:r w:rsidRPr="00D94B66">
        <w:rPr>
          <w:rStyle w:val="nfasis"/>
          <w:rFonts w:ascii="Garamond" w:hAnsi="Garamond" w:cs="Arial"/>
          <w:bCs/>
          <w:i w:val="0"/>
          <w:iCs w:val="0"/>
          <w:color w:val="auto"/>
          <w:shd w:val="clear" w:color="auto" w:fill="FFFFFF"/>
          <w:lang w:val="pt-PT"/>
        </w:rPr>
        <w:t>egucigalpa</w:t>
      </w:r>
      <w:r w:rsidRPr="00D94B66">
        <w:rPr>
          <w:rFonts w:ascii="Garamond" w:hAnsi="Garamond" w:cs="Arial"/>
          <w:color w:val="auto"/>
          <w:lang w:val="pt-PT"/>
        </w:rPr>
        <w:t>, 2014.</w:t>
      </w:r>
    </w:p>
  </w:footnote>
  <w:footnote w:id="71">
    <w:p w:rsidR="007B3401" w:rsidRPr="00D94B66" w:rsidRDefault="007B3401" w:rsidP="00791197">
      <w:pPr>
        <w:pStyle w:val="Textonotapie"/>
        <w:jc w:val="both"/>
        <w:rPr>
          <w:rFonts w:ascii="Garamond" w:hAnsi="Garamond" w:cs="Arial"/>
          <w:lang w:val="pt-PT" w:eastAsia="ja-JP"/>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Doravante, </w:t>
      </w:r>
      <w:r w:rsidRPr="00D94B66">
        <w:rPr>
          <w:rFonts w:ascii="Garamond" w:hAnsi="Garamond"/>
          <w:lang w:val="pt-PT"/>
        </w:rPr>
        <w:t>salvo indicação noutro sentido, a fonte é a Comissão Nacional dos Direitos Humanos do México, México D.F., 2014.</w:t>
      </w:r>
    </w:p>
  </w:footnote>
  <w:footnote w:id="72">
    <w:p w:rsidR="007B3401" w:rsidRPr="00D94B66" w:rsidRDefault="007B3401" w:rsidP="009B7DC1">
      <w:pPr>
        <w:pStyle w:val="Textonotapie"/>
        <w:spacing w:line="240" w:lineRule="auto"/>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Anteriormente à modificação, apesar de poder persistir o risco para a </w:t>
      </w:r>
      <w:r>
        <w:rPr>
          <w:rFonts w:ascii="Garamond" w:hAnsi="Garamond" w:cs="Arial"/>
          <w:lang w:val="pt-PT"/>
        </w:rPr>
        <w:t>v</w:t>
      </w:r>
      <w:r w:rsidRPr="00D94B66">
        <w:rPr>
          <w:rFonts w:ascii="Garamond" w:hAnsi="Garamond" w:cs="Arial"/>
          <w:lang w:val="pt-PT"/>
        </w:rPr>
        <w:t xml:space="preserve">ítima, não se especificava a duração das ordens.   </w:t>
      </w:r>
    </w:p>
  </w:footnote>
  <w:footnote w:id="73">
    <w:p w:rsidR="007B3401" w:rsidRPr="00D94B66" w:rsidRDefault="007B3401" w:rsidP="00E55BB9">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Doravante,</w:t>
      </w:r>
      <w:r w:rsidRPr="00D94B66">
        <w:rPr>
          <w:rFonts w:ascii="Garamond" w:hAnsi="Garamond"/>
          <w:lang w:val="pt-PT"/>
        </w:rPr>
        <w:t xml:space="preserve"> salvo indicação em contrário, para as referências ao Estado de Guanajuato a fonte é a Procuradoria dos Direitos Humanos do Estado de Guanajuato (México), México, 2014.</w:t>
      </w:r>
    </w:p>
    <w:p w:rsidR="007B3401" w:rsidRPr="00D94B66" w:rsidRDefault="007B3401" w:rsidP="00E55BB9">
      <w:pPr>
        <w:pStyle w:val="Textonotapie"/>
        <w:jc w:val="both"/>
        <w:rPr>
          <w:rFonts w:ascii="Garamond" w:hAnsi="Garamond"/>
          <w:lang w:val="pt-PT"/>
        </w:rPr>
      </w:pPr>
    </w:p>
  </w:footnote>
  <w:footnote w:id="74">
    <w:p w:rsidR="007B3401" w:rsidRPr="00D94B66" w:rsidRDefault="007B3401" w:rsidP="00147717">
      <w:pPr>
        <w:pStyle w:val="Textonotapie"/>
        <w:jc w:val="both"/>
        <w:rPr>
          <w:rFonts w:ascii="Garamond" w:hAnsi="Garamond" w:cs="Arial"/>
          <w:lang w:val="pt-PT" w:eastAsia="ja-JP"/>
        </w:rPr>
      </w:pPr>
      <w:r w:rsidRPr="00D94B66">
        <w:rPr>
          <w:rStyle w:val="Refdenotaalpie"/>
          <w:rFonts w:ascii="Garamond" w:hAnsi="Garamond"/>
        </w:rPr>
        <w:footnoteRef/>
      </w:r>
      <w:r w:rsidRPr="00D94B66">
        <w:rPr>
          <w:rFonts w:ascii="Garamond" w:hAnsi="Garamond"/>
          <w:i/>
          <w:lang w:val="pt-PT"/>
        </w:rPr>
        <w:t>Cfr.</w:t>
      </w:r>
      <w:r w:rsidRPr="00D94B66">
        <w:rPr>
          <w:rFonts w:ascii="Garamond" w:hAnsi="Garamond"/>
          <w:lang w:val="pt-PT"/>
        </w:rPr>
        <w:t xml:space="preserve"> Comissão Nacional dos Direitos Humanos do México, Cidade do México D.F. 2014; p. 27.</w:t>
      </w:r>
    </w:p>
  </w:footnote>
  <w:footnote w:id="75">
    <w:p w:rsidR="007B3401" w:rsidRPr="00D94B66" w:rsidRDefault="007B3401" w:rsidP="00D94B66">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Doravante,</w:t>
      </w:r>
      <w:r w:rsidRPr="00D94B66">
        <w:rPr>
          <w:rFonts w:ascii="Garamond" w:hAnsi="Garamond"/>
          <w:lang w:val="pt-PT"/>
        </w:rPr>
        <w:t xml:space="preserve"> a fonte é a Provedoria de Justiça do Paraguai. </w:t>
      </w:r>
      <w:r>
        <w:rPr>
          <w:rFonts w:ascii="Garamond" w:hAnsi="Garamond"/>
          <w:lang w:val="pt-PT"/>
        </w:rPr>
        <w:t>«</w:t>
      </w:r>
      <w:r w:rsidRPr="00D94B66">
        <w:rPr>
          <w:rFonts w:ascii="Garamond" w:hAnsi="Garamond"/>
          <w:lang w:val="pt-PT"/>
        </w:rPr>
        <w:t>Seguimento e implementação da Declaração de De</w:t>
      </w:r>
      <w:r>
        <w:rPr>
          <w:rFonts w:ascii="Garamond" w:hAnsi="Garamond"/>
          <w:lang w:val="pt-PT"/>
        </w:rPr>
        <w:t>v</w:t>
      </w:r>
      <w:r w:rsidRPr="00D94B66">
        <w:rPr>
          <w:rFonts w:ascii="Garamond" w:hAnsi="Garamond"/>
          <w:lang w:val="pt-PT"/>
        </w:rPr>
        <w:t>ida Dilig</w:t>
      </w:r>
      <w:r>
        <w:rPr>
          <w:rFonts w:ascii="Garamond" w:hAnsi="Garamond"/>
          <w:lang w:val="pt-PT"/>
        </w:rPr>
        <w:t>ê</w:t>
      </w:r>
      <w:r w:rsidRPr="00D94B66">
        <w:rPr>
          <w:rFonts w:ascii="Garamond" w:hAnsi="Garamond"/>
          <w:lang w:val="pt-PT"/>
        </w:rPr>
        <w:t xml:space="preserve">ncia e </w:t>
      </w:r>
      <w:r>
        <w:rPr>
          <w:rFonts w:ascii="Garamond" w:hAnsi="Garamond"/>
          <w:lang w:val="pt-PT"/>
        </w:rPr>
        <w:t>V</w:t>
      </w:r>
      <w:r w:rsidRPr="00D94B66">
        <w:rPr>
          <w:rFonts w:ascii="Garamond" w:hAnsi="Garamond"/>
          <w:lang w:val="pt-PT"/>
        </w:rPr>
        <w:t xml:space="preserve">iolência contra as </w:t>
      </w:r>
      <w:r>
        <w:rPr>
          <w:rFonts w:ascii="Garamond" w:hAnsi="Garamond"/>
          <w:lang w:val="pt-PT"/>
        </w:rPr>
        <w:t>M</w:t>
      </w:r>
      <w:r w:rsidRPr="00D94B66">
        <w:rPr>
          <w:rFonts w:ascii="Garamond" w:hAnsi="Garamond"/>
          <w:lang w:val="pt-PT"/>
        </w:rPr>
        <w:t xml:space="preserve">ulheres: </w:t>
      </w:r>
      <w:r>
        <w:rPr>
          <w:rFonts w:ascii="Garamond" w:hAnsi="Garamond"/>
          <w:lang w:val="pt-PT"/>
        </w:rPr>
        <w:t xml:space="preserve">até a um verdadeiro </w:t>
      </w:r>
      <w:r w:rsidRPr="00D94B66">
        <w:rPr>
          <w:rFonts w:ascii="Garamond" w:hAnsi="Garamond"/>
          <w:lang w:val="pt-PT"/>
        </w:rPr>
        <w:t xml:space="preserve">l </w:t>
      </w:r>
      <w:r>
        <w:rPr>
          <w:rFonts w:ascii="Garamond" w:hAnsi="Garamond"/>
          <w:lang w:val="pt-PT"/>
        </w:rPr>
        <w:t>a</w:t>
      </w:r>
      <w:r w:rsidRPr="00D94B66">
        <w:rPr>
          <w:rFonts w:ascii="Garamond" w:hAnsi="Garamond"/>
          <w:lang w:val="pt-PT"/>
        </w:rPr>
        <w:t>cesso à Justiça</w:t>
      </w:r>
      <w:r>
        <w:rPr>
          <w:rFonts w:ascii="Garamond" w:hAnsi="Garamond"/>
          <w:lang w:val="pt-PT"/>
        </w:rPr>
        <w:t>»</w:t>
      </w:r>
      <w:r w:rsidRPr="00D94B66">
        <w:rPr>
          <w:rFonts w:ascii="Garamond" w:hAnsi="Garamond"/>
          <w:lang w:val="pt-PT"/>
        </w:rPr>
        <w:t>, Asunción, 2014.</w:t>
      </w:r>
    </w:p>
  </w:footnote>
  <w:footnote w:id="76">
    <w:p w:rsidR="007B3401" w:rsidRPr="00D94B66" w:rsidRDefault="007B3401" w:rsidP="00D94B66">
      <w:pPr>
        <w:pStyle w:val="Predeterminado"/>
        <w:spacing w:after="0" w:line="240" w:lineRule="auto"/>
        <w:jc w:val="both"/>
        <w:rPr>
          <w:rFonts w:ascii="Garamond" w:hAnsi="Garamond"/>
          <w:sz w:val="20"/>
          <w:szCs w:val="20"/>
          <w:lang w:val="pt-PT"/>
        </w:rPr>
      </w:pPr>
      <w:r w:rsidRPr="00D94B66">
        <w:rPr>
          <w:rStyle w:val="Refdenotaalpie"/>
          <w:rFonts w:ascii="Garamond" w:hAnsi="Garamond"/>
          <w:sz w:val="20"/>
          <w:szCs w:val="20"/>
        </w:rPr>
        <w:footnoteRef/>
      </w:r>
      <w:r w:rsidRPr="00D94B66">
        <w:rPr>
          <w:rFonts w:ascii="Garamond" w:hAnsi="Garamond"/>
          <w:sz w:val="20"/>
          <w:szCs w:val="20"/>
          <w:lang w:val="pt-PT"/>
        </w:rPr>
        <w:t xml:space="preserve"> </w:t>
      </w:r>
      <w:r>
        <w:rPr>
          <w:rFonts w:ascii="Garamond" w:hAnsi="Garamond"/>
          <w:sz w:val="20"/>
          <w:szCs w:val="20"/>
          <w:lang w:val="pt-PT"/>
        </w:rPr>
        <w:t xml:space="preserve">Doravante, </w:t>
      </w:r>
      <w:r w:rsidRPr="00D94B66">
        <w:rPr>
          <w:rFonts w:ascii="Garamond" w:hAnsi="Garamond"/>
          <w:sz w:val="20"/>
          <w:szCs w:val="20"/>
          <w:lang w:val="pt-PT"/>
        </w:rPr>
        <w:t xml:space="preserve">salvo indicação noutro sentido, a fonte é a Provedoria de Justiça do Peru. </w:t>
      </w:r>
      <w:r>
        <w:rPr>
          <w:rFonts w:ascii="Garamond" w:hAnsi="Garamond"/>
          <w:sz w:val="20"/>
          <w:szCs w:val="20"/>
          <w:lang w:val="pt-PT"/>
        </w:rPr>
        <w:t>«</w:t>
      </w:r>
      <w:r w:rsidRPr="00D94B66">
        <w:rPr>
          <w:rFonts w:ascii="Garamond" w:hAnsi="Garamond"/>
          <w:sz w:val="20"/>
          <w:szCs w:val="20"/>
          <w:lang w:val="pt-PT"/>
        </w:rPr>
        <w:t>Implementação da Declaração Diligência Devida e Violência contra as Mulheres: na direção de um real acesso à Justiça</w:t>
      </w:r>
      <w:r>
        <w:rPr>
          <w:rFonts w:ascii="Garamond" w:hAnsi="Garamond"/>
          <w:sz w:val="20"/>
          <w:szCs w:val="20"/>
          <w:lang w:val="pt-PT"/>
        </w:rPr>
        <w:t>»</w:t>
      </w:r>
      <w:r w:rsidRPr="00D94B66">
        <w:rPr>
          <w:rFonts w:ascii="Garamond" w:hAnsi="Garamond"/>
          <w:sz w:val="20"/>
          <w:szCs w:val="20"/>
          <w:lang w:val="pt-PT"/>
        </w:rPr>
        <w:t xml:space="preserve">, Lima, 2014. </w:t>
      </w:r>
    </w:p>
    <w:p w:rsidR="007B3401" w:rsidRPr="00D94B66" w:rsidRDefault="007B3401" w:rsidP="00D94B66">
      <w:pPr>
        <w:pStyle w:val="Textonotapie"/>
        <w:jc w:val="both"/>
        <w:rPr>
          <w:rFonts w:ascii="Garamond" w:hAnsi="Garamond"/>
          <w:lang w:val="pt-PT"/>
        </w:rPr>
      </w:pPr>
    </w:p>
  </w:footnote>
  <w:footnote w:id="77">
    <w:p w:rsidR="007B3401" w:rsidRPr="00D94B66" w:rsidRDefault="007B3401" w:rsidP="00D01B8C">
      <w:pPr>
        <w:pStyle w:val="Textonotapie"/>
        <w:rPr>
          <w:rFonts w:ascii="Garamond" w:hAnsi="Garamond"/>
          <w:lang w:val="pt-PT"/>
        </w:rPr>
      </w:pPr>
      <w:r w:rsidRPr="00D94B66">
        <w:rPr>
          <w:rStyle w:val="Refdenotaalpie"/>
          <w:rFonts w:ascii="Garamond" w:hAnsi="Garamond"/>
        </w:rPr>
        <w:footnoteRef/>
      </w:r>
      <w:r w:rsidRPr="00D94B66">
        <w:rPr>
          <w:rFonts w:ascii="Garamond" w:hAnsi="Garamond" w:cs="Arial"/>
          <w:i/>
          <w:lang w:val="pt-BR"/>
        </w:rPr>
        <w:t>Cfr.</w:t>
      </w:r>
      <w:r w:rsidRPr="00D94B66">
        <w:rPr>
          <w:rFonts w:ascii="Garamond" w:hAnsi="Garamond" w:cs="Palatino Linotype"/>
          <w:lang w:val="pt-BR"/>
        </w:rPr>
        <w:t xml:space="preserve"> Instituto Nacional de Estatística e Informática.</w:t>
      </w:r>
      <w:r>
        <w:rPr>
          <w:rFonts w:ascii="Garamond" w:hAnsi="Garamond" w:cs="Palatino Linotype"/>
          <w:lang w:val="pt-BR"/>
        </w:rPr>
        <w:t xml:space="preserve"> «</w:t>
      </w:r>
      <w:r w:rsidRPr="00D94B66">
        <w:rPr>
          <w:rFonts w:ascii="Garamond" w:hAnsi="Garamond" w:cs="Palatino Linotype"/>
          <w:lang w:val="pt-PT"/>
        </w:rPr>
        <w:t>Inquérito Demográfico e Saúde Familiar</w:t>
      </w:r>
      <w:r>
        <w:rPr>
          <w:rFonts w:ascii="Garamond" w:hAnsi="Garamond" w:cs="Palatino Linotype"/>
          <w:lang w:val="pt-PT"/>
        </w:rPr>
        <w:t>»</w:t>
      </w:r>
      <w:r w:rsidRPr="00D94B66">
        <w:rPr>
          <w:rFonts w:ascii="Garamond" w:hAnsi="Garamond" w:cs="Palatino Linotype"/>
          <w:lang w:val="pt-PT"/>
        </w:rPr>
        <w:t xml:space="preserve"> 2013. Lima. Maio de 2014.</w:t>
      </w:r>
    </w:p>
  </w:footnote>
  <w:footnote w:id="78">
    <w:p w:rsidR="007B3401" w:rsidRPr="00D94B66" w:rsidRDefault="007B3401" w:rsidP="00E34DB3">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D</w:t>
      </w:r>
      <w:r>
        <w:rPr>
          <w:rFonts w:ascii="Garamond" w:hAnsi="Garamond"/>
          <w:lang w:val="pt-PT"/>
        </w:rPr>
        <w:t>oravante,</w:t>
      </w:r>
      <w:r w:rsidRPr="00D94B66">
        <w:rPr>
          <w:rFonts w:ascii="Garamond" w:hAnsi="Garamond"/>
          <w:lang w:val="pt-PT"/>
        </w:rPr>
        <w:t xml:space="preserve"> Gabinete do Procurador Cidadão de Porto Rico.</w:t>
      </w:r>
      <w:r w:rsidRPr="00D94B66">
        <w:rPr>
          <w:rFonts w:ascii="Garamond" w:hAnsi="Garamond"/>
          <w:i/>
          <w:lang w:val="pt-PT"/>
        </w:rPr>
        <w:t xml:space="preserve"> </w:t>
      </w:r>
      <w:r>
        <w:rPr>
          <w:rFonts w:ascii="Garamond" w:hAnsi="Garamond"/>
          <w:i/>
          <w:lang w:val="pt-PT"/>
        </w:rPr>
        <w:t>«</w:t>
      </w:r>
      <w:r w:rsidRPr="00D94B66">
        <w:rPr>
          <w:rFonts w:ascii="Garamond" w:hAnsi="Garamond"/>
          <w:i/>
          <w:lang w:val="pt-PT"/>
        </w:rPr>
        <w:t>Avaliação sobre a Declaração Diligência Devida e Violência contra as Mulheres: Em direção a um real Acesso à Justiça em Porto Rico</w:t>
      </w:r>
      <w:r>
        <w:rPr>
          <w:rFonts w:ascii="Garamond" w:hAnsi="Garamond"/>
          <w:i/>
          <w:lang w:val="pt-PT"/>
        </w:rPr>
        <w:t>»</w:t>
      </w:r>
      <w:r w:rsidRPr="00D94B66">
        <w:rPr>
          <w:rFonts w:ascii="Garamond" w:hAnsi="Garamond"/>
          <w:i/>
          <w:lang w:val="pt-PT"/>
        </w:rPr>
        <w:t xml:space="preserve">, </w:t>
      </w:r>
      <w:r w:rsidRPr="00D94B66">
        <w:rPr>
          <w:rFonts w:ascii="Garamond" w:hAnsi="Garamond"/>
          <w:lang w:val="pt-PT"/>
        </w:rPr>
        <w:t>2014.</w:t>
      </w:r>
    </w:p>
  </w:footnote>
  <w:footnote w:id="79">
    <w:p w:rsidR="007B3401" w:rsidRPr="00D94B66" w:rsidRDefault="007B3401" w:rsidP="00D01B8C">
      <w:pPr>
        <w:pStyle w:val="Textonotapie"/>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Zachry International of Puerto Rico, Inc., v. Tribunal Superior de Porto Rico, Sala de Ponce, 104 D.P.R. 267 (1975). </w:t>
      </w:r>
    </w:p>
  </w:footnote>
  <w:footnote w:id="80">
    <w:p w:rsidR="007B3401" w:rsidRPr="00D94B66" w:rsidRDefault="007B3401" w:rsidP="00D01B8C">
      <w:pPr>
        <w:pStyle w:val="Textonotapie"/>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Lei </w:t>
      </w:r>
      <w:r>
        <w:rPr>
          <w:rFonts w:ascii="Garamond" w:hAnsi="Garamond" w:cs="Arial"/>
          <w:lang w:val="pt-PT"/>
        </w:rPr>
        <w:t>N.º</w:t>
      </w:r>
      <w:r w:rsidRPr="00D94B66">
        <w:rPr>
          <w:rFonts w:ascii="Garamond" w:hAnsi="Garamond" w:cs="Arial"/>
          <w:lang w:val="pt-PT"/>
        </w:rPr>
        <w:t xml:space="preserve"> 54</w:t>
      </w:r>
      <w:r>
        <w:rPr>
          <w:rFonts w:ascii="Garamond" w:hAnsi="Garamond" w:cs="Arial"/>
          <w:lang w:val="pt-PT"/>
        </w:rPr>
        <w:t>,</w:t>
      </w:r>
      <w:r w:rsidRPr="00D94B66">
        <w:rPr>
          <w:rFonts w:ascii="Garamond" w:hAnsi="Garamond" w:cs="Arial"/>
          <w:lang w:val="pt-PT"/>
        </w:rPr>
        <w:t xml:space="preserve"> de 15 de </w:t>
      </w:r>
      <w:r>
        <w:rPr>
          <w:rFonts w:ascii="Garamond" w:hAnsi="Garamond" w:cs="Arial"/>
          <w:lang w:val="pt-PT"/>
        </w:rPr>
        <w:t>a</w:t>
      </w:r>
      <w:r w:rsidRPr="00D94B66">
        <w:rPr>
          <w:rFonts w:ascii="Garamond" w:hAnsi="Garamond" w:cs="Arial"/>
          <w:lang w:val="pt-PT"/>
        </w:rPr>
        <w:t>gosto de 1989, segundo a emenda.</w:t>
      </w:r>
    </w:p>
  </w:footnote>
  <w:footnote w:id="81">
    <w:p w:rsidR="007B3401" w:rsidRPr="00D94B66" w:rsidRDefault="007B3401" w:rsidP="00D01B8C">
      <w:pPr>
        <w:pStyle w:val="Textonotapie"/>
        <w:rPr>
          <w:rFonts w:ascii="Garamond" w:hAnsi="Garamond" w:cs="Arial"/>
          <w:lang w:val="es-ES"/>
        </w:rPr>
      </w:pPr>
      <w:r w:rsidRPr="00D94B66">
        <w:rPr>
          <w:rStyle w:val="Refdenotaalpie"/>
          <w:rFonts w:ascii="Garamond" w:hAnsi="Garamond" w:cs="Arial"/>
        </w:rPr>
        <w:footnoteRef/>
      </w:r>
      <w:r w:rsidRPr="00D94B66">
        <w:rPr>
          <w:rFonts w:ascii="Garamond" w:hAnsi="Garamond" w:cs="Arial"/>
        </w:rPr>
        <w:t xml:space="preserve"> 4 L.P.R.A. § 25</w:t>
      </w:r>
      <w:proofErr w:type="gramStart"/>
      <w:r>
        <w:rPr>
          <w:rFonts w:ascii="Garamond" w:hAnsi="Garamond" w:cs="Arial"/>
        </w:rPr>
        <w:t>.</w:t>
      </w:r>
      <w:r w:rsidRPr="00D94B66">
        <w:rPr>
          <w:rFonts w:ascii="Garamond" w:hAnsi="Garamond" w:cs="Arial"/>
        </w:rPr>
        <w:t>ª</w:t>
      </w:r>
      <w:proofErr w:type="gramEnd"/>
      <w:r w:rsidRPr="00D94B66">
        <w:rPr>
          <w:rFonts w:ascii="Garamond" w:hAnsi="Garamond" w:cs="Arial"/>
        </w:rPr>
        <w:t>.</w:t>
      </w:r>
    </w:p>
  </w:footnote>
  <w:footnote w:id="82">
    <w:p w:rsidR="007B3401" w:rsidRPr="00D94B66" w:rsidRDefault="007B3401" w:rsidP="00D01B8C">
      <w:pPr>
        <w:pStyle w:val="Textonotapie"/>
        <w:rPr>
          <w:rFonts w:ascii="Garamond" w:hAnsi="Garamond" w:cs="Arial"/>
          <w:i/>
          <w:lang w:val="es-ES"/>
        </w:rPr>
      </w:pPr>
      <w:r w:rsidRPr="00D94B66">
        <w:rPr>
          <w:rStyle w:val="Refdenotaalpie"/>
          <w:rFonts w:ascii="Garamond" w:hAnsi="Garamond" w:cs="Arial"/>
        </w:rPr>
        <w:footnoteRef/>
      </w:r>
      <w:r w:rsidRPr="00D94B66">
        <w:rPr>
          <w:rFonts w:ascii="Garamond" w:hAnsi="Garamond" w:cs="Arial"/>
        </w:rPr>
        <w:t xml:space="preserve"> </w:t>
      </w:r>
      <w:r w:rsidRPr="00D94B66">
        <w:rPr>
          <w:rFonts w:ascii="Garamond" w:hAnsi="Garamond" w:cs="Arial"/>
          <w:i/>
          <w:lang w:val="es-ES"/>
        </w:rPr>
        <w:t>Ibíd.</w:t>
      </w:r>
    </w:p>
  </w:footnote>
  <w:footnote w:id="83">
    <w:p w:rsidR="007B3401" w:rsidRPr="00D94B66" w:rsidRDefault="007B3401" w:rsidP="00D01B8C">
      <w:pPr>
        <w:pStyle w:val="Textonotapie"/>
        <w:rPr>
          <w:rFonts w:ascii="Garamond" w:hAnsi="Garamond" w:cs="Arial"/>
          <w:lang w:val="es-ES"/>
        </w:rPr>
      </w:pPr>
      <w:r w:rsidRPr="00D94B66">
        <w:rPr>
          <w:rStyle w:val="Refdenotaalpie"/>
          <w:rFonts w:ascii="Garamond" w:hAnsi="Garamond" w:cs="Arial"/>
        </w:rPr>
        <w:footnoteRef/>
      </w:r>
      <w:r w:rsidRPr="00D94B66">
        <w:rPr>
          <w:rFonts w:ascii="Garamond" w:hAnsi="Garamond" w:cs="Arial"/>
        </w:rPr>
        <w:t xml:space="preserve"> 4 L.P.R.A. § 24u.</w:t>
      </w:r>
    </w:p>
  </w:footnote>
  <w:footnote w:id="84">
    <w:p w:rsidR="007B3401" w:rsidRPr="00D94B66" w:rsidRDefault="007B3401" w:rsidP="00D01B8C">
      <w:pPr>
        <w:pStyle w:val="Textonotapie"/>
        <w:rPr>
          <w:rFonts w:ascii="Garamond" w:hAnsi="Garamond" w:cs="Arial"/>
          <w:color w:val="FF0000"/>
          <w:lang w:val="pt-PT"/>
        </w:rPr>
      </w:pPr>
      <w:r w:rsidRPr="00D94B66">
        <w:rPr>
          <w:rStyle w:val="Refdenotaalpie"/>
          <w:rFonts w:ascii="Garamond" w:hAnsi="Garamond" w:cs="Arial"/>
        </w:rPr>
        <w:footnoteRef/>
      </w:r>
      <w:r w:rsidRPr="00D94B66">
        <w:rPr>
          <w:rFonts w:ascii="Garamond" w:hAnsi="Garamond" w:cs="Arial"/>
          <w:lang w:val="pt-PT"/>
        </w:rPr>
        <w:t xml:space="preserve"> 4 L.P.R.A. § 24r.</w:t>
      </w:r>
    </w:p>
  </w:footnote>
  <w:footnote w:id="85">
    <w:p w:rsidR="007B3401" w:rsidRPr="00D94B66" w:rsidRDefault="007B3401" w:rsidP="00D01B8C">
      <w:pPr>
        <w:pStyle w:val="Textonotapie"/>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4 L.P.R.A. § 24s</w:t>
      </w:r>
    </w:p>
  </w:footnote>
  <w:footnote w:id="86">
    <w:p w:rsidR="007B3401" w:rsidRPr="00FE715B" w:rsidRDefault="007B3401" w:rsidP="007046CC">
      <w:pPr>
        <w:pStyle w:val="Textoindependiente3"/>
        <w:spacing w:line="240" w:lineRule="auto"/>
        <w:ind w:left="709" w:hanging="709"/>
        <w:jc w:val="both"/>
        <w:rPr>
          <w:rFonts w:ascii="Garamond" w:eastAsiaTheme="minorEastAsia" w:hAnsi="Garamond" w:cs="Arial"/>
          <w:sz w:val="20"/>
          <w:szCs w:val="20"/>
        </w:rPr>
      </w:pPr>
      <w:r w:rsidRPr="00D94B66">
        <w:rPr>
          <w:rStyle w:val="Refdenotaalpie"/>
          <w:rFonts w:ascii="Garamond" w:hAnsi="Garamond"/>
          <w:b/>
          <w:sz w:val="20"/>
          <w:szCs w:val="20"/>
        </w:rPr>
        <w:footnoteRef/>
      </w:r>
      <w:r w:rsidRPr="00D94B66">
        <w:rPr>
          <w:rFonts w:ascii="Garamond" w:hAnsi="Garamond"/>
          <w:sz w:val="20"/>
          <w:szCs w:val="20"/>
        </w:rPr>
        <w:t xml:space="preserve"> </w:t>
      </w:r>
      <w:r w:rsidRPr="00D94B66">
        <w:rPr>
          <w:rFonts w:ascii="Garamond" w:hAnsi="Garamond"/>
          <w:sz w:val="20"/>
          <w:szCs w:val="20"/>
        </w:rPr>
        <w:tab/>
      </w:r>
      <w:r w:rsidRPr="00FE715B">
        <w:rPr>
          <w:rFonts w:ascii="Garamond" w:hAnsi="Garamond" w:cs="Arial"/>
          <w:sz w:val="20"/>
          <w:szCs w:val="20"/>
        </w:rPr>
        <w:t xml:space="preserve">Outras procuradorias são: Procurador das Pessoas de Idade Avançada do Estado; Gabinete do Procurador do Paciente; Gabinete do Procurador das Pessoas com Impedimentos; Procurador do Veterano; e o Gabinete do Procurador de Menores. </w:t>
      </w:r>
    </w:p>
    <w:p w:rsidR="007B3401" w:rsidRPr="00D94B66" w:rsidRDefault="007B3401" w:rsidP="007046CC">
      <w:pPr>
        <w:pStyle w:val="Textoindependiente3"/>
        <w:spacing w:line="240" w:lineRule="auto"/>
        <w:ind w:left="709" w:hanging="709"/>
        <w:jc w:val="both"/>
        <w:rPr>
          <w:rFonts w:ascii="Garamond" w:hAnsi="Garamond"/>
          <w:bCs/>
          <w:sz w:val="20"/>
          <w:szCs w:val="20"/>
        </w:rPr>
      </w:pPr>
    </w:p>
  </w:footnote>
  <w:footnote w:id="87">
    <w:p w:rsidR="007B3401" w:rsidRPr="00D94B66" w:rsidRDefault="007B3401" w:rsidP="00602EDC">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 xml:space="preserve">Doravante, </w:t>
      </w:r>
      <w:r w:rsidRPr="00D94B66">
        <w:rPr>
          <w:rFonts w:ascii="Garamond" w:hAnsi="Garamond"/>
          <w:lang w:val="pt-PT"/>
        </w:rPr>
        <w:t xml:space="preserve">a fonte é a </w:t>
      </w:r>
      <w:r>
        <w:rPr>
          <w:rFonts w:ascii="Garamond" w:hAnsi="Garamond"/>
          <w:lang w:val="pt-PT"/>
        </w:rPr>
        <w:t>P</w:t>
      </w:r>
      <w:r w:rsidRPr="00D94B66">
        <w:rPr>
          <w:rFonts w:ascii="Garamond" w:hAnsi="Garamond"/>
          <w:lang w:val="pt-PT"/>
        </w:rPr>
        <w:t xml:space="preserve">rovedoria de Justiça do Uruguai e a Instituição Nacional de Direitos Humanos e Provedoria de Justiça de Uruguai: </w:t>
      </w:r>
      <w:r>
        <w:rPr>
          <w:rFonts w:ascii="Garamond" w:hAnsi="Garamond"/>
          <w:lang w:val="pt-PT"/>
        </w:rPr>
        <w:t>«</w:t>
      </w:r>
      <w:r w:rsidRPr="00D94B66">
        <w:rPr>
          <w:rFonts w:ascii="Garamond" w:hAnsi="Garamond"/>
          <w:lang w:val="pt-PT"/>
        </w:rPr>
        <w:t>Direito de Acesso à Justiça das Mulheres Vítimas de Violência Intrafamiliar</w:t>
      </w:r>
      <w:r>
        <w:rPr>
          <w:rFonts w:ascii="Garamond" w:hAnsi="Garamond"/>
          <w:lang w:val="pt-PT"/>
        </w:rPr>
        <w:t>»</w:t>
      </w:r>
      <w:r w:rsidRPr="00D94B66">
        <w:rPr>
          <w:rFonts w:ascii="Garamond" w:hAnsi="Garamond"/>
          <w:i/>
          <w:lang w:val="pt-PT"/>
        </w:rPr>
        <w:t xml:space="preserve">, </w:t>
      </w:r>
      <w:r w:rsidRPr="00D94B66">
        <w:rPr>
          <w:rFonts w:ascii="Garamond" w:hAnsi="Garamond"/>
          <w:lang w:val="pt-PT"/>
        </w:rPr>
        <w:t>Montevideo, 2014.</w:t>
      </w:r>
    </w:p>
    <w:p w:rsidR="007B3401" w:rsidRPr="00D94B66" w:rsidRDefault="007B3401" w:rsidP="00602EDC">
      <w:pPr>
        <w:pStyle w:val="Textonotapie"/>
        <w:jc w:val="both"/>
        <w:rPr>
          <w:rFonts w:ascii="Garamond" w:hAnsi="Garamond"/>
          <w:lang w:val="pt-PT"/>
        </w:rPr>
      </w:pPr>
      <w:r w:rsidRPr="00D94B66">
        <w:rPr>
          <w:rFonts w:ascii="Garamond" w:hAnsi="Garamond"/>
          <w:lang w:val="pt-PT"/>
        </w:rPr>
        <w:t xml:space="preserve">As autoras assinalam que para os fins da elaboração de </w:t>
      </w:r>
      <w:r>
        <w:rPr>
          <w:rFonts w:ascii="Garamond" w:hAnsi="Garamond"/>
          <w:lang w:val="pt-PT"/>
        </w:rPr>
        <w:t>«</w:t>
      </w:r>
      <w:r w:rsidRPr="00D94B66">
        <w:rPr>
          <w:rFonts w:ascii="Garamond" w:hAnsi="Garamond"/>
          <w:lang w:val="pt-PT"/>
        </w:rPr>
        <w:t xml:space="preserve">…este relatório se </w:t>
      </w:r>
      <w:r>
        <w:rPr>
          <w:rFonts w:ascii="Garamond" w:hAnsi="Garamond"/>
          <w:lang w:val="pt-PT"/>
        </w:rPr>
        <w:t xml:space="preserve">entrevistaram </w:t>
      </w:r>
      <w:r w:rsidRPr="00D94B66">
        <w:rPr>
          <w:rFonts w:ascii="Garamond" w:hAnsi="Garamond"/>
          <w:lang w:val="pt-PT"/>
        </w:rPr>
        <w:t>a Dr</w:t>
      </w:r>
      <w:r>
        <w:rPr>
          <w:rFonts w:ascii="Garamond" w:hAnsi="Garamond"/>
          <w:lang w:val="pt-PT"/>
        </w:rPr>
        <w:t>.</w:t>
      </w:r>
      <w:r w:rsidRPr="00D94B66">
        <w:rPr>
          <w:rFonts w:ascii="Garamond" w:hAnsi="Garamond"/>
          <w:lang w:val="pt-PT"/>
        </w:rPr>
        <w:t xml:space="preserve">ª Carolina Patrón </w:t>
      </w:r>
      <w:r>
        <w:rPr>
          <w:rFonts w:ascii="Garamond" w:hAnsi="Garamond"/>
          <w:lang w:val="pt-PT"/>
        </w:rPr>
        <w:t>-</w:t>
      </w:r>
      <w:r w:rsidRPr="00D94B66">
        <w:rPr>
          <w:rFonts w:ascii="Garamond" w:hAnsi="Garamond"/>
          <w:lang w:val="pt-PT"/>
        </w:rPr>
        <w:t xml:space="preserve"> Diretora da Unidade Executória do Projeto Judicial no Programa Integral de Luta contra a Violência de Género </w:t>
      </w:r>
      <w:r>
        <w:rPr>
          <w:rFonts w:ascii="Garamond" w:hAnsi="Garamond"/>
          <w:lang w:val="pt-PT"/>
        </w:rPr>
        <w:t>-</w:t>
      </w:r>
      <w:r w:rsidRPr="00D94B66">
        <w:rPr>
          <w:rFonts w:ascii="Garamond" w:hAnsi="Garamond"/>
          <w:lang w:val="pt-PT"/>
        </w:rPr>
        <w:t xml:space="preserve"> e a Dr</w:t>
      </w:r>
      <w:r>
        <w:rPr>
          <w:rFonts w:ascii="Garamond" w:hAnsi="Garamond"/>
          <w:lang w:val="pt-PT"/>
        </w:rPr>
        <w:t>.</w:t>
      </w:r>
      <w:r w:rsidRPr="00D94B66">
        <w:rPr>
          <w:rFonts w:ascii="Garamond" w:hAnsi="Garamond"/>
          <w:lang w:val="pt-PT"/>
        </w:rPr>
        <w:t xml:space="preserve">ª Raquel Martínez </w:t>
      </w:r>
      <w:r>
        <w:rPr>
          <w:rFonts w:ascii="Garamond" w:hAnsi="Garamond"/>
          <w:lang w:val="pt-PT"/>
        </w:rPr>
        <w:t>-</w:t>
      </w:r>
      <w:r w:rsidRPr="00D94B66">
        <w:rPr>
          <w:rFonts w:ascii="Garamond" w:hAnsi="Garamond"/>
          <w:lang w:val="pt-PT"/>
        </w:rPr>
        <w:t xml:space="preserve"> Diretora da Direção de Gestão de Projetos </w:t>
      </w:r>
      <w:r>
        <w:rPr>
          <w:rFonts w:ascii="Garamond" w:hAnsi="Garamond"/>
          <w:lang w:val="pt-PT"/>
        </w:rPr>
        <w:t>-</w:t>
      </w:r>
      <w:r w:rsidRPr="00D94B66">
        <w:rPr>
          <w:rFonts w:ascii="Garamond" w:hAnsi="Garamond"/>
          <w:lang w:val="pt-PT"/>
        </w:rPr>
        <w:t>, Coordenadora com o PILCVG. Também se recebeu informação do Conselho Nacional Consultivo de luta contra a Violência Doméstica, em particular</w:t>
      </w:r>
      <w:r>
        <w:rPr>
          <w:rFonts w:ascii="Garamond" w:hAnsi="Garamond"/>
          <w:lang w:val="pt-PT"/>
        </w:rPr>
        <w:t>,</w:t>
      </w:r>
      <w:r w:rsidRPr="00D94B66">
        <w:rPr>
          <w:rFonts w:ascii="Garamond" w:hAnsi="Garamond"/>
          <w:lang w:val="pt-PT"/>
        </w:rPr>
        <w:t xml:space="preserve"> do último relatório apresentado ao </w:t>
      </w:r>
      <w:r w:rsidRPr="00D94B66">
        <w:rPr>
          <w:rFonts w:ascii="Garamond" w:hAnsi="Garamond" w:cs="Times New Roman"/>
          <w:lang w:val="pt-PT"/>
        </w:rPr>
        <w:t xml:space="preserve">Mecanismo de Seguimento da Convenção de </w:t>
      </w:r>
      <w:r w:rsidRPr="00D94B66">
        <w:rPr>
          <w:rFonts w:ascii="Garamond" w:hAnsi="Garamond" w:cs="Times New Roman"/>
          <w:i/>
          <w:lang w:val="pt-PT"/>
        </w:rPr>
        <w:t xml:space="preserve">Belém </w:t>
      </w:r>
      <w:r>
        <w:rPr>
          <w:rFonts w:ascii="Garamond" w:hAnsi="Garamond" w:cs="Times New Roman"/>
          <w:i/>
          <w:lang w:val="pt-PT"/>
        </w:rPr>
        <w:t>d</w:t>
      </w:r>
      <w:r w:rsidRPr="00D94B66">
        <w:rPr>
          <w:rFonts w:ascii="Garamond" w:hAnsi="Garamond" w:cs="Times New Roman"/>
          <w:i/>
          <w:lang w:val="pt-PT"/>
        </w:rPr>
        <w:t>o Pará</w:t>
      </w:r>
      <w:r w:rsidRPr="00D94B66">
        <w:rPr>
          <w:rFonts w:ascii="Garamond" w:hAnsi="Garamond" w:cs="Times New Roman"/>
          <w:lang w:val="pt-PT"/>
        </w:rPr>
        <w:t xml:space="preserve"> (MESECVI</w:t>
      </w:r>
      <w:proofErr w:type="gramStart"/>
      <w:r w:rsidRPr="00D94B66">
        <w:rPr>
          <w:rFonts w:ascii="Garamond" w:hAnsi="Garamond" w:cs="Times New Roman"/>
          <w:lang w:val="pt-PT"/>
        </w:rPr>
        <w:t>).</w:t>
      </w:r>
      <w:proofErr w:type="gramEnd"/>
      <w:r w:rsidRPr="00D94B66">
        <w:rPr>
          <w:rFonts w:ascii="Garamond" w:hAnsi="Garamond" w:cs="Times New Roman"/>
          <w:lang w:val="pt-PT"/>
        </w:rPr>
        <w:t>(</w:t>
      </w:r>
      <w:r w:rsidRPr="00D94B66">
        <w:rPr>
          <w:rFonts w:ascii="Garamond" w:hAnsi="Garamond" w:cs="Times New Roman"/>
          <w:i/>
          <w:lang w:val="pt-PT"/>
        </w:rPr>
        <w:t>cfr.</w:t>
      </w:r>
      <w:r w:rsidRPr="00D94B66">
        <w:rPr>
          <w:rFonts w:ascii="Garamond" w:hAnsi="Garamond" w:cs="Times New Roman"/>
          <w:lang w:val="pt-PT"/>
        </w:rPr>
        <w:t xml:space="preserve"> p. 1)</w:t>
      </w:r>
    </w:p>
  </w:footnote>
  <w:footnote w:id="88">
    <w:p w:rsidR="007B3401" w:rsidRPr="00D94B66" w:rsidRDefault="007B3401" w:rsidP="005A5191">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Pr>
          <w:rFonts w:ascii="Garamond" w:hAnsi="Garamond"/>
          <w:lang w:val="pt-PT"/>
        </w:rPr>
        <w:t>Doravante,</w:t>
      </w:r>
      <w:r w:rsidRPr="00D94B66">
        <w:rPr>
          <w:rFonts w:ascii="Garamond" w:hAnsi="Garamond"/>
          <w:lang w:val="pt-PT"/>
        </w:rPr>
        <w:t xml:space="preserve"> Provedoria de Justiça da República Bolivariana da Venezuela. </w:t>
      </w:r>
      <w:r>
        <w:rPr>
          <w:rFonts w:ascii="Garamond" w:hAnsi="Garamond"/>
          <w:i/>
          <w:lang w:val="pt-PT"/>
        </w:rPr>
        <w:t>«</w:t>
      </w:r>
      <w:r w:rsidRPr="00D94B66">
        <w:rPr>
          <w:rFonts w:ascii="Garamond" w:hAnsi="Garamond"/>
          <w:i/>
          <w:lang w:val="pt-PT"/>
        </w:rPr>
        <w:t xml:space="preserve">Avaliação da implementação da Declaração Diligência Devida e violência contra as mulheres: </w:t>
      </w:r>
      <w:r>
        <w:rPr>
          <w:rFonts w:ascii="Garamond" w:hAnsi="Garamond"/>
          <w:i/>
          <w:lang w:val="pt-PT"/>
        </w:rPr>
        <w:t xml:space="preserve">tendo em vista um verdadeiro </w:t>
      </w:r>
      <w:r w:rsidRPr="00D94B66">
        <w:rPr>
          <w:rFonts w:ascii="Garamond" w:hAnsi="Garamond"/>
          <w:i/>
          <w:lang w:val="pt-PT"/>
        </w:rPr>
        <w:t>acesso à justiça</w:t>
      </w:r>
      <w:r>
        <w:rPr>
          <w:rFonts w:ascii="Garamond" w:hAnsi="Garamond"/>
          <w:i/>
          <w:lang w:val="pt-PT"/>
        </w:rPr>
        <w:t>»</w:t>
      </w:r>
      <w:r w:rsidRPr="00D94B66">
        <w:rPr>
          <w:rFonts w:ascii="Garamond" w:hAnsi="Garamond"/>
          <w:lang w:val="pt-PT"/>
        </w:rPr>
        <w:t xml:space="preserve">, 2014. </w:t>
      </w:r>
    </w:p>
  </w:footnote>
  <w:footnote w:id="89">
    <w:p w:rsidR="007B3401" w:rsidRPr="00D94B66" w:rsidRDefault="007B3401" w:rsidP="005A5191">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Ver a Informação Geral sobre este Tratado através do </w:t>
      </w:r>
      <w:r w:rsidRPr="00D94B66">
        <w:rPr>
          <w:rFonts w:ascii="Garamond" w:hAnsi="Garamond"/>
          <w:i/>
          <w:lang w:val="pt-PT"/>
        </w:rPr>
        <w:t>site</w:t>
      </w:r>
      <w:r w:rsidRPr="00D94B66">
        <w:rPr>
          <w:rFonts w:ascii="Garamond" w:hAnsi="Garamond"/>
          <w:lang w:val="pt-PT"/>
        </w:rPr>
        <w:t xml:space="preserve"> &lt;http://www.oas.org/dil/esp/tratados_B-32_Convencion_Americana_sobre_Direitos_Humanos,_firmas.htm#Venezuela:</w:t>
      </w:r>
      <w:proofErr w:type="gramStart"/>
      <w:r w:rsidRPr="00D94B66">
        <w:rPr>
          <w:rFonts w:ascii="Garamond" w:hAnsi="Garamond"/>
          <w:lang w:val="pt-PT"/>
        </w:rPr>
        <w:t>&gt;</w:t>
      </w:r>
      <w:proofErr w:type="gramEnd"/>
      <w:r w:rsidRPr="00D94B66">
        <w:rPr>
          <w:rFonts w:ascii="Garamond" w:hAnsi="Garamond"/>
          <w:lang w:val="pt-PT"/>
        </w:rPr>
        <w:t xml:space="preserve"> </w:t>
      </w:r>
    </w:p>
  </w:footnote>
  <w:footnote w:id="90">
    <w:p w:rsidR="007B3401" w:rsidRPr="00D94B66" w:rsidRDefault="007B3401" w:rsidP="005A5191">
      <w:pPr>
        <w:autoSpaceDE w:val="0"/>
        <w:autoSpaceDN w:val="0"/>
        <w:adjustRightInd w:val="0"/>
        <w:spacing w:after="0" w:line="240" w:lineRule="auto"/>
        <w:jc w:val="both"/>
        <w:rPr>
          <w:rFonts w:ascii="Garamond" w:hAnsi="Garamond" w:cs="Arial"/>
          <w:bCs/>
          <w:sz w:val="20"/>
          <w:szCs w:val="20"/>
        </w:rPr>
      </w:pPr>
      <w:r w:rsidRPr="00D94B66">
        <w:rPr>
          <w:rStyle w:val="Refdenotaalpie"/>
          <w:rFonts w:ascii="Garamond" w:hAnsi="Garamond" w:cs="Arial"/>
          <w:sz w:val="20"/>
          <w:szCs w:val="20"/>
        </w:rPr>
        <w:footnoteRef/>
      </w:r>
      <w:r w:rsidRPr="00D94B66">
        <w:rPr>
          <w:rFonts w:ascii="Garamond" w:hAnsi="Garamond" w:cs="Arial"/>
          <w:sz w:val="20"/>
          <w:szCs w:val="20"/>
        </w:rPr>
        <w:t xml:space="preserve"> ORGANIZAÇÃO DAS NAÇÕES UNIDAS</w:t>
      </w:r>
      <w:r w:rsidRPr="00D94B66">
        <w:rPr>
          <w:rFonts w:ascii="Garamond" w:hAnsi="Garamond" w:cs="Times New Roman"/>
          <w:sz w:val="20"/>
          <w:szCs w:val="20"/>
        </w:rPr>
        <w:t xml:space="preserve">. </w:t>
      </w:r>
      <w:r w:rsidRPr="00D94B66">
        <w:rPr>
          <w:rFonts w:ascii="Garamond" w:hAnsi="Garamond" w:cs="Arial"/>
          <w:sz w:val="20"/>
          <w:szCs w:val="20"/>
        </w:rPr>
        <w:t xml:space="preserve">COMISSÃO ECONÓMICA PARA A AMÉRICA LATINA E O CARIBE. COMISSÃO DE ASSUNTOS DE GÉNERO. </w:t>
      </w:r>
      <w:r w:rsidRPr="00D94B66">
        <w:rPr>
          <w:rFonts w:ascii="Garamond" w:hAnsi="Garamond" w:cs="Arial"/>
          <w:bCs/>
          <w:i/>
          <w:sz w:val="20"/>
          <w:szCs w:val="20"/>
        </w:rPr>
        <w:t>Aplicação da Declaração e Plataforma de Ação de Beijing (1995) e os resultados do vigésimo terceiro período extraordinário de sessões da Assembleia Geral (2000) no contexto do 20</w:t>
      </w:r>
      <w:r>
        <w:rPr>
          <w:rFonts w:ascii="Garamond" w:hAnsi="Garamond" w:cs="Arial"/>
          <w:bCs/>
          <w:i/>
          <w:sz w:val="20"/>
          <w:szCs w:val="20"/>
        </w:rPr>
        <w:t>.</w:t>
      </w:r>
      <w:r w:rsidRPr="00D94B66">
        <w:rPr>
          <w:rFonts w:ascii="Garamond" w:hAnsi="Garamond" w:cs="Arial"/>
          <w:bCs/>
          <w:i/>
          <w:sz w:val="20"/>
          <w:szCs w:val="20"/>
        </w:rPr>
        <w:t>º aniversário da Quarta Conferência Mundial sobre a Mulher e a aprovação da Declaração e Plataforma de Ação de Beijing 2015</w:t>
      </w:r>
      <w:r w:rsidRPr="00D94B66">
        <w:rPr>
          <w:rFonts w:ascii="Garamond" w:hAnsi="Garamond" w:cs="Arial"/>
          <w:bCs/>
          <w:sz w:val="20"/>
          <w:szCs w:val="20"/>
        </w:rPr>
        <w:t>, em: &lt;http://www.cepal.org/cgibin/getprod.asp?</w:t>
      </w:r>
      <w:proofErr w:type="gramStart"/>
      <w:r w:rsidRPr="00D94B66">
        <w:rPr>
          <w:rFonts w:ascii="Garamond" w:hAnsi="Garamond" w:cs="Arial"/>
          <w:bCs/>
          <w:sz w:val="20"/>
          <w:szCs w:val="20"/>
        </w:rPr>
        <w:t>xml</w:t>
      </w:r>
      <w:proofErr w:type="gramEnd"/>
      <w:r w:rsidRPr="00D94B66">
        <w:rPr>
          <w:rFonts w:ascii="Garamond" w:hAnsi="Garamond" w:cs="Arial"/>
          <w:bCs/>
          <w:sz w:val="20"/>
          <w:szCs w:val="20"/>
        </w:rPr>
        <w:t>=/mujer/noticias/paginas/3/51823/P51823.xml&amp;xsl=/mujer/tpl/p18f.xsl&amp;base=/mujer/tpl/top-bottom.xsl&gt; Consultado a 4 de julho de 2014</w:t>
      </w:r>
    </w:p>
  </w:footnote>
  <w:footnote w:id="91">
    <w:p w:rsidR="007B3401" w:rsidRPr="00D94B66" w:rsidRDefault="007B3401" w:rsidP="005A5191">
      <w:pPr>
        <w:pStyle w:val="Textonotapie"/>
        <w:spacing w:before="120" w:after="120"/>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MINISTÉRIO DO PODER POPULAR PARA A MULHER E A IGUALDADE DE GÉNERO, </w:t>
      </w:r>
      <w:r w:rsidRPr="00D94B66">
        <w:rPr>
          <w:rFonts w:ascii="Garamond" w:hAnsi="Garamond" w:cs="Arial"/>
          <w:i/>
          <w:lang w:val="pt-PT"/>
        </w:rPr>
        <w:t xml:space="preserve">Material para a discussão do Plano para a Igualdade e Equidade de Género </w:t>
      </w:r>
      <w:r>
        <w:rPr>
          <w:rFonts w:ascii="Garamond" w:hAnsi="Garamond" w:cs="Arial"/>
          <w:bCs/>
          <w:i/>
          <w:lang w:val="pt-PT"/>
        </w:rPr>
        <w:t>«</w:t>
      </w:r>
      <w:r w:rsidRPr="00D94B66">
        <w:rPr>
          <w:rFonts w:ascii="Garamond" w:hAnsi="Garamond" w:cs="Arial"/>
          <w:bCs/>
          <w:i/>
          <w:lang w:val="pt-PT"/>
        </w:rPr>
        <w:t>Mamã Rosa</w:t>
      </w:r>
      <w:r>
        <w:rPr>
          <w:rFonts w:ascii="Garamond" w:hAnsi="Garamond" w:cs="Arial"/>
          <w:bCs/>
          <w:i/>
          <w:lang w:val="pt-PT"/>
        </w:rPr>
        <w:t>»</w:t>
      </w:r>
      <w:r w:rsidRPr="00D94B66">
        <w:rPr>
          <w:rFonts w:ascii="Garamond" w:hAnsi="Garamond" w:cs="Arial"/>
          <w:bCs/>
          <w:i/>
          <w:lang w:val="pt-PT"/>
        </w:rPr>
        <w:t xml:space="preserve"> (2013-2019)</w:t>
      </w:r>
      <w:r w:rsidRPr="00D94B66">
        <w:rPr>
          <w:rFonts w:ascii="Garamond" w:hAnsi="Garamond" w:cs="Arial"/>
          <w:lang w:val="pt-PT"/>
        </w:rPr>
        <w:t>, Caracas, 2013, p. 12.</w:t>
      </w:r>
    </w:p>
  </w:footnote>
  <w:footnote w:id="92">
    <w:p w:rsidR="007B3401" w:rsidRPr="00D94B66" w:rsidRDefault="007B3401" w:rsidP="0091113A">
      <w:pPr>
        <w:pStyle w:val="Textonotapie"/>
        <w:spacing w:before="120" w:after="120"/>
        <w:ind w:left="142" w:hanging="142"/>
        <w:jc w:val="both"/>
        <w:rPr>
          <w:rFonts w:ascii="Garamond" w:hAnsi="Garamond" w:cs="Arial"/>
          <w:i/>
          <w:lang w:val="pt-PT"/>
        </w:rPr>
      </w:pPr>
      <w:r w:rsidRPr="00D94B66">
        <w:rPr>
          <w:rStyle w:val="Refdenotaalpie"/>
          <w:rFonts w:ascii="Garamond" w:hAnsi="Garamond" w:cs="Arial"/>
          <w:i/>
        </w:rPr>
        <w:footnoteRef/>
      </w:r>
      <w:r>
        <w:rPr>
          <w:rFonts w:ascii="Garamond" w:hAnsi="Garamond" w:cs="Arial"/>
          <w:i/>
          <w:lang w:val="pt-PT"/>
        </w:rPr>
        <w:t>I</w:t>
      </w:r>
      <w:r w:rsidRPr="00D94B66">
        <w:rPr>
          <w:rFonts w:ascii="Garamond" w:hAnsi="Garamond" w:cs="Arial"/>
          <w:i/>
          <w:lang w:val="pt-PT"/>
        </w:rPr>
        <w:t>bidem.</w:t>
      </w:r>
    </w:p>
  </w:footnote>
  <w:footnote w:id="93">
    <w:p w:rsidR="007B3401" w:rsidRPr="00D94B66" w:rsidRDefault="007B3401" w:rsidP="0091113A">
      <w:pPr>
        <w:pStyle w:val="Textonotapie"/>
        <w:spacing w:before="120" w:after="120"/>
        <w:ind w:left="142" w:hanging="142"/>
        <w:jc w:val="both"/>
        <w:rPr>
          <w:rFonts w:ascii="Garamond" w:hAnsi="Garamond" w:cs="Arial"/>
          <w:i/>
          <w:lang w:val="pt-PT"/>
        </w:rPr>
      </w:pPr>
      <w:r w:rsidRPr="00D94B66">
        <w:rPr>
          <w:rStyle w:val="Refdenotaalpie"/>
          <w:rFonts w:ascii="Garamond" w:hAnsi="Garamond" w:cs="Arial"/>
          <w:i/>
        </w:rPr>
        <w:footnoteRef/>
      </w:r>
      <w:r>
        <w:rPr>
          <w:rFonts w:ascii="Garamond" w:hAnsi="Garamond" w:cs="Arial"/>
          <w:i/>
          <w:lang w:val="pt-PT"/>
        </w:rPr>
        <w:t>I</w:t>
      </w:r>
      <w:r w:rsidRPr="00D94B66">
        <w:rPr>
          <w:rFonts w:ascii="Garamond" w:hAnsi="Garamond" w:cs="Arial"/>
          <w:i/>
          <w:lang w:val="pt-PT"/>
        </w:rPr>
        <w:t>bidem.</w:t>
      </w:r>
    </w:p>
  </w:footnote>
  <w:footnote w:id="94">
    <w:p w:rsidR="007B3401" w:rsidRPr="00D94B66" w:rsidRDefault="007B3401" w:rsidP="0091113A">
      <w:pPr>
        <w:pStyle w:val="Textonotapie"/>
        <w:spacing w:before="120" w:after="120"/>
        <w:ind w:left="142" w:hanging="142"/>
        <w:jc w:val="both"/>
        <w:rPr>
          <w:rFonts w:ascii="Garamond" w:hAnsi="Garamond" w:cs="Arial"/>
          <w:lang w:val="pt-PT"/>
        </w:rPr>
      </w:pPr>
      <w:r w:rsidRPr="00D94B66">
        <w:rPr>
          <w:rStyle w:val="Refdenotaalpie"/>
          <w:rFonts w:ascii="Garamond" w:hAnsi="Garamond"/>
        </w:rPr>
        <w:footnoteRef/>
      </w:r>
      <w:r w:rsidRPr="00D94B66">
        <w:rPr>
          <w:rFonts w:ascii="Garamond" w:hAnsi="Garamond" w:cs="Arial"/>
          <w:lang w:val="pt-PT"/>
        </w:rPr>
        <w:t>Lei Orgânica sobre o Direito das mulheres a uma vida livre de violência. Gazeta Oficial N</w:t>
      </w:r>
      <w:r>
        <w:rPr>
          <w:rFonts w:ascii="Garamond" w:hAnsi="Garamond" w:cs="Arial"/>
          <w:lang w:val="pt-PT"/>
        </w:rPr>
        <w:t>.</w:t>
      </w:r>
      <w:r w:rsidRPr="00D94B66">
        <w:rPr>
          <w:rFonts w:ascii="Garamond" w:hAnsi="Garamond" w:cs="Arial"/>
          <w:lang w:val="pt-PT"/>
        </w:rPr>
        <w:t>° 38</w:t>
      </w:r>
      <w:r>
        <w:rPr>
          <w:rFonts w:ascii="Garamond" w:hAnsi="Garamond" w:cs="Arial"/>
          <w:lang w:val="pt-PT"/>
        </w:rPr>
        <w:t xml:space="preserve"> </w:t>
      </w:r>
      <w:r w:rsidRPr="00D94B66">
        <w:rPr>
          <w:rFonts w:ascii="Garamond" w:hAnsi="Garamond" w:cs="Arial"/>
          <w:lang w:val="pt-PT"/>
        </w:rPr>
        <w:t xml:space="preserve">647, de 19 de março de 2007.  </w:t>
      </w:r>
    </w:p>
  </w:footnote>
  <w:footnote w:id="95">
    <w:p w:rsidR="007B3401" w:rsidRPr="00D94B66" w:rsidRDefault="007B3401" w:rsidP="0091113A">
      <w:pPr>
        <w:pStyle w:val="Textonotapie"/>
        <w:spacing w:before="120" w:after="120"/>
        <w:ind w:left="142" w:hanging="142"/>
        <w:jc w:val="both"/>
        <w:rPr>
          <w:rFonts w:ascii="Garamond" w:hAnsi="Garamond" w:cs="Arial"/>
          <w:color w:val="FF0000"/>
          <w:lang w:val="pt-PT"/>
        </w:rPr>
      </w:pPr>
      <w:r w:rsidRPr="00D94B66">
        <w:rPr>
          <w:rStyle w:val="Refdenotaalpie"/>
          <w:rFonts w:ascii="Garamond" w:hAnsi="Garamond" w:cs="Arial"/>
        </w:rPr>
        <w:footnoteRef/>
      </w:r>
      <w:r w:rsidRPr="00D94B66">
        <w:rPr>
          <w:rFonts w:ascii="Garamond" w:hAnsi="Garamond" w:cs="Arial"/>
          <w:lang w:val="pt-PT"/>
        </w:rPr>
        <w:t xml:space="preserve"> Ministério Público, Direção para a Defesa </w:t>
      </w:r>
      <w:r>
        <w:rPr>
          <w:rFonts w:ascii="Garamond" w:hAnsi="Garamond" w:cs="Arial"/>
          <w:lang w:val="pt-PT"/>
        </w:rPr>
        <w:t>d</w:t>
      </w:r>
      <w:r w:rsidRPr="00D94B66">
        <w:rPr>
          <w:rFonts w:ascii="Garamond" w:hAnsi="Garamond" w:cs="Arial"/>
          <w:lang w:val="pt-PT"/>
        </w:rPr>
        <w:t>a Mulher. Comunicação N</w:t>
      </w:r>
      <w:r>
        <w:rPr>
          <w:rFonts w:ascii="Garamond" w:hAnsi="Garamond" w:cs="Arial"/>
          <w:lang w:val="pt-PT"/>
        </w:rPr>
        <w:t>.</w:t>
      </w:r>
      <w:r w:rsidRPr="00D94B66">
        <w:rPr>
          <w:rFonts w:ascii="Garamond" w:hAnsi="Garamond" w:cs="Arial"/>
          <w:lang w:val="pt-PT"/>
        </w:rPr>
        <w:t xml:space="preserve">° DPDM-VI- 2362-343-7 -2013. </w:t>
      </w:r>
      <w:proofErr w:type="gramStart"/>
      <w:r w:rsidRPr="00D94B66">
        <w:rPr>
          <w:rFonts w:ascii="Garamond" w:hAnsi="Garamond" w:cs="Arial"/>
          <w:lang w:val="pt-PT"/>
        </w:rPr>
        <w:t>cit.</w:t>
      </w:r>
      <w:proofErr w:type="gramEnd"/>
      <w:r w:rsidRPr="00D94B66">
        <w:rPr>
          <w:rFonts w:ascii="Garamond" w:hAnsi="Garamond" w:cs="Arial"/>
          <w:color w:val="FF0000"/>
          <w:lang w:val="pt-PT"/>
        </w:rPr>
        <w:t xml:space="preserve"> </w:t>
      </w:r>
    </w:p>
  </w:footnote>
  <w:footnote w:id="96">
    <w:p w:rsidR="007B3401" w:rsidRPr="00D94B66" w:rsidRDefault="007B3401" w:rsidP="0091113A">
      <w:pPr>
        <w:pStyle w:val="Textonotapie"/>
        <w:spacing w:before="120" w:after="120"/>
        <w:ind w:left="142" w:hanging="142"/>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Assembleia Nacional, Comissão Permanente de Desenvolvimento Social. Comunicação s/n, dirigida à Provedora de Justiça e recebida na DdP via correio eletrónico a 31 de outubro de 2013.</w:t>
      </w:r>
    </w:p>
  </w:footnote>
  <w:footnote w:id="97">
    <w:p w:rsidR="007B3401" w:rsidRPr="00D94B66" w:rsidRDefault="007B3401" w:rsidP="00EC45A0">
      <w:pPr>
        <w:pStyle w:val="Default"/>
        <w:jc w:val="both"/>
        <w:rPr>
          <w:rFonts w:ascii="Garamond" w:hAnsi="Garamond" w:cs="Arial"/>
          <w:sz w:val="20"/>
          <w:szCs w:val="20"/>
          <w:lang w:val="pt-PT"/>
        </w:rPr>
      </w:pPr>
      <w:r w:rsidRPr="00D94B66">
        <w:rPr>
          <w:rStyle w:val="Refdenotaalpie"/>
          <w:rFonts w:ascii="Garamond" w:hAnsi="Garamond" w:cs="Arial"/>
          <w:sz w:val="20"/>
          <w:szCs w:val="20"/>
        </w:rPr>
        <w:footnoteRef/>
      </w:r>
      <w:r w:rsidRPr="00D94B66">
        <w:rPr>
          <w:rFonts w:ascii="Garamond" w:hAnsi="Garamond" w:cs="Arial"/>
          <w:sz w:val="20"/>
          <w:szCs w:val="20"/>
          <w:lang w:val="pt-PT"/>
        </w:rPr>
        <w:t xml:space="preserve"> Organização das Nações Unidas. </w:t>
      </w:r>
      <w:r w:rsidRPr="00D94B66">
        <w:rPr>
          <w:rFonts w:ascii="Garamond" w:hAnsi="Garamond" w:cs="Arial"/>
          <w:bCs/>
          <w:sz w:val="20"/>
          <w:szCs w:val="20"/>
          <w:lang w:val="pt-PT"/>
        </w:rPr>
        <w:t>Comité para a eliminação da discriminação contra a mulher</w:t>
      </w:r>
      <w:r w:rsidRPr="00D94B66">
        <w:rPr>
          <w:rFonts w:ascii="Garamond" w:hAnsi="Garamond" w:cs="Arial"/>
          <w:b/>
          <w:bCs/>
          <w:sz w:val="20"/>
          <w:szCs w:val="20"/>
          <w:lang w:val="pt-PT"/>
        </w:rPr>
        <w:t xml:space="preserve">. </w:t>
      </w:r>
      <w:r>
        <w:rPr>
          <w:rFonts w:ascii="Garamond" w:hAnsi="Garamond" w:cs="Arial"/>
          <w:i/>
          <w:sz w:val="20"/>
          <w:szCs w:val="20"/>
          <w:lang w:val="pt-PT"/>
        </w:rPr>
        <w:t>«</w:t>
      </w:r>
      <w:r w:rsidRPr="00D94B66">
        <w:rPr>
          <w:rFonts w:ascii="Garamond" w:hAnsi="Garamond" w:cs="Arial"/>
          <w:bCs/>
          <w:i/>
          <w:sz w:val="20"/>
          <w:szCs w:val="20"/>
          <w:lang w:val="pt-PT"/>
        </w:rPr>
        <w:t>Lista de questões e perguntas relativas ao sétimo e oitavo relatórios combinados da Venezuela</w:t>
      </w:r>
      <w:r>
        <w:rPr>
          <w:rFonts w:ascii="Garamond" w:hAnsi="Garamond" w:cs="Arial"/>
          <w:bCs/>
          <w:i/>
          <w:sz w:val="20"/>
          <w:szCs w:val="20"/>
          <w:lang w:val="pt-PT"/>
        </w:rPr>
        <w:t>»</w:t>
      </w:r>
      <w:r w:rsidRPr="00D94B66">
        <w:rPr>
          <w:rFonts w:ascii="Garamond" w:hAnsi="Garamond" w:cs="Arial"/>
          <w:bCs/>
          <w:i/>
          <w:sz w:val="20"/>
          <w:szCs w:val="20"/>
          <w:lang w:val="pt-PT"/>
        </w:rPr>
        <w:t xml:space="preserve"> </w:t>
      </w:r>
      <w:r w:rsidRPr="00D94B66">
        <w:rPr>
          <w:rFonts w:ascii="Garamond" w:hAnsi="Garamond" w:cs="Arial"/>
          <w:bCs/>
          <w:sz w:val="20"/>
          <w:szCs w:val="20"/>
          <w:lang w:val="pt-PT"/>
        </w:rPr>
        <w:t>Acessível através de</w:t>
      </w:r>
      <w:r w:rsidRPr="00D94B66">
        <w:rPr>
          <w:rFonts w:ascii="Garamond" w:hAnsi="Garamond" w:cs="Arial"/>
          <w:bCs/>
          <w:i/>
          <w:sz w:val="20"/>
          <w:szCs w:val="20"/>
          <w:lang w:val="pt-PT"/>
        </w:rPr>
        <w:t xml:space="preserve">: </w:t>
      </w:r>
      <w:r w:rsidRPr="00D94B66">
        <w:rPr>
          <w:rFonts w:ascii="Garamond" w:hAnsi="Garamond" w:cs="Arial"/>
          <w:b/>
          <w:bCs/>
          <w:sz w:val="20"/>
          <w:szCs w:val="20"/>
          <w:lang w:val="pt-PT"/>
        </w:rPr>
        <w:t>&lt;</w:t>
      </w:r>
      <w:r w:rsidRPr="00D94B66">
        <w:rPr>
          <w:rFonts w:ascii="Garamond" w:hAnsi="Garamond" w:cs="Arial"/>
          <w:sz w:val="20"/>
          <w:szCs w:val="20"/>
          <w:lang w:val="pt-PT"/>
        </w:rPr>
        <w:t xml:space="preserve">http://tbinternet.ohchr.org/Treaties/CEDAW/Shared%20Documents/VEN/CEDAW_C_VEN_Q_7-8_Add-1_17524_S.pdf C&gt; Consultado a 11 de julho de 2014. </w:t>
      </w:r>
    </w:p>
  </w:footnote>
  <w:footnote w:id="98">
    <w:p w:rsidR="007B3401" w:rsidRPr="00D94B66" w:rsidRDefault="007B3401" w:rsidP="00EC45A0">
      <w:pPr>
        <w:pStyle w:val="Textonotapie"/>
        <w:spacing w:before="120" w:after="120"/>
        <w:ind w:left="142" w:hanging="142"/>
        <w:jc w:val="both"/>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Ministério Público, Direção para a Defesa da Mulher. Comunicação N</w:t>
      </w:r>
      <w:r>
        <w:rPr>
          <w:rFonts w:ascii="Garamond" w:hAnsi="Garamond" w:cs="Arial"/>
          <w:lang w:val="pt-PT"/>
        </w:rPr>
        <w:t>.</w:t>
      </w:r>
      <w:r w:rsidRPr="00D94B66">
        <w:rPr>
          <w:rFonts w:ascii="Garamond" w:hAnsi="Garamond" w:cs="Arial"/>
          <w:lang w:val="pt-PT"/>
        </w:rPr>
        <w:t xml:space="preserve">° DPDM-VI- 2362-343-7-2013, de 9 de </w:t>
      </w:r>
      <w:r>
        <w:rPr>
          <w:rFonts w:ascii="Garamond" w:hAnsi="Garamond" w:cs="Arial"/>
          <w:lang w:val="pt-PT"/>
        </w:rPr>
        <w:t>a</w:t>
      </w:r>
      <w:r w:rsidRPr="00D94B66">
        <w:rPr>
          <w:rFonts w:ascii="Garamond" w:hAnsi="Garamond" w:cs="Arial"/>
          <w:lang w:val="pt-PT"/>
        </w:rPr>
        <w:t xml:space="preserve">gosto de 2013, recebida na Provedoria de Justiça a 09 de agosto de 2013. </w:t>
      </w:r>
    </w:p>
  </w:footnote>
  <w:footnote w:id="99">
    <w:p w:rsidR="007B3401" w:rsidRPr="00D94B66" w:rsidRDefault="007B3401" w:rsidP="00EC45A0">
      <w:pPr>
        <w:pStyle w:val="Textonotapie"/>
        <w:jc w:val="both"/>
        <w:rPr>
          <w:rFonts w:ascii="Garamond" w:hAnsi="Garamond" w:cs="Arial"/>
          <w:i/>
          <w:lang w:val="pt-PT"/>
        </w:rPr>
      </w:pPr>
      <w:r w:rsidRPr="00D94B66">
        <w:rPr>
          <w:rStyle w:val="Refdenotaalpie"/>
          <w:rFonts w:ascii="Garamond" w:hAnsi="Garamond" w:cs="Arial"/>
          <w:i/>
        </w:rPr>
        <w:footnoteRef/>
      </w:r>
      <w:r w:rsidRPr="00D94B66">
        <w:rPr>
          <w:rFonts w:ascii="Garamond" w:hAnsi="Garamond" w:cs="Arial"/>
          <w:i/>
          <w:lang w:val="pt-PT"/>
        </w:rPr>
        <w:t xml:space="preserve">  Op. Cit.</w:t>
      </w:r>
    </w:p>
  </w:footnote>
  <w:footnote w:id="100">
    <w:p w:rsidR="007B3401" w:rsidRPr="00D94B66" w:rsidRDefault="007B3401" w:rsidP="00EC45A0">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sidRPr="00D94B66">
        <w:rPr>
          <w:rFonts w:ascii="Garamond" w:hAnsi="Garamond"/>
          <w:i/>
          <w:lang w:val="pt-PT"/>
        </w:rPr>
        <w:t>Idem.</w:t>
      </w:r>
      <w:r w:rsidRPr="00D94B66">
        <w:rPr>
          <w:rFonts w:ascii="Garamond" w:hAnsi="Garamond"/>
          <w:lang w:val="pt-PT"/>
        </w:rPr>
        <w:t xml:space="preserve"> </w:t>
      </w:r>
    </w:p>
  </w:footnote>
  <w:footnote w:id="101">
    <w:p w:rsidR="007B3401" w:rsidRPr="00D94B66" w:rsidRDefault="007B3401" w:rsidP="00E45CCF">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O assunto foi designado como Caso 12</w:t>
      </w:r>
      <w:r>
        <w:rPr>
          <w:rFonts w:ascii="Garamond" w:hAnsi="Garamond"/>
          <w:lang w:val="pt-PT"/>
        </w:rPr>
        <w:t xml:space="preserve"> </w:t>
      </w:r>
      <w:r w:rsidRPr="00D94B66">
        <w:rPr>
          <w:rFonts w:ascii="Garamond" w:hAnsi="Garamond"/>
          <w:lang w:val="pt-PT"/>
        </w:rPr>
        <w:t>350 pela Comissão Interamericana de Direitos Humanos, que a esse respeito emitiu o Relatório N</w:t>
      </w:r>
      <w:r>
        <w:rPr>
          <w:rFonts w:ascii="Garamond" w:hAnsi="Garamond"/>
          <w:lang w:val="pt-PT"/>
        </w:rPr>
        <w:t>.</w:t>
      </w:r>
      <w:r w:rsidRPr="00D94B66">
        <w:rPr>
          <w:rFonts w:ascii="Garamond" w:hAnsi="Garamond"/>
          <w:lang w:val="pt-PT"/>
        </w:rPr>
        <w:t>°</w:t>
      </w:r>
      <w:r>
        <w:rPr>
          <w:rFonts w:ascii="Garamond" w:hAnsi="Garamond"/>
          <w:lang w:val="pt-PT"/>
        </w:rPr>
        <w:t xml:space="preserve"> </w:t>
      </w:r>
      <w:r w:rsidRPr="00D94B66">
        <w:rPr>
          <w:rFonts w:ascii="Garamond" w:hAnsi="Garamond"/>
          <w:lang w:val="pt-PT"/>
        </w:rPr>
        <w:t>73/01</w:t>
      </w:r>
      <w:r>
        <w:rPr>
          <w:rFonts w:ascii="Garamond" w:hAnsi="Garamond"/>
          <w:lang w:val="pt-PT"/>
        </w:rPr>
        <w:t>,</w:t>
      </w:r>
      <w:r w:rsidRPr="00D94B66">
        <w:rPr>
          <w:rFonts w:ascii="Garamond" w:hAnsi="Garamond"/>
          <w:lang w:val="pt-PT"/>
        </w:rPr>
        <w:t xml:space="preserve"> de 10 de outubro de 2001</w:t>
      </w:r>
      <w:r>
        <w:rPr>
          <w:rFonts w:ascii="Garamond" w:hAnsi="Garamond"/>
          <w:lang w:val="pt-PT"/>
        </w:rPr>
        <w:t>,</w:t>
      </w:r>
      <w:r w:rsidRPr="00D94B66">
        <w:rPr>
          <w:rFonts w:ascii="Garamond" w:hAnsi="Garamond"/>
          <w:lang w:val="pt-PT"/>
        </w:rPr>
        <w:t xml:space="preserve"> sobre admissibilidade (ver &lt;http://www.cidh.oas.org/annualrep/2001sp/Bolivia12350.htm&gt;). </w:t>
      </w:r>
    </w:p>
  </w:footnote>
  <w:footnote w:id="102">
    <w:p w:rsidR="007B3401" w:rsidRPr="00D94B66" w:rsidRDefault="007B3401" w:rsidP="00574DEF">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Lesões Graves, Art. 143.- As lesões consideram-se graves se provocarem incapacidade para manter as ocupações </w:t>
      </w:r>
      <w:r>
        <w:rPr>
          <w:rFonts w:ascii="Garamond" w:hAnsi="Garamond"/>
          <w:lang w:val="pt-PT"/>
        </w:rPr>
        <w:t xml:space="preserve">do dia-a-dia </w:t>
      </w:r>
      <w:r w:rsidRPr="00D94B66">
        <w:rPr>
          <w:rFonts w:ascii="Garamond" w:hAnsi="Garamond"/>
          <w:lang w:val="pt-PT"/>
        </w:rPr>
        <w:t>ou doença</w:t>
      </w:r>
      <w:r>
        <w:rPr>
          <w:rFonts w:ascii="Garamond" w:hAnsi="Garamond"/>
          <w:lang w:val="pt-PT"/>
        </w:rPr>
        <w:t>,</w:t>
      </w:r>
      <w:r w:rsidRPr="00D94B66">
        <w:rPr>
          <w:rFonts w:ascii="Garamond" w:hAnsi="Garamond"/>
          <w:lang w:val="pt-PT"/>
        </w:rPr>
        <w:t xml:space="preserve"> por um período superior a vinte dias, tendo sido necessária a assistência médica ou cirúrgica. Nestes casos impor-se-á a pena de prisão de três a seis anos.</w:t>
      </w:r>
    </w:p>
  </w:footnote>
  <w:footnote w:id="103">
    <w:p w:rsidR="007B3401" w:rsidRPr="00D94B66" w:rsidRDefault="007B3401" w:rsidP="00574DEF">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Lesões Agravadas, Art. </w:t>
      </w:r>
      <w:proofErr w:type="gramStart"/>
      <w:r w:rsidRPr="00D94B66">
        <w:rPr>
          <w:rFonts w:ascii="Garamond" w:hAnsi="Garamond"/>
          <w:lang w:val="pt-PT"/>
        </w:rPr>
        <w:t>145.</w:t>
      </w:r>
      <w:proofErr w:type="gramEnd"/>
      <w:r w:rsidRPr="00D94B66">
        <w:rPr>
          <w:rFonts w:ascii="Garamond" w:hAnsi="Garamond"/>
          <w:lang w:val="pt-PT"/>
        </w:rPr>
        <w:t xml:space="preserve">- Se nos casos descritos nos </w:t>
      </w:r>
      <w:r>
        <w:rPr>
          <w:rFonts w:ascii="Garamond" w:hAnsi="Garamond"/>
          <w:lang w:val="pt-PT"/>
        </w:rPr>
        <w:t>a</w:t>
      </w:r>
      <w:r w:rsidRPr="00D94B66">
        <w:rPr>
          <w:rFonts w:ascii="Garamond" w:hAnsi="Garamond"/>
          <w:lang w:val="pt-PT"/>
        </w:rPr>
        <w:t>rt</w:t>
      </w:r>
      <w:r>
        <w:rPr>
          <w:rFonts w:ascii="Garamond" w:hAnsi="Garamond"/>
          <w:lang w:val="pt-PT"/>
        </w:rPr>
        <w:t>igo</w:t>
      </w:r>
      <w:r w:rsidRPr="00D94B66">
        <w:rPr>
          <w:rFonts w:ascii="Garamond" w:hAnsi="Garamond"/>
          <w:lang w:val="pt-PT"/>
        </w:rPr>
        <w:t>s anteriores, coincidir</w:t>
      </w:r>
      <w:r>
        <w:rPr>
          <w:rFonts w:ascii="Garamond" w:hAnsi="Garamond"/>
          <w:lang w:val="pt-PT"/>
        </w:rPr>
        <w:t>em</w:t>
      </w:r>
      <w:r w:rsidRPr="00D94B66">
        <w:rPr>
          <w:rFonts w:ascii="Garamond" w:hAnsi="Garamond"/>
          <w:lang w:val="pt-PT"/>
        </w:rPr>
        <w:t xml:space="preserve"> alguma das circunstâncias do homicídio agravado, a sanção </w:t>
      </w:r>
      <w:r>
        <w:rPr>
          <w:rFonts w:ascii="Garamond" w:hAnsi="Garamond"/>
          <w:lang w:val="pt-PT"/>
        </w:rPr>
        <w:t xml:space="preserve">será aumentada </w:t>
      </w:r>
      <w:r w:rsidRPr="00D94B66">
        <w:rPr>
          <w:rFonts w:ascii="Garamond" w:hAnsi="Garamond"/>
          <w:lang w:val="pt-PT"/>
        </w:rPr>
        <w:t>até uma terça parte do seu máximo.</w:t>
      </w:r>
    </w:p>
  </w:footnote>
  <w:footnote w:id="104">
    <w:p w:rsidR="007B3401" w:rsidRPr="00D94B66" w:rsidRDefault="007B3401" w:rsidP="00574DEF">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Processo Penal 57-1-2013, de 7 de junho de 2013.</w:t>
      </w:r>
    </w:p>
  </w:footnote>
  <w:footnote w:id="105">
    <w:p w:rsidR="007B3401" w:rsidRPr="00D94B66" w:rsidRDefault="007B3401" w:rsidP="005777DA">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Pode aceder-se à sentença através de &lt;</w:t>
      </w:r>
      <w:hyperlink r:id="rId19" w:history="1">
        <w:r w:rsidRPr="00D94B66">
          <w:rPr>
            <w:rStyle w:val="Hipervnculo"/>
            <w:rFonts w:ascii="Garamond" w:hAnsi="Garamond" w:cs="Arial"/>
            <w:lang w:val="pt-PT"/>
          </w:rPr>
          <w:t>http://www.poderjudicialchiapas.gob.mx/forms/archivos/f1bcrevoca-primera-sala-de-la-scjn-amparo-otorgado-a-caro-quintero.pdf</w:t>
        </w:r>
      </w:hyperlink>
      <w:r w:rsidRPr="00D94B66">
        <w:rPr>
          <w:rFonts w:ascii="Garamond" w:hAnsi="Garamond"/>
          <w:lang w:val="pt-PT"/>
        </w:rPr>
        <w:t>&gt;</w:t>
      </w:r>
    </w:p>
  </w:footnote>
  <w:footnote w:id="106">
    <w:p w:rsidR="007B3401" w:rsidRPr="00D94B66" w:rsidRDefault="007B3401" w:rsidP="00B91ED4">
      <w:pPr>
        <w:jc w:val="both"/>
        <w:rPr>
          <w:rFonts w:ascii="Garamond" w:hAnsi="Garamond" w:cs="Arial"/>
          <w:sz w:val="20"/>
          <w:szCs w:val="20"/>
        </w:rPr>
      </w:pPr>
      <w:r w:rsidRPr="00D94B66">
        <w:rPr>
          <w:rStyle w:val="Refdenotaalpie"/>
          <w:rFonts w:ascii="Garamond" w:hAnsi="Garamond" w:cs="Arial"/>
          <w:sz w:val="20"/>
          <w:szCs w:val="20"/>
        </w:rPr>
        <w:footnoteRef/>
      </w:r>
      <w:r w:rsidRPr="00D94B66">
        <w:rPr>
          <w:rFonts w:ascii="Garamond" w:hAnsi="Garamond" w:cs="Arial"/>
          <w:sz w:val="20"/>
          <w:szCs w:val="20"/>
        </w:rPr>
        <w:t xml:space="preserve"> </w:t>
      </w:r>
      <w:r w:rsidRPr="00D94B66">
        <w:rPr>
          <w:rFonts w:ascii="Garamond" w:hAnsi="Garamond" w:cs="Arial"/>
          <w:spacing w:val="1"/>
          <w:sz w:val="20"/>
          <w:szCs w:val="20"/>
        </w:rPr>
        <w:t>A</w:t>
      </w:r>
      <w:r w:rsidRPr="00D94B66">
        <w:rPr>
          <w:rFonts w:ascii="Garamond" w:hAnsi="Garamond" w:cs="Arial"/>
          <w:sz w:val="20"/>
          <w:szCs w:val="20"/>
        </w:rPr>
        <w:t>s</w:t>
      </w:r>
      <w:r w:rsidRPr="00D94B66">
        <w:rPr>
          <w:rFonts w:ascii="Garamond" w:hAnsi="Garamond" w:cs="Arial"/>
          <w:spacing w:val="26"/>
          <w:sz w:val="20"/>
          <w:szCs w:val="20"/>
        </w:rPr>
        <w:t xml:space="preserve"> </w:t>
      </w:r>
      <w:r w:rsidRPr="00D94B66">
        <w:rPr>
          <w:rFonts w:ascii="Garamond" w:hAnsi="Garamond" w:cs="Arial"/>
          <w:spacing w:val="-2"/>
          <w:sz w:val="20"/>
          <w:szCs w:val="20"/>
        </w:rPr>
        <w:t>situações</w:t>
      </w:r>
      <w:r w:rsidRPr="00D94B66">
        <w:rPr>
          <w:rFonts w:ascii="Garamond" w:hAnsi="Garamond" w:cs="Arial"/>
          <w:spacing w:val="26"/>
          <w:sz w:val="20"/>
          <w:szCs w:val="20"/>
        </w:rPr>
        <w:t xml:space="preserve"> </w:t>
      </w:r>
      <w:r w:rsidRPr="00D94B66">
        <w:rPr>
          <w:rFonts w:ascii="Garamond" w:hAnsi="Garamond" w:cs="Arial"/>
          <w:sz w:val="20"/>
          <w:szCs w:val="20"/>
        </w:rPr>
        <w:t>de</w:t>
      </w:r>
      <w:r w:rsidRPr="00D94B66">
        <w:rPr>
          <w:rFonts w:ascii="Garamond" w:hAnsi="Garamond" w:cs="Arial"/>
          <w:spacing w:val="22"/>
          <w:sz w:val="20"/>
          <w:szCs w:val="20"/>
        </w:rPr>
        <w:t xml:space="preserve"> </w:t>
      </w:r>
      <w:r w:rsidRPr="00D94B66">
        <w:rPr>
          <w:rFonts w:ascii="Garamond" w:hAnsi="Garamond" w:cs="Arial"/>
          <w:spacing w:val="-2"/>
          <w:sz w:val="20"/>
          <w:szCs w:val="20"/>
        </w:rPr>
        <w:t>violência</w:t>
      </w:r>
      <w:r w:rsidRPr="00D94B66">
        <w:rPr>
          <w:rFonts w:ascii="Garamond" w:hAnsi="Garamond" w:cs="Arial"/>
          <w:spacing w:val="24"/>
          <w:sz w:val="20"/>
          <w:szCs w:val="20"/>
        </w:rPr>
        <w:t xml:space="preserve"> a</w:t>
      </w:r>
      <w:r w:rsidRPr="00D94B66">
        <w:rPr>
          <w:rFonts w:ascii="Garamond" w:hAnsi="Garamond" w:cs="Arial"/>
          <w:spacing w:val="1"/>
          <w:sz w:val="20"/>
          <w:szCs w:val="20"/>
        </w:rPr>
        <w:t>pr</w:t>
      </w:r>
      <w:r w:rsidRPr="00D94B66">
        <w:rPr>
          <w:rFonts w:ascii="Garamond" w:hAnsi="Garamond" w:cs="Arial"/>
          <w:spacing w:val="-2"/>
          <w:sz w:val="20"/>
          <w:szCs w:val="20"/>
        </w:rPr>
        <w:t>es</w:t>
      </w:r>
      <w:r w:rsidRPr="00D94B66">
        <w:rPr>
          <w:rFonts w:ascii="Garamond" w:hAnsi="Garamond" w:cs="Arial"/>
          <w:spacing w:val="-7"/>
          <w:sz w:val="20"/>
          <w:szCs w:val="20"/>
        </w:rPr>
        <w:t>e</w:t>
      </w:r>
      <w:r w:rsidRPr="00D94B66">
        <w:rPr>
          <w:rFonts w:ascii="Garamond" w:hAnsi="Garamond" w:cs="Arial"/>
          <w:spacing w:val="1"/>
          <w:sz w:val="20"/>
          <w:szCs w:val="20"/>
        </w:rPr>
        <w:t>n</w:t>
      </w:r>
      <w:r w:rsidRPr="00D94B66">
        <w:rPr>
          <w:rFonts w:ascii="Garamond" w:hAnsi="Garamond" w:cs="Arial"/>
          <w:spacing w:val="-2"/>
          <w:sz w:val="20"/>
          <w:szCs w:val="20"/>
        </w:rPr>
        <w:t>t</w:t>
      </w:r>
      <w:r w:rsidRPr="00D94B66">
        <w:rPr>
          <w:rFonts w:ascii="Garamond" w:hAnsi="Garamond" w:cs="Arial"/>
          <w:spacing w:val="-4"/>
          <w:sz w:val="20"/>
          <w:szCs w:val="20"/>
        </w:rPr>
        <w:t>a</w:t>
      </w:r>
      <w:r w:rsidRPr="00D94B66">
        <w:rPr>
          <w:rFonts w:ascii="Garamond" w:hAnsi="Garamond" w:cs="Arial"/>
          <w:sz w:val="20"/>
          <w:szCs w:val="20"/>
        </w:rPr>
        <w:t>d</w:t>
      </w:r>
      <w:r w:rsidRPr="00D94B66">
        <w:rPr>
          <w:rFonts w:ascii="Garamond" w:hAnsi="Garamond" w:cs="Arial"/>
          <w:spacing w:val="1"/>
          <w:sz w:val="20"/>
          <w:szCs w:val="20"/>
        </w:rPr>
        <w:t>a</w:t>
      </w:r>
      <w:r w:rsidRPr="00D94B66">
        <w:rPr>
          <w:rFonts w:ascii="Garamond" w:hAnsi="Garamond" w:cs="Arial"/>
          <w:sz w:val="20"/>
          <w:szCs w:val="20"/>
        </w:rPr>
        <w:t>s</w:t>
      </w:r>
      <w:r>
        <w:rPr>
          <w:rFonts w:ascii="Garamond" w:hAnsi="Garamond" w:cs="Arial"/>
          <w:sz w:val="20"/>
          <w:szCs w:val="20"/>
        </w:rPr>
        <w:t>,</w:t>
      </w:r>
      <w:r w:rsidRPr="00D94B66">
        <w:rPr>
          <w:rFonts w:ascii="Garamond" w:hAnsi="Garamond" w:cs="Arial"/>
          <w:spacing w:val="26"/>
          <w:sz w:val="20"/>
          <w:szCs w:val="20"/>
        </w:rPr>
        <w:t xml:space="preserve"> </w:t>
      </w:r>
      <w:r w:rsidRPr="00D94B66">
        <w:rPr>
          <w:rFonts w:ascii="Garamond" w:hAnsi="Garamond" w:cs="Arial"/>
          <w:spacing w:val="-7"/>
          <w:sz w:val="20"/>
          <w:szCs w:val="20"/>
        </w:rPr>
        <w:t>em</w:t>
      </w:r>
      <w:r w:rsidRPr="00D94B66">
        <w:rPr>
          <w:rFonts w:ascii="Garamond" w:hAnsi="Garamond" w:cs="Arial"/>
          <w:sz w:val="20"/>
          <w:szCs w:val="20"/>
        </w:rPr>
        <w:t xml:space="preserve"> </w:t>
      </w:r>
      <w:r w:rsidRPr="00D94B66">
        <w:rPr>
          <w:rFonts w:ascii="Garamond" w:hAnsi="Garamond" w:cs="Arial"/>
          <w:spacing w:val="1"/>
          <w:sz w:val="20"/>
          <w:szCs w:val="20"/>
        </w:rPr>
        <w:t>relações</w:t>
      </w:r>
      <w:r w:rsidRPr="00D94B66">
        <w:rPr>
          <w:rFonts w:ascii="Garamond" w:hAnsi="Garamond" w:cs="Arial"/>
          <w:spacing w:val="24"/>
          <w:sz w:val="20"/>
          <w:szCs w:val="20"/>
        </w:rPr>
        <w:t xml:space="preserve"> </w:t>
      </w:r>
      <w:r w:rsidRPr="00D94B66">
        <w:rPr>
          <w:rFonts w:ascii="Garamond" w:hAnsi="Garamond" w:cs="Arial"/>
          <w:sz w:val="20"/>
          <w:szCs w:val="20"/>
        </w:rPr>
        <w:t>de</w:t>
      </w:r>
      <w:r w:rsidRPr="00D94B66">
        <w:rPr>
          <w:rFonts w:ascii="Garamond" w:hAnsi="Garamond" w:cs="Arial"/>
          <w:spacing w:val="24"/>
          <w:sz w:val="20"/>
          <w:szCs w:val="20"/>
        </w:rPr>
        <w:t xml:space="preserve"> </w:t>
      </w:r>
      <w:r w:rsidRPr="00D94B66">
        <w:rPr>
          <w:rFonts w:ascii="Garamond" w:hAnsi="Garamond" w:cs="Arial"/>
          <w:spacing w:val="-3"/>
          <w:sz w:val="20"/>
          <w:szCs w:val="20"/>
        </w:rPr>
        <w:t>namoro</w:t>
      </w:r>
      <w:r w:rsidRPr="00D94B66">
        <w:rPr>
          <w:rFonts w:ascii="Garamond" w:hAnsi="Garamond" w:cs="Arial"/>
          <w:sz w:val="20"/>
          <w:szCs w:val="20"/>
        </w:rPr>
        <w:t>,</w:t>
      </w:r>
      <w:r w:rsidRPr="00D94B66">
        <w:rPr>
          <w:rFonts w:ascii="Garamond" w:hAnsi="Garamond" w:cs="Arial"/>
          <w:spacing w:val="23"/>
          <w:sz w:val="20"/>
          <w:szCs w:val="20"/>
        </w:rPr>
        <w:t xml:space="preserve"> </w:t>
      </w:r>
      <w:r>
        <w:rPr>
          <w:rFonts w:ascii="Garamond" w:hAnsi="Garamond" w:cs="Arial"/>
          <w:spacing w:val="24"/>
          <w:sz w:val="20"/>
          <w:szCs w:val="20"/>
        </w:rPr>
        <w:t xml:space="preserve">em que </w:t>
      </w:r>
      <w:r w:rsidRPr="00D94B66">
        <w:rPr>
          <w:rFonts w:ascii="Garamond" w:hAnsi="Garamond" w:cs="Arial"/>
          <w:spacing w:val="-3"/>
          <w:sz w:val="20"/>
          <w:szCs w:val="20"/>
        </w:rPr>
        <w:t>nã</w:t>
      </w:r>
      <w:r w:rsidRPr="00D94B66">
        <w:rPr>
          <w:rFonts w:ascii="Garamond" w:hAnsi="Garamond" w:cs="Arial"/>
          <w:sz w:val="20"/>
          <w:szCs w:val="20"/>
        </w:rPr>
        <w:t>o</w:t>
      </w:r>
      <w:r w:rsidRPr="00D94B66">
        <w:rPr>
          <w:rFonts w:ascii="Garamond" w:hAnsi="Garamond" w:cs="Arial"/>
          <w:spacing w:val="23"/>
          <w:sz w:val="20"/>
          <w:szCs w:val="20"/>
        </w:rPr>
        <w:t xml:space="preserve"> </w:t>
      </w:r>
      <w:r w:rsidRPr="00D94B66">
        <w:rPr>
          <w:rFonts w:ascii="Garamond" w:hAnsi="Garamond" w:cs="Arial"/>
          <w:spacing w:val="2"/>
          <w:sz w:val="20"/>
          <w:szCs w:val="20"/>
        </w:rPr>
        <w:t>o</w:t>
      </w:r>
      <w:r w:rsidRPr="00D94B66">
        <w:rPr>
          <w:rFonts w:ascii="Garamond" w:hAnsi="Garamond" w:cs="Arial"/>
          <w:spacing w:val="-1"/>
          <w:sz w:val="20"/>
          <w:szCs w:val="20"/>
        </w:rPr>
        <w:t xml:space="preserve">corre </w:t>
      </w:r>
      <w:r w:rsidRPr="00D94B66">
        <w:rPr>
          <w:rFonts w:ascii="Garamond" w:hAnsi="Garamond" w:cs="Arial"/>
          <w:spacing w:val="-3"/>
          <w:sz w:val="20"/>
          <w:szCs w:val="20"/>
        </w:rPr>
        <w:t>i</w:t>
      </w:r>
      <w:r w:rsidRPr="00D94B66">
        <w:rPr>
          <w:rFonts w:ascii="Garamond" w:hAnsi="Garamond" w:cs="Arial"/>
          <w:spacing w:val="1"/>
          <w:sz w:val="20"/>
          <w:szCs w:val="20"/>
        </w:rPr>
        <w:t>n</w:t>
      </w:r>
      <w:r w:rsidRPr="00D94B66">
        <w:rPr>
          <w:rFonts w:ascii="Garamond" w:hAnsi="Garamond" w:cs="Arial"/>
          <w:spacing w:val="-2"/>
          <w:sz w:val="20"/>
          <w:szCs w:val="20"/>
        </w:rPr>
        <w:t>t</w:t>
      </w:r>
      <w:r w:rsidRPr="00D94B66">
        <w:rPr>
          <w:rFonts w:ascii="Garamond" w:hAnsi="Garamond" w:cs="Arial"/>
          <w:spacing w:val="-3"/>
          <w:sz w:val="20"/>
          <w:szCs w:val="20"/>
        </w:rPr>
        <w:t>i</w:t>
      </w:r>
      <w:r w:rsidRPr="00D94B66">
        <w:rPr>
          <w:rFonts w:ascii="Garamond" w:hAnsi="Garamond" w:cs="Arial"/>
          <w:spacing w:val="-2"/>
          <w:sz w:val="20"/>
          <w:szCs w:val="20"/>
        </w:rPr>
        <w:t>m</w:t>
      </w:r>
      <w:r w:rsidRPr="00D94B66">
        <w:rPr>
          <w:rFonts w:ascii="Garamond" w:hAnsi="Garamond" w:cs="Arial"/>
          <w:spacing w:val="2"/>
          <w:sz w:val="20"/>
          <w:szCs w:val="20"/>
        </w:rPr>
        <w:t>i</w:t>
      </w:r>
      <w:r w:rsidRPr="00D94B66">
        <w:rPr>
          <w:rFonts w:ascii="Garamond" w:hAnsi="Garamond" w:cs="Arial"/>
          <w:spacing w:val="-4"/>
          <w:sz w:val="20"/>
          <w:szCs w:val="20"/>
        </w:rPr>
        <w:t>d</w:t>
      </w:r>
      <w:r w:rsidRPr="00D94B66">
        <w:rPr>
          <w:rFonts w:ascii="Garamond" w:hAnsi="Garamond" w:cs="Arial"/>
          <w:spacing w:val="1"/>
          <w:sz w:val="20"/>
          <w:szCs w:val="20"/>
        </w:rPr>
        <w:t>a</w:t>
      </w:r>
      <w:r w:rsidRPr="00D94B66">
        <w:rPr>
          <w:rFonts w:ascii="Garamond" w:hAnsi="Garamond" w:cs="Arial"/>
          <w:sz w:val="20"/>
          <w:szCs w:val="20"/>
        </w:rPr>
        <w:t>de</w:t>
      </w:r>
      <w:r w:rsidRPr="00D94B66">
        <w:rPr>
          <w:rFonts w:ascii="Garamond" w:hAnsi="Garamond" w:cs="Arial"/>
          <w:spacing w:val="26"/>
          <w:sz w:val="20"/>
          <w:szCs w:val="20"/>
        </w:rPr>
        <w:t xml:space="preserve"> </w:t>
      </w:r>
      <w:r w:rsidRPr="00D94B66">
        <w:rPr>
          <w:rFonts w:ascii="Garamond" w:hAnsi="Garamond" w:cs="Arial"/>
          <w:spacing w:val="-2"/>
          <w:sz w:val="20"/>
          <w:szCs w:val="20"/>
        </w:rPr>
        <w:t>se</w:t>
      </w:r>
      <w:r w:rsidRPr="00D94B66">
        <w:rPr>
          <w:rFonts w:ascii="Garamond" w:hAnsi="Garamond" w:cs="Arial"/>
          <w:spacing w:val="-1"/>
          <w:sz w:val="20"/>
          <w:szCs w:val="20"/>
        </w:rPr>
        <w:t>x</w:t>
      </w:r>
      <w:r w:rsidRPr="00D94B66">
        <w:rPr>
          <w:rFonts w:ascii="Garamond" w:hAnsi="Garamond" w:cs="Arial"/>
          <w:spacing w:val="-3"/>
          <w:sz w:val="20"/>
          <w:szCs w:val="20"/>
        </w:rPr>
        <w:t>u</w:t>
      </w:r>
      <w:r w:rsidRPr="00D94B66">
        <w:rPr>
          <w:rFonts w:ascii="Garamond" w:hAnsi="Garamond" w:cs="Arial"/>
          <w:spacing w:val="-4"/>
          <w:sz w:val="20"/>
          <w:szCs w:val="20"/>
        </w:rPr>
        <w:t>a</w:t>
      </w:r>
      <w:r w:rsidRPr="00D94B66">
        <w:rPr>
          <w:rFonts w:ascii="Garamond" w:hAnsi="Garamond" w:cs="Arial"/>
          <w:spacing w:val="2"/>
          <w:sz w:val="20"/>
          <w:szCs w:val="20"/>
        </w:rPr>
        <w:t>l</w:t>
      </w:r>
      <w:r w:rsidRPr="00D94B66">
        <w:rPr>
          <w:rFonts w:ascii="Garamond" w:hAnsi="Garamond" w:cs="Arial"/>
          <w:sz w:val="20"/>
          <w:szCs w:val="20"/>
        </w:rPr>
        <w:t>,</w:t>
      </w:r>
      <w:r w:rsidRPr="00D94B66">
        <w:rPr>
          <w:rFonts w:ascii="Garamond" w:hAnsi="Garamond" w:cs="Arial"/>
          <w:spacing w:val="23"/>
          <w:sz w:val="20"/>
          <w:szCs w:val="20"/>
        </w:rPr>
        <w:t xml:space="preserve"> </w:t>
      </w:r>
      <w:r w:rsidRPr="00D94B66">
        <w:rPr>
          <w:rFonts w:ascii="Garamond" w:hAnsi="Garamond" w:cs="Arial"/>
          <w:spacing w:val="1"/>
          <w:sz w:val="20"/>
          <w:szCs w:val="20"/>
        </w:rPr>
        <w:t>nã</w:t>
      </w:r>
      <w:r w:rsidRPr="00D94B66">
        <w:rPr>
          <w:rFonts w:ascii="Garamond" w:hAnsi="Garamond" w:cs="Arial"/>
          <w:sz w:val="20"/>
          <w:szCs w:val="20"/>
        </w:rPr>
        <w:t>o</w:t>
      </w:r>
      <w:r w:rsidRPr="00D94B66">
        <w:rPr>
          <w:rFonts w:ascii="Garamond" w:hAnsi="Garamond" w:cs="Arial"/>
          <w:spacing w:val="27"/>
          <w:sz w:val="20"/>
          <w:szCs w:val="20"/>
        </w:rPr>
        <w:t xml:space="preserve"> </w:t>
      </w:r>
      <w:r w:rsidRPr="00D94B66">
        <w:rPr>
          <w:rFonts w:ascii="Garamond" w:hAnsi="Garamond" w:cs="Arial"/>
          <w:spacing w:val="-7"/>
          <w:sz w:val="20"/>
          <w:szCs w:val="20"/>
        </w:rPr>
        <w:t>são</w:t>
      </w:r>
      <w:r w:rsidRPr="00D94B66">
        <w:rPr>
          <w:rFonts w:ascii="Garamond" w:hAnsi="Garamond" w:cs="Arial"/>
          <w:spacing w:val="27"/>
          <w:sz w:val="20"/>
          <w:szCs w:val="20"/>
        </w:rPr>
        <w:t xml:space="preserve"> consideradas pe</w:t>
      </w:r>
      <w:r w:rsidRPr="00D94B66">
        <w:rPr>
          <w:rFonts w:ascii="Garamond" w:hAnsi="Garamond" w:cs="Arial"/>
          <w:spacing w:val="2"/>
          <w:sz w:val="20"/>
          <w:szCs w:val="20"/>
        </w:rPr>
        <w:t>lo</w:t>
      </w:r>
      <w:r w:rsidRPr="00D94B66">
        <w:rPr>
          <w:rFonts w:ascii="Garamond" w:hAnsi="Garamond" w:cs="Arial"/>
          <w:sz w:val="20"/>
          <w:szCs w:val="20"/>
        </w:rPr>
        <w:t>s</w:t>
      </w:r>
      <w:r w:rsidRPr="00D94B66">
        <w:rPr>
          <w:rFonts w:ascii="Garamond" w:hAnsi="Garamond" w:cs="Arial"/>
          <w:spacing w:val="19"/>
          <w:sz w:val="20"/>
          <w:szCs w:val="20"/>
        </w:rPr>
        <w:t xml:space="preserve"> </w:t>
      </w:r>
      <w:r w:rsidRPr="00D94B66">
        <w:rPr>
          <w:rFonts w:ascii="Garamond" w:hAnsi="Garamond" w:cs="Arial"/>
          <w:spacing w:val="-2"/>
          <w:sz w:val="20"/>
          <w:szCs w:val="20"/>
        </w:rPr>
        <w:t>est</w:t>
      </w:r>
      <w:r w:rsidRPr="00D94B66">
        <w:rPr>
          <w:rFonts w:ascii="Garamond" w:hAnsi="Garamond" w:cs="Arial"/>
          <w:spacing w:val="1"/>
          <w:sz w:val="20"/>
          <w:szCs w:val="20"/>
        </w:rPr>
        <w:t>a</w:t>
      </w:r>
      <w:r w:rsidRPr="00D94B66">
        <w:rPr>
          <w:rFonts w:ascii="Garamond" w:hAnsi="Garamond" w:cs="Arial"/>
          <w:spacing w:val="-6"/>
          <w:sz w:val="20"/>
          <w:szCs w:val="20"/>
        </w:rPr>
        <w:t>t</w:t>
      </w:r>
      <w:r w:rsidRPr="00D94B66">
        <w:rPr>
          <w:rFonts w:ascii="Garamond" w:hAnsi="Garamond" w:cs="Arial"/>
          <w:spacing w:val="2"/>
          <w:sz w:val="20"/>
          <w:szCs w:val="20"/>
        </w:rPr>
        <w:t>u</w:t>
      </w:r>
      <w:r w:rsidRPr="00D94B66">
        <w:rPr>
          <w:rFonts w:ascii="Garamond" w:hAnsi="Garamond" w:cs="Arial"/>
          <w:spacing w:val="-6"/>
          <w:sz w:val="20"/>
          <w:szCs w:val="20"/>
        </w:rPr>
        <w:t>t</w:t>
      </w:r>
      <w:r w:rsidRPr="00D94B66">
        <w:rPr>
          <w:rFonts w:ascii="Garamond" w:hAnsi="Garamond" w:cs="Arial"/>
          <w:spacing w:val="2"/>
          <w:sz w:val="20"/>
          <w:szCs w:val="20"/>
        </w:rPr>
        <w:t>o</w:t>
      </w:r>
      <w:r w:rsidRPr="00D94B66">
        <w:rPr>
          <w:rFonts w:ascii="Garamond" w:hAnsi="Garamond" w:cs="Arial"/>
          <w:sz w:val="20"/>
          <w:szCs w:val="20"/>
        </w:rPr>
        <w:t>s</w:t>
      </w:r>
      <w:r w:rsidRPr="00D94B66">
        <w:rPr>
          <w:rFonts w:ascii="Garamond" w:hAnsi="Garamond" w:cs="Arial"/>
          <w:spacing w:val="19"/>
          <w:sz w:val="20"/>
          <w:szCs w:val="20"/>
        </w:rPr>
        <w:t xml:space="preserve"> </w:t>
      </w:r>
      <w:r w:rsidRPr="00D94B66">
        <w:rPr>
          <w:rFonts w:ascii="Garamond" w:hAnsi="Garamond" w:cs="Arial"/>
          <w:spacing w:val="2"/>
          <w:sz w:val="20"/>
          <w:szCs w:val="20"/>
        </w:rPr>
        <w:t>legais</w:t>
      </w:r>
      <w:r w:rsidRPr="00D94B66">
        <w:rPr>
          <w:rFonts w:ascii="Garamond" w:hAnsi="Garamond" w:cs="Arial"/>
          <w:spacing w:val="19"/>
          <w:sz w:val="20"/>
          <w:szCs w:val="20"/>
        </w:rPr>
        <w:t xml:space="preserve"> </w:t>
      </w:r>
      <w:r w:rsidRPr="00D94B66">
        <w:rPr>
          <w:rFonts w:ascii="Garamond" w:hAnsi="Garamond" w:cs="Arial"/>
          <w:sz w:val="20"/>
          <w:szCs w:val="20"/>
        </w:rPr>
        <w:t>da</w:t>
      </w:r>
      <w:r w:rsidRPr="00D94B66">
        <w:rPr>
          <w:rFonts w:ascii="Garamond" w:hAnsi="Garamond" w:cs="Arial"/>
          <w:spacing w:val="22"/>
          <w:sz w:val="20"/>
          <w:szCs w:val="20"/>
        </w:rPr>
        <w:t xml:space="preserve"> </w:t>
      </w:r>
      <w:r w:rsidRPr="00D94B66">
        <w:rPr>
          <w:rFonts w:ascii="Garamond" w:hAnsi="Garamond" w:cs="Arial"/>
          <w:spacing w:val="-2"/>
          <w:sz w:val="20"/>
          <w:szCs w:val="20"/>
        </w:rPr>
        <w:t>Lei</w:t>
      </w:r>
      <w:r w:rsidRPr="00D94B66">
        <w:rPr>
          <w:rFonts w:ascii="Garamond" w:hAnsi="Garamond" w:cs="Arial"/>
          <w:spacing w:val="18"/>
          <w:sz w:val="20"/>
          <w:szCs w:val="20"/>
        </w:rPr>
        <w:t xml:space="preserve"> </w:t>
      </w:r>
      <w:r w:rsidRPr="00D94B66">
        <w:rPr>
          <w:rFonts w:ascii="Garamond" w:hAnsi="Garamond" w:cs="Arial"/>
          <w:spacing w:val="-2"/>
          <w:sz w:val="20"/>
          <w:szCs w:val="20"/>
        </w:rPr>
        <w:t>5</w:t>
      </w:r>
      <w:r w:rsidRPr="00D94B66">
        <w:rPr>
          <w:rFonts w:ascii="Garamond" w:hAnsi="Garamond" w:cs="Arial"/>
          <w:sz w:val="20"/>
          <w:szCs w:val="20"/>
        </w:rPr>
        <w:t>4</w:t>
      </w:r>
      <w:r w:rsidRPr="00D94B66">
        <w:rPr>
          <w:rFonts w:ascii="Garamond" w:hAnsi="Garamond" w:cs="Arial"/>
          <w:spacing w:val="19"/>
          <w:sz w:val="20"/>
          <w:szCs w:val="20"/>
        </w:rPr>
        <w:t xml:space="preserve"> </w:t>
      </w:r>
      <w:r w:rsidRPr="00D94B66">
        <w:rPr>
          <w:rFonts w:ascii="Garamond" w:hAnsi="Garamond" w:cs="Arial"/>
          <w:sz w:val="20"/>
          <w:szCs w:val="20"/>
        </w:rPr>
        <w:t>de</w:t>
      </w:r>
      <w:r w:rsidRPr="00D94B66">
        <w:rPr>
          <w:rFonts w:ascii="Garamond" w:hAnsi="Garamond" w:cs="Arial"/>
          <w:spacing w:val="19"/>
          <w:sz w:val="20"/>
          <w:szCs w:val="20"/>
        </w:rPr>
        <w:t xml:space="preserve"> </w:t>
      </w:r>
      <w:r w:rsidRPr="00D94B66">
        <w:rPr>
          <w:rFonts w:ascii="Garamond" w:hAnsi="Garamond" w:cs="Arial"/>
          <w:spacing w:val="-2"/>
          <w:sz w:val="20"/>
          <w:szCs w:val="20"/>
        </w:rPr>
        <w:t>violência</w:t>
      </w:r>
      <w:r w:rsidRPr="00D94B66">
        <w:rPr>
          <w:rFonts w:ascii="Garamond" w:hAnsi="Garamond" w:cs="Arial"/>
          <w:spacing w:val="17"/>
          <w:sz w:val="20"/>
          <w:szCs w:val="20"/>
        </w:rPr>
        <w:t xml:space="preserve"> </w:t>
      </w:r>
      <w:r w:rsidRPr="00D94B66">
        <w:rPr>
          <w:rFonts w:ascii="Garamond" w:hAnsi="Garamond" w:cs="Arial"/>
          <w:sz w:val="20"/>
          <w:szCs w:val="20"/>
        </w:rPr>
        <w:t>d</w:t>
      </w:r>
      <w:r w:rsidRPr="00D94B66">
        <w:rPr>
          <w:rFonts w:ascii="Garamond" w:hAnsi="Garamond" w:cs="Arial"/>
          <w:spacing w:val="2"/>
          <w:sz w:val="20"/>
          <w:szCs w:val="20"/>
        </w:rPr>
        <w:t>o</w:t>
      </w:r>
      <w:r w:rsidRPr="00D94B66">
        <w:rPr>
          <w:rFonts w:ascii="Garamond" w:hAnsi="Garamond" w:cs="Arial"/>
          <w:spacing w:val="-2"/>
          <w:sz w:val="20"/>
          <w:szCs w:val="20"/>
        </w:rPr>
        <w:t>més</w:t>
      </w:r>
      <w:r w:rsidRPr="00D94B66">
        <w:rPr>
          <w:rFonts w:ascii="Garamond" w:hAnsi="Garamond" w:cs="Arial"/>
          <w:spacing w:val="-6"/>
          <w:sz w:val="20"/>
          <w:szCs w:val="20"/>
        </w:rPr>
        <w:t>t</w:t>
      </w:r>
      <w:r w:rsidRPr="00D94B66">
        <w:rPr>
          <w:rFonts w:ascii="Garamond" w:hAnsi="Garamond" w:cs="Arial"/>
          <w:spacing w:val="2"/>
          <w:sz w:val="20"/>
          <w:szCs w:val="20"/>
        </w:rPr>
        <w:t>i</w:t>
      </w:r>
      <w:r w:rsidRPr="00D94B66">
        <w:rPr>
          <w:rFonts w:ascii="Garamond" w:hAnsi="Garamond" w:cs="Arial"/>
          <w:spacing w:val="-1"/>
          <w:sz w:val="20"/>
          <w:szCs w:val="20"/>
        </w:rPr>
        <w:t>c</w:t>
      </w:r>
      <w:r w:rsidRPr="00D94B66">
        <w:rPr>
          <w:rFonts w:ascii="Garamond" w:hAnsi="Garamond" w:cs="Arial"/>
          <w:spacing w:val="1"/>
          <w:sz w:val="20"/>
          <w:szCs w:val="20"/>
        </w:rPr>
        <w:t>a</w:t>
      </w:r>
      <w:r w:rsidRPr="00D94B66">
        <w:rPr>
          <w:rFonts w:ascii="Garamond" w:hAnsi="Garamond" w:cs="Arial"/>
          <w:sz w:val="20"/>
          <w:szCs w:val="20"/>
        </w:rPr>
        <w:t>.</w:t>
      </w:r>
      <w:r w:rsidRPr="00D94B66">
        <w:rPr>
          <w:rFonts w:ascii="Garamond" w:hAnsi="Garamond" w:cs="Arial"/>
          <w:spacing w:val="39"/>
          <w:sz w:val="20"/>
          <w:szCs w:val="20"/>
        </w:rPr>
        <w:t xml:space="preserve"> </w:t>
      </w:r>
      <w:r w:rsidRPr="00D94B66">
        <w:rPr>
          <w:rFonts w:ascii="Garamond" w:hAnsi="Garamond" w:cs="Arial"/>
          <w:spacing w:val="-5"/>
          <w:sz w:val="20"/>
          <w:szCs w:val="20"/>
        </w:rPr>
        <w:t>P</w:t>
      </w:r>
      <w:r w:rsidRPr="00D94B66">
        <w:rPr>
          <w:rFonts w:ascii="Garamond" w:hAnsi="Garamond" w:cs="Arial"/>
          <w:spacing w:val="1"/>
          <w:sz w:val="20"/>
          <w:szCs w:val="20"/>
        </w:rPr>
        <w:t>a</w:t>
      </w:r>
      <w:r w:rsidRPr="00D94B66">
        <w:rPr>
          <w:rFonts w:ascii="Garamond" w:hAnsi="Garamond" w:cs="Arial"/>
          <w:spacing w:val="-3"/>
          <w:sz w:val="20"/>
          <w:szCs w:val="20"/>
        </w:rPr>
        <w:t>r</w:t>
      </w:r>
      <w:r w:rsidRPr="00D94B66">
        <w:rPr>
          <w:rFonts w:ascii="Garamond" w:hAnsi="Garamond" w:cs="Arial"/>
          <w:sz w:val="20"/>
          <w:szCs w:val="20"/>
        </w:rPr>
        <w:t xml:space="preserve">a </w:t>
      </w:r>
      <w:r w:rsidRPr="00D94B66">
        <w:rPr>
          <w:rFonts w:ascii="Garamond" w:hAnsi="Garamond" w:cs="Arial"/>
          <w:spacing w:val="1"/>
          <w:sz w:val="20"/>
          <w:szCs w:val="20"/>
        </w:rPr>
        <w:t>a</w:t>
      </w:r>
      <w:r w:rsidRPr="00D94B66">
        <w:rPr>
          <w:rFonts w:ascii="Garamond" w:hAnsi="Garamond" w:cs="Arial"/>
          <w:spacing w:val="-2"/>
          <w:sz w:val="20"/>
          <w:szCs w:val="20"/>
        </w:rPr>
        <w:t>te</w:t>
      </w:r>
      <w:r w:rsidRPr="00D94B66">
        <w:rPr>
          <w:rFonts w:ascii="Garamond" w:hAnsi="Garamond" w:cs="Arial"/>
          <w:spacing w:val="1"/>
          <w:sz w:val="20"/>
          <w:szCs w:val="20"/>
        </w:rPr>
        <w:t>n</w:t>
      </w:r>
      <w:r w:rsidRPr="00D94B66">
        <w:rPr>
          <w:rFonts w:ascii="Garamond" w:hAnsi="Garamond" w:cs="Arial"/>
          <w:sz w:val="20"/>
          <w:szCs w:val="20"/>
        </w:rPr>
        <w:t>d</w:t>
      </w:r>
      <w:r w:rsidRPr="00D94B66">
        <w:rPr>
          <w:rFonts w:ascii="Garamond" w:hAnsi="Garamond" w:cs="Arial"/>
          <w:spacing w:val="-7"/>
          <w:sz w:val="20"/>
          <w:szCs w:val="20"/>
        </w:rPr>
        <w:t>e</w:t>
      </w:r>
      <w:r w:rsidRPr="00D94B66">
        <w:rPr>
          <w:rFonts w:ascii="Garamond" w:hAnsi="Garamond" w:cs="Arial"/>
          <w:sz w:val="20"/>
          <w:szCs w:val="20"/>
        </w:rPr>
        <w:t>r</w:t>
      </w:r>
      <w:r w:rsidRPr="00D94B66">
        <w:rPr>
          <w:rFonts w:ascii="Garamond" w:hAnsi="Garamond" w:cs="Arial"/>
          <w:spacing w:val="27"/>
          <w:sz w:val="20"/>
          <w:szCs w:val="20"/>
        </w:rPr>
        <w:t xml:space="preserve"> </w:t>
      </w:r>
      <w:r w:rsidRPr="00D94B66">
        <w:rPr>
          <w:rFonts w:ascii="Garamond" w:hAnsi="Garamond" w:cs="Arial"/>
          <w:spacing w:val="-2"/>
          <w:sz w:val="20"/>
          <w:szCs w:val="20"/>
        </w:rPr>
        <w:t>est</w:t>
      </w:r>
      <w:r w:rsidRPr="00D94B66">
        <w:rPr>
          <w:rFonts w:ascii="Garamond" w:hAnsi="Garamond" w:cs="Arial"/>
          <w:spacing w:val="1"/>
          <w:sz w:val="20"/>
          <w:szCs w:val="20"/>
        </w:rPr>
        <w:t>a</w:t>
      </w:r>
      <w:r w:rsidRPr="00D94B66">
        <w:rPr>
          <w:rFonts w:ascii="Garamond" w:hAnsi="Garamond" w:cs="Arial"/>
          <w:sz w:val="20"/>
          <w:szCs w:val="20"/>
        </w:rPr>
        <w:t>s</w:t>
      </w:r>
      <w:r w:rsidRPr="00D94B66">
        <w:rPr>
          <w:rFonts w:ascii="Garamond" w:hAnsi="Garamond" w:cs="Arial"/>
          <w:spacing w:val="24"/>
          <w:sz w:val="20"/>
          <w:szCs w:val="20"/>
        </w:rPr>
        <w:t xml:space="preserve"> </w:t>
      </w:r>
      <w:r w:rsidRPr="00D94B66">
        <w:rPr>
          <w:rFonts w:ascii="Garamond" w:hAnsi="Garamond" w:cs="Arial"/>
          <w:spacing w:val="-2"/>
          <w:sz w:val="20"/>
          <w:szCs w:val="20"/>
        </w:rPr>
        <w:t>situações</w:t>
      </w:r>
      <w:r w:rsidRPr="00D94B66">
        <w:rPr>
          <w:rFonts w:ascii="Garamond" w:hAnsi="Garamond" w:cs="Arial"/>
          <w:spacing w:val="24"/>
          <w:sz w:val="20"/>
          <w:szCs w:val="20"/>
        </w:rPr>
        <w:t xml:space="preserve"> </w:t>
      </w:r>
      <w:r w:rsidRPr="00D94B66">
        <w:rPr>
          <w:rFonts w:ascii="Garamond" w:hAnsi="Garamond" w:cs="Arial"/>
          <w:spacing w:val="-2"/>
          <w:sz w:val="20"/>
          <w:szCs w:val="20"/>
        </w:rPr>
        <w:t>e</w:t>
      </w:r>
      <w:r w:rsidRPr="00D94B66">
        <w:rPr>
          <w:rFonts w:ascii="Garamond" w:hAnsi="Garamond" w:cs="Arial"/>
          <w:spacing w:val="-1"/>
          <w:sz w:val="20"/>
          <w:szCs w:val="20"/>
        </w:rPr>
        <w:t>x</w:t>
      </w:r>
      <w:r w:rsidRPr="00D94B66">
        <w:rPr>
          <w:rFonts w:ascii="Garamond" w:hAnsi="Garamond" w:cs="Arial"/>
          <w:spacing w:val="2"/>
          <w:sz w:val="20"/>
          <w:szCs w:val="20"/>
        </w:rPr>
        <w:t>i</w:t>
      </w:r>
      <w:r w:rsidRPr="00D94B66">
        <w:rPr>
          <w:rFonts w:ascii="Garamond" w:hAnsi="Garamond" w:cs="Arial"/>
          <w:spacing w:val="-2"/>
          <w:sz w:val="20"/>
          <w:szCs w:val="20"/>
        </w:rPr>
        <w:t>st</w:t>
      </w:r>
      <w:r w:rsidRPr="00D94B66">
        <w:rPr>
          <w:rFonts w:ascii="Garamond" w:hAnsi="Garamond" w:cs="Arial"/>
          <w:spacing w:val="-7"/>
          <w:sz w:val="20"/>
          <w:szCs w:val="20"/>
        </w:rPr>
        <w:t>em</w:t>
      </w:r>
      <w:r w:rsidRPr="00D94B66">
        <w:rPr>
          <w:rFonts w:ascii="Garamond" w:hAnsi="Garamond" w:cs="Arial"/>
          <w:spacing w:val="27"/>
          <w:sz w:val="20"/>
          <w:szCs w:val="20"/>
        </w:rPr>
        <w:t xml:space="preserve"> </w:t>
      </w:r>
      <w:r w:rsidRPr="00D94B66">
        <w:rPr>
          <w:rFonts w:ascii="Garamond" w:hAnsi="Garamond" w:cs="Arial"/>
          <w:spacing w:val="2"/>
          <w:sz w:val="20"/>
          <w:szCs w:val="20"/>
        </w:rPr>
        <w:t>outra</w:t>
      </w:r>
      <w:r w:rsidRPr="00D94B66">
        <w:rPr>
          <w:rFonts w:ascii="Garamond" w:hAnsi="Garamond" w:cs="Arial"/>
          <w:sz w:val="20"/>
          <w:szCs w:val="20"/>
        </w:rPr>
        <w:t>s</w:t>
      </w:r>
      <w:r w:rsidRPr="00D94B66">
        <w:rPr>
          <w:rFonts w:ascii="Garamond" w:hAnsi="Garamond" w:cs="Arial"/>
          <w:spacing w:val="24"/>
          <w:sz w:val="20"/>
          <w:szCs w:val="20"/>
        </w:rPr>
        <w:t xml:space="preserve"> </w:t>
      </w:r>
      <w:r w:rsidRPr="00D94B66">
        <w:rPr>
          <w:rFonts w:ascii="Garamond" w:hAnsi="Garamond" w:cs="Arial"/>
          <w:spacing w:val="1"/>
          <w:sz w:val="20"/>
          <w:szCs w:val="20"/>
        </w:rPr>
        <w:t>a</w:t>
      </w:r>
      <w:r w:rsidRPr="00D94B66">
        <w:rPr>
          <w:rFonts w:ascii="Garamond" w:hAnsi="Garamond" w:cs="Arial"/>
          <w:spacing w:val="2"/>
          <w:sz w:val="20"/>
          <w:szCs w:val="20"/>
        </w:rPr>
        <w:t>l</w:t>
      </w:r>
      <w:r w:rsidRPr="00D94B66">
        <w:rPr>
          <w:rFonts w:ascii="Garamond" w:hAnsi="Garamond" w:cs="Arial"/>
          <w:spacing w:val="-2"/>
          <w:sz w:val="20"/>
          <w:szCs w:val="20"/>
        </w:rPr>
        <w:t>t</w:t>
      </w:r>
      <w:r w:rsidRPr="00D94B66">
        <w:rPr>
          <w:rFonts w:ascii="Garamond" w:hAnsi="Garamond" w:cs="Arial"/>
          <w:spacing w:val="-7"/>
          <w:sz w:val="20"/>
          <w:szCs w:val="20"/>
        </w:rPr>
        <w:t>e</w:t>
      </w:r>
      <w:r w:rsidRPr="00D94B66">
        <w:rPr>
          <w:rFonts w:ascii="Garamond" w:hAnsi="Garamond" w:cs="Arial"/>
          <w:spacing w:val="1"/>
          <w:sz w:val="20"/>
          <w:szCs w:val="20"/>
        </w:rPr>
        <w:t>r</w:t>
      </w:r>
      <w:r w:rsidRPr="00D94B66">
        <w:rPr>
          <w:rFonts w:ascii="Garamond" w:hAnsi="Garamond" w:cs="Arial"/>
          <w:spacing w:val="-3"/>
          <w:sz w:val="20"/>
          <w:szCs w:val="20"/>
        </w:rPr>
        <w:t>n</w:t>
      </w:r>
      <w:r w:rsidRPr="00D94B66">
        <w:rPr>
          <w:rFonts w:ascii="Garamond" w:hAnsi="Garamond" w:cs="Arial"/>
          <w:spacing w:val="1"/>
          <w:sz w:val="20"/>
          <w:szCs w:val="20"/>
        </w:rPr>
        <w:t>a</w:t>
      </w:r>
      <w:r w:rsidRPr="00D94B66">
        <w:rPr>
          <w:rFonts w:ascii="Garamond" w:hAnsi="Garamond" w:cs="Arial"/>
          <w:spacing w:val="-2"/>
          <w:sz w:val="20"/>
          <w:szCs w:val="20"/>
        </w:rPr>
        <w:t>t</w:t>
      </w:r>
      <w:r w:rsidRPr="00D94B66">
        <w:rPr>
          <w:rFonts w:ascii="Garamond" w:hAnsi="Garamond" w:cs="Arial"/>
          <w:spacing w:val="-3"/>
          <w:sz w:val="20"/>
          <w:szCs w:val="20"/>
        </w:rPr>
        <w:t>i</w:t>
      </w:r>
      <w:r w:rsidRPr="00D94B66">
        <w:rPr>
          <w:rFonts w:ascii="Garamond" w:hAnsi="Garamond" w:cs="Arial"/>
          <w:spacing w:val="-2"/>
          <w:sz w:val="20"/>
          <w:szCs w:val="20"/>
        </w:rPr>
        <w:t>v</w:t>
      </w:r>
      <w:r w:rsidRPr="00D94B66">
        <w:rPr>
          <w:rFonts w:ascii="Garamond" w:hAnsi="Garamond" w:cs="Arial"/>
          <w:spacing w:val="1"/>
          <w:sz w:val="20"/>
          <w:szCs w:val="20"/>
        </w:rPr>
        <w:t>a</w:t>
      </w:r>
      <w:r w:rsidRPr="00D94B66">
        <w:rPr>
          <w:rFonts w:ascii="Garamond" w:hAnsi="Garamond" w:cs="Arial"/>
          <w:sz w:val="20"/>
          <w:szCs w:val="20"/>
        </w:rPr>
        <w:t>s</w:t>
      </w:r>
      <w:r w:rsidRPr="00D94B66">
        <w:rPr>
          <w:rFonts w:ascii="Garamond" w:hAnsi="Garamond" w:cs="Arial"/>
          <w:spacing w:val="24"/>
          <w:sz w:val="20"/>
          <w:szCs w:val="20"/>
        </w:rPr>
        <w:t xml:space="preserve"> </w:t>
      </w:r>
      <w:r w:rsidRPr="00D94B66">
        <w:rPr>
          <w:rFonts w:ascii="Garamond" w:hAnsi="Garamond" w:cs="Arial"/>
          <w:spacing w:val="2"/>
          <w:sz w:val="20"/>
          <w:szCs w:val="20"/>
        </w:rPr>
        <w:t>legais</w:t>
      </w:r>
      <w:r w:rsidRPr="00D94B66">
        <w:rPr>
          <w:rFonts w:ascii="Garamond" w:hAnsi="Garamond" w:cs="Arial"/>
          <w:spacing w:val="24"/>
          <w:sz w:val="20"/>
          <w:szCs w:val="20"/>
        </w:rPr>
        <w:t xml:space="preserve"> no </w:t>
      </w:r>
      <w:r w:rsidRPr="00D94B66">
        <w:rPr>
          <w:rFonts w:ascii="Garamond" w:hAnsi="Garamond" w:cs="Arial"/>
          <w:spacing w:val="-1"/>
          <w:sz w:val="20"/>
          <w:szCs w:val="20"/>
        </w:rPr>
        <w:t>C</w:t>
      </w:r>
      <w:r w:rsidRPr="00D94B66">
        <w:rPr>
          <w:rFonts w:ascii="Garamond" w:hAnsi="Garamond" w:cs="Arial"/>
          <w:spacing w:val="2"/>
          <w:sz w:val="20"/>
          <w:szCs w:val="20"/>
        </w:rPr>
        <w:t>ó</w:t>
      </w:r>
      <w:r w:rsidRPr="00D94B66">
        <w:rPr>
          <w:rFonts w:ascii="Garamond" w:hAnsi="Garamond" w:cs="Arial"/>
          <w:spacing w:val="-4"/>
          <w:sz w:val="20"/>
          <w:szCs w:val="20"/>
        </w:rPr>
        <w:t>d</w:t>
      </w:r>
      <w:r w:rsidRPr="00D94B66">
        <w:rPr>
          <w:rFonts w:ascii="Garamond" w:hAnsi="Garamond" w:cs="Arial"/>
          <w:spacing w:val="2"/>
          <w:sz w:val="20"/>
          <w:szCs w:val="20"/>
        </w:rPr>
        <w:t>i</w:t>
      </w:r>
      <w:r w:rsidRPr="00D94B66">
        <w:rPr>
          <w:rFonts w:ascii="Garamond" w:hAnsi="Garamond" w:cs="Arial"/>
          <w:spacing w:val="-6"/>
          <w:sz w:val="20"/>
          <w:szCs w:val="20"/>
        </w:rPr>
        <w:t>g</w:t>
      </w:r>
      <w:r w:rsidRPr="00D94B66">
        <w:rPr>
          <w:rFonts w:ascii="Garamond" w:hAnsi="Garamond" w:cs="Arial"/>
          <w:sz w:val="20"/>
          <w:szCs w:val="20"/>
        </w:rPr>
        <w:t>o</w:t>
      </w:r>
      <w:r w:rsidRPr="00D94B66">
        <w:rPr>
          <w:rFonts w:ascii="Garamond" w:hAnsi="Garamond" w:cs="Arial"/>
          <w:spacing w:val="27"/>
          <w:sz w:val="20"/>
          <w:szCs w:val="20"/>
        </w:rPr>
        <w:t xml:space="preserve"> </w:t>
      </w:r>
      <w:r w:rsidRPr="00D94B66">
        <w:rPr>
          <w:rFonts w:ascii="Garamond" w:hAnsi="Garamond" w:cs="Arial"/>
          <w:sz w:val="20"/>
          <w:szCs w:val="20"/>
        </w:rPr>
        <w:t>P</w:t>
      </w:r>
      <w:r w:rsidRPr="00D94B66">
        <w:rPr>
          <w:rFonts w:ascii="Garamond" w:hAnsi="Garamond" w:cs="Arial"/>
          <w:spacing w:val="-2"/>
          <w:sz w:val="20"/>
          <w:szCs w:val="20"/>
        </w:rPr>
        <w:t>e</w:t>
      </w:r>
      <w:r w:rsidRPr="00D94B66">
        <w:rPr>
          <w:rFonts w:ascii="Garamond" w:hAnsi="Garamond" w:cs="Arial"/>
          <w:spacing w:val="-3"/>
          <w:sz w:val="20"/>
          <w:szCs w:val="20"/>
        </w:rPr>
        <w:t>n</w:t>
      </w:r>
      <w:r w:rsidRPr="00D94B66">
        <w:rPr>
          <w:rFonts w:ascii="Garamond" w:hAnsi="Garamond" w:cs="Arial"/>
          <w:spacing w:val="1"/>
          <w:sz w:val="20"/>
          <w:szCs w:val="20"/>
        </w:rPr>
        <w:t>a</w:t>
      </w:r>
      <w:r w:rsidRPr="00D94B66">
        <w:rPr>
          <w:rFonts w:ascii="Garamond" w:hAnsi="Garamond" w:cs="Arial"/>
          <w:sz w:val="20"/>
          <w:szCs w:val="20"/>
        </w:rPr>
        <w:t>l</w:t>
      </w:r>
      <w:r w:rsidRPr="00D94B66">
        <w:rPr>
          <w:rFonts w:ascii="Garamond" w:hAnsi="Garamond" w:cs="Arial"/>
          <w:spacing w:val="29"/>
          <w:sz w:val="20"/>
          <w:szCs w:val="20"/>
        </w:rPr>
        <w:t xml:space="preserve"> </w:t>
      </w:r>
      <w:r w:rsidRPr="00D94B66">
        <w:rPr>
          <w:rFonts w:ascii="Garamond" w:hAnsi="Garamond" w:cs="Arial"/>
          <w:sz w:val="20"/>
          <w:szCs w:val="20"/>
        </w:rPr>
        <w:t>de Po</w:t>
      </w:r>
      <w:r w:rsidRPr="00D94B66">
        <w:rPr>
          <w:rFonts w:ascii="Garamond" w:hAnsi="Garamond" w:cs="Arial"/>
          <w:spacing w:val="1"/>
          <w:sz w:val="20"/>
          <w:szCs w:val="20"/>
        </w:rPr>
        <w:t>r</w:t>
      </w:r>
      <w:r w:rsidRPr="00D94B66">
        <w:rPr>
          <w:rFonts w:ascii="Garamond" w:hAnsi="Garamond" w:cs="Arial"/>
          <w:spacing w:val="-6"/>
          <w:sz w:val="20"/>
          <w:szCs w:val="20"/>
        </w:rPr>
        <w:t>t</w:t>
      </w:r>
      <w:r w:rsidRPr="00D94B66">
        <w:rPr>
          <w:rFonts w:ascii="Garamond" w:hAnsi="Garamond" w:cs="Arial"/>
          <w:sz w:val="20"/>
          <w:szCs w:val="20"/>
        </w:rPr>
        <w:t>o</w:t>
      </w:r>
      <w:r w:rsidRPr="00D94B66">
        <w:rPr>
          <w:rFonts w:ascii="Garamond" w:hAnsi="Garamond" w:cs="Arial"/>
          <w:spacing w:val="4"/>
          <w:sz w:val="20"/>
          <w:szCs w:val="20"/>
        </w:rPr>
        <w:t xml:space="preserve"> </w:t>
      </w:r>
      <w:r w:rsidRPr="00D94B66">
        <w:rPr>
          <w:rFonts w:ascii="Garamond" w:hAnsi="Garamond" w:cs="Arial"/>
          <w:spacing w:val="-8"/>
          <w:sz w:val="20"/>
          <w:szCs w:val="20"/>
        </w:rPr>
        <w:t>R</w:t>
      </w:r>
      <w:r w:rsidRPr="00D94B66">
        <w:rPr>
          <w:rFonts w:ascii="Garamond" w:hAnsi="Garamond" w:cs="Arial"/>
          <w:spacing w:val="2"/>
          <w:sz w:val="20"/>
          <w:szCs w:val="20"/>
        </w:rPr>
        <w:t>i</w:t>
      </w:r>
      <w:r w:rsidRPr="00D94B66">
        <w:rPr>
          <w:rFonts w:ascii="Garamond" w:hAnsi="Garamond" w:cs="Arial"/>
          <w:spacing w:val="-6"/>
          <w:sz w:val="20"/>
          <w:szCs w:val="20"/>
        </w:rPr>
        <w:t>c</w:t>
      </w:r>
      <w:r w:rsidRPr="00D94B66">
        <w:rPr>
          <w:rFonts w:ascii="Garamond" w:hAnsi="Garamond" w:cs="Arial"/>
          <w:spacing w:val="2"/>
          <w:sz w:val="20"/>
          <w:szCs w:val="20"/>
        </w:rPr>
        <w:t>o</w:t>
      </w:r>
      <w:r w:rsidRPr="00D94B66">
        <w:rPr>
          <w:rFonts w:ascii="Garamond" w:hAnsi="Garamond" w:cs="Arial"/>
          <w:sz w:val="20"/>
          <w:szCs w:val="20"/>
        </w:rPr>
        <w:t>.</w:t>
      </w:r>
    </w:p>
    <w:p w:rsidR="007B3401" w:rsidRPr="00B91ED4" w:rsidRDefault="007B3401" w:rsidP="008E640B">
      <w:pPr>
        <w:pStyle w:val="Textonotapie"/>
        <w:rPr>
          <w:rFonts w:ascii="Arial" w:hAnsi="Arial" w:cs="Arial"/>
          <w:lang w:val="pt-PT"/>
        </w:rPr>
      </w:pPr>
    </w:p>
  </w:footnote>
  <w:footnote w:id="107">
    <w:p w:rsidR="007B3401" w:rsidRPr="00D94B66" w:rsidRDefault="007B3401" w:rsidP="00620CE8">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Artigo 25.- Criando-se as Unidades Institucionais de Atenção Especializada para as mulheres que enfrentam </w:t>
      </w:r>
      <w:r>
        <w:rPr>
          <w:rFonts w:ascii="Garamond" w:hAnsi="Garamond"/>
          <w:lang w:val="pt-PT"/>
        </w:rPr>
        <w:t xml:space="preserve">situações </w:t>
      </w:r>
      <w:r w:rsidRPr="00D94B66">
        <w:rPr>
          <w:rFonts w:ascii="Garamond" w:hAnsi="Garamond"/>
          <w:lang w:val="pt-PT"/>
        </w:rPr>
        <w:t>de violência, cuja finalidade será proporcionar serviços integrais</w:t>
      </w:r>
      <w:r>
        <w:rPr>
          <w:rFonts w:ascii="Garamond" w:hAnsi="Garamond"/>
          <w:lang w:val="pt-PT"/>
        </w:rPr>
        <w:t>,</w:t>
      </w:r>
      <w:r w:rsidRPr="00D94B66">
        <w:rPr>
          <w:rFonts w:ascii="Garamond" w:hAnsi="Garamond"/>
          <w:lang w:val="pt-PT"/>
        </w:rPr>
        <w:t xml:space="preserve"> em condições higiénicas e de privacidade, com </w:t>
      </w:r>
      <w:r>
        <w:rPr>
          <w:rFonts w:ascii="Garamond" w:hAnsi="Garamond"/>
          <w:lang w:val="pt-PT"/>
        </w:rPr>
        <w:t xml:space="preserve">especial </w:t>
      </w:r>
      <w:r w:rsidRPr="00D94B66">
        <w:rPr>
          <w:rFonts w:ascii="Garamond" w:hAnsi="Garamond"/>
          <w:lang w:val="pt-PT"/>
        </w:rPr>
        <w:t xml:space="preserve">atenção </w:t>
      </w:r>
      <w:r>
        <w:rPr>
          <w:rFonts w:ascii="Garamond" w:hAnsi="Garamond"/>
          <w:lang w:val="pt-PT"/>
        </w:rPr>
        <w:t xml:space="preserve">à </w:t>
      </w:r>
      <w:r w:rsidRPr="00D94B66">
        <w:rPr>
          <w:rFonts w:ascii="Garamond" w:hAnsi="Garamond"/>
          <w:lang w:val="pt-PT"/>
        </w:rPr>
        <w:t xml:space="preserve">qualidade e </w:t>
      </w:r>
      <w:r>
        <w:rPr>
          <w:rFonts w:ascii="Garamond" w:hAnsi="Garamond"/>
          <w:lang w:val="pt-PT"/>
        </w:rPr>
        <w:t>cordialidade,</w:t>
      </w:r>
      <w:r w:rsidRPr="00D94B66">
        <w:rPr>
          <w:rFonts w:ascii="Garamond" w:hAnsi="Garamond"/>
          <w:lang w:val="pt-PT"/>
        </w:rPr>
        <w:t xml:space="preserve"> </w:t>
      </w:r>
      <w:r w:rsidRPr="006F7581">
        <w:rPr>
          <w:rFonts w:ascii="Garamond" w:hAnsi="Garamond"/>
          <w:lang w:val="pt-PT"/>
        </w:rPr>
        <w:t>com prioridade aos cuidados em crise;</w:t>
      </w:r>
      <w:r w:rsidRPr="00D94B66">
        <w:rPr>
          <w:rFonts w:ascii="Garamond" w:hAnsi="Garamond"/>
          <w:lang w:val="pt-PT"/>
        </w:rPr>
        <w:t xml:space="preserve"> assim como assessorar e informar sobre os direitos que lhes assistem, as medidas relativas à sua proteção e segurança, os serviços de emergência e acolhimento, inclui</w:t>
      </w:r>
      <w:r>
        <w:rPr>
          <w:rFonts w:ascii="Garamond" w:hAnsi="Garamond"/>
          <w:lang w:val="pt-PT"/>
        </w:rPr>
        <w:t>n</w:t>
      </w:r>
      <w:r w:rsidRPr="00D94B66">
        <w:rPr>
          <w:rFonts w:ascii="Garamond" w:hAnsi="Garamond"/>
          <w:lang w:val="pt-PT"/>
        </w:rPr>
        <w:t xml:space="preserve">do a do local de prestação destes serviços e </w:t>
      </w:r>
      <w:r>
        <w:rPr>
          <w:rFonts w:ascii="Garamond" w:hAnsi="Garamond"/>
          <w:lang w:val="pt-PT"/>
        </w:rPr>
        <w:t>informação sobre o andamento d</w:t>
      </w:r>
      <w:r w:rsidRPr="00D94B66">
        <w:rPr>
          <w:rFonts w:ascii="Garamond" w:hAnsi="Garamond"/>
          <w:lang w:val="pt-PT"/>
        </w:rPr>
        <w:t xml:space="preserve">os processos jurídicos ou administrativos </w:t>
      </w:r>
      <w:r>
        <w:rPr>
          <w:rFonts w:ascii="Garamond" w:hAnsi="Garamond"/>
          <w:lang w:val="pt-PT"/>
        </w:rPr>
        <w:t>relativos às</w:t>
      </w:r>
      <w:r w:rsidRPr="00D94B66">
        <w:rPr>
          <w:rFonts w:ascii="Garamond" w:hAnsi="Garamond"/>
          <w:lang w:val="pt-PT"/>
        </w:rPr>
        <w:t xml:space="preserve"> suas denúncias.</w:t>
      </w:r>
    </w:p>
  </w:footnote>
  <w:footnote w:id="108">
    <w:p w:rsidR="007B3401" w:rsidRPr="00D94B66" w:rsidRDefault="007B3401" w:rsidP="00CA39B2">
      <w:pPr>
        <w:pStyle w:val="Textonotapie"/>
        <w:jc w:val="both"/>
        <w:rPr>
          <w:rFonts w:ascii="Garamond" w:hAnsi="Garamond"/>
          <w:lang w:val="pt-PT"/>
        </w:rPr>
      </w:pPr>
      <w:r w:rsidRPr="00D94B66">
        <w:rPr>
          <w:rStyle w:val="Caracteresdenotaalpie"/>
          <w:rFonts w:ascii="Garamond" w:hAnsi="Garamond"/>
        </w:rPr>
        <w:footnoteRef/>
      </w:r>
      <w:r w:rsidRPr="00D94B66">
        <w:rPr>
          <w:rFonts w:ascii="Garamond" w:hAnsi="Garamond"/>
          <w:lang w:val="pt-PT"/>
        </w:rPr>
        <w:tab/>
        <w:t xml:space="preserve"> As Memórias narrativas da </w:t>
      </w:r>
      <w:r w:rsidRPr="00C409EE">
        <w:rPr>
          <w:rFonts w:ascii="Garamond" w:hAnsi="Garamond"/>
          <w:sz w:val="16"/>
          <w:szCs w:val="16"/>
          <w:lang w:val="pt-PT"/>
        </w:rPr>
        <w:t>I</w:t>
      </w:r>
      <w:r w:rsidRPr="00D94B66">
        <w:rPr>
          <w:rFonts w:ascii="Garamond" w:hAnsi="Garamond"/>
          <w:lang w:val="pt-PT"/>
        </w:rPr>
        <w:t xml:space="preserve"> e </w:t>
      </w:r>
      <w:r w:rsidRPr="00C409EE">
        <w:rPr>
          <w:rFonts w:ascii="Garamond" w:hAnsi="Garamond"/>
          <w:sz w:val="16"/>
          <w:szCs w:val="16"/>
          <w:lang w:val="pt-PT"/>
        </w:rPr>
        <w:t>II</w:t>
      </w:r>
      <w:r w:rsidRPr="00D94B66">
        <w:rPr>
          <w:rFonts w:ascii="Garamond" w:hAnsi="Garamond"/>
          <w:lang w:val="pt-PT"/>
        </w:rPr>
        <w:t xml:space="preserve"> Assembleias Nacionais de Direitos Humanos estão disponíveis em:</w:t>
      </w:r>
    </w:p>
    <w:p w:rsidR="007B3401" w:rsidRPr="00D94B66" w:rsidRDefault="00BC2C17" w:rsidP="00CA39B2">
      <w:pPr>
        <w:pStyle w:val="Textonotapie"/>
        <w:jc w:val="both"/>
        <w:rPr>
          <w:rFonts w:ascii="Garamond" w:hAnsi="Garamond"/>
        </w:rPr>
      </w:pPr>
      <w:hyperlink r:id="rId20" w:history="1">
        <w:r w:rsidR="007B3401" w:rsidRPr="007B3401">
          <w:rPr>
            <w:rStyle w:val="Hipervnculo"/>
            <w:rFonts w:ascii="Garamond" w:hAnsi="Garamond"/>
            <w:lang w:val="es-ES"/>
          </w:rPr>
          <w:tab/>
        </w:r>
        <w:r w:rsidR="007B3401" w:rsidRPr="00D94B66">
          <w:rPr>
            <w:rStyle w:val="Hipervnculo"/>
            <w:rFonts w:ascii="Garamond" w:hAnsi="Garamond"/>
          </w:rPr>
          <w:t>http://inddhh.gub.uy/memoria-i/</w:t>
        </w:r>
      </w:hyperlink>
      <w:r w:rsidR="007B3401" w:rsidRPr="00D94B66">
        <w:rPr>
          <w:rFonts w:ascii="Garamond" w:hAnsi="Garamond"/>
        </w:rPr>
        <w:t xml:space="preserve">  y </w:t>
      </w:r>
      <w:hyperlink r:id="rId21" w:history="1">
        <w:r w:rsidR="007B3401" w:rsidRPr="00D94B66">
          <w:rPr>
            <w:rStyle w:val="Hipervnculo"/>
            <w:rFonts w:ascii="Garamond" w:hAnsi="Garamond"/>
          </w:rPr>
          <w:t>http://inddhh.gub.uy/memoria-ii/</w:t>
        </w:r>
      </w:hyperlink>
      <w:r w:rsidR="007B3401" w:rsidRPr="00D94B66">
        <w:rPr>
          <w:rFonts w:ascii="Garamond" w:hAnsi="Garamond"/>
        </w:rPr>
        <w:t>, respetivamente.</w:t>
      </w:r>
    </w:p>
  </w:footnote>
  <w:footnote w:id="109">
    <w:p w:rsidR="007B3401" w:rsidRPr="00D94B66" w:rsidRDefault="007B3401" w:rsidP="00CA39B2">
      <w:pPr>
        <w:pStyle w:val="Textonotapie"/>
        <w:jc w:val="both"/>
        <w:rPr>
          <w:rFonts w:ascii="Garamond" w:hAnsi="Garamond"/>
          <w:lang w:val="pt-PT"/>
        </w:rPr>
      </w:pPr>
      <w:r w:rsidRPr="00D94B66">
        <w:rPr>
          <w:rStyle w:val="Caracteresdenotaalpie"/>
          <w:rFonts w:ascii="Garamond" w:hAnsi="Garamond"/>
        </w:rPr>
        <w:footnoteRef/>
      </w:r>
      <w:r w:rsidRPr="00D94B66">
        <w:rPr>
          <w:rFonts w:ascii="Garamond" w:hAnsi="Garamond"/>
          <w:lang w:val="pt-PT"/>
        </w:rPr>
        <w:tab/>
        <w:t xml:space="preserve"> Disponível em </w:t>
      </w:r>
      <w:hyperlink r:id="rId22" w:history="1">
        <w:r w:rsidRPr="00D94B66">
          <w:rPr>
            <w:rStyle w:val="Hipervnculo"/>
            <w:rFonts w:ascii="Garamond" w:hAnsi="Garamond"/>
            <w:lang w:val="pt-PT"/>
          </w:rPr>
          <w:t>http://inddhh.gub.uy/informe-de-la-innddhh-de-uruguay-a-la-segunda-ronda-del-epu/</w:t>
        </w:r>
      </w:hyperlink>
    </w:p>
  </w:footnote>
  <w:footnote w:id="110">
    <w:p w:rsidR="007B3401" w:rsidRPr="00D94B66" w:rsidRDefault="007B3401" w:rsidP="00CA39B2">
      <w:pPr>
        <w:pStyle w:val="Textonotapie"/>
        <w:jc w:val="both"/>
        <w:rPr>
          <w:rFonts w:ascii="Garamond" w:hAnsi="Garamond"/>
          <w:lang w:val="pt-PT"/>
        </w:rPr>
      </w:pPr>
      <w:r w:rsidRPr="00D94B66">
        <w:rPr>
          <w:rStyle w:val="Caracteresdenotaalpie"/>
          <w:rFonts w:ascii="Garamond" w:hAnsi="Garamond"/>
        </w:rPr>
        <w:footnoteRef/>
      </w:r>
      <w:r w:rsidRPr="00D94B66">
        <w:rPr>
          <w:rFonts w:ascii="Garamond" w:hAnsi="Garamond"/>
          <w:lang w:val="pt-PT"/>
        </w:rPr>
        <w:tab/>
        <w:t xml:space="preserve"> Disponível em: </w:t>
      </w:r>
      <w:hyperlink r:id="rId23" w:history="1">
        <w:r w:rsidRPr="00D94B66">
          <w:rPr>
            <w:rStyle w:val="Hipervnculo"/>
            <w:rFonts w:ascii="Garamond" w:hAnsi="Garamond"/>
            <w:lang w:val="pt-PT"/>
          </w:rPr>
          <w:t>http://inddhh.gub.uy/informe-de-la-inddhh-al-comite-de-derechos-civiles-y-politicos/</w:t>
        </w:r>
      </w:hyperlink>
    </w:p>
  </w:footnote>
  <w:footnote w:id="111">
    <w:p w:rsidR="007B3401" w:rsidRPr="00D94B66" w:rsidRDefault="007B3401" w:rsidP="00CA39B2">
      <w:pPr>
        <w:pStyle w:val="Textonotapie"/>
        <w:rPr>
          <w:rFonts w:ascii="Garamond" w:hAnsi="Garamond"/>
          <w:lang w:val="pt-PT"/>
        </w:rPr>
      </w:pPr>
      <w:r w:rsidRPr="00D94B66">
        <w:rPr>
          <w:rStyle w:val="Caracteresdenotaalpie"/>
          <w:rFonts w:ascii="Garamond" w:hAnsi="Garamond"/>
        </w:rPr>
        <w:footnoteRef/>
      </w:r>
      <w:r w:rsidRPr="00D94B66">
        <w:rPr>
          <w:rFonts w:ascii="Garamond" w:hAnsi="Garamond"/>
          <w:lang w:val="pt-PT"/>
        </w:rPr>
        <w:tab/>
        <w:t xml:space="preserve"> Declaração da INDDHH; disponível em: </w:t>
      </w:r>
      <w:hyperlink r:id="rId24" w:history="1">
        <w:r w:rsidRPr="00D94B66">
          <w:rPr>
            <w:rStyle w:val="Hipervnculo"/>
            <w:rFonts w:ascii="Garamond" w:hAnsi="Garamond"/>
            <w:lang w:val="pt-PT"/>
          </w:rPr>
          <w:t>http://inddhh.gub.uy/wp-content/uploads/2013/11/Declaraci%C3%B3n-INDDHH-D%C3%ADa-Internacional-para-la-eliminaci%C3%B3n-de-la-violencia-contra-las-mujeres.pdf</w:t>
        </w:r>
      </w:hyperlink>
    </w:p>
  </w:footnote>
  <w:footnote w:id="112">
    <w:p w:rsidR="007B3401" w:rsidRPr="00D94B66" w:rsidRDefault="007B3401" w:rsidP="00CA39B2">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sidRPr="00D94B66">
        <w:rPr>
          <w:rFonts w:ascii="Garamond" w:hAnsi="Garamond"/>
          <w:i/>
          <w:lang w:val="pt-PT"/>
        </w:rPr>
        <w:t>Op. cit.</w:t>
      </w:r>
      <w:r w:rsidRPr="00D94B66">
        <w:rPr>
          <w:rFonts w:ascii="Garamond" w:hAnsi="Garamond"/>
          <w:lang w:val="pt-PT"/>
        </w:rPr>
        <w:t>, terceiro parágafo.</w:t>
      </w:r>
    </w:p>
  </w:footnote>
  <w:footnote w:id="113">
    <w:p w:rsidR="007B3401" w:rsidRPr="00D94B66" w:rsidRDefault="007B3401" w:rsidP="00CA39B2">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sidRPr="00D94B66">
        <w:rPr>
          <w:rFonts w:ascii="Garamond" w:hAnsi="Garamond"/>
          <w:i/>
          <w:lang w:val="pt-PT"/>
        </w:rPr>
        <w:t>Ib</w:t>
      </w:r>
      <w:r>
        <w:rPr>
          <w:rFonts w:ascii="Garamond" w:hAnsi="Garamond"/>
          <w:i/>
          <w:lang w:val="pt-PT"/>
        </w:rPr>
        <w:t>i</w:t>
      </w:r>
      <w:r w:rsidRPr="00D94B66">
        <w:rPr>
          <w:rFonts w:ascii="Garamond" w:hAnsi="Garamond"/>
          <w:i/>
          <w:lang w:val="pt-PT"/>
        </w:rPr>
        <w:t>d.</w:t>
      </w:r>
      <w:r w:rsidRPr="00D94B66">
        <w:rPr>
          <w:rFonts w:ascii="Garamond" w:hAnsi="Garamond"/>
          <w:lang w:val="pt-PT"/>
        </w:rPr>
        <w:t>, sétimo parág</w:t>
      </w:r>
      <w:r>
        <w:rPr>
          <w:rFonts w:ascii="Garamond" w:hAnsi="Garamond"/>
          <w:lang w:val="pt-PT"/>
        </w:rPr>
        <w:t>r</w:t>
      </w:r>
      <w:r w:rsidRPr="00D94B66">
        <w:rPr>
          <w:rFonts w:ascii="Garamond" w:hAnsi="Garamond"/>
          <w:lang w:val="pt-PT"/>
        </w:rPr>
        <w:t>afo.</w:t>
      </w:r>
    </w:p>
  </w:footnote>
  <w:footnote w:id="114">
    <w:p w:rsidR="007B3401" w:rsidRPr="00D94B66" w:rsidRDefault="007B3401" w:rsidP="00CA39B2">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w:t>
      </w:r>
      <w:r w:rsidRPr="00D94B66">
        <w:rPr>
          <w:rFonts w:ascii="Garamond" w:hAnsi="Garamond"/>
          <w:i/>
          <w:lang w:val="pt-PT"/>
        </w:rPr>
        <w:t>Ib</w:t>
      </w:r>
      <w:r>
        <w:rPr>
          <w:rFonts w:ascii="Garamond" w:hAnsi="Garamond"/>
          <w:i/>
          <w:lang w:val="pt-PT"/>
        </w:rPr>
        <w:t>i</w:t>
      </w:r>
      <w:r w:rsidRPr="00D94B66">
        <w:rPr>
          <w:rFonts w:ascii="Garamond" w:hAnsi="Garamond"/>
          <w:i/>
          <w:lang w:val="pt-PT"/>
        </w:rPr>
        <w:t>d</w:t>
      </w:r>
      <w:r w:rsidRPr="00D94B66">
        <w:rPr>
          <w:rFonts w:ascii="Garamond" w:hAnsi="Garamond"/>
          <w:lang w:val="pt-PT"/>
        </w:rPr>
        <w:t>., nono parág</w:t>
      </w:r>
      <w:r>
        <w:rPr>
          <w:rFonts w:ascii="Garamond" w:hAnsi="Garamond"/>
          <w:lang w:val="pt-PT"/>
        </w:rPr>
        <w:t>r</w:t>
      </w:r>
      <w:r w:rsidRPr="00D94B66">
        <w:rPr>
          <w:rFonts w:ascii="Garamond" w:hAnsi="Garamond"/>
          <w:lang w:val="pt-PT"/>
        </w:rPr>
        <w:t>afo.</w:t>
      </w:r>
    </w:p>
  </w:footnote>
  <w:footnote w:id="115">
    <w:p w:rsidR="007B3401" w:rsidRPr="00D94B66" w:rsidRDefault="007B3401" w:rsidP="00CA39B2">
      <w:pPr>
        <w:pStyle w:val="Textonotapie"/>
        <w:rPr>
          <w:rFonts w:ascii="Garamond" w:hAnsi="Garamond"/>
          <w:lang w:val="pt-PT"/>
        </w:rPr>
      </w:pPr>
      <w:r w:rsidRPr="00D94B66">
        <w:rPr>
          <w:rStyle w:val="Caracteresdenotaalpie"/>
          <w:rFonts w:ascii="Garamond" w:hAnsi="Garamond"/>
        </w:rPr>
        <w:footnoteRef/>
      </w:r>
      <w:r w:rsidRPr="00D94B66">
        <w:rPr>
          <w:rFonts w:ascii="Garamond" w:hAnsi="Garamond"/>
          <w:lang w:val="pt-PT"/>
        </w:rPr>
        <w:t>Denúncias 65/2012, 342/2013, 295/2013.</w:t>
      </w:r>
    </w:p>
  </w:footnote>
  <w:footnote w:id="116">
    <w:p w:rsidR="007B3401" w:rsidRPr="00D94B66" w:rsidRDefault="007B3401" w:rsidP="00B971ED">
      <w:pPr>
        <w:pStyle w:val="Textonotaalfinal"/>
        <w:spacing w:after="0"/>
        <w:rPr>
          <w:rFonts w:ascii="Garamond" w:hAnsi="Garamond"/>
          <w:lang w:val="pt-PT"/>
        </w:rPr>
      </w:pPr>
      <w:r w:rsidRPr="00D94B66">
        <w:rPr>
          <w:rStyle w:val="Caracteresdenotaalpie"/>
          <w:rFonts w:ascii="Garamond" w:hAnsi="Garamond"/>
        </w:rPr>
        <w:footnoteRef/>
      </w:r>
      <w:r w:rsidRPr="00D94B66">
        <w:rPr>
          <w:rFonts w:ascii="Garamond" w:hAnsi="Garamond"/>
          <w:lang w:val="pt-PT"/>
        </w:rPr>
        <w:t xml:space="preserve"> Declaração Pública da INDDHH, </w:t>
      </w:r>
      <w:proofErr w:type="gramStart"/>
      <w:r w:rsidRPr="00D94B66">
        <w:rPr>
          <w:rFonts w:ascii="Garamond" w:hAnsi="Garamond"/>
          <w:lang w:val="pt-PT"/>
        </w:rPr>
        <w:t>8</w:t>
      </w:r>
      <w:proofErr w:type="gramEnd"/>
      <w:r w:rsidRPr="00D94B66">
        <w:rPr>
          <w:rFonts w:ascii="Garamond" w:hAnsi="Garamond"/>
          <w:lang w:val="pt-PT"/>
        </w:rPr>
        <w:t xml:space="preserve"> de março de 2013, disponível em: </w:t>
      </w:r>
      <w:hyperlink r:id="rId25" w:history="1">
        <w:r w:rsidRPr="00D94B66">
          <w:rPr>
            <w:rStyle w:val="Hipervnculo"/>
            <w:rFonts w:ascii="Garamond" w:hAnsi="Garamond"/>
            <w:lang w:val="pt-PT"/>
          </w:rPr>
          <w:t>http://inddhh.gub.uy/wp-content/uploads/2013/09/Declaraci%C3%B3n-INDDHH-D%C3%ADa-Internacional-de-la-Mujer-08.03.2013.pdf</w:t>
        </w:r>
      </w:hyperlink>
      <w:r w:rsidRPr="00D94B66">
        <w:rPr>
          <w:rFonts w:ascii="Garamond" w:hAnsi="Garamond"/>
          <w:lang w:val="pt-PT"/>
        </w:rPr>
        <w:t>. Também no Relatório da Instituição Nacional de Direitos Humanos e Provedoria de Justiça ao Comité de Direitos Humanos, Quinto relatório periódico dos Estados</w:t>
      </w:r>
      <w:r>
        <w:rPr>
          <w:rFonts w:ascii="Garamond" w:hAnsi="Garamond"/>
          <w:lang w:val="pt-PT"/>
        </w:rPr>
        <w:t>-</w:t>
      </w:r>
      <w:r w:rsidRPr="00D94B66">
        <w:rPr>
          <w:rFonts w:ascii="Garamond" w:hAnsi="Garamond"/>
          <w:lang w:val="pt-PT"/>
        </w:rPr>
        <w:t xml:space="preserve">Membros, Uruguai, 5 de setembro de 2013, disponível em </w:t>
      </w:r>
      <w:hyperlink r:id="rId26" w:history="1">
        <w:r w:rsidRPr="00D94B66">
          <w:rPr>
            <w:rStyle w:val="Hipervnculo"/>
            <w:rFonts w:ascii="Garamond" w:hAnsi="Garamond"/>
            <w:lang w:val="pt-PT"/>
          </w:rPr>
          <w:t>http://inddhh.gub.uy/wp-content/uploads/2013/10/INDDHH-Uruguay-Quinto-informe-peri%C3%B3dico-Comit%C3%A9-Derechos-Humanos.pdf</w:t>
        </w:r>
      </w:hyperlink>
    </w:p>
  </w:footnote>
  <w:footnote w:id="117">
    <w:p w:rsidR="007B3401" w:rsidRPr="00D94B66" w:rsidRDefault="007B3401" w:rsidP="000C6A23">
      <w:pPr>
        <w:pStyle w:val="Textonotapie"/>
        <w:spacing w:line="240" w:lineRule="auto"/>
        <w:jc w:val="both"/>
        <w:rPr>
          <w:rFonts w:ascii="Garamond" w:hAnsi="Garamond" w:cs="Arial"/>
          <w:color w:val="auto"/>
          <w:lang w:val="pt-PT"/>
        </w:rPr>
      </w:pPr>
      <w:r w:rsidRPr="00D94B66">
        <w:rPr>
          <w:rStyle w:val="Refdenotaalpie"/>
          <w:rFonts w:ascii="Garamond" w:hAnsi="Garamond" w:cs="Arial"/>
        </w:rPr>
        <w:footnoteRef/>
      </w:r>
      <w:r w:rsidRPr="00D94B66">
        <w:rPr>
          <w:rFonts w:ascii="Garamond" w:hAnsi="Garamond" w:cs="Arial"/>
          <w:lang w:val="pt-PT"/>
        </w:rPr>
        <w:t xml:space="preserve"> Ministério do poder popular para a mulher e a igualdade de género</w:t>
      </w:r>
      <w:r w:rsidRPr="00D94B66">
        <w:rPr>
          <w:rFonts w:ascii="Garamond" w:hAnsi="Garamond" w:cs="Arial"/>
          <w:color w:val="auto"/>
          <w:lang w:val="pt-PT"/>
        </w:rPr>
        <w:t xml:space="preserve">. Nota de imprensa. </w:t>
      </w:r>
      <w:r>
        <w:rPr>
          <w:rFonts w:ascii="Garamond" w:hAnsi="Garamond" w:cs="Arial"/>
          <w:color w:val="auto"/>
          <w:lang w:val="pt-PT"/>
        </w:rPr>
        <w:t>«</w:t>
      </w:r>
      <w:r w:rsidRPr="00D94B66">
        <w:rPr>
          <w:rStyle w:val="Textoennegrita"/>
          <w:rFonts w:ascii="Garamond" w:hAnsi="Garamond" w:cs="Arial"/>
          <w:b w:val="0"/>
          <w:color w:val="auto"/>
          <w:lang w:val="pt-PT"/>
        </w:rPr>
        <w:t>Mesa Interinstitucional entre a Provedoria Nacional dos Direitos da Mulher e o Sistema Integrado de Investigação Penal</w:t>
      </w:r>
      <w:r>
        <w:rPr>
          <w:rStyle w:val="Textoennegrita"/>
          <w:rFonts w:ascii="Garamond" w:hAnsi="Garamond" w:cs="Arial"/>
          <w:b w:val="0"/>
          <w:color w:val="auto"/>
          <w:lang w:val="pt-PT"/>
        </w:rPr>
        <w:t>»</w:t>
      </w:r>
      <w:r w:rsidRPr="00D94B66">
        <w:rPr>
          <w:rStyle w:val="Textoennegrita"/>
          <w:rFonts w:ascii="Garamond" w:hAnsi="Garamond" w:cs="Arial"/>
          <w:b w:val="0"/>
          <w:color w:val="auto"/>
          <w:lang w:val="pt-PT"/>
        </w:rPr>
        <w:t>. Em:</w:t>
      </w:r>
      <w:r w:rsidRPr="00D94B66">
        <w:rPr>
          <w:rStyle w:val="Textoennegrita"/>
          <w:rFonts w:ascii="Garamond" w:hAnsi="Garamond" w:cs="Arial"/>
          <w:color w:val="auto"/>
          <w:lang w:val="pt-PT"/>
        </w:rPr>
        <w:t xml:space="preserve"> &lt;</w:t>
      </w:r>
      <w:proofErr w:type="gramStart"/>
      <w:r w:rsidRPr="00D94B66">
        <w:rPr>
          <w:rFonts w:ascii="Garamond" w:hAnsi="Garamond" w:cs="Arial"/>
          <w:color w:val="auto"/>
          <w:lang w:val="pt-PT"/>
        </w:rPr>
        <w:t>http://www.minmujer.gob.ve/inamujer/index.</w:t>
      </w:r>
      <w:proofErr w:type="gramEnd"/>
      <w:r w:rsidRPr="00D94B66">
        <w:rPr>
          <w:rFonts w:ascii="Garamond" w:hAnsi="Garamond" w:cs="Arial"/>
          <w:color w:val="auto"/>
          <w:lang w:val="pt-PT"/>
        </w:rPr>
        <w:t>php?</w:t>
      </w:r>
      <w:proofErr w:type="gramStart"/>
      <w:r w:rsidRPr="00D94B66">
        <w:rPr>
          <w:rFonts w:ascii="Garamond" w:hAnsi="Garamond" w:cs="Arial"/>
          <w:color w:val="auto"/>
          <w:lang w:val="pt-PT"/>
        </w:rPr>
        <w:t>option</w:t>
      </w:r>
      <w:proofErr w:type="gramEnd"/>
      <w:r w:rsidRPr="00D94B66">
        <w:rPr>
          <w:rFonts w:ascii="Garamond" w:hAnsi="Garamond" w:cs="Arial"/>
          <w:color w:val="auto"/>
          <w:lang w:val="pt-PT"/>
        </w:rPr>
        <w:t>=com_content&amp;view=article&amp;id=811:mesa-inter-institucional-entre-la-defensoria-nacional-de-los-derechos-de-la-mujer-y-el-sistema-integrado-de-investigacion-penal&amp;catid=1:noticias&amp;Itemid=6&gt; .  Consultada a 11 de julho de 2014.</w:t>
      </w:r>
    </w:p>
  </w:footnote>
  <w:footnote w:id="118">
    <w:p w:rsidR="007B3401" w:rsidRPr="00D94B66" w:rsidRDefault="007B3401" w:rsidP="000C6A23">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PROVEDORIA DE JUSTIÇA e FUNDO DE POPULAÇÃO DAS NAÇÕES UNIDAS. </w:t>
      </w:r>
      <w:r>
        <w:rPr>
          <w:rFonts w:ascii="Garamond" w:hAnsi="Garamond"/>
          <w:lang w:val="pt-PT"/>
        </w:rPr>
        <w:t>«</w:t>
      </w:r>
      <w:r w:rsidRPr="00D94B66">
        <w:rPr>
          <w:rFonts w:ascii="Garamond" w:hAnsi="Garamond"/>
          <w:lang w:val="pt-PT"/>
        </w:rPr>
        <w:t>Recomendações para Otimizar a Receção de Denúncias de violência contra as mulheres.</w:t>
      </w:r>
      <w:r>
        <w:rPr>
          <w:rFonts w:ascii="Garamond" w:hAnsi="Garamond"/>
          <w:lang w:val="pt-PT"/>
        </w:rPr>
        <w:t>»</w:t>
      </w:r>
      <w:r w:rsidRPr="00D94B66">
        <w:rPr>
          <w:rFonts w:ascii="Garamond" w:hAnsi="Garamond"/>
          <w:lang w:val="pt-PT"/>
        </w:rPr>
        <w:t xml:space="preserve"> 2012. Em: &lt;</w:t>
      </w:r>
      <w:proofErr w:type="gramStart"/>
      <w:r w:rsidRPr="00D94B66">
        <w:rPr>
          <w:rFonts w:ascii="Garamond" w:hAnsi="Garamond"/>
          <w:lang w:val="pt-PT"/>
        </w:rPr>
        <w:t>http://www.defensoria.gob.ve/dp/index.</w:t>
      </w:r>
      <w:proofErr w:type="gramEnd"/>
      <w:r w:rsidRPr="00D94B66">
        <w:rPr>
          <w:rFonts w:ascii="Garamond" w:hAnsi="Garamond"/>
          <w:lang w:val="pt-PT"/>
        </w:rPr>
        <w:t>php/institucional/2360&gt;</w:t>
      </w:r>
    </w:p>
  </w:footnote>
  <w:footnote w:id="119">
    <w:p w:rsidR="007B3401" w:rsidRPr="00D94B66" w:rsidRDefault="007B3401" w:rsidP="008D32E5">
      <w:pPr>
        <w:pStyle w:val="Textonotapie"/>
        <w:jc w:val="both"/>
        <w:rPr>
          <w:rFonts w:ascii="Garamond" w:hAnsi="Garamond"/>
          <w:lang w:val="pt-PT"/>
        </w:rPr>
      </w:pPr>
      <w:r w:rsidRPr="00D94B66">
        <w:rPr>
          <w:rStyle w:val="Refdenotaalpie"/>
          <w:rFonts w:ascii="Garamond" w:hAnsi="Garamond"/>
        </w:rPr>
        <w:footnoteRef/>
      </w:r>
      <w:r w:rsidRPr="00D94B66">
        <w:rPr>
          <w:rStyle w:val="nfasis"/>
          <w:rFonts w:ascii="Garamond" w:hAnsi="Garamond" w:cs="Arial"/>
          <w:bCs/>
          <w:i w:val="0"/>
          <w:lang w:val="pt-PT"/>
        </w:rPr>
        <w:t xml:space="preserve">Provedoria de Justiça- Fundo de População das Nações Unidas. </w:t>
      </w:r>
      <w:r w:rsidRPr="00D94B66">
        <w:rPr>
          <w:rStyle w:val="nfasis"/>
          <w:rFonts w:ascii="Garamond" w:hAnsi="Garamond" w:cs="Arial"/>
          <w:bCs/>
          <w:lang w:val="pt-PT"/>
        </w:rPr>
        <w:t>Orientações Teórico – Metodológicas e os Procedimentos para se formarem Púberes e Adolescentes numa Sexualidade Saudável, Agradável e Responsável</w:t>
      </w:r>
      <w:r w:rsidRPr="00D94B66">
        <w:rPr>
          <w:rStyle w:val="nfasis"/>
          <w:rFonts w:ascii="Garamond" w:hAnsi="Garamond" w:cs="Arial"/>
          <w:bCs/>
          <w:i w:val="0"/>
          <w:lang w:val="pt-PT"/>
        </w:rPr>
        <w:t>. Em: &lt;</w:t>
      </w:r>
      <w:r w:rsidRPr="00D94B66">
        <w:rPr>
          <w:rFonts w:ascii="Garamond" w:hAnsi="Garamond"/>
          <w:lang w:val="pt-PT"/>
        </w:rPr>
        <w:t>http://venezuela.unfpa.org/doumentos/P_orientaciones%</w:t>
      </w:r>
      <w:proofErr w:type="gramStart"/>
      <w:r w:rsidRPr="00D94B66">
        <w:rPr>
          <w:rFonts w:ascii="Garamond" w:hAnsi="Garamond"/>
          <w:lang w:val="pt-PT"/>
        </w:rPr>
        <w:t>20sexuales.</w:t>
      </w:r>
      <w:proofErr w:type="gramEnd"/>
      <w:r w:rsidRPr="00D94B66">
        <w:rPr>
          <w:rFonts w:ascii="Garamond" w:hAnsi="Garamond"/>
          <w:lang w:val="pt-PT"/>
        </w:rPr>
        <w:t>pdf&gt;</w:t>
      </w:r>
    </w:p>
  </w:footnote>
  <w:footnote w:id="120">
    <w:p w:rsidR="007B3401" w:rsidRPr="00D94B66" w:rsidRDefault="007B3401" w:rsidP="005F3674">
      <w:pPr>
        <w:pStyle w:val="Textonotapie"/>
        <w:rPr>
          <w:rFonts w:ascii="Garamond" w:hAnsi="Garamond" w:cs="Arial"/>
          <w:lang w:val="pt-PT"/>
        </w:rPr>
      </w:pPr>
      <w:r w:rsidRPr="00D94B66">
        <w:rPr>
          <w:rStyle w:val="Refdenotaalpie"/>
          <w:rFonts w:ascii="Garamond" w:hAnsi="Garamond" w:cs="Arial"/>
        </w:rPr>
        <w:footnoteRef/>
      </w:r>
      <w:r w:rsidRPr="00D94B66">
        <w:rPr>
          <w:rFonts w:ascii="Garamond" w:hAnsi="Garamond" w:cs="Arial"/>
          <w:lang w:val="pt-PT"/>
        </w:rPr>
        <w:t xml:space="preserve"> Provedoria de Justiça. </w:t>
      </w:r>
      <w:r w:rsidRPr="00D94B66">
        <w:rPr>
          <w:rFonts w:ascii="Garamond" w:hAnsi="Garamond" w:cs="Arial"/>
          <w:i/>
          <w:lang w:val="pt-PT"/>
        </w:rPr>
        <w:t xml:space="preserve">Relações afetivas na adolescência. Amor </w:t>
      </w:r>
      <w:r w:rsidRPr="00D94B66">
        <w:rPr>
          <w:rFonts w:ascii="Garamond" w:hAnsi="Garamond" w:cs="Arial"/>
          <w:lang w:val="pt-PT"/>
        </w:rPr>
        <w:t>vs</w:t>
      </w:r>
      <w:r w:rsidRPr="00D94B66">
        <w:rPr>
          <w:rFonts w:ascii="Garamond" w:hAnsi="Garamond" w:cs="Arial"/>
          <w:i/>
          <w:lang w:val="pt-PT"/>
        </w:rPr>
        <w:t xml:space="preserve"> violência</w:t>
      </w:r>
      <w:r w:rsidRPr="00D94B66">
        <w:rPr>
          <w:rFonts w:ascii="Garamond" w:hAnsi="Garamond" w:cs="Arial"/>
          <w:lang w:val="pt-PT"/>
        </w:rPr>
        <w:t xml:space="preserve">. Em: &lt;http://venezuela.unfpa.org/doumentos/P_C5.pdf&gt;. Consultado a 9 de julho de 2014. </w:t>
      </w:r>
    </w:p>
  </w:footnote>
  <w:footnote w:id="121">
    <w:p w:rsidR="007B3401" w:rsidRPr="00D94B66" w:rsidRDefault="007B3401" w:rsidP="008D32E5">
      <w:pPr>
        <w:pStyle w:val="Textonotapie"/>
        <w:jc w:val="both"/>
        <w:rPr>
          <w:rFonts w:ascii="Garamond" w:hAnsi="Garamond"/>
          <w:lang w:val="pt-PT"/>
        </w:rPr>
      </w:pPr>
      <w:r w:rsidRPr="00D94B66">
        <w:rPr>
          <w:rStyle w:val="Refdenotaalpie"/>
          <w:rFonts w:ascii="Garamond" w:hAnsi="Garamond"/>
        </w:rPr>
        <w:footnoteRef/>
      </w:r>
      <w:r w:rsidRPr="00D94B66">
        <w:rPr>
          <w:rFonts w:ascii="Garamond" w:hAnsi="Garamond" w:cs="Arial"/>
          <w:lang w:val="pt-PT"/>
        </w:rPr>
        <w:t xml:space="preserve">Provedoria de Justiça. Nota de imprensa. </w:t>
      </w:r>
      <w:r w:rsidRPr="00D94B66">
        <w:rPr>
          <w:rFonts w:ascii="Garamond" w:hAnsi="Garamond" w:cs="Arial"/>
          <w:i/>
          <w:lang w:val="pt-PT"/>
        </w:rPr>
        <w:t>DdP y Unfpa batizam livros que promovem em jovens o seu Direito à sexualidade. Em:&lt;</w:t>
      </w:r>
      <w:proofErr w:type="gramStart"/>
      <w:r w:rsidRPr="00D94B66">
        <w:rPr>
          <w:rFonts w:ascii="Garamond" w:hAnsi="Garamond" w:cs="Arial"/>
          <w:lang w:val="pt-PT"/>
        </w:rPr>
        <w:t>http://www.defensoria.gob.ve/dp/index.</w:t>
      </w:r>
      <w:proofErr w:type="gramEnd"/>
      <w:r w:rsidRPr="00D94B66">
        <w:rPr>
          <w:rFonts w:ascii="Garamond" w:hAnsi="Garamond" w:cs="Arial"/>
          <w:lang w:val="pt-PT"/>
        </w:rPr>
        <w:t>php/comunicaciones/noticias/3162-ddp-y-unfpa-bautizan-libro-y-cartillas-que-promueven-en-jovenes-el-derecho-a-una-sexualidad-saludable-y-responsable&gt;. Consultado a 11 de julho de 2014.</w:t>
      </w:r>
    </w:p>
  </w:footnote>
  <w:footnote w:id="122">
    <w:p w:rsidR="007B3401" w:rsidRPr="00D94B66" w:rsidRDefault="007B3401" w:rsidP="008D32E5">
      <w:pPr>
        <w:pStyle w:val="Ttulo1"/>
        <w:spacing w:before="0" w:beforeAutospacing="0"/>
        <w:jc w:val="both"/>
        <w:rPr>
          <w:rFonts w:ascii="Garamond" w:hAnsi="Garamond" w:cs="Arial"/>
          <w:b w:val="0"/>
          <w:i/>
          <w:sz w:val="20"/>
          <w:szCs w:val="20"/>
          <w:lang w:val="pt-PT"/>
        </w:rPr>
      </w:pPr>
      <w:r w:rsidRPr="00D94B66">
        <w:rPr>
          <w:rStyle w:val="Refdenotaalpie"/>
          <w:rFonts w:ascii="Garamond" w:hAnsi="Garamond"/>
          <w:sz w:val="20"/>
          <w:szCs w:val="20"/>
        </w:rPr>
        <w:footnoteRef/>
      </w:r>
      <w:r w:rsidRPr="00D94B66">
        <w:rPr>
          <w:rFonts w:ascii="Garamond" w:hAnsi="Garamond" w:cs="Arial"/>
          <w:b w:val="0"/>
          <w:sz w:val="20"/>
          <w:szCs w:val="20"/>
          <w:lang w:val="pt-PT"/>
        </w:rPr>
        <w:t xml:space="preserve">Provedoria de Justiça. Nota de imprensa. </w:t>
      </w:r>
      <w:r w:rsidRPr="00D94B66">
        <w:rPr>
          <w:rFonts w:ascii="Garamond" w:hAnsi="Garamond" w:cs="Arial"/>
          <w:b w:val="0"/>
          <w:i/>
          <w:sz w:val="20"/>
          <w:szCs w:val="20"/>
          <w:lang w:val="pt-PT"/>
        </w:rPr>
        <w:t xml:space="preserve">Provedora de Justiça entregou certificados a 300 púberes e adolescentes de Choroní. </w:t>
      </w:r>
      <w:r w:rsidRPr="00D94B66">
        <w:rPr>
          <w:rFonts w:ascii="Garamond" w:hAnsi="Garamond" w:cs="Arial"/>
          <w:b w:val="0"/>
          <w:sz w:val="20"/>
          <w:szCs w:val="20"/>
          <w:lang w:val="pt-PT"/>
        </w:rPr>
        <w:t>Em:</w:t>
      </w:r>
      <w:r w:rsidRPr="00D94B66">
        <w:rPr>
          <w:rFonts w:ascii="Garamond" w:hAnsi="Garamond" w:cs="Arial"/>
          <w:b w:val="0"/>
          <w:i/>
          <w:sz w:val="20"/>
          <w:szCs w:val="20"/>
          <w:lang w:val="pt-PT"/>
        </w:rPr>
        <w:t xml:space="preserve"> </w:t>
      </w:r>
      <w:r w:rsidRPr="00D94B66">
        <w:rPr>
          <w:rFonts w:ascii="Garamond" w:hAnsi="Garamond"/>
          <w:b w:val="0"/>
          <w:sz w:val="20"/>
          <w:szCs w:val="20"/>
          <w:lang w:val="pt-PT"/>
        </w:rPr>
        <w:t>&lt;</w:t>
      </w:r>
      <w:proofErr w:type="gramStart"/>
      <w:r w:rsidRPr="00D94B66">
        <w:rPr>
          <w:rFonts w:ascii="Garamond" w:hAnsi="Garamond" w:cs="Arial"/>
          <w:b w:val="0"/>
          <w:sz w:val="20"/>
          <w:szCs w:val="20"/>
          <w:lang w:val="pt-PT"/>
        </w:rPr>
        <w:t>http://www.defensoria.gob.ve/dp/index.</w:t>
      </w:r>
      <w:proofErr w:type="gramEnd"/>
      <w:r w:rsidRPr="00D94B66">
        <w:rPr>
          <w:rFonts w:ascii="Garamond" w:hAnsi="Garamond" w:cs="Arial"/>
          <w:b w:val="0"/>
          <w:sz w:val="20"/>
          <w:szCs w:val="20"/>
          <w:lang w:val="pt-PT"/>
        </w:rPr>
        <w:t>php/comunicaciones/noticias/3283-defensora-del-pueblo-entrego-certificados-a-300-puberes-y-adolecentes-de-choroni&gt;</w:t>
      </w:r>
    </w:p>
  </w:footnote>
  <w:footnote w:id="123">
    <w:p w:rsidR="007B3401" w:rsidRPr="00D94B66" w:rsidRDefault="007B3401" w:rsidP="00823BE0">
      <w:pPr>
        <w:pStyle w:val="Textonotapie"/>
        <w:rPr>
          <w:rFonts w:ascii="Garamond" w:hAnsi="Garamond"/>
          <w:lang w:val="pt-PT"/>
        </w:rPr>
      </w:pPr>
      <w:r w:rsidRPr="00D94B66">
        <w:rPr>
          <w:rStyle w:val="Refdenotaalpie"/>
          <w:rFonts w:ascii="Garamond" w:hAnsi="Garamond"/>
        </w:rPr>
        <w:footnoteRef/>
      </w:r>
      <w:r w:rsidRPr="00D94B66">
        <w:rPr>
          <w:rFonts w:ascii="Garamond" w:hAnsi="Garamond"/>
          <w:lang w:val="pt-PT"/>
        </w:rPr>
        <w:t xml:space="preserve"> Ver &lt;</w:t>
      </w:r>
      <w:hyperlink r:id="rId27" w:history="1">
        <w:r w:rsidRPr="00D94B66">
          <w:rPr>
            <w:rStyle w:val="Hipervnculo"/>
            <w:rFonts w:ascii="Garamond" w:hAnsi="Garamond"/>
            <w:lang w:val="pt-PT"/>
          </w:rPr>
          <w:t>http://www.sdmujer.gov.co/index.php/component/content/article/2-uncategorised/44-direccion-de-eliminacion-de-violencias-contra-las-mujeres-y-acceso-a-la-justicia</w:t>
        </w:r>
      </w:hyperlink>
      <w:r w:rsidRPr="00D94B66">
        <w:rPr>
          <w:rFonts w:ascii="Garamond" w:hAnsi="Garamond"/>
          <w:lang w:val="pt-PT"/>
        </w:rPr>
        <w:t>&gt;</w:t>
      </w:r>
    </w:p>
  </w:footnote>
  <w:footnote w:id="124">
    <w:p w:rsidR="007B3401" w:rsidRPr="007D183F" w:rsidRDefault="007B3401" w:rsidP="00173A82">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A saber, nas províncias de San José, Puntarenas e Limón. </w:t>
      </w:r>
    </w:p>
  </w:footnote>
  <w:footnote w:id="125">
    <w:p w:rsidR="007B3401" w:rsidRPr="007D183F" w:rsidRDefault="007B3401" w:rsidP="00955D60">
      <w:pPr>
        <w:pStyle w:val="Textonotapie"/>
        <w:rPr>
          <w:rFonts w:ascii="Garamond" w:hAnsi="Garamond" w:cs="Arial"/>
        </w:rPr>
      </w:pPr>
      <w:r w:rsidRPr="007D183F">
        <w:rPr>
          <w:rStyle w:val="Refdenotaalpie"/>
          <w:rFonts w:ascii="Garamond" w:hAnsi="Garamond" w:cs="Arial"/>
        </w:rPr>
        <w:footnoteRef/>
      </w:r>
      <w:r w:rsidRPr="007D183F">
        <w:rPr>
          <w:rFonts w:ascii="Garamond" w:hAnsi="Garamond" w:cs="Arial"/>
          <w:lang w:val="pt-PT"/>
        </w:rPr>
        <w:t xml:space="preserve"> Instituto Nacional de Estatística e Geografia, </w:t>
      </w:r>
      <w:r w:rsidRPr="007D183F">
        <w:rPr>
          <w:rFonts w:ascii="Garamond" w:hAnsi="Garamond" w:cs="Arial"/>
          <w:i/>
          <w:lang w:val="pt-PT"/>
        </w:rPr>
        <w:t xml:space="preserve">Inquérito Nacional sobre a Dinâmica das Relações nos Lares, 2011. </w:t>
      </w:r>
      <w:hyperlink r:id="rId28" w:history="1">
        <w:r w:rsidRPr="007D183F">
          <w:rPr>
            <w:rStyle w:val="Hipervnculo"/>
            <w:rFonts w:ascii="Garamond" w:hAnsi="Garamond" w:cs="Arial"/>
          </w:rPr>
          <w:t>http://www.inegi.org.mx/est/contenidos/Proyectos/encuestas/hogares/especiales/endireh/endireh2011/doc/ENDIREH11_Sintesis_Met.pdf</w:t>
        </w:r>
      </w:hyperlink>
      <w:r w:rsidRPr="007D183F">
        <w:rPr>
          <w:rFonts w:ascii="Garamond" w:hAnsi="Garamond" w:cs="Arial"/>
        </w:rPr>
        <w:t xml:space="preserve"> </w:t>
      </w:r>
    </w:p>
  </w:footnote>
  <w:footnote w:id="126">
    <w:p w:rsidR="007B3401" w:rsidRPr="007D183F" w:rsidRDefault="007B3401" w:rsidP="00955D60">
      <w:pPr>
        <w:pStyle w:val="Textonotapie"/>
        <w:rPr>
          <w:rFonts w:ascii="Garamond" w:hAnsi="Garamond" w:cs="Arial"/>
          <w:i/>
          <w:lang w:val="pt-PT"/>
        </w:rPr>
      </w:pPr>
      <w:r w:rsidRPr="007D183F">
        <w:rPr>
          <w:rStyle w:val="Refdenotaalpie"/>
          <w:rFonts w:ascii="Garamond" w:hAnsi="Garamond" w:cs="Arial"/>
        </w:rPr>
        <w:footnoteRef/>
      </w:r>
      <w:r w:rsidRPr="007D183F">
        <w:rPr>
          <w:rFonts w:ascii="Garamond" w:hAnsi="Garamond" w:cs="Arial"/>
          <w:lang w:val="pt-PT"/>
        </w:rPr>
        <w:t xml:space="preserve"> </w:t>
      </w:r>
      <w:r w:rsidRPr="007D183F">
        <w:rPr>
          <w:rFonts w:ascii="Garamond" w:hAnsi="Garamond" w:cs="Arial"/>
          <w:i/>
          <w:lang w:val="pt-PT"/>
        </w:rPr>
        <w:t>Idem.</w:t>
      </w:r>
    </w:p>
  </w:footnote>
  <w:footnote w:id="127">
    <w:p w:rsidR="007B3401" w:rsidRPr="007D183F" w:rsidRDefault="007B3401" w:rsidP="00955D60">
      <w:pPr>
        <w:pStyle w:val="Textonotapie"/>
        <w:rPr>
          <w:rFonts w:ascii="Garamond" w:hAnsi="Garamond"/>
          <w:lang w:val="pt-PT"/>
        </w:rPr>
      </w:pPr>
      <w:r w:rsidRPr="007D183F">
        <w:rPr>
          <w:rStyle w:val="Refdenotaalpie"/>
          <w:rFonts w:ascii="Garamond" w:hAnsi="Garamond"/>
        </w:rPr>
        <w:footnoteRef/>
      </w:r>
      <w:r w:rsidRPr="007D183F">
        <w:rPr>
          <w:rFonts w:ascii="Garamond" w:eastAsia="Calibri" w:hAnsi="Garamond" w:cs="Arial"/>
          <w:lang w:val="pt-PT"/>
        </w:rPr>
        <w:t>Aguascalientes, Campeche, Coahuila, Guerrero, Hidalgo, Jalisco, Michoacán, Tabasco e Veracruz.</w:t>
      </w:r>
    </w:p>
  </w:footnote>
  <w:footnote w:id="128">
    <w:p w:rsidR="007B3401" w:rsidRPr="007D183F" w:rsidRDefault="007B3401" w:rsidP="00D72051">
      <w:pPr>
        <w:shd w:val="clear" w:color="auto" w:fill="FFFFFF"/>
        <w:spacing w:after="0" w:line="240" w:lineRule="auto"/>
        <w:rPr>
          <w:rFonts w:ascii="Garamond" w:hAnsi="Garamond"/>
          <w:sz w:val="20"/>
          <w:szCs w:val="20"/>
        </w:rPr>
      </w:pPr>
      <w:r w:rsidRPr="007D183F">
        <w:rPr>
          <w:rStyle w:val="Refdenotaalpie"/>
          <w:rFonts w:ascii="Garamond" w:hAnsi="Garamond"/>
          <w:sz w:val="20"/>
          <w:szCs w:val="20"/>
        </w:rPr>
        <w:footnoteRef/>
      </w:r>
      <w:r w:rsidRPr="007D183F">
        <w:rPr>
          <w:rFonts w:ascii="Garamond" w:hAnsi="Garamond"/>
          <w:sz w:val="20"/>
          <w:szCs w:val="20"/>
        </w:rPr>
        <w:t xml:space="preserve">A esse respeito pode aceder-se ao seguinte </w:t>
      </w:r>
      <w:r w:rsidRPr="007D183F">
        <w:rPr>
          <w:rFonts w:ascii="Garamond" w:hAnsi="Garamond"/>
          <w:i/>
          <w:sz w:val="20"/>
          <w:szCs w:val="20"/>
        </w:rPr>
        <w:t>link</w:t>
      </w:r>
      <w:r w:rsidRPr="007D183F">
        <w:rPr>
          <w:rFonts w:ascii="Garamond" w:hAnsi="Garamond"/>
          <w:sz w:val="20"/>
          <w:szCs w:val="20"/>
        </w:rPr>
        <w:t xml:space="preserve"> &lt;</w:t>
      </w:r>
      <w:hyperlink r:id="rId29" w:history="1">
        <w:r w:rsidRPr="007D183F">
          <w:rPr>
            <w:rStyle w:val="Hipervnculo"/>
            <w:rFonts w:ascii="Garamond" w:hAnsi="Garamond" w:cs="Arial"/>
            <w:sz w:val="20"/>
            <w:szCs w:val="20"/>
          </w:rPr>
          <w:t>http://portal.pgjguanajuato.gob.mx/WebPGJEG/departamentos/SAIE/reportes/Primero2013/TipodeViolencia.pdf</w:t>
        </w:r>
      </w:hyperlink>
      <w:r w:rsidRPr="007D183F">
        <w:rPr>
          <w:rFonts w:ascii="Garamond" w:hAnsi="Garamond"/>
          <w:sz w:val="20"/>
          <w:szCs w:val="20"/>
        </w:rPr>
        <w:t>&gt;</w:t>
      </w:r>
    </w:p>
  </w:footnote>
  <w:footnote w:id="129">
    <w:p w:rsidR="007B3401" w:rsidRPr="007D183F" w:rsidRDefault="007B3401" w:rsidP="00955D60">
      <w:pPr>
        <w:pStyle w:val="Predeterminado"/>
        <w:spacing w:line="360" w:lineRule="auto"/>
        <w:jc w:val="both"/>
        <w:rPr>
          <w:rFonts w:ascii="Garamond" w:hAnsi="Garamond"/>
          <w:sz w:val="20"/>
          <w:szCs w:val="20"/>
          <w:lang w:val="pt-PT"/>
        </w:rPr>
      </w:pPr>
      <w:r w:rsidRPr="007D183F">
        <w:rPr>
          <w:rStyle w:val="Refdenotaalpie"/>
          <w:rFonts w:ascii="Garamond" w:hAnsi="Garamond"/>
          <w:sz w:val="20"/>
          <w:szCs w:val="20"/>
        </w:rPr>
        <w:footnoteRef/>
      </w:r>
      <w:r w:rsidRPr="007D183F">
        <w:rPr>
          <w:rFonts w:ascii="Garamond" w:hAnsi="Garamond"/>
          <w:sz w:val="20"/>
          <w:szCs w:val="20"/>
          <w:lang w:val="pt-PT"/>
        </w:rPr>
        <w:t xml:space="preserve"> A direção web é &lt;</w:t>
      </w:r>
      <w:r w:rsidRPr="007D183F">
        <w:rPr>
          <w:rFonts w:ascii="Garamond" w:hAnsi="Garamond" w:cs="Arial"/>
          <w:bCs/>
          <w:sz w:val="20"/>
          <w:szCs w:val="20"/>
          <w:lang w:val="pt-PT"/>
        </w:rPr>
        <w:t xml:space="preserve"> http://www.pj.gov.py/contenido/537-observatorio-de-genero/537 </w:t>
      </w:r>
      <w:r w:rsidRPr="007D183F">
        <w:rPr>
          <w:rFonts w:ascii="Garamond" w:hAnsi="Garamond"/>
          <w:sz w:val="20"/>
          <w:szCs w:val="20"/>
          <w:lang w:val="pt-PT"/>
        </w:rPr>
        <w:t>&gt;</w:t>
      </w:r>
    </w:p>
  </w:footnote>
  <w:footnote w:id="130">
    <w:p w:rsidR="007B3401" w:rsidRPr="001618BA" w:rsidRDefault="007B3401" w:rsidP="00823BE0">
      <w:pPr>
        <w:pStyle w:val="Textonotapie"/>
        <w:jc w:val="both"/>
        <w:rPr>
          <w:rFonts w:ascii="Garamond" w:hAnsi="Garamond"/>
          <w:lang w:val="pt-PT"/>
        </w:rPr>
      </w:pPr>
      <w:r w:rsidRPr="001618BA">
        <w:rPr>
          <w:rStyle w:val="Refdenotaalpie"/>
          <w:rFonts w:ascii="Garamond" w:hAnsi="Garamond"/>
        </w:rPr>
        <w:footnoteRef/>
      </w:r>
      <w:r w:rsidRPr="001618BA">
        <w:rPr>
          <w:rFonts w:ascii="Garamond" w:hAnsi="Garamond"/>
          <w:lang w:val="pt-PT"/>
        </w:rPr>
        <w:t xml:space="preserve"> A respeito deste dispositivo indica:</w:t>
      </w:r>
    </w:p>
    <w:p w:rsidR="007B3401" w:rsidRPr="001618BA" w:rsidRDefault="007B3401" w:rsidP="001618BA">
      <w:pPr>
        <w:pStyle w:val="Textonotapie"/>
        <w:tabs>
          <w:tab w:val="clear" w:pos="708"/>
        </w:tabs>
        <w:ind w:left="284"/>
        <w:rPr>
          <w:rFonts w:ascii="Garamond" w:hAnsi="Garamond"/>
          <w:lang w:val="pt-PT"/>
        </w:rPr>
      </w:pPr>
      <w:r>
        <w:rPr>
          <w:rFonts w:ascii="Garamond" w:hAnsi="Garamond"/>
          <w:lang w:val="pt-PT"/>
        </w:rPr>
        <w:t>«</w:t>
      </w:r>
      <w:r w:rsidRPr="001618BA">
        <w:rPr>
          <w:rFonts w:ascii="Garamond" w:hAnsi="Garamond"/>
          <w:lang w:val="pt-PT"/>
        </w:rPr>
        <w:t>Artigo 248 Medidas de proteção.-</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w:t>
      </w:r>
    </w:p>
    <w:p w:rsidR="007B3401" w:rsidRPr="001618BA" w:rsidRDefault="007B3401" w:rsidP="001618BA">
      <w:pPr>
        <w:pStyle w:val="Textonotapie"/>
        <w:tabs>
          <w:tab w:val="clear" w:pos="708"/>
        </w:tabs>
        <w:ind w:left="284"/>
        <w:rPr>
          <w:rFonts w:ascii="Garamond" w:hAnsi="Garamond"/>
          <w:lang w:val="pt-PT"/>
        </w:rPr>
      </w:pPr>
      <w:r w:rsidRPr="001618BA">
        <w:rPr>
          <w:rFonts w:ascii="Garamond" w:hAnsi="Garamond"/>
          <w:lang w:val="pt-PT"/>
        </w:rPr>
        <w:t>2. As medidas de proteção que se podem adotar são as seguintes:</w:t>
      </w:r>
    </w:p>
    <w:p w:rsidR="007B3401" w:rsidRPr="001618BA" w:rsidRDefault="007B3401" w:rsidP="001618BA">
      <w:pPr>
        <w:pStyle w:val="Textonotapie"/>
        <w:tabs>
          <w:tab w:val="clear" w:pos="708"/>
        </w:tabs>
        <w:ind w:left="284"/>
        <w:rPr>
          <w:rFonts w:ascii="Garamond" w:hAnsi="Garamond"/>
          <w:lang w:val="pt-PT"/>
        </w:rPr>
      </w:pPr>
      <w:r w:rsidRPr="001618BA">
        <w:rPr>
          <w:rFonts w:ascii="Garamond" w:hAnsi="Garamond"/>
          <w:lang w:val="pt-PT"/>
        </w:rPr>
        <w:t>a) Proteção policial.</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b) Mudança de residência.</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c) Ocultação de paradeiro.</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d) Reserva de identidade e dos restantes dados pessoais nas diligências que se praticarem, e qualquer outro dado que possa servir para a sua identificação, podendo utilizar-se</w:t>
      </w:r>
      <w:r>
        <w:rPr>
          <w:rFonts w:ascii="Garamond" w:hAnsi="Garamond"/>
          <w:lang w:val="pt-PT"/>
        </w:rPr>
        <w:t>,</w:t>
      </w:r>
      <w:r w:rsidRPr="001618BA">
        <w:rPr>
          <w:rFonts w:ascii="Garamond" w:hAnsi="Garamond"/>
          <w:lang w:val="pt-PT"/>
        </w:rPr>
        <w:t xml:space="preserve"> para este efeito</w:t>
      </w:r>
      <w:r>
        <w:rPr>
          <w:rFonts w:ascii="Garamond" w:hAnsi="Garamond"/>
          <w:lang w:val="pt-PT"/>
        </w:rPr>
        <w:t>,</w:t>
      </w:r>
      <w:r w:rsidRPr="001618BA">
        <w:rPr>
          <w:rFonts w:ascii="Garamond" w:hAnsi="Garamond"/>
          <w:lang w:val="pt-PT"/>
        </w:rPr>
        <w:t xml:space="preserve"> um número ou qualquer outro código.</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e) Utilização de qualquer procedimento que impossibilite a sua identificação visual normal nas diligências que se praticarem.</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f) Estabelecimento como domicílio, para efeitos de convocatórias e notificações, a sede da Procuradoria competente, que as fará chegar, de modo reservado, ao seu destinatário.</w:t>
      </w:r>
    </w:p>
    <w:p w:rsidR="007B3401" w:rsidRPr="001618BA" w:rsidRDefault="007B3401" w:rsidP="001618BA">
      <w:pPr>
        <w:pStyle w:val="Textonotapie"/>
        <w:tabs>
          <w:tab w:val="clear" w:pos="708"/>
        </w:tabs>
        <w:ind w:left="284"/>
        <w:jc w:val="both"/>
        <w:rPr>
          <w:rFonts w:ascii="Garamond" w:hAnsi="Garamond"/>
          <w:lang w:val="pt-PT"/>
        </w:rPr>
      </w:pPr>
      <w:r w:rsidRPr="001618BA">
        <w:rPr>
          <w:rFonts w:ascii="Garamond" w:hAnsi="Garamond"/>
          <w:lang w:val="pt-PT"/>
        </w:rPr>
        <w:t>g) Utilização de procedimentos tecnológicos, tais como vídeo</w:t>
      </w:r>
      <w:r>
        <w:rPr>
          <w:rFonts w:ascii="Garamond" w:hAnsi="Garamond"/>
          <w:lang w:val="pt-PT"/>
        </w:rPr>
        <w:t xml:space="preserve"> </w:t>
      </w:r>
      <w:r w:rsidRPr="001618BA">
        <w:rPr>
          <w:rFonts w:ascii="Garamond" w:hAnsi="Garamond"/>
          <w:lang w:val="pt-PT"/>
        </w:rPr>
        <w:t xml:space="preserve">Conferências ou outros adequados, sempre que se disponham de recursos necessários para a sua </w:t>
      </w:r>
      <w:proofErr w:type="gramStart"/>
      <w:r w:rsidRPr="001618BA">
        <w:rPr>
          <w:rFonts w:ascii="Garamond" w:hAnsi="Garamond"/>
          <w:lang w:val="pt-PT"/>
        </w:rPr>
        <w:t>implementação</w:t>
      </w:r>
      <w:proofErr w:type="gramEnd"/>
      <w:r w:rsidRPr="001618BA">
        <w:rPr>
          <w:rFonts w:ascii="Garamond" w:hAnsi="Garamond"/>
          <w:lang w:val="pt-PT"/>
        </w:rPr>
        <w:t>. Esta medida será adotada para evitar que se ponha em perigo a segurança do protegido uma vez desvendada a sua identidade e sempre que for necessário a preservação do direito de defesa das partes.</w:t>
      </w:r>
    </w:p>
    <w:p w:rsidR="007B3401" w:rsidRPr="001618BA" w:rsidRDefault="007B3401" w:rsidP="001618BA">
      <w:pPr>
        <w:pStyle w:val="Textonotapie"/>
        <w:tabs>
          <w:tab w:val="clear" w:pos="708"/>
        </w:tabs>
        <w:ind w:left="284"/>
        <w:jc w:val="both"/>
        <w:rPr>
          <w:rFonts w:ascii="Garamond" w:hAnsi="Garamond"/>
          <w:b/>
          <w:color w:val="FF0000"/>
          <w:sz w:val="24"/>
          <w:szCs w:val="24"/>
          <w:lang w:val="pt-PT"/>
        </w:rPr>
      </w:pPr>
      <w:r w:rsidRPr="001618BA">
        <w:rPr>
          <w:rFonts w:ascii="Garamond" w:hAnsi="Garamond"/>
          <w:lang w:val="pt-PT"/>
        </w:rPr>
        <w:t>h) Sempre que existir grave e iminente risco para a vida, integridade física ou liberdade do protegido ou dos seus familiares e não se possa salvaguardar estes bens jurídicos de outro modo, poder-se-á facilitar a sua saída do país com uma qualidade migratória que lhes permita residir temporariamente ou realizar atividades laborais no estrangeiro.</w:t>
      </w:r>
      <w:r>
        <w:rPr>
          <w:rFonts w:ascii="Garamond" w:hAnsi="Garamond"/>
          <w:lang w:val="pt-PT"/>
        </w:rPr>
        <w:t>»</w:t>
      </w:r>
      <w:r w:rsidRPr="001618BA">
        <w:rPr>
          <w:rFonts w:ascii="Garamond" w:hAnsi="Garamond"/>
          <w:b/>
          <w:color w:val="FF0000"/>
          <w:sz w:val="24"/>
          <w:szCs w:val="24"/>
          <w:lang w:val="pt-PT"/>
        </w:rPr>
        <w:t xml:space="preserve"> </w:t>
      </w:r>
    </w:p>
  </w:footnote>
  <w:footnote w:id="131">
    <w:p w:rsidR="007B3401" w:rsidRPr="007D183F" w:rsidRDefault="007B3401" w:rsidP="009F0311">
      <w:pPr>
        <w:pStyle w:val="Textonotapie"/>
        <w:jc w:val="both"/>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Cfr. Lei N</w:t>
      </w:r>
      <w:r>
        <w:rPr>
          <w:rFonts w:ascii="Garamond" w:hAnsi="Garamond" w:cs="Arial"/>
          <w:lang w:val="pt-PT"/>
        </w:rPr>
        <w:t>.</w:t>
      </w:r>
      <w:r w:rsidRPr="007D183F">
        <w:rPr>
          <w:rFonts w:ascii="Garamond" w:hAnsi="Garamond" w:cs="Arial"/>
          <w:lang w:val="pt-PT"/>
        </w:rPr>
        <w:t>° 28</w:t>
      </w:r>
      <w:r>
        <w:rPr>
          <w:rFonts w:ascii="Garamond" w:hAnsi="Garamond" w:cs="Arial"/>
          <w:lang w:val="pt-PT"/>
        </w:rPr>
        <w:t xml:space="preserve"> </w:t>
      </w:r>
      <w:r w:rsidRPr="007D183F">
        <w:rPr>
          <w:rFonts w:ascii="Garamond" w:hAnsi="Garamond" w:cs="Arial"/>
          <w:lang w:val="pt-PT"/>
        </w:rPr>
        <w:t>236, Lei que cria Casas de Abrigo Temporárias para Vítimas de violência familiar e o seu Regulamento, Decreto Supremo N</w:t>
      </w:r>
      <w:r>
        <w:rPr>
          <w:rFonts w:ascii="Garamond" w:hAnsi="Garamond" w:cs="Arial"/>
          <w:lang w:val="pt-PT"/>
        </w:rPr>
        <w:t>.</w:t>
      </w:r>
      <w:r w:rsidRPr="007D183F">
        <w:rPr>
          <w:rFonts w:ascii="Garamond" w:hAnsi="Garamond" w:cs="Arial"/>
          <w:lang w:val="pt-PT"/>
        </w:rPr>
        <w:t xml:space="preserve">° 007-2005-MIMDES. </w:t>
      </w:r>
    </w:p>
  </w:footnote>
  <w:footnote w:id="132">
    <w:p w:rsidR="007B3401" w:rsidRPr="007D183F" w:rsidRDefault="007B3401" w:rsidP="009F0311">
      <w:pPr>
        <w:pStyle w:val="Textonotapie"/>
        <w:jc w:val="both"/>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Trata-se da instituição pública constitucionalmente encarregada da formação e </w:t>
      </w:r>
      <w:r>
        <w:rPr>
          <w:rFonts w:ascii="Garamond" w:hAnsi="Garamond"/>
          <w:lang w:val="pt-PT"/>
        </w:rPr>
        <w:t xml:space="preserve">profissionalização </w:t>
      </w:r>
      <w:r w:rsidRPr="007D183F">
        <w:rPr>
          <w:rFonts w:ascii="Garamond" w:hAnsi="Garamond"/>
          <w:lang w:val="pt-PT"/>
        </w:rPr>
        <w:t>de Juízes e Delegados do Ministério Público</w:t>
      </w:r>
      <w:r>
        <w:rPr>
          <w:rFonts w:ascii="Garamond" w:hAnsi="Garamond"/>
          <w:lang w:val="pt-PT"/>
        </w:rPr>
        <w:t>,</w:t>
      </w:r>
      <w:r w:rsidRPr="007D183F">
        <w:rPr>
          <w:rFonts w:ascii="Garamond" w:hAnsi="Garamond"/>
          <w:lang w:val="pt-PT"/>
        </w:rPr>
        <w:t xml:space="preserve"> a nível nacional.</w:t>
      </w:r>
    </w:p>
  </w:footnote>
  <w:footnote w:id="133">
    <w:p w:rsidR="007B3401" w:rsidRPr="007D183F" w:rsidRDefault="007B3401" w:rsidP="00496CB2">
      <w:pPr>
        <w:pStyle w:val="Textonotapie"/>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 1 L.P.R.A. § 317.</w:t>
      </w:r>
    </w:p>
  </w:footnote>
  <w:footnote w:id="134">
    <w:p w:rsidR="007B3401" w:rsidRPr="007D183F" w:rsidRDefault="007B3401" w:rsidP="005F3674">
      <w:pPr>
        <w:pStyle w:val="Textonotapie"/>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 Polícia de Porto Rico, Divisão de Estatísticas, </w:t>
      </w:r>
      <w:r>
        <w:rPr>
          <w:rFonts w:ascii="Garamond" w:hAnsi="Garamond" w:cs="Arial"/>
          <w:lang w:val="pt-PT"/>
        </w:rPr>
        <w:t>«</w:t>
      </w:r>
      <w:r w:rsidRPr="007D183F">
        <w:rPr>
          <w:rFonts w:ascii="Garamond" w:hAnsi="Garamond" w:cs="Arial"/>
          <w:lang w:val="pt-PT"/>
        </w:rPr>
        <w:t>Incidentes de Violência Doméstica</w:t>
      </w:r>
      <w:r>
        <w:rPr>
          <w:rFonts w:ascii="Garamond" w:hAnsi="Garamond" w:cs="Arial"/>
          <w:lang w:val="pt-PT"/>
        </w:rPr>
        <w:t>»</w:t>
      </w:r>
      <w:r w:rsidRPr="007D183F">
        <w:rPr>
          <w:rFonts w:ascii="Garamond" w:hAnsi="Garamond" w:cs="Arial"/>
          <w:lang w:val="pt-PT"/>
        </w:rPr>
        <w:t xml:space="preserve"> (2014).</w:t>
      </w:r>
    </w:p>
  </w:footnote>
  <w:footnote w:id="135">
    <w:p w:rsidR="007B3401" w:rsidRPr="007D183F" w:rsidRDefault="007B3401" w:rsidP="00496CB2">
      <w:pPr>
        <w:pStyle w:val="Textonotapie"/>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 1 L.P.R.A. § 317.</w:t>
      </w:r>
    </w:p>
  </w:footnote>
  <w:footnote w:id="136">
    <w:p w:rsidR="007B3401" w:rsidRPr="007D183F" w:rsidRDefault="007B3401" w:rsidP="00CB0C30">
      <w:pPr>
        <w:pStyle w:val="Textonotapie"/>
        <w:jc w:val="both"/>
        <w:rPr>
          <w:rFonts w:ascii="Garamond" w:hAnsi="Garamond"/>
          <w:lang w:val="pt-PT"/>
        </w:rPr>
      </w:pPr>
      <w:r w:rsidRPr="007D183F">
        <w:rPr>
          <w:rStyle w:val="Caracteresdenotaalpie"/>
          <w:rFonts w:ascii="Garamond" w:hAnsi="Garamond"/>
        </w:rPr>
        <w:footnoteRef/>
      </w:r>
      <w:r w:rsidRPr="007D183F">
        <w:rPr>
          <w:rFonts w:ascii="Garamond" w:hAnsi="Garamond"/>
          <w:lang w:val="pt-PT"/>
        </w:rPr>
        <w:tab/>
        <w:t>Informação proporcionada pela Dr</w:t>
      </w:r>
      <w:r>
        <w:rPr>
          <w:rFonts w:ascii="Garamond" w:hAnsi="Garamond"/>
          <w:lang w:val="pt-PT"/>
        </w:rPr>
        <w:t>.</w:t>
      </w:r>
      <w:r w:rsidRPr="007D183F">
        <w:rPr>
          <w:rFonts w:ascii="Garamond" w:hAnsi="Garamond"/>
          <w:lang w:val="pt-PT"/>
        </w:rPr>
        <w:t>ª Carolina Patrón – Diretora da Unidade Executora do Projeto Judicial no Programa Integral de Luta contra a Violência de Género, e Dr</w:t>
      </w:r>
      <w:r>
        <w:rPr>
          <w:rFonts w:ascii="Garamond" w:hAnsi="Garamond"/>
          <w:lang w:val="pt-PT"/>
        </w:rPr>
        <w:t>.</w:t>
      </w:r>
      <w:r w:rsidRPr="007D183F">
        <w:rPr>
          <w:rFonts w:ascii="Garamond" w:hAnsi="Garamond"/>
          <w:lang w:val="pt-PT"/>
        </w:rPr>
        <w:t xml:space="preserve">ª Raquel Martínez – Diretora da Direção de Gestão de Projetos - Coordenadora com o PILCVG. </w:t>
      </w:r>
    </w:p>
    <w:p w:rsidR="007B3401" w:rsidRPr="007D183F" w:rsidRDefault="007B3401" w:rsidP="00955D60">
      <w:pPr>
        <w:pStyle w:val="Textonotapie"/>
        <w:jc w:val="both"/>
        <w:rPr>
          <w:rFonts w:ascii="Garamond" w:hAnsi="Garamond"/>
          <w:lang w:val="pt-PT"/>
        </w:rPr>
      </w:pPr>
    </w:p>
  </w:footnote>
  <w:footnote w:id="137">
    <w:p w:rsidR="007B3401" w:rsidRPr="007D183F" w:rsidRDefault="007B3401" w:rsidP="000864ED">
      <w:pPr>
        <w:pStyle w:val="Textonotapie"/>
        <w:jc w:val="both"/>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Lei Orgânica sobre o direito das mulheres a uma vida livre de violência. </w:t>
      </w:r>
      <w:r w:rsidRPr="007D183F">
        <w:rPr>
          <w:rFonts w:ascii="Garamond" w:hAnsi="Garamond" w:cs="Arial"/>
          <w:i/>
          <w:lang w:val="pt-PT"/>
        </w:rPr>
        <w:t>Medidas de proteção e segurança. Art. 87</w:t>
      </w:r>
      <w:r w:rsidRPr="007D183F">
        <w:rPr>
          <w:rFonts w:ascii="Garamond" w:hAnsi="Garamond" w:cs="Arial"/>
          <w:lang w:val="pt-PT"/>
        </w:rPr>
        <w:t>, Gaceta Oficial N</w:t>
      </w:r>
      <w:r>
        <w:rPr>
          <w:rFonts w:ascii="Garamond" w:hAnsi="Garamond" w:cs="Arial"/>
          <w:lang w:val="pt-PT"/>
        </w:rPr>
        <w:t>.</w:t>
      </w:r>
      <w:r w:rsidRPr="007D183F">
        <w:rPr>
          <w:rFonts w:ascii="Garamond" w:hAnsi="Garamond" w:cs="Arial"/>
          <w:lang w:val="pt-PT"/>
        </w:rPr>
        <w:t xml:space="preserve">°38647, de 19 de março de 2007.  </w:t>
      </w:r>
    </w:p>
  </w:footnote>
  <w:footnote w:id="138">
    <w:p w:rsidR="007B3401" w:rsidRPr="007D183F" w:rsidRDefault="007B3401" w:rsidP="000864ED">
      <w:pPr>
        <w:pStyle w:val="Textonotapie"/>
        <w:jc w:val="both"/>
        <w:rPr>
          <w:rFonts w:ascii="Garamond" w:hAnsi="Garamond"/>
          <w:lang w:val="pt-PT"/>
        </w:rPr>
      </w:pPr>
      <w:r w:rsidRPr="007D183F">
        <w:rPr>
          <w:rStyle w:val="Refdenotaalpie"/>
          <w:rFonts w:ascii="Garamond" w:hAnsi="Garamond"/>
        </w:rPr>
        <w:footnoteRef/>
      </w:r>
      <w:r w:rsidRPr="007D183F">
        <w:rPr>
          <w:rFonts w:ascii="Garamond" w:hAnsi="Garamond" w:cs="Arial"/>
          <w:lang w:val="pt-PT"/>
        </w:rPr>
        <w:t xml:space="preserve">Lei Orgânica sobre o direito das mulheres a uma vida livre de violência. </w:t>
      </w:r>
      <w:r w:rsidRPr="007D183F">
        <w:rPr>
          <w:rFonts w:ascii="Garamond" w:hAnsi="Garamond" w:cs="Arial"/>
          <w:i/>
          <w:lang w:val="pt-PT"/>
        </w:rPr>
        <w:t>Classificação dos Programas. Art. 20</w:t>
      </w:r>
      <w:r w:rsidRPr="007D183F">
        <w:rPr>
          <w:rFonts w:ascii="Garamond" w:hAnsi="Garamond" w:cs="Arial"/>
          <w:lang w:val="pt-PT"/>
        </w:rPr>
        <w:t>, Gaceta Oficial N</w:t>
      </w:r>
      <w:r>
        <w:rPr>
          <w:rFonts w:ascii="Garamond" w:hAnsi="Garamond" w:cs="Arial"/>
          <w:lang w:val="pt-PT"/>
        </w:rPr>
        <w:t>.</w:t>
      </w:r>
      <w:r w:rsidRPr="007D183F">
        <w:rPr>
          <w:rFonts w:ascii="Garamond" w:hAnsi="Garamond" w:cs="Arial"/>
          <w:lang w:val="pt-PT"/>
        </w:rPr>
        <w:t xml:space="preserve">° 38647, de 19 de março de 2007.  </w:t>
      </w:r>
    </w:p>
  </w:footnote>
  <w:footnote w:id="139">
    <w:p w:rsidR="007B3401" w:rsidRPr="007D183F" w:rsidRDefault="007B3401" w:rsidP="000864ED">
      <w:pPr>
        <w:pStyle w:val="Textonotapie"/>
        <w:jc w:val="both"/>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 Ministério do poder popular para a mulher e para a igualdade de género, Casas de abrigo. Em: &lt;</w:t>
      </w:r>
      <w:proofErr w:type="gramStart"/>
      <w:r w:rsidRPr="007D183F">
        <w:rPr>
          <w:rFonts w:ascii="Garamond" w:hAnsi="Garamond" w:cs="Arial"/>
          <w:lang w:val="pt-PT"/>
        </w:rPr>
        <w:t>http://www.minmujer.gob.ve/inamujer/index.</w:t>
      </w:r>
      <w:proofErr w:type="gramEnd"/>
      <w:r w:rsidRPr="007D183F">
        <w:rPr>
          <w:rFonts w:ascii="Garamond" w:hAnsi="Garamond" w:cs="Arial"/>
          <w:lang w:val="pt-PT"/>
        </w:rPr>
        <w:t>php?</w:t>
      </w:r>
      <w:proofErr w:type="gramStart"/>
      <w:r w:rsidRPr="007D183F">
        <w:rPr>
          <w:rFonts w:ascii="Garamond" w:hAnsi="Garamond" w:cs="Arial"/>
          <w:lang w:val="pt-PT"/>
        </w:rPr>
        <w:t>option</w:t>
      </w:r>
      <w:proofErr w:type="gramEnd"/>
      <w:r w:rsidRPr="007D183F">
        <w:rPr>
          <w:rFonts w:ascii="Garamond" w:hAnsi="Garamond" w:cs="Arial"/>
          <w:lang w:val="pt-PT"/>
        </w:rPr>
        <w:t>=com_content&amp;view=article&amp;id=26:casa-de-abrigo&amp;catid=4:efemerides&gt;. Consultado a 9 de julho de 2014.</w:t>
      </w:r>
    </w:p>
  </w:footnote>
  <w:footnote w:id="140">
    <w:p w:rsidR="007B3401" w:rsidRPr="007D183F" w:rsidRDefault="007B3401" w:rsidP="000864ED">
      <w:pPr>
        <w:pStyle w:val="Textonotapie"/>
        <w:jc w:val="both"/>
        <w:rPr>
          <w:rFonts w:ascii="Garamond" w:hAnsi="Garamond" w:cs="Arial"/>
          <w:lang w:val="pt-PT"/>
        </w:rPr>
      </w:pPr>
      <w:r w:rsidRPr="007D183F">
        <w:rPr>
          <w:rStyle w:val="Refdenotaalpie"/>
          <w:rFonts w:ascii="Garamond" w:hAnsi="Garamond" w:cs="Arial"/>
        </w:rPr>
        <w:footnoteRef/>
      </w:r>
      <w:r w:rsidRPr="007D183F">
        <w:rPr>
          <w:rFonts w:ascii="Garamond" w:hAnsi="Garamond" w:cs="Arial"/>
          <w:lang w:val="pt-PT"/>
        </w:rPr>
        <w:t xml:space="preserve"> Lei Orgânica sobre o direito das mulheres a uma vida livre de violência. Art. 87 </w:t>
      </w:r>
      <w:r w:rsidRPr="007D183F">
        <w:rPr>
          <w:rFonts w:ascii="Garamond" w:hAnsi="Garamond" w:cs="Arial"/>
          <w:i/>
          <w:lang w:val="pt-PT"/>
        </w:rPr>
        <w:t>Medidas de proteção e segurança</w:t>
      </w:r>
      <w:r w:rsidRPr="007D183F">
        <w:rPr>
          <w:rFonts w:ascii="Garamond" w:hAnsi="Garamond" w:cs="Arial"/>
          <w:lang w:val="pt-PT"/>
        </w:rPr>
        <w:t>. N</w:t>
      </w:r>
      <w:r>
        <w:rPr>
          <w:rFonts w:ascii="Garamond" w:hAnsi="Garamond" w:cs="Arial"/>
          <w:lang w:val="pt-PT"/>
        </w:rPr>
        <w:t>.º</w:t>
      </w:r>
      <w:r w:rsidRPr="007D183F">
        <w:rPr>
          <w:rFonts w:ascii="Garamond" w:hAnsi="Garamond" w:cs="Arial"/>
          <w:lang w:val="pt-PT"/>
        </w:rPr>
        <w:t xml:space="preserve"> 2- Medida de abrigo. Gaceta Oficial N</w:t>
      </w:r>
      <w:r>
        <w:rPr>
          <w:rFonts w:ascii="Garamond" w:hAnsi="Garamond" w:cs="Arial"/>
          <w:lang w:val="pt-PT"/>
        </w:rPr>
        <w:t>.</w:t>
      </w:r>
      <w:r w:rsidRPr="007D183F">
        <w:rPr>
          <w:rFonts w:ascii="Garamond" w:hAnsi="Garamond" w:cs="Arial"/>
          <w:lang w:val="pt-PT"/>
        </w:rPr>
        <w:t xml:space="preserve">° 38647, de 19 de março de 2007.  </w:t>
      </w:r>
    </w:p>
  </w:footnote>
  <w:footnote w:id="141">
    <w:p w:rsidR="007B3401" w:rsidRPr="007D183F" w:rsidRDefault="007B3401" w:rsidP="000864ED">
      <w:pPr>
        <w:autoSpaceDE w:val="0"/>
        <w:autoSpaceDN w:val="0"/>
        <w:adjustRightInd w:val="0"/>
        <w:spacing w:after="0" w:line="240" w:lineRule="auto"/>
        <w:jc w:val="both"/>
        <w:rPr>
          <w:rFonts w:ascii="Garamond" w:hAnsi="Garamond"/>
          <w:sz w:val="20"/>
          <w:szCs w:val="20"/>
        </w:rPr>
      </w:pPr>
      <w:r w:rsidRPr="007D183F">
        <w:rPr>
          <w:rStyle w:val="Refdenotaalpie"/>
          <w:rFonts w:ascii="Garamond" w:hAnsi="Garamond" w:cs="Times New Roman"/>
          <w:sz w:val="20"/>
          <w:szCs w:val="20"/>
        </w:rPr>
        <w:footnoteRef/>
      </w:r>
      <w:r w:rsidRPr="007D183F">
        <w:rPr>
          <w:rFonts w:ascii="Garamond" w:hAnsi="Garamond" w:cs="Arial"/>
          <w:sz w:val="20"/>
          <w:szCs w:val="20"/>
        </w:rPr>
        <w:t>Organização das Nações Unidas</w:t>
      </w:r>
      <w:r w:rsidRPr="007D183F">
        <w:rPr>
          <w:rFonts w:ascii="Garamond" w:hAnsi="Garamond" w:cs="Times New Roman"/>
          <w:sz w:val="20"/>
          <w:szCs w:val="20"/>
        </w:rPr>
        <w:t xml:space="preserve">. </w:t>
      </w:r>
      <w:r w:rsidRPr="007D183F">
        <w:rPr>
          <w:rFonts w:ascii="Garamond" w:hAnsi="Garamond" w:cs="Arial"/>
          <w:sz w:val="20"/>
          <w:szCs w:val="20"/>
        </w:rPr>
        <w:t xml:space="preserve">Comissão Económica para a América Latina e o Caribe. Comissão de assuntos de género. </w:t>
      </w:r>
      <w:r w:rsidRPr="007D183F">
        <w:rPr>
          <w:rFonts w:ascii="Garamond" w:hAnsi="Garamond" w:cs="Arial"/>
          <w:bCs/>
          <w:i/>
          <w:sz w:val="20"/>
          <w:szCs w:val="20"/>
        </w:rPr>
        <w:t>Aplicação da Declaração e Plataforma de Ação de Beijing (1995) e os resultados do vigésimo terceiro período extraordinário de sessões da Assembleia Geral (2000) no contexto do 20</w:t>
      </w:r>
      <w:r>
        <w:rPr>
          <w:rFonts w:ascii="Garamond" w:hAnsi="Garamond" w:cs="Arial"/>
          <w:bCs/>
          <w:i/>
          <w:sz w:val="20"/>
          <w:szCs w:val="20"/>
        </w:rPr>
        <w:t>.</w:t>
      </w:r>
      <w:r w:rsidRPr="007D183F">
        <w:rPr>
          <w:rFonts w:ascii="Garamond" w:hAnsi="Garamond" w:cs="Arial"/>
          <w:bCs/>
          <w:i/>
          <w:sz w:val="20"/>
          <w:szCs w:val="20"/>
        </w:rPr>
        <w:t>º aniversário da Quarta Conferência Mundial sobre a Mulher e a aprovação da Declaração e Plataforma de Ação de Beijing 2015</w:t>
      </w:r>
      <w:r w:rsidRPr="007D183F">
        <w:rPr>
          <w:rFonts w:ascii="Garamond" w:hAnsi="Garamond" w:cs="Arial"/>
          <w:bCs/>
          <w:sz w:val="20"/>
          <w:szCs w:val="20"/>
        </w:rPr>
        <w:t>. Em: &lt;http://www.cepal.org/cgibin/getprod.asp?</w:t>
      </w:r>
      <w:proofErr w:type="gramStart"/>
      <w:r w:rsidRPr="007D183F">
        <w:rPr>
          <w:rFonts w:ascii="Garamond" w:hAnsi="Garamond" w:cs="Arial"/>
          <w:bCs/>
          <w:sz w:val="20"/>
          <w:szCs w:val="20"/>
        </w:rPr>
        <w:t>xml</w:t>
      </w:r>
      <w:proofErr w:type="gramEnd"/>
      <w:r w:rsidRPr="007D183F">
        <w:rPr>
          <w:rFonts w:ascii="Garamond" w:hAnsi="Garamond" w:cs="Arial"/>
          <w:bCs/>
          <w:sz w:val="20"/>
          <w:szCs w:val="20"/>
        </w:rPr>
        <w:t>=/mujer/noticias/paginas/3/51823/P51823.xml&amp;xsl=/mujer/tpl/p18f.xsl&amp;base=/mujer/tpl/top-bottom.xsl&gt; Consultado el 4 de julho de 2014</w:t>
      </w:r>
    </w:p>
  </w:footnote>
  <w:footnote w:id="142">
    <w:p w:rsidR="007B3401" w:rsidRPr="007D183F" w:rsidRDefault="007B3401" w:rsidP="0080402D">
      <w:pPr>
        <w:autoSpaceDE w:val="0"/>
        <w:autoSpaceDN w:val="0"/>
        <w:adjustRightInd w:val="0"/>
        <w:spacing w:after="0" w:line="240" w:lineRule="auto"/>
        <w:jc w:val="both"/>
        <w:rPr>
          <w:rFonts w:ascii="Garamond" w:hAnsi="Garamond"/>
          <w:sz w:val="20"/>
          <w:szCs w:val="20"/>
        </w:rPr>
      </w:pPr>
      <w:r w:rsidRPr="007D183F">
        <w:rPr>
          <w:rStyle w:val="Refdenotaalpie"/>
          <w:rFonts w:ascii="Garamond" w:hAnsi="Garamond" w:cs="Times New Roman"/>
          <w:sz w:val="20"/>
          <w:szCs w:val="20"/>
        </w:rPr>
        <w:footnoteRef/>
      </w:r>
      <w:r w:rsidRPr="007D183F">
        <w:rPr>
          <w:rFonts w:ascii="Garamond" w:hAnsi="Garamond" w:cs="Arial"/>
          <w:bCs/>
          <w:sz w:val="20"/>
          <w:szCs w:val="20"/>
        </w:rPr>
        <w:t>I</w:t>
      </w:r>
      <w:r w:rsidRPr="007D183F">
        <w:rPr>
          <w:rFonts w:ascii="Garamond" w:hAnsi="Garamond" w:cs="Arial"/>
          <w:bCs/>
          <w:i/>
          <w:sz w:val="20"/>
          <w:szCs w:val="20"/>
        </w:rPr>
        <w:t>bidem.</w:t>
      </w:r>
    </w:p>
  </w:footnote>
  <w:footnote w:id="143">
    <w:p w:rsidR="007B3401" w:rsidRPr="007D183F" w:rsidRDefault="007B3401" w:rsidP="007D183F">
      <w:pPr>
        <w:pStyle w:val="Textonotapie"/>
        <w:jc w:val="both"/>
        <w:rPr>
          <w:rFonts w:ascii="Garamond" w:hAnsi="Garamond" w:cs="Arial"/>
          <w:lang w:val="pt-PT"/>
        </w:rPr>
      </w:pPr>
      <w:r w:rsidRPr="007D183F">
        <w:rPr>
          <w:rStyle w:val="Refdenotaalpie"/>
          <w:rFonts w:ascii="Garamond" w:hAnsi="Garamond"/>
        </w:rPr>
        <w:footnoteRef/>
      </w:r>
      <w:r w:rsidRPr="007D183F">
        <w:rPr>
          <w:rFonts w:ascii="Garamond" w:hAnsi="Garamond" w:cs="Arial"/>
          <w:lang w:val="pt-PT"/>
        </w:rPr>
        <w:t xml:space="preserve"> Lei Orgânica sobre o direito das mulheres a uma vida livre de violência. Gaceta Oficial N</w:t>
      </w:r>
      <w:r>
        <w:rPr>
          <w:rFonts w:ascii="Garamond" w:hAnsi="Garamond" w:cs="Arial"/>
          <w:lang w:val="pt-PT"/>
        </w:rPr>
        <w:t>.</w:t>
      </w:r>
      <w:r w:rsidRPr="007D183F">
        <w:rPr>
          <w:rFonts w:ascii="Garamond" w:hAnsi="Garamond" w:cs="Arial"/>
          <w:lang w:val="pt-PT"/>
        </w:rPr>
        <w:t xml:space="preserve">° 38647, de 19 de março de 2007.  Art. 15. </w:t>
      </w:r>
    </w:p>
  </w:footnote>
  <w:footnote w:id="144">
    <w:p w:rsidR="007B3401" w:rsidRPr="007D183F" w:rsidRDefault="007B3401" w:rsidP="007D183F">
      <w:pPr>
        <w:pStyle w:val="Textonotapie"/>
        <w:jc w:val="both"/>
        <w:rPr>
          <w:rFonts w:ascii="Garamond" w:hAnsi="Garamond" w:cs="Arial"/>
          <w:lang w:val="pt-PT"/>
        </w:rPr>
      </w:pPr>
      <w:r w:rsidRPr="007D183F">
        <w:rPr>
          <w:rStyle w:val="Refdenotaalpie"/>
          <w:rFonts w:ascii="Garamond" w:hAnsi="Garamond" w:cs="Arial"/>
        </w:rPr>
        <w:footnoteRef/>
      </w:r>
      <w:r w:rsidRPr="007D183F">
        <w:rPr>
          <w:rFonts w:ascii="Garamond" w:hAnsi="Garamond" w:cs="Arial"/>
          <w:i/>
          <w:lang w:val="pt-PT"/>
        </w:rPr>
        <w:t>Op. Cit.</w:t>
      </w:r>
      <w:r w:rsidRPr="007D183F">
        <w:rPr>
          <w:rFonts w:ascii="Garamond" w:hAnsi="Garamond" w:cs="Arial"/>
          <w:lang w:val="pt-PT"/>
        </w:rPr>
        <w:t xml:space="preserve"> Art. 39.</w:t>
      </w:r>
    </w:p>
  </w:footnote>
  <w:footnote w:id="145">
    <w:p w:rsidR="007B3401" w:rsidRPr="007D183F" w:rsidRDefault="007B3401" w:rsidP="007D183F">
      <w:pPr>
        <w:pStyle w:val="Default"/>
        <w:jc w:val="both"/>
        <w:rPr>
          <w:rFonts w:ascii="Garamond" w:hAnsi="Garamond"/>
          <w:sz w:val="20"/>
          <w:szCs w:val="20"/>
          <w:lang w:val="pt-PT"/>
        </w:rPr>
      </w:pPr>
      <w:r w:rsidRPr="007D183F">
        <w:rPr>
          <w:rStyle w:val="Refdenotaalpie"/>
          <w:rFonts w:ascii="Garamond" w:hAnsi="Garamond" w:cs="Arial"/>
          <w:sz w:val="20"/>
          <w:szCs w:val="20"/>
        </w:rPr>
        <w:footnoteRef/>
      </w:r>
      <w:r w:rsidRPr="007D183F">
        <w:rPr>
          <w:rFonts w:ascii="Garamond" w:hAnsi="Garamond" w:cs="Arial"/>
          <w:sz w:val="20"/>
          <w:szCs w:val="20"/>
          <w:lang w:val="pt-PT"/>
        </w:rPr>
        <w:t xml:space="preserve">Organização das Nações Unidas. </w:t>
      </w:r>
      <w:r w:rsidRPr="007D183F">
        <w:rPr>
          <w:rFonts w:ascii="Garamond" w:hAnsi="Garamond" w:cs="Arial"/>
          <w:bCs/>
          <w:sz w:val="20"/>
          <w:szCs w:val="20"/>
          <w:lang w:val="pt-PT"/>
        </w:rPr>
        <w:t>Comité para a Eliminação da Discriminação contra a Mulher</w:t>
      </w:r>
      <w:r w:rsidRPr="007D183F">
        <w:rPr>
          <w:rFonts w:ascii="Garamond" w:hAnsi="Garamond" w:cs="Arial"/>
          <w:b/>
          <w:bCs/>
          <w:sz w:val="20"/>
          <w:szCs w:val="20"/>
          <w:lang w:val="pt-PT"/>
        </w:rPr>
        <w:t xml:space="preserve">. </w:t>
      </w:r>
      <w:r w:rsidRPr="007D183F">
        <w:rPr>
          <w:rFonts w:ascii="Garamond" w:hAnsi="Garamond" w:cs="Arial"/>
          <w:bCs/>
          <w:i/>
          <w:sz w:val="20"/>
          <w:szCs w:val="20"/>
          <w:lang w:val="pt-PT"/>
        </w:rPr>
        <w:t>Lista de questões e perguntas relativamente ao sétimo e oitavo relatórios combinados da Venezuela</w:t>
      </w:r>
      <w:r w:rsidRPr="007D183F">
        <w:rPr>
          <w:rFonts w:ascii="Garamond" w:hAnsi="Garamond" w:cs="Arial"/>
          <w:sz w:val="20"/>
          <w:szCs w:val="20"/>
          <w:lang w:val="pt-PT"/>
        </w:rPr>
        <w:t>. Em: &lt;http://tbinternet.ohchr.org/Treaties/CEDAW/Shared%</w:t>
      </w:r>
      <w:proofErr w:type="gramStart"/>
      <w:r w:rsidRPr="007D183F">
        <w:rPr>
          <w:rFonts w:ascii="Garamond" w:hAnsi="Garamond" w:cs="Arial"/>
          <w:sz w:val="20"/>
          <w:szCs w:val="20"/>
          <w:lang w:val="pt-PT"/>
        </w:rPr>
        <w:t>20Documents</w:t>
      </w:r>
      <w:proofErr w:type="gramEnd"/>
      <w:r w:rsidRPr="007D183F">
        <w:rPr>
          <w:rFonts w:ascii="Garamond" w:hAnsi="Garamond" w:cs="Arial"/>
          <w:sz w:val="20"/>
          <w:szCs w:val="20"/>
          <w:lang w:val="pt-PT"/>
        </w:rPr>
        <w:t>/VEN/CEDAW_C_VEN_Q_7-8_Add-1_17524_S.pdf&gt;. Consultado e</w:t>
      </w:r>
      <w:r>
        <w:rPr>
          <w:rFonts w:ascii="Garamond" w:hAnsi="Garamond" w:cs="Arial"/>
          <w:sz w:val="20"/>
          <w:szCs w:val="20"/>
          <w:lang w:val="pt-PT"/>
        </w:rPr>
        <w:t>m</w:t>
      </w:r>
      <w:r w:rsidRPr="007D183F">
        <w:rPr>
          <w:rFonts w:ascii="Garamond" w:hAnsi="Garamond" w:cs="Arial"/>
          <w:sz w:val="20"/>
          <w:szCs w:val="20"/>
          <w:lang w:val="pt-PT"/>
        </w:rPr>
        <w:t xml:space="preserve"> 11 de julho de 2014.</w:t>
      </w:r>
    </w:p>
  </w:footnote>
  <w:footnote w:id="146">
    <w:p w:rsidR="007B3401" w:rsidRPr="007D183F" w:rsidRDefault="007B3401" w:rsidP="007D183F">
      <w:pPr>
        <w:pStyle w:val="Default"/>
        <w:jc w:val="both"/>
        <w:rPr>
          <w:rFonts w:ascii="Garamond" w:hAnsi="Garamond" w:cs="Arial"/>
          <w:sz w:val="20"/>
          <w:szCs w:val="20"/>
          <w:lang w:val="pt-PT"/>
        </w:rPr>
      </w:pPr>
      <w:r w:rsidRPr="007D183F">
        <w:rPr>
          <w:rStyle w:val="Refdenotaalpie"/>
          <w:rFonts w:ascii="Garamond" w:hAnsi="Garamond"/>
          <w:sz w:val="20"/>
          <w:szCs w:val="20"/>
        </w:rPr>
        <w:footnoteRef/>
      </w:r>
      <w:r w:rsidRPr="007D183F" w:rsidDel="0080402D">
        <w:rPr>
          <w:rFonts w:ascii="Garamond" w:hAnsi="Garamond" w:cs="Arial"/>
          <w:sz w:val="20"/>
          <w:szCs w:val="20"/>
          <w:lang w:val="pt-PT"/>
        </w:rPr>
        <w:t xml:space="preserve"> </w:t>
      </w:r>
      <w:r w:rsidRPr="007D183F">
        <w:rPr>
          <w:rFonts w:ascii="Garamond" w:hAnsi="Garamond" w:cs="Arial"/>
          <w:i/>
          <w:sz w:val="20"/>
          <w:szCs w:val="20"/>
          <w:lang w:val="pt-PT"/>
        </w:rPr>
        <w:t>Ibidem.</w:t>
      </w:r>
    </w:p>
  </w:footnote>
  <w:footnote w:id="147">
    <w:p w:rsidR="007B3401" w:rsidRPr="007D183F" w:rsidRDefault="007B3401" w:rsidP="007D183F">
      <w:pPr>
        <w:pStyle w:val="Default"/>
        <w:jc w:val="both"/>
        <w:rPr>
          <w:rFonts w:ascii="Garamond" w:hAnsi="Garamond"/>
          <w:sz w:val="20"/>
          <w:szCs w:val="20"/>
          <w:lang w:val="pt-PT"/>
        </w:rPr>
      </w:pPr>
      <w:r w:rsidRPr="007D183F">
        <w:rPr>
          <w:rStyle w:val="Refdenotaalpie"/>
          <w:rFonts w:ascii="Garamond" w:hAnsi="Garamond"/>
          <w:sz w:val="20"/>
          <w:szCs w:val="20"/>
        </w:rPr>
        <w:footnoteRef/>
      </w:r>
      <w:r w:rsidRPr="007D183F">
        <w:rPr>
          <w:rFonts w:ascii="Garamond" w:hAnsi="Garamond" w:cs="Arial"/>
          <w:sz w:val="20"/>
          <w:szCs w:val="20"/>
          <w:lang w:val="pt-PT"/>
        </w:rPr>
        <w:t xml:space="preserve">Organização das Nações Unidas. </w:t>
      </w:r>
      <w:r w:rsidRPr="007D183F">
        <w:rPr>
          <w:rFonts w:ascii="Garamond" w:hAnsi="Garamond" w:cs="Arial"/>
          <w:bCs/>
          <w:sz w:val="20"/>
          <w:szCs w:val="20"/>
          <w:lang w:val="pt-PT"/>
        </w:rPr>
        <w:t>Comité para a Eliminação da Discriminação contra a Mulher</w:t>
      </w:r>
      <w:r w:rsidRPr="007D183F">
        <w:rPr>
          <w:rFonts w:ascii="Garamond" w:hAnsi="Garamond" w:cs="Arial"/>
          <w:b/>
          <w:bCs/>
          <w:sz w:val="20"/>
          <w:szCs w:val="20"/>
          <w:lang w:val="pt-PT"/>
        </w:rPr>
        <w:t xml:space="preserve">. </w:t>
      </w:r>
      <w:r w:rsidRPr="007D183F">
        <w:rPr>
          <w:rFonts w:ascii="Garamond" w:hAnsi="Garamond" w:cs="Arial"/>
          <w:bCs/>
          <w:i/>
          <w:sz w:val="20"/>
          <w:szCs w:val="20"/>
          <w:lang w:val="pt-PT"/>
        </w:rPr>
        <w:t>Lista de questões e perguntas relativamente ao sétimo e oitavo relatórios combinados da Venezuela</w:t>
      </w:r>
      <w:r w:rsidRPr="007D183F">
        <w:rPr>
          <w:rFonts w:ascii="Garamond" w:hAnsi="Garamond" w:cs="Arial"/>
          <w:sz w:val="20"/>
          <w:szCs w:val="20"/>
          <w:lang w:val="pt-PT"/>
        </w:rPr>
        <w:t>. Em: &lt;http://tbinternet.ohchr.org/Treaties/CEDAW/Shared%</w:t>
      </w:r>
      <w:proofErr w:type="gramStart"/>
      <w:r w:rsidRPr="007D183F">
        <w:rPr>
          <w:rFonts w:ascii="Garamond" w:hAnsi="Garamond" w:cs="Arial"/>
          <w:sz w:val="20"/>
          <w:szCs w:val="20"/>
          <w:lang w:val="pt-PT"/>
        </w:rPr>
        <w:t>20Documents</w:t>
      </w:r>
      <w:proofErr w:type="gramEnd"/>
      <w:r w:rsidRPr="007D183F">
        <w:rPr>
          <w:rFonts w:ascii="Garamond" w:hAnsi="Garamond" w:cs="Arial"/>
          <w:sz w:val="20"/>
          <w:szCs w:val="20"/>
          <w:lang w:val="pt-PT"/>
        </w:rPr>
        <w:t xml:space="preserve">/VEN/CEDAW_C_VEN_Q_7-8_Add-1_17524_S.pdf&gt;. Consultado a 11 de julho de 2014. </w:t>
      </w:r>
    </w:p>
  </w:footnote>
  <w:footnote w:id="148">
    <w:p w:rsidR="007B3401" w:rsidRPr="007D183F" w:rsidRDefault="007B3401" w:rsidP="007D183F">
      <w:pPr>
        <w:pStyle w:val="Textonotapie"/>
        <w:jc w:val="both"/>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Fonte: Alto-</w:t>
      </w:r>
      <w:r>
        <w:rPr>
          <w:rFonts w:ascii="Garamond" w:hAnsi="Garamond"/>
          <w:lang w:val="pt-PT"/>
        </w:rPr>
        <w:t>C</w:t>
      </w:r>
      <w:r w:rsidRPr="007D183F">
        <w:rPr>
          <w:rFonts w:ascii="Garamond" w:hAnsi="Garamond"/>
          <w:lang w:val="pt-PT"/>
        </w:rPr>
        <w:t>omissário Presidencial para a Equidade da Mulher.</w:t>
      </w:r>
    </w:p>
  </w:footnote>
  <w:footnote w:id="149">
    <w:p w:rsidR="007B3401" w:rsidRPr="007D183F" w:rsidRDefault="007B3401" w:rsidP="00AB405A">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Para </w:t>
      </w:r>
      <w:r>
        <w:rPr>
          <w:rFonts w:ascii="Garamond" w:hAnsi="Garamond"/>
          <w:lang w:val="pt-PT"/>
        </w:rPr>
        <w:t xml:space="preserve">melhor </w:t>
      </w:r>
      <w:r w:rsidRPr="007D183F">
        <w:rPr>
          <w:rFonts w:ascii="Garamond" w:hAnsi="Garamond"/>
          <w:lang w:val="pt-PT"/>
        </w:rPr>
        <w:t xml:space="preserve">informação, </w:t>
      </w:r>
      <w:r>
        <w:rPr>
          <w:rFonts w:ascii="Garamond" w:hAnsi="Garamond"/>
          <w:lang w:val="pt-PT"/>
        </w:rPr>
        <w:t>consultar:</w:t>
      </w:r>
      <w:hyperlink r:id="rId30" w:history="1">
        <w:r w:rsidRPr="007D183F">
          <w:rPr>
            <w:rStyle w:val="Hipervnculo"/>
            <w:rFonts w:ascii="Garamond" w:hAnsi="Garamond"/>
            <w:lang w:val="pt-PT"/>
          </w:rPr>
          <w:t>http://www.mimp.gob.pe/index.php?option=com_content&amp;view=article&amp;id=4551:ministerio-de-la-mujer-sustento-presupuesto-para-ejercicio-fiscal-del-proximo-ano-2014&amp;catid=54&amp;Itemid=445</w:t>
        </w:r>
      </w:hyperlink>
    </w:p>
  </w:footnote>
  <w:footnote w:id="150">
    <w:p w:rsidR="007B3401" w:rsidRPr="001B28EC" w:rsidRDefault="007B3401" w:rsidP="00CA39B2">
      <w:pPr>
        <w:autoSpaceDE w:val="0"/>
        <w:autoSpaceDN w:val="0"/>
        <w:adjustRightInd w:val="0"/>
        <w:spacing w:after="0" w:line="240" w:lineRule="auto"/>
        <w:jc w:val="both"/>
        <w:rPr>
          <w:rFonts w:ascii="Arial" w:hAnsi="Arial" w:cs="Arial"/>
          <w:bCs/>
          <w:sz w:val="20"/>
          <w:szCs w:val="20"/>
        </w:rPr>
      </w:pPr>
      <w:r w:rsidRPr="007D183F">
        <w:rPr>
          <w:rStyle w:val="Refdenotaalpie"/>
          <w:rFonts w:ascii="Garamond" w:hAnsi="Garamond" w:cs="Times New Roman"/>
          <w:sz w:val="20"/>
          <w:szCs w:val="20"/>
        </w:rPr>
        <w:footnoteRef/>
      </w:r>
      <w:r w:rsidRPr="007D183F">
        <w:rPr>
          <w:rFonts w:ascii="Garamond" w:hAnsi="Garamond" w:cs="Arial"/>
          <w:sz w:val="20"/>
          <w:szCs w:val="20"/>
        </w:rPr>
        <w:t>Organização das Nações Unidas</w:t>
      </w:r>
      <w:r w:rsidRPr="007D183F">
        <w:rPr>
          <w:rFonts w:ascii="Garamond" w:hAnsi="Garamond" w:cs="Arial"/>
          <w:bCs/>
          <w:i/>
          <w:sz w:val="20"/>
          <w:szCs w:val="20"/>
        </w:rPr>
        <w:t>. Aplicação da Declaração e Plataforma de Ação de Beijing (1995) e os resultados do vigésimo terceiro período extraordinário de sessões da Assembleia Geral (2000) no contexto do 20</w:t>
      </w:r>
      <w:r>
        <w:rPr>
          <w:rFonts w:ascii="Garamond" w:hAnsi="Garamond" w:cs="Arial"/>
          <w:bCs/>
          <w:i/>
          <w:sz w:val="20"/>
          <w:szCs w:val="20"/>
        </w:rPr>
        <w:t>.</w:t>
      </w:r>
      <w:r w:rsidRPr="007D183F">
        <w:rPr>
          <w:rFonts w:ascii="Garamond" w:hAnsi="Garamond" w:cs="Arial"/>
          <w:bCs/>
          <w:i/>
          <w:sz w:val="20"/>
          <w:szCs w:val="20"/>
        </w:rPr>
        <w:t>º aniversário da Quarta Conferência Mundial sobre a Mulher e a aprovação da Declaração e Plataforma de Ação de Beijing 2015</w:t>
      </w:r>
      <w:r w:rsidRPr="007D183F">
        <w:rPr>
          <w:rFonts w:ascii="Garamond" w:hAnsi="Garamond" w:cs="Arial"/>
          <w:bCs/>
          <w:sz w:val="20"/>
          <w:szCs w:val="20"/>
        </w:rPr>
        <w:t>. Em:&lt;</w:t>
      </w:r>
      <w:r w:rsidRPr="007D183F">
        <w:rPr>
          <w:rFonts w:ascii="Garamond" w:hAnsi="Garamond" w:cs="Arial"/>
          <w:sz w:val="20"/>
          <w:szCs w:val="20"/>
        </w:rPr>
        <w:t xml:space="preserve">http://comms-authoring.unwomen.org/~/media/Headquarters/Attachments/Sections/CSW/59/National_reviews/Venezuela_review_Beijing20.pdf&gt;. Consultado a 9 de julho de 2014. </w:t>
      </w:r>
    </w:p>
  </w:footnote>
  <w:footnote w:id="151">
    <w:p w:rsidR="007B3401" w:rsidRPr="007D183F" w:rsidRDefault="007B340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Ver a esse respeito o ponto 2 do Quadro Teórico do presente trabalho.</w:t>
      </w:r>
    </w:p>
  </w:footnote>
  <w:footnote w:id="152">
    <w:p w:rsidR="007B3401" w:rsidRPr="007D183F" w:rsidRDefault="007B340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w:t>
      </w:r>
      <w:r w:rsidRPr="007D183F">
        <w:rPr>
          <w:rFonts w:ascii="Garamond" w:hAnsi="Garamond"/>
          <w:i/>
          <w:lang w:val="pt-PT"/>
        </w:rPr>
        <w:t>Ibidem.</w:t>
      </w:r>
    </w:p>
  </w:footnote>
  <w:footnote w:id="153">
    <w:p w:rsidR="007B3401" w:rsidRPr="007D183F" w:rsidRDefault="007B340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Ver a esse respeito o ponto 3 do Quadro Teórico do presente</w:t>
      </w:r>
      <w:r>
        <w:rPr>
          <w:rFonts w:ascii="Garamond" w:hAnsi="Garamond"/>
          <w:lang w:val="pt-PT"/>
        </w:rPr>
        <w:t xml:space="preserve"> trabalho</w:t>
      </w:r>
      <w:r w:rsidRPr="007D183F">
        <w:rPr>
          <w:rFonts w:ascii="Garamond" w:hAnsi="Garamond"/>
          <w:lang w:val="pt-PT"/>
        </w:rPr>
        <w:t>.</w:t>
      </w:r>
    </w:p>
  </w:footnote>
  <w:footnote w:id="154">
    <w:p w:rsidR="007B3401" w:rsidRPr="007D183F" w:rsidRDefault="007B340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w:t>
      </w:r>
      <w:r w:rsidRPr="007D183F">
        <w:rPr>
          <w:rFonts w:ascii="Garamond" w:hAnsi="Garamond"/>
          <w:i/>
          <w:lang w:val="pt-PT"/>
        </w:rPr>
        <w:t>Ibidem.</w:t>
      </w:r>
    </w:p>
  </w:footnote>
  <w:footnote w:id="155">
    <w:p w:rsidR="007B3401" w:rsidRPr="007D183F" w:rsidRDefault="007B340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Ver a esse respeito o ponto 4 do Quadro Teórico do presente documento.</w:t>
      </w:r>
    </w:p>
  </w:footnote>
  <w:footnote w:id="156">
    <w:p w:rsidR="007B3401" w:rsidRPr="007D183F" w:rsidRDefault="007B3401" w:rsidP="00CF5971">
      <w:pPr>
        <w:pStyle w:val="Textonotapie"/>
        <w:rPr>
          <w:rFonts w:ascii="Garamond" w:hAnsi="Garamond"/>
          <w:lang w:val="pt-PT"/>
        </w:rPr>
      </w:pPr>
      <w:r w:rsidRPr="007D183F">
        <w:rPr>
          <w:rStyle w:val="Refdenotaalpie"/>
          <w:rFonts w:ascii="Garamond" w:hAnsi="Garamond"/>
        </w:rPr>
        <w:footnoteRef/>
      </w:r>
      <w:r w:rsidRPr="007D183F">
        <w:rPr>
          <w:rFonts w:ascii="Garamond" w:hAnsi="Garamond"/>
          <w:lang w:val="pt-PT"/>
        </w:rPr>
        <w:t xml:space="preserve"> Ver a esse respeito o ponto 5 do Quadro Teórico do presente documento.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2">
    <w:nsid w:val="00000006"/>
    <w:multiLevelType w:val="singleLevel"/>
    <w:tmpl w:val="00000006"/>
    <w:name w:val="WW8Num17"/>
    <w:lvl w:ilvl="0">
      <w:numFmt w:val="bullet"/>
      <w:lvlText w:val="-"/>
      <w:lvlJc w:val="left"/>
      <w:pPr>
        <w:tabs>
          <w:tab w:val="num" w:pos="0"/>
        </w:tabs>
        <w:ind w:left="720" w:hanging="360"/>
      </w:pPr>
      <w:rPr>
        <w:rFonts w:ascii="Calibri" w:hAnsi="Calibri" w:cs="Times New Roman"/>
      </w:rPr>
    </w:lvl>
  </w:abstractNum>
  <w:abstractNum w:abstractNumId="3">
    <w:nsid w:val="00000008"/>
    <w:multiLevelType w:val="singleLevel"/>
    <w:tmpl w:val="C61822D6"/>
    <w:name w:val="WW8Num22"/>
    <w:lvl w:ilvl="0">
      <w:start w:val="1"/>
      <w:numFmt w:val="lowerRoman"/>
      <w:lvlText w:val="(%1)"/>
      <w:lvlJc w:val="left"/>
      <w:pPr>
        <w:tabs>
          <w:tab w:val="num" w:pos="0"/>
        </w:tabs>
        <w:ind w:left="720" w:hanging="360"/>
      </w:pPr>
      <w:rPr>
        <w:rFonts w:asciiTheme="minorHAnsi" w:eastAsia="MS Mincho" w:hAnsiTheme="minorHAnsi" w:cs="Arial"/>
      </w:rPr>
    </w:lvl>
  </w:abstractNum>
  <w:abstractNum w:abstractNumId="4">
    <w:nsid w:val="0000000E"/>
    <w:multiLevelType w:val="singleLevel"/>
    <w:tmpl w:val="0000000E"/>
    <w:name w:val="WW8Num35"/>
    <w:lvl w:ilvl="0">
      <w:numFmt w:val="bullet"/>
      <w:lvlText w:val="-"/>
      <w:lvlJc w:val="left"/>
      <w:pPr>
        <w:tabs>
          <w:tab w:val="num" w:pos="0"/>
        </w:tabs>
        <w:ind w:left="767" w:hanging="360"/>
      </w:pPr>
      <w:rPr>
        <w:rFonts w:ascii="Calibri" w:hAnsi="Calibri" w:cs="Times New Roman"/>
      </w:rPr>
    </w:lvl>
  </w:abstractNum>
  <w:abstractNum w:abstractNumId="5">
    <w:nsid w:val="02605ED8"/>
    <w:multiLevelType w:val="hybridMultilevel"/>
    <w:tmpl w:val="A954885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5204C64"/>
    <w:multiLevelType w:val="hybridMultilevel"/>
    <w:tmpl w:val="DE4E1A02"/>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62C06E9"/>
    <w:multiLevelType w:val="hybridMultilevel"/>
    <w:tmpl w:val="DF822E22"/>
    <w:lvl w:ilvl="0" w:tplc="280A0005">
      <w:start w:val="1"/>
      <w:numFmt w:val="bullet"/>
      <w:lvlText w:val=""/>
      <w:lvlJc w:val="left"/>
      <w:pPr>
        <w:ind w:left="720" w:hanging="360"/>
      </w:pPr>
      <w:rPr>
        <w:rFonts w:ascii="Wingdings" w:hAnsi="Wingdings" w:hint="default"/>
      </w:rPr>
    </w:lvl>
    <w:lvl w:ilvl="1" w:tplc="52A292A6">
      <w:numFmt w:val="bullet"/>
      <w:lvlText w:val="•"/>
      <w:lvlJc w:val="left"/>
      <w:pPr>
        <w:ind w:left="1785" w:hanging="705"/>
      </w:pPr>
      <w:rPr>
        <w:rFonts w:ascii="Arial" w:eastAsia="MS Mincho"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94D78DF"/>
    <w:multiLevelType w:val="hybridMultilevel"/>
    <w:tmpl w:val="888856A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nsid w:val="0A2B45E5"/>
    <w:multiLevelType w:val="hybridMultilevel"/>
    <w:tmpl w:val="53043FC0"/>
    <w:lvl w:ilvl="0" w:tplc="28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0C7C1281"/>
    <w:multiLevelType w:val="multilevel"/>
    <w:tmpl w:val="13ACF7D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D936ECD"/>
    <w:multiLevelType w:val="hybridMultilevel"/>
    <w:tmpl w:val="EE420960"/>
    <w:lvl w:ilvl="0" w:tplc="2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B1A92"/>
    <w:multiLevelType w:val="hybridMultilevel"/>
    <w:tmpl w:val="ECCA97D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01D5011"/>
    <w:multiLevelType w:val="multilevel"/>
    <w:tmpl w:val="4C62E088"/>
    <w:lvl w:ilvl="0">
      <w:start w:val="1"/>
      <w:numFmt w:val="decimal"/>
      <w:lvlText w:val="%1."/>
      <w:lvlJc w:val="left"/>
      <w:pPr>
        <w:ind w:left="1080" w:hanging="720"/>
      </w:pPr>
      <w:rPr>
        <w:rFonts w:ascii="Arial" w:eastAsia="Times New Roman" w:hAnsi="Arial" w:cs="Times New Roman"/>
        <w:b/>
      </w:rPr>
    </w:lvl>
    <w:lvl w:ilvl="1">
      <w:start w:val="1"/>
      <w:numFmt w:val="decimal"/>
      <w:isLgl/>
      <w:lvlText w:val="%1.%2."/>
      <w:lvlJc w:val="left"/>
      <w:pPr>
        <w:ind w:left="1080" w:hanging="720"/>
      </w:pPr>
      <w:rPr>
        <w:rFonts w:hint="default"/>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6FD0BC0"/>
    <w:multiLevelType w:val="hybridMultilevel"/>
    <w:tmpl w:val="12824F2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1D130770"/>
    <w:multiLevelType w:val="hybridMultilevel"/>
    <w:tmpl w:val="FF62F460"/>
    <w:lvl w:ilvl="0" w:tplc="280A000D">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6">
    <w:nsid w:val="227B093A"/>
    <w:multiLevelType w:val="hybridMultilevel"/>
    <w:tmpl w:val="4AC27ED6"/>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235A63D6"/>
    <w:multiLevelType w:val="hybridMultilevel"/>
    <w:tmpl w:val="A896340A"/>
    <w:lvl w:ilvl="0" w:tplc="079A03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18">
    <w:nsid w:val="266B1B52"/>
    <w:multiLevelType w:val="hybridMultilevel"/>
    <w:tmpl w:val="B6463126"/>
    <w:lvl w:ilvl="0" w:tplc="280A000D">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A2162FB"/>
    <w:multiLevelType w:val="multilevel"/>
    <w:tmpl w:val="E070CC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B464C5"/>
    <w:multiLevelType w:val="hybridMultilevel"/>
    <w:tmpl w:val="4D5E9B00"/>
    <w:lvl w:ilvl="0" w:tplc="E5B01448">
      <w:start w:val="1"/>
      <w:numFmt w:val="lowerRoman"/>
      <w:lvlText w:val="(%1)"/>
      <w:lvlJc w:val="left"/>
      <w:pPr>
        <w:ind w:left="1428" w:hanging="72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1">
    <w:nsid w:val="2B2906E9"/>
    <w:multiLevelType w:val="hybridMultilevel"/>
    <w:tmpl w:val="8A7E9CD8"/>
    <w:lvl w:ilvl="0" w:tplc="280A000D">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2">
    <w:nsid w:val="320704C0"/>
    <w:multiLevelType w:val="hybridMultilevel"/>
    <w:tmpl w:val="5C603A5E"/>
    <w:lvl w:ilvl="0" w:tplc="6040FFA0">
      <w:start w:val="1"/>
      <w:numFmt w:val="lowerRoman"/>
      <w:lvlText w:val="(%1)"/>
      <w:lvlJc w:val="left"/>
      <w:pPr>
        <w:ind w:left="1428" w:hanging="72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nsid w:val="33254266"/>
    <w:multiLevelType w:val="hybridMultilevel"/>
    <w:tmpl w:val="0494F16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33E8093C"/>
    <w:multiLevelType w:val="multilevel"/>
    <w:tmpl w:val="055C1872"/>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61155E2"/>
    <w:multiLevelType w:val="multilevel"/>
    <w:tmpl w:val="026C55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522717"/>
    <w:multiLevelType w:val="hybridMultilevel"/>
    <w:tmpl w:val="5326516C"/>
    <w:lvl w:ilvl="0" w:tplc="92068942">
      <w:start w:val="1"/>
      <w:numFmt w:val="lowerRoman"/>
      <w:lvlText w:val="(%1)"/>
      <w:lvlJc w:val="left"/>
      <w:pPr>
        <w:ind w:left="1428" w:hanging="72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7">
    <w:nsid w:val="40B760B5"/>
    <w:multiLevelType w:val="hybridMultilevel"/>
    <w:tmpl w:val="79F2D1A6"/>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46111F5"/>
    <w:multiLevelType w:val="hybridMultilevel"/>
    <w:tmpl w:val="197AA6DA"/>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7221AD4"/>
    <w:multiLevelType w:val="multilevel"/>
    <w:tmpl w:val="F0464022"/>
    <w:lvl w:ilvl="0">
      <w:start w:val="1"/>
      <w:numFmt w:val="decimal"/>
      <w:lvlText w:val="%1"/>
      <w:lvlJc w:val="left"/>
      <w:pPr>
        <w:ind w:left="360" w:hanging="360"/>
      </w:pPr>
      <w:rPr>
        <w:rFonts w:eastAsiaTheme="majorEastAsia" w:cstheme="majorBidi" w:hint="default"/>
        <w:b w:val="0"/>
        <w:sz w:val="24"/>
      </w:rPr>
    </w:lvl>
    <w:lvl w:ilvl="1">
      <w:start w:val="2"/>
      <w:numFmt w:val="decimal"/>
      <w:lvlText w:val="%1.%2"/>
      <w:lvlJc w:val="left"/>
      <w:pPr>
        <w:ind w:left="720" w:hanging="360"/>
      </w:pPr>
      <w:rPr>
        <w:rFonts w:eastAsiaTheme="majorEastAsia" w:cstheme="majorBidi" w:hint="default"/>
        <w:b w:val="0"/>
        <w:sz w:val="24"/>
      </w:rPr>
    </w:lvl>
    <w:lvl w:ilvl="2">
      <w:start w:val="1"/>
      <w:numFmt w:val="decimal"/>
      <w:lvlText w:val="%1.%2.%3"/>
      <w:lvlJc w:val="left"/>
      <w:pPr>
        <w:ind w:left="1440" w:hanging="720"/>
      </w:pPr>
      <w:rPr>
        <w:rFonts w:eastAsiaTheme="majorEastAsia" w:cstheme="majorBidi" w:hint="default"/>
        <w:b w:val="0"/>
        <w:sz w:val="24"/>
      </w:rPr>
    </w:lvl>
    <w:lvl w:ilvl="3">
      <w:start w:val="1"/>
      <w:numFmt w:val="decimal"/>
      <w:lvlText w:val="%1.%2.%3.%4"/>
      <w:lvlJc w:val="left"/>
      <w:pPr>
        <w:ind w:left="1800" w:hanging="720"/>
      </w:pPr>
      <w:rPr>
        <w:rFonts w:eastAsiaTheme="majorEastAsia" w:cstheme="majorBidi" w:hint="default"/>
        <w:b w:val="0"/>
        <w:sz w:val="24"/>
      </w:rPr>
    </w:lvl>
    <w:lvl w:ilvl="4">
      <w:start w:val="1"/>
      <w:numFmt w:val="decimal"/>
      <w:lvlText w:val="%1.%2.%3.%4.%5"/>
      <w:lvlJc w:val="left"/>
      <w:pPr>
        <w:ind w:left="2520" w:hanging="1080"/>
      </w:pPr>
      <w:rPr>
        <w:rFonts w:eastAsiaTheme="majorEastAsia" w:cstheme="majorBidi" w:hint="default"/>
        <w:b w:val="0"/>
        <w:sz w:val="24"/>
      </w:rPr>
    </w:lvl>
    <w:lvl w:ilvl="5">
      <w:start w:val="1"/>
      <w:numFmt w:val="decimal"/>
      <w:lvlText w:val="%1.%2.%3.%4.%5.%6"/>
      <w:lvlJc w:val="left"/>
      <w:pPr>
        <w:ind w:left="2880" w:hanging="1080"/>
      </w:pPr>
      <w:rPr>
        <w:rFonts w:eastAsiaTheme="majorEastAsia" w:cstheme="majorBidi" w:hint="default"/>
        <w:b w:val="0"/>
        <w:sz w:val="24"/>
      </w:rPr>
    </w:lvl>
    <w:lvl w:ilvl="6">
      <w:start w:val="1"/>
      <w:numFmt w:val="decimal"/>
      <w:lvlText w:val="%1.%2.%3.%4.%5.%6.%7"/>
      <w:lvlJc w:val="left"/>
      <w:pPr>
        <w:ind w:left="3600" w:hanging="1440"/>
      </w:pPr>
      <w:rPr>
        <w:rFonts w:eastAsiaTheme="majorEastAsia" w:cstheme="majorBidi" w:hint="default"/>
        <w:b w:val="0"/>
        <w:sz w:val="24"/>
      </w:rPr>
    </w:lvl>
    <w:lvl w:ilvl="7">
      <w:start w:val="1"/>
      <w:numFmt w:val="decimal"/>
      <w:lvlText w:val="%1.%2.%3.%4.%5.%6.%7.%8"/>
      <w:lvlJc w:val="left"/>
      <w:pPr>
        <w:ind w:left="3960" w:hanging="1440"/>
      </w:pPr>
      <w:rPr>
        <w:rFonts w:eastAsiaTheme="majorEastAsia" w:cstheme="majorBidi" w:hint="default"/>
        <w:b w:val="0"/>
        <w:sz w:val="24"/>
      </w:rPr>
    </w:lvl>
    <w:lvl w:ilvl="8">
      <w:start w:val="1"/>
      <w:numFmt w:val="decimal"/>
      <w:lvlText w:val="%1.%2.%3.%4.%5.%6.%7.%8.%9"/>
      <w:lvlJc w:val="left"/>
      <w:pPr>
        <w:ind w:left="4680" w:hanging="1800"/>
      </w:pPr>
      <w:rPr>
        <w:rFonts w:eastAsiaTheme="majorEastAsia" w:cstheme="majorBidi" w:hint="default"/>
        <w:b w:val="0"/>
        <w:sz w:val="24"/>
      </w:rPr>
    </w:lvl>
  </w:abstractNum>
  <w:abstractNum w:abstractNumId="30">
    <w:nsid w:val="48331414"/>
    <w:multiLevelType w:val="hybridMultilevel"/>
    <w:tmpl w:val="6AB8B4C4"/>
    <w:lvl w:ilvl="0" w:tplc="467ED17C">
      <w:start w:val="1"/>
      <w:numFmt w:val="decimal"/>
      <w:lvlText w:val="(%1)"/>
      <w:lvlJc w:val="left"/>
      <w:pPr>
        <w:ind w:left="644" w:hanging="360"/>
      </w:pPr>
      <w:rPr>
        <w:rFonts w:hint="default"/>
        <w:b/>
      </w:rPr>
    </w:lvl>
    <w:lvl w:ilvl="1" w:tplc="39305B62">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89C519F"/>
    <w:multiLevelType w:val="hybridMultilevel"/>
    <w:tmpl w:val="B32C21F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nsid w:val="4C831162"/>
    <w:multiLevelType w:val="multilevel"/>
    <w:tmpl w:val="18A4CE64"/>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nsid w:val="4F4C6D1B"/>
    <w:multiLevelType w:val="hybridMultilevel"/>
    <w:tmpl w:val="98185860"/>
    <w:lvl w:ilvl="0" w:tplc="3594C9AE">
      <w:start w:val="5"/>
      <w:numFmt w:val="bullet"/>
      <w:lvlText w:val="-"/>
      <w:lvlJc w:val="left"/>
      <w:pPr>
        <w:ind w:left="720" w:hanging="360"/>
      </w:pPr>
      <w:rPr>
        <w:rFonts w:ascii="Verdana" w:eastAsiaTheme="minorEastAsia" w:hAnsi="Verdana" w:cstheme="minorBidi" w:hint="default"/>
        <w:b/>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4B03767"/>
    <w:multiLevelType w:val="hybridMultilevel"/>
    <w:tmpl w:val="39D60EC2"/>
    <w:lvl w:ilvl="0" w:tplc="2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EE5995"/>
    <w:multiLevelType w:val="hybridMultilevel"/>
    <w:tmpl w:val="877AD4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nsid w:val="5AD7459D"/>
    <w:multiLevelType w:val="hybridMultilevel"/>
    <w:tmpl w:val="14A68B68"/>
    <w:lvl w:ilvl="0" w:tplc="4314DE4A">
      <w:numFmt w:val="bullet"/>
      <w:lvlText w:val="-"/>
      <w:lvlJc w:val="left"/>
      <w:pPr>
        <w:ind w:left="1440" w:hanging="360"/>
      </w:pPr>
      <w:rPr>
        <w:rFonts w:ascii="Calibri" w:eastAsia="SimSu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nsid w:val="5B1C0553"/>
    <w:multiLevelType w:val="hybridMultilevel"/>
    <w:tmpl w:val="DEE8FC5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5B8950CE"/>
    <w:multiLevelType w:val="hybridMultilevel"/>
    <w:tmpl w:val="53B825F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nsid w:val="5C6A0F3A"/>
    <w:multiLevelType w:val="hybridMultilevel"/>
    <w:tmpl w:val="A7A85D68"/>
    <w:lvl w:ilvl="0" w:tplc="280A000D">
      <w:start w:val="1"/>
      <w:numFmt w:val="bullet"/>
      <w:lvlText w:val=""/>
      <w:lvlJc w:val="left"/>
      <w:pPr>
        <w:ind w:left="1070" w:hanging="360"/>
      </w:pPr>
      <w:rPr>
        <w:rFonts w:ascii="Wingdings" w:hAnsi="Wingdings" w:hint="default"/>
      </w:rPr>
    </w:lvl>
    <w:lvl w:ilvl="1" w:tplc="280A0003" w:tentative="1">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40">
    <w:nsid w:val="5D5010D3"/>
    <w:multiLevelType w:val="hybridMultilevel"/>
    <w:tmpl w:val="7456A062"/>
    <w:lvl w:ilvl="0" w:tplc="4314DE4A">
      <w:numFmt w:val="bullet"/>
      <w:lvlText w:val="-"/>
      <w:lvlJc w:val="left"/>
      <w:pPr>
        <w:ind w:left="720" w:hanging="360"/>
      </w:pPr>
      <w:rPr>
        <w:rFonts w:ascii="Calibri" w:eastAsia="SimSu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nsid w:val="5D98677D"/>
    <w:multiLevelType w:val="hybridMultilevel"/>
    <w:tmpl w:val="1256CC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E4122B6"/>
    <w:multiLevelType w:val="hybridMultilevel"/>
    <w:tmpl w:val="54FA6542"/>
    <w:lvl w:ilvl="0" w:tplc="0262D390">
      <w:start w:val="1"/>
      <w:numFmt w:val="lowerRoman"/>
      <w:lvlText w:val="(%1)"/>
      <w:lvlJc w:val="left"/>
      <w:pPr>
        <w:ind w:left="1428" w:hanging="72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3">
    <w:nsid w:val="60FA2FB8"/>
    <w:multiLevelType w:val="hybridMultilevel"/>
    <w:tmpl w:val="24D09DD8"/>
    <w:lvl w:ilvl="0" w:tplc="052CD880">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4">
    <w:nsid w:val="68C10BB5"/>
    <w:multiLevelType w:val="hybridMultilevel"/>
    <w:tmpl w:val="F9DC2F7E"/>
    <w:lvl w:ilvl="0" w:tplc="A86E37D2">
      <w:start w:val="1"/>
      <w:numFmt w:val="lowerLetter"/>
      <w:lvlText w:val="%1."/>
      <w:lvlJc w:val="left"/>
      <w:pPr>
        <w:ind w:left="1836" w:hanging="360"/>
      </w:pPr>
      <w:rPr>
        <w:rFonts w:cs="Tahoma" w:hint="default"/>
      </w:rPr>
    </w:lvl>
    <w:lvl w:ilvl="1" w:tplc="280A0019" w:tentative="1">
      <w:start w:val="1"/>
      <w:numFmt w:val="lowerLetter"/>
      <w:lvlText w:val="%2."/>
      <w:lvlJc w:val="left"/>
      <w:pPr>
        <w:ind w:left="2556" w:hanging="360"/>
      </w:pPr>
    </w:lvl>
    <w:lvl w:ilvl="2" w:tplc="280A001B" w:tentative="1">
      <w:start w:val="1"/>
      <w:numFmt w:val="lowerRoman"/>
      <w:lvlText w:val="%3."/>
      <w:lvlJc w:val="right"/>
      <w:pPr>
        <w:ind w:left="3276" w:hanging="180"/>
      </w:pPr>
    </w:lvl>
    <w:lvl w:ilvl="3" w:tplc="280A000F" w:tentative="1">
      <w:start w:val="1"/>
      <w:numFmt w:val="decimal"/>
      <w:lvlText w:val="%4."/>
      <w:lvlJc w:val="left"/>
      <w:pPr>
        <w:ind w:left="3996" w:hanging="360"/>
      </w:pPr>
    </w:lvl>
    <w:lvl w:ilvl="4" w:tplc="280A0019" w:tentative="1">
      <w:start w:val="1"/>
      <w:numFmt w:val="lowerLetter"/>
      <w:lvlText w:val="%5."/>
      <w:lvlJc w:val="left"/>
      <w:pPr>
        <w:ind w:left="4716" w:hanging="360"/>
      </w:pPr>
    </w:lvl>
    <w:lvl w:ilvl="5" w:tplc="280A001B" w:tentative="1">
      <w:start w:val="1"/>
      <w:numFmt w:val="lowerRoman"/>
      <w:lvlText w:val="%6."/>
      <w:lvlJc w:val="right"/>
      <w:pPr>
        <w:ind w:left="5436" w:hanging="180"/>
      </w:pPr>
    </w:lvl>
    <w:lvl w:ilvl="6" w:tplc="280A000F" w:tentative="1">
      <w:start w:val="1"/>
      <w:numFmt w:val="decimal"/>
      <w:lvlText w:val="%7."/>
      <w:lvlJc w:val="left"/>
      <w:pPr>
        <w:ind w:left="6156" w:hanging="360"/>
      </w:pPr>
    </w:lvl>
    <w:lvl w:ilvl="7" w:tplc="280A0019" w:tentative="1">
      <w:start w:val="1"/>
      <w:numFmt w:val="lowerLetter"/>
      <w:lvlText w:val="%8."/>
      <w:lvlJc w:val="left"/>
      <w:pPr>
        <w:ind w:left="6876" w:hanging="360"/>
      </w:pPr>
    </w:lvl>
    <w:lvl w:ilvl="8" w:tplc="280A001B" w:tentative="1">
      <w:start w:val="1"/>
      <w:numFmt w:val="lowerRoman"/>
      <w:lvlText w:val="%9."/>
      <w:lvlJc w:val="right"/>
      <w:pPr>
        <w:ind w:left="7596" w:hanging="180"/>
      </w:pPr>
    </w:lvl>
  </w:abstractNum>
  <w:abstractNum w:abstractNumId="45">
    <w:nsid w:val="69CC14D5"/>
    <w:multiLevelType w:val="hybridMultilevel"/>
    <w:tmpl w:val="A6CA401E"/>
    <w:lvl w:ilvl="0" w:tplc="280A000D">
      <w:start w:val="1"/>
      <w:numFmt w:val="bullet"/>
      <w:lvlText w:val=""/>
      <w:lvlJc w:val="left"/>
      <w:pPr>
        <w:ind w:left="1127" w:hanging="360"/>
      </w:pPr>
      <w:rPr>
        <w:rFonts w:ascii="Wingdings" w:hAnsi="Wingdings" w:hint="default"/>
      </w:rPr>
    </w:lvl>
    <w:lvl w:ilvl="1" w:tplc="280A0003" w:tentative="1">
      <w:start w:val="1"/>
      <w:numFmt w:val="bullet"/>
      <w:lvlText w:val="o"/>
      <w:lvlJc w:val="left"/>
      <w:pPr>
        <w:ind w:left="1847" w:hanging="360"/>
      </w:pPr>
      <w:rPr>
        <w:rFonts w:ascii="Courier New" w:hAnsi="Courier New" w:cs="Courier New" w:hint="default"/>
      </w:rPr>
    </w:lvl>
    <w:lvl w:ilvl="2" w:tplc="280A0005" w:tentative="1">
      <w:start w:val="1"/>
      <w:numFmt w:val="bullet"/>
      <w:lvlText w:val=""/>
      <w:lvlJc w:val="left"/>
      <w:pPr>
        <w:ind w:left="2567" w:hanging="360"/>
      </w:pPr>
      <w:rPr>
        <w:rFonts w:ascii="Wingdings" w:hAnsi="Wingdings" w:hint="default"/>
      </w:rPr>
    </w:lvl>
    <w:lvl w:ilvl="3" w:tplc="280A0001" w:tentative="1">
      <w:start w:val="1"/>
      <w:numFmt w:val="bullet"/>
      <w:lvlText w:val=""/>
      <w:lvlJc w:val="left"/>
      <w:pPr>
        <w:ind w:left="3287" w:hanging="360"/>
      </w:pPr>
      <w:rPr>
        <w:rFonts w:ascii="Symbol" w:hAnsi="Symbol" w:hint="default"/>
      </w:rPr>
    </w:lvl>
    <w:lvl w:ilvl="4" w:tplc="280A0003" w:tentative="1">
      <w:start w:val="1"/>
      <w:numFmt w:val="bullet"/>
      <w:lvlText w:val="o"/>
      <w:lvlJc w:val="left"/>
      <w:pPr>
        <w:ind w:left="4007" w:hanging="360"/>
      </w:pPr>
      <w:rPr>
        <w:rFonts w:ascii="Courier New" w:hAnsi="Courier New" w:cs="Courier New" w:hint="default"/>
      </w:rPr>
    </w:lvl>
    <w:lvl w:ilvl="5" w:tplc="280A0005" w:tentative="1">
      <w:start w:val="1"/>
      <w:numFmt w:val="bullet"/>
      <w:lvlText w:val=""/>
      <w:lvlJc w:val="left"/>
      <w:pPr>
        <w:ind w:left="4727" w:hanging="360"/>
      </w:pPr>
      <w:rPr>
        <w:rFonts w:ascii="Wingdings" w:hAnsi="Wingdings" w:hint="default"/>
      </w:rPr>
    </w:lvl>
    <w:lvl w:ilvl="6" w:tplc="280A0001" w:tentative="1">
      <w:start w:val="1"/>
      <w:numFmt w:val="bullet"/>
      <w:lvlText w:val=""/>
      <w:lvlJc w:val="left"/>
      <w:pPr>
        <w:ind w:left="5447" w:hanging="360"/>
      </w:pPr>
      <w:rPr>
        <w:rFonts w:ascii="Symbol" w:hAnsi="Symbol" w:hint="default"/>
      </w:rPr>
    </w:lvl>
    <w:lvl w:ilvl="7" w:tplc="280A0003" w:tentative="1">
      <w:start w:val="1"/>
      <w:numFmt w:val="bullet"/>
      <w:lvlText w:val="o"/>
      <w:lvlJc w:val="left"/>
      <w:pPr>
        <w:ind w:left="6167" w:hanging="360"/>
      </w:pPr>
      <w:rPr>
        <w:rFonts w:ascii="Courier New" w:hAnsi="Courier New" w:cs="Courier New" w:hint="default"/>
      </w:rPr>
    </w:lvl>
    <w:lvl w:ilvl="8" w:tplc="280A0005" w:tentative="1">
      <w:start w:val="1"/>
      <w:numFmt w:val="bullet"/>
      <w:lvlText w:val=""/>
      <w:lvlJc w:val="left"/>
      <w:pPr>
        <w:ind w:left="6887" w:hanging="360"/>
      </w:pPr>
      <w:rPr>
        <w:rFonts w:ascii="Wingdings" w:hAnsi="Wingdings" w:hint="default"/>
      </w:rPr>
    </w:lvl>
  </w:abstractNum>
  <w:abstractNum w:abstractNumId="46">
    <w:nsid w:val="6D633A6B"/>
    <w:multiLevelType w:val="multilevel"/>
    <w:tmpl w:val="9D02FAF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E7D01E2"/>
    <w:multiLevelType w:val="hybridMultilevel"/>
    <w:tmpl w:val="D56C1AD6"/>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6F305F24"/>
    <w:multiLevelType w:val="hybridMultilevel"/>
    <w:tmpl w:val="CE402B48"/>
    <w:lvl w:ilvl="0" w:tplc="D1C29FC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0065457"/>
    <w:multiLevelType w:val="hybridMultilevel"/>
    <w:tmpl w:val="C8F8758C"/>
    <w:lvl w:ilvl="0" w:tplc="2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nsid w:val="70163BA2"/>
    <w:multiLevelType w:val="hybridMultilevel"/>
    <w:tmpl w:val="EC448F54"/>
    <w:lvl w:ilvl="0" w:tplc="C61822D6">
      <w:start w:val="1"/>
      <w:numFmt w:val="lowerRoman"/>
      <w:lvlText w:val="(%1)"/>
      <w:lvlJc w:val="left"/>
      <w:pPr>
        <w:ind w:left="786" w:hanging="360"/>
      </w:pPr>
      <w:rPr>
        <w:rFonts w:asciiTheme="minorHAnsi" w:eastAsia="MS Mincho" w:hAnsiTheme="minorHAnsi"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702B6302"/>
    <w:multiLevelType w:val="multilevel"/>
    <w:tmpl w:val="22E037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16E6099"/>
    <w:multiLevelType w:val="hybridMultilevel"/>
    <w:tmpl w:val="3B3E1930"/>
    <w:lvl w:ilvl="0" w:tplc="280A000D">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3">
    <w:nsid w:val="71DB35DB"/>
    <w:multiLevelType w:val="hybridMultilevel"/>
    <w:tmpl w:val="8E66835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nsid w:val="73E84D8D"/>
    <w:multiLevelType w:val="hybridMultilevel"/>
    <w:tmpl w:val="A4D28078"/>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7476194D"/>
    <w:multiLevelType w:val="multilevel"/>
    <w:tmpl w:val="C08E897C"/>
    <w:lvl w:ilvl="0">
      <w:start w:val="1"/>
      <w:numFmt w:val="decimal"/>
      <w:lvlText w:val="%1"/>
      <w:lvlJc w:val="left"/>
      <w:pPr>
        <w:ind w:left="360" w:hanging="360"/>
      </w:pPr>
      <w:rPr>
        <w:rFonts w:eastAsiaTheme="majorEastAsia" w:cstheme="majorBidi" w:hint="default"/>
        <w:b/>
        <w:sz w:val="24"/>
      </w:rPr>
    </w:lvl>
    <w:lvl w:ilvl="1">
      <w:start w:val="2"/>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1080" w:hanging="108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440" w:hanging="144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800" w:hanging="1800"/>
      </w:pPr>
      <w:rPr>
        <w:rFonts w:eastAsiaTheme="majorEastAsia" w:cstheme="majorBidi" w:hint="default"/>
        <w:b/>
        <w:sz w:val="24"/>
      </w:rPr>
    </w:lvl>
  </w:abstractNum>
  <w:abstractNum w:abstractNumId="56">
    <w:nsid w:val="74CB5657"/>
    <w:multiLevelType w:val="multilevel"/>
    <w:tmpl w:val="24B22A5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6FE3905"/>
    <w:multiLevelType w:val="hybridMultilevel"/>
    <w:tmpl w:val="497C94EA"/>
    <w:lvl w:ilvl="0" w:tplc="280A000D">
      <w:start w:val="1"/>
      <w:numFmt w:val="bullet"/>
      <w:lvlText w:val=""/>
      <w:lvlJc w:val="left"/>
      <w:pPr>
        <w:ind w:left="780" w:hanging="360"/>
      </w:pPr>
      <w:rPr>
        <w:rFonts w:ascii="Wingdings" w:hAnsi="Wingdings" w:hint="default"/>
      </w:rPr>
    </w:lvl>
    <w:lvl w:ilvl="1" w:tplc="200A0003">
      <w:start w:val="1"/>
      <w:numFmt w:val="bullet"/>
      <w:lvlText w:val="o"/>
      <w:lvlJc w:val="left"/>
      <w:pPr>
        <w:ind w:left="1500" w:hanging="360"/>
      </w:pPr>
      <w:rPr>
        <w:rFonts w:ascii="Courier New" w:hAnsi="Courier New" w:cs="Courier New" w:hint="default"/>
      </w:rPr>
    </w:lvl>
    <w:lvl w:ilvl="2" w:tplc="200A0005">
      <w:start w:val="1"/>
      <w:numFmt w:val="bullet"/>
      <w:lvlText w:val=""/>
      <w:lvlJc w:val="left"/>
      <w:pPr>
        <w:ind w:left="2220" w:hanging="360"/>
      </w:pPr>
      <w:rPr>
        <w:rFonts w:ascii="Wingdings" w:hAnsi="Wingdings" w:hint="default"/>
      </w:rPr>
    </w:lvl>
    <w:lvl w:ilvl="3" w:tplc="200A0001">
      <w:start w:val="1"/>
      <w:numFmt w:val="bullet"/>
      <w:lvlText w:val=""/>
      <w:lvlJc w:val="left"/>
      <w:pPr>
        <w:ind w:left="2940" w:hanging="360"/>
      </w:pPr>
      <w:rPr>
        <w:rFonts w:ascii="Symbol" w:hAnsi="Symbol" w:hint="default"/>
      </w:rPr>
    </w:lvl>
    <w:lvl w:ilvl="4" w:tplc="200A0003">
      <w:start w:val="1"/>
      <w:numFmt w:val="bullet"/>
      <w:lvlText w:val="o"/>
      <w:lvlJc w:val="left"/>
      <w:pPr>
        <w:ind w:left="3660" w:hanging="360"/>
      </w:pPr>
      <w:rPr>
        <w:rFonts w:ascii="Courier New" w:hAnsi="Courier New" w:cs="Courier New" w:hint="default"/>
      </w:rPr>
    </w:lvl>
    <w:lvl w:ilvl="5" w:tplc="200A0005">
      <w:start w:val="1"/>
      <w:numFmt w:val="bullet"/>
      <w:lvlText w:val=""/>
      <w:lvlJc w:val="left"/>
      <w:pPr>
        <w:ind w:left="4380" w:hanging="360"/>
      </w:pPr>
      <w:rPr>
        <w:rFonts w:ascii="Wingdings" w:hAnsi="Wingdings" w:hint="default"/>
      </w:rPr>
    </w:lvl>
    <w:lvl w:ilvl="6" w:tplc="200A0001">
      <w:start w:val="1"/>
      <w:numFmt w:val="bullet"/>
      <w:lvlText w:val=""/>
      <w:lvlJc w:val="left"/>
      <w:pPr>
        <w:ind w:left="5100" w:hanging="360"/>
      </w:pPr>
      <w:rPr>
        <w:rFonts w:ascii="Symbol" w:hAnsi="Symbol" w:hint="default"/>
      </w:rPr>
    </w:lvl>
    <w:lvl w:ilvl="7" w:tplc="200A0003">
      <w:start w:val="1"/>
      <w:numFmt w:val="bullet"/>
      <w:lvlText w:val="o"/>
      <w:lvlJc w:val="left"/>
      <w:pPr>
        <w:ind w:left="5820" w:hanging="360"/>
      </w:pPr>
      <w:rPr>
        <w:rFonts w:ascii="Courier New" w:hAnsi="Courier New" w:cs="Courier New" w:hint="default"/>
      </w:rPr>
    </w:lvl>
    <w:lvl w:ilvl="8" w:tplc="200A0005">
      <w:start w:val="1"/>
      <w:numFmt w:val="bullet"/>
      <w:lvlText w:val=""/>
      <w:lvlJc w:val="left"/>
      <w:pPr>
        <w:ind w:left="6540" w:hanging="360"/>
      </w:pPr>
      <w:rPr>
        <w:rFonts w:ascii="Wingdings" w:hAnsi="Wingdings" w:hint="default"/>
      </w:rPr>
    </w:lvl>
  </w:abstractNum>
  <w:abstractNum w:abstractNumId="58">
    <w:nsid w:val="7BDD0FD8"/>
    <w:multiLevelType w:val="hybridMultilevel"/>
    <w:tmpl w:val="2180760A"/>
    <w:lvl w:ilvl="0" w:tplc="280A000D">
      <w:start w:val="1"/>
      <w:numFmt w:val="bullet"/>
      <w:lvlText w:val=""/>
      <w:lvlJc w:val="left"/>
      <w:pPr>
        <w:ind w:left="1127" w:hanging="360"/>
      </w:pPr>
      <w:rPr>
        <w:rFonts w:ascii="Wingdings" w:hAnsi="Wingdings" w:hint="default"/>
      </w:rPr>
    </w:lvl>
    <w:lvl w:ilvl="1" w:tplc="280A0003" w:tentative="1">
      <w:start w:val="1"/>
      <w:numFmt w:val="bullet"/>
      <w:lvlText w:val="o"/>
      <w:lvlJc w:val="left"/>
      <w:pPr>
        <w:ind w:left="1847" w:hanging="360"/>
      </w:pPr>
      <w:rPr>
        <w:rFonts w:ascii="Courier New" w:hAnsi="Courier New" w:cs="Courier New" w:hint="default"/>
      </w:rPr>
    </w:lvl>
    <w:lvl w:ilvl="2" w:tplc="280A0005" w:tentative="1">
      <w:start w:val="1"/>
      <w:numFmt w:val="bullet"/>
      <w:lvlText w:val=""/>
      <w:lvlJc w:val="left"/>
      <w:pPr>
        <w:ind w:left="2567" w:hanging="360"/>
      </w:pPr>
      <w:rPr>
        <w:rFonts w:ascii="Wingdings" w:hAnsi="Wingdings" w:hint="default"/>
      </w:rPr>
    </w:lvl>
    <w:lvl w:ilvl="3" w:tplc="280A0001" w:tentative="1">
      <w:start w:val="1"/>
      <w:numFmt w:val="bullet"/>
      <w:lvlText w:val=""/>
      <w:lvlJc w:val="left"/>
      <w:pPr>
        <w:ind w:left="3287" w:hanging="360"/>
      </w:pPr>
      <w:rPr>
        <w:rFonts w:ascii="Symbol" w:hAnsi="Symbol" w:hint="default"/>
      </w:rPr>
    </w:lvl>
    <w:lvl w:ilvl="4" w:tplc="280A0003" w:tentative="1">
      <w:start w:val="1"/>
      <w:numFmt w:val="bullet"/>
      <w:lvlText w:val="o"/>
      <w:lvlJc w:val="left"/>
      <w:pPr>
        <w:ind w:left="4007" w:hanging="360"/>
      </w:pPr>
      <w:rPr>
        <w:rFonts w:ascii="Courier New" w:hAnsi="Courier New" w:cs="Courier New" w:hint="default"/>
      </w:rPr>
    </w:lvl>
    <w:lvl w:ilvl="5" w:tplc="280A0005" w:tentative="1">
      <w:start w:val="1"/>
      <w:numFmt w:val="bullet"/>
      <w:lvlText w:val=""/>
      <w:lvlJc w:val="left"/>
      <w:pPr>
        <w:ind w:left="4727" w:hanging="360"/>
      </w:pPr>
      <w:rPr>
        <w:rFonts w:ascii="Wingdings" w:hAnsi="Wingdings" w:hint="default"/>
      </w:rPr>
    </w:lvl>
    <w:lvl w:ilvl="6" w:tplc="280A0001" w:tentative="1">
      <w:start w:val="1"/>
      <w:numFmt w:val="bullet"/>
      <w:lvlText w:val=""/>
      <w:lvlJc w:val="left"/>
      <w:pPr>
        <w:ind w:left="5447" w:hanging="360"/>
      </w:pPr>
      <w:rPr>
        <w:rFonts w:ascii="Symbol" w:hAnsi="Symbol" w:hint="default"/>
      </w:rPr>
    </w:lvl>
    <w:lvl w:ilvl="7" w:tplc="280A0003" w:tentative="1">
      <w:start w:val="1"/>
      <w:numFmt w:val="bullet"/>
      <w:lvlText w:val="o"/>
      <w:lvlJc w:val="left"/>
      <w:pPr>
        <w:ind w:left="6167" w:hanging="360"/>
      </w:pPr>
      <w:rPr>
        <w:rFonts w:ascii="Courier New" w:hAnsi="Courier New" w:cs="Courier New" w:hint="default"/>
      </w:rPr>
    </w:lvl>
    <w:lvl w:ilvl="8" w:tplc="280A0005" w:tentative="1">
      <w:start w:val="1"/>
      <w:numFmt w:val="bullet"/>
      <w:lvlText w:val=""/>
      <w:lvlJc w:val="left"/>
      <w:pPr>
        <w:ind w:left="6887" w:hanging="360"/>
      </w:pPr>
      <w:rPr>
        <w:rFonts w:ascii="Wingdings" w:hAnsi="Wingdings" w:hint="default"/>
      </w:rPr>
    </w:lvl>
  </w:abstractNum>
  <w:num w:numId="1">
    <w:abstractNumId w:val="3"/>
    <w:lvlOverride w:ilvl="0">
      <w:startOverride w:val="1"/>
    </w:lvlOverride>
  </w:num>
  <w:num w:numId="2">
    <w:abstractNumId w:val="4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2"/>
  </w:num>
  <w:num w:numId="12">
    <w:abstractNumId w:val="33"/>
  </w:num>
  <w:num w:numId="13">
    <w:abstractNumId w:val="41"/>
  </w:num>
  <w:num w:numId="14">
    <w:abstractNumId w:val="12"/>
  </w:num>
  <w:num w:numId="15">
    <w:abstractNumId w:val="48"/>
  </w:num>
  <w:num w:numId="16">
    <w:abstractNumId w:val="5"/>
  </w:num>
  <w:num w:numId="17">
    <w:abstractNumId w:val="7"/>
  </w:num>
  <w:num w:numId="18">
    <w:abstractNumId w:val="38"/>
  </w:num>
  <w:num w:numId="19">
    <w:abstractNumId w:val="6"/>
  </w:num>
  <w:num w:numId="20">
    <w:abstractNumId w:val="32"/>
  </w:num>
  <w:num w:numId="21">
    <w:abstractNumId w:val="13"/>
  </w:num>
  <w:num w:numId="22">
    <w:abstractNumId w:val="37"/>
  </w:num>
  <w:num w:numId="23">
    <w:abstractNumId w:val="8"/>
  </w:num>
  <w:num w:numId="24">
    <w:abstractNumId w:val="34"/>
  </w:num>
  <w:num w:numId="25">
    <w:abstractNumId w:val="14"/>
  </w:num>
  <w:num w:numId="26">
    <w:abstractNumId w:val="28"/>
  </w:num>
  <w:num w:numId="27">
    <w:abstractNumId w:val="18"/>
  </w:num>
  <w:num w:numId="28">
    <w:abstractNumId w:val="15"/>
  </w:num>
  <w:num w:numId="29">
    <w:abstractNumId w:val="11"/>
  </w:num>
  <w:num w:numId="30">
    <w:abstractNumId w:val="9"/>
  </w:num>
  <w:num w:numId="31">
    <w:abstractNumId w:val="49"/>
  </w:num>
  <w:num w:numId="32">
    <w:abstractNumId w:val="23"/>
  </w:num>
  <w:num w:numId="33">
    <w:abstractNumId w:val="16"/>
  </w:num>
  <w:num w:numId="34">
    <w:abstractNumId w:val="47"/>
  </w:num>
  <w:num w:numId="35">
    <w:abstractNumId w:val="27"/>
  </w:num>
  <w:num w:numId="36">
    <w:abstractNumId w:val="54"/>
  </w:num>
  <w:num w:numId="37">
    <w:abstractNumId w:val="39"/>
  </w:num>
  <w:num w:numId="38">
    <w:abstractNumId w:val="58"/>
  </w:num>
  <w:num w:numId="39">
    <w:abstractNumId w:val="45"/>
  </w:num>
  <w:num w:numId="40">
    <w:abstractNumId w:val="52"/>
  </w:num>
  <w:num w:numId="41">
    <w:abstractNumId w:val="53"/>
  </w:num>
  <w:num w:numId="42">
    <w:abstractNumId w:val="57"/>
  </w:num>
  <w:num w:numId="43">
    <w:abstractNumId w:val="21"/>
  </w:num>
  <w:num w:numId="44">
    <w:abstractNumId w:val="30"/>
  </w:num>
  <w:num w:numId="45">
    <w:abstractNumId w:val="50"/>
  </w:num>
  <w:num w:numId="46">
    <w:abstractNumId w:val="24"/>
  </w:num>
  <w:num w:numId="47">
    <w:abstractNumId w:val="25"/>
  </w:num>
  <w:num w:numId="48">
    <w:abstractNumId w:val="56"/>
  </w:num>
  <w:num w:numId="49">
    <w:abstractNumId w:val="10"/>
  </w:num>
  <w:num w:numId="50">
    <w:abstractNumId w:val="51"/>
  </w:num>
  <w:num w:numId="51">
    <w:abstractNumId w:val="29"/>
  </w:num>
  <w:num w:numId="52">
    <w:abstractNumId w:val="55"/>
  </w:num>
  <w:num w:numId="53">
    <w:abstractNumId w:val="19"/>
  </w:num>
  <w:num w:numId="54">
    <w:abstractNumId w:val="46"/>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B2"/>
    <w:rsid w:val="00000655"/>
    <w:rsid w:val="000030A0"/>
    <w:rsid w:val="000030AE"/>
    <w:rsid w:val="00004DC9"/>
    <w:rsid w:val="0000579E"/>
    <w:rsid w:val="00006B0C"/>
    <w:rsid w:val="000071E6"/>
    <w:rsid w:val="00010877"/>
    <w:rsid w:val="000116D8"/>
    <w:rsid w:val="00012057"/>
    <w:rsid w:val="000123BB"/>
    <w:rsid w:val="00013BD3"/>
    <w:rsid w:val="00015230"/>
    <w:rsid w:val="00016363"/>
    <w:rsid w:val="00016652"/>
    <w:rsid w:val="00016E47"/>
    <w:rsid w:val="0002369B"/>
    <w:rsid w:val="000236F4"/>
    <w:rsid w:val="00023899"/>
    <w:rsid w:val="000239B3"/>
    <w:rsid w:val="00023AD6"/>
    <w:rsid w:val="00024913"/>
    <w:rsid w:val="0002521D"/>
    <w:rsid w:val="00025BB2"/>
    <w:rsid w:val="00025C7F"/>
    <w:rsid w:val="00026718"/>
    <w:rsid w:val="00027DC7"/>
    <w:rsid w:val="00030174"/>
    <w:rsid w:val="00030F56"/>
    <w:rsid w:val="00032856"/>
    <w:rsid w:val="00032B25"/>
    <w:rsid w:val="0003370A"/>
    <w:rsid w:val="00034081"/>
    <w:rsid w:val="000350B1"/>
    <w:rsid w:val="00035B6A"/>
    <w:rsid w:val="0003614A"/>
    <w:rsid w:val="00037805"/>
    <w:rsid w:val="00040BD1"/>
    <w:rsid w:val="00042808"/>
    <w:rsid w:val="000456B2"/>
    <w:rsid w:val="000464C8"/>
    <w:rsid w:val="00046CE9"/>
    <w:rsid w:val="00046E19"/>
    <w:rsid w:val="00050C3B"/>
    <w:rsid w:val="00053C33"/>
    <w:rsid w:val="00054C2B"/>
    <w:rsid w:val="00054EE0"/>
    <w:rsid w:val="00055E2D"/>
    <w:rsid w:val="0005622E"/>
    <w:rsid w:val="0006035F"/>
    <w:rsid w:val="00062DE7"/>
    <w:rsid w:val="00062F5C"/>
    <w:rsid w:val="0006412D"/>
    <w:rsid w:val="00064326"/>
    <w:rsid w:val="00064FDA"/>
    <w:rsid w:val="000672E8"/>
    <w:rsid w:val="00067744"/>
    <w:rsid w:val="00067AA4"/>
    <w:rsid w:val="0007102C"/>
    <w:rsid w:val="00071317"/>
    <w:rsid w:val="000739B6"/>
    <w:rsid w:val="00073FB7"/>
    <w:rsid w:val="00075C89"/>
    <w:rsid w:val="000761EF"/>
    <w:rsid w:val="000773B9"/>
    <w:rsid w:val="00077461"/>
    <w:rsid w:val="00080235"/>
    <w:rsid w:val="00081B57"/>
    <w:rsid w:val="00082597"/>
    <w:rsid w:val="00082E66"/>
    <w:rsid w:val="0008647A"/>
    <w:rsid w:val="000864ED"/>
    <w:rsid w:val="000866B6"/>
    <w:rsid w:val="00087645"/>
    <w:rsid w:val="000901FC"/>
    <w:rsid w:val="00090A28"/>
    <w:rsid w:val="000951CA"/>
    <w:rsid w:val="00096762"/>
    <w:rsid w:val="00096A58"/>
    <w:rsid w:val="00097A9B"/>
    <w:rsid w:val="00097D4A"/>
    <w:rsid w:val="000A1F2E"/>
    <w:rsid w:val="000A35BE"/>
    <w:rsid w:val="000A412B"/>
    <w:rsid w:val="000B16F5"/>
    <w:rsid w:val="000B3464"/>
    <w:rsid w:val="000B5B3C"/>
    <w:rsid w:val="000C1152"/>
    <w:rsid w:val="000C250F"/>
    <w:rsid w:val="000C4382"/>
    <w:rsid w:val="000C6236"/>
    <w:rsid w:val="000C6A23"/>
    <w:rsid w:val="000C6C11"/>
    <w:rsid w:val="000C6C3F"/>
    <w:rsid w:val="000D1A88"/>
    <w:rsid w:val="000D3EED"/>
    <w:rsid w:val="000D4DE8"/>
    <w:rsid w:val="000D6293"/>
    <w:rsid w:val="000D7030"/>
    <w:rsid w:val="000D7B87"/>
    <w:rsid w:val="000E0C47"/>
    <w:rsid w:val="000E2CBA"/>
    <w:rsid w:val="000E2D2D"/>
    <w:rsid w:val="000E5022"/>
    <w:rsid w:val="000E6740"/>
    <w:rsid w:val="000E68C9"/>
    <w:rsid w:val="000F33E8"/>
    <w:rsid w:val="000F4840"/>
    <w:rsid w:val="000F529A"/>
    <w:rsid w:val="000F7C74"/>
    <w:rsid w:val="00100435"/>
    <w:rsid w:val="001011DC"/>
    <w:rsid w:val="0010482B"/>
    <w:rsid w:val="00112369"/>
    <w:rsid w:val="001128A0"/>
    <w:rsid w:val="00112F7B"/>
    <w:rsid w:val="00117A6E"/>
    <w:rsid w:val="00120915"/>
    <w:rsid w:val="00123D2E"/>
    <w:rsid w:val="00124FD7"/>
    <w:rsid w:val="00127EA3"/>
    <w:rsid w:val="00131AC7"/>
    <w:rsid w:val="001325B3"/>
    <w:rsid w:val="001334A7"/>
    <w:rsid w:val="00135A94"/>
    <w:rsid w:val="0013707E"/>
    <w:rsid w:val="00140D69"/>
    <w:rsid w:val="00141BA9"/>
    <w:rsid w:val="00142B26"/>
    <w:rsid w:val="00144B9F"/>
    <w:rsid w:val="0014724F"/>
    <w:rsid w:val="00147717"/>
    <w:rsid w:val="00152A44"/>
    <w:rsid w:val="00153B09"/>
    <w:rsid w:val="00154174"/>
    <w:rsid w:val="0015550A"/>
    <w:rsid w:val="0015627F"/>
    <w:rsid w:val="00157809"/>
    <w:rsid w:val="00161126"/>
    <w:rsid w:val="001618BA"/>
    <w:rsid w:val="00163A24"/>
    <w:rsid w:val="001647F2"/>
    <w:rsid w:val="001657C4"/>
    <w:rsid w:val="00165A80"/>
    <w:rsid w:val="00165C72"/>
    <w:rsid w:val="00165CB5"/>
    <w:rsid w:val="00167D93"/>
    <w:rsid w:val="001704C2"/>
    <w:rsid w:val="0017186E"/>
    <w:rsid w:val="00173A82"/>
    <w:rsid w:val="0017447A"/>
    <w:rsid w:val="00174A30"/>
    <w:rsid w:val="00174BE7"/>
    <w:rsid w:val="00175015"/>
    <w:rsid w:val="00182585"/>
    <w:rsid w:val="00182E1F"/>
    <w:rsid w:val="0018372B"/>
    <w:rsid w:val="00183749"/>
    <w:rsid w:val="00185900"/>
    <w:rsid w:val="00187AE8"/>
    <w:rsid w:val="001905FD"/>
    <w:rsid w:val="00190B59"/>
    <w:rsid w:val="00191A80"/>
    <w:rsid w:val="0019225F"/>
    <w:rsid w:val="00195FD7"/>
    <w:rsid w:val="001A0FE6"/>
    <w:rsid w:val="001A2B01"/>
    <w:rsid w:val="001A36C6"/>
    <w:rsid w:val="001A3E6E"/>
    <w:rsid w:val="001A53AD"/>
    <w:rsid w:val="001A584C"/>
    <w:rsid w:val="001A59AC"/>
    <w:rsid w:val="001A78EB"/>
    <w:rsid w:val="001B02AD"/>
    <w:rsid w:val="001B1099"/>
    <w:rsid w:val="001B28EC"/>
    <w:rsid w:val="001B47E3"/>
    <w:rsid w:val="001B7D0B"/>
    <w:rsid w:val="001C10FD"/>
    <w:rsid w:val="001C2738"/>
    <w:rsid w:val="001C315D"/>
    <w:rsid w:val="001C5ABB"/>
    <w:rsid w:val="001C78C7"/>
    <w:rsid w:val="001D06C0"/>
    <w:rsid w:val="001D237C"/>
    <w:rsid w:val="001D4C39"/>
    <w:rsid w:val="001D6B56"/>
    <w:rsid w:val="001D73BA"/>
    <w:rsid w:val="001E0A66"/>
    <w:rsid w:val="001E0C61"/>
    <w:rsid w:val="001E380C"/>
    <w:rsid w:val="001E39B7"/>
    <w:rsid w:val="001E4EBD"/>
    <w:rsid w:val="001E6583"/>
    <w:rsid w:val="001E7144"/>
    <w:rsid w:val="001F0456"/>
    <w:rsid w:val="001F2F8B"/>
    <w:rsid w:val="002010C0"/>
    <w:rsid w:val="00201889"/>
    <w:rsid w:val="00202D4B"/>
    <w:rsid w:val="00203282"/>
    <w:rsid w:val="00203A8A"/>
    <w:rsid w:val="00205BD6"/>
    <w:rsid w:val="00210A62"/>
    <w:rsid w:val="00210BF6"/>
    <w:rsid w:val="00211C90"/>
    <w:rsid w:val="00214498"/>
    <w:rsid w:val="00214B4A"/>
    <w:rsid w:val="00215EC5"/>
    <w:rsid w:val="002169EA"/>
    <w:rsid w:val="00220335"/>
    <w:rsid w:val="00221CED"/>
    <w:rsid w:val="002225B3"/>
    <w:rsid w:val="00224671"/>
    <w:rsid w:val="00224780"/>
    <w:rsid w:val="0023033D"/>
    <w:rsid w:val="002314FD"/>
    <w:rsid w:val="00232204"/>
    <w:rsid w:val="00232E98"/>
    <w:rsid w:val="00233514"/>
    <w:rsid w:val="00237653"/>
    <w:rsid w:val="002415ED"/>
    <w:rsid w:val="00242015"/>
    <w:rsid w:val="00243E93"/>
    <w:rsid w:val="002470B1"/>
    <w:rsid w:val="00247D67"/>
    <w:rsid w:val="00253B1D"/>
    <w:rsid w:val="0026029B"/>
    <w:rsid w:val="00260ECB"/>
    <w:rsid w:val="0026216A"/>
    <w:rsid w:val="002631C1"/>
    <w:rsid w:val="00263AE8"/>
    <w:rsid w:val="00271235"/>
    <w:rsid w:val="002720C5"/>
    <w:rsid w:val="00272E6A"/>
    <w:rsid w:val="002732BE"/>
    <w:rsid w:val="00274C70"/>
    <w:rsid w:val="00275092"/>
    <w:rsid w:val="00276AFE"/>
    <w:rsid w:val="00276DCA"/>
    <w:rsid w:val="00276F71"/>
    <w:rsid w:val="00277F02"/>
    <w:rsid w:val="00280AB1"/>
    <w:rsid w:val="00281928"/>
    <w:rsid w:val="00281C19"/>
    <w:rsid w:val="002826EA"/>
    <w:rsid w:val="0028289A"/>
    <w:rsid w:val="00282B4D"/>
    <w:rsid w:val="00282E09"/>
    <w:rsid w:val="00282F38"/>
    <w:rsid w:val="00287EAE"/>
    <w:rsid w:val="00295257"/>
    <w:rsid w:val="00297367"/>
    <w:rsid w:val="002A0660"/>
    <w:rsid w:val="002A0E23"/>
    <w:rsid w:val="002A59E7"/>
    <w:rsid w:val="002A5C94"/>
    <w:rsid w:val="002A6677"/>
    <w:rsid w:val="002A71E1"/>
    <w:rsid w:val="002A7515"/>
    <w:rsid w:val="002A7FDD"/>
    <w:rsid w:val="002B00E5"/>
    <w:rsid w:val="002B1E45"/>
    <w:rsid w:val="002B1FE4"/>
    <w:rsid w:val="002B21B7"/>
    <w:rsid w:val="002B33D4"/>
    <w:rsid w:val="002B467F"/>
    <w:rsid w:val="002B5F3A"/>
    <w:rsid w:val="002B6999"/>
    <w:rsid w:val="002B6C5B"/>
    <w:rsid w:val="002B7C6E"/>
    <w:rsid w:val="002C1DB9"/>
    <w:rsid w:val="002C44A5"/>
    <w:rsid w:val="002C61C2"/>
    <w:rsid w:val="002C718C"/>
    <w:rsid w:val="002C7510"/>
    <w:rsid w:val="002C7866"/>
    <w:rsid w:val="002D1021"/>
    <w:rsid w:val="002D19B6"/>
    <w:rsid w:val="002D57B9"/>
    <w:rsid w:val="002D5CE8"/>
    <w:rsid w:val="002D7492"/>
    <w:rsid w:val="002E2C71"/>
    <w:rsid w:val="002E3605"/>
    <w:rsid w:val="002E51E7"/>
    <w:rsid w:val="002E7FD5"/>
    <w:rsid w:val="002F2B9C"/>
    <w:rsid w:val="002F2F8A"/>
    <w:rsid w:val="002F2FC9"/>
    <w:rsid w:val="002F319E"/>
    <w:rsid w:val="002F40E4"/>
    <w:rsid w:val="002F45FB"/>
    <w:rsid w:val="002F5CD1"/>
    <w:rsid w:val="002F600B"/>
    <w:rsid w:val="002F62B0"/>
    <w:rsid w:val="002F6AF9"/>
    <w:rsid w:val="00304596"/>
    <w:rsid w:val="003047D9"/>
    <w:rsid w:val="003055B4"/>
    <w:rsid w:val="003069B4"/>
    <w:rsid w:val="00306B73"/>
    <w:rsid w:val="0031002B"/>
    <w:rsid w:val="00310765"/>
    <w:rsid w:val="003107ED"/>
    <w:rsid w:val="00312225"/>
    <w:rsid w:val="00312546"/>
    <w:rsid w:val="003125FA"/>
    <w:rsid w:val="00313291"/>
    <w:rsid w:val="003164E7"/>
    <w:rsid w:val="00316875"/>
    <w:rsid w:val="003178D9"/>
    <w:rsid w:val="00323735"/>
    <w:rsid w:val="00325437"/>
    <w:rsid w:val="0032581D"/>
    <w:rsid w:val="00325EB2"/>
    <w:rsid w:val="00327155"/>
    <w:rsid w:val="00330151"/>
    <w:rsid w:val="00330D92"/>
    <w:rsid w:val="00331309"/>
    <w:rsid w:val="003321CE"/>
    <w:rsid w:val="00334EF2"/>
    <w:rsid w:val="003409C2"/>
    <w:rsid w:val="00341902"/>
    <w:rsid w:val="00341F33"/>
    <w:rsid w:val="0034283E"/>
    <w:rsid w:val="00344875"/>
    <w:rsid w:val="00344B0C"/>
    <w:rsid w:val="00346FDB"/>
    <w:rsid w:val="003504FE"/>
    <w:rsid w:val="00352DE5"/>
    <w:rsid w:val="00352EF1"/>
    <w:rsid w:val="0035455C"/>
    <w:rsid w:val="00361EB9"/>
    <w:rsid w:val="0036205B"/>
    <w:rsid w:val="00366590"/>
    <w:rsid w:val="00366A1D"/>
    <w:rsid w:val="00366AE3"/>
    <w:rsid w:val="00367022"/>
    <w:rsid w:val="00373002"/>
    <w:rsid w:val="00374785"/>
    <w:rsid w:val="00374F16"/>
    <w:rsid w:val="0037646A"/>
    <w:rsid w:val="00381336"/>
    <w:rsid w:val="0038185E"/>
    <w:rsid w:val="00383B3F"/>
    <w:rsid w:val="0038475F"/>
    <w:rsid w:val="00384C24"/>
    <w:rsid w:val="00385B47"/>
    <w:rsid w:val="00386D59"/>
    <w:rsid w:val="003904BB"/>
    <w:rsid w:val="003939B6"/>
    <w:rsid w:val="00394F46"/>
    <w:rsid w:val="003957C9"/>
    <w:rsid w:val="00395DA4"/>
    <w:rsid w:val="003A0091"/>
    <w:rsid w:val="003A1174"/>
    <w:rsid w:val="003A1D1B"/>
    <w:rsid w:val="003A205D"/>
    <w:rsid w:val="003A2CD0"/>
    <w:rsid w:val="003A3461"/>
    <w:rsid w:val="003A391A"/>
    <w:rsid w:val="003A44D1"/>
    <w:rsid w:val="003A4612"/>
    <w:rsid w:val="003A528A"/>
    <w:rsid w:val="003A62B8"/>
    <w:rsid w:val="003B3EE4"/>
    <w:rsid w:val="003B4532"/>
    <w:rsid w:val="003B4D48"/>
    <w:rsid w:val="003C2378"/>
    <w:rsid w:val="003C2E95"/>
    <w:rsid w:val="003C438C"/>
    <w:rsid w:val="003C558B"/>
    <w:rsid w:val="003C71DE"/>
    <w:rsid w:val="003C7CB4"/>
    <w:rsid w:val="003D2CA7"/>
    <w:rsid w:val="003D34CA"/>
    <w:rsid w:val="003D47C8"/>
    <w:rsid w:val="003D69D0"/>
    <w:rsid w:val="003D6CAE"/>
    <w:rsid w:val="003E0CAC"/>
    <w:rsid w:val="003E14FC"/>
    <w:rsid w:val="003E1D8A"/>
    <w:rsid w:val="003E2253"/>
    <w:rsid w:val="003E2511"/>
    <w:rsid w:val="003E3F2F"/>
    <w:rsid w:val="003E447B"/>
    <w:rsid w:val="003E6403"/>
    <w:rsid w:val="003F012B"/>
    <w:rsid w:val="003F31E5"/>
    <w:rsid w:val="003F3D1F"/>
    <w:rsid w:val="003F4889"/>
    <w:rsid w:val="003F493C"/>
    <w:rsid w:val="003F7080"/>
    <w:rsid w:val="003F74FA"/>
    <w:rsid w:val="00401207"/>
    <w:rsid w:val="00403404"/>
    <w:rsid w:val="00405739"/>
    <w:rsid w:val="00405C48"/>
    <w:rsid w:val="004137F5"/>
    <w:rsid w:val="0041420E"/>
    <w:rsid w:val="00417A55"/>
    <w:rsid w:val="00420347"/>
    <w:rsid w:val="004240EC"/>
    <w:rsid w:val="0042474F"/>
    <w:rsid w:val="00424ECC"/>
    <w:rsid w:val="004260CF"/>
    <w:rsid w:val="0043311D"/>
    <w:rsid w:val="00436DC5"/>
    <w:rsid w:val="00440A7D"/>
    <w:rsid w:val="00443084"/>
    <w:rsid w:val="004446B0"/>
    <w:rsid w:val="0044479C"/>
    <w:rsid w:val="00444CA5"/>
    <w:rsid w:val="00447BFA"/>
    <w:rsid w:val="004539EA"/>
    <w:rsid w:val="00454353"/>
    <w:rsid w:val="00455061"/>
    <w:rsid w:val="00455C52"/>
    <w:rsid w:val="00455D57"/>
    <w:rsid w:val="00461DFD"/>
    <w:rsid w:val="00461F3B"/>
    <w:rsid w:val="00462B11"/>
    <w:rsid w:val="0046438C"/>
    <w:rsid w:val="00465DBB"/>
    <w:rsid w:val="00467AF5"/>
    <w:rsid w:val="00471EC2"/>
    <w:rsid w:val="00473E27"/>
    <w:rsid w:val="00474050"/>
    <w:rsid w:val="004751F2"/>
    <w:rsid w:val="004759C9"/>
    <w:rsid w:val="00477220"/>
    <w:rsid w:val="0048291A"/>
    <w:rsid w:val="004844D1"/>
    <w:rsid w:val="00485AE8"/>
    <w:rsid w:val="00485AEB"/>
    <w:rsid w:val="00486B1F"/>
    <w:rsid w:val="00490750"/>
    <w:rsid w:val="0049318C"/>
    <w:rsid w:val="0049358D"/>
    <w:rsid w:val="00496247"/>
    <w:rsid w:val="00496CB2"/>
    <w:rsid w:val="00496EC9"/>
    <w:rsid w:val="00497503"/>
    <w:rsid w:val="00497874"/>
    <w:rsid w:val="004A0BF9"/>
    <w:rsid w:val="004A28E8"/>
    <w:rsid w:val="004A3CD7"/>
    <w:rsid w:val="004A4F8D"/>
    <w:rsid w:val="004A5276"/>
    <w:rsid w:val="004A7F56"/>
    <w:rsid w:val="004B11B7"/>
    <w:rsid w:val="004B20E5"/>
    <w:rsid w:val="004B26E4"/>
    <w:rsid w:val="004B3425"/>
    <w:rsid w:val="004C140F"/>
    <w:rsid w:val="004C1496"/>
    <w:rsid w:val="004C4331"/>
    <w:rsid w:val="004C48B7"/>
    <w:rsid w:val="004C71E0"/>
    <w:rsid w:val="004E2132"/>
    <w:rsid w:val="004E3A1A"/>
    <w:rsid w:val="004E5BBD"/>
    <w:rsid w:val="004F03CF"/>
    <w:rsid w:val="004F1BD4"/>
    <w:rsid w:val="004F1C69"/>
    <w:rsid w:val="004F5B28"/>
    <w:rsid w:val="004F6F69"/>
    <w:rsid w:val="004F7C03"/>
    <w:rsid w:val="00501083"/>
    <w:rsid w:val="005010E0"/>
    <w:rsid w:val="00501AA3"/>
    <w:rsid w:val="00505600"/>
    <w:rsid w:val="005071D8"/>
    <w:rsid w:val="00512ADC"/>
    <w:rsid w:val="00513D98"/>
    <w:rsid w:val="0051510C"/>
    <w:rsid w:val="005167E7"/>
    <w:rsid w:val="005170DD"/>
    <w:rsid w:val="0052121E"/>
    <w:rsid w:val="005213A6"/>
    <w:rsid w:val="00521F96"/>
    <w:rsid w:val="00522E87"/>
    <w:rsid w:val="00524736"/>
    <w:rsid w:val="00524936"/>
    <w:rsid w:val="00526535"/>
    <w:rsid w:val="005275B0"/>
    <w:rsid w:val="00530082"/>
    <w:rsid w:val="005308AF"/>
    <w:rsid w:val="00531494"/>
    <w:rsid w:val="00536960"/>
    <w:rsid w:val="00536B64"/>
    <w:rsid w:val="005376B1"/>
    <w:rsid w:val="00541058"/>
    <w:rsid w:val="00542A54"/>
    <w:rsid w:val="00542E90"/>
    <w:rsid w:val="005433BA"/>
    <w:rsid w:val="005445CD"/>
    <w:rsid w:val="005501B1"/>
    <w:rsid w:val="005518C4"/>
    <w:rsid w:val="00551A96"/>
    <w:rsid w:val="005523A8"/>
    <w:rsid w:val="005533B6"/>
    <w:rsid w:val="00556810"/>
    <w:rsid w:val="00561431"/>
    <w:rsid w:val="00561AAC"/>
    <w:rsid w:val="0056253F"/>
    <w:rsid w:val="00562C13"/>
    <w:rsid w:val="00563640"/>
    <w:rsid w:val="00565BDB"/>
    <w:rsid w:val="00566C0C"/>
    <w:rsid w:val="005701B4"/>
    <w:rsid w:val="005716A1"/>
    <w:rsid w:val="00573C1E"/>
    <w:rsid w:val="00574173"/>
    <w:rsid w:val="00574DEF"/>
    <w:rsid w:val="005751A8"/>
    <w:rsid w:val="00575763"/>
    <w:rsid w:val="00576AE5"/>
    <w:rsid w:val="00577289"/>
    <w:rsid w:val="005777DA"/>
    <w:rsid w:val="005801B5"/>
    <w:rsid w:val="00581663"/>
    <w:rsid w:val="00583BBD"/>
    <w:rsid w:val="0058482E"/>
    <w:rsid w:val="0058681F"/>
    <w:rsid w:val="00586850"/>
    <w:rsid w:val="00586FC1"/>
    <w:rsid w:val="00591A56"/>
    <w:rsid w:val="00596434"/>
    <w:rsid w:val="005967C9"/>
    <w:rsid w:val="005A1CD4"/>
    <w:rsid w:val="005A5191"/>
    <w:rsid w:val="005A7F8D"/>
    <w:rsid w:val="005B237B"/>
    <w:rsid w:val="005B332C"/>
    <w:rsid w:val="005B468D"/>
    <w:rsid w:val="005B516D"/>
    <w:rsid w:val="005C051C"/>
    <w:rsid w:val="005C2020"/>
    <w:rsid w:val="005C3959"/>
    <w:rsid w:val="005C4F04"/>
    <w:rsid w:val="005C648F"/>
    <w:rsid w:val="005C7695"/>
    <w:rsid w:val="005C7F81"/>
    <w:rsid w:val="005D0494"/>
    <w:rsid w:val="005D38DC"/>
    <w:rsid w:val="005D3C57"/>
    <w:rsid w:val="005D5236"/>
    <w:rsid w:val="005D52B0"/>
    <w:rsid w:val="005D62D8"/>
    <w:rsid w:val="005D6F5F"/>
    <w:rsid w:val="005E1D59"/>
    <w:rsid w:val="005E1D74"/>
    <w:rsid w:val="005E2542"/>
    <w:rsid w:val="005F2C5E"/>
    <w:rsid w:val="005F3674"/>
    <w:rsid w:val="00600E20"/>
    <w:rsid w:val="00602EDC"/>
    <w:rsid w:val="00606CEE"/>
    <w:rsid w:val="0060781E"/>
    <w:rsid w:val="00612771"/>
    <w:rsid w:val="006133E7"/>
    <w:rsid w:val="00613B2A"/>
    <w:rsid w:val="00614147"/>
    <w:rsid w:val="00614544"/>
    <w:rsid w:val="00620661"/>
    <w:rsid w:val="00620CE8"/>
    <w:rsid w:val="00621440"/>
    <w:rsid w:val="00621BD7"/>
    <w:rsid w:val="00624B12"/>
    <w:rsid w:val="00625311"/>
    <w:rsid w:val="0062671F"/>
    <w:rsid w:val="00632646"/>
    <w:rsid w:val="00632851"/>
    <w:rsid w:val="006342CF"/>
    <w:rsid w:val="00636301"/>
    <w:rsid w:val="00636711"/>
    <w:rsid w:val="00641387"/>
    <w:rsid w:val="006417A5"/>
    <w:rsid w:val="00641ECD"/>
    <w:rsid w:val="0064626F"/>
    <w:rsid w:val="006464A9"/>
    <w:rsid w:val="006466A5"/>
    <w:rsid w:val="006506C6"/>
    <w:rsid w:val="0065302D"/>
    <w:rsid w:val="00653CCF"/>
    <w:rsid w:val="0065626F"/>
    <w:rsid w:val="00657232"/>
    <w:rsid w:val="00657E37"/>
    <w:rsid w:val="00661ADB"/>
    <w:rsid w:val="00664CC4"/>
    <w:rsid w:val="0066571D"/>
    <w:rsid w:val="00670522"/>
    <w:rsid w:val="00672359"/>
    <w:rsid w:val="006746D0"/>
    <w:rsid w:val="0067578C"/>
    <w:rsid w:val="00675F05"/>
    <w:rsid w:val="00675F83"/>
    <w:rsid w:val="00680F3D"/>
    <w:rsid w:val="00682258"/>
    <w:rsid w:val="00682663"/>
    <w:rsid w:val="00682C71"/>
    <w:rsid w:val="0068488A"/>
    <w:rsid w:val="00684945"/>
    <w:rsid w:val="00687287"/>
    <w:rsid w:val="006901E6"/>
    <w:rsid w:val="0069027E"/>
    <w:rsid w:val="0069393F"/>
    <w:rsid w:val="00695FBB"/>
    <w:rsid w:val="00696A3C"/>
    <w:rsid w:val="00697509"/>
    <w:rsid w:val="006A293D"/>
    <w:rsid w:val="006A2DD4"/>
    <w:rsid w:val="006A4A16"/>
    <w:rsid w:val="006A4C44"/>
    <w:rsid w:val="006A4D21"/>
    <w:rsid w:val="006B29BF"/>
    <w:rsid w:val="006B2F84"/>
    <w:rsid w:val="006B461E"/>
    <w:rsid w:val="006B4826"/>
    <w:rsid w:val="006B4898"/>
    <w:rsid w:val="006B56D7"/>
    <w:rsid w:val="006B5808"/>
    <w:rsid w:val="006B7B15"/>
    <w:rsid w:val="006C2479"/>
    <w:rsid w:val="006C2604"/>
    <w:rsid w:val="006C5AE7"/>
    <w:rsid w:val="006C6E85"/>
    <w:rsid w:val="006C760C"/>
    <w:rsid w:val="006C7731"/>
    <w:rsid w:val="006C7AF1"/>
    <w:rsid w:val="006D0543"/>
    <w:rsid w:val="006D0F9D"/>
    <w:rsid w:val="006D2542"/>
    <w:rsid w:val="006D388F"/>
    <w:rsid w:val="006D3F69"/>
    <w:rsid w:val="006D41D1"/>
    <w:rsid w:val="006D4D0B"/>
    <w:rsid w:val="006D4F4D"/>
    <w:rsid w:val="006E0719"/>
    <w:rsid w:val="006E4BFA"/>
    <w:rsid w:val="006E4D0E"/>
    <w:rsid w:val="006E5B87"/>
    <w:rsid w:val="006E6DDF"/>
    <w:rsid w:val="006E77B3"/>
    <w:rsid w:val="006F13E7"/>
    <w:rsid w:val="006F3EC5"/>
    <w:rsid w:val="006F4B2C"/>
    <w:rsid w:val="006F7276"/>
    <w:rsid w:val="006F7581"/>
    <w:rsid w:val="007010F8"/>
    <w:rsid w:val="00704303"/>
    <w:rsid w:val="007046CC"/>
    <w:rsid w:val="00704A6E"/>
    <w:rsid w:val="007175BA"/>
    <w:rsid w:val="00722D08"/>
    <w:rsid w:val="00727DB3"/>
    <w:rsid w:val="007317EB"/>
    <w:rsid w:val="00731B19"/>
    <w:rsid w:val="007342D9"/>
    <w:rsid w:val="00736E71"/>
    <w:rsid w:val="007407BD"/>
    <w:rsid w:val="00741039"/>
    <w:rsid w:val="00741E82"/>
    <w:rsid w:val="00742406"/>
    <w:rsid w:val="00742431"/>
    <w:rsid w:val="0074243F"/>
    <w:rsid w:val="0074303F"/>
    <w:rsid w:val="00745303"/>
    <w:rsid w:val="007516F5"/>
    <w:rsid w:val="00756658"/>
    <w:rsid w:val="007578C6"/>
    <w:rsid w:val="00760815"/>
    <w:rsid w:val="0076153C"/>
    <w:rsid w:val="0076509A"/>
    <w:rsid w:val="00771C19"/>
    <w:rsid w:val="007727E9"/>
    <w:rsid w:val="00772991"/>
    <w:rsid w:val="00774697"/>
    <w:rsid w:val="007775CE"/>
    <w:rsid w:val="00780283"/>
    <w:rsid w:val="0078611D"/>
    <w:rsid w:val="00791197"/>
    <w:rsid w:val="00792E40"/>
    <w:rsid w:val="0079736A"/>
    <w:rsid w:val="00797E74"/>
    <w:rsid w:val="007A082D"/>
    <w:rsid w:val="007A14AC"/>
    <w:rsid w:val="007A2492"/>
    <w:rsid w:val="007A3375"/>
    <w:rsid w:val="007A339E"/>
    <w:rsid w:val="007A3E6A"/>
    <w:rsid w:val="007A3F9D"/>
    <w:rsid w:val="007A6A6C"/>
    <w:rsid w:val="007A6EF0"/>
    <w:rsid w:val="007A74B6"/>
    <w:rsid w:val="007A799E"/>
    <w:rsid w:val="007B17D4"/>
    <w:rsid w:val="007B2140"/>
    <w:rsid w:val="007B2A85"/>
    <w:rsid w:val="007B3401"/>
    <w:rsid w:val="007C027E"/>
    <w:rsid w:val="007C04C2"/>
    <w:rsid w:val="007C0D90"/>
    <w:rsid w:val="007C2577"/>
    <w:rsid w:val="007C44AC"/>
    <w:rsid w:val="007C474E"/>
    <w:rsid w:val="007C4866"/>
    <w:rsid w:val="007C4A71"/>
    <w:rsid w:val="007C5A79"/>
    <w:rsid w:val="007C5D4E"/>
    <w:rsid w:val="007C63D0"/>
    <w:rsid w:val="007D0BC4"/>
    <w:rsid w:val="007D183F"/>
    <w:rsid w:val="007D1CB7"/>
    <w:rsid w:val="007D3BC4"/>
    <w:rsid w:val="007D3C07"/>
    <w:rsid w:val="007D4F7A"/>
    <w:rsid w:val="007D5D76"/>
    <w:rsid w:val="007D746F"/>
    <w:rsid w:val="007D7B08"/>
    <w:rsid w:val="007E1E71"/>
    <w:rsid w:val="007E292D"/>
    <w:rsid w:val="007E4CED"/>
    <w:rsid w:val="007E57B1"/>
    <w:rsid w:val="007E771E"/>
    <w:rsid w:val="007E773D"/>
    <w:rsid w:val="007F07D8"/>
    <w:rsid w:val="00800D59"/>
    <w:rsid w:val="008011CE"/>
    <w:rsid w:val="00801539"/>
    <w:rsid w:val="00802ACC"/>
    <w:rsid w:val="0080304D"/>
    <w:rsid w:val="0080402D"/>
    <w:rsid w:val="00804840"/>
    <w:rsid w:val="008069E0"/>
    <w:rsid w:val="00807FB2"/>
    <w:rsid w:val="0081030A"/>
    <w:rsid w:val="00810FDF"/>
    <w:rsid w:val="00811ABA"/>
    <w:rsid w:val="00812424"/>
    <w:rsid w:val="00812C06"/>
    <w:rsid w:val="008131B9"/>
    <w:rsid w:val="00813D2E"/>
    <w:rsid w:val="00814B51"/>
    <w:rsid w:val="00814E86"/>
    <w:rsid w:val="00815AEE"/>
    <w:rsid w:val="008208DF"/>
    <w:rsid w:val="00821CFF"/>
    <w:rsid w:val="008233B7"/>
    <w:rsid w:val="00823BE0"/>
    <w:rsid w:val="00826C73"/>
    <w:rsid w:val="008278C4"/>
    <w:rsid w:val="0083099D"/>
    <w:rsid w:val="00831786"/>
    <w:rsid w:val="008323A7"/>
    <w:rsid w:val="00833C78"/>
    <w:rsid w:val="00834495"/>
    <w:rsid w:val="00835CD1"/>
    <w:rsid w:val="008362BA"/>
    <w:rsid w:val="00837C61"/>
    <w:rsid w:val="008405FE"/>
    <w:rsid w:val="00840AD3"/>
    <w:rsid w:val="00840CF5"/>
    <w:rsid w:val="008410E7"/>
    <w:rsid w:val="00841520"/>
    <w:rsid w:val="008430C5"/>
    <w:rsid w:val="008435D1"/>
    <w:rsid w:val="0084531E"/>
    <w:rsid w:val="00845588"/>
    <w:rsid w:val="00846ACE"/>
    <w:rsid w:val="00846BAE"/>
    <w:rsid w:val="00847977"/>
    <w:rsid w:val="0085051D"/>
    <w:rsid w:val="00850D21"/>
    <w:rsid w:val="00852A19"/>
    <w:rsid w:val="00852CA5"/>
    <w:rsid w:val="00853093"/>
    <w:rsid w:val="008537B6"/>
    <w:rsid w:val="00853E4C"/>
    <w:rsid w:val="0085607C"/>
    <w:rsid w:val="00856A70"/>
    <w:rsid w:val="00856EEC"/>
    <w:rsid w:val="008612FC"/>
    <w:rsid w:val="00861B54"/>
    <w:rsid w:val="00861B7C"/>
    <w:rsid w:val="00861B8A"/>
    <w:rsid w:val="00862120"/>
    <w:rsid w:val="00862235"/>
    <w:rsid w:val="00862726"/>
    <w:rsid w:val="00863197"/>
    <w:rsid w:val="0086401D"/>
    <w:rsid w:val="008651AF"/>
    <w:rsid w:val="00870B0E"/>
    <w:rsid w:val="008719D4"/>
    <w:rsid w:val="00872E44"/>
    <w:rsid w:val="0087415A"/>
    <w:rsid w:val="0087656D"/>
    <w:rsid w:val="00880020"/>
    <w:rsid w:val="00880422"/>
    <w:rsid w:val="00883016"/>
    <w:rsid w:val="008843FD"/>
    <w:rsid w:val="00886CDD"/>
    <w:rsid w:val="00886D6A"/>
    <w:rsid w:val="00886D9D"/>
    <w:rsid w:val="008879E7"/>
    <w:rsid w:val="0089062D"/>
    <w:rsid w:val="008939AA"/>
    <w:rsid w:val="008950A9"/>
    <w:rsid w:val="00895A22"/>
    <w:rsid w:val="00897ED5"/>
    <w:rsid w:val="008A1D51"/>
    <w:rsid w:val="008A2F8C"/>
    <w:rsid w:val="008A3DA2"/>
    <w:rsid w:val="008A760B"/>
    <w:rsid w:val="008B023E"/>
    <w:rsid w:val="008B0956"/>
    <w:rsid w:val="008B0D34"/>
    <w:rsid w:val="008B1192"/>
    <w:rsid w:val="008B2886"/>
    <w:rsid w:val="008B60D1"/>
    <w:rsid w:val="008B698A"/>
    <w:rsid w:val="008C0259"/>
    <w:rsid w:val="008C5F73"/>
    <w:rsid w:val="008C7F55"/>
    <w:rsid w:val="008D0F05"/>
    <w:rsid w:val="008D2F69"/>
    <w:rsid w:val="008D32E5"/>
    <w:rsid w:val="008D534F"/>
    <w:rsid w:val="008E0A4D"/>
    <w:rsid w:val="008E259D"/>
    <w:rsid w:val="008E3BF1"/>
    <w:rsid w:val="008E460B"/>
    <w:rsid w:val="008E640B"/>
    <w:rsid w:val="008E7A2A"/>
    <w:rsid w:val="008F2153"/>
    <w:rsid w:val="008F414A"/>
    <w:rsid w:val="008F5192"/>
    <w:rsid w:val="008F7E33"/>
    <w:rsid w:val="00901DF4"/>
    <w:rsid w:val="009024A0"/>
    <w:rsid w:val="009037D2"/>
    <w:rsid w:val="00903FAD"/>
    <w:rsid w:val="00906ADB"/>
    <w:rsid w:val="0090718A"/>
    <w:rsid w:val="009072F1"/>
    <w:rsid w:val="0091113A"/>
    <w:rsid w:val="00911FDB"/>
    <w:rsid w:val="0091213A"/>
    <w:rsid w:val="00913E6E"/>
    <w:rsid w:val="00914244"/>
    <w:rsid w:val="00917B2C"/>
    <w:rsid w:val="0092320D"/>
    <w:rsid w:val="00927923"/>
    <w:rsid w:val="0093110B"/>
    <w:rsid w:val="00935298"/>
    <w:rsid w:val="00935474"/>
    <w:rsid w:val="00935C8F"/>
    <w:rsid w:val="0093609C"/>
    <w:rsid w:val="00936256"/>
    <w:rsid w:val="009370B1"/>
    <w:rsid w:val="0093789B"/>
    <w:rsid w:val="0094067E"/>
    <w:rsid w:val="00940D7F"/>
    <w:rsid w:val="00943AA8"/>
    <w:rsid w:val="00943D8D"/>
    <w:rsid w:val="0094437B"/>
    <w:rsid w:val="009445A0"/>
    <w:rsid w:val="0094477F"/>
    <w:rsid w:val="0094561F"/>
    <w:rsid w:val="00945E97"/>
    <w:rsid w:val="009461E1"/>
    <w:rsid w:val="00946348"/>
    <w:rsid w:val="009529F1"/>
    <w:rsid w:val="0095451B"/>
    <w:rsid w:val="00955D60"/>
    <w:rsid w:val="00957C9D"/>
    <w:rsid w:val="00960C46"/>
    <w:rsid w:val="0096260A"/>
    <w:rsid w:val="00963D01"/>
    <w:rsid w:val="00964875"/>
    <w:rsid w:val="00964BCF"/>
    <w:rsid w:val="0096583F"/>
    <w:rsid w:val="00967370"/>
    <w:rsid w:val="0097081E"/>
    <w:rsid w:val="0097197B"/>
    <w:rsid w:val="00973DDE"/>
    <w:rsid w:val="009741DE"/>
    <w:rsid w:val="00976723"/>
    <w:rsid w:val="00976E48"/>
    <w:rsid w:val="00976FB8"/>
    <w:rsid w:val="00982F4E"/>
    <w:rsid w:val="00983C71"/>
    <w:rsid w:val="00984D62"/>
    <w:rsid w:val="009851E6"/>
    <w:rsid w:val="009856B8"/>
    <w:rsid w:val="009859FC"/>
    <w:rsid w:val="00990B29"/>
    <w:rsid w:val="009940EF"/>
    <w:rsid w:val="009956C7"/>
    <w:rsid w:val="00995AF3"/>
    <w:rsid w:val="00996C68"/>
    <w:rsid w:val="00997191"/>
    <w:rsid w:val="009A0033"/>
    <w:rsid w:val="009A0623"/>
    <w:rsid w:val="009A08B5"/>
    <w:rsid w:val="009A0A27"/>
    <w:rsid w:val="009A0CC2"/>
    <w:rsid w:val="009A31C8"/>
    <w:rsid w:val="009A3B28"/>
    <w:rsid w:val="009A4795"/>
    <w:rsid w:val="009A5087"/>
    <w:rsid w:val="009A7FBA"/>
    <w:rsid w:val="009B0027"/>
    <w:rsid w:val="009B133A"/>
    <w:rsid w:val="009B27D0"/>
    <w:rsid w:val="009B504A"/>
    <w:rsid w:val="009B55EE"/>
    <w:rsid w:val="009B7DC1"/>
    <w:rsid w:val="009B7F25"/>
    <w:rsid w:val="009C17E0"/>
    <w:rsid w:val="009C45E6"/>
    <w:rsid w:val="009C48EC"/>
    <w:rsid w:val="009C6A2A"/>
    <w:rsid w:val="009D05C3"/>
    <w:rsid w:val="009D0609"/>
    <w:rsid w:val="009D06D1"/>
    <w:rsid w:val="009D0E7B"/>
    <w:rsid w:val="009D378E"/>
    <w:rsid w:val="009D5ED8"/>
    <w:rsid w:val="009D7A0B"/>
    <w:rsid w:val="009E0B5D"/>
    <w:rsid w:val="009E3E55"/>
    <w:rsid w:val="009F0311"/>
    <w:rsid w:val="009F035C"/>
    <w:rsid w:val="009F0B79"/>
    <w:rsid w:val="009F23D7"/>
    <w:rsid w:val="009F3AC2"/>
    <w:rsid w:val="009F41E9"/>
    <w:rsid w:val="009F6C1C"/>
    <w:rsid w:val="00A0040B"/>
    <w:rsid w:val="00A01F37"/>
    <w:rsid w:val="00A02849"/>
    <w:rsid w:val="00A04525"/>
    <w:rsid w:val="00A0572A"/>
    <w:rsid w:val="00A060D9"/>
    <w:rsid w:val="00A065F8"/>
    <w:rsid w:val="00A1048A"/>
    <w:rsid w:val="00A12C48"/>
    <w:rsid w:val="00A13226"/>
    <w:rsid w:val="00A132B3"/>
    <w:rsid w:val="00A147B2"/>
    <w:rsid w:val="00A17210"/>
    <w:rsid w:val="00A207EB"/>
    <w:rsid w:val="00A225E2"/>
    <w:rsid w:val="00A2345C"/>
    <w:rsid w:val="00A23EB8"/>
    <w:rsid w:val="00A24298"/>
    <w:rsid w:val="00A25D69"/>
    <w:rsid w:val="00A27B1D"/>
    <w:rsid w:val="00A30A8A"/>
    <w:rsid w:val="00A30AAD"/>
    <w:rsid w:val="00A30F0E"/>
    <w:rsid w:val="00A32790"/>
    <w:rsid w:val="00A32B07"/>
    <w:rsid w:val="00A32F42"/>
    <w:rsid w:val="00A3308C"/>
    <w:rsid w:val="00A33F0D"/>
    <w:rsid w:val="00A34611"/>
    <w:rsid w:val="00A34F0F"/>
    <w:rsid w:val="00A4048F"/>
    <w:rsid w:val="00A41573"/>
    <w:rsid w:val="00A41BDF"/>
    <w:rsid w:val="00A43060"/>
    <w:rsid w:val="00A4423E"/>
    <w:rsid w:val="00A4594E"/>
    <w:rsid w:val="00A474B7"/>
    <w:rsid w:val="00A47E03"/>
    <w:rsid w:val="00A50820"/>
    <w:rsid w:val="00A523BE"/>
    <w:rsid w:val="00A5323C"/>
    <w:rsid w:val="00A53253"/>
    <w:rsid w:val="00A54B5A"/>
    <w:rsid w:val="00A56705"/>
    <w:rsid w:val="00A56F43"/>
    <w:rsid w:val="00A6085C"/>
    <w:rsid w:val="00A60A66"/>
    <w:rsid w:val="00A62219"/>
    <w:rsid w:val="00A626E5"/>
    <w:rsid w:val="00A639E9"/>
    <w:rsid w:val="00A708F5"/>
    <w:rsid w:val="00A7129A"/>
    <w:rsid w:val="00A71D5F"/>
    <w:rsid w:val="00A7205B"/>
    <w:rsid w:val="00A73177"/>
    <w:rsid w:val="00A801B1"/>
    <w:rsid w:val="00A817BC"/>
    <w:rsid w:val="00A8355D"/>
    <w:rsid w:val="00A862C2"/>
    <w:rsid w:val="00A86661"/>
    <w:rsid w:val="00A86B7C"/>
    <w:rsid w:val="00A902A4"/>
    <w:rsid w:val="00A914A0"/>
    <w:rsid w:val="00A94871"/>
    <w:rsid w:val="00A979E3"/>
    <w:rsid w:val="00AA2044"/>
    <w:rsid w:val="00AA231C"/>
    <w:rsid w:val="00AA5E49"/>
    <w:rsid w:val="00AA75B0"/>
    <w:rsid w:val="00AB0190"/>
    <w:rsid w:val="00AB16D4"/>
    <w:rsid w:val="00AB1A71"/>
    <w:rsid w:val="00AB1B3D"/>
    <w:rsid w:val="00AB2792"/>
    <w:rsid w:val="00AB3185"/>
    <w:rsid w:val="00AB405A"/>
    <w:rsid w:val="00AB6522"/>
    <w:rsid w:val="00AB73F6"/>
    <w:rsid w:val="00AB7425"/>
    <w:rsid w:val="00AB7932"/>
    <w:rsid w:val="00AC3351"/>
    <w:rsid w:val="00AC42B1"/>
    <w:rsid w:val="00AC60CD"/>
    <w:rsid w:val="00AC63DF"/>
    <w:rsid w:val="00AC69A9"/>
    <w:rsid w:val="00AD222F"/>
    <w:rsid w:val="00AD235E"/>
    <w:rsid w:val="00AD32C5"/>
    <w:rsid w:val="00AD5A77"/>
    <w:rsid w:val="00AD5EDF"/>
    <w:rsid w:val="00AD7894"/>
    <w:rsid w:val="00AE181E"/>
    <w:rsid w:val="00AE2649"/>
    <w:rsid w:val="00AE31AC"/>
    <w:rsid w:val="00AE3F78"/>
    <w:rsid w:val="00AE64C1"/>
    <w:rsid w:val="00AE66E4"/>
    <w:rsid w:val="00AE6CD1"/>
    <w:rsid w:val="00AE7513"/>
    <w:rsid w:val="00AF034B"/>
    <w:rsid w:val="00AF192F"/>
    <w:rsid w:val="00AF2880"/>
    <w:rsid w:val="00AF4DF5"/>
    <w:rsid w:val="00AF6765"/>
    <w:rsid w:val="00AF677A"/>
    <w:rsid w:val="00B04A37"/>
    <w:rsid w:val="00B05007"/>
    <w:rsid w:val="00B134A5"/>
    <w:rsid w:val="00B14AA6"/>
    <w:rsid w:val="00B1538C"/>
    <w:rsid w:val="00B15E12"/>
    <w:rsid w:val="00B16A0C"/>
    <w:rsid w:val="00B22152"/>
    <w:rsid w:val="00B279CD"/>
    <w:rsid w:val="00B30286"/>
    <w:rsid w:val="00B3124D"/>
    <w:rsid w:val="00B33655"/>
    <w:rsid w:val="00B362DF"/>
    <w:rsid w:val="00B365B7"/>
    <w:rsid w:val="00B3766B"/>
    <w:rsid w:val="00B408EB"/>
    <w:rsid w:val="00B41317"/>
    <w:rsid w:val="00B4187C"/>
    <w:rsid w:val="00B4353C"/>
    <w:rsid w:val="00B441F4"/>
    <w:rsid w:val="00B479AA"/>
    <w:rsid w:val="00B47E50"/>
    <w:rsid w:val="00B5168A"/>
    <w:rsid w:val="00B522DA"/>
    <w:rsid w:val="00B5294C"/>
    <w:rsid w:val="00B531F2"/>
    <w:rsid w:val="00B5431B"/>
    <w:rsid w:val="00B54C1B"/>
    <w:rsid w:val="00B54C58"/>
    <w:rsid w:val="00B54EF9"/>
    <w:rsid w:val="00B55F67"/>
    <w:rsid w:val="00B615DA"/>
    <w:rsid w:val="00B655A0"/>
    <w:rsid w:val="00B65E16"/>
    <w:rsid w:val="00B66589"/>
    <w:rsid w:val="00B67D2F"/>
    <w:rsid w:val="00B70E1F"/>
    <w:rsid w:val="00B7136A"/>
    <w:rsid w:val="00B725A7"/>
    <w:rsid w:val="00B7313A"/>
    <w:rsid w:val="00B7372C"/>
    <w:rsid w:val="00B74417"/>
    <w:rsid w:val="00B7547E"/>
    <w:rsid w:val="00B80F99"/>
    <w:rsid w:val="00B817B8"/>
    <w:rsid w:val="00B830CA"/>
    <w:rsid w:val="00B914FA"/>
    <w:rsid w:val="00B9159E"/>
    <w:rsid w:val="00B91ED4"/>
    <w:rsid w:val="00B936A7"/>
    <w:rsid w:val="00B947F9"/>
    <w:rsid w:val="00B971ED"/>
    <w:rsid w:val="00B97C05"/>
    <w:rsid w:val="00BA0128"/>
    <w:rsid w:val="00BA21ED"/>
    <w:rsid w:val="00BA33CF"/>
    <w:rsid w:val="00BA3CCE"/>
    <w:rsid w:val="00BA5217"/>
    <w:rsid w:val="00BA66BE"/>
    <w:rsid w:val="00BA7ACF"/>
    <w:rsid w:val="00BB21C6"/>
    <w:rsid w:val="00BB2B00"/>
    <w:rsid w:val="00BB35C1"/>
    <w:rsid w:val="00BB361D"/>
    <w:rsid w:val="00BB52E8"/>
    <w:rsid w:val="00BC0994"/>
    <w:rsid w:val="00BC0FD1"/>
    <w:rsid w:val="00BC14D2"/>
    <w:rsid w:val="00BC2184"/>
    <w:rsid w:val="00BC2C17"/>
    <w:rsid w:val="00BC31C8"/>
    <w:rsid w:val="00BC4F2D"/>
    <w:rsid w:val="00BC62CB"/>
    <w:rsid w:val="00BC651C"/>
    <w:rsid w:val="00BD05D7"/>
    <w:rsid w:val="00BD07A4"/>
    <w:rsid w:val="00BD1AB1"/>
    <w:rsid w:val="00BD3E91"/>
    <w:rsid w:val="00BD4850"/>
    <w:rsid w:val="00BD5704"/>
    <w:rsid w:val="00BD5C0C"/>
    <w:rsid w:val="00BD6A0C"/>
    <w:rsid w:val="00BD7924"/>
    <w:rsid w:val="00BE0071"/>
    <w:rsid w:val="00BE29F7"/>
    <w:rsid w:val="00BE35DE"/>
    <w:rsid w:val="00BE3890"/>
    <w:rsid w:val="00BE43DB"/>
    <w:rsid w:val="00BE4EB8"/>
    <w:rsid w:val="00BE591C"/>
    <w:rsid w:val="00BE668D"/>
    <w:rsid w:val="00BF1ADF"/>
    <w:rsid w:val="00BF36B3"/>
    <w:rsid w:val="00BF79F8"/>
    <w:rsid w:val="00C01806"/>
    <w:rsid w:val="00C031E1"/>
    <w:rsid w:val="00C03CB3"/>
    <w:rsid w:val="00C04CA4"/>
    <w:rsid w:val="00C06A5F"/>
    <w:rsid w:val="00C10543"/>
    <w:rsid w:val="00C11925"/>
    <w:rsid w:val="00C14798"/>
    <w:rsid w:val="00C1519B"/>
    <w:rsid w:val="00C15385"/>
    <w:rsid w:val="00C154FC"/>
    <w:rsid w:val="00C15C97"/>
    <w:rsid w:val="00C16AF6"/>
    <w:rsid w:val="00C246B4"/>
    <w:rsid w:val="00C269C2"/>
    <w:rsid w:val="00C269D8"/>
    <w:rsid w:val="00C30647"/>
    <w:rsid w:val="00C328FC"/>
    <w:rsid w:val="00C338D9"/>
    <w:rsid w:val="00C35A24"/>
    <w:rsid w:val="00C35AC6"/>
    <w:rsid w:val="00C409EE"/>
    <w:rsid w:val="00C444F4"/>
    <w:rsid w:val="00C47EBC"/>
    <w:rsid w:val="00C47F32"/>
    <w:rsid w:val="00C516C5"/>
    <w:rsid w:val="00C51C2B"/>
    <w:rsid w:val="00C53F5E"/>
    <w:rsid w:val="00C553E2"/>
    <w:rsid w:val="00C564AF"/>
    <w:rsid w:val="00C57D23"/>
    <w:rsid w:val="00C60886"/>
    <w:rsid w:val="00C6148A"/>
    <w:rsid w:val="00C621D7"/>
    <w:rsid w:val="00C635E5"/>
    <w:rsid w:val="00C6493E"/>
    <w:rsid w:val="00C65DD5"/>
    <w:rsid w:val="00C713EC"/>
    <w:rsid w:val="00C731FD"/>
    <w:rsid w:val="00C73874"/>
    <w:rsid w:val="00C751FC"/>
    <w:rsid w:val="00C7575A"/>
    <w:rsid w:val="00C762D6"/>
    <w:rsid w:val="00C7697D"/>
    <w:rsid w:val="00C83595"/>
    <w:rsid w:val="00C850EF"/>
    <w:rsid w:val="00C8548A"/>
    <w:rsid w:val="00C86C58"/>
    <w:rsid w:val="00C90370"/>
    <w:rsid w:val="00C91635"/>
    <w:rsid w:val="00C91F28"/>
    <w:rsid w:val="00C93B0B"/>
    <w:rsid w:val="00C965B4"/>
    <w:rsid w:val="00C972E6"/>
    <w:rsid w:val="00C97EE2"/>
    <w:rsid w:val="00CA0816"/>
    <w:rsid w:val="00CA0AAC"/>
    <w:rsid w:val="00CA1D1A"/>
    <w:rsid w:val="00CA39B2"/>
    <w:rsid w:val="00CA557C"/>
    <w:rsid w:val="00CA633E"/>
    <w:rsid w:val="00CB05FB"/>
    <w:rsid w:val="00CB0C30"/>
    <w:rsid w:val="00CB5BDA"/>
    <w:rsid w:val="00CB5DB2"/>
    <w:rsid w:val="00CB6E18"/>
    <w:rsid w:val="00CB70C2"/>
    <w:rsid w:val="00CC3083"/>
    <w:rsid w:val="00CC4267"/>
    <w:rsid w:val="00CC529A"/>
    <w:rsid w:val="00CC765D"/>
    <w:rsid w:val="00CD1643"/>
    <w:rsid w:val="00CD18F9"/>
    <w:rsid w:val="00CD5B20"/>
    <w:rsid w:val="00CD707D"/>
    <w:rsid w:val="00CE1F6D"/>
    <w:rsid w:val="00CE2327"/>
    <w:rsid w:val="00CE2763"/>
    <w:rsid w:val="00CE3C9D"/>
    <w:rsid w:val="00CE3D2D"/>
    <w:rsid w:val="00CE5457"/>
    <w:rsid w:val="00CE5FBE"/>
    <w:rsid w:val="00CE610E"/>
    <w:rsid w:val="00CF06D0"/>
    <w:rsid w:val="00CF0E55"/>
    <w:rsid w:val="00CF2EF4"/>
    <w:rsid w:val="00CF3AA5"/>
    <w:rsid w:val="00CF3B7E"/>
    <w:rsid w:val="00CF42A3"/>
    <w:rsid w:val="00CF4C35"/>
    <w:rsid w:val="00CF5971"/>
    <w:rsid w:val="00CF5991"/>
    <w:rsid w:val="00D0117B"/>
    <w:rsid w:val="00D01B8C"/>
    <w:rsid w:val="00D02353"/>
    <w:rsid w:val="00D04392"/>
    <w:rsid w:val="00D1487B"/>
    <w:rsid w:val="00D15356"/>
    <w:rsid w:val="00D15AFF"/>
    <w:rsid w:val="00D1697B"/>
    <w:rsid w:val="00D20ADC"/>
    <w:rsid w:val="00D22D82"/>
    <w:rsid w:val="00D2560E"/>
    <w:rsid w:val="00D267AE"/>
    <w:rsid w:val="00D339CB"/>
    <w:rsid w:val="00D34424"/>
    <w:rsid w:val="00D35D55"/>
    <w:rsid w:val="00D3768C"/>
    <w:rsid w:val="00D37CF3"/>
    <w:rsid w:val="00D4144D"/>
    <w:rsid w:val="00D44677"/>
    <w:rsid w:val="00D4575C"/>
    <w:rsid w:val="00D45E59"/>
    <w:rsid w:val="00D47A06"/>
    <w:rsid w:val="00D54730"/>
    <w:rsid w:val="00D56EFC"/>
    <w:rsid w:val="00D572A9"/>
    <w:rsid w:val="00D615CD"/>
    <w:rsid w:val="00D61DF7"/>
    <w:rsid w:val="00D65CFD"/>
    <w:rsid w:val="00D70E3A"/>
    <w:rsid w:val="00D71B87"/>
    <w:rsid w:val="00D72015"/>
    <w:rsid w:val="00D72051"/>
    <w:rsid w:val="00D75A07"/>
    <w:rsid w:val="00D76C04"/>
    <w:rsid w:val="00D77C19"/>
    <w:rsid w:val="00D81A95"/>
    <w:rsid w:val="00D8285F"/>
    <w:rsid w:val="00D82BCC"/>
    <w:rsid w:val="00D84A9F"/>
    <w:rsid w:val="00D85220"/>
    <w:rsid w:val="00D85F87"/>
    <w:rsid w:val="00D87E68"/>
    <w:rsid w:val="00D90272"/>
    <w:rsid w:val="00D90C3D"/>
    <w:rsid w:val="00D9445F"/>
    <w:rsid w:val="00D944A1"/>
    <w:rsid w:val="00D94770"/>
    <w:rsid w:val="00D94B66"/>
    <w:rsid w:val="00D94CD9"/>
    <w:rsid w:val="00D96FD0"/>
    <w:rsid w:val="00DA1765"/>
    <w:rsid w:val="00DA1F5C"/>
    <w:rsid w:val="00DA22F3"/>
    <w:rsid w:val="00DA2FF6"/>
    <w:rsid w:val="00DA3275"/>
    <w:rsid w:val="00DA6460"/>
    <w:rsid w:val="00DA69F5"/>
    <w:rsid w:val="00DB01E6"/>
    <w:rsid w:val="00DB1EB1"/>
    <w:rsid w:val="00DB2452"/>
    <w:rsid w:val="00DB2A03"/>
    <w:rsid w:val="00DB4FC8"/>
    <w:rsid w:val="00DC47DB"/>
    <w:rsid w:val="00DC5DA7"/>
    <w:rsid w:val="00DD0A41"/>
    <w:rsid w:val="00DD3770"/>
    <w:rsid w:val="00DD38AA"/>
    <w:rsid w:val="00DD569C"/>
    <w:rsid w:val="00DD681D"/>
    <w:rsid w:val="00DD6896"/>
    <w:rsid w:val="00DE04BE"/>
    <w:rsid w:val="00DE09AC"/>
    <w:rsid w:val="00DE116F"/>
    <w:rsid w:val="00DE5AF4"/>
    <w:rsid w:val="00DE6DF6"/>
    <w:rsid w:val="00DF02D8"/>
    <w:rsid w:val="00DF1881"/>
    <w:rsid w:val="00DF2F45"/>
    <w:rsid w:val="00DF340E"/>
    <w:rsid w:val="00DF388E"/>
    <w:rsid w:val="00DF43C5"/>
    <w:rsid w:val="00DF63DC"/>
    <w:rsid w:val="00E05C11"/>
    <w:rsid w:val="00E07FBF"/>
    <w:rsid w:val="00E11927"/>
    <w:rsid w:val="00E119CA"/>
    <w:rsid w:val="00E150E9"/>
    <w:rsid w:val="00E15BB2"/>
    <w:rsid w:val="00E171CF"/>
    <w:rsid w:val="00E22989"/>
    <w:rsid w:val="00E2482D"/>
    <w:rsid w:val="00E25713"/>
    <w:rsid w:val="00E305B4"/>
    <w:rsid w:val="00E31A9D"/>
    <w:rsid w:val="00E31FAE"/>
    <w:rsid w:val="00E32404"/>
    <w:rsid w:val="00E335B8"/>
    <w:rsid w:val="00E3465B"/>
    <w:rsid w:val="00E34DB3"/>
    <w:rsid w:val="00E358F8"/>
    <w:rsid w:val="00E40FBF"/>
    <w:rsid w:val="00E423A3"/>
    <w:rsid w:val="00E4247C"/>
    <w:rsid w:val="00E431AE"/>
    <w:rsid w:val="00E43A18"/>
    <w:rsid w:val="00E44EC0"/>
    <w:rsid w:val="00E45CCF"/>
    <w:rsid w:val="00E46779"/>
    <w:rsid w:val="00E5151D"/>
    <w:rsid w:val="00E539A2"/>
    <w:rsid w:val="00E55BB9"/>
    <w:rsid w:val="00E560D8"/>
    <w:rsid w:val="00E60158"/>
    <w:rsid w:val="00E60281"/>
    <w:rsid w:val="00E6191C"/>
    <w:rsid w:val="00E633D3"/>
    <w:rsid w:val="00E639A4"/>
    <w:rsid w:val="00E67052"/>
    <w:rsid w:val="00E67EF8"/>
    <w:rsid w:val="00E71DA4"/>
    <w:rsid w:val="00E7631C"/>
    <w:rsid w:val="00E770E5"/>
    <w:rsid w:val="00E77A9C"/>
    <w:rsid w:val="00E84021"/>
    <w:rsid w:val="00E85412"/>
    <w:rsid w:val="00E85E59"/>
    <w:rsid w:val="00E85FE2"/>
    <w:rsid w:val="00E864E7"/>
    <w:rsid w:val="00E86725"/>
    <w:rsid w:val="00E86EBB"/>
    <w:rsid w:val="00E86FBA"/>
    <w:rsid w:val="00E878D5"/>
    <w:rsid w:val="00E91D12"/>
    <w:rsid w:val="00E95446"/>
    <w:rsid w:val="00E95547"/>
    <w:rsid w:val="00E95D78"/>
    <w:rsid w:val="00EA2345"/>
    <w:rsid w:val="00EA37CF"/>
    <w:rsid w:val="00EA3A43"/>
    <w:rsid w:val="00EA79DE"/>
    <w:rsid w:val="00EB05B3"/>
    <w:rsid w:val="00EB2F44"/>
    <w:rsid w:val="00EB3427"/>
    <w:rsid w:val="00EB3A88"/>
    <w:rsid w:val="00EB66FF"/>
    <w:rsid w:val="00EB78D9"/>
    <w:rsid w:val="00EC16E7"/>
    <w:rsid w:val="00EC199F"/>
    <w:rsid w:val="00EC2E68"/>
    <w:rsid w:val="00EC456D"/>
    <w:rsid w:val="00EC45A0"/>
    <w:rsid w:val="00EC682B"/>
    <w:rsid w:val="00EC6FD0"/>
    <w:rsid w:val="00ED01B7"/>
    <w:rsid w:val="00ED5333"/>
    <w:rsid w:val="00ED6E61"/>
    <w:rsid w:val="00EE04FF"/>
    <w:rsid w:val="00EE0C74"/>
    <w:rsid w:val="00EE53CB"/>
    <w:rsid w:val="00EE7406"/>
    <w:rsid w:val="00EF1F27"/>
    <w:rsid w:val="00EF40B0"/>
    <w:rsid w:val="00EF645F"/>
    <w:rsid w:val="00EF6A25"/>
    <w:rsid w:val="00EF7EDD"/>
    <w:rsid w:val="00F101ED"/>
    <w:rsid w:val="00F13365"/>
    <w:rsid w:val="00F13A73"/>
    <w:rsid w:val="00F1424D"/>
    <w:rsid w:val="00F15F4A"/>
    <w:rsid w:val="00F16159"/>
    <w:rsid w:val="00F17DBD"/>
    <w:rsid w:val="00F2015B"/>
    <w:rsid w:val="00F22458"/>
    <w:rsid w:val="00F25502"/>
    <w:rsid w:val="00F25BAE"/>
    <w:rsid w:val="00F260B1"/>
    <w:rsid w:val="00F2654D"/>
    <w:rsid w:val="00F305C7"/>
    <w:rsid w:val="00F320F4"/>
    <w:rsid w:val="00F3310A"/>
    <w:rsid w:val="00F34DDD"/>
    <w:rsid w:val="00F35A02"/>
    <w:rsid w:val="00F35E7E"/>
    <w:rsid w:val="00F419ED"/>
    <w:rsid w:val="00F422ED"/>
    <w:rsid w:val="00F42D6F"/>
    <w:rsid w:val="00F45A34"/>
    <w:rsid w:val="00F46651"/>
    <w:rsid w:val="00F520D6"/>
    <w:rsid w:val="00F63996"/>
    <w:rsid w:val="00F6436F"/>
    <w:rsid w:val="00F6477C"/>
    <w:rsid w:val="00F66145"/>
    <w:rsid w:val="00F72E35"/>
    <w:rsid w:val="00F733B1"/>
    <w:rsid w:val="00F73CFB"/>
    <w:rsid w:val="00F80808"/>
    <w:rsid w:val="00F8378A"/>
    <w:rsid w:val="00F83B41"/>
    <w:rsid w:val="00F83BA2"/>
    <w:rsid w:val="00F84B4D"/>
    <w:rsid w:val="00F90623"/>
    <w:rsid w:val="00F92EC2"/>
    <w:rsid w:val="00F939E9"/>
    <w:rsid w:val="00F9411E"/>
    <w:rsid w:val="00F944FA"/>
    <w:rsid w:val="00F945B2"/>
    <w:rsid w:val="00F94A71"/>
    <w:rsid w:val="00F95016"/>
    <w:rsid w:val="00F950B2"/>
    <w:rsid w:val="00F95978"/>
    <w:rsid w:val="00F96DD1"/>
    <w:rsid w:val="00FA3FE2"/>
    <w:rsid w:val="00FA42C9"/>
    <w:rsid w:val="00FB00DD"/>
    <w:rsid w:val="00FB09CA"/>
    <w:rsid w:val="00FB316B"/>
    <w:rsid w:val="00FB4A5E"/>
    <w:rsid w:val="00FB6BBE"/>
    <w:rsid w:val="00FB6D51"/>
    <w:rsid w:val="00FB76BE"/>
    <w:rsid w:val="00FB7D5B"/>
    <w:rsid w:val="00FC086A"/>
    <w:rsid w:val="00FC18A9"/>
    <w:rsid w:val="00FC1BF5"/>
    <w:rsid w:val="00FC1CD7"/>
    <w:rsid w:val="00FC1F7F"/>
    <w:rsid w:val="00FC46AF"/>
    <w:rsid w:val="00FC4727"/>
    <w:rsid w:val="00FC4A4E"/>
    <w:rsid w:val="00FC5E28"/>
    <w:rsid w:val="00FC7031"/>
    <w:rsid w:val="00FC7358"/>
    <w:rsid w:val="00FD1017"/>
    <w:rsid w:val="00FD2F2A"/>
    <w:rsid w:val="00FD3CD0"/>
    <w:rsid w:val="00FD7EE6"/>
    <w:rsid w:val="00FE0A64"/>
    <w:rsid w:val="00FE2732"/>
    <w:rsid w:val="00FE6F25"/>
    <w:rsid w:val="00FE715B"/>
    <w:rsid w:val="00FE7652"/>
    <w:rsid w:val="00FF16C2"/>
    <w:rsid w:val="00FF34FE"/>
    <w:rsid w:val="00FF3A6B"/>
    <w:rsid w:val="00FF6A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B2"/>
    <w:rPr>
      <w:lang w:val="pt-PT"/>
    </w:rPr>
  </w:style>
  <w:style w:type="paragraph" w:styleId="Ttulo1">
    <w:name w:val="heading 1"/>
    <w:basedOn w:val="Normal"/>
    <w:link w:val="Ttulo1Car"/>
    <w:uiPriority w:val="1"/>
    <w:qFormat/>
    <w:rsid w:val="00E633D3"/>
    <w:pPr>
      <w:spacing w:before="100" w:beforeAutospacing="1" w:after="100" w:afterAutospacing="1" w:line="240" w:lineRule="auto"/>
      <w:outlineLvl w:val="0"/>
    </w:pPr>
    <w:rPr>
      <w:rFonts w:ascii="Arial" w:eastAsia="Times New Roman" w:hAnsi="Arial" w:cs="Times New Roman"/>
      <w:b/>
      <w:bCs/>
      <w:kern w:val="36"/>
      <w:sz w:val="24"/>
      <w:szCs w:val="48"/>
      <w:lang w:val="es-VE" w:eastAsia="es-VE"/>
    </w:rPr>
  </w:style>
  <w:style w:type="paragraph" w:styleId="Ttulo2">
    <w:name w:val="heading 2"/>
    <w:basedOn w:val="Normal"/>
    <w:next w:val="Normal"/>
    <w:link w:val="Ttulo2Car"/>
    <w:uiPriority w:val="1"/>
    <w:unhideWhenUsed/>
    <w:qFormat/>
    <w:rsid w:val="006466A5"/>
    <w:pPr>
      <w:keepNext/>
      <w:keepLines/>
      <w:spacing w:before="440" w:after="240" w:line="240" w:lineRule="auto"/>
      <w:outlineLvl w:val="1"/>
    </w:pPr>
    <w:rPr>
      <w:rFonts w:ascii="Arial" w:eastAsiaTheme="majorEastAsia" w:hAnsi="Arial" w:cstheme="majorBidi"/>
      <w:b/>
      <w:bCs/>
      <w:szCs w:val="26"/>
    </w:rPr>
  </w:style>
  <w:style w:type="paragraph" w:styleId="Ttulo3">
    <w:name w:val="heading 3"/>
    <w:basedOn w:val="Normal"/>
    <w:next w:val="Normal"/>
    <w:link w:val="Ttulo3Car"/>
    <w:uiPriority w:val="1"/>
    <w:unhideWhenUsed/>
    <w:qFormat/>
    <w:rsid w:val="00F63996"/>
    <w:pPr>
      <w:keepNext/>
      <w:keepLines/>
      <w:spacing w:before="320" w:after="120" w:line="360" w:lineRule="auto"/>
      <w:outlineLvl w:val="2"/>
    </w:pPr>
    <w:rPr>
      <w:rFonts w:ascii="Arial" w:eastAsiaTheme="majorEastAsia" w:hAnsi="Arial" w:cstheme="majorBidi"/>
      <w:b/>
      <w:bCs/>
    </w:rPr>
  </w:style>
  <w:style w:type="paragraph" w:styleId="Ttulo4">
    <w:name w:val="heading 4"/>
    <w:basedOn w:val="Normal"/>
    <w:next w:val="Normal"/>
    <w:link w:val="Ttulo4Car"/>
    <w:uiPriority w:val="1"/>
    <w:unhideWhenUsed/>
    <w:qFormat/>
    <w:rsid w:val="00684945"/>
    <w:pPr>
      <w:keepNext/>
      <w:keepLines/>
      <w:spacing w:before="200" w:after="0" w:line="360" w:lineRule="auto"/>
      <w:outlineLvl w:val="3"/>
    </w:pPr>
    <w:rPr>
      <w:rFonts w:ascii="Arial" w:eastAsiaTheme="majorEastAsia" w:hAnsi="Arial" w:cstheme="majorBidi"/>
      <w:b/>
      <w:bCs/>
      <w:i/>
      <w:iCs/>
      <w:sz w:val="20"/>
    </w:rPr>
  </w:style>
  <w:style w:type="paragraph" w:styleId="Ttulo5">
    <w:name w:val="heading 5"/>
    <w:basedOn w:val="Normal"/>
    <w:link w:val="Ttulo5Car"/>
    <w:uiPriority w:val="1"/>
    <w:qFormat/>
    <w:rsid w:val="00496CB2"/>
    <w:pPr>
      <w:widowControl w:val="0"/>
      <w:spacing w:after="0" w:line="240" w:lineRule="auto"/>
      <w:ind w:left="2101"/>
      <w:outlineLvl w:val="4"/>
    </w:pPr>
    <w:rPr>
      <w:rFonts w:ascii="Century Gothic" w:eastAsia="Century Gothic" w:hAnsi="Century Gothic"/>
      <w:b/>
      <w:bCs/>
      <w:lang w:val="en-US"/>
    </w:rPr>
  </w:style>
  <w:style w:type="paragraph" w:styleId="Ttulo6">
    <w:name w:val="heading 6"/>
    <w:basedOn w:val="Normal"/>
    <w:next w:val="Normal"/>
    <w:link w:val="Ttulo6Car"/>
    <w:uiPriority w:val="1"/>
    <w:unhideWhenUsed/>
    <w:qFormat/>
    <w:rsid w:val="002B21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link w:val="Ttulo7Car"/>
    <w:uiPriority w:val="1"/>
    <w:qFormat/>
    <w:rsid w:val="00496CB2"/>
    <w:pPr>
      <w:widowControl w:val="0"/>
      <w:spacing w:after="0" w:line="240" w:lineRule="auto"/>
      <w:ind w:left="2821"/>
      <w:outlineLvl w:val="6"/>
    </w:pPr>
    <w:rPr>
      <w:rFonts w:ascii="Century Gothic" w:eastAsia="Century Gothic" w:hAnsi="Century Gothic"/>
      <w:i/>
      <w:lang w:val="en-US"/>
    </w:rPr>
  </w:style>
  <w:style w:type="paragraph" w:styleId="Ttulo8">
    <w:name w:val="heading 8"/>
    <w:basedOn w:val="Normal"/>
    <w:link w:val="Ttulo8Car"/>
    <w:uiPriority w:val="1"/>
    <w:qFormat/>
    <w:rsid w:val="00496CB2"/>
    <w:pPr>
      <w:widowControl w:val="0"/>
      <w:spacing w:after="0" w:line="240" w:lineRule="auto"/>
      <w:ind w:left="1800"/>
      <w:outlineLvl w:val="7"/>
    </w:pPr>
    <w:rPr>
      <w:rFonts w:ascii="Century Gothic" w:eastAsia="Century Gothic" w:hAnsi="Century Gothic"/>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633D3"/>
    <w:rPr>
      <w:rFonts w:ascii="Arial" w:eastAsia="Times New Roman" w:hAnsi="Arial" w:cs="Times New Roman"/>
      <w:b/>
      <w:bCs/>
      <w:kern w:val="36"/>
      <w:sz w:val="24"/>
      <w:szCs w:val="48"/>
      <w:lang w:val="es-VE" w:eastAsia="es-VE"/>
    </w:rPr>
  </w:style>
  <w:style w:type="character" w:styleId="Hipervnculo">
    <w:name w:val="Hyperlink"/>
    <w:basedOn w:val="Fuentedeprrafopredeter"/>
    <w:uiPriority w:val="99"/>
    <w:unhideWhenUsed/>
    <w:rsid w:val="00CA39B2"/>
    <w:rPr>
      <w:color w:val="0000FF" w:themeColor="hyperlink"/>
      <w:u w:val="single"/>
    </w:rPr>
  </w:style>
  <w:style w:type="paragraph" w:styleId="NormalWeb">
    <w:name w:val="Normal (Web)"/>
    <w:basedOn w:val="Normal"/>
    <w:uiPriority w:val="99"/>
    <w:unhideWhenUsed/>
    <w:rsid w:val="00CA39B2"/>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CA3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9B2"/>
    <w:rPr>
      <w:rFonts w:eastAsia="MS Mincho"/>
      <w:sz w:val="20"/>
      <w:szCs w:val="20"/>
    </w:rPr>
  </w:style>
  <w:style w:type="character" w:customStyle="1" w:styleId="EncabezadoCar">
    <w:name w:val="Encabezado Car"/>
    <w:basedOn w:val="Fuentedeprrafopredeter"/>
    <w:link w:val="Encabezado"/>
    <w:uiPriority w:val="99"/>
    <w:rsid w:val="00CA39B2"/>
    <w:rPr>
      <w:rFonts w:eastAsia="MS Mincho"/>
    </w:rPr>
  </w:style>
  <w:style w:type="paragraph" w:styleId="Encabezado">
    <w:name w:val="header"/>
    <w:basedOn w:val="Normal"/>
    <w:link w:val="EncabezadoCar"/>
    <w:uiPriority w:val="99"/>
    <w:unhideWhenUsed/>
    <w:rsid w:val="00CA3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9B2"/>
    <w:rPr>
      <w:rFonts w:eastAsia="MS Mincho"/>
    </w:rPr>
  </w:style>
  <w:style w:type="paragraph" w:styleId="Piedepgina">
    <w:name w:val="footer"/>
    <w:basedOn w:val="Normal"/>
    <w:link w:val="PiedepginaCar"/>
    <w:uiPriority w:val="99"/>
    <w:unhideWhenUsed/>
    <w:rsid w:val="00CA39B2"/>
    <w:pPr>
      <w:tabs>
        <w:tab w:val="center" w:pos="4419"/>
        <w:tab w:val="right" w:pos="8838"/>
      </w:tabs>
      <w:spacing w:after="0" w:line="240" w:lineRule="auto"/>
    </w:pPr>
  </w:style>
  <w:style w:type="paragraph" w:styleId="Textonotaalfinal">
    <w:name w:val="endnote text"/>
    <w:basedOn w:val="Normal"/>
    <w:link w:val="TextonotaalfinalCar"/>
    <w:uiPriority w:val="99"/>
    <w:semiHidden/>
    <w:unhideWhenUsed/>
    <w:rsid w:val="00CA39B2"/>
    <w:pPr>
      <w:suppressAutoHyphens/>
      <w:jc w:val="both"/>
    </w:pPr>
    <w:rPr>
      <w:rFonts w:ascii="Calibri" w:eastAsia="Calibri" w:hAnsi="Calibri" w:cs="Calibri"/>
      <w:sz w:val="20"/>
      <w:szCs w:val="20"/>
      <w:lang w:val="es-ES" w:eastAsia="zh-CN"/>
    </w:rPr>
  </w:style>
  <w:style w:type="character" w:customStyle="1" w:styleId="TextonotaalfinalCar">
    <w:name w:val="Texto nota al final Car"/>
    <w:basedOn w:val="Fuentedeprrafopredeter"/>
    <w:link w:val="Textonotaalfinal"/>
    <w:uiPriority w:val="99"/>
    <w:semiHidden/>
    <w:rsid w:val="00CA39B2"/>
    <w:rPr>
      <w:rFonts w:ascii="Calibri" w:eastAsia="Calibri" w:hAnsi="Calibri" w:cs="Calibri"/>
      <w:sz w:val="20"/>
      <w:szCs w:val="20"/>
      <w:lang w:val="es-ES" w:eastAsia="zh-CN"/>
    </w:rPr>
  </w:style>
  <w:style w:type="paragraph" w:styleId="Textoindependiente">
    <w:name w:val="Body Text"/>
    <w:basedOn w:val="Normal"/>
    <w:link w:val="TextoindependienteCar"/>
    <w:uiPriority w:val="1"/>
    <w:unhideWhenUsed/>
    <w:qFormat/>
    <w:rsid w:val="00CA39B2"/>
    <w:pPr>
      <w:tabs>
        <w:tab w:val="left" w:pos="708"/>
      </w:tabs>
      <w:suppressAutoHyphens/>
      <w:spacing w:after="120"/>
    </w:pPr>
    <w:rPr>
      <w:rFonts w:ascii="Calibri" w:eastAsia="SimSun" w:hAnsi="Calibri" w:cs="Calibri"/>
      <w:color w:val="00000A"/>
      <w:kern w:val="2"/>
      <w:lang w:eastAsia="zh-CN"/>
    </w:rPr>
  </w:style>
  <w:style w:type="character" w:customStyle="1" w:styleId="TextoindependienteCar">
    <w:name w:val="Texto independiente Car"/>
    <w:basedOn w:val="Fuentedeprrafopredeter"/>
    <w:link w:val="Textoindependiente"/>
    <w:uiPriority w:val="1"/>
    <w:rsid w:val="00CA39B2"/>
    <w:rPr>
      <w:rFonts w:ascii="Calibri" w:eastAsia="SimSun" w:hAnsi="Calibri" w:cs="Calibri"/>
      <w:color w:val="00000A"/>
      <w:kern w:val="2"/>
      <w:lang w:eastAsia="zh-CN"/>
    </w:rPr>
  </w:style>
  <w:style w:type="character" w:customStyle="1" w:styleId="AsuntodelcomentarioCar">
    <w:name w:val="Asunto del comentario Car"/>
    <w:basedOn w:val="TextocomentarioCar"/>
    <w:link w:val="Asuntodelcomentario"/>
    <w:uiPriority w:val="99"/>
    <w:semiHidden/>
    <w:rsid w:val="00CA39B2"/>
    <w:rPr>
      <w:rFonts w:eastAsia="MS Mincho"/>
      <w:b/>
      <w:bCs/>
      <w:sz w:val="20"/>
      <w:szCs w:val="20"/>
    </w:rPr>
  </w:style>
  <w:style w:type="paragraph" w:styleId="Asuntodelcomentario">
    <w:name w:val="annotation subject"/>
    <w:basedOn w:val="Textocomentario"/>
    <w:next w:val="Textocomentario"/>
    <w:link w:val="AsuntodelcomentarioCar"/>
    <w:uiPriority w:val="99"/>
    <w:semiHidden/>
    <w:unhideWhenUsed/>
    <w:rsid w:val="00CA39B2"/>
    <w:rPr>
      <w:b/>
      <w:bCs/>
    </w:rPr>
  </w:style>
  <w:style w:type="paragraph" w:styleId="Textodeglobo">
    <w:name w:val="Balloon Text"/>
    <w:basedOn w:val="Normal"/>
    <w:link w:val="TextodegloboCar"/>
    <w:uiPriority w:val="99"/>
    <w:semiHidden/>
    <w:unhideWhenUsed/>
    <w:rsid w:val="00CA3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9B2"/>
    <w:rPr>
      <w:rFonts w:ascii="Tahoma" w:eastAsia="MS Mincho" w:hAnsi="Tahoma" w:cs="Tahoma"/>
      <w:sz w:val="16"/>
      <w:szCs w:val="16"/>
    </w:rPr>
  </w:style>
  <w:style w:type="paragraph" w:customStyle="1" w:styleId="Predeterminado">
    <w:name w:val="Predeterminado"/>
    <w:uiPriority w:val="99"/>
    <w:semiHidden/>
    <w:rsid w:val="00CA39B2"/>
    <w:pPr>
      <w:tabs>
        <w:tab w:val="left" w:pos="708"/>
      </w:tabs>
      <w:suppressAutoHyphens/>
    </w:pPr>
    <w:rPr>
      <w:rFonts w:ascii="Calibri" w:eastAsia="SimSun" w:hAnsi="Calibri" w:cs="Calibri"/>
      <w:color w:val="00000A"/>
    </w:rPr>
  </w:style>
  <w:style w:type="paragraph" w:customStyle="1" w:styleId="Default">
    <w:name w:val="Default"/>
    <w:rsid w:val="00CA39B2"/>
    <w:pPr>
      <w:autoSpaceDE w:val="0"/>
      <w:autoSpaceDN w:val="0"/>
      <w:adjustRightInd w:val="0"/>
      <w:spacing w:after="0" w:line="240" w:lineRule="auto"/>
    </w:pPr>
    <w:rPr>
      <w:rFonts w:ascii="Times New Roman" w:eastAsia="Times New Roman" w:hAnsi="Times New Roman" w:cs="Times New Roman"/>
      <w:color w:val="000000"/>
      <w:sz w:val="24"/>
      <w:szCs w:val="24"/>
      <w:lang w:val="es-VE" w:eastAsia="es-VE"/>
    </w:rPr>
  </w:style>
  <w:style w:type="paragraph" w:customStyle="1" w:styleId="estilo25">
    <w:name w:val="estilo25"/>
    <w:basedOn w:val="Normal"/>
    <w:uiPriority w:val="99"/>
    <w:semiHidden/>
    <w:rsid w:val="00CA39B2"/>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customStyle="1" w:styleId="Prrafodelista1">
    <w:name w:val="Párrafo de lista1"/>
    <w:basedOn w:val="Normal"/>
    <w:uiPriority w:val="99"/>
    <w:semiHidden/>
    <w:rsid w:val="00CA39B2"/>
    <w:pPr>
      <w:tabs>
        <w:tab w:val="left" w:pos="708"/>
      </w:tabs>
      <w:suppressAutoHyphens/>
    </w:pPr>
    <w:rPr>
      <w:rFonts w:ascii="Calibri" w:eastAsia="SimSun" w:hAnsi="Calibri" w:cs="Calibri"/>
      <w:color w:val="00000A"/>
      <w:kern w:val="2"/>
      <w:lang w:eastAsia="zh-CN"/>
    </w:rPr>
  </w:style>
  <w:style w:type="paragraph" w:customStyle="1" w:styleId="Cuerpo">
    <w:name w:val="Cuerpo"/>
    <w:uiPriority w:val="99"/>
    <w:semiHidden/>
    <w:rsid w:val="00CA39B2"/>
    <w:pPr>
      <w:spacing w:after="0" w:line="240" w:lineRule="auto"/>
    </w:pPr>
    <w:rPr>
      <w:rFonts w:ascii="Helvetica" w:eastAsia="Arial Unicode MS" w:hAnsi="Arial Unicode MS" w:cs="Arial Unicode MS"/>
      <w:color w:val="000000"/>
      <w:lang w:val="es-ES_tradnl" w:eastAsia="es-MX"/>
    </w:rPr>
  </w:style>
  <w:style w:type="paragraph" w:customStyle="1" w:styleId="ListParagraph1">
    <w:name w:val="List Paragraph1"/>
    <w:basedOn w:val="Normal"/>
    <w:uiPriority w:val="99"/>
    <w:semiHidden/>
    <w:rsid w:val="00CA39B2"/>
    <w:pPr>
      <w:ind w:left="720"/>
    </w:pPr>
    <w:rPr>
      <w:rFonts w:ascii="Calibri" w:eastAsia="Times New Roman" w:hAnsi="Calibri" w:cs="Times New Roman"/>
      <w:sz w:val="20"/>
      <w:szCs w:val="20"/>
      <w:lang w:val="en-US" w:eastAsia="es-ES"/>
    </w:rPr>
  </w:style>
  <w:style w:type="paragraph" w:customStyle="1" w:styleId="Listamulticolor-nfasis1">
    <w:name w:val="Lista multicolor - Énfasis 1"/>
    <w:basedOn w:val="Normal"/>
    <w:uiPriority w:val="99"/>
    <w:semiHidden/>
    <w:rsid w:val="00CA39B2"/>
    <w:pPr>
      <w:ind w:left="720"/>
    </w:pPr>
    <w:rPr>
      <w:rFonts w:ascii="Calibri" w:eastAsia="Times New Roman" w:hAnsi="Calibri" w:cs="Calibri"/>
    </w:rPr>
  </w:style>
  <w:style w:type="paragraph" w:customStyle="1" w:styleId="Standard">
    <w:name w:val="Standard"/>
    <w:uiPriority w:val="99"/>
    <w:semiHidden/>
    <w:rsid w:val="00CA39B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
    <w:name w:val="p"/>
    <w:basedOn w:val="Normal"/>
    <w:uiPriority w:val="99"/>
    <w:semiHidden/>
    <w:rsid w:val="00CA39B2"/>
    <w:pPr>
      <w:spacing w:before="100" w:beforeAutospacing="1" w:after="0" w:line="240" w:lineRule="auto"/>
    </w:pPr>
    <w:rPr>
      <w:rFonts w:ascii="Times New Roman" w:eastAsia="Times New Roman" w:hAnsi="Times New Roman" w:cs="Times New Roman"/>
      <w:sz w:val="24"/>
      <w:szCs w:val="24"/>
      <w:lang w:eastAsia="es-PE"/>
    </w:rPr>
  </w:style>
  <w:style w:type="paragraph" w:customStyle="1" w:styleId="q">
    <w:name w:val="q"/>
    <w:basedOn w:val="Normal"/>
    <w:uiPriority w:val="99"/>
    <w:semiHidden/>
    <w:rsid w:val="00CA39B2"/>
    <w:pPr>
      <w:spacing w:before="100" w:beforeAutospacing="1" w:after="0" w:line="240" w:lineRule="auto"/>
      <w:ind w:left="480"/>
    </w:pPr>
    <w:rPr>
      <w:rFonts w:ascii="Times New Roman" w:eastAsia="Times New Roman" w:hAnsi="Times New Roman" w:cs="Times New Roman"/>
      <w:sz w:val="24"/>
      <w:szCs w:val="24"/>
      <w:lang w:eastAsia="es-PE"/>
    </w:rPr>
  </w:style>
  <w:style w:type="character" w:styleId="Refdenotaalpie">
    <w:name w:val="footnote reference"/>
    <w:aliases w:val="normal,Footnote text,16 Point,Superscript 6 Point,Footnotes refss,Texto de nota al pie,Appel note de bas de page,BVI fnr,CVR Ref. de nota al pie,referencia nota al pie,Footnote number,f,4_G,Footnote Reference Char3"/>
    <w:basedOn w:val="Fuentedeprrafopredeter"/>
    <w:uiPriority w:val="99"/>
    <w:unhideWhenUsed/>
    <w:rsid w:val="00CA39B2"/>
    <w:rPr>
      <w:vertAlign w:val="superscript"/>
    </w:rPr>
  </w:style>
  <w:style w:type="character" w:styleId="Refdecomentario">
    <w:name w:val="annotation reference"/>
    <w:basedOn w:val="Fuentedeprrafopredeter"/>
    <w:uiPriority w:val="99"/>
    <w:semiHidden/>
    <w:unhideWhenUsed/>
    <w:rsid w:val="00CA39B2"/>
    <w:rPr>
      <w:sz w:val="16"/>
      <w:szCs w:val="16"/>
    </w:rPr>
  </w:style>
  <w:style w:type="character" w:customStyle="1" w:styleId="Ancladenotaalpie">
    <w:name w:val="Ancla de nota al pie"/>
    <w:rsid w:val="00CA39B2"/>
    <w:rPr>
      <w:vertAlign w:val="superscript"/>
    </w:rPr>
  </w:style>
  <w:style w:type="paragraph" w:styleId="Textonotapie">
    <w:name w:val="footnote text"/>
    <w:aliases w:val="Footnote Text Char Char Char Char Char,Footnote Text Char Char Char Char,footnote text,FA Fu,Footnote reference,Footnote Text Char Char Char,Footnote Text Cha,FA Fußnotentext,FA Fuﬂnotentext,Footnote Text Char Char,Car"/>
    <w:basedOn w:val="Predeterminado"/>
    <w:link w:val="TextonotapieCar"/>
    <w:uiPriority w:val="99"/>
    <w:unhideWhenUsed/>
    <w:rsid w:val="00CA39B2"/>
    <w:pPr>
      <w:spacing w:after="0" w:line="100" w:lineRule="atLeast"/>
    </w:pPr>
    <w:rPr>
      <w:sz w:val="20"/>
      <w:szCs w:val="20"/>
    </w:rPr>
  </w:style>
  <w:style w:type="character" w:customStyle="1" w:styleId="TextonotapieCar">
    <w:name w:val="Texto nota pie Car"/>
    <w:aliases w:val="Footnote Text Char Char Char Char Char Car,Footnote Text Char Char Char Char Car,footnote text Car,FA Fu Car,Footnote reference Car,Footnote Text Char Char Char Car,Footnote Text Cha Car,FA Fußnotentext Car,FA Fuﬂnotentext Car,Car Car"/>
    <w:basedOn w:val="Fuentedeprrafopredeter"/>
    <w:link w:val="Textonotapie"/>
    <w:uiPriority w:val="99"/>
    <w:rsid w:val="00CA39B2"/>
    <w:rPr>
      <w:rFonts w:ascii="Calibri" w:eastAsia="SimSun" w:hAnsi="Calibri" w:cs="Calibri"/>
      <w:color w:val="00000A"/>
      <w:sz w:val="20"/>
      <w:szCs w:val="20"/>
    </w:rPr>
  </w:style>
  <w:style w:type="paragraph" w:styleId="Prrafodelista">
    <w:name w:val="List Paragraph"/>
    <w:basedOn w:val="Predeterminado"/>
    <w:link w:val="PrrafodelistaCar"/>
    <w:uiPriority w:val="1"/>
    <w:qFormat/>
    <w:rsid w:val="00CA39B2"/>
    <w:pPr>
      <w:ind w:left="720"/>
    </w:pPr>
  </w:style>
  <w:style w:type="character" w:customStyle="1" w:styleId="PrrafodelistaCar">
    <w:name w:val="Párrafo de lista Car"/>
    <w:basedOn w:val="Fuentedeprrafopredeter"/>
    <w:link w:val="Prrafodelista"/>
    <w:uiPriority w:val="1"/>
    <w:locked/>
    <w:rsid w:val="00CA39B2"/>
    <w:rPr>
      <w:rFonts w:ascii="Calibri" w:eastAsia="SimSun" w:hAnsi="Calibri" w:cs="Calibri"/>
      <w:color w:val="00000A"/>
    </w:rPr>
  </w:style>
  <w:style w:type="character" w:customStyle="1" w:styleId="apple-converted-space">
    <w:name w:val="apple-converted-space"/>
    <w:basedOn w:val="Fuentedeprrafopredeter"/>
    <w:rsid w:val="00CA39B2"/>
  </w:style>
  <w:style w:type="character" w:customStyle="1" w:styleId="zmsearchresult">
    <w:name w:val="zmsearchresult"/>
    <w:basedOn w:val="Fuentedeprrafopredeter"/>
    <w:rsid w:val="00CA39B2"/>
  </w:style>
  <w:style w:type="character" w:customStyle="1" w:styleId="object">
    <w:name w:val="object"/>
    <w:basedOn w:val="Fuentedeprrafopredeter"/>
    <w:rsid w:val="00CA39B2"/>
  </w:style>
  <w:style w:type="character" w:customStyle="1" w:styleId="WW8Num1z0">
    <w:name w:val="WW8Num1z0"/>
    <w:rsid w:val="00CA39B2"/>
    <w:rPr>
      <w:rFonts w:ascii="Symbol" w:hAnsi="Symbol" w:cs="Symbol" w:hint="default"/>
    </w:rPr>
  </w:style>
  <w:style w:type="character" w:customStyle="1" w:styleId="Caracteresdenotaalpie">
    <w:name w:val="Caracteres de nota al pie"/>
    <w:rsid w:val="00CA39B2"/>
    <w:rPr>
      <w:vertAlign w:val="superscript"/>
    </w:rPr>
  </w:style>
  <w:style w:type="character" w:customStyle="1" w:styleId="Caracteresdenotafinal">
    <w:name w:val="Caracteres de nota final"/>
    <w:rsid w:val="00CA39B2"/>
    <w:rPr>
      <w:vertAlign w:val="superscript"/>
    </w:rPr>
  </w:style>
  <w:style w:type="character" w:customStyle="1" w:styleId="sub-indice1">
    <w:name w:val="sub-indice1"/>
    <w:basedOn w:val="Fuentedeprrafopredeter"/>
    <w:rsid w:val="00CA39B2"/>
    <w:rPr>
      <w:rFonts w:ascii="Intro Bold" w:hAnsi="Intro Bold" w:hint="default"/>
      <w:color w:val="FF7C13"/>
      <w:sz w:val="24"/>
      <w:szCs w:val="24"/>
    </w:rPr>
  </w:style>
  <w:style w:type="character" w:customStyle="1" w:styleId="s1">
    <w:name w:val="s1"/>
    <w:rsid w:val="00CA39B2"/>
  </w:style>
  <w:style w:type="character" w:customStyle="1" w:styleId="ListParagraphChar1">
    <w:name w:val="List Paragraph Char1"/>
    <w:uiPriority w:val="34"/>
    <w:locked/>
    <w:rsid w:val="00CA39B2"/>
    <w:rPr>
      <w:rFonts w:ascii="Calibri" w:eastAsia="Calibri" w:hAnsi="Calibri" w:cs="Times New Roman" w:hint="default"/>
    </w:rPr>
  </w:style>
  <w:style w:type="character" w:customStyle="1" w:styleId="f1">
    <w:name w:val="f1"/>
    <w:basedOn w:val="Fuentedeprrafopredeter"/>
    <w:rsid w:val="00CA39B2"/>
    <w:rPr>
      <w:color w:val="0000FF"/>
      <w:sz w:val="30"/>
      <w:szCs w:val="30"/>
    </w:rPr>
  </w:style>
  <w:style w:type="character" w:customStyle="1" w:styleId="a1">
    <w:name w:val="a1"/>
    <w:basedOn w:val="Fuentedeprrafopredeter"/>
    <w:rsid w:val="00CA39B2"/>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CA39B2"/>
    <w:rPr>
      <w:color w:val="0000FF"/>
    </w:rPr>
  </w:style>
  <w:style w:type="character" w:customStyle="1" w:styleId="b1">
    <w:name w:val="b1"/>
    <w:basedOn w:val="Fuentedeprrafopredeter"/>
    <w:rsid w:val="00CA39B2"/>
    <w:rPr>
      <w:color w:val="000000"/>
    </w:rPr>
  </w:style>
  <w:style w:type="character" w:customStyle="1" w:styleId="g1">
    <w:name w:val="g1"/>
    <w:basedOn w:val="Fuentedeprrafopredeter"/>
    <w:rsid w:val="00CA39B2"/>
    <w:rPr>
      <w:color w:val="B3B3B3"/>
    </w:rPr>
  </w:style>
  <w:style w:type="character" w:customStyle="1" w:styleId="c1">
    <w:name w:val="c1"/>
    <w:basedOn w:val="Fuentedeprrafopredeter"/>
    <w:rsid w:val="00CA39B2"/>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CA39B2"/>
    <w:rPr>
      <w:sz w:val="22"/>
      <w:szCs w:val="22"/>
    </w:rPr>
  </w:style>
  <w:style w:type="character" w:customStyle="1" w:styleId="FootnoteSymbol">
    <w:name w:val="Footnote Symbol"/>
    <w:rsid w:val="00CA39B2"/>
    <w:rPr>
      <w:vertAlign w:val="superscript"/>
    </w:rPr>
  </w:style>
  <w:style w:type="character" w:customStyle="1" w:styleId="A2">
    <w:name w:val="A2"/>
    <w:uiPriority w:val="99"/>
    <w:rsid w:val="00CA39B2"/>
    <w:rPr>
      <w:rFonts w:ascii="Times" w:hAnsi="Times" w:cs="Times" w:hint="default"/>
      <w:color w:val="000000"/>
      <w:sz w:val="21"/>
      <w:szCs w:val="21"/>
    </w:rPr>
  </w:style>
  <w:style w:type="character" w:styleId="Textoennegrita">
    <w:name w:val="Strong"/>
    <w:basedOn w:val="Fuentedeprrafopredeter"/>
    <w:uiPriority w:val="22"/>
    <w:qFormat/>
    <w:rsid w:val="00CA39B2"/>
    <w:rPr>
      <w:b/>
      <w:bCs/>
    </w:rPr>
  </w:style>
  <w:style w:type="character" w:styleId="nfasis">
    <w:name w:val="Emphasis"/>
    <w:basedOn w:val="Fuentedeprrafopredeter"/>
    <w:uiPriority w:val="20"/>
    <w:qFormat/>
    <w:rsid w:val="00CA39B2"/>
    <w:rPr>
      <w:i/>
      <w:iCs/>
    </w:rPr>
  </w:style>
  <w:style w:type="character" w:customStyle="1" w:styleId="Ttulo2Car">
    <w:name w:val="Título 2 Car"/>
    <w:basedOn w:val="Fuentedeprrafopredeter"/>
    <w:link w:val="Ttulo2"/>
    <w:uiPriority w:val="1"/>
    <w:rsid w:val="006466A5"/>
    <w:rPr>
      <w:rFonts w:ascii="Arial" w:eastAsiaTheme="majorEastAsia" w:hAnsi="Arial" w:cstheme="majorBidi"/>
      <w:b/>
      <w:bCs/>
      <w:szCs w:val="26"/>
    </w:rPr>
  </w:style>
  <w:style w:type="character" w:customStyle="1" w:styleId="Ttulo3Car">
    <w:name w:val="Título 3 Car"/>
    <w:basedOn w:val="Fuentedeprrafopredeter"/>
    <w:link w:val="Ttulo3"/>
    <w:uiPriority w:val="1"/>
    <w:rsid w:val="00F63996"/>
    <w:rPr>
      <w:rFonts w:ascii="Arial" w:eastAsiaTheme="majorEastAsia" w:hAnsi="Arial" w:cstheme="majorBidi"/>
      <w:b/>
      <w:bCs/>
    </w:rPr>
  </w:style>
  <w:style w:type="paragraph" w:styleId="Textoindependiente3">
    <w:name w:val="Body Text 3"/>
    <w:basedOn w:val="Normal"/>
    <w:link w:val="Textoindependiente3Car"/>
    <w:uiPriority w:val="99"/>
    <w:unhideWhenUsed/>
    <w:rsid w:val="00165CB5"/>
    <w:pPr>
      <w:spacing w:after="120"/>
    </w:pPr>
    <w:rPr>
      <w:sz w:val="16"/>
      <w:szCs w:val="16"/>
    </w:rPr>
  </w:style>
  <w:style w:type="character" w:customStyle="1" w:styleId="Textoindependiente3Car">
    <w:name w:val="Texto independiente 3 Car"/>
    <w:basedOn w:val="Fuentedeprrafopredeter"/>
    <w:link w:val="Textoindependiente3"/>
    <w:uiPriority w:val="99"/>
    <w:rsid w:val="00165CB5"/>
    <w:rPr>
      <w:sz w:val="16"/>
      <w:szCs w:val="16"/>
    </w:rPr>
  </w:style>
  <w:style w:type="character" w:customStyle="1" w:styleId="A11">
    <w:name w:val="A11"/>
    <w:uiPriority w:val="99"/>
    <w:rsid w:val="00165CB5"/>
    <w:rPr>
      <w:b/>
      <w:bCs/>
      <w:color w:val="000000"/>
      <w:sz w:val="28"/>
      <w:szCs w:val="28"/>
    </w:rPr>
  </w:style>
  <w:style w:type="paragraph" w:styleId="TtulodeTDC">
    <w:name w:val="TOC Heading"/>
    <w:basedOn w:val="Ttulo1"/>
    <w:next w:val="Normal"/>
    <w:uiPriority w:val="39"/>
    <w:semiHidden/>
    <w:unhideWhenUsed/>
    <w:qFormat/>
    <w:rsid w:val="00D169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PE" w:eastAsia="es-PE"/>
    </w:rPr>
  </w:style>
  <w:style w:type="paragraph" w:styleId="TDC1">
    <w:name w:val="toc 1"/>
    <w:basedOn w:val="Normal"/>
    <w:next w:val="Normal"/>
    <w:autoRedefine/>
    <w:uiPriority w:val="39"/>
    <w:unhideWhenUsed/>
    <w:qFormat/>
    <w:rsid w:val="00117A6E"/>
    <w:pPr>
      <w:tabs>
        <w:tab w:val="right" w:leader="dot" w:pos="8828"/>
      </w:tabs>
      <w:spacing w:after="100"/>
      <w:ind w:left="142"/>
    </w:pPr>
  </w:style>
  <w:style w:type="paragraph" w:styleId="TDC2">
    <w:name w:val="toc 2"/>
    <w:basedOn w:val="Normal"/>
    <w:next w:val="Normal"/>
    <w:autoRedefine/>
    <w:uiPriority w:val="39"/>
    <w:unhideWhenUsed/>
    <w:qFormat/>
    <w:rsid w:val="00684945"/>
    <w:pPr>
      <w:tabs>
        <w:tab w:val="right" w:leader="dot" w:pos="8931"/>
      </w:tabs>
      <w:spacing w:after="100"/>
      <w:ind w:left="284"/>
    </w:pPr>
  </w:style>
  <w:style w:type="paragraph" w:styleId="TDC3">
    <w:name w:val="toc 3"/>
    <w:basedOn w:val="Normal"/>
    <w:next w:val="Normal"/>
    <w:autoRedefine/>
    <w:uiPriority w:val="39"/>
    <w:unhideWhenUsed/>
    <w:qFormat/>
    <w:rsid w:val="008C5F73"/>
    <w:pPr>
      <w:tabs>
        <w:tab w:val="left" w:pos="284"/>
        <w:tab w:val="right" w:leader="dot" w:pos="8828"/>
      </w:tabs>
      <w:spacing w:after="100"/>
      <w:ind w:left="284"/>
    </w:pPr>
  </w:style>
  <w:style w:type="character" w:customStyle="1" w:styleId="Ttulo4Car">
    <w:name w:val="Título 4 Car"/>
    <w:basedOn w:val="Fuentedeprrafopredeter"/>
    <w:link w:val="Ttulo4"/>
    <w:uiPriority w:val="1"/>
    <w:rsid w:val="00684945"/>
    <w:rPr>
      <w:rFonts w:ascii="Arial" w:eastAsiaTheme="majorEastAsia" w:hAnsi="Arial" w:cstheme="majorBidi"/>
      <w:b/>
      <w:bCs/>
      <w:i/>
      <w:iCs/>
      <w:sz w:val="20"/>
    </w:rPr>
  </w:style>
  <w:style w:type="paragraph" w:styleId="Sinespaciado">
    <w:name w:val="No Spacing"/>
    <w:link w:val="SinespaciadoCar"/>
    <w:uiPriority w:val="1"/>
    <w:qFormat/>
    <w:rsid w:val="00F92EC2"/>
    <w:pPr>
      <w:spacing w:after="0" w:line="240" w:lineRule="auto"/>
    </w:pPr>
    <w:rPr>
      <w:rFonts w:ascii="Calibri" w:hAnsi="Calibri" w:cs="Times New Roman"/>
    </w:rPr>
  </w:style>
  <w:style w:type="table" w:styleId="Tablaconcuadrcula">
    <w:name w:val="Table Grid"/>
    <w:basedOn w:val="Tablanormal"/>
    <w:uiPriority w:val="1"/>
    <w:rsid w:val="007D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2B21B7"/>
    <w:rPr>
      <w:rFonts w:asciiTheme="majorHAnsi" w:eastAsiaTheme="majorEastAsia" w:hAnsiTheme="majorHAnsi" w:cstheme="majorBidi"/>
      <w:i/>
      <w:iCs/>
      <w:color w:val="243F60" w:themeColor="accent1" w:themeShade="7F"/>
    </w:rPr>
  </w:style>
  <w:style w:type="paragraph" w:styleId="Textosinformato">
    <w:name w:val="Plain Text"/>
    <w:basedOn w:val="Normal"/>
    <w:link w:val="TextosinformatoCar"/>
    <w:uiPriority w:val="99"/>
    <w:unhideWhenUsed/>
    <w:rsid w:val="007D3BC4"/>
    <w:pPr>
      <w:spacing w:after="0" w:line="240" w:lineRule="auto"/>
    </w:pPr>
    <w:rPr>
      <w:rFonts w:ascii="Calibri" w:eastAsiaTheme="minorHAnsi" w:hAnsi="Calibri"/>
      <w:szCs w:val="21"/>
    </w:rPr>
  </w:style>
  <w:style w:type="character" w:customStyle="1" w:styleId="TextosinformatoCar">
    <w:name w:val="Texto sin formato Car"/>
    <w:basedOn w:val="Fuentedeprrafopredeter"/>
    <w:link w:val="Textosinformato"/>
    <w:uiPriority w:val="99"/>
    <w:rsid w:val="007D3BC4"/>
    <w:rPr>
      <w:rFonts w:ascii="Calibri" w:eastAsiaTheme="minorHAnsi" w:hAnsi="Calibri"/>
      <w:szCs w:val="21"/>
    </w:rPr>
  </w:style>
  <w:style w:type="character" w:customStyle="1" w:styleId="cuerpotexto">
    <w:name w:val="cuerpotexto"/>
    <w:basedOn w:val="Fuentedeprrafopredeter"/>
    <w:rsid w:val="008939AA"/>
  </w:style>
  <w:style w:type="character" w:customStyle="1" w:styleId="cuerpotextoresaltado">
    <w:name w:val="cuerpotextoresaltado"/>
    <w:basedOn w:val="Fuentedeprrafopredeter"/>
    <w:rsid w:val="008939AA"/>
  </w:style>
  <w:style w:type="character" w:customStyle="1" w:styleId="titulosintesis">
    <w:name w:val="titulosintesis"/>
    <w:basedOn w:val="Fuentedeprrafopredeter"/>
    <w:rsid w:val="008939AA"/>
  </w:style>
  <w:style w:type="character" w:customStyle="1" w:styleId="Ttulo5Car">
    <w:name w:val="Título 5 Car"/>
    <w:basedOn w:val="Fuentedeprrafopredeter"/>
    <w:link w:val="Ttulo5"/>
    <w:uiPriority w:val="1"/>
    <w:rsid w:val="00496CB2"/>
    <w:rPr>
      <w:rFonts w:ascii="Century Gothic" w:eastAsia="Century Gothic" w:hAnsi="Century Gothic"/>
      <w:b/>
      <w:bCs/>
      <w:lang w:val="en-US"/>
    </w:rPr>
  </w:style>
  <w:style w:type="character" w:customStyle="1" w:styleId="Ttulo7Car">
    <w:name w:val="Título 7 Car"/>
    <w:basedOn w:val="Fuentedeprrafopredeter"/>
    <w:link w:val="Ttulo7"/>
    <w:uiPriority w:val="1"/>
    <w:rsid w:val="00496CB2"/>
    <w:rPr>
      <w:rFonts w:ascii="Century Gothic" w:eastAsia="Century Gothic" w:hAnsi="Century Gothic"/>
      <w:i/>
      <w:lang w:val="en-US"/>
    </w:rPr>
  </w:style>
  <w:style w:type="character" w:customStyle="1" w:styleId="Ttulo8Car">
    <w:name w:val="Título 8 Car"/>
    <w:basedOn w:val="Fuentedeprrafopredeter"/>
    <w:link w:val="Ttulo8"/>
    <w:uiPriority w:val="1"/>
    <w:rsid w:val="00496CB2"/>
    <w:rPr>
      <w:rFonts w:ascii="Century Gothic" w:eastAsia="Century Gothic" w:hAnsi="Century Gothic"/>
      <w:b/>
      <w:bCs/>
      <w:sz w:val="20"/>
      <w:szCs w:val="20"/>
      <w:lang w:val="en-US"/>
    </w:rPr>
  </w:style>
  <w:style w:type="paragraph" w:customStyle="1" w:styleId="WW-Predeterminado">
    <w:name w:val="WW-Predeterminado"/>
    <w:rsid w:val="00496CB2"/>
    <w:pPr>
      <w:widowControl w:val="0"/>
      <w:tabs>
        <w:tab w:val="left" w:pos="708"/>
      </w:tabs>
      <w:suppressAutoHyphens/>
      <w:spacing w:after="0" w:line="100" w:lineRule="atLeast"/>
    </w:pPr>
    <w:rPr>
      <w:rFonts w:ascii="Times New Roman" w:eastAsia="SimSun" w:hAnsi="Times New Roman" w:cs="Times New Roman"/>
      <w:sz w:val="24"/>
      <w:szCs w:val="24"/>
      <w:lang w:eastAsia="zh-CN"/>
    </w:rPr>
  </w:style>
  <w:style w:type="paragraph" w:customStyle="1" w:styleId="TableParagraph">
    <w:name w:val="Table Paragraph"/>
    <w:basedOn w:val="Normal"/>
    <w:uiPriority w:val="1"/>
    <w:qFormat/>
    <w:rsid w:val="00496CB2"/>
    <w:pPr>
      <w:widowControl w:val="0"/>
      <w:spacing w:after="0" w:line="240" w:lineRule="auto"/>
    </w:pPr>
    <w:rPr>
      <w:rFonts w:eastAsiaTheme="minorHAnsi"/>
      <w:lang w:val="en-US"/>
    </w:rPr>
  </w:style>
  <w:style w:type="character" w:customStyle="1" w:styleId="googqs-tidbit">
    <w:name w:val="goog_qs-tidbit"/>
    <w:basedOn w:val="Fuentedeprrafopredeter"/>
    <w:rsid w:val="00496CB2"/>
  </w:style>
  <w:style w:type="character" w:customStyle="1" w:styleId="SinespaciadoCar">
    <w:name w:val="Sin espaciado Car"/>
    <w:basedOn w:val="Fuentedeprrafopredeter"/>
    <w:link w:val="Sinespaciado"/>
    <w:uiPriority w:val="1"/>
    <w:rsid w:val="001C5ABB"/>
    <w:rPr>
      <w:rFonts w:ascii="Calibri" w:hAnsi="Calibri" w:cs="Times New Roman"/>
    </w:rPr>
  </w:style>
  <w:style w:type="table" w:styleId="Sombreadoclaro-nfasis1">
    <w:name w:val="Light Shading Accent 1"/>
    <w:basedOn w:val="Tablanormal"/>
    <w:uiPriority w:val="60"/>
    <w:rsid w:val="003A20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B2"/>
    <w:rPr>
      <w:lang w:val="pt-PT"/>
    </w:rPr>
  </w:style>
  <w:style w:type="paragraph" w:styleId="Ttulo1">
    <w:name w:val="heading 1"/>
    <w:basedOn w:val="Normal"/>
    <w:link w:val="Ttulo1Car"/>
    <w:uiPriority w:val="1"/>
    <w:qFormat/>
    <w:rsid w:val="00E633D3"/>
    <w:pPr>
      <w:spacing w:before="100" w:beforeAutospacing="1" w:after="100" w:afterAutospacing="1" w:line="240" w:lineRule="auto"/>
      <w:outlineLvl w:val="0"/>
    </w:pPr>
    <w:rPr>
      <w:rFonts w:ascii="Arial" w:eastAsia="Times New Roman" w:hAnsi="Arial" w:cs="Times New Roman"/>
      <w:b/>
      <w:bCs/>
      <w:kern w:val="36"/>
      <w:sz w:val="24"/>
      <w:szCs w:val="48"/>
      <w:lang w:val="es-VE" w:eastAsia="es-VE"/>
    </w:rPr>
  </w:style>
  <w:style w:type="paragraph" w:styleId="Ttulo2">
    <w:name w:val="heading 2"/>
    <w:basedOn w:val="Normal"/>
    <w:next w:val="Normal"/>
    <w:link w:val="Ttulo2Car"/>
    <w:uiPriority w:val="1"/>
    <w:unhideWhenUsed/>
    <w:qFormat/>
    <w:rsid w:val="006466A5"/>
    <w:pPr>
      <w:keepNext/>
      <w:keepLines/>
      <w:spacing w:before="440" w:after="240" w:line="240" w:lineRule="auto"/>
      <w:outlineLvl w:val="1"/>
    </w:pPr>
    <w:rPr>
      <w:rFonts w:ascii="Arial" w:eastAsiaTheme="majorEastAsia" w:hAnsi="Arial" w:cstheme="majorBidi"/>
      <w:b/>
      <w:bCs/>
      <w:szCs w:val="26"/>
    </w:rPr>
  </w:style>
  <w:style w:type="paragraph" w:styleId="Ttulo3">
    <w:name w:val="heading 3"/>
    <w:basedOn w:val="Normal"/>
    <w:next w:val="Normal"/>
    <w:link w:val="Ttulo3Car"/>
    <w:uiPriority w:val="1"/>
    <w:unhideWhenUsed/>
    <w:qFormat/>
    <w:rsid w:val="00F63996"/>
    <w:pPr>
      <w:keepNext/>
      <w:keepLines/>
      <w:spacing w:before="320" w:after="120" w:line="360" w:lineRule="auto"/>
      <w:outlineLvl w:val="2"/>
    </w:pPr>
    <w:rPr>
      <w:rFonts w:ascii="Arial" w:eastAsiaTheme="majorEastAsia" w:hAnsi="Arial" w:cstheme="majorBidi"/>
      <w:b/>
      <w:bCs/>
    </w:rPr>
  </w:style>
  <w:style w:type="paragraph" w:styleId="Ttulo4">
    <w:name w:val="heading 4"/>
    <w:basedOn w:val="Normal"/>
    <w:next w:val="Normal"/>
    <w:link w:val="Ttulo4Car"/>
    <w:uiPriority w:val="1"/>
    <w:unhideWhenUsed/>
    <w:qFormat/>
    <w:rsid w:val="00684945"/>
    <w:pPr>
      <w:keepNext/>
      <w:keepLines/>
      <w:spacing w:before="200" w:after="0" w:line="360" w:lineRule="auto"/>
      <w:outlineLvl w:val="3"/>
    </w:pPr>
    <w:rPr>
      <w:rFonts w:ascii="Arial" w:eastAsiaTheme="majorEastAsia" w:hAnsi="Arial" w:cstheme="majorBidi"/>
      <w:b/>
      <w:bCs/>
      <w:i/>
      <w:iCs/>
      <w:sz w:val="20"/>
    </w:rPr>
  </w:style>
  <w:style w:type="paragraph" w:styleId="Ttulo5">
    <w:name w:val="heading 5"/>
    <w:basedOn w:val="Normal"/>
    <w:link w:val="Ttulo5Car"/>
    <w:uiPriority w:val="1"/>
    <w:qFormat/>
    <w:rsid w:val="00496CB2"/>
    <w:pPr>
      <w:widowControl w:val="0"/>
      <w:spacing w:after="0" w:line="240" w:lineRule="auto"/>
      <w:ind w:left="2101"/>
      <w:outlineLvl w:val="4"/>
    </w:pPr>
    <w:rPr>
      <w:rFonts w:ascii="Century Gothic" w:eastAsia="Century Gothic" w:hAnsi="Century Gothic"/>
      <w:b/>
      <w:bCs/>
      <w:lang w:val="en-US"/>
    </w:rPr>
  </w:style>
  <w:style w:type="paragraph" w:styleId="Ttulo6">
    <w:name w:val="heading 6"/>
    <w:basedOn w:val="Normal"/>
    <w:next w:val="Normal"/>
    <w:link w:val="Ttulo6Car"/>
    <w:uiPriority w:val="1"/>
    <w:unhideWhenUsed/>
    <w:qFormat/>
    <w:rsid w:val="002B21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link w:val="Ttulo7Car"/>
    <w:uiPriority w:val="1"/>
    <w:qFormat/>
    <w:rsid w:val="00496CB2"/>
    <w:pPr>
      <w:widowControl w:val="0"/>
      <w:spacing w:after="0" w:line="240" w:lineRule="auto"/>
      <w:ind w:left="2821"/>
      <w:outlineLvl w:val="6"/>
    </w:pPr>
    <w:rPr>
      <w:rFonts w:ascii="Century Gothic" w:eastAsia="Century Gothic" w:hAnsi="Century Gothic"/>
      <w:i/>
      <w:lang w:val="en-US"/>
    </w:rPr>
  </w:style>
  <w:style w:type="paragraph" w:styleId="Ttulo8">
    <w:name w:val="heading 8"/>
    <w:basedOn w:val="Normal"/>
    <w:link w:val="Ttulo8Car"/>
    <w:uiPriority w:val="1"/>
    <w:qFormat/>
    <w:rsid w:val="00496CB2"/>
    <w:pPr>
      <w:widowControl w:val="0"/>
      <w:spacing w:after="0" w:line="240" w:lineRule="auto"/>
      <w:ind w:left="1800"/>
      <w:outlineLvl w:val="7"/>
    </w:pPr>
    <w:rPr>
      <w:rFonts w:ascii="Century Gothic" w:eastAsia="Century Gothic" w:hAnsi="Century Gothic"/>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633D3"/>
    <w:rPr>
      <w:rFonts w:ascii="Arial" w:eastAsia="Times New Roman" w:hAnsi="Arial" w:cs="Times New Roman"/>
      <w:b/>
      <w:bCs/>
      <w:kern w:val="36"/>
      <w:sz w:val="24"/>
      <w:szCs w:val="48"/>
      <w:lang w:val="es-VE" w:eastAsia="es-VE"/>
    </w:rPr>
  </w:style>
  <w:style w:type="character" w:styleId="Hipervnculo">
    <w:name w:val="Hyperlink"/>
    <w:basedOn w:val="Fuentedeprrafopredeter"/>
    <w:uiPriority w:val="99"/>
    <w:unhideWhenUsed/>
    <w:rsid w:val="00CA39B2"/>
    <w:rPr>
      <w:color w:val="0000FF" w:themeColor="hyperlink"/>
      <w:u w:val="single"/>
    </w:rPr>
  </w:style>
  <w:style w:type="paragraph" w:styleId="NormalWeb">
    <w:name w:val="Normal (Web)"/>
    <w:basedOn w:val="Normal"/>
    <w:uiPriority w:val="99"/>
    <w:unhideWhenUsed/>
    <w:rsid w:val="00CA39B2"/>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CA3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9B2"/>
    <w:rPr>
      <w:rFonts w:eastAsia="MS Mincho"/>
      <w:sz w:val="20"/>
      <w:szCs w:val="20"/>
    </w:rPr>
  </w:style>
  <w:style w:type="character" w:customStyle="1" w:styleId="EncabezadoCar">
    <w:name w:val="Encabezado Car"/>
    <w:basedOn w:val="Fuentedeprrafopredeter"/>
    <w:link w:val="Encabezado"/>
    <w:uiPriority w:val="99"/>
    <w:rsid w:val="00CA39B2"/>
    <w:rPr>
      <w:rFonts w:eastAsia="MS Mincho"/>
    </w:rPr>
  </w:style>
  <w:style w:type="paragraph" w:styleId="Encabezado">
    <w:name w:val="header"/>
    <w:basedOn w:val="Normal"/>
    <w:link w:val="EncabezadoCar"/>
    <w:uiPriority w:val="99"/>
    <w:unhideWhenUsed/>
    <w:rsid w:val="00CA3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9B2"/>
    <w:rPr>
      <w:rFonts w:eastAsia="MS Mincho"/>
    </w:rPr>
  </w:style>
  <w:style w:type="paragraph" w:styleId="Piedepgina">
    <w:name w:val="footer"/>
    <w:basedOn w:val="Normal"/>
    <w:link w:val="PiedepginaCar"/>
    <w:uiPriority w:val="99"/>
    <w:unhideWhenUsed/>
    <w:rsid w:val="00CA39B2"/>
    <w:pPr>
      <w:tabs>
        <w:tab w:val="center" w:pos="4419"/>
        <w:tab w:val="right" w:pos="8838"/>
      </w:tabs>
      <w:spacing w:after="0" w:line="240" w:lineRule="auto"/>
    </w:pPr>
  </w:style>
  <w:style w:type="paragraph" w:styleId="Textonotaalfinal">
    <w:name w:val="endnote text"/>
    <w:basedOn w:val="Normal"/>
    <w:link w:val="TextonotaalfinalCar"/>
    <w:uiPriority w:val="99"/>
    <w:semiHidden/>
    <w:unhideWhenUsed/>
    <w:rsid w:val="00CA39B2"/>
    <w:pPr>
      <w:suppressAutoHyphens/>
      <w:jc w:val="both"/>
    </w:pPr>
    <w:rPr>
      <w:rFonts w:ascii="Calibri" w:eastAsia="Calibri" w:hAnsi="Calibri" w:cs="Calibri"/>
      <w:sz w:val="20"/>
      <w:szCs w:val="20"/>
      <w:lang w:val="es-ES" w:eastAsia="zh-CN"/>
    </w:rPr>
  </w:style>
  <w:style w:type="character" w:customStyle="1" w:styleId="TextonotaalfinalCar">
    <w:name w:val="Texto nota al final Car"/>
    <w:basedOn w:val="Fuentedeprrafopredeter"/>
    <w:link w:val="Textonotaalfinal"/>
    <w:uiPriority w:val="99"/>
    <w:semiHidden/>
    <w:rsid w:val="00CA39B2"/>
    <w:rPr>
      <w:rFonts w:ascii="Calibri" w:eastAsia="Calibri" w:hAnsi="Calibri" w:cs="Calibri"/>
      <w:sz w:val="20"/>
      <w:szCs w:val="20"/>
      <w:lang w:val="es-ES" w:eastAsia="zh-CN"/>
    </w:rPr>
  </w:style>
  <w:style w:type="paragraph" w:styleId="Textoindependiente">
    <w:name w:val="Body Text"/>
    <w:basedOn w:val="Normal"/>
    <w:link w:val="TextoindependienteCar"/>
    <w:uiPriority w:val="1"/>
    <w:unhideWhenUsed/>
    <w:qFormat/>
    <w:rsid w:val="00CA39B2"/>
    <w:pPr>
      <w:tabs>
        <w:tab w:val="left" w:pos="708"/>
      </w:tabs>
      <w:suppressAutoHyphens/>
      <w:spacing w:after="120"/>
    </w:pPr>
    <w:rPr>
      <w:rFonts w:ascii="Calibri" w:eastAsia="SimSun" w:hAnsi="Calibri" w:cs="Calibri"/>
      <w:color w:val="00000A"/>
      <w:kern w:val="2"/>
      <w:lang w:eastAsia="zh-CN"/>
    </w:rPr>
  </w:style>
  <w:style w:type="character" w:customStyle="1" w:styleId="TextoindependienteCar">
    <w:name w:val="Texto independiente Car"/>
    <w:basedOn w:val="Fuentedeprrafopredeter"/>
    <w:link w:val="Textoindependiente"/>
    <w:uiPriority w:val="1"/>
    <w:rsid w:val="00CA39B2"/>
    <w:rPr>
      <w:rFonts w:ascii="Calibri" w:eastAsia="SimSun" w:hAnsi="Calibri" w:cs="Calibri"/>
      <w:color w:val="00000A"/>
      <w:kern w:val="2"/>
      <w:lang w:eastAsia="zh-CN"/>
    </w:rPr>
  </w:style>
  <w:style w:type="character" w:customStyle="1" w:styleId="AsuntodelcomentarioCar">
    <w:name w:val="Asunto del comentario Car"/>
    <w:basedOn w:val="TextocomentarioCar"/>
    <w:link w:val="Asuntodelcomentario"/>
    <w:uiPriority w:val="99"/>
    <w:semiHidden/>
    <w:rsid w:val="00CA39B2"/>
    <w:rPr>
      <w:rFonts w:eastAsia="MS Mincho"/>
      <w:b/>
      <w:bCs/>
      <w:sz w:val="20"/>
      <w:szCs w:val="20"/>
    </w:rPr>
  </w:style>
  <w:style w:type="paragraph" w:styleId="Asuntodelcomentario">
    <w:name w:val="annotation subject"/>
    <w:basedOn w:val="Textocomentario"/>
    <w:next w:val="Textocomentario"/>
    <w:link w:val="AsuntodelcomentarioCar"/>
    <w:uiPriority w:val="99"/>
    <w:semiHidden/>
    <w:unhideWhenUsed/>
    <w:rsid w:val="00CA39B2"/>
    <w:rPr>
      <w:b/>
      <w:bCs/>
    </w:rPr>
  </w:style>
  <w:style w:type="paragraph" w:styleId="Textodeglobo">
    <w:name w:val="Balloon Text"/>
    <w:basedOn w:val="Normal"/>
    <w:link w:val="TextodegloboCar"/>
    <w:uiPriority w:val="99"/>
    <w:semiHidden/>
    <w:unhideWhenUsed/>
    <w:rsid w:val="00CA39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9B2"/>
    <w:rPr>
      <w:rFonts w:ascii="Tahoma" w:eastAsia="MS Mincho" w:hAnsi="Tahoma" w:cs="Tahoma"/>
      <w:sz w:val="16"/>
      <w:szCs w:val="16"/>
    </w:rPr>
  </w:style>
  <w:style w:type="paragraph" w:customStyle="1" w:styleId="Predeterminado">
    <w:name w:val="Predeterminado"/>
    <w:uiPriority w:val="99"/>
    <w:semiHidden/>
    <w:rsid w:val="00CA39B2"/>
    <w:pPr>
      <w:tabs>
        <w:tab w:val="left" w:pos="708"/>
      </w:tabs>
      <w:suppressAutoHyphens/>
    </w:pPr>
    <w:rPr>
      <w:rFonts w:ascii="Calibri" w:eastAsia="SimSun" w:hAnsi="Calibri" w:cs="Calibri"/>
      <w:color w:val="00000A"/>
    </w:rPr>
  </w:style>
  <w:style w:type="paragraph" w:customStyle="1" w:styleId="Default">
    <w:name w:val="Default"/>
    <w:rsid w:val="00CA39B2"/>
    <w:pPr>
      <w:autoSpaceDE w:val="0"/>
      <w:autoSpaceDN w:val="0"/>
      <w:adjustRightInd w:val="0"/>
      <w:spacing w:after="0" w:line="240" w:lineRule="auto"/>
    </w:pPr>
    <w:rPr>
      <w:rFonts w:ascii="Times New Roman" w:eastAsia="Times New Roman" w:hAnsi="Times New Roman" w:cs="Times New Roman"/>
      <w:color w:val="000000"/>
      <w:sz w:val="24"/>
      <w:szCs w:val="24"/>
      <w:lang w:val="es-VE" w:eastAsia="es-VE"/>
    </w:rPr>
  </w:style>
  <w:style w:type="paragraph" w:customStyle="1" w:styleId="estilo25">
    <w:name w:val="estilo25"/>
    <w:basedOn w:val="Normal"/>
    <w:uiPriority w:val="99"/>
    <w:semiHidden/>
    <w:rsid w:val="00CA39B2"/>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customStyle="1" w:styleId="Prrafodelista1">
    <w:name w:val="Párrafo de lista1"/>
    <w:basedOn w:val="Normal"/>
    <w:uiPriority w:val="99"/>
    <w:semiHidden/>
    <w:rsid w:val="00CA39B2"/>
    <w:pPr>
      <w:tabs>
        <w:tab w:val="left" w:pos="708"/>
      </w:tabs>
      <w:suppressAutoHyphens/>
    </w:pPr>
    <w:rPr>
      <w:rFonts w:ascii="Calibri" w:eastAsia="SimSun" w:hAnsi="Calibri" w:cs="Calibri"/>
      <w:color w:val="00000A"/>
      <w:kern w:val="2"/>
      <w:lang w:eastAsia="zh-CN"/>
    </w:rPr>
  </w:style>
  <w:style w:type="paragraph" w:customStyle="1" w:styleId="Cuerpo">
    <w:name w:val="Cuerpo"/>
    <w:uiPriority w:val="99"/>
    <w:semiHidden/>
    <w:rsid w:val="00CA39B2"/>
    <w:pPr>
      <w:spacing w:after="0" w:line="240" w:lineRule="auto"/>
    </w:pPr>
    <w:rPr>
      <w:rFonts w:ascii="Helvetica" w:eastAsia="Arial Unicode MS" w:hAnsi="Arial Unicode MS" w:cs="Arial Unicode MS"/>
      <w:color w:val="000000"/>
      <w:lang w:val="es-ES_tradnl" w:eastAsia="es-MX"/>
    </w:rPr>
  </w:style>
  <w:style w:type="paragraph" w:customStyle="1" w:styleId="ListParagraph1">
    <w:name w:val="List Paragraph1"/>
    <w:basedOn w:val="Normal"/>
    <w:uiPriority w:val="99"/>
    <w:semiHidden/>
    <w:rsid w:val="00CA39B2"/>
    <w:pPr>
      <w:ind w:left="720"/>
    </w:pPr>
    <w:rPr>
      <w:rFonts w:ascii="Calibri" w:eastAsia="Times New Roman" w:hAnsi="Calibri" w:cs="Times New Roman"/>
      <w:sz w:val="20"/>
      <w:szCs w:val="20"/>
      <w:lang w:val="en-US" w:eastAsia="es-ES"/>
    </w:rPr>
  </w:style>
  <w:style w:type="paragraph" w:customStyle="1" w:styleId="Listamulticolor-nfasis1">
    <w:name w:val="Lista multicolor - Énfasis 1"/>
    <w:basedOn w:val="Normal"/>
    <w:uiPriority w:val="99"/>
    <w:semiHidden/>
    <w:rsid w:val="00CA39B2"/>
    <w:pPr>
      <w:ind w:left="720"/>
    </w:pPr>
    <w:rPr>
      <w:rFonts w:ascii="Calibri" w:eastAsia="Times New Roman" w:hAnsi="Calibri" w:cs="Calibri"/>
    </w:rPr>
  </w:style>
  <w:style w:type="paragraph" w:customStyle="1" w:styleId="Standard">
    <w:name w:val="Standard"/>
    <w:uiPriority w:val="99"/>
    <w:semiHidden/>
    <w:rsid w:val="00CA39B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
    <w:name w:val="p"/>
    <w:basedOn w:val="Normal"/>
    <w:uiPriority w:val="99"/>
    <w:semiHidden/>
    <w:rsid w:val="00CA39B2"/>
    <w:pPr>
      <w:spacing w:before="100" w:beforeAutospacing="1" w:after="0" w:line="240" w:lineRule="auto"/>
    </w:pPr>
    <w:rPr>
      <w:rFonts w:ascii="Times New Roman" w:eastAsia="Times New Roman" w:hAnsi="Times New Roman" w:cs="Times New Roman"/>
      <w:sz w:val="24"/>
      <w:szCs w:val="24"/>
      <w:lang w:eastAsia="es-PE"/>
    </w:rPr>
  </w:style>
  <w:style w:type="paragraph" w:customStyle="1" w:styleId="q">
    <w:name w:val="q"/>
    <w:basedOn w:val="Normal"/>
    <w:uiPriority w:val="99"/>
    <w:semiHidden/>
    <w:rsid w:val="00CA39B2"/>
    <w:pPr>
      <w:spacing w:before="100" w:beforeAutospacing="1" w:after="0" w:line="240" w:lineRule="auto"/>
      <w:ind w:left="480"/>
    </w:pPr>
    <w:rPr>
      <w:rFonts w:ascii="Times New Roman" w:eastAsia="Times New Roman" w:hAnsi="Times New Roman" w:cs="Times New Roman"/>
      <w:sz w:val="24"/>
      <w:szCs w:val="24"/>
      <w:lang w:eastAsia="es-PE"/>
    </w:rPr>
  </w:style>
  <w:style w:type="character" w:styleId="Refdenotaalpie">
    <w:name w:val="footnote reference"/>
    <w:aliases w:val="normal,Footnote text,16 Point,Superscript 6 Point,Footnotes refss,Texto de nota al pie,Appel note de bas de page,BVI fnr,CVR Ref. de nota al pie,referencia nota al pie,Footnote number,f,4_G,Footnote Reference Char3"/>
    <w:basedOn w:val="Fuentedeprrafopredeter"/>
    <w:uiPriority w:val="99"/>
    <w:unhideWhenUsed/>
    <w:rsid w:val="00CA39B2"/>
    <w:rPr>
      <w:vertAlign w:val="superscript"/>
    </w:rPr>
  </w:style>
  <w:style w:type="character" w:styleId="Refdecomentario">
    <w:name w:val="annotation reference"/>
    <w:basedOn w:val="Fuentedeprrafopredeter"/>
    <w:uiPriority w:val="99"/>
    <w:semiHidden/>
    <w:unhideWhenUsed/>
    <w:rsid w:val="00CA39B2"/>
    <w:rPr>
      <w:sz w:val="16"/>
      <w:szCs w:val="16"/>
    </w:rPr>
  </w:style>
  <w:style w:type="character" w:customStyle="1" w:styleId="Ancladenotaalpie">
    <w:name w:val="Ancla de nota al pie"/>
    <w:rsid w:val="00CA39B2"/>
    <w:rPr>
      <w:vertAlign w:val="superscript"/>
    </w:rPr>
  </w:style>
  <w:style w:type="paragraph" w:styleId="Textonotapie">
    <w:name w:val="footnote text"/>
    <w:aliases w:val="Footnote Text Char Char Char Char Char,Footnote Text Char Char Char Char,footnote text,FA Fu,Footnote reference,Footnote Text Char Char Char,Footnote Text Cha,FA Fußnotentext,FA Fuﬂnotentext,Footnote Text Char Char,Car"/>
    <w:basedOn w:val="Predeterminado"/>
    <w:link w:val="TextonotapieCar"/>
    <w:uiPriority w:val="99"/>
    <w:unhideWhenUsed/>
    <w:rsid w:val="00CA39B2"/>
    <w:pPr>
      <w:spacing w:after="0" w:line="100" w:lineRule="atLeast"/>
    </w:pPr>
    <w:rPr>
      <w:sz w:val="20"/>
      <w:szCs w:val="20"/>
    </w:rPr>
  </w:style>
  <w:style w:type="character" w:customStyle="1" w:styleId="TextonotapieCar">
    <w:name w:val="Texto nota pie Car"/>
    <w:aliases w:val="Footnote Text Char Char Char Char Char Car,Footnote Text Char Char Char Char Car,footnote text Car,FA Fu Car,Footnote reference Car,Footnote Text Char Char Char Car,Footnote Text Cha Car,FA Fußnotentext Car,FA Fuﬂnotentext Car,Car Car"/>
    <w:basedOn w:val="Fuentedeprrafopredeter"/>
    <w:link w:val="Textonotapie"/>
    <w:uiPriority w:val="99"/>
    <w:rsid w:val="00CA39B2"/>
    <w:rPr>
      <w:rFonts w:ascii="Calibri" w:eastAsia="SimSun" w:hAnsi="Calibri" w:cs="Calibri"/>
      <w:color w:val="00000A"/>
      <w:sz w:val="20"/>
      <w:szCs w:val="20"/>
    </w:rPr>
  </w:style>
  <w:style w:type="paragraph" w:styleId="Prrafodelista">
    <w:name w:val="List Paragraph"/>
    <w:basedOn w:val="Predeterminado"/>
    <w:link w:val="PrrafodelistaCar"/>
    <w:uiPriority w:val="1"/>
    <w:qFormat/>
    <w:rsid w:val="00CA39B2"/>
    <w:pPr>
      <w:ind w:left="720"/>
    </w:pPr>
  </w:style>
  <w:style w:type="character" w:customStyle="1" w:styleId="PrrafodelistaCar">
    <w:name w:val="Párrafo de lista Car"/>
    <w:basedOn w:val="Fuentedeprrafopredeter"/>
    <w:link w:val="Prrafodelista"/>
    <w:uiPriority w:val="1"/>
    <w:locked/>
    <w:rsid w:val="00CA39B2"/>
    <w:rPr>
      <w:rFonts w:ascii="Calibri" w:eastAsia="SimSun" w:hAnsi="Calibri" w:cs="Calibri"/>
      <w:color w:val="00000A"/>
    </w:rPr>
  </w:style>
  <w:style w:type="character" w:customStyle="1" w:styleId="apple-converted-space">
    <w:name w:val="apple-converted-space"/>
    <w:basedOn w:val="Fuentedeprrafopredeter"/>
    <w:rsid w:val="00CA39B2"/>
  </w:style>
  <w:style w:type="character" w:customStyle="1" w:styleId="zmsearchresult">
    <w:name w:val="zmsearchresult"/>
    <w:basedOn w:val="Fuentedeprrafopredeter"/>
    <w:rsid w:val="00CA39B2"/>
  </w:style>
  <w:style w:type="character" w:customStyle="1" w:styleId="object">
    <w:name w:val="object"/>
    <w:basedOn w:val="Fuentedeprrafopredeter"/>
    <w:rsid w:val="00CA39B2"/>
  </w:style>
  <w:style w:type="character" w:customStyle="1" w:styleId="WW8Num1z0">
    <w:name w:val="WW8Num1z0"/>
    <w:rsid w:val="00CA39B2"/>
    <w:rPr>
      <w:rFonts w:ascii="Symbol" w:hAnsi="Symbol" w:cs="Symbol" w:hint="default"/>
    </w:rPr>
  </w:style>
  <w:style w:type="character" w:customStyle="1" w:styleId="Caracteresdenotaalpie">
    <w:name w:val="Caracteres de nota al pie"/>
    <w:rsid w:val="00CA39B2"/>
    <w:rPr>
      <w:vertAlign w:val="superscript"/>
    </w:rPr>
  </w:style>
  <w:style w:type="character" w:customStyle="1" w:styleId="Caracteresdenotafinal">
    <w:name w:val="Caracteres de nota final"/>
    <w:rsid w:val="00CA39B2"/>
    <w:rPr>
      <w:vertAlign w:val="superscript"/>
    </w:rPr>
  </w:style>
  <w:style w:type="character" w:customStyle="1" w:styleId="sub-indice1">
    <w:name w:val="sub-indice1"/>
    <w:basedOn w:val="Fuentedeprrafopredeter"/>
    <w:rsid w:val="00CA39B2"/>
    <w:rPr>
      <w:rFonts w:ascii="Intro Bold" w:hAnsi="Intro Bold" w:hint="default"/>
      <w:color w:val="FF7C13"/>
      <w:sz w:val="24"/>
      <w:szCs w:val="24"/>
    </w:rPr>
  </w:style>
  <w:style w:type="character" w:customStyle="1" w:styleId="s1">
    <w:name w:val="s1"/>
    <w:rsid w:val="00CA39B2"/>
  </w:style>
  <w:style w:type="character" w:customStyle="1" w:styleId="ListParagraphChar1">
    <w:name w:val="List Paragraph Char1"/>
    <w:uiPriority w:val="34"/>
    <w:locked/>
    <w:rsid w:val="00CA39B2"/>
    <w:rPr>
      <w:rFonts w:ascii="Calibri" w:eastAsia="Calibri" w:hAnsi="Calibri" w:cs="Times New Roman" w:hint="default"/>
    </w:rPr>
  </w:style>
  <w:style w:type="character" w:customStyle="1" w:styleId="f1">
    <w:name w:val="f1"/>
    <w:basedOn w:val="Fuentedeprrafopredeter"/>
    <w:rsid w:val="00CA39B2"/>
    <w:rPr>
      <w:color w:val="0000FF"/>
      <w:sz w:val="30"/>
      <w:szCs w:val="30"/>
    </w:rPr>
  </w:style>
  <w:style w:type="character" w:customStyle="1" w:styleId="a1">
    <w:name w:val="a1"/>
    <w:basedOn w:val="Fuentedeprrafopredeter"/>
    <w:rsid w:val="00CA39B2"/>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CA39B2"/>
    <w:rPr>
      <w:color w:val="0000FF"/>
    </w:rPr>
  </w:style>
  <w:style w:type="character" w:customStyle="1" w:styleId="b1">
    <w:name w:val="b1"/>
    <w:basedOn w:val="Fuentedeprrafopredeter"/>
    <w:rsid w:val="00CA39B2"/>
    <w:rPr>
      <w:color w:val="000000"/>
    </w:rPr>
  </w:style>
  <w:style w:type="character" w:customStyle="1" w:styleId="g1">
    <w:name w:val="g1"/>
    <w:basedOn w:val="Fuentedeprrafopredeter"/>
    <w:rsid w:val="00CA39B2"/>
    <w:rPr>
      <w:color w:val="B3B3B3"/>
    </w:rPr>
  </w:style>
  <w:style w:type="character" w:customStyle="1" w:styleId="c1">
    <w:name w:val="c1"/>
    <w:basedOn w:val="Fuentedeprrafopredeter"/>
    <w:rsid w:val="00CA39B2"/>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CA39B2"/>
    <w:rPr>
      <w:sz w:val="22"/>
      <w:szCs w:val="22"/>
    </w:rPr>
  </w:style>
  <w:style w:type="character" w:customStyle="1" w:styleId="FootnoteSymbol">
    <w:name w:val="Footnote Symbol"/>
    <w:rsid w:val="00CA39B2"/>
    <w:rPr>
      <w:vertAlign w:val="superscript"/>
    </w:rPr>
  </w:style>
  <w:style w:type="character" w:customStyle="1" w:styleId="A2">
    <w:name w:val="A2"/>
    <w:uiPriority w:val="99"/>
    <w:rsid w:val="00CA39B2"/>
    <w:rPr>
      <w:rFonts w:ascii="Times" w:hAnsi="Times" w:cs="Times" w:hint="default"/>
      <w:color w:val="000000"/>
      <w:sz w:val="21"/>
      <w:szCs w:val="21"/>
    </w:rPr>
  </w:style>
  <w:style w:type="character" w:styleId="Textoennegrita">
    <w:name w:val="Strong"/>
    <w:basedOn w:val="Fuentedeprrafopredeter"/>
    <w:uiPriority w:val="22"/>
    <w:qFormat/>
    <w:rsid w:val="00CA39B2"/>
    <w:rPr>
      <w:b/>
      <w:bCs/>
    </w:rPr>
  </w:style>
  <w:style w:type="character" w:styleId="nfasis">
    <w:name w:val="Emphasis"/>
    <w:basedOn w:val="Fuentedeprrafopredeter"/>
    <w:uiPriority w:val="20"/>
    <w:qFormat/>
    <w:rsid w:val="00CA39B2"/>
    <w:rPr>
      <w:i/>
      <w:iCs/>
    </w:rPr>
  </w:style>
  <w:style w:type="character" w:customStyle="1" w:styleId="Ttulo2Car">
    <w:name w:val="Título 2 Car"/>
    <w:basedOn w:val="Fuentedeprrafopredeter"/>
    <w:link w:val="Ttulo2"/>
    <w:uiPriority w:val="1"/>
    <w:rsid w:val="006466A5"/>
    <w:rPr>
      <w:rFonts w:ascii="Arial" w:eastAsiaTheme="majorEastAsia" w:hAnsi="Arial" w:cstheme="majorBidi"/>
      <w:b/>
      <w:bCs/>
      <w:szCs w:val="26"/>
    </w:rPr>
  </w:style>
  <w:style w:type="character" w:customStyle="1" w:styleId="Ttulo3Car">
    <w:name w:val="Título 3 Car"/>
    <w:basedOn w:val="Fuentedeprrafopredeter"/>
    <w:link w:val="Ttulo3"/>
    <w:uiPriority w:val="1"/>
    <w:rsid w:val="00F63996"/>
    <w:rPr>
      <w:rFonts w:ascii="Arial" w:eastAsiaTheme="majorEastAsia" w:hAnsi="Arial" w:cstheme="majorBidi"/>
      <w:b/>
      <w:bCs/>
    </w:rPr>
  </w:style>
  <w:style w:type="paragraph" w:styleId="Textoindependiente3">
    <w:name w:val="Body Text 3"/>
    <w:basedOn w:val="Normal"/>
    <w:link w:val="Textoindependiente3Car"/>
    <w:uiPriority w:val="99"/>
    <w:unhideWhenUsed/>
    <w:rsid w:val="00165CB5"/>
    <w:pPr>
      <w:spacing w:after="120"/>
    </w:pPr>
    <w:rPr>
      <w:sz w:val="16"/>
      <w:szCs w:val="16"/>
    </w:rPr>
  </w:style>
  <w:style w:type="character" w:customStyle="1" w:styleId="Textoindependiente3Car">
    <w:name w:val="Texto independiente 3 Car"/>
    <w:basedOn w:val="Fuentedeprrafopredeter"/>
    <w:link w:val="Textoindependiente3"/>
    <w:uiPriority w:val="99"/>
    <w:rsid w:val="00165CB5"/>
    <w:rPr>
      <w:sz w:val="16"/>
      <w:szCs w:val="16"/>
    </w:rPr>
  </w:style>
  <w:style w:type="character" w:customStyle="1" w:styleId="A11">
    <w:name w:val="A11"/>
    <w:uiPriority w:val="99"/>
    <w:rsid w:val="00165CB5"/>
    <w:rPr>
      <w:b/>
      <w:bCs/>
      <w:color w:val="000000"/>
      <w:sz w:val="28"/>
      <w:szCs w:val="28"/>
    </w:rPr>
  </w:style>
  <w:style w:type="paragraph" w:styleId="TtulodeTDC">
    <w:name w:val="TOC Heading"/>
    <w:basedOn w:val="Ttulo1"/>
    <w:next w:val="Normal"/>
    <w:uiPriority w:val="39"/>
    <w:semiHidden/>
    <w:unhideWhenUsed/>
    <w:qFormat/>
    <w:rsid w:val="00D169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PE" w:eastAsia="es-PE"/>
    </w:rPr>
  </w:style>
  <w:style w:type="paragraph" w:styleId="TDC1">
    <w:name w:val="toc 1"/>
    <w:basedOn w:val="Normal"/>
    <w:next w:val="Normal"/>
    <w:autoRedefine/>
    <w:uiPriority w:val="39"/>
    <w:unhideWhenUsed/>
    <w:qFormat/>
    <w:rsid w:val="00117A6E"/>
    <w:pPr>
      <w:tabs>
        <w:tab w:val="right" w:leader="dot" w:pos="8828"/>
      </w:tabs>
      <w:spacing w:after="100"/>
      <w:ind w:left="142"/>
    </w:pPr>
  </w:style>
  <w:style w:type="paragraph" w:styleId="TDC2">
    <w:name w:val="toc 2"/>
    <w:basedOn w:val="Normal"/>
    <w:next w:val="Normal"/>
    <w:autoRedefine/>
    <w:uiPriority w:val="39"/>
    <w:unhideWhenUsed/>
    <w:qFormat/>
    <w:rsid w:val="00684945"/>
    <w:pPr>
      <w:tabs>
        <w:tab w:val="right" w:leader="dot" w:pos="8931"/>
      </w:tabs>
      <w:spacing w:after="100"/>
      <w:ind w:left="284"/>
    </w:pPr>
  </w:style>
  <w:style w:type="paragraph" w:styleId="TDC3">
    <w:name w:val="toc 3"/>
    <w:basedOn w:val="Normal"/>
    <w:next w:val="Normal"/>
    <w:autoRedefine/>
    <w:uiPriority w:val="39"/>
    <w:unhideWhenUsed/>
    <w:qFormat/>
    <w:rsid w:val="008C5F73"/>
    <w:pPr>
      <w:tabs>
        <w:tab w:val="left" w:pos="284"/>
        <w:tab w:val="right" w:leader="dot" w:pos="8828"/>
      </w:tabs>
      <w:spacing w:after="100"/>
      <w:ind w:left="284"/>
    </w:pPr>
  </w:style>
  <w:style w:type="character" w:customStyle="1" w:styleId="Ttulo4Car">
    <w:name w:val="Título 4 Car"/>
    <w:basedOn w:val="Fuentedeprrafopredeter"/>
    <w:link w:val="Ttulo4"/>
    <w:uiPriority w:val="1"/>
    <w:rsid w:val="00684945"/>
    <w:rPr>
      <w:rFonts w:ascii="Arial" w:eastAsiaTheme="majorEastAsia" w:hAnsi="Arial" w:cstheme="majorBidi"/>
      <w:b/>
      <w:bCs/>
      <w:i/>
      <w:iCs/>
      <w:sz w:val="20"/>
    </w:rPr>
  </w:style>
  <w:style w:type="paragraph" w:styleId="Sinespaciado">
    <w:name w:val="No Spacing"/>
    <w:link w:val="SinespaciadoCar"/>
    <w:uiPriority w:val="1"/>
    <w:qFormat/>
    <w:rsid w:val="00F92EC2"/>
    <w:pPr>
      <w:spacing w:after="0" w:line="240" w:lineRule="auto"/>
    </w:pPr>
    <w:rPr>
      <w:rFonts w:ascii="Calibri" w:hAnsi="Calibri" w:cs="Times New Roman"/>
    </w:rPr>
  </w:style>
  <w:style w:type="table" w:styleId="Tablaconcuadrcula">
    <w:name w:val="Table Grid"/>
    <w:basedOn w:val="Tablanormal"/>
    <w:uiPriority w:val="1"/>
    <w:rsid w:val="007D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2B21B7"/>
    <w:rPr>
      <w:rFonts w:asciiTheme="majorHAnsi" w:eastAsiaTheme="majorEastAsia" w:hAnsiTheme="majorHAnsi" w:cstheme="majorBidi"/>
      <w:i/>
      <w:iCs/>
      <w:color w:val="243F60" w:themeColor="accent1" w:themeShade="7F"/>
    </w:rPr>
  </w:style>
  <w:style w:type="paragraph" w:styleId="Textosinformato">
    <w:name w:val="Plain Text"/>
    <w:basedOn w:val="Normal"/>
    <w:link w:val="TextosinformatoCar"/>
    <w:uiPriority w:val="99"/>
    <w:unhideWhenUsed/>
    <w:rsid w:val="007D3BC4"/>
    <w:pPr>
      <w:spacing w:after="0" w:line="240" w:lineRule="auto"/>
    </w:pPr>
    <w:rPr>
      <w:rFonts w:ascii="Calibri" w:eastAsiaTheme="minorHAnsi" w:hAnsi="Calibri"/>
      <w:szCs w:val="21"/>
    </w:rPr>
  </w:style>
  <w:style w:type="character" w:customStyle="1" w:styleId="TextosinformatoCar">
    <w:name w:val="Texto sin formato Car"/>
    <w:basedOn w:val="Fuentedeprrafopredeter"/>
    <w:link w:val="Textosinformato"/>
    <w:uiPriority w:val="99"/>
    <w:rsid w:val="007D3BC4"/>
    <w:rPr>
      <w:rFonts w:ascii="Calibri" w:eastAsiaTheme="minorHAnsi" w:hAnsi="Calibri"/>
      <w:szCs w:val="21"/>
    </w:rPr>
  </w:style>
  <w:style w:type="character" w:customStyle="1" w:styleId="cuerpotexto">
    <w:name w:val="cuerpotexto"/>
    <w:basedOn w:val="Fuentedeprrafopredeter"/>
    <w:rsid w:val="008939AA"/>
  </w:style>
  <w:style w:type="character" w:customStyle="1" w:styleId="cuerpotextoresaltado">
    <w:name w:val="cuerpotextoresaltado"/>
    <w:basedOn w:val="Fuentedeprrafopredeter"/>
    <w:rsid w:val="008939AA"/>
  </w:style>
  <w:style w:type="character" w:customStyle="1" w:styleId="titulosintesis">
    <w:name w:val="titulosintesis"/>
    <w:basedOn w:val="Fuentedeprrafopredeter"/>
    <w:rsid w:val="008939AA"/>
  </w:style>
  <w:style w:type="character" w:customStyle="1" w:styleId="Ttulo5Car">
    <w:name w:val="Título 5 Car"/>
    <w:basedOn w:val="Fuentedeprrafopredeter"/>
    <w:link w:val="Ttulo5"/>
    <w:uiPriority w:val="1"/>
    <w:rsid w:val="00496CB2"/>
    <w:rPr>
      <w:rFonts w:ascii="Century Gothic" w:eastAsia="Century Gothic" w:hAnsi="Century Gothic"/>
      <w:b/>
      <w:bCs/>
      <w:lang w:val="en-US"/>
    </w:rPr>
  </w:style>
  <w:style w:type="character" w:customStyle="1" w:styleId="Ttulo7Car">
    <w:name w:val="Título 7 Car"/>
    <w:basedOn w:val="Fuentedeprrafopredeter"/>
    <w:link w:val="Ttulo7"/>
    <w:uiPriority w:val="1"/>
    <w:rsid w:val="00496CB2"/>
    <w:rPr>
      <w:rFonts w:ascii="Century Gothic" w:eastAsia="Century Gothic" w:hAnsi="Century Gothic"/>
      <w:i/>
      <w:lang w:val="en-US"/>
    </w:rPr>
  </w:style>
  <w:style w:type="character" w:customStyle="1" w:styleId="Ttulo8Car">
    <w:name w:val="Título 8 Car"/>
    <w:basedOn w:val="Fuentedeprrafopredeter"/>
    <w:link w:val="Ttulo8"/>
    <w:uiPriority w:val="1"/>
    <w:rsid w:val="00496CB2"/>
    <w:rPr>
      <w:rFonts w:ascii="Century Gothic" w:eastAsia="Century Gothic" w:hAnsi="Century Gothic"/>
      <w:b/>
      <w:bCs/>
      <w:sz w:val="20"/>
      <w:szCs w:val="20"/>
      <w:lang w:val="en-US"/>
    </w:rPr>
  </w:style>
  <w:style w:type="paragraph" w:customStyle="1" w:styleId="WW-Predeterminado">
    <w:name w:val="WW-Predeterminado"/>
    <w:rsid w:val="00496CB2"/>
    <w:pPr>
      <w:widowControl w:val="0"/>
      <w:tabs>
        <w:tab w:val="left" w:pos="708"/>
      </w:tabs>
      <w:suppressAutoHyphens/>
      <w:spacing w:after="0" w:line="100" w:lineRule="atLeast"/>
    </w:pPr>
    <w:rPr>
      <w:rFonts w:ascii="Times New Roman" w:eastAsia="SimSun" w:hAnsi="Times New Roman" w:cs="Times New Roman"/>
      <w:sz w:val="24"/>
      <w:szCs w:val="24"/>
      <w:lang w:eastAsia="zh-CN"/>
    </w:rPr>
  </w:style>
  <w:style w:type="paragraph" w:customStyle="1" w:styleId="TableParagraph">
    <w:name w:val="Table Paragraph"/>
    <w:basedOn w:val="Normal"/>
    <w:uiPriority w:val="1"/>
    <w:qFormat/>
    <w:rsid w:val="00496CB2"/>
    <w:pPr>
      <w:widowControl w:val="0"/>
      <w:spacing w:after="0" w:line="240" w:lineRule="auto"/>
    </w:pPr>
    <w:rPr>
      <w:rFonts w:eastAsiaTheme="minorHAnsi"/>
      <w:lang w:val="en-US"/>
    </w:rPr>
  </w:style>
  <w:style w:type="character" w:customStyle="1" w:styleId="googqs-tidbit">
    <w:name w:val="goog_qs-tidbit"/>
    <w:basedOn w:val="Fuentedeprrafopredeter"/>
    <w:rsid w:val="00496CB2"/>
  </w:style>
  <w:style w:type="character" w:customStyle="1" w:styleId="SinespaciadoCar">
    <w:name w:val="Sin espaciado Car"/>
    <w:basedOn w:val="Fuentedeprrafopredeter"/>
    <w:link w:val="Sinespaciado"/>
    <w:uiPriority w:val="1"/>
    <w:rsid w:val="001C5ABB"/>
    <w:rPr>
      <w:rFonts w:ascii="Calibri" w:hAnsi="Calibri" w:cs="Times New Roman"/>
    </w:rPr>
  </w:style>
  <w:style w:type="table" w:styleId="Sombreadoclaro-nfasis1">
    <w:name w:val="Light Shading Accent 1"/>
    <w:basedOn w:val="Tablanormal"/>
    <w:uiPriority w:val="60"/>
    <w:rsid w:val="003A20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1656">
      <w:bodyDiv w:val="1"/>
      <w:marLeft w:val="0"/>
      <w:marRight w:val="0"/>
      <w:marTop w:val="0"/>
      <w:marBottom w:val="0"/>
      <w:divBdr>
        <w:top w:val="none" w:sz="0" w:space="0" w:color="auto"/>
        <w:left w:val="none" w:sz="0" w:space="0" w:color="auto"/>
        <w:bottom w:val="none" w:sz="0" w:space="0" w:color="auto"/>
        <w:right w:val="none" w:sz="0" w:space="0" w:color="auto"/>
      </w:divBdr>
      <w:divsChild>
        <w:div w:id="1471285114">
          <w:marLeft w:val="547"/>
          <w:marRight w:val="0"/>
          <w:marTop w:val="0"/>
          <w:marBottom w:val="0"/>
          <w:divBdr>
            <w:top w:val="none" w:sz="0" w:space="0" w:color="auto"/>
            <w:left w:val="none" w:sz="0" w:space="0" w:color="auto"/>
            <w:bottom w:val="none" w:sz="0" w:space="0" w:color="auto"/>
            <w:right w:val="none" w:sz="0" w:space="0" w:color="auto"/>
          </w:divBdr>
        </w:div>
        <w:div w:id="1506627967">
          <w:marLeft w:val="547"/>
          <w:marRight w:val="0"/>
          <w:marTop w:val="0"/>
          <w:marBottom w:val="0"/>
          <w:divBdr>
            <w:top w:val="none" w:sz="0" w:space="0" w:color="auto"/>
            <w:left w:val="none" w:sz="0" w:space="0" w:color="auto"/>
            <w:bottom w:val="none" w:sz="0" w:space="0" w:color="auto"/>
            <w:right w:val="none" w:sz="0" w:space="0" w:color="auto"/>
          </w:divBdr>
        </w:div>
        <w:div w:id="1783183273">
          <w:marLeft w:val="547"/>
          <w:marRight w:val="0"/>
          <w:marTop w:val="0"/>
          <w:marBottom w:val="0"/>
          <w:divBdr>
            <w:top w:val="none" w:sz="0" w:space="0" w:color="auto"/>
            <w:left w:val="none" w:sz="0" w:space="0" w:color="auto"/>
            <w:bottom w:val="none" w:sz="0" w:space="0" w:color="auto"/>
            <w:right w:val="none" w:sz="0" w:space="0" w:color="auto"/>
          </w:divBdr>
        </w:div>
      </w:divsChild>
    </w:div>
    <w:div w:id="252593556">
      <w:bodyDiv w:val="1"/>
      <w:marLeft w:val="0"/>
      <w:marRight w:val="0"/>
      <w:marTop w:val="0"/>
      <w:marBottom w:val="0"/>
      <w:divBdr>
        <w:top w:val="none" w:sz="0" w:space="0" w:color="auto"/>
        <w:left w:val="none" w:sz="0" w:space="0" w:color="auto"/>
        <w:bottom w:val="none" w:sz="0" w:space="0" w:color="auto"/>
        <w:right w:val="none" w:sz="0" w:space="0" w:color="auto"/>
      </w:divBdr>
      <w:divsChild>
        <w:div w:id="1590893000">
          <w:marLeft w:val="547"/>
          <w:marRight w:val="0"/>
          <w:marTop w:val="0"/>
          <w:marBottom w:val="0"/>
          <w:divBdr>
            <w:top w:val="none" w:sz="0" w:space="0" w:color="auto"/>
            <w:left w:val="none" w:sz="0" w:space="0" w:color="auto"/>
            <w:bottom w:val="none" w:sz="0" w:space="0" w:color="auto"/>
            <w:right w:val="none" w:sz="0" w:space="0" w:color="auto"/>
          </w:divBdr>
        </w:div>
      </w:divsChild>
    </w:div>
    <w:div w:id="569116335">
      <w:bodyDiv w:val="1"/>
      <w:marLeft w:val="0"/>
      <w:marRight w:val="0"/>
      <w:marTop w:val="0"/>
      <w:marBottom w:val="0"/>
      <w:divBdr>
        <w:top w:val="none" w:sz="0" w:space="0" w:color="auto"/>
        <w:left w:val="none" w:sz="0" w:space="0" w:color="auto"/>
        <w:bottom w:val="none" w:sz="0" w:space="0" w:color="auto"/>
        <w:right w:val="none" w:sz="0" w:space="0" w:color="auto"/>
      </w:divBdr>
    </w:div>
    <w:div w:id="617104756">
      <w:bodyDiv w:val="1"/>
      <w:marLeft w:val="0"/>
      <w:marRight w:val="0"/>
      <w:marTop w:val="0"/>
      <w:marBottom w:val="0"/>
      <w:divBdr>
        <w:top w:val="none" w:sz="0" w:space="0" w:color="auto"/>
        <w:left w:val="none" w:sz="0" w:space="0" w:color="auto"/>
        <w:bottom w:val="none" w:sz="0" w:space="0" w:color="auto"/>
        <w:right w:val="none" w:sz="0" w:space="0" w:color="auto"/>
      </w:divBdr>
      <w:divsChild>
        <w:div w:id="1043284407">
          <w:marLeft w:val="547"/>
          <w:marRight w:val="0"/>
          <w:marTop w:val="0"/>
          <w:marBottom w:val="0"/>
          <w:divBdr>
            <w:top w:val="none" w:sz="0" w:space="0" w:color="auto"/>
            <w:left w:val="none" w:sz="0" w:space="0" w:color="auto"/>
            <w:bottom w:val="none" w:sz="0" w:space="0" w:color="auto"/>
            <w:right w:val="none" w:sz="0" w:space="0" w:color="auto"/>
          </w:divBdr>
        </w:div>
      </w:divsChild>
    </w:div>
    <w:div w:id="715203131">
      <w:bodyDiv w:val="1"/>
      <w:marLeft w:val="0"/>
      <w:marRight w:val="0"/>
      <w:marTop w:val="0"/>
      <w:marBottom w:val="0"/>
      <w:divBdr>
        <w:top w:val="none" w:sz="0" w:space="0" w:color="auto"/>
        <w:left w:val="none" w:sz="0" w:space="0" w:color="auto"/>
        <w:bottom w:val="none" w:sz="0" w:space="0" w:color="auto"/>
        <w:right w:val="none" w:sz="0" w:space="0" w:color="auto"/>
      </w:divBdr>
    </w:div>
    <w:div w:id="733620519">
      <w:bodyDiv w:val="1"/>
      <w:marLeft w:val="0"/>
      <w:marRight w:val="0"/>
      <w:marTop w:val="0"/>
      <w:marBottom w:val="0"/>
      <w:divBdr>
        <w:top w:val="none" w:sz="0" w:space="0" w:color="auto"/>
        <w:left w:val="none" w:sz="0" w:space="0" w:color="auto"/>
        <w:bottom w:val="none" w:sz="0" w:space="0" w:color="auto"/>
        <w:right w:val="none" w:sz="0" w:space="0" w:color="auto"/>
      </w:divBdr>
      <w:divsChild>
        <w:div w:id="919174491">
          <w:marLeft w:val="547"/>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1067529992">
          <w:marLeft w:val="547"/>
          <w:marRight w:val="0"/>
          <w:marTop w:val="0"/>
          <w:marBottom w:val="0"/>
          <w:divBdr>
            <w:top w:val="none" w:sz="0" w:space="0" w:color="auto"/>
            <w:left w:val="none" w:sz="0" w:space="0" w:color="auto"/>
            <w:bottom w:val="none" w:sz="0" w:space="0" w:color="auto"/>
            <w:right w:val="none" w:sz="0" w:space="0" w:color="auto"/>
          </w:divBdr>
        </w:div>
      </w:divsChild>
    </w:div>
    <w:div w:id="1244605750">
      <w:bodyDiv w:val="1"/>
      <w:marLeft w:val="0"/>
      <w:marRight w:val="0"/>
      <w:marTop w:val="0"/>
      <w:marBottom w:val="0"/>
      <w:divBdr>
        <w:top w:val="none" w:sz="0" w:space="0" w:color="auto"/>
        <w:left w:val="none" w:sz="0" w:space="0" w:color="auto"/>
        <w:bottom w:val="none" w:sz="0" w:space="0" w:color="auto"/>
        <w:right w:val="none" w:sz="0" w:space="0" w:color="auto"/>
      </w:divBdr>
    </w:div>
    <w:div w:id="1404138793">
      <w:bodyDiv w:val="1"/>
      <w:marLeft w:val="0"/>
      <w:marRight w:val="0"/>
      <w:marTop w:val="0"/>
      <w:marBottom w:val="0"/>
      <w:divBdr>
        <w:top w:val="none" w:sz="0" w:space="0" w:color="auto"/>
        <w:left w:val="none" w:sz="0" w:space="0" w:color="auto"/>
        <w:bottom w:val="none" w:sz="0" w:space="0" w:color="auto"/>
        <w:right w:val="none" w:sz="0" w:space="0" w:color="auto"/>
      </w:divBdr>
    </w:div>
    <w:div w:id="1615363336">
      <w:bodyDiv w:val="1"/>
      <w:marLeft w:val="0"/>
      <w:marRight w:val="0"/>
      <w:marTop w:val="0"/>
      <w:marBottom w:val="0"/>
      <w:divBdr>
        <w:top w:val="none" w:sz="0" w:space="0" w:color="auto"/>
        <w:left w:val="none" w:sz="0" w:space="0" w:color="auto"/>
        <w:bottom w:val="none" w:sz="0" w:space="0" w:color="auto"/>
        <w:right w:val="none" w:sz="0" w:space="0" w:color="auto"/>
      </w:divBdr>
    </w:div>
    <w:div w:id="1723481641">
      <w:bodyDiv w:val="1"/>
      <w:marLeft w:val="0"/>
      <w:marRight w:val="0"/>
      <w:marTop w:val="0"/>
      <w:marBottom w:val="0"/>
      <w:divBdr>
        <w:top w:val="none" w:sz="0" w:space="0" w:color="auto"/>
        <w:left w:val="none" w:sz="0" w:space="0" w:color="auto"/>
        <w:bottom w:val="none" w:sz="0" w:space="0" w:color="auto"/>
        <w:right w:val="none" w:sz="0" w:space="0" w:color="auto"/>
      </w:divBdr>
      <w:divsChild>
        <w:div w:id="499934521">
          <w:marLeft w:val="547"/>
          <w:marRight w:val="0"/>
          <w:marTop w:val="0"/>
          <w:marBottom w:val="0"/>
          <w:divBdr>
            <w:top w:val="none" w:sz="0" w:space="0" w:color="auto"/>
            <w:left w:val="none" w:sz="0" w:space="0" w:color="auto"/>
            <w:bottom w:val="none" w:sz="0" w:space="0" w:color="auto"/>
            <w:right w:val="none" w:sz="0" w:space="0" w:color="auto"/>
          </w:divBdr>
        </w:div>
        <w:div w:id="1028798656">
          <w:marLeft w:val="547"/>
          <w:marRight w:val="0"/>
          <w:marTop w:val="0"/>
          <w:marBottom w:val="0"/>
          <w:divBdr>
            <w:top w:val="none" w:sz="0" w:space="0" w:color="auto"/>
            <w:left w:val="none" w:sz="0" w:space="0" w:color="auto"/>
            <w:bottom w:val="none" w:sz="0" w:space="0" w:color="auto"/>
            <w:right w:val="none" w:sz="0" w:space="0" w:color="auto"/>
          </w:divBdr>
        </w:div>
        <w:div w:id="1351834239">
          <w:marLeft w:val="547"/>
          <w:marRight w:val="0"/>
          <w:marTop w:val="0"/>
          <w:marBottom w:val="0"/>
          <w:divBdr>
            <w:top w:val="none" w:sz="0" w:space="0" w:color="auto"/>
            <w:left w:val="none" w:sz="0" w:space="0" w:color="auto"/>
            <w:bottom w:val="none" w:sz="0" w:space="0" w:color="auto"/>
            <w:right w:val="none" w:sz="0" w:space="0" w:color="auto"/>
          </w:divBdr>
        </w:div>
      </w:divsChild>
    </w:div>
    <w:div w:id="17973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fio.info" TargetMode="External"/><Relationship Id="rId18" Type="http://schemas.openxmlformats.org/officeDocument/2006/relationships/diagramQuickStyle" Target="diagrams/quickStyle1.xml"/><Relationship Id="rId26" Type="http://schemas.openxmlformats.org/officeDocument/2006/relationships/hyperlink" Target="http://www.derechos.org/nizkor/ley/doc/women1es.html" TargetMode="External"/><Relationship Id="rId3" Type="http://schemas.openxmlformats.org/officeDocument/2006/relationships/numbering" Target="numbering.xml"/><Relationship Id="rId21" Type="http://schemas.openxmlformats.org/officeDocument/2006/relationships/hyperlink" Target="http://portal.pgjguanajuato.gob.mx/WebPGJEG/departamentos/SAIE/reportes/Segundo2012/tipoViolencia.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ortalfio.org" TargetMode="External"/><Relationship Id="rId17" Type="http://schemas.openxmlformats.org/officeDocument/2006/relationships/diagramLayout" Target="diagrams/layout1.xml"/><Relationship Id="rId25" Type="http://schemas.openxmlformats.org/officeDocument/2006/relationships/hyperlink" Target="https://sistema3.planalto.gov.br//spmu/atendimento/atendimento_mulher.php?uf=T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es.wikipedia.org/wiki/2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r.go.cr" TargetMode="External"/><Relationship Id="rId24" Type="http://schemas.openxmlformats.org/officeDocument/2006/relationships/hyperlink" Target="http://portal.pgjguanajuato.gob.mx/WebPGJEG/departamentos/SAIE/reportes/Segundo2012/desgloceMunicipio.pdf" TargetMode="External"/><Relationship Id="rId32" Type="http://schemas.openxmlformats.org/officeDocument/2006/relationships/hyperlink" Target="http://es.wikipedia.org/wiki/2015"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portal.pgjguanajuato.gob.mx/WebPGJEG/departamentos/SAIE/reportes/Segundo2012/casosInstitucion.pdf" TargetMode="External"/><Relationship Id="rId28" Type="http://schemas.openxmlformats.org/officeDocument/2006/relationships/hyperlink" Target="http://es.wikipedia.org/wiki/Desarrollo_humano" TargetMode="External"/><Relationship Id="rId10" Type="http://schemas.openxmlformats.org/officeDocument/2006/relationships/image" Target="media/image1.png"/><Relationship Id="rId19" Type="http://schemas.openxmlformats.org/officeDocument/2006/relationships/diagramColors" Target="diagrams/colors1.xml"/><Relationship Id="rId31" Type="http://schemas.openxmlformats.org/officeDocument/2006/relationships/hyperlink" Target="http://es.wikipedia.org/wiki/Organizaci%C3%B3n_de_las_Naciones_Unid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erechos.org/nizkor/ley/doc/women2es.html" TargetMode="External"/><Relationship Id="rId22" Type="http://schemas.openxmlformats.org/officeDocument/2006/relationships/hyperlink" Target="http://portal.pgjguanajuato.gob.mx/WebPGJEG/departamentos/SAIE/reportes/Segundo2012/ambitoOcurrencia.pdf" TargetMode="External"/><Relationship Id="rId27" Type="http://schemas.openxmlformats.org/officeDocument/2006/relationships/hyperlink" Target="http://www.derechos.org/nizkor/ley/doc/women2es.html" TargetMode="External"/><Relationship Id="rId30" Type="http://schemas.openxmlformats.org/officeDocument/2006/relationships/hyperlink" Target="http://es.wikipedia.org/wiki/Anexo:Estados_miembros_de_las_Naciones_Unidas"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40_esp.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minsalud.gov.co/Normatividad_Nuevo/Decreto%201033%20%20de%202014.pdf" TargetMode="External"/><Relationship Id="rId26" Type="http://schemas.openxmlformats.org/officeDocument/2006/relationships/hyperlink" Target="http://inddhh.gub.uy/wp-content/uploads/2013/10/INDDHH-Uruguay-Quinto-informe-peri&#243;dico-Comit&#233;-Derechos-Humanos.pdf" TargetMode="External"/><Relationship Id="rId3" Type="http://schemas.openxmlformats.org/officeDocument/2006/relationships/hyperlink" Target="https://treaties.un.org/Pages/ViewDetails.aspx?src=TREATY&amp;mtdsg_no=IV-8&amp;chapter=4&amp;lang=en" TargetMode="External"/><Relationship Id="rId21" Type="http://schemas.openxmlformats.org/officeDocument/2006/relationships/hyperlink" Target="http://inddhh.gub.uy/memoria-ii/" TargetMode="External"/><Relationship Id="rId7" Type="http://schemas.openxmlformats.org/officeDocument/2006/relationships/hyperlink" Target="http://www.corteidh.or.cr/docs/casos/articulos/seriec_153_esp.pdf" TargetMode="External"/><Relationship Id="rId12" Type="http://schemas.openxmlformats.org/officeDocument/2006/relationships/hyperlink" Target="http://www.corteidh.or.cr/docs/casos/articulos/seriec_174_esp.pdf" TargetMode="External"/><Relationship Id="rId17" Type="http://schemas.openxmlformats.org/officeDocument/2006/relationships/hyperlink" Target="http://www.equidadmujer.gov.co/Documents/Ley-1719-18-junio-2014.pdf" TargetMode="External"/><Relationship Id="rId25" Type="http://schemas.openxmlformats.org/officeDocument/2006/relationships/hyperlink" Target="http://inddhh.gub.uy/wp-content/uploads/2013/09/Declaraci%C3%B3n-INDDHH-D%C3%ADa-Internacional-de-la-Mujer-08.03.2013.pdf" TargetMode="External"/><Relationship Id="rId2" Type="http://schemas.openxmlformats.org/officeDocument/2006/relationships/hyperlink" Target="http://www.dipublico.com.ar/11864/wimbledon-1923-corte-permanente-de-justicia-internacional-ser-a-no-1/" TargetMode="External"/><Relationship Id="rId16" Type="http://schemas.openxmlformats.org/officeDocument/2006/relationships/hyperlink" Target="https://hlt.gov.ar/comisioncodigopenal/ponencias/MariaLaura.pdf" TargetMode="External"/><Relationship Id="rId20" Type="http://schemas.openxmlformats.org/officeDocument/2006/relationships/hyperlink" Target="http://inddhh.gub.uy/memoria-i/" TargetMode="External"/><Relationship Id="rId29" Type="http://schemas.openxmlformats.org/officeDocument/2006/relationships/hyperlink" Target="http://portal.pgjguanajuato.gob.mx/WebPGJEG/departamentos/SAIE/reportes/Primero2013/TipodeViolencia.pdf" TargetMode="External"/><Relationship Id="rId1" Type="http://schemas.openxmlformats.org/officeDocument/2006/relationships/hyperlink" Target="http://www.corteidh.or.cr/docs/opiniones/seriea_02_esp.pdf" TargetMode="External"/><Relationship Id="rId6" Type="http://schemas.openxmlformats.org/officeDocument/2006/relationships/hyperlink" Target="http://europa.eu.int/eurodicautom/Controller" TargetMode="External"/><Relationship Id="rId11" Type="http://schemas.openxmlformats.org/officeDocument/2006/relationships/hyperlink" Target="http://www.corteidh.or.cr/docs/casos/articulos/seriec_154_esp.pdf" TargetMode="External"/><Relationship Id="rId24" Type="http://schemas.openxmlformats.org/officeDocument/2006/relationships/hyperlink" Target="http://inddhh.gub.uy/wp-content/uploads/2013/11/Declaraci&#243;n-INDDHH-D&#237;a-Internacional-para-la-eliminaci&#243;n-de-la-violencia-contra-las-mujeres.pdf" TargetMode="External"/><Relationship Id="rId5" Type="http://schemas.openxmlformats.org/officeDocument/2006/relationships/hyperlink" Target="http://www.oas.org/juridico/spanish/firmas/a-61.html" TargetMode="External"/><Relationship Id="rId15" Type="http://schemas.openxmlformats.org/officeDocument/2006/relationships/hyperlink" Target="http://www.corteidh.or.cr/docs/casos/articulos/seriec_221_esp1.pdf" TargetMode="External"/><Relationship Id="rId23" Type="http://schemas.openxmlformats.org/officeDocument/2006/relationships/hyperlink" Target="http://inddhh.gub.uy/informe-de-la-inddhh-al-comite-de-derechos-civiles-y-politicos/" TargetMode="External"/><Relationship Id="rId28" Type="http://schemas.openxmlformats.org/officeDocument/2006/relationships/hyperlink" Target="http://www.inegi.org.mx/est/contenidos/Proyectos/encuestas/hogares/especiales/endireh/endireh2011/doc/ENDIREH11_Sintesis_Met.pdf" TargetMode="External"/><Relationship Id="rId10" Type="http://schemas.openxmlformats.org/officeDocument/2006/relationships/hyperlink" Target="http://www.anuariocdh.uchile.cl/index.php/ADH/article/viewFile/20555/21725" TargetMode="External"/><Relationship Id="rId19" Type="http://schemas.openxmlformats.org/officeDocument/2006/relationships/hyperlink" Target="http://www.poderjudicialchiapas.gob.mx/forms/archivos/f1bcrevoca-primera-sala-de-la-scjn-amparo-otorgado-a-caro-quintero.pdf" TargetMode="External"/><Relationship Id="rId4" Type="http://schemas.openxmlformats.org/officeDocument/2006/relationships/hyperlink" Target="http://www1.umn.edu/humanrts/gencomm/Sgeneral19.htm" TargetMode="External"/><Relationship Id="rId9" Type="http://schemas.openxmlformats.org/officeDocument/2006/relationships/hyperlink" Target="http://biblio.juridicas.unam.mx/libros/5/2496/7.pdf" TargetMode="External"/><Relationship Id="rId14" Type="http://schemas.openxmlformats.org/officeDocument/2006/relationships/hyperlink" Target="http://www.corteidh.or.cr/docs/casos/articulos/seriec_220_esp.pdf" TargetMode="External"/><Relationship Id="rId22" Type="http://schemas.openxmlformats.org/officeDocument/2006/relationships/hyperlink" Target="http://inddhh.gub.uy/informe-de-la-innddhh-de-uruguay-a-la-segunda-ronda-del-epu/" TargetMode="External"/><Relationship Id="rId27" Type="http://schemas.openxmlformats.org/officeDocument/2006/relationships/hyperlink" Target="http://www.sdmujer.gov.co/index.php/component/content/article/2-uncategorised/44-direccion-de-eliminacion-de-violencias-contra-las-mujeres-y-acceso-a-la-justicia" TargetMode="External"/><Relationship Id="rId30" Type="http://schemas.openxmlformats.org/officeDocument/2006/relationships/hyperlink" Target="http://www.mimp.gob.pe/index.php?option=com_content&amp;view=article&amp;id=4551:ministerio-de-la-mujer-sustento-presupuesto-para-ejercicio-fiscal-del-proximo-ano-2014&amp;catid=54&amp;Itemid=445"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3D8CF0-5163-434D-AEEB-B38044F848D8}" type="doc">
      <dgm:prSet loTypeId="urn:microsoft.com/office/officeart/2008/layout/RadialCluster" loCatId="cycle" qsTypeId="urn:microsoft.com/office/officeart/2005/8/quickstyle/simple1" qsCatId="simple" csTypeId="urn:microsoft.com/office/officeart/2005/8/colors/accent2_1" csCatId="accent2" phldr="1"/>
      <dgm:spPr/>
      <dgm:t>
        <a:bodyPr/>
        <a:lstStyle/>
        <a:p>
          <a:endParaRPr lang="es-PE"/>
        </a:p>
      </dgm:t>
    </dgm:pt>
    <dgm:pt modelId="{461D8B0A-5C88-4012-95D9-DD1D1238E09A}">
      <dgm:prSet phldrT="[Texto]">
        <dgm:style>
          <a:lnRef idx="2">
            <a:schemeClr val="accent2"/>
          </a:lnRef>
          <a:fillRef idx="1">
            <a:schemeClr val="lt1"/>
          </a:fillRef>
          <a:effectRef idx="0">
            <a:schemeClr val="accent2"/>
          </a:effectRef>
          <a:fontRef idx="minor">
            <a:schemeClr val="dk1"/>
          </a:fontRef>
        </dgm:style>
      </dgm:prSet>
      <dgm:spPr/>
      <dgm:t>
        <a:bodyPr/>
        <a:lstStyle/>
        <a:p>
          <a:r>
            <a:rPr lang="es-PE" dirty="0" smtClean="0"/>
            <a:t>Diligência</a:t>
          </a:r>
        </a:p>
        <a:p>
          <a:r>
            <a:rPr lang="es-PE" dirty="0" smtClean="0"/>
            <a:t>devida </a:t>
          </a:r>
          <a:endParaRPr lang="es-PE" dirty="0"/>
        </a:p>
      </dgm:t>
    </dgm:pt>
    <dgm:pt modelId="{C34A37EF-47B6-4F97-A698-F1170DDE81B7}" type="parTrans" cxnId="{82287B5B-BFD6-4497-8DE2-ECD597EAAB99}">
      <dgm:prSet/>
      <dgm:spPr/>
      <dgm:t>
        <a:bodyPr/>
        <a:lstStyle/>
        <a:p>
          <a:endParaRPr lang="es-PE"/>
        </a:p>
      </dgm:t>
    </dgm:pt>
    <dgm:pt modelId="{7B52A270-B715-4868-827F-7C25941BAE82}" type="sibTrans" cxnId="{82287B5B-BFD6-4497-8DE2-ECD597EAAB99}">
      <dgm:prSet/>
      <dgm:spPr/>
      <dgm:t>
        <a:bodyPr/>
        <a:lstStyle/>
        <a:p>
          <a:endParaRPr lang="es-PE"/>
        </a:p>
      </dgm:t>
    </dgm:pt>
    <dgm:pt modelId="{A7B66B46-D365-4A74-B1D2-BFE76DBFDA5B}">
      <dgm:prSet phldrT="[Texto]">
        <dgm:style>
          <a:lnRef idx="2">
            <a:schemeClr val="accent2"/>
          </a:lnRef>
          <a:fillRef idx="1">
            <a:schemeClr val="lt1"/>
          </a:fillRef>
          <a:effectRef idx="0">
            <a:schemeClr val="accent2"/>
          </a:effectRef>
          <a:fontRef idx="minor">
            <a:schemeClr val="dk1"/>
          </a:fontRef>
        </dgm:style>
      </dgm:prSet>
      <dgm:spPr/>
      <dgm:t>
        <a:bodyPr/>
        <a:lstStyle/>
        <a:p>
          <a:r>
            <a:rPr lang="es-PE" dirty="0" smtClean="0"/>
            <a:t>Investigação, processamento e punição dos </a:t>
          </a:r>
          <a:r>
            <a:rPr lang="es-PE" smtClean="0"/>
            <a:t>autores da violência </a:t>
          </a:r>
          <a:r>
            <a:rPr lang="es-PE" dirty="0" smtClean="0"/>
            <a:t>contra a mulher</a:t>
          </a:r>
          <a:endParaRPr lang="es-PE" dirty="0"/>
        </a:p>
      </dgm:t>
    </dgm:pt>
    <dgm:pt modelId="{FB093817-D01F-409A-89B8-C21F41416AFA}" type="parTrans" cxnId="{9F2DEB0C-3335-4375-9029-8D5F2F603F19}">
      <dgm:prSet/>
      <dgm:spPr/>
      <dgm:t>
        <a:bodyPr/>
        <a:lstStyle/>
        <a:p>
          <a:endParaRPr lang="es-PE"/>
        </a:p>
      </dgm:t>
    </dgm:pt>
    <dgm:pt modelId="{D6E54EF1-2590-4352-9A41-EA2C49029C53}" type="sibTrans" cxnId="{9F2DEB0C-3335-4375-9029-8D5F2F603F19}">
      <dgm:prSet/>
      <dgm:spPr/>
      <dgm:t>
        <a:bodyPr/>
        <a:lstStyle/>
        <a:p>
          <a:endParaRPr lang="es-PE"/>
        </a:p>
      </dgm:t>
    </dgm:pt>
    <dgm:pt modelId="{A9E0DB2B-5C14-4864-B521-2A08B84613C0}">
      <dgm:prSet phldrT="[Texto]" custT="1">
        <dgm:style>
          <a:lnRef idx="2">
            <a:schemeClr val="accent2"/>
          </a:lnRef>
          <a:fillRef idx="1">
            <a:schemeClr val="lt1"/>
          </a:fillRef>
          <a:effectRef idx="0">
            <a:schemeClr val="accent2"/>
          </a:effectRef>
          <a:fontRef idx="minor">
            <a:schemeClr val="dk1"/>
          </a:fontRef>
        </dgm:style>
      </dgm:prSet>
      <dgm:spPr/>
      <dgm:t>
        <a:bodyPr/>
        <a:lstStyle/>
        <a:p>
          <a:r>
            <a:rPr lang="es-PE" sz="1100" b="0" dirty="0" smtClean="0"/>
            <a:t>Reparar o dano causado </a:t>
          </a:r>
          <a:endParaRPr lang="es-PE" sz="1100" b="0" dirty="0"/>
        </a:p>
      </dgm:t>
    </dgm:pt>
    <dgm:pt modelId="{663CE3F8-EC2A-40A2-A486-33B84BF4FDDB}" type="parTrans" cxnId="{0880CFC4-DA68-4A76-B872-E79874B9E856}">
      <dgm:prSet/>
      <dgm:spPr/>
      <dgm:t>
        <a:bodyPr/>
        <a:lstStyle/>
        <a:p>
          <a:endParaRPr lang="es-PE"/>
        </a:p>
      </dgm:t>
    </dgm:pt>
    <dgm:pt modelId="{A84600E2-8B48-4058-8BE3-9F045218FA45}" type="sibTrans" cxnId="{0880CFC4-DA68-4A76-B872-E79874B9E856}">
      <dgm:prSet/>
      <dgm:spPr/>
      <dgm:t>
        <a:bodyPr/>
        <a:lstStyle/>
        <a:p>
          <a:endParaRPr lang="es-PE"/>
        </a:p>
      </dgm:t>
    </dgm:pt>
    <dgm:pt modelId="{80EC41EA-2E9E-4A75-8331-F7891B45DBCA}">
      <dgm:prSet phldrT="[Texto]">
        <dgm:style>
          <a:lnRef idx="2">
            <a:schemeClr val="accent2"/>
          </a:lnRef>
          <a:fillRef idx="1">
            <a:schemeClr val="lt1"/>
          </a:fillRef>
          <a:effectRef idx="0">
            <a:schemeClr val="accent2"/>
          </a:effectRef>
          <a:fontRef idx="minor">
            <a:schemeClr val="dk1"/>
          </a:fontRef>
        </dgm:style>
      </dgm:prSet>
      <dgm:spPr/>
      <dgm:t>
        <a:bodyPr/>
        <a:lstStyle/>
        <a:p>
          <a:r>
            <a:rPr lang="es-PE" dirty="0" smtClean="0"/>
            <a:t>Prevenção dos atos de violência contra a mulher  </a:t>
          </a:r>
          <a:endParaRPr lang="es-PE" dirty="0"/>
        </a:p>
      </dgm:t>
    </dgm:pt>
    <dgm:pt modelId="{795BBCF5-BB46-4C2F-9634-8A52DDFAE856}" type="parTrans" cxnId="{57618836-7D51-4658-96C2-3460FE0B7D8B}">
      <dgm:prSet/>
      <dgm:spPr/>
      <dgm:t>
        <a:bodyPr/>
        <a:lstStyle/>
        <a:p>
          <a:endParaRPr lang="es-PE"/>
        </a:p>
      </dgm:t>
    </dgm:pt>
    <dgm:pt modelId="{75E8F2D7-24E9-4AE3-BE88-17F58ACFE4F1}" type="sibTrans" cxnId="{57618836-7D51-4658-96C2-3460FE0B7D8B}">
      <dgm:prSet/>
      <dgm:spPr/>
      <dgm:t>
        <a:bodyPr/>
        <a:lstStyle/>
        <a:p>
          <a:endParaRPr lang="es-PE"/>
        </a:p>
      </dgm:t>
    </dgm:pt>
    <dgm:pt modelId="{AC36A49C-8DEC-4D13-BD15-61496EE90EE9}" type="pres">
      <dgm:prSet presAssocID="{273D8CF0-5163-434D-AEEB-B38044F848D8}" presName="Name0" presStyleCnt="0">
        <dgm:presLayoutVars>
          <dgm:chMax val="1"/>
          <dgm:chPref val="1"/>
          <dgm:dir/>
          <dgm:animOne val="branch"/>
          <dgm:animLvl val="lvl"/>
        </dgm:presLayoutVars>
      </dgm:prSet>
      <dgm:spPr/>
      <dgm:t>
        <a:bodyPr/>
        <a:lstStyle/>
        <a:p>
          <a:endParaRPr lang="es-PE"/>
        </a:p>
      </dgm:t>
    </dgm:pt>
    <dgm:pt modelId="{9E42FB50-06D6-4520-9C62-A8F9EABC8E84}" type="pres">
      <dgm:prSet presAssocID="{461D8B0A-5C88-4012-95D9-DD1D1238E09A}" presName="singleCycle" presStyleCnt="0"/>
      <dgm:spPr/>
      <dgm:t>
        <a:bodyPr/>
        <a:lstStyle/>
        <a:p>
          <a:endParaRPr lang="es-PE"/>
        </a:p>
      </dgm:t>
    </dgm:pt>
    <dgm:pt modelId="{0FF6638A-1E30-4C12-BB1B-74465E75DB18}" type="pres">
      <dgm:prSet presAssocID="{461D8B0A-5C88-4012-95D9-DD1D1238E09A}" presName="singleCenter" presStyleLbl="node1" presStyleIdx="0" presStyleCnt="4" custLinFactNeighborX="265" custLinFactNeighborY="-10087">
        <dgm:presLayoutVars>
          <dgm:chMax val="7"/>
          <dgm:chPref val="7"/>
        </dgm:presLayoutVars>
      </dgm:prSet>
      <dgm:spPr/>
      <dgm:t>
        <a:bodyPr/>
        <a:lstStyle/>
        <a:p>
          <a:endParaRPr lang="es-PE"/>
        </a:p>
      </dgm:t>
    </dgm:pt>
    <dgm:pt modelId="{95E7423B-C797-4A77-9161-84A2F8EFDD06}" type="pres">
      <dgm:prSet presAssocID="{FB093817-D01F-409A-89B8-C21F41416AFA}" presName="Name56" presStyleLbl="parChTrans1D2" presStyleIdx="0" presStyleCnt="3"/>
      <dgm:spPr/>
      <dgm:t>
        <a:bodyPr/>
        <a:lstStyle/>
        <a:p>
          <a:endParaRPr lang="es-PE"/>
        </a:p>
      </dgm:t>
    </dgm:pt>
    <dgm:pt modelId="{722463BB-BF76-46FF-8767-F2A9E6D60E98}" type="pres">
      <dgm:prSet presAssocID="{A7B66B46-D365-4A74-B1D2-BFE76DBFDA5B}" presName="text0" presStyleLbl="node1" presStyleIdx="1" presStyleCnt="4" custScaleX="328105">
        <dgm:presLayoutVars>
          <dgm:bulletEnabled val="1"/>
        </dgm:presLayoutVars>
      </dgm:prSet>
      <dgm:spPr/>
      <dgm:t>
        <a:bodyPr/>
        <a:lstStyle/>
        <a:p>
          <a:endParaRPr lang="es-PE"/>
        </a:p>
      </dgm:t>
    </dgm:pt>
    <dgm:pt modelId="{BD563747-75B4-4E47-AB69-B739EE637785}" type="pres">
      <dgm:prSet presAssocID="{663CE3F8-EC2A-40A2-A486-33B84BF4FDDB}" presName="Name56" presStyleLbl="parChTrans1D2" presStyleIdx="1" presStyleCnt="3"/>
      <dgm:spPr/>
      <dgm:t>
        <a:bodyPr/>
        <a:lstStyle/>
        <a:p>
          <a:endParaRPr lang="es-PE"/>
        </a:p>
      </dgm:t>
    </dgm:pt>
    <dgm:pt modelId="{6BB3F19C-C336-46C9-857D-6C0686434B3D}" type="pres">
      <dgm:prSet presAssocID="{A9E0DB2B-5C14-4864-B521-2A08B84613C0}" presName="text0" presStyleLbl="node1" presStyleIdx="2" presStyleCnt="4" custScaleX="193307">
        <dgm:presLayoutVars>
          <dgm:bulletEnabled val="1"/>
        </dgm:presLayoutVars>
      </dgm:prSet>
      <dgm:spPr/>
      <dgm:t>
        <a:bodyPr/>
        <a:lstStyle/>
        <a:p>
          <a:endParaRPr lang="es-PE"/>
        </a:p>
      </dgm:t>
    </dgm:pt>
    <dgm:pt modelId="{51B8B718-4B0C-4386-B953-742D5C49CD6E}" type="pres">
      <dgm:prSet presAssocID="{795BBCF5-BB46-4C2F-9634-8A52DDFAE856}" presName="Name56" presStyleLbl="parChTrans1D2" presStyleIdx="2" presStyleCnt="3"/>
      <dgm:spPr/>
      <dgm:t>
        <a:bodyPr/>
        <a:lstStyle/>
        <a:p>
          <a:endParaRPr lang="es-PE"/>
        </a:p>
      </dgm:t>
    </dgm:pt>
    <dgm:pt modelId="{9955FBE1-2710-4141-98A5-92EC370D7BB1}" type="pres">
      <dgm:prSet presAssocID="{80EC41EA-2E9E-4A75-8331-F7891B45DBCA}" presName="text0" presStyleLbl="node1" presStyleIdx="3" presStyleCnt="4" custScaleX="233653">
        <dgm:presLayoutVars>
          <dgm:bulletEnabled val="1"/>
        </dgm:presLayoutVars>
      </dgm:prSet>
      <dgm:spPr/>
      <dgm:t>
        <a:bodyPr/>
        <a:lstStyle/>
        <a:p>
          <a:endParaRPr lang="es-PE"/>
        </a:p>
      </dgm:t>
    </dgm:pt>
  </dgm:ptLst>
  <dgm:cxnLst>
    <dgm:cxn modelId="{0610378B-0E65-4297-84C7-2952EED25590}" type="presOf" srcId="{A9E0DB2B-5C14-4864-B521-2A08B84613C0}" destId="{6BB3F19C-C336-46C9-857D-6C0686434B3D}" srcOrd="0" destOrd="0" presId="urn:microsoft.com/office/officeart/2008/layout/RadialCluster"/>
    <dgm:cxn modelId="{C9D2D6AD-BD6D-43E1-B844-BA3AB2CCCDE8}" type="presOf" srcId="{80EC41EA-2E9E-4A75-8331-F7891B45DBCA}" destId="{9955FBE1-2710-4141-98A5-92EC370D7BB1}" srcOrd="0" destOrd="0" presId="urn:microsoft.com/office/officeart/2008/layout/RadialCluster"/>
    <dgm:cxn modelId="{0880CFC4-DA68-4A76-B872-E79874B9E856}" srcId="{461D8B0A-5C88-4012-95D9-DD1D1238E09A}" destId="{A9E0DB2B-5C14-4864-B521-2A08B84613C0}" srcOrd="1" destOrd="0" parTransId="{663CE3F8-EC2A-40A2-A486-33B84BF4FDDB}" sibTransId="{A84600E2-8B48-4058-8BE3-9F045218FA45}"/>
    <dgm:cxn modelId="{E4AAF796-694D-4586-B9B9-12AF84233485}" type="presOf" srcId="{461D8B0A-5C88-4012-95D9-DD1D1238E09A}" destId="{0FF6638A-1E30-4C12-BB1B-74465E75DB18}" srcOrd="0" destOrd="0" presId="urn:microsoft.com/office/officeart/2008/layout/RadialCluster"/>
    <dgm:cxn modelId="{019DA3C4-020C-4AC7-A471-0D90FE2889BC}" type="presOf" srcId="{FB093817-D01F-409A-89B8-C21F41416AFA}" destId="{95E7423B-C797-4A77-9161-84A2F8EFDD06}" srcOrd="0" destOrd="0" presId="urn:microsoft.com/office/officeart/2008/layout/RadialCluster"/>
    <dgm:cxn modelId="{6C046CE6-062B-456A-98A3-C39C69CF096E}" type="presOf" srcId="{273D8CF0-5163-434D-AEEB-B38044F848D8}" destId="{AC36A49C-8DEC-4D13-BD15-61496EE90EE9}" srcOrd="0" destOrd="0" presId="urn:microsoft.com/office/officeart/2008/layout/RadialCluster"/>
    <dgm:cxn modelId="{6496CCF9-F9B9-479F-9F9A-A214C1D06A5C}" type="presOf" srcId="{663CE3F8-EC2A-40A2-A486-33B84BF4FDDB}" destId="{BD563747-75B4-4E47-AB69-B739EE637785}" srcOrd="0" destOrd="0" presId="urn:microsoft.com/office/officeart/2008/layout/RadialCluster"/>
    <dgm:cxn modelId="{57618836-7D51-4658-96C2-3460FE0B7D8B}" srcId="{461D8B0A-5C88-4012-95D9-DD1D1238E09A}" destId="{80EC41EA-2E9E-4A75-8331-F7891B45DBCA}" srcOrd="2" destOrd="0" parTransId="{795BBCF5-BB46-4C2F-9634-8A52DDFAE856}" sibTransId="{75E8F2D7-24E9-4AE3-BE88-17F58ACFE4F1}"/>
    <dgm:cxn modelId="{CD414CC1-EA99-418C-9BED-F40345E6C2C1}" type="presOf" srcId="{795BBCF5-BB46-4C2F-9634-8A52DDFAE856}" destId="{51B8B718-4B0C-4386-B953-742D5C49CD6E}" srcOrd="0" destOrd="0" presId="urn:microsoft.com/office/officeart/2008/layout/RadialCluster"/>
    <dgm:cxn modelId="{82287B5B-BFD6-4497-8DE2-ECD597EAAB99}" srcId="{273D8CF0-5163-434D-AEEB-B38044F848D8}" destId="{461D8B0A-5C88-4012-95D9-DD1D1238E09A}" srcOrd="0" destOrd="0" parTransId="{C34A37EF-47B6-4F97-A698-F1170DDE81B7}" sibTransId="{7B52A270-B715-4868-827F-7C25941BAE82}"/>
    <dgm:cxn modelId="{205F7BCD-E555-4A5B-9D9A-A72B2381947E}" type="presOf" srcId="{A7B66B46-D365-4A74-B1D2-BFE76DBFDA5B}" destId="{722463BB-BF76-46FF-8767-F2A9E6D60E98}" srcOrd="0" destOrd="0" presId="urn:microsoft.com/office/officeart/2008/layout/RadialCluster"/>
    <dgm:cxn modelId="{9F2DEB0C-3335-4375-9029-8D5F2F603F19}" srcId="{461D8B0A-5C88-4012-95D9-DD1D1238E09A}" destId="{A7B66B46-D365-4A74-B1D2-BFE76DBFDA5B}" srcOrd="0" destOrd="0" parTransId="{FB093817-D01F-409A-89B8-C21F41416AFA}" sibTransId="{D6E54EF1-2590-4352-9A41-EA2C49029C53}"/>
    <dgm:cxn modelId="{957F4197-E37A-4972-9E39-A58A852DF0B7}" type="presParOf" srcId="{AC36A49C-8DEC-4D13-BD15-61496EE90EE9}" destId="{9E42FB50-06D6-4520-9C62-A8F9EABC8E84}" srcOrd="0" destOrd="0" presId="urn:microsoft.com/office/officeart/2008/layout/RadialCluster"/>
    <dgm:cxn modelId="{BDEB65FC-7EB0-45D6-9220-EA1A14DC2F2C}" type="presParOf" srcId="{9E42FB50-06D6-4520-9C62-A8F9EABC8E84}" destId="{0FF6638A-1E30-4C12-BB1B-74465E75DB18}" srcOrd="0" destOrd="0" presId="urn:microsoft.com/office/officeart/2008/layout/RadialCluster"/>
    <dgm:cxn modelId="{4F958B4F-7617-4DA6-B002-A91D1D1620A5}" type="presParOf" srcId="{9E42FB50-06D6-4520-9C62-A8F9EABC8E84}" destId="{95E7423B-C797-4A77-9161-84A2F8EFDD06}" srcOrd="1" destOrd="0" presId="urn:microsoft.com/office/officeart/2008/layout/RadialCluster"/>
    <dgm:cxn modelId="{1E842C49-2A76-419D-ACD1-2E6FEB4DFD39}" type="presParOf" srcId="{9E42FB50-06D6-4520-9C62-A8F9EABC8E84}" destId="{722463BB-BF76-46FF-8767-F2A9E6D60E98}" srcOrd="2" destOrd="0" presId="urn:microsoft.com/office/officeart/2008/layout/RadialCluster"/>
    <dgm:cxn modelId="{5BF25F0C-A956-4637-9DA2-21AB47E0D557}" type="presParOf" srcId="{9E42FB50-06D6-4520-9C62-A8F9EABC8E84}" destId="{BD563747-75B4-4E47-AB69-B739EE637785}" srcOrd="3" destOrd="0" presId="urn:microsoft.com/office/officeart/2008/layout/RadialCluster"/>
    <dgm:cxn modelId="{234D24FE-D12E-4891-B3F9-359B58702185}" type="presParOf" srcId="{9E42FB50-06D6-4520-9C62-A8F9EABC8E84}" destId="{6BB3F19C-C336-46C9-857D-6C0686434B3D}" srcOrd="4" destOrd="0" presId="urn:microsoft.com/office/officeart/2008/layout/RadialCluster"/>
    <dgm:cxn modelId="{23828D99-1A19-47E1-A96F-DCF00BCC4264}" type="presParOf" srcId="{9E42FB50-06D6-4520-9C62-A8F9EABC8E84}" destId="{51B8B718-4B0C-4386-B953-742D5C49CD6E}" srcOrd="5" destOrd="0" presId="urn:microsoft.com/office/officeart/2008/layout/RadialCluster"/>
    <dgm:cxn modelId="{1092FF1E-BED6-448A-B541-181476E8468F}" type="presParOf" srcId="{9E42FB50-06D6-4520-9C62-A8F9EABC8E84}" destId="{9955FBE1-2710-4141-98A5-92EC370D7BB1}" srcOrd="6"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6638A-1E30-4C12-BB1B-74465E75DB18}">
      <dsp:nvSpPr>
        <dsp:cNvPr id="0" name=""/>
        <dsp:cNvSpPr/>
      </dsp:nvSpPr>
      <dsp:spPr>
        <a:xfrm>
          <a:off x="2462700" y="1007526"/>
          <a:ext cx="811987" cy="811987"/>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s-PE" sz="1300" kern="1200" dirty="0" smtClean="0"/>
            <a:t>Diligência</a:t>
          </a:r>
        </a:p>
        <a:p>
          <a:pPr lvl="0" algn="ctr" defTabSz="577850">
            <a:lnSpc>
              <a:spcPct val="90000"/>
            </a:lnSpc>
            <a:spcBef>
              <a:spcPct val="0"/>
            </a:spcBef>
            <a:spcAft>
              <a:spcPct val="35000"/>
            </a:spcAft>
          </a:pPr>
          <a:r>
            <a:rPr lang="es-PE" sz="1300" kern="1200" dirty="0" smtClean="0"/>
            <a:t>devida </a:t>
          </a:r>
          <a:endParaRPr lang="es-PE" sz="1300" kern="1200" dirty="0"/>
        </a:p>
      </dsp:txBody>
      <dsp:txXfrm>
        <a:off x="2502338" y="1047164"/>
        <a:ext cx="732711" cy="732711"/>
      </dsp:txXfrm>
    </dsp:sp>
    <dsp:sp modelId="{95E7423B-C797-4A77-9161-84A2F8EFDD06}">
      <dsp:nvSpPr>
        <dsp:cNvPr id="0" name=""/>
        <dsp:cNvSpPr/>
      </dsp:nvSpPr>
      <dsp:spPr>
        <a:xfrm rot="16177176">
          <a:off x="2705995" y="848583"/>
          <a:ext cx="317894" cy="0"/>
        </a:xfrm>
        <a:custGeom>
          <a:avLst/>
          <a:gdLst/>
          <a:ahLst/>
          <a:cxnLst/>
          <a:rect l="0" t="0" r="0" b="0"/>
          <a:pathLst>
            <a:path>
              <a:moveTo>
                <a:pt x="0" y="0"/>
              </a:moveTo>
              <a:lnTo>
                <a:pt x="317894"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2463BB-BF76-46FF-8767-F2A9E6D60E98}">
      <dsp:nvSpPr>
        <dsp:cNvPr id="0" name=""/>
        <dsp:cNvSpPr/>
      </dsp:nvSpPr>
      <dsp:spPr>
        <a:xfrm>
          <a:off x="1969584" y="145607"/>
          <a:ext cx="1784994" cy="544031"/>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s-PE" sz="900" kern="1200" dirty="0" smtClean="0"/>
            <a:t>Investigação, processamento e punição dos </a:t>
          </a:r>
          <a:r>
            <a:rPr lang="es-PE" sz="900" kern="1200" smtClean="0"/>
            <a:t>autores da violência </a:t>
          </a:r>
          <a:r>
            <a:rPr lang="es-PE" sz="900" kern="1200" dirty="0" smtClean="0"/>
            <a:t>contra a mulher</a:t>
          </a:r>
          <a:endParaRPr lang="es-PE" sz="900" kern="1200" dirty="0"/>
        </a:p>
      </dsp:txBody>
      <dsp:txXfrm>
        <a:off x="1996141" y="172164"/>
        <a:ext cx="1731880" cy="490917"/>
      </dsp:txXfrm>
    </dsp:sp>
    <dsp:sp modelId="{BD563747-75B4-4E47-AB69-B739EE637785}">
      <dsp:nvSpPr>
        <dsp:cNvPr id="0" name=""/>
        <dsp:cNvSpPr/>
      </dsp:nvSpPr>
      <dsp:spPr>
        <a:xfrm rot="2351399">
          <a:off x="3226191" y="1880753"/>
          <a:ext cx="431183" cy="0"/>
        </a:xfrm>
        <a:custGeom>
          <a:avLst/>
          <a:gdLst/>
          <a:ahLst/>
          <a:cxnLst/>
          <a:rect l="0" t="0" r="0" b="0"/>
          <a:pathLst>
            <a:path>
              <a:moveTo>
                <a:pt x="0" y="0"/>
              </a:moveTo>
              <a:lnTo>
                <a:pt x="431183"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3F19C-C336-46C9-857D-6C0686434B3D}">
      <dsp:nvSpPr>
        <dsp:cNvPr id="0" name=""/>
        <dsp:cNvSpPr/>
      </dsp:nvSpPr>
      <dsp:spPr>
        <a:xfrm>
          <a:off x="3416696" y="2016984"/>
          <a:ext cx="1051650" cy="544031"/>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s-PE" sz="1100" b="0" kern="1200" dirty="0" smtClean="0"/>
            <a:t>Reparar o dano causado </a:t>
          </a:r>
          <a:endParaRPr lang="es-PE" sz="1100" b="0" kern="1200" dirty="0"/>
        </a:p>
      </dsp:txBody>
      <dsp:txXfrm>
        <a:off x="3443253" y="2043541"/>
        <a:ext cx="998536" cy="490917"/>
      </dsp:txXfrm>
    </dsp:sp>
    <dsp:sp modelId="{51B8B718-4B0C-4386-B953-742D5C49CD6E}">
      <dsp:nvSpPr>
        <dsp:cNvPr id="0" name=""/>
        <dsp:cNvSpPr/>
      </dsp:nvSpPr>
      <dsp:spPr>
        <a:xfrm rot="8469183">
          <a:off x="2070646" y="1878740"/>
          <a:ext cx="440800" cy="0"/>
        </a:xfrm>
        <a:custGeom>
          <a:avLst/>
          <a:gdLst/>
          <a:ahLst/>
          <a:cxnLst/>
          <a:rect l="0" t="0" r="0" b="0"/>
          <a:pathLst>
            <a:path>
              <a:moveTo>
                <a:pt x="0" y="0"/>
              </a:moveTo>
              <a:lnTo>
                <a:pt x="44080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5FBE1-2710-4141-98A5-92EC370D7BB1}">
      <dsp:nvSpPr>
        <dsp:cNvPr id="0" name=""/>
        <dsp:cNvSpPr/>
      </dsp:nvSpPr>
      <dsp:spPr>
        <a:xfrm>
          <a:off x="1146068" y="2016984"/>
          <a:ext cx="1271145" cy="544031"/>
        </a:xfrm>
        <a:prstGeom prst="round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s-PE" sz="900" kern="1200" dirty="0" smtClean="0"/>
            <a:t>Prevenção dos atos de violência contra a mulher  </a:t>
          </a:r>
          <a:endParaRPr lang="es-PE" sz="900" kern="1200" dirty="0"/>
        </a:p>
      </dsp:txBody>
      <dsp:txXfrm>
        <a:off x="1172625" y="2043541"/>
        <a:ext cx="1218031" cy="49091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872F-BFF4-4B8F-B1E3-BC88179487C0}">
  <ds:schemaRefs/>
</ds:datastoreItem>
</file>

<file path=customXml/itemProps2.xml><?xml version="1.0" encoding="utf-8"?>
<ds:datastoreItem xmlns:ds="http://schemas.openxmlformats.org/officeDocument/2006/customXml" ds:itemID="{21667CE6-B7B8-47A1-91CD-C72509C0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57916</Words>
  <Characters>318544</Characters>
  <Application>Microsoft Office Word</Application>
  <DocSecurity>0</DocSecurity>
  <Lines>2654</Lines>
  <Paragraphs>751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Cecilia Bernuy</cp:lastModifiedBy>
  <cp:revision>2</cp:revision>
  <cp:lastPrinted>2015-06-29T15:59:00Z</cp:lastPrinted>
  <dcterms:created xsi:type="dcterms:W3CDTF">2015-06-30T16:14:00Z</dcterms:created>
  <dcterms:modified xsi:type="dcterms:W3CDTF">2015-06-30T16:14:00Z</dcterms:modified>
</cp:coreProperties>
</file>